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4907C" w14:textId="64FFA106" w:rsidR="00A71EEF" w:rsidRDefault="00A71EEF">
      <w:pPr>
        <w:pStyle w:val="a3"/>
        <w:rPr>
          <w:rFonts w:ascii="Times New Roman"/>
          <w:sz w:val="20"/>
        </w:rPr>
      </w:pPr>
    </w:p>
    <w:p w14:paraId="4F67C508" w14:textId="77777777" w:rsidR="00A71EEF" w:rsidRDefault="00A71EEF">
      <w:pPr>
        <w:pStyle w:val="a3"/>
        <w:rPr>
          <w:rFonts w:ascii="Times New Roman"/>
          <w:sz w:val="20"/>
        </w:rPr>
      </w:pPr>
    </w:p>
    <w:p w14:paraId="5AFE9188" w14:textId="77777777" w:rsidR="00A71EEF" w:rsidRDefault="00A71EEF">
      <w:pPr>
        <w:pStyle w:val="a3"/>
        <w:rPr>
          <w:rFonts w:ascii="Times New Roman"/>
          <w:sz w:val="20"/>
        </w:rPr>
      </w:pPr>
    </w:p>
    <w:p w14:paraId="7321EF23" w14:textId="77777777" w:rsidR="00A71EEF" w:rsidRDefault="00A71EEF">
      <w:pPr>
        <w:pStyle w:val="a3"/>
        <w:rPr>
          <w:rFonts w:ascii="Times New Roman"/>
          <w:sz w:val="20"/>
        </w:rPr>
      </w:pPr>
    </w:p>
    <w:p w14:paraId="77DFFEA8" w14:textId="77777777" w:rsidR="00A71EEF" w:rsidRDefault="00A71EEF">
      <w:pPr>
        <w:pStyle w:val="a3"/>
        <w:rPr>
          <w:rFonts w:ascii="Times New Roman"/>
          <w:sz w:val="20"/>
        </w:rPr>
      </w:pPr>
    </w:p>
    <w:p w14:paraId="6739776D" w14:textId="77777777" w:rsidR="00A71EEF" w:rsidRDefault="00A71EEF">
      <w:pPr>
        <w:pStyle w:val="a3"/>
        <w:rPr>
          <w:rFonts w:ascii="Times New Roman"/>
          <w:sz w:val="20"/>
        </w:rPr>
      </w:pPr>
    </w:p>
    <w:p w14:paraId="22A78F4E" w14:textId="77777777" w:rsidR="00A71EEF" w:rsidRDefault="00A71EEF">
      <w:pPr>
        <w:pStyle w:val="a3"/>
        <w:rPr>
          <w:rFonts w:ascii="Times New Roman"/>
          <w:sz w:val="20"/>
        </w:rPr>
      </w:pPr>
    </w:p>
    <w:p w14:paraId="11315CBC" w14:textId="77777777" w:rsidR="00A71EEF" w:rsidRDefault="00A71EEF">
      <w:pPr>
        <w:pStyle w:val="a3"/>
        <w:rPr>
          <w:rFonts w:ascii="Times New Roman"/>
          <w:sz w:val="20"/>
        </w:rPr>
      </w:pPr>
    </w:p>
    <w:p w14:paraId="2DBF5105" w14:textId="77777777" w:rsidR="00A71EEF" w:rsidRDefault="00A71EEF">
      <w:pPr>
        <w:pStyle w:val="a3"/>
        <w:rPr>
          <w:rFonts w:ascii="Times New Roman"/>
          <w:sz w:val="20"/>
        </w:rPr>
      </w:pPr>
    </w:p>
    <w:p w14:paraId="1F93F38D" w14:textId="77777777" w:rsidR="00A71EEF" w:rsidRDefault="00A71EEF">
      <w:pPr>
        <w:pStyle w:val="a3"/>
        <w:rPr>
          <w:rFonts w:ascii="Times New Roman"/>
          <w:sz w:val="20"/>
        </w:rPr>
      </w:pPr>
    </w:p>
    <w:p w14:paraId="09F32DAF" w14:textId="77777777" w:rsidR="00A71EEF" w:rsidRDefault="00A71EEF">
      <w:pPr>
        <w:pStyle w:val="a3"/>
        <w:rPr>
          <w:rFonts w:ascii="Times New Roman"/>
          <w:sz w:val="20"/>
        </w:rPr>
      </w:pPr>
    </w:p>
    <w:p w14:paraId="512C54A9" w14:textId="77777777" w:rsidR="00A71EEF" w:rsidRDefault="00A71EEF">
      <w:pPr>
        <w:pStyle w:val="a3"/>
        <w:spacing w:before="1"/>
        <w:rPr>
          <w:rFonts w:ascii="Times New Roman"/>
        </w:rPr>
      </w:pPr>
    </w:p>
    <w:p w14:paraId="2CB8B92D" w14:textId="77777777" w:rsidR="00A71EEF" w:rsidRDefault="0081115D">
      <w:pPr>
        <w:pStyle w:val="a3"/>
        <w:ind w:left="910"/>
        <w:rPr>
          <w:rFonts w:ascii="Times New Roman"/>
          <w:sz w:val="20"/>
        </w:rPr>
      </w:pPr>
      <w:r>
        <w:rPr>
          <w:rFonts w:ascii="Times New Roman"/>
          <w:noProof/>
          <w:sz w:val="20"/>
        </w:rPr>
        <w:drawing>
          <wp:inline distT="0" distB="0" distL="0" distR="0" wp14:anchorId="11DCD568" wp14:editId="5FF3B040">
            <wp:extent cx="5265331" cy="393192"/>
            <wp:effectExtent l="0" t="0" r="0" b="0"/>
            <wp:docPr id="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3.png"/>
                    <pic:cNvPicPr/>
                  </pic:nvPicPr>
                  <pic:blipFill>
                    <a:blip r:embed="rId7" cstate="print"/>
                    <a:stretch>
                      <a:fillRect/>
                    </a:stretch>
                  </pic:blipFill>
                  <pic:spPr>
                    <a:xfrm>
                      <a:off x="0" y="0"/>
                      <a:ext cx="5265331" cy="393192"/>
                    </a:xfrm>
                    <a:prstGeom prst="rect">
                      <a:avLst/>
                    </a:prstGeom>
                  </pic:spPr>
                </pic:pic>
              </a:graphicData>
            </a:graphic>
          </wp:inline>
        </w:drawing>
      </w:r>
    </w:p>
    <w:p w14:paraId="45A4CEC3" w14:textId="77777777" w:rsidR="00A71EEF" w:rsidRDefault="0081115D">
      <w:pPr>
        <w:pStyle w:val="a3"/>
        <w:spacing w:before="9"/>
        <w:rPr>
          <w:rFonts w:ascii="Times New Roman"/>
          <w:sz w:val="12"/>
        </w:rPr>
      </w:pPr>
      <w:r>
        <w:rPr>
          <w:noProof/>
        </w:rPr>
        <w:drawing>
          <wp:anchor distT="0" distB="0" distL="0" distR="0" simplePos="0" relativeHeight="251780608" behindDoc="0" locked="0" layoutInCell="1" allowOverlap="1" wp14:anchorId="22BD78CE" wp14:editId="59D0480F">
            <wp:simplePos x="0" y="0"/>
            <wp:positionH relativeFrom="page">
              <wp:posOffset>3194939</wp:posOffset>
            </wp:positionH>
            <wp:positionV relativeFrom="paragraph">
              <wp:posOffset>118363</wp:posOffset>
            </wp:positionV>
            <wp:extent cx="1645637" cy="393192"/>
            <wp:effectExtent l="0" t="0" r="0" b="0"/>
            <wp:wrapTopAndBottom/>
            <wp:docPr id="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8" cstate="print"/>
                    <a:stretch>
                      <a:fillRect/>
                    </a:stretch>
                  </pic:blipFill>
                  <pic:spPr>
                    <a:xfrm>
                      <a:off x="0" y="0"/>
                      <a:ext cx="1645637" cy="393192"/>
                    </a:xfrm>
                    <a:prstGeom prst="rect">
                      <a:avLst/>
                    </a:prstGeom>
                  </pic:spPr>
                </pic:pic>
              </a:graphicData>
            </a:graphic>
          </wp:anchor>
        </w:drawing>
      </w:r>
    </w:p>
    <w:p w14:paraId="5E9CD964" w14:textId="77777777" w:rsidR="00A71EEF" w:rsidRDefault="00A71EEF">
      <w:pPr>
        <w:pStyle w:val="a3"/>
        <w:rPr>
          <w:rFonts w:ascii="Times New Roman"/>
          <w:sz w:val="20"/>
        </w:rPr>
      </w:pPr>
    </w:p>
    <w:p w14:paraId="424CC744" w14:textId="77777777" w:rsidR="00A71EEF" w:rsidRDefault="00A71EEF">
      <w:pPr>
        <w:pStyle w:val="a3"/>
        <w:rPr>
          <w:rFonts w:ascii="Times New Roman"/>
          <w:sz w:val="20"/>
        </w:rPr>
      </w:pPr>
    </w:p>
    <w:p w14:paraId="168551CC" w14:textId="77777777" w:rsidR="00A71EEF" w:rsidRDefault="00A71EEF">
      <w:pPr>
        <w:pStyle w:val="a3"/>
        <w:rPr>
          <w:rFonts w:ascii="Times New Roman"/>
          <w:sz w:val="20"/>
        </w:rPr>
      </w:pPr>
    </w:p>
    <w:p w14:paraId="139FCDA3" w14:textId="77777777" w:rsidR="00A71EEF" w:rsidRDefault="0081115D">
      <w:pPr>
        <w:pStyle w:val="a3"/>
        <w:spacing w:before="5"/>
        <w:rPr>
          <w:rFonts w:ascii="Times New Roman"/>
          <w:sz w:val="20"/>
        </w:rPr>
      </w:pPr>
      <w:r>
        <w:pict w14:anchorId="26693D65">
          <v:group id="_x0000_s1194" style="position:absolute;margin-left:251.55pt;margin-top:13.75pt;width:130.05pt;height:31.1pt;z-index:-251504128;mso-wrap-distance-left:0;mso-wrap-distance-right:0;mso-position-horizontal-relative:page" coordorigin="5031,275" coordsize="2601,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97" type="#_x0000_t75" style="position:absolute;left:5031;top:274;width:1042;height:622">
              <v:imagedata r:id="rId9" o:title=""/>
            </v:shape>
            <v:shape id="_x0000_s1196" type="#_x0000_t75" style="position:absolute;left:5552;top:274;width:1042;height:622">
              <v:imagedata r:id="rId10" o:title=""/>
            </v:shape>
            <v:shape id="_x0000_s1195" type="#_x0000_t75" style="position:absolute;left:6073;top:274;width:1559;height:622">
              <v:imagedata r:id="rId11" o:title=""/>
            </v:shape>
            <w10:wrap type="topAndBottom" anchorx="page"/>
          </v:group>
        </w:pict>
      </w:r>
    </w:p>
    <w:p w14:paraId="74A0A779" w14:textId="77777777" w:rsidR="00A71EEF" w:rsidRDefault="00A71EEF">
      <w:pPr>
        <w:pStyle w:val="a3"/>
        <w:rPr>
          <w:rFonts w:ascii="Times New Roman"/>
          <w:sz w:val="20"/>
        </w:rPr>
      </w:pPr>
    </w:p>
    <w:p w14:paraId="5245D52D" w14:textId="77777777" w:rsidR="00A71EEF" w:rsidRDefault="00A71EEF">
      <w:pPr>
        <w:pStyle w:val="a3"/>
        <w:rPr>
          <w:rFonts w:ascii="Times New Roman"/>
          <w:sz w:val="20"/>
        </w:rPr>
      </w:pPr>
    </w:p>
    <w:p w14:paraId="5C1001E1" w14:textId="77777777" w:rsidR="00A71EEF" w:rsidRDefault="00A71EEF">
      <w:pPr>
        <w:pStyle w:val="a3"/>
        <w:rPr>
          <w:rFonts w:ascii="Times New Roman"/>
          <w:sz w:val="20"/>
        </w:rPr>
      </w:pPr>
    </w:p>
    <w:p w14:paraId="6D24E91B" w14:textId="77777777" w:rsidR="00A71EEF" w:rsidRDefault="00A71EEF">
      <w:pPr>
        <w:pStyle w:val="a3"/>
        <w:rPr>
          <w:rFonts w:ascii="Times New Roman"/>
          <w:sz w:val="20"/>
        </w:rPr>
      </w:pPr>
    </w:p>
    <w:p w14:paraId="3C0F9EE1" w14:textId="77777777" w:rsidR="00A71EEF" w:rsidRDefault="00A71EEF">
      <w:pPr>
        <w:pStyle w:val="a3"/>
        <w:rPr>
          <w:rFonts w:ascii="Times New Roman"/>
          <w:sz w:val="20"/>
        </w:rPr>
      </w:pPr>
    </w:p>
    <w:p w14:paraId="3E4EF122" w14:textId="77777777" w:rsidR="00A71EEF" w:rsidRDefault="00A71EEF">
      <w:pPr>
        <w:pStyle w:val="a3"/>
        <w:rPr>
          <w:rFonts w:ascii="Times New Roman"/>
          <w:sz w:val="20"/>
        </w:rPr>
      </w:pPr>
    </w:p>
    <w:p w14:paraId="7585858E" w14:textId="77777777" w:rsidR="00A71EEF" w:rsidRDefault="00A71EEF">
      <w:pPr>
        <w:pStyle w:val="a3"/>
        <w:rPr>
          <w:rFonts w:ascii="Times New Roman"/>
          <w:sz w:val="20"/>
        </w:rPr>
      </w:pPr>
    </w:p>
    <w:p w14:paraId="1E61A17B" w14:textId="77777777" w:rsidR="00A71EEF" w:rsidRDefault="00A71EEF">
      <w:pPr>
        <w:pStyle w:val="a3"/>
        <w:rPr>
          <w:rFonts w:ascii="Times New Roman"/>
          <w:sz w:val="20"/>
        </w:rPr>
      </w:pPr>
    </w:p>
    <w:p w14:paraId="227CC021" w14:textId="77777777" w:rsidR="00A71EEF" w:rsidRDefault="00A71EEF">
      <w:pPr>
        <w:pStyle w:val="a3"/>
        <w:rPr>
          <w:rFonts w:ascii="Times New Roman"/>
          <w:sz w:val="20"/>
        </w:rPr>
      </w:pPr>
    </w:p>
    <w:p w14:paraId="26E380AA" w14:textId="77777777" w:rsidR="00A71EEF" w:rsidRDefault="00A71EEF">
      <w:pPr>
        <w:pStyle w:val="a3"/>
        <w:rPr>
          <w:rFonts w:ascii="Times New Roman"/>
          <w:sz w:val="20"/>
        </w:rPr>
      </w:pPr>
    </w:p>
    <w:p w14:paraId="00CBC8F6" w14:textId="77777777" w:rsidR="00A71EEF" w:rsidRDefault="00A71EEF">
      <w:pPr>
        <w:pStyle w:val="a3"/>
        <w:rPr>
          <w:rFonts w:ascii="Times New Roman"/>
          <w:sz w:val="20"/>
        </w:rPr>
      </w:pPr>
    </w:p>
    <w:p w14:paraId="24E9389F" w14:textId="77777777" w:rsidR="00A71EEF" w:rsidRDefault="00A71EEF">
      <w:pPr>
        <w:pStyle w:val="a3"/>
        <w:rPr>
          <w:rFonts w:ascii="Times New Roman"/>
          <w:sz w:val="20"/>
        </w:rPr>
      </w:pPr>
    </w:p>
    <w:p w14:paraId="222DE888" w14:textId="77777777" w:rsidR="00A71EEF" w:rsidRDefault="00A71EEF">
      <w:pPr>
        <w:pStyle w:val="a3"/>
        <w:rPr>
          <w:rFonts w:ascii="Times New Roman"/>
          <w:sz w:val="20"/>
        </w:rPr>
      </w:pPr>
    </w:p>
    <w:p w14:paraId="563E744C" w14:textId="77777777" w:rsidR="00A71EEF" w:rsidRDefault="00A71EEF">
      <w:pPr>
        <w:pStyle w:val="a3"/>
        <w:rPr>
          <w:rFonts w:ascii="Times New Roman"/>
          <w:sz w:val="20"/>
        </w:rPr>
      </w:pPr>
    </w:p>
    <w:p w14:paraId="3500635C" w14:textId="77777777" w:rsidR="00A71EEF" w:rsidRDefault="00A71EEF">
      <w:pPr>
        <w:pStyle w:val="a3"/>
        <w:rPr>
          <w:rFonts w:ascii="Times New Roman"/>
          <w:sz w:val="20"/>
        </w:rPr>
      </w:pPr>
    </w:p>
    <w:p w14:paraId="6AF09730" w14:textId="77777777" w:rsidR="00A71EEF" w:rsidRDefault="00A71EEF">
      <w:pPr>
        <w:pStyle w:val="a3"/>
        <w:rPr>
          <w:rFonts w:ascii="Times New Roman"/>
          <w:sz w:val="20"/>
        </w:rPr>
      </w:pPr>
    </w:p>
    <w:p w14:paraId="2AE4F351" w14:textId="77777777" w:rsidR="00A71EEF" w:rsidRDefault="00A71EEF">
      <w:pPr>
        <w:pStyle w:val="a3"/>
        <w:rPr>
          <w:rFonts w:ascii="Times New Roman"/>
          <w:sz w:val="20"/>
        </w:rPr>
      </w:pPr>
    </w:p>
    <w:p w14:paraId="2C572D0A" w14:textId="77777777" w:rsidR="00A71EEF" w:rsidRDefault="00A71EEF">
      <w:pPr>
        <w:pStyle w:val="a3"/>
        <w:rPr>
          <w:rFonts w:ascii="Times New Roman"/>
          <w:sz w:val="20"/>
        </w:rPr>
      </w:pPr>
    </w:p>
    <w:p w14:paraId="27679E78" w14:textId="77777777" w:rsidR="00A71EEF" w:rsidRDefault="00A71EEF">
      <w:pPr>
        <w:pStyle w:val="a3"/>
        <w:rPr>
          <w:rFonts w:ascii="Times New Roman"/>
          <w:sz w:val="20"/>
        </w:rPr>
      </w:pPr>
    </w:p>
    <w:p w14:paraId="4D372029" w14:textId="77777777" w:rsidR="00A71EEF" w:rsidRDefault="00A71EEF">
      <w:pPr>
        <w:pStyle w:val="a3"/>
        <w:rPr>
          <w:rFonts w:ascii="Times New Roman"/>
          <w:sz w:val="20"/>
        </w:rPr>
      </w:pPr>
    </w:p>
    <w:p w14:paraId="56D99212" w14:textId="77777777" w:rsidR="00A71EEF" w:rsidRDefault="00A71EEF">
      <w:pPr>
        <w:pStyle w:val="a3"/>
        <w:rPr>
          <w:rFonts w:ascii="Times New Roman"/>
          <w:sz w:val="20"/>
        </w:rPr>
      </w:pPr>
    </w:p>
    <w:p w14:paraId="73C599D2" w14:textId="77777777" w:rsidR="00A71EEF" w:rsidRDefault="00A71EEF">
      <w:pPr>
        <w:pStyle w:val="a3"/>
        <w:rPr>
          <w:rFonts w:ascii="Times New Roman"/>
          <w:sz w:val="20"/>
        </w:rPr>
      </w:pPr>
    </w:p>
    <w:p w14:paraId="7EAB12F5" w14:textId="77777777" w:rsidR="00A71EEF" w:rsidRDefault="00A71EEF">
      <w:pPr>
        <w:pStyle w:val="a3"/>
        <w:rPr>
          <w:rFonts w:ascii="Times New Roman"/>
          <w:sz w:val="20"/>
        </w:rPr>
      </w:pPr>
    </w:p>
    <w:p w14:paraId="04034302" w14:textId="77777777" w:rsidR="00A71EEF" w:rsidRDefault="00A71EEF">
      <w:pPr>
        <w:pStyle w:val="a3"/>
        <w:spacing w:before="11"/>
        <w:rPr>
          <w:rFonts w:ascii="Times New Roman"/>
        </w:rPr>
      </w:pPr>
    </w:p>
    <w:p w14:paraId="69AEADBB" w14:textId="7B33C744" w:rsidR="00A71EEF" w:rsidRDefault="00A71EEF" w:rsidP="00E57D5F">
      <w:pPr>
        <w:spacing w:before="89"/>
        <w:ind w:right="2303"/>
        <w:jc w:val="center"/>
        <w:rPr>
          <w:rFonts w:ascii="Arial" w:hint="eastAsia"/>
          <w:sz w:val="32"/>
        </w:rPr>
        <w:sectPr w:rsidR="00A71EEF">
          <w:footerReference w:type="default" r:id="rId12"/>
          <w:type w:val="continuous"/>
          <w:pgSz w:w="11910" w:h="16850"/>
          <w:pgMar w:top="1600" w:right="0" w:bottom="1180" w:left="1260" w:header="720" w:footer="983" w:gutter="0"/>
          <w:pgNumType w:start="1"/>
          <w:cols w:space="720"/>
        </w:sectPr>
      </w:pPr>
    </w:p>
    <w:p w14:paraId="6D4BD864" w14:textId="77777777" w:rsidR="00A71EEF" w:rsidRDefault="0081115D">
      <w:pPr>
        <w:spacing w:before="14" w:line="531" w:lineRule="exact"/>
        <w:ind w:right="1025"/>
        <w:jc w:val="center"/>
        <w:rPr>
          <w:sz w:val="44"/>
        </w:rPr>
      </w:pPr>
      <w:r>
        <w:rPr>
          <w:sz w:val="44"/>
        </w:rPr>
        <w:lastRenderedPageBreak/>
        <w:t>城市消防、森林消防法律法规标准文件汇编</w:t>
      </w:r>
    </w:p>
    <w:p w14:paraId="11B95F07" w14:textId="77777777" w:rsidR="00A71EEF" w:rsidRDefault="0081115D">
      <w:pPr>
        <w:spacing w:line="531" w:lineRule="exact"/>
        <w:ind w:right="800"/>
        <w:jc w:val="center"/>
        <w:rPr>
          <w:sz w:val="44"/>
        </w:rPr>
      </w:pPr>
      <w:r>
        <w:rPr>
          <w:sz w:val="44"/>
        </w:rPr>
        <w:t>目录</w:t>
      </w:r>
      <w:r>
        <w:rPr>
          <w:sz w:val="44"/>
        </w:rPr>
        <w:t xml:space="preserve"> </w:t>
      </w:r>
    </w:p>
    <w:p w14:paraId="0F7F5C33" w14:textId="77777777" w:rsidR="00A71EEF" w:rsidRDefault="0081115D">
      <w:pPr>
        <w:pStyle w:val="3"/>
        <w:spacing w:before="338"/>
      </w:pPr>
      <w:hyperlink w:anchor="_bookmark0" w:history="1">
        <w:r>
          <w:t>第五部分</w:t>
        </w:r>
        <w:r>
          <w:t xml:space="preserve"> </w:t>
        </w:r>
        <w:r>
          <w:t>相关标准</w:t>
        </w:r>
      </w:hyperlink>
      <w:r>
        <w:rPr>
          <w:w w:val="99"/>
        </w:rPr>
        <w:t xml:space="preserve"> </w:t>
      </w:r>
    </w:p>
    <w:p w14:paraId="2400BD09" w14:textId="77777777" w:rsidR="00A71EEF" w:rsidRDefault="00A71EEF">
      <w:pPr>
        <w:pStyle w:val="a3"/>
        <w:spacing w:before="4"/>
        <w:rPr>
          <w:b/>
          <w:sz w:val="28"/>
        </w:rPr>
      </w:pPr>
    </w:p>
    <w:p w14:paraId="4B60D810" w14:textId="77777777" w:rsidR="00A71EEF" w:rsidRDefault="0081115D">
      <w:pPr>
        <w:pStyle w:val="4"/>
      </w:pPr>
      <w:r>
        <w:t>一、国家标准</w:t>
      </w:r>
      <w:r>
        <w:rPr>
          <w:w w:val="99"/>
        </w:rPr>
        <w:t xml:space="preserve"> </w:t>
      </w:r>
    </w:p>
    <w:p w14:paraId="5D4DB6D3" w14:textId="77777777" w:rsidR="00A71EEF" w:rsidRDefault="00A71EEF">
      <w:pPr>
        <w:pStyle w:val="a3"/>
        <w:spacing w:before="1"/>
        <w:rPr>
          <w:b/>
          <w:sz w:val="19"/>
        </w:rPr>
      </w:pPr>
    </w:p>
    <w:p w14:paraId="096BB4C4" w14:textId="77777777" w:rsidR="00A71EEF" w:rsidRDefault="0081115D">
      <w:pPr>
        <w:spacing w:before="1"/>
        <w:ind w:left="418"/>
        <w:rPr>
          <w:b/>
          <w:sz w:val="24"/>
        </w:rPr>
      </w:pPr>
      <w:r>
        <w:rPr>
          <w:b/>
          <w:sz w:val="24"/>
        </w:rPr>
        <w:t>（一）城市消防国家标准</w:t>
      </w:r>
      <w:r>
        <w:rPr>
          <w:b/>
          <w:w w:val="99"/>
          <w:sz w:val="24"/>
        </w:rPr>
        <w:t xml:space="preserve"> </w:t>
      </w:r>
    </w:p>
    <w:p w14:paraId="04027D34" w14:textId="77777777" w:rsidR="00A71EEF" w:rsidRDefault="0081115D">
      <w:pPr>
        <w:pStyle w:val="5"/>
        <w:tabs>
          <w:tab w:val="left" w:leader="dot" w:pos="8821"/>
        </w:tabs>
        <w:spacing w:before="124"/>
      </w:pPr>
      <w:hyperlink w:anchor="_bookmark1" w:history="1">
        <w:r>
          <w:t>消防水枪</w:t>
        </w:r>
        <w:r>
          <w:rPr>
            <w:spacing w:val="-1"/>
          </w:rPr>
          <w:t xml:space="preserve"> </w:t>
        </w:r>
        <w:r>
          <w:t>GB 8181-2005</w:t>
        </w:r>
        <w:r>
          <w:tab/>
          <w:t>781</w:t>
        </w:r>
      </w:hyperlink>
    </w:p>
    <w:p w14:paraId="6E89D7A1" w14:textId="77777777" w:rsidR="00A71EEF" w:rsidRDefault="0081115D">
      <w:pPr>
        <w:tabs>
          <w:tab w:val="left" w:leader="dot" w:pos="8821"/>
        </w:tabs>
        <w:spacing w:before="180"/>
        <w:ind w:left="418"/>
        <w:rPr>
          <w:sz w:val="24"/>
        </w:rPr>
      </w:pPr>
      <w:hyperlink w:anchor="_bookmark2" w:history="1">
        <w:r>
          <w:rPr>
            <w:sz w:val="24"/>
          </w:rPr>
          <w:t>消防员职业健康标准</w:t>
        </w:r>
        <w:r>
          <w:rPr>
            <w:sz w:val="24"/>
          </w:rPr>
          <w:t xml:space="preserve"> GB Z221-2009</w:t>
        </w:r>
        <w:r>
          <w:rPr>
            <w:sz w:val="24"/>
          </w:rPr>
          <w:tab/>
          <w:t>792</w:t>
        </w:r>
      </w:hyperlink>
    </w:p>
    <w:p w14:paraId="39222DFB" w14:textId="77777777" w:rsidR="00A71EEF" w:rsidRDefault="0081115D">
      <w:pPr>
        <w:tabs>
          <w:tab w:val="left" w:leader="dot" w:pos="8821"/>
        </w:tabs>
        <w:spacing w:before="182"/>
        <w:ind w:left="418"/>
        <w:rPr>
          <w:sz w:val="24"/>
        </w:rPr>
      </w:pPr>
      <w:hyperlink w:anchor="_bookmark3" w:history="1">
        <w:r>
          <w:rPr>
            <w:sz w:val="24"/>
          </w:rPr>
          <w:t>消防员方位灯</w:t>
        </w:r>
        <w:r>
          <w:rPr>
            <w:spacing w:val="-1"/>
            <w:sz w:val="24"/>
          </w:rPr>
          <w:t xml:space="preserve"> </w:t>
        </w:r>
        <w:r>
          <w:rPr>
            <w:sz w:val="24"/>
          </w:rPr>
          <w:t>GB 27899-2011</w:t>
        </w:r>
        <w:r>
          <w:rPr>
            <w:sz w:val="24"/>
          </w:rPr>
          <w:tab/>
          <w:t>824</w:t>
        </w:r>
      </w:hyperlink>
    </w:p>
    <w:p w14:paraId="6F4ABEA3" w14:textId="77777777" w:rsidR="00A71EEF" w:rsidRDefault="0081115D">
      <w:pPr>
        <w:tabs>
          <w:tab w:val="left" w:leader="dot" w:pos="8821"/>
        </w:tabs>
        <w:spacing w:before="180"/>
        <w:ind w:left="418"/>
        <w:rPr>
          <w:sz w:val="24"/>
        </w:rPr>
      </w:pPr>
      <w:hyperlink w:anchor="_bookmark4" w:history="1">
        <w:r>
          <w:rPr>
            <w:sz w:val="24"/>
          </w:rPr>
          <w:t>消防水带</w:t>
        </w:r>
        <w:r>
          <w:rPr>
            <w:spacing w:val="-1"/>
            <w:sz w:val="24"/>
          </w:rPr>
          <w:t xml:space="preserve"> </w:t>
        </w:r>
        <w:r>
          <w:rPr>
            <w:sz w:val="24"/>
          </w:rPr>
          <w:t>GB 6246-2011</w:t>
        </w:r>
        <w:r>
          <w:rPr>
            <w:sz w:val="24"/>
          </w:rPr>
          <w:tab/>
          <w:t>832</w:t>
        </w:r>
      </w:hyperlink>
    </w:p>
    <w:p w14:paraId="218065DB" w14:textId="77777777" w:rsidR="00A71EEF" w:rsidRDefault="0081115D">
      <w:pPr>
        <w:tabs>
          <w:tab w:val="left" w:leader="dot" w:pos="8821"/>
        </w:tabs>
        <w:spacing w:before="180"/>
        <w:ind w:left="418"/>
        <w:rPr>
          <w:sz w:val="24"/>
        </w:rPr>
      </w:pPr>
      <w:hyperlink w:anchor="_bookmark5" w:history="1">
        <w:r>
          <w:rPr>
            <w:sz w:val="24"/>
          </w:rPr>
          <w:t>消防员呼救器</w:t>
        </w:r>
        <w:r>
          <w:rPr>
            <w:spacing w:val="-1"/>
            <w:sz w:val="24"/>
          </w:rPr>
          <w:t xml:space="preserve"> </w:t>
        </w:r>
        <w:r>
          <w:rPr>
            <w:sz w:val="24"/>
          </w:rPr>
          <w:t>GB 27900-2011</w:t>
        </w:r>
        <w:r>
          <w:rPr>
            <w:sz w:val="24"/>
          </w:rPr>
          <w:tab/>
          <w:t>845</w:t>
        </w:r>
      </w:hyperlink>
    </w:p>
    <w:p w14:paraId="55D0591A" w14:textId="77777777" w:rsidR="00A71EEF" w:rsidRDefault="0081115D">
      <w:pPr>
        <w:tabs>
          <w:tab w:val="left" w:leader="dot" w:pos="8821"/>
        </w:tabs>
        <w:spacing w:before="182"/>
        <w:ind w:left="418"/>
        <w:rPr>
          <w:sz w:val="24"/>
        </w:rPr>
      </w:pPr>
      <w:hyperlink w:anchor="_bookmark6" w:history="1">
        <w:r>
          <w:rPr>
            <w:sz w:val="24"/>
          </w:rPr>
          <w:t>消防水泵接合器</w:t>
        </w:r>
        <w:r>
          <w:rPr>
            <w:spacing w:val="-1"/>
            <w:sz w:val="24"/>
          </w:rPr>
          <w:t xml:space="preserve"> </w:t>
        </w:r>
        <w:r>
          <w:rPr>
            <w:sz w:val="24"/>
          </w:rPr>
          <w:t>GB 3446-2013</w:t>
        </w:r>
        <w:r>
          <w:rPr>
            <w:sz w:val="24"/>
          </w:rPr>
          <w:tab/>
          <w:t>857</w:t>
        </w:r>
      </w:hyperlink>
    </w:p>
    <w:p w14:paraId="34F70C6B" w14:textId="77777777" w:rsidR="00A71EEF" w:rsidRDefault="0081115D">
      <w:pPr>
        <w:tabs>
          <w:tab w:val="left" w:leader="dot" w:pos="8821"/>
        </w:tabs>
        <w:spacing w:before="180"/>
        <w:ind w:left="418"/>
        <w:rPr>
          <w:sz w:val="24"/>
        </w:rPr>
      </w:pPr>
      <w:hyperlink w:anchor="_bookmark7" w:history="1">
        <w:r>
          <w:rPr>
            <w:sz w:val="24"/>
          </w:rPr>
          <w:t>消防员照明灯具</w:t>
        </w:r>
        <w:r>
          <w:rPr>
            <w:spacing w:val="-1"/>
            <w:sz w:val="24"/>
          </w:rPr>
          <w:t xml:space="preserve"> </w:t>
        </w:r>
        <w:r>
          <w:rPr>
            <w:sz w:val="24"/>
          </w:rPr>
          <w:t>GB 30734-2014</w:t>
        </w:r>
        <w:r>
          <w:rPr>
            <w:sz w:val="24"/>
          </w:rPr>
          <w:tab/>
          <w:t>865</w:t>
        </w:r>
      </w:hyperlink>
    </w:p>
    <w:p w14:paraId="04A433C6" w14:textId="77777777" w:rsidR="00A71EEF" w:rsidRDefault="0081115D">
      <w:pPr>
        <w:tabs>
          <w:tab w:val="left" w:leader="dot" w:pos="8821"/>
        </w:tabs>
        <w:spacing w:before="180"/>
        <w:ind w:left="418"/>
        <w:rPr>
          <w:sz w:val="24"/>
        </w:rPr>
      </w:pPr>
      <w:hyperlink w:anchor="_bookmark8" w:history="1">
        <w:r>
          <w:rPr>
            <w:sz w:val="24"/>
          </w:rPr>
          <w:t>消防车</w:t>
        </w:r>
        <w:r>
          <w:rPr>
            <w:spacing w:val="-1"/>
            <w:sz w:val="24"/>
          </w:rPr>
          <w:t xml:space="preserve"> </w:t>
        </w:r>
        <w:r>
          <w:rPr>
            <w:sz w:val="24"/>
          </w:rPr>
          <w:t>第</w:t>
        </w:r>
        <w:r>
          <w:rPr>
            <w:spacing w:val="-60"/>
            <w:sz w:val="24"/>
          </w:rPr>
          <w:t xml:space="preserve"> </w:t>
        </w:r>
        <w:r>
          <w:rPr>
            <w:sz w:val="24"/>
          </w:rPr>
          <w:t>1</w:t>
        </w:r>
        <w:r>
          <w:rPr>
            <w:spacing w:val="-60"/>
            <w:sz w:val="24"/>
          </w:rPr>
          <w:t xml:space="preserve"> </w:t>
        </w:r>
        <w:r>
          <w:rPr>
            <w:sz w:val="24"/>
          </w:rPr>
          <w:t>部分：通用技术条件</w:t>
        </w:r>
        <w:r>
          <w:rPr>
            <w:sz w:val="24"/>
          </w:rPr>
          <w:t xml:space="preserve"> GB 7956.1-2014</w:t>
        </w:r>
        <w:r>
          <w:rPr>
            <w:sz w:val="24"/>
          </w:rPr>
          <w:tab/>
          <w:t>876</w:t>
        </w:r>
      </w:hyperlink>
    </w:p>
    <w:p w14:paraId="2A62F0AC" w14:textId="77777777" w:rsidR="00A71EEF" w:rsidRDefault="0081115D">
      <w:pPr>
        <w:tabs>
          <w:tab w:val="left" w:leader="dot" w:pos="8821"/>
        </w:tabs>
        <w:spacing w:before="179"/>
        <w:ind w:left="418"/>
        <w:rPr>
          <w:sz w:val="24"/>
        </w:rPr>
      </w:pPr>
      <w:hyperlink w:anchor="_bookmark9" w:history="1">
        <w:r>
          <w:rPr>
            <w:sz w:val="24"/>
          </w:rPr>
          <w:t>消防车</w:t>
        </w:r>
        <w:r>
          <w:rPr>
            <w:spacing w:val="-1"/>
            <w:sz w:val="24"/>
          </w:rPr>
          <w:t xml:space="preserve"> </w:t>
        </w:r>
        <w:r>
          <w:rPr>
            <w:sz w:val="24"/>
          </w:rPr>
          <w:t>第</w:t>
        </w:r>
        <w:r>
          <w:rPr>
            <w:spacing w:val="-60"/>
            <w:sz w:val="24"/>
          </w:rPr>
          <w:t xml:space="preserve"> </w:t>
        </w:r>
        <w:r>
          <w:rPr>
            <w:sz w:val="24"/>
          </w:rPr>
          <w:t>2</w:t>
        </w:r>
        <w:r>
          <w:rPr>
            <w:spacing w:val="-60"/>
            <w:sz w:val="24"/>
          </w:rPr>
          <w:t xml:space="preserve"> </w:t>
        </w:r>
        <w:r>
          <w:rPr>
            <w:sz w:val="24"/>
          </w:rPr>
          <w:t>部分：水罐消防车</w:t>
        </w:r>
        <w:r>
          <w:rPr>
            <w:sz w:val="24"/>
          </w:rPr>
          <w:t xml:space="preserve"> GB 7956.2-2014</w:t>
        </w:r>
        <w:r>
          <w:rPr>
            <w:sz w:val="24"/>
          </w:rPr>
          <w:tab/>
          <w:t>922</w:t>
        </w:r>
      </w:hyperlink>
    </w:p>
    <w:p w14:paraId="30B7C3BD" w14:textId="77777777" w:rsidR="00A71EEF" w:rsidRDefault="0081115D">
      <w:pPr>
        <w:tabs>
          <w:tab w:val="left" w:leader="dot" w:pos="8821"/>
        </w:tabs>
        <w:spacing w:before="183"/>
        <w:ind w:left="418"/>
        <w:rPr>
          <w:sz w:val="24"/>
        </w:rPr>
      </w:pPr>
      <w:hyperlink w:anchor="_bookmark10" w:history="1">
        <w:r>
          <w:rPr>
            <w:sz w:val="24"/>
          </w:rPr>
          <w:t>消防车</w:t>
        </w:r>
        <w:r>
          <w:rPr>
            <w:spacing w:val="-1"/>
            <w:sz w:val="24"/>
          </w:rPr>
          <w:t xml:space="preserve"> </w:t>
        </w:r>
        <w:r>
          <w:rPr>
            <w:sz w:val="24"/>
          </w:rPr>
          <w:t>第</w:t>
        </w:r>
        <w:r>
          <w:rPr>
            <w:spacing w:val="-60"/>
            <w:sz w:val="24"/>
          </w:rPr>
          <w:t xml:space="preserve"> </w:t>
        </w:r>
        <w:r>
          <w:rPr>
            <w:sz w:val="24"/>
          </w:rPr>
          <w:t>3</w:t>
        </w:r>
        <w:r>
          <w:rPr>
            <w:spacing w:val="-60"/>
            <w:sz w:val="24"/>
          </w:rPr>
          <w:t xml:space="preserve"> </w:t>
        </w:r>
        <w:r>
          <w:rPr>
            <w:sz w:val="24"/>
          </w:rPr>
          <w:t>部分：泡沫消防车</w:t>
        </w:r>
        <w:r>
          <w:rPr>
            <w:sz w:val="24"/>
          </w:rPr>
          <w:t xml:space="preserve"> GB 7956.3-2014</w:t>
        </w:r>
        <w:r>
          <w:rPr>
            <w:sz w:val="24"/>
          </w:rPr>
          <w:tab/>
          <w:t>940</w:t>
        </w:r>
      </w:hyperlink>
    </w:p>
    <w:p w14:paraId="14DCE78E" w14:textId="77777777" w:rsidR="00A71EEF" w:rsidRDefault="0081115D">
      <w:pPr>
        <w:tabs>
          <w:tab w:val="left" w:leader="dot" w:pos="8821"/>
        </w:tabs>
        <w:spacing w:before="179"/>
        <w:ind w:left="418"/>
        <w:rPr>
          <w:sz w:val="24"/>
        </w:rPr>
      </w:pPr>
      <w:hyperlink w:anchor="_bookmark11" w:history="1">
        <w:r>
          <w:rPr>
            <w:sz w:val="24"/>
          </w:rPr>
          <w:t>建筑设计防火规范</w:t>
        </w:r>
        <w:r>
          <w:rPr>
            <w:spacing w:val="-1"/>
            <w:sz w:val="24"/>
          </w:rPr>
          <w:t xml:space="preserve"> </w:t>
        </w:r>
        <w:r>
          <w:rPr>
            <w:sz w:val="24"/>
          </w:rPr>
          <w:t>GB50016-2014</w:t>
        </w:r>
        <w:r>
          <w:rPr>
            <w:sz w:val="24"/>
          </w:rPr>
          <w:tab/>
          <w:t>965</w:t>
        </w:r>
      </w:hyperlink>
    </w:p>
    <w:p w14:paraId="79ABE768" w14:textId="77777777" w:rsidR="00A71EEF" w:rsidRDefault="0081115D">
      <w:pPr>
        <w:tabs>
          <w:tab w:val="left" w:leader="dot" w:pos="8701"/>
        </w:tabs>
        <w:spacing w:before="180"/>
        <w:ind w:left="418"/>
        <w:rPr>
          <w:sz w:val="24"/>
        </w:rPr>
      </w:pPr>
      <w:hyperlink w:anchor="_bookmark12" w:history="1">
        <w:r>
          <w:rPr>
            <w:sz w:val="24"/>
          </w:rPr>
          <w:t>消火栓箱</w:t>
        </w:r>
        <w:r>
          <w:rPr>
            <w:spacing w:val="-1"/>
            <w:sz w:val="24"/>
          </w:rPr>
          <w:t xml:space="preserve"> </w:t>
        </w:r>
        <w:r>
          <w:rPr>
            <w:sz w:val="24"/>
          </w:rPr>
          <w:t>GB/T 14561-2003</w:t>
        </w:r>
        <w:r>
          <w:rPr>
            <w:sz w:val="24"/>
          </w:rPr>
          <w:tab/>
          <w:t>1066</w:t>
        </w:r>
      </w:hyperlink>
    </w:p>
    <w:p w14:paraId="52D98328" w14:textId="77777777" w:rsidR="00A71EEF" w:rsidRDefault="0081115D">
      <w:pPr>
        <w:tabs>
          <w:tab w:val="left" w:leader="dot" w:pos="8701"/>
        </w:tabs>
        <w:spacing w:before="180"/>
        <w:ind w:left="418"/>
        <w:rPr>
          <w:sz w:val="24"/>
        </w:rPr>
      </w:pPr>
      <w:hyperlink w:anchor="_bookmark13" w:history="1">
        <w:r>
          <w:rPr>
            <w:sz w:val="24"/>
          </w:rPr>
          <w:t>建筑灭火器配置设计规范</w:t>
        </w:r>
        <w:r>
          <w:rPr>
            <w:sz w:val="24"/>
          </w:rPr>
          <w:t xml:space="preserve"> GB 50140-2005</w:t>
        </w:r>
        <w:r>
          <w:rPr>
            <w:sz w:val="24"/>
          </w:rPr>
          <w:tab/>
          <w:t>1090</w:t>
        </w:r>
      </w:hyperlink>
    </w:p>
    <w:p w14:paraId="7D897177" w14:textId="77777777" w:rsidR="00A71EEF" w:rsidRDefault="0081115D">
      <w:pPr>
        <w:tabs>
          <w:tab w:val="left" w:leader="dot" w:pos="8701"/>
        </w:tabs>
        <w:spacing w:before="182"/>
        <w:ind w:left="418"/>
        <w:rPr>
          <w:sz w:val="24"/>
        </w:rPr>
      </w:pPr>
      <w:hyperlink w:anchor="_bookmark14" w:history="1">
        <w:r>
          <w:rPr>
            <w:sz w:val="24"/>
          </w:rPr>
          <w:t>气体灭火系统设计规范</w:t>
        </w:r>
        <w:r>
          <w:rPr>
            <w:sz w:val="24"/>
          </w:rPr>
          <w:t xml:space="preserve"> GB 50370-2005</w:t>
        </w:r>
        <w:r>
          <w:rPr>
            <w:sz w:val="24"/>
          </w:rPr>
          <w:tab/>
          <w:t>1111</w:t>
        </w:r>
      </w:hyperlink>
    </w:p>
    <w:p w14:paraId="1CD2DD91" w14:textId="77777777" w:rsidR="00A71EEF" w:rsidRDefault="0081115D">
      <w:pPr>
        <w:tabs>
          <w:tab w:val="left" w:leader="dot" w:pos="8701"/>
        </w:tabs>
        <w:spacing w:before="180"/>
        <w:ind w:left="418"/>
        <w:rPr>
          <w:sz w:val="24"/>
        </w:rPr>
      </w:pPr>
      <w:hyperlink w:anchor="_bookmark15" w:history="1">
        <w:r>
          <w:rPr>
            <w:sz w:val="24"/>
          </w:rPr>
          <w:t>城市消防远程监控系统技术规范</w:t>
        </w:r>
        <w:r>
          <w:rPr>
            <w:sz w:val="24"/>
          </w:rPr>
          <w:t xml:space="preserve"> GB 50440-2007</w:t>
        </w:r>
        <w:r>
          <w:rPr>
            <w:sz w:val="24"/>
          </w:rPr>
          <w:tab/>
          <w:t>1130</w:t>
        </w:r>
      </w:hyperlink>
    </w:p>
    <w:p w14:paraId="608AB68D" w14:textId="77777777" w:rsidR="00A71EEF" w:rsidRDefault="0081115D">
      <w:pPr>
        <w:tabs>
          <w:tab w:val="left" w:leader="dot" w:pos="8701"/>
        </w:tabs>
        <w:spacing w:before="180"/>
        <w:ind w:left="418"/>
        <w:rPr>
          <w:sz w:val="24"/>
        </w:rPr>
      </w:pPr>
      <w:hyperlink w:anchor="_bookmark16" w:history="1">
        <w:r>
          <w:rPr>
            <w:sz w:val="24"/>
          </w:rPr>
          <w:t>防火门</w:t>
        </w:r>
        <w:r>
          <w:rPr>
            <w:spacing w:val="-1"/>
            <w:sz w:val="24"/>
          </w:rPr>
          <w:t xml:space="preserve"> </w:t>
        </w:r>
        <w:r>
          <w:rPr>
            <w:sz w:val="24"/>
          </w:rPr>
          <w:t>GB 12955-2008</w:t>
        </w:r>
        <w:r>
          <w:rPr>
            <w:sz w:val="24"/>
          </w:rPr>
          <w:tab/>
          <w:t>1144</w:t>
        </w:r>
      </w:hyperlink>
    </w:p>
    <w:p w14:paraId="448A25E0" w14:textId="77777777" w:rsidR="00A71EEF" w:rsidRDefault="0081115D">
      <w:pPr>
        <w:tabs>
          <w:tab w:val="left" w:leader="dot" w:pos="8701"/>
        </w:tabs>
        <w:spacing w:before="182"/>
        <w:ind w:left="418"/>
        <w:rPr>
          <w:sz w:val="24"/>
        </w:rPr>
      </w:pPr>
      <w:hyperlink w:anchor="_bookmark17" w:history="1">
        <w:r>
          <w:rPr>
            <w:sz w:val="24"/>
          </w:rPr>
          <w:t>防火窗</w:t>
        </w:r>
        <w:r>
          <w:rPr>
            <w:spacing w:val="-1"/>
            <w:sz w:val="24"/>
          </w:rPr>
          <w:t xml:space="preserve"> </w:t>
        </w:r>
        <w:r>
          <w:rPr>
            <w:sz w:val="24"/>
          </w:rPr>
          <w:t>GB 16809-2008</w:t>
        </w:r>
        <w:r>
          <w:rPr>
            <w:sz w:val="24"/>
          </w:rPr>
          <w:tab/>
          <w:t>1171</w:t>
        </w:r>
      </w:hyperlink>
    </w:p>
    <w:p w14:paraId="02DBD660" w14:textId="77777777" w:rsidR="00A71EEF" w:rsidRDefault="0081115D">
      <w:pPr>
        <w:tabs>
          <w:tab w:val="left" w:leader="dot" w:pos="8701"/>
        </w:tabs>
        <w:spacing w:before="180"/>
        <w:ind w:left="418"/>
        <w:rPr>
          <w:sz w:val="24"/>
        </w:rPr>
      </w:pPr>
      <w:hyperlink w:anchor="_bookmark18" w:history="1">
        <w:r>
          <w:rPr>
            <w:sz w:val="24"/>
          </w:rPr>
          <w:t>防火封堵材料</w:t>
        </w:r>
        <w:r>
          <w:rPr>
            <w:spacing w:val="-1"/>
            <w:sz w:val="24"/>
          </w:rPr>
          <w:t xml:space="preserve"> </w:t>
        </w:r>
        <w:r>
          <w:rPr>
            <w:sz w:val="24"/>
          </w:rPr>
          <w:t>GB 23864-2009</w:t>
        </w:r>
        <w:r>
          <w:rPr>
            <w:sz w:val="24"/>
          </w:rPr>
          <w:tab/>
          <w:t>1186</w:t>
        </w:r>
      </w:hyperlink>
    </w:p>
    <w:p w14:paraId="46BBC5BD" w14:textId="77777777" w:rsidR="00A71EEF" w:rsidRDefault="0081115D">
      <w:pPr>
        <w:tabs>
          <w:tab w:val="left" w:leader="dot" w:pos="8701"/>
        </w:tabs>
        <w:spacing w:before="179"/>
        <w:ind w:left="418"/>
        <w:rPr>
          <w:sz w:val="24"/>
        </w:rPr>
      </w:pPr>
      <w:hyperlink w:anchor="_bookmark19" w:history="1">
        <w:r>
          <w:rPr>
            <w:sz w:val="24"/>
          </w:rPr>
          <w:t>建筑消防设施的维护管理</w:t>
        </w:r>
        <w:r>
          <w:rPr>
            <w:sz w:val="24"/>
          </w:rPr>
          <w:t xml:space="preserve"> GB 25201-2010</w:t>
        </w:r>
        <w:r>
          <w:rPr>
            <w:sz w:val="24"/>
          </w:rPr>
          <w:tab/>
          <w:t>1204</w:t>
        </w:r>
      </w:hyperlink>
    </w:p>
    <w:p w14:paraId="2C9DCB97" w14:textId="77777777" w:rsidR="00A71EEF" w:rsidRDefault="0081115D">
      <w:pPr>
        <w:tabs>
          <w:tab w:val="left" w:leader="dot" w:pos="8701"/>
        </w:tabs>
        <w:spacing w:before="180"/>
        <w:ind w:left="418"/>
        <w:rPr>
          <w:sz w:val="24"/>
        </w:rPr>
      </w:pPr>
      <w:hyperlink w:anchor="_bookmark20" w:history="1">
        <w:r>
          <w:rPr>
            <w:sz w:val="24"/>
          </w:rPr>
          <w:t>农村防火规范</w:t>
        </w:r>
        <w:r>
          <w:rPr>
            <w:spacing w:val="-1"/>
            <w:sz w:val="24"/>
          </w:rPr>
          <w:t xml:space="preserve"> </w:t>
        </w:r>
        <w:r>
          <w:rPr>
            <w:sz w:val="24"/>
          </w:rPr>
          <w:t>GB 50039-2010</w:t>
        </w:r>
        <w:r>
          <w:rPr>
            <w:sz w:val="24"/>
          </w:rPr>
          <w:tab/>
          <w:t>1211</w:t>
        </w:r>
      </w:hyperlink>
    </w:p>
    <w:p w14:paraId="3C9827DD" w14:textId="77777777" w:rsidR="00A71EEF" w:rsidRDefault="0081115D">
      <w:pPr>
        <w:tabs>
          <w:tab w:val="left" w:leader="dot" w:pos="8701"/>
        </w:tabs>
        <w:spacing w:before="182"/>
        <w:ind w:left="418"/>
        <w:rPr>
          <w:sz w:val="24"/>
        </w:rPr>
      </w:pPr>
      <w:hyperlink w:anchor="_bookmark21" w:history="1">
        <w:r>
          <w:rPr>
            <w:sz w:val="24"/>
          </w:rPr>
          <w:t>消防监督技术装备配备</w:t>
        </w:r>
        <w:r>
          <w:rPr>
            <w:sz w:val="24"/>
          </w:rPr>
          <w:t xml:space="preserve"> </w:t>
        </w:r>
        <w:r>
          <w:rPr>
            <w:sz w:val="24"/>
          </w:rPr>
          <w:t>GB/T 25203-2010</w:t>
        </w:r>
        <w:r>
          <w:rPr>
            <w:sz w:val="24"/>
          </w:rPr>
          <w:tab/>
          <w:t>1221</w:t>
        </w:r>
      </w:hyperlink>
    </w:p>
    <w:p w14:paraId="343E121E" w14:textId="77777777" w:rsidR="00A71EEF" w:rsidRDefault="0081115D">
      <w:pPr>
        <w:tabs>
          <w:tab w:val="left" w:leader="dot" w:pos="8701"/>
        </w:tabs>
        <w:spacing w:before="180"/>
        <w:ind w:left="418"/>
        <w:rPr>
          <w:sz w:val="24"/>
        </w:rPr>
      </w:pPr>
      <w:hyperlink w:anchor="_bookmark22" w:history="1">
        <w:r>
          <w:rPr>
            <w:sz w:val="24"/>
          </w:rPr>
          <w:t>建筑工程设计施工现场消防安全技术规范</w:t>
        </w:r>
        <w:r>
          <w:rPr>
            <w:sz w:val="24"/>
          </w:rPr>
          <w:t xml:space="preserve"> GB 50720-2011</w:t>
        </w:r>
        <w:r>
          <w:rPr>
            <w:sz w:val="24"/>
          </w:rPr>
          <w:tab/>
          <w:t>1234</w:t>
        </w:r>
      </w:hyperlink>
    </w:p>
    <w:p w14:paraId="4C49D1A7" w14:textId="77777777" w:rsidR="00A71EEF" w:rsidRDefault="0081115D">
      <w:pPr>
        <w:tabs>
          <w:tab w:val="left" w:leader="dot" w:pos="8701"/>
        </w:tabs>
        <w:spacing w:before="180"/>
        <w:ind w:left="418"/>
        <w:rPr>
          <w:sz w:val="24"/>
        </w:rPr>
      </w:pPr>
      <w:hyperlink w:anchor="_bookmark23" w:history="1">
        <w:r>
          <w:rPr>
            <w:sz w:val="24"/>
          </w:rPr>
          <w:t>消防用开门器</w:t>
        </w:r>
        <w:r>
          <w:rPr>
            <w:spacing w:val="-1"/>
            <w:sz w:val="24"/>
          </w:rPr>
          <w:t xml:space="preserve"> </w:t>
        </w:r>
        <w:r>
          <w:rPr>
            <w:sz w:val="24"/>
          </w:rPr>
          <w:t>GB 28735-2012</w:t>
        </w:r>
        <w:r>
          <w:rPr>
            <w:sz w:val="24"/>
          </w:rPr>
          <w:tab/>
          <w:t>1249</w:t>
        </w:r>
      </w:hyperlink>
    </w:p>
    <w:p w14:paraId="46FCDBD1" w14:textId="77777777" w:rsidR="00A71EEF" w:rsidRDefault="00A71EEF">
      <w:pPr>
        <w:rPr>
          <w:sz w:val="24"/>
        </w:rPr>
        <w:sectPr w:rsidR="00A71EEF">
          <w:pgSz w:w="11910" w:h="16850"/>
          <w:pgMar w:top="1160" w:right="0" w:bottom="1180" w:left="1260" w:header="0" w:footer="983" w:gutter="0"/>
          <w:cols w:space="720"/>
        </w:sectPr>
      </w:pPr>
    </w:p>
    <w:p w14:paraId="6D89CD32" w14:textId="77777777" w:rsidR="00A71EEF" w:rsidRDefault="0081115D">
      <w:pPr>
        <w:tabs>
          <w:tab w:val="left" w:leader="dot" w:pos="8701"/>
        </w:tabs>
        <w:spacing w:before="41"/>
        <w:ind w:left="418"/>
        <w:rPr>
          <w:sz w:val="24"/>
        </w:rPr>
      </w:pPr>
      <w:hyperlink w:anchor="_bookmark24" w:history="1">
        <w:r>
          <w:rPr>
            <w:sz w:val="24"/>
          </w:rPr>
          <w:t>防火门监控器</w:t>
        </w:r>
        <w:r>
          <w:rPr>
            <w:spacing w:val="-1"/>
            <w:sz w:val="24"/>
          </w:rPr>
          <w:t xml:space="preserve"> </w:t>
        </w:r>
        <w:r>
          <w:rPr>
            <w:sz w:val="24"/>
          </w:rPr>
          <w:t>GB 29364—2012</w:t>
        </w:r>
        <w:r>
          <w:rPr>
            <w:sz w:val="24"/>
          </w:rPr>
          <w:tab/>
          <w:t>1256</w:t>
        </w:r>
      </w:hyperlink>
    </w:p>
    <w:p w14:paraId="5A91E30F" w14:textId="77777777" w:rsidR="00A71EEF" w:rsidRDefault="0081115D">
      <w:pPr>
        <w:tabs>
          <w:tab w:val="left" w:leader="dot" w:pos="8701"/>
        </w:tabs>
        <w:spacing w:before="183"/>
        <w:ind w:left="418"/>
        <w:rPr>
          <w:sz w:val="24"/>
        </w:rPr>
      </w:pPr>
      <w:hyperlink w:anchor="_bookmark25" w:history="1">
        <w:r>
          <w:rPr>
            <w:sz w:val="24"/>
          </w:rPr>
          <w:t>火灾自动报警系统设计规范</w:t>
        </w:r>
        <w:r>
          <w:rPr>
            <w:sz w:val="24"/>
          </w:rPr>
          <w:t xml:space="preserve"> GB 50116-2013</w:t>
        </w:r>
        <w:r>
          <w:rPr>
            <w:sz w:val="24"/>
          </w:rPr>
          <w:tab/>
          <w:t>1270</w:t>
        </w:r>
      </w:hyperlink>
    </w:p>
    <w:p w14:paraId="29C0A5DF" w14:textId="77777777" w:rsidR="00A71EEF" w:rsidRDefault="0081115D">
      <w:pPr>
        <w:tabs>
          <w:tab w:val="left" w:leader="dot" w:pos="8701"/>
        </w:tabs>
        <w:spacing w:before="180"/>
        <w:ind w:left="418"/>
        <w:rPr>
          <w:sz w:val="24"/>
        </w:rPr>
      </w:pPr>
      <w:hyperlink w:anchor="_bookmark26" w:history="1">
        <w:r>
          <w:rPr>
            <w:sz w:val="24"/>
          </w:rPr>
          <w:t>消防给水及消火栓系统技术规范</w:t>
        </w:r>
        <w:r>
          <w:rPr>
            <w:sz w:val="24"/>
          </w:rPr>
          <w:t xml:space="preserve"> GB 50974-2014</w:t>
        </w:r>
        <w:r>
          <w:rPr>
            <w:sz w:val="24"/>
          </w:rPr>
          <w:tab/>
          <w:t>1303</w:t>
        </w:r>
      </w:hyperlink>
    </w:p>
    <w:p w14:paraId="5EA8134F" w14:textId="77777777" w:rsidR="00A71EEF" w:rsidRDefault="0081115D">
      <w:pPr>
        <w:tabs>
          <w:tab w:val="left" w:leader="dot" w:pos="8701"/>
        </w:tabs>
        <w:spacing w:before="179"/>
        <w:ind w:left="418"/>
        <w:rPr>
          <w:sz w:val="24"/>
        </w:rPr>
      </w:pPr>
      <w:hyperlink w:anchor="_bookmark27" w:history="1">
        <w:r>
          <w:rPr>
            <w:sz w:val="24"/>
          </w:rPr>
          <w:t>汽车库、修车库、停车场设计防火规范</w:t>
        </w:r>
        <w:r>
          <w:rPr>
            <w:sz w:val="24"/>
          </w:rPr>
          <w:t xml:space="preserve"> GB 50067-2014</w:t>
        </w:r>
        <w:r>
          <w:rPr>
            <w:sz w:val="24"/>
          </w:rPr>
          <w:tab/>
          <w:t>1395</w:t>
        </w:r>
      </w:hyperlink>
    </w:p>
    <w:p w14:paraId="70F9997C" w14:textId="77777777" w:rsidR="00A71EEF" w:rsidRDefault="0081115D">
      <w:pPr>
        <w:tabs>
          <w:tab w:val="left" w:leader="dot" w:pos="8701"/>
        </w:tabs>
        <w:spacing w:before="182"/>
        <w:ind w:left="418"/>
        <w:rPr>
          <w:sz w:val="24"/>
        </w:rPr>
      </w:pPr>
      <w:hyperlink w:anchor="_bookmark28" w:history="1">
        <w:r>
          <w:rPr>
            <w:sz w:val="24"/>
          </w:rPr>
          <w:t>城市消防站设计规范</w:t>
        </w:r>
        <w:r>
          <w:rPr>
            <w:sz w:val="24"/>
          </w:rPr>
          <w:t xml:space="preserve"> GB 51054-2014</w:t>
        </w:r>
        <w:r>
          <w:rPr>
            <w:sz w:val="24"/>
          </w:rPr>
          <w:tab/>
          <w:t>1415</w:t>
        </w:r>
      </w:hyperlink>
    </w:p>
    <w:p w14:paraId="32821771" w14:textId="77777777" w:rsidR="00A71EEF" w:rsidRDefault="0081115D">
      <w:pPr>
        <w:tabs>
          <w:tab w:val="left" w:leader="dot" w:pos="8701"/>
        </w:tabs>
        <w:spacing w:before="180"/>
        <w:ind w:left="418"/>
        <w:rPr>
          <w:sz w:val="24"/>
        </w:rPr>
      </w:pPr>
      <w:hyperlink w:anchor="_bookmark29" w:history="1">
        <w:r>
          <w:rPr>
            <w:sz w:val="24"/>
          </w:rPr>
          <w:t>综合医院建筑设计规范</w:t>
        </w:r>
        <w:r>
          <w:rPr>
            <w:spacing w:val="-1"/>
            <w:sz w:val="24"/>
          </w:rPr>
          <w:t xml:space="preserve"> </w:t>
        </w:r>
        <w:r>
          <w:rPr>
            <w:sz w:val="24"/>
          </w:rPr>
          <w:t>GB 51039-2014</w:t>
        </w:r>
        <w:r>
          <w:rPr>
            <w:sz w:val="24"/>
          </w:rPr>
          <w:tab/>
          <w:t>1436</w:t>
        </w:r>
      </w:hyperlink>
    </w:p>
    <w:p w14:paraId="43CA2B62" w14:textId="77777777" w:rsidR="00A71EEF" w:rsidRDefault="0081115D">
      <w:pPr>
        <w:tabs>
          <w:tab w:val="left" w:leader="dot" w:pos="8701"/>
        </w:tabs>
        <w:spacing w:before="180"/>
        <w:ind w:left="418"/>
        <w:rPr>
          <w:sz w:val="24"/>
        </w:rPr>
      </w:pPr>
      <w:hyperlink w:anchor="_bookmark30" w:history="1">
        <w:r>
          <w:rPr>
            <w:sz w:val="24"/>
          </w:rPr>
          <w:t>防火卷帘、防火门、防火窗施工及验收规范</w:t>
        </w:r>
        <w:r>
          <w:rPr>
            <w:sz w:val="24"/>
          </w:rPr>
          <w:t xml:space="preserve"> GB 50877-2014</w:t>
        </w:r>
        <w:r>
          <w:rPr>
            <w:sz w:val="24"/>
          </w:rPr>
          <w:tab/>
          <w:t>1484</w:t>
        </w:r>
      </w:hyperlink>
    </w:p>
    <w:p w14:paraId="3DEF2691" w14:textId="77777777" w:rsidR="00A71EEF" w:rsidRDefault="0081115D">
      <w:pPr>
        <w:tabs>
          <w:tab w:val="left" w:leader="dot" w:pos="8701"/>
        </w:tabs>
        <w:spacing w:before="180"/>
        <w:ind w:left="418"/>
        <w:rPr>
          <w:sz w:val="24"/>
        </w:rPr>
      </w:pPr>
      <w:hyperlink w:anchor="_bookmark31" w:history="1">
        <w:r>
          <w:rPr>
            <w:sz w:val="24"/>
          </w:rPr>
          <w:t>城市消防规划规范</w:t>
        </w:r>
        <w:r>
          <w:rPr>
            <w:spacing w:val="-1"/>
            <w:sz w:val="24"/>
          </w:rPr>
          <w:t xml:space="preserve"> </w:t>
        </w:r>
        <w:r>
          <w:rPr>
            <w:sz w:val="24"/>
          </w:rPr>
          <w:t>GB 51080-2015</w:t>
        </w:r>
        <w:r>
          <w:rPr>
            <w:sz w:val="24"/>
          </w:rPr>
          <w:tab/>
          <w:t>1513</w:t>
        </w:r>
      </w:hyperlink>
    </w:p>
    <w:p w14:paraId="1AA76BF5" w14:textId="77777777" w:rsidR="00A71EEF" w:rsidRDefault="0081115D">
      <w:pPr>
        <w:tabs>
          <w:tab w:val="left" w:leader="dot" w:pos="8701"/>
        </w:tabs>
        <w:spacing w:before="182"/>
        <w:ind w:left="418"/>
        <w:rPr>
          <w:sz w:val="24"/>
        </w:rPr>
      </w:pPr>
      <w:hyperlink w:anchor="_bookmark32" w:history="1">
        <w:r>
          <w:rPr>
            <w:sz w:val="24"/>
          </w:rPr>
          <w:t>建筑防烟排烟</w:t>
        </w:r>
        <w:r>
          <w:rPr>
            <w:sz w:val="24"/>
          </w:rPr>
          <w:t>系统技术标准</w:t>
        </w:r>
        <w:r>
          <w:rPr>
            <w:spacing w:val="-1"/>
            <w:sz w:val="24"/>
          </w:rPr>
          <w:t xml:space="preserve"> </w:t>
        </w:r>
        <w:r>
          <w:rPr>
            <w:sz w:val="24"/>
          </w:rPr>
          <w:t>GB 51251-2017</w:t>
        </w:r>
        <w:r>
          <w:rPr>
            <w:sz w:val="24"/>
          </w:rPr>
          <w:tab/>
          <w:t>1521</w:t>
        </w:r>
      </w:hyperlink>
    </w:p>
    <w:p w14:paraId="23E56355" w14:textId="77777777" w:rsidR="00A71EEF" w:rsidRDefault="0081115D">
      <w:pPr>
        <w:tabs>
          <w:tab w:val="left" w:leader="dot" w:pos="8701"/>
        </w:tabs>
        <w:spacing w:before="180"/>
        <w:ind w:left="418"/>
        <w:rPr>
          <w:sz w:val="24"/>
        </w:rPr>
      </w:pPr>
      <w:hyperlink w:anchor="_bookmark33" w:history="1">
        <w:r>
          <w:rPr>
            <w:sz w:val="24"/>
          </w:rPr>
          <w:t>建筑内部装修设计防火规范</w:t>
        </w:r>
        <w:r>
          <w:rPr>
            <w:sz w:val="24"/>
          </w:rPr>
          <w:t xml:space="preserve"> GB 50222-2017</w:t>
        </w:r>
        <w:r>
          <w:rPr>
            <w:sz w:val="24"/>
          </w:rPr>
          <w:tab/>
          <w:t>1561</w:t>
        </w:r>
      </w:hyperlink>
    </w:p>
    <w:p w14:paraId="322078BD" w14:textId="77777777" w:rsidR="00A71EEF" w:rsidRDefault="0081115D">
      <w:pPr>
        <w:tabs>
          <w:tab w:val="left" w:leader="dot" w:pos="8701"/>
        </w:tabs>
        <w:spacing w:before="180"/>
        <w:ind w:left="418"/>
        <w:rPr>
          <w:sz w:val="24"/>
        </w:rPr>
      </w:pPr>
      <w:hyperlink w:anchor="_bookmark34" w:history="1">
        <w:r>
          <w:rPr>
            <w:sz w:val="24"/>
          </w:rPr>
          <w:t>自动喷水灭火系统设计规范</w:t>
        </w:r>
        <w:r>
          <w:rPr>
            <w:sz w:val="24"/>
          </w:rPr>
          <w:t xml:space="preserve"> GB 50084-2017</w:t>
        </w:r>
        <w:r>
          <w:rPr>
            <w:sz w:val="24"/>
          </w:rPr>
          <w:tab/>
          <w:t>1572</w:t>
        </w:r>
      </w:hyperlink>
    </w:p>
    <w:p w14:paraId="22C4C1BB" w14:textId="77777777" w:rsidR="00A71EEF" w:rsidRDefault="0081115D">
      <w:pPr>
        <w:tabs>
          <w:tab w:val="left" w:leader="dot" w:pos="8701"/>
        </w:tabs>
        <w:spacing w:before="182"/>
        <w:ind w:left="418"/>
        <w:rPr>
          <w:sz w:val="24"/>
        </w:rPr>
      </w:pPr>
      <w:hyperlink w:anchor="_bookmark35" w:history="1">
        <w:r>
          <w:rPr>
            <w:sz w:val="24"/>
          </w:rPr>
          <w:t>地铁设计防火标准</w:t>
        </w:r>
        <w:r>
          <w:rPr>
            <w:spacing w:val="-1"/>
            <w:sz w:val="24"/>
          </w:rPr>
          <w:t xml:space="preserve"> </w:t>
        </w:r>
        <w:r>
          <w:rPr>
            <w:sz w:val="24"/>
          </w:rPr>
          <w:t>GB 51298 -2018</w:t>
        </w:r>
        <w:r>
          <w:rPr>
            <w:sz w:val="24"/>
          </w:rPr>
          <w:tab/>
          <w:t>1608</w:t>
        </w:r>
      </w:hyperlink>
    </w:p>
    <w:p w14:paraId="7148D8F4" w14:textId="77777777" w:rsidR="00A71EEF" w:rsidRDefault="0081115D">
      <w:pPr>
        <w:tabs>
          <w:tab w:val="left" w:leader="dot" w:pos="8701"/>
        </w:tabs>
        <w:spacing w:before="179"/>
        <w:ind w:left="418"/>
        <w:rPr>
          <w:sz w:val="24"/>
        </w:rPr>
      </w:pPr>
      <w:hyperlink w:anchor="_bookmark36" w:history="1">
        <w:r>
          <w:rPr>
            <w:sz w:val="24"/>
          </w:rPr>
          <w:t>消防通信指挥系统设计规范</w:t>
        </w:r>
        <w:r>
          <w:rPr>
            <w:spacing w:val="-1"/>
            <w:sz w:val="24"/>
          </w:rPr>
          <w:t xml:space="preserve"> </w:t>
        </w:r>
        <w:r>
          <w:rPr>
            <w:sz w:val="24"/>
          </w:rPr>
          <w:t>GB50313-2013</w:t>
        </w:r>
        <w:r>
          <w:rPr>
            <w:sz w:val="24"/>
          </w:rPr>
          <w:tab/>
          <w:t>1637</w:t>
        </w:r>
      </w:hyperlink>
    </w:p>
    <w:p w14:paraId="12B8076C" w14:textId="77777777" w:rsidR="00A71EEF" w:rsidRDefault="00A71EEF">
      <w:pPr>
        <w:pStyle w:val="a3"/>
        <w:spacing w:before="1"/>
        <w:rPr>
          <w:sz w:val="31"/>
        </w:rPr>
      </w:pPr>
    </w:p>
    <w:p w14:paraId="39017A99" w14:textId="77777777" w:rsidR="00A71EEF" w:rsidRDefault="0081115D">
      <w:pPr>
        <w:spacing w:before="1"/>
        <w:ind w:left="418"/>
        <w:rPr>
          <w:b/>
          <w:sz w:val="24"/>
        </w:rPr>
      </w:pPr>
      <w:r>
        <w:rPr>
          <w:b/>
          <w:sz w:val="24"/>
        </w:rPr>
        <w:t>（二）森林消防国家标准</w:t>
      </w:r>
      <w:r>
        <w:rPr>
          <w:b/>
          <w:w w:val="99"/>
          <w:sz w:val="24"/>
        </w:rPr>
        <w:t xml:space="preserve"> </w:t>
      </w:r>
    </w:p>
    <w:p w14:paraId="08C91A8C" w14:textId="77777777" w:rsidR="00A71EEF" w:rsidRDefault="00A71EEF">
      <w:pPr>
        <w:pStyle w:val="a3"/>
        <w:rPr>
          <w:b/>
          <w:sz w:val="19"/>
        </w:rPr>
      </w:pPr>
    </w:p>
    <w:p w14:paraId="260C33F8" w14:textId="77777777" w:rsidR="00A71EEF" w:rsidRDefault="0081115D">
      <w:pPr>
        <w:tabs>
          <w:tab w:val="left" w:leader="dot" w:pos="8701"/>
        </w:tabs>
        <w:spacing w:before="1"/>
        <w:ind w:left="418"/>
        <w:rPr>
          <w:sz w:val="24"/>
        </w:rPr>
      </w:pPr>
      <w:hyperlink w:anchor="_bookmark37" w:history="1">
        <w:r>
          <w:rPr>
            <w:sz w:val="24"/>
          </w:rPr>
          <w:t>便携式风力灭火机</w:t>
        </w:r>
        <w:r>
          <w:rPr>
            <w:spacing w:val="-1"/>
            <w:sz w:val="24"/>
          </w:rPr>
          <w:t xml:space="preserve"> </w:t>
        </w:r>
        <w:r>
          <w:rPr>
            <w:sz w:val="24"/>
          </w:rPr>
          <w:t>通用技术条件</w:t>
        </w:r>
        <w:r>
          <w:rPr>
            <w:sz w:val="24"/>
          </w:rPr>
          <w:t xml:space="preserve"> GB 10280-1988</w:t>
        </w:r>
        <w:r>
          <w:rPr>
            <w:sz w:val="24"/>
          </w:rPr>
          <w:tab/>
          <w:t>1673</w:t>
        </w:r>
      </w:hyperlink>
    </w:p>
    <w:p w14:paraId="3D327308" w14:textId="77777777" w:rsidR="00A71EEF" w:rsidRDefault="0081115D">
      <w:pPr>
        <w:tabs>
          <w:tab w:val="left" w:leader="dot" w:pos="8701"/>
        </w:tabs>
        <w:spacing w:before="179"/>
        <w:ind w:left="418"/>
        <w:rPr>
          <w:sz w:val="24"/>
        </w:rPr>
      </w:pPr>
      <w:hyperlink w:anchor="_bookmark38" w:history="1">
        <w:r>
          <w:rPr>
            <w:sz w:val="24"/>
          </w:rPr>
          <w:t>便携式风力灭火机</w:t>
        </w:r>
        <w:r>
          <w:rPr>
            <w:spacing w:val="-1"/>
            <w:sz w:val="24"/>
          </w:rPr>
          <w:t xml:space="preserve"> </w:t>
        </w:r>
        <w:r>
          <w:rPr>
            <w:sz w:val="24"/>
          </w:rPr>
          <w:t>台架试验方法</w:t>
        </w:r>
        <w:r>
          <w:rPr>
            <w:sz w:val="24"/>
          </w:rPr>
          <w:t xml:space="preserve"> GB/T 10281-1999</w:t>
        </w:r>
        <w:r>
          <w:rPr>
            <w:sz w:val="24"/>
          </w:rPr>
          <w:tab/>
          <w:t>1677</w:t>
        </w:r>
      </w:hyperlink>
    </w:p>
    <w:p w14:paraId="5373CDC0" w14:textId="77777777" w:rsidR="00A71EEF" w:rsidRDefault="0081115D">
      <w:pPr>
        <w:tabs>
          <w:tab w:val="left" w:leader="dot" w:pos="8701"/>
        </w:tabs>
        <w:spacing w:before="182"/>
        <w:ind w:left="418"/>
        <w:rPr>
          <w:sz w:val="24"/>
        </w:rPr>
      </w:pPr>
      <w:hyperlink w:anchor="_bookmark39" w:history="1">
        <w:r>
          <w:rPr>
            <w:sz w:val="24"/>
          </w:rPr>
          <w:t>便携式风力灭火机手感振动的测定</w:t>
        </w:r>
        <w:r>
          <w:rPr>
            <w:sz w:val="24"/>
          </w:rPr>
          <w:t xml:space="preserve"> GB/T 10283-1999</w:t>
        </w:r>
        <w:r>
          <w:rPr>
            <w:sz w:val="24"/>
          </w:rPr>
          <w:tab/>
          <w:t>1687</w:t>
        </w:r>
      </w:hyperlink>
    </w:p>
    <w:p w14:paraId="1CA92268" w14:textId="77777777" w:rsidR="00A71EEF" w:rsidRDefault="0081115D">
      <w:pPr>
        <w:tabs>
          <w:tab w:val="left" w:leader="dot" w:pos="8701"/>
        </w:tabs>
        <w:spacing w:before="180"/>
        <w:ind w:left="418"/>
        <w:rPr>
          <w:sz w:val="24"/>
        </w:rPr>
      </w:pPr>
      <w:hyperlink w:anchor="_bookmark40" w:history="1">
        <w:r>
          <w:rPr>
            <w:sz w:val="24"/>
          </w:rPr>
          <w:t>森林火险气象预警</w:t>
        </w:r>
        <w:r>
          <w:rPr>
            <w:spacing w:val="-1"/>
            <w:sz w:val="24"/>
          </w:rPr>
          <w:t xml:space="preserve"> </w:t>
        </w:r>
        <w:r>
          <w:rPr>
            <w:sz w:val="24"/>
          </w:rPr>
          <w:t>GB/T 31164-2014</w:t>
        </w:r>
        <w:r>
          <w:rPr>
            <w:sz w:val="24"/>
          </w:rPr>
          <w:tab/>
          <w:t>1696</w:t>
        </w:r>
      </w:hyperlink>
    </w:p>
    <w:p w14:paraId="1F99B997" w14:textId="77777777" w:rsidR="00A71EEF" w:rsidRDefault="0081115D">
      <w:pPr>
        <w:tabs>
          <w:tab w:val="left" w:leader="dot" w:pos="8701"/>
        </w:tabs>
        <w:spacing w:before="180"/>
        <w:ind w:left="418"/>
        <w:rPr>
          <w:sz w:val="24"/>
        </w:rPr>
      </w:pPr>
      <w:hyperlink w:anchor="_bookmark41" w:history="1">
        <w:r>
          <w:rPr>
            <w:sz w:val="24"/>
          </w:rPr>
          <w:t>防护服装</w:t>
        </w:r>
        <w:r>
          <w:rPr>
            <w:spacing w:val="119"/>
            <w:sz w:val="24"/>
          </w:rPr>
          <w:t xml:space="preserve"> </w:t>
        </w:r>
        <w:r>
          <w:rPr>
            <w:sz w:val="24"/>
          </w:rPr>
          <w:t>森林防火服</w:t>
        </w:r>
        <w:r>
          <w:rPr>
            <w:sz w:val="24"/>
          </w:rPr>
          <w:t xml:space="preserve"> GB/T 33536-2017</w:t>
        </w:r>
        <w:r>
          <w:rPr>
            <w:sz w:val="24"/>
          </w:rPr>
          <w:tab/>
          <w:t>1698</w:t>
        </w:r>
      </w:hyperlink>
    </w:p>
    <w:p w14:paraId="6771861B" w14:textId="77777777" w:rsidR="00A71EEF" w:rsidRDefault="0081115D">
      <w:pPr>
        <w:spacing w:before="119" w:line="531" w:lineRule="exact"/>
        <w:ind w:right="798"/>
        <w:jc w:val="center"/>
        <w:rPr>
          <w:sz w:val="44"/>
        </w:rPr>
      </w:pPr>
      <w:r>
        <w:rPr>
          <w:w w:val="99"/>
          <w:sz w:val="44"/>
        </w:rPr>
        <w:t xml:space="preserve"> </w:t>
      </w:r>
    </w:p>
    <w:p w14:paraId="0932B91E" w14:textId="77777777" w:rsidR="00A71EEF" w:rsidRDefault="0081115D">
      <w:pPr>
        <w:spacing w:line="529" w:lineRule="exact"/>
        <w:ind w:right="798"/>
        <w:jc w:val="center"/>
        <w:rPr>
          <w:sz w:val="44"/>
        </w:rPr>
      </w:pPr>
      <w:r>
        <w:rPr>
          <w:w w:val="99"/>
          <w:sz w:val="44"/>
        </w:rPr>
        <w:t xml:space="preserve"> </w:t>
      </w:r>
    </w:p>
    <w:p w14:paraId="79F4584F" w14:textId="77777777" w:rsidR="00A71EEF" w:rsidRDefault="0081115D">
      <w:pPr>
        <w:spacing w:line="471" w:lineRule="exact"/>
        <w:ind w:left="418"/>
        <w:rPr>
          <w:sz w:val="44"/>
        </w:rPr>
      </w:pPr>
      <w:r>
        <w:rPr>
          <w:w w:val="99"/>
          <w:sz w:val="44"/>
        </w:rPr>
        <w:t xml:space="preserve"> </w:t>
      </w:r>
    </w:p>
    <w:p w14:paraId="2DECD98B" w14:textId="77777777" w:rsidR="00A71EEF" w:rsidRDefault="0081115D">
      <w:pPr>
        <w:spacing w:line="500" w:lineRule="exact"/>
        <w:ind w:left="418"/>
        <w:rPr>
          <w:sz w:val="44"/>
        </w:rPr>
      </w:pPr>
      <w:r>
        <w:rPr>
          <w:w w:val="99"/>
          <w:sz w:val="44"/>
        </w:rPr>
        <w:t xml:space="preserve"> </w:t>
      </w:r>
    </w:p>
    <w:p w14:paraId="7262734C" w14:textId="77777777" w:rsidR="00A71EEF" w:rsidRDefault="0081115D">
      <w:pPr>
        <w:spacing w:line="499" w:lineRule="exact"/>
        <w:ind w:left="418"/>
        <w:rPr>
          <w:sz w:val="44"/>
        </w:rPr>
      </w:pPr>
      <w:r>
        <w:rPr>
          <w:w w:val="99"/>
          <w:sz w:val="44"/>
        </w:rPr>
        <w:t xml:space="preserve"> </w:t>
      </w:r>
    </w:p>
    <w:p w14:paraId="45EE2797" w14:textId="77777777" w:rsidR="00A71EEF" w:rsidRDefault="0081115D">
      <w:pPr>
        <w:spacing w:line="501" w:lineRule="exact"/>
        <w:ind w:left="418"/>
        <w:rPr>
          <w:sz w:val="44"/>
        </w:rPr>
      </w:pPr>
      <w:r>
        <w:rPr>
          <w:w w:val="99"/>
          <w:sz w:val="44"/>
        </w:rPr>
        <w:t xml:space="preserve"> </w:t>
      </w:r>
    </w:p>
    <w:p w14:paraId="5C71A4CB" w14:textId="77777777" w:rsidR="00A71EEF" w:rsidRDefault="0081115D">
      <w:pPr>
        <w:spacing w:line="501" w:lineRule="exact"/>
        <w:ind w:left="418"/>
        <w:rPr>
          <w:sz w:val="44"/>
        </w:rPr>
      </w:pPr>
      <w:r>
        <w:rPr>
          <w:w w:val="99"/>
          <w:sz w:val="44"/>
        </w:rPr>
        <w:t xml:space="preserve"> </w:t>
      </w:r>
    </w:p>
    <w:p w14:paraId="0ECBF0E4" w14:textId="77777777" w:rsidR="00A71EEF" w:rsidRDefault="0081115D">
      <w:pPr>
        <w:spacing w:line="499" w:lineRule="exact"/>
        <w:ind w:left="418"/>
        <w:rPr>
          <w:sz w:val="44"/>
        </w:rPr>
      </w:pPr>
      <w:r>
        <w:rPr>
          <w:w w:val="99"/>
          <w:sz w:val="44"/>
        </w:rPr>
        <w:t xml:space="preserve"> </w:t>
      </w:r>
    </w:p>
    <w:p w14:paraId="40E518F2" w14:textId="77777777" w:rsidR="00A71EEF" w:rsidRDefault="0081115D">
      <w:pPr>
        <w:spacing w:line="500" w:lineRule="exact"/>
        <w:ind w:left="418"/>
        <w:rPr>
          <w:sz w:val="44"/>
        </w:rPr>
      </w:pPr>
      <w:r>
        <w:rPr>
          <w:w w:val="99"/>
          <w:sz w:val="44"/>
        </w:rPr>
        <w:t xml:space="preserve"> </w:t>
      </w:r>
    </w:p>
    <w:p w14:paraId="2FFAC5A5" w14:textId="77777777" w:rsidR="00A71EEF" w:rsidRDefault="0081115D">
      <w:pPr>
        <w:spacing w:line="533" w:lineRule="exact"/>
        <w:ind w:left="418"/>
        <w:rPr>
          <w:sz w:val="44"/>
        </w:rPr>
      </w:pPr>
      <w:r>
        <w:rPr>
          <w:w w:val="99"/>
          <w:sz w:val="44"/>
        </w:rPr>
        <w:lastRenderedPageBreak/>
        <w:t xml:space="preserve"> </w:t>
      </w:r>
    </w:p>
    <w:p w14:paraId="427D1A97" w14:textId="77777777" w:rsidR="00A71EEF" w:rsidRDefault="00A71EEF">
      <w:pPr>
        <w:spacing w:line="533" w:lineRule="exact"/>
        <w:rPr>
          <w:sz w:val="44"/>
        </w:rPr>
        <w:sectPr w:rsidR="00A71EEF">
          <w:pgSz w:w="11910" w:h="16850"/>
          <w:pgMar w:top="1040" w:right="0" w:bottom="1180" w:left="1260" w:header="0" w:footer="983" w:gutter="0"/>
          <w:cols w:space="720"/>
        </w:sectPr>
      </w:pPr>
    </w:p>
    <w:p w14:paraId="5471EFEA" w14:textId="77777777" w:rsidR="00A71EEF" w:rsidRDefault="00A71EEF">
      <w:pPr>
        <w:pStyle w:val="a3"/>
        <w:rPr>
          <w:sz w:val="20"/>
        </w:rPr>
      </w:pPr>
    </w:p>
    <w:p w14:paraId="320DD4C7" w14:textId="77777777" w:rsidR="00A71EEF" w:rsidRDefault="00A71EEF">
      <w:pPr>
        <w:pStyle w:val="a3"/>
        <w:rPr>
          <w:sz w:val="20"/>
        </w:rPr>
      </w:pPr>
    </w:p>
    <w:p w14:paraId="57A897EE" w14:textId="77777777" w:rsidR="00A71EEF" w:rsidRDefault="00A71EEF">
      <w:pPr>
        <w:pStyle w:val="a3"/>
        <w:rPr>
          <w:sz w:val="20"/>
        </w:rPr>
      </w:pPr>
    </w:p>
    <w:p w14:paraId="79D963CB" w14:textId="77777777" w:rsidR="00A71EEF" w:rsidRDefault="00A71EEF">
      <w:pPr>
        <w:pStyle w:val="a3"/>
        <w:rPr>
          <w:sz w:val="20"/>
        </w:rPr>
      </w:pPr>
    </w:p>
    <w:p w14:paraId="23D656E3" w14:textId="77777777" w:rsidR="00A71EEF" w:rsidRDefault="00A71EEF">
      <w:pPr>
        <w:pStyle w:val="a3"/>
        <w:rPr>
          <w:sz w:val="20"/>
        </w:rPr>
      </w:pPr>
    </w:p>
    <w:p w14:paraId="70D00AEB" w14:textId="77777777" w:rsidR="00A71EEF" w:rsidRDefault="00A71EEF">
      <w:pPr>
        <w:pStyle w:val="a3"/>
        <w:rPr>
          <w:sz w:val="20"/>
        </w:rPr>
      </w:pPr>
    </w:p>
    <w:p w14:paraId="783FCC02" w14:textId="77777777" w:rsidR="00A71EEF" w:rsidRDefault="00A71EEF">
      <w:pPr>
        <w:pStyle w:val="a3"/>
        <w:rPr>
          <w:sz w:val="20"/>
        </w:rPr>
      </w:pPr>
    </w:p>
    <w:p w14:paraId="428265A2" w14:textId="77777777" w:rsidR="00A71EEF" w:rsidRDefault="00A71EEF">
      <w:pPr>
        <w:pStyle w:val="a3"/>
        <w:rPr>
          <w:sz w:val="20"/>
        </w:rPr>
      </w:pPr>
    </w:p>
    <w:p w14:paraId="1F81C9E6" w14:textId="77777777" w:rsidR="00A71EEF" w:rsidRDefault="00A71EEF">
      <w:pPr>
        <w:pStyle w:val="a3"/>
        <w:rPr>
          <w:sz w:val="20"/>
        </w:rPr>
      </w:pPr>
    </w:p>
    <w:p w14:paraId="512B526C" w14:textId="77777777" w:rsidR="00A71EEF" w:rsidRDefault="00A71EEF">
      <w:pPr>
        <w:pStyle w:val="a3"/>
        <w:rPr>
          <w:sz w:val="20"/>
        </w:rPr>
      </w:pPr>
    </w:p>
    <w:p w14:paraId="0605D939" w14:textId="77777777" w:rsidR="00A71EEF" w:rsidRDefault="00A71EEF">
      <w:pPr>
        <w:pStyle w:val="a3"/>
        <w:rPr>
          <w:sz w:val="20"/>
        </w:rPr>
      </w:pPr>
    </w:p>
    <w:p w14:paraId="296B06F9" w14:textId="77777777" w:rsidR="00A71EEF" w:rsidRDefault="00A71EEF">
      <w:pPr>
        <w:pStyle w:val="a3"/>
        <w:rPr>
          <w:sz w:val="20"/>
        </w:rPr>
      </w:pPr>
    </w:p>
    <w:p w14:paraId="09F738D4" w14:textId="77777777" w:rsidR="00A71EEF" w:rsidRDefault="00A71EEF">
      <w:pPr>
        <w:pStyle w:val="a3"/>
        <w:rPr>
          <w:sz w:val="20"/>
        </w:rPr>
      </w:pPr>
    </w:p>
    <w:p w14:paraId="6C4BE398" w14:textId="77777777" w:rsidR="00A71EEF" w:rsidRDefault="00A71EEF">
      <w:pPr>
        <w:pStyle w:val="a3"/>
        <w:rPr>
          <w:sz w:val="20"/>
        </w:rPr>
      </w:pPr>
    </w:p>
    <w:p w14:paraId="36674278" w14:textId="77777777" w:rsidR="00A71EEF" w:rsidRDefault="00A71EEF">
      <w:pPr>
        <w:pStyle w:val="a3"/>
        <w:rPr>
          <w:sz w:val="20"/>
        </w:rPr>
      </w:pPr>
    </w:p>
    <w:p w14:paraId="326DC000" w14:textId="77777777" w:rsidR="00A71EEF" w:rsidRDefault="00A71EEF">
      <w:pPr>
        <w:pStyle w:val="a3"/>
        <w:rPr>
          <w:sz w:val="20"/>
        </w:rPr>
      </w:pPr>
    </w:p>
    <w:p w14:paraId="376B81A3" w14:textId="77777777" w:rsidR="00A71EEF" w:rsidRDefault="00A71EEF">
      <w:pPr>
        <w:pStyle w:val="a3"/>
        <w:rPr>
          <w:sz w:val="20"/>
        </w:rPr>
      </w:pPr>
    </w:p>
    <w:p w14:paraId="3259288D" w14:textId="77777777" w:rsidR="00A71EEF" w:rsidRDefault="00A71EEF">
      <w:pPr>
        <w:pStyle w:val="a3"/>
        <w:rPr>
          <w:sz w:val="20"/>
        </w:rPr>
      </w:pPr>
    </w:p>
    <w:p w14:paraId="21757700" w14:textId="77777777" w:rsidR="00A71EEF" w:rsidRDefault="00A71EEF">
      <w:pPr>
        <w:pStyle w:val="a3"/>
        <w:rPr>
          <w:sz w:val="20"/>
        </w:rPr>
      </w:pPr>
    </w:p>
    <w:p w14:paraId="3263034F" w14:textId="77777777" w:rsidR="00A71EEF" w:rsidRDefault="00A71EEF">
      <w:pPr>
        <w:pStyle w:val="a3"/>
        <w:spacing w:before="2"/>
        <w:rPr>
          <w:sz w:val="25"/>
        </w:rPr>
      </w:pPr>
    </w:p>
    <w:p w14:paraId="1B82AC0B" w14:textId="77777777" w:rsidR="00A71EEF" w:rsidRDefault="0081115D">
      <w:pPr>
        <w:spacing w:before="28"/>
        <w:ind w:right="758"/>
        <w:jc w:val="center"/>
        <w:rPr>
          <w:b/>
          <w:sz w:val="52"/>
        </w:rPr>
      </w:pPr>
      <w:bookmarkStart w:id="0" w:name="_bookmark0"/>
      <w:bookmarkEnd w:id="0"/>
      <w:r>
        <w:rPr>
          <w:b/>
          <w:sz w:val="52"/>
        </w:rPr>
        <w:t>第五部分</w:t>
      </w:r>
      <w:r>
        <w:rPr>
          <w:b/>
          <w:sz w:val="52"/>
        </w:rPr>
        <w:t xml:space="preserve"> </w:t>
      </w:r>
      <w:r>
        <w:rPr>
          <w:b/>
          <w:sz w:val="52"/>
        </w:rPr>
        <w:t>相关标准</w:t>
      </w:r>
      <w:r>
        <w:rPr>
          <w:b/>
          <w:w w:val="99"/>
          <w:sz w:val="52"/>
        </w:rPr>
        <w:t xml:space="preserve"> </w:t>
      </w:r>
    </w:p>
    <w:p w14:paraId="7F0EDA44" w14:textId="77777777" w:rsidR="00A71EEF" w:rsidRDefault="00A71EEF">
      <w:pPr>
        <w:jc w:val="center"/>
        <w:rPr>
          <w:sz w:val="52"/>
        </w:rPr>
        <w:sectPr w:rsidR="00A71EEF">
          <w:footerReference w:type="default" r:id="rId13"/>
          <w:pgSz w:w="11910" w:h="16850"/>
          <w:pgMar w:top="1600" w:right="0" w:bottom="1420" w:left="1260" w:header="0" w:footer="1239" w:gutter="0"/>
          <w:pgNumType w:start="780"/>
          <w:cols w:space="720"/>
        </w:sectPr>
      </w:pPr>
    </w:p>
    <w:p w14:paraId="77D84C59" w14:textId="77777777" w:rsidR="00A71EEF" w:rsidRDefault="00A71EEF">
      <w:pPr>
        <w:pStyle w:val="a3"/>
        <w:spacing w:before="5"/>
        <w:rPr>
          <w:b/>
          <w:sz w:val="13"/>
        </w:rPr>
      </w:pPr>
    </w:p>
    <w:p w14:paraId="3FF5F708" w14:textId="77777777" w:rsidR="00A71EEF" w:rsidRDefault="0081115D">
      <w:pPr>
        <w:pStyle w:val="1"/>
        <w:spacing w:before="49"/>
      </w:pPr>
      <w:r>
        <w:t>一、国</w:t>
      </w:r>
      <w:r>
        <w:t xml:space="preserve"> </w:t>
      </w:r>
      <w:r>
        <w:t>家</w:t>
      </w:r>
      <w:r>
        <w:t xml:space="preserve"> </w:t>
      </w:r>
      <w:r>
        <w:t>标</w:t>
      </w:r>
      <w:r>
        <w:t xml:space="preserve"> </w:t>
      </w:r>
      <w:r>
        <w:t>准</w:t>
      </w:r>
      <w:r>
        <w:rPr>
          <w:w w:val="99"/>
        </w:rPr>
        <w:t xml:space="preserve"> </w:t>
      </w:r>
    </w:p>
    <w:p w14:paraId="5A12BBC1" w14:textId="77777777" w:rsidR="00A71EEF" w:rsidRDefault="00A71EEF">
      <w:pPr>
        <w:pStyle w:val="a3"/>
        <w:spacing w:before="2"/>
        <w:rPr>
          <w:b/>
          <w:sz w:val="30"/>
        </w:rPr>
      </w:pPr>
    </w:p>
    <w:p w14:paraId="1BB9D0C1" w14:textId="77777777" w:rsidR="00A71EEF" w:rsidRDefault="0081115D">
      <w:pPr>
        <w:ind w:left="418"/>
        <w:rPr>
          <w:b/>
          <w:sz w:val="36"/>
        </w:rPr>
      </w:pPr>
      <w:r>
        <w:rPr>
          <w:b/>
          <w:sz w:val="36"/>
        </w:rPr>
        <w:t>（一）城市消防国家标准</w:t>
      </w:r>
      <w:r>
        <w:rPr>
          <w:b/>
          <w:w w:val="99"/>
          <w:sz w:val="36"/>
        </w:rPr>
        <w:t xml:space="preserve"> </w:t>
      </w:r>
    </w:p>
    <w:p w14:paraId="428A3655" w14:textId="77777777" w:rsidR="00A71EEF" w:rsidRDefault="00A71EEF">
      <w:pPr>
        <w:pStyle w:val="a3"/>
        <w:spacing w:before="6"/>
        <w:rPr>
          <w:b/>
          <w:sz w:val="45"/>
        </w:rPr>
      </w:pPr>
    </w:p>
    <w:p w14:paraId="4B5339E3" w14:textId="77777777" w:rsidR="00A71EEF" w:rsidRDefault="0081115D">
      <w:pPr>
        <w:pStyle w:val="2"/>
        <w:spacing w:before="0"/>
        <w:ind w:right="868"/>
      </w:pPr>
      <w:bookmarkStart w:id="1" w:name="_bookmark1"/>
      <w:bookmarkEnd w:id="1"/>
      <w:r>
        <w:t>消防水枪</w:t>
      </w:r>
      <w:r>
        <w:rPr>
          <w:w w:val="99"/>
        </w:rPr>
        <w:t xml:space="preserve"> </w:t>
      </w:r>
    </w:p>
    <w:p w14:paraId="52E09F97" w14:textId="77777777" w:rsidR="00A71EEF" w:rsidRDefault="00A71EEF">
      <w:pPr>
        <w:pStyle w:val="a3"/>
        <w:spacing w:before="4"/>
        <w:rPr>
          <w:b/>
          <w:sz w:val="39"/>
        </w:rPr>
      </w:pPr>
    </w:p>
    <w:p w14:paraId="0E5753CD" w14:textId="77777777" w:rsidR="00A71EEF" w:rsidRDefault="0081115D">
      <w:pPr>
        <w:pStyle w:val="4"/>
        <w:spacing w:before="1"/>
      </w:pPr>
      <w:r>
        <w:t xml:space="preserve">1 </w:t>
      </w:r>
      <w:r>
        <w:t>范围</w:t>
      </w:r>
      <w:r>
        <w:rPr>
          <w:w w:val="99"/>
        </w:rPr>
        <w:t xml:space="preserve"> </w:t>
      </w:r>
    </w:p>
    <w:p w14:paraId="4736A12F" w14:textId="77777777" w:rsidR="00A71EEF" w:rsidRDefault="00A71EEF">
      <w:pPr>
        <w:pStyle w:val="a3"/>
        <w:spacing w:before="6"/>
        <w:rPr>
          <w:b/>
          <w:sz w:val="17"/>
        </w:rPr>
      </w:pPr>
    </w:p>
    <w:p w14:paraId="15D26D61" w14:textId="77777777" w:rsidR="00A71EEF" w:rsidRDefault="0081115D">
      <w:pPr>
        <w:pStyle w:val="a3"/>
        <w:spacing w:line="446" w:lineRule="auto"/>
        <w:ind w:left="838" w:right="2717"/>
      </w:pPr>
      <w:r>
        <w:rPr>
          <w:spacing w:val="-8"/>
        </w:rPr>
        <w:t>本标准适用于工作压力为</w:t>
      </w:r>
      <w:r>
        <w:rPr>
          <w:spacing w:val="-8"/>
        </w:rPr>
        <w:t xml:space="preserve"> </w:t>
      </w:r>
      <w:r>
        <w:t>0.20</w:t>
      </w:r>
      <w:r>
        <w:t>～</w:t>
      </w:r>
      <w:r>
        <w:t>4.0 MPa</w:t>
      </w:r>
      <w:r>
        <w:rPr>
          <w:spacing w:val="-10"/>
        </w:rPr>
        <w:t>、流量不大于</w:t>
      </w:r>
      <w:r>
        <w:rPr>
          <w:spacing w:val="-10"/>
        </w:rPr>
        <w:t xml:space="preserve"> </w:t>
      </w:r>
      <w:r>
        <w:t>16 L/s</w:t>
      </w:r>
      <w:r>
        <w:rPr>
          <w:spacing w:val="-10"/>
        </w:rPr>
        <w:t xml:space="preserve"> </w:t>
      </w:r>
      <w:r>
        <w:rPr>
          <w:spacing w:val="-10"/>
        </w:rPr>
        <w:t>的消防水枪。</w:t>
      </w:r>
      <w:r>
        <w:rPr>
          <w:spacing w:val="-5"/>
        </w:rPr>
        <w:t>本标准不适用于脉冲气压喷雾水枪。</w:t>
      </w:r>
      <w:r>
        <w:t xml:space="preserve"> </w:t>
      </w:r>
    </w:p>
    <w:p w14:paraId="44BAEBE5" w14:textId="77777777" w:rsidR="00A71EEF" w:rsidRDefault="0081115D">
      <w:pPr>
        <w:pStyle w:val="4"/>
        <w:spacing w:line="275" w:lineRule="exact"/>
      </w:pPr>
      <w:r>
        <w:t xml:space="preserve">2 </w:t>
      </w:r>
      <w:r>
        <w:t>规范性引用文件</w:t>
      </w:r>
      <w:r>
        <w:rPr>
          <w:w w:val="99"/>
        </w:rPr>
        <w:t xml:space="preserve"> </w:t>
      </w:r>
    </w:p>
    <w:p w14:paraId="51F878DF" w14:textId="77777777" w:rsidR="00A71EEF" w:rsidRDefault="00A71EEF">
      <w:pPr>
        <w:pStyle w:val="a3"/>
        <w:spacing w:before="6"/>
        <w:rPr>
          <w:b/>
          <w:sz w:val="17"/>
        </w:rPr>
      </w:pPr>
    </w:p>
    <w:p w14:paraId="4441E432" w14:textId="77777777" w:rsidR="00A71EEF" w:rsidRDefault="0081115D">
      <w:pPr>
        <w:pStyle w:val="a3"/>
        <w:spacing w:line="446" w:lineRule="auto"/>
        <w:ind w:left="418" w:right="1431" w:firstLine="419"/>
        <w:jc w:val="both"/>
      </w:pPr>
      <w:r>
        <w:rPr>
          <w:spacing w:val="-5"/>
        </w:rPr>
        <w:t>下列文件中的条款通过本标准的引用而成为本标准的条款。凡是注日期的引用文件，其随后</w:t>
      </w:r>
      <w:r>
        <w:rPr>
          <w:spacing w:val="-6"/>
        </w:rPr>
        <w:t>所有的修改单</w:t>
      </w:r>
      <w:r>
        <w:rPr>
          <w:spacing w:val="-6"/>
        </w:rPr>
        <w:t>(</w:t>
      </w:r>
      <w:r>
        <w:rPr>
          <w:spacing w:val="-6"/>
        </w:rPr>
        <w:t>不包括勘误的内容</w:t>
      </w:r>
      <w:r>
        <w:rPr>
          <w:spacing w:val="-6"/>
        </w:rPr>
        <w:t>)</w:t>
      </w:r>
      <w:r>
        <w:rPr>
          <w:spacing w:val="-6"/>
        </w:rPr>
        <w:t>或修订版均不适用于本标准，然而，鼓励根据本标准达成协议的各方研究是否可使用这些文件的最新版本。凡是不注日期的引用文件，其最新版本适用于本标</w:t>
      </w:r>
      <w:r>
        <w:rPr>
          <w:spacing w:val="-5"/>
        </w:rPr>
        <w:t>准。</w:t>
      </w:r>
      <w:r>
        <w:t xml:space="preserve"> </w:t>
      </w:r>
    </w:p>
    <w:p w14:paraId="2EDC1C32" w14:textId="77777777" w:rsidR="00A71EEF" w:rsidRDefault="0081115D">
      <w:pPr>
        <w:pStyle w:val="a3"/>
        <w:spacing w:line="446" w:lineRule="auto"/>
        <w:ind w:left="838" w:right="2348"/>
        <w:jc w:val="both"/>
      </w:pPr>
      <w:r>
        <w:t xml:space="preserve">GB/T 197 </w:t>
      </w:r>
      <w:r>
        <w:t>普通螺纹</w:t>
      </w:r>
      <w:r>
        <w:t xml:space="preserve"> </w:t>
      </w:r>
      <w:r>
        <w:t>公差与配合</w:t>
      </w:r>
      <w:r>
        <w:t>(GB/T 197—2003</w:t>
      </w:r>
      <w:r>
        <w:t>，</w:t>
      </w:r>
      <w:r>
        <w:t>ISO 965-1</w:t>
      </w:r>
      <w:r>
        <w:t>：</w:t>
      </w:r>
      <w:r>
        <w:t>1998</w:t>
      </w:r>
      <w:r>
        <w:t>，</w:t>
      </w:r>
      <w:r>
        <w:t xml:space="preserve">MOD) GB/T 1173 </w:t>
      </w:r>
      <w:r>
        <w:t>铸造铝合金</w:t>
      </w:r>
      <w:r>
        <w:t xml:space="preserve"> </w:t>
      </w:r>
    </w:p>
    <w:p w14:paraId="4D326F53" w14:textId="77777777" w:rsidR="00A71EEF" w:rsidRDefault="0081115D">
      <w:pPr>
        <w:pStyle w:val="a3"/>
        <w:ind w:left="838"/>
        <w:jc w:val="both"/>
      </w:pPr>
      <w:r>
        <w:t xml:space="preserve">GB/T 1176  </w:t>
      </w:r>
      <w:r>
        <w:t>铸造铜合金技术条件</w:t>
      </w:r>
      <w:r>
        <w:t>(GB/T 176—1987</w:t>
      </w:r>
      <w:r>
        <w:t>，</w:t>
      </w:r>
      <w:r>
        <w:t>neq ISO 1338</w:t>
      </w:r>
      <w:r>
        <w:t>：</w:t>
      </w:r>
      <w:r>
        <w:t xml:space="preserve">1977) </w:t>
      </w:r>
    </w:p>
    <w:p w14:paraId="22E58FBB" w14:textId="77777777" w:rsidR="00A71EEF" w:rsidRDefault="00A71EEF">
      <w:pPr>
        <w:pStyle w:val="a3"/>
        <w:spacing w:before="10"/>
        <w:rPr>
          <w:sz w:val="17"/>
        </w:rPr>
      </w:pPr>
    </w:p>
    <w:p w14:paraId="5BC7C4D6" w14:textId="77777777" w:rsidR="00A71EEF" w:rsidRDefault="0081115D">
      <w:pPr>
        <w:pStyle w:val="a3"/>
        <w:spacing w:line="446" w:lineRule="auto"/>
        <w:ind w:left="418" w:right="1433" w:firstLine="419"/>
        <w:jc w:val="both"/>
      </w:pPr>
      <w:r>
        <w:t>GB</w:t>
      </w:r>
      <w:r>
        <w:rPr>
          <w:spacing w:val="58"/>
        </w:rPr>
        <w:t xml:space="preserve"> </w:t>
      </w:r>
      <w:r>
        <w:t>3452.1</w:t>
      </w:r>
      <w:r>
        <w:rPr>
          <w:spacing w:val="10"/>
        </w:rPr>
        <w:t xml:space="preserve"> </w:t>
      </w:r>
      <w:r>
        <w:rPr>
          <w:spacing w:val="10"/>
        </w:rPr>
        <w:t>液压气动用</w:t>
      </w:r>
      <w:r>
        <w:rPr>
          <w:spacing w:val="10"/>
        </w:rPr>
        <w:t xml:space="preserve"> </w:t>
      </w:r>
      <w:r>
        <w:t>O</w:t>
      </w:r>
      <w:r>
        <w:rPr>
          <w:spacing w:val="6"/>
        </w:rPr>
        <w:t xml:space="preserve"> </w:t>
      </w:r>
      <w:r>
        <w:rPr>
          <w:spacing w:val="6"/>
        </w:rPr>
        <w:t>形橡胶密封圈</w:t>
      </w:r>
      <w:r>
        <w:rPr>
          <w:spacing w:val="6"/>
        </w:rPr>
        <w:t xml:space="preserve"> </w:t>
      </w:r>
      <w:r>
        <w:rPr>
          <w:spacing w:val="6"/>
        </w:rPr>
        <w:t>第</w:t>
      </w:r>
      <w:r>
        <w:rPr>
          <w:spacing w:val="6"/>
        </w:rPr>
        <w:t xml:space="preserve"> </w:t>
      </w:r>
      <w:r>
        <w:t xml:space="preserve">1 </w:t>
      </w:r>
      <w:r>
        <w:t>部分：尺寸系列及公差</w:t>
      </w:r>
      <w:r>
        <w:t>(GB</w:t>
      </w:r>
      <w:r>
        <w:rPr>
          <w:spacing w:val="56"/>
        </w:rPr>
        <w:t xml:space="preserve"> </w:t>
      </w:r>
      <w:r>
        <w:t>3452.1— 2005ISO 3601-1</w:t>
      </w:r>
      <w:r>
        <w:t>：</w:t>
      </w:r>
      <w:r>
        <w:t>2002</w:t>
      </w:r>
      <w:r>
        <w:t>，</w:t>
      </w:r>
      <w:r>
        <w:t xml:space="preserve">MOD) </w:t>
      </w:r>
    </w:p>
    <w:p w14:paraId="19D71FA9" w14:textId="77777777" w:rsidR="00A71EEF" w:rsidRDefault="0081115D">
      <w:pPr>
        <w:pStyle w:val="a3"/>
        <w:spacing w:before="1" w:line="446" w:lineRule="auto"/>
        <w:ind w:left="838" w:right="6654"/>
        <w:jc w:val="both"/>
      </w:pPr>
      <w:r>
        <w:t>GB</w:t>
      </w:r>
      <w:r>
        <w:rPr>
          <w:spacing w:val="2"/>
        </w:rPr>
        <w:t xml:space="preserve"> </w:t>
      </w:r>
      <w:r>
        <w:t>12514</w:t>
      </w:r>
      <w:r>
        <w:rPr>
          <w:spacing w:val="-3"/>
        </w:rPr>
        <w:t>(</w:t>
      </w:r>
      <w:r>
        <w:rPr>
          <w:spacing w:val="-3"/>
        </w:rPr>
        <w:t>所有部分</w:t>
      </w:r>
      <w:r>
        <w:rPr>
          <w:spacing w:val="-3"/>
        </w:rPr>
        <w:t xml:space="preserve">) </w:t>
      </w:r>
      <w:r>
        <w:rPr>
          <w:spacing w:val="-3"/>
        </w:rPr>
        <w:t>消防接口</w:t>
      </w:r>
      <w:r>
        <w:t>GB/T 15115</w:t>
      </w:r>
      <w:r>
        <w:rPr>
          <w:spacing w:val="-2"/>
        </w:rPr>
        <w:t xml:space="preserve">  </w:t>
      </w:r>
      <w:r>
        <w:rPr>
          <w:spacing w:val="-2"/>
        </w:rPr>
        <w:t>压铸铝合金</w:t>
      </w:r>
      <w:r>
        <w:rPr>
          <w:spacing w:val="-2"/>
        </w:rPr>
        <w:t xml:space="preserve"> </w:t>
      </w:r>
    </w:p>
    <w:p w14:paraId="6CE648AB" w14:textId="77777777" w:rsidR="00A71EEF" w:rsidRDefault="0081115D">
      <w:pPr>
        <w:pStyle w:val="a3"/>
        <w:spacing w:line="267" w:lineRule="exact"/>
        <w:ind w:left="838"/>
        <w:jc w:val="both"/>
      </w:pPr>
      <w:r>
        <w:t>GB/T</w:t>
      </w:r>
      <w:r>
        <w:rPr>
          <w:spacing w:val="1"/>
        </w:rPr>
        <w:t xml:space="preserve"> </w:t>
      </w:r>
      <w:r>
        <w:t>15116</w:t>
      </w:r>
      <w:r>
        <w:rPr>
          <w:spacing w:val="-2"/>
        </w:rPr>
        <w:t xml:space="preserve">   </w:t>
      </w:r>
      <w:r>
        <w:rPr>
          <w:spacing w:val="-2"/>
        </w:rPr>
        <w:t>压铸铜合金</w:t>
      </w:r>
      <w:r>
        <w:rPr>
          <w:spacing w:val="-2"/>
        </w:rPr>
        <w:t xml:space="preserve"> </w:t>
      </w:r>
    </w:p>
    <w:p w14:paraId="597EC3C0" w14:textId="77777777" w:rsidR="00A71EEF" w:rsidRDefault="00A71EEF">
      <w:pPr>
        <w:pStyle w:val="a3"/>
        <w:spacing w:before="10"/>
        <w:rPr>
          <w:sz w:val="15"/>
        </w:rPr>
      </w:pPr>
    </w:p>
    <w:p w14:paraId="6F2891DC" w14:textId="77777777" w:rsidR="00A71EEF" w:rsidRDefault="0081115D">
      <w:pPr>
        <w:pStyle w:val="4"/>
      </w:pPr>
      <w:r>
        <w:t xml:space="preserve">3 </w:t>
      </w:r>
      <w:r>
        <w:t>术语和定义</w:t>
      </w:r>
      <w:r>
        <w:rPr>
          <w:w w:val="99"/>
        </w:rPr>
        <w:t xml:space="preserve"> </w:t>
      </w:r>
    </w:p>
    <w:p w14:paraId="0270A175" w14:textId="77777777" w:rsidR="00A71EEF" w:rsidRDefault="00A71EEF">
      <w:pPr>
        <w:pStyle w:val="a3"/>
        <w:spacing w:before="4"/>
        <w:rPr>
          <w:b/>
          <w:sz w:val="17"/>
        </w:rPr>
      </w:pPr>
    </w:p>
    <w:p w14:paraId="35EEB4C9" w14:textId="77777777" w:rsidR="00A71EEF" w:rsidRDefault="0081115D">
      <w:pPr>
        <w:pStyle w:val="a3"/>
        <w:ind w:left="838"/>
      </w:pPr>
      <w:r>
        <w:t>下列术语和定义适用于本标准。</w:t>
      </w:r>
      <w:r>
        <w:t xml:space="preserve"> </w:t>
      </w:r>
    </w:p>
    <w:p w14:paraId="219A4E1A" w14:textId="77777777" w:rsidR="00A71EEF" w:rsidRDefault="00A71EEF">
      <w:pPr>
        <w:pStyle w:val="a3"/>
        <w:spacing w:before="12"/>
        <w:rPr>
          <w:sz w:val="17"/>
        </w:rPr>
      </w:pPr>
    </w:p>
    <w:p w14:paraId="37B30613" w14:textId="77777777" w:rsidR="00A71EEF" w:rsidRDefault="0081115D">
      <w:pPr>
        <w:pStyle w:val="a4"/>
        <w:numPr>
          <w:ilvl w:val="1"/>
          <w:numId w:val="985"/>
        </w:numPr>
        <w:tabs>
          <w:tab w:val="left" w:pos="1159"/>
        </w:tabs>
        <w:ind w:hanging="319"/>
        <w:rPr>
          <w:sz w:val="21"/>
        </w:rPr>
      </w:pPr>
      <w:r>
        <w:rPr>
          <w:spacing w:val="4"/>
          <w:sz w:val="21"/>
        </w:rPr>
        <w:t>消防水枪</w:t>
      </w:r>
      <w:r>
        <w:rPr>
          <w:spacing w:val="4"/>
          <w:sz w:val="21"/>
        </w:rPr>
        <w:t>(</w:t>
      </w:r>
      <w:r>
        <w:rPr>
          <w:spacing w:val="4"/>
          <w:sz w:val="21"/>
        </w:rPr>
        <w:t>以下简称为水枪</w:t>
      </w:r>
      <w:r>
        <w:rPr>
          <w:spacing w:val="4"/>
          <w:sz w:val="21"/>
        </w:rPr>
        <w:t xml:space="preserve">) </w:t>
      </w:r>
      <w:r>
        <w:rPr>
          <w:sz w:val="21"/>
        </w:rPr>
        <w:t>fire</w:t>
      </w:r>
      <w:r>
        <w:rPr>
          <w:spacing w:val="1"/>
          <w:sz w:val="21"/>
        </w:rPr>
        <w:t xml:space="preserve"> </w:t>
      </w:r>
      <w:r>
        <w:rPr>
          <w:sz w:val="21"/>
        </w:rPr>
        <w:t xml:space="preserve">nozzles </w:t>
      </w:r>
    </w:p>
    <w:p w14:paraId="69FCDD71" w14:textId="77777777" w:rsidR="00A71EEF" w:rsidRDefault="00A71EEF">
      <w:pPr>
        <w:pStyle w:val="a3"/>
        <w:spacing w:before="2"/>
        <w:rPr>
          <w:sz w:val="18"/>
        </w:rPr>
      </w:pPr>
    </w:p>
    <w:p w14:paraId="24C83063" w14:textId="77777777" w:rsidR="00A71EEF" w:rsidRDefault="0081115D">
      <w:pPr>
        <w:pStyle w:val="a3"/>
        <w:spacing w:before="1"/>
        <w:ind w:left="838"/>
      </w:pPr>
      <w:r>
        <w:t>由单人或多人携带和操作的以水作为灭火剂的喷射管枪。</w:t>
      </w:r>
      <w:r>
        <w:t xml:space="preserve"> </w:t>
      </w:r>
    </w:p>
    <w:p w14:paraId="2EF514DE" w14:textId="77777777" w:rsidR="00A71EEF" w:rsidRDefault="00A71EEF">
      <w:pPr>
        <w:pStyle w:val="a3"/>
        <w:spacing w:before="12"/>
        <w:rPr>
          <w:sz w:val="17"/>
        </w:rPr>
      </w:pPr>
    </w:p>
    <w:p w14:paraId="0B2E4665" w14:textId="77777777" w:rsidR="00A71EEF" w:rsidRDefault="0081115D">
      <w:pPr>
        <w:pStyle w:val="a3"/>
        <w:ind w:left="838"/>
      </w:pPr>
      <w:r>
        <w:t>水枪通常由接口、枪体、开关和喷嘴或能形成不同形式射流的装置组成。</w:t>
      </w:r>
      <w:r>
        <w:t xml:space="preserve"> </w:t>
      </w:r>
    </w:p>
    <w:p w14:paraId="094F3795" w14:textId="77777777" w:rsidR="00A71EEF" w:rsidRDefault="00A71EEF">
      <w:pPr>
        <w:sectPr w:rsidR="00A71EEF">
          <w:pgSz w:w="11910" w:h="16850"/>
          <w:pgMar w:top="1600" w:right="0" w:bottom="1420" w:left="1260" w:header="0" w:footer="1239" w:gutter="0"/>
          <w:cols w:space="720"/>
        </w:sectPr>
      </w:pPr>
    </w:p>
    <w:p w14:paraId="3F140D05" w14:textId="77777777" w:rsidR="00A71EEF" w:rsidRDefault="0081115D">
      <w:pPr>
        <w:pStyle w:val="a4"/>
        <w:numPr>
          <w:ilvl w:val="1"/>
          <w:numId w:val="985"/>
        </w:numPr>
        <w:tabs>
          <w:tab w:val="left" w:pos="1159"/>
        </w:tabs>
        <w:spacing w:before="47"/>
        <w:ind w:hanging="319"/>
        <w:rPr>
          <w:sz w:val="21"/>
        </w:rPr>
      </w:pPr>
      <w:r>
        <w:rPr>
          <w:spacing w:val="19"/>
          <w:sz w:val="21"/>
        </w:rPr>
        <w:lastRenderedPageBreak/>
        <w:t>充实水流</w:t>
      </w:r>
      <w:r>
        <w:rPr>
          <w:spacing w:val="19"/>
          <w:sz w:val="21"/>
        </w:rPr>
        <w:t xml:space="preserve"> </w:t>
      </w:r>
      <w:r>
        <w:rPr>
          <w:sz w:val="21"/>
        </w:rPr>
        <w:t>solid</w:t>
      </w:r>
      <w:r>
        <w:rPr>
          <w:spacing w:val="104"/>
          <w:sz w:val="21"/>
        </w:rPr>
        <w:t xml:space="preserve"> </w:t>
      </w:r>
      <w:r>
        <w:rPr>
          <w:sz w:val="21"/>
        </w:rPr>
        <w:t xml:space="preserve">stream </w:t>
      </w:r>
    </w:p>
    <w:p w14:paraId="7F445400" w14:textId="77777777" w:rsidR="00A71EEF" w:rsidRDefault="00A71EEF">
      <w:pPr>
        <w:pStyle w:val="a3"/>
        <w:rPr>
          <w:sz w:val="18"/>
        </w:rPr>
      </w:pPr>
    </w:p>
    <w:p w14:paraId="7B57865F" w14:textId="77777777" w:rsidR="00A71EEF" w:rsidRDefault="0081115D">
      <w:pPr>
        <w:pStyle w:val="a3"/>
        <w:ind w:left="838"/>
      </w:pPr>
      <w:r>
        <w:t>具有充实核心段的水射流。</w:t>
      </w:r>
      <w:r>
        <w:t xml:space="preserve"> </w:t>
      </w:r>
    </w:p>
    <w:p w14:paraId="67CAECCF" w14:textId="77777777" w:rsidR="00A71EEF" w:rsidRDefault="00A71EEF">
      <w:pPr>
        <w:pStyle w:val="a3"/>
        <w:rPr>
          <w:sz w:val="18"/>
        </w:rPr>
      </w:pPr>
    </w:p>
    <w:p w14:paraId="6EEBBC9B" w14:textId="77777777" w:rsidR="00A71EEF" w:rsidRDefault="0081115D">
      <w:pPr>
        <w:pStyle w:val="a4"/>
        <w:numPr>
          <w:ilvl w:val="1"/>
          <w:numId w:val="985"/>
        </w:numPr>
        <w:tabs>
          <w:tab w:val="left" w:pos="1159"/>
        </w:tabs>
        <w:ind w:hanging="319"/>
        <w:rPr>
          <w:sz w:val="21"/>
        </w:rPr>
      </w:pPr>
      <w:r>
        <w:rPr>
          <w:spacing w:val="19"/>
          <w:sz w:val="21"/>
        </w:rPr>
        <w:t>雾状水流</w:t>
      </w:r>
      <w:r>
        <w:rPr>
          <w:spacing w:val="19"/>
          <w:sz w:val="21"/>
        </w:rPr>
        <w:t xml:space="preserve"> </w:t>
      </w:r>
      <w:r>
        <w:rPr>
          <w:sz w:val="21"/>
        </w:rPr>
        <w:t>fog</w:t>
      </w:r>
      <w:r>
        <w:rPr>
          <w:spacing w:val="1"/>
          <w:sz w:val="21"/>
        </w:rPr>
        <w:t xml:space="preserve"> </w:t>
      </w:r>
      <w:r>
        <w:rPr>
          <w:sz w:val="21"/>
        </w:rPr>
        <w:t xml:space="preserve">stream </w:t>
      </w:r>
    </w:p>
    <w:p w14:paraId="64AF665D" w14:textId="77777777" w:rsidR="00A71EEF" w:rsidRDefault="00A71EEF">
      <w:pPr>
        <w:pStyle w:val="a3"/>
        <w:spacing w:before="1"/>
        <w:rPr>
          <w:sz w:val="18"/>
        </w:rPr>
      </w:pPr>
    </w:p>
    <w:p w14:paraId="37F6F8E5" w14:textId="77777777" w:rsidR="00A71EEF" w:rsidRDefault="0081115D">
      <w:pPr>
        <w:pStyle w:val="a3"/>
        <w:spacing w:before="1" w:line="446" w:lineRule="auto"/>
        <w:ind w:left="840" w:right="1716" w:hanging="3"/>
        <w:rPr>
          <w:b/>
        </w:rPr>
      </w:pPr>
      <w:r>
        <w:rPr>
          <w:spacing w:val="-8"/>
        </w:rPr>
        <w:t>水滴平均粒径不大于</w:t>
      </w:r>
      <w:r>
        <w:rPr>
          <w:spacing w:val="-8"/>
        </w:rPr>
        <w:t xml:space="preserve"> </w:t>
      </w:r>
      <w:r>
        <w:t>0.1 mm</w:t>
      </w:r>
      <w:r>
        <w:rPr>
          <w:spacing w:val="-8"/>
        </w:rPr>
        <w:t>，射流边缘夹角大于</w:t>
      </w:r>
      <w:r>
        <w:rPr>
          <w:spacing w:val="-8"/>
        </w:rPr>
        <w:t xml:space="preserve"> </w:t>
      </w:r>
      <w:r>
        <w:t>0</w:t>
      </w:r>
      <w:r>
        <w:rPr>
          <w:spacing w:val="-3"/>
        </w:rPr>
        <w:t>°</w:t>
      </w:r>
      <w:r>
        <w:rPr>
          <w:spacing w:val="-3"/>
        </w:rPr>
        <w:t>，且不具有充实核心段的水射流。</w:t>
      </w:r>
      <w:r>
        <w:rPr>
          <w:b/>
        </w:rPr>
        <w:t xml:space="preserve">3.4 </w:t>
      </w:r>
      <w:r>
        <w:rPr>
          <w:spacing w:val="5"/>
        </w:rPr>
        <w:t>开花水流</w:t>
      </w:r>
      <w:r>
        <w:rPr>
          <w:spacing w:val="5"/>
        </w:rPr>
        <w:t>(</w:t>
      </w:r>
      <w:r>
        <w:rPr>
          <w:spacing w:val="5"/>
        </w:rPr>
        <w:t>又称防护水幕</w:t>
      </w:r>
      <w:r>
        <w:rPr>
          <w:spacing w:val="5"/>
        </w:rPr>
        <w:t xml:space="preserve">) </w:t>
      </w:r>
      <w:r>
        <w:t>safeguarding</w:t>
      </w:r>
      <w:r>
        <w:rPr>
          <w:spacing w:val="102"/>
        </w:rPr>
        <w:t xml:space="preserve"> </w:t>
      </w:r>
      <w:r>
        <w:t>water  stream</w:t>
      </w:r>
      <w:r>
        <w:rPr>
          <w:b/>
          <w:w w:val="99"/>
        </w:rPr>
        <w:t xml:space="preserve"> </w:t>
      </w:r>
    </w:p>
    <w:p w14:paraId="18B72D61" w14:textId="77777777" w:rsidR="00A71EEF" w:rsidRDefault="0081115D">
      <w:pPr>
        <w:pStyle w:val="a3"/>
        <w:spacing w:line="267" w:lineRule="exact"/>
        <w:ind w:left="838"/>
      </w:pPr>
      <w:r>
        <w:t>水滴平均粒径大于</w:t>
      </w:r>
      <w:r>
        <w:t xml:space="preserve"> 0.1 mm</w:t>
      </w:r>
      <w:r>
        <w:t>，用来降低热辐射的伞形水射流。</w:t>
      </w:r>
      <w:r>
        <w:t xml:space="preserve"> </w:t>
      </w:r>
    </w:p>
    <w:p w14:paraId="4654A0F4" w14:textId="77777777" w:rsidR="00A71EEF" w:rsidRDefault="00A71EEF">
      <w:pPr>
        <w:pStyle w:val="a3"/>
        <w:spacing w:before="1"/>
        <w:rPr>
          <w:sz w:val="18"/>
        </w:rPr>
      </w:pPr>
    </w:p>
    <w:p w14:paraId="37AF8BC1" w14:textId="77777777" w:rsidR="00A71EEF" w:rsidRDefault="0081115D">
      <w:pPr>
        <w:pStyle w:val="a4"/>
        <w:numPr>
          <w:ilvl w:val="1"/>
          <w:numId w:val="984"/>
        </w:numPr>
        <w:tabs>
          <w:tab w:val="left" w:pos="1159"/>
        </w:tabs>
        <w:spacing w:before="1"/>
        <w:ind w:hanging="319"/>
        <w:rPr>
          <w:sz w:val="21"/>
        </w:rPr>
      </w:pPr>
      <w:r>
        <w:rPr>
          <w:spacing w:val="-3"/>
          <w:sz w:val="21"/>
        </w:rPr>
        <w:t>直流喷雾水枪</w:t>
      </w:r>
      <w:r>
        <w:rPr>
          <w:spacing w:val="-3"/>
          <w:sz w:val="21"/>
        </w:rPr>
        <w:t xml:space="preserve"> </w:t>
      </w:r>
      <w:r>
        <w:rPr>
          <w:sz w:val="21"/>
        </w:rPr>
        <w:t>combination nozzle with a</w:t>
      </w:r>
      <w:r>
        <w:rPr>
          <w:spacing w:val="-2"/>
          <w:sz w:val="21"/>
        </w:rPr>
        <w:t xml:space="preserve"> </w:t>
      </w:r>
      <w:r>
        <w:rPr>
          <w:sz w:val="21"/>
        </w:rPr>
        <w:t>straight stream and</w:t>
      </w:r>
      <w:r>
        <w:rPr>
          <w:spacing w:val="1"/>
          <w:sz w:val="21"/>
        </w:rPr>
        <w:t xml:space="preserve"> </w:t>
      </w:r>
      <w:r>
        <w:rPr>
          <w:sz w:val="21"/>
        </w:rPr>
        <w:t xml:space="preserve">a fog stream </w:t>
      </w:r>
    </w:p>
    <w:p w14:paraId="64914028" w14:textId="77777777" w:rsidR="00A71EEF" w:rsidRDefault="00A71EEF">
      <w:pPr>
        <w:pStyle w:val="a3"/>
        <w:spacing w:before="12"/>
        <w:rPr>
          <w:sz w:val="17"/>
        </w:rPr>
      </w:pPr>
    </w:p>
    <w:p w14:paraId="33571E97" w14:textId="77777777" w:rsidR="00A71EEF" w:rsidRDefault="0081115D">
      <w:pPr>
        <w:pStyle w:val="a3"/>
        <w:ind w:left="838"/>
      </w:pPr>
      <w:r>
        <w:t>既能喷射充实水流，又能喷射雾状水流，并具有开启、关闭功能的水枪。</w:t>
      </w:r>
      <w:r>
        <w:t xml:space="preserve"> </w:t>
      </w:r>
    </w:p>
    <w:p w14:paraId="303D5B73" w14:textId="77777777" w:rsidR="00A71EEF" w:rsidRDefault="00A71EEF">
      <w:pPr>
        <w:pStyle w:val="a3"/>
        <w:rPr>
          <w:sz w:val="18"/>
        </w:rPr>
      </w:pPr>
    </w:p>
    <w:p w14:paraId="3CEA2764" w14:textId="77777777" w:rsidR="00A71EEF" w:rsidRDefault="0081115D">
      <w:pPr>
        <w:pStyle w:val="a4"/>
        <w:numPr>
          <w:ilvl w:val="1"/>
          <w:numId w:val="984"/>
        </w:numPr>
        <w:tabs>
          <w:tab w:val="left" w:pos="1159"/>
        </w:tabs>
        <w:ind w:hanging="319"/>
        <w:rPr>
          <w:sz w:val="21"/>
        </w:rPr>
      </w:pPr>
      <w:r>
        <w:rPr>
          <w:spacing w:val="-11"/>
          <w:sz w:val="21"/>
        </w:rPr>
        <w:t>直流开花水枪</w:t>
      </w:r>
      <w:r>
        <w:rPr>
          <w:spacing w:val="-11"/>
          <w:sz w:val="21"/>
        </w:rPr>
        <w:t xml:space="preserve"> </w:t>
      </w:r>
      <w:r>
        <w:rPr>
          <w:sz w:val="21"/>
        </w:rPr>
        <w:t>nozzle</w:t>
      </w:r>
      <w:r>
        <w:rPr>
          <w:spacing w:val="1"/>
          <w:sz w:val="21"/>
        </w:rPr>
        <w:t xml:space="preserve"> </w:t>
      </w:r>
      <w:r>
        <w:rPr>
          <w:sz w:val="21"/>
        </w:rPr>
        <w:t>with</w:t>
      </w:r>
      <w:r>
        <w:rPr>
          <w:spacing w:val="-3"/>
          <w:sz w:val="21"/>
        </w:rPr>
        <w:t xml:space="preserve"> </w:t>
      </w:r>
      <w:r>
        <w:rPr>
          <w:sz w:val="21"/>
        </w:rPr>
        <w:t>a</w:t>
      </w:r>
      <w:r>
        <w:rPr>
          <w:spacing w:val="1"/>
          <w:sz w:val="21"/>
        </w:rPr>
        <w:t xml:space="preserve"> </w:t>
      </w:r>
      <w:r>
        <w:rPr>
          <w:sz w:val="21"/>
        </w:rPr>
        <w:t>straight stream</w:t>
      </w:r>
      <w:r>
        <w:rPr>
          <w:spacing w:val="1"/>
          <w:sz w:val="21"/>
        </w:rPr>
        <w:t xml:space="preserve"> </w:t>
      </w:r>
      <w:r>
        <w:rPr>
          <w:sz w:val="21"/>
        </w:rPr>
        <w:t xml:space="preserve">and </w:t>
      </w:r>
      <w:r>
        <w:rPr>
          <w:spacing w:val="-3"/>
          <w:sz w:val="21"/>
        </w:rPr>
        <w:t>a</w:t>
      </w:r>
      <w:r>
        <w:rPr>
          <w:spacing w:val="1"/>
          <w:sz w:val="21"/>
        </w:rPr>
        <w:t xml:space="preserve"> </w:t>
      </w:r>
      <w:r>
        <w:rPr>
          <w:sz w:val="21"/>
        </w:rPr>
        <w:t>safeguarding water</w:t>
      </w:r>
      <w:r>
        <w:rPr>
          <w:spacing w:val="1"/>
          <w:sz w:val="21"/>
        </w:rPr>
        <w:t xml:space="preserve"> </w:t>
      </w:r>
      <w:r>
        <w:rPr>
          <w:sz w:val="21"/>
        </w:rPr>
        <w:t xml:space="preserve">stream </w:t>
      </w:r>
    </w:p>
    <w:p w14:paraId="7DF5EE48" w14:textId="77777777" w:rsidR="00A71EEF" w:rsidRDefault="00A71EEF">
      <w:pPr>
        <w:pStyle w:val="a3"/>
        <w:spacing w:before="2"/>
        <w:rPr>
          <w:sz w:val="18"/>
        </w:rPr>
      </w:pPr>
    </w:p>
    <w:p w14:paraId="5EC340E2" w14:textId="77777777" w:rsidR="00A71EEF" w:rsidRDefault="0081115D">
      <w:pPr>
        <w:pStyle w:val="a3"/>
        <w:spacing w:line="446" w:lineRule="auto"/>
        <w:ind w:left="840" w:right="2977" w:hanging="3"/>
      </w:pPr>
      <w:r>
        <w:t>既能喷射充实水流，又能喷射开花水流，并具有开启、关闭功能的水枪。</w:t>
      </w:r>
      <w:r>
        <w:rPr>
          <w:b/>
        </w:rPr>
        <w:t xml:space="preserve">3.7 </w:t>
      </w:r>
      <w:r>
        <w:t>多用水枪</w:t>
      </w:r>
      <w:r>
        <w:t xml:space="preserve"> multi-purpose  nozzle </w:t>
      </w:r>
    </w:p>
    <w:p w14:paraId="039CFA58" w14:textId="77777777" w:rsidR="00A71EEF" w:rsidRDefault="0081115D">
      <w:pPr>
        <w:pStyle w:val="a3"/>
        <w:spacing w:line="446" w:lineRule="auto"/>
        <w:ind w:left="418" w:right="1431" w:firstLine="419"/>
      </w:pPr>
      <w:r>
        <w:rPr>
          <w:spacing w:val="-6"/>
        </w:rPr>
        <w:t>既能喷射充实水流，又能喷射雾状水流，在喷射充实水流或喷射雾状水流的同时能喷射开花</w:t>
      </w:r>
      <w:r>
        <w:rPr>
          <w:spacing w:val="-4"/>
        </w:rPr>
        <w:t>水流，并具有开启、关闭功能的水枪。</w:t>
      </w:r>
      <w:r>
        <w:t xml:space="preserve"> </w:t>
      </w:r>
    </w:p>
    <w:p w14:paraId="383CA616" w14:textId="77777777" w:rsidR="00A71EEF" w:rsidRDefault="0081115D">
      <w:pPr>
        <w:pStyle w:val="a4"/>
        <w:numPr>
          <w:ilvl w:val="1"/>
          <w:numId w:val="983"/>
        </w:numPr>
        <w:tabs>
          <w:tab w:val="left" w:pos="1159"/>
        </w:tabs>
        <w:ind w:hanging="319"/>
        <w:rPr>
          <w:b/>
          <w:sz w:val="21"/>
        </w:rPr>
      </w:pPr>
      <w:r>
        <w:rPr>
          <w:spacing w:val="25"/>
          <w:sz w:val="21"/>
        </w:rPr>
        <w:t>射</w:t>
      </w:r>
      <w:r>
        <w:rPr>
          <w:spacing w:val="25"/>
          <w:sz w:val="21"/>
        </w:rPr>
        <w:t xml:space="preserve"> </w:t>
      </w:r>
      <w:r>
        <w:rPr>
          <w:spacing w:val="25"/>
          <w:sz w:val="21"/>
        </w:rPr>
        <w:t>程</w:t>
      </w:r>
      <w:r>
        <w:rPr>
          <w:spacing w:val="25"/>
          <w:sz w:val="21"/>
        </w:rPr>
        <w:t xml:space="preserve"> </w:t>
      </w:r>
      <w:r>
        <w:rPr>
          <w:sz w:val="21"/>
        </w:rPr>
        <w:t>reach</w:t>
      </w:r>
      <w:r>
        <w:rPr>
          <w:b/>
          <w:w w:val="99"/>
          <w:sz w:val="21"/>
        </w:rPr>
        <w:t xml:space="preserve"> </w:t>
      </w:r>
    </w:p>
    <w:p w14:paraId="09BC629A" w14:textId="77777777" w:rsidR="00A71EEF" w:rsidRDefault="00A71EEF">
      <w:pPr>
        <w:pStyle w:val="a3"/>
        <w:spacing w:before="10"/>
        <w:rPr>
          <w:b/>
          <w:sz w:val="17"/>
        </w:rPr>
      </w:pPr>
    </w:p>
    <w:p w14:paraId="1B1F61CC" w14:textId="77777777" w:rsidR="00A71EEF" w:rsidRDefault="0081115D">
      <w:pPr>
        <w:pStyle w:val="a3"/>
        <w:spacing w:line="446" w:lineRule="auto"/>
        <w:ind w:left="418" w:right="1443" w:firstLine="419"/>
      </w:pPr>
      <w:r>
        <w:t>水枪在喷射轴线上喷射水流连续散落最远处至喷嘴出口端中心在地面上的垂直投影点之间的距离折回</w:t>
      </w:r>
      <w:r>
        <w:t xml:space="preserve"> 10%</w:t>
      </w:r>
      <w:r>
        <w:t>视为射程。</w:t>
      </w:r>
      <w:r>
        <w:t xml:space="preserve"> </w:t>
      </w:r>
    </w:p>
    <w:p w14:paraId="1DF79D43" w14:textId="77777777" w:rsidR="00A71EEF" w:rsidRDefault="0081115D">
      <w:pPr>
        <w:pStyle w:val="a4"/>
        <w:numPr>
          <w:ilvl w:val="1"/>
          <w:numId w:val="983"/>
        </w:numPr>
        <w:tabs>
          <w:tab w:val="left" w:pos="1159"/>
        </w:tabs>
        <w:ind w:hanging="319"/>
        <w:rPr>
          <w:sz w:val="21"/>
        </w:rPr>
      </w:pPr>
      <w:r>
        <w:rPr>
          <w:spacing w:val="-3"/>
          <w:sz w:val="21"/>
        </w:rPr>
        <w:t>喷</w:t>
      </w:r>
      <w:r>
        <w:rPr>
          <w:spacing w:val="-3"/>
          <w:sz w:val="21"/>
        </w:rPr>
        <w:t xml:space="preserve"> </w:t>
      </w:r>
      <w:r>
        <w:rPr>
          <w:spacing w:val="-3"/>
          <w:sz w:val="21"/>
        </w:rPr>
        <w:t>雾</w:t>
      </w:r>
      <w:r>
        <w:rPr>
          <w:spacing w:val="-3"/>
          <w:sz w:val="21"/>
        </w:rPr>
        <w:t xml:space="preserve"> </w:t>
      </w:r>
      <w:r>
        <w:rPr>
          <w:spacing w:val="-3"/>
          <w:sz w:val="21"/>
        </w:rPr>
        <w:t>角</w:t>
      </w:r>
      <w:r>
        <w:rPr>
          <w:spacing w:val="-3"/>
          <w:sz w:val="21"/>
        </w:rPr>
        <w:t xml:space="preserve"> </w:t>
      </w:r>
      <w:r>
        <w:rPr>
          <w:sz w:val="21"/>
        </w:rPr>
        <w:t>spray</w:t>
      </w:r>
      <w:r>
        <w:rPr>
          <w:spacing w:val="14"/>
          <w:sz w:val="21"/>
        </w:rPr>
        <w:t xml:space="preserve"> </w:t>
      </w:r>
      <w:r>
        <w:rPr>
          <w:sz w:val="21"/>
        </w:rPr>
        <w:t xml:space="preserve">angle </w:t>
      </w:r>
    </w:p>
    <w:p w14:paraId="3F58D820" w14:textId="77777777" w:rsidR="00A71EEF" w:rsidRDefault="00A71EEF">
      <w:pPr>
        <w:pStyle w:val="a3"/>
        <w:spacing w:before="12"/>
        <w:rPr>
          <w:sz w:val="17"/>
        </w:rPr>
      </w:pPr>
    </w:p>
    <w:p w14:paraId="4E6813B9" w14:textId="77777777" w:rsidR="00A71EEF" w:rsidRDefault="0081115D">
      <w:pPr>
        <w:pStyle w:val="a3"/>
        <w:ind w:left="838"/>
      </w:pPr>
      <w:r>
        <w:t>雾状水流边缘间的夹角。</w:t>
      </w:r>
      <w:r>
        <w:t xml:space="preserve"> </w:t>
      </w:r>
    </w:p>
    <w:p w14:paraId="09C980B8" w14:textId="77777777" w:rsidR="00A71EEF" w:rsidRDefault="00A71EEF">
      <w:pPr>
        <w:pStyle w:val="a3"/>
        <w:spacing w:before="2"/>
        <w:rPr>
          <w:sz w:val="18"/>
        </w:rPr>
      </w:pPr>
    </w:p>
    <w:p w14:paraId="125BC486" w14:textId="77777777" w:rsidR="00A71EEF" w:rsidRDefault="0081115D">
      <w:pPr>
        <w:pStyle w:val="a4"/>
        <w:numPr>
          <w:ilvl w:val="1"/>
          <w:numId w:val="983"/>
        </w:numPr>
        <w:tabs>
          <w:tab w:val="left" w:pos="1264"/>
        </w:tabs>
        <w:ind w:left="1263" w:hanging="424"/>
        <w:rPr>
          <w:b/>
          <w:sz w:val="21"/>
        </w:rPr>
      </w:pPr>
      <w:r>
        <w:rPr>
          <w:spacing w:val="-2"/>
          <w:sz w:val="21"/>
        </w:rPr>
        <w:t>开</w:t>
      </w:r>
      <w:r>
        <w:rPr>
          <w:spacing w:val="-2"/>
          <w:sz w:val="21"/>
        </w:rPr>
        <w:t xml:space="preserve"> </w:t>
      </w:r>
      <w:r>
        <w:rPr>
          <w:spacing w:val="-2"/>
          <w:sz w:val="21"/>
        </w:rPr>
        <w:t>花</w:t>
      </w:r>
      <w:r>
        <w:rPr>
          <w:spacing w:val="-2"/>
          <w:sz w:val="21"/>
        </w:rPr>
        <w:t xml:space="preserve"> </w:t>
      </w:r>
      <w:r>
        <w:rPr>
          <w:spacing w:val="-2"/>
          <w:sz w:val="21"/>
        </w:rPr>
        <w:t>角</w:t>
      </w:r>
      <w:r>
        <w:rPr>
          <w:spacing w:val="-2"/>
          <w:sz w:val="21"/>
        </w:rPr>
        <w:t xml:space="preserve"> </w:t>
      </w:r>
      <w:r>
        <w:rPr>
          <w:sz w:val="21"/>
        </w:rPr>
        <w:t>safeguarding water</w:t>
      </w:r>
      <w:r>
        <w:rPr>
          <w:spacing w:val="-6"/>
          <w:sz w:val="21"/>
        </w:rPr>
        <w:t xml:space="preserve"> </w:t>
      </w:r>
      <w:r>
        <w:rPr>
          <w:sz w:val="21"/>
        </w:rPr>
        <w:t>stream angle</w:t>
      </w:r>
      <w:r>
        <w:rPr>
          <w:b/>
          <w:w w:val="99"/>
          <w:sz w:val="21"/>
        </w:rPr>
        <w:t xml:space="preserve"> </w:t>
      </w:r>
    </w:p>
    <w:p w14:paraId="658F0C90" w14:textId="77777777" w:rsidR="00A71EEF" w:rsidRDefault="00A71EEF">
      <w:pPr>
        <w:pStyle w:val="a3"/>
        <w:rPr>
          <w:b/>
          <w:sz w:val="18"/>
        </w:rPr>
      </w:pPr>
    </w:p>
    <w:p w14:paraId="3BE1DFE2" w14:textId="77777777" w:rsidR="00A71EEF" w:rsidRDefault="0081115D">
      <w:pPr>
        <w:pStyle w:val="a3"/>
        <w:ind w:left="838"/>
      </w:pPr>
      <w:r>
        <w:t>开花水流边缘间的夹角。</w:t>
      </w:r>
      <w:r>
        <w:t xml:space="preserve"> </w:t>
      </w:r>
    </w:p>
    <w:p w14:paraId="6356A655" w14:textId="77777777" w:rsidR="00A71EEF" w:rsidRDefault="00A71EEF">
      <w:pPr>
        <w:pStyle w:val="a3"/>
        <w:rPr>
          <w:sz w:val="18"/>
        </w:rPr>
      </w:pPr>
    </w:p>
    <w:p w14:paraId="0E3804CA" w14:textId="77777777" w:rsidR="00A71EEF" w:rsidRDefault="0081115D">
      <w:pPr>
        <w:pStyle w:val="a4"/>
        <w:numPr>
          <w:ilvl w:val="1"/>
          <w:numId w:val="983"/>
        </w:numPr>
        <w:tabs>
          <w:tab w:val="left" w:pos="1264"/>
        </w:tabs>
        <w:ind w:left="1263" w:hanging="424"/>
        <w:rPr>
          <w:sz w:val="21"/>
        </w:rPr>
      </w:pPr>
      <w:r>
        <w:rPr>
          <w:spacing w:val="12"/>
          <w:sz w:val="21"/>
        </w:rPr>
        <w:t>当量喷嘴直径</w:t>
      </w:r>
      <w:r>
        <w:rPr>
          <w:spacing w:val="12"/>
          <w:sz w:val="21"/>
        </w:rPr>
        <w:t xml:space="preserve"> </w:t>
      </w:r>
      <w:r>
        <w:rPr>
          <w:sz w:val="21"/>
        </w:rPr>
        <w:t>calculated</w:t>
      </w:r>
      <w:r>
        <w:rPr>
          <w:spacing w:val="103"/>
          <w:sz w:val="21"/>
        </w:rPr>
        <w:t xml:space="preserve"> </w:t>
      </w:r>
      <w:r>
        <w:rPr>
          <w:sz w:val="21"/>
        </w:rPr>
        <w:t>nozzle</w:t>
      </w:r>
      <w:r>
        <w:rPr>
          <w:spacing w:val="104"/>
          <w:sz w:val="21"/>
        </w:rPr>
        <w:t xml:space="preserve"> </w:t>
      </w:r>
      <w:r>
        <w:rPr>
          <w:sz w:val="21"/>
        </w:rPr>
        <w:t xml:space="preserve">diameter </w:t>
      </w:r>
    </w:p>
    <w:p w14:paraId="161C812B" w14:textId="77777777" w:rsidR="00A71EEF" w:rsidRDefault="00A71EEF">
      <w:pPr>
        <w:pStyle w:val="a3"/>
        <w:spacing w:before="1"/>
        <w:rPr>
          <w:sz w:val="18"/>
        </w:rPr>
      </w:pPr>
    </w:p>
    <w:p w14:paraId="5E94028B" w14:textId="77777777" w:rsidR="00A71EEF" w:rsidRDefault="0081115D">
      <w:pPr>
        <w:pStyle w:val="a3"/>
        <w:spacing w:before="1" w:line="446" w:lineRule="auto"/>
        <w:ind w:left="418" w:right="1431" w:firstLine="419"/>
      </w:pPr>
      <w:r>
        <w:rPr>
          <w:spacing w:val="-6"/>
        </w:rPr>
        <w:t>以水枪直流流量额定值和额定喷射压力为条件，流量系数为</w:t>
      </w:r>
      <w:r>
        <w:rPr>
          <w:spacing w:val="-6"/>
        </w:rPr>
        <w:t xml:space="preserve"> </w:t>
      </w:r>
      <w:r>
        <w:t>1</w:t>
      </w:r>
      <w:r>
        <w:rPr>
          <w:spacing w:val="-7"/>
        </w:rPr>
        <w:t xml:space="preserve"> </w:t>
      </w:r>
      <w:r>
        <w:rPr>
          <w:spacing w:val="-7"/>
        </w:rPr>
        <w:t>时计算的直流喷嘴直径的圆整</w:t>
      </w:r>
      <w:r>
        <w:rPr>
          <w:spacing w:val="-5"/>
        </w:rPr>
        <w:t>值。</w:t>
      </w:r>
      <w:r>
        <w:t xml:space="preserve"> </w:t>
      </w:r>
    </w:p>
    <w:p w14:paraId="6F3289FA" w14:textId="77777777" w:rsidR="00A71EEF" w:rsidRDefault="0081115D">
      <w:pPr>
        <w:pStyle w:val="4"/>
        <w:spacing w:line="275" w:lineRule="exact"/>
      </w:pPr>
      <w:r>
        <w:t xml:space="preserve">4 </w:t>
      </w:r>
      <w:r>
        <w:t>分类与型号</w:t>
      </w:r>
      <w:r>
        <w:rPr>
          <w:w w:val="99"/>
        </w:rPr>
        <w:t xml:space="preserve"> </w:t>
      </w:r>
    </w:p>
    <w:p w14:paraId="00E422DA" w14:textId="77777777" w:rsidR="00A71EEF" w:rsidRDefault="00A71EEF">
      <w:pPr>
        <w:pStyle w:val="a3"/>
        <w:spacing w:before="6"/>
        <w:rPr>
          <w:b/>
          <w:sz w:val="17"/>
        </w:rPr>
      </w:pPr>
    </w:p>
    <w:p w14:paraId="4B19AF61" w14:textId="77777777" w:rsidR="00A71EEF" w:rsidRDefault="0081115D">
      <w:pPr>
        <w:ind w:left="840"/>
        <w:rPr>
          <w:b/>
          <w:sz w:val="21"/>
        </w:rPr>
      </w:pPr>
      <w:r>
        <w:rPr>
          <w:b/>
          <w:sz w:val="21"/>
        </w:rPr>
        <w:t xml:space="preserve">4.1 </w:t>
      </w:r>
      <w:r>
        <w:rPr>
          <w:sz w:val="21"/>
        </w:rPr>
        <w:t>分</w:t>
      </w:r>
      <w:r>
        <w:rPr>
          <w:sz w:val="21"/>
        </w:rPr>
        <w:t xml:space="preserve"> </w:t>
      </w:r>
      <w:r>
        <w:rPr>
          <w:sz w:val="21"/>
        </w:rPr>
        <w:t>类</w:t>
      </w:r>
      <w:r>
        <w:rPr>
          <w:b/>
          <w:w w:val="99"/>
          <w:sz w:val="21"/>
        </w:rPr>
        <w:t xml:space="preserve"> </w:t>
      </w:r>
    </w:p>
    <w:p w14:paraId="336A0032" w14:textId="77777777" w:rsidR="00A71EEF" w:rsidRDefault="00A71EEF">
      <w:pPr>
        <w:pStyle w:val="a3"/>
        <w:rPr>
          <w:b/>
          <w:sz w:val="18"/>
        </w:rPr>
      </w:pPr>
    </w:p>
    <w:p w14:paraId="049648F2" w14:textId="77777777" w:rsidR="00A71EEF" w:rsidRDefault="0081115D">
      <w:pPr>
        <w:pStyle w:val="a4"/>
        <w:numPr>
          <w:ilvl w:val="2"/>
          <w:numId w:val="982"/>
        </w:numPr>
        <w:tabs>
          <w:tab w:val="left" w:pos="1370"/>
        </w:tabs>
        <w:spacing w:line="446" w:lineRule="auto"/>
        <w:ind w:right="6333" w:firstLine="2"/>
        <w:rPr>
          <w:sz w:val="21"/>
        </w:rPr>
      </w:pPr>
      <w:r>
        <w:rPr>
          <w:spacing w:val="-3"/>
          <w:sz w:val="21"/>
        </w:rPr>
        <w:t>按水枪的工作压力范围分为：</w:t>
      </w:r>
      <w:r>
        <w:rPr>
          <w:spacing w:val="-3"/>
          <w:sz w:val="21"/>
        </w:rPr>
        <w:t xml:space="preserve"> </w:t>
      </w:r>
      <w:r>
        <w:rPr>
          <w:sz w:val="21"/>
        </w:rPr>
        <w:t>a)</w:t>
      </w:r>
      <w:r>
        <w:rPr>
          <w:spacing w:val="15"/>
          <w:sz w:val="21"/>
        </w:rPr>
        <w:t xml:space="preserve"> </w:t>
      </w:r>
      <w:r>
        <w:rPr>
          <w:spacing w:val="15"/>
          <w:sz w:val="21"/>
        </w:rPr>
        <w:t>低压水枪</w:t>
      </w:r>
      <w:r>
        <w:rPr>
          <w:spacing w:val="15"/>
          <w:sz w:val="21"/>
        </w:rPr>
        <w:t>(</w:t>
      </w:r>
      <w:r>
        <w:rPr>
          <w:sz w:val="21"/>
        </w:rPr>
        <w:t>0.20</w:t>
      </w:r>
      <w:r>
        <w:rPr>
          <w:sz w:val="21"/>
        </w:rPr>
        <w:t>～</w:t>
      </w:r>
      <w:r>
        <w:rPr>
          <w:sz w:val="21"/>
        </w:rPr>
        <w:t>1.6 MPa)</w:t>
      </w:r>
      <w:r>
        <w:rPr>
          <w:sz w:val="21"/>
        </w:rPr>
        <w:t>；</w:t>
      </w:r>
      <w:r>
        <w:rPr>
          <w:sz w:val="21"/>
        </w:rPr>
        <w:t xml:space="preserve"> </w:t>
      </w:r>
    </w:p>
    <w:p w14:paraId="14792A08" w14:textId="77777777" w:rsidR="00A71EEF" w:rsidRDefault="0081115D">
      <w:pPr>
        <w:pStyle w:val="a3"/>
        <w:ind w:left="838"/>
      </w:pPr>
      <w:r>
        <w:t xml:space="preserve">b) </w:t>
      </w:r>
      <w:r>
        <w:t>中压水枪</w:t>
      </w:r>
      <w:r>
        <w:t xml:space="preserve">(&gt;1.6 </w:t>
      </w:r>
      <w:r>
        <w:t>～</w:t>
      </w:r>
      <w:r>
        <w:t>2.5 MPa)</w:t>
      </w:r>
      <w:r>
        <w:t>；</w:t>
      </w:r>
      <w:r>
        <w:t xml:space="preserve"> </w:t>
      </w:r>
    </w:p>
    <w:p w14:paraId="074E3EA4" w14:textId="77777777" w:rsidR="00A71EEF" w:rsidRDefault="00A71EEF">
      <w:pPr>
        <w:sectPr w:rsidR="00A71EEF">
          <w:pgSz w:w="11910" w:h="16850"/>
          <w:pgMar w:top="1220" w:right="0" w:bottom="1420" w:left="1260" w:header="0" w:footer="1239" w:gutter="0"/>
          <w:cols w:space="720"/>
        </w:sectPr>
      </w:pPr>
    </w:p>
    <w:p w14:paraId="5FC5C2DD" w14:textId="77777777" w:rsidR="00A71EEF" w:rsidRDefault="0081115D">
      <w:pPr>
        <w:pStyle w:val="a3"/>
        <w:spacing w:before="47"/>
        <w:ind w:left="838"/>
      </w:pPr>
      <w:r>
        <w:lastRenderedPageBreak/>
        <w:t xml:space="preserve">c) </w:t>
      </w:r>
      <w:r>
        <w:t>高压水枪</w:t>
      </w:r>
      <w:r>
        <w:t>(&gt;2.5</w:t>
      </w:r>
      <w:r>
        <w:t>～</w:t>
      </w:r>
      <w:r>
        <w:t>4.0 MPa)</w:t>
      </w:r>
      <w:r>
        <w:t>。</w:t>
      </w:r>
      <w:r>
        <w:t xml:space="preserve"> </w:t>
      </w:r>
    </w:p>
    <w:p w14:paraId="40D17559" w14:textId="77777777" w:rsidR="00A71EEF" w:rsidRDefault="00A71EEF">
      <w:pPr>
        <w:pStyle w:val="a3"/>
        <w:rPr>
          <w:sz w:val="18"/>
        </w:rPr>
      </w:pPr>
    </w:p>
    <w:p w14:paraId="3E8FA1BC" w14:textId="77777777" w:rsidR="00A71EEF" w:rsidRDefault="0081115D">
      <w:pPr>
        <w:pStyle w:val="a4"/>
        <w:numPr>
          <w:ilvl w:val="2"/>
          <w:numId w:val="982"/>
        </w:numPr>
        <w:tabs>
          <w:tab w:val="left" w:pos="1371"/>
        </w:tabs>
        <w:spacing w:line="446" w:lineRule="auto"/>
        <w:ind w:right="5704" w:firstLine="2"/>
        <w:rPr>
          <w:sz w:val="21"/>
        </w:rPr>
      </w:pPr>
      <w:r>
        <w:rPr>
          <w:spacing w:val="-3"/>
          <w:sz w:val="21"/>
        </w:rPr>
        <w:t>按水枪喷射的灭火水流形式可分为：</w:t>
      </w:r>
      <w:r>
        <w:rPr>
          <w:spacing w:val="-3"/>
          <w:sz w:val="21"/>
        </w:rPr>
        <w:t xml:space="preserve"> </w:t>
      </w:r>
      <w:r>
        <w:rPr>
          <w:sz w:val="21"/>
        </w:rPr>
        <w:t>a)</w:t>
      </w:r>
      <w:r>
        <w:rPr>
          <w:spacing w:val="14"/>
          <w:sz w:val="21"/>
        </w:rPr>
        <w:t xml:space="preserve"> </w:t>
      </w:r>
      <w:r>
        <w:rPr>
          <w:spacing w:val="14"/>
          <w:sz w:val="21"/>
        </w:rPr>
        <w:t>直流水枪；</w:t>
      </w:r>
      <w:r>
        <w:rPr>
          <w:sz w:val="21"/>
        </w:rPr>
        <w:t xml:space="preserve"> </w:t>
      </w:r>
    </w:p>
    <w:p w14:paraId="273C914D" w14:textId="77777777" w:rsidR="00A71EEF" w:rsidRDefault="0081115D">
      <w:pPr>
        <w:pStyle w:val="a4"/>
        <w:numPr>
          <w:ilvl w:val="0"/>
          <w:numId w:val="981"/>
        </w:numPr>
        <w:tabs>
          <w:tab w:val="left" w:pos="1051"/>
        </w:tabs>
        <w:rPr>
          <w:sz w:val="21"/>
        </w:rPr>
      </w:pPr>
      <w:r>
        <w:rPr>
          <w:spacing w:val="-3"/>
          <w:sz w:val="21"/>
        </w:rPr>
        <w:t>喷雾水枪；</w:t>
      </w:r>
      <w:r>
        <w:rPr>
          <w:sz w:val="21"/>
        </w:rPr>
        <w:t xml:space="preserve"> </w:t>
      </w:r>
    </w:p>
    <w:p w14:paraId="599EEEF1" w14:textId="77777777" w:rsidR="00A71EEF" w:rsidRDefault="00A71EEF">
      <w:pPr>
        <w:pStyle w:val="a3"/>
        <w:spacing w:before="12"/>
        <w:rPr>
          <w:sz w:val="17"/>
        </w:rPr>
      </w:pPr>
    </w:p>
    <w:p w14:paraId="414187B1" w14:textId="77777777" w:rsidR="00A71EEF" w:rsidRDefault="0081115D">
      <w:pPr>
        <w:pStyle w:val="a4"/>
        <w:numPr>
          <w:ilvl w:val="0"/>
          <w:numId w:val="981"/>
        </w:numPr>
        <w:tabs>
          <w:tab w:val="left" w:pos="1051"/>
        </w:tabs>
        <w:spacing w:line="446" w:lineRule="auto"/>
        <w:ind w:left="838" w:right="7705" w:firstLine="0"/>
        <w:rPr>
          <w:sz w:val="21"/>
        </w:rPr>
      </w:pPr>
      <w:r>
        <w:rPr>
          <w:spacing w:val="-2"/>
          <w:sz w:val="21"/>
        </w:rPr>
        <w:t>直流喷雾水枪；</w:t>
      </w:r>
      <w:r>
        <w:rPr>
          <w:spacing w:val="-2"/>
          <w:sz w:val="21"/>
        </w:rPr>
        <w:t xml:space="preserve"> </w:t>
      </w:r>
      <w:r>
        <w:rPr>
          <w:sz w:val="21"/>
        </w:rPr>
        <w:t xml:space="preserve">d) </w:t>
      </w:r>
      <w:r>
        <w:rPr>
          <w:spacing w:val="-3"/>
          <w:sz w:val="21"/>
        </w:rPr>
        <w:t>多用水枪。</w:t>
      </w:r>
      <w:r>
        <w:rPr>
          <w:sz w:val="21"/>
        </w:rPr>
        <w:t xml:space="preserve"> </w:t>
      </w:r>
    </w:p>
    <w:p w14:paraId="09FF599C" w14:textId="77777777" w:rsidR="00A71EEF" w:rsidRDefault="0081115D">
      <w:pPr>
        <w:pStyle w:val="a4"/>
        <w:numPr>
          <w:ilvl w:val="2"/>
          <w:numId w:val="982"/>
        </w:numPr>
        <w:tabs>
          <w:tab w:val="left" w:pos="1371"/>
        </w:tabs>
        <w:spacing w:line="446" w:lineRule="auto"/>
        <w:ind w:right="4021" w:firstLine="2"/>
        <w:rPr>
          <w:sz w:val="21"/>
        </w:rPr>
      </w:pPr>
      <w:r>
        <w:rPr>
          <w:spacing w:val="-5"/>
          <w:sz w:val="21"/>
        </w:rPr>
        <w:t>喷雾角可调的低压直流喷雾水枪按功能分为以下</w:t>
      </w:r>
      <w:r>
        <w:rPr>
          <w:spacing w:val="-5"/>
          <w:sz w:val="21"/>
        </w:rPr>
        <w:t xml:space="preserve"> </w:t>
      </w:r>
      <w:r>
        <w:rPr>
          <w:sz w:val="21"/>
        </w:rPr>
        <w:t>4</w:t>
      </w:r>
      <w:r>
        <w:rPr>
          <w:spacing w:val="-13"/>
          <w:sz w:val="21"/>
        </w:rPr>
        <w:t xml:space="preserve"> </w:t>
      </w:r>
      <w:r>
        <w:rPr>
          <w:spacing w:val="-13"/>
          <w:sz w:val="21"/>
        </w:rPr>
        <w:t>类：</w:t>
      </w:r>
      <w:r>
        <w:rPr>
          <w:spacing w:val="-13"/>
          <w:sz w:val="21"/>
        </w:rPr>
        <w:t xml:space="preserve"> </w:t>
      </w:r>
      <w:r>
        <w:rPr>
          <w:sz w:val="21"/>
        </w:rPr>
        <w:t>a)</w:t>
      </w:r>
      <w:r>
        <w:rPr>
          <w:spacing w:val="-3"/>
          <w:sz w:val="21"/>
        </w:rPr>
        <w:t xml:space="preserve"> </w:t>
      </w:r>
      <w:r>
        <w:rPr>
          <w:spacing w:val="-3"/>
          <w:sz w:val="21"/>
        </w:rPr>
        <w:t>第</w:t>
      </w:r>
      <w:r>
        <w:rPr>
          <w:spacing w:val="-3"/>
          <w:sz w:val="21"/>
        </w:rPr>
        <w:t>Ⅰ</w:t>
      </w:r>
      <w:r>
        <w:rPr>
          <w:spacing w:val="-3"/>
          <w:sz w:val="21"/>
        </w:rPr>
        <w:t>类：喷射压力不变，流量随喷雾角的改变而变化；</w:t>
      </w:r>
      <w:r>
        <w:rPr>
          <w:sz w:val="21"/>
        </w:rPr>
        <w:t xml:space="preserve"> </w:t>
      </w:r>
    </w:p>
    <w:p w14:paraId="241D7404" w14:textId="77777777" w:rsidR="00A71EEF" w:rsidRDefault="0081115D">
      <w:pPr>
        <w:pStyle w:val="a4"/>
        <w:numPr>
          <w:ilvl w:val="0"/>
          <w:numId w:val="980"/>
        </w:numPr>
        <w:tabs>
          <w:tab w:val="left" w:pos="1051"/>
        </w:tabs>
        <w:spacing w:line="267" w:lineRule="exact"/>
        <w:rPr>
          <w:sz w:val="21"/>
        </w:rPr>
      </w:pPr>
      <w:r>
        <w:rPr>
          <w:spacing w:val="-3"/>
          <w:sz w:val="21"/>
        </w:rPr>
        <w:t>第</w:t>
      </w:r>
      <w:r>
        <w:rPr>
          <w:spacing w:val="-3"/>
          <w:sz w:val="21"/>
        </w:rPr>
        <w:t>Ⅱ</w:t>
      </w:r>
      <w:r>
        <w:rPr>
          <w:spacing w:val="-3"/>
          <w:sz w:val="21"/>
        </w:rPr>
        <w:t>类：喷射压力不变，改变喷雾角，流量不变；</w:t>
      </w:r>
      <w:r>
        <w:rPr>
          <w:sz w:val="21"/>
        </w:rPr>
        <w:t xml:space="preserve"> </w:t>
      </w:r>
    </w:p>
    <w:p w14:paraId="18F875BA" w14:textId="77777777" w:rsidR="00A71EEF" w:rsidRDefault="00A71EEF">
      <w:pPr>
        <w:pStyle w:val="a3"/>
        <w:spacing w:before="2"/>
        <w:rPr>
          <w:sz w:val="18"/>
        </w:rPr>
      </w:pPr>
    </w:p>
    <w:p w14:paraId="0EC923DC" w14:textId="77777777" w:rsidR="00A71EEF" w:rsidRDefault="0081115D">
      <w:pPr>
        <w:pStyle w:val="a4"/>
        <w:numPr>
          <w:ilvl w:val="0"/>
          <w:numId w:val="980"/>
        </w:numPr>
        <w:tabs>
          <w:tab w:val="left" w:pos="1051"/>
        </w:tabs>
        <w:spacing w:line="446" w:lineRule="auto"/>
        <w:ind w:left="418" w:right="1505" w:firstLine="419"/>
        <w:rPr>
          <w:sz w:val="21"/>
        </w:rPr>
      </w:pPr>
      <w:r>
        <w:rPr>
          <w:spacing w:val="-3"/>
          <w:sz w:val="21"/>
        </w:rPr>
        <w:t>第</w:t>
      </w:r>
      <w:r>
        <w:rPr>
          <w:spacing w:val="-3"/>
          <w:sz w:val="21"/>
        </w:rPr>
        <w:t>Ⅲ</w:t>
      </w:r>
      <w:r>
        <w:rPr>
          <w:spacing w:val="-3"/>
          <w:sz w:val="21"/>
        </w:rPr>
        <w:t>类：喷射压力不变，在每个流量刻度喷射时，喷雾角变化，对应的流量刻度值不变；</w:t>
      </w:r>
      <w:r>
        <w:rPr>
          <w:sz w:val="21"/>
        </w:rPr>
        <w:t xml:space="preserve"> </w:t>
      </w:r>
    </w:p>
    <w:p w14:paraId="557166BE" w14:textId="77777777" w:rsidR="00A71EEF" w:rsidRDefault="0081115D">
      <w:pPr>
        <w:pStyle w:val="a4"/>
        <w:numPr>
          <w:ilvl w:val="0"/>
          <w:numId w:val="980"/>
        </w:numPr>
        <w:tabs>
          <w:tab w:val="left" w:pos="1051"/>
        </w:tabs>
        <w:spacing w:line="446" w:lineRule="auto"/>
        <w:ind w:left="840" w:right="3503" w:hanging="3"/>
        <w:rPr>
          <w:sz w:val="21"/>
        </w:rPr>
      </w:pPr>
      <w:r>
        <w:rPr>
          <w:spacing w:val="-2"/>
          <w:sz w:val="21"/>
        </w:rPr>
        <w:t>第</w:t>
      </w:r>
      <w:r>
        <w:rPr>
          <w:spacing w:val="-2"/>
          <w:sz w:val="21"/>
        </w:rPr>
        <w:t>Ⅳ</w:t>
      </w:r>
      <w:r>
        <w:rPr>
          <w:spacing w:val="-2"/>
          <w:sz w:val="21"/>
        </w:rPr>
        <w:t>类：在一定的流量范围内，流量变化时，喷射压力恒定。</w:t>
      </w:r>
      <w:r>
        <w:rPr>
          <w:spacing w:val="-2"/>
          <w:sz w:val="21"/>
        </w:rPr>
        <w:t xml:space="preserve"> </w:t>
      </w:r>
      <w:r>
        <w:rPr>
          <w:b/>
          <w:sz w:val="21"/>
        </w:rPr>
        <w:t xml:space="preserve">4.2 </w:t>
      </w:r>
      <w:r>
        <w:rPr>
          <w:spacing w:val="-2"/>
          <w:sz w:val="21"/>
        </w:rPr>
        <w:t>型号</w:t>
      </w:r>
      <w:r>
        <w:rPr>
          <w:sz w:val="21"/>
        </w:rPr>
        <w:t xml:space="preserve"> </w:t>
      </w:r>
    </w:p>
    <w:p w14:paraId="7A7F6D39" w14:textId="77777777" w:rsidR="00A71EEF" w:rsidRDefault="0081115D">
      <w:pPr>
        <w:pStyle w:val="a4"/>
        <w:numPr>
          <w:ilvl w:val="2"/>
          <w:numId w:val="979"/>
        </w:numPr>
        <w:tabs>
          <w:tab w:val="left" w:pos="1370"/>
        </w:tabs>
        <w:ind w:hanging="530"/>
        <w:rPr>
          <w:sz w:val="21"/>
        </w:rPr>
      </w:pPr>
      <w:r>
        <w:rPr>
          <w:spacing w:val="-3"/>
          <w:sz w:val="21"/>
        </w:rPr>
        <w:t>水枪的型号由类、组代号，特征代号，额定喷射压力和额定流量等组成。</w:t>
      </w:r>
      <w:r>
        <w:rPr>
          <w:spacing w:val="-3"/>
          <w:sz w:val="21"/>
        </w:rPr>
        <w:t xml:space="preserve"> </w:t>
      </w:r>
    </w:p>
    <w:p w14:paraId="058E1A9F" w14:textId="77777777" w:rsidR="00A71EEF" w:rsidRDefault="00A71EEF">
      <w:pPr>
        <w:pStyle w:val="a3"/>
        <w:spacing w:before="10"/>
        <w:rPr>
          <w:sz w:val="17"/>
        </w:rPr>
      </w:pPr>
    </w:p>
    <w:p w14:paraId="37A0036E" w14:textId="77777777" w:rsidR="00A71EEF" w:rsidRDefault="0081115D">
      <w:pPr>
        <w:pStyle w:val="a3"/>
        <w:spacing w:line="446" w:lineRule="auto"/>
        <w:ind w:left="418" w:right="1608" w:firstLine="419"/>
        <w:jc w:val="both"/>
      </w:pPr>
      <w:r>
        <w:t>型号中的额定流量除了喷雾水枪为喷雾流量外，其余均为直流流量。对于第</w:t>
      </w:r>
      <w:r>
        <w:t>Ⅲ</w:t>
      </w:r>
      <w:r>
        <w:t>类低压直流喷雾水枪，最大流量刻度值示为额定流量；对于第</w:t>
      </w:r>
      <w:r>
        <w:t>Ⅳ</w:t>
      </w:r>
      <w:r>
        <w:t>类低压直流喷雾水枪，最大直流流量示为额定流量。</w:t>
      </w:r>
      <w:r>
        <w:t xml:space="preserve"> </w:t>
      </w:r>
    </w:p>
    <w:p w14:paraId="10B0593F" w14:textId="77777777" w:rsidR="00A71EEF" w:rsidRDefault="0081115D">
      <w:pPr>
        <w:pStyle w:val="a3"/>
        <w:ind w:left="627"/>
        <w:rPr>
          <w:sz w:val="20"/>
        </w:rPr>
      </w:pPr>
      <w:r>
        <w:rPr>
          <w:noProof/>
          <w:sz w:val="20"/>
        </w:rPr>
        <w:drawing>
          <wp:inline distT="0" distB="0" distL="0" distR="0" wp14:anchorId="2E650C48" wp14:editId="7594EFA8">
            <wp:extent cx="4943895" cy="1943100"/>
            <wp:effectExtent l="0" t="0" r="0" b="0"/>
            <wp:docPr id="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8.jpeg"/>
                    <pic:cNvPicPr/>
                  </pic:nvPicPr>
                  <pic:blipFill>
                    <a:blip r:embed="rId14" cstate="print"/>
                    <a:stretch>
                      <a:fillRect/>
                    </a:stretch>
                  </pic:blipFill>
                  <pic:spPr>
                    <a:xfrm>
                      <a:off x="0" y="0"/>
                      <a:ext cx="4943895" cy="1943100"/>
                    </a:xfrm>
                    <a:prstGeom prst="rect">
                      <a:avLst/>
                    </a:prstGeom>
                  </pic:spPr>
                </pic:pic>
              </a:graphicData>
            </a:graphic>
          </wp:inline>
        </w:drawing>
      </w:r>
    </w:p>
    <w:p w14:paraId="585C87E6" w14:textId="77777777" w:rsidR="00A71EEF" w:rsidRDefault="00A71EEF">
      <w:pPr>
        <w:rPr>
          <w:sz w:val="20"/>
        </w:rPr>
        <w:sectPr w:rsidR="00A71EEF">
          <w:pgSz w:w="11910" w:h="16850"/>
          <w:pgMar w:top="1220" w:right="0" w:bottom="1420" w:left="1260" w:header="0" w:footer="1239" w:gutter="0"/>
          <w:cols w:space="720"/>
        </w:sectPr>
      </w:pPr>
    </w:p>
    <w:p w14:paraId="70D65D5D" w14:textId="77777777" w:rsidR="00A71EEF" w:rsidRDefault="0081115D">
      <w:pPr>
        <w:pStyle w:val="a4"/>
        <w:numPr>
          <w:ilvl w:val="2"/>
          <w:numId w:val="979"/>
        </w:numPr>
        <w:tabs>
          <w:tab w:val="left" w:pos="1371"/>
        </w:tabs>
        <w:spacing w:before="47"/>
        <w:ind w:left="1370" w:hanging="531"/>
        <w:rPr>
          <w:sz w:val="21"/>
        </w:rPr>
      </w:pPr>
      <w:r>
        <w:rPr>
          <w:spacing w:val="-10"/>
          <w:sz w:val="21"/>
        </w:rPr>
        <w:lastRenderedPageBreak/>
        <w:t>水枪代号见表</w:t>
      </w:r>
      <w:r>
        <w:rPr>
          <w:spacing w:val="-10"/>
          <w:sz w:val="21"/>
        </w:rPr>
        <w:t xml:space="preserve"> </w:t>
      </w:r>
      <w:r>
        <w:rPr>
          <w:spacing w:val="-3"/>
          <w:sz w:val="21"/>
        </w:rPr>
        <w:t>1</w:t>
      </w:r>
      <w:r>
        <w:rPr>
          <w:spacing w:val="-3"/>
          <w:sz w:val="21"/>
        </w:rPr>
        <w:t>。</w:t>
      </w:r>
      <w:r>
        <w:rPr>
          <w:sz w:val="21"/>
        </w:rPr>
        <w:t xml:space="preserve"> </w:t>
      </w:r>
    </w:p>
    <w:p w14:paraId="6AC8BEAE" w14:textId="77777777" w:rsidR="00A71EEF" w:rsidRDefault="00A71EEF">
      <w:pPr>
        <w:pStyle w:val="a3"/>
        <w:rPr>
          <w:sz w:val="18"/>
        </w:rPr>
      </w:pPr>
    </w:p>
    <w:p w14:paraId="324809D4" w14:textId="77777777" w:rsidR="00A71EEF" w:rsidRDefault="0081115D">
      <w:pPr>
        <w:pStyle w:val="a3"/>
        <w:spacing w:line="446" w:lineRule="auto"/>
        <w:ind w:left="418" w:right="2350" w:firstLine="419"/>
      </w:pPr>
      <w:r>
        <w:rPr>
          <w:spacing w:val="-17"/>
        </w:rPr>
        <w:t>示例</w:t>
      </w:r>
      <w:r>
        <w:rPr>
          <w:spacing w:val="-17"/>
        </w:rPr>
        <w:t xml:space="preserve"> </w:t>
      </w:r>
      <w:r>
        <w:t>1</w:t>
      </w:r>
      <w:r>
        <w:rPr>
          <w:spacing w:val="-9"/>
        </w:rPr>
        <w:t>：额定喷射压力</w:t>
      </w:r>
      <w:r>
        <w:rPr>
          <w:spacing w:val="-9"/>
        </w:rPr>
        <w:t xml:space="preserve"> </w:t>
      </w:r>
      <w:r>
        <w:t>0.35</w:t>
      </w:r>
      <w:r>
        <w:rPr>
          <w:spacing w:val="4"/>
        </w:rPr>
        <w:t xml:space="preserve"> </w:t>
      </w:r>
      <w:r>
        <w:t>MPa</w:t>
      </w:r>
      <w:r>
        <w:rPr>
          <w:spacing w:val="-9"/>
        </w:rPr>
        <w:t>，额定直流流量</w:t>
      </w:r>
      <w:r>
        <w:rPr>
          <w:spacing w:val="-9"/>
        </w:rPr>
        <w:t xml:space="preserve"> </w:t>
      </w:r>
      <w:r>
        <w:t>7.5</w:t>
      </w:r>
      <w:r>
        <w:rPr>
          <w:spacing w:val="4"/>
        </w:rPr>
        <w:t xml:space="preserve"> </w:t>
      </w:r>
      <w:r>
        <w:t>L/s</w:t>
      </w:r>
      <w:r>
        <w:rPr>
          <w:spacing w:val="-9"/>
        </w:rPr>
        <w:t xml:space="preserve"> </w:t>
      </w:r>
      <w:r>
        <w:rPr>
          <w:spacing w:val="-9"/>
        </w:rPr>
        <w:t>的直流开关水枪型号为</w:t>
      </w:r>
      <w:r>
        <w:rPr>
          <w:spacing w:val="-9"/>
        </w:rPr>
        <w:t>QZG3.5/7.5</w:t>
      </w:r>
      <w:r>
        <w:rPr>
          <w:spacing w:val="-9"/>
        </w:rPr>
        <w:t>；</w:t>
      </w:r>
      <w:r>
        <w:rPr>
          <w:spacing w:val="-9"/>
        </w:rPr>
        <w:t xml:space="preserve"> </w:t>
      </w:r>
    </w:p>
    <w:p w14:paraId="10ADE428" w14:textId="77777777" w:rsidR="00A71EEF" w:rsidRDefault="0081115D">
      <w:pPr>
        <w:pStyle w:val="a3"/>
        <w:spacing w:line="446" w:lineRule="auto"/>
        <w:ind w:left="418" w:right="1719" w:firstLine="419"/>
      </w:pPr>
      <w:r>
        <w:rPr>
          <w:spacing w:val="-17"/>
        </w:rPr>
        <w:t>示例</w:t>
      </w:r>
      <w:r>
        <w:rPr>
          <w:spacing w:val="-17"/>
        </w:rPr>
        <w:t xml:space="preserve"> </w:t>
      </w:r>
      <w:r>
        <w:t>2</w:t>
      </w:r>
      <w:r>
        <w:rPr>
          <w:spacing w:val="-9"/>
        </w:rPr>
        <w:t>：额定喷射压力</w:t>
      </w:r>
      <w:r>
        <w:rPr>
          <w:spacing w:val="-9"/>
        </w:rPr>
        <w:t xml:space="preserve"> </w:t>
      </w:r>
      <w:r>
        <w:t>0.60</w:t>
      </w:r>
      <w:r>
        <w:rPr>
          <w:spacing w:val="6"/>
        </w:rPr>
        <w:t xml:space="preserve"> </w:t>
      </w:r>
      <w:r>
        <w:t>MPa</w:t>
      </w:r>
      <w:r>
        <w:rPr>
          <w:spacing w:val="-9"/>
        </w:rPr>
        <w:t>，额定直流流量</w:t>
      </w:r>
      <w:r>
        <w:rPr>
          <w:spacing w:val="-9"/>
        </w:rPr>
        <w:t xml:space="preserve"> </w:t>
      </w:r>
      <w:r>
        <w:t>6.5</w:t>
      </w:r>
      <w:r>
        <w:rPr>
          <w:spacing w:val="6"/>
        </w:rPr>
        <w:t xml:space="preserve"> </w:t>
      </w:r>
      <w:r>
        <w:t>L/s</w:t>
      </w:r>
      <w:r>
        <w:rPr>
          <w:spacing w:val="-9"/>
        </w:rPr>
        <w:t xml:space="preserve"> </w:t>
      </w:r>
      <w:r>
        <w:rPr>
          <w:spacing w:val="-9"/>
        </w:rPr>
        <w:t>的球阀转换式多用水枪型号为</w:t>
      </w:r>
      <w:r>
        <w:rPr>
          <w:spacing w:val="-9"/>
        </w:rPr>
        <w:t>QDH6.0/6.5</w:t>
      </w:r>
      <w:r>
        <w:rPr>
          <w:spacing w:val="-9"/>
        </w:rPr>
        <w:t>；</w:t>
      </w:r>
      <w:r>
        <w:rPr>
          <w:spacing w:val="-9"/>
        </w:rPr>
        <w:t xml:space="preserve"> </w:t>
      </w:r>
    </w:p>
    <w:p w14:paraId="7A1699B6" w14:textId="77777777" w:rsidR="00A71EEF" w:rsidRDefault="0081115D">
      <w:pPr>
        <w:pStyle w:val="a3"/>
        <w:spacing w:line="446" w:lineRule="auto"/>
        <w:ind w:left="418" w:right="1613" w:firstLine="419"/>
      </w:pPr>
      <w:r>
        <w:rPr>
          <w:spacing w:val="-17"/>
        </w:rPr>
        <w:t>示例</w:t>
      </w:r>
      <w:r>
        <w:rPr>
          <w:spacing w:val="-17"/>
        </w:rPr>
        <w:t xml:space="preserve"> </w:t>
      </w:r>
      <w:r>
        <w:t>3</w:t>
      </w:r>
      <w:r>
        <w:rPr>
          <w:spacing w:val="-9"/>
        </w:rPr>
        <w:t>：额定喷射压力</w:t>
      </w:r>
      <w:r>
        <w:rPr>
          <w:spacing w:val="-9"/>
        </w:rPr>
        <w:t xml:space="preserve"> </w:t>
      </w:r>
      <w:r>
        <w:t>0.60 MPa</w:t>
      </w:r>
      <w:r>
        <w:rPr>
          <w:spacing w:val="-9"/>
        </w:rPr>
        <w:t>，额定直流流量</w:t>
      </w:r>
      <w:r>
        <w:rPr>
          <w:spacing w:val="-9"/>
        </w:rPr>
        <w:t xml:space="preserve"> </w:t>
      </w:r>
      <w:r>
        <w:t>6.5 L/s</w:t>
      </w:r>
      <w:r>
        <w:rPr>
          <w:spacing w:val="-9"/>
        </w:rPr>
        <w:t xml:space="preserve"> </w:t>
      </w:r>
      <w:r>
        <w:rPr>
          <w:spacing w:val="-9"/>
        </w:rPr>
        <w:t>的第</w:t>
      </w:r>
      <w:r>
        <w:rPr>
          <w:spacing w:val="-9"/>
        </w:rPr>
        <w:t>Ⅰ</w:t>
      </w:r>
      <w:r>
        <w:rPr>
          <w:spacing w:val="-9"/>
        </w:rPr>
        <w:t>类导流式直流喷雾水枪型号为</w:t>
      </w:r>
      <w:r>
        <w:rPr>
          <w:spacing w:val="-9"/>
        </w:rPr>
        <w:t xml:space="preserve"> QLD6.0/6.5I</w:t>
      </w:r>
      <w:r>
        <w:rPr>
          <w:spacing w:val="-9"/>
        </w:rPr>
        <w:t>；</w:t>
      </w:r>
      <w:r>
        <w:rPr>
          <w:spacing w:val="-9"/>
        </w:rPr>
        <w:t xml:space="preserve"> </w:t>
      </w:r>
    </w:p>
    <w:p w14:paraId="5013CA63" w14:textId="77777777" w:rsidR="00A71EEF" w:rsidRDefault="0081115D">
      <w:pPr>
        <w:pStyle w:val="a3"/>
        <w:spacing w:before="1"/>
        <w:rPr>
          <w:sz w:val="11"/>
        </w:rPr>
      </w:pPr>
      <w:r>
        <w:rPr>
          <w:noProof/>
        </w:rPr>
        <w:drawing>
          <wp:anchor distT="0" distB="0" distL="0" distR="0" simplePos="0" relativeHeight="251458048" behindDoc="0" locked="0" layoutInCell="1" allowOverlap="1" wp14:anchorId="6DBB0780" wp14:editId="3B1BA2ED">
            <wp:simplePos x="0" y="0"/>
            <wp:positionH relativeFrom="page">
              <wp:posOffset>1112519</wp:posOffset>
            </wp:positionH>
            <wp:positionV relativeFrom="paragraph">
              <wp:posOffset>115427</wp:posOffset>
            </wp:positionV>
            <wp:extent cx="5114924" cy="2181225"/>
            <wp:effectExtent l="0" t="0" r="0" b="0"/>
            <wp:wrapTopAndBottom/>
            <wp:docPr id="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9.jpeg"/>
                    <pic:cNvPicPr/>
                  </pic:nvPicPr>
                  <pic:blipFill>
                    <a:blip r:embed="rId15" cstate="print"/>
                    <a:stretch>
                      <a:fillRect/>
                    </a:stretch>
                  </pic:blipFill>
                  <pic:spPr>
                    <a:xfrm>
                      <a:off x="0" y="0"/>
                      <a:ext cx="5114924" cy="2181225"/>
                    </a:xfrm>
                    <a:prstGeom prst="rect">
                      <a:avLst/>
                    </a:prstGeom>
                  </pic:spPr>
                </pic:pic>
              </a:graphicData>
            </a:graphic>
          </wp:anchor>
        </w:drawing>
      </w:r>
    </w:p>
    <w:p w14:paraId="224807C4" w14:textId="77777777" w:rsidR="00A71EEF" w:rsidRDefault="0081115D">
      <w:pPr>
        <w:pStyle w:val="a3"/>
        <w:spacing w:before="164" w:line="446" w:lineRule="auto"/>
        <w:ind w:left="418" w:right="1613" w:firstLine="419"/>
      </w:pPr>
      <w:r>
        <w:rPr>
          <w:spacing w:val="-17"/>
        </w:rPr>
        <w:t>示例</w:t>
      </w:r>
      <w:r>
        <w:rPr>
          <w:spacing w:val="-17"/>
        </w:rPr>
        <w:t xml:space="preserve"> </w:t>
      </w:r>
      <w:r>
        <w:t>4</w:t>
      </w:r>
      <w:r>
        <w:rPr>
          <w:spacing w:val="-9"/>
        </w:rPr>
        <w:t>：额定喷射压力</w:t>
      </w:r>
      <w:r>
        <w:rPr>
          <w:spacing w:val="-9"/>
        </w:rPr>
        <w:t xml:space="preserve"> </w:t>
      </w:r>
      <w:r>
        <w:t>2.0 MPa</w:t>
      </w:r>
      <w:r>
        <w:rPr>
          <w:spacing w:val="-9"/>
        </w:rPr>
        <w:t>，额定直流流量</w:t>
      </w:r>
      <w:r>
        <w:rPr>
          <w:spacing w:val="-9"/>
        </w:rPr>
        <w:t xml:space="preserve"> </w:t>
      </w:r>
      <w:r>
        <w:t>3 L/s</w:t>
      </w:r>
      <w:r>
        <w:rPr>
          <w:spacing w:val="-8"/>
        </w:rPr>
        <w:t xml:space="preserve"> </w:t>
      </w:r>
      <w:r>
        <w:rPr>
          <w:spacing w:val="-8"/>
        </w:rPr>
        <w:t>的中压导流式直流喷雾水枪型号为</w:t>
      </w:r>
      <w:r>
        <w:t>QLD20/3</w:t>
      </w:r>
      <w:r>
        <w:rPr>
          <w:spacing w:val="-3"/>
        </w:rPr>
        <w:t>。</w:t>
      </w:r>
      <w:r>
        <w:t xml:space="preserve"> </w:t>
      </w:r>
      <w:r>
        <w:rPr>
          <w:spacing w:val="-2"/>
        </w:rPr>
        <w:t xml:space="preserve"> </w:t>
      </w:r>
      <w:r>
        <w:t xml:space="preserve"> </w:t>
      </w:r>
    </w:p>
    <w:p w14:paraId="405EAED6" w14:textId="77777777" w:rsidR="00A71EEF" w:rsidRDefault="0081115D">
      <w:pPr>
        <w:pStyle w:val="4"/>
        <w:spacing w:line="275" w:lineRule="exact"/>
      </w:pPr>
      <w:r>
        <w:t xml:space="preserve">5 </w:t>
      </w:r>
      <w:r>
        <w:t>性能要求</w:t>
      </w:r>
      <w:r>
        <w:rPr>
          <w:w w:val="99"/>
        </w:rPr>
        <w:t xml:space="preserve"> </w:t>
      </w:r>
    </w:p>
    <w:p w14:paraId="0B663045" w14:textId="77777777" w:rsidR="00A71EEF" w:rsidRDefault="00A71EEF">
      <w:pPr>
        <w:pStyle w:val="a3"/>
        <w:spacing w:before="6"/>
        <w:rPr>
          <w:b/>
          <w:sz w:val="17"/>
        </w:rPr>
      </w:pPr>
    </w:p>
    <w:p w14:paraId="6A568973" w14:textId="77777777" w:rsidR="00A71EEF" w:rsidRDefault="0081115D">
      <w:pPr>
        <w:pStyle w:val="a4"/>
        <w:numPr>
          <w:ilvl w:val="1"/>
          <w:numId w:val="978"/>
        </w:numPr>
        <w:tabs>
          <w:tab w:val="left" w:pos="1160"/>
        </w:tabs>
        <w:jc w:val="left"/>
        <w:rPr>
          <w:b/>
          <w:sz w:val="21"/>
        </w:rPr>
      </w:pPr>
      <w:r>
        <w:rPr>
          <w:spacing w:val="-3"/>
          <w:sz w:val="21"/>
        </w:rPr>
        <w:t>基本参数</w:t>
      </w:r>
      <w:r>
        <w:rPr>
          <w:b/>
          <w:w w:val="99"/>
          <w:sz w:val="21"/>
        </w:rPr>
        <w:t xml:space="preserve"> </w:t>
      </w:r>
    </w:p>
    <w:p w14:paraId="14E3FE6F" w14:textId="77777777" w:rsidR="00A71EEF" w:rsidRDefault="00A71EEF">
      <w:pPr>
        <w:pStyle w:val="a3"/>
        <w:spacing w:before="12"/>
        <w:rPr>
          <w:b/>
          <w:sz w:val="17"/>
        </w:rPr>
      </w:pPr>
    </w:p>
    <w:p w14:paraId="09A4B342" w14:textId="77777777" w:rsidR="00A71EEF" w:rsidRDefault="0081115D">
      <w:pPr>
        <w:pStyle w:val="a4"/>
        <w:numPr>
          <w:ilvl w:val="2"/>
          <w:numId w:val="978"/>
        </w:numPr>
        <w:tabs>
          <w:tab w:val="left" w:pos="1371"/>
        </w:tabs>
        <w:spacing w:before="1"/>
        <w:rPr>
          <w:sz w:val="21"/>
        </w:rPr>
      </w:pPr>
      <w:r>
        <w:rPr>
          <w:spacing w:val="-3"/>
          <w:sz w:val="21"/>
        </w:rPr>
        <w:t>低压水枪</w:t>
      </w:r>
      <w:r>
        <w:rPr>
          <w:sz w:val="21"/>
        </w:rPr>
        <w:t xml:space="preserve"> </w:t>
      </w:r>
    </w:p>
    <w:p w14:paraId="0E7D90AB" w14:textId="77777777" w:rsidR="00A71EEF" w:rsidRDefault="00A71EEF">
      <w:pPr>
        <w:pStyle w:val="a3"/>
        <w:spacing w:before="12"/>
        <w:rPr>
          <w:sz w:val="17"/>
        </w:rPr>
      </w:pPr>
    </w:p>
    <w:p w14:paraId="0223B19D" w14:textId="77777777" w:rsidR="00A71EEF" w:rsidRDefault="0081115D">
      <w:pPr>
        <w:pStyle w:val="a4"/>
        <w:numPr>
          <w:ilvl w:val="3"/>
          <w:numId w:val="978"/>
        </w:numPr>
        <w:tabs>
          <w:tab w:val="left" w:pos="1576"/>
        </w:tabs>
        <w:rPr>
          <w:sz w:val="19"/>
        </w:rPr>
      </w:pPr>
      <w:r>
        <w:rPr>
          <w:spacing w:val="-5"/>
          <w:sz w:val="21"/>
        </w:rPr>
        <w:t>直流水枪在额定喷射压力时，其额定流量和射程应符合表</w:t>
      </w:r>
      <w:r>
        <w:rPr>
          <w:spacing w:val="-5"/>
          <w:sz w:val="21"/>
        </w:rPr>
        <w:t xml:space="preserve"> </w:t>
      </w:r>
      <w:r>
        <w:rPr>
          <w:sz w:val="21"/>
        </w:rPr>
        <w:t>2</w:t>
      </w:r>
      <w:r>
        <w:rPr>
          <w:spacing w:val="-12"/>
          <w:sz w:val="21"/>
        </w:rPr>
        <w:t xml:space="preserve"> </w:t>
      </w:r>
      <w:r>
        <w:rPr>
          <w:spacing w:val="-12"/>
          <w:sz w:val="21"/>
        </w:rPr>
        <w:t>的要求。</w:t>
      </w:r>
      <w:r>
        <w:rPr>
          <w:spacing w:val="-12"/>
          <w:sz w:val="21"/>
        </w:rPr>
        <w:t xml:space="preserve"> </w:t>
      </w:r>
    </w:p>
    <w:p w14:paraId="2E617E12" w14:textId="77777777" w:rsidR="00A71EEF" w:rsidRDefault="00A71EEF">
      <w:pPr>
        <w:pStyle w:val="a3"/>
        <w:rPr>
          <w:sz w:val="20"/>
        </w:rPr>
      </w:pPr>
    </w:p>
    <w:p w14:paraId="6D2E4E8F" w14:textId="77777777" w:rsidR="00A71EEF" w:rsidRDefault="0081115D">
      <w:pPr>
        <w:pStyle w:val="a3"/>
        <w:spacing w:before="1"/>
        <w:rPr>
          <w:sz w:val="10"/>
        </w:rPr>
      </w:pPr>
      <w:r>
        <w:rPr>
          <w:noProof/>
        </w:rPr>
        <w:drawing>
          <wp:anchor distT="0" distB="0" distL="0" distR="0" simplePos="0" relativeHeight="251459072" behindDoc="0" locked="0" layoutInCell="1" allowOverlap="1" wp14:anchorId="2E462774" wp14:editId="5464604F">
            <wp:simplePos x="0" y="0"/>
            <wp:positionH relativeFrom="page">
              <wp:posOffset>1283969</wp:posOffset>
            </wp:positionH>
            <wp:positionV relativeFrom="paragraph">
              <wp:posOffset>106822</wp:posOffset>
            </wp:positionV>
            <wp:extent cx="5286375" cy="1857375"/>
            <wp:effectExtent l="0" t="0" r="0" b="0"/>
            <wp:wrapTopAndBottom/>
            <wp:docPr id="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0.jpeg"/>
                    <pic:cNvPicPr/>
                  </pic:nvPicPr>
                  <pic:blipFill>
                    <a:blip r:embed="rId16" cstate="print"/>
                    <a:stretch>
                      <a:fillRect/>
                    </a:stretch>
                  </pic:blipFill>
                  <pic:spPr>
                    <a:xfrm>
                      <a:off x="0" y="0"/>
                      <a:ext cx="5286375" cy="1857375"/>
                    </a:xfrm>
                    <a:prstGeom prst="rect">
                      <a:avLst/>
                    </a:prstGeom>
                  </pic:spPr>
                </pic:pic>
              </a:graphicData>
            </a:graphic>
          </wp:anchor>
        </w:drawing>
      </w:r>
    </w:p>
    <w:p w14:paraId="2488A283" w14:textId="77777777" w:rsidR="00A71EEF" w:rsidRDefault="0081115D">
      <w:pPr>
        <w:pStyle w:val="a4"/>
        <w:numPr>
          <w:ilvl w:val="3"/>
          <w:numId w:val="978"/>
        </w:numPr>
        <w:tabs>
          <w:tab w:val="left" w:pos="1576"/>
        </w:tabs>
        <w:spacing w:before="164"/>
        <w:rPr>
          <w:sz w:val="19"/>
        </w:rPr>
      </w:pPr>
      <w:r>
        <w:rPr>
          <w:spacing w:val="-5"/>
          <w:sz w:val="21"/>
        </w:rPr>
        <w:t>喷雾水枪在额定喷射压力时，其额定喷雾流量和喷雾射程应符合表</w:t>
      </w:r>
      <w:r>
        <w:rPr>
          <w:spacing w:val="-5"/>
          <w:sz w:val="21"/>
        </w:rPr>
        <w:t xml:space="preserve"> </w:t>
      </w:r>
      <w:r>
        <w:rPr>
          <w:sz w:val="21"/>
        </w:rPr>
        <w:t>3</w:t>
      </w:r>
      <w:r>
        <w:rPr>
          <w:spacing w:val="-13"/>
          <w:sz w:val="21"/>
        </w:rPr>
        <w:t xml:space="preserve"> </w:t>
      </w:r>
      <w:r>
        <w:rPr>
          <w:spacing w:val="-13"/>
          <w:sz w:val="21"/>
        </w:rPr>
        <w:t>的要求。</w:t>
      </w:r>
      <w:r>
        <w:rPr>
          <w:sz w:val="21"/>
        </w:rPr>
        <w:t xml:space="preserve"> </w:t>
      </w:r>
    </w:p>
    <w:p w14:paraId="28CF380F" w14:textId="77777777" w:rsidR="00A71EEF" w:rsidRDefault="00A71EEF">
      <w:pPr>
        <w:rPr>
          <w:sz w:val="19"/>
        </w:rPr>
        <w:sectPr w:rsidR="00A71EEF">
          <w:pgSz w:w="11910" w:h="16850"/>
          <w:pgMar w:top="1220" w:right="0" w:bottom="1420" w:left="1260" w:header="0" w:footer="1239" w:gutter="0"/>
          <w:cols w:space="720"/>
        </w:sectPr>
      </w:pPr>
    </w:p>
    <w:p w14:paraId="30A66154" w14:textId="77777777" w:rsidR="00A71EEF" w:rsidRDefault="0081115D">
      <w:pPr>
        <w:pStyle w:val="a3"/>
        <w:ind w:left="657"/>
        <w:rPr>
          <w:sz w:val="20"/>
        </w:rPr>
      </w:pPr>
      <w:r>
        <w:rPr>
          <w:noProof/>
          <w:sz w:val="20"/>
        </w:rPr>
        <w:lastRenderedPageBreak/>
        <w:drawing>
          <wp:inline distT="0" distB="0" distL="0" distR="0" wp14:anchorId="29CFA85E" wp14:editId="1E7AE6AE">
            <wp:extent cx="5292672" cy="2095500"/>
            <wp:effectExtent l="0" t="0" r="0" b="0"/>
            <wp:docPr id="1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1.jpeg"/>
                    <pic:cNvPicPr/>
                  </pic:nvPicPr>
                  <pic:blipFill>
                    <a:blip r:embed="rId17" cstate="print"/>
                    <a:stretch>
                      <a:fillRect/>
                    </a:stretch>
                  </pic:blipFill>
                  <pic:spPr>
                    <a:xfrm>
                      <a:off x="0" y="0"/>
                      <a:ext cx="5292672" cy="2095500"/>
                    </a:xfrm>
                    <a:prstGeom prst="rect">
                      <a:avLst/>
                    </a:prstGeom>
                  </pic:spPr>
                </pic:pic>
              </a:graphicData>
            </a:graphic>
          </wp:inline>
        </w:drawing>
      </w:r>
    </w:p>
    <w:p w14:paraId="79F0B119" w14:textId="77777777" w:rsidR="00A71EEF" w:rsidRDefault="00A71EEF">
      <w:pPr>
        <w:pStyle w:val="a3"/>
        <w:rPr>
          <w:sz w:val="20"/>
        </w:rPr>
      </w:pPr>
    </w:p>
    <w:p w14:paraId="21C70744" w14:textId="77777777" w:rsidR="00A71EEF" w:rsidRDefault="00A71EEF">
      <w:pPr>
        <w:pStyle w:val="a3"/>
        <w:spacing w:before="6"/>
        <w:rPr>
          <w:sz w:val="28"/>
        </w:rPr>
      </w:pPr>
    </w:p>
    <w:p w14:paraId="6B6E86DB" w14:textId="77777777" w:rsidR="00A71EEF" w:rsidRDefault="0081115D">
      <w:pPr>
        <w:pStyle w:val="a4"/>
        <w:numPr>
          <w:ilvl w:val="3"/>
          <w:numId w:val="978"/>
        </w:numPr>
        <w:tabs>
          <w:tab w:val="left" w:pos="1576"/>
        </w:tabs>
        <w:spacing w:before="72"/>
        <w:rPr>
          <w:sz w:val="19"/>
        </w:rPr>
      </w:pPr>
      <w:r>
        <w:rPr>
          <w:spacing w:val="-3"/>
          <w:sz w:val="21"/>
        </w:rPr>
        <w:t>直流喷雾水枪的流量和射程及喷射压力应符合以下要求：</w:t>
      </w:r>
      <w:r>
        <w:rPr>
          <w:sz w:val="21"/>
        </w:rPr>
        <w:t xml:space="preserve"> </w:t>
      </w:r>
    </w:p>
    <w:p w14:paraId="0A386085" w14:textId="77777777" w:rsidR="00A71EEF" w:rsidRDefault="00A71EEF">
      <w:pPr>
        <w:pStyle w:val="a3"/>
        <w:spacing w:before="12"/>
        <w:rPr>
          <w:sz w:val="17"/>
        </w:rPr>
      </w:pPr>
    </w:p>
    <w:p w14:paraId="2FDB8397" w14:textId="77777777" w:rsidR="00A71EEF" w:rsidRDefault="0081115D">
      <w:pPr>
        <w:pStyle w:val="a4"/>
        <w:numPr>
          <w:ilvl w:val="0"/>
          <w:numId w:val="977"/>
        </w:numPr>
        <w:tabs>
          <w:tab w:val="left" w:pos="1051"/>
        </w:tabs>
        <w:spacing w:line="446" w:lineRule="auto"/>
        <w:ind w:right="1611" w:firstLine="419"/>
        <w:rPr>
          <w:sz w:val="21"/>
        </w:rPr>
      </w:pPr>
      <w:r>
        <w:rPr>
          <w:spacing w:val="-3"/>
          <w:sz w:val="21"/>
        </w:rPr>
        <w:t>在额定喷射压力时，其额定流量</w:t>
      </w:r>
      <w:r>
        <w:rPr>
          <w:spacing w:val="-3"/>
          <w:sz w:val="21"/>
        </w:rPr>
        <w:t>(</w:t>
      </w:r>
      <w:r>
        <w:rPr>
          <w:spacing w:val="-3"/>
          <w:sz w:val="21"/>
        </w:rPr>
        <w:t>对于第</w:t>
      </w:r>
      <w:r>
        <w:rPr>
          <w:spacing w:val="-3"/>
          <w:sz w:val="21"/>
        </w:rPr>
        <w:t>Ⅲ</w:t>
      </w:r>
      <w:r>
        <w:rPr>
          <w:spacing w:val="-3"/>
          <w:sz w:val="21"/>
        </w:rPr>
        <w:t>类直流喷雾水枪调整到最大流量刻度值，对</w:t>
      </w:r>
      <w:r>
        <w:rPr>
          <w:spacing w:val="-5"/>
          <w:sz w:val="21"/>
        </w:rPr>
        <w:t>于第</w:t>
      </w:r>
      <w:r>
        <w:rPr>
          <w:spacing w:val="-5"/>
          <w:sz w:val="21"/>
        </w:rPr>
        <w:t>Ⅳ</w:t>
      </w:r>
      <w:r>
        <w:rPr>
          <w:spacing w:val="-5"/>
          <w:sz w:val="21"/>
        </w:rPr>
        <w:t>类直流喷雾水枪调整到最大直流流量</w:t>
      </w:r>
      <w:r>
        <w:rPr>
          <w:spacing w:val="-5"/>
          <w:sz w:val="21"/>
        </w:rPr>
        <w:t>)</w:t>
      </w:r>
      <w:r>
        <w:rPr>
          <w:spacing w:val="-5"/>
          <w:sz w:val="21"/>
        </w:rPr>
        <w:t>和直流射程应符合表</w:t>
      </w:r>
      <w:r>
        <w:rPr>
          <w:spacing w:val="-5"/>
          <w:sz w:val="21"/>
        </w:rPr>
        <w:t xml:space="preserve"> </w:t>
      </w:r>
      <w:r>
        <w:rPr>
          <w:sz w:val="21"/>
        </w:rPr>
        <w:t>4</w:t>
      </w:r>
      <w:r>
        <w:rPr>
          <w:spacing w:val="-12"/>
          <w:sz w:val="21"/>
        </w:rPr>
        <w:t xml:space="preserve"> </w:t>
      </w:r>
      <w:r>
        <w:rPr>
          <w:spacing w:val="-12"/>
          <w:sz w:val="21"/>
        </w:rPr>
        <w:t>的要求。</w:t>
      </w:r>
      <w:r>
        <w:rPr>
          <w:spacing w:val="-12"/>
          <w:sz w:val="21"/>
        </w:rPr>
        <w:t xml:space="preserve"> </w:t>
      </w:r>
    </w:p>
    <w:p w14:paraId="13541751" w14:textId="77777777" w:rsidR="00A71EEF" w:rsidRDefault="0081115D">
      <w:pPr>
        <w:pStyle w:val="a3"/>
        <w:spacing w:before="5"/>
        <w:rPr>
          <w:sz w:val="19"/>
        </w:rPr>
      </w:pPr>
      <w:r>
        <w:rPr>
          <w:noProof/>
        </w:rPr>
        <w:drawing>
          <wp:anchor distT="0" distB="0" distL="0" distR="0" simplePos="0" relativeHeight="251460096" behindDoc="0" locked="0" layoutInCell="1" allowOverlap="1" wp14:anchorId="6BF07474" wp14:editId="02B07EC7">
            <wp:simplePos x="0" y="0"/>
            <wp:positionH relativeFrom="page">
              <wp:posOffset>1151255</wp:posOffset>
            </wp:positionH>
            <wp:positionV relativeFrom="paragraph">
              <wp:posOffset>183141</wp:posOffset>
            </wp:positionV>
            <wp:extent cx="5241676" cy="2009775"/>
            <wp:effectExtent l="0" t="0" r="0" b="0"/>
            <wp:wrapTopAndBottom/>
            <wp:docPr id="1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2.jpeg"/>
                    <pic:cNvPicPr/>
                  </pic:nvPicPr>
                  <pic:blipFill>
                    <a:blip r:embed="rId18" cstate="print"/>
                    <a:stretch>
                      <a:fillRect/>
                    </a:stretch>
                  </pic:blipFill>
                  <pic:spPr>
                    <a:xfrm>
                      <a:off x="0" y="0"/>
                      <a:ext cx="5241676" cy="2009775"/>
                    </a:xfrm>
                    <a:prstGeom prst="rect">
                      <a:avLst/>
                    </a:prstGeom>
                  </pic:spPr>
                </pic:pic>
              </a:graphicData>
            </a:graphic>
          </wp:anchor>
        </w:drawing>
      </w:r>
    </w:p>
    <w:p w14:paraId="1C0F41A4" w14:textId="77777777" w:rsidR="00A71EEF" w:rsidRDefault="00A71EEF">
      <w:pPr>
        <w:pStyle w:val="a3"/>
        <w:rPr>
          <w:sz w:val="20"/>
        </w:rPr>
      </w:pPr>
    </w:p>
    <w:p w14:paraId="1055E16F" w14:textId="77777777" w:rsidR="00A71EEF" w:rsidRDefault="00A71EEF">
      <w:pPr>
        <w:pStyle w:val="a3"/>
        <w:spacing w:before="3"/>
        <w:rPr>
          <w:sz w:val="26"/>
        </w:rPr>
      </w:pPr>
    </w:p>
    <w:p w14:paraId="49B62349" w14:textId="77777777" w:rsidR="00A71EEF" w:rsidRDefault="0081115D">
      <w:pPr>
        <w:pStyle w:val="a4"/>
        <w:numPr>
          <w:ilvl w:val="0"/>
          <w:numId w:val="977"/>
        </w:numPr>
        <w:tabs>
          <w:tab w:val="left" w:pos="1051"/>
        </w:tabs>
        <w:spacing w:before="71" w:line="446" w:lineRule="auto"/>
        <w:ind w:right="1507" w:firstLine="419"/>
        <w:rPr>
          <w:sz w:val="21"/>
        </w:rPr>
      </w:pPr>
      <w:r>
        <w:rPr>
          <w:spacing w:val="-5"/>
          <w:sz w:val="21"/>
        </w:rPr>
        <w:t>第</w:t>
      </w:r>
      <w:r>
        <w:rPr>
          <w:spacing w:val="-5"/>
          <w:sz w:val="21"/>
        </w:rPr>
        <w:t>Ⅰ</w:t>
      </w:r>
      <w:r>
        <w:rPr>
          <w:spacing w:val="-5"/>
          <w:sz w:val="21"/>
        </w:rPr>
        <w:t>类直流喷雾水枪在额定喷射压力时，其最大喷雾角时的流量应在表</w:t>
      </w:r>
      <w:r>
        <w:rPr>
          <w:spacing w:val="-5"/>
          <w:sz w:val="21"/>
        </w:rPr>
        <w:t xml:space="preserve"> </w:t>
      </w:r>
      <w:r>
        <w:rPr>
          <w:sz w:val="21"/>
        </w:rPr>
        <w:t>4</w:t>
      </w:r>
      <w:r>
        <w:rPr>
          <w:spacing w:val="-9"/>
          <w:sz w:val="21"/>
        </w:rPr>
        <w:t xml:space="preserve"> </w:t>
      </w:r>
      <w:r>
        <w:rPr>
          <w:spacing w:val="-9"/>
          <w:sz w:val="21"/>
        </w:rPr>
        <w:t>额定直流流量</w:t>
      </w:r>
      <w:r>
        <w:rPr>
          <w:spacing w:val="-31"/>
          <w:sz w:val="21"/>
        </w:rPr>
        <w:t>的</w:t>
      </w:r>
      <w:r>
        <w:rPr>
          <w:spacing w:val="-31"/>
          <w:sz w:val="21"/>
        </w:rPr>
        <w:t xml:space="preserve"> </w:t>
      </w:r>
      <w:r>
        <w:rPr>
          <w:sz w:val="21"/>
        </w:rPr>
        <w:t>100%</w:t>
      </w:r>
      <w:r>
        <w:rPr>
          <w:sz w:val="21"/>
        </w:rPr>
        <w:t>～</w:t>
      </w:r>
      <w:r>
        <w:rPr>
          <w:sz w:val="21"/>
        </w:rPr>
        <w:t>150</w:t>
      </w:r>
      <w:r>
        <w:rPr>
          <w:spacing w:val="-7"/>
          <w:sz w:val="21"/>
        </w:rPr>
        <w:t>%</w:t>
      </w:r>
      <w:r>
        <w:rPr>
          <w:spacing w:val="-7"/>
          <w:sz w:val="21"/>
        </w:rPr>
        <w:t>的范围内，流量允差为士</w:t>
      </w:r>
      <w:r>
        <w:rPr>
          <w:spacing w:val="-7"/>
          <w:sz w:val="21"/>
        </w:rPr>
        <w:t xml:space="preserve"> </w:t>
      </w:r>
      <w:r>
        <w:rPr>
          <w:sz w:val="21"/>
        </w:rPr>
        <w:t>8</w:t>
      </w:r>
      <w:r>
        <w:rPr>
          <w:spacing w:val="-2"/>
          <w:sz w:val="21"/>
        </w:rPr>
        <w:t>%</w:t>
      </w:r>
      <w:r>
        <w:rPr>
          <w:spacing w:val="-2"/>
          <w:sz w:val="21"/>
        </w:rPr>
        <w:t>。</w:t>
      </w:r>
      <w:r>
        <w:rPr>
          <w:sz w:val="21"/>
        </w:rPr>
        <w:t xml:space="preserve"> </w:t>
      </w:r>
    </w:p>
    <w:p w14:paraId="6B7477B1" w14:textId="77777777" w:rsidR="00A71EEF" w:rsidRDefault="0081115D">
      <w:pPr>
        <w:pStyle w:val="a4"/>
        <w:numPr>
          <w:ilvl w:val="0"/>
          <w:numId w:val="977"/>
        </w:numPr>
        <w:tabs>
          <w:tab w:val="left" w:pos="1051"/>
        </w:tabs>
        <w:spacing w:line="446" w:lineRule="auto"/>
        <w:ind w:right="1455" w:firstLine="419"/>
        <w:rPr>
          <w:sz w:val="21"/>
        </w:rPr>
      </w:pPr>
      <w:r>
        <w:rPr>
          <w:spacing w:val="-5"/>
          <w:sz w:val="21"/>
        </w:rPr>
        <w:t>第</w:t>
      </w:r>
      <w:r>
        <w:rPr>
          <w:spacing w:val="-5"/>
          <w:sz w:val="21"/>
        </w:rPr>
        <w:t>Ⅱ</w:t>
      </w:r>
      <w:r>
        <w:rPr>
          <w:spacing w:val="-5"/>
          <w:sz w:val="21"/>
        </w:rPr>
        <w:t>类直流喷雾水枪在额定喷射压力时，其喷雾角在</w:t>
      </w:r>
      <w:r>
        <w:rPr>
          <w:spacing w:val="-5"/>
          <w:sz w:val="21"/>
        </w:rPr>
        <w:t xml:space="preserve"> </w:t>
      </w:r>
      <w:r>
        <w:rPr>
          <w:sz w:val="21"/>
        </w:rPr>
        <w:t>30°</w:t>
      </w:r>
      <w:r>
        <w:rPr>
          <w:sz w:val="21"/>
        </w:rPr>
        <w:t>、</w:t>
      </w:r>
      <w:r>
        <w:rPr>
          <w:sz w:val="21"/>
        </w:rPr>
        <w:t>70</w:t>
      </w:r>
      <w:r>
        <w:rPr>
          <w:spacing w:val="-3"/>
          <w:sz w:val="21"/>
        </w:rPr>
        <w:t>°</w:t>
      </w:r>
      <w:r>
        <w:rPr>
          <w:spacing w:val="-3"/>
          <w:sz w:val="21"/>
        </w:rPr>
        <w:t>及最大喷雾角时的流量</w:t>
      </w:r>
      <w:r>
        <w:rPr>
          <w:spacing w:val="-13"/>
          <w:sz w:val="21"/>
        </w:rPr>
        <w:t>均应在表</w:t>
      </w:r>
      <w:r>
        <w:rPr>
          <w:spacing w:val="-13"/>
          <w:sz w:val="21"/>
        </w:rPr>
        <w:t xml:space="preserve"> </w:t>
      </w:r>
      <w:r>
        <w:rPr>
          <w:sz w:val="21"/>
        </w:rPr>
        <w:t>4</w:t>
      </w:r>
      <w:r>
        <w:rPr>
          <w:spacing w:val="-14"/>
          <w:sz w:val="21"/>
        </w:rPr>
        <w:t xml:space="preserve"> </w:t>
      </w:r>
      <w:r>
        <w:rPr>
          <w:spacing w:val="-14"/>
          <w:sz w:val="21"/>
        </w:rPr>
        <w:t>额定直流流量的</w:t>
      </w:r>
      <w:r>
        <w:rPr>
          <w:spacing w:val="-14"/>
          <w:sz w:val="21"/>
        </w:rPr>
        <w:t xml:space="preserve"> </w:t>
      </w:r>
      <w:r>
        <w:rPr>
          <w:sz w:val="21"/>
        </w:rPr>
        <w:t>92%</w:t>
      </w:r>
      <w:r>
        <w:rPr>
          <w:sz w:val="21"/>
        </w:rPr>
        <w:t>～</w:t>
      </w:r>
      <w:r>
        <w:rPr>
          <w:sz w:val="21"/>
        </w:rPr>
        <w:t>108</w:t>
      </w:r>
      <w:r>
        <w:rPr>
          <w:spacing w:val="-7"/>
          <w:sz w:val="21"/>
        </w:rPr>
        <w:t>%</w:t>
      </w:r>
      <w:r>
        <w:rPr>
          <w:spacing w:val="-7"/>
          <w:sz w:val="21"/>
        </w:rPr>
        <w:t>的范围内，流量允差为士</w:t>
      </w:r>
      <w:r>
        <w:rPr>
          <w:spacing w:val="-7"/>
          <w:sz w:val="21"/>
        </w:rPr>
        <w:t xml:space="preserve"> </w:t>
      </w:r>
      <w:r>
        <w:rPr>
          <w:sz w:val="21"/>
        </w:rPr>
        <w:t>8</w:t>
      </w:r>
      <w:r>
        <w:rPr>
          <w:spacing w:val="-2"/>
          <w:sz w:val="21"/>
        </w:rPr>
        <w:t>%</w:t>
      </w:r>
      <w:r>
        <w:rPr>
          <w:spacing w:val="-2"/>
          <w:sz w:val="21"/>
        </w:rPr>
        <w:t>。</w:t>
      </w:r>
      <w:r>
        <w:rPr>
          <w:sz w:val="21"/>
        </w:rPr>
        <w:t xml:space="preserve"> </w:t>
      </w:r>
    </w:p>
    <w:p w14:paraId="6E20A8C6" w14:textId="77777777" w:rsidR="00A71EEF" w:rsidRDefault="0081115D">
      <w:pPr>
        <w:pStyle w:val="a4"/>
        <w:numPr>
          <w:ilvl w:val="0"/>
          <w:numId w:val="977"/>
        </w:numPr>
        <w:tabs>
          <w:tab w:val="left" w:pos="1051"/>
        </w:tabs>
        <w:spacing w:line="446" w:lineRule="auto"/>
        <w:ind w:right="1450" w:firstLine="419"/>
        <w:rPr>
          <w:sz w:val="21"/>
        </w:rPr>
      </w:pPr>
      <w:r>
        <w:rPr>
          <w:spacing w:val="-5"/>
          <w:sz w:val="21"/>
        </w:rPr>
        <w:t>第</w:t>
      </w:r>
      <w:r>
        <w:rPr>
          <w:spacing w:val="-5"/>
          <w:sz w:val="21"/>
        </w:rPr>
        <w:t>Ⅲ</w:t>
      </w:r>
      <w:r>
        <w:rPr>
          <w:spacing w:val="-5"/>
          <w:sz w:val="21"/>
        </w:rPr>
        <w:t>类直流喷雾水枪在额定喷射压力时，调整到最大流量刻度，其喷雾角在</w:t>
      </w:r>
      <w:r>
        <w:rPr>
          <w:spacing w:val="-5"/>
          <w:sz w:val="21"/>
        </w:rPr>
        <w:t xml:space="preserve"> </w:t>
      </w:r>
      <w:r>
        <w:rPr>
          <w:sz w:val="21"/>
        </w:rPr>
        <w:t>30</w:t>
      </w:r>
      <w:r>
        <w:rPr>
          <w:spacing w:val="5"/>
          <w:sz w:val="21"/>
        </w:rPr>
        <w:t>°</w:t>
      </w:r>
      <w:r>
        <w:rPr>
          <w:spacing w:val="5"/>
          <w:sz w:val="21"/>
        </w:rPr>
        <w:t>、</w:t>
      </w:r>
      <w:r>
        <w:rPr>
          <w:spacing w:val="5"/>
          <w:sz w:val="21"/>
        </w:rPr>
        <w:t xml:space="preserve"> </w:t>
      </w:r>
      <w:r>
        <w:rPr>
          <w:sz w:val="21"/>
        </w:rPr>
        <w:t xml:space="preserve">70° </w:t>
      </w:r>
      <w:r>
        <w:rPr>
          <w:spacing w:val="-6"/>
          <w:sz w:val="21"/>
        </w:rPr>
        <w:t>及最大喷雾角时的流量均应在表</w:t>
      </w:r>
      <w:r>
        <w:rPr>
          <w:spacing w:val="-6"/>
          <w:sz w:val="21"/>
        </w:rPr>
        <w:t xml:space="preserve"> </w:t>
      </w:r>
      <w:r>
        <w:rPr>
          <w:sz w:val="21"/>
        </w:rPr>
        <w:t>4</w:t>
      </w:r>
      <w:r>
        <w:rPr>
          <w:spacing w:val="-12"/>
          <w:sz w:val="21"/>
        </w:rPr>
        <w:t xml:space="preserve"> </w:t>
      </w:r>
      <w:r>
        <w:rPr>
          <w:spacing w:val="-12"/>
          <w:sz w:val="21"/>
        </w:rPr>
        <w:t>额定直流流量的</w:t>
      </w:r>
      <w:r>
        <w:rPr>
          <w:spacing w:val="-12"/>
          <w:sz w:val="21"/>
        </w:rPr>
        <w:t xml:space="preserve"> </w:t>
      </w:r>
      <w:r>
        <w:rPr>
          <w:sz w:val="21"/>
        </w:rPr>
        <w:t>92%</w:t>
      </w:r>
      <w:r>
        <w:rPr>
          <w:sz w:val="21"/>
        </w:rPr>
        <w:t>～</w:t>
      </w:r>
      <w:r>
        <w:rPr>
          <w:sz w:val="21"/>
        </w:rPr>
        <w:t>108</w:t>
      </w:r>
      <w:r>
        <w:rPr>
          <w:spacing w:val="-3"/>
          <w:sz w:val="21"/>
        </w:rPr>
        <w:t>%</w:t>
      </w:r>
      <w:r>
        <w:rPr>
          <w:spacing w:val="-3"/>
          <w:sz w:val="21"/>
        </w:rPr>
        <w:t>的范围内；然后依次调整到其余流</w:t>
      </w:r>
      <w:r>
        <w:rPr>
          <w:spacing w:val="-9"/>
          <w:sz w:val="21"/>
        </w:rPr>
        <w:t>量刻度，其喷雾角在</w:t>
      </w:r>
      <w:r>
        <w:rPr>
          <w:spacing w:val="-9"/>
          <w:sz w:val="21"/>
        </w:rPr>
        <w:t xml:space="preserve"> </w:t>
      </w:r>
      <w:r>
        <w:rPr>
          <w:sz w:val="21"/>
        </w:rPr>
        <w:t>30°</w:t>
      </w:r>
      <w:r>
        <w:rPr>
          <w:spacing w:val="-6"/>
          <w:sz w:val="21"/>
        </w:rPr>
        <w:t>时的流量均应符合其标称值，流量允差为士</w:t>
      </w:r>
      <w:r>
        <w:rPr>
          <w:spacing w:val="-6"/>
          <w:sz w:val="21"/>
        </w:rPr>
        <w:t xml:space="preserve"> </w:t>
      </w:r>
      <w:r>
        <w:rPr>
          <w:spacing w:val="-3"/>
          <w:sz w:val="21"/>
        </w:rPr>
        <w:t>8%</w:t>
      </w:r>
      <w:r>
        <w:rPr>
          <w:sz w:val="21"/>
        </w:rPr>
        <w:t>。</w:t>
      </w:r>
      <w:r>
        <w:rPr>
          <w:sz w:val="21"/>
        </w:rPr>
        <w:t xml:space="preserve"> </w:t>
      </w:r>
    </w:p>
    <w:p w14:paraId="75F7AE49" w14:textId="77777777" w:rsidR="00A71EEF" w:rsidRDefault="0081115D">
      <w:pPr>
        <w:pStyle w:val="a4"/>
        <w:numPr>
          <w:ilvl w:val="0"/>
          <w:numId w:val="977"/>
        </w:numPr>
        <w:tabs>
          <w:tab w:val="left" w:pos="1051"/>
        </w:tabs>
        <w:spacing w:line="268" w:lineRule="exact"/>
        <w:ind w:left="1050"/>
        <w:rPr>
          <w:sz w:val="21"/>
        </w:rPr>
      </w:pPr>
      <w:r>
        <w:rPr>
          <w:spacing w:val="-5"/>
          <w:sz w:val="21"/>
        </w:rPr>
        <w:t>第</w:t>
      </w:r>
      <w:r>
        <w:rPr>
          <w:spacing w:val="-5"/>
          <w:sz w:val="21"/>
        </w:rPr>
        <w:t>Ⅳ</w:t>
      </w:r>
      <w:r>
        <w:rPr>
          <w:spacing w:val="-5"/>
          <w:sz w:val="21"/>
        </w:rPr>
        <w:t>类直流喷雾水枪在最小流量和最大流量时，分别在喷雾角为</w:t>
      </w:r>
      <w:r>
        <w:rPr>
          <w:spacing w:val="-5"/>
          <w:sz w:val="21"/>
        </w:rPr>
        <w:t xml:space="preserve"> </w:t>
      </w:r>
      <w:r>
        <w:rPr>
          <w:sz w:val="21"/>
        </w:rPr>
        <w:t>30°</w:t>
      </w:r>
      <w:r>
        <w:rPr>
          <w:sz w:val="21"/>
        </w:rPr>
        <w:t>、</w:t>
      </w:r>
      <w:r>
        <w:rPr>
          <w:sz w:val="21"/>
        </w:rPr>
        <w:t>70°</w:t>
      </w:r>
      <w:r>
        <w:rPr>
          <w:spacing w:val="-3"/>
          <w:sz w:val="21"/>
        </w:rPr>
        <w:t>及最大喷</w:t>
      </w:r>
    </w:p>
    <w:p w14:paraId="39E61830" w14:textId="77777777" w:rsidR="00A71EEF" w:rsidRDefault="00A71EEF">
      <w:pPr>
        <w:pStyle w:val="a3"/>
        <w:spacing w:before="10"/>
        <w:rPr>
          <w:sz w:val="17"/>
        </w:rPr>
      </w:pPr>
    </w:p>
    <w:p w14:paraId="4B3AB20B" w14:textId="77777777" w:rsidR="00A71EEF" w:rsidRDefault="0081115D">
      <w:pPr>
        <w:pStyle w:val="a3"/>
        <w:ind w:left="418"/>
      </w:pPr>
      <w:r>
        <w:t>雾角的喷射压力应符合表</w:t>
      </w:r>
      <w:r>
        <w:t xml:space="preserve"> 4 </w:t>
      </w:r>
      <w:r>
        <w:t>额定喷射压力，其允差为士</w:t>
      </w:r>
      <w:r>
        <w:t xml:space="preserve"> 0.1MPa</w:t>
      </w:r>
      <w:r>
        <w:t>。</w:t>
      </w:r>
      <w:r>
        <w:t xml:space="preserve"> </w:t>
      </w:r>
    </w:p>
    <w:p w14:paraId="25CD2A36" w14:textId="77777777" w:rsidR="00A71EEF" w:rsidRDefault="00A71EEF">
      <w:pPr>
        <w:sectPr w:rsidR="00A71EEF">
          <w:pgSz w:w="11910" w:h="16850"/>
          <w:pgMar w:top="1420" w:right="0" w:bottom="1420" w:left="1260" w:header="0" w:footer="1239" w:gutter="0"/>
          <w:cols w:space="720"/>
        </w:sectPr>
      </w:pPr>
    </w:p>
    <w:p w14:paraId="4AD927C4" w14:textId="77777777" w:rsidR="00A71EEF" w:rsidRDefault="0081115D">
      <w:pPr>
        <w:pStyle w:val="a4"/>
        <w:numPr>
          <w:ilvl w:val="3"/>
          <w:numId w:val="978"/>
        </w:numPr>
        <w:tabs>
          <w:tab w:val="left" w:pos="1583"/>
        </w:tabs>
        <w:spacing w:before="47" w:line="446" w:lineRule="auto"/>
        <w:ind w:left="418" w:right="1603" w:firstLine="422"/>
        <w:rPr>
          <w:sz w:val="19"/>
        </w:rPr>
      </w:pPr>
      <w:r>
        <w:rPr>
          <w:spacing w:val="-5"/>
          <w:sz w:val="21"/>
        </w:rPr>
        <w:lastRenderedPageBreak/>
        <w:t>多用水枪在额定喷射压力时，其额定直流流量和直流射程应符合表</w:t>
      </w:r>
      <w:r>
        <w:rPr>
          <w:spacing w:val="-5"/>
          <w:sz w:val="21"/>
        </w:rPr>
        <w:t xml:space="preserve"> </w:t>
      </w:r>
      <w:r>
        <w:rPr>
          <w:sz w:val="21"/>
        </w:rPr>
        <w:t>4</w:t>
      </w:r>
      <w:r>
        <w:rPr>
          <w:spacing w:val="-10"/>
          <w:sz w:val="21"/>
        </w:rPr>
        <w:t xml:space="preserve"> </w:t>
      </w:r>
      <w:r>
        <w:rPr>
          <w:spacing w:val="-10"/>
          <w:sz w:val="21"/>
        </w:rPr>
        <w:t>的要求，其额定喷雾流量应在表</w:t>
      </w:r>
      <w:r>
        <w:rPr>
          <w:spacing w:val="-10"/>
          <w:sz w:val="21"/>
        </w:rPr>
        <w:t xml:space="preserve"> </w:t>
      </w:r>
      <w:r>
        <w:rPr>
          <w:sz w:val="21"/>
        </w:rPr>
        <w:t>4</w:t>
      </w:r>
      <w:r>
        <w:rPr>
          <w:spacing w:val="-14"/>
          <w:sz w:val="21"/>
        </w:rPr>
        <w:t xml:space="preserve"> </w:t>
      </w:r>
      <w:r>
        <w:rPr>
          <w:spacing w:val="-14"/>
          <w:sz w:val="21"/>
        </w:rPr>
        <w:t>额定直流流量的</w:t>
      </w:r>
      <w:r>
        <w:rPr>
          <w:spacing w:val="-14"/>
          <w:sz w:val="21"/>
        </w:rPr>
        <w:t xml:space="preserve"> </w:t>
      </w:r>
      <w:r>
        <w:rPr>
          <w:sz w:val="21"/>
        </w:rPr>
        <w:t>92%</w:t>
      </w:r>
      <w:r>
        <w:rPr>
          <w:sz w:val="21"/>
        </w:rPr>
        <w:t>～</w:t>
      </w:r>
      <w:r>
        <w:rPr>
          <w:sz w:val="21"/>
        </w:rPr>
        <w:t>108</w:t>
      </w:r>
      <w:r>
        <w:rPr>
          <w:spacing w:val="-8"/>
          <w:sz w:val="21"/>
        </w:rPr>
        <w:t>%</w:t>
      </w:r>
      <w:r>
        <w:rPr>
          <w:spacing w:val="-8"/>
          <w:sz w:val="21"/>
        </w:rPr>
        <w:t>范围内，流量允差为士</w:t>
      </w:r>
      <w:r>
        <w:rPr>
          <w:spacing w:val="-8"/>
          <w:sz w:val="21"/>
        </w:rPr>
        <w:t xml:space="preserve"> </w:t>
      </w:r>
      <w:r>
        <w:rPr>
          <w:spacing w:val="-3"/>
          <w:sz w:val="21"/>
        </w:rPr>
        <w:t>8%</w:t>
      </w:r>
      <w:r>
        <w:rPr>
          <w:sz w:val="21"/>
        </w:rPr>
        <w:t>。</w:t>
      </w:r>
      <w:r>
        <w:rPr>
          <w:sz w:val="21"/>
        </w:rPr>
        <w:t xml:space="preserve"> </w:t>
      </w:r>
    </w:p>
    <w:p w14:paraId="07D7755B" w14:textId="77777777" w:rsidR="00A71EEF" w:rsidRDefault="0081115D">
      <w:pPr>
        <w:pStyle w:val="a4"/>
        <w:numPr>
          <w:ilvl w:val="2"/>
          <w:numId w:val="978"/>
        </w:numPr>
        <w:tabs>
          <w:tab w:val="left" w:pos="1370"/>
        </w:tabs>
        <w:spacing w:line="267" w:lineRule="exact"/>
        <w:ind w:left="1369" w:hanging="530"/>
        <w:rPr>
          <w:sz w:val="21"/>
        </w:rPr>
      </w:pPr>
      <w:r>
        <w:rPr>
          <w:spacing w:val="-3"/>
          <w:sz w:val="21"/>
        </w:rPr>
        <w:t>中压水枪</w:t>
      </w:r>
      <w:r>
        <w:rPr>
          <w:sz w:val="21"/>
        </w:rPr>
        <w:t xml:space="preserve"> </w:t>
      </w:r>
    </w:p>
    <w:p w14:paraId="6FBDCDCB" w14:textId="77777777" w:rsidR="00A71EEF" w:rsidRDefault="00A71EEF">
      <w:pPr>
        <w:pStyle w:val="a3"/>
        <w:spacing w:before="2"/>
        <w:rPr>
          <w:sz w:val="18"/>
        </w:rPr>
      </w:pPr>
    </w:p>
    <w:p w14:paraId="5F8CC541" w14:textId="77777777" w:rsidR="00A71EEF" w:rsidRDefault="0081115D">
      <w:pPr>
        <w:pStyle w:val="a3"/>
        <w:spacing w:line="446" w:lineRule="auto"/>
        <w:ind w:left="418" w:right="1609" w:firstLine="419"/>
      </w:pPr>
      <w:r>
        <w:rPr>
          <w:spacing w:val="-5"/>
        </w:rPr>
        <w:t>中压水枪在额定喷射压力时，其额定直流流量和直流射程应符合表</w:t>
      </w:r>
      <w:r>
        <w:rPr>
          <w:spacing w:val="-5"/>
        </w:rPr>
        <w:t xml:space="preserve"> </w:t>
      </w:r>
      <w:r>
        <w:t>5</w:t>
      </w:r>
      <w:r>
        <w:rPr>
          <w:spacing w:val="-7"/>
        </w:rPr>
        <w:t xml:space="preserve"> </w:t>
      </w:r>
      <w:r>
        <w:rPr>
          <w:spacing w:val="-7"/>
        </w:rPr>
        <w:t>的要求，其最大喷雾</w:t>
      </w:r>
      <w:r>
        <w:rPr>
          <w:spacing w:val="-11"/>
        </w:rPr>
        <w:t>角时的流量应在表</w:t>
      </w:r>
      <w:r>
        <w:rPr>
          <w:spacing w:val="-11"/>
        </w:rPr>
        <w:t xml:space="preserve"> </w:t>
      </w:r>
      <w:r>
        <w:t>5</w:t>
      </w:r>
      <w:r>
        <w:rPr>
          <w:spacing w:val="-14"/>
        </w:rPr>
        <w:t xml:space="preserve"> </w:t>
      </w:r>
      <w:r>
        <w:rPr>
          <w:spacing w:val="-14"/>
        </w:rPr>
        <w:t>额定直流流量的</w:t>
      </w:r>
      <w:r>
        <w:rPr>
          <w:spacing w:val="-14"/>
        </w:rPr>
        <w:t xml:space="preserve"> </w:t>
      </w:r>
      <w:r>
        <w:t>100%</w:t>
      </w:r>
      <w:r>
        <w:t>～</w:t>
      </w:r>
      <w:r>
        <w:t>150</w:t>
      </w:r>
      <w:r>
        <w:rPr>
          <w:spacing w:val="-7"/>
        </w:rPr>
        <w:t>%</w:t>
      </w:r>
      <w:r>
        <w:rPr>
          <w:spacing w:val="-7"/>
        </w:rPr>
        <w:t>的范围内，流量允差为士</w:t>
      </w:r>
      <w:r>
        <w:rPr>
          <w:spacing w:val="-7"/>
        </w:rPr>
        <w:t xml:space="preserve"> </w:t>
      </w:r>
      <w:r>
        <w:rPr>
          <w:spacing w:val="-3"/>
        </w:rPr>
        <w:t>8%</w:t>
      </w:r>
      <w:r>
        <w:t>。</w:t>
      </w:r>
      <w:r>
        <w:t xml:space="preserve"> </w:t>
      </w:r>
    </w:p>
    <w:p w14:paraId="367826A8" w14:textId="77777777" w:rsidR="00A71EEF" w:rsidRDefault="0081115D">
      <w:pPr>
        <w:pStyle w:val="a3"/>
        <w:ind w:left="718"/>
        <w:rPr>
          <w:sz w:val="20"/>
        </w:rPr>
      </w:pPr>
      <w:r>
        <w:rPr>
          <w:noProof/>
          <w:sz w:val="20"/>
        </w:rPr>
        <w:drawing>
          <wp:inline distT="0" distB="0" distL="0" distR="0" wp14:anchorId="47FC5CDA" wp14:editId="3782F8C1">
            <wp:extent cx="5181600" cy="1038225"/>
            <wp:effectExtent l="0" t="0" r="0" b="0"/>
            <wp:docPr id="1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3.jpeg"/>
                    <pic:cNvPicPr/>
                  </pic:nvPicPr>
                  <pic:blipFill>
                    <a:blip r:embed="rId19" cstate="print"/>
                    <a:stretch>
                      <a:fillRect/>
                    </a:stretch>
                  </pic:blipFill>
                  <pic:spPr>
                    <a:xfrm>
                      <a:off x="0" y="0"/>
                      <a:ext cx="5181600" cy="1038225"/>
                    </a:xfrm>
                    <a:prstGeom prst="rect">
                      <a:avLst/>
                    </a:prstGeom>
                  </pic:spPr>
                </pic:pic>
              </a:graphicData>
            </a:graphic>
          </wp:inline>
        </w:drawing>
      </w:r>
    </w:p>
    <w:p w14:paraId="3A6FBEEB" w14:textId="77777777" w:rsidR="00A71EEF" w:rsidRDefault="00A71EEF">
      <w:pPr>
        <w:pStyle w:val="a3"/>
        <w:rPr>
          <w:sz w:val="20"/>
        </w:rPr>
      </w:pPr>
    </w:p>
    <w:p w14:paraId="6BFC0693" w14:textId="77777777" w:rsidR="00A71EEF" w:rsidRDefault="00A71EEF">
      <w:pPr>
        <w:pStyle w:val="a3"/>
        <w:rPr>
          <w:sz w:val="20"/>
        </w:rPr>
      </w:pPr>
    </w:p>
    <w:p w14:paraId="3E952100" w14:textId="77777777" w:rsidR="00A71EEF" w:rsidRDefault="0081115D">
      <w:pPr>
        <w:pStyle w:val="a4"/>
        <w:numPr>
          <w:ilvl w:val="2"/>
          <w:numId w:val="978"/>
        </w:numPr>
        <w:tabs>
          <w:tab w:val="left" w:pos="1370"/>
        </w:tabs>
        <w:spacing w:before="167"/>
        <w:ind w:left="1369" w:hanging="530"/>
        <w:rPr>
          <w:sz w:val="21"/>
        </w:rPr>
      </w:pPr>
      <w:r>
        <w:rPr>
          <w:spacing w:val="-3"/>
          <w:sz w:val="21"/>
        </w:rPr>
        <w:t>高压水枪</w:t>
      </w:r>
      <w:r>
        <w:rPr>
          <w:sz w:val="21"/>
        </w:rPr>
        <w:t xml:space="preserve"> </w:t>
      </w:r>
    </w:p>
    <w:p w14:paraId="7A1FD08B" w14:textId="77777777" w:rsidR="00A71EEF" w:rsidRDefault="00A71EEF">
      <w:pPr>
        <w:pStyle w:val="a3"/>
        <w:spacing w:before="2"/>
        <w:rPr>
          <w:sz w:val="18"/>
        </w:rPr>
      </w:pPr>
    </w:p>
    <w:p w14:paraId="319052A4" w14:textId="77777777" w:rsidR="00A71EEF" w:rsidRDefault="0081115D">
      <w:pPr>
        <w:pStyle w:val="a3"/>
        <w:spacing w:line="446" w:lineRule="auto"/>
        <w:ind w:left="418" w:right="1609" w:firstLine="419"/>
      </w:pPr>
      <w:r>
        <w:rPr>
          <w:noProof/>
        </w:rPr>
        <w:drawing>
          <wp:anchor distT="0" distB="0" distL="0" distR="0" simplePos="0" relativeHeight="251760128" behindDoc="1" locked="0" layoutInCell="1" allowOverlap="1" wp14:anchorId="368DE1A0" wp14:editId="7C1584F9">
            <wp:simplePos x="0" y="0"/>
            <wp:positionH relativeFrom="page">
              <wp:posOffset>1198880</wp:posOffset>
            </wp:positionH>
            <wp:positionV relativeFrom="paragraph">
              <wp:posOffset>525525</wp:posOffset>
            </wp:positionV>
            <wp:extent cx="5097145" cy="1143000"/>
            <wp:effectExtent l="0" t="0" r="0" b="0"/>
            <wp:wrapNone/>
            <wp:docPr id="1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4.jpeg"/>
                    <pic:cNvPicPr/>
                  </pic:nvPicPr>
                  <pic:blipFill>
                    <a:blip r:embed="rId20" cstate="print"/>
                    <a:stretch>
                      <a:fillRect/>
                    </a:stretch>
                  </pic:blipFill>
                  <pic:spPr>
                    <a:xfrm>
                      <a:off x="0" y="0"/>
                      <a:ext cx="5097145" cy="1143000"/>
                    </a:xfrm>
                    <a:prstGeom prst="rect">
                      <a:avLst/>
                    </a:prstGeom>
                  </pic:spPr>
                </pic:pic>
              </a:graphicData>
            </a:graphic>
          </wp:anchor>
        </w:drawing>
      </w:r>
      <w:r>
        <w:rPr>
          <w:spacing w:val="-5"/>
        </w:rPr>
        <w:t>高压水枪在额定喷射压力时，其额定直流流量和直流射程应符合表</w:t>
      </w:r>
      <w:r>
        <w:rPr>
          <w:spacing w:val="-5"/>
        </w:rPr>
        <w:t xml:space="preserve"> </w:t>
      </w:r>
      <w:r>
        <w:t>6</w:t>
      </w:r>
      <w:r>
        <w:rPr>
          <w:spacing w:val="-7"/>
        </w:rPr>
        <w:t xml:space="preserve"> </w:t>
      </w:r>
      <w:r>
        <w:rPr>
          <w:spacing w:val="-7"/>
        </w:rPr>
        <w:t>的要求，其最大喷雾</w:t>
      </w:r>
      <w:r>
        <w:rPr>
          <w:spacing w:val="-11"/>
        </w:rPr>
        <w:t>角时的流量应在表</w:t>
      </w:r>
      <w:r>
        <w:rPr>
          <w:spacing w:val="-11"/>
        </w:rPr>
        <w:t xml:space="preserve"> </w:t>
      </w:r>
      <w:r>
        <w:t>6</w:t>
      </w:r>
      <w:r>
        <w:rPr>
          <w:spacing w:val="-14"/>
        </w:rPr>
        <w:t xml:space="preserve"> </w:t>
      </w:r>
      <w:r>
        <w:rPr>
          <w:spacing w:val="-14"/>
        </w:rPr>
        <w:t>额定直流流量的</w:t>
      </w:r>
      <w:r>
        <w:rPr>
          <w:spacing w:val="-14"/>
        </w:rPr>
        <w:t xml:space="preserve"> </w:t>
      </w:r>
      <w:r>
        <w:t>100%</w:t>
      </w:r>
      <w:r>
        <w:t>～</w:t>
      </w:r>
      <w:r>
        <w:t>150</w:t>
      </w:r>
      <w:r>
        <w:rPr>
          <w:spacing w:val="-7"/>
        </w:rPr>
        <w:t>%</w:t>
      </w:r>
      <w:r>
        <w:rPr>
          <w:spacing w:val="-7"/>
        </w:rPr>
        <w:t>的范围内，流量允差为士</w:t>
      </w:r>
      <w:r>
        <w:rPr>
          <w:spacing w:val="-7"/>
        </w:rPr>
        <w:t xml:space="preserve"> </w:t>
      </w:r>
      <w:r>
        <w:rPr>
          <w:spacing w:val="-3"/>
        </w:rPr>
        <w:t>8%</w:t>
      </w:r>
      <w:r>
        <w:t>。</w:t>
      </w:r>
      <w:r>
        <w:t xml:space="preserve"> </w:t>
      </w:r>
    </w:p>
    <w:p w14:paraId="08BF3805" w14:textId="77777777" w:rsidR="00A71EEF" w:rsidRDefault="00A71EEF">
      <w:pPr>
        <w:pStyle w:val="a3"/>
        <w:rPr>
          <w:sz w:val="20"/>
        </w:rPr>
      </w:pPr>
    </w:p>
    <w:p w14:paraId="2AD4D483" w14:textId="77777777" w:rsidR="00A71EEF" w:rsidRDefault="00A71EEF">
      <w:pPr>
        <w:pStyle w:val="a3"/>
        <w:rPr>
          <w:sz w:val="20"/>
        </w:rPr>
      </w:pPr>
    </w:p>
    <w:p w14:paraId="41E95E03" w14:textId="77777777" w:rsidR="00A71EEF" w:rsidRDefault="00A71EEF">
      <w:pPr>
        <w:pStyle w:val="a3"/>
        <w:rPr>
          <w:sz w:val="20"/>
        </w:rPr>
      </w:pPr>
    </w:p>
    <w:p w14:paraId="30C86A50" w14:textId="77777777" w:rsidR="00A71EEF" w:rsidRDefault="00A71EEF">
      <w:pPr>
        <w:pStyle w:val="a3"/>
        <w:rPr>
          <w:sz w:val="20"/>
        </w:rPr>
      </w:pPr>
    </w:p>
    <w:p w14:paraId="13A35502" w14:textId="77777777" w:rsidR="00A71EEF" w:rsidRDefault="00A71EEF">
      <w:pPr>
        <w:pStyle w:val="a3"/>
        <w:rPr>
          <w:sz w:val="20"/>
        </w:rPr>
      </w:pPr>
    </w:p>
    <w:p w14:paraId="7C00EE50" w14:textId="77777777" w:rsidR="00A71EEF" w:rsidRDefault="00A71EEF">
      <w:pPr>
        <w:pStyle w:val="a3"/>
        <w:rPr>
          <w:sz w:val="20"/>
        </w:rPr>
      </w:pPr>
    </w:p>
    <w:p w14:paraId="4AC362EE" w14:textId="77777777" w:rsidR="00A71EEF" w:rsidRDefault="00A71EEF">
      <w:pPr>
        <w:pStyle w:val="a3"/>
        <w:rPr>
          <w:sz w:val="20"/>
        </w:rPr>
      </w:pPr>
    </w:p>
    <w:p w14:paraId="44B725A5" w14:textId="77777777" w:rsidR="00A71EEF" w:rsidRDefault="00A71EEF">
      <w:pPr>
        <w:pStyle w:val="a3"/>
        <w:rPr>
          <w:sz w:val="20"/>
        </w:rPr>
      </w:pPr>
    </w:p>
    <w:p w14:paraId="412BF4F9" w14:textId="77777777" w:rsidR="00A71EEF" w:rsidRDefault="00A71EEF">
      <w:pPr>
        <w:pStyle w:val="a3"/>
        <w:spacing w:before="12"/>
        <w:rPr>
          <w:sz w:val="20"/>
        </w:rPr>
      </w:pPr>
    </w:p>
    <w:p w14:paraId="4E61B99E" w14:textId="77777777" w:rsidR="00A71EEF" w:rsidRDefault="0081115D">
      <w:pPr>
        <w:pStyle w:val="a4"/>
        <w:numPr>
          <w:ilvl w:val="1"/>
          <w:numId w:val="978"/>
        </w:numPr>
        <w:tabs>
          <w:tab w:val="left" w:pos="1371"/>
        </w:tabs>
        <w:ind w:left="1370" w:hanging="411"/>
        <w:jc w:val="left"/>
        <w:rPr>
          <w:b/>
          <w:sz w:val="21"/>
        </w:rPr>
      </w:pPr>
      <w:r>
        <w:rPr>
          <w:spacing w:val="-28"/>
          <w:sz w:val="21"/>
        </w:rPr>
        <w:t>雾</w:t>
      </w:r>
      <w:r>
        <w:rPr>
          <w:spacing w:val="-28"/>
          <w:sz w:val="21"/>
        </w:rPr>
        <w:t xml:space="preserve"> </w:t>
      </w:r>
      <w:r>
        <w:rPr>
          <w:spacing w:val="-28"/>
          <w:sz w:val="21"/>
        </w:rPr>
        <w:t>状</w:t>
      </w:r>
      <w:r>
        <w:rPr>
          <w:spacing w:val="-28"/>
          <w:sz w:val="21"/>
        </w:rPr>
        <w:t xml:space="preserve"> </w:t>
      </w:r>
      <w:r>
        <w:rPr>
          <w:spacing w:val="-28"/>
          <w:sz w:val="21"/>
        </w:rPr>
        <w:t>水</w:t>
      </w:r>
      <w:r>
        <w:rPr>
          <w:spacing w:val="-28"/>
          <w:sz w:val="21"/>
        </w:rPr>
        <w:t xml:space="preserve"> </w:t>
      </w:r>
      <w:r>
        <w:rPr>
          <w:spacing w:val="-28"/>
          <w:sz w:val="21"/>
        </w:rPr>
        <w:t>流</w:t>
      </w:r>
      <w:r>
        <w:rPr>
          <w:spacing w:val="-28"/>
          <w:sz w:val="21"/>
        </w:rPr>
        <w:t xml:space="preserve"> </w:t>
      </w:r>
      <w:r>
        <w:rPr>
          <w:spacing w:val="-28"/>
          <w:sz w:val="21"/>
        </w:rPr>
        <w:t>及</w:t>
      </w:r>
      <w:r>
        <w:rPr>
          <w:spacing w:val="-28"/>
          <w:sz w:val="21"/>
        </w:rPr>
        <w:t xml:space="preserve"> </w:t>
      </w:r>
      <w:r>
        <w:rPr>
          <w:spacing w:val="-28"/>
          <w:sz w:val="21"/>
        </w:rPr>
        <w:t>开</w:t>
      </w:r>
      <w:r>
        <w:rPr>
          <w:spacing w:val="-28"/>
          <w:sz w:val="21"/>
        </w:rPr>
        <w:t xml:space="preserve"> </w:t>
      </w:r>
      <w:r>
        <w:rPr>
          <w:spacing w:val="-28"/>
          <w:sz w:val="21"/>
        </w:rPr>
        <w:t>花</w:t>
      </w:r>
      <w:r>
        <w:rPr>
          <w:spacing w:val="-28"/>
          <w:sz w:val="21"/>
        </w:rPr>
        <w:t xml:space="preserve"> </w:t>
      </w:r>
      <w:r>
        <w:rPr>
          <w:spacing w:val="-28"/>
          <w:sz w:val="21"/>
        </w:rPr>
        <w:t>水</w:t>
      </w:r>
      <w:r>
        <w:rPr>
          <w:spacing w:val="-28"/>
          <w:sz w:val="21"/>
        </w:rPr>
        <w:t xml:space="preserve"> </w:t>
      </w:r>
      <w:r>
        <w:rPr>
          <w:spacing w:val="-28"/>
          <w:sz w:val="21"/>
        </w:rPr>
        <w:t>流</w:t>
      </w:r>
      <w:r>
        <w:rPr>
          <w:spacing w:val="-28"/>
          <w:sz w:val="21"/>
        </w:rPr>
        <w:t xml:space="preserve"> </w:t>
      </w:r>
      <w:r>
        <w:rPr>
          <w:spacing w:val="-28"/>
          <w:sz w:val="21"/>
        </w:rPr>
        <w:t>的</w:t>
      </w:r>
      <w:r>
        <w:rPr>
          <w:spacing w:val="-28"/>
          <w:sz w:val="21"/>
        </w:rPr>
        <w:t xml:space="preserve"> </w:t>
      </w:r>
      <w:r>
        <w:rPr>
          <w:spacing w:val="-28"/>
          <w:sz w:val="21"/>
        </w:rPr>
        <w:t>要</w:t>
      </w:r>
      <w:r>
        <w:rPr>
          <w:spacing w:val="-28"/>
          <w:sz w:val="21"/>
        </w:rPr>
        <w:t xml:space="preserve"> </w:t>
      </w:r>
      <w:r>
        <w:rPr>
          <w:spacing w:val="-28"/>
          <w:sz w:val="21"/>
        </w:rPr>
        <w:t>求</w:t>
      </w:r>
      <w:r>
        <w:rPr>
          <w:spacing w:val="-45"/>
          <w:sz w:val="21"/>
        </w:rPr>
        <w:t xml:space="preserve"> </w:t>
      </w:r>
      <w:r>
        <w:rPr>
          <w:b/>
          <w:w w:val="99"/>
          <w:sz w:val="21"/>
        </w:rPr>
        <w:t xml:space="preserve"> </w:t>
      </w:r>
    </w:p>
    <w:p w14:paraId="161AAEFA" w14:textId="77777777" w:rsidR="00A71EEF" w:rsidRDefault="00A71EEF">
      <w:pPr>
        <w:pStyle w:val="a3"/>
        <w:spacing w:before="12"/>
        <w:rPr>
          <w:b/>
          <w:sz w:val="17"/>
        </w:rPr>
      </w:pPr>
    </w:p>
    <w:p w14:paraId="18B778BA" w14:textId="77777777" w:rsidR="00A71EEF" w:rsidRDefault="0081115D">
      <w:pPr>
        <w:pStyle w:val="a4"/>
        <w:numPr>
          <w:ilvl w:val="2"/>
          <w:numId w:val="976"/>
        </w:numPr>
        <w:tabs>
          <w:tab w:val="left" w:pos="1371"/>
        </w:tabs>
        <w:spacing w:line="448" w:lineRule="auto"/>
        <w:ind w:right="1604" w:firstLine="422"/>
        <w:rPr>
          <w:sz w:val="21"/>
        </w:rPr>
      </w:pPr>
      <w:r>
        <w:rPr>
          <w:spacing w:val="-3"/>
          <w:sz w:val="21"/>
        </w:rPr>
        <w:t>对于产生雾状水流或开花水流的水枪，其喷射的雾状水流或开花水流应无明显的不均匀。</w:t>
      </w:r>
      <w:r>
        <w:rPr>
          <w:sz w:val="21"/>
        </w:rPr>
        <w:t xml:space="preserve"> </w:t>
      </w:r>
    </w:p>
    <w:p w14:paraId="519F2B1F" w14:textId="77777777" w:rsidR="00A71EEF" w:rsidRDefault="0081115D">
      <w:pPr>
        <w:pStyle w:val="a4"/>
        <w:numPr>
          <w:ilvl w:val="2"/>
          <w:numId w:val="976"/>
        </w:numPr>
        <w:tabs>
          <w:tab w:val="left" w:pos="1371"/>
        </w:tabs>
        <w:spacing w:line="446" w:lineRule="auto"/>
        <w:ind w:right="1508" w:firstLine="422"/>
        <w:jc w:val="both"/>
        <w:rPr>
          <w:sz w:val="21"/>
        </w:rPr>
      </w:pPr>
      <w:r>
        <w:rPr>
          <w:spacing w:val="-5"/>
          <w:sz w:val="21"/>
        </w:rPr>
        <w:t>对于喷雾角连续可调的水枪，其连续可调喷雾角至少满足</w:t>
      </w:r>
      <w:r>
        <w:rPr>
          <w:spacing w:val="-5"/>
          <w:sz w:val="21"/>
        </w:rPr>
        <w:t xml:space="preserve"> </w:t>
      </w:r>
      <w:r>
        <w:rPr>
          <w:sz w:val="21"/>
        </w:rPr>
        <w:t>0°</w:t>
      </w:r>
      <w:r>
        <w:rPr>
          <w:sz w:val="21"/>
        </w:rPr>
        <w:t>～</w:t>
      </w:r>
      <w:r>
        <w:rPr>
          <w:sz w:val="21"/>
        </w:rPr>
        <w:t>100</w:t>
      </w:r>
      <w:r>
        <w:rPr>
          <w:spacing w:val="-2"/>
          <w:sz w:val="21"/>
        </w:rPr>
        <w:t>°</w:t>
      </w:r>
      <w:r>
        <w:rPr>
          <w:spacing w:val="-2"/>
          <w:sz w:val="21"/>
        </w:rPr>
        <w:t>可调；对于喷</w:t>
      </w:r>
      <w:r>
        <w:rPr>
          <w:spacing w:val="-6"/>
          <w:sz w:val="21"/>
        </w:rPr>
        <w:t>雾角不可调的水枪，其喷雾角应在</w:t>
      </w:r>
      <w:r>
        <w:rPr>
          <w:spacing w:val="-6"/>
          <w:sz w:val="21"/>
        </w:rPr>
        <w:t xml:space="preserve"> </w:t>
      </w:r>
      <w:r>
        <w:rPr>
          <w:sz w:val="21"/>
        </w:rPr>
        <w:t>30°</w:t>
      </w:r>
      <w:r>
        <w:rPr>
          <w:sz w:val="21"/>
        </w:rPr>
        <w:t>～</w:t>
      </w:r>
      <w:r>
        <w:rPr>
          <w:sz w:val="21"/>
        </w:rPr>
        <w:t>50</w:t>
      </w:r>
      <w:r>
        <w:rPr>
          <w:spacing w:val="-3"/>
          <w:sz w:val="21"/>
        </w:rPr>
        <w:t>°</w:t>
      </w:r>
      <w:r>
        <w:rPr>
          <w:spacing w:val="-3"/>
          <w:sz w:val="21"/>
        </w:rPr>
        <w:t>的范围内；对于开花角连续可调的水枪，其连续</w:t>
      </w:r>
      <w:r>
        <w:rPr>
          <w:spacing w:val="-7"/>
          <w:sz w:val="21"/>
        </w:rPr>
        <w:t>可调开花角至少满足</w:t>
      </w:r>
      <w:r>
        <w:rPr>
          <w:spacing w:val="-7"/>
          <w:sz w:val="21"/>
        </w:rPr>
        <w:t xml:space="preserve"> </w:t>
      </w:r>
      <w:r>
        <w:rPr>
          <w:sz w:val="21"/>
        </w:rPr>
        <w:t>30°</w:t>
      </w:r>
      <w:r>
        <w:rPr>
          <w:sz w:val="21"/>
        </w:rPr>
        <w:t>～</w:t>
      </w:r>
      <w:r>
        <w:rPr>
          <w:sz w:val="21"/>
        </w:rPr>
        <w:t>120</w:t>
      </w:r>
      <w:r>
        <w:rPr>
          <w:spacing w:val="-5"/>
          <w:sz w:val="21"/>
        </w:rPr>
        <w:t>°</w:t>
      </w:r>
      <w:r>
        <w:rPr>
          <w:spacing w:val="-5"/>
          <w:sz w:val="21"/>
        </w:rPr>
        <w:t>可调；对于开花角不可调的水枪；其开花角应在</w:t>
      </w:r>
      <w:r>
        <w:rPr>
          <w:spacing w:val="-5"/>
          <w:sz w:val="21"/>
        </w:rPr>
        <w:t xml:space="preserve"> </w:t>
      </w:r>
      <w:r>
        <w:rPr>
          <w:sz w:val="21"/>
        </w:rPr>
        <w:t>90°</w:t>
      </w:r>
      <w:r>
        <w:rPr>
          <w:sz w:val="21"/>
        </w:rPr>
        <w:t>～</w:t>
      </w:r>
      <w:r>
        <w:rPr>
          <w:sz w:val="21"/>
        </w:rPr>
        <w:t xml:space="preserve">120° </w:t>
      </w:r>
      <w:r>
        <w:rPr>
          <w:spacing w:val="-2"/>
          <w:sz w:val="21"/>
        </w:rPr>
        <w:t>的范围内。</w:t>
      </w:r>
      <w:r>
        <w:rPr>
          <w:sz w:val="21"/>
        </w:rPr>
        <w:t xml:space="preserve"> </w:t>
      </w:r>
    </w:p>
    <w:p w14:paraId="62461CE6" w14:textId="77777777" w:rsidR="00A71EEF" w:rsidRDefault="0081115D">
      <w:pPr>
        <w:pStyle w:val="a4"/>
        <w:numPr>
          <w:ilvl w:val="1"/>
          <w:numId w:val="978"/>
        </w:numPr>
        <w:tabs>
          <w:tab w:val="left" w:pos="1159"/>
        </w:tabs>
        <w:spacing w:line="266" w:lineRule="exact"/>
        <w:ind w:left="1158" w:hanging="319"/>
        <w:jc w:val="left"/>
        <w:rPr>
          <w:b/>
          <w:sz w:val="21"/>
        </w:rPr>
      </w:pPr>
      <w:r>
        <w:rPr>
          <w:spacing w:val="-3"/>
          <w:sz w:val="21"/>
        </w:rPr>
        <w:t>操作结构要求</w:t>
      </w:r>
      <w:r>
        <w:rPr>
          <w:b/>
          <w:spacing w:val="-3"/>
          <w:w w:val="99"/>
          <w:sz w:val="21"/>
        </w:rPr>
        <w:t xml:space="preserve"> </w:t>
      </w:r>
    </w:p>
    <w:p w14:paraId="36CF9F30" w14:textId="77777777" w:rsidR="00A71EEF" w:rsidRDefault="00A71EEF">
      <w:pPr>
        <w:pStyle w:val="a3"/>
        <w:spacing w:before="11"/>
        <w:rPr>
          <w:b/>
          <w:sz w:val="17"/>
        </w:rPr>
      </w:pPr>
    </w:p>
    <w:p w14:paraId="561AC309" w14:textId="77777777" w:rsidR="00A71EEF" w:rsidRDefault="0081115D">
      <w:pPr>
        <w:pStyle w:val="a4"/>
        <w:numPr>
          <w:ilvl w:val="2"/>
          <w:numId w:val="978"/>
        </w:numPr>
        <w:tabs>
          <w:tab w:val="left" w:pos="1371"/>
        </w:tabs>
        <w:spacing w:line="446" w:lineRule="auto"/>
        <w:ind w:left="418" w:right="1813" w:firstLine="422"/>
        <w:rPr>
          <w:sz w:val="21"/>
        </w:rPr>
      </w:pPr>
      <w:r>
        <w:rPr>
          <w:spacing w:val="-3"/>
          <w:sz w:val="21"/>
        </w:rPr>
        <w:t>对于直流开关水枪，杆式手柄指向水枪出口是</w:t>
      </w:r>
      <w:r>
        <w:rPr>
          <w:spacing w:val="-3"/>
          <w:sz w:val="21"/>
        </w:rPr>
        <w:t>“</w:t>
      </w:r>
      <w:r>
        <w:rPr>
          <w:spacing w:val="-3"/>
          <w:sz w:val="21"/>
        </w:rPr>
        <w:t>开</w:t>
      </w:r>
      <w:r>
        <w:rPr>
          <w:spacing w:val="-3"/>
          <w:sz w:val="21"/>
        </w:rPr>
        <w:t>”</w:t>
      </w:r>
      <w:r>
        <w:rPr>
          <w:spacing w:val="-3"/>
          <w:sz w:val="21"/>
        </w:rPr>
        <w:t>，杆式手柄垂直水枪轴线是</w:t>
      </w:r>
      <w:r>
        <w:rPr>
          <w:spacing w:val="-3"/>
          <w:sz w:val="21"/>
        </w:rPr>
        <w:t>“</w:t>
      </w:r>
      <w:r>
        <w:rPr>
          <w:spacing w:val="-3"/>
          <w:sz w:val="21"/>
        </w:rPr>
        <w:t>关</w:t>
      </w:r>
      <w:r>
        <w:rPr>
          <w:spacing w:val="-3"/>
          <w:sz w:val="21"/>
        </w:rPr>
        <w:t>”</w:t>
      </w:r>
      <w:r>
        <w:rPr>
          <w:spacing w:val="-3"/>
          <w:sz w:val="21"/>
        </w:rPr>
        <w:t>，并且在这两个位置有限位功能。</w:t>
      </w:r>
      <w:r>
        <w:rPr>
          <w:sz w:val="21"/>
        </w:rPr>
        <w:t xml:space="preserve"> </w:t>
      </w:r>
    </w:p>
    <w:p w14:paraId="5BB91EDD" w14:textId="77777777" w:rsidR="00A71EEF" w:rsidRDefault="00A71EEF">
      <w:pPr>
        <w:spacing w:line="446" w:lineRule="auto"/>
        <w:rPr>
          <w:sz w:val="21"/>
        </w:rPr>
        <w:sectPr w:rsidR="00A71EEF">
          <w:pgSz w:w="11910" w:h="16850"/>
          <w:pgMar w:top="1220" w:right="0" w:bottom="1420" w:left="1260" w:header="0" w:footer="1239" w:gutter="0"/>
          <w:cols w:space="720"/>
        </w:sectPr>
      </w:pPr>
    </w:p>
    <w:p w14:paraId="67E1E205" w14:textId="77777777" w:rsidR="00A71EEF" w:rsidRDefault="0081115D">
      <w:pPr>
        <w:pStyle w:val="a4"/>
        <w:numPr>
          <w:ilvl w:val="2"/>
          <w:numId w:val="978"/>
        </w:numPr>
        <w:tabs>
          <w:tab w:val="left" w:pos="1370"/>
        </w:tabs>
        <w:spacing w:before="47" w:line="446" w:lineRule="auto"/>
        <w:ind w:left="418" w:right="1608" w:firstLine="422"/>
        <w:rPr>
          <w:b/>
          <w:sz w:val="21"/>
        </w:rPr>
      </w:pPr>
      <w:r>
        <w:rPr>
          <w:spacing w:val="-2"/>
          <w:sz w:val="21"/>
        </w:rPr>
        <w:lastRenderedPageBreak/>
        <w:t>对于球阀转换式直流喷雾水枪、球阀转换式多用水枪，杆式手柄指向水枪出口是</w:t>
      </w:r>
      <w:r>
        <w:rPr>
          <w:spacing w:val="-2"/>
          <w:sz w:val="21"/>
        </w:rPr>
        <w:t xml:space="preserve"> “ </w:t>
      </w:r>
      <w:r>
        <w:rPr>
          <w:spacing w:val="-3"/>
          <w:sz w:val="21"/>
        </w:rPr>
        <w:t>直流</w:t>
      </w:r>
      <w:r>
        <w:rPr>
          <w:spacing w:val="-3"/>
          <w:sz w:val="21"/>
        </w:rPr>
        <w:t>”</w:t>
      </w:r>
      <w:r>
        <w:rPr>
          <w:spacing w:val="-3"/>
          <w:sz w:val="21"/>
        </w:rPr>
        <w:t>，杆式手柄指向水枪进口是</w:t>
      </w:r>
      <w:r>
        <w:rPr>
          <w:spacing w:val="-3"/>
          <w:sz w:val="21"/>
        </w:rPr>
        <w:t>“</w:t>
      </w:r>
      <w:r>
        <w:rPr>
          <w:spacing w:val="-3"/>
          <w:sz w:val="21"/>
        </w:rPr>
        <w:t>喷雾</w:t>
      </w:r>
      <w:r>
        <w:rPr>
          <w:spacing w:val="-3"/>
          <w:sz w:val="21"/>
        </w:rPr>
        <w:t>”</w:t>
      </w:r>
      <w:r>
        <w:rPr>
          <w:spacing w:val="-3"/>
          <w:sz w:val="21"/>
        </w:rPr>
        <w:t>，杆式手柄垂直水枪轴线是</w:t>
      </w:r>
      <w:r>
        <w:rPr>
          <w:spacing w:val="-3"/>
          <w:sz w:val="21"/>
        </w:rPr>
        <w:t>“</w:t>
      </w:r>
      <w:r>
        <w:rPr>
          <w:spacing w:val="-3"/>
          <w:sz w:val="21"/>
        </w:rPr>
        <w:t>关</w:t>
      </w:r>
      <w:r>
        <w:rPr>
          <w:spacing w:val="-3"/>
          <w:sz w:val="21"/>
        </w:rPr>
        <w:t>”</w:t>
      </w:r>
      <w:r>
        <w:rPr>
          <w:spacing w:val="-3"/>
          <w:sz w:val="21"/>
        </w:rPr>
        <w:t>，并且在</w:t>
      </w:r>
      <w:r>
        <w:rPr>
          <w:spacing w:val="-3"/>
          <w:sz w:val="21"/>
        </w:rPr>
        <w:t>“</w:t>
      </w:r>
      <w:r>
        <w:rPr>
          <w:spacing w:val="-3"/>
          <w:sz w:val="21"/>
        </w:rPr>
        <w:t>直流</w:t>
      </w:r>
      <w:r>
        <w:rPr>
          <w:spacing w:val="-3"/>
          <w:sz w:val="21"/>
        </w:rPr>
        <w:t>”</w:t>
      </w:r>
      <w:r>
        <w:rPr>
          <w:spacing w:val="-3"/>
          <w:sz w:val="21"/>
        </w:rPr>
        <w:t>和</w:t>
      </w:r>
      <w:r>
        <w:rPr>
          <w:spacing w:val="-3"/>
          <w:sz w:val="21"/>
        </w:rPr>
        <w:t>“</w:t>
      </w:r>
      <w:r>
        <w:rPr>
          <w:spacing w:val="-3"/>
          <w:sz w:val="21"/>
        </w:rPr>
        <w:t>喷雾</w:t>
      </w:r>
      <w:r>
        <w:rPr>
          <w:spacing w:val="-3"/>
          <w:sz w:val="21"/>
        </w:rPr>
        <w:t>”</w:t>
      </w:r>
      <w:r>
        <w:rPr>
          <w:spacing w:val="-3"/>
          <w:sz w:val="21"/>
        </w:rPr>
        <w:t>位置有限位功能。</w:t>
      </w:r>
      <w:r>
        <w:rPr>
          <w:b/>
          <w:w w:val="99"/>
          <w:sz w:val="21"/>
        </w:rPr>
        <w:t xml:space="preserve"> </w:t>
      </w:r>
    </w:p>
    <w:p w14:paraId="5FA8BC92" w14:textId="77777777" w:rsidR="00A71EEF" w:rsidRDefault="0081115D">
      <w:pPr>
        <w:pStyle w:val="a4"/>
        <w:numPr>
          <w:ilvl w:val="2"/>
          <w:numId w:val="978"/>
        </w:numPr>
        <w:tabs>
          <w:tab w:val="left" w:pos="1371"/>
        </w:tabs>
        <w:spacing w:line="446" w:lineRule="auto"/>
        <w:ind w:left="418" w:right="1604" w:firstLine="422"/>
        <w:rPr>
          <w:sz w:val="21"/>
        </w:rPr>
      </w:pPr>
      <w:r>
        <w:rPr>
          <w:spacing w:val="-3"/>
          <w:sz w:val="21"/>
        </w:rPr>
        <w:t>对于带有弓形手柄的导流式直流喷雾水枪，弓形手柄指向水枪进口是</w:t>
      </w:r>
      <w:r>
        <w:rPr>
          <w:spacing w:val="-3"/>
          <w:sz w:val="21"/>
        </w:rPr>
        <w:t>“</w:t>
      </w:r>
      <w:r>
        <w:rPr>
          <w:spacing w:val="-3"/>
          <w:sz w:val="21"/>
        </w:rPr>
        <w:t>开</w:t>
      </w:r>
      <w:r>
        <w:rPr>
          <w:spacing w:val="-3"/>
          <w:sz w:val="21"/>
        </w:rPr>
        <w:t>”</w:t>
      </w:r>
      <w:r>
        <w:rPr>
          <w:spacing w:val="-3"/>
          <w:sz w:val="21"/>
        </w:rPr>
        <w:t>，弓形手柄指向水枪出口是</w:t>
      </w:r>
      <w:r>
        <w:rPr>
          <w:spacing w:val="-3"/>
          <w:sz w:val="21"/>
        </w:rPr>
        <w:t>“</w:t>
      </w:r>
      <w:r>
        <w:rPr>
          <w:spacing w:val="-3"/>
          <w:sz w:val="21"/>
        </w:rPr>
        <w:t>关</w:t>
      </w:r>
      <w:r>
        <w:rPr>
          <w:spacing w:val="-3"/>
          <w:sz w:val="21"/>
        </w:rPr>
        <w:t>”</w:t>
      </w:r>
      <w:r>
        <w:rPr>
          <w:spacing w:val="-3"/>
          <w:sz w:val="21"/>
        </w:rPr>
        <w:t>，并且在这两个位置有限位功能。</w:t>
      </w:r>
      <w:r>
        <w:rPr>
          <w:sz w:val="21"/>
        </w:rPr>
        <w:t xml:space="preserve"> </w:t>
      </w:r>
    </w:p>
    <w:p w14:paraId="67571650" w14:textId="77777777" w:rsidR="00A71EEF" w:rsidRDefault="0081115D">
      <w:pPr>
        <w:pStyle w:val="a4"/>
        <w:numPr>
          <w:ilvl w:val="2"/>
          <w:numId w:val="978"/>
        </w:numPr>
        <w:tabs>
          <w:tab w:val="left" w:pos="1371"/>
        </w:tabs>
        <w:spacing w:line="446" w:lineRule="auto"/>
        <w:ind w:left="418" w:right="1604" w:firstLine="422"/>
        <w:rPr>
          <w:sz w:val="21"/>
        </w:rPr>
      </w:pPr>
      <w:r>
        <w:rPr>
          <w:spacing w:val="-3"/>
          <w:sz w:val="21"/>
        </w:rPr>
        <w:t>对于直流喷雾水枪、直流开花水枪，其调节喷雾角和开花角的旋转开关的关闭方向从水枪的进口看是顺时针。</w:t>
      </w:r>
      <w:r>
        <w:rPr>
          <w:spacing w:val="-3"/>
          <w:sz w:val="21"/>
        </w:rPr>
        <w:t xml:space="preserve"> </w:t>
      </w:r>
    </w:p>
    <w:p w14:paraId="12FFDCC6" w14:textId="77777777" w:rsidR="00A71EEF" w:rsidRDefault="0081115D">
      <w:pPr>
        <w:pStyle w:val="a4"/>
        <w:numPr>
          <w:ilvl w:val="2"/>
          <w:numId w:val="978"/>
        </w:numPr>
        <w:tabs>
          <w:tab w:val="left" w:pos="1370"/>
        </w:tabs>
        <w:ind w:left="1369" w:hanging="530"/>
        <w:rPr>
          <w:sz w:val="21"/>
        </w:rPr>
      </w:pPr>
      <w:r>
        <w:rPr>
          <w:spacing w:val="-3"/>
          <w:sz w:val="21"/>
        </w:rPr>
        <w:t>对于中压水枪、高压水枪的扳机式开关，手握紧是</w:t>
      </w:r>
      <w:r>
        <w:rPr>
          <w:spacing w:val="-3"/>
          <w:sz w:val="21"/>
        </w:rPr>
        <w:t>“</w:t>
      </w:r>
      <w:r>
        <w:rPr>
          <w:spacing w:val="-3"/>
          <w:sz w:val="21"/>
        </w:rPr>
        <w:t>开</w:t>
      </w:r>
      <w:r>
        <w:rPr>
          <w:spacing w:val="-3"/>
          <w:sz w:val="21"/>
        </w:rPr>
        <w:t>”</w:t>
      </w:r>
      <w:r>
        <w:rPr>
          <w:spacing w:val="-3"/>
          <w:sz w:val="21"/>
        </w:rPr>
        <w:t>，手放松是</w:t>
      </w:r>
      <w:r>
        <w:rPr>
          <w:spacing w:val="-3"/>
          <w:sz w:val="21"/>
        </w:rPr>
        <w:t>“</w:t>
      </w:r>
      <w:r>
        <w:rPr>
          <w:spacing w:val="-3"/>
          <w:sz w:val="21"/>
        </w:rPr>
        <w:t>关</w:t>
      </w:r>
      <w:r>
        <w:rPr>
          <w:spacing w:val="-3"/>
          <w:sz w:val="21"/>
        </w:rPr>
        <w:t>”</w:t>
      </w:r>
      <w:r>
        <w:rPr>
          <w:spacing w:val="-3"/>
          <w:sz w:val="21"/>
        </w:rPr>
        <w:t>。</w:t>
      </w:r>
      <w:r>
        <w:rPr>
          <w:sz w:val="21"/>
        </w:rPr>
        <w:t xml:space="preserve"> </w:t>
      </w:r>
    </w:p>
    <w:p w14:paraId="7CC54602" w14:textId="77777777" w:rsidR="00A71EEF" w:rsidRDefault="00A71EEF">
      <w:pPr>
        <w:pStyle w:val="a3"/>
        <w:spacing w:before="9"/>
        <w:rPr>
          <w:sz w:val="17"/>
        </w:rPr>
      </w:pPr>
    </w:p>
    <w:p w14:paraId="371BAFC4" w14:textId="77777777" w:rsidR="00A71EEF" w:rsidRDefault="0081115D">
      <w:pPr>
        <w:pStyle w:val="a4"/>
        <w:numPr>
          <w:ilvl w:val="2"/>
          <w:numId w:val="978"/>
        </w:numPr>
        <w:tabs>
          <w:tab w:val="left" w:pos="1371"/>
        </w:tabs>
        <w:spacing w:before="1"/>
        <w:rPr>
          <w:sz w:val="21"/>
        </w:rPr>
      </w:pPr>
      <w:r>
        <w:rPr>
          <w:spacing w:val="-8"/>
          <w:sz w:val="21"/>
        </w:rPr>
        <w:t>水枪的操作力矩不大于</w:t>
      </w:r>
      <w:r>
        <w:rPr>
          <w:spacing w:val="-8"/>
          <w:sz w:val="21"/>
        </w:rPr>
        <w:t xml:space="preserve"> </w:t>
      </w:r>
      <w:r>
        <w:rPr>
          <w:sz w:val="21"/>
        </w:rPr>
        <w:t>15 N•m</w:t>
      </w:r>
      <w:r>
        <w:rPr>
          <w:spacing w:val="-3"/>
          <w:sz w:val="21"/>
        </w:rPr>
        <w:t>。</w:t>
      </w:r>
      <w:r>
        <w:rPr>
          <w:sz w:val="21"/>
        </w:rPr>
        <w:t xml:space="preserve"> </w:t>
      </w:r>
      <w:r>
        <w:rPr>
          <w:spacing w:val="-2"/>
          <w:sz w:val="21"/>
        </w:rPr>
        <w:t xml:space="preserve"> </w:t>
      </w:r>
      <w:r>
        <w:rPr>
          <w:sz w:val="21"/>
        </w:rPr>
        <w:t xml:space="preserve"> </w:t>
      </w:r>
    </w:p>
    <w:p w14:paraId="3C32C18E" w14:textId="77777777" w:rsidR="00A71EEF" w:rsidRDefault="00A71EEF">
      <w:pPr>
        <w:pStyle w:val="a3"/>
        <w:spacing w:before="1"/>
        <w:rPr>
          <w:sz w:val="18"/>
        </w:rPr>
      </w:pPr>
    </w:p>
    <w:p w14:paraId="023825C7" w14:textId="77777777" w:rsidR="00A71EEF" w:rsidRDefault="0081115D">
      <w:pPr>
        <w:spacing w:before="1"/>
        <w:ind w:left="840"/>
        <w:rPr>
          <w:b/>
          <w:sz w:val="21"/>
        </w:rPr>
      </w:pPr>
      <w:r>
        <w:rPr>
          <w:b/>
          <w:sz w:val="21"/>
        </w:rPr>
        <w:t xml:space="preserve">5.4 </w:t>
      </w:r>
      <w:r>
        <w:rPr>
          <w:sz w:val="21"/>
        </w:rPr>
        <w:t>材</w:t>
      </w:r>
      <w:r>
        <w:rPr>
          <w:sz w:val="21"/>
        </w:rPr>
        <w:t xml:space="preserve"> </w:t>
      </w:r>
      <w:r>
        <w:rPr>
          <w:sz w:val="21"/>
        </w:rPr>
        <w:t>料</w:t>
      </w:r>
      <w:r>
        <w:rPr>
          <w:b/>
          <w:w w:val="99"/>
          <w:sz w:val="21"/>
        </w:rPr>
        <w:t xml:space="preserve"> </w:t>
      </w:r>
    </w:p>
    <w:p w14:paraId="3F0DF7D1" w14:textId="77777777" w:rsidR="00A71EEF" w:rsidRDefault="00A71EEF">
      <w:pPr>
        <w:pStyle w:val="a3"/>
        <w:spacing w:before="12"/>
        <w:rPr>
          <w:b/>
          <w:sz w:val="17"/>
        </w:rPr>
      </w:pPr>
    </w:p>
    <w:p w14:paraId="15E8F36F" w14:textId="77777777" w:rsidR="00A71EEF" w:rsidRDefault="0081115D">
      <w:pPr>
        <w:pStyle w:val="a4"/>
        <w:numPr>
          <w:ilvl w:val="2"/>
          <w:numId w:val="975"/>
        </w:numPr>
        <w:tabs>
          <w:tab w:val="left" w:pos="1370"/>
        </w:tabs>
        <w:spacing w:line="446" w:lineRule="auto"/>
        <w:ind w:right="1604" w:firstLine="422"/>
        <w:rPr>
          <w:sz w:val="21"/>
        </w:rPr>
      </w:pPr>
      <w:r>
        <w:rPr>
          <w:spacing w:val="-3"/>
          <w:sz w:val="21"/>
        </w:rPr>
        <w:t>水枪应采用耐腐蚀或经防腐蚀处</w:t>
      </w:r>
      <w:r>
        <w:rPr>
          <w:spacing w:val="-3"/>
          <w:sz w:val="21"/>
        </w:rPr>
        <w:t>理的材料制造</w:t>
      </w:r>
      <w:r>
        <w:rPr>
          <w:b/>
          <w:sz w:val="21"/>
        </w:rPr>
        <w:t>，</w:t>
      </w:r>
      <w:r>
        <w:rPr>
          <w:spacing w:val="-3"/>
          <w:sz w:val="21"/>
        </w:rPr>
        <w:t>以满足相应使用环境和介质的防腐要求。</w:t>
      </w:r>
      <w:r>
        <w:rPr>
          <w:sz w:val="21"/>
        </w:rPr>
        <w:t xml:space="preserve"> </w:t>
      </w:r>
    </w:p>
    <w:p w14:paraId="24CFA006" w14:textId="77777777" w:rsidR="00A71EEF" w:rsidRDefault="0081115D">
      <w:pPr>
        <w:pStyle w:val="a4"/>
        <w:numPr>
          <w:ilvl w:val="2"/>
          <w:numId w:val="975"/>
        </w:numPr>
        <w:tabs>
          <w:tab w:val="left" w:pos="1370"/>
        </w:tabs>
        <w:ind w:left="1369" w:hanging="530"/>
        <w:rPr>
          <w:sz w:val="21"/>
        </w:rPr>
      </w:pPr>
      <w:r>
        <w:rPr>
          <w:spacing w:val="-6"/>
          <w:sz w:val="21"/>
        </w:rPr>
        <w:t>各铸件材料的化学成分及机械性能应符合</w:t>
      </w:r>
      <w:r>
        <w:rPr>
          <w:spacing w:val="-6"/>
          <w:sz w:val="21"/>
        </w:rPr>
        <w:t xml:space="preserve"> </w:t>
      </w:r>
      <w:r>
        <w:rPr>
          <w:sz w:val="21"/>
        </w:rPr>
        <w:t>GB/T</w:t>
      </w:r>
      <w:r>
        <w:rPr>
          <w:spacing w:val="1"/>
          <w:sz w:val="21"/>
        </w:rPr>
        <w:t xml:space="preserve"> </w:t>
      </w:r>
      <w:r>
        <w:rPr>
          <w:sz w:val="21"/>
        </w:rPr>
        <w:t>1173</w:t>
      </w:r>
      <w:r>
        <w:rPr>
          <w:sz w:val="21"/>
        </w:rPr>
        <w:t>、</w:t>
      </w:r>
      <w:r>
        <w:rPr>
          <w:sz w:val="21"/>
        </w:rPr>
        <w:t>GB/T</w:t>
      </w:r>
      <w:r>
        <w:rPr>
          <w:spacing w:val="-2"/>
          <w:sz w:val="21"/>
        </w:rPr>
        <w:t xml:space="preserve"> </w:t>
      </w:r>
      <w:r>
        <w:rPr>
          <w:sz w:val="21"/>
        </w:rPr>
        <w:t>1176</w:t>
      </w:r>
      <w:r>
        <w:rPr>
          <w:sz w:val="21"/>
        </w:rPr>
        <w:t>、</w:t>
      </w:r>
      <w:r>
        <w:rPr>
          <w:sz w:val="21"/>
        </w:rPr>
        <w:t>GB/T</w:t>
      </w:r>
      <w:r>
        <w:rPr>
          <w:spacing w:val="2"/>
          <w:sz w:val="21"/>
        </w:rPr>
        <w:t xml:space="preserve"> </w:t>
      </w:r>
      <w:r>
        <w:rPr>
          <w:sz w:val="21"/>
        </w:rPr>
        <w:t>15115</w:t>
      </w:r>
      <w:r>
        <w:rPr>
          <w:spacing w:val="-27"/>
          <w:sz w:val="21"/>
        </w:rPr>
        <w:t xml:space="preserve"> </w:t>
      </w:r>
      <w:r>
        <w:rPr>
          <w:spacing w:val="-27"/>
          <w:sz w:val="21"/>
        </w:rPr>
        <w:t>和</w:t>
      </w:r>
    </w:p>
    <w:p w14:paraId="4C3AD095" w14:textId="77777777" w:rsidR="00A71EEF" w:rsidRDefault="00A71EEF">
      <w:pPr>
        <w:pStyle w:val="a3"/>
        <w:spacing w:before="12"/>
        <w:rPr>
          <w:sz w:val="17"/>
        </w:rPr>
      </w:pPr>
    </w:p>
    <w:p w14:paraId="0760CC22" w14:textId="77777777" w:rsidR="00A71EEF" w:rsidRDefault="0081115D">
      <w:pPr>
        <w:pStyle w:val="a3"/>
        <w:spacing w:line="446" w:lineRule="auto"/>
        <w:ind w:left="840" w:right="7127" w:hanging="423"/>
        <w:rPr>
          <w:b/>
        </w:rPr>
      </w:pPr>
      <w:r>
        <w:t>GB/T 15116</w:t>
      </w:r>
      <w:r>
        <w:rPr>
          <w:spacing w:val="-8"/>
        </w:rPr>
        <w:t xml:space="preserve"> </w:t>
      </w:r>
      <w:r>
        <w:rPr>
          <w:spacing w:val="-8"/>
        </w:rPr>
        <w:t>等相应标准的规定。</w:t>
      </w:r>
      <w:r>
        <w:rPr>
          <w:b/>
        </w:rPr>
        <w:t>5.5</w:t>
      </w:r>
      <w:r>
        <w:rPr>
          <w:b/>
          <w:spacing w:val="104"/>
        </w:rPr>
        <w:t xml:space="preserve"> </w:t>
      </w:r>
      <w:r>
        <w:rPr>
          <w:spacing w:val="-3"/>
        </w:rPr>
        <w:t>密封件</w:t>
      </w:r>
      <w:r>
        <w:rPr>
          <w:b/>
          <w:w w:val="99"/>
        </w:rPr>
        <w:t xml:space="preserve"> </w:t>
      </w:r>
    </w:p>
    <w:p w14:paraId="2783EC53" w14:textId="77777777" w:rsidR="00A71EEF" w:rsidRDefault="0081115D">
      <w:pPr>
        <w:pStyle w:val="a3"/>
        <w:spacing w:line="446" w:lineRule="auto"/>
        <w:ind w:left="840" w:right="3819" w:hanging="3"/>
        <w:rPr>
          <w:b/>
        </w:rPr>
      </w:pPr>
      <w:r>
        <w:t>水枪各密封部位所使用的</w:t>
      </w:r>
      <w:r>
        <w:t xml:space="preserve">O </w:t>
      </w:r>
      <w:r>
        <w:t>形密封圈应符合</w:t>
      </w:r>
      <w:r>
        <w:t xml:space="preserve"> GB 3452</w:t>
      </w:r>
      <w:r>
        <w:rPr>
          <w:b/>
        </w:rPr>
        <w:t>.</w:t>
      </w:r>
      <w:r>
        <w:t xml:space="preserve">1 </w:t>
      </w:r>
      <w:r>
        <w:t>的规定。</w:t>
      </w:r>
      <w:r>
        <w:rPr>
          <w:b/>
        </w:rPr>
        <w:t xml:space="preserve">5.6 </w:t>
      </w:r>
      <w:r>
        <w:t>螺</w:t>
      </w:r>
      <w:r>
        <w:t xml:space="preserve"> </w:t>
      </w:r>
      <w:r>
        <w:t>纹</w:t>
      </w:r>
      <w:r>
        <w:rPr>
          <w:b/>
          <w:w w:val="99"/>
        </w:rPr>
        <w:t xml:space="preserve"> </w:t>
      </w:r>
    </w:p>
    <w:p w14:paraId="0B0DF9EE" w14:textId="77777777" w:rsidR="00A71EEF" w:rsidRDefault="0081115D">
      <w:pPr>
        <w:pStyle w:val="a3"/>
        <w:spacing w:line="446" w:lineRule="auto"/>
        <w:ind w:left="418" w:right="1608" w:firstLine="419"/>
      </w:pPr>
      <w:r>
        <w:t>水枪上的螺纹除与管牙接口连接部分使用圆柱管螺纹外，其余均应为普通螺纹。普通螺纹公差应符合</w:t>
      </w:r>
      <w:r>
        <w:t xml:space="preserve"> GB/T 197 </w:t>
      </w:r>
      <w:r>
        <w:t>中内螺纹</w:t>
      </w:r>
      <w:r>
        <w:t xml:space="preserve"> 7H </w:t>
      </w:r>
      <w:r>
        <w:t>级、外螺纹</w:t>
      </w:r>
      <w:r>
        <w:t xml:space="preserve"> 8g </w:t>
      </w:r>
      <w:r>
        <w:t>级的要求。螺纹应无缺牙，表面应光洁。</w:t>
      </w:r>
      <w:r>
        <w:t xml:space="preserve"> </w:t>
      </w:r>
    </w:p>
    <w:p w14:paraId="3239E7C5" w14:textId="77777777" w:rsidR="00A71EEF" w:rsidRDefault="0081115D">
      <w:pPr>
        <w:ind w:left="840"/>
        <w:rPr>
          <w:b/>
          <w:sz w:val="21"/>
        </w:rPr>
      </w:pPr>
      <w:r>
        <w:rPr>
          <w:b/>
          <w:sz w:val="21"/>
        </w:rPr>
        <w:t>5.7</w:t>
      </w:r>
      <w:r>
        <w:rPr>
          <w:b/>
          <w:spacing w:val="2"/>
          <w:sz w:val="21"/>
        </w:rPr>
        <w:t xml:space="preserve">  </w:t>
      </w:r>
      <w:r>
        <w:rPr>
          <w:spacing w:val="-3"/>
          <w:sz w:val="21"/>
        </w:rPr>
        <w:t>表面质量</w:t>
      </w:r>
      <w:r>
        <w:rPr>
          <w:b/>
          <w:w w:val="99"/>
          <w:sz w:val="21"/>
        </w:rPr>
        <w:t xml:space="preserve"> </w:t>
      </w:r>
    </w:p>
    <w:p w14:paraId="727D2EE7" w14:textId="77777777" w:rsidR="00A71EEF" w:rsidRDefault="00A71EEF">
      <w:pPr>
        <w:pStyle w:val="a3"/>
        <w:spacing w:before="10"/>
        <w:rPr>
          <w:b/>
          <w:sz w:val="17"/>
        </w:rPr>
      </w:pPr>
    </w:p>
    <w:p w14:paraId="477D58EA" w14:textId="77777777" w:rsidR="00A71EEF" w:rsidRDefault="0081115D">
      <w:pPr>
        <w:pStyle w:val="a3"/>
        <w:spacing w:before="1" w:line="446" w:lineRule="auto"/>
        <w:ind w:left="840" w:right="3606" w:hanging="3"/>
        <w:rPr>
          <w:b/>
        </w:rPr>
      </w:pPr>
      <w:r>
        <w:rPr>
          <w:spacing w:val="-3"/>
        </w:rPr>
        <w:t>铸件表面应无结疤、裂纹及孔眼。铝制件表面须作阳极氧化处理。</w:t>
      </w:r>
      <w:r>
        <w:rPr>
          <w:b/>
        </w:rPr>
        <w:t>5.8</w:t>
      </w:r>
      <w:r>
        <w:rPr>
          <w:b/>
          <w:spacing w:val="104"/>
        </w:rPr>
        <w:t xml:space="preserve"> </w:t>
      </w:r>
      <w:r>
        <w:rPr>
          <w:spacing w:val="-3"/>
        </w:rPr>
        <w:t>密封性能</w:t>
      </w:r>
      <w:r>
        <w:rPr>
          <w:b/>
          <w:w w:val="99"/>
        </w:rPr>
        <w:t xml:space="preserve"> </w:t>
      </w:r>
    </w:p>
    <w:p w14:paraId="2EC8F2BC" w14:textId="77777777" w:rsidR="00A71EEF" w:rsidRDefault="0081115D">
      <w:pPr>
        <w:pStyle w:val="a3"/>
        <w:spacing w:line="446" w:lineRule="auto"/>
        <w:ind w:left="840" w:right="1714" w:hanging="3"/>
        <w:rPr>
          <w:b/>
        </w:rPr>
      </w:pPr>
      <w:r>
        <w:rPr>
          <w:spacing w:val="-14"/>
        </w:rPr>
        <w:t>水枪按</w:t>
      </w:r>
      <w:r>
        <w:rPr>
          <w:spacing w:val="-14"/>
        </w:rPr>
        <w:t xml:space="preserve"> </w:t>
      </w:r>
      <w:r>
        <w:t>6.5.2</w:t>
      </w:r>
      <w:r>
        <w:rPr>
          <w:spacing w:val="-33"/>
        </w:rPr>
        <w:t xml:space="preserve"> </w:t>
      </w:r>
      <w:r>
        <w:rPr>
          <w:spacing w:val="-33"/>
        </w:rPr>
        <w:t>与</w:t>
      </w:r>
      <w:r>
        <w:rPr>
          <w:spacing w:val="-33"/>
        </w:rPr>
        <w:t xml:space="preserve"> </w:t>
      </w:r>
      <w:r>
        <w:t>6.5.3</w:t>
      </w:r>
      <w:r>
        <w:rPr>
          <w:spacing w:val="-8"/>
        </w:rPr>
        <w:t xml:space="preserve"> </w:t>
      </w:r>
      <w:r>
        <w:rPr>
          <w:spacing w:val="-8"/>
        </w:rPr>
        <w:t>规定的条件进行密封性能试验，枪体及各密封部位不允许渗漏。</w:t>
      </w:r>
      <w:r>
        <w:rPr>
          <w:b/>
        </w:rPr>
        <w:t>5.9</w:t>
      </w:r>
      <w:r>
        <w:rPr>
          <w:b/>
          <w:spacing w:val="104"/>
        </w:rPr>
        <w:t xml:space="preserve"> </w:t>
      </w:r>
      <w:r>
        <w:rPr>
          <w:spacing w:val="-3"/>
        </w:rPr>
        <w:t>耐水压强度</w:t>
      </w:r>
      <w:r>
        <w:rPr>
          <w:b/>
          <w:w w:val="99"/>
        </w:rPr>
        <w:t xml:space="preserve"> </w:t>
      </w:r>
    </w:p>
    <w:p w14:paraId="6E14D516" w14:textId="77777777" w:rsidR="00A71EEF" w:rsidRDefault="0081115D">
      <w:pPr>
        <w:pStyle w:val="a3"/>
        <w:spacing w:line="446" w:lineRule="auto"/>
        <w:ind w:left="418" w:right="1609" w:firstLine="419"/>
      </w:pPr>
      <w:r>
        <w:rPr>
          <w:spacing w:val="-11"/>
        </w:rPr>
        <w:t>水枪按</w:t>
      </w:r>
      <w:r>
        <w:rPr>
          <w:spacing w:val="-11"/>
        </w:rPr>
        <w:t xml:space="preserve"> </w:t>
      </w:r>
      <w:r>
        <w:t>6.5.4</w:t>
      </w:r>
      <w:r>
        <w:rPr>
          <w:spacing w:val="-7"/>
        </w:rPr>
        <w:t xml:space="preserve"> </w:t>
      </w:r>
      <w:r>
        <w:rPr>
          <w:spacing w:val="-7"/>
        </w:rPr>
        <w:t>规定的条件进行耐水压强度试验，水枪不应出现裂纹、断裂或影响正常使用</w:t>
      </w:r>
      <w:r>
        <w:rPr>
          <w:spacing w:val="-5"/>
        </w:rPr>
        <w:t>的残余变形。</w:t>
      </w:r>
      <w:r>
        <w:t xml:space="preserve"> </w:t>
      </w:r>
    </w:p>
    <w:p w14:paraId="303F8F13" w14:textId="77777777" w:rsidR="00A71EEF" w:rsidRDefault="0081115D">
      <w:pPr>
        <w:pStyle w:val="a4"/>
        <w:numPr>
          <w:ilvl w:val="1"/>
          <w:numId w:val="974"/>
        </w:numPr>
        <w:tabs>
          <w:tab w:val="left" w:pos="1264"/>
        </w:tabs>
        <w:spacing w:line="267" w:lineRule="exact"/>
        <w:rPr>
          <w:b/>
          <w:sz w:val="21"/>
        </w:rPr>
      </w:pPr>
      <w:r>
        <w:rPr>
          <w:spacing w:val="-3"/>
          <w:sz w:val="21"/>
        </w:rPr>
        <w:t>使用环境温度</w:t>
      </w:r>
      <w:r>
        <w:rPr>
          <w:b/>
          <w:w w:val="99"/>
          <w:sz w:val="21"/>
        </w:rPr>
        <w:t xml:space="preserve"> </w:t>
      </w:r>
    </w:p>
    <w:p w14:paraId="11609CE7" w14:textId="77777777" w:rsidR="00A71EEF" w:rsidRDefault="00A71EEF">
      <w:pPr>
        <w:spacing w:line="267" w:lineRule="exact"/>
        <w:rPr>
          <w:sz w:val="21"/>
        </w:rPr>
        <w:sectPr w:rsidR="00A71EEF">
          <w:pgSz w:w="11910" w:h="16850"/>
          <w:pgMar w:top="1220" w:right="0" w:bottom="1420" w:left="1260" w:header="0" w:footer="1239" w:gutter="0"/>
          <w:cols w:space="720"/>
        </w:sectPr>
      </w:pPr>
    </w:p>
    <w:p w14:paraId="42700AF5" w14:textId="77777777" w:rsidR="00A71EEF" w:rsidRDefault="0081115D">
      <w:pPr>
        <w:pStyle w:val="a3"/>
        <w:spacing w:before="47" w:line="446" w:lineRule="auto"/>
        <w:ind w:left="418" w:right="1611" w:firstLine="419"/>
      </w:pPr>
      <w:r>
        <w:rPr>
          <w:spacing w:val="-3"/>
        </w:rPr>
        <w:lastRenderedPageBreak/>
        <w:t>水枪的使用环境温度范围为</w:t>
      </w:r>
      <w:r>
        <w:t>﹣</w:t>
      </w:r>
      <w:r>
        <w:t>30</w:t>
      </w:r>
      <w:r>
        <w:rPr>
          <w:spacing w:val="3"/>
        </w:rPr>
        <w:t xml:space="preserve">℃ </w:t>
      </w:r>
      <w:r>
        <w:t>～</w:t>
      </w:r>
      <w:r>
        <w:t>+ 55</w:t>
      </w:r>
      <w:r>
        <w:rPr>
          <w:spacing w:val="-13"/>
        </w:rPr>
        <w:t>℃</w:t>
      </w:r>
      <w:r>
        <w:rPr>
          <w:spacing w:val="-13"/>
        </w:rPr>
        <w:t>，按</w:t>
      </w:r>
      <w:r>
        <w:rPr>
          <w:spacing w:val="-13"/>
        </w:rPr>
        <w:t xml:space="preserve"> </w:t>
      </w:r>
      <w:r>
        <w:t>6.6</w:t>
      </w:r>
      <w:r>
        <w:t>、</w:t>
      </w:r>
      <w:r>
        <w:t>6.7</w:t>
      </w:r>
      <w:r>
        <w:rPr>
          <w:spacing w:val="-9"/>
        </w:rPr>
        <w:t xml:space="preserve"> </w:t>
      </w:r>
      <w:r>
        <w:rPr>
          <w:spacing w:val="-9"/>
        </w:rPr>
        <w:t>规定的条件试验后，应能正常</w:t>
      </w:r>
      <w:r>
        <w:rPr>
          <w:spacing w:val="-6"/>
        </w:rPr>
        <w:t>操作使用。</w:t>
      </w:r>
      <w:r>
        <w:t xml:space="preserve"> </w:t>
      </w:r>
    </w:p>
    <w:p w14:paraId="5F6125F4" w14:textId="77777777" w:rsidR="00A71EEF" w:rsidRDefault="0081115D">
      <w:pPr>
        <w:pStyle w:val="a4"/>
        <w:numPr>
          <w:ilvl w:val="1"/>
          <w:numId w:val="974"/>
        </w:numPr>
        <w:tabs>
          <w:tab w:val="left" w:pos="1264"/>
        </w:tabs>
        <w:spacing w:line="267" w:lineRule="exact"/>
        <w:rPr>
          <w:sz w:val="21"/>
        </w:rPr>
      </w:pPr>
      <w:r>
        <w:rPr>
          <w:spacing w:val="-3"/>
          <w:sz w:val="21"/>
        </w:rPr>
        <w:t>抗跌落性能</w:t>
      </w:r>
      <w:r>
        <w:rPr>
          <w:sz w:val="21"/>
        </w:rPr>
        <w:t xml:space="preserve"> </w:t>
      </w:r>
    </w:p>
    <w:p w14:paraId="2CF9F063" w14:textId="77777777" w:rsidR="00A71EEF" w:rsidRDefault="00A71EEF">
      <w:pPr>
        <w:pStyle w:val="a3"/>
        <w:spacing w:before="2"/>
        <w:rPr>
          <w:sz w:val="18"/>
        </w:rPr>
      </w:pPr>
    </w:p>
    <w:p w14:paraId="0B87CB47" w14:textId="77777777" w:rsidR="00A71EEF" w:rsidRDefault="0081115D">
      <w:pPr>
        <w:pStyle w:val="a3"/>
        <w:spacing w:line="446" w:lineRule="auto"/>
        <w:ind w:left="840" w:right="4237" w:hanging="3"/>
        <w:rPr>
          <w:b/>
        </w:rPr>
      </w:pPr>
      <w:r>
        <w:t>水枪按</w:t>
      </w:r>
      <w:r>
        <w:t xml:space="preserve"> 6.8 </w:t>
      </w:r>
      <w:r>
        <w:t>规定的条件作跌落试验后，应能正常操作使用</w:t>
      </w:r>
      <w:r>
        <w:rPr>
          <w:b/>
        </w:rPr>
        <w:t>。</w:t>
      </w:r>
      <w:r>
        <w:rPr>
          <w:b/>
        </w:rPr>
        <w:t xml:space="preserve">5.12 </w:t>
      </w:r>
      <w:r>
        <w:t>耐腐蚀性能</w:t>
      </w:r>
      <w:r>
        <w:rPr>
          <w:b/>
          <w:w w:val="99"/>
        </w:rPr>
        <w:t xml:space="preserve"> </w:t>
      </w:r>
    </w:p>
    <w:p w14:paraId="738E16F1" w14:textId="77777777" w:rsidR="00A71EEF" w:rsidRDefault="0081115D">
      <w:pPr>
        <w:pStyle w:val="a3"/>
        <w:spacing w:line="446" w:lineRule="auto"/>
        <w:ind w:left="418" w:right="1609" w:firstLine="419"/>
      </w:pPr>
      <w:r>
        <w:rPr>
          <w:spacing w:val="-10"/>
        </w:rPr>
        <w:t>水枪经</w:t>
      </w:r>
      <w:r>
        <w:rPr>
          <w:spacing w:val="-10"/>
        </w:rPr>
        <w:t xml:space="preserve"> </w:t>
      </w:r>
      <w:r>
        <w:t>6.9</w:t>
      </w:r>
      <w:r>
        <w:rPr>
          <w:spacing w:val="-7"/>
        </w:rPr>
        <w:t xml:space="preserve"> </w:t>
      </w:r>
      <w:r>
        <w:rPr>
          <w:spacing w:val="-7"/>
        </w:rPr>
        <w:t>规定的条件试验后，应无起层、剥落或肉眼可见的点蚀凹坑，应能正常操作使</w:t>
      </w:r>
      <w:r>
        <w:rPr>
          <w:spacing w:val="-5"/>
        </w:rPr>
        <w:t>用。</w:t>
      </w:r>
      <w:r>
        <w:t xml:space="preserve"> </w:t>
      </w:r>
    </w:p>
    <w:p w14:paraId="2D130593" w14:textId="77777777" w:rsidR="00A71EEF" w:rsidRDefault="0081115D">
      <w:pPr>
        <w:ind w:left="840"/>
        <w:rPr>
          <w:b/>
          <w:sz w:val="21"/>
        </w:rPr>
      </w:pPr>
      <w:r>
        <w:rPr>
          <w:b/>
          <w:sz w:val="21"/>
        </w:rPr>
        <w:t xml:space="preserve">5.13 </w:t>
      </w:r>
      <w:r>
        <w:rPr>
          <w:sz w:val="21"/>
        </w:rPr>
        <w:t>接口性能</w:t>
      </w:r>
      <w:r>
        <w:rPr>
          <w:b/>
          <w:w w:val="99"/>
          <w:sz w:val="21"/>
        </w:rPr>
        <w:t xml:space="preserve"> </w:t>
      </w:r>
    </w:p>
    <w:p w14:paraId="4DC9B324" w14:textId="77777777" w:rsidR="00A71EEF" w:rsidRDefault="00A71EEF">
      <w:pPr>
        <w:pStyle w:val="a3"/>
        <w:spacing w:before="10"/>
        <w:rPr>
          <w:b/>
          <w:sz w:val="17"/>
        </w:rPr>
      </w:pPr>
    </w:p>
    <w:p w14:paraId="4DEA44A5" w14:textId="77777777" w:rsidR="00A71EEF" w:rsidRDefault="0081115D">
      <w:pPr>
        <w:pStyle w:val="a3"/>
        <w:spacing w:before="1"/>
        <w:ind w:left="838"/>
        <w:rPr>
          <w:b/>
        </w:rPr>
      </w:pPr>
      <w:r>
        <w:t>接口应符合</w:t>
      </w:r>
      <w:r>
        <w:t xml:space="preserve"> GB 12514 </w:t>
      </w:r>
      <w:r>
        <w:t>的规定。</w:t>
      </w:r>
      <w:r>
        <w:rPr>
          <w:b/>
          <w:w w:val="99"/>
        </w:rPr>
        <w:t xml:space="preserve"> </w:t>
      </w:r>
    </w:p>
    <w:p w14:paraId="2F583C3E" w14:textId="77777777" w:rsidR="00A71EEF" w:rsidRDefault="00A71EEF">
      <w:pPr>
        <w:pStyle w:val="a3"/>
        <w:spacing w:before="10"/>
        <w:rPr>
          <w:b/>
          <w:sz w:val="15"/>
        </w:rPr>
      </w:pPr>
    </w:p>
    <w:p w14:paraId="670BE93E" w14:textId="77777777" w:rsidR="00A71EEF" w:rsidRDefault="0081115D">
      <w:pPr>
        <w:pStyle w:val="4"/>
      </w:pPr>
      <w:r>
        <w:t xml:space="preserve">6 </w:t>
      </w:r>
      <w:r>
        <w:t>试验方法</w:t>
      </w:r>
      <w:r>
        <w:rPr>
          <w:w w:val="99"/>
        </w:rPr>
        <w:t xml:space="preserve"> </w:t>
      </w:r>
    </w:p>
    <w:p w14:paraId="4EFFDDBE" w14:textId="77777777" w:rsidR="00A71EEF" w:rsidRDefault="00A71EEF">
      <w:pPr>
        <w:pStyle w:val="a3"/>
        <w:spacing w:before="4"/>
        <w:rPr>
          <w:b/>
          <w:sz w:val="17"/>
        </w:rPr>
      </w:pPr>
    </w:p>
    <w:p w14:paraId="48EAA348" w14:textId="77777777" w:rsidR="00A71EEF" w:rsidRDefault="0081115D">
      <w:pPr>
        <w:pStyle w:val="a4"/>
        <w:numPr>
          <w:ilvl w:val="1"/>
          <w:numId w:val="973"/>
        </w:numPr>
        <w:tabs>
          <w:tab w:val="left" w:pos="1159"/>
        </w:tabs>
        <w:ind w:hanging="319"/>
        <w:rPr>
          <w:b/>
          <w:sz w:val="21"/>
        </w:rPr>
      </w:pPr>
      <w:r>
        <w:rPr>
          <w:spacing w:val="-3"/>
          <w:sz w:val="21"/>
        </w:rPr>
        <w:t>喷射性能试验</w:t>
      </w:r>
      <w:r>
        <w:rPr>
          <w:b/>
          <w:w w:val="99"/>
          <w:sz w:val="21"/>
        </w:rPr>
        <w:t xml:space="preserve"> </w:t>
      </w:r>
    </w:p>
    <w:p w14:paraId="6C86D227" w14:textId="77777777" w:rsidR="00A71EEF" w:rsidRDefault="00A71EEF">
      <w:pPr>
        <w:pStyle w:val="a3"/>
        <w:spacing w:before="12"/>
        <w:rPr>
          <w:b/>
          <w:sz w:val="17"/>
        </w:rPr>
      </w:pPr>
    </w:p>
    <w:p w14:paraId="0B390993" w14:textId="77777777" w:rsidR="00A71EEF" w:rsidRDefault="0081115D">
      <w:pPr>
        <w:pStyle w:val="a4"/>
        <w:numPr>
          <w:ilvl w:val="2"/>
          <w:numId w:val="973"/>
        </w:numPr>
        <w:tabs>
          <w:tab w:val="left" w:pos="1370"/>
        </w:tabs>
        <w:ind w:hanging="530"/>
        <w:rPr>
          <w:b/>
          <w:sz w:val="21"/>
        </w:rPr>
      </w:pPr>
      <w:r>
        <w:rPr>
          <w:spacing w:val="-3"/>
          <w:sz w:val="21"/>
        </w:rPr>
        <w:t>试验装置的要求</w:t>
      </w:r>
      <w:r>
        <w:rPr>
          <w:b/>
          <w:w w:val="99"/>
          <w:sz w:val="21"/>
        </w:rPr>
        <w:t xml:space="preserve"> </w:t>
      </w:r>
    </w:p>
    <w:p w14:paraId="2630F2FE" w14:textId="77777777" w:rsidR="00A71EEF" w:rsidRDefault="00A71EEF">
      <w:pPr>
        <w:pStyle w:val="a3"/>
        <w:spacing w:before="2"/>
        <w:rPr>
          <w:b/>
          <w:sz w:val="18"/>
        </w:rPr>
      </w:pPr>
    </w:p>
    <w:p w14:paraId="3EE6C2A8" w14:textId="77777777" w:rsidR="00A71EEF" w:rsidRDefault="0081115D">
      <w:pPr>
        <w:pStyle w:val="a3"/>
        <w:spacing w:line="446" w:lineRule="auto"/>
        <w:ind w:left="418" w:right="1556" w:firstLine="419"/>
      </w:pPr>
      <w:r>
        <w:rPr>
          <w:spacing w:val="-5"/>
        </w:rPr>
        <w:t>喷射性能试验装置的允许工作压力应大于水枪最大工作压力的</w:t>
      </w:r>
      <w:r>
        <w:rPr>
          <w:spacing w:val="-5"/>
        </w:rPr>
        <w:t xml:space="preserve"> </w:t>
      </w:r>
      <w:r>
        <w:t>1.2</w:t>
      </w:r>
      <w:r>
        <w:rPr>
          <w:spacing w:val="-12"/>
        </w:rPr>
        <w:t xml:space="preserve"> </w:t>
      </w:r>
      <w:r>
        <w:rPr>
          <w:spacing w:val="-12"/>
        </w:rPr>
        <w:t>倍，稳压精度士</w:t>
      </w:r>
      <w:r>
        <w:rPr>
          <w:spacing w:val="-12"/>
        </w:rPr>
        <w:t xml:space="preserve"> </w:t>
      </w:r>
      <w:r>
        <w:t>2%</w:t>
      </w:r>
      <w:r>
        <w:t>。装</w:t>
      </w:r>
      <w:r>
        <w:rPr>
          <w:spacing w:val="-7"/>
        </w:rPr>
        <w:t>置中的压力测量精度不低于</w:t>
      </w:r>
      <w:r>
        <w:rPr>
          <w:spacing w:val="-7"/>
        </w:rPr>
        <w:t xml:space="preserve"> </w:t>
      </w:r>
      <w:r>
        <w:t>1.5</w:t>
      </w:r>
      <w:r>
        <w:rPr>
          <w:spacing w:val="-13"/>
        </w:rPr>
        <w:t xml:space="preserve"> </w:t>
      </w:r>
      <w:r>
        <w:rPr>
          <w:spacing w:val="-13"/>
        </w:rPr>
        <w:t>级，流量测量精度不低于士</w:t>
      </w:r>
      <w:r>
        <w:rPr>
          <w:spacing w:val="-13"/>
        </w:rPr>
        <w:t xml:space="preserve"> </w:t>
      </w:r>
      <w:r>
        <w:t>1</w:t>
      </w:r>
      <w:r>
        <w:rPr>
          <w:spacing w:val="-2"/>
        </w:rPr>
        <w:t>%</w:t>
      </w:r>
      <w:r>
        <w:rPr>
          <w:spacing w:val="-2"/>
        </w:rPr>
        <w:t>。</w:t>
      </w:r>
      <w:r>
        <w:t xml:space="preserve"> </w:t>
      </w:r>
    </w:p>
    <w:p w14:paraId="35C66C57" w14:textId="77777777" w:rsidR="00A71EEF" w:rsidRDefault="0081115D">
      <w:pPr>
        <w:pStyle w:val="a4"/>
        <w:numPr>
          <w:ilvl w:val="2"/>
          <w:numId w:val="973"/>
        </w:numPr>
        <w:tabs>
          <w:tab w:val="left" w:pos="1370"/>
        </w:tabs>
        <w:spacing w:line="267" w:lineRule="exact"/>
        <w:ind w:hanging="530"/>
        <w:rPr>
          <w:sz w:val="21"/>
        </w:rPr>
      </w:pPr>
      <w:r>
        <w:rPr>
          <w:spacing w:val="-3"/>
          <w:sz w:val="21"/>
        </w:rPr>
        <w:t>射程测试</w:t>
      </w:r>
      <w:r>
        <w:rPr>
          <w:sz w:val="21"/>
        </w:rPr>
        <w:t xml:space="preserve"> </w:t>
      </w:r>
    </w:p>
    <w:p w14:paraId="1837201F" w14:textId="77777777" w:rsidR="00A71EEF" w:rsidRDefault="00A71EEF">
      <w:pPr>
        <w:pStyle w:val="a3"/>
        <w:spacing w:before="2"/>
        <w:rPr>
          <w:sz w:val="18"/>
        </w:rPr>
      </w:pPr>
    </w:p>
    <w:p w14:paraId="15D808ED" w14:textId="77777777" w:rsidR="00A71EEF" w:rsidRDefault="0081115D">
      <w:pPr>
        <w:pStyle w:val="a3"/>
        <w:spacing w:line="446" w:lineRule="auto"/>
        <w:ind w:left="418" w:right="1613" w:firstLine="419"/>
        <w:jc w:val="both"/>
      </w:pPr>
      <w:r>
        <w:rPr>
          <w:spacing w:val="-5"/>
        </w:rPr>
        <w:t>将水枪置于喷射架上，顺风向布置，调整水枪轴线与水平线的夹角</w:t>
      </w:r>
      <w:r>
        <w:rPr>
          <w:spacing w:val="-5"/>
        </w:rPr>
        <w:t>(</w:t>
      </w:r>
      <w:r>
        <w:rPr>
          <w:spacing w:val="-5"/>
        </w:rPr>
        <w:t>仰角</w:t>
      </w:r>
      <w:r>
        <w:rPr>
          <w:spacing w:val="-5"/>
        </w:rPr>
        <w:t>)</w:t>
      </w:r>
      <w:r>
        <w:rPr>
          <w:spacing w:val="-5"/>
        </w:rPr>
        <w:t>至</w:t>
      </w:r>
      <w:r>
        <w:rPr>
          <w:spacing w:val="-5"/>
        </w:rPr>
        <w:t xml:space="preserve"> </w:t>
      </w:r>
      <w:r>
        <w:t>30</w:t>
      </w:r>
      <w:r>
        <w:rPr>
          <w:spacing w:val="-13"/>
        </w:rPr>
        <w:t>°</w:t>
      </w:r>
      <w:r>
        <w:rPr>
          <w:spacing w:val="-13"/>
        </w:rPr>
        <w:t>士</w:t>
      </w:r>
      <w:r>
        <w:rPr>
          <w:spacing w:val="-13"/>
        </w:rPr>
        <w:t xml:space="preserve"> </w:t>
      </w:r>
      <w:r>
        <w:t>1°</w:t>
      </w:r>
      <w:r>
        <w:t>，</w:t>
      </w:r>
      <w:r>
        <w:t xml:space="preserve"> </w:t>
      </w:r>
      <w:r>
        <w:rPr>
          <w:spacing w:val="-6"/>
        </w:rPr>
        <w:t>同时使喷嘴出口中心至地面的高度为</w:t>
      </w:r>
      <w:r>
        <w:rPr>
          <w:spacing w:val="-6"/>
        </w:rPr>
        <w:t xml:space="preserve"> </w:t>
      </w:r>
      <w:r>
        <w:t>1 m</w:t>
      </w:r>
      <w:r>
        <w:rPr>
          <w:spacing w:val="-36"/>
        </w:rPr>
        <w:t xml:space="preserve"> </w:t>
      </w:r>
      <w:r>
        <w:rPr>
          <w:spacing w:val="-36"/>
        </w:rPr>
        <w:t>士</w:t>
      </w:r>
      <w:r>
        <w:rPr>
          <w:spacing w:val="-36"/>
        </w:rPr>
        <w:t xml:space="preserve"> </w:t>
      </w:r>
      <w:r>
        <w:t>0.01m</w:t>
      </w:r>
      <w:r>
        <w:rPr>
          <w:spacing w:val="-8"/>
        </w:rPr>
        <w:t>，外界风速应不大于</w:t>
      </w:r>
      <w:r>
        <w:rPr>
          <w:spacing w:val="-8"/>
        </w:rPr>
        <w:t xml:space="preserve"> </w:t>
      </w:r>
      <w:r>
        <w:t xml:space="preserve">2 </w:t>
      </w:r>
      <w:r>
        <w:rPr>
          <w:spacing w:val="-3"/>
        </w:rPr>
        <w:t>m/s</w:t>
      </w:r>
      <w:r>
        <w:t>。</w:t>
      </w:r>
      <w:r>
        <w:t xml:space="preserve"> </w:t>
      </w:r>
    </w:p>
    <w:p w14:paraId="1BDB2066" w14:textId="77777777" w:rsidR="00A71EEF" w:rsidRDefault="0081115D">
      <w:pPr>
        <w:pStyle w:val="a3"/>
        <w:spacing w:line="446" w:lineRule="auto"/>
        <w:ind w:left="418" w:right="1608" w:firstLine="419"/>
        <w:jc w:val="both"/>
      </w:pPr>
      <w:r>
        <w:t>水泵启动后，使水枪进口压力达到规定的额定喷射压力值，待喷射稳定后，分别进行直流射程和喷雾射程的测量。水枪在喷射轴线上喷射水流连续散落最远处至喷嘴出口端中心在地面上的垂直投影点之间的距离折回</w:t>
      </w:r>
      <w:r>
        <w:t xml:space="preserve"> 10%</w:t>
      </w:r>
      <w:r>
        <w:t>视为射程。</w:t>
      </w:r>
      <w:r>
        <w:t xml:space="preserve"> </w:t>
      </w:r>
    </w:p>
    <w:p w14:paraId="4076BAA7" w14:textId="77777777" w:rsidR="00A71EEF" w:rsidRDefault="0081115D">
      <w:pPr>
        <w:pStyle w:val="a3"/>
        <w:spacing w:line="268" w:lineRule="exact"/>
        <w:ind w:left="838"/>
        <w:jc w:val="both"/>
      </w:pPr>
      <w:r>
        <w:t>对喷雾角可调的喷雾水枪，喷雾射程在</w:t>
      </w:r>
      <w:r>
        <w:t xml:space="preserve"> 30°</w:t>
      </w:r>
      <w:r>
        <w:t>喷雾角下测定。</w:t>
      </w:r>
      <w:r>
        <w:t xml:space="preserve"> </w:t>
      </w:r>
    </w:p>
    <w:p w14:paraId="25E36B17" w14:textId="77777777" w:rsidR="00A71EEF" w:rsidRDefault="00A71EEF">
      <w:pPr>
        <w:pStyle w:val="a3"/>
        <w:spacing w:before="12"/>
        <w:rPr>
          <w:sz w:val="17"/>
        </w:rPr>
      </w:pPr>
    </w:p>
    <w:p w14:paraId="209023B4" w14:textId="77777777" w:rsidR="00A71EEF" w:rsidRDefault="0081115D">
      <w:pPr>
        <w:pStyle w:val="a3"/>
        <w:spacing w:line="446" w:lineRule="auto"/>
        <w:ind w:left="840" w:right="6340" w:hanging="3"/>
        <w:jc w:val="both"/>
      </w:pPr>
      <w:r>
        <w:t>射程的测量结果应符合</w:t>
      </w:r>
      <w:r>
        <w:t xml:space="preserve"> 5.1 </w:t>
      </w:r>
      <w:r>
        <w:t>的规定。</w:t>
      </w:r>
      <w:r>
        <w:rPr>
          <w:b/>
        </w:rPr>
        <w:t xml:space="preserve">6.1.3 </w:t>
      </w:r>
      <w:r>
        <w:t>流量测试</w:t>
      </w:r>
      <w:r>
        <w:t xml:space="preserve"> </w:t>
      </w:r>
    </w:p>
    <w:p w14:paraId="54B67BC4" w14:textId="77777777" w:rsidR="00A71EEF" w:rsidRDefault="0081115D">
      <w:pPr>
        <w:pStyle w:val="a3"/>
        <w:spacing w:line="446" w:lineRule="auto"/>
        <w:ind w:left="418" w:right="1455" w:firstLine="419"/>
      </w:pPr>
      <w:r>
        <w:rPr>
          <w:spacing w:val="-3"/>
        </w:rPr>
        <w:t>根据水枪的流量选择容积计量罐，水泵启动后，使水枪喷射，待达到额定喷射压力并稳定</w:t>
      </w:r>
      <w:r>
        <w:rPr>
          <w:spacing w:val="-3"/>
        </w:rPr>
        <w:t xml:space="preserve"> </w:t>
      </w:r>
      <w:r>
        <w:rPr>
          <w:spacing w:val="-6"/>
        </w:rPr>
        <w:t>后，转向计量罐内喷射，连续喷射时间不少于</w:t>
      </w:r>
      <w:r>
        <w:rPr>
          <w:spacing w:val="-6"/>
        </w:rPr>
        <w:t xml:space="preserve"> </w:t>
      </w:r>
      <w:r>
        <w:t>30</w:t>
      </w:r>
      <w:r>
        <w:rPr>
          <w:spacing w:val="9"/>
        </w:rPr>
        <w:t xml:space="preserve"> </w:t>
      </w:r>
      <w:r>
        <w:t>s</w:t>
      </w:r>
      <w:r>
        <w:rPr>
          <w:spacing w:val="-10"/>
        </w:rPr>
        <w:t>，水枪移开</w:t>
      </w:r>
      <w:r>
        <w:rPr>
          <w:spacing w:val="-10"/>
        </w:rPr>
        <w:t xml:space="preserve"> </w:t>
      </w:r>
      <w:r>
        <w:t>20</w:t>
      </w:r>
      <w:r>
        <w:rPr>
          <w:spacing w:val="10"/>
        </w:rPr>
        <w:t xml:space="preserve"> </w:t>
      </w:r>
      <w:r>
        <w:t>s</w:t>
      </w:r>
      <w:r>
        <w:rPr>
          <w:spacing w:val="-8"/>
        </w:rPr>
        <w:t xml:space="preserve"> </w:t>
      </w:r>
      <w:r>
        <w:rPr>
          <w:spacing w:val="-8"/>
        </w:rPr>
        <w:t>后测出计量罐内水的体积或</w:t>
      </w:r>
      <w:r>
        <w:rPr>
          <w:spacing w:val="-5"/>
        </w:rPr>
        <w:t>质量，经计算求得水枪的流量。或用标定合格的流量计直接测量流量。以流量计测量法作为仲</w:t>
      </w:r>
      <w:r>
        <w:rPr>
          <w:spacing w:val="-5"/>
        </w:rPr>
        <w:t xml:space="preserve"> </w:t>
      </w:r>
      <w:r>
        <w:rPr>
          <w:spacing w:val="-8"/>
        </w:rPr>
        <w:t>裁方法。流量的测量结果应符合</w:t>
      </w:r>
      <w:r>
        <w:rPr>
          <w:spacing w:val="-8"/>
        </w:rPr>
        <w:t xml:space="preserve"> </w:t>
      </w:r>
      <w:r>
        <w:t>5.1</w:t>
      </w:r>
      <w:r>
        <w:rPr>
          <w:spacing w:val="-13"/>
        </w:rPr>
        <w:t xml:space="preserve"> </w:t>
      </w:r>
      <w:r>
        <w:rPr>
          <w:spacing w:val="-13"/>
        </w:rPr>
        <w:t>的规定。</w:t>
      </w:r>
      <w:r>
        <w:t xml:space="preserve"> </w:t>
      </w:r>
    </w:p>
    <w:p w14:paraId="77B70410" w14:textId="77777777" w:rsidR="00A71EEF" w:rsidRDefault="0081115D">
      <w:pPr>
        <w:ind w:left="840"/>
        <w:rPr>
          <w:sz w:val="21"/>
        </w:rPr>
      </w:pPr>
      <w:r>
        <w:rPr>
          <w:b/>
          <w:sz w:val="21"/>
        </w:rPr>
        <w:t xml:space="preserve">6.1.4 </w:t>
      </w:r>
      <w:r>
        <w:rPr>
          <w:sz w:val="21"/>
        </w:rPr>
        <w:t>喷雾角与开花角的测量</w:t>
      </w:r>
      <w:r>
        <w:rPr>
          <w:sz w:val="21"/>
        </w:rPr>
        <w:t xml:space="preserve"> </w:t>
      </w:r>
    </w:p>
    <w:p w14:paraId="4323CF4D" w14:textId="77777777" w:rsidR="00A71EEF" w:rsidRDefault="00A71EEF">
      <w:pPr>
        <w:rPr>
          <w:sz w:val="21"/>
        </w:rPr>
        <w:sectPr w:rsidR="00A71EEF">
          <w:pgSz w:w="11910" w:h="16850"/>
          <w:pgMar w:top="1220" w:right="0" w:bottom="1420" w:left="1260" w:header="0" w:footer="1239" w:gutter="0"/>
          <w:cols w:space="720"/>
        </w:sectPr>
      </w:pPr>
    </w:p>
    <w:p w14:paraId="4FD48F9E" w14:textId="77777777" w:rsidR="00A71EEF" w:rsidRDefault="0081115D">
      <w:pPr>
        <w:pStyle w:val="a3"/>
        <w:spacing w:before="47" w:line="446" w:lineRule="auto"/>
        <w:ind w:left="418" w:right="1609" w:firstLine="419"/>
      </w:pPr>
      <w:r>
        <w:lastRenderedPageBreak/>
        <w:t>在水枪喷射时，将测角规的两条边分别与水枪喷嘴前的雾状水流或开花水流边缘相重，测角规两边的夹角为喷雾角或开花角。测量结果应符合</w:t>
      </w:r>
      <w:r>
        <w:t xml:space="preserve"> 5.2.2 </w:t>
      </w:r>
      <w:r>
        <w:t>的规定。</w:t>
      </w:r>
      <w:r>
        <w:t xml:space="preserve"> </w:t>
      </w:r>
    </w:p>
    <w:p w14:paraId="289687A7" w14:textId="77777777" w:rsidR="00A71EEF" w:rsidRDefault="0081115D">
      <w:pPr>
        <w:pStyle w:val="a4"/>
        <w:numPr>
          <w:ilvl w:val="1"/>
          <w:numId w:val="973"/>
        </w:numPr>
        <w:tabs>
          <w:tab w:val="left" w:pos="1159"/>
        </w:tabs>
        <w:spacing w:line="267" w:lineRule="exact"/>
        <w:ind w:hanging="319"/>
        <w:rPr>
          <w:sz w:val="21"/>
        </w:rPr>
      </w:pPr>
      <w:r>
        <w:rPr>
          <w:spacing w:val="-3"/>
          <w:sz w:val="21"/>
        </w:rPr>
        <w:t>操作力矩测定</w:t>
      </w:r>
      <w:r>
        <w:rPr>
          <w:sz w:val="21"/>
        </w:rPr>
        <w:t xml:space="preserve"> </w:t>
      </w:r>
    </w:p>
    <w:p w14:paraId="31DED0AF" w14:textId="77777777" w:rsidR="00A71EEF" w:rsidRDefault="00A71EEF">
      <w:pPr>
        <w:pStyle w:val="a3"/>
        <w:spacing w:before="2"/>
        <w:rPr>
          <w:sz w:val="18"/>
        </w:rPr>
      </w:pPr>
    </w:p>
    <w:p w14:paraId="4BF89A32" w14:textId="77777777" w:rsidR="00A71EEF" w:rsidRDefault="0081115D">
      <w:pPr>
        <w:pStyle w:val="a3"/>
        <w:spacing w:line="446" w:lineRule="auto"/>
        <w:ind w:left="418" w:right="1453" w:firstLine="419"/>
      </w:pPr>
      <w:r>
        <w:rPr>
          <w:spacing w:val="-3"/>
        </w:rPr>
        <w:t>将水枪置于试验装置上，关闭水枪上的开关，对水枪加压至额定喷射压力，用三等标准测</w:t>
      </w:r>
      <w:r>
        <w:rPr>
          <w:spacing w:val="-3"/>
        </w:rPr>
        <w:t xml:space="preserve"> </w:t>
      </w:r>
      <w:r>
        <w:rPr>
          <w:spacing w:val="-5"/>
        </w:rPr>
        <w:t>力计测量水枪开关从关闭至全开的最大操作力矩，允许测量误差为士</w:t>
      </w:r>
      <w:r>
        <w:rPr>
          <w:spacing w:val="-5"/>
        </w:rPr>
        <w:t xml:space="preserve"> </w:t>
      </w:r>
      <w:r>
        <w:t>0.5</w:t>
      </w:r>
      <w:r>
        <w:rPr>
          <w:spacing w:val="25"/>
        </w:rPr>
        <w:t xml:space="preserve"> </w:t>
      </w:r>
      <w:r>
        <w:t>N•m</w:t>
      </w:r>
      <w:r>
        <w:rPr>
          <w:spacing w:val="-3"/>
        </w:rPr>
        <w:t>。测量结果应符合</w:t>
      </w:r>
    </w:p>
    <w:p w14:paraId="1B405B17" w14:textId="77777777" w:rsidR="00A71EEF" w:rsidRDefault="0081115D">
      <w:pPr>
        <w:pStyle w:val="a3"/>
        <w:spacing w:line="446" w:lineRule="auto"/>
        <w:ind w:left="840" w:right="8330" w:hanging="423"/>
      </w:pPr>
      <w:r>
        <w:t xml:space="preserve">5.3.6  </w:t>
      </w:r>
      <w:r>
        <w:t>的规定。</w:t>
      </w:r>
      <w:r>
        <w:rPr>
          <w:b/>
        </w:rPr>
        <w:t xml:space="preserve">6.3 </w:t>
      </w:r>
      <w:r>
        <w:t>螺纹检验</w:t>
      </w:r>
      <w:r>
        <w:t xml:space="preserve"> </w:t>
      </w:r>
    </w:p>
    <w:p w14:paraId="0EF33C8D" w14:textId="77777777" w:rsidR="00A71EEF" w:rsidRDefault="0081115D">
      <w:pPr>
        <w:pStyle w:val="a3"/>
        <w:spacing w:line="446" w:lineRule="auto"/>
        <w:ind w:left="840" w:right="1508" w:hanging="3"/>
      </w:pPr>
      <w:r>
        <w:rPr>
          <w:spacing w:val="-5"/>
        </w:rPr>
        <w:t>用螺纹规或万能工具显微镜检查水枪上所使用的全部螺纹，检查结果应符合</w:t>
      </w:r>
      <w:r>
        <w:rPr>
          <w:spacing w:val="-5"/>
        </w:rPr>
        <w:t xml:space="preserve"> </w:t>
      </w:r>
      <w:r>
        <w:t>5.6</w:t>
      </w:r>
      <w:r>
        <w:rPr>
          <w:spacing w:val="-11"/>
        </w:rPr>
        <w:t xml:space="preserve"> </w:t>
      </w:r>
      <w:r>
        <w:rPr>
          <w:spacing w:val="-11"/>
        </w:rPr>
        <w:t>的要求。</w:t>
      </w:r>
      <w:r>
        <w:rPr>
          <w:b/>
        </w:rPr>
        <w:t>6.4</w:t>
      </w:r>
      <w:r>
        <w:rPr>
          <w:b/>
          <w:spacing w:val="102"/>
        </w:rPr>
        <w:t xml:space="preserve"> </w:t>
      </w:r>
      <w:r>
        <w:rPr>
          <w:spacing w:val="-3"/>
        </w:rPr>
        <w:t>外表质量检验</w:t>
      </w:r>
      <w:r>
        <w:rPr>
          <w:spacing w:val="-3"/>
        </w:rPr>
        <w:t xml:space="preserve"> </w:t>
      </w:r>
    </w:p>
    <w:p w14:paraId="2466B3BB" w14:textId="77777777" w:rsidR="00A71EEF" w:rsidRDefault="0081115D">
      <w:pPr>
        <w:pStyle w:val="a3"/>
        <w:spacing w:line="446" w:lineRule="auto"/>
        <w:ind w:left="840" w:right="5077" w:hanging="3"/>
      </w:pPr>
      <w:r>
        <w:rPr>
          <w:spacing w:val="-6"/>
        </w:rPr>
        <w:t>目察水枪外表质量，外表质量应满足</w:t>
      </w:r>
      <w:r>
        <w:rPr>
          <w:spacing w:val="-6"/>
        </w:rPr>
        <w:t xml:space="preserve"> </w:t>
      </w:r>
      <w:r>
        <w:t>5.7</w:t>
      </w:r>
      <w:r>
        <w:rPr>
          <w:spacing w:val="-12"/>
        </w:rPr>
        <w:t xml:space="preserve"> </w:t>
      </w:r>
      <w:r>
        <w:rPr>
          <w:spacing w:val="-12"/>
        </w:rPr>
        <w:t>的要求。</w:t>
      </w:r>
      <w:r>
        <w:rPr>
          <w:b/>
        </w:rPr>
        <w:t>6.5</w:t>
      </w:r>
      <w:r>
        <w:rPr>
          <w:b/>
          <w:spacing w:val="104"/>
        </w:rPr>
        <w:t xml:space="preserve"> </w:t>
      </w:r>
      <w:r>
        <w:rPr>
          <w:spacing w:val="-3"/>
        </w:rPr>
        <w:t>密封性能、耐水压强度试验</w:t>
      </w:r>
      <w:r>
        <w:t xml:space="preserve"> </w:t>
      </w:r>
    </w:p>
    <w:p w14:paraId="1309E3DA" w14:textId="77777777" w:rsidR="00A71EEF" w:rsidRDefault="0081115D">
      <w:pPr>
        <w:pStyle w:val="a4"/>
        <w:numPr>
          <w:ilvl w:val="2"/>
          <w:numId w:val="972"/>
        </w:numPr>
        <w:tabs>
          <w:tab w:val="left" w:pos="1371"/>
        </w:tabs>
        <w:spacing w:line="446" w:lineRule="auto"/>
        <w:ind w:right="1551" w:firstLine="422"/>
        <w:rPr>
          <w:sz w:val="21"/>
        </w:rPr>
      </w:pPr>
      <w:r>
        <w:rPr>
          <w:spacing w:val="-5"/>
          <w:sz w:val="21"/>
        </w:rPr>
        <w:t>试验装置允许工作压力应大于水枪最大工作压力的</w:t>
      </w:r>
      <w:r>
        <w:rPr>
          <w:spacing w:val="-5"/>
          <w:sz w:val="21"/>
        </w:rPr>
        <w:t xml:space="preserve"> </w:t>
      </w:r>
      <w:r>
        <w:rPr>
          <w:sz w:val="21"/>
        </w:rPr>
        <w:t>1.6</w:t>
      </w:r>
      <w:r>
        <w:rPr>
          <w:spacing w:val="-13"/>
          <w:sz w:val="21"/>
        </w:rPr>
        <w:t xml:space="preserve"> </w:t>
      </w:r>
      <w:r>
        <w:rPr>
          <w:spacing w:val="-13"/>
          <w:sz w:val="21"/>
        </w:rPr>
        <w:t>倍，稳压精度士</w:t>
      </w:r>
      <w:r>
        <w:rPr>
          <w:spacing w:val="-13"/>
          <w:sz w:val="21"/>
        </w:rPr>
        <w:t xml:space="preserve"> </w:t>
      </w:r>
      <w:r>
        <w:rPr>
          <w:sz w:val="21"/>
        </w:rPr>
        <w:t>2</w:t>
      </w:r>
      <w:r>
        <w:rPr>
          <w:spacing w:val="-1"/>
          <w:sz w:val="21"/>
        </w:rPr>
        <w:t>%</w:t>
      </w:r>
      <w:r>
        <w:rPr>
          <w:spacing w:val="-1"/>
          <w:sz w:val="21"/>
        </w:rPr>
        <w:t>。装置中</w:t>
      </w:r>
      <w:r>
        <w:rPr>
          <w:spacing w:val="-8"/>
          <w:sz w:val="21"/>
        </w:rPr>
        <w:t>的压力测量精度不低于</w:t>
      </w:r>
      <w:r>
        <w:rPr>
          <w:spacing w:val="-8"/>
          <w:sz w:val="21"/>
        </w:rPr>
        <w:t xml:space="preserve"> </w:t>
      </w:r>
      <w:r>
        <w:rPr>
          <w:sz w:val="21"/>
        </w:rPr>
        <w:t>1.5</w:t>
      </w:r>
      <w:r>
        <w:rPr>
          <w:spacing w:val="-19"/>
          <w:sz w:val="21"/>
        </w:rPr>
        <w:t xml:space="preserve"> </w:t>
      </w:r>
      <w:r>
        <w:rPr>
          <w:spacing w:val="-19"/>
          <w:sz w:val="21"/>
        </w:rPr>
        <w:t>级。</w:t>
      </w:r>
      <w:r>
        <w:rPr>
          <w:sz w:val="21"/>
        </w:rPr>
        <w:t xml:space="preserve"> </w:t>
      </w:r>
    </w:p>
    <w:p w14:paraId="7D76F0A4" w14:textId="77777777" w:rsidR="00A71EEF" w:rsidRDefault="0081115D">
      <w:pPr>
        <w:pStyle w:val="a4"/>
        <w:numPr>
          <w:ilvl w:val="2"/>
          <w:numId w:val="972"/>
        </w:numPr>
        <w:tabs>
          <w:tab w:val="left" w:pos="1371"/>
        </w:tabs>
        <w:spacing w:line="446" w:lineRule="auto"/>
        <w:ind w:right="1604" w:firstLine="422"/>
        <w:rPr>
          <w:sz w:val="21"/>
        </w:rPr>
      </w:pPr>
      <w:r>
        <w:rPr>
          <w:spacing w:val="-3"/>
          <w:sz w:val="21"/>
        </w:rPr>
        <w:t>关闭水枪的开关，水枪的进水端通过接口与试验装置相连，加压过程中必须先排除</w:t>
      </w:r>
      <w:r>
        <w:rPr>
          <w:spacing w:val="-5"/>
          <w:sz w:val="21"/>
        </w:rPr>
        <w:t>枪体内的空气，然后缓慢加压至最大工作压力，保压</w:t>
      </w:r>
      <w:r>
        <w:rPr>
          <w:spacing w:val="-5"/>
          <w:sz w:val="21"/>
        </w:rPr>
        <w:t xml:space="preserve"> </w:t>
      </w:r>
      <w:r>
        <w:rPr>
          <w:sz w:val="21"/>
        </w:rPr>
        <w:t>2min</w:t>
      </w:r>
      <w:r>
        <w:rPr>
          <w:spacing w:val="-9"/>
          <w:sz w:val="21"/>
        </w:rPr>
        <w:t>，检查结果应符合</w:t>
      </w:r>
      <w:r>
        <w:rPr>
          <w:spacing w:val="-9"/>
          <w:sz w:val="21"/>
        </w:rPr>
        <w:t xml:space="preserve"> </w:t>
      </w:r>
      <w:r>
        <w:rPr>
          <w:sz w:val="21"/>
        </w:rPr>
        <w:t>5.8</w:t>
      </w:r>
      <w:r>
        <w:rPr>
          <w:spacing w:val="-15"/>
          <w:sz w:val="21"/>
        </w:rPr>
        <w:t xml:space="preserve"> </w:t>
      </w:r>
      <w:r>
        <w:rPr>
          <w:spacing w:val="-15"/>
          <w:sz w:val="21"/>
        </w:rPr>
        <w:t>要求。</w:t>
      </w:r>
      <w:r>
        <w:rPr>
          <w:sz w:val="21"/>
        </w:rPr>
        <w:t xml:space="preserve"> </w:t>
      </w:r>
    </w:p>
    <w:p w14:paraId="56FACA99" w14:textId="77777777" w:rsidR="00A71EEF" w:rsidRDefault="0081115D">
      <w:pPr>
        <w:pStyle w:val="a4"/>
        <w:numPr>
          <w:ilvl w:val="2"/>
          <w:numId w:val="972"/>
        </w:numPr>
        <w:tabs>
          <w:tab w:val="left" w:pos="1371"/>
        </w:tabs>
        <w:spacing w:line="446" w:lineRule="auto"/>
        <w:ind w:right="1452" w:firstLine="422"/>
        <w:rPr>
          <w:sz w:val="21"/>
        </w:rPr>
      </w:pPr>
      <w:r>
        <w:rPr>
          <w:spacing w:val="-3"/>
          <w:sz w:val="21"/>
        </w:rPr>
        <w:t>打开水枪的开关，水枪的进水端通过接口与试验装置相连，封闭水枪的出水端。加压</w:t>
      </w:r>
      <w:r>
        <w:rPr>
          <w:spacing w:val="-5"/>
          <w:sz w:val="21"/>
        </w:rPr>
        <w:t>过程中必须先排除枪体内的空气，然后缓慢加压至最大工作压力，保压</w:t>
      </w:r>
      <w:r>
        <w:rPr>
          <w:spacing w:val="-5"/>
          <w:sz w:val="21"/>
        </w:rPr>
        <w:t xml:space="preserve"> </w:t>
      </w:r>
      <w:r>
        <w:rPr>
          <w:spacing w:val="-3"/>
          <w:sz w:val="21"/>
        </w:rPr>
        <w:t>2</w:t>
      </w:r>
      <w:r>
        <w:rPr>
          <w:spacing w:val="25"/>
          <w:sz w:val="21"/>
        </w:rPr>
        <w:t xml:space="preserve"> </w:t>
      </w:r>
      <w:r>
        <w:rPr>
          <w:sz w:val="21"/>
        </w:rPr>
        <w:t>min</w:t>
      </w:r>
      <w:r>
        <w:rPr>
          <w:spacing w:val="-2"/>
          <w:sz w:val="21"/>
        </w:rPr>
        <w:t>，检查结果应符合</w:t>
      </w:r>
      <w:r>
        <w:rPr>
          <w:spacing w:val="-2"/>
          <w:sz w:val="21"/>
        </w:rPr>
        <w:t>5.8</w:t>
      </w:r>
      <w:r>
        <w:rPr>
          <w:spacing w:val="-16"/>
          <w:sz w:val="21"/>
        </w:rPr>
        <w:t xml:space="preserve"> </w:t>
      </w:r>
      <w:r>
        <w:rPr>
          <w:spacing w:val="-16"/>
          <w:sz w:val="21"/>
        </w:rPr>
        <w:t>要求。</w:t>
      </w:r>
      <w:r>
        <w:rPr>
          <w:sz w:val="21"/>
        </w:rPr>
        <w:t xml:space="preserve"> </w:t>
      </w:r>
    </w:p>
    <w:p w14:paraId="6E3B35B5" w14:textId="77777777" w:rsidR="00A71EEF" w:rsidRDefault="0081115D">
      <w:pPr>
        <w:pStyle w:val="a4"/>
        <w:numPr>
          <w:ilvl w:val="2"/>
          <w:numId w:val="972"/>
        </w:numPr>
        <w:tabs>
          <w:tab w:val="left" w:pos="1371"/>
        </w:tabs>
        <w:spacing w:line="446" w:lineRule="auto"/>
        <w:ind w:right="1445" w:firstLine="422"/>
        <w:rPr>
          <w:sz w:val="21"/>
        </w:rPr>
      </w:pPr>
      <w:r>
        <w:rPr>
          <w:spacing w:val="-10"/>
          <w:sz w:val="21"/>
        </w:rPr>
        <w:t>水枪状态同</w:t>
      </w:r>
      <w:r>
        <w:rPr>
          <w:spacing w:val="-10"/>
          <w:sz w:val="21"/>
        </w:rPr>
        <w:t xml:space="preserve"> </w:t>
      </w:r>
      <w:r>
        <w:rPr>
          <w:sz w:val="21"/>
        </w:rPr>
        <w:t>6.5.3</w:t>
      </w:r>
      <w:r>
        <w:rPr>
          <w:spacing w:val="-3"/>
          <w:sz w:val="21"/>
        </w:rPr>
        <w:t>，加压过程中必须先排除枪体内的空气，然后缓慢加压至最大工作</w:t>
      </w:r>
      <w:r>
        <w:rPr>
          <w:spacing w:val="-15"/>
          <w:sz w:val="21"/>
        </w:rPr>
        <w:t>压力的</w:t>
      </w:r>
      <w:r>
        <w:rPr>
          <w:spacing w:val="-15"/>
          <w:sz w:val="21"/>
        </w:rPr>
        <w:t xml:space="preserve"> </w:t>
      </w:r>
      <w:r>
        <w:rPr>
          <w:sz w:val="21"/>
        </w:rPr>
        <w:t>1.5</w:t>
      </w:r>
      <w:r>
        <w:rPr>
          <w:spacing w:val="-20"/>
          <w:sz w:val="21"/>
        </w:rPr>
        <w:t xml:space="preserve"> </w:t>
      </w:r>
      <w:r>
        <w:rPr>
          <w:spacing w:val="-20"/>
          <w:sz w:val="21"/>
        </w:rPr>
        <w:t>倍，保压</w:t>
      </w:r>
      <w:r>
        <w:rPr>
          <w:spacing w:val="-20"/>
          <w:sz w:val="21"/>
        </w:rPr>
        <w:t xml:space="preserve"> </w:t>
      </w:r>
      <w:r>
        <w:rPr>
          <w:sz w:val="21"/>
        </w:rPr>
        <w:t>2</w:t>
      </w:r>
      <w:r>
        <w:rPr>
          <w:spacing w:val="2"/>
          <w:sz w:val="21"/>
        </w:rPr>
        <w:t xml:space="preserve"> </w:t>
      </w:r>
      <w:r>
        <w:rPr>
          <w:sz w:val="21"/>
        </w:rPr>
        <w:t>min</w:t>
      </w:r>
      <w:r>
        <w:rPr>
          <w:spacing w:val="-9"/>
          <w:sz w:val="21"/>
        </w:rPr>
        <w:t>。检查结果应符合</w:t>
      </w:r>
      <w:r>
        <w:rPr>
          <w:spacing w:val="-9"/>
          <w:sz w:val="21"/>
        </w:rPr>
        <w:t xml:space="preserve"> </w:t>
      </w:r>
      <w:r>
        <w:rPr>
          <w:sz w:val="21"/>
        </w:rPr>
        <w:t>5.9</w:t>
      </w:r>
      <w:r>
        <w:rPr>
          <w:spacing w:val="-16"/>
          <w:sz w:val="21"/>
        </w:rPr>
        <w:t xml:space="preserve"> </w:t>
      </w:r>
      <w:r>
        <w:rPr>
          <w:spacing w:val="-16"/>
          <w:sz w:val="21"/>
        </w:rPr>
        <w:t>要求。</w:t>
      </w:r>
      <w:r>
        <w:rPr>
          <w:sz w:val="21"/>
        </w:rPr>
        <w:t xml:space="preserve"> </w:t>
      </w:r>
    </w:p>
    <w:p w14:paraId="708850B2" w14:textId="77777777" w:rsidR="00A71EEF" w:rsidRDefault="0081115D">
      <w:pPr>
        <w:spacing w:line="267" w:lineRule="exact"/>
        <w:ind w:left="840"/>
        <w:rPr>
          <w:b/>
          <w:sz w:val="21"/>
        </w:rPr>
      </w:pPr>
      <w:r>
        <w:rPr>
          <w:b/>
          <w:sz w:val="21"/>
        </w:rPr>
        <w:t>6.6</w:t>
      </w:r>
      <w:r>
        <w:rPr>
          <w:b/>
          <w:spacing w:val="102"/>
          <w:sz w:val="21"/>
        </w:rPr>
        <w:t xml:space="preserve"> </w:t>
      </w:r>
      <w:r>
        <w:rPr>
          <w:spacing w:val="-3"/>
          <w:sz w:val="21"/>
        </w:rPr>
        <w:t>耐高温试验</w:t>
      </w:r>
      <w:r>
        <w:rPr>
          <w:b/>
          <w:w w:val="99"/>
          <w:sz w:val="21"/>
        </w:rPr>
        <w:t xml:space="preserve"> </w:t>
      </w:r>
    </w:p>
    <w:p w14:paraId="388CA4E4" w14:textId="77777777" w:rsidR="00A71EEF" w:rsidRDefault="00A71EEF">
      <w:pPr>
        <w:pStyle w:val="a3"/>
        <w:spacing w:before="9"/>
        <w:rPr>
          <w:b/>
          <w:sz w:val="17"/>
        </w:rPr>
      </w:pPr>
    </w:p>
    <w:p w14:paraId="069E8BC9" w14:textId="77777777" w:rsidR="00A71EEF" w:rsidRDefault="0081115D">
      <w:pPr>
        <w:pStyle w:val="a3"/>
        <w:ind w:left="838"/>
      </w:pPr>
      <w:r>
        <w:t>将水枪置于高温箱内，在</w:t>
      </w:r>
      <w:r>
        <w:t xml:space="preserve"> 55℃</w:t>
      </w:r>
      <w:r>
        <w:t>士</w:t>
      </w:r>
      <w:r>
        <w:t xml:space="preserve"> 2℃</w:t>
      </w:r>
      <w:r>
        <w:t>下存放</w:t>
      </w:r>
      <w:r>
        <w:t xml:space="preserve"> 24 h</w:t>
      </w:r>
      <w:r>
        <w:t>，取出后</w:t>
      </w:r>
      <w:r>
        <w:t xml:space="preserve"> 30 s </w:t>
      </w:r>
      <w:r>
        <w:t>内检查，检查结果应满足</w:t>
      </w:r>
    </w:p>
    <w:p w14:paraId="0B65400A" w14:textId="77777777" w:rsidR="00A71EEF" w:rsidRDefault="00A71EEF">
      <w:pPr>
        <w:pStyle w:val="a3"/>
        <w:spacing w:before="12"/>
        <w:rPr>
          <w:sz w:val="17"/>
        </w:rPr>
      </w:pPr>
    </w:p>
    <w:p w14:paraId="465684F1" w14:textId="77777777" w:rsidR="00A71EEF" w:rsidRDefault="0081115D">
      <w:pPr>
        <w:pStyle w:val="a3"/>
        <w:ind w:left="418"/>
      </w:pPr>
      <w:r>
        <w:t xml:space="preserve">5.10 </w:t>
      </w:r>
      <w:r>
        <w:t>要求。</w:t>
      </w:r>
      <w:r>
        <w:t xml:space="preserve"> </w:t>
      </w:r>
    </w:p>
    <w:p w14:paraId="0036EC12" w14:textId="77777777" w:rsidR="00A71EEF" w:rsidRDefault="00A71EEF">
      <w:pPr>
        <w:pStyle w:val="a3"/>
        <w:rPr>
          <w:sz w:val="18"/>
        </w:rPr>
      </w:pPr>
    </w:p>
    <w:p w14:paraId="560B0BD6" w14:textId="77777777" w:rsidR="00A71EEF" w:rsidRDefault="0081115D">
      <w:pPr>
        <w:pStyle w:val="a4"/>
        <w:numPr>
          <w:ilvl w:val="1"/>
          <w:numId w:val="971"/>
        </w:numPr>
        <w:tabs>
          <w:tab w:val="left" w:pos="1159"/>
        </w:tabs>
        <w:ind w:hanging="319"/>
        <w:rPr>
          <w:b/>
          <w:sz w:val="21"/>
        </w:rPr>
      </w:pPr>
      <w:r>
        <w:rPr>
          <w:spacing w:val="-3"/>
          <w:sz w:val="21"/>
        </w:rPr>
        <w:t>耐低温试验</w:t>
      </w:r>
      <w:r>
        <w:rPr>
          <w:b/>
          <w:w w:val="99"/>
          <w:sz w:val="21"/>
        </w:rPr>
        <w:t xml:space="preserve"> </w:t>
      </w:r>
    </w:p>
    <w:p w14:paraId="00D1EB69" w14:textId="77777777" w:rsidR="00A71EEF" w:rsidRDefault="00A71EEF">
      <w:pPr>
        <w:pStyle w:val="a3"/>
        <w:spacing w:before="2"/>
        <w:rPr>
          <w:b/>
          <w:sz w:val="18"/>
        </w:rPr>
      </w:pPr>
    </w:p>
    <w:p w14:paraId="1040D4C5" w14:textId="77777777" w:rsidR="00A71EEF" w:rsidRDefault="0081115D">
      <w:pPr>
        <w:pStyle w:val="a3"/>
        <w:spacing w:line="446" w:lineRule="auto"/>
        <w:ind w:left="418" w:right="1503" w:firstLine="419"/>
      </w:pPr>
      <w:r>
        <w:rPr>
          <w:spacing w:val="-3"/>
        </w:rPr>
        <w:t>将干燥的水枪置于低温箱内，在</w:t>
      </w:r>
      <w:r>
        <w:t>﹣</w:t>
      </w:r>
      <w:r>
        <w:t>30℃</w:t>
      </w:r>
      <w:r>
        <w:rPr>
          <w:spacing w:val="-25"/>
        </w:rPr>
        <w:t>士</w:t>
      </w:r>
      <w:r>
        <w:rPr>
          <w:spacing w:val="-25"/>
        </w:rPr>
        <w:t xml:space="preserve"> </w:t>
      </w:r>
      <w:r>
        <w:t>2</w:t>
      </w:r>
      <w:r>
        <w:rPr>
          <w:spacing w:val="-11"/>
        </w:rPr>
        <w:t>℃</w:t>
      </w:r>
      <w:r>
        <w:rPr>
          <w:spacing w:val="-11"/>
        </w:rPr>
        <w:t>下存放</w:t>
      </w:r>
      <w:r>
        <w:rPr>
          <w:spacing w:val="-11"/>
        </w:rPr>
        <w:t xml:space="preserve"> </w:t>
      </w:r>
      <w:r>
        <w:t>24 h</w:t>
      </w:r>
      <w:r>
        <w:rPr>
          <w:spacing w:val="-11"/>
        </w:rPr>
        <w:t>，取出后</w:t>
      </w:r>
      <w:r>
        <w:rPr>
          <w:spacing w:val="-11"/>
        </w:rPr>
        <w:t xml:space="preserve"> </w:t>
      </w:r>
      <w:r>
        <w:t>30 s</w:t>
      </w:r>
      <w:r>
        <w:rPr>
          <w:spacing w:val="-8"/>
        </w:rPr>
        <w:t xml:space="preserve"> </w:t>
      </w:r>
      <w:r>
        <w:rPr>
          <w:spacing w:val="-8"/>
        </w:rPr>
        <w:t>内检查，检查结果</w:t>
      </w:r>
      <w:r>
        <w:rPr>
          <w:spacing w:val="-17"/>
        </w:rPr>
        <w:t>应满足</w:t>
      </w:r>
      <w:r>
        <w:rPr>
          <w:spacing w:val="-17"/>
        </w:rPr>
        <w:t xml:space="preserve"> </w:t>
      </w:r>
      <w:r>
        <w:t>5.10</w:t>
      </w:r>
      <w:r>
        <w:rPr>
          <w:spacing w:val="-15"/>
        </w:rPr>
        <w:t xml:space="preserve"> </w:t>
      </w:r>
      <w:r>
        <w:rPr>
          <w:spacing w:val="-15"/>
        </w:rPr>
        <w:t>要求。</w:t>
      </w:r>
      <w:r>
        <w:t xml:space="preserve"> </w:t>
      </w:r>
    </w:p>
    <w:p w14:paraId="222F30D5" w14:textId="77777777" w:rsidR="00A71EEF" w:rsidRDefault="0081115D">
      <w:pPr>
        <w:pStyle w:val="a4"/>
        <w:numPr>
          <w:ilvl w:val="1"/>
          <w:numId w:val="971"/>
        </w:numPr>
        <w:tabs>
          <w:tab w:val="left" w:pos="1160"/>
        </w:tabs>
        <w:spacing w:line="267" w:lineRule="exact"/>
        <w:ind w:left="1159" w:hanging="320"/>
        <w:rPr>
          <w:b/>
          <w:sz w:val="21"/>
        </w:rPr>
      </w:pPr>
      <w:r>
        <w:rPr>
          <w:spacing w:val="-3"/>
          <w:sz w:val="21"/>
        </w:rPr>
        <w:t>跌落试验</w:t>
      </w:r>
      <w:r>
        <w:rPr>
          <w:b/>
          <w:w w:val="99"/>
          <w:sz w:val="21"/>
        </w:rPr>
        <w:t xml:space="preserve"> </w:t>
      </w:r>
    </w:p>
    <w:p w14:paraId="07712141" w14:textId="77777777" w:rsidR="00A71EEF" w:rsidRDefault="00A71EEF">
      <w:pPr>
        <w:spacing w:line="267" w:lineRule="exact"/>
        <w:rPr>
          <w:sz w:val="21"/>
        </w:rPr>
        <w:sectPr w:rsidR="00A71EEF">
          <w:pgSz w:w="11910" w:h="16850"/>
          <w:pgMar w:top="1220" w:right="0" w:bottom="1420" w:left="1260" w:header="0" w:footer="1239" w:gutter="0"/>
          <w:cols w:space="720"/>
        </w:sectPr>
      </w:pPr>
    </w:p>
    <w:p w14:paraId="1A15697C" w14:textId="77777777" w:rsidR="00A71EEF" w:rsidRDefault="0081115D">
      <w:pPr>
        <w:pStyle w:val="a3"/>
        <w:spacing w:before="47" w:line="446" w:lineRule="auto"/>
        <w:ind w:left="418" w:right="1510" w:firstLine="419"/>
      </w:pPr>
      <w:r>
        <w:rPr>
          <w:spacing w:val="-3"/>
        </w:rPr>
        <w:lastRenderedPageBreak/>
        <w:t>水枪以喷嘴垂直朝上、喷嘴垂直朝下</w:t>
      </w:r>
      <w:r>
        <w:rPr>
          <w:spacing w:val="-3"/>
        </w:rPr>
        <w:t>(</w:t>
      </w:r>
      <w:r>
        <w:rPr>
          <w:spacing w:val="-3"/>
        </w:rPr>
        <w:t>旋转开关处于关闭位置</w:t>
      </w:r>
      <w:r>
        <w:rPr>
          <w:spacing w:val="-3"/>
        </w:rPr>
        <w:t>)</w:t>
      </w:r>
      <w:r>
        <w:rPr>
          <w:spacing w:val="-3"/>
        </w:rPr>
        <w:t>以及水枪轴线处于水平</w:t>
      </w:r>
      <w:r>
        <w:rPr>
          <w:spacing w:val="-3"/>
        </w:rPr>
        <w:t>(</w:t>
      </w:r>
      <w:r>
        <w:rPr>
          <w:spacing w:val="-3"/>
        </w:rPr>
        <w:t>若有开关时，开关处于水枪水平轴线之下并处于关闭位置</w:t>
      </w:r>
      <w:r>
        <w:t>)3</w:t>
      </w:r>
      <w:r>
        <w:rPr>
          <w:spacing w:val="-12"/>
        </w:rPr>
        <w:t xml:space="preserve"> </w:t>
      </w:r>
      <w:r>
        <w:rPr>
          <w:spacing w:val="-12"/>
        </w:rPr>
        <w:t>个位置，从离地</w:t>
      </w:r>
      <w:r>
        <w:rPr>
          <w:spacing w:val="-12"/>
        </w:rPr>
        <w:t xml:space="preserve"> </w:t>
      </w:r>
      <w:r>
        <w:t>2.0 m</w:t>
      </w:r>
      <w:r>
        <w:rPr>
          <w:spacing w:val="-25"/>
        </w:rPr>
        <w:t xml:space="preserve"> </w:t>
      </w:r>
      <w:r>
        <w:rPr>
          <w:spacing w:val="-25"/>
        </w:rPr>
        <w:t>士</w:t>
      </w:r>
      <w:r>
        <w:rPr>
          <w:spacing w:val="-25"/>
        </w:rPr>
        <w:t xml:space="preserve"> </w:t>
      </w:r>
      <w:r>
        <w:t>0.02 m</w:t>
      </w:r>
      <w:r>
        <w:rPr>
          <w:spacing w:val="-15"/>
        </w:rPr>
        <w:t xml:space="preserve"> </w:t>
      </w:r>
      <w:r>
        <w:rPr>
          <w:spacing w:val="-15"/>
        </w:rPr>
        <w:t>高处</w:t>
      </w:r>
      <w:r>
        <w:rPr>
          <w:spacing w:val="-3"/>
        </w:rPr>
        <w:t>(</w:t>
      </w:r>
      <w:r>
        <w:rPr>
          <w:spacing w:val="-3"/>
        </w:rPr>
        <w:t>从水枪的最低点算起</w:t>
      </w:r>
      <w:r>
        <w:rPr>
          <w:spacing w:val="-3"/>
        </w:rPr>
        <w:t>)</w:t>
      </w:r>
      <w:r>
        <w:rPr>
          <w:spacing w:val="-3"/>
        </w:rPr>
        <w:t>自由落到混凝土地面上。水枪于每个位置坠落两次后检查，检查结果应</w:t>
      </w:r>
      <w:r>
        <w:rPr>
          <w:spacing w:val="-20"/>
        </w:rPr>
        <w:t>符合</w:t>
      </w:r>
      <w:r>
        <w:rPr>
          <w:spacing w:val="-20"/>
        </w:rPr>
        <w:t xml:space="preserve"> </w:t>
      </w:r>
      <w:r>
        <w:t>5.11</w:t>
      </w:r>
      <w:r>
        <w:rPr>
          <w:spacing w:val="-16"/>
        </w:rPr>
        <w:t xml:space="preserve"> </w:t>
      </w:r>
      <w:r>
        <w:rPr>
          <w:spacing w:val="-16"/>
        </w:rPr>
        <w:t>要求。</w:t>
      </w:r>
      <w:r>
        <w:t xml:space="preserve"> </w:t>
      </w:r>
    </w:p>
    <w:p w14:paraId="427C71FB" w14:textId="77777777" w:rsidR="00A71EEF" w:rsidRDefault="0081115D">
      <w:pPr>
        <w:pStyle w:val="a4"/>
        <w:numPr>
          <w:ilvl w:val="1"/>
          <w:numId w:val="971"/>
        </w:numPr>
        <w:tabs>
          <w:tab w:val="left" w:pos="1159"/>
        </w:tabs>
        <w:spacing w:line="267" w:lineRule="exact"/>
        <w:ind w:hanging="319"/>
        <w:rPr>
          <w:sz w:val="21"/>
        </w:rPr>
      </w:pPr>
      <w:r>
        <w:rPr>
          <w:spacing w:val="-3"/>
          <w:sz w:val="21"/>
        </w:rPr>
        <w:t>盐雾腐蚀试验</w:t>
      </w:r>
      <w:r>
        <w:rPr>
          <w:spacing w:val="-3"/>
          <w:sz w:val="21"/>
        </w:rPr>
        <w:t xml:space="preserve"> </w:t>
      </w:r>
    </w:p>
    <w:p w14:paraId="3B2D87A8" w14:textId="77777777" w:rsidR="00A71EEF" w:rsidRDefault="00A71EEF">
      <w:pPr>
        <w:pStyle w:val="a3"/>
        <w:rPr>
          <w:sz w:val="18"/>
        </w:rPr>
      </w:pPr>
    </w:p>
    <w:p w14:paraId="5CBA158A" w14:textId="77777777" w:rsidR="00A71EEF" w:rsidRDefault="0081115D">
      <w:pPr>
        <w:pStyle w:val="a4"/>
        <w:numPr>
          <w:ilvl w:val="2"/>
          <w:numId w:val="971"/>
        </w:numPr>
        <w:tabs>
          <w:tab w:val="left" w:pos="1371"/>
        </w:tabs>
        <w:spacing w:line="446" w:lineRule="auto"/>
        <w:ind w:right="1608" w:firstLine="422"/>
        <w:rPr>
          <w:sz w:val="21"/>
        </w:rPr>
      </w:pPr>
      <w:r>
        <w:rPr>
          <w:spacing w:val="-3"/>
          <w:sz w:val="21"/>
        </w:rPr>
        <w:t>试验前对水枪表面作仔细清洗，不得留有油腻、污物</w:t>
      </w:r>
      <w:r>
        <w:rPr>
          <w:b/>
          <w:sz w:val="21"/>
        </w:rPr>
        <w:t>。</w:t>
      </w:r>
      <w:r>
        <w:rPr>
          <w:sz w:val="21"/>
        </w:rPr>
        <w:t>清洗时不准使用磨料或溶</w:t>
      </w:r>
      <w:r>
        <w:rPr>
          <w:sz w:val="21"/>
        </w:rPr>
        <w:t xml:space="preserve"> </w:t>
      </w:r>
      <w:r>
        <w:rPr>
          <w:sz w:val="21"/>
        </w:rPr>
        <w:t>剂</w:t>
      </w:r>
      <w:r>
        <w:rPr>
          <w:spacing w:val="-3"/>
          <w:sz w:val="21"/>
        </w:rPr>
        <w:t>。水枪在盐雾腐蚀试验箱内应呈直立状态，枪口朝上，水枪之间不能互相接触，水枪也不能与箱壁接触。</w:t>
      </w:r>
      <w:r>
        <w:rPr>
          <w:sz w:val="21"/>
        </w:rPr>
        <w:t xml:space="preserve"> </w:t>
      </w:r>
    </w:p>
    <w:p w14:paraId="69D94358" w14:textId="77777777" w:rsidR="00A71EEF" w:rsidRDefault="0081115D">
      <w:pPr>
        <w:pStyle w:val="a4"/>
        <w:numPr>
          <w:ilvl w:val="2"/>
          <w:numId w:val="971"/>
        </w:numPr>
        <w:tabs>
          <w:tab w:val="left" w:pos="1371"/>
        </w:tabs>
        <w:spacing w:line="446" w:lineRule="auto"/>
        <w:ind w:right="1445" w:firstLine="422"/>
        <w:rPr>
          <w:sz w:val="21"/>
        </w:rPr>
      </w:pPr>
      <w:r>
        <w:rPr>
          <w:spacing w:val="-11"/>
          <w:sz w:val="21"/>
        </w:rPr>
        <w:t>试验周期为</w:t>
      </w:r>
      <w:r>
        <w:rPr>
          <w:spacing w:val="-11"/>
          <w:sz w:val="21"/>
        </w:rPr>
        <w:t xml:space="preserve"> </w:t>
      </w:r>
      <w:r>
        <w:rPr>
          <w:sz w:val="21"/>
        </w:rPr>
        <w:t>120</w:t>
      </w:r>
      <w:r>
        <w:rPr>
          <w:spacing w:val="14"/>
          <w:sz w:val="21"/>
        </w:rPr>
        <w:t xml:space="preserve"> </w:t>
      </w:r>
      <w:r>
        <w:rPr>
          <w:spacing w:val="-3"/>
          <w:sz w:val="21"/>
        </w:rPr>
        <w:t>h</w:t>
      </w:r>
      <w:r>
        <w:rPr>
          <w:spacing w:val="-3"/>
          <w:sz w:val="21"/>
        </w:rPr>
        <w:t>。试验中必须防止盐溶液直接冲击水枪表面。试件从盐雾腐蚀箱内</w:t>
      </w:r>
      <w:r>
        <w:rPr>
          <w:spacing w:val="-8"/>
          <w:sz w:val="21"/>
        </w:rPr>
        <w:t>取出后，应用不超过</w:t>
      </w:r>
      <w:r>
        <w:rPr>
          <w:spacing w:val="-8"/>
          <w:sz w:val="21"/>
        </w:rPr>
        <w:t xml:space="preserve"> </w:t>
      </w:r>
      <w:r>
        <w:rPr>
          <w:sz w:val="21"/>
        </w:rPr>
        <w:t>38</w:t>
      </w:r>
      <w:r>
        <w:rPr>
          <w:spacing w:val="-6"/>
          <w:sz w:val="21"/>
        </w:rPr>
        <w:t>℃</w:t>
      </w:r>
      <w:r>
        <w:rPr>
          <w:spacing w:val="-6"/>
          <w:sz w:val="21"/>
        </w:rPr>
        <w:t>的清水冲洗，待干燥后检查，检查结果应满足</w:t>
      </w:r>
      <w:r>
        <w:rPr>
          <w:spacing w:val="-6"/>
          <w:sz w:val="21"/>
        </w:rPr>
        <w:t xml:space="preserve"> </w:t>
      </w:r>
      <w:r>
        <w:rPr>
          <w:sz w:val="21"/>
        </w:rPr>
        <w:t>5.12</w:t>
      </w:r>
      <w:r>
        <w:rPr>
          <w:spacing w:val="-14"/>
          <w:sz w:val="21"/>
        </w:rPr>
        <w:t xml:space="preserve"> </w:t>
      </w:r>
      <w:r>
        <w:rPr>
          <w:spacing w:val="-14"/>
          <w:sz w:val="21"/>
        </w:rPr>
        <w:t>要求。</w:t>
      </w:r>
      <w:r>
        <w:rPr>
          <w:spacing w:val="-14"/>
          <w:sz w:val="21"/>
        </w:rPr>
        <w:t xml:space="preserve"> </w:t>
      </w:r>
    </w:p>
    <w:p w14:paraId="4EF97C9B" w14:textId="77777777" w:rsidR="00A71EEF" w:rsidRDefault="0081115D">
      <w:pPr>
        <w:pStyle w:val="a4"/>
        <w:numPr>
          <w:ilvl w:val="2"/>
          <w:numId w:val="971"/>
        </w:numPr>
        <w:tabs>
          <w:tab w:val="left" w:pos="1370"/>
        </w:tabs>
        <w:spacing w:line="446" w:lineRule="auto"/>
        <w:ind w:left="838" w:right="5072" w:firstLine="2"/>
        <w:rPr>
          <w:sz w:val="21"/>
        </w:rPr>
      </w:pPr>
      <w:r>
        <w:rPr>
          <w:spacing w:val="-3"/>
          <w:sz w:val="21"/>
        </w:rPr>
        <w:t>盐雾腐蚀试验的试验条件应符合下述规定：</w:t>
      </w:r>
      <w:r>
        <w:rPr>
          <w:spacing w:val="-3"/>
          <w:sz w:val="21"/>
        </w:rPr>
        <w:t xml:space="preserve"> </w:t>
      </w:r>
      <w:r>
        <w:rPr>
          <w:sz w:val="21"/>
        </w:rPr>
        <w:t>a)</w:t>
      </w:r>
      <w:r>
        <w:rPr>
          <w:spacing w:val="-9"/>
          <w:sz w:val="21"/>
        </w:rPr>
        <w:t xml:space="preserve"> </w:t>
      </w:r>
      <w:r>
        <w:rPr>
          <w:spacing w:val="-9"/>
          <w:sz w:val="21"/>
        </w:rPr>
        <w:t>氯化钠溶液浓度为</w:t>
      </w:r>
      <w:r>
        <w:rPr>
          <w:spacing w:val="-9"/>
          <w:sz w:val="21"/>
        </w:rPr>
        <w:t xml:space="preserve"> </w:t>
      </w:r>
      <w:r>
        <w:rPr>
          <w:sz w:val="21"/>
        </w:rPr>
        <w:t>50</w:t>
      </w:r>
      <w:r>
        <w:rPr>
          <w:spacing w:val="1"/>
          <w:sz w:val="21"/>
        </w:rPr>
        <w:t xml:space="preserve"> </w:t>
      </w:r>
      <w:r>
        <w:rPr>
          <w:sz w:val="21"/>
        </w:rPr>
        <w:t>g/L</w:t>
      </w:r>
      <w:r>
        <w:rPr>
          <w:spacing w:val="-36"/>
          <w:sz w:val="21"/>
        </w:rPr>
        <w:t xml:space="preserve"> </w:t>
      </w:r>
      <w:r>
        <w:rPr>
          <w:spacing w:val="-36"/>
          <w:sz w:val="21"/>
        </w:rPr>
        <w:t>士</w:t>
      </w:r>
      <w:r>
        <w:rPr>
          <w:spacing w:val="-36"/>
          <w:sz w:val="21"/>
        </w:rPr>
        <w:t xml:space="preserve"> </w:t>
      </w:r>
      <w:r>
        <w:rPr>
          <w:sz w:val="21"/>
        </w:rPr>
        <w:t>1</w:t>
      </w:r>
      <w:r>
        <w:rPr>
          <w:spacing w:val="-2"/>
          <w:sz w:val="21"/>
        </w:rPr>
        <w:t xml:space="preserve"> </w:t>
      </w:r>
      <w:r>
        <w:rPr>
          <w:sz w:val="21"/>
        </w:rPr>
        <w:t>g/L</w:t>
      </w:r>
      <w:r>
        <w:rPr>
          <w:sz w:val="21"/>
        </w:rPr>
        <w:t>；</w:t>
      </w:r>
      <w:r>
        <w:rPr>
          <w:sz w:val="21"/>
        </w:rPr>
        <w:t xml:space="preserve"> </w:t>
      </w:r>
    </w:p>
    <w:p w14:paraId="542E26E4" w14:textId="77777777" w:rsidR="00A71EEF" w:rsidRDefault="0081115D">
      <w:pPr>
        <w:pStyle w:val="a3"/>
        <w:ind w:left="617"/>
      </w:pPr>
      <w:r>
        <w:t xml:space="preserve"> </w:t>
      </w:r>
      <w:r>
        <w:t xml:space="preserve"> b)</w:t>
      </w:r>
      <w:r>
        <w:rPr>
          <w:spacing w:val="103"/>
        </w:rPr>
        <w:t xml:space="preserve"> </w:t>
      </w:r>
      <w:r>
        <w:t>25</w:t>
      </w:r>
      <w:r>
        <w:rPr>
          <w:spacing w:val="-15"/>
        </w:rPr>
        <w:t>℃</w:t>
      </w:r>
      <w:r>
        <w:rPr>
          <w:spacing w:val="-15"/>
        </w:rPr>
        <w:t>时的</w:t>
      </w:r>
      <w:r>
        <w:rPr>
          <w:spacing w:val="-15"/>
        </w:rPr>
        <w:t xml:space="preserve"> </w:t>
      </w:r>
      <w:r>
        <w:t>pH</w:t>
      </w:r>
      <w:r>
        <w:rPr>
          <w:spacing w:val="-17"/>
        </w:rPr>
        <w:t xml:space="preserve"> </w:t>
      </w:r>
      <w:r>
        <w:rPr>
          <w:spacing w:val="-17"/>
        </w:rPr>
        <w:t>值应保持在</w:t>
      </w:r>
      <w:r>
        <w:rPr>
          <w:spacing w:val="-17"/>
        </w:rPr>
        <w:t xml:space="preserve"> </w:t>
      </w:r>
      <w:r>
        <w:t>6.5</w:t>
      </w:r>
      <w:r>
        <w:t>～</w:t>
      </w:r>
      <w:r>
        <w:t>7.2</w:t>
      </w:r>
      <w:r>
        <w:rPr>
          <w:spacing w:val="-13"/>
        </w:rPr>
        <w:t xml:space="preserve"> </w:t>
      </w:r>
      <w:r>
        <w:rPr>
          <w:spacing w:val="-13"/>
        </w:rPr>
        <w:t>范围内；</w:t>
      </w:r>
      <w:r>
        <w:t xml:space="preserve"> </w:t>
      </w:r>
    </w:p>
    <w:p w14:paraId="0996D7D7" w14:textId="77777777" w:rsidR="00A71EEF" w:rsidRDefault="00A71EEF">
      <w:pPr>
        <w:pStyle w:val="a3"/>
        <w:spacing w:before="11"/>
        <w:rPr>
          <w:sz w:val="17"/>
        </w:rPr>
      </w:pPr>
    </w:p>
    <w:p w14:paraId="7AE312DE" w14:textId="77777777" w:rsidR="00A71EEF" w:rsidRDefault="0081115D">
      <w:pPr>
        <w:pStyle w:val="a4"/>
        <w:numPr>
          <w:ilvl w:val="0"/>
          <w:numId w:val="970"/>
        </w:numPr>
        <w:tabs>
          <w:tab w:val="left" w:pos="1051"/>
        </w:tabs>
        <w:spacing w:before="1" w:line="446" w:lineRule="auto"/>
        <w:ind w:right="1507" w:firstLine="419"/>
        <w:rPr>
          <w:sz w:val="21"/>
        </w:rPr>
      </w:pPr>
      <w:r>
        <w:rPr>
          <w:spacing w:val="-11"/>
          <w:sz w:val="21"/>
        </w:rPr>
        <w:t>喷雾速率为</w:t>
      </w:r>
      <w:r>
        <w:rPr>
          <w:spacing w:val="-11"/>
          <w:sz w:val="21"/>
        </w:rPr>
        <w:t xml:space="preserve"> </w:t>
      </w:r>
      <w:r>
        <w:rPr>
          <w:sz w:val="21"/>
        </w:rPr>
        <w:t>1</w:t>
      </w:r>
      <w:r>
        <w:rPr>
          <w:sz w:val="21"/>
        </w:rPr>
        <w:t>～</w:t>
      </w:r>
      <w:r>
        <w:rPr>
          <w:sz w:val="21"/>
        </w:rPr>
        <w:t>2</w:t>
      </w:r>
      <w:r>
        <w:rPr>
          <w:spacing w:val="6"/>
          <w:sz w:val="21"/>
        </w:rPr>
        <w:t xml:space="preserve"> </w:t>
      </w:r>
      <w:r>
        <w:rPr>
          <w:sz w:val="21"/>
        </w:rPr>
        <w:t>mL/h</w:t>
      </w:r>
      <w:r>
        <w:rPr>
          <w:spacing w:val="-11"/>
          <w:sz w:val="21"/>
        </w:rPr>
        <w:t>(</w:t>
      </w:r>
      <w:r>
        <w:rPr>
          <w:spacing w:val="-11"/>
          <w:sz w:val="21"/>
        </w:rPr>
        <w:t>有效面积为</w:t>
      </w:r>
      <w:r>
        <w:rPr>
          <w:spacing w:val="-11"/>
          <w:sz w:val="21"/>
        </w:rPr>
        <w:t xml:space="preserve"> </w:t>
      </w:r>
      <w:r>
        <w:rPr>
          <w:sz w:val="21"/>
        </w:rPr>
        <w:t>80</w:t>
      </w:r>
      <w:r>
        <w:rPr>
          <w:spacing w:val="6"/>
          <w:sz w:val="21"/>
        </w:rPr>
        <w:t xml:space="preserve"> </w:t>
      </w:r>
      <w:r>
        <w:rPr>
          <w:sz w:val="21"/>
        </w:rPr>
        <w:t>cm²</w:t>
      </w:r>
      <w:r>
        <w:rPr>
          <w:spacing w:val="-7"/>
          <w:sz w:val="21"/>
        </w:rPr>
        <w:t>的收集器，放入试验箱内</w:t>
      </w:r>
      <w:r>
        <w:rPr>
          <w:spacing w:val="-7"/>
          <w:sz w:val="21"/>
        </w:rPr>
        <w:t xml:space="preserve"> </w:t>
      </w:r>
      <w:r>
        <w:rPr>
          <w:spacing w:val="-3"/>
          <w:sz w:val="21"/>
        </w:rPr>
        <w:t>24</w:t>
      </w:r>
      <w:r>
        <w:rPr>
          <w:spacing w:val="6"/>
          <w:sz w:val="21"/>
        </w:rPr>
        <w:t xml:space="preserve"> </w:t>
      </w:r>
      <w:r>
        <w:rPr>
          <w:sz w:val="21"/>
        </w:rPr>
        <w:t>h</w:t>
      </w:r>
      <w:r>
        <w:rPr>
          <w:spacing w:val="-9"/>
          <w:sz w:val="21"/>
        </w:rPr>
        <w:t xml:space="preserve"> </w:t>
      </w:r>
      <w:r>
        <w:rPr>
          <w:spacing w:val="-9"/>
          <w:sz w:val="21"/>
        </w:rPr>
        <w:t>所测量的平均</w:t>
      </w:r>
      <w:r>
        <w:rPr>
          <w:spacing w:val="-4"/>
          <w:sz w:val="21"/>
        </w:rPr>
        <w:t>喷雾速率</w:t>
      </w:r>
      <w:r>
        <w:rPr>
          <w:spacing w:val="-4"/>
          <w:sz w:val="21"/>
        </w:rPr>
        <w:t>)</w:t>
      </w:r>
      <w:r>
        <w:rPr>
          <w:spacing w:val="-4"/>
          <w:sz w:val="21"/>
        </w:rPr>
        <w:t>；</w:t>
      </w:r>
      <w:r>
        <w:rPr>
          <w:spacing w:val="-4"/>
          <w:sz w:val="21"/>
        </w:rPr>
        <w:t xml:space="preserve"> </w:t>
      </w:r>
    </w:p>
    <w:p w14:paraId="7457BE97" w14:textId="77777777" w:rsidR="00A71EEF" w:rsidRDefault="0081115D">
      <w:pPr>
        <w:pStyle w:val="a4"/>
        <w:numPr>
          <w:ilvl w:val="0"/>
          <w:numId w:val="970"/>
        </w:numPr>
        <w:tabs>
          <w:tab w:val="left" w:pos="1051"/>
        </w:tabs>
        <w:ind w:left="1050"/>
        <w:rPr>
          <w:sz w:val="21"/>
        </w:rPr>
      </w:pPr>
      <w:r>
        <w:rPr>
          <w:spacing w:val="-8"/>
          <w:sz w:val="21"/>
        </w:rPr>
        <w:t>试验箱内的温度应保持在</w:t>
      </w:r>
      <w:r>
        <w:rPr>
          <w:spacing w:val="-8"/>
          <w:sz w:val="21"/>
        </w:rPr>
        <w:t xml:space="preserve"> </w:t>
      </w:r>
      <w:r>
        <w:rPr>
          <w:sz w:val="21"/>
        </w:rPr>
        <w:t>35</w:t>
      </w:r>
      <w:r>
        <w:rPr>
          <w:spacing w:val="-18"/>
          <w:sz w:val="21"/>
        </w:rPr>
        <w:t>℃</w:t>
      </w:r>
      <w:r>
        <w:rPr>
          <w:spacing w:val="-18"/>
          <w:sz w:val="21"/>
        </w:rPr>
        <w:t>士</w:t>
      </w:r>
      <w:r>
        <w:rPr>
          <w:spacing w:val="-18"/>
          <w:sz w:val="21"/>
        </w:rPr>
        <w:t xml:space="preserve"> </w:t>
      </w:r>
      <w:r>
        <w:rPr>
          <w:sz w:val="21"/>
        </w:rPr>
        <w:t>5℃</w:t>
      </w:r>
      <w:r>
        <w:rPr>
          <w:sz w:val="21"/>
        </w:rPr>
        <w:t>；</w:t>
      </w:r>
      <w:r>
        <w:rPr>
          <w:sz w:val="21"/>
        </w:rPr>
        <w:t xml:space="preserve"> </w:t>
      </w:r>
    </w:p>
    <w:p w14:paraId="65378F14" w14:textId="77777777" w:rsidR="00A71EEF" w:rsidRDefault="00A71EEF">
      <w:pPr>
        <w:pStyle w:val="a3"/>
        <w:spacing w:before="12"/>
        <w:rPr>
          <w:sz w:val="17"/>
        </w:rPr>
      </w:pPr>
    </w:p>
    <w:p w14:paraId="1F78E595" w14:textId="77777777" w:rsidR="00A71EEF" w:rsidRDefault="0081115D">
      <w:pPr>
        <w:pStyle w:val="a4"/>
        <w:numPr>
          <w:ilvl w:val="0"/>
          <w:numId w:val="970"/>
        </w:numPr>
        <w:tabs>
          <w:tab w:val="left" w:pos="1051"/>
        </w:tabs>
        <w:spacing w:line="446" w:lineRule="auto"/>
        <w:ind w:right="1505" w:firstLine="419"/>
        <w:rPr>
          <w:sz w:val="21"/>
        </w:rPr>
      </w:pPr>
      <w:r>
        <w:rPr>
          <w:spacing w:val="-3"/>
          <w:sz w:val="21"/>
        </w:rPr>
        <w:t>试验周期内喷雾不得中断。除了在检查或其他必要操作时才可短时打开试验箱，但不应触摸水枪表面。</w:t>
      </w:r>
      <w:r>
        <w:rPr>
          <w:sz w:val="21"/>
        </w:rPr>
        <w:t xml:space="preserve"> </w:t>
      </w:r>
    </w:p>
    <w:p w14:paraId="7C0C4D82" w14:textId="77777777" w:rsidR="00A71EEF" w:rsidRDefault="0081115D">
      <w:pPr>
        <w:pStyle w:val="4"/>
        <w:spacing w:line="277" w:lineRule="exact"/>
      </w:pPr>
      <w:r>
        <w:t xml:space="preserve">7 </w:t>
      </w:r>
      <w:r>
        <w:t>检验规则</w:t>
      </w:r>
      <w:r>
        <w:rPr>
          <w:w w:val="99"/>
        </w:rPr>
        <w:t xml:space="preserve"> </w:t>
      </w:r>
    </w:p>
    <w:p w14:paraId="7F065FE5" w14:textId="77777777" w:rsidR="00A71EEF" w:rsidRDefault="00A71EEF">
      <w:pPr>
        <w:pStyle w:val="a3"/>
        <w:spacing w:before="4"/>
        <w:rPr>
          <w:b/>
          <w:sz w:val="17"/>
        </w:rPr>
      </w:pPr>
    </w:p>
    <w:p w14:paraId="3299D525" w14:textId="77777777" w:rsidR="00A71EEF" w:rsidRDefault="0081115D">
      <w:pPr>
        <w:pStyle w:val="a4"/>
        <w:numPr>
          <w:ilvl w:val="1"/>
          <w:numId w:val="969"/>
        </w:numPr>
        <w:tabs>
          <w:tab w:val="left" w:pos="1159"/>
        </w:tabs>
        <w:ind w:hanging="319"/>
        <w:rPr>
          <w:b/>
          <w:sz w:val="21"/>
        </w:rPr>
      </w:pPr>
      <w:r>
        <w:rPr>
          <w:spacing w:val="-3"/>
          <w:sz w:val="21"/>
        </w:rPr>
        <w:t>出厂检验</w:t>
      </w:r>
      <w:r>
        <w:rPr>
          <w:b/>
          <w:w w:val="99"/>
          <w:sz w:val="21"/>
        </w:rPr>
        <w:t xml:space="preserve"> </w:t>
      </w:r>
    </w:p>
    <w:p w14:paraId="5292B725" w14:textId="77777777" w:rsidR="00A71EEF" w:rsidRDefault="00A71EEF">
      <w:pPr>
        <w:pStyle w:val="a3"/>
        <w:rPr>
          <w:b/>
          <w:sz w:val="18"/>
        </w:rPr>
      </w:pPr>
    </w:p>
    <w:p w14:paraId="6188E3F3" w14:textId="77777777" w:rsidR="00A71EEF" w:rsidRDefault="0081115D">
      <w:pPr>
        <w:pStyle w:val="a4"/>
        <w:numPr>
          <w:ilvl w:val="2"/>
          <w:numId w:val="969"/>
        </w:numPr>
        <w:tabs>
          <w:tab w:val="left" w:pos="1371"/>
        </w:tabs>
        <w:rPr>
          <w:sz w:val="21"/>
        </w:rPr>
      </w:pPr>
      <w:r>
        <w:rPr>
          <w:spacing w:val="-3"/>
          <w:sz w:val="21"/>
        </w:rPr>
        <w:t>水枪出厂前应进行出厂检验。</w:t>
      </w:r>
      <w:r>
        <w:rPr>
          <w:sz w:val="21"/>
        </w:rPr>
        <w:t xml:space="preserve"> </w:t>
      </w:r>
    </w:p>
    <w:p w14:paraId="5B9DD57D" w14:textId="77777777" w:rsidR="00A71EEF" w:rsidRDefault="00A71EEF">
      <w:pPr>
        <w:pStyle w:val="a3"/>
        <w:spacing w:before="1"/>
        <w:rPr>
          <w:sz w:val="18"/>
        </w:rPr>
      </w:pPr>
    </w:p>
    <w:p w14:paraId="5114120C" w14:textId="77777777" w:rsidR="00A71EEF" w:rsidRDefault="0081115D">
      <w:pPr>
        <w:pStyle w:val="a4"/>
        <w:numPr>
          <w:ilvl w:val="2"/>
          <w:numId w:val="969"/>
        </w:numPr>
        <w:tabs>
          <w:tab w:val="left" w:pos="1370"/>
        </w:tabs>
        <w:spacing w:before="1" w:line="446" w:lineRule="auto"/>
        <w:ind w:left="418" w:right="1604" w:firstLine="422"/>
        <w:rPr>
          <w:sz w:val="21"/>
        </w:rPr>
      </w:pPr>
      <w:r>
        <w:rPr>
          <w:spacing w:val="-11"/>
          <w:sz w:val="21"/>
        </w:rPr>
        <w:t>出厂检验按</w:t>
      </w:r>
      <w:r>
        <w:rPr>
          <w:spacing w:val="-11"/>
          <w:sz w:val="21"/>
        </w:rPr>
        <w:t xml:space="preserve"> </w:t>
      </w:r>
      <w:r>
        <w:rPr>
          <w:sz w:val="21"/>
        </w:rPr>
        <w:t>5.1</w:t>
      </w:r>
      <w:r>
        <w:rPr>
          <w:spacing w:val="-3"/>
          <w:sz w:val="21"/>
        </w:rPr>
        <w:t>、</w:t>
      </w:r>
      <w:r>
        <w:rPr>
          <w:sz w:val="21"/>
        </w:rPr>
        <w:t>5.2</w:t>
      </w:r>
      <w:r>
        <w:rPr>
          <w:sz w:val="21"/>
        </w:rPr>
        <w:t>、</w:t>
      </w:r>
      <w:r>
        <w:rPr>
          <w:sz w:val="21"/>
        </w:rPr>
        <w:t>5.3</w:t>
      </w:r>
      <w:r>
        <w:rPr>
          <w:sz w:val="21"/>
        </w:rPr>
        <w:t>、</w:t>
      </w:r>
      <w:r>
        <w:rPr>
          <w:sz w:val="21"/>
        </w:rPr>
        <w:t>5.7</w:t>
      </w:r>
      <w:r>
        <w:rPr>
          <w:spacing w:val="-3"/>
          <w:sz w:val="21"/>
        </w:rPr>
        <w:t>、</w:t>
      </w:r>
      <w:r>
        <w:rPr>
          <w:sz w:val="21"/>
        </w:rPr>
        <w:t>5.8</w:t>
      </w:r>
      <w:r>
        <w:rPr>
          <w:spacing w:val="-34"/>
          <w:sz w:val="21"/>
        </w:rPr>
        <w:t xml:space="preserve"> </w:t>
      </w:r>
      <w:r>
        <w:rPr>
          <w:spacing w:val="-34"/>
          <w:sz w:val="21"/>
        </w:rPr>
        <w:t>和</w:t>
      </w:r>
      <w:r>
        <w:rPr>
          <w:spacing w:val="-34"/>
          <w:sz w:val="21"/>
        </w:rPr>
        <w:t xml:space="preserve"> </w:t>
      </w:r>
      <w:r>
        <w:rPr>
          <w:sz w:val="21"/>
        </w:rPr>
        <w:t>5.9</w:t>
      </w:r>
      <w:r>
        <w:rPr>
          <w:spacing w:val="-8"/>
          <w:sz w:val="21"/>
        </w:rPr>
        <w:t xml:space="preserve"> </w:t>
      </w:r>
      <w:r>
        <w:rPr>
          <w:spacing w:val="-8"/>
          <w:sz w:val="21"/>
        </w:rPr>
        <w:t>的规定进行，其结果均应符合本标准</w:t>
      </w:r>
      <w:r>
        <w:rPr>
          <w:spacing w:val="-6"/>
          <w:sz w:val="21"/>
        </w:rPr>
        <w:t>的规定。</w:t>
      </w:r>
      <w:r>
        <w:rPr>
          <w:sz w:val="21"/>
        </w:rPr>
        <w:t xml:space="preserve"> </w:t>
      </w:r>
    </w:p>
    <w:p w14:paraId="0A0536F2" w14:textId="77777777" w:rsidR="00A71EEF" w:rsidRDefault="0081115D">
      <w:pPr>
        <w:pStyle w:val="a4"/>
        <w:numPr>
          <w:ilvl w:val="1"/>
          <w:numId w:val="969"/>
        </w:numPr>
        <w:tabs>
          <w:tab w:val="left" w:pos="1159"/>
        </w:tabs>
        <w:spacing w:line="267" w:lineRule="exact"/>
        <w:ind w:hanging="319"/>
        <w:rPr>
          <w:sz w:val="21"/>
        </w:rPr>
      </w:pPr>
      <w:r>
        <w:rPr>
          <w:spacing w:val="-3"/>
          <w:sz w:val="21"/>
        </w:rPr>
        <w:t>形式检验</w:t>
      </w:r>
      <w:r>
        <w:rPr>
          <w:sz w:val="21"/>
        </w:rPr>
        <w:t xml:space="preserve"> </w:t>
      </w:r>
    </w:p>
    <w:p w14:paraId="05199A90" w14:textId="77777777" w:rsidR="00A71EEF" w:rsidRDefault="00A71EEF">
      <w:pPr>
        <w:pStyle w:val="a3"/>
        <w:spacing w:before="1"/>
        <w:rPr>
          <w:sz w:val="18"/>
        </w:rPr>
      </w:pPr>
    </w:p>
    <w:p w14:paraId="424B4614" w14:textId="77777777" w:rsidR="00A71EEF" w:rsidRDefault="0081115D">
      <w:pPr>
        <w:pStyle w:val="a4"/>
        <w:numPr>
          <w:ilvl w:val="2"/>
          <w:numId w:val="969"/>
        </w:numPr>
        <w:tabs>
          <w:tab w:val="left" w:pos="1370"/>
        </w:tabs>
        <w:spacing w:before="1" w:line="446" w:lineRule="auto"/>
        <w:ind w:left="838" w:right="5493" w:firstLine="2"/>
        <w:rPr>
          <w:sz w:val="21"/>
        </w:rPr>
      </w:pPr>
      <w:r>
        <w:rPr>
          <w:spacing w:val="-3"/>
          <w:sz w:val="21"/>
        </w:rPr>
        <w:t>凡属下列情况之一，应进行形式检验：</w:t>
      </w:r>
      <w:r>
        <w:rPr>
          <w:spacing w:val="-3"/>
          <w:sz w:val="21"/>
        </w:rPr>
        <w:t xml:space="preserve"> </w:t>
      </w:r>
      <w:r>
        <w:rPr>
          <w:sz w:val="21"/>
        </w:rPr>
        <w:t>a)</w:t>
      </w:r>
      <w:r>
        <w:rPr>
          <w:spacing w:val="-3"/>
          <w:sz w:val="21"/>
        </w:rPr>
        <w:t xml:space="preserve"> </w:t>
      </w:r>
      <w:r>
        <w:rPr>
          <w:spacing w:val="-3"/>
          <w:sz w:val="21"/>
        </w:rPr>
        <w:t>新产品鉴定或老产品转厂；</w:t>
      </w:r>
      <w:r>
        <w:rPr>
          <w:sz w:val="21"/>
        </w:rPr>
        <w:t xml:space="preserve"> </w:t>
      </w:r>
    </w:p>
    <w:p w14:paraId="5CCC36D8" w14:textId="77777777" w:rsidR="00A71EEF" w:rsidRDefault="0081115D">
      <w:pPr>
        <w:pStyle w:val="a4"/>
        <w:numPr>
          <w:ilvl w:val="0"/>
          <w:numId w:val="968"/>
        </w:numPr>
        <w:tabs>
          <w:tab w:val="left" w:pos="1051"/>
        </w:tabs>
        <w:spacing w:line="267" w:lineRule="exact"/>
        <w:rPr>
          <w:sz w:val="21"/>
        </w:rPr>
      </w:pPr>
      <w:r>
        <w:rPr>
          <w:spacing w:val="-3"/>
          <w:sz w:val="21"/>
        </w:rPr>
        <w:t>正式生产后，原材料、工艺、设计有较大改动时；</w:t>
      </w:r>
      <w:r>
        <w:rPr>
          <w:sz w:val="21"/>
        </w:rPr>
        <w:t xml:space="preserve"> </w:t>
      </w:r>
    </w:p>
    <w:p w14:paraId="2160E48C" w14:textId="77777777" w:rsidR="00A71EEF" w:rsidRDefault="00A71EEF">
      <w:pPr>
        <w:pStyle w:val="a3"/>
        <w:spacing w:before="1"/>
        <w:rPr>
          <w:sz w:val="18"/>
        </w:rPr>
      </w:pPr>
    </w:p>
    <w:p w14:paraId="1D2C8DCD" w14:textId="77777777" w:rsidR="00A71EEF" w:rsidRDefault="0081115D">
      <w:pPr>
        <w:pStyle w:val="a4"/>
        <w:numPr>
          <w:ilvl w:val="0"/>
          <w:numId w:val="968"/>
        </w:numPr>
        <w:tabs>
          <w:tab w:val="left" w:pos="1051"/>
        </w:tabs>
        <w:rPr>
          <w:sz w:val="21"/>
        </w:rPr>
      </w:pPr>
      <w:r>
        <w:rPr>
          <w:spacing w:val="-19"/>
          <w:sz w:val="21"/>
        </w:rPr>
        <w:t>停产</w:t>
      </w:r>
      <w:r>
        <w:rPr>
          <w:spacing w:val="-19"/>
          <w:sz w:val="21"/>
        </w:rPr>
        <w:t xml:space="preserve"> </w:t>
      </w:r>
      <w:r>
        <w:rPr>
          <w:sz w:val="21"/>
        </w:rPr>
        <w:t>1</w:t>
      </w:r>
      <w:r>
        <w:rPr>
          <w:spacing w:val="-12"/>
          <w:sz w:val="21"/>
        </w:rPr>
        <w:t xml:space="preserve"> </w:t>
      </w:r>
      <w:r>
        <w:rPr>
          <w:spacing w:val="-12"/>
          <w:sz w:val="21"/>
        </w:rPr>
        <w:t>年后恢复生产或正常生产满</w:t>
      </w:r>
      <w:r>
        <w:rPr>
          <w:spacing w:val="-12"/>
          <w:sz w:val="21"/>
        </w:rPr>
        <w:t xml:space="preserve"> </w:t>
      </w:r>
      <w:r>
        <w:rPr>
          <w:sz w:val="21"/>
        </w:rPr>
        <w:t>2</w:t>
      </w:r>
      <w:r>
        <w:rPr>
          <w:spacing w:val="-16"/>
          <w:sz w:val="21"/>
        </w:rPr>
        <w:t xml:space="preserve"> </w:t>
      </w:r>
      <w:r>
        <w:rPr>
          <w:spacing w:val="-16"/>
          <w:sz w:val="21"/>
        </w:rPr>
        <w:t>年时；</w:t>
      </w:r>
      <w:r>
        <w:rPr>
          <w:sz w:val="21"/>
        </w:rPr>
        <w:t xml:space="preserve"> </w:t>
      </w:r>
    </w:p>
    <w:p w14:paraId="5148BB20" w14:textId="77777777" w:rsidR="00A71EEF" w:rsidRDefault="00A71EEF">
      <w:pPr>
        <w:rPr>
          <w:sz w:val="21"/>
        </w:rPr>
        <w:sectPr w:rsidR="00A71EEF">
          <w:pgSz w:w="11910" w:h="16850"/>
          <w:pgMar w:top="1220" w:right="0" w:bottom="1420" w:left="1260" w:header="0" w:footer="1239" w:gutter="0"/>
          <w:cols w:space="720"/>
        </w:sectPr>
      </w:pPr>
    </w:p>
    <w:p w14:paraId="6E3FA9AB" w14:textId="77777777" w:rsidR="00A71EEF" w:rsidRDefault="0081115D">
      <w:pPr>
        <w:pStyle w:val="a4"/>
        <w:numPr>
          <w:ilvl w:val="0"/>
          <w:numId w:val="968"/>
        </w:numPr>
        <w:tabs>
          <w:tab w:val="left" w:pos="1051"/>
        </w:tabs>
        <w:spacing w:before="47"/>
        <w:rPr>
          <w:sz w:val="21"/>
        </w:rPr>
      </w:pPr>
      <w:r>
        <w:rPr>
          <w:spacing w:val="-3"/>
          <w:sz w:val="21"/>
        </w:rPr>
        <w:lastRenderedPageBreak/>
        <w:t>国家质量监督机构提出进行形式检验要求时。</w:t>
      </w:r>
      <w:r>
        <w:rPr>
          <w:sz w:val="21"/>
        </w:rPr>
        <w:t xml:space="preserve"> </w:t>
      </w:r>
    </w:p>
    <w:p w14:paraId="1B5CE64E" w14:textId="77777777" w:rsidR="00A71EEF" w:rsidRDefault="00A71EEF">
      <w:pPr>
        <w:pStyle w:val="a3"/>
        <w:rPr>
          <w:sz w:val="18"/>
        </w:rPr>
      </w:pPr>
    </w:p>
    <w:p w14:paraId="55FC0870" w14:textId="77777777" w:rsidR="00A71EEF" w:rsidRDefault="0081115D">
      <w:pPr>
        <w:pStyle w:val="a4"/>
        <w:numPr>
          <w:ilvl w:val="2"/>
          <w:numId w:val="969"/>
        </w:numPr>
        <w:tabs>
          <w:tab w:val="left" w:pos="1371"/>
        </w:tabs>
        <w:rPr>
          <w:sz w:val="21"/>
        </w:rPr>
      </w:pPr>
      <w:r>
        <w:rPr>
          <w:spacing w:val="-3"/>
          <w:sz w:val="21"/>
        </w:rPr>
        <w:t>形式检验的内容为本标准规定的全部项目，检验结果均应达到标准规定。</w:t>
      </w:r>
      <w:r>
        <w:rPr>
          <w:spacing w:val="-3"/>
          <w:sz w:val="21"/>
        </w:rPr>
        <w:t xml:space="preserve"> </w:t>
      </w:r>
    </w:p>
    <w:p w14:paraId="40DCA32E" w14:textId="77777777" w:rsidR="00A71EEF" w:rsidRDefault="00A71EEF">
      <w:pPr>
        <w:pStyle w:val="a3"/>
        <w:rPr>
          <w:sz w:val="18"/>
        </w:rPr>
      </w:pPr>
    </w:p>
    <w:p w14:paraId="6B6CE42A" w14:textId="77777777" w:rsidR="00A71EEF" w:rsidRDefault="0081115D">
      <w:pPr>
        <w:pStyle w:val="a4"/>
        <w:numPr>
          <w:ilvl w:val="2"/>
          <w:numId w:val="969"/>
        </w:numPr>
        <w:tabs>
          <w:tab w:val="left" w:pos="1371"/>
        </w:tabs>
        <w:rPr>
          <w:sz w:val="21"/>
        </w:rPr>
      </w:pPr>
      <w:r>
        <w:rPr>
          <w:spacing w:val="-8"/>
          <w:sz w:val="21"/>
        </w:rPr>
        <w:t>形式检验的样本数为</w:t>
      </w:r>
      <w:r>
        <w:rPr>
          <w:spacing w:val="-8"/>
          <w:sz w:val="21"/>
        </w:rPr>
        <w:t xml:space="preserve"> </w:t>
      </w:r>
      <w:r>
        <w:rPr>
          <w:sz w:val="21"/>
        </w:rPr>
        <w:t>3</w:t>
      </w:r>
      <w:r>
        <w:rPr>
          <w:spacing w:val="-20"/>
          <w:sz w:val="21"/>
        </w:rPr>
        <w:t xml:space="preserve"> </w:t>
      </w:r>
      <w:r>
        <w:rPr>
          <w:spacing w:val="-20"/>
          <w:sz w:val="21"/>
        </w:rPr>
        <w:t>支。</w:t>
      </w:r>
      <w:r>
        <w:rPr>
          <w:sz w:val="21"/>
        </w:rPr>
        <w:t xml:space="preserve"> </w:t>
      </w:r>
    </w:p>
    <w:p w14:paraId="4B7A11E6" w14:textId="77777777" w:rsidR="00A71EEF" w:rsidRDefault="00A71EEF">
      <w:pPr>
        <w:pStyle w:val="a3"/>
        <w:spacing w:before="10"/>
        <w:rPr>
          <w:sz w:val="15"/>
        </w:rPr>
      </w:pPr>
    </w:p>
    <w:p w14:paraId="250D7B19" w14:textId="77777777" w:rsidR="00A71EEF" w:rsidRDefault="0081115D">
      <w:pPr>
        <w:pStyle w:val="4"/>
        <w:ind w:left="0" w:right="7213"/>
        <w:jc w:val="right"/>
      </w:pPr>
      <w:r>
        <w:t xml:space="preserve">8 </w:t>
      </w:r>
      <w:r>
        <w:t>标志、使用说明书和包装</w:t>
      </w:r>
      <w:r>
        <w:rPr>
          <w:w w:val="99"/>
        </w:rPr>
        <w:t xml:space="preserve"> </w:t>
      </w:r>
    </w:p>
    <w:p w14:paraId="1138400F" w14:textId="77777777" w:rsidR="00A71EEF" w:rsidRDefault="00A71EEF">
      <w:pPr>
        <w:pStyle w:val="a3"/>
        <w:spacing w:before="4"/>
        <w:rPr>
          <w:b/>
          <w:sz w:val="17"/>
        </w:rPr>
      </w:pPr>
    </w:p>
    <w:p w14:paraId="35FE27FD" w14:textId="77777777" w:rsidR="00A71EEF" w:rsidRDefault="0081115D">
      <w:pPr>
        <w:ind w:left="840"/>
        <w:rPr>
          <w:b/>
          <w:sz w:val="21"/>
        </w:rPr>
      </w:pPr>
      <w:r>
        <w:rPr>
          <w:b/>
          <w:sz w:val="21"/>
        </w:rPr>
        <w:t xml:space="preserve">8.1 </w:t>
      </w:r>
      <w:r>
        <w:rPr>
          <w:sz w:val="21"/>
        </w:rPr>
        <w:t>标</w:t>
      </w:r>
      <w:r>
        <w:rPr>
          <w:sz w:val="21"/>
        </w:rPr>
        <w:t xml:space="preserve"> </w:t>
      </w:r>
      <w:r>
        <w:rPr>
          <w:sz w:val="21"/>
        </w:rPr>
        <w:t>志</w:t>
      </w:r>
      <w:r>
        <w:rPr>
          <w:b/>
          <w:w w:val="99"/>
          <w:sz w:val="21"/>
        </w:rPr>
        <w:t xml:space="preserve"> </w:t>
      </w:r>
    </w:p>
    <w:p w14:paraId="7250D2A6" w14:textId="77777777" w:rsidR="00A71EEF" w:rsidRDefault="00A71EEF">
      <w:pPr>
        <w:pStyle w:val="a3"/>
        <w:spacing w:before="12"/>
        <w:rPr>
          <w:b/>
          <w:sz w:val="17"/>
        </w:rPr>
      </w:pPr>
    </w:p>
    <w:p w14:paraId="21AE1DEC" w14:textId="77777777" w:rsidR="00A71EEF" w:rsidRDefault="0081115D">
      <w:pPr>
        <w:pStyle w:val="a4"/>
        <w:numPr>
          <w:ilvl w:val="2"/>
          <w:numId w:val="967"/>
        </w:numPr>
        <w:tabs>
          <w:tab w:val="left" w:pos="1371"/>
        </w:tabs>
        <w:rPr>
          <w:sz w:val="21"/>
        </w:rPr>
      </w:pPr>
      <w:r>
        <w:rPr>
          <w:spacing w:val="-3"/>
          <w:sz w:val="21"/>
        </w:rPr>
        <w:t>水枪上应牢固标有型号、商标或厂名。</w:t>
      </w:r>
      <w:r>
        <w:rPr>
          <w:sz w:val="21"/>
        </w:rPr>
        <w:t xml:space="preserve"> </w:t>
      </w:r>
    </w:p>
    <w:p w14:paraId="2FBEA4B4" w14:textId="77777777" w:rsidR="00A71EEF" w:rsidRDefault="00A71EEF">
      <w:pPr>
        <w:pStyle w:val="a3"/>
        <w:spacing w:before="2"/>
        <w:rPr>
          <w:sz w:val="18"/>
        </w:rPr>
      </w:pPr>
    </w:p>
    <w:p w14:paraId="3FC1492F" w14:textId="77777777" w:rsidR="00A71EEF" w:rsidRDefault="0081115D">
      <w:pPr>
        <w:pStyle w:val="a4"/>
        <w:numPr>
          <w:ilvl w:val="2"/>
          <w:numId w:val="967"/>
        </w:numPr>
        <w:tabs>
          <w:tab w:val="left" w:pos="1370"/>
        </w:tabs>
        <w:ind w:left="1369" w:hanging="530"/>
        <w:rPr>
          <w:sz w:val="21"/>
        </w:rPr>
      </w:pPr>
      <w:r>
        <w:rPr>
          <w:spacing w:val="-3"/>
          <w:sz w:val="21"/>
        </w:rPr>
        <w:t>水枪应有射流形态改变的易辨认的永久性指示标记。</w:t>
      </w:r>
      <w:r>
        <w:rPr>
          <w:sz w:val="21"/>
        </w:rPr>
        <w:t xml:space="preserve"> </w:t>
      </w:r>
    </w:p>
    <w:p w14:paraId="752167F6" w14:textId="77777777" w:rsidR="00A71EEF" w:rsidRDefault="00A71EEF">
      <w:pPr>
        <w:pStyle w:val="a3"/>
        <w:rPr>
          <w:sz w:val="18"/>
        </w:rPr>
      </w:pPr>
    </w:p>
    <w:p w14:paraId="1D9E4B0B" w14:textId="77777777" w:rsidR="00A71EEF" w:rsidRDefault="0081115D">
      <w:pPr>
        <w:pStyle w:val="a4"/>
        <w:numPr>
          <w:ilvl w:val="2"/>
          <w:numId w:val="967"/>
        </w:numPr>
        <w:tabs>
          <w:tab w:val="left" w:pos="1371"/>
        </w:tabs>
        <w:spacing w:line="446" w:lineRule="auto"/>
        <w:ind w:left="418" w:right="1606" w:firstLine="422"/>
        <w:rPr>
          <w:sz w:val="21"/>
        </w:rPr>
      </w:pPr>
      <w:r>
        <w:rPr>
          <w:spacing w:val="-6"/>
          <w:sz w:val="21"/>
        </w:rPr>
        <w:t>第</w:t>
      </w:r>
      <w:r>
        <w:rPr>
          <w:spacing w:val="-6"/>
          <w:sz w:val="21"/>
        </w:rPr>
        <w:t>Ⅲ</w:t>
      </w:r>
      <w:r>
        <w:rPr>
          <w:spacing w:val="-6"/>
          <w:sz w:val="21"/>
        </w:rPr>
        <w:t>类直流喷雾水枪应有流量刻度值</w:t>
      </w:r>
      <w:r>
        <w:rPr>
          <w:spacing w:val="-6"/>
          <w:sz w:val="21"/>
        </w:rPr>
        <w:t>(</w:t>
      </w:r>
      <w:r>
        <w:rPr>
          <w:spacing w:val="-6"/>
          <w:sz w:val="21"/>
        </w:rPr>
        <w:t>以</w:t>
      </w:r>
      <w:r>
        <w:rPr>
          <w:spacing w:val="-6"/>
          <w:sz w:val="21"/>
        </w:rPr>
        <w:t xml:space="preserve"> </w:t>
      </w:r>
      <w:r>
        <w:rPr>
          <w:sz w:val="21"/>
        </w:rPr>
        <w:t>L/s</w:t>
      </w:r>
      <w:r>
        <w:rPr>
          <w:spacing w:val="-8"/>
          <w:sz w:val="21"/>
        </w:rPr>
        <w:t xml:space="preserve"> </w:t>
      </w:r>
      <w:r>
        <w:rPr>
          <w:spacing w:val="-8"/>
          <w:sz w:val="21"/>
        </w:rPr>
        <w:t>为单位</w:t>
      </w:r>
      <w:r>
        <w:rPr>
          <w:spacing w:val="-8"/>
          <w:sz w:val="21"/>
        </w:rPr>
        <w:t>)</w:t>
      </w:r>
      <w:r>
        <w:rPr>
          <w:spacing w:val="-8"/>
          <w:sz w:val="21"/>
        </w:rPr>
        <w:t>的永久性标记，第</w:t>
      </w:r>
      <w:r>
        <w:rPr>
          <w:spacing w:val="-8"/>
          <w:sz w:val="21"/>
        </w:rPr>
        <w:t>Ⅳ</w:t>
      </w:r>
      <w:r>
        <w:rPr>
          <w:spacing w:val="-8"/>
          <w:sz w:val="21"/>
        </w:rPr>
        <w:t>类直流喷</w:t>
      </w:r>
      <w:r>
        <w:rPr>
          <w:spacing w:val="-10"/>
          <w:sz w:val="21"/>
        </w:rPr>
        <w:t>雾水枪应有流量</w:t>
      </w:r>
      <w:r>
        <w:rPr>
          <w:spacing w:val="-10"/>
          <w:sz w:val="21"/>
        </w:rPr>
        <w:t>(</w:t>
      </w:r>
      <w:r>
        <w:rPr>
          <w:spacing w:val="-10"/>
          <w:sz w:val="21"/>
        </w:rPr>
        <w:t>以</w:t>
      </w:r>
      <w:r>
        <w:rPr>
          <w:spacing w:val="-10"/>
          <w:sz w:val="21"/>
        </w:rPr>
        <w:t xml:space="preserve"> </w:t>
      </w:r>
      <w:r>
        <w:rPr>
          <w:sz w:val="21"/>
        </w:rPr>
        <w:t>L/s</w:t>
      </w:r>
      <w:r>
        <w:rPr>
          <w:spacing w:val="-9"/>
          <w:sz w:val="21"/>
        </w:rPr>
        <w:t xml:space="preserve"> </w:t>
      </w:r>
      <w:r>
        <w:rPr>
          <w:spacing w:val="-9"/>
          <w:sz w:val="21"/>
        </w:rPr>
        <w:t>为单位</w:t>
      </w:r>
      <w:r>
        <w:rPr>
          <w:spacing w:val="-9"/>
          <w:sz w:val="21"/>
        </w:rPr>
        <w:t>)</w:t>
      </w:r>
      <w:r>
        <w:rPr>
          <w:spacing w:val="-9"/>
          <w:sz w:val="21"/>
        </w:rPr>
        <w:t>使用范围的永久性标记。</w:t>
      </w:r>
      <w:r>
        <w:rPr>
          <w:sz w:val="21"/>
        </w:rPr>
        <w:t xml:space="preserve"> </w:t>
      </w:r>
    </w:p>
    <w:p w14:paraId="5CB1B671" w14:textId="77777777" w:rsidR="00A71EEF" w:rsidRDefault="0081115D">
      <w:pPr>
        <w:ind w:left="840"/>
        <w:rPr>
          <w:b/>
          <w:sz w:val="21"/>
        </w:rPr>
      </w:pPr>
      <w:r>
        <w:rPr>
          <w:b/>
          <w:sz w:val="21"/>
        </w:rPr>
        <w:t xml:space="preserve">8.2 </w:t>
      </w:r>
      <w:r>
        <w:rPr>
          <w:sz w:val="21"/>
        </w:rPr>
        <w:t>使用说明书</w:t>
      </w:r>
      <w:r>
        <w:rPr>
          <w:b/>
          <w:w w:val="99"/>
          <w:sz w:val="21"/>
        </w:rPr>
        <w:t xml:space="preserve"> </w:t>
      </w:r>
    </w:p>
    <w:p w14:paraId="28B0F7E6" w14:textId="77777777" w:rsidR="00A71EEF" w:rsidRDefault="00A71EEF">
      <w:pPr>
        <w:pStyle w:val="a3"/>
        <w:rPr>
          <w:b/>
          <w:sz w:val="18"/>
        </w:rPr>
      </w:pPr>
    </w:p>
    <w:p w14:paraId="28230D25" w14:textId="77777777" w:rsidR="00A71EEF" w:rsidRDefault="0081115D">
      <w:pPr>
        <w:pStyle w:val="a3"/>
        <w:spacing w:line="446" w:lineRule="auto"/>
        <w:ind w:left="418" w:right="1609" w:firstLine="419"/>
      </w:pPr>
      <w:r>
        <w:t>产品应附有使用说明书，其内容应包括基本参数、执行产品标准号、维护保养、操作程序及注意事项。</w:t>
      </w:r>
      <w:r>
        <w:t xml:space="preserve"> </w:t>
      </w:r>
    </w:p>
    <w:p w14:paraId="63BC0F11" w14:textId="77777777" w:rsidR="00A71EEF" w:rsidRDefault="0081115D">
      <w:pPr>
        <w:ind w:left="840"/>
        <w:rPr>
          <w:sz w:val="21"/>
        </w:rPr>
      </w:pPr>
      <w:r>
        <w:rPr>
          <w:b/>
          <w:sz w:val="21"/>
        </w:rPr>
        <w:t xml:space="preserve">8.3 </w:t>
      </w:r>
      <w:r>
        <w:rPr>
          <w:sz w:val="21"/>
        </w:rPr>
        <w:t>包</w:t>
      </w:r>
      <w:r>
        <w:rPr>
          <w:sz w:val="21"/>
        </w:rPr>
        <w:t xml:space="preserve"> </w:t>
      </w:r>
      <w:r>
        <w:rPr>
          <w:sz w:val="21"/>
        </w:rPr>
        <w:t>装</w:t>
      </w:r>
      <w:r>
        <w:rPr>
          <w:sz w:val="21"/>
        </w:rPr>
        <w:t xml:space="preserve"> </w:t>
      </w:r>
    </w:p>
    <w:p w14:paraId="409AFC15" w14:textId="77777777" w:rsidR="00A71EEF" w:rsidRDefault="00A71EEF">
      <w:pPr>
        <w:pStyle w:val="a3"/>
        <w:spacing w:before="12"/>
        <w:rPr>
          <w:sz w:val="17"/>
        </w:rPr>
      </w:pPr>
    </w:p>
    <w:p w14:paraId="14C5839A" w14:textId="77777777" w:rsidR="00A71EEF" w:rsidRDefault="0081115D">
      <w:pPr>
        <w:pStyle w:val="a4"/>
        <w:numPr>
          <w:ilvl w:val="2"/>
          <w:numId w:val="966"/>
        </w:numPr>
        <w:tabs>
          <w:tab w:val="left" w:pos="1371"/>
        </w:tabs>
        <w:rPr>
          <w:sz w:val="21"/>
        </w:rPr>
      </w:pPr>
      <w:r>
        <w:rPr>
          <w:spacing w:val="-3"/>
          <w:sz w:val="21"/>
        </w:rPr>
        <w:t>产品包装随带的文件应齐全，包括使用说明书、合格证、装箱单等。</w:t>
      </w:r>
      <w:r>
        <w:rPr>
          <w:sz w:val="21"/>
        </w:rPr>
        <w:t xml:space="preserve"> </w:t>
      </w:r>
    </w:p>
    <w:p w14:paraId="785679D7" w14:textId="77777777" w:rsidR="00A71EEF" w:rsidRDefault="00A71EEF">
      <w:pPr>
        <w:pStyle w:val="a3"/>
        <w:rPr>
          <w:sz w:val="18"/>
        </w:rPr>
      </w:pPr>
    </w:p>
    <w:p w14:paraId="288D3793" w14:textId="77777777" w:rsidR="00A71EEF" w:rsidRDefault="0081115D">
      <w:pPr>
        <w:pStyle w:val="a4"/>
        <w:numPr>
          <w:ilvl w:val="2"/>
          <w:numId w:val="966"/>
        </w:numPr>
        <w:tabs>
          <w:tab w:val="left" w:pos="1370"/>
        </w:tabs>
        <w:ind w:left="1369" w:hanging="530"/>
        <w:rPr>
          <w:sz w:val="21"/>
        </w:rPr>
      </w:pPr>
      <w:r>
        <w:rPr>
          <w:spacing w:val="-3"/>
          <w:sz w:val="21"/>
        </w:rPr>
        <w:t>包装采用塑料薄膜包装后，再用纸箱或木箱包装，标明注意事项。</w:t>
      </w:r>
      <w:r>
        <w:rPr>
          <w:sz w:val="21"/>
        </w:rPr>
        <w:t xml:space="preserve"> </w:t>
      </w:r>
    </w:p>
    <w:p w14:paraId="4C99CFA7" w14:textId="77777777" w:rsidR="00A71EEF" w:rsidRDefault="00A71EEF">
      <w:pPr>
        <w:pStyle w:val="a3"/>
        <w:spacing w:before="2"/>
        <w:rPr>
          <w:sz w:val="18"/>
        </w:rPr>
      </w:pPr>
    </w:p>
    <w:p w14:paraId="43C01DEC" w14:textId="77777777" w:rsidR="00A71EEF" w:rsidRDefault="0081115D">
      <w:pPr>
        <w:pStyle w:val="a3"/>
        <w:ind w:right="7240"/>
        <w:jc w:val="right"/>
      </w:pPr>
      <w:r>
        <w:t xml:space="preserve"> </w:t>
      </w:r>
    </w:p>
    <w:p w14:paraId="3C48C1EC" w14:textId="77777777" w:rsidR="00A71EEF" w:rsidRDefault="00A71EEF">
      <w:pPr>
        <w:jc w:val="right"/>
        <w:sectPr w:rsidR="00A71EEF">
          <w:pgSz w:w="11910" w:h="16850"/>
          <w:pgMar w:top="1220" w:right="0" w:bottom="1420" w:left="1260" w:header="0" w:footer="1239" w:gutter="0"/>
          <w:cols w:space="720"/>
        </w:sectPr>
      </w:pPr>
    </w:p>
    <w:p w14:paraId="4E4456BF" w14:textId="77777777" w:rsidR="00A71EEF" w:rsidRDefault="0081115D">
      <w:pPr>
        <w:pStyle w:val="2"/>
        <w:ind w:left="3457"/>
        <w:jc w:val="left"/>
        <w:rPr>
          <w:sz w:val="24"/>
        </w:rPr>
      </w:pPr>
      <w:bookmarkStart w:id="2" w:name="_bookmark2"/>
      <w:bookmarkEnd w:id="2"/>
      <w:r>
        <w:lastRenderedPageBreak/>
        <w:t>消防员职业健康标准</w:t>
      </w:r>
      <w:r>
        <w:rPr>
          <w:w w:val="99"/>
          <w:sz w:val="24"/>
        </w:rPr>
        <w:t xml:space="preserve"> </w:t>
      </w:r>
    </w:p>
    <w:p w14:paraId="2EC0B953" w14:textId="77777777" w:rsidR="00A71EEF" w:rsidRDefault="00A71EEF">
      <w:pPr>
        <w:pStyle w:val="a3"/>
        <w:rPr>
          <w:b/>
          <w:sz w:val="20"/>
        </w:rPr>
      </w:pPr>
    </w:p>
    <w:p w14:paraId="32927A1F" w14:textId="77777777" w:rsidR="00A71EEF" w:rsidRDefault="00A71EEF">
      <w:pPr>
        <w:pStyle w:val="a3"/>
        <w:spacing w:before="5"/>
        <w:rPr>
          <w:b/>
          <w:sz w:val="14"/>
        </w:rPr>
      </w:pPr>
    </w:p>
    <w:p w14:paraId="3863D05A" w14:textId="77777777" w:rsidR="00A71EEF" w:rsidRDefault="0081115D">
      <w:pPr>
        <w:pStyle w:val="4"/>
        <w:spacing w:before="66"/>
      </w:pPr>
      <w:r>
        <w:t xml:space="preserve">1 </w:t>
      </w:r>
      <w:r>
        <w:t>范围</w:t>
      </w:r>
      <w:r>
        <w:rPr>
          <w:w w:val="99"/>
        </w:rPr>
        <w:t xml:space="preserve"> </w:t>
      </w:r>
    </w:p>
    <w:p w14:paraId="683CE569" w14:textId="77777777" w:rsidR="00A71EEF" w:rsidRDefault="00A71EEF">
      <w:pPr>
        <w:pStyle w:val="a3"/>
        <w:spacing w:before="4"/>
        <w:rPr>
          <w:b/>
          <w:sz w:val="17"/>
        </w:rPr>
      </w:pPr>
    </w:p>
    <w:p w14:paraId="0339C963" w14:textId="77777777" w:rsidR="00A71EEF" w:rsidRDefault="0081115D">
      <w:pPr>
        <w:pStyle w:val="a3"/>
        <w:spacing w:line="446" w:lineRule="auto"/>
        <w:ind w:left="418" w:right="1609" w:firstLine="419"/>
      </w:pPr>
      <w:r>
        <w:t>本标准规定了消防员职业健康条件、健康监护、健康管理、健康保障、健康促进及健康评估。</w:t>
      </w:r>
      <w:r>
        <w:t xml:space="preserve"> </w:t>
      </w:r>
    </w:p>
    <w:p w14:paraId="5AEF7F14" w14:textId="77777777" w:rsidR="00A71EEF" w:rsidRDefault="0081115D">
      <w:pPr>
        <w:pStyle w:val="a3"/>
        <w:ind w:left="838"/>
      </w:pPr>
      <w:r>
        <w:t>本标准适用于消防职业活动中消防员的职业健康管理。</w:t>
      </w:r>
      <w:r>
        <w:t xml:space="preserve"> </w:t>
      </w:r>
    </w:p>
    <w:p w14:paraId="30EB113D" w14:textId="77777777" w:rsidR="00A71EEF" w:rsidRDefault="00A71EEF">
      <w:pPr>
        <w:pStyle w:val="a3"/>
        <w:spacing w:before="8"/>
        <w:rPr>
          <w:sz w:val="15"/>
        </w:rPr>
      </w:pPr>
    </w:p>
    <w:p w14:paraId="45011C03" w14:textId="77777777" w:rsidR="00A71EEF" w:rsidRDefault="0081115D">
      <w:pPr>
        <w:pStyle w:val="4"/>
      </w:pPr>
      <w:r>
        <w:t xml:space="preserve">2 </w:t>
      </w:r>
      <w:r>
        <w:t>规范性引用文件</w:t>
      </w:r>
      <w:r>
        <w:rPr>
          <w:w w:val="99"/>
        </w:rPr>
        <w:t xml:space="preserve"> </w:t>
      </w:r>
    </w:p>
    <w:p w14:paraId="569C8A89" w14:textId="77777777" w:rsidR="00A71EEF" w:rsidRDefault="00A71EEF">
      <w:pPr>
        <w:pStyle w:val="a3"/>
        <w:spacing w:before="4"/>
        <w:rPr>
          <w:b/>
          <w:sz w:val="17"/>
        </w:rPr>
      </w:pPr>
    </w:p>
    <w:p w14:paraId="4E7B95BE" w14:textId="77777777" w:rsidR="00A71EEF" w:rsidRDefault="0081115D">
      <w:pPr>
        <w:pStyle w:val="a3"/>
        <w:spacing w:line="446" w:lineRule="auto"/>
        <w:ind w:left="418" w:right="1608" w:firstLine="419"/>
        <w:jc w:val="both"/>
      </w:pPr>
      <w:r>
        <w:t>下列文件中的条款通过本标准的引用而成为本标准的条款。凡是注日期的引用文件，其随后所有的修改单（不包括勘误的内容）或修订版均不适用于本标准，然而，鼓励根据本标准达成协议的各方研究是否可使用这些文件的最新版本。凡是不注日期的引用文件，其最新版本适用于本标准。</w:t>
      </w:r>
      <w:r>
        <w:t xml:space="preserve"> </w:t>
      </w:r>
    </w:p>
    <w:p w14:paraId="762C6A0B" w14:textId="77777777" w:rsidR="00A71EEF" w:rsidRDefault="0081115D">
      <w:pPr>
        <w:pStyle w:val="a3"/>
        <w:spacing w:line="269" w:lineRule="exact"/>
        <w:ind w:left="838"/>
        <w:jc w:val="both"/>
      </w:pPr>
      <w:r>
        <w:t xml:space="preserve">GBZ1 </w:t>
      </w:r>
      <w:r>
        <w:t>工业企业设计卫生标准</w:t>
      </w:r>
      <w:r>
        <w:t xml:space="preserve"> </w:t>
      </w:r>
    </w:p>
    <w:p w14:paraId="20ED27E7" w14:textId="77777777" w:rsidR="00A71EEF" w:rsidRDefault="00A71EEF">
      <w:pPr>
        <w:pStyle w:val="a3"/>
        <w:rPr>
          <w:sz w:val="18"/>
        </w:rPr>
      </w:pPr>
    </w:p>
    <w:p w14:paraId="45207ECB" w14:textId="77777777" w:rsidR="00A71EEF" w:rsidRDefault="0081115D">
      <w:pPr>
        <w:pStyle w:val="a3"/>
        <w:spacing w:line="446" w:lineRule="auto"/>
        <w:ind w:left="838" w:right="3294"/>
      </w:pPr>
      <w:r>
        <w:t>GBZ 2.1</w:t>
      </w:r>
      <w:r>
        <w:rPr>
          <w:spacing w:val="-6"/>
        </w:rPr>
        <w:t xml:space="preserve">  </w:t>
      </w:r>
      <w:r>
        <w:rPr>
          <w:spacing w:val="-6"/>
        </w:rPr>
        <w:t>工作场所有害因素职业接触限值</w:t>
      </w:r>
      <w:r>
        <w:rPr>
          <w:spacing w:val="-6"/>
        </w:rPr>
        <w:t xml:space="preserve"> </w:t>
      </w:r>
      <w:r>
        <w:rPr>
          <w:spacing w:val="-6"/>
        </w:rPr>
        <w:t>第</w:t>
      </w:r>
      <w:r>
        <w:rPr>
          <w:spacing w:val="-6"/>
        </w:rPr>
        <w:t xml:space="preserve"> </w:t>
      </w:r>
      <w:r>
        <w:t>1</w:t>
      </w:r>
      <w:r>
        <w:rPr>
          <w:spacing w:val="-9"/>
        </w:rPr>
        <w:t xml:space="preserve"> </w:t>
      </w:r>
      <w:r>
        <w:rPr>
          <w:spacing w:val="-9"/>
        </w:rPr>
        <w:t>部分：化学有害因素</w:t>
      </w:r>
      <w:r>
        <w:t>GBZ 2.2</w:t>
      </w:r>
      <w:r>
        <w:rPr>
          <w:spacing w:val="-6"/>
        </w:rPr>
        <w:t xml:space="preserve">   </w:t>
      </w:r>
      <w:r>
        <w:rPr>
          <w:spacing w:val="-6"/>
        </w:rPr>
        <w:t>工作场所有害因素职业接触限值</w:t>
      </w:r>
      <w:r>
        <w:rPr>
          <w:spacing w:val="-6"/>
        </w:rPr>
        <w:t xml:space="preserve"> </w:t>
      </w:r>
      <w:r>
        <w:rPr>
          <w:spacing w:val="-6"/>
        </w:rPr>
        <w:t>第</w:t>
      </w:r>
      <w:r>
        <w:rPr>
          <w:spacing w:val="-6"/>
        </w:rPr>
        <w:t xml:space="preserve"> </w:t>
      </w:r>
      <w:r>
        <w:t>2</w:t>
      </w:r>
      <w:r>
        <w:rPr>
          <w:spacing w:val="-9"/>
        </w:rPr>
        <w:t xml:space="preserve"> </w:t>
      </w:r>
      <w:r>
        <w:rPr>
          <w:spacing w:val="-9"/>
        </w:rPr>
        <w:t>部分：物理因素</w:t>
      </w:r>
      <w:r>
        <w:t>GBZ49</w:t>
      </w:r>
      <w:r>
        <w:rPr>
          <w:spacing w:val="6"/>
        </w:rPr>
        <w:t xml:space="preserve"> </w:t>
      </w:r>
      <w:r>
        <w:rPr>
          <w:spacing w:val="6"/>
        </w:rPr>
        <w:t>职业性噪声聋诊断标准</w:t>
      </w:r>
      <w:r>
        <w:t xml:space="preserve"> </w:t>
      </w:r>
    </w:p>
    <w:p w14:paraId="0AACFC3A" w14:textId="77777777" w:rsidR="00A71EEF" w:rsidRDefault="0081115D">
      <w:pPr>
        <w:pStyle w:val="a3"/>
        <w:spacing w:line="268" w:lineRule="exact"/>
        <w:ind w:left="838"/>
      </w:pPr>
      <w:r>
        <w:t xml:space="preserve">GBZ188 </w:t>
      </w:r>
      <w:r>
        <w:t>职业健康监护技术规范</w:t>
      </w:r>
      <w:r>
        <w:t xml:space="preserve"> </w:t>
      </w:r>
    </w:p>
    <w:p w14:paraId="295505AD" w14:textId="77777777" w:rsidR="00A71EEF" w:rsidRDefault="00A71EEF">
      <w:pPr>
        <w:pStyle w:val="a3"/>
        <w:spacing w:before="12"/>
        <w:rPr>
          <w:sz w:val="17"/>
        </w:rPr>
      </w:pPr>
    </w:p>
    <w:p w14:paraId="3DC79810" w14:textId="77777777" w:rsidR="00A71EEF" w:rsidRDefault="0081115D">
      <w:pPr>
        <w:pStyle w:val="a3"/>
        <w:spacing w:line="446" w:lineRule="auto"/>
        <w:ind w:left="838" w:right="5394"/>
      </w:pPr>
      <w:r>
        <w:t xml:space="preserve">GBZ/T205 </w:t>
      </w:r>
      <w:r>
        <w:t>密闭空间作业职业危害防护规范</w:t>
      </w:r>
      <w:r>
        <w:t xml:space="preserve">GBZ/T206 </w:t>
      </w:r>
      <w:r>
        <w:t>密闭空间直读式仪器气体检测规范</w:t>
      </w:r>
      <w:r>
        <w:t xml:space="preserve">GB2890 </w:t>
      </w:r>
      <w:r>
        <w:t>过滤式防毒面具通用技术条件</w:t>
      </w:r>
      <w:r>
        <w:t xml:space="preserve"> </w:t>
      </w:r>
    </w:p>
    <w:p w14:paraId="2D216BF7" w14:textId="77777777" w:rsidR="00A71EEF" w:rsidRDefault="0081115D">
      <w:pPr>
        <w:pStyle w:val="a3"/>
        <w:spacing w:line="448" w:lineRule="auto"/>
        <w:ind w:left="838" w:right="3716"/>
      </w:pPr>
      <w:r>
        <w:t xml:space="preserve">GB3836.3 </w:t>
      </w:r>
      <w:r>
        <w:t>爆炸性气体环境用电气设备</w:t>
      </w:r>
      <w:r>
        <w:t xml:space="preserve"> </w:t>
      </w:r>
      <w:r>
        <w:t>第</w:t>
      </w:r>
      <w:r>
        <w:t xml:space="preserve"> 3 </w:t>
      </w:r>
      <w:r>
        <w:t>部分：增安型</w:t>
      </w:r>
      <w:r>
        <w:t xml:space="preserve">“e” GB4303 </w:t>
      </w:r>
      <w:r>
        <w:t>船用救生衣</w:t>
      </w:r>
      <w:r>
        <w:t xml:space="preserve"> </w:t>
      </w:r>
    </w:p>
    <w:p w14:paraId="7637A783" w14:textId="77777777" w:rsidR="00A71EEF" w:rsidRDefault="0081115D">
      <w:pPr>
        <w:pStyle w:val="a3"/>
        <w:spacing w:line="446" w:lineRule="auto"/>
        <w:ind w:left="838" w:right="6654"/>
      </w:pPr>
      <w:r>
        <w:t xml:space="preserve">GB6568.1 </w:t>
      </w:r>
      <w:r>
        <w:t>带电作业用屏蔽服装</w:t>
      </w:r>
      <w:r>
        <w:t xml:space="preserve">GB7000.13  </w:t>
      </w:r>
      <w:r>
        <w:t>手提灯安全要求</w:t>
      </w:r>
      <w:r>
        <w:t xml:space="preserve">GB7230 </w:t>
      </w:r>
      <w:r>
        <w:t>气体检测管装置</w:t>
      </w:r>
      <w:r>
        <w:t xml:space="preserve"> </w:t>
      </w:r>
    </w:p>
    <w:p w14:paraId="5022430D" w14:textId="77777777" w:rsidR="00A71EEF" w:rsidRDefault="0081115D">
      <w:pPr>
        <w:pStyle w:val="a3"/>
        <w:spacing w:line="446" w:lineRule="auto"/>
        <w:ind w:left="838" w:right="5183"/>
      </w:pPr>
      <w:r>
        <w:t xml:space="preserve">GB/T7583 </w:t>
      </w:r>
      <w:r>
        <w:t>声学</w:t>
      </w:r>
      <w:r>
        <w:t xml:space="preserve"> </w:t>
      </w:r>
      <w:r>
        <w:t>纯音气导听阈测定</w:t>
      </w:r>
      <w:r>
        <w:t xml:space="preserve"> </w:t>
      </w:r>
      <w:r>
        <w:t>听力保护用</w:t>
      </w:r>
      <w:r>
        <w:t xml:space="preserve">GB12011 </w:t>
      </w:r>
      <w:r>
        <w:t>电绝缘鞋通用技术条件</w:t>
      </w:r>
      <w:r>
        <w:t xml:space="preserve"> </w:t>
      </w:r>
    </w:p>
    <w:p w14:paraId="4D732A4E" w14:textId="77777777" w:rsidR="00A71EEF" w:rsidRDefault="0081115D">
      <w:pPr>
        <w:pStyle w:val="a3"/>
        <w:ind w:left="838"/>
      </w:pPr>
      <w:r>
        <w:t xml:space="preserve">GB15322 </w:t>
      </w:r>
      <w:r>
        <w:t>可燃气体探测器</w:t>
      </w:r>
      <w:r>
        <w:t xml:space="preserve"> </w:t>
      </w:r>
    </w:p>
    <w:p w14:paraId="562AD158" w14:textId="77777777" w:rsidR="00A71EEF" w:rsidRDefault="00A71EEF">
      <w:pPr>
        <w:pStyle w:val="a3"/>
        <w:spacing w:before="5"/>
        <w:rPr>
          <w:sz w:val="17"/>
        </w:rPr>
      </w:pPr>
    </w:p>
    <w:p w14:paraId="43AE0319" w14:textId="77777777" w:rsidR="00A71EEF" w:rsidRDefault="0081115D">
      <w:pPr>
        <w:pStyle w:val="a3"/>
        <w:ind w:left="838"/>
      </w:pPr>
      <w:r>
        <w:t xml:space="preserve">GB/T16403 </w:t>
      </w:r>
      <w:r>
        <w:t>声学</w:t>
      </w:r>
      <w:r>
        <w:t xml:space="preserve"> </w:t>
      </w:r>
      <w:r>
        <w:t>测听方法</w:t>
      </w:r>
      <w:r>
        <w:t xml:space="preserve"> </w:t>
      </w:r>
      <w:r>
        <w:t>纯音气导和骨导听阈基本测听法</w:t>
      </w:r>
      <w:r>
        <w:t xml:space="preserve"> </w:t>
      </w:r>
    </w:p>
    <w:p w14:paraId="05B99FAA" w14:textId="77777777" w:rsidR="00A71EEF" w:rsidRDefault="00A71EEF">
      <w:pPr>
        <w:sectPr w:rsidR="00A71EEF">
          <w:pgSz w:w="11910" w:h="16850"/>
          <w:pgMar w:top="1140" w:right="0" w:bottom="1420" w:left="1260" w:header="0" w:footer="1239" w:gutter="0"/>
          <w:cols w:space="720"/>
        </w:sectPr>
      </w:pPr>
    </w:p>
    <w:p w14:paraId="3D2EFE78" w14:textId="77777777" w:rsidR="00A71EEF" w:rsidRDefault="0081115D">
      <w:pPr>
        <w:pStyle w:val="a3"/>
        <w:spacing w:before="47"/>
        <w:ind w:left="838"/>
      </w:pPr>
      <w:r>
        <w:lastRenderedPageBreak/>
        <w:t xml:space="preserve">GB17622 </w:t>
      </w:r>
      <w:r>
        <w:t>带电作业用绝缘手套通用技术条件</w:t>
      </w:r>
      <w:r>
        <w:t xml:space="preserve"> </w:t>
      </w:r>
    </w:p>
    <w:p w14:paraId="4EE526E5" w14:textId="77777777" w:rsidR="00A71EEF" w:rsidRDefault="00A71EEF">
      <w:pPr>
        <w:pStyle w:val="a3"/>
        <w:spacing w:before="8"/>
        <w:rPr>
          <w:sz w:val="15"/>
        </w:rPr>
      </w:pPr>
    </w:p>
    <w:p w14:paraId="48120F36" w14:textId="77777777" w:rsidR="00A71EEF" w:rsidRDefault="0081115D">
      <w:pPr>
        <w:pStyle w:val="4"/>
        <w:spacing w:before="1"/>
      </w:pPr>
      <w:r>
        <w:t xml:space="preserve">3 </w:t>
      </w:r>
      <w:r>
        <w:t>术语和定义</w:t>
      </w:r>
      <w:r>
        <w:rPr>
          <w:w w:val="99"/>
        </w:rPr>
        <w:t xml:space="preserve"> </w:t>
      </w:r>
    </w:p>
    <w:p w14:paraId="77DE534B" w14:textId="77777777" w:rsidR="00A71EEF" w:rsidRDefault="00A71EEF">
      <w:pPr>
        <w:pStyle w:val="a3"/>
        <w:spacing w:before="3"/>
        <w:rPr>
          <w:b/>
          <w:sz w:val="17"/>
        </w:rPr>
      </w:pPr>
    </w:p>
    <w:p w14:paraId="272E6BCB" w14:textId="77777777" w:rsidR="00A71EEF" w:rsidRDefault="0081115D">
      <w:pPr>
        <w:pStyle w:val="a3"/>
        <w:spacing w:before="1" w:line="446" w:lineRule="auto"/>
        <w:ind w:left="840" w:right="6753" w:hanging="3"/>
      </w:pPr>
      <w:r>
        <w:t>下列术语和定义适用于本标准。</w:t>
      </w:r>
      <w:r>
        <w:rPr>
          <w:b/>
        </w:rPr>
        <w:t xml:space="preserve">3.1 </w:t>
      </w:r>
      <w:r>
        <w:t>消防组织</w:t>
      </w:r>
      <w:r>
        <w:t xml:space="preserve"> fire department </w:t>
      </w:r>
    </w:p>
    <w:p w14:paraId="3AEA14DA" w14:textId="77777777" w:rsidR="00A71EEF" w:rsidRDefault="0081115D">
      <w:pPr>
        <w:pStyle w:val="a3"/>
        <w:spacing w:line="446" w:lineRule="auto"/>
        <w:ind w:left="418" w:right="1609" w:firstLine="419"/>
      </w:pPr>
      <w:r>
        <w:t>实施灭火战斗、抢险救援、社会救助及其它相关活动的各级公安消防队、地方政府专职消防队、单位专职消防队和志愿消防队的统称。</w:t>
      </w:r>
      <w:r>
        <w:t xml:space="preserve"> </w:t>
      </w:r>
    </w:p>
    <w:p w14:paraId="412EBB53" w14:textId="77777777" w:rsidR="00A71EEF" w:rsidRDefault="0081115D">
      <w:pPr>
        <w:ind w:left="840"/>
        <w:rPr>
          <w:b/>
          <w:sz w:val="21"/>
        </w:rPr>
      </w:pPr>
      <w:r>
        <w:rPr>
          <w:b/>
          <w:sz w:val="21"/>
        </w:rPr>
        <w:t xml:space="preserve">3.2 </w:t>
      </w:r>
      <w:r>
        <w:rPr>
          <w:sz w:val="21"/>
        </w:rPr>
        <w:t>消防员</w:t>
      </w:r>
      <w:r>
        <w:rPr>
          <w:sz w:val="21"/>
        </w:rPr>
        <w:t xml:space="preserve"> fire fighter</w:t>
      </w:r>
      <w:r>
        <w:rPr>
          <w:b/>
          <w:w w:val="99"/>
          <w:sz w:val="21"/>
        </w:rPr>
        <w:t xml:space="preserve"> </w:t>
      </w:r>
    </w:p>
    <w:p w14:paraId="38D5279C" w14:textId="77777777" w:rsidR="00A71EEF" w:rsidRDefault="00A71EEF">
      <w:pPr>
        <w:pStyle w:val="a3"/>
        <w:spacing w:before="12"/>
        <w:rPr>
          <w:b/>
          <w:sz w:val="17"/>
        </w:rPr>
      </w:pPr>
    </w:p>
    <w:p w14:paraId="645D57F2" w14:textId="77777777" w:rsidR="00A71EEF" w:rsidRDefault="0081115D">
      <w:pPr>
        <w:pStyle w:val="a3"/>
        <w:spacing w:line="446" w:lineRule="auto"/>
        <w:ind w:left="840" w:right="4657" w:hanging="3"/>
        <w:rPr>
          <w:b/>
        </w:rPr>
      </w:pPr>
      <w:r>
        <w:t>隶属于消防组织，履行消防组织的职责和任务的人员。</w:t>
      </w:r>
      <w:r>
        <w:rPr>
          <w:b/>
        </w:rPr>
        <w:t xml:space="preserve">3.3 </w:t>
      </w:r>
      <w:r>
        <w:t>消防职业活动</w:t>
      </w:r>
      <w:r>
        <w:t xml:space="preserve"> fire occupational operations</w:t>
      </w:r>
      <w:r>
        <w:rPr>
          <w:b/>
          <w:w w:val="99"/>
        </w:rPr>
        <w:t xml:space="preserve"> </w:t>
      </w:r>
    </w:p>
    <w:p w14:paraId="6C03DBAB" w14:textId="77777777" w:rsidR="00A71EEF" w:rsidRDefault="0081115D">
      <w:pPr>
        <w:pStyle w:val="a3"/>
        <w:spacing w:line="446" w:lineRule="auto"/>
        <w:ind w:left="418" w:right="1609" w:firstLine="419"/>
      </w:pPr>
      <w:r>
        <w:t>消防组织为履行职责和任务组织消防员进行的业务训练、灭火战斗、抢险救援、社会救助及其他相关活动。</w:t>
      </w:r>
      <w:r>
        <w:t xml:space="preserve"> </w:t>
      </w:r>
    </w:p>
    <w:p w14:paraId="6B0F1984" w14:textId="77777777" w:rsidR="00A71EEF" w:rsidRDefault="0081115D">
      <w:pPr>
        <w:spacing w:line="267" w:lineRule="exact"/>
        <w:ind w:left="840"/>
        <w:rPr>
          <w:b/>
          <w:sz w:val="21"/>
        </w:rPr>
      </w:pPr>
      <w:r>
        <w:rPr>
          <w:b/>
          <w:sz w:val="21"/>
        </w:rPr>
        <w:t xml:space="preserve">3.4 </w:t>
      </w:r>
      <w:r>
        <w:rPr>
          <w:sz w:val="21"/>
        </w:rPr>
        <w:t>体格</w:t>
      </w:r>
      <w:r>
        <w:rPr>
          <w:sz w:val="21"/>
        </w:rPr>
        <w:t xml:space="preserve"> physique</w:t>
      </w:r>
      <w:r>
        <w:rPr>
          <w:b/>
          <w:w w:val="99"/>
          <w:sz w:val="21"/>
        </w:rPr>
        <w:t xml:space="preserve"> </w:t>
      </w:r>
    </w:p>
    <w:p w14:paraId="3D52DA75" w14:textId="77777777" w:rsidR="00A71EEF" w:rsidRDefault="00A71EEF">
      <w:pPr>
        <w:pStyle w:val="a3"/>
        <w:spacing w:before="2"/>
        <w:rPr>
          <w:b/>
          <w:sz w:val="18"/>
        </w:rPr>
      </w:pPr>
    </w:p>
    <w:p w14:paraId="2E939DEF" w14:textId="77777777" w:rsidR="00A71EEF" w:rsidRDefault="0081115D">
      <w:pPr>
        <w:pStyle w:val="a3"/>
        <w:spacing w:line="446" w:lineRule="auto"/>
        <w:ind w:left="840" w:right="2554" w:hanging="3"/>
      </w:pPr>
      <w:r>
        <w:t>人体的形态和结构，包括人的生长发育水平、体型、姿态与器官组织的构造。</w:t>
      </w:r>
      <w:r>
        <w:rPr>
          <w:b/>
        </w:rPr>
        <w:t xml:space="preserve">3.5 </w:t>
      </w:r>
      <w:r>
        <w:t>体能</w:t>
      </w:r>
      <w:r>
        <w:t xml:space="preserve"> physical fitness </w:t>
      </w:r>
    </w:p>
    <w:p w14:paraId="701EB516" w14:textId="77777777" w:rsidR="00A71EEF" w:rsidRDefault="0081115D">
      <w:pPr>
        <w:pStyle w:val="a3"/>
        <w:spacing w:line="446" w:lineRule="auto"/>
        <w:ind w:left="418" w:right="1609" w:firstLine="419"/>
      </w:pPr>
      <w:r>
        <w:t>人体通过先天遗传和后天训练获得的在形态结构、功能与调节及物质能量的贮存与转移等方面所具有的潜在能力以及与外界环境结合所表现出来的综合运动能力。</w:t>
      </w:r>
      <w:r>
        <w:t xml:space="preserve"> </w:t>
      </w:r>
    </w:p>
    <w:p w14:paraId="6515EFF8" w14:textId="77777777" w:rsidR="00A71EEF" w:rsidRDefault="0081115D">
      <w:pPr>
        <w:pStyle w:val="a3"/>
        <w:ind w:left="840"/>
      </w:pPr>
      <w:r>
        <w:rPr>
          <w:b/>
        </w:rPr>
        <w:t xml:space="preserve">3.6 </w:t>
      </w:r>
      <w:r>
        <w:t>消防员职业健康</w:t>
      </w:r>
      <w:r>
        <w:t xml:space="preserve"> fire fighter occupational health </w:t>
      </w:r>
    </w:p>
    <w:p w14:paraId="15A3FB5A" w14:textId="77777777" w:rsidR="00A71EEF" w:rsidRDefault="00A71EEF">
      <w:pPr>
        <w:pStyle w:val="a3"/>
        <w:spacing w:before="10"/>
        <w:rPr>
          <w:sz w:val="17"/>
        </w:rPr>
      </w:pPr>
    </w:p>
    <w:p w14:paraId="4EEE61A5" w14:textId="77777777" w:rsidR="00A71EEF" w:rsidRDefault="0081115D">
      <w:pPr>
        <w:pStyle w:val="a3"/>
        <w:spacing w:line="446" w:lineRule="auto"/>
        <w:ind w:left="840" w:right="3397" w:hanging="3"/>
        <w:rPr>
          <w:b/>
        </w:rPr>
      </w:pPr>
      <w:r>
        <w:t>反映消防员在工作生命阶段的生理、心理及社会适应性的良好状态。</w:t>
      </w:r>
      <w:r>
        <w:rPr>
          <w:b/>
        </w:rPr>
        <w:t xml:space="preserve">3.7 </w:t>
      </w:r>
      <w:r>
        <w:t>职业危害因素</w:t>
      </w:r>
      <w:r>
        <w:t xml:space="preserve"> occupational hazard factors</w:t>
      </w:r>
      <w:r>
        <w:rPr>
          <w:b/>
          <w:w w:val="99"/>
        </w:rPr>
        <w:t xml:space="preserve"> </w:t>
      </w:r>
    </w:p>
    <w:p w14:paraId="2A24C864" w14:textId="77777777" w:rsidR="00A71EEF" w:rsidRDefault="0081115D">
      <w:pPr>
        <w:pStyle w:val="a3"/>
        <w:spacing w:before="1" w:line="446" w:lineRule="auto"/>
        <w:ind w:left="418" w:right="1608" w:firstLine="419"/>
      </w:pPr>
      <w:r>
        <w:t>消防职业活动中影响消防员健康的各种危害因素的统称，包括化学、物理、生物因素和其他有害因素。</w:t>
      </w:r>
      <w:r>
        <w:t xml:space="preserve"> </w:t>
      </w:r>
    </w:p>
    <w:p w14:paraId="602868D0" w14:textId="77777777" w:rsidR="00A71EEF" w:rsidRDefault="0081115D">
      <w:pPr>
        <w:pStyle w:val="a4"/>
        <w:numPr>
          <w:ilvl w:val="1"/>
          <w:numId w:val="965"/>
        </w:numPr>
        <w:tabs>
          <w:tab w:val="left" w:pos="1160"/>
        </w:tabs>
        <w:rPr>
          <w:sz w:val="21"/>
        </w:rPr>
      </w:pPr>
      <w:r>
        <w:rPr>
          <w:spacing w:val="-3"/>
          <w:sz w:val="21"/>
        </w:rPr>
        <w:t>职业健康监护</w:t>
      </w:r>
      <w:r>
        <w:rPr>
          <w:spacing w:val="-3"/>
          <w:sz w:val="21"/>
        </w:rPr>
        <w:t xml:space="preserve"> </w:t>
      </w:r>
      <w:r>
        <w:rPr>
          <w:sz w:val="21"/>
        </w:rPr>
        <w:t>occupational</w:t>
      </w:r>
      <w:r>
        <w:rPr>
          <w:spacing w:val="1"/>
          <w:sz w:val="21"/>
        </w:rPr>
        <w:t xml:space="preserve"> </w:t>
      </w:r>
      <w:r>
        <w:rPr>
          <w:sz w:val="21"/>
        </w:rPr>
        <w:t>health</w:t>
      </w:r>
      <w:r>
        <w:rPr>
          <w:spacing w:val="-3"/>
          <w:sz w:val="21"/>
        </w:rPr>
        <w:t xml:space="preserve"> </w:t>
      </w:r>
      <w:r>
        <w:rPr>
          <w:sz w:val="21"/>
        </w:rPr>
        <w:t xml:space="preserve">surveillance </w:t>
      </w:r>
    </w:p>
    <w:p w14:paraId="0949CE28" w14:textId="77777777" w:rsidR="00A71EEF" w:rsidRDefault="00A71EEF">
      <w:pPr>
        <w:pStyle w:val="a3"/>
        <w:spacing w:before="12"/>
        <w:rPr>
          <w:sz w:val="17"/>
        </w:rPr>
      </w:pPr>
    </w:p>
    <w:p w14:paraId="6F7678CB" w14:textId="77777777" w:rsidR="00A71EEF" w:rsidRDefault="0081115D">
      <w:pPr>
        <w:pStyle w:val="a3"/>
        <w:spacing w:line="446" w:lineRule="auto"/>
        <w:ind w:left="418" w:right="1608" w:firstLine="419"/>
        <w:jc w:val="both"/>
      </w:pPr>
      <w:r>
        <w:t>以预防为目的，根据消防员的职业接触史，通过定期或不定期的医学健康检查和健康相关资料的收集，连续性地监测消防员的健康状况，分析消防员健康变化与所接触的职业病危害因素的关系，并及时地将健康检查资料和分析结果、健康评估报告给消防组织和消防员本人，以便及时采取干预措施，保护消防员健康。</w:t>
      </w:r>
      <w:r>
        <w:t xml:space="preserve"> </w:t>
      </w:r>
    </w:p>
    <w:p w14:paraId="2F0500A7" w14:textId="77777777" w:rsidR="00A71EEF" w:rsidRDefault="0081115D">
      <w:pPr>
        <w:pStyle w:val="a4"/>
        <w:numPr>
          <w:ilvl w:val="1"/>
          <w:numId w:val="965"/>
        </w:numPr>
        <w:tabs>
          <w:tab w:val="left" w:pos="1160"/>
        </w:tabs>
        <w:spacing w:line="267" w:lineRule="exact"/>
        <w:rPr>
          <w:b/>
          <w:sz w:val="21"/>
        </w:rPr>
      </w:pPr>
      <w:r>
        <w:rPr>
          <w:spacing w:val="-3"/>
          <w:sz w:val="21"/>
        </w:rPr>
        <w:t>职业危害防拍装备</w:t>
      </w:r>
      <w:r>
        <w:rPr>
          <w:spacing w:val="-3"/>
          <w:sz w:val="21"/>
        </w:rPr>
        <w:t xml:space="preserve"> </w:t>
      </w:r>
      <w:r>
        <w:rPr>
          <w:sz w:val="21"/>
        </w:rPr>
        <w:t>protective</w:t>
      </w:r>
      <w:r>
        <w:rPr>
          <w:spacing w:val="1"/>
          <w:sz w:val="21"/>
        </w:rPr>
        <w:t xml:space="preserve"> </w:t>
      </w:r>
      <w:r>
        <w:rPr>
          <w:sz w:val="21"/>
        </w:rPr>
        <w:t>faci</w:t>
      </w:r>
      <w:r>
        <w:rPr>
          <w:spacing w:val="-3"/>
          <w:sz w:val="21"/>
        </w:rPr>
        <w:t xml:space="preserve"> </w:t>
      </w:r>
      <w:r>
        <w:rPr>
          <w:sz w:val="21"/>
        </w:rPr>
        <w:t>I</w:t>
      </w:r>
      <w:r>
        <w:rPr>
          <w:spacing w:val="1"/>
          <w:sz w:val="21"/>
        </w:rPr>
        <w:t xml:space="preserve"> </w:t>
      </w:r>
      <w:r>
        <w:rPr>
          <w:sz w:val="21"/>
        </w:rPr>
        <w:t>ities</w:t>
      </w:r>
      <w:r>
        <w:rPr>
          <w:spacing w:val="-2"/>
          <w:sz w:val="21"/>
        </w:rPr>
        <w:t xml:space="preserve"> </w:t>
      </w:r>
      <w:r>
        <w:rPr>
          <w:sz w:val="21"/>
        </w:rPr>
        <w:t>for occupational</w:t>
      </w:r>
      <w:r>
        <w:rPr>
          <w:spacing w:val="1"/>
          <w:sz w:val="21"/>
        </w:rPr>
        <w:t xml:space="preserve"> </w:t>
      </w:r>
      <w:r>
        <w:rPr>
          <w:sz w:val="21"/>
        </w:rPr>
        <w:t>hazard</w:t>
      </w:r>
      <w:r>
        <w:rPr>
          <w:b/>
          <w:w w:val="99"/>
          <w:sz w:val="21"/>
        </w:rPr>
        <w:t xml:space="preserve"> </w:t>
      </w:r>
    </w:p>
    <w:p w14:paraId="6DF6D8B6" w14:textId="77777777" w:rsidR="00A71EEF" w:rsidRDefault="00A71EEF">
      <w:pPr>
        <w:spacing w:line="267" w:lineRule="exact"/>
        <w:rPr>
          <w:sz w:val="21"/>
        </w:rPr>
        <w:sectPr w:rsidR="00A71EEF">
          <w:pgSz w:w="11910" w:h="16850"/>
          <w:pgMar w:top="1220" w:right="0" w:bottom="1420" w:left="1260" w:header="0" w:footer="1239" w:gutter="0"/>
          <w:cols w:space="720"/>
        </w:sectPr>
      </w:pPr>
    </w:p>
    <w:p w14:paraId="31E4BA59" w14:textId="77777777" w:rsidR="00A71EEF" w:rsidRDefault="0081115D">
      <w:pPr>
        <w:pStyle w:val="a3"/>
        <w:spacing w:before="47" w:line="446" w:lineRule="auto"/>
        <w:ind w:left="418" w:right="1608" w:firstLine="419"/>
      </w:pPr>
      <w:r>
        <w:lastRenderedPageBreak/>
        <w:t>用于消除或者减少职业危害因素对消防员健康的损害或影响，达到保护消防员健康目的的</w:t>
      </w:r>
      <w:r>
        <w:t>装备，主要包括侦检装备、个人防护装备、洗消装备等。</w:t>
      </w:r>
      <w:r>
        <w:t xml:space="preserve"> </w:t>
      </w:r>
    </w:p>
    <w:p w14:paraId="2ECDC877" w14:textId="77777777" w:rsidR="00A71EEF" w:rsidRDefault="0081115D">
      <w:pPr>
        <w:pStyle w:val="a4"/>
        <w:numPr>
          <w:ilvl w:val="1"/>
          <w:numId w:val="965"/>
        </w:numPr>
        <w:tabs>
          <w:tab w:val="left" w:pos="1264"/>
        </w:tabs>
        <w:spacing w:line="267" w:lineRule="exact"/>
        <w:ind w:left="1263" w:hanging="424"/>
        <w:rPr>
          <w:sz w:val="21"/>
        </w:rPr>
      </w:pPr>
      <w:r>
        <w:rPr>
          <w:spacing w:val="-3"/>
          <w:sz w:val="21"/>
        </w:rPr>
        <w:t>接触水平</w:t>
      </w:r>
      <w:r>
        <w:rPr>
          <w:spacing w:val="-3"/>
          <w:sz w:val="21"/>
        </w:rPr>
        <w:t xml:space="preserve"> </w:t>
      </w:r>
      <w:r>
        <w:rPr>
          <w:sz w:val="21"/>
        </w:rPr>
        <w:t>exposure</w:t>
      </w:r>
      <w:r>
        <w:rPr>
          <w:spacing w:val="-2"/>
          <w:sz w:val="21"/>
        </w:rPr>
        <w:t xml:space="preserve"> </w:t>
      </w:r>
      <w:r>
        <w:rPr>
          <w:sz w:val="21"/>
        </w:rPr>
        <w:t xml:space="preserve">level </w:t>
      </w:r>
    </w:p>
    <w:p w14:paraId="279058CB" w14:textId="77777777" w:rsidR="00A71EEF" w:rsidRDefault="00A71EEF">
      <w:pPr>
        <w:pStyle w:val="a3"/>
        <w:spacing w:before="2"/>
        <w:rPr>
          <w:sz w:val="18"/>
        </w:rPr>
      </w:pPr>
    </w:p>
    <w:p w14:paraId="67AB3C3C" w14:textId="77777777" w:rsidR="00A71EEF" w:rsidRDefault="0081115D">
      <w:pPr>
        <w:pStyle w:val="a3"/>
        <w:spacing w:line="446" w:lineRule="auto"/>
        <w:ind w:left="840" w:right="1714" w:hanging="3"/>
        <w:rPr>
          <w:b/>
        </w:rPr>
      </w:pPr>
      <w:r>
        <w:t>从事消防职业活动的消防员接触某种或多种职业危害因素的浓度（强度）和接触时间。</w:t>
      </w:r>
      <w:r>
        <w:rPr>
          <w:b/>
        </w:rPr>
        <w:t xml:space="preserve">3.11 </w:t>
      </w:r>
      <w:r>
        <w:t>抢险救援</w:t>
      </w:r>
      <w:r>
        <w:t xml:space="preserve"> emergency rescue</w:t>
      </w:r>
      <w:r>
        <w:rPr>
          <w:b/>
          <w:w w:val="99"/>
        </w:rPr>
        <w:t xml:space="preserve"> </w:t>
      </w:r>
    </w:p>
    <w:p w14:paraId="2F32B77E" w14:textId="77777777" w:rsidR="00A71EEF" w:rsidRDefault="0081115D">
      <w:pPr>
        <w:pStyle w:val="a3"/>
        <w:spacing w:line="446" w:lineRule="auto"/>
        <w:ind w:left="418" w:right="1608" w:firstLine="419"/>
        <w:jc w:val="both"/>
      </w:pPr>
      <w:r>
        <w:t>以抢救人员生命为主的危险化学品泄漏、道路交通事故、地震及其次生灾害、建筑坍塌、重大安全生产事故、空难、爆炸及恐怖事件和群众遇险事件的救援工作，以及参与处置水旱灾害、气象灾害、地质灾害、森林、草原火灾等自然灾害，矿山、水上事故，重大环境污染、核与辐射事故和突发公共卫生事件的活动。</w:t>
      </w:r>
      <w:r>
        <w:t xml:space="preserve"> </w:t>
      </w:r>
    </w:p>
    <w:p w14:paraId="47B6339D" w14:textId="77777777" w:rsidR="00A71EEF" w:rsidRDefault="0081115D">
      <w:pPr>
        <w:ind w:left="840"/>
        <w:jc w:val="both"/>
        <w:rPr>
          <w:b/>
          <w:sz w:val="21"/>
        </w:rPr>
      </w:pPr>
      <w:r>
        <w:rPr>
          <w:b/>
          <w:sz w:val="21"/>
        </w:rPr>
        <w:t xml:space="preserve">3.12 </w:t>
      </w:r>
      <w:r>
        <w:rPr>
          <w:sz w:val="21"/>
        </w:rPr>
        <w:t>风险</w:t>
      </w:r>
      <w:r>
        <w:rPr>
          <w:sz w:val="21"/>
        </w:rPr>
        <w:t xml:space="preserve"> risk</w:t>
      </w:r>
      <w:r>
        <w:rPr>
          <w:b/>
          <w:w w:val="99"/>
          <w:sz w:val="21"/>
        </w:rPr>
        <w:t xml:space="preserve"> </w:t>
      </w:r>
    </w:p>
    <w:p w14:paraId="33E6FBE2" w14:textId="77777777" w:rsidR="00A71EEF" w:rsidRDefault="00A71EEF">
      <w:pPr>
        <w:pStyle w:val="a3"/>
        <w:spacing w:before="10"/>
        <w:rPr>
          <w:b/>
          <w:sz w:val="17"/>
        </w:rPr>
      </w:pPr>
    </w:p>
    <w:p w14:paraId="3F59CB84" w14:textId="77777777" w:rsidR="00A71EEF" w:rsidRDefault="0081115D">
      <w:pPr>
        <w:pStyle w:val="a3"/>
        <w:spacing w:line="446" w:lineRule="auto"/>
        <w:ind w:left="840" w:right="5709" w:hanging="3"/>
      </w:pPr>
      <w:r>
        <w:t>特定危险情况发生的可能性和后果的组合。</w:t>
      </w:r>
      <w:r>
        <w:rPr>
          <w:b/>
        </w:rPr>
        <w:t xml:space="preserve">3.13 </w:t>
      </w:r>
      <w:r>
        <w:t>密闭空间</w:t>
      </w:r>
      <w:r>
        <w:t xml:space="preserve"> confined spaces </w:t>
      </w:r>
    </w:p>
    <w:p w14:paraId="72E16C8E" w14:textId="77777777" w:rsidR="00A71EEF" w:rsidRDefault="0081115D">
      <w:pPr>
        <w:pStyle w:val="a3"/>
        <w:spacing w:line="446" w:lineRule="auto"/>
        <w:ind w:left="418" w:right="1609" w:firstLine="419"/>
      </w:pPr>
      <w:r>
        <w:rPr>
          <w:spacing w:val="-3"/>
        </w:rPr>
        <w:t>与外界相对隔离，进出口受限，自然通风不良，足够容纳作业人员进入井从事非常规、非连续作业的有限空间</w:t>
      </w:r>
      <w:r>
        <w:t>（</w:t>
      </w:r>
      <w:r>
        <w:rPr>
          <w:spacing w:val="-3"/>
        </w:rPr>
        <w:t>如炉、塔、罐、槽车以及管道、烟道、下水道、沟、坑、井、池、涵</w:t>
      </w:r>
      <w:r>
        <w:rPr>
          <w:spacing w:val="-3"/>
        </w:rPr>
        <w:t xml:space="preserve"> </w:t>
      </w:r>
      <w:r>
        <w:rPr>
          <w:spacing w:val="-3"/>
        </w:rPr>
        <w:t>洞、船舱、地下仓库、储藏室、地窖、谷仓等</w:t>
      </w:r>
      <w:r>
        <w:t>）</w:t>
      </w:r>
      <w:r>
        <w:rPr>
          <w:spacing w:val="-3"/>
        </w:rPr>
        <w:t>。</w:t>
      </w:r>
      <w:r>
        <w:t xml:space="preserve"> </w:t>
      </w:r>
    </w:p>
    <w:p w14:paraId="4D0E691D" w14:textId="77777777" w:rsidR="00A71EEF" w:rsidRDefault="0081115D">
      <w:pPr>
        <w:pStyle w:val="a4"/>
        <w:numPr>
          <w:ilvl w:val="1"/>
          <w:numId w:val="964"/>
        </w:numPr>
        <w:tabs>
          <w:tab w:val="left" w:pos="1264"/>
        </w:tabs>
        <w:spacing w:line="268" w:lineRule="exact"/>
        <w:rPr>
          <w:sz w:val="21"/>
        </w:rPr>
      </w:pPr>
      <w:r>
        <w:rPr>
          <w:spacing w:val="-3"/>
          <w:sz w:val="21"/>
        </w:rPr>
        <w:t>辅助用室</w:t>
      </w:r>
      <w:r>
        <w:rPr>
          <w:spacing w:val="-3"/>
          <w:sz w:val="21"/>
        </w:rPr>
        <w:t xml:space="preserve"> </w:t>
      </w:r>
      <w:r>
        <w:rPr>
          <w:sz w:val="21"/>
        </w:rPr>
        <w:t>auxiliary</w:t>
      </w:r>
      <w:r>
        <w:rPr>
          <w:spacing w:val="1"/>
          <w:sz w:val="21"/>
        </w:rPr>
        <w:t xml:space="preserve"> </w:t>
      </w:r>
      <w:r>
        <w:rPr>
          <w:sz w:val="21"/>
        </w:rPr>
        <w:t xml:space="preserve">room </w:t>
      </w:r>
    </w:p>
    <w:p w14:paraId="3CE35C2C" w14:textId="77777777" w:rsidR="00A71EEF" w:rsidRDefault="00A71EEF">
      <w:pPr>
        <w:pStyle w:val="a3"/>
        <w:rPr>
          <w:sz w:val="18"/>
        </w:rPr>
      </w:pPr>
    </w:p>
    <w:p w14:paraId="7953C744" w14:textId="77777777" w:rsidR="00A71EEF" w:rsidRDefault="0081115D">
      <w:pPr>
        <w:pStyle w:val="a3"/>
        <w:spacing w:line="446" w:lineRule="auto"/>
        <w:ind w:left="418" w:right="1609" w:firstLine="419"/>
      </w:pPr>
      <w:r>
        <w:t>消防组织为保障正常工作设置的办公室、备勤室、休息室、浴室、存衣室、盥洗室、洗衣房、值班室、食堂、厕所、医务室等。</w:t>
      </w:r>
      <w:r>
        <w:t xml:space="preserve"> </w:t>
      </w:r>
    </w:p>
    <w:p w14:paraId="1E108041" w14:textId="77777777" w:rsidR="00A71EEF" w:rsidRDefault="0081115D">
      <w:pPr>
        <w:pStyle w:val="a4"/>
        <w:numPr>
          <w:ilvl w:val="1"/>
          <w:numId w:val="964"/>
        </w:numPr>
        <w:tabs>
          <w:tab w:val="left" w:pos="1264"/>
        </w:tabs>
        <w:rPr>
          <w:sz w:val="21"/>
        </w:rPr>
      </w:pPr>
      <w:r>
        <w:rPr>
          <w:spacing w:val="-3"/>
          <w:sz w:val="21"/>
        </w:rPr>
        <w:t>健康促进</w:t>
      </w:r>
      <w:r>
        <w:rPr>
          <w:spacing w:val="-3"/>
          <w:sz w:val="21"/>
        </w:rPr>
        <w:t xml:space="preserve"> </w:t>
      </w:r>
      <w:r>
        <w:rPr>
          <w:sz w:val="21"/>
        </w:rPr>
        <w:t>health</w:t>
      </w:r>
      <w:r>
        <w:rPr>
          <w:spacing w:val="1"/>
          <w:sz w:val="21"/>
        </w:rPr>
        <w:t xml:space="preserve"> </w:t>
      </w:r>
      <w:r>
        <w:rPr>
          <w:sz w:val="21"/>
        </w:rPr>
        <w:t xml:space="preserve">promotion </w:t>
      </w:r>
    </w:p>
    <w:p w14:paraId="7A14FD86" w14:textId="77777777" w:rsidR="00A71EEF" w:rsidRDefault="00A71EEF">
      <w:pPr>
        <w:pStyle w:val="a3"/>
        <w:rPr>
          <w:sz w:val="18"/>
        </w:rPr>
      </w:pPr>
    </w:p>
    <w:p w14:paraId="124EFB90" w14:textId="77777777" w:rsidR="00A71EEF" w:rsidRDefault="0081115D">
      <w:pPr>
        <w:pStyle w:val="a3"/>
        <w:spacing w:line="446" w:lineRule="auto"/>
        <w:ind w:left="418" w:right="1609" w:firstLine="419"/>
      </w:pPr>
      <w:r>
        <w:t>识别工作环境中存在的和潜在的健康危害因素的预防性活动，促使并帮助消防员形成有益健康的实践和生活方式。</w:t>
      </w:r>
      <w:r>
        <w:t xml:space="preserve"> </w:t>
      </w:r>
    </w:p>
    <w:p w14:paraId="7B157CC7" w14:textId="77777777" w:rsidR="00A71EEF" w:rsidRDefault="0081115D">
      <w:pPr>
        <w:pStyle w:val="a4"/>
        <w:numPr>
          <w:ilvl w:val="1"/>
          <w:numId w:val="964"/>
        </w:numPr>
        <w:tabs>
          <w:tab w:val="left" w:pos="1266"/>
        </w:tabs>
        <w:ind w:left="1265" w:hanging="426"/>
        <w:rPr>
          <w:sz w:val="21"/>
        </w:rPr>
      </w:pPr>
      <w:r>
        <w:rPr>
          <w:spacing w:val="-3"/>
          <w:sz w:val="21"/>
        </w:rPr>
        <w:t>职业健康档案</w:t>
      </w:r>
      <w:r>
        <w:rPr>
          <w:spacing w:val="-3"/>
          <w:sz w:val="21"/>
        </w:rPr>
        <w:t xml:space="preserve"> </w:t>
      </w:r>
      <w:r>
        <w:rPr>
          <w:sz w:val="21"/>
        </w:rPr>
        <w:t>occupational</w:t>
      </w:r>
      <w:r>
        <w:rPr>
          <w:spacing w:val="1"/>
          <w:sz w:val="21"/>
        </w:rPr>
        <w:t xml:space="preserve"> </w:t>
      </w:r>
      <w:r>
        <w:rPr>
          <w:sz w:val="21"/>
        </w:rPr>
        <w:t xml:space="preserve">health records </w:t>
      </w:r>
    </w:p>
    <w:p w14:paraId="0260EAB6" w14:textId="77777777" w:rsidR="00A71EEF" w:rsidRDefault="00A71EEF">
      <w:pPr>
        <w:pStyle w:val="a3"/>
        <w:spacing w:before="12"/>
        <w:rPr>
          <w:sz w:val="17"/>
        </w:rPr>
      </w:pPr>
    </w:p>
    <w:p w14:paraId="5B190AE1" w14:textId="77777777" w:rsidR="00A71EEF" w:rsidRDefault="0081115D">
      <w:pPr>
        <w:pStyle w:val="a3"/>
        <w:spacing w:line="446" w:lineRule="auto"/>
        <w:ind w:left="418" w:right="1608" w:firstLine="419"/>
      </w:pPr>
      <w:r>
        <w:t>为保护消防员职业健康所开展的一切活动中形成的，能够准确、完整反映职业健康工作全过程的文字、资料、图纸、照片、报表、录音带、录像、影片、计算机数据等材料。</w:t>
      </w:r>
      <w:r>
        <w:t xml:space="preserve"> </w:t>
      </w:r>
    </w:p>
    <w:p w14:paraId="6AC32D82" w14:textId="77777777" w:rsidR="00A71EEF" w:rsidRDefault="0081115D">
      <w:pPr>
        <w:pStyle w:val="a4"/>
        <w:numPr>
          <w:ilvl w:val="1"/>
          <w:numId w:val="964"/>
        </w:numPr>
        <w:tabs>
          <w:tab w:val="left" w:pos="1266"/>
        </w:tabs>
        <w:ind w:left="1265" w:hanging="426"/>
        <w:rPr>
          <w:sz w:val="21"/>
        </w:rPr>
      </w:pPr>
      <w:r>
        <w:rPr>
          <w:spacing w:val="-3"/>
          <w:sz w:val="21"/>
        </w:rPr>
        <w:t>体重指数</w:t>
      </w:r>
      <w:r>
        <w:rPr>
          <w:spacing w:val="-3"/>
          <w:sz w:val="21"/>
        </w:rPr>
        <w:t xml:space="preserve"> </w:t>
      </w:r>
      <w:r>
        <w:rPr>
          <w:sz w:val="21"/>
        </w:rPr>
        <w:t>body</w:t>
      </w:r>
      <w:r>
        <w:rPr>
          <w:spacing w:val="-2"/>
          <w:sz w:val="21"/>
        </w:rPr>
        <w:t xml:space="preserve"> </w:t>
      </w:r>
      <w:r>
        <w:rPr>
          <w:sz w:val="21"/>
        </w:rPr>
        <w:t xml:space="preserve">mass index, BMI </w:t>
      </w:r>
    </w:p>
    <w:p w14:paraId="5CB5C7EA" w14:textId="77777777" w:rsidR="00A71EEF" w:rsidRDefault="00A71EEF">
      <w:pPr>
        <w:pStyle w:val="a3"/>
        <w:spacing w:before="2"/>
        <w:rPr>
          <w:sz w:val="17"/>
        </w:rPr>
      </w:pPr>
    </w:p>
    <w:p w14:paraId="44C3473B" w14:textId="77777777" w:rsidR="00A71EEF" w:rsidRDefault="0081115D">
      <w:pPr>
        <w:pStyle w:val="a3"/>
        <w:spacing w:before="1"/>
        <w:ind w:left="838"/>
      </w:pPr>
      <w:r>
        <w:t>世界卫生组织推荐的国际统一使用的肥胖分型标准，</w:t>
      </w:r>
      <w:r>
        <w:t>BMI=</w:t>
      </w:r>
      <w:r>
        <w:t>体重</w:t>
      </w:r>
      <w:r>
        <w:t>(kg)/</w:t>
      </w:r>
      <w:r>
        <w:t>身高</w:t>
      </w:r>
      <w:r>
        <w:t xml:space="preserve"> </w:t>
      </w:r>
      <w:r>
        <w:rPr>
          <w:position w:val="11"/>
          <w:sz w:val="11"/>
        </w:rPr>
        <w:t>2</w:t>
      </w:r>
      <w:r>
        <w:rPr>
          <w:sz w:val="11"/>
        </w:rPr>
        <w:t xml:space="preserve"> </w:t>
      </w:r>
      <w:r>
        <w:t>(m</w:t>
      </w:r>
      <w:r>
        <w:rPr>
          <w:position w:val="11"/>
          <w:sz w:val="11"/>
        </w:rPr>
        <w:t>2</w:t>
      </w:r>
      <w:r>
        <w:t>)</w:t>
      </w:r>
      <w:r>
        <w:t>。</w:t>
      </w:r>
      <w:r>
        <w:t xml:space="preserve"> </w:t>
      </w:r>
    </w:p>
    <w:p w14:paraId="12907981" w14:textId="77777777" w:rsidR="00A71EEF" w:rsidRDefault="0081115D">
      <w:pPr>
        <w:pStyle w:val="4"/>
        <w:spacing w:before="200"/>
        <w:ind w:left="0" w:right="8001"/>
        <w:jc w:val="center"/>
      </w:pPr>
      <w:r>
        <w:t xml:space="preserve">4 </w:t>
      </w:r>
      <w:r>
        <w:t>职业健康条件</w:t>
      </w:r>
      <w:r>
        <w:rPr>
          <w:w w:val="99"/>
        </w:rPr>
        <w:t xml:space="preserve"> </w:t>
      </w:r>
    </w:p>
    <w:p w14:paraId="4B91FFE3" w14:textId="77777777" w:rsidR="00A71EEF" w:rsidRDefault="00A71EEF">
      <w:pPr>
        <w:pStyle w:val="a3"/>
        <w:spacing w:before="6"/>
        <w:rPr>
          <w:b/>
          <w:sz w:val="17"/>
        </w:rPr>
      </w:pPr>
    </w:p>
    <w:p w14:paraId="3B127FE1" w14:textId="77777777" w:rsidR="00A71EEF" w:rsidRDefault="0081115D">
      <w:pPr>
        <w:ind w:right="7910"/>
        <w:jc w:val="center"/>
        <w:rPr>
          <w:sz w:val="21"/>
        </w:rPr>
      </w:pPr>
      <w:r>
        <w:rPr>
          <w:b/>
          <w:sz w:val="21"/>
        </w:rPr>
        <w:t xml:space="preserve">4.1 </w:t>
      </w:r>
      <w:r>
        <w:rPr>
          <w:sz w:val="21"/>
        </w:rPr>
        <w:t>体</w:t>
      </w:r>
      <w:r>
        <w:rPr>
          <w:sz w:val="21"/>
        </w:rPr>
        <w:t xml:space="preserve"> </w:t>
      </w:r>
      <w:r>
        <w:rPr>
          <w:sz w:val="21"/>
        </w:rPr>
        <w:t>格</w:t>
      </w:r>
      <w:r>
        <w:rPr>
          <w:sz w:val="21"/>
        </w:rPr>
        <w:t xml:space="preserve"> </w:t>
      </w:r>
    </w:p>
    <w:p w14:paraId="4FC0C177" w14:textId="77777777" w:rsidR="00A71EEF" w:rsidRDefault="00A71EEF">
      <w:pPr>
        <w:jc w:val="center"/>
        <w:rPr>
          <w:sz w:val="21"/>
        </w:rPr>
        <w:sectPr w:rsidR="00A71EEF">
          <w:pgSz w:w="11910" w:h="16850"/>
          <w:pgMar w:top="1220" w:right="0" w:bottom="1420" w:left="1260" w:header="0" w:footer="1239" w:gutter="0"/>
          <w:cols w:space="720"/>
        </w:sectPr>
      </w:pPr>
    </w:p>
    <w:p w14:paraId="30CACD32" w14:textId="77777777" w:rsidR="00A71EEF" w:rsidRDefault="0081115D">
      <w:pPr>
        <w:pStyle w:val="a3"/>
        <w:spacing w:before="47" w:line="446" w:lineRule="auto"/>
        <w:ind w:left="840" w:right="3606" w:hanging="3"/>
      </w:pPr>
      <w:r>
        <w:lastRenderedPageBreak/>
        <w:t>申请加入消防组织的人员在加入消防组织前首先应进行体格检查。</w:t>
      </w:r>
      <w:r>
        <w:rPr>
          <w:b/>
        </w:rPr>
        <w:t xml:space="preserve">4.1.1 </w:t>
      </w:r>
      <w:r>
        <w:t>消防员体格检查应符合下列标准：</w:t>
      </w:r>
      <w:r>
        <w:t xml:space="preserve"> </w:t>
      </w:r>
    </w:p>
    <w:p w14:paraId="6F2EBE45" w14:textId="77777777" w:rsidR="00A71EEF" w:rsidRDefault="0081115D">
      <w:pPr>
        <w:pStyle w:val="a3"/>
        <w:spacing w:line="267" w:lineRule="exact"/>
        <w:ind w:left="838"/>
      </w:pPr>
      <w:r>
        <w:t xml:space="preserve">4.1.1.1 </w:t>
      </w:r>
      <w:r>
        <w:t>外科</w:t>
      </w:r>
      <w:r>
        <w:t xml:space="preserve">   </w:t>
      </w:r>
      <w:r>
        <w:t xml:space="preserve">  </w:t>
      </w:r>
      <w:r>
        <w:t xml:space="preserve"> </w:t>
      </w:r>
      <w:r>
        <w:t xml:space="preserve"> </w:t>
      </w:r>
    </w:p>
    <w:p w14:paraId="6F46455D" w14:textId="77777777" w:rsidR="00A71EEF" w:rsidRDefault="00A71EEF">
      <w:pPr>
        <w:pStyle w:val="a3"/>
        <w:spacing w:before="2"/>
        <w:rPr>
          <w:sz w:val="18"/>
        </w:rPr>
      </w:pPr>
    </w:p>
    <w:p w14:paraId="75DFFAFE" w14:textId="77777777" w:rsidR="00A71EEF" w:rsidRDefault="0081115D">
      <w:pPr>
        <w:pStyle w:val="a4"/>
        <w:numPr>
          <w:ilvl w:val="0"/>
          <w:numId w:val="963"/>
        </w:numPr>
        <w:tabs>
          <w:tab w:val="left" w:pos="1051"/>
        </w:tabs>
        <w:rPr>
          <w:sz w:val="21"/>
        </w:rPr>
      </w:pPr>
      <w:r>
        <w:rPr>
          <w:spacing w:val="-12"/>
          <w:sz w:val="21"/>
        </w:rPr>
        <w:t>身高：男性</w:t>
      </w:r>
      <w:r>
        <w:rPr>
          <w:spacing w:val="-12"/>
          <w:sz w:val="21"/>
        </w:rPr>
        <w:t xml:space="preserve"> </w:t>
      </w:r>
      <w:r>
        <w:rPr>
          <w:sz w:val="21"/>
        </w:rPr>
        <w:t>162cm</w:t>
      </w:r>
      <w:r>
        <w:rPr>
          <w:spacing w:val="-17"/>
          <w:sz w:val="21"/>
        </w:rPr>
        <w:t xml:space="preserve"> </w:t>
      </w:r>
      <w:r>
        <w:rPr>
          <w:spacing w:val="-17"/>
          <w:sz w:val="21"/>
        </w:rPr>
        <w:t>以上，女性</w:t>
      </w:r>
      <w:r>
        <w:rPr>
          <w:spacing w:val="-17"/>
          <w:sz w:val="21"/>
        </w:rPr>
        <w:t xml:space="preserve"> </w:t>
      </w:r>
      <w:r>
        <w:rPr>
          <w:sz w:val="21"/>
        </w:rPr>
        <w:t>160cm</w:t>
      </w:r>
      <w:r>
        <w:rPr>
          <w:spacing w:val="-16"/>
          <w:sz w:val="21"/>
        </w:rPr>
        <w:t xml:space="preserve"> </w:t>
      </w:r>
      <w:r>
        <w:rPr>
          <w:spacing w:val="-16"/>
          <w:sz w:val="21"/>
        </w:rPr>
        <w:t>以上；</w:t>
      </w:r>
      <w:r>
        <w:rPr>
          <w:sz w:val="21"/>
        </w:rPr>
        <w:t xml:space="preserve"> </w:t>
      </w:r>
    </w:p>
    <w:p w14:paraId="2CACC601" w14:textId="77777777" w:rsidR="00A71EEF" w:rsidRDefault="00A71EEF">
      <w:pPr>
        <w:pStyle w:val="a3"/>
        <w:rPr>
          <w:sz w:val="18"/>
        </w:rPr>
      </w:pPr>
    </w:p>
    <w:p w14:paraId="7B34E535" w14:textId="77777777" w:rsidR="00A71EEF" w:rsidRDefault="0081115D">
      <w:pPr>
        <w:pStyle w:val="a4"/>
        <w:numPr>
          <w:ilvl w:val="0"/>
          <w:numId w:val="963"/>
        </w:numPr>
        <w:tabs>
          <w:tab w:val="left" w:pos="1051"/>
        </w:tabs>
        <w:rPr>
          <w:sz w:val="21"/>
        </w:rPr>
      </w:pPr>
      <w:r>
        <w:rPr>
          <w:spacing w:val="-7"/>
          <w:sz w:val="21"/>
        </w:rPr>
        <w:t>体重：男性不超过标准体重的</w:t>
      </w:r>
      <w:r>
        <w:rPr>
          <w:spacing w:val="-7"/>
          <w:sz w:val="21"/>
        </w:rPr>
        <w:t xml:space="preserve"> </w:t>
      </w:r>
      <w:r>
        <w:rPr>
          <w:sz w:val="21"/>
        </w:rPr>
        <w:t>20</w:t>
      </w:r>
      <w:r>
        <w:rPr>
          <w:spacing w:val="-8"/>
          <w:sz w:val="21"/>
        </w:rPr>
        <w:t>%</w:t>
      </w:r>
      <w:r>
        <w:rPr>
          <w:spacing w:val="-8"/>
          <w:sz w:val="21"/>
        </w:rPr>
        <w:t>，不低于标准体重的</w:t>
      </w:r>
      <w:r>
        <w:rPr>
          <w:spacing w:val="-8"/>
          <w:sz w:val="21"/>
        </w:rPr>
        <w:t xml:space="preserve"> </w:t>
      </w:r>
      <w:r>
        <w:rPr>
          <w:sz w:val="21"/>
        </w:rPr>
        <w:t>10%</w:t>
      </w:r>
      <w:r>
        <w:rPr>
          <w:sz w:val="21"/>
        </w:rPr>
        <w:t>，</w:t>
      </w:r>
      <w:r>
        <w:rPr>
          <w:sz w:val="21"/>
        </w:rPr>
        <w:t xml:space="preserve"> </w:t>
      </w:r>
    </w:p>
    <w:p w14:paraId="374A2215" w14:textId="77777777" w:rsidR="00A71EEF" w:rsidRDefault="00A71EEF">
      <w:pPr>
        <w:pStyle w:val="a3"/>
        <w:spacing w:before="12"/>
        <w:rPr>
          <w:sz w:val="17"/>
        </w:rPr>
      </w:pPr>
    </w:p>
    <w:p w14:paraId="320A54F9" w14:textId="77777777" w:rsidR="00A71EEF" w:rsidRDefault="0081115D">
      <w:pPr>
        <w:pStyle w:val="a3"/>
        <w:spacing w:line="446" w:lineRule="auto"/>
        <w:ind w:left="838" w:right="1407"/>
      </w:pPr>
      <w:r>
        <w:t>女性不超过标准体重的</w:t>
      </w:r>
      <w:r>
        <w:t xml:space="preserve"> 15%</w:t>
      </w:r>
      <w:r>
        <w:t>，不低于标准体重的</w:t>
      </w:r>
      <w:r>
        <w:t xml:space="preserve"> 15%</w:t>
      </w:r>
      <w:r>
        <w:t>，标准体重（</w:t>
      </w:r>
      <w:r>
        <w:t>kg</w:t>
      </w:r>
      <w:r>
        <w:t>）</w:t>
      </w:r>
      <w:r>
        <w:t>=</w:t>
      </w:r>
      <w:r>
        <w:t>身高（</w:t>
      </w:r>
      <w:r>
        <w:t>cm</w:t>
      </w:r>
      <w:r>
        <w:t>）－</w:t>
      </w:r>
      <w:r>
        <w:t>110</w:t>
      </w:r>
      <w:r>
        <w:t>。</w:t>
      </w:r>
      <w:r>
        <w:t xml:space="preserve">4.1.1.2 </w:t>
      </w:r>
      <w:r>
        <w:t>内科</w:t>
      </w:r>
      <w:r>
        <w:t xml:space="preserve"> </w:t>
      </w:r>
    </w:p>
    <w:p w14:paraId="516AAA06" w14:textId="77777777" w:rsidR="00A71EEF" w:rsidRDefault="0081115D">
      <w:pPr>
        <w:pStyle w:val="a4"/>
        <w:numPr>
          <w:ilvl w:val="0"/>
          <w:numId w:val="962"/>
        </w:numPr>
        <w:tabs>
          <w:tab w:val="left" w:pos="1051"/>
        </w:tabs>
        <w:spacing w:before="1"/>
        <w:rPr>
          <w:sz w:val="21"/>
        </w:rPr>
      </w:pPr>
      <w:r>
        <w:rPr>
          <w:spacing w:val="-3"/>
          <w:sz w:val="21"/>
        </w:rPr>
        <w:t>血压</w:t>
      </w:r>
      <w:r>
        <w:rPr>
          <w:spacing w:val="-3"/>
          <w:sz w:val="21"/>
        </w:rPr>
        <w:t xml:space="preserve"> </w:t>
      </w:r>
      <w:r>
        <w:rPr>
          <w:spacing w:val="-3"/>
          <w:sz w:val="21"/>
        </w:rPr>
        <w:t>收缩压：</w:t>
      </w:r>
      <w:r>
        <w:rPr>
          <w:sz w:val="21"/>
        </w:rPr>
        <w:t>90</w:t>
      </w:r>
      <w:r>
        <w:rPr>
          <w:sz w:val="21"/>
        </w:rPr>
        <w:t>～</w:t>
      </w:r>
      <w:r>
        <w:rPr>
          <w:sz w:val="21"/>
        </w:rPr>
        <w:t>130mmHg</w:t>
      </w:r>
      <w:r>
        <w:rPr>
          <w:spacing w:val="-3"/>
          <w:sz w:val="21"/>
        </w:rPr>
        <w:t>，舒张压：</w:t>
      </w:r>
      <w:r>
        <w:rPr>
          <w:sz w:val="21"/>
        </w:rPr>
        <w:t>60</w:t>
      </w:r>
      <w:r>
        <w:rPr>
          <w:sz w:val="21"/>
        </w:rPr>
        <w:t>～</w:t>
      </w:r>
      <w:r>
        <w:rPr>
          <w:sz w:val="21"/>
        </w:rPr>
        <w:t>80mmHg</w:t>
      </w:r>
      <w:r>
        <w:rPr>
          <w:sz w:val="21"/>
        </w:rPr>
        <w:t>；</w:t>
      </w:r>
      <w:r>
        <w:rPr>
          <w:sz w:val="21"/>
        </w:rPr>
        <w:t xml:space="preserve"> </w:t>
      </w:r>
    </w:p>
    <w:p w14:paraId="040992A8" w14:textId="77777777" w:rsidR="00A71EEF" w:rsidRDefault="00A71EEF">
      <w:pPr>
        <w:pStyle w:val="a3"/>
        <w:spacing w:before="12"/>
        <w:rPr>
          <w:sz w:val="17"/>
        </w:rPr>
      </w:pPr>
    </w:p>
    <w:p w14:paraId="7E4BEEC6" w14:textId="77777777" w:rsidR="00A71EEF" w:rsidRDefault="0081115D">
      <w:pPr>
        <w:pStyle w:val="a4"/>
        <w:numPr>
          <w:ilvl w:val="0"/>
          <w:numId w:val="962"/>
        </w:numPr>
        <w:tabs>
          <w:tab w:val="left" w:pos="1051"/>
        </w:tabs>
        <w:rPr>
          <w:sz w:val="21"/>
        </w:rPr>
      </w:pPr>
      <w:r>
        <w:rPr>
          <w:spacing w:val="-8"/>
          <w:sz w:val="21"/>
        </w:rPr>
        <w:t>心率：安静状态下每分钟</w:t>
      </w:r>
      <w:r>
        <w:rPr>
          <w:spacing w:val="-8"/>
          <w:sz w:val="21"/>
        </w:rPr>
        <w:t xml:space="preserve"> </w:t>
      </w:r>
      <w:r>
        <w:rPr>
          <w:sz w:val="21"/>
        </w:rPr>
        <w:t>60</w:t>
      </w:r>
      <w:r>
        <w:rPr>
          <w:spacing w:val="-28"/>
          <w:sz w:val="21"/>
        </w:rPr>
        <w:t xml:space="preserve"> </w:t>
      </w:r>
      <w:r>
        <w:rPr>
          <w:spacing w:val="-28"/>
          <w:sz w:val="21"/>
        </w:rPr>
        <w:t>次至</w:t>
      </w:r>
      <w:r>
        <w:rPr>
          <w:spacing w:val="-28"/>
          <w:sz w:val="21"/>
        </w:rPr>
        <w:t xml:space="preserve"> </w:t>
      </w:r>
      <w:r>
        <w:rPr>
          <w:sz w:val="21"/>
        </w:rPr>
        <w:t>100</w:t>
      </w:r>
      <w:r>
        <w:rPr>
          <w:spacing w:val="-14"/>
          <w:sz w:val="21"/>
        </w:rPr>
        <w:t xml:space="preserve"> </w:t>
      </w:r>
      <w:r>
        <w:rPr>
          <w:spacing w:val="-14"/>
          <w:sz w:val="21"/>
        </w:rPr>
        <w:t>次之间或每分钟</w:t>
      </w:r>
      <w:r>
        <w:rPr>
          <w:spacing w:val="-14"/>
          <w:sz w:val="21"/>
        </w:rPr>
        <w:t xml:space="preserve"> </w:t>
      </w:r>
      <w:r>
        <w:rPr>
          <w:sz w:val="21"/>
        </w:rPr>
        <w:t>50</w:t>
      </w:r>
      <w:r>
        <w:rPr>
          <w:spacing w:val="-27"/>
          <w:sz w:val="21"/>
        </w:rPr>
        <w:t xml:space="preserve"> </w:t>
      </w:r>
      <w:r>
        <w:rPr>
          <w:spacing w:val="-27"/>
          <w:sz w:val="21"/>
        </w:rPr>
        <w:t>次至</w:t>
      </w:r>
      <w:r>
        <w:rPr>
          <w:spacing w:val="-27"/>
          <w:sz w:val="21"/>
        </w:rPr>
        <w:t xml:space="preserve"> </w:t>
      </w:r>
      <w:r>
        <w:rPr>
          <w:sz w:val="21"/>
        </w:rPr>
        <w:t>59</w:t>
      </w:r>
      <w:r>
        <w:rPr>
          <w:spacing w:val="-8"/>
          <w:sz w:val="21"/>
        </w:rPr>
        <w:t xml:space="preserve"> </w:t>
      </w:r>
      <w:r>
        <w:rPr>
          <w:spacing w:val="-8"/>
          <w:sz w:val="21"/>
        </w:rPr>
        <w:t>次之间的窦性心律；</w:t>
      </w:r>
      <w:r>
        <w:rPr>
          <w:sz w:val="21"/>
        </w:rPr>
        <w:t xml:space="preserve"> </w:t>
      </w:r>
    </w:p>
    <w:p w14:paraId="42142787" w14:textId="77777777" w:rsidR="00A71EEF" w:rsidRDefault="00A71EEF">
      <w:pPr>
        <w:pStyle w:val="a3"/>
        <w:spacing w:before="2"/>
        <w:rPr>
          <w:sz w:val="18"/>
        </w:rPr>
      </w:pPr>
    </w:p>
    <w:p w14:paraId="1A3D3ACA" w14:textId="77777777" w:rsidR="00A71EEF" w:rsidRDefault="0081115D">
      <w:pPr>
        <w:pStyle w:val="a4"/>
        <w:numPr>
          <w:ilvl w:val="0"/>
          <w:numId w:val="962"/>
        </w:numPr>
        <w:tabs>
          <w:tab w:val="left" w:pos="1051"/>
        </w:tabs>
        <w:rPr>
          <w:sz w:val="21"/>
        </w:rPr>
      </w:pPr>
      <w:r>
        <w:rPr>
          <w:spacing w:val="-3"/>
          <w:sz w:val="21"/>
        </w:rPr>
        <w:t>呼吸、循环、消化、造血、内分泌、免疫系统以及皮肤黏膜毛发等正常；</w:t>
      </w:r>
      <w:r>
        <w:rPr>
          <w:spacing w:val="-3"/>
          <w:sz w:val="21"/>
        </w:rPr>
        <w:t xml:space="preserve"> </w:t>
      </w:r>
    </w:p>
    <w:p w14:paraId="3A051B91" w14:textId="77777777" w:rsidR="00A71EEF" w:rsidRDefault="00A71EEF">
      <w:pPr>
        <w:pStyle w:val="a3"/>
        <w:spacing w:before="12"/>
        <w:rPr>
          <w:sz w:val="17"/>
        </w:rPr>
      </w:pPr>
    </w:p>
    <w:p w14:paraId="70FF6EC0" w14:textId="77777777" w:rsidR="00A71EEF" w:rsidRDefault="0081115D">
      <w:pPr>
        <w:pStyle w:val="a4"/>
        <w:numPr>
          <w:ilvl w:val="0"/>
          <w:numId w:val="962"/>
        </w:numPr>
        <w:tabs>
          <w:tab w:val="left" w:pos="1051"/>
        </w:tabs>
        <w:rPr>
          <w:sz w:val="21"/>
        </w:rPr>
      </w:pPr>
      <w:r>
        <w:rPr>
          <w:spacing w:val="-3"/>
          <w:sz w:val="21"/>
        </w:rPr>
        <w:t>中枢神经系统及周围神经系统正常；</w:t>
      </w:r>
      <w:r>
        <w:rPr>
          <w:sz w:val="21"/>
        </w:rPr>
        <w:t xml:space="preserve"> </w:t>
      </w:r>
    </w:p>
    <w:p w14:paraId="1248BD3B" w14:textId="77777777" w:rsidR="00A71EEF" w:rsidRDefault="00A71EEF">
      <w:pPr>
        <w:pStyle w:val="a3"/>
        <w:spacing w:before="12"/>
        <w:rPr>
          <w:sz w:val="17"/>
        </w:rPr>
      </w:pPr>
    </w:p>
    <w:p w14:paraId="0B902F1E" w14:textId="77777777" w:rsidR="00A71EEF" w:rsidRDefault="0081115D">
      <w:pPr>
        <w:pStyle w:val="a4"/>
        <w:numPr>
          <w:ilvl w:val="0"/>
          <w:numId w:val="962"/>
        </w:numPr>
        <w:tabs>
          <w:tab w:val="left" w:pos="1051"/>
        </w:tabs>
        <w:spacing w:line="446" w:lineRule="auto"/>
        <w:ind w:left="838" w:right="6549" w:firstLine="0"/>
        <w:rPr>
          <w:sz w:val="21"/>
        </w:rPr>
      </w:pPr>
      <w:r>
        <w:rPr>
          <w:spacing w:val="-3"/>
          <w:sz w:val="21"/>
        </w:rPr>
        <w:t>无代谢疾病及结缔组织疾病。</w:t>
      </w:r>
      <w:r>
        <w:rPr>
          <w:sz w:val="21"/>
        </w:rPr>
        <w:t>4.1.1.3</w:t>
      </w:r>
      <w:r>
        <w:rPr>
          <w:spacing w:val="-3"/>
          <w:sz w:val="21"/>
        </w:rPr>
        <w:t xml:space="preserve"> </w:t>
      </w:r>
      <w:r>
        <w:rPr>
          <w:spacing w:val="-3"/>
          <w:sz w:val="21"/>
        </w:rPr>
        <w:t>耳、鼻、咽喉科</w:t>
      </w:r>
      <w:r>
        <w:rPr>
          <w:sz w:val="21"/>
        </w:rPr>
        <w:t xml:space="preserve"> </w:t>
      </w:r>
    </w:p>
    <w:p w14:paraId="356C4B98" w14:textId="77777777" w:rsidR="00A71EEF" w:rsidRDefault="0081115D">
      <w:pPr>
        <w:pStyle w:val="a4"/>
        <w:numPr>
          <w:ilvl w:val="0"/>
          <w:numId w:val="961"/>
        </w:numPr>
        <w:tabs>
          <w:tab w:val="left" w:pos="1051"/>
        </w:tabs>
        <w:spacing w:before="1" w:line="446" w:lineRule="auto"/>
        <w:ind w:right="1558" w:firstLine="419"/>
        <w:rPr>
          <w:sz w:val="21"/>
        </w:rPr>
      </w:pPr>
      <w:r>
        <w:rPr>
          <w:spacing w:val="-4"/>
          <w:sz w:val="21"/>
        </w:rPr>
        <w:t>听觉：纯音听力检查正常，双耳高频平均听阈小于</w:t>
      </w:r>
      <w:r>
        <w:rPr>
          <w:spacing w:val="-4"/>
          <w:sz w:val="21"/>
        </w:rPr>
        <w:t xml:space="preserve"> </w:t>
      </w:r>
      <w:r>
        <w:rPr>
          <w:sz w:val="21"/>
        </w:rPr>
        <w:t>40dB(HL</w:t>
      </w:r>
      <w:r>
        <w:rPr>
          <w:spacing w:val="-3"/>
          <w:sz w:val="21"/>
        </w:rPr>
        <w:t>)</w:t>
      </w:r>
      <w:r>
        <w:rPr>
          <w:spacing w:val="-3"/>
          <w:sz w:val="21"/>
        </w:rPr>
        <w:t>，双耳语频平均听阈均小于</w:t>
      </w:r>
      <w:r>
        <w:rPr>
          <w:spacing w:val="-3"/>
          <w:sz w:val="21"/>
        </w:rPr>
        <w:t>25dB(HL)</w:t>
      </w:r>
      <w:r>
        <w:rPr>
          <w:spacing w:val="-3"/>
          <w:sz w:val="21"/>
        </w:rPr>
        <w:t>；</w:t>
      </w:r>
      <w:r>
        <w:rPr>
          <w:spacing w:val="-3"/>
          <w:sz w:val="21"/>
        </w:rPr>
        <w:t xml:space="preserve"> </w:t>
      </w:r>
    </w:p>
    <w:p w14:paraId="169CDAD1" w14:textId="77777777" w:rsidR="00A71EEF" w:rsidRDefault="0081115D">
      <w:pPr>
        <w:pStyle w:val="a4"/>
        <w:numPr>
          <w:ilvl w:val="0"/>
          <w:numId w:val="961"/>
        </w:numPr>
        <w:tabs>
          <w:tab w:val="left" w:pos="1051"/>
        </w:tabs>
        <w:spacing w:line="446" w:lineRule="auto"/>
        <w:ind w:left="838" w:right="5077" w:firstLine="0"/>
        <w:rPr>
          <w:sz w:val="21"/>
        </w:rPr>
      </w:pPr>
      <w:r>
        <w:rPr>
          <w:spacing w:val="-3"/>
          <w:sz w:val="21"/>
        </w:rPr>
        <w:t>嗅觉：嗅觉正常，能觉察燃烧物和异常气味。</w:t>
      </w:r>
      <w:r>
        <w:rPr>
          <w:sz w:val="21"/>
        </w:rPr>
        <w:t>4.1.1.4</w:t>
      </w:r>
      <w:r>
        <w:rPr>
          <w:spacing w:val="-3"/>
          <w:sz w:val="21"/>
        </w:rPr>
        <w:t xml:space="preserve"> </w:t>
      </w:r>
      <w:r>
        <w:rPr>
          <w:spacing w:val="-3"/>
          <w:sz w:val="21"/>
        </w:rPr>
        <w:t>眼科</w:t>
      </w:r>
      <w:r>
        <w:rPr>
          <w:sz w:val="21"/>
        </w:rPr>
        <w:t xml:space="preserve"> </w:t>
      </w:r>
    </w:p>
    <w:p w14:paraId="1A833A2D" w14:textId="77777777" w:rsidR="00A71EEF" w:rsidRDefault="0081115D">
      <w:pPr>
        <w:pStyle w:val="a4"/>
        <w:numPr>
          <w:ilvl w:val="0"/>
          <w:numId w:val="960"/>
        </w:numPr>
        <w:tabs>
          <w:tab w:val="left" w:pos="1051"/>
        </w:tabs>
        <w:spacing w:line="446" w:lineRule="auto"/>
        <w:ind w:right="1450" w:firstLine="419"/>
        <w:rPr>
          <w:sz w:val="21"/>
        </w:rPr>
      </w:pPr>
      <w:r>
        <w:rPr>
          <w:spacing w:val="-7"/>
          <w:sz w:val="21"/>
        </w:rPr>
        <w:t>视力：双侧裸眼视力均不低于</w:t>
      </w:r>
      <w:r>
        <w:rPr>
          <w:spacing w:val="-7"/>
          <w:sz w:val="21"/>
        </w:rPr>
        <w:t xml:space="preserve"> </w:t>
      </w:r>
      <w:r>
        <w:rPr>
          <w:sz w:val="21"/>
        </w:rPr>
        <w:t>4.8</w:t>
      </w:r>
      <w:r>
        <w:rPr>
          <w:spacing w:val="-3"/>
          <w:sz w:val="21"/>
        </w:rPr>
        <w:t>，大专以上文化程度可放宽到较差眼裸眼视力不低于</w:t>
      </w:r>
      <w:r>
        <w:rPr>
          <w:spacing w:val="-3"/>
          <w:sz w:val="21"/>
        </w:rPr>
        <w:t>4.6</w:t>
      </w:r>
      <w:r>
        <w:rPr>
          <w:spacing w:val="-3"/>
          <w:sz w:val="21"/>
        </w:rPr>
        <w:t>；</w:t>
      </w:r>
      <w:r>
        <w:rPr>
          <w:spacing w:val="-3"/>
          <w:sz w:val="21"/>
        </w:rPr>
        <w:t xml:space="preserve"> </w:t>
      </w:r>
    </w:p>
    <w:p w14:paraId="375B974E" w14:textId="77777777" w:rsidR="00A71EEF" w:rsidRDefault="0081115D">
      <w:pPr>
        <w:pStyle w:val="a4"/>
        <w:numPr>
          <w:ilvl w:val="0"/>
          <w:numId w:val="960"/>
        </w:numPr>
        <w:tabs>
          <w:tab w:val="left" w:pos="1051"/>
        </w:tabs>
        <w:ind w:left="1050"/>
        <w:rPr>
          <w:sz w:val="21"/>
        </w:rPr>
      </w:pPr>
      <w:r>
        <w:rPr>
          <w:spacing w:val="-3"/>
          <w:sz w:val="21"/>
        </w:rPr>
        <w:t>色觉：辨色力正常；</w:t>
      </w:r>
      <w:r>
        <w:rPr>
          <w:sz w:val="21"/>
        </w:rPr>
        <w:t xml:space="preserve"> </w:t>
      </w:r>
    </w:p>
    <w:p w14:paraId="4FC865B3" w14:textId="77777777" w:rsidR="00A71EEF" w:rsidRDefault="00A71EEF">
      <w:pPr>
        <w:pStyle w:val="a3"/>
        <w:spacing w:before="10"/>
        <w:rPr>
          <w:sz w:val="17"/>
        </w:rPr>
      </w:pPr>
    </w:p>
    <w:p w14:paraId="55F2601D" w14:textId="77777777" w:rsidR="00A71EEF" w:rsidRDefault="0081115D">
      <w:pPr>
        <w:pStyle w:val="a4"/>
        <w:numPr>
          <w:ilvl w:val="0"/>
          <w:numId w:val="960"/>
        </w:numPr>
        <w:tabs>
          <w:tab w:val="left" w:pos="1051"/>
        </w:tabs>
        <w:spacing w:line="446" w:lineRule="auto"/>
        <w:ind w:left="838" w:right="6390" w:firstLine="0"/>
        <w:rPr>
          <w:sz w:val="21"/>
        </w:rPr>
      </w:pPr>
      <w:r>
        <w:rPr>
          <w:spacing w:val="-9"/>
          <w:sz w:val="21"/>
        </w:rPr>
        <w:t>视野：周围视野</w:t>
      </w:r>
      <w:r>
        <w:rPr>
          <w:spacing w:val="-9"/>
          <w:sz w:val="21"/>
        </w:rPr>
        <w:t xml:space="preserve"> </w:t>
      </w:r>
      <w:r>
        <w:rPr>
          <w:sz w:val="21"/>
        </w:rPr>
        <w:t>120</w:t>
      </w:r>
      <w:r>
        <w:rPr>
          <w:spacing w:val="-2"/>
          <w:sz w:val="21"/>
        </w:rPr>
        <w:t>°</w:t>
      </w:r>
      <w:r>
        <w:rPr>
          <w:spacing w:val="-2"/>
          <w:sz w:val="21"/>
        </w:rPr>
        <w:t>或更大。</w:t>
      </w:r>
      <w:r>
        <w:rPr>
          <w:sz w:val="21"/>
        </w:rPr>
        <w:t>4.1.1.5</w:t>
      </w:r>
      <w:r>
        <w:rPr>
          <w:spacing w:val="-3"/>
          <w:sz w:val="21"/>
        </w:rPr>
        <w:t xml:space="preserve"> </w:t>
      </w:r>
      <w:r>
        <w:rPr>
          <w:spacing w:val="-3"/>
          <w:sz w:val="21"/>
        </w:rPr>
        <w:t>其他专项检查</w:t>
      </w:r>
      <w:r>
        <w:rPr>
          <w:sz w:val="21"/>
        </w:rPr>
        <w:t xml:space="preserve"> </w:t>
      </w:r>
    </w:p>
    <w:p w14:paraId="4E5E1B71" w14:textId="77777777" w:rsidR="00A71EEF" w:rsidRDefault="0081115D">
      <w:pPr>
        <w:pStyle w:val="a4"/>
        <w:numPr>
          <w:ilvl w:val="0"/>
          <w:numId w:val="959"/>
        </w:numPr>
        <w:tabs>
          <w:tab w:val="left" w:pos="1051"/>
        </w:tabs>
        <w:rPr>
          <w:sz w:val="21"/>
        </w:rPr>
      </w:pPr>
      <w:r>
        <w:rPr>
          <w:spacing w:val="-3"/>
          <w:sz w:val="21"/>
        </w:rPr>
        <w:t>头颈部及人体外形适于穿着和有效使用个人防护装备；</w:t>
      </w:r>
      <w:r>
        <w:rPr>
          <w:sz w:val="21"/>
        </w:rPr>
        <w:t xml:space="preserve"> </w:t>
      </w:r>
    </w:p>
    <w:p w14:paraId="0B4F8EE7" w14:textId="77777777" w:rsidR="00A71EEF" w:rsidRDefault="00A71EEF">
      <w:pPr>
        <w:pStyle w:val="a3"/>
        <w:spacing w:before="12"/>
        <w:rPr>
          <w:sz w:val="17"/>
        </w:rPr>
      </w:pPr>
    </w:p>
    <w:p w14:paraId="0629E706" w14:textId="77777777" w:rsidR="00A71EEF" w:rsidRDefault="0081115D">
      <w:pPr>
        <w:pStyle w:val="a4"/>
        <w:numPr>
          <w:ilvl w:val="0"/>
          <w:numId w:val="959"/>
        </w:numPr>
        <w:tabs>
          <w:tab w:val="left" w:pos="1051"/>
        </w:tabs>
        <w:rPr>
          <w:sz w:val="21"/>
        </w:rPr>
      </w:pPr>
      <w:r>
        <w:rPr>
          <w:spacing w:val="-3"/>
          <w:sz w:val="21"/>
        </w:rPr>
        <w:t>呼吸面罩吻合试验合格。</w:t>
      </w:r>
      <w:r>
        <w:rPr>
          <w:sz w:val="21"/>
        </w:rPr>
        <w:t xml:space="preserve"> </w:t>
      </w:r>
    </w:p>
    <w:p w14:paraId="10908003" w14:textId="77777777" w:rsidR="00A71EEF" w:rsidRDefault="00A71EEF">
      <w:pPr>
        <w:pStyle w:val="a3"/>
        <w:spacing w:before="2"/>
        <w:rPr>
          <w:sz w:val="18"/>
        </w:rPr>
      </w:pPr>
    </w:p>
    <w:p w14:paraId="128BBAB9" w14:textId="77777777" w:rsidR="00A71EEF" w:rsidRDefault="0081115D">
      <w:pPr>
        <w:pStyle w:val="a4"/>
        <w:numPr>
          <w:ilvl w:val="2"/>
          <w:numId w:val="958"/>
        </w:numPr>
        <w:tabs>
          <w:tab w:val="left" w:pos="1370"/>
        </w:tabs>
        <w:ind w:hanging="530"/>
        <w:rPr>
          <w:b/>
          <w:sz w:val="21"/>
        </w:rPr>
      </w:pPr>
      <w:r>
        <w:rPr>
          <w:spacing w:val="-3"/>
          <w:sz w:val="21"/>
        </w:rPr>
        <w:t>有下列情况之一者，不应从事消防员工作。</w:t>
      </w:r>
      <w:r>
        <w:rPr>
          <w:b/>
          <w:w w:val="99"/>
          <w:sz w:val="21"/>
        </w:rPr>
        <w:t xml:space="preserve"> </w:t>
      </w:r>
    </w:p>
    <w:p w14:paraId="15871790" w14:textId="77777777" w:rsidR="00A71EEF" w:rsidRDefault="00A71EEF">
      <w:pPr>
        <w:pStyle w:val="a3"/>
        <w:rPr>
          <w:b/>
          <w:sz w:val="18"/>
        </w:rPr>
      </w:pPr>
    </w:p>
    <w:p w14:paraId="7A9FA64E" w14:textId="77777777" w:rsidR="00A71EEF" w:rsidRDefault="0081115D">
      <w:pPr>
        <w:pStyle w:val="a4"/>
        <w:numPr>
          <w:ilvl w:val="3"/>
          <w:numId w:val="958"/>
        </w:numPr>
        <w:tabs>
          <w:tab w:val="left" w:pos="1576"/>
        </w:tabs>
        <w:rPr>
          <w:sz w:val="21"/>
        </w:rPr>
      </w:pPr>
      <w:r>
        <w:rPr>
          <w:spacing w:val="-3"/>
          <w:sz w:val="21"/>
        </w:rPr>
        <w:t>外科</w:t>
      </w:r>
      <w:r>
        <w:rPr>
          <w:sz w:val="21"/>
        </w:rPr>
        <w:t xml:space="preserve"> </w:t>
      </w:r>
    </w:p>
    <w:p w14:paraId="59BC0AFA" w14:textId="77777777" w:rsidR="00A71EEF" w:rsidRDefault="00A71EEF">
      <w:pPr>
        <w:pStyle w:val="a3"/>
        <w:spacing w:before="12"/>
        <w:rPr>
          <w:sz w:val="17"/>
        </w:rPr>
      </w:pPr>
    </w:p>
    <w:p w14:paraId="1DFDF06A" w14:textId="77777777" w:rsidR="00A71EEF" w:rsidRDefault="0081115D">
      <w:pPr>
        <w:pStyle w:val="a4"/>
        <w:numPr>
          <w:ilvl w:val="0"/>
          <w:numId w:val="957"/>
        </w:numPr>
        <w:tabs>
          <w:tab w:val="left" w:pos="1051"/>
        </w:tabs>
        <w:spacing w:line="446" w:lineRule="auto"/>
        <w:ind w:right="1609" w:firstLine="419"/>
        <w:rPr>
          <w:sz w:val="21"/>
        </w:rPr>
      </w:pPr>
      <w:r>
        <w:rPr>
          <w:spacing w:val="-3"/>
          <w:sz w:val="21"/>
        </w:rPr>
        <w:t>外伤所致的颅骨缺损、骨折、凹陷等，颅脑外伤后遗症，颅骨或面部畸形，颅脑手术史；</w:t>
      </w:r>
      <w:r>
        <w:rPr>
          <w:sz w:val="21"/>
        </w:rPr>
        <w:t xml:space="preserve"> </w:t>
      </w:r>
    </w:p>
    <w:p w14:paraId="31FCD2F3" w14:textId="77777777" w:rsidR="00A71EEF" w:rsidRDefault="00A71EEF">
      <w:pPr>
        <w:spacing w:line="446" w:lineRule="auto"/>
        <w:rPr>
          <w:sz w:val="21"/>
        </w:rPr>
        <w:sectPr w:rsidR="00A71EEF">
          <w:pgSz w:w="11910" w:h="16850"/>
          <w:pgMar w:top="1220" w:right="0" w:bottom="1420" w:left="1260" w:header="0" w:footer="1239" w:gutter="0"/>
          <w:cols w:space="720"/>
        </w:sectPr>
      </w:pPr>
    </w:p>
    <w:p w14:paraId="4B356FD8" w14:textId="77777777" w:rsidR="00A71EEF" w:rsidRDefault="0081115D">
      <w:pPr>
        <w:pStyle w:val="a4"/>
        <w:numPr>
          <w:ilvl w:val="0"/>
          <w:numId w:val="957"/>
        </w:numPr>
        <w:tabs>
          <w:tab w:val="left" w:pos="1051"/>
        </w:tabs>
        <w:spacing w:before="47" w:line="446" w:lineRule="auto"/>
        <w:ind w:right="1609" w:firstLine="419"/>
        <w:rPr>
          <w:sz w:val="21"/>
        </w:rPr>
      </w:pPr>
      <w:r>
        <w:rPr>
          <w:spacing w:val="-3"/>
          <w:sz w:val="21"/>
        </w:rPr>
        <w:lastRenderedPageBreak/>
        <w:t>颈强直，不能自行矫正的斜颈（可自行矫正的轻度脊柱侧弯、驼背除外</w:t>
      </w:r>
      <w:r>
        <w:rPr>
          <w:sz w:val="21"/>
        </w:rPr>
        <w:t>），</w:t>
      </w:r>
      <w:r>
        <w:rPr>
          <w:spacing w:val="-3"/>
          <w:sz w:val="21"/>
        </w:rPr>
        <w:t>三度单纯性甲状腺肿，结核性淋巴结炎；</w:t>
      </w:r>
      <w:r>
        <w:rPr>
          <w:sz w:val="21"/>
        </w:rPr>
        <w:t xml:space="preserve"> </w:t>
      </w:r>
    </w:p>
    <w:p w14:paraId="5C109AD1" w14:textId="77777777" w:rsidR="00A71EEF" w:rsidRDefault="0081115D">
      <w:pPr>
        <w:pStyle w:val="a4"/>
        <w:numPr>
          <w:ilvl w:val="0"/>
          <w:numId w:val="957"/>
        </w:numPr>
        <w:tabs>
          <w:tab w:val="left" w:pos="1051"/>
        </w:tabs>
        <w:spacing w:line="446" w:lineRule="auto"/>
        <w:ind w:right="1505" w:firstLine="419"/>
        <w:rPr>
          <w:sz w:val="21"/>
        </w:rPr>
      </w:pPr>
      <w:r>
        <w:rPr>
          <w:spacing w:val="-3"/>
          <w:sz w:val="21"/>
        </w:rPr>
        <w:t>骨、关节、滑囊、腱鞘疾病或损伤及其后遗症（单纯性骨折，治愈一年后，复位良好，</w:t>
      </w:r>
      <w:r>
        <w:rPr>
          <w:spacing w:val="-3"/>
          <w:sz w:val="21"/>
        </w:rPr>
        <w:t xml:space="preserve"> </w:t>
      </w:r>
      <w:r>
        <w:rPr>
          <w:spacing w:val="-3"/>
          <w:sz w:val="21"/>
        </w:rPr>
        <w:t>无功能障碍及后遗症除外</w:t>
      </w:r>
      <w:r>
        <w:rPr>
          <w:sz w:val="21"/>
        </w:rPr>
        <w:t>），</w:t>
      </w:r>
      <w:r>
        <w:rPr>
          <w:spacing w:val="-3"/>
          <w:sz w:val="21"/>
        </w:rPr>
        <w:t>骨、关节畸形（大骨节病仅指【趾】关节粗大，无自觉症状，无功能障碍除外</w:t>
      </w:r>
      <w:r>
        <w:rPr>
          <w:sz w:val="21"/>
        </w:rPr>
        <w:t>）</w:t>
      </w:r>
      <w:r>
        <w:rPr>
          <w:spacing w:val="-3"/>
          <w:sz w:val="21"/>
        </w:rPr>
        <w:t>，习惯性脱臼，脊柱慢性疾病，慢性腰腿痛；</w:t>
      </w:r>
      <w:r>
        <w:rPr>
          <w:sz w:val="21"/>
        </w:rPr>
        <w:t xml:space="preserve"> </w:t>
      </w:r>
    </w:p>
    <w:p w14:paraId="04102C9B" w14:textId="77777777" w:rsidR="00A71EEF" w:rsidRDefault="0081115D">
      <w:pPr>
        <w:pStyle w:val="a4"/>
        <w:numPr>
          <w:ilvl w:val="0"/>
          <w:numId w:val="957"/>
        </w:numPr>
        <w:tabs>
          <w:tab w:val="left" w:pos="1051"/>
        </w:tabs>
        <w:spacing w:line="446" w:lineRule="auto"/>
        <w:ind w:right="1510" w:firstLine="419"/>
        <w:rPr>
          <w:sz w:val="21"/>
        </w:rPr>
      </w:pPr>
      <w:r>
        <w:rPr>
          <w:spacing w:val="-7"/>
          <w:sz w:val="21"/>
        </w:rPr>
        <w:t>两下肢不等长超过</w:t>
      </w:r>
      <w:r>
        <w:rPr>
          <w:spacing w:val="-7"/>
          <w:sz w:val="21"/>
        </w:rPr>
        <w:t xml:space="preserve"> </w:t>
      </w:r>
      <w:r>
        <w:rPr>
          <w:sz w:val="21"/>
        </w:rPr>
        <w:t>2cm</w:t>
      </w:r>
      <w:r>
        <w:rPr>
          <w:sz w:val="21"/>
        </w:rPr>
        <w:t>，</w:t>
      </w:r>
      <w:r>
        <w:rPr>
          <w:spacing w:val="-5"/>
          <w:sz w:val="21"/>
        </w:rPr>
        <w:t>膝内翻股骨内髁间距离和膝外翻胫骨内踝间距离超过</w:t>
      </w:r>
      <w:r>
        <w:rPr>
          <w:spacing w:val="-5"/>
          <w:sz w:val="21"/>
        </w:rPr>
        <w:t xml:space="preserve"> </w:t>
      </w:r>
      <w:r>
        <w:rPr>
          <w:sz w:val="21"/>
        </w:rPr>
        <w:t>7cm</w:t>
      </w:r>
      <w:r>
        <w:rPr>
          <w:spacing w:val="-2"/>
          <w:sz w:val="21"/>
        </w:rPr>
        <w:t>，或虽</w:t>
      </w:r>
      <w:r>
        <w:rPr>
          <w:spacing w:val="-3"/>
          <w:sz w:val="21"/>
        </w:rPr>
        <w:t>在上述规定范围内但步态异常；</w:t>
      </w:r>
      <w:r>
        <w:rPr>
          <w:sz w:val="21"/>
        </w:rPr>
        <w:t xml:space="preserve"> </w:t>
      </w:r>
    </w:p>
    <w:p w14:paraId="7B8BE044" w14:textId="77777777" w:rsidR="00A71EEF" w:rsidRDefault="0081115D">
      <w:pPr>
        <w:pStyle w:val="a4"/>
        <w:numPr>
          <w:ilvl w:val="0"/>
          <w:numId w:val="957"/>
        </w:numPr>
        <w:tabs>
          <w:tab w:val="left" w:pos="1051"/>
        </w:tabs>
        <w:spacing w:line="446" w:lineRule="auto"/>
        <w:ind w:right="1609" w:firstLine="419"/>
        <w:rPr>
          <w:sz w:val="21"/>
        </w:rPr>
      </w:pPr>
      <w:r>
        <w:rPr>
          <w:spacing w:val="-3"/>
          <w:sz w:val="21"/>
        </w:rPr>
        <w:t>影响功能的指（</w:t>
      </w:r>
      <w:r>
        <w:rPr>
          <w:sz w:val="21"/>
        </w:rPr>
        <w:t>趾</w:t>
      </w:r>
      <w:r>
        <w:rPr>
          <w:spacing w:val="-3"/>
          <w:sz w:val="21"/>
        </w:rPr>
        <w:t>）残缺、畸形、足底弓完全消失的扁平足、影响长途行走的胼胝、重度皲裂症；</w:t>
      </w:r>
      <w:r>
        <w:rPr>
          <w:sz w:val="21"/>
        </w:rPr>
        <w:t xml:space="preserve"> </w:t>
      </w:r>
    </w:p>
    <w:p w14:paraId="4027861E" w14:textId="77777777" w:rsidR="00A71EEF" w:rsidRDefault="0081115D">
      <w:pPr>
        <w:pStyle w:val="a4"/>
        <w:numPr>
          <w:ilvl w:val="0"/>
          <w:numId w:val="957"/>
        </w:numPr>
        <w:tabs>
          <w:tab w:val="left" w:pos="1051"/>
        </w:tabs>
        <w:ind w:left="1050"/>
        <w:rPr>
          <w:sz w:val="21"/>
        </w:rPr>
      </w:pPr>
      <w:r>
        <w:rPr>
          <w:spacing w:val="-3"/>
          <w:sz w:val="21"/>
        </w:rPr>
        <w:t>恶性肿瘤，影响面容或功能的各部位良性肿瘤、囊肿、瘢痕、瘢痕体质；</w:t>
      </w:r>
      <w:r>
        <w:rPr>
          <w:spacing w:val="-3"/>
          <w:sz w:val="21"/>
        </w:rPr>
        <w:t xml:space="preserve"> </w:t>
      </w:r>
    </w:p>
    <w:p w14:paraId="4750F8A7" w14:textId="77777777" w:rsidR="00A71EEF" w:rsidRDefault="00A71EEF">
      <w:pPr>
        <w:pStyle w:val="a3"/>
        <w:spacing w:before="9"/>
        <w:rPr>
          <w:sz w:val="17"/>
        </w:rPr>
      </w:pPr>
    </w:p>
    <w:p w14:paraId="085FEAA6" w14:textId="77777777" w:rsidR="00A71EEF" w:rsidRDefault="0081115D">
      <w:pPr>
        <w:pStyle w:val="a4"/>
        <w:numPr>
          <w:ilvl w:val="0"/>
          <w:numId w:val="957"/>
        </w:numPr>
        <w:tabs>
          <w:tab w:val="left" w:pos="1051"/>
        </w:tabs>
        <w:spacing w:before="1"/>
        <w:ind w:left="1050"/>
        <w:rPr>
          <w:sz w:val="21"/>
        </w:rPr>
      </w:pPr>
      <w:r>
        <w:rPr>
          <w:spacing w:val="-3"/>
          <w:sz w:val="21"/>
        </w:rPr>
        <w:t>脉管炎，动脉瘤，重度下肢静脉曲张、精索静脉曲张；</w:t>
      </w:r>
      <w:r>
        <w:rPr>
          <w:sz w:val="21"/>
        </w:rPr>
        <w:t xml:space="preserve"> </w:t>
      </w:r>
    </w:p>
    <w:p w14:paraId="62B99CD2" w14:textId="77777777" w:rsidR="00A71EEF" w:rsidRDefault="00A71EEF">
      <w:pPr>
        <w:pStyle w:val="a3"/>
        <w:spacing w:before="12"/>
        <w:rPr>
          <w:sz w:val="17"/>
        </w:rPr>
      </w:pPr>
    </w:p>
    <w:p w14:paraId="05C21F2D" w14:textId="77777777" w:rsidR="00A71EEF" w:rsidRDefault="0081115D">
      <w:pPr>
        <w:pStyle w:val="a4"/>
        <w:numPr>
          <w:ilvl w:val="0"/>
          <w:numId w:val="957"/>
        </w:numPr>
        <w:tabs>
          <w:tab w:val="left" w:pos="1051"/>
        </w:tabs>
        <w:spacing w:line="446" w:lineRule="auto"/>
        <w:ind w:right="1609" w:firstLine="419"/>
        <w:rPr>
          <w:sz w:val="21"/>
        </w:rPr>
      </w:pPr>
      <w:r>
        <w:rPr>
          <w:spacing w:val="-3"/>
          <w:sz w:val="21"/>
        </w:rPr>
        <w:t>有胸、腹腔手术史（阑尾炎手术后半年以上，腹股沟疝、股疝手术后一年以上无后遗症</w:t>
      </w:r>
      <w:r>
        <w:rPr>
          <w:spacing w:val="-2"/>
          <w:sz w:val="21"/>
        </w:rPr>
        <w:t>者除外</w:t>
      </w:r>
      <w:r>
        <w:rPr>
          <w:sz w:val="21"/>
        </w:rPr>
        <w:t>）</w:t>
      </w:r>
      <w:r>
        <w:rPr>
          <w:spacing w:val="-3"/>
          <w:sz w:val="21"/>
        </w:rPr>
        <w:t>，疝，脱肛，肛痿，陈旧性肛裂，环状痔，混合痔</w:t>
      </w:r>
      <w:r>
        <w:rPr>
          <w:sz w:val="21"/>
        </w:rPr>
        <w:t>（</w:t>
      </w:r>
      <w:r>
        <w:rPr>
          <w:spacing w:val="-13"/>
          <w:sz w:val="21"/>
        </w:rPr>
        <w:t>直径大于</w:t>
      </w:r>
      <w:r>
        <w:rPr>
          <w:spacing w:val="-13"/>
          <w:sz w:val="21"/>
        </w:rPr>
        <w:t xml:space="preserve"> </w:t>
      </w:r>
      <w:r>
        <w:rPr>
          <w:sz w:val="21"/>
        </w:rPr>
        <w:t>0.5cm</w:t>
      </w:r>
      <w:r>
        <w:rPr>
          <w:spacing w:val="-12"/>
          <w:sz w:val="21"/>
        </w:rPr>
        <w:t xml:space="preserve"> </w:t>
      </w:r>
      <w:r>
        <w:rPr>
          <w:spacing w:val="-12"/>
          <w:sz w:val="21"/>
        </w:rPr>
        <w:t>或超过二</w:t>
      </w:r>
    </w:p>
    <w:p w14:paraId="0332B0A2" w14:textId="77777777" w:rsidR="00A71EEF" w:rsidRDefault="0081115D">
      <w:pPr>
        <w:pStyle w:val="a3"/>
        <w:ind w:left="418"/>
      </w:pPr>
      <w:r>
        <w:t>个），经常发炎、出血的内外痔；</w:t>
      </w:r>
      <w:r>
        <w:t xml:space="preserve"> </w:t>
      </w:r>
    </w:p>
    <w:p w14:paraId="4AAEDB91" w14:textId="77777777" w:rsidR="00A71EEF" w:rsidRDefault="00A71EEF">
      <w:pPr>
        <w:pStyle w:val="a3"/>
        <w:spacing w:before="12"/>
        <w:rPr>
          <w:sz w:val="17"/>
        </w:rPr>
      </w:pPr>
    </w:p>
    <w:p w14:paraId="312A23AB" w14:textId="77777777" w:rsidR="00A71EEF" w:rsidRDefault="0081115D">
      <w:pPr>
        <w:pStyle w:val="a4"/>
        <w:numPr>
          <w:ilvl w:val="0"/>
          <w:numId w:val="957"/>
        </w:numPr>
        <w:tabs>
          <w:tab w:val="left" w:pos="1051"/>
        </w:tabs>
        <w:spacing w:line="446" w:lineRule="auto"/>
        <w:ind w:right="1608" w:firstLine="419"/>
        <w:jc w:val="both"/>
        <w:rPr>
          <w:sz w:val="21"/>
        </w:rPr>
      </w:pPr>
      <w:r>
        <w:rPr>
          <w:spacing w:val="-3"/>
          <w:sz w:val="21"/>
        </w:rPr>
        <w:t>泌尿生殖</w:t>
      </w:r>
      <w:r>
        <w:rPr>
          <w:spacing w:val="-3"/>
          <w:sz w:val="21"/>
        </w:rPr>
        <w:t>系统炎症、结核、结石等疾病或损伤及其后遗症，影响功能的生殖器官畸形或发育不全，隐睾（无自觉症状的轻度非交通性精索鞘膜积液【不大于健侧睾丸】，睾丸鞘膜积液【包括睾丸在内部不大于健侧睾丸一倍】；交通性鞘膜积液，手术治愈后一年以上无复</w:t>
      </w:r>
    </w:p>
    <w:p w14:paraId="38A7275F" w14:textId="77777777" w:rsidR="00A71EEF" w:rsidRDefault="0081115D">
      <w:pPr>
        <w:pStyle w:val="a3"/>
        <w:spacing w:line="446" w:lineRule="auto"/>
        <w:ind w:left="418" w:right="1450"/>
        <w:jc w:val="both"/>
      </w:pPr>
      <w:r>
        <w:rPr>
          <w:spacing w:val="-4"/>
        </w:rPr>
        <w:t>发、无后遗症；无压痛、无自觉症状的精索、副睾小结节【不超过二个，直径小于</w:t>
      </w:r>
      <w:r>
        <w:rPr>
          <w:spacing w:val="-4"/>
        </w:rPr>
        <w:t xml:space="preserve"> </w:t>
      </w:r>
      <w:r>
        <w:t>0.5cm</w:t>
      </w:r>
      <w:r>
        <w:rPr>
          <w:spacing w:val="-2"/>
        </w:rPr>
        <w:t>】等三</w:t>
      </w:r>
      <w:r>
        <w:rPr>
          <w:spacing w:val="-3"/>
        </w:rPr>
        <w:t>种情况除外</w:t>
      </w:r>
      <w:r>
        <w:t>）；</w:t>
      </w:r>
      <w:r>
        <w:t xml:space="preserve"> </w:t>
      </w:r>
    </w:p>
    <w:p w14:paraId="7F9E2F97" w14:textId="77777777" w:rsidR="00A71EEF" w:rsidRDefault="0081115D">
      <w:pPr>
        <w:pStyle w:val="a4"/>
        <w:numPr>
          <w:ilvl w:val="0"/>
          <w:numId w:val="957"/>
        </w:numPr>
        <w:tabs>
          <w:tab w:val="left" w:pos="1051"/>
        </w:tabs>
        <w:spacing w:line="446" w:lineRule="auto"/>
        <w:ind w:right="1608" w:firstLine="419"/>
        <w:jc w:val="both"/>
        <w:rPr>
          <w:sz w:val="21"/>
        </w:rPr>
      </w:pPr>
      <w:r>
        <w:rPr>
          <w:spacing w:val="-3"/>
          <w:sz w:val="21"/>
        </w:rPr>
        <w:t>腋臭、头癣，泛发性体癣，济疮，慢性湿疹，慢性寻麻疹，神经性皮炎，白癜风，银屑病，与传染性麻风病人有密切接触史（共同生活</w:t>
      </w:r>
      <w:r>
        <w:rPr>
          <w:sz w:val="21"/>
        </w:rPr>
        <w:t>）</w:t>
      </w:r>
      <w:r>
        <w:rPr>
          <w:spacing w:val="-3"/>
          <w:sz w:val="21"/>
        </w:rPr>
        <w:t>及其他有传染性或难以治愈的皮肤病，影响面容的血管痣和色</w:t>
      </w:r>
      <w:r>
        <w:rPr>
          <w:spacing w:val="-3"/>
          <w:sz w:val="21"/>
        </w:rPr>
        <w:t>素痣；</w:t>
      </w:r>
      <w:r>
        <w:rPr>
          <w:spacing w:val="-3"/>
          <w:sz w:val="21"/>
        </w:rPr>
        <w:t xml:space="preserve"> </w:t>
      </w:r>
    </w:p>
    <w:p w14:paraId="7294AA04" w14:textId="77777777" w:rsidR="00A71EEF" w:rsidRDefault="0081115D">
      <w:pPr>
        <w:pStyle w:val="a4"/>
        <w:numPr>
          <w:ilvl w:val="0"/>
          <w:numId w:val="957"/>
        </w:numPr>
        <w:tabs>
          <w:tab w:val="left" w:pos="1051"/>
        </w:tabs>
        <w:spacing w:line="446" w:lineRule="auto"/>
        <w:ind w:right="1609" w:firstLine="419"/>
        <w:jc w:val="both"/>
        <w:rPr>
          <w:sz w:val="21"/>
        </w:rPr>
      </w:pPr>
      <w:r>
        <w:rPr>
          <w:spacing w:val="-3"/>
          <w:sz w:val="21"/>
        </w:rPr>
        <w:t>淋病，梅毒，软下疳和性病淋巴肉芽肿，非淋球菌性尿道炎，尖锐湿疣，艾滋病及病毒携带者。</w:t>
      </w:r>
      <w:r>
        <w:rPr>
          <w:sz w:val="21"/>
        </w:rPr>
        <w:t xml:space="preserve"> </w:t>
      </w:r>
    </w:p>
    <w:p w14:paraId="4C4B4686" w14:textId="77777777" w:rsidR="00A71EEF" w:rsidRDefault="0081115D">
      <w:pPr>
        <w:pStyle w:val="a4"/>
        <w:numPr>
          <w:ilvl w:val="3"/>
          <w:numId w:val="958"/>
        </w:numPr>
        <w:tabs>
          <w:tab w:val="left" w:pos="1576"/>
        </w:tabs>
        <w:rPr>
          <w:sz w:val="21"/>
        </w:rPr>
      </w:pPr>
      <w:r>
        <w:rPr>
          <w:spacing w:val="-3"/>
          <w:sz w:val="21"/>
        </w:rPr>
        <w:t>内科</w:t>
      </w:r>
      <w:r>
        <w:rPr>
          <w:sz w:val="21"/>
        </w:rPr>
        <w:t xml:space="preserve"> </w:t>
      </w:r>
    </w:p>
    <w:p w14:paraId="7EDD723F" w14:textId="77777777" w:rsidR="00A71EEF" w:rsidRDefault="00A71EEF">
      <w:pPr>
        <w:pStyle w:val="a3"/>
        <w:spacing w:before="11"/>
        <w:rPr>
          <w:sz w:val="17"/>
        </w:rPr>
      </w:pPr>
    </w:p>
    <w:p w14:paraId="1074C67D" w14:textId="77777777" w:rsidR="00A71EEF" w:rsidRDefault="0081115D">
      <w:pPr>
        <w:pStyle w:val="a4"/>
        <w:numPr>
          <w:ilvl w:val="0"/>
          <w:numId w:val="956"/>
        </w:numPr>
        <w:tabs>
          <w:tab w:val="left" w:pos="1051"/>
        </w:tabs>
        <w:rPr>
          <w:sz w:val="21"/>
        </w:rPr>
      </w:pPr>
      <w:r>
        <w:rPr>
          <w:spacing w:val="-3"/>
          <w:sz w:val="21"/>
        </w:rPr>
        <w:t>器质性心脏、血管疾病；</w:t>
      </w:r>
      <w:r>
        <w:rPr>
          <w:sz w:val="21"/>
        </w:rPr>
        <w:t xml:space="preserve"> </w:t>
      </w:r>
    </w:p>
    <w:p w14:paraId="6AEF5697" w14:textId="77777777" w:rsidR="00A71EEF" w:rsidRDefault="00A71EEF">
      <w:pPr>
        <w:rPr>
          <w:sz w:val="21"/>
        </w:rPr>
        <w:sectPr w:rsidR="00A71EEF">
          <w:pgSz w:w="11910" w:h="16850"/>
          <w:pgMar w:top="1220" w:right="0" w:bottom="1420" w:left="1260" w:header="0" w:footer="1239" w:gutter="0"/>
          <w:cols w:space="720"/>
        </w:sectPr>
      </w:pPr>
    </w:p>
    <w:p w14:paraId="7AD9CCFF" w14:textId="77777777" w:rsidR="00A71EEF" w:rsidRDefault="0081115D">
      <w:pPr>
        <w:pStyle w:val="a4"/>
        <w:numPr>
          <w:ilvl w:val="0"/>
          <w:numId w:val="956"/>
        </w:numPr>
        <w:tabs>
          <w:tab w:val="left" w:pos="1051"/>
        </w:tabs>
        <w:spacing w:before="47" w:line="446" w:lineRule="auto"/>
        <w:ind w:left="418" w:right="1609" w:firstLine="419"/>
        <w:jc w:val="both"/>
        <w:rPr>
          <w:sz w:val="21"/>
        </w:rPr>
      </w:pPr>
      <w:r>
        <w:rPr>
          <w:spacing w:val="-3"/>
          <w:sz w:val="21"/>
        </w:rPr>
        <w:lastRenderedPageBreak/>
        <w:t>慢性阻塞性肺疾病，支气管哮喘，咳嗽变异型哮喘、肺结核（孤立散在的钙化点，数量</w:t>
      </w:r>
      <w:r>
        <w:rPr>
          <w:spacing w:val="-24"/>
          <w:sz w:val="21"/>
        </w:rPr>
        <w:t>在</w:t>
      </w:r>
      <w:r>
        <w:rPr>
          <w:spacing w:val="-24"/>
          <w:sz w:val="21"/>
        </w:rPr>
        <w:t xml:space="preserve"> </w:t>
      </w:r>
      <w:r>
        <w:rPr>
          <w:sz w:val="21"/>
        </w:rPr>
        <w:t>3</w:t>
      </w:r>
      <w:r>
        <w:rPr>
          <w:spacing w:val="-12"/>
          <w:sz w:val="21"/>
        </w:rPr>
        <w:t xml:space="preserve"> </w:t>
      </w:r>
      <w:r>
        <w:rPr>
          <w:spacing w:val="-12"/>
          <w:sz w:val="21"/>
        </w:rPr>
        <w:t>个以下，直径不超过</w:t>
      </w:r>
      <w:r>
        <w:rPr>
          <w:spacing w:val="-12"/>
          <w:sz w:val="21"/>
        </w:rPr>
        <w:t xml:space="preserve"> </w:t>
      </w:r>
      <w:r>
        <w:rPr>
          <w:sz w:val="21"/>
        </w:rPr>
        <w:t>0.5cm</w:t>
      </w:r>
      <w:r>
        <w:rPr>
          <w:spacing w:val="-3"/>
          <w:sz w:val="21"/>
        </w:rPr>
        <w:t>，密度高，边缘清晰，周围无浸润现象除外</w:t>
      </w:r>
      <w:r>
        <w:rPr>
          <w:sz w:val="21"/>
        </w:rPr>
        <w:t>）</w:t>
      </w:r>
      <w:r>
        <w:rPr>
          <w:spacing w:val="-2"/>
          <w:sz w:val="21"/>
        </w:rPr>
        <w:t>，结核性胸膜炎</w:t>
      </w:r>
      <w:r>
        <w:rPr>
          <w:spacing w:val="-3"/>
          <w:sz w:val="21"/>
        </w:rPr>
        <w:t>，其他呼吸系统慢性疾病；</w:t>
      </w:r>
      <w:r>
        <w:rPr>
          <w:sz w:val="21"/>
        </w:rPr>
        <w:t xml:space="preserve"> </w:t>
      </w:r>
    </w:p>
    <w:p w14:paraId="109A5371" w14:textId="77777777" w:rsidR="00A71EEF" w:rsidRDefault="0081115D">
      <w:pPr>
        <w:pStyle w:val="a4"/>
        <w:numPr>
          <w:ilvl w:val="0"/>
          <w:numId w:val="956"/>
        </w:numPr>
        <w:tabs>
          <w:tab w:val="left" w:pos="1051"/>
        </w:tabs>
        <w:spacing w:line="446" w:lineRule="auto"/>
        <w:ind w:left="418" w:right="1450" w:firstLine="419"/>
        <w:rPr>
          <w:sz w:val="21"/>
        </w:rPr>
      </w:pPr>
      <w:r>
        <w:rPr>
          <w:spacing w:val="-3"/>
          <w:sz w:val="21"/>
        </w:rPr>
        <w:t>胃、十二指肠、肝脏、胆囊、脾脏、胰腺疾病，细菌性痢疾，慢性肠炎，内脏下垂，腹</w:t>
      </w:r>
      <w:r>
        <w:rPr>
          <w:spacing w:val="-3"/>
          <w:sz w:val="21"/>
        </w:rPr>
        <w:t xml:space="preserve"> </w:t>
      </w:r>
      <w:r>
        <w:rPr>
          <w:spacing w:val="-3"/>
          <w:sz w:val="21"/>
        </w:rPr>
        <w:t>部包块</w:t>
      </w:r>
      <w:r>
        <w:rPr>
          <w:spacing w:val="-3"/>
          <w:sz w:val="21"/>
        </w:rPr>
        <w:t>(</w:t>
      </w:r>
      <w:r>
        <w:rPr>
          <w:spacing w:val="-3"/>
          <w:sz w:val="21"/>
        </w:rPr>
        <w:t>以下三种情况除外：</w:t>
      </w:r>
      <w:r>
        <w:rPr>
          <w:spacing w:val="-3"/>
          <w:sz w:val="21"/>
        </w:rPr>
        <w:t>①</w:t>
      </w:r>
      <w:r>
        <w:rPr>
          <w:spacing w:val="-3"/>
          <w:sz w:val="21"/>
        </w:rPr>
        <w:t>仰卧位，平静呼吸，肝上界在正常范围，右锁骨中线肋缘下肝脏</w:t>
      </w:r>
      <w:r>
        <w:rPr>
          <w:spacing w:val="-14"/>
          <w:sz w:val="21"/>
        </w:rPr>
        <w:t>不超过</w:t>
      </w:r>
      <w:r>
        <w:rPr>
          <w:spacing w:val="-14"/>
          <w:sz w:val="21"/>
        </w:rPr>
        <w:t xml:space="preserve"> </w:t>
      </w:r>
      <w:r>
        <w:rPr>
          <w:sz w:val="21"/>
        </w:rPr>
        <w:t>1.5</w:t>
      </w:r>
      <w:r>
        <w:rPr>
          <w:spacing w:val="13"/>
          <w:sz w:val="21"/>
        </w:rPr>
        <w:t xml:space="preserve"> </w:t>
      </w:r>
      <w:r>
        <w:rPr>
          <w:spacing w:val="-3"/>
          <w:sz w:val="21"/>
        </w:rPr>
        <w:t>cm</w:t>
      </w:r>
      <w:r>
        <w:rPr>
          <w:spacing w:val="-9"/>
          <w:sz w:val="21"/>
        </w:rPr>
        <w:t>，剑突下不超过</w:t>
      </w:r>
      <w:r>
        <w:rPr>
          <w:spacing w:val="-9"/>
          <w:sz w:val="21"/>
        </w:rPr>
        <w:t xml:space="preserve"> </w:t>
      </w:r>
      <w:r>
        <w:rPr>
          <w:sz w:val="21"/>
        </w:rPr>
        <w:t>3cm</w:t>
      </w:r>
      <w:r>
        <w:rPr>
          <w:spacing w:val="-3"/>
          <w:sz w:val="21"/>
        </w:rPr>
        <w:t>，质软，边薄，平滑，无触痛或叩击痛，无贫血，营养状况良好者；</w:t>
      </w:r>
      <w:r>
        <w:rPr>
          <w:spacing w:val="-3"/>
          <w:sz w:val="21"/>
        </w:rPr>
        <w:t>②</w:t>
      </w:r>
      <w:r>
        <w:rPr>
          <w:spacing w:val="-3"/>
          <w:sz w:val="21"/>
        </w:rPr>
        <w:t>五年前患过甲型病毒性肝炎，治愈后未再复发，无症状和体征者；</w:t>
      </w:r>
      <w:r>
        <w:rPr>
          <w:spacing w:val="-3"/>
          <w:sz w:val="21"/>
        </w:rPr>
        <w:t>③</w:t>
      </w:r>
      <w:r>
        <w:rPr>
          <w:spacing w:val="-3"/>
          <w:sz w:val="21"/>
        </w:rPr>
        <w:t>既往曾患过疟</w:t>
      </w:r>
      <w:r>
        <w:rPr>
          <w:spacing w:val="-3"/>
          <w:sz w:val="21"/>
        </w:rPr>
        <w:t xml:space="preserve"> </w:t>
      </w:r>
      <w:r>
        <w:rPr>
          <w:spacing w:val="-4"/>
          <w:sz w:val="21"/>
        </w:rPr>
        <w:t>疾、血吸虫病或黑热病引起的脾脏肿大，在左肋缘下不超过</w:t>
      </w:r>
      <w:r>
        <w:rPr>
          <w:spacing w:val="-4"/>
          <w:sz w:val="21"/>
        </w:rPr>
        <w:t xml:space="preserve"> </w:t>
      </w:r>
      <w:r>
        <w:rPr>
          <w:sz w:val="21"/>
        </w:rPr>
        <w:t>1cm</w:t>
      </w:r>
      <w:r>
        <w:rPr>
          <w:spacing w:val="-3"/>
          <w:sz w:val="21"/>
        </w:rPr>
        <w:t>，无自觉症状，无贫血，营养状况良好者</w:t>
      </w:r>
      <w:r>
        <w:rPr>
          <w:sz w:val="21"/>
        </w:rPr>
        <w:t>）；</w:t>
      </w:r>
      <w:r>
        <w:rPr>
          <w:sz w:val="21"/>
        </w:rPr>
        <w:t xml:space="preserve"> </w:t>
      </w:r>
    </w:p>
    <w:p w14:paraId="0B7FD2D2" w14:textId="77777777" w:rsidR="00A71EEF" w:rsidRDefault="0081115D">
      <w:pPr>
        <w:pStyle w:val="a4"/>
        <w:numPr>
          <w:ilvl w:val="0"/>
          <w:numId w:val="956"/>
        </w:numPr>
        <w:tabs>
          <w:tab w:val="left" w:pos="1051"/>
        </w:tabs>
        <w:spacing w:line="267" w:lineRule="exact"/>
        <w:rPr>
          <w:sz w:val="21"/>
        </w:rPr>
      </w:pPr>
      <w:r>
        <w:rPr>
          <w:spacing w:val="-3"/>
          <w:sz w:val="21"/>
        </w:rPr>
        <w:t>肝功能异常；</w:t>
      </w:r>
      <w:r>
        <w:rPr>
          <w:sz w:val="21"/>
        </w:rPr>
        <w:t xml:space="preserve"> </w:t>
      </w:r>
    </w:p>
    <w:p w14:paraId="41C781AE" w14:textId="77777777" w:rsidR="00A71EEF" w:rsidRDefault="00A71EEF">
      <w:pPr>
        <w:pStyle w:val="a3"/>
        <w:spacing w:before="11"/>
        <w:rPr>
          <w:sz w:val="17"/>
        </w:rPr>
      </w:pPr>
    </w:p>
    <w:p w14:paraId="1DC6BD51" w14:textId="77777777" w:rsidR="00A71EEF" w:rsidRDefault="0081115D">
      <w:pPr>
        <w:pStyle w:val="a4"/>
        <w:numPr>
          <w:ilvl w:val="0"/>
          <w:numId w:val="956"/>
        </w:numPr>
        <w:tabs>
          <w:tab w:val="left" w:pos="1051"/>
        </w:tabs>
        <w:spacing w:before="1"/>
        <w:rPr>
          <w:sz w:val="21"/>
        </w:rPr>
      </w:pPr>
      <w:r>
        <w:rPr>
          <w:spacing w:val="-3"/>
          <w:sz w:val="21"/>
        </w:rPr>
        <w:t>乙型肝炎表面抗原阳性；</w:t>
      </w:r>
      <w:r>
        <w:rPr>
          <w:spacing w:val="-3"/>
          <w:sz w:val="21"/>
        </w:rPr>
        <w:t xml:space="preserve"> </w:t>
      </w:r>
    </w:p>
    <w:p w14:paraId="6C597C61" w14:textId="77777777" w:rsidR="00A71EEF" w:rsidRDefault="00A71EEF">
      <w:pPr>
        <w:pStyle w:val="a3"/>
        <w:spacing w:before="12"/>
        <w:rPr>
          <w:sz w:val="17"/>
        </w:rPr>
      </w:pPr>
    </w:p>
    <w:p w14:paraId="400578AB" w14:textId="77777777" w:rsidR="00A71EEF" w:rsidRDefault="0081115D">
      <w:pPr>
        <w:pStyle w:val="a4"/>
        <w:numPr>
          <w:ilvl w:val="0"/>
          <w:numId w:val="956"/>
        </w:numPr>
        <w:tabs>
          <w:tab w:val="left" w:pos="1051"/>
        </w:tabs>
        <w:spacing w:line="446" w:lineRule="auto"/>
        <w:ind w:left="418" w:right="1609" w:firstLine="419"/>
        <w:rPr>
          <w:sz w:val="21"/>
        </w:rPr>
      </w:pPr>
      <w:r>
        <w:rPr>
          <w:spacing w:val="-3"/>
          <w:sz w:val="21"/>
        </w:rPr>
        <w:t>钩虫病</w:t>
      </w:r>
      <w:r>
        <w:rPr>
          <w:sz w:val="21"/>
        </w:rPr>
        <w:t>（</w:t>
      </w:r>
      <w:r>
        <w:rPr>
          <w:spacing w:val="-3"/>
          <w:sz w:val="21"/>
        </w:rPr>
        <w:t>伴有贫血</w:t>
      </w:r>
      <w:r>
        <w:rPr>
          <w:sz w:val="21"/>
        </w:rPr>
        <w:t>）</w:t>
      </w:r>
      <w:r>
        <w:rPr>
          <w:spacing w:val="-3"/>
          <w:sz w:val="21"/>
        </w:rPr>
        <w:t>，慢性疟疾，血吸虫病，黑热病，阿米巴痢疾，丝虫病（</w:t>
      </w:r>
      <w:r>
        <w:rPr>
          <w:spacing w:val="-2"/>
          <w:sz w:val="21"/>
        </w:rPr>
        <w:t>丝虫病治</w:t>
      </w:r>
      <w:r>
        <w:rPr>
          <w:spacing w:val="-3"/>
          <w:sz w:val="21"/>
        </w:rPr>
        <w:t>愈半年以上，疟疾、黑热病、血吸虫病、阿米巴痢疾、钩端螺旋体病治愈两年以上无后遗</w:t>
      </w:r>
      <w:r>
        <w:rPr>
          <w:spacing w:val="-3"/>
          <w:sz w:val="21"/>
        </w:rPr>
        <w:t xml:space="preserve"> </w:t>
      </w:r>
      <w:r>
        <w:rPr>
          <w:spacing w:val="-3"/>
          <w:sz w:val="21"/>
        </w:rPr>
        <w:t>症，全身情况良好，能担负重体力劳动除外</w:t>
      </w:r>
      <w:r>
        <w:rPr>
          <w:spacing w:val="-3"/>
          <w:sz w:val="21"/>
        </w:rPr>
        <w:t>)</w:t>
      </w:r>
      <w:r>
        <w:rPr>
          <w:spacing w:val="-3"/>
          <w:sz w:val="21"/>
        </w:rPr>
        <w:t>；</w:t>
      </w:r>
      <w:r>
        <w:rPr>
          <w:sz w:val="21"/>
        </w:rPr>
        <w:t xml:space="preserve"> </w:t>
      </w:r>
    </w:p>
    <w:p w14:paraId="2CF31376" w14:textId="77777777" w:rsidR="00A71EEF" w:rsidRDefault="0081115D">
      <w:pPr>
        <w:pStyle w:val="a4"/>
        <w:numPr>
          <w:ilvl w:val="0"/>
          <w:numId w:val="956"/>
        </w:numPr>
        <w:tabs>
          <w:tab w:val="left" w:pos="1051"/>
        </w:tabs>
        <w:spacing w:line="446" w:lineRule="auto"/>
        <w:ind w:left="418" w:right="1503" w:firstLine="419"/>
        <w:rPr>
          <w:sz w:val="21"/>
        </w:rPr>
      </w:pPr>
      <w:r>
        <w:rPr>
          <w:spacing w:val="-3"/>
          <w:sz w:val="21"/>
        </w:rPr>
        <w:t>有癫痫病、精神病（食物或药物中毒所引起的短时精神障碍，治愈后无后遗症除外</w:t>
      </w:r>
      <w:r>
        <w:rPr>
          <w:spacing w:val="-3"/>
          <w:sz w:val="21"/>
        </w:rPr>
        <w:t>)</w:t>
      </w:r>
      <w:r>
        <w:rPr>
          <w:spacing w:val="-3"/>
          <w:sz w:val="21"/>
        </w:rPr>
        <w:t>、梦游、晕厥史及神经症、智力低下、遗尿症（十三周岁后未发生过遗尿除外</w:t>
      </w:r>
      <w:r>
        <w:rPr>
          <w:spacing w:val="-3"/>
          <w:sz w:val="21"/>
        </w:rPr>
        <w:t>)</w:t>
      </w:r>
      <w:r>
        <w:rPr>
          <w:spacing w:val="-3"/>
          <w:sz w:val="21"/>
        </w:rPr>
        <w:t>；</w:t>
      </w:r>
      <w:r>
        <w:rPr>
          <w:spacing w:val="-3"/>
          <w:sz w:val="21"/>
        </w:rPr>
        <w:t xml:space="preserve"> </w:t>
      </w:r>
    </w:p>
    <w:p w14:paraId="043E5975" w14:textId="77777777" w:rsidR="00A71EEF" w:rsidRDefault="0081115D">
      <w:pPr>
        <w:pStyle w:val="a4"/>
        <w:numPr>
          <w:ilvl w:val="0"/>
          <w:numId w:val="956"/>
        </w:numPr>
        <w:tabs>
          <w:tab w:val="left" w:pos="1051"/>
        </w:tabs>
        <w:spacing w:line="446" w:lineRule="auto"/>
        <w:ind w:left="838" w:right="4866" w:firstLine="0"/>
        <w:rPr>
          <w:sz w:val="21"/>
        </w:rPr>
      </w:pPr>
      <w:r>
        <w:rPr>
          <w:spacing w:val="-2"/>
          <w:sz w:val="21"/>
        </w:rPr>
        <w:t>中枢神经系统及周围神经系统疾病及其后遗症；</w:t>
      </w:r>
      <w:r>
        <w:rPr>
          <w:spacing w:val="-2"/>
          <w:sz w:val="21"/>
        </w:rPr>
        <w:t xml:space="preserve"> </w:t>
      </w:r>
      <w:r>
        <w:rPr>
          <w:sz w:val="21"/>
        </w:rPr>
        <w:t xml:space="preserve">i) </w:t>
      </w:r>
      <w:r>
        <w:rPr>
          <w:spacing w:val="-3"/>
          <w:sz w:val="21"/>
        </w:rPr>
        <w:t>口吃。</w:t>
      </w:r>
      <w:r>
        <w:rPr>
          <w:sz w:val="21"/>
        </w:rPr>
        <w:t xml:space="preserve"> </w:t>
      </w:r>
    </w:p>
    <w:p w14:paraId="66FA8AD5" w14:textId="77777777" w:rsidR="00A71EEF" w:rsidRDefault="0081115D">
      <w:pPr>
        <w:pStyle w:val="a4"/>
        <w:numPr>
          <w:ilvl w:val="3"/>
          <w:numId w:val="958"/>
        </w:numPr>
        <w:tabs>
          <w:tab w:val="left" w:pos="1576"/>
        </w:tabs>
        <w:rPr>
          <w:sz w:val="21"/>
        </w:rPr>
      </w:pPr>
      <w:r>
        <w:rPr>
          <w:spacing w:val="-3"/>
          <w:sz w:val="21"/>
        </w:rPr>
        <w:t>耳、鼻、咽喉科</w:t>
      </w:r>
      <w:r>
        <w:rPr>
          <w:sz w:val="21"/>
        </w:rPr>
        <w:t xml:space="preserve"> </w:t>
      </w:r>
    </w:p>
    <w:p w14:paraId="34AD0976" w14:textId="77777777" w:rsidR="00A71EEF" w:rsidRDefault="00A71EEF">
      <w:pPr>
        <w:pStyle w:val="a3"/>
        <w:spacing w:before="12"/>
        <w:rPr>
          <w:sz w:val="17"/>
        </w:rPr>
      </w:pPr>
    </w:p>
    <w:p w14:paraId="6D50C5E9" w14:textId="77777777" w:rsidR="00A71EEF" w:rsidRDefault="0081115D">
      <w:pPr>
        <w:pStyle w:val="a4"/>
        <w:numPr>
          <w:ilvl w:val="0"/>
          <w:numId w:val="955"/>
        </w:numPr>
        <w:tabs>
          <w:tab w:val="left" w:pos="1051"/>
        </w:tabs>
        <w:rPr>
          <w:sz w:val="21"/>
        </w:rPr>
      </w:pPr>
      <w:r>
        <w:rPr>
          <w:spacing w:val="-3"/>
          <w:sz w:val="21"/>
        </w:rPr>
        <w:t>眩晕症，重度晕车、晕船、恐高；</w:t>
      </w:r>
      <w:r>
        <w:rPr>
          <w:sz w:val="21"/>
        </w:rPr>
        <w:t xml:space="preserve"> </w:t>
      </w:r>
    </w:p>
    <w:p w14:paraId="4EC577E0" w14:textId="77777777" w:rsidR="00A71EEF" w:rsidRDefault="00A71EEF">
      <w:pPr>
        <w:pStyle w:val="a3"/>
        <w:spacing w:before="12"/>
        <w:rPr>
          <w:sz w:val="17"/>
        </w:rPr>
      </w:pPr>
    </w:p>
    <w:p w14:paraId="0894AC83" w14:textId="77777777" w:rsidR="00A71EEF" w:rsidRDefault="0081115D">
      <w:pPr>
        <w:pStyle w:val="a4"/>
        <w:numPr>
          <w:ilvl w:val="0"/>
          <w:numId w:val="955"/>
        </w:numPr>
        <w:tabs>
          <w:tab w:val="left" w:pos="1051"/>
        </w:tabs>
        <w:rPr>
          <w:sz w:val="21"/>
        </w:rPr>
      </w:pPr>
      <w:r>
        <w:rPr>
          <w:spacing w:val="-3"/>
          <w:sz w:val="21"/>
        </w:rPr>
        <w:t>耳廓畸形，外耳道闭锁，反复发炎的耳前瘘管，耳廓、外耳道湿疹，耳霉菌病；</w:t>
      </w:r>
      <w:r>
        <w:rPr>
          <w:sz w:val="21"/>
        </w:rPr>
        <w:t xml:space="preserve"> </w:t>
      </w:r>
    </w:p>
    <w:p w14:paraId="4AAAD2CA" w14:textId="77777777" w:rsidR="00A71EEF" w:rsidRDefault="00A71EEF">
      <w:pPr>
        <w:pStyle w:val="a3"/>
        <w:spacing w:before="2"/>
        <w:rPr>
          <w:sz w:val="18"/>
        </w:rPr>
      </w:pPr>
    </w:p>
    <w:p w14:paraId="166567E0" w14:textId="77777777" w:rsidR="00A71EEF" w:rsidRDefault="0081115D">
      <w:pPr>
        <w:pStyle w:val="a4"/>
        <w:numPr>
          <w:ilvl w:val="0"/>
          <w:numId w:val="955"/>
        </w:numPr>
        <w:tabs>
          <w:tab w:val="left" w:pos="1051"/>
        </w:tabs>
        <w:rPr>
          <w:sz w:val="21"/>
        </w:rPr>
      </w:pPr>
      <w:r>
        <w:rPr>
          <w:spacing w:val="-3"/>
          <w:sz w:val="21"/>
        </w:rPr>
        <w:t>鼓膜穿孔，化脓性中耳炎，乳突炎及其它难以治愈的耳病；</w:t>
      </w:r>
      <w:r>
        <w:rPr>
          <w:sz w:val="21"/>
        </w:rPr>
        <w:t xml:space="preserve"> </w:t>
      </w:r>
    </w:p>
    <w:p w14:paraId="4B4EC3B5" w14:textId="77777777" w:rsidR="00A71EEF" w:rsidRDefault="00A71EEF">
      <w:pPr>
        <w:pStyle w:val="a3"/>
        <w:spacing w:before="12"/>
        <w:rPr>
          <w:sz w:val="17"/>
        </w:rPr>
      </w:pPr>
    </w:p>
    <w:p w14:paraId="27B6CD99" w14:textId="77777777" w:rsidR="00A71EEF" w:rsidRDefault="0081115D">
      <w:pPr>
        <w:pStyle w:val="a4"/>
        <w:numPr>
          <w:ilvl w:val="0"/>
          <w:numId w:val="955"/>
        </w:numPr>
        <w:tabs>
          <w:tab w:val="left" w:pos="1051"/>
        </w:tabs>
        <w:spacing w:line="446" w:lineRule="auto"/>
        <w:ind w:left="418" w:right="1609" w:firstLine="419"/>
        <w:rPr>
          <w:sz w:val="21"/>
        </w:rPr>
      </w:pPr>
      <w:r>
        <w:rPr>
          <w:spacing w:val="-3"/>
          <w:sz w:val="21"/>
        </w:rPr>
        <w:t>鼻畸形，慢性副鼻窦炎，重度肥厚性鼻炎、萎缩性鼻炎，鼻息肉，中鼻甲息肉样变，变应性鼻炎，鼻腔、鼻窦囊肿，鼻腔、鼻窦肿瘤，重度鼻中隔偏曲症及其他影响鼻功能的慢性鼻病（不影响副鼻窦引流的中鼻甲肥大，中鼻道有少量粘液脓性分泌物，轻度萎缩性鼻炎除</w:t>
      </w:r>
      <w:r>
        <w:rPr>
          <w:spacing w:val="-3"/>
          <w:sz w:val="21"/>
        </w:rPr>
        <w:t xml:space="preserve"> </w:t>
      </w:r>
      <w:r>
        <w:rPr>
          <w:spacing w:val="-3"/>
          <w:sz w:val="21"/>
        </w:rPr>
        <w:t>外</w:t>
      </w:r>
      <w:r>
        <w:rPr>
          <w:spacing w:val="-3"/>
          <w:sz w:val="21"/>
        </w:rPr>
        <w:t>)</w:t>
      </w:r>
      <w:r>
        <w:rPr>
          <w:spacing w:val="-3"/>
          <w:sz w:val="21"/>
        </w:rPr>
        <w:t>；</w:t>
      </w:r>
      <w:r>
        <w:rPr>
          <w:spacing w:val="-3"/>
          <w:sz w:val="21"/>
        </w:rPr>
        <w:t xml:space="preserve"> </w:t>
      </w:r>
    </w:p>
    <w:p w14:paraId="2AFA2E11" w14:textId="77777777" w:rsidR="00A71EEF" w:rsidRDefault="0081115D">
      <w:pPr>
        <w:pStyle w:val="a4"/>
        <w:numPr>
          <w:ilvl w:val="0"/>
          <w:numId w:val="955"/>
        </w:numPr>
        <w:tabs>
          <w:tab w:val="left" w:pos="1051"/>
        </w:tabs>
        <w:spacing w:line="446" w:lineRule="auto"/>
        <w:ind w:left="838" w:right="3606" w:firstLine="0"/>
        <w:rPr>
          <w:sz w:val="21"/>
        </w:rPr>
      </w:pPr>
      <w:r>
        <w:rPr>
          <w:spacing w:val="-3"/>
          <w:sz w:val="21"/>
        </w:rPr>
        <w:t>慢性扁桃体炎，影响吞咽、发音功能难以治愈的咽、喉疾病。</w:t>
      </w:r>
      <w:r>
        <w:rPr>
          <w:sz w:val="21"/>
        </w:rPr>
        <w:t>4.1.2.4</w:t>
      </w:r>
      <w:r>
        <w:rPr>
          <w:spacing w:val="-3"/>
          <w:sz w:val="21"/>
        </w:rPr>
        <w:t xml:space="preserve"> </w:t>
      </w:r>
      <w:r>
        <w:rPr>
          <w:spacing w:val="-3"/>
          <w:sz w:val="21"/>
        </w:rPr>
        <w:t>眼科</w:t>
      </w:r>
      <w:r>
        <w:rPr>
          <w:sz w:val="21"/>
        </w:rPr>
        <w:t xml:space="preserve"> </w:t>
      </w:r>
    </w:p>
    <w:p w14:paraId="5AC60097" w14:textId="77777777" w:rsidR="00A71EEF" w:rsidRDefault="00A71EEF">
      <w:pPr>
        <w:spacing w:line="446" w:lineRule="auto"/>
        <w:rPr>
          <w:sz w:val="21"/>
        </w:rPr>
        <w:sectPr w:rsidR="00A71EEF">
          <w:pgSz w:w="11910" w:h="16850"/>
          <w:pgMar w:top="1220" w:right="0" w:bottom="1420" w:left="1260" w:header="0" w:footer="1239" w:gutter="0"/>
          <w:cols w:space="720"/>
        </w:sectPr>
      </w:pPr>
    </w:p>
    <w:p w14:paraId="79118674" w14:textId="77777777" w:rsidR="00A71EEF" w:rsidRDefault="0081115D">
      <w:pPr>
        <w:pStyle w:val="a4"/>
        <w:numPr>
          <w:ilvl w:val="0"/>
          <w:numId w:val="954"/>
        </w:numPr>
        <w:tabs>
          <w:tab w:val="left" w:pos="1051"/>
        </w:tabs>
        <w:spacing w:before="47"/>
        <w:rPr>
          <w:sz w:val="21"/>
        </w:rPr>
      </w:pPr>
      <w:r>
        <w:rPr>
          <w:spacing w:val="-3"/>
          <w:sz w:val="21"/>
        </w:rPr>
        <w:lastRenderedPageBreak/>
        <w:t>影响眼功能的眼睑、睑缘、结膜、泪器疾病；</w:t>
      </w:r>
      <w:r>
        <w:rPr>
          <w:sz w:val="21"/>
        </w:rPr>
        <w:t xml:space="preserve"> </w:t>
      </w:r>
    </w:p>
    <w:p w14:paraId="30601C08" w14:textId="77777777" w:rsidR="00A71EEF" w:rsidRDefault="00A71EEF">
      <w:pPr>
        <w:pStyle w:val="a3"/>
        <w:rPr>
          <w:sz w:val="18"/>
        </w:rPr>
      </w:pPr>
    </w:p>
    <w:p w14:paraId="72203D8A" w14:textId="77777777" w:rsidR="00A71EEF" w:rsidRDefault="0081115D">
      <w:pPr>
        <w:pStyle w:val="a4"/>
        <w:numPr>
          <w:ilvl w:val="0"/>
          <w:numId w:val="954"/>
        </w:numPr>
        <w:tabs>
          <w:tab w:val="left" w:pos="1051"/>
        </w:tabs>
        <w:rPr>
          <w:sz w:val="21"/>
        </w:rPr>
      </w:pPr>
      <w:r>
        <w:rPr>
          <w:spacing w:val="-3"/>
          <w:sz w:val="21"/>
        </w:rPr>
        <w:t>眼球突出，眼球震颤，眼肌疾病；</w:t>
      </w:r>
      <w:r>
        <w:rPr>
          <w:sz w:val="21"/>
        </w:rPr>
        <w:t xml:space="preserve"> </w:t>
      </w:r>
    </w:p>
    <w:p w14:paraId="59E5C0C8" w14:textId="77777777" w:rsidR="00A71EEF" w:rsidRDefault="00A71EEF">
      <w:pPr>
        <w:pStyle w:val="a3"/>
        <w:rPr>
          <w:sz w:val="18"/>
        </w:rPr>
      </w:pPr>
    </w:p>
    <w:p w14:paraId="5E2196FD" w14:textId="77777777" w:rsidR="00A71EEF" w:rsidRDefault="0081115D">
      <w:pPr>
        <w:pStyle w:val="a4"/>
        <w:numPr>
          <w:ilvl w:val="0"/>
          <w:numId w:val="954"/>
        </w:numPr>
        <w:tabs>
          <w:tab w:val="left" w:pos="1051"/>
        </w:tabs>
        <w:spacing w:line="446" w:lineRule="auto"/>
        <w:ind w:left="418" w:right="1817" w:firstLine="419"/>
        <w:rPr>
          <w:sz w:val="21"/>
        </w:rPr>
      </w:pPr>
      <w:r>
        <w:rPr>
          <w:spacing w:val="-3"/>
          <w:sz w:val="21"/>
        </w:rPr>
        <w:t>角膜、巩膜、虹膜睫状体疾病（不影响视力的角膜云翳除外</w:t>
      </w:r>
      <w:r>
        <w:rPr>
          <w:sz w:val="21"/>
        </w:rPr>
        <w:t>）</w:t>
      </w:r>
      <w:r>
        <w:rPr>
          <w:spacing w:val="-3"/>
          <w:sz w:val="21"/>
        </w:rPr>
        <w:t>，瞳孔变形、运动障碍；</w:t>
      </w:r>
      <w:r>
        <w:rPr>
          <w:sz w:val="21"/>
        </w:rPr>
        <w:t xml:space="preserve"> </w:t>
      </w:r>
    </w:p>
    <w:p w14:paraId="49AA5C0C" w14:textId="77777777" w:rsidR="00A71EEF" w:rsidRDefault="0081115D">
      <w:pPr>
        <w:pStyle w:val="a4"/>
        <w:numPr>
          <w:ilvl w:val="0"/>
          <w:numId w:val="954"/>
        </w:numPr>
        <w:tabs>
          <w:tab w:val="left" w:pos="1051"/>
        </w:tabs>
        <w:spacing w:line="446" w:lineRule="auto"/>
        <w:ind w:left="418" w:right="1609" w:firstLine="419"/>
        <w:rPr>
          <w:sz w:val="21"/>
        </w:rPr>
      </w:pPr>
      <w:r>
        <w:rPr>
          <w:spacing w:val="-3"/>
          <w:sz w:val="21"/>
        </w:rPr>
        <w:t>晶状体、玻璃体、脉络膜、视神经疾病（先天性少数散在的晶状体小混浊点除外</w:t>
      </w:r>
      <w:r>
        <w:rPr>
          <w:sz w:val="21"/>
        </w:rPr>
        <w:t>），青</w:t>
      </w:r>
      <w:r>
        <w:rPr>
          <w:spacing w:val="-3"/>
          <w:sz w:val="21"/>
        </w:rPr>
        <w:t>光眼。</w:t>
      </w:r>
      <w:r>
        <w:rPr>
          <w:sz w:val="21"/>
        </w:rPr>
        <w:t xml:space="preserve"> </w:t>
      </w:r>
    </w:p>
    <w:p w14:paraId="279A2708" w14:textId="77777777" w:rsidR="00A71EEF" w:rsidRDefault="0081115D">
      <w:pPr>
        <w:pStyle w:val="a4"/>
        <w:numPr>
          <w:ilvl w:val="3"/>
          <w:numId w:val="953"/>
        </w:numPr>
        <w:tabs>
          <w:tab w:val="left" w:pos="1576"/>
        </w:tabs>
        <w:rPr>
          <w:sz w:val="21"/>
        </w:rPr>
      </w:pPr>
      <w:r>
        <w:rPr>
          <w:spacing w:val="-3"/>
          <w:sz w:val="21"/>
        </w:rPr>
        <w:t>口腔科</w:t>
      </w:r>
      <w:r>
        <w:rPr>
          <w:sz w:val="21"/>
        </w:rPr>
        <w:t xml:space="preserve"> </w:t>
      </w:r>
    </w:p>
    <w:p w14:paraId="5FD81C3F" w14:textId="77777777" w:rsidR="00A71EEF" w:rsidRDefault="00A71EEF">
      <w:pPr>
        <w:pStyle w:val="a3"/>
        <w:spacing w:before="12"/>
        <w:rPr>
          <w:sz w:val="17"/>
        </w:rPr>
      </w:pPr>
    </w:p>
    <w:p w14:paraId="00C07B86" w14:textId="77777777" w:rsidR="00A71EEF" w:rsidRDefault="0081115D">
      <w:pPr>
        <w:pStyle w:val="a4"/>
        <w:numPr>
          <w:ilvl w:val="0"/>
          <w:numId w:val="952"/>
        </w:numPr>
        <w:tabs>
          <w:tab w:val="left" w:pos="1051"/>
        </w:tabs>
        <w:spacing w:line="446" w:lineRule="auto"/>
        <w:ind w:right="1505" w:firstLine="419"/>
        <w:rPr>
          <w:sz w:val="21"/>
        </w:rPr>
      </w:pPr>
      <w:r>
        <w:rPr>
          <w:spacing w:val="-3"/>
          <w:sz w:val="21"/>
        </w:rPr>
        <w:t>三度龋齿、齿缺失并列在一起的超过二个，不在一起的超过三个；颌关节疾病，重度牙周病及影响咀嚼功能的口腔疾病；</w:t>
      </w:r>
      <w:r>
        <w:rPr>
          <w:sz w:val="21"/>
        </w:rPr>
        <w:t xml:space="preserve"> </w:t>
      </w:r>
    </w:p>
    <w:p w14:paraId="734F86F6" w14:textId="77777777" w:rsidR="00A71EEF" w:rsidRDefault="0081115D">
      <w:pPr>
        <w:pStyle w:val="a4"/>
        <w:numPr>
          <w:ilvl w:val="0"/>
          <w:numId w:val="952"/>
        </w:numPr>
        <w:tabs>
          <w:tab w:val="left" w:pos="1051"/>
        </w:tabs>
        <w:ind w:left="1050"/>
        <w:rPr>
          <w:sz w:val="21"/>
        </w:rPr>
      </w:pPr>
      <w:r>
        <w:rPr>
          <w:spacing w:val="-3"/>
          <w:sz w:val="21"/>
        </w:rPr>
        <w:t>慢性腮腺炎，腮腺囊肿。</w:t>
      </w:r>
      <w:r>
        <w:rPr>
          <w:sz w:val="21"/>
        </w:rPr>
        <w:t xml:space="preserve"> </w:t>
      </w:r>
    </w:p>
    <w:p w14:paraId="4CF98FEB" w14:textId="77777777" w:rsidR="00A71EEF" w:rsidRDefault="00A71EEF">
      <w:pPr>
        <w:pStyle w:val="a3"/>
        <w:rPr>
          <w:sz w:val="18"/>
        </w:rPr>
      </w:pPr>
    </w:p>
    <w:p w14:paraId="1D12F5D4" w14:textId="77777777" w:rsidR="00A71EEF" w:rsidRDefault="0081115D">
      <w:pPr>
        <w:pStyle w:val="a4"/>
        <w:numPr>
          <w:ilvl w:val="3"/>
          <w:numId w:val="953"/>
        </w:numPr>
        <w:tabs>
          <w:tab w:val="left" w:pos="1576"/>
        </w:tabs>
        <w:rPr>
          <w:sz w:val="21"/>
        </w:rPr>
      </w:pPr>
      <w:r>
        <w:rPr>
          <w:spacing w:val="-3"/>
          <w:sz w:val="21"/>
        </w:rPr>
        <w:t>影响消防员正常履行其职责的其他疾病。</w:t>
      </w:r>
      <w:r>
        <w:rPr>
          <w:sz w:val="21"/>
        </w:rPr>
        <w:t xml:space="preserve"> </w:t>
      </w:r>
    </w:p>
    <w:p w14:paraId="7B6D761E" w14:textId="77777777" w:rsidR="00A71EEF" w:rsidRDefault="00A71EEF">
      <w:pPr>
        <w:pStyle w:val="a3"/>
        <w:spacing w:before="12"/>
        <w:rPr>
          <w:sz w:val="17"/>
        </w:rPr>
      </w:pPr>
    </w:p>
    <w:p w14:paraId="31594E44" w14:textId="77777777" w:rsidR="00A71EEF" w:rsidRDefault="0081115D">
      <w:pPr>
        <w:pStyle w:val="a4"/>
        <w:numPr>
          <w:ilvl w:val="2"/>
          <w:numId w:val="958"/>
        </w:numPr>
        <w:tabs>
          <w:tab w:val="left" w:pos="1370"/>
        </w:tabs>
        <w:ind w:hanging="530"/>
        <w:rPr>
          <w:sz w:val="21"/>
        </w:rPr>
      </w:pPr>
      <w:r>
        <w:rPr>
          <w:spacing w:val="-3"/>
          <w:sz w:val="21"/>
        </w:rPr>
        <w:t>消防员体格检查方法：</w:t>
      </w:r>
      <w:r>
        <w:rPr>
          <w:sz w:val="21"/>
        </w:rPr>
        <w:t xml:space="preserve"> </w:t>
      </w:r>
    </w:p>
    <w:p w14:paraId="4A1C59CC" w14:textId="77777777" w:rsidR="00A71EEF" w:rsidRDefault="00A71EEF">
      <w:pPr>
        <w:pStyle w:val="a3"/>
        <w:spacing w:before="2"/>
        <w:rPr>
          <w:sz w:val="18"/>
        </w:rPr>
      </w:pPr>
    </w:p>
    <w:p w14:paraId="3CADD1CF" w14:textId="77777777" w:rsidR="00A71EEF" w:rsidRDefault="0081115D">
      <w:pPr>
        <w:pStyle w:val="a4"/>
        <w:numPr>
          <w:ilvl w:val="0"/>
          <w:numId w:val="951"/>
        </w:numPr>
        <w:tabs>
          <w:tab w:val="left" w:pos="1051"/>
        </w:tabs>
        <w:spacing w:line="446" w:lineRule="auto"/>
        <w:ind w:right="1613" w:firstLine="419"/>
        <w:rPr>
          <w:sz w:val="21"/>
        </w:rPr>
      </w:pPr>
      <w:r>
        <w:rPr>
          <w:spacing w:val="-9"/>
          <w:sz w:val="21"/>
        </w:rPr>
        <w:t>纯音听力测试按</w:t>
      </w:r>
      <w:r>
        <w:rPr>
          <w:spacing w:val="-9"/>
          <w:sz w:val="21"/>
        </w:rPr>
        <w:t xml:space="preserve"> </w:t>
      </w:r>
      <w:r>
        <w:rPr>
          <w:sz w:val="21"/>
        </w:rPr>
        <w:t>GB/T7583</w:t>
      </w:r>
      <w:r>
        <w:rPr>
          <w:spacing w:val="-15"/>
          <w:sz w:val="21"/>
        </w:rPr>
        <w:t xml:space="preserve"> </w:t>
      </w:r>
      <w:r>
        <w:rPr>
          <w:spacing w:val="-15"/>
          <w:sz w:val="21"/>
        </w:rPr>
        <w:t>和</w:t>
      </w:r>
      <w:r>
        <w:rPr>
          <w:spacing w:val="-15"/>
          <w:sz w:val="21"/>
        </w:rPr>
        <w:t xml:space="preserve"> </w:t>
      </w:r>
      <w:r>
        <w:rPr>
          <w:sz w:val="21"/>
        </w:rPr>
        <w:t>GB/T16403</w:t>
      </w:r>
      <w:r>
        <w:rPr>
          <w:spacing w:val="-7"/>
          <w:sz w:val="21"/>
        </w:rPr>
        <w:t xml:space="preserve"> </w:t>
      </w:r>
      <w:r>
        <w:rPr>
          <w:spacing w:val="-7"/>
          <w:sz w:val="21"/>
        </w:rPr>
        <w:t>规定执行，平均听阈的计算按</w:t>
      </w:r>
      <w:r>
        <w:rPr>
          <w:spacing w:val="-7"/>
          <w:sz w:val="21"/>
        </w:rPr>
        <w:t xml:space="preserve"> </w:t>
      </w:r>
      <w:r>
        <w:rPr>
          <w:sz w:val="21"/>
        </w:rPr>
        <w:t>GBZ49</w:t>
      </w:r>
      <w:r>
        <w:rPr>
          <w:spacing w:val="-12"/>
          <w:sz w:val="21"/>
        </w:rPr>
        <w:t xml:space="preserve"> </w:t>
      </w:r>
      <w:r>
        <w:rPr>
          <w:spacing w:val="-12"/>
          <w:sz w:val="21"/>
        </w:rPr>
        <w:t>规定执行</w:t>
      </w:r>
      <w:r>
        <w:rPr>
          <w:spacing w:val="-3"/>
          <w:sz w:val="21"/>
        </w:rPr>
        <w:t>；</w:t>
      </w:r>
      <w:r>
        <w:rPr>
          <w:sz w:val="21"/>
        </w:rPr>
        <w:t xml:space="preserve"> </w:t>
      </w:r>
    </w:p>
    <w:p w14:paraId="7356BED9" w14:textId="77777777" w:rsidR="00A71EEF" w:rsidRDefault="0081115D">
      <w:pPr>
        <w:pStyle w:val="a4"/>
        <w:numPr>
          <w:ilvl w:val="0"/>
          <w:numId w:val="951"/>
        </w:numPr>
        <w:tabs>
          <w:tab w:val="left" w:pos="1051"/>
        </w:tabs>
        <w:spacing w:line="267" w:lineRule="exact"/>
        <w:ind w:left="1050"/>
        <w:rPr>
          <w:sz w:val="21"/>
        </w:rPr>
      </w:pPr>
      <w:r>
        <w:rPr>
          <w:spacing w:val="-3"/>
          <w:sz w:val="21"/>
        </w:rPr>
        <w:t>呼吸面罩吻合试验方法另行制定；</w:t>
      </w:r>
      <w:r>
        <w:rPr>
          <w:sz w:val="21"/>
        </w:rPr>
        <w:t xml:space="preserve"> </w:t>
      </w:r>
    </w:p>
    <w:p w14:paraId="61E48410" w14:textId="77777777" w:rsidR="00A71EEF" w:rsidRDefault="00A71EEF">
      <w:pPr>
        <w:pStyle w:val="a3"/>
        <w:spacing w:before="2"/>
        <w:rPr>
          <w:sz w:val="18"/>
        </w:rPr>
      </w:pPr>
    </w:p>
    <w:p w14:paraId="16AB561F" w14:textId="77777777" w:rsidR="00A71EEF" w:rsidRDefault="0081115D">
      <w:pPr>
        <w:pStyle w:val="a4"/>
        <w:numPr>
          <w:ilvl w:val="0"/>
          <w:numId w:val="951"/>
        </w:numPr>
        <w:tabs>
          <w:tab w:val="left" w:pos="1051"/>
        </w:tabs>
        <w:ind w:left="1050"/>
        <w:rPr>
          <w:sz w:val="21"/>
        </w:rPr>
      </w:pPr>
      <w:r>
        <w:rPr>
          <w:spacing w:val="-9"/>
          <w:sz w:val="21"/>
        </w:rPr>
        <w:t>其他医学检查方法按</w:t>
      </w:r>
      <w:r>
        <w:rPr>
          <w:spacing w:val="-9"/>
          <w:sz w:val="21"/>
        </w:rPr>
        <w:t xml:space="preserve"> </w:t>
      </w:r>
      <w:r>
        <w:rPr>
          <w:sz w:val="21"/>
        </w:rPr>
        <w:t>GBZ188</w:t>
      </w:r>
      <w:r>
        <w:rPr>
          <w:spacing w:val="-11"/>
          <w:sz w:val="21"/>
        </w:rPr>
        <w:t xml:space="preserve"> </w:t>
      </w:r>
      <w:r>
        <w:rPr>
          <w:spacing w:val="-11"/>
          <w:sz w:val="21"/>
        </w:rPr>
        <w:t>规定执行。</w:t>
      </w:r>
      <w:r>
        <w:rPr>
          <w:sz w:val="21"/>
        </w:rPr>
        <w:t xml:space="preserve"> </w:t>
      </w:r>
    </w:p>
    <w:p w14:paraId="4613A3DA" w14:textId="77777777" w:rsidR="00A71EEF" w:rsidRDefault="00A71EEF">
      <w:pPr>
        <w:pStyle w:val="a3"/>
        <w:spacing w:before="12"/>
        <w:rPr>
          <w:sz w:val="17"/>
        </w:rPr>
      </w:pPr>
    </w:p>
    <w:p w14:paraId="7A81ABB2" w14:textId="77777777" w:rsidR="00A71EEF" w:rsidRDefault="0081115D">
      <w:pPr>
        <w:pStyle w:val="a4"/>
        <w:numPr>
          <w:ilvl w:val="2"/>
          <w:numId w:val="958"/>
        </w:numPr>
        <w:tabs>
          <w:tab w:val="left" w:pos="1371"/>
        </w:tabs>
        <w:spacing w:line="446" w:lineRule="auto"/>
        <w:ind w:left="418" w:right="1553" w:firstLine="422"/>
        <w:rPr>
          <w:sz w:val="21"/>
        </w:rPr>
      </w:pPr>
      <w:r>
        <w:rPr>
          <w:spacing w:val="-5"/>
          <w:sz w:val="21"/>
        </w:rPr>
        <w:t>消防员体格检查结果中，如有三项以上指标处于本标准</w:t>
      </w:r>
      <w:r>
        <w:rPr>
          <w:spacing w:val="-5"/>
          <w:sz w:val="21"/>
        </w:rPr>
        <w:t xml:space="preserve"> </w:t>
      </w:r>
      <w:r>
        <w:rPr>
          <w:sz w:val="21"/>
        </w:rPr>
        <w:t>4.1.1</w:t>
      </w:r>
      <w:r>
        <w:rPr>
          <w:spacing w:val="-2"/>
          <w:sz w:val="21"/>
        </w:rPr>
        <w:t xml:space="preserve"> </w:t>
      </w:r>
      <w:r>
        <w:rPr>
          <w:spacing w:val="-2"/>
          <w:sz w:val="21"/>
        </w:rPr>
        <w:t>款规定的临界，应从</w:t>
      </w:r>
      <w:r>
        <w:rPr>
          <w:spacing w:val="-3"/>
          <w:sz w:val="21"/>
        </w:rPr>
        <w:t>严掌握；对心、肺、肝、脾、肾等重要器官的病症，传染性疾病，慢性疾病应严格把关。</w:t>
      </w:r>
      <w:r>
        <w:rPr>
          <w:sz w:val="21"/>
        </w:rPr>
        <w:t xml:space="preserve"> </w:t>
      </w:r>
    </w:p>
    <w:p w14:paraId="5BA4D322" w14:textId="77777777" w:rsidR="00A71EEF" w:rsidRDefault="0081115D">
      <w:pPr>
        <w:ind w:left="840"/>
        <w:rPr>
          <w:b/>
          <w:sz w:val="21"/>
        </w:rPr>
      </w:pPr>
      <w:r>
        <w:rPr>
          <w:b/>
          <w:sz w:val="21"/>
        </w:rPr>
        <w:t xml:space="preserve">4.2 </w:t>
      </w:r>
      <w:r>
        <w:rPr>
          <w:sz w:val="21"/>
        </w:rPr>
        <w:t>心</w:t>
      </w:r>
      <w:r>
        <w:rPr>
          <w:sz w:val="21"/>
        </w:rPr>
        <w:t xml:space="preserve"> </w:t>
      </w:r>
      <w:r>
        <w:rPr>
          <w:sz w:val="21"/>
        </w:rPr>
        <w:t>理</w:t>
      </w:r>
      <w:r>
        <w:rPr>
          <w:b/>
          <w:w w:val="99"/>
          <w:sz w:val="21"/>
        </w:rPr>
        <w:t xml:space="preserve"> </w:t>
      </w:r>
    </w:p>
    <w:p w14:paraId="5D44A8C6" w14:textId="77777777" w:rsidR="00A71EEF" w:rsidRDefault="00A71EEF">
      <w:pPr>
        <w:pStyle w:val="a3"/>
        <w:rPr>
          <w:b/>
          <w:sz w:val="18"/>
        </w:rPr>
      </w:pPr>
    </w:p>
    <w:p w14:paraId="2E0BA393" w14:textId="77777777" w:rsidR="00A71EEF" w:rsidRDefault="0081115D">
      <w:pPr>
        <w:pStyle w:val="a4"/>
        <w:numPr>
          <w:ilvl w:val="2"/>
          <w:numId w:val="950"/>
        </w:numPr>
        <w:tabs>
          <w:tab w:val="left" w:pos="1371"/>
        </w:tabs>
        <w:rPr>
          <w:sz w:val="21"/>
        </w:rPr>
      </w:pPr>
      <w:r>
        <w:rPr>
          <w:spacing w:val="-3"/>
          <w:sz w:val="21"/>
        </w:rPr>
        <w:t>消防员从事的职业活动具有较高危险性，体格检查结束后应进行心理测验。</w:t>
      </w:r>
      <w:r>
        <w:rPr>
          <w:spacing w:val="-3"/>
          <w:sz w:val="21"/>
        </w:rPr>
        <w:t xml:space="preserve"> </w:t>
      </w:r>
    </w:p>
    <w:p w14:paraId="0F8F0A9C" w14:textId="77777777" w:rsidR="00A71EEF" w:rsidRDefault="00A71EEF">
      <w:pPr>
        <w:pStyle w:val="a3"/>
        <w:rPr>
          <w:sz w:val="18"/>
        </w:rPr>
      </w:pPr>
    </w:p>
    <w:p w14:paraId="7D96ABBB" w14:textId="77777777" w:rsidR="00A71EEF" w:rsidRDefault="0081115D">
      <w:pPr>
        <w:pStyle w:val="a4"/>
        <w:numPr>
          <w:ilvl w:val="2"/>
          <w:numId w:val="950"/>
        </w:numPr>
        <w:tabs>
          <w:tab w:val="left" w:pos="1371"/>
        </w:tabs>
        <w:rPr>
          <w:sz w:val="21"/>
        </w:rPr>
      </w:pPr>
      <w:r>
        <w:rPr>
          <w:spacing w:val="-3"/>
          <w:sz w:val="21"/>
        </w:rPr>
        <w:t>测验方式以问卷调查为主，辅以访谈、投射测验等其他测验方式。</w:t>
      </w:r>
      <w:r>
        <w:rPr>
          <w:sz w:val="21"/>
        </w:rPr>
        <w:t xml:space="preserve"> </w:t>
      </w:r>
    </w:p>
    <w:p w14:paraId="18471375" w14:textId="77777777" w:rsidR="00A71EEF" w:rsidRDefault="00A71EEF">
      <w:pPr>
        <w:pStyle w:val="a3"/>
        <w:spacing w:before="2"/>
        <w:rPr>
          <w:sz w:val="18"/>
        </w:rPr>
      </w:pPr>
    </w:p>
    <w:p w14:paraId="79C21FFB" w14:textId="77777777" w:rsidR="00A71EEF" w:rsidRDefault="0081115D">
      <w:pPr>
        <w:pStyle w:val="a4"/>
        <w:numPr>
          <w:ilvl w:val="2"/>
          <w:numId w:val="950"/>
        </w:numPr>
        <w:tabs>
          <w:tab w:val="left" w:pos="1371"/>
        </w:tabs>
        <w:rPr>
          <w:sz w:val="21"/>
        </w:rPr>
      </w:pPr>
      <w:r>
        <w:rPr>
          <w:spacing w:val="-3"/>
          <w:sz w:val="21"/>
        </w:rPr>
        <w:t>测验结论以客</w:t>
      </w:r>
      <w:r>
        <w:rPr>
          <w:spacing w:val="-3"/>
          <w:sz w:val="21"/>
        </w:rPr>
        <w:t>观和主观相结合进行判定，只有</w:t>
      </w:r>
      <w:r>
        <w:rPr>
          <w:spacing w:val="-3"/>
          <w:sz w:val="21"/>
        </w:rPr>
        <w:t>“</w:t>
      </w:r>
      <w:r>
        <w:rPr>
          <w:spacing w:val="-3"/>
          <w:sz w:val="21"/>
        </w:rPr>
        <w:t>合格</w:t>
      </w:r>
      <w:r>
        <w:rPr>
          <w:spacing w:val="-3"/>
          <w:sz w:val="21"/>
        </w:rPr>
        <w:t>”</w:t>
      </w:r>
      <w:r>
        <w:rPr>
          <w:spacing w:val="-3"/>
          <w:sz w:val="21"/>
        </w:rPr>
        <w:t>和</w:t>
      </w:r>
      <w:r>
        <w:rPr>
          <w:spacing w:val="-3"/>
          <w:sz w:val="21"/>
        </w:rPr>
        <w:t>“</w:t>
      </w:r>
      <w:r>
        <w:rPr>
          <w:spacing w:val="-3"/>
          <w:sz w:val="21"/>
        </w:rPr>
        <w:t>不合格</w:t>
      </w:r>
      <w:r>
        <w:rPr>
          <w:spacing w:val="-3"/>
          <w:sz w:val="21"/>
        </w:rPr>
        <w:t>”</w:t>
      </w:r>
      <w:r>
        <w:rPr>
          <w:spacing w:val="-3"/>
          <w:sz w:val="21"/>
        </w:rPr>
        <w:t>。</w:t>
      </w:r>
      <w:r>
        <w:rPr>
          <w:spacing w:val="-3"/>
          <w:sz w:val="21"/>
        </w:rPr>
        <w:t xml:space="preserve"> </w:t>
      </w:r>
    </w:p>
    <w:p w14:paraId="2751CE08" w14:textId="77777777" w:rsidR="00A71EEF" w:rsidRDefault="00A71EEF">
      <w:pPr>
        <w:pStyle w:val="a3"/>
        <w:spacing w:before="12"/>
        <w:rPr>
          <w:sz w:val="17"/>
        </w:rPr>
      </w:pPr>
    </w:p>
    <w:p w14:paraId="0859C77A" w14:textId="77777777" w:rsidR="00A71EEF" w:rsidRDefault="0081115D">
      <w:pPr>
        <w:pStyle w:val="a4"/>
        <w:numPr>
          <w:ilvl w:val="2"/>
          <w:numId w:val="950"/>
        </w:numPr>
        <w:tabs>
          <w:tab w:val="left" w:pos="1371"/>
        </w:tabs>
        <w:rPr>
          <w:sz w:val="21"/>
        </w:rPr>
      </w:pPr>
      <w:r>
        <w:rPr>
          <w:spacing w:val="-3"/>
          <w:sz w:val="21"/>
        </w:rPr>
        <w:t>心理测验不合格者不应从事消防员工作。</w:t>
      </w:r>
      <w:r>
        <w:rPr>
          <w:sz w:val="21"/>
        </w:rPr>
        <w:t xml:space="preserve"> </w:t>
      </w:r>
    </w:p>
    <w:p w14:paraId="77463A21" w14:textId="77777777" w:rsidR="00A71EEF" w:rsidRDefault="00A71EEF">
      <w:pPr>
        <w:pStyle w:val="a3"/>
        <w:spacing w:before="12"/>
        <w:rPr>
          <w:sz w:val="17"/>
        </w:rPr>
      </w:pPr>
    </w:p>
    <w:p w14:paraId="5C3107A3" w14:textId="77777777" w:rsidR="00A71EEF" w:rsidRDefault="0081115D">
      <w:pPr>
        <w:ind w:left="840"/>
        <w:rPr>
          <w:b/>
          <w:sz w:val="21"/>
        </w:rPr>
      </w:pPr>
      <w:r>
        <w:rPr>
          <w:b/>
          <w:sz w:val="21"/>
        </w:rPr>
        <w:t xml:space="preserve">4.3 </w:t>
      </w:r>
      <w:r>
        <w:rPr>
          <w:sz w:val="21"/>
        </w:rPr>
        <w:t>体</w:t>
      </w:r>
      <w:r>
        <w:rPr>
          <w:sz w:val="21"/>
        </w:rPr>
        <w:t xml:space="preserve"> </w:t>
      </w:r>
      <w:r>
        <w:rPr>
          <w:sz w:val="21"/>
        </w:rPr>
        <w:t>能</w:t>
      </w:r>
      <w:r>
        <w:rPr>
          <w:b/>
          <w:w w:val="99"/>
          <w:sz w:val="21"/>
        </w:rPr>
        <w:t xml:space="preserve"> </w:t>
      </w:r>
    </w:p>
    <w:p w14:paraId="5FFED799" w14:textId="77777777" w:rsidR="00A71EEF" w:rsidRDefault="00A71EEF">
      <w:pPr>
        <w:pStyle w:val="a3"/>
        <w:spacing w:before="2"/>
        <w:rPr>
          <w:b/>
          <w:sz w:val="18"/>
        </w:rPr>
      </w:pPr>
    </w:p>
    <w:p w14:paraId="4EA1EB30" w14:textId="77777777" w:rsidR="00A71EEF" w:rsidRDefault="0081115D">
      <w:pPr>
        <w:pStyle w:val="a3"/>
        <w:spacing w:line="446" w:lineRule="auto"/>
        <w:ind w:left="418" w:right="1609" w:firstLine="419"/>
      </w:pPr>
      <w:r>
        <w:t>消防员的劳动强度较大，一般为重度和极重度体力劳动，对体能的要求较高，在体格检查和心理测验结束后应进行体能测试。</w:t>
      </w:r>
      <w:r>
        <w:t xml:space="preserve"> </w:t>
      </w:r>
    </w:p>
    <w:p w14:paraId="34C86BC7" w14:textId="77777777" w:rsidR="00A71EEF" w:rsidRDefault="0081115D">
      <w:pPr>
        <w:spacing w:line="267" w:lineRule="exact"/>
        <w:ind w:left="840"/>
        <w:rPr>
          <w:sz w:val="21"/>
        </w:rPr>
      </w:pPr>
      <w:r>
        <w:rPr>
          <w:b/>
          <w:sz w:val="21"/>
        </w:rPr>
        <w:t xml:space="preserve">4.3.1 </w:t>
      </w:r>
      <w:r>
        <w:rPr>
          <w:sz w:val="21"/>
        </w:rPr>
        <w:t>测试指标及标准</w:t>
      </w:r>
      <w:r>
        <w:rPr>
          <w:sz w:val="21"/>
        </w:rPr>
        <w:t xml:space="preserve"> </w:t>
      </w:r>
    </w:p>
    <w:p w14:paraId="07DB74E2" w14:textId="77777777" w:rsidR="00A71EEF" w:rsidRDefault="00A71EEF">
      <w:pPr>
        <w:pStyle w:val="a3"/>
        <w:spacing w:before="2"/>
        <w:rPr>
          <w:sz w:val="18"/>
        </w:rPr>
      </w:pPr>
    </w:p>
    <w:p w14:paraId="091FAF70" w14:textId="77777777" w:rsidR="00A71EEF" w:rsidRDefault="0081115D">
      <w:pPr>
        <w:pStyle w:val="a4"/>
        <w:numPr>
          <w:ilvl w:val="0"/>
          <w:numId w:val="949"/>
        </w:numPr>
        <w:tabs>
          <w:tab w:val="left" w:pos="1051"/>
        </w:tabs>
        <w:rPr>
          <w:sz w:val="21"/>
        </w:rPr>
      </w:pPr>
      <w:r>
        <w:rPr>
          <w:spacing w:val="-10"/>
          <w:sz w:val="21"/>
        </w:rPr>
        <w:t>肺活量：不低于</w:t>
      </w:r>
      <w:r>
        <w:rPr>
          <w:spacing w:val="-10"/>
          <w:sz w:val="21"/>
        </w:rPr>
        <w:t xml:space="preserve"> </w:t>
      </w:r>
      <w:r>
        <w:rPr>
          <w:sz w:val="21"/>
        </w:rPr>
        <w:t>4000ml</w:t>
      </w:r>
      <w:r>
        <w:rPr>
          <w:sz w:val="21"/>
        </w:rPr>
        <w:t>；</w:t>
      </w:r>
      <w:r>
        <w:rPr>
          <w:sz w:val="21"/>
        </w:rPr>
        <w:t xml:space="preserve"> </w:t>
      </w:r>
    </w:p>
    <w:p w14:paraId="1F9A0B0B" w14:textId="77777777" w:rsidR="00A71EEF" w:rsidRDefault="00A71EEF">
      <w:pPr>
        <w:rPr>
          <w:sz w:val="21"/>
        </w:rPr>
        <w:sectPr w:rsidR="00A71EEF">
          <w:pgSz w:w="11910" w:h="16850"/>
          <w:pgMar w:top="1220" w:right="0" w:bottom="1420" w:left="1260" w:header="0" w:footer="1239" w:gutter="0"/>
          <w:cols w:space="720"/>
        </w:sectPr>
      </w:pPr>
    </w:p>
    <w:p w14:paraId="73A6770A" w14:textId="77777777" w:rsidR="00A71EEF" w:rsidRDefault="0081115D">
      <w:pPr>
        <w:pStyle w:val="a4"/>
        <w:numPr>
          <w:ilvl w:val="0"/>
          <w:numId w:val="949"/>
        </w:numPr>
        <w:tabs>
          <w:tab w:val="left" w:pos="1051"/>
        </w:tabs>
        <w:spacing w:before="47"/>
        <w:rPr>
          <w:sz w:val="21"/>
        </w:rPr>
      </w:pPr>
      <w:r>
        <w:rPr>
          <w:spacing w:val="-8"/>
          <w:sz w:val="21"/>
        </w:rPr>
        <w:lastRenderedPageBreak/>
        <w:t>台阶试验指数：不小于</w:t>
      </w:r>
      <w:r>
        <w:rPr>
          <w:spacing w:val="-8"/>
          <w:sz w:val="21"/>
        </w:rPr>
        <w:t xml:space="preserve"> </w:t>
      </w:r>
      <w:r>
        <w:rPr>
          <w:sz w:val="21"/>
        </w:rPr>
        <w:t>75</w:t>
      </w:r>
      <w:r>
        <w:rPr>
          <w:sz w:val="21"/>
        </w:rPr>
        <w:t>；</w:t>
      </w:r>
      <w:r>
        <w:rPr>
          <w:sz w:val="21"/>
        </w:rPr>
        <w:t xml:space="preserve"> </w:t>
      </w:r>
    </w:p>
    <w:p w14:paraId="5431B6DD" w14:textId="77777777" w:rsidR="00A71EEF" w:rsidRDefault="00A71EEF">
      <w:pPr>
        <w:pStyle w:val="a3"/>
        <w:rPr>
          <w:sz w:val="18"/>
        </w:rPr>
      </w:pPr>
    </w:p>
    <w:p w14:paraId="12411C6C" w14:textId="77777777" w:rsidR="00A71EEF" w:rsidRDefault="0081115D">
      <w:pPr>
        <w:pStyle w:val="a3"/>
        <w:ind w:left="838"/>
      </w:pPr>
      <w:r>
        <w:t xml:space="preserve">c) </w:t>
      </w:r>
      <w:r>
        <w:t>体脂百分比：</w:t>
      </w:r>
      <w:r>
        <w:t>11.0</w:t>
      </w:r>
      <w:r>
        <w:t>～</w:t>
      </w:r>
      <w:r>
        <w:t>13.5</w:t>
      </w:r>
      <w:r>
        <w:t>；</w:t>
      </w:r>
      <w:r>
        <w:t xml:space="preserve"> </w:t>
      </w:r>
    </w:p>
    <w:p w14:paraId="66EC106E" w14:textId="77777777" w:rsidR="00A71EEF" w:rsidRDefault="00A71EEF">
      <w:pPr>
        <w:pStyle w:val="a3"/>
        <w:rPr>
          <w:sz w:val="18"/>
        </w:rPr>
      </w:pPr>
    </w:p>
    <w:p w14:paraId="093F4AD1" w14:textId="77777777" w:rsidR="00A71EEF" w:rsidRDefault="0081115D">
      <w:pPr>
        <w:pStyle w:val="a4"/>
        <w:numPr>
          <w:ilvl w:val="0"/>
          <w:numId w:val="948"/>
        </w:numPr>
        <w:tabs>
          <w:tab w:val="left" w:pos="1051"/>
        </w:tabs>
        <w:rPr>
          <w:sz w:val="21"/>
        </w:rPr>
      </w:pPr>
      <w:r>
        <w:rPr>
          <w:sz w:val="21"/>
        </w:rPr>
        <w:t>1</w:t>
      </w:r>
      <w:r>
        <w:rPr>
          <w:spacing w:val="-13"/>
          <w:sz w:val="21"/>
        </w:rPr>
        <w:t xml:space="preserve"> </w:t>
      </w:r>
      <w:r>
        <w:rPr>
          <w:spacing w:val="-13"/>
          <w:sz w:val="21"/>
        </w:rPr>
        <w:t>分钟仰卧起坐：不少于</w:t>
      </w:r>
      <w:r>
        <w:rPr>
          <w:spacing w:val="-13"/>
          <w:sz w:val="21"/>
        </w:rPr>
        <w:t xml:space="preserve"> </w:t>
      </w:r>
      <w:r>
        <w:rPr>
          <w:sz w:val="21"/>
        </w:rPr>
        <w:t>40</w:t>
      </w:r>
      <w:r>
        <w:rPr>
          <w:spacing w:val="-20"/>
          <w:sz w:val="21"/>
        </w:rPr>
        <w:t xml:space="preserve"> </w:t>
      </w:r>
      <w:r>
        <w:rPr>
          <w:spacing w:val="-20"/>
          <w:sz w:val="21"/>
        </w:rPr>
        <w:t>次；</w:t>
      </w:r>
      <w:r>
        <w:rPr>
          <w:sz w:val="21"/>
        </w:rPr>
        <w:t xml:space="preserve"> </w:t>
      </w:r>
    </w:p>
    <w:p w14:paraId="5C25FB42" w14:textId="77777777" w:rsidR="00A71EEF" w:rsidRDefault="00A71EEF">
      <w:pPr>
        <w:pStyle w:val="a3"/>
        <w:spacing w:before="1"/>
        <w:rPr>
          <w:sz w:val="18"/>
        </w:rPr>
      </w:pPr>
    </w:p>
    <w:p w14:paraId="3824E9D2" w14:textId="77777777" w:rsidR="00A71EEF" w:rsidRDefault="0081115D">
      <w:pPr>
        <w:pStyle w:val="a4"/>
        <w:numPr>
          <w:ilvl w:val="0"/>
          <w:numId w:val="948"/>
        </w:numPr>
        <w:tabs>
          <w:tab w:val="left" w:pos="1051"/>
        </w:tabs>
        <w:spacing w:before="1"/>
        <w:rPr>
          <w:sz w:val="21"/>
        </w:rPr>
      </w:pPr>
      <w:r>
        <w:rPr>
          <w:spacing w:val="-9"/>
          <w:sz w:val="21"/>
        </w:rPr>
        <w:t>引体向上：不少于</w:t>
      </w:r>
      <w:r>
        <w:rPr>
          <w:spacing w:val="-9"/>
          <w:sz w:val="21"/>
        </w:rPr>
        <w:t xml:space="preserve"> </w:t>
      </w:r>
      <w:r>
        <w:rPr>
          <w:sz w:val="21"/>
        </w:rPr>
        <w:t>10</w:t>
      </w:r>
      <w:r>
        <w:rPr>
          <w:spacing w:val="-20"/>
          <w:sz w:val="21"/>
        </w:rPr>
        <w:t xml:space="preserve"> </w:t>
      </w:r>
      <w:r>
        <w:rPr>
          <w:spacing w:val="-20"/>
          <w:sz w:val="21"/>
        </w:rPr>
        <w:t>次；</w:t>
      </w:r>
      <w:r>
        <w:rPr>
          <w:sz w:val="21"/>
        </w:rPr>
        <w:t xml:space="preserve"> </w:t>
      </w:r>
    </w:p>
    <w:p w14:paraId="7B2AE4C4" w14:textId="77777777" w:rsidR="00A71EEF" w:rsidRDefault="00A71EEF">
      <w:pPr>
        <w:pStyle w:val="a3"/>
        <w:spacing w:before="12"/>
        <w:rPr>
          <w:sz w:val="17"/>
        </w:rPr>
      </w:pPr>
    </w:p>
    <w:p w14:paraId="37973E59" w14:textId="77777777" w:rsidR="00A71EEF" w:rsidRDefault="0081115D">
      <w:pPr>
        <w:pStyle w:val="a4"/>
        <w:numPr>
          <w:ilvl w:val="0"/>
          <w:numId w:val="948"/>
        </w:numPr>
        <w:tabs>
          <w:tab w:val="left" w:pos="1051"/>
        </w:tabs>
        <w:rPr>
          <w:sz w:val="21"/>
        </w:rPr>
      </w:pPr>
      <w:r>
        <w:rPr>
          <w:spacing w:val="-10"/>
          <w:sz w:val="21"/>
        </w:rPr>
        <w:t>俯卧撑：不少于</w:t>
      </w:r>
      <w:r>
        <w:rPr>
          <w:spacing w:val="-10"/>
          <w:sz w:val="21"/>
        </w:rPr>
        <w:t xml:space="preserve"> </w:t>
      </w:r>
      <w:r>
        <w:rPr>
          <w:sz w:val="21"/>
        </w:rPr>
        <w:t>36</w:t>
      </w:r>
      <w:r>
        <w:rPr>
          <w:spacing w:val="-20"/>
          <w:sz w:val="21"/>
        </w:rPr>
        <w:t xml:space="preserve"> </w:t>
      </w:r>
      <w:r>
        <w:rPr>
          <w:spacing w:val="-20"/>
          <w:sz w:val="21"/>
        </w:rPr>
        <w:t>次；</w:t>
      </w:r>
      <w:r>
        <w:rPr>
          <w:spacing w:val="-20"/>
          <w:sz w:val="21"/>
        </w:rPr>
        <w:t xml:space="preserve"> </w:t>
      </w:r>
    </w:p>
    <w:p w14:paraId="403F9BA6" w14:textId="77777777" w:rsidR="00A71EEF" w:rsidRDefault="00A71EEF">
      <w:pPr>
        <w:pStyle w:val="a3"/>
        <w:spacing w:before="12"/>
        <w:rPr>
          <w:sz w:val="17"/>
        </w:rPr>
      </w:pPr>
    </w:p>
    <w:p w14:paraId="6342F570" w14:textId="77777777" w:rsidR="00A71EEF" w:rsidRDefault="0081115D">
      <w:pPr>
        <w:pStyle w:val="a3"/>
        <w:ind w:left="838"/>
      </w:pPr>
      <w:r>
        <w:t xml:space="preserve">g) 100m </w:t>
      </w:r>
      <w:r>
        <w:t>跑：不超过</w:t>
      </w:r>
      <w:r>
        <w:t xml:space="preserve"> 14s</w:t>
      </w:r>
      <w:r>
        <w:t>；</w:t>
      </w:r>
      <w:r>
        <w:t xml:space="preserve"> </w:t>
      </w:r>
    </w:p>
    <w:p w14:paraId="1ACEA421" w14:textId="77777777" w:rsidR="00A71EEF" w:rsidRDefault="00A71EEF">
      <w:pPr>
        <w:pStyle w:val="a3"/>
        <w:spacing w:before="2"/>
        <w:rPr>
          <w:sz w:val="18"/>
        </w:rPr>
      </w:pPr>
    </w:p>
    <w:p w14:paraId="047B42AF" w14:textId="77777777" w:rsidR="00A71EEF" w:rsidRDefault="0081115D">
      <w:pPr>
        <w:pStyle w:val="a3"/>
        <w:spacing w:line="446" w:lineRule="auto"/>
        <w:ind w:left="838" w:right="6918"/>
      </w:pPr>
      <w:r>
        <w:t>h)</w:t>
      </w:r>
      <w:r>
        <w:rPr>
          <w:spacing w:val="1"/>
        </w:rPr>
        <w:t xml:space="preserve"> </w:t>
      </w:r>
      <w:r>
        <w:t>3000m</w:t>
      </w:r>
      <w:r>
        <w:rPr>
          <w:spacing w:val="-10"/>
        </w:rPr>
        <w:t xml:space="preserve"> </w:t>
      </w:r>
      <w:r>
        <w:rPr>
          <w:spacing w:val="-10"/>
        </w:rPr>
        <w:t>跑：不超过</w:t>
      </w:r>
      <w:r>
        <w:rPr>
          <w:spacing w:val="-10"/>
        </w:rPr>
        <w:t xml:space="preserve"> </w:t>
      </w:r>
      <w:r>
        <w:t>14min</w:t>
      </w:r>
      <w:r>
        <w:t>；</w:t>
      </w:r>
      <w:r>
        <w:t xml:space="preserve"> i)</w:t>
      </w:r>
      <w:r>
        <w:rPr>
          <w:spacing w:val="-10"/>
        </w:rPr>
        <w:t xml:space="preserve"> </w:t>
      </w:r>
      <w:r>
        <w:rPr>
          <w:spacing w:val="-10"/>
        </w:rPr>
        <w:t>握力：不低于</w:t>
      </w:r>
      <w:r>
        <w:rPr>
          <w:spacing w:val="-10"/>
        </w:rPr>
        <w:t xml:space="preserve"> </w:t>
      </w:r>
      <w:r>
        <w:t>45kg</w:t>
      </w:r>
      <w:r>
        <w:t>；</w:t>
      </w:r>
      <w:r>
        <w:t xml:space="preserve"> </w:t>
      </w:r>
    </w:p>
    <w:p w14:paraId="07B9EC00" w14:textId="77777777" w:rsidR="00A71EEF" w:rsidRDefault="0081115D">
      <w:pPr>
        <w:pStyle w:val="a4"/>
        <w:numPr>
          <w:ilvl w:val="0"/>
          <w:numId w:val="947"/>
        </w:numPr>
        <w:tabs>
          <w:tab w:val="left" w:pos="1051"/>
        </w:tabs>
        <w:spacing w:line="267" w:lineRule="exact"/>
        <w:rPr>
          <w:sz w:val="21"/>
        </w:rPr>
      </w:pPr>
      <w:r>
        <w:rPr>
          <w:spacing w:val="-9"/>
          <w:sz w:val="21"/>
        </w:rPr>
        <w:t>腰背肌力：不低于</w:t>
      </w:r>
      <w:r>
        <w:rPr>
          <w:spacing w:val="-9"/>
          <w:sz w:val="21"/>
        </w:rPr>
        <w:t xml:space="preserve"> </w:t>
      </w:r>
      <w:r>
        <w:rPr>
          <w:sz w:val="21"/>
        </w:rPr>
        <w:t>116kg</w:t>
      </w:r>
      <w:r>
        <w:rPr>
          <w:sz w:val="21"/>
        </w:rPr>
        <w:t>；</w:t>
      </w:r>
      <w:r>
        <w:rPr>
          <w:sz w:val="21"/>
        </w:rPr>
        <w:t xml:space="preserve"> </w:t>
      </w:r>
    </w:p>
    <w:p w14:paraId="029F66DD" w14:textId="77777777" w:rsidR="00A71EEF" w:rsidRDefault="00A71EEF">
      <w:pPr>
        <w:pStyle w:val="a3"/>
        <w:spacing w:before="2"/>
        <w:rPr>
          <w:sz w:val="18"/>
        </w:rPr>
      </w:pPr>
    </w:p>
    <w:p w14:paraId="3839DBDE" w14:textId="77777777" w:rsidR="00A71EEF" w:rsidRDefault="0081115D">
      <w:pPr>
        <w:pStyle w:val="a4"/>
        <w:numPr>
          <w:ilvl w:val="0"/>
          <w:numId w:val="947"/>
        </w:numPr>
        <w:tabs>
          <w:tab w:val="left" w:pos="1051"/>
        </w:tabs>
        <w:spacing w:line="446" w:lineRule="auto"/>
        <w:ind w:left="840" w:right="6597" w:hanging="3"/>
        <w:rPr>
          <w:sz w:val="21"/>
        </w:rPr>
      </w:pPr>
      <w:r>
        <w:rPr>
          <w:spacing w:val="-8"/>
          <w:sz w:val="21"/>
        </w:rPr>
        <w:t>闭目单脚站立：不低于</w:t>
      </w:r>
      <w:r>
        <w:rPr>
          <w:spacing w:val="-8"/>
          <w:sz w:val="21"/>
        </w:rPr>
        <w:t xml:space="preserve"> </w:t>
      </w:r>
      <w:r>
        <w:rPr>
          <w:sz w:val="21"/>
        </w:rPr>
        <w:t>90s</w:t>
      </w:r>
      <w:r>
        <w:rPr>
          <w:spacing w:val="-3"/>
          <w:sz w:val="21"/>
        </w:rPr>
        <w:t>。</w:t>
      </w:r>
      <w:r>
        <w:rPr>
          <w:b/>
          <w:sz w:val="21"/>
        </w:rPr>
        <w:t>4.3.2</w:t>
      </w:r>
      <w:r>
        <w:rPr>
          <w:b/>
          <w:spacing w:val="5"/>
          <w:sz w:val="21"/>
        </w:rPr>
        <w:t xml:space="preserve"> </w:t>
      </w:r>
      <w:r>
        <w:rPr>
          <w:spacing w:val="-8"/>
          <w:sz w:val="21"/>
        </w:rPr>
        <w:t>体能测试方法参见附录</w:t>
      </w:r>
      <w:r>
        <w:rPr>
          <w:spacing w:val="-8"/>
          <w:sz w:val="21"/>
        </w:rPr>
        <w:t xml:space="preserve"> </w:t>
      </w:r>
      <w:r>
        <w:rPr>
          <w:spacing w:val="-3"/>
          <w:sz w:val="21"/>
        </w:rPr>
        <w:t>A</w:t>
      </w:r>
      <w:r>
        <w:rPr>
          <w:spacing w:val="-3"/>
          <w:sz w:val="21"/>
        </w:rPr>
        <w:t>。</w:t>
      </w:r>
      <w:r>
        <w:rPr>
          <w:sz w:val="21"/>
        </w:rPr>
        <w:t xml:space="preserve"> </w:t>
      </w:r>
    </w:p>
    <w:p w14:paraId="1EB4943E" w14:textId="77777777" w:rsidR="00A71EEF" w:rsidRDefault="0081115D">
      <w:pPr>
        <w:pStyle w:val="4"/>
        <w:spacing w:line="275" w:lineRule="exact"/>
      </w:pPr>
      <w:r>
        <w:t xml:space="preserve">5 </w:t>
      </w:r>
      <w:r>
        <w:t>职业健康监护</w:t>
      </w:r>
      <w:r>
        <w:rPr>
          <w:w w:val="99"/>
        </w:rPr>
        <w:t xml:space="preserve"> </w:t>
      </w:r>
    </w:p>
    <w:p w14:paraId="10A7C8AC" w14:textId="77777777" w:rsidR="00A71EEF" w:rsidRDefault="00A71EEF">
      <w:pPr>
        <w:pStyle w:val="a3"/>
        <w:spacing w:before="6"/>
        <w:rPr>
          <w:b/>
          <w:sz w:val="17"/>
        </w:rPr>
      </w:pPr>
    </w:p>
    <w:p w14:paraId="0FCA202A" w14:textId="77777777" w:rsidR="00A71EEF" w:rsidRDefault="0081115D">
      <w:pPr>
        <w:pStyle w:val="a3"/>
        <w:spacing w:line="446" w:lineRule="auto"/>
        <w:ind w:left="418" w:right="1609" w:firstLine="419"/>
      </w:pPr>
      <w:r>
        <w:t>消防员职业健康监护主要包括职业健康检查、心理测验、体能测试和职业健康监护档案管理等内容。</w:t>
      </w:r>
      <w:r>
        <w:t xml:space="preserve"> </w:t>
      </w:r>
    </w:p>
    <w:p w14:paraId="5840AF24" w14:textId="77777777" w:rsidR="00A71EEF" w:rsidRDefault="0081115D">
      <w:pPr>
        <w:pStyle w:val="a4"/>
        <w:numPr>
          <w:ilvl w:val="1"/>
          <w:numId w:val="946"/>
        </w:numPr>
        <w:tabs>
          <w:tab w:val="left" w:pos="1160"/>
        </w:tabs>
        <w:spacing w:line="267" w:lineRule="exact"/>
        <w:rPr>
          <w:b/>
          <w:sz w:val="21"/>
        </w:rPr>
      </w:pPr>
      <w:r>
        <w:rPr>
          <w:spacing w:val="-3"/>
          <w:sz w:val="21"/>
        </w:rPr>
        <w:t>职业健康检查</w:t>
      </w:r>
      <w:r>
        <w:rPr>
          <w:b/>
          <w:w w:val="99"/>
          <w:sz w:val="21"/>
        </w:rPr>
        <w:t xml:space="preserve"> </w:t>
      </w:r>
    </w:p>
    <w:p w14:paraId="448BE7A5" w14:textId="77777777" w:rsidR="00A71EEF" w:rsidRDefault="00A71EEF">
      <w:pPr>
        <w:pStyle w:val="a3"/>
        <w:spacing w:before="2"/>
        <w:rPr>
          <w:b/>
          <w:sz w:val="18"/>
        </w:rPr>
      </w:pPr>
    </w:p>
    <w:p w14:paraId="4642908A" w14:textId="77777777" w:rsidR="00A71EEF" w:rsidRDefault="0081115D">
      <w:pPr>
        <w:pStyle w:val="a4"/>
        <w:numPr>
          <w:ilvl w:val="2"/>
          <w:numId w:val="946"/>
        </w:numPr>
        <w:tabs>
          <w:tab w:val="left" w:pos="1370"/>
        </w:tabs>
        <w:ind w:hanging="530"/>
        <w:rPr>
          <w:sz w:val="21"/>
        </w:rPr>
      </w:pPr>
      <w:r>
        <w:rPr>
          <w:spacing w:val="-3"/>
          <w:sz w:val="21"/>
        </w:rPr>
        <w:t>种类</w:t>
      </w:r>
      <w:r>
        <w:rPr>
          <w:sz w:val="21"/>
        </w:rPr>
        <w:t xml:space="preserve"> </w:t>
      </w:r>
    </w:p>
    <w:p w14:paraId="02AFD1AF" w14:textId="77777777" w:rsidR="00A71EEF" w:rsidRDefault="00A71EEF">
      <w:pPr>
        <w:pStyle w:val="a3"/>
        <w:rPr>
          <w:sz w:val="18"/>
        </w:rPr>
      </w:pPr>
    </w:p>
    <w:p w14:paraId="2E0BC7FE" w14:textId="77777777" w:rsidR="00A71EEF" w:rsidRDefault="0081115D">
      <w:pPr>
        <w:pStyle w:val="a3"/>
        <w:ind w:left="838"/>
      </w:pPr>
      <w:r>
        <w:t>职业健康检查主要包括上岗前、在岗期间、离岗时和应急健康检查四类。</w:t>
      </w:r>
      <w:r>
        <w:t xml:space="preserve"> </w:t>
      </w:r>
    </w:p>
    <w:p w14:paraId="15043591" w14:textId="77777777" w:rsidR="00A71EEF" w:rsidRDefault="00A71EEF">
      <w:pPr>
        <w:pStyle w:val="a3"/>
        <w:spacing w:before="12"/>
        <w:rPr>
          <w:sz w:val="17"/>
        </w:rPr>
      </w:pPr>
    </w:p>
    <w:p w14:paraId="5D87C16F" w14:textId="77777777" w:rsidR="00A71EEF" w:rsidRDefault="0081115D">
      <w:pPr>
        <w:pStyle w:val="a4"/>
        <w:numPr>
          <w:ilvl w:val="3"/>
          <w:numId w:val="946"/>
        </w:numPr>
        <w:tabs>
          <w:tab w:val="left" w:pos="1576"/>
        </w:tabs>
        <w:spacing w:line="446" w:lineRule="auto"/>
        <w:ind w:right="1505" w:firstLine="419"/>
        <w:rPr>
          <w:sz w:val="21"/>
        </w:rPr>
      </w:pPr>
      <w:r>
        <w:rPr>
          <w:spacing w:val="-3"/>
          <w:sz w:val="21"/>
        </w:rPr>
        <w:t>上岗前职业健康检查</w:t>
      </w:r>
      <w:r>
        <w:rPr>
          <w:spacing w:val="-3"/>
          <w:sz w:val="21"/>
        </w:rPr>
        <w:t xml:space="preserve"> </w:t>
      </w:r>
      <w:r>
        <w:rPr>
          <w:spacing w:val="-3"/>
          <w:sz w:val="21"/>
        </w:rPr>
        <w:t>消防组织对拟从事消防职业活动并可能接触职业危害因素的</w:t>
      </w:r>
      <w:r>
        <w:rPr>
          <w:spacing w:val="-6"/>
          <w:sz w:val="21"/>
        </w:rPr>
        <w:t>人员应进行上岗前职业健康检查。检查时间为上岗前</w:t>
      </w:r>
      <w:r>
        <w:rPr>
          <w:spacing w:val="-6"/>
          <w:sz w:val="21"/>
        </w:rPr>
        <w:t xml:space="preserve"> </w:t>
      </w:r>
      <w:r>
        <w:rPr>
          <w:sz w:val="21"/>
        </w:rPr>
        <w:t>30</w:t>
      </w:r>
      <w:r>
        <w:rPr>
          <w:spacing w:val="-15"/>
          <w:sz w:val="21"/>
        </w:rPr>
        <w:t xml:space="preserve"> </w:t>
      </w:r>
      <w:r>
        <w:rPr>
          <w:spacing w:val="-15"/>
          <w:sz w:val="21"/>
        </w:rPr>
        <w:t>天内。</w:t>
      </w:r>
      <w:r>
        <w:rPr>
          <w:sz w:val="21"/>
        </w:rPr>
        <w:t xml:space="preserve"> </w:t>
      </w:r>
    </w:p>
    <w:p w14:paraId="3C149D49" w14:textId="77777777" w:rsidR="00A71EEF" w:rsidRDefault="0081115D">
      <w:pPr>
        <w:pStyle w:val="a4"/>
        <w:numPr>
          <w:ilvl w:val="3"/>
          <w:numId w:val="946"/>
        </w:numPr>
        <w:tabs>
          <w:tab w:val="left" w:pos="1576"/>
        </w:tabs>
        <w:spacing w:before="1" w:line="446" w:lineRule="auto"/>
        <w:ind w:right="1505" w:firstLine="419"/>
        <w:rPr>
          <w:sz w:val="21"/>
        </w:rPr>
      </w:pPr>
      <w:r>
        <w:rPr>
          <w:spacing w:val="-3"/>
          <w:sz w:val="21"/>
        </w:rPr>
        <w:t>在岗期间职业健康检查</w:t>
      </w:r>
      <w:r>
        <w:rPr>
          <w:spacing w:val="-3"/>
          <w:sz w:val="21"/>
        </w:rPr>
        <w:t xml:space="preserve"> </w:t>
      </w:r>
      <w:r>
        <w:rPr>
          <w:spacing w:val="-3"/>
          <w:sz w:val="21"/>
        </w:rPr>
        <w:t>消防组织对接触职业危害因素的消防员应进行在岗期间职</w:t>
      </w:r>
      <w:r>
        <w:rPr>
          <w:spacing w:val="-6"/>
          <w:sz w:val="21"/>
        </w:rPr>
        <w:t>业健康检查。在岗期间职业健康检查的周期为</w:t>
      </w:r>
      <w:r>
        <w:rPr>
          <w:spacing w:val="-6"/>
          <w:sz w:val="21"/>
        </w:rPr>
        <w:t xml:space="preserve"> </w:t>
      </w:r>
      <w:r>
        <w:rPr>
          <w:sz w:val="21"/>
        </w:rPr>
        <w:t>1</w:t>
      </w:r>
      <w:r>
        <w:rPr>
          <w:spacing w:val="-19"/>
          <w:sz w:val="21"/>
        </w:rPr>
        <w:t xml:space="preserve"> </w:t>
      </w:r>
      <w:r>
        <w:rPr>
          <w:spacing w:val="-19"/>
          <w:sz w:val="21"/>
        </w:rPr>
        <w:t>年。</w:t>
      </w:r>
      <w:r>
        <w:rPr>
          <w:spacing w:val="-19"/>
          <w:sz w:val="21"/>
        </w:rPr>
        <w:t xml:space="preserve"> </w:t>
      </w:r>
    </w:p>
    <w:p w14:paraId="7DE2CAD0" w14:textId="77777777" w:rsidR="00A71EEF" w:rsidRDefault="0081115D">
      <w:pPr>
        <w:pStyle w:val="a4"/>
        <w:numPr>
          <w:ilvl w:val="3"/>
          <w:numId w:val="946"/>
        </w:numPr>
        <w:tabs>
          <w:tab w:val="left" w:pos="1576"/>
        </w:tabs>
        <w:spacing w:line="446" w:lineRule="auto"/>
        <w:ind w:right="1714" w:firstLine="419"/>
        <w:rPr>
          <w:sz w:val="21"/>
        </w:rPr>
      </w:pPr>
      <w:r>
        <w:rPr>
          <w:spacing w:val="-3"/>
          <w:sz w:val="21"/>
        </w:rPr>
        <w:t>离岗时职业健康检查</w:t>
      </w:r>
      <w:r>
        <w:rPr>
          <w:spacing w:val="-3"/>
          <w:sz w:val="21"/>
        </w:rPr>
        <w:t xml:space="preserve"> </w:t>
      </w:r>
      <w:r>
        <w:rPr>
          <w:spacing w:val="-3"/>
          <w:sz w:val="21"/>
        </w:rPr>
        <w:t>消防组织对接触职业危害因素的消防员调离所从事的岗位前，应进行离岗时职业健康检查，确定其在停止接触职业危害因素时的健康状况。</w:t>
      </w:r>
      <w:r>
        <w:rPr>
          <w:sz w:val="21"/>
        </w:rPr>
        <w:t xml:space="preserve"> </w:t>
      </w:r>
    </w:p>
    <w:p w14:paraId="008B90D7" w14:textId="77777777" w:rsidR="00A71EEF" w:rsidRDefault="0081115D">
      <w:pPr>
        <w:pStyle w:val="a4"/>
        <w:numPr>
          <w:ilvl w:val="3"/>
          <w:numId w:val="946"/>
        </w:numPr>
        <w:tabs>
          <w:tab w:val="left" w:pos="1576"/>
        </w:tabs>
        <w:spacing w:line="446" w:lineRule="auto"/>
        <w:ind w:right="1505" w:firstLine="419"/>
        <w:rPr>
          <w:sz w:val="21"/>
        </w:rPr>
      </w:pPr>
      <w:r>
        <w:rPr>
          <w:spacing w:val="-3"/>
          <w:sz w:val="21"/>
        </w:rPr>
        <w:t>应急健康检查</w:t>
      </w:r>
      <w:r>
        <w:rPr>
          <w:spacing w:val="-3"/>
          <w:sz w:val="21"/>
        </w:rPr>
        <w:t xml:space="preserve"> </w:t>
      </w:r>
      <w:r>
        <w:rPr>
          <w:spacing w:val="-3"/>
          <w:sz w:val="21"/>
        </w:rPr>
        <w:t>消防组织应对执行灭火战斗、抢险救援等任务后，遭受或者可能遭受急性职业危害的消防员，及时组织健康检查。</w:t>
      </w:r>
      <w:r>
        <w:rPr>
          <w:sz w:val="21"/>
        </w:rPr>
        <w:t xml:space="preserve"> </w:t>
      </w:r>
    </w:p>
    <w:p w14:paraId="05404494" w14:textId="77777777" w:rsidR="00A71EEF" w:rsidRDefault="0081115D">
      <w:pPr>
        <w:pStyle w:val="a4"/>
        <w:numPr>
          <w:ilvl w:val="2"/>
          <w:numId w:val="946"/>
        </w:numPr>
        <w:tabs>
          <w:tab w:val="left" w:pos="1370"/>
        </w:tabs>
        <w:ind w:hanging="530"/>
        <w:rPr>
          <w:sz w:val="21"/>
        </w:rPr>
      </w:pPr>
      <w:r>
        <w:rPr>
          <w:spacing w:val="-3"/>
          <w:sz w:val="21"/>
        </w:rPr>
        <w:t>内容</w:t>
      </w:r>
      <w:r>
        <w:rPr>
          <w:sz w:val="21"/>
        </w:rPr>
        <w:t xml:space="preserve"> </w:t>
      </w:r>
    </w:p>
    <w:p w14:paraId="0D938549" w14:textId="77777777" w:rsidR="00A71EEF" w:rsidRDefault="00A71EEF">
      <w:pPr>
        <w:pStyle w:val="a3"/>
        <w:spacing w:before="9"/>
        <w:rPr>
          <w:sz w:val="17"/>
        </w:rPr>
      </w:pPr>
    </w:p>
    <w:p w14:paraId="6F6D043C" w14:textId="77777777" w:rsidR="00A71EEF" w:rsidRDefault="0081115D">
      <w:pPr>
        <w:pStyle w:val="a4"/>
        <w:numPr>
          <w:ilvl w:val="3"/>
          <w:numId w:val="946"/>
        </w:numPr>
        <w:tabs>
          <w:tab w:val="left" w:pos="1576"/>
        </w:tabs>
        <w:spacing w:before="1" w:line="446" w:lineRule="auto"/>
        <w:ind w:right="1818" w:firstLine="419"/>
        <w:rPr>
          <w:sz w:val="21"/>
        </w:rPr>
      </w:pPr>
      <w:r>
        <w:rPr>
          <w:spacing w:val="-3"/>
          <w:sz w:val="21"/>
        </w:rPr>
        <w:t>上岗前、在岗期间、离岗时职业健康检查内容主要包括消防员个人基本信息资料、常规医学检查、特殊医学检查等。</w:t>
      </w:r>
      <w:r>
        <w:rPr>
          <w:sz w:val="21"/>
        </w:rPr>
        <w:t xml:space="preserve"> </w:t>
      </w:r>
    </w:p>
    <w:p w14:paraId="44487401" w14:textId="77777777" w:rsidR="00A71EEF" w:rsidRDefault="00A71EEF">
      <w:pPr>
        <w:spacing w:line="446" w:lineRule="auto"/>
        <w:rPr>
          <w:sz w:val="21"/>
        </w:rPr>
        <w:sectPr w:rsidR="00A71EEF">
          <w:pgSz w:w="11910" w:h="16850"/>
          <w:pgMar w:top="1220" w:right="0" w:bottom="1420" w:left="1260" w:header="0" w:footer="1239" w:gutter="0"/>
          <w:cols w:space="720"/>
        </w:sectPr>
      </w:pPr>
    </w:p>
    <w:p w14:paraId="2A97204F" w14:textId="77777777" w:rsidR="00A71EEF" w:rsidRDefault="0081115D">
      <w:pPr>
        <w:pStyle w:val="a4"/>
        <w:numPr>
          <w:ilvl w:val="3"/>
          <w:numId w:val="946"/>
        </w:numPr>
        <w:tabs>
          <w:tab w:val="left" w:pos="1576"/>
        </w:tabs>
        <w:spacing w:before="47"/>
        <w:ind w:left="1575"/>
        <w:jc w:val="both"/>
        <w:rPr>
          <w:sz w:val="21"/>
        </w:rPr>
      </w:pPr>
      <w:r>
        <w:rPr>
          <w:spacing w:val="-6"/>
          <w:sz w:val="21"/>
        </w:rPr>
        <w:lastRenderedPageBreak/>
        <w:t>消防员个人基本信息资料、常规医学检查内容按</w:t>
      </w:r>
      <w:r>
        <w:rPr>
          <w:spacing w:val="-6"/>
          <w:sz w:val="21"/>
        </w:rPr>
        <w:t xml:space="preserve"> </w:t>
      </w:r>
      <w:r>
        <w:rPr>
          <w:sz w:val="21"/>
        </w:rPr>
        <w:t>GBZ188</w:t>
      </w:r>
      <w:r>
        <w:rPr>
          <w:spacing w:val="-3"/>
          <w:sz w:val="21"/>
        </w:rPr>
        <w:t xml:space="preserve"> </w:t>
      </w:r>
      <w:r>
        <w:rPr>
          <w:spacing w:val="-3"/>
          <w:sz w:val="21"/>
        </w:rPr>
        <w:t>规定执行。</w:t>
      </w:r>
      <w:r>
        <w:rPr>
          <w:spacing w:val="-3"/>
          <w:sz w:val="21"/>
        </w:rPr>
        <w:t xml:space="preserve"> </w:t>
      </w:r>
    </w:p>
    <w:p w14:paraId="02BF374B" w14:textId="77777777" w:rsidR="00A71EEF" w:rsidRDefault="00A71EEF">
      <w:pPr>
        <w:pStyle w:val="a3"/>
        <w:rPr>
          <w:sz w:val="18"/>
        </w:rPr>
      </w:pPr>
    </w:p>
    <w:p w14:paraId="7CB8DB62" w14:textId="77777777" w:rsidR="00A71EEF" w:rsidRDefault="0081115D">
      <w:pPr>
        <w:pStyle w:val="a4"/>
        <w:numPr>
          <w:ilvl w:val="3"/>
          <w:numId w:val="946"/>
        </w:numPr>
        <w:tabs>
          <w:tab w:val="left" w:pos="1576"/>
        </w:tabs>
        <w:spacing w:line="446" w:lineRule="auto"/>
        <w:ind w:right="1608" w:firstLine="419"/>
        <w:jc w:val="both"/>
        <w:rPr>
          <w:sz w:val="21"/>
        </w:rPr>
      </w:pPr>
      <w:r>
        <w:rPr>
          <w:spacing w:val="-3"/>
          <w:sz w:val="21"/>
        </w:rPr>
        <w:t>特殊医学检查：应根据消</w:t>
      </w:r>
      <w:r>
        <w:rPr>
          <w:spacing w:val="-3"/>
          <w:sz w:val="21"/>
        </w:rPr>
        <w:t>防员接触或可能接触的化学、放射性物质等情况，在上岗前、在岗期间进行医学检查；根据消防职业活动所在地疫情，选择性地进行自然疫源性疾病和地方病检查。如</w:t>
      </w:r>
      <w:r>
        <w:rPr>
          <w:sz w:val="21"/>
        </w:rPr>
        <w:t xml:space="preserve"> </w:t>
      </w:r>
    </w:p>
    <w:p w14:paraId="5AC54613" w14:textId="77777777" w:rsidR="00A71EEF" w:rsidRDefault="0081115D">
      <w:pPr>
        <w:pStyle w:val="a4"/>
        <w:numPr>
          <w:ilvl w:val="0"/>
          <w:numId w:val="945"/>
        </w:numPr>
        <w:tabs>
          <w:tab w:val="left" w:pos="1051"/>
        </w:tabs>
        <w:spacing w:line="446" w:lineRule="auto"/>
        <w:ind w:right="1609" w:firstLine="419"/>
        <w:jc w:val="both"/>
        <w:rPr>
          <w:sz w:val="21"/>
        </w:rPr>
      </w:pPr>
      <w:r>
        <w:rPr>
          <w:spacing w:val="-3"/>
          <w:sz w:val="21"/>
        </w:rPr>
        <w:t>重金属检测：上岗前应进行铅、镉、汞等重金属的基线检测；在岗期间应根据消防员接触或可能接触的重金属确定检查项目，定期进行检测。</w:t>
      </w:r>
      <w:r>
        <w:rPr>
          <w:sz w:val="21"/>
        </w:rPr>
        <w:t xml:space="preserve"> </w:t>
      </w:r>
    </w:p>
    <w:p w14:paraId="5D1E210A" w14:textId="77777777" w:rsidR="00A71EEF" w:rsidRDefault="0081115D">
      <w:pPr>
        <w:pStyle w:val="a4"/>
        <w:numPr>
          <w:ilvl w:val="0"/>
          <w:numId w:val="945"/>
        </w:numPr>
        <w:tabs>
          <w:tab w:val="left" w:pos="1051"/>
        </w:tabs>
        <w:spacing w:line="269" w:lineRule="exact"/>
        <w:ind w:left="1050"/>
        <w:jc w:val="both"/>
        <w:rPr>
          <w:sz w:val="21"/>
        </w:rPr>
      </w:pPr>
      <w:r>
        <w:pict w14:anchorId="609B3A18">
          <v:shapetype id="_x0000_t202" coordsize="21600,21600" o:spt="202" path="m,l,21600r21600,l21600,xe">
            <v:stroke joinstyle="miter"/>
            <v:path gradientshapeok="t" o:connecttype="rect"/>
          </v:shapetype>
          <v:shape id="_x0000_s1193" type="#_x0000_t202" style="position:absolute;left:0;text-align:left;margin-left:281.55pt;margin-top:6.25pt;width:110.9pt;height:5.55pt;z-index:-251528704;mso-position-horizontal-relative:page" filled="f" stroked="f">
            <v:textbox inset="0,0,0,0">
              <w:txbxContent>
                <w:p w14:paraId="13BA125C" w14:textId="77777777" w:rsidR="00A71EEF" w:rsidRDefault="0081115D">
                  <w:pPr>
                    <w:tabs>
                      <w:tab w:val="left" w:pos="2162"/>
                    </w:tabs>
                    <w:spacing w:line="110" w:lineRule="exact"/>
                    <w:rPr>
                      <w:sz w:val="11"/>
                    </w:rPr>
                  </w:pPr>
                  <w:r>
                    <w:rPr>
                      <w:sz w:val="11"/>
                    </w:rPr>
                    <w:t>3</w:t>
                  </w:r>
                  <w:r>
                    <w:rPr>
                      <w:sz w:val="11"/>
                    </w:rPr>
                    <w:tab/>
                  </w:r>
                  <w:r>
                    <w:rPr>
                      <w:spacing w:val="-20"/>
                      <w:sz w:val="11"/>
                    </w:rPr>
                    <w:t>2</w:t>
                  </w:r>
                </w:p>
              </w:txbxContent>
            </v:textbox>
            <w10:wrap anchorx="page"/>
          </v:shape>
        </w:pict>
      </w:r>
      <w:r>
        <w:rPr>
          <w:spacing w:val="-3"/>
          <w:sz w:val="21"/>
        </w:rPr>
        <w:t>电解质</w:t>
      </w:r>
      <w:r>
        <w:rPr>
          <w:sz w:val="21"/>
        </w:rPr>
        <w:t>(Na</w:t>
      </w:r>
      <w:r>
        <w:rPr>
          <w:position w:val="11"/>
          <w:sz w:val="11"/>
        </w:rPr>
        <w:t>+</w:t>
      </w:r>
      <w:r>
        <w:rPr>
          <w:sz w:val="21"/>
        </w:rPr>
        <w:t>、</w:t>
      </w:r>
      <w:r>
        <w:rPr>
          <w:sz w:val="21"/>
        </w:rPr>
        <w:t>K</w:t>
      </w:r>
      <w:r>
        <w:rPr>
          <w:position w:val="11"/>
          <w:sz w:val="11"/>
        </w:rPr>
        <w:t>+</w:t>
      </w:r>
      <w:r>
        <w:rPr>
          <w:sz w:val="21"/>
        </w:rPr>
        <w:t>、</w:t>
      </w:r>
      <w:r>
        <w:rPr>
          <w:sz w:val="21"/>
        </w:rPr>
        <w:t>Cl</w:t>
      </w:r>
      <w:r>
        <w:rPr>
          <w:position w:val="11"/>
          <w:sz w:val="11"/>
        </w:rPr>
        <w:t>-</w:t>
      </w:r>
      <w:r>
        <w:rPr>
          <w:sz w:val="21"/>
        </w:rPr>
        <w:t>、</w:t>
      </w:r>
      <w:r>
        <w:rPr>
          <w:sz w:val="21"/>
        </w:rPr>
        <w:t>Ca</w:t>
      </w:r>
      <w:r>
        <w:rPr>
          <w:position w:val="11"/>
          <w:sz w:val="11"/>
        </w:rPr>
        <w:t>2+</w:t>
      </w:r>
      <w:r>
        <w:rPr>
          <w:sz w:val="21"/>
        </w:rPr>
        <w:t>、</w:t>
      </w:r>
      <w:r>
        <w:rPr>
          <w:sz w:val="21"/>
        </w:rPr>
        <w:t xml:space="preserve"> HC0</w:t>
      </w:r>
      <w:r>
        <w:rPr>
          <w:spacing w:val="-50"/>
          <w:sz w:val="21"/>
        </w:rPr>
        <w:t xml:space="preserve"> </w:t>
      </w:r>
      <w:r>
        <w:rPr>
          <w:spacing w:val="26"/>
          <w:position w:val="11"/>
          <w:sz w:val="11"/>
        </w:rPr>
        <w:t xml:space="preserve">- </w:t>
      </w:r>
      <w:r>
        <w:rPr>
          <w:spacing w:val="-9"/>
          <w:sz w:val="21"/>
        </w:rPr>
        <w:t>或二氧化碳结合力</w:t>
      </w:r>
      <w:r>
        <w:rPr>
          <w:spacing w:val="-9"/>
          <w:sz w:val="21"/>
        </w:rPr>
        <w:t xml:space="preserve"> </w:t>
      </w:r>
      <w:r>
        <w:rPr>
          <w:sz w:val="21"/>
        </w:rPr>
        <w:t>C0</w:t>
      </w:r>
      <w:r>
        <w:rPr>
          <w:spacing w:val="-50"/>
          <w:sz w:val="21"/>
        </w:rPr>
        <w:t xml:space="preserve"> </w:t>
      </w:r>
      <w:r>
        <w:rPr>
          <w:sz w:val="21"/>
        </w:rPr>
        <w:t>CP</w:t>
      </w:r>
      <w:r>
        <w:rPr>
          <w:spacing w:val="-2"/>
          <w:sz w:val="21"/>
        </w:rPr>
        <w:t>)</w:t>
      </w:r>
      <w:r>
        <w:rPr>
          <w:spacing w:val="-2"/>
          <w:sz w:val="21"/>
        </w:rPr>
        <w:t>检测。</w:t>
      </w:r>
      <w:r>
        <w:rPr>
          <w:sz w:val="21"/>
        </w:rPr>
        <w:t xml:space="preserve"> </w:t>
      </w:r>
    </w:p>
    <w:p w14:paraId="67E66A2D" w14:textId="77777777" w:rsidR="00A71EEF" w:rsidRDefault="00A71EEF">
      <w:pPr>
        <w:pStyle w:val="a3"/>
        <w:spacing w:before="12"/>
        <w:rPr>
          <w:sz w:val="17"/>
        </w:rPr>
      </w:pPr>
    </w:p>
    <w:p w14:paraId="0D842F9F" w14:textId="77777777" w:rsidR="00A71EEF" w:rsidRDefault="0081115D">
      <w:pPr>
        <w:pStyle w:val="a4"/>
        <w:numPr>
          <w:ilvl w:val="0"/>
          <w:numId w:val="945"/>
        </w:numPr>
        <w:tabs>
          <w:tab w:val="left" w:pos="1051"/>
        </w:tabs>
        <w:ind w:left="1050"/>
        <w:jc w:val="both"/>
        <w:rPr>
          <w:sz w:val="21"/>
        </w:rPr>
      </w:pPr>
      <w:r>
        <w:rPr>
          <w:spacing w:val="-3"/>
          <w:sz w:val="21"/>
        </w:rPr>
        <w:t>外周血淋巴细胞染色体畸变率和微核率。</w:t>
      </w:r>
      <w:r>
        <w:rPr>
          <w:sz w:val="21"/>
        </w:rPr>
        <w:t xml:space="preserve"> </w:t>
      </w:r>
    </w:p>
    <w:p w14:paraId="23239020" w14:textId="77777777" w:rsidR="00A71EEF" w:rsidRDefault="00A71EEF">
      <w:pPr>
        <w:pStyle w:val="a3"/>
        <w:spacing w:before="12"/>
        <w:rPr>
          <w:sz w:val="17"/>
        </w:rPr>
      </w:pPr>
    </w:p>
    <w:p w14:paraId="265CD94B" w14:textId="77777777" w:rsidR="00A71EEF" w:rsidRDefault="0081115D">
      <w:pPr>
        <w:pStyle w:val="a4"/>
        <w:numPr>
          <w:ilvl w:val="3"/>
          <w:numId w:val="946"/>
        </w:numPr>
        <w:tabs>
          <w:tab w:val="left" w:pos="1576"/>
        </w:tabs>
        <w:ind w:left="1575"/>
        <w:rPr>
          <w:sz w:val="21"/>
        </w:rPr>
      </w:pPr>
      <w:r>
        <w:rPr>
          <w:spacing w:val="-6"/>
          <w:sz w:val="21"/>
        </w:rPr>
        <w:t>消防员常见急性职业危害应急健康检查内容按</w:t>
      </w:r>
      <w:r>
        <w:rPr>
          <w:spacing w:val="-6"/>
          <w:sz w:val="21"/>
        </w:rPr>
        <w:t xml:space="preserve"> </w:t>
      </w:r>
      <w:r>
        <w:rPr>
          <w:sz w:val="21"/>
        </w:rPr>
        <w:t>GBZ188</w:t>
      </w:r>
      <w:r>
        <w:rPr>
          <w:spacing w:val="-3"/>
          <w:sz w:val="21"/>
        </w:rPr>
        <w:t xml:space="preserve"> </w:t>
      </w:r>
      <w:r>
        <w:rPr>
          <w:spacing w:val="-3"/>
          <w:sz w:val="21"/>
        </w:rPr>
        <w:t>执行。</w:t>
      </w:r>
      <w:r>
        <w:rPr>
          <w:sz w:val="21"/>
        </w:rPr>
        <w:t xml:space="preserve"> </w:t>
      </w:r>
    </w:p>
    <w:p w14:paraId="5308D887" w14:textId="77777777" w:rsidR="00A71EEF" w:rsidRDefault="00A71EEF">
      <w:pPr>
        <w:pStyle w:val="a3"/>
        <w:spacing w:before="2"/>
        <w:rPr>
          <w:sz w:val="18"/>
        </w:rPr>
      </w:pPr>
    </w:p>
    <w:p w14:paraId="15679B6C" w14:textId="77777777" w:rsidR="00A71EEF" w:rsidRDefault="0081115D">
      <w:pPr>
        <w:pStyle w:val="a4"/>
        <w:numPr>
          <w:ilvl w:val="3"/>
          <w:numId w:val="946"/>
        </w:numPr>
        <w:tabs>
          <w:tab w:val="left" w:pos="1576"/>
        </w:tabs>
        <w:spacing w:line="446" w:lineRule="auto"/>
        <w:ind w:right="1609" w:firstLine="419"/>
        <w:rPr>
          <w:sz w:val="21"/>
        </w:rPr>
      </w:pPr>
      <w:r>
        <w:rPr>
          <w:spacing w:val="-3"/>
          <w:sz w:val="21"/>
        </w:rPr>
        <w:t>本标准规定的职业健康检查指标是最低要求，消防组织可以根据不同情况增加检查指标，但应有充分的理由。</w:t>
      </w:r>
      <w:r>
        <w:rPr>
          <w:sz w:val="21"/>
        </w:rPr>
        <w:t xml:space="preserve"> </w:t>
      </w:r>
    </w:p>
    <w:p w14:paraId="42C232AF" w14:textId="77777777" w:rsidR="00A71EEF" w:rsidRDefault="0081115D">
      <w:pPr>
        <w:pStyle w:val="a4"/>
        <w:numPr>
          <w:ilvl w:val="2"/>
          <w:numId w:val="946"/>
        </w:numPr>
        <w:tabs>
          <w:tab w:val="left" w:pos="1371"/>
        </w:tabs>
        <w:spacing w:line="267" w:lineRule="exact"/>
        <w:ind w:left="1370" w:hanging="531"/>
        <w:rPr>
          <w:sz w:val="21"/>
        </w:rPr>
      </w:pPr>
      <w:r>
        <w:rPr>
          <w:spacing w:val="-3"/>
          <w:sz w:val="21"/>
        </w:rPr>
        <w:t>检查机构</w:t>
      </w:r>
      <w:r>
        <w:rPr>
          <w:sz w:val="21"/>
        </w:rPr>
        <w:t xml:space="preserve"> </w:t>
      </w:r>
    </w:p>
    <w:p w14:paraId="2F1F431C" w14:textId="77777777" w:rsidR="00A71EEF" w:rsidRDefault="00A71EEF">
      <w:pPr>
        <w:pStyle w:val="a3"/>
        <w:spacing w:before="2"/>
        <w:rPr>
          <w:sz w:val="18"/>
        </w:rPr>
      </w:pPr>
    </w:p>
    <w:p w14:paraId="5D5E5359" w14:textId="77777777" w:rsidR="00A71EEF" w:rsidRDefault="0081115D">
      <w:pPr>
        <w:pStyle w:val="a3"/>
        <w:spacing w:line="446" w:lineRule="auto"/>
        <w:ind w:left="418" w:right="1609" w:firstLine="419"/>
      </w:pPr>
      <w:r>
        <w:t>消防组织应委托由省级以上人民政府卫生行政部门批准的医疗卫生机构承担职业健康检查工作。</w:t>
      </w:r>
      <w:r>
        <w:t xml:space="preserve"> </w:t>
      </w:r>
    </w:p>
    <w:p w14:paraId="06B076CB" w14:textId="77777777" w:rsidR="00A71EEF" w:rsidRDefault="0081115D">
      <w:pPr>
        <w:pStyle w:val="6"/>
        <w:numPr>
          <w:ilvl w:val="1"/>
          <w:numId w:val="944"/>
        </w:numPr>
        <w:tabs>
          <w:tab w:val="left" w:pos="1159"/>
        </w:tabs>
        <w:spacing w:line="267" w:lineRule="exact"/>
        <w:ind w:hanging="319"/>
      </w:pPr>
      <w:r>
        <w:t>心理测验</w:t>
      </w:r>
      <w:r>
        <w:rPr>
          <w:w w:val="99"/>
        </w:rPr>
        <w:t xml:space="preserve"> </w:t>
      </w:r>
    </w:p>
    <w:p w14:paraId="3ACA0E15" w14:textId="77777777" w:rsidR="00A71EEF" w:rsidRDefault="00A71EEF">
      <w:pPr>
        <w:pStyle w:val="a3"/>
        <w:spacing w:before="2"/>
        <w:rPr>
          <w:b/>
          <w:sz w:val="18"/>
        </w:rPr>
      </w:pPr>
    </w:p>
    <w:p w14:paraId="748B0847" w14:textId="77777777" w:rsidR="00A71EEF" w:rsidRDefault="0081115D">
      <w:pPr>
        <w:pStyle w:val="a4"/>
        <w:numPr>
          <w:ilvl w:val="2"/>
          <w:numId w:val="944"/>
        </w:numPr>
        <w:tabs>
          <w:tab w:val="left" w:pos="1370"/>
        </w:tabs>
        <w:ind w:hanging="530"/>
        <w:rPr>
          <w:sz w:val="21"/>
        </w:rPr>
      </w:pPr>
      <w:r>
        <w:rPr>
          <w:spacing w:val="-3"/>
          <w:sz w:val="21"/>
        </w:rPr>
        <w:t>消防组织应定期对消防员进行心理测验。</w:t>
      </w:r>
      <w:r>
        <w:rPr>
          <w:sz w:val="21"/>
        </w:rPr>
        <w:t xml:space="preserve"> </w:t>
      </w:r>
    </w:p>
    <w:p w14:paraId="14C98508" w14:textId="77777777" w:rsidR="00A71EEF" w:rsidRDefault="00A71EEF">
      <w:pPr>
        <w:pStyle w:val="a3"/>
        <w:spacing w:before="12"/>
        <w:rPr>
          <w:sz w:val="17"/>
        </w:rPr>
      </w:pPr>
    </w:p>
    <w:p w14:paraId="1201337D" w14:textId="77777777" w:rsidR="00A71EEF" w:rsidRDefault="0081115D">
      <w:pPr>
        <w:pStyle w:val="a4"/>
        <w:numPr>
          <w:ilvl w:val="2"/>
          <w:numId w:val="944"/>
        </w:numPr>
        <w:tabs>
          <w:tab w:val="left" w:pos="1370"/>
        </w:tabs>
        <w:ind w:hanging="530"/>
        <w:rPr>
          <w:sz w:val="21"/>
        </w:rPr>
      </w:pPr>
      <w:r>
        <w:rPr>
          <w:spacing w:val="-3"/>
          <w:sz w:val="21"/>
        </w:rPr>
        <w:t>心理测验由省级消防组织设立的心理咨询服务机构组织实施。</w:t>
      </w:r>
      <w:r>
        <w:rPr>
          <w:sz w:val="21"/>
        </w:rPr>
        <w:t xml:space="preserve"> </w:t>
      </w:r>
    </w:p>
    <w:p w14:paraId="532102FF" w14:textId="77777777" w:rsidR="00A71EEF" w:rsidRDefault="00A71EEF">
      <w:pPr>
        <w:pStyle w:val="a3"/>
        <w:spacing w:before="12"/>
        <w:rPr>
          <w:sz w:val="17"/>
        </w:rPr>
      </w:pPr>
    </w:p>
    <w:p w14:paraId="347CE081" w14:textId="77777777" w:rsidR="00A71EEF" w:rsidRDefault="0081115D">
      <w:pPr>
        <w:pStyle w:val="a4"/>
        <w:numPr>
          <w:ilvl w:val="2"/>
          <w:numId w:val="944"/>
        </w:numPr>
        <w:tabs>
          <w:tab w:val="left" w:pos="1371"/>
        </w:tabs>
        <w:ind w:left="1370" w:hanging="531"/>
        <w:rPr>
          <w:sz w:val="21"/>
        </w:rPr>
      </w:pPr>
      <w:r>
        <w:rPr>
          <w:spacing w:val="-3"/>
          <w:sz w:val="21"/>
        </w:rPr>
        <w:t>心理测验方法以问卷调查为主，辅以访谈、投射测验等其他测验方式。</w:t>
      </w:r>
      <w:r>
        <w:rPr>
          <w:spacing w:val="-3"/>
          <w:sz w:val="21"/>
        </w:rPr>
        <w:t xml:space="preserve"> </w:t>
      </w:r>
    </w:p>
    <w:p w14:paraId="35BD95F9" w14:textId="77777777" w:rsidR="00A71EEF" w:rsidRDefault="00A71EEF">
      <w:pPr>
        <w:pStyle w:val="a3"/>
        <w:spacing w:before="2"/>
        <w:rPr>
          <w:sz w:val="18"/>
        </w:rPr>
      </w:pPr>
    </w:p>
    <w:p w14:paraId="452F3485" w14:textId="77777777" w:rsidR="00A71EEF" w:rsidRDefault="0081115D">
      <w:pPr>
        <w:pStyle w:val="a4"/>
        <w:numPr>
          <w:ilvl w:val="2"/>
          <w:numId w:val="944"/>
        </w:numPr>
        <w:tabs>
          <w:tab w:val="left" w:pos="1370"/>
        </w:tabs>
        <w:spacing w:line="446" w:lineRule="auto"/>
        <w:ind w:left="418" w:right="1604" w:firstLine="422"/>
        <w:jc w:val="both"/>
        <w:rPr>
          <w:sz w:val="21"/>
        </w:rPr>
      </w:pPr>
      <w:r>
        <w:rPr>
          <w:spacing w:val="-3"/>
          <w:sz w:val="21"/>
        </w:rPr>
        <w:t>对参与处理大规模的人员伤亡事件、涉及儿童死亡的事件、涉及消防员死亡或受伤的事件以及其他影响消防员的生理和心理健康的事件后的消防员适时进行心理疏导，对己出现心理障碍的消防员及时进行诊治。</w:t>
      </w:r>
      <w:r>
        <w:rPr>
          <w:sz w:val="21"/>
        </w:rPr>
        <w:t xml:space="preserve"> </w:t>
      </w:r>
    </w:p>
    <w:p w14:paraId="3EFE9B99" w14:textId="77777777" w:rsidR="00A71EEF" w:rsidRDefault="0081115D">
      <w:pPr>
        <w:pStyle w:val="a4"/>
        <w:numPr>
          <w:ilvl w:val="1"/>
          <w:numId w:val="944"/>
        </w:numPr>
        <w:tabs>
          <w:tab w:val="left" w:pos="1159"/>
        </w:tabs>
        <w:spacing w:line="268" w:lineRule="exact"/>
        <w:ind w:hanging="319"/>
        <w:rPr>
          <w:b/>
          <w:sz w:val="21"/>
        </w:rPr>
      </w:pPr>
      <w:r>
        <w:rPr>
          <w:spacing w:val="-3"/>
          <w:sz w:val="21"/>
        </w:rPr>
        <w:t>体能测试</w:t>
      </w:r>
      <w:r>
        <w:rPr>
          <w:b/>
          <w:w w:val="99"/>
          <w:sz w:val="21"/>
        </w:rPr>
        <w:t xml:space="preserve"> </w:t>
      </w:r>
    </w:p>
    <w:p w14:paraId="48A408C9" w14:textId="77777777" w:rsidR="00A71EEF" w:rsidRDefault="00A71EEF">
      <w:pPr>
        <w:pStyle w:val="a3"/>
        <w:rPr>
          <w:b/>
          <w:sz w:val="18"/>
        </w:rPr>
      </w:pPr>
    </w:p>
    <w:p w14:paraId="57F1D671" w14:textId="77777777" w:rsidR="00A71EEF" w:rsidRDefault="0081115D">
      <w:pPr>
        <w:pStyle w:val="a4"/>
        <w:numPr>
          <w:ilvl w:val="2"/>
          <w:numId w:val="944"/>
        </w:numPr>
        <w:tabs>
          <w:tab w:val="left" w:pos="1371"/>
        </w:tabs>
        <w:spacing w:line="446" w:lineRule="auto"/>
        <w:ind w:left="418" w:right="1604" w:firstLine="422"/>
        <w:rPr>
          <w:sz w:val="21"/>
        </w:rPr>
      </w:pPr>
      <w:r>
        <w:rPr>
          <w:spacing w:val="-3"/>
          <w:sz w:val="21"/>
        </w:rPr>
        <w:t>体能是判定消防员作业能力的重要指标，消防组织应对在岗的消防员进行体能训练和体能测试。</w:t>
      </w:r>
      <w:r>
        <w:rPr>
          <w:sz w:val="21"/>
        </w:rPr>
        <w:t xml:space="preserve"> </w:t>
      </w:r>
    </w:p>
    <w:p w14:paraId="73BC9B91" w14:textId="77777777" w:rsidR="00A71EEF" w:rsidRDefault="0081115D">
      <w:pPr>
        <w:pStyle w:val="a4"/>
        <w:numPr>
          <w:ilvl w:val="2"/>
          <w:numId w:val="944"/>
        </w:numPr>
        <w:tabs>
          <w:tab w:val="left" w:pos="1370"/>
        </w:tabs>
        <w:ind w:hanging="530"/>
        <w:rPr>
          <w:sz w:val="21"/>
        </w:rPr>
      </w:pPr>
      <w:r>
        <w:rPr>
          <w:spacing w:val="-3"/>
          <w:sz w:val="21"/>
        </w:rPr>
        <w:t>体能训练</w:t>
      </w:r>
      <w:r>
        <w:rPr>
          <w:sz w:val="21"/>
        </w:rPr>
        <w:t xml:space="preserve"> </w:t>
      </w:r>
    </w:p>
    <w:p w14:paraId="25A906CF" w14:textId="77777777" w:rsidR="00A71EEF" w:rsidRDefault="00A71EEF">
      <w:pPr>
        <w:pStyle w:val="a3"/>
        <w:rPr>
          <w:sz w:val="18"/>
        </w:rPr>
      </w:pPr>
    </w:p>
    <w:p w14:paraId="6076F3DC" w14:textId="77777777" w:rsidR="00A71EEF" w:rsidRDefault="0081115D">
      <w:pPr>
        <w:pStyle w:val="a4"/>
        <w:numPr>
          <w:ilvl w:val="3"/>
          <w:numId w:val="944"/>
        </w:numPr>
        <w:tabs>
          <w:tab w:val="left" w:pos="1576"/>
        </w:tabs>
        <w:rPr>
          <w:sz w:val="21"/>
        </w:rPr>
      </w:pPr>
      <w:r>
        <w:rPr>
          <w:spacing w:val="-3"/>
          <w:sz w:val="21"/>
        </w:rPr>
        <w:t>体能训练应从身体形态、机能、素质和专业体能等方面进行。</w:t>
      </w:r>
      <w:r>
        <w:rPr>
          <w:sz w:val="21"/>
        </w:rPr>
        <w:t xml:space="preserve"> </w:t>
      </w:r>
    </w:p>
    <w:p w14:paraId="4E7635C2" w14:textId="77777777" w:rsidR="00A71EEF" w:rsidRDefault="00A71EEF">
      <w:pPr>
        <w:pStyle w:val="a3"/>
        <w:spacing w:before="12"/>
        <w:rPr>
          <w:sz w:val="17"/>
        </w:rPr>
      </w:pPr>
    </w:p>
    <w:p w14:paraId="27F93077" w14:textId="77777777" w:rsidR="00A71EEF" w:rsidRDefault="0081115D">
      <w:pPr>
        <w:pStyle w:val="a4"/>
        <w:numPr>
          <w:ilvl w:val="3"/>
          <w:numId w:val="944"/>
        </w:numPr>
        <w:tabs>
          <w:tab w:val="left" w:pos="1576"/>
        </w:tabs>
        <w:rPr>
          <w:sz w:val="21"/>
        </w:rPr>
      </w:pPr>
      <w:r>
        <w:rPr>
          <w:spacing w:val="-3"/>
          <w:sz w:val="21"/>
        </w:rPr>
        <w:t>体能训练应合理、科学，训练方法按国家级消防组织的规定执行。</w:t>
      </w:r>
      <w:r>
        <w:rPr>
          <w:sz w:val="21"/>
        </w:rPr>
        <w:t xml:space="preserve"> </w:t>
      </w:r>
    </w:p>
    <w:p w14:paraId="1DC508AB" w14:textId="77777777" w:rsidR="00A71EEF" w:rsidRDefault="00A71EEF">
      <w:pPr>
        <w:rPr>
          <w:sz w:val="21"/>
        </w:rPr>
        <w:sectPr w:rsidR="00A71EEF">
          <w:pgSz w:w="11910" w:h="16850"/>
          <w:pgMar w:top="1220" w:right="0" w:bottom="1420" w:left="1260" w:header="0" w:footer="1239" w:gutter="0"/>
          <w:cols w:space="720"/>
        </w:sectPr>
      </w:pPr>
    </w:p>
    <w:p w14:paraId="2AEA4DE2" w14:textId="77777777" w:rsidR="00A71EEF" w:rsidRDefault="0081115D">
      <w:pPr>
        <w:pStyle w:val="a4"/>
        <w:numPr>
          <w:ilvl w:val="3"/>
          <w:numId w:val="944"/>
        </w:numPr>
        <w:tabs>
          <w:tab w:val="left" w:pos="1576"/>
        </w:tabs>
        <w:spacing w:before="47" w:line="446" w:lineRule="auto"/>
        <w:ind w:left="418" w:right="1609" w:firstLine="419"/>
        <w:rPr>
          <w:sz w:val="21"/>
        </w:rPr>
      </w:pPr>
      <w:r>
        <w:rPr>
          <w:spacing w:val="-3"/>
          <w:sz w:val="21"/>
        </w:rPr>
        <w:lastRenderedPageBreak/>
        <w:t>体能训练应在消防员身体条件允许的情况下进行，在训练期间，消防员应对身体状况进行自我监督，出现身体不适，应停止训练。</w:t>
      </w:r>
      <w:r>
        <w:rPr>
          <w:sz w:val="21"/>
        </w:rPr>
        <w:t xml:space="preserve"> </w:t>
      </w:r>
    </w:p>
    <w:p w14:paraId="79BA8EB2" w14:textId="77777777" w:rsidR="00A71EEF" w:rsidRDefault="0081115D">
      <w:pPr>
        <w:pStyle w:val="a4"/>
        <w:numPr>
          <w:ilvl w:val="2"/>
          <w:numId w:val="944"/>
        </w:numPr>
        <w:tabs>
          <w:tab w:val="left" w:pos="1370"/>
        </w:tabs>
        <w:spacing w:line="267" w:lineRule="exact"/>
        <w:ind w:hanging="530"/>
        <w:rPr>
          <w:sz w:val="21"/>
        </w:rPr>
      </w:pPr>
      <w:r>
        <w:rPr>
          <w:spacing w:val="-3"/>
          <w:sz w:val="21"/>
        </w:rPr>
        <w:t>体能测试</w:t>
      </w:r>
      <w:r>
        <w:rPr>
          <w:sz w:val="21"/>
        </w:rPr>
        <w:t xml:space="preserve"> </w:t>
      </w:r>
    </w:p>
    <w:p w14:paraId="05013A54" w14:textId="77777777" w:rsidR="00A71EEF" w:rsidRDefault="00A71EEF">
      <w:pPr>
        <w:pStyle w:val="a3"/>
        <w:spacing w:before="2"/>
        <w:rPr>
          <w:sz w:val="18"/>
        </w:rPr>
      </w:pPr>
    </w:p>
    <w:p w14:paraId="1B275F24" w14:textId="77777777" w:rsidR="00A71EEF" w:rsidRDefault="0081115D">
      <w:pPr>
        <w:pStyle w:val="a4"/>
        <w:numPr>
          <w:ilvl w:val="3"/>
          <w:numId w:val="944"/>
        </w:numPr>
        <w:tabs>
          <w:tab w:val="left" w:pos="1576"/>
        </w:tabs>
        <w:rPr>
          <w:sz w:val="21"/>
        </w:rPr>
      </w:pPr>
      <w:r>
        <w:rPr>
          <w:spacing w:val="-3"/>
          <w:sz w:val="21"/>
        </w:rPr>
        <w:t>消防员应每年进行体能测试。</w:t>
      </w:r>
      <w:r>
        <w:rPr>
          <w:sz w:val="21"/>
        </w:rPr>
        <w:t xml:space="preserve"> </w:t>
      </w:r>
    </w:p>
    <w:p w14:paraId="5079AB83" w14:textId="77777777" w:rsidR="00A71EEF" w:rsidRDefault="00A71EEF">
      <w:pPr>
        <w:pStyle w:val="a3"/>
        <w:rPr>
          <w:sz w:val="18"/>
        </w:rPr>
      </w:pPr>
    </w:p>
    <w:p w14:paraId="66B5ACB6" w14:textId="77777777" w:rsidR="00A71EEF" w:rsidRDefault="0081115D">
      <w:pPr>
        <w:pStyle w:val="a4"/>
        <w:numPr>
          <w:ilvl w:val="3"/>
          <w:numId w:val="944"/>
        </w:numPr>
        <w:tabs>
          <w:tab w:val="left" w:pos="1576"/>
        </w:tabs>
        <w:rPr>
          <w:sz w:val="21"/>
        </w:rPr>
      </w:pPr>
      <w:r>
        <w:rPr>
          <w:spacing w:val="-3"/>
          <w:sz w:val="21"/>
        </w:rPr>
        <w:t>体能测试分为基础体能测试和专业体能测试。</w:t>
      </w:r>
      <w:r>
        <w:rPr>
          <w:sz w:val="21"/>
        </w:rPr>
        <w:t xml:space="preserve"> </w:t>
      </w:r>
    </w:p>
    <w:p w14:paraId="62AFA013" w14:textId="77777777" w:rsidR="00A71EEF" w:rsidRDefault="00A71EEF">
      <w:pPr>
        <w:pStyle w:val="a3"/>
        <w:spacing w:before="12"/>
        <w:rPr>
          <w:sz w:val="17"/>
        </w:rPr>
      </w:pPr>
    </w:p>
    <w:p w14:paraId="069CF091" w14:textId="77777777" w:rsidR="00A71EEF" w:rsidRDefault="0081115D">
      <w:pPr>
        <w:pStyle w:val="a4"/>
        <w:numPr>
          <w:ilvl w:val="3"/>
          <w:numId w:val="944"/>
        </w:numPr>
        <w:tabs>
          <w:tab w:val="left" w:pos="1576"/>
        </w:tabs>
        <w:rPr>
          <w:sz w:val="21"/>
        </w:rPr>
      </w:pPr>
      <w:r>
        <w:rPr>
          <w:spacing w:val="-3"/>
          <w:sz w:val="21"/>
        </w:rPr>
        <w:t>体能测试应在医护人员的监护下进行。</w:t>
      </w:r>
      <w:r>
        <w:rPr>
          <w:sz w:val="21"/>
        </w:rPr>
        <w:t xml:space="preserve"> </w:t>
      </w:r>
    </w:p>
    <w:p w14:paraId="4DC5A139" w14:textId="77777777" w:rsidR="00A71EEF" w:rsidRDefault="00A71EEF">
      <w:pPr>
        <w:pStyle w:val="a3"/>
        <w:spacing w:before="2"/>
        <w:rPr>
          <w:sz w:val="18"/>
        </w:rPr>
      </w:pPr>
    </w:p>
    <w:p w14:paraId="31C6EA8A" w14:textId="77777777" w:rsidR="00A71EEF" w:rsidRDefault="0081115D">
      <w:pPr>
        <w:pStyle w:val="a4"/>
        <w:numPr>
          <w:ilvl w:val="3"/>
          <w:numId w:val="944"/>
        </w:numPr>
        <w:tabs>
          <w:tab w:val="left" w:pos="1576"/>
        </w:tabs>
        <w:rPr>
          <w:sz w:val="21"/>
        </w:rPr>
      </w:pPr>
      <w:r>
        <w:rPr>
          <w:spacing w:val="-3"/>
          <w:sz w:val="21"/>
        </w:rPr>
        <w:t>体能测试前应做充分的准备活动。</w:t>
      </w:r>
      <w:r>
        <w:rPr>
          <w:sz w:val="21"/>
        </w:rPr>
        <w:t xml:space="preserve"> </w:t>
      </w:r>
    </w:p>
    <w:p w14:paraId="37207A03" w14:textId="77777777" w:rsidR="00A71EEF" w:rsidRDefault="00A71EEF">
      <w:pPr>
        <w:pStyle w:val="a3"/>
        <w:rPr>
          <w:sz w:val="18"/>
        </w:rPr>
      </w:pPr>
    </w:p>
    <w:p w14:paraId="73F5A2AC" w14:textId="77777777" w:rsidR="00A71EEF" w:rsidRDefault="0081115D">
      <w:pPr>
        <w:pStyle w:val="a4"/>
        <w:numPr>
          <w:ilvl w:val="3"/>
          <w:numId w:val="944"/>
        </w:numPr>
        <w:tabs>
          <w:tab w:val="left" w:pos="1576"/>
        </w:tabs>
        <w:rPr>
          <w:sz w:val="21"/>
        </w:rPr>
      </w:pPr>
      <w:r>
        <w:rPr>
          <w:spacing w:val="-3"/>
          <w:sz w:val="21"/>
        </w:rPr>
        <w:t>基础体能测试包括必测指标和选测指标：</w:t>
      </w:r>
      <w:r>
        <w:rPr>
          <w:sz w:val="21"/>
        </w:rPr>
        <w:t xml:space="preserve"> </w:t>
      </w:r>
    </w:p>
    <w:p w14:paraId="316E9BAB" w14:textId="77777777" w:rsidR="00A71EEF" w:rsidRDefault="00A71EEF">
      <w:pPr>
        <w:pStyle w:val="a3"/>
        <w:spacing w:before="12"/>
        <w:rPr>
          <w:sz w:val="17"/>
        </w:rPr>
      </w:pPr>
    </w:p>
    <w:p w14:paraId="7B56BA45" w14:textId="77777777" w:rsidR="00A71EEF" w:rsidRDefault="0081115D">
      <w:pPr>
        <w:pStyle w:val="a4"/>
        <w:numPr>
          <w:ilvl w:val="0"/>
          <w:numId w:val="943"/>
        </w:numPr>
        <w:tabs>
          <w:tab w:val="left" w:pos="1051"/>
        </w:tabs>
        <w:rPr>
          <w:sz w:val="21"/>
        </w:rPr>
      </w:pPr>
      <w:r>
        <w:rPr>
          <w:spacing w:val="-3"/>
          <w:sz w:val="21"/>
        </w:rPr>
        <w:t>必测指标：俯卧撑、仰卧起坐、引体向上、</w:t>
      </w:r>
      <w:r>
        <w:rPr>
          <w:sz w:val="21"/>
        </w:rPr>
        <w:t>100m</w:t>
      </w:r>
      <w:r>
        <w:rPr>
          <w:spacing w:val="-19"/>
          <w:sz w:val="21"/>
        </w:rPr>
        <w:t xml:space="preserve"> </w:t>
      </w:r>
      <w:r>
        <w:rPr>
          <w:spacing w:val="-19"/>
          <w:sz w:val="21"/>
        </w:rPr>
        <w:t>跑、</w:t>
      </w:r>
      <w:r>
        <w:rPr>
          <w:sz w:val="21"/>
        </w:rPr>
        <w:t>3000m</w:t>
      </w:r>
      <w:r>
        <w:rPr>
          <w:spacing w:val="-13"/>
          <w:sz w:val="21"/>
        </w:rPr>
        <w:t xml:space="preserve"> </w:t>
      </w:r>
      <w:r>
        <w:rPr>
          <w:spacing w:val="-13"/>
          <w:sz w:val="21"/>
        </w:rPr>
        <w:t>跑。各指标标准见表</w:t>
      </w:r>
      <w:r>
        <w:rPr>
          <w:spacing w:val="-13"/>
          <w:sz w:val="21"/>
        </w:rPr>
        <w:t xml:space="preserve"> </w:t>
      </w:r>
      <w:r>
        <w:rPr>
          <w:sz w:val="21"/>
        </w:rPr>
        <w:t>1</w:t>
      </w:r>
      <w:r>
        <w:rPr>
          <w:spacing w:val="-3"/>
          <w:sz w:val="21"/>
        </w:rPr>
        <w:t>。</w:t>
      </w:r>
      <w:r>
        <w:rPr>
          <w:sz w:val="21"/>
        </w:rPr>
        <w:t xml:space="preserve"> </w:t>
      </w:r>
    </w:p>
    <w:p w14:paraId="4934F063" w14:textId="77777777" w:rsidR="00A71EEF" w:rsidRDefault="00A71EEF">
      <w:pPr>
        <w:pStyle w:val="a3"/>
        <w:rPr>
          <w:sz w:val="20"/>
        </w:rPr>
      </w:pPr>
    </w:p>
    <w:p w14:paraId="0EF6E19B" w14:textId="77777777" w:rsidR="00A71EEF" w:rsidRDefault="00A71EEF">
      <w:pPr>
        <w:pStyle w:val="a3"/>
        <w:rPr>
          <w:sz w:val="20"/>
        </w:rPr>
      </w:pPr>
    </w:p>
    <w:p w14:paraId="3039B068" w14:textId="77777777" w:rsidR="00A71EEF" w:rsidRDefault="00A71EEF">
      <w:pPr>
        <w:pStyle w:val="a3"/>
        <w:rPr>
          <w:sz w:val="20"/>
        </w:rPr>
      </w:pPr>
    </w:p>
    <w:p w14:paraId="303148FE" w14:textId="77777777" w:rsidR="00A71EEF" w:rsidRDefault="00A71EEF">
      <w:pPr>
        <w:pStyle w:val="a3"/>
        <w:rPr>
          <w:sz w:val="20"/>
        </w:rPr>
      </w:pPr>
    </w:p>
    <w:p w14:paraId="6DCA0F7D" w14:textId="77777777" w:rsidR="00A71EEF" w:rsidRDefault="00A71EEF">
      <w:pPr>
        <w:pStyle w:val="a3"/>
        <w:rPr>
          <w:sz w:val="20"/>
        </w:rPr>
      </w:pPr>
    </w:p>
    <w:p w14:paraId="7BC118BB" w14:textId="77777777" w:rsidR="00A71EEF" w:rsidRDefault="00A71EEF">
      <w:pPr>
        <w:pStyle w:val="a3"/>
        <w:rPr>
          <w:sz w:val="20"/>
        </w:rPr>
      </w:pPr>
    </w:p>
    <w:p w14:paraId="39DEB48C" w14:textId="77777777" w:rsidR="00A71EEF" w:rsidRDefault="00A71EEF">
      <w:pPr>
        <w:pStyle w:val="a3"/>
        <w:rPr>
          <w:sz w:val="20"/>
        </w:rPr>
      </w:pPr>
    </w:p>
    <w:p w14:paraId="2FC12704" w14:textId="77777777" w:rsidR="00A71EEF" w:rsidRDefault="00A71EEF">
      <w:pPr>
        <w:pStyle w:val="a3"/>
        <w:rPr>
          <w:sz w:val="20"/>
        </w:rPr>
      </w:pPr>
    </w:p>
    <w:p w14:paraId="20029B39" w14:textId="77777777" w:rsidR="00A71EEF" w:rsidRDefault="0081115D">
      <w:pPr>
        <w:pStyle w:val="a3"/>
        <w:spacing w:before="6"/>
        <w:rPr>
          <w:sz w:val="25"/>
        </w:rPr>
      </w:pPr>
      <w:r>
        <w:rPr>
          <w:noProof/>
        </w:rPr>
        <w:drawing>
          <wp:anchor distT="0" distB="0" distL="0" distR="0" simplePos="0" relativeHeight="251461120" behindDoc="0" locked="0" layoutInCell="1" allowOverlap="1" wp14:anchorId="3E108B74" wp14:editId="1BC2A7BA">
            <wp:simplePos x="0" y="0"/>
            <wp:positionH relativeFrom="page">
              <wp:posOffset>1464944</wp:posOffset>
            </wp:positionH>
            <wp:positionV relativeFrom="paragraph">
              <wp:posOffset>232306</wp:posOffset>
            </wp:positionV>
            <wp:extent cx="4882308" cy="2133600"/>
            <wp:effectExtent l="0" t="0" r="0" b="0"/>
            <wp:wrapTopAndBottom/>
            <wp:docPr id="1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5.jpeg"/>
                    <pic:cNvPicPr/>
                  </pic:nvPicPr>
                  <pic:blipFill>
                    <a:blip r:embed="rId21" cstate="print"/>
                    <a:stretch>
                      <a:fillRect/>
                    </a:stretch>
                  </pic:blipFill>
                  <pic:spPr>
                    <a:xfrm>
                      <a:off x="0" y="0"/>
                      <a:ext cx="4882308" cy="2133600"/>
                    </a:xfrm>
                    <a:prstGeom prst="rect">
                      <a:avLst/>
                    </a:prstGeom>
                  </pic:spPr>
                </pic:pic>
              </a:graphicData>
            </a:graphic>
          </wp:anchor>
        </w:drawing>
      </w:r>
    </w:p>
    <w:p w14:paraId="1F099A39" w14:textId="77777777" w:rsidR="00A71EEF" w:rsidRDefault="00A71EEF">
      <w:pPr>
        <w:pStyle w:val="a3"/>
        <w:spacing w:before="5"/>
        <w:rPr>
          <w:sz w:val="8"/>
        </w:rPr>
      </w:pPr>
    </w:p>
    <w:p w14:paraId="4E6E3F3E" w14:textId="77777777" w:rsidR="00A71EEF" w:rsidRDefault="0081115D">
      <w:pPr>
        <w:pStyle w:val="a3"/>
        <w:spacing w:before="72"/>
        <w:ind w:left="418"/>
      </w:pPr>
      <w:r>
        <w:t xml:space="preserve"> </w:t>
      </w:r>
    </w:p>
    <w:p w14:paraId="767D12C0" w14:textId="77777777" w:rsidR="00A71EEF" w:rsidRDefault="00A71EEF">
      <w:pPr>
        <w:sectPr w:rsidR="00A71EEF">
          <w:pgSz w:w="11910" w:h="16850"/>
          <w:pgMar w:top="1220" w:right="0" w:bottom="1420" w:left="1260" w:header="0" w:footer="1239" w:gutter="0"/>
          <w:cols w:space="720"/>
        </w:sectPr>
      </w:pPr>
    </w:p>
    <w:p w14:paraId="374538CD" w14:textId="77777777" w:rsidR="00A71EEF" w:rsidRDefault="0081115D">
      <w:pPr>
        <w:pStyle w:val="a4"/>
        <w:numPr>
          <w:ilvl w:val="0"/>
          <w:numId w:val="943"/>
        </w:numPr>
        <w:tabs>
          <w:tab w:val="left" w:pos="1051"/>
        </w:tabs>
        <w:spacing w:before="47" w:after="9" w:line="446" w:lineRule="auto"/>
        <w:ind w:left="418" w:right="1505" w:firstLine="419"/>
        <w:rPr>
          <w:sz w:val="21"/>
        </w:rPr>
      </w:pPr>
      <w:r>
        <w:rPr>
          <w:spacing w:val="-3"/>
          <w:sz w:val="21"/>
        </w:rPr>
        <w:lastRenderedPageBreak/>
        <w:t>选测指标：包括身体形态、机能、素质三类，身体形态、机能指标中至少选择一项对消防员进行测试，身体素质指标中至少选择两项对消防员进行测试。鼓励各级消防组织根据本地</w:t>
      </w:r>
      <w:r>
        <w:rPr>
          <w:spacing w:val="-5"/>
          <w:sz w:val="21"/>
        </w:rPr>
        <w:t>的实际情况选择更多的指标进行测试。各指标标准见表</w:t>
      </w:r>
      <w:r>
        <w:rPr>
          <w:spacing w:val="-5"/>
          <w:sz w:val="21"/>
        </w:rPr>
        <w:t xml:space="preserve"> </w:t>
      </w:r>
      <w:r>
        <w:rPr>
          <w:spacing w:val="-3"/>
          <w:sz w:val="21"/>
        </w:rPr>
        <w:t>2</w:t>
      </w:r>
      <w:r>
        <w:rPr>
          <w:spacing w:val="-3"/>
          <w:sz w:val="21"/>
        </w:rPr>
        <w:t>。</w:t>
      </w:r>
      <w:r>
        <w:rPr>
          <w:sz w:val="21"/>
        </w:rPr>
        <w:t xml:space="preserve"> </w:t>
      </w:r>
    </w:p>
    <w:p w14:paraId="75A0DD6C" w14:textId="77777777" w:rsidR="00A71EEF" w:rsidRDefault="0081115D">
      <w:pPr>
        <w:pStyle w:val="a3"/>
        <w:ind w:left="823"/>
        <w:rPr>
          <w:sz w:val="20"/>
        </w:rPr>
      </w:pPr>
      <w:r>
        <w:rPr>
          <w:noProof/>
          <w:sz w:val="20"/>
        </w:rPr>
        <w:drawing>
          <wp:inline distT="0" distB="0" distL="0" distR="0" wp14:anchorId="15A94218" wp14:editId="19595D0D">
            <wp:extent cx="5059887" cy="3733800"/>
            <wp:effectExtent l="0" t="0" r="0" b="0"/>
            <wp:docPr id="2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6.jpeg"/>
                    <pic:cNvPicPr/>
                  </pic:nvPicPr>
                  <pic:blipFill>
                    <a:blip r:embed="rId22" cstate="print"/>
                    <a:stretch>
                      <a:fillRect/>
                    </a:stretch>
                  </pic:blipFill>
                  <pic:spPr>
                    <a:xfrm>
                      <a:off x="0" y="0"/>
                      <a:ext cx="5059887" cy="3733800"/>
                    </a:xfrm>
                    <a:prstGeom prst="rect">
                      <a:avLst/>
                    </a:prstGeom>
                  </pic:spPr>
                </pic:pic>
              </a:graphicData>
            </a:graphic>
          </wp:inline>
        </w:drawing>
      </w:r>
    </w:p>
    <w:p w14:paraId="375B66FB" w14:textId="77777777" w:rsidR="00A71EEF" w:rsidRDefault="00A71EEF">
      <w:pPr>
        <w:pStyle w:val="a3"/>
        <w:rPr>
          <w:sz w:val="20"/>
        </w:rPr>
      </w:pPr>
    </w:p>
    <w:p w14:paraId="488A70A4" w14:textId="77777777" w:rsidR="00A71EEF" w:rsidRDefault="00A71EEF">
      <w:pPr>
        <w:pStyle w:val="a3"/>
        <w:rPr>
          <w:sz w:val="20"/>
        </w:rPr>
      </w:pPr>
    </w:p>
    <w:p w14:paraId="02102C08" w14:textId="77777777" w:rsidR="00A71EEF" w:rsidRDefault="0081115D">
      <w:pPr>
        <w:pStyle w:val="a4"/>
        <w:numPr>
          <w:ilvl w:val="3"/>
          <w:numId w:val="944"/>
        </w:numPr>
        <w:tabs>
          <w:tab w:val="left" w:pos="1576"/>
        </w:tabs>
        <w:spacing w:before="165"/>
        <w:rPr>
          <w:sz w:val="21"/>
        </w:rPr>
      </w:pPr>
      <w:r>
        <w:rPr>
          <w:spacing w:val="-3"/>
          <w:sz w:val="21"/>
        </w:rPr>
        <w:t>专业体能测试应按国家级消防组织制定的体能组合练习有关规定执行。</w:t>
      </w:r>
      <w:r>
        <w:rPr>
          <w:spacing w:val="-3"/>
          <w:sz w:val="21"/>
        </w:rPr>
        <w:t xml:space="preserve"> </w:t>
      </w:r>
    </w:p>
    <w:p w14:paraId="4175EA53" w14:textId="77777777" w:rsidR="00A71EEF" w:rsidRDefault="00A71EEF">
      <w:pPr>
        <w:pStyle w:val="a3"/>
        <w:rPr>
          <w:sz w:val="18"/>
        </w:rPr>
      </w:pPr>
    </w:p>
    <w:p w14:paraId="63AB4D91" w14:textId="77777777" w:rsidR="00A71EEF" w:rsidRDefault="0081115D">
      <w:pPr>
        <w:pStyle w:val="a4"/>
        <w:numPr>
          <w:ilvl w:val="3"/>
          <w:numId w:val="944"/>
        </w:numPr>
        <w:tabs>
          <w:tab w:val="left" w:pos="1576"/>
        </w:tabs>
        <w:rPr>
          <w:sz w:val="21"/>
        </w:rPr>
      </w:pPr>
      <w:r>
        <w:rPr>
          <w:spacing w:val="-8"/>
          <w:sz w:val="21"/>
        </w:rPr>
        <w:t>体能测试方法同本标准</w:t>
      </w:r>
      <w:r>
        <w:rPr>
          <w:spacing w:val="-8"/>
          <w:sz w:val="21"/>
        </w:rPr>
        <w:t xml:space="preserve"> </w:t>
      </w:r>
      <w:r>
        <w:rPr>
          <w:sz w:val="21"/>
        </w:rPr>
        <w:t>4.3.2</w:t>
      </w:r>
      <w:r>
        <w:rPr>
          <w:spacing w:val="-3"/>
          <w:sz w:val="21"/>
        </w:rPr>
        <w:t>。</w:t>
      </w:r>
      <w:r>
        <w:rPr>
          <w:sz w:val="21"/>
        </w:rPr>
        <w:t xml:space="preserve"> </w:t>
      </w:r>
    </w:p>
    <w:p w14:paraId="3DCB953C" w14:textId="77777777" w:rsidR="00A71EEF" w:rsidRDefault="00A71EEF">
      <w:pPr>
        <w:pStyle w:val="a3"/>
        <w:spacing w:before="12"/>
        <w:rPr>
          <w:sz w:val="17"/>
        </w:rPr>
      </w:pPr>
    </w:p>
    <w:p w14:paraId="4628E54E" w14:textId="77777777" w:rsidR="00A71EEF" w:rsidRDefault="0081115D">
      <w:pPr>
        <w:pStyle w:val="a4"/>
        <w:numPr>
          <w:ilvl w:val="1"/>
          <w:numId w:val="944"/>
        </w:numPr>
        <w:tabs>
          <w:tab w:val="left" w:pos="1160"/>
        </w:tabs>
        <w:ind w:left="1159" w:hanging="320"/>
        <w:rPr>
          <w:b/>
          <w:sz w:val="21"/>
        </w:rPr>
      </w:pPr>
      <w:r>
        <w:rPr>
          <w:spacing w:val="-3"/>
          <w:sz w:val="21"/>
        </w:rPr>
        <w:t>职业健康监护档案</w:t>
      </w:r>
      <w:r>
        <w:rPr>
          <w:b/>
          <w:w w:val="99"/>
          <w:sz w:val="21"/>
        </w:rPr>
        <w:t xml:space="preserve"> </w:t>
      </w:r>
    </w:p>
    <w:p w14:paraId="29F1B841" w14:textId="77777777" w:rsidR="00A71EEF" w:rsidRDefault="00A71EEF">
      <w:pPr>
        <w:pStyle w:val="a3"/>
        <w:spacing w:before="3"/>
        <w:rPr>
          <w:b/>
          <w:sz w:val="18"/>
        </w:rPr>
      </w:pPr>
    </w:p>
    <w:p w14:paraId="39366410" w14:textId="77777777" w:rsidR="00A71EEF" w:rsidRDefault="0081115D">
      <w:pPr>
        <w:pStyle w:val="a3"/>
        <w:ind w:left="838"/>
      </w:pPr>
      <w:r>
        <w:t>职业健康监护档案的内容及管理参见附录</w:t>
      </w:r>
      <w:r>
        <w:t xml:space="preserve"> B</w:t>
      </w:r>
      <w:r>
        <w:t>。</w:t>
      </w:r>
      <w:r>
        <w:t xml:space="preserve"> </w:t>
      </w:r>
    </w:p>
    <w:p w14:paraId="76A99A78" w14:textId="77777777" w:rsidR="00A71EEF" w:rsidRDefault="00A71EEF">
      <w:pPr>
        <w:pStyle w:val="a3"/>
        <w:spacing w:before="8"/>
        <w:rPr>
          <w:sz w:val="15"/>
        </w:rPr>
      </w:pPr>
    </w:p>
    <w:p w14:paraId="6397D392" w14:textId="77777777" w:rsidR="00A71EEF" w:rsidRDefault="0081115D">
      <w:pPr>
        <w:pStyle w:val="4"/>
      </w:pPr>
      <w:r>
        <w:t xml:space="preserve">6 </w:t>
      </w:r>
      <w:r>
        <w:t>职业健康管理</w:t>
      </w:r>
      <w:r>
        <w:rPr>
          <w:w w:val="99"/>
        </w:rPr>
        <w:t xml:space="preserve"> </w:t>
      </w:r>
    </w:p>
    <w:p w14:paraId="529C6A1F" w14:textId="77777777" w:rsidR="00A71EEF" w:rsidRDefault="00A71EEF">
      <w:pPr>
        <w:pStyle w:val="a3"/>
        <w:spacing w:before="3"/>
        <w:rPr>
          <w:b/>
          <w:sz w:val="17"/>
        </w:rPr>
      </w:pPr>
    </w:p>
    <w:p w14:paraId="559FF82F" w14:textId="77777777" w:rsidR="00A71EEF" w:rsidRDefault="0081115D">
      <w:pPr>
        <w:pStyle w:val="a4"/>
        <w:numPr>
          <w:ilvl w:val="1"/>
          <w:numId w:val="942"/>
        </w:numPr>
        <w:tabs>
          <w:tab w:val="left" w:pos="1160"/>
        </w:tabs>
        <w:spacing w:before="1"/>
        <w:rPr>
          <w:sz w:val="21"/>
        </w:rPr>
      </w:pPr>
      <w:r>
        <w:rPr>
          <w:spacing w:val="-3"/>
          <w:sz w:val="21"/>
        </w:rPr>
        <w:t>管理组织及职责</w:t>
      </w:r>
      <w:r>
        <w:rPr>
          <w:sz w:val="21"/>
        </w:rPr>
        <w:t xml:space="preserve"> </w:t>
      </w:r>
    </w:p>
    <w:p w14:paraId="75010381" w14:textId="77777777" w:rsidR="00A71EEF" w:rsidRDefault="00A71EEF">
      <w:pPr>
        <w:pStyle w:val="a3"/>
        <w:spacing w:before="1"/>
        <w:rPr>
          <w:sz w:val="18"/>
        </w:rPr>
      </w:pPr>
    </w:p>
    <w:p w14:paraId="42F0634D" w14:textId="77777777" w:rsidR="00A71EEF" w:rsidRDefault="0081115D">
      <w:pPr>
        <w:pStyle w:val="a4"/>
        <w:numPr>
          <w:ilvl w:val="2"/>
          <w:numId w:val="942"/>
        </w:numPr>
        <w:tabs>
          <w:tab w:val="left" w:pos="1371"/>
        </w:tabs>
        <w:spacing w:before="1" w:line="446" w:lineRule="auto"/>
        <w:ind w:right="1604" w:firstLine="422"/>
        <w:rPr>
          <w:sz w:val="21"/>
        </w:rPr>
      </w:pPr>
      <w:r>
        <w:rPr>
          <w:spacing w:val="-3"/>
          <w:sz w:val="21"/>
        </w:rPr>
        <w:t>国家、省、市等各级消防组织应设立职业健康管理机构，消防组织的最高管理者应统一负责职业健康的管理工作，并作出承诺。</w:t>
      </w:r>
      <w:r>
        <w:rPr>
          <w:sz w:val="21"/>
        </w:rPr>
        <w:t xml:space="preserve"> </w:t>
      </w:r>
    </w:p>
    <w:p w14:paraId="1B1E4922" w14:textId="77777777" w:rsidR="00A71EEF" w:rsidRDefault="0081115D">
      <w:pPr>
        <w:pStyle w:val="a4"/>
        <w:numPr>
          <w:ilvl w:val="2"/>
          <w:numId w:val="942"/>
        </w:numPr>
        <w:tabs>
          <w:tab w:val="left" w:pos="1371"/>
        </w:tabs>
        <w:spacing w:line="448" w:lineRule="auto"/>
        <w:ind w:right="1604" w:firstLine="422"/>
        <w:rPr>
          <w:sz w:val="21"/>
        </w:rPr>
      </w:pPr>
      <w:r>
        <w:rPr>
          <w:spacing w:val="-3"/>
          <w:sz w:val="21"/>
        </w:rPr>
        <w:t>消防组织应指定下属职能部门或人员具体承担职业健康的管理工作，其主要职责包括：</w:t>
      </w:r>
      <w:r>
        <w:rPr>
          <w:sz w:val="21"/>
        </w:rPr>
        <w:t xml:space="preserve"> </w:t>
      </w:r>
    </w:p>
    <w:p w14:paraId="73E84DC1" w14:textId="77777777" w:rsidR="00A71EEF" w:rsidRDefault="0081115D">
      <w:pPr>
        <w:pStyle w:val="a4"/>
        <w:numPr>
          <w:ilvl w:val="0"/>
          <w:numId w:val="941"/>
        </w:numPr>
        <w:tabs>
          <w:tab w:val="left" w:pos="1051"/>
        </w:tabs>
        <w:spacing w:line="446" w:lineRule="auto"/>
        <w:ind w:right="1609" w:firstLine="419"/>
        <w:rPr>
          <w:sz w:val="21"/>
        </w:rPr>
      </w:pPr>
      <w:r>
        <w:rPr>
          <w:spacing w:val="-3"/>
          <w:sz w:val="21"/>
        </w:rPr>
        <w:t>制定和贯彻执行职业健康管理规章制度和标准化操作规程，检查和监督其实施效果，并将结果上报消防组织主管领导；</w:t>
      </w:r>
      <w:r>
        <w:rPr>
          <w:sz w:val="21"/>
        </w:rPr>
        <w:t xml:space="preserve"> </w:t>
      </w:r>
    </w:p>
    <w:p w14:paraId="31FBCBFE" w14:textId="77777777" w:rsidR="00A71EEF" w:rsidRDefault="00A71EEF">
      <w:pPr>
        <w:spacing w:line="446" w:lineRule="auto"/>
        <w:rPr>
          <w:sz w:val="21"/>
        </w:rPr>
        <w:sectPr w:rsidR="00A71EEF">
          <w:pgSz w:w="11910" w:h="16850"/>
          <w:pgMar w:top="1220" w:right="0" w:bottom="1420" w:left="1260" w:header="0" w:footer="1239" w:gutter="0"/>
          <w:cols w:space="720"/>
        </w:sectPr>
      </w:pPr>
    </w:p>
    <w:p w14:paraId="23CD91E3" w14:textId="77777777" w:rsidR="00A71EEF" w:rsidRDefault="0081115D">
      <w:pPr>
        <w:pStyle w:val="a4"/>
        <w:numPr>
          <w:ilvl w:val="0"/>
          <w:numId w:val="941"/>
        </w:numPr>
        <w:tabs>
          <w:tab w:val="left" w:pos="1051"/>
        </w:tabs>
        <w:spacing w:before="47" w:line="446" w:lineRule="auto"/>
        <w:ind w:right="1609" w:firstLine="419"/>
        <w:jc w:val="both"/>
        <w:rPr>
          <w:sz w:val="21"/>
        </w:rPr>
      </w:pPr>
      <w:r>
        <w:rPr>
          <w:spacing w:val="-3"/>
          <w:sz w:val="21"/>
        </w:rPr>
        <w:lastRenderedPageBreak/>
        <w:t>制定和实施促使消防组织达到本标准各项要求的职业健康年度工作计划，并且每年对消防组织达到本标准要求的程度进行检查和评估；</w:t>
      </w:r>
      <w:r>
        <w:rPr>
          <w:sz w:val="21"/>
        </w:rPr>
        <w:t xml:space="preserve"> </w:t>
      </w:r>
    </w:p>
    <w:p w14:paraId="2062774D" w14:textId="77777777" w:rsidR="00A71EEF" w:rsidRDefault="0081115D">
      <w:pPr>
        <w:pStyle w:val="a4"/>
        <w:numPr>
          <w:ilvl w:val="0"/>
          <w:numId w:val="941"/>
        </w:numPr>
        <w:tabs>
          <w:tab w:val="left" w:pos="1051"/>
        </w:tabs>
        <w:spacing w:line="267" w:lineRule="exact"/>
        <w:ind w:left="1050"/>
        <w:rPr>
          <w:sz w:val="21"/>
        </w:rPr>
      </w:pPr>
      <w:r>
        <w:rPr>
          <w:spacing w:val="-3"/>
          <w:sz w:val="21"/>
        </w:rPr>
        <w:t>制定和贯彻执行管理计划，评估其有效性，并定期加以修订、完善；</w:t>
      </w:r>
      <w:r>
        <w:rPr>
          <w:sz w:val="21"/>
        </w:rPr>
        <w:t xml:space="preserve"> </w:t>
      </w:r>
    </w:p>
    <w:p w14:paraId="7C878389" w14:textId="77777777" w:rsidR="00A71EEF" w:rsidRDefault="00A71EEF">
      <w:pPr>
        <w:pStyle w:val="a3"/>
        <w:spacing w:before="2"/>
        <w:rPr>
          <w:sz w:val="18"/>
        </w:rPr>
      </w:pPr>
    </w:p>
    <w:p w14:paraId="75CE124E" w14:textId="77777777" w:rsidR="00A71EEF" w:rsidRDefault="0081115D">
      <w:pPr>
        <w:pStyle w:val="a4"/>
        <w:numPr>
          <w:ilvl w:val="0"/>
          <w:numId w:val="941"/>
        </w:numPr>
        <w:tabs>
          <w:tab w:val="left" w:pos="1051"/>
        </w:tabs>
        <w:ind w:left="1050"/>
        <w:rPr>
          <w:sz w:val="21"/>
        </w:rPr>
      </w:pPr>
      <w:r>
        <w:rPr>
          <w:spacing w:val="-3"/>
          <w:sz w:val="21"/>
        </w:rPr>
        <w:t>制定和贯彻执行标准化的职业危害事故调查与处理程序；</w:t>
      </w:r>
      <w:r>
        <w:rPr>
          <w:sz w:val="21"/>
        </w:rPr>
        <w:t xml:space="preserve"> </w:t>
      </w:r>
    </w:p>
    <w:p w14:paraId="7DA13E22" w14:textId="77777777" w:rsidR="00A71EEF" w:rsidRDefault="00A71EEF">
      <w:pPr>
        <w:pStyle w:val="a3"/>
        <w:rPr>
          <w:sz w:val="18"/>
        </w:rPr>
      </w:pPr>
    </w:p>
    <w:p w14:paraId="2DD98BAC" w14:textId="77777777" w:rsidR="00A71EEF" w:rsidRDefault="0081115D">
      <w:pPr>
        <w:pStyle w:val="a4"/>
        <w:numPr>
          <w:ilvl w:val="0"/>
          <w:numId w:val="941"/>
        </w:numPr>
        <w:tabs>
          <w:tab w:val="left" w:pos="1051"/>
        </w:tabs>
        <w:ind w:left="1050"/>
        <w:rPr>
          <w:sz w:val="21"/>
        </w:rPr>
      </w:pPr>
      <w:r>
        <w:rPr>
          <w:spacing w:val="-3"/>
          <w:sz w:val="21"/>
        </w:rPr>
        <w:t>制定和贯彻纠正及预防措施，防止消防员职业损伤事故的重复发生；</w:t>
      </w:r>
      <w:r>
        <w:rPr>
          <w:sz w:val="21"/>
        </w:rPr>
        <w:t xml:space="preserve"> </w:t>
      </w:r>
    </w:p>
    <w:p w14:paraId="0DD01FED" w14:textId="77777777" w:rsidR="00A71EEF" w:rsidRDefault="00A71EEF">
      <w:pPr>
        <w:pStyle w:val="a3"/>
        <w:spacing w:before="12"/>
        <w:rPr>
          <w:sz w:val="17"/>
        </w:rPr>
      </w:pPr>
    </w:p>
    <w:p w14:paraId="046583CB" w14:textId="77777777" w:rsidR="00A71EEF" w:rsidRDefault="0081115D">
      <w:pPr>
        <w:pStyle w:val="a4"/>
        <w:numPr>
          <w:ilvl w:val="0"/>
          <w:numId w:val="941"/>
        </w:numPr>
        <w:tabs>
          <w:tab w:val="left" w:pos="1051"/>
        </w:tabs>
        <w:ind w:left="1050"/>
        <w:rPr>
          <w:sz w:val="21"/>
        </w:rPr>
      </w:pPr>
      <w:r>
        <w:rPr>
          <w:spacing w:val="-3"/>
          <w:sz w:val="21"/>
        </w:rPr>
        <w:t>向消防员提供与其所承担的职责和任务相适应的职业健康教育并进行考核；</w:t>
      </w:r>
      <w:r>
        <w:rPr>
          <w:spacing w:val="-3"/>
          <w:sz w:val="21"/>
        </w:rPr>
        <w:t xml:space="preserve"> </w:t>
      </w:r>
    </w:p>
    <w:p w14:paraId="457DBB2B" w14:textId="77777777" w:rsidR="00A71EEF" w:rsidRDefault="00A71EEF">
      <w:pPr>
        <w:pStyle w:val="a3"/>
        <w:spacing w:before="2"/>
        <w:rPr>
          <w:sz w:val="18"/>
        </w:rPr>
      </w:pPr>
    </w:p>
    <w:p w14:paraId="038231D9" w14:textId="77777777" w:rsidR="00A71EEF" w:rsidRDefault="0081115D">
      <w:pPr>
        <w:pStyle w:val="a4"/>
        <w:numPr>
          <w:ilvl w:val="0"/>
          <w:numId w:val="941"/>
        </w:numPr>
        <w:tabs>
          <w:tab w:val="left" w:pos="1051"/>
        </w:tabs>
        <w:ind w:left="1050"/>
        <w:rPr>
          <w:sz w:val="21"/>
        </w:rPr>
      </w:pPr>
      <w:r>
        <w:rPr>
          <w:spacing w:val="-3"/>
          <w:sz w:val="21"/>
        </w:rPr>
        <w:t>向消防组织主管领导提交关于职业健康的建议和意见；</w:t>
      </w:r>
      <w:r>
        <w:rPr>
          <w:sz w:val="21"/>
        </w:rPr>
        <w:t xml:space="preserve"> </w:t>
      </w:r>
    </w:p>
    <w:p w14:paraId="34BF016A" w14:textId="77777777" w:rsidR="00A71EEF" w:rsidRDefault="00A71EEF">
      <w:pPr>
        <w:pStyle w:val="a3"/>
        <w:rPr>
          <w:sz w:val="18"/>
        </w:rPr>
      </w:pPr>
    </w:p>
    <w:p w14:paraId="1EA60019" w14:textId="77777777" w:rsidR="00A71EEF" w:rsidRDefault="0081115D">
      <w:pPr>
        <w:pStyle w:val="a4"/>
        <w:numPr>
          <w:ilvl w:val="0"/>
          <w:numId w:val="941"/>
        </w:numPr>
        <w:tabs>
          <w:tab w:val="left" w:pos="1051"/>
        </w:tabs>
        <w:spacing w:line="446" w:lineRule="auto"/>
        <w:ind w:left="840" w:right="3397" w:hanging="3"/>
        <w:rPr>
          <w:b/>
          <w:sz w:val="21"/>
        </w:rPr>
      </w:pPr>
      <w:r>
        <w:rPr>
          <w:spacing w:val="-3"/>
          <w:sz w:val="21"/>
        </w:rPr>
        <w:t>负责与职业健康管理工作有关的通知、联络、沟通和协调事宜。</w:t>
      </w:r>
      <w:r>
        <w:rPr>
          <w:spacing w:val="-3"/>
          <w:sz w:val="21"/>
        </w:rPr>
        <w:t xml:space="preserve"> </w:t>
      </w:r>
      <w:r>
        <w:rPr>
          <w:b/>
          <w:sz w:val="21"/>
        </w:rPr>
        <w:t>6.2</w:t>
      </w:r>
      <w:r>
        <w:rPr>
          <w:b/>
          <w:spacing w:val="1"/>
          <w:sz w:val="21"/>
        </w:rPr>
        <w:t xml:space="preserve"> </w:t>
      </w:r>
      <w:r>
        <w:rPr>
          <w:spacing w:val="-3"/>
          <w:sz w:val="21"/>
        </w:rPr>
        <w:t>人员及职责</w:t>
      </w:r>
      <w:r>
        <w:rPr>
          <w:b/>
          <w:w w:val="99"/>
          <w:sz w:val="21"/>
        </w:rPr>
        <w:t xml:space="preserve"> </w:t>
      </w:r>
    </w:p>
    <w:p w14:paraId="615E8896" w14:textId="77777777" w:rsidR="00A71EEF" w:rsidRDefault="0081115D">
      <w:pPr>
        <w:ind w:left="840"/>
        <w:rPr>
          <w:sz w:val="21"/>
        </w:rPr>
      </w:pPr>
      <w:r>
        <w:rPr>
          <w:b/>
          <w:sz w:val="21"/>
        </w:rPr>
        <w:t>6.2.1</w:t>
      </w:r>
      <w:r>
        <w:rPr>
          <w:b/>
          <w:spacing w:val="3"/>
          <w:sz w:val="21"/>
        </w:rPr>
        <w:t xml:space="preserve"> </w:t>
      </w:r>
      <w:r>
        <w:rPr>
          <w:spacing w:val="-3"/>
          <w:sz w:val="21"/>
        </w:rPr>
        <w:t>人员</w:t>
      </w:r>
      <w:r>
        <w:rPr>
          <w:sz w:val="21"/>
        </w:rPr>
        <w:t xml:space="preserve"> </w:t>
      </w:r>
    </w:p>
    <w:p w14:paraId="02AAC39A" w14:textId="77777777" w:rsidR="00A71EEF" w:rsidRDefault="00A71EEF">
      <w:pPr>
        <w:pStyle w:val="a3"/>
        <w:spacing w:before="12"/>
        <w:rPr>
          <w:sz w:val="17"/>
        </w:rPr>
      </w:pPr>
    </w:p>
    <w:p w14:paraId="6C1EAE01" w14:textId="77777777" w:rsidR="00A71EEF" w:rsidRDefault="0081115D">
      <w:pPr>
        <w:pStyle w:val="a3"/>
        <w:spacing w:line="446" w:lineRule="auto"/>
        <w:ind w:left="840" w:right="2977" w:hanging="3"/>
      </w:pPr>
      <w:r>
        <w:rPr>
          <w:spacing w:val="-3"/>
        </w:rPr>
        <w:t>消防组织的各级人员是消防员职业健康管理的具体运作者，应各司其职。</w:t>
      </w:r>
      <w:r>
        <w:rPr>
          <w:b/>
        </w:rPr>
        <w:t>6.2.2</w:t>
      </w:r>
      <w:r>
        <w:rPr>
          <w:b/>
          <w:spacing w:val="1"/>
        </w:rPr>
        <w:t xml:space="preserve"> </w:t>
      </w:r>
      <w:r>
        <w:rPr>
          <w:spacing w:val="-3"/>
        </w:rPr>
        <w:t>职责</w:t>
      </w:r>
      <w:r>
        <w:t xml:space="preserve"> </w:t>
      </w:r>
    </w:p>
    <w:p w14:paraId="70064C02" w14:textId="77777777" w:rsidR="00A71EEF" w:rsidRDefault="0081115D">
      <w:pPr>
        <w:pStyle w:val="a4"/>
        <w:numPr>
          <w:ilvl w:val="0"/>
          <w:numId w:val="940"/>
        </w:numPr>
        <w:tabs>
          <w:tab w:val="left" w:pos="1051"/>
        </w:tabs>
        <w:rPr>
          <w:sz w:val="21"/>
        </w:rPr>
      </w:pPr>
      <w:r>
        <w:rPr>
          <w:spacing w:val="-3"/>
          <w:sz w:val="21"/>
        </w:rPr>
        <w:t>最高管理者：制定职业健康管理方针；</w:t>
      </w:r>
      <w:r>
        <w:rPr>
          <w:sz w:val="21"/>
        </w:rPr>
        <w:t xml:space="preserve"> </w:t>
      </w:r>
    </w:p>
    <w:p w14:paraId="3C9ECC02" w14:textId="77777777" w:rsidR="00A71EEF" w:rsidRDefault="00A71EEF">
      <w:pPr>
        <w:pStyle w:val="a3"/>
        <w:rPr>
          <w:sz w:val="18"/>
        </w:rPr>
      </w:pPr>
    </w:p>
    <w:p w14:paraId="33053621" w14:textId="77777777" w:rsidR="00A71EEF" w:rsidRDefault="0081115D">
      <w:pPr>
        <w:pStyle w:val="a4"/>
        <w:numPr>
          <w:ilvl w:val="0"/>
          <w:numId w:val="940"/>
        </w:numPr>
        <w:tabs>
          <w:tab w:val="left" w:pos="1051"/>
        </w:tabs>
        <w:rPr>
          <w:sz w:val="21"/>
        </w:rPr>
      </w:pPr>
      <w:r>
        <w:rPr>
          <w:spacing w:val="-3"/>
          <w:sz w:val="21"/>
        </w:rPr>
        <w:t>管理者代表：监督职业健康管理工作的运行；</w:t>
      </w:r>
      <w:r>
        <w:rPr>
          <w:sz w:val="21"/>
        </w:rPr>
        <w:t xml:space="preserve"> </w:t>
      </w:r>
    </w:p>
    <w:p w14:paraId="69FA5BD0" w14:textId="77777777" w:rsidR="00A71EEF" w:rsidRDefault="00A71EEF">
      <w:pPr>
        <w:pStyle w:val="a3"/>
        <w:spacing w:before="12"/>
        <w:rPr>
          <w:sz w:val="17"/>
        </w:rPr>
      </w:pPr>
    </w:p>
    <w:p w14:paraId="44A133DF" w14:textId="77777777" w:rsidR="00A71EEF" w:rsidRDefault="0081115D">
      <w:pPr>
        <w:pStyle w:val="a4"/>
        <w:numPr>
          <w:ilvl w:val="0"/>
          <w:numId w:val="940"/>
        </w:numPr>
        <w:tabs>
          <w:tab w:val="left" w:pos="1051"/>
        </w:tabs>
        <w:rPr>
          <w:sz w:val="21"/>
        </w:rPr>
      </w:pPr>
      <w:r>
        <w:rPr>
          <w:spacing w:val="-3"/>
          <w:sz w:val="21"/>
        </w:rPr>
        <w:t>部门领导：制定职业健康管理的目标、指标和计划；</w:t>
      </w:r>
      <w:r>
        <w:rPr>
          <w:sz w:val="21"/>
        </w:rPr>
        <w:t xml:space="preserve"> </w:t>
      </w:r>
    </w:p>
    <w:p w14:paraId="774FCEC5" w14:textId="77777777" w:rsidR="00A71EEF" w:rsidRDefault="00A71EEF">
      <w:pPr>
        <w:pStyle w:val="a3"/>
        <w:spacing w:before="2"/>
        <w:rPr>
          <w:sz w:val="18"/>
        </w:rPr>
      </w:pPr>
    </w:p>
    <w:p w14:paraId="4BBC56D3" w14:textId="77777777" w:rsidR="00A71EEF" w:rsidRDefault="0081115D">
      <w:pPr>
        <w:pStyle w:val="a4"/>
        <w:numPr>
          <w:ilvl w:val="0"/>
          <w:numId w:val="940"/>
        </w:numPr>
        <w:tabs>
          <w:tab w:val="left" w:pos="1051"/>
        </w:tabs>
        <w:rPr>
          <w:sz w:val="21"/>
        </w:rPr>
      </w:pPr>
      <w:r>
        <w:rPr>
          <w:spacing w:val="-3"/>
          <w:sz w:val="21"/>
        </w:rPr>
        <w:t>高层管理人员：确保对职业健康相关法规的遵守与执行；</w:t>
      </w:r>
      <w:r>
        <w:rPr>
          <w:sz w:val="21"/>
        </w:rPr>
        <w:t xml:space="preserve"> </w:t>
      </w:r>
    </w:p>
    <w:p w14:paraId="135BAEDA" w14:textId="77777777" w:rsidR="00A71EEF" w:rsidRDefault="00A71EEF">
      <w:pPr>
        <w:pStyle w:val="a3"/>
        <w:rPr>
          <w:sz w:val="18"/>
        </w:rPr>
      </w:pPr>
    </w:p>
    <w:p w14:paraId="3F4F9EA3" w14:textId="77777777" w:rsidR="00A71EEF" w:rsidRDefault="0081115D">
      <w:pPr>
        <w:pStyle w:val="a4"/>
        <w:numPr>
          <w:ilvl w:val="0"/>
          <w:numId w:val="940"/>
        </w:numPr>
        <w:tabs>
          <w:tab w:val="left" w:pos="1051"/>
        </w:tabs>
        <w:rPr>
          <w:sz w:val="21"/>
        </w:rPr>
      </w:pPr>
      <w:r>
        <w:rPr>
          <w:spacing w:val="-3"/>
          <w:sz w:val="21"/>
        </w:rPr>
        <w:t>管理人员：持续改进职业健康管理表现；</w:t>
      </w:r>
      <w:r>
        <w:rPr>
          <w:sz w:val="21"/>
        </w:rPr>
        <w:t xml:space="preserve"> </w:t>
      </w:r>
    </w:p>
    <w:p w14:paraId="6C85AAF4" w14:textId="77777777" w:rsidR="00A71EEF" w:rsidRDefault="00A71EEF">
      <w:pPr>
        <w:pStyle w:val="a3"/>
        <w:spacing w:before="12"/>
        <w:rPr>
          <w:sz w:val="17"/>
        </w:rPr>
      </w:pPr>
    </w:p>
    <w:p w14:paraId="5EFC4761" w14:textId="77777777" w:rsidR="00A71EEF" w:rsidRDefault="0081115D">
      <w:pPr>
        <w:pStyle w:val="a4"/>
        <w:numPr>
          <w:ilvl w:val="0"/>
          <w:numId w:val="940"/>
        </w:numPr>
        <w:tabs>
          <w:tab w:val="left" w:pos="1051"/>
        </w:tabs>
        <w:spacing w:line="446" w:lineRule="auto"/>
        <w:ind w:left="840" w:right="5709" w:hanging="3"/>
        <w:rPr>
          <w:b/>
          <w:sz w:val="21"/>
        </w:rPr>
      </w:pPr>
      <w:r>
        <w:rPr>
          <w:spacing w:val="-3"/>
          <w:sz w:val="21"/>
        </w:rPr>
        <w:t>消防员：遵守各项职业健康管理规定。</w:t>
      </w:r>
      <w:r>
        <w:rPr>
          <w:spacing w:val="-3"/>
          <w:sz w:val="21"/>
        </w:rPr>
        <w:t xml:space="preserve"> </w:t>
      </w:r>
      <w:r>
        <w:rPr>
          <w:b/>
          <w:sz w:val="21"/>
        </w:rPr>
        <w:t>6.3</w:t>
      </w:r>
      <w:r>
        <w:rPr>
          <w:b/>
          <w:spacing w:val="1"/>
          <w:sz w:val="21"/>
        </w:rPr>
        <w:t xml:space="preserve"> </w:t>
      </w:r>
      <w:r>
        <w:rPr>
          <w:spacing w:val="-3"/>
          <w:sz w:val="21"/>
        </w:rPr>
        <w:t>管理计划</w:t>
      </w:r>
      <w:r>
        <w:rPr>
          <w:b/>
          <w:w w:val="99"/>
          <w:sz w:val="21"/>
        </w:rPr>
        <w:t xml:space="preserve"> </w:t>
      </w:r>
    </w:p>
    <w:p w14:paraId="0F4B2E15" w14:textId="77777777" w:rsidR="00A71EEF" w:rsidRDefault="0081115D">
      <w:pPr>
        <w:pStyle w:val="a4"/>
        <w:numPr>
          <w:ilvl w:val="2"/>
          <w:numId w:val="939"/>
        </w:numPr>
        <w:tabs>
          <w:tab w:val="left" w:pos="1370"/>
        </w:tabs>
        <w:spacing w:before="1" w:line="446" w:lineRule="auto"/>
        <w:ind w:right="1604" w:firstLine="422"/>
        <w:jc w:val="both"/>
        <w:rPr>
          <w:sz w:val="21"/>
        </w:rPr>
      </w:pPr>
      <w:r>
        <w:rPr>
          <w:spacing w:val="-3"/>
          <w:sz w:val="21"/>
        </w:rPr>
        <w:t>消防组织应全面评审和确定内、外部状况及自身需求，并有针对性地设立健康管理目标和指标。制定健康管理方案，主要包括制定计划、实施计划和检查、监督、评价计划三个阶段的工作过程。</w:t>
      </w:r>
      <w:r>
        <w:rPr>
          <w:sz w:val="21"/>
        </w:rPr>
        <w:t xml:space="preserve"> </w:t>
      </w:r>
    </w:p>
    <w:p w14:paraId="523386F0" w14:textId="77777777" w:rsidR="00A71EEF" w:rsidRDefault="0081115D">
      <w:pPr>
        <w:pStyle w:val="a4"/>
        <w:numPr>
          <w:ilvl w:val="2"/>
          <w:numId w:val="939"/>
        </w:numPr>
        <w:tabs>
          <w:tab w:val="left" w:pos="1370"/>
        </w:tabs>
        <w:spacing w:line="446" w:lineRule="auto"/>
        <w:ind w:right="1604" w:firstLine="422"/>
        <w:jc w:val="both"/>
        <w:rPr>
          <w:sz w:val="21"/>
        </w:rPr>
      </w:pPr>
      <w:r>
        <w:rPr>
          <w:spacing w:val="-3"/>
          <w:sz w:val="21"/>
        </w:rPr>
        <w:t>各级消防组织的职业健康管理机构应组织各部门制定一个全面、可行的职业健康管理计划，开展职业健康促进，进行职业健康评估，并持续改进，以最大限度地保障消防员的职</w:t>
      </w:r>
      <w:r>
        <w:rPr>
          <w:spacing w:val="-5"/>
          <w:sz w:val="21"/>
        </w:rPr>
        <w:t>业健康。职业健康促进和职业健康评估内容分别参见附录</w:t>
      </w:r>
      <w:r>
        <w:rPr>
          <w:spacing w:val="-5"/>
          <w:sz w:val="21"/>
        </w:rPr>
        <w:t xml:space="preserve"> </w:t>
      </w:r>
      <w:r>
        <w:rPr>
          <w:sz w:val="21"/>
        </w:rPr>
        <w:t>C</w:t>
      </w:r>
      <w:r>
        <w:rPr>
          <w:spacing w:val="-23"/>
          <w:sz w:val="21"/>
        </w:rPr>
        <w:t xml:space="preserve"> </w:t>
      </w:r>
      <w:r>
        <w:rPr>
          <w:spacing w:val="-23"/>
          <w:sz w:val="21"/>
        </w:rPr>
        <w:t>和附录</w:t>
      </w:r>
      <w:r>
        <w:rPr>
          <w:spacing w:val="-23"/>
          <w:sz w:val="21"/>
        </w:rPr>
        <w:t xml:space="preserve"> </w:t>
      </w:r>
      <w:r>
        <w:rPr>
          <w:sz w:val="21"/>
        </w:rPr>
        <w:t>D</w:t>
      </w:r>
      <w:r>
        <w:rPr>
          <w:spacing w:val="-3"/>
          <w:sz w:val="21"/>
        </w:rPr>
        <w:t>。</w:t>
      </w:r>
      <w:r>
        <w:rPr>
          <w:sz w:val="21"/>
        </w:rPr>
        <w:t xml:space="preserve"> </w:t>
      </w:r>
    </w:p>
    <w:p w14:paraId="1DCC7E94" w14:textId="77777777" w:rsidR="00A71EEF" w:rsidRDefault="0081115D">
      <w:pPr>
        <w:pStyle w:val="a4"/>
        <w:numPr>
          <w:ilvl w:val="2"/>
          <w:numId w:val="939"/>
        </w:numPr>
        <w:tabs>
          <w:tab w:val="left" w:pos="1371"/>
        </w:tabs>
        <w:spacing w:line="446" w:lineRule="auto"/>
        <w:ind w:left="838" w:right="5497" w:firstLine="2"/>
        <w:jc w:val="both"/>
        <w:rPr>
          <w:sz w:val="21"/>
        </w:rPr>
      </w:pPr>
      <w:r>
        <w:rPr>
          <w:spacing w:val="-2"/>
          <w:sz w:val="21"/>
        </w:rPr>
        <w:t>职业健康管理计划应包括以下内容：</w:t>
      </w:r>
      <w:r>
        <w:rPr>
          <w:spacing w:val="-2"/>
          <w:sz w:val="21"/>
        </w:rPr>
        <w:t xml:space="preserve"> </w:t>
      </w:r>
      <w:r>
        <w:rPr>
          <w:sz w:val="21"/>
        </w:rPr>
        <w:t xml:space="preserve">a) </w:t>
      </w:r>
      <w:r>
        <w:rPr>
          <w:spacing w:val="-3"/>
          <w:sz w:val="21"/>
        </w:rPr>
        <w:t>实现健康管理目标和指标的职责和资源；</w:t>
      </w:r>
      <w:r>
        <w:rPr>
          <w:sz w:val="21"/>
        </w:rPr>
        <w:t xml:space="preserve"> </w:t>
      </w:r>
    </w:p>
    <w:p w14:paraId="4920C1FE" w14:textId="77777777" w:rsidR="00A71EEF" w:rsidRDefault="0081115D">
      <w:pPr>
        <w:pStyle w:val="a4"/>
        <w:numPr>
          <w:ilvl w:val="0"/>
          <w:numId w:val="938"/>
        </w:numPr>
        <w:tabs>
          <w:tab w:val="left" w:pos="1051"/>
        </w:tabs>
        <w:jc w:val="both"/>
        <w:rPr>
          <w:sz w:val="21"/>
        </w:rPr>
      </w:pPr>
      <w:r>
        <w:rPr>
          <w:spacing w:val="-3"/>
          <w:sz w:val="21"/>
        </w:rPr>
        <w:t>实现健康管理目标和指标的措施；</w:t>
      </w:r>
      <w:r>
        <w:rPr>
          <w:sz w:val="21"/>
        </w:rPr>
        <w:t xml:space="preserve"> </w:t>
      </w:r>
    </w:p>
    <w:p w14:paraId="08BEF908" w14:textId="77777777" w:rsidR="00A71EEF" w:rsidRDefault="00A71EEF">
      <w:pPr>
        <w:jc w:val="both"/>
        <w:rPr>
          <w:sz w:val="21"/>
        </w:rPr>
        <w:sectPr w:rsidR="00A71EEF">
          <w:pgSz w:w="11910" w:h="16850"/>
          <w:pgMar w:top="1220" w:right="0" w:bottom="1420" w:left="1260" w:header="0" w:footer="1239" w:gutter="0"/>
          <w:cols w:space="720"/>
        </w:sectPr>
      </w:pPr>
    </w:p>
    <w:p w14:paraId="21644D86" w14:textId="77777777" w:rsidR="00A71EEF" w:rsidRDefault="0081115D">
      <w:pPr>
        <w:pStyle w:val="a4"/>
        <w:numPr>
          <w:ilvl w:val="0"/>
          <w:numId w:val="938"/>
        </w:numPr>
        <w:tabs>
          <w:tab w:val="left" w:pos="1051"/>
        </w:tabs>
        <w:spacing w:before="47"/>
        <w:rPr>
          <w:sz w:val="21"/>
        </w:rPr>
      </w:pPr>
      <w:r>
        <w:rPr>
          <w:spacing w:val="-3"/>
          <w:sz w:val="21"/>
        </w:rPr>
        <w:lastRenderedPageBreak/>
        <w:t>实现健康管理目标和指标的时间进度；</w:t>
      </w:r>
      <w:r>
        <w:rPr>
          <w:sz w:val="21"/>
        </w:rPr>
        <w:t xml:space="preserve"> </w:t>
      </w:r>
    </w:p>
    <w:p w14:paraId="1FFEC833" w14:textId="77777777" w:rsidR="00A71EEF" w:rsidRDefault="00A71EEF">
      <w:pPr>
        <w:pStyle w:val="a3"/>
        <w:rPr>
          <w:sz w:val="18"/>
        </w:rPr>
      </w:pPr>
    </w:p>
    <w:p w14:paraId="0C53210D" w14:textId="77777777" w:rsidR="00A71EEF" w:rsidRDefault="0081115D">
      <w:pPr>
        <w:pStyle w:val="a4"/>
        <w:numPr>
          <w:ilvl w:val="0"/>
          <w:numId w:val="938"/>
        </w:numPr>
        <w:tabs>
          <w:tab w:val="left" w:pos="1051"/>
        </w:tabs>
        <w:spacing w:line="446" w:lineRule="auto"/>
        <w:ind w:left="840" w:right="6129" w:hanging="3"/>
        <w:rPr>
          <w:sz w:val="21"/>
        </w:rPr>
      </w:pPr>
      <w:r>
        <w:rPr>
          <w:spacing w:val="-3"/>
          <w:sz w:val="21"/>
        </w:rPr>
        <w:t>实现健康管理目标和指标的评价。</w:t>
      </w:r>
      <w:r>
        <w:rPr>
          <w:spacing w:val="-3"/>
          <w:sz w:val="21"/>
        </w:rPr>
        <w:t xml:space="preserve"> </w:t>
      </w:r>
      <w:r>
        <w:rPr>
          <w:b/>
          <w:sz w:val="21"/>
        </w:rPr>
        <w:t xml:space="preserve">6.4 </w:t>
      </w:r>
      <w:r>
        <w:rPr>
          <w:spacing w:val="-3"/>
          <w:sz w:val="21"/>
        </w:rPr>
        <w:t>管理资料</w:t>
      </w:r>
      <w:r>
        <w:rPr>
          <w:sz w:val="21"/>
        </w:rPr>
        <w:t xml:space="preserve"> </w:t>
      </w:r>
    </w:p>
    <w:p w14:paraId="6C279F00" w14:textId="77777777" w:rsidR="00A71EEF" w:rsidRDefault="0081115D">
      <w:pPr>
        <w:pStyle w:val="a3"/>
        <w:ind w:left="838"/>
      </w:pPr>
      <w:r>
        <w:t>职业健康管理的文件及相关记录应归档保存。</w:t>
      </w:r>
      <w:r>
        <w:t xml:space="preserve"> </w:t>
      </w:r>
    </w:p>
    <w:p w14:paraId="470BB471" w14:textId="77777777" w:rsidR="00A71EEF" w:rsidRDefault="00A71EEF">
      <w:pPr>
        <w:pStyle w:val="a3"/>
        <w:spacing w:before="8"/>
        <w:rPr>
          <w:sz w:val="15"/>
        </w:rPr>
      </w:pPr>
    </w:p>
    <w:p w14:paraId="27162D31" w14:textId="77777777" w:rsidR="00A71EEF" w:rsidRDefault="0081115D">
      <w:pPr>
        <w:pStyle w:val="4"/>
      </w:pPr>
      <w:r>
        <w:t xml:space="preserve">7 </w:t>
      </w:r>
      <w:r>
        <w:t>职业健康保障</w:t>
      </w:r>
      <w:r>
        <w:rPr>
          <w:w w:val="99"/>
        </w:rPr>
        <w:t xml:space="preserve"> </w:t>
      </w:r>
    </w:p>
    <w:p w14:paraId="18D077FC" w14:textId="77777777" w:rsidR="00A71EEF" w:rsidRDefault="00A71EEF">
      <w:pPr>
        <w:pStyle w:val="a3"/>
        <w:spacing w:before="4"/>
        <w:rPr>
          <w:b/>
          <w:sz w:val="17"/>
        </w:rPr>
      </w:pPr>
    </w:p>
    <w:p w14:paraId="1097C775" w14:textId="77777777" w:rsidR="00A71EEF" w:rsidRDefault="0081115D">
      <w:pPr>
        <w:pStyle w:val="a3"/>
        <w:spacing w:line="446" w:lineRule="auto"/>
        <w:ind w:left="840" w:right="2554" w:hanging="3"/>
        <w:rPr>
          <w:b/>
        </w:rPr>
      </w:pPr>
      <w:r>
        <w:t>消防组织应当为消防员提供必要的职业危害防护装备和基本的医疗卫生服务。</w:t>
      </w:r>
      <w:r>
        <w:rPr>
          <w:b/>
        </w:rPr>
        <w:t xml:space="preserve">7.1 </w:t>
      </w:r>
      <w:r>
        <w:t>职业危害防护装备</w:t>
      </w:r>
      <w:r>
        <w:rPr>
          <w:b/>
          <w:w w:val="99"/>
        </w:rPr>
        <w:t xml:space="preserve"> </w:t>
      </w:r>
    </w:p>
    <w:p w14:paraId="29CB7CDE" w14:textId="77777777" w:rsidR="00A71EEF" w:rsidRDefault="0081115D">
      <w:pPr>
        <w:pStyle w:val="a4"/>
        <w:numPr>
          <w:ilvl w:val="2"/>
          <w:numId w:val="937"/>
        </w:numPr>
        <w:tabs>
          <w:tab w:val="left" w:pos="1370"/>
        </w:tabs>
        <w:spacing w:line="446" w:lineRule="auto"/>
        <w:ind w:right="1608" w:firstLine="422"/>
        <w:rPr>
          <w:sz w:val="21"/>
        </w:rPr>
      </w:pPr>
      <w:r>
        <w:rPr>
          <w:spacing w:val="-2"/>
          <w:sz w:val="21"/>
        </w:rPr>
        <w:t>消防组织应当为消防员配备合理的、符合国家标准或行业标准的职业危害防护装</w:t>
      </w:r>
      <w:r>
        <w:rPr>
          <w:spacing w:val="-2"/>
          <w:sz w:val="21"/>
        </w:rPr>
        <w:t xml:space="preserve"> </w:t>
      </w:r>
      <w:r>
        <w:rPr>
          <w:spacing w:val="-2"/>
          <w:sz w:val="21"/>
        </w:rPr>
        <w:t>备</w:t>
      </w:r>
      <w:r>
        <w:rPr>
          <w:spacing w:val="-3"/>
          <w:sz w:val="21"/>
        </w:rPr>
        <w:t>。无国家标准和行业标准的，应经过国家相关法定检验</w:t>
      </w:r>
      <w:r>
        <w:rPr>
          <w:sz w:val="21"/>
        </w:rPr>
        <w:t>（</w:t>
      </w:r>
      <w:r>
        <w:rPr>
          <w:spacing w:val="-2"/>
          <w:sz w:val="21"/>
        </w:rPr>
        <w:t>检测</w:t>
      </w:r>
      <w:r>
        <w:rPr>
          <w:spacing w:val="-3"/>
          <w:sz w:val="21"/>
        </w:rPr>
        <w:t>）机构检验</w:t>
      </w:r>
      <w:r>
        <w:rPr>
          <w:sz w:val="21"/>
        </w:rPr>
        <w:t>（</w:t>
      </w:r>
      <w:r>
        <w:rPr>
          <w:spacing w:val="-2"/>
          <w:sz w:val="21"/>
        </w:rPr>
        <w:t>检测</w:t>
      </w:r>
      <w:r>
        <w:rPr>
          <w:sz w:val="21"/>
        </w:rPr>
        <w:t>）</w:t>
      </w:r>
      <w:r>
        <w:rPr>
          <w:spacing w:val="-3"/>
          <w:sz w:val="21"/>
        </w:rPr>
        <w:t>合格。职业</w:t>
      </w:r>
      <w:r>
        <w:rPr>
          <w:spacing w:val="-7"/>
          <w:sz w:val="21"/>
        </w:rPr>
        <w:t>危害防护装备目录参见附录</w:t>
      </w:r>
      <w:r>
        <w:rPr>
          <w:spacing w:val="-7"/>
          <w:sz w:val="21"/>
        </w:rPr>
        <w:t xml:space="preserve"> </w:t>
      </w:r>
      <w:r>
        <w:rPr>
          <w:spacing w:val="-3"/>
          <w:sz w:val="21"/>
        </w:rPr>
        <w:t>E</w:t>
      </w:r>
      <w:r>
        <w:rPr>
          <w:spacing w:val="-3"/>
          <w:sz w:val="21"/>
        </w:rPr>
        <w:t>。</w:t>
      </w:r>
      <w:r>
        <w:rPr>
          <w:sz w:val="21"/>
        </w:rPr>
        <w:t xml:space="preserve"> </w:t>
      </w:r>
    </w:p>
    <w:p w14:paraId="7E820E50" w14:textId="77777777" w:rsidR="00A71EEF" w:rsidRDefault="0081115D">
      <w:pPr>
        <w:pStyle w:val="a4"/>
        <w:numPr>
          <w:ilvl w:val="2"/>
          <w:numId w:val="937"/>
        </w:numPr>
        <w:tabs>
          <w:tab w:val="left" w:pos="1370"/>
        </w:tabs>
        <w:spacing w:line="268" w:lineRule="exact"/>
        <w:ind w:left="1369" w:hanging="530"/>
        <w:rPr>
          <w:sz w:val="21"/>
        </w:rPr>
      </w:pPr>
      <w:r>
        <w:rPr>
          <w:spacing w:val="-3"/>
          <w:sz w:val="21"/>
        </w:rPr>
        <w:t>在未经现场侦检、没有个人防护的情况下，消防员不得进入灭火、救援现场。</w:t>
      </w:r>
      <w:r>
        <w:rPr>
          <w:sz w:val="21"/>
        </w:rPr>
        <w:t xml:space="preserve"> </w:t>
      </w:r>
    </w:p>
    <w:p w14:paraId="5E6BFFB5" w14:textId="77777777" w:rsidR="00A71EEF" w:rsidRDefault="00A71EEF">
      <w:pPr>
        <w:pStyle w:val="a3"/>
        <w:rPr>
          <w:sz w:val="18"/>
        </w:rPr>
      </w:pPr>
    </w:p>
    <w:p w14:paraId="703DAB47" w14:textId="77777777" w:rsidR="00A71EEF" w:rsidRDefault="0081115D">
      <w:pPr>
        <w:pStyle w:val="a4"/>
        <w:numPr>
          <w:ilvl w:val="2"/>
          <w:numId w:val="937"/>
        </w:numPr>
        <w:tabs>
          <w:tab w:val="left" w:pos="1371"/>
        </w:tabs>
        <w:spacing w:line="446" w:lineRule="auto"/>
        <w:ind w:right="1604" w:firstLine="422"/>
        <w:jc w:val="both"/>
        <w:rPr>
          <w:sz w:val="21"/>
        </w:rPr>
      </w:pPr>
      <w:r>
        <w:rPr>
          <w:spacing w:val="-3"/>
          <w:sz w:val="21"/>
        </w:rPr>
        <w:t>侦检人员到达事故现场后应首先向知情人了解情况，或利用侦检设备进行定性、半定量、定量检测，对职业危害因素的种类进行识别。常见气体的直读式检测仪器选择和检测程</w:t>
      </w:r>
      <w:r>
        <w:rPr>
          <w:spacing w:val="8"/>
          <w:sz w:val="21"/>
        </w:rPr>
        <w:t>序参见附录</w:t>
      </w:r>
      <w:r>
        <w:rPr>
          <w:sz w:val="21"/>
        </w:rPr>
        <w:t>F</w:t>
      </w:r>
      <w:r>
        <w:rPr>
          <w:spacing w:val="-7"/>
          <w:sz w:val="21"/>
        </w:rPr>
        <w:t>；如进入密闭空间作业，宜按照</w:t>
      </w:r>
      <w:r>
        <w:rPr>
          <w:spacing w:val="-7"/>
          <w:sz w:val="21"/>
        </w:rPr>
        <w:t xml:space="preserve"> </w:t>
      </w:r>
      <w:r>
        <w:rPr>
          <w:sz w:val="21"/>
        </w:rPr>
        <w:t>GBZ/T205</w:t>
      </w:r>
      <w:r>
        <w:rPr>
          <w:spacing w:val="-3"/>
          <w:sz w:val="21"/>
        </w:rPr>
        <w:t xml:space="preserve"> </w:t>
      </w:r>
      <w:r>
        <w:rPr>
          <w:spacing w:val="-3"/>
          <w:sz w:val="21"/>
        </w:rPr>
        <w:t>执行。</w:t>
      </w:r>
      <w:r>
        <w:rPr>
          <w:sz w:val="21"/>
        </w:rPr>
        <w:t xml:space="preserve"> </w:t>
      </w:r>
    </w:p>
    <w:p w14:paraId="08E0AB8C" w14:textId="77777777" w:rsidR="00A71EEF" w:rsidRDefault="0081115D">
      <w:pPr>
        <w:pStyle w:val="a4"/>
        <w:numPr>
          <w:ilvl w:val="2"/>
          <w:numId w:val="937"/>
        </w:numPr>
        <w:tabs>
          <w:tab w:val="left" w:pos="1370"/>
        </w:tabs>
        <w:spacing w:line="446" w:lineRule="auto"/>
        <w:ind w:right="1604" w:firstLine="422"/>
        <w:jc w:val="both"/>
        <w:rPr>
          <w:sz w:val="21"/>
        </w:rPr>
      </w:pPr>
      <w:r>
        <w:rPr>
          <w:spacing w:val="-3"/>
          <w:sz w:val="21"/>
        </w:rPr>
        <w:t>指挥员应根据侦检情况，及时对消防员接触职业危害因素的接触水平和危害程度进行预测，迅速将作业区域划分为危险区、安全区和警戒区，并根据岗位分工及所在区域，确定消防员的个人防护等级。</w:t>
      </w:r>
      <w:r>
        <w:rPr>
          <w:sz w:val="21"/>
        </w:rPr>
        <w:t xml:space="preserve"> </w:t>
      </w:r>
    </w:p>
    <w:p w14:paraId="2E21CAF0" w14:textId="77777777" w:rsidR="00A71EEF" w:rsidRDefault="0081115D">
      <w:pPr>
        <w:pStyle w:val="a4"/>
        <w:numPr>
          <w:ilvl w:val="2"/>
          <w:numId w:val="937"/>
        </w:numPr>
        <w:tabs>
          <w:tab w:val="left" w:pos="1370"/>
        </w:tabs>
        <w:spacing w:line="446" w:lineRule="auto"/>
        <w:ind w:right="1604" w:firstLine="422"/>
        <w:rPr>
          <w:sz w:val="21"/>
        </w:rPr>
      </w:pPr>
      <w:r>
        <w:rPr>
          <w:spacing w:val="-3"/>
          <w:sz w:val="21"/>
        </w:rPr>
        <w:t>指挥员应根据职业危害因素的种类和性质，以及个人防护装备的性能和用途，指导消防员对个人防护装备进行选择和组合，确保身体各部位免受职业危害因素的伤害。</w:t>
      </w:r>
      <w:r>
        <w:rPr>
          <w:sz w:val="21"/>
        </w:rPr>
        <w:t xml:space="preserve"> </w:t>
      </w:r>
    </w:p>
    <w:p w14:paraId="6173320D" w14:textId="77777777" w:rsidR="00A71EEF" w:rsidRDefault="0081115D">
      <w:pPr>
        <w:pStyle w:val="a4"/>
        <w:numPr>
          <w:ilvl w:val="2"/>
          <w:numId w:val="937"/>
        </w:numPr>
        <w:tabs>
          <w:tab w:val="left" w:pos="1370"/>
        </w:tabs>
        <w:spacing w:line="446" w:lineRule="auto"/>
        <w:ind w:right="1604" w:firstLine="422"/>
        <w:rPr>
          <w:sz w:val="21"/>
        </w:rPr>
      </w:pPr>
      <w:r>
        <w:rPr>
          <w:spacing w:val="-3"/>
          <w:sz w:val="21"/>
        </w:rPr>
        <w:t>指挥员应将现场侦检贯穿于灭火救援工作的全过程，确保消防员始终得到充分的个人防护。</w:t>
      </w:r>
      <w:r>
        <w:rPr>
          <w:sz w:val="21"/>
        </w:rPr>
        <w:t xml:space="preserve"> </w:t>
      </w:r>
    </w:p>
    <w:p w14:paraId="1B5406E6" w14:textId="77777777" w:rsidR="00A71EEF" w:rsidRDefault="0081115D">
      <w:pPr>
        <w:pStyle w:val="a4"/>
        <w:numPr>
          <w:ilvl w:val="2"/>
          <w:numId w:val="937"/>
        </w:numPr>
        <w:tabs>
          <w:tab w:val="left" w:pos="1370"/>
        </w:tabs>
        <w:spacing w:line="446" w:lineRule="auto"/>
        <w:ind w:right="1604" w:firstLine="422"/>
        <w:rPr>
          <w:sz w:val="21"/>
        </w:rPr>
      </w:pPr>
      <w:r>
        <w:rPr>
          <w:spacing w:val="-3"/>
          <w:sz w:val="21"/>
        </w:rPr>
        <w:t>暴露于危险化学品及核泄漏事故染毒区域内的消防员、消防器材、防护装备，应进</w:t>
      </w:r>
      <w:r>
        <w:rPr>
          <w:spacing w:val="-7"/>
          <w:sz w:val="21"/>
        </w:rPr>
        <w:t>行洗消，洗消方法参见附录</w:t>
      </w:r>
      <w:r>
        <w:rPr>
          <w:spacing w:val="-7"/>
          <w:sz w:val="21"/>
        </w:rPr>
        <w:t xml:space="preserve"> </w:t>
      </w:r>
      <w:r>
        <w:rPr>
          <w:sz w:val="21"/>
        </w:rPr>
        <w:t>G</w:t>
      </w:r>
      <w:r>
        <w:rPr>
          <w:spacing w:val="-3"/>
          <w:sz w:val="21"/>
        </w:rPr>
        <w:t>。</w:t>
      </w:r>
      <w:r>
        <w:rPr>
          <w:sz w:val="21"/>
        </w:rPr>
        <w:t xml:space="preserve"> </w:t>
      </w:r>
    </w:p>
    <w:p w14:paraId="019967CC" w14:textId="77777777" w:rsidR="00A71EEF" w:rsidRDefault="0081115D">
      <w:pPr>
        <w:pStyle w:val="a4"/>
        <w:numPr>
          <w:ilvl w:val="2"/>
          <w:numId w:val="937"/>
        </w:numPr>
        <w:tabs>
          <w:tab w:val="left" w:pos="1371"/>
        </w:tabs>
        <w:spacing w:line="267" w:lineRule="exact"/>
        <w:ind w:left="1370" w:hanging="531"/>
        <w:rPr>
          <w:sz w:val="21"/>
        </w:rPr>
      </w:pPr>
      <w:r>
        <w:rPr>
          <w:spacing w:val="-3"/>
          <w:sz w:val="21"/>
        </w:rPr>
        <w:t>消防组织应规范职业危害防护装备的管理。</w:t>
      </w:r>
      <w:r>
        <w:rPr>
          <w:sz w:val="21"/>
        </w:rPr>
        <w:t xml:space="preserve"> </w:t>
      </w:r>
    </w:p>
    <w:p w14:paraId="752FA019" w14:textId="77777777" w:rsidR="00A71EEF" w:rsidRDefault="00A71EEF">
      <w:pPr>
        <w:pStyle w:val="a3"/>
        <w:rPr>
          <w:sz w:val="18"/>
        </w:rPr>
      </w:pPr>
    </w:p>
    <w:p w14:paraId="3F1DD89E" w14:textId="77777777" w:rsidR="00A71EEF" w:rsidRDefault="0081115D">
      <w:pPr>
        <w:pStyle w:val="a4"/>
        <w:numPr>
          <w:ilvl w:val="3"/>
          <w:numId w:val="937"/>
        </w:numPr>
        <w:tabs>
          <w:tab w:val="left" w:pos="1576"/>
        </w:tabs>
        <w:spacing w:line="446" w:lineRule="auto"/>
        <w:ind w:right="1609" w:firstLine="419"/>
        <w:rPr>
          <w:sz w:val="21"/>
        </w:rPr>
      </w:pPr>
      <w:r>
        <w:rPr>
          <w:spacing w:val="-3"/>
          <w:sz w:val="21"/>
        </w:rPr>
        <w:t>建立、健全职业危害防护装备的领用登记、清查、使用、维护、保养、报废等管理制度。</w:t>
      </w:r>
      <w:r>
        <w:rPr>
          <w:sz w:val="21"/>
        </w:rPr>
        <w:t xml:space="preserve"> </w:t>
      </w:r>
    </w:p>
    <w:p w14:paraId="770BFC3D" w14:textId="77777777" w:rsidR="00A71EEF" w:rsidRDefault="0081115D">
      <w:pPr>
        <w:pStyle w:val="a4"/>
        <w:numPr>
          <w:ilvl w:val="3"/>
          <w:numId w:val="937"/>
        </w:numPr>
        <w:tabs>
          <w:tab w:val="left" w:pos="1576"/>
        </w:tabs>
        <w:spacing w:line="446" w:lineRule="auto"/>
        <w:ind w:right="1609" w:firstLine="419"/>
        <w:rPr>
          <w:sz w:val="21"/>
        </w:rPr>
      </w:pPr>
      <w:r>
        <w:rPr>
          <w:spacing w:val="-3"/>
          <w:sz w:val="21"/>
        </w:rPr>
        <w:t>加强对消防员职业危害防护装备使用、维护、保养等技能的培训与考核，确保消防员能正确、有效地发挥职业危害防护装备的功能。</w:t>
      </w:r>
      <w:r>
        <w:rPr>
          <w:spacing w:val="-3"/>
          <w:sz w:val="21"/>
        </w:rPr>
        <w:t xml:space="preserve"> </w:t>
      </w:r>
    </w:p>
    <w:p w14:paraId="21D89E02" w14:textId="77777777" w:rsidR="00A71EEF" w:rsidRDefault="00A71EEF">
      <w:pPr>
        <w:spacing w:line="446" w:lineRule="auto"/>
        <w:rPr>
          <w:sz w:val="21"/>
        </w:rPr>
        <w:sectPr w:rsidR="00A71EEF">
          <w:pgSz w:w="11910" w:h="16850"/>
          <w:pgMar w:top="1220" w:right="0" w:bottom="1420" w:left="1260" w:header="0" w:footer="1239" w:gutter="0"/>
          <w:cols w:space="720"/>
        </w:sectPr>
      </w:pPr>
    </w:p>
    <w:p w14:paraId="0E32714C" w14:textId="77777777" w:rsidR="00A71EEF" w:rsidRDefault="0081115D">
      <w:pPr>
        <w:pStyle w:val="a4"/>
        <w:numPr>
          <w:ilvl w:val="3"/>
          <w:numId w:val="937"/>
        </w:numPr>
        <w:tabs>
          <w:tab w:val="left" w:pos="1576"/>
        </w:tabs>
        <w:spacing w:before="47"/>
        <w:ind w:left="1575"/>
        <w:rPr>
          <w:sz w:val="21"/>
        </w:rPr>
      </w:pPr>
      <w:r>
        <w:rPr>
          <w:spacing w:val="-3"/>
          <w:sz w:val="21"/>
        </w:rPr>
        <w:lastRenderedPageBreak/>
        <w:t>定期对职业危害防护装备进行性能测试，确保防护装备始终处于正常使用状态。</w:t>
      </w:r>
      <w:r>
        <w:rPr>
          <w:sz w:val="21"/>
        </w:rPr>
        <w:t xml:space="preserve"> </w:t>
      </w:r>
    </w:p>
    <w:p w14:paraId="4031176C" w14:textId="77777777" w:rsidR="00A71EEF" w:rsidRDefault="00A71EEF">
      <w:pPr>
        <w:pStyle w:val="a3"/>
        <w:rPr>
          <w:sz w:val="18"/>
        </w:rPr>
      </w:pPr>
    </w:p>
    <w:p w14:paraId="365C6785" w14:textId="77777777" w:rsidR="00A71EEF" w:rsidRDefault="0081115D">
      <w:pPr>
        <w:pStyle w:val="a4"/>
        <w:numPr>
          <w:ilvl w:val="1"/>
          <w:numId w:val="936"/>
        </w:numPr>
        <w:tabs>
          <w:tab w:val="left" w:pos="1159"/>
        </w:tabs>
        <w:ind w:hanging="319"/>
        <w:rPr>
          <w:b/>
          <w:sz w:val="21"/>
        </w:rPr>
      </w:pPr>
      <w:r>
        <w:rPr>
          <w:spacing w:val="-3"/>
          <w:sz w:val="21"/>
        </w:rPr>
        <w:t>医疗卫生服务</w:t>
      </w:r>
      <w:r>
        <w:rPr>
          <w:b/>
          <w:w w:val="99"/>
          <w:sz w:val="21"/>
        </w:rPr>
        <w:t xml:space="preserve"> </w:t>
      </w:r>
    </w:p>
    <w:p w14:paraId="11FC38A1" w14:textId="77777777" w:rsidR="00A71EEF" w:rsidRDefault="00A71EEF">
      <w:pPr>
        <w:pStyle w:val="a3"/>
        <w:rPr>
          <w:b/>
          <w:sz w:val="18"/>
        </w:rPr>
      </w:pPr>
    </w:p>
    <w:p w14:paraId="14152DC4" w14:textId="77777777" w:rsidR="00A71EEF" w:rsidRDefault="0081115D">
      <w:pPr>
        <w:pStyle w:val="a4"/>
        <w:numPr>
          <w:ilvl w:val="2"/>
          <w:numId w:val="936"/>
        </w:numPr>
        <w:tabs>
          <w:tab w:val="left" w:pos="1371"/>
        </w:tabs>
        <w:rPr>
          <w:sz w:val="21"/>
        </w:rPr>
      </w:pPr>
      <w:r>
        <w:rPr>
          <w:spacing w:val="-3"/>
          <w:sz w:val="21"/>
        </w:rPr>
        <w:t>服务内容</w:t>
      </w:r>
      <w:r>
        <w:rPr>
          <w:sz w:val="21"/>
        </w:rPr>
        <w:t xml:space="preserve"> </w:t>
      </w:r>
    </w:p>
    <w:p w14:paraId="0B89714D" w14:textId="77777777" w:rsidR="00A71EEF" w:rsidRDefault="00A71EEF">
      <w:pPr>
        <w:pStyle w:val="a3"/>
        <w:spacing w:before="1"/>
        <w:rPr>
          <w:sz w:val="18"/>
        </w:rPr>
      </w:pPr>
    </w:p>
    <w:p w14:paraId="32CC5A2F" w14:textId="77777777" w:rsidR="00A71EEF" w:rsidRDefault="0081115D">
      <w:pPr>
        <w:pStyle w:val="a4"/>
        <w:numPr>
          <w:ilvl w:val="3"/>
          <w:numId w:val="936"/>
        </w:numPr>
        <w:tabs>
          <w:tab w:val="left" w:pos="1576"/>
        </w:tabs>
        <w:spacing w:before="1" w:line="446" w:lineRule="auto"/>
        <w:ind w:right="1608" w:firstLine="419"/>
        <w:rPr>
          <w:sz w:val="21"/>
        </w:rPr>
      </w:pPr>
      <w:r>
        <w:rPr>
          <w:spacing w:val="-2"/>
          <w:sz w:val="21"/>
        </w:rPr>
        <w:t>基层消防组织的卫生人员主要为本组织内的消防员提供常见病的咨询和初步治</w:t>
      </w:r>
      <w:r>
        <w:rPr>
          <w:spacing w:val="-2"/>
          <w:sz w:val="21"/>
        </w:rPr>
        <w:t xml:space="preserve"> </w:t>
      </w:r>
      <w:r>
        <w:rPr>
          <w:spacing w:val="-2"/>
          <w:sz w:val="21"/>
        </w:rPr>
        <w:t>疗</w:t>
      </w:r>
      <w:r>
        <w:rPr>
          <w:spacing w:val="-3"/>
          <w:sz w:val="21"/>
        </w:rPr>
        <w:t>，对在作战、训练时发生的急性损伤进行初步处理，并为需要进行进一步诊治的消防员联系上级医疗机构。</w:t>
      </w:r>
      <w:r>
        <w:rPr>
          <w:sz w:val="21"/>
        </w:rPr>
        <w:t xml:space="preserve"> </w:t>
      </w:r>
    </w:p>
    <w:p w14:paraId="64AC944A" w14:textId="77777777" w:rsidR="00A71EEF" w:rsidRDefault="0081115D">
      <w:pPr>
        <w:pStyle w:val="a4"/>
        <w:numPr>
          <w:ilvl w:val="3"/>
          <w:numId w:val="936"/>
        </w:numPr>
        <w:tabs>
          <w:tab w:val="left" w:pos="1576"/>
        </w:tabs>
        <w:spacing w:line="446" w:lineRule="auto"/>
        <w:ind w:left="838" w:right="5288" w:firstLine="0"/>
        <w:rPr>
          <w:sz w:val="21"/>
        </w:rPr>
      </w:pPr>
      <w:r>
        <w:rPr>
          <w:spacing w:val="-3"/>
          <w:sz w:val="21"/>
        </w:rPr>
        <w:t>地市级消防组织卫生所主要服务内容：</w:t>
      </w:r>
      <w:r>
        <w:rPr>
          <w:spacing w:val="-3"/>
          <w:sz w:val="21"/>
        </w:rPr>
        <w:t xml:space="preserve"> </w:t>
      </w:r>
      <w:r>
        <w:rPr>
          <w:sz w:val="21"/>
        </w:rPr>
        <w:t>a)</w:t>
      </w:r>
      <w:r>
        <w:rPr>
          <w:spacing w:val="-3"/>
          <w:sz w:val="21"/>
        </w:rPr>
        <w:t xml:space="preserve"> </w:t>
      </w:r>
      <w:r>
        <w:rPr>
          <w:spacing w:val="-3"/>
          <w:sz w:val="21"/>
        </w:rPr>
        <w:t>为本组织内的消防员提供健康咨询和诊疗；</w:t>
      </w:r>
      <w:r>
        <w:rPr>
          <w:sz w:val="21"/>
        </w:rPr>
        <w:t xml:space="preserve"> </w:t>
      </w:r>
    </w:p>
    <w:p w14:paraId="4BC1C535" w14:textId="77777777" w:rsidR="00A71EEF" w:rsidRDefault="0081115D">
      <w:pPr>
        <w:pStyle w:val="a4"/>
        <w:numPr>
          <w:ilvl w:val="0"/>
          <w:numId w:val="935"/>
        </w:numPr>
        <w:tabs>
          <w:tab w:val="left" w:pos="1051"/>
        </w:tabs>
        <w:spacing w:line="267" w:lineRule="exact"/>
        <w:rPr>
          <w:sz w:val="21"/>
        </w:rPr>
      </w:pPr>
      <w:r>
        <w:rPr>
          <w:spacing w:val="-3"/>
          <w:sz w:val="21"/>
        </w:rPr>
        <w:t>为处理重特大灾害事故的消防员提供现场的应急医疗服务；</w:t>
      </w:r>
      <w:r>
        <w:rPr>
          <w:sz w:val="21"/>
        </w:rPr>
        <w:t xml:space="preserve"> </w:t>
      </w:r>
    </w:p>
    <w:p w14:paraId="63B7526D" w14:textId="77777777" w:rsidR="00A71EEF" w:rsidRDefault="00A71EEF">
      <w:pPr>
        <w:pStyle w:val="a3"/>
        <w:rPr>
          <w:sz w:val="18"/>
        </w:rPr>
      </w:pPr>
    </w:p>
    <w:p w14:paraId="0AE20714" w14:textId="77777777" w:rsidR="00A71EEF" w:rsidRDefault="0081115D">
      <w:pPr>
        <w:pStyle w:val="a4"/>
        <w:numPr>
          <w:ilvl w:val="0"/>
          <w:numId w:val="935"/>
        </w:numPr>
        <w:tabs>
          <w:tab w:val="left" w:pos="1051"/>
        </w:tabs>
        <w:jc w:val="both"/>
        <w:rPr>
          <w:sz w:val="21"/>
        </w:rPr>
      </w:pPr>
      <w:r>
        <w:rPr>
          <w:spacing w:val="-3"/>
          <w:sz w:val="21"/>
        </w:rPr>
        <w:t>为需要进一步诊治的消防员联系上级医疗机构；</w:t>
      </w:r>
      <w:r>
        <w:rPr>
          <w:spacing w:val="-3"/>
          <w:sz w:val="21"/>
        </w:rPr>
        <w:t xml:space="preserve"> </w:t>
      </w:r>
    </w:p>
    <w:p w14:paraId="1C3637D3" w14:textId="77777777" w:rsidR="00A71EEF" w:rsidRDefault="00A71EEF">
      <w:pPr>
        <w:pStyle w:val="a3"/>
        <w:spacing w:before="12"/>
        <w:rPr>
          <w:sz w:val="17"/>
        </w:rPr>
      </w:pPr>
    </w:p>
    <w:p w14:paraId="67085DE9" w14:textId="77777777" w:rsidR="00A71EEF" w:rsidRDefault="0081115D">
      <w:pPr>
        <w:pStyle w:val="a4"/>
        <w:numPr>
          <w:ilvl w:val="0"/>
          <w:numId w:val="935"/>
        </w:numPr>
        <w:tabs>
          <w:tab w:val="left" w:pos="1051"/>
        </w:tabs>
        <w:spacing w:before="1" w:line="446" w:lineRule="auto"/>
        <w:ind w:left="418" w:right="1609" w:firstLine="419"/>
        <w:jc w:val="both"/>
        <w:rPr>
          <w:sz w:val="21"/>
        </w:rPr>
      </w:pPr>
      <w:r>
        <w:rPr>
          <w:spacing w:val="-3"/>
          <w:sz w:val="21"/>
        </w:rPr>
        <w:t>为在处理已知或未知的化学品事故中可能接触有毒物质的消防员提供应急健康检查服务；</w:t>
      </w:r>
      <w:r>
        <w:rPr>
          <w:sz w:val="21"/>
        </w:rPr>
        <w:t xml:space="preserve"> </w:t>
      </w:r>
    </w:p>
    <w:p w14:paraId="47079FB1" w14:textId="77777777" w:rsidR="00A71EEF" w:rsidRDefault="0081115D">
      <w:pPr>
        <w:pStyle w:val="a4"/>
        <w:numPr>
          <w:ilvl w:val="0"/>
          <w:numId w:val="935"/>
        </w:numPr>
        <w:tabs>
          <w:tab w:val="left" w:pos="1051"/>
        </w:tabs>
        <w:jc w:val="both"/>
        <w:rPr>
          <w:sz w:val="21"/>
        </w:rPr>
      </w:pPr>
      <w:r>
        <w:rPr>
          <w:spacing w:val="-3"/>
          <w:sz w:val="21"/>
        </w:rPr>
        <w:t>对消防员的免疫接种情况进行筛查，并为需要免疫接种的消防员提供服务；</w:t>
      </w:r>
      <w:r>
        <w:rPr>
          <w:spacing w:val="-3"/>
          <w:sz w:val="21"/>
        </w:rPr>
        <w:t xml:space="preserve"> </w:t>
      </w:r>
    </w:p>
    <w:p w14:paraId="0A86204C" w14:textId="77777777" w:rsidR="00A71EEF" w:rsidRDefault="00A71EEF">
      <w:pPr>
        <w:pStyle w:val="a3"/>
        <w:spacing w:before="12"/>
        <w:rPr>
          <w:sz w:val="17"/>
        </w:rPr>
      </w:pPr>
    </w:p>
    <w:p w14:paraId="5691B2AA" w14:textId="77777777" w:rsidR="00A71EEF" w:rsidRDefault="0081115D">
      <w:pPr>
        <w:pStyle w:val="a4"/>
        <w:numPr>
          <w:ilvl w:val="0"/>
          <w:numId w:val="935"/>
        </w:numPr>
        <w:tabs>
          <w:tab w:val="left" w:pos="1051"/>
        </w:tabs>
        <w:spacing w:line="446" w:lineRule="auto"/>
        <w:ind w:left="418" w:right="1608" w:firstLine="419"/>
        <w:jc w:val="both"/>
        <w:rPr>
          <w:sz w:val="21"/>
        </w:rPr>
      </w:pPr>
      <w:r>
        <w:rPr>
          <w:spacing w:val="-3"/>
          <w:sz w:val="21"/>
        </w:rPr>
        <w:t>负责联系上级消防组织的心理咨询师或心理医师，为在消防员处理完大规模的人员伤亡事件、涉及儿童死亡的事件、涉及消防员死亡或受伤的事件以及其他影响消防员的生理和心理健康的事件后提供心理咨询服务。</w:t>
      </w:r>
      <w:r>
        <w:rPr>
          <w:sz w:val="21"/>
        </w:rPr>
        <w:t xml:space="preserve"> </w:t>
      </w:r>
    </w:p>
    <w:p w14:paraId="2E80004C" w14:textId="77777777" w:rsidR="00A71EEF" w:rsidRDefault="0081115D">
      <w:pPr>
        <w:pStyle w:val="a4"/>
        <w:numPr>
          <w:ilvl w:val="2"/>
          <w:numId w:val="936"/>
        </w:numPr>
        <w:tabs>
          <w:tab w:val="left" w:pos="1370"/>
        </w:tabs>
        <w:spacing w:line="268" w:lineRule="exact"/>
        <w:ind w:left="1369" w:hanging="530"/>
        <w:rPr>
          <w:b/>
          <w:sz w:val="21"/>
        </w:rPr>
      </w:pPr>
      <w:r>
        <w:rPr>
          <w:spacing w:val="-3"/>
          <w:sz w:val="21"/>
        </w:rPr>
        <w:t>环境及设施</w:t>
      </w:r>
      <w:r>
        <w:rPr>
          <w:b/>
          <w:w w:val="99"/>
          <w:sz w:val="21"/>
        </w:rPr>
        <w:t xml:space="preserve"> </w:t>
      </w:r>
    </w:p>
    <w:p w14:paraId="7F982398" w14:textId="77777777" w:rsidR="00A71EEF" w:rsidRDefault="00A71EEF">
      <w:pPr>
        <w:pStyle w:val="a3"/>
        <w:spacing w:before="12"/>
        <w:rPr>
          <w:b/>
          <w:sz w:val="17"/>
        </w:rPr>
      </w:pPr>
    </w:p>
    <w:p w14:paraId="0A9A8312" w14:textId="77777777" w:rsidR="00A71EEF" w:rsidRDefault="0081115D">
      <w:pPr>
        <w:pStyle w:val="a4"/>
        <w:numPr>
          <w:ilvl w:val="3"/>
          <w:numId w:val="936"/>
        </w:numPr>
        <w:tabs>
          <w:tab w:val="left" w:pos="1576"/>
        </w:tabs>
        <w:spacing w:line="444" w:lineRule="auto"/>
        <w:ind w:right="1606" w:firstLine="419"/>
        <w:jc w:val="both"/>
        <w:rPr>
          <w:sz w:val="21"/>
        </w:rPr>
      </w:pPr>
      <w:r>
        <w:rPr>
          <w:spacing w:val="-3"/>
          <w:sz w:val="21"/>
        </w:rPr>
        <w:t>基层消防组织应设有卫生室，为本组织内的消防员提供基本的医疗服务。卫生室</w:t>
      </w:r>
      <w:r>
        <w:rPr>
          <w:spacing w:val="-6"/>
          <w:sz w:val="21"/>
        </w:rPr>
        <w:t>用房面积不小于</w:t>
      </w:r>
      <w:r>
        <w:rPr>
          <w:spacing w:val="-6"/>
          <w:sz w:val="21"/>
        </w:rPr>
        <w:t xml:space="preserve"> </w:t>
      </w:r>
      <w:r>
        <w:rPr>
          <w:sz w:val="21"/>
        </w:rPr>
        <w:t>20m</w:t>
      </w:r>
      <w:r>
        <w:rPr>
          <w:position w:val="11"/>
          <w:sz w:val="11"/>
        </w:rPr>
        <w:t>2</w:t>
      </w:r>
      <w:r>
        <w:rPr>
          <w:spacing w:val="-3"/>
          <w:sz w:val="21"/>
        </w:rPr>
        <w:t>，配备基本的医疗救护设备和常用药品，包括理疗仪、检查床、血压计、体温计等。在每辆消防车上应配备应急药箱，药箱内应包括夹板、剪刀、镊子、绷带、外伤喷雾剂或同类药品、止血带、止血海绵、护创胶布、胶布、棉签、烧伤膏、碘酊、防暑药品、生理盐水、眼药水、硝酸甘油、三角巾急救包等。</w:t>
      </w:r>
      <w:r>
        <w:rPr>
          <w:sz w:val="21"/>
        </w:rPr>
        <w:t xml:space="preserve"> </w:t>
      </w:r>
    </w:p>
    <w:p w14:paraId="64A2FEF6" w14:textId="77777777" w:rsidR="00A71EEF" w:rsidRDefault="0081115D">
      <w:pPr>
        <w:pStyle w:val="a4"/>
        <w:numPr>
          <w:ilvl w:val="3"/>
          <w:numId w:val="936"/>
        </w:numPr>
        <w:tabs>
          <w:tab w:val="left" w:pos="1576"/>
        </w:tabs>
        <w:spacing w:line="446" w:lineRule="auto"/>
        <w:ind w:right="1503" w:firstLine="419"/>
        <w:rPr>
          <w:sz w:val="21"/>
        </w:rPr>
      </w:pPr>
      <w:r>
        <w:rPr>
          <w:spacing w:val="-5"/>
          <w:sz w:val="21"/>
        </w:rPr>
        <w:t>地市级消防组织应设有卫生所，卫生所用房面积不小于</w:t>
      </w:r>
      <w:r>
        <w:rPr>
          <w:spacing w:val="-5"/>
          <w:sz w:val="21"/>
        </w:rPr>
        <w:t xml:space="preserve"> </w:t>
      </w:r>
      <w:r>
        <w:rPr>
          <w:sz w:val="21"/>
        </w:rPr>
        <w:t>150m</w:t>
      </w:r>
      <w:r>
        <w:rPr>
          <w:position w:val="11"/>
          <w:sz w:val="11"/>
        </w:rPr>
        <w:t>2</w:t>
      </w:r>
      <w:r>
        <w:rPr>
          <w:spacing w:val="-3"/>
          <w:sz w:val="21"/>
        </w:rPr>
        <w:t>，布局合理，充分体现保护患者隐私、无障碍设计要求，并符合国家卫生学标准；配备基本的常规医疗检查、治疗设备及现场紧急救护设备，并储备一定量的药品。</w:t>
      </w:r>
      <w:r>
        <w:rPr>
          <w:sz w:val="21"/>
        </w:rPr>
        <w:t xml:space="preserve"> </w:t>
      </w:r>
    </w:p>
    <w:p w14:paraId="5C1C10C3" w14:textId="77777777" w:rsidR="00A71EEF" w:rsidRDefault="0081115D">
      <w:pPr>
        <w:pStyle w:val="a4"/>
        <w:numPr>
          <w:ilvl w:val="2"/>
          <w:numId w:val="936"/>
        </w:numPr>
        <w:tabs>
          <w:tab w:val="left" w:pos="1370"/>
        </w:tabs>
        <w:spacing w:line="268" w:lineRule="exact"/>
        <w:ind w:left="1369" w:hanging="530"/>
        <w:rPr>
          <w:sz w:val="21"/>
        </w:rPr>
      </w:pPr>
      <w:r>
        <w:rPr>
          <w:spacing w:val="-3"/>
          <w:sz w:val="21"/>
        </w:rPr>
        <w:t>人员</w:t>
      </w:r>
      <w:r>
        <w:rPr>
          <w:sz w:val="21"/>
        </w:rPr>
        <w:t xml:space="preserve"> </w:t>
      </w:r>
    </w:p>
    <w:p w14:paraId="3BBBEA2C" w14:textId="77777777" w:rsidR="00A71EEF" w:rsidRDefault="00A71EEF">
      <w:pPr>
        <w:pStyle w:val="a3"/>
        <w:spacing w:before="5"/>
        <w:rPr>
          <w:sz w:val="17"/>
        </w:rPr>
      </w:pPr>
    </w:p>
    <w:p w14:paraId="331371F4" w14:textId="77777777" w:rsidR="00A71EEF" w:rsidRDefault="0081115D">
      <w:pPr>
        <w:pStyle w:val="a4"/>
        <w:numPr>
          <w:ilvl w:val="3"/>
          <w:numId w:val="936"/>
        </w:numPr>
        <w:tabs>
          <w:tab w:val="left" w:pos="1576"/>
        </w:tabs>
        <w:spacing w:line="446" w:lineRule="auto"/>
        <w:ind w:right="1608" w:firstLine="419"/>
        <w:rPr>
          <w:sz w:val="21"/>
        </w:rPr>
      </w:pPr>
      <w:r>
        <w:rPr>
          <w:spacing w:val="-7"/>
          <w:sz w:val="21"/>
        </w:rPr>
        <w:t>基层消防组织应配备</w:t>
      </w:r>
      <w:r>
        <w:rPr>
          <w:spacing w:val="-7"/>
          <w:sz w:val="21"/>
        </w:rPr>
        <w:t xml:space="preserve"> </w:t>
      </w:r>
      <w:r>
        <w:rPr>
          <w:sz w:val="21"/>
        </w:rPr>
        <w:t>1</w:t>
      </w:r>
      <w:r>
        <w:rPr>
          <w:spacing w:val="-8"/>
          <w:sz w:val="21"/>
        </w:rPr>
        <w:t xml:space="preserve"> </w:t>
      </w:r>
      <w:r>
        <w:rPr>
          <w:spacing w:val="-8"/>
          <w:sz w:val="21"/>
        </w:rPr>
        <w:t>名以上的卫生人员，卫生人员需高中以上文化程度，并经</w:t>
      </w:r>
      <w:r>
        <w:rPr>
          <w:spacing w:val="-5"/>
          <w:sz w:val="21"/>
        </w:rPr>
        <w:t>过专业的医疗培训，经考核合格后方可上岗。</w:t>
      </w:r>
      <w:r>
        <w:rPr>
          <w:sz w:val="21"/>
        </w:rPr>
        <w:t xml:space="preserve"> </w:t>
      </w:r>
    </w:p>
    <w:p w14:paraId="0C075A90" w14:textId="77777777" w:rsidR="00A71EEF" w:rsidRDefault="00A71EEF">
      <w:pPr>
        <w:spacing w:line="446" w:lineRule="auto"/>
        <w:rPr>
          <w:sz w:val="21"/>
        </w:rPr>
        <w:sectPr w:rsidR="00A71EEF">
          <w:pgSz w:w="11910" w:h="16850"/>
          <w:pgMar w:top="1220" w:right="0" w:bottom="1420" w:left="1260" w:header="0" w:footer="1239" w:gutter="0"/>
          <w:cols w:space="720"/>
        </w:sectPr>
      </w:pPr>
    </w:p>
    <w:p w14:paraId="1129ED47" w14:textId="77777777" w:rsidR="00A71EEF" w:rsidRDefault="0081115D">
      <w:pPr>
        <w:pStyle w:val="a4"/>
        <w:numPr>
          <w:ilvl w:val="3"/>
          <w:numId w:val="936"/>
        </w:numPr>
        <w:tabs>
          <w:tab w:val="left" w:pos="1576"/>
        </w:tabs>
        <w:spacing w:before="47" w:line="446" w:lineRule="auto"/>
        <w:ind w:right="1608" w:firstLine="419"/>
        <w:jc w:val="both"/>
        <w:rPr>
          <w:sz w:val="21"/>
        </w:rPr>
      </w:pPr>
      <w:r>
        <w:rPr>
          <w:spacing w:val="-7"/>
          <w:sz w:val="21"/>
        </w:rPr>
        <w:lastRenderedPageBreak/>
        <w:t>地市级消防组织应配备</w:t>
      </w:r>
      <w:r>
        <w:rPr>
          <w:spacing w:val="-7"/>
          <w:sz w:val="21"/>
        </w:rPr>
        <w:t xml:space="preserve"> </w:t>
      </w:r>
      <w:r>
        <w:rPr>
          <w:sz w:val="21"/>
        </w:rPr>
        <w:t>2</w:t>
      </w:r>
      <w:r>
        <w:rPr>
          <w:spacing w:val="-8"/>
          <w:sz w:val="21"/>
        </w:rPr>
        <w:t xml:space="preserve"> </w:t>
      </w:r>
      <w:r>
        <w:rPr>
          <w:spacing w:val="-8"/>
          <w:sz w:val="21"/>
        </w:rPr>
        <w:t>名以上医师，负责该消防组织内消防员的健康和医疗服</w:t>
      </w:r>
      <w:r>
        <w:rPr>
          <w:spacing w:val="-5"/>
          <w:sz w:val="21"/>
        </w:rPr>
        <w:t>务。医师应该是取得执业医师资格的内外科或全科医师，有能力为消防员的健康提供技术和咨</w:t>
      </w:r>
      <w:r>
        <w:rPr>
          <w:spacing w:val="-4"/>
          <w:sz w:val="21"/>
        </w:rPr>
        <w:t>询服务；同时消防组织可以聘请数名合格的执业医师随时为消防员提供医疗和咨询服务。</w:t>
      </w:r>
      <w:r>
        <w:rPr>
          <w:sz w:val="21"/>
        </w:rPr>
        <w:t xml:space="preserve"> </w:t>
      </w:r>
    </w:p>
    <w:p w14:paraId="108081A8" w14:textId="77777777" w:rsidR="00A71EEF" w:rsidRDefault="00A71EEF">
      <w:pPr>
        <w:pStyle w:val="a3"/>
        <w:rPr>
          <w:sz w:val="20"/>
        </w:rPr>
      </w:pPr>
    </w:p>
    <w:p w14:paraId="2CFABABC" w14:textId="77777777" w:rsidR="00A71EEF" w:rsidRDefault="00A71EEF">
      <w:pPr>
        <w:pStyle w:val="a3"/>
        <w:rPr>
          <w:sz w:val="20"/>
        </w:rPr>
      </w:pPr>
    </w:p>
    <w:p w14:paraId="29DA9AAF" w14:textId="77777777" w:rsidR="00A71EEF" w:rsidRDefault="00A71EEF">
      <w:pPr>
        <w:pStyle w:val="a3"/>
        <w:rPr>
          <w:sz w:val="20"/>
        </w:rPr>
      </w:pPr>
    </w:p>
    <w:p w14:paraId="426D03FD" w14:textId="77777777" w:rsidR="00A71EEF" w:rsidRDefault="00A71EEF">
      <w:pPr>
        <w:pStyle w:val="a3"/>
        <w:rPr>
          <w:sz w:val="20"/>
        </w:rPr>
      </w:pPr>
    </w:p>
    <w:p w14:paraId="6B3EE7A2" w14:textId="77777777" w:rsidR="00A71EEF" w:rsidRDefault="00A71EEF">
      <w:pPr>
        <w:pStyle w:val="a3"/>
        <w:rPr>
          <w:sz w:val="20"/>
        </w:rPr>
      </w:pPr>
    </w:p>
    <w:p w14:paraId="6749332D" w14:textId="77777777" w:rsidR="00A71EEF" w:rsidRDefault="00A71EEF">
      <w:pPr>
        <w:pStyle w:val="a3"/>
        <w:rPr>
          <w:sz w:val="20"/>
        </w:rPr>
      </w:pPr>
    </w:p>
    <w:p w14:paraId="7E3D32F7" w14:textId="77777777" w:rsidR="00A71EEF" w:rsidRDefault="00A71EEF">
      <w:pPr>
        <w:pStyle w:val="a3"/>
        <w:rPr>
          <w:sz w:val="20"/>
        </w:rPr>
      </w:pPr>
    </w:p>
    <w:p w14:paraId="0CD923F9" w14:textId="77777777" w:rsidR="00A71EEF" w:rsidRDefault="00A71EEF">
      <w:pPr>
        <w:pStyle w:val="a3"/>
        <w:rPr>
          <w:sz w:val="20"/>
        </w:rPr>
      </w:pPr>
    </w:p>
    <w:p w14:paraId="0145ACDA" w14:textId="77777777" w:rsidR="00A71EEF" w:rsidRDefault="00A71EEF">
      <w:pPr>
        <w:pStyle w:val="a3"/>
        <w:rPr>
          <w:sz w:val="20"/>
        </w:rPr>
      </w:pPr>
    </w:p>
    <w:p w14:paraId="6904CCCF" w14:textId="77777777" w:rsidR="00A71EEF" w:rsidRDefault="00A71EEF">
      <w:pPr>
        <w:pStyle w:val="a3"/>
        <w:rPr>
          <w:sz w:val="20"/>
        </w:rPr>
      </w:pPr>
    </w:p>
    <w:p w14:paraId="78320214" w14:textId="77777777" w:rsidR="00A71EEF" w:rsidRDefault="00A71EEF">
      <w:pPr>
        <w:pStyle w:val="a3"/>
        <w:rPr>
          <w:sz w:val="20"/>
        </w:rPr>
      </w:pPr>
    </w:p>
    <w:p w14:paraId="3186BF9D" w14:textId="77777777" w:rsidR="00A71EEF" w:rsidRDefault="00A71EEF">
      <w:pPr>
        <w:pStyle w:val="a3"/>
        <w:rPr>
          <w:sz w:val="20"/>
        </w:rPr>
      </w:pPr>
    </w:p>
    <w:p w14:paraId="1971B7BD" w14:textId="77777777" w:rsidR="00A71EEF" w:rsidRDefault="00A71EEF">
      <w:pPr>
        <w:pStyle w:val="a3"/>
        <w:rPr>
          <w:sz w:val="20"/>
        </w:rPr>
      </w:pPr>
    </w:p>
    <w:p w14:paraId="3AA28F00" w14:textId="77777777" w:rsidR="00A71EEF" w:rsidRDefault="00A71EEF">
      <w:pPr>
        <w:pStyle w:val="a3"/>
        <w:rPr>
          <w:sz w:val="20"/>
        </w:rPr>
      </w:pPr>
    </w:p>
    <w:p w14:paraId="0954B577" w14:textId="77777777" w:rsidR="00A71EEF" w:rsidRDefault="00A71EEF">
      <w:pPr>
        <w:pStyle w:val="a3"/>
        <w:rPr>
          <w:sz w:val="20"/>
        </w:rPr>
      </w:pPr>
    </w:p>
    <w:p w14:paraId="11C24E21" w14:textId="77777777" w:rsidR="00A71EEF" w:rsidRDefault="00A71EEF">
      <w:pPr>
        <w:pStyle w:val="a3"/>
        <w:rPr>
          <w:sz w:val="20"/>
        </w:rPr>
      </w:pPr>
    </w:p>
    <w:p w14:paraId="663C0ECB" w14:textId="77777777" w:rsidR="00A71EEF" w:rsidRDefault="00A71EEF">
      <w:pPr>
        <w:pStyle w:val="a3"/>
        <w:rPr>
          <w:sz w:val="20"/>
        </w:rPr>
      </w:pPr>
    </w:p>
    <w:p w14:paraId="2910748A" w14:textId="77777777" w:rsidR="00A71EEF" w:rsidRDefault="00A71EEF">
      <w:pPr>
        <w:pStyle w:val="a3"/>
        <w:rPr>
          <w:sz w:val="20"/>
        </w:rPr>
      </w:pPr>
    </w:p>
    <w:p w14:paraId="77539018" w14:textId="77777777" w:rsidR="00A71EEF" w:rsidRDefault="00A71EEF">
      <w:pPr>
        <w:pStyle w:val="a3"/>
        <w:rPr>
          <w:sz w:val="20"/>
        </w:rPr>
      </w:pPr>
    </w:p>
    <w:p w14:paraId="5BCBF13D" w14:textId="77777777" w:rsidR="00A71EEF" w:rsidRDefault="00A71EEF">
      <w:pPr>
        <w:pStyle w:val="a3"/>
        <w:rPr>
          <w:sz w:val="20"/>
        </w:rPr>
      </w:pPr>
    </w:p>
    <w:p w14:paraId="39F28934" w14:textId="77777777" w:rsidR="00A71EEF" w:rsidRDefault="00A71EEF">
      <w:pPr>
        <w:pStyle w:val="a3"/>
        <w:rPr>
          <w:sz w:val="20"/>
        </w:rPr>
      </w:pPr>
    </w:p>
    <w:p w14:paraId="288653C7" w14:textId="77777777" w:rsidR="00A71EEF" w:rsidRDefault="00A71EEF">
      <w:pPr>
        <w:pStyle w:val="a3"/>
        <w:rPr>
          <w:sz w:val="20"/>
        </w:rPr>
      </w:pPr>
    </w:p>
    <w:p w14:paraId="4448C27F" w14:textId="77777777" w:rsidR="00A71EEF" w:rsidRDefault="00A71EEF">
      <w:pPr>
        <w:pStyle w:val="a3"/>
        <w:rPr>
          <w:sz w:val="20"/>
        </w:rPr>
      </w:pPr>
    </w:p>
    <w:p w14:paraId="365A6DBC" w14:textId="77777777" w:rsidR="00A71EEF" w:rsidRDefault="00A71EEF">
      <w:pPr>
        <w:pStyle w:val="a3"/>
        <w:rPr>
          <w:sz w:val="20"/>
        </w:rPr>
      </w:pPr>
    </w:p>
    <w:p w14:paraId="463098D8" w14:textId="77777777" w:rsidR="00A71EEF" w:rsidRDefault="00A71EEF">
      <w:pPr>
        <w:pStyle w:val="a3"/>
        <w:rPr>
          <w:sz w:val="20"/>
        </w:rPr>
      </w:pPr>
    </w:p>
    <w:p w14:paraId="51645E40" w14:textId="77777777" w:rsidR="00A71EEF" w:rsidRDefault="00A71EEF">
      <w:pPr>
        <w:pStyle w:val="a3"/>
        <w:rPr>
          <w:sz w:val="20"/>
        </w:rPr>
      </w:pPr>
    </w:p>
    <w:p w14:paraId="1280978B" w14:textId="77777777" w:rsidR="00A71EEF" w:rsidRDefault="00A71EEF">
      <w:pPr>
        <w:pStyle w:val="a3"/>
        <w:rPr>
          <w:sz w:val="20"/>
        </w:rPr>
      </w:pPr>
    </w:p>
    <w:p w14:paraId="6A425E40" w14:textId="77777777" w:rsidR="00A71EEF" w:rsidRDefault="00A71EEF">
      <w:pPr>
        <w:pStyle w:val="a3"/>
        <w:rPr>
          <w:sz w:val="20"/>
        </w:rPr>
      </w:pPr>
    </w:p>
    <w:p w14:paraId="0F26A448" w14:textId="77777777" w:rsidR="00A71EEF" w:rsidRDefault="00A71EEF">
      <w:pPr>
        <w:pStyle w:val="a3"/>
        <w:rPr>
          <w:sz w:val="20"/>
        </w:rPr>
      </w:pPr>
    </w:p>
    <w:p w14:paraId="58790844" w14:textId="77777777" w:rsidR="00A71EEF" w:rsidRDefault="00A71EEF">
      <w:pPr>
        <w:pStyle w:val="a3"/>
        <w:rPr>
          <w:sz w:val="20"/>
        </w:rPr>
      </w:pPr>
    </w:p>
    <w:p w14:paraId="363EF5B1" w14:textId="77777777" w:rsidR="00A71EEF" w:rsidRDefault="00A71EEF">
      <w:pPr>
        <w:pStyle w:val="a3"/>
        <w:rPr>
          <w:sz w:val="20"/>
        </w:rPr>
      </w:pPr>
    </w:p>
    <w:p w14:paraId="28644ABD" w14:textId="77777777" w:rsidR="00A71EEF" w:rsidRDefault="00A71EEF">
      <w:pPr>
        <w:pStyle w:val="a3"/>
        <w:rPr>
          <w:sz w:val="20"/>
        </w:rPr>
      </w:pPr>
    </w:p>
    <w:p w14:paraId="2A93FA6C" w14:textId="77777777" w:rsidR="00A71EEF" w:rsidRDefault="00A71EEF">
      <w:pPr>
        <w:pStyle w:val="a3"/>
        <w:rPr>
          <w:sz w:val="20"/>
        </w:rPr>
      </w:pPr>
    </w:p>
    <w:p w14:paraId="09FAB8D6" w14:textId="77777777" w:rsidR="00A71EEF" w:rsidRDefault="00A71EEF">
      <w:pPr>
        <w:pStyle w:val="a3"/>
        <w:rPr>
          <w:sz w:val="20"/>
        </w:rPr>
      </w:pPr>
    </w:p>
    <w:p w14:paraId="729194AC" w14:textId="77777777" w:rsidR="00A71EEF" w:rsidRDefault="00A71EEF">
      <w:pPr>
        <w:pStyle w:val="a3"/>
        <w:rPr>
          <w:sz w:val="20"/>
        </w:rPr>
      </w:pPr>
    </w:p>
    <w:p w14:paraId="56018DC2" w14:textId="77777777" w:rsidR="00A71EEF" w:rsidRDefault="00A71EEF">
      <w:pPr>
        <w:pStyle w:val="a3"/>
        <w:rPr>
          <w:sz w:val="20"/>
        </w:rPr>
      </w:pPr>
    </w:p>
    <w:p w14:paraId="14A82E4F" w14:textId="77777777" w:rsidR="00A71EEF" w:rsidRDefault="00A71EEF">
      <w:pPr>
        <w:pStyle w:val="a3"/>
        <w:rPr>
          <w:sz w:val="20"/>
        </w:rPr>
      </w:pPr>
    </w:p>
    <w:p w14:paraId="13055695" w14:textId="77777777" w:rsidR="00A71EEF" w:rsidRDefault="00A71EEF">
      <w:pPr>
        <w:pStyle w:val="a3"/>
        <w:rPr>
          <w:sz w:val="20"/>
        </w:rPr>
      </w:pPr>
    </w:p>
    <w:p w14:paraId="4ED7495A" w14:textId="77777777" w:rsidR="00A71EEF" w:rsidRDefault="00A71EEF">
      <w:pPr>
        <w:pStyle w:val="a3"/>
        <w:spacing w:before="11"/>
        <w:rPr>
          <w:sz w:val="14"/>
        </w:rPr>
      </w:pPr>
    </w:p>
    <w:p w14:paraId="3425D684" w14:textId="77777777" w:rsidR="00A71EEF" w:rsidRDefault="0081115D">
      <w:pPr>
        <w:pStyle w:val="a3"/>
        <w:spacing w:before="71"/>
        <w:ind w:left="3298"/>
      </w:pPr>
      <w:r>
        <w:t xml:space="preserve"> </w:t>
      </w:r>
    </w:p>
    <w:p w14:paraId="2AA3511C" w14:textId="77777777" w:rsidR="00A71EEF" w:rsidRDefault="00A71EEF">
      <w:pPr>
        <w:sectPr w:rsidR="00A71EEF">
          <w:pgSz w:w="11910" w:h="16850"/>
          <w:pgMar w:top="1220" w:right="0" w:bottom="1420" w:left="1260" w:header="0" w:footer="1239" w:gutter="0"/>
          <w:cols w:space="720"/>
        </w:sectPr>
      </w:pPr>
    </w:p>
    <w:p w14:paraId="566B59C4" w14:textId="77777777" w:rsidR="00A71EEF" w:rsidRDefault="0081115D">
      <w:pPr>
        <w:pStyle w:val="4"/>
        <w:spacing w:before="55"/>
        <w:ind w:left="2854"/>
      </w:pPr>
      <w:r>
        <w:lastRenderedPageBreak/>
        <w:t>附录</w:t>
      </w:r>
      <w:r>
        <w:t xml:space="preserve"> A</w:t>
      </w:r>
      <w:r>
        <w:t>（资料性附录）</w:t>
      </w:r>
      <w:r>
        <w:t xml:space="preserve"> </w:t>
      </w:r>
      <w:r>
        <w:t>体能测试方法</w:t>
      </w:r>
      <w:r>
        <w:rPr>
          <w:w w:val="99"/>
        </w:rPr>
        <w:t xml:space="preserve"> </w:t>
      </w:r>
    </w:p>
    <w:p w14:paraId="6F5F8FB0" w14:textId="77777777" w:rsidR="00A71EEF" w:rsidRDefault="00A71EEF">
      <w:pPr>
        <w:pStyle w:val="a3"/>
        <w:rPr>
          <w:b/>
          <w:sz w:val="24"/>
        </w:rPr>
      </w:pPr>
    </w:p>
    <w:p w14:paraId="40184AD3" w14:textId="77777777" w:rsidR="00A71EEF" w:rsidRDefault="0081115D">
      <w:pPr>
        <w:spacing w:before="176" w:line="446" w:lineRule="auto"/>
        <w:ind w:left="840" w:right="7595"/>
        <w:rPr>
          <w:sz w:val="21"/>
        </w:rPr>
      </w:pPr>
      <w:r>
        <w:rPr>
          <w:b/>
          <w:sz w:val="21"/>
        </w:rPr>
        <w:t xml:space="preserve">A.1 </w:t>
      </w:r>
      <w:r>
        <w:rPr>
          <w:sz w:val="21"/>
        </w:rPr>
        <w:t>基础指标测试项目</w:t>
      </w:r>
      <w:r>
        <w:rPr>
          <w:b/>
          <w:sz w:val="21"/>
        </w:rPr>
        <w:t xml:space="preserve">A.1.1 </w:t>
      </w:r>
      <w:r>
        <w:rPr>
          <w:sz w:val="21"/>
        </w:rPr>
        <w:t>身高</w:t>
      </w:r>
      <w:r>
        <w:rPr>
          <w:sz w:val="21"/>
        </w:rPr>
        <w:t xml:space="preserve"> </w:t>
      </w:r>
    </w:p>
    <w:p w14:paraId="7EFB4C1A" w14:textId="77777777" w:rsidR="00A71EEF" w:rsidRDefault="0081115D">
      <w:pPr>
        <w:pStyle w:val="a4"/>
        <w:numPr>
          <w:ilvl w:val="3"/>
          <w:numId w:val="934"/>
        </w:numPr>
        <w:tabs>
          <w:tab w:val="left" w:pos="1576"/>
        </w:tabs>
        <w:rPr>
          <w:sz w:val="21"/>
        </w:rPr>
      </w:pPr>
      <w:r>
        <w:rPr>
          <w:spacing w:val="-3"/>
          <w:sz w:val="21"/>
        </w:rPr>
        <w:t>使用仪器</w:t>
      </w:r>
      <w:r>
        <w:rPr>
          <w:sz w:val="21"/>
        </w:rPr>
        <w:t xml:space="preserve"> </w:t>
      </w:r>
    </w:p>
    <w:p w14:paraId="09A37E48" w14:textId="77777777" w:rsidR="00A71EEF" w:rsidRDefault="00A71EEF">
      <w:pPr>
        <w:pStyle w:val="a3"/>
        <w:spacing w:before="12"/>
        <w:rPr>
          <w:sz w:val="17"/>
        </w:rPr>
      </w:pPr>
    </w:p>
    <w:p w14:paraId="603034F2" w14:textId="77777777" w:rsidR="00A71EEF" w:rsidRDefault="0081115D">
      <w:pPr>
        <w:pStyle w:val="a3"/>
        <w:spacing w:line="446" w:lineRule="auto"/>
        <w:ind w:left="418" w:right="1609" w:firstLine="419"/>
      </w:pPr>
      <w:r>
        <w:rPr>
          <w:spacing w:val="-3"/>
        </w:rPr>
        <w:t>身高坐高计。使用前用钢尺校正测量刻度，误差不应超过</w:t>
      </w:r>
      <w:r>
        <w:t>±0.2</w:t>
      </w:r>
      <w:r>
        <w:rPr>
          <w:spacing w:val="-3"/>
        </w:rPr>
        <w:t>%</w:t>
      </w:r>
      <w:r>
        <w:rPr>
          <w:spacing w:val="-3"/>
        </w:rPr>
        <w:t>。检查身高计的立柱是否垂直，有无晃动，水平压板是否水平。</w:t>
      </w:r>
      <w:r>
        <w:t xml:space="preserve"> </w:t>
      </w:r>
    </w:p>
    <w:p w14:paraId="346C08DF" w14:textId="77777777" w:rsidR="00A71EEF" w:rsidRDefault="0081115D">
      <w:pPr>
        <w:pStyle w:val="a4"/>
        <w:numPr>
          <w:ilvl w:val="3"/>
          <w:numId w:val="934"/>
        </w:numPr>
        <w:tabs>
          <w:tab w:val="left" w:pos="1576"/>
        </w:tabs>
        <w:spacing w:before="1"/>
        <w:rPr>
          <w:sz w:val="21"/>
        </w:rPr>
      </w:pPr>
      <w:r>
        <w:rPr>
          <w:spacing w:val="-3"/>
          <w:sz w:val="21"/>
        </w:rPr>
        <w:t>测量方法</w:t>
      </w:r>
      <w:r>
        <w:rPr>
          <w:sz w:val="21"/>
        </w:rPr>
        <w:t xml:space="preserve"> </w:t>
      </w:r>
    </w:p>
    <w:p w14:paraId="2F9D2E80" w14:textId="77777777" w:rsidR="00A71EEF" w:rsidRDefault="00A71EEF">
      <w:pPr>
        <w:pStyle w:val="a3"/>
        <w:spacing w:before="12"/>
        <w:rPr>
          <w:sz w:val="17"/>
        </w:rPr>
      </w:pPr>
    </w:p>
    <w:p w14:paraId="3C0DB606" w14:textId="77777777" w:rsidR="00A71EEF" w:rsidRDefault="0081115D">
      <w:pPr>
        <w:pStyle w:val="a3"/>
        <w:spacing w:line="446" w:lineRule="auto"/>
        <w:ind w:left="418" w:right="1558" w:firstLine="419"/>
      </w:pPr>
      <w:r>
        <w:rPr>
          <w:spacing w:val="-4"/>
        </w:rPr>
        <w:t>被测者赤足，立正姿势背靠立柱站在身高计的底板上，足跟并拢，足尖分成</w:t>
      </w:r>
      <w:r>
        <w:rPr>
          <w:spacing w:val="-4"/>
        </w:rPr>
        <w:t xml:space="preserve"> </w:t>
      </w:r>
      <w:r>
        <w:t>60°</w:t>
      </w:r>
      <w:r>
        <w:rPr>
          <w:spacing w:val="-3"/>
        </w:rPr>
        <w:t>。足跟、骶部以及两肩胛间部与立柱相接触，躯干自然挺直，头部正直，但不许靠立柱，两眼平视前</w:t>
      </w:r>
      <w:r>
        <w:rPr>
          <w:spacing w:val="-3"/>
        </w:rPr>
        <w:t xml:space="preserve">  </w:t>
      </w:r>
      <w:r>
        <w:rPr>
          <w:spacing w:val="-3"/>
        </w:rPr>
        <w:t>方，保持耳眼平面。</w:t>
      </w:r>
      <w:r>
        <w:rPr>
          <w:spacing w:val="-3"/>
        </w:rPr>
        <w:t xml:space="preserve"> </w:t>
      </w:r>
      <w:r>
        <w:rPr>
          <w:spacing w:val="-3"/>
        </w:rPr>
        <w:t>测试人员站在被测者右侧方，将水平压板轻轻沿立柱下滑，被测者头顶点。测试人员两眼与水平压板呈水平读数。</w:t>
      </w:r>
      <w:r>
        <w:t xml:space="preserve"> </w:t>
      </w:r>
    </w:p>
    <w:p w14:paraId="750CCFA1" w14:textId="77777777" w:rsidR="00A71EEF" w:rsidRDefault="0081115D">
      <w:pPr>
        <w:pStyle w:val="a4"/>
        <w:numPr>
          <w:ilvl w:val="2"/>
          <w:numId w:val="933"/>
        </w:numPr>
        <w:tabs>
          <w:tab w:val="left" w:pos="1370"/>
        </w:tabs>
        <w:spacing w:line="446" w:lineRule="auto"/>
        <w:ind w:right="8020" w:firstLine="2"/>
        <w:rPr>
          <w:sz w:val="21"/>
        </w:rPr>
      </w:pPr>
      <w:r>
        <w:rPr>
          <w:spacing w:val="-1"/>
          <w:sz w:val="21"/>
        </w:rPr>
        <w:t>体重</w:t>
      </w:r>
      <w:r>
        <w:rPr>
          <w:spacing w:val="-1"/>
          <w:sz w:val="21"/>
        </w:rPr>
        <w:t xml:space="preserve"> </w:t>
      </w:r>
      <w:r>
        <w:rPr>
          <w:sz w:val="21"/>
        </w:rPr>
        <w:t xml:space="preserve">A.1.2.1 </w:t>
      </w:r>
      <w:r>
        <w:rPr>
          <w:spacing w:val="-3"/>
          <w:sz w:val="21"/>
        </w:rPr>
        <w:t>使用仪器</w:t>
      </w:r>
      <w:r>
        <w:rPr>
          <w:sz w:val="21"/>
        </w:rPr>
        <w:t xml:space="preserve"> </w:t>
      </w:r>
    </w:p>
    <w:p w14:paraId="07865053" w14:textId="77777777" w:rsidR="00A71EEF" w:rsidRDefault="0081115D">
      <w:pPr>
        <w:pStyle w:val="a3"/>
        <w:spacing w:line="446" w:lineRule="auto"/>
        <w:ind w:left="838" w:right="2715"/>
      </w:pPr>
      <w:r>
        <w:t>杠杆秤、弹簧秤或电子秤。使用前要用标准砝码校准，误差不应超过</w:t>
      </w:r>
      <w:r>
        <w:t xml:space="preserve"> 0.1%</w:t>
      </w:r>
      <w:r>
        <w:t>。</w:t>
      </w:r>
      <w:r>
        <w:t xml:space="preserve">A.1.2.2 </w:t>
      </w:r>
      <w:r>
        <w:t>测量方法</w:t>
      </w:r>
      <w:r>
        <w:t xml:space="preserve"> </w:t>
      </w:r>
    </w:p>
    <w:p w14:paraId="46C424F1" w14:textId="77777777" w:rsidR="00A71EEF" w:rsidRDefault="0081115D">
      <w:pPr>
        <w:pStyle w:val="a3"/>
        <w:spacing w:line="446" w:lineRule="auto"/>
        <w:ind w:left="418" w:right="1609" w:firstLine="419"/>
      </w:pPr>
      <w:r>
        <w:t>将体重计放在平坦的地面上。被测者只着贴身短裤（女性可加乳罩），赤足自然站在踏板中央，当体重计的指针稳定后，确认体重值。</w:t>
      </w:r>
      <w:r>
        <w:t xml:space="preserve"> </w:t>
      </w:r>
    </w:p>
    <w:p w14:paraId="6DCA1281" w14:textId="77777777" w:rsidR="00A71EEF" w:rsidRDefault="0081115D">
      <w:pPr>
        <w:pStyle w:val="a4"/>
        <w:numPr>
          <w:ilvl w:val="2"/>
          <w:numId w:val="933"/>
        </w:numPr>
        <w:tabs>
          <w:tab w:val="left" w:pos="1370"/>
        </w:tabs>
        <w:ind w:left="1369" w:hanging="530"/>
        <w:rPr>
          <w:sz w:val="21"/>
        </w:rPr>
      </w:pPr>
      <w:r>
        <w:rPr>
          <w:spacing w:val="-3"/>
          <w:sz w:val="21"/>
        </w:rPr>
        <w:t>安静脉搏</w:t>
      </w:r>
      <w:r>
        <w:rPr>
          <w:sz w:val="21"/>
        </w:rPr>
        <w:t xml:space="preserve"> </w:t>
      </w:r>
    </w:p>
    <w:p w14:paraId="7C34E0B6" w14:textId="77777777" w:rsidR="00A71EEF" w:rsidRDefault="00A71EEF">
      <w:pPr>
        <w:pStyle w:val="a3"/>
        <w:spacing w:before="10"/>
        <w:rPr>
          <w:sz w:val="17"/>
        </w:rPr>
      </w:pPr>
    </w:p>
    <w:p w14:paraId="139D9E15" w14:textId="77777777" w:rsidR="00A71EEF" w:rsidRDefault="0081115D">
      <w:pPr>
        <w:pStyle w:val="a3"/>
        <w:spacing w:line="446" w:lineRule="auto"/>
        <w:ind w:left="418" w:right="1450" w:firstLine="419"/>
      </w:pPr>
      <w:r>
        <w:rPr>
          <w:spacing w:val="-6"/>
        </w:rPr>
        <w:t>被测者保持安静状态数分钟，</w:t>
      </w:r>
      <w:r>
        <w:rPr>
          <w:spacing w:val="-6"/>
        </w:rPr>
        <w:t>然后连续测量</w:t>
      </w:r>
      <w:r>
        <w:rPr>
          <w:spacing w:val="-6"/>
        </w:rPr>
        <w:t xml:space="preserve"> </w:t>
      </w:r>
      <w:r>
        <w:t>3</w:t>
      </w:r>
      <w:r>
        <w:rPr>
          <w:spacing w:val="-32"/>
        </w:rPr>
        <w:t xml:space="preserve"> </w:t>
      </w:r>
      <w:r>
        <w:rPr>
          <w:spacing w:val="-32"/>
        </w:rPr>
        <w:t>次</w:t>
      </w:r>
      <w:r>
        <w:rPr>
          <w:spacing w:val="-32"/>
        </w:rPr>
        <w:t xml:space="preserve"> </w:t>
      </w:r>
      <w:r>
        <w:t>10</w:t>
      </w:r>
      <w:r>
        <w:rPr>
          <w:spacing w:val="-15"/>
        </w:rPr>
        <w:t xml:space="preserve"> </w:t>
      </w:r>
      <w:r>
        <w:rPr>
          <w:spacing w:val="-15"/>
        </w:rPr>
        <w:t>秒的脉率。若</w:t>
      </w:r>
      <w:r>
        <w:rPr>
          <w:spacing w:val="-15"/>
        </w:rPr>
        <w:t xml:space="preserve"> </w:t>
      </w:r>
      <w:r>
        <w:t>3</w:t>
      </w:r>
      <w:r>
        <w:rPr>
          <w:spacing w:val="-8"/>
        </w:rPr>
        <w:t xml:space="preserve"> </w:t>
      </w:r>
      <w:r>
        <w:rPr>
          <w:spacing w:val="-8"/>
        </w:rPr>
        <w:t>次的测量结果相差不超</w:t>
      </w:r>
      <w:r>
        <w:rPr>
          <w:spacing w:val="-20"/>
        </w:rPr>
        <w:t>过</w:t>
      </w:r>
      <w:r>
        <w:rPr>
          <w:spacing w:val="-20"/>
        </w:rPr>
        <w:t xml:space="preserve"> </w:t>
      </w:r>
      <w:r>
        <w:t>1</w:t>
      </w:r>
      <w:r>
        <w:rPr>
          <w:spacing w:val="-9"/>
        </w:rPr>
        <w:t xml:space="preserve"> </w:t>
      </w:r>
      <w:r>
        <w:rPr>
          <w:spacing w:val="-9"/>
        </w:rPr>
        <w:t>次即为稳定脉率，否则应使被测者再休息</w:t>
      </w:r>
      <w:r>
        <w:rPr>
          <w:spacing w:val="-9"/>
        </w:rPr>
        <w:t xml:space="preserve"> </w:t>
      </w:r>
      <w:r>
        <w:t>3</w:t>
      </w:r>
      <w:r>
        <w:t>～</w:t>
      </w:r>
      <w:r>
        <w:t>5min</w:t>
      </w:r>
      <w:r>
        <w:rPr>
          <w:spacing w:val="-3"/>
        </w:rPr>
        <w:t>，然后重复测量，直至符合上述要求为</w:t>
      </w:r>
      <w:r>
        <w:rPr>
          <w:spacing w:val="-6"/>
        </w:rPr>
        <w:t>止。待脉率稳定之后，再按规定测量</w:t>
      </w:r>
      <w:r>
        <w:rPr>
          <w:spacing w:val="-6"/>
        </w:rPr>
        <w:t xml:space="preserve"> </w:t>
      </w:r>
      <w:r>
        <w:t>1min</w:t>
      </w:r>
      <w:r>
        <w:rPr>
          <w:spacing w:val="-3"/>
        </w:rPr>
        <w:t xml:space="preserve"> </w:t>
      </w:r>
      <w:r>
        <w:rPr>
          <w:spacing w:val="-3"/>
        </w:rPr>
        <w:t>安静脉率。测定脉率用触摸法，测量（桡动脉和颈动脉</w:t>
      </w:r>
      <w:r>
        <w:rPr>
          <w:spacing w:val="-3"/>
        </w:rPr>
        <w:t>)</w:t>
      </w:r>
      <w:r>
        <w:rPr>
          <w:spacing w:val="-3"/>
        </w:rPr>
        <w:t>。</w:t>
      </w:r>
      <w:r>
        <w:t xml:space="preserve"> </w:t>
      </w:r>
    </w:p>
    <w:p w14:paraId="20C637C4" w14:textId="77777777" w:rsidR="00A71EEF" w:rsidRDefault="0081115D">
      <w:pPr>
        <w:pStyle w:val="a4"/>
        <w:numPr>
          <w:ilvl w:val="2"/>
          <w:numId w:val="933"/>
        </w:numPr>
        <w:tabs>
          <w:tab w:val="left" w:pos="1370"/>
        </w:tabs>
        <w:spacing w:line="267" w:lineRule="exact"/>
        <w:ind w:left="1369" w:hanging="530"/>
        <w:rPr>
          <w:sz w:val="21"/>
        </w:rPr>
      </w:pPr>
      <w:r>
        <w:rPr>
          <w:spacing w:val="-3"/>
          <w:sz w:val="21"/>
        </w:rPr>
        <w:t>肺活量</w:t>
      </w:r>
      <w:r>
        <w:rPr>
          <w:sz w:val="21"/>
        </w:rPr>
        <w:t xml:space="preserve"> </w:t>
      </w:r>
    </w:p>
    <w:p w14:paraId="6F560D27" w14:textId="77777777" w:rsidR="00A71EEF" w:rsidRDefault="0081115D">
      <w:pPr>
        <w:pStyle w:val="a3"/>
        <w:spacing w:before="42" w:line="500" w:lineRule="exact"/>
        <w:ind w:left="418" w:right="1608" w:firstLine="419"/>
        <w:jc w:val="both"/>
      </w:pPr>
      <w:r>
        <w:t>使用肺活量计测量。被测者取立位，先做几次扩胸运动或深呼吸。然后用力深呼吸，尽量吸气后憋住，立即将肺活量计的吹嘴紧扣于嘴上，然后以中等速度吹气，直到不能再呼为止，</w:t>
      </w:r>
      <w:r>
        <w:t xml:space="preserve"> </w:t>
      </w:r>
      <w:r>
        <w:t>此时测试员读出肺活量。共测</w:t>
      </w:r>
      <w:r>
        <w:t xml:space="preserve"> 3 </w:t>
      </w:r>
      <w:r>
        <w:t>次，每次间隔</w:t>
      </w:r>
      <w:r>
        <w:t xml:space="preserve"> 15</w:t>
      </w:r>
      <w:r>
        <w:rPr>
          <w:rFonts w:ascii="微软雅黑" w:eastAsia="微软雅黑" w:hint="eastAsia"/>
        </w:rPr>
        <w:t>〜</w:t>
      </w:r>
      <w:r>
        <w:t>30s</w:t>
      </w:r>
      <w:r>
        <w:t>，取最大值（精确到十位数</w:t>
      </w:r>
      <w:r>
        <w:t>)</w:t>
      </w:r>
      <w:r>
        <w:t>。</w:t>
      </w:r>
      <w:r>
        <w:t xml:space="preserve"> </w:t>
      </w:r>
    </w:p>
    <w:p w14:paraId="53437ECA" w14:textId="77777777" w:rsidR="00A71EEF" w:rsidRDefault="0081115D">
      <w:pPr>
        <w:pStyle w:val="a4"/>
        <w:numPr>
          <w:ilvl w:val="2"/>
          <w:numId w:val="933"/>
        </w:numPr>
        <w:tabs>
          <w:tab w:val="left" w:pos="1370"/>
        </w:tabs>
        <w:spacing w:before="1" w:line="500" w:lineRule="exact"/>
        <w:ind w:right="7173" w:firstLine="2"/>
        <w:jc w:val="both"/>
        <w:rPr>
          <w:sz w:val="21"/>
        </w:rPr>
      </w:pPr>
      <w:r>
        <w:rPr>
          <w:spacing w:val="-3"/>
          <w:sz w:val="21"/>
        </w:rPr>
        <w:t>室外田径场测试项目</w:t>
      </w:r>
      <w:r>
        <w:rPr>
          <w:spacing w:val="-3"/>
          <w:sz w:val="21"/>
        </w:rPr>
        <w:t>A.1.5.1 100m</w:t>
      </w:r>
      <w:r>
        <w:rPr>
          <w:spacing w:val="-29"/>
          <w:sz w:val="21"/>
        </w:rPr>
        <w:t xml:space="preserve"> </w:t>
      </w:r>
      <w:r>
        <w:rPr>
          <w:spacing w:val="-29"/>
          <w:sz w:val="21"/>
        </w:rPr>
        <w:t>跑</w:t>
      </w:r>
      <w:r>
        <w:rPr>
          <w:sz w:val="21"/>
        </w:rPr>
        <w:t xml:space="preserve"> </w:t>
      </w:r>
    </w:p>
    <w:p w14:paraId="5F63DB54" w14:textId="77777777" w:rsidR="00A71EEF" w:rsidRDefault="00A71EEF">
      <w:pPr>
        <w:spacing w:line="500" w:lineRule="exact"/>
        <w:jc w:val="both"/>
        <w:rPr>
          <w:sz w:val="21"/>
        </w:rPr>
        <w:sectPr w:rsidR="00A71EEF">
          <w:pgSz w:w="11910" w:h="16850"/>
          <w:pgMar w:top="1180" w:right="0" w:bottom="1420" w:left="1260" w:header="0" w:footer="1239" w:gutter="0"/>
          <w:cols w:space="720"/>
        </w:sectPr>
      </w:pPr>
    </w:p>
    <w:p w14:paraId="14E21E74" w14:textId="77777777" w:rsidR="00A71EEF" w:rsidRDefault="0081115D">
      <w:pPr>
        <w:pStyle w:val="a3"/>
        <w:spacing w:before="47" w:line="446" w:lineRule="auto"/>
        <w:ind w:left="418" w:right="1608" w:firstLine="419"/>
        <w:jc w:val="both"/>
      </w:pPr>
      <w:r>
        <w:rPr>
          <w:spacing w:val="-3"/>
        </w:rPr>
        <w:lastRenderedPageBreak/>
        <w:t>被测者四人一组，运动蹲距式起跑姿势。当听到发令员起跑信号后，计时员开表计时。当</w:t>
      </w:r>
      <w:r>
        <w:rPr>
          <w:spacing w:val="-5"/>
        </w:rPr>
        <w:t>被测者的胸部到达终点线垂直平面时，计时员停表，以</w:t>
      </w:r>
      <w:r>
        <w:rPr>
          <w:spacing w:val="-5"/>
        </w:rPr>
        <w:t xml:space="preserve"> </w:t>
      </w:r>
      <w:r>
        <w:t>s</w:t>
      </w:r>
      <w:r>
        <w:rPr>
          <w:spacing w:val="-7"/>
        </w:rPr>
        <w:t xml:space="preserve"> </w:t>
      </w:r>
      <w:r>
        <w:rPr>
          <w:spacing w:val="-7"/>
        </w:rPr>
        <w:t>为单位记录成绩，精确至一位小数。</w:t>
      </w:r>
      <w:r>
        <w:rPr>
          <w:spacing w:val="-5"/>
        </w:rPr>
        <w:t>被测者应穿着平底运动鞋，起跑后，不允许抢跑和串道。违例者重新测试。</w:t>
      </w:r>
      <w:r>
        <w:t xml:space="preserve"> </w:t>
      </w:r>
    </w:p>
    <w:p w14:paraId="41B7020F" w14:textId="77777777" w:rsidR="00A71EEF" w:rsidRDefault="0081115D">
      <w:pPr>
        <w:pStyle w:val="a3"/>
        <w:spacing w:line="268" w:lineRule="exact"/>
        <w:ind w:left="838"/>
        <w:jc w:val="both"/>
      </w:pPr>
      <w:r>
        <w:t xml:space="preserve">A.1.5.2 3000m </w:t>
      </w:r>
      <w:r>
        <w:t>跑</w:t>
      </w:r>
      <w:r>
        <w:t xml:space="preserve"> </w:t>
      </w:r>
    </w:p>
    <w:p w14:paraId="24D6E2F3" w14:textId="77777777" w:rsidR="00A71EEF" w:rsidRDefault="00A71EEF">
      <w:pPr>
        <w:pStyle w:val="a3"/>
        <w:rPr>
          <w:sz w:val="18"/>
        </w:rPr>
      </w:pPr>
    </w:p>
    <w:p w14:paraId="62CD5486" w14:textId="77777777" w:rsidR="00A71EEF" w:rsidRDefault="0081115D">
      <w:pPr>
        <w:pStyle w:val="a3"/>
        <w:ind w:left="838"/>
      </w:pPr>
      <w:r>
        <w:t>被测者按照要求分组，每组不得超过</w:t>
      </w:r>
      <w:r>
        <w:t xml:space="preserve"> 15 </w:t>
      </w:r>
      <w:r>
        <w:t>人。被测者听到起跑的信号后，在</w:t>
      </w:r>
      <w:r>
        <w:t xml:space="preserve"> 400m </w:t>
      </w:r>
      <w:r>
        <w:t>标准跑道</w:t>
      </w:r>
    </w:p>
    <w:p w14:paraId="7A30871F" w14:textId="77777777" w:rsidR="00A71EEF" w:rsidRDefault="0081115D">
      <w:pPr>
        <w:pStyle w:val="a3"/>
        <w:spacing w:before="10"/>
        <w:rPr>
          <w:sz w:val="25"/>
        </w:rPr>
      </w:pPr>
      <w:r>
        <w:rPr>
          <w:noProof/>
        </w:rPr>
        <w:drawing>
          <wp:anchor distT="0" distB="0" distL="0" distR="0" simplePos="0" relativeHeight="251462144" behindDoc="0" locked="0" layoutInCell="1" allowOverlap="1" wp14:anchorId="14537665" wp14:editId="60F1BCC8">
            <wp:simplePos x="0" y="0"/>
            <wp:positionH relativeFrom="page">
              <wp:posOffset>1589405</wp:posOffset>
            </wp:positionH>
            <wp:positionV relativeFrom="paragraph">
              <wp:posOffset>234981</wp:posOffset>
            </wp:positionV>
            <wp:extent cx="323850" cy="438150"/>
            <wp:effectExtent l="0" t="0" r="0" b="0"/>
            <wp:wrapTopAndBottom/>
            <wp:docPr id="23"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7.jpeg"/>
                    <pic:cNvPicPr/>
                  </pic:nvPicPr>
                  <pic:blipFill>
                    <a:blip r:embed="rId23" cstate="print"/>
                    <a:stretch>
                      <a:fillRect/>
                    </a:stretch>
                  </pic:blipFill>
                  <pic:spPr>
                    <a:xfrm>
                      <a:off x="0" y="0"/>
                      <a:ext cx="323850" cy="438150"/>
                    </a:xfrm>
                    <a:prstGeom prst="rect">
                      <a:avLst/>
                    </a:prstGeom>
                  </pic:spPr>
                </pic:pic>
              </a:graphicData>
            </a:graphic>
          </wp:anchor>
        </w:drawing>
      </w:r>
    </w:p>
    <w:p w14:paraId="32BCA66D" w14:textId="77777777" w:rsidR="00A71EEF" w:rsidRDefault="0081115D">
      <w:pPr>
        <w:pStyle w:val="a3"/>
        <w:spacing w:before="161" w:line="446" w:lineRule="auto"/>
        <w:ind w:left="840" w:right="3870" w:hanging="423"/>
      </w:pPr>
      <w:r>
        <w:t>上进行</w:t>
      </w:r>
      <w:r>
        <w:t xml:space="preserve">     </w:t>
      </w:r>
      <w:r>
        <w:t>圈的全力跑。最后以</w:t>
      </w:r>
      <w:r>
        <w:t xml:space="preserve"> min</w:t>
      </w:r>
      <w:r>
        <w:t>、</w:t>
      </w:r>
      <w:r>
        <w:t xml:space="preserve">s </w:t>
      </w:r>
      <w:r>
        <w:t>记录成绩，不计小数。</w:t>
      </w:r>
      <w:r>
        <w:rPr>
          <w:b/>
        </w:rPr>
        <w:t xml:space="preserve">A.1.6 </w:t>
      </w:r>
      <w:r>
        <w:t>非田径场测试项目</w:t>
      </w:r>
      <w:r>
        <w:t xml:space="preserve"> </w:t>
      </w:r>
    </w:p>
    <w:p w14:paraId="0A49684F" w14:textId="77777777" w:rsidR="00A71EEF" w:rsidRDefault="0081115D">
      <w:pPr>
        <w:pStyle w:val="a4"/>
        <w:numPr>
          <w:ilvl w:val="3"/>
          <w:numId w:val="932"/>
        </w:numPr>
        <w:tabs>
          <w:tab w:val="left" w:pos="1576"/>
        </w:tabs>
        <w:rPr>
          <w:sz w:val="21"/>
        </w:rPr>
      </w:pPr>
      <w:r>
        <w:rPr>
          <w:spacing w:val="-3"/>
          <w:sz w:val="21"/>
        </w:rPr>
        <w:t>纵跳</w:t>
      </w:r>
      <w:r>
        <w:rPr>
          <w:sz w:val="21"/>
        </w:rPr>
        <w:t xml:space="preserve"> </w:t>
      </w:r>
    </w:p>
    <w:p w14:paraId="3D3367D4" w14:textId="77777777" w:rsidR="00A71EEF" w:rsidRDefault="00A71EEF">
      <w:pPr>
        <w:pStyle w:val="a3"/>
        <w:rPr>
          <w:sz w:val="18"/>
        </w:rPr>
      </w:pPr>
    </w:p>
    <w:p w14:paraId="782314A4" w14:textId="77777777" w:rsidR="00A71EEF" w:rsidRDefault="0081115D">
      <w:pPr>
        <w:pStyle w:val="a3"/>
        <w:spacing w:line="446" w:lineRule="auto"/>
        <w:ind w:left="418" w:right="1450" w:firstLine="419"/>
      </w:pPr>
      <w:r>
        <w:rPr>
          <w:spacing w:val="-3"/>
        </w:rPr>
        <w:t>被测者手指粘些可显示指印的物质，侧向墙壁站立。此时近侧足应贴近墙根，远侧足置于</w:t>
      </w:r>
      <w:r>
        <w:rPr>
          <w:spacing w:val="-3"/>
        </w:rPr>
        <w:t xml:space="preserve"> </w:t>
      </w:r>
      <w:r>
        <w:rPr>
          <w:spacing w:val="-16"/>
        </w:rPr>
        <w:t>离墙</w:t>
      </w:r>
      <w:r>
        <w:rPr>
          <w:spacing w:val="-16"/>
        </w:rPr>
        <w:t xml:space="preserve"> </w:t>
      </w:r>
      <w:r>
        <w:t>20cm</w:t>
      </w:r>
      <w:r>
        <w:rPr>
          <w:spacing w:val="-3"/>
        </w:rPr>
        <w:t xml:space="preserve"> </w:t>
      </w:r>
      <w:r>
        <w:rPr>
          <w:spacing w:val="-3"/>
        </w:rPr>
        <w:t>的白线外缘处，身体轻贴墙壁并尽量上举近侧上臂，用中指在墙上点一指印。然后在</w:t>
      </w:r>
      <w:r>
        <w:rPr>
          <w:spacing w:val="-16"/>
        </w:rPr>
        <w:t>离墙</w:t>
      </w:r>
      <w:r>
        <w:rPr>
          <w:spacing w:val="-16"/>
        </w:rPr>
        <w:t xml:space="preserve"> </w:t>
      </w:r>
      <w:r>
        <w:t>20cm</w:t>
      </w:r>
      <w:r>
        <w:rPr>
          <w:spacing w:val="-3"/>
        </w:rPr>
        <w:t xml:space="preserve"> </w:t>
      </w:r>
      <w:r>
        <w:rPr>
          <w:spacing w:val="-3"/>
        </w:rPr>
        <w:t>处用力向上跳起，在最高点又用中指点一指印，测量前后两个指印间的垂直距离，即为纵跳高度，连续测试三次，记录最好成绩。跳起和落地均用双足，不得跨步、垫步，可做预</w:t>
      </w:r>
      <w:r>
        <w:rPr>
          <w:spacing w:val="-3"/>
        </w:rPr>
        <w:t xml:space="preserve"> </w:t>
      </w:r>
      <w:r>
        <w:rPr>
          <w:spacing w:val="-3"/>
        </w:rPr>
        <w:t>摆动作。原地伸臂点指印时，臂要充分伸直，体侧要轻贴墙壁。</w:t>
      </w:r>
      <w:r>
        <w:t xml:space="preserve"> </w:t>
      </w:r>
    </w:p>
    <w:p w14:paraId="74DBD59B" w14:textId="77777777" w:rsidR="00A71EEF" w:rsidRDefault="0081115D">
      <w:pPr>
        <w:pStyle w:val="a4"/>
        <w:numPr>
          <w:ilvl w:val="3"/>
          <w:numId w:val="932"/>
        </w:numPr>
        <w:tabs>
          <w:tab w:val="left" w:pos="1576"/>
        </w:tabs>
        <w:spacing w:line="268" w:lineRule="exact"/>
        <w:rPr>
          <w:sz w:val="21"/>
        </w:rPr>
      </w:pPr>
      <w:r>
        <w:rPr>
          <w:spacing w:val="-3"/>
          <w:sz w:val="21"/>
        </w:rPr>
        <w:t>台阶试验</w:t>
      </w:r>
      <w:r>
        <w:rPr>
          <w:sz w:val="21"/>
        </w:rPr>
        <w:t xml:space="preserve"> </w:t>
      </w:r>
    </w:p>
    <w:p w14:paraId="309E893B" w14:textId="77777777" w:rsidR="00A71EEF" w:rsidRDefault="00A71EEF">
      <w:pPr>
        <w:pStyle w:val="a3"/>
        <w:spacing w:before="12"/>
        <w:rPr>
          <w:sz w:val="17"/>
        </w:rPr>
      </w:pPr>
    </w:p>
    <w:p w14:paraId="4D0361E4" w14:textId="77777777" w:rsidR="00A71EEF" w:rsidRDefault="0081115D">
      <w:pPr>
        <w:pStyle w:val="a3"/>
        <w:spacing w:line="446" w:lineRule="auto"/>
        <w:ind w:left="418" w:right="1558" w:firstLine="419"/>
        <w:jc w:val="both"/>
      </w:pPr>
      <w:r>
        <w:rPr>
          <w:spacing w:val="-6"/>
        </w:rPr>
        <w:t>令被测者由相对安静状态开始，以</w:t>
      </w:r>
      <w:r>
        <w:rPr>
          <w:spacing w:val="-6"/>
        </w:rPr>
        <w:t xml:space="preserve"> </w:t>
      </w:r>
      <w:r>
        <w:t>30</w:t>
      </w:r>
      <w:r>
        <w:rPr>
          <w:spacing w:val="-24"/>
        </w:rPr>
        <w:t xml:space="preserve"> </w:t>
      </w:r>
      <w:r>
        <w:rPr>
          <w:spacing w:val="-24"/>
        </w:rPr>
        <w:t>次</w:t>
      </w:r>
      <w:r>
        <w:t>/min</w:t>
      </w:r>
      <w:r>
        <w:rPr>
          <w:spacing w:val="-7"/>
        </w:rPr>
        <w:t xml:space="preserve"> </w:t>
      </w:r>
      <w:r>
        <w:rPr>
          <w:spacing w:val="-7"/>
        </w:rPr>
        <w:t>的节律连续登台阶，共持续</w:t>
      </w:r>
      <w:r>
        <w:rPr>
          <w:spacing w:val="-7"/>
        </w:rPr>
        <w:t xml:space="preserve"> </w:t>
      </w:r>
      <w:r>
        <w:t>3min</w:t>
      </w:r>
      <w:r>
        <w:rPr>
          <w:spacing w:val="-3"/>
        </w:rPr>
        <w:t>。若途中不能以规定的节律完成动作，应令其停止运动，并记录以完成的登台阶运动的实际时间。上下一次台阶的运动共四个动作构成：由直立姿势开始，</w:t>
      </w:r>
      <w:r>
        <w:rPr>
          <w:spacing w:val="-3"/>
        </w:rPr>
        <w:t>①</w:t>
      </w:r>
      <w:r>
        <w:rPr>
          <w:spacing w:val="-3"/>
        </w:rPr>
        <w:t>将一足放在台阶上面，</w:t>
      </w:r>
      <w:r>
        <w:rPr>
          <w:spacing w:val="-3"/>
        </w:rPr>
        <w:t>②</w:t>
      </w:r>
      <w:r>
        <w:rPr>
          <w:spacing w:val="-3"/>
        </w:rPr>
        <w:t>在台阶上成直立姿势，</w:t>
      </w:r>
      <w:r>
        <w:rPr>
          <w:spacing w:val="-3"/>
        </w:rPr>
        <w:t>③</w:t>
      </w:r>
      <w:r>
        <w:rPr>
          <w:spacing w:val="-3"/>
        </w:rPr>
        <w:t>一足落于地面，</w:t>
      </w:r>
      <w:r>
        <w:rPr>
          <w:spacing w:val="-3"/>
        </w:rPr>
        <w:t>④</w:t>
      </w:r>
      <w:r>
        <w:rPr>
          <w:spacing w:val="-3"/>
        </w:rPr>
        <w:t>还原成开始姿势。上下台阶后，必须伸直双腿，挺直躯干。定量负</w:t>
      </w:r>
      <w:r>
        <w:rPr>
          <w:spacing w:val="-5"/>
        </w:rPr>
        <w:t>荷一结束，便令被测者取坐位休息，并测定运动后第二分钟前</w:t>
      </w:r>
      <w:r>
        <w:rPr>
          <w:spacing w:val="-5"/>
        </w:rPr>
        <w:t xml:space="preserve"> </w:t>
      </w:r>
      <w:r>
        <w:t>30s</w:t>
      </w:r>
      <w:r>
        <w:rPr>
          <w:spacing w:val="-8"/>
        </w:rPr>
        <w:t xml:space="preserve"> </w:t>
      </w:r>
      <w:r>
        <w:rPr>
          <w:spacing w:val="-8"/>
        </w:rPr>
        <w:t>的脉率。测试脉率的方法和</w:t>
      </w:r>
      <w:r>
        <w:rPr>
          <w:spacing w:val="-7"/>
        </w:rPr>
        <w:t>安静脉搏的测试方法一致。根据持续运动时间和测定的脉搏数，查询表</w:t>
      </w:r>
      <w:r>
        <w:rPr>
          <w:spacing w:val="-7"/>
        </w:rPr>
        <w:t xml:space="preserve"> </w:t>
      </w:r>
      <w:r>
        <w:t>A.1</w:t>
      </w:r>
      <w:r>
        <w:rPr>
          <w:spacing w:val="-8"/>
        </w:rPr>
        <w:t xml:space="preserve"> </w:t>
      </w:r>
      <w:r>
        <w:rPr>
          <w:spacing w:val="-8"/>
        </w:rPr>
        <w:t>台阶试验指数表，</w:t>
      </w:r>
      <w:r>
        <w:rPr>
          <w:spacing w:val="-8"/>
        </w:rPr>
        <w:t xml:space="preserve"> </w:t>
      </w:r>
      <w:r>
        <w:rPr>
          <w:spacing w:val="-5"/>
        </w:rPr>
        <w:t>得出台阶试验指数。</w:t>
      </w:r>
      <w:r>
        <w:t xml:space="preserve"> </w:t>
      </w:r>
    </w:p>
    <w:p w14:paraId="15CF5048" w14:textId="77777777" w:rsidR="00A71EEF" w:rsidRDefault="00A71EEF">
      <w:pPr>
        <w:pStyle w:val="a3"/>
        <w:rPr>
          <w:sz w:val="20"/>
        </w:rPr>
      </w:pPr>
    </w:p>
    <w:p w14:paraId="4D479593" w14:textId="77777777" w:rsidR="00A71EEF" w:rsidRDefault="00A71EEF">
      <w:pPr>
        <w:pStyle w:val="a3"/>
        <w:rPr>
          <w:sz w:val="20"/>
        </w:rPr>
      </w:pPr>
    </w:p>
    <w:p w14:paraId="4E4203D0" w14:textId="77777777" w:rsidR="00A71EEF" w:rsidRDefault="00A71EEF">
      <w:pPr>
        <w:pStyle w:val="a3"/>
        <w:rPr>
          <w:sz w:val="20"/>
        </w:rPr>
      </w:pPr>
    </w:p>
    <w:p w14:paraId="5599337A" w14:textId="77777777" w:rsidR="00A71EEF" w:rsidRDefault="00A71EEF">
      <w:pPr>
        <w:pStyle w:val="a3"/>
        <w:rPr>
          <w:sz w:val="20"/>
        </w:rPr>
      </w:pPr>
    </w:p>
    <w:p w14:paraId="7158C541" w14:textId="77777777" w:rsidR="00A71EEF" w:rsidRDefault="00A71EEF">
      <w:pPr>
        <w:pStyle w:val="a3"/>
        <w:rPr>
          <w:sz w:val="20"/>
        </w:rPr>
      </w:pPr>
    </w:p>
    <w:p w14:paraId="75944B11" w14:textId="77777777" w:rsidR="00A71EEF" w:rsidRDefault="00A71EEF">
      <w:pPr>
        <w:pStyle w:val="a3"/>
        <w:rPr>
          <w:sz w:val="20"/>
        </w:rPr>
      </w:pPr>
    </w:p>
    <w:p w14:paraId="5510C023" w14:textId="77777777" w:rsidR="00A71EEF" w:rsidRDefault="00A71EEF">
      <w:pPr>
        <w:pStyle w:val="a3"/>
        <w:rPr>
          <w:sz w:val="20"/>
        </w:rPr>
      </w:pPr>
    </w:p>
    <w:p w14:paraId="7EA7ED61" w14:textId="77777777" w:rsidR="00A71EEF" w:rsidRDefault="00A71EEF">
      <w:pPr>
        <w:pStyle w:val="a3"/>
        <w:rPr>
          <w:sz w:val="16"/>
        </w:rPr>
      </w:pPr>
    </w:p>
    <w:p w14:paraId="0B4AAD4F" w14:textId="77777777" w:rsidR="00A71EEF" w:rsidRDefault="0081115D">
      <w:pPr>
        <w:pStyle w:val="a3"/>
        <w:ind w:left="838"/>
      </w:pPr>
      <w:r>
        <w:t xml:space="preserve"> </w:t>
      </w:r>
    </w:p>
    <w:p w14:paraId="4AE767F8" w14:textId="77777777" w:rsidR="00A71EEF" w:rsidRDefault="00A71EEF">
      <w:pPr>
        <w:sectPr w:rsidR="00A71EEF">
          <w:pgSz w:w="11910" w:h="16850"/>
          <w:pgMar w:top="1220" w:right="0" w:bottom="1420" w:left="1260" w:header="0" w:footer="1239" w:gutter="0"/>
          <w:cols w:space="720"/>
        </w:sectPr>
      </w:pPr>
    </w:p>
    <w:p w14:paraId="2A8C7EBF" w14:textId="77777777" w:rsidR="00A71EEF" w:rsidRDefault="00A71EEF">
      <w:pPr>
        <w:pStyle w:val="a3"/>
        <w:rPr>
          <w:sz w:val="20"/>
        </w:rPr>
      </w:pPr>
    </w:p>
    <w:p w14:paraId="6AE71D35" w14:textId="77777777" w:rsidR="00A71EEF" w:rsidRDefault="00A71EEF">
      <w:pPr>
        <w:pStyle w:val="a3"/>
        <w:rPr>
          <w:sz w:val="20"/>
        </w:rPr>
      </w:pPr>
    </w:p>
    <w:p w14:paraId="3F586075" w14:textId="77777777" w:rsidR="00A71EEF" w:rsidRDefault="00A71EEF">
      <w:pPr>
        <w:pStyle w:val="a3"/>
        <w:spacing w:before="2"/>
        <w:rPr>
          <w:sz w:val="18"/>
        </w:rPr>
      </w:pPr>
    </w:p>
    <w:p w14:paraId="3C79390D" w14:textId="77777777" w:rsidR="00A71EEF" w:rsidRDefault="0081115D">
      <w:pPr>
        <w:pStyle w:val="a3"/>
        <w:ind w:left="657"/>
        <w:rPr>
          <w:sz w:val="20"/>
        </w:rPr>
      </w:pPr>
      <w:r>
        <w:rPr>
          <w:noProof/>
          <w:sz w:val="20"/>
        </w:rPr>
        <w:drawing>
          <wp:inline distT="0" distB="0" distL="0" distR="0" wp14:anchorId="34E4386C" wp14:editId="32555310">
            <wp:extent cx="5200438" cy="2228850"/>
            <wp:effectExtent l="0" t="0" r="0" b="0"/>
            <wp:docPr id="25"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8.jpeg"/>
                    <pic:cNvPicPr/>
                  </pic:nvPicPr>
                  <pic:blipFill>
                    <a:blip r:embed="rId24" cstate="print"/>
                    <a:stretch>
                      <a:fillRect/>
                    </a:stretch>
                  </pic:blipFill>
                  <pic:spPr>
                    <a:xfrm>
                      <a:off x="0" y="0"/>
                      <a:ext cx="5200438" cy="2228850"/>
                    </a:xfrm>
                    <a:prstGeom prst="rect">
                      <a:avLst/>
                    </a:prstGeom>
                  </pic:spPr>
                </pic:pic>
              </a:graphicData>
            </a:graphic>
          </wp:inline>
        </w:drawing>
      </w:r>
    </w:p>
    <w:p w14:paraId="118E8BAE" w14:textId="77777777" w:rsidR="00A71EEF" w:rsidRDefault="00A71EEF">
      <w:pPr>
        <w:pStyle w:val="a3"/>
        <w:spacing w:before="12"/>
        <w:rPr>
          <w:sz w:val="9"/>
        </w:rPr>
      </w:pPr>
    </w:p>
    <w:p w14:paraId="24915187" w14:textId="77777777" w:rsidR="00A71EEF" w:rsidRDefault="0081115D">
      <w:pPr>
        <w:pStyle w:val="a4"/>
        <w:numPr>
          <w:ilvl w:val="3"/>
          <w:numId w:val="932"/>
        </w:numPr>
        <w:tabs>
          <w:tab w:val="left" w:pos="1576"/>
        </w:tabs>
        <w:spacing w:before="71"/>
        <w:rPr>
          <w:sz w:val="21"/>
        </w:rPr>
      </w:pPr>
      <w:r>
        <w:rPr>
          <w:spacing w:val="-3"/>
          <w:sz w:val="21"/>
        </w:rPr>
        <w:t>坐位体前屈</w:t>
      </w:r>
      <w:r>
        <w:rPr>
          <w:spacing w:val="-3"/>
          <w:sz w:val="21"/>
        </w:rPr>
        <w:t xml:space="preserve"> </w:t>
      </w:r>
    </w:p>
    <w:p w14:paraId="75F16E2C" w14:textId="77777777" w:rsidR="00A71EEF" w:rsidRDefault="00A71EEF">
      <w:pPr>
        <w:pStyle w:val="a3"/>
        <w:rPr>
          <w:sz w:val="18"/>
        </w:rPr>
      </w:pPr>
    </w:p>
    <w:p w14:paraId="4A1C8EC9" w14:textId="77777777" w:rsidR="00A71EEF" w:rsidRDefault="0081115D">
      <w:pPr>
        <w:pStyle w:val="a3"/>
        <w:spacing w:line="446" w:lineRule="auto"/>
        <w:ind w:left="418" w:right="1609" w:firstLine="419"/>
        <w:jc w:val="both"/>
      </w:pPr>
      <w:r>
        <w:rPr>
          <w:spacing w:val="-3"/>
        </w:rPr>
        <w:t>被测者坐在垫子上，背以及臀部紧靠在一垂直面上，两腿并拢，膝关节保持伸直状态，脚</w:t>
      </w:r>
      <w:r>
        <w:rPr>
          <w:spacing w:val="-8"/>
        </w:rPr>
        <w:t>尖向上，将一个宽</w:t>
      </w:r>
      <w:r>
        <w:rPr>
          <w:spacing w:val="-8"/>
        </w:rPr>
        <w:t xml:space="preserve"> </w:t>
      </w:r>
      <w:r>
        <w:t>50cm</w:t>
      </w:r>
      <w:r>
        <w:rPr>
          <w:spacing w:val="-15"/>
        </w:rPr>
        <w:t>，高</w:t>
      </w:r>
      <w:r>
        <w:rPr>
          <w:spacing w:val="-15"/>
        </w:rPr>
        <w:t xml:space="preserve"> </w:t>
      </w:r>
      <w:r>
        <w:t>30cm</w:t>
      </w:r>
      <w:r>
        <w:rPr>
          <w:spacing w:val="-3"/>
        </w:rPr>
        <w:t xml:space="preserve"> </w:t>
      </w:r>
      <w:r>
        <w:rPr>
          <w:spacing w:val="-3"/>
        </w:rPr>
        <w:t>的三面箱体架在双腿上方，双手尽量伸直，以虎口握住箱体边缘；测试时，身体尽量前倾并缓慢推动箱体。</w:t>
      </w:r>
      <w:r>
        <w:t xml:space="preserve"> </w:t>
      </w:r>
    </w:p>
    <w:p w14:paraId="449E9826" w14:textId="77777777" w:rsidR="00A71EEF" w:rsidRDefault="0081115D">
      <w:pPr>
        <w:pStyle w:val="a4"/>
        <w:numPr>
          <w:ilvl w:val="3"/>
          <w:numId w:val="932"/>
        </w:numPr>
        <w:tabs>
          <w:tab w:val="left" w:pos="1576"/>
        </w:tabs>
        <w:spacing w:line="268" w:lineRule="exact"/>
        <w:rPr>
          <w:sz w:val="21"/>
        </w:rPr>
      </w:pPr>
      <w:r>
        <w:rPr>
          <w:spacing w:val="-3"/>
          <w:sz w:val="21"/>
        </w:rPr>
        <w:t>握力</w:t>
      </w:r>
      <w:r>
        <w:rPr>
          <w:sz w:val="21"/>
        </w:rPr>
        <w:t xml:space="preserve"> </w:t>
      </w:r>
    </w:p>
    <w:p w14:paraId="133FCF8F" w14:textId="77777777" w:rsidR="00A71EEF" w:rsidRDefault="00A71EEF">
      <w:pPr>
        <w:pStyle w:val="a3"/>
        <w:spacing w:before="2"/>
        <w:rPr>
          <w:sz w:val="18"/>
        </w:rPr>
      </w:pPr>
    </w:p>
    <w:p w14:paraId="120A6E0E" w14:textId="77777777" w:rsidR="00A71EEF" w:rsidRDefault="0081115D">
      <w:pPr>
        <w:pStyle w:val="a3"/>
        <w:spacing w:line="446" w:lineRule="auto"/>
        <w:ind w:left="418" w:right="1609" w:firstLine="419"/>
      </w:pPr>
      <w:r>
        <w:t>被测者手持握力计（指针向外），两臂自然下垂，以方便姿势站立，然后以最大力量紧握握力计一侧，并读数记录。左右手可交替各测试三次，取最大值记录。</w:t>
      </w:r>
      <w:r>
        <w:t xml:space="preserve"> </w:t>
      </w:r>
    </w:p>
    <w:p w14:paraId="352CBF0B" w14:textId="77777777" w:rsidR="00A71EEF" w:rsidRDefault="0081115D">
      <w:pPr>
        <w:pStyle w:val="a4"/>
        <w:numPr>
          <w:ilvl w:val="3"/>
          <w:numId w:val="932"/>
        </w:numPr>
        <w:tabs>
          <w:tab w:val="left" w:pos="1576"/>
        </w:tabs>
        <w:spacing w:line="267" w:lineRule="exact"/>
        <w:rPr>
          <w:sz w:val="21"/>
        </w:rPr>
      </w:pPr>
      <w:r>
        <w:rPr>
          <w:spacing w:val="-3"/>
          <w:sz w:val="21"/>
        </w:rPr>
        <w:t>腰背肌力</w:t>
      </w:r>
      <w:r>
        <w:rPr>
          <w:sz w:val="21"/>
        </w:rPr>
        <w:t xml:space="preserve"> </w:t>
      </w:r>
    </w:p>
    <w:p w14:paraId="10A9C611" w14:textId="77777777" w:rsidR="00A71EEF" w:rsidRDefault="00A71EEF">
      <w:pPr>
        <w:pStyle w:val="a3"/>
        <w:spacing w:before="2"/>
        <w:rPr>
          <w:sz w:val="18"/>
        </w:rPr>
      </w:pPr>
    </w:p>
    <w:p w14:paraId="5C202F13" w14:textId="77777777" w:rsidR="00A71EEF" w:rsidRDefault="0081115D">
      <w:pPr>
        <w:pStyle w:val="a3"/>
        <w:spacing w:line="446" w:lineRule="auto"/>
        <w:ind w:left="418" w:right="1505" w:firstLine="419"/>
      </w:pPr>
      <w:r>
        <w:rPr>
          <w:spacing w:val="-3"/>
        </w:rPr>
        <w:t>被测者自然站立于臂力计踏板指定位置，随后将背力计握柄的高度调至恰使被测者上体前</w:t>
      </w:r>
      <w:r>
        <w:rPr>
          <w:spacing w:val="-18"/>
        </w:rPr>
        <w:t>倾</w:t>
      </w:r>
      <w:r>
        <w:rPr>
          <w:spacing w:val="-18"/>
        </w:rPr>
        <w:t xml:space="preserve"> </w:t>
      </w:r>
      <w:r>
        <w:t>30</w:t>
      </w:r>
      <w:r>
        <w:rPr>
          <w:spacing w:val="-7"/>
        </w:rPr>
        <w:t xml:space="preserve"> </w:t>
      </w:r>
      <w:r>
        <w:rPr>
          <w:spacing w:val="-7"/>
        </w:rPr>
        <w:t>度的位置，或者同膝关节齐平的位置。然后被测者双手紧握把柄，伸直双腿，用最大力量</w:t>
      </w:r>
      <w:r>
        <w:rPr>
          <w:spacing w:val="-5"/>
        </w:rPr>
        <w:t>直臂上拉背力计，测试者测试三次，取最大值记录。</w:t>
      </w:r>
      <w:r>
        <w:rPr>
          <w:spacing w:val="-5"/>
        </w:rPr>
        <w:t xml:space="preserve"> </w:t>
      </w:r>
    </w:p>
    <w:p w14:paraId="59BACEE2" w14:textId="77777777" w:rsidR="00A71EEF" w:rsidRDefault="0081115D">
      <w:pPr>
        <w:pStyle w:val="a4"/>
        <w:numPr>
          <w:ilvl w:val="3"/>
          <w:numId w:val="932"/>
        </w:numPr>
        <w:tabs>
          <w:tab w:val="left" w:pos="1576"/>
        </w:tabs>
        <w:spacing w:line="268" w:lineRule="exact"/>
        <w:rPr>
          <w:sz w:val="21"/>
        </w:rPr>
      </w:pPr>
      <w:r>
        <w:rPr>
          <w:spacing w:val="-3"/>
          <w:sz w:val="21"/>
        </w:rPr>
        <w:t>俯卧撑</w:t>
      </w:r>
      <w:r>
        <w:rPr>
          <w:sz w:val="21"/>
        </w:rPr>
        <w:t xml:space="preserve"> </w:t>
      </w:r>
    </w:p>
    <w:p w14:paraId="6E9F8BEA" w14:textId="77777777" w:rsidR="00A71EEF" w:rsidRDefault="00A71EEF">
      <w:pPr>
        <w:pStyle w:val="a3"/>
        <w:spacing w:before="12"/>
        <w:rPr>
          <w:sz w:val="17"/>
        </w:rPr>
      </w:pPr>
    </w:p>
    <w:p w14:paraId="79C78BB6" w14:textId="77777777" w:rsidR="00A71EEF" w:rsidRDefault="0081115D">
      <w:pPr>
        <w:pStyle w:val="a3"/>
        <w:spacing w:line="446" w:lineRule="auto"/>
        <w:ind w:left="418" w:right="1608" w:firstLine="419"/>
      </w:pPr>
      <w:r>
        <w:rPr>
          <w:spacing w:val="-3"/>
        </w:rPr>
        <w:t>被测者俯卧位于体操垫上，双脚脚尖撑地，双臂直橙于体操垫上，略宽于肩，髋关节挺</w:t>
      </w:r>
      <w:r>
        <w:rPr>
          <w:spacing w:val="-3"/>
        </w:rPr>
        <w:t xml:space="preserve"> </w:t>
      </w:r>
      <w:r>
        <w:rPr>
          <w:spacing w:val="-3"/>
        </w:rPr>
        <w:t>直，听到开始的信号后，然后双臂尽量弯曲，使肘部高</w:t>
      </w:r>
      <w:r>
        <w:rPr>
          <w:spacing w:val="-3"/>
        </w:rPr>
        <w:t>于背部，胸部贴近于支撑面，然后用力</w:t>
      </w:r>
      <w:r>
        <w:rPr>
          <w:spacing w:val="-7"/>
        </w:rPr>
        <w:t>撑起，还原成预备姿势。测试</w:t>
      </w:r>
      <w:r>
        <w:rPr>
          <w:spacing w:val="-7"/>
        </w:rPr>
        <w:t xml:space="preserve"> </w:t>
      </w:r>
      <w:r>
        <w:t>1min</w:t>
      </w:r>
      <w:r>
        <w:rPr>
          <w:spacing w:val="-9"/>
        </w:rPr>
        <w:t xml:space="preserve"> </w:t>
      </w:r>
      <w:r>
        <w:rPr>
          <w:spacing w:val="-9"/>
        </w:rPr>
        <w:t>的完成次数，没有达到要求的动作不计数。</w:t>
      </w:r>
      <w:r>
        <w:rPr>
          <w:spacing w:val="-9"/>
        </w:rPr>
        <w:t xml:space="preserve"> </w:t>
      </w:r>
    </w:p>
    <w:p w14:paraId="7747C11F" w14:textId="77777777" w:rsidR="00A71EEF" w:rsidRDefault="0081115D">
      <w:pPr>
        <w:pStyle w:val="a4"/>
        <w:numPr>
          <w:ilvl w:val="3"/>
          <w:numId w:val="932"/>
        </w:numPr>
        <w:tabs>
          <w:tab w:val="left" w:pos="1576"/>
        </w:tabs>
        <w:spacing w:line="268" w:lineRule="exact"/>
        <w:rPr>
          <w:sz w:val="21"/>
        </w:rPr>
      </w:pPr>
      <w:r>
        <w:rPr>
          <w:spacing w:val="-3"/>
          <w:sz w:val="21"/>
        </w:rPr>
        <w:t>仰卧起坐</w:t>
      </w:r>
      <w:r>
        <w:rPr>
          <w:sz w:val="21"/>
        </w:rPr>
        <w:t xml:space="preserve"> </w:t>
      </w:r>
    </w:p>
    <w:p w14:paraId="16C8B3C8" w14:textId="77777777" w:rsidR="00A71EEF" w:rsidRDefault="00A71EEF">
      <w:pPr>
        <w:pStyle w:val="a3"/>
        <w:rPr>
          <w:sz w:val="18"/>
        </w:rPr>
      </w:pPr>
    </w:p>
    <w:p w14:paraId="2CA5BA54" w14:textId="77777777" w:rsidR="00A71EEF" w:rsidRDefault="0081115D">
      <w:pPr>
        <w:pStyle w:val="a3"/>
        <w:ind w:left="418" w:firstLine="419"/>
      </w:pPr>
      <w:r>
        <w:t>被测者仰卧位于体操垫上，同时要求两肩胛必须触及体操垫上，听到开始的信号后，开始</w:t>
      </w:r>
    </w:p>
    <w:p w14:paraId="6CE9E49B" w14:textId="77777777" w:rsidR="00A71EEF" w:rsidRDefault="0081115D">
      <w:pPr>
        <w:pStyle w:val="a3"/>
        <w:spacing w:before="2" w:line="500" w:lineRule="atLeast"/>
        <w:ind w:left="418" w:right="1497"/>
      </w:pPr>
      <w:r>
        <w:t>起坐，同时要求两肘必须触及膝部，然后恢复到原始位置。</w:t>
      </w:r>
      <w:r>
        <w:t xml:space="preserve">1min </w:t>
      </w:r>
      <w:r>
        <w:t>结束后，记录完成次数，没有按照要求完成的动作则不计数。</w:t>
      </w:r>
      <w:r>
        <w:t xml:space="preserve"> </w:t>
      </w:r>
    </w:p>
    <w:p w14:paraId="63F40212" w14:textId="77777777" w:rsidR="00A71EEF" w:rsidRDefault="00A71EEF">
      <w:pPr>
        <w:spacing w:line="500" w:lineRule="atLeast"/>
        <w:sectPr w:rsidR="00A71EEF">
          <w:pgSz w:w="11910" w:h="16850"/>
          <w:pgMar w:top="1600" w:right="0" w:bottom="1420" w:left="1260" w:header="0" w:footer="1239" w:gutter="0"/>
          <w:cols w:space="720"/>
        </w:sectPr>
      </w:pPr>
    </w:p>
    <w:p w14:paraId="23005ECF" w14:textId="77777777" w:rsidR="00A71EEF" w:rsidRDefault="0081115D">
      <w:pPr>
        <w:pStyle w:val="a4"/>
        <w:numPr>
          <w:ilvl w:val="3"/>
          <w:numId w:val="932"/>
        </w:numPr>
        <w:tabs>
          <w:tab w:val="left" w:pos="1576"/>
        </w:tabs>
        <w:spacing w:before="47"/>
        <w:rPr>
          <w:sz w:val="21"/>
        </w:rPr>
      </w:pPr>
      <w:r>
        <w:rPr>
          <w:spacing w:val="-3"/>
          <w:sz w:val="21"/>
        </w:rPr>
        <w:lastRenderedPageBreak/>
        <w:t>引体向上</w:t>
      </w:r>
      <w:r>
        <w:rPr>
          <w:sz w:val="21"/>
        </w:rPr>
        <w:t xml:space="preserve"> </w:t>
      </w:r>
    </w:p>
    <w:p w14:paraId="6041DEC0" w14:textId="77777777" w:rsidR="00A71EEF" w:rsidRDefault="00A71EEF">
      <w:pPr>
        <w:pStyle w:val="a3"/>
        <w:rPr>
          <w:sz w:val="18"/>
        </w:rPr>
      </w:pPr>
    </w:p>
    <w:p w14:paraId="5A0B4464" w14:textId="77777777" w:rsidR="00A71EEF" w:rsidRDefault="0081115D">
      <w:pPr>
        <w:pStyle w:val="a3"/>
        <w:spacing w:line="446" w:lineRule="auto"/>
        <w:ind w:left="418" w:right="1608" w:firstLine="419"/>
        <w:jc w:val="both"/>
      </w:pPr>
      <w:r>
        <w:t>被测者位立于杠下，跳起后双手正握单杠成悬垂姿势。然后听到开始的信号后，屈臂引体至下颌超过横杠上缘，再慢慢伸直双臂，还原成悬垂姿势，即为成功一次。测试过程中，被测者不允许借助身体摆动完成动作。没有按照要求完成的不计数，记录</w:t>
      </w:r>
      <w:r>
        <w:t xml:space="preserve"> 1min </w:t>
      </w:r>
      <w:r>
        <w:t>内完成的次数。</w:t>
      </w:r>
      <w:r>
        <w:t xml:space="preserve"> </w:t>
      </w:r>
    </w:p>
    <w:p w14:paraId="7D4B8598" w14:textId="77777777" w:rsidR="00A71EEF" w:rsidRDefault="0081115D">
      <w:pPr>
        <w:pStyle w:val="a4"/>
        <w:numPr>
          <w:ilvl w:val="3"/>
          <w:numId w:val="932"/>
        </w:numPr>
        <w:tabs>
          <w:tab w:val="left" w:pos="1576"/>
        </w:tabs>
        <w:spacing w:line="268" w:lineRule="exact"/>
        <w:rPr>
          <w:sz w:val="21"/>
        </w:rPr>
      </w:pPr>
      <w:r>
        <w:rPr>
          <w:spacing w:val="-3"/>
          <w:sz w:val="21"/>
        </w:rPr>
        <w:t>闭目单脚站立</w:t>
      </w:r>
      <w:r>
        <w:rPr>
          <w:sz w:val="21"/>
        </w:rPr>
        <w:t xml:space="preserve"> </w:t>
      </w:r>
    </w:p>
    <w:p w14:paraId="55510D2E" w14:textId="77777777" w:rsidR="00A71EEF" w:rsidRDefault="00A71EEF">
      <w:pPr>
        <w:pStyle w:val="a3"/>
        <w:rPr>
          <w:sz w:val="18"/>
        </w:rPr>
      </w:pPr>
    </w:p>
    <w:p w14:paraId="21738C62" w14:textId="77777777" w:rsidR="00A71EEF" w:rsidRDefault="0081115D">
      <w:pPr>
        <w:pStyle w:val="a3"/>
        <w:spacing w:line="446" w:lineRule="auto"/>
        <w:ind w:left="418" w:right="1505" w:firstLine="419"/>
      </w:pPr>
      <w:r>
        <w:rPr>
          <w:spacing w:val="-3"/>
        </w:rPr>
        <w:t>使用秒表测试。测试时，受试者自然站立，闭眼，当听到</w:t>
      </w:r>
      <w:r>
        <w:rPr>
          <w:spacing w:val="-3"/>
        </w:rPr>
        <w:t>“</w:t>
      </w:r>
      <w:r>
        <w:rPr>
          <w:spacing w:val="-3"/>
        </w:rPr>
        <w:t>开始</w:t>
      </w:r>
      <w:r>
        <w:rPr>
          <w:spacing w:val="-3"/>
        </w:rPr>
        <w:t xml:space="preserve">” </w:t>
      </w:r>
      <w:r>
        <w:rPr>
          <w:spacing w:val="-3"/>
        </w:rPr>
        <w:t>口令后，抬起任意一只脚，同时测试员开表计时。当受试者支撑脚移动或抬起脚着地时，测试员停表。测试两次，取</w:t>
      </w:r>
      <w:r>
        <w:rPr>
          <w:spacing w:val="3"/>
        </w:rPr>
        <w:t>最好成绩。记录以</w:t>
      </w:r>
      <w:r>
        <w:t>s</w:t>
      </w:r>
      <w:r>
        <w:rPr>
          <w:spacing w:val="-3"/>
        </w:rPr>
        <w:t xml:space="preserve">  </w:t>
      </w:r>
      <w:r>
        <w:rPr>
          <w:spacing w:val="-3"/>
        </w:rPr>
        <w:t>为单位，保留小数点后一位，小数点后第二位按</w:t>
      </w:r>
      <w:r>
        <w:rPr>
          <w:spacing w:val="-3"/>
        </w:rPr>
        <w:t>“</w:t>
      </w:r>
      <w:r>
        <w:rPr>
          <w:spacing w:val="-3"/>
        </w:rPr>
        <w:t>非零进一</w:t>
      </w:r>
      <w:r>
        <w:rPr>
          <w:spacing w:val="-3"/>
        </w:rPr>
        <w:t>”</w:t>
      </w:r>
      <w:r>
        <w:rPr>
          <w:spacing w:val="-3"/>
        </w:rPr>
        <w:t>的原则</w:t>
      </w:r>
      <w:r>
        <w:rPr>
          <w:spacing w:val="-3"/>
        </w:rPr>
        <w:t>进</w:t>
      </w:r>
      <w:r>
        <w:rPr>
          <w:spacing w:val="-15"/>
        </w:rPr>
        <w:t>位，如</w:t>
      </w:r>
      <w:r>
        <w:rPr>
          <w:spacing w:val="-15"/>
        </w:rPr>
        <w:t xml:space="preserve"> </w:t>
      </w:r>
      <w:r>
        <w:t>10.11s</w:t>
      </w:r>
      <w:r>
        <w:rPr>
          <w:spacing w:val="-13"/>
        </w:rPr>
        <w:t xml:space="preserve"> </w:t>
      </w:r>
      <w:r>
        <w:rPr>
          <w:spacing w:val="-13"/>
        </w:rPr>
        <w:t>记录为</w:t>
      </w:r>
      <w:r>
        <w:rPr>
          <w:spacing w:val="-13"/>
        </w:rPr>
        <w:t xml:space="preserve"> </w:t>
      </w:r>
      <w:r>
        <w:t>10.2s</w:t>
      </w:r>
      <w:r>
        <w:rPr>
          <w:spacing w:val="-3"/>
        </w:rPr>
        <w:t>。测试时，注意安全保护。</w:t>
      </w:r>
      <w:r>
        <w:t xml:space="preserve"> </w:t>
      </w:r>
    </w:p>
    <w:p w14:paraId="68DD49F1" w14:textId="77777777" w:rsidR="00A71EEF" w:rsidRDefault="0081115D">
      <w:pPr>
        <w:pStyle w:val="a4"/>
        <w:numPr>
          <w:ilvl w:val="0"/>
          <w:numId w:val="931"/>
        </w:numPr>
        <w:tabs>
          <w:tab w:val="left" w:pos="1053"/>
        </w:tabs>
        <w:rPr>
          <w:b/>
          <w:sz w:val="21"/>
        </w:rPr>
      </w:pPr>
      <w:r>
        <w:rPr>
          <w:b/>
          <w:sz w:val="21"/>
        </w:rPr>
        <w:t>2</w:t>
      </w:r>
      <w:r>
        <w:rPr>
          <w:b/>
          <w:spacing w:val="1"/>
          <w:sz w:val="21"/>
        </w:rPr>
        <w:t xml:space="preserve"> </w:t>
      </w:r>
      <w:r>
        <w:rPr>
          <w:spacing w:val="-3"/>
          <w:sz w:val="21"/>
        </w:rPr>
        <w:t>体成分</w:t>
      </w:r>
      <w:r>
        <w:rPr>
          <w:b/>
          <w:w w:val="99"/>
          <w:sz w:val="21"/>
        </w:rPr>
        <w:t xml:space="preserve"> </w:t>
      </w:r>
    </w:p>
    <w:p w14:paraId="0C6A8130" w14:textId="77777777" w:rsidR="00A71EEF" w:rsidRDefault="00A71EEF">
      <w:pPr>
        <w:pStyle w:val="a3"/>
        <w:spacing w:before="12"/>
        <w:rPr>
          <w:b/>
          <w:sz w:val="17"/>
        </w:rPr>
      </w:pPr>
    </w:p>
    <w:p w14:paraId="6CEAD1B8" w14:textId="77777777" w:rsidR="00A71EEF" w:rsidRDefault="0081115D">
      <w:pPr>
        <w:pStyle w:val="a3"/>
        <w:ind w:left="838"/>
      </w:pPr>
      <w:r>
        <w:t>使用八导联生物电阻抗体成分测试仪进行身体成分的测试。</w:t>
      </w:r>
      <w:r>
        <w:t xml:space="preserve"> </w:t>
      </w:r>
    </w:p>
    <w:p w14:paraId="077C8465" w14:textId="77777777" w:rsidR="00A71EEF" w:rsidRDefault="00A71EEF">
      <w:pPr>
        <w:pStyle w:val="a3"/>
        <w:rPr>
          <w:sz w:val="18"/>
        </w:rPr>
      </w:pPr>
    </w:p>
    <w:p w14:paraId="4EEFD69B" w14:textId="77777777" w:rsidR="00A71EEF" w:rsidRDefault="0081115D">
      <w:pPr>
        <w:pStyle w:val="a3"/>
        <w:spacing w:line="446" w:lineRule="auto"/>
        <w:ind w:left="418" w:right="1609" w:firstLine="419"/>
      </w:pPr>
      <w:r>
        <w:t>体成分测试仪放在平坦的地面上。被测者只许穿短裤（女性可加乳罩），赤足自然站在测试板中央，按照测试人员的测试顺序要求进行操作。</w:t>
      </w:r>
      <w:r>
        <w:t xml:space="preserve"> </w:t>
      </w:r>
    </w:p>
    <w:p w14:paraId="6208CFD3" w14:textId="77777777" w:rsidR="00A71EEF" w:rsidRDefault="00A71EEF">
      <w:pPr>
        <w:pStyle w:val="a3"/>
        <w:rPr>
          <w:sz w:val="20"/>
        </w:rPr>
      </w:pPr>
    </w:p>
    <w:p w14:paraId="0719B17D" w14:textId="77777777" w:rsidR="00A71EEF" w:rsidRDefault="00A71EEF">
      <w:pPr>
        <w:pStyle w:val="a3"/>
        <w:rPr>
          <w:sz w:val="20"/>
        </w:rPr>
      </w:pPr>
    </w:p>
    <w:p w14:paraId="7FBAC818" w14:textId="77777777" w:rsidR="00A71EEF" w:rsidRDefault="00A71EEF">
      <w:pPr>
        <w:pStyle w:val="a3"/>
        <w:rPr>
          <w:sz w:val="20"/>
        </w:rPr>
      </w:pPr>
    </w:p>
    <w:p w14:paraId="3B9B500F" w14:textId="77777777" w:rsidR="00A71EEF" w:rsidRDefault="00A71EEF">
      <w:pPr>
        <w:pStyle w:val="a3"/>
        <w:rPr>
          <w:sz w:val="20"/>
        </w:rPr>
      </w:pPr>
    </w:p>
    <w:p w14:paraId="505B155B" w14:textId="77777777" w:rsidR="00A71EEF" w:rsidRDefault="00A71EEF">
      <w:pPr>
        <w:pStyle w:val="a3"/>
        <w:rPr>
          <w:sz w:val="20"/>
        </w:rPr>
      </w:pPr>
    </w:p>
    <w:p w14:paraId="514F2FF4" w14:textId="77777777" w:rsidR="00A71EEF" w:rsidRDefault="00A71EEF">
      <w:pPr>
        <w:pStyle w:val="a3"/>
        <w:rPr>
          <w:sz w:val="20"/>
        </w:rPr>
      </w:pPr>
    </w:p>
    <w:p w14:paraId="65EF930F" w14:textId="77777777" w:rsidR="00A71EEF" w:rsidRDefault="00A71EEF">
      <w:pPr>
        <w:pStyle w:val="a3"/>
        <w:rPr>
          <w:sz w:val="20"/>
        </w:rPr>
      </w:pPr>
    </w:p>
    <w:p w14:paraId="32E9841C" w14:textId="77777777" w:rsidR="00A71EEF" w:rsidRDefault="00A71EEF">
      <w:pPr>
        <w:pStyle w:val="a3"/>
        <w:rPr>
          <w:sz w:val="20"/>
        </w:rPr>
      </w:pPr>
    </w:p>
    <w:p w14:paraId="437E01F6" w14:textId="77777777" w:rsidR="00A71EEF" w:rsidRDefault="00A71EEF">
      <w:pPr>
        <w:pStyle w:val="a3"/>
        <w:rPr>
          <w:sz w:val="20"/>
        </w:rPr>
      </w:pPr>
    </w:p>
    <w:p w14:paraId="541E0166" w14:textId="77777777" w:rsidR="00A71EEF" w:rsidRDefault="00A71EEF">
      <w:pPr>
        <w:pStyle w:val="a3"/>
        <w:rPr>
          <w:sz w:val="20"/>
        </w:rPr>
      </w:pPr>
    </w:p>
    <w:p w14:paraId="1E288764" w14:textId="77777777" w:rsidR="00A71EEF" w:rsidRDefault="00A71EEF">
      <w:pPr>
        <w:pStyle w:val="a3"/>
        <w:rPr>
          <w:sz w:val="20"/>
        </w:rPr>
      </w:pPr>
    </w:p>
    <w:p w14:paraId="13DEB8EF" w14:textId="77777777" w:rsidR="00A71EEF" w:rsidRDefault="00A71EEF">
      <w:pPr>
        <w:pStyle w:val="a3"/>
        <w:rPr>
          <w:sz w:val="20"/>
        </w:rPr>
      </w:pPr>
    </w:p>
    <w:p w14:paraId="626965BD" w14:textId="77777777" w:rsidR="00A71EEF" w:rsidRDefault="00A71EEF">
      <w:pPr>
        <w:pStyle w:val="a3"/>
        <w:rPr>
          <w:sz w:val="20"/>
        </w:rPr>
      </w:pPr>
    </w:p>
    <w:p w14:paraId="0070F75B" w14:textId="77777777" w:rsidR="00A71EEF" w:rsidRDefault="00A71EEF">
      <w:pPr>
        <w:pStyle w:val="a3"/>
        <w:rPr>
          <w:sz w:val="20"/>
        </w:rPr>
      </w:pPr>
    </w:p>
    <w:p w14:paraId="08CDFC8F" w14:textId="77777777" w:rsidR="00A71EEF" w:rsidRDefault="00A71EEF">
      <w:pPr>
        <w:pStyle w:val="a3"/>
        <w:rPr>
          <w:sz w:val="20"/>
        </w:rPr>
      </w:pPr>
    </w:p>
    <w:p w14:paraId="615EAAA7" w14:textId="77777777" w:rsidR="00A71EEF" w:rsidRDefault="00A71EEF">
      <w:pPr>
        <w:pStyle w:val="a3"/>
        <w:rPr>
          <w:sz w:val="20"/>
        </w:rPr>
      </w:pPr>
    </w:p>
    <w:p w14:paraId="07C5B08F" w14:textId="77777777" w:rsidR="00A71EEF" w:rsidRDefault="00A71EEF">
      <w:pPr>
        <w:pStyle w:val="a3"/>
        <w:rPr>
          <w:sz w:val="20"/>
        </w:rPr>
      </w:pPr>
    </w:p>
    <w:p w14:paraId="46131EB0" w14:textId="77777777" w:rsidR="00A71EEF" w:rsidRDefault="00A71EEF">
      <w:pPr>
        <w:pStyle w:val="a3"/>
        <w:rPr>
          <w:sz w:val="20"/>
        </w:rPr>
      </w:pPr>
    </w:p>
    <w:p w14:paraId="668D1D60" w14:textId="77777777" w:rsidR="00A71EEF" w:rsidRDefault="00A71EEF">
      <w:pPr>
        <w:pStyle w:val="a3"/>
        <w:rPr>
          <w:sz w:val="20"/>
        </w:rPr>
      </w:pPr>
    </w:p>
    <w:p w14:paraId="4EACEB1A" w14:textId="77777777" w:rsidR="00A71EEF" w:rsidRDefault="00A71EEF">
      <w:pPr>
        <w:pStyle w:val="a3"/>
        <w:rPr>
          <w:sz w:val="20"/>
        </w:rPr>
      </w:pPr>
    </w:p>
    <w:p w14:paraId="5AC42E9E" w14:textId="77777777" w:rsidR="00A71EEF" w:rsidRDefault="00A71EEF">
      <w:pPr>
        <w:pStyle w:val="a3"/>
        <w:rPr>
          <w:sz w:val="20"/>
        </w:rPr>
      </w:pPr>
    </w:p>
    <w:p w14:paraId="333D4C00" w14:textId="77777777" w:rsidR="00A71EEF" w:rsidRDefault="00A71EEF">
      <w:pPr>
        <w:pStyle w:val="a3"/>
        <w:rPr>
          <w:sz w:val="20"/>
        </w:rPr>
      </w:pPr>
    </w:p>
    <w:p w14:paraId="5199655B" w14:textId="77777777" w:rsidR="00A71EEF" w:rsidRDefault="00A71EEF">
      <w:pPr>
        <w:pStyle w:val="a3"/>
        <w:rPr>
          <w:sz w:val="20"/>
        </w:rPr>
      </w:pPr>
    </w:p>
    <w:p w14:paraId="04D2273C" w14:textId="77777777" w:rsidR="00A71EEF" w:rsidRDefault="00A71EEF">
      <w:pPr>
        <w:pStyle w:val="a3"/>
        <w:rPr>
          <w:sz w:val="20"/>
        </w:rPr>
      </w:pPr>
    </w:p>
    <w:p w14:paraId="0D37CDBD" w14:textId="77777777" w:rsidR="00A71EEF" w:rsidRDefault="00A71EEF">
      <w:pPr>
        <w:pStyle w:val="a3"/>
        <w:rPr>
          <w:sz w:val="20"/>
        </w:rPr>
      </w:pPr>
    </w:p>
    <w:p w14:paraId="30DC9431" w14:textId="77777777" w:rsidR="00A71EEF" w:rsidRDefault="00A71EEF">
      <w:pPr>
        <w:pStyle w:val="a3"/>
        <w:rPr>
          <w:sz w:val="20"/>
        </w:rPr>
      </w:pPr>
    </w:p>
    <w:p w14:paraId="192DEF0C" w14:textId="77777777" w:rsidR="00A71EEF" w:rsidRDefault="00A71EEF">
      <w:pPr>
        <w:pStyle w:val="a3"/>
        <w:spacing w:before="12"/>
        <w:rPr>
          <w:sz w:val="20"/>
        </w:rPr>
      </w:pPr>
    </w:p>
    <w:p w14:paraId="123871A2" w14:textId="77777777" w:rsidR="00A71EEF" w:rsidRDefault="0081115D">
      <w:pPr>
        <w:pStyle w:val="a3"/>
        <w:spacing w:before="71"/>
        <w:ind w:left="838"/>
      </w:pPr>
      <w:r>
        <w:t xml:space="preserve"> </w:t>
      </w:r>
    </w:p>
    <w:p w14:paraId="1A6C1844" w14:textId="77777777" w:rsidR="00A71EEF" w:rsidRDefault="00A71EEF">
      <w:pPr>
        <w:sectPr w:rsidR="00A71EEF">
          <w:pgSz w:w="11910" w:h="16850"/>
          <w:pgMar w:top="1220" w:right="0" w:bottom="1420" w:left="1260" w:header="0" w:footer="1239" w:gutter="0"/>
          <w:cols w:space="720"/>
        </w:sectPr>
      </w:pPr>
    </w:p>
    <w:p w14:paraId="3FEB95F6" w14:textId="77777777" w:rsidR="00A71EEF" w:rsidRDefault="00A71EEF">
      <w:pPr>
        <w:pStyle w:val="a3"/>
        <w:rPr>
          <w:sz w:val="20"/>
        </w:rPr>
      </w:pPr>
    </w:p>
    <w:p w14:paraId="4BE4CD1E" w14:textId="77777777" w:rsidR="00A71EEF" w:rsidRDefault="00A71EEF">
      <w:pPr>
        <w:pStyle w:val="a3"/>
        <w:rPr>
          <w:sz w:val="20"/>
        </w:rPr>
      </w:pPr>
    </w:p>
    <w:p w14:paraId="239DCE11" w14:textId="77777777" w:rsidR="00A71EEF" w:rsidRDefault="00A71EEF">
      <w:pPr>
        <w:pStyle w:val="a3"/>
        <w:spacing w:before="9"/>
        <w:rPr>
          <w:sz w:val="24"/>
        </w:rPr>
      </w:pPr>
    </w:p>
    <w:p w14:paraId="77F737AA" w14:textId="77777777" w:rsidR="00A71EEF" w:rsidRDefault="0081115D">
      <w:pPr>
        <w:pStyle w:val="4"/>
        <w:spacing w:before="66"/>
        <w:ind w:left="2009"/>
      </w:pPr>
      <w:r>
        <w:t>附录</w:t>
      </w:r>
      <w:r>
        <w:t xml:space="preserve"> B </w:t>
      </w:r>
      <w:r>
        <w:t>（资料性附录）职业健康监护档案内容及管理</w:t>
      </w:r>
      <w:r>
        <w:rPr>
          <w:w w:val="99"/>
        </w:rPr>
        <w:t xml:space="preserve"> </w:t>
      </w:r>
    </w:p>
    <w:p w14:paraId="621F7EA0" w14:textId="77777777" w:rsidR="00A71EEF" w:rsidRDefault="00A71EEF">
      <w:pPr>
        <w:pStyle w:val="a3"/>
        <w:rPr>
          <w:b/>
          <w:sz w:val="24"/>
        </w:rPr>
      </w:pPr>
    </w:p>
    <w:p w14:paraId="6D49A25B" w14:textId="77777777" w:rsidR="00A71EEF" w:rsidRDefault="0081115D">
      <w:pPr>
        <w:pStyle w:val="a4"/>
        <w:numPr>
          <w:ilvl w:val="0"/>
          <w:numId w:val="931"/>
        </w:numPr>
        <w:tabs>
          <w:tab w:val="left" w:pos="1053"/>
        </w:tabs>
        <w:spacing w:before="176"/>
        <w:rPr>
          <w:sz w:val="21"/>
        </w:rPr>
      </w:pPr>
      <w:r>
        <w:rPr>
          <w:b/>
          <w:sz w:val="21"/>
        </w:rPr>
        <w:t>1</w:t>
      </w:r>
      <w:r>
        <w:rPr>
          <w:b/>
          <w:spacing w:val="-1"/>
          <w:sz w:val="21"/>
        </w:rPr>
        <w:t xml:space="preserve"> </w:t>
      </w:r>
      <w:r>
        <w:rPr>
          <w:spacing w:val="-3"/>
          <w:sz w:val="21"/>
        </w:rPr>
        <w:t>档案内容</w:t>
      </w:r>
      <w:r>
        <w:rPr>
          <w:sz w:val="21"/>
        </w:rPr>
        <w:t xml:space="preserve"> </w:t>
      </w:r>
    </w:p>
    <w:p w14:paraId="3CE65BEB" w14:textId="77777777" w:rsidR="00A71EEF" w:rsidRDefault="00A71EEF">
      <w:pPr>
        <w:pStyle w:val="a3"/>
        <w:spacing w:before="2"/>
        <w:rPr>
          <w:sz w:val="18"/>
        </w:rPr>
      </w:pPr>
    </w:p>
    <w:p w14:paraId="6C611EB6" w14:textId="77777777" w:rsidR="00A71EEF" w:rsidRDefault="0081115D">
      <w:pPr>
        <w:pStyle w:val="a3"/>
        <w:spacing w:line="446" w:lineRule="auto"/>
        <w:ind w:left="840" w:right="1925" w:hanging="3"/>
      </w:pPr>
      <w:r>
        <w:t>职业健康监护档案应包括职业健康管理档案、消防员个人职业健康档案和其他档案。</w:t>
      </w:r>
      <w:r>
        <w:rPr>
          <w:b/>
        </w:rPr>
        <w:t xml:space="preserve">B.1.1 </w:t>
      </w:r>
      <w:r>
        <w:t>消防组织应建立职业健康管理档案，包括：</w:t>
      </w:r>
      <w:r>
        <w:t xml:space="preserve"> </w:t>
      </w:r>
    </w:p>
    <w:p w14:paraId="64E40BE0" w14:textId="77777777" w:rsidR="00A71EEF" w:rsidRDefault="0081115D">
      <w:pPr>
        <w:pStyle w:val="a4"/>
        <w:numPr>
          <w:ilvl w:val="0"/>
          <w:numId w:val="930"/>
        </w:numPr>
        <w:tabs>
          <w:tab w:val="left" w:pos="1051"/>
        </w:tabs>
        <w:spacing w:line="267" w:lineRule="exact"/>
        <w:rPr>
          <w:sz w:val="21"/>
        </w:rPr>
      </w:pPr>
      <w:r>
        <w:rPr>
          <w:spacing w:val="-3"/>
          <w:sz w:val="21"/>
        </w:rPr>
        <w:t>国家有关职业病防治工作的法律、法规、规范、标准清单及有关文本；</w:t>
      </w:r>
      <w:r>
        <w:rPr>
          <w:spacing w:val="-3"/>
          <w:sz w:val="21"/>
        </w:rPr>
        <w:t xml:space="preserve"> </w:t>
      </w:r>
    </w:p>
    <w:p w14:paraId="1BA86F9D" w14:textId="77777777" w:rsidR="00A71EEF" w:rsidRDefault="00A71EEF">
      <w:pPr>
        <w:pStyle w:val="a3"/>
        <w:spacing w:before="2"/>
        <w:rPr>
          <w:sz w:val="18"/>
        </w:rPr>
      </w:pPr>
    </w:p>
    <w:p w14:paraId="27CE8858" w14:textId="77777777" w:rsidR="00A71EEF" w:rsidRDefault="0081115D">
      <w:pPr>
        <w:pStyle w:val="a4"/>
        <w:numPr>
          <w:ilvl w:val="0"/>
          <w:numId w:val="930"/>
        </w:numPr>
        <w:tabs>
          <w:tab w:val="left" w:pos="1051"/>
        </w:tabs>
        <w:rPr>
          <w:sz w:val="21"/>
        </w:rPr>
      </w:pPr>
      <w:r>
        <w:rPr>
          <w:spacing w:val="-3"/>
          <w:sz w:val="21"/>
        </w:rPr>
        <w:t>职业健康管理方针、计划、目标、职业健康管理制度、工作总结等；</w:t>
      </w:r>
      <w:r>
        <w:rPr>
          <w:sz w:val="21"/>
        </w:rPr>
        <w:t xml:space="preserve"> </w:t>
      </w:r>
    </w:p>
    <w:p w14:paraId="39515530" w14:textId="77777777" w:rsidR="00A71EEF" w:rsidRDefault="00A71EEF">
      <w:pPr>
        <w:pStyle w:val="a3"/>
        <w:spacing w:before="12"/>
        <w:rPr>
          <w:sz w:val="17"/>
        </w:rPr>
      </w:pPr>
    </w:p>
    <w:p w14:paraId="003DD547" w14:textId="77777777" w:rsidR="00A71EEF" w:rsidRDefault="0081115D">
      <w:pPr>
        <w:pStyle w:val="a4"/>
        <w:numPr>
          <w:ilvl w:val="0"/>
          <w:numId w:val="930"/>
        </w:numPr>
        <w:tabs>
          <w:tab w:val="left" w:pos="1051"/>
        </w:tabs>
        <w:rPr>
          <w:sz w:val="21"/>
        </w:rPr>
      </w:pPr>
      <w:r>
        <w:rPr>
          <w:spacing w:val="-3"/>
          <w:sz w:val="21"/>
        </w:rPr>
        <w:t>职业健康专</w:t>
      </w:r>
      <w:r>
        <w:rPr>
          <w:sz w:val="21"/>
        </w:rPr>
        <w:t>（</w:t>
      </w:r>
      <w:r>
        <w:rPr>
          <w:spacing w:val="-3"/>
          <w:sz w:val="21"/>
        </w:rPr>
        <w:t>兼</w:t>
      </w:r>
      <w:r>
        <w:rPr>
          <w:sz w:val="21"/>
        </w:rPr>
        <w:t>）</w:t>
      </w:r>
      <w:r>
        <w:rPr>
          <w:spacing w:val="-3"/>
          <w:sz w:val="21"/>
        </w:rPr>
        <w:t>职管理组织、职能及人员分工；</w:t>
      </w:r>
      <w:r>
        <w:rPr>
          <w:sz w:val="21"/>
        </w:rPr>
        <w:t xml:space="preserve"> </w:t>
      </w:r>
    </w:p>
    <w:p w14:paraId="5F2BB92B" w14:textId="77777777" w:rsidR="00A71EEF" w:rsidRDefault="00A71EEF">
      <w:pPr>
        <w:pStyle w:val="a3"/>
        <w:rPr>
          <w:sz w:val="18"/>
        </w:rPr>
      </w:pPr>
    </w:p>
    <w:p w14:paraId="2B6B7F30" w14:textId="77777777" w:rsidR="00A71EEF" w:rsidRDefault="0081115D">
      <w:pPr>
        <w:pStyle w:val="a4"/>
        <w:numPr>
          <w:ilvl w:val="0"/>
          <w:numId w:val="930"/>
        </w:numPr>
        <w:tabs>
          <w:tab w:val="left" w:pos="1051"/>
        </w:tabs>
        <w:rPr>
          <w:sz w:val="21"/>
        </w:rPr>
      </w:pPr>
      <w:r>
        <w:rPr>
          <w:spacing w:val="-3"/>
          <w:sz w:val="21"/>
        </w:rPr>
        <w:t>职业健康管理方案、程序、作业指导书和其他内部文件；</w:t>
      </w:r>
      <w:r>
        <w:rPr>
          <w:sz w:val="21"/>
        </w:rPr>
        <w:t xml:space="preserve"> </w:t>
      </w:r>
    </w:p>
    <w:p w14:paraId="55FB311F" w14:textId="77777777" w:rsidR="00A71EEF" w:rsidRDefault="00A71EEF">
      <w:pPr>
        <w:pStyle w:val="a3"/>
        <w:spacing w:before="1"/>
        <w:rPr>
          <w:sz w:val="18"/>
        </w:rPr>
      </w:pPr>
    </w:p>
    <w:p w14:paraId="2098668D" w14:textId="77777777" w:rsidR="00A71EEF" w:rsidRDefault="0081115D">
      <w:pPr>
        <w:pStyle w:val="a4"/>
        <w:numPr>
          <w:ilvl w:val="0"/>
          <w:numId w:val="930"/>
        </w:numPr>
        <w:tabs>
          <w:tab w:val="left" w:pos="1051"/>
        </w:tabs>
        <w:spacing w:before="1" w:line="446" w:lineRule="auto"/>
        <w:ind w:left="418" w:right="1609" w:firstLine="419"/>
        <w:rPr>
          <w:sz w:val="21"/>
        </w:rPr>
      </w:pPr>
      <w:r>
        <w:rPr>
          <w:spacing w:val="-3"/>
          <w:sz w:val="21"/>
        </w:rPr>
        <w:t>辖区内服务对象分布图及储存和使用的化学品清单，包括种类、量、使用的部位、储存的部位、毒性资料、预防策略；</w:t>
      </w:r>
      <w:r>
        <w:rPr>
          <w:sz w:val="21"/>
        </w:rPr>
        <w:t xml:space="preserve"> </w:t>
      </w:r>
    </w:p>
    <w:p w14:paraId="11A30578" w14:textId="77777777" w:rsidR="00A71EEF" w:rsidRDefault="0081115D">
      <w:pPr>
        <w:pStyle w:val="a4"/>
        <w:numPr>
          <w:ilvl w:val="0"/>
          <w:numId w:val="930"/>
        </w:numPr>
        <w:tabs>
          <w:tab w:val="left" w:pos="1051"/>
        </w:tabs>
        <w:spacing w:line="267" w:lineRule="exact"/>
        <w:rPr>
          <w:sz w:val="21"/>
        </w:rPr>
      </w:pPr>
      <w:r>
        <w:rPr>
          <w:spacing w:val="-3"/>
          <w:sz w:val="21"/>
        </w:rPr>
        <w:t>职业危害防护装备储存、配备、使用、维</w:t>
      </w:r>
      <w:r>
        <w:rPr>
          <w:spacing w:val="-3"/>
          <w:sz w:val="21"/>
        </w:rPr>
        <w:t>修记录等；</w:t>
      </w:r>
      <w:r>
        <w:rPr>
          <w:sz w:val="21"/>
        </w:rPr>
        <w:t xml:space="preserve"> </w:t>
      </w:r>
    </w:p>
    <w:p w14:paraId="361582B1" w14:textId="77777777" w:rsidR="00A71EEF" w:rsidRDefault="00A71EEF">
      <w:pPr>
        <w:pStyle w:val="a3"/>
        <w:spacing w:before="1"/>
        <w:rPr>
          <w:sz w:val="18"/>
        </w:rPr>
      </w:pPr>
    </w:p>
    <w:p w14:paraId="72439FAF" w14:textId="77777777" w:rsidR="00A71EEF" w:rsidRDefault="0081115D">
      <w:pPr>
        <w:pStyle w:val="a4"/>
        <w:numPr>
          <w:ilvl w:val="0"/>
          <w:numId w:val="930"/>
        </w:numPr>
        <w:tabs>
          <w:tab w:val="left" w:pos="1051"/>
        </w:tabs>
        <w:spacing w:before="1" w:line="446" w:lineRule="auto"/>
        <w:ind w:left="418" w:right="1609" w:firstLine="419"/>
        <w:rPr>
          <w:sz w:val="21"/>
        </w:rPr>
      </w:pPr>
      <w:r>
        <w:rPr>
          <w:spacing w:val="-3"/>
          <w:sz w:val="21"/>
        </w:rPr>
        <w:t>职业健康监护资料：职业健康监护委托书、职业性健康检查人员名单、职业健康检查结果与分析报告、职业禁忌证名单及调离情况；</w:t>
      </w:r>
      <w:r>
        <w:rPr>
          <w:sz w:val="21"/>
        </w:rPr>
        <w:t xml:space="preserve"> </w:t>
      </w:r>
    </w:p>
    <w:p w14:paraId="2751DF2F" w14:textId="77777777" w:rsidR="00A71EEF" w:rsidRDefault="0081115D">
      <w:pPr>
        <w:pStyle w:val="a4"/>
        <w:numPr>
          <w:ilvl w:val="0"/>
          <w:numId w:val="930"/>
        </w:numPr>
        <w:tabs>
          <w:tab w:val="left" w:pos="1051"/>
        </w:tabs>
        <w:spacing w:line="446" w:lineRule="auto"/>
        <w:ind w:left="838" w:right="3817" w:firstLine="0"/>
        <w:rPr>
          <w:sz w:val="21"/>
        </w:rPr>
      </w:pPr>
      <w:r>
        <w:rPr>
          <w:spacing w:val="-2"/>
          <w:sz w:val="21"/>
        </w:rPr>
        <w:t>职业健康培训教育计划、培训内容、授课记录及考核成绩；</w:t>
      </w:r>
      <w:r>
        <w:rPr>
          <w:spacing w:val="-2"/>
          <w:sz w:val="21"/>
        </w:rPr>
        <w:t xml:space="preserve"> </w:t>
      </w:r>
      <w:r>
        <w:rPr>
          <w:sz w:val="21"/>
        </w:rPr>
        <w:t xml:space="preserve">i) </w:t>
      </w:r>
      <w:r>
        <w:rPr>
          <w:spacing w:val="-3"/>
          <w:sz w:val="21"/>
        </w:rPr>
        <w:t>职业病病人档案；</w:t>
      </w:r>
      <w:r>
        <w:rPr>
          <w:sz w:val="21"/>
        </w:rPr>
        <w:t xml:space="preserve"> </w:t>
      </w:r>
    </w:p>
    <w:p w14:paraId="0AEBC30D" w14:textId="77777777" w:rsidR="00A71EEF" w:rsidRDefault="0081115D">
      <w:pPr>
        <w:pStyle w:val="a4"/>
        <w:numPr>
          <w:ilvl w:val="0"/>
          <w:numId w:val="929"/>
        </w:numPr>
        <w:tabs>
          <w:tab w:val="left" w:pos="1051"/>
        </w:tabs>
        <w:rPr>
          <w:sz w:val="21"/>
        </w:rPr>
      </w:pPr>
      <w:r>
        <w:rPr>
          <w:spacing w:val="-3"/>
          <w:sz w:val="21"/>
        </w:rPr>
        <w:t>职业危害事故应急救援预案及演练有关资料；</w:t>
      </w:r>
      <w:r>
        <w:rPr>
          <w:sz w:val="21"/>
        </w:rPr>
        <w:t xml:space="preserve"> </w:t>
      </w:r>
    </w:p>
    <w:p w14:paraId="11A68D50" w14:textId="77777777" w:rsidR="00A71EEF" w:rsidRDefault="00A71EEF">
      <w:pPr>
        <w:pStyle w:val="a3"/>
        <w:spacing w:before="10"/>
        <w:rPr>
          <w:sz w:val="17"/>
        </w:rPr>
      </w:pPr>
    </w:p>
    <w:p w14:paraId="3D87E365" w14:textId="77777777" w:rsidR="00A71EEF" w:rsidRDefault="0081115D">
      <w:pPr>
        <w:pStyle w:val="a4"/>
        <w:numPr>
          <w:ilvl w:val="0"/>
          <w:numId w:val="929"/>
        </w:numPr>
        <w:tabs>
          <w:tab w:val="left" w:pos="1051"/>
        </w:tabs>
        <w:spacing w:line="446" w:lineRule="auto"/>
        <w:ind w:left="418" w:right="1609" w:firstLine="419"/>
        <w:rPr>
          <w:sz w:val="21"/>
        </w:rPr>
      </w:pPr>
      <w:r>
        <w:rPr>
          <w:spacing w:val="-3"/>
          <w:sz w:val="21"/>
        </w:rPr>
        <w:t>各种汇总资料，包括：职业健康监护、职业病发病情况、职业病人处理及安置情况、培训情况、因病缺勤情况、职业有害因素接触情况等汇总资料。</w:t>
      </w:r>
      <w:r>
        <w:rPr>
          <w:sz w:val="21"/>
        </w:rPr>
        <w:t xml:space="preserve"> </w:t>
      </w:r>
    </w:p>
    <w:p w14:paraId="212B6F69" w14:textId="77777777" w:rsidR="00A71EEF" w:rsidRDefault="0081115D">
      <w:pPr>
        <w:pStyle w:val="a3"/>
        <w:spacing w:line="446" w:lineRule="auto"/>
        <w:ind w:left="838" w:right="5500" w:firstLine="2"/>
      </w:pPr>
      <w:r>
        <w:rPr>
          <w:b/>
        </w:rPr>
        <w:t xml:space="preserve">B.1.2 </w:t>
      </w:r>
      <w:r>
        <w:t>消防员个人职业健康档案，主要包括：</w:t>
      </w:r>
      <w:r>
        <w:t xml:space="preserve"> a) </w:t>
      </w:r>
      <w:r>
        <w:t>消防员上岗前职业健康检查资料；</w:t>
      </w:r>
      <w:r>
        <w:t xml:space="preserve"> </w:t>
      </w:r>
    </w:p>
    <w:p w14:paraId="1A5DE132" w14:textId="77777777" w:rsidR="00A71EEF" w:rsidRDefault="0081115D">
      <w:pPr>
        <w:pStyle w:val="a4"/>
        <w:numPr>
          <w:ilvl w:val="0"/>
          <w:numId w:val="928"/>
        </w:numPr>
        <w:tabs>
          <w:tab w:val="left" w:pos="1051"/>
        </w:tabs>
        <w:rPr>
          <w:sz w:val="21"/>
        </w:rPr>
      </w:pPr>
      <w:r>
        <w:rPr>
          <w:spacing w:val="-3"/>
          <w:sz w:val="21"/>
        </w:rPr>
        <w:t>消防员定期职业健康检查和体能测试结果；</w:t>
      </w:r>
      <w:r>
        <w:rPr>
          <w:sz w:val="21"/>
        </w:rPr>
        <w:t xml:space="preserve"> </w:t>
      </w:r>
    </w:p>
    <w:p w14:paraId="1E94EAAC" w14:textId="77777777" w:rsidR="00A71EEF" w:rsidRDefault="00A71EEF">
      <w:pPr>
        <w:pStyle w:val="a3"/>
        <w:spacing w:before="12"/>
        <w:rPr>
          <w:sz w:val="17"/>
        </w:rPr>
      </w:pPr>
    </w:p>
    <w:p w14:paraId="51FB821A" w14:textId="77777777" w:rsidR="00A71EEF" w:rsidRDefault="0081115D">
      <w:pPr>
        <w:pStyle w:val="a4"/>
        <w:numPr>
          <w:ilvl w:val="0"/>
          <w:numId w:val="928"/>
        </w:numPr>
        <w:tabs>
          <w:tab w:val="left" w:pos="1051"/>
        </w:tabs>
        <w:rPr>
          <w:sz w:val="21"/>
        </w:rPr>
      </w:pPr>
      <w:r>
        <w:rPr>
          <w:spacing w:val="-3"/>
          <w:sz w:val="21"/>
        </w:rPr>
        <w:t>患职业病和受伤史；</w:t>
      </w:r>
      <w:r>
        <w:rPr>
          <w:sz w:val="21"/>
        </w:rPr>
        <w:t xml:space="preserve"> </w:t>
      </w:r>
    </w:p>
    <w:p w14:paraId="38BB136F" w14:textId="77777777" w:rsidR="00A71EEF" w:rsidRDefault="00A71EEF">
      <w:pPr>
        <w:pStyle w:val="a3"/>
        <w:rPr>
          <w:sz w:val="18"/>
        </w:rPr>
      </w:pPr>
    </w:p>
    <w:p w14:paraId="7BE56A0E" w14:textId="77777777" w:rsidR="00A71EEF" w:rsidRDefault="0081115D">
      <w:pPr>
        <w:pStyle w:val="a4"/>
        <w:numPr>
          <w:ilvl w:val="0"/>
          <w:numId w:val="928"/>
        </w:numPr>
        <w:tabs>
          <w:tab w:val="left" w:pos="1051"/>
        </w:tabs>
        <w:rPr>
          <w:sz w:val="21"/>
        </w:rPr>
      </w:pPr>
      <w:r>
        <w:rPr>
          <w:spacing w:val="-3"/>
          <w:sz w:val="21"/>
        </w:rPr>
        <w:t>职业病或（</w:t>
      </w:r>
      <w:r>
        <w:rPr>
          <w:sz w:val="21"/>
        </w:rPr>
        <w:t>和</w:t>
      </w:r>
      <w:r>
        <w:rPr>
          <w:spacing w:val="-3"/>
          <w:sz w:val="21"/>
        </w:rPr>
        <w:t>）受伤的诊疗资料；</w:t>
      </w:r>
      <w:r>
        <w:rPr>
          <w:sz w:val="21"/>
        </w:rPr>
        <w:t xml:space="preserve"> </w:t>
      </w:r>
    </w:p>
    <w:p w14:paraId="2B228809" w14:textId="77777777" w:rsidR="00A71EEF" w:rsidRDefault="00A71EEF">
      <w:pPr>
        <w:pStyle w:val="a3"/>
        <w:spacing w:before="2"/>
        <w:rPr>
          <w:sz w:val="18"/>
        </w:rPr>
      </w:pPr>
    </w:p>
    <w:p w14:paraId="66C978F0" w14:textId="77777777" w:rsidR="00A71EEF" w:rsidRDefault="0081115D">
      <w:pPr>
        <w:pStyle w:val="a4"/>
        <w:numPr>
          <w:ilvl w:val="0"/>
          <w:numId w:val="928"/>
        </w:numPr>
        <w:tabs>
          <w:tab w:val="left" w:pos="1051"/>
        </w:tabs>
        <w:spacing w:line="446" w:lineRule="auto"/>
        <w:ind w:left="840" w:right="2977" w:hanging="3"/>
        <w:rPr>
          <w:sz w:val="21"/>
        </w:rPr>
      </w:pPr>
      <w:r>
        <w:rPr>
          <w:spacing w:val="-3"/>
          <w:sz w:val="21"/>
        </w:rPr>
        <w:t>在消防职业活动中接触已知或未知有毒有害物质或传染病暴露史等。</w:t>
      </w:r>
      <w:r>
        <w:rPr>
          <w:b/>
          <w:sz w:val="21"/>
        </w:rPr>
        <w:t>B.1.3</w:t>
      </w:r>
      <w:r>
        <w:rPr>
          <w:b/>
          <w:spacing w:val="2"/>
          <w:sz w:val="21"/>
        </w:rPr>
        <w:t xml:space="preserve"> </w:t>
      </w:r>
      <w:r>
        <w:rPr>
          <w:spacing w:val="-3"/>
          <w:sz w:val="21"/>
        </w:rPr>
        <w:t>其他档案，主要包括：</w:t>
      </w:r>
      <w:r>
        <w:rPr>
          <w:sz w:val="21"/>
        </w:rPr>
        <w:t xml:space="preserve"> </w:t>
      </w:r>
    </w:p>
    <w:p w14:paraId="5A318DD1" w14:textId="77777777" w:rsidR="00A71EEF" w:rsidRDefault="00A71EEF">
      <w:pPr>
        <w:spacing w:line="446" w:lineRule="auto"/>
        <w:rPr>
          <w:sz w:val="21"/>
        </w:rPr>
        <w:sectPr w:rsidR="00A71EEF">
          <w:pgSz w:w="11910" w:h="16850"/>
          <w:pgMar w:top="1600" w:right="0" w:bottom="1420" w:left="1260" w:header="0" w:footer="1239" w:gutter="0"/>
          <w:cols w:space="720"/>
        </w:sectPr>
      </w:pPr>
    </w:p>
    <w:p w14:paraId="3A1A63B7" w14:textId="77777777" w:rsidR="00A71EEF" w:rsidRDefault="0081115D">
      <w:pPr>
        <w:pStyle w:val="a4"/>
        <w:numPr>
          <w:ilvl w:val="0"/>
          <w:numId w:val="927"/>
        </w:numPr>
        <w:tabs>
          <w:tab w:val="left" w:pos="1051"/>
        </w:tabs>
        <w:spacing w:before="47"/>
        <w:rPr>
          <w:sz w:val="21"/>
        </w:rPr>
      </w:pPr>
      <w:r>
        <w:rPr>
          <w:spacing w:val="-3"/>
          <w:sz w:val="21"/>
        </w:rPr>
        <w:lastRenderedPageBreak/>
        <w:t>消防员心理测验资料；</w:t>
      </w:r>
      <w:r>
        <w:rPr>
          <w:spacing w:val="-3"/>
          <w:sz w:val="21"/>
        </w:rPr>
        <w:t xml:space="preserve"> </w:t>
      </w:r>
    </w:p>
    <w:p w14:paraId="217046B0" w14:textId="77777777" w:rsidR="00A71EEF" w:rsidRDefault="00A71EEF">
      <w:pPr>
        <w:pStyle w:val="a3"/>
        <w:rPr>
          <w:sz w:val="18"/>
        </w:rPr>
      </w:pPr>
    </w:p>
    <w:p w14:paraId="6B54944B" w14:textId="77777777" w:rsidR="00A71EEF" w:rsidRDefault="0081115D">
      <w:pPr>
        <w:pStyle w:val="a4"/>
        <w:numPr>
          <w:ilvl w:val="0"/>
          <w:numId w:val="927"/>
        </w:numPr>
        <w:tabs>
          <w:tab w:val="left" w:pos="1051"/>
        </w:tabs>
        <w:rPr>
          <w:sz w:val="21"/>
        </w:rPr>
      </w:pPr>
      <w:r>
        <w:rPr>
          <w:spacing w:val="-3"/>
          <w:sz w:val="21"/>
        </w:rPr>
        <w:t>职业健康评估资料；</w:t>
      </w:r>
      <w:r>
        <w:rPr>
          <w:sz w:val="21"/>
        </w:rPr>
        <w:t xml:space="preserve"> </w:t>
      </w:r>
    </w:p>
    <w:p w14:paraId="26C9F097" w14:textId="77777777" w:rsidR="00A71EEF" w:rsidRDefault="00A71EEF">
      <w:pPr>
        <w:pStyle w:val="a3"/>
        <w:rPr>
          <w:sz w:val="18"/>
        </w:rPr>
      </w:pPr>
    </w:p>
    <w:p w14:paraId="2C1FA7B3" w14:textId="77777777" w:rsidR="00A71EEF" w:rsidRDefault="0081115D">
      <w:pPr>
        <w:pStyle w:val="a4"/>
        <w:numPr>
          <w:ilvl w:val="0"/>
          <w:numId w:val="927"/>
        </w:numPr>
        <w:tabs>
          <w:tab w:val="left" w:pos="1051"/>
        </w:tabs>
        <w:spacing w:line="446" w:lineRule="auto"/>
        <w:ind w:left="840" w:right="6129" w:hanging="3"/>
        <w:rPr>
          <w:sz w:val="21"/>
        </w:rPr>
      </w:pPr>
      <w:r>
        <w:rPr>
          <w:spacing w:val="-3"/>
          <w:sz w:val="21"/>
        </w:rPr>
        <w:t>有关消防员职业健康的其他资料。</w:t>
      </w:r>
      <w:r>
        <w:rPr>
          <w:spacing w:val="-3"/>
          <w:sz w:val="21"/>
        </w:rPr>
        <w:t xml:space="preserve"> </w:t>
      </w:r>
      <w:r>
        <w:rPr>
          <w:b/>
          <w:sz w:val="21"/>
        </w:rPr>
        <w:t>B.2</w:t>
      </w:r>
      <w:r>
        <w:rPr>
          <w:b/>
          <w:spacing w:val="1"/>
          <w:sz w:val="21"/>
        </w:rPr>
        <w:t xml:space="preserve"> </w:t>
      </w:r>
      <w:r>
        <w:rPr>
          <w:spacing w:val="-3"/>
          <w:sz w:val="21"/>
        </w:rPr>
        <w:t>档案管理</w:t>
      </w:r>
      <w:r>
        <w:rPr>
          <w:sz w:val="21"/>
        </w:rPr>
        <w:t xml:space="preserve"> </w:t>
      </w:r>
    </w:p>
    <w:p w14:paraId="55714582" w14:textId="77777777" w:rsidR="00A71EEF" w:rsidRDefault="0081115D">
      <w:pPr>
        <w:pStyle w:val="a3"/>
        <w:spacing w:line="446" w:lineRule="auto"/>
        <w:ind w:left="840" w:right="2129"/>
      </w:pPr>
      <w:r>
        <w:rPr>
          <w:b/>
        </w:rPr>
        <w:t xml:space="preserve">B.2.1 </w:t>
      </w:r>
      <w:r>
        <w:t>各级消防组织都应当建立职业健康监护档案，并指定专（兼）职人员负责。</w:t>
      </w:r>
      <w:r>
        <w:rPr>
          <w:b/>
        </w:rPr>
        <w:t xml:space="preserve">B.2.2 </w:t>
      </w:r>
      <w:r>
        <w:t>职业健康监护档案要进行案卷归档工作。案卷归档前要做好以下事项：</w:t>
      </w:r>
      <w:r>
        <w:t xml:space="preserve"> </w:t>
      </w:r>
    </w:p>
    <w:p w14:paraId="75847101" w14:textId="77777777" w:rsidR="00A71EEF" w:rsidRDefault="0081115D">
      <w:pPr>
        <w:pStyle w:val="a3"/>
        <w:spacing w:line="446" w:lineRule="auto"/>
        <w:ind w:left="418" w:right="1609" w:firstLine="419"/>
        <w:jc w:val="both"/>
      </w:pPr>
      <w:r>
        <w:t>a)</w:t>
      </w:r>
      <w:r>
        <w:rPr>
          <w:spacing w:val="-3"/>
        </w:rPr>
        <w:t xml:space="preserve"> </w:t>
      </w:r>
      <w:r>
        <w:rPr>
          <w:spacing w:val="-3"/>
        </w:rPr>
        <w:t>简明扼要地拟写案卷标题，包括文件制发机关、内容、文种三个部分，标题要反映案卷的内容；</w:t>
      </w:r>
      <w:r>
        <w:t>b)</w:t>
      </w:r>
      <w:r>
        <w:rPr>
          <w:spacing w:val="-3"/>
        </w:rPr>
        <w:t xml:space="preserve"> </w:t>
      </w:r>
      <w:r>
        <w:rPr>
          <w:spacing w:val="-3"/>
        </w:rPr>
        <w:t>根据档案保管期限的规定，注明每一案卷的保管期限，职业健康监护档案一般为永久保存；</w:t>
      </w:r>
      <w:r>
        <w:t xml:space="preserve"> </w:t>
      </w:r>
    </w:p>
    <w:p w14:paraId="74F018F7" w14:textId="77777777" w:rsidR="00A71EEF" w:rsidRDefault="0081115D">
      <w:pPr>
        <w:pStyle w:val="a4"/>
        <w:numPr>
          <w:ilvl w:val="0"/>
          <w:numId w:val="926"/>
        </w:numPr>
        <w:tabs>
          <w:tab w:val="left" w:pos="1051"/>
        </w:tabs>
        <w:spacing w:line="268" w:lineRule="exact"/>
        <w:jc w:val="both"/>
        <w:rPr>
          <w:sz w:val="21"/>
        </w:rPr>
      </w:pPr>
      <w:r>
        <w:rPr>
          <w:spacing w:val="-3"/>
          <w:sz w:val="21"/>
        </w:rPr>
        <w:t>填写卷内目录、备考表及案卷皮、编号，装订成卷；</w:t>
      </w:r>
      <w:r>
        <w:rPr>
          <w:sz w:val="21"/>
        </w:rPr>
        <w:t xml:space="preserve"> </w:t>
      </w:r>
    </w:p>
    <w:p w14:paraId="39FAA142" w14:textId="77777777" w:rsidR="00A71EEF" w:rsidRDefault="00A71EEF">
      <w:pPr>
        <w:pStyle w:val="a3"/>
        <w:spacing w:before="12"/>
        <w:rPr>
          <w:sz w:val="17"/>
        </w:rPr>
      </w:pPr>
    </w:p>
    <w:p w14:paraId="5F093F9C" w14:textId="77777777" w:rsidR="00A71EEF" w:rsidRDefault="0081115D">
      <w:pPr>
        <w:pStyle w:val="a4"/>
        <w:numPr>
          <w:ilvl w:val="0"/>
          <w:numId w:val="926"/>
        </w:numPr>
        <w:tabs>
          <w:tab w:val="left" w:pos="1051"/>
        </w:tabs>
        <w:rPr>
          <w:sz w:val="21"/>
        </w:rPr>
      </w:pPr>
      <w:r>
        <w:rPr>
          <w:spacing w:val="-3"/>
          <w:sz w:val="21"/>
        </w:rPr>
        <w:t>归档的案卷要填写移交目录。</w:t>
      </w:r>
      <w:r>
        <w:rPr>
          <w:sz w:val="21"/>
        </w:rPr>
        <w:t xml:space="preserve"> </w:t>
      </w:r>
    </w:p>
    <w:p w14:paraId="00DA2D53" w14:textId="77777777" w:rsidR="00A71EEF" w:rsidRDefault="00A71EEF">
      <w:pPr>
        <w:pStyle w:val="a3"/>
        <w:spacing w:before="12"/>
        <w:rPr>
          <w:sz w:val="17"/>
        </w:rPr>
      </w:pPr>
    </w:p>
    <w:p w14:paraId="4D0980F9" w14:textId="77777777" w:rsidR="00A71EEF" w:rsidRDefault="0081115D">
      <w:pPr>
        <w:pStyle w:val="a4"/>
        <w:numPr>
          <w:ilvl w:val="2"/>
          <w:numId w:val="925"/>
        </w:numPr>
        <w:tabs>
          <w:tab w:val="left" w:pos="1371"/>
        </w:tabs>
        <w:spacing w:line="446" w:lineRule="auto"/>
        <w:ind w:right="1604" w:firstLine="422"/>
        <w:rPr>
          <w:sz w:val="21"/>
        </w:rPr>
      </w:pPr>
      <w:r>
        <w:rPr>
          <w:spacing w:val="-3"/>
          <w:sz w:val="21"/>
        </w:rPr>
        <w:t>档案室对移交来的</w:t>
      </w:r>
      <w:r>
        <w:rPr>
          <w:spacing w:val="-3"/>
          <w:sz w:val="21"/>
        </w:rPr>
        <w:t>职业健康监护档案，要认真进行质量检查，及时编号登记，入库保管。</w:t>
      </w:r>
      <w:r>
        <w:rPr>
          <w:sz w:val="21"/>
        </w:rPr>
        <w:t xml:space="preserve"> </w:t>
      </w:r>
    </w:p>
    <w:p w14:paraId="00A5B6AA" w14:textId="77777777" w:rsidR="00A71EEF" w:rsidRDefault="0081115D">
      <w:pPr>
        <w:pStyle w:val="a4"/>
        <w:numPr>
          <w:ilvl w:val="2"/>
          <w:numId w:val="925"/>
        </w:numPr>
        <w:tabs>
          <w:tab w:val="left" w:pos="1371"/>
        </w:tabs>
        <w:spacing w:line="446" w:lineRule="auto"/>
        <w:ind w:right="1604" w:firstLine="422"/>
        <w:rPr>
          <w:sz w:val="21"/>
        </w:rPr>
      </w:pPr>
      <w:r>
        <w:rPr>
          <w:spacing w:val="-3"/>
          <w:sz w:val="21"/>
        </w:rPr>
        <w:t>档案工作人员对档案的收进、移出、销毁、借阅利用等情况耍进行登记，责任人签字；档案工作人员调离时，必须办好交接手续。</w:t>
      </w:r>
      <w:r>
        <w:rPr>
          <w:sz w:val="21"/>
        </w:rPr>
        <w:t xml:space="preserve"> </w:t>
      </w:r>
    </w:p>
    <w:p w14:paraId="705D4D67" w14:textId="77777777" w:rsidR="00A71EEF" w:rsidRDefault="0081115D">
      <w:pPr>
        <w:pStyle w:val="a4"/>
        <w:numPr>
          <w:ilvl w:val="2"/>
          <w:numId w:val="925"/>
        </w:numPr>
        <w:tabs>
          <w:tab w:val="left" w:pos="1371"/>
        </w:tabs>
        <w:spacing w:line="446" w:lineRule="auto"/>
        <w:ind w:right="1604" w:firstLine="422"/>
        <w:jc w:val="both"/>
        <w:rPr>
          <w:sz w:val="21"/>
        </w:rPr>
      </w:pPr>
      <w:r>
        <w:rPr>
          <w:spacing w:val="-3"/>
          <w:sz w:val="21"/>
        </w:rPr>
        <w:t>档案库房要坚固、安全，做好防盗、防火、防虫、防鼠、防高温、防潮、通风等项工作，并有应急措施。职业卫生档案库要设专人管理，定期检查清点，如发现档案破损、变质时要及时修补复制。</w:t>
      </w:r>
      <w:r>
        <w:rPr>
          <w:sz w:val="21"/>
        </w:rPr>
        <w:t xml:space="preserve"> </w:t>
      </w:r>
    </w:p>
    <w:p w14:paraId="466F6AB8" w14:textId="77777777" w:rsidR="00A71EEF" w:rsidRDefault="0081115D">
      <w:pPr>
        <w:pStyle w:val="a4"/>
        <w:numPr>
          <w:ilvl w:val="2"/>
          <w:numId w:val="925"/>
        </w:numPr>
        <w:tabs>
          <w:tab w:val="left" w:pos="1370"/>
        </w:tabs>
        <w:spacing w:line="446" w:lineRule="auto"/>
        <w:ind w:right="1604" w:firstLine="422"/>
        <w:rPr>
          <w:sz w:val="21"/>
        </w:rPr>
      </w:pPr>
      <w:r>
        <w:rPr>
          <w:spacing w:val="-3"/>
          <w:sz w:val="21"/>
        </w:rPr>
        <w:t>对保管的职业健康监护档案要积极提供利用，消防员心理测验资料的管理应遵循心理工作保密原则，严格执行借阅制度。</w:t>
      </w:r>
      <w:r>
        <w:rPr>
          <w:sz w:val="21"/>
        </w:rPr>
        <w:t xml:space="preserve"> </w:t>
      </w:r>
    </w:p>
    <w:p w14:paraId="3B5DF56D" w14:textId="77777777" w:rsidR="00A71EEF" w:rsidRDefault="0081115D">
      <w:pPr>
        <w:pStyle w:val="a4"/>
        <w:numPr>
          <w:ilvl w:val="2"/>
          <w:numId w:val="925"/>
        </w:numPr>
        <w:tabs>
          <w:tab w:val="left" w:pos="1371"/>
        </w:tabs>
        <w:spacing w:line="446" w:lineRule="auto"/>
        <w:ind w:right="1813" w:firstLine="422"/>
        <w:rPr>
          <w:sz w:val="21"/>
        </w:rPr>
      </w:pPr>
      <w:r>
        <w:rPr>
          <w:spacing w:val="-3"/>
          <w:sz w:val="21"/>
        </w:rPr>
        <w:t>利用职业健康监护档案的人员应当爱护档案，严禁对职业健康监护档案拆卷、涂改、污损、转借和擅自翻印。</w:t>
      </w:r>
      <w:r>
        <w:rPr>
          <w:sz w:val="21"/>
        </w:rPr>
        <w:t xml:space="preserve"> </w:t>
      </w:r>
    </w:p>
    <w:p w14:paraId="1E9D359C" w14:textId="77777777" w:rsidR="00A71EEF" w:rsidRDefault="0081115D">
      <w:pPr>
        <w:pStyle w:val="a4"/>
        <w:numPr>
          <w:ilvl w:val="2"/>
          <w:numId w:val="925"/>
        </w:numPr>
        <w:tabs>
          <w:tab w:val="left" w:pos="1371"/>
        </w:tabs>
        <w:spacing w:line="446" w:lineRule="auto"/>
        <w:ind w:left="840" w:right="1709" w:firstLine="0"/>
        <w:rPr>
          <w:sz w:val="21"/>
        </w:rPr>
      </w:pPr>
      <w:r>
        <w:rPr>
          <w:spacing w:val="-3"/>
          <w:sz w:val="21"/>
        </w:rPr>
        <w:t>职业健康检查和职业病病人档案借阅和保密还应当按病案管理的有关要求执行。</w:t>
      </w:r>
      <w:r>
        <w:rPr>
          <w:b/>
          <w:sz w:val="21"/>
        </w:rPr>
        <w:t>B.2.9</w:t>
      </w:r>
      <w:r>
        <w:rPr>
          <w:b/>
          <w:spacing w:val="2"/>
          <w:sz w:val="21"/>
        </w:rPr>
        <w:t xml:space="preserve"> </w:t>
      </w:r>
      <w:r>
        <w:rPr>
          <w:spacing w:val="-3"/>
          <w:sz w:val="21"/>
        </w:rPr>
        <w:t>对职业健康监护档案的利用情况要进行登记。</w:t>
      </w:r>
      <w:r>
        <w:rPr>
          <w:spacing w:val="-3"/>
          <w:sz w:val="21"/>
        </w:rPr>
        <w:t xml:space="preserve"> </w:t>
      </w:r>
    </w:p>
    <w:p w14:paraId="101E6170" w14:textId="77777777" w:rsidR="00A71EEF" w:rsidRDefault="00A71EEF">
      <w:pPr>
        <w:pStyle w:val="a3"/>
        <w:rPr>
          <w:sz w:val="20"/>
        </w:rPr>
      </w:pPr>
    </w:p>
    <w:p w14:paraId="788CCF44" w14:textId="77777777" w:rsidR="00A71EEF" w:rsidRDefault="00A71EEF">
      <w:pPr>
        <w:pStyle w:val="a3"/>
        <w:rPr>
          <w:sz w:val="20"/>
        </w:rPr>
      </w:pPr>
    </w:p>
    <w:p w14:paraId="4CF84BC7" w14:textId="77777777" w:rsidR="00A71EEF" w:rsidRDefault="00A71EEF">
      <w:pPr>
        <w:pStyle w:val="a3"/>
        <w:rPr>
          <w:sz w:val="20"/>
        </w:rPr>
      </w:pPr>
    </w:p>
    <w:p w14:paraId="6C7FF6AB" w14:textId="77777777" w:rsidR="00A71EEF" w:rsidRDefault="00A71EEF">
      <w:pPr>
        <w:pStyle w:val="a3"/>
        <w:rPr>
          <w:sz w:val="20"/>
        </w:rPr>
      </w:pPr>
    </w:p>
    <w:p w14:paraId="0426F51C" w14:textId="77777777" w:rsidR="00A71EEF" w:rsidRDefault="00A71EEF">
      <w:pPr>
        <w:pStyle w:val="a3"/>
        <w:rPr>
          <w:sz w:val="20"/>
        </w:rPr>
      </w:pPr>
    </w:p>
    <w:p w14:paraId="6595F7BB" w14:textId="77777777" w:rsidR="00A71EEF" w:rsidRDefault="00A71EEF">
      <w:pPr>
        <w:pStyle w:val="a3"/>
        <w:spacing w:before="11"/>
        <w:rPr>
          <w:sz w:val="16"/>
        </w:rPr>
      </w:pPr>
    </w:p>
    <w:p w14:paraId="454DA27D" w14:textId="77777777" w:rsidR="00A71EEF" w:rsidRDefault="0081115D">
      <w:pPr>
        <w:pStyle w:val="a3"/>
        <w:ind w:left="838"/>
      </w:pPr>
      <w:r>
        <w:t xml:space="preserve"> </w:t>
      </w:r>
    </w:p>
    <w:p w14:paraId="4E5F8248" w14:textId="77777777" w:rsidR="00A71EEF" w:rsidRDefault="00A71EEF">
      <w:pPr>
        <w:sectPr w:rsidR="00A71EEF">
          <w:pgSz w:w="11910" w:h="16850"/>
          <w:pgMar w:top="1220" w:right="0" w:bottom="1420" w:left="1260" w:header="0" w:footer="1239" w:gutter="0"/>
          <w:cols w:space="720"/>
        </w:sectPr>
      </w:pPr>
    </w:p>
    <w:p w14:paraId="4115DB13" w14:textId="77777777" w:rsidR="00A71EEF" w:rsidRDefault="00A71EEF">
      <w:pPr>
        <w:pStyle w:val="a3"/>
        <w:rPr>
          <w:sz w:val="20"/>
        </w:rPr>
      </w:pPr>
    </w:p>
    <w:p w14:paraId="7E823659" w14:textId="77777777" w:rsidR="00A71EEF" w:rsidRDefault="00A71EEF">
      <w:pPr>
        <w:pStyle w:val="a3"/>
        <w:rPr>
          <w:sz w:val="20"/>
        </w:rPr>
      </w:pPr>
    </w:p>
    <w:p w14:paraId="646BFB5A" w14:textId="77777777" w:rsidR="00A71EEF" w:rsidRDefault="00A71EEF">
      <w:pPr>
        <w:pStyle w:val="a3"/>
        <w:rPr>
          <w:sz w:val="20"/>
        </w:rPr>
      </w:pPr>
    </w:p>
    <w:p w14:paraId="1D9691D3" w14:textId="77777777" w:rsidR="00A71EEF" w:rsidRDefault="00A71EEF">
      <w:pPr>
        <w:pStyle w:val="a3"/>
        <w:spacing w:before="7"/>
        <w:rPr>
          <w:sz w:val="25"/>
        </w:rPr>
      </w:pPr>
    </w:p>
    <w:p w14:paraId="3465153C" w14:textId="77777777" w:rsidR="00A71EEF" w:rsidRDefault="0081115D">
      <w:pPr>
        <w:pStyle w:val="a3"/>
        <w:spacing w:before="72"/>
        <w:ind w:left="3298"/>
      </w:pPr>
      <w:r>
        <w:t xml:space="preserve"> </w:t>
      </w:r>
    </w:p>
    <w:p w14:paraId="24EC6083" w14:textId="77777777" w:rsidR="00A71EEF" w:rsidRDefault="00A71EEF">
      <w:pPr>
        <w:sectPr w:rsidR="00A71EEF">
          <w:pgSz w:w="11910" w:h="16850"/>
          <w:pgMar w:top="1600" w:right="0" w:bottom="1420" w:left="1260" w:header="0" w:footer="1239" w:gutter="0"/>
          <w:cols w:space="720"/>
        </w:sectPr>
      </w:pPr>
    </w:p>
    <w:p w14:paraId="1B3F4088" w14:textId="77777777" w:rsidR="00A71EEF" w:rsidRDefault="0081115D">
      <w:pPr>
        <w:pStyle w:val="4"/>
        <w:spacing w:before="55"/>
        <w:ind w:left="2614"/>
      </w:pPr>
      <w:r>
        <w:lastRenderedPageBreak/>
        <w:t>附录</w:t>
      </w:r>
      <w:r>
        <w:t xml:space="preserve"> C</w:t>
      </w:r>
      <w:r>
        <w:t>（资料性附录）</w:t>
      </w:r>
      <w:r>
        <w:t xml:space="preserve"> </w:t>
      </w:r>
      <w:r>
        <w:t>职业健康促进内容</w:t>
      </w:r>
      <w:r>
        <w:rPr>
          <w:w w:val="99"/>
        </w:rPr>
        <w:t xml:space="preserve"> </w:t>
      </w:r>
    </w:p>
    <w:p w14:paraId="649B6B0F" w14:textId="77777777" w:rsidR="00A71EEF" w:rsidRDefault="00A71EEF">
      <w:pPr>
        <w:pStyle w:val="a3"/>
        <w:rPr>
          <w:b/>
          <w:sz w:val="24"/>
        </w:rPr>
      </w:pPr>
    </w:p>
    <w:p w14:paraId="39670D7E" w14:textId="77777777" w:rsidR="00A71EEF" w:rsidRDefault="0081115D">
      <w:pPr>
        <w:pStyle w:val="a3"/>
        <w:spacing w:before="176" w:line="446" w:lineRule="auto"/>
        <w:ind w:left="418" w:right="1608" w:firstLine="419"/>
        <w:jc w:val="both"/>
      </w:pPr>
      <w:r>
        <w:t>动员和组织消防员参与各种有计划有目的的健康促进活动，指导消防员消除心理、社会和环境中不利于健康的因素，改变不健康的生活习惯和方式，促进健康行为的形成，预防和控制职业病、职业伤害、传染病及常见病等的发生，促进消防员的职业健康，提高消防组织的整体素质和战斗力。</w:t>
      </w:r>
      <w:r>
        <w:t xml:space="preserve"> </w:t>
      </w:r>
    </w:p>
    <w:p w14:paraId="417D7BF5" w14:textId="77777777" w:rsidR="00A71EEF" w:rsidRDefault="0081115D">
      <w:pPr>
        <w:pStyle w:val="a3"/>
        <w:spacing w:line="446" w:lineRule="auto"/>
        <w:ind w:left="418" w:right="1609" w:firstLine="419"/>
      </w:pPr>
      <w:r>
        <w:t>消防员职业健康促进包括职业病与职业伤害的预防控制、传染病的预防控制、慢性非传染病的预防控制、心理与精神疾病的预防控制及休假和疗养等。</w:t>
      </w:r>
      <w:r>
        <w:t xml:space="preserve"> </w:t>
      </w:r>
    </w:p>
    <w:p w14:paraId="06093009" w14:textId="77777777" w:rsidR="00A71EEF" w:rsidRDefault="0081115D">
      <w:pPr>
        <w:pStyle w:val="a4"/>
        <w:numPr>
          <w:ilvl w:val="0"/>
          <w:numId w:val="931"/>
        </w:numPr>
        <w:tabs>
          <w:tab w:val="left" w:pos="1053"/>
        </w:tabs>
        <w:spacing w:line="267" w:lineRule="exact"/>
        <w:rPr>
          <w:sz w:val="21"/>
        </w:rPr>
      </w:pPr>
      <w:r>
        <w:rPr>
          <w:b/>
          <w:sz w:val="21"/>
        </w:rPr>
        <w:t>1</w:t>
      </w:r>
      <w:r>
        <w:rPr>
          <w:b/>
          <w:spacing w:val="2"/>
          <w:sz w:val="21"/>
        </w:rPr>
        <w:t xml:space="preserve"> </w:t>
      </w:r>
      <w:r>
        <w:rPr>
          <w:spacing w:val="-3"/>
          <w:sz w:val="21"/>
        </w:rPr>
        <w:t>职业病与职业伤害的预防控制</w:t>
      </w:r>
      <w:r>
        <w:rPr>
          <w:sz w:val="21"/>
        </w:rPr>
        <w:t xml:space="preserve"> </w:t>
      </w:r>
    </w:p>
    <w:p w14:paraId="29848E6E" w14:textId="77777777" w:rsidR="00A71EEF" w:rsidRDefault="00A71EEF">
      <w:pPr>
        <w:pStyle w:val="a3"/>
        <w:spacing w:before="2"/>
        <w:rPr>
          <w:sz w:val="18"/>
        </w:rPr>
      </w:pPr>
    </w:p>
    <w:p w14:paraId="5D58DE89" w14:textId="77777777" w:rsidR="00A71EEF" w:rsidRDefault="0081115D">
      <w:pPr>
        <w:pStyle w:val="a3"/>
        <w:spacing w:line="446" w:lineRule="auto"/>
        <w:ind w:left="418" w:right="1609" w:firstLine="419"/>
      </w:pPr>
      <w:r>
        <w:t>消防组织应定期对消防员职业活动中可能接触的职业危害因素及防护知识开展培训，提高消</w:t>
      </w:r>
      <w:r>
        <w:t>防员职业防护意识和能力。</w:t>
      </w:r>
      <w:r>
        <w:t xml:space="preserve"> </w:t>
      </w:r>
    </w:p>
    <w:p w14:paraId="355E2009" w14:textId="77777777" w:rsidR="00A71EEF" w:rsidRDefault="0081115D">
      <w:pPr>
        <w:spacing w:line="267" w:lineRule="exact"/>
        <w:ind w:left="840"/>
        <w:rPr>
          <w:sz w:val="21"/>
        </w:rPr>
      </w:pPr>
      <w:r>
        <w:rPr>
          <w:b/>
          <w:sz w:val="21"/>
        </w:rPr>
        <w:t xml:space="preserve">C.2 </w:t>
      </w:r>
      <w:r>
        <w:rPr>
          <w:sz w:val="21"/>
        </w:rPr>
        <w:t>传染病的预防控制</w:t>
      </w:r>
      <w:r>
        <w:rPr>
          <w:sz w:val="21"/>
        </w:rPr>
        <w:t xml:space="preserve"> </w:t>
      </w:r>
    </w:p>
    <w:p w14:paraId="76FFD32E" w14:textId="77777777" w:rsidR="00A71EEF" w:rsidRDefault="00A71EEF">
      <w:pPr>
        <w:pStyle w:val="a3"/>
        <w:spacing w:before="2"/>
        <w:rPr>
          <w:sz w:val="18"/>
        </w:rPr>
      </w:pPr>
    </w:p>
    <w:p w14:paraId="4F558AB7" w14:textId="77777777" w:rsidR="00A71EEF" w:rsidRDefault="0081115D">
      <w:pPr>
        <w:pStyle w:val="a3"/>
        <w:spacing w:line="446" w:lineRule="auto"/>
        <w:ind w:left="418" w:right="1608" w:firstLine="419"/>
        <w:jc w:val="both"/>
      </w:pPr>
      <w:r>
        <w:t>消防组织应建立传染病预防和控制制度，积极开展传染病的预警和监测工作，识别本组织内消防员工作和生活中可能接触的传染源，从控制传染源、切断传播途径、保护易感人群三方面做好传染病的预防控制工作。</w:t>
      </w:r>
      <w:r>
        <w:t xml:space="preserve"> </w:t>
      </w:r>
    </w:p>
    <w:p w14:paraId="1FB763D3" w14:textId="77777777" w:rsidR="00A71EEF" w:rsidRDefault="0081115D">
      <w:pPr>
        <w:pStyle w:val="a4"/>
        <w:numPr>
          <w:ilvl w:val="0"/>
          <w:numId w:val="924"/>
        </w:numPr>
        <w:tabs>
          <w:tab w:val="left" w:pos="1051"/>
        </w:tabs>
        <w:spacing w:line="446" w:lineRule="auto"/>
        <w:ind w:right="2765" w:firstLine="0"/>
        <w:jc w:val="both"/>
        <w:rPr>
          <w:sz w:val="21"/>
        </w:rPr>
      </w:pPr>
      <w:r>
        <w:rPr>
          <w:spacing w:val="-2"/>
          <w:sz w:val="21"/>
        </w:rPr>
        <w:t>消防组织应定期对消防员进行传染病预防知识培训和教育。主要包括：</w:t>
      </w:r>
      <w:r>
        <w:rPr>
          <w:spacing w:val="-2"/>
          <w:sz w:val="21"/>
        </w:rPr>
        <w:t xml:space="preserve"> </w:t>
      </w:r>
      <w:r>
        <w:rPr>
          <w:sz w:val="21"/>
        </w:rPr>
        <w:t xml:space="preserve">1) </w:t>
      </w:r>
      <w:r>
        <w:rPr>
          <w:spacing w:val="-3"/>
          <w:sz w:val="21"/>
        </w:rPr>
        <w:t>个人防护装备的使用；</w:t>
      </w:r>
      <w:r>
        <w:rPr>
          <w:spacing w:val="-3"/>
          <w:sz w:val="21"/>
        </w:rPr>
        <w:t xml:space="preserve"> </w:t>
      </w:r>
    </w:p>
    <w:p w14:paraId="597D6B38" w14:textId="77777777" w:rsidR="00A71EEF" w:rsidRDefault="0081115D">
      <w:pPr>
        <w:pStyle w:val="a4"/>
        <w:numPr>
          <w:ilvl w:val="0"/>
          <w:numId w:val="923"/>
        </w:numPr>
        <w:tabs>
          <w:tab w:val="left" w:pos="1051"/>
        </w:tabs>
        <w:spacing w:line="267" w:lineRule="exact"/>
        <w:jc w:val="both"/>
        <w:rPr>
          <w:sz w:val="21"/>
        </w:rPr>
      </w:pPr>
      <w:r>
        <w:rPr>
          <w:spacing w:val="-3"/>
          <w:sz w:val="21"/>
        </w:rPr>
        <w:t>传染病控制安全操作程序；</w:t>
      </w:r>
      <w:r>
        <w:rPr>
          <w:sz w:val="21"/>
        </w:rPr>
        <w:t xml:space="preserve"> </w:t>
      </w:r>
    </w:p>
    <w:p w14:paraId="3B872DD1" w14:textId="77777777" w:rsidR="00A71EEF" w:rsidRDefault="00A71EEF">
      <w:pPr>
        <w:pStyle w:val="a3"/>
        <w:rPr>
          <w:sz w:val="18"/>
        </w:rPr>
      </w:pPr>
    </w:p>
    <w:p w14:paraId="4BF58909" w14:textId="77777777" w:rsidR="00A71EEF" w:rsidRDefault="0081115D">
      <w:pPr>
        <w:pStyle w:val="a4"/>
        <w:numPr>
          <w:ilvl w:val="0"/>
          <w:numId w:val="923"/>
        </w:numPr>
        <w:tabs>
          <w:tab w:val="left" w:pos="1051"/>
        </w:tabs>
        <w:spacing w:before="1"/>
        <w:rPr>
          <w:sz w:val="21"/>
        </w:rPr>
      </w:pPr>
      <w:r>
        <w:rPr>
          <w:spacing w:val="-3"/>
          <w:sz w:val="21"/>
        </w:rPr>
        <w:t>污染物和医疗废弃物的处置办法；</w:t>
      </w:r>
      <w:r>
        <w:rPr>
          <w:sz w:val="21"/>
        </w:rPr>
        <w:t xml:space="preserve"> </w:t>
      </w:r>
    </w:p>
    <w:p w14:paraId="2596FD81" w14:textId="77777777" w:rsidR="00A71EEF" w:rsidRDefault="00A71EEF">
      <w:pPr>
        <w:pStyle w:val="a3"/>
        <w:spacing w:before="12"/>
        <w:rPr>
          <w:sz w:val="17"/>
        </w:rPr>
      </w:pPr>
    </w:p>
    <w:p w14:paraId="2C881289" w14:textId="77777777" w:rsidR="00A71EEF" w:rsidRDefault="0081115D">
      <w:pPr>
        <w:pStyle w:val="a4"/>
        <w:numPr>
          <w:ilvl w:val="0"/>
          <w:numId w:val="923"/>
        </w:numPr>
        <w:tabs>
          <w:tab w:val="left" w:pos="1051"/>
        </w:tabs>
        <w:rPr>
          <w:sz w:val="21"/>
        </w:rPr>
      </w:pPr>
      <w:r>
        <w:rPr>
          <w:spacing w:val="-3"/>
          <w:sz w:val="21"/>
        </w:rPr>
        <w:t>清洁和去污程序；</w:t>
      </w:r>
      <w:r>
        <w:rPr>
          <w:sz w:val="21"/>
        </w:rPr>
        <w:t xml:space="preserve"> </w:t>
      </w:r>
    </w:p>
    <w:p w14:paraId="7B3BCEFC" w14:textId="77777777" w:rsidR="00A71EEF" w:rsidRDefault="00A71EEF">
      <w:pPr>
        <w:pStyle w:val="a3"/>
        <w:rPr>
          <w:sz w:val="18"/>
        </w:rPr>
      </w:pPr>
    </w:p>
    <w:p w14:paraId="408082BF" w14:textId="77777777" w:rsidR="00A71EEF" w:rsidRDefault="0081115D">
      <w:pPr>
        <w:pStyle w:val="a4"/>
        <w:numPr>
          <w:ilvl w:val="0"/>
          <w:numId w:val="923"/>
        </w:numPr>
        <w:tabs>
          <w:tab w:val="left" w:pos="1051"/>
        </w:tabs>
        <w:rPr>
          <w:sz w:val="21"/>
        </w:rPr>
      </w:pPr>
      <w:r>
        <w:rPr>
          <w:spacing w:val="-3"/>
          <w:sz w:val="21"/>
        </w:rPr>
        <w:t>暴露管理；</w:t>
      </w:r>
      <w:r>
        <w:rPr>
          <w:sz w:val="21"/>
        </w:rPr>
        <w:t xml:space="preserve"> </w:t>
      </w:r>
    </w:p>
    <w:p w14:paraId="1D24B421" w14:textId="77777777" w:rsidR="00A71EEF" w:rsidRDefault="00A71EEF">
      <w:pPr>
        <w:pStyle w:val="a3"/>
        <w:spacing w:before="2"/>
        <w:rPr>
          <w:sz w:val="18"/>
        </w:rPr>
      </w:pPr>
    </w:p>
    <w:p w14:paraId="241F0831" w14:textId="77777777" w:rsidR="00A71EEF" w:rsidRDefault="0081115D">
      <w:pPr>
        <w:pStyle w:val="a4"/>
        <w:numPr>
          <w:ilvl w:val="0"/>
          <w:numId w:val="923"/>
        </w:numPr>
        <w:tabs>
          <w:tab w:val="left" w:pos="1051"/>
        </w:tabs>
        <w:rPr>
          <w:sz w:val="21"/>
        </w:rPr>
      </w:pPr>
      <w:r>
        <w:rPr>
          <w:spacing w:val="-3"/>
          <w:sz w:val="21"/>
        </w:rPr>
        <w:t>主要传染病防治知识。</w:t>
      </w:r>
      <w:r>
        <w:rPr>
          <w:spacing w:val="-3"/>
          <w:sz w:val="21"/>
        </w:rPr>
        <w:t xml:space="preserve"> </w:t>
      </w:r>
    </w:p>
    <w:p w14:paraId="558A0E1A" w14:textId="77777777" w:rsidR="00A71EEF" w:rsidRDefault="00A71EEF">
      <w:pPr>
        <w:pStyle w:val="a3"/>
        <w:spacing w:before="12"/>
        <w:rPr>
          <w:sz w:val="17"/>
        </w:rPr>
      </w:pPr>
    </w:p>
    <w:p w14:paraId="2C4BCE2B" w14:textId="77777777" w:rsidR="00A71EEF" w:rsidRDefault="0081115D">
      <w:pPr>
        <w:pStyle w:val="a4"/>
        <w:numPr>
          <w:ilvl w:val="0"/>
          <w:numId w:val="924"/>
        </w:numPr>
        <w:tabs>
          <w:tab w:val="left" w:pos="1051"/>
        </w:tabs>
        <w:spacing w:line="446" w:lineRule="auto"/>
        <w:ind w:right="3606" w:firstLine="0"/>
        <w:rPr>
          <w:sz w:val="21"/>
        </w:rPr>
      </w:pPr>
      <w:r>
        <w:rPr>
          <w:spacing w:val="-2"/>
          <w:sz w:val="21"/>
        </w:rPr>
        <w:t>消防组织应对下列物品和场所定期或不定期进行清洁、消毒：</w:t>
      </w:r>
      <w:r>
        <w:rPr>
          <w:spacing w:val="-2"/>
          <w:sz w:val="21"/>
        </w:rPr>
        <w:t xml:space="preserve"> </w:t>
      </w:r>
      <w:r>
        <w:rPr>
          <w:sz w:val="21"/>
        </w:rPr>
        <w:t xml:space="preserve">1) </w:t>
      </w:r>
      <w:r>
        <w:rPr>
          <w:spacing w:val="-3"/>
          <w:sz w:val="21"/>
        </w:rPr>
        <w:t>个人防护装备；</w:t>
      </w:r>
      <w:r>
        <w:rPr>
          <w:sz w:val="21"/>
        </w:rPr>
        <w:t xml:space="preserve"> </w:t>
      </w:r>
    </w:p>
    <w:p w14:paraId="73310F79" w14:textId="77777777" w:rsidR="00A71EEF" w:rsidRDefault="0081115D">
      <w:pPr>
        <w:pStyle w:val="a4"/>
        <w:numPr>
          <w:ilvl w:val="0"/>
          <w:numId w:val="922"/>
        </w:numPr>
        <w:tabs>
          <w:tab w:val="left" w:pos="1051"/>
        </w:tabs>
        <w:rPr>
          <w:sz w:val="21"/>
        </w:rPr>
      </w:pPr>
      <w:r>
        <w:rPr>
          <w:spacing w:val="-3"/>
          <w:sz w:val="21"/>
        </w:rPr>
        <w:t>消防装备；</w:t>
      </w:r>
      <w:r>
        <w:rPr>
          <w:sz w:val="21"/>
        </w:rPr>
        <w:t xml:space="preserve"> </w:t>
      </w:r>
    </w:p>
    <w:p w14:paraId="3C2B9C94" w14:textId="77777777" w:rsidR="00A71EEF" w:rsidRDefault="00A71EEF">
      <w:pPr>
        <w:pStyle w:val="a3"/>
        <w:rPr>
          <w:sz w:val="18"/>
        </w:rPr>
      </w:pPr>
    </w:p>
    <w:p w14:paraId="7022AAE9" w14:textId="77777777" w:rsidR="00A71EEF" w:rsidRDefault="0081115D">
      <w:pPr>
        <w:pStyle w:val="a4"/>
        <w:numPr>
          <w:ilvl w:val="0"/>
          <w:numId w:val="922"/>
        </w:numPr>
        <w:tabs>
          <w:tab w:val="left" w:pos="1051"/>
        </w:tabs>
        <w:rPr>
          <w:sz w:val="21"/>
        </w:rPr>
      </w:pPr>
      <w:r>
        <w:rPr>
          <w:spacing w:val="-3"/>
          <w:sz w:val="21"/>
        </w:rPr>
        <w:t>工作制服；</w:t>
      </w:r>
      <w:r>
        <w:rPr>
          <w:sz w:val="21"/>
        </w:rPr>
        <w:t xml:space="preserve"> </w:t>
      </w:r>
    </w:p>
    <w:p w14:paraId="7D03A1FB" w14:textId="77777777" w:rsidR="00A71EEF" w:rsidRDefault="00A71EEF">
      <w:pPr>
        <w:pStyle w:val="a3"/>
        <w:spacing w:before="12"/>
        <w:rPr>
          <w:sz w:val="17"/>
        </w:rPr>
      </w:pPr>
    </w:p>
    <w:p w14:paraId="0F6A0569" w14:textId="77777777" w:rsidR="00A71EEF" w:rsidRDefault="0081115D">
      <w:pPr>
        <w:pStyle w:val="a4"/>
        <w:numPr>
          <w:ilvl w:val="0"/>
          <w:numId w:val="922"/>
        </w:numPr>
        <w:tabs>
          <w:tab w:val="left" w:pos="1051"/>
        </w:tabs>
        <w:rPr>
          <w:sz w:val="21"/>
        </w:rPr>
      </w:pPr>
      <w:r>
        <w:rPr>
          <w:spacing w:val="-3"/>
          <w:sz w:val="21"/>
        </w:rPr>
        <w:t>作为个人防护装备使用的其他衣物；</w:t>
      </w:r>
      <w:r>
        <w:rPr>
          <w:sz w:val="21"/>
        </w:rPr>
        <w:t xml:space="preserve"> </w:t>
      </w:r>
    </w:p>
    <w:p w14:paraId="715E3DEC" w14:textId="77777777" w:rsidR="00A71EEF" w:rsidRDefault="00A71EEF">
      <w:pPr>
        <w:pStyle w:val="a3"/>
        <w:spacing w:before="2"/>
        <w:rPr>
          <w:sz w:val="18"/>
        </w:rPr>
      </w:pPr>
    </w:p>
    <w:p w14:paraId="477A6A17" w14:textId="77777777" w:rsidR="00A71EEF" w:rsidRDefault="0081115D">
      <w:pPr>
        <w:pStyle w:val="a4"/>
        <w:numPr>
          <w:ilvl w:val="0"/>
          <w:numId w:val="922"/>
        </w:numPr>
        <w:tabs>
          <w:tab w:val="left" w:pos="1051"/>
        </w:tabs>
        <w:rPr>
          <w:sz w:val="21"/>
        </w:rPr>
      </w:pPr>
      <w:r>
        <w:rPr>
          <w:spacing w:val="-3"/>
          <w:sz w:val="21"/>
        </w:rPr>
        <w:t>紧急医疗设备；</w:t>
      </w:r>
      <w:r>
        <w:rPr>
          <w:sz w:val="21"/>
        </w:rPr>
        <w:t xml:space="preserve"> </w:t>
      </w:r>
    </w:p>
    <w:p w14:paraId="3E44C8CD" w14:textId="77777777" w:rsidR="00A71EEF" w:rsidRDefault="00A71EEF">
      <w:pPr>
        <w:pStyle w:val="a3"/>
        <w:rPr>
          <w:sz w:val="18"/>
        </w:rPr>
      </w:pPr>
    </w:p>
    <w:p w14:paraId="6FD82F25" w14:textId="77777777" w:rsidR="00A71EEF" w:rsidRDefault="0081115D">
      <w:pPr>
        <w:pStyle w:val="a4"/>
        <w:numPr>
          <w:ilvl w:val="0"/>
          <w:numId w:val="922"/>
        </w:numPr>
        <w:tabs>
          <w:tab w:val="left" w:pos="1051"/>
        </w:tabs>
        <w:rPr>
          <w:sz w:val="21"/>
        </w:rPr>
      </w:pPr>
      <w:r>
        <w:rPr>
          <w:spacing w:val="-3"/>
          <w:sz w:val="21"/>
        </w:rPr>
        <w:lastRenderedPageBreak/>
        <w:t>厕所、盥洗室、卫生室、餐厅、浴室、备勤室、车库等场所。</w:t>
      </w:r>
      <w:r>
        <w:rPr>
          <w:sz w:val="21"/>
        </w:rPr>
        <w:t xml:space="preserve"> </w:t>
      </w:r>
    </w:p>
    <w:p w14:paraId="53959401" w14:textId="77777777" w:rsidR="00A71EEF" w:rsidRDefault="00A71EEF">
      <w:pPr>
        <w:rPr>
          <w:sz w:val="21"/>
        </w:rPr>
        <w:sectPr w:rsidR="00A71EEF">
          <w:pgSz w:w="11910" w:h="16850"/>
          <w:pgMar w:top="1180" w:right="0" w:bottom="1420" w:left="1260" w:header="0" w:footer="1239" w:gutter="0"/>
          <w:cols w:space="720"/>
        </w:sectPr>
      </w:pPr>
    </w:p>
    <w:p w14:paraId="2C5BC40E" w14:textId="77777777" w:rsidR="00A71EEF" w:rsidRDefault="0081115D">
      <w:pPr>
        <w:pStyle w:val="a4"/>
        <w:numPr>
          <w:ilvl w:val="0"/>
          <w:numId w:val="924"/>
        </w:numPr>
        <w:tabs>
          <w:tab w:val="left" w:pos="1051"/>
        </w:tabs>
        <w:spacing w:before="47" w:line="446" w:lineRule="auto"/>
        <w:ind w:right="5497" w:firstLine="0"/>
        <w:rPr>
          <w:sz w:val="21"/>
        </w:rPr>
      </w:pPr>
      <w:r>
        <w:rPr>
          <w:spacing w:val="-2"/>
          <w:sz w:val="21"/>
        </w:rPr>
        <w:lastRenderedPageBreak/>
        <w:t>应定期对消防员进行传染病筛查和免疫：</w:t>
      </w:r>
      <w:r>
        <w:rPr>
          <w:spacing w:val="-2"/>
          <w:sz w:val="21"/>
        </w:rPr>
        <w:t xml:space="preserve"> </w:t>
      </w:r>
      <w:r>
        <w:rPr>
          <w:sz w:val="21"/>
        </w:rPr>
        <w:t xml:space="preserve">1) </w:t>
      </w:r>
      <w:r>
        <w:rPr>
          <w:spacing w:val="-3"/>
          <w:sz w:val="21"/>
        </w:rPr>
        <w:t>结核病筛检</w:t>
      </w:r>
      <w:r>
        <w:rPr>
          <w:sz w:val="21"/>
        </w:rPr>
        <w:t>（</w:t>
      </w:r>
      <w:r>
        <w:rPr>
          <w:spacing w:val="-3"/>
          <w:sz w:val="21"/>
        </w:rPr>
        <w:t>每年一次或多次</w:t>
      </w:r>
      <w:r>
        <w:rPr>
          <w:spacing w:val="-3"/>
          <w:sz w:val="21"/>
        </w:rPr>
        <w:t>)</w:t>
      </w:r>
      <w:r>
        <w:rPr>
          <w:spacing w:val="-3"/>
          <w:sz w:val="21"/>
        </w:rPr>
        <w:t>；</w:t>
      </w:r>
      <w:r>
        <w:rPr>
          <w:sz w:val="21"/>
        </w:rPr>
        <w:t xml:space="preserve"> </w:t>
      </w:r>
    </w:p>
    <w:p w14:paraId="577D10D2" w14:textId="77777777" w:rsidR="00A71EEF" w:rsidRDefault="0081115D">
      <w:pPr>
        <w:pStyle w:val="a4"/>
        <w:numPr>
          <w:ilvl w:val="0"/>
          <w:numId w:val="921"/>
        </w:numPr>
        <w:tabs>
          <w:tab w:val="left" w:pos="1051"/>
        </w:tabs>
        <w:spacing w:line="267" w:lineRule="exact"/>
        <w:rPr>
          <w:sz w:val="21"/>
        </w:rPr>
      </w:pPr>
      <w:r>
        <w:rPr>
          <w:spacing w:val="-3"/>
          <w:sz w:val="21"/>
        </w:rPr>
        <w:t>丙型肝炎病毒筛检（基线和职业性暴露后</w:t>
      </w:r>
      <w:r>
        <w:rPr>
          <w:sz w:val="21"/>
        </w:rPr>
        <w:t>）；</w:t>
      </w:r>
      <w:r>
        <w:rPr>
          <w:sz w:val="21"/>
        </w:rPr>
        <w:t xml:space="preserve"> </w:t>
      </w:r>
    </w:p>
    <w:p w14:paraId="73FB29EB" w14:textId="77777777" w:rsidR="00A71EEF" w:rsidRDefault="00A71EEF">
      <w:pPr>
        <w:pStyle w:val="a3"/>
        <w:spacing w:before="2"/>
        <w:rPr>
          <w:sz w:val="18"/>
        </w:rPr>
      </w:pPr>
    </w:p>
    <w:p w14:paraId="05841037" w14:textId="77777777" w:rsidR="00A71EEF" w:rsidRDefault="0081115D">
      <w:pPr>
        <w:pStyle w:val="a4"/>
        <w:numPr>
          <w:ilvl w:val="0"/>
          <w:numId w:val="921"/>
        </w:numPr>
        <w:tabs>
          <w:tab w:val="left" w:pos="1051"/>
        </w:tabs>
        <w:rPr>
          <w:sz w:val="21"/>
        </w:rPr>
      </w:pPr>
      <w:r>
        <w:rPr>
          <w:spacing w:val="-3"/>
          <w:sz w:val="21"/>
        </w:rPr>
        <w:t>乙型肝炎病毒筛检，并提供乙肝疫苗；</w:t>
      </w:r>
      <w:r>
        <w:rPr>
          <w:sz w:val="21"/>
        </w:rPr>
        <w:t xml:space="preserve"> </w:t>
      </w:r>
    </w:p>
    <w:p w14:paraId="366EBA90" w14:textId="77777777" w:rsidR="00A71EEF" w:rsidRDefault="00A71EEF">
      <w:pPr>
        <w:pStyle w:val="a3"/>
        <w:rPr>
          <w:sz w:val="18"/>
        </w:rPr>
      </w:pPr>
    </w:p>
    <w:p w14:paraId="50F80313" w14:textId="77777777" w:rsidR="00A71EEF" w:rsidRDefault="0081115D">
      <w:pPr>
        <w:pStyle w:val="a4"/>
        <w:numPr>
          <w:ilvl w:val="0"/>
          <w:numId w:val="921"/>
        </w:numPr>
        <w:tabs>
          <w:tab w:val="left" w:pos="1051"/>
        </w:tabs>
        <w:rPr>
          <w:sz w:val="21"/>
        </w:rPr>
      </w:pPr>
      <w:r>
        <w:rPr>
          <w:spacing w:val="-3"/>
          <w:sz w:val="21"/>
        </w:rPr>
        <w:t>破伤风</w:t>
      </w:r>
      <w:r>
        <w:rPr>
          <w:sz w:val="21"/>
        </w:rPr>
        <w:t>/</w:t>
      </w:r>
      <w:r>
        <w:rPr>
          <w:spacing w:val="-3"/>
          <w:sz w:val="21"/>
        </w:rPr>
        <w:t>白喉疫苗（</w:t>
      </w:r>
      <w:r>
        <w:rPr>
          <w:spacing w:val="-26"/>
          <w:sz w:val="21"/>
        </w:rPr>
        <w:t>每</w:t>
      </w:r>
      <w:r>
        <w:rPr>
          <w:spacing w:val="-26"/>
          <w:sz w:val="21"/>
        </w:rPr>
        <w:t xml:space="preserve"> </w:t>
      </w:r>
      <w:r>
        <w:rPr>
          <w:sz w:val="21"/>
        </w:rPr>
        <w:t>10</w:t>
      </w:r>
      <w:r>
        <w:rPr>
          <w:spacing w:val="-9"/>
          <w:sz w:val="21"/>
        </w:rPr>
        <w:t xml:space="preserve"> </w:t>
      </w:r>
      <w:r>
        <w:rPr>
          <w:spacing w:val="-9"/>
          <w:sz w:val="21"/>
        </w:rPr>
        <w:t>年加强一针</w:t>
      </w:r>
      <w:r>
        <w:rPr>
          <w:spacing w:val="-9"/>
          <w:sz w:val="21"/>
        </w:rPr>
        <w:t>)</w:t>
      </w:r>
      <w:r>
        <w:rPr>
          <w:spacing w:val="-9"/>
          <w:sz w:val="21"/>
        </w:rPr>
        <w:t>；</w:t>
      </w:r>
      <w:r>
        <w:rPr>
          <w:spacing w:val="-9"/>
          <w:sz w:val="21"/>
        </w:rPr>
        <w:t xml:space="preserve"> </w:t>
      </w:r>
    </w:p>
    <w:p w14:paraId="559AC4CC" w14:textId="77777777" w:rsidR="00A71EEF" w:rsidRDefault="00A71EEF">
      <w:pPr>
        <w:pStyle w:val="a3"/>
        <w:spacing w:before="12"/>
        <w:rPr>
          <w:sz w:val="17"/>
        </w:rPr>
      </w:pPr>
    </w:p>
    <w:p w14:paraId="2D7C983B" w14:textId="77777777" w:rsidR="00A71EEF" w:rsidRDefault="0081115D">
      <w:pPr>
        <w:pStyle w:val="a4"/>
        <w:numPr>
          <w:ilvl w:val="0"/>
          <w:numId w:val="921"/>
        </w:numPr>
        <w:tabs>
          <w:tab w:val="left" w:pos="1051"/>
        </w:tabs>
        <w:rPr>
          <w:sz w:val="21"/>
        </w:rPr>
      </w:pPr>
      <w:r>
        <w:rPr>
          <w:spacing w:val="-3"/>
          <w:sz w:val="21"/>
        </w:rPr>
        <w:t>麻疹、腮腺炎、风疹疫苗；</w:t>
      </w:r>
      <w:r>
        <w:rPr>
          <w:sz w:val="21"/>
        </w:rPr>
        <w:t xml:space="preserve"> </w:t>
      </w:r>
    </w:p>
    <w:p w14:paraId="1FE8EC46" w14:textId="77777777" w:rsidR="00A71EEF" w:rsidRDefault="00A71EEF">
      <w:pPr>
        <w:pStyle w:val="a3"/>
        <w:spacing w:before="2"/>
        <w:rPr>
          <w:sz w:val="18"/>
        </w:rPr>
      </w:pPr>
    </w:p>
    <w:p w14:paraId="45BCEEEE" w14:textId="77777777" w:rsidR="00A71EEF" w:rsidRDefault="0081115D">
      <w:pPr>
        <w:pStyle w:val="a4"/>
        <w:numPr>
          <w:ilvl w:val="0"/>
          <w:numId w:val="921"/>
        </w:numPr>
        <w:tabs>
          <w:tab w:val="left" w:pos="1051"/>
        </w:tabs>
        <w:rPr>
          <w:sz w:val="21"/>
        </w:rPr>
      </w:pPr>
      <w:r>
        <w:rPr>
          <w:spacing w:val="-3"/>
          <w:sz w:val="21"/>
        </w:rPr>
        <w:t>甲型肝炎疫苗：疫苗应提供给高危人群；</w:t>
      </w:r>
      <w:r>
        <w:rPr>
          <w:sz w:val="21"/>
        </w:rPr>
        <w:t xml:space="preserve"> </w:t>
      </w:r>
    </w:p>
    <w:p w14:paraId="7C26EE75" w14:textId="77777777" w:rsidR="00A71EEF" w:rsidRDefault="00A71EEF">
      <w:pPr>
        <w:pStyle w:val="a3"/>
        <w:rPr>
          <w:sz w:val="18"/>
        </w:rPr>
      </w:pPr>
    </w:p>
    <w:p w14:paraId="7C970213" w14:textId="77777777" w:rsidR="00A71EEF" w:rsidRDefault="0081115D">
      <w:pPr>
        <w:pStyle w:val="a4"/>
        <w:numPr>
          <w:ilvl w:val="0"/>
          <w:numId w:val="921"/>
        </w:numPr>
        <w:tabs>
          <w:tab w:val="left" w:pos="1051"/>
        </w:tabs>
        <w:rPr>
          <w:sz w:val="21"/>
        </w:rPr>
      </w:pPr>
      <w:r>
        <w:rPr>
          <w:spacing w:val="-3"/>
          <w:sz w:val="21"/>
        </w:rPr>
        <w:t>水痘疫苗：该疫苗应提供给所有未免疫的消防员；</w:t>
      </w:r>
      <w:r>
        <w:rPr>
          <w:sz w:val="21"/>
        </w:rPr>
        <w:t xml:space="preserve"> </w:t>
      </w:r>
    </w:p>
    <w:p w14:paraId="4837919B" w14:textId="77777777" w:rsidR="00A71EEF" w:rsidRDefault="00A71EEF">
      <w:pPr>
        <w:pStyle w:val="a3"/>
        <w:spacing w:before="12"/>
        <w:rPr>
          <w:sz w:val="17"/>
        </w:rPr>
      </w:pPr>
    </w:p>
    <w:p w14:paraId="16D9C725" w14:textId="77777777" w:rsidR="00A71EEF" w:rsidRDefault="0081115D">
      <w:pPr>
        <w:pStyle w:val="a4"/>
        <w:numPr>
          <w:ilvl w:val="0"/>
          <w:numId w:val="921"/>
        </w:numPr>
        <w:tabs>
          <w:tab w:val="left" w:pos="1051"/>
        </w:tabs>
        <w:spacing w:line="446" w:lineRule="auto"/>
        <w:ind w:left="840" w:right="2134" w:hanging="3"/>
        <w:rPr>
          <w:b/>
          <w:sz w:val="21"/>
        </w:rPr>
      </w:pPr>
      <w:r>
        <w:rPr>
          <w:spacing w:val="-5"/>
          <w:sz w:val="21"/>
        </w:rPr>
        <w:t>艾滋病病毒筛检：应为所有消防员提供</w:t>
      </w:r>
      <w:r>
        <w:rPr>
          <w:spacing w:val="-5"/>
          <w:sz w:val="21"/>
        </w:rPr>
        <w:t xml:space="preserve"> </w:t>
      </w:r>
      <w:r>
        <w:rPr>
          <w:sz w:val="21"/>
        </w:rPr>
        <w:t>HIV</w:t>
      </w:r>
      <w:r>
        <w:rPr>
          <w:spacing w:val="-6"/>
          <w:sz w:val="21"/>
        </w:rPr>
        <w:t xml:space="preserve"> </w:t>
      </w:r>
      <w:r>
        <w:rPr>
          <w:spacing w:val="-6"/>
          <w:sz w:val="21"/>
        </w:rPr>
        <w:t>检测，但应建立在保密的基础上。</w:t>
      </w:r>
      <w:r>
        <w:rPr>
          <w:b/>
          <w:sz w:val="21"/>
        </w:rPr>
        <w:t xml:space="preserve">C.3 </w:t>
      </w:r>
      <w:r>
        <w:rPr>
          <w:spacing w:val="-3"/>
          <w:sz w:val="21"/>
        </w:rPr>
        <w:t>慢性非传染性疾病的预防控制</w:t>
      </w:r>
      <w:r>
        <w:rPr>
          <w:b/>
          <w:w w:val="99"/>
          <w:sz w:val="21"/>
        </w:rPr>
        <w:t xml:space="preserve"> </w:t>
      </w:r>
    </w:p>
    <w:p w14:paraId="3BB99622" w14:textId="77777777" w:rsidR="00A71EEF" w:rsidRDefault="0081115D">
      <w:pPr>
        <w:pStyle w:val="a3"/>
        <w:spacing w:line="446" w:lineRule="auto"/>
        <w:ind w:left="418" w:right="1609" w:firstLine="419"/>
      </w:pPr>
      <w:r>
        <w:t>消防组织应对消防员开展健康教育，如戒烟、限酒、合理营养，促进消防员健康行为的形成，预防和控制慢性非传染病的发生。</w:t>
      </w:r>
      <w:r>
        <w:t xml:space="preserve"> </w:t>
      </w:r>
    </w:p>
    <w:p w14:paraId="59C158F6" w14:textId="77777777" w:rsidR="00A71EEF" w:rsidRDefault="0081115D">
      <w:pPr>
        <w:ind w:left="840"/>
        <w:rPr>
          <w:sz w:val="21"/>
        </w:rPr>
      </w:pPr>
      <w:r>
        <w:rPr>
          <w:b/>
          <w:sz w:val="21"/>
        </w:rPr>
        <w:t xml:space="preserve">C.4 </w:t>
      </w:r>
      <w:r>
        <w:rPr>
          <w:sz w:val="21"/>
        </w:rPr>
        <w:t>心理与精神疾病的预防控制</w:t>
      </w:r>
      <w:r>
        <w:rPr>
          <w:sz w:val="21"/>
        </w:rPr>
        <w:t xml:space="preserve"> </w:t>
      </w:r>
    </w:p>
    <w:p w14:paraId="697EC190" w14:textId="77777777" w:rsidR="00A71EEF" w:rsidRDefault="0081115D">
      <w:pPr>
        <w:pStyle w:val="a3"/>
        <w:spacing w:before="164" w:line="350" w:lineRule="auto"/>
        <w:ind w:left="418" w:right="1505" w:firstLine="419"/>
      </w:pPr>
      <w:r>
        <w:rPr>
          <w:spacing w:val="-5"/>
        </w:rPr>
        <w:t>省级消防组织应设立心理咨询服务机构，配备</w:t>
      </w:r>
      <w:r>
        <w:rPr>
          <w:spacing w:val="-5"/>
        </w:rPr>
        <w:t xml:space="preserve"> </w:t>
      </w:r>
      <w:r>
        <w:t>1</w:t>
      </w:r>
      <w:r>
        <w:rPr>
          <w:rFonts w:ascii="微软雅黑" w:eastAsia="微软雅黑" w:hint="eastAsia"/>
          <w:spacing w:val="-3"/>
        </w:rPr>
        <w:t>〜</w:t>
      </w:r>
      <w:r>
        <w:t>2</w:t>
      </w:r>
      <w:r>
        <w:rPr>
          <w:spacing w:val="-7"/>
        </w:rPr>
        <w:t xml:space="preserve"> </w:t>
      </w:r>
      <w:r>
        <w:rPr>
          <w:spacing w:val="-7"/>
        </w:rPr>
        <w:t>名二级以上专</w:t>
      </w:r>
      <w:r>
        <w:rPr>
          <w:spacing w:val="-3"/>
        </w:rPr>
        <w:t>（</w:t>
      </w:r>
      <w:r>
        <w:t>兼</w:t>
      </w:r>
      <w:r>
        <w:rPr>
          <w:spacing w:val="-3"/>
        </w:rPr>
        <w:t>）职心理咨询师，每年对消防员进行心理测评、心理训练，并接受消防员心理咨询。对已有心理问题的消防员应进</w:t>
      </w:r>
    </w:p>
    <w:p w14:paraId="3ED4963E" w14:textId="77777777" w:rsidR="00A71EEF" w:rsidRDefault="0081115D">
      <w:pPr>
        <w:pStyle w:val="a3"/>
        <w:spacing w:before="110" w:line="446" w:lineRule="auto"/>
        <w:ind w:left="418" w:right="1608"/>
      </w:pPr>
      <w:r>
        <w:t>行心理疏导和诊治。基层消防组织应定期对消防员进行心理健康知识普及，并提供心理咨询和治疗服务。</w:t>
      </w:r>
      <w:r>
        <w:t xml:space="preserve"> </w:t>
      </w:r>
    </w:p>
    <w:p w14:paraId="7C9495B2" w14:textId="77777777" w:rsidR="00A71EEF" w:rsidRDefault="0081115D">
      <w:pPr>
        <w:spacing w:line="267" w:lineRule="exact"/>
        <w:ind w:left="840"/>
        <w:rPr>
          <w:sz w:val="21"/>
        </w:rPr>
      </w:pPr>
      <w:r>
        <w:rPr>
          <w:b/>
          <w:sz w:val="21"/>
        </w:rPr>
        <w:t xml:space="preserve">C.5 </w:t>
      </w:r>
      <w:r>
        <w:rPr>
          <w:sz w:val="21"/>
        </w:rPr>
        <w:t>休假及疗养</w:t>
      </w:r>
      <w:r>
        <w:rPr>
          <w:sz w:val="21"/>
        </w:rPr>
        <w:t xml:space="preserve"> </w:t>
      </w:r>
    </w:p>
    <w:p w14:paraId="6B3FD150" w14:textId="77777777" w:rsidR="00A71EEF" w:rsidRDefault="00A71EEF">
      <w:pPr>
        <w:pStyle w:val="a3"/>
        <w:spacing w:before="1"/>
        <w:rPr>
          <w:sz w:val="18"/>
        </w:rPr>
      </w:pPr>
    </w:p>
    <w:p w14:paraId="0A4DC973" w14:textId="77777777" w:rsidR="00A71EEF" w:rsidRDefault="0081115D">
      <w:pPr>
        <w:pStyle w:val="a4"/>
        <w:numPr>
          <w:ilvl w:val="0"/>
          <w:numId w:val="920"/>
        </w:numPr>
        <w:tabs>
          <w:tab w:val="left" w:pos="1051"/>
        </w:tabs>
        <w:spacing w:line="446" w:lineRule="auto"/>
        <w:ind w:right="1609" w:firstLine="419"/>
        <w:rPr>
          <w:sz w:val="21"/>
        </w:rPr>
      </w:pPr>
      <w:r>
        <w:rPr>
          <w:spacing w:val="-3"/>
          <w:sz w:val="21"/>
        </w:rPr>
        <w:t>消防组织应按国家有关规定安排消防员休假，上级消防组织应监督下级消防组织严格执行休假制度；</w:t>
      </w:r>
      <w:r>
        <w:rPr>
          <w:sz w:val="21"/>
        </w:rPr>
        <w:t xml:space="preserve"> </w:t>
      </w:r>
    </w:p>
    <w:p w14:paraId="6535FD18" w14:textId="77777777" w:rsidR="00A71EEF" w:rsidRDefault="0081115D">
      <w:pPr>
        <w:pStyle w:val="a4"/>
        <w:numPr>
          <w:ilvl w:val="0"/>
          <w:numId w:val="920"/>
        </w:numPr>
        <w:tabs>
          <w:tab w:val="left" w:pos="1051"/>
        </w:tabs>
        <w:spacing w:line="446" w:lineRule="auto"/>
        <w:ind w:right="1609" w:firstLine="419"/>
        <w:rPr>
          <w:sz w:val="21"/>
        </w:rPr>
      </w:pPr>
      <w:r>
        <w:rPr>
          <w:spacing w:val="-3"/>
          <w:sz w:val="21"/>
        </w:rPr>
        <w:t>对接触职业危害因素后导致身体受到严重损伤的消防员在医疗终结后，消防组织应给予</w:t>
      </w:r>
      <w:r>
        <w:rPr>
          <w:spacing w:val="-3"/>
          <w:sz w:val="21"/>
        </w:rPr>
        <w:t>20</w:t>
      </w:r>
      <w:r>
        <w:rPr>
          <w:spacing w:val="-10"/>
          <w:sz w:val="21"/>
        </w:rPr>
        <w:t xml:space="preserve"> </w:t>
      </w:r>
      <w:r>
        <w:rPr>
          <w:spacing w:val="-10"/>
          <w:sz w:val="21"/>
        </w:rPr>
        <w:t>天以上的疗养；</w:t>
      </w:r>
      <w:r>
        <w:rPr>
          <w:sz w:val="21"/>
        </w:rPr>
        <w:t xml:space="preserve"> </w:t>
      </w:r>
    </w:p>
    <w:p w14:paraId="633B6406" w14:textId="77777777" w:rsidR="00A71EEF" w:rsidRDefault="0081115D">
      <w:pPr>
        <w:pStyle w:val="a4"/>
        <w:numPr>
          <w:ilvl w:val="0"/>
          <w:numId w:val="920"/>
        </w:numPr>
        <w:tabs>
          <w:tab w:val="left" w:pos="1051"/>
        </w:tabs>
        <w:ind w:left="1050"/>
        <w:rPr>
          <w:sz w:val="21"/>
        </w:rPr>
      </w:pPr>
      <w:r>
        <w:rPr>
          <w:spacing w:val="-3"/>
          <w:sz w:val="21"/>
        </w:rPr>
        <w:t>消防组织应安排确诊患有心理性疾病的消防员接受治疗或疗养。</w:t>
      </w:r>
      <w:r>
        <w:rPr>
          <w:sz w:val="21"/>
        </w:rPr>
        <w:t xml:space="preserve"> </w:t>
      </w:r>
    </w:p>
    <w:p w14:paraId="78792001" w14:textId="77777777" w:rsidR="00A71EEF" w:rsidRDefault="00A71EEF">
      <w:pPr>
        <w:pStyle w:val="a3"/>
        <w:rPr>
          <w:sz w:val="20"/>
        </w:rPr>
      </w:pPr>
    </w:p>
    <w:p w14:paraId="59CDC0CB" w14:textId="77777777" w:rsidR="00A71EEF" w:rsidRDefault="00A71EEF">
      <w:pPr>
        <w:pStyle w:val="a3"/>
        <w:rPr>
          <w:sz w:val="20"/>
        </w:rPr>
      </w:pPr>
    </w:p>
    <w:p w14:paraId="456A2475" w14:textId="77777777" w:rsidR="00A71EEF" w:rsidRDefault="00A71EEF">
      <w:pPr>
        <w:pStyle w:val="a3"/>
        <w:rPr>
          <w:sz w:val="20"/>
        </w:rPr>
      </w:pPr>
    </w:p>
    <w:p w14:paraId="140567E3" w14:textId="77777777" w:rsidR="00A71EEF" w:rsidRDefault="00A71EEF">
      <w:pPr>
        <w:pStyle w:val="a3"/>
        <w:rPr>
          <w:sz w:val="20"/>
        </w:rPr>
      </w:pPr>
    </w:p>
    <w:p w14:paraId="2E6F189A" w14:textId="77777777" w:rsidR="00A71EEF" w:rsidRDefault="00A71EEF">
      <w:pPr>
        <w:pStyle w:val="a3"/>
        <w:rPr>
          <w:sz w:val="20"/>
        </w:rPr>
      </w:pPr>
    </w:p>
    <w:p w14:paraId="770F9B11" w14:textId="77777777" w:rsidR="00A71EEF" w:rsidRDefault="00A71EEF">
      <w:pPr>
        <w:pStyle w:val="a3"/>
        <w:rPr>
          <w:sz w:val="20"/>
        </w:rPr>
      </w:pPr>
    </w:p>
    <w:p w14:paraId="2CBCD430" w14:textId="77777777" w:rsidR="00A71EEF" w:rsidRDefault="00A71EEF">
      <w:pPr>
        <w:pStyle w:val="a3"/>
        <w:rPr>
          <w:sz w:val="20"/>
        </w:rPr>
      </w:pPr>
    </w:p>
    <w:p w14:paraId="6324F666" w14:textId="77777777" w:rsidR="00A71EEF" w:rsidRDefault="00A71EEF">
      <w:pPr>
        <w:pStyle w:val="a3"/>
        <w:spacing w:before="6"/>
        <w:rPr>
          <w:sz w:val="28"/>
        </w:rPr>
      </w:pPr>
    </w:p>
    <w:p w14:paraId="1C0D9367" w14:textId="77777777" w:rsidR="00A71EEF" w:rsidRDefault="0081115D">
      <w:pPr>
        <w:pStyle w:val="a3"/>
        <w:spacing w:before="72"/>
        <w:ind w:left="838"/>
      </w:pPr>
      <w:r>
        <w:t xml:space="preserve"> </w:t>
      </w:r>
    </w:p>
    <w:p w14:paraId="4FDCA2EB" w14:textId="77777777" w:rsidR="00A71EEF" w:rsidRDefault="00A71EEF">
      <w:pPr>
        <w:sectPr w:rsidR="00A71EEF">
          <w:pgSz w:w="11910" w:h="16850"/>
          <w:pgMar w:top="1220" w:right="0" w:bottom="1420" w:left="1260" w:header="0" w:footer="1239" w:gutter="0"/>
          <w:cols w:space="720"/>
        </w:sectPr>
      </w:pPr>
    </w:p>
    <w:p w14:paraId="5E62FCAB" w14:textId="77777777" w:rsidR="00A71EEF" w:rsidRDefault="0081115D">
      <w:pPr>
        <w:pStyle w:val="a3"/>
        <w:spacing w:before="47"/>
        <w:ind w:left="3298"/>
      </w:pPr>
      <w:r>
        <w:lastRenderedPageBreak/>
        <w:t xml:space="preserve"> </w:t>
      </w:r>
    </w:p>
    <w:p w14:paraId="16840A29" w14:textId="77777777" w:rsidR="00A71EEF" w:rsidRDefault="00A71EEF">
      <w:pPr>
        <w:sectPr w:rsidR="00A71EEF">
          <w:pgSz w:w="11910" w:h="16850"/>
          <w:pgMar w:top="1220" w:right="0" w:bottom="1420" w:left="1260" w:header="0" w:footer="1239" w:gutter="0"/>
          <w:cols w:space="720"/>
        </w:sectPr>
      </w:pPr>
    </w:p>
    <w:p w14:paraId="628678CC" w14:textId="77777777" w:rsidR="00A71EEF" w:rsidRDefault="0081115D">
      <w:pPr>
        <w:pStyle w:val="4"/>
        <w:spacing w:before="55"/>
        <w:ind w:left="2614"/>
      </w:pPr>
      <w:r>
        <w:lastRenderedPageBreak/>
        <w:t>附录</w:t>
      </w:r>
      <w:r>
        <w:t xml:space="preserve"> D</w:t>
      </w:r>
      <w:r>
        <w:t>（资料性附录）</w:t>
      </w:r>
      <w:r>
        <w:t xml:space="preserve"> </w:t>
      </w:r>
      <w:r>
        <w:t>职业健康评估内容</w:t>
      </w:r>
      <w:r>
        <w:rPr>
          <w:w w:val="99"/>
        </w:rPr>
        <w:t xml:space="preserve"> </w:t>
      </w:r>
    </w:p>
    <w:p w14:paraId="5BD502E6" w14:textId="77777777" w:rsidR="00A71EEF" w:rsidRDefault="00A71EEF">
      <w:pPr>
        <w:pStyle w:val="a3"/>
        <w:rPr>
          <w:b/>
          <w:sz w:val="24"/>
        </w:rPr>
      </w:pPr>
    </w:p>
    <w:p w14:paraId="15DD14C3" w14:textId="77777777" w:rsidR="00A71EEF" w:rsidRDefault="0081115D">
      <w:pPr>
        <w:pStyle w:val="a3"/>
        <w:spacing w:before="176" w:line="446" w:lineRule="auto"/>
        <w:ind w:left="840" w:right="4657" w:hanging="3"/>
        <w:rPr>
          <w:b/>
        </w:rPr>
      </w:pPr>
      <w:r>
        <w:t>职业健康评估按评估内容可分为定期评估和事故评估。</w:t>
      </w:r>
      <w:r>
        <w:rPr>
          <w:b/>
        </w:rPr>
        <w:t xml:space="preserve">D.1 </w:t>
      </w:r>
      <w:r>
        <w:t>定期评估</w:t>
      </w:r>
      <w:r>
        <w:rPr>
          <w:b/>
          <w:w w:val="99"/>
        </w:rPr>
        <w:t xml:space="preserve"> </w:t>
      </w:r>
    </w:p>
    <w:p w14:paraId="5D724332" w14:textId="77777777" w:rsidR="00A71EEF" w:rsidRDefault="0081115D">
      <w:pPr>
        <w:pStyle w:val="a4"/>
        <w:numPr>
          <w:ilvl w:val="2"/>
          <w:numId w:val="919"/>
        </w:numPr>
        <w:tabs>
          <w:tab w:val="left" w:pos="1371"/>
        </w:tabs>
        <w:spacing w:line="446" w:lineRule="auto"/>
        <w:ind w:right="1604" w:firstLine="422"/>
        <w:rPr>
          <w:sz w:val="21"/>
        </w:rPr>
      </w:pPr>
      <w:r>
        <w:rPr>
          <w:spacing w:val="-3"/>
          <w:sz w:val="21"/>
        </w:rPr>
        <w:t>消防组织应定期对职业健康管理状况进行评估，以保证有关职业健康的各项工作的质量控制在单位条件所能达到的最佳质量水平。</w:t>
      </w:r>
      <w:r>
        <w:rPr>
          <w:sz w:val="21"/>
        </w:rPr>
        <w:t xml:space="preserve"> </w:t>
      </w:r>
    </w:p>
    <w:p w14:paraId="0388C483" w14:textId="77777777" w:rsidR="00A71EEF" w:rsidRDefault="0081115D">
      <w:pPr>
        <w:pStyle w:val="a4"/>
        <w:numPr>
          <w:ilvl w:val="2"/>
          <w:numId w:val="919"/>
        </w:numPr>
        <w:tabs>
          <w:tab w:val="left" w:pos="1370"/>
        </w:tabs>
        <w:spacing w:line="446" w:lineRule="auto"/>
        <w:ind w:left="840" w:right="1604" w:firstLine="0"/>
        <w:rPr>
          <w:sz w:val="21"/>
        </w:rPr>
      </w:pPr>
      <w:r>
        <w:rPr>
          <w:spacing w:val="-3"/>
          <w:sz w:val="21"/>
        </w:rPr>
        <w:t>定期评估工作应委托依法取得省级以上职业卫生技术服务资质的专业机构进行。</w:t>
      </w:r>
      <w:r>
        <w:rPr>
          <w:b/>
          <w:sz w:val="21"/>
        </w:rPr>
        <w:t>D.1.3</w:t>
      </w:r>
      <w:r>
        <w:rPr>
          <w:b/>
          <w:spacing w:val="37"/>
          <w:sz w:val="21"/>
        </w:rPr>
        <w:t xml:space="preserve"> </w:t>
      </w:r>
      <w:r>
        <w:rPr>
          <w:spacing w:val="-3"/>
          <w:sz w:val="21"/>
        </w:rPr>
        <w:t>消防组织每年应在最高管理者组织下，由经培训、考核合格的本组织医务人员参考</w:t>
      </w:r>
    </w:p>
    <w:p w14:paraId="30E785EB" w14:textId="77777777" w:rsidR="00A71EEF" w:rsidRDefault="0081115D">
      <w:pPr>
        <w:pStyle w:val="a3"/>
        <w:spacing w:line="446" w:lineRule="auto"/>
        <w:ind w:left="418" w:right="1608"/>
      </w:pPr>
      <w:r>
        <w:t>定期评估的内容进行管理评估。管理评估应针对消防组织在职业健康管理方面存在的主要问题提出持续改进的建议。</w:t>
      </w:r>
      <w:r>
        <w:t xml:space="preserve"> </w:t>
      </w:r>
    </w:p>
    <w:p w14:paraId="3D096848" w14:textId="77777777" w:rsidR="00A71EEF" w:rsidRDefault="0081115D">
      <w:pPr>
        <w:pStyle w:val="a4"/>
        <w:numPr>
          <w:ilvl w:val="2"/>
          <w:numId w:val="918"/>
        </w:numPr>
        <w:tabs>
          <w:tab w:val="left" w:pos="1371"/>
        </w:tabs>
        <w:rPr>
          <w:sz w:val="21"/>
        </w:rPr>
      </w:pPr>
      <w:r>
        <w:rPr>
          <w:spacing w:val="-3"/>
          <w:sz w:val="21"/>
        </w:rPr>
        <w:t>定期评估至少应包括以下内容：</w:t>
      </w:r>
      <w:r>
        <w:rPr>
          <w:sz w:val="21"/>
        </w:rPr>
        <w:t xml:space="preserve"> </w:t>
      </w:r>
    </w:p>
    <w:p w14:paraId="2CF258D1" w14:textId="77777777" w:rsidR="00A71EEF" w:rsidRDefault="00A71EEF">
      <w:pPr>
        <w:pStyle w:val="a3"/>
        <w:spacing w:before="10"/>
        <w:rPr>
          <w:sz w:val="17"/>
        </w:rPr>
      </w:pPr>
    </w:p>
    <w:p w14:paraId="6846086A" w14:textId="77777777" w:rsidR="00A71EEF" w:rsidRDefault="0081115D">
      <w:pPr>
        <w:pStyle w:val="a4"/>
        <w:numPr>
          <w:ilvl w:val="0"/>
          <w:numId w:val="917"/>
        </w:numPr>
        <w:tabs>
          <w:tab w:val="left" w:pos="1051"/>
        </w:tabs>
        <w:rPr>
          <w:sz w:val="21"/>
        </w:rPr>
      </w:pPr>
      <w:r>
        <w:rPr>
          <w:spacing w:val="-3"/>
          <w:sz w:val="21"/>
        </w:rPr>
        <w:t>组织概况：名称、地点、人数、主要工作任务等；</w:t>
      </w:r>
      <w:r>
        <w:rPr>
          <w:sz w:val="21"/>
        </w:rPr>
        <w:t xml:space="preserve"> </w:t>
      </w:r>
    </w:p>
    <w:p w14:paraId="61BDB714" w14:textId="77777777" w:rsidR="00A71EEF" w:rsidRDefault="00A71EEF">
      <w:pPr>
        <w:pStyle w:val="a3"/>
        <w:spacing w:before="2"/>
        <w:rPr>
          <w:sz w:val="18"/>
        </w:rPr>
      </w:pPr>
    </w:p>
    <w:p w14:paraId="46255BAC" w14:textId="77777777" w:rsidR="00A71EEF" w:rsidRDefault="0081115D">
      <w:pPr>
        <w:pStyle w:val="a4"/>
        <w:numPr>
          <w:ilvl w:val="0"/>
          <w:numId w:val="917"/>
        </w:numPr>
        <w:tabs>
          <w:tab w:val="left" w:pos="1051"/>
        </w:tabs>
        <w:rPr>
          <w:sz w:val="21"/>
        </w:rPr>
      </w:pPr>
      <w:r>
        <w:rPr>
          <w:spacing w:val="-3"/>
          <w:sz w:val="21"/>
        </w:rPr>
        <w:t>总体布局调查与分析</w:t>
      </w:r>
      <w:r>
        <w:rPr>
          <w:sz w:val="21"/>
        </w:rPr>
        <w:t>（</w:t>
      </w:r>
      <w:r>
        <w:rPr>
          <w:spacing w:val="-3"/>
          <w:sz w:val="21"/>
        </w:rPr>
        <w:t>适用于首次评估</w:t>
      </w:r>
      <w:r>
        <w:rPr>
          <w:spacing w:val="-3"/>
          <w:sz w:val="21"/>
        </w:rPr>
        <w:t>)</w:t>
      </w:r>
      <w:r>
        <w:rPr>
          <w:spacing w:val="-3"/>
          <w:sz w:val="21"/>
        </w:rPr>
        <w:t>；</w:t>
      </w:r>
      <w:r>
        <w:rPr>
          <w:sz w:val="21"/>
        </w:rPr>
        <w:t xml:space="preserve"> </w:t>
      </w:r>
    </w:p>
    <w:p w14:paraId="223AB46C" w14:textId="77777777" w:rsidR="00A71EEF" w:rsidRDefault="00A71EEF">
      <w:pPr>
        <w:pStyle w:val="a3"/>
        <w:spacing w:before="12"/>
        <w:rPr>
          <w:sz w:val="17"/>
        </w:rPr>
      </w:pPr>
    </w:p>
    <w:p w14:paraId="41284C08" w14:textId="77777777" w:rsidR="00A71EEF" w:rsidRDefault="0081115D">
      <w:pPr>
        <w:pStyle w:val="a4"/>
        <w:numPr>
          <w:ilvl w:val="0"/>
          <w:numId w:val="917"/>
        </w:numPr>
        <w:tabs>
          <w:tab w:val="left" w:pos="1051"/>
        </w:tabs>
        <w:rPr>
          <w:sz w:val="21"/>
        </w:rPr>
      </w:pPr>
      <w:r>
        <w:rPr>
          <w:spacing w:val="-3"/>
          <w:sz w:val="21"/>
        </w:rPr>
        <w:t>可能接触的职业危害因素调查与分析；</w:t>
      </w:r>
      <w:r>
        <w:rPr>
          <w:sz w:val="21"/>
        </w:rPr>
        <w:t xml:space="preserve"> </w:t>
      </w:r>
    </w:p>
    <w:p w14:paraId="41F99C9B" w14:textId="77777777" w:rsidR="00A71EEF" w:rsidRDefault="00A71EEF">
      <w:pPr>
        <w:pStyle w:val="a3"/>
        <w:rPr>
          <w:sz w:val="18"/>
        </w:rPr>
      </w:pPr>
    </w:p>
    <w:p w14:paraId="1FF9CE03" w14:textId="77777777" w:rsidR="00A71EEF" w:rsidRDefault="0081115D">
      <w:pPr>
        <w:pStyle w:val="a4"/>
        <w:numPr>
          <w:ilvl w:val="0"/>
          <w:numId w:val="917"/>
        </w:numPr>
        <w:tabs>
          <w:tab w:val="left" w:pos="1051"/>
        </w:tabs>
        <w:rPr>
          <w:sz w:val="21"/>
        </w:rPr>
      </w:pPr>
      <w:r>
        <w:rPr>
          <w:spacing w:val="-3"/>
          <w:sz w:val="21"/>
        </w:rPr>
        <w:t>职业危害防护装备的调查与分析；</w:t>
      </w:r>
      <w:r>
        <w:rPr>
          <w:sz w:val="21"/>
        </w:rPr>
        <w:t xml:space="preserve"> </w:t>
      </w:r>
    </w:p>
    <w:p w14:paraId="4D610B8D" w14:textId="77777777" w:rsidR="00A71EEF" w:rsidRDefault="00A71EEF">
      <w:pPr>
        <w:pStyle w:val="a3"/>
        <w:spacing w:before="2"/>
        <w:rPr>
          <w:sz w:val="18"/>
        </w:rPr>
      </w:pPr>
    </w:p>
    <w:p w14:paraId="1F04FE7C" w14:textId="77777777" w:rsidR="00A71EEF" w:rsidRDefault="0081115D">
      <w:pPr>
        <w:pStyle w:val="a4"/>
        <w:numPr>
          <w:ilvl w:val="0"/>
          <w:numId w:val="917"/>
        </w:numPr>
        <w:tabs>
          <w:tab w:val="left" w:pos="1051"/>
        </w:tabs>
        <w:jc w:val="both"/>
        <w:rPr>
          <w:sz w:val="21"/>
        </w:rPr>
      </w:pPr>
      <w:r>
        <w:rPr>
          <w:spacing w:val="-3"/>
          <w:sz w:val="21"/>
        </w:rPr>
        <w:t>建筑卫生学及辅助用室调查与分析；</w:t>
      </w:r>
      <w:r>
        <w:rPr>
          <w:sz w:val="21"/>
        </w:rPr>
        <w:t xml:space="preserve"> </w:t>
      </w:r>
    </w:p>
    <w:p w14:paraId="1DA3A1DB" w14:textId="77777777" w:rsidR="00A71EEF" w:rsidRDefault="00A71EEF">
      <w:pPr>
        <w:pStyle w:val="a3"/>
        <w:rPr>
          <w:sz w:val="18"/>
        </w:rPr>
      </w:pPr>
    </w:p>
    <w:p w14:paraId="29851AFD" w14:textId="77777777" w:rsidR="00A71EEF" w:rsidRDefault="0081115D">
      <w:pPr>
        <w:pStyle w:val="a4"/>
        <w:numPr>
          <w:ilvl w:val="0"/>
          <w:numId w:val="917"/>
        </w:numPr>
        <w:tabs>
          <w:tab w:val="left" w:pos="1051"/>
        </w:tabs>
        <w:spacing w:line="446" w:lineRule="auto"/>
        <w:ind w:left="418" w:right="1608" w:firstLine="419"/>
        <w:jc w:val="both"/>
        <w:rPr>
          <w:sz w:val="21"/>
        </w:rPr>
      </w:pPr>
      <w:r>
        <w:rPr>
          <w:spacing w:val="-3"/>
          <w:sz w:val="21"/>
        </w:rPr>
        <w:t>职业健康管理情况调查与分析：组织机构及人员；职业病防治规划、实施方案及执行情况；职业健康管理制度与操作规程及执行情况；职业危害因素暴露情况；职业危害的告知情况；职业健康培训情况；职业健康监护制度；职业危害事故应急救援预案、设施及演练情况；职业健康档案管理；职业危害防治经费落实情况；</w:t>
      </w:r>
      <w:r>
        <w:rPr>
          <w:sz w:val="21"/>
        </w:rPr>
        <w:t xml:space="preserve"> </w:t>
      </w:r>
    </w:p>
    <w:p w14:paraId="726919E0" w14:textId="77777777" w:rsidR="00A71EEF" w:rsidRDefault="0081115D">
      <w:pPr>
        <w:pStyle w:val="a4"/>
        <w:numPr>
          <w:ilvl w:val="0"/>
          <w:numId w:val="917"/>
        </w:numPr>
        <w:tabs>
          <w:tab w:val="left" w:pos="1051"/>
        </w:tabs>
        <w:spacing w:line="446" w:lineRule="auto"/>
        <w:ind w:left="418" w:right="1609" w:firstLine="419"/>
        <w:jc w:val="both"/>
        <w:rPr>
          <w:sz w:val="21"/>
        </w:rPr>
      </w:pPr>
      <w:r>
        <w:rPr>
          <w:spacing w:val="-3"/>
          <w:sz w:val="21"/>
        </w:rPr>
        <w:t>职业健康监护情况分析：职业健康监护管理情况；职业健康检查结果；职业禁忌证、疑似职业病和职业病病人的处置。</w:t>
      </w:r>
      <w:r>
        <w:rPr>
          <w:sz w:val="21"/>
        </w:rPr>
        <w:t xml:space="preserve"> </w:t>
      </w:r>
    </w:p>
    <w:p w14:paraId="45128888" w14:textId="77777777" w:rsidR="00A71EEF" w:rsidRDefault="0081115D">
      <w:pPr>
        <w:pStyle w:val="a4"/>
        <w:numPr>
          <w:ilvl w:val="2"/>
          <w:numId w:val="918"/>
        </w:numPr>
        <w:tabs>
          <w:tab w:val="left" w:pos="1371"/>
        </w:tabs>
        <w:spacing w:line="446" w:lineRule="auto"/>
        <w:ind w:left="840" w:right="2129" w:firstLine="0"/>
        <w:rPr>
          <w:sz w:val="21"/>
        </w:rPr>
      </w:pPr>
      <w:r>
        <w:rPr>
          <w:spacing w:val="-3"/>
          <w:sz w:val="21"/>
        </w:rPr>
        <w:t>必要情况下，可根据实际需求对涉及消防员职业健康的内容进行专项评估。</w:t>
      </w:r>
      <w:r>
        <w:rPr>
          <w:b/>
          <w:spacing w:val="-3"/>
          <w:sz w:val="21"/>
        </w:rPr>
        <w:t>D.2</w:t>
      </w:r>
      <w:r>
        <w:rPr>
          <w:b/>
          <w:spacing w:val="1"/>
          <w:sz w:val="21"/>
        </w:rPr>
        <w:t xml:space="preserve"> </w:t>
      </w:r>
      <w:r>
        <w:rPr>
          <w:spacing w:val="-3"/>
          <w:sz w:val="21"/>
        </w:rPr>
        <w:t>事故评估</w:t>
      </w:r>
      <w:r>
        <w:rPr>
          <w:sz w:val="21"/>
        </w:rPr>
        <w:t xml:space="preserve"> </w:t>
      </w:r>
    </w:p>
    <w:p w14:paraId="730CA172" w14:textId="77777777" w:rsidR="00A71EEF" w:rsidRDefault="0081115D">
      <w:pPr>
        <w:pStyle w:val="a4"/>
        <w:numPr>
          <w:ilvl w:val="2"/>
          <w:numId w:val="916"/>
        </w:numPr>
        <w:tabs>
          <w:tab w:val="left" w:pos="1371"/>
        </w:tabs>
        <w:spacing w:line="446" w:lineRule="auto"/>
        <w:ind w:right="1604" w:firstLine="422"/>
        <w:rPr>
          <w:sz w:val="21"/>
        </w:rPr>
      </w:pPr>
      <w:r>
        <w:rPr>
          <w:spacing w:val="-3"/>
          <w:sz w:val="21"/>
        </w:rPr>
        <w:t>消防组织应对职业危害事故进行评估</w:t>
      </w:r>
      <w:r>
        <w:rPr>
          <w:spacing w:val="-3"/>
          <w:sz w:val="21"/>
        </w:rPr>
        <w:t>，以便及时有效地控制职业危害事故，减轻职业危害事故造成的损害。</w:t>
      </w:r>
      <w:r>
        <w:rPr>
          <w:sz w:val="21"/>
        </w:rPr>
        <w:t xml:space="preserve"> </w:t>
      </w:r>
    </w:p>
    <w:p w14:paraId="469A7CAA" w14:textId="77777777" w:rsidR="00A71EEF" w:rsidRDefault="0081115D">
      <w:pPr>
        <w:pStyle w:val="a4"/>
        <w:numPr>
          <w:ilvl w:val="2"/>
          <w:numId w:val="916"/>
        </w:numPr>
        <w:tabs>
          <w:tab w:val="left" w:pos="1371"/>
        </w:tabs>
        <w:spacing w:line="446" w:lineRule="auto"/>
        <w:ind w:left="840" w:right="1604" w:firstLine="0"/>
        <w:rPr>
          <w:sz w:val="21"/>
        </w:rPr>
      </w:pPr>
      <w:r>
        <w:rPr>
          <w:spacing w:val="-3"/>
          <w:sz w:val="21"/>
        </w:rPr>
        <w:t>事故评估工作应委托依法取得省级以上职业卫生技术服务资质的专业机构进行。</w:t>
      </w:r>
      <w:r>
        <w:rPr>
          <w:b/>
          <w:sz w:val="21"/>
        </w:rPr>
        <w:t>D.2.3</w:t>
      </w:r>
      <w:r>
        <w:rPr>
          <w:b/>
          <w:spacing w:val="37"/>
          <w:sz w:val="21"/>
        </w:rPr>
        <w:t xml:space="preserve"> </w:t>
      </w:r>
      <w:r>
        <w:rPr>
          <w:spacing w:val="-3"/>
          <w:sz w:val="21"/>
        </w:rPr>
        <w:t>事故分类：按一次职业危害事故所造成的消防员健康损害严重程度，将职业危害事</w:t>
      </w:r>
    </w:p>
    <w:p w14:paraId="2FAD4F1D" w14:textId="77777777" w:rsidR="00A71EEF" w:rsidRDefault="0081115D">
      <w:pPr>
        <w:pStyle w:val="a3"/>
        <w:ind w:left="418"/>
      </w:pPr>
      <w:r>
        <w:lastRenderedPageBreak/>
        <w:t>故分为一般事故（发生急性职业病</w:t>
      </w:r>
      <w:r>
        <w:t xml:space="preserve"> 10 </w:t>
      </w:r>
      <w:r>
        <w:t>人以下的）、重大事故（发生急性职业病</w:t>
      </w:r>
      <w:r>
        <w:t xml:space="preserve"> 10 </w:t>
      </w:r>
      <w:r>
        <w:t>人以上</w:t>
      </w:r>
      <w:r>
        <w:t xml:space="preserve"> 50 </w:t>
      </w:r>
      <w:r>
        <w:t>人</w:t>
      </w:r>
    </w:p>
    <w:p w14:paraId="26C0DEB5" w14:textId="77777777" w:rsidR="00A71EEF" w:rsidRDefault="00A71EEF">
      <w:pPr>
        <w:sectPr w:rsidR="00A71EEF">
          <w:pgSz w:w="11910" w:h="16850"/>
          <w:pgMar w:top="1180" w:right="0" w:bottom="1420" w:left="1260" w:header="0" w:footer="1239" w:gutter="0"/>
          <w:cols w:space="720"/>
        </w:sectPr>
      </w:pPr>
    </w:p>
    <w:p w14:paraId="502C910E" w14:textId="77777777" w:rsidR="00A71EEF" w:rsidRDefault="0081115D">
      <w:pPr>
        <w:pStyle w:val="a3"/>
        <w:spacing w:before="47"/>
        <w:ind w:left="418"/>
      </w:pPr>
      <w:r>
        <w:lastRenderedPageBreak/>
        <w:t>以下或者死亡</w:t>
      </w:r>
      <w:r>
        <w:t xml:space="preserve"> 5 </w:t>
      </w:r>
      <w:r>
        <w:t>人以下的，</w:t>
      </w:r>
      <w:r>
        <w:t xml:space="preserve"> </w:t>
      </w:r>
      <w:r>
        <w:t>或者发生职业性炭疽</w:t>
      </w:r>
      <w:r>
        <w:t xml:space="preserve"> 5 </w:t>
      </w:r>
      <w:r>
        <w:t>人以下的）、特大事故（发生急性职业病</w:t>
      </w:r>
      <w:r>
        <w:t xml:space="preserve"> 50</w:t>
      </w:r>
    </w:p>
    <w:p w14:paraId="58C5B4FB" w14:textId="77777777" w:rsidR="00A71EEF" w:rsidRDefault="00A71EEF">
      <w:pPr>
        <w:pStyle w:val="a3"/>
        <w:rPr>
          <w:sz w:val="18"/>
        </w:rPr>
      </w:pPr>
    </w:p>
    <w:p w14:paraId="33BCD46E" w14:textId="77777777" w:rsidR="00A71EEF" w:rsidRDefault="0081115D">
      <w:pPr>
        <w:pStyle w:val="a3"/>
        <w:spacing w:line="446" w:lineRule="auto"/>
        <w:ind w:left="840" w:right="4237" w:hanging="423"/>
      </w:pPr>
      <w:r>
        <w:rPr>
          <w:spacing w:val="-9"/>
        </w:rPr>
        <w:t>人以上或者死亡</w:t>
      </w:r>
      <w:r>
        <w:rPr>
          <w:spacing w:val="-9"/>
        </w:rPr>
        <w:t xml:space="preserve"> </w:t>
      </w:r>
      <w:r>
        <w:t>5</w:t>
      </w:r>
      <w:r>
        <w:rPr>
          <w:spacing w:val="-11"/>
        </w:rPr>
        <w:t xml:space="preserve"> </w:t>
      </w:r>
      <w:r>
        <w:rPr>
          <w:spacing w:val="-11"/>
        </w:rPr>
        <w:t>人以上，或者发生职业性炭疽</w:t>
      </w:r>
      <w:r>
        <w:rPr>
          <w:spacing w:val="-11"/>
        </w:rPr>
        <w:t xml:space="preserve"> </w:t>
      </w:r>
      <w:r>
        <w:t>5</w:t>
      </w:r>
      <w:r>
        <w:rPr>
          <w:spacing w:val="-12"/>
        </w:rPr>
        <w:t xml:space="preserve"> </w:t>
      </w:r>
      <w:r>
        <w:rPr>
          <w:spacing w:val="-12"/>
        </w:rPr>
        <w:t>人以上的</w:t>
      </w:r>
      <w:r>
        <w:rPr>
          <w:spacing w:val="-3"/>
        </w:rPr>
        <w:t>）。</w:t>
      </w:r>
      <w:r>
        <w:rPr>
          <w:b/>
        </w:rPr>
        <w:t xml:space="preserve">D.2.4 </w:t>
      </w:r>
      <w:r>
        <w:rPr>
          <w:spacing w:val="-3"/>
        </w:rPr>
        <w:t>事故评估组成员应当符合下列条件：</w:t>
      </w:r>
      <w:r>
        <w:t xml:space="preserve"> </w:t>
      </w:r>
    </w:p>
    <w:p w14:paraId="6E2E523B" w14:textId="77777777" w:rsidR="00A71EEF" w:rsidRDefault="0081115D">
      <w:pPr>
        <w:pStyle w:val="a4"/>
        <w:numPr>
          <w:ilvl w:val="0"/>
          <w:numId w:val="915"/>
        </w:numPr>
        <w:tabs>
          <w:tab w:val="left" w:pos="1051"/>
        </w:tabs>
        <w:rPr>
          <w:sz w:val="21"/>
        </w:rPr>
      </w:pPr>
      <w:r>
        <w:rPr>
          <w:spacing w:val="-3"/>
          <w:sz w:val="21"/>
        </w:rPr>
        <w:t>具有事故调查所需要的专业知识和实践经验；</w:t>
      </w:r>
      <w:r>
        <w:rPr>
          <w:sz w:val="21"/>
        </w:rPr>
        <w:t xml:space="preserve"> </w:t>
      </w:r>
    </w:p>
    <w:p w14:paraId="02158C36" w14:textId="77777777" w:rsidR="00A71EEF" w:rsidRDefault="00A71EEF">
      <w:pPr>
        <w:pStyle w:val="a3"/>
        <w:spacing w:before="12"/>
        <w:rPr>
          <w:sz w:val="17"/>
        </w:rPr>
      </w:pPr>
    </w:p>
    <w:p w14:paraId="0FB0A0F4" w14:textId="77777777" w:rsidR="00A71EEF" w:rsidRDefault="0081115D">
      <w:pPr>
        <w:pStyle w:val="a4"/>
        <w:numPr>
          <w:ilvl w:val="0"/>
          <w:numId w:val="915"/>
        </w:numPr>
        <w:tabs>
          <w:tab w:val="left" w:pos="1051"/>
        </w:tabs>
        <w:spacing w:line="446" w:lineRule="auto"/>
        <w:ind w:left="838" w:right="6124" w:firstLine="0"/>
        <w:jc w:val="both"/>
        <w:rPr>
          <w:sz w:val="21"/>
        </w:rPr>
      </w:pPr>
      <w:r>
        <w:rPr>
          <w:spacing w:val="-3"/>
          <w:sz w:val="21"/>
        </w:rPr>
        <w:t>与所发生事故没有直接利害关系。</w:t>
      </w:r>
      <w:r>
        <w:rPr>
          <w:b/>
          <w:sz w:val="21"/>
        </w:rPr>
        <w:t>D.2.5</w:t>
      </w:r>
      <w:r>
        <w:rPr>
          <w:b/>
          <w:spacing w:val="8"/>
          <w:sz w:val="21"/>
        </w:rPr>
        <w:t xml:space="preserve"> </w:t>
      </w:r>
      <w:r>
        <w:rPr>
          <w:spacing w:val="-3"/>
          <w:sz w:val="21"/>
        </w:rPr>
        <w:t>事故评估至少应包括以下内容：</w:t>
      </w:r>
      <w:r>
        <w:rPr>
          <w:spacing w:val="-3"/>
          <w:sz w:val="21"/>
        </w:rPr>
        <w:t xml:space="preserve"> </w:t>
      </w:r>
      <w:r>
        <w:rPr>
          <w:sz w:val="21"/>
        </w:rPr>
        <w:t>a)</w:t>
      </w:r>
      <w:r>
        <w:rPr>
          <w:spacing w:val="-3"/>
          <w:sz w:val="21"/>
        </w:rPr>
        <w:t xml:space="preserve"> </w:t>
      </w:r>
      <w:r>
        <w:rPr>
          <w:spacing w:val="-3"/>
          <w:sz w:val="21"/>
        </w:rPr>
        <w:t>事故发生的时间、地点；</w:t>
      </w:r>
      <w:r>
        <w:rPr>
          <w:sz w:val="21"/>
        </w:rPr>
        <w:t xml:space="preserve"> </w:t>
      </w:r>
    </w:p>
    <w:p w14:paraId="061B6000" w14:textId="77777777" w:rsidR="00A71EEF" w:rsidRDefault="0081115D">
      <w:pPr>
        <w:pStyle w:val="a4"/>
        <w:numPr>
          <w:ilvl w:val="0"/>
          <w:numId w:val="914"/>
        </w:numPr>
        <w:tabs>
          <w:tab w:val="left" w:pos="1051"/>
        </w:tabs>
        <w:spacing w:line="268" w:lineRule="exact"/>
        <w:jc w:val="both"/>
        <w:rPr>
          <w:sz w:val="21"/>
        </w:rPr>
      </w:pPr>
      <w:r>
        <w:rPr>
          <w:spacing w:val="-3"/>
          <w:sz w:val="21"/>
        </w:rPr>
        <w:t>事故发生的经过、原因、人员伤亡情况和危害程度；</w:t>
      </w:r>
      <w:r>
        <w:rPr>
          <w:sz w:val="21"/>
        </w:rPr>
        <w:t xml:space="preserve"> </w:t>
      </w:r>
    </w:p>
    <w:p w14:paraId="633EA2AF" w14:textId="77777777" w:rsidR="00A71EEF" w:rsidRDefault="00A71EEF">
      <w:pPr>
        <w:pStyle w:val="a3"/>
        <w:rPr>
          <w:sz w:val="18"/>
        </w:rPr>
      </w:pPr>
    </w:p>
    <w:p w14:paraId="74F406BC" w14:textId="77777777" w:rsidR="00A71EEF" w:rsidRDefault="0081115D">
      <w:pPr>
        <w:pStyle w:val="a4"/>
        <w:numPr>
          <w:ilvl w:val="0"/>
          <w:numId w:val="914"/>
        </w:numPr>
        <w:tabs>
          <w:tab w:val="left" w:pos="1051"/>
        </w:tabs>
        <w:rPr>
          <w:sz w:val="21"/>
        </w:rPr>
      </w:pPr>
      <w:r>
        <w:rPr>
          <w:spacing w:val="-3"/>
          <w:sz w:val="21"/>
        </w:rPr>
        <w:t>己采取措施和发展趋势等：</w:t>
      </w:r>
      <w:r>
        <w:rPr>
          <w:sz w:val="21"/>
        </w:rPr>
        <w:t xml:space="preserve"> </w:t>
      </w:r>
    </w:p>
    <w:p w14:paraId="50B36178" w14:textId="77777777" w:rsidR="00A71EEF" w:rsidRDefault="00A71EEF">
      <w:pPr>
        <w:pStyle w:val="a3"/>
        <w:spacing w:before="2"/>
        <w:rPr>
          <w:sz w:val="18"/>
        </w:rPr>
      </w:pPr>
    </w:p>
    <w:p w14:paraId="0CAF0626" w14:textId="77777777" w:rsidR="00A71EEF" w:rsidRDefault="0081115D">
      <w:pPr>
        <w:pStyle w:val="a4"/>
        <w:numPr>
          <w:ilvl w:val="0"/>
          <w:numId w:val="914"/>
        </w:numPr>
        <w:tabs>
          <w:tab w:val="left" w:pos="1051"/>
        </w:tabs>
        <w:spacing w:line="446" w:lineRule="auto"/>
        <w:ind w:left="418" w:right="1609" w:firstLine="419"/>
        <w:rPr>
          <w:sz w:val="21"/>
        </w:rPr>
      </w:pPr>
      <w:r>
        <w:rPr>
          <w:spacing w:val="-3"/>
          <w:sz w:val="21"/>
        </w:rPr>
        <w:t>对遭受或者可能遭受急性职业危害的消防员的医学救治、应急健康检査和医学</w:t>
      </w:r>
      <w:r>
        <w:rPr>
          <w:spacing w:val="-3"/>
          <w:sz w:val="21"/>
        </w:rPr>
        <w:t>观察落实情况；</w:t>
      </w:r>
      <w:r>
        <w:rPr>
          <w:sz w:val="21"/>
        </w:rPr>
        <w:t xml:space="preserve"> </w:t>
      </w:r>
    </w:p>
    <w:p w14:paraId="318B9335" w14:textId="77777777" w:rsidR="00A71EEF" w:rsidRDefault="0081115D">
      <w:pPr>
        <w:pStyle w:val="a4"/>
        <w:numPr>
          <w:ilvl w:val="0"/>
          <w:numId w:val="914"/>
        </w:numPr>
        <w:tabs>
          <w:tab w:val="left" w:pos="1051"/>
        </w:tabs>
        <w:spacing w:line="267" w:lineRule="exact"/>
        <w:rPr>
          <w:sz w:val="21"/>
        </w:rPr>
      </w:pPr>
      <w:r>
        <w:rPr>
          <w:spacing w:val="-3"/>
          <w:sz w:val="21"/>
        </w:rPr>
        <w:t>分析事故责任；</w:t>
      </w:r>
      <w:r>
        <w:rPr>
          <w:sz w:val="21"/>
        </w:rPr>
        <w:t xml:space="preserve"> </w:t>
      </w:r>
    </w:p>
    <w:p w14:paraId="529B22F5" w14:textId="77777777" w:rsidR="00A71EEF" w:rsidRDefault="0081115D">
      <w:pPr>
        <w:pStyle w:val="a4"/>
        <w:numPr>
          <w:ilvl w:val="0"/>
          <w:numId w:val="914"/>
        </w:numPr>
        <w:tabs>
          <w:tab w:val="left" w:pos="1051"/>
        </w:tabs>
        <w:spacing w:before="1" w:line="500" w:lineRule="atLeast"/>
        <w:ind w:left="840" w:right="4446" w:hanging="3"/>
        <w:rPr>
          <w:sz w:val="21"/>
        </w:rPr>
      </w:pPr>
      <w:r>
        <w:rPr>
          <w:spacing w:val="-3"/>
          <w:sz w:val="21"/>
        </w:rPr>
        <w:t>提出防范事故再次发生所应采取的改进措施的意见。</w:t>
      </w:r>
      <w:r>
        <w:rPr>
          <w:spacing w:val="-3"/>
          <w:sz w:val="21"/>
        </w:rPr>
        <w:t xml:space="preserve"> </w:t>
      </w:r>
      <w:r>
        <w:rPr>
          <w:b/>
          <w:sz w:val="21"/>
        </w:rPr>
        <w:t xml:space="preserve">D.3 </w:t>
      </w:r>
      <w:r>
        <w:rPr>
          <w:spacing w:val="-3"/>
          <w:sz w:val="21"/>
        </w:rPr>
        <w:t>职业健康评估资料</w:t>
      </w:r>
      <w:r>
        <w:rPr>
          <w:sz w:val="21"/>
        </w:rPr>
        <w:t xml:space="preserve"> </w:t>
      </w:r>
    </w:p>
    <w:p w14:paraId="2498EE84" w14:textId="77777777" w:rsidR="00A71EEF" w:rsidRDefault="0081115D">
      <w:pPr>
        <w:pStyle w:val="a3"/>
        <w:spacing w:before="41"/>
        <w:ind w:left="838"/>
      </w:pPr>
      <w:r>
        <w:t>职业健康评估报告及相关记录应归档保存。</w:t>
      </w:r>
      <w:r>
        <w:t xml:space="preserve"> </w:t>
      </w:r>
    </w:p>
    <w:p w14:paraId="1A030BCE" w14:textId="77777777" w:rsidR="00A71EEF" w:rsidRDefault="00A71EEF">
      <w:pPr>
        <w:sectPr w:rsidR="00A71EEF">
          <w:pgSz w:w="11910" w:h="16850"/>
          <w:pgMar w:top="1220" w:right="0" w:bottom="1420" w:left="1260" w:header="0" w:footer="1239" w:gutter="0"/>
          <w:cols w:space="720"/>
        </w:sectPr>
      </w:pPr>
    </w:p>
    <w:p w14:paraId="01E8AD1D" w14:textId="77777777" w:rsidR="00A71EEF" w:rsidRDefault="00A71EEF">
      <w:pPr>
        <w:pStyle w:val="a3"/>
        <w:spacing w:before="12"/>
        <w:rPr>
          <w:sz w:val="7"/>
        </w:rPr>
      </w:pPr>
    </w:p>
    <w:p w14:paraId="5645EBC1" w14:textId="77777777" w:rsidR="00A71EEF" w:rsidRDefault="0081115D">
      <w:pPr>
        <w:pStyle w:val="4"/>
        <w:spacing w:before="66"/>
        <w:ind w:left="2251"/>
      </w:pPr>
      <w:r>
        <w:t>附录</w:t>
      </w:r>
      <w:r>
        <w:t xml:space="preserve"> E</w:t>
      </w:r>
      <w:r>
        <w:t>（资料性附录）</w:t>
      </w:r>
      <w:r>
        <w:t xml:space="preserve"> </w:t>
      </w:r>
      <w:r>
        <w:t>职业病危害防护装备目录</w:t>
      </w:r>
      <w:r>
        <w:rPr>
          <w:w w:val="99"/>
        </w:rPr>
        <w:t xml:space="preserve"> </w:t>
      </w:r>
    </w:p>
    <w:p w14:paraId="53722A20" w14:textId="77777777" w:rsidR="00A71EEF" w:rsidRDefault="00A71EEF">
      <w:pPr>
        <w:pStyle w:val="a3"/>
        <w:rPr>
          <w:b/>
          <w:sz w:val="20"/>
        </w:rPr>
      </w:pPr>
    </w:p>
    <w:p w14:paraId="5DC6E464" w14:textId="77777777" w:rsidR="00A71EEF" w:rsidRDefault="00A71EEF">
      <w:pPr>
        <w:pStyle w:val="a3"/>
        <w:rPr>
          <w:b/>
          <w:sz w:val="20"/>
        </w:rPr>
      </w:pPr>
    </w:p>
    <w:p w14:paraId="3234B735" w14:textId="77777777" w:rsidR="00A71EEF" w:rsidRDefault="0081115D">
      <w:pPr>
        <w:pStyle w:val="a3"/>
        <w:spacing w:before="1"/>
        <w:rPr>
          <w:b/>
          <w:sz w:val="23"/>
        </w:rPr>
      </w:pPr>
      <w:r>
        <w:rPr>
          <w:noProof/>
        </w:rPr>
        <w:drawing>
          <wp:anchor distT="0" distB="0" distL="0" distR="0" simplePos="0" relativeHeight="251463168" behindDoc="0" locked="0" layoutInCell="1" allowOverlap="1" wp14:anchorId="0E605FC3" wp14:editId="2246723D">
            <wp:simplePos x="0" y="0"/>
            <wp:positionH relativeFrom="page">
              <wp:posOffset>1040130</wp:posOffset>
            </wp:positionH>
            <wp:positionV relativeFrom="paragraph">
              <wp:posOffset>212669</wp:posOffset>
            </wp:positionV>
            <wp:extent cx="4969012" cy="6343650"/>
            <wp:effectExtent l="0" t="0" r="0" b="0"/>
            <wp:wrapTopAndBottom/>
            <wp:docPr id="27"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9.jpeg"/>
                    <pic:cNvPicPr/>
                  </pic:nvPicPr>
                  <pic:blipFill>
                    <a:blip r:embed="rId25" cstate="print"/>
                    <a:stretch>
                      <a:fillRect/>
                    </a:stretch>
                  </pic:blipFill>
                  <pic:spPr>
                    <a:xfrm>
                      <a:off x="0" y="0"/>
                      <a:ext cx="4969012" cy="6343650"/>
                    </a:xfrm>
                    <a:prstGeom prst="rect">
                      <a:avLst/>
                    </a:prstGeom>
                  </pic:spPr>
                </pic:pic>
              </a:graphicData>
            </a:graphic>
          </wp:anchor>
        </w:drawing>
      </w:r>
    </w:p>
    <w:p w14:paraId="2B652ECB" w14:textId="77777777" w:rsidR="00A71EEF" w:rsidRDefault="00A71EEF">
      <w:pPr>
        <w:pStyle w:val="a3"/>
        <w:rPr>
          <w:b/>
          <w:sz w:val="20"/>
        </w:rPr>
      </w:pPr>
    </w:p>
    <w:p w14:paraId="63C0E09C" w14:textId="77777777" w:rsidR="00A71EEF" w:rsidRDefault="00A71EEF">
      <w:pPr>
        <w:pStyle w:val="a3"/>
        <w:rPr>
          <w:b/>
          <w:sz w:val="20"/>
        </w:rPr>
      </w:pPr>
    </w:p>
    <w:p w14:paraId="7975A9B8" w14:textId="77777777" w:rsidR="00A71EEF" w:rsidRDefault="00A71EEF">
      <w:pPr>
        <w:pStyle w:val="a3"/>
        <w:rPr>
          <w:b/>
          <w:sz w:val="20"/>
        </w:rPr>
      </w:pPr>
    </w:p>
    <w:p w14:paraId="31FCEB02" w14:textId="77777777" w:rsidR="00A71EEF" w:rsidRDefault="00A71EEF">
      <w:pPr>
        <w:pStyle w:val="a3"/>
        <w:rPr>
          <w:b/>
          <w:sz w:val="20"/>
        </w:rPr>
      </w:pPr>
    </w:p>
    <w:p w14:paraId="4ED08C9C" w14:textId="77777777" w:rsidR="00A71EEF" w:rsidRDefault="00A71EEF">
      <w:pPr>
        <w:pStyle w:val="a3"/>
        <w:rPr>
          <w:b/>
          <w:sz w:val="20"/>
        </w:rPr>
      </w:pPr>
    </w:p>
    <w:p w14:paraId="31AF1131" w14:textId="77777777" w:rsidR="00A71EEF" w:rsidRDefault="00A71EEF">
      <w:pPr>
        <w:pStyle w:val="a3"/>
        <w:spacing w:before="8"/>
        <w:rPr>
          <w:b/>
          <w:sz w:val="26"/>
        </w:rPr>
      </w:pPr>
    </w:p>
    <w:p w14:paraId="24335A72" w14:textId="77777777" w:rsidR="00A71EEF" w:rsidRDefault="0081115D">
      <w:pPr>
        <w:pStyle w:val="a3"/>
        <w:spacing w:before="71"/>
        <w:ind w:right="912"/>
        <w:jc w:val="center"/>
      </w:pPr>
      <w:r>
        <w:t xml:space="preserve"> </w:t>
      </w:r>
    </w:p>
    <w:p w14:paraId="6121927E" w14:textId="77777777" w:rsidR="00A71EEF" w:rsidRDefault="00A71EEF">
      <w:pPr>
        <w:jc w:val="center"/>
        <w:sectPr w:rsidR="00A71EEF">
          <w:pgSz w:w="11910" w:h="16850"/>
          <w:pgMar w:top="1600" w:right="0" w:bottom="1420" w:left="1260" w:header="0" w:footer="1239" w:gutter="0"/>
          <w:cols w:space="720"/>
        </w:sectPr>
      </w:pPr>
    </w:p>
    <w:p w14:paraId="5FFDC5C3" w14:textId="77777777" w:rsidR="00A71EEF" w:rsidRDefault="00A71EEF">
      <w:pPr>
        <w:pStyle w:val="a3"/>
        <w:rPr>
          <w:sz w:val="20"/>
        </w:rPr>
      </w:pPr>
    </w:p>
    <w:p w14:paraId="2598A973" w14:textId="77777777" w:rsidR="00A71EEF" w:rsidRDefault="00A71EEF">
      <w:pPr>
        <w:pStyle w:val="a3"/>
        <w:rPr>
          <w:sz w:val="20"/>
        </w:rPr>
      </w:pPr>
    </w:p>
    <w:p w14:paraId="6CA971EC" w14:textId="77777777" w:rsidR="00A71EEF" w:rsidRDefault="00A71EEF">
      <w:pPr>
        <w:pStyle w:val="a3"/>
        <w:spacing w:before="12"/>
        <w:rPr>
          <w:sz w:val="13"/>
        </w:rPr>
      </w:pPr>
    </w:p>
    <w:p w14:paraId="3B846013" w14:textId="77777777" w:rsidR="00A71EEF" w:rsidRDefault="0081115D">
      <w:pPr>
        <w:pStyle w:val="a3"/>
        <w:ind w:left="493"/>
        <w:rPr>
          <w:sz w:val="20"/>
        </w:rPr>
      </w:pPr>
      <w:r>
        <w:rPr>
          <w:noProof/>
          <w:sz w:val="20"/>
        </w:rPr>
        <w:drawing>
          <wp:inline distT="0" distB="0" distL="0" distR="0" wp14:anchorId="0399630F" wp14:editId="2E79E235">
            <wp:extent cx="4950539" cy="6915150"/>
            <wp:effectExtent l="0" t="0" r="0" b="0"/>
            <wp:docPr id="29"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0.jpeg"/>
                    <pic:cNvPicPr/>
                  </pic:nvPicPr>
                  <pic:blipFill>
                    <a:blip r:embed="rId26" cstate="print"/>
                    <a:stretch>
                      <a:fillRect/>
                    </a:stretch>
                  </pic:blipFill>
                  <pic:spPr>
                    <a:xfrm>
                      <a:off x="0" y="0"/>
                      <a:ext cx="4950539" cy="6915150"/>
                    </a:xfrm>
                    <a:prstGeom prst="rect">
                      <a:avLst/>
                    </a:prstGeom>
                  </pic:spPr>
                </pic:pic>
              </a:graphicData>
            </a:graphic>
          </wp:inline>
        </w:drawing>
      </w:r>
    </w:p>
    <w:p w14:paraId="60667DC3" w14:textId="77777777" w:rsidR="00A71EEF" w:rsidRDefault="00A71EEF">
      <w:pPr>
        <w:pStyle w:val="a3"/>
        <w:rPr>
          <w:sz w:val="20"/>
        </w:rPr>
      </w:pPr>
    </w:p>
    <w:p w14:paraId="56F378E8" w14:textId="77777777" w:rsidR="00A71EEF" w:rsidRDefault="00A71EEF">
      <w:pPr>
        <w:pStyle w:val="a3"/>
        <w:rPr>
          <w:sz w:val="20"/>
        </w:rPr>
      </w:pPr>
    </w:p>
    <w:p w14:paraId="557238AB" w14:textId="77777777" w:rsidR="00A71EEF" w:rsidRDefault="00A71EEF">
      <w:pPr>
        <w:pStyle w:val="a3"/>
        <w:spacing w:before="4"/>
        <w:rPr>
          <w:sz w:val="16"/>
        </w:rPr>
      </w:pPr>
    </w:p>
    <w:p w14:paraId="19F4D08A" w14:textId="77777777" w:rsidR="00A71EEF" w:rsidRDefault="0081115D">
      <w:pPr>
        <w:pStyle w:val="6"/>
        <w:spacing w:before="1"/>
        <w:ind w:left="3298"/>
      </w:pPr>
      <w:r>
        <w:rPr>
          <w:w w:val="99"/>
        </w:rPr>
        <w:t xml:space="preserve"> </w:t>
      </w:r>
    </w:p>
    <w:p w14:paraId="5FF0FE7F" w14:textId="77777777" w:rsidR="00A71EEF" w:rsidRDefault="00A71EEF">
      <w:pPr>
        <w:sectPr w:rsidR="00A71EEF">
          <w:pgSz w:w="11910" w:h="16850"/>
          <w:pgMar w:top="1600" w:right="0" w:bottom="1420" w:left="1260" w:header="0" w:footer="1239" w:gutter="0"/>
          <w:cols w:space="720"/>
        </w:sectPr>
      </w:pPr>
    </w:p>
    <w:p w14:paraId="3B60291A" w14:textId="77777777" w:rsidR="00A71EEF" w:rsidRDefault="0081115D">
      <w:pPr>
        <w:spacing w:before="55"/>
        <w:ind w:left="1589"/>
        <w:rPr>
          <w:b/>
          <w:sz w:val="24"/>
        </w:rPr>
      </w:pPr>
      <w:r>
        <w:rPr>
          <w:b/>
          <w:sz w:val="24"/>
        </w:rPr>
        <w:lastRenderedPageBreak/>
        <w:t>附录</w:t>
      </w:r>
      <w:r>
        <w:rPr>
          <w:b/>
          <w:sz w:val="24"/>
        </w:rPr>
        <w:t xml:space="preserve"> F</w:t>
      </w:r>
      <w:r>
        <w:rPr>
          <w:b/>
          <w:sz w:val="24"/>
        </w:rPr>
        <w:t>（资料性附录）常见气体的直读式检测仪器和检测方法</w:t>
      </w:r>
      <w:r>
        <w:rPr>
          <w:b/>
          <w:w w:val="99"/>
          <w:sz w:val="24"/>
        </w:rPr>
        <w:t xml:space="preserve"> </w:t>
      </w:r>
    </w:p>
    <w:p w14:paraId="7315918D" w14:textId="77777777" w:rsidR="00A71EEF" w:rsidRDefault="00A71EEF">
      <w:pPr>
        <w:pStyle w:val="a3"/>
        <w:rPr>
          <w:b/>
          <w:sz w:val="20"/>
        </w:rPr>
      </w:pPr>
    </w:p>
    <w:p w14:paraId="1D7DB686" w14:textId="77777777" w:rsidR="00A71EEF" w:rsidRDefault="00A71EEF">
      <w:pPr>
        <w:pStyle w:val="a3"/>
        <w:rPr>
          <w:b/>
          <w:sz w:val="20"/>
        </w:rPr>
      </w:pPr>
    </w:p>
    <w:p w14:paraId="7AD00685" w14:textId="77777777" w:rsidR="00A71EEF" w:rsidRDefault="00A71EEF">
      <w:pPr>
        <w:pStyle w:val="a3"/>
        <w:rPr>
          <w:b/>
          <w:sz w:val="20"/>
        </w:rPr>
      </w:pPr>
    </w:p>
    <w:p w14:paraId="19972656" w14:textId="77777777" w:rsidR="00A71EEF" w:rsidRDefault="00A71EEF">
      <w:pPr>
        <w:pStyle w:val="a3"/>
        <w:spacing w:before="11"/>
        <w:rPr>
          <w:b/>
          <w:sz w:val="16"/>
        </w:rPr>
      </w:pPr>
    </w:p>
    <w:p w14:paraId="56A67B32" w14:textId="77777777" w:rsidR="00A71EEF" w:rsidRDefault="0081115D">
      <w:pPr>
        <w:ind w:left="840"/>
        <w:rPr>
          <w:sz w:val="21"/>
        </w:rPr>
      </w:pPr>
      <w:r>
        <w:rPr>
          <w:b/>
          <w:sz w:val="21"/>
        </w:rPr>
        <w:t xml:space="preserve">F.1 </w:t>
      </w:r>
      <w:r>
        <w:rPr>
          <w:sz w:val="21"/>
        </w:rPr>
        <w:t>直读式气体检测仪器的选择</w:t>
      </w:r>
      <w:r>
        <w:rPr>
          <w:sz w:val="21"/>
        </w:rPr>
        <w:t xml:space="preserve"> </w:t>
      </w:r>
    </w:p>
    <w:p w14:paraId="4BD111B8" w14:textId="77777777" w:rsidR="00A71EEF" w:rsidRDefault="00A71EEF">
      <w:pPr>
        <w:pStyle w:val="a3"/>
        <w:rPr>
          <w:sz w:val="18"/>
        </w:rPr>
      </w:pPr>
    </w:p>
    <w:p w14:paraId="2EA1908B" w14:textId="77777777" w:rsidR="00A71EEF" w:rsidRDefault="0081115D">
      <w:pPr>
        <w:pStyle w:val="a3"/>
        <w:spacing w:line="446" w:lineRule="auto"/>
        <w:ind w:left="418" w:right="1609" w:firstLine="419"/>
      </w:pPr>
      <w:r>
        <w:rPr>
          <w:noProof/>
        </w:rPr>
        <w:drawing>
          <wp:anchor distT="0" distB="0" distL="0" distR="0" simplePos="0" relativeHeight="251464192" behindDoc="0" locked="0" layoutInCell="1" allowOverlap="1" wp14:anchorId="14E7E818" wp14:editId="1FBF9638">
            <wp:simplePos x="0" y="0"/>
            <wp:positionH relativeFrom="page">
              <wp:posOffset>1017905</wp:posOffset>
            </wp:positionH>
            <wp:positionV relativeFrom="paragraph">
              <wp:posOffset>675640</wp:posOffset>
            </wp:positionV>
            <wp:extent cx="5543549" cy="3476625"/>
            <wp:effectExtent l="0" t="0" r="0" b="0"/>
            <wp:wrapTopAndBottom/>
            <wp:docPr id="3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1.jpeg"/>
                    <pic:cNvPicPr/>
                  </pic:nvPicPr>
                  <pic:blipFill>
                    <a:blip r:embed="rId27" cstate="print"/>
                    <a:stretch>
                      <a:fillRect/>
                    </a:stretch>
                  </pic:blipFill>
                  <pic:spPr>
                    <a:xfrm>
                      <a:off x="0" y="0"/>
                      <a:ext cx="5543549" cy="3476625"/>
                    </a:xfrm>
                    <a:prstGeom prst="rect">
                      <a:avLst/>
                    </a:prstGeom>
                  </pic:spPr>
                </pic:pic>
              </a:graphicData>
            </a:graphic>
          </wp:anchor>
        </w:drawing>
      </w:r>
      <w:r>
        <w:t>消防员在消防职业活动中的环境各不相同，存在各种有害气体，不同气体可选择不同的直读式仪器进行快速检测，见表</w:t>
      </w:r>
      <w:r>
        <w:t xml:space="preserve"> F.1</w:t>
      </w:r>
      <w:r>
        <w:t>。</w:t>
      </w:r>
      <w:r>
        <w:t xml:space="preserve"> </w:t>
      </w:r>
    </w:p>
    <w:p w14:paraId="0732F007" w14:textId="77777777" w:rsidR="00A71EEF" w:rsidRDefault="0081115D">
      <w:pPr>
        <w:pStyle w:val="a4"/>
        <w:numPr>
          <w:ilvl w:val="0"/>
          <w:numId w:val="913"/>
        </w:numPr>
        <w:tabs>
          <w:tab w:val="left" w:pos="1053"/>
        </w:tabs>
        <w:spacing w:before="162"/>
        <w:rPr>
          <w:b/>
          <w:sz w:val="21"/>
        </w:rPr>
      </w:pPr>
      <w:r>
        <w:rPr>
          <w:b/>
          <w:sz w:val="21"/>
        </w:rPr>
        <w:t>2</w:t>
      </w:r>
      <w:r>
        <w:rPr>
          <w:b/>
          <w:spacing w:val="102"/>
          <w:sz w:val="21"/>
        </w:rPr>
        <w:t xml:space="preserve"> </w:t>
      </w:r>
      <w:r>
        <w:rPr>
          <w:spacing w:val="-3"/>
          <w:sz w:val="21"/>
        </w:rPr>
        <w:t>检测程序</w:t>
      </w:r>
      <w:r>
        <w:rPr>
          <w:b/>
          <w:w w:val="99"/>
          <w:sz w:val="21"/>
        </w:rPr>
        <w:t xml:space="preserve"> </w:t>
      </w:r>
    </w:p>
    <w:p w14:paraId="482EF39D" w14:textId="77777777" w:rsidR="00A71EEF" w:rsidRDefault="00A71EEF">
      <w:pPr>
        <w:pStyle w:val="a3"/>
        <w:spacing w:before="2"/>
        <w:rPr>
          <w:b/>
          <w:sz w:val="18"/>
        </w:rPr>
      </w:pPr>
    </w:p>
    <w:p w14:paraId="4C44BB48" w14:textId="77777777" w:rsidR="00A71EEF" w:rsidRDefault="0081115D">
      <w:pPr>
        <w:spacing w:line="446" w:lineRule="auto"/>
        <w:ind w:left="840" w:right="5072"/>
        <w:rPr>
          <w:sz w:val="21"/>
        </w:rPr>
      </w:pPr>
      <w:r>
        <w:rPr>
          <w:b/>
          <w:sz w:val="21"/>
        </w:rPr>
        <w:t xml:space="preserve">F.2.1 </w:t>
      </w:r>
      <w:r>
        <w:rPr>
          <w:sz w:val="21"/>
        </w:rPr>
        <w:t>通常按测氧</w:t>
      </w:r>
      <w:r>
        <w:rPr>
          <w:sz w:val="21"/>
        </w:rPr>
        <w:t>→</w:t>
      </w:r>
      <w:r>
        <w:rPr>
          <w:sz w:val="21"/>
        </w:rPr>
        <w:t>测爆</w:t>
      </w:r>
      <w:r>
        <w:rPr>
          <w:sz w:val="21"/>
        </w:rPr>
        <w:t>→</w:t>
      </w:r>
      <w:r>
        <w:rPr>
          <w:sz w:val="21"/>
        </w:rPr>
        <w:t>测毒的顺序进行检测。</w:t>
      </w:r>
      <w:r>
        <w:rPr>
          <w:b/>
          <w:sz w:val="21"/>
        </w:rPr>
        <w:t xml:space="preserve">F.2.2 </w:t>
      </w:r>
      <w:r>
        <w:rPr>
          <w:sz w:val="21"/>
        </w:rPr>
        <w:t>对于毒性较高的可燃气体，要首先测毒。</w:t>
      </w:r>
      <w:r>
        <w:rPr>
          <w:sz w:val="21"/>
        </w:rPr>
        <w:t xml:space="preserve"> </w:t>
      </w:r>
    </w:p>
    <w:p w14:paraId="03D18C8E" w14:textId="77777777" w:rsidR="00A71EEF" w:rsidRDefault="0081115D">
      <w:pPr>
        <w:pStyle w:val="a3"/>
        <w:spacing w:line="446" w:lineRule="auto"/>
        <w:ind w:left="418" w:right="1604" w:firstLine="422"/>
      </w:pPr>
      <w:r>
        <w:rPr>
          <w:b/>
        </w:rPr>
        <w:t xml:space="preserve">F.2.3 </w:t>
      </w:r>
      <w:r>
        <w:t>复合式仪器和便携式气相色谱仪可同时检测氧气、可燃气体和有毒气体。检测时，</w:t>
      </w:r>
      <w:r>
        <w:t xml:space="preserve"> </w:t>
      </w:r>
      <w:r>
        <w:t>按照检测仪器的说明书进行操作。</w:t>
      </w:r>
      <w:r>
        <w:t xml:space="preserve"> </w:t>
      </w:r>
    </w:p>
    <w:p w14:paraId="1909DD6F" w14:textId="77777777" w:rsidR="00A71EEF" w:rsidRDefault="00A71EEF">
      <w:pPr>
        <w:pStyle w:val="a3"/>
        <w:rPr>
          <w:sz w:val="20"/>
        </w:rPr>
      </w:pPr>
    </w:p>
    <w:p w14:paraId="2A80A77E" w14:textId="77777777" w:rsidR="00A71EEF" w:rsidRDefault="00A71EEF">
      <w:pPr>
        <w:pStyle w:val="a3"/>
        <w:rPr>
          <w:sz w:val="20"/>
        </w:rPr>
      </w:pPr>
    </w:p>
    <w:p w14:paraId="24A66125" w14:textId="77777777" w:rsidR="00A71EEF" w:rsidRDefault="00A71EEF">
      <w:pPr>
        <w:pStyle w:val="a3"/>
        <w:rPr>
          <w:sz w:val="20"/>
        </w:rPr>
      </w:pPr>
    </w:p>
    <w:p w14:paraId="1DE99026" w14:textId="77777777" w:rsidR="00A71EEF" w:rsidRDefault="00A71EEF">
      <w:pPr>
        <w:pStyle w:val="a3"/>
        <w:rPr>
          <w:sz w:val="20"/>
        </w:rPr>
      </w:pPr>
    </w:p>
    <w:p w14:paraId="244BD521" w14:textId="77777777" w:rsidR="00A71EEF" w:rsidRDefault="00A71EEF">
      <w:pPr>
        <w:pStyle w:val="a3"/>
        <w:rPr>
          <w:sz w:val="20"/>
        </w:rPr>
      </w:pPr>
    </w:p>
    <w:p w14:paraId="0C3C05DE" w14:textId="77777777" w:rsidR="00A71EEF" w:rsidRDefault="00A71EEF">
      <w:pPr>
        <w:pStyle w:val="a3"/>
        <w:rPr>
          <w:sz w:val="20"/>
        </w:rPr>
      </w:pPr>
    </w:p>
    <w:p w14:paraId="75B9D5EF" w14:textId="77777777" w:rsidR="00A71EEF" w:rsidRDefault="00A71EEF">
      <w:pPr>
        <w:pStyle w:val="a3"/>
        <w:rPr>
          <w:sz w:val="20"/>
        </w:rPr>
      </w:pPr>
    </w:p>
    <w:p w14:paraId="75512C2E" w14:textId="77777777" w:rsidR="00A71EEF" w:rsidRDefault="00A71EEF">
      <w:pPr>
        <w:pStyle w:val="a3"/>
        <w:rPr>
          <w:sz w:val="20"/>
        </w:rPr>
      </w:pPr>
    </w:p>
    <w:p w14:paraId="4618D261" w14:textId="77777777" w:rsidR="00A71EEF" w:rsidRDefault="00A71EEF">
      <w:pPr>
        <w:pStyle w:val="a3"/>
        <w:spacing w:before="6"/>
        <w:rPr>
          <w:sz w:val="29"/>
        </w:rPr>
      </w:pPr>
    </w:p>
    <w:p w14:paraId="414B9BD8" w14:textId="77777777" w:rsidR="00A71EEF" w:rsidRDefault="0081115D">
      <w:pPr>
        <w:pStyle w:val="a3"/>
        <w:spacing w:before="72"/>
        <w:ind w:left="3298"/>
      </w:pPr>
      <w:r>
        <w:t xml:space="preserve"> </w:t>
      </w:r>
    </w:p>
    <w:p w14:paraId="0CA687B0" w14:textId="77777777" w:rsidR="00A71EEF" w:rsidRDefault="00A71EEF">
      <w:pPr>
        <w:sectPr w:rsidR="00A71EEF">
          <w:pgSz w:w="11910" w:h="16850"/>
          <w:pgMar w:top="1180" w:right="0" w:bottom="1420" w:left="1260" w:header="0" w:footer="1239" w:gutter="0"/>
          <w:cols w:space="720"/>
        </w:sectPr>
      </w:pPr>
    </w:p>
    <w:p w14:paraId="6BB012B9" w14:textId="77777777" w:rsidR="00A71EEF" w:rsidRDefault="0081115D">
      <w:pPr>
        <w:pStyle w:val="4"/>
        <w:spacing w:before="55"/>
        <w:ind w:left="1529"/>
      </w:pPr>
      <w:r>
        <w:lastRenderedPageBreak/>
        <w:t>附录</w:t>
      </w:r>
      <w:r>
        <w:t xml:space="preserve"> G</w:t>
      </w:r>
      <w:r>
        <w:t>（资料性附录）</w:t>
      </w:r>
      <w:r>
        <w:t xml:space="preserve"> </w:t>
      </w:r>
      <w:r>
        <w:t>危险化学品及核泄漏事故中的洗消方法</w:t>
      </w:r>
      <w:r>
        <w:rPr>
          <w:w w:val="99"/>
        </w:rPr>
        <w:t xml:space="preserve"> </w:t>
      </w:r>
    </w:p>
    <w:p w14:paraId="5CCB2E5A" w14:textId="77777777" w:rsidR="00A71EEF" w:rsidRDefault="00A71EEF">
      <w:pPr>
        <w:pStyle w:val="a3"/>
        <w:rPr>
          <w:b/>
          <w:sz w:val="24"/>
        </w:rPr>
      </w:pPr>
    </w:p>
    <w:p w14:paraId="79BE294E" w14:textId="77777777" w:rsidR="00A71EEF" w:rsidRDefault="0081115D">
      <w:pPr>
        <w:pStyle w:val="a4"/>
        <w:numPr>
          <w:ilvl w:val="0"/>
          <w:numId w:val="913"/>
        </w:numPr>
        <w:tabs>
          <w:tab w:val="left" w:pos="1053"/>
        </w:tabs>
        <w:spacing w:before="176"/>
        <w:rPr>
          <w:sz w:val="21"/>
        </w:rPr>
      </w:pPr>
      <w:r>
        <w:rPr>
          <w:b/>
          <w:sz w:val="21"/>
        </w:rPr>
        <w:t>1</w:t>
      </w:r>
      <w:r>
        <w:rPr>
          <w:b/>
          <w:spacing w:val="1"/>
          <w:sz w:val="21"/>
        </w:rPr>
        <w:t xml:space="preserve"> </w:t>
      </w:r>
      <w:r>
        <w:rPr>
          <w:spacing w:val="-3"/>
          <w:sz w:val="21"/>
        </w:rPr>
        <w:t>洗消原则</w:t>
      </w:r>
      <w:r>
        <w:rPr>
          <w:sz w:val="21"/>
        </w:rPr>
        <w:t xml:space="preserve"> </w:t>
      </w:r>
    </w:p>
    <w:p w14:paraId="0F4383C9" w14:textId="77777777" w:rsidR="00A71EEF" w:rsidRDefault="00A71EEF">
      <w:pPr>
        <w:pStyle w:val="a3"/>
        <w:spacing w:before="2"/>
        <w:rPr>
          <w:sz w:val="18"/>
        </w:rPr>
      </w:pPr>
    </w:p>
    <w:p w14:paraId="2C235F9B" w14:textId="77777777" w:rsidR="00A71EEF" w:rsidRDefault="0081115D">
      <w:pPr>
        <w:pStyle w:val="a4"/>
        <w:numPr>
          <w:ilvl w:val="2"/>
          <w:numId w:val="912"/>
        </w:numPr>
        <w:tabs>
          <w:tab w:val="left" w:pos="1370"/>
        </w:tabs>
        <w:ind w:hanging="530"/>
        <w:rPr>
          <w:sz w:val="21"/>
        </w:rPr>
      </w:pPr>
      <w:r>
        <w:rPr>
          <w:spacing w:val="-3"/>
          <w:sz w:val="21"/>
        </w:rPr>
        <w:t>既要及时、彻底、有效，又要尽可能保护洗消对象。</w:t>
      </w:r>
      <w:r>
        <w:rPr>
          <w:sz w:val="21"/>
        </w:rPr>
        <w:t xml:space="preserve"> </w:t>
      </w:r>
    </w:p>
    <w:p w14:paraId="64178FE1" w14:textId="77777777" w:rsidR="00A71EEF" w:rsidRDefault="00A71EEF">
      <w:pPr>
        <w:pStyle w:val="a3"/>
        <w:spacing w:before="12"/>
        <w:rPr>
          <w:sz w:val="17"/>
        </w:rPr>
      </w:pPr>
    </w:p>
    <w:p w14:paraId="76F78B05" w14:textId="77777777" w:rsidR="00A71EEF" w:rsidRDefault="0081115D">
      <w:pPr>
        <w:pStyle w:val="a4"/>
        <w:numPr>
          <w:ilvl w:val="2"/>
          <w:numId w:val="912"/>
        </w:numPr>
        <w:tabs>
          <w:tab w:val="left" w:pos="1371"/>
        </w:tabs>
        <w:spacing w:line="446" w:lineRule="auto"/>
        <w:ind w:left="418" w:right="1604" w:firstLine="422"/>
        <w:rPr>
          <w:sz w:val="21"/>
        </w:rPr>
      </w:pPr>
      <w:r>
        <w:rPr>
          <w:spacing w:val="-3"/>
          <w:sz w:val="21"/>
        </w:rPr>
        <w:t>根据污染物的理化性质、洗消对象的具体情况和洗消装备情况，选择相应的洗消剂和洗消方法。</w:t>
      </w:r>
      <w:r>
        <w:rPr>
          <w:sz w:val="21"/>
        </w:rPr>
        <w:t xml:space="preserve"> </w:t>
      </w:r>
    </w:p>
    <w:p w14:paraId="119D2852" w14:textId="77777777" w:rsidR="00A71EEF" w:rsidRDefault="0081115D">
      <w:pPr>
        <w:pStyle w:val="a4"/>
        <w:numPr>
          <w:ilvl w:val="2"/>
          <w:numId w:val="912"/>
        </w:numPr>
        <w:tabs>
          <w:tab w:val="left" w:pos="1371"/>
        </w:tabs>
        <w:spacing w:line="446" w:lineRule="auto"/>
        <w:ind w:left="840" w:right="2549" w:firstLine="0"/>
        <w:rPr>
          <w:sz w:val="21"/>
        </w:rPr>
      </w:pPr>
      <w:r>
        <w:rPr>
          <w:spacing w:val="-3"/>
          <w:sz w:val="21"/>
        </w:rPr>
        <w:t>洗消时，应为洗消人员配备有效的个人防护装备，并监督其正确使用。</w:t>
      </w:r>
      <w:r>
        <w:rPr>
          <w:b/>
          <w:spacing w:val="-3"/>
          <w:sz w:val="21"/>
        </w:rPr>
        <w:t>G.2</w:t>
      </w:r>
      <w:r>
        <w:rPr>
          <w:b/>
          <w:spacing w:val="-1"/>
          <w:sz w:val="21"/>
        </w:rPr>
        <w:t xml:space="preserve"> </w:t>
      </w:r>
      <w:r>
        <w:rPr>
          <w:spacing w:val="-3"/>
          <w:sz w:val="21"/>
        </w:rPr>
        <w:t>洗消对象</w:t>
      </w:r>
      <w:r>
        <w:rPr>
          <w:sz w:val="21"/>
        </w:rPr>
        <w:t xml:space="preserve"> </w:t>
      </w:r>
    </w:p>
    <w:p w14:paraId="55207BAC" w14:textId="77777777" w:rsidR="00A71EEF" w:rsidRDefault="0081115D">
      <w:pPr>
        <w:pStyle w:val="a3"/>
        <w:spacing w:line="446" w:lineRule="auto"/>
        <w:ind w:left="418" w:right="1609" w:firstLine="419"/>
      </w:pPr>
      <w:r>
        <w:t>在救援行动结束后，应对受污染的消防员及其佩戴的防护装备和使用的器材、仪器等进行洗消。</w:t>
      </w:r>
      <w:r>
        <w:t xml:space="preserve"> </w:t>
      </w:r>
    </w:p>
    <w:p w14:paraId="5A3563ED" w14:textId="77777777" w:rsidR="00A71EEF" w:rsidRDefault="0081115D">
      <w:pPr>
        <w:spacing w:line="446" w:lineRule="auto"/>
        <w:ind w:left="840" w:right="8013"/>
        <w:rPr>
          <w:sz w:val="21"/>
        </w:rPr>
      </w:pPr>
      <w:r>
        <w:rPr>
          <w:b/>
          <w:sz w:val="21"/>
        </w:rPr>
        <w:t xml:space="preserve">G.3 </w:t>
      </w:r>
      <w:r>
        <w:rPr>
          <w:sz w:val="21"/>
        </w:rPr>
        <w:t>洗消方法</w:t>
      </w:r>
      <w:r>
        <w:rPr>
          <w:b/>
          <w:sz w:val="21"/>
        </w:rPr>
        <w:t xml:space="preserve">G.3.1 </w:t>
      </w:r>
      <w:r>
        <w:rPr>
          <w:sz w:val="21"/>
        </w:rPr>
        <w:t>物理洗消法</w:t>
      </w:r>
      <w:r>
        <w:rPr>
          <w:sz w:val="21"/>
        </w:rPr>
        <w:t xml:space="preserve"> </w:t>
      </w:r>
    </w:p>
    <w:p w14:paraId="4D477142" w14:textId="77777777" w:rsidR="00A71EEF" w:rsidRDefault="0081115D">
      <w:pPr>
        <w:pStyle w:val="a3"/>
        <w:spacing w:line="446" w:lineRule="auto"/>
        <w:ind w:left="418" w:right="1608" w:firstLine="419"/>
        <w:jc w:val="both"/>
      </w:pPr>
      <w:r>
        <w:t>利用通风、日晒、雨淋等自然条件使污染物自行蒸发、散失及被水解，使污染物逐渐降低毒性或被逐渐破坏而失去毒性；用水浸泡、蒸、煮沸、或直接用大量的水冲洗洗消对象；可利用棉纱、纱布等浸以汽油、煤油、酒精等溶剂，将表面的污染物溶解、擦洗掉；对液体及固体污染源采用封闭掩埋或将污染物移走的方法，但掩埋时必须加大量的漂白粉。</w:t>
      </w:r>
      <w:r>
        <w:t xml:space="preserve"> </w:t>
      </w:r>
    </w:p>
    <w:p w14:paraId="48D0DBF9" w14:textId="77777777" w:rsidR="00A71EEF" w:rsidRDefault="0081115D">
      <w:pPr>
        <w:pStyle w:val="a4"/>
        <w:numPr>
          <w:ilvl w:val="2"/>
          <w:numId w:val="911"/>
        </w:numPr>
        <w:tabs>
          <w:tab w:val="left" w:pos="1370"/>
        </w:tabs>
        <w:spacing w:line="267" w:lineRule="exact"/>
        <w:ind w:hanging="530"/>
        <w:rPr>
          <w:sz w:val="21"/>
        </w:rPr>
      </w:pPr>
      <w:r>
        <w:rPr>
          <w:spacing w:val="-3"/>
          <w:sz w:val="21"/>
        </w:rPr>
        <w:t>化学洗消法</w:t>
      </w:r>
      <w:r>
        <w:rPr>
          <w:sz w:val="21"/>
        </w:rPr>
        <w:t xml:space="preserve"> </w:t>
      </w:r>
    </w:p>
    <w:p w14:paraId="0F93C7FC" w14:textId="77777777" w:rsidR="00A71EEF" w:rsidRDefault="00A71EEF">
      <w:pPr>
        <w:pStyle w:val="a3"/>
        <w:spacing w:before="10"/>
        <w:rPr>
          <w:sz w:val="17"/>
        </w:rPr>
      </w:pPr>
    </w:p>
    <w:p w14:paraId="336BD0EF" w14:textId="77777777" w:rsidR="00A71EEF" w:rsidRDefault="0081115D">
      <w:pPr>
        <w:pStyle w:val="a3"/>
        <w:spacing w:line="446" w:lineRule="auto"/>
        <w:ind w:left="418" w:right="1608" w:firstLine="419"/>
      </w:pPr>
      <w:r>
        <w:rPr>
          <w:spacing w:val="-3"/>
        </w:rPr>
        <w:t>利用洗消剂与污染物发生化学反应，生成无毒或低毒的产物，但应注意避免发生次生危害事故。化学洗消法在实施中常与物理洗消法同时采用。化学洗消法主要有中和法、氧化还原</w:t>
      </w:r>
      <w:r>
        <w:rPr>
          <w:spacing w:val="-3"/>
        </w:rPr>
        <w:t xml:space="preserve"> </w:t>
      </w:r>
      <w:r>
        <w:rPr>
          <w:spacing w:val="-3"/>
        </w:rPr>
        <w:t>法、催化剂法等。</w:t>
      </w:r>
      <w:r>
        <w:t xml:space="preserve"> </w:t>
      </w:r>
    </w:p>
    <w:p w14:paraId="4A3B381E" w14:textId="77777777" w:rsidR="00A71EEF" w:rsidRDefault="0081115D">
      <w:pPr>
        <w:pStyle w:val="a4"/>
        <w:numPr>
          <w:ilvl w:val="3"/>
          <w:numId w:val="911"/>
        </w:numPr>
        <w:tabs>
          <w:tab w:val="left" w:pos="1583"/>
        </w:tabs>
        <w:spacing w:line="268" w:lineRule="exact"/>
        <w:rPr>
          <w:sz w:val="21"/>
        </w:rPr>
      </w:pPr>
      <w:r>
        <w:rPr>
          <w:spacing w:val="-3"/>
          <w:sz w:val="21"/>
        </w:rPr>
        <w:t>中</w:t>
      </w:r>
      <w:r>
        <w:rPr>
          <w:spacing w:val="-3"/>
          <w:sz w:val="21"/>
        </w:rPr>
        <w:t>和法</w:t>
      </w:r>
      <w:r>
        <w:rPr>
          <w:sz w:val="21"/>
        </w:rPr>
        <w:t xml:space="preserve"> </w:t>
      </w:r>
    </w:p>
    <w:p w14:paraId="5CE4A1D3" w14:textId="77777777" w:rsidR="00A71EEF" w:rsidRDefault="00A71EEF">
      <w:pPr>
        <w:pStyle w:val="a3"/>
        <w:spacing w:before="2"/>
        <w:rPr>
          <w:sz w:val="18"/>
        </w:rPr>
      </w:pPr>
    </w:p>
    <w:p w14:paraId="4A210E11" w14:textId="77777777" w:rsidR="00A71EEF" w:rsidRDefault="0081115D">
      <w:pPr>
        <w:pStyle w:val="a3"/>
        <w:spacing w:line="367" w:lineRule="auto"/>
        <w:ind w:left="418" w:right="1469" w:firstLine="419"/>
      </w:pPr>
      <w:r>
        <w:rPr>
          <w:spacing w:val="-3"/>
          <w:position w:val="1"/>
        </w:rPr>
        <w:t>中和法是利用酸碱中和反应的原理消除化学有害因素。强酸</w:t>
      </w:r>
      <w:r>
        <w:rPr>
          <w:spacing w:val="-3"/>
          <w:position w:val="1"/>
        </w:rPr>
        <w:t>(</w:t>
      </w:r>
      <w:r>
        <w:rPr>
          <w:position w:val="1"/>
        </w:rPr>
        <w:t>H</w:t>
      </w:r>
      <w:r>
        <w:rPr>
          <w:sz w:val="11"/>
        </w:rPr>
        <w:t>2</w:t>
      </w:r>
      <w:r>
        <w:rPr>
          <w:position w:val="1"/>
        </w:rPr>
        <w:t>SO</w:t>
      </w:r>
      <w:r>
        <w:rPr>
          <w:sz w:val="11"/>
        </w:rPr>
        <w:t>4</w:t>
      </w:r>
      <w:r>
        <w:rPr>
          <w:position w:val="1"/>
        </w:rPr>
        <w:t>、</w:t>
      </w:r>
      <w:r>
        <w:rPr>
          <w:position w:val="1"/>
        </w:rPr>
        <w:t>HC1</w:t>
      </w:r>
      <w:r>
        <w:rPr>
          <w:position w:val="1"/>
        </w:rPr>
        <w:t>、</w:t>
      </w:r>
      <w:r>
        <w:rPr>
          <w:position w:val="1"/>
        </w:rPr>
        <w:t>HN0</w:t>
      </w:r>
      <w:r>
        <w:rPr>
          <w:sz w:val="11"/>
        </w:rPr>
        <w:t>3</w:t>
      </w:r>
      <w:r>
        <w:rPr>
          <w:spacing w:val="-1"/>
          <w:position w:val="1"/>
        </w:rPr>
        <w:t>)</w:t>
      </w:r>
      <w:r>
        <w:rPr>
          <w:spacing w:val="-1"/>
          <w:position w:val="1"/>
        </w:rPr>
        <w:t>大量泄漏</w:t>
      </w:r>
      <w:r>
        <w:rPr>
          <w:spacing w:val="-1"/>
          <w:position w:val="1"/>
        </w:rPr>
        <w:t xml:space="preserve">  </w:t>
      </w:r>
      <w:r>
        <w:rPr>
          <w:spacing w:val="-9"/>
          <w:position w:val="1"/>
        </w:rPr>
        <w:t>时，可以用</w:t>
      </w:r>
      <w:r>
        <w:rPr>
          <w:spacing w:val="-9"/>
          <w:position w:val="1"/>
        </w:rPr>
        <w:t xml:space="preserve"> </w:t>
      </w:r>
      <w:r>
        <w:rPr>
          <w:position w:val="1"/>
        </w:rPr>
        <w:t>5%</w:t>
      </w:r>
      <w:r>
        <w:rPr>
          <w:rFonts w:ascii="微软雅黑" w:eastAsia="微软雅黑" w:hint="eastAsia"/>
          <w:position w:val="1"/>
        </w:rPr>
        <w:t>〜</w:t>
      </w:r>
      <w:r>
        <w:rPr>
          <w:position w:val="1"/>
        </w:rPr>
        <w:t>10%NaOH</w:t>
      </w:r>
      <w:r>
        <w:rPr>
          <w:position w:val="1"/>
        </w:rPr>
        <w:t>、</w:t>
      </w:r>
      <w:r>
        <w:rPr>
          <w:position w:val="1"/>
        </w:rPr>
        <w:t>Na</w:t>
      </w:r>
      <w:r>
        <w:rPr>
          <w:sz w:val="11"/>
        </w:rPr>
        <w:t>2</w:t>
      </w:r>
      <w:r>
        <w:rPr>
          <w:position w:val="1"/>
        </w:rPr>
        <w:t>CO</w:t>
      </w:r>
      <w:r>
        <w:rPr>
          <w:sz w:val="11"/>
        </w:rPr>
        <w:t>3</w:t>
      </w:r>
      <w:r>
        <w:rPr>
          <w:position w:val="1"/>
        </w:rPr>
        <w:t>、</w:t>
      </w:r>
      <w:r>
        <w:rPr>
          <w:position w:val="1"/>
        </w:rPr>
        <w:t>Ca(OH)</w:t>
      </w:r>
      <w:r>
        <w:rPr>
          <w:sz w:val="11"/>
        </w:rPr>
        <w:t>2</w:t>
      </w:r>
      <w:r>
        <w:rPr>
          <w:spacing w:val="-21"/>
          <w:sz w:val="11"/>
        </w:rPr>
        <w:t xml:space="preserve"> </w:t>
      </w:r>
      <w:r>
        <w:rPr>
          <w:spacing w:val="-3"/>
          <w:position w:val="1"/>
        </w:rPr>
        <w:t>等作为中和洗消剂；也可用氨水，但氨水本身具有刺</w:t>
      </w:r>
      <w:r>
        <w:rPr>
          <w:spacing w:val="-3"/>
        </w:rPr>
        <w:t>激性，使用时要注意浓度的控制；反之，若是大量碱性物质泄漏（如氨的泄漏</w:t>
      </w:r>
      <w:r>
        <w:t>）</w:t>
      </w:r>
      <w:r>
        <w:rPr>
          <w:spacing w:val="-2"/>
        </w:rPr>
        <w:t>，用酸性物质</w:t>
      </w:r>
    </w:p>
    <w:p w14:paraId="71258A06" w14:textId="77777777" w:rsidR="00A71EEF" w:rsidRDefault="0081115D">
      <w:pPr>
        <w:pStyle w:val="a3"/>
        <w:spacing w:before="85" w:line="446" w:lineRule="auto"/>
        <w:ind w:left="418" w:right="1608"/>
      </w:pPr>
      <w:r>
        <w:t>进行中和，但同样必须控制洗消剂溶液的浓度，避免发生次生危害事故。中和洗消完成后，对残留物仍然需要用大量水冲洗。</w:t>
      </w:r>
      <w:r>
        <w:t xml:space="preserve"> </w:t>
      </w:r>
    </w:p>
    <w:p w14:paraId="482CFEF1" w14:textId="77777777" w:rsidR="00A71EEF" w:rsidRDefault="00A71EEF">
      <w:pPr>
        <w:pStyle w:val="a3"/>
        <w:rPr>
          <w:sz w:val="20"/>
        </w:rPr>
      </w:pPr>
    </w:p>
    <w:p w14:paraId="013D39A6" w14:textId="77777777" w:rsidR="00A71EEF" w:rsidRDefault="00A71EEF">
      <w:pPr>
        <w:pStyle w:val="a3"/>
        <w:rPr>
          <w:sz w:val="20"/>
        </w:rPr>
      </w:pPr>
    </w:p>
    <w:p w14:paraId="24D93D78" w14:textId="77777777" w:rsidR="00A71EEF" w:rsidRDefault="00A71EEF">
      <w:pPr>
        <w:pStyle w:val="a3"/>
        <w:rPr>
          <w:sz w:val="20"/>
        </w:rPr>
      </w:pPr>
    </w:p>
    <w:p w14:paraId="3D17E5DC" w14:textId="77777777" w:rsidR="00A71EEF" w:rsidRDefault="00A71EEF">
      <w:pPr>
        <w:pStyle w:val="a3"/>
        <w:spacing w:before="12"/>
        <w:rPr>
          <w:sz w:val="17"/>
        </w:rPr>
      </w:pPr>
    </w:p>
    <w:p w14:paraId="58D9EFEA" w14:textId="77777777" w:rsidR="00A71EEF" w:rsidRDefault="0081115D">
      <w:pPr>
        <w:pStyle w:val="a3"/>
        <w:ind w:left="838"/>
      </w:pPr>
      <w:r>
        <w:t xml:space="preserve"> </w:t>
      </w:r>
    </w:p>
    <w:p w14:paraId="3BD5D500" w14:textId="77777777" w:rsidR="00A71EEF" w:rsidRDefault="00A71EEF">
      <w:pPr>
        <w:sectPr w:rsidR="00A71EEF">
          <w:pgSz w:w="11910" w:h="16850"/>
          <w:pgMar w:top="1180" w:right="0" w:bottom="1420" w:left="1260" w:header="0" w:footer="1239" w:gutter="0"/>
          <w:cols w:space="720"/>
        </w:sectPr>
      </w:pPr>
    </w:p>
    <w:p w14:paraId="1559378C" w14:textId="77777777" w:rsidR="00A71EEF" w:rsidRDefault="0081115D">
      <w:pPr>
        <w:pStyle w:val="a3"/>
        <w:spacing w:before="47"/>
        <w:ind w:left="838"/>
      </w:pPr>
      <w:r>
        <w:lastRenderedPageBreak/>
        <w:t>常见毒物和中和剂见表</w:t>
      </w:r>
      <w:r>
        <w:t xml:space="preserve"> G.1</w:t>
      </w:r>
      <w:r>
        <w:t>。</w:t>
      </w:r>
      <w:r>
        <w:t xml:space="preserve"> </w:t>
      </w:r>
    </w:p>
    <w:p w14:paraId="1AB4A178" w14:textId="77777777" w:rsidR="00A71EEF" w:rsidRDefault="0081115D">
      <w:pPr>
        <w:pStyle w:val="a3"/>
        <w:spacing w:before="10"/>
        <w:rPr>
          <w:sz w:val="27"/>
        </w:rPr>
      </w:pPr>
      <w:r>
        <w:rPr>
          <w:noProof/>
        </w:rPr>
        <w:drawing>
          <wp:anchor distT="0" distB="0" distL="0" distR="0" simplePos="0" relativeHeight="251465216" behindDoc="0" locked="0" layoutInCell="1" allowOverlap="1" wp14:anchorId="13F2B059" wp14:editId="6063FD2E">
            <wp:simplePos x="0" y="0"/>
            <wp:positionH relativeFrom="page">
              <wp:posOffset>1227455</wp:posOffset>
            </wp:positionH>
            <wp:positionV relativeFrom="paragraph">
              <wp:posOffset>250912</wp:posOffset>
            </wp:positionV>
            <wp:extent cx="5172075" cy="2457450"/>
            <wp:effectExtent l="0" t="0" r="0" b="0"/>
            <wp:wrapTopAndBottom/>
            <wp:docPr id="33"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2.jpeg"/>
                    <pic:cNvPicPr/>
                  </pic:nvPicPr>
                  <pic:blipFill>
                    <a:blip r:embed="rId28" cstate="print"/>
                    <a:stretch>
                      <a:fillRect/>
                    </a:stretch>
                  </pic:blipFill>
                  <pic:spPr>
                    <a:xfrm>
                      <a:off x="0" y="0"/>
                      <a:ext cx="5172075" cy="2457450"/>
                    </a:xfrm>
                    <a:prstGeom prst="rect">
                      <a:avLst/>
                    </a:prstGeom>
                  </pic:spPr>
                </pic:pic>
              </a:graphicData>
            </a:graphic>
          </wp:anchor>
        </w:drawing>
      </w:r>
    </w:p>
    <w:p w14:paraId="1EA3477F" w14:textId="77777777" w:rsidR="00A71EEF" w:rsidRDefault="0081115D">
      <w:pPr>
        <w:pStyle w:val="a4"/>
        <w:numPr>
          <w:ilvl w:val="3"/>
          <w:numId w:val="911"/>
        </w:numPr>
        <w:tabs>
          <w:tab w:val="left" w:pos="1583"/>
        </w:tabs>
        <w:spacing w:before="164"/>
        <w:rPr>
          <w:sz w:val="21"/>
        </w:rPr>
      </w:pPr>
      <w:r>
        <w:rPr>
          <w:spacing w:val="-3"/>
          <w:sz w:val="21"/>
        </w:rPr>
        <w:t>氧化还原法</w:t>
      </w:r>
      <w:r>
        <w:rPr>
          <w:spacing w:val="-3"/>
          <w:sz w:val="21"/>
        </w:rPr>
        <w:t xml:space="preserve"> </w:t>
      </w:r>
    </w:p>
    <w:p w14:paraId="78FA90E0" w14:textId="77777777" w:rsidR="00A71EEF" w:rsidRDefault="00A71EEF">
      <w:pPr>
        <w:pStyle w:val="a3"/>
        <w:spacing w:before="12"/>
        <w:rPr>
          <w:sz w:val="17"/>
        </w:rPr>
      </w:pPr>
    </w:p>
    <w:p w14:paraId="3F94D4FD" w14:textId="77777777" w:rsidR="00A71EEF" w:rsidRDefault="0081115D">
      <w:pPr>
        <w:pStyle w:val="a3"/>
        <w:spacing w:line="446" w:lineRule="auto"/>
        <w:ind w:left="418" w:right="1608" w:firstLine="419"/>
        <w:jc w:val="both"/>
      </w:pPr>
      <w:r>
        <w:t>利用洗消剂与毒物发生氧化还原反应，可对毒性大且持久的油状液体毒物等进行洗消。常用洗消剂有漂白粉（有效成分是次氯酸钙）、三合二（其性质与漂白粉相似）等。也可利用燃烧来破坏毒物的毒性。</w:t>
      </w:r>
      <w:r>
        <w:t xml:space="preserve"> </w:t>
      </w:r>
    </w:p>
    <w:p w14:paraId="4BBBD23D" w14:textId="77777777" w:rsidR="00A71EEF" w:rsidRDefault="0081115D">
      <w:pPr>
        <w:pStyle w:val="a4"/>
        <w:numPr>
          <w:ilvl w:val="3"/>
          <w:numId w:val="911"/>
        </w:numPr>
        <w:tabs>
          <w:tab w:val="left" w:pos="1583"/>
        </w:tabs>
        <w:spacing w:line="268" w:lineRule="exact"/>
        <w:rPr>
          <w:sz w:val="21"/>
        </w:rPr>
      </w:pPr>
      <w:r>
        <w:rPr>
          <w:spacing w:val="-3"/>
          <w:sz w:val="21"/>
        </w:rPr>
        <w:t>催化法</w:t>
      </w:r>
      <w:r>
        <w:rPr>
          <w:sz w:val="21"/>
        </w:rPr>
        <w:t xml:space="preserve"> </w:t>
      </w:r>
    </w:p>
    <w:p w14:paraId="7F7D5050" w14:textId="77777777" w:rsidR="00A71EEF" w:rsidRDefault="00A71EEF">
      <w:pPr>
        <w:pStyle w:val="a3"/>
        <w:spacing w:before="12"/>
        <w:rPr>
          <w:sz w:val="17"/>
        </w:rPr>
      </w:pPr>
    </w:p>
    <w:p w14:paraId="057F0B52" w14:textId="77777777" w:rsidR="00A71EEF" w:rsidRDefault="0081115D">
      <w:pPr>
        <w:pStyle w:val="a3"/>
        <w:spacing w:line="446" w:lineRule="auto"/>
        <w:ind w:left="418" w:right="1608" w:firstLine="419"/>
        <w:jc w:val="both"/>
      </w:pPr>
      <w:r>
        <w:t>利用催化剂把毒物加速转化成无毒或低毒物质。一些有毒的农药（包括毒性较大的含磷农药），其水解产物是无毒</w:t>
      </w:r>
      <w:r>
        <w:t>的，但反应速度很慢，加入某些催化剂可促其水解。利用农药加碱性物质可催化水解的原理，常用碱水或碱溶液对被农药、战剂等污染的对象进行洗消。</w:t>
      </w:r>
      <w:r>
        <w:t xml:space="preserve"> </w:t>
      </w:r>
    </w:p>
    <w:p w14:paraId="75E1FECF" w14:textId="77777777" w:rsidR="00A71EEF" w:rsidRDefault="0081115D">
      <w:pPr>
        <w:spacing w:line="268" w:lineRule="exact"/>
        <w:ind w:left="840"/>
        <w:rPr>
          <w:b/>
          <w:sz w:val="21"/>
        </w:rPr>
      </w:pPr>
      <w:r>
        <w:rPr>
          <w:b/>
          <w:sz w:val="21"/>
        </w:rPr>
        <w:t xml:space="preserve">G.4 </w:t>
      </w:r>
      <w:r>
        <w:rPr>
          <w:sz w:val="21"/>
        </w:rPr>
        <w:t>化学战剂（毒剂）洗消</w:t>
      </w:r>
      <w:r>
        <w:rPr>
          <w:b/>
          <w:w w:val="99"/>
          <w:sz w:val="21"/>
        </w:rPr>
        <w:t xml:space="preserve"> </w:t>
      </w:r>
    </w:p>
    <w:p w14:paraId="79F949FA" w14:textId="77777777" w:rsidR="00A71EEF" w:rsidRDefault="00A71EEF">
      <w:pPr>
        <w:pStyle w:val="a3"/>
        <w:spacing w:before="2"/>
        <w:rPr>
          <w:b/>
          <w:sz w:val="18"/>
        </w:rPr>
      </w:pPr>
    </w:p>
    <w:p w14:paraId="6B97E28B" w14:textId="77777777" w:rsidR="00A71EEF" w:rsidRDefault="0081115D">
      <w:pPr>
        <w:pStyle w:val="a3"/>
        <w:spacing w:line="446" w:lineRule="auto"/>
        <w:ind w:left="418" w:right="1404" w:firstLine="419"/>
      </w:pPr>
      <w:r>
        <w:rPr>
          <w:spacing w:val="-10"/>
        </w:rPr>
        <w:t>目前，有</w:t>
      </w:r>
      <w:r>
        <w:rPr>
          <w:spacing w:val="-10"/>
        </w:rPr>
        <w:t xml:space="preserve"> </w:t>
      </w:r>
      <w:r>
        <w:t>3</w:t>
      </w:r>
      <w:r>
        <w:rPr>
          <w:spacing w:val="-8"/>
        </w:rPr>
        <w:t xml:space="preserve"> </w:t>
      </w:r>
      <w:r>
        <w:rPr>
          <w:spacing w:val="-8"/>
        </w:rPr>
        <w:t>种化学机制被用于毒剂洗消：水或肥皂水冲洗、氧化作用和酸碱水解。芥子气</w:t>
      </w:r>
      <w:r>
        <w:rPr>
          <w:spacing w:val="-8"/>
        </w:rPr>
        <w:t>(HD)</w:t>
      </w:r>
      <w:r>
        <w:rPr>
          <w:spacing w:val="-8"/>
        </w:rPr>
        <w:t>和持久性神经毒剂</w:t>
      </w:r>
      <w:r>
        <w:rPr>
          <w:spacing w:val="-8"/>
        </w:rPr>
        <w:t xml:space="preserve"> </w:t>
      </w:r>
      <w:r>
        <w:t>VX</w:t>
      </w:r>
      <w:r>
        <w:rPr>
          <w:spacing w:val="-8"/>
        </w:rPr>
        <w:t xml:space="preserve"> </w:t>
      </w:r>
      <w:r>
        <w:rPr>
          <w:spacing w:val="-8"/>
        </w:rPr>
        <w:t>都含有硫原子，容易被氧化。</w:t>
      </w:r>
      <w:r>
        <w:t>VX</w:t>
      </w:r>
      <w:r>
        <w:rPr>
          <w:spacing w:val="-8"/>
        </w:rPr>
        <w:t xml:space="preserve"> </w:t>
      </w:r>
      <w:r>
        <w:rPr>
          <w:spacing w:val="-8"/>
        </w:rPr>
        <w:t>和其它神经性毒剂</w:t>
      </w:r>
      <w:r>
        <w:t>(GB</w:t>
      </w:r>
      <w:r>
        <w:t>、</w:t>
      </w:r>
      <w:r>
        <w:t>GB</w:t>
      </w:r>
      <w:r>
        <w:t>、</w:t>
      </w:r>
      <w:r>
        <w:t>GD</w:t>
      </w:r>
      <w:r>
        <w:rPr>
          <w:spacing w:val="-20"/>
        </w:rPr>
        <w:t xml:space="preserve"> </w:t>
      </w:r>
      <w:r>
        <w:rPr>
          <w:spacing w:val="-20"/>
        </w:rPr>
        <w:t>和</w:t>
      </w:r>
      <w:r>
        <w:rPr>
          <w:spacing w:val="-20"/>
        </w:rPr>
        <w:t>GF)</w:t>
      </w:r>
      <w:r>
        <w:rPr>
          <w:spacing w:val="-3"/>
        </w:rPr>
        <w:t>都含有磷基能被水解。因此，</w:t>
      </w:r>
      <w:r>
        <w:t>HD</w:t>
      </w:r>
      <w:r>
        <w:rPr>
          <w:spacing w:val="-33"/>
        </w:rPr>
        <w:t xml:space="preserve"> </w:t>
      </w:r>
      <w:r>
        <w:rPr>
          <w:spacing w:val="-33"/>
        </w:rPr>
        <w:t>和</w:t>
      </w:r>
      <w:r>
        <w:rPr>
          <w:spacing w:val="-33"/>
        </w:rPr>
        <w:t xml:space="preserve"> </w:t>
      </w:r>
      <w:r>
        <w:t>VX</w:t>
      </w:r>
      <w:r>
        <w:rPr>
          <w:spacing w:val="-8"/>
        </w:rPr>
        <w:t xml:space="preserve"> </w:t>
      </w:r>
      <w:r>
        <w:rPr>
          <w:spacing w:val="-8"/>
        </w:rPr>
        <w:t>的消毒一般采用氧化，</w:t>
      </w:r>
      <w:r>
        <w:t>VX</w:t>
      </w:r>
      <w:r>
        <w:rPr>
          <w:spacing w:val="1"/>
        </w:rPr>
        <w:t xml:space="preserve"> </w:t>
      </w:r>
      <w:r>
        <w:rPr>
          <w:spacing w:val="1"/>
        </w:rPr>
        <w:t>和</w:t>
      </w:r>
      <w:r>
        <w:t>G</w:t>
      </w:r>
      <w:r>
        <w:rPr>
          <w:spacing w:val="-9"/>
        </w:rPr>
        <w:t xml:space="preserve"> </w:t>
      </w:r>
      <w:r>
        <w:rPr>
          <w:spacing w:val="-9"/>
        </w:rPr>
        <w:t>类毒剂一般采用水解。</w:t>
      </w:r>
      <w:r>
        <w:t xml:space="preserve"> </w:t>
      </w:r>
    </w:p>
    <w:p w14:paraId="3CDAEFE6" w14:textId="77777777" w:rsidR="00A71EEF" w:rsidRDefault="00A71EEF">
      <w:pPr>
        <w:pStyle w:val="a3"/>
        <w:rPr>
          <w:sz w:val="20"/>
        </w:rPr>
      </w:pPr>
    </w:p>
    <w:p w14:paraId="363218B5" w14:textId="77777777" w:rsidR="00A71EEF" w:rsidRDefault="00A71EEF">
      <w:pPr>
        <w:pStyle w:val="a3"/>
        <w:rPr>
          <w:sz w:val="20"/>
        </w:rPr>
      </w:pPr>
    </w:p>
    <w:p w14:paraId="3AEA9C8A" w14:textId="77777777" w:rsidR="00A71EEF" w:rsidRDefault="00A71EEF">
      <w:pPr>
        <w:pStyle w:val="a3"/>
        <w:rPr>
          <w:sz w:val="20"/>
        </w:rPr>
      </w:pPr>
    </w:p>
    <w:p w14:paraId="55842A3B" w14:textId="77777777" w:rsidR="00A71EEF" w:rsidRDefault="00A71EEF">
      <w:pPr>
        <w:pStyle w:val="a3"/>
        <w:rPr>
          <w:sz w:val="20"/>
        </w:rPr>
      </w:pPr>
    </w:p>
    <w:p w14:paraId="4A54F9F1" w14:textId="77777777" w:rsidR="00A71EEF" w:rsidRDefault="00A71EEF">
      <w:pPr>
        <w:pStyle w:val="a3"/>
        <w:rPr>
          <w:sz w:val="20"/>
        </w:rPr>
      </w:pPr>
    </w:p>
    <w:p w14:paraId="39056A98" w14:textId="77777777" w:rsidR="00A71EEF" w:rsidRDefault="00A71EEF">
      <w:pPr>
        <w:pStyle w:val="a3"/>
        <w:rPr>
          <w:sz w:val="20"/>
        </w:rPr>
      </w:pPr>
    </w:p>
    <w:p w14:paraId="1FD70D1B" w14:textId="77777777" w:rsidR="00A71EEF" w:rsidRDefault="00A71EEF">
      <w:pPr>
        <w:pStyle w:val="a3"/>
        <w:rPr>
          <w:sz w:val="20"/>
        </w:rPr>
      </w:pPr>
    </w:p>
    <w:p w14:paraId="181E8E04" w14:textId="77777777" w:rsidR="00A71EEF" w:rsidRDefault="00A71EEF">
      <w:pPr>
        <w:pStyle w:val="a3"/>
        <w:rPr>
          <w:sz w:val="20"/>
        </w:rPr>
      </w:pPr>
    </w:p>
    <w:p w14:paraId="673AF4AF" w14:textId="77777777" w:rsidR="00A71EEF" w:rsidRDefault="00A71EEF">
      <w:pPr>
        <w:pStyle w:val="a3"/>
        <w:spacing w:before="5"/>
        <w:rPr>
          <w:sz w:val="29"/>
        </w:rPr>
      </w:pPr>
    </w:p>
    <w:p w14:paraId="5BC9D77B" w14:textId="77777777" w:rsidR="00A71EEF" w:rsidRDefault="0081115D">
      <w:pPr>
        <w:pStyle w:val="a3"/>
        <w:spacing w:before="72"/>
        <w:ind w:left="838"/>
      </w:pPr>
      <w:r>
        <w:t xml:space="preserve"> </w:t>
      </w:r>
    </w:p>
    <w:p w14:paraId="695C77D3" w14:textId="77777777" w:rsidR="00A71EEF" w:rsidRDefault="00A71EEF">
      <w:pPr>
        <w:sectPr w:rsidR="00A71EEF">
          <w:pgSz w:w="11910" w:h="16850"/>
          <w:pgMar w:top="1220" w:right="0" w:bottom="1420" w:left="1260" w:header="0" w:footer="1239" w:gutter="0"/>
          <w:cols w:space="720"/>
        </w:sectPr>
      </w:pPr>
    </w:p>
    <w:p w14:paraId="1B6DDA4F" w14:textId="77777777" w:rsidR="00A71EEF" w:rsidRDefault="0081115D">
      <w:pPr>
        <w:pStyle w:val="2"/>
        <w:ind w:right="870"/>
      </w:pPr>
      <w:bookmarkStart w:id="3" w:name="_bookmark3"/>
      <w:bookmarkEnd w:id="3"/>
      <w:r>
        <w:lastRenderedPageBreak/>
        <w:t>消防员方位灯</w:t>
      </w:r>
      <w:r>
        <w:rPr>
          <w:w w:val="99"/>
        </w:rPr>
        <w:t xml:space="preserve"> </w:t>
      </w:r>
    </w:p>
    <w:p w14:paraId="605CB774" w14:textId="77777777" w:rsidR="00A71EEF" w:rsidRDefault="00A71EEF">
      <w:pPr>
        <w:pStyle w:val="a3"/>
        <w:rPr>
          <w:b/>
          <w:sz w:val="20"/>
        </w:rPr>
      </w:pPr>
    </w:p>
    <w:p w14:paraId="5FF6C42A" w14:textId="77777777" w:rsidR="00A71EEF" w:rsidRDefault="00A71EEF">
      <w:pPr>
        <w:pStyle w:val="a3"/>
        <w:spacing w:before="5"/>
        <w:rPr>
          <w:b/>
          <w:sz w:val="14"/>
        </w:rPr>
      </w:pPr>
    </w:p>
    <w:p w14:paraId="18D07619" w14:textId="77777777" w:rsidR="00A71EEF" w:rsidRDefault="0081115D">
      <w:pPr>
        <w:pStyle w:val="4"/>
        <w:spacing w:before="66"/>
      </w:pPr>
      <w:r>
        <w:t xml:space="preserve">1 </w:t>
      </w:r>
      <w:r>
        <w:t>范围</w:t>
      </w:r>
      <w:r>
        <w:rPr>
          <w:w w:val="99"/>
        </w:rPr>
        <w:t xml:space="preserve"> </w:t>
      </w:r>
    </w:p>
    <w:p w14:paraId="104F53B5" w14:textId="77777777" w:rsidR="00A71EEF" w:rsidRDefault="00A71EEF">
      <w:pPr>
        <w:pStyle w:val="a3"/>
        <w:spacing w:before="4"/>
        <w:rPr>
          <w:b/>
          <w:sz w:val="17"/>
        </w:rPr>
      </w:pPr>
    </w:p>
    <w:p w14:paraId="4E4B0A30" w14:textId="77777777" w:rsidR="00A71EEF" w:rsidRDefault="0081115D">
      <w:pPr>
        <w:pStyle w:val="a3"/>
        <w:spacing w:line="446" w:lineRule="auto"/>
        <w:ind w:left="418" w:right="1609" w:firstLine="419"/>
      </w:pPr>
      <w:r>
        <w:t>本标准规定了消防员方位灯的木语和定义、型号及基本参数、技术要求、试验方法、检验规则、标志、</w:t>
      </w:r>
      <w:r>
        <w:t xml:space="preserve"> </w:t>
      </w:r>
      <w:r>
        <w:t>包装、运输和贮存。</w:t>
      </w:r>
      <w:r>
        <w:t xml:space="preserve"> </w:t>
      </w:r>
    </w:p>
    <w:p w14:paraId="2FD2BF8F" w14:textId="77777777" w:rsidR="00A71EEF" w:rsidRDefault="0081115D">
      <w:pPr>
        <w:pStyle w:val="a3"/>
        <w:ind w:left="838"/>
      </w:pPr>
      <w:r>
        <w:t>本标准适用于消防员使用的方位灯（以下简称方位灯）。</w:t>
      </w:r>
      <w:r>
        <w:t xml:space="preserve"> </w:t>
      </w:r>
    </w:p>
    <w:p w14:paraId="430BAEE9" w14:textId="77777777" w:rsidR="00A71EEF" w:rsidRDefault="00A71EEF">
      <w:pPr>
        <w:pStyle w:val="a3"/>
        <w:spacing w:before="8"/>
        <w:rPr>
          <w:sz w:val="15"/>
        </w:rPr>
      </w:pPr>
    </w:p>
    <w:p w14:paraId="3241F1F1" w14:textId="77777777" w:rsidR="00A71EEF" w:rsidRDefault="0081115D">
      <w:pPr>
        <w:pStyle w:val="4"/>
      </w:pPr>
      <w:r>
        <w:t xml:space="preserve">2 </w:t>
      </w:r>
      <w:r>
        <w:t>规范性引用文件</w:t>
      </w:r>
      <w:r>
        <w:rPr>
          <w:w w:val="99"/>
        </w:rPr>
        <w:t xml:space="preserve"> </w:t>
      </w:r>
    </w:p>
    <w:p w14:paraId="26EB8777" w14:textId="77777777" w:rsidR="00A71EEF" w:rsidRDefault="00A71EEF">
      <w:pPr>
        <w:pStyle w:val="a3"/>
        <w:spacing w:before="4"/>
        <w:rPr>
          <w:b/>
          <w:sz w:val="17"/>
        </w:rPr>
      </w:pPr>
    </w:p>
    <w:p w14:paraId="34B89CB3" w14:textId="77777777" w:rsidR="00A71EEF" w:rsidRDefault="0081115D">
      <w:pPr>
        <w:pStyle w:val="a3"/>
        <w:spacing w:line="446" w:lineRule="auto"/>
        <w:ind w:left="418" w:right="1609" w:firstLine="419"/>
      </w:pPr>
      <w:r>
        <w:t>下列文件对于本文件的应用是必不可少的。凡是注日期的引用文件，仅注日期的版本适用于本文件。凡是不注日期的引用文件，其最新版本</w:t>
      </w:r>
      <w:r>
        <w:t>(</w:t>
      </w:r>
      <w:r>
        <w:t>包括所有的修改单</w:t>
      </w:r>
      <w:r>
        <w:t>)</w:t>
      </w:r>
      <w:r>
        <w:t>适用于本文件。</w:t>
      </w:r>
      <w:r>
        <w:t xml:space="preserve"> </w:t>
      </w:r>
    </w:p>
    <w:p w14:paraId="296048E9" w14:textId="77777777" w:rsidR="00A71EEF" w:rsidRDefault="0081115D">
      <w:pPr>
        <w:pStyle w:val="a3"/>
        <w:ind w:left="838"/>
      </w:pPr>
      <w:r>
        <w:t xml:space="preserve">GB/T191 </w:t>
      </w:r>
      <w:r>
        <w:t>包装储运图示标志</w:t>
      </w:r>
      <w:r>
        <w:t xml:space="preserve"> </w:t>
      </w:r>
    </w:p>
    <w:p w14:paraId="6DD9C9DD" w14:textId="77777777" w:rsidR="00A71EEF" w:rsidRDefault="00A71EEF">
      <w:pPr>
        <w:pStyle w:val="a3"/>
        <w:rPr>
          <w:sz w:val="18"/>
        </w:rPr>
      </w:pPr>
    </w:p>
    <w:p w14:paraId="57221E77" w14:textId="77777777" w:rsidR="00A71EEF" w:rsidRDefault="0081115D">
      <w:pPr>
        <w:pStyle w:val="a3"/>
        <w:spacing w:line="446" w:lineRule="auto"/>
        <w:ind w:left="838" w:right="2820"/>
      </w:pPr>
      <w:r>
        <w:t xml:space="preserve">GB/T 2423.1 </w:t>
      </w:r>
      <w:r>
        <w:t>电工电子产品环境试验</w:t>
      </w:r>
      <w:r>
        <w:t xml:space="preserve"> </w:t>
      </w:r>
      <w:r>
        <w:t>第</w:t>
      </w:r>
      <w:r>
        <w:t xml:space="preserve"> 2 </w:t>
      </w:r>
      <w:r>
        <w:t>部分：试验方法</w:t>
      </w:r>
      <w:r>
        <w:t xml:space="preserve"> </w:t>
      </w:r>
      <w:r>
        <w:t>试验</w:t>
      </w:r>
      <w:r>
        <w:t>A</w:t>
      </w:r>
      <w:r>
        <w:t>：低温</w:t>
      </w:r>
      <w:r>
        <w:t xml:space="preserve">GB/T 2423.2 </w:t>
      </w:r>
      <w:r>
        <w:t>电工电子产品环境试验</w:t>
      </w:r>
      <w:r>
        <w:t xml:space="preserve"> </w:t>
      </w:r>
      <w:r>
        <w:t>第</w:t>
      </w:r>
      <w:r>
        <w:t xml:space="preserve"> 2 </w:t>
      </w:r>
      <w:r>
        <w:t>部分：试验方法</w:t>
      </w:r>
      <w:r>
        <w:t xml:space="preserve"> </w:t>
      </w:r>
      <w:r>
        <w:t>试验</w:t>
      </w:r>
      <w:r>
        <w:t>B</w:t>
      </w:r>
      <w:r>
        <w:t>：高温</w:t>
      </w:r>
      <w:r>
        <w:t xml:space="preserve"> </w:t>
      </w:r>
    </w:p>
    <w:p w14:paraId="52F7ACBF" w14:textId="77777777" w:rsidR="00A71EEF" w:rsidRDefault="0081115D">
      <w:pPr>
        <w:pStyle w:val="a3"/>
        <w:spacing w:line="446" w:lineRule="auto"/>
        <w:ind w:left="838" w:right="1772"/>
      </w:pPr>
      <w:r>
        <w:t>GB/T 2423.3</w:t>
      </w:r>
      <w:r>
        <w:rPr>
          <w:spacing w:val="-7"/>
        </w:rPr>
        <w:t xml:space="preserve"> </w:t>
      </w:r>
      <w:r>
        <w:rPr>
          <w:spacing w:val="-7"/>
        </w:rPr>
        <w:t>电工电子产品环境试验</w:t>
      </w:r>
      <w:r>
        <w:rPr>
          <w:spacing w:val="-7"/>
        </w:rPr>
        <w:t xml:space="preserve"> </w:t>
      </w:r>
      <w:r>
        <w:rPr>
          <w:spacing w:val="-7"/>
        </w:rPr>
        <w:t>第</w:t>
      </w:r>
      <w:r>
        <w:rPr>
          <w:spacing w:val="-7"/>
        </w:rPr>
        <w:t xml:space="preserve"> </w:t>
      </w:r>
      <w:r>
        <w:t>2</w:t>
      </w:r>
      <w:r>
        <w:rPr>
          <w:spacing w:val="-11"/>
        </w:rPr>
        <w:t xml:space="preserve"> </w:t>
      </w:r>
      <w:r>
        <w:rPr>
          <w:spacing w:val="-11"/>
        </w:rPr>
        <w:t>部分：试验方法</w:t>
      </w:r>
      <w:r>
        <w:rPr>
          <w:spacing w:val="-11"/>
        </w:rPr>
        <w:t xml:space="preserve"> </w:t>
      </w:r>
      <w:r>
        <w:rPr>
          <w:spacing w:val="-11"/>
        </w:rPr>
        <w:t>试验</w:t>
      </w:r>
      <w:r>
        <w:rPr>
          <w:spacing w:val="-11"/>
        </w:rPr>
        <w:t xml:space="preserve"> </w:t>
      </w:r>
      <w:r>
        <w:t>Cab</w:t>
      </w:r>
      <w:r>
        <w:rPr>
          <w:spacing w:val="-3"/>
        </w:rPr>
        <w:t>：恒定湿热试验</w:t>
      </w:r>
      <w:r>
        <w:t>GB/T 2423.5</w:t>
      </w:r>
      <w:r>
        <w:rPr>
          <w:spacing w:val="-7"/>
        </w:rPr>
        <w:t xml:space="preserve">   </w:t>
      </w:r>
      <w:r>
        <w:rPr>
          <w:spacing w:val="-7"/>
        </w:rPr>
        <w:t>电工电子产品环境试验</w:t>
      </w:r>
      <w:r>
        <w:rPr>
          <w:spacing w:val="-7"/>
        </w:rPr>
        <w:t xml:space="preserve"> </w:t>
      </w:r>
      <w:r>
        <w:rPr>
          <w:spacing w:val="-7"/>
        </w:rPr>
        <w:t>第</w:t>
      </w:r>
      <w:r>
        <w:rPr>
          <w:spacing w:val="-7"/>
        </w:rPr>
        <w:t xml:space="preserve"> </w:t>
      </w:r>
      <w:r>
        <w:t>2</w:t>
      </w:r>
      <w:r>
        <w:rPr>
          <w:spacing w:val="-12"/>
        </w:rPr>
        <w:t xml:space="preserve"> </w:t>
      </w:r>
      <w:r>
        <w:rPr>
          <w:spacing w:val="-12"/>
        </w:rPr>
        <w:t>部分：试验方法</w:t>
      </w:r>
      <w:r>
        <w:rPr>
          <w:spacing w:val="-12"/>
        </w:rPr>
        <w:t xml:space="preserve"> </w:t>
      </w:r>
      <w:r>
        <w:rPr>
          <w:spacing w:val="-12"/>
        </w:rPr>
        <w:t>试验</w:t>
      </w:r>
      <w:r>
        <w:rPr>
          <w:spacing w:val="-12"/>
        </w:rPr>
        <w:t xml:space="preserve"> </w:t>
      </w:r>
      <w:r>
        <w:t>Ea</w:t>
      </w:r>
      <w:r>
        <w:rPr>
          <w:spacing w:val="-9"/>
        </w:rPr>
        <w:t xml:space="preserve"> </w:t>
      </w:r>
      <w:r>
        <w:rPr>
          <w:spacing w:val="-9"/>
        </w:rPr>
        <w:t>和导测：冲击</w:t>
      </w:r>
      <w:r>
        <w:rPr>
          <w:spacing w:val="-9"/>
        </w:rPr>
        <w:t>GB/T</w:t>
      </w:r>
      <w:r>
        <w:rPr>
          <w:spacing w:val="4"/>
        </w:rPr>
        <w:t xml:space="preserve"> </w:t>
      </w:r>
      <w:r>
        <w:t>2423.10</w:t>
      </w:r>
      <w:r>
        <w:rPr>
          <w:spacing w:val="-7"/>
        </w:rPr>
        <w:t xml:space="preserve">  </w:t>
      </w:r>
      <w:r>
        <w:rPr>
          <w:spacing w:val="-7"/>
        </w:rPr>
        <w:t>电工电子产品环境试验</w:t>
      </w:r>
      <w:r>
        <w:rPr>
          <w:spacing w:val="-7"/>
        </w:rPr>
        <w:t xml:space="preserve"> </w:t>
      </w:r>
      <w:r>
        <w:rPr>
          <w:spacing w:val="-7"/>
        </w:rPr>
        <w:t>第</w:t>
      </w:r>
      <w:r>
        <w:rPr>
          <w:spacing w:val="-7"/>
        </w:rPr>
        <w:t xml:space="preserve"> </w:t>
      </w:r>
      <w:r>
        <w:t>2</w:t>
      </w:r>
      <w:r>
        <w:rPr>
          <w:spacing w:val="-11"/>
        </w:rPr>
        <w:t xml:space="preserve"> </w:t>
      </w:r>
      <w:r>
        <w:rPr>
          <w:spacing w:val="-11"/>
        </w:rPr>
        <w:t>部分：试验方法</w:t>
      </w:r>
      <w:r>
        <w:rPr>
          <w:spacing w:val="-11"/>
        </w:rPr>
        <w:t xml:space="preserve"> </w:t>
      </w:r>
      <w:r>
        <w:rPr>
          <w:spacing w:val="-11"/>
        </w:rPr>
        <w:t>试验</w:t>
      </w:r>
      <w:r>
        <w:rPr>
          <w:spacing w:val="-11"/>
        </w:rPr>
        <w:t xml:space="preserve"> </w:t>
      </w:r>
      <w:r>
        <w:t>Fc</w:t>
      </w:r>
      <w:r>
        <w:rPr>
          <w:spacing w:val="-1"/>
        </w:rPr>
        <w:t>：振动</w:t>
      </w:r>
      <w:r>
        <w:t>（</w:t>
      </w:r>
      <w:r>
        <w:rPr>
          <w:spacing w:val="-2"/>
        </w:rPr>
        <w:t>正弦</w:t>
      </w:r>
      <w:r>
        <w:rPr>
          <w:spacing w:val="-3"/>
        </w:rPr>
        <w:t>）</w:t>
      </w:r>
      <w:r>
        <w:rPr>
          <w:spacing w:val="-3"/>
        </w:rPr>
        <w:t xml:space="preserve"> </w:t>
      </w:r>
      <w:r>
        <w:t>GB</w:t>
      </w:r>
      <w:r>
        <w:rPr>
          <w:spacing w:val="1"/>
        </w:rPr>
        <w:t xml:space="preserve"> </w:t>
      </w:r>
      <w:r>
        <w:t>3836.1</w:t>
      </w:r>
      <w:r>
        <w:rPr>
          <w:spacing w:val="3"/>
        </w:rPr>
        <w:t xml:space="preserve"> </w:t>
      </w:r>
      <w:r>
        <w:rPr>
          <w:spacing w:val="3"/>
        </w:rPr>
        <w:t>爆炸性环境</w:t>
      </w:r>
      <w:r>
        <w:rPr>
          <w:spacing w:val="3"/>
        </w:rPr>
        <w:t xml:space="preserve"> </w:t>
      </w:r>
      <w:r>
        <w:rPr>
          <w:spacing w:val="3"/>
        </w:rPr>
        <w:t>第</w:t>
      </w:r>
      <w:r>
        <w:rPr>
          <w:spacing w:val="3"/>
        </w:rPr>
        <w:t xml:space="preserve"> </w:t>
      </w:r>
      <w:r>
        <w:t>1</w:t>
      </w:r>
      <w:r>
        <w:rPr>
          <w:spacing w:val="-9"/>
        </w:rPr>
        <w:t xml:space="preserve"> </w:t>
      </w:r>
      <w:r>
        <w:rPr>
          <w:spacing w:val="-9"/>
        </w:rPr>
        <w:t>部分：设备通用要求</w:t>
      </w:r>
      <w:r>
        <w:t xml:space="preserve"> </w:t>
      </w:r>
    </w:p>
    <w:p w14:paraId="02AAFC59" w14:textId="77777777" w:rsidR="00A71EEF" w:rsidRDefault="0081115D">
      <w:pPr>
        <w:pStyle w:val="a3"/>
        <w:spacing w:line="267" w:lineRule="exact"/>
        <w:ind w:left="838"/>
      </w:pPr>
      <w:r>
        <w:t xml:space="preserve">GB 4208—2008 </w:t>
      </w:r>
      <w:r>
        <w:t>外壳防护等级</w:t>
      </w:r>
      <w:r>
        <w:t xml:space="preserve">(IP </w:t>
      </w:r>
      <w:r>
        <w:t>代码）</w:t>
      </w:r>
      <w:r>
        <w:t xml:space="preserve"> </w:t>
      </w:r>
    </w:p>
    <w:p w14:paraId="749F9774" w14:textId="77777777" w:rsidR="00A71EEF" w:rsidRDefault="00A71EEF">
      <w:pPr>
        <w:pStyle w:val="a3"/>
        <w:spacing w:before="10"/>
        <w:rPr>
          <w:sz w:val="15"/>
        </w:rPr>
      </w:pPr>
    </w:p>
    <w:p w14:paraId="29823508" w14:textId="77777777" w:rsidR="00A71EEF" w:rsidRDefault="0081115D">
      <w:pPr>
        <w:pStyle w:val="4"/>
      </w:pPr>
      <w:r>
        <w:t xml:space="preserve">3 </w:t>
      </w:r>
      <w:r>
        <w:t>术语和定义</w:t>
      </w:r>
      <w:r>
        <w:rPr>
          <w:w w:val="99"/>
        </w:rPr>
        <w:t xml:space="preserve"> </w:t>
      </w:r>
    </w:p>
    <w:p w14:paraId="03393014" w14:textId="77777777" w:rsidR="00A71EEF" w:rsidRDefault="00A71EEF">
      <w:pPr>
        <w:pStyle w:val="a3"/>
        <w:spacing w:before="4"/>
        <w:rPr>
          <w:b/>
          <w:sz w:val="17"/>
        </w:rPr>
      </w:pPr>
    </w:p>
    <w:p w14:paraId="43F61D46" w14:textId="77777777" w:rsidR="00A71EEF" w:rsidRDefault="0081115D">
      <w:pPr>
        <w:pStyle w:val="a3"/>
        <w:ind w:left="838"/>
      </w:pPr>
      <w:r>
        <w:t>下列术语和定义适用于本文件。</w:t>
      </w:r>
      <w:r>
        <w:t xml:space="preserve"> </w:t>
      </w:r>
    </w:p>
    <w:p w14:paraId="53CDCE23" w14:textId="77777777" w:rsidR="00A71EEF" w:rsidRDefault="00A71EEF">
      <w:pPr>
        <w:pStyle w:val="a3"/>
        <w:spacing w:before="12"/>
        <w:rPr>
          <w:sz w:val="17"/>
        </w:rPr>
      </w:pPr>
    </w:p>
    <w:p w14:paraId="1969FF0A" w14:textId="77777777" w:rsidR="00A71EEF" w:rsidRDefault="0081115D">
      <w:pPr>
        <w:pStyle w:val="a3"/>
        <w:ind w:left="840"/>
      </w:pPr>
      <w:r>
        <w:rPr>
          <w:b/>
        </w:rPr>
        <w:t xml:space="preserve">3.1 </w:t>
      </w:r>
      <w:r>
        <w:t>消防员方位灯</w:t>
      </w:r>
      <w:r>
        <w:t xml:space="preserve"> fireman’s directional light </w:t>
      </w:r>
    </w:p>
    <w:p w14:paraId="1269F2CF" w14:textId="77777777" w:rsidR="00A71EEF" w:rsidRDefault="00A71EEF">
      <w:pPr>
        <w:pStyle w:val="a3"/>
        <w:spacing w:before="2"/>
        <w:rPr>
          <w:sz w:val="18"/>
        </w:rPr>
      </w:pPr>
    </w:p>
    <w:p w14:paraId="0594B051" w14:textId="77777777" w:rsidR="00A71EEF" w:rsidRDefault="0081115D">
      <w:pPr>
        <w:pStyle w:val="a3"/>
        <w:spacing w:before="1" w:line="446" w:lineRule="auto"/>
        <w:ind w:left="840" w:right="2765" w:hanging="3"/>
      </w:pPr>
      <w:r>
        <w:t>消防员在执行灭火救援任务时佩带的，具有发光指示方位功能的信号装置。</w:t>
      </w:r>
      <w:r>
        <w:rPr>
          <w:b/>
        </w:rPr>
        <w:t xml:space="preserve">3.2 </w:t>
      </w:r>
      <w:r>
        <w:t>闪光频率</w:t>
      </w:r>
      <w:r>
        <w:t xml:space="preserve"> flash frequency </w:t>
      </w:r>
    </w:p>
    <w:p w14:paraId="343CC0FC" w14:textId="77777777" w:rsidR="00A71EEF" w:rsidRDefault="0081115D">
      <w:pPr>
        <w:pStyle w:val="a3"/>
        <w:spacing w:line="267" w:lineRule="exact"/>
        <w:ind w:left="838"/>
      </w:pPr>
      <w:r>
        <w:t>方位灯发光器件单位时间内闪烁的次数。</w:t>
      </w:r>
      <w:r>
        <w:t xml:space="preserve"> </w:t>
      </w:r>
    </w:p>
    <w:p w14:paraId="19C447CF" w14:textId="77777777" w:rsidR="00A71EEF" w:rsidRDefault="00A71EEF">
      <w:pPr>
        <w:pStyle w:val="a3"/>
        <w:spacing w:before="1"/>
        <w:rPr>
          <w:sz w:val="18"/>
        </w:rPr>
      </w:pPr>
    </w:p>
    <w:p w14:paraId="1A0395E3" w14:textId="77777777" w:rsidR="00A71EEF" w:rsidRDefault="0081115D">
      <w:pPr>
        <w:pStyle w:val="a3"/>
        <w:spacing w:before="1"/>
        <w:ind w:left="840"/>
      </w:pPr>
      <w:r>
        <w:rPr>
          <w:b/>
        </w:rPr>
        <w:t xml:space="preserve">3.3 </w:t>
      </w:r>
      <w:r>
        <w:t>连续工作时间</w:t>
      </w:r>
      <w:r>
        <w:t xml:space="preserve"> continuous working time </w:t>
      </w:r>
    </w:p>
    <w:p w14:paraId="1699D619" w14:textId="77777777" w:rsidR="00A71EEF" w:rsidRDefault="00A71EEF">
      <w:pPr>
        <w:pStyle w:val="a3"/>
        <w:spacing w:before="12"/>
        <w:rPr>
          <w:sz w:val="17"/>
        </w:rPr>
      </w:pPr>
    </w:p>
    <w:p w14:paraId="26B72C24" w14:textId="77777777" w:rsidR="00A71EEF" w:rsidRDefault="0081115D">
      <w:pPr>
        <w:pStyle w:val="a3"/>
        <w:ind w:left="838"/>
      </w:pPr>
      <w:r>
        <w:t>方位灯常亮或闪光状态下的最大工作时间。</w:t>
      </w:r>
      <w:r>
        <w:t xml:space="preserve"> </w:t>
      </w:r>
    </w:p>
    <w:p w14:paraId="5C251740" w14:textId="77777777" w:rsidR="00A71EEF" w:rsidRDefault="00A71EEF">
      <w:pPr>
        <w:pStyle w:val="a3"/>
        <w:spacing w:before="8"/>
        <w:rPr>
          <w:sz w:val="15"/>
        </w:rPr>
      </w:pPr>
    </w:p>
    <w:p w14:paraId="15F9D89B" w14:textId="77777777" w:rsidR="00A71EEF" w:rsidRDefault="0081115D">
      <w:pPr>
        <w:pStyle w:val="4"/>
      </w:pPr>
      <w:r>
        <w:t xml:space="preserve">4 </w:t>
      </w:r>
      <w:r>
        <w:t>型号及基本参数</w:t>
      </w:r>
      <w:r>
        <w:rPr>
          <w:w w:val="99"/>
        </w:rPr>
        <w:t xml:space="preserve"> </w:t>
      </w:r>
    </w:p>
    <w:p w14:paraId="2CF76A6E" w14:textId="77777777" w:rsidR="00A71EEF" w:rsidRDefault="00A71EEF">
      <w:pPr>
        <w:pStyle w:val="a3"/>
        <w:spacing w:before="6"/>
        <w:rPr>
          <w:b/>
          <w:sz w:val="17"/>
        </w:rPr>
      </w:pPr>
    </w:p>
    <w:p w14:paraId="2ABAD9AD" w14:textId="77777777" w:rsidR="00A71EEF" w:rsidRDefault="0081115D">
      <w:pPr>
        <w:pStyle w:val="a4"/>
        <w:numPr>
          <w:ilvl w:val="1"/>
          <w:numId w:val="910"/>
        </w:numPr>
        <w:tabs>
          <w:tab w:val="left" w:pos="1160"/>
        </w:tabs>
        <w:spacing w:before="1"/>
        <w:rPr>
          <w:b/>
          <w:sz w:val="21"/>
        </w:rPr>
      </w:pPr>
      <w:r>
        <w:rPr>
          <w:spacing w:val="-3"/>
          <w:sz w:val="21"/>
        </w:rPr>
        <w:t>型号</w:t>
      </w:r>
      <w:r>
        <w:rPr>
          <w:b/>
          <w:w w:val="99"/>
          <w:sz w:val="21"/>
        </w:rPr>
        <w:t xml:space="preserve"> </w:t>
      </w:r>
    </w:p>
    <w:p w14:paraId="5D3D81E9" w14:textId="77777777" w:rsidR="00A71EEF" w:rsidRDefault="00A71EEF">
      <w:pPr>
        <w:rPr>
          <w:sz w:val="21"/>
        </w:rPr>
        <w:sectPr w:rsidR="00A71EEF">
          <w:pgSz w:w="11910" w:h="16850"/>
          <w:pgMar w:top="1140" w:right="0" w:bottom="1420" w:left="1260" w:header="0" w:footer="1239" w:gutter="0"/>
          <w:cols w:space="720"/>
        </w:sectPr>
      </w:pPr>
    </w:p>
    <w:p w14:paraId="1BADAD1A" w14:textId="77777777" w:rsidR="00A71EEF" w:rsidRDefault="0081115D">
      <w:pPr>
        <w:pStyle w:val="a3"/>
        <w:spacing w:before="47"/>
        <w:ind w:left="838"/>
      </w:pPr>
      <w:r>
        <w:lastRenderedPageBreak/>
        <w:t>方位灯产品型号的编制应符合下列规定：</w:t>
      </w:r>
      <w:r>
        <w:t xml:space="preserve"> </w:t>
      </w:r>
    </w:p>
    <w:p w14:paraId="70D66FAC" w14:textId="77777777" w:rsidR="00A71EEF" w:rsidRDefault="0081115D">
      <w:pPr>
        <w:pStyle w:val="a3"/>
        <w:spacing w:before="3"/>
        <w:rPr>
          <w:sz w:val="15"/>
        </w:rPr>
      </w:pPr>
      <w:r>
        <w:rPr>
          <w:noProof/>
        </w:rPr>
        <w:drawing>
          <wp:anchor distT="0" distB="0" distL="0" distR="0" simplePos="0" relativeHeight="251466240" behindDoc="0" locked="0" layoutInCell="1" allowOverlap="1" wp14:anchorId="76F4A60C" wp14:editId="2293207C">
            <wp:simplePos x="0" y="0"/>
            <wp:positionH relativeFrom="page">
              <wp:posOffset>2227579</wp:posOffset>
            </wp:positionH>
            <wp:positionV relativeFrom="paragraph">
              <wp:posOffset>149312</wp:posOffset>
            </wp:positionV>
            <wp:extent cx="2743199" cy="1066800"/>
            <wp:effectExtent l="0" t="0" r="0" b="0"/>
            <wp:wrapTopAndBottom/>
            <wp:docPr id="35"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3.jpeg"/>
                    <pic:cNvPicPr/>
                  </pic:nvPicPr>
                  <pic:blipFill>
                    <a:blip r:embed="rId29" cstate="print"/>
                    <a:stretch>
                      <a:fillRect/>
                    </a:stretch>
                  </pic:blipFill>
                  <pic:spPr>
                    <a:xfrm>
                      <a:off x="0" y="0"/>
                      <a:ext cx="2743199" cy="1066800"/>
                    </a:xfrm>
                    <a:prstGeom prst="rect">
                      <a:avLst/>
                    </a:prstGeom>
                  </pic:spPr>
                </pic:pic>
              </a:graphicData>
            </a:graphic>
          </wp:anchor>
        </w:drawing>
      </w:r>
    </w:p>
    <w:p w14:paraId="6D870049" w14:textId="77777777" w:rsidR="00A71EEF" w:rsidRDefault="00A71EEF">
      <w:pPr>
        <w:pStyle w:val="a3"/>
        <w:rPr>
          <w:sz w:val="20"/>
        </w:rPr>
      </w:pPr>
    </w:p>
    <w:p w14:paraId="6F22D273" w14:textId="77777777" w:rsidR="00A71EEF" w:rsidRDefault="00A71EEF">
      <w:pPr>
        <w:pStyle w:val="a3"/>
        <w:rPr>
          <w:sz w:val="20"/>
        </w:rPr>
      </w:pPr>
    </w:p>
    <w:p w14:paraId="25F06F34" w14:textId="77777777" w:rsidR="00A71EEF" w:rsidRDefault="00A71EEF">
      <w:pPr>
        <w:pStyle w:val="a3"/>
        <w:spacing w:before="5"/>
        <w:rPr>
          <w:sz w:val="16"/>
        </w:rPr>
      </w:pPr>
    </w:p>
    <w:p w14:paraId="13E6E740" w14:textId="77777777" w:rsidR="00A71EEF" w:rsidRDefault="0081115D">
      <w:pPr>
        <w:pStyle w:val="a4"/>
        <w:numPr>
          <w:ilvl w:val="1"/>
          <w:numId w:val="910"/>
        </w:numPr>
        <w:tabs>
          <w:tab w:val="left" w:pos="1159"/>
        </w:tabs>
        <w:ind w:left="1158" w:hanging="319"/>
        <w:rPr>
          <w:sz w:val="21"/>
        </w:rPr>
      </w:pPr>
      <w:r>
        <w:rPr>
          <w:spacing w:val="-3"/>
          <w:sz w:val="21"/>
        </w:rPr>
        <w:t>方位灯类别代号</w:t>
      </w:r>
      <w:r>
        <w:rPr>
          <w:sz w:val="21"/>
        </w:rPr>
        <w:t xml:space="preserve"> </w:t>
      </w:r>
    </w:p>
    <w:p w14:paraId="1C422F0F" w14:textId="77777777" w:rsidR="00A71EEF" w:rsidRDefault="00A71EEF">
      <w:pPr>
        <w:pStyle w:val="a3"/>
        <w:rPr>
          <w:sz w:val="18"/>
        </w:rPr>
      </w:pPr>
    </w:p>
    <w:p w14:paraId="32141DC1" w14:textId="77777777" w:rsidR="00A71EEF" w:rsidRDefault="0081115D">
      <w:pPr>
        <w:pStyle w:val="a3"/>
        <w:ind w:left="838"/>
      </w:pPr>
      <w:r>
        <w:t>方位灯类别代号见表</w:t>
      </w:r>
      <w:r>
        <w:t xml:space="preserve"> 1</w:t>
      </w:r>
      <w:r>
        <w:t>。</w:t>
      </w:r>
      <w:r>
        <w:t xml:space="preserve"> </w:t>
      </w:r>
    </w:p>
    <w:p w14:paraId="48C63DA5" w14:textId="77777777" w:rsidR="00A71EEF" w:rsidRDefault="0081115D">
      <w:pPr>
        <w:pStyle w:val="a3"/>
        <w:spacing w:before="2"/>
        <w:rPr>
          <w:sz w:val="17"/>
        </w:rPr>
      </w:pPr>
      <w:r>
        <w:rPr>
          <w:noProof/>
        </w:rPr>
        <w:drawing>
          <wp:anchor distT="0" distB="0" distL="0" distR="0" simplePos="0" relativeHeight="251467264" behindDoc="0" locked="0" layoutInCell="1" allowOverlap="1" wp14:anchorId="0151EDEC" wp14:editId="3F21250A">
            <wp:simplePos x="0" y="0"/>
            <wp:positionH relativeFrom="page">
              <wp:posOffset>1227455</wp:posOffset>
            </wp:positionH>
            <wp:positionV relativeFrom="paragraph">
              <wp:posOffset>164941</wp:posOffset>
            </wp:positionV>
            <wp:extent cx="5048249" cy="1181100"/>
            <wp:effectExtent l="0" t="0" r="0" b="0"/>
            <wp:wrapTopAndBottom/>
            <wp:docPr id="37"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4.jpeg"/>
                    <pic:cNvPicPr/>
                  </pic:nvPicPr>
                  <pic:blipFill>
                    <a:blip r:embed="rId30" cstate="print"/>
                    <a:stretch>
                      <a:fillRect/>
                    </a:stretch>
                  </pic:blipFill>
                  <pic:spPr>
                    <a:xfrm>
                      <a:off x="0" y="0"/>
                      <a:ext cx="5048249" cy="1181100"/>
                    </a:xfrm>
                    <a:prstGeom prst="rect">
                      <a:avLst/>
                    </a:prstGeom>
                  </pic:spPr>
                </pic:pic>
              </a:graphicData>
            </a:graphic>
          </wp:anchor>
        </w:drawing>
      </w:r>
    </w:p>
    <w:p w14:paraId="7837B62F" w14:textId="77777777" w:rsidR="00A71EEF" w:rsidRDefault="0081115D">
      <w:pPr>
        <w:pStyle w:val="a3"/>
        <w:spacing w:before="162" w:line="446" w:lineRule="auto"/>
        <w:ind w:left="840" w:right="5175" w:hanging="3"/>
        <w:rPr>
          <w:b/>
        </w:rPr>
      </w:pPr>
      <w:r>
        <w:t>示例：</w:t>
      </w:r>
      <w:r>
        <w:t xml:space="preserve">RFWI-S/A </w:t>
      </w:r>
      <w:r>
        <w:t>表示</w:t>
      </w:r>
      <w:r>
        <w:t xml:space="preserve"> A </w:t>
      </w:r>
      <w:r>
        <w:t>型闪光型消防员方位灯。</w:t>
      </w:r>
      <w:r>
        <w:rPr>
          <w:b/>
        </w:rPr>
        <w:t xml:space="preserve">4.3 </w:t>
      </w:r>
      <w:r>
        <w:t>基本参数</w:t>
      </w:r>
      <w:r>
        <w:rPr>
          <w:b/>
          <w:w w:val="99"/>
        </w:rPr>
        <w:t xml:space="preserve"> </w:t>
      </w:r>
    </w:p>
    <w:p w14:paraId="0C5521B6" w14:textId="77777777" w:rsidR="00A71EEF" w:rsidRDefault="0081115D">
      <w:pPr>
        <w:pStyle w:val="a3"/>
        <w:spacing w:before="1"/>
        <w:ind w:left="838"/>
      </w:pPr>
      <w:r>
        <w:t>方位灯的基本参数如下：</w:t>
      </w:r>
      <w:r>
        <w:t xml:space="preserve"> </w:t>
      </w:r>
    </w:p>
    <w:p w14:paraId="38FB07AD" w14:textId="77777777" w:rsidR="00A71EEF" w:rsidRDefault="0081115D">
      <w:pPr>
        <w:pStyle w:val="a4"/>
        <w:numPr>
          <w:ilvl w:val="0"/>
          <w:numId w:val="909"/>
        </w:numPr>
        <w:tabs>
          <w:tab w:val="left" w:pos="1051"/>
        </w:tabs>
        <w:spacing w:before="163"/>
        <w:rPr>
          <w:sz w:val="21"/>
        </w:rPr>
      </w:pPr>
      <w:r>
        <w:rPr>
          <w:spacing w:val="-3"/>
          <w:sz w:val="21"/>
        </w:rPr>
        <w:t>工作环境温度为</w:t>
      </w:r>
      <w:r>
        <w:rPr>
          <w:sz w:val="21"/>
        </w:rPr>
        <w:t>-25</w:t>
      </w:r>
      <w:r>
        <w:rPr>
          <w:rFonts w:ascii="微软雅黑" w:eastAsia="微软雅黑" w:hAnsi="微软雅黑" w:hint="eastAsia"/>
          <w:spacing w:val="-3"/>
          <w:sz w:val="21"/>
        </w:rPr>
        <w:t>〜</w:t>
      </w:r>
      <w:r>
        <w:rPr>
          <w:sz w:val="21"/>
        </w:rPr>
        <w:t>70℃</w:t>
      </w:r>
      <w:r>
        <w:rPr>
          <w:sz w:val="21"/>
        </w:rPr>
        <w:t>；</w:t>
      </w:r>
      <w:r>
        <w:rPr>
          <w:sz w:val="21"/>
        </w:rPr>
        <w:t xml:space="preserve"> </w:t>
      </w:r>
    </w:p>
    <w:p w14:paraId="11625968" w14:textId="77777777" w:rsidR="00A71EEF" w:rsidRDefault="0081115D">
      <w:pPr>
        <w:pStyle w:val="a4"/>
        <w:numPr>
          <w:ilvl w:val="0"/>
          <w:numId w:val="909"/>
        </w:numPr>
        <w:tabs>
          <w:tab w:val="left" w:pos="1051"/>
        </w:tabs>
        <w:spacing w:before="112"/>
        <w:rPr>
          <w:sz w:val="21"/>
        </w:rPr>
      </w:pPr>
      <w:r>
        <w:rPr>
          <w:spacing w:val="-9"/>
          <w:sz w:val="21"/>
        </w:rPr>
        <w:t>工作环境相对湿度为</w:t>
      </w:r>
      <w:r>
        <w:rPr>
          <w:spacing w:val="-9"/>
          <w:sz w:val="21"/>
        </w:rPr>
        <w:t xml:space="preserve"> </w:t>
      </w:r>
      <w:r>
        <w:rPr>
          <w:sz w:val="21"/>
        </w:rPr>
        <w:t>30%</w:t>
      </w:r>
      <w:r>
        <w:rPr>
          <w:rFonts w:ascii="微软雅黑" w:eastAsia="微软雅黑" w:hint="eastAsia"/>
          <w:sz w:val="21"/>
        </w:rPr>
        <w:t>〜</w:t>
      </w:r>
      <w:r>
        <w:rPr>
          <w:sz w:val="21"/>
        </w:rPr>
        <w:t>85%</w:t>
      </w:r>
      <w:r>
        <w:rPr>
          <w:sz w:val="21"/>
        </w:rPr>
        <w:t>；</w:t>
      </w:r>
      <w:r>
        <w:rPr>
          <w:sz w:val="21"/>
        </w:rPr>
        <w:t xml:space="preserve"> </w:t>
      </w:r>
    </w:p>
    <w:p w14:paraId="050CB14B" w14:textId="77777777" w:rsidR="00A71EEF" w:rsidRDefault="0081115D">
      <w:pPr>
        <w:pStyle w:val="a4"/>
        <w:numPr>
          <w:ilvl w:val="0"/>
          <w:numId w:val="909"/>
        </w:numPr>
        <w:tabs>
          <w:tab w:val="left" w:pos="1051"/>
        </w:tabs>
        <w:spacing w:before="182"/>
        <w:rPr>
          <w:sz w:val="21"/>
        </w:rPr>
      </w:pPr>
      <w:r>
        <w:rPr>
          <w:spacing w:val="-3"/>
          <w:sz w:val="21"/>
        </w:rPr>
        <w:t>供电电源应采用可充电电池，并应设置电池充放电保护电路。</w:t>
      </w:r>
      <w:r>
        <w:rPr>
          <w:sz w:val="21"/>
        </w:rPr>
        <w:t xml:space="preserve"> </w:t>
      </w:r>
    </w:p>
    <w:p w14:paraId="52FA3ACC" w14:textId="77777777" w:rsidR="00A71EEF" w:rsidRDefault="00A71EEF">
      <w:pPr>
        <w:pStyle w:val="a3"/>
        <w:spacing w:before="7"/>
        <w:rPr>
          <w:sz w:val="15"/>
        </w:rPr>
      </w:pPr>
    </w:p>
    <w:p w14:paraId="64AE98EC" w14:textId="77777777" w:rsidR="00A71EEF" w:rsidRDefault="0081115D">
      <w:pPr>
        <w:pStyle w:val="4"/>
        <w:spacing w:before="1"/>
      </w:pPr>
      <w:r>
        <w:t xml:space="preserve">5 </w:t>
      </w:r>
      <w:r>
        <w:t>技术要求</w:t>
      </w:r>
      <w:r>
        <w:rPr>
          <w:w w:val="99"/>
        </w:rPr>
        <w:t xml:space="preserve"> </w:t>
      </w:r>
    </w:p>
    <w:p w14:paraId="192D7665" w14:textId="77777777" w:rsidR="00A71EEF" w:rsidRDefault="00A71EEF">
      <w:pPr>
        <w:pStyle w:val="a3"/>
        <w:spacing w:before="4"/>
        <w:rPr>
          <w:b/>
          <w:sz w:val="17"/>
        </w:rPr>
      </w:pPr>
    </w:p>
    <w:p w14:paraId="0023C04F" w14:textId="77777777" w:rsidR="00A71EEF" w:rsidRDefault="0081115D">
      <w:pPr>
        <w:pStyle w:val="a4"/>
        <w:numPr>
          <w:ilvl w:val="1"/>
          <w:numId w:val="908"/>
        </w:numPr>
        <w:tabs>
          <w:tab w:val="left" w:pos="1160"/>
        </w:tabs>
        <w:rPr>
          <w:b/>
          <w:sz w:val="21"/>
        </w:rPr>
      </w:pPr>
      <w:r>
        <w:rPr>
          <w:spacing w:val="-3"/>
          <w:sz w:val="21"/>
        </w:rPr>
        <w:t>外观与装配质量</w:t>
      </w:r>
      <w:r>
        <w:rPr>
          <w:b/>
          <w:w w:val="99"/>
          <w:sz w:val="21"/>
        </w:rPr>
        <w:t xml:space="preserve"> </w:t>
      </w:r>
    </w:p>
    <w:p w14:paraId="76955257" w14:textId="77777777" w:rsidR="00A71EEF" w:rsidRDefault="00A71EEF">
      <w:pPr>
        <w:pStyle w:val="a3"/>
        <w:spacing w:before="2"/>
        <w:rPr>
          <w:b/>
          <w:sz w:val="18"/>
        </w:rPr>
      </w:pPr>
    </w:p>
    <w:p w14:paraId="5984C3EC" w14:textId="77777777" w:rsidR="00A71EEF" w:rsidRDefault="0081115D">
      <w:pPr>
        <w:pStyle w:val="a4"/>
        <w:numPr>
          <w:ilvl w:val="2"/>
          <w:numId w:val="908"/>
        </w:numPr>
        <w:tabs>
          <w:tab w:val="left" w:pos="1371"/>
        </w:tabs>
        <w:rPr>
          <w:sz w:val="21"/>
        </w:rPr>
      </w:pPr>
      <w:r>
        <w:rPr>
          <w:spacing w:val="-3"/>
          <w:sz w:val="21"/>
        </w:rPr>
        <w:t>方位灯表面应无明显划伤、污损、裂痕、毛剌等缺陷。标志应清晰、正确、齐全。</w:t>
      </w:r>
      <w:r>
        <w:rPr>
          <w:sz w:val="21"/>
        </w:rPr>
        <w:t xml:space="preserve"> </w:t>
      </w:r>
    </w:p>
    <w:p w14:paraId="555D27C0" w14:textId="77777777" w:rsidR="00A71EEF" w:rsidRDefault="00A71EEF">
      <w:pPr>
        <w:pStyle w:val="a3"/>
        <w:spacing w:before="12"/>
        <w:rPr>
          <w:sz w:val="17"/>
        </w:rPr>
      </w:pPr>
    </w:p>
    <w:p w14:paraId="71CAC39E" w14:textId="77777777" w:rsidR="00A71EEF" w:rsidRDefault="0081115D">
      <w:pPr>
        <w:pStyle w:val="a4"/>
        <w:numPr>
          <w:ilvl w:val="2"/>
          <w:numId w:val="908"/>
        </w:numPr>
        <w:tabs>
          <w:tab w:val="left" w:pos="1370"/>
        </w:tabs>
        <w:spacing w:line="446" w:lineRule="auto"/>
        <w:ind w:left="418" w:right="1604" w:firstLine="422"/>
        <w:rPr>
          <w:sz w:val="21"/>
        </w:rPr>
      </w:pPr>
      <w:r>
        <w:rPr>
          <w:spacing w:val="-3"/>
          <w:sz w:val="21"/>
        </w:rPr>
        <w:t>方位灯装配应完整，紧固部位应无松动、损伤、错位、毛刺等缺陷。佩戴装置应灵活可靠。</w:t>
      </w:r>
      <w:r>
        <w:rPr>
          <w:sz w:val="21"/>
        </w:rPr>
        <w:t xml:space="preserve"> </w:t>
      </w:r>
    </w:p>
    <w:p w14:paraId="0ABF808F" w14:textId="77777777" w:rsidR="00A71EEF" w:rsidRDefault="0081115D">
      <w:pPr>
        <w:pStyle w:val="a4"/>
        <w:numPr>
          <w:ilvl w:val="1"/>
          <w:numId w:val="908"/>
        </w:numPr>
        <w:tabs>
          <w:tab w:val="left" w:pos="1159"/>
        </w:tabs>
        <w:ind w:left="1158" w:hanging="319"/>
        <w:rPr>
          <w:sz w:val="21"/>
        </w:rPr>
      </w:pPr>
      <w:r>
        <w:rPr>
          <w:spacing w:val="-3"/>
          <w:sz w:val="21"/>
        </w:rPr>
        <w:t>发光亮度</w:t>
      </w:r>
      <w:r>
        <w:rPr>
          <w:sz w:val="21"/>
        </w:rPr>
        <w:t xml:space="preserve"> </w:t>
      </w:r>
    </w:p>
    <w:p w14:paraId="6FB3A0AC" w14:textId="77777777" w:rsidR="00A71EEF" w:rsidRDefault="00A71EEF">
      <w:pPr>
        <w:pStyle w:val="a3"/>
        <w:spacing w:before="12"/>
        <w:rPr>
          <w:sz w:val="17"/>
        </w:rPr>
      </w:pPr>
    </w:p>
    <w:p w14:paraId="5927E590" w14:textId="77777777" w:rsidR="00A71EEF" w:rsidRDefault="0081115D">
      <w:pPr>
        <w:pStyle w:val="a3"/>
        <w:spacing w:line="446" w:lineRule="auto"/>
        <w:ind w:left="840" w:right="6287" w:hanging="3"/>
        <w:rPr>
          <w:b/>
        </w:rPr>
      </w:pPr>
      <w:r>
        <w:t>方位灯发光亮度应不小于</w:t>
      </w:r>
      <w:r>
        <w:t xml:space="preserve"> 300cd/m²</w:t>
      </w:r>
      <w:r>
        <w:t>。</w:t>
      </w:r>
      <w:r>
        <w:rPr>
          <w:b/>
        </w:rPr>
        <w:t xml:space="preserve">5.3 </w:t>
      </w:r>
      <w:r>
        <w:t>闪光频率</w:t>
      </w:r>
      <w:r>
        <w:rPr>
          <w:b/>
          <w:w w:val="99"/>
        </w:rPr>
        <w:t xml:space="preserve"> </w:t>
      </w:r>
    </w:p>
    <w:p w14:paraId="6A9EA18C" w14:textId="77777777" w:rsidR="00A71EEF" w:rsidRDefault="0081115D">
      <w:pPr>
        <w:pStyle w:val="a3"/>
        <w:spacing w:line="320" w:lineRule="exact"/>
        <w:ind w:left="838"/>
      </w:pPr>
      <w:r>
        <w:t>闪光型方位灯闪光频率应为</w:t>
      </w:r>
      <w:r>
        <w:t xml:space="preserve"> 1</w:t>
      </w:r>
      <w:r>
        <w:rPr>
          <w:rFonts w:ascii="微软雅黑" w:eastAsia="微软雅黑" w:hint="eastAsia"/>
        </w:rPr>
        <w:t>〜</w:t>
      </w:r>
      <w:r>
        <w:t>2Hz</w:t>
      </w:r>
      <w:r>
        <w:t>。</w:t>
      </w:r>
      <w:r>
        <w:t xml:space="preserve"> </w:t>
      </w:r>
    </w:p>
    <w:p w14:paraId="62A868B3" w14:textId="77777777" w:rsidR="00A71EEF" w:rsidRDefault="0081115D">
      <w:pPr>
        <w:spacing w:before="180"/>
        <w:ind w:left="840"/>
        <w:rPr>
          <w:b/>
          <w:sz w:val="21"/>
        </w:rPr>
      </w:pPr>
      <w:r>
        <w:rPr>
          <w:b/>
          <w:sz w:val="21"/>
        </w:rPr>
        <w:t>5.4</w:t>
      </w:r>
      <w:r>
        <w:rPr>
          <w:b/>
          <w:spacing w:val="102"/>
          <w:sz w:val="21"/>
        </w:rPr>
        <w:t xml:space="preserve"> </w:t>
      </w:r>
      <w:r>
        <w:rPr>
          <w:spacing w:val="-3"/>
          <w:sz w:val="21"/>
        </w:rPr>
        <w:t>连续工作时间</w:t>
      </w:r>
      <w:r>
        <w:rPr>
          <w:b/>
          <w:spacing w:val="-3"/>
          <w:w w:val="99"/>
          <w:sz w:val="21"/>
        </w:rPr>
        <w:t xml:space="preserve"> </w:t>
      </w:r>
    </w:p>
    <w:p w14:paraId="71C589FE" w14:textId="77777777" w:rsidR="00A71EEF" w:rsidRDefault="00A71EEF">
      <w:pPr>
        <w:rPr>
          <w:sz w:val="21"/>
        </w:rPr>
        <w:sectPr w:rsidR="00A71EEF">
          <w:pgSz w:w="11910" w:h="16850"/>
          <w:pgMar w:top="1220" w:right="0" w:bottom="1420" w:left="1260" w:header="0" w:footer="1239" w:gutter="0"/>
          <w:cols w:space="720"/>
        </w:sectPr>
      </w:pPr>
    </w:p>
    <w:p w14:paraId="424BD5DA" w14:textId="77777777" w:rsidR="00A71EEF" w:rsidRDefault="0081115D">
      <w:pPr>
        <w:pStyle w:val="a3"/>
        <w:spacing w:before="47" w:line="446" w:lineRule="auto"/>
        <w:ind w:left="840" w:right="1716" w:hanging="3"/>
        <w:rPr>
          <w:b/>
        </w:rPr>
      </w:pPr>
      <w:r>
        <w:lastRenderedPageBreak/>
        <w:t>闪光型方位灯连续工作时间应不小于</w:t>
      </w:r>
      <w:r>
        <w:t xml:space="preserve"> 100h</w:t>
      </w:r>
      <w:r>
        <w:t>，常亮型方位灯连续工作时间应不小于</w:t>
      </w:r>
      <w:r>
        <w:t xml:space="preserve"> 20h</w:t>
      </w:r>
      <w:r>
        <w:t>。</w:t>
      </w:r>
      <w:r>
        <w:rPr>
          <w:b/>
        </w:rPr>
        <w:t xml:space="preserve">5.5 </w:t>
      </w:r>
      <w:r>
        <w:t>质</w:t>
      </w:r>
      <w:r>
        <w:t xml:space="preserve"> </w:t>
      </w:r>
      <w:r>
        <w:t>量</w:t>
      </w:r>
      <w:r>
        <w:rPr>
          <w:b/>
          <w:w w:val="99"/>
        </w:rPr>
        <w:t xml:space="preserve"> </w:t>
      </w:r>
    </w:p>
    <w:p w14:paraId="7257DA58" w14:textId="77777777" w:rsidR="00A71EEF" w:rsidRDefault="0081115D">
      <w:pPr>
        <w:pStyle w:val="a3"/>
        <w:spacing w:line="446" w:lineRule="auto"/>
        <w:ind w:left="840" w:right="6918" w:hanging="3"/>
        <w:rPr>
          <w:b/>
        </w:rPr>
      </w:pPr>
      <w:r>
        <w:rPr>
          <w:spacing w:val="-8"/>
        </w:rPr>
        <w:t>方位灯的质量应不大于</w:t>
      </w:r>
      <w:r>
        <w:rPr>
          <w:spacing w:val="-8"/>
        </w:rPr>
        <w:t xml:space="preserve"> </w:t>
      </w:r>
      <w:r>
        <w:t>150g</w:t>
      </w:r>
      <w:r>
        <w:rPr>
          <w:spacing w:val="-3"/>
        </w:rPr>
        <w:t>。</w:t>
      </w:r>
      <w:r>
        <w:rPr>
          <w:b/>
        </w:rPr>
        <w:t>5.6</w:t>
      </w:r>
      <w:r>
        <w:rPr>
          <w:b/>
          <w:spacing w:val="103"/>
        </w:rPr>
        <w:t xml:space="preserve"> </w:t>
      </w:r>
      <w:r>
        <w:rPr>
          <w:spacing w:val="-3"/>
        </w:rPr>
        <w:t>绝缘电阻</w:t>
      </w:r>
      <w:r>
        <w:rPr>
          <w:b/>
          <w:w w:val="99"/>
        </w:rPr>
        <w:t xml:space="preserve"> </w:t>
      </w:r>
    </w:p>
    <w:p w14:paraId="2F604D1E" w14:textId="77777777" w:rsidR="00A71EEF" w:rsidRDefault="0081115D">
      <w:pPr>
        <w:pStyle w:val="a3"/>
        <w:spacing w:line="446" w:lineRule="auto"/>
        <w:ind w:left="418" w:right="1498" w:firstLine="419"/>
      </w:pPr>
      <w:r>
        <w:t>方位灯壳体和带电端子之间的绝缘电阻应不小千</w:t>
      </w:r>
      <w:r>
        <w:t xml:space="preserve"> 50Ω</w:t>
      </w:r>
      <w:r>
        <w:t>，经湿热试验后的绝缘电阻应不小于</w:t>
      </w:r>
      <w:r>
        <w:t>10M</w:t>
      </w:r>
      <w:r>
        <w:rPr>
          <w:rFonts w:ascii="Times New Roman" w:eastAsia="Times New Roman" w:hAnsi="Times New Roman"/>
        </w:rPr>
        <w:t>Ω</w:t>
      </w:r>
      <w:r>
        <w:t>。</w:t>
      </w:r>
      <w:r>
        <w:t xml:space="preserve"> </w:t>
      </w:r>
    </w:p>
    <w:p w14:paraId="1C7B4826" w14:textId="77777777" w:rsidR="00A71EEF" w:rsidRDefault="0081115D">
      <w:pPr>
        <w:pStyle w:val="a4"/>
        <w:numPr>
          <w:ilvl w:val="1"/>
          <w:numId w:val="907"/>
        </w:numPr>
        <w:tabs>
          <w:tab w:val="left" w:pos="1159"/>
        </w:tabs>
        <w:ind w:hanging="319"/>
        <w:rPr>
          <w:sz w:val="21"/>
        </w:rPr>
      </w:pPr>
      <w:r>
        <w:rPr>
          <w:spacing w:val="-3"/>
          <w:sz w:val="21"/>
        </w:rPr>
        <w:t>耐压性能</w:t>
      </w:r>
      <w:r>
        <w:rPr>
          <w:sz w:val="21"/>
        </w:rPr>
        <w:t xml:space="preserve"> </w:t>
      </w:r>
    </w:p>
    <w:p w14:paraId="408BA1E3" w14:textId="77777777" w:rsidR="00A71EEF" w:rsidRDefault="00A71EEF">
      <w:pPr>
        <w:pStyle w:val="a3"/>
        <w:spacing w:before="11"/>
        <w:rPr>
          <w:sz w:val="17"/>
        </w:rPr>
      </w:pPr>
    </w:p>
    <w:p w14:paraId="47CE5143" w14:textId="77777777" w:rsidR="00A71EEF" w:rsidRDefault="0081115D">
      <w:pPr>
        <w:pStyle w:val="a3"/>
        <w:spacing w:line="446" w:lineRule="auto"/>
        <w:ind w:left="418" w:right="1613" w:firstLine="419"/>
      </w:pPr>
      <w:r>
        <w:rPr>
          <w:spacing w:val="-8"/>
        </w:rPr>
        <w:t>方位灯应能耐受频率为</w:t>
      </w:r>
      <w:r>
        <w:rPr>
          <w:spacing w:val="-8"/>
        </w:rPr>
        <w:t xml:space="preserve"> </w:t>
      </w:r>
      <w:r>
        <w:t>50Hz±0.5Hz</w:t>
      </w:r>
      <w:r>
        <w:rPr>
          <w:spacing w:val="-15"/>
        </w:rPr>
        <w:t>、电压</w:t>
      </w:r>
      <w:r>
        <w:rPr>
          <w:spacing w:val="-15"/>
        </w:rPr>
        <w:t xml:space="preserve"> </w:t>
      </w:r>
      <w:r>
        <w:t>500V±50V</w:t>
      </w:r>
      <w:r>
        <w:rPr>
          <w:spacing w:val="-14"/>
        </w:rPr>
        <w:t>，历时</w:t>
      </w:r>
      <w:r>
        <w:rPr>
          <w:spacing w:val="-14"/>
        </w:rPr>
        <w:t xml:space="preserve"> </w:t>
      </w:r>
      <w:r>
        <w:t>60s</w:t>
      </w:r>
      <w:r>
        <w:rPr>
          <w:spacing w:val="-34"/>
        </w:rPr>
        <w:t xml:space="preserve"> </w:t>
      </w:r>
      <w:r>
        <w:rPr>
          <w:spacing w:val="-34"/>
        </w:rPr>
        <w:t>士</w:t>
      </w:r>
      <w:r>
        <w:rPr>
          <w:spacing w:val="-34"/>
        </w:rPr>
        <w:t xml:space="preserve"> </w:t>
      </w:r>
      <w:r>
        <w:t>5s</w:t>
      </w:r>
      <w:r>
        <w:rPr>
          <w:spacing w:val="-8"/>
        </w:rPr>
        <w:t xml:space="preserve"> </w:t>
      </w:r>
      <w:r>
        <w:rPr>
          <w:spacing w:val="-8"/>
        </w:rPr>
        <w:t>的耐压性能试验。</w:t>
      </w:r>
      <w:r>
        <w:rPr>
          <w:spacing w:val="-5"/>
        </w:rPr>
        <w:t>试验期间，不应发生表面飞弧和击穿现象。试验后，方位灯应能正常工作。</w:t>
      </w:r>
      <w:r>
        <w:t xml:space="preserve"> </w:t>
      </w:r>
    </w:p>
    <w:p w14:paraId="51106256" w14:textId="77777777" w:rsidR="00A71EEF" w:rsidRDefault="0081115D">
      <w:pPr>
        <w:pStyle w:val="a4"/>
        <w:numPr>
          <w:ilvl w:val="1"/>
          <w:numId w:val="907"/>
        </w:numPr>
        <w:tabs>
          <w:tab w:val="left" w:pos="1159"/>
        </w:tabs>
        <w:ind w:hanging="319"/>
        <w:rPr>
          <w:b/>
          <w:sz w:val="21"/>
        </w:rPr>
      </w:pPr>
      <w:r>
        <w:rPr>
          <w:spacing w:val="-3"/>
          <w:sz w:val="21"/>
        </w:rPr>
        <w:t>外壳防护性能</w:t>
      </w:r>
      <w:r>
        <w:rPr>
          <w:b/>
          <w:w w:val="99"/>
          <w:sz w:val="21"/>
        </w:rPr>
        <w:t xml:space="preserve"> </w:t>
      </w:r>
    </w:p>
    <w:p w14:paraId="7C9965C4" w14:textId="77777777" w:rsidR="00A71EEF" w:rsidRDefault="00A71EEF">
      <w:pPr>
        <w:pStyle w:val="a3"/>
        <w:spacing w:before="12"/>
        <w:rPr>
          <w:b/>
          <w:sz w:val="17"/>
        </w:rPr>
      </w:pPr>
    </w:p>
    <w:p w14:paraId="23E1F8F4" w14:textId="77777777" w:rsidR="00A71EEF" w:rsidRDefault="0081115D">
      <w:pPr>
        <w:pStyle w:val="a3"/>
        <w:spacing w:line="446" w:lineRule="auto"/>
        <w:ind w:left="840" w:right="3397" w:hanging="3"/>
        <w:rPr>
          <w:b/>
        </w:rPr>
      </w:pPr>
      <w:r>
        <w:rPr>
          <w:spacing w:val="-7"/>
        </w:rPr>
        <w:t>方位灯的外壳防护性能应符合</w:t>
      </w:r>
      <w:r>
        <w:rPr>
          <w:spacing w:val="-7"/>
        </w:rPr>
        <w:t xml:space="preserve"> </w:t>
      </w:r>
      <w:r>
        <w:t>GB 4208—200S</w:t>
      </w:r>
      <w:r>
        <w:rPr>
          <w:spacing w:val="-22"/>
        </w:rPr>
        <w:t xml:space="preserve"> </w:t>
      </w:r>
      <w:r>
        <w:rPr>
          <w:spacing w:val="-22"/>
        </w:rPr>
        <w:t>规定的</w:t>
      </w:r>
      <w:r>
        <w:rPr>
          <w:spacing w:val="-22"/>
        </w:rPr>
        <w:t xml:space="preserve"> </w:t>
      </w:r>
      <w:r>
        <w:t>IP 65</w:t>
      </w:r>
      <w:r>
        <w:rPr>
          <w:spacing w:val="-13"/>
        </w:rPr>
        <w:t xml:space="preserve"> </w:t>
      </w:r>
      <w:r>
        <w:rPr>
          <w:spacing w:val="-13"/>
        </w:rPr>
        <w:t>的要求。</w:t>
      </w:r>
      <w:r>
        <w:rPr>
          <w:b/>
        </w:rPr>
        <w:t>5.9</w:t>
      </w:r>
      <w:r>
        <w:rPr>
          <w:b/>
          <w:spacing w:val="104"/>
        </w:rPr>
        <w:t xml:space="preserve"> </w:t>
      </w:r>
      <w:r>
        <w:rPr>
          <w:spacing w:val="-3"/>
        </w:rPr>
        <w:t>耐气候环境性能</w:t>
      </w:r>
      <w:r>
        <w:rPr>
          <w:b/>
          <w:spacing w:val="-3"/>
          <w:w w:val="99"/>
        </w:rPr>
        <w:t xml:space="preserve"> </w:t>
      </w:r>
    </w:p>
    <w:p w14:paraId="2F188015" w14:textId="77777777" w:rsidR="00A71EEF" w:rsidRDefault="0081115D">
      <w:pPr>
        <w:pStyle w:val="a3"/>
        <w:spacing w:line="446" w:lineRule="auto"/>
        <w:ind w:left="418" w:right="1608" w:firstLine="419"/>
      </w:pPr>
      <w:r>
        <w:rPr>
          <w:noProof/>
        </w:rPr>
        <w:drawing>
          <wp:anchor distT="0" distB="0" distL="0" distR="0" simplePos="0" relativeHeight="251761152" behindDoc="1" locked="0" layoutInCell="1" allowOverlap="1" wp14:anchorId="7596D436" wp14:editId="36581048">
            <wp:simplePos x="0" y="0"/>
            <wp:positionH relativeFrom="page">
              <wp:posOffset>1389380</wp:posOffset>
            </wp:positionH>
            <wp:positionV relativeFrom="paragraph">
              <wp:posOffset>522351</wp:posOffset>
            </wp:positionV>
            <wp:extent cx="5114925" cy="1800225"/>
            <wp:effectExtent l="0" t="0" r="0" b="0"/>
            <wp:wrapNone/>
            <wp:docPr id="39"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5.jpeg"/>
                    <pic:cNvPicPr/>
                  </pic:nvPicPr>
                  <pic:blipFill>
                    <a:blip r:embed="rId31" cstate="print"/>
                    <a:stretch>
                      <a:fillRect/>
                    </a:stretch>
                  </pic:blipFill>
                  <pic:spPr>
                    <a:xfrm>
                      <a:off x="0" y="0"/>
                      <a:ext cx="5114925" cy="1800225"/>
                    </a:xfrm>
                    <a:prstGeom prst="rect">
                      <a:avLst/>
                    </a:prstGeom>
                  </pic:spPr>
                </pic:pic>
              </a:graphicData>
            </a:graphic>
          </wp:anchor>
        </w:drawing>
      </w:r>
      <w:r>
        <w:rPr>
          <w:spacing w:val="-7"/>
        </w:rPr>
        <w:t>方位灯应能耐受表</w:t>
      </w:r>
      <w:r>
        <w:rPr>
          <w:spacing w:val="-7"/>
        </w:rPr>
        <w:t xml:space="preserve"> </w:t>
      </w:r>
      <w:r>
        <w:t>2</w:t>
      </w:r>
      <w:r>
        <w:rPr>
          <w:spacing w:val="-7"/>
        </w:rPr>
        <w:t xml:space="preserve"> </w:t>
      </w:r>
      <w:r>
        <w:rPr>
          <w:spacing w:val="-7"/>
        </w:rPr>
        <w:t>所规定的气候环境条件下的各项试验，每项试验后，方位灯应能正常</w:t>
      </w:r>
      <w:r>
        <w:rPr>
          <w:spacing w:val="-6"/>
        </w:rPr>
        <w:t>工作。</w:t>
      </w:r>
      <w:r>
        <w:t xml:space="preserve"> </w:t>
      </w:r>
    </w:p>
    <w:p w14:paraId="59F67E7E" w14:textId="77777777" w:rsidR="00A71EEF" w:rsidRDefault="00A71EEF">
      <w:pPr>
        <w:pStyle w:val="a3"/>
        <w:rPr>
          <w:sz w:val="20"/>
        </w:rPr>
      </w:pPr>
    </w:p>
    <w:p w14:paraId="605F91F2" w14:textId="77777777" w:rsidR="00A71EEF" w:rsidRDefault="00A71EEF">
      <w:pPr>
        <w:pStyle w:val="a3"/>
        <w:rPr>
          <w:sz w:val="20"/>
        </w:rPr>
      </w:pPr>
    </w:p>
    <w:p w14:paraId="4D6ED983" w14:textId="77777777" w:rsidR="00A71EEF" w:rsidRDefault="00A71EEF">
      <w:pPr>
        <w:pStyle w:val="a3"/>
        <w:rPr>
          <w:sz w:val="20"/>
        </w:rPr>
      </w:pPr>
    </w:p>
    <w:p w14:paraId="309B664F" w14:textId="77777777" w:rsidR="00A71EEF" w:rsidRDefault="00A71EEF">
      <w:pPr>
        <w:pStyle w:val="a3"/>
        <w:rPr>
          <w:sz w:val="20"/>
        </w:rPr>
      </w:pPr>
    </w:p>
    <w:p w14:paraId="54B0B7DE" w14:textId="77777777" w:rsidR="00A71EEF" w:rsidRDefault="00A71EEF">
      <w:pPr>
        <w:pStyle w:val="a3"/>
        <w:rPr>
          <w:sz w:val="20"/>
        </w:rPr>
      </w:pPr>
    </w:p>
    <w:p w14:paraId="1A8AB151" w14:textId="77777777" w:rsidR="00A71EEF" w:rsidRDefault="00A71EEF">
      <w:pPr>
        <w:pStyle w:val="a3"/>
        <w:rPr>
          <w:sz w:val="20"/>
        </w:rPr>
      </w:pPr>
    </w:p>
    <w:p w14:paraId="55C138F5" w14:textId="77777777" w:rsidR="00A71EEF" w:rsidRDefault="00A71EEF">
      <w:pPr>
        <w:pStyle w:val="a3"/>
        <w:rPr>
          <w:sz w:val="20"/>
        </w:rPr>
      </w:pPr>
    </w:p>
    <w:p w14:paraId="70B2E23F" w14:textId="77777777" w:rsidR="00A71EEF" w:rsidRDefault="00A71EEF">
      <w:pPr>
        <w:pStyle w:val="a3"/>
        <w:rPr>
          <w:sz w:val="20"/>
        </w:rPr>
      </w:pPr>
    </w:p>
    <w:p w14:paraId="199E8386" w14:textId="77777777" w:rsidR="00A71EEF" w:rsidRDefault="00A71EEF">
      <w:pPr>
        <w:pStyle w:val="a3"/>
        <w:rPr>
          <w:sz w:val="20"/>
        </w:rPr>
      </w:pPr>
    </w:p>
    <w:p w14:paraId="7128703D" w14:textId="77777777" w:rsidR="00A71EEF" w:rsidRDefault="00A71EEF">
      <w:pPr>
        <w:pStyle w:val="a3"/>
        <w:rPr>
          <w:sz w:val="20"/>
        </w:rPr>
      </w:pPr>
    </w:p>
    <w:p w14:paraId="3766B5B8" w14:textId="77777777" w:rsidR="00A71EEF" w:rsidRDefault="00A71EEF">
      <w:pPr>
        <w:pStyle w:val="a3"/>
        <w:spacing w:before="7"/>
        <w:rPr>
          <w:sz w:val="23"/>
        </w:rPr>
      </w:pPr>
    </w:p>
    <w:p w14:paraId="7A561A7F" w14:textId="77777777" w:rsidR="00A71EEF" w:rsidRDefault="0081115D">
      <w:pPr>
        <w:ind w:left="840"/>
        <w:rPr>
          <w:b/>
          <w:sz w:val="21"/>
        </w:rPr>
      </w:pPr>
      <w:r>
        <w:rPr>
          <w:b/>
          <w:sz w:val="21"/>
        </w:rPr>
        <w:t>5.10</w:t>
      </w:r>
      <w:r>
        <w:rPr>
          <w:b/>
          <w:spacing w:val="103"/>
          <w:sz w:val="21"/>
        </w:rPr>
        <w:t xml:space="preserve"> </w:t>
      </w:r>
      <w:r>
        <w:rPr>
          <w:spacing w:val="-3"/>
          <w:sz w:val="21"/>
        </w:rPr>
        <w:t>耐机械环境性能</w:t>
      </w:r>
      <w:r>
        <w:rPr>
          <w:b/>
          <w:w w:val="99"/>
          <w:sz w:val="21"/>
        </w:rPr>
        <w:t xml:space="preserve"> </w:t>
      </w:r>
    </w:p>
    <w:p w14:paraId="5443855A" w14:textId="77777777" w:rsidR="00A71EEF" w:rsidRDefault="00A71EEF">
      <w:pPr>
        <w:rPr>
          <w:sz w:val="21"/>
        </w:rPr>
        <w:sectPr w:rsidR="00A71EEF">
          <w:pgSz w:w="11910" w:h="16850"/>
          <w:pgMar w:top="1220" w:right="0" w:bottom="1420" w:left="1260" w:header="0" w:footer="1239" w:gutter="0"/>
          <w:cols w:space="720"/>
        </w:sectPr>
      </w:pPr>
    </w:p>
    <w:p w14:paraId="3D5FBA6B" w14:textId="77777777" w:rsidR="00A71EEF" w:rsidRDefault="0081115D">
      <w:pPr>
        <w:pStyle w:val="a3"/>
        <w:spacing w:before="47"/>
        <w:ind w:left="838"/>
      </w:pPr>
      <w:r>
        <w:lastRenderedPageBreak/>
        <w:t>方位灯应能耐受表</w:t>
      </w:r>
      <w:r>
        <w:t xml:space="preserve"> 3 </w:t>
      </w:r>
      <w:r>
        <w:t>所规定的机械环境条件下的试验。每项试验后，方位灯不应有机械损</w:t>
      </w:r>
    </w:p>
    <w:p w14:paraId="1C7F63DB" w14:textId="77777777" w:rsidR="00A71EEF" w:rsidRDefault="0081115D">
      <w:pPr>
        <w:pStyle w:val="a3"/>
        <w:spacing w:before="5"/>
        <w:rPr>
          <w:sz w:val="14"/>
        </w:rPr>
      </w:pPr>
      <w:r>
        <w:rPr>
          <w:noProof/>
        </w:rPr>
        <w:drawing>
          <wp:anchor distT="0" distB="0" distL="0" distR="0" simplePos="0" relativeHeight="251468288" behindDoc="0" locked="0" layoutInCell="1" allowOverlap="1" wp14:anchorId="6B756CF3" wp14:editId="12E19B78">
            <wp:simplePos x="0" y="0"/>
            <wp:positionH relativeFrom="page">
              <wp:posOffset>1456055</wp:posOffset>
            </wp:positionH>
            <wp:positionV relativeFrom="paragraph">
              <wp:posOffset>142327</wp:posOffset>
            </wp:positionV>
            <wp:extent cx="4943475" cy="1762125"/>
            <wp:effectExtent l="0" t="0" r="0" b="0"/>
            <wp:wrapTopAndBottom/>
            <wp:docPr id="41"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6.jpeg"/>
                    <pic:cNvPicPr/>
                  </pic:nvPicPr>
                  <pic:blipFill>
                    <a:blip r:embed="rId32" cstate="print"/>
                    <a:stretch>
                      <a:fillRect/>
                    </a:stretch>
                  </pic:blipFill>
                  <pic:spPr>
                    <a:xfrm>
                      <a:off x="0" y="0"/>
                      <a:ext cx="4943475" cy="1762125"/>
                    </a:xfrm>
                    <a:prstGeom prst="rect">
                      <a:avLst/>
                    </a:prstGeom>
                  </pic:spPr>
                </pic:pic>
              </a:graphicData>
            </a:graphic>
          </wp:anchor>
        </w:drawing>
      </w:r>
    </w:p>
    <w:p w14:paraId="5E2678E3" w14:textId="77777777" w:rsidR="00A71EEF" w:rsidRDefault="0081115D">
      <w:pPr>
        <w:spacing w:before="177" w:line="446" w:lineRule="auto"/>
        <w:ind w:left="840" w:right="6549" w:hanging="423"/>
        <w:rPr>
          <w:b/>
          <w:sz w:val="21"/>
        </w:rPr>
      </w:pPr>
      <w:r>
        <w:rPr>
          <w:sz w:val="21"/>
        </w:rPr>
        <w:t>伤和紧固件松动现象，且能正常工作。</w:t>
      </w:r>
      <w:r>
        <w:rPr>
          <w:b/>
          <w:sz w:val="21"/>
        </w:rPr>
        <w:t xml:space="preserve">5.11 </w:t>
      </w:r>
      <w:r>
        <w:rPr>
          <w:sz w:val="21"/>
        </w:rPr>
        <w:t>抗跌落性能</w:t>
      </w:r>
      <w:r>
        <w:rPr>
          <w:b/>
          <w:w w:val="99"/>
          <w:sz w:val="21"/>
        </w:rPr>
        <w:t xml:space="preserve"> </w:t>
      </w:r>
    </w:p>
    <w:p w14:paraId="04F87C61" w14:textId="77777777" w:rsidR="00A71EEF" w:rsidRDefault="0081115D">
      <w:pPr>
        <w:pStyle w:val="a3"/>
        <w:spacing w:line="446" w:lineRule="auto"/>
        <w:ind w:left="418" w:right="1714" w:firstLine="419"/>
      </w:pPr>
      <w:r>
        <w:rPr>
          <w:spacing w:val="-8"/>
        </w:rPr>
        <w:t>方位灯应能承受</w:t>
      </w:r>
      <w:r>
        <w:rPr>
          <w:spacing w:val="-8"/>
        </w:rPr>
        <w:t xml:space="preserve"> </w:t>
      </w:r>
      <w:r>
        <w:t>6.12</w:t>
      </w:r>
      <w:r>
        <w:rPr>
          <w:spacing w:val="-7"/>
        </w:rPr>
        <w:t xml:space="preserve"> </w:t>
      </w:r>
      <w:r>
        <w:rPr>
          <w:spacing w:val="-7"/>
        </w:rPr>
        <w:t>规定的跌落试验。试验后，方位灯不得发生零部件松动、损坏的现</w:t>
      </w:r>
      <w:r>
        <w:rPr>
          <w:spacing w:val="-5"/>
        </w:rPr>
        <w:t>象，且能正常工作。</w:t>
      </w:r>
      <w:r>
        <w:t xml:space="preserve"> </w:t>
      </w:r>
    </w:p>
    <w:p w14:paraId="4BC83588" w14:textId="77777777" w:rsidR="00A71EEF" w:rsidRDefault="0081115D">
      <w:pPr>
        <w:ind w:left="840"/>
        <w:rPr>
          <w:sz w:val="21"/>
        </w:rPr>
      </w:pPr>
      <w:r>
        <w:rPr>
          <w:b/>
          <w:sz w:val="21"/>
        </w:rPr>
        <w:t xml:space="preserve">5.12 </w:t>
      </w:r>
      <w:r>
        <w:rPr>
          <w:sz w:val="21"/>
        </w:rPr>
        <w:t>防爆性能</w:t>
      </w:r>
      <w:r>
        <w:rPr>
          <w:sz w:val="21"/>
        </w:rPr>
        <w:t xml:space="preserve"> </w:t>
      </w:r>
    </w:p>
    <w:p w14:paraId="5ABA8742" w14:textId="77777777" w:rsidR="00A71EEF" w:rsidRDefault="00A71EEF">
      <w:pPr>
        <w:pStyle w:val="a3"/>
        <w:spacing w:before="12"/>
        <w:rPr>
          <w:sz w:val="17"/>
        </w:rPr>
      </w:pPr>
    </w:p>
    <w:p w14:paraId="40E3DB8C" w14:textId="77777777" w:rsidR="00A71EEF" w:rsidRDefault="0081115D">
      <w:pPr>
        <w:pStyle w:val="a3"/>
        <w:spacing w:line="446" w:lineRule="auto"/>
        <w:ind w:left="840" w:right="5500" w:hanging="3"/>
        <w:rPr>
          <w:b/>
        </w:rPr>
      </w:pPr>
      <w:r>
        <w:t>方位灯的防爆性能应符合</w:t>
      </w:r>
      <w:r>
        <w:t xml:space="preserve"> GB 3836.1 </w:t>
      </w:r>
      <w:r>
        <w:t>的规定。</w:t>
      </w:r>
      <w:r>
        <w:rPr>
          <w:b/>
        </w:rPr>
        <w:t xml:space="preserve">5.13 </w:t>
      </w:r>
      <w:r>
        <w:t>模拟烟雾环境方位指示性能</w:t>
      </w:r>
      <w:r>
        <w:rPr>
          <w:b/>
          <w:w w:val="99"/>
        </w:rPr>
        <w:t xml:space="preserve"> </w:t>
      </w:r>
    </w:p>
    <w:p w14:paraId="006A6B45" w14:textId="77777777" w:rsidR="00A71EEF" w:rsidRDefault="0081115D">
      <w:pPr>
        <w:pStyle w:val="a3"/>
        <w:ind w:left="838"/>
      </w:pPr>
      <w:r>
        <w:t>在浓烟环境中，应可指示方位灯的方位。</w:t>
      </w:r>
      <w:r>
        <w:t xml:space="preserve"> </w:t>
      </w:r>
    </w:p>
    <w:p w14:paraId="0DA1EEA4" w14:textId="77777777" w:rsidR="00A71EEF" w:rsidRDefault="00A71EEF">
      <w:pPr>
        <w:pStyle w:val="a3"/>
        <w:spacing w:before="8"/>
        <w:rPr>
          <w:sz w:val="15"/>
        </w:rPr>
      </w:pPr>
    </w:p>
    <w:p w14:paraId="184CC261" w14:textId="77777777" w:rsidR="00A71EEF" w:rsidRDefault="0081115D">
      <w:pPr>
        <w:pStyle w:val="4"/>
      </w:pPr>
      <w:r>
        <w:t xml:space="preserve">6 </w:t>
      </w:r>
      <w:r>
        <w:t>试验方法</w:t>
      </w:r>
      <w:r>
        <w:rPr>
          <w:w w:val="99"/>
        </w:rPr>
        <w:t xml:space="preserve"> </w:t>
      </w:r>
    </w:p>
    <w:p w14:paraId="53C9B614" w14:textId="77777777" w:rsidR="00A71EEF" w:rsidRDefault="00A71EEF">
      <w:pPr>
        <w:pStyle w:val="a3"/>
        <w:spacing w:before="4"/>
        <w:rPr>
          <w:b/>
          <w:sz w:val="17"/>
        </w:rPr>
      </w:pPr>
    </w:p>
    <w:p w14:paraId="7C5AED40" w14:textId="77777777" w:rsidR="00A71EEF" w:rsidRDefault="0081115D">
      <w:pPr>
        <w:pStyle w:val="a4"/>
        <w:numPr>
          <w:ilvl w:val="1"/>
          <w:numId w:val="906"/>
        </w:numPr>
        <w:tabs>
          <w:tab w:val="left" w:pos="1159"/>
        </w:tabs>
        <w:ind w:hanging="319"/>
        <w:rPr>
          <w:b/>
          <w:sz w:val="21"/>
        </w:rPr>
      </w:pPr>
      <w:r>
        <w:rPr>
          <w:spacing w:val="-3"/>
          <w:sz w:val="21"/>
        </w:rPr>
        <w:t>外观与装配质量检查</w:t>
      </w:r>
      <w:r>
        <w:rPr>
          <w:b/>
          <w:w w:val="99"/>
          <w:sz w:val="21"/>
        </w:rPr>
        <w:t xml:space="preserve"> </w:t>
      </w:r>
    </w:p>
    <w:p w14:paraId="474C9973" w14:textId="77777777" w:rsidR="00A71EEF" w:rsidRDefault="00A71EEF">
      <w:pPr>
        <w:pStyle w:val="a3"/>
        <w:spacing w:before="2"/>
        <w:rPr>
          <w:b/>
          <w:sz w:val="18"/>
        </w:rPr>
      </w:pPr>
    </w:p>
    <w:p w14:paraId="60A7AB84" w14:textId="77777777" w:rsidR="00A71EEF" w:rsidRDefault="0081115D">
      <w:pPr>
        <w:pStyle w:val="a3"/>
        <w:ind w:left="838"/>
      </w:pPr>
      <w:r>
        <w:t>目测检查。</w:t>
      </w:r>
      <w:r>
        <w:t xml:space="preserve"> </w:t>
      </w:r>
    </w:p>
    <w:p w14:paraId="1B6BBF85" w14:textId="77777777" w:rsidR="00A71EEF" w:rsidRDefault="00A71EEF">
      <w:pPr>
        <w:pStyle w:val="a3"/>
        <w:spacing w:before="12"/>
        <w:rPr>
          <w:sz w:val="17"/>
        </w:rPr>
      </w:pPr>
    </w:p>
    <w:p w14:paraId="0F9F1F9F" w14:textId="77777777" w:rsidR="00A71EEF" w:rsidRDefault="0081115D">
      <w:pPr>
        <w:pStyle w:val="a4"/>
        <w:numPr>
          <w:ilvl w:val="1"/>
          <w:numId w:val="906"/>
        </w:numPr>
        <w:tabs>
          <w:tab w:val="left" w:pos="1159"/>
        </w:tabs>
        <w:ind w:hanging="319"/>
        <w:rPr>
          <w:sz w:val="21"/>
        </w:rPr>
      </w:pPr>
      <w:r>
        <w:rPr>
          <w:spacing w:val="-3"/>
          <w:sz w:val="21"/>
        </w:rPr>
        <w:t>发光亮度测量</w:t>
      </w:r>
      <w:r>
        <w:rPr>
          <w:sz w:val="21"/>
        </w:rPr>
        <w:t xml:space="preserve"> </w:t>
      </w:r>
    </w:p>
    <w:p w14:paraId="668CC31E" w14:textId="77777777" w:rsidR="00A71EEF" w:rsidRDefault="00A71EEF">
      <w:pPr>
        <w:pStyle w:val="a3"/>
        <w:rPr>
          <w:sz w:val="18"/>
        </w:rPr>
      </w:pPr>
    </w:p>
    <w:p w14:paraId="4126441E" w14:textId="77777777" w:rsidR="00A71EEF" w:rsidRDefault="0081115D">
      <w:pPr>
        <w:pStyle w:val="a3"/>
        <w:spacing w:line="446" w:lineRule="auto"/>
        <w:ind w:left="418" w:right="1609" w:firstLine="419"/>
      </w:pPr>
      <w:r>
        <w:rPr>
          <w:spacing w:val="-5"/>
        </w:rPr>
        <w:t>方位灯发光亮度测试点的分布按图</w:t>
      </w:r>
      <w:r>
        <w:rPr>
          <w:spacing w:val="-5"/>
        </w:rPr>
        <w:t xml:space="preserve"> </w:t>
      </w:r>
      <w:r>
        <w:t>1</w:t>
      </w:r>
      <w:r>
        <w:rPr>
          <w:spacing w:val="-8"/>
        </w:rPr>
        <w:t xml:space="preserve"> </w:t>
      </w:r>
      <w:r>
        <w:rPr>
          <w:spacing w:val="-8"/>
        </w:rPr>
        <w:t>要求，用精度不低于</w:t>
      </w:r>
      <w:r>
        <w:t>±5</w:t>
      </w:r>
      <w:r>
        <w:rPr>
          <w:spacing w:val="-3"/>
        </w:rPr>
        <w:t>%</w:t>
      </w:r>
      <w:r>
        <w:rPr>
          <w:spacing w:val="-3"/>
        </w:rPr>
        <w:t>的亮度测量仪在方位灯发光</w:t>
      </w:r>
      <w:r>
        <w:rPr>
          <w:spacing w:val="-28"/>
        </w:rPr>
        <w:t>面</w:t>
      </w:r>
      <w:r>
        <w:rPr>
          <w:spacing w:val="-28"/>
        </w:rPr>
        <w:t xml:space="preserve"> </w:t>
      </w:r>
      <w:r>
        <w:t>5m</w:t>
      </w:r>
      <w:r>
        <w:rPr>
          <w:spacing w:val="-12"/>
        </w:rPr>
        <w:t xml:space="preserve"> </w:t>
      </w:r>
      <w:r>
        <w:rPr>
          <w:spacing w:val="-12"/>
        </w:rPr>
        <w:t>远处测量。</w:t>
      </w:r>
      <w:r>
        <w:t xml:space="preserve"> </w:t>
      </w:r>
    </w:p>
    <w:p w14:paraId="74101427" w14:textId="77777777" w:rsidR="00A71EEF" w:rsidRDefault="0081115D">
      <w:pPr>
        <w:pStyle w:val="a3"/>
        <w:ind w:left="4812"/>
      </w:pPr>
      <w:r>
        <w:t xml:space="preserve"> </w:t>
      </w:r>
    </w:p>
    <w:p w14:paraId="27E21388" w14:textId="77777777" w:rsidR="00A71EEF" w:rsidRDefault="00A71EEF">
      <w:pPr>
        <w:sectPr w:rsidR="00A71EEF">
          <w:pgSz w:w="11910" w:h="16850"/>
          <w:pgMar w:top="1220" w:right="0" w:bottom="1420" w:left="1260" w:header="0" w:footer="1239" w:gutter="0"/>
          <w:cols w:space="720"/>
        </w:sectPr>
      </w:pPr>
    </w:p>
    <w:p w14:paraId="27140985" w14:textId="77777777" w:rsidR="00A71EEF" w:rsidRDefault="0081115D">
      <w:pPr>
        <w:pStyle w:val="a3"/>
        <w:ind w:left="2698"/>
        <w:rPr>
          <w:sz w:val="20"/>
        </w:rPr>
      </w:pPr>
      <w:r>
        <w:rPr>
          <w:noProof/>
          <w:sz w:val="20"/>
        </w:rPr>
        <w:lastRenderedPageBreak/>
        <w:drawing>
          <wp:inline distT="0" distB="0" distL="0" distR="0" wp14:anchorId="7416015D" wp14:editId="0B3F4486">
            <wp:extent cx="2514599" cy="2590800"/>
            <wp:effectExtent l="0" t="0" r="0" b="0"/>
            <wp:docPr id="43"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7.jpeg"/>
                    <pic:cNvPicPr/>
                  </pic:nvPicPr>
                  <pic:blipFill>
                    <a:blip r:embed="rId33" cstate="print"/>
                    <a:stretch>
                      <a:fillRect/>
                    </a:stretch>
                  </pic:blipFill>
                  <pic:spPr>
                    <a:xfrm>
                      <a:off x="0" y="0"/>
                      <a:ext cx="2514599" cy="2590800"/>
                    </a:xfrm>
                    <a:prstGeom prst="rect">
                      <a:avLst/>
                    </a:prstGeom>
                  </pic:spPr>
                </pic:pic>
              </a:graphicData>
            </a:graphic>
          </wp:inline>
        </w:drawing>
      </w:r>
    </w:p>
    <w:p w14:paraId="46BE073C" w14:textId="77777777" w:rsidR="00A71EEF" w:rsidRDefault="00A71EEF">
      <w:pPr>
        <w:pStyle w:val="a3"/>
        <w:rPr>
          <w:sz w:val="20"/>
        </w:rPr>
      </w:pPr>
    </w:p>
    <w:p w14:paraId="0328736D" w14:textId="77777777" w:rsidR="00A71EEF" w:rsidRDefault="00A71EEF">
      <w:pPr>
        <w:pStyle w:val="a3"/>
        <w:rPr>
          <w:sz w:val="20"/>
        </w:rPr>
      </w:pPr>
    </w:p>
    <w:p w14:paraId="41E0BBEB" w14:textId="77777777" w:rsidR="00A71EEF" w:rsidRDefault="00A71EEF">
      <w:pPr>
        <w:pStyle w:val="a3"/>
        <w:rPr>
          <w:sz w:val="20"/>
        </w:rPr>
      </w:pPr>
    </w:p>
    <w:p w14:paraId="6595FD5D" w14:textId="77777777" w:rsidR="00A71EEF" w:rsidRDefault="00A71EEF">
      <w:pPr>
        <w:pStyle w:val="a3"/>
        <w:rPr>
          <w:sz w:val="20"/>
        </w:rPr>
      </w:pPr>
    </w:p>
    <w:p w14:paraId="4625C535" w14:textId="77777777" w:rsidR="00A71EEF" w:rsidRDefault="00A71EEF">
      <w:pPr>
        <w:pStyle w:val="a3"/>
        <w:spacing w:before="5"/>
        <w:rPr>
          <w:sz w:val="16"/>
        </w:rPr>
      </w:pPr>
    </w:p>
    <w:p w14:paraId="320B55BA" w14:textId="77777777" w:rsidR="00A71EEF" w:rsidRDefault="0081115D">
      <w:pPr>
        <w:pStyle w:val="a4"/>
        <w:numPr>
          <w:ilvl w:val="1"/>
          <w:numId w:val="906"/>
        </w:numPr>
        <w:tabs>
          <w:tab w:val="left" w:pos="1159"/>
        </w:tabs>
        <w:spacing w:before="72"/>
        <w:ind w:hanging="319"/>
        <w:rPr>
          <w:b/>
          <w:sz w:val="21"/>
        </w:rPr>
      </w:pPr>
      <w:r>
        <w:rPr>
          <w:spacing w:val="-3"/>
          <w:sz w:val="21"/>
        </w:rPr>
        <w:t>闪光频率测量</w:t>
      </w:r>
      <w:r>
        <w:rPr>
          <w:b/>
          <w:w w:val="99"/>
          <w:sz w:val="21"/>
        </w:rPr>
        <w:t xml:space="preserve"> </w:t>
      </w:r>
    </w:p>
    <w:p w14:paraId="77E48161" w14:textId="77777777" w:rsidR="00A71EEF" w:rsidRDefault="00A71EEF">
      <w:pPr>
        <w:pStyle w:val="a3"/>
        <w:spacing w:before="1"/>
        <w:rPr>
          <w:b/>
          <w:sz w:val="18"/>
        </w:rPr>
      </w:pPr>
    </w:p>
    <w:p w14:paraId="14446B04" w14:textId="77777777" w:rsidR="00A71EEF" w:rsidRDefault="0081115D">
      <w:pPr>
        <w:pStyle w:val="a3"/>
        <w:spacing w:before="1" w:line="446" w:lineRule="auto"/>
        <w:ind w:left="418" w:right="1505" w:firstLine="419"/>
      </w:pPr>
      <w:r>
        <w:rPr>
          <w:spacing w:val="-6"/>
        </w:rPr>
        <w:t>打开开关使方位灯工作。用精度不低于</w:t>
      </w:r>
      <w:r>
        <w:rPr>
          <w:spacing w:val="-6"/>
        </w:rPr>
        <w:t xml:space="preserve"> </w:t>
      </w:r>
      <w:r>
        <w:t>0.1s</w:t>
      </w:r>
      <w:r>
        <w:rPr>
          <w:spacing w:val="-15"/>
        </w:rPr>
        <w:t xml:space="preserve"> </w:t>
      </w:r>
      <w:r>
        <w:rPr>
          <w:spacing w:val="-15"/>
        </w:rPr>
        <w:t>的秒表记录</w:t>
      </w:r>
      <w:r>
        <w:rPr>
          <w:spacing w:val="-15"/>
        </w:rPr>
        <w:t xml:space="preserve"> </w:t>
      </w:r>
      <w:r>
        <w:t>20s</w:t>
      </w:r>
      <w:r>
        <w:rPr>
          <w:spacing w:val="-8"/>
        </w:rPr>
        <w:t xml:space="preserve"> </w:t>
      </w:r>
      <w:r>
        <w:rPr>
          <w:spacing w:val="-8"/>
        </w:rPr>
        <w:t>时间内方位灯发光器件闪烁次</w:t>
      </w:r>
      <w:r>
        <w:rPr>
          <w:spacing w:val="-5"/>
        </w:rPr>
        <w:t>数，计算闪光频率。</w:t>
      </w:r>
      <w:r>
        <w:t xml:space="preserve"> </w:t>
      </w:r>
    </w:p>
    <w:p w14:paraId="1FCA26D6" w14:textId="77777777" w:rsidR="00A71EEF" w:rsidRDefault="0081115D">
      <w:pPr>
        <w:pStyle w:val="a4"/>
        <w:numPr>
          <w:ilvl w:val="1"/>
          <w:numId w:val="906"/>
        </w:numPr>
        <w:tabs>
          <w:tab w:val="left" w:pos="1159"/>
        </w:tabs>
        <w:spacing w:line="267" w:lineRule="exact"/>
        <w:ind w:hanging="319"/>
        <w:rPr>
          <w:b/>
          <w:sz w:val="21"/>
        </w:rPr>
      </w:pPr>
      <w:r>
        <w:rPr>
          <w:spacing w:val="-3"/>
          <w:sz w:val="21"/>
        </w:rPr>
        <w:t>连续工作时间试验</w:t>
      </w:r>
      <w:r>
        <w:rPr>
          <w:b/>
          <w:w w:val="99"/>
          <w:sz w:val="21"/>
        </w:rPr>
        <w:t xml:space="preserve"> </w:t>
      </w:r>
    </w:p>
    <w:p w14:paraId="2940A3EE" w14:textId="77777777" w:rsidR="00A71EEF" w:rsidRDefault="00A71EEF">
      <w:pPr>
        <w:pStyle w:val="a3"/>
        <w:spacing w:before="1"/>
        <w:rPr>
          <w:b/>
          <w:sz w:val="18"/>
        </w:rPr>
      </w:pPr>
    </w:p>
    <w:p w14:paraId="2FDDA02D" w14:textId="77777777" w:rsidR="00A71EEF" w:rsidRDefault="0081115D">
      <w:pPr>
        <w:pStyle w:val="a3"/>
        <w:spacing w:before="1" w:line="446" w:lineRule="auto"/>
        <w:ind w:left="840" w:right="1505" w:hanging="3"/>
      </w:pPr>
      <w:r>
        <w:t>打开开关使方位灯工作，同时用钟表开始计时，直到方位灯熄灭时停止计时并读取时间。</w:t>
      </w:r>
      <w:r>
        <w:rPr>
          <w:b/>
        </w:rPr>
        <w:t xml:space="preserve">6.5 </w:t>
      </w:r>
      <w:r>
        <w:t>质量测量</w:t>
      </w:r>
      <w:r>
        <w:t xml:space="preserve"> </w:t>
      </w:r>
    </w:p>
    <w:p w14:paraId="6456B975" w14:textId="77777777" w:rsidR="00A71EEF" w:rsidRDefault="0081115D">
      <w:pPr>
        <w:pStyle w:val="a3"/>
        <w:spacing w:line="446" w:lineRule="auto"/>
        <w:ind w:left="840" w:right="5605" w:hanging="3"/>
        <w:rPr>
          <w:b/>
        </w:rPr>
      </w:pPr>
      <w:r>
        <w:rPr>
          <w:spacing w:val="-9"/>
        </w:rPr>
        <w:t>用精度不低于</w:t>
      </w:r>
      <w:r>
        <w:rPr>
          <w:spacing w:val="-9"/>
        </w:rPr>
        <w:t xml:space="preserve"> </w:t>
      </w:r>
      <w:r>
        <w:t>1g</w:t>
      </w:r>
      <w:r>
        <w:rPr>
          <w:spacing w:val="-9"/>
        </w:rPr>
        <w:t xml:space="preserve"> </w:t>
      </w:r>
      <w:r>
        <w:rPr>
          <w:spacing w:val="-9"/>
        </w:rPr>
        <w:t>的电子称测量方位灯质量。</w:t>
      </w:r>
      <w:r>
        <w:rPr>
          <w:b/>
        </w:rPr>
        <w:t>6.6</w:t>
      </w:r>
      <w:r>
        <w:rPr>
          <w:b/>
          <w:spacing w:val="104"/>
        </w:rPr>
        <w:t xml:space="preserve"> </w:t>
      </w:r>
      <w:r>
        <w:rPr>
          <w:spacing w:val="-3"/>
        </w:rPr>
        <w:t>绝缘电阻试验</w:t>
      </w:r>
      <w:r>
        <w:rPr>
          <w:b/>
          <w:spacing w:val="-3"/>
          <w:w w:val="99"/>
        </w:rPr>
        <w:t xml:space="preserve"> </w:t>
      </w:r>
    </w:p>
    <w:p w14:paraId="6E15B8E9" w14:textId="77777777" w:rsidR="00A71EEF" w:rsidRDefault="0081115D">
      <w:pPr>
        <w:pStyle w:val="a3"/>
        <w:spacing w:line="446" w:lineRule="auto"/>
        <w:ind w:left="418" w:right="1505" w:firstLine="419"/>
      </w:pPr>
      <w:r>
        <w:rPr>
          <w:spacing w:val="-2"/>
        </w:rPr>
        <w:t>用精度不低于</w:t>
      </w:r>
      <w:r>
        <w:rPr>
          <w:spacing w:val="-2"/>
        </w:rPr>
        <w:t>±</w:t>
      </w:r>
      <w:r>
        <w:t>5%</w:t>
      </w:r>
      <w:r>
        <w:rPr>
          <w:spacing w:val="-7"/>
        </w:rPr>
        <w:t>的绝缘电阻测量仪在</w:t>
      </w:r>
      <w:r>
        <w:rPr>
          <w:spacing w:val="-7"/>
        </w:rPr>
        <w:t xml:space="preserve"> </w:t>
      </w:r>
      <w:r>
        <w:t>500V</w:t>
      </w:r>
      <w:r>
        <w:rPr>
          <w:spacing w:val="-8"/>
        </w:rPr>
        <w:t xml:space="preserve"> </w:t>
      </w:r>
      <w:r>
        <w:rPr>
          <w:spacing w:val="-8"/>
        </w:rPr>
        <w:t>直流电压下测量方位灯壳体和带电端子之间的</w:t>
      </w:r>
      <w:r>
        <w:rPr>
          <w:spacing w:val="-6"/>
        </w:rPr>
        <w:t>绝缘电阻。</w:t>
      </w:r>
      <w:r>
        <w:t xml:space="preserve"> </w:t>
      </w:r>
    </w:p>
    <w:p w14:paraId="5263A2B4" w14:textId="77777777" w:rsidR="00A71EEF" w:rsidRDefault="0081115D">
      <w:pPr>
        <w:pStyle w:val="a4"/>
        <w:numPr>
          <w:ilvl w:val="1"/>
          <w:numId w:val="905"/>
        </w:numPr>
        <w:tabs>
          <w:tab w:val="left" w:pos="1160"/>
        </w:tabs>
        <w:rPr>
          <w:b/>
          <w:sz w:val="21"/>
        </w:rPr>
      </w:pPr>
      <w:r>
        <w:rPr>
          <w:spacing w:val="-3"/>
          <w:sz w:val="21"/>
        </w:rPr>
        <w:t>耐压性能试验</w:t>
      </w:r>
      <w:r>
        <w:rPr>
          <w:b/>
          <w:spacing w:val="-3"/>
          <w:w w:val="99"/>
          <w:sz w:val="21"/>
        </w:rPr>
        <w:t xml:space="preserve"> </w:t>
      </w:r>
    </w:p>
    <w:p w14:paraId="5365A822" w14:textId="77777777" w:rsidR="00A71EEF" w:rsidRDefault="00A71EEF">
      <w:pPr>
        <w:pStyle w:val="a3"/>
        <w:spacing w:before="10"/>
        <w:rPr>
          <w:b/>
          <w:sz w:val="17"/>
        </w:rPr>
      </w:pPr>
    </w:p>
    <w:p w14:paraId="7DF00AE5" w14:textId="77777777" w:rsidR="00A71EEF" w:rsidRDefault="0081115D">
      <w:pPr>
        <w:pStyle w:val="a3"/>
        <w:spacing w:line="446" w:lineRule="auto"/>
        <w:ind w:left="418" w:right="1812" w:firstLine="419"/>
      </w:pPr>
      <w:r>
        <w:t>用精度不低于</w:t>
      </w:r>
      <w:r>
        <w:t>±10%</w:t>
      </w:r>
      <w:r>
        <w:t>耐压试验装置在方位灯外部带电端子与壳体之间施加频率为</w:t>
      </w:r>
      <w:r>
        <w:t xml:space="preserve"> 50Hz± 5Hz</w:t>
      </w:r>
      <w:r>
        <w:t>、电压</w:t>
      </w:r>
      <w:r>
        <w:t xml:space="preserve"> 500V±50V </w:t>
      </w:r>
      <w:r>
        <w:t>的交流电压，持续</w:t>
      </w:r>
      <w:r>
        <w:t xml:space="preserve"> 60s±5s</w:t>
      </w:r>
      <w:r>
        <w:t>。</w:t>
      </w:r>
      <w:r>
        <w:t xml:space="preserve"> </w:t>
      </w:r>
    </w:p>
    <w:p w14:paraId="7CDEFEA1" w14:textId="77777777" w:rsidR="00A71EEF" w:rsidRDefault="0081115D">
      <w:pPr>
        <w:pStyle w:val="a4"/>
        <w:numPr>
          <w:ilvl w:val="1"/>
          <w:numId w:val="905"/>
        </w:numPr>
        <w:tabs>
          <w:tab w:val="left" w:pos="1159"/>
        </w:tabs>
        <w:ind w:left="1158" w:hanging="319"/>
        <w:rPr>
          <w:b/>
          <w:sz w:val="21"/>
        </w:rPr>
      </w:pPr>
      <w:r>
        <w:rPr>
          <w:spacing w:val="-3"/>
          <w:sz w:val="21"/>
        </w:rPr>
        <w:t>外売防护性能试验</w:t>
      </w:r>
      <w:r>
        <w:rPr>
          <w:b/>
          <w:w w:val="99"/>
          <w:sz w:val="21"/>
        </w:rPr>
        <w:t xml:space="preserve"> </w:t>
      </w:r>
    </w:p>
    <w:p w14:paraId="11DB680B" w14:textId="77777777" w:rsidR="00A71EEF" w:rsidRDefault="00A71EEF">
      <w:pPr>
        <w:pStyle w:val="a3"/>
        <w:spacing w:before="12"/>
        <w:rPr>
          <w:b/>
          <w:sz w:val="17"/>
        </w:rPr>
      </w:pPr>
    </w:p>
    <w:p w14:paraId="293323B9" w14:textId="77777777" w:rsidR="00A71EEF" w:rsidRDefault="0081115D">
      <w:pPr>
        <w:pStyle w:val="a3"/>
        <w:spacing w:line="446" w:lineRule="auto"/>
        <w:ind w:left="840" w:right="5917" w:hanging="3"/>
        <w:rPr>
          <w:b/>
        </w:rPr>
      </w:pPr>
      <w:r>
        <w:rPr>
          <w:spacing w:val="-26"/>
        </w:rPr>
        <w:t>按</w:t>
      </w:r>
      <w:r>
        <w:rPr>
          <w:spacing w:val="-26"/>
        </w:rPr>
        <w:t xml:space="preserve"> </w:t>
      </w:r>
      <w:r>
        <w:t>GB 4208—2008</w:t>
      </w:r>
      <w:r>
        <w:rPr>
          <w:spacing w:val="-8"/>
        </w:rPr>
        <w:t xml:space="preserve"> </w:t>
      </w:r>
      <w:r>
        <w:rPr>
          <w:spacing w:val="-8"/>
        </w:rPr>
        <w:t>规定的试验方法进行。</w:t>
      </w:r>
      <w:r>
        <w:rPr>
          <w:b/>
        </w:rPr>
        <w:t>6.9</w:t>
      </w:r>
      <w:r>
        <w:rPr>
          <w:b/>
          <w:spacing w:val="105"/>
        </w:rPr>
        <w:t xml:space="preserve"> </w:t>
      </w:r>
      <w:r>
        <w:rPr>
          <w:spacing w:val="-3"/>
        </w:rPr>
        <w:t>耐气候环境性能试验</w:t>
      </w:r>
      <w:r>
        <w:rPr>
          <w:b/>
          <w:w w:val="99"/>
        </w:rPr>
        <w:t xml:space="preserve"> </w:t>
      </w:r>
    </w:p>
    <w:p w14:paraId="29EE2CC0" w14:textId="77777777" w:rsidR="00A71EEF" w:rsidRDefault="0081115D">
      <w:pPr>
        <w:pStyle w:val="a4"/>
        <w:numPr>
          <w:ilvl w:val="2"/>
          <w:numId w:val="904"/>
        </w:numPr>
        <w:tabs>
          <w:tab w:val="left" w:pos="1370"/>
        </w:tabs>
        <w:ind w:hanging="530"/>
        <w:rPr>
          <w:sz w:val="21"/>
        </w:rPr>
      </w:pPr>
      <w:r>
        <w:rPr>
          <w:spacing w:val="-3"/>
          <w:sz w:val="21"/>
        </w:rPr>
        <w:t>高温试验</w:t>
      </w:r>
      <w:r>
        <w:rPr>
          <w:sz w:val="21"/>
        </w:rPr>
        <w:t xml:space="preserve"> </w:t>
      </w:r>
    </w:p>
    <w:p w14:paraId="31379299" w14:textId="77777777" w:rsidR="00A71EEF" w:rsidRDefault="00A71EEF">
      <w:pPr>
        <w:rPr>
          <w:sz w:val="21"/>
        </w:rPr>
        <w:sectPr w:rsidR="00A71EEF">
          <w:pgSz w:w="11910" w:h="16850"/>
          <w:pgMar w:top="1320" w:right="0" w:bottom="1420" w:left="1260" w:header="0" w:footer="1239" w:gutter="0"/>
          <w:cols w:space="720"/>
        </w:sectPr>
      </w:pPr>
    </w:p>
    <w:p w14:paraId="3BFFD10C" w14:textId="77777777" w:rsidR="00A71EEF" w:rsidRDefault="0081115D">
      <w:pPr>
        <w:pStyle w:val="a3"/>
        <w:spacing w:before="47" w:line="446" w:lineRule="auto"/>
        <w:ind w:left="418" w:right="1608" w:firstLine="419"/>
      </w:pPr>
      <w:r>
        <w:rPr>
          <w:spacing w:val="-5"/>
        </w:rPr>
        <w:lastRenderedPageBreak/>
        <w:t>将方位灯放入高温试验箱中，使其处于通电状态，将温度设定为</w:t>
      </w:r>
      <w:r>
        <w:rPr>
          <w:spacing w:val="-5"/>
        </w:rPr>
        <w:t xml:space="preserve"> </w:t>
      </w:r>
      <w:r>
        <w:t>70℃±2</w:t>
      </w:r>
      <w:r>
        <w:rPr>
          <w:spacing w:val="-9"/>
        </w:rPr>
        <w:t>℃</w:t>
      </w:r>
      <w:r>
        <w:rPr>
          <w:spacing w:val="-9"/>
        </w:rPr>
        <w:t>，保持</w:t>
      </w:r>
      <w:r>
        <w:rPr>
          <w:spacing w:val="-9"/>
        </w:rPr>
        <w:t xml:space="preserve"> </w:t>
      </w:r>
      <w:r>
        <w:t>2h</w:t>
      </w:r>
      <w:r>
        <w:t>，试</w:t>
      </w:r>
      <w:r>
        <w:rPr>
          <w:spacing w:val="-18"/>
        </w:rPr>
        <w:t>验按</w:t>
      </w:r>
      <w:r>
        <w:rPr>
          <w:spacing w:val="-18"/>
        </w:rPr>
        <w:t xml:space="preserve"> </w:t>
      </w:r>
      <w:r>
        <w:t>GB/T 24</w:t>
      </w:r>
      <w:r>
        <w:t>23.2</w:t>
      </w:r>
      <w:r>
        <w:rPr>
          <w:spacing w:val="-9"/>
        </w:rPr>
        <w:t xml:space="preserve"> </w:t>
      </w:r>
      <w:r>
        <w:rPr>
          <w:spacing w:val="-9"/>
        </w:rPr>
        <w:t>的规定进行。</w:t>
      </w:r>
      <w:r>
        <w:rPr>
          <w:spacing w:val="-9"/>
        </w:rPr>
        <w:t xml:space="preserve"> </w:t>
      </w:r>
    </w:p>
    <w:p w14:paraId="60038E8D" w14:textId="77777777" w:rsidR="00A71EEF" w:rsidRDefault="0081115D">
      <w:pPr>
        <w:pStyle w:val="a4"/>
        <w:numPr>
          <w:ilvl w:val="2"/>
          <w:numId w:val="904"/>
        </w:numPr>
        <w:tabs>
          <w:tab w:val="left" w:pos="1371"/>
        </w:tabs>
        <w:spacing w:line="267" w:lineRule="exact"/>
        <w:ind w:left="1370" w:hanging="531"/>
        <w:rPr>
          <w:sz w:val="21"/>
        </w:rPr>
      </w:pPr>
      <w:r>
        <w:rPr>
          <w:spacing w:val="-3"/>
          <w:sz w:val="21"/>
        </w:rPr>
        <w:t>低温试验</w:t>
      </w:r>
      <w:r>
        <w:rPr>
          <w:sz w:val="21"/>
        </w:rPr>
        <w:t xml:space="preserve"> </w:t>
      </w:r>
    </w:p>
    <w:p w14:paraId="0380A539" w14:textId="77777777" w:rsidR="00A71EEF" w:rsidRDefault="00A71EEF">
      <w:pPr>
        <w:pStyle w:val="a3"/>
        <w:spacing w:before="2"/>
        <w:rPr>
          <w:sz w:val="18"/>
        </w:rPr>
      </w:pPr>
    </w:p>
    <w:p w14:paraId="794F21B1" w14:textId="77777777" w:rsidR="00A71EEF" w:rsidRDefault="0081115D">
      <w:pPr>
        <w:pStyle w:val="a3"/>
        <w:spacing w:line="446" w:lineRule="auto"/>
        <w:ind w:left="418" w:right="1497" w:firstLine="419"/>
      </w:pPr>
      <w:r>
        <w:t>将方位灯放入低温试验箱中，使其处于通电状态，将温度设定为</w:t>
      </w:r>
      <w:r>
        <w:t>-25℃±2℃</w:t>
      </w:r>
      <w:r>
        <w:t>，保持</w:t>
      </w:r>
      <w:r>
        <w:t xml:space="preserve"> 2h</w:t>
      </w:r>
      <w:r>
        <w:t>，试验按</w:t>
      </w:r>
      <w:r>
        <w:t xml:space="preserve"> GB/T 2423.1 </w:t>
      </w:r>
      <w:r>
        <w:t>的规定进行。</w:t>
      </w:r>
      <w:r>
        <w:t xml:space="preserve"> </w:t>
      </w:r>
    </w:p>
    <w:p w14:paraId="6BCC8706" w14:textId="77777777" w:rsidR="00A71EEF" w:rsidRDefault="0081115D">
      <w:pPr>
        <w:pStyle w:val="a4"/>
        <w:numPr>
          <w:ilvl w:val="2"/>
          <w:numId w:val="904"/>
        </w:numPr>
        <w:tabs>
          <w:tab w:val="left" w:pos="1371"/>
        </w:tabs>
        <w:spacing w:line="267" w:lineRule="exact"/>
        <w:ind w:left="1370" w:hanging="531"/>
        <w:rPr>
          <w:sz w:val="21"/>
        </w:rPr>
      </w:pPr>
      <w:r>
        <w:rPr>
          <w:spacing w:val="-3"/>
          <w:sz w:val="21"/>
        </w:rPr>
        <w:t>恒定湿热试验</w:t>
      </w:r>
      <w:r>
        <w:rPr>
          <w:sz w:val="21"/>
        </w:rPr>
        <w:t xml:space="preserve"> </w:t>
      </w:r>
    </w:p>
    <w:p w14:paraId="2064D79C" w14:textId="77777777" w:rsidR="00A71EEF" w:rsidRDefault="00A71EEF">
      <w:pPr>
        <w:pStyle w:val="a3"/>
        <w:spacing w:before="2"/>
        <w:rPr>
          <w:sz w:val="18"/>
        </w:rPr>
      </w:pPr>
    </w:p>
    <w:p w14:paraId="57B03AD6" w14:textId="77777777" w:rsidR="00A71EEF" w:rsidRDefault="0081115D">
      <w:pPr>
        <w:pStyle w:val="a3"/>
        <w:spacing w:line="386" w:lineRule="auto"/>
        <w:ind w:left="418" w:right="1602" w:firstLine="419"/>
      </w:pPr>
      <w:r>
        <w:t>将方位灯放入恒定湿热试验箱中，使其处于通电状态。调节温度到</w:t>
      </w:r>
      <w:r>
        <w:t xml:space="preserve"> 40℃±2℃</w:t>
      </w:r>
      <w:r>
        <w:t>，温度稳定后，再调节试验箱的相对湿度至</w:t>
      </w:r>
      <w:r>
        <w:t xml:space="preserve"> 82%</w:t>
      </w:r>
      <w:r>
        <w:rPr>
          <w:rFonts w:ascii="微软雅黑" w:eastAsia="微软雅黑" w:hAnsi="微软雅黑" w:hint="eastAsia"/>
        </w:rPr>
        <w:t>〜</w:t>
      </w:r>
      <w:r>
        <w:t>85%</w:t>
      </w:r>
      <w:r>
        <w:t>，保持</w:t>
      </w:r>
      <w:r>
        <w:t xml:space="preserve"> 2h</w:t>
      </w:r>
      <w:r>
        <w:t>。试验按</w:t>
      </w:r>
      <w:r>
        <w:t xml:space="preserve"> GB/T 2423.3 </w:t>
      </w:r>
      <w:r>
        <w:t>的规定进行。</w:t>
      </w:r>
      <w:r>
        <w:t xml:space="preserve"> </w:t>
      </w:r>
    </w:p>
    <w:p w14:paraId="1ECE024E" w14:textId="77777777" w:rsidR="00A71EEF" w:rsidRDefault="0081115D">
      <w:pPr>
        <w:spacing w:line="212" w:lineRule="exact"/>
        <w:ind w:left="840"/>
        <w:rPr>
          <w:sz w:val="21"/>
        </w:rPr>
      </w:pPr>
      <w:r>
        <w:rPr>
          <w:b/>
          <w:sz w:val="21"/>
        </w:rPr>
        <w:t>6.10</w:t>
      </w:r>
      <w:r>
        <w:rPr>
          <w:b/>
          <w:spacing w:val="4"/>
          <w:sz w:val="21"/>
        </w:rPr>
        <w:t xml:space="preserve">  </w:t>
      </w:r>
      <w:r>
        <w:rPr>
          <w:spacing w:val="-3"/>
          <w:sz w:val="21"/>
        </w:rPr>
        <w:t>耐振动性能试验</w:t>
      </w:r>
      <w:r>
        <w:rPr>
          <w:sz w:val="21"/>
        </w:rPr>
        <w:t xml:space="preserve"> </w:t>
      </w:r>
    </w:p>
    <w:p w14:paraId="603B26A7" w14:textId="77777777" w:rsidR="00A71EEF" w:rsidRDefault="00A71EEF">
      <w:pPr>
        <w:pStyle w:val="a3"/>
        <w:spacing w:before="2"/>
        <w:rPr>
          <w:sz w:val="18"/>
        </w:rPr>
      </w:pPr>
    </w:p>
    <w:p w14:paraId="5846B6F9" w14:textId="77777777" w:rsidR="00A71EEF" w:rsidRDefault="0081115D">
      <w:pPr>
        <w:pStyle w:val="a3"/>
        <w:spacing w:line="446" w:lineRule="auto"/>
        <w:ind w:left="840" w:right="1402" w:hanging="3"/>
        <w:rPr>
          <w:b/>
        </w:rPr>
      </w:pPr>
      <w:r>
        <w:rPr>
          <w:spacing w:val="-7"/>
        </w:rPr>
        <w:t>将方位灯固定在振动台上，按</w:t>
      </w:r>
      <w:r>
        <w:rPr>
          <w:spacing w:val="-7"/>
        </w:rPr>
        <w:t xml:space="preserve"> </w:t>
      </w:r>
      <w:r>
        <w:t>5.10</w:t>
      </w:r>
      <w:r>
        <w:rPr>
          <w:spacing w:val="-15"/>
        </w:rPr>
        <w:t xml:space="preserve"> </w:t>
      </w:r>
      <w:r>
        <w:rPr>
          <w:spacing w:val="-15"/>
        </w:rPr>
        <w:t>中振动</w:t>
      </w:r>
      <w:r>
        <w:rPr>
          <w:spacing w:val="-3"/>
        </w:rPr>
        <w:t>（</w:t>
      </w:r>
      <w:r>
        <w:rPr>
          <w:spacing w:val="-9"/>
        </w:rPr>
        <w:t>正弦</w:t>
      </w:r>
      <w:r>
        <w:rPr>
          <w:spacing w:val="-9"/>
        </w:rPr>
        <w:t>)</w:t>
      </w:r>
      <w:r>
        <w:rPr>
          <w:spacing w:val="-9"/>
        </w:rPr>
        <w:t>试验条件及</w:t>
      </w:r>
      <w:r>
        <w:rPr>
          <w:spacing w:val="-9"/>
        </w:rPr>
        <w:t xml:space="preserve"> </w:t>
      </w:r>
      <w:r>
        <w:t>GB/T</w:t>
      </w:r>
      <w:r>
        <w:rPr>
          <w:spacing w:val="9"/>
        </w:rPr>
        <w:t xml:space="preserve"> </w:t>
      </w:r>
      <w:r>
        <w:t>2423.10</w:t>
      </w:r>
      <w:r>
        <w:rPr>
          <w:spacing w:val="-10"/>
        </w:rPr>
        <w:t xml:space="preserve"> </w:t>
      </w:r>
      <w:r>
        <w:rPr>
          <w:spacing w:val="-10"/>
        </w:rPr>
        <w:t>的规定进行。</w:t>
      </w:r>
      <w:r>
        <w:rPr>
          <w:b/>
        </w:rPr>
        <w:t>6.11</w:t>
      </w:r>
      <w:r>
        <w:rPr>
          <w:b/>
          <w:spacing w:val="102"/>
        </w:rPr>
        <w:t xml:space="preserve"> </w:t>
      </w:r>
      <w:r>
        <w:rPr>
          <w:spacing w:val="-3"/>
        </w:rPr>
        <w:t>耐冲击性能试验</w:t>
      </w:r>
      <w:r>
        <w:rPr>
          <w:b/>
          <w:w w:val="99"/>
        </w:rPr>
        <w:t xml:space="preserve"> </w:t>
      </w:r>
    </w:p>
    <w:p w14:paraId="2BE65449" w14:textId="77777777" w:rsidR="00A71EEF" w:rsidRDefault="0081115D">
      <w:pPr>
        <w:pStyle w:val="a3"/>
        <w:spacing w:line="446" w:lineRule="auto"/>
        <w:ind w:left="840" w:right="2242" w:hanging="3"/>
      </w:pPr>
      <w:r>
        <w:rPr>
          <w:spacing w:val="-7"/>
        </w:rPr>
        <w:t>将方位灯固定在冲击台上，按</w:t>
      </w:r>
      <w:r>
        <w:rPr>
          <w:spacing w:val="-7"/>
        </w:rPr>
        <w:t xml:space="preserve"> </w:t>
      </w:r>
      <w:r>
        <w:t>5.10</w:t>
      </w:r>
      <w:r>
        <w:rPr>
          <w:spacing w:val="-14"/>
        </w:rPr>
        <w:t xml:space="preserve"> </w:t>
      </w:r>
      <w:r>
        <w:rPr>
          <w:spacing w:val="-14"/>
        </w:rPr>
        <w:t>中冲击试验条件及</w:t>
      </w:r>
      <w:r>
        <w:rPr>
          <w:spacing w:val="-14"/>
        </w:rPr>
        <w:t xml:space="preserve"> </w:t>
      </w:r>
      <w:r>
        <w:t>GB/T 2423.5</w:t>
      </w:r>
      <w:r>
        <w:rPr>
          <w:spacing w:val="-10"/>
        </w:rPr>
        <w:t xml:space="preserve"> </w:t>
      </w:r>
      <w:r>
        <w:rPr>
          <w:spacing w:val="-10"/>
        </w:rPr>
        <w:t>的规定进行。</w:t>
      </w:r>
      <w:r>
        <w:rPr>
          <w:b/>
          <w:spacing w:val="-10"/>
        </w:rPr>
        <w:t xml:space="preserve">6.12 </w:t>
      </w:r>
      <w:r>
        <w:rPr>
          <w:spacing w:val="-3"/>
        </w:rPr>
        <w:t>抗跌落性能试验</w:t>
      </w:r>
      <w:r>
        <w:t xml:space="preserve"> </w:t>
      </w:r>
    </w:p>
    <w:p w14:paraId="3E3C4897" w14:textId="77777777" w:rsidR="00A71EEF" w:rsidRDefault="0081115D">
      <w:pPr>
        <w:pStyle w:val="a3"/>
        <w:spacing w:line="446" w:lineRule="auto"/>
        <w:ind w:left="840" w:right="3923" w:hanging="3"/>
      </w:pPr>
      <w:r>
        <w:rPr>
          <w:spacing w:val="-11"/>
        </w:rPr>
        <w:t>方位灯从</w:t>
      </w:r>
      <w:r>
        <w:rPr>
          <w:spacing w:val="-11"/>
        </w:rPr>
        <w:t xml:space="preserve"> </w:t>
      </w:r>
      <w:r>
        <w:t>2m</w:t>
      </w:r>
      <w:r>
        <w:rPr>
          <w:spacing w:val="-10"/>
        </w:rPr>
        <w:t xml:space="preserve"> </w:t>
      </w:r>
      <w:r>
        <w:rPr>
          <w:spacing w:val="-10"/>
        </w:rPr>
        <w:t>的髙度跌落到混凝土地面上，每只样品试验</w:t>
      </w:r>
      <w:r>
        <w:rPr>
          <w:spacing w:val="-10"/>
        </w:rPr>
        <w:t xml:space="preserve"> </w:t>
      </w:r>
      <w:r>
        <w:t>3</w:t>
      </w:r>
      <w:r>
        <w:rPr>
          <w:spacing w:val="-18"/>
        </w:rPr>
        <w:t xml:space="preserve"> </w:t>
      </w:r>
      <w:r>
        <w:rPr>
          <w:spacing w:val="-18"/>
        </w:rPr>
        <w:t>次。</w:t>
      </w:r>
      <w:r>
        <w:rPr>
          <w:b/>
        </w:rPr>
        <w:t xml:space="preserve">6.13 </w:t>
      </w:r>
      <w:r>
        <w:rPr>
          <w:spacing w:val="-3"/>
        </w:rPr>
        <w:t>防爆性能试验</w:t>
      </w:r>
      <w:r>
        <w:t xml:space="preserve"> </w:t>
      </w:r>
    </w:p>
    <w:p w14:paraId="29B99B0E" w14:textId="77777777" w:rsidR="00A71EEF" w:rsidRDefault="0081115D">
      <w:pPr>
        <w:pStyle w:val="a3"/>
        <w:spacing w:line="446" w:lineRule="auto"/>
        <w:ind w:left="840" w:right="5288" w:hanging="3"/>
      </w:pPr>
      <w:r>
        <w:t>方位灯防爆性能试验应符合</w:t>
      </w:r>
      <w:r>
        <w:t xml:space="preserve"> GB 3836.1 </w:t>
      </w:r>
      <w:r>
        <w:t>的规定。</w:t>
      </w:r>
      <w:r>
        <w:rPr>
          <w:b/>
        </w:rPr>
        <w:t xml:space="preserve">6.14 </w:t>
      </w:r>
      <w:r>
        <w:t>模拟烟雾环境方位指示性能试验</w:t>
      </w:r>
      <w:r>
        <w:t xml:space="preserve"> </w:t>
      </w:r>
    </w:p>
    <w:p w14:paraId="507E2587" w14:textId="77777777" w:rsidR="00A71EEF" w:rsidRDefault="0081115D">
      <w:pPr>
        <w:pStyle w:val="a3"/>
        <w:spacing w:line="446" w:lineRule="auto"/>
        <w:ind w:left="418" w:right="1455" w:firstLine="419"/>
      </w:pPr>
      <w:r>
        <w:rPr>
          <w:spacing w:val="-7"/>
        </w:rPr>
        <w:t>试验室面积应不小于</w:t>
      </w:r>
      <w:r>
        <w:rPr>
          <w:spacing w:val="-7"/>
        </w:rPr>
        <w:t xml:space="preserve"> </w:t>
      </w:r>
      <w:r>
        <w:t>3m×4m</w:t>
      </w:r>
      <w:r>
        <w:rPr>
          <w:spacing w:val="-6"/>
        </w:rPr>
        <w:t>。使用舞台发烟器发烟，烟气浓度以</w:t>
      </w:r>
      <w:r>
        <w:rPr>
          <w:spacing w:val="-6"/>
        </w:rPr>
        <w:t xml:space="preserve"> </w:t>
      </w:r>
      <w:r>
        <w:t>1m</w:t>
      </w:r>
      <w:r>
        <w:rPr>
          <w:spacing w:val="-8"/>
        </w:rPr>
        <w:t xml:space="preserve"> </w:t>
      </w:r>
      <w:r>
        <w:rPr>
          <w:spacing w:val="-8"/>
        </w:rPr>
        <w:t>内肉眼无法识别物体为</w:t>
      </w:r>
      <w:r>
        <w:rPr>
          <w:spacing w:val="-7"/>
        </w:rPr>
        <w:t>准，在试验室内使方位灯处于工作状态，在距离方位灯</w:t>
      </w:r>
      <w:r>
        <w:rPr>
          <w:spacing w:val="-7"/>
        </w:rPr>
        <w:t xml:space="preserve"> </w:t>
      </w:r>
      <w:r>
        <w:t>3m</w:t>
      </w:r>
      <w:r>
        <w:rPr>
          <w:spacing w:val="-9"/>
        </w:rPr>
        <w:t xml:space="preserve"> </w:t>
      </w:r>
      <w:r>
        <w:rPr>
          <w:spacing w:val="-9"/>
        </w:rPr>
        <w:t>远处观察方位灯方位。</w:t>
      </w:r>
      <w:r>
        <w:t xml:space="preserve"> </w:t>
      </w:r>
    </w:p>
    <w:p w14:paraId="127283C9" w14:textId="77777777" w:rsidR="00A71EEF" w:rsidRDefault="0081115D">
      <w:pPr>
        <w:pStyle w:val="4"/>
        <w:spacing w:line="278" w:lineRule="exact"/>
      </w:pPr>
      <w:r>
        <w:t xml:space="preserve">7 </w:t>
      </w:r>
      <w:r>
        <w:t>检验规则</w:t>
      </w:r>
      <w:r>
        <w:rPr>
          <w:w w:val="99"/>
        </w:rPr>
        <w:t xml:space="preserve"> </w:t>
      </w:r>
    </w:p>
    <w:p w14:paraId="4E368465" w14:textId="77777777" w:rsidR="00A71EEF" w:rsidRDefault="00A71EEF">
      <w:pPr>
        <w:pStyle w:val="a3"/>
        <w:spacing w:before="12"/>
        <w:rPr>
          <w:b/>
          <w:sz w:val="16"/>
        </w:rPr>
      </w:pPr>
    </w:p>
    <w:p w14:paraId="1C81F062" w14:textId="77777777" w:rsidR="00A71EEF" w:rsidRDefault="0081115D">
      <w:pPr>
        <w:pStyle w:val="a4"/>
        <w:numPr>
          <w:ilvl w:val="1"/>
          <w:numId w:val="903"/>
        </w:numPr>
        <w:tabs>
          <w:tab w:val="left" w:pos="1159"/>
        </w:tabs>
        <w:ind w:hanging="319"/>
        <w:rPr>
          <w:b/>
          <w:sz w:val="21"/>
        </w:rPr>
      </w:pPr>
      <w:r>
        <w:rPr>
          <w:spacing w:val="-3"/>
          <w:sz w:val="21"/>
        </w:rPr>
        <w:t>形式检验</w:t>
      </w:r>
      <w:r>
        <w:rPr>
          <w:b/>
          <w:w w:val="99"/>
          <w:sz w:val="21"/>
        </w:rPr>
        <w:t xml:space="preserve"> </w:t>
      </w:r>
    </w:p>
    <w:p w14:paraId="3FEFA356" w14:textId="77777777" w:rsidR="00A71EEF" w:rsidRDefault="00A71EEF">
      <w:pPr>
        <w:pStyle w:val="a3"/>
        <w:spacing w:before="2"/>
        <w:rPr>
          <w:b/>
          <w:sz w:val="18"/>
        </w:rPr>
      </w:pPr>
    </w:p>
    <w:p w14:paraId="6759FBDF" w14:textId="77777777" w:rsidR="00A71EEF" w:rsidRDefault="0081115D">
      <w:pPr>
        <w:pStyle w:val="a4"/>
        <w:numPr>
          <w:ilvl w:val="2"/>
          <w:numId w:val="903"/>
        </w:numPr>
        <w:tabs>
          <w:tab w:val="left" w:pos="1371"/>
        </w:tabs>
        <w:rPr>
          <w:sz w:val="21"/>
        </w:rPr>
      </w:pPr>
      <w:r>
        <w:rPr>
          <w:spacing w:val="-3"/>
          <w:sz w:val="21"/>
        </w:rPr>
        <w:t>有下列情况之一时，应进行形式检验：</w:t>
      </w:r>
      <w:r>
        <w:rPr>
          <w:sz w:val="21"/>
        </w:rPr>
        <w:t xml:space="preserve"> </w:t>
      </w:r>
    </w:p>
    <w:p w14:paraId="02208DDB" w14:textId="77777777" w:rsidR="00A71EEF" w:rsidRDefault="00A71EEF">
      <w:pPr>
        <w:pStyle w:val="a3"/>
        <w:spacing w:before="12"/>
        <w:rPr>
          <w:sz w:val="17"/>
        </w:rPr>
      </w:pPr>
    </w:p>
    <w:p w14:paraId="35EEB6FE" w14:textId="77777777" w:rsidR="00A71EEF" w:rsidRDefault="0081115D">
      <w:pPr>
        <w:pStyle w:val="a4"/>
        <w:numPr>
          <w:ilvl w:val="0"/>
          <w:numId w:val="902"/>
        </w:numPr>
        <w:tabs>
          <w:tab w:val="left" w:pos="1051"/>
        </w:tabs>
        <w:rPr>
          <w:sz w:val="21"/>
        </w:rPr>
      </w:pPr>
      <w:r>
        <w:rPr>
          <w:spacing w:val="-3"/>
          <w:sz w:val="21"/>
        </w:rPr>
        <w:t>新产品投产或老产品转厂生产时的试制定型；</w:t>
      </w:r>
      <w:r>
        <w:rPr>
          <w:sz w:val="21"/>
        </w:rPr>
        <w:t xml:space="preserve"> </w:t>
      </w:r>
    </w:p>
    <w:p w14:paraId="21EEFD1A" w14:textId="77777777" w:rsidR="00A71EEF" w:rsidRDefault="00A71EEF">
      <w:pPr>
        <w:pStyle w:val="a3"/>
        <w:spacing w:before="12"/>
        <w:rPr>
          <w:sz w:val="17"/>
        </w:rPr>
      </w:pPr>
    </w:p>
    <w:p w14:paraId="68709C38" w14:textId="77777777" w:rsidR="00A71EEF" w:rsidRDefault="0081115D">
      <w:pPr>
        <w:pStyle w:val="a4"/>
        <w:numPr>
          <w:ilvl w:val="0"/>
          <w:numId w:val="902"/>
        </w:numPr>
        <w:tabs>
          <w:tab w:val="left" w:pos="1051"/>
        </w:tabs>
        <w:rPr>
          <w:sz w:val="21"/>
        </w:rPr>
      </w:pPr>
      <w:r>
        <w:rPr>
          <w:spacing w:val="-3"/>
          <w:sz w:val="21"/>
        </w:rPr>
        <w:t>投产后产品结构、主要部件、生产工艺等有较大改变，可能影响产品性能时；</w:t>
      </w:r>
      <w:r>
        <w:rPr>
          <w:spacing w:val="-3"/>
          <w:sz w:val="21"/>
        </w:rPr>
        <w:t xml:space="preserve"> </w:t>
      </w:r>
    </w:p>
    <w:p w14:paraId="4325FF03" w14:textId="77777777" w:rsidR="00A71EEF" w:rsidRDefault="00A71EEF">
      <w:pPr>
        <w:pStyle w:val="a3"/>
        <w:spacing w:before="2"/>
        <w:rPr>
          <w:sz w:val="18"/>
        </w:rPr>
      </w:pPr>
    </w:p>
    <w:p w14:paraId="23B4FACC" w14:textId="77777777" w:rsidR="00A71EEF" w:rsidRDefault="0081115D">
      <w:pPr>
        <w:pStyle w:val="a4"/>
        <w:numPr>
          <w:ilvl w:val="0"/>
          <w:numId w:val="902"/>
        </w:numPr>
        <w:tabs>
          <w:tab w:val="left" w:pos="1051"/>
        </w:tabs>
        <w:rPr>
          <w:sz w:val="21"/>
        </w:rPr>
      </w:pPr>
      <w:r>
        <w:rPr>
          <w:spacing w:val="-3"/>
          <w:sz w:val="21"/>
        </w:rPr>
        <w:t>投产后连续生产满三年；</w:t>
      </w:r>
      <w:r>
        <w:rPr>
          <w:sz w:val="21"/>
        </w:rPr>
        <w:t xml:space="preserve"> </w:t>
      </w:r>
    </w:p>
    <w:p w14:paraId="71061C61" w14:textId="77777777" w:rsidR="00A71EEF" w:rsidRDefault="00A71EEF">
      <w:pPr>
        <w:pStyle w:val="a3"/>
        <w:rPr>
          <w:sz w:val="18"/>
        </w:rPr>
      </w:pPr>
    </w:p>
    <w:p w14:paraId="127B9EE4" w14:textId="77777777" w:rsidR="00A71EEF" w:rsidRDefault="0081115D">
      <w:pPr>
        <w:pStyle w:val="a4"/>
        <w:numPr>
          <w:ilvl w:val="0"/>
          <w:numId w:val="902"/>
        </w:numPr>
        <w:tabs>
          <w:tab w:val="left" w:pos="1051"/>
        </w:tabs>
        <w:rPr>
          <w:sz w:val="21"/>
        </w:rPr>
      </w:pPr>
      <w:r>
        <w:rPr>
          <w:spacing w:val="-3"/>
          <w:sz w:val="21"/>
        </w:rPr>
        <w:t>产品停产一年以上，恢复生产时；</w:t>
      </w:r>
      <w:r>
        <w:rPr>
          <w:sz w:val="21"/>
        </w:rPr>
        <w:t xml:space="preserve"> </w:t>
      </w:r>
    </w:p>
    <w:p w14:paraId="2B8B48CD" w14:textId="77777777" w:rsidR="00A71EEF" w:rsidRDefault="00A71EEF">
      <w:pPr>
        <w:pStyle w:val="a3"/>
        <w:rPr>
          <w:sz w:val="18"/>
        </w:rPr>
      </w:pPr>
    </w:p>
    <w:p w14:paraId="1974AE40" w14:textId="77777777" w:rsidR="00A71EEF" w:rsidRDefault="0081115D">
      <w:pPr>
        <w:pStyle w:val="a4"/>
        <w:numPr>
          <w:ilvl w:val="0"/>
          <w:numId w:val="902"/>
        </w:numPr>
        <w:tabs>
          <w:tab w:val="left" w:pos="1051"/>
        </w:tabs>
        <w:spacing w:line="446" w:lineRule="auto"/>
        <w:ind w:left="838" w:right="4866" w:firstLine="0"/>
        <w:rPr>
          <w:sz w:val="21"/>
        </w:rPr>
      </w:pPr>
      <w:r>
        <w:rPr>
          <w:spacing w:val="-2"/>
          <w:sz w:val="21"/>
        </w:rPr>
        <w:t>出厂检验结果与上次形式检验结果差异较大时；</w:t>
      </w:r>
      <w:r>
        <w:rPr>
          <w:spacing w:val="-2"/>
          <w:sz w:val="21"/>
        </w:rPr>
        <w:t xml:space="preserve"> </w:t>
      </w:r>
      <w:r>
        <w:rPr>
          <w:sz w:val="21"/>
        </w:rPr>
        <w:t xml:space="preserve">f </w:t>
      </w:r>
      <w:r>
        <w:rPr>
          <w:spacing w:val="4"/>
          <w:sz w:val="21"/>
        </w:rPr>
        <w:t xml:space="preserve">) </w:t>
      </w:r>
      <w:r>
        <w:rPr>
          <w:spacing w:val="4"/>
          <w:sz w:val="21"/>
        </w:rPr>
        <w:t>发生重大质量事故时；</w:t>
      </w:r>
      <w:r>
        <w:rPr>
          <w:spacing w:val="4"/>
          <w:sz w:val="21"/>
        </w:rPr>
        <w:t xml:space="preserve"> </w:t>
      </w:r>
    </w:p>
    <w:p w14:paraId="2C4D958F" w14:textId="77777777" w:rsidR="00A71EEF" w:rsidRDefault="00A71EEF">
      <w:pPr>
        <w:spacing w:line="446" w:lineRule="auto"/>
        <w:rPr>
          <w:sz w:val="21"/>
        </w:rPr>
        <w:sectPr w:rsidR="00A71EEF">
          <w:pgSz w:w="11910" w:h="16850"/>
          <w:pgMar w:top="1220" w:right="0" w:bottom="1420" w:left="1260" w:header="0" w:footer="1239" w:gutter="0"/>
          <w:cols w:space="720"/>
        </w:sectPr>
      </w:pPr>
    </w:p>
    <w:p w14:paraId="376F4D4A" w14:textId="77777777" w:rsidR="00A71EEF" w:rsidRDefault="0081115D">
      <w:pPr>
        <w:pStyle w:val="a3"/>
        <w:spacing w:before="47"/>
        <w:ind w:left="838"/>
      </w:pPr>
      <w:r>
        <w:lastRenderedPageBreak/>
        <w:t xml:space="preserve">g) </w:t>
      </w:r>
      <w:r>
        <w:t>国家质量监督机构提出要求时。</w:t>
      </w:r>
      <w:r>
        <w:t xml:space="preserve"> </w:t>
      </w:r>
    </w:p>
    <w:p w14:paraId="43F4EE84" w14:textId="77777777" w:rsidR="00A71EEF" w:rsidRDefault="00A71EEF">
      <w:pPr>
        <w:pStyle w:val="a3"/>
        <w:rPr>
          <w:sz w:val="18"/>
        </w:rPr>
      </w:pPr>
    </w:p>
    <w:p w14:paraId="266F279B" w14:textId="77777777" w:rsidR="00A71EEF" w:rsidRDefault="0081115D">
      <w:pPr>
        <w:pStyle w:val="a4"/>
        <w:numPr>
          <w:ilvl w:val="2"/>
          <w:numId w:val="903"/>
        </w:numPr>
        <w:tabs>
          <w:tab w:val="left" w:pos="1371"/>
        </w:tabs>
        <w:rPr>
          <w:sz w:val="21"/>
        </w:rPr>
      </w:pPr>
      <w:r>
        <w:rPr>
          <w:spacing w:val="-9"/>
          <w:sz w:val="21"/>
        </w:rPr>
        <w:t>形式检验项目按第</w:t>
      </w:r>
      <w:r>
        <w:rPr>
          <w:spacing w:val="-9"/>
          <w:sz w:val="21"/>
        </w:rPr>
        <w:t xml:space="preserve"> </w:t>
      </w:r>
      <w:r>
        <w:rPr>
          <w:sz w:val="21"/>
        </w:rPr>
        <w:t>5</w:t>
      </w:r>
      <w:r>
        <w:rPr>
          <w:spacing w:val="-28"/>
          <w:sz w:val="21"/>
        </w:rPr>
        <w:t xml:space="preserve"> </w:t>
      </w:r>
      <w:r>
        <w:rPr>
          <w:spacing w:val="-28"/>
          <w:sz w:val="21"/>
        </w:rPr>
        <w:t>章和</w:t>
      </w:r>
      <w:r>
        <w:rPr>
          <w:spacing w:val="-28"/>
          <w:sz w:val="21"/>
        </w:rPr>
        <w:t xml:space="preserve"> </w:t>
      </w:r>
      <w:r>
        <w:rPr>
          <w:sz w:val="21"/>
        </w:rPr>
        <w:t>8.1</w:t>
      </w:r>
      <w:r>
        <w:rPr>
          <w:spacing w:val="-13"/>
          <w:sz w:val="21"/>
        </w:rPr>
        <w:t xml:space="preserve"> </w:t>
      </w:r>
      <w:r>
        <w:rPr>
          <w:spacing w:val="-13"/>
          <w:sz w:val="21"/>
        </w:rPr>
        <w:t>的规定。</w:t>
      </w:r>
      <w:r>
        <w:rPr>
          <w:sz w:val="21"/>
        </w:rPr>
        <w:t xml:space="preserve"> </w:t>
      </w:r>
    </w:p>
    <w:p w14:paraId="114F1D22" w14:textId="77777777" w:rsidR="00A71EEF" w:rsidRDefault="00A71EEF">
      <w:pPr>
        <w:pStyle w:val="a3"/>
        <w:rPr>
          <w:sz w:val="18"/>
        </w:rPr>
      </w:pPr>
    </w:p>
    <w:p w14:paraId="231D6131" w14:textId="77777777" w:rsidR="00A71EEF" w:rsidRDefault="0081115D">
      <w:pPr>
        <w:pStyle w:val="a4"/>
        <w:numPr>
          <w:ilvl w:val="2"/>
          <w:numId w:val="903"/>
        </w:numPr>
        <w:tabs>
          <w:tab w:val="left" w:pos="1371"/>
        </w:tabs>
        <w:rPr>
          <w:sz w:val="21"/>
        </w:rPr>
      </w:pPr>
      <w:r>
        <w:rPr>
          <w:spacing w:val="-8"/>
          <w:sz w:val="21"/>
        </w:rPr>
        <w:t>形式检验的样本数为</w:t>
      </w:r>
      <w:r>
        <w:rPr>
          <w:spacing w:val="-8"/>
          <w:sz w:val="21"/>
        </w:rPr>
        <w:t xml:space="preserve"> </w:t>
      </w:r>
      <w:r>
        <w:rPr>
          <w:sz w:val="21"/>
        </w:rPr>
        <w:t>3</w:t>
      </w:r>
      <w:r>
        <w:rPr>
          <w:spacing w:val="-20"/>
          <w:sz w:val="21"/>
        </w:rPr>
        <w:t xml:space="preserve"> </w:t>
      </w:r>
      <w:r>
        <w:rPr>
          <w:spacing w:val="-20"/>
          <w:sz w:val="21"/>
        </w:rPr>
        <w:t>台。</w:t>
      </w:r>
      <w:r>
        <w:rPr>
          <w:sz w:val="21"/>
        </w:rPr>
        <w:t xml:space="preserve"> </w:t>
      </w:r>
    </w:p>
    <w:p w14:paraId="39266559" w14:textId="77777777" w:rsidR="00A71EEF" w:rsidRDefault="00A71EEF">
      <w:pPr>
        <w:pStyle w:val="a3"/>
        <w:spacing w:before="1"/>
        <w:rPr>
          <w:sz w:val="18"/>
        </w:rPr>
      </w:pPr>
    </w:p>
    <w:p w14:paraId="110AEB4A" w14:textId="77777777" w:rsidR="00A71EEF" w:rsidRDefault="0081115D">
      <w:pPr>
        <w:pStyle w:val="a4"/>
        <w:numPr>
          <w:ilvl w:val="2"/>
          <w:numId w:val="903"/>
        </w:numPr>
        <w:tabs>
          <w:tab w:val="left" w:pos="1371"/>
        </w:tabs>
        <w:spacing w:before="1"/>
        <w:rPr>
          <w:sz w:val="21"/>
        </w:rPr>
      </w:pPr>
      <w:r>
        <w:rPr>
          <w:spacing w:val="-8"/>
          <w:sz w:val="21"/>
        </w:rPr>
        <w:t>形式检验的试验顺序按表</w:t>
      </w:r>
      <w:r>
        <w:rPr>
          <w:spacing w:val="-8"/>
          <w:sz w:val="21"/>
        </w:rPr>
        <w:t xml:space="preserve"> </w:t>
      </w:r>
      <w:r>
        <w:rPr>
          <w:sz w:val="21"/>
        </w:rPr>
        <w:t>4</w:t>
      </w:r>
      <w:r>
        <w:rPr>
          <w:spacing w:val="-13"/>
          <w:sz w:val="21"/>
        </w:rPr>
        <w:t xml:space="preserve"> </w:t>
      </w:r>
      <w:r>
        <w:rPr>
          <w:spacing w:val="-13"/>
          <w:sz w:val="21"/>
        </w:rPr>
        <w:t>的规定。</w:t>
      </w:r>
      <w:r>
        <w:rPr>
          <w:sz w:val="21"/>
        </w:rPr>
        <w:t xml:space="preserve"> </w:t>
      </w:r>
    </w:p>
    <w:p w14:paraId="6AF13532" w14:textId="77777777" w:rsidR="00A71EEF" w:rsidRDefault="0081115D">
      <w:pPr>
        <w:pStyle w:val="a3"/>
        <w:spacing w:before="11"/>
        <w:rPr>
          <w:sz w:val="7"/>
        </w:rPr>
      </w:pPr>
      <w:r>
        <w:rPr>
          <w:noProof/>
        </w:rPr>
        <w:drawing>
          <wp:anchor distT="0" distB="0" distL="0" distR="0" simplePos="0" relativeHeight="251469312" behindDoc="0" locked="0" layoutInCell="1" allowOverlap="1" wp14:anchorId="15348659" wp14:editId="1B12CA9E">
            <wp:simplePos x="0" y="0"/>
            <wp:positionH relativeFrom="page">
              <wp:posOffset>1276985</wp:posOffset>
            </wp:positionH>
            <wp:positionV relativeFrom="paragraph">
              <wp:posOffset>88947</wp:posOffset>
            </wp:positionV>
            <wp:extent cx="5070967" cy="3238500"/>
            <wp:effectExtent l="0" t="0" r="0" b="0"/>
            <wp:wrapTopAndBottom/>
            <wp:docPr id="45"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8.jpeg"/>
                    <pic:cNvPicPr/>
                  </pic:nvPicPr>
                  <pic:blipFill>
                    <a:blip r:embed="rId34" cstate="print"/>
                    <a:stretch>
                      <a:fillRect/>
                    </a:stretch>
                  </pic:blipFill>
                  <pic:spPr>
                    <a:xfrm>
                      <a:off x="0" y="0"/>
                      <a:ext cx="5070967" cy="3238500"/>
                    </a:xfrm>
                    <a:prstGeom prst="rect">
                      <a:avLst/>
                    </a:prstGeom>
                  </pic:spPr>
                </pic:pic>
              </a:graphicData>
            </a:graphic>
          </wp:anchor>
        </w:drawing>
      </w:r>
    </w:p>
    <w:p w14:paraId="4292ABA9" w14:textId="77777777" w:rsidR="00A71EEF" w:rsidRDefault="0081115D">
      <w:pPr>
        <w:pStyle w:val="a4"/>
        <w:numPr>
          <w:ilvl w:val="2"/>
          <w:numId w:val="903"/>
        </w:numPr>
        <w:tabs>
          <w:tab w:val="left" w:pos="1371"/>
        </w:tabs>
        <w:spacing w:before="174"/>
        <w:rPr>
          <w:sz w:val="21"/>
        </w:rPr>
      </w:pPr>
      <w:r>
        <w:rPr>
          <w:spacing w:val="-3"/>
          <w:sz w:val="21"/>
        </w:rPr>
        <w:t>形式检验项目的结果全部符合本标准的规定，方为合格。</w:t>
      </w:r>
      <w:r>
        <w:rPr>
          <w:sz w:val="21"/>
        </w:rPr>
        <w:t xml:space="preserve"> </w:t>
      </w:r>
    </w:p>
    <w:p w14:paraId="0FD04CD6" w14:textId="77777777" w:rsidR="00A71EEF" w:rsidRDefault="00A71EEF">
      <w:pPr>
        <w:pStyle w:val="a3"/>
        <w:rPr>
          <w:sz w:val="18"/>
        </w:rPr>
      </w:pPr>
    </w:p>
    <w:p w14:paraId="45206A6F" w14:textId="77777777" w:rsidR="00A71EEF" w:rsidRDefault="0081115D">
      <w:pPr>
        <w:pStyle w:val="a4"/>
        <w:numPr>
          <w:ilvl w:val="1"/>
          <w:numId w:val="903"/>
        </w:numPr>
        <w:tabs>
          <w:tab w:val="left" w:pos="1160"/>
        </w:tabs>
        <w:ind w:left="1159" w:hanging="320"/>
        <w:rPr>
          <w:b/>
          <w:sz w:val="21"/>
        </w:rPr>
      </w:pPr>
      <w:r>
        <w:rPr>
          <w:spacing w:val="-3"/>
          <w:sz w:val="21"/>
        </w:rPr>
        <w:t>出厂检验</w:t>
      </w:r>
      <w:r>
        <w:rPr>
          <w:b/>
          <w:w w:val="99"/>
          <w:sz w:val="21"/>
        </w:rPr>
        <w:t xml:space="preserve"> </w:t>
      </w:r>
    </w:p>
    <w:p w14:paraId="07A0031D" w14:textId="77777777" w:rsidR="00A71EEF" w:rsidRDefault="00A71EEF">
      <w:pPr>
        <w:pStyle w:val="a3"/>
        <w:spacing w:before="12"/>
        <w:rPr>
          <w:b/>
          <w:sz w:val="17"/>
        </w:rPr>
      </w:pPr>
    </w:p>
    <w:p w14:paraId="20A41A65" w14:textId="77777777" w:rsidR="00A71EEF" w:rsidRDefault="0081115D">
      <w:pPr>
        <w:pStyle w:val="a4"/>
        <w:numPr>
          <w:ilvl w:val="2"/>
          <w:numId w:val="903"/>
        </w:numPr>
        <w:tabs>
          <w:tab w:val="left" w:pos="1371"/>
        </w:tabs>
        <w:rPr>
          <w:sz w:val="21"/>
        </w:rPr>
      </w:pPr>
      <w:r>
        <w:rPr>
          <w:spacing w:val="-3"/>
          <w:sz w:val="21"/>
        </w:rPr>
        <w:t>每台方位灯均应经出厂检验。</w:t>
      </w:r>
      <w:r>
        <w:rPr>
          <w:sz w:val="21"/>
        </w:rPr>
        <w:t xml:space="preserve"> </w:t>
      </w:r>
    </w:p>
    <w:p w14:paraId="52956AA2" w14:textId="77777777" w:rsidR="00A71EEF" w:rsidRDefault="00A71EEF">
      <w:pPr>
        <w:pStyle w:val="a3"/>
        <w:spacing w:before="2"/>
        <w:rPr>
          <w:sz w:val="18"/>
        </w:rPr>
      </w:pPr>
    </w:p>
    <w:p w14:paraId="4928AFCE" w14:textId="77777777" w:rsidR="00A71EEF" w:rsidRDefault="0081115D">
      <w:pPr>
        <w:pStyle w:val="a4"/>
        <w:numPr>
          <w:ilvl w:val="2"/>
          <w:numId w:val="903"/>
        </w:numPr>
        <w:tabs>
          <w:tab w:val="left" w:pos="1370"/>
        </w:tabs>
        <w:ind w:left="1369" w:hanging="530"/>
        <w:rPr>
          <w:sz w:val="21"/>
        </w:rPr>
      </w:pPr>
      <w:r>
        <w:rPr>
          <w:spacing w:val="-9"/>
          <w:sz w:val="21"/>
        </w:rPr>
        <w:t>出厂检验的项目按</w:t>
      </w:r>
      <w:r>
        <w:rPr>
          <w:spacing w:val="-9"/>
          <w:sz w:val="21"/>
        </w:rPr>
        <w:t xml:space="preserve"> </w:t>
      </w:r>
      <w:r>
        <w:rPr>
          <w:sz w:val="21"/>
        </w:rPr>
        <w:t>5.1</w:t>
      </w:r>
      <w:r>
        <w:rPr>
          <w:sz w:val="21"/>
        </w:rPr>
        <w:t>、</w:t>
      </w:r>
      <w:r>
        <w:rPr>
          <w:sz w:val="21"/>
        </w:rPr>
        <w:t>5.2</w:t>
      </w:r>
      <w:r>
        <w:rPr>
          <w:spacing w:val="-3"/>
          <w:sz w:val="21"/>
        </w:rPr>
        <w:t>、</w:t>
      </w:r>
      <w:r>
        <w:rPr>
          <w:sz w:val="21"/>
        </w:rPr>
        <w:t>5.3</w:t>
      </w:r>
      <w:r>
        <w:rPr>
          <w:sz w:val="21"/>
        </w:rPr>
        <w:t>、</w:t>
      </w:r>
      <w:r>
        <w:rPr>
          <w:sz w:val="21"/>
        </w:rPr>
        <w:t>5.6</w:t>
      </w:r>
      <w:r>
        <w:rPr>
          <w:spacing w:val="-10"/>
          <w:sz w:val="21"/>
        </w:rPr>
        <w:t xml:space="preserve"> </w:t>
      </w:r>
      <w:r>
        <w:rPr>
          <w:spacing w:val="-10"/>
          <w:sz w:val="21"/>
        </w:rPr>
        <w:t>的规定进行。</w:t>
      </w:r>
      <w:r>
        <w:rPr>
          <w:sz w:val="21"/>
        </w:rPr>
        <w:t xml:space="preserve"> </w:t>
      </w:r>
    </w:p>
    <w:p w14:paraId="38ED3B57" w14:textId="77777777" w:rsidR="00A71EEF" w:rsidRDefault="00A71EEF">
      <w:pPr>
        <w:pStyle w:val="a3"/>
        <w:rPr>
          <w:sz w:val="18"/>
        </w:rPr>
      </w:pPr>
    </w:p>
    <w:p w14:paraId="000A59B7" w14:textId="77777777" w:rsidR="00A71EEF" w:rsidRDefault="0081115D">
      <w:pPr>
        <w:pStyle w:val="a4"/>
        <w:numPr>
          <w:ilvl w:val="2"/>
          <w:numId w:val="903"/>
        </w:numPr>
        <w:tabs>
          <w:tab w:val="left" w:pos="1370"/>
        </w:tabs>
        <w:ind w:left="1369" w:hanging="530"/>
        <w:rPr>
          <w:sz w:val="21"/>
        </w:rPr>
      </w:pPr>
      <w:r>
        <w:rPr>
          <w:spacing w:val="-3"/>
          <w:sz w:val="21"/>
        </w:rPr>
        <w:t>出厂检验所检项目的结果全部符合本标准的规定，方为合格。</w:t>
      </w:r>
      <w:r>
        <w:rPr>
          <w:sz w:val="21"/>
        </w:rPr>
        <w:t xml:space="preserve"> </w:t>
      </w:r>
    </w:p>
    <w:p w14:paraId="2820848B" w14:textId="77777777" w:rsidR="00A71EEF" w:rsidRDefault="00A71EEF">
      <w:pPr>
        <w:pStyle w:val="a3"/>
        <w:spacing w:before="8"/>
        <w:rPr>
          <w:sz w:val="15"/>
        </w:rPr>
      </w:pPr>
    </w:p>
    <w:p w14:paraId="028991C8" w14:textId="77777777" w:rsidR="00A71EEF" w:rsidRDefault="0081115D">
      <w:pPr>
        <w:pStyle w:val="4"/>
      </w:pPr>
      <w:r>
        <w:t xml:space="preserve">8 </w:t>
      </w:r>
      <w:r>
        <w:t>标志、包装、运输和贮存</w:t>
      </w:r>
      <w:r>
        <w:rPr>
          <w:w w:val="99"/>
        </w:rPr>
        <w:t xml:space="preserve"> </w:t>
      </w:r>
    </w:p>
    <w:p w14:paraId="72AA5921" w14:textId="77777777" w:rsidR="00A71EEF" w:rsidRDefault="00A71EEF">
      <w:pPr>
        <w:pStyle w:val="a3"/>
        <w:spacing w:before="6"/>
        <w:rPr>
          <w:b/>
          <w:sz w:val="17"/>
        </w:rPr>
      </w:pPr>
    </w:p>
    <w:p w14:paraId="0C2A3F07" w14:textId="77777777" w:rsidR="00A71EEF" w:rsidRDefault="0081115D">
      <w:pPr>
        <w:spacing w:before="1"/>
        <w:ind w:left="840"/>
        <w:rPr>
          <w:b/>
          <w:sz w:val="21"/>
        </w:rPr>
      </w:pPr>
      <w:r>
        <w:rPr>
          <w:b/>
          <w:sz w:val="21"/>
        </w:rPr>
        <w:t xml:space="preserve">8.1 </w:t>
      </w:r>
      <w:r>
        <w:rPr>
          <w:sz w:val="21"/>
        </w:rPr>
        <w:t>标志</w:t>
      </w:r>
      <w:r>
        <w:rPr>
          <w:b/>
          <w:w w:val="99"/>
          <w:sz w:val="21"/>
        </w:rPr>
        <w:t xml:space="preserve"> </w:t>
      </w:r>
    </w:p>
    <w:p w14:paraId="4BC0B9A6" w14:textId="77777777" w:rsidR="00A71EEF" w:rsidRDefault="00A71EEF">
      <w:pPr>
        <w:pStyle w:val="a3"/>
        <w:spacing w:before="12"/>
        <w:rPr>
          <w:b/>
          <w:sz w:val="17"/>
        </w:rPr>
      </w:pPr>
    </w:p>
    <w:p w14:paraId="3B9EE16F" w14:textId="77777777" w:rsidR="00A71EEF" w:rsidRDefault="0081115D">
      <w:pPr>
        <w:pStyle w:val="a3"/>
        <w:spacing w:line="446" w:lineRule="auto"/>
        <w:ind w:left="838" w:right="5500"/>
      </w:pPr>
      <w:r>
        <w:t>方位灯应有清晰耐久的标志，包括以下内容：</w:t>
      </w:r>
      <w:r>
        <w:t xml:space="preserve"> a) </w:t>
      </w:r>
      <w:r>
        <w:t>产品型号和名称；</w:t>
      </w:r>
      <w:r>
        <w:t xml:space="preserve"> </w:t>
      </w:r>
    </w:p>
    <w:p w14:paraId="593B27C7" w14:textId="77777777" w:rsidR="00A71EEF" w:rsidRDefault="0081115D">
      <w:pPr>
        <w:pStyle w:val="a4"/>
        <w:numPr>
          <w:ilvl w:val="0"/>
          <w:numId w:val="901"/>
        </w:numPr>
        <w:tabs>
          <w:tab w:val="left" w:pos="1051"/>
        </w:tabs>
        <w:rPr>
          <w:sz w:val="21"/>
        </w:rPr>
      </w:pPr>
      <w:r>
        <w:rPr>
          <w:spacing w:val="-3"/>
          <w:sz w:val="21"/>
        </w:rPr>
        <w:t>生产厂名；</w:t>
      </w:r>
      <w:r>
        <w:rPr>
          <w:sz w:val="21"/>
        </w:rPr>
        <w:t xml:space="preserve"> </w:t>
      </w:r>
    </w:p>
    <w:p w14:paraId="4D71EFEF" w14:textId="77777777" w:rsidR="00A71EEF" w:rsidRDefault="00A71EEF">
      <w:pPr>
        <w:pStyle w:val="a3"/>
        <w:spacing w:before="12"/>
        <w:rPr>
          <w:sz w:val="17"/>
        </w:rPr>
      </w:pPr>
    </w:p>
    <w:p w14:paraId="270E7A38" w14:textId="77777777" w:rsidR="00A71EEF" w:rsidRDefault="0081115D">
      <w:pPr>
        <w:pStyle w:val="a4"/>
        <w:numPr>
          <w:ilvl w:val="0"/>
          <w:numId w:val="901"/>
        </w:numPr>
        <w:tabs>
          <w:tab w:val="left" w:pos="1051"/>
        </w:tabs>
        <w:rPr>
          <w:sz w:val="21"/>
        </w:rPr>
      </w:pPr>
      <w:r>
        <w:rPr>
          <w:spacing w:val="-3"/>
          <w:sz w:val="21"/>
        </w:rPr>
        <w:t>生产日期；</w:t>
      </w:r>
      <w:r>
        <w:rPr>
          <w:sz w:val="21"/>
        </w:rPr>
        <w:t xml:space="preserve"> </w:t>
      </w:r>
    </w:p>
    <w:p w14:paraId="71737A60" w14:textId="77777777" w:rsidR="00A71EEF" w:rsidRDefault="00A71EEF">
      <w:pPr>
        <w:pStyle w:val="a3"/>
        <w:rPr>
          <w:sz w:val="18"/>
        </w:rPr>
      </w:pPr>
    </w:p>
    <w:p w14:paraId="762AB260" w14:textId="77777777" w:rsidR="00A71EEF" w:rsidRDefault="0081115D">
      <w:pPr>
        <w:pStyle w:val="a4"/>
        <w:numPr>
          <w:ilvl w:val="0"/>
          <w:numId w:val="901"/>
        </w:numPr>
        <w:tabs>
          <w:tab w:val="left" w:pos="1051"/>
        </w:tabs>
        <w:spacing w:line="446" w:lineRule="auto"/>
        <w:ind w:left="840" w:right="8229" w:hanging="3"/>
        <w:rPr>
          <w:b/>
          <w:sz w:val="21"/>
        </w:rPr>
      </w:pPr>
      <w:r>
        <w:rPr>
          <w:spacing w:val="-3"/>
          <w:sz w:val="21"/>
        </w:rPr>
        <w:t>防爆标志。</w:t>
      </w:r>
      <w:r>
        <w:rPr>
          <w:spacing w:val="-3"/>
          <w:sz w:val="21"/>
        </w:rPr>
        <w:t xml:space="preserve"> </w:t>
      </w:r>
      <w:r>
        <w:rPr>
          <w:b/>
          <w:sz w:val="21"/>
        </w:rPr>
        <w:t>8.2</w:t>
      </w:r>
      <w:r>
        <w:rPr>
          <w:b/>
          <w:spacing w:val="2"/>
          <w:sz w:val="21"/>
        </w:rPr>
        <w:t xml:space="preserve"> </w:t>
      </w:r>
      <w:r>
        <w:rPr>
          <w:spacing w:val="-3"/>
          <w:sz w:val="21"/>
        </w:rPr>
        <w:t>包装</w:t>
      </w:r>
      <w:r>
        <w:rPr>
          <w:b/>
          <w:w w:val="99"/>
          <w:sz w:val="21"/>
        </w:rPr>
        <w:t xml:space="preserve"> </w:t>
      </w:r>
    </w:p>
    <w:p w14:paraId="5F0A16AB" w14:textId="77777777" w:rsidR="00A71EEF" w:rsidRDefault="0081115D">
      <w:pPr>
        <w:pStyle w:val="a4"/>
        <w:numPr>
          <w:ilvl w:val="2"/>
          <w:numId w:val="900"/>
        </w:numPr>
        <w:tabs>
          <w:tab w:val="left" w:pos="1371"/>
        </w:tabs>
        <w:rPr>
          <w:sz w:val="21"/>
        </w:rPr>
      </w:pPr>
      <w:r>
        <w:rPr>
          <w:spacing w:val="-7"/>
          <w:sz w:val="21"/>
        </w:rPr>
        <w:t>方位灯的包装图示标志应符合</w:t>
      </w:r>
      <w:r>
        <w:rPr>
          <w:spacing w:val="-7"/>
          <w:sz w:val="21"/>
        </w:rPr>
        <w:t xml:space="preserve"> </w:t>
      </w:r>
      <w:r>
        <w:rPr>
          <w:sz w:val="21"/>
        </w:rPr>
        <w:t>GB/T</w:t>
      </w:r>
      <w:r>
        <w:rPr>
          <w:spacing w:val="1"/>
          <w:sz w:val="21"/>
        </w:rPr>
        <w:t xml:space="preserve"> </w:t>
      </w:r>
      <w:r>
        <w:rPr>
          <w:sz w:val="21"/>
        </w:rPr>
        <w:t>191</w:t>
      </w:r>
      <w:r>
        <w:rPr>
          <w:spacing w:val="-13"/>
          <w:sz w:val="21"/>
        </w:rPr>
        <w:t xml:space="preserve"> </w:t>
      </w:r>
      <w:r>
        <w:rPr>
          <w:spacing w:val="-13"/>
          <w:sz w:val="21"/>
        </w:rPr>
        <w:t>的规定。</w:t>
      </w:r>
      <w:r>
        <w:rPr>
          <w:sz w:val="21"/>
        </w:rPr>
        <w:t xml:space="preserve"> </w:t>
      </w:r>
    </w:p>
    <w:p w14:paraId="21147976" w14:textId="77777777" w:rsidR="00A71EEF" w:rsidRDefault="00A71EEF">
      <w:pPr>
        <w:rPr>
          <w:sz w:val="21"/>
        </w:rPr>
        <w:sectPr w:rsidR="00A71EEF">
          <w:pgSz w:w="11910" w:h="16850"/>
          <w:pgMar w:top="1220" w:right="0" w:bottom="1420" w:left="1260" w:header="0" w:footer="1239" w:gutter="0"/>
          <w:cols w:space="720"/>
        </w:sectPr>
      </w:pPr>
    </w:p>
    <w:p w14:paraId="29846774" w14:textId="77777777" w:rsidR="00A71EEF" w:rsidRDefault="0081115D">
      <w:pPr>
        <w:pStyle w:val="a4"/>
        <w:numPr>
          <w:ilvl w:val="2"/>
          <w:numId w:val="900"/>
        </w:numPr>
        <w:tabs>
          <w:tab w:val="left" w:pos="1370"/>
        </w:tabs>
        <w:spacing w:before="47"/>
        <w:ind w:left="1369" w:hanging="530"/>
        <w:rPr>
          <w:sz w:val="21"/>
        </w:rPr>
      </w:pPr>
      <w:r>
        <w:rPr>
          <w:spacing w:val="-3"/>
          <w:sz w:val="21"/>
        </w:rPr>
        <w:lastRenderedPageBreak/>
        <w:t>方位灯出厂时应予装箱，并有防潮、防尘措施。</w:t>
      </w:r>
      <w:r>
        <w:rPr>
          <w:sz w:val="21"/>
        </w:rPr>
        <w:t xml:space="preserve"> </w:t>
      </w:r>
    </w:p>
    <w:p w14:paraId="5781A0D6" w14:textId="77777777" w:rsidR="00A71EEF" w:rsidRDefault="00A71EEF">
      <w:pPr>
        <w:pStyle w:val="a3"/>
        <w:rPr>
          <w:sz w:val="18"/>
        </w:rPr>
      </w:pPr>
    </w:p>
    <w:p w14:paraId="23040776" w14:textId="77777777" w:rsidR="00A71EEF" w:rsidRDefault="0081115D">
      <w:pPr>
        <w:pStyle w:val="a4"/>
        <w:numPr>
          <w:ilvl w:val="2"/>
          <w:numId w:val="900"/>
        </w:numPr>
        <w:tabs>
          <w:tab w:val="left" w:pos="1371"/>
        </w:tabs>
        <w:spacing w:line="446" w:lineRule="auto"/>
        <w:ind w:left="838" w:right="3601" w:firstLine="2"/>
        <w:rPr>
          <w:sz w:val="21"/>
        </w:rPr>
      </w:pPr>
      <w:r>
        <w:rPr>
          <w:spacing w:val="-3"/>
          <w:sz w:val="21"/>
        </w:rPr>
        <w:t>包装箱外壁应有明显、耐久的文字标志，应包括以下内容：</w:t>
      </w:r>
      <w:r>
        <w:rPr>
          <w:spacing w:val="-3"/>
          <w:sz w:val="21"/>
        </w:rPr>
        <w:t xml:space="preserve"> </w:t>
      </w:r>
      <w:r>
        <w:rPr>
          <w:sz w:val="21"/>
        </w:rPr>
        <w:t>a)</w:t>
      </w:r>
      <w:r>
        <w:rPr>
          <w:spacing w:val="-3"/>
          <w:sz w:val="21"/>
        </w:rPr>
        <w:t xml:space="preserve"> </w:t>
      </w:r>
      <w:r>
        <w:rPr>
          <w:spacing w:val="-3"/>
          <w:sz w:val="21"/>
        </w:rPr>
        <w:t>生产厂名；</w:t>
      </w:r>
      <w:r>
        <w:rPr>
          <w:sz w:val="21"/>
        </w:rPr>
        <w:t xml:space="preserve"> </w:t>
      </w:r>
    </w:p>
    <w:p w14:paraId="6C9F0BE9" w14:textId="77777777" w:rsidR="00A71EEF" w:rsidRDefault="0081115D">
      <w:pPr>
        <w:pStyle w:val="a4"/>
        <w:numPr>
          <w:ilvl w:val="0"/>
          <w:numId w:val="899"/>
        </w:numPr>
        <w:tabs>
          <w:tab w:val="left" w:pos="1051"/>
        </w:tabs>
        <w:rPr>
          <w:sz w:val="21"/>
        </w:rPr>
      </w:pPr>
      <w:r>
        <w:rPr>
          <w:spacing w:val="-3"/>
          <w:sz w:val="21"/>
        </w:rPr>
        <w:t>产品型号和名称；</w:t>
      </w:r>
      <w:r>
        <w:rPr>
          <w:sz w:val="21"/>
        </w:rPr>
        <w:t xml:space="preserve"> </w:t>
      </w:r>
    </w:p>
    <w:p w14:paraId="2C98E5E1" w14:textId="77777777" w:rsidR="00A71EEF" w:rsidRDefault="00A71EEF">
      <w:pPr>
        <w:pStyle w:val="a3"/>
        <w:spacing w:before="12"/>
        <w:rPr>
          <w:sz w:val="17"/>
        </w:rPr>
      </w:pPr>
    </w:p>
    <w:p w14:paraId="00B7A283" w14:textId="77777777" w:rsidR="00A71EEF" w:rsidRDefault="0081115D">
      <w:pPr>
        <w:pStyle w:val="a4"/>
        <w:numPr>
          <w:ilvl w:val="0"/>
          <w:numId w:val="899"/>
        </w:numPr>
        <w:tabs>
          <w:tab w:val="left" w:pos="1051"/>
        </w:tabs>
        <w:rPr>
          <w:sz w:val="21"/>
        </w:rPr>
      </w:pPr>
      <w:r>
        <w:rPr>
          <w:spacing w:val="-3"/>
          <w:sz w:val="21"/>
        </w:rPr>
        <w:t>生产日期；</w:t>
      </w:r>
      <w:r>
        <w:rPr>
          <w:sz w:val="21"/>
        </w:rPr>
        <w:t xml:space="preserve"> </w:t>
      </w:r>
    </w:p>
    <w:p w14:paraId="1FE230CB" w14:textId="77777777" w:rsidR="00A71EEF" w:rsidRDefault="00A71EEF">
      <w:pPr>
        <w:pStyle w:val="a3"/>
        <w:rPr>
          <w:sz w:val="18"/>
        </w:rPr>
      </w:pPr>
    </w:p>
    <w:p w14:paraId="43768DE0" w14:textId="77777777" w:rsidR="00A71EEF" w:rsidRDefault="0081115D">
      <w:pPr>
        <w:pStyle w:val="a4"/>
        <w:numPr>
          <w:ilvl w:val="0"/>
          <w:numId w:val="899"/>
        </w:numPr>
        <w:tabs>
          <w:tab w:val="left" w:pos="1051"/>
        </w:tabs>
        <w:spacing w:line="446" w:lineRule="auto"/>
        <w:ind w:left="838" w:right="5493" w:firstLine="0"/>
        <w:rPr>
          <w:sz w:val="21"/>
        </w:rPr>
      </w:pPr>
      <w:r>
        <w:rPr>
          <w:spacing w:val="-3"/>
          <w:sz w:val="21"/>
        </w:rPr>
        <w:t>向上、怕湿、小心轻放等文字或符号。</w:t>
      </w:r>
      <w:r>
        <w:rPr>
          <w:spacing w:val="-3"/>
          <w:sz w:val="21"/>
        </w:rPr>
        <w:t xml:space="preserve"> </w:t>
      </w:r>
      <w:r>
        <w:rPr>
          <w:b/>
          <w:sz w:val="21"/>
        </w:rPr>
        <w:t>8.2.4</w:t>
      </w:r>
      <w:r>
        <w:rPr>
          <w:b/>
          <w:spacing w:val="9"/>
          <w:sz w:val="21"/>
        </w:rPr>
        <w:t xml:space="preserve"> </w:t>
      </w:r>
      <w:r>
        <w:rPr>
          <w:spacing w:val="-3"/>
          <w:sz w:val="21"/>
        </w:rPr>
        <w:t>随同产品提供的文件应包括以下内容：</w:t>
      </w:r>
      <w:r>
        <w:rPr>
          <w:spacing w:val="-3"/>
          <w:sz w:val="21"/>
        </w:rPr>
        <w:t xml:space="preserve"> </w:t>
      </w:r>
      <w:r>
        <w:rPr>
          <w:sz w:val="21"/>
        </w:rPr>
        <w:t>a)</w:t>
      </w:r>
      <w:r>
        <w:rPr>
          <w:spacing w:val="-3"/>
          <w:sz w:val="21"/>
        </w:rPr>
        <w:t xml:space="preserve"> </w:t>
      </w:r>
      <w:r>
        <w:rPr>
          <w:spacing w:val="-3"/>
          <w:sz w:val="21"/>
        </w:rPr>
        <w:t>产品合格证；</w:t>
      </w:r>
      <w:r>
        <w:rPr>
          <w:sz w:val="21"/>
        </w:rPr>
        <w:t xml:space="preserve"> </w:t>
      </w:r>
    </w:p>
    <w:p w14:paraId="362D9D36" w14:textId="77777777" w:rsidR="00A71EEF" w:rsidRDefault="0081115D">
      <w:pPr>
        <w:pStyle w:val="a4"/>
        <w:numPr>
          <w:ilvl w:val="0"/>
          <w:numId w:val="898"/>
        </w:numPr>
        <w:tabs>
          <w:tab w:val="left" w:pos="1051"/>
        </w:tabs>
        <w:spacing w:line="446" w:lineRule="auto"/>
        <w:ind w:right="7600" w:hanging="3"/>
        <w:rPr>
          <w:b/>
          <w:sz w:val="21"/>
        </w:rPr>
      </w:pPr>
      <w:r>
        <w:rPr>
          <w:spacing w:val="-3"/>
          <w:sz w:val="21"/>
        </w:rPr>
        <w:t>产品使用说明书。</w:t>
      </w:r>
      <w:r>
        <w:rPr>
          <w:spacing w:val="-3"/>
          <w:sz w:val="21"/>
        </w:rPr>
        <w:t xml:space="preserve"> </w:t>
      </w:r>
      <w:r>
        <w:rPr>
          <w:b/>
          <w:sz w:val="21"/>
        </w:rPr>
        <w:t xml:space="preserve">8.3 </w:t>
      </w:r>
      <w:r>
        <w:rPr>
          <w:spacing w:val="-3"/>
          <w:sz w:val="21"/>
        </w:rPr>
        <w:t>运输</w:t>
      </w:r>
      <w:r>
        <w:rPr>
          <w:b/>
          <w:w w:val="99"/>
          <w:sz w:val="21"/>
        </w:rPr>
        <w:t xml:space="preserve"> </w:t>
      </w:r>
    </w:p>
    <w:p w14:paraId="0EF4DFB6" w14:textId="77777777" w:rsidR="00A71EEF" w:rsidRDefault="0081115D">
      <w:pPr>
        <w:pStyle w:val="a3"/>
        <w:spacing w:line="446" w:lineRule="auto"/>
        <w:ind w:left="840" w:right="3606" w:hanging="3"/>
        <w:rPr>
          <w:b/>
        </w:rPr>
      </w:pPr>
      <w:r>
        <w:t>方位灯在运输过程中应有防雨雪侵袭的措施，应避免重压和碰撞。</w:t>
      </w:r>
      <w:r>
        <w:rPr>
          <w:b/>
        </w:rPr>
        <w:t xml:space="preserve">8.4 </w:t>
      </w:r>
      <w:r>
        <w:t>贮存</w:t>
      </w:r>
      <w:r>
        <w:rPr>
          <w:b/>
          <w:w w:val="99"/>
        </w:rPr>
        <w:t xml:space="preserve"> </w:t>
      </w:r>
    </w:p>
    <w:p w14:paraId="6336FA58" w14:textId="77777777" w:rsidR="00A71EEF" w:rsidRDefault="0081115D">
      <w:pPr>
        <w:pStyle w:val="a3"/>
        <w:tabs>
          <w:tab w:val="left" w:pos="3718"/>
        </w:tabs>
        <w:spacing w:line="446" w:lineRule="auto"/>
        <w:ind w:left="418" w:right="1817" w:firstLine="419"/>
      </w:pPr>
      <w:r>
        <w:t>方位</w:t>
      </w:r>
      <w:r>
        <w:rPr>
          <w:spacing w:val="-3"/>
        </w:rPr>
        <w:t>灯</w:t>
      </w:r>
      <w:r>
        <w:t>应</w:t>
      </w:r>
      <w:r>
        <w:rPr>
          <w:spacing w:val="-3"/>
        </w:rPr>
        <w:t>存</w:t>
      </w:r>
      <w:r>
        <w:t>放</w:t>
      </w:r>
      <w:r>
        <w:rPr>
          <w:spacing w:val="-3"/>
        </w:rPr>
        <w:t>于</w:t>
      </w:r>
      <w:r>
        <w:t>通</w:t>
      </w:r>
      <w:r>
        <w:rPr>
          <w:spacing w:val="-3"/>
        </w:rPr>
        <w:t>风</w:t>
      </w:r>
      <w:r>
        <w:t>、</w:t>
      </w:r>
      <w:r>
        <w:rPr>
          <w:spacing w:val="-3"/>
        </w:rPr>
        <w:t>干</w:t>
      </w:r>
      <w:r>
        <w:t>燥及</w:t>
      </w:r>
      <w:r>
        <w:rPr>
          <w:spacing w:val="-3"/>
        </w:rPr>
        <w:t>无</w:t>
      </w:r>
      <w:r>
        <w:t>有</w:t>
      </w:r>
      <w:r>
        <w:rPr>
          <w:spacing w:val="-3"/>
        </w:rPr>
        <w:t>害</w:t>
      </w:r>
      <w:r>
        <w:t>气</w:t>
      </w:r>
      <w:r>
        <w:rPr>
          <w:spacing w:val="-3"/>
        </w:rPr>
        <w:t>体</w:t>
      </w:r>
      <w:r>
        <w:t>的</w:t>
      </w:r>
      <w:r>
        <w:rPr>
          <w:spacing w:val="-3"/>
        </w:rPr>
        <w:t>仓</w:t>
      </w:r>
      <w:r>
        <w:t>库</w:t>
      </w:r>
      <w:r>
        <w:rPr>
          <w:spacing w:val="-3"/>
        </w:rPr>
        <w:t>内</w:t>
      </w:r>
      <w:r>
        <w:t>，不</w:t>
      </w:r>
      <w:r>
        <w:rPr>
          <w:spacing w:val="-3"/>
        </w:rPr>
        <w:t>应</w:t>
      </w:r>
      <w:r>
        <w:t>与</w:t>
      </w:r>
      <w:r>
        <w:rPr>
          <w:spacing w:val="-3"/>
        </w:rPr>
        <w:t>具</w:t>
      </w:r>
      <w:r>
        <w:t>有</w:t>
      </w:r>
      <w:r>
        <w:rPr>
          <w:spacing w:val="-3"/>
        </w:rPr>
        <w:t>腐</w:t>
      </w:r>
      <w:r>
        <w:t>烛</w:t>
      </w:r>
      <w:r>
        <w:rPr>
          <w:spacing w:val="-3"/>
        </w:rPr>
        <w:t>性</w:t>
      </w:r>
      <w:r>
        <w:t>的</w:t>
      </w:r>
      <w:r>
        <w:rPr>
          <w:spacing w:val="-3"/>
        </w:rPr>
        <w:t>化</w:t>
      </w:r>
      <w:r>
        <w:t>学品</w:t>
      </w:r>
      <w:r>
        <w:rPr>
          <w:spacing w:val="-3"/>
        </w:rPr>
        <w:t>一</w:t>
      </w:r>
      <w:r>
        <w:t>同存放。</w:t>
      </w:r>
      <w:r>
        <w:tab/>
      </w:r>
      <w:r>
        <w:t xml:space="preserve"> </w:t>
      </w:r>
    </w:p>
    <w:p w14:paraId="4F2EE8C5" w14:textId="77777777" w:rsidR="00A71EEF" w:rsidRDefault="00A71EEF">
      <w:pPr>
        <w:spacing w:line="446" w:lineRule="auto"/>
        <w:sectPr w:rsidR="00A71EEF">
          <w:pgSz w:w="11910" w:h="16850"/>
          <w:pgMar w:top="1220" w:right="0" w:bottom="1420" w:left="1260" w:header="0" w:footer="1239" w:gutter="0"/>
          <w:cols w:space="720"/>
        </w:sectPr>
      </w:pPr>
    </w:p>
    <w:p w14:paraId="55A4AF7F" w14:textId="77777777" w:rsidR="00A71EEF" w:rsidRDefault="0081115D">
      <w:pPr>
        <w:pStyle w:val="2"/>
        <w:ind w:right="868"/>
      </w:pPr>
      <w:bookmarkStart w:id="4" w:name="_bookmark4"/>
      <w:bookmarkEnd w:id="4"/>
      <w:r>
        <w:lastRenderedPageBreak/>
        <w:t>消防水带</w:t>
      </w:r>
      <w:r>
        <w:rPr>
          <w:w w:val="99"/>
        </w:rPr>
        <w:t xml:space="preserve"> </w:t>
      </w:r>
    </w:p>
    <w:p w14:paraId="29ED847D" w14:textId="77777777" w:rsidR="00A71EEF" w:rsidRDefault="00A71EEF">
      <w:pPr>
        <w:pStyle w:val="a3"/>
        <w:rPr>
          <w:b/>
          <w:sz w:val="20"/>
        </w:rPr>
      </w:pPr>
    </w:p>
    <w:p w14:paraId="180071B9" w14:textId="77777777" w:rsidR="00A71EEF" w:rsidRDefault="00A71EEF">
      <w:pPr>
        <w:pStyle w:val="a3"/>
        <w:spacing w:before="5"/>
        <w:rPr>
          <w:b/>
          <w:sz w:val="14"/>
        </w:rPr>
      </w:pPr>
    </w:p>
    <w:p w14:paraId="64179687" w14:textId="77777777" w:rsidR="00A71EEF" w:rsidRDefault="0081115D">
      <w:pPr>
        <w:pStyle w:val="4"/>
        <w:spacing w:before="66"/>
      </w:pPr>
      <w:r>
        <w:t xml:space="preserve">1 </w:t>
      </w:r>
      <w:r>
        <w:t>范围</w:t>
      </w:r>
      <w:r>
        <w:rPr>
          <w:w w:val="99"/>
        </w:rPr>
        <w:t xml:space="preserve"> </w:t>
      </w:r>
    </w:p>
    <w:p w14:paraId="77F6AE74" w14:textId="77777777" w:rsidR="00A71EEF" w:rsidRDefault="00A71EEF">
      <w:pPr>
        <w:pStyle w:val="a3"/>
        <w:spacing w:before="4"/>
        <w:rPr>
          <w:b/>
          <w:sz w:val="17"/>
        </w:rPr>
      </w:pPr>
    </w:p>
    <w:p w14:paraId="4D8F8A2E" w14:textId="77777777" w:rsidR="00A71EEF" w:rsidRDefault="0081115D">
      <w:pPr>
        <w:pStyle w:val="a3"/>
        <w:spacing w:line="446" w:lineRule="auto"/>
        <w:ind w:left="418" w:right="1609" w:firstLine="419"/>
      </w:pPr>
      <w:r>
        <w:t>本标准规定了消防水带的型号规格、性能要求、试验方法、检验规则以及标志、包装、运输、使用与维护。</w:t>
      </w:r>
      <w:r>
        <w:t xml:space="preserve"> </w:t>
      </w:r>
    </w:p>
    <w:p w14:paraId="16B4F23C" w14:textId="77777777" w:rsidR="00A71EEF" w:rsidRDefault="0081115D">
      <w:pPr>
        <w:pStyle w:val="a3"/>
        <w:ind w:left="838"/>
      </w:pPr>
      <w:r>
        <w:t>本标准适用于有衬里消防水带、消防湿水带等消防水带。</w:t>
      </w:r>
      <w:r>
        <w:t xml:space="preserve"> </w:t>
      </w:r>
    </w:p>
    <w:p w14:paraId="36BDB460" w14:textId="77777777" w:rsidR="00A71EEF" w:rsidRDefault="00A71EEF">
      <w:pPr>
        <w:pStyle w:val="a3"/>
        <w:spacing w:before="8"/>
        <w:rPr>
          <w:sz w:val="15"/>
        </w:rPr>
      </w:pPr>
    </w:p>
    <w:p w14:paraId="26BD92C7" w14:textId="77777777" w:rsidR="00A71EEF" w:rsidRDefault="0081115D">
      <w:pPr>
        <w:pStyle w:val="4"/>
      </w:pPr>
      <w:r>
        <w:t xml:space="preserve">2 </w:t>
      </w:r>
      <w:r>
        <w:t>规范性引用文件</w:t>
      </w:r>
      <w:r>
        <w:rPr>
          <w:w w:val="99"/>
        </w:rPr>
        <w:t xml:space="preserve"> </w:t>
      </w:r>
    </w:p>
    <w:p w14:paraId="51B4B635" w14:textId="77777777" w:rsidR="00A71EEF" w:rsidRDefault="00A71EEF">
      <w:pPr>
        <w:pStyle w:val="a3"/>
        <w:spacing w:before="4"/>
        <w:rPr>
          <w:b/>
          <w:sz w:val="17"/>
        </w:rPr>
      </w:pPr>
    </w:p>
    <w:p w14:paraId="1CBEE7E6" w14:textId="77777777" w:rsidR="00A71EEF" w:rsidRDefault="0081115D">
      <w:pPr>
        <w:pStyle w:val="a3"/>
        <w:spacing w:line="446" w:lineRule="auto"/>
        <w:ind w:left="418" w:right="1609" w:firstLine="419"/>
      </w:pPr>
      <w:r>
        <w:t>下列文件对于本文件的应用是必不可少的。凡是注日期的引用文件，仅注日期的版本适用于本文件。凡是不注日期的引用文件，其最新版本（包括所有的修改单）适用于本文件。</w:t>
      </w:r>
      <w:r>
        <w:t xml:space="preserve"> </w:t>
      </w:r>
    </w:p>
    <w:p w14:paraId="62D31175" w14:textId="77777777" w:rsidR="00A71EEF" w:rsidRDefault="0081115D">
      <w:pPr>
        <w:pStyle w:val="a3"/>
        <w:spacing w:line="446" w:lineRule="auto"/>
        <w:ind w:left="838" w:right="4343"/>
      </w:pPr>
      <w:r>
        <w:t xml:space="preserve">GB/T 528 </w:t>
      </w:r>
      <w:r>
        <w:t>硫化橡胶或热塑性橡胶拉伸应力应变性能的测定</w:t>
      </w:r>
      <w:r>
        <w:t xml:space="preserve">GB/T 532 </w:t>
      </w:r>
      <w:r>
        <w:t>硫化橡胶或热塑性橡胶与织物黏合强度的测定</w:t>
      </w:r>
      <w:r>
        <w:t xml:space="preserve">GB/T 1040.1 </w:t>
      </w:r>
      <w:r>
        <w:t>塑料拉伸性能的测定</w:t>
      </w:r>
      <w:r>
        <w:t xml:space="preserve"> </w:t>
      </w:r>
      <w:r>
        <w:t>第</w:t>
      </w:r>
      <w:r>
        <w:t xml:space="preserve"> 1 </w:t>
      </w:r>
      <w:r>
        <w:t>部分：总则</w:t>
      </w:r>
      <w:r>
        <w:t xml:space="preserve"> </w:t>
      </w:r>
    </w:p>
    <w:p w14:paraId="5651AA77" w14:textId="77777777" w:rsidR="00A71EEF" w:rsidRDefault="0081115D">
      <w:pPr>
        <w:pStyle w:val="a3"/>
        <w:spacing w:line="446" w:lineRule="auto"/>
        <w:ind w:left="838" w:right="3291"/>
      </w:pPr>
      <w:r>
        <w:t xml:space="preserve">GB/T 2481.2 </w:t>
      </w:r>
      <w:r>
        <w:t>固结磨具用磨料粒度组成的检测和标记</w:t>
      </w:r>
      <w:r>
        <w:t xml:space="preserve"> </w:t>
      </w:r>
      <w:r>
        <w:t>第</w:t>
      </w:r>
      <w:r>
        <w:t xml:space="preserve"> 2 </w:t>
      </w:r>
      <w:r>
        <w:t>部分：微粉</w:t>
      </w:r>
      <w:r>
        <w:t xml:space="preserve">HG/T 2369 </w:t>
      </w:r>
      <w:r>
        <w:t>橡胶塑料拉力试验机技术条件</w:t>
      </w:r>
      <w:r>
        <w:t xml:space="preserve"> </w:t>
      </w:r>
    </w:p>
    <w:p w14:paraId="160585D4" w14:textId="77777777" w:rsidR="00A71EEF" w:rsidRDefault="0081115D">
      <w:pPr>
        <w:pStyle w:val="a3"/>
        <w:spacing w:line="446" w:lineRule="auto"/>
        <w:ind w:left="838" w:right="6969"/>
      </w:pPr>
      <w:r>
        <w:t xml:space="preserve">JB/T 5520 </w:t>
      </w:r>
      <w:r>
        <w:t>干燥箱</w:t>
      </w:r>
      <w:r>
        <w:t xml:space="preserve"> </w:t>
      </w:r>
      <w:r>
        <w:t>技术条件</w:t>
      </w:r>
      <w:r>
        <w:t>JB</w:t>
      </w:r>
      <w:r>
        <w:t xml:space="preserve">/T 7444 </w:t>
      </w:r>
      <w:r>
        <w:t>空气热老化试验箱</w:t>
      </w:r>
      <w:r>
        <w:t xml:space="preserve">QB/T 2443 </w:t>
      </w:r>
      <w:r>
        <w:t>钢卷尺</w:t>
      </w:r>
      <w:r>
        <w:t xml:space="preserve"> </w:t>
      </w:r>
    </w:p>
    <w:p w14:paraId="6CEBCD63" w14:textId="77777777" w:rsidR="00A71EEF" w:rsidRDefault="0081115D">
      <w:pPr>
        <w:pStyle w:val="4"/>
        <w:spacing w:line="276" w:lineRule="exact"/>
      </w:pPr>
      <w:r>
        <w:t xml:space="preserve">3 </w:t>
      </w:r>
      <w:r>
        <w:t>型号规格</w:t>
      </w:r>
      <w:r>
        <w:rPr>
          <w:w w:val="99"/>
        </w:rPr>
        <w:t xml:space="preserve"> </w:t>
      </w:r>
    </w:p>
    <w:p w14:paraId="2D3331B9" w14:textId="77777777" w:rsidR="00A71EEF" w:rsidRDefault="00A71EEF">
      <w:pPr>
        <w:pStyle w:val="a3"/>
        <w:spacing w:before="3"/>
        <w:rPr>
          <w:b/>
          <w:sz w:val="17"/>
        </w:rPr>
      </w:pPr>
    </w:p>
    <w:p w14:paraId="20074945" w14:textId="77777777" w:rsidR="00A71EEF" w:rsidRDefault="0081115D">
      <w:pPr>
        <w:pStyle w:val="a3"/>
        <w:spacing w:line="446" w:lineRule="auto"/>
        <w:ind w:left="418" w:right="1503" w:firstLine="419"/>
      </w:pPr>
      <w:r>
        <w:t>消防水带（以下简称水带）的型号规格由设计工作压力、公称内径、长度、编织层经</w:t>
      </w:r>
      <w:r>
        <w:t>/</w:t>
      </w:r>
      <w:r>
        <w:t>纬线材质、衬里材质和外覆材料材质组成。</w:t>
      </w:r>
      <w:r>
        <w:t xml:space="preserve"> </w:t>
      </w:r>
    </w:p>
    <w:p w14:paraId="5292A558" w14:textId="77777777" w:rsidR="00A71EEF" w:rsidRDefault="0081115D">
      <w:pPr>
        <w:pStyle w:val="a3"/>
        <w:spacing w:line="446" w:lineRule="auto"/>
        <w:ind w:left="418" w:right="1611" w:firstLine="419"/>
        <w:jc w:val="both"/>
      </w:pPr>
      <w:r>
        <w:rPr>
          <w:spacing w:val="-16"/>
        </w:rPr>
        <w:t>示例</w:t>
      </w:r>
      <w:r>
        <w:rPr>
          <w:spacing w:val="-16"/>
        </w:rPr>
        <w:t xml:space="preserve"> </w:t>
      </w:r>
      <w:r>
        <w:t>1</w:t>
      </w:r>
      <w:r>
        <w:rPr>
          <w:spacing w:val="-8"/>
        </w:rPr>
        <w:t>：设计工作压力为</w:t>
      </w:r>
      <w:r>
        <w:rPr>
          <w:spacing w:val="-8"/>
        </w:rPr>
        <w:t xml:space="preserve"> </w:t>
      </w:r>
      <w:r>
        <w:t>1.0MPa</w:t>
      </w:r>
      <w:r>
        <w:rPr>
          <w:spacing w:val="-10"/>
        </w:rPr>
        <w:t>、公称内径为</w:t>
      </w:r>
      <w:r>
        <w:rPr>
          <w:spacing w:val="-10"/>
        </w:rPr>
        <w:t xml:space="preserve"> </w:t>
      </w:r>
      <w:r>
        <w:t>65mm</w:t>
      </w:r>
      <w:r>
        <w:rPr>
          <w:spacing w:val="-10"/>
        </w:rPr>
        <w:t>、长度为</w:t>
      </w:r>
      <w:r>
        <w:rPr>
          <w:spacing w:val="-10"/>
        </w:rPr>
        <w:t xml:space="preserve"> </w:t>
      </w:r>
      <w:r>
        <w:t>25m</w:t>
      </w:r>
      <w:r>
        <w:rPr>
          <w:spacing w:val="-3"/>
        </w:rPr>
        <w:t>、编织层经线材质为涤纶纱，纬线材质为涤纶长丝、衬里材质为橡胶的水带，其型号表示为：</w:t>
      </w:r>
      <w:r>
        <w:t>10-65-25-</w:t>
      </w:r>
      <w:r>
        <w:rPr>
          <w:spacing w:val="-2"/>
        </w:rPr>
        <w:t>涤纶纱</w:t>
      </w:r>
      <w:r>
        <w:rPr>
          <w:spacing w:val="-3"/>
        </w:rPr>
        <w:t>/</w:t>
      </w:r>
      <w:r>
        <w:rPr>
          <w:spacing w:val="-2"/>
        </w:rPr>
        <w:t>涤纶长</w:t>
      </w:r>
      <w:r>
        <w:rPr>
          <w:spacing w:val="-3"/>
        </w:rPr>
        <w:t>丝</w:t>
      </w:r>
      <w:r>
        <w:rPr>
          <w:spacing w:val="-3"/>
        </w:rPr>
        <w:t>-</w:t>
      </w:r>
      <w:r>
        <w:rPr>
          <w:spacing w:val="-3"/>
        </w:rPr>
        <w:t>橡胶。</w:t>
      </w:r>
      <w:r>
        <w:t xml:space="preserve"> </w:t>
      </w:r>
    </w:p>
    <w:p w14:paraId="5EDE1388" w14:textId="77777777" w:rsidR="00A71EEF" w:rsidRDefault="0081115D">
      <w:pPr>
        <w:pStyle w:val="a3"/>
        <w:spacing w:line="446" w:lineRule="auto"/>
        <w:ind w:left="418" w:right="1611" w:firstLine="419"/>
      </w:pPr>
      <w:r>
        <w:rPr>
          <w:spacing w:val="-16"/>
        </w:rPr>
        <w:t>示例</w:t>
      </w:r>
      <w:r>
        <w:rPr>
          <w:spacing w:val="-16"/>
        </w:rPr>
        <w:t xml:space="preserve"> </w:t>
      </w:r>
      <w:r>
        <w:t>2</w:t>
      </w:r>
      <w:r>
        <w:rPr>
          <w:spacing w:val="-8"/>
        </w:rPr>
        <w:t>：设计工作压力为</w:t>
      </w:r>
      <w:r>
        <w:rPr>
          <w:spacing w:val="-8"/>
        </w:rPr>
        <w:t xml:space="preserve"> </w:t>
      </w:r>
      <w:r>
        <w:t>2.0MPa</w:t>
      </w:r>
      <w:r>
        <w:rPr>
          <w:spacing w:val="-10"/>
        </w:rPr>
        <w:t>、公称内径为</w:t>
      </w:r>
      <w:r>
        <w:rPr>
          <w:spacing w:val="-10"/>
        </w:rPr>
        <w:t xml:space="preserve"> </w:t>
      </w:r>
      <w:r>
        <w:t>80mm</w:t>
      </w:r>
      <w:r>
        <w:rPr>
          <w:spacing w:val="-10"/>
        </w:rPr>
        <w:t>、长度为</w:t>
      </w:r>
      <w:r>
        <w:rPr>
          <w:spacing w:val="-10"/>
        </w:rPr>
        <w:t xml:space="preserve"> </w:t>
      </w:r>
      <w:r>
        <w:t>40m</w:t>
      </w:r>
      <w:r>
        <w:rPr>
          <w:spacing w:val="-3"/>
        </w:rPr>
        <w:t>、编织层经线材质为涤纶长丝，纬线材质为涤纶长丝、衬里材质为聚氨酯、外覆材料材质为塑料的水带，其型号表示</w:t>
      </w:r>
      <w:r>
        <w:rPr>
          <w:spacing w:val="-3"/>
        </w:rPr>
        <w:t xml:space="preserve"> </w:t>
      </w:r>
      <w:r>
        <w:rPr>
          <w:spacing w:val="-3"/>
        </w:rPr>
        <w:t>为：</w:t>
      </w:r>
      <w:r>
        <w:rPr>
          <w:spacing w:val="-3"/>
        </w:rPr>
        <w:t>20-80-40-</w:t>
      </w:r>
      <w:r>
        <w:rPr>
          <w:spacing w:val="-3"/>
        </w:rPr>
        <w:t>涤纶长丝</w:t>
      </w:r>
      <w:r>
        <w:rPr>
          <w:spacing w:val="-3"/>
        </w:rPr>
        <w:t>/</w:t>
      </w:r>
      <w:r>
        <w:rPr>
          <w:spacing w:val="-3"/>
        </w:rPr>
        <w:t>涤纶长丝</w:t>
      </w:r>
      <w:r>
        <w:rPr>
          <w:spacing w:val="-3"/>
        </w:rPr>
        <w:t>-</w:t>
      </w:r>
      <w:r>
        <w:rPr>
          <w:spacing w:val="-3"/>
        </w:rPr>
        <w:t>聚氨酯</w:t>
      </w:r>
      <w:r>
        <w:t>/</w:t>
      </w:r>
      <w:r>
        <w:rPr>
          <w:spacing w:val="-3"/>
        </w:rPr>
        <w:t>塑料。</w:t>
      </w:r>
      <w:r>
        <w:t xml:space="preserve"> </w:t>
      </w:r>
    </w:p>
    <w:p w14:paraId="08A03E32" w14:textId="77777777" w:rsidR="00A71EEF" w:rsidRDefault="00A71EEF">
      <w:pPr>
        <w:pStyle w:val="a3"/>
        <w:rPr>
          <w:sz w:val="20"/>
        </w:rPr>
      </w:pPr>
    </w:p>
    <w:p w14:paraId="067ECC53" w14:textId="77777777" w:rsidR="00A71EEF" w:rsidRDefault="00A71EEF">
      <w:pPr>
        <w:pStyle w:val="a3"/>
        <w:spacing w:before="10"/>
        <w:rPr>
          <w:sz w:val="18"/>
        </w:rPr>
      </w:pPr>
    </w:p>
    <w:p w14:paraId="49713C8E" w14:textId="77777777" w:rsidR="00A71EEF" w:rsidRDefault="0081115D">
      <w:pPr>
        <w:pStyle w:val="a3"/>
        <w:ind w:left="838"/>
      </w:pPr>
      <w:r>
        <w:t xml:space="preserve"> </w:t>
      </w:r>
    </w:p>
    <w:p w14:paraId="182CFA77" w14:textId="77777777" w:rsidR="00A71EEF" w:rsidRDefault="00A71EEF">
      <w:pPr>
        <w:sectPr w:rsidR="00A71EEF">
          <w:pgSz w:w="11910" w:h="16850"/>
          <w:pgMar w:top="1140" w:right="0" w:bottom="1420" w:left="1260" w:header="0" w:footer="1239" w:gutter="0"/>
          <w:cols w:space="720"/>
        </w:sectPr>
      </w:pPr>
    </w:p>
    <w:p w14:paraId="109169C5" w14:textId="77777777" w:rsidR="00A71EEF" w:rsidRDefault="00A71EEF">
      <w:pPr>
        <w:pStyle w:val="a3"/>
        <w:spacing w:before="7"/>
      </w:pPr>
    </w:p>
    <w:p w14:paraId="3593696F" w14:textId="77777777" w:rsidR="00A71EEF" w:rsidRDefault="0081115D">
      <w:pPr>
        <w:pStyle w:val="a3"/>
        <w:ind w:left="673"/>
        <w:rPr>
          <w:sz w:val="20"/>
        </w:rPr>
      </w:pPr>
      <w:r>
        <w:rPr>
          <w:noProof/>
          <w:sz w:val="20"/>
        </w:rPr>
        <w:drawing>
          <wp:inline distT="0" distB="0" distL="0" distR="0" wp14:anchorId="3AF3D169" wp14:editId="36B583F5">
            <wp:extent cx="5294570" cy="2076450"/>
            <wp:effectExtent l="0" t="0" r="0" b="0"/>
            <wp:docPr id="4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9.png"/>
                    <pic:cNvPicPr/>
                  </pic:nvPicPr>
                  <pic:blipFill>
                    <a:blip r:embed="rId35" cstate="print"/>
                    <a:stretch>
                      <a:fillRect/>
                    </a:stretch>
                  </pic:blipFill>
                  <pic:spPr>
                    <a:xfrm>
                      <a:off x="0" y="0"/>
                      <a:ext cx="5294570" cy="2076450"/>
                    </a:xfrm>
                    <a:prstGeom prst="rect">
                      <a:avLst/>
                    </a:prstGeom>
                  </pic:spPr>
                </pic:pic>
              </a:graphicData>
            </a:graphic>
          </wp:inline>
        </w:drawing>
      </w:r>
    </w:p>
    <w:p w14:paraId="73408A02" w14:textId="77777777" w:rsidR="00A71EEF" w:rsidRDefault="00A71EEF">
      <w:pPr>
        <w:pStyle w:val="a3"/>
        <w:spacing w:before="6"/>
        <w:rPr>
          <w:sz w:val="7"/>
        </w:rPr>
      </w:pPr>
    </w:p>
    <w:p w14:paraId="0DFB61E5" w14:textId="77777777" w:rsidR="00A71EEF" w:rsidRDefault="0081115D">
      <w:pPr>
        <w:pStyle w:val="4"/>
        <w:spacing w:before="67"/>
        <w:rPr>
          <w:b w:val="0"/>
          <w:sz w:val="21"/>
        </w:rPr>
      </w:pPr>
      <w:r>
        <w:t xml:space="preserve">4 </w:t>
      </w:r>
      <w:r>
        <w:t>性能要求</w:t>
      </w:r>
      <w:r>
        <w:rPr>
          <w:b w:val="0"/>
          <w:sz w:val="21"/>
        </w:rPr>
        <w:t xml:space="preserve"> </w:t>
      </w:r>
    </w:p>
    <w:p w14:paraId="7FE748B5" w14:textId="77777777" w:rsidR="00A71EEF" w:rsidRDefault="00A71EEF">
      <w:pPr>
        <w:pStyle w:val="a3"/>
        <w:spacing w:before="4"/>
        <w:rPr>
          <w:sz w:val="17"/>
        </w:rPr>
      </w:pPr>
    </w:p>
    <w:p w14:paraId="66DD42A2" w14:textId="77777777" w:rsidR="00A71EEF" w:rsidRDefault="0081115D">
      <w:pPr>
        <w:pStyle w:val="a4"/>
        <w:numPr>
          <w:ilvl w:val="1"/>
          <w:numId w:val="897"/>
        </w:numPr>
        <w:tabs>
          <w:tab w:val="left" w:pos="1160"/>
        </w:tabs>
        <w:rPr>
          <w:sz w:val="21"/>
        </w:rPr>
      </w:pPr>
      <w:r>
        <w:rPr>
          <w:spacing w:val="-3"/>
          <w:sz w:val="21"/>
        </w:rPr>
        <w:t>外观质量</w:t>
      </w:r>
      <w:r>
        <w:rPr>
          <w:sz w:val="21"/>
        </w:rPr>
        <w:t xml:space="preserve"> </w:t>
      </w:r>
    </w:p>
    <w:p w14:paraId="51523CDB" w14:textId="77777777" w:rsidR="00A71EEF" w:rsidRDefault="00A71EEF">
      <w:pPr>
        <w:pStyle w:val="a3"/>
        <w:spacing w:before="12"/>
        <w:rPr>
          <w:sz w:val="17"/>
        </w:rPr>
      </w:pPr>
    </w:p>
    <w:p w14:paraId="5AF58F00" w14:textId="77777777" w:rsidR="00A71EEF" w:rsidRDefault="0081115D">
      <w:pPr>
        <w:pStyle w:val="a4"/>
        <w:numPr>
          <w:ilvl w:val="2"/>
          <w:numId w:val="897"/>
        </w:numPr>
        <w:tabs>
          <w:tab w:val="left" w:pos="1370"/>
        </w:tabs>
        <w:ind w:hanging="530"/>
        <w:rPr>
          <w:sz w:val="21"/>
        </w:rPr>
      </w:pPr>
      <w:r>
        <w:rPr>
          <w:spacing w:val="-3"/>
          <w:sz w:val="21"/>
        </w:rPr>
        <w:t>水带的织物层应编织均匀，表面整洁，无跳双经、断双经、跳纬及划伤。</w:t>
      </w:r>
      <w:r>
        <w:rPr>
          <w:spacing w:val="-3"/>
          <w:sz w:val="21"/>
        </w:rPr>
        <w:t xml:space="preserve"> </w:t>
      </w:r>
    </w:p>
    <w:p w14:paraId="197BCCFE" w14:textId="77777777" w:rsidR="00A71EEF" w:rsidRDefault="00A71EEF">
      <w:pPr>
        <w:pStyle w:val="a3"/>
        <w:spacing w:before="2"/>
        <w:rPr>
          <w:sz w:val="18"/>
        </w:rPr>
      </w:pPr>
    </w:p>
    <w:p w14:paraId="3D73E585" w14:textId="77777777" w:rsidR="00A71EEF" w:rsidRDefault="0081115D">
      <w:pPr>
        <w:pStyle w:val="a4"/>
        <w:numPr>
          <w:ilvl w:val="2"/>
          <w:numId w:val="897"/>
        </w:numPr>
        <w:tabs>
          <w:tab w:val="left" w:pos="1371"/>
        </w:tabs>
        <w:ind w:left="1370" w:hanging="531"/>
        <w:rPr>
          <w:sz w:val="21"/>
        </w:rPr>
      </w:pPr>
      <w:r>
        <w:rPr>
          <w:spacing w:val="-3"/>
          <w:sz w:val="21"/>
        </w:rPr>
        <w:t>水带衬里（或外覆层</w:t>
      </w:r>
      <w:r>
        <w:rPr>
          <w:sz w:val="21"/>
        </w:rPr>
        <w:t>）</w:t>
      </w:r>
      <w:r>
        <w:rPr>
          <w:spacing w:val="-3"/>
          <w:sz w:val="21"/>
        </w:rPr>
        <w:t>的厚度应均匀，表面应光滑平整、无褶皱或其他缺陷。</w:t>
      </w:r>
      <w:r>
        <w:rPr>
          <w:sz w:val="21"/>
        </w:rPr>
        <w:t xml:space="preserve"> </w:t>
      </w:r>
    </w:p>
    <w:p w14:paraId="2238F077" w14:textId="77777777" w:rsidR="00A71EEF" w:rsidRDefault="00A71EEF">
      <w:pPr>
        <w:pStyle w:val="a3"/>
        <w:spacing w:before="12"/>
        <w:rPr>
          <w:sz w:val="17"/>
        </w:rPr>
      </w:pPr>
    </w:p>
    <w:p w14:paraId="7D6DD434" w14:textId="77777777" w:rsidR="00A71EEF" w:rsidRDefault="0081115D">
      <w:pPr>
        <w:pStyle w:val="a4"/>
        <w:numPr>
          <w:ilvl w:val="1"/>
          <w:numId w:val="897"/>
        </w:numPr>
        <w:tabs>
          <w:tab w:val="left" w:pos="1160"/>
        </w:tabs>
        <w:rPr>
          <w:b/>
          <w:sz w:val="21"/>
        </w:rPr>
      </w:pPr>
      <w:r>
        <w:rPr>
          <w:spacing w:val="-3"/>
          <w:sz w:val="21"/>
        </w:rPr>
        <w:t>内径</w:t>
      </w:r>
      <w:r>
        <w:rPr>
          <w:b/>
          <w:w w:val="99"/>
          <w:sz w:val="21"/>
        </w:rPr>
        <w:t xml:space="preserve"> </w:t>
      </w:r>
    </w:p>
    <w:p w14:paraId="7972B9F6" w14:textId="77777777" w:rsidR="00A71EEF" w:rsidRDefault="00A71EEF">
      <w:pPr>
        <w:pStyle w:val="a3"/>
        <w:rPr>
          <w:b/>
          <w:sz w:val="18"/>
        </w:rPr>
      </w:pPr>
    </w:p>
    <w:p w14:paraId="415501F0" w14:textId="77777777" w:rsidR="00A71EEF" w:rsidRDefault="0081115D">
      <w:pPr>
        <w:pStyle w:val="a3"/>
        <w:ind w:left="840"/>
      </w:pPr>
      <w:r>
        <w:t>水带内径的公称尺寸及公差应符合表</w:t>
      </w:r>
      <w:r>
        <w:t xml:space="preserve"> 1 </w:t>
      </w:r>
      <w:r>
        <w:t>的规定。</w:t>
      </w:r>
      <w:r>
        <w:t xml:space="preserve"> </w:t>
      </w:r>
    </w:p>
    <w:p w14:paraId="7538197E" w14:textId="77777777" w:rsidR="00A71EEF" w:rsidRDefault="00A71EEF">
      <w:pPr>
        <w:pStyle w:val="a3"/>
        <w:spacing w:before="2"/>
        <w:rPr>
          <w:sz w:val="18"/>
        </w:rPr>
      </w:pPr>
    </w:p>
    <w:p w14:paraId="0436F7A7" w14:textId="77777777" w:rsidR="00A71EEF" w:rsidRDefault="0081115D">
      <w:pPr>
        <w:pStyle w:val="6"/>
        <w:ind w:right="492"/>
        <w:jc w:val="center"/>
        <w:rPr>
          <w:b w:val="0"/>
        </w:rPr>
      </w:pPr>
      <w:r>
        <w:t>表</w:t>
      </w:r>
      <w:r>
        <w:t xml:space="preserve"> 1    </w:t>
      </w:r>
      <w:r>
        <w:t>单位为毫米</w:t>
      </w:r>
      <w:r>
        <w:rPr>
          <w:b w:val="0"/>
        </w:rPr>
        <w:t xml:space="preserve"> </w:t>
      </w:r>
    </w:p>
    <w:p w14:paraId="4BC78554" w14:textId="77777777" w:rsidR="00A71EEF" w:rsidRDefault="0081115D">
      <w:pPr>
        <w:pStyle w:val="a3"/>
        <w:spacing w:before="6"/>
        <w:rPr>
          <w:sz w:val="10"/>
        </w:rPr>
      </w:pPr>
      <w:r>
        <w:rPr>
          <w:noProof/>
        </w:rPr>
        <w:drawing>
          <wp:anchor distT="0" distB="0" distL="0" distR="0" simplePos="0" relativeHeight="251470336" behindDoc="0" locked="0" layoutInCell="1" allowOverlap="1" wp14:anchorId="6C942D89" wp14:editId="0BA3D151">
            <wp:simplePos x="0" y="0"/>
            <wp:positionH relativeFrom="page">
              <wp:posOffset>1360805</wp:posOffset>
            </wp:positionH>
            <wp:positionV relativeFrom="paragraph">
              <wp:posOffset>109934</wp:posOffset>
            </wp:positionV>
            <wp:extent cx="4774979" cy="2066925"/>
            <wp:effectExtent l="0" t="0" r="0" b="0"/>
            <wp:wrapTopAndBottom/>
            <wp:docPr id="49"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0.jpeg"/>
                    <pic:cNvPicPr/>
                  </pic:nvPicPr>
                  <pic:blipFill>
                    <a:blip r:embed="rId36" cstate="print"/>
                    <a:stretch>
                      <a:fillRect/>
                    </a:stretch>
                  </pic:blipFill>
                  <pic:spPr>
                    <a:xfrm>
                      <a:off x="0" y="0"/>
                      <a:ext cx="4774979" cy="2066925"/>
                    </a:xfrm>
                    <a:prstGeom prst="rect">
                      <a:avLst/>
                    </a:prstGeom>
                  </pic:spPr>
                </pic:pic>
              </a:graphicData>
            </a:graphic>
          </wp:anchor>
        </w:drawing>
      </w:r>
    </w:p>
    <w:p w14:paraId="4052C22E" w14:textId="77777777" w:rsidR="00A71EEF" w:rsidRDefault="0081115D">
      <w:pPr>
        <w:pStyle w:val="a4"/>
        <w:numPr>
          <w:ilvl w:val="1"/>
          <w:numId w:val="897"/>
        </w:numPr>
        <w:tabs>
          <w:tab w:val="left" w:pos="1160"/>
        </w:tabs>
        <w:spacing w:before="148"/>
        <w:rPr>
          <w:b/>
          <w:sz w:val="21"/>
        </w:rPr>
      </w:pPr>
      <w:r>
        <w:rPr>
          <w:spacing w:val="-3"/>
          <w:sz w:val="21"/>
        </w:rPr>
        <w:t>长度</w:t>
      </w:r>
      <w:r>
        <w:rPr>
          <w:b/>
          <w:w w:val="99"/>
          <w:sz w:val="21"/>
        </w:rPr>
        <w:t xml:space="preserve"> </w:t>
      </w:r>
    </w:p>
    <w:p w14:paraId="41F0304F" w14:textId="77777777" w:rsidR="00A71EEF" w:rsidRDefault="00A71EEF">
      <w:pPr>
        <w:pStyle w:val="a3"/>
        <w:spacing w:before="2"/>
        <w:rPr>
          <w:b/>
          <w:sz w:val="18"/>
        </w:rPr>
      </w:pPr>
    </w:p>
    <w:p w14:paraId="367A191F" w14:textId="77777777" w:rsidR="00A71EEF" w:rsidRDefault="0081115D">
      <w:pPr>
        <w:pStyle w:val="a3"/>
        <w:ind w:left="838"/>
      </w:pPr>
      <w:r>
        <w:t>水带的长度及尺寸公差应符合表</w:t>
      </w:r>
      <w:r>
        <w:t xml:space="preserve"> 2 </w:t>
      </w:r>
      <w:r>
        <w:t>的规定。</w:t>
      </w:r>
      <w:r>
        <w:t xml:space="preserve"> </w:t>
      </w:r>
    </w:p>
    <w:p w14:paraId="05228C9D" w14:textId="77777777" w:rsidR="00A71EEF" w:rsidRDefault="00A71EEF">
      <w:pPr>
        <w:sectPr w:rsidR="00A71EEF">
          <w:pgSz w:w="11910" w:h="16850"/>
          <w:pgMar w:top="1600" w:right="0" w:bottom="1420" w:left="1260" w:header="0" w:footer="1239" w:gutter="0"/>
          <w:cols w:space="720"/>
        </w:sectPr>
      </w:pPr>
    </w:p>
    <w:p w14:paraId="1979080D" w14:textId="77777777" w:rsidR="00A71EEF" w:rsidRDefault="0081115D">
      <w:pPr>
        <w:pStyle w:val="6"/>
        <w:spacing w:before="47"/>
        <w:ind w:right="914"/>
        <w:jc w:val="center"/>
      </w:pPr>
      <w:r>
        <w:rPr>
          <w:noProof/>
        </w:rPr>
        <w:lastRenderedPageBreak/>
        <w:drawing>
          <wp:anchor distT="0" distB="0" distL="0" distR="0" simplePos="0" relativeHeight="251471360" behindDoc="0" locked="0" layoutInCell="1" allowOverlap="1" wp14:anchorId="26A1BD4F" wp14:editId="25E851F9">
            <wp:simplePos x="0" y="0"/>
            <wp:positionH relativeFrom="page">
              <wp:posOffset>1267553</wp:posOffset>
            </wp:positionH>
            <wp:positionV relativeFrom="paragraph">
              <wp:posOffset>279780</wp:posOffset>
            </wp:positionV>
            <wp:extent cx="4933303" cy="1553527"/>
            <wp:effectExtent l="0" t="0" r="0" b="0"/>
            <wp:wrapTopAndBottom/>
            <wp:docPr id="51"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1.png"/>
                    <pic:cNvPicPr/>
                  </pic:nvPicPr>
                  <pic:blipFill>
                    <a:blip r:embed="rId37" cstate="print"/>
                    <a:stretch>
                      <a:fillRect/>
                    </a:stretch>
                  </pic:blipFill>
                  <pic:spPr>
                    <a:xfrm>
                      <a:off x="0" y="0"/>
                      <a:ext cx="4933303" cy="1553527"/>
                    </a:xfrm>
                    <a:prstGeom prst="rect">
                      <a:avLst/>
                    </a:prstGeom>
                  </pic:spPr>
                </pic:pic>
              </a:graphicData>
            </a:graphic>
          </wp:anchor>
        </w:drawing>
      </w:r>
      <w:r>
        <w:t>表</w:t>
      </w:r>
      <w:r>
        <w:t xml:space="preserve"> 2   </w:t>
      </w:r>
      <w:r>
        <w:t>单位为米</w:t>
      </w:r>
      <w:r>
        <w:rPr>
          <w:w w:val="99"/>
        </w:rPr>
        <w:t xml:space="preserve"> </w:t>
      </w:r>
    </w:p>
    <w:p w14:paraId="5336AA39" w14:textId="77777777" w:rsidR="00A71EEF" w:rsidRDefault="0081115D">
      <w:pPr>
        <w:pStyle w:val="a4"/>
        <w:numPr>
          <w:ilvl w:val="1"/>
          <w:numId w:val="897"/>
        </w:numPr>
        <w:tabs>
          <w:tab w:val="left" w:pos="1159"/>
        </w:tabs>
        <w:spacing w:before="177"/>
        <w:ind w:left="1158" w:hanging="319"/>
        <w:rPr>
          <w:sz w:val="21"/>
        </w:rPr>
      </w:pPr>
      <w:r>
        <w:rPr>
          <w:spacing w:val="-3"/>
          <w:sz w:val="21"/>
        </w:rPr>
        <w:t>设计工作压力、试验压力及最小爆破压力</w:t>
      </w:r>
      <w:r>
        <w:rPr>
          <w:sz w:val="21"/>
        </w:rPr>
        <w:t xml:space="preserve"> </w:t>
      </w:r>
    </w:p>
    <w:p w14:paraId="732D1BD4" w14:textId="77777777" w:rsidR="00A71EEF" w:rsidRDefault="00A71EEF">
      <w:pPr>
        <w:pStyle w:val="a3"/>
        <w:rPr>
          <w:sz w:val="18"/>
        </w:rPr>
      </w:pPr>
    </w:p>
    <w:p w14:paraId="24918D07" w14:textId="77777777" w:rsidR="00A71EEF" w:rsidRDefault="0081115D">
      <w:pPr>
        <w:pStyle w:val="a3"/>
        <w:spacing w:line="446" w:lineRule="auto"/>
        <w:ind w:left="418" w:right="1608" w:firstLine="419"/>
      </w:pPr>
      <w:r>
        <w:rPr>
          <w:spacing w:val="-6"/>
        </w:rPr>
        <w:t>水带的设计工作压力、试验压力应符合表</w:t>
      </w:r>
      <w:r>
        <w:rPr>
          <w:spacing w:val="-6"/>
        </w:rPr>
        <w:t xml:space="preserve"> </w:t>
      </w:r>
      <w:r>
        <w:t>3</w:t>
      </w:r>
      <w:r>
        <w:rPr>
          <w:spacing w:val="-10"/>
        </w:rPr>
        <w:t xml:space="preserve"> </w:t>
      </w:r>
      <w:r>
        <w:rPr>
          <w:spacing w:val="-10"/>
        </w:rPr>
        <w:t>的规定，最小爆破压力应不低于表</w:t>
      </w:r>
      <w:r>
        <w:rPr>
          <w:spacing w:val="-10"/>
        </w:rPr>
        <w:t xml:space="preserve"> </w:t>
      </w:r>
      <w:r>
        <w:t>3</w:t>
      </w:r>
      <w:r>
        <w:rPr>
          <w:spacing w:val="-11"/>
        </w:rPr>
        <w:t xml:space="preserve"> </w:t>
      </w:r>
      <w:r>
        <w:rPr>
          <w:spacing w:val="-11"/>
        </w:rPr>
        <w:t>的规定。</w:t>
      </w:r>
      <w:r>
        <w:rPr>
          <w:spacing w:val="-6"/>
        </w:rPr>
        <w:t>且水带在爆破时，不应出现经线断裂的情况。</w:t>
      </w:r>
      <w:r>
        <w:t xml:space="preserve"> </w:t>
      </w:r>
    </w:p>
    <w:p w14:paraId="7EDC0681" w14:textId="77777777" w:rsidR="00A71EEF" w:rsidRDefault="0081115D">
      <w:pPr>
        <w:pStyle w:val="6"/>
        <w:ind w:left="3627"/>
      </w:pPr>
      <w:r>
        <w:t>表</w:t>
      </w:r>
      <w:r>
        <w:t xml:space="preserve"> 3 </w:t>
      </w:r>
      <w:r>
        <w:t>单</w:t>
      </w:r>
      <w:r>
        <w:t xml:space="preserve"> </w:t>
      </w:r>
      <w:r>
        <w:t>位</w:t>
      </w:r>
      <w:r>
        <w:t xml:space="preserve"> </w:t>
      </w:r>
      <w:r>
        <w:t>为</w:t>
      </w:r>
      <w:r>
        <w:t xml:space="preserve"> </w:t>
      </w:r>
      <w:r>
        <w:t>兆</w:t>
      </w:r>
      <w:r>
        <w:t xml:space="preserve"> </w:t>
      </w:r>
      <w:r>
        <w:t>帕</w:t>
      </w:r>
      <w:r>
        <w:rPr>
          <w:w w:val="99"/>
        </w:rPr>
        <w:t xml:space="preserve"> </w:t>
      </w:r>
    </w:p>
    <w:p w14:paraId="59F26F35" w14:textId="77777777" w:rsidR="00A71EEF" w:rsidRDefault="0081115D">
      <w:pPr>
        <w:pStyle w:val="a3"/>
        <w:spacing w:before="10"/>
        <w:rPr>
          <w:b/>
          <w:sz w:val="8"/>
        </w:rPr>
      </w:pPr>
      <w:r>
        <w:rPr>
          <w:noProof/>
        </w:rPr>
        <w:drawing>
          <wp:anchor distT="0" distB="0" distL="0" distR="0" simplePos="0" relativeHeight="251472384" behindDoc="0" locked="0" layoutInCell="1" allowOverlap="1" wp14:anchorId="5C9D81DD" wp14:editId="218BF545">
            <wp:simplePos x="0" y="0"/>
            <wp:positionH relativeFrom="page">
              <wp:posOffset>1275080</wp:posOffset>
            </wp:positionH>
            <wp:positionV relativeFrom="paragraph">
              <wp:posOffset>96416</wp:posOffset>
            </wp:positionV>
            <wp:extent cx="5071055" cy="1829371"/>
            <wp:effectExtent l="0" t="0" r="0" b="0"/>
            <wp:wrapTopAndBottom/>
            <wp:docPr id="5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2.png"/>
                    <pic:cNvPicPr/>
                  </pic:nvPicPr>
                  <pic:blipFill>
                    <a:blip r:embed="rId38" cstate="print"/>
                    <a:stretch>
                      <a:fillRect/>
                    </a:stretch>
                  </pic:blipFill>
                  <pic:spPr>
                    <a:xfrm>
                      <a:off x="0" y="0"/>
                      <a:ext cx="5071055" cy="1829371"/>
                    </a:xfrm>
                    <a:prstGeom prst="rect">
                      <a:avLst/>
                    </a:prstGeom>
                  </pic:spPr>
                </pic:pic>
              </a:graphicData>
            </a:graphic>
          </wp:anchor>
        </w:drawing>
      </w:r>
    </w:p>
    <w:p w14:paraId="44A13745" w14:textId="77777777" w:rsidR="00A71EEF" w:rsidRDefault="0081115D">
      <w:pPr>
        <w:pStyle w:val="a4"/>
        <w:numPr>
          <w:ilvl w:val="1"/>
          <w:numId w:val="897"/>
        </w:numPr>
        <w:tabs>
          <w:tab w:val="left" w:pos="1160"/>
        </w:tabs>
        <w:spacing w:before="178"/>
        <w:rPr>
          <w:sz w:val="21"/>
        </w:rPr>
      </w:pPr>
      <w:r>
        <w:rPr>
          <w:spacing w:val="-3"/>
          <w:sz w:val="21"/>
        </w:rPr>
        <w:t>湿水带渗水量</w:t>
      </w:r>
      <w:r>
        <w:rPr>
          <w:sz w:val="21"/>
        </w:rPr>
        <w:t xml:space="preserve"> </w:t>
      </w:r>
    </w:p>
    <w:p w14:paraId="77D224EF" w14:textId="77777777" w:rsidR="00A71EEF" w:rsidRDefault="00A71EEF">
      <w:pPr>
        <w:pStyle w:val="a3"/>
        <w:spacing w:before="12"/>
        <w:rPr>
          <w:sz w:val="17"/>
        </w:rPr>
      </w:pPr>
    </w:p>
    <w:p w14:paraId="53DFE0FB" w14:textId="77777777" w:rsidR="00A71EEF" w:rsidRDefault="0081115D">
      <w:pPr>
        <w:pStyle w:val="a4"/>
        <w:numPr>
          <w:ilvl w:val="2"/>
          <w:numId w:val="897"/>
        </w:numPr>
        <w:tabs>
          <w:tab w:val="left" w:pos="1371"/>
        </w:tabs>
        <w:ind w:left="1370" w:hanging="531"/>
        <w:rPr>
          <w:sz w:val="21"/>
        </w:rPr>
      </w:pPr>
      <w:r>
        <w:rPr>
          <w:spacing w:val="-28"/>
          <w:sz w:val="21"/>
        </w:rPr>
        <w:t>在</w:t>
      </w:r>
      <w:r>
        <w:rPr>
          <w:spacing w:val="-28"/>
          <w:sz w:val="21"/>
        </w:rPr>
        <w:t xml:space="preserve"> </w:t>
      </w:r>
      <w:r>
        <w:rPr>
          <w:sz w:val="21"/>
        </w:rPr>
        <w:t>0.5MPa</w:t>
      </w:r>
      <w:r>
        <w:rPr>
          <w:spacing w:val="-11"/>
          <w:sz w:val="21"/>
        </w:rPr>
        <w:t xml:space="preserve"> </w:t>
      </w:r>
      <w:r>
        <w:rPr>
          <w:spacing w:val="-11"/>
          <w:sz w:val="21"/>
        </w:rPr>
        <w:t>水压下，湿水带表面应渗水均匀，无喷水现象，其</w:t>
      </w:r>
      <w:r>
        <w:rPr>
          <w:spacing w:val="-11"/>
          <w:sz w:val="21"/>
        </w:rPr>
        <w:t xml:space="preserve"> </w:t>
      </w:r>
      <w:r>
        <w:rPr>
          <w:sz w:val="21"/>
        </w:rPr>
        <w:t>1min</w:t>
      </w:r>
      <w:r>
        <w:rPr>
          <w:spacing w:val="-9"/>
          <w:sz w:val="21"/>
        </w:rPr>
        <w:t xml:space="preserve"> </w:t>
      </w:r>
      <w:r>
        <w:rPr>
          <w:spacing w:val="-9"/>
          <w:sz w:val="21"/>
        </w:rPr>
        <w:t>的渗水量应大于</w:t>
      </w:r>
    </w:p>
    <w:p w14:paraId="4EC6D646" w14:textId="77777777" w:rsidR="00A71EEF" w:rsidRDefault="00A71EEF">
      <w:pPr>
        <w:pStyle w:val="a3"/>
        <w:rPr>
          <w:sz w:val="18"/>
        </w:rPr>
      </w:pPr>
    </w:p>
    <w:p w14:paraId="3D171425" w14:textId="77777777" w:rsidR="00A71EEF" w:rsidRDefault="0081115D">
      <w:pPr>
        <w:pStyle w:val="a3"/>
        <w:ind w:left="418"/>
      </w:pPr>
      <w:r>
        <w:t>20mL/m·min</w:t>
      </w:r>
      <w:r>
        <w:t>。</w:t>
      </w:r>
      <w:r>
        <w:t xml:space="preserve"> </w:t>
      </w:r>
    </w:p>
    <w:p w14:paraId="396CABAE" w14:textId="77777777" w:rsidR="00A71EEF" w:rsidRDefault="00A71EEF">
      <w:pPr>
        <w:pStyle w:val="a3"/>
        <w:spacing w:before="2"/>
        <w:rPr>
          <w:sz w:val="18"/>
        </w:rPr>
      </w:pPr>
    </w:p>
    <w:p w14:paraId="1902FCB1" w14:textId="77777777" w:rsidR="00A71EEF" w:rsidRDefault="0081115D">
      <w:pPr>
        <w:pStyle w:val="a4"/>
        <w:numPr>
          <w:ilvl w:val="2"/>
          <w:numId w:val="897"/>
        </w:numPr>
        <w:tabs>
          <w:tab w:val="left" w:pos="1371"/>
        </w:tabs>
        <w:spacing w:line="446" w:lineRule="auto"/>
        <w:ind w:left="418" w:right="1709" w:firstLine="422"/>
        <w:rPr>
          <w:sz w:val="21"/>
        </w:rPr>
      </w:pPr>
      <w:r>
        <w:rPr>
          <w:spacing w:val="-6"/>
          <w:sz w:val="21"/>
        </w:rPr>
        <w:t>湿水带在设计工作压力下，应无喷水现象，其</w:t>
      </w:r>
      <w:r>
        <w:rPr>
          <w:spacing w:val="-6"/>
          <w:sz w:val="21"/>
        </w:rPr>
        <w:t xml:space="preserve"> </w:t>
      </w:r>
      <w:r>
        <w:rPr>
          <w:sz w:val="21"/>
        </w:rPr>
        <w:t>1min</w:t>
      </w:r>
      <w:r>
        <w:rPr>
          <w:spacing w:val="-13"/>
          <w:sz w:val="21"/>
        </w:rPr>
        <w:t xml:space="preserve"> </w:t>
      </w:r>
      <w:r>
        <w:rPr>
          <w:spacing w:val="-13"/>
          <w:sz w:val="21"/>
        </w:rPr>
        <w:t>的渗水量应不大于表</w:t>
      </w:r>
      <w:r>
        <w:rPr>
          <w:spacing w:val="-13"/>
          <w:sz w:val="21"/>
        </w:rPr>
        <w:t xml:space="preserve"> </w:t>
      </w:r>
      <w:r>
        <w:rPr>
          <w:sz w:val="21"/>
        </w:rPr>
        <w:t>4</w:t>
      </w:r>
      <w:r>
        <w:rPr>
          <w:spacing w:val="-13"/>
          <w:sz w:val="21"/>
        </w:rPr>
        <w:t xml:space="preserve"> </w:t>
      </w:r>
      <w:r>
        <w:rPr>
          <w:spacing w:val="-13"/>
          <w:sz w:val="21"/>
        </w:rPr>
        <w:t>的规定</w:t>
      </w:r>
      <w:r>
        <w:rPr>
          <w:spacing w:val="-8"/>
          <w:sz w:val="21"/>
        </w:rPr>
        <w:t>值。</w:t>
      </w:r>
      <w:r>
        <w:rPr>
          <w:sz w:val="21"/>
        </w:rPr>
        <w:t xml:space="preserve"> </w:t>
      </w:r>
    </w:p>
    <w:p w14:paraId="22A4DAE9" w14:textId="77777777" w:rsidR="00A71EEF" w:rsidRDefault="0081115D">
      <w:pPr>
        <w:pStyle w:val="6"/>
        <w:spacing w:line="267" w:lineRule="exact"/>
        <w:ind w:left="3310"/>
      </w:pPr>
      <w:r>
        <w:rPr>
          <w:noProof/>
        </w:rPr>
        <w:drawing>
          <wp:anchor distT="0" distB="0" distL="0" distR="0" simplePos="0" relativeHeight="251473408" behindDoc="0" locked="0" layoutInCell="1" allowOverlap="1" wp14:anchorId="114D26D2" wp14:editId="57D6F618">
            <wp:simplePos x="0" y="0"/>
            <wp:positionH relativeFrom="page">
              <wp:posOffset>1375179</wp:posOffset>
            </wp:positionH>
            <wp:positionV relativeFrom="paragraph">
              <wp:posOffset>216717</wp:posOffset>
            </wp:positionV>
            <wp:extent cx="5087112" cy="1498187"/>
            <wp:effectExtent l="0" t="0" r="0" b="0"/>
            <wp:wrapTopAndBottom/>
            <wp:docPr id="55"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3.png"/>
                    <pic:cNvPicPr/>
                  </pic:nvPicPr>
                  <pic:blipFill>
                    <a:blip r:embed="rId39" cstate="print"/>
                    <a:stretch>
                      <a:fillRect/>
                    </a:stretch>
                  </pic:blipFill>
                  <pic:spPr>
                    <a:xfrm>
                      <a:off x="0" y="0"/>
                      <a:ext cx="5087112" cy="1498187"/>
                    </a:xfrm>
                    <a:prstGeom prst="rect">
                      <a:avLst/>
                    </a:prstGeom>
                  </pic:spPr>
                </pic:pic>
              </a:graphicData>
            </a:graphic>
          </wp:anchor>
        </w:drawing>
      </w:r>
      <w:r>
        <w:t>表</w:t>
      </w:r>
      <w:r>
        <w:t xml:space="preserve"> 4 </w:t>
      </w:r>
      <w:r>
        <w:t>单位为毫升每米分钟</w:t>
      </w:r>
      <w:r>
        <w:rPr>
          <w:w w:val="99"/>
        </w:rPr>
        <w:t xml:space="preserve"> </w:t>
      </w:r>
    </w:p>
    <w:p w14:paraId="296ED07F" w14:textId="77777777" w:rsidR="00A71EEF" w:rsidRDefault="0081115D">
      <w:pPr>
        <w:pStyle w:val="a4"/>
        <w:numPr>
          <w:ilvl w:val="1"/>
          <w:numId w:val="897"/>
        </w:numPr>
        <w:tabs>
          <w:tab w:val="left" w:pos="1159"/>
        </w:tabs>
        <w:spacing w:before="174"/>
        <w:ind w:left="1158" w:hanging="319"/>
        <w:rPr>
          <w:sz w:val="21"/>
        </w:rPr>
      </w:pPr>
      <w:r>
        <w:rPr>
          <w:spacing w:val="-3"/>
          <w:sz w:val="21"/>
        </w:rPr>
        <w:t>单位长度质量</w:t>
      </w:r>
      <w:r>
        <w:rPr>
          <w:sz w:val="21"/>
        </w:rPr>
        <w:t xml:space="preserve"> </w:t>
      </w:r>
    </w:p>
    <w:p w14:paraId="1B41664A" w14:textId="77777777" w:rsidR="00A71EEF" w:rsidRDefault="00A71EEF">
      <w:pPr>
        <w:rPr>
          <w:sz w:val="21"/>
        </w:rPr>
        <w:sectPr w:rsidR="00A71EEF">
          <w:pgSz w:w="11910" w:h="16850"/>
          <w:pgMar w:top="1220" w:right="0" w:bottom="1420" w:left="1260" w:header="0" w:footer="1239" w:gutter="0"/>
          <w:cols w:space="720"/>
        </w:sectPr>
      </w:pPr>
    </w:p>
    <w:p w14:paraId="36FDE9AB" w14:textId="77777777" w:rsidR="00A71EEF" w:rsidRDefault="0081115D">
      <w:pPr>
        <w:pStyle w:val="a3"/>
        <w:spacing w:before="47"/>
        <w:ind w:left="838"/>
      </w:pPr>
      <w:r>
        <w:lastRenderedPageBreak/>
        <w:t>水带的单位长度质量不应超过表</w:t>
      </w:r>
      <w:r>
        <w:t xml:space="preserve"> 5 </w:t>
      </w:r>
      <w:r>
        <w:t>的规定。</w:t>
      </w:r>
      <w:r>
        <w:t xml:space="preserve"> </w:t>
      </w:r>
    </w:p>
    <w:p w14:paraId="45FA1538" w14:textId="77777777" w:rsidR="00A71EEF" w:rsidRDefault="00A71EEF">
      <w:pPr>
        <w:pStyle w:val="a3"/>
        <w:rPr>
          <w:sz w:val="18"/>
        </w:rPr>
      </w:pPr>
    </w:p>
    <w:p w14:paraId="260CE5DA" w14:textId="77777777" w:rsidR="00A71EEF" w:rsidRDefault="0081115D">
      <w:pPr>
        <w:pStyle w:val="6"/>
        <w:ind w:right="914"/>
        <w:jc w:val="center"/>
      </w:pPr>
      <w:r>
        <w:t>表</w:t>
      </w:r>
      <w:r>
        <w:t xml:space="preserve"> 5  </w:t>
      </w:r>
      <w:r>
        <w:t>单</w:t>
      </w:r>
      <w:r>
        <w:t xml:space="preserve"> </w:t>
      </w:r>
      <w:r>
        <w:t>位</w:t>
      </w:r>
      <w:r>
        <w:t xml:space="preserve"> </w:t>
      </w:r>
      <w:r>
        <w:t>为</w:t>
      </w:r>
      <w:r>
        <w:t xml:space="preserve"> </w:t>
      </w:r>
      <w:r>
        <w:t>克</w:t>
      </w:r>
      <w:r>
        <w:t xml:space="preserve"> </w:t>
      </w:r>
      <w:r>
        <w:t>每</w:t>
      </w:r>
      <w:r>
        <w:t xml:space="preserve"> </w:t>
      </w:r>
      <w:r>
        <w:t>米</w:t>
      </w:r>
      <w:r>
        <w:rPr>
          <w:w w:val="99"/>
        </w:rPr>
        <w:t xml:space="preserve"> </w:t>
      </w:r>
    </w:p>
    <w:p w14:paraId="57DAB43C" w14:textId="77777777" w:rsidR="00A71EEF" w:rsidRDefault="00A71EEF">
      <w:pPr>
        <w:pStyle w:val="a3"/>
        <w:rPr>
          <w:b/>
          <w:sz w:val="20"/>
        </w:rPr>
      </w:pPr>
    </w:p>
    <w:p w14:paraId="7C414C0B" w14:textId="77777777" w:rsidR="00A71EEF" w:rsidRDefault="00A71EEF">
      <w:pPr>
        <w:pStyle w:val="a3"/>
        <w:rPr>
          <w:b/>
          <w:sz w:val="20"/>
        </w:rPr>
      </w:pPr>
    </w:p>
    <w:p w14:paraId="700F3190" w14:textId="77777777" w:rsidR="00A71EEF" w:rsidRDefault="00A71EEF">
      <w:pPr>
        <w:pStyle w:val="a3"/>
        <w:rPr>
          <w:b/>
          <w:sz w:val="20"/>
        </w:rPr>
      </w:pPr>
    </w:p>
    <w:p w14:paraId="11ED4CFD" w14:textId="77777777" w:rsidR="00A71EEF" w:rsidRDefault="00A71EEF">
      <w:pPr>
        <w:pStyle w:val="a3"/>
        <w:rPr>
          <w:b/>
          <w:sz w:val="20"/>
        </w:rPr>
      </w:pPr>
    </w:p>
    <w:p w14:paraId="57AF3A22" w14:textId="77777777" w:rsidR="00A71EEF" w:rsidRDefault="00A71EEF">
      <w:pPr>
        <w:pStyle w:val="a3"/>
        <w:rPr>
          <w:b/>
          <w:sz w:val="20"/>
        </w:rPr>
      </w:pPr>
    </w:p>
    <w:p w14:paraId="78561B57" w14:textId="77777777" w:rsidR="00A71EEF" w:rsidRDefault="00A71EEF">
      <w:pPr>
        <w:pStyle w:val="a3"/>
        <w:rPr>
          <w:b/>
          <w:sz w:val="20"/>
        </w:rPr>
      </w:pPr>
    </w:p>
    <w:p w14:paraId="1A63D583" w14:textId="77777777" w:rsidR="00A71EEF" w:rsidRDefault="00A71EEF">
      <w:pPr>
        <w:pStyle w:val="a3"/>
        <w:rPr>
          <w:b/>
          <w:sz w:val="20"/>
        </w:rPr>
      </w:pPr>
    </w:p>
    <w:p w14:paraId="0302D4A4" w14:textId="77777777" w:rsidR="00A71EEF" w:rsidRDefault="00A71EEF">
      <w:pPr>
        <w:pStyle w:val="a3"/>
        <w:rPr>
          <w:b/>
          <w:sz w:val="20"/>
        </w:rPr>
      </w:pPr>
    </w:p>
    <w:p w14:paraId="1EA44716" w14:textId="77777777" w:rsidR="00A71EEF" w:rsidRDefault="00A71EEF">
      <w:pPr>
        <w:pStyle w:val="a3"/>
        <w:rPr>
          <w:b/>
          <w:sz w:val="20"/>
        </w:rPr>
      </w:pPr>
    </w:p>
    <w:p w14:paraId="1F47D09E" w14:textId="77777777" w:rsidR="00A71EEF" w:rsidRDefault="00A71EEF">
      <w:pPr>
        <w:pStyle w:val="a3"/>
        <w:rPr>
          <w:b/>
          <w:sz w:val="20"/>
        </w:rPr>
      </w:pPr>
    </w:p>
    <w:p w14:paraId="211AFBAB" w14:textId="77777777" w:rsidR="00A71EEF" w:rsidRDefault="00A71EEF">
      <w:pPr>
        <w:pStyle w:val="a3"/>
        <w:rPr>
          <w:b/>
          <w:sz w:val="20"/>
        </w:rPr>
      </w:pPr>
    </w:p>
    <w:p w14:paraId="2335806D" w14:textId="77777777" w:rsidR="00A71EEF" w:rsidRDefault="0081115D">
      <w:pPr>
        <w:pStyle w:val="a3"/>
        <w:spacing w:before="7"/>
        <w:rPr>
          <w:b/>
          <w:sz w:val="18"/>
        </w:rPr>
      </w:pPr>
      <w:r>
        <w:pict w14:anchorId="6CABCC36">
          <v:group id="_x0000_s1190" style="position:absolute;margin-left:71.15pt;margin-top:13.85pt;width:453.75pt;height:238pt;z-index:-251503104;mso-wrap-distance-left:0;mso-wrap-distance-right:0;mso-position-horizontal-relative:page" coordorigin="1423,277" coordsize="9075,4760">
            <v:shape id="_x0000_s1192" type="#_x0000_t75" style="position:absolute;left:1498;top:2591;width:8865;height:2445">
              <v:imagedata r:id="rId40" o:title=""/>
            </v:shape>
            <v:shape id="_x0000_s1191" type="#_x0000_t75" style="position:absolute;left:1423;top:276;width:9075;height:2310">
              <v:imagedata r:id="rId41" o:title=""/>
            </v:shape>
            <w10:wrap type="topAndBottom" anchorx="page"/>
          </v:group>
        </w:pict>
      </w:r>
    </w:p>
    <w:p w14:paraId="568C9D01" w14:textId="77777777" w:rsidR="00A71EEF" w:rsidRDefault="00A71EEF">
      <w:pPr>
        <w:pStyle w:val="a3"/>
        <w:spacing w:before="4"/>
        <w:rPr>
          <w:b/>
          <w:sz w:val="8"/>
        </w:rPr>
      </w:pPr>
    </w:p>
    <w:p w14:paraId="6B700D2C" w14:textId="77777777" w:rsidR="00A71EEF" w:rsidRDefault="0081115D">
      <w:pPr>
        <w:pStyle w:val="a4"/>
        <w:numPr>
          <w:ilvl w:val="1"/>
          <w:numId w:val="897"/>
        </w:numPr>
        <w:tabs>
          <w:tab w:val="left" w:pos="1159"/>
        </w:tabs>
        <w:spacing w:before="72"/>
        <w:ind w:left="1158" w:hanging="319"/>
        <w:rPr>
          <w:sz w:val="21"/>
        </w:rPr>
      </w:pPr>
      <w:r>
        <w:rPr>
          <w:spacing w:val="-3"/>
          <w:sz w:val="21"/>
        </w:rPr>
        <w:t>延伸率和膨胀率及扭转方向</w:t>
      </w:r>
      <w:r>
        <w:rPr>
          <w:sz w:val="21"/>
        </w:rPr>
        <w:t xml:space="preserve"> </w:t>
      </w:r>
    </w:p>
    <w:p w14:paraId="44B63AB5" w14:textId="77777777" w:rsidR="00A71EEF" w:rsidRDefault="00A71EEF">
      <w:pPr>
        <w:pStyle w:val="a3"/>
        <w:spacing w:before="12"/>
        <w:rPr>
          <w:sz w:val="17"/>
        </w:rPr>
      </w:pPr>
    </w:p>
    <w:p w14:paraId="1DF716FC" w14:textId="77777777" w:rsidR="00A71EEF" w:rsidRDefault="0081115D">
      <w:pPr>
        <w:pStyle w:val="a4"/>
        <w:numPr>
          <w:ilvl w:val="2"/>
          <w:numId w:val="897"/>
        </w:numPr>
        <w:tabs>
          <w:tab w:val="left" w:pos="1371"/>
        </w:tabs>
        <w:spacing w:line="448" w:lineRule="auto"/>
        <w:ind w:left="418" w:right="1501" w:firstLine="422"/>
        <w:rPr>
          <w:sz w:val="21"/>
        </w:rPr>
      </w:pPr>
      <w:r>
        <w:rPr>
          <w:spacing w:val="-9"/>
          <w:sz w:val="21"/>
        </w:rPr>
        <w:t>设计工作压力为</w:t>
      </w:r>
      <w:r>
        <w:rPr>
          <w:spacing w:val="-9"/>
          <w:sz w:val="21"/>
        </w:rPr>
        <w:t xml:space="preserve"> </w:t>
      </w:r>
      <w:r>
        <w:rPr>
          <w:sz w:val="21"/>
        </w:rPr>
        <w:t>0.8MPa</w:t>
      </w:r>
      <w:r>
        <w:rPr>
          <w:spacing w:val="-3"/>
          <w:sz w:val="21"/>
        </w:rPr>
        <w:t>、</w:t>
      </w:r>
      <w:r>
        <w:rPr>
          <w:sz w:val="21"/>
        </w:rPr>
        <w:t>1.0MPa</w:t>
      </w:r>
      <w:r>
        <w:rPr>
          <w:spacing w:val="-3"/>
          <w:sz w:val="21"/>
        </w:rPr>
        <w:t>、</w:t>
      </w:r>
      <w:r>
        <w:rPr>
          <w:sz w:val="21"/>
        </w:rPr>
        <w:t>1.3MPa</w:t>
      </w:r>
      <w:r>
        <w:rPr>
          <w:spacing w:val="-3"/>
          <w:sz w:val="21"/>
        </w:rPr>
        <w:t>、</w:t>
      </w:r>
      <w:r>
        <w:rPr>
          <w:sz w:val="21"/>
        </w:rPr>
        <w:t>1.6MPa</w:t>
      </w:r>
      <w:r>
        <w:rPr>
          <w:spacing w:val="-14"/>
          <w:sz w:val="21"/>
        </w:rPr>
        <w:t xml:space="preserve"> </w:t>
      </w:r>
      <w:r>
        <w:rPr>
          <w:spacing w:val="-14"/>
          <w:sz w:val="21"/>
        </w:rPr>
        <w:t>的水带</w:t>
      </w:r>
      <w:r>
        <w:rPr>
          <w:b/>
          <w:sz w:val="21"/>
        </w:rPr>
        <w:t>，</w:t>
      </w:r>
      <w:r>
        <w:rPr>
          <w:spacing w:val="-3"/>
          <w:sz w:val="21"/>
        </w:rPr>
        <w:t>在设计工作压力下其轴</w:t>
      </w:r>
      <w:r>
        <w:rPr>
          <w:spacing w:val="-7"/>
          <w:sz w:val="21"/>
        </w:rPr>
        <w:t>向延伸率和直径的膨胀率不应大于</w:t>
      </w:r>
      <w:r>
        <w:rPr>
          <w:spacing w:val="-7"/>
          <w:sz w:val="21"/>
        </w:rPr>
        <w:t xml:space="preserve"> </w:t>
      </w:r>
      <w:r>
        <w:rPr>
          <w:sz w:val="21"/>
        </w:rPr>
        <w:t>5</w:t>
      </w:r>
      <w:r>
        <w:rPr>
          <w:spacing w:val="-2"/>
          <w:sz w:val="21"/>
        </w:rPr>
        <w:t>％。</w:t>
      </w:r>
      <w:r>
        <w:rPr>
          <w:sz w:val="21"/>
        </w:rPr>
        <w:t xml:space="preserve"> </w:t>
      </w:r>
    </w:p>
    <w:p w14:paraId="2B39843C" w14:textId="77777777" w:rsidR="00A71EEF" w:rsidRDefault="0081115D">
      <w:pPr>
        <w:pStyle w:val="a4"/>
        <w:numPr>
          <w:ilvl w:val="2"/>
          <w:numId w:val="897"/>
        </w:numPr>
        <w:tabs>
          <w:tab w:val="left" w:pos="1370"/>
        </w:tabs>
        <w:spacing w:line="446" w:lineRule="auto"/>
        <w:ind w:left="418" w:right="1501" w:firstLine="422"/>
        <w:rPr>
          <w:sz w:val="21"/>
        </w:rPr>
      </w:pPr>
      <w:r>
        <w:rPr>
          <w:spacing w:val="-9"/>
          <w:sz w:val="21"/>
        </w:rPr>
        <w:t>设计工作压力为</w:t>
      </w:r>
      <w:r>
        <w:rPr>
          <w:spacing w:val="-9"/>
          <w:sz w:val="21"/>
        </w:rPr>
        <w:t xml:space="preserve"> </w:t>
      </w:r>
      <w:r>
        <w:rPr>
          <w:sz w:val="21"/>
        </w:rPr>
        <w:t>2.0MPa</w:t>
      </w:r>
      <w:r>
        <w:rPr>
          <w:spacing w:val="-3"/>
          <w:sz w:val="21"/>
        </w:rPr>
        <w:t>、</w:t>
      </w:r>
      <w:r>
        <w:rPr>
          <w:sz w:val="21"/>
        </w:rPr>
        <w:t>2.5MPa</w:t>
      </w:r>
      <w:r>
        <w:rPr>
          <w:spacing w:val="-8"/>
          <w:sz w:val="21"/>
        </w:rPr>
        <w:t xml:space="preserve"> </w:t>
      </w:r>
      <w:r>
        <w:rPr>
          <w:spacing w:val="-8"/>
          <w:sz w:val="21"/>
        </w:rPr>
        <w:t>的水带，在设计工作压力下其轴向延伸率和直径的</w:t>
      </w:r>
      <w:r>
        <w:rPr>
          <w:spacing w:val="-12"/>
          <w:sz w:val="21"/>
        </w:rPr>
        <w:t>膨胀率不应大于</w:t>
      </w:r>
      <w:r>
        <w:rPr>
          <w:spacing w:val="-12"/>
          <w:sz w:val="21"/>
        </w:rPr>
        <w:t xml:space="preserve"> </w:t>
      </w:r>
      <w:r>
        <w:rPr>
          <w:sz w:val="21"/>
        </w:rPr>
        <w:t>8</w:t>
      </w:r>
      <w:r>
        <w:rPr>
          <w:spacing w:val="-2"/>
          <w:sz w:val="21"/>
        </w:rPr>
        <w:t>％。</w:t>
      </w:r>
      <w:r>
        <w:rPr>
          <w:sz w:val="21"/>
        </w:rPr>
        <w:t xml:space="preserve"> </w:t>
      </w:r>
    </w:p>
    <w:p w14:paraId="5892BE99" w14:textId="77777777" w:rsidR="00A71EEF" w:rsidRDefault="0081115D">
      <w:pPr>
        <w:pStyle w:val="a4"/>
        <w:numPr>
          <w:ilvl w:val="2"/>
          <w:numId w:val="897"/>
        </w:numPr>
        <w:tabs>
          <w:tab w:val="left" w:pos="1370"/>
        </w:tabs>
        <w:ind w:hanging="530"/>
        <w:rPr>
          <w:sz w:val="21"/>
        </w:rPr>
      </w:pPr>
      <w:r>
        <w:rPr>
          <w:spacing w:val="-3"/>
          <w:sz w:val="21"/>
        </w:rPr>
        <w:t>水压作用下，沿水流方向看，水带不应产生逆时针扭转。</w:t>
      </w:r>
      <w:r>
        <w:rPr>
          <w:sz w:val="21"/>
        </w:rPr>
        <w:t xml:space="preserve"> </w:t>
      </w:r>
    </w:p>
    <w:p w14:paraId="10A6D465" w14:textId="77777777" w:rsidR="00A71EEF" w:rsidRDefault="00A71EEF">
      <w:pPr>
        <w:pStyle w:val="a3"/>
        <w:spacing w:before="7"/>
        <w:rPr>
          <w:sz w:val="17"/>
        </w:rPr>
      </w:pPr>
    </w:p>
    <w:p w14:paraId="6B2ECDE0" w14:textId="77777777" w:rsidR="00A71EEF" w:rsidRDefault="0081115D">
      <w:pPr>
        <w:pStyle w:val="a4"/>
        <w:numPr>
          <w:ilvl w:val="1"/>
          <w:numId w:val="897"/>
        </w:numPr>
        <w:tabs>
          <w:tab w:val="left" w:pos="1160"/>
        </w:tabs>
        <w:rPr>
          <w:b/>
          <w:sz w:val="21"/>
        </w:rPr>
      </w:pPr>
      <w:r>
        <w:rPr>
          <w:spacing w:val="-3"/>
          <w:sz w:val="21"/>
        </w:rPr>
        <w:t>可弯曲性</w:t>
      </w:r>
      <w:r>
        <w:rPr>
          <w:b/>
          <w:w w:val="99"/>
          <w:sz w:val="21"/>
        </w:rPr>
        <w:t xml:space="preserve"> </w:t>
      </w:r>
    </w:p>
    <w:p w14:paraId="7D9D0A80" w14:textId="77777777" w:rsidR="00A71EEF" w:rsidRDefault="00A71EEF">
      <w:pPr>
        <w:rPr>
          <w:sz w:val="21"/>
        </w:rPr>
        <w:sectPr w:rsidR="00A71EEF">
          <w:pgSz w:w="11910" w:h="16850"/>
          <w:pgMar w:top="1220" w:right="0" w:bottom="1420" w:left="1260" w:header="0" w:footer="1239" w:gutter="0"/>
          <w:cols w:space="720"/>
        </w:sectPr>
      </w:pPr>
    </w:p>
    <w:p w14:paraId="0CA8C1B8" w14:textId="77777777" w:rsidR="00A71EEF" w:rsidRDefault="0081115D">
      <w:pPr>
        <w:pStyle w:val="a3"/>
        <w:spacing w:before="47" w:line="446" w:lineRule="auto"/>
        <w:ind w:left="418" w:right="1503" w:firstLine="422"/>
      </w:pPr>
      <w:r>
        <w:rPr>
          <w:spacing w:val="-22"/>
        </w:rPr>
        <w:lastRenderedPageBreak/>
        <w:t>在</w:t>
      </w:r>
      <w:r>
        <w:rPr>
          <w:spacing w:val="-22"/>
        </w:rPr>
        <w:t xml:space="preserve"> </w:t>
      </w:r>
      <w:r>
        <w:t>0.8MPa</w:t>
      </w:r>
      <w:r>
        <w:rPr>
          <w:spacing w:val="-10"/>
        </w:rPr>
        <w:t xml:space="preserve"> </w:t>
      </w:r>
      <w:r>
        <w:rPr>
          <w:spacing w:val="-10"/>
        </w:rPr>
        <w:t>的水压下，将水带弯成外侧半径如表</w:t>
      </w:r>
      <w:r>
        <w:rPr>
          <w:spacing w:val="-10"/>
        </w:rPr>
        <w:t xml:space="preserve"> </w:t>
      </w:r>
      <w:r>
        <w:t>6</w:t>
      </w:r>
      <w:r>
        <w:rPr>
          <w:spacing w:val="-8"/>
        </w:rPr>
        <w:t xml:space="preserve"> </w:t>
      </w:r>
      <w:r>
        <w:rPr>
          <w:spacing w:val="-8"/>
        </w:rPr>
        <w:t>规定的圆弧，弯曲部分的内侧应无明显褶</w:t>
      </w:r>
      <w:r>
        <w:rPr>
          <w:spacing w:val="-6"/>
        </w:rPr>
        <w:t>皱。</w:t>
      </w:r>
      <w:r>
        <w:t xml:space="preserve"> </w:t>
      </w:r>
    </w:p>
    <w:p w14:paraId="411C7501" w14:textId="77777777" w:rsidR="00A71EEF" w:rsidRDefault="0081115D">
      <w:pPr>
        <w:pStyle w:val="6"/>
        <w:spacing w:line="267" w:lineRule="exact"/>
        <w:ind w:left="3627"/>
      </w:pPr>
      <w:r>
        <w:t>表</w:t>
      </w:r>
      <w:r>
        <w:t xml:space="preserve"> 6 </w:t>
      </w:r>
      <w:r>
        <w:t>单</w:t>
      </w:r>
      <w:r>
        <w:t xml:space="preserve"> </w:t>
      </w:r>
      <w:r>
        <w:t>位</w:t>
      </w:r>
      <w:r>
        <w:t xml:space="preserve"> </w:t>
      </w:r>
      <w:r>
        <w:t>为</w:t>
      </w:r>
      <w:r>
        <w:t xml:space="preserve"> </w:t>
      </w:r>
      <w:r>
        <w:t>毫</w:t>
      </w:r>
      <w:r>
        <w:t xml:space="preserve"> </w:t>
      </w:r>
      <w:r>
        <w:t>米</w:t>
      </w:r>
      <w:r>
        <w:rPr>
          <w:w w:val="99"/>
        </w:rPr>
        <w:t xml:space="preserve"> </w:t>
      </w:r>
    </w:p>
    <w:p w14:paraId="7BC173F0" w14:textId="77777777" w:rsidR="00A71EEF" w:rsidRDefault="0081115D">
      <w:pPr>
        <w:pStyle w:val="a3"/>
        <w:spacing w:before="8"/>
        <w:rPr>
          <w:b/>
          <w:sz w:val="9"/>
        </w:rPr>
      </w:pPr>
      <w:r>
        <w:rPr>
          <w:noProof/>
        </w:rPr>
        <w:drawing>
          <wp:anchor distT="0" distB="0" distL="0" distR="0" simplePos="0" relativeHeight="251474432" behindDoc="0" locked="0" layoutInCell="1" allowOverlap="1" wp14:anchorId="15C61720" wp14:editId="6B71E27E">
            <wp:simplePos x="0" y="0"/>
            <wp:positionH relativeFrom="page">
              <wp:posOffset>1205797</wp:posOffset>
            </wp:positionH>
            <wp:positionV relativeFrom="paragraph">
              <wp:posOffset>103084</wp:posOffset>
            </wp:positionV>
            <wp:extent cx="5145632" cy="2286000"/>
            <wp:effectExtent l="0" t="0" r="0" b="0"/>
            <wp:wrapTopAndBottom/>
            <wp:docPr id="57"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6.png"/>
                    <pic:cNvPicPr/>
                  </pic:nvPicPr>
                  <pic:blipFill>
                    <a:blip r:embed="rId42" cstate="print"/>
                    <a:stretch>
                      <a:fillRect/>
                    </a:stretch>
                  </pic:blipFill>
                  <pic:spPr>
                    <a:xfrm>
                      <a:off x="0" y="0"/>
                      <a:ext cx="5145632" cy="2286000"/>
                    </a:xfrm>
                    <a:prstGeom prst="rect">
                      <a:avLst/>
                    </a:prstGeom>
                  </pic:spPr>
                </pic:pic>
              </a:graphicData>
            </a:graphic>
          </wp:anchor>
        </w:drawing>
      </w:r>
    </w:p>
    <w:p w14:paraId="4789B074" w14:textId="77777777" w:rsidR="00A71EEF" w:rsidRDefault="0081115D">
      <w:pPr>
        <w:pStyle w:val="a4"/>
        <w:numPr>
          <w:ilvl w:val="1"/>
          <w:numId w:val="897"/>
        </w:numPr>
        <w:tabs>
          <w:tab w:val="left" w:pos="1159"/>
        </w:tabs>
        <w:spacing w:before="162"/>
        <w:ind w:left="1158" w:hanging="319"/>
        <w:rPr>
          <w:sz w:val="21"/>
        </w:rPr>
      </w:pPr>
      <w:r>
        <w:rPr>
          <w:spacing w:val="-3"/>
          <w:sz w:val="21"/>
        </w:rPr>
        <w:t>黏附性</w:t>
      </w:r>
      <w:r>
        <w:rPr>
          <w:sz w:val="21"/>
        </w:rPr>
        <w:t xml:space="preserve"> </w:t>
      </w:r>
    </w:p>
    <w:p w14:paraId="08432C22" w14:textId="77777777" w:rsidR="00A71EEF" w:rsidRDefault="00A71EEF">
      <w:pPr>
        <w:pStyle w:val="a3"/>
        <w:spacing w:before="2"/>
        <w:rPr>
          <w:sz w:val="18"/>
        </w:rPr>
      </w:pPr>
    </w:p>
    <w:p w14:paraId="1400CD9A" w14:textId="77777777" w:rsidR="00A71EEF" w:rsidRDefault="0081115D">
      <w:pPr>
        <w:pStyle w:val="a3"/>
        <w:spacing w:line="446" w:lineRule="auto"/>
        <w:ind w:left="840" w:right="3606" w:hanging="3"/>
        <w:rPr>
          <w:b/>
        </w:rPr>
      </w:pPr>
      <w:r>
        <w:t>按</w:t>
      </w:r>
      <w:r>
        <w:t xml:space="preserve"> 5.9 </w:t>
      </w:r>
      <w:r>
        <w:t>进行黏附性试验后，衬里（或外覆层）间不应有黏附现象。</w:t>
      </w:r>
      <w:r>
        <w:rPr>
          <w:b/>
        </w:rPr>
        <w:t xml:space="preserve">4.10 </w:t>
      </w:r>
      <w:r>
        <w:t>耐低温性能</w:t>
      </w:r>
      <w:r>
        <w:rPr>
          <w:b/>
          <w:w w:val="99"/>
        </w:rPr>
        <w:t xml:space="preserve"> </w:t>
      </w:r>
    </w:p>
    <w:p w14:paraId="7DDC37BA" w14:textId="77777777" w:rsidR="00A71EEF" w:rsidRDefault="0081115D">
      <w:pPr>
        <w:pStyle w:val="a4"/>
        <w:numPr>
          <w:ilvl w:val="2"/>
          <w:numId w:val="896"/>
        </w:numPr>
        <w:tabs>
          <w:tab w:val="left" w:pos="1478"/>
        </w:tabs>
        <w:spacing w:line="446" w:lineRule="auto"/>
        <w:ind w:right="1811" w:firstLine="422"/>
        <w:rPr>
          <w:sz w:val="21"/>
        </w:rPr>
      </w:pPr>
      <w:r>
        <w:rPr>
          <w:spacing w:val="-23"/>
          <w:sz w:val="21"/>
        </w:rPr>
        <w:t>按</w:t>
      </w:r>
      <w:r>
        <w:rPr>
          <w:spacing w:val="-23"/>
          <w:sz w:val="21"/>
        </w:rPr>
        <w:t xml:space="preserve"> </w:t>
      </w:r>
      <w:r>
        <w:rPr>
          <w:sz w:val="21"/>
        </w:rPr>
        <w:t>5.10</w:t>
      </w:r>
      <w:r>
        <w:rPr>
          <w:spacing w:val="-8"/>
          <w:sz w:val="21"/>
        </w:rPr>
        <w:t xml:space="preserve"> </w:t>
      </w:r>
      <w:r>
        <w:rPr>
          <w:spacing w:val="-8"/>
          <w:sz w:val="21"/>
        </w:rPr>
        <w:t>进行耐低温性能试验后，水带应能立即展开、无卷曲现象，并能再次卷</w:t>
      </w:r>
      <w:r>
        <w:rPr>
          <w:spacing w:val="-5"/>
          <w:sz w:val="21"/>
        </w:rPr>
        <w:t>紧，且在设计工作压力下无渗漏。</w:t>
      </w:r>
      <w:r>
        <w:rPr>
          <w:sz w:val="21"/>
        </w:rPr>
        <w:t xml:space="preserve"> </w:t>
      </w:r>
    </w:p>
    <w:p w14:paraId="0452CFE9" w14:textId="77777777" w:rsidR="00A71EEF" w:rsidRDefault="0081115D">
      <w:pPr>
        <w:pStyle w:val="a4"/>
        <w:numPr>
          <w:ilvl w:val="2"/>
          <w:numId w:val="896"/>
        </w:numPr>
        <w:tabs>
          <w:tab w:val="left" w:pos="1478"/>
        </w:tabs>
        <w:spacing w:line="446" w:lineRule="auto"/>
        <w:ind w:right="1602" w:firstLine="422"/>
        <w:rPr>
          <w:sz w:val="21"/>
        </w:rPr>
      </w:pPr>
      <w:r>
        <w:rPr>
          <w:spacing w:val="-22"/>
          <w:sz w:val="21"/>
        </w:rPr>
        <w:t>按</w:t>
      </w:r>
      <w:r>
        <w:rPr>
          <w:spacing w:val="-22"/>
          <w:sz w:val="21"/>
        </w:rPr>
        <w:t xml:space="preserve"> </w:t>
      </w:r>
      <w:r>
        <w:rPr>
          <w:sz w:val="21"/>
        </w:rPr>
        <w:t>5.10</w:t>
      </w:r>
      <w:r>
        <w:rPr>
          <w:spacing w:val="-8"/>
          <w:sz w:val="21"/>
        </w:rPr>
        <w:t xml:space="preserve"> </w:t>
      </w:r>
      <w:r>
        <w:rPr>
          <w:spacing w:val="-8"/>
          <w:sz w:val="21"/>
        </w:rPr>
        <w:t>进行耐低温性能试验后，湿水带应能立即展开、无卷曲现象，并能再次卷</w:t>
      </w:r>
      <w:r>
        <w:rPr>
          <w:spacing w:val="-5"/>
          <w:sz w:val="21"/>
        </w:rPr>
        <w:t>紧，且在设计工作压力下应无喷水现象。</w:t>
      </w:r>
      <w:r>
        <w:rPr>
          <w:sz w:val="21"/>
        </w:rPr>
        <w:t xml:space="preserve"> </w:t>
      </w:r>
    </w:p>
    <w:p w14:paraId="77FEE280" w14:textId="77777777" w:rsidR="00A71EEF" w:rsidRDefault="0081115D">
      <w:pPr>
        <w:pStyle w:val="a4"/>
        <w:numPr>
          <w:ilvl w:val="1"/>
          <w:numId w:val="895"/>
        </w:numPr>
        <w:tabs>
          <w:tab w:val="left" w:pos="1264"/>
        </w:tabs>
        <w:rPr>
          <w:sz w:val="21"/>
        </w:rPr>
      </w:pPr>
      <w:r>
        <w:rPr>
          <w:spacing w:val="-2"/>
          <w:sz w:val="21"/>
        </w:rPr>
        <w:t>衬里</w:t>
      </w:r>
      <w:r>
        <w:rPr>
          <w:spacing w:val="-3"/>
          <w:sz w:val="21"/>
        </w:rPr>
        <w:t>（或外覆层</w:t>
      </w:r>
      <w:r>
        <w:rPr>
          <w:sz w:val="21"/>
        </w:rPr>
        <w:t>）</w:t>
      </w:r>
      <w:r>
        <w:rPr>
          <w:spacing w:val="-3"/>
          <w:sz w:val="21"/>
        </w:rPr>
        <w:t>物理力学性能</w:t>
      </w:r>
      <w:r>
        <w:rPr>
          <w:sz w:val="21"/>
        </w:rPr>
        <w:t xml:space="preserve"> </w:t>
      </w:r>
    </w:p>
    <w:p w14:paraId="084445EF" w14:textId="77777777" w:rsidR="00A71EEF" w:rsidRDefault="00A71EEF">
      <w:pPr>
        <w:pStyle w:val="a3"/>
        <w:spacing w:before="10"/>
        <w:rPr>
          <w:sz w:val="17"/>
        </w:rPr>
      </w:pPr>
    </w:p>
    <w:p w14:paraId="3E3B97FF" w14:textId="77777777" w:rsidR="00A71EEF" w:rsidRDefault="0081115D">
      <w:pPr>
        <w:pStyle w:val="a4"/>
        <w:numPr>
          <w:ilvl w:val="2"/>
          <w:numId w:val="895"/>
        </w:numPr>
        <w:tabs>
          <w:tab w:val="left" w:pos="1478"/>
        </w:tabs>
        <w:ind w:hanging="638"/>
        <w:rPr>
          <w:sz w:val="21"/>
        </w:rPr>
      </w:pPr>
      <w:r>
        <w:rPr>
          <w:spacing w:val="-3"/>
          <w:sz w:val="21"/>
        </w:rPr>
        <w:t>附着强度</w:t>
      </w:r>
      <w:r>
        <w:rPr>
          <w:sz w:val="21"/>
        </w:rPr>
        <w:t xml:space="preserve"> </w:t>
      </w:r>
    </w:p>
    <w:p w14:paraId="0F42F7FE" w14:textId="77777777" w:rsidR="00A71EEF" w:rsidRDefault="00A71EEF">
      <w:pPr>
        <w:pStyle w:val="a3"/>
        <w:rPr>
          <w:sz w:val="18"/>
        </w:rPr>
      </w:pPr>
    </w:p>
    <w:p w14:paraId="17308366" w14:textId="77777777" w:rsidR="00A71EEF" w:rsidRDefault="0081115D">
      <w:pPr>
        <w:pStyle w:val="a3"/>
        <w:spacing w:line="446" w:lineRule="auto"/>
        <w:ind w:left="840" w:right="3344" w:hanging="3"/>
      </w:pPr>
      <w:r>
        <w:t>水带织物层与衬里（或外覆层）之间的附着强度不应低于</w:t>
      </w:r>
      <w:r>
        <w:t xml:space="preserve"> 20N/25mm</w:t>
      </w:r>
      <w:r>
        <w:t>。</w:t>
      </w:r>
      <w:r>
        <w:rPr>
          <w:b/>
        </w:rPr>
        <w:t xml:space="preserve">4.11.2 </w:t>
      </w:r>
      <w:r>
        <w:t>扯断伸长率和扯断强度</w:t>
      </w:r>
      <w:r>
        <w:t xml:space="preserve"> </w:t>
      </w:r>
    </w:p>
    <w:p w14:paraId="3B2D9567" w14:textId="77777777" w:rsidR="00A71EEF" w:rsidRDefault="0081115D">
      <w:pPr>
        <w:pStyle w:val="a3"/>
        <w:spacing w:line="446" w:lineRule="auto"/>
        <w:ind w:left="840" w:right="3503" w:hanging="3"/>
      </w:pPr>
      <w:r>
        <w:t>水带衬里的扯断伸长率应不小于</w:t>
      </w:r>
      <w:r>
        <w:t xml:space="preserve"> 280</w:t>
      </w:r>
      <w:r>
        <w:t>％，扯断强度应不小于</w:t>
      </w:r>
      <w:r>
        <w:t xml:space="preserve"> 12MPa</w:t>
      </w:r>
      <w:r>
        <w:t>。</w:t>
      </w:r>
      <w:r>
        <w:rPr>
          <w:b/>
        </w:rPr>
        <w:t xml:space="preserve">4.11.3 </w:t>
      </w:r>
      <w:r>
        <w:t>热空气老化性能</w:t>
      </w:r>
      <w:r>
        <w:t xml:space="preserve"> </w:t>
      </w:r>
    </w:p>
    <w:p w14:paraId="5EC976D8" w14:textId="77777777" w:rsidR="00A71EEF" w:rsidRDefault="0081115D">
      <w:pPr>
        <w:pStyle w:val="a3"/>
        <w:spacing w:line="446" w:lineRule="auto"/>
        <w:ind w:left="418" w:right="1505" w:firstLine="419"/>
      </w:pPr>
      <w:r>
        <w:rPr>
          <w:spacing w:val="-18"/>
        </w:rPr>
        <w:t>按</w:t>
      </w:r>
      <w:r>
        <w:rPr>
          <w:spacing w:val="-18"/>
        </w:rPr>
        <w:t xml:space="preserve"> </w:t>
      </w:r>
      <w:r>
        <w:t>5.11.3</w:t>
      </w:r>
      <w:r>
        <w:rPr>
          <w:spacing w:val="-8"/>
        </w:rPr>
        <w:t xml:space="preserve"> </w:t>
      </w:r>
      <w:r>
        <w:rPr>
          <w:spacing w:val="-8"/>
        </w:rPr>
        <w:t>进行热空气老化试验后，水带的爆破压力和衬里</w:t>
      </w:r>
      <w:r>
        <w:t>（</w:t>
      </w:r>
      <w:r>
        <w:rPr>
          <w:spacing w:val="-3"/>
        </w:rPr>
        <w:t>或外覆层）的附着强度不应低</w:t>
      </w:r>
      <w:r>
        <w:rPr>
          <w:spacing w:val="-9"/>
        </w:rPr>
        <w:t>于老化前测定值的</w:t>
      </w:r>
      <w:r>
        <w:rPr>
          <w:spacing w:val="-9"/>
        </w:rPr>
        <w:t xml:space="preserve"> </w:t>
      </w:r>
      <w:r>
        <w:t>75</w:t>
      </w:r>
      <w:r>
        <w:t>％。</w:t>
      </w:r>
      <w:r>
        <w:t xml:space="preserve"> </w:t>
      </w:r>
    </w:p>
    <w:p w14:paraId="71E121EB" w14:textId="77777777" w:rsidR="00A71EEF" w:rsidRDefault="0081115D">
      <w:pPr>
        <w:pStyle w:val="a4"/>
        <w:numPr>
          <w:ilvl w:val="1"/>
          <w:numId w:val="895"/>
        </w:numPr>
        <w:tabs>
          <w:tab w:val="left" w:pos="1264"/>
        </w:tabs>
        <w:spacing w:line="267" w:lineRule="exact"/>
        <w:rPr>
          <w:sz w:val="21"/>
        </w:rPr>
      </w:pPr>
      <w:r>
        <w:rPr>
          <w:spacing w:val="-3"/>
          <w:sz w:val="21"/>
        </w:rPr>
        <w:t>耐磨性能</w:t>
      </w:r>
      <w:r>
        <w:rPr>
          <w:sz w:val="21"/>
        </w:rPr>
        <w:t xml:space="preserve"> </w:t>
      </w:r>
    </w:p>
    <w:p w14:paraId="64DF3253" w14:textId="77777777" w:rsidR="00A71EEF" w:rsidRDefault="0081115D">
      <w:pPr>
        <w:pStyle w:val="a3"/>
        <w:spacing w:before="1" w:line="500" w:lineRule="atLeast"/>
        <w:ind w:left="840" w:right="2242" w:hanging="3"/>
        <w:rPr>
          <w:b/>
        </w:rPr>
      </w:pPr>
      <w:r>
        <w:t>按</w:t>
      </w:r>
      <w:r>
        <w:t xml:space="preserve"> 5.12 </w:t>
      </w:r>
      <w:r>
        <w:t>进行耐磨试验后，水带在相应的设计工作压力下，不应发生渗漏或破裂。</w:t>
      </w:r>
      <w:r>
        <w:rPr>
          <w:b/>
        </w:rPr>
        <w:t xml:space="preserve">4.13 </w:t>
      </w:r>
      <w:r>
        <w:t>水带与消防接口连接性能</w:t>
      </w:r>
      <w:r>
        <w:rPr>
          <w:b/>
          <w:w w:val="99"/>
        </w:rPr>
        <w:t xml:space="preserve"> </w:t>
      </w:r>
    </w:p>
    <w:p w14:paraId="619A8107" w14:textId="77777777" w:rsidR="00A71EEF" w:rsidRDefault="00A71EEF">
      <w:pPr>
        <w:spacing w:line="500" w:lineRule="atLeast"/>
        <w:sectPr w:rsidR="00A71EEF">
          <w:pgSz w:w="11910" w:h="16850"/>
          <w:pgMar w:top="1220" w:right="0" w:bottom="1420" w:left="1260" w:header="0" w:footer="1239" w:gutter="0"/>
          <w:cols w:space="720"/>
        </w:sectPr>
      </w:pPr>
    </w:p>
    <w:p w14:paraId="7F54D270" w14:textId="77777777" w:rsidR="00A71EEF" w:rsidRDefault="0081115D">
      <w:pPr>
        <w:pStyle w:val="a3"/>
        <w:spacing w:before="47" w:line="446" w:lineRule="auto"/>
        <w:ind w:left="418" w:right="1508" w:firstLine="419"/>
      </w:pPr>
      <w:r>
        <w:rPr>
          <w:spacing w:val="-7"/>
        </w:rPr>
        <w:lastRenderedPageBreak/>
        <w:t>水带与消防接口连接，按</w:t>
      </w:r>
      <w:r>
        <w:rPr>
          <w:spacing w:val="-7"/>
        </w:rPr>
        <w:t xml:space="preserve"> </w:t>
      </w:r>
      <w:r>
        <w:t>5.13</w:t>
      </w:r>
      <w:r>
        <w:rPr>
          <w:spacing w:val="-12"/>
        </w:rPr>
        <w:t xml:space="preserve"> </w:t>
      </w:r>
      <w:r>
        <w:rPr>
          <w:spacing w:val="-12"/>
        </w:rPr>
        <w:t>进行水压试验，在表</w:t>
      </w:r>
      <w:r>
        <w:rPr>
          <w:spacing w:val="-12"/>
        </w:rPr>
        <w:t xml:space="preserve"> </w:t>
      </w:r>
      <w:r>
        <w:t>3</w:t>
      </w:r>
      <w:r>
        <w:rPr>
          <w:spacing w:val="-8"/>
        </w:rPr>
        <w:t xml:space="preserve"> </w:t>
      </w:r>
      <w:r>
        <w:rPr>
          <w:spacing w:val="-8"/>
        </w:rPr>
        <w:t>规定的相应的试验压力下，水带与消</w:t>
      </w:r>
      <w:r>
        <w:rPr>
          <w:spacing w:val="-5"/>
        </w:rPr>
        <w:t>防接口连接处不应发生渗漏、爆破或滑脱。</w:t>
      </w:r>
      <w:r>
        <w:t xml:space="preserve"> </w:t>
      </w:r>
    </w:p>
    <w:p w14:paraId="741A1E47" w14:textId="77777777" w:rsidR="00A71EEF" w:rsidRDefault="0081115D">
      <w:pPr>
        <w:pStyle w:val="4"/>
        <w:spacing w:line="275" w:lineRule="exact"/>
      </w:pPr>
      <w:r>
        <w:t xml:space="preserve">5 </w:t>
      </w:r>
      <w:r>
        <w:t>试验方法</w:t>
      </w:r>
      <w:r>
        <w:rPr>
          <w:w w:val="99"/>
        </w:rPr>
        <w:t xml:space="preserve"> </w:t>
      </w:r>
    </w:p>
    <w:p w14:paraId="290872EB" w14:textId="77777777" w:rsidR="00A71EEF" w:rsidRDefault="00A71EEF">
      <w:pPr>
        <w:pStyle w:val="a3"/>
        <w:spacing w:before="6"/>
        <w:rPr>
          <w:b/>
          <w:sz w:val="17"/>
        </w:rPr>
      </w:pPr>
    </w:p>
    <w:p w14:paraId="442D7537" w14:textId="77777777" w:rsidR="00A71EEF" w:rsidRDefault="0081115D">
      <w:pPr>
        <w:pStyle w:val="a4"/>
        <w:numPr>
          <w:ilvl w:val="1"/>
          <w:numId w:val="894"/>
        </w:numPr>
        <w:tabs>
          <w:tab w:val="left" w:pos="1159"/>
        </w:tabs>
        <w:spacing w:before="1"/>
        <w:ind w:hanging="319"/>
        <w:rPr>
          <w:b/>
          <w:sz w:val="21"/>
        </w:rPr>
      </w:pPr>
      <w:r>
        <w:rPr>
          <w:spacing w:val="-3"/>
          <w:sz w:val="21"/>
        </w:rPr>
        <w:t>外观质量检查</w:t>
      </w:r>
      <w:r>
        <w:rPr>
          <w:b/>
          <w:w w:val="99"/>
          <w:sz w:val="21"/>
        </w:rPr>
        <w:t xml:space="preserve"> </w:t>
      </w:r>
    </w:p>
    <w:p w14:paraId="1EF6A2A3" w14:textId="77777777" w:rsidR="00A71EEF" w:rsidRDefault="00A71EEF">
      <w:pPr>
        <w:pStyle w:val="a3"/>
        <w:spacing w:before="12"/>
        <w:rPr>
          <w:b/>
          <w:sz w:val="17"/>
        </w:rPr>
      </w:pPr>
    </w:p>
    <w:p w14:paraId="76CA1104" w14:textId="77777777" w:rsidR="00A71EEF" w:rsidRDefault="0081115D">
      <w:pPr>
        <w:pStyle w:val="a4"/>
        <w:numPr>
          <w:ilvl w:val="2"/>
          <w:numId w:val="894"/>
        </w:numPr>
        <w:tabs>
          <w:tab w:val="left" w:pos="1371"/>
        </w:tabs>
        <w:rPr>
          <w:sz w:val="21"/>
        </w:rPr>
      </w:pPr>
      <w:r>
        <w:rPr>
          <w:spacing w:val="-3"/>
          <w:sz w:val="21"/>
        </w:rPr>
        <w:t>编织层外观检查</w:t>
      </w:r>
      <w:r>
        <w:rPr>
          <w:sz w:val="21"/>
        </w:rPr>
        <w:t xml:space="preserve"> </w:t>
      </w:r>
    </w:p>
    <w:p w14:paraId="40FBC36F" w14:textId="77777777" w:rsidR="00A71EEF" w:rsidRDefault="00A71EEF">
      <w:pPr>
        <w:pStyle w:val="a3"/>
        <w:spacing w:before="12"/>
        <w:rPr>
          <w:sz w:val="17"/>
        </w:rPr>
      </w:pPr>
    </w:p>
    <w:p w14:paraId="15855244" w14:textId="77777777" w:rsidR="00A71EEF" w:rsidRDefault="0081115D">
      <w:pPr>
        <w:pStyle w:val="a3"/>
        <w:spacing w:line="446" w:lineRule="auto"/>
        <w:ind w:left="840" w:right="4239" w:hanging="3"/>
      </w:pPr>
      <w:r>
        <w:t>将试样展开铺平后，目测检查，判断是否符合</w:t>
      </w:r>
      <w:r>
        <w:t xml:space="preserve"> 4.1.1 </w:t>
      </w:r>
      <w:r>
        <w:t>规定。</w:t>
      </w:r>
      <w:r>
        <w:rPr>
          <w:b/>
        </w:rPr>
        <w:t xml:space="preserve">5.1.2 </w:t>
      </w:r>
      <w:r>
        <w:t>衬里（或外覆层）质量检查</w:t>
      </w:r>
      <w:r>
        <w:t xml:space="preserve"> </w:t>
      </w:r>
    </w:p>
    <w:p w14:paraId="36B1C57C" w14:textId="77777777" w:rsidR="00A71EEF" w:rsidRDefault="0081115D">
      <w:pPr>
        <w:pStyle w:val="a3"/>
        <w:spacing w:before="1" w:line="446" w:lineRule="auto"/>
        <w:ind w:left="840" w:right="3925" w:hanging="3"/>
      </w:pPr>
      <w:r>
        <w:rPr>
          <w:spacing w:val="-11"/>
        </w:rPr>
        <w:t>任意剖开</w:t>
      </w:r>
      <w:r>
        <w:rPr>
          <w:spacing w:val="-11"/>
        </w:rPr>
        <w:t xml:space="preserve"> </w:t>
      </w:r>
      <w:r>
        <w:t>1m</w:t>
      </w:r>
      <w:r>
        <w:rPr>
          <w:spacing w:val="-11"/>
        </w:rPr>
        <w:t xml:space="preserve"> </w:t>
      </w:r>
      <w:r>
        <w:rPr>
          <w:spacing w:val="-11"/>
        </w:rPr>
        <w:t>长的试样，目测检查，判断是否符合</w:t>
      </w:r>
      <w:r>
        <w:rPr>
          <w:spacing w:val="-11"/>
        </w:rPr>
        <w:t xml:space="preserve"> </w:t>
      </w:r>
      <w:r>
        <w:t>4.1.2</w:t>
      </w:r>
      <w:r>
        <w:rPr>
          <w:spacing w:val="-15"/>
        </w:rPr>
        <w:t xml:space="preserve"> </w:t>
      </w:r>
      <w:r>
        <w:rPr>
          <w:spacing w:val="-15"/>
        </w:rPr>
        <w:t>规定。</w:t>
      </w:r>
      <w:r>
        <w:rPr>
          <w:b/>
        </w:rPr>
        <w:t xml:space="preserve">5.2 </w:t>
      </w:r>
      <w:r>
        <w:rPr>
          <w:spacing w:val="-3"/>
        </w:rPr>
        <w:t>内径测量</w:t>
      </w:r>
      <w:r>
        <w:t xml:space="preserve"> </w:t>
      </w:r>
    </w:p>
    <w:p w14:paraId="5CF1E429" w14:textId="77777777" w:rsidR="00A71EEF" w:rsidRDefault="0081115D">
      <w:pPr>
        <w:pStyle w:val="a4"/>
        <w:numPr>
          <w:ilvl w:val="2"/>
          <w:numId w:val="893"/>
        </w:numPr>
        <w:tabs>
          <w:tab w:val="left" w:pos="1370"/>
        </w:tabs>
        <w:ind w:hanging="530"/>
        <w:rPr>
          <w:sz w:val="21"/>
        </w:rPr>
      </w:pPr>
      <w:r>
        <w:rPr>
          <w:spacing w:val="-6"/>
          <w:sz w:val="21"/>
        </w:rPr>
        <w:t>用塞规测量试样的内径。塞规用金属制成，如图</w:t>
      </w:r>
      <w:r>
        <w:rPr>
          <w:spacing w:val="-6"/>
          <w:sz w:val="21"/>
        </w:rPr>
        <w:t xml:space="preserve"> </w:t>
      </w:r>
      <w:r>
        <w:rPr>
          <w:sz w:val="21"/>
        </w:rPr>
        <w:t>1</w:t>
      </w:r>
      <w:r>
        <w:rPr>
          <w:spacing w:val="-12"/>
          <w:sz w:val="21"/>
        </w:rPr>
        <w:t xml:space="preserve"> </w:t>
      </w:r>
      <w:r>
        <w:rPr>
          <w:spacing w:val="-12"/>
          <w:sz w:val="21"/>
        </w:rPr>
        <w:t>所示的结构，其尺寸和公差按表</w:t>
      </w:r>
      <w:r>
        <w:rPr>
          <w:spacing w:val="-12"/>
          <w:sz w:val="21"/>
        </w:rPr>
        <w:t xml:space="preserve"> </w:t>
      </w:r>
      <w:r>
        <w:rPr>
          <w:sz w:val="21"/>
        </w:rPr>
        <w:t>7</w:t>
      </w:r>
    </w:p>
    <w:p w14:paraId="46CAE8FD" w14:textId="77777777" w:rsidR="00A71EEF" w:rsidRDefault="00A71EEF">
      <w:pPr>
        <w:pStyle w:val="a3"/>
        <w:spacing w:before="12"/>
        <w:rPr>
          <w:sz w:val="17"/>
        </w:rPr>
      </w:pPr>
    </w:p>
    <w:p w14:paraId="7159018E" w14:textId="77777777" w:rsidR="00A71EEF" w:rsidRDefault="0081115D">
      <w:pPr>
        <w:pStyle w:val="a3"/>
        <w:ind w:left="418"/>
      </w:pPr>
      <w:r>
        <w:t>规定，工作部分的表面粗糙度</w:t>
      </w:r>
      <w:r>
        <w:t xml:space="preserve"> Ra </w:t>
      </w:r>
      <w:r>
        <w:t>为</w:t>
      </w:r>
      <w:r>
        <w:t xml:space="preserve"> 1.60</w:t>
      </w:r>
      <w:r>
        <w:t>。</w:t>
      </w:r>
      <w:r>
        <w:t xml:space="preserve"> </w:t>
      </w:r>
    </w:p>
    <w:p w14:paraId="7E9DA802" w14:textId="77777777" w:rsidR="00A71EEF" w:rsidRDefault="00A71EEF">
      <w:pPr>
        <w:pStyle w:val="a3"/>
        <w:spacing w:before="12"/>
        <w:rPr>
          <w:sz w:val="17"/>
        </w:rPr>
      </w:pPr>
    </w:p>
    <w:p w14:paraId="014345A6" w14:textId="77777777" w:rsidR="00A71EEF" w:rsidRDefault="0081115D">
      <w:pPr>
        <w:pStyle w:val="a4"/>
        <w:numPr>
          <w:ilvl w:val="2"/>
          <w:numId w:val="893"/>
        </w:numPr>
        <w:tabs>
          <w:tab w:val="left" w:pos="1370"/>
        </w:tabs>
        <w:ind w:hanging="530"/>
        <w:rPr>
          <w:sz w:val="21"/>
        </w:rPr>
      </w:pPr>
      <w:r>
        <w:rPr>
          <w:spacing w:val="-3"/>
          <w:sz w:val="21"/>
        </w:rPr>
        <w:t>测量时，先将试样两端剪切平齐，然后用塞规测其两端内径。</w:t>
      </w:r>
      <w:r>
        <w:rPr>
          <w:sz w:val="21"/>
        </w:rPr>
        <w:t xml:space="preserve"> </w:t>
      </w:r>
    </w:p>
    <w:p w14:paraId="0CD39A98" w14:textId="77777777" w:rsidR="00A71EEF" w:rsidRDefault="00A71EEF">
      <w:pPr>
        <w:pStyle w:val="a3"/>
        <w:spacing w:before="2"/>
        <w:rPr>
          <w:sz w:val="18"/>
        </w:rPr>
      </w:pPr>
    </w:p>
    <w:p w14:paraId="2CDE6FEB" w14:textId="77777777" w:rsidR="00A71EEF" w:rsidRDefault="0081115D">
      <w:pPr>
        <w:pStyle w:val="a4"/>
        <w:numPr>
          <w:ilvl w:val="1"/>
          <w:numId w:val="892"/>
        </w:numPr>
        <w:tabs>
          <w:tab w:val="left" w:pos="1159"/>
        </w:tabs>
        <w:ind w:hanging="319"/>
        <w:rPr>
          <w:sz w:val="21"/>
        </w:rPr>
      </w:pPr>
      <w:r>
        <w:rPr>
          <w:spacing w:val="-3"/>
          <w:sz w:val="21"/>
        </w:rPr>
        <w:t>长度测量</w:t>
      </w:r>
      <w:r>
        <w:rPr>
          <w:sz w:val="21"/>
        </w:rPr>
        <w:t xml:space="preserve"> </w:t>
      </w:r>
    </w:p>
    <w:p w14:paraId="6C786046" w14:textId="77777777" w:rsidR="00A71EEF" w:rsidRDefault="00A71EEF">
      <w:pPr>
        <w:pStyle w:val="a3"/>
        <w:rPr>
          <w:sz w:val="18"/>
        </w:rPr>
      </w:pPr>
    </w:p>
    <w:p w14:paraId="61125414" w14:textId="77777777" w:rsidR="00A71EEF" w:rsidRDefault="0081115D">
      <w:pPr>
        <w:pStyle w:val="a3"/>
        <w:spacing w:line="446" w:lineRule="auto"/>
        <w:ind w:left="418" w:right="1611" w:firstLine="419"/>
        <w:jc w:val="both"/>
      </w:pPr>
      <w:r>
        <w:rPr>
          <w:spacing w:val="-5"/>
        </w:rPr>
        <w:t>将试样展开铺平用钢卷尺测量。当水带长度不超过</w:t>
      </w:r>
      <w:r>
        <w:rPr>
          <w:spacing w:val="-5"/>
        </w:rPr>
        <w:t xml:space="preserve"> </w:t>
      </w:r>
      <w:r>
        <w:t>50m</w:t>
      </w:r>
      <w:r>
        <w:rPr>
          <w:spacing w:val="-7"/>
        </w:rPr>
        <w:t xml:space="preserve"> </w:t>
      </w:r>
      <w:r>
        <w:rPr>
          <w:spacing w:val="-7"/>
        </w:rPr>
        <w:t>时，钢卷尺的量程应不小于被测样</w:t>
      </w:r>
      <w:r>
        <w:rPr>
          <w:spacing w:val="-8"/>
        </w:rPr>
        <w:t>本的长度；当试样长度超过</w:t>
      </w:r>
      <w:r>
        <w:rPr>
          <w:spacing w:val="-8"/>
        </w:rPr>
        <w:t xml:space="preserve"> </w:t>
      </w:r>
      <w:r>
        <w:t>50m</w:t>
      </w:r>
      <w:r>
        <w:rPr>
          <w:spacing w:val="-12"/>
        </w:rPr>
        <w:t xml:space="preserve"> </w:t>
      </w:r>
      <w:r>
        <w:rPr>
          <w:spacing w:val="-12"/>
        </w:rPr>
        <w:t>时，可以用量程为</w:t>
      </w:r>
      <w:r>
        <w:rPr>
          <w:spacing w:val="-12"/>
        </w:rPr>
        <w:t xml:space="preserve"> </w:t>
      </w:r>
      <w:r>
        <w:t>50m</w:t>
      </w:r>
      <w:r>
        <w:rPr>
          <w:spacing w:val="-8"/>
        </w:rPr>
        <w:t xml:space="preserve"> </w:t>
      </w:r>
      <w:r>
        <w:rPr>
          <w:spacing w:val="-8"/>
        </w:rPr>
        <w:t>的钢卷尺分段测量。钢卷尺测量最小示</w:t>
      </w:r>
      <w:r>
        <w:rPr>
          <w:spacing w:val="-24"/>
        </w:rPr>
        <w:t>值为</w:t>
      </w:r>
      <w:r>
        <w:rPr>
          <w:spacing w:val="-24"/>
        </w:rPr>
        <w:t xml:space="preserve"> </w:t>
      </w:r>
      <w:r>
        <w:t>1mm</w:t>
      </w:r>
      <w:r>
        <w:rPr>
          <w:spacing w:val="-3"/>
        </w:rPr>
        <w:t>。</w:t>
      </w:r>
      <w:r>
        <w:t xml:space="preserve"> </w:t>
      </w:r>
    </w:p>
    <w:p w14:paraId="1730620D" w14:textId="77777777" w:rsidR="00A71EEF" w:rsidRDefault="0081115D">
      <w:pPr>
        <w:pStyle w:val="a4"/>
        <w:numPr>
          <w:ilvl w:val="1"/>
          <w:numId w:val="892"/>
        </w:numPr>
        <w:tabs>
          <w:tab w:val="left" w:pos="1159"/>
        </w:tabs>
        <w:spacing w:line="268" w:lineRule="exact"/>
        <w:ind w:hanging="319"/>
        <w:rPr>
          <w:sz w:val="21"/>
        </w:rPr>
      </w:pPr>
      <w:r>
        <w:rPr>
          <w:spacing w:val="-3"/>
          <w:sz w:val="21"/>
        </w:rPr>
        <w:t>水压试验与爆破试验</w:t>
      </w:r>
      <w:r>
        <w:rPr>
          <w:sz w:val="21"/>
        </w:rPr>
        <w:t xml:space="preserve"> </w:t>
      </w:r>
    </w:p>
    <w:p w14:paraId="362E5DF2" w14:textId="77777777" w:rsidR="00A71EEF" w:rsidRDefault="00A71EEF">
      <w:pPr>
        <w:pStyle w:val="a3"/>
        <w:spacing w:before="12"/>
        <w:rPr>
          <w:sz w:val="17"/>
        </w:rPr>
      </w:pPr>
    </w:p>
    <w:p w14:paraId="2BD6E2DC" w14:textId="77777777" w:rsidR="00A71EEF" w:rsidRDefault="0081115D">
      <w:pPr>
        <w:pStyle w:val="a4"/>
        <w:numPr>
          <w:ilvl w:val="2"/>
          <w:numId w:val="892"/>
        </w:numPr>
        <w:tabs>
          <w:tab w:val="left" w:pos="1370"/>
        </w:tabs>
        <w:spacing w:line="446" w:lineRule="auto"/>
        <w:ind w:right="1505" w:firstLine="422"/>
        <w:jc w:val="left"/>
        <w:rPr>
          <w:sz w:val="19"/>
        </w:rPr>
      </w:pPr>
      <w:r>
        <w:rPr>
          <w:spacing w:val="-10"/>
          <w:sz w:val="21"/>
        </w:rPr>
        <w:t>试验时将</w:t>
      </w:r>
      <w:r>
        <w:rPr>
          <w:spacing w:val="-10"/>
          <w:sz w:val="21"/>
        </w:rPr>
        <w:t xml:space="preserve"> </w:t>
      </w:r>
      <w:r>
        <w:rPr>
          <w:sz w:val="21"/>
        </w:rPr>
        <w:t>1.20m</w:t>
      </w:r>
      <w:r>
        <w:rPr>
          <w:spacing w:val="-8"/>
          <w:sz w:val="21"/>
        </w:rPr>
        <w:t xml:space="preserve"> </w:t>
      </w:r>
      <w:r>
        <w:rPr>
          <w:spacing w:val="-8"/>
          <w:sz w:val="21"/>
        </w:rPr>
        <w:t>长的试样一端与水源相接，另一端用带有排气阀的密封装置封闭。保</w:t>
      </w:r>
      <w:r>
        <w:rPr>
          <w:spacing w:val="-6"/>
          <w:sz w:val="21"/>
        </w:rPr>
        <w:t>持试样平直，使试样灌满水并排尽其中的空气，关闭排气阀。以</w:t>
      </w:r>
      <w:r>
        <w:rPr>
          <w:spacing w:val="-6"/>
          <w:sz w:val="21"/>
        </w:rPr>
        <w:t xml:space="preserve"> </w:t>
      </w:r>
      <w:r>
        <w:rPr>
          <w:sz w:val="21"/>
        </w:rPr>
        <w:t>5.0</w:t>
      </w:r>
      <w:r>
        <w:rPr>
          <w:sz w:val="21"/>
        </w:rPr>
        <w:t>～</w:t>
      </w:r>
      <w:r>
        <w:rPr>
          <w:sz w:val="21"/>
        </w:rPr>
        <w:t>10.0MPa/min</w:t>
      </w:r>
      <w:r>
        <w:rPr>
          <w:spacing w:val="-9"/>
          <w:sz w:val="21"/>
        </w:rPr>
        <w:t xml:space="preserve"> </w:t>
      </w:r>
      <w:r>
        <w:rPr>
          <w:spacing w:val="-9"/>
          <w:sz w:val="21"/>
        </w:rPr>
        <w:t>的速率升压</w:t>
      </w:r>
      <w:r>
        <w:rPr>
          <w:spacing w:val="-16"/>
          <w:sz w:val="21"/>
        </w:rPr>
        <w:t>至表</w:t>
      </w:r>
      <w:r>
        <w:rPr>
          <w:spacing w:val="-16"/>
          <w:sz w:val="21"/>
        </w:rPr>
        <w:t xml:space="preserve"> </w:t>
      </w:r>
      <w:r>
        <w:rPr>
          <w:sz w:val="21"/>
        </w:rPr>
        <w:t>3</w:t>
      </w:r>
      <w:r>
        <w:rPr>
          <w:spacing w:val="-11"/>
          <w:sz w:val="21"/>
        </w:rPr>
        <w:t xml:space="preserve"> </w:t>
      </w:r>
      <w:r>
        <w:rPr>
          <w:spacing w:val="-11"/>
          <w:sz w:val="21"/>
        </w:rPr>
        <w:t>规定的试验压力，保压</w:t>
      </w:r>
      <w:r>
        <w:rPr>
          <w:spacing w:val="-11"/>
          <w:sz w:val="21"/>
        </w:rPr>
        <w:t xml:space="preserve"> </w:t>
      </w:r>
      <w:r>
        <w:rPr>
          <w:sz w:val="21"/>
        </w:rPr>
        <w:t>5min</w:t>
      </w:r>
      <w:r>
        <w:rPr>
          <w:spacing w:val="-3"/>
          <w:sz w:val="21"/>
        </w:rPr>
        <w:t>，试样不应有渗漏现象。然后以该速率升压至试样爆破，判</w:t>
      </w:r>
      <w:r>
        <w:rPr>
          <w:spacing w:val="-11"/>
          <w:sz w:val="21"/>
        </w:rPr>
        <w:t>断是否符合表</w:t>
      </w:r>
      <w:r>
        <w:rPr>
          <w:spacing w:val="-11"/>
          <w:sz w:val="21"/>
        </w:rPr>
        <w:t xml:space="preserve"> </w:t>
      </w:r>
      <w:r>
        <w:rPr>
          <w:sz w:val="21"/>
        </w:rPr>
        <w:t>3</w:t>
      </w:r>
      <w:r>
        <w:rPr>
          <w:spacing w:val="-12"/>
          <w:sz w:val="21"/>
        </w:rPr>
        <w:t xml:space="preserve"> </w:t>
      </w:r>
      <w:r>
        <w:rPr>
          <w:spacing w:val="-12"/>
          <w:sz w:val="21"/>
        </w:rPr>
        <w:t>的规定。</w:t>
      </w:r>
      <w:r>
        <w:rPr>
          <w:spacing w:val="-12"/>
          <w:sz w:val="21"/>
        </w:rPr>
        <w:t xml:space="preserve"> </w:t>
      </w:r>
    </w:p>
    <w:p w14:paraId="6DC9D282" w14:textId="77777777" w:rsidR="00A71EEF" w:rsidRDefault="0081115D">
      <w:pPr>
        <w:pStyle w:val="a4"/>
        <w:numPr>
          <w:ilvl w:val="2"/>
          <w:numId w:val="892"/>
        </w:numPr>
        <w:tabs>
          <w:tab w:val="left" w:pos="1371"/>
        </w:tabs>
        <w:spacing w:before="1"/>
        <w:ind w:left="1370" w:hanging="531"/>
        <w:jc w:val="left"/>
        <w:rPr>
          <w:sz w:val="19"/>
        </w:rPr>
      </w:pPr>
      <w:r>
        <w:rPr>
          <w:spacing w:val="-3"/>
          <w:sz w:val="21"/>
        </w:rPr>
        <w:t>当织物层材料的干态与湿态强度不同时，爆破压力试验按强度低的状态进行。</w:t>
      </w:r>
      <w:r>
        <w:rPr>
          <w:sz w:val="21"/>
        </w:rPr>
        <w:t xml:space="preserve"> </w:t>
      </w:r>
    </w:p>
    <w:p w14:paraId="729DB517" w14:textId="77777777" w:rsidR="00A71EEF" w:rsidRDefault="00A71EEF">
      <w:pPr>
        <w:pStyle w:val="a3"/>
        <w:spacing w:before="12"/>
        <w:rPr>
          <w:sz w:val="17"/>
        </w:rPr>
      </w:pPr>
    </w:p>
    <w:p w14:paraId="27393AE7" w14:textId="77777777" w:rsidR="00A71EEF" w:rsidRDefault="0081115D">
      <w:pPr>
        <w:pStyle w:val="a4"/>
        <w:numPr>
          <w:ilvl w:val="2"/>
          <w:numId w:val="892"/>
        </w:numPr>
        <w:tabs>
          <w:tab w:val="left" w:pos="1370"/>
        </w:tabs>
        <w:ind w:left="1369" w:hanging="530"/>
        <w:jc w:val="left"/>
        <w:rPr>
          <w:sz w:val="19"/>
        </w:rPr>
      </w:pPr>
      <w:r>
        <w:rPr>
          <w:spacing w:val="-3"/>
          <w:sz w:val="21"/>
        </w:rPr>
        <w:t>试验装置应符合以下规定：</w:t>
      </w:r>
      <w:r>
        <w:rPr>
          <w:sz w:val="21"/>
        </w:rPr>
        <w:t xml:space="preserve"> </w:t>
      </w:r>
    </w:p>
    <w:p w14:paraId="59957A05" w14:textId="77777777" w:rsidR="00A71EEF" w:rsidRDefault="00A71EEF">
      <w:pPr>
        <w:pStyle w:val="a3"/>
        <w:spacing w:before="12"/>
        <w:rPr>
          <w:sz w:val="17"/>
        </w:rPr>
      </w:pPr>
    </w:p>
    <w:p w14:paraId="5677044E" w14:textId="77777777" w:rsidR="00A71EEF" w:rsidRDefault="0081115D">
      <w:pPr>
        <w:pStyle w:val="a4"/>
        <w:numPr>
          <w:ilvl w:val="0"/>
          <w:numId w:val="891"/>
        </w:numPr>
        <w:tabs>
          <w:tab w:val="left" w:pos="1156"/>
        </w:tabs>
        <w:spacing w:line="446" w:lineRule="auto"/>
        <w:ind w:right="1505" w:firstLine="419"/>
        <w:rPr>
          <w:sz w:val="21"/>
        </w:rPr>
      </w:pPr>
      <w:r>
        <w:rPr>
          <w:spacing w:val="-3"/>
          <w:sz w:val="21"/>
        </w:rPr>
        <w:t>耐压试验台：应能可靠地夹紧试样，一端应能纵向移动，试验过程中不应阻碍试样的自由延伸，试验台应装有排气阀；</w:t>
      </w:r>
      <w:r>
        <w:rPr>
          <w:sz w:val="21"/>
        </w:rPr>
        <w:t xml:space="preserve"> </w:t>
      </w:r>
    </w:p>
    <w:p w14:paraId="2EED1328" w14:textId="77777777" w:rsidR="00A71EEF" w:rsidRDefault="0081115D">
      <w:pPr>
        <w:pStyle w:val="a4"/>
        <w:numPr>
          <w:ilvl w:val="0"/>
          <w:numId w:val="891"/>
        </w:numPr>
        <w:tabs>
          <w:tab w:val="left" w:pos="1156"/>
        </w:tabs>
        <w:spacing w:before="1"/>
        <w:ind w:left="1155"/>
        <w:rPr>
          <w:sz w:val="21"/>
        </w:rPr>
      </w:pPr>
      <w:r>
        <w:rPr>
          <w:spacing w:val="-3"/>
          <w:sz w:val="21"/>
        </w:rPr>
        <w:t>水压源：应采用三缸的电动往复泵，其工作压力应不低于试样的爆破压力；</w:t>
      </w:r>
      <w:r>
        <w:rPr>
          <w:spacing w:val="-3"/>
          <w:sz w:val="21"/>
        </w:rPr>
        <w:t xml:space="preserve"> </w:t>
      </w:r>
    </w:p>
    <w:p w14:paraId="5804B1CF" w14:textId="77777777" w:rsidR="00A71EEF" w:rsidRDefault="00A71EEF">
      <w:pPr>
        <w:pStyle w:val="a3"/>
        <w:spacing w:before="12"/>
        <w:rPr>
          <w:sz w:val="17"/>
        </w:rPr>
      </w:pPr>
    </w:p>
    <w:p w14:paraId="47262897" w14:textId="77777777" w:rsidR="00A71EEF" w:rsidRDefault="0081115D">
      <w:pPr>
        <w:pStyle w:val="a4"/>
        <w:numPr>
          <w:ilvl w:val="0"/>
          <w:numId w:val="891"/>
        </w:numPr>
        <w:tabs>
          <w:tab w:val="left" w:pos="1156"/>
        </w:tabs>
        <w:spacing w:line="446" w:lineRule="auto"/>
        <w:ind w:right="1508" w:firstLine="419"/>
        <w:rPr>
          <w:sz w:val="21"/>
        </w:rPr>
      </w:pPr>
      <w:r>
        <w:rPr>
          <w:spacing w:val="-6"/>
          <w:sz w:val="21"/>
        </w:rPr>
        <w:t>稳压装置：当水压不高于</w:t>
      </w:r>
      <w:r>
        <w:rPr>
          <w:spacing w:val="-6"/>
          <w:sz w:val="21"/>
        </w:rPr>
        <w:t xml:space="preserve"> </w:t>
      </w:r>
      <w:r>
        <w:rPr>
          <w:sz w:val="21"/>
        </w:rPr>
        <w:t>3.0MPa</w:t>
      </w:r>
      <w:r>
        <w:rPr>
          <w:spacing w:val="-8"/>
          <w:sz w:val="21"/>
        </w:rPr>
        <w:t xml:space="preserve"> </w:t>
      </w:r>
      <w:r>
        <w:rPr>
          <w:spacing w:val="-8"/>
          <w:sz w:val="21"/>
        </w:rPr>
        <w:t>时，经过稳压后，压力波动值应不大于</w:t>
      </w:r>
      <w:r>
        <w:rPr>
          <w:spacing w:val="-8"/>
          <w:sz w:val="21"/>
        </w:rPr>
        <w:t>±</w:t>
      </w:r>
      <w:r>
        <w:rPr>
          <w:sz w:val="21"/>
        </w:rPr>
        <w:t>0.05MPa</w:t>
      </w:r>
      <w:r>
        <w:rPr>
          <w:sz w:val="21"/>
        </w:rPr>
        <w:t>；当</w:t>
      </w:r>
      <w:r>
        <w:rPr>
          <w:spacing w:val="-12"/>
          <w:sz w:val="21"/>
        </w:rPr>
        <w:t>水压高于</w:t>
      </w:r>
      <w:r>
        <w:rPr>
          <w:spacing w:val="-12"/>
          <w:sz w:val="21"/>
        </w:rPr>
        <w:t xml:space="preserve"> </w:t>
      </w:r>
      <w:r>
        <w:rPr>
          <w:sz w:val="21"/>
        </w:rPr>
        <w:t>3.0MPa</w:t>
      </w:r>
      <w:r>
        <w:rPr>
          <w:spacing w:val="-9"/>
          <w:sz w:val="21"/>
        </w:rPr>
        <w:t xml:space="preserve"> </w:t>
      </w:r>
      <w:r>
        <w:rPr>
          <w:spacing w:val="-9"/>
          <w:sz w:val="21"/>
        </w:rPr>
        <w:t>时，经过稳压后，压力波动值应不大于</w:t>
      </w:r>
      <w:r>
        <w:rPr>
          <w:spacing w:val="-9"/>
          <w:sz w:val="21"/>
        </w:rPr>
        <w:t>±</w:t>
      </w:r>
      <w:r>
        <w:rPr>
          <w:sz w:val="21"/>
        </w:rPr>
        <w:t>0.10MPa</w:t>
      </w:r>
      <w:r>
        <w:rPr>
          <w:sz w:val="21"/>
        </w:rPr>
        <w:t>；</w:t>
      </w:r>
      <w:r>
        <w:rPr>
          <w:sz w:val="21"/>
        </w:rPr>
        <w:t xml:space="preserve"> </w:t>
      </w:r>
    </w:p>
    <w:p w14:paraId="1DF01342" w14:textId="77777777" w:rsidR="00A71EEF" w:rsidRDefault="00A71EEF">
      <w:pPr>
        <w:spacing w:line="446" w:lineRule="auto"/>
        <w:rPr>
          <w:sz w:val="21"/>
        </w:rPr>
        <w:sectPr w:rsidR="00A71EEF">
          <w:pgSz w:w="11910" w:h="16850"/>
          <w:pgMar w:top="1220" w:right="0" w:bottom="1420" w:left="1260" w:header="0" w:footer="1239" w:gutter="0"/>
          <w:cols w:space="720"/>
        </w:sectPr>
      </w:pPr>
    </w:p>
    <w:p w14:paraId="1E1F7BC2" w14:textId="77777777" w:rsidR="00A71EEF" w:rsidRDefault="0081115D">
      <w:pPr>
        <w:pStyle w:val="a4"/>
        <w:numPr>
          <w:ilvl w:val="0"/>
          <w:numId w:val="891"/>
        </w:numPr>
        <w:tabs>
          <w:tab w:val="left" w:pos="1156"/>
        </w:tabs>
        <w:spacing w:before="47" w:line="446" w:lineRule="auto"/>
        <w:ind w:right="1558" w:firstLine="419"/>
        <w:rPr>
          <w:sz w:val="21"/>
        </w:rPr>
      </w:pPr>
      <w:r>
        <w:rPr>
          <w:spacing w:val="-7"/>
          <w:sz w:val="21"/>
        </w:rPr>
        <w:lastRenderedPageBreak/>
        <w:t>压力显示装置：测量下限为</w:t>
      </w:r>
      <w:r>
        <w:rPr>
          <w:spacing w:val="-7"/>
          <w:sz w:val="21"/>
        </w:rPr>
        <w:t xml:space="preserve"> </w:t>
      </w:r>
      <w:r>
        <w:rPr>
          <w:sz w:val="21"/>
        </w:rPr>
        <w:t>0</w:t>
      </w:r>
      <w:r>
        <w:rPr>
          <w:spacing w:val="-7"/>
          <w:sz w:val="21"/>
        </w:rPr>
        <w:t>，测量上限为爆破压力的</w:t>
      </w:r>
      <w:r>
        <w:rPr>
          <w:spacing w:val="-7"/>
          <w:sz w:val="21"/>
        </w:rPr>
        <w:t xml:space="preserve"> </w:t>
      </w:r>
      <w:r>
        <w:rPr>
          <w:sz w:val="21"/>
        </w:rPr>
        <w:t>1.5</w:t>
      </w:r>
      <w:r>
        <w:rPr>
          <w:spacing w:val="-25"/>
          <w:sz w:val="21"/>
        </w:rPr>
        <w:t xml:space="preserve"> </w:t>
      </w:r>
      <w:r>
        <w:rPr>
          <w:spacing w:val="-25"/>
          <w:sz w:val="21"/>
        </w:rPr>
        <w:t>倍到</w:t>
      </w:r>
      <w:r>
        <w:rPr>
          <w:spacing w:val="-25"/>
          <w:sz w:val="21"/>
        </w:rPr>
        <w:t xml:space="preserve"> </w:t>
      </w:r>
      <w:r>
        <w:rPr>
          <w:sz w:val="21"/>
        </w:rPr>
        <w:t>2.0</w:t>
      </w:r>
      <w:r>
        <w:rPr>
          <w:spacing w:val="-8"/>
          <w:sz w:val="21"/>
        </w:rPr>
        <w:t xml:space="preserve"> </w:t>
      </w:r>
      <w:r>
        <w:rPr>
          <w:spacing w:val="-8"/>
          <w:sz w:val="21"/>
        </w:rPr>
        <w:t>倍，并能记录爆破</w:t>
      </w:r>
      <w:r>
        <w:rPr>
          <w:spacing w:val="-5"/>
          <w:sz w:val="21"/>
        </w:rPr>
        <w:t>压力值，精度应不低于</w:t>
      </w:r>
      <w:r>
        <w:rPr>
          <w:spacing w:val="-5"/>
          <w:sz w:val="21"/>
        </w:rPr>
        <w:t>±</w:t>
      </w:r>
      <w:r>
        <w:rPr>
          <w:sz w:val="21"/>
        </w:rPr>
        <w:t>0.01MPa</w:t>
      </w:r>
      <w:r>
        <w:rPr>
          <w:spacing w:val="-3"/>
          <w:sz w:val="21"/>
        </w:rPr>
        <w:t>。</w:t>
      </w:r>
      <w:r>
        <w:rPr>
          <w:sz w:val="21"/>
        </w:rPr>
        <w:t xml:space="preserve"> </w:t>
      </w:r>
    </w:p>
    <w:p w14:paraId="38DB7E78" w14:textId="77777777" w:rsidR="00A71EEF" w:rsidRDefault="0081115D">
      <w:pPr>
        <w:pStyle w:val="a4"/>
        <w:numPr>
          <w:ilvl w:val="1"/>
          <w:numId w:val="892"/>
        </w:numPr>
        <w:tabs>
          <w:tab w:val="left" w:pos="1159"/>
        </w:tabs>
        <w:spacing w:line="267" w:lineRule="exact"/>
        <w:ind w:hanging="319"/>
        <w:rPr>
          <w:sz w:val="21"/>
        </w:rPr>
      </w:pPr>
      <w:r>
        <w:rPr>
          <w:spacing w:val="-3"/>
          <w:sz w:val="21"/>
        </w:rPr>
        <w:t>湿水带渗水量测量</w:t>
      </w:r>
      <w:r>
        <w:rPr>
          <w:sz w:val="21"/>
        </w:rPr>
        <w:t xml:space="preserve"> </w:t>
      </w:r>
    </w:p>
    <w:p w14:paraId="578F95E3" w14:textId="77777777" w:rsidR="00A71EEF" w:rsidRDefault="00A71EEF">
      <w:pPr>
        <w:pStyle w:val="a3"/>
        <w:spacing w:before="2"/>
        <w:rPr>
          <w:sz w:val="18"/>
        </w:rPr>
      </w:pPr>
    </w:p>
    <w:p w14:paraId="3A760C91" w14:textId="77777777" w:rsidR="00A71EEF" w:rsidRDefault="0081115D">
      <w:pPr>
        <w:pStyle w:val="a4"/>
        <w:numPr>
          <w:ilvl w:val="2"/>
          <w:numId w:val="892"/>
        </w:numPr>
        <w:tabs>
          <w:tab w:val="left" w:pos="1370"/>
        </w:tabs>
        <w:spacing w:line="446" w:lineRule="auto"/>
        <w:ind w:right="1498" w:firstLine="422"/>
        <w:jc w:val="left"/>
        <w:rPr>
          <w:sz w:val="19"/>
        </w:rPr>
      </w:pPr>
      <w:r>
        <w:rPr>
          <w:spacing w:val="-13"/>
          <w:sz w:val="21"/>
        </w:rPr>
        <w:t>任意取</w:t>
      </w:r>
      <w:r>
        <w:rPr>
          <w:spacing w:val="-13"/>
          <w:sz w:val="21"/>
        </w:rPr>
        <w:t xml:space="preserve"> </w:t>
      </w:r>
      <w:r>
        <w:rPr>
          <w:sz w:val="21"/>
        </w:rPr>
        <w:t>1.2m</w:t>
      </w:r>
      <w:r>
        <w:rPr>
          <w:spacing w:val="-8"/>
          <w:sz w:val="21"/>
        </w:rPr>
        <w:t xml:space="preserve"> </w:t>
      </w:r>
      <w:r>
        <w:rPr>
          <w:spacing w:val="-8"/>
          <w:sz w:val="21"/>
        </w:rPr>
        <w:t>长的试样，一端与水源相接，另一端用带有排气阀的密封装置封闭，保</w:t>
      </w:r>
      <w:r>
        <w:rPr>
          <w:spacing w:val="-7"/>
          <w:sz w:val="21"/>
        </w:rPr>
        <w:t>持试样平直。对试样灌水，排尽空气后，关闭排气阀。均匀升压至</w:t>
      </w:r>
      <w:r>
        <w:rPr>
          <w:spacing w:val="-7"/>
          <w:sz w:val="21"/>
        </w:rPr>
        <w:t xml:space="preserve"> </w:t>
      </w:r>
      <w:r>
        <w:rPr>
          <w:sz w:val="21"/>
        </w:rPr>
        <w:t>0.5MPa</w:t>
      </w:r>
      <w:r>
        <w:rPr>
          <w:spacing w:val="-12"/>
          <w:sz w:val="21"/>
        </w:rPr>
        <w:t>，保压</w:t>
      </w:r>
      <w:r>
        <w:rPr>
          <w:spacing w:val="-12"/>
          <w:sz w:val="21"/>
        </w:rPr>
        <w:t xml:space="preserve"> </w:t>
      </w:r>
      <w:r>
        <w:rPr>
          <w:sz w:val="21"/>
        </w:rPr>
        <w:t>5min</w:t>
      </w:r>
      <w:r>
        <w:rPr>
          <w:spacing w:val="-14"/>
          <w:sz w:val="21"/>
        </w:rPr>
        <w:t xml:space="preserve"> </w:t>
      </w:r>
      <w:r>
        <w:rPr>
          <w:spacing w:val="-14"/>
          <w:sz w:val="21"/>
        </w:rPr>
        <w:t>后，用</w:t>
      </w:r>
    </w:p>
    <w:p w14:paraId="5DCCEE1E" w14:textId="77777777" w:rsidR="00A71EEF" w:rsidRDefault="0081115D">
      <w:pPr>
        <w:pStyle w:val="a4"/>
        <w:numPr>
          <w:ilvl w:val="2"/>
          <w:numId w:val="892"/>
        </w:numPr>
        <w:tabs>
          <w:tab w:val="left" w:pos="997"/>
        </w:tabs>
        <w:spacing w:line="446" w:lineRule="auto"/>
        <w:ind w:right="1503" w:firstLine="0"/>
        <w:jc w:val="both"/>
        <w:rPr>
          <w:sz w:val="21"/>
        </w:rPr>
      </w:pPr>
      <w:r>
        <w:rPr>
          <w:spacing w:val="-8"/>
          <w:sz w:val="21"/>
        </w:rPr>
        <w:t>规定的集水槽集水</w:t>
      </w:r>
      <w:r>
        <w:rPr>
          <w:spacing w:val="-8"/>
          <w:sz w:val="21"/>
        </w:rPr>
        <w:t xml:space="preserve"> </w:t>
      </w:r>
      <w:r>
        <w:rPr>
          <w:sz w:val="21"/>
        </w:rPr>
        <w:t>1min</w:t>
      </w:r>
      <w:r>
        <w:rPr>
          <w:spacing w:val="-7"/>
          <w:sz w:val="21"/>
        </w:rPr>
        <w:t>，所集得的水量为该试样</w:t>
      </w:r>
      <w:r>
        <w:rPr>
          <w:spacing w:val="-7"/>
          <w:sz w:val="21"/>
        </w:rPr>
        <w:t xml:space="preserve"> </w:t>
      </w:r>
      <w:r>
        <w:rPr>
          <w:sz w:val="21"/>
        </w:rPr>
        <w:t>0.5MPa</w:t>
      </w:r>
      <w:r>
        <w:rPr>
          <w:spacing w:val="-8"/>
          <w:sz w:val="21"/>
        </w:rPr>
        <w:t xml:space="preserve"> </w:t>
      </w:r>
      <w:r>
        <w:rPr>
          <w:spacing w:val="-8"/>
          <w:sz w:val="21"/>
        </w:rPr>
        <w:t>水压下的渗水量。同时检查水带</w:t>
      </w:r>
      <w:r>
        <w:rPr>
          <w:spacing w:val="-7"/>
          <w:sz w:val="21"/>
        </w:rPr>
        <w:t>表面渗水均匀情况，随后将水压均匀升至设计工作压力，再保压</w:t>
      </w:r>
      <w:r>
        <w:rPr>
          <w:spacing w:val="-7"/>
          <w:sz w:val="21"/>
        </w:rPr>
        <w:t xml:space="preserve"> </w:t>
      </w:r>
      <w:r>
        <w:rPr>
          <w:sz w:val="21"/>
        </w:rPr>
        <w:t>5min</w:t>
      </w:r>
      <w:r>
        <w:rPr>
          <w:spacing w:val="-20"/>
          <w:sz w:val="21"/>
        </w:rPr>
        <w:t xml:space="preserve"> </w:t>
      </w:r>
      <w:r>
        <w:rPr>
          <w:spacing w:val="-20"/>
          <w:sz w:val="21"/>
        </w:rPr>
        <w:t>后，用</w:t>
      </w:r>
      <w:r>
        <w:rPr>
          <w:spacing w:val="-20"/>
          <w:sz w:val="21"/>
        </w:rPr>
        <w:t xml:space="preserve"> </w:t>
      </w:r>
      <w:r>
        <w:rPr>
          <w:sz w:val="21"/>
        </w:rPr>
        <w:t>5.5.2</w:t>
      </w:r>
      <w:r>
        <w:rPr>
          <w:spacing w:val="-10"/>
          <w:sz w:val="21"/>
        </w:rPr>
        <w:t xml:space="preserve"> </w:t>
      </w:r>
      <w:r>
        <w:rPr>
          <w:spacing w:val="-10"/>
          <w:sz w:val="21"/>
        </w:rPr>
        <w:t>规定集水槽</w:t>
      </w:r>
      <w:r>
        <w:rPr>
          <w:spacing w:val="-16"/>
          <w:sz w:val="21"/>
        </w:rPr>
        <w:t>重新集水</w:t>
      </w:r>
      <w:r>
        <w:rPr>
          <w:spacing w:val="-16"/>
          <w:sz w:val="21"/>
        </w:rPr>
        <w:t xml:space="preserve"> </w:t>
      </w:r>
      <w:r>
        <w:rPr>
          <w:sz w:val="21"/>
        </w:rPr>
        <w:t>1min</w:t>
      </w:r>
      <w:r>
        <w:rPr>
          <w:spacing w:val="-3"/>
          <w:sz w:val="21"/>
        </w:rPr>
        <w:t>。所集得的水量即为该试样设计工作压力下的渗水量。</w:t>
      </w:r>
      <w:r>
        <w:rPr>
          <w:sz w:val="21"/>
        </w:rPr>
        <w:t xml:space="preserve"> </w:t>
      </w:r>
    </w:p>
    <w:p w14:paraId="19D7CDC4" w14:textId="77777777" w:rsidR="00A71EEF" w:rsidRDefault="0081115D">
      <w:pPr>
        <w:spacing w:line="268" w:lineRule="exact"/>
        <w:ind w:left="840"/>
        <w:rPr>
          <w:sz w:val="21"/>
        </w:rPr>
      </w:pPr>
      <w:r>
        <w:rPr>
          <w:b/>
          <w:sz w:val="21"/>
        </w:rPr>
        <w:t xml:space="preserve">5.5.2 </w:t>
      </w:r>
      <w:r>
        <w:rPr>
          <w:sz w:val="21"/>
        </w:rPr>
        <w:t>试验装置应符合以下规定：</w:t>
      </w:r>
      <w:r>
        <w:rPr>
          <w:sz w:val="21"/>
        </w:rPr>
        <w:t xml:space="preserve"> </w:t>
      </w:r>
    </w:p>
    <w:p w14:paraId="06FD9C04" w14:textId="77777777" w:rsidR="00A71EEF" w:rsidRDefault="00A71EEF">
      <w:pPr>
        <w:pStyle w:val="a3"/>
        <w:spacing w:before="12"/>
        <w:rPr>
          <w:sz w:val="17"/>
        </w:rPr>
      </w:pPr>
    </w:p>
    <w:p w14:paraId="4A5707B0" w14:textId="77777777" w:rsidR="00A71EEF" w:rsidRDefault="0081115D">
      <w:pPr>
        <w:pStyle w:val="a4"/>
        <w:numPr>
          <w:ilvl w:val="0"/>
          <w:numId w:val="890"/>
        </w:numPr>
        <w:tabs>
          <w:tab w:val="left" w:pos="1156"/>
        </w:tabs>
        <w:rPr>
          <w:sz w:val="21"/>
        </w:rPr>
      </w:pPr>
      <w:r>
        <w:rPr>
          <w:spacing w:val="-9"/>
          <w:sz w:val="21"/>
        </w:rPr>
        <w:t>耐压试验台：应符合</w:t>
      </w:r>
      <w:r>
        <w:rPr>
          <w:spacing w:val="-9"/>
          <w:sz w:val="21"/>
        </w:rPr>
        <w:t xml:space="preserve"> </w:t>
      </w:r>
      <w:r>
        <w:rPr>
          <w:sz w:val="21"/>
        </w:rPr>
        <w:t>5.4.3a</w:t>
      </w:r>
      <w:r>
        <w:rPr>
          <w:sz w:val="21"/>
        </w:rPr>
        <w:t>）</w:t>
      </w:r>
      <w:r>
        <w:rPr>
          <w:spacing w:val="-3"/>
          <w:sz w:val="21"/>
        </w:rPr>
        <w:t>的规定；</w:t>
      </w:r>
      <w:r>
        <w:rPr>
          <w:sz w:val="21"/>
        </w:rPr>
        <w:t xml:space="preserve"> </w:t>
      </w:r>
    </w:p>
    <w:p w14:paraId="07CEDAA9" w14:textId="77777777" w:rsidR="00A71EEF" w:rsidRDefault="00A71EEF">
      <w:pPr>
        <w:pStyle w:val="a3"/>
        <w:rPr>
          <w:sz w:val="18"/>
        </w:rPr>
      </w:pPr>
    </w:p>
    <w:p w14:paraId="25A73234" w14:textId="77777777" w:rsidR="00A71EEF" w:rsidRDefault="0081115D">
      <w:pPr>
        <w:pStyle w:val="a4"/>
        <w:numPr>
          <w:ilvl w:val="0"/>
          <w:numId w:val="890"/>
        </w:numPr>
        <w:tabs>
          <w:tab w:val="left" w:pos="1156"/>
        </w:tabs>
        <w:spacing w:line="446" w:lineRule="auto"/>
        <w:ind w:left="838" w:right="2086" w:firstLine="0"/>
        <w:rPr>
          <w:sz w:val="21"/>
        </w:rPr>
      </w:pPr>
      <w:r>
        <w:rPr>
          <w:spacing w:val="-5"/>
          <w:sz w:val="21"/>
        </w:rPr>
        <w:t>水压源：其工作压力应不低于相应湿水带的爆破压力，流量应不低于</w:t>
      </w:r>
      <w:r>
        <w:rPr>
          <w:spacing w:val="-5"/>
          <w:sz w:val="21"/>
        </w:rPr>
        <w:t xml:space="preserve"> </w:t>
      </w:r>
      <w:r>
        <w:rPr>
          <w:sz w:val="21"/>
        </w:rPr>
        <w:t>0.55L/s</w:t>
      </w:r>
      <w:r>
        <w:rPr>
          <w:sz w:val="21"/>
        </w:rPr>
        <w:t>；</w:t>
      </w:r>
      <w:r>
        <w:rPr>
          <w:sz w:val="21"/>
        </w:rPr>
        <w:t xml:space="preserve"> c</w:t>
      </w:r>
      <w:r>
        <w:rPr>
          <w:sz w:val="21"/>
        </w:rPr>
        <w:t>）</w:t>
      </w:r>
      <w:r>
        <w:rPr>
          <w:spacing w:val="-9"/>
          <w:sz w:val="21"/>
        </w:rPr>
        <w:t>稳压装置：应符合</w:t>
      </w:r>
      <w:r>
        <w:rPr>
          <w:spacing w:val="-9"/>
          <w:sz w:val="21"/>
        </w:rPr>
        <w:t xml:space="preserve"> </w:t>
      </w:r>
      <w:r>
        <w:rPr>
          <w:sz w:val="21"/>
        </w:rPr>
        <w:t>5.4.3c</w:t>
      </w:r>
      <w:r>
        <w:rPr>
          <w:sz w:val="21"/>
        </w:rPr>
        <w:t>）</w:t>
      </w:r>
      <w:r>
        <w:rPr>
          <w:spacing w:val="-3"/>
          <w:sz w:val="21"/>
        </w:rPr>
        <w:t>的规定；</w:t>
      </w:r>
      <w:r>
        <w:rPr>
          <w:sz w:val="21"/>
        </w:rPr>
        <w:t xml:space="preserve"> </w:t>
      </w:r>
    </w:p>
    <w:p w14:paraId="1A3DC032" w14:textId="77777777" w:rsidR="00A71EEF" w:rsidRDefault="0081115D">
      <w:pPr>
        <w:pStyle w:val="a4"/>
        <w:numPr>
          <w:ilvl w:val="0"/>
          <w:numId w:val="889"/>
        </w:numPr>
        <w:tabs>
          <w:tab w:val="left" w:pos="1156"/>
        </w:tabs>
        <w:rPr>
          <w:sz w:val="21"/>
        </w:rPr>
      </w:pPr>
      <w:r>
        <w:rPr>
          <w:spacing w:val="-8"/>
          <w:sz w:val="21"/>
        </w:rPr>
        <w:t>压力显示装置：应符合</w:t>
      </w:r>
      <w:r>
        <w:rPr>
          <w:spacing w:val="-8"/>
          <w:sz w:val="21"/>
        </w:rPr>
        <w:t xml:space="preserve"> </w:t>
      </w:r>
      <w:r>
        <w:rPr>
          <w:sz w:val="21"/>
        </w:rPr>
        <w:t>5.4.3d</w:t>
      </w:r>
      <w:r>
        <w:rPr>
          <w:sz w:val="21"/>
        </w:rPr>
        <w:t>）</w:t>
      </w:r>
      <w:r>
        <w:rPr>
          <w:spacing w:val="-3"/>
          <w:sz w:val="21"/>
        </w:rPr>
        <w:t>的规定；</w:t>
      </w:r>
      <w:r>
        <w:rPr>
          <w:sz w:val="21"/>
        </w:rPr>
        <w:t xml:space="preserve"> </w:t>
      </w:r>
    </w:p>
    <w:p w14:paraId="4E0306B2" w14:textId="77777777" w:rsidR="00A71EEF" w:rsidRDefault="00A71EEF">
      <w:pPr>
        <w:pStyle w:val="a3"/>
        <w:rPr>
          <w:sz w:val="18"/>
        </w:rPr>
      </w:pPr>
    </w:p>
    <w:p w14:paraId="6524ADE8" w14:textId="77777777" w:rsidR="00A71EEF" w:rsidRDefault="0081115D">
      <w:pPr>
        <w:pStyle w:val="a4"/>
        <w:numPr>
          <w:ilvl w:val="0"/>
          <w:numId w:val="889"/>
        </w:numPr>
        <w:tabs>
          <w:tab w:val="left" w:pos="1156"/>
        </w:tabs>
        <w:spacing w:line="446" w:lineRule="auto"/>
        <w:ind w:left="838" w:right="1560" w:firstLine="0"/>
        <w:rPr>
          <w:sz w:val="21"/>
        </w:rPr>
      </w:pPr>
      <w:r>
        <w:rPr>
          <w:spacing w:val="-3"/>
          <w:sz w:val="21"/>
        </w:rPr>
        <w:t>集水槽：应用光滑不吸水材料制成，长</w:t>
      </w:r>
      <w:r>
        <w:rPr>
          <w:sz w:val="21"/>
        </w:rPr>
        <w:t>（</w:t>
      </w:r>
      <w:r>
        <w:rPr>
          <w:sz w:val="21"/>
        </w:rPr>
        <w:t>1000±5</w:t>
      </w:r>
      <w:r>
        <w:rPr>
          <w:sz w:val="21"/>
        </w:rPr>
        <w:t>）</w:t>
      </w:r>
      <w:r>
        <w:rPr>
          <w:sz w:val="21"/>
        </w:rPr>
        <w:t>mm</w:t>
      </w:r>
      <w:r>
        <w:rPr>
          <w:spacing w:val="-7"/>
          <w:sz w:val="21"/>
        </w:rPr>
        <w:t>，宽度和深度应不小于</w:t>
      </w:r>
      <w:r>
        <w:rPr>
          <w:spacing w:val="-7"/>
          <w:sz w:val="21"/>
        </w:rPr>
        <w:t xml:space="preserve"> </w:t>
      </w:r>
      <w:r>
        <w:rPr>
          <w:sz w:val="21"/>
        </w:rPr>
        <w:t>100mm</w:t>
      </w:r>
      <w:r>
        <w:rPr>
          <w:sz w:val="21"/>
        </w:rPr>
        <w:t>；</w:t>
      </w:r>
      <w:r>
        <w:rPr>
          <w:sz w:val="21"/>
        </w:rPr>
        <w:t xml:space="preserve"> f</w:t>
      </w:r>
      <w:r>
        <w:rPr>
          <w:sz w:val="21"/>
        </w:rPr>
        <w:t>）</w:t>
      </w:r>
      <w:r>
        <w:rPr>
          <w:spacing w:val="-6"/>
          <w:sz w:val="21"/>
        </w:rPr>
        <w:t>玻璃量筒：精度应不低于被测渗水量的</w:t>
      </w:r>
      <w:r>
        <w:rPr>
          <w:spacing w:val="-6"/>
          <w:sz w:val="21"/>
        </w:rPr>
        <w:t xml:space="preserve"> </w:t>
      </w:r>
      <w:r>
        <w:rPr>
          <w:sz w:val="21"/>
        </w:rPr>
        <w:t>10</w:t>
      </w:r>
      <w:r>
        <w:rPr>
          <w:sz w:val="21"/>
        </w:rPr>
        <w:t>％；</w:t>
      </w:r>
      <w:r>
        <w:rPr>
          <w:sz w:val="21"/>
        </w:rPr>
        <w:t xml:space="preserve"> </w:t>
      </w:r>
    </w:p>
    <w:p w14:paraId="4B3095EA" w14:textId="77777777" w:rsidR="00A71EEF" w:rsidRDefault="0081115D">
      <w:pPr>
        <w:pStyle w:val="a3"/>
        <w:spacing w:line="446" w:lineRule="auto"/>
        <w:ind w:left="840" w:right="5447" w:hanging="3"/>
        <w:rPr>
          <w:b/>
        </w:rPr>
      </w:pPr>
      <w:r>
        <w:t>g</w:t>
      </w:r>
      <w:r>
        <w:t>）秒表：准确度应不低于</w:t>
      </w:r>
      <w:r>
        <w:t>±1s</w:t>
      </w:r>
      <w:r>
        <w:t>（</w:t>
      </w:r>
      <w:r>
        <w:t xml:space="preserve">15min </w:t>
      </w:r>
      <w:r>
        <w:t>内）。</w:t>
      </w:r>
      <w:r>
        <w:rPr>
          <w:b/>
        </w:rPr>
        <w:t xml:space="preserve">5.6 </w:t>
      </w:r>
      <w:r>
        <w:t>单位长度质量检查</w:t>
      </w:r>
      <w:r>
        <w:rPr>
          <w:b/>
          <w:w w:val="99"/>
        </w:rPr>
        <w:t xml:space="preserve"> </w:t>
      </w:r>
    </w:p>
    <w:p w14:paraId="21F41CC8" w14:textId="77777777" w:rsidR="00A71EEF" w:rsidRDefault="0081115D">
      <w:pPr>
        <w:pStyle w:val="a3"/>
        <w:spacing w:line="267" w:lineRule="exact"/>
        <w:ind w:left="838"/>
      </w:pPr>
      <w:r>
        <w:t>试验时，称出整盘试样的质量，然后按</w:t>
      </w:r>
      <w:r>
        <w:t xml:space="preserve"> 5.3 </w:t>
      </w:r>
      <w:r>
        <w:t>规定测量试样长度。</w:t>
      </w:r>
      <w:r>
        <w:t xml:space="preserve"> </w:t>
      </w:r>
    </w:p>
    <w:p w14:paraId="2D00F847" w14:textId="77777777" w:rsidR="00A71EEF" w:rsidRDefault="00A71EEF">
      <w:pPr>
        <w:pStyle w:val="a3"/>
        <w:rPr>
          <w:sz w:val="20"/>
        </w:rPr>
      </w:pPr>
    </w:p>
    <w:p w14:paraId="19418A8C" w14:textId="77777777" w:rsidR="00A71EEF" w:rsidRDefault="0081115D">
      <w:pPr>
        <w:pStyle w:val="a3"/>
        <w:rPr>
          <w:sz w:val="28"/>
        </w:rPr>
      </w:pPr>
      <w:r>
        <w:rPr>
          <w:noProof/>
        </w:rPr>
        <w:drawing>
          <wp:anchor distT="0" distB="0" distL="0" distR="0" simplePos="0" relativeHeight="251475456" behindDoc="0" locked="0" layoutInCell="1" allowOverlap="1" wp14:anchorId="0B0ADAA3" wp14:editId="3A725131">
            <wp:simplePos x="0" y="0"/>
            <wp:positionH relativeFrom="page">
              <wp:posOffset>1779904</wp:posOffset>
            </wp:positionH>
            <wp:positionV relativeFrom="paragraph">
              <wp:posOffset>252992</wp:posOffset>
            </wp:positionV>
            <wp:extent cx="4191000" cy="228600"/>
            <wp:effectExtent l="0" t="0" r="0" b="0"/>
            <wp:wrapTopAndBottom/>
            <wp:docPr id="59"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7.jpeg"/>
                    <pic:cNvPicPr/>
                  </pic:nvPicPr>
                  <pic:blipFill>
                    <a:blip r:embed="rId43" cstate="print"/>
                    <a:stretch>
                      <a:fillRect/>
                    </a:stretch>
                  </pic:blipFill>
                  <pic:spPr>
                    <a:xfrm>
                      <a:off x="0" y="0"/>
                      <a:ext cx="4191000" cy="228600"/>
                    </a:xfrm>
                    <a:prstGeom prst="rect">
                      <a:avLst/>
                    </a:prstGeom>
                  </pic:spPr>
                </pic:pic>
              </a:graphicData>
            </a:graphic>
          </wp:anchor>
        </w:drawing>
      </w:r>
    </w:p>
    <w:p w14:paraId="026CCCAB" w14:textId="77777777" w:rsidR="00A71EEF" w:rsidRDefault="00A71EEF">
      <w:pPr>
        <w:pStyle w:val="a3"/>
        <w:spacing w:before="5"/>
        <w:rPr>
          <w:sz w:val="17"/>
        </w:rPr>
      </w:pPr>
    </w:p>
    <w:p w14:paraId="22F46B41" w14:textId="77777777" w:rsidR="00A71EEF" w:rsidRDefault="0081115D">
      <w:pPr>
        <w:pStyle w:val="a3"/>
        <w:spacing w:before="1"/>
        <w:ind w:left="838"/>
      </w:pPr>
      <w:r>
        <w:t>单位长度质量按式（</w:t>
      </w:r>
      <w:r>
        <w:t>1</w:t>
      </w:r>
      <w:r>
        <w:t>）计算：</w:t>
      </w:r>
      <w:r>
        <w:t xml:space="preserve"> </w:t>
      </w:r>
    </w:p>
    <w:p w14:paraId="15C359C3" w14:textId="77777777" w:rsidR="00A71EEF" w:rsidRDefault="00A71EEF">
      <w:pPr>
        <w:pStyle w:val="a3"/>
        <w:spacing w:before="12"/>
        <w:rPr>
          <w:sz w:val="17"/>
        </w:rPr>
      </w:pPr>
    </w:p>
    <w:p w14:paraId="02573A5A" w14:textId="77777777" w:rsidR="00A71EEF" w:rsidRDefault="0081115D">
      <w:pPr>
        <w:pStyle w:val="a3"/>
        <w:spacing w:line="446" w:lineRule="auto"/>
        <w:ind w:left="838" w:right="1822"/>
      </w:pPr>
      <w:r>
        <w:t>式中：</w:t>
      </w:r>
      <w:r>
        <w:t>A</w:t>
      </w:r>
      <w:r>
        <w:rPr>
          <w:spacing w:val="-7"/>
        </w:rPr>
        <w:t xml:space="preserve"> </w:t>
      </w:r>
      <w:r>
        <w:rPr>
          <w:spacing w:val="-7"/>
        </w:rPr>
        <w:t>为单位长度质量，单位为克每米</w:t>
      </w:r>
      <w:r>
        <w:t>（</w:t>
      </w:r>
      <w:r>
        <w:t>g/m</w:t>
      </w:r>
      <w:r>
        <w:t>）；</w:t>
      </w:r>
      <w:r>
        <w:t>G</w:t>
      </w:r>
      <w:r>
        <w:rPr>
          <w:spacing w:val="-7"/>
        </w:rPr>
        <w:t xml:space="preserve"> </w:t>
      </w:r>
      <w:r>
        <w:rPr>
          <w:spacing w:val="-7"/>
        </w:rPr>
        <w:t>为试样的质量，单位为克</w:t>
      </w:r>
      <w:r>
        <w:t>（</w:t>
      </w:r>
      <w:r>
        <w:t>g</w:t>
      </w:r>
      <w:r>
        <w:t>）；</w:t>
      </w:r>
      <w:r>
        <w:t xml:space="preserve"> L</w:t>
      </w:r>
      <w:r>
        <w:rPr>
          <w:spacing w:val="-9"/>
        </w:rPr>
        <w:t xml:space="preserve"> </w:t>
      </w:r>
      <w:r>
        <w:rPr>
          <w:spacing w:val="-9"/>
        </w:rPr>
        <w:t>为试样测量的长度，单位为米</w:t>
      </w:r>
      <w:r>
        <w:t>（</w:t>
      </w:r>
      <w:r>
        <w:t>m</w:t>
      </w:r>
      <w:r>
        <w:t>）</w:t>
      </w:r>
      <w:r>
        <w:rPr>
          <w:spacing w:val="-3"/>
        </w:rPr>
        <w:t>。</w:t>
      </w:r>
      <w:r>
        <w:t xml:space="preserve"> </w:t>
      </w:r>
    </w:p>
    <w:p w14:paraId="67663E1F" w14:textId="77777777" w:rsidR="00A71EEF" w:rsidRDefault="0081115D">
      <w:pPr>
        <w:pStyle w:val="a4"/>
        <w:numPr>
          <w:ilvl w:val="1"/>
          <w:numId w:val="888"/>
        </w:numPr>
        <w:tabs>
          <w:tab w:val="left" w:pos="1160"/>
        </w:tabs>
        <w:rPr>
          <w:b/>
          <w:sz w:val="21"/>
        </w:rPr>
      </w:pPr>
      <w:r>
        <w:rPr>
          <w:spacing w:val="-3"/>
          <w:sz w:val="21"/>
        </w:rPr>
        <w:t>延伸率、膨胀率及扭转方向试验</w:t>
      </w:r>
      <w:r>
        <w:rPr>
          <w:b/>
          <w:w w:val="99"/>
          <w:sz w:val="21"/>
        </w:rPr>
        <w:t xml:space="preserve"> </w:t>
      </w:r>
    </w:p>
    <w:p w14:paraId="586A2AA4" w14:textId="77777777" w:rsidR="00A71EEF" w:rsidRDefault="00A71EEF">
      <w:pPr>
        <w:pStyle w:val="a3"/>
        <w:spacing w:before="12"/>
        <w:rPr>
          <w:b/>
          <w:sz w:val="17"/>
        </w:rPr>
      </w:pPr>
    </w:p>
    <w:p w14:paraId="7BF2BE53" w14:textId="77777777" w:rsidR="00A71EEF" w:rsidRDefault="0081115D">
      <w:pPr>
        <w:pStyle w:val="a4"/>
        <w:numPr>
          <w:ilvl w:val="2"/>
          <w:numId w:val="888"/>
        </w:numPr>
        <w:tabs>
          <w:tab w:val="left" w:pos="1371"/>
        </w:tabs>
        <w:spacing w:line="446" w:lineRule="auto"/>
        <w:ind w:right="1448" w:firstLine="422"/>
        <w:rPr>
          <w:sz w:val="21"/>
        </w:rPr>
      </w:pPr>
      <w:r>
        <w:rPr>
          <w:spacing w:val="-9"/>
          <w:sz w:val="21"/>
        </w:rPr>
        <w:t>试样长度不小于</w:t>
      </w:r>
      <w:r>
        <w:rPr>
          <w:spacing w:val="-9"/>
          <w:sz w:val="21"/>
        </w:rPr>
        <w:t xml:space="preserve"> </w:t>
      </w:r>
      <w:r>
        <w:rPr>
          <w:sz w:val="21"/>
        </w:rPr>
        <w:t>15m</w:t>
      </w:r>
      <w:r>
        <w:rPr>
          <w:spacing w:val="-3"/>
          <w:sz w:val="21"/>
        </w:rPr>
        <w:t>，一端与水压源相接，另一端固定在专用夹具上。灌水并排尽空</w:t>
      </w:r>
      <w:r>
        <w:rPr>
          <w:spacing w:val="-7"/>
          <w:sz w:val="21"/>
        </w:rPr>
        <w:t>气后关闭排气阀。升压至</w:t>
      </w:r>
      <w:r>
        <w:rPr>
          <w:spacing w:val="-7"/>
          <w:sz w:val="21"/>
        </w:rPr>
        <w:t xml:space="preserve"> </w:t>
      </w:r>
      <w:r>
        <w:rPr>
          <w:sz w:val="21"/>
        </w:rPr>
        <w:t>0.1MPa</w:t>
      </w:r>
      <w:r>
        <w:rPr>
          <w:spacing w:val="-3"/>
          <w:sz w:val="21"/>
        </w:rPr>
        <w:t>，待试样延伸稳定后，测定此时试样的长度、两端及中间共三</w:t>
      </w:r>
      <w:r>
        <w:rPr>
          <w:spacing w:val="-6"/>
          <w:sz w:val="21"/>
        </w:rPr>
        <w:t>处周长的算术平均值，然后均匀地升压至表</w:t>
      </w:r>
      <w:r>
        <w:rPr>
          <w:spacing w:val="-6"/>
          <w:sz w:val="21"/>
        </w:rPr>
        <w:t xml:space="preserve"> </w:t>
      </w:r>
      <w:r>
        <w:rPr>
          <w:sz w:val="21"/>
        </w:rPr>
        <w:t>3</w:t>
      </w:r>
      <w:r>
        <w:rPr>
          <w:spacing w:val="-8"/>
          <w:sz w:val="21"/>
        </w:rPr>
        <w:t xml:space="preserve"> </w:t>
      </w:r>
      <w:r>
        <w:rPr>
          <w:spacing w:val="-8"/>
          <w:sz w:val="21"/>
        </w:rPr>
        <w:t>规定的设计工作压力，待试样延伸稳定后，再测</w:t>
      </w:r>
      <w:r>
        <w:rPr>
          <w:spacing w:val="-5"/>
          <w:sz w:val="21"/>
        </w:rPr>
        <w:t>定此时试样长度、相应三处周长的算术平均值并观察其扭转方向。</w:t>
      </w:r>
      <w:r>
        <w:rPr>
          <w:sz w:val="21"/>
        </w:rPr>
        <w:t xml:space="preserve"> </w:t>
      </w:r>
    </w:p>
    <w:p w14:paraId="2A7C73CF" w14:textId="77777777" w:rsidR="00A71EEF" w:rsidRDefault="00A71EEF">
      <w:pPr>
        <w:spacing w:line="446" w:lineRule="auto"/>
        <w:rPr>
          <w:sz w:val="21"/>
        </w:rPr>
        <w:sectPr w:rsidR="00A71EEF">
          <w:pgSz w:w="11910" w:h="16850"/>
          <w:pgMar w:top="1220" w:right="0" w:bottom="1420" w:left="1260" w:header="0" w:footer="1239" w:gutter="0"/>
          <w:cols w:space="720"/>
        </w:sectPr>
      </w:pPr>
    </w:p>
    <w:p w14:paraId="03739735" w14:textId="77777777" w:rsidR="00A71EEF" w:rsidRDefault="0081115D">
      <w:pPr>
        <w:pStyle w:val="a3"/>
        <w:ind w:left="913"/>
        <w:rPr>
          <w:sz w:val="20"/>
        </w:rPr>
      </w:pPr>
      <w:r>
        <w:rPr>
          <w:noProof/>
          <w:sz w:val="20"/>
        </w:rPr>
        <w:lastRenderedPageBreak/>
        <w:drawing>
          <wp:inline distT="0" distB="0" distL="0" distR="0" wp14:anchorId="4EA1A48F" wp14:editId="2A32E109">
            <wp:extent cx="4648200" cy="381000"/>
            <wp:effectExtent l="0" t="0" r="0" b="0"/>
            <wp:docPr id="61"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8.jpeg"/>
                    <pic:cNvPicPr/>
                  </pic:nvPicPr>
                  <pic:blipFill>
                    <a:blip r:embed="rId44" cstate="print"/>
                    <a:stretch>
                      <a:fillRect/>
                    </a:stretch>
                  </pic:blipFill>
                  <pic:spPr>
                    <a:xfrm>
                      <a:off x="0" y="0"/>
                      <a:ext cx="4648200" cy="381000"/>
                    </a:xfrm>
                    <a:prstGeom prst="rect">
                      <a:avLst/>
                    </a:prstGeom>
                  </pic:spPr>
                </pic:pic>
              </a:graphicData>
            </a:graphic>
          </wp:inline>
        </w:drawing>
      </w:r>
    </w:p>
    <w:p w14:paraId="047C78EA" w14:textId="77777777" w:rsidR="00A71EEF" w:rsidRDefault="00A71EEF">
      <w:pPr>
        <w:pStyle w:val="a3"/>
        <w:spacing w:before="1"/>
        <w:rPr>
          <w:sz w:val="16"/>
        </w:rPr>
      </w:pPr>
    </w:p>
    <w:p w14:paraId="36376660" w14:textId="77777777" w:rsidR="00A71EEF" w:rsidRDefault="0081115D">
      <w:pPr>
        <w:pStyle w:val="a3"/>
        <w:spacing w:before="71"/>
        <w:ind w:left="838"/>
      </w:pPr>
      <w:r>
        <w:t>延伸率、膨胀率按式（</w:t>
      </w:r>
      <w:r>
        <w:t>2</w:t>
      </w:r>
      <w:r>
        <w:t>）、式（</w:t>
      </w:r>
      <w:r>
        <w:t>3</w:t>
      </w:r>
      <w:r>
        <w:t>）计算：</w:t>
      </w:r>
      <w:r>
        <w:t xml:space="preserve"> </w:t>
      </w:r>
    </w:p>
    <w:p w14:paraId="065F41A7" w14:textId="77777777" w:rsidR="00A71EEF" w:rsidRDefault="00A71EEF">
      <w:pPr>
        <w:pStyle w:val="a3"/>
        <w:spacing w:before="2"/>
        <w:rPr>
          <w:sz w:val="17"/>
        </w:rPr>
      </w:pPr>
    </w:p>
    <w:p w14:paraId="0F664FCE" w14:textId="77777777" w:rsidR="00A71EEF" w:rsidRDefault="0081115D">
      <w:pPr>
        <w:pStyle w:val="a3"/>
        <w:ind w:left="838"/>
      </w:pPr>
      <w:r>
        <w:rPr>
          <w:position w:val="1"/>
        </w:rPr>
        <w:t>式中：</w:t>
      </w:r>
      <w:r>
        <w:rPr>
          <w:position w:val="1"/>
        </w:rPr>
        <w:t>△</w:t>
      </w:r>
      <w:r>
        <w:rPr>
          <w:i/>
          <w:position w:val="1"/>
          <w:sz w:val="22"/>
        </w:rPr>
        <w:t xml:space="preserve">L </w:t>
      </w:r>
      <w:r>
        <w:rPr>
          <w:i/>
          <w:position w:val="1"/>
          <w:sz w:val="22"/>
        </w:rPr>
        <w:t>为</w:t>
      </w:r>
      <w:r>
        <w:rPr>
          <w:position w:val="1"/>
        </w:rPr>
        <w:t>试样的延伸率，％；</w:t>
      </w:r>
      <w:r>
        <w:rPr>
          <w:i/>
          <w:position w:val="1"/>
          <w:sz w:val="22"/>
        </w:rPr>
        <w:t>L</w:t>
      </w:r>
      <w:r>
        <w:rPr>
          <w:sz w:val="11"/>
        </w:rPr>
        <w:t xml:space="preserve">0 </w:t>
      </w:r>
      <w:r>
        <w:rPr>
          <w:position w:val="1"/>
        </w:rPr>
        <w:t>为试样在承受</w:t>
      </w:r>
      <w:r>
        <w:rPr>
          <w:position w:val="1"/>
        </w:rPr>
        <w:t xml:space="preserve"> 0.1MPa </w:t>
      </w:r>
      <w:r>
        <w:rPr>
          <w:position w:val="1"/>
        </w:rPr>
        <w:t>压力时的长度，单位为米（</w:t>
      </w:r>
      <w:r>
        <w:rPr>
          <w:position w:val="1"/>
        </w:rPr>
        <w:t>m</w:t>
      </w:r>
      <w:r>
        <w:rPr>
          <w:position w:val="1"/>
        </w:rPr>
        <w:t>）；</w:t>
      </w:r>
      <w:r>
        <w:rPr>
          <w:position w:val="1"/>
        </w:rPr>
        <w:t xml:space="preserve"> </w:t>
      </w:r>
    </w:p>
    <w:p w14:paraId="631044C9" w14:textId="77777777" w:rsidR="00A71EEF" w:rsidRDefault="00A71EEF">
      <w:pPr>
        <w:pStyle w:val="a3"/>
        <w:spacing w:before="2"/>
        <w:rPr>
          <w:sz w:val="17"/>
        </w:rPr>
      </w:pPr>
    </w:p>
    <w:p w14:paraId="022BC0A5" w14:textId="77777777" w:rsidR="00A71EEF" w:rsidRDefault="0081115D">
      <w:pPr>
        <w:pStyle w:val="a3"/>
        <w:ind w:left="838"/>
      </w:pPr>
      <w:r>
        <w:rPr>
          <w:i/>
          <w:position w:val="1"/>
          <w:sz w:val="22"/>
        </w:rPr>
        <w:t>L</w:t>
      </w:r>
      <w:r>
        <w:rPr>
          <w:sz w:val="11"/>
        </w:rPr>
        <w:t xml:space="preserve">1 </w:t>
      </w:r>
      <w:r>
        <w:rPr>
          <w:position w:val="1"/>
        </w:rPr>
        <w:t>为试样在承受设计工作压力时的长度，单位为米（</w:t>
      </w:r>
      <w:r>
        <w:rPr>
          <w:position w:val="1"/>
        </w:rPr>
        <w:t>m</w:t>
      </w:r>
      <w:r>
        <w:rPr>
          <w:position w:val="1"/>
        </w:rPr>
        <w:t>）。</w:t>
      </w:r>
      <w:r>
        <w:rPr>
          <w:position w:val="1"/>
        </w:rPr>
        <w:t xml:space="preserve"> </w:t>
      </w:r>
    </w:p>
    <w:p w14:paraId="638A2373" w14:textId="77777777" w:rsidR="00A71EEF" w:rsidRDefault="00A71EEF">
      <w:pPr>
        <w:pStyle w:val="a3"/>
        <w:rPr>
          <w:sz w:val="20"/>
        </w:rPr>
      </w:pPr>
    </w:p>
    <w:p w14:paraId="457EE4BF" w14:textId="77777777" w:rsidR="00A71EEF" w:rsidRDefault="0081115D">
      <w:pPr>
        <w:pStyle w:val="a3"/>
        <w:spacing w:before="10"/>
        <w:rPr>
          <w:sz w:val="11"/>
        </w:rPr>
      </w:pPr>
      <w:r>
        <w:rPr>
          <w:noProof/>
        </w:rPr>
        <w:drawing>
          <wp:anchor distT="0" distB="0" distL="0" distR="0" simplePos="0" relativeHeight="251476480" behindDoc="0" locked="0" layoutInCell="1" allowOverlap="1" wp14:anchorId="7CEFDD00" wp14:editId="18FE34D3">
            <wp:simplePos x="0" y="0"/>
            <wp:positionH relativeFrom="page">
              <wp:posOffset>1532255</wp:posOffset>
            </wp:positionH>
            <wp:positionV relativeFrom="paragraph">
              <wp:posOffset>120975</wp:posOffset>
            </wp:positionV>
            <wp:extent cx="4572000" cy="381000"/>
            <wp:effectExtent l="0" t="0" r="0" b="0"/>
            <wp:wrapTopAndBottom/>
            <wp:docPr id="63"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9.jpeg"/>
                    <pic:cNvPicPr/>
                  </pic:nvPicPr>
                  <pic:blipFill>
                    <a:blip r:embed="rId45" cstate="print"/>
                    <a:stretch>
                      <a:fillRect/>
                    </a:stretch>
                  </pic:blipFill>
                  <pic:spPr>
                    <a:xfrm>
                      <a:off x="0" y="0"/>
                      <a:ext cx="4572000" cy="381000"/>
                    </a:xfrm>
                    <a:prstGeom prst="rect">
                      <a:avLst/>
                    </a:prstGeom>
                  </pic:spPr>
                </pic:pic>
              </a:graphicData>
            </a:graphic>
          </wp:anchor>
        </w:drawing>
      </w:r>
    </w:p>
    <w:p w14:paraId="301A486E" w14:textId="77777777" w:rsidR="00A71EEF" w:rsidRDefault="00A71EEF">
      <w:pPr>
        <w:pStyle w:val="a3"/>
        <w:rPr>
          <w:sz w:val="20"/>
        </w:rPr>
      </w:pPr>
    </w:p>
    <w:p w14:paraId="7B598404" w14:textId="77777777" w:rsidR="00A71EEF" w:rsidRDefault="00A71EEF">
      <w:pPr>
        <w:pStyle w:val="a3"/>
        <w:rPr>
          <w:sz w:val="20"/>
        </w:rPr>
      </w:pPr>
    </w:p>
    <w:p w14:paraId="342A8869" w14:textId="77777777" w:rsidR="00A71EEF" w:rsidRDefault="00A71EEF">
      <w:pPr>
        <w:pStyle w:val="a3"/>
        <w:spacing w:before="7"/>
        <w:rPr>
          <w:sz w:val="15"/>
        </w:rPr>
      </w:pPr>
    </w:p>
    <w:p w14:paraId="5EC000D4" w14:textId="77777777" w:rsidR="00A71EEF" w:rsidRDefault="0081115D">
      <w:pPr>
        <w:pStyle w:val="a3"/>
        <w:spacing w:line="424" w:lineRule="auto"/>
        <w:ind w:left="418" w:right="1580" w:firstLine="419"/>
      </w:pPr>
      <w:r>
        <w:rPr>
          <w:position w:val="1"/>
        </w:rPr>
        <w:t>式中：</w:t>
      </w:r>
      <w:r>
        <w:rPr>
          <w:position w:val="1"/>
        </w:rPr>
        <w:t>△</w:t>
      </w:r>
      <w:r>
        <w:rPr>
          <w:i/>
          <w:position w:val="1"/>
          <w:sz w:val="22"/>
        </w:rPr>
        <w:t>S</w:t>
      </w:r>
      <w:r>
        <w:rPr>
          <w:i/>
          <w:spacing w:val="-54"/>
          <w:position w:val="1"/>
          <w:sz w:val="22"/>
        </w:rPr>
        <w:t xml:space="preserve"> </w:t>
      </w:r>
      <w:r>
        <w:rPr>
          <w:spacing w:val="-3"/>
          <w:position w:val="1"/>
        </w:rPr>
        <w:t>为试样的膨胀率，％；</w:t>
      </w:r>
      <w:r>
        <w:rPr>
          <w:i/>
          <w:position w:val="1"/>
          <w:sz w:val="22"/>
        </w:rPr>
        <w:t>S</w:t>
      </w:r>
      <w:r>
        <w:rPr>
          <w:sz w:val="11"/>
        </w:rPr>
        <w:t xml:space="preserve">0 </w:t>
      </w:r>
      <w:r>
        <w:rPr>
          <w:spacing w:val="-10"/>
          <w:position w:val="1"/>
        </w:rPr>
        <w:t>为试样在承受</w:t>
      </w:r>
      <w:r>
        <w:rPr>
          <w:spacing w:val="-10"/>
          <w:position w:val="1"/>
        </w:rPr>
        <w:t xml:space="preserve"> </w:t>
      </w:r>
      <w:r>
        <w:rPr>
          <w:position w:val="1"/>
        </w:rPr>
        <w:t>0.1MPa</w:t>
      </w:r>
      <w:r>
        <w:rPr>
          <w:spacing w:val="-8"/>
          <w:position w:val="1"/>
        </w:rPr>
        <w:t xml:space="preserve"> </w:t>
      </w:r>
      <w:r>
        <w:rPr>
          <w:spacing w:val="-8"/>
          <w:position w:val="1"/>
        </w:rPr>
        <w:t>压力时三处周长的算术平均值，</w:t>
      </w:r>
      <w:r>
        <w:rPr>
          <w:spacing w:val="-8"/>
          <w:position w:val="1"/>
        </w:rPr>
        <w:t xml:space="preserve"> </w:t>
      </w:r>
      <w:r>
        <w:rPr>
          <w:spacing w:val="-6"/>
          <w:position w:val="1"/>
        </w:rPr>
        <w:t>单位为毫米</w:t>
      </w:r>
      <w:r>
        <w:rPr>
          <w:position w:val="1"/>
        </w:rPr>
        <w:t>（</w:t>
      </w:r>
      <w:r>
        <w:rPr>
          <w:position w:val="1"/>
        </w:rPr>
        <w:t>mm</w:t>
      </w:r>
      <w:r>
        <w:rPr>
          <w:position w:val="1"/>
        </w:rPr>
        <w:t>）；</w:t>
      </w:r>
      <w:r>
        <w:rPr>
          <w:i/>
          <w:position w:val="1"/>
          <w:sz w:val="22"/>
        </w:rPr>
        <w:t>S</w:t>
      </w:r>
      <w:r>
        <w:rPr>
          <w:sz w:val="11"/>
        </w:rPr>
        <w:t xml:space="preserve">1 </w:t>
      </w:r>
      <w:r>
        <w:rPr>
          <w:spacing w:val="-3"/>
          <w:position w:val="1"/>
        </w:rPr>
        <w:t>为试样在承受设计工作压力时三处周长的算术平均值，单位为毫米</w:t>
      </w:r>
    </w:p>
    <w:p w14:paraId="06ECB94F" w14:textId="77777777" w:rsidR="00A71EEF" w:rsidRDefault="0081115D">
      <w:pPr>
        <w:pStyle w:val="a3"/>
        <w:spacing w:before="14"/>
        <w:ind w:left="418"/>
      </w:pPr>
      <w:r>
        <w:t>（</w:t>
      </w:r>
      <w:r>
        <w:t>mm</w:t>
      </w:r>
      <w:r>
        <w:t>）。</w:t>
      </w:r>
      <w:r>
        <w:t xml:space="preserve"> </w:t>
      </w:r>
    </w:p>
    <w:p w14:paraId="428DBB94" w14:textId="77777777" w:rsidR="00A71EEF" w:rsidRDefault="00A71EEF">
      <w:pPr>
        <w:pStyle w:val="a3"/>
        <w:spacing w:before="12"/>
        <w:rPr>
          <w:sz w:val="17"/>
        </w:rPr>
      </w:pPr>
    </w:p>
    <w:p w14:paraId="5261F93A" w14:textId="77777777" w:rsidR="00A71EEF" w:rsidRDefault="0081115D">
      <w:pPr>
        <w:pStyle w:val="a4"/>
        <w:numPr>
          <w:ilvl w:val="2"/>
          <w:numId w:val="888"/>
        </w:numPr>
        <w:tabs>
          <w:tab w:val="left" w:pos="1371"/>
        </w:tabs>
        <w:ind w:left="1370"/>
        <w:rPr>
          <w:sz w:val="21"/>
        </w:rPr>
      </w:pPr>
      <w:r>
        <w:rPr>
          <w:spacing w:val="-3"/>
          <w:sz w:val="21"/>
        </w:rPr>
        <w:t>试验装置应符合以下规定：</w:t>
      </w:r>
      <w:r>
        <w:rPr>
          <w:sz w:val="21"/>
        </w:rPr>
        <w:t xml:space="preserve"> </w:t>
      </w:r>
    </w:p>
    <w:p w14:paraId="13A30575" w14:textId="77777777" w:rsidR="00A71EEF" w:rsidRDefault="00A71EEF">
      <w:pPr>
        <w:pStyle w:val="a3"/>
        <w:rPr>
          <w:sz w:val="18"/>
        </w:rPr>
      </w:pPr>
    </w:p>
    <w:p w14:paraId="701515BE" w14:textId="77777777" w:rsidR="00A71EEF" w:rsidRDefault="0081115D">
      <w:pPr>
        <w:pStyle w:val="a4"/>
        <w:numPr>
          <w:ilvl w:val="0"/>
          <w:numId w:val="887"/>
        </w:numPr>
        <w:tabs>
          <w:tab w:val="left" w:pos="1156"/>
        </w:tabs>
        <w:spacing w:line="446" w:lineRule="auto"/>
        <w:ind w:right="1505" w:firstLine="419"/>
        <w:rPr>
          <w:sz w:val="21"/>
        </w:rPr>
      </w:pPr>
      <w:r>
        <w:rPr>
          <w:spacing w:val="-3"/>
          <w:sz w:val="21"/>
        </w:rPr>
        <w:t>试验台：其有效长度应不小于试样长度并应采取减小试验台与水带摩擦的措施。专用夹具应能纵向移动并绕试样轴向旋转。试验台应装有排气阀；</w:t>
      </w:r>
      <w:r>
        <w:rPr>
          <w:sz w:val="21"/>
        </w:rPr>
        <w:t xml:space="preserve"> </w:t>
      </w:r>
    </w:p>
    <w:p w14:paraId="73F01BB9" w14:textId="77777777" w:rsidR="00A71EEF" w:rsidRDefault="0081115D">
      <w:pPr>
        <w:pStyle w:val="a4"/>
        <w:numPr>
          <w:ilvl w:val="0"/>
          <w:numId w:val="887"/>
        </w:numPr>
        <w:tabs>
          <w:tab w:val="left" w:pos="1156"/>
        </w:tabs>
        <w:spacing w:line="446" w:lineRule="auto"/>
        <w:ind w:right="1714" w:firstLine="419"/>
        <w:rPr>
          <w:sz w:val="21"/>
        </w:rPr>
      </w:pPr>
      <w:r>
        <w:rPr>
          <w:spacing w:val="-3"/>
          <w:sz w:val="21"/>
        </w:rPr>
        <w:t>水压源：采用双缸或双缸以上的电动往复泵，其工作压力应不低于试样的设计工作压力；</w:t>
      </w:r>
      <w:r>
        <w:rPr>
          <w:sz w:val="21"/>
        </w:rPr>
        <w:t xml:space="preserve"> </w:t>
      </w:r>
    </w:p>
    <w:p w14:paraId="5D64723B" w14:textId="77777777" w:rsidR="00A71EEF" w:rsidRDefault="0081115D">
      <w:pPr>
        <w:pStyle w:val="a4"/>
        <w:numPr>
          <w:ilvl w:val="0"/>
          <w:numId w:val="887"/>
        </w:numPr>
        <w:tabs>
          <w:tab w:val="left" w:pos="1156"/>
        </w:tabs>
        <w:ind w:left="1155"/>
        <w:rPr>
          <w:sz w:val="21"/>
        </w:rPr>
      </w:pPr>
      <w:r>
        <w:rPr>
          <w:spacing w:val="-10"/>
          <w:sz w:val="21"/>
        </w:rPr>
        <w:t>稳压装置应符合</w:t>
      </w:r>
      <w:r>
        <w:rPr>
          <w:spacing w:val="-10"/>
          <w:sz w:val="21"/>
        </w:rPr>
        <w:t xml:space="preserve"> </w:t>
      </w:r>
      <w:r>
        <w:rPr>
          <w:sz w:val="21"/>
        </w:rPr>
        <w:t>5.4.3c</w:t>
      </w:r>
      <w:r>
        <w:rPr>
          <w:sz w:val="21"/>
        </w:rPr>
        <w:t>）</w:t>
      </w:r>
      <w:r>
        <w:rPr>
          <w:spacing w:val="-3"/>
          <w:sz w:val="21"/>
        </w:rPr>
        <w:t>的规定；</w:t>
      </w:r>
      <w:r>
        <w:rPr>
          <w:sz w:val="21"/>
        </w:rPr>
        <w:t xml:space="preserve"> </w:t>
      </w:r>
    </w:p>
    <w:p w14:paraId="717F1C2B" w14:textId="77777777" w:rsidR="00A71EEF" w:rsidRDefault="00A71EEF">
      <w:pPr>
        <w:pStyle w:val="a3"/>
        <w:spacing w:before="12"/>
        <w:rPr>
          <w:sz w:val="17"/>
        </w:rPr>
      </w:pPr>
    </w:p>
    <w:p w14:paraId="34689C8D" w14:textId="77777777" w:rsidR="00A71EEF" w:rsidRDefault="0081115D">
      <w:pPr>
        <w:pStyle w:val="a4"/>
        <w:numPr>
          <w:ilvl w:val="0"/>
          <w:numId w:val="887"/>
        </w:numPr>
        <w:tabs>
          <w:tab w:val="left" w:pos="1156"/>
        </w:tabs>
        <w:spacing w:line="446" w:lineRule="auto"/>
        <w:ind w:right="1560" w:firstLine="419"/>
        <w:rPr>
          <w:sz w:val="21"/>
        </w:rPr>
      </w:pPr>
      <w:r>
        <w:rPr>
          <w:spacing w:val="-7"/>
          <w:sz w:val="21"/>
        </w:rPr>
        <w:t>压力显示装置：测量下限为</w:t>
      </w:r>
      <w:r>
        <w:rPr>
          <w:spacing w:val="-7"/>
          <w:sz w:val="21"/>
        </w:rPr>
        <w:t xml:space="preserve"> </w:t>
      </w:r>
      <w:r>
        <w:rPr>
          <w:sz w:val="21"/>
        </w:rPr>
        <w:t>0</w:t>
      </w:r>
      <w:r>
        <w:rPr>
          <w:spacing w:val="-6"/>
          <w:sz w:val="21"/>
        </w:rPr>
        <w:t>，测量上限为试样设计工作压力的</w:t>
      </w:r>
      <w:r>
        <w:rPr>
          <w:spacing w:val="-6"/>
          <w:sz w:val="21"/>
        </w:rPr>
        <w:t xml:space="preserve"> </w:t>
      </w:r>
      <w:r>
        <w:rPr>
          <w:sz w:val="21"/>
        </w:rPr>
        <w:t>1.5</w:t>
      </w:r>
      <w:r>
        <w:rPr>
          <w:spacing w:val="-25"/>
          <w:sz w:val="21"/>
        </w:rPr>
        <w:t xml:space="preserve"> </w:t>
      </w:r>
      <w:r>
        <w:rPr>
          <w:spacing w:val="-25"/>
          <w:sz w:val="21"/>
        </w:rPr>
        <w:t>倍到</w:t>
      </w:r>
      <w:r>
        <w:rPr>
          <w:spacing w:val="-25"/>
          <w:sz w:val="21"/>
        </w:rPr>
        <w:t xml:space="preserve"> </w:t>
      </w:r>
      <w:r>
        <w:rPr>
          <w:sz w:val="21"/>
        </w:rPr>
        <w:t>2.0</w:t>
      </w:r>
      <w:r>
        <w:rPr>
          <w:spacing w:val="-12"/>
          <w:sz w:val="21"/>
        </w:rPr>
        <w:t xml:space="preserve"> </w:t>
      </w:r>
      <w:r>
        <w:rPr>
          <w:spacing w:val="-12"/>
          <w:sz w:val="21"/>
        </w:rPr>
        <w:t>倍，精度</w:t>
      </w:r>
      <w:r>
        <w:rPr>
          <w:spacing w:val="-6"/>
          <w:sz w:val="21"/>
        </w:rPr>
        <w:t>应不低于</w:t>
      </w:r>
      <w:r>
        <w:rPr>
          <w:spacing w:val="-6"/>
          <w:sz w:val="21"/>
        </w:rPr>
        <w:t>±</w:t>
      </w:r>
      <w:r>
        <w:rPr>
          <w:sz w:val="21"/>
        </w:rPr>
        <w:t>0.03MPa</w:t>
      </w:r>
      <w:r>
        <w:rPr>
          <w:sz w:val="21"/>
        </w:rPr>
        <w:t>；</w:t>
      </w:r>
      <w:r>
        <w:rPr>
          <w:sz w:val="21"/>
        </w:rPr>
        <w:t xml:space="preserve"> </w:t>
      </w:r>
    </w:p>
    <w:p w14:paraId="2C4A9BAD" w14:textId="77777777" w:rsidR="00A71EEF" w:rsidRDefault="0081115D">
      <w:pPr>
        <w:pStyle w:val="a4"/>
        <w:numPr>
          <w:ilvl w:val="0"/>
          <w:numId w:val="887"/>
        </w:numPr>
        <w:tabs>
          <w:tab w:val="left" w:pos="1156"/>
        </w:tabs>
        <w:spacing w:line="446" w:lineRule="auto"/>
        <w:ind w:left="840" w:right="6237" w:hanging="3"/>
        <w:rPr>
          <w:sz w:val="21"/>
        </w:rPr>
      </w:pPr>
      <w:r>
        <w:rPr>
          <w:spacing w:val="-10"/>
          <w:sz w:val="21"/>
        </w:rPr>
        <w:t>钢卷尺应符合</w:t>
      </w:r>
      <w:r>
        <w:rPr>
          <w:spacing w:val="-10"/>
          <w:sz w:val="21"/>
        </w:rPr>
        <w:t xml:space="preserve"> </w:t>
      </w:r>
      <w:r>
        <w:rPr>
          <w:sz w:val="21"/>
        </w:rPr>
        <w:t>QB/T</w:t>
      </w:r>
      <w:r>
        <w:rPr>
          <w:spacing w:val="3"/>
          <w:sz w:val="21"/>
        </w:rPr>
        <w:t xml:space="preserve"> </w:t>
      </w:r>
      <w:r>
        <w:rPr>
          <w:sz w:val="21"/>
        </w:rPr>
        <w:t>2443</w:t>
      </w:r>
      <w:r>
        <w:rPr>
          <w:spacing w:val="-13"/>
          <w:sz w:val="21"/>
        </w:rPr>
        <w:t xml:space="preserve"> </w:t>
      </w:r>
      <w:r>
        <w:rPr>
          <w:spacing w:val="-13"/>
          <w:sz w:val="21"/>
        </w:rPr>
        <w:t>的规定。</w:t>
      </w:r>
      <w:r>
        <w:rPr>
          <w:b/>
          <w:sz w:val="21"/>
        </w:rPr>
        <w:t xml:space="preserve">5.8 </w:t>
      </w:r>
      <w:r>
        <w:rPr>
          <w:spacing w:val="-3"/>
          <w:sz w:val="21"/>
        </w:rPr>
        <w:t>可弯曲性试验</w:t>
      </w:r>
      <w:r>
        <w:rPr>
          <w:sz w:val="21"/>
        </w:rPr>
        <w:t xml:space="preserve"> </w:t>
      </w:r>
    </w:p>
    <w:p w14:paraId="4542F624" w14:textId="77777777" w:rsidR="00A71EEF" w:rsidRDefault="0081115D">
      <w:pPr>
        <w:pStyle w:val="a4"/>
        <w:numPr>
          <w:ilvl w:val="2"/>
          <w:numId w:val="886"/>
        </w:numPr>
        <w:tabs>
          <w:tab w:val="left" w:pos="1370"/>
        </w:tabs>
        <w:spacing w:line="446" w:lineRule="auto"/>
        <w:ind w:right="1813" w:firstLine="422"/>
        <w:rPr>
          <w:sz w:val="21"/>
        </w:rPr>
      </w:pPr>
      <w:r>
        <w:rPr>
          <w:spacing w:val="-23"/>
          <w:sz w:val="21"/>
        </w:rPr>
        <w:t>经</w:t>
      </w:r>
      <w:r>
        <w:rPr>
          <w:spacing w:val="-23"/>
          <w:sz w:val="21"/>
        </w:rPr>
        <w:t xml:space="preserve"> </w:t>
      </w:r>
      <w:r>
        <w:rPr>
          <w:sz w:val="21"/>
        </w:rPr>
        <w:t>5.7</w:t>
      </w:r>
      <w:r>
        <w:rPr>
          <w:spacing w:val="-8"/>
          <w:sz w:val="21"/>
        </w:rPr>
        <w:t xml:space="preserve"> </w:t>
      </w:r>
      <w:r>
        <w:rPr>
          <w:spacing w:val="-8"/>
          <w:sz w:val="21"/>
        </w:rPr>
        <w:t>试验后，将试样装夹在弯曲试验装置上，灌水并排尽其中空气，关闭排气</w:t>
      </w:r>
      <w:r>
        <w:rPr>
          <w:spacing w:val="-11"/>
          <w:sz w:val="21"/>
        </w:rPr>
        <w:t>阀，均匀地调压至</w:t>
      </w:r>
      <w:r>
        <w:rPr>
          <w:spacing w:val="-11"/>
          <w:sz w:val="21"/>
        </w:rPr>
        <w:t xml:space="preserve"> </w:t>
      </w:r>
      <w:r>
        <w:rPr>
          <w:sz w:val="21"/>
        </w:rPr>
        <w:t>0.8MPa</w:t>
      </w:r>
      <w:r>
        <w:rPr>
          <w:spacing w:val="-8"/>
          <w:sz w:val="21"/>
        </w:rPr>
        <w:t>。判断试验结果是否符合</w:t>
      </w:r>
      <w:r>
        <w:rPr>
          <w:spacing w:val="-8"/>
          <w:sz w:val="21"/>
        </w:rPr>
        <w:t xml:space="preserve"> </w:t>
      </w:r>
      <w:r>
        <w:rPr>
          <w:sz w:val="21"/>
        </w:rPr>
        <w:t>4.8</w:t>
      </w:r>
      <w:r>
        <w:rPr>
          <w:spacing w:val="-13"/>
          <w:sz w:val="21"/>
        </w:rPr>
        <w:t xml:space="preserve"> </w:t>
      </w:r>
      <w:r>
        <w:rPr>
          <w:spacing w:val="-13"/>
          <w:sz w:val="21"/>
        </w:rPr>
        <w:t>的规定。</w:t>
      </w:r>
      <w:r>
        <w:rPr>
          <w:sz w:val="21"/>
        </w:rPr>
        <w:t xml:space="preserve"> </w:t>
      </w:r>
    </w:p>
    <w:p w14:paraId="34E9A90E" w14:textId="77777777" w:rsidR="00A71EEF" w:rsidRDefault="0081115D">
      <w:pPr>
        <w:pStyle w:val="a4"/>
        <w:numPr>
          <w:ilvl w:val="2"/>
          <w:numId w:val="886"/>
        </w:numPr>
        <w:tabs>
          <w:tab w:val="left" w:pos="1370"/>
        </w:tabs>
        <w:ind w:left="1369" w:hanging="530"/>
        <w:rPr>
          <w:sz w:val="21"/>
        </w:rPr>
      </w:pPr>
      <w:r>
        <w:rPr>
          <w:spacing w:val="-3"/>
          <w:sz w:val="21"/>
        </w:rPr>
        <w:t>试验装置应符合以下规定：</w:t>
      </w:r>
      <w:r>
        <w:rPr>
          <w:sz w:val="21"/>
        </w:rPr>
        <w:t xml:space="preserve"> </w:t>
      </w:r>
    </w:p>
    <w:p w14:paraId="03076019" w14:textId="77777777" w:rsidR="00A71EEF" w:rsidRDefault="00A71EEF">
      <w:pPr>
        <w:pStyle w:val="a3"/>
        <w:rPr>
          <w:sz w:val="17"/>
        </w:rPr>
      </w:pPr>
    </w:p>
    <w:p w14:paraId="4CFE42AC" w14:textId="77777777" w:rsidR="00A71EEF" w:rsidRDefault="0081115D">
      <w:pPr>
        <w:pStyle w:val="a3"/>
        <w:spacing w:line="441" w:lineRule="auto"/>
        <w:ind w:left="838" w:right="2141"/>
      </w:pPr>
      <w:r>
        <w:t>a</w:t>
      </w:r>
      <w:r>
        <w:t>）</w:t>
      </w:r>
      <w:r>
        <w:rPr>
          <w:spacing w:val="-3"/>
        </w:rPr>
        <w:t>弯曲试验架：结构尺寸如图</w:t>
      </w:r>
      <w:r>
        <w:rPr>
          <w:spacing w:val="-3"/>
        </w:rPr>
        <w:t xml:space="preserve"> </w:t>
      </w:r>
      <w:r>
        <w:t xml:space="preserve">2 </w:t>
      </w:r>
      <w:r>
        <w:t>所示，图中</w:t>
      </w:r>
      <w:r>
        <w:t xml:space="preserve"> </w:t>
      </w:r>
      <w:r>
        <w:rPr>
          <w:i/>
          <w:sz w:val="22"/>
        </w:rPr>
        <w:t>R</w:t>
      </w:r>
      <w:r>
        <w:rPr>
          <w:i/>
          <w:spacing w:val="1"/>
          <w:sz w:val="22"/>
        </w:rPr>
        <w:t xml:space="preserve"> </w:t>
      </w:r>
      <w:r>
        <w:t>为表</w:t>
      </w:r>
      <w:r>
        <w:t xml:space="preserve"> 6</w:t>
      </w:r>
      <w:r>
        <w:rPr>
          <w:spacing w:val="-3"/>
        </w:rPr>
        <w:t xml:space="preserve"> </w:t>
      </w:r>
      <w:r>
        <w:rPr>
          <w:spacing w:val="-3"/>
        </w:rPr>
        <w:t>规定的水带弯曲半径；</w:t>
      </w:r>
      <w:r>
        <w:rPr>
          <w:spacing w:val="-3"/>
        </w:rPr>
        <w:t xml:space="preserve"> </w:t>
      </w:r>
      <w:r>
        <w:t>b</w:t>
      </w:r>
      <w:r>
        <w:t>）</w:t>
      </w:r>
      <w:r>
        <w:rPr>
          <w:spacing w:val="-2"/>
        </w:rPr>
        <w:t>水压源：采用双缸或双缸以上的电动往复泵，其工作压力应不低于</w:t>
      </w:r>
      <w:r>
        <w:rPr>
          <w:spacing w:val="-2"/>
        </w:rPr>
        <w:t xml:space="preserve"> </w:t>
      </w:r>
      <w:r>
        <w:t>0.8MPa</w:t>
      </w:r>
      <w:r>
        <w:t>；</w:t>
      </w:r>
      <w:r>
        <w:t xml:space="preserve"> c</w:t>
      </w:r>
      <w:r>
        <w:t>）</w:t>
      </w:r>
      <w:r>
        <w:rPr>
          <w:spacing w:val="-7"/>
        </w:rPr>
        <w:t>压力显示装置：测量下限为</w:t>
      </w:r>
      <w:r>
        <w:rPr>
          <w:spacing w:val="-7"/>
        </w:rPr>
        <w:t xml:space="preserve"> </w:t>
      </w:r>
      <w:r>
        <w:t>0</w:t>
      </w:r>
      <w:r>
        <w:rPr>
          <w:spacing w:val="-10"/>
        </w:rPr>
        <w:t>，测量上限为</w:t>
      </w:r>
      <w:r>
        <w:rPr>
          <w:spacing w:val="-10"/>
        </w:rPr>
        <w:t xml:space="preserve"> </w:t>
      </w:r>
      <w:r>
        <w:t>1.6MPa</w:t>
      </w:r>
      <w:r>
        <w:rPr>
          <w:spacing w:val="-3"/>
        </w:rPr>
        <w:t>，精度应不低于</w:t>
      </w:r>
      <w:r>
        <w:rPr>
          <w:spacing w:val="-3"/>
        </w:rPr>
        <w:t>±</w:t>
      </w:r>
      <w:r>
        <w:t>0.03MPa</w:t>
      </w:r>
      <w:r>
        <w:rPr>
          <w:spacing w:val="-3"/>
        </w:rPr>
        <w:t>。</w:t>
      </w:r>
      <w:r>
        <w:t xml:space="preserve"> </w:t>
      </w:r>
    </w:p>
    <w:p w14:paraId="5150A50A" w14:textId="77777777" w:rsidR="00A71EEF" w:rsidRDefault="00A71EEF">
      <w:pPr>
        <w:spacing w:line="441" w:lineRule="auto"/>
        <w:sectPr w:rsidR="00A71EEF">
          <w:pgSz w:w="11910" w:h="16850"/>
          <w:pgMar w:top="1600" w:right="0" w:bottom="1420" w:left="1260" w:header="0" w:footer="1239" w:gutter="0"/>
          <w:cols w:space="720"/>
        </w:sectPr>
      </w:pPr>
    </w:p>
    <w:p w14:paraId="1DD85856" w14:textId="77777777" w:rsidR="00A71EEF" w:rsidRDefault="0081115D">
      <w:pPr>
        <w:pStyle w:val="6"/>
        <w:spacing w:before="47"/>
        <w:ind w:right="914"/>
        <w:jc w:val="center"/>
      </w:pPr>
      <w:r>
        <w:lastRenderedPageBreak/>
        <w:t>图</w:t>
      </w:r>
      <w:r>
        <w:t xml:space="preserve"> 2   </w:t>
      </w:r>
      <w:r>
        <w:t>单位为毫米</w:t>
      </w:r>
      <w:r>
        <w:rPr>
          <w:w w:val="99"/>
        </w:rPr>
        <w:t xml:space="preserve"> </w:t>
      </w:r>
    </w:p>
    <w:p w14:paraId="0FC19DB5" w14:textId="77777777" w:rsidR="00A71EEF" w:rsidRDefault="0081115D">
      <w:pPr>
        <w:pStyle w:val="a3"/>
        <w:spacing w:before="3"/>
        <w:rPr>
          <w:b/>
          <w:sz w:val="10"/>
        </w:rPr>
      </w:pPr>
      <w:r>
        <w:rPr>
          <w:noProof/>
        </w:rPr>
        <w:drawing>
          <wp:anchor distT="0" distB="0" distL="0" distR="0" simplePos="0" relativeHeight="251477504" behindDoc="0" locked="0" layoutInCell="1" allowOverlap="1" wp14:anchorId="6B3D44D0" wp14:editId="2885C850">
            <wp:simplePos x="0" y="0"/>
            <wp:positionH relativeFrom="page">
              <wp:posOffset>1446530</wp:posOffset>
            </wp:positionH>
            <wp:positionV relativeFrom="paragraph">
              <wp:posOffset>108037</wp:posOffset>
            </wp:positionV>
            <wp:extent cx="4371975" cy="1714500"/>
            <wp:effectExtent l="0" t="0" r="0" b="0"/>
            <wp:wrapTopAndBottom/>
            <wp:docPr id="65"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50.png"/>
                    <pic:cNvPicPr/>
                  </pic:nvPicPr>
                  <pic:blipFill>
                    <a:blip r:embed="rId46" cstate="print"/>
                    <a:stretch>
                      <a:fillRect/>
                    </a:stretch>
                  </pic:blipFill>
                  <pic:spPr>
                    <a:xfrm>
                      <a:off x="0" y="0"/>
                      <a:ext cx="4371975" cy="1714500"/>
                    </a:xfrm>
                    <a:prstGeom prst="rect">
                      <a:avLst/>
                    </a:prstGeom>
                  </pic:spPr>
                </pic:pic>
              </a:graphicData>
            </a:graphic>
          </wp:anchor>
        </w:drawing>
      </w:r>
    </w:p>
    <w:p w14:paraId="11CBE0A7" w14:textId="77777777" w:rsidR="00A71EEF" w:rsidRDefault="0081115D">
      <w:pPr>
        <w:pStyle w:val="a4"/>
        <w:numPr>
          <w:ilvl w:val="1"/>
          <w:numId w:val="885"/>
        </w:numPr>
        <w:tabs>
          <w:tab w:val="left" w:pos="1159"/>
        </w:tabs>
        <w:spacing w:before="162"/>
        <w:ind w:hanging="319"/>
        <w:rPr>
          <w:b/>
          <w:sz w:val="21"/>
        </w:rPr>
      </w:pPr>
      <w:r>
        <w:rPr>
          <w:spacing w:val="-3"/>
          <w:sz w:val="21"/>
        </w:rPr>
        <w:t>黏附性试验</w:t>
      </w:r>
      <w:r>
        <w:rPr>
          <w:b/>
          <w:w w:val="99"/>
          <w:sz w:val="21"/>
        </w:rPr>
        <w:t xml:space="preserve"> </w:t>
      </w:r>
    </w:p>
    <w:p w14:paraId="55762D79" w14:textId="77777777" w:rsidR="00A71EEF" w:rsidRDefault="00A71EEF">
      <w:pPr>
        <w:pStyle w:val="a3"/>
        <w:spacing w:before="2"/>
        <w:rPr>
          <w:b/>
          <w:sz w:val="18"/>
        </w:rPr>
      </w:pPr>
    </w:p>
    <w:p w14:paraId="31BB6DC0" w14:textId="77777777" w:rsidR="00A71EEF" w:rsidRDefault="0081115D">
      <w:pPr>
        <w:pStyle w:val="a4"/>
        <w:numPr>
          <w:ilvl w:val="2"/>
          <w:numId w:val="885"/>
        </w:numPr>
        <w:tabs>
          <w:tab w:val="left" w:pos="1370"/>
        </w:tabs>
        <w:spacing w:line="446" w:lineRule="auto"/>
        <w:ind w:right="1813" w:firstLine="422"/>
        <w:rPr>
          <w:sz w:val="21"/>
        </w:rPr>
      </w:pPr>
      <w:r>
        <w:rPr>
          <w:spacing w:val="-3"/>
          <w:sz w:val="21"/>
        </w:rPr>
        <w:t>试样形状及尺寸应与压块压持面的形状及尺寸相同。试验时将试样衬里</w:t>
      </w:r>
      <w:r>
        <w:rPr>
          <w:sz w:val="21"/>
        </w:rPr>
        <w:t>（</w:t>
      </w:r>
      <w:r>
        <w:rPr>
          <w:spacing w:val="-2"/>
          <w:sz w:val="21"/>
        </w:rPr>
        <w:t>或外覆层）</w:t>
      </w:r>
      <w:r>
        <w:rPr>
          <w:spacing w:val="-3"/>
          <w:sz w:val="21"/>
        </w:rPr>
        <w:t>表面冲洗干净并擦干，使两块衬里（或外覆层</w:t>
      </w:r>
      <w:r>
        <w:rPr>
          <w:sz w:val="21"/>
        </w:rPr>
        <w:t>）</w:t>
      </w:r>
      <w:r>
        <w:rPr>
          <w:spacing w:val="-3"/>
          <w:sz w:val="21"/>
        </w:rPr>
        <w:t>相向重叠，置于电热干燥箱内在</w:t>
      </w:r>
      <w:r>
        <w:rPr>
          <w:sz w:val="21"/>
        </w:rPr>
        <w:t>（</w:t>
      </w:r>
      <w:r>
        <w:rPr>
          <w:sz w:val="21"/>
        </w:rPr>
        <w:t>55±</w:t>
      </w:r>
    </w:p>
    <w:p w14:paraId="7E6E1CB6" w14:textId="77777777" w:rsidR="00A71EEF" w:rsidRDefault="0081115D">
      <w:pPr>
        <w:pStyle w:val="a3"/>
        <w:spacing w:line="446" w:lineRule="auto"/>
        <w:ind w:left="418" w:right="1455"/>
      </w:pPr>
      <w:r>
        <w:t>1</w:t>
      </w:r>
      <w:r>
        <w:t>）</w:t>
      </w:r>
      <w:r>
        <w:rPr>
          <w:spacing w:val="-8"/>
        </w:rPr>
        <w:t>℃</w:t>
      </w:r>
      <w:r>
        <w:rPr>
          <w:spacing w:val="-8"/>
        </w:rPr>
        <w:t>条件下，试样承受</w:t>
      </w:r>
      <w:r>
        <w:rPr>
          <w:spacing w:val="-8"/>
        </w:rPr>
        <w:t xml:space="preserve"> </w:t>
      </w:r>
      <w:r>
        <w:t>0.01MPa</w:t>
      </w:r>
      <w:r>
        <w:rPr>
          <w:spacing w:val="-15"/>
        </w:rPr>
        <w:t xml:space="preserve"> </w:t>
      </w:r>
      <w:r>
        <w:rPr>
          <w:spacing w:val="-15"/>
        </w:rPr>
        <w:t>的压强，保持</w:t>
      </w:r>
      <w:r>
        <w:rPr>
          <w:spacing w:val="-15"/>
        </w:rPr>
        <w:t xml:space="preserve"> </w:t>
      </w:r>
      <w:r>
        <w:t>168h</w:t>
      </w:r>
      <w:r>
        <w:rPr>
          <w:spacing w:val="-6"/>
        </w:rPr>
        <w:t>，取出试样，判断试验结果是否符合</w:t>
      </w:r>
      <w:r>
        <w:rPr>
          <w:spacing w:val="-6"/>
        </w:rPr>
        <w:t xml:space="preserve"> </w:t>
      </w:r>
      <w:r>
        <w:t>4.9</w:t>
      </w:r>
      <w:r>
        <w:rPr>
          <w:spacing w:val="-25"/>
        </w:rPr>
        <w:t xml:space="preserve"> </w:t>
      </w:r>
      <w:r>
        <w:rPr>
          <w:spacing w:val="-25"/>
        </w:rPr>
        <w:t>规</w:t>
      </w:r>
      <w:r>
        <w:rPr>
          <w:spacing w:val="-14"/>
        </w:rPr>
        <w:t>定。</w:t>
      </w:r>
      <w:r>
        <w:t xml:space="preserve"> </w:t>
      </w:r>
    </w:p>
    <w:p w14:paraId="61507AA3" w14:textId="77777777" w:rsidR="00A71EEF" w:rsidRDefault="0081115D">
      <w:pPr>
        <w:pStyle w:val="a4"/>
        <w:numPr>
          <w:ilvl w:val="2"/>
          <w:numId w:val="885"/>
        </w:numPr>
        <w:tabs>
          <w:tab w:val="left" w:pos="1370"/>
        </w:tabs>
        <w:ind w:left="1369" w:hanging="530"/>
        <w:rPr>
          <w:sz w:val="21"/>
        </w:rPr>
      </w:pPr>
      <w:r>
        <w:rPr>
          <w:spacing w:val="-3"/>
          <w:sz w:val="21"/>
        </w:rPr>
        <w:t>试验装置应符合以下规定：</w:t>
      </w:r>
      <w:r>
        <w:rPr>
          <w:sz w:val="21"/>
        </w:rPr>
        <w:t xml:space="preserve"> </w:t>
      </w:r>
    </w:p>
    <w:p w14:paraId="677D9741" w14:textId="77777777" w:rsidR="00A71EEF" w:rsidRDefault="00A71EEF">
      <w:pPr>
        <w:pStyle w:val="a3"/>
        <w:spacing w:before="10"/>
        <w:rPr>
          <w:sz w:val="17"/>
        </w:rPr>
      </w:pPr>
    </w:p>
    <w:p w14:paraId="582082DC" w14:textId="77777777" w:rsidR="00A71EEF" w:rsidRDefault="0081115D">
      <w:pPr>
        <w:pStyle w:val="a3"/>
        <w:spacing w:line="446" w:lineRule="auto"/>
        <w:ind w:left="838" w:right="1407"/>
      </w:pPr>
      <w:r>
        <w:t>a</w:t>
      </w:r>
      <w:r>
        <w:t>）电热干燥箱应符合</w:t>
      </w:r>
      <w:r>
        <w:t xml:space="preserve"> JB/T 5520 </w:t>
      </w:r>
      <w:r>
        <w:t>的要求。温度波动为</w:t>
      </w:r>
      <w:r>
        <w:t>±1℃</w:t>
      </w:r>
      <w:r>
        <w:t>，温度均匀性系数为</w:t>
      </w:r>
      <w:r>
        <w:t>±0.025</w:t>
      </w:r>
      <w:r>
        <w:t>；</w:t>
      </w:r>
      <w:r>
        <w:t xml:space="preserve"> b</w:t>
      </w:r>
      <w:r>
        <w:t>）压块的压持面应光滑平整，其形状为圆形，直径应小于带宽。</w:t>
      </w:r>
      <w:r>
        <w:t xml:space="preserve"> </w:t>
      </w:r>
    </w:p>
    <w:p w14:paraId="7249217D" w14:textId="77777777" w:rsidR="00A71EEF" w:rsidRDefault="0081115D">
      <w:pPr>
        <w:pStyle w:val="a4"/>
        <w:numPr>
          <w:ilvl w:val="1"/>
          <w:numId w:val="885"/>
        </w:numPr>
        <w:tabs>
          <w:tab w:val="left" w:pos="1264"/>
        </w:tabs>
        <w:ind w:left="1263" w:hanging="424"/>
        <w:rPr>
          <w:b/>
          <w:sz w:val="21"/>
        </w:rPr>
      </w:pPr>
      <w:r>
        <w:rPr>
          <w:spacing w:val="-3"/>
          <w:sz w:val="21"/>
        </w:rPr>
        <w:t>耐低温性试验</w:t>
      </w:r>
      <w:r>
        <w:rPr>
          <w:b/>
          <w:w w:val="99"/>
          <w:sz w:val="21"/>
        </w:rPr>
        <w:t xml:space="preserve"> </w:t>
      </w:r>
    </w:p>
    <w:p w14:paraId="7A96A401" w14:textId="77777777" w:rsidR="00A71EEF" w:rsidRDefault="00A71EEF">
      <w:pPr>
        <w:pStyle w:val="a3"/>
        <w:spacing w:before="12"/>
        <w:rPr>
          <w:b/>
          <w:sz w:val="17"/>
        </w:rPr>
      </w:pPr>
    </w:p>
    <w:p w14:paraId="001EB447" w14:textId="77777777" w:rsidR="00A71EEF" w:rsidRDefault="0081115D">
      <w:pPr>
        <w:pStyle w:val="a4"/>
        <w:numPr>
          <w:ilvl w:val="2"/>
          <w:numId w:val="885"/>
        </w:numPr>
        <w:tabs>
          <w:tab w:val="left" w:pos="1478"/>
        </w:tabs>
        <w:spacing w:line="446" w:lineRule="auto"/>
        <w:ind w:right="1553" w:firstLine="422"/>
        <w:rPr>
          <w:sz w:val="21"/>
        </w:rPr>
      </w:pPr>
      <w:r>
        <w:rPr>
          <w:spacing w:val="-3"/>
          <w:sz w:val="21"/>
        </w:rPr>
        <w:t>试验时将带有接口的试样</w:t>
      </w:r>
      <w:r>
        <w:rPr>
          <w:sz w:val="21"/>
        </w:rPr>
        <w:t>（</w:t>
      </w:r>
      <w:r>
        <w:rPr>
          <w:spacing w:val="-13"/>
          <w:sz w:val="21"/>
        </w:rPr>
        <w:t>不小于</w:t>
      </w:r>
      <w:r>
        <w:rPr>
          <w:spacing w:val="-13"/>
          <w:sz w:val="21"/>
        </w:rPr>
        <w:t xml:space="preserve"> </w:t>
      </w:r>
      <w:r>
        <w:rPr>
          <w:sz w:val="21"/>
        </w:rPr>
        <w:t>1</w:t>
      </w:r>
      <w:r>
        <w:rPr>
          <w:sz w:val="21"/>
        </w:rPr>
        <w:t>5m</w:t>
      </w:r>
      <w:r>
        <w:rPr>
          <w:sz w:val="21"/>
        </w:rPr>
        <w:t>）</w:t>
      </w:r>
      <w:r>
        <w:rPr>
          <w:spacing w:val="-3"/>
          <w:sz w:val="21"/>
        </w:rPr>
        <w:t>卷紧置于低温箱内，在</w:t>
      </w:r>
      <w:r>
        <w:rPr>
          <w:sz w:val="21"/>
        </w:rPr>
        <w:t>（</w:t>
      </w:r>
      <w:r>
        <w:rPr>
          <w:sz w:val="21"/>
        </w:rPr>
        <w:t>-30±3</w:t>
      </w:r>
      <w:r>
        <w:rPr>
          <w:sz w:val="21"/>
        </w:rPr>
        <w:t>）</w:t>
      </w:r>
      <w:r>
        <w:rPr>
          <w:spacing w:val="-2"/>
          <w:sz w:val="21"/>
        </w:rPr>
        <w:t>℃</w:t>
      </w:r>
      <w:r>
        <w:rPr>
          <w:spacing w:val="-2"/>
          <w:sz w:val="21"/>
        </w:rPr>
        <w:t>条件</w:t>
      </w:r>
      <w:r>
        <w:rPr>
          <w:spacing w:val="-15"/>
          <w:sz w:val="21"/>
        </w:rPr>
        <w:t>下存放</w:t>
      </w:r>
      <w:r>
        <w:rPr>
          <w:spacing w:val="-15"/>
          <w:sz w:val="21"/>
        </w:rPr>
        <w:t xml:space="preserve"> </w:t>
      </w:r>
      <w:r>
        <w:rPr>
          <w:sz w:val="21"/>
        </w:rPr>
        <w:t>10h</w:t>
      </w:r>
      <w:r>
        <w:rPr>
          <w:spacing w:val="-6"/>
          <w:sz w:val="21"/>
        </w:rPr>
        <w:t>。取出后试验，判断试验结果是否符合</w:t>
      </w:r>
      <w:r>
        <w:rPr>
          <w:spacing w:val="-6"/>
          <w:sz w:val="21"/>
        </w:rPr>
        <w:t xml:space="preserve"> </w:t>
      </w:r>
      <w:r>
        <w:rPr>
          <w:sz w:val="21"/>
        </w:rPr>
        <w:t>4.10</w:t>
      </w:r>
      <w:r>
        <w:rPr>
          <w:spacing w:val="-13"/>
          <w:sz w:val="21"/>
        </w:rPr>
        <w:t xml:space="preserve"> </w:t>
      </w:r>
      <w:r>
        <w:rPr>
          <w:spacing w:val="-13"/>
          <w:sz w:val="21"/>
        </w:rPr>
        <w:t>的规定。</w:t>
      </w:r>
      <w:r>
        <w:rPr>
          <w:sz w:val="21"/>
        </w:rPr>
        <w:t xml:space="preserve"> </w:t>
      </w:r>
    </w:p>
    <w:p w14:paraId="34F6A949" w14:textId="77777777" w:rsidR="00A71EEF" w:rsidRDefault="0081115D">
      <w:pPr>
        <w:pStyle w:val="a4"/>
        <w:numPr>
          <w:ilvl w:val="2"/>
          <w:numId w:val="885"/>
        </w:numPr>
        <w:tabs>
          <w:tab w:val="left" w:pos="1478"/>
        </w:tabs>
        <w:spacing w:line="446" w:lineRule="auto"/>
        <w:ind w:right="1601" w:firstLine="422"/>
        <w:rPr>
          <w:sz w:val="21"/>
        </w:rPr>
      </w:pPr>
      <w:r>
        <w:rPr>
          <w:spacing w:val="-12"/>
          <w:sz w:val="21"/>
        </w:rPr>
        <w:t>水带在按</w:t>
      </w:r>
      <w:r>
        <w:rPr>
          <w:spacing w:val="-12"/>
          <w:sz w:val="21"/>
        </w:rPr>
        <w:t xml:space="preserve"> </w:t>
      </w:r>
      <w:r>
        <w:rPr>
          <w:sz w:val="21"/>
        </w:rPr>
        <w:t>5.10.1</w:t>
      </w:r>
      <w:r>
        <w:rPr>
          <w:spacing w:val="-12"/>
          <w:sz w:val="21"/>
        </w:rPr>
        <w:t xml:space="preserve"> </w:t>
      </w:r>
      <w:r>
        <w:rPr>
          <w:spacing w:val="-12"/>
          <w:sz w:val="21"/>
        </w:rPr>
        <w:t>规定试验后，在试样内圈的一端取</w:t>
      </w:r>
      <w:r>
        <w:rPr>
          <w:spacing w:val="-12"/>
          <w:sz w:val="21"/>
        </w:rPr>
        <w:t xml:space="preserve"> </w:t>
      </w:r>
      <w:r>
        <w:rPr>
          <w:sz w:val="21"/>
        </w:rPr>
        <w:t>1.20m</w:t>
      </w:r>
      <w:r>
        <w:rPr>
          <w:spacing w:val="-8"/>
          <w:sz w:val="21"/>
        </w:rPr>
        <w:t xml:space="preserve"> </w:t>
      </w:r>
      <w:r>
        <w:rPr>
          <w:spacing w:val="-8"/>
          <w:sz w:val="21"/>
        </w:rPr>
        <w:t>长的试样，置于室温条</w:t>
      </w:r>
      <w:r>
        <w:rPr>
          <w:spacing w:val="-15"/>
          <w:sz w:val="21"/>
        </w:rPr>
        <w:t>件下存放</w:t>
      </w:r>
      <w:r>
        <w:rPr>
          <w:spacing w:val="-15"/>
          <w:sz w:val="21"/>
        </w:rPr>
        <w:t xml:space="preserve"> </w:t>
      </w:r>
      <w:r>
        <w:rPr>
          <w:sz w:val="21"/>
        </w:rPr>
        <w:t>1h</w:t>
      </w:r>
      <w:r>
        <w:rPr>
          <w:spacing w:val="-11"/>
          <w:sz w:val="21"/>
        </w:rPr>
        <w:t>，然后按</w:t>
      </w:r>
      <w:r>
        <w:rPr>
          <w:spacing w:val="-11"/>
          <w:sz w:val="21"/>
        </w:rPr>
        <w:t xml:space="preserve"> </w:t>
      </w:r>
      <w:r>
        <w:rPr>
          <w:sz w:val="21"/>
        </w:rPr>
        <w:t>5.4.1</w:t>
      </w:r>
      <w:r>
        <w:rPr>
          <w:spacing w:val="-8"/>
          <w:sz w:val="21"/>
        </w:rPr>
        <w:t xml:space="preserve"> </w:t>
      </w:r>
      <w:r>
        <w:rPr>
          <w:spacing w:val="-8"/>
          <w:sz w:val="21"/>
        </w:rPr>
        <w:t>规定加压至试样的设计工作压力。观察试样是否有渗漏现象。</w:t>
      </w:r>
      <w:r>
        <w:rPr>
          <w:sz w:val="21"/>
        </w:rPr>
        <w:t xml:space="preserve"> </w:t>
      </w:r>
    </w:p>
    <w:p w14:paraId="75C936C6" w14:textId="77777777" w:rsidR="00A71EEF" w:rsidRDefault="0081115D">
      <w:pPr>
        <w:pStyle w:val="a4"/>
        <w:numPr>
          <w:ilvl w:val="2"/>
          <w:numId w:val="885"/>
        </w:numPr>
        <w:tabs>
          <w:tab w:val="left" w:pos="1478"/>
        </w:tabs>
        <w:spacing w:before="1" w:line="446" w:lineRule="auto"/>
        <w:ind w:right="1601" w:firstLine="422"/>
        <w:rPr>
          <w:sz w:val="21"/>
        </w:rPr>
      </w:pPr>
      <w:r>
        <w:rPr>
          <w:spacing w:val="-12"/>
          <w:sz w:val="21"/>
        </w:rPr>
        <w:t>湿水带按</w:t>
      </w:r>
      <w:r>
        <w:rPr>
          <w:spacing w:val="-12"/>
          <w:sz w:val="21"/>
        </w:rPr>
        <w:t xml:space="preserve"> </w:t>
      </w:r>
      <w:r>
        <w:rPr>
          <w:sz w:val="21"/>
        </w:rPr>
        <w:t>5.10.1</w:t>
      </w:r>
      <w:r>
        <w:rPr>
          <w:spacing w:val="-12"/>
          <w:sz w:val="21"/>
        </w:rPr>
        <w:t xml:space="preserve"> </w:t>
      </w:r>
      <w:r>
        <w:rPr>
          <w:spacing w:val="-12"/>
          <w:sz w:val="21"/>
        </w:rPr>
        <w:t>规定试验后，在试样内圈的一端取</w:t>
      </w:r>
      <w:r>
        <w:rPr>
          <w:spacing w:val="-12"/>
          <w:sz w:val="21"/>
        </w:rPr>
        <w:t xml:space="preserve"> </w:t>
      </w:r>
      <w:r>
        <w:rPr>
          <w:sz w:val="21"/>
        </w:rPr>
        <w:t>1.20m</w:t>
      </w:r>
      <w:r>
        <w:rPr>
          <w:spacing w:val="-8"/>
          <w:sz w:val="21"/>
        </w:rPr>
        <w:t xml:space="preserve"> </w:t>
      </w:r>
      <w:r>
        <w:rPr>
          <w:spacing w:val="-8"/>
          <w:sz w:val="21"/>
        </w:rPr>
        <w:t>长的试样，置于室温条</w:t>
      </w:r>
      <w:r>
        <w:rPr>
          <w:spacing w:val="-15"/>
          <w:sz w:val="21"/>
        </w:rPr>
        <w:t>件下存放</w:t>
      </w:r>
      <w:r>
        <w:rPr>
          <w:spacing w:val="-15"/>
          <w:sz w:val="21"/>
        </w:rPr>
        <w:t xml:space="preserve"> </w:t>
      </w:r>
      <w:r>
        <w:rPr>
          <w:sz w:val="21"/>
        </w:rPr>
        <w:t>1h</w:t>
      </w:r>
      <w:r>
        <w:rPr>
          <w:spacing w:val="-11"/>
          <w:sz w:val="21"/>
        </w:rPr>
        <w:t>，然后按</w:t>
      </w:r>
      <w:r>
        <w:rPr>
          <w:spacing w:val="-11"/>
          <w:sz w:val="21"/>
        </w:rPr>
        <w:t xml:space="preserve"> </w:t>
      </w:r>
      <w:r>
        <w:rPr>
          <w:sz w:val="21"/>
        </w:rPr>
        <w:t>5.5.1</w:t>
      </w:r>
      <w:r>
        <w:rPr>
          <w:spacing w:val="-8"/>
          <w:sz w:val="21"/>
        </w:rPr>
        <w:t xml:space="preserve"> </w:t>
      </w:r>
      <w:r>
        <w:rPr>
          <w:spacing w:val="-8"/>
          <w:sz w:val="21"/>
        </w:rPr>
        <w:t>规定加压至试样的设计工作压力。判断试样是否有喷水现象。</w:t>
      </w:r>
      <w:r>
        <w:rPr>
          <w:sz w:val="21"/>
        </w:rPr>
        <w:t xml:space="preserve"> </w:t>
      </w:r>
    </w:p>
    <w:p w14:paraId="43474FAD" w14:textId="77777777" w:rsidR="00A71EEF" w:rsidRDefault="0081115D">
      <w:pPr>
        <w:pStyle w:val="a4"/>
        <w:numPr>
          <w:ilvl w:val="2"/>
          <w:numId w:val="885"/>
        </w:numPr>
        <w:tabs>
          <w:tab w:val="left" w:pos="1478"/>
        </w:tabs>
        <w:spacing w:line="446" w:lineRule="auto"/>
        <w:ind w:right="1601" w:firstLine="422"/>
        <w:rPr>
          <w:sz w:val="21"/>
        </w:rPr>
      </w:pPr>
      <w:r>
        <w:rPr>
          <w:spacing w:val="-3"/>
          <w:sz w:val="21"/>
        </w:rPr>
        <w:t>低温箱的温度波动度和温度均匀性均不超过</w:t>
      </w:r>
      <w:r>
        <w:rPr>
          <w:sz w:val="21"/>
        </w:rPr>
        <w:t>±3</w:t>
      </w:r>
      <w:r>
        <w:rPr>
          <w:spacing w:val="-3"/>
          <w:sz w:val="21"/>
        </w:rPr>
        <w:t>℃</w:t>
      </w:r>
      <w:r>
        <w:rPr>
          <w:spacing w:val="-3"/>
          <w:sz w:val="21"/>
        </w:rPr>
        <w:t>。工作室尺寸至少应能放置整盘卷好的试样一根。</w:t>
      </w:r>
      <w:r>
        <w:rPr>
          <w:sz w:val="21"/>
        </w:rPr>
        <w:t xml:space="preserve"> </w:t>
      </w:r>
    </w:p>
    <w:p w14:paraId="21C88288" w14:textId="77777777" w:rsidR="00A71EEF" w:rsidRDefault="0081115D">
      <w:pPr>
        <w:pStyle w:val="a4"/>
        <w:numPr>
          <w:ilvl w:val="1"/>
          <w:numId w:val="885"/>
        </w:numPr>
        <w:tabs>
          <w:tab w:val="left" w:pos="1264"/>
        </w:tabs>
        <w:ind w:left="1263" w:hanging="424"/>
        <w:rPr>
          <w:sz w:val="21"/>
        </w:rPr>
      </w:pPr>
      <w:r>
        <w:rPr>
          <w:spacing w:val="-2"/>
          <w:sz w:val="21"/>
        </w:rPr>
        <w:t>衬里</w:t>
      </w:r>
      <w:r>
        <w:rPr>
          <w:spacing w:val="-3"/>
          <w:sz w:val="21"/>
        </w:rPr>
        <w:t>（或外覆层</w:t>
      </w:r>
      <w:r>
        <w:rPr>
          <w:sz w:val="21"/>
        </w:rPr>
        <w:t>）</w:t>
      </w:r>
      <w:r>
        <w:rPr>
          <w:spacing w:val="-3"/>
          <w:sz w:val="21"/>
        </w:rPr>
        <w:t>的物理力学性能试验</w:t>
      </w:r>
      <w:r>
        <w:rPr>
          <w:sz w:val="21"/>
        </w:rPr>
        <w:t xml:space="preserve"> </w:t>
      </w:r>
    </w:p>
    <w:p w14:paraId="2444575A" w14:textId="77777777" w:rsidR="00A71EEF" w:rsidRDefault="00A71EEF">
      <w:pPr>
        <w:pStyle w:val="a3"/>
        <w:spacing w:before="9"/>
        <w:rPr>
          <w:sz w:val="17"/>
        </w:rPr>
      </w:pPr>
    </w:p>
    <w:p w14:paraId="6CD7D728" w14:textId="77777777" w:rsidR="00A71EEF" w:rsidRDefault="0081115D">
      <w:pPr>
        <w:pStyle w:val="a4"/>
        <w:numPr>
          <w:ilvl w:val="2"/>
          <w:numId w:val="885"/>
        </w:numPr>
        <w:tabs>
          <w:tab w:val="left" w:pos="1478"/>
        </w:tabs>
        <w:ind w:left="1477" w:hanging="638"/>
        <w:rPr>
          <w:sz w:val="21"/>
        </w:rPr>
      </w:pPr>
      <w:r>
        <w:rPr>
          <w:spacing w:val="-3"/>
          <w:sz w:val="21"/>
        </w:rPr>
        <w:t>附着强度试验</w:t>
      </w:r>
      <w:r>
        <w:rPr>
          <w:spacing w:val="-3"/>
          <w:sz w:val="21"/>
        </w:rPr>
        <w:t xml:space="preserve"> </w:t>
      </w:r>
    </w:p>
    <w:p w14:paraId="2F6613F7" w14:textId="77777777" w:rsidR="00A71EEF" w:rsidRDefault="00A71EEF">
      <w:pPr>
        <w:pStyle w:val="a3"/>
        <w:spacing w:before="2"/>
        <w:rPr>
          <w:sz w:val="18"/>
        </w:rPr>
      </w:pPr>
    </w:p>
    <w:p w14:paraId="7A18BD13" w14:textId="77777777" w:rsidR="00A71EEF" w:rsidRDefault="0081115D">
      <w:pPr>
        <w:pStyle w:val="a3"/>
        <w:spacing w:before="1" w:line="446" w:lineRule="auto"/>
        <w:ind w:left="418" w:right="1455" w:firstLine="419"/>
      </w:pPr>
      <w:r>
        <w:rPr>
          <w:spacing w:val="-24"/>
        </w:rPr>
        <w:t>按</w:t>
      </w:r>
      <w:r>
        <w:rPr>
          <w:spacing w:val="-24"/>
        </w:rPr>
        <w:t xml:space="preserve"> </w:t>
      </w:r>
      <w:r>
        <w:t>GB/T 532</w:t>
      </w:r>
      <w:r>
        <w:rPr>
          <w:spacing w:val="-10"/>
        </w:rPr>
        <w:t xml:space="preserve"> </w:t>
      </w:r>
      <w:r>
        <w:rPr>
          <w:spacing w:val="-10"/>
        </w:rPr>
        <w:t>中附着强度试验方法的规定进行，试样宽度为</w:t>
      </w:r>
      <w:r>
        <w:rPr>
          <w:spacing w:val="-10"/>
        </w:rPr>
        <w:t xml:space="preserve"> </w:t>
      </w:r>
      <w:r>
        <w:t>25mm</w:t>
      </w:r>
      <w:r>
        <w:rPr>
          <w:spacing w:val="-3"/>
        </w:rPr>
        <w:t>。试样分别沿试样经、纬方</w:t>
      </w:r>
      <w:r>
        <w:rPr>
          <w:spacing w:val="-5"/>
        </w:rPr>
        <w:t>向各截取三块，计算六个试样检验结果的算术平均值，判断试验结果是否符合</w:t>
      </w:r>
      <w:r>
        <w:rPr>
          <w:spacing w:val="-5"/>
        </w:rPr>
        <w:t xml:space="preserve"> </w:t>
      </w:r>
      <w:r>
        <w:t>4.11.1</w:t>
      </w:r>
      <w:r>
        <w:rPr>
          <w:spacing w:val="-15"/>
        </w:rPr>
        <w:t xml:space="preserve"> </w:t>
      </w:r>
      <w:r>
        <w:rPr>
          <w:spacing w:val="-15"/>
        </w:rPr>
        <w:t>规定。</w:t>
      </w:r>
      <w:r>
        <w:t xml:space="preserve"> </w:t>
      </w:r>
    </w:p>
    <w:p w14:paraId="221A73A5" w14:textId="77777777" w:rsidR="00A71EEF" w:rsidRDefault="00A71EEF">
      <w:pPr>
        <w:spacing w:line="446" w:lineRule="auto"/>
        <w:sectPr w:rsidR="00A71EEF">
          <w:pgSz w:w="11910" w:h="16850"/>
          <w:pgMar w:top="1220" w:right="0" w:bottom="1420" w:left="1260" w:header="0" w:footer="1239" w:gutter="0"/>
          <w:cols w:space="720"/>
        </w:sectPr>
      </w:pPr>
    </w:p>
    <w:p w14:paraId="6BD35096" w14:textId="77777777" w:rsidR="00A71EEF" w:rsidRDefault="0081115D">
      <w:pPr>
        <w:pStyle w:val="a4"/>
        <w:numPr>
          <w:ilvl w:val="2"/>
          <w:numId w:val="885"/>
        </w:numPr>
        <w:tabs>
          <w:tab w:val="left" w:pos="1478"/>
        </w:tabs>
        <w:spacing w:before="47"/>
        <w:ind w:left="1477" w:hanging="638"/>
        <w:rPr>
          <w:sz w:val="21"/>
        </w:rPr>
      </w:pPr>
      <w:r>
        <w:rPr>
          <w:spacing w:val="-3"/>
          <w:sz w:val="21"/>
        </w:rPr>
        <w:lastRenderedPageBreak/>
        <w:t>扯断伸长率和扯断强度</w:t>
      </w:r>
      <w:r>
        <w:rPr>
          <w:sz w:val="21"/>
        </w:rPr>
        <w:t xml:space="preserve"> </w:t>
      </w:r>
    </w:p>
    <w:p w14:paraId="24C78DEB" w14:textId="77777777" w:rsidR="00A71EEF" w:rsidRDefault="00A71EEF">
      <w:pPr>
        <w:pStyle w:val="a3"/>
        <w:rPr>
          <w:sz w:val="18"/>
        </w:rPr>
      </w:pPr>
    </w:p>
    <w:p w14:paraId="169C3AED" w14:textId="77777777" w:rsidR="00A71EEF" w:rsidRDefault="0081115D">
      <w:pPr>
        <w:pStyle w:val="a4"/>
        <w:numPr>
          <w:ilvl w:val="3"/>
          <w:numId w:val="885"/>
        </w:numPr>
        <w:tabs>
          <w:tab w:val="left" w:pos="1682"/>
        </w:tabs>
        <w:spacing w:line="446" w:lineRule="auto"/>
        <w:ind w:right="1613" w:firstLine="419"/>
        <w:rPr>
          <w:sz w:val="21"/>
        </w:rPr>
      </w:pPr>
      <w:r>
        <w:rPr>
          <w:spacing w:val="-6"/>
          <w:sz w:val="21"/>
        </w:rPr>
        <w:t>胶衬里的扯断伸长率和扯断强度试验按</w:t>
      </w:r>
      <w:r>
        <w:rPr>
          <w:spacing w:val="-6"/>
          <w:sz w:val="21"/>
        </w:rPr>
        <w:t xml:space="preserve"> </w:t>
      </w:r>
      <w:r>
        <w:rPr>
          <w:sz w:val="21"/>
        </w:rPr>
        <w:t>GB/T</w:t>
      </w:r>
      <w:r>
        <w:rPr>
          <w:spacing w:val="11"/>
          <w:sz w:val="21"/>
        </w:rPr>
        <w:t xml:space="preserve"> </w:t>
      </w:r>
      <w:r>
        <w:rPr>
          <w:sz w:val="21"/>
        </w:rPr>
        <w:t>528</w:t>
      </w:r>
      <w:r>
        <w:rPr>
          <w:spacing w:val="-9"/>
          <w:sz w:val="21"/>
        </w:rPr>
        <w:t xml:space="preserve"> </w:t>
      </w:r>
      <w:r>
        <w:rPr>
          <w:spacing w:val="-9"/>
          <w:sz w:val="21"/>
        </w:rPr>
        <w:t>中的规定进行，判断试验结果</w:t>
      </w:r>
      <w:r>
        <w:rPr>
          <w:spacing w:val="-16"/>
          <w:sz w:val="21"/>
        </w:rPr>
        <w:t>是否符合</w:t>
      </w:r>
      <w:r>
        <w:rPr>
          <w:spacing w:val="-16"/>
          <w:sz w:val="21"/>
        </w:rPr>
        <w:t xml:space="preserve"> </w:t>
      </w:r>
      <w:r>
        <w:rPr>
          <w:sz w:val="21"/>
        </w:rPr>
        <w:t>4.11.2</w:t>
      </w:r>
      <w:r>
        <w:rPr>
          <w:spacing w:val="-12"/>
          <w:sz w:val="21"/>
        </w:rPr>
        <w:t xml:space="preserve"> </w:t>
      </w:r>
      <w:r>
        <w:rPr>
          <w:spacing w:val="-12"/>
          <w:sz w:val="21"/>
        </w:rPr>
        <w:t>的规定。</w:t>
      </w:r>
      <w:r>
        <w:rPr>
          <w:spacing w:val="-12"/>
          <w:sz w:val="21"/>
        </w:rPr>
        <w:t xml:space="preserve"> </w:t>
      </w:r>
    </w:p>
    <w:p w14:paraId="028D65AD" w14:textId="77777777" w:rsidR="00A71EEF" w:rsidRDefault="0081115D">
      <w:pPr>
        <w:pStyle w:val="a4"/>
        <w:numPr>
          <w:ilvl w:val="3"/>
          <w:numId w:val="885"/>
        </w:numPr>
        <w:tabs>
          <w:tab w:val="left" w:pos="1682"/>
        </w:tabs>
        <w:spacing w:line="446" w:lineRule="auto"/>
        <w:ind w:right="1507" w:firstLine="419"/>
        <w:rPr>
          <w:sz w:val="21"/>
        </w:rPr>
      </w:pPr>
      <w:r>
        <w:rPr>
          <w:spacing w:val="-5"/>
          <w:sz w:val="21"/>
        </w:rPr>
        <w:t>塑料衬里、聚氨酯衬里的扯断伸长率和扯断强度试验按</w:t>
      </w:r>
      <w:r>
        <w:rPr>
          <w:spacing w:val="-5"/>
          <w:sz w:val="21"/>
        </w:rPr>
        <w:t xml:space="preserve"> </w:t>
      </w:r>
      <w:r>
        <w:rPr>
          <w:sz w:val="21"/>
        </w:rPr>
        <w:t>GB/T</w:t>
      </w:r>
      <w:r>
        <w:rPr>
          <w:spacing w:val="7"/>
          <w:sz w:val="21"/>
        </w:rPr>
        <w:t xml:space="preserve"> </w:t>
      </w:r>
      <w:r>
        <w:rPr>
          <w:sz w:val="21"/>
        </w:rPr>
        <w:t>1040.1</w:t>
      </w:r>
      <w:r>
        <w:rPr>
          <w:spacing w:val="-10"/>
          <w:sz w:val="21"/>
        </w:rPr>
        <w:t xml:space="preserve"> </w:t>
      </w:r>
      <w:r>
        <w:rPr>
          <w:spacing w:val="-10"/>
          <w:sz w:val="21"/>
        </w:rPr>
        <w:t>中的规定进</w:t>
      </w:r>
      <w:r>
        <w:rPr>
          <w:spacing w:val="-9"/>
          <w:sz w:val="21"/>
        </w:rPr>
        <w:t>行，判断试验结果是否符合</w:t>
      </w:r>
      <w:r>
        <w:rPr>
          <w:spacing w:val="-9"/>
          <w:sz w:val="21"/>
        </w:rPr>
        <w:t xml:space="preserve"> </w:t>
      </w:r>
      <w:r>
        <w:rPr>
          <w:sz w:val="21"/>
        </w:rPr>
        <w:t>4.11.2</w:t>
      </w:r>
      <w:r>
        <w:rPr>
          <w:spacing w:val="-13"/>
          <w:sz w:val="21"/>
        </w:rPr>
        <w:t xml:space="preserve"> </w:t>
      </w:r>
      <w:r>
        <w:rPr>
          <w:spacing w:val="-13"/>
          <w:sz w:val="21"/>
        </w:rPr>
        <w:t>的规定。</w:t>
      </w:r>
      <w:r>
        <w:rPr>
          <w:sz w:val="21"/>
        </w:rPr>
        <w:t xml:space="preserve"> </w:t>
      </w:r>
    </w:p>
    <w:p w14:paraId="05824D95" w14:textId="77777777" w:rsidR="00A71EEF" w:rsidRDefault="0081115D">
      <w:pPr>
        <w:pStyle w:val="a4"/>
        <w:numPr>
          <w:ilvl w:val="2"/>
          <w:numId w:val="885"/>
        </w:numPr>
        <w:tabs>
          <w:tab w:val="left" w:pos="1478"/>
        </w:tabs>
        <w:spacing w:line="267" w:lineRule="exact"/>
        <w:ind w:left="1477" w:hanging="638"/>
        <w:rPr>
          <w:sz w:val="21"/>
        </w:rPr>
      </w:pPr>
      <w:r>
        <w:rPr>
          <w:spacing w:val="-3"/>
          <w:sz w:val="21"/>
        </w:rPr>
        <w:t>热空气老化试验</w:t>
      </w:r>
      <w:r>
        <w:rPr>
          <w:sz w:val="21"/>
        </w:rPr>
        <w:t xml:space="preserve"> </w:t>
      </w:r>
    </w:p>
    <w:p w14:paraId="72E6F54A" w14:textId="77777777" w:rsidR="00A71EEF" w:rsidRDefault="00A71EEF">
      <w:pPr>
        <w:pStyle w:val="a3"/>
        <w:spacing w:before="2"/>
        <w:rPr>
          <w:sz w:val="18"/>
        </w:rPr>
      </w:pPr>
    </w:p>
    <w:p w14:paraId="215D1681" w14:textId="77777777" w:rsidR="00A71EEF" w:rsidRDefault="0081115D">
      <w:pPr>
        <w:pStyle w:val="a4"/>
        <w:numPr>
          <w:ilvl w:val="3"/>
          <w:numId w:val="885"/>
        </w:numPr>
        <w:tabs>
          <w:tab w:val="left" w:pos="1682"/>
        </w:tabs>
        <w:spacing w:line="446" w:lineRule="auto"/>
        <w:ind w:right="1452" w:firstLine="419"/>
        <w:jc w:val="both"/>
        <w:rPr>
          <w:sz w:val="21"/>
        </w:rPr>
      </w:pPr>
      <w:r>
        <w:rPr>
          <w:spacing w:val="-3"/>
          <w:sz w:val="21"/>
        </w:rPr>
        <w:t>热空气老化试验的试样同与之对比试验的试样应在试样的相邻部位截取；将试样</w:t>
      </w:r>
      <w:r>
        <w:rPr>
          <w:spacing w:val="-3"/>
          <w:sz w:val="21"/>
        </w:rPr>
        <w:t xml:space="preserve"> </w:t>
      </w:r>
      <w:r>
        <w:rPr>
          <w:spacing w:val="-4"/>
          <w:sz w:val="21"/>
        </w:rPr>
        <w:t>置于热空气老化箱内的试样架上，试样与箱壁之间的距离不应小于</w:t>
      </w:r>
      <w:r>
        <w:rPr>
          <w:spacing w:val="-4"/>
          <w:sz w:val="21"/>
        </w:rPr>
        <w:t xml:space="preserve"> </w:t>
      </w:r>
      <w:r>
        <w:rPr>
          <w:sz w:val="21"/>
        </w:rPr>
        <w:t>70mm</w:t>
      </w:r>
      <w:r>
        <w:rPr>
          <w:spacing w:val="-2"/>
          <w:sz w:val="21"/>
        </w:rPr>
        <w:t>，在</w:t>
      </w:r>
      <w:r>
        <w:rPr>
          <w:sz w:val="21"/>
        </w:rPr>
        <w:t>（</w:t>
      </w:r>
      <w:r>
        <w:rPr>
          <w:sz w:val="21"/>
        </w:rPr>
        <w:t>70±1</w:t>
      </w:r>
      <w:r>
        <w:rPr>
          <w:sz w:val="21"/>
        </w:rPr>
        <w:t>）</w:t>
      </w:r>
      <w:r>
        <w:rPr>
          <w:spacing w:val="-2"/>
          <w:sz w:val="21"/>
        </w:rPr>
        <w:t>℃</w:t>
      </w:r>
      <w:r>
        <w:rPr>
          <w:spacing w:val="-2"/>
          <w:sz w:val="21"/>
        </w:rPr>
        <w:t>条件下</w:t>
      </w:r>
      <w:r>
        <w:rPr>
          <w:spacing w:val="-20"/>
          <w:sz w:val="21"/>
        </w:rPr>
        <w:t>试验</w:t>
      </w:r>
      <w:r>
        <w:rPr>
          <w:spacing w:val="-20"/>
          <w:sz w:val="21"/>
        </w:rPr>
        <w:t xml:space="preserve"> </w:t>
      </w:r>
      <w:r>
        <w:rPr>
          <w:sz w:val="21"/>
        </w:rPr>
        <w:t>168h</w:t>
      </w:r>
      <w:r>
        <w:rPr>
          <w:spacing w:val="-3"/>
          <w:sz w:val="21"/>
        </w:rPr>
        <w:t>。</w:t>
      </w:r>
      <w:r>
        <w:rPr>
          <w:sz w:val="21"/>
        </w:rPr>
        <w:t xml:space="preserve"> </w:t>
      </w:r>
    </w:p>
    <w:p w14:paraId="0B351C85" w14:textId="77777777" w:rsidR="00A71EEF" w:rsidRDefault="0081115D">
      <w:pPr>
        <w:pStyle w:val="a4"/>
        <w:numPr>
          <w:ilvl w:val="3"/>
          <w:numId w:val="885"/>
        </w:numPr>
        <w:tabs>
          <w:tab w:val="left" w:pos="1682"/>
        </w:tabs>
        <w:spacing w:line="268" w:lineRule="exact"/>
        <w:ind w:left="1681"/>
        <w:jc w:val="both"/>
        <w:rPr>
          <w:sz w:val="21"/>
        </w:rPr>
      </w:pPr>
      <w:r>
        <w:rPr>
          <w:spacing w:val="-9"/>
          <w:sz w:val="21"/>
        </w:rPr>
        <w:t>将老化后的试样按</w:t>
      </w:r>
      <w:r>
        <w:rPr>
          <w:spacing w:val="-9"/>
          <w:sz w:val="21"/>
        </w:rPr>
        <w:t xml:space="preserve"> </w:t>
      </w:r>
      <w:r>
        <w:rPr>
          <w:sz w:val="21"/>
        </w:rPr>
        <w:t>5.11.1</w:t>
      </w:r>
      <w:r>
        <w:rPr>
          <w:spacing w:val="-9"/>
          <w:sz w:val="21"/>
        </w:rPr>
        <w:t xml:space="preserve"> </w:t>
      </w:r>
      <w:r>
        <w:rPr>
          <w:spacing w:val="-9"/>
          <w:sz w:val="21"/>
        </w:rPr>
        <w:t>规定，测定其附着强度。</w:t>
      </w:r>
      <w:r>
        <w:rPr>
          <w:sz w:val="21"/>
        </w:rPr>
        <w:t xml:space="preserve"> </w:t>
      </w:r>
    </w:p>
    <w:p w14:paraId="0F93E300" w14:textId="77777777" w:rsidR="00A71EEF" w:rsidRDefault="00A71EEF">
      <w:pPr>
        <w:pStyle w:val="a3"/>
        <w:spacing w:before="12"/>
        <w:rPr>
          <w:sz w:val="17"/>
        </w:rPr>
      </w:pPr>
    </w:p>
    <w:p w14:paraId="377831D2" w14:textId="77777777" w:rsidR="00A71EEF" w:rsidRDefault="0081115D">
      <w:pPr>
        <w:pStyle w:val="a4"/>
        <w:numPr>
          <w:ilvl w:val="3"/>
          <w:numId w:val="885"/>
        </w:numPr>
        <w:tabs>
          <w:tab w:val="left" w:pos="1682"/>
        </w:tabs>
        <w:ind w:left="1681"/>
        <w:rPr>
          <w:sz w:val="21"/>
        </w:rPr>
      </w:pPr>
      <w:r>
        <w:rPr>
          <w:spacing w:val="-12"/>
          <w:sz w:val="21"/>
        </w:rPr>
        <w:t>将老化后的</w:t>
      </w:r>
      <w:r>
        <w:rPr>
          <w:spacing w:val="-12"/>
          <w:sz w:val="21"/>
        </w:rPr>
        <w:t xml:space="preserve"> </w:t>
      </w:r>
      <w:r>
        <w:rPr>
          <w:sz w:val="21"/>
        </w:rPr>
        <w:t>1.20m</w:t>
      </w:r>
      <w:r>
        <w:rPr>
          <w:spacing w:val="-19"/>
          <w:sz w:val="21"/>
        </w:rPr>
        <w:t xml:space="preserve"> </w:t>
      </w:r>
      <w:r>
        <w:rPr>
          <w:spacing w:val="-19"/>
          <w:sz w:val="21"/>
        </w:rPr>
        <w:t>长试样按</w:t>
      </w:r>
      <w:r>
        <w:rPr>
          <w:spacing w:val="-19"/>
          <w:sz w:val="21"/>
        </w:rPr>
        <w:t xml:space="preserve"> </w:t>
      </w:r>
      <w:r>
        <w:rPr>
          <w:sz w:val="21"/>
        </w:rPr>
        <w:t>5.4</w:t>
      </w:r>
      <w:r>
        <w:rPr>
          <w:spacing w:val="-9"/>
          <w:sz w:val="21"/>
        </w:rPr>
        <w:t xml:space="preserve"> </w:t>
      </w:r>
      <w:r>
        <w:rPr>
          <w:spacing w:val="-9"/>
          <w:sz w:val="21"/>
        </w:rPr>
        <w:t>规定测定其爆破压力。</w:t>
      </w:r>
      <w:r>
        <w:rPr>
          <w:sz w:val="21"/>
        </w:rPr>
        <w:t xml:space="preserve"> </w:t>
      </w:r>
    </w:p>
    <w:p w14:paraId="191C0F52" w14:textId="77777777" w:rsidR="00A71EEF" w:rsidRDefault="00A71EEF">
      <w:pPr>
        <w:pStyle w:val="a3"/>
        <w:rPr>
          <w:sz w:val="18"/>
        </w:rPr>
      </w:pPr>
    </w:p>
    <w:p w14:paraId="648481F2" w14:textId="77777777" w:rsidR="00A71EEF" w:rsidRDefault="0081115D">
      <w:pPr>
        <w:pStyle w:val="a4"/>
        <w:numPr>
          <w:ilvl w:val="3"/>
          <w:numId w:val="885"/>
        </w:numPr>
        <w:tabs>
          <w:tab w:val="left" w:pos="1682"/>
        </w:tabs>
        <w:ind w:left="1681"/>
        <w:rPr>
          <w:sz w:val="21"/>
        </w:rPr>
      </w:pPr>
      <w:r>
        <w:rPr>
          <w:spacing w:val="-3"/>
          <w:sz w:val="21"/>
        </w:rPr>
        <w:t>试验装置应符合以下规定：</w:t>
      </w:r>
      <w:r>
        <w:rPr>
          <w:sz w:val="21"/>
        </w:rPr>
        <w:t xml:space="preserve"> </w:t>
      </w:r>
    </w:p>
    <w:p w14:paraId="4A7A13DB" w14:textId="77777777" w:rsidR="00A71EEF" w:rsidRDefault="00A71EEF">
      <w:pPr>
        <w:pStyle w:val="a3"/>
        <w:spacing w:before="2"/>
        <w:rPr>
          <w:sz w:val="18"/>
        </w:rPr>
      </w:pPr>
    </w:p>
    <w:p w14:paraId="48588476" w14:textId="77777777" w:rsidR="00A71EEF" w:rsidRDefault="0081115D">
      <w:pPr>
        <w:pStyle w:val="a4"/>
        <w:numPr>
          <w:ilvl w:val="0"/>
          <w:numId w:val="884"/>
        </w:numPr>
        <w:tabs>
          <w:tab w:val="left" w:pos="1156"/>
        </w:tabs>
        <w:spacing w:line="446" w:lineRule="auto"/>
        <w:ind w:right="1613" w:firstLine="419"/>
        <w:rPr>
          <w:sz w:val="21"/>
        </w:rPr>
      </w:pPr>
      <w:r>
        <w:rPr>
          <w:spacing w:val="2"/>
          <w:sz w:val="21"/>
        </w:rPr>
        <w:t>热空气老化箱应符合</w:t>
      </w:r>
      <w:r>
        <w:rPr>
          <w:sz w:val="21"/>
        </w:rPr>
        <w:t>JB/T</w:t>
      </w:r>
      <w:r>
        <w:rPr>
          <w:spacing w:val="18"/>
          <w:sz w:val="21"/>
        </w:rPr>
        <w:t xml:space="preserve"> </w:t>
      </w:r>
      <w:r>
        <w:rPr>
          <w:sz w:val="21"/>
        </w:rPr>
        <w:t>7444</w:t>
      </w:r>
      <w:r>
        <w:rPr>
          <w:spacing w:val="-8"/>
          <w:sz w:val="21"/>
        </w:rPr>
        <w:t xml:space="preserve"> </w:t>
      </w:r>
      <w:r>
        <w:rPr>
          <w:spacing w:val="-8"/>
          <w:sz w:val="21"/>
        </w:rPr>
        <w:t>规定的要求。其温度波动度不大于</w:t>
      </w:r>
      <w:r>
        <w:rPr>
          <w:spacing w:val="-8"/>
          <w:sz w:val="21"/>
        </w:rPr>
        <w:t>±</w:t>
      </w:r>
      <w:r>
        <w:rPr>
          <w:sz w:val="21"/>
        </w:rPr>
        <w:t>1.5</w:t>
      </w:r>
      <w:r>
        <w:rPr>
          <w:spacing w:val="-1"/>
          <w:sz w:val="21"/>
        </w:rPr>
        <w:t>℃</w:t>
      </w:r>
      <w:r>
        <w:rPr>
          <w:spacing w:val="-1"/>
          <w:sz w:val="21"/>
        </w:rPr>
        <w:t>；温度均匀</w:t>
      </w:r>
      <w:r>
        <w:rPr>
          <w:spacing w:val="-3"/>
          <w:sz w:val="21"/>
        </w:rPr>
        <w:t>度不大于</w:t>
      </w:r>
      <w:r>
        <w:rPr>
          <w:spacing w:val="-3"/>
          <w:sz w:val="21"/>
        </w:rPr>
        <w:t>±1℃</w:t>
      </w:r>
      <w:r>
        <w:rPr>
          <w:spacing w:val="-3"/>
          <w:sz w:val="21"/>
        </w:rPr>
        <w:t>；</w:t>
      </w:r>
      <w:r>
        <w:rPr>
          <w:sz w:val="21"/>
        </w:rPr>
        <w:t xml:space="preserve"> </w:t>
      </w:r>
    </w:p>
    <w:p w14:paraId="06DE7CC9" w14:textId="77777777" w:rsidR="00A71EEF" w:rsidRDefault="0081115D">
      <w:pPr>
        <w:pStyle w:val="a4"/>
        <w:numPr>
          <w:ilvl w:val="0"/>
          <w:numId w:val="884"/>
        </w:numPr>
        <w:tabs>
          <w:tab w:val="left" w:pos="1156"/>
        </w:tabs>
        <w:spacing w:line="446" w:lineRule="auto"/>
        <w:ind w:right="1611" w:firstLine="419"/>
        <w:rPr>
          <w:sz w:val="21"/>
        </w:rPr>
      </w:pPr>
      <w:r>
        <w:rPr>
          <w:spacing w:val="-6"/>
          <w:sz w:val="21"/>
        </w:rPr>
        <w:t>测附着强度的材料试验机应符合</w:t>
      </w:r>
      <w:r>
        <w:rPr>
          <w:spacing w:val="-6"/>
          <w:sz w:val="21"/>
        </w:rPr>
        <w:t xml:space="preserve"> </w:t>
      </w:r>
      <w:r>
        <w:rPr>
          <w:sz w:val="21"/>
        </w:rPr>
        <w:t>GB/T</w:t>
      </w:r>
      <w:r>
        <w:rPr>
          <w:spacing w:val="16"/>
          <w:sz w:val="21"/>
        </w:rPr>
        <w:t xml:space="preserve"> </w:t>
      </w:r>
      <w:r>
        <w:rPr>
          <w:sz w:val="21"/>
        </w:rPr>
        <w:t>532</w:t>
      </w:r>
      <w:r>
        <w:rPr>
          <w:spacing w:val="-8"/>
          <w:sz w:val="21"/>
        </w:rPr>
        <w:t xml:space="preserve"> </w:t>
      </w:r>
      <w:r>
        <w:rPr>
          <w:spacing w:val="-8"/>
          <w:sz w:val="21"/>
        </w:rPr>
        <w:t>规定，测扯断伸长率和扯断强度的拉力试验</w:t>
      </w:r>
      <w:r>
        <w:rPr>
          <w:spacing w:val="-16"/>
          <w:sz w:val="21"/>
        </w:rPr>
        <w:t>机应符合</w:t>
      </w:r>
      <w:r>
        <w:rPr>
          <w:spacing w:val="-16"/>
          <w:sz w:val="21"/>
        </w:rPr>
        <w:t xml:space="preserve"> </w:t>
      </w:r>
      <w:r>
        <w:rPr>
          <w:sz w:val="21"/>
        </w:rPr>
        <w:t>HG/T</w:t>
      </w:r>
      <w:r>
        <w:rPr>
          <w:spacing w:val="-3"/>
          <w:sz w:val="21"/>
        </w:rPr>
        <w:t xml:space="preserve"> </w:t>
      </w:r>
      <w:r>
        <w:rPr>
          <w:sz w:val="21"/>
        </w:rPr>
        <w:t>2369</w:t>
      </w:r>
      <w:r>
        <w:rPr>
          <w:spacing w:val="-15"/>
          <w:sz w:val="21"/>
        </w:rPr>
        <w:t xml:space="preserve"> </w:t>
      </w:r>
      <w:r>
        <w:rPr>
          <w:spacing w:val="-15"/>
          <w:sz w:val="21"/>
        </w:rPr>
        <w:t>规定。</w:t>
      </w:r>
      <w:r>
        <w:rPr>
          <w:spacing w:val="-15"/>
          <w:sz w:val="21"/>
        </w:rPr>
        <w:t xml:space="preserve"> </w:t>
      </w:r>
    </w:p>
    <w:p w14:paraId="2065DD4C" w14:textId="77777777" w:rsidR="00A71EEF" w:rsidRDefault="0081115D">
      <w:pPr>
        <w:pStyle w:val="a4"/>
        <w:numPr>
          <w:ilvl w:val="1"/>
          <w:numId w:val="885"/>
        </w:numPr>
        <w:tabs>
          <w:tab w:val="left" w:pos="1264"/>
        </w:tabs>
        <w:ind w:left="1263" w:hanging="424"/>
        <w:rPr>
          <w:sz w:val="21"/>
        </w:rPr>
      </w:pPr>
      <w:r>
        <w:rPr>
          <w:spacing w:val="-3"/>
          <w:sz w:val="21"/>
        </w:rPr>
        <w:t>耐磨性能试验</w:t>
      </w:r>
      <w:r>
        <w:rPr>
          <w:sz w:val="21"/>
        </w:rPr>
        <w:t xml:space="preserve"> </w:t>
      </w:r>
    </w:p>
    <w:p w14:paraId="7EE781E0" w14:textId="77777777" w:rsidR="00A71EEF" w:rsidRDefault="00A71EEF">
      <w:pPr>
        <w:pStyle w:val="a3"/>
        <w:spacing w:before="10"/>
        <w:rPr>
          <w:sz w:val="17"/>
        </w:rPr>
      </w:pPr>
    </w:p>
    <w:p w14:paraId="126E6357" w14:textId="77777777" w:rsidR="00A71EEF" w:rsidRDefault="0081115D">
      <w:pPr>
        <w:pStyle w:val="a4"/>
        <w:numPr>
          <w:ilvl w:val="2"/>
          <w:numId w:val="885"/>
        </w:numPr>
        <w:tabs>
          <w:tab w:val="left" w:pos="1478"/>
        </w:tabs>
        <w:ind w:left="1477" w:hanging="638"/>
        <w:jc w:val="both"/>
        <w:rPr>
          <w:sz w:val="21"/>
        </w:rPr>
      </w:pPr>
      <w:r>
        <w:rPr>
          <w:spacing w:val="-6"/>
          <w:sz w:val="21"/>
        </w:rPr>
        <w:t>截取同一品种、同一规格、同一材质不小于</w:t>
      </w:r>
      <w:r>
        <w:rPr>
          <w:spacing w:val="-6"/>
          <w:sz w:val="21"/>
        </w:rPr>
        <w:t xml:space="preserve"> </w:t>
      </w:r>
      <w:r>
        <w:rPr>
          <w:sz w:val="21"/>
        </w:rPr>
        <w:t>500mm</w:t>
      </w:r>
      <w:r>
        <w:rPr>
          <w:spacing w:val="-10"/>
          <w:sz w:val="21"/>
        </w:rPr>
        <w:t xml:space="preserve"> </w:t>
      </w:r>
      <w:r>
        <w:rPr>
          <w:spacing w:val="-10"/>
          <w:sz w:val="21"/>
        </w:rPr>
        <w:t>的试样三段。</w:t>
      </w:r>
      <w:r>
        <w:rPr>
          <w:sz w:val="21"/>
        </w:rPr>
        <w:t xml:space="preserve"> </w:t>
      </w:r>
    </w:p>
    <w:p w14:paraId="2FE5C8EA" w14:textId="77777777" w:rsidR="00A71EEF" w:rsidRDefault="00A71EEF">
      <w:pPr>
        <w:pStyle w:val="a3"/>
        <w:spacing w:before="2"/>
        <w:rPr>
          <w:sz w:val="18"/>
        </w:rPr>
      </w:pPr>
    </w:p>
    <w:p w14:paraId="1D59775A" w14:textId="77777777" w:rsidR="00A71EEF" w:rsidRDefault="0081115D">
      <w:pPr>
        <w:pStyle w:val="a4"/>
        <w:numPr>
          <w:ilvl w:val="2"/>
          <w:numId w:val="885"/>
        </w:numPr>
        <w:tabs>
          <w:tab w:val="left" w:pos="1478"/>
        </w:tabs>
        <w:spacing w:line="446" w:lineRule="auto"/>
        <w:ind w:right="1498" w:firstLine="422"/>
        <w:jc w:val="both"/>
        <w:rPr>
          <w:sz w:val="21"/>
        </w:rPr>
      </w:pPr>
      <w:r>
        <w:rPr>
          <w:spacing w:val="-3"/>
          <w:sz w:val="21"/>
        </w:rPr>
        <w:t>试验时将试样一端与水源相接，另一端用带有排气阀的密封装置封闭。保持试样平</w:t>
      </w:r>
      <w:r>
        <w:rPr>
          <w:spacing w:val="-5"/>
          <w:sz w:val="21"/>
        </w:rPr>
        <w:t>直，使试样灌满水并排尽其中的空气，关闭排气阀。升压至</w:t>
      </w:r>
      <w:r>
        <w:rPr>
          <w:spacing w:val="-5"/>
          <w:sz w:val="21"/>
        </w:rPr>
        <w:t xml:space="preserve"> </w:t>
      </w:r>
      <w:r>
        <w:rPr>
          <w:sz w:val="21"/>
        </w:rPr>
        <w:t>0.5MPa</w:t>
      </w:r>
      <w:r>
        <w:rPr>
          <w:spacing w:val="-11"/>
          <w:sz w:val="21"/>
        </w:rPr>
        <w:t>，水压在</w:t>
      </w:r>
      <w:r>
        <w:rPr>
          <w:spacing w:val="-11"/>
          <w:sz w:val="21"/>
        </w:rPr>
        <w:t xml:space="preserve"> </w:t>
      </w:r>
      <w:r>
        <w:rPr>
          <w:sz w:val="21"/>
        </w:rPr>
        <w:t>0.45</w:t>
      </w:r>
      <w:r>
        <w:rPr>
          <w:sz w:val="21"/>
        </w:rPr>
        <w:t>～</w:t>
      </w:r>
      <w:r>
        <w:rPr>
          <w:sz w:val="21"/>
        </w:rPr>
        <w:t>0.55MPa</w:t>
      </w:r>
      <w:r>
        <w:rPr>
          <w:spacing w:val="-24"/>
          <w:sz w:val="21"/>
        </w:rPr>
        <w:t xml:space="preserve"> </w:t>
      </w:r>
      <w:r>
        <w:rPr>
          <w:spacing w:val="-24"/>
          <w:sz w:val="21"/>
        </w:rPr>
        <w:t>之</w:t>
      </w:r>
      <w:r>
        <w:rPr>
          <w:spacing w:val="-8"/>
          <w:sz w:val="21"/>
        </w:rPr>
        <w:t>间变化。并使样品以</w:t>
      </w:r>
      <w:r>
        <w:rPr>
          <w:sz w:val="21"/>
        </w:rPr>
        <w:t>（</w:t>
      </w:r>
      <w:r>
        <w:rPr>
          <w:sz w:val="21"/>
        </w:rPr>
        <w:t>27±1</w:t>
      </w:r>
      <w:r>
        <w:rPr>
          <w:sz w:val="21"/>
        </w:rPr>
        <w:t>）</w:t>
      </w:r>
      <w:r>
        <w:rPr>
          <w:sz w:val="21"/>
        </w:rPr>
        <w:t>r/min</w:t>
      </w:r>
      <w:r>
        <w:rPr>
          <w:spacing w:val="-9"/>
          <w:sz w:val="21"/>
        </w:rPr>
        <w:t xml:space="preserve"> </w:t>
      </w:r>
      <w:r>
        <w:rPr>
          <w:spacing w:val="-9"/>
          <w:sz w:val="21"/>
        </w:rPr>
        <w:t>的转数平稳旋转。</w:t>
      </w:r>
      <w:r>
        <w:rPr>
          <w:sz w:val="21"/>
        </w:rPr>
        <w:t xml:space="preserve"> </w:t>
      </w:r>
    </w:p>
    <w:p w14:paraId="0C446FF8" w14:textId="77777777" w:rsidR="00A71EEF" w:rsidRDefault="0081115D">
      <w:pPr>
        <w:pStyle w:val="a4"/>
        <w:numPr>
          <w:ilvl w:val="2"/>
          <w:numId w:val="885"/>
        </w:numPr>
        <w:tabs>
          <w:tab w:val="left" w:pos="1478"/>
        </w:tabs>
        <w:spacing w:line="446" w:lineRule="auto"/>
        <w:ind w:right="1654" w:firstLine="422"/>
        <w:rPr>
          <w:sz w:val="21"/>
        </w:rPr>
      </w:pPr>
      <w:r>
        <w:rPr>
          <w:spacing w:val="-3"/>
          <w:sz w:val="21"/>
        </w:rPr>
        <w:t>将磨头压力调至</w:t>
      </w:r>
      <w:r>
        <w:rPr>
          <w:sz w:val="21"/>
        </w:rPr>
        <w:t>（</w:t>
      </w:r>
      <w:r>
        <w:rPr>
          <w:sz w:val="21"/>
        </w:rPr>
        <w:t>105±5</w:t>
      </w:r>
      <w:r>
        <w:rPr>
          <w:sz w:val="21"/>
        </w:rPr>
        <w:t>）</w:t>
      </w:r>
      <w:r>
        <w:rPr>
          <w:sz w:val="21"/>
        </w:rPr>
        <w:t>N</w:t>
      </w:r>
      <w:r>
        <w:rPr>
          <w:spacing w:val="-12"/>
          <w:sz w:val="21"/>
        </w:rPr>
        <w:t xml:space="preserve"> </w:t>
      </w:r>
      <w:r>
        <w:rPr>
          <w:spacing w:val="-12"/>
          <w:sz w:val="21"/>
        </w:rPr>
        <w:t>的范围压在样品上，并以</w:t>
      </w:r>
      <w:r>
        <w:rPr>
          <w:spacing w:val="-12"/>
          <w:sz w:val="21"/>
        </w:rPr>
        <w:t xml:space="preserve"> </w:t>
      </w:r>
      <w:r>
        <w:rPr>
          <w:sz w:val="21"/>
        </w:rPr>
        <w:t>18</w:t>
      </w:r>
      <w:r>
        <w:rPr>
          <w:sz w:val="21"/>
        </w:rPr>
        <w:t>～</w:t>
      </w:r>
      <w:r>
        <w:rPr>
          <w:sz w:val="21"/>
        </w:rPr>
        <w:t>21mm/s</w:t>
      </w:r>
      <w:r>
        <w:rPr>
          <w:spacing w:val="-9"/>
          <w:sz w:val="21"/>
        </w:rPr>
        <w:t xml:space="preserve"> </w:t>
      </w:r>
      <w:r>
        <w:rPr>
          <w:spacing w:val="-9"/>
          <w:sz w:val="21"/>
        </w:rPr>
        <w:t>的速度往复运</w:t>
      </w:r>
      <w:r>
        <w:rPr>
          <w:spacing w:val="-14"/>
          <w:sz w:val="21"/>
        </w:rPr>
        <w:t>动，行程为</w:t>
      </w:r>
      <w:r>
        <w:rPr>
          <w:spacing w:val="-14"/>
          <w:sz w:val="21"/>
        </w:rPr>
        <w:t xml:space="preserve"> </w:t>
      </w:r>
      <w:r>
        <w:rPr>
          <w:sz w:val="21"/>
        </w:rPr>
        <w:t>80mm</w:t>
      </w:r>
      <w:r>
        <w:rPr>
          <w:spacing w:val="-11"/>
          <w:sz w:val="21"/>
        </w:rPr>
        <w:t>，磨头往复</w:t>
      </w:r>
      <w:r>
        <w:rPr>
          <w:spacing w:val="-11"/>
          <w:sz w:val="21"/>
        </w:rPr>
        <w:t xml:space="preserve"> </w:t>
      </w:r>
      <w:r>
        <w:rPr>
          <w:sz w:val="21"/>
        </w:rPr>
        <w:t>100</w:t>
      </w:r>
      <w:r>
        <w:rPr>
          <w:spacing w:val="-9"/>
          <w:sz w:val="21"/>
        </w:rPr>
        <w:t xml:space="preserve"> </w:t>
      </w:r>
      <w:r>
        <w:rPr>
          <w:spacing w:val="-9"/>
          <w:sz w:val="21"/>
        </w:rPr>
        <w:t>次，每次往复都应以新的砂带接触样品。</w:t>
      </w:r>
      <w:r>
        <w:rPr>
          <w:sz w:val="21"/>
        </w:rPr>
        <w:t xml:space="preserve"> </w:t>
      </w:r>
    </w:p>
    <w:p w14:paraId="38884061" w14:textId="77777777" w:rsidR="00A71EEF" w:rsidRDefault="0081115D">
      <w:pPr>
        <w:pStyle w:val="a4"/>
        <w:numPr>
          <w:ilvl w:val="2"/>
          <w:numId w:val="885"/>
        </w:numPr>
        <w:tabs>
          <w:tab w:val="left" w:pos="1530"/>
        </w:tabs>
        <w:spacing w:line="446" w:lineRule="auto"/>
        <w:ind w:right="1549" w:firstLine="422"/>
        <w:rPr>
          <w:sz w:val="21"/>
        </w:rPr>
      </w:pPr>
      <w:r>
        <w:rPr>
          <w:spacing w:val="-3"/>
          <w:sz w:val="21"/>
        </w:rPr>
        <w:t>上述试验结束后，除去磨头，并停止试样的旋转，继续升压至试样的相应设计工作</w:t>
      </w:r>
      <w:r>
        <w:rPr>
          <w:spacing w:val="-12"/>
          <w:sz w:val="21"/>
        </w:rPr>
        <w:t>压力，保压</w:t>
      </w:r>
      <w:r>
        <w:rPr>
          <w:spacing w:val="-12"/>
          <w:sz w:val="21"/>
        </w:rPr>
        <w:t xml:space="preserve"> </w:t>
      </w:r>
      <w:r>
        <w:rPr>
          <w:sz w:val="21"/>
        </w:rPr>
        <w:t>5min</w:t>
      </w:r>
      <w:r>
        <w:rPr>
          <w:spacing w:val="-8"/>
          <w:sz w:val="21"/>
        </w:rPr>
        <w:t>，判断试验结果</w:t>
      </w:r>
      <w:r>
        <w:rPr>
          <w:spacing w:val="-8"/>
          <w:sz w:val="21"/>
        </w:rPr>
        <w:t>是否符合</w:t>
      </w:r>
      <w:r>
        <w:rPr>
          <w:spacing w:val="-8"/>
          <w:sz w:val="21"/>
        </w:rPr>
        <w:t xml:space="preserve"> </w:t>
      </w:r>
      <w:r>
        <w:rPr>
          <w:sz w:val="21"/>
        </w:rPr>
        <w:t>4.12</w:t>
      </w:r>
      <w:r>
        <w:rPr>
          <w:spacing w:val="-13"/>
          <w:sz w:val="21"/>
        </w:rPr>
        <w:t xml:space="preserve"> </w:t>
      </w:r>
      <w:r>
        <w:rPr>
          <w:spacing w:val="-13"/>
          <w:sz w:val="21"/>
        </w:rPr>
        <w:t>的规定。</w:t>
      </w:r>
      <w:r>
        <w:rPr>
          <w:sz w:val="21"/>
        </w:rPr>
        <w:t xml:space="preserve"> </w:t>
      </w:r>
    </w:p>
    <w:p w14:paraId="5E1AA76C" w14:textId="77777777" w:rsidR="00A71EEF" w:rsidRDefault="0081115D">
      <w:pPr>
        <w:pStyle w:val="a4"/>
        <w:numPr>
          <w:ilvl w:val="2"/>
          <w:numId w:val="885"/>
        </w:numPr>
        <w:tabs>
          <w:tab w:val="left" w:pos="1478"/>
        </w:tabs>
        <w:ind w:left="1477" w:hanging="638"/>
        <w:rPr>
          <w:sz w:val="21"/>
        </w:rPr>
      </w:pPr>
      <w:r>
        <w:rPr>
          <w:spacing w:val="-3"/>
          <w:sz w:val="21"/>
        </w:rPr>
        <w:t>试验装置应符合以下规定：</w:t>
      </w:r>
      <w:r>
        <w:rPr>
          <w:sz w:val="21"/>
        </w:rPr>
        <w:t xml:space="preserve"> </w:t>
      </w:r>
    </w:p>
    <w:p w14:paraId="3F95C070" w14:textId="77777777" w:rsidR="00A71EEF" w:rsidRDefault="00A71EEF">
      <w:pPr>
        <w:pStyle w:val="a3"/>
        <w:spacing w:before="9"/>
        <w:rPr>
          <w:sz w:val="17"/>
        </w:rPr>
      </w:pPr>
    </w:p>
    <w:p w14:paraId="6F04593C" w14:textId="77777777" w:rsidR="00A71EEF" w:rsidRDefault="0081115D">
      <w:pPr>
        <w:pStyle w:val="a4"/>
        <w:numPr>
          <w:ilvl w:val="0"/>
          <w:numId w:val="883"/>
        </w:numPr>
        <w:tabs>
          <w:tab w:val="left" w:pos="1156"/>
        </w:tabs>
        <w:spacing w:line="446" w:lineRule="auto"/>
        <w:ind w:right="1505" w:firstLine="419"/>
        <w:rPr>
          <w:sz w:val="21"/>
        </w:rPr>
      </w:pPr>
      <w:r>
        <w:rPr>
          <w:spacing w:val="-3"/>
          <w:sz w:val="21"/>
        </w:rPr>
        <w:t>水压源：应采用三缸的电动往复泵，其工作压力应不低于试样的设计工作压力。并带有稳压装置，经过稳压后，压力波动值应不大于</w:t>
      </w:r>
      <w:r>
        <w:rPr>
          <w:spacing w:val="-3"/>
          <w:sz w:val="21"/>
        </w:rPr>
        <w:t>±</w:t>
      </w:r>
      <w:r>
        <w:rPr>
          <w:sz w:val="21"/>
        </w:rPr>
        <w:t>0.05MPa</w:t>
      </w:r>
      <w:r>
        <w:rPr>
          <w:sz w:val="21"/>
        </w:rPr>
        <w:t>；</w:t>
      </w:r>
      <w:r>
        <w:rPr>
          <w:sz w:val="21"/>
        </w:rPr>
        <w:t xml:space="preserve"> </w:t>
      </w:r>
    </w:p>
    <w:p w14:paraId="14E036C1" w14:textId="77777777" w:rsidR="00A71EEF" w:rsidRDefault="00A71EEF">
      <w:pPr>
        <w:spacing w:line="446" w:lineRule="auto"/>
        <w:rPr>
          <w:sz w:val="21"/>
        </w:rPr>
        <w:sectPr w:rsidR="00A71EEF">
          <w:pgSz w:w="11910" w:h="16850"/>
          <w:pgMar w:top="1220" w:right="0" w:bottom="1420" w:left="1260" w:header="0" w:footer="1239" w:gutter="0"/>
          <w:cols w:space="720"/>
        </w:sectPr>
      </w:pPr>
    </w:p>
    <w:p w14:paraId="78A14993" w14:textId="77777777" w:rsidR="00A71EEF" w:rsidRDefault="0081115D">
      <w:pPr>
        <w:pStyle w:val="a4"/>
        <w:numPr>
          <w:ilvl w:val="0"/>
          <w:numId w:val="883"/>
        </w:numPr>
        <w:tabs>
          <w:tab w:val="left" w:pos="1156"/>
        </w:tabs>
        <w:spacing w:before="47" w:line="446" w:lineRule="auto"/>
        <w:ind w:left="838" w:right="5814" w:firstLine="0"/>
        <w:rPr>
          <w:sz w:val="21"/>
        </w:rPr>
      </w:pPr>
      <w:r>
        <w:rPr>
          <w:spacing w:val="-3"/>
          <w:sz w:val="21"/>
        </w:rPr>
        <w:lastRenderedPageBreak/>
        <w:t>试样转速：基本转速</w:t>
      </w:r>
      <w:r>
        <w:rPr>
          <w:sz w:val="21"/>
        </w:rPr>
        <w:t>（</w:t>
      </w:r>
      <w:r>
        <w:rPr>
          <w:sz w:val="21"/>
        </w:rPr>
        <w:t>27±1</w:t>
      </w:r>
      <w:r>
        <w:rPr>
          <w:sz w:val="21"/>
        </w:rPr>
        <w:t>）</w:t>
      </w:r>
      <w:r>
        <w:rPr>
          <w:sz w:val="21"/>
        </w:rPr>
        <w:t>r/min</w:t>
      </w:r>
      <w:r>
        <w:rPr>
          <w:sz w:val="21"/>
        </w:rPr>
        <w:t>；</w:t>
      </w:r>
      <w:r>
        <w:rPr>
          <w:sz w:val="21"/>
        </w:rPr>
        <w:t xml:space="preserve"> c</w:t>
      </w:r>
      <w:r>
        <w:rPr>
          <w:sz w:val="21"/>
        </w:rPr>
        <w:t>）</w:t>
      </w:r>
      <w:r>
        <w:rPr>
          <w:spacing w:val="-3"/>
          <w:sz w:val="21"/>
        </w:rPr>
        <w:t>磨头压重：基本压重</w:t>
      </w:r>
      <w:r>
        <w:rPr>
          <w:sz w:val="21"/>
        </w:rPr>
        <w:t>（</w:t>
      </w:r>
      <w:r>
        <w:rPr>
          <w:sz w:val="21"/>
        </w:rPr>
        <w:t>105±5</w:t>
      </w:r>
      <w:r>
        <w:rPr>
          <w:sz w:val="21"/>
        </w:rPr>
        <w:t>）</w:t>
      </w:r>
      <w:r>
        <w:rPr>
          <w:sz w:val="21"/>
        </w:rPr>
        <w:t>N</w:t>
      </w:r>
      <w:r>
        <w:rPr>
          <w:sz w:val="21"/>
        </w:rPr>
        <w:t>；</w:t>
      </w:r>
      <w:r>
        <w:rPr>
          <w:sz w:val="21"/>
        </w:rPr>
        <w:t xml:space="preserve">  d</w:t>
      </w:r>
      <w:r>
        <w:rPr>
          <w:sz w:val="21"/>
        </w:rPr>
        <w:t>）</w:t>
      </w:r>
      <w:r>
        <w:rPr>
          <w:spacing w:val="-3"/>
          <w:sz w:val="21"/>
        </w:rPr>
        <w:t>磨头行程：</w:t>
      </w:r>
      <w:r>
        <w:rPr>
          <w:sz w:val="21"/>
        </w:rPr>
        <w:t>（</w:t>
      </w:r>
      <w:r>
        <w:rPr>
          <w:sz w:val="21"/>
        </w:rPr>
        <w:t>80±1</w:t>
      </w:r>
      <w:r>
        <w:rPr>
          <w:sz w:val="21"/>
        </w:rPr>
        <w:t>）</w:t>
      </w:r>
      <w:r>
        <w:rPr>
          <w:sz w:val="21"/>
        </w:rPr>
        <w:t>mm</w:t>
      </w:r>
      <w:r>
        <w:rPr>
          <w:sz w:val="21"/>
        </w:rPr>
        <w:t>；</w:t>
      </w:r>
      <w:r>
        <w:rPr>
          <w:sz w:val="21"/>
        </w:rPr>
        <w:t xml:space="preserve"> </w:t>
      </w:r>
    </w:p>
    <w:p w14:paraId="5E9086D5" w14:textId="77777777" w:rsidR="00A71EEF" w:rsidRDefault="0081115D">
      <w:pPr>
        <w:pStyle w:val="a4"/>
        <w:numPr>
          <w:ilvl w:val="0"/>
          <w:numId w:val="882"/>
        </w:numPr>
        <w:tabs>
          <w:tab w:val="left" w:pos="1156"/>
        </w:tabs>
        <w:spacing w:line="268" w:lineRule="exact"/>
        <w:rPr>
          <w:sz w:val="21"/>
        </w:rPr>
      </w:pPr>
      <w:r>
        <w:rPr>
          <w:spacing w:val="-9"/>
          <w:sz w:val="21"/>
        </w:rPr>
        <w:t>磨头速度：基本速度</w:t>
      </w:r>
      <w:r>
        <w:rPr>
          <w:spacing w:val="-9"/>
          <w:sz w:val="21"/>
        </w:rPr>
        <w:t xml:space="preserve"> </w:t>
      </w:r>
      <w:r>
        <w:rPr>
          <w:sz w:val="21"/>
        </w:rPr>
        <w:t>18</w:t>
      </w:r>
      <w:r>
        <w:rPr>
          <w:sz w:val="21"/>
        </w:rPr>
        <w:t>～</w:t>
      </w:r>
      <w:r>
        <w:rPr>
          <w:sz w:val="21"/>
        </w:rPr>
        <w:t>21mm/s</w:t>
      </w:r>
      <w:r>
        <w:rPr>
          <w:sz w:val="21"/>
        </w:rPr>
        <w:t>；</w:t>
      </w:r>
      <w:r>
        <w:rPr>
          <w:sz w:val="21"/>
        </w:rPr>
        <w:t xml:space="preserve"> </w:t>
      </w:r>
    </w:p>
    <w:p w14:paraId="69919216" w14:textId="77777777" w:rsidR="00A71EEF" w:rsidRDefault="00A71EEF">
      <w:pPr>
        <w:pStyle w:val="a3"/>
        <w:rPr>
          <w:sz w:val="18"/>
        </w:rPr>
      </w:pPr>
    </w:p>
    <w:p w14:paraId="109E47BD" w14:textId="77777777" w:rsidR="00A71EEF" w:rsidRDefault="0081115D">
      <w:pPr>
        <w:pStyle w:val="a4"/>
        <w:numPr>
          <w:ilvl w:val="0"/>
          <w:numId w:val="882"/>
        </w:numPr>
        <w:tabs>
          <w:tab w:val="left" w:pos="1156"/>
        </w:tabs>
        <w:spacing w:line="446" w:lineRule="auto"/>
        <w:ind w:left="840" w:right="4503" w:hanging="3"/>
        <w:rPr>
          <w:sz w:val="21"/>
        </w:rPr>
      </w:pPr>
      <w:r>
        <w:rPr>
          <w:spacing w:val="-10"/>
          <w:sz w:val="21"/>
        </w:rPr>
        <w:t>磨头用砂带采用</w:t>
      </w:r>
      <w:r>
        <w:rPr>
          <w:spacing w:val="-10"/>
          <w:sz w:val="21"/>
        </w:rPr>
        <w:t xml:space="preserve"> </w:t>
      </w:r>
      <w:r>
        <w:rPr>
          <w:sz w:val="21"/>
        </w:rPr>
        <w:t>GB/T</w:t>
      </w:r>
      <w:r>
        <w:rPr>
          <w:spacing w:val="2"/>
          <w:sz w:val="21"/>
        </w:rPr>
        <w:t xml:space="preserve"> </w:t>
      </w:r>
      <w:r>
        <w:rPr>
          <w:sz w:val="21"/>
        </w:rPr>
        <w:t>2481.2</w:t>
      </w:r>
      <w:r>
        <w:rPr>
          <w:spacing w:val="-12"/>
          <w:sz w:val="21"/>
        </w:rPr>
        <w:t xml:space="preserve"> </w:t>
      </w:r>
      <w:r>
        <w:rPr>
          <w:spacing w:val="-12"/>
          <w:sz w:val="21"/>
        </w:rPr>
        <w:t>规定的</w:t>
      </w:r>
      <w:r>
        <w:rPr>
          <w:spacing w:val="-12"/>
          <w:sz w:val="21"/>
        </w:rPr>
        <w:t>#</w:t>
      </w:r>
      <w:r>
        <w:rPr>
          <w:sz w:val="21"/>
        </w:rPr>
        <w:t>240</w:t>
      </w:r>
      <w:r>
        <w:rPr>
          <w:spacing w:val="-11"/>
          <w:sz w:val="21"/>
        </w:rPr>
        <w:t xml:space="preserve"> </w:t>
      </w:r>
      <w:r>
        <w:rPr>
          <w:spacing w:val="-11"/>
          <w:sz w:val="21"/>
        </w:rPr>
        <w:t>磨粒砂带。</w:t>
      </w:r>
      <w:r>
        <w:rPr>
          <w:b/>
          <w:sz w:val="21"/>
        </w:rPr>
        <w:t>5.13</w:t>
      </w:r>
      <w:r>
        <w:rPr>
          <w:b/>
          <w:spacing w:val="2"/>
          <w:sz w:val="21"/>
        </w:rPr>
        <w:t xml:space="preserve"> </w:t>
      </w:r>
      <w:r>
        <w:rPr>
          <w:spacing w:val="-3"/>
          <w:sz w:val="21"/>
        </w:rPr>
        <w:t>水带与消防接口连接性能试验</w:t>
      </w:r>
      <w:r>
        <w:rPr>
          <w:sz w:val="21"/>
        </w:rPr>
        <w:t xml:space="preserve"> </w:t>
      </w:r>
    </w:p>
    <w:p w14:paraId="2332C6CC" w14:textId="77777777" w:rsidR="00A71EEF" w:rsidRDefault="0081115D">
      <w:pPr>
        <w:pStyle w:val="a4"/>
        <w:numPr>
          <w:ilvl w:val="2"/>
          <w:numId w:val="881"/>
        </w:numPr>
        <w:tabs>
          <w:tab w:val="left" w:pos="1478"/>
        </w:tabs>
        <w:spacing w:line="446" w:lineRule="auto"/>
        <w:ind w:right="1448" w:firstLine="422"/>
        <w:rPr>
          <w:sz w:val="21"/>
        </w:rPr>
      </w:pPr>
      <w:r>
        <w:rPr>
          <w:spacing w:val="-5"/>
          <w:sz w:val="21"/>
        </w:rPr>
        <w:t>任意取带有消防接口的试样两段，总长度为</w:t>
      </w:r>
      <w:r>
        <w:rPr>
          <w:spacing w:val="-5"/>
          <w:sz w:val="21"/>
        </w:rPr>
        <w:t xml:space="preserve"> </w:t>
      </w:r>
      <w:r>
        <w:rPr>
          <w:sz w:val="21"/>
        </w:rPr>
        <w:t>1.2m</w:t>
      </w:r>
      <w:r>
        <w:rPr>
          <w:spacing w:val="-3"/>
          <w:sz w:val="21"/>
        </w:rPr>
        <w:t>。并将消防接口相互连接，试样另两端分别与水源相接和带有排气阀的密封装置连接，保持试样平直，对试样灌水，排尽空气</w:t>
      </w:r>
    </w:p>
    <w:p w14:paraId="6E014F3B" w14:textId="77777777" w:rsidR="00A71EEF" w:rsidRDefault="0081115D">
      <w:pPr>
        <w:pStyle w:val="a3"/>
        <w:spacing w:line="446" w:lineRule="auto"/>
        <w:ind w:left="418" w:right="1666"/>
      </w:pPr>
      <w:r>
        <w:rPr>
          <w:spacing w:val="-5"/>
        </w:rPr>
        <w:t>后，关闭排气阀，均匀升压至相应的试验压力，保压</w:t>
      </w:r>
      <w:r>
        <w:rPr>
          <w:spacing w:val="-5"/>
        </w:rPr>
        <w:t xml:space="preserve"> </w:t>
      </w:r>
      <w:r>
        <w:t>5min</w:t>
      </w:r>
      <w:r>
        <w:rPr>
          <w:spacing w:val="-7"/>
        </w:rPr>
        <w:t>。判断试验结果是否符合</w:t>
      </w:r>
      <w:r>
        <w:rPr>
          <w:spacing w:val="-7"/>
        </w:rPr>
        <w:t xml:space="preserve"> </w:t>
      </w:r>
      <w:r>
        <w:t>4.13</w:t>
      </w:r>
      <w:r>
        <w:rPr>
          <w:spacing w:val="-16"/>
        </w:rPr>
        <w:t xml:space="preserve"> </w:t>
      </w:r>
      <w:r>
        <w:rPr>
          <w:spacing w:val="-16"/>
        </w:rPr>
        <w:t>的规</w:t>
      </w:r>
      <w:r>
        <w:rPr>
          <w:spacing w:val="-2"/>
        </w:rPr>
        <w:t>定。</w:t>
      </w:r>
      <w:r>
        <w:t xml:space="preserve"> </w:t>
      </w:r>
    </w:p>
    <w:p w14:paraId="43498371" w14:textId="77777777" w:rsidR="00A71EEF" w:rsidRDefault="0081115D">
      <w:pPr>
        <w:pStyle w:val="a4"/>
        <w:numPr>
          <w:ilvl w:val="2"/>
          <w:numId w:val="881"/>
        </w:numPr>
        <w:tabs>
          <w:tab w:val="left" w:pos="1478"/>
        </w:tabs>
        <w:ind w:left="1477" w:hanging="638"/>
        <w:rPr>
          <w:sz w:val="21"/>
        </w:rPr>
      </w:pPr>
      <w:r>
        <w:rPr>
          <w:spacing w:val="-10"/>
          <w:sz w:val="21"/>
        </w:rPr>
        <w:t>试验装置应符合</w:t>
      </w:r>
      <w:r>
        <w:rPr>
          <w:spacing w:val="-10"/>
          <w:sz w:val="21"/>
        </w:rPr>
        <w:t xml:space="preserve"> </w:t>
      </w:r>
      <w:r>
        <w:rPr>
          <w:sz w:val="21"/>
        </w:rPr>
        <w:t>5.4.3</w:t>
      </w:r>
      <w:r>
        <w:rPr>
          <w:spacing w:val="-13"/>
          <w:sz w:val="21"/>
        </w:rPr>
        <w:t xml:space="preserve"> </w:t>
      </w:r>
      <w:r>
        <w:rPr>
          <w:spacing w:val="-13"/>
          <w:sz w:val="21"/>
        </w:rPr>
        <w:t>的规定。</w:t>
      </w:r>
      <w:r>
        <w:rPr>
          <w:sz w:val="21"/>
        </w:rPr>
        <w:t xml:space="preserve"> </w:t>
      </w:r>
    </w:p>
    <w:p w14:paraId="76446D60" w14:textId="77777777" w:rsidR="00A71EEF" w:rsidRDefault="00A71EEF">
      <w:pPr>
        <w:pStyle w:val="a3"/>
        <w:spacing w:before="5"/>
        <w:rPr>
          <w:sz w:val="15"/>
        </w:rPr>
      </w:pPr>
    </w:p>
    <w:p w14:paraId="3A24E839" w14:textId="77777777" w:rsidR="00A71EEF" w:rsidRDefault="0081115D">
      <w:pPr>
        <w:pStyle w:val="4"/>
        <w:spacing w:before="1"/>
      </w:pPr>
      <w:r>
        <w:t xml:space="preserve">6 </w:t>
      </w:r>
      <w:r>
        <w:t>检验规则</w:t>
      </w:r>
      <w:r>
        <w:rPr>
          <w:w w:val="99"/>
        </w:rPr>
        <w:t xml:space="preserve"> </w:t>
      </w:r>
    </w:p>
    <w:p w14:paraId="34ED9F5C" w14:textId="77777777" w:rsidR="00A71EEF" w:rsidRDefault="00A71EEF">
      <w:pPr>
        <w:pStyle w:val="a3"/>
        <w:spacing w:before="6"/>
        <w:rPr>
          <w:b/>
          <w:sz w:val="17"/>
        </w:rPr>
      </w:pPr>
    </w:p>
    <w:p w14:paraId="1B075F4C" w14:textId="77777777" w:rsidR="00A71EEF" w:rsidRDefault="0081115D">
      <w:pPr>
        <w:pStyle w:val="a4"/>
        <w:numPr>
          <w:ilvl w:val="1"/>
          <w:numId w:val="880"/>
        </w:numPr>
        <w:tabs>
          <w:tab w:val="left" w:pos="1160"/>
        </w:tabs>
        <w:rPr>
          <w:b/>
          <w:sz w:val="21"/>
        </w:rPr>
      </w:pPr>
      <w:r>
        <w:rPr>
          <w:spacing w:val="-3"/>
          <w:sz w:val="21"/>
        </w:rPr>
        <w:t>出厂检验</w:t>
      </w:r>
      <w:r>
        <w:rPr>
          <w:b/>
          <w:w w:val="99"/>
          <w:sz w:val="21"/>
        </w:rPr>
        <w:t xml:space="preserve"> </w:t>
      </w:r>
    </w:p>
    <w:p w14:paraId="04DF960B" w14:textId="77777777" w:rsidR="00A71EEF" w:rsidRDefault="00A71EEF">
      <w:pPr>
        <w:pStyle w:val="a3"/>
        <w:rPr>
          <w:b/>
          <w:sz w:val="18"/>
        </w:rPr>
      </w:pPr>
    </w:p>
    <w:p w14:paraId="108BD6A7" w14:textId="77777777" w:rsidR="00A71EEF" w:rsidRDefault="0081115D">
      <w:pPr>
        <w:pStyle w:val="a4"/>
        <w:numPr>
          <w:ilvl w:val="2"/>
          <w:numId w:val="880"/>
        </w:numPr>
        <w:tabs>
          <w:tab w:val="left" w:pos="1371"/>
        </w:tabs>
        <w:rPr>
          <w:sz w:val="21"/>
        </w:rPr>
      </w:pPr>
      <w:r>
        <w:rPr>
          <w:spacing w:val="-3"/>
          <w:sz w:val="21"/>
        </w:rPr>
        <w:t>水带应经过工厂质量检验部门检验合格方能出厂。</w:t>
      </w:r>
      <w:r>
        <w:rPr>
          <w:sz w:val="21"/>
        </w:rPr>
        <w:t xml:space="preserve"> </w:t>
      </w:r>
    </w:p>
    <w:p w14:paraId="5FB6700D" w14:textId="77777777" w:rsidR="00A71EEF" w:rsidRDefault="00A71EEF">
      <w:pPr>
        <w:pStyle w:val="a3"/>
        <w:spacing w:before="12"/>
        <w:rPr>
          <w:sz w:val="17"/>
        </w:rPr>
      </w:pPr>
    </w:p>
    <w:p w14:paraId="74F58314" w14:textId="77777777" w:rsidR="00A71EEF" w:rsidRDefault="0081115D">
      <w:pPr>
        <w:pStyle w:val="a4"/>
        <w:numPr>
          <w:ilvl w:val="2"/>
          <w:numId w:val="880"/>
        </w:numPr>
        <w:tabs>
          <w:tab w:val="left" w:pos="1371"/>
        </w:tabs>
        <w:spacing w:line="446" w:lineRule="auto"/>
        <w:ind w:left="418" w:right="1604" w:firstLine="422"/>
        <w:rPr>
          <w:sz w:val="21"/>
        </w:rPr>
      </w:pPr>
      <w:r>
        <w:rPr>
          <w:spacing w:val="-11"/>
          <w:sz w:val="21"/>
        </w:rPr>
        <w:t>出厂检验按</w:t>
      </w:r>
      <w:r>
        <w:rPr>
          <w:spacing w:val="-11"/>
          <w:sz w:val="21"/>
        </w:rPr>
        <w:t xml:space="preserve"> </w:t>
      </w:r>
      <w:r>
        <w:rPr>
          <w:sz w:val="21"/>
        </w:rPr>
        <w:t>4.1</w:t>
      </w:r>
      <w:r>
        <w:rPr>
          <w:sz w:val="21"/>
        </w:rPr>
        <w:t>～</w:t>
      </w:r>
      <w:r>
        <w:rPr>
          <w:sz w:val="21"/>
        </w:rPr>
        <w:t>4.7</w:t>
      </w:r>
      <w:r>
        <w:rPr>
          <w:spacing w:val="-33"/>
          <w:sz w:val="21"/>
        </w:rPr>
        <w:t xml:space="preserve"> </w:t>
      </w:r>
      <w:r>
        <w:rPr>
          <w:spacing w:val="-33"/>
          <w:sz w:val="21"/>
        </w:rPr>
        <w:t>和</w:t>
      </w:r>
      <w:r>
        <w:rPr>
          <w:spacing w:val="-33"/>
          <w:sz w:val="21"/>
        </w:rPr>
        <w:t xml:space="preserve"> </w:t>
      </w:r>
      <w:r>
        <w:rPr>
          <w:sz w:val="21"/>
        </w:rPr>
        <w:t>4.11.1</w:t>
      </w:r>
      <w:r>
        <w:rPr>
          <w:spacing w:val="-9"/>
          <w:sz w:val="21"/>
        </w:rPr>
        <w:t xml:space="preserve"> </w:t>
      </w:r>
      <w:r>
        <w:rPr>
          <w:spacing w:val="-9"/>
          <w:sz w:val="21"/>
        </w:rPr>
        <w:t>规定进行。以同一品种、同一规格、同一材质、同</w:t>
      </w:r>
      <w:r>
        <w:rPr>
          <w:spacing w:val="-5"/>
          <w:sz w:val="21"/>
        </w:rPr>
        <w:t>一天生</w:t>
      </w:r>
      <w:r>
        <w:rPr>
          <w:spacing w:val="-5"/>
          <w:sz w:val="21"/>
        </w:rPr>
        <w:t>产的产品为一个批次，从中任意抽取二根作为试样。</w:t>
      </w:r>
      <w:r>
        <w:rPr>
          <w:sz w:val="21"/>
        </w:rPr>
        <w:t xml:space="preserve"> </w:t>
      </w:r>
    </w:p>
    <w:p w14:paraId="09B286BD" w14:textId="77777777" w:rsidR="00A71EEF" w:rsidRDefault="0081115D">
      <w:pPr>
        <w:pStyle w:val="a4"/>
        <w:numPr>
          <w:ilvl w:val="2"/>
          <w:numId w:val="880"/>
        </w:numPr>
        <w:tabs>
          <w:tab w:val="left" w:pos="1370"/>
        </w:tabs>
        <w:spacing w:line="446" w:lineRule="auto"/>
        <w:ind w:left="418" w:right="1604" w:firstLine="422"/>
        <w:rPr>
          <w:sz w:val="21"/>
        </w:rPr>
      </w:pPr>
      <w:r>
        <w:rPr>
          <w:spacing w:val="-3"/>
          <w:sz w:val="21"/>
        </w:rPr>
        <w:t>出厂检验结果如有不符合本标准规定的，允许在同批产品中加倍抽样进行复验。复验合格的，判该批产品为合格；复验仍不合格的，则判该批产品为不合格。</w:t>
      </w:r>
      <w:r>
        <w:rPr>
          <w:sz w:val="21"/>
        </w:rPr>
        <w:t xml:space="preserve"> </w:t>
      </w:r>
    </w:p>
    <w:p w14:paraId="20E7A680" w14:textId="77777777" w:rsidR="00A71EEF" w:rsidRDefault="0081115D">
      <w:pPr>
        <w:pStyle w:val="a4"/>
        <w:numPr>
          <w:ilvl w:val="1"/>
          <w:numId w:val="880"/>
        </w:numPr>
        <w:tabs>
          <w:tab w:val="left" w:pos="1159"/>
        </w:tabs>
        <w:ind w:left="1158" w:hanging="319"/>
        <w:rPr>
          <w:sz w:val="21"/>
        </w:rPr>
      </w:pPr>
      <w:r>
        <w:rPr>
          <w:spacing w:val="-3"/>
          <w:sz w:val="21"/>
        </w:rPr>
        <w:t>形式检验</w:t>
      </w:r>
      <w:r>
        <w:rPr>
          <w:sz w:val="21"/>
        </w:rPr>
        <w:t xml:space="preserve"> </w:t>
      </w:r>
    </w:p>
    <w:p w14:paraId="71EB4BEC" w14:textId="77777777" w:rsidR="00A71EEF" w:rsidRDefault="00A71EEF">
      <w:pPr>
        <w:pStyle w:val="a3"/>
        <w:rPr>
          <w:sz w:val="18"/>
        </w:rPr>
      </w:pPr>
    </w:p>
    <w:p w14:paraId="6ACC8B40" w14:textId="77777777" w:rsidR="00A71EEF" w:rsidRDefault="0081115D">
      <w:pPr>
        <w:pStyle w:val="a4"/>
        <w:numPr>
          <w:ilvl w:val="2"/>
          <w:numId w:val="880"/>
        </w:numPr>
        <w:tabs>
          <w:tab w:val="left" w:pos="1370"/>
        </w:tabs>
        <w:spacing w:line="446" w:lineRule="auto"/>
        <w:ind w:left="838" w:right="5493" w:firstLine="2"/>
        <w:rPr>
          <w:sz w:val="21"/>
        </w:rPr>
      </w:pPr>
      <w:r>
        <w:rPr>
          <w:spacing w:val="-3"/>
          <w:sz w:val="21"/>
        </w:rPr>
        <w:t>有下列情况之一时，应进行型式检验：</w:t>
      </w:r>
      <w:r>
        <w:rPr>
          <w:spacing w:val="-3"/>
          <w:sz w:val="21"/>
        </w:rPr>
        <w:t xml:space="preserve"> </w:t>
      </w:r>
      <w:r>
        <w:rPr>
          <w:sz w:val="21"/>
        </w:rPr>
        <w:t>a</w:t>
      </w:r>
      <w:r>
        <w:rPr>
          <w:sz w:val="21"/>
        </w:rPr>
        <w:t>）</w:t>
      </w:r>
      <w:r>
        <w:rPr>
          <w:spacing w:val="-3"/>
          <w:sz w:val="21"/>
        </w:rPr>
        <w:t>新产品的试制；</w:t>
      </w:r>
      <w:r>
        <w:rPr>
          <w:sz w:val="21"/>
        </w:rPr>
        <w:t xml:space="preserve"> </w:t>
      </w:r>
    </w:p>
    <w:p w14:paraId="44071375" w14:textId="77777777" w:rsidR="00A71EEF" w:rsidRDefault="0081115D">
      <w:pPr>
        <w:pStyle w:val="a3"/>
        <w:spacing w:line="446" w:lineRule="auto"/>
        <w:ind w:left="838" w:right="4501"/>
      </w:pPr>
      <w:r>
        <w:t>b</w:t>
      </w:r>
      <w:r>
        <w:t>）正式生产后，如果改变工艺、结构、材料及配方时；</w:t>
      </w:r>
      <w:r>
        <w:t xml:space="preserve"> c</w:t>
      </w:r>
      <w:r>
        <w:t>）停产六个月以上再生产时；</w:t>
      </w:r>
      <w:r>
        <w:t xml:space="preserve"> </w:t>
      </w:r>
    </w:p>
    <w:p w14:paraId="5E82370F" w14:textId="77777777" w:rsidR="00A71EEF" w:rsidRDefault="0081115D">
      <w:pPr>
        <w:pStyle w:val="a3"/>
        <w:spacing w:line="446" w:lineRule="auto"/>
        <w:ind w:left="838" w:right="5185"/>
      </w:pPr>
      <w:r>
        <w:t>d</w:t>
      </w:r>
      <w:r>
        <w:t>）</w:t>
      </w:r>
      <w:r>
        <w:rPr>
          <w:spacing w:val="8"/>
        </w:rPr>
        <w:t>累计生产</w:t>
      </w:r>
      <w:r>
        <w:rPr>
          <w:spacing w:val="8"/>
        </w:rPr>
        <w:t xml:space="preserve">  </w:t>
      </w:r>
      <w:r>
        <w:t>500000m</w:t>
      </w:r>
      <w:r>
        <w:rPr>
          <w:spacing w:val="3"/>
        </w:rPr>
        <w:t xml:space="preserve">  </w:t>
      </w:r>
      <w:r>
        <w:rPr>
          <w:spacing w:val="3"/>
        </w:rPr>
        <w:t>或连续生产一年时；</w:t>
      </w:r>
      <w:r>
        <w:rPr>
          <w:spacing w:val="3"/>
        </w:rPr>
        <w:t xml:space="preserve"> </w:t>
      </w:r>
      <w:r>
        <w:t>e</w:t>
      </w:r>
      <w:r>
        <w:t>）</w:t>
      </w:r>
      <w:r>
        <w:rPr>
          <w:spacing w:val="-3"/>
        </w:rPr>
        <w:t>国家质量监督机构提出进行型式检验要求时。</w:t>
      </w:r>
      <w:r>
        <w:t xml:space="preserve"> </w:t>
      </w:r>
    </w:p>
    <w:p w14:paraId="44872632" w14:textId="77777777" w:rsidR="00A71EEF" w:rsidRDefault="0081115D">
      <w:pPr>
        <w:pStyle w:val="a4"/>
        <w:numPr>
          <w:ilvl w:val="2"/>
          <w:numId w:val="880"/>
        </w:numPr>
        <w:tabs>
          <w:tab w:val="left" w:pos="1371"/>
        </w:tabs>
        <w:spacing w:line="446" w:lineRule="auto"/>
        <w:ind w:left="418" w:right="1603" w:firstLine="422"/>
        <w:rPr>
          <w:sz w:val="21"/>
        </w:rPr>
      </w:pPr>
      <w:r>
        <w:rPr>
          <w:spacing w:val="-9"/>
          <w:sz w:val="21"/>
        </w:rPr>
        <w:t>型式检验项目按第</w:t>
      </w:r>
      <w:r>
        <w:rPr>
          <w:spacing w:val="-9"/>
          <w:sz w:val="21"/>
        </w:rPr>
        <w:t xml:space="preserve"> </w:t>
      </w:r>
      <w:r>
        <w:rPr>
          <w:sz w:val="21"/>
        </w:rPr>
        <w:t>3</w:t>
      </w:r>
      <w:r>
        <w:rPr>
          <w:spacing w:val="-21"/>
          <w:sz w:val="21"/>
        </w:rPr>
        <w:t xml:space="preserve"> </w:t>
      </w:r>
      <w:r>
        <w:rPr>
          <w:spacing w:val="-21"/>
          <w:sz w:val="21"/>
        </w:rPr>
        <w:t>章、第</w:t>
      </w:r>
      <w:r>
        <w:rPr>
          <w:spacing w:val="-21"/>
          <w:sz w:val="21"/>
        </w:rPr>
        <w:t xml:space="preserve"> </w:t>
      </w:r>
      <w:r>
        <w:rPr>
          <w:sz w:val="21"/>
        </w:rPr>
        <w:t>4</w:t>
      </w:r>
      <w:r>
        <w:rPr>
          <w:spacing w:val="-26"/>
          <w:sz w:val="21"/>
        </w:rPr>
        <w:t xml:space="preserve"> </w:t>
      </w:r>
      <w:r>
        <w:rPr>
          <w:spacing w:val="-26"/>
          <w:sz w:val="21"/>
        </w:rPr>
        <w:t>章和</w:t>
      </w:r>
      <w:r>
        <w:rPr>
          <w:spacing w:val="-26"/>
          <w:sz w:val="21"/>
        </w:rPr>
        <w:t xml:space="preserve"> </w:t>
      </w:r>
      <w:r>
        <w:rPr>
          <w:sz w:val="21"/>
        </w:rPr>
        <w:t>7.1.1</w:t>
      </w:r>
      <w:r>
        <w:rPr>
          <w:spacing w:val="-8"/>
          <w:sz w:val="21"/>
        </w:rPr>
        <w:t xml:space="preserve"> </w:t>
      </w:r>
      <w:r>
        <w:rPr>
          <w:spacing w:val="-8"/>
          <w:sz w:val="21"/>
        </w:rPr>
        <w:t>进行，样本数量不应少于三根。样本应在</w:t>
      </w:r>
      <w:r>
        <w:rPr>
          <w:spacing w:val="-5"/>
          <w:sz w:val="21"/>
        </w:rPr>
        <w:t>出厂检验合格批中随机抽取。</w:t>
      </w:r>
      <w:r>
        <w:rPr>
          <w:sz w:val="21"/>
        </w:rPr>
        <w:t xml:space="preserve"> </w:t>
      </w:r>
    </w:p>
    <w:p w14:paraId="0FD12DA6" w14:textId="77777777" w:rsidR="00A71EEF" w:rsidRDefault="0081115D">
      <w:pPr>
        <w:pStyle w:val="a4"/>
        <w:numPr>
          <w:ilvl w:val="2"/>
          <w:numId w:val="880"/>
        </w:numPr>
        <w:tabs>
          <w:tab w:val="left" w:pos="1370"/>
        </w:tabs>
        <w:ind w:left="1369" w:hanging="530"/>
        <w:rPr>
          <w:sz w:val="21"/>
        </w:rPr>
      </w:pPr>
      <w:r>
        <w:rPr>
          <w:spacing w:val="-3"/>
          <w:sz w:val="21"/>
        </w:rPr>
        <w:t>形式检验的结果应符合本标准规定的全部要求。</w:t>
      </w:r>
      <w:r>
        <w:rPr>
          <w:sz w:val="21"/>
        </w:rPr>
        <w:t xml:space="preserve"> </w:t>
      </w:r>
    </w:p>
    <w:p w14:paraId="66D0F8D8" w14:textId="77777777" w:rsidR="00A71EEF" w:rsidRDefault="00A71EEF">
      <w:pPr>
        <w:rPr>
          <w:sz w:val="21"/>
        </w:rPr>
        <w:sectPr w:rsidR="00A71EEF">
          <w:pgSz w:w="11910" w:h="16850"/>
          <w:pgMar w:top="1220" w:right="0" w:bottom="1420" w:left="1260" w:header="0" w:footer="1239" w:gutter="0"/>
          <w:cols w:space="720"/>
        </w:sectPr>
      </w:pPr>
    </w:p>
    <w:p w14:paraId="79E75181" w14:textId="77777777" w:rsidR="00A71EEF" w:rsidRDefault="0081115D">
      <w:pPr>
        <w:pStyle w:val="4"/>
        <w:spacing w:before="37"/>
      </w:pPr>
      <w:r>
        <w:lastRenderedPageBreak/>
        <w:t xml:space="preserve">7 </w:t>
      </w:r>
      <w:r>
        <w:t>标志、包装、运输、使用与维护</w:t>
      </w:r>
      <w:r>
        <w:rPr>
          <w:w w:val="99"/>
        </w:rPr>
        <w:t xml:space="preserve"> </w:t>
      </w:r>
    </w:p>
    <w:p w14:paraId="3A2EB64D" w14:textId="77777777" w:rsidR="00A71EEF" w:rsidRDefault="00A71EEF">
      <w:pPr>
        <w:pStyle w:val="a3"/>
        <w:spacing w:before="4"/>
        <w:rPr>
          <w:b/>
          <w:sz w:val="17"/>
        </w:rPr>
      </w:pPr>
    </w:p>
    <w:p w14:paraId="2D148C4E" w14:textId="77777777" w:rsidR="00A71EEF" w:rsidRDefault="0081115D">
      <w:pPr>
        <w:pStyle w:val="a4"/>
        <w:numPr>
          <w:ilvl w:val="1"/>
          <w:numId w:val="879"/>
        </w:numPr>
        <w:tabs>
          <w:tab w:val="left" w:pos="1159"/>
        </w:tabs>
        <w:spacing w:before="1"/>
        <w:ind w:hanging="319"/>
        <w:rPr>
          <w:b/>
          <w:sz w:val="21"/>
        </w:rPr>
      </w:pPr>
      <w:r>
        <w:rPr>
          <w:spacing w:val="-3"/>
          <w:sz w:val="21"/>
        </w:rPr>
        <w:t>标志</w:t>
      </w:r>
      <w:r>
        <w:rPr>
          <w:b/>
          <w:w w:val="99"/>
          <w:sz w:val="21"/>
        </w:rPr>
        <w:t xml:space="preserve"> </w:t>
      </w:r>
    </w:p>
    <w:p w14:paraId="08574822" w14:textId="77777777" w:rsidR="00A71EEF" w:rsidRDefault="00A71EEF">
      <w:pPr>
        <w:pStyle w:val="a3"/>
        <w:spacing w:before="12"/>
        <w:rPr>
          <w:b/>
          <w:sz w:val="17"/>
        </w:rPr>
      </w:pPr>
    </w:p>
    <w:p w14:paraId="1776F1E2" w14:textId="77777777" w:rsidR="00A71EEF" w:rsidRDefault="0081115D">
      <w:pPr>
        <w:pStyle w:val="a4"/>
        <w:numPr>
          <w:ilvl w:val="2"/>
          <w:numId w:val="879"/>
        </w:numPr>
        <w:tabs>
          <w:tab w:val="left" w:pos="1371"/>
        </w:tabs>
        <w:spacing w:line="446" w:lineRule="auto"/>
        <w:ind w:right="1604" w:firstLine="422"/>
        <w:rPr>
          <w:sz w:val="21"/>
        </w:rPr>
      </w:pPr>
      <w:r>
        <w:rPr>
          <w:spacing w:val="-3"/>
          <w:sz w:val="21"/>
        </w:rPr>
        <w:t>湿水带应以黑色线作带身中心线，其余水带应以其他有色线作带身中心线，在端部附近中心线两侧应用不易脱落的油墨，清晰地印有下列标志内容：</w:t>
      </w:r>
      <w:r>
        <w:rPr>
          <w:sz w:val="21"/>
        </w:rPr>
        <w:t xml:space="preserve"> </w:t>
      </w:r>
    </w:p>
    <w:p w14:paraId="492A210D" w14:textId="77777777" w:rsidR="00A71EEF" w:rsidRDefault="0081115D">
      <w:pPr>
        <w:pStyle w:val="a4"/>
        <w:numPr>
          <w:ilvl w:val="0"/>
          <w:numId w:val="878"/>
        </w:numPr>
        <w:tabs>
          <w:tab w:val="left" w:pos="1156"/>
        </w:tabs>
        <w:spacing w:line="446" w:lineRule="auto"/>
        <w:ind w:right="8335" w:firstLine="0"/>
        <w:jc w:val="both"/>
        <w:rPr>
          <w:sz w:val="21"/>
        </w:rPr>
      </w:pPr>
      <w:r>
        <w:rPr>
          <w:spacing w:val="-3"/>
          <w:sz w:val="21"/>
        </w:rPr>
        <w:t>产品名称；</w:t>
      </w:r>
      <w:r>
        <w:rPr>
          <w:spacing w:val="-3"/>
          <w:sz w:val="21"/>
        </w:rPr>
        <w:t xml:space="preserve"> </w:t>
      </w:r>
      <w:r>
        <w:rPr>
          <w:sz w:val="21"/>
        </w:rPr>
        <w:t>b</w:t>
      </w:r>
      <w:r>
        <w:rPr>
          <w:sz w:val="21"/>
        </w:rPr>
        <w:t>）</w:t>
      </w:r>
      <w:r>
        <w:rPr>
          <w:spacing w:val="-3"/>
          <w:sz w:val="21"/>
        </w:rPr>
        <w:t>规格型号；</w:t>
      </w:r>
      <w:r>
        <w:rPr>
          <w:spacing w:val="-3"/>
          <w:sz w:val="21"/>
        </w:rPr>
        <w:t xml:space="preserve"> </w:t>
      </w:r>
      <w:r>
        <w:rPr>
          <w:sz w:val="21"/>
        </w:rPr>
        <w:t>c</w:t>
      </w:r>
      <w:r>
        <w:rPr>
          <w:sz w:val="21"/>
        </w:rPr>
        <w:t>）</w:t>
      </w:r>
      <w:r>
        <w:rPr>
          <w:spacing w:val="-3"/>
          <w:sz w:val="21"/>
        </w:rPr>
        <w:t>生产厂名；</w:t>
      </w:r>
      <w:r>
        <w:rPr>
          <w:spacing w:val="-3"/>
          <w:sz w:val="21"/>
        </w:rPr>
        <w:t xml:space="preserve"> </w:t>
      </w:r>
      <w:r>
        <w:rPr>
          <w:sz w:val="21"/>
        </w:rPr>
        <w:t>d</w:t>
      </w:r>
      <w:r>
        <w:rPr>
          <w:sz w:val="21"/>
        </w:rPr>
        <w:t>）</w:t>
      </w:r>
      <w:r>
        <w:rPr>
          <w:spacing w:val="-3"/>
          <w:sz w:val="21"/>
        </w:rPr>
        <w:t>注册商标；</w:t>
      </w:r>
      <w:r>
        <w:rPr>
          <w:spacing w:val="-3"/>
          <w:sz w:val="21"/>
        </w:rPr>
        <w:t xml:space="preserve"> </w:t>
      </w:r>
      <w:r>
        <w:rPr>
          <w:sz w:val="21"/>
        </w:rPr>
        <w:t>e</w:t>
      </w:r>
      <w:r>
        <w:rPr>
          <w:sz w:val="21"/>
        </w:rPr>
        <w:t>）</w:t>
      </w:r>
      <w:r>
        <w:rPr>
          <w:spacing w:val="-3"/>
          <w:sz w:val="21"/>
        </w:rPr>
        <w:t>生产日期。</w:t>
      </w:r>
      <w:r>
        <w:rPr>
          <w:sz w:val="21"/>
        </w:rPr>
        <w:t xml:space="preserve"> </w:t>
      </w:r>
    </w:p>
    <w:p w14:paraId="7042C12B" w14:textId="77777777" w:rsidR="00A71EEF" w:rsidRDefault="0081115D">
      <w:pPr>
        <w:pStyle w:val="a4"/>
        <w:numPr>
          <w:ilvl w:val="2"/>
          <w:numId w:val="879"/>
        </w:numPr>
        <w:tabs>
          <w:tab w:val="left" w:pos="1371"/>
        </w:tabs>
        <w:spacing w:line="446" w:lineRule="auto"/>
        <w:ind w:left="838" w:right="4441" w:firstLine="2"/>
        <w:rPr>
          <w:sz w:val="21"/>
        </w:rPr>
      </w:pPr>
      <w:r>
        <w:rPr>
          <w:spacing w:val="-3"/>
          <w:sz w:val="21"/>
        </w:rPr>
        <w:t>每包水带应附有使用说明书。包外应有下列标志：</w:t>
      </w:r>
      <w:r>
        <w:rPr>
          <w:spacing w:val="-3"/>
          <w:sz w:val="21"/>
        </w:rPr>
        <w:t xml:space="preserve"> </w:t>
      </w:r>
      <w:r>
        <w:rPr>
          <w:sz w:val="21"/>
        </w:rPr>
        <w:t>a</w:t>
      </w:r>
      <w:r>
        <w:rPr>
          <w:sz w:val="21"/>
        </w:rPr>
        <w:t>）</w:t>
      </w:r>
      <w:r>
        <w:rPr>
          <w:spacing w:val="-3"/>
          <w:sz w:val="21"/>
        </w:rPr>
        <w:t>产品名称；</w:t>
      </w:r>
      <w:r>
        <w:rPr>
          <w:sz w:val="21"/>
        </w:rPr>
        <w:t xml:space="preserve"> </w:t>
      </w:r>
    </w:p>
    <w:p w14:paraId="4BF97978" w14:textId="77777777" w:rsidR="00A71EEF" w:rsidRDefault="0081115D">
      <w:pPr>
        <w:pStyle w:val="a4"/>
        <w:numPr>
          <w:ilvl w:val="0"/>
          <w:numId w:val="878"/>
        </w:numPr>
        <w:tabs>
          <w:tab w:val="left" w:pos="1156"/>
        </w:tabs>
        <w:spacing w:line="267" w:lineRule="exact"/>
        <w:ind w:left="1155"/>
        <w:rPr>
          <w:sz w:val="21"/>
        </w:rPr>
      </w:pPr>
      <w:r>
        <w:rPr>
          <w:spacing w:val="-3"/>
          <w:sz w:val="21"/>
        </w:rPr>
        <w:t>规格型号；</w:t>
      </w:r>
      <w:r>
        <w:rPr>
          <w:sz w:val="21"/>
        </w:rPr>
        <w:t xml:space="preserve"> </w:t>
      </w:r>
    </w:p>
    <w:p w14:paraId="3CB5CB55" w14:textId="77777777" w:rsidR="00A71EEF" w:rsidRDefault="00A71EEF">
      <w:pPr>
        <w:pStyle w:val="a3"/>
        <w:spacing w:before="1"/>
        <w:rPr>
          <w:sz w:val="18"/>
        </w:rPr>
      </w:pPr>
    </w:p>
    <w:p w14:paraId="25465472" w14:textId="77777777" w:rsidR="00A71EEF" w:rsidRDefault="0081115D">
      <w:pPr>
        <w:pStyle w:val="a4"/>
        <w:numPr>
          <w:ilvl w:val="0"/>
          <w:numId w:val="878"/>
        </w:numPr>
        <w:tabs>
          <w:tab w:val="left" w:pos="1156"/>
        </w:tabs>
        <w:spacing w:line="446" w:lineRule="auto"/>
        <w:ind w:right="7285" w:firstLine="0"/>
        <w:rPr>
          <w:sz w:val="21"/>
        </w:rPr>
      </w:pPr>
      <w:r>
        <w:rPr>
          <w:spacing w:val="-2"/>
          <w:sz w:val="21"/>
        </w:rPr>
        <w:t>重量</w:t>
      </w:r>
      <w:r>
        <w:rPr>
          <w:spacing w:val="-3"/>
          <w:sz w:val="21"/>
        </w:rPr>
        <w:t>（净重及毛重）；</w:t>
      </w:r>
      <w:r>
        <w:rPr>
          <w:spacing w:val="-3"/>
          <w:sz w:val="21"/>
        </w:rPr>
        <w:t xml:space="preserve"> </w:t>
      </w:r>
      <w:r>
        <w:rPr>
          <w:sz w:val="21"/>
        </w:rPr>
        <w:t>d</w:t>
      </w:r>
      <w:r>
        <w:rPr>
          <w:sz w:val="21"/>
        </w:rPr>
        <w:t>）</w:t>
      </w:r>
      <w:r>
        <w:rPr>
          <w:spacing w:val="-3"/>
          <w:sz w:val="21"/>
        </w:rPr>
        <w:t>件数；</w:t>
      </w:r>
      <w:r>
        <w:rPr>
          <w:sz w:val="21"/>
        </w:rPr>
        <w:t xml:space="preserve"> </w:t>
      </w:r>
    </w:p>
    <w:p w14:paraId="162267B8" w14:textId="77777777" w:rsidR="00A71EEF" w:rsidRDefault="0081115D">
      <w:pPr>
        <w:pStyle w:val="a3"/>
        <w:spacing w:line="446" w:lineRule="auto"/>
        <w:ind w:left="838" w:right="8335"/>
        <w:jc w:val="both"/>
      </w:pPr>
      <w:r>
        <w:t>e</w:t>
      </w:r>
      <w:r>
        <w:t>）生产厂名；</w:t>
      </w:r>
      <w:r>
        <w:t xml:space="preserve"> f</w:t>
      </w:r>
      <w:r>
        <w:t>）注册商标；</w:t>
      </w:r>
      <w:r>
        <w:t xml:space="preserve"> g</w:t>
      </w:r>
      <w:r>
        <w:t>）生产日期；</w:t>
      </w:r>
      <w:r>
        <w:t xml:space="preserve"> h</w:t>
      </w:r>
      <w:r>
        <w:t>）标准编号。</w:t>
      </w:r>
      <w:r>
        <w:rPr>
          <w:b/>
        </w:rPr>
        <w:t xml:space="preserve">7.2 </w:t>
      </w:r>
      <w:r>
        <w:t>包</w:t>
      </w:r>
      <w:r>
        <w:t xml:space="preserve"> </w:t>
      </w:r>
      <w:r>
        <w:t>装</w:t>
      </w:r>
      <w:r>
        <w:t xml:space="preserve"> </w:t>
      </w:r>
    </w:p>
    <w:p w14:paraId="40F1AA34" w14:textId="77777777" w:rsidR="00A71EEF" w:rsidRDefault="0081115D">
      <w:pPr>
        <w:pStyle w:val="a4"/>
        <w:numPr>
          <w:ilvl w:val="2"/>
          <w:numId w:val="877"/>
        </w:numPr>
        <w:tabs>
          <w:tab w:val="left" w:pos="1370"/>
        </w:tabs>
        <w:spacing w:line="268" w:lineRule="exact"/>
        <w:ind w:hanging="530"/>
        <w:rPr>
          <w:sz w:val="21"/>
        </w:rPr>
      </w:pPr>
      <w:r>
        <w:rPr>
          <w:spacing w:val="-3"/>
          <w:sz w:val="21"/>
        </w:rPr>
        <w:t>每根水带应卷紧成圆盘形，外用耐磨、防潮物封装。</w:t>
      </w:r>
      <w:r>
        <w:rPr>
          <w:sz w:val="21"/>
        </w:rPr>
        <w:t xml:space="preserve"> </w:t>
      </w:r>
    </w:p>
    <w:p w14:paraId="121B54C0" w14:textId="77777777" w:rsidR="00A71EEF" w:rsidRDefault="00A71EEF">
      <w:pPr>
        <w:pStyle w:val="a3"/>
        <w:spacing w:before="10"/>
        <w:rPr>
          <w:sz w:val="17"/>
        </w:rPr>
      </w:pPr>
    </w:p>
    <w:p w14:paraId="3D8F04A5" w14:textId="77777777" w:rsidR="00A71EEF" w:rsidRDefault="0081115D">
      <w:pPr>
        <w:pStyle w:val="a4"/>
        <w:numPr>
          <w:ilvl w:val="2"/>
          <w:numId w:val="877"/>
        </w:numPr>
        <w:tabs>
          <w:tab w:val="left" w:pos="1370"/>
        </w:tabs>
        <w:ind w:hanging="530"/>
        <w:rPr>
          <w:sz w:val="21"/>
        </w:rPr>
      </w:pPr>
      <w:r>
        <w:rPr>
          <w:spacing w:val="-3"/>
          <w:sz w:val="21"/>
        </w:rPr>
        <w:t>按同一设计工作压力、同一公称内径、同一材质的产品进行包装，不得混包。</w:t>
      </w:r>
      <w:r>
        <w:rPr>
          <w:sz w:val="21"/>
        </w:rPr>
        <w:t xml:space="preserve"> </w:t>
      </w:r>
    </w:p>
    <w:p w14:paraId="32B1FEF1" w14:textId="77777777" w:rsidR="00A71EEF" w:rsidRDefault="00A71EEF">
      <w:pPr>
        <w:pStyle w:val="a3"/>
        <w:spacing w:before="2"/>
        <w:rPr>
          <w:sz w:val="18"/>
        </w:rPr>
      </w:pPr>
    </w:p>
    <w:p w14:paraId="718E2496" w14:textId="77777777" w:rsidR="00A71EEF" w:rsidRDefault="0081115D">
      <w:pPr>
        <w:ind w:left="840"/>
        <w:rPr>
          <w:sz w:val="21"/>
        </w:rPr>
      </w:pPr>
      <w:r>
        <w:rPr>
          <w:b/>
          <w:sz w:val="21"/>
        </w:rPr>
        <w:t xml:space="preserve">7.3 </w:t>
      </w:r>
      <w:r>
        <w:rPr>
          <w:sz w:val="21"/>
        </w:rPr>
        <w:t>运</w:t>
      </w:r>
      <w:r>
        <w:rPr>
          <w:sz w:val="21"/>
        </w:rPr>
        <w:t xml:space="preserve"> </w:t>
      </w:r>
      <w:r>
        <w:rPr>
          <w:sz w:val="21"/>
        </w:rPr>
        <w:t>输</w:t>
      </w:r>
      <w:r>
        <w:rPr>
          <w:sz w:val="21"/>
        </w:rPr>
        <w:t xml:space="preserve"> </w:t>
      </w:r>
    </w:p>
    <w:p w14:paraId="751E81CE" w14:textId="77777777" w:rsidR="00A71EEF" w:rsidRDefault="00A71EEF">
      <w:pPr>
        <w:pStyle w:val="a3"/>
        <w:spacing w:before="12"/>
        <w:rPr>
          <w:sz w:val="17"/>
        </w:rPr>
      </w:pPr>
    </w:p>
    <w:p w14:paraId="2E66AAA8" w14:textId="77777777" w:rsidR="00A71EEF" w:rsidRDefault="0081115D">
      <w:pPr>
        <w:pStyle w:val="a3"/>
        <w:spacing w:line="446" w:lineRule="auto"/>
        <w:ind w:left="840" w:right="5288" w:hanging="3"/>
      </w:pPr>
      <w:r>
        <w:t>运输过程应防止重压、拖拽、曝晒及雨雪淋袭。</w:t>
      </w:r>
      <w:r>
        <w:rPr>
          <w:b/>
        </w:rPr>
        <w:t xml:space="preserve">7.4 </w:t>
      </w:r>
      <w:r>
        <w:t>使用与维护</w:t>
      </w:r>
      <w:r>
        <w:t xml:space="preserve"> </w:t>
      </w:r>
    </w:p>
    <w:p w14:paraId="33ADBB62" w14:textId="77777777" w:rsidR="00A71EEF" w:rsidRDefault="0081115D">
      <w:pPr>
        <w:pStyle w:val="a4"/>
        <w:numPr>
          <w:ilvl w:val="2"/>
          <w:numId w:val="876"/>
        </w:numPr>
        <w:tabs>
          <w:tab w:val="left" w:pos="1370"/>
        </w:tabs>
        <w:spacing w:line="446" w:lineRule="auto"/>
        <w:ind w:right="1604" w:firstLine="422"/>
        <w:rPr>
          <w:sz w:val="21"/>
        </w:rPr>
      </w:pPr>
      <w:r>
        <w:rPr>
          <w:spacing w:val="-3"/>
          <w:sz w:val="21"/>
        </w:rPr>
        <w:t>应按水带上注明的设计工作压力使用，防止过高的压力造成水带破裂、损伤或缩短水带的使用寿命，并导致人身事故的危险。</w:t>
      </w:r>
      <w:r>
        <w:rPr>
          <w:sz w:val="21"/>
        </w:rPr>
        <w:t xml:space="preserve"> </w:t>
      </w:r>
    </w:p>
    <w:p w14:paraId="2AFA7BF7" w14:textId="77777777" w:rsidR="00A71EEF" w:rsidRDefault="0081115D">
      <w:pPr>
        <w:pStyle w:val="a4"/>
        <w:numPr>
          <w:ilvl w:val="2"/>
          <w:numId w:val="876"/>
        </w:numPr>
        <w:tabs>
          <w:tab w:val="left" w:pos="1370"/>
        </w:tabs>
        <w:spacing w:line="446" w:lineRule="auto"/>
        <w:ind w:right="1604" w:firstLine="422"/>
        <w:rPr>
          <w:sz w:val="21"/>
        </w:rPr>
      </w:pPr>
      <w:r>
        <w:rPr>
          <w:spacing w:val="-3"/>
          <w:sz w:val="21"/>
        </w:rPr>
        <w:t>水带铺设时应避免骤然曲折，以防止降低耐水压的能力；还应避免扭转，以防止充水后水带转动而使内扣式水带接口脱开。</w:t>
      </w:r>
      <w:r>
        <w:rPr>
          <w:sz w:val="21"/>
        </w:rPr>
        <w:t xml:space="preserve"> </w:t>
      </w:r>
    </w:p>
    <w:p w14:paraId="667272A4" w14:textId="77777777" w:rsidR="00A71EEF" w:rsidRDefault="00A71EEF">
      <w:pPr>
        <w:spacing w:line="446" w:lineRule="auto"/>
        <w:rPr>
          <w:sz w:val="21"/>
        </w:rPr>
        <w:sectPr w:rsidR="00A71EEF">
          <w:pgSz w:w="11910" w:h="16850"/>
          <w:pgMar w:top="1200" w:right="0" w:bottom="1420" w:left="1260" w:header="0" w:footer="1239" w:gutter="0"/>
          <w:cols w:space="720"/>
        </w:sectPr>
      </w:pPr>
    </w:p>
    <w:p w14:paraId="4FA4FB75" w14:textId="77777777" w:rsidR="00A71EEF" w:rsidRDefault="0081115D">
      <w:pPr>
        <w:pStyle w:val="a4"/>
        <w:numPr>
          <w:ilvl w:val="2"/>
          <w:numId w:val="876"/>
        </w:numPr>
        <w:tabs>
          <w:tab w:val="left" w:pos="1370"/>
        </w:tabs>
        <w:spacing w:before="47" w:line="446" w:lineRule="auto"/>
        <w:ind w:right="1604" w:firstLine="422"/>
        <w:jc w:val="both"/>
        <w:rPr>
          <w:sz w:val="21"/>
        </w:rPr>
      </w:pPr>
      <w:r>
        <w:rPr>
          <w:spacing w:val="-6"/>
          <w:sz w:val="21"/>
        </w:rPr>
        <w:lastRenderedPageBreak/>
        <w:t>当水带垂直铺设时，宜在相隔</w:t>
      </w:r>
      <w:r>
        <w:rPr>
          <w:spacing w:val="-6"/>
          <w:sz w:val="21"/>
        </w:rPr>
        <w:t xml:space="preserve"> </w:t>
      </w:r>
      <w:r>
        <w:rPr>
          <w:sz w:val="21"/>
        </w:rPr>
        <w:t>10m</w:t>
      </w:r>
      <w:r>
        <w:rPr>
          <w:spacing w:val="-8"/>
          <w:sz w:val="21"/>
        </w:rPr>
        <w:t xml:space="preserve"> </w:t>
      </w:r>
      <w:r>
        <w:rPr>
          <w:spacing w:val="-8"/>
          <w:sz w:val="21"/>
        </w:rPr>
        <w:t>左右予以固定，以防止水带断裂贻误战机和砸伤</w:t>
      </w:r>
      <w:r>
        <w:rPr>
          <w:spacing w:val="-7"/>
          <w:sz w:val="21"/>
        </w:rPr>
        <w:t>人员。</w:t>
      </w:r>
      <w:r>
        <w:rPr>
          <w:sz w:val="21"/>
        </w:rPr>
        <w:t xml:space="preserve"> </w:t>
      </w:r>
    </w:p>
    <w:p w14:paraId="074F9757" w14:textId="77777777" w:rsidR="00A71EEF" w:rsidRDefault="0081115D">
      <w:pPr>
        <w:pStyle w:val="a4"/>
        <w:numPr>
          <w:ilvl w:val="2"/>
          <w:numId w:val="876"/>
        </w:numPr>
        <w:tabs>
          <w:tab w:val="left" w:pos="1371"/>
        </w:tabs>
        <w:spacing w:line="446" w:lineRule="auto"/>
        <w:ind w:right="1604" w:firstLine="422"/>
        <w:jc w:val="both"/>
        <w:rPr>
          <w:sz w:val="21"/>
        </w:rPr>
      </w:pPr>
      <w:r>
        <w:rPr>
          <w:spacing w:val="-3"/>
          <w:sz w:val="21"/>
        </w:rPr>
        <w:t>水带充水后应避免在地面上强行拖拉，特别需要注意避免水带与钉、玻璃片等锐器</w:t>
      </w:r>
      <w:r>
        <w:rPr>
          <w:spacing w:val="-4"/>
          <w:sz w:val="21"/>
        </w:rPr>
        <w:t>接触。需要改变位置时应抬起移动，以减少水带与地面的磨损。不应</w:t>
      </w:r>
      <w:r>
        <w:rPr>
          <w:spacing w:val="-4"/>
          <w:sz w:val="21"/>
        </w:rPr>
        <w:t xml:space="preserve"> </w:t>
      </w:r>
      <w:r>
        <w:rPr>
          <w:sz w:val="21"/>
        </w:rPr>
        <w:t>V</w:t>
      </w:r>
      <w:r>
        <w:rPr>
          <w:spacing w:val="-7"/>
          <w:sz w:val="21"/>
        </w:rPr>
        <w:t xml:space="preserve"> </w:t>
      </w:r>
      <w:r>
        <w:rPr>
          <w:spacing w:val="-7"/>
          <w:sz w:val="21"/>
        </w:rPr>
        <w:t>字形拖拉水带，避免磨</w:t>
      </w:r>
      <w:r>
        <w:rPr>
          <w:spacing w:val="-6"/>
          <w:sz w:val="21"/>
        </w:rPr>
        <w:t>破水</w:t>
      </w:r>
      <w:r>
        <w:rPr>
          <w:spacing w:val="-6"/>
          <w:sz w:val="21"/>
        </w:rPr>
        <w:t>带。</w:t>
      </w:r>
      <w:r>
        <w:rPr>
          <w:sz w:val="21"/>
        </w:rPr>
        <w:t xml:space="preserve"> </w:t>
      </w:r>
    </w:p>
    <w:p w14:paraId="136DA44C" w14:textId="77777777" w:rsidR="00A71EEF" w:rsidRDefault="0081115D">
      <w:pPr>
        <w:pStyle w:val="a4"/>
        <w:numPr>
          <w:ilvl w:val="2"/>
          <w:numId w:val="876"/>
        </w:numPr>
        <w:tabs>
          <w:tab w:val="left" w:pos="1370"/>
        </w:tabs>
        <w:spacing w:line="446" w:lineRule="auto"/>
        <w:ind w:right="1604" w:firstLine="422"/>
        <w:rPr>
          <w:sz w:val="21"/>
        </w:rPr>
      </w:pPr>
      <w:r>
        <w:rPr>
          <w:spacing w:val="-3"/>
          <w:sz w:val="21"/>
        </w:rPr>
        <w:t>水带应避免与油类、酸、碱等有腐蚀性的化学物品接触。确有需要，宜采用外覆层的水带。</w:t>
      </w:r>
      <w:r>
        <w:rPr>
          <w:sz w:val="21"/>
        </w:rPr>
        <w:t xml:space="preserve"> </w:t>
      </w:r>
    </w:p>
    <w:p w14:paraId="7044BA38" w14:textId="77777777" w:rsidR="00A71EEF" w:rsidRDefault="0081115D">
      <w:pPr>
        <w:pStyle w:val="a4"/>
        <w:numPr>
          <w:ilvl w:val="2"/>
          <w:numId w:val="876"/>
        </w:numPr>
        <w:tabs>
          <w:tab w:val="left" w:pos="1370"/>
        </w:tabs>
        <w:spacing w:line="446" w:lineRule="auto"/>
        <w:ind w:right="1604" w:firstLine="422"/>
        <w:rPr>
          <w:sz w:val="21"/>
        </w:rPr>
      </w:pPr>
      <w:r>
        <w:rPr>
          <w:spacing w:val="-3"/>
          <w:sz w:val="21"/>
        </w:rPr>
        <w:t>应避免硬的重物压在水带上，车辆需通过铺设中的水带时，应事先在通过部位安置水带护桥。</w:t>
      </w:r>
      <w:r>
        <w:rPr>
          <w:sz w:val="21"/>
        </w:rPr>
        <w:t xml:space="preserve"> </w:t>
      </w:r>
    </w:p>
    <w:p w14:paraId="17A8E28B" w14:textId="77777777" w:rsidR="00A71EEF" w:rsidRDefault="0081115D">
      <w:pPr>
        <w:pStyle w:val="a4"/>
        <w:numPr>
          <w:ilvl w:val="2"/>
          <w:numId w:val="876"/>
        </w:numPr>
        <w:tabs>
          <w:tab w:val="left" w:pos="1370"/>
        </w:tabs>
        <w:ind w:left="1369" w:hanging="530"/>
        <w:rPr>
          <w:sz w:val="21"/>
        </w:rPr>
      </w:pPr>
      <w:r>
        <w:rPr>
          <w:spacing w:val="-3"/>
          <w:sz w:val="21"/>
        </w:rPr>
        <w:t>铺设时如通过铁路，水带应从铁轨下面通过。</w:t>
      </w:r>
      <w:r>
        <w:rPr>
          <w:spacing w:val="-3"/>
          <w:sz w:val="21"/>
        </w:rPr>
        <w:t xml:space="preserve"> </w:t>
      </w:r>
    </w:p>
    <w:p w14:paraId="4507AD10" w14:textId="77777777" w:rsidR="00A71EEF" w:rsidRDefault="00A71EEF">
      <w:pPr>
        <w:pStyle w:val="a3"/>
        <w:spacing w:before="9"/>
        <w:rPr>
          <w:sz w:val="17"/>
        </w:rPr>
      </w:pPr>
    </w:p>
    <w:p w14:paraId="52870BFD" w14:textId="77777777" w:rsidR="00A71EEF" w:rsidRDefault="0081115D">
      <w:pPr>
        <w:pStyle w:val="a4"/>
        <w:numPr>
          <w:ilvl w:val="2"/>
          <w:numId w:val="876"/>
        </w:numPr>
        <w:tabs>
          <w:tab w:val="left" w:pos="1370"/>
        </w:tabs>
        <w:spacing w:before="1"/>
        <w:ind w:left="1369" w:hanging="530"/>
        <w:rPr>
          <w:sz w:val="21"/>
        </w:rPr>
      </w:pPr>
      <w:r>
        <w:rPr>
          <w:spacing w:val="-3"/>
          <w:sz w:val="21"/>
        </w:rPr>
        <w:t>在寒冷地区建筑物外使用消防水带，应防止水带冻结。</w:t>
      </w:r>
      <w:r>
        <w:rPr>
          <w:sz w:val="21"/>
        </w:rPr>
        <w:t xml:space="preserve"> </w:t>
      </w:r>
    </w:p>
    <w:p w14:paraId="21E3C633" w14:textId="77777777" w:rsidR="00A71EEF" w:rsidRDefault="00A71EEF">
      <w:pPr>
        <w:pStyle w:val="a3"/>
        <w:spacing w:before="12"/>
        <w:rPr>
          <w:sz w:val="17"/>
        </w:rPr>
      </w:pPr>
    </w:p>
    <w:p w14:paraId="3A374B79" w14:textId="77777777" w:rsidR="00A71EEF" w:rsidRDefault="0081115D">
      <w:pPr>
        <w:pStyle w:val="a4"/>
        <w:numPr>
          <w:ilvl w:val="2"/>
          <w:numId w:val="876"/>
        </w:numPr>
        <w:tabs>
          <w:tab w:val="left" w:pos="1370"/>
        </w:tabs>
        <w:ind w:left="1369" w:hanging="530"/>
        <w:rPr>
          <w:sz w:val="21"/>
        </w:rPr>
      </w:pPr>
      <w:r>
        <w:rPr>
          <w:spacing w:val="-3"/>
          <w:sz w:val="21"/>
        </w:rPr>
        <w:t>水带用毕后应洗净晾干，盘卷保存于阴凉干燥处。</w:t>
      </w:r>
      <w:r>
        <w:rPr>
          <w:sz w:val="21"/>
        </w:rPr>
        <w:t xml:space="preserve"> </w:t>
      </w:r>
    </w:p>
    <w:p w14:paraId="76573C97" w14:textId="77777777" w:rsidR="00A71EEF" w:rsidRDefault="00A71EEF">
      <w:pPr>
        <w:pStyle w:val="a3"/>
        <w:rPr>
          <w:sz w:val="20"/>
        </w:rPr>
      </w:pPr>
    </w:p>
    <w:p w14:paraId="0BBC72AE" w14:textId="77777777" w:rsidR="00A71EEF" w:rsidRDefault="00A71EEF">
      <w:pPr>
        <w:pStyle w:val="a3"/>
        <w:rPr>
          <w:sz w:val="20"/>
        </w:rPr>
      </w:pPr>
    </w:p>
    <w:p w14:paraId="57884092" w14:textId="77777777" w:rsidR="00A71EEF" w:rsidRDefault="00A71EEF">
      <w:pPr>
        <w:pStyle w:val="a3"/>
        <w:rPr>
          <w:sz w:val="20"/>
        </w:rPr>
      </w:pPr>
    </w:p>
    <w:p w14:paraId="21220632" w14:textId="77777777" w:rsidR="00A71EEF" w:rsidRDefault="00A71EEF">
      <w:pPr>
        <w:pStyle w:val="a3"/>
        <w:rPr>
          <w:sz w:val="20"/>
        </w:rPr>
      </w:pPr>
    </w:p>
    <w:p w14:paraId="315467E2" w14:textId="77777777" w:rsidR="00A71EEF" w:rsidRDefault="00A71EEF">
      <w:pPr>
        <w:pStyle w:val="a3"/>
        <w:rPr>
          <w:sz w:val="20"/>
        </w:rPr>
      </w:pPr>
    </w:p>
    <w:p w14:paraId="0E221A07" w14:textId="77777777" w:rsidR="00A71EEF" w:rsidRDefault="00A71EEF">
      <w:pPr>
        <w:pStyle w:val="a3"/>
        <w:rPr>
          <w:sz w:val="20"/>
        </w:rPr>
      </w:pPr>
    </w:p>
    <w:p w14:paraId="4D4D389D" w14:textId="77777777" w:rsidR="00A71EEF" w:rsidRDefault="00A71EEF">
      <w:pPr>
        <w:pStyle w:val="a3"/>
        <w:rPr>
          <w:sz w:val="20"/>
        </w:rPr>
      </w:pPr>
    </w:p>
    <w:p w14:paraId="2681B01C" w14:textId="77777777" w:rsidR="00A71EEF" w:rsidRDefault="00A71EEF">
      <w:pPr>
        <w:pStyle w:val="a3"/>
        <w:spacing w:before="8"/>
        <w:rPr>
          <w:sz w:val="28"/>
        </w:rPr>
      </w:pPr>
    </w:p>
    <w:p w14:paraId="584DEA2D" w14:textId="77777777" w:rsidR="00A71EEF" w:rsidRDefault="0081115D">
      <w:pPr>
        <w:pStyle w:val="a3"/>
        <w:spacing w:before="71"/>
        <w:ind w:left="3298"/>
      </w:pPr>
      <w:r>
        <w:t xml:space="preserve"> </w:t>
      </w:r>
    </w:p>
    <w:p w14:paraId="401DAF8B" w14:textId="77777777" w:rsidR="00A71EEF" w:rsidRDefault="00A71EEF">
      <w:pPr>
        <w:sectPr w:rsidR="00A71EEF">
          <w:pgSz w:w="11910" w:h="16850"/>
          <w:pgMar w:top="1220" w:right="0" w:bottom="1420" w:left="1260" w:header="0" w:footer="1239" w:gutter="0"/>
          <w:cols w:space="720"/>
        </w:sectPr>
      </w:pPr>
    </w:p>
    <w:p w14:paraId="4DE43040" w14:textId="77777777" w:rsidR="00A71EEF" w:rsidRDefault="0081115D">
      <w:pPr>
        <w:pStyle w:val="2"/>
        <w:spacing w:before="157"/>
        <w:ind w:right="800"/>
        <w:rPr>
          <w:sz w:val="44"/>
        </w:rPr>
      </w:pPr>
      <w:bookmarkStart w:id="5" w:name="_bookmark5"/>
      <w:bookmarkEnd w:id="5"/>
      <w:r>
        <w:lastRenderedPageBreak/>
        <w:t>消防员呼救器</w:t>
      </w:r>
      <w:r>
        <w:rPr>
          <w:w w:val="99"/>
          <w:sz w:val="44"/>
        </w:rPr>
        <w:t xml:space="preserve"> </w:t>
      </w:r>
    </w:p>
    <w:p w14:paraId="461BEF66" w14:textId="77777777" w:rsidR="00A71EEF" w:rsidRDefault="00A71EEF">
      <w:pPr>
        <w:pStyle w:val="a3"/>
        <w:rPr>
          <w:b/>
          <w:sz w:val="20"/>
        </w:rPr>
      </w:pPr>
    </w:p>
    <w:p w14:paraId="38BC0854" w14:textId="77777777" w:rsidR="00A71EEF" w:rsidRDefault="00A71EEF">
      <w:pPr>
        <w:pStyle w:val="a3"/>
        <w:spacing w:before="5"/>
        <w:rPr>
          <w:b/>
          <w:sz w:val="14"/>
        </w:rPr>
      </w:pPr>
    </w:p>
    <w:p w14:paraId="2098440D" w14:textId="77777777" w:rsidR="00A71EEF" w:rsidRDefault="0081115D">
      <w:pPr>
        <w:pStyle w:val="4"/>
        <w:spacing w:before="66"/>
      </w:pPr>
      <w:r>
        <w:t xml:space="preserve">1 </w:t>
      </w:r>
      <w:r>
        <w:t>范围</w:t>
      </w:r>
      <w:r>
        <w:rPr>
          <w:w w:val="99"/>
        </w:rPr>
        <w:t xml:space="preserve"> </w:t>
      </w:r>
    </w:p>
    <w:p w14:paraId="0C776FC8" w14:textId="77777777" w:rsidR="00A71EEF" w:rsidRDefault="00A71EEF">
      <w:pPr>
        <w:pStyle w:val="a3"/>
        <w:spacing w:before="4"/>
        <w:rPr>
          <w:b/>
          <w:sz w:val="17"/>
        </w:rPr>
      </w:pPr>
    </w:p>
    <w:p w14:paraId="5D0802F4" w14:textId="77777777" w:rsidR="00A71EEF" w:rsidRDefault="0081115D">
      <w:pPr>
        <w:pStyle w:val="a3"/>
        <w:spacing w:line="446" w:lineRule="auto"/>
        <w:ind w:left="418" w:right="1817" w:firstLine="419"/>
      </w:pPr>
      <w:r>
        <w:t>本标准规定了消防员呼救器的术语和定义、型号、技术要求、试验方法、检验规则、标志、包装、运输和贮存。</w:t>
      </w:r>
      <w:r>
        <w:t xml:space="preserve"> </w:t>
      </w:r>
    </w:p>
    <w:p w14:paraId="1766266E" w14:textId="77777777" w:rsidR="00A71EEF" w:rsidRDefault="0081115D">
      <w:pPr>
        <w:pStyle w:val="a3"/>
        <w:ind w:left="838"/>
      </w:pPr>
      <w:r>
        <w:t>本标准适用于消防员在灭火救援过程中随身佩带的消防员呼救器（以下简称呼救器）。</w:t>
      </w:r>
      <w:r>
        <w:t xml:space="preserve"> </w:t>
      </w:r>
    </w:p>
    <w:p w14:paraId="44DD10FE" w14:textId="77777777" w:rsidR="00A71EEF" w:rsidRDefault="00A71EEF">
      <w:pPr>
        <w:pStyle w:val="a3"/>
        <w:spacing w:before="8"/>
        <w:rPr>
          <w:sz w:val="15"/>
        </w:rPr>
      </w:pPr>
    </w:p>
    <w:p w14:paraId="6FE1C19A" w14:textId="77777777" w:rsidR="00A71EEF" w:rsidRDefault="0081115D">
      <w:pPr>
        <w:pStyle w:val="4"/>
      </w:pPr>
      <w:r>
        <w:t xml:space="preserve">2 </w:t>
      </w:r>
      <w:r>
        <w:t>规范性引用文件</w:t>
      </w:r>
      <w:r>
        <w:rPr>
          <w:w w:val="99"/>
        </w:rPr>
        <w:t xml:space="preserve"> </w:t>
      </w:r>
    </w:p>
    <w:p w14:paraId="42CD2F46" w14:textId="77777777" w:rsidR="00A71EEF" w:rsidRDefault="00A71EEF">
      <w:pPr>
        <w:pStyle w:val="a3"/>
        <w:spacing w:before="4"/>
        <w:rPr>
          <w:b/>
          <w:sz w:val="17"/>
        </w:rPr>
      </w:pPr>
    </w:p>
    <w:p w14:paraId="549B73DC" w14:textId="77777777" w:rsidR="00A71EEF" w:rsidRDefault="0081115D">
      <w:pPr>
        <w:pStyle w:val="a3"/>
        <w:spacing w:line="446" w:lineRule="auto"/>
        <w:ind w:left="418" w:right="1609" w:firstLine="419"/>
      </w:pPr>
      <w:r>
        <w:t>下列文件对于本文件的应用是必不可少的，凡是注日期的引用文件，仅注日期的版本适用于本文件。凡是不注日期的引用文件，其最新版本</w:t>
      </w:r>
      <w:r>
        <w:t>(</w:t>
      </w:r>
      <w:r>
        <w:t>包括所有的修改单</w:t>
      </w:r>
      <w:r>
        <w:t>)</w:t>
      </w:r>
      <w:r>
        <w:t>适用于本文件。</w:t>
      </w:r>
      <w:r>
        <w:t xml:space="preserve"> </w:t>
      </w:r>
    </w:p>
    <w:p w14:paraId="6AB89A2F" w14:textId="77777777" w:rsidR="00A71EEF" w:rsidRDefault="0081115D">
      <w:pPr>
        <w:pStyle w:val="a3"/>
        <w:ind w:left="838"/>
      </w:pPr>
      <w:r>
        <w:t xml:space="preserve">GB/T 191 </w:t>
      </w:r>
      <w:r>
        <w:t>包装储运图示标志</w:t>
      </w:r>
      <w:r>
        <w:t xml:space="preserve"> </w:t>
      </w:r>
    </w:p>
    <w:p w14:paraId="46FFE00E" w14:textId="77777777" w:rsidR="00A71EEF" w:rsidRDefault="00A71EEF">
      <w:pPr>
        <w:pStyle w:val="a3"/>
        <w:rPr>
          <w:sz w:val="18"/>
        </w:rPr>
      </w:pPr>
    </w:p>
    <w:p w14:paraId="614350E6" w14:textId="77777777" w:rsidR="00A71EEF" w:rsidRDefault="0081115D">
      <w:pPr>
        <w:pStyle w:val="a3"/>
        <w:spacing w:line="446" w:lineRule="auto"/>
        <w:ind w:left="838" w:right="2969"/>
      </w:pPr>
      <w:r>
        <w:t xml:space="preserve">GB/T 2423.1 </w:t>
      </w:r>
      <w:r>
        <w:t>电工电子产品环境试验</w:t>
      </w:r>
      <w:r>
        <w:t xml:space="preserve"> </w:t>
      </w:r>
      <w:r>
        <w:t>第</w:t>
      </w:r>
      <w:r>
        <w:t xml:space="preserve"> 2 </w:t>
      </w:r>
      <w:r>
        <w:t>部分：试验方法</w:t>
      </w:r>
      <w:r>
        <w:t xml:space="preserve"> </w:t>
      </w:r>
      <w:r>
        <w:t>试验</w:t>
      </w:r>
      <w:r>
        <w:t xml:space="preserve"> A</w:t>
      </w:r>
      <w:r>
        <w:t>：低温</w:t>
      </w:r>
      <w:r>
        <w:t>GB/T 2423.</w:t>
      </w:r>
      <w:r>
        <w:t xml:space="preserve">2 </w:t>
      </w:r>
      <w:r>
        <w:t>电工电子产品环境试验</w:t>
      </w:r>
      <w:r>
        <w:t xml:space="preserve"> </w:t>
      </w:r>
      <w:r>
        <w:t>第</w:t>
      </w:r>
      <w:r>
        <w:t xml:space="preserve"> 2 </w:t>
      </w:r>
      <w:r>
        <w:t>部分：试验方法</w:t>
      </w:r>
      <w:r>
        <w:t xml:space="preserve"> </w:t>
      </w:r>
      <w:r>
        <w:t>试验</w:t>
      </w:r>
      <w:r>
        <w:t xml:space="preserve"> B</w:t>
      </w:r>
      <w:r>
        <w:t>：高温</w:t>
      </w:r>
      <w:r>
        <w:t xml:space="preserve"> </w:t>
      </w:r>
    </w:p>
    <w:p w14:paraId="6E838342" w14:textId="77777777" w:rsidR="00A71EEF" w:rsidRDefault="0081115D">
      <w:pPr>
        <w:pStyle w:val="a3"/>
        <w:spacing w:line="446" w:lineRule="auto"/>
        <w:ind w:left="418" w:right="1505" w:firstLine="419"/>
      </w:pPr>
      <w:r>
        <w:t>GB/T 2423.4</w:t>
      </w:r>
      <w:r>
        <w:rPr>
          <w:spacing w:val="-7"/>
        </w:rPr>
        <w:t xml:space="preserve"> </w:t>
      </w:r>
      <w:r>
        <w:rPr>
          <w:spacing w:val="-7"/>
        </w:rPr>
        <w:t>电工电子产品环境试验</w:t>
      </w:r>
      <w:r>
        <w:rPr>
          <w:spacing w:val="-7"/>
        </w:rPr>
        <w:t xml:space="preserve"> </w:t>
      </w:r>
      <w:r>
        <w:rPr>
          <w:spacing w:val="-7"/>
        </w:rPr>
        <w:t>第</w:t>
      </w:r>
      <w:r>
        <w:rPr>
          <w:spacing w:val="-7"/>
        </w:rPr>
        <w:t xml:space="preserve"> </w:t>
      </w:r>
      <w:r>
        <w:t>2</w:t>
      </w:r>
      <w:r>
        <w:rPr>
          <w:spacing w:val="-13"/>
        </w:rPr>
        <w:t xml:space="preserve"> </w:t>
      </w:r>
      <w:r>
        <w:rPr>
          <w:spacing w:val="-13"/>
        </w:rPr>
        <w:t>部分：试验方法</w:t>
      </w:r>
      <w:r>
        <w:rPr>
          <w:spacing w:val="-13"/>
        </w:rPr>
        <w:t xml:space="preserve"> </w:t>
      </w:r>
      <w:r>
        <w:rPr>
          <w:spacing w:val="-13"/>
        </w:rPr>
        <w:t>试验</w:t>
      </w:r>
      <w:r>
        <w:rPr>
          <w:spacing w:val="-13"/>
        </w:rPr>
        <w:t xml:space="preserve"> </w:t>
      </w:r>
      <w:r>
        <w:t>Db</w:t>
      </w:r>
      <w:r>
        <w:rPr>
          <w:spacing w:val="-3"/>
        </w:rPr>
        <w:t>：交变湿热</w:t>
      </w:r>
      <w:r>
        <w:t>（</w:t>
      </w:r>
      <w:r>
        <w:t>12h+12</w:t>
      </w:r>
      <w:r>
        <w:rPr>
          <w:spacing w:val="-25"/>
        </w:rPr>
        <w:t xml:space="preserve"> </w:t>
      </w:r>
      <w:r>
        <w:rPr>
          <w:spacing w:val="-25"/>
        </w:rPr>
        <w:t>循环</w:t>
      </w:r>
      <w:r>
        <w:rPr>
          <w:spacing w:val="-3"/>
        </w:rPr>
        <w:t>）</w:t>
      </w:r>
      <w:r>
        <w:t xml:space="preserve"> </w:t>
      </w:r>
    </w:p>
    <w:p w14:paraId="464F76E8" w14:textId="77777777" w:rsidR="00A71EEF" w:rsidRDefault="0081115D">
      <w:pPr>
        <w:pStyle w:val="a3"/>
        <w:spacing w:line="446" w:lineRule="auto"/>
        <w:ind w:left="838" w:right="2194"/>
      </w:pPr>
      <w:r>
        <w:t>GB/T 2423.5</w:t>
      </w:r>
      <w:r>
        <w:rPr>
          <w:spacing w:val="-7"/>
        </w:rPr>
        <w:t xml:space="preserve"> </w:t>
      </w:r>
      <w:r>
        <w:rPr>
          <w:spacing w:val="-7"/>
        </w:rPr>
        <w:t>电工电子产品环境试验</w:t>
      </w:r>
      <w:r>
        <w:rPr>
          <w:spacing w:val="-7"/>
        </w:rPr>
        <w:t xml:space="preserve"> </w:t>
      </w:r>
      <w:r>
        <w:rPr>
          <w:spacing w:val="-7"/>
        </w:rPr>
        <w:t>第</w:t>
      </w:r>
      <w:r>
        <w:rPr>
          <w:spacing w:val="-7"/>
        </w:rPr>
        <w:t xml:space="preserve"> </w:t>
      </w:r>
      <w:r>
        <w:t>2</w:t>
      </w:r>
      <w:r>
        <w:rPr>
          <w:spacing w:val="-13"/>
        </w:rPr>
        <w:t xml:space="preserve"> </w:t>
      </w:r>
      <w:r>
        <w:rPr>
          <w:spacing w:val="-13"/>
        </w:rPr>
        <w:t>部分：试验方法</w:t>
      </w:r>
      <w:r>
        <w:rPr>
          <w:spacing w:val="-13"/>
        </w:rPr>
        <w:t xml:space="preserve"> </w:t>
      </w:r>
      <w:r>
        <w:rPr>
          <w:spacing w:val="-13"/>
        </w:rPr>
        <w:t>试验</w:t>
      </w:r>
      <w:r>
        <w:rPr>
          <w:spacing w:val="-13"/>
        </w:rPr>
        <w:t xml:space="preserve"> </w:t>
      </w:r>
      <w:r>
        <w:t>Ea</w:t>
      </w:r>
      <w:r>
        <w:rPr>
          <w:spacing w:val="-10"/>
        </w:rPr>
        <w:t xml:space="preserve"> </w:t>
      </w:r>
      <w:r>
        <w:rPr>
          <w:spacing w:val="-10"/>
        </w:rPr>
        <w:t>和导则：冲击</w:t>
      </w:r>
      <w:r>
        <w:rPr>
          <w:spacing w:val="-10"/>
        </w:rPr>
        <w:t xml:space="preserve">GB/T </w:t>
      </w:r>
      <w:r>
        <w:t>2423.8</w:t>
      </w:r>
      <w:r>
        <w:rPr>
          <w:spacing w:val="-7"/>
        </w:rPr>
        <w:t xml:space="preserve"> </w:t>
      </w:r>
      <w:r>
        <w:rPr>
          <w:spacing w:val="-7"/>
        </w:rPr>
        <w:t>电工电子产品环境试验</w:t>
      </w:r>
      <w:r>
        <w:rPr>
          <w:spacing w:val="-7"/>
        </w:rPr>
        <w:t xml:space="preserve"> </w:t>
      </w:r>
      <w:r>
        <w:rPr>
          <w:spacing w:val="-7"/>
        </w:rPr>
        <w:t>第</w:t>
      </w:r>
      <w:r>
        <w:rPr>
          <w:spacing w:val="-7"/>
        </w:rPr>
        <w:t xml:space="preserve"> </w:t>
      </w:r>
      <w:r>
        <w:t>2</w:t>
      </w:r>
      <w:r>
        <w:rPr>
          <w:spacing w:val="-12"/>
        </w:rPr>
        <w:t xml:space="preserve"> </w:t>
      </w:r>
      <w:r>
        <w:rPr>
          <w:spacing w:val="-12"/>
        </w:rPr>
        <w:t>部分：试验方法</w:t>
      </w:r>
      <w:r>
        <w:rPr>
          <w:spacing w:val="-12"/>
        </w:rPr>
        <w:t xml:space="preserve"> </w:t>
      </w:r>
      <w:r>
        <w:rPr>
          <w:spacing w:val="-12"/>
        </w:rPr>
        <w:t>试验</w:t>
      </w:r>
      <w:r>
        <w:rPr>
          <w:spacing w:val="-12"/>
        </w:rPr>
        <w:t xml:space="preserve"> </w:t>
      </w:r>
      <w:r>
        <w:t>Ed</w:t>
      </w:r>
      <w:r>
        <w:rPr>
          <w:spacing w:val="-3"/>
        </w:rPr>
        <w:t>：自由跌落</w:t>
      </w:r>
      <w:r>
        <w:rPr>
          <w:spacing w:val="-3"/>
        </w:rPr>
        <w:t>GB/T</w:t>
      </w:r>
      <w:r>
        <w:rPr>
          <w:spacing w:val="5"/>
        </w:rPr>
        <w:t xml:space="preserve"> </w:t>
      </w:r>
      <w:r>
        <w:t>2423.10</w:t>
      </w:r>
      <w:r>
        <w:rPr>
          <w:spacing w:val="-7"/>
        </w:rPr>
        <w:t xml:space="preserve"> </w:t>
      </w:r>
      <w:r>
        <w:rPr>
          <w:spacing w:val="-7"/>
        </w:rPr>
        <w:t>电工电子产品环境试验</w:t>
      </w:r>
      <w:r>
        <w:rPr>
          <w:spacing w:val="-7"/>
        </w:rPr>
        <w:t xml:space="preserve"> </w:t>
      </w:r>
      <w:r>
        <w:rPr>
          <w:spacing w:val="-7"/>
        </w:rPr>
        <w:t>第</w:t>
      </w:r>
      <w:r>
        <w:rPr>
          <w:spacing w:val="-7"/>
        </w:rPr>
        <w:t xml:space="preserve"> </w:t>
      </w:r>
      <w:r>
        <w:t>2</w:t>
      </w:r>
      <w:r>
        <w:rPr>
          <w:spacing w:val="-13"/>
        </w:rPr>
        <w:t xml:space="preserve"> </w:t>
      </w:r>
      <w:r>
        <w:rPr>
          <w:spacing w:val="-13"/>
        </w:rPr>
        <w:t>部分：试验方法</w:t>
      </w:r>
      <w:r>
        <w:rPr>
          <w:spacing w:val="-13"/>
        </w:rPr>
        <w:t xml:space="preserve"> </w:t>
      </w:r>
      <w:r>
        <w:rPr>
          <w:spacing w:val="-13"/>
        </w:rPr>
        <w:t>试验</w:t>
      </w:r>
      <w:r>
        <w:rPr>
          <w:spacing w:val="-13"/>
        </w:rPr>
        <w:t xml:space="preserve"> </w:t>
      </w:r>
      <w:r>
        <w:t>Fc</w:t>
      </w:r>
      <w:r>
        <w:rPr>
          <w:spacing w:val="-3"/>
        </w:rPr>
        <w:t>：振动</w:t>
      </w:r>
      <w:r>
        <w:rPr>
          <w:spacing w:val="-3"/>
        </w:rPr>
        <w:t>(</w:t>
      </w:r>
      <w:r>
        <w:rPr>
          <w:spacing w:val="-3"/>
        </w:rPr>
        <w:t>正弦</w:t>
      </w:r>
      <w:r>
        <w:rPr>
          <w:spacing w:val="-3"/>
        </w:rPr>
        <w:t xml:space="preserve">) </w:t>
      </w:r>
      <w:r>
        <w:t>GB</w:t>
      </w:r>
      <w:r>
        <w:rPr>
          <w:spacing w:val="1"/>
        </w:rPr>
        <w:t xml:space="preserve"> </w:t>
      </w:r>
      <w:r>
        <w:t>3836.1</w:t>
      </w:r>
      <w:r>
        <w:rPr>
          <w:spacing w:val="-9"/>
        </w:rPr>
        <w:t xml:space="preserve"> </w:t>
      </w:r>
      <w:r>
        <w:rPr>
          <w:spacing w:val="-9"/>
        </w:rPr>
        <w:t>爆炸性环境</w:t>
      </w:r>
      <w:r>
        <w:rPr>
          <w:spacing w:val="-9"/>
        </w:rPr>
        <w:t xml:space="preserve"> </w:t>
      </w:r>
      <w:r>
        <w:rPr>
          <w:spacing w:val="-9"/>
        </w:rPr>
        <w:t>第</w:t>
      </w:r>
      <w:r>
        <w:rPr>
          <w:spacing w:val="-9"/>
        </w:rPr>
        <w:t xml:space="preserve"> </w:t>
      </w:r>
      <w:r>
        <w:t>1</w:t>
      </w:r>
      <w:r>
        <w:rPr>
          <w:spacing w:val="-9"/>
        </w:rPr>
        <w:t xml:space="preserve"> </w:t>
      </w:r>
      <w:r>
        <w:rPr>
          <w:spacing w:val="-9"/>
        </w:rPr>
        <w:t>部分：</w:t>
      </w:r>
      <w:r>
        <w:rPr>
          <w:spacing w:val="-9"/>
        </w:rPr>
        <w:t>设备</w:t>
      </w:r>
      <w:r>
        <w:rPr>
          <w:spacing w:val="-9"/>
        </w:rPr>
        <w:t xml:space="preserve"> </w:t>
      </w:r>
      <w:r>
        <w:rPr>
          <w:spacing w:val="-9"/>
        </w:rPr>
        <w:t>通用要求</w:t>
      </w:r>
      <w:r>
        <w:t xml:space="preserve"> </w:t>
      </w:r>
    </w:p>
    <w:p w14:paraId="71918CE7" w14:textId="77777777" w:rsidR="00A71EEF" w:rsidRDefault="0081115D">
      <w:pPr>
        <w:pStyle w:val="4"/>
        <w:spacing w:line="275" w:lineRule="exact"/>
      </w:pPr>
      <w:r>
        <w:t xml:space="preserve">3 </w:t>
      </w:r>
      <w:r>
        <w:t>术语和定义</w:t>
      </w:r>
      <w:r>
        <w:rPr>
          <w:w w:val="99"/>
        </w:rPr>
        <w:t xml:space="preserve"> </w:t>
      </w:r>
    </w:p>
    <w:p w14:paraId="77D765F6" w14:textId="77777777" w:rsidR="00A71EEF" w:rsidRDefault="00A71EEF">
      <w:pPr>
        <w:pStyle w:val="a3"/>
        <w:spacing w:before="4"/>
        <w:rPr>
          <w:b/>
          <w:sz w:val="17"/>
        </w:rPr>
      </w:pPr>
    </w:p>
    <w:p w14:paraId="1D6F8BE0" w14:textId="77777777" w:rsidR="00A71EEF" w:rsidRDefault="0081115D">
      <w:pPr>
        <w:pStyle w:val="a3"/>
        <w:ind w:left="838"/>
      </w:pPr>
      <w:r>
        <w:t>下列术语和定义适用于本文件。</w:t>
      </w:r>
      <w:r>
        <w:t xml:space="preserve"> </w:t>
      </w:r>
    </w:p>
    <w:p w14:paraId="5B55CD71" w14:textId="77777777" w:rsidR="00A71EEF" w:rsidRDefault="00A71EEF">
      <w:pPr>
        <w:pStyle w:val="a3"/>
        <w:spacing w:before="2"/>
        <w:rPr>
          <w:sz w:val="18"/>
        </w:rPr>
      </w:pPr>
    </w:p>
    <w:p w14:paraId="05B74351" w14:textId="77777777" w:rsidR="00A71EEF" w:rsidRDefault="0081115D">
      <w:pPr>
        <w:pStyle w:val="a3"/>
        <w:ind w:left="840"/>
        <w:rPr>
          <w:b/>
        </w:rPr>
      </w:pPr>
      <w:r>
        <w:rPr>
          <w:b/>
        </w:rPr>
        <w:t xml:space="preserve">3.1 </w:t>
      </w:r>
      <w:r>
        <w:t>允许静止时间</w:t>
      </w:r>
      <w:r>
        <w:t xml:space="preserve"> permissible static time</w:t>
      </w:r>
      <w:r>
        <w:rPr>
          <w:b/>
          <w:w w:val="99"/>
        </w:rPr>
        <w:t xml:space="preserve"> </w:t>
      </w:r>
    </w:p>
    <w:p w14:paraId="629E370A" w14:textId="77777777" w:rsidR="00A71EEF" w:rsidRDefault="00A71EEF">
      <w:pPr>
        <w:pStyle w:val="a3"/>
        <w:rPr>
          <w:b/>
          <w:sz w:val="18"/>
        </w:rPr>
      </w:pPr>
    </w:p>
    <w:p w14:paraId="6AB278CF" w14:textId="77777777" w:rsidR="00A71EEF" w:rsidRDefault="0081115D">
      <w:pPr>
        <w:pStyle w:val="a3"/>
        <w:spacing w:line="446" w:lineRule="auto"/>
        <w:ind w:left="840" w:right="4026" w:hanging="3"/>
      </w:pPr>
      <w:r>
        <w:t>呼救器自处于静止状态起至发出预报警声响信号的预设时间。</w:t>
      </w:r>
      <w:r>
        <w:rPr>
          <w:b/>
        </w:rPr>
        <w:t xml:space="preserve">3.2 </w:t>
      </w:r>
      <w:r>
        <w:t>预报警时间</w:t>
      </w:r>
      <w:r>
        <w:t xml:space="preserve"> pre-alert time </w:t>
      </w:r>
    </w:p>
    <w:p w14:paraId="5BD198E8" w14:textId="77777777" w:rsidR="00A71EEF" w:rsidRDefault="0081115D">
      <w:pPr>
        <w:pStyle w:val="a3"/>
        <w:spacing w:line="446" w:lineRule="auto"/>
        <w:ind w:left="840" w:right="4237" w:hanging="3"/>
      </w:pPr>
      <w:r>
        <w:t>呼救器自发出预报警声响信号至发出报警声响信号的时间。</w:t>
      </w:r>
      <w:r>
        <w:rPr>
          <w:b/>
        </w:rPr>
        <w:t xml:space="preserve">3.3 </w:t>
      </w:r>
      <w:r>
        <w:t>连续报瞥时间</w:t>
      </w:r>
      <w:r>
        <w:t xml:space="preserve"> continuous alert time </w:t>
      </w:r>
    </w:p>
    <w:p w14:paraId="12E3D1DA" w14:textId="77777777" w:rsidR="00A71EEF" w:rsidRDefault="0081115D">
      <w:pPr>
        <w:pStyle w:val="a3"/>
        <w:spacing w:line="267" w:lineRule="exact"/>
        <w:ind w:left="838"/>
      </w:pPr>
      <w:r>
        <w:t>呼救器发出报警声响信号的持续时间。</w:t>
      </w:r>
      <w:r>
        <w:t xml:space="preserve"> </w:t>
      </w:r>
    </w:p>
    <w:p w14:paraId="48F65C4E" w14:textId="77777777" w:rsidR="00A71EEF" w:rsidRDefault="00A71EEF">
      <w:pPr>
        <w:pStyle w:val="a3"/>
        <w:spacing w:before="10"/>
        <w:rPr>
          <w:sz w:val="15"/>
        </w:rPr>
      </w:pPr>
    </w:p>
    <w:p w14:paraId="2E3FFA73" w14:textId="77777777" w:rsidR="00A71EEF" w:rsidRDefault="0081115D">
      <w:pPr>
        <w:pStyle w:val="4"/>
      </w:pPr>
      <w:r>
        <w:t xml:space="preserve">4 </w:t>
      </w:r>
      <w:r>
        <w:t>型号</w:t>
      </w:r>
      <w:r>
        <w:rPr>
          <w:w w:val="99"/>
        </w:rPr>
        <w:t xml:space="preserve"> </w:t>
      </w:r>
    </w:p>
    <w:p w14:paraId="6777C6A5" w14:textId="77777777" w:rsidR="00A71EEF" w:rsidRDefault="00A71EEF">
      <w:pPr>
        <w:sectPr w:rsidR="00A71EEF">
          <w:pgSz w:w="11910" w:h="16850"/>
          <w:pgMar w:top="1020" w:right="0" w:bottom="1420" w:left="1260" w:header="0" w:footer="1239" w:gutter="0"/>
          <w:cols w:space="720"/>
        </w:sectPr>
      </w:pPr>
    </w:p>
    <w:p w14:paraId="790CA2F8" w14:textId="77777777" w:rsidR="00A71EEF" w:rsidRDefault="0081115D">
      <w:pPr>
        <w:pStyle w:val="a3"/>
        <w:spacing w:before="47"/>
        <w:ind w:left="838"/>
      </w:pPr>
      <w:r>
        <w:lastRenderedPageBreak/>
        <w:t>呼救器产品型号的编制应符合下列规定：</w:t>
      </w:r>
      <w:r>
        <w:t xml:space="preserve"> </w:t>
      </w:r>
    </w:p>
    <w:p w14:paraId="74D50E09" w14:textId="77777777" w:rsidR="00A71EEF" w:rsidRDefault="0081115D">
      <w:pPr>
        <w:pStyle w:val="a3"/>
        <w:spacing w:before="11"/>
        <w:rPr>
          <w:sz w:val="12"/>
        </w:rPr>
      </w:pPr>
      <w:r>
        <w:rPr>
          <w:noProof/>
        </w:rPr>
        <w:drawing>
          <wp:anchor distT="0" distB="0" distL="0" distR="0" simplePos="0" relativeHeight="251478528" behindDoc="0" locked="0" layoutInCell="1" allowOverlap="1" wp14:anchorId="2F627C81" wp14:editId="704F39BA">
            <wp:simplePos x="0" y="0"/>
            <wp:positionH relativeFrom="page">
              <wp:posOffset>1734919</wp:posOffset>
            </wp:positionH>
            <wp:positionV relativeFrom="paragraph">
              <wp:posOffset>129824</wp:posOffset>
            </wp:positionV>
            <wp:extent cx="4096418" cy="1767840"/>
            <wp:effectExtent l="0" t="0" r="0" b="0"/>
            <wp:wrapTopAndBottom/>
            <wp:docPr id="67"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51.jpeg"/>
                    <pic:cNvPicPr/>
                  </pic:nvPicPr>
                  <pic:blipFill>
                    <a:blip r:embed="rId47" cstate="print"/>
                    <a:stretch>
                      <a:fillRect/>
                    </a:stretch>
                  </pic:blipFill>
                  <pic:spPr>
                    <a:xfrm>
                      <a:off x="0" y="0"/>
                      <a:ext cx="4096418" cy="1767840"/>
                    </a:xfrm>
                    <a:prstGeom prst="rect">
                      <a:avLst/>
                    </a:prstGeom>
                  </pic:spPr>
                </pic:pic>
              </a:graphicData>
            </a:graphic>
          </wp:anchor>
        </w:drawing>
      </w:r>
    </w:p>
    <w:p w14:paraId="2C88588C" w14:textId="77777777" w:rsidR="00A71EEF" w:rsidRDefault="00A71EEF">
      <w:pPr>
        <w:pStyle w:val="a3"/>
      </w:pPr>
    </w:p>
    <w:p w14:paraId="05B9AE48" w14:textId="77777777" w:rsidR="00A71EEF" w:rsidRDefault="0081115D">
      <w:pPr>
        <w:pStyle w:val="a3"/>
        <w:ind w:left="838"/>
      </w:pPr>
      <w:r>
        <w:t>示例</w:t>
      </w:r>
      <w:r>
        <w:t xml:space="preserve"> 1</w:t>
      </w:r>
      <w:r>
        <w:t>：</w:t>
      </w:r>
      <w:r>
        <w:t xml:space="preserve">RHJ300/A </w:t>
      </w:r>
      <w:r>
        <w:t>表示连续报警时间为</w:t>
      </w:r>
      <w:r>
        <w:t xml:space="preserve"> 300min </w:t>
      </w:r>
      <w:r>
        <w:t>的</w:t>
      </w:r>
      <w:r>
        <w:t xml:space="preserve">A </w:t>
      </w:r>
      <w:r>
        <w:t>型消防员呼救器。</w:t>
      </w:r>
      <w:r>
        <w:t xml:space="preserve"> </w:t>
      </w:r>
    </w:p>
    <w:p w14:paraId="3F5FB535" w14:textId="77777777" w:rsidR="00A71EEF" w:rsidRDefault="00A71EEF">
      <w:pPr>
        <w:pStyle w:val="a3"/>
        <w:spacing w:before="12"/>
        <w:rPr>
          <w:sz w:val="17"/>
        </w:rPr>
      </w:pPr>
    </w:p>
    <w:p w14:paraId="55B77CCE" w14:textId="77777777" w:rsidR="00A71EEF" w:rsidRDefault="0081115D">
      <w:pPr>
        <w:pStyle w:val="a3"/>
        <w:ind w:left="838"/>
      </w:pPr>
      <w:r>
        <w:t>示例</w:t>
      </w:r>
      <w:r>
        <w:t xml:space="preserve"> 2</w:t>
      </w:r>
      <w:r>
        <w:t>：</w:t>
      </w:r>
      <w:r>
        <w:t xml:space="preserve">RHJ240T/B </w:t>
      </w:r>
      <w:r>
        <w:t>表示连续报警时间为</w:t>
      </w:r>
      <w:r>
        <w:t xml:space="preserve"> 240min </w:t>
      </w:r>
      <w:r>
        <w:t>的通信型</w:t>
      </w:r>
      <w:r>
        <w:t xml:space="preserve"> B </w:t>
      </w:r>
      <w:r>
        <w:t>型消防员呼救器。</w:t>
      </w:r>
      <w:r>
        <w:t xml:space="preserve"> </w:t>
      </w:r>
    </w:p>
    <w:p w14:paraId="7B3BE0C5" w14:textId="77777777" w:rsidR="00A71EEF" w:rsidRDefault="00A71EEF">
      <w:pPr>
        <w:pStyle w:val="a3"/>
        <w:spacing w:before="11"/>
        <w:rPr>
          <w:sz w:val="15"/>
        </w:rPr>
      </w:pPr>
    </w:p>
    <w:p w14:paraId="432AE206" w14:textId="77777777" w:rsidR="00A71EEF" w:rsidRDefault="0081115D">
      <w:pPr>
        <w:pStyle w:val="4"/>
      </w:pPr>
      <w:r>
        <w:t xml:space="preserve">5 </w:t>
      </w:r>
      <w:r>
        <w:t>技术要求</w:t>
      </w:r>
      <w:r>
        <w:rPr>
          <w:w w:val="99"/>
        </w:rPr>
        <w:t xml:space="preserve"> </w:t>
      </w:r>
    </w:p>
    <w:p w14:paraId="5F2DCEC7" w14:textId="77777777" w:rsidR="00A71EEF" w:rsidRDefault="00A71EEF">
      <w:pPr>
        <w:pStyle w:val="a3"/>
        <w:spacing w:before="4"/>
        <w:rPr>
          <w:b/>
          <w:sz w:val="17"/>
        </w:rPr>
      </w:pPr>
    </w:p>
    <w:p w14:paraId="7B6296E2" w14:textId="77777777" w:rsidR="00A71EEF" w:rsidRDefault="0081115D">
      <w:pPr>
        <w:pStyle w:val="a4"/>
        <w:numPr>
          <w:ilvl w:val="1"/>
          <w:numId w:val="875"/>
        </w:numPr>
        <w:tabs>
          <w:tab w:val="left" w:pos="1160"/>
        </w:tabs>
        <w:rPr>
          <w:b/>
          <w:sz w:val="21"/>
        </w:rPr>
      </w:pPr>
      <w:r>
        <w:rPr>
          <w:spacing w:val="-3"/>
          <w:sz w:val="21"/>
        </w:rPr>
        <w:t>—</w:t>
      </w:r>
      <w:r>
        <w:rPr>
          <w:spacing w:val="-3"/>
          <w:sz w:val="21"/>
        </w:rPr>
        <w:t>般要求</w:t>
      </w:r>
      <w:r>
        <w:rPr>
          <w:b/>
          <w:w w:val="99"/>
          <w:sz w:val="21"/>
        </w:rPr>
        <w:t xml:space="preserve"> </w:t>
      </w:r>
    </w:p>
    <w:p w14:paraId="10436034" w14:textId="77777777" w:rsidR="00A71EEF" w:rsidRDefault="0081115D">
      <w:pPr>
        <w:pStyle w:val="a4"/>
        <w:numPr>
          <w:ilvl w:val="2"/>
          <w:numId w:val="875"/>
        </w:numPr>
        <w:tabs>
          <w:tab w:val="left" w:pos="1371"/>
        </w:tabs>
        <w:spacing w:before="38" w:line="502" w:lineRule="exact"/>
        <w:ind w:right="5283" w:firstLine="2"/>
        <w:rPr>
          <w:sz w:val="21"/>
        </w:rPr>
      </w:pPr>
      <w:r>
        <w:rPr>
          <w:spacing w:val="-3"/>
          <w:sz w:val="21"/>
        </w:rPr>
        <w:t>呼救器应能在以下使用环境中正常工作：</w:t>
      </w:r>
      <w:r>
        <w:rPr>
          <w:spacing w:val="-3"/>
          <w:sz w:val="21"/>
        </w:rPr>
        <w:t xml:space="preserve"> </w:t>
      </w:r>
      <w:r>
        <w:rPr>
          <w:sz w:val="21"/>
        </w:rPr>
        <w:t>a)</w:t>
      </w:r>
      <w:r>
        <w:rPr>
          <w:spacing w:val="-3"/>
          <w:sz w:val="21"/>
        </w:rPr>
        <w:t xml:space="preserve"> </w:t>
      </w:r>
      <w:r>
        <w:rPr>
          <w:spacing w:val="-3"/>
          <w:sz w:val="21"/>
        </w:rPr>
        <w:t>温度为</w:t>
      </w:r>
      <w:r>
        <w:rPr>
          <w:sz w:val="21"/>
        </w:rPr>
        <w:t>-25</w:t>
      </w:r>
      <w:r>
        <w:rPr>
          <w:rFonts w:ascii="微软雅黑" w:eastAsia="微软雅黑" w:hAnsi="微软雅黑" w:hint="eastAsia"/>
          <w:sz w:val="21"/>
        </w:rPr>
        <w:t>〜</w:t>
      </w:r>
      <w:r>
        <w:rPr>
          <w:sz w:val="21"/>
        </w:rPr>
        <w:t>70℃</w:t>
      </w:r>
      <w:r>
        <w:rPr>
          <w:sz w:val="21"/>
        </w:rPr>
        <w:t>；</w:t>
      </w:r>
      <w:r>
        <w:rPr>
          <w:sz w:val="21"/>
        </w:rPr>
        <w:t xml:space="preserve"> </w:t>
      </w:r>
    </w:p>
    <w:p w14:paraId="03CE675D" w14:textId="77777777" w:rsidR="00A71EEF" w:rsidRDefault="0081115D">
      <w:pPr>
        <w:pStyle w:val="a3"/>
        <w:spacing w:before="122"/>
        <w:ind w:left="838"/>
      </w:pPr>
      <w:r>
        <w:t xml:space="preserve">b) </w:t>
      </w:r>
      <w:r>
        <w:t>相对湿度为</w:t>
      </w:r>
      <w:r>
        <w:t xml:space="preserve"> 30%</w:t>
      </w:r>
      <w:r>
        <w:rPr>
          <w:rFonts w:ascii="微软雅黑" w:eastAsia="微软雅黑" w:hint="eastAsia"/>
        </w:rPr>
        <w:t>〜</w:t>
      </w:r>
      <w:r>
        <w:t>93%</w:t>
      </w:r>
      <w:r>
        <w:t>；</w:t>
      </w:r>
      <w:r>
        <w:t xml:space="preserve"> </w:t>
      </w:r>
    </w:p>
    <w:p w14:paraId="205FFE4E" w14:textId="77777777" w:rsidR="00A71EEF" w:rsidRDefault="0081115D">
      <w:pPr>
        <w:pStyle w:val="a4"/>
        <w:numPr>
          <w:ilvl w:val="0"/>
          <w:numId w:val="898"/>
        </w:numPr>
        <w:tabs>
          <w:tab w:val="left" w:pos="1051"/>
        </w:tabs>
        <w:spacing w:before="179"/>
        <w:ind w:left="1050"/>
        <w:rPr>
          <w:sz w:val="21"/>
        </w:rPr>
      </w:pPr>
      <w:r>
        <w:rPr>
          <w:spacing w:val="-12"/>
          <w:sz w:val="21"/>
        </w:rPr>
        <w:t>大气压力为</w:t>
      </w:r>
      <w:r>
        <w:rPr>
          <w:spacing w:val="-12"/>
          <w:sz w:val="21"/>
        </w:rPr>
        <w:t xml:space="preserve"> </w:t>
      </w:r>
      <w:r>
        <w:rPr>
          <w:sz w:val="21"/>
        </w:rPr>
        <w:t>86</w:t>
      </w:r>
      <w:r>
        <w:rPr>
          <w:sz w:val="21"/>
        </w:rPr>
        <w:t>～</w:t>
      </w:r>
      <w:r>
        <w:rPr>
          <w:sz w:val="21"/>
        </w:rPr>
        <w:t>106kPa</w:t>
      </w:r>
      <w:r>
        <w:rPr>
          <w:spacing w:val="-3"/>
          <w:sz w:val="21"/>
        </w:rPr>
        <w:t>。</w:t>
      </w:r>
      <w:r>
        <w:rPr>
          <w:sz w:val="21"/>
        </w:rPr>
        <w:t xml:space="preserve"> </w:t>
      </w:r>
    </w:p>
    <w:p w14:paraId="1DABAD8F" w14:textId="77777777" w:rsidR="00A71EEF" w:rsidRDefault="00A71EEF">
      <w:pPr>
        <w:pStyle w:val="a3"/>
        <w:spacing w:before="2"/>
        <w:rPr>
          <w:sz w:val="18"/>
        </w:rPr>
      </w:pPr>
    </w:p>
    <w:p w14:paraId="5E2E1BC4" w14:textId="77777777" w:rsidR="00A71EEF" w:rsidRDefault="0081115D">
      <w:pPr>
        <w:pStyle w:val="a4"/>
        <w:numPr>
          <w:ilvl w:val="2"/>
          <w:numId w:val="875"/>
        </w:numPr>
        <w:tabs>
          <w:tab w:val="left" w:pos="1370"/>
        </w:tabs>
        <w:ind w:left="1369" w:hanging="530"/>
        <w:rPr>
          <w:sz w:val="21"/>
        </w:rPr>
      </w:pPr>
      <w:r>
        <w:rPr>
          <w:spacing w:val="-3"/>
          <w:sz w:val="21"/>
        </w:rPr>
        <w:t>呼救器应设有佩带装置，并能在任意工作方位时正常工作。</w:t>
      </w:r>
      <w:r>
        <w:rPr>
          <w:sz w:val="21"/>
        </w:rPr>
        <w:t xml:space="preserve"> </w:t>
      </w:r>
    </w:p>
    <w:p w14:paraId="29EC1FB9" w14:textId="77777777" w:rsidR="00A71EEF" w:rsidRDefault="00A71EEF">
      <w:pPr>
        <w:pStyle w:val="a3"/>
        <w:spacing w:before="12"/>
        <w:rPr>
          <w:sz w:val="17"/>
        </w:rPr>
      </w:pPr>
    </w:p>
    <w:p w14:paraId="6289B6CD" w14:textId="77777777" w:rsidR="00A71EEF" w:rsidRDefault="0081115D">
      <w:pPr>
        <w:pStyle w:val="a4"/>
        <w:numPr>
          <w:ilvl w:val="2"/>
          <w:numId w:val="875"/>
        </w:numPr>
        <w:tabs>
          <w:tab w:val="left" w:pos="1370"/>
        </w:tabs>
        <w:ind w:left="1369" w:hanging="530"/>
        <w:rPr>
          <w:sz w:val="21"/>
        </w:rPr>
      </w:pPr>
      <w:r>
        <w:rPr>
          <w:spacing w:val="-3"/>
          <w:sz w:val="21"/>
        </w:rPr>
        <w:t>呼救器的供电电源应采用可充电电池。</w:t>
      </w:r>
      <w:r>
        <w:rPr>
          <w:sz w:val="21"/>
        </w:rPr>
        <w:t xml:space="preserve"> </w:t>
      </w:r>
    </w:p>
    <w:p w14:paraId="5836B1F5" w14:textId="77777777" w:rsidR="00A71EEF" w:rsidRDefault="00A71EEF">
      <w:pPr>
        <w:pStyle w:val="a3"/>
        <w:rPr>
          <w:sz w:val="18"/>
        </w:rPr>
      </w:pPr>
    </w:p>
    <w:p w14:paraId="4555FBE4" w14:textId="77777777" w:rsidR="00A71EEF" w:rsidRDefault="0081115D">
      <w:pPr>
        <w:pStyle w:val="a4"/>
        <w:numPr>
          <w:ilvl w:val="2"/>
          <w:numId w:val="875"/>
        </w:numPr>
        <w:tabs>
          <w:tab w:val="left" w:pos="1370"/>
        </w:tabs>
        <w:ind w:left="1369" w:hanging="530"/>
        <w:rPr>
          <w:sz w:val="21"/>
        </w:rPr>
      </w:pPr>
      <w:r>
        <w:rPr>
          <w:spacing w:val="-3"/>
          <w:sz w:val="21"/>
        </w:rPr>
        <w:t>呼救器应设置电池充放电保护电路。</w:t>
      </w:r>
      <w:r>
        <w:rPr>
          <w:sz w:val="21"/>
        </w:rPr>
        <w:t xml:space="preserve"> </w:t>
      </w:r>
    </w:p>
    <w:p w14:paraId="0EAD2549" w14:textId="77777777" w:rsidR="00A71EEF" w:rsidRDefault="00A71EEF">
      <w:pPr>
        <w:pStyle w:val="a3"/>
        <w:spacing w:before="2"/>
        <w:rPr>
          <w:sz w:val="18"/>
        </w:rPr>
      </w:pPr>
    </w:p>
    <w:p w14:paraId="237C11A0" w14:textId="77777777" w:rsidR="00A71EEF" w:rsidRDefault="0081115D">
      <w:pPr>
        <w:pStyle w:val="a4"/>
        <w:numPr>
          <w:ilvl w:val="1"/>
          <w:numId w:val="875"/>
        </w:numPr>
        <w:tabs>
          <w:tab w:val="left" w:pos="1160"/>
        </w:tabs>
        <w:rPr>
          <w:sz w:val="21"/>
        </w:rPr>
      </w:pPr>
      <w:r>
        <w:rPr>
          <w:spacing w:val="-3"/>
          <w:sz w:val="21"/>
        </w:rPr>
        <w:t>功能要求</w:t>
      </w:r>
      <w:r>
        <w:rPr>
          <w:sz w:val="21"/>
        </w:rPr>
        <w:t xml:space="preserve"> </w:t>
      </w:r>
    </w:p>
    <w:p w14:paraId="69BCF220" w14:textId="77777777" w:rsidR="00A71EEF" w:rsidRDefault="00A71EEF">
      <w:pPr>
        <w:pStyle w:val="a3"/>
        <w:rPr>
          <w:sz w:val="18"/>
        </w:rPr>
      </w:pPr>
    </w:p>
    <w:p w14:paraId="10A1AF03" w14:textId="77777777" w:rsidR="00A71EEF" w:rsidRDefault="0081115D">
      <w:pPr>
        <w:pStyle w:val="a4"/>
        <w:numPr>
          <w:ilvl w:val="2"/>
          <w:numId w:val="875"/>
        </w:numPr>
        <w:tabs>
          <w:tab w:val="left" w:pos="1370"/>
        </w:tabs>
        <w:ind w:left="1369" w:hanging="530"/>
        <w:rPr>
          <w:sz w:val="21"/>
        </w:rPr>
      </w:pPr>
      <w:r>
        <w:rPr>
          <w:spacing w:val="-3"/>
          <w:sz w:val="21"/>
        </w:rPr>
        <w:t>预报警功能</w:t>
      </w:r>
      <w:r>
        <w:rPr>
          <w:sz w:val="21"/>
        </w:rPr>
        <w:t xml:space="preserve"> </w:t>
      </w:r>
    </w:p>
    <w:p w14:paraId="25C3C375" w14:textId="77777777" w:rsidR="00A71EEF" w:rsidRDefault="00A71EEF">
      <w:pPr>
        <w:pStyle w:val="a3"/>
        <w:spacing w:before="12"/>
        <w:rPr>
          <w:sz w:val="17"/>
        </w:rPr>
      </w:pPr>
    </w:p>
    <w:p w14:paraId="622E3046" w14:textId="77777777" w:rsidR="00A71EEF" w:rsidRDefault="0081115D">
      <w:pPr>
        <w:pStyle w:val="a3"/>
        <w:spacing w:line="446" w:lineRule="auto"/>
        <w:ind w:left="418" w:right="1608" w:firstLine="419"/>
        <w:jc w:val="both"/>
      </w:pPr>
      <w:r>
        <w:t>呼救器处于自动工作状态时，应具有预报警功能。当静止时间超过允许静止时间时，应发出快速的断续预报警声响信号。在预报警期间，呼救器工作方位发生变化或呼救器作速率不小于</w:t>
      </w:r>
      <w:r>
        <w:t xml:space="preserve"> 5m/s </w:t>
      </w:r>
      <w:r>
        <w:t>的平面匀速运动时，预报警声响信号应立即解除。</w:t>
      </w:r>
      <w:r>
        <w:t xml:space="preserve"> </w:t>
      </w:r>
    </w:p>
    <w:p w14:paraId="20FEE64B" w14:textId="77777777" w:rsidR="00A71EEF" w:rsidRDefault="0081115D">
      <w:pPr>
        <w:pStyle w:val="a4"/>
        <w:numPr>
          <w:ilvl w:val="2"/>
          <w:numId w:val="875"/>
        </w:numPr>
        <w:tabs>
          <w:tab w:val="left" w:pos="1370"/>
        </w:tabs>
        <w:spacing w:line="268" w:lineRule="exact"/>
        <w:ind w:left="1369" w:hanging="530"/>
        <w:rPr>
          <w:sz w:val="21"/>
        </w:rPr>
      </w:pPr>
      <w:r>
        <w:rPr>
          <w:spacing w:val="-3"/>
          <w:sz w:val="21"/>
        </w:rPr>
        <w:t>自动报警功能</w:t>
      </w:r>
      <w:r>
        <w:rPr>
          <w:sz w:val="21"/>
        </w:rPr>
        <w:t xml:space="preserve"> </w:t>
      </w:r>
    </w:p>
    <w:p w14:paraId="6DD57E32" w14:textId="77777777" w:rsidR="00A71EEF" w:rsidRDefault="00A71EEF">
      <w:pPr>
        <w:pStyle w:val="a3"/>
        <w:spacing w:before="2"/>
        <w:rPr>
          <w:sz w:val="18"/>
        </w:rPr>
      </w:pPr>
    </w:p>
    <w:p w14:paraId="325731C9" w14:textId="77777777" w:rsidR="00A71EEF" w:rsidRDefault="0081115D">
      <w:pPr>
        <w:pStyle w:val="a3"/>
        <w:spacing w:line="446" w:lineRule="auto"/>
        <w:ind w:left="418" w:right="1608" w:firstLine="419"/>
        <w:jc w:val="both"/>
      </w:pPr>
      <w:r>
        <w:t>呼救器处于自动工作状态时，当静止时间超过允许静止时间和预报警时间之和时，应发出连续报警声响信号和方位指示频闪光信号。在报警期间，报警声响信号和方位指示频闪光信号不受呼救器工作方位变化或运动速率变化的影响，并应只能手动消除。</w:t>
      </w:r>
      <w:r>
        <w:t xml:space="preserve"> </w:t>
      </w:r>
    </w:p>
    <w:p w14:paraId="561DBBF8" w14:textId="77777777" w:rsidR="00A71EEF" w:rsidRDefault="0081115D">
      <w:pPr>
        <w:pStyle w:val="a4"/>
        <w:numPr>
          <w:ilvl w:val="2"/>
          <w:numId w:val="875"/>
        </w:numPr>
        <w:tabs>
          <w:tab w:val="left" w:pos="1370"/>
        </w:tabs>
        <w:spacing w:line="268" w:lineRule="exact"/>
        <w:ind w:left="1369" w:hanging="530"/>
        <w:rPr>
          <w:sz w:val="21"/>
        </w:rPr>
      </w:pPr>
      <w:r>
        <w:rPr>
          <w:spacing w:val="-3"/>
          <w:sz w:val="21"/>
        </w:rPr>
        <w:t>手动报瞥功能</w:t>
      </w:r>
      <w:r>
        <w:rPr>
          <w:sz w:val="21"/>
        </w:rPr>
        <w:t xml:space="preserve"> </w:t>
      </w:r>
    </w:p>
    <w:p w14:paraId="4DC0EBAA" w14:textId="77777777" w:rsidR="00A71EEF" w:rsidRDefault="00A71EEF">
      <w:pPr>
        <w:spacing w:line="268" w:lineRule="exact"/>
        <w:rPr>
          <w:sz w:val="21"/>
        </w:rPr>
        <w:sectPr w:rsidR="00A71EEF">
          <w:pgSz w:w="11910" w:h="16850"/>
          <w:pgMar w:top="1220" w:right="0" w:bottom="1420" w:left="1260" w:header="0" w:footer="1239" w:gutter="0"/>
          <w:cols w:space="720"/>
        </w:sectPr>
      </w:pPr>
    </w:p>
    <w:p w14:paraId="7D1DB90A" w14:textId="77777777" w:rsidR="00A71EEF" w:rsidRDefault="0081115D">
      <w:pPr>
        <w:pStyle w:val="a3"/>
        <w:spacing w:before="47" w:line="446" w:lineRule="auto"/>
        <w:ind w:left="418" w:right="1505" w:firstLine="419"/>
      </w:pPr>
      <w:r>
        <w:rPr>
          <w:spacing w:val="-3"/>
        </w:rPr>
        <w:lastRenderedPageBreak/>
        <w:t>呼救器处于手动工作状态时，应发出与自动报警功能相同的报警声响信号和方位指示频闪光信号。</w:t>
      </w:r>
      <w:r>
        <w:rPr>
          <w:spacing w:val="-3"/>
        </w:rPr>
        <w:t xml:space="preserve"> </w:t>
      </w:r>
      <w:r>
        <w:rPr>
          <w:spacing w:val="-3"/>
        </w:rPr>
        <w:t>在手动报警期间，报警声晌信号和方位指示频闪光信号应不受呼救器工作方位变化或运动速率变化的影响。</w:t>
      </w:r>
      <w:r>
        <w:t xml:space="preserve"> </w:t>
      </w:r>
    </w:p>
    <w:p w14:paraId="78509E21" w14:textId="77777777" w:rsidR="00A71EEF" w:rsidRDefault="0081115D">
      <w:pPr>
        <w:pStyle w:val="a4"/>
        <w:numPr>
          <w:ilvl w:val="2"/>
          <w:numId w:val="875"/>
        </w:numPr>
        <w:tabs>
          <w:tab w:val="left" w:pos="1370"/>
        </w:tabs>
        <w:spacing w:line="268" w:lineRule="exact"/>
        <w:ind w:left="1369" w:hanging="530"/>
        <w:rPr>
          <w:sz w:val="21"/>
        </w:rPr>
      </w:pPr>
      <w:r>
        <w:rPr>
          <w:spacing w:val="-3"/>
          <w:sz w:val="21"/>
        </w:rPr>
        <w:t>低电压告警功能</w:t>
      </w:r>
      <w:r>
        <w:rPr>
          <w:sz w:val="21"/>
        </w:rPr>
        <w:t xml:space="preserve"> </w:t>
      </w:r>
    </w:p>
    <w:p w14:paraId="47CF4E9A" w14:textId="77777777" w:rsidR="00A71EEF" w:rsidRDefault="00A71EEF">
      <w:pPr>
        <w:pStyle w:val="a3"/>
        <w:rPr>
          <w:sz w:val="18"/>
        </w:rPr>
      </w:pPr>
    </w:p>
    <w:p w14:paraId="77073219" w14:textId="77777777" w:rsidR="00A71EEF" w:rsidRDefault="0081115D">
      <w:pPr>
        <w:pStyle w:val="a3"/>
        <w:spacing w:line="446" w:lineRule="auto"/>
        <w:ind w:left="418" w:right="1391" w:firstLine="419"/>
      </w:pPr>
      <w:r>
        <w:t>当呼救器供电电池的电压低于额</w:t>
      </w:r>
      <w:r>
        <w:t>定电压的</w:t>
      </w:r>
      <w:r>
        <w:t xml:space="preserve"> 80%</w:t>
      </w:r>
      <w:r>
        <w:t>时，应发出区别于预报警声响信号的慢速断续告警声响信号或光信号。</w:t>
      </w:r>
      <w:r>
        <w:t xml:space="preserve"> </w:t>
      </w:r>
    </w:p>
    <w:p w14:paraId="6A19E636" w14:textId="77777777" w:rsidR="00A71EEF" w:rsidRDefault="0081115D">
      <w:pPr>
        <w:pStyle w:val="a4"/>
        <w:numPr>
          <w:ilvl w:val="2"/>
          <w:numId w:val="875"/>
        </w:numPr>
        <w:tabs>
          <w:tab w:val="left" w:pos="1371"/>
        </w:tabs>
        <w:ind w:left="1370"/>
        <w:rPr>
          <w:sz w:val="21"/>
        </w:rPr>
      </w:pPr>
      <w:r>
        <w:rPr>
          <w:spacing w:val="-3"/>
          <w:sz w:val="21"/>
        </w:rPr>
        <w:t>通信功能</w:t>
      </w:r>
      <w:r>
        <w:rPr>
          <w:sz w:val="21"/>
        </w:rPr>
        <w:t xml:space="preserve"> </w:t>
      </w:r>
    </w:p>
    <w:p w14:paraId="7EA18CA4" w14:textId="77777777" w:rsidR="00A71EEF" w:rsidRDefault="00A71EEF">
      <w:pPr>
        <w:pStyle w:val="a3"/>
        <w:rPr>
          <w:sz w:val="18"/>
        </w:rPr>
      </w:pPr>
    </w:p>
    <w:p w14:paraId="169D666B" w14:textId="77777777" w:rsidR="00A71EEF" w:rsidRDefault="0081115D">
      <w:pPr>
        <w:pStyle w:val="a3"/>
        <w:spacing w:line="446" w:lineRule="auto"/>
        <w:ind w:left="418" w:right="1609" w:firstLine="419"/>
      </w:pPr>
      <w:r>
        <w:t>通信型呼救器处于报警状态时，应发出报瞀声响信号和方位指示频闪光信号。同时，呼救器应能发射信号至接收终端予以识别，并能接收并识别来自接收终端发射的信号，</w:t>
      </w:r>
      <w:r>
        <w:t xml:space="preserve"> </w:t>
      </w:r>
    </w:p>
    <w:p w14:paraId="2F6ECDA5" w14:textId="77777777" w:rsidR="00A71EEF" w:rsidRDefault="0081115D">
      <w:pPr>
        <w:pStyle w:val="a4"/>
        <w:numPr>
          <w:ilvl w:val="2"/>
          <w:numId w:val="875"/>
        </w:numPr>
        <w:tabs>
          <w:tab w:val="left" w:pos="1371"/>
        </w:tabs>
        <w:ind w:left="1370"/>
        <w:rPr>
          <w:sz w:val="21"/>
        </w:rPr>
      </w:pPr>
      <w:r>
        <w:rPr>
          <w:spacing w:val="-3"/>
          <w:sz w:val="21"/>
        </w:rPr>
        <w:t>转换开关</w:t>
      </w:r>
      <w:r>
        <w:rPr>
          <w:sz w:val="21"/>
        </w:rPr>
        <w:t xml:space="preserve"> </w:t>
      </w:r>
    </w:p>
    <w:p w14:paraId="48D40450" w14:textId="77777777" w:rsidR="00A71EEF" w:rsidRDefault="00A71EEF">
      <w:pPr>
        <w:pStyle w:val="a3"/>
        <w:spacing w:before="12"/>
        <w:rPr>
          <w:sz w:val="17"/>
        </w:rPr>
      </w:pPr>
    </w:p>
    <w:p w14:paraId="08B654F2" w14:textId="77777777" w:rsidR="00A71EEF" w:rsidRDefault="0081115D">
      <w:pPr>
        <w:pStyle w:val="a3"/>
        <w:spacing w:line="446" w:lineRule="auto"/>
        <w:ind w:left="418" w:right="1609" w:firstLine="419"/>
      </w:pPr>
      <w:r>
        <w:t>呼救器应设置</w:t>
      </w:r>
      <w:r>
        <w:t>“</w:t>
      </w:r>
      <w:r>
        <w:t>关一手动一自动</w:t>
      </w:r>
      <w:r>
        <w:t>”</w:t>
      </w:r>
      <w:r>
        <w:t>转换开关。转换开关应灵活可靠、坚固耐用，并有防误动作结构。</w:t>
      </w:r>
      <w:r>
        <w:t xml:space="preserve">  </w:t>
      </w:r>
      <w:r>
        <w:t xml:space="preserve"> </w:t>
      </w:r>
    </w:p>
    <w:p w14:paraId="55E58042" w14:textId="77777777" w:rsidR="00A71EEF" w:rsidRDefault="0081115D">
      <w:pPr>
        <w:pStyle w:val="a4"/>
        <w:numPr>
          <w:ilvl w:val="1"/>
          <w:numId w:val="875"/>
        </w:numPr>
        <w:tabs>
          <w:tab w:val="left" w:pos="1159"/>
        </w:tabs>
        <w:ind w:left="1158" w:hanging="319"/>
        <w:rPr>
          <w:sz w:val="21"/>
        </w:rPr>
      </w:pPr>
      <w:r>
        <w:rPr>
          <w:spacing w:val="-3"/>
          <w:sz w:val="21"/>
        </w:rPr>
        <w:t>性能要求</w:t>
      </w:r>
      <w:r>
        <w:rPr>
          <w:sz w:val="21"/>
        </w:rPr>
        <w:t xml:space="preserve"> </w:t>
      </w:r>
    </w:p>
    <w:p w14:paraId="60765498" w14:textId="77777777" w:rsidR="00A71EEF" w:rsidRDefault="00A71EEF">
      <w:pPr>
        <w:pStyle w:val="a3"/>
        <w:rPr>
          <w:sz w:val="18"/>
        </w:rPr>
      </w:pPr>
    </w:p>
    <w:p w14:paraId="36982549" w14:textId="77777777" w:rsidR="00A71EEF" w:rsidRDefault="0081115D">
      <w:pPr>
        <w:pStyle w:val="a4"/>
        <w:numPr>
          <w:ilvl w:val="2"/>
          <w:numId w:val="875"/>
        </w:numPr>
        <w:tabs>
          <w:tab w:val="left" w:pos="1371"/>
        </w:tabs>
        <w:ind w:left="1370"/>
        <w:rPr>
          <w:sz w:val="21"/>
        </w:rPr>
      </w:pPr>
      <w:r>
        <w:rPr>
          <w:spacing w:val="-3"/>
          <w:sz w:val="21"/>
        </w:rPr>
        <w:t>允许静止时间</w:t>
      </w:r>
      <w:r>
        <w:rPr>
          <w:sz w:val="21"/>
        </w:rPr>
        <w:t xml:space="preserve"> </w:t>
      </w:r>
    </w:p>
    <w:p w14:paraId="05DB21BD" w14:textId="77777777" w:rsidR="00A71EEF" w:rsidRDefault="00A71EEF">
      <w:pPr>
        <w:pStyle w:val="a3"/>
        <w:spacing w:before="12"/>
        <w:rPr>
          <w:sz w:val="17"/>
        </w:rPr>
      </w:pPr>
    </w:p>
    <w:p w14:paraId="42A9F653" w14:textId="77777777" w:rsidR="00A71EEF" w:rsidRDefault="0081115D">
      <w:pPr>
        <w:pStyle w:val="a3"/>
        <w:spacing w:line="446" w:lineRule="auto"/>
        <w:ind w:left="840" w:right="6393" w:hanging="3"/>
      </w:pPr>
      <w:r>
        <w:t>呼救器允许静止时间应为</w:t>
      </w:r>
      <w:r>
        <w:t xml:space="preserve"> 30s±2s</w:t>
      </w:r>
      <w:r>
        <w:t>。</w:t>
      </w:r>
      <w:r>
        <w:rPr>
          <w:b/>
        </w:rPr>
        <w:t xml:space="preserve">5.3.2 </w:t>
      </w:r>
      <w:r>
        <w:t>预报瞥时间</w:t>
      </w:r>
      <w:r>
        <w:t xml:space="preserve"> </w:t>
      </w:r>
    </w:p>
    <w:p w14:paraId="0D5B9D81" w14:textId="77777777" w:rsidR="00A71EEF" w:rsidRDefault="0081115D">
      <w:pPr>
        <w:pStyle w:val="a3"/>
        <w:spacing w:line="446" w:lineRule="auto"/>
        <w:ind w:left="840" w:right="6435" w:hanging="3"/>
      </w:pPr>
      <w:r>
        <w:t>呼救器预报警时间应为</w:t>
      </w:r>
      <w:r>
        <w:t xml:space="preserve"> 15s </w:t>
      </w:r>
      <w:r>
        <w:t>土</w:t>
      </w:r>
      <w:r>
        <w:t xml:space="preserve"> 2s</w:t>
      </w:r>
      <w:r>
        <w:t>。</w:t>
      </w:r>
      <w:r>
        <w:rPr>
          <w:b/>
        </w:rPr>
        <w:t xml:space="preserve">5.3.3 </w:t>
      </w:r>
      <w:r>
        <w:t>预报瞥声级强度</w:t>
      </w:r>
      <w:r>
        <w:t xml:space="preserve"> </w:t>
      </w:r>
    </w:p>
    <w:p w14:paraId="0EB61F0E" w14:textId="77777777" w:rsidR="00A71EEF" w:rsidRDefault="0081115D">
      <w:pPr>
        <w:pStyle w:val="a3"/>
        <w:spacing w:line="446" w:lineRule="auto"/>
        <w:ind w:left="840" w:right="6076" w:hanging="3"/>
      </w:pPr>
      <w:r>
        <w:t>呼救器预报警声级强度应不小于</w:t>
      </w:r>
      <w:r>
        <w:t xml:space="preserve"> 80dB</w:t>
      </w:r>
      <w:r>
        <w:t>。</w:t>
      </w:r>
      <w:r>
        <w:rPr>
          <w:b/>
        </w:rPr>
        <w:t xml:space="preserve">5.3.4 </w:t>
      </w:r>
      <w:r>
        <w:t>报警声级强度</w:t>
      </w:r>
      <w:r>
        <w:t xml:space="preserve"> </w:t>
      </w:r>
    </w:p>
    <w:p w14:paraId="7BD2109B" w14:textId="77777777" w:rsidR="00A71EEF" w:rsidRDefault="0081115D">
      <w:pPr>
        <w:pStyle w:val="a3"/>
        <w:spacing w:line="446" w:lineRule="auto"/>
        <w:ind w:left="840" w:right="6181" w:hanging="3"/>
      </w:pPr>
      <w:r>
        <w:t>呼救器报警声级强度应不小于</w:t>
      </w:r>
      <w:r>
        <w:t xml:space="preserve"> 100dB</w:t>
      </w:r>
      <w:r>
        <w:t>。</w:t>
      </w:r>
      <w:r>
        <w:rPr>
          <w:b/>
        </w:rPr>
        <w:t xml:space="preserve">5.3.5 </w:t>
      </w:r>
      <w:r>
        <w:t>低电压吿警声级强度</w:t>
      </w:r>
      <w:r>
        <w:t xml:space="preserve"> </w:t>
      </w:r>
    </w:p>
    <w:p w14:paraId="44D4172C" w14:textId="77777777" w:rsidR="00A71EEF" w:rsidRDefault="0081115D">
      <w:pPr>
        <w:pStyle w:val="a3"/>
        <w:spacing w:line="446" w:lineRule="auto"/>
        <w:ind w:left="840" w:right="5656" w:hanging="3"/>
      </w:pPr>
      <w:r>
        <w:t>呼救器低电压告警声级强度应不小于</w:t>
      </w:r>
      <w:r>
        <w:t xml:space="preserve"> 65dB</w:t>
      </w:r>
      <w:r>
        <w:t>。</w:t>
      </w:r>
      <w:r>
        <w:rPr>
          <w:b/>
        </w:rPr>
        <w:t xml:space="preserve">5.3.6 </w:t>
      </w:r>
      <w:r>
        <w:t>连续工作时间</w:t>
      </w:r>
      <w:r>
        <w:t xml:space="preserve"> </w:t>
      </w:r>
    </w:p>
    <w:p w14:paraId="1789DF69" w14:textId="77777777" w:rsidR="00A71EEF" w:rsidRDefault="0081115D">
      <w:pPr>
        <w:pStyle w:val="a3"/>
        <w:spacing w:line="446" w:lineRule="auto"/>
        <w:ind w:left="838" w:right="6076"/>
      </w:pPr>
      <w:r>
        <w:t>呼救器连续工作时间应符合以下要求：</w:t>
      </w:r>
      <w:r>
        <w:t xml:space="preserve"> a) </w:t>
      </w:r>
      <w:r>
        <w:t>连续开机时间不小于</w:t>
      </w:r>
      <w:r>
        <w:t xml:space="preserve"> 24h</w:t>
      </w:r>
      <w:r>
        <w:t>；</w:t>
      </w:r>
      <w:r>
        <w:t xml:space="preserve"> </w:t>
      </w:r>
    </w:p>
    <w:p w14:paraId="1F4C6C41" w14:textId="77777777" w:rsidR="00A71EEF" w:rsidRDefault="0081115D">
      <w:pPr>
        <w:spacing w:line="446" w:lineRule="auto"/>
        <w:ind w:left="840" w:right="6498" w:hanging="3"/>
        <w:rPr>
          <w:sz w:val="21"/>
        </w:rPr>
      </w:pPr>
      <w:r>
        <w:rPr>
          <w:sz w:val="21"/>
        </w:rPr>
        <w:t xml:space="preserve">b) </w:t>
      </w:r>
      <w:r>
        <w:rPr>
          <w:sz w:val="21"/>
        </w:rPr>
        <w:t>连续报警时间不小于</w:t>
      </w:r>
      <w:r>
        <w:rPr>
          <w:sz w:val="21"/>
        </w:rPr>
        <w:t xml:space="preserve"> 240min</w:t>
      </w:r>
      <w:r>
        <w:rPr>
          <w:sz w:val="21"/>
        </w:rPr>
        <w:t>。</w:t>
      </w:r>
      <w:r>
        <w:rPr>
          <w:b/>
          <w:sz w:val="21"/>
        </w:rPr>
        <w:t xml:space="preserve">5.3.7 </w:t>
      </w:r>
      <w:r>
        <w:rPr>
          <w:sz w:val="21"/>
        </w:rPr>
        <w:t>质量</w:t>
      </w:r>
      <w:r>
        <w:rPr>
          <w:sz w:val="21"/>
        </w:rPr>
        <w:t xml:space="preserve"> </w:t>
      </w:r>
    </w:p>
    <w:p w14:paraId="51E1BA6D" w14:textId="77777777" w:rsidR="00A71EEF" w:rsidRDefault="00A71EEF">
      <w:pPr>
        <w:spacing w:line="446" w:lineRule="auto"/>
        <w:rPr>
          <w:sz w:val="21"/>
        </w:rPr>
        <w:sectPr w:rsidR="00A71EEF">
          <w:pgSz w:w="11910" w:h="16850"/>
          <w:pgMar w:top="1220" w:right="0" w:bottom="1420" w:left="1260" w:header="0" w:footer="1239" w:gutter="0"/>
          <w:cols w:space="720"/>
        </w:sectPr>
      </w:pPr>
    </w:p>
    <w:p w14:paraId="5BB9C602" w14:textId="77777777" w:rsidR="00A71EEF" w:rsidRDefault="0081115D">
      <w:pPr>
        <w:pStyle w:val="a3"/>
        <w:spacing w:before="47" w:line="446" w:lineRule="auto"/>
        <w:ind w:left="840" w:right="5973" w:hanging="3"/>
      </w:pPr>
      <w:r>
        <w:lastRenderedPageBreak/>
        <w:t>呼救器质量应不大于</w:t>
      </w:r>
      <w:r>
        <w:t xml:space="preserve"> 300g(</w:t>
      </w:r>
      <w:r>
        <w:t>包括电池）。</w:t>
      </w:r>
      <w:r>
        <w:rPr>
          <w:b/>
        </w:rPr>
        <w:t xml:space="preserve">5.3.8 </w:t>
      </w:r>
      <w:r>
        <w:t>外观</w:t>
      </w:r>
      <w:r>
        <w:t xml:space="preserve"> </w:t>
      </w:r>
    </w:p>
    <w:p w14:paraId="00EE0F7A" w14:textId="77777777" w:rsidR="00A71EEF" w:rsidRDefault="0081115D">
      <w:pPr>
        <w:pStyle w:val="a3"/>
        <w:spacing w:line="446" w:lineRule="auto"/>
        <w:ind w:left="840" w:right="3606" w:hanging="3"/>
      </w:pPr>
      <w:r>
        <w:t>呼救器结构应完整，表面不应有明盘的斑点、气泡、裂纹和伤痕。</w:t>
      </w:r>
      <w:r>
        <w:rPr>
          <w:b/>
        </w:rPr>
        <w:t xml:space="preserve">5.3.9 </w:t>
      </w:r>
      <w:r>
        <w:t>防爆性能</w:t>
      </w:r>
      <w:r>
        <w:t xml:space="preserve"> </w:t>
      </w:r>
    </w:p>
    <w:p w14:paraId="47D45924" w14:textId="77777777" w:rsidR="00A71EEF" w:rsidRDefault="0081115D">
      <w:pPr>
        <w:pStyle w:val="a3"/>
        <w:spacing w:line="446" w:lineRule="auto"/>
        <w:ind w:left="840" w:right="5500" w:hanging="3"/>
      </w:pPr>
      <w:r>
        <w:t>呼救器的防爆性能应符合</w:t>
      </w:r>
      <w:r>
        <w:t xml:space="preserve"> GB 3836.1 </w:t>
      </w:r>
      <w:r>
        <w:t>的规定。</w:t>
      </w:r>
      <w:r>
        <w:rPr>
          <w:b/>
        </w:rPr>
        <w:t xml:space="preserve">5.3.10 </w:t>
      </w:r>
      <w:r>
        <w:t>绝缘性能</w:t>
      </w:r>
      <w:r>
        <w:t xml:space="preserve"> </w:t>
      </w:r>
    </w:p>
    <w:p w14:paraId="386C9F29" w14:textId="77777777" w:rsidR="00A71EEF" w:rsidRDefault="0081115D">
      <w:pPr>
        <w:pStyle w:val="a3"/>
        <w:ind w:left="838"/>
      </w:pPr>
      <w:r>
        <w:t>呼救器绝缘性能应符合以下要求：</w:t>
      </w:r>
      <w:r>
        <w:t xml:space="preserve"> </w:t>
      </w:r>
    </w:p>
    <w:p w14:paraId="3A22A81C" w14:textId="77777777" w:rsidR="00A71EEF" w:rsidRDefault="00A71EEF">
      <w:pPr>
        <w:pStyle w:val="a3"/>
        <w:spacing w:before="11"/>
        <w:rPr>
          <w:sz w:val="17"/>
        </w:rPr>
      </w:pPr>
    </w:p>
    <w:p w14:paraId="5E980732" w14:textId="77777777" w:rsidR="00A71EEF" w:rsidRDefault="0081115D">
      <w:pPr>
        <w:pStyle w:val="a3"/>
        <w:spacing w:line="446" w:lineRule="auto"/>
        <w:ind w:left="838" w:right="3078"/>
      </w:pPr>
      <w:r>
        <w:t>a)</w:t>
      </w:r>
      <w:r>
        <w:rPr>
          <w:spacing w:val="-5"/>
        </w:rPr>
        <w:t xml:space="preserve">  </w:t>
      </w:r>
      <w:r>
        <w:rPr>
          <w:spacing w:val="-5"/>
        </w:rPr>
        <w:t>正负电极与外壳间绝缘电阻在正常使用环境条件下应不低于</w:t>
      </w:r>
      <w:r>
        <w:rPr>
          <w:spacing w:val="-5"/>
        </w:rPr>
        <w:t xml:space="preserve"> </w:t>
      </w:r>
      <w:r>
        <w:t>50M</w:t>
      </w:r>
      <w:r>
        <w:rPr>
          <w:rFonts w:ascii="Times New Roman" w:eastAsia="Times New Roman" w:hAnsi="Times New Roman"/>
        </w:rPr>
        <w:t>Ω</w:t>
      </w:r>
      <w:r>
        <w:rPr>
          <w:spacing w:val="-3"/>
        </w:rPr>
        <w:t>。</w:t>
      </w:r>
      <w:r>
        <w:t>b)</w:t>
      </w:r>
      <w:r>
        <w:rPr>
          <w:spacing w:val="-5"/>
        </w:rPr>
        <w:t xml:space="preserve"> </w:t>
      </w:r>
      <w:r>
        <w:rPr>
          <w:spacing w:val="-5"/>
        </w:rPr>
        <w:t>正负电极与外壳间绝缘电阻在湿热试验后应不低于</w:t>
      </w:r>
      <w:r>
        <w:rPr>
          <w:spacing w:val="-5"/>
        </w:rPr>
        <w:t xml:space="preserve"> </w:t>
      </w:r>
      <w:r>
        <w:t>10M</w:t>
      </w:r>
      <w:r>
        <w:rPr>
          <w:rFonts w:ascii="Times New Roman" w:eastAsia="Times New Roman" w:hAnsi="Times New Roman"/>
        </w:rPr>
        <w:t>Ω</w:t>
      </w:r>
      <w:r>
        <w:rPr>
          <w:spacing w:val="-3"/>
        </w:rPr>
        <w:t>。</w:t>
      </w:r>
      <w:r>
        <w:t xml:space="preserve"> </w:t>
      </w:r>
    </w:p>
    <w:p w14:paraId="0958FEE1" w14:textId="77777777" w:rsidR="00A71EEF" w:rsidRDefault="0081115D">
      <w:pPr>
        <w:ind w:left="840"/>
        <w:rPr>
          <w:sz w:val="21"/>
        </w:rPr>
      </w:pPr>
      <w:r>
        <w:rPr>
          <w:b/>
          <w:sz w:val="21"/>
        </w:rPr>
        <w:t xml:space="preserve">5.3.11 </w:t>
      </w:r>
      <w:r>
        <w:rPr>
          <w:sz w:val="21"/>
        </w:rPr>
        <w:t>防水性能</w:t>
      </w:r>
      <w:r>
        <w:rPr>
          <w:sz w:val="21"/>
        </w:rPr>
        <w:t xml:space="preserve"> </w:t>
      </w:r>
    </w:p>
    <w:p w14:paraId="3636BEED" w14:textId="77777777" w:rsidR="00A71EEF" w:rsidRDefault="00A71EEF">
      <w:pPr>
        <w:pStyle w:val="a3"/>
        <w:spacing w:before="12"/>
        <w:rPr>
          <w:sz w:val="17"/>
        </w:rPr>
      </w:pPr>
    </w:p>
    <w:p w14:paraId="6D4764FC" w14:textId="77777777" w:rsidR="00A71EEF" w:rsidRDefault="0081115D">
      <w:pPr>
        <w:pStyle w:val="a3"/>
        <w:spacing w:line="446" w:lineRule="auto"/>
        <w:ind w:left="840" w:right="1919" w:hanging="3"/>
      </w:pPr>
      <w:r>
        <w:t>呼救器置于水深为</w:t>
      </w:r>
      <w:r>
        <w:t xml:space="preserve"> 1.5m </w:t>
      </w:r>
      <w:r>
        <w:t>的容器内</w:t>
      </w:r>
      <w:r>
        <w:t xml:space="preserve"> 2h</w:t>
      </w:r>
      <w:r>
        <w:t>，应无水渗入呼救器内，呼救器应能正常工作。</w:t>
      </w:r>
      <w:r>
        <w:rPr>
          <w:b/>
        </w:rPr>
        <w:t xml:space="preserve">5.3.12 </w:t>
      </w:r>
      <w:r>
        <w:t>耐气候环境性能</w:t>
      </w:r>
      <w:r>
        <w:t xml:space="preserve"> </w:t>
      </w:r>
    </w:p>
    <w:p w14:paraId="66F9FE0C" w14:textId="77777777" w:rsidR="00A71EEF" w:rsidRDefault="0081115D">
      <w:pPr>
        <w:pStyle w:val="a3"/>
        <w:spacing w:line="446" w:lineRule="auto"/>
        <w:ind w:left="418" w:right="1505" w:firstLine="419"/>
      </w:pPr>
      <w:r>
        <w:rPr>
          <w:spacing w:val="-9"/>
        </w:rPr>
        <w:t>呼救器应经受表</w:t>
      </w:r>
      <w:r>
        <w:rPr>
          <w:spacing w:val="-9"/>
        </w:rPr>
        <w:t xml:space="preserve"> </w:t>
      </w:r>
      <w:r>
        <w:t>1</w:t>
      </w:r>
      <w:r>
        <w:rPr>
          <w:spacing w:val="-10"/>
        </w:rPr>
        <w:t xml:space="preserve"> </w:t>
      </w:r>
      <w:r>
        <w:rPr>
          <w:spacing w:val="-10"/>
        </w:rPr>
        <w:t>规定的各项气候环境试验，每项试验后应符合</w:t>
      </w:r>
      <w:r>
        <w:rPr>
          <w:spacing w:val="-10"/>
        </w:rPr>
        <w:t xml:space="preserve"> </w:t>
      </w:r>
      <w:r>
        <w:t>5.3.1</w:t>
      </w:r>
      <w:r>
        <w:t>～</w:t>
      </w:r>
      <w:r>
        <w:t>5.3.4</w:t>
      </w:r>
      <w:r>
        <w:rPr>
          <w:spacing w:val="-10"/>
        </w:rPr>
        <w:t xml:space="preserve"> </w:t>
      </w:r>
      <w:r>
        <w:rPr>
          <w:spacing w:val="-10"/>
        </w:rPr>
        <w:t>的要求，交变湿热后，还应满足</w:t>
      </w:r>
      <w:r>
        <w:rPr>
          <w:spacing w:val="-10"/>
        </w:rPr>
        <w:t xml:space="preserve"> </w:t>
      </w:r>
      <w:r>
        <w:t>5.3.10b)</w:t>
      </w:r>
      <w:r>
        <w:rPr>
          <w:spacing w:val="-3"/>
        </w:rPr>
        <w:t>的要求。</w:t>
      </w:r>
      <w:r>
        <w:t xml:space="preserve"> </w:t>
      </w:r>
    </w:p>
    <w:p w14:paraId="1F93FEC8" w14:textId="77777777" w:rsidR="00A71EEF" w:rsidRDefault="0081115D">
      <w:pPr>
        <w:pStyle w:val="a3"/>
        <w:spacing w:before="1"/>
        <w:rPr>
          <w:sz w:val="22"/>
        </w:rPr>
      </w:pPr>
      <w:r>
        <w:rPr>
          <w:noProof/>
        </w:rPr>
        <w:drawing>
          <wp:anchor distT="0" distB="0" distL="0" distR="0" simplePos="0" relativeHeight="251479552" behindDoc="0" locked="0" layoutInCell="1" allowOverlap="1" wp14:anchorId="2A667EBF" wp14:editId="391927B3">
            <wp:simplePos x="0" y="0"/>
            <wp:positionH relativeFrom="page">
              <wp:posOffset>1236980</wp:posOffset>
            </wp:positionH>
            <wp:positionV relativeFrom="paragraph">
              <wp:posOffset>204454</wp:posOffset>
            </wp:positionV>
            <wp:extent cx="5217072" cy="2475738"/>
            <wp:effectExtent l="0" t="0" r="0" b="0"/>
            <wp:wrapTopAndBottom/>
            <wp:docPr id="69"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52.jpeg"/>
                    <pic:cNvPicPr/>
                  </pic:nvPicPr>
                  <pic:blipFill>
                    <a:blip r:embed="rId48" cstate="print"/>
                    <a:stretch>
                      <a:fillRect/>
                    </a:stretch>
                  </pic:blipFill>
                  <pic:spPr>
                    <a:xfrm>
                      <a:off x="0" y="0"/>
                      <a:ext cx="5217072" cy="2475738"/>
                    </a:xfrm>
                    <a:prstGeom prst="rect">
                      <a:avLst/>
                    </a:prstGeom>
                  </pic:spPr>
                </pic:pic>
              </a:graphicData>
            </a:graphic>
          </wp:anchor>
        </w:drawing>
      </w:r>
    </w:p>
    <w:p w14:paraId="0BA21221" w14:textId="77777777" w:rsidR="00A71EEF" w:rsidRDefault="00A71EEF">
      <w:pPr>
        <w:pStyle w:val="a3"/>
        <w:rPr>
          <w:sz w:val="20"/>
        </w:rPr>
      </w:pPr>
    </w:p>
    <w:p w14:paraId="639E3CCD" w14:textId="77777777" w:rsidR="00A71EEF" w:rsidRDefault="00A71EEF">
      <w:pPr>
        <w:pStyle w:val="a3"/>
        <w:spacing w:before="7"/>
        <w:rPr>
          <w:sz w:val="27"/>
        </w:rPr>
      </w:pPr>
    </w:p>
    <w:p w14:paraId="488F62E2" w14:textId="77777777" w:rsidR="00A71EEF" w:rsidRDefault="0081115D">
      <w:pPr>
        <w:pStyle w:val="a4"/>
        <w:numPr>
          <w:ilvl w:val="2"/>
          <w:numId w:val="874"/>
        </w:numPr>
        <w:tabs>
          <w:tab w:val="left" w:pos="1478"/>
        </w:tabs>
        <w:spacing w:before="72"/>
        <w:ind w:hanging="638"/>
        <w:rPr>
          <w:sz w:val="21"/>
        </w:rPr>
      </w:pPr>
      <w:r>
        <w:rPr>
          <w:spacing w:val="-3"/>
          <w:sz w:val="21"/>
        </w:rPr>
        <w:t>耐机械环境性能</w:t>
      </w:r>
      <w:r>
        <w:rPr>
          <w:sz w:val="21"/>
        </w:rPr>
        <w:t xml:space="preserve"> </w:t>
      </w:r>
    </w:p>
    <w:p w14:paraId="3FD14CD9" w14:textId="77777777" w:rsidR="00A71EEF" w:rsidRDefault="00A71EEF">
      <w:pPr>
        <w:pStyle w:val="a3"/>
        <w:spacing w:before="12"/>
        <w:rPr>
          <w:sz w:val="17"/>
        </w:rPr>
      </w:pPr>
    </w:p>
    <w:p w14:paraId="5B7DE504" w14:textId="77777777" w:rsidR="00A71EEF" w:rsidRDefault="0081115D">
      <w:pPr>
        <w:pStyle w:val="a3"/>
        <w:spacing w:line="446" w:lineRule="auto"/>
        <w:ind w:left="838" w:right="3397"/>
      </w:pPr>
      <w:r>
        <w:rPr>
          <w:spacing w:val="-9"/>
        </w:rPr>
        <w:t>呼救器应经受表</w:t>
      </w:r>
      <w:r>
        <w:rPr>
          <w:spacing w:val="-9"/>
        </w:rPr>
        <w:t xml:space="preserve"> </w:t>
      </w:r>
      <w:r>
        <w:t>2</w:t>
      </w:r>
      <w:r>
        <w:rPr>
          <w:spacing w:val="-8"/>
        </w:rPr>
        <w:t xml:space="preserve"> </w:t>
      </w:r>
      <w:r>
        <w:rPr>
          <w:spacing w:val="-8"/>
        </w:rPr>
        <w:t>规定的各项机械环境试验，试验后应符合以下要求</w:t>
      </w:r>
      <w:r>
        <w:rPr>
          <w:spacing w:val="-8"/>
        </w:rPr>
        <w:t xml:space="preserve">: </w:t>
      </w:r>
      <w:r>
        <w:t>a)</w:t>
      </w:r>
      <w:r>
        <w:rPr>
          <w:spacing w:val="-3"/>
        </w:rPr>
        <w:t xml:space="preserve"> </w:t>
      </w:r>
      <w:r>
        <w:rPr>
          <w:spacing w:val="-3"/>
        </w:rPr>
        <w:t>不应有机械损伤和紧固部位松动现象；</w:t>
      </w:r>
      <w:r>
        <w:t xml:space="preserve"> </w:t>
      </w:r>
    </w:p>
    <w:p w14:paraId="07C7AF89" w14:textId="77777777" w:rsidR="00A71EEF" w:rsidRDefault="00A71EEF">
      <w:pPr>
        <w:spacing w:line="446" w:lineRule="auto"/>
        <w:sectPr w:rsidR="00A71EEF">
          <w:pgSz w:w="11910" w:h="16850"/>
          <w:pgMar w:top="1220" w:right="0" w:bottom="1420" w:left="1260" w:header="0" w:footer="1239" w:gutter="0"/>
          <w:cols w:space="720"/>
        </w:sectPr>
      </w:pPr>
    </w:p>
    <w:p w14:paraId="12A5CF86" w14:textId="77777777" w:rsidR="00A71EEF" w:rsidRDefault="0081115D">
      <w:pPr>
        <w:pStyle w:val="a3"/>
        <w:spacing w:before="20"/>
        <w:ind w:left="838"/>
      </w:pPr>
      <w:r>
        <w:lastRenderedPageBreak/>
        <w:t xml:space="preserve">b) </w:t>
      </w:r>
      <w:r>
        <w:t>应符合</w:t>
      </w:r>
      <w:r>
        <w:t xml:space="preserve"> 5.3.1</w:t>
      </w:r>
      <w:r>
        <w:rPr>
          <w:rFonts w:ascii="微软雅黑" w:eastAsia="微软雅黑" w:hint="eastAsia"/>
        </w:rPr>
        <w:t>〜</w:t>
      </w:r>
      <w:r>
        <w:t xml:space="preserve">5.3.4 </w:t>
      </w:r>
      <w:r>
        <w:t>的要求。</w:t>
      </w:r>
      <w:r>
        <w:t xml:space="preserve"> </w:t>
      </w:r>
    </w:p>
    <w:p w14:paraId="7E16F65B" w14:textId="77777777" w:rsidR="00A71EEF" w:rsidRDefault="0081115D">
      <w:pPr>
        <w:pStyle w:val="a3"/>
        <w:spacing w:before="11"/>
        <w:rPr>
          <w:sz w:val="19"/>
        </w:rPr>
      </w:pPr>
      <w:r>
        <w:rPr>
          <w:noProof/>
        </w:rPr>
        <w:drawing>
          <wp:anchor distT="0" distB="0" distL="0" distR="0" simplePos="0" relativeHeight="251480576" behindDoc="0" locked="0" layoutInCell="1" allowOverlap="1" wp14:anchorId="1514CE5A" wp14:editId="5A3D21BE">
            <wp:simplePos x="0" y="0"/>
            <wp:positionH relativeFrom="page">
              <wp:posOffset>1236980</wp:posOffset>
            </wp:positionH>
            <wp:positionV relativeFrom="paragraph">
              <wp:posOffset>186763</wp:posOffset>
            </wp:positionV>
            <wp:extent cx="4949533" cy="2910363"/>
            <wp:effectExtent l="0" t="0" r="0" b="0"/>
            <wp:wrapTopAndBottom/>
            <wp:docPr id="71"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53.jpeg"/>
                    <pic:cNvPicPr/>
                  </pic:nvPicPr>
                  <pic:blipFill>
                    <a:blip r:embed="rId49" cstate="print"/>
                    <a:stretch>
                      <a:fillRect/>
                    </a:stretch>
                  </pic:blipFill>
                  <pic:spPr>
                    <a:xfrm>
                      <a:off x="0" y="0"/>
                      <a:ext cx="4949533" cy="2910363"/>
                    </a:xfrm>
                    <a:prstGeom prst="rect">
                      <a:avLst/>
                    </a:prstGeom>
                  </pic:spPr>
                </pic:pic>
              </a:graphicData>
            </a:graphic>
          </wp:anchor>
        </w:drawing>
      </w:r>
    </w:p>
    <w:p w14:paraId="51F6077B" w14:textId="77777777" w:rsidR="00A71EEF" w:rsidRDefault="0081115D">
      <w:pPr>
        <w:pStyle w:val="a4"/>
        <w:numPr>
          <w:ilvl w:val="2"/>
          <w:numId w:val="874"/>
        </w:numPr>
        <w:tabs>
          <w:tab w:val="left" w:pos="1478"/>
        </w:tabs>
        <w:spacing w:before="139"/>
        <w:ind w:hanging="638"/>
        <w:rPr>
          <w:sz w:val="21"/>
        </w:rPr>
      </w:pPr>
      <w:r>
        <w:rPr>
          <w:spacing w:val="-3"/>
          <w:sz w:val="21"/>
        </w:rPr>
        <w:t>发射频率</w:t>
      </w:r>
      <w:r>
        <w:rPr>
          <w:sz w:val="21"/>
        </w:rPr>
        <w:t xml:space="preserve"> </w:t>
      </w:r>
    </w:p>
    <w:p w14:paraId="6689CE6D" w14:textId="77777777" w:rsidR="00A71EEF" w:rsidRDefault="00A71EEF">
      <w:pPr>
        <w:pStyle w:val="a3"/>
        <w:spacing w:before="2"/>
        <w:rPr>
          <w:sz w:val="18"/>
        </w:rPr>
      </w:pPr>
    </w:p>
    <w:p w14:paraId="4FC11625" w14:textId="77777777" w:rsidR="00A71EEF" w:rsidRDefault="0081115D">
      <w:pPr>
        <w:pStyle w:val="a3"/>
        <w:spacing w:line="446" w:lineRule="auto"/>
        <w:ind w:left="418" w:right="1609" w:firstLine="419"/>
      </w:pPr>
      <w:r>
        <w:t>通信型呼救器发射频率应符合国家无线电管理委员会指定的工作频段或频点及相关要求。发射频率误差不应大于</w:t>
      </w:r>
      <w:r>
        <w:t>±25kHz</w:t>
      </w:r>
      <w:r>
        <w:t>。</w:t>
      </w:r>
      <w:r>
        <w:t xml:space="preserve"> </w:t>
      </w:r>
    </w:p>
    <w:p w14:paraId="3D7B6E85" w14:textId="77777777" w:rsidR="00A71EEF" w:rsidRDefault="0081115D">
      <w:pPr>
        <w:pStyle w:val="a4"/>
        <w:numPr>
          <w:ilvl w:val="2"/>
          <w:numId w:val="874"/>
        </w:numPr>
        <w:tabs>
          <w:tab w:val="left" w:pos="1478"/>
        </w:tabs>
        <w:spacing w:line="267" w:lineRule="exact"/>
        <w:ind w:hanging="638"/>
        <w:rPr>
          <w:sz w:val="21"/>
        </w:rPr>
      </w:pPr>
      <w:r>
        <w:rPr>
          <w:spacing w:val="-3"/>
          <w:sz w:val="21"/>
        </w:rPr>
        <w:t>频率稳定度</w:t>
      </w:r>
      <w:r>
        <w:rPr>
          <w:spacing w:val="-3"/>
          <w:sz w:val="21"/>
        </w:rPr>
        <w:t xml:space="preserve"> </w:t>
      </w:r>
    </w:p>
    <w:p w14:paraId="434BBF6E" w14:textId="77777777" w:rsidR="00A71EEF" w:rsidRDefault="00A71EEF">
      <w:pPr>
        <w:pStyle w:val="a3"/>
        <w:spacing w:before="4"/>
        <w:rPr>
          <w:sz w:val="17"/>
        </w:rPr>
      </w:pPr>
    </w:p>
    <w:p w14:paraId="4BFBB401" w14:textId="77777777" w:rsidR="00A71EEF" w:rsidRDefault="0081115D">
      <w:pPr>
        <w:spacing w:line="446" w:lineRule="auto"/>
        <w:ind w:left="840" w:right="5331" w:hanging="3"/>
        <w:rPr>
          <w:sz w:val="21"/>
        </w:rPr>
      </w:pPr>
      <w:r>
        <w:rPr>
          <w:sz w:val="21"/>
        </w:rPr>
        <w:t>通信型呼救器频率稳定度应不大于士</w:t>
      </w:r>
      <w:r>
        <w:rPr>
          <w:sz w:val="21"/>
        </w:rPr>
        <w:t xml:space="preserve"> 2.5×10</w:t>
      </w:r>
      <w:r>
        <w:rPr>
          <w:position w:val="11"/>
          <w:sz w:val="11"/>
        </w:rPr>
        <w:t>-6</w:t>
      </w:r>
      <w:r>
        <w:rPr>
          <w:position w:val="11"/>
          <w:sz w:val="11"/>
        </w:rPr>
        <w:t>。</w:t>
      </w:r>
      <w:r>
        <w:rPr>
          <w:b/>
          <w:sz w:val="21"/>
        </w:rPr>
        <w:t xml:space="preserve">5.3.16 </w:t>
      </w:r>
      <w:r>
        <w:rPr>
          <w:sz w:val="21"/>
        </w:rPr>
        <w:t>接收灵敏度</w:t>
      </w:r>
      <w:r>
        <w:rPr>
          <w:sz w:val="21"/>
        </w:rPr>
        <w:t xml:space="preserve"> </w:t>
      </w:r>
    </w:p>
    <w:p w14:paraId="12356A6D" w14:textId="77777777" w:rsidR="00A71EEF" w:rsidRDefault="0081115D">
      <w:pPr>
        <w:pStyle w:val="a3"/>
        <w:spacing w:line="446" w:lineRule="auto"/>
        <w:ind w:left="840" w:right="4131" w:hanging="3"/>
      </w:pPr>
      <w:r>
        <w:rPr>
          <w:spacing w:val="-6"/>
        </w:rPr>
        <w:t>通信型呼救器接收灵敏度应不大于</w:t>
      </w:r>
      <w:r>
        <w:rPr>
          <w:spacing w:val="-6"/>
        </w:rPr>
        <w:t xml:space="preserve"> </w:t>
      </w:r>
      <w:r>
        <w:t>0.5µV</w:t>
      </w:r>
      <w:r>
        <w:rPr>
          <w:spacing w:val="-8"/>
        </w:rPr>
        <w:t xml:space="preserve"> (</w:t>
      </w:r>
      <w:r>
        <w:rPr>
          <w:spacing w:val="-8"/>
        </w:rPr>
        <w:t>信噪比为</w:t>
      </w:r>
      <w:r>
        <w:rPr>
          <w:spacing w:val="-8"/>
        </w:rPr>
        <w:t xml:space="preserve"> </w:t>
      </w:r>
      <w:r>
        <w:t>12dB</w:t>
      </w:r>
      <w:r>
        <w:rPr>
          <w:spacing w:val="-2"/>
        </w:rPr>
        <w:t>)</w:t>
      </w:r>
      <w:r>
        <w:rPr>
          <w:spacing w:val="-2"/>
        </w:rPr>
        <w:t>。</w:t>
      </w:r>
      <w:r>
        <w:rPr>
          <w:b/>
        </w:rPr>
        <w:t>5.3.17</w:t>
      </w:r>
      <w:r>
        <w:rPr>
          <w:b/>
          <w:spacing w:val="-1"/>
        </w:rPr>
        <w:t xml:space="preserve"> </w:t>
      </w:r>
      <w:r>
        <w:rPr>
          <w:spacing w:val="-3"/>
        </w:rPr>
        <w:t>通信距离</w:t>
      </w:r>
      <w:r>
        <w:t xml:space="preserve"> </w:t>
      </w:r>
    </w:p>
    <w:p w14:paraId="264085D5" w14:textId="77777777" w:rsidR="00A71EEF" w:rsidRDefault="0081115D">
      <w:pPr>
        <w:pStyle w:val="a3"/>
        <w:spacing w:line="446" w:lineRule="auto"/>
        <w:ind w:left="840" w:right="4501" w:hanging="3"/>
      </w:pPr>
      <w:r>
        <w:rPr>
          <w:spacing w:val="-5"/>
        </w:rPr>
        <w:t>通信型呼救器有效通信距离</w:t>
      </w:r>
      <w:r>
        <w:rPr>
          <w:spacing w:val="-5"/>
        </w:rPr>
        <w:t>(</w:t>
      </w:r>
      <w:r>
        <w:rPr>
          <w:spacing w:val="-5"/>
        </w:rPr>
        <w:t>空旷地带</w:t>
      </w:r>
      <w:r>
        <w:rPr>
          <w:spacing w:val="-5"/>
        </w:rPr>
        <w:t>)</w:t>
      </w:r>
      <w:r>
        <w:rPr>
          <w:spacing w:val="-5"/>
        </w:rPr>
        <w:t>应不小于</w:t>
      </w:r>
      <w:r>
        <w:rPr>
          <w:spacing w:val="-5"/>
        </w:rPr>
        <w:t xml:space="preserve"> </w:t>
      </w:r>
      <w:r>
        <w:t>800</w:t>
      </w:r>
      <w:r>
        <w:rPr>
          <w:spacing w:val="9"/>
        </w:rPr>
        <w:t xml:space="preserve"> </w:t>
      </w:r>
      <w:r>
        <w:t>m</w:t>
      </w:r>
      <w:r>
        <w:rPr>
          <w:spacing w:val="-3"/>
        </w:rPr>
        <w:t>。</w:t>
      </w:r>
      <w:r>
        <w:rPr>
          <w:b/>
        </w:rPr>
        <w:t>5.3.18</w:t>
      </w:r>
      <w:r>
        <w:rPr>
          <w:b/>
          <w:spacing w:val="-1"/>
        </w:rPr>
        <w:t xml:space="preserve"> </w:t>
      </w:r>
      <w:r>
        <w:rPr>
          <w:spacing w:val="-3"/>
        </w:rPr>
        <w:t>发光亮度</w:t>
      </w:r>
      <w:r>
        <w:t xml:space="preserve"> </w:t>
      </w:r>
    </w:p>
    <w:p w14:paraId="145AF2A1" w14:textId="77777777" w:rsidR="00A71EEF" w:rsidRDefault="0081115D">
      <w:pPr>
        <w:pStyle w:val="a3"/>
        <w:spacing w:line="446" w:lineRule="auto"/>
        <w:ind w:left="840" w:right="6076" w:hanging="3"/>
      </w:pPr>
      <w:r>
        <w:t>呼救器的发光亮度应不小于</w:t>
      </w:r>
      <w:r>
        <w:t xml:space="preserve"> 300cd/m²</w:t>
      </w:r>
      <w:r>
        <w:t>。</w:t>
      </w:r>
      <w:r>
        <w:rPr>
          <w:b/>
        </w:rPr>
        <w:t xml:space="preserve">5.3.19 </w:t>
      </w:r>
      <w:r>
        <w:t>模拟烟雾环境方位指示性能</w:t>
      </w:r>
      <w:r>
        <w:t xml:space="preserve"> </w:t>
      </w:r>
    </w:p>
    <w:p w14:paraId="001AD173" w14:textId="77777777" w:rsidR="00A71EEF" w:rsidRDefault="0081115D">
      <w:pPr>
        <w:pStyle w:val="a3"/>
        <w:spacing w:line="267" w:lineRule="exact"/>
        <w:ind w:left="838"/>
      </w:pPr>
      <w:r>
        <w:t>在浓烟环境中，应可指示呼救器方位。</w:t>
      </w:r>
      <w:r>
        <w:t xml:space="preserve"> </w:t>
      </w:r>
    </w:p>
    <w:p w14:paraId="1FE1DCC8" w14:textId="77777777" w:rsidR="00A71EEF" w:rsidRDefault="00A71EEF">
      <w:pPr>
        <w:pStyle w:val="a3"/>
        <w:spacing w:before="9"/>
        <w:rPr>
          <w:sz w:val="15"/>
        </w:rPr>
      </w:pPr>
    </w:p>
    <w:p w14:paraId="36DF9A62" w14:textId="77777777" w:rsidR="00A71EEF" w:rsidRDefault="0081115D">
      <w:pPr>
        <w:pStyle w:val="4"/>
      </w:pPr>
      <w:r>
        <w:t xml:space="preserve">6 </w:t>
      </w:r>
      <w:r>
        <w:t>试验方法</w:t>
      </w:r>
      <w:r>
        <w:rPr>
          <w:w w:val="99"/>
        </w:rPr>
        <w:t xml:space="preserve"> </w:t>
      </w:r>
    </w:p>
    <w:p w14:paraId="3B326C88" w14:textId="77777777" w:rsidR="00A71EEF" w:rsidRDefault="00A71EEF">
      <w:pPr>
        <w:pStyle w:val="a3"/>
        <w:spacing w:before="3"/>
        <w:rPr>
          <w:b/>
          <w:sz w:val="17"/>
        </w:rPr>
      </w:pPr>
    </w:p>
    <w:p w14:paraId="187A6976" w14:textId="77777777" w:rsidR="00A71EEF" w:rsidRDefault="0081115D">
      <w:pPr>
        <w:spacing w:before="1"/>
        <w:ind w:left="840"/>
        <w:rPr>
          <w:b/>
          <w:sz w:val="21"/>
        </w:rPr>
      </w:pPr>
      <w:r>
        <w:rPr>
          <w:b/>
          <w:sz w:val="21"/>
        </w:rPr>
        <w:t xml:space="preserve">6.1 </w:t>
      </w:r>
      <w:r>
        <w:rPr>
          <w:sz w:val="21"/>
        </w:rPr>
        <w:t>试验环境条件</w:t>
      </w:r>
      <w:r>
        <w:rPr>
          <w:b/>
          <w:w w:val="99"/>
          <w:sz w:val="21"/>
        </w:rPr>
        <w:t xml:space="preserve"> </w:t>
      </w:r>
    </w:p>
    <w:p w14:paraId="2B2C955B" w14:textId="77777777" w:rsidR="00A71EEF" w:rsidRDefault="00A71EEF">
      <w:pPr>
        <w:pStyle w:val="a3"/>
        <w:spacing w:before="12"/>
        <w:rPr>
          <w:b/>
          <w:sz w:val="17"/>
        </w:rPr>
      </w:pPr>
    </w:p>
    <w:p w14:paraId="686A9474" w14:textId="77777777" w:rsidR="00A71EEF" w:rsidRDefault="0081115D">
      <w:pPr>
        <w:pStyle w:val="a3"/>
        <w:spacing w:line="446" w:lineRule="auto"/>
        <w:ind w:left="838" w:right="3078"/>
      </w:pPr>
      <w:r>
        <w:t>若在有关条文中没有说明时，各项试验均应在下述正常大气条件下进行</w:t>
      </w:r>
      <w:r>
        <w:t xml:space="preserve">: a) </w:t>
      </w:r>
      <w:r>
        <w:t>温度为</w:t>
      </w:r>
      <w:r>
        <w:t xml:space="preserve"> 15℃~35℃</w:t>
      </w:r>
      <w:r>
        <w:t>；</w:t>
      </w:r>
      <w:r>
        <w:t xml:space="preserve"> </w:t>
      </w:r>
    </w:p>
    <w:p w14:paraId="5BCE2285" w14:textId="77777777" w:rsidR="00A71EEF" w:rsidRDefault="00A71EEF">
      <w:pPr>
        <w:spacing w:line="446" w:lineRule="auto"/>
        <w:sectPr w:rsidR="00A71EEF">
          <w:pgSz w:w="11910" w:h="16850"/>
          <w:pgMar w:top="1180" w:right="0" w:bottom="1420" w:left="1260" w:header="0" w:footer="1239" w:gutter="0"/>
          <w:cols w:space="720"/>
        </w:sectPr>
      </w:pPr>
    </w:p>
    <w:p w14:paraId="0E0F363D" w14:textId="77777777" w:rsidR="00A71EEF" w:rsidRDefault="0081115D">
      <w:pPr>
        <w:pStyle w:val="a3"/>
        <w:spacing w:before="20"/>
        <w:ind w:left="838"/>
      </w:pPr>
      <w:r>
        <w:lastRenderedPageBreak/>
        <w:t xml:space="preserve">b) </w:t>
      </w:r>
      <w:r>
        <w:t>相对湿度为</w:t>
      </w:r>
      <w:r>
        <w:t xml:space="preserve"> 45%</w:t>
      </w:r>
      <w:r>
        <w:rPr>
          <w:rFonts w:ascii="微软雅黑" w:eastAsia="微软雅黑" w:hint="eastAsia"/>
        </w:rPr>
        <w:t>〜</w:t>
      </w:r>
      <w:r>
        <w:t>75%</w:t>
      </w:r>
      <w:r>
        <w:t>；</w:t>
      </w:r>
      <w:r>
        <w:t xml:space="preserve"> </w:t>
      </w:r>
    </w:p>
    <w:p w14:paraId="78A0878A" w14:textId="77777777" w:rsidR="00A71EEF" w:rsidRDefault="0081115D">
      <w:pPr>
        <w:pStyle w:val="a3"/>
        <w:spacing w:before="180" w:line="446" w:lineRule="auto"/>
        <w:ind w:left="840" w:right="6707" w:hanging="3"/>
        <w:rPr>
          <w:b/>
        </w:rPr>
      </w:pPr>
      <w:r>
        <w:t xml:space="preserve">c) </w:t>
      </w:r>
      <w:r>
        <w:t>大气压力为</w:t>
      </w:r>
      <w:r>
        <w:t xml:space="preserve"> 86kPa~106kPa</w:t>
      </w:r>
      <w:r>
        <w:t>。</w:t>
      </w:r>
      <w:r>
        <w:rPr>
          <w:b/>
        </w:rPr>
        <w:t xml:space="preserve">6.2 </w:t>
      </w:r>
      <w:r>
        <w:t>试验用仪器</w:t>
      </w:r>
      <w:r>
        <w:rPr>
          <w:b/>
          <w:w w:val="99"/>
        </w:rPr>
        <w:t xml:space="preserve"> </w:t>
      </w:r>
    </w:p>
    <w:p w14:paraId="417CC0FA" w14:textId="77777777" w:rsidR="00A71EEF" w:rsidRDefault="0081115D">
      <w:pPr>
        <w:pStyle w:val="a3"/>
        <w:ind w:left="838"/>
      </w:pPr>
      <w:r>
        <w:t>试验用仪器包括：</w:t>
      </w:r>
      <w:r>
        <w:t xml:space="preserve"> </w:t>
      </w:r>
    </w:p>
    <w:p w14:paraId="6A041CCC" w14:textId="77777777" w:rsidR="00A71EEF" w:rsidRDefault="00A71EEF">
      <w:pPr>
        <w:pStyle w:val="a3"/>
        <w:spacing w:before="12"/>
        <w:rPr>
          <w:sz w:val="17"/>
        </w:rPr>
      </w:pPr>
    </w:p>
    <w:p w14:paraId="3AD1A01E" w14:textId="77777777" w:rsidR="00A71EEF" w:rsidRDefault="0081115D">
      <w:pPr>
        <w:pStyle w:val="a4"/>
        <w:numPr>
          <w:ilvl w:val="0"/>
          <w:numId w:val="873"/>
        </w:numPr>
        <w:tabs>
          <w:tab w:val="left" w:pos="1051"/>
        </w:tabs>
        <w:rPr>
          <w:sz w:val="21"/>
        </w:rPr>
      </w:pPr>
      <w:r>
        <w:rPr>
          <w:spacing w:val="-8"/>
          <w:sz w:val="21"/>
        </w:rPr>
        <w:t>计时秒表</w:t>
      </w:r>
      <w:r>
        <w:rPr>
          <w:spacing w:val="-8"/>
          <w:sz w:val="21"/>
        </w:rPr>
        <w:t>:</w:t>
      </w:r>
      <w:r>
        <w:rPr>
          <w:spacing w:val="-8"/>
          <w:sz w:val="21"/>
        </w:rPr>
        <w:t>精度不低于</w:t>
      </w:r>
      <w:r>
        <w:rPr>
          <w:spacing w:val="-8"/>
          <w:sz w:val="21"/>
        </w:rPr>
        <w:t xml:space="preserve"> </w:t>
      </w:r>
      <w:r>
        <w:rPr>
          <w:sz w:val="21"/>
        </w:rPr>
        <w:t>0.1s</w:t>
      </w:r>
      <w:r>
        <w:rPr>
          <w:sz w:val="21"/>
        </w:rPr>
        <w:t>；</w:t>
      </w:r>
      <w:r>
        <w:rPr>
          <w:sz w:val="21"/>
        </w:rPr>
        <w:t xml:space="preserve"> </w:t>
      </w:r>
    </w:p>
    <w:p w14:paraId="16F868DB" w14:textId="77777777" w:rsidR="00A71EEF" w:rsidRDefault="00A71EEF">
      <w:pPr>
        <w:pStyle w:val="a3"/>
        <w:spacing w:before="12"/>
        <w:rPr>
          <w:sz w:val="17"/>
        </w:rPr>
      </w:pPr>
    </w:p>
    <w:p w14:paraId="52DB57C0" w14:textId="77777777" w:rsidR="00A71EEF" w:rsidRDefault="0081115D">
      <w:pPr>
        <w:pStyle w:val="a4"/>
        <w:numPr>
          <w:ilvl w:val="0"/>
          <w:numId w:val="873"/>
        </w:numPr>
        <w:tabs>
          <w:tab w:val="left" w:pos="1051"/>
        </w:tabs>
        <w:rPr>
          <w:sz w:val="21"/>
        </w:rPr>
      </w:pPr>
      <w:r>
        <w:rPr>
          <w:spacing w:val="-8"/>
          <w:sz w:val="21"/>
        </w:rPr>
        <w:t>声级计</w:t>
      </w:r>
      <w:r>
        <w:rPr>
          <w:spacing w:val="-8"/>
          <w:sz w:val="21"/>
        </w:rPr>
        <w:t>:</w:t>
      </w:r>
      <w:r>
        <w:rPr>
          <w:spacing w:val="-8"/>
          <w:sz w:val="21"/>
        </w:rPr>
        <w:t>分辨率不低于</w:t>
      </w:r>
      <w:r>
        <w:rPr>
          <w:spacing w:val="-8"/>
          <w:sz w:val="21"/>
        </w:rPr>
        <w:t xml:space="preserve"> </w:t>
      </w:r>
      <w:r>
        <w:rPr>
          <w:sz w:val="21"/>
        </w:rPr>
        <w:t>1dB</w:t>
      </w:r>
      <w:r>
        <w:rPr>
          <w:sz w:val="21"/>
        </w:rPr>
        <w:t>；</w:t>
      </w:r>
      <w:r>
        <w:rPr>
          <w:sz w:val="21"/>
        </w:rPr>
        <w:t xml:space="preserve"> </w:t>
      </w:r>
    </w:p>
    <w:p w14:paraId="43C23173" w14:textId="77777777" w:rsidR="00A71EEF" w:rsidRDefault="00A71EEF">
      <w:pPr>
        <w:pStyle w:val="a3"/>
        <w:spacing w:before="2"/>
        <w:rPr>
          <w:sz w:val="18"/>
        </w:rPr>
      </w:pPr>
    </w:p>
    <w:p w14:paraId="0BEFD44F" w14:textId="77777777" w:rsidR="00A71EEF" w:rsidRDefault="0081115D">
      <w:pPr>
        <w:pStyle w:val="a4"/>
        <w:numPr>
          <w:ilvl w:val="0"/>
          <w:numId w:val="873"/>
        </w:numPr>
        <w:tabs>
          <w:tab w:val="left" w:pos="1051"/>
        </w:tabs>
        <w:rPr>
          <w:sz w:val="21"/>
        </w:rPr>
      </w:pPr>
      <w:r>
        <w:rPr>
          <w:spacing w:val="-8"/>
          <w:sz w:val="21"/>
        </w:rPr>
        <w:t>稳压电源</w:t>
      </w:r>
      <w:r>
        <w:rPr>
          <w:spacing w:val="-8"/>
          <w:sz w:val="21"/>
        </w:rPr>
        <w:t>:</w:t>
      </w:r>
      <w:r>
        <w:rPr>
          <w:spacing w:val="-8"/>
          <w:sz w:val="21"/>
        </w:rPr>
        <w:t>精度不低于</w:t>
      </w:r>
      <w:r>
        <w:rPr>
          <w:spacing w:val="-8"/>
          <w:sz w:val="21"/>
        </w:rPr>
        <w:t xml:space="preserve"> </w:t>
      </w:r>
      <w:r>
        <w:rPr>
          <w:sz w:val="21"/>
        </w:rPr>
        <w:t>1</w:t>
      </w:r>
      <w:r>
        <w:rPr>
          <w:b/>
          <w:sz w:val="21"/>
        </w:rPr>
        <w:t>%</w:t>
      </w:r>
      <w:r>
        <w:rPr>
          <w:sz w:val="21"/>
        </w:rPr>
        <w:t>；</w:t>
      </w:r>
      <w:r>
        <w:rPr>
          <w:sz w:val="21"/>
        </w:rPr>
        <w:t xml:space="preserve"> </w:t>
      </w:r>
    </w:p>
    <w:p w14:paraId="0AB091C6" w14:textId="77777777" w:rsidR="00A71EEF" w:rsidRDefault="00A71EEF">
      <w:pPr>
        <w:pStyle w:val="a3"/>
        <w:rPr>
          <w:sz w:val="18"/>
        </w:rPr>
      </w:pPr>
    </w:p>
    <w:p w14:paraId="32D51FD0" w14:textId="77777777" w:rsidR="00A71EEF" w:rsidRDefault="0081115D">
      <w:pPr>
        <w:pStyle w:val="a4"/>
        <w:numPr>
          <w:ilvl w:val="0"/>
          <w:numId w:val="873"/>
        </w:numPr>
        <w:tabs>
          <w:tab w:val="left" w:pos="1051"/>
        </w:tabs>
        <w:rPr>
          <w:sz w:val="21"/>
        </w:rPr>
      </w:pPr>
      <w:r>
        <w:rPr>
          <w:spacing w:val="-5"/>
          <w:sz w:val="21"/>
        </w:rPr>
        <w:t>摇动装置：可将呼救器固定在上面，能连续摇动一次的时间小于</w:t>
      </w:r>
      <w:r>
        <w:rPr>
          <w:spacing w:val="-5"/>
          <w:sz w:val="21"/>
        </w:rPr>
        <w:t xml:space="preserve"> </w:t>
      </w:r>
      <w:r>
        <w:rPr>
          <w:sz w:val="21"/>
        </w:rPr>
        <w:t>25s</w:t>
      </w:r>
      <w:r>
        <w:rPr>
          <w:sz w:val="21"/>
        </w:rPr>
        <w:t>；</w:t>
      </w:r>
      <w:r>
        <w:rPr>
          <w:sz w:val="21"/>
        </w:rPr>
        <w:t xml:space="preserve"> </w:t>
      </w:r>
    </w:p>
    <w:p w14:paraId="353241F5" w14:textId="77777777" w:rsidR="00A71EEF" w:rsidRDefault="00A71EEF">
      <w:pPr>
        <w:pStyle w:val="a3"/>
        <w:rPr>
          <w:sz w:val="18"/>
        </w:rPr>
      </w:pPr>
    </w:p>
    <w:p w14:paraId="64193436" w14:textId="77777777" w:rsidR="00A71EEF" w:rsidRDefault="0081115D">
      <w:pPr>
        <w:pStyle w:val="a4"/>
        <w:numPr>
          <w:ilvl w:val="0"/>
          <w:numId w:val="873"/>
        </w:numPr>
        <w:tabs>
          <w:tab w:val="left" w:pos="1051"/>
        </w:tabs>
        <w:rPr>
          <w:sz w:val="21"/>
        </w:rPr>
      </w:pPr>
      <w:r>
        <w:rPr>
          <w:spacing w:val="-5"/>
          <w:sz w:val="21"/>
        </w:rPr>
        <w:t>平面运动装置</w:t>
      </w:r>
      <w:r>
        <w:rPr>
          <w:spacing w:val="-5"/>
          <w:sz w:val="21"/>
        </w:rPr>
        <w:t>:</w:t>
      </w:r>
      <w:r>
        <w:rPr>
          <w:spacing w:val="-5"/>
          <w:sz w:val="21"/>
        </w:rPr>
        <w:t>可将呼救器固定在上面，能进行不小于</w:t>
      </w:r>
      <w:r>
        <w:rPr>
          <w:spacing w:val="-5"/>
          <w:sz w:val="21"/>
        </w:rPr>
        <w:t xml:space="preserve"> </w:t>
      </w:r>
      <w:r>
        <w:rPr>
          <w:sz w:val="21"/>
        </w:rPr>
        <w:t>5m/s</w:t>
      </w:r>
      <w:r>
        <w:rPr>
          <w:spacing w:val="-10"/>
          <w:sz w:val="21"/>
        </w:rPr>
        <w:t xml:space="preserve"> </w:t>
      </w:r>
      <w:r>
        <w:rPr>
          <w:spacing w:val="-10"/>
          <w:sz w:val="21"/>
        </w:rPr>
        <w:t>的匀速运动；</w:t>
      </w:r>
      <w:r>
        <w:rPr>
          <w:sz w:val="21"/>
        </w:rPr>
        <w:t xml:space="preserve"> </w:t>
      </w:r>
    </w:p>
    <w:p w14:paraId="35F4DE26" w14:textId="77777777" w:rsidR="00A71EEF" w:rsidRDefault="00A71EEF">
      <w:pPr>
        <w:pStyle w:val="a3"/>
        <w:spacing w:before="2"/>
        <w:rPr>
          <w:sz w:val="18"/>
        </w:rPr>
      </w:pPr>
    </w:p>
    <w:p w14:paraId="0DFB2C2D" w14:textId="77777777" w:rsidR="00A71EEF" w:rsidRDefault="0081115D">
      <w:pPr>
        <w:pStyle w:val="a4"/>
        <w:numPr>
          <w:ilvl w:val="0"/>
          <w:numId w:val="873"/>
        </w:numPr>
        <w:tabs>
          <w:tab w:val="left" w:pos="1051"/>
        </w:tabs>
        <w:rPr>
          <w:sz w:val="21"/>
        </w:rPr>
      </w:pPr>
      <w:r>
        <w:rPr>
          <w:spacing w:val="-3"/>
          <w:sz w:val="21"/>
        </w:rPr>
        <w:t>全频段无线电电磁波屏蔽房；</w:t>
      </w:r>
      <w:r>
        <w:rPr>
          <w:sz w:val="21"/>
        </w:rPr>
        <w:t xml:space="preserve"> </w:t>
      </w:r>
    </w:p>
    <w:p w14:paraId="77DA820D" w14:textId="77777777" w:rsidR="00A71EEF" w:rsidRDefault="00A71EEF">
      <w:pPr>
        <w:pStyle w:val="a3"/>
        <w:spacing w:before="12"/>
        <w:rPr>
          <w:sz w:val="17"/>
        </w:rPr>
      </w:pPr>
    </w:p>
    <w:p w14:paraId="14BC2669" w14:textId="77777777" w:rsidR="00A71EEF" w:rsidRDefault="0081115D">
      <w:pPr>
        <w:pStyle w:val="a4"/>
        <w:numPr>
          <w:ilvl w:val="0"/>
          <w:numId w:val="873"/>
        </w:numPr>
        <w:tabs>
          <w:tab w:val="left" w:pos="1051"/>
        </w:tabs>
        <w:rPr>
          <w:sz w:val="21"/>
        </w:rPr>
      </w:pPr>
      <w:r>
        <w:rPr>
          <w:spacing w:val="-3"/>
          <w:sz w:val="21"/>
        </w:rPr>
        <w:t>射频频率测量仪；</w:t>
      </w:r>
      <w:r>
        <w:rPr>
          <w:sz w:val="21"/>
        </w:rPr>
        <w:t xml:space="preserve"> </w:t>
      </w:r>
    </w:p>
    <w:p w14:paraId="111A3D06" w14:textId="77777777" w:rsidR="00A71EEF" w:rsidRDefault="00A71EEF">
      <w:pPr>
        <w:pStyle w:val="a3"/>
        <w:spacing w:before="12"/>
        <w:rPr>
          <w:sz w:val="17"/>
        </w:rPr>
      </w:pPr>
    </w:p>
    <w:p w14:paraId="36A3CF78" w14:textId="77777777" w:rsidR="00A71EEF" w:rsidRDefault="0081115D">
      <w:pPr>
        <w:pStyle w:val="a4"/>
        <w:numPr>
          <w:ilvl w:val="0"/>
          <w:numId w:val="873"/>
        </w:numPr>
        <w:tabs>
          <w:tab w:val="left" w:pos="1051"/>
        </w:tabs>
        <w:spacing w:line="446" w:lineRule="auto"/>
        <w:ind w:left="838" w:right="7494" w:firstLine="0"/>
        <w:rPr>
          <w:sz w:val="21"/>
        </w:rPr>
      </w:pPr>
      <w:r>
        <w:rPr>
          <w:sz w:val="21"/>
        </w:rPr>
        <w:t>高频信号发生器；</w:t>
      </w:r>
      <w:r>
        <w:rPr>
          <w:sz w:val="21"/>
        </w:rPr>
        <w:t xml:space="preserve"> i </w:t>
      </w:r>
      <w:r>
        <w:rPr>
          <w:spacing w:val="-3"/>
          <w:sz w:val="21"/>
        </w:rPr>
        <w:t xml:space="preserve">) </w:t>
      </w:r>
      <w:r>
        <w:rPr>
          <w:spacing w:val="-3"/>
          <w:sz w:val="21"/>
        </w:rPr>
        <w:t>音频信号测量仪；</w:t>
      </w:r>
      <w:r>
        <w:rPr>
          <w:sz w:val="21"/>
        </w:rPr>
        <w:t xml:space="preserve"> </w:t>
      </w:r>
    </w:p>
    <w:p w14:paraId="455B0297" w14:textId="77777777" w:rsidR="00A71EEF" w:rsidRDefault="0081115D">
      <w:pPr>
        <w:pStyle w:val="a3"/>
        <w:spacing w:before="1" w:line="446" w:lineRule="auto"/>
        <w:ind w:left="840" w:right="6813" w:hanging="3"/>
      </w:pPr>
      <w:r>
        <w:t xml:space="preserve">j ) </w:t>
      </w:r>
      <w:r>
        <w:t>亮度仪：精度不低于</w:t>
      </w:r>
      <w:r>
        <w:t xml:space="preserve"> 5%</w:t>
      </w:r>
      <w:r>
        <w:t>。</w:t>
      </w:r>
      <w:r>
        <w:rPr>
          <w:b/>
        </w:rPr>
        <w:t xml:space="preserve">6.3 </w:t>
      </w:r>
      <w:r>
        <w:t>报警功能试验</w:t>
      </w:r>
      <w:r>
        <w:t xml:space="preserve"> </w:t>
      </w:r>
    </w:p>
    <w:p w14:paraId="4F7F2615" w14:textId="77777777" w:rsidR="00A71EEF" w:rsidRDefault="0081115D">
      <w:pPr>
        <w:pStyle w:val="a3"/>
        <w:spacing w:line="446" w:lineRule="auto"/>
        <w:ind w:left="840" w:right="3817" w:hanging="3"/>
        <w:rPr>
          <w:b/>
        </w:rPr>
      </w:pPr>
      <w:r>
        <w:t>使呼救器分别处于自动及手动工作状态，检查呼救器报警功能。</w:t>
      </w:r>
      <w:r>
        <w:rPr>
          <w:b/>
        </w:rPr>
        <w:t xml:space="preserve">6.4 </w:t>
      </w:r>
      <w:r>
        <w:t>低电压告警功能试验</w:t>
      </w:r>
      <w:r>
        <w:rPr>
          <w:b/>
          <w:w w:val="99"/>
        </w:rPr>
        <w:t xml:space="preserve"> </w:t>
      </w:r>
    </w:p>
    <w:p w14:paraId="5BE4DB8E" w14:textId="77777777" w:rsidR="00A71EEF" w:rsidRDefault="0081115D">
      <w:pPr>
        <w:pStyle w:val="a3"/>
        <w:spacing w:line="446" w:lineRule="auto"/>
        <w:ind w:left="418" w:right="1609" w:firstLine="419"/>
      </w:pPr>
      <w:r>
        <w:t>将稳压电源接入呼救器供电回路，缓慢调节稳压电源电压值直至低于呼救器电池额定电压的</w:t>
      </w:r>
      <w:r>
        <w:t xml:space="preserve"> 80%</w:t>
      </w:r>
      <w:r>
        <w:t>时，检査呼救器低电压告警功能。</w:t>
      </w:r>
      <w:r>
        <w:t xml:space="preserve"> </w:t>
      </w:r>
    </w:p>
    <w:p w14:paraId="75C7ADF3" w14:textId="77777777" w:rsidR="00A71EEF" w:rsidRDefault="0081115D">
      <w:pPr>
        <w:pStyle w:val="a4"/>
        <w:numPr>
          <w:ilvl w:val="1"/>
          <w:numId w:val="872"/>
        </w:numPr>
        <w:tabs>
          <w:tab w:val="left" w:pos="1159"/>
        </w:tabs>
        <w:ind w:hanging="319"/>
        <w:rPr>
          <w:b/>
          <w:sz w:val="21"/>
        </w:rPr>
      </w:pPr>
      <w:r>
        <w:rPr>
          <w:spacing w:val="-3"/>
          <w:sz w:val="21"/>
        </w:rPr>
        <w:t>通信功能试验</w:t>
      </w:r>
      <w:r>
        <w:rPr>
          <w:b/>
          <w:w w:val="99"/>
          <w:sz w:val="21"/>
        </w:rPr>
        <w:t xml:space="preserve"> </w:t>
      </w:r>
    </w:p>
    <w:p w14:paraId="08693B8A" w14:textId="77777777" w:rsidR="00A71EEF" w:rsidRDefault="00A71EEF">
      <w:pPr>
        <w:pStyle w:val="a3"/>
        <w:spacing w:before="10"/>
        <w:rPr>
          <w:b/>
          <w:sz w:val="17"/>
        </w:rPr>
      </w:pPr>
    </w:p>
    <w:p w14:paraId="481DE524" w14:textId="77777777" w:rsidR="00A71EEF" w:rsidRDefault="0081115D">
      <w:pPr>
        <w:pStyle w:val="a3"/>
        <w:spacing w:line="446" w:lineRule="auto"/>
        <w:ind w:left="418" w:right="1817" w:firstLine="419"/>
      </w:pPr>
      <w:r>
        <w:t>使通信型呼救器处于报警状态，检査通信型呼救器发射功能。消除通信型呼救器报警状态，使其处于自动状态，接受终端发射信号，检査通信型呼救器接收功能。</w:t>
      </w:r>
      <w:r>
        <w:t xml:space="preserve"> </w:t>
      </w:r>
    </w:p>
    <w:p w14:paraId="3DEC5EE9" w14:textId="77777777" w:rsidR="00A71EEF" w:rsidRDefault="0081115D">
      <w:pPr>
        <w:pStyle w:val="a4"/>
        <w:numPr>
          <w:ilvl w:val="1"/>
          <w:numId w:val="872"/>
        </w:numPr>
        <w:tabs>
          <w:tab w:val="left" w:pos="1160"/>
        </w:tabs>
        <w:ind w:left="1159" w:hanging="320"/>
        <w:rPr>
          <w:b/>
          <w:sz w:val="21"/>
        </w:rPr>
      </w:pPr>
      <w:r>
        <w:rPr>
          <w:spacing w:val="-3"/>
          <w:sz w:val="21"/>
        </w:rPr>
        <w:t>转换开关检查</w:t>
      </w:r>
      <w:r>
        <w:rPr>
          <w:b/>
          <w:w w:val="99"/>
          <w:sz w:val="21"/>
        </w:rPr>
        <w:t xml:space="preserve"> </w:t>
      </w:r>
    </w:p>
    <w:p w14:paraId="3001D967" w14:textId="77777777" w:rsidR="00A71EEF" w:rsidRDefault="00A71EEF">
      <w:pPr>
        <w:pStyle w:val="a3"/>
        <w:spacing w:before="12"/>
        <w:rPr>
          <w:b/>
          <w:sz w:val="17"/>
        </w:rPr>
      </w:pPr>
    </w:p>
    <w:p w14:paraId="51FE0634" w14:textId="77777777" w:rsidR="00A71EEF" w:rsidRDefault="0081115D">
      <w:pPr>
        <w:pStyle w:val="a3"/>
        <w:spacing w:line="446" w:lineRule="auto"/>
        <w:ind w:left="840" w:right="6129" w:hanging="3"/>
      </w:pPr>
      <w:r>
        <w:t>检査并操作转换开关，检査转换功能。</w:t>
      </w:r>
      <w:r>
        <w:rPr>
          <w:b/>
        </w:rPr>
        <w:t xml:space="preserve">6.7 </w:t>
      </w:r>
      <w:r>
        <w:t>允许静止时间试验</w:t>
      </w:r>
      <w:r>
        <w:t xml:space="preserve"> </w:t>
      </w:r>
    </w:p>
    <w:p w14:paraId="1940E52A" w14:textId="77777777" w:rsidR="00A71EEF" w:rsidRDefault="0081115D">
      <w:pPr>
        <w:pStyle w:val="a3"/>
        <w:spacing w:line="446" w:lineRule="auto"/>
        <w:ind w:left="418" w:right="1609" w:firstLine="419"/>
      </w:pPr>
      <w:r>
        <w:t>呼救器处于静止状态，将开关置于</w:t>
      </w:r>
      <w:r>
        <w:t>“</w:t>
      </w:r>
      <w:r>
        <w:t>自动</w:t>
      </w:r>
      <w:r>
        <w:t>”</w:t>
      </w:r>
      <w:r>
        <w:t>位置，同时启动秒表计时，至开始预报警，停止计时，记录秒表的测量值。</w:t>
      </w:r>
      <w:r>
        <w:t xml:space="preserve"> </w:t>
      </w:r>
    </w:p>
    <w:p w14:paraId="69A441CA" w14:textId="77777777" w:rsidR="00A71EEF" w:rsidRDefault="0081115D">
      <w:pPr>
        <w:pStyle w:val="a4"/>
        <w:numPr>
          <w:ilvl w:val="1"/>
          <w:numId w:val="871"/>
        </w:numPr>
        <w:tabs>
          <w:tab w:val="left" w:pos="1160"/>
        </w:tabs>
        <w:rPr>
          <w:sz w:val="21"/>
        </w:rPr>
      </w:pPr>
      <w:r>
        <w:rPr>
          <w:spacing w:val="-3"/>
          <w:sz w:val="21"/>
        </w:rPr>
        <w:t>预报警时间试验</w:t>
      </w:r>
      <w:r>
        <w:rPr>
          <w:sz w:val="21"/>
        </w:rPr>
        <w:t xml:space="preserve"> </w:t>
      </w:r>
    </w:p>
    <w:p w14:paraId="5D7CD1CD" w14:textId="77777777" w:rsidR="00A71EEF" w:rsidRDefault="00A71EEF">
      <w:pPr>
        <w:rPr>
          <w:sz w:val="21"/>
        </w:rPr>
        <w:sectPr w:rsidR="00A71EEF">
          <w:pgSz w:w="11910" w:h="16850"/>
          <w:pgMar w:top="1180" w:right="0" w:bottom="1420" w:left="1260" w:header="0" w:footer="1239" w:gutter="0"/>
          <w:cols w:space="720"/>
        </w:sectPr>
      </w:pPr>
    </w:p>
    <w:p w14:paraId="18898323" w14:textId="77777777" w:rsidR="00A71EEF" w:rsidRDefault="0081115D">
      <w:pPr>
        <w:pStyle w:val="a3"/>
        <w:spacing w:before="47" w:line="446" w:lineRule="auto"/>
        <w:ind w:left="418" w:right="1505" w:firstLine="419"/>
      </w:pPr>
      <w:r>
        <w:lastRenderedPageBreak/>
        <w:t>呼救器处于静止状态，将开关置于</w:t>
      </w:r>
      <w:r>
        <w:t>“</w:t>
      </w:r>
      <w:r>
        <w:t>自动</w:t>
      </w:r>
      <w:r>
        <w:t>"</w:t>
      </w:r>
      <w:r>
        <w:t>位置，当开始预报瞀时，启动秒表计时，至开始报警，停止计时，记录秒表的测量值。</w:t>
      </w:r>
      <w:r>
        <w:t xml:space="preserve"> </w:t>
      </w:r>
    </w:p>
    <w:p w14:paraId="6E788B23" w14:textId="77777777" w:rsidR="00A71EEF" w:rsidRDefault="0081115D">
      <w:pPr>
        <w:pStyle w:val="a4"/>
        <w:numPr>
          <w:ilvl w:val="1"/>
          <w:numId w:val="871"/>
        </w:numPr>
        <w:tabs>
          <w:tab w:val="left" w:pos="1159"/>
        </w:tabs>
        <w:spacing w:line="267" w:lineRule="exact"/>
        <w:ind w:left="1158" w:hanging="319"/>
        <w:rPr>
          <w:sz w:val="21"/>
        </w:rPr>
      </w:pPr>
      <w:r>
        <w:rPr>
          <w:spacing w:val="-3"/>
          <w:sz w:val="21"/>
        </w:rPr>
        <w:t>预报警声级强度试验</w:t>
      </w:r>
      <w:r>
        <w:rPr>
          <w:sz w:val="21"/>
        </w:rPr>
        <w:t xml:space="preserve"> </w:t>
      </w:r>
    </w:p>
    <w:p w14:paraId="217EAB1D" w14:textId="77777777" w:rsidR="00A71EEF" w:rsidRDefault="00A71EEF">
      <w:pPr>
        <w:pStyle w:val="a3"/>
        <w:spacing w:before="2"/>
        <w:rPr>
          <w:sz w:val="18"/>
        </w:rPr>
      </w:pPr>
    </w:p>
    <w:p w14:paraId="13773282" w14:textId="77777777" w:rsidR="00A71EEF" w:rsidRDefault="0081115D">
      <w:pPr>
        <w:pStyle w:val="a3"/>
        <w:spacing w:line="446" w:lineRule="auto"/>
        <w:ind w:left="418" w:right="1611" w:firstLine="419"/>
      </w:pPr>
      <w:r>
        <w:rPr>
          <w:spacing w:val="-8"/>
        </w:rPr>
        <w:t>在环境噪声不大于</w:t>
      </w:r>
      <w:r>
        <w:rPr>
          <w:spacing w:val="-8"/>
        </w:rPr>
        <w:t xml:space="preserve"> </w:t>
      </w:r>
      <w:r>
        <w:t>30dB</w:t>
      </w:r>
      <w:r>
        <w:rPr>
          <w:spacing w:val="-10"/>
        </w:rPr>
        <w:t xml:space="preserve"> </w:t>
      </w:r>
      <w:r>
        <w:rPr>
          <w:spacing w:val="-10"/>
        </w:rPr>
        <w:t>的条件下，使呼救器产生预报警，在距呼救器中心水平方向</w:t>
      </w:r>
      <w:r>
        <w:rPr>
          <w:spacing w:val="-10"/>
        </w:rPr>
        <w:t xml:space="preserve"> </w:t>
      </w:r>
      <w:r>
        <w:t>1m</w:t>
      </w:r>
      <w:r>
        <w:rPr>
          <w:spacing w:val="-23"/>
        </w:rPr>
        <w:t xml:space="preserve"> </w:t>
      </w:r>
      <w:r>
        <w:rPr>
          <w:spacing w:val="-23"/>
        </w:rPr>
        <w:t>远</w:t>
      </w:r>
      <w:r>
        <w:rPr>
          <w:spacing w:val="-8"/>
        </w:rPr>
        <w:t>处正对呼救器用声级计测量，测得的最大声级强度即为预报警声级强度。</w:t>
      </w:r>
      <w:r>
        <w:t xml:space="preserve"> </w:t>
      </w:r>
    </w:p>
    <w:p w14:paraId="5ED956D4" w14:textId="77777777" w:rsidR="00A71EEF" w:rsidRDefault="0081115D">
      <w:pPr>
        <w:pStyle w:val="a4"/>
        <w:numPr>
          <w:ilvl w:val="1"/>
          <w:numId w:val="871"/>
        </w:numPr>
        <w:tabs>
          <w:tab w:val="left" w:pos="1264"/>
        </w:tabs>
        <w:spacing w:line="267" w:lineRule="exact"/>
        <w:ind w:left="1263" w:hanging="424"/>
        <w:rPr>
          <w:b/>
          <w:sz w:val="21"/>
        </w:rPr>
      </w:pPr>
      <w:r>
        <w:rPr>
          <w:spacing w:val="-3"/>
          <w:sz w:val="21"/>
        </w:rPr>
        <w:t>报警声级强度试验</w:t>
      </w:r>
      <w:r>
        <w:rPr>
          <w:b/>
          <w:w w:val="99"/>
          <w:sz w:val="21"/>
        </w:rPr>
        <w:t xml:space="preserve"> </w:t>
      </w:r>
    </w:p>
    <w:p w14:paraId="52E4E64B" w14:textId="77777777" w:rsidR="00A71EEF" w:rsidRDefault="00A71EEF">
      <w:pPr>
        <w:pStyle w:val="a3"/>
        <w:spacing w:before="2"/>
        <w:rPr>
          <w:b/>
          <w:sz w:val="18"/>
        </w:rPr>
      </w:pPr>
    </w:p>
    <w:p w14:paraId="3263BEF0" w14:textId="77777777" w:rsidR="00A71EEF" w:rsidRDefault="0081115D">
      <w:pPr>
        <w:pStyle w:val="a3"/>
        <w:spacing w:line="446" w:lineRule="auto"/>
        <w:ind w:left="418" w:right="1613" w:firstLine="419"/>
      </w:pPr>
      <w:r>
        <w:rPr>
          <w:spacing w:val="-8"/>
        </w:rPr>
        <w:t>在环境噪声不大于</w:t>
      </w:r>
      <w:r>
        <w:rPr>
          <w:spacing w:val="-8"/>
        </w:rPr>
        <w:t xml:space="preserve"> </w:t>
      </w:r>
      <w:r>
        <w:t>30dB</w:t>
      </w:r>
      <w:r>
        <w:rPr>
          <w:spacing w:val="-10"/>
        </w:rPr>
        <w:t xml:space="preserve"> </w:t>
      </w:r>
      <w:r>
        <w:rPr>
          <w:spacing w:val="-10"/>
        </w:rPr>
        <w:t>的条件下，便呼救器产生报警，在距呼救器中心水平方向</w:t>
      </w:r>
      <w:r>
        <w:rPr>
          <w:spacing w:val="-10"/>
        </w:rPr>
        <w:t xml:space="preserve"> </w:t>
      </w:r>
      <w:r>
        <w:t>3m</w:t>
      </w:r>
      <w:r>
        <w:rPr>
          <w:spacing w:val="-17"/>
        </w:rPr>
        <w:t xml:space="preserve"> </w:t>
      </w:r>
      <w:r>
        <w:rPr>
          <w:spacing w:val="-17"/>
        </w:rPr>
        <w:t>远处</w:t>
      </w:r>
      <w:r>
        <w:rPr>
          <w:spacing w:val="-3"/>
        </w:rPr>
        <w:t>正对呼救器用声级计测量，测得的最大声级强度即为报警声级强度。</w:t>
      </w:r>
      <w:r>
        <w:t xml:space="preserve"> </w:t>
      </w:r>
    </w:p>
    <w:p w14:paraId="37A0C20C" w14:textId="77777777" w:rsidR="00A71EEF" w:rsidRDefault="0081115D">
      <w:pPr>
        <w:pStyle w:val="a4"/>
        <w:numPr>
          <w:ilvl w:val="1"/>
          <w:numId w:val="871"/>
        </w:numPr>
        <w:tabs>
          <w:tab w:val="left" w:pos="1266"/>
        </w:tabs>
        <w:spacing w:line="267" w:lineRule="exact"/>
        <w:ind w:left="1265" w:hanging="426"/>
        <w:rPr>
          <w:sz w:val="21"/>
        </w:rPr>
      </w:pPr>
      <w:r>
        <w:rPr>
          <w:spacing w:val="-3"/>
          <w:sz w:val="21"/>
        </w:rPr>
        <w:t>低电压告警声级强度试验</w:t>
      </w:r>
      <w:r>
        <w:rPr>
          <w:sz w:val="21"/>
        </w:rPr>
        <w:t xml:space="preserve"> </w:t>
      </w:r>
    </w:p>
    <w:p w14:paraId="2D411D6D" w14:textId="77777777" w:rsidR="00A71EEF" w:rsidRDefault="00A71EEF">
      <w:pPr>
        <w:pStyle w:val="a3"/>
        <w:spacing w:before="2"/>
        <w:rPr>
          <w:sz w:val="18"/>
        </w:rPr>
      </w:pPr>
    </w:p>
    <w:p w14:paraId="3612BAFC" w14:textId="77777777" w:rsidR="00A71EEF" w:rsidRDefault="0081115D">
      <w:pPr>
        <w:pStyle w:val="a3"/>
        <w:ind w:left="838"/>
      </w:pPr>
      <w:r>
        <w:t>在环境噪声不大于</w:t>
      </w:r>
      <w:r>
        <w:t xml:space="preserve"> 30dB </w:t>
      </w:r>
      <w:r>
        <w:t>的条件下，使呼救器处于低电压犾态，在距呼救器中心水平方向</w:t>
      </w:r>
      <w:r>
        <w:t xml:space="preserve"> 1m</w:t>
      </w:r>
    </w:p>
    <w:p w14:paraId="079C2DF7" w14:textId="77777777" w:rsidR="00A71EEF" w:rsidRDefault="00A71EEF">
      <w:pPr>
        <w:pStyle w:val="a3"/>
        <w:spacing w:before="12"/>
        <w:rPr>
          <w:sz w:val="17"/>
        </w:rPr>
      </w:pPr>
    </w:p>
    <w:p w14:paraId="0D9C1D19" w14:textId="77777777" w:rsidR="00A71EEF" w:rsidRDefault="0081115D">
      <w:pPr>
        <w:pStyle w:val="a3"/>
        <w:spacing w:line="446" w:lineRule="auto"/>
        <w:ind w:left="840" w:right="2765" w:hanging="423"/>
        <w:rPr>
          <w:b/>
        </w:rPr>
      </w:pPr>
      <w:r>
        <w:t>远处正对呼救器用声级计测量，测得的最大声级强度即为低电压吿警声级强度。</w:t>
      </w:r>
      <w:r>
        <w:rPr>
          <w:b/>
        </w:rPr>
        <w:t xml:space="preserve">6.12 </w:t>
      </w:r>
      <w:r>
        <w:t>连续开机时间试验</w:t>
      </w:r>
      <w:r>
        <w:rPr>
          <w:b/>
          <w:w w:val="99"/>
        </w:rPr>
        <w:t xml:space="preserve"> </w:t>
      </w:r>
    </w:p>
    <w:p w14:paraId="3914FCAF" w14:textId="77777777" w:rsidR="00A71EEF" w:rsidRDefault="0081115D">
      <w:pPr>
        <w:pStyle w:val="a3"/>
        <w:spacing w:line="446" w:lineRule="auto"/>
        <w:ind w:left="418" w:right="1503" w:firstLine="419"/>
      </w:pPr>
      <w:r>
        <w:t>将呼救器置于摇动装置或平面运动装置上，开关置于</w:t>
      </w:r>
      <w:r>
        <w:t>“</w:t>
      </w:r>
      <w:r>
        <w:t>自动</w:t>
      </w:r>
      <w:r>
        <w:t>”</w:t>
      </w:r>
      <w:r>
        <w:t>位置，开始计时</w:t>
      </w:r>
      <w:r>
        <w:t>,</w:t>
      </w:r>
      <w:r>
        <w:t>至呼救器发出低电压告警信号，停止计时，记录其测量值。</w:t>
      </w:r>
      <w:r>
        <w:t xml:space="preserve"> </w:t>
      </w:r>
    </w:p>
    <w:p w14:paraId="752E8CAE" w14:textId="77777777" w:rsidR="00A71EEF" w:rsidRDefault="0081115D">
      <w:pPr>
        <w:pStyle w:val="a4"/>
        <w:numPr>
          <w:ilvl w:val="1"/>
          <w:numId w:val="870"/>
        </w:numPr>
        <w:tabs>
          <w:tab w:val="left" w:pos="1264"/>
        </w:tabs>
        <w:spacing w:line="267" w:lineRule="exact"/>
        <w:rPr>
          <w:sz w:val="21"/>
        </w:rPr>
      </w:pPr>
      <w:r>
        <w:rPr>
          <w:spacing w:val="-3"/>
          <w:sz w:val="21"/>
        </w:rPr>
        <w:t>连续报警时间试验</w:t>
      </w:r>
      <w:r>
        <w:rPr>
          <w:sz w:val="21"/>
        </w:rPr>
        <w:t xml:space="preserve"> </w:t>
      </w:r>
    </w:p>
    <w:p w14:paraId="15D7D784" w14:textId="77777777" w:rsidR="00A71EEF" w:rsidRDefault="00A71EEF">
      <w:pPr>
        <w:pStyle w:val="a3"/>
        <w:spacing w:before="2"/>
        <w:rPr>
          <w:sz w:val="18"/>
        </w:rPr>
      </w:pPr>
    </w:p>
    <w:p w14:paraId="14739070" w14:textId="77777777" w:rsidR="00A71EEF" w:rsidRDefault="0081115D">
      <w:pPr>
        <w:pStyle w:val="a3"/>
        <w:spacing w:line="446" w:lineRule="auto"/>
        <w:ind w:left="418" w:right="1505" w:firstLine="419"/>
      </w:pPr>
      <w:r>
        <w:rPr>
          <w:spacing w:val="-4"/>
        </w:rPr>
        <w:t>将呼救器开关置于</w:t>
      </w:r>
      <w:r>
        <w:rPr>
          <w:spacing w:val="-4"/>
        </w:rPr>
        <w:t>“</w:t>
      </w:r>
      <w:r>
        <w:rPr>
          <w:spacing w:val="-4"/>
        </w:rPr>
        <w:t>手动</w:t>
      </w:r>
      <w:r>
        <w:rPr>
          <w:spacing w:val="-4"/>
        </w:rPr>
        <w:t>”</w:t>
      </w:r>
      <w:r>
        <w:rPr>
          <w:spacing w:val="-4"/>
        </w:rPr>
        <w:t>位置，开始计时，并在距呼救器中心水平方向</w:t>
      </w:r>
      <w:r>
        <w:rPr>
          <w:spacing w:val="-4"/>
        </w:rPr>
        <w:t xml:space="preserve"> </w:t>
      </w:r>
      <w:r>
        <w:t>3m</w:t>
      </w:r>
      <w:r>
        <w:rPr>
          <w:spacing w:val="-7"/>
        </w:rPr>
        <w:t xml:space="preserve"> </w:t>
      </w:r>
      <w:r>
        <w:rPr>
          <w:spacing w:val="-7"/>
        </w:rPr>
        <w:t>远处正对呼救</w:t>
      </w:r>
      <w:r>
        <w:rPr>
          <w:spacing w:val="-8"/>
        </w:rPr>
        <w:t>器用声级计测量报警声级强度至报警声级强度低于</w:t>
      </w:r>
      <w:r>
        <w:rPr>
          <w:spacing w:val="-8"/>
        </w:rPr>
        <w:t xml:space="preserve"> </w:t>
      </w:r>
      <w:r>
        <w:t>100dB</w:t>
      </w:r>
      <w:r>
        <w:rPr>
          <w:spacing w:val="-9"/>
        </w:rPr>
        <w:t xml:space="preserve"> </w:t>
      </w:r>
      <w:r>
        <w:rPr>
          <w:spacing w:val="-9"/>
        </w:rPr>
        <w:t>时，停止计时，记录其测量值。</w:t>
      </w:r>
      <w:r>
        <w:t xml:space="preserve"> </w:t>
      </w:r>
    </w:p>
    <w:p w14:paraId="3078D5FB" w14:textId="77777777" w:rsidR="00A71EEF" w:rsidRDefault="0081115D">
      <w:pPr>
        <w:pStyle w:val="a4"/>
        <w:numPr>
          <w:ilvl w:val="1"/>
          <w:numId w:val="870"/>
        </w:numPr>
        <w:tabs>
          <w:tab w:val="left" w:pos="1264"/>
        </w:tabs>
        <w:spacing w:line="267" w:lineRule="exact"/>
        <w:rPr>
          <w:b/>
          <w:sz w:val="21"/>
        </w:rPr>
      </w:pPr>
      <w:r>
        <w:rPr>
          <w:spacing w:val="-3"/>
          <w:sz w:val="21"/>
        </w:rPr>
        <w:t>质量试验</w:t>
      </w:r>
      <w:r>
        <w:rPr>
          <w:b/>
          <w:w w:val="99"/>
          <w:sz w:val="21"/>
        </w:rPr>
        <w:t xml:space="preserve"> </w:t>
      </w:r>
    </w:p>
    <w:p w14:paraId="26B5C7FD" w14:textId="77777777" w:rsidR="00A71EEF" w:rsidRDefault="00A71EEF">
      <w:pPr>
        <w:pStyle w:val="a3"/>
        <w:spacing w:before="2"/>
        <w:rPr>
          <w:b/>
          <w:sz w:val="18"/>
        </w:rPr>
      </w:pPr>
    </w:p>
    <w:p w14:paraId="26C60B87" w14:textId="77777777" w:rsidR="00A71EEF" w:rsidRDefault="0081115D">
      <w:pPr>
        <w:pStyle w:val="a3"/>
        <w:spacing w:line="446" w:lineRule="auto"/>
        <w:ind w:left="840" w:right="5185" w:hanging="3"/>
        <w:rPr>
          <w:b/>
        </w:rPr>
      </w:pPr>
      <w:r>
        <w:t>用精度不低于</w:t>
      </w:r>
      <w:r>
        <w:t xml:space="preserve"> 1g </w:t>
      </w:r>
      <w:r>
        <w:t>的通用衡器测定呼救器的质量。</w:t>
      </w:r>
      <w:r>
        <w:rPr>
          <w:b/>
        </w:rPr>
        <w:t xml:space="preserve">6.15 </w:t>
      </w:r>
      <w:r>
        <w:t>外观检査</w:t>
      </w:r>
      <w:r>
        <w:rPr>
          <w:b/>
          <w:w w:val="99"/>
        </w:rPr>
        <w:t xml:space="preserve"> </w:t>
      </w:r>
    </w:p>
    <w:p w14:paraId="16B512FC" w14:textId="77777777" w:rsidR="00A71EEF" w:rsidRDefault="0081115D">
      <w:pPr>
        <w:spacing w:line="446" w:lineRule="auto"/>
        <w:ind w:left="840" w:right="7909" w:hanging="3"/>
        <w:rPr>
          <w:sz w:val="21"/>
        </w:rPr>
      </w:pPr>
      <w:r>
        <w:rPr>
          <w:spacing w:val="-3"/>
          <w:sz w:val="21"/>
        </w:rPr>
        <w:t>目测呼救器外观。</w:t>
      </w:r>
      <w:r>
        <w:rPr>
          <w:b/>
          <w:sz w:val="21"/>
        </w:rPr>
        <w:t>6.16</w:t>
      </w:r>
      <w:r>
        <w:rPr>
          <w:b/>
          <w:spacing w:val="8"/>
          <w:sz w:val="21"/>
        </w:rPr>
        <w:t xml:space="preserve"> </w:t>
      </w:r>
      <w:r>
        <w:rPr>
          <w:spacing w:val="-3"/>
          <w:sz w:val="21"/>
        </w:rPr>
        <w:t>防爆性能试验</w:t>
      </w:r>
      <w:r>
        <w:rPr>
          <w:sz w:val="21"/>
        </w:rPr>
        <w:t xml:space="preserve"> </w:t>
      </w:r>
    </w:p>
    <w:p w14:paraId="3BA61853" w14:textId="77777777" w:rsidR="00A71EEF" w:rsidRDefault="0081115D">
      <w:pPr>
        <w:pStyle w:val="a3"/>
        <w:spacing w:line="446" w:lineRule="auto"/>
        <w:ind w:left="840" w:right="5079" w:hanging="3"/>
      </w:pPr>
      <w:r>
        <w:rPr>
          <w:spacing w:val="-8"/>
        </w:rPr>
        <w:t>呼救器的防爆性能试验按</w:t>
      </w:r>
      <w:r>
        <w:rPr>
          <w:spacing w:val="-8"/>
        </w:rPr>
        <w:t xml:space="preserve"> </w:t>
      </w:r>
      <w:r>
        <w:t>GB</w:t>
      </w:r>
      <w:r>
        <w:rPr>
          <w:spacing w:val="8"/>
        </w:rPr>
        <w:t xml:space="preserve"> </w:t>
      </w:r>
      <w:r>
        <w:t>3836.1</w:t>
      </w:r>
      <w:r>
        <w:rPr>
          <w:spacing w:val="-10"/>
        </w:rPr>
        <w:t xml:space="preserve"> </w:t>
      </w:r>
      <w:r>
        <w:rPr>
          <w:spacing w:val="-10"/>
        </w:rPr>
        <w:t>的规定进行。</w:t>
      </w:r>
      <w:r>
        <w:rPr>
          <w:b/>
        </w:rPr>
        <w:t xml:space="preserve">6.17 </w:t>
      </w:r>
      <w:r>
        <w:rPr>
          <w:spacing w:val="-3"/>
        </w:rPr>
        <w:t>绝缘性能试验</w:t>
      </w:r>
      <w:r>
        <w:t xml:space="preserve"> </w:t>
      </w:r>
    </w:p>
    <w:p w14:paraId="6E000CA1" w14:textId="77777777" w:rsidR="00A71EEF" w:rsidRDefault="0081115D">
      <w:pPr>
        <w:pStyle w:val="a3"/>
        <w:spacing w:line="446" w:lineRule="auto"/>
        <w:ind w:left="840" w:right="2662" w:hanging="3"/>
      </w:pPr>
      <w:r>
        <w:rPr>
          <w:spacing w:val="-9"/>
        </w:rPr>
        <w:t>用兆欧表测量在</w:t>
      </w:r>
      <w:r>
        <w:rPr>
          <w:spacing w:val="-9"/>
        </w:rPr>
        <w:t xml:space="preserve"> </w:t>
      </w:r>
      <w:r>
        <w:t>500V</w:t>
      </w:r>
      <w:r>
        <w:rPr>
          <w:spacing w:val="-8"/>
        </w:rPr>
        <w:t xml:space="preserve"> </w:t>
      </w:r>
      <w:r>
        <w:rPr>
          <w:spacing w:val="-8"/>
        </w:rPr>
        <w:t>直流电压下呼救器电池正负极与外壳之间的绝缘电阻。</w:t>
      </w:r>
      <w:r>
        <w:rPr>
          <w:b/>
        </w:rPr>
        <w:t>6.18</w:t>
      </w:r>
      <w:r>
        <w:rPr>
          <w:b/>
          <w:spacing w:val="1"/>
        </w:rPr>
        <w:t xml:space="preserve"> </w:t>
      </w:r>
      <w:r>
        <w:rPr>
          <w:spacing w:val="-3"/>
        </w:rPr>
        <w:t>防水性能试验</w:t>
      </w:r>
      <w:r>
        <w:t xml:space="preserve"> </w:t>
      </w:r>
    </w:p>
    <w:p w14:paraId="12F16C96" w14:textId="77777777" w:rsidR="00A71EEF" w:rsidRDefault="0081115D">
      <w:pPr>
        <w:pStyle w:val="a3"/>
        <w:spacing w:line="446" w:lineRule="auto"/>
        <w:ind w:left="418" w:right="1613" w:firstLine="419"/>
      </w:pPr>
      <w:r>
        <w:rPr>
          <w:spacing w:val="-6"/>
        </w:rPr>
        <w:t>呼救器不处于工作状态，将其至于水深为</w:t>
      </w:r>
      <w:r>
        <w:rPr>
          <w:spacing w:val="-6"/>
        </w:rPr>
        <w:t xml:space="preserve"> </w:t>
      </w:r>
      <w:r>
        <w:t>1.5m</w:t>
      </w:r>
      <w:r>
        <w:rPr>
          <w:spacing w:val="-11"/>
        </w:rPr>
        <w:t xml:space="preserve"> </w:t>
      </w:r>
      <w:r>
        <w:rPr>
          <w:spacing w:val="-11"/>
        </w:rPr>
        <w:t>的容器内，开始计时，当试验达到</w:t>
      </w:r>
      <w:r>
        <w:rPr>
          <w:spacing w:val="-11"/>
        </w:rPr>
        <w:t xml:space="preserve"> </w:t>
      </w:r>
      <w:r>
        <w:t>2h</w:t>
      </w:r>
      <w:r>
        <w:rPr>
          <w:spacing w:val="-17"/>
        </w:rPr>
        <w:t xml:space="preserve"> </w:t>
      </w:r>
      <w:r>
        <w:rPr>
          <w:spacing w:val="-17"/>
        </w:rPr>
        <w:t>后，</w:t>
      </w:r>
      <w:r>
        <w:rPr>
          <w:spacing w:val="-17"/>
        </w:rPr>
        <w:t xml:space="preserve"> </w:t>
      </w:r>
      <w:r>
        <w:rPr>
          <w:spacing w:val="-3"/>
        </w:rPr>
        <w:t>取出，擦干表面，打开呼救器检査。</w:t>
      </w:r>
      <w:r>
        <w:t xml:space="preserve"> </w:t>
      </w:r>
    </w:p>
    <w:p w14:paraId="52DF5FC7" w14:textId="77777777" w:rsidR="00A71EEF" w:rsidRDefault="00A71EEF">
      <w:pPr>
        <w:spacing w:line="446" w:lineRule="auto"/>
        <w:sectPr w:rsidR="00A71EEF">
          <w:pgSz w:w="11910" w:h="16850"/>
          <w:pgMar w:top="1220" w:right="0" w:bottom="1420" w:left="1260" w:header="0" w:footer="1239" w:gutter="0"/>
          <w:cols w:space="720"/>
        </w:sectPr>
      </w:pPr>
    </w:p>
    <w:p w14:paraId="5E6A325A" w14:textId="77777777" w:rsidR="00A71EEF" w:rsidRDefault="0081115D">
      <w:pPr>
        <w:spacing w:before="47"/>
        <w:ind w:left="840"/>
        <w:rPr>
          <w:sz w:val="21"/>
        </w:rPr>
      </w:pPr>
      <w:r>
        <w:rPr>
          <w:b/>
          <w:sz w:val="21"/>
        </w:rPr>
        <w:lastRenderedPageBreak/>
        <w:t>6.19</w:t>
      </w:r>
      <w:r>
        <w:rPr>
          <w:b/>
          <w:spacing w:val="5"/>
          <w:sz w:val="21"/>
        </w:rPr>
        <w:t xml:space="preserve"> </w:t>
      </w:r>
      <w:r>
        <w:rPr>
          <w:spacing w:val="-3"/>
          <w:sz w:val="21"/>
        </w:rPr>
        <w:t>高温试验</w:t>
      </w:r>
      <w:r>
        <w:rPr>
          <w:sz w:val="21"/>
        </w:rPr>
        <w:t xml:space="preserve"> </w:t>
      </w:r>
    </w:p>
    <w:p w14:paraId="2B1A9777" w14:textId="77777777" w:rsidR="00A71EEF" w:rsidRDefault="00A71EEF">
      <w:pPr>
        <w:pStyle w:val="a3"/>
        <w:rPr>
          <w:sz w:val="18"/>
        </w:rPr>
      </w:pPr>
    </w:p>
    <w:p w14:paraId="363171DE" w14:textId="77777777" w:rsidR="00A71EEF" w:rsidRDefault="0081115D">
      <w:pPr>
        <w:pStyle w:val="a3"/>
        <w:spacing w:line="446" w:lineRule="auto"/>
        <w:ind w:left="840" w:right="1822" w:hanging="3"/>
      </w:pPr>
      <w:r>
        <w:rPr>
          <w:spacing w:val="-7"/>
        </w:rPr>
        <w:t>将呼救器置于摇动装置上，按</w:t>
      </w:r>
      <w:r>
        <w:rPr>
          <w:spacing w:val="-7"/>
        </w:rPr>
        <w:t xml:space="preserve"> </w:t>
      </w:r>
      <w:r>
        <w:t>5.3.12</w:t>
      </w:r>
      <w:r>
        <w:rPr>
          <w:spacing w:val="-13"/>
        </w:rPr>
        <w:t xml:space="preserve"> </w:t>
      </w:r>
      <w:r>
        <w:rPr>
          <w:spacing w:val="-13"/>
        </w:rPr>
        <w:t>中髙温试验条件及</w:t>
      </w:r>
      <w:r>
        <w:rPr>
          <w:spacing w:val="-13"/>
        </w:rPr>
        <w:t xml:space="preserve"> </w:t>
      </w:r>
      <w:r>
        <w:t>GB/T</w:t>
      </w:r>
      <w:r>
        <w:rPr>
          <w:spacing w:val="5"/>
        </w:rPr>
        <w:t xml:space="preserve"> </w:t>
      </w:r>
      <w:r>
        <w:t>2423.2</w:t>
      </w:r>
      <w:r>
        <w:rPr>
          <w:spacing w:val="-9"/>
        </w:rPr>
        <w:t xml:space="preserve"> </w:t>
      </w:r>
      <w:r>
        <w:rPr>
          <w:spacing w:val="-9"/>
        </w:rPr>
        <w:t>规定进行试验。</w:t>
      </w:r>
      <w:r>
        <w:rPr>
          <w:b/>
        </w:rPr>
        <w:t>6.20</w:t>
      </w:r>
      <w:r>
        <w:rPr>
          <w:b/>
          <w:spacing w:val="-1"/>
        </w:rPr>
        <w:t xml:space="preserve"> </w:t>
      </w:r>
      <w:r>
        <w:rPr>
          <w:spacing w:val="-3"/>
        </w:rPr>
        <w:t>低温试验</w:t>
      </w:r>
      <w:r>
        <w:t xml:space="preserve"> </w:t>
      </w:r>
    </w:p>
    <w:p w14:paraId="21EA2FFC" w14:textId="77777777" w:rsidR="00A71EEF" w:rsidRDefault="0081115D">
      <w:pPr>
        <w:pStyle w:val="a3"/>
        <w:spacing w:line="446" w:lineRule="auto"/>
        <w:ind w:left="840" w:right="1822" w:hanging="3"/>
      </w:pPr>
      <w:r>
        <w:rPr>
          <w:spacing w:val="-7"/>
        </w:rPr>
        <w:t>将呼救器置于摇动装置上，按</w:t>
      </w:r>
      <w:r>
        <w:rPr>
          <w:spacing w:val="-7"/>
        </w:rPr>
        <w:t xml:space="preserve"> </w:t>
      </w:r>
      <w:r>
        <w:t>5.3.12</w:t>
      </w:r>
      <w:r>
        <w:rPr>
          <w:spacing w:val="-13"/>
        </w:rPr>
        <w:t xml:space="preserve"> </w:t>
      </w:r>
      <w:r>
        <w:rPr>
          <w:spacing w:val="-13"/>
        </w:rPr>
        <w:t>中低温试验条件及</w:t>
      </w:r>
      <w:r>
        <w:rPr>
          <w:spacing w:val="-13"/>
        </w:rPr>
        <w:t xml:space="preserve"> </w:t>
      </w:r>
      <w:r>
        <w:t>GB/T</w:t>
      </w:r>
      <w:r>
        <w:rPr>
          <w:spacing w:val="5"/>
        </w:rPr>
        <w:t xml:space="preserve"> </w:t>
      </w:r>
      <w:r>
        <w:t>2423.1</w:t>
      </w:r>
      <w:r>
        <w:rPr>
          <w:spacing w:val="-9"/>
        </w:rPr>
        <w:t xml:space="preserve"> </w:t>
      </w:r>
      <w:r>
        <w:rPr>
          <w:spacing w:val="-9"/>
        </w:rPr>
        <w:t>规定进行试验。</w:t>
      </w:r>
      <w:r>
        <w:rPr>
          <w:b/>
        </w:rPr>
        <w:t>6.21</w:t>
      </w:r>
      <w:r>
        <w:rPr>
          <w:b/>
          <w:spacing w:val="-1"/>
        </w:rPr>
        <w:t xml:space="preserve"> </w:t>
      </w:r>
      <w:r>
        <w:rPr>
          <w:spacing w:val="-3"/>
        </w:rPr>
        <w:t>交变湿热试验</w:t>
      </w:r>
      <w:r>
        <w:t xml:space="preserve"> </w:t>
      </w:r>
    </w:p>
    <w:p w14:paraId="303FA453" w14:textId="77777777" w:rsidR="00A71EEF" w:rsidRDefault="0081115D">
      <w:pPr>
        <w:pStyle w:val="a3"/>
        <w:spacing w:line="446" w:lineRule="auto"/>
        <w:ind w:left="840" w:right="1822" w:hanging="3"/>
      </w:pPr>
      <w:r>
        <w:rPr>
          <w:spacing w:val="-25"/>
        </w:rPr>
        <w:t>按</w:t>
      </w:r>
      <w:r>
        <w:rPr>
          <w:spacing w:val="-25"/>
        </w:rPr>
        <w:t xml:space="preserve"> </w:t>
      </w:r>
      <w:r>
        <w:t>5.3.12</w:t>
      </w:r>
      <w:r>
        <w:rPr>
          <w:spacing w:val="-13"/>
        </w:rPr>
        <w:t xml:space="preserve"> </w:t>
      </w:r>
      <w:r>
        <w:rPr>
          <w:spacing w:val="-13"/>
        </w:rPr>
        <w:t>中交变湿热试验条件及</w:t>
      </w:r>
      <w:r>
        <w:rPr>
          <w:spacing w:val="-13"/>
        </w:rPr>
        <w:t xml:space="preserve"> </w:t>
      </w:r>
      <w:r>
        <w:t>GB/T</w:t>
      </w:r>
      <w:r>
        <w:rPr>
          <w:spacing w:val="9"/>
        </w:rPr>
        <w:t xml:space="preserve"> </w:t>
      </w:r>
      <w:r>
        <w:t>2423.4</w:t>
      </w:r>
      <w:r>
        <w:rPr>
          <w:spacing w:val="-9"/>
        </w:rPr>
        <w:t xml:space="preserve"> </w:t>
      </w:r>
      <w:r>
        <w:rPr>
          <w:spacing w:val="-9"/>
        </w:rPr>
        <w:t>规定进行试验，试验后测试绝缘性能。</w:t>
      </w:r>
      <w:r>
        <w:rPr>
          <w:b/>
        </w:rPr>
        <w:t>6.22</w:t>
      </w:r>
      <w:r>
        <w:rPr>
          <w:b/>
          <w:spacing w:val="-1"/>
        </w:rPr>
        <w:t xml:space="preserve"> </w:t>
      </w:r>
      <w:r>
        <w:rPr>
          <w:spacing w:val="-3"/>
        </w:rPr>
        <w:t>高温贮存试验</w:t>
      </w:r>
      <w:r>
        <w:t xml:space="preserve"> </w:t>
      </w:r>
    </w:p>
    <w:p w14:paraId="148FCC76" w14:textId="77777777" w:rsidR="00A71EEF" w:rsidRDefault="0081115D">
      <w:pPr>
        <w:pStyle w:val="a3"/>
        <w:spacing w:line="446" w:lineRule="auto"/>
        <w:ind w:left="840" w:right="3923" w:hanging="3"/>
      </w:pPr>
      <w:r>
        <w:rPr>
          <w:spacing w:val="-26"/>
        </w:rPr>
        <w:t>按</w:t>
      </w:r>
      <w:r>
        <w:rPr>
          <w:spacing w:val="-26"/>
        </w:rPr>
        <w:t xml:space="preserve"> </w:t>
      </w:r>
      <w:r>
        <w:t>5.3.12</w:t>
      </w:r>
      <w:r>
        <w:rPr>
          <w:spacing w:val="-13"/>
        </w:rPr>
        <w:t xml:space="preserve"> </w:t>
      </w:r>
      <w:r>
        <w:rPr>
          <w:spacing w:val="-13"/>
        </w:rPr>
        <w:t>中髙温贮存试验条件及</w:t>
      </w:r>
      <w:r>
        <w:rPr>
          <w:spacing w:val="-13"/>
        </w:rPr>
        <w:t xml:space="preserve"> </w:t>
      </w:r>
      <w:r>
        <w:t>GB/T</w:t>
      </w:r>
      <w:r>
        <w:rPr>
          <w:spacing w:val="6"/>
        </w:rPr>
        <w:t xml:space="preserve"> </w:t>
      </w:r>
      <w:r>
        <w:t>2423.2</w:t>
      </w:r>
      <w:r>
        <w:rPr>
          <w:spacing w:val="-10"/>
        </w:rPr>
        <w:t xml:space="preserve"> </w:t>
      </w:r>
      <w:r>
        <w:rPr>
          <w:spacing w:val="-10"/>
        </w:rPr>
        <w:t>规定进行试验。</w:t>
      </w:r>
      <w:r>
        <w:rPr>
          <w:b/>
        </w:rPr>
        <w:t>6.23</w:t>
      </w:r>
      <w:r>
        <w:rPr>
          <w:b/>
          <w:spacing w:val="-1"/>
        </w:rPr>
        <w:t xml:space="preserve"> </w:t>
      </w:r>
      <w:r>
        <w:rPr>
          <w:spacing w:val="-3"/>
        </w:rPr>
        <w:t>低温贮存试验</w:t>
      </w:r>
      <w:r>
        <w:t xml:space="preserve"> </w:t>
      </w:r>
    </w:p>
    <w:p w14:paraId="6BA38935" w14:textId="77777777" w:rsidR="00A71EEF" w:rsidRDefault="0081115D">
      <w:pPr>
        <w:pStyle w:val="a3"/>
        <w:spacing w:line="446" w:lineRule="auto"/>
        <w:ind w:left="840" w:right="3923" w:hanging="3"/>
      </w:pPr>
      <w:r>
        <w:rPr>
          <w:spacing w:val="-26"/>
        </w:rPr>
        <w:t>按</w:t>
      </w:r>
      <w:r>
        <w:rPr>
          <w:spacing w:val="-26"/>
        </w:rPr>
        <w:t xml:space="preserve"> </w:t>
      </w:r>
      <w:r>
        <w:t>5.3.12</w:t>
      </w:r>
      <w:r>
        <w:rPr>
          <w:spacing w:val="-13"/>
        </w:rPr>
        <w:t xml:space="preserve"> </w:t>
      </w:r>
      <w:r>
        <w:rPr>
          <w:spacing w:val="-13"/>
        </w:rPr>
        <w:t>中低温贮存试验条件及</w:t>
      </w:r>
      <w:r>
        <w:rPr>
          <w:spacing w:val="-13"/>
        </w:rPr>
        <w:t xml:space="preserve"> </w:t>
      </w:r>
      <w:r>
        <w:t>GB/T 2423.1</w:t>
      </w:r>
      <w:r>
        <w:rPr>
          <w:spacing w:val="-10"/>
        </w:rPr>
        <w:t xml:space="preserve"> </w:t>
      </w:r>
      <w:r>
        <w:rPr>
          <w:spacing w:val="-10"/>
        </w:rPr>
        <w:t>规定进行试验。</w:t>
      </w:r>
      <w:r>
        <w:rPr>
          <w:b/>
        </w:rPr>
        <w:t xml:space="preserve">6.24 </w:t>
      </w:r>
      <w:r>
        <w:rPr>
          <w:spacing w:val="-3"/>
        </w:rPr>
        <w:t>耐振动试验</w:t>
      </w:r>
      <w:r>
        <w:t xml:space="preserve"> </w:t>
      </w:r>
    </w:p>
    <w:p w14:paraId="7BD394E3" w14:textId="77777777" w:rsidR="00A71EEF" w:rsidRDefault="0081115D">
      <w:pPr>
        <w:pStyle w:val="a3"/>
        <w:spacing w:line="446" w:lineRule="auto"/>
        <w:ind w:left="418" w:right="1510" w:firstLine="419"/>
      </w:pPr>
      <w:r>
        <w:rPr>
          <w:spacing w:val="-6"/>
        </w:rPr>
        <w:t>将呼救器直立固定在振动台上，按</w:t>
      </w:r>
      <w:r>
        <w:rPr>
          <w:spacing w:val="-6"/>
        </w:rPr>
        <w:t xml:space="preserve"> </w:t>
      </w:r>
      <w:r>
        <w:t>5.3.13</w:t>
      </w:r>
      <w:r>
        <w:rPr>
          <w:spacing w:val="-15"/>
        </w:rPr>
        <w:t xml:space="preserve"> </w:t>
      </w:r>
      <w:r>
        <w:rPr>
          <w:spacing w:val="-15"/>
        </w:rPr>
        <w:t>中振动</w:t>
      </w:r>
      <w:r>
        <w:rPr>
          <w:spacing w:val="-3"/>
        </w:rPr>
        <w:t>（</w:t>
      </w:r>
      <w:r>
        <w:t>正弦</w:t>
      </w:r>
      <w:r>
        <w:rPr>
          <w:spacing w:val="-3"/>
        </w:rPr>
        <w:t>）</w:t>
      </w:r>
      <w:r>
        <w:rPr>
          <w:spacing w:val="-11"/>
        </w:rPr>
        <w:t>试验条件及</w:t>
      </w:r>
      <w:r>
        <w:rPr>
          <w:spacing w:val="-11"/>
        </w:rPr>
        <w:t xml:space="preserve"> </w:t>
      </w:r>
      <w:r>
        <w:t>GB/T 2423. 10</w:t>
      </w:r>
      <w:r>
        <w:rPr>
          <w:spacing w:val="-19"/>
        </w:rPr>
        <w:t xml:space="preserve"> </w:t>
      </w:r>
      <w:r>
        <w:rPr>
          <w:spacing w:val="-19"/>
        </w:rPr>
        <w:t>规定</w:t>
      </w:r>
      <w:r>
        <w:rPr>
          <w:spacing w:val="-2"/>
        </w:rPr>
        <w:t>进行试验。</w:t>
      </w:r>
      <w:r>
        <w:t xml:space="preserve"> </w:t>
      </w:r>
    </w:p>
    <w:p w14:paraId="7F03B22F" w14:textId="77777777" w:rsidR="00A71EEF" w:rsidRDefault="0081115D">
      <w:pPr>
        <w:ind w:left="840"/>
        <w:rPr>
          <w:sz w:val="21"/>
        </w:rPr>
      </w:pPr>
      <w:r>
        <w:rPr>
          <w:b/>
          <w:sz w:val="21"/>
        </w:rPr>
        <w:t xml:space="preserve">6.25 </w:t>
      </w:r>
      <w:r>
        <w:rPr>
          <w:sz w:val="21"/>
        </w:rPr>
        <w:t>耐冲击试验</w:t>
      </w:r>
      <w:r>
        <w:rPr>
          <w:sz w:val="21"/>
        </w:rPr>
        <w:t xml:space="preserve"> </w:t>
      </w:r>
    </w:p>
    <w:p w14:paraId="4BD7C0AA" w14:textId="77777777" w:rsidR="00A71EEF" w:rsidRDefault="00A71EEF">
      <w:pPr>
        <w:pStyle w:val="a3"/>
        <w:spacing w:before="8"/>
        <w:rPr>
          <w:sz w:val="17"/>
        </w:rPr>
      </w:pPr>
    </w:p>
    <w:p w14:paraId="2F0722E2" w14:textId="77777777" w:rsidR="00A71EEF" w:rsidRDefault="0081115D">
      <w:pPr>
        <w:pStyle w:val="a3"/>
        <w:spacing w:line="446" w:lineRule="auto"/>
        <w:ind w:left="840" w:right="1402" w:hanging="3"/>
      </w:pPr>
      <w:r>
        <w:rPr>
          <w:spacing w:val="-6"/>
        </w:rPr>
        <w:t>将呼救器直立固定在冲击台上，按</w:t>
      </w:r>
      <w:r>
        <w:rPr>
          <w:spacing w:val="-6"/>
        </w:rPr>
        <w:t xml:space="preserve"> </w:t>
      </w:r>
      <w:r>
        <w:t>5.3.13</w:t>
      </w:r>
      <w:r>
        <w:rPr>
          <w:spacing w:val="-13"/>
        </w:rPr>
        <w:t xml:space="preserve"> </w:t>
      </w:r>
      <w:r>
        <w:rPr>
          <w:spacing w:val="-13"/>
        </w:rPr>
        <w:t>中冲击试验条件及</w:t>
      </w:r>
      <w:r>
        <w:rPr>
          <w:spacing w:val="-13"/>
        </w:rPr>
        <w:t xml:space="preserve"> </w:t>
      </w:r>
      <w:r>
        <w:t>GB/T 2423.5</w:t>
      </w:r>
      <w:r>
        <w:rPr>
          <w:spacing w:val="-9"/>
        </w:rPr>
        <w:t xml:space="preserve"> </w:t>
      </w:r>
      <w:r>
        <w:rPr>
          <w:spacing w:val="-9"/>
        </w:rPr>
        <w:t>规定进行试验</w:t>
      </w:r>
      <w:r>
        <w:rPr>
          <w:spacing w:val="-9"/>
        </w:rPr>
        <w:t>。</w:t>
      </w:r>
      <w:r>
        <w:rPr>
          <w:b/>
        </w:rPr>
        <w:t xml:space="preserve">6.26 </w:t>
      </w:r>
      <w:r>
        <w:rPr>
          <w:spacing w:val="-3"/>
        </w:rPr>
        <w:t>耐自由跌落试验</w:t>
      </w:r>
      <w:r>
        <w:t xml:space="preserve"> </w:t>
      </w:r>
    </w:p>
    <w:p w14:paraId="3FD20BDF" w14:textId="77777777" w:rsidR="00A71EEF" w:rsidRDefault="0081115D">
      <w:pPr>
        <w:pStyle w:val="a3"/>
        <w:spacing w:line="446" w:lineRule="auto"/>
        <w:ind w:left="418" w:right="1505" w:firstLine="419"/>
      </w:pPr>
      <w:r>
        <w:rPr>
          <w:spacing w:val="-24"/>
        </w:rPr>
        <w:t>按</w:t>
      </w:r>
      <w:r>
        <w:rPr>
          <w:spacing w:val="-24"/>
        </w:rPr>
        <w:t xml:space="preserve"> </w:t>
      </w:r>
      <w:r>
        <w:t>5.3.13</w:t>
      </w:r>
      <w:r>
        <w:rPr>
          <w:spacing w:val="-12"/>
        </w:rPr>
        <w:t xml:space="preserve"> </w:t>
      </w:r>
      <w:r>
        <w:rPr>
          <w:spacing w:val="-12"/>
        </w:rPr>
        <w:t>中自由跌落试验条件及</w:t>
      </w:r>
      <w:r>
        <w:rPr>
          <w:spacing w:val="-12"/>
        </w:rPr>
        <w:t xml:space="preserve"> </w:t>
      </w:r>
      <w:r>
        <w:t>GB/T 2423.8</w:t>
      </w:r>
      <w:r>
        <w:rPr>
          <w:spacing w:val="-9"/>
        </w:rPr>
        <w:t xml:space="preserve"> </w:t>
      </w:r>
      <w:r>
        <w:rPr>
          <w:spacing w:val="-9"/>
        </w:rPr>
        <w:t>规定进行试验，试验台面为光滑平整的混凝</w:t>
      </w:r>
      <w:r>
        <w:rPr>
          <w:spacing w:val="-7"/>
        </w:rPr>
        <w:t>土台面。</w:t>
      </w:r>
      <w:r>
        <w:t xml:space="preserve"> </w:t>
      </w:r>
    </w:p>
    <w:p w14:paraId="781E46B2" w14:textId="77777777" w:rsidR="00A71EEF" w:rsidRDefault="0081115D">
      <w:pPr>
        <w:pStyle w:val="a4"/>
        <w:numPr>
          <w:ilvl w:val="1"/>
          <w:numId w:val="869"/>
        </w:numPr>
        <w:tabs>
          <w:tab w:val="left" w:pos="1264"/>
        </w:tabs>
        <w:rPr>
          <w:b/>
          <w:sz w:val="21"/>
        </w:rPr>
      </w:pPr>
      <w:r>
        <w:rPr>
          <w:spacing w:val="-3"/>
          <w:sz w:val="21"/>
        </w:rPr>
        <w:t>发射频率测量</w:t>
      </w:r>
      <w:r>
        <w:rPr>
          <w:b/>
          <w:w w:val="99"/>
          <w:sz w:val="21"/>
        </w:rPr>
        <w:t xml:space="preserve"> </w:t>
      </w:r>
    </w:p>
    <w:p w14:paraId="3C8B0EF4" w14:textId="77777777" w:rsidR="00A71EEF" w:rsidRDefault="00A71EEF">
      <w:pPr>
        <w:pStyle w:val="a3"/>
        <w:rPr>
          <w:b/>
          <w:sz w:val="18"/>
        </w:rPr>
      </w:pPr>
    </w:p>
    <w:p w14:paraId="3DC97CE2" w14:textId="77777777" w:rsidR="00A71EEF" w:rsidRDefault="0081115D">
      <w:pPr>
        <w:pStyle w:val="a3"/>
        <w:spacing w:line="446" w:lineRule="auto"/>
        <w:ind w:left="418" w:right="1505" w:firstLine="419"/>
      </w:pPr>
      <w:r>
        <w:rPr>
          <w:spacing w:val="-3"/>
        </w:rPr>
        <w:t>发射频率测量应在全频段无线电电磁波屏蔽房</w:t>
      </w:r>
      <w:r>
        <w:rPr>
          <w:spacing w:val="-3"/>
        </w:rPr>
        <w:t>(</w:t>
      </w:r>
      <w:r>
        <w:rPr>
          <w:spacing w:val="-3"/>
        </w:rPr>
        <w:t>室）</w:t>
      </w:r>
      <w:r>
        <w:rPr>
          <w:spacing w:val="-7"/>
        </w:rPr>
        <w:t>中进行。按图</w:t>
      </w:r>
      <w:r>
        <w:rPr>
          <w:spacing w:val="-7"/>
        </w:rPr>
        <w:t xml:space="preserve"> </w:t>
      </w:r>
      <w:r>
        <w:t>1</w:t>
      </w:r>
      <w:r>
        <w:rPr>
          <w:spacing w:val="-8"/>
        </w:rPr>
        <w:t xml:space="preserve"> </w:t>
      </w:r>
      <w:r>
        <w:rPr>
          <w:spacing w:val="-8"/>
        </w:rPr>
        <w:t>所示连接测量仪器，使</w:t>
      </w:r>
      <w:r>
        <w:rPr>
          <w:spacing w:val="-5"/>
        </w:rPr>
        <w:t>呼救器产生报警，测量其发射无线电波频率。</w:t>
      </w:r>
      <w:r>
        <w:t xml:space="preserve"> </w:t>
      </w:r>
    </w:p>
    <w:p w14:paraId="75C8C68F" w14:textId="77777777" w:rsidR="00A71EEF" w:rsidRDefault="00A71EEF">
      <w:pPr>
        <w:pStyle w:val="a3"/>
        <w:rPr>
          <w:sz w:val="20"/>
        </w:rPr>
      </w:pPr>
    </w:p>
    <w:p w14:paraId="327661B3" w14:textId="77777777" w:rsidR="00A71EEF" w:rsidRDefault="0081115D">
      <w:pPr>
        <w:pStyle w:val="a3"/>
        <w:spacing w:before="10"/>
      </w:pPr>
      <w:r>
        <w:rPr>
          <w:noProof/>
        </w:rPr>
        <w:drawing>
          <wp:anchor distT="0" distB="0" distL="0" distR="0" simplePos="0" relativeHeight="251481600" behindDoc="0" locked="0" layoutInCell="1" allowOverlap="1" wp14:anchorId="76446810" wp14:editId="3959192F">
            <wp:simplePos x="0" y="0"/>
            <wp:positionH relativeFrom="page">
              <wp:posOffset>1713229</wp:posOffset>
            </wp:positionH>
            <wp:positionV relativeFrom="paragraph">
              <wp:posOffset>202535</wp:posOffset>
            </wp:positionV>
            <wp:extent cx="4565364" cy="1367028"/>
            <wp:effectExtent l="0" t="0" r="0" b="0"/>
            <wp:wrapTopAndBottom/>
            <wp:docPr id="73"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54.jpeg"/>
                    <pic:cNvPicPr/>
                  </pic:nvPicPr>
                  <pic:blipFill>
                    <a:blip r:embed="rId50" cstate="print"/>
                    <a:stretch>
                      <a:fillRect/>
                    </a:stretch>
                  </pic:blipFill>
                  <pic:spPr>
                    <a:xfrm>
                      <a:off x="0" y="0"/>
                      <a:ext cx="4565364" cy="1367028"/>
                    </a:xfrm>
                    <a:prstGeom prst="rect">
                      <a:avLst/>
                    </a:prstGeom>
                  </pic:spPr>
                </pic:pic>
              </a:graphicData>
            </a:graphic>
          </wp:anchor>
        </w:drawing>
      </w:r>
    </w:p>
    <w:p w14:paraId="028ECC59" w14:textId="77777777" w:rsidR="00A71EEF" w:rsidRDefault="00A71EEF">
      <w:pPr>
        <w:pStyle w:val="a3"/>
        <w:spacing w:before="7"/>
        <w:rPr>
          <w:sz w:val="16"/>
        </w:rPr>
      </w:pPr>
    </w:p>
    <w:p w14:paraId="3B422E46" w14:textId="77777777" w:rsidR="00A71EEF" w:rsidRDefault="0081115D">
      <w:pPr>
        <w:pStyle w:val="a4"/>
        <w:numPr>
          <w:ilvl w:val="1"/>
          <w:numId w:val="869"/>
        </w:numPr>
        <w:tabs>
          <w:tab w:val="left" w:pos="1264"/>
        </w:tabs>
        <w:rPr>
          <w:sz w:val="21"/>
        </w:rPr>
      </w:pPr>
      <w:r>
        <w:rPr>
          <w:spacing w:val="-3"/>
          <w:sz w:val="21"/>
        </w:rPr>
        <w:t>频率稳定度测量</w:t>
      </w:r>
      <w:r>
        <w:rPr>
          <w:sz w:val="21"/>
        </w:rPr>
        <w:t xml:space="preserve"> </w:t>
      </w:r>
    </w:p>
    <w:p w14:paraId="74F61942" w14:textId="77777777" w:rsidR="00A71EEF" w:rsidRDefault="00A71EEF">
      <w:pPr>
        <w:rPr>
          <w:sz w:val="21"/>
        </w:rPr>
        <w:sectPr w:rsidR="00A71EEF">
          <w:pgSz w:w="11910" w:h="16850"/>
          <w:pgMar w:top="1220" w:right="0" w:bottom="1420" w:left="1260" w:header="0" w:footer="1239" w:gutter="0"/>
          <w:cols w:space="720"/>
        </w:sectPr>
      </w:pPr>
    </w:p>
    <w:p w14:paraId="2033E40D" w14:textId="77777777" w:rsidR="00A71EEF" w:rsidRDefault="0081115D">
      <w:pPr>
        <w:pStyle w:val="a3"/>
        <w:spacing w:before="47" w:line="446" w:lineRule="auto"/>
        <w:ind w:left="418" w:right="1352" w:firstLine="419"/>
      </w:pPr>
      <w:r>
        <w:rPr>
          <w:spacing w:val="-3"/>
        </w:rPr>
        <w:lastRenderedPageBreak/>
        <w:t>频率稳定度测量应在全频段无线电电磁波屏蔽房</w:t>
      </w:r>
      <w:r>
        <w:rPr>
          <w:spacing w:val="-3"/>
        </w:rPr>
        <w:t>(</w:t>
      </w:r>
      <w:r>
        <w:rPr>
          <w:spacing w:val="-3"/>
        </w:rPr>
        <w:t>室</w:t>
      </w:r>
      <w:r>
        <w:t>）</w:t>
      </w:r>
      <w:r>
        <w:rPr>
          <w:spacing w:val="-9"/>
        </w:rPr>
        <w:t>中进行，按图</w:t>
      </w:r>
      <w:r>
        <w:rPr>
          <w:spacing w:val="-9"/>
        </w:rPr>
        <w:t xml:space="preserve"> </w:t>
      </w:r>
      <w:r>
        <w:t>1</w:t>
      </w:r>
      <w:r>
        <w:rPr>
          <w:spacing w:val="-8"/>
        </w:rPr>
        <w:t xml:space="preserve"> </w:t>
      </w:r>
      <w:r>
        <w:rPr>
          <w:spacing w:val="-8"/>
        </w:rPr>
        <w:t>所示连接测量仪器，</w:t>
      </w:r>
      <w:r>
        <w:rPr>
          <w:spacing w:val="-8"/>
        </w:rPr>
        <w:t xml:space="preserve"> </w:t>
      </w:r>
      <w:r>
        <w:rPr>
          <w:spacing w:val="-5"/>
        </w:rPr>
        <w:t>使呼救器产生报替，分别测量其在</w:t>
      </w:r>
      <w:r>
        <w:rPr>
          <w:spacing w:val="-5"/>
        </w:rPr>
        <w:t>-</w:t>
      </w:r>
      <w:r>
        <w:t>25</w:t>
      </w:r>
      <w:r>
        <w:rPr>
          <w:spacing w:val="-17"/>
        </w:rPr>
        <w:t>℃</w:t>
      </w:r>
      <w:r>
        <w:rPr>
          <w:spacing w:val="-17"/>
        </w:rPr>
        <w:t>士</w:t>
      </w:r>
      <w:r>
        <w:rPr>
          <w:spacing w:val="-17"/>
        </w:rPr>
        <w:t xml:space="preserve"> </w:t>
      </w:r>
      <w:r>
        <w:t>2℃</w:t>
      </w:r>
      <w:r>
        <w:t>、</w:t>
      </w:r>
      <w:r>
        <w:t>25</w:t>
      </w:r>
      <w:r>
        <w:rPr>
          <w:spacing w:val="-16"/>
        </w:rPr>
        <w:t>℃</w:t>
      </w:r>
      <w:r>
        <w:rPr>
          <w:spacing w:val="-16"/>
        </w:rPr>
        <w:t>士</w:t>
      </w:r>
      <w:r>
        <w:rPr>
          <w:spacing w:val="-16"/>
        </w:rPr>
        <w:t xml:space="preserve"> </w:t>
      </w:r>
      <w:r>
        <w:t>2</w:t>
      </w:r>
      <w:r>
        <w:rPr>
          <w:spacing w:val="-2"/>
        </w:rPr>
        <w:t>℃</w:t>
      </w:r>
      <w:r>
        <w:rPr>
          <w:spacing w:val="-2"/>
        </w:rPr>
        <w:t>、</w:t>
      </w:r>
      <w:r>
        <w:t>70</w:t>
      </w:r>
      <w:r>
        <w:rPr>
          <w:spacing w:val="-16"/>
        </w:rPr>
        <w:t>℃</w:t>
      </w:r>
      <w:r>
        <w:rPr>
          <w:spacing w:val="-16"/>
        </w:rPr>
        <w:t>士</w:t>
      </w:r>
      <w:r>
        <w:rPr>
          <w:spacing w:val="-16"/>
        </w:rPr>
        <w:t xml:space="preserve"> </w:t>
      </w:r>
      <w:r>
        <w:t>2</w:t>
      </w:r>
      <w:r>
        <w:rPr>
          <w:spacing w:val="-3"/>
        </w:rPr>
        <w:t>℃</w:t>
      </w:r>
      <w:r>
        <w:rPr>
          <w:spacing w:val="-3"/>
        </w:rPr>
        <w:t>时发射无线电波频率。</w:t>
      </w:r>
      <w:r>
        <w:t xml:space="preserve"> </w:t>
      </w:r>
    </w:p>
    <w:p w14:paraId="01C08FEF" w14:textId="77777777" w:rsidR="00A71EEF" w:rsidRDefault="0081115D">
      <w:pPr>
        <w:pStyle w:val="a4"/>
        <w:numPr>
          <w:ilvl w:val="1"/>
          <w:numId w:val="869"/>
        </w:numPr>
        <w:tabs>
          <w:tab w:val="left" w:pos="1266"/>
        </w:tabs>
        <w:spacing w:line="267" w:lineRule="exact"/>
        <w:ind w:left="1265" w:hanging="426"/>
        <w:rPr>
          <w:sz w:val="21"/>
        </w:rPr>
      </w:pPr>
      <w:r>
        <w:rPr>
          <w:spacing w:val="-3"/>
          <w:sz w:val="21"/>
        </w:rPr>
        <w:t>接收灵敏度测量</w:t>
      </w:r>
      <w:r>
        <w:rPr>
          <w:sz w:val="21"/>
        </w:rPr>
        <w:t xml:space="preserve"> </w:t>
      </w:r>
    </w:p>
    <w:p w14:paraId="535E62B2" w14:textId="77777777" w:rsidR="00A71EEF" w:rsidRDefault="00A71EEF">
      <w:pPr>
        <w:pStyle w:val="a3"/>
        <w:spacing w:before="2"/>
        <w:rPr>
          <w:sz w:val="18"/>
        </w:rPr>
      </w:pPr>
    </w:p>
    <w:p w14:paraId="66FD1A36" w14:textId="77777777" w:rsidR="00A71EEF" w:rsidRDefault="0081115D">
      <w:pPr>
        <w:pStyle w:val="a3"/>
        <w:spacing w:line="446" w:lineRule="auto"/>
        <w:ind w:left="418" w:right="1505" w:firstLine="419"/>
      </w:pPr>
      <w:r>
        <w:rPr>
          <w:spacing w:val="-3"/>
        </w:rPr>
        <w:t>接收灵敏度测量应在全频段无线电电磁波屏蔽房</w:t>
      </w:r>
      <w:r>
        <w:rPr>
          <w:spacing w:val="-3"/>
        </w:rPr>
        <w:t>(</w:t>
      </w:r>
      <w:r>
        <w:rPr>
          <w:spacing w:val="-3"/>
        </w:rPr>
        <w:t>室</w:t>
      </w:r>
      <w:r>
        <w:t>）</w:t>
      </w:r>
      <w:r>
        <w:rPr>
          <w:spacing w:val="-8"/>
        </w:rPr>
        <w:t>中进行，按图</w:t>
      </w:r>
      <w:r>
        <w:rPr>
          <w:spacing w:val="-8"/>
        </w:rPr>
        <w:t xml:space="preserve"> </w:t>
      </w:r>
      <w:r>
        <w:t>2</w:t>
      </w:r>
      <w:r>
        <w:rPr>
          <w:spacing w:val="-7"/>
        </w:rPr>
        <w:t xml:space="preserve"> </w:t>
      </w:r>
      <w:r>
        <w:rPr>
          <w:spacing w:val="-7"/>
        </w:rPr>
        <w:t>所示连接测量仪器。</w:t>
      </w:r>
      <w:r>
        <w:rPr>
          <w:spacing w:val="-5"/>
        </w:rPr>
        <w:t>调节高频信号发生器输出信号频率为呼救器发射频率，同时，调节输出信号幅度，当音频</w:t>
      </w:r>
      <w:r>
        <w:rPr>
          <w:spacing w:val="-3"/>
        </w:rPr>
        <w:t>（</w:t>
      </w:r>
      <w:r>
        <w:t>噪</w:t>
      </w:r>
      <w:r>
        <w:rPr>
          <w:spacing w:val="-7"/>
        </w:rPr>
        <w:t>声</w:t>
      </w:r>
      <w:r>
        <w:rPr>
          <w:spacing w:val="-7"/>
        </w:rPr>
        <w:t>)</w:t>
      </w:r>
      <w:r>
        <w:rPr>
          <w:spacing w:val="-7"/>
        </w:rPr>
        <w:t>信号测量仪测得信噪比为</w:t>
      </w:r>
      <w:r>
        <w:rPr>
          <w:spacing w:val="-7"/>
        </w:rPr>
        <w:t xml:space="preserve"> </w:t>
      </w:r>
      <w:r>
        <w:t>12dB</w:t>
      </w:r>
      <w:r>
        <w:rPr>
          <w:spacing w:val="-9"/>
        </w:rPr>
        <w:t xml:space="preserve"> </w:t>
      </w:r>
      <w:r>
        <w:rPr>
          <w:spacing w:val="-9"/>
        </w:rPr>
        <w:t>时，记录输出信号幅度。</w:t>
      </w:r>
      <w:r>
        <w:t xml:space="preserve"> </w:t>
      </w:r>
    </w:p>
    <w:p w14:paraId="16E36868" w14:textId="77777777" w:rsidR="00A71EEF" w:rsidRDefault="00A71EEF">
      <w:pPr>
        <w:pStyle w:val="a3"/>
        <w:rPr>
          <w:sz w:val="20"/>
        </w:rPr>
      </w:pPr>
    </w:p>
    <w:p w14:paraId="2D2908A4" w14:textId="77777777" w:rsidR="00A71EEF" w:rsidRDefault="0081115D">
      <w:pPr>
        <w:pStyle w:val="a3"/>
        <w:spacing w:before="6"/>
        <w:rPr>
          <w:sz w:val="13"/>
        </w:rPr>
      </w:pPr>
      <w:r>
        <w:rPr>
          <w:noProof/>
        </w:rPr>
        <w:drawing>
          <wp:anchor distT="0" distB="0" distL="0" distR="0" simplePos="0" relativeHeight="251482624" behindDoc="0" locked="0" layoutInCell="1" allowOverlap="1" wp14:anchorId="2A280527" wp14:editId="5C5A8448">
            <wp:simplePos x="0" y="0"/>
            <wp:positionH relativeFrom="page">
              <wp:posOffset>1284605</wp:posOffset>
            </wp:positionH>
            <wp:positionV relativeFrom="paragraph">
              <wp:posOffset>134743</wp:posOffset>
            </wp:positionV>
            <wp:extent cx="4740761" cy="1600200"/>
            <wp:effectExtent l="0" t="0" r="0" b="0"/>
            <wp:wrapTopAndBottom/>
            <wp:docPr id="75"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55.jpeg"/>
                    <pic:cNvPicPr/>
                  </pic:nvPicPr>
                  <pic:blipFill>
                    <a:blip r:embed="rId51" cstate="print"/>
                    <a:stretch>
                      <a:fillRect/>
                    </a:stretch>
                  </pic:blipFill>
                  <pic:spPr>
                    <a:xfrm>
                      <a:off x="0" y="0"/>
                      <a:ext cx="4740761" cy="1600200"/>
                    </a:xfrm>
                    <a:prstGeom prst="rect">
                      <a:avLst/>
                    </a:prstGeom>
                  </pic:spPr>
                </pic:pic>
              </a:graphicData>
            </a:graphic>
          </wp:anchor>
        </w:drawing>
      </w:r>
    </w:p>
    <w:p w14:paraId="1A3D5186" w14:textId="77777777" w:rsidR="00A71EEF" w:rsidRDefault="00A71EEF">
      <w:pPr>
        <w:pStyle w:val="a3"/>
        <w:rPr>
          <w:sz w:val="20"/>
        </w:rPr>
      </w:pPr>
    </w:p>
    <w:p w14:paraId="3D6D4245" w14:textId="77777777" w:rsidR="00A71EEF" w:rsidRDefault="00A71EEF">
      <w:pPr>
        <w:pStyle w:val="a3"/>
        <w:rPr>
          <w:sz w:val="20"/>
        </w:rPr>
      </w:pPr>
    </w:p>
    <w:p w14:paraId="23941A93" w14:textId="77777777" w:rsidR="00A71EEF" w:rsidRDefault="00A71EEF">
      <w:pPr>
        <w:pStyle w:val="a3"/>
        <w:spacing w:before="7"/>
        <w:rPr>
          <w:sz w:val="18"/>
        </w:rPr>
      </w:pPr>
    </w:p>
    <w:p w14:paraId="03CC3426" w14:textId="77777777" w:rsidR="00A71EEF" w:rsidRDefault="0081115D">
      <w:pPr>
        <w:pStyle w:val="a4"/>
        <w:numPr>
          <w:ilvl w:val="1"/>
          <w:numId w:val="869"/>
        </w:numPr>
        <w:tabs>
          <w:tab w:val="left" w:pos="1264"/>
        </w:tabs>
        <w:rPr>
          <w:b/>
          <w:sz w:val="21"/>
        </w:rPr>
      </w:pPr>
      <w:r>
        <w:rPr>
          <w:spacing w:val="-3"/>
          <w:sz w:val="21"/>
        </w:rPr>
        <w:t>通信距离试验</w:t>
      </w:r>
      <w:r>
        <w:rPr>
          <w:b/>
          <w:w w:val="99"/>
          <w:sz w:val="21"/>
        </w:rPr>
        <w:t xml:space="preserve"> </w:t>
      </w:r>
    </w:p>
    <w:p w14:paraId="4BF958DD" w14:textId="77777777" w:rsidR="00A71EEF" w:rsidRDefault="00A71EEF">
      <w:pPr>
        <w:pStyle w:val="a3"/>
        <w:rPr>
          <w:b/>
          <w:sz w:val="18"/>
        </w:rPr>
      </w:pPr>
    </w:p>
    <w:p w14:paraId="37D305EE" w14:textId="77777777" w:rsidR="00A71EEF" w:rsidRDefault="0081115D">
      <w:pPr>
        <w:pStyle w:val="a3"/>
        <w:spacing w:line="446" w:lineRule="auto"/>
        <w:ind w:left="418" w:right="1608" w:firstLine="419"/>
        <w:jc w:val="both"/>
      </w:pPr>
      <w:r>
        <w:t>于空旷地带进行试验，使通信型呼救器报警，记录通信型呼救器与通信接收终端正常通信的最大距离，消除通信型呼救器报瞀状态，使其处于自动状态，接受终端发射信号，记录通信型呼救器与通信接收终端正常通信的最大距</w:t>
      </w:r>
      <w:r>
        <w:t>离。</w:t>
      </w:r>
      <w:r>
        <w:t xml:space="preserve"> </w:t>
      </w:r>
    </w:p>
    <w:p w14:paraId="359747AA" w14:textId="77777777" w:rsidR="00A71EEF" w:rsidRDefault="0081115D">
      <w:pPr>
        <w:pStyle w:val="a4"/>
        <w:numPr>
          <w:ilvl w:val="1"/>
          <w:numId w:val="869"/>
        </w:numPr>
        <w:tabs>
          <w:tab w:val="left" w:pos="1264"/>
        </w:tabs>
        <w:spacing w:line="268" w:lineRule="exact"/>
        <w:rPr>
          <w:sz w:val="21"/>
        </w:rPr>
      </w:pPr>
      <w:r>
        <w:rPr>
          <w:spacing w:val="-3"/>
          <w:sz w:val="21"/>
        </w:rPr>
        <w:t>发光亮度測试</w:t>
      </w:r>
      <w:r>
        <w:rPr>
          <w:sz w:val="21"/>
        </w:rPr>
        <w:t xml:space="preserve"> </w:t>
      </w:r>
    </w:p>
    <w:p w14:paraId="07A51430" w14:textId="77777777" w:rsidR="00A71EEF" w:rsidRDefault="00A71EEF">
      <w:pPr>
        <w:pStyle w:val="a3"/>
        <w:spacing w:before="12"/>
        <w:rPr>
          <w:sz w:val="17"/>
        </w:rPr>
      </w:pPr>
    </w:p>
    <w:p w14:paraId="6304173A" w14:textId="77777777" w:rsidR="00A71EEF" w:rsidRDefault="0081115D">
      <w:pPr>
        <w:pStyle w:val="a3"/>
        <w:spacing w:line="448" w:lineRule="auto"/>
        <w:ind w:left="418" w:right="1558" w:firstLine="419"/>
      </w:pPr>
      <w:r>
        <w:rPr>
          <w:noProof/>
        </w:rPr>
        <w:drawing>
          <wp:anchor distT="0" distB="0" distL="0" distR="0" simplePos="0" relativeHeight="251762176" behindDoc="1" locked="0" layoutInCell="1" allowOverlap="1" wp14:anchorId="17919334" wp14:editId="46C8EB96">
            <wp:simplePos x="0" y="0"/>
            <wp:positionH relativeFrom="page">
              <wp:posOffset>2199629</wp:posOffset>
            </wp:positionH>
            <wp:positionV relativeFrom="paragraph">
              <wp:posOffset>565658</wp:posOffset>
            </wp:positionV>
            <wp:extent cx="2996159" cy="2295330"/>
            <wp:effectExtent l="0" t="0" r="0" b="0"/>
            <wp:wrapNone/>
            <wp:docPr id="77"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56.jpeg"/>
                    <pic:cNvPicPr/>
                  </pic:nvPicPr>
                  <pic:blipFill>
                    <a:blip r:embed="rId52" cstate="print"/>
                    <a:stretch>
                      <a:fillRect/>
                    </a:stretch>
                  </pic:blipFill>
                  <pic:spPr>
                    <a:xfrm>
                      <a:off x="0" y="0"/>
                      <a:ext cx="2996159" cy="2295330"/>
                    </a:xfrm>
                    <a:prstGeom prst="rect">
                      <a:avLst/>
                    </a:prstGeom>
                  </pic:spPr>
                </pic:pic>
              </a:graphicData>
            </a:graphic>
          </wp:anchor>
        </w:drawing>
      </w:r>
      <w:r>
        <w:rPr>
          <w:spacing w:val="-6"/>
        </w:rPr>
        <w:t>呼救器发光亮度测试点的分布按图</w:t>
      </w:r>
      <w:r>
        <w:rPr>
          <w:spacing w:val="-6"/>
        </w:rPr>
        <w:t xml:space="preserve"> </w:t>
      </w:r>
      <w:r>
        <w:t>3</w:t>
      </w:r>
      <w:r>
        <w:rPr>
          <w:spacing w:val="-11"/>
        </w:rPr>
        <w:t xml:space="preserve"> </w:t>
      </w:r>
      <w:r>
        <w:rPr>
          <w:spacing w:val="-11"/>
        </w:rPr>
        <w:t>要求，用精度不低于士</w:t>
      </w:r>
      <w:r>
        <w:rPr>
          <w:spacing w:val="-11"/>
        </w:rPr>
        <w:t xml:space="preserve"> </w:t>
      </w:r>
      <w:r>
        <w:t>5</w:t>
      </w:r>
      <w:r>
        <w:rPr>
          <w:spacing w:val="-3"/>
        </w:rPr>
        <w:t>%</w:t>
      </w:r>
      <w:r>
        <w:rPr>
          <w:spacing w:val="-3"/>
        </w:rPr>
        <w:t>的亮度测量仪在呼救器发光</w:t>
      </w:r>
      <w:r>
        <w:rPr>
          <w:spacing w:val="-28"/>
        </w:rPr>
        <w:t>面</w:t>
      </w:r>
      <w:r>
        <w:rPr>
          <w:spacing w:val="-28"/>
        </w:rPr>
        <w:t xml:space="preserve"> </w:t>
      </w:r>
      <w:r>
        <w:t>5m</w:t>
      </w:r>
      <w:r>
        <w:rPr>
          <w:spacing w:val="-12"/>
        </w:rPr>
        <w:t xml:space="preserve"> </w:t>
      </w:r>
      <w:r>
        <w:rPr>
          <w:spacing w:val="-12"/>
        </w:rPr>
        <w:t>远处测量。</w:t>
      </w:r>
      <w:r>
        <w:t xml:space="preserve"> </w:t>
      </w:r>
    </w:p>
    <w:p w14:paraId="2EFC0934" w14:textId="77777777" w:rsidR="00A71EEF" w:rsidRDefault="00A71EEF">
      <w:pPr>
        <w:spacing w:line="448" w:lineRule="auto"/>
        <w:sectPr w:rsidR="00A71EEF">
          <w:pgSz w:w="11910" w:h="16850"/>
          <w:pgMar w:top="1220" w:right="0" w:bottom="1420" w:left="1260" w:header="0" w:footer="1239" w:gutter="0"/>
          <w:cols w:space="720"/>
        </w:sectPr>
      </w:pPr>
    </w:p>
    <w:p w14:paraId="15F9D068" w14:textId="77777777" w:rsidR="00A71EEF" w:rsidRDefault="0081115D">
      <w:pPr>
        <w:pStyle w:val="a4"/>
        <w:numPr>
          <w:ilvl w:val="1"/>
          <w:numId w:val="869"/>
        </w:numPr>
        <w:tabs>
          <w:tab w:val="left" w:pos="1264"/>
        </w:tabs>
        <w:spacing w:before="47"/>
        <w:rPr>
          <w:sz w:val="21"/>
        </w:rPr>
      </w:pPr>
      <w:r>
        <w:rPr>
          <w:spacing w:val="-3"/>
          <w:sz w:val="21"/>
        </w:rPr>
        <w:lastRenderedPageBreak/>
        <w:t>模拟烟雾环境方位识别性能试验</w:t>
      </w:r>
      <w:r>
        <w:rPr>
          <w:sz w:val="21"/>
        </w:rPr>
        <w:t xml:space="preserve"> </w:t>
      </w:r>
    </w:p>
    <w:p w14:paraId="2BBCE852" w14:textId="77777777" w:rsidR="00A71EEF" w:rsidRDefault="00A71EEF">
      <w:pPr>
        <w:pStyle w:val="a3"/>
        <w:rPr>
          <w:sz w:val="18"/>
        </w:rPr>
      </w:pPr>
    </w:p>
    <w:p w14:paraId="092950A8" w14:textId="77777777" w:rsidR="00A71EEF" w:rsidRDefault="0081115D">
      <w:pPr>
        <w:pStyle w:val="a3"/>
        <w:spacing w:line="446" w:lineRule="auto"/>
        <w:ind w:left="418" w:right="1455" w:firstLine="419"/>
      </w:pPr>
      <w:r>
        <w:rPr>
          <w:spacing w:val="-7"/>
        </w:rPr>
        <w:t>试验室面积应不小于</w:t>
      </w:r>
      <w:r>
        <w:rPr>
          <w:spacing w:val="-7"/>
        </w:rPr>
        <w:t xml:space="preserve"> </w:t>
      </w:r>
      <w:r>
        <w:t>4m×5m</w:t>
      </w:r>
      <w:r>
        <w:t>，</w:t>
      </w:r>
      <w:r>
        <w:rPr>
          <w:spacing w:val="-6"/>
        </w:rPr>
        <w:t>使用发烟器发烟，烟气浓度以</w:t>
      </w:r>
      <w:r>
        <w:rPr>
          <w:spacing w:val="-6"/>
        </w:rPr>
        <w:t xml:space="preserve"> </w:t>
      </w:r>
      <w:r>
        <w:t>1m</w:t>
      </w:r>
      <w:r>
        <w:rPr>
          <w:spacing w:val="-8"/>
        </w:rPr>
        <w:t xml:space="preserve"> </w:t>
      </w:r>
      <w:r>
        <w:rPr>
          <w:spacing w:val="-8"/>
        </w:rPr>
        <w:t>内肉眼无法识别物体为准，</w:t>
      </w:r>
      <w:r>
        <w:rPr>
          <w:spacing w:val="-8"/>
        </w:rPr>
        <w:t xml:space="preserve"> </w:t>
      </w:r>
      <w:r>
        <w:rPr>
          <w:spacing w:val="-10"/>
        </w:rPr>
        <w:t>将呼救器放置在距观察点</w:t>
      </w:r>
      <w:r>
        <w:rPr>
          <w:spacing w:val="-10"/>
        </w:rPr>
        <w:t xml:space="preserve"> </w:t>
      </w:r>
      <w:r>
        <w:t>3m</w:t>
      </w:r>
      <w:r>
        <w:rPr>
          <w:spacing w:val="-9"/>
        </w:rPr>
        <w:t xml:space="preserve"> </w:t>
      </w:r>
      <w:r>
        <w:rPr>
          <w:spacing w:val="-9"/>
        </w:rPr>
        <w:t>远处，观察呼救器方位。</w:t>
      </w:r>
      <w:r>
        <w:rPr>
          <w:spacing w:val="-9"/>
        </w:rPr>
        <w:t xml:space="preserve"> </w:t>
      </w:r>
    </w:p>
    <w:p w14:paraId="1107FFB8" w14:textId="77777777" w:rsidR="00A71EEF" w:rsidRDefault="0081115D">
      <w:pPr>
        <w:pStyle w:val="4"/>
        <w:spacing w:line="277" w:lineRule="exact"/>
      </w:pPr>
      <w:r>
        <w:t xml:space="preserve">7 </w:t>
      </w:r>
      <w:r>
        <w:t>检验规则</w:t>
      </w:r>
      <w:r>
        <w:rPr>
          <w:w w:val="99"/>
        </w:rPr>
        <w:t xml:space="preserve"> </w:t>
      </w:r>
    </w:p>
    <w:p w14:paraId="7AEA02A4" w14:textId="77777777" w:rsidR="00A71EEF" w:rsidRDefault="00A71EEF">
      <w:pPr>
        <w:pStyle w:val="a3"/>
        <w:spacing w:before="4"/>
        <w:rPr>
          <w:b/>
          <w:sz w:val="17"/>
        </w:rPr>
      </w:pPr>
    </w:p>
    <w:p w14:paraId="7E7454BF" w14:textId="77777777" w:rsidR="00A71EEF" w:rsidRDefault="0081115D">
      <w:pPr>
        <w:pStyle w:val="a4"/>
        <w:numPr>
          <w:ilvl w:val="1"/>
          <w:numId w:val="868"/>
        </w:numPr>
        <w:tabs>
          <w:tab w:val="left" w:pos="1160"/>
        </w:tabs>
        <w:rPr>
          <w:b/>
          <w:sz w:val="21"/>
        </w:rPr>
      </w:pPr>
      <w:r>
        <w:rPr>
          <w:spacing w:val="-3"/>
          <w:sz w:val="21"/>
        </w:rPr>
        <w:t>形式检验</w:t>
      </w:r>
      <w:r>
        <w:rPr>
          <w:b/>
          <w:w w:val="99"/>
          <w:sz w:val="21"/>
        </w:rPr>
        <w:t xml:space="preserve"> </w:t>
      </w:r>
    </w:p>
    <w:p w14:paraId="4FE4174D" w14:textId="77777777" w:rsidR="00A71EEF" w:rsidRDefault="00A71EEF">
      <w:pPr>
        <w:pStyle w:val="a3"/>
        <w:spacing w:before="12"/>
        <w:rPr>
          <w:b/>
          <w:sz w:val="17"/>
        </w:rPr>
      </w:pPr>
    </w:p>
    <w:p w14:paraId="7C5EBECF" w14:textId="77777777" w:rsidR="00A71EEF" w:rsidRDefault="0081115D">
      <w:pPr>
        <w:pStyle w:val="a4"/>
        <w:numPr>
          <w:ilvl w:val="2"/>
          <w:numId w:val="868"/>
        </w:numPr>
        <w:tabs>
          <w:tab w:val="left" w:pos="1371"/>
        </w:tabs>
        <w:rPr>
          <w:sz w:val="21"/>
        </w:rPr>
      </w:pPr>
      <w:r>
        <w:rPr>
          <w:spacing w:val="-3"/>
          <w:sz w:val="21"/>
        </w:rPr>
        <w:t>形式检验在下列情况之一时进行：</w:t>
      </w:r>
      <w:r>
        <w:rPr>
          <w:sz w:val="21"/>
        </w:rPr>
        <w:t xml:space="preserve"> </w:t>
      </w:r>
    </w:p>
    <w:p w14:paraId="59CB033C" w14:textId="77777777" w:rsidR="00A71EEF" w:rsidRDefault="00A71EEF">
      <w:pPr>
        <w:pStyle w:val="a3"/>
        <w:spacing w:before="2"/>
        <w:rPr>
          <w:sz w:val="18"/>
        </w:rPr>
      </w:pPr>
    </w:p>
    <w:p w14:paraId="5C47EE56" w14:textId="77777777" w:rsidR="00A71EEF" w:rsidRDefault="0081115D">
      <w:pPr>
        <w:pStyle w:val="a3"/>
        <w:ind w:left="838"/>
      </w:pPr>
      <w:r>
        <w:t>——</w:t>
      </w:r>
      <w:r>
        <w:t>新产品试制定型时；</w:t>
      </w:r>
      <w:r>
        <w:t xml:space="preserve"> </w:t>
      </w:r>
    </w:p>
    <w:p w14:paraId="4E8F3567" w14:textId="77777777" w:rsidR="00A71EEF" w:rsidRDefault="00A71EEF">
      <w:pPr>
        <w:pStyle w:val="a3"/>
        <w:rPr>
          <w:sz w:val="18"/>
        </w:rPr>
      </w:pPr>
    </w:p>
    <w:p w14:paraId="67009A4A" w14:textId="77777777" w:rsidR="00A71EEF" w:rsidRDefault="0081115D">
      <w:pPr>
        <w:pStyle w:val="a3"/>
        <w:ind w:left="838"/>
      </w:pPr>
      <w:r>
        <w:t>——</w:t>
      </w:r>
      <w:r>
        <w:t>产品设计、材料、结构、工艺上有较大改变时；</w:t>
      </w:r>
      <w:r>
        <w:t xml:space="preserve"> </w:t>
      </w:r>
    </w:p>
    <w:p w14:paraId="1D2BFBFA" w14:textId="77777777" w:rsidR="00A71EEF" w:rsidRDefault="00A71EEF">
      <w:pPr>
        <w:pStyle w:val="a3"/>
        <w:rPr>
          <w:sz w:val="18"/>
        </w:rPr>
      </w:pPr>
    </w:p>
    <w:p w14:paraId="3B6E594C" w14:textId="77777777" w:rsidR="00A71EEF" w:rsidRDefault="0081115D">
      <w:pPr>
        <w:pStyle w:val="a3"/>
        <w:ind w:left="838"/>
      </w:pPr>
      <w:r>
        <w:t>——</w:t>
      </w:r>
      <w:r>
        <w:t>正常生产满二年时；</w:t>
      </w:r>
      <w:r>
        <w:t xml:space="preserve"> </w:t>
      </w:r>
    </w:p>
    <w:p w14:paraId="13648A49" w14:textId="77777777" w:rsidR="00A71EEF" w:rsidRDefault="00A71EEF">
      <w:pPr>
        <w:pStyle w:val="a3"/>
        <w:spacing w:before="2"/>
        <w:rPr>
          <w:sz w:val="18"/>
        </w:rPr>
      </w:pPr>
    </w:p>
    <w:p w14:paraId="1319C58C" w14:textId="77777777" w:rsidR="00A71EEF" w:rsidRDefault="0081115D">
      <w:pPr>
        <w:pStyle w:val="a3"/>
        <w:ind w:left="838"/>
      </w:pPr>
      <w:r>
        <w:t>——</w:t>
      </w:r>
      <w:r>
        <w:t>停产一年恢复生产时；</w:t>
      </w:r>
      <w:r>
        <w:t xml:space="preserve"> </w:t>
      </w:r>
    </w:p>
    <w:p w14:paraId="5EBC5A15" w14:textId="77777777" w:rsidR="00A71EEF" w:rsidRDefault="00A71EEF">
      <w:pPr>
        <w:pStyle w:val="a3"/>
        <w:spacing w:before="12"/>
        <w:rPr>
          <w:sz w:val="17"/>
        </w:rPr>
      </w:pPr>
    </w:p>
    <w:p w14:paraId="7AD8C9BE" w14:textId="77777777" w:rsidR="00A71EEF" w:rsidRDefault="0081115D">
      <w:pPr>
        <w:pStyle w:val="a3"/>
        <w:ind w:left="838"/>
      </w:pPr>
      <w:r>
        <w:t>——</w:t>
      </w:r>
      <w:r>
        <w:t>国家质量监督机构提出进行型式检验要求时。</w:t>
      </w:r>
      <w:r>
        <w:t xml:space="preserve"> </w:t>
      </w:r>
    </w:p>
    <w:p w14:paraId="69C0705D" w14:textId="77777777" w:rsidR="00A71EEF" w:rsidRDefault="00A71EEF">
      <w:pPr>
        <w:pStyle w:val="a3"/>
        <w:rPr>
          <w:sz w:val="18"/>
        </w:rPr>
      </w:pPr>
    </w:p>
    <w:p w14:paraId="16A380D2" w14:textId="77777777" w:rsidR="00A71EEF" w:rsidRDefault="0081115D">
      <w:pPr>
        <w:pStyle w:val="a4"/>
        <w:numPr>
          <w:ilvl w:val="2"/>
          <w:numId w:val="868"/>
        </w:numPr>
        <w:tabs>
          <w:tab w:val="left" w:pos="1371"/>
        </w:tabs>
        <w:rPr>
          <w:sz w:val="21"/>
        </w:rPr>
      </w:pPr>
      <w:r>
        <w:rPr>
          <w:spacing w:val="-5"/>
          <w:sz w:val="21"/>
        </w:rPr>
        <w:t>形式检验的样品应在出厂检验合格的产品中随机抽样，样本数为</w:t>
      </w:r>
      <w:r>
        <w:rPr>
          <w:spacing w:val="-5"/>
          <w:sz w:val="21"/>
        </w:rPr>
        <w:t xml:space="preserve"> </w:t>
      </w:r>
      <w:r>
        <w:rPr>
          <w:sz w:val="21"/>
        </w:rPr>
        <w:t>9</w:t>
      </w:r>
      <w:r>
        <w:rPr>
          <w:spacing w:val="-19"/>
          <w:sz w:val="21"/>
        </w:rPr>
        <w:t xml:space="preserve"> </w:t>
      </w:r>
      <w:r>
        <w:rPr>
          <w:spacing w:val="-19"/>
          <w:sz w:val="21"/>
        </w:rPr>
        <w:t>台。</w:t>
      </w:r>
      <w:r>
        <w:rPr>
          <w:spacing w:val="-19"/>
          <w:sz w:val="21"/>
        </w:rPr>
        <w:t xml:space="preserve"> </w:t>
      </w:r>
    </w:p>
    <w:p w14:paraId="1991B462" w14:textId="77777777" w:rsidR="00A71EEF" w:rsidRDefault="00A71EEF">
      <w:pPr>
        <w:pStyle w:val="a3"/>
        <w:spacing w:before="1"/>
        <w:rPr>
          <w:sz w:val="18"/>
        </w:rPr>
      </w:pPr>
    </w:p>
    <w:p w14:paraId="05C1E102" w14:textId="77777777" w:rsidR="00A71EEF" w:rsidRDefault="0081115D">
      <w:pPr>
        <w:pStyle w:val="a4"/>
        <w:numPr>
          <w:ilvl w:val="2"/>
          <w:numId w:val="868"/>
        </w:numPr>
        <w:tabs>
          <w:tab w:val="left" w:pos="1369"/>
        </w:tabs>
        <w:spacing w:before="1"/>
        <w:ind w:left="1368"/>
        <w:rPr>
          <w:sz w:val="21"/>
        </w:rPr>
      </w:pPr>
      <w:r>
        <w:rPr>
          <w:spacing w:val="-6"/>
          <w:sz w:val="21"/>
        </w:rPr>
        <w:t>形式检验项目、试验程序和不合格分类应按表</w:t>
      </w:r>
      <w:r>
        <w:rPr>
          <w:spacing w:val="-6"/>
          <w:sz w:val="21"/>
        </w:rPr>
        <w:t xml:space="preserve"> </w:t>
      </w:r>
      <w:r>
        <w:rPr>
          <w:sz w:val="21"/>
        </w:rPr>
        <w:t>3</w:t>
      </w:r>
      <w:r>
        <w:rPr>
          <w:spacing w:val="-15"/>
          <w:sz w:val="21"/>
        </w:rPr>
        <w:t xml:space="preserve"> </w:t>
      </w:r>
      <w:r>
        <w:rPr>
          <w:spacing w:val="-15"/>
          <w:sz w:val="21"/>
        </w:rPr>
        <w:t>进行。</w:t>
      </w:r>
      <w:r>
        <w:rPr>
          <w:sz w:val="21"/>
        </w:rPr>
        <w:t xml:space="preserve"> </w:t>
      </w:r>
    </w:p>
    <w:p w14:paraId="79E1AF30" w14:textId="77777777" w:rsidR="00A71EEF" w:rsidRDefault="0081115D">
      <w:pPr>
        <w:pStyle w:val="a3"/>
        <w:spacing w:before="5"/>
        <w:rPr>
          <w:sz w:val="17"/>
        </w:rPr>
      </w:pPr>
      <w:r>
        <w:rPr>
          <w:noProof/>
        </w:rPr>
        <w:drawing>
          <wp:anchor distT="0" distB="0" distL="0" distR="0" simplePos="0" relativeHeight="251483648" behindDoc="0" locked="0" layoutInCell="1" allowOverlap="1" wp14:anchorId="2502AE17" wp14:editId="72DD5E9A">
            <wp:simplePos x="0" y="0"/>
            <wp:positionH relativeFrom="page">
              <wp:posOffset>1303655</wp:posOffset>
            </wp:positionH>
            <wp:positionV relativeFrom="paragraph">
              <wp:posOffset>166663</wp:posOffset>
            </wp:positionV>
            <wp:extent cx="4741829" cy="4152900"/>
            <wp:effectExtent l="0" t="0" r="0" b="0"/>
            <wp:wrapTopAndBottom/>
            <wp:docPr id="79"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57.jpeg"/>
                    <pic:cNvPicPr/>
                  </pic:nvPicPr>
                  <pic:blipFill>
                    <a:blip r:embed="rId53" cstate="print"/>
                    <a:stretch>
                      <a:fillRect/>
                    </a:stretch>
                  </pic:blipFill>
                  <pic:spPr>
                    <a:xfrm>
                      <a:off x="0" y="0"/>
                      <a:ext cx="4741829" cy="4152900"/>
                    </a:xfrm>
                    <a:prstGeom prst="rect">
                      <a:avLst/>
                    </a:prstGeom>
                  </pic:spPr>
                </pic:pic>
              </a:graphicData>
            </a:graphic>
          </wp:anchor>
        </w:drawing>
      </w:r>
    </w:p>
    <w:p w14:paraId="620ABDBF" w14:textId="77777777" w:rsidR="00A71EEF" w:rsidRDefault="00A71EEF">
      <w:pPr>
        <w:pStyle w:val="a3"/>
        <w:rPr>
          <w:sz w:val="20"/>
        </w:rPr>
      </w:pPr>
    </w:p>
    <w:p w14:paraId="511E2539" w14:textId="77777777" w:rsidR="00A71EEF" w:rsidRDefault="00A71EEF">
      <w:pPr>
        <w:pStyle w:val="a3"/>
        <w:rPr>
          <w:sz w:val="20"/>
        </w:rPr>
      </w:pPr>
    </w:p>
    <w:p w14:paraId="0C86D793" w14:textId="77777777" w:rsidR="00A71EEF" w:rsidRDefault="0081115D">
      <w:pPr>
        <w:pStyle w:val="a3"/>
        <w:spacing w:before="169"/>
        <w:ind w:left="838"/>
      </w:pPr>
      <w:r>
        <w:t xml:space="preserve"> </w:t>
      </w:r>
    </w:p>
    <w:p w14:paraId="2C08CA0A" w14:textId="77777777" w:rsidR="00A71EEF" w:rsidRDefault="00A71EEF">
      <w:pPr>
        <w:sectPr w:rsidR="00A71EEF">
          <w:pgSz w:w="11910" w:h="16850"/>
          <w:pgMar w:top="1220" w:right="0" w:bottom="1420" w:left="1260" w:header="0" w:footer="1239" w:gutter="0"/>
          <w:cols w:space="720"/>
        </w:sectPr>
      </w:pPr>
    </w:p>
    <w:p w14:paraId="683BBED7" w14:textId="77777777" w:rsidR="00A71EEF" w:rsidRDefault="00A71EEF">
      <w:pPr>
        <w:pStyle w:val="a3"/>
        <w:rPr>
          <w:sz w:val="20"/>
        </w:rPr>
      </w:pPr>
    </w:p>
    <w:p w14:paraId="57153CCF" w14:textId="77777777" w:rsidR="00A71EEF" w:rsidRDefault="00A71EEF">
      <w:pPr>
        <w:pStyle w:val="a3"/>
        <w:rPr>
          <w:sz w:val="20"/>
        </w:rPr>
      </w:pPr>
    </w:p>
    <w:p w14:paraId="64CAB0F5" w14:textId="77777777" w:rsidR="00A71EEF" w:rsidRDefault="00A71EEF">
      <w:pPr>
        <w:pStyle w:val="a3"/>
        <w:rPr>
          <w:sz w:val="20"/>
        </w:rPr>
      </w:pPr>
    </w:p>
    <w:p w14:paraId="4EF38616" w14:textId="77777777" w:rsidR="00A71EEF" w:rsidRDefault="00A71EEF">
      <w:pPr>
        <w:pStyle w:val="a3"/>
        <w:spacing w:before="7"/>
        <w:rPr>
          <w:sz w:val="25"/>
        </w:rPr>
      </w:pPr>
    </w:p>
    <w:p w14:paraId="6F6BE716" w14:textId="77777777" w:rsidR="00A71EEF" w:rsidRDefault="0081115D">
      <w:pPr>
        <w:pStyle w:val="6"/>
        <w:spacing w:before="72"/>
        <w:ind w:left="840"/>
      </w:pPr>
      <w:r>
        <w:t>续表</w:t>
      </w:r>
      <w:r>
        <w:t xml:space="preserve"> 3 </w:t>
      </w:r>
    </w:p>
    <w:p w14:paraId="198D22D1" w14:textId="77777777" w:rsidR="00A71EEF" w:rsidRDefault="0081115D">
      <w:pPr>
        <w:pStyle w:val="a3"/>
        <w:spacing w:before="1"/>
        <w:rPr>
          <w:b/>
          <w:sz w:val="10"/>
        </w:rPr>
      </w:pPr>
      <w:r>
        <w:rPr>
          <w:noProof/>
        </w:rPr>
        <w:drawing>
          <wp:anchor distT="0" distB="0" distL="0" distR="0" simplePos="0" relativeHeight="251484672" behindDoc="0" locked="0" layoutInCell="1" allowOverlap="1" wp14:anchorId="31832744" wp14:editId="0F863625">
            <wp:simplePos x="0" y="0"/>
            <wp:positionH relativeFrom="page">
              <wp:posOffset>1357630</wp:posOffset>
            </wp:positionH>
            <wp:positionV relativeFrom="paragraph">
              <wp:posOffset>107362</wp:posOffset>
            </wp:positionV>
            <wp:extent cx="4698247" cy="4032504"/>
            <wp:effectExtent l="0" t="0" r="0" b="0"/>
            <wp:wrapTopAndBottom/>
            <wp:docPr id="81"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58.jpeg"/>
                    <pic:cNvPicPr/>
                  </pic:nvPicPr>
                  <pic:blipFill>
                    <a:blip r:embed="rId54" cstate="print"/>
                    <a:stretch>
                      <a:fillRect/>
                    </a:stretch>
                  </pic:blipFill>
                  <pic:spPr>
                    <a:xfrm>
                      <a:off x="0" y="0"/>
                      <a:ext cx="4698247" cy="4032504"/>
                    </a:xfrm>
                    <a:prstGeom prst="rect">
                      <a:avLst/>
                    </a:prstGeom>
                  </pic:spPr>
                </pic:pic>
              </a:graphicData>
            </a:graphic>
          </wp:anchor>
        </w:drawing>
      </w:r>
    </w:p>
    <w:p w14:paraId="567D6E16" w14:textId="77777777" w:rsidR="00A71EEF" w:rsidRDefault="0081115D">
      <w:pPr>
        <w:pStyle w:val="a4"/>
        <w:numPr>
          <w:ilvl w:val="2"/>
          <w:numId w:val="868"/>
        </w:numPr>
        <w:tabs>
          <w:tab w:val="left" w:pos="1371"/>
        </w:tabs>
        <w:spacing w:before="172"/>
        <w:rPr>
          <w:sz w:val="21"/>
        </w:rPr>
      </w:pPr>
      <w:r>
        <w:rPr>
          <w:spacing w:val="-3"/>
          <w:sz w:val="21"/>
        </w:rPr>
        <w:t>检验结果出现下列情况之一时即判定为不合格：</w:t>
      </w:r>
      <w:r>
        <w:rPr>
          <w:sz w:val="21"/>
        </w:rPr>
        <w:t xml:space="preserve"> </w:t>
      </w:r>
    </w:p>
    <w:p w14:paraId="24F52ABE" w14:textId="77777777" w:rsidR="00A71EEF" w:rsidRDefault="00A71EEF">
      <w:pPr>
        <w:pStyle w:val="a3"/>
        <w:spacing w:before="2"/>
        <w:rPr>
          <w:sz w:val="18"/>
        </w:rPr>
      </w:pPr>
    </w:p>
    <w:p w14:paraId="6C759250" w14:textId="77777777" w:rsidR="00A71EEF" w:rsidRDefault="0081115D">
      <w:pPr>
        <w:pStyle w:val="a3"/>
        <w:ind w:left="838"/>
      </w:pPr>
      <w:r>
        <w:t>——</w:t>
      </w:r>
      <w:r>
        <w:t>出现</w:t>
      </w:r>
      <w:r>
        <w:t xml:space="preserve"> A </w:t>
      </w:r>
      <w:r>
        <w:t>类不合格；</w:t>
      </w:r>
      <w:r>
        <w:t xml:space="preserve"> </w:t>
      </w:r>
    </w:p>
    <w:p w14:paraId="757AF85A" w14:textId="77777777" w:rsidR="00A71EEF" w:rsidRDefault="00A71EEF">
      <w:pPr>
        <w:pStyle w:val="a3"/>
        <w:rPr>
          <w:sz w:val="18"/>
        </w:rPr>
      </w:pPr>
    </w:p>
    <w:p w14:paraId="0996871D" w14:textId="77777777" w:rsidR="00A71EEF" w:rsidRDefault="0081115D">
      <w:pPr>
        <w:pStyle w:val="a3"/>
        <w:ind w:left="838"/>
      </w:pPr>
      <w:r>
        <w:t>——</w:t>
      </w:r>
      <w:r>
        <w:t>出现大于或等于二个</w:t>
      </w:r>
      <w:r>
        <w:t xml:space="preserve">B </w:t>
      </w:r>
      <w:r>
        <w:t>类不合格；</w:t>
      </w:r>
      <w:r>
        <w:t xml:space="preserve"> </w:t>
      </w:r>
    </w:p>
    <w:p w14:paraId="6ECA2518" w14:textId="77777777" w:rsidR="00A71EEF" w:rsidRDefault="00A71EEF">
      <w:pPr>
        <w:pStyle w:val="a3"/>
        <w:spacing w:before="12"/>
        <w:rPr>
          <w:sz w:val="17"/>
        </w:rPr>
      </w:pPr>
    </w:p>
    <w:p w14:paraId="5BFE0772" w14:textId="77777777" w:rsidR="00A71EEF" w:rsidRDefault="0081115D">
      <w:pPr>
        <w:pStyle w:val="a3"/>
        <w:spacing w:line="446" w:lineRule="auto"/>
        <w:ind w:left="840" w:right="4026" w:hanging="3"/>
        <w:rPr>
          <w:b/>
        </w:rPr>
      </w:pPr>
      <w:r>
        <w:rPr>
          <w:spacing w:val="-9"/>
        </w:rPr>
        <w:t>——</w:t>
      </w:r>
      <w:r>
        <w:rPr>
          <w:spacing w:val="-9"/>
        </w:rPr>
        <w:t>出现一个</w:t>
      </w:r>
      <w:r>
        <w:rPr>
          <w:spacing w:val="-9"/>
        </w:rPr>
        <w:t xml:space="preserve"> </w:t>
      </w:r>
      <w:r>
        <w:t>B</w:t>
      </w:r>
      <w:r>
        <w:rPr>
          <w:spacing w:val="-11"/>
        </w:rPr>
        <w:t xml:space="preserve"> </w:t>
      </w:r>
      <w:r>
        <w:rPr>
          <w:spacing w:val="-11"/>
        </w:rPr>
        <w:t>类不合格，同时出现不少于二个</w:t>
      </w:r>
      <w:r>
        <w:rPr>
          <w:spacing w:val="-11"/>
        </w:rPr>
        <w:t xml:space="preserve"> </w:t>
      </w:r>
      <w:r>
        <w:t>C</w:t>
      </w:r>
      <w:r>
        <w:rPr>
          <w:spacing w:val="-11"/>
        </w:rPr>
        <w:t xml:space="preserve"> </w:t>
      </w:r>
      <w:r>
        <w:rPr>
          <w:spacing w:val="-11"/>
        </w:rPr>
        <w:t>类不合格。</w:t>
      </w:r>
      <w:r>
        <w:rPr>
          <w:b/>
        </w:rPr>
        <w:t xml:space="preserve">7.2 </w:t>
      </w:r>
      <w:r>
        <w:rPr>
          <w:spacing w:val="-3"/>
        </w:rPr>
        <w:t>出厂检验</w:t>
      </w:r>
      <w:r>
        <w:rPr>
          <w:b/>
          <w:w w:val="99"/>
        </w:rPr>
        <w:t xml:space="preserve"> </w:t>
      </w:r>
    </w:p>
    <w:p w14:paraId="3B7098D3" w14:textId="77777777" w:rsidR="00A71EEF" w:rsidRDefault="0081115D">
      <w:pPr>
        <w:pStyle w:val="a3"/>
        <w:ind w:left="840"/>
      </w:pPr>
      <w:r>
        <w:rPr>
          <w:b/>
        </w:rPr>
        <w:t xml:space="preserve">7.2.1 </w:t>
      </w:r>
      <w:r>
        <w:t>每台呼救器应检验合格后方可出厂，并应附有产品合格证。</w:t>
      </w:r>
      <w:r>
        <w:t xml:space="preserve"> </w:t>
      </w:r>
    </w:p>
    <w:p w14:paraId="69A3AC85" w14:textId="77777777" w:rsidR="00A71EEF" w:rsidRDefault="00A71EEF">
      <w:pPr>
        <w:pStyle w:val="a3"/>
        <w:spacing w:before="12"/>
        <w:rPr>
          <w:sz w:val="17"/>
        </w:rPr>
      </w:pPr>
    </w:p>
    <w:p w14:paraId="471E4A4D" w14:textId="77777777" w:rsidR="00A71EEF" w:rsidRDefault="0081115D">
      <w:pPr>
        <w:pStyle w:val="a3"/>
        <w:ind w:left="840"/>
      </w:pPr>
      <w:r>
        <w:rPr>
          <w:b/>
        </w:rPr>
        <w:t xml:space="preserve">7.2.2 </w:t>
      </w:r>
      <w:r>
        <w:t>每台呼救器的出厂检验项目应包括</w:t>
      </w:r>
      <w:r>
        <w:t xml:space="preserve"> 5.2</w:t>
      </w:r>
      <w:r>
        <w:t>、</w:t>
      </w:r>
      <w:r>
        <w:t>5.3.1~5.3.4</w:t>
      </w:r>
      <w:r>
        <w:t>、</w:t>
      </w:r>
      <w:r>
        <w:t>5.3.7</w:t>
      </w:r>
      <w:r>
        <w:t>、</w:t>
      </w:r>
      <w:r>
        <w:t>5.3.8</w:t>
      </w:r>
      <w:r>
        <w:t>、</w:t>
      </w:r>
      <w:r>
        <w:t>5.3.10a)</w:t>
      </w:r>
      <w:r>
        <w:t>、</w:t>
      </w:r>
    </w:p>
    <w:p w14:paraId="70153999" w14:textId="77777777" w:rsidR="00A71EEF" w:rsidRDefault="00A71EEF">
      <w:pPr>
        <w:pStyle w:val="a3"/>
        <w:spacing w:before="2"/>
        <w:rPr>
          <w:sz w:val="18"/>
        </w:rPr>
      </w:pPr>
    </w:p>
    <w:p w14:paraId="794F8350" w14:textId="77777777" w:rsidR="00A71EEF" w:rsidRDefault="0081115D">
      <w:pPr>
        <w:pStyle w:val="a3"/>
        <w:ind w:left="418"/>
      </w:pPr>
      <w:r>
        <w:t>5.3.18</w:t>
      </w:r>
      <w:r>
        <w:t>，通信型呼救器还应包括</w:t>
      </w:r>
      <w:r>
        <w:t xml:space="preserve"> 5.3.14~5.3.17</w:t>
      </w:r>
      <w:r>
        <w:t>。</w:t>
      </w:r>
      <w:r>
        <w:t xml:space="preserve"> </w:t>
      </w:r>
    </w:p>
    <w:p w14:paraId="7A6D8114" w14:textId="77777777" w:rsidR="00A71EEF" w:rsidRDefault="00A71EEF">
      <w:pPr>
        <w:pStyle w:val="a3"/>
        <w:rPr>
          <w:sz w:val="18"/>
        </w:rPr>
      </w:pPr>
    </w:p>
    <w:p w14:paraId="55FDE78E" w14:textId="77777777" w:rsidR="00A71EEF" w:rsidRDefault="0081115D">
      <w:pPr>
        <w:pStyle w:val="a3"/>
        <w:ind w:left="840"/>
      </w:pPr>
      <w:r>
        <w:rPr>
          <w:b/>
        </w:rPr>
        <w:t xml:space="preserve">7.2.3 </w:t>
      </w:r>
      <w:r>
        <w:t>检验结果如有一项不符合本标准规定，则该台产品出厂检验为不合格。</w:t>
      </w:r>
      <w:r>
        <w:t xml:space="preserve"> </w:t>
      </w:r>
    </w:p>
    <w:p w14:paraId="08A92634" w14:textId="77777777" w:rsidR="00A71EEF" w:rsidRDefault="00A71EEF">
      <w:pPr>
        <w:pStyle w:val="a3"/>
        <w:spacing w:before="8"/>
        <w:rPr>
          <w:sz w:val="15"/>
        </w:rPr>
      </w:pPr>
    </w:p>
    <w:p w14:paraId="5C2B56C8" w14:textId="77777777" w:rsidR="00A71EEF" w:rsidRDefault="0081115D">
      <w:pPr>
        <w:pStyle w:val="4"/>
      </w:pPr>
      <w:r>
        <w:t xml:space="preserve">8 </w:t>
      </w:r>
      <w:r>
        <w:t>标志、包装、运输和贮存</w:t>
      </w:r>
      <w:r>
        <w:rPr>
          <w:w w:val="99"/>
        </w:rPr>
        <w:t xml:space="preserve"> </w:t>
      </w:r>
    </w:p>
    <w:p w14:paraId="05AD11D9" w14:textId="77777777" w:rsidR="00A71EEF" w:rsidRDefault="00A71EEF">
      <w:pPr>
        <w:pStyle w:val="a3"/>
        <w:spacing w:before="6"/>
        <w:rPr>
          <w:b/>
          <w:sz w:val="17"/>
        </w:rPr>
      </w:pPr>
    </w:p>
    <w:p w14:paraId="5B92677B" w14:textId="77777777" w:rsidR="00A71EEF" w:rsidRDefault="0081115D">
      <w:pPr>
        <w:pStyle w:val="a4"/>
        <w:numPr>
          <w:ilvl w:val="1"/>
          <w:numId w:val="867"/>
        </w:numPr>
        <w:tabs>
          <w:tab w:val="left" w:pos="1160"/>
        </w:tabs>
        <w:spacing w:before="1"/>
        <w:rPr>
          <w:sz w:val="21"/>
        </w:rPr>
      </w:pPr>
      <w:r>
        <w:rPr>
          <w:spacing w:val="-3"/>
          <w:sz w:val="21"/>
        </w:rPr>
        <w:t>标志</w:t>
      </w:r>
      <w:r>
        <w:rPr>
          <w:sz w:val="21"/>
        </w:rPr>
        <w:t xml:space="preserve"> </w:t>
      </w:r>
    </w:p>
    <w:p w14:paraId="1A98B5A0" w14:textId="77777777" w:rsidR="00A71EEF" w:rsidRDefault="00A71EEF">
      <w:pPr>
        <w:rPr>
          <w:sz w:val="21"/>
        </w:rPr>
        <w:sectPr w:rsidR="00A71EEF">
          <w:pgSz w:w="11910" w:h="16850"/>
          <w:pgMar w:top="1600" w:right="0" w:bottom="1420" w:left="1260" w:header="0" w:footer="1239" w:gutter="0"/>
          <w:cols w:space="720"/>
        </w:sectPr>
      </w:pPr>
    </w:p>
    <w:p w14:paraId="6F7C69BA" w14:textId="77777777" w:rsidR="00A71EEF" w:rsidRDefault="0081115D">
      <w:pPr>
        <w:pStyle w:val="a4"/>
        <w:numPr>
          <w:ilvl w:val="2"/>
          <w:numId w:val="867"/>
        </w:numPr>
        <w:tabs>
          <w:tab w:val="left" w:pos="1371"/>
        </w:tabs>
        <w:spacing w:before="47"/>
        <w:rPr>
          <w:sz w:val="21"/>
        </w:rPr>
      </w:pPr>
      <w:r>
        <w:rPr>
          <w:spacing w:val="-3"/>
          <w:sz w:val="21"/>
        </w:rPr>
        <w:lastRenderedPageBreak/>
        <w:t>产品标志</w:t>
      </w:r>
      <w:r>
        <w:rPr>
          <w:sz w:val="21"/>
        </w:rPr>
        <w:t xml:space="preserve"> </w:t>
      </w:r>
    </w:p>
    <w:p w14:paraId="12F10407" w14:textId="77777777" w:rsidR="00A71EEF" w:rsidRDefault="00A71EEF">
      <w:pPr>
        <w:pStyle w:val="a3"/>
        <w:rPr>
          <w:sz w:val="18"/>
        </w:rPr>
      </w:pPr>
    </w:p>
    <w:p w14:paraId="433432F8" w14:textId="77777777" w:rsidR="00A71EEF" w:rsidRDefault="0081115D">
      <w:pPr>
        <w:pStyle w:val="a3"/>
        <w:spacing w:line="446" w:lineRule="auto"/>
        <w:ind w:left="838" w:right="7595"/>
      </w:pPr>
      <w:r>
        <w:rPr>
          <w:spacing w:val="-3"/>
        </w:rPr>
        <w:t>产品上应标有如下内容</w:t>
      </w:r>
      <w:r>
        <w:rPr>
          <w:spacing w:val="-3"/>
        </w:rPr>
        <w:t xml:space="preserve">: </w:t>
      </w:r>
      <w:r>
        <w:t>a)</w:t>
      </w:r>
      <w:r>
        <w:rPr>
          <w:spacing w:val="-2"/>
        </w:rPr>
        <w:t xml:space="preserve">  </w:t>
      </w:r>
      <w:r>
        <w:rPr>
          <w:spacing w:val="-2"/>
        </w:rPr>
        <w:t>产品名称、型号；</w:t>
      </w:r>
      <w:r>
        <w:rPr>
          <w:spacing w:val="-2"/>
        </w:rPr>
        <w:t xml:space="preserve"> </w:t>
      </w:r>
      <w:r>
        <w:t>b)</w:t>
      </w:r>
      <w:r>
        <w:rPr>
          <w:spacing w:val="-3"/>
        </w:rPr>
        <w:t xml:space="preserve"> </w:t>
      </w:r>
      <w:r>
        <w:rPr>
          <w:spacing w:val="-3"/>
        </w:rPr>
        <w:t>生产厂名；</w:t>
      </w:r>
      <w:r>
        <w:t xml:space="preserve"> </w:t>
      </w:r>
    </w:p>
    <w:p w14:paraId="4494374D" w14:textId="77777777" w:rsidR="00A71EEF" w:rsidRDefault="0081115D">
      <w:pPr>
        <w:pStyle w:val="a3"/>
        <w:spacing w:line="446" w:lineRule="auto"/>
        <w:ind w:left="838" w:right="8330"/>
      </w:pPr>
      <w:r>
        <w:t>c)</w:t>
      </w:r>
      <w:r>
        <w:rPr>
          <w:spacing w:val="-2"/>
        </w:rPr>
        <w:t xml:space="preserve"> </w:t>
      </w:r>
      <w:r>
        <w:rPr>
          <w:spacing w:val="-2"/>
        </w:rPr>
        <w:t>生产日期；</w:t>
      </w:r>
      <w:r>
        <w:rPr>
          <w:spacing w:val="-2"/>
        </w:rPr>
        <w:t xml:space="preserve"> </w:t>
      </w:r>
      <w:r>
        <w:t>d)</w:t>
      </w:r>
      <w:r>
        <w:rPr>
          <w:spacing w:val="-2"/>
        </w:rPr>
        <w:t xml:space="preserve"> </w:t>
      </w:r>
      <w:r>
        <w:rPr>
          <w:spacing w:val="-2"/>
        </w:rPr>
        <w:t>防爆标志；</w:t>
      </w:r>
      <w:r>
        <w:t xml:space="preserve"> </w:t>
      </w:r>
    </w:p>
    <w:p w14:paraId="051A4B56" w14:textId="77777777" w:rsidR="00A71EEF" w:rsidRDefault="0081115D">
      <w:pPr>
        <w:spacing w:line="446" w:lineRule="auto"/>
        <w:ind w:left="840" w:right="7914" w:hanging="3"/>
        <w:rPr>
          <w:sz w:val="21"/>
        </w:rPr>
      </w:pPr>
      <w:r>
        <w:rPr>
          <w:sz w:val="21"/>
        </w:rPr>
        <w:t xml:space="preserve">e) </w:t>
      </w:r>
      <w:r>
        <w:rPr>
          <w:sz w:val="21"/>
        </w:rPr>
        <w:t>执行标准代号。</w:t>
      </w:r>
      <w:r>
        <w:rPr>
          <w:b/>
          <w:sz w:val="21"/>
        </w:rPr>
        <w:t xml:space="preserve">8.1.2 </w:t>
      </w:r>
      <w:r>
        <w:rPr>
          <w:sz w:val="21"/>
        </w:rPr>
        <w:t>包装标志</w:t>
      </w:r>
      <w:r>
        <w:rPr>
          <w:sz w:val="21"/>
        </w:rPr>
        <w:t xml:space="preserve"> </w:t>
      </w:r>
    </w:p>
    <w:p w14:paraId="5CC8C4DC" w14:textId="77777777" w:rsidR="00A71EEF" w:rsidRDefault="0081115D">
      <w:pPr>
        <w:pStyle w:val="a3"/>
        <w:spacing w:line="446" w:lineRule="auto"/>
        <w:ind w:left="838" w:right="7338"/>
      </w:pPr>
      <w:r>
        <w:t>包装上应标有如下内容：</w:t>
      </w:r>
      <w:r>
        <w:t xml:space="preserve"> a) </w:t>
      </w:r>
      <w:r>
        <w:t>生产厂名、厂址；</w:t>
      </w:r>
      <w:r>
        <w:t xml:space="preserve"> </w:t>
      </w:r>
    </w:p>
    <w:p w14:paraId="1D35029E" w14:textId="77777777" w:rsidR="00A71EEF" w:rsidRDefault="0081115D">
      <w:pPr>
        <w:pStyle w:val="a3"/>
        <w:spacing w:line="446" w:lineRule="auto"/>
        <w:ind w:left="838" w:right="6918"/>
      </w:pPr>
      <w:r>
        <w:t xml:space="preserve">b) </w:t>
      </w:r>
      <w:r>
        <w:t>产品名称、型号、标准号；</w:t>
      </w:r>
      <w:r>
        <w:t xml:space="preserve"> c) </w:t>
      </w:r>
      <w:r>
        <w:t>生产日期；</w:t>
      </w:r>
      <w:r>
        <w:t xml:space="preserve"> </w:t>
      </w:r>
    </w:p>
    <w:p w14:paraId="15B220F2" w14:textId="77777777" w:rsidR="00A71EEF" w:rsidRDefault="0081115D">
      <w:pPr>
        <w:pStyle w:val="a3"/>
        <w:spacing w:line="446" w:lineRule="auto"/>
        <w:ind w:left="840" w:right="2451" w:hanging="3"/>
        <w:rPr>
          <w:b/>
        </w:rPr>
      </w:pPr>
      <w:r>
        <w:t>d)</w:t>
      </w:r>
      <w:r>
        <w:rPr>
          <w:spacing w:val="-5"/>
        </w:rPr>
        <w:t xml:space="preserve"> </w:t>
      </w:r>
      <w:r>
        <w:rPr>
          <w:spacing w:val="-5"/>
        </w:rPr>
        <w:t>应标有</w:t>
      </w:r>
      <w:r>
        <w:rPr>
          <w:spacing w:val="-5"/>
        </w:rPr>
        <w:t>“</w:t>
      </w:r>
      <w:r>
        <w:rPr>
          <w:spacing w:val="-5"/>
        </w:rPr>
        <w:t>小心轻放</w:t>
      </w:r>
      <w:r>
        <w:rPr>
          <w:spacing w:val="-5"/>
        </w:rPr>
        <w:t>”</w:t>
      </w:r>
      <w:r>
        <w:rPr>
          <w:spacing w:val="-5"/>
        </w:rPr>
        <w:t>、</w:t>
      </w:r>
      <w:r>
        <w:rPr>
          <w:spacing w:val="-5"/>
        </w:rPr>
        <w:t>“</w:t>
      </w:r>
      <w:r>
        <w:rPr>
          <w:spacing w:val="-5"/>
        </w:rPr>
        <w:t>防止雨淋</w:t>
      </w:r>
      <w:r>
        <w:rPr>
          <w:spacing w:val="-5"/>
        </w:rPr>
        <w:t>”</w:t>
      </w:r>
      <w:r>
        <w:rPr>
          <w:spacing w:val="-5"/>
        </w:rPr>
        <w:t>等标志，并符合</w:t>
      </w:r>
      <w:r>
        <w:rPr>
          <w:spacing w:val="-5"/>
        </w:rPr>
        <w:t xml:space="preserve"> </w:t>
      </w:r>
      <w:r>
        <w:t>GB/T 191</w:t>
      </w:r>
      <w:r>
        <w:rPr>
          <w:spacing w:val="-11"/>
        </w:rPr>
        <w:t xml:space="preserve"> </w:t>
      </w:r>
      <w:r>
        <w:rPr>
          <w:spacing w:val="-11"/>
        </w:rPr>
        <w:t>有关规定。</w:t>
      </w:r>
      <w:r>
        <w:rPr>
          <w:b/>
          <w:spacing w:val="-11"/>
        </w:rPr>
        <w:t>8.2</w:t>
      </w:r>
      <w:r>
        <w:rPr>
          <w:b/>
          <w:spacing w:val="1"/>
        </w:rPr>
        <w:t xml:space="preserve"> </w:t>
      </w:r>
      <w:r>
        <w:rPr>
          <w:spacing w:val="-3"/>
        </w:rPr>
        <w:t>包装</w:t>
      </w:r>
      <w:r>
        <w:rPr>
          <w:b/>
          <w:w w:val="99"/>
        </w:rPr>
        <w:t xml:space="preserve"> </w:t>
      </w:r>
    </w:p>
    <w:p w14:paraId="6DA6AA92" w14:textId="77777777" w:rsidR="00A71EEF" w:rsidRDefault="0081115D">
      <w:pPr>
        <w:pStyle w:val="a3"/>
        <w:spacing w:line="446" w:lineRule="auto"/>
        <w:ind w:left="840" w:right="2662" w:hanging="3"/>
      </w:pPr>
      <w:r>
        <w:t>每台呼救器用塑料袋封装后装入包装纸盒，并附有产品合格证和使用说明书</w:t>
      </w:r>
      <w:r>
        <w:t xml:space="preserve">„ </w:t>
      </w:r>
      <w:r>
        <w:rPr>
          <w:b/>
        </w:rPr>
        <w:t xml:space="preserve">8.3 </w:t>
      </w:r>
      <w:r>
        <w:t>运输和贮存</w:t>
      </w:r>
      <w:r>
        <w:t xml:space="preserve"> </w:t>
      </w:r>
    </w:p>
    <w:p w14:paraId="2DEA87E5" w14:textId="77777777" w:rsidR="00A71EEF" w:rsidRDefault="0081115D">
      <w:pPr>
        <w:pStyle w:val="a4"/>
        <w:numPr>
          <w:ilvl w:val="2"/>
          <w:numId w:val="866"/>
        </w:numPr>
        <w:tabs>
          <w:tab w:val="left" w:pos="1371"/>
        </w:tabs>
        <w:rPr>
          <w:sz w:val="21"/>
        </w:rPr>
      </w:pPr>
      <w:r>
        <w:rPr>
          <w:spacing w:val="-3"/>
          <w:sz w:val="21"/>
        </w:rPr>
        <w:t>呼救器在运输过程中应避免重压、碰撞和雨淋。</w:t>
      </w:r>
      <w:r>
        <w:rPr>
          <w:sz w:val="21"/>
        </w:rPr>
        <w:t xml:space="preserve"> </w:t>
      </w:r>
    </w:p>
    <w:p w14:paraId="196C228D" w14:textId="77777777" w:rsidR="00A71EEF" w:rsidRDefault="00A71EEF">
      <w:pPr>
        <w:pStyle w:val="a3"/>
        <w:spacing w:before="7"/>
        <w:rPr>
          <w:sz w:val="17"/>
        </w:rPr>
      </w:pPr>
    </w:p>
    <w:p w14:paraId="64764433" w14:textId="77777777" w:rsidR="00A71EEF" w:rsidRDefault="0081115D">
      <w:pPr>
        <w:pStyle w:val="a4"/>
        <w:numPr>
          <w:ilvl w:val="2"/>
          <w:numId w:val="866"/>
        </w:numPr>
        <w:tabs>
          <w:tab w:val="left" w:pos="1371"/>
        </w:tabs>
        <w:rPr>
          <w:sz w:val="21"/>
        </w:rPr>
      </w:pPr>
      <w:r>
        <w:rPr>
          <w:spacing w:val="-3"/>
          <w:sz w:val="21"/>
        </w:rPr>
        <w:t>呼救器应贮存在干燥、通风、无腐蚀性化学品的场所。</w:t>
      </w:r>
      <w:r>
        <w:rPr>
          <w:sz w:val="21"/>
        </w:rPr>
        <w:t xml:space="preserve"> </w:t>
      </w:r>
    </w:p>
    <w:p w14:paraId="28235596" w14:textId="77777777" w:rsidR="00A71EEF" w:rsidRDefault="00A71EEF">
      <w:pPr>
        <w:pStyle w:val="a3"/>
        <w:rPr>
          <w:sz w:val="20"/>
        </w:rPr>
      </w:pPr>
    </w:p>
    <w:p w14:paraId="6E971509" w14:textId="77777777" w:rsidR="00A71EEF" w:rsidRDefault="00A71EEF">
      <w:pPr>
        <w:pStyle w:val="a3"/>
        <w:rPr>
          <w:sz w:val="20"/>
        </w:rPr>
      </w:pPr>
    </w:p>
    <w:p w14:paraId="350EE74B" w14:textId="77777777" w:rsidR="00A71EEF" w:rsidRDefault="00A71EEF">
      <w:pPr>
        <w:pStyle w:val="a3"/>
        <w:rPr>
          <w:sz w:val="20"/>
        </w:rPr>
      </w:pPr>
    </w:p>
    <w:p w14:paraId="17CBE6D0" w14:textId="77777777" w:rsidR="00A71EEF" w:rsidRDefault="00A71EEF">
      <w:pPr>
        <w:pStyle w:val="a3"/>
        <w:rPr>
          <w:sz w:val="20"/>
        </w:rPr>
      </w:pPr>
    </w:p>
    <w:p w14:paraId="046286BE" w14:textId="77777777" w:rsidR="00A71EEF" w:rsidRDefault="00A71EEF">
      <w:pPr>
        <w:pStyle w:val="a3"/>
        <w:rPr>
          <w:sz w:val="20"/>
        </w:rPr>
      </w:pPr>
    </w:p>
    <w:p w14:paraId="52D7DDF2" w14:textId="77777777" w:rsidR="00A71EEF" w:rsidRDefault="00A71EEF">
      <w:pPr>
        <w:pStyle w:val="a3"/>
        <w:rPr>
          <w:sz w:val="20"/>
        </w:rPr>
      </w:pPr>
    </w:p>
    <w:p w14:paraId="3E6A6C39" w14:textId="77777777" w:rsidR="00A71EEF" w:rsidRDefault="00A71EEF">
      <w:pPr>
        <w:pStyle w:val="a3"/>
        <w:rPr>
          <w:sz w:val="20"/>
        </w:rPr>
      </w:pPr>
    </w:p>
    <w:p w14:paraId="13C6A259" w14:textId="77777777" w:rsidR="00A71EEF" w:rsidRDefault="00A71EEF">
      <w:pPr>
        <w:pStyle w:val="a3"/>
        <w:rPr>
          <w:sz w:val="20"/>
        </w:rPr>
      </w:pPr>
    </w:p>
    <w:p w14:paraId="464EE96D" w14:textId="77777777" w:rsidR="00A71EEF" w:rsidRDefault="00A71EEF">
      <w:pPr>
        <w:pStyle w:val="a3"/>
        <w:rPr>
          <w:sz w:val="20"/>
        </w:rPr>
      </w:pPr>
    </w:p>
    <w:p w14:paraId="5C5DE42C" w14:textId="77777777" w:rsidR="00A71EEF" w:rsidRDefault="00A71EEF">
      <w:pPr>
        <w:pStyle w:val="a3"/>
        <w:rPr>
          <w:sz w:val="20"/>
        </w:rPr>
      </w:pPr>
    </w:p>
    <w:p w14:paraId="19074334" w14:textId="77777777" w:rsidR="00A71EEF" w:rsidRDefault="00A71EEF">
      <w:pPr>
        <w:pStyle w:val="a3"/>
        <w:rPr>
          <w:sz w:val="20"/>
        </w:rPr>
      </w:pPr>
    </w:p>
    <w:p w14:paraId="46A9E5DA" w14:textId="77777777" w:rsidR="00A71EEF" w:rsidRDefault="00A71EEF">
      <w:pPr>
        <w:pStyle w:val="a3"/>
        <w:rPr>
          <w:sz w:val="20"/>
        </w:rPr>
      </w:pPr>
    </w:p>
    <w:p w14:paraId="7EE3AC5D" w14:textId="77777777" w:rsidR="00A71EEF" w:rsidRDefault="00A71EEF">
      <w:pPr>
        <w:pStyle w:val="a3"/>
        <w:rPr>
          <w:sz w:val="20"/>
        </w:rPr>
      </w:pPr>
    </w:p>
    <w:p w14:paraId="7F58799F" w14:textId="77777777" w:rsidR="00A71EEF" w:rsidRDefault="00A71EEF">
      <w:pPr>
        <w:pStyle w:val="a3"/>
        <w:rPr>
          <w:sz w:val="20"/>
        </w:rPr>
      </w:pPr>
    </w:p>
    <w:p w14:paraId="003EC320" w14:textId="77777777" w:rsidR="00A71EEF" w:rsidRDefault="00A71EEF">
      <w:pPr>
        <w:pStyle w:val="a3"/>
        <w:rPr>
          <w:sz w:val="20"/>
        </w:rPr>
      </w:pPr>
    </w:p>
    <w:p w14:paraId="02D04792" w14:textId="77777777" w:rsidR="00A71EEF" w:rsidRDefault="00A71EEF">
      <w:pPr>
        <w:pStyle w:val="a3"/>
        <w:rPr>
          <w:sz w:val="20"/>
        </w:rPr>
      </w:pPr>
    </w:p>
    <w:p w14:paraId="0B564E36" w14:textId="77777777" w:rsidR="00A71EEF" w:rsidRDefault="00A71EEF">
      <w:pPr>
        <w:pStyle w:val="a3"/>
        <w:rPr>
          <w:sz w:val="20"/>
        </w:rPr>
      </w:pPr>
    </w:p>
    <w:p w14:paraId="090328E1" w14:textId="77777777" w:rsidR="00A71EEF" w:rsidRDefault="00A71EEF">
      <w:pPr>
        <w:pStyle w:val="a3"/>
        <w:spacing w:before="11"/>
        <w:rPr>
          <w:sz w:val="23"/>
        </w:rPr>
      </w:pPr>
    </w:p>
    <w:p w14:paraId="5943E6F6" w14:textId="77777777" w:rsidR="00A71EEF" w:rsidRDefault="0081115D">
      <w:pPr>
        <w:pStyle w:val="a3"/>
        <w:spacing w:before="71"/>
        <w:ind w:left="838"/>
      </w:pPr>
      <w:r>
        <w:t xml:space="preserve"> </w:t>
      </w:r>
    </w:p>
    <w:p w14:paraId="1D005BCD" w14:textId="77777777" w:rsidR="00A71EEF" w:rsidRDefault="00A71EEF">
      <w:pPr>
        <w:sectPr w:rsidR="00A71EEF">
          <w:pgSz w:w="11910" w:h="16850"/>
          <w:pgMar w:top="1220" w:right="0" w:bottom="1420" w:left="1260" w:header="0" w:footer="1239" w:gutter="0"/>
          <w:cols w:space="720"/>
        </w:sectPr>
      </w:pPr>
    </w:p>
    <w:p w14:paraId="31CE7CF9" w14:textId="77777777" w:rsidR="00A71EEF" w:rsidRDefault="00A71EEF">
      <w:pPr>
        <w:pStyle w:val="a3"/>
        <w:rPr>
          <w:sz w:val="20"/>
        </w:rPr>
      </w:pPr>
    </w:p>
    <w:p w14:paraId="599D2A75" w14:textId="77777777" w:rsidR="00A71EEF" w:rsidRDefault="00A71EEF">
      <w:pPr>
        <w:pStyle w:val="a3"/>
        <w:rPr>
          <w:sz w:val="20"/>
        </w:rPr>
      </w:pPr>
    </w:p>
    <w:p w14:paraId="7D72A7B6" w14:textId="77777777" w:rsidR="00A71EEF" w:rsidRDefault="00A71EEF">
      <w:pPr>
        <w:pStyle w:val="a3"/>
        <w:rPr>
          <w:sz w:val="20"/>
        </w:rPr>
      </w:pPr>
    </w:p>
    <w:p w14:paraId="3298EFD2" w14:textId="77777777" w:rsidR="00A71EEF" w:rsidRDefault="00A71EEF">
      <w:pPr>
        <w:pStyle w:val="a3"/>
        <w:rPr>
          <w:sz w:val="20"/>
        </w:rPr>
      </w:pPr>
    </w:p>
    <w:p w14:paraId="30352B20" w14:textId="77777777" w:rsidR="00A71EEF" w:rsidRDefault="00A71EEF">
      <w:pPr>
        <w:pStyle w:val="a3"/>
        <w:rPr>
          <w:sz w:val="20"/>
        </w:rPr>
      </w:pPr>
    </w:p>
    <w:p w14:paraId="02C42A51" w14:textId="77777777" w:rsidR="00A71EEF" w:rsidRDefault="00A71EEF">
      <w:pPr>
        <w:pStyle w:val="a3"/>
        <w:rPr>
          <w:sz w:val="20"/>
        </w:rPr>
      </w:pPr>
    </w:p>
    <w:p w14:paraId="3A98280A" w14:textId="77777777" w:rsidR="00A71EEF" w:rsidRDefault="00A71EEF">
      <w:pPr>
        <w:pStyle w:val="a3"/>
        <w:rPr>
          <w:sz w:val="20"/>
        </w:rPr>
      </w:pPr>
    </w:p>
    <w:p w14:paraId="7A44CD77" w14:textId="77777777" w:rsidR="00A71EEF" w:rsidRDefault="00A71EEF">
      <w:pPr>
        <w:pStyle w:val="a3"/>
        <w:rPr>
          <w:sz w:val="20"/>
        </w:rPr>
      </w:pPr>
    </w:p>
    <w:p w14:paraId="3C8B4A2A" w14:textId="77777777" w:rsidR="00A71EEF" w:rsidRDefault="00A71EEF">
      <w:pPr>
        <w:pStyle w:val="a3"/>
        <w:spacing w:before="1"/>
        <w:rPr>
          <w:sz w:val="24"/>
        </w:rPr>
      </w:pPr>
    </w:p>
    <w:p w14:paraId="46A8F184" w14:textId="77777777" w:rsidR="00A71EEF" w:rsidRDefault="0081115D">
      <w:pPr>
        <w:pStyle w:val="2"/>
        <w:spacing w:before="58"/>
        <w:ind w:right="868"/>
      </w:pPr>
      <w:bookmarkStart w:id="6" w:name="_bookmark6"/>
      <w:bookmarkEnd w:id="6"/>
      <w:r>
        <w:t>消防水泵接合器</w:t>
      </w:r>
      <w:r>
        <w:rPr>
          <w:w w:val="99"/>
        </w:rPr>
        <w:t xml:space="preserve"> </w:t>
      </w:r>
    </w:p>
    <w:p w14:paraId="5A464100" w14:textId="77777777" w:rsidR="00A71EEF" w:rsidRDefault="00A71EEF">
      <w:pPr>
        <w:pStyle w:val="a3"/>
        <w:rPr>
          <w:b/>
          <w:sz w:val="20"/>
        </w:rPr>
      </w:pPr>
    </w:p>
    <w:p w14:paraId="543873FE" w14:textId="77777777" w:rsidR="00A71EEF" w:rsidRDefault="00A71EEF">
      <w:pPr>
        <w:pStyle w:val="a3"/>
        <w:spacing w:before="5"/>
        <w:rPr>
          <w:b/>
          <w:sz w:val="14"/>
        </w:rPr>
      </w:pPr>
    </w:p>
    <w:p w14:paraId="14C6ACB2" w14:textId="77777777" w:rsidR="00A71EEF" w:rsidRDefault="0081115D">
      <w:pPr>
        <w:pStyle w:val="4"/>
        <w:spacing w:before="66"/>
      </w:pPr>
      <w:r>
        <w:t xml:space="preserve">1 </w:t>
      </w:r>
      <w:r>
        <w:t>范围</w:t>
      </w:r>
      <w:r>
        <w:rPr>
          <w:w w:val="99"/>
        </w:rPr>
        <w:t xml:space="preserve"> </w:t>
      </w:r>
    </w:p>
    <w:p w14:paraId="24DBDED7" w14:textId="77777777" w:rsidR="00A71EEF" w:rsidRDefault="00A71EEF">
      <w:pPr>
        <w:pStyle w:val="a3"/>
        <w:spacing w:before="4"/>
        <w:rPr>
          <w:b/>
          <w:sz w:val="17"/>
        </w:rPr>
      </w:pPr>
    </w:p>
    <w:p w14:paraId="22009E19" w14:textId="77777777" w:rsidR="00A71EEF" w:rsidRDefault="0081115D">
      <w:pPr>
        <w:pStyle w:val="a3"/>
        <w:spacing w:line="446" w:lineRule="auto"/>
        <w:ind w:left="418" w:right="1609" w:firstLine="419"/>
      </w:pPr>
      <w:r>
        <w:t>本标准规定了消防水泵接合器的术语和定义、分类、技术要求、试验方法、检验规则及标志、包装。本标准适用于消防管道中的各种消防水泵接合器。</w:t>
      </w:r>
      <w:r>
        <w:t xml:space="preserve"> </w:t>
      </w:r>
    </w:p>
    <w:p w14:paraId="0CBDDD35" w14:textId="77777777" w:rsidR="00A71EEF" w:rsidRDefault="0081115D">
      <w:pPr>
        <w:pStyle w:val="4"/>
        <w:spacing w:line="277" w:lineRule="exact"/>
      </w:pPr>
      <w:r>
        <w:t xml:space="preserve">2 </w:t>
      </w:r>
      <w:r>
        <w:t>规范性引用文件</w:t>
      </w:r>
      <w:r>
        <w:rPr>
          <w:w w:val="99"/>
        </w:rPr>
        <w:t xml:space="preserve"> </w:t>
      </w:r>
    </w:p>
    <w:p w14:paraId="6ADBEF9A" w14:textId="77777777" w:rsidR="00A71EEF" w:rsidRDefault="00A71EEF">
      <w:pPr>
        <w:pStyle w:val="a3"/>
        <w:spacing w:before="4"/>
        <w:rPr>
          <w:b/>
          <w:sz w:val="17"/>
        </w:rPr>
      </w:pPr>
    </w:p>
    <w:p w14:paraId="1283CD60" w14:textId="77777777" w:rsidR="00A71EEF" w:rsidRDefault="0081115D">
      <w:pPr>
        <w:pStyle w:val="a3"/>
        <w:spacing w:line="446" w:lineRule="auto"/>
        <w:ind w:left="418" w:right="1609" w:firstLine="419"/>
      </w:pPr>
      <w:r>
        <w:t>下列文件对于本文件的应用是必不可少的。凡是注日期的引用文件，仅注日期的版本适用于本文件。凡是不注日期的引用文件，其最新版本</w:t>
      </w:r>
      <w:r>
        <w:t>(</w:t>
      </w:r>
      <w:r>
        <w:t>包括所有的修改单</w:t>
      </w:r>
      <w:r>
        <w:t>)</w:t>
      </w:r>
      <w:r>
        <w:t>适用于本文件。</w:t>
      </w:r>
      <w:r>
        <w:t xml:space="preserve"> </w:t>
      </w:r>
    </w:p>
    <w:p w14:paraId="656A9B0A" w14:textId="77777777" w:rsidR="00A71EEF" w:rsidRDefault="0081115D">
      <w:pPr>
        <w:pStyle w:val="a3"/>
        <w:ind w:left="838"/>
      </w:pPr>
      <w:r>
        <w:t xml:space="preserve">GB/T 197-2003 </w:t>
      </w:r>
      <w:r>
        <w:t>普通螺纹</w:t>
      </w:r>
      <w:r>
        <w:t xml:space="preserve"> </w:t>
      </w:r>
      <w:r>
        <w:t>公差</w:t>
      </w:r>
      <w:r>
        <w:t xml:space="preserve"> </w:t>
      </w:r>
    </w:p>
    <w:p w14:paraId="45CAAD31" w14:textId="77777777" w:rsidR="00A71EEF" w:rsidRDefault="00A71EEF">
      <w:pPr>
        <w:pStyle w:val="a3"/>
        <w:rPr>
          <w:sz w:val="18"/>
        </w:rPr>
      </w:pPr>
    </w:p>
    <w:p w14:paraId="0B63137C" w14:textId="77777777" w:rsidR="00A71EEF" w:rsidRDefault="0081115D">
      <w:pPr>
        <w:pStyle w:val="a3"/>
        <w:spacing w:line="446" w:lineRule="auto"/>
        <w:ind w:left="838" w:right="6234"/>
      </w:pPr>
      <w:r>
        <w:t xml:space="preserve">GB/T 1176-1987 </w:t>
      </w:r>
      <w:r>
        <w:t>铸造铜合金技术条件</w:t>
      </w:r>
      <w:r>
        <w:t xml:space="preserve">GB/T 1348-2009 </w:t>
      </w:r>
      <w:r>
        <w:t>球墨铸铁件</w:t>
      </w:r>
      <w:r>
        <w:t xml:space="preserve"> </w:t>
      </w:r>
    </w:p>
    <w:p w14:paraId="72EF37FD" w14:textId="77777777" w:rsidR="00A71EEF" w:rsidRDefault="0081115D">
      <w:pPr>
        <w:pStyle w:val="a3"/>
        <w:ind w:left="838"/>
      </w:pPr>
      <w:r>
        <w:t xml:space="preserve">GB/T 2100-2002 </w:t>
      </w:r>
      <w:r>
        <w:t>一般用途耐蚀钢铸件</w:t>
      </w:r>
      <w:r>
        <w:t xml:space="preserve"> </w:t>
      </w:r>
    </w:p>
    <w:p w14:paraId="5E43CABC" w14:textId="77777777" w:rsidR="00A71EEF" w:rsidRDefault="00A71EEF">
      <w:pPr>
        <w:pStyle w:val="a3"/>
        <w:spacing w:before="12"/>
        <w:rPr>
          <w:sz w:val="17"/>
        </w:rPr>
      </w:pPr>
    </w:p>
    <w:p w14:paraId="69C588CD" w14:textId="77777777" w:rsidR="00A71EEF" w:rsidRDefault="0081115D">
      <w:pPr>
        <w:pStyle w:val="a3"/>
        <w:spacing w:line="446" w:lineRule="auto"/>
        <w:ind w:left="838" w:right="2979"/>
      </w:pPr>
      <w:r>
        <w:t>GB/T 7306.2-2000 55</w:t>
      </w:r>
      <w:r>
        <w:rPr>
          <w:spacing w:val="-9"/>
        </w:rPr>
        <w:t>°</w:t>
      </w:r>
      <w:r>
        <w:rPr>
          <w:spacing w:val="-9"/>
        </w:rPr>
        <w:t>密封管螺纹</w:t>
      </w:r>
      <w:r>
        <w:rPr>
          <w:spacing w:val="-9"/>
        </w:rPr>
        <w:t xml:space="preserve"> </w:t>
      </w:r>
      <w:r>
        <w:rPr>
          <w:spacing w:val="-9"/>
        </w:rPr>
        <w:t>第</w:t>
      </w:r>
      <w:r>
        <w:rPr>
          <w:spacing w:val="-9"/>
        </w:rPr>
        <w:t xml:space="preserve"> </w:t>
      </w:r>
      <w:r>
        <w:t>2</w:t>
      </w:r>
      <w:r>
        <w:rPr>
          <w:spacing w:val="-9"/>
        </w:rPr>
        <w:t xml:space="preserve"> </w:t>
      </w:r>
      <w:r>
        <w:rPr>
          <w:spacing w:val="-9"/>
        </w:rPr>
        <w:t>部分：圆锥内螺纹和圆锥外螺纹</w:t>
      </w:r>
      <w:r>
        <w:t>GB/T</w:t>
      </w:r>
      <w:r>
        <w:rPr>
          <w:spacing w:val="104"/>
        </w:rPr>
        <w:t xml:space="preserve"> </w:t>
      </w:r>
      <w:r>
        <w:t>7307 55</w:t>
      </w:r>
      <w:r>
        <w:rPr>
          <w:spacing w:val="-3"/>
        </w:rPr>
        <w:t>°</w:t>
      </w:r>
      <w:r>
        <w:rPr>
          <w:spacing w:val="-3"/>
        </w:rPr>
        <w:t>非密封管螺纹</w:t>
      </w:r>
      <w:r>
        <w:t xml:space="preserve"> </w:t>
      </w:r>
    </w:p>
    <w:p w14:paraId="5A1E2000" w14:textId="77777777" w:rsidR="00A71EEF" w:rsidRDefault="0081115D">
      <w:pPr>
        <w:pStyle w:val="a3"/>
        <w:spacing w:before="1"/>
        <w:ind w:left="838"/>
      </w:pPr>
      <w:r>
        <w:t xml:space="preserve">GB/T 9439-2010 </w:t>
      </w:r>
      <w:r>
        <w:t>灰铸铁件</w:t>
      </w:r>
      <w:r>
        <w:t xml:space="preserve"> </w:t>
      </w:r>
    </w:p>
    <w:p w14:paraId="50BE7FAF" w14:textId="77777777" w:rsidR="00A71EEF" w:rsidRDefault="00A71EEF">
      <w:pPr>
        <w:pStyle w:val="a3"/>
        <w:spacing w:before="12"/>
        <w:rPr>
          <w:sz w:val="17"/>
        </w:rPr>
      </w:pPr>
    </w:p>
    <w:p w14:paraId="373534B1" w14:textId="77777777" w:rsidR="00A71EEF" w:rsidRDefault="0081115D">
      <w:pPr>
        <w:pStyle w:val="a3"/>
        <w:ind w:left="838"/>
      </w:pPr>
      <w:r>
        <w:t xml:space="preserve">GB 12514.1-2005 </w:t>
      </w:r>
      <w:r>
        <w:t>消防接口</w:t>
      </w:r>
      <w:r>
        <w:t xml:space="preserve"> </w:t>
      </w:r>
      <w:r>
        <w:t>第</w:t>
      </w:r>
      <w:r>
        <w:t xml:space="preserve"> 1 </w:t>
      </w:r>
      <w:r>
        <w:t>部分：消防接口通用技术条件</w:t>
      </w:r>
      <w:r>
        <w:t xml:space="preserve"> </w:t>
      </w:r>
    </w:p>
    <w:p w14:paraId="0F333528" w14:textId="77777777" w:rsidR="00A71EEF" w:rsidRDefault="00A71EEF">
      <w:pPr>
        <w:pStyle w:val="a3"/>
        <w:spacing w:before="2"/>
        <w:rPr>
          <w:sz w:val="18"/>
        </w:rPr>
      </w:pPr>
    </w:p>
    <w:p w14:paraId="3A8B049E" w14:textId="77777777" w:rsidR="00A71EEF" w:rsidRDefault="0081115D">
      <w:pPr>
        <w:pStyle w:val="a3"/>
        <w:ind w:left="838"/>
      </w:pPr>
      <w:r>
        <w:t xml:space="preserve">GB 12514.2-2006 </w:t>
      </w:r>
      <w:r>
        <w:t>消防接口</w:t>
      </w:r>
      <w:r>
        <w:t xml:space="preserve"> </w:t>
      </w:r>
      <w:r>
        <w:t>第</w:t>
      </w:r>
      <w:r>
        <w:t xml:space="preserve"> 2 </w:t>
      </w:r>
      <w:r>
        <w:t>部分：内扣式消防接口形式和基本参数</w:t>
      </w:r>
      <w:r>
        <w:t xml:space="preserve"> </w:t>
      </w:r>
    </w:p>
    <w:p w14:paraId="023CE703" w14:textId="77777777" w:rsidR="00A71EEF" w:rsidRDefault="00A71EEF">
      <w:pPr>
        <w:pStyle w:val="a3"/>
        <w:spacing w:before="8"/>
        <w:rPr>
          <w:sz w:val="15"/>
        </w:rPr>
      </w:pPr>
    </w:p>
    <w:p w14:paraId="757707BF" w14:textId="77777777" w:rsidR="00A71EEF" w:rsidRDefault="0081115D">
      <w:pPr>
        <w:pStyle w:val="4"/>
      </w:pPr>
      <w:r>
        <w:t xml:space="preserve">3 </w:t>
      </w:r>
      <w:r>
        <w:t>术语和定义</w:t>
      </w:r>
      <w:r>
        <w:rPr>
          <w:w w:val="99"/>
        </w:rPr>
        <w:t xml:space="preserve"> </w:t>
      </w:r>
    </w:p>
    <w:p w14:paraId="72712A4A" w14:textId="77777777" w:rsidR="00A71EEF" w:rsidRDefault="00A71EEF">
      <w:pPr>
        <w:pStyle w:val="a3"/>
        <w:spacing w:before="4"/>
        <w:rPr>
          <w:b/>
          <w:sz w:val="17"/>
        </w:rPr>
      </w:pPr>
    </w:p>
    <w:p w14:paraId="7A704C0B" w14:textId="77777777" w:rsidR="00A71EEF" w:rsidRDefault="0081115D">
      <w:pPr>
        <w:pStyle w:val="a3"/>
        <w:ind w:left="838"/>
      </w:pPr>
      <w:r>
        <w:t>下列术语和定义适用于本文件。</w:t>
      </w:r>
      <w:r>
        <w:t xml:space="preserve"> </w:t>
      </w:r>
    </w:p>
    <w:p w14:paraId="4122493E" w14:textId="77777777" w:rsidR="00A71EEF" w:rsidRDefault="00A71EEF">
      <w:pPr>
        <w:pStyle w:val="a3"/>
        <w:spacing w:before="1"/>
        <w:rPr>
          <w:sz w:val="18"/>
        </w:rPr>
      </w:pPr>
    </w:p>
    <w:p w14:paraId="5B60A41E" w14:textId="77777777" w:rsidR="00A71EEF" w:rsidRDefault="0081115D">
      <w:pPr>
        <w:pStyle w:val="a3"/>
        <w:spacing w:before="1"/>
        <w:ind w:left="840"/>
      </w:pPr>
      <w:r>
        <w:rPr>
          <w:b/>
        </w:rPr>
        <w:t xml:space="preserve">3.1 </w:t>
      </w:r>
      <w:r>
        <w:t>消防水泵接合器</w:t>
      </w:r>
      <w:r>
        <w:t xml:space="preserve"> Siamese connection </w:t>
      </w:r>
    </w:p>
    <w:p w14:paraId="2584EF83" w14:textId="77777777" w:rsidR="00A71EEF" w:rsidRDefault="00A71EEF">
      <w:pPr>
        <w:pStyle w:val="a3"/>
        <w:spacing w:before="12"/>
        <w:rPr>
          <w:sz w:val="17"/>
        </w:rPr>
      </w:pPr>
    </w:p>
    <w:p w14:paraId="77E53B8B" w14:textId="77777777" w:rsidR="00A71EEF" w:rsidRDefault="0081115D">
      <w:pPr>
        <w:pStyle w:val="a3"/>
        <w:spacing w:line="446" w:lineRule="auto"/>
        <w:ind w:left="418" w:right="1609" w:firstLine="419"/>
      </w:pPr>
      <w:r>
        <w:t>固定设置在建筑物外，用于消防车或机动泵向建筑物内消防给水系统输送消防用水和其他液体灭火剂的连接器具。</w:t>
      </w:r>
      <w:r>
        <w:t xml:space="preserve"> </w:t>
      </w:r>
    </w:p>
    <w:p w14:paraId="302A4439" w14:textId="77777777" w:rsidR="00A71EEF" w:rsidRDefault="00A71EEF">
      <w:pPr>
        <w:spacing w:line="446" w:lineRule="auto"/>
        <w:sectPr w:rsidR="00A71EEF">
          <w:pgSz w:w="11910" w:h="16850"/>
          <w:pgMar w:top="1600" w:right="0" w:bottom="1420" w:left="1260" w:header="0" w:footer="1239" w:gutter="0"/>
          <w:cols w:space="720"/>
        </w:sectPr>
      </w:pPr>
    </w:p>
    <w:p w14:paraId="60881AF1" w14:textId="77777777" w:rsidR="00A71EEF" w:rsidRDefault="0081115D">
      <w:pPr>
        <w:pStyle w:val="4"/>
        <w:spacing w:before="37"/>
      </w:pPr>
      <w:r>
        <w:lastRenderedPageBreak/>
        <w:t xml:space="preserve">4 </w:t>
      </w:r>
      <w:r>
        <w:t>分类</w:t>
      </w:r>
      <w:r>
        <w:rPr>
          <w:w w:val="99"/>
        </w:rPr>
        <w:t xml:space="preserve"> </w:t>
      </w:r>
    </w:p>
    <w:p w14:paraId="607E8064" w14:textId="77777777" w:rsidR="00A71EEF" w:rsidRDefault="00A71EEF">
      <w:pPr>
        <w:pStyle w:val="a3"/>
        <w:spacing w:before="4"/>
        <w:rPr>
          <w:b/>
          <w:sz w:val="17"/>
        </w:rPr>
      </w:pPr>
    </w:p>
    <w:p w14:paraId="70106B4B" w14:textId="77777777" w:rsidR="00A71EEF" w:rsidRDefault="0081115D">
      <w:pPr>
        <w:pStyle w:val="a4"/>
        <w:numPr>
          <w:ilvl w:val="1"/>
          <w:numId w:val="865"/>
        </w:numPr>
        <w:tabs>
          <w:tab w:val="left" w:pos="1159"/>
        </w:tabs>
        <w:spacing w:before="1"/>
        <w:ind w:hanging="319"/>
        <w:rPr>
          <w:b/>
          <w:sz w:val="21"/>
        </w:rPr>
      </w:pPr>
      <w:r>
        <w:rPr>
          <w:spacing w:val="-3"/>
          <w:sz w:val="21"/>
        </w:rPr>
        <w:t>形式和规格</w:t>
      </w:r>
      <w:r>
        <w:rPr>
          <w:b/>
          <w:w w:val="99"/>
          <w:sz w:val="21"/>
        </w:rPr>
        <w:t xml:space="preserve"> </w:t>
      </w:r>
    </w:p>
    <w:p w14:paraId="40F11CD3" w14:textId="77777777" w:rsidR="00A71EEF" w:rsidRDefault="00A71EEF">
      <w:pPr>
        <w:pStyle w:val="a3"/>
        <w:spacing w:before="12"/>
        <w:rPr>
          <w:b/>
          <w:sz w:val="17"/>
        </w:rPr>
      </w:pPr>
    </w:p>
    <w:p w14:paraId="7CEB98CD" w14:textId="77777777" w:rsidR="00A71EEF" w:rsidRDefault="0081115D">
      <w:pPr>
        <w:pStyle w:val="a4"/>
        <w:numPr>
          <w:ilvl w:val="2"/>
          <w:numId w:val="865"/>
        </w:numPr>
        <w:tabs>
          <w:tab w:val="left" w:pos="1371"/>
        </w:tabs>
        <w:spacing w:line="446" w:lineRule="auto"/>
        <w:ind w:right="1500" w:firstLine="422"/>
        <w:rPr>
          <w:sz w:val="21"/>
        </w:rPr>
      </w:pPr>
      <w:r>
        <w:rPr>
          <w:spacing w:val="-3"/>
          <w:sz w:val="21"/>
        </w:rPr>
        <w:t>消防水泵接合器（以下简称</w:t>
      </w:r>
      <w:r>
        <w:rPr>
          <w:spacing w:val="-3"/>
          <w:sz w:val="21"/>
        </w:rPr>
        <w:t>“</w:t>
      </w:r>
      <w:r>
        <w:rPr>
          <w:spacing w:val="-3"/>
          <w:sz w:val="21"/>
        </w:rPr>
        <w:t>接合器</w:t>
      </w:r>
      <w:r>
        <w:rPr>
          <w:spacing w:val="-3"/>
          <w:sz w:val="21"/>
        </w:rPr>
        <w:t>”)</w:t>
      </w:r>
      <w:r>
        <w:rPr>
          <w:spacing w:val="-3"/>
          <w:sz w:val="21"/>
        </w:rPr>
        <w:t>按安装型式可分为地上式、地下式、墙壁式和多用式。</w:t>
      </w:r>
      <w:r>
        <w:rPr>
          <w:sz w:val="21"/>
        </w:rPr>
        <w:t xml:space="preserve"> </w:t>
      </w:r>
    </w:p>
    <w:p w14:paraId="7551DB9E" w14:textId="77777777" w:rsidR="00A71EEF" w:rsidRDefault="0081115D">
      <w:pPr>
        <w:pStyle w:val="a4"/>
        <w:numPr>
          <w:ilvl w:val="2"/>
          <w:numId w:val="865"/>
        </w:numPr>
        <w:tabs>
          <w:tab w:val="left" w:pos="1371"/>
        </w:tabs>
        <w:ind w:left="1370"/>
        <w:rPr>
          <w:sz w:val="21"/>
        </w:rPr>
      </w:pPr>
      <w:r>
        <w:rPr>
          <w:spacing w:val="-7"/>
          <w:sz w:val="21"/>
        </w:rPr>
        <w:t>按接合器出口的公称通径可分为</w:t>
      </w:r>
      <w:r>
        <w:rPr>
          <w:spacing w:val="-7"/>
          <w:sz w:val="21"/>
        </w:rPr>
        <w:t xml:space="preserve"> </w:t>
      </w:r>
      <w:r>
        <w:rPr>
          <w:sz w:val="21"/>
        </w:rPr>
        <w:t>100mm</w:t>
      </w:r>
      <w:r>
        <w:rPr>
          <w:spacing w:val="-36"/>
          <w:sz w:val="21"/>
        </w:rPr>
        <w:t xml:space="preserve"> </w:t>
      </w:r>
      <w:r>
        <w:rPr>
          <w:spacing w:val="-36"/>
          <w:sz w:val="21"/>
        </w:rPr>
        <w:t>和</w:t>
      </w:r>
      <w:r>
        <w:rPr>
          <w:spacing w:val="-36"/>
          <w:sz w:val="21"/>
        </w:rPr>
        <w:t xml:space="preserve"> </w:t>
      </w:r>
      <w:r>
        <w:rPr>
          <w:sz w:val="21"/>
        </w:rPr>
        <w:t>150mm</w:t>
      </w:r>
      <w:r>
        <w:rPr>
          <w:spacing w:val="-15"/>
          <w:sz w:val="21"/>
        </w:rPr>
        <w:t xml:space="preserve"> </w:t>
      </w:r>
      <w:r>
        <w:rPr>
          <w:spacing w:val="-15"/>
          <w:sz w:val="21"/>
        </w:rPr>
        <w:t>两种。</w:t>
      </w:r>
      <w:r>
        <w:rPr>
          <w:sz w:val="21"/>
        </w:rPr>
        <w:t xml:space="preserve"> </w:t>
      </w:r>
    </w:p>
    <w:p w14:paraId="60633302" w14:textId="77777777" w:rsidR="00A71EEF" w:rsidRDefault="00A71EEF">
      <w:pPr>
        <w:pStyle w:val="a3"/>
        <w:spacing w:before="12"/>
        <w:rPr>
          <w:sz w:val="17"/>
        </w:rPr>
      </w:pPr>
    </w:p>
    <w:p w14:paraId="58A8C23F" w14:textId="77777777" w:rsidR="00A71EEF" w:rsidRDefault="0081115D">
      <w:pPr>
        <w:pStyle w:val="a4"/>
        <w:numPr>
          <w:ilvl w:val="2"/>
          <w:numId w:val="865"/>
        </w:numPr>
        <w:tabs>
          <w:tab w:val="left" w:pos="1370"/>
        </w:tabs>
        <w:ind w:left="1369" w:hanging="530"/>
        <w:rPr>
          <w:sz w:val="21"/>
        </w:rPr>
      </w:pPr>
      <w:r>
        <w:rPr>
          <w:spacing w:val="-8"/>
          <w:sz w:val="21"/>
        </w:rPr>
        <w:t>按接合器公称压力可分为</w:t>
      </w:r>
      <w:r>
        <w:rPr>
          <w:spacing w:val="-8"/>
          <w:sz w:val="21"/>
        </w:rPr>
        <w:t xml:space="preserve"> </w:t>
      </w:r>
      <w:r>
        <w:rPr>
          <w:sz w:val="21"/>
        </w:rPr>
        <w:t>1.6MPa</w:t>
      </w:r>
      <w:r>
        <w:rPr>
          <w:sz w:val="21"/>
        </w:rPr>
        <w:t>、</w:t>
      </w:r>
      <w:r>
        <w:rPr>
          <w:sz w:val="21"/>
        </w:rPr>
        <w:t>2.5MPa</w:t>
      </w:r>
      <w:r>
        <w:rPr>
          <w:spacing w:val="-37"/>
          <w:sz w:val="21"/>
        </w:rPr>
        <w:t xml:space="preserve"> </w:t>
      </w:r>
      <w:r>
        <w:rPr>
          <w:spacing w:val="-37"/>
          <w:sz w:val="21"/>
        </w:rPr>
        <w:t>和</w:t>
      </w:r>
      <w:r>
        <w:rPr>
          <w:spacing w:val="-37"/>
          <w:sz w:val="21"/>
        </w:rPr>
        <w:t xml:space="preserve"> </w:t>
      </w:r>
      <w:r>
        <w:rPr>
          <w:sz w:val="21"/>
        </w:rPr>
        <w:t>4.0MPa</w:t>
      </w:r>
      <w:r>
        <w:rPr>
          <w:spacing w:val="-13"/>
          <w:sz w:val="21"/>
        </w:rPr>
        <w:t xml:space="preserve"> </w:t>
      </w:r>
      <w:r>
        <w:rPr>
          <w:spacing w:val="-13"/>
          <w:sz w:val="21"/>
        </w:rPr>
        <w:t>等多种。</w:t>
      </w:r>
      <w:r>
        <w:rPr>
          <w:sz w:val="21"/>
        </w:rPr>
        <w:t xml:space="preserve"> </w:t>
      </w:r>
    </w:p>
    <w:p w14:paraId="5D30C1A7" w14:textId="77777777" w:rsidR="00A71EEF" w:rsidRDefault="00A71EEF">
      <w:pPr>
        <w:pStyle w:val="a3"/>
        <w:spacing w:before="2"/>
        <w:rPr>
          <w:sz w:val="18"/>
        </w:rPr>
      </w:pPr>
    </w:p>
    <w:p w14:paraId="32820A8C" w14:textId="77777777" w:rsidR="00A71EEF" w:rsidRDefault="0081115D">
      <w:pPr>
        <w:pStyle w:val="a4"/>
        <w:numPr>
          <w:ilvl w:val="2"/>
          <w:numId w:val="865"/>
        </w:numPr>
        <w:tabs>
          <w:tab w:val="left" w:pos="1371"/>
        </w:tabs>
        <w:ind w:left="1370"/>
        <w:rPr>
          <w:sz w:val="21"/>
        </w:rPr>
      </w:pPr>
      <w:r>
        <w:rPr>
          <w:spacing w:val="-3"/>
          <w:sz w:val="21"/>
        </w:rPr>
        <w:t>按接合器连接方式可分为法兰式和螺纹式。</w:t>
      </w:r>
      <w:r>
        <w:rPr>
          <w:sz w:val="21"/>
        </w:rPr>
        <w:t xml:space="preserve"> </w:t>
      </w:r>
    </w:p>
    <w:p w14:paraId="41DB5F65" w14:textId="77777777" w:rsidR="00A71EEF" w:rsidRDefault="00A71EEF">
      <w:pPr>
        <w:pStyle w:val="a3"/>
        <w:rPr>
          <w:sz w:val="18"/>
        </w:rPr>
      </w:pPr>
    </w:p>
    <w:p w14:paraId="17E78AEC" w14:textId="77777777" w:rsidR="00A71EEF" w:rsidRDefault="0081115D">
      <w:pPr>
        <w:pStyle w:val="a4"/>
        <w:numPr>
          <w:ilvl w:val="1"/>
          <w:numId w:val="865"/>
        </w:numPr>
        <w:tabs>
          <w:tab w:val="left" w:pos="1159"/>
        </w:tabs>
        <w:ind w:hanging="319"/>
        <w:rPr>
          <w:sz w:val="21"/>
        </w:rPr>
      </w:pPr>
      <w:r>
        <w:rPr>
          <w:spacing w:val="-3"/>
          <w:sz w:val="21"/>
        </w:rPr>
        <w:t>型号编制</w:t>
      </w:r>
      <w:r>
        <w:rPr>
          <w:sz w:val="21"/>
        </w:rPr>
        <w:t xml:space="preserve"> </w:t>
      </w:r>
    </w:p>
    <w:p w14:paraId="28C9426C" w14:textId="77777777" w:rsidR="00A71EEF" w:rsidRDefault="00A71EEF">
      <w:pPr>
        <w:pStyle w:val="a3"/>
        <w:spacing w:before="12"/>
        <w:rPr>
          <w:sz w:val="17"/>
        </w:rPr>
      </w:pPr>
    </w:p>
    <w:p w14:paraId="4C05F609" w14:textId="77777777" w:rsidR="00A71EEF" w:rsidRDefault="0081115D">
      <w:pPr>
        <w:pStyle w:val="a3"/>
        <w:ind w:left="838"/>
      </w:pPr>
      <w:r>
        <w:t>接合器型号编制方法如下所示：</w:t>
      </w:r>
      <w:r>
        <w:t xml:space="preserve"> </w:t>
      </w:r>
    </w:p>
    <w:p w14:paraId="1BBC9814" w14:textId="77777777" w:rsidR="00A71EEF" w:rsidRDefault="00A71EEF">
      <w:pPr>
        <w:pStyle w:val="a3"/>
        <w:rPr>
          <w:sz w:val="20"/>
        </w:rPr>
      </w:pPr>
    </w:p>
    <w:p w14:paraId="2D2304D1" w14:textId="77777777" w:rsidR="00A71EEF" w:rsidRDefault="0081115D">
      <w:pPr>
        <w:pStyle w:val="a3"/>
        <w:spacing w:before="1"/>
        <w:rPr>
          <w:sz w:val="12"/>
        </w:rPr>
      </w:pPr>
      <w:r>
        <w:rPr>
          <w:noProof/>
        </w:rPr>
        <w:drawing>
          <wp:anchor distT="0" distB="0" distL="0" distR="0" simplePos="0" relativeHeight="251485696" behindDoc="0" locked="0" layoutInCell="1" allowOverlap="1" wp14:anchorId="2AD7E623" wp14:editId="37A48523">
            <wp:simplePos x="0" y="0"/>
            <wp:positionH relativeFrom="page">
              <wp:posOffset>1093966</wp:posOffset>
            </wp:positionH>
            <wp:positionV relativeFrom="paragraph">
              <wp:posOffset>123610</wp:posOffset>
            </wp:positionV>
            <wp:extent cx="5096151" cy="1752600"/>
            <wp:effectExtent l="0" t="0" r="0" b="0"/>
            <wp:wrapTopAndBottom/>
            <wp:docPr id="83"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59.jpeg"/>
                    <pic:cNvPicPr/>
                  </pic:nvPicPr>
                  <pic:blipFill>
                    <a:blip r:embed="rId55" cstate="print"/>
                    <a:stretch>
                      <a:fillRect/>
                    </a:stretch>
                  </pic:blipFill>
                  <pic:spPr>
                    <a:xfrm>
                      <a:off x="0" y="0"/>
                      <a:ext cx="5096151" cy="1752600"/>
                    </a:xfrm>
                    <a:prstGeom prst="rect">
                      <a:avLst/>
                    </a:prstGeom>
                  </pic:spPr>
                </pic:pic>
              </a:graphicData>
            </a:graphic>
          </wp:anchor>
        </w:drawing>
      </w:r>
    </w:p>
    <w:p w14:paraId="337C9FB1" w14:textId="77777777" w:rsidR="00A71EEF" w:rsidRDefault="00A71EEF">
      <w:pPr>
        <w:pStyle w:val="a3"/>
        <w:rPr>
          <w:sz w:val="20"/>
        </w:rPr>
      </w:pPr>
    </w:p>
    <w:p w14:paraId="4F071401" w14:textId="77777777" w:rsidR="00A71EEF" w:rsidRDefault="00A71EEF">
      <w:pPr>
        <w:pStyle w:val="a3"/>
        <w:spacing w:before="2"/>
        <w:rPr>
          <w:sz w:val="26"/>
        </w:rPr>
      </w:pPr>
    </w:p>
    <w:p w14:paraId="5D9747DF" w14:textId="77777777" w:rsidR="00A71EEF" w:rsidRDefault="0081115D">
      <w:pPr>
        <w:pStyle w:val="a3"/>
        <w:spacing w:before="72" w:line="446" w:lineRule="auto"/>
        <w:ind w:left="418" w:right="1455" w:firstLine="419"/>
      </w:pPr>
      <w:r>
        <w:rPr>
          <w:spacing w:val="-15"/>
        </w:rPr>
        <w:t>示例</w:t>
      </w:r>
      <w:r>
        <w:rPr>
          <w:spacing w:val="-15"/>
        </w:rPr>
        <w:t xml:space="preserve"> </w:t>
      </w:r>
      <w:r>
        <w:t>1</w:t>
      </w:r>
      <w:r>
        <w:rPr>
          <w:spacing w:val="-10"/>
        </w:rPr>
        <w:t>：公称通径为</w:t>
      </w:r>
      <w:r>
        <w:rPr>
          <w:spacing w:val="-10"/>
        </w:rPr>
        <w:t xml:space="preserve"> </w:t>
      </w:r>
      <w:r>
        <w:t>100mm</w:t>
      </w:r>
      <w:r>
        <w:rPr>
          <w:spacing w:val="-8"/>
        </w:rPr>
        <w:t>、公称压力为</w:t>
      </w:r>
      <w:r>
        <w:rPr>
          <w:spacing w:val="-8"/>
        </w:rPr>
        <w:t xml:space="preserve"> </w:t>
      </w:r>
      <w:r>
        <w:t>1.6MPa</w:t>
      </w:r>
      <w:r>
        <w:rPr>
          <w:spacing w:val="-3"/>
        </w:rPr>
        <w:t>、法兰连接的地上式消防水泵接合器可表示为：</w:t>
      </w:r>
      <w:r>
        <w:rPr>
          <w:spacing w:val="-3"/>
        </w:rPr>
        <w:t>SQS100-1.6</w:t>
      </w:r>
      <w:r>
        <w:rPr>
          <w:spacing w:val="-3"/>
        </w:rPr>
        <w:t>。</w:t>
      </w:r>
      <w:r>
        <w:t xml:space="preserve"> </w:t>
      </w:r>
    </w:p>
    <w:p w14:paraId="0FAD2A3B" w14:textId="77777777" w:rsidR="00A71EEF" w:rsidRDefault="0081115D">
      <w:pPr>
        <w:pStyle w:val="a3"/>
        <w:spacing w:line="446" w:lineRule="auto"/>
        <w:ind w:left="418" w:right="1455" w:firstLine="419"/>
      </w:pPr>
      <w:r>
        <w:rPr>
          <w:spacing w:val="-15"/>
        </w:rPr>
        <w:t>示例</w:t>
      </w:r>
      <w:r>
        <w:rPr>
          <w:spacing w:val="-15"/>
        </w:rPr>
        <w:t xml:space="preserve"> </w:t>
      </w:r>
      <w:r>
        <w:t>2</w:t>
      </w:r>
      <w:r>
        <w:rPr>
          <w:spacing w:val="-10"/>
        </w:rPr>
        <w:t>：公称通径为</w:t>
      </w:r>
      <w:r>
        <w:rPr>
          <w:spacing w:val="-10"/>
        </w:rPr>
        <w:t xml:space="preserve"> </w:t>
      </w:r>
      <w:r>
        <w:t>150mm</w:t>
      </w:r>
      <w:r>
        <w:rPr>
          <w:spacing w:val="-8"/>
        </w:rPr>
        <w:t>、公称压力为</w:t>
      </w:r>
      <w:r>
        <w:rPr>
          <w:spacing w:val="-8"/>
        </w:rPr>
        <w:t xml:space="preserve"> </w:t>
      </w:r>
      <w:r>
        <w:t>2.5MPa</w:t>
      </w:r>
      <w:r>
        <w:rPr>
          <w:spacing w:val="-3"/>
        </w:rPr>
        <w:t>、螺纹连接的多用式消防水泵接合器可表示为：</w:t>
      </w:r>
      <w:r>
        <w:rPr>
          <w:spacing w:val="-3"/>
        </w:rPr>
        <w:t>SQD150-2.5W</w:t>
      </w:r>
      <w:r>
        <w:rPr>
          <w:spacing w:val="-3"/>
        </w:rPr>
        <w:t>。</w:t>
      </w:r>
      <w:r>
        <w:t xml:space="preserve"> </w:t>
      </w:r>
    </w:p>
    <w:p w14:paraId="0139C259" w14:textId="77777777" w:rsidR="00A71EEF" w:rsidRDefault="0081115D">
      <w:pPr>
        <w:pStyle w:val="4"/>
        <w:spacing w:line="276" w:lineRule="exact"/>
      </w:pPr>
      <w:r>
        <w:t xml:space="preserve">5 </w:t>
      </w:r>
      <w:r>
        <w:t>技术要求</w:t>
      </w:r>
      <w:r>
        <w:rPr>
          <w:w w:val="99"/>
        </w:rPr>
        <w:t xml:space="preserve"> </w:t>
      </w:r>
    </w:p>
    <w:p w14:paraId="1FE18A8E" w14:textId="77777777" w:rsidR="00A71EEF" w:rsidRDefault="00A71EEF">
      <w:pPr>
        <w:pStyle w:val="a3"/>
        <w:spacing w:before="6"/>
        <w:rPr>
          <w:b/>
          <w:sz w:val="17"/>
        </w:rPr>
      </w:pPr>
    </w:p>
    <w:p w14:paraId="2A8D223C" w14:textId="77777777" w:rsidR="00A71EEF" w:rsidRDefault="0081115D">
      <w:pPr>
        <w:pStyle w:val="a4"/>
        <w:numPr>
          <w:ilvl w:val="1"/>
          <w:numId w:val="864"/>
        </w:numPr>
        <w:tabs>
          <w:tab w:val="left" w:pos="1159"/>
        </w:tabs>
        <w:ind w:hanging="319"/>
        <w:rPr>
          <w:b/>
          <w:sz w:val="21"/>
        </w:rPr>
      </w:pPr>
      <w:r>
        <w:rPr>
          <w:spacing w:val="-3"/>
          <w:sz w:val="21"/>
        </w:rPr>
        <w:t>结构</w:t>
      </w:r>
      <w:r>
        <w:rPr>
          <w:b/>
          <w:w w:val="99"/>
          <w:sz w:val="21"/>
        </w:rPr>
        <w:t xml:space="preserve"> </w:t>
      </w:r>
    </w:p>
    <w:p w14:paraId="03672311" w14:textId="77777777" w:rsidR="00A71EEF" w:rsidRDefault="00A71EEF">
      <w:pPr>
        <w:pStyle w:val="a3"/>
        <w:spacing w:before="12"/>
        <w:rPr>
          <w:b/>
          <w:sz w:val="17"/>
        </w:rPr>
      </w:pPr>
    </w:p>
    <w:p w14:paraId="26B8F50B" w14:textId="77777777" w:rsidR="00A71EEF" w:rsidRDefault="0081115D">
      <w:pPr>
        <w:pStyle w:val="a3"/>
        <w:spacing w:line="446" w:lineRule="auto"/>
        <w:ind w:left="418" w:right="1609" w:firstLine="419"/>
      </w:pPr>
      <w:r>
        <w:t>接合器一般应由本体、消防接口、安全阀和水流止回、水流截断装置等组成，结构设计应保证在使用后将消防接口到水流止回装置间的余水排尽。</w:t>
      </w:r>
      <w:r>
        <w:t xml:space="preserve"> </w:t>
      </w:r>
    </w:p>
    <w:p w14:paraId="209D691F" w14:textId="77777777" w:rsidR="00A71EEF" w:rsidRDefault="0081115D">
      <w:pPr>
        <w:pStyle w:val="a4"/>
        <w:numPr>
          <w:ilvl w:val="1"/>
          <w:numId w:val="864"/>
        </w:numPr>
        <w:tabs>
          <w:tab w:val="left" w:pos="1160"/>
        </w:tabs>
        <w:ind w:left="1159" w:hanging="320"/>
        <w:rPr>
          <w:b/>
          <w:sz w:val="21"/>
        </w:rPr>
      </w:pPr>
      <w:r>
        <w:rPr>
          <w:spacing w:val="-3"/>
          <w:sz w:val="21"/>
        </w:rPr>
        <w:t>材料</w:t>
      </w:r>
      <w:r>
        <w:rPr>
          <w:b/>
          <w:w w:val="99"/>
          <w:sz w:val="21"/>
        </w:rPr>
        <w:t xml:space="preserve"> </w:t>
      </w:r>
    </w:p>
    <w:p w14:paraId="51D69C58" w14:textId="77777777" w:rsidR="00A71EEF" w:rsidRDefault="00A71EEF">
      <w:pPr>
        <w:pStyle w:val="a3"/>
        <w:rPr>
          <w:b/>
          <w:sz w:val="18"/>
        </w:rPr>
      </w:pPr>
    </w:p>
    <w:p w14:paraId="3138C881" w14:textId="77777777" w:rsidR="00A71EEF" w:rsidRDefault="0081115D">
      <w:pPr>
        <w:pStyle w:val="a4"/>
        <w:numPr>
          <w:ilvl w:val="2"/>
          <w:numId w:val="864"/>
        </w:numPr>
        <w:tabs>
          <w:tab w:val="left" w:pos="1370"/>
        </w:tabs>
        <w:spacing w:line="446" w:lineRule="auto"/>
        <w:ind w:right="1606" w:firstLine="422"/>
        <w:rPr>
          <w:sz w:val="21"/>
        </w:rPr>
      </w:pPr>
      <w:r>
        <w:rPr>
          <w:spacing w:val="-13"/>
          <w:sz w:val="21"/>
        </w:rPr>
        <w:t>公称压力</w:t>
      </w:r>
      <w:r>
        <w:rPr>
          <w:spacing w:val="-13"/>
          <w:sz w:val="21"/>
        </w:rPr>
        <w:t xml:space="preserve"> </w:t>
      </w:r>
      <w:r>
        <w:rPr>
          <w:sz w:val="21"/>
        </w:rPr>
        <w:t>1.6MPa</w:t>
      </w:r>
      <w:r>
        <w:rPr>
          <w:spacing w:val="-13"/>
          <w:sz w:val="21"/>
        </w:rPr>
        <w:t xml:space="preserve"> </w:t>
      </w:r>
      <w:r>
        <w:rPr>
          <w:spacing w:val="-13"/>
          <w:sz w:val="21"/>
        </w:rPr>
        <w:t>的接合器本体应用符合</w:t>
      </w:r>
      <w:r>
        <w:rPr>
          <w:spacing w:val="-13"/>
          <w:sz w:val="21"/>
        </w:rPr>
        <w:t xml:space="preserve"> </w:t>
      </w:r>
      <w:r>
        <w:rPr>
          <w:sz w:val="21"/>
        </w:rPr>
        <w:t>GB/T</w:t>
      </w:r>
      <w:r>
        <w:rPr>
          <w:spacing w:val="5"/>
          <w:sz w:val="21"/>
        </w:rPr>
        <w:t xml:space="preserve"> </w:t>
      </w:r>
      <w:r>
        <w:rPr>
          <w:sz w:val="21"/>
        </w:rPr>
        <w:t>9439-2010</w:t>
      </w:r>
      <w:r>
        <w:rPr>
          <w:spacing w:val="-16"/>
          <w:sz w:val="21"/>
        </w:rPr>
        <w:t xml:space="preserve"> </w:t>
      </w:r>
      <w:r>
        <w:rPr>
          <w:spacing w:val="-16"/>
          <w:sz w:val="21"/>
        </w:rPr>
        <w:t>规定的灰铸铁</w:t>
      </w:r>
      <w:r>
        <w:rPr>
          <w:spacing w:val="-16"/>
          <w:sz w:val="21"/>
        </w:rPr>
        <w:t xml:space="preserve"> </w:t>
      </w:r>
      <w:r>
        <w:rPr>
          <w:sz w:val="21"/>
        </w:rPr>
        <w:t>HT200</w:t>
      </w:r>
      <w:r>
        <w:rPr>
          <w:spacing w:val="-18"/>
          <w:sz w:val="21"/>
        </w:rPr>
        <w:t xml:space="preserve"> </w:t>
      </w:r>
      <w:r>
        <w:rPr>
          <w:spacing w:val="-18"/>
          <w:sz w:val="21"/>
        </w:rPr>
        <w:t>或机</w:t>
      </w:r>
      <w:r>
        <w:rPr>
          <w:spacing w:val="1"/>
          <w:sz w:val="21"/>
        </w:rPr>
        <w:t>械性能不低于</w:t>
      </w:r>
      <w:r>
        <w:rPr>
          <w:sz w:val="21"/>
        </w:rPr>
        <w:t>HT200</w:t>
      </w:r>
      <w:r>
        <w:rPr>
          <w:spacing w:val="-9"/>
          <w:sz w:val="21"/>
        </w:rPr>
        <w:t xml:space="preserve"> </w:t>
      </w:r>
      <w:r>
        <w:rPr>
          <w:spacing w:val="-9"/>
          <w:sz w:val="21"/>
        </w:rPr>
        <w:t>的其他金属材料制造。</w:t>
      </w:r>
      <w:r>
        <w:rPr>
          <w:sz w:val="21"/>
        </w:rPr>
        <w:t xml:space="preserve"> </w:t>
      </w:r>
    </w:p>
    <w:p w14:paraId="6A70C7A4" w14:textId="77777777" w:rsidR="00A71EEF" w:rsidRDefault="00A71EEF">
      <w:pPr>
        <w:spacing w:line="446" w:lineRule="auto"/>
        <w:rPr>
          <w:sz w:val="21"/>
        </w:rPr>
        <w:sectPr w:rsidR="00A71EEF">
          <w:pgSz w:w="11910" w:h="16850"/>
          <w:pgMar w:top="1200" w:right="0" w:bottom="1420" w:left="1260" w:header="0" w:footer="1239" w:gutter="0"/>
          <w:cols w:space="720"/>
        </w:sectPr>
      </w:pPr>
    </w:p>
    <w:p w14:paraId="03A7C310" w14:textId="77777777" w:rsidR="00A71EEF" w:rsidRDefault="0081115D">
      <w:pPr>
        <w:pStyle w:val="a4"/>
        <w:numPr>
          <w:ilvl w:val="2"/>
          <w:numId w:val="864"/>
        </w:numPr>
        <w:tabs>
          <w:tab w:val="left" w:pos="1370"/>
        </w:tabs>
        <w:spacing w:before="47" w:line="446" w:lineRule="auto"/>
        <w:ind w:right="1606" w:firstLine="422"/>
        <w:rPr>
          <w:sz w:val="21"/>
        </w:rPr>
      </w:pPr>
      <w:r>
        <w:rPr>
          <w:spacing w:val="-13"/>
          <w:sz w:val="21"/>
        </w:rPr>
        <w:lastRenderedPageBreak/>
        <w:t>公称压力</w:t>
      </w:r>
      <w:r>
        <w:rPr>
          <w:spacing w:val="-13"/>
          <w:sz w:val="21"/>
        </w:rPr>
        <w:t xml:space="preserve"> </w:t>
      </w:r>
      <w:r>
        <w:rPr>
          <w:sz w:val="21"/>
        </w:rPr>
        <w:t>2.5MPa</w:t>
      </w:r>
      <w:r>
        <w:rPr>
          <w:spacing w:val="-13"/>
          <w:sz w:val="21"/>
        </w:rPr>
        <w:t xml:space="preserve"> </w:t>
      </w:r>
      <w:r>
        <w:rPr>
          <w:spacing w:val="-13"/>
          <w:sz w:val="21"/>
        </w:rPr>
        <w:t>的接合器本体应用符合</w:t>
      </w:r>
      <w:r>
        <w:rPr>
          <w:spacing w:val="-13"/>
          <w:sz w:val="21"/>
        </w:rPr>
        <w:t xml:space="preserve"> </w:t>
      </w:r>
      <w:r>
        <w:rPr>
          <w:sz w:val="21"/>
        </w:rPr>
        <w:t>GB/T</w:t>
      </w:r>
      <w:r>
        <w:rPr>
          <w:spacing w:val="5"/>
          <w:sz w:val="21"/>
        </w:rPr>
        <w:t xml:space="preserve"> </w:t>
      </w:r>
      <w:r>
        <w:rPr>
          <w:sz w:val="21"/>
        </w:rPr>
        <w:t>9439-2010</w:t>
      </w:r>
      <w:r>
        <w:rPr>
          <w:spacing w:val="-16"/>
          <w:sz w:val="21"/>
        </w:rPr>
        <w:t xml:space="preserve"> </w:t>
      </w:r>
      <w:r>
        <w:rPr>
          <w:spacing w:val="-16"/>
          <w:sz w:val="21"/>
        </w:rPr>
        <w:t>规定的灰铸铁</w:t>
      </w:r>
      <w:r>
        <w:rPr>
          <w:spacing w:val="-16"/>
          <w:sz w:val="21"/>
        </w:rPr>
        <w:t xml:space="preserve"> </w:t>
      </w:r>
      <w:r>
        <w:rPr>
          <w:sz w:val="21"/>
        </w:rPr>
        <w:t>HT250</w:t>
      </w:r>
      <w:r>
        <w:rPr>
          <w:spacing w:val="-18"/>
          <w:sz w:val="21"/>
        </w:rPr>
        <w:t xml:space="preserve"> </w:t>
      </w:r>
      <w:r>
        <w:rPr>
          <w:spacing w:val="-18"/>
          <w:sz w:val="21"/>
        </w:rPr>
        <w:t>或机</w:t>
      </w:r>
      <w:r>
        <w:rPr>
          <w:spacing w:val="1"/>
          <w:sz w:val="21"/>
        </w:rPr>
        <w:t>械性能不低于</w:t>
      </w:r>
      <w:r>
        <w:rPr>
          <w:sz w:val="21"/>
        </w:rPr>
        <w:t>HT250</w:t>
      </w:r>
      <w:r>
        <w:rPr>
          <w:spacing w:val="-9"/>
          <w:sz w:val="21"/>
        </w:rPr>
        <w:t xml:space="preserve"> </w:t>
      </w:r>
      <w:r>
        <w:rPr>
          <w:spacing w:val="-9"/>
          <w:sz w:val="21"/>
        </w:rPr>
        <w:t>的其他金属材料制造。</w:t>
      </w:r>
      <w:r>
        <w:rPr>
          <w:sz w:val="21"/>
        </w:rPr>
        <w:t xml:space="preserve"> </w:t>
      </w:r>
    </w:p>
    <w:p w14:paraId="55F2E02D" w14:textId="77777777" w:rsidR="00A71EEF" w:rsidRDefault="0081115D">
      <w:pPr>
        <w:pStyle w:val="a4"/>
        <w:numPr>
          <w:ilvl w:val="2"/>
          <w:numId w:val="864"/>
        </w:numPr>
        <w:tabs>
          <w:tab w:val="left" w:pos="1370"/>
        </w:tabs>
        <w:spacing w:line="267" w:lineRule="exact"/>
        <w:ind w:left="1369" w:hanging="530"/>
        <w:rPr>
          <w:sz w:val="21"/>
        </w:rPr>
      </w:pPr>
      <w:r>
        <w:rPr>
          <w:spacing w:val="-13"/>
          <w:sz w:val="21"/>
        </w:rPr>
        <w:t>公称压力</w:t>
      </w:r>
      <w:r>
        <w:rPr>
          <w:spacing w:val="-13"/>
          <w:sz w:val="21"/>
        </w:rPr>
        <w:t xml:space="preserve"> </w:t>
      </w:r>
      <w:r>
        <w:rPr>
          <w:sz w:val="21"/>
        </w:rPr>
        <w:t>4.0MPa</w:t>
      </w:r>
      <w:r>
        <w:rPr>
          <w:spacing w:val="-13"/>
          <w:sz w:val="21"/>
        </w:rPr>
        <w:t xml:space="preserve"> </w:t>
      </w:r>
      <w:r>
        <w:rPr>
          <w:spacing w:val="-13"/>
          <w:sz w:val="21"/>
        </w:rPr>
        <w:t>的接合器本体应用符合</w:t>
      </w:r>
      <w:r>
        <w:rPr>
          <w:spacing w:val="-13"/>
          <w:sz w:val="21"/>
        </w:rPr>
        <w:t xml:space="preserve"> </w:t>
      </w:r>
      <w:r>
        <w:rPr>
          <w:sz w:val="21"/>
        </w:rPr>
        <w:t>GB/T</w:t>
      </w:r>
      <w:r>
        <w:rPr>
          <w:spacing w:val="1"/>
          <w:sz w:val="21"/>
        </w:rPr>
        <w:t xml:space="preserve"> </w:t>
      </w:r>
      <w:r>
        <w:rPr>
          <w:sz w:val="21"/>
        </w:rPr>
        <w:t>1348-2009</w:t>
      </w:r>
      <w:r>
        <w:rPr>
          <w:spacing w:val="-14"/>
          <w:sz w:val="21"/>
        </w:rPr>
        <w:t xml:space="preserve"> </w:t>
      </w:r>
      <w:r>
        <w:rPr>
          <w:spacing w:val="-14"/>
          <w:sz w:val="21"/>
        </w:rPr>
        <w:t>规定的球墨铸铁</w:t>
      </w:r>
      <w:r>
        <w:rPr>
          <w:spacing w:val="-14"/>
          <w:sz w:val="21"/>
        </w:rPr>
        <w:t xml:space="preserve"> </w:t>
      </w:r>
      <w:r>
        <w:rPr>
          <w:sz w:val="21"/>
        </w:rPr>
        <w:t>QT450-10</w:t>
      </w:r>
    </w:p>
    <w:p w14:paraId="618F145C" w14:textId="77777777" w:rsidR="00A71EEF" w:rsidRDefault="00A71EEF">
      <w:pPr>
        <w:pStyle w:val="a3"/>
        <w:spacing w:before="2"/>
        <w:rPr>
          <w:sz w:val="18"/>
        </w:rPr>
      </w:pPr>
    </w:p>
    <w:p w14:paraId="490CEA7C" w14:textId="77777777" w:rsidR="00A71EEF" w:rsidRDefault="0081115D">
      <w:pPr>
        <w:pStyle w:val="a3"/>
        <w:ind w:left="418"/>
      </w:pPr>
      <w:r>
        <w:t>或机械性能不低于</w:t>
      </w:r>
      <w:r>
        <w:t xml:space="preserve">QT450-10 </w:t>
      </w:r>
      <w:r>
        <w:t>的其他金属材料制造。</w:t>
      </w:r>
      <w:r>
        <w:t xml:space="preserve"> </w:t>
      </w:r>
    </w:p>
    <w:p w14:paraId="0F8C6174" w14:textId="77777777" w:rsidR="00A71EEF" w:rsidRDefault="00A71EEF">
      <w:pPr>
        <w:pStyle w:val="a3"/>
        <w:rPr>
          <w:sz w:val="18"/>
        </w:rPr>
      </w:pPr>
    </w:p>
    <w:p w14:paraId="178360C8" w14:textId="77777777" w:rsidR="00A71EEF" w:rsidRDefault="0081115D">
      <w:pPr>
        <w:pStyle w:val="a4"/>
        <w:numPr>
          <w:ilvl w:val="2"/>
          <w:numId w:val="864"/>
        </w:numPr>
        <w:tabs>
          <w:tab w:val="left" w:pos="1370"/>
        </w:tabs>
        <w:spacing w:line="446" w:lineRule="auto"/>
        <w:ind w:right="1502" w:firstLine="422"/>
        <w:rPr>
          <w:sz w:val="21"/>
        </w:rPr>
      </w:pPr>
      <w:r>
        <w:rPr>
          <w:spacing w:val="-6"/>
          <w:sz w:val="21"/>
        </w:rPr>
        <w:t>接合器的进水口接口本体应用符合</w:t>
      </w:r>
      <w:r>
        <w:rPr>
          <w:spacing w:val="-6"/>
          <w:sz w:val="21"/>
        </w:rPr>
        <w:t xml:space="preserve"> </w:t>
      </w:r>
      <w:r>
        <w:rPr>
          <w:sz w:val="21"/>
        </w:rPr>
        <w:t>GB/T</w:t>
      </w:r>
      <w:r>
        <w:rPr>
          <w:spacing w:val="7"/>
          <w:sz w:val="21"/>
        </w:rPr>
        <w:t xml:space="preserve"> </w:t>
      </w:r>
      <w:r>
        <w:rPr>
          <w:sz w:val="21"/>
        </w:rPr>
        <w:t>1176-1987</w:t>
      </w:r>
      <w:r>
        <w:rPr>
          <w:spacing w:val="-22"/>
          <w:sz w:val="21"/>
        </w:rPr>
        <w:t xml:space="preserve"> </w:t>
      </w:r>
      <w:r>
        <w:rPr>
          <w:spacing w:val="-22"/>
          <w:sz w:val="21"/>
        </w:rPr>
        <w:t>规定的</w:t>
      </w:r>
      <w:r>
        <w:rPr>
          <w:spacing w:val="-22"/>
          <w:sz w:val="21"/>
        </w:rPr>
        <w:t xml:space="preserve"> </w:t>
      </w:r>
      <w:r>
        <w:rPr>
          <w:sz w:val="21"/>
        </w:rPr>
        <w:t>ZCuZn38</w:t>
      </w:r>
      <w:r>
        <w:rPr>
          <w:spacing w:val="-9"/>
          <w:sz w:val="21"/>
        </w:rPr>
        <w:t xml:space="preserve"> </w:t>
      </w:r>
      <w:r>
        <w:rPr>
          <w:spacing w:val="-9"/>
          <w:sz w:val="21"/>
        </w:rPr>
        <w:t>铅黄铜或机械性</w:t>
      </w:r>
      <w:r>
        <w:rPr>
          <w:spacing w:val="-15"/>
          <w:sz w:val="21"/>
        </w:rPr>
        <w:t>能不低于</w:t>
      </w:r>
      <w:r>
        <w:rPr>
          <w:spacing w:val="-15"/>
          <w:sz w:val="21"/>
        </w:rPr>
        <w:t xml:space="preserve"> </w:t>
      </w:r>
      <w:r>
        <w:rPr>
          <w:sz w:val="21"/>
        </w:rPr>
        <w:t>ZCuZn38</w:t>
      </w:r>
      <w:r>
        <w:rPr>
          <w:spacing w:val="-11"/>
          <w:sz w:val="21"/>
        </w:rPr>
        <w:t xml:space="preserve"> </w:t>
      </w:r>
      <w:r>
        <w:rPr>
          <w:spacing w:val="-11"/>
          <w:sz w:val="21"/>
        </w:rPr>
        <w:t>铅黄铜的其他铜材制造；也可使用符合</w:t>
      </w:r>
      <w:r>
        <w:rPr>
          <w:spacing w:val="-11"/>
          <w:sz w:val="21"/>
        </w:rPr>
        <w:t xml:space="preserve"> </w:t>
      </w:r>
      <w:r>
        <w:rPr>
          <w:sz w:val="21"/>
        </w:rPr>
        <w:t>GB/T</w:t>
      </w:r>
      <w:r>
        <w:rPr>
          <w:spacing w:val="5"/>
          <w:sz w:val="21"/>
        </w:rPr>
        <w:t xml:space="preserve"> </w:t>
      </w:r>
      <w:r>
        <w:rPr>
          <w:sz w:val="21"/>
        </w:rPr>
        <w:t>2100-2002</w:t>
      </w:r>
      <w:r>
        <w:rPr>
          <w:spacing w:val="-22"/>
          <w:sz w:val="21"/>
        </w:rPr>
        <w:t xml:space="preserve"> </w:t>
      </w:r>
      <w:r>
        <w:rPr>
          <w:spacing w:val="-22"/>
          <w:sz w:val="21"/>
        </w:rPr>
        <w:t>规定的</w:t>
      </w:r>
      <w:r>
        <w:rPr>
          <w:spacing w:val="-22"/>
          <w:sz w:val="21"/>
        </w:rPr>
        <w:t xml:space="preserve"> </w:t>
      </w:r>
      <w:r>
        <w:rPr>
          <w:sz w:val="21"/>
        </w:rPr>
        <w:t>ZG20Cr13</w:t>
      </w:r>
      <w:r>
        <w:rPr>
          <w:spacing w:val="-27"/>
          <w:sz w:val="21"/>
        </w:rPr>
        <w:t xml:space="preserve"> </w:t>
      </w:r>
      <w:r>
        <w:rPr>
          <w:spacing w:val="-27"/>
          <w:sz w:val="21"/>
        </w:rPr>
        <w:t>不</w:t>
      </w:r>
      <w:r>
        <w:rPr>
          <w:spacing w:val="-13"/>
          <w:sz w:val="21"/>
        </w:rPr>
        <w:t>锈钢或机械性能不低于</w:t>
      </w:r>
      <w:r>
        <w:rPr>
          <w:spacing w:val="-13"/>
          <w:sz w:val="21"/>
        </w:rPr>
        <w:t xml:space="preserve"> </w:t>
      </w:r>
      <w:r>
        <w:rPr>
          <w:sz w:val="21"/>
        </w:rPr>
        <w:t>ZG20Cr13</w:t>
      </w:r>
      <w:r>
        <w:rPr>
          <w:spacing w:val="-9"/>
          <w:sz w:val="21"/>
        </w:rPr>
        <w:t xml:space="preserve"> </w:t>
      </w:r>
      <w:r>
        <w:rPr>
          <w:spacing w:val="-9"/>
          <w:sz w:val="21"/>
        </w:rPr>
        <w:t>的其他不锈钢材料制造。</w:t>
      </w:r>
      <w:r>
        <w:rPr>
          <w:sz w:val="21"/>
        </w:rPr>
        <w:t xml:space="preserve"> </w:t>
      </w:r>
    </w:p>
    <w:p w14:paraId="262490A1" w14:textId="77777777" w:rsidR="00A71EEF" w:rsidRDefault="0081115D">
      <w:pPr>
        <w:pStyle w:val="a4"/>
        <w:numPr>
          <w:ilvl w:val="1"/>
          <w:numId w:val="864"/>
        </w:numPr>
        <w:tabs>
          <w:tab w:val="left" w:pos="1159"/>
        </w:tabs>
        <w:spacing w:line="268" w:lineRule="exact"/>
        <w:ind w:hanging="319"/>
        <w:rPr>
          <w:sz w:val="21"/>
        </w:rPr>
      </w:pPr>
      <w:r>
        <w:rPr>
          <w:spacing w:val="-3"/>
          <w:sz w:val="21"/>
        </w:rPr>
        <w:t>外观质量</w:t>
      </w:r>
      <w:r>
        <w:rPr>
          <w:sz w:val="21"/>
        </w:rPr>
        <w:t xml:space="preserve"> </w:t>
      </w:r>
    </w:p>
    <w:p w14:paraId="63CD3E43" w14:textId="77777777" w:rsidR="00A71EEF" w:rsidRDefault="00A71EEF">
      <w:pPr>
        <w:pStyle w:val="a3"/>
        <w:spacing w:before="12"/>
        <w:rPr>
          <w:sz w:val="17"/>
        </w:rPr>
      </w:pPr>
    </w:p>
    <w:p w14:paraId="53DA7F02" w14:textId="77777777" w:rsidR="00A71EEF" w:rsidRDefault="0081115D">
      <w:pPr>
        <w:pStyle w:val="a4"/>
        <w:numPr>
          <w:ilvl w:val="2"/>
          <w:numId w:val="864"/>
        </w:numPr>
        <w:tabs>
          <w:tab w:val="left" w:pos="1370"/>
        </w:tabs>
        <w:spacing w:line="446" w:lineRule="auto"/>
        <w:ind w:right="1604" w:firstLine="422"/>
        <w:rPr>
          <w:sz w:val="21"/>
        </w:rPr>
      </w:pPr>
      <w:r>
        <w:rPr>
          <w:spacing w:val="-3"/>
          <w:sz w:val="21"/>
        </w:rPr>
        <w:t>接合器的铸铁件表面应光滑，除锈后上部外露部分应涂红色漆，漆膜色泽应均匀，</w:t>
      </w:r>
      <w:r>
        <w:rPr>
          <w:spacing w:val="-3"/>
          <w:sz w:val="21"/>
        </w:rPr>
        <w:t xml:space="preserve"> </w:t>
      </w:r>
      <w:r>
        <w:rPr>
          <w:spacing w:val="-3"/>
          <w:sz w:val="21"/>
        </w:rPr>
        <w:t>无龟裂、无明显的划痕和碰伤；接合器的铸铁件内表面应涂防锈漆或采用其他防腐处理。</w:t>
      </w:r>
      <w:r>
        <w:rPr>
          <w:sz w:val="21"/>
        </w:rPr>
        <w:t xml:space="preserve"> </w:t>
      </w:r>
    </w:p>
    <w:p w14:paraId="0047546F" w14:textId="77777777" w:rsidR="00A71EEF" w:rsidRDefault="0081115D">
      <w:pPr>
        <w:pStyle w:val="a4"/>
        <w:numPr>
          <w:ilvl w:val="2"/>
          <w:numId w:val="864"/>
        </w:numPr>
        <w:tabs>
          <w:tab w:val="left" w:pos="1371"/>
        </w:tabs>
        <w:spacing w:line="446" w:lineRule="auto"/>
        <w:ind w:right="1604" w:firstLine="422"/>
        <w:rPr>
          <w:sz w:val="21"/>
        </w:rPr>
      </w:pPr>
      <w:r>
        <w:rPr>
          <w:spacing w:val="-3"/>
          <w:sz w:val="21"/>
        </w:rPr>
        <w:t>接合器铸铜件表面应无严重的砂眼、气孔、渣孔、缩松、氧化夹渣、裂纹、冷隔和穿透性缺陷。</w:t>
      </w:r>
      <w:r>
        <w:rPr>
          <w:sz w:val="21"/>
        </w:rPr>
        <w:t xml:space="preserve"> </w:t>
      </w:r>
    </w:p>
    <w:p w14:paraId="4B7EDE98" w14:textId="77777777" w:rsidR="00A71EEF" w:rsidRDefault="0081115D">
      <w:pPr>
        <w:pStyle w:val="a4"/>
        <w:numPr>
          <w:ilvl w:val="1"/>
          <w:numId w:val="864"/>
        </w:numPr>
        <w:tabs>
          <w:tab w:val="left" w:pos="1159"/>
        </w:tabs>
        <w:ind w:hanging="319"/>
        <w:rPr>
          <w:b/>
          <w:sz w:val="21"/>
        </w:rPr>
      </w:pPr>
      <w:r>
        <w:rPr>
          <w:spacing w:val="-3"/>
          <w:sz w:val="21"/>
        </w:rPr>
        <w:t>螺纹及法兰尺寸</w:t>
      </w:r>
      <w:r>
        <w:rPr>
          <w:b/>
          <w:w w:val="99"/>
          <w:sz w:val="21"/>
        </w:rPr>
        <w:t xml:space="preserve"> </w:t>
      </w:r>
    </w:p>
    <w:p w14:paraId="5D2E56DE" w14:textId="77777777" w:rsidR="00A71EEF" w:rsidRDefault="00A71EEF">
      <w:pPr>
        <w:pStyle w:val="a3"/>
        <w:rPr>
          <w:b/>
          <w:sz w:val="18"/>
        </w:rPr>
      </w:pPr>
    </w:p>
    <w:p w14:paraId="55C76F38" w14:textId="77777777" w:rsidR="00A71EEF" w:rsidRDefault="0081115D">
      <w:pPr>
        <w:pStyle w:val="a4"/>
        <w:numPr>
          <w:ilvl w:val="2"/>
          <w:numId w:val="864"/>
        </w:numPr>
        <w:tabs>
          <w:tab w:val="left" w:pos="1370"/>
        </w:tabs>
        <w:ind w:left="1369" w:hanging="530"/>
        <w:rPr>
          <w:sz w:val="21"/>
        </w:rPr>
      </w:pPr>
      <w:r>
        <w:rPr>
          <w:spacing w:val="-6"/>
          <w:sz w:val="21"/>
        </w:rPr>
        <w:t>接合器管螺纹的基本尺寸和公差应符合</w:t>
      </w:r>
      <w:r>
        <w:rPr>
          <w:spacing w:val="-6"/>
          <w:sz w:val="21"/>
        </w:rPr>
        <w:t xml:space="preserve"> </w:t>
      </w:r>
      <w:r>
        <w:rPr>
          <w:sz w:val="21"/>
        </w:rPr>
        <w:t>GB/T</w:t>
      </w:r>
      <w:r>
        <w:rPr>
          <w:spacing w:val="3"/>
          <w:sz w:val="21"/>
        </w:rPr>
        <w:t xml:space="preserve"> </w:t>
      </w:r>
      <w:r>
        <w:rPr>
          <w:sz w:val="21"/>
        </w:rPr>
        <w:t>7307</w:t>
      </w:r>
      <w:r>
        <w:rPr>
          <w:spacing w:val="-9"/>
          <w:sz w:val="21"/>
        </w:rPr>
        <w:t xml:space="preserve"> </w:t>
      </w:r>
      <w:r>
        <w:rPr>
          <w:spacing w:val="-9"/>
          <w:sz w:val="21"/>
        </w:rPr>
        <w:t>的规定。普通螺纹的公差应符合</w:t>
      </w:r>
    </w:p>
    <w:p w14:paraId="5F0298C0" w14:textId="77777777" w:rsidR="00A71EEF" w:rsidRDefault="00A71EEF">
      <w:pPr>
        <w:pStyle w:val="a3"/>
        <w:spacing w:before="12"/>
        <w:rPr>
          <w:sz w:val="17"/>
        </w:rPr>
      </w:pPr>
    </w:p>
    <w:p w14:paraId="01AADCB0" w14:textId="77777777" w:rsidR="00A71EEF" w:rsidRDefault="0081115D">
      <w:pPr>
        <w:pStyle w:val="a3"/>
        <w:ind w:left="418"/>
        <w:jc w:val="both"/>
      </w:pPr>
      <w:r>
        <w:t xml:space="preserve">GB/T 197-2003 </w:t>
      </w:r>
      <w:r>
        <w:t>中内螺纹</w:t>
      </w:r>
      <w:r>
        <w:t xml:space="preserve"> 7H </w:t>
      </w:r>
      <w:r>
        <w:t>级、外螺纹</w:t>
      </w:r>
      <w:r>
        <w:t xml:space="preserve"> 8g </w:t>
      </w:r>
      <w:r>
        <w:t>级的要求。螺纹应无缺牙，表面应光洁。</w:t>
      </w:r>
      <w:r>
        <w:t xml:space="preserve"> </w:t>
      </w:r>
    </w:p>
    <w:p w14:paraId="12E104BC" w14:textId="77777777" w:rsidR="00A71EEF" w:rsidRDefault="00A71EEF">
      <w:pPr>
        <w:pStyle w:val="a3"/>
        <w:spacing w:before="1"/>
        <w:rPr>
          <w:sz w:val="18"/>
        </w:rPr>
      </w:pPr>
    </w:p>
    <w:p w14:paraId="5D7F6E00" w14:textId="77777777" w:rsidR="00A71EEF" w:rsidRDefault="0081115D">
      <w:pPr>
        <w:pStyle w:val="a4"/>
        <w:numPr>
          <w:ilvl w:val="2"/>
          <w:numId w:val="864"/>
        </w:numPr>
        <w:tabs>
          <w:tab w:val="left" w:pos="1370"/>
        </w:tabs>
        <w:spacing w:before="1" w:line="446" w:lineRule="auto"/>
        <w:ind w:right="1553" w:firstLine="422"/>
        <w:jc w:val="both"/>
        <w:rPr>
          <w:sz w:val="21"/>
        </w:rPr>
      </w:pPr>
      <w:r>
        <w:rPr>
          <w:spacing w:val="-8"/>
          <w:position w:val="1"/>
          <w:sz w:val="21"/>
        </w:rPr>
        <w:t>螺纹式连接的公称通径</w:t>
      </w:r>
      <w:r>
        <w:rPr>
          <w:spacing w:val="-8"/>
          <w:position w:val="1"/>
          <w:sz w:val="21"/>
        </w:rPr>
        <w:t xml:space="preserve"> </w:t>
      </w:r>
      <w:r>
        <w:rPr>
          <w:position w:val="1"/>
          <w:sz w:val="21"/>
        </w:rPr>
        <w:t>100mm</w:t>
      </w:r>
      <w:r>
        <w:rPr>
          <w:spacing w:val="-13"/>
          <w:position w:val="1"/>
          <w:sz w:val="21"/>
        </w:rPr>
        <w:t xml:space="preserve"> </w:t>
      </w:r>
      <w:r>
        <w:rPr>
          <w:spacing w:val="-13"/>
          <w:position w:val="1"/>
          <w:sz w:val="21"/>
        </w:rPr>
        <w:t>的接合器应用符合</w:t>
      </w:r>
      <w:r>
        <w:rPr>
          <w:spacing w:val="-13"/>
          <w:position w:val="1"/>
          <w:sz w:val="21"/>
        </w:rPr>
        <w:t xml:space="preserve"> </w:t>
      </w:r>
      <w:r>
        <w:rPr>
          <w:position w:val="1"/>
          <w:sz w:val="21"/>
        </w:rPr>
        <w:t>GB</w:t>
      </w:r>
      <w:r>
        <w:rPr>
          <w:position w:val="1"/>
          <w:sz w:val="21"/>
        </w:rPr>
        <w:t>/T</w:t>
      </w:r>
      <w:r>
        <w:rPr>
          <w:spacing w:val="2"/>
          <w:position w:val="1"/>
          <w:sz w:val="21"/>
        </w:rPr>
        <w:t xml:space="preserve"> </w:t>
      </w:r>
      <w:r>
        <w:rPr>
          <w:position w:val="1"/>
          <w:sz w:val="21"/>
        </w:rPr>
        <w:t>7306.2-2000</w:t>
      </w:r>
      <w:r>
        <w:rPr>
          <w:spacing w:val="-22"/>
          <w:position w:val="1"/>
          <w:sz w:val="21"/>
        </w:rPr>
        <w:t xml:space="preserve"> </w:t>
      </w:r>
      <w:r>
        <w:rPr>
          <w:spacing w:val="-22"/>
          <w:position w:val="1"/>
          <w:sz w:val="21"/>
        </w:rPr>
        <w:t>规定的</w:t>
      </w:r>
      <w:r>
        <w:rPr>
          <w:spacing w:val="-22"/>
          <w:position w:val="1"/>
          <w:sz w:val="21"/>
        </w:rPr>
        <w:t xml:space="preserve"> </w:t>
      </w:r>
      <w:r>
        <w:rPr>
          <w:position w:val="1"/>
          <w:sz w:val="21"/>
        </w:rPr>
        <w:t>R</w:t>
      </w:r>
      <w:r>
        <w:rPr>
          <w:sz w:val="11"/>
        </w:rPr>
        <w:t>2</w:t>
      </w:r>
      <w:r>
        <w:rPr>
          <w:position w:val="1"/>
          <w:sz w:val="21"/>
        </w:rPr>
        <w:t>4</w:t>
      </w:r>
      <w:r>
        <w:rPr>
          <w:spacing w:val="-19"/>
          <w:position w:val="1"/>
          <w:sz w:val="21"/>
        </w:rPr>
        <w:t xml:space="preserve"> </w:t>
      </w:r>
      <w:r>
        <w:rPr>
          <w:spacing w:val="-19"/>
          <w:position w:val="1"/>
          <w:sz w:val="21"/>
        </w:rPr>
        <w:t>圆锥</w:t>
      </w:r>
      <w:r>
        <w:rPr>
          <w:spacing w:val="-7"/>
          <w:position w:val="1"/>
          <w:sz w:val="21"/>
        </w:rPr>
        <w:t>外螺纹；螺纹式连接的公称通径</w:t>
      </w:r>
      <w:r>
        <w:rPr>
          <w:spacing w:val="-7"/>
          <w:position w:val="1"/>
          <w:sz w:val="21"/>
        </w:rPr>
        <w:t xml:space="preserve"> </w:t>
      </w:r>
      <w:r>
        <w:rPr>
          <w:position w:val="1"/>
          <w:sz w:val="21"/>
        </w:rPr>
        <w:t>150mm</w:t>
      </w:r>
      <w:r>
        <w:rPr>
          <w:spacing w:val="-13"/>
          <w:position w:val="1"/>
          <w:sz w:val="21"/>
        </w:rPr>
        <w:t xml:space="preserve"> </w:t>
      </w:r>
      <w:r>
        <w:rPr>
          <w:spacing w:val="-13"/>
          <w:position w:val="1"/>
          <w:sz w:val="21"/>
        </w:rPr>
        <w:t>的接合器应用符合</w:t>
      </w:r>
      <w:r>
        <w:rPr>
          <w:spacing w:val="-13"/>
          <w:position w:val="1"/>
          <w:sz w:val="21"/>
        </w:rPr>
        <w:t xml:space="preserve"> </w:t>
      </w:r>
      <w:r>
        <w:rPr>
          <w:position w:val="1"/>
          <w:sz w:val="21"/>
        </w:rPr>
        <w:t>GB/T</w:t>
      </w:r>
      <w:r>
        <w:rPr>
          <w:spacing w:val="8"/>
          <w:position w:val="1"/>
          <w:sz w:val="21"/>
        </w:rPr>
        <w:t xml:space="preserve"> </w:t>
      </w:r>
      <w:r>
        <w:rPr>
          <w:position w:val="1"/>
          <w:sz w:val="21"/>
        </w:rPr>
        <w:t>7306.2-2000</w:t>
      </w:r>
      <w:r>
        <w:rPr>
          <w:spacing w:val="-22"/>
          <w:position w:val="1"/>
          <w:sz w:val="21"/>
        </w:rPr>
        <w:t xml:space="preserve"> </w:t>
      </w:r>
      <w:r>
        <w:rPr>
          <w:spacing w:val="-22"/>
          <w:position w:val="1"/>
          <w:sz w:val="21"/>
        </w:rPr>
        <w:t>规定的</w:t>
      </w:r>
      <w:r>
        <w:rPr>
          <w:spacing w:val="-22"/>
          <w:position w:val="1"/>
          <w:sz w:val="21"/>
        </w:rPr>
        <w:t xml:space="preserve"> </w:t>
      </w:r>
      <w:r>
        <w:rPr>
          <w:position w:val="1"/>
          <w:sz w:val="21"/>
        </w:rPr>
        <w:t>R</w:t>
      </w:r>
      <w:r>
        <w:rPr>
          <w:sz w:val="11"/>
        </w:rPr>
        <w:t>2</w:t>
      </w:r>
      <w:r>
        <w:rPr>
          <w:position w:val="1"/>
          <w:sz w:val="21"/>
        </w:rPr>
        <w:t>6</w:t>
      </w:r>
      <w:r>
        <w:rPr>
          <w:spacing w:val="-15"/>
          <w:position w:val="1"/>
          <w:sz w:val="21"/>
        </w:rPr>
        <w:t xml:space="preserve"> </w:t>
      </w:r>
      <w:r>
        <w:rPr>
          <w:spacing w:val="-15"/>
          <w:position w:val="1"/>
          <w:sz w:val="21"/>
        </w:rPr>
        <w:t>圆锥外</w:t>
      </w:r>
      <w:r>
        <w:rPr>
          <w:spacing w:val="-11"/>
          <w:sz w:val="21"/>
        </w:rPr>
        <w:t>螺纹。</w:t>
      </w:r>
      <w:r>
        <w:rPr>
          <w:sz w:val="21"/>
        </w:rPr>
        <w:t xml:space="preserve"> </w:t>
      </w:r>
    </w:p>
    <w:p w14:paraId="7CABCE56" w14:textId="77777777" w:rsidR="00A71EEF" w:rsidRDefault="0081115D">
      <w:pPr>
        <w:pStyle w:val="a4"/>
        <w:numPr>
          <w:ilvl w:val="2"/>
          <w:numId w:val="864"/>
        </w:numPr>
        <w:tabs>
          <w:tab w:val="left" w:pos="1370"/>
        </w:tabs>
        <w:spacing w:line="268" w:lineRule="exact"/>
        <w:ind w:left="1369" w:hanging="530"/>
        <w:jc w:val="both"/>
        <w:rPr>
          <w:sz w:val="21"/>
        </w:rPr>
      </w:pPr>
      <w:r>
        <w:rPr>
          <w:spacing w:val="-6"/>
          <w:sz w:val="21"/>
        </w:rPr>
        <w:t>法兰式连接的接合器的法兰尺寸应符合图</w:t>
      </w:r>
      <w:r>
        <w:rPr>
          <w:spacing w:val="-6"/>
          <w:sz w:val="21"/>
        </w:rPr>
        <w:t xml:space="preserve"> </w:t>
      </w:r>
      <w:r>
        <w:rPr>
          <w:sz w:val="21"/>
        </w:rPr>
        <w:t>1</w:t>
      </w:r>
      <w:r>
        <w:rPr>
          <w:spacing w:val="-28"/>
          <w:sz w:val="21"/>
        </w:rPr>
        <w:t xml:space="preserve"> </w:t>
      </w:r>
      <w:r>
        <w:rPr>
          <w:spacing w:val="-28"/>
          <w:sz w:val="21"/>
        </w:rPr>
        <w:t>和表</w:t>
      </w:r>
      <w:r>
        <w:rPr>
          <w:spacing w:val="-28"/>
          <w:sz w:val="21"/>
        </w:rPr>
        <w:t xml:space="preserve"> </w:t>
      </w:r>
      <w:r>
        <w:rPr>
          <w:sz w:val="21"/>
        </w:rPr>
        <w:t>1</w:t>
      </w:r>
      <w:r>
        <w:rPr>
          <w:spacing w:val="-13"/>
          <w:sz w:val="21"/>
        </w:rPr>
        <w:t xml:space="preserve"> </w:t>
      </w:r>
      <w:r>
        <w:rPr>
          <w:spacing w:val="-13"/>
          <w:sz w:val="21"/>
        </w:rPr>
        <w:t>的规定。</w:t>
      </w:r>
      <w:r>
        <w:rPr>
          <w:sz w:val="21"/>
        </w:rPr>
        <w:t xml:space="preserve"> </w:t>
      </w:r>
    </w:p>
    <w:p w14:paraId="6617BF5D" w14:textId="77777777" w:rsidR="00A71EEF" w:rsidRDefault="00A71EEF">
      <w:pPr>
        <w:pStyle w:val="a3"/>
        <w:spacing w:before="12"/>
        <w:rPr>
          <w:sz w:val="17"/>
        </w:rPr>
      </w:pPr>
    </w:p>
    <w:p w14:paraId="38153205" w14:textId="77777777" w:rsidR="00A71EEF" w:rsidRDefault="0081115D">
      <w:pPr>
        <w:pStyle w:val="6"/>
        <w:ind w:left="3310"/>
      </w:pPr>
      <w:r>
        <w:t>图</w:t>
      </w:r>
      <w:r>
        <w:t xml:space="preserve"> 1 </w:t>
      </w:r>
      <w:r>
        <w:t>法兰式连接的接合器的法兰尺寸</w:t>
      </w:r>
      <w:r>
        <w:rPr>
          <w:w w:val="99"/>
        </w:rPr>
        <w:t xml:space="preserve"> </w:t>
      </w:r>
    </w:p>
    <w:p w14:paraId="202CBE7D" w14:textId="77777777" w:rsidR="00A71EEF" w:rsidRDefault="0081115D">
      <w:pPr>
        <w:pStyle w:val="a3"/>
        <w:spacing w:before="9"/>
        <w:rPr>
          <w:b/>
          <w:sz w:val="9"/>
        </w:rPr>
      </w:pPr>
      <w:r>
        <w:rPr>
          <w:noProof/>
        </w:rPr>
        <w:drawing>
          <wp:anchor distT="0" distB="0" distL="0" distR="0" simplePos="0" relativeHeight="251486720" behindDoc="0" locked="0" layoutInCell="1" allowOverlap="1" wp14:anchorId="3D9460F0" wp14:editId="0057AD22">
            <wp:simplePos x="0" y="0"/>
            <wp:positionH relativeFrom="page">
              <wp:posOffset>1696858</wp:posOffset>
            </wp:positionH>
            <wp:positionV relativeFrom="paragraph">
              <wp:posOffset>104226</wp:posOffset>
            </wp:positionV>
            <wp:extent cx="3791444" cy="2316480"/>
            <wp:effectExtent l="0" t="0" r="0" b="0"/>
            <wp:wrapTopAndBottom/>
            <wp:docPr id="85"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60.jpeg"/>
                    <pic:cNvPicPr/>
                  </pic:nvPicPr>
                  <pic:blipFill>
                    <a:blip r:embed="rId56" cstate="print"/>
                    <a:stretch>
                      <a:fillRect/>
                    </a:stretch>
                  </pic:blipFill>
                  <pic:spPr>
                    <a:xfrm>
                      <a:off x="0" y="0"/>
                      <a:ext cx="3791444" cy="2316480"/>
                    </a:xfrm>
                    <a:prstGeom prst="rect">
                      <a:avLst/>
                    </a:prstGeom>
                  </pic:spPr>
                </pic:pic>
              </a:graphicData>
            </a:graphic>
          </wp:anchor>
        </w:drawing>
      </w:r>
    </w:p>
    <w:p w14:paraId="6F947EA0" w14:textId="77777777" w:rsidR="00A71EEF" w:rsidRDefault="00A71EEF">
      <w:pPr>
        <w:rPr>
          <w:sz w:val="9"/>
        </w:rPr>
        <w:sectPr w:rsidR="00A71EEF">
          <w:pgSz w:w="11910" w:h="16850"/>
          <w:pgMar w:top="1220" w:right="0" w:bottom="1420" w:left="1260" w:header="0" w:footer="1239" w:gutter="0"/>
          <w:cols w:space="720"/>
        </w:sectPr>
      </w:pPr>
    </w:p>
    <w:p w14:paraId="2ECAA953" w14:textId="77777777" w:rsidR="00A71EEF" w:rsidRDefault="0081115D">
      <w:pPr>
        <w:spacing w:before="47"/>
        <w:ind w:left="2518"/>
        <w:rPr>
          <w:sz w:val="21"/>
        </w:rPr>
      </w:pPr>
      <w:r>
        <w:rPr>
          <w:b/>
          <w:sz w:val="21"/>
        </w:rPr>
        <w:lastRenderedPageBreak/>
        <w:t>表</w:t>
      </w:r>
      <w:r>
        <w:rPr>
          <w:b/>
          <w:sz w:val="21"/>
        </w:rPr>
        <w:t xml:space="preserve"> 1 </w:t>
      </w:r>
      <w:r>
        <w:rPr>
          <w:b/>
          <w:sz w:val="21"/>
        </w:rPr>
        <w:t>法兰式连接的接合器的法兰尺寸</w:t>
      </w:r>
      <w:r>
        <w:rPr>
          <w:b/>
          <w:sz w:val="21"/>
        </w:rPr>
        <w:t xml:space="preserve"> </w:t>
      </w:r>
      <w:r>
        <w:rPr>
          <w:b/>
          <w:sz w:val="21"/>
        </w:rPr>
        <w:t>（单位为毫米）</w:t>
      </w:r>
      <w:r>
        <w:rPr>
          <w:sz w:val="21"/>
        </w:rPr>
        <w:t xml:space="preserve"> </w:t>
      </w:r>
    </w:p>
    <w:p w14:paraId="2FCEAFE4" w14:textId="77777777" w:rsidR="00A71EEF" w:rsidRDefault="00A71EEF">
      <w:pPr>
        <w:pStyle w:val="a3"/>
        <w:rPr>
          <w:sz w:val="20"/>
        </w:rPr>
      </w:pPr>
    </w:p>
    <w:p w14:paraId="273E9665" w14:textId="77777777" w:rsidR="00A71EEF" w:rsidRDefault="00A71EEF">
      <w:pPr>
        <w:pStyle w:val="a3"/>
        <w:rPr>
          <w:sz w:val="20"/>
        </w:rPr>
      </w:pPr>
    </w:p>
    <w:p w14:paraId="271C6EFE" w14:textId="77777777" w:rsidR="00A71EEF" w:rsidRDefault="00A71EEF">
      <w:pPr>
        <w:pStyle w:val="a3"/>
        <w:rPr>
          <w:sz w:val="17"/>
        </w:rPr>
      </w:pPr>
    </w:p>
    <w:p w14:paraId="08DAD8FF" w14:textId="77777777" w:rsidR="00A71EEF" w:rsidRDefault="0081115D">
      <w:pPr>
        <w:pStyle w:val="a4"/>
        <w:numPr>
          <w:ilvl w:val="1"/>
          <w:numId w:val="864"/>
        </w:numPr>
        <w:tabs>
          <w:tab w:val="left" w:pos="1160"/>
        </w:tabs>
        <w:ind w:left="1159" w:hanging="320"/>
        <w:rPr>
          <w:b/>
          <w:sz w:val="21"/>
        </w:rPr>
      </w:pPr>
      <w:r>
        <w:rPr>
          <w:spacing w:val="-3"/>
          <w:sz w:val="21"/>
        </w:rPr>
        <w:t>密封性能</w:t>
      </w:r>
      <w:r>
        <w:rPr>
          <w:b/>
          <w:w w:val="99"/>
          <w:sz w:val="21"/>
        </w:rPr>
        <w:t xml:space="preserve"> </w:t>
      </w:r>
    </w:p>
    <w:p w14:paraId="4EC3767E" w14:textId="77777777" w:rsidR="00A71EEF" w:rsidRDefault="00A71EEF">
      <w:pPr>
        <w:pStyle w:val="a3"/>
        <w:spacing w:before="1"/>
        <w:rPr>
          <w:b/>
          <w:sz w:val="18"/>
        </w:rPr>
      </w:pPr>
    </w:p>
    <w:p w14:paraId="3BA5A108" w14:textId="77777777" w:rsidR="00A71EEF" w:rsidRDefault="0081115D">
      <w:pPr>
        <w:pStyle w:val="a3"/>
        <w:spacing w:before="1" w:line="446" w:lineRule="auto"/>
        <w:ind w:left="418" w:right="1609" w:firstLine="419"/>
      </w:pPr>
      <w:r>
        <w:t>接合器在公称压力水压下，各连接部位不应有渗漏现象。截断类阀门和排放余水阀也不应有渗漏现象。</w:t>
      </w:r>
      <w:r>
        <w:t xml:space="preserve"> </w:t>
      </w:r>
    </w:p>
    <w:p w14:paraId="5C1F80E7" w14:textId="77777777" w:rsidR="00A71EEF" w:rsidRDefault="0081115D">
      <w:pPr>
        <w:pStyle w:val="a4"/>
        <w:numPr>
          <w:ilvl w:val="1"/>
          <w:numId w:val="864"/>
        </w:numPr>
        <w:tabs>
          <w:tab w:val="left" w:pos="1159"/>
        </w:tabs>
        <w:spacing w:line="267" w:lineRule="exact"/>
        <w:ind w:hanging="319"/>
        <w:rPr>
          <w:b/>
          <w:sz w:val="21"/>
        </w:rPr>
      </w:pPr>
      <w:r>
        <w:rPr>
          <w:spacing w:val="-3"/>
          <w:sz w:val="21"/>
        </w:rPr>
        <w:t>水压强度性能</w:t>
      </w:r>
      <w:r>
        <w:rPr>
          <w:b/>
          <w:w w:val="99"/>
          <w:sz w:val="21"/>
        </w:rPr>
        <w:t xml:space="preserve"> </w:t>
      </w:r>
    </w:p>
    <w:p w14:paraId="3FA10552" w14:textId="77777777" w:rsidR="00A71EEF" w:rsidRDefault="00A71EEF">
      <w:pPr>
        <w:pStyle w:val="a3"/>
        <w:spacing w:before="1"/>
        <w:rPr>
          <w:b/>
          <w:sz w:val="18"/>
        </w:rPr>
      </w:pPr>
    </w:p>
    <w:p w14:paraId="1F55E7BE" w14:textId="77777777" w:rsidR="00A71EEF" w:rsidRDefault="0081115D">
      <w:pPr>
        <w:pStyle w:val="a3"/>
        <w:spacing w:before="1" w:line="446" w:lineRule="auto"/>
        <w:ind w:left="840" w:right="1714" w:hanging="3"/>
        <w:rPr>
          <w:b/>
        </w:rPr>
      </w:pPr>
      <w:r>
        <w:rPr>
          <w:spacing w:val="-8"/>
        </w:rPr>
        <w:t>接合器在公称压力</w:t>
      </w:r>
      <w:r>
        <w:rPr>
          <w:spacing w:val="-8"/>
        </w:rPr>
        <w:t xml:space="preserve"> </w:t>
      </w:r>
      <w:r>
        <w:t>1.5</w:t>
      </w:r>
      <w:r>
        <w:rPr>
          <w:spacing w:val="-8"/>
        </w:rPr>
        <w:t xml:space="preserve"> </w:t>
      </w:r>
      <w:r>
        <w:rPr>
          <w:spacing w:val="-8"/>
        </w:rPr>
        <w:t>倍的水压下，所有铸件不应有渗漏现象及影响正常使用的损伤。</w:t>
      </w:r>
      <w:r>
        <w:rPr>
          <w:b/>
        </w:rPr>
        <w:t>5.7</w:t>
      </w:r>
      <w:r>
        <w:rPr>
          <w:b/>
          <w:spacing w:val="-1"/>
        </w:rPr>
        <w:t xml:space="preserve"> </w:t>
      </w:r>
      <w:r>
        <w:rPr>
          <w:spacing w:val="-3"/>
        </w:rPr>
        <w:t>阀门</w:t>
      </w:r>
      <w:r>
        <w:rPr>
          <w:b/>
          <w:w w:val="99"/>
        </w:rPr>
        <w:t xml:space="preserve"> </w:t>
      </w:r>
    </w:p>
    <w:p w14:paraId="3DA82C68" w14:textId="77777777" w:rsidR="00A71EEF" w:rsidRDefault="0081115D">
      <w:pPr>
        <w:pStyle w:val="a4"/>
        <w:numPr>
          <w:ilvl w:val="2"/>
          <w:numId w:val="863"/>
        </w:numPr>
        <w:tabs>
          <w:tab w:val="left" w:pos="1371"/>
        </w:tabs>
        <w:spacing w:line="267" w:lineRule="exact"/>
        <w:rPr>
          <w:sz w:val="21"/>
        </w:rPr>
      </w:pPr>
      <w:r>
        <w:rPr>
          <w:spacing w:val="-3"/>
          <w:sz w:val="21"/>
        </w:rPr>
        <w:t>各类阀门应符合相应标准的规定。</w:t>
      </w:r>
      <w:r>
        <w:rPr>
          <w:sz w:val="21"/>
        </w:rPr>
        <w:t xml:space="preserve"> </w:t>
      </w:r>
    </w:p>
    <w:p w14:paraId="77BC5716" w14:textId="77777777" w:rsidR="00A71EEF" w:rsidRDefault="0081115D">
      <w:pPr>
        <w:pStyle w:val="a3"/>
        <w:spacing w:before="4"/>
        <w:rPr>
          <w:sz w:val="25"/>
        </w:rPr>
      </w:pPr>
      <w:r>
        <w:rPr>
          <w:noProof/>
        </w:rPr>
        <w:drawing>
          <wp:anchor distT="0" distB="0" distL="0" distR="0" simplePos="0" relativeHeight="251487744" behindDoc="0" locked="0" layoutInCell="1" allowOverlap="1" wp14:anchorId="3E99B1F1" wp14:editId="294C340F">
            <wp:simplePos x="0" y="0"/>
            <wp:positionH relativeFrom="page">
              <wp:posOffset>1377314</wp:posOffset>
            </wp:positionH>
            <wp:positionV relativeFrom="paragraph">
              <wp:posOffset>231132</wp:posOffset>
            </wp:positionV>
            <wp:extent cx="4945734" cy="1933575"/>
            <wp:effectExtent l="0" t="0" r="0" b="0"/>
            <wp:wrapTopAndBottom/>
            <wp:docPr id="87"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61.jpeg"/>
                    <pic:cNvPicPr/>
                  </pic:nvPicPr>
                  <pic:blipFill>
                    <a:blip r:embed="rId57" cstate="print"/>
                    <a:stretch>
                      <a:fillRect/>
                    </a:stretch>
                  </pic:blipFill>
                  <pic:spPr>
                    <a:xfrm>
                      <a:off x="0" y="0"/>
                      <a:ext cx="4945734" cy="1933575"/>
                    </a:xfrm>
                    <a:prstGeom prst="rect">
                      <a:avLst/>
                    </a:prstGeom>
                  </pic:spPr>
                </pic:pic>
              </a:graphicData>
            </a:graphic>
          </wp:anchor>
        </w:drawing>
      </w:r>
    </w:p>
    <w:p w14:paraId="0F65E7DF" w14:textId="77777777" w:rsidR="00A71EEF" w:rsidRDefault="0081115D">
      <w:pPr>
        <w:pStyle w:val="a4"/>
        <w:numPr>
          <w:ilvl w:val="2"/>
          <w:numId w:val="863"/>
        </w:numPr>
        <w:tabs>
          <w:tab w:val="left" w:pos="1371"/>
        </w:tabs>
        <w:spacing w:before="162"/>
        <w:rPr>
          <w:sz w:val="21"/>
        </w:rPr>
      </w:pPr>
      <w:r>
        <w:rPr>
          <w:spacing w:val="-3"/>
          <w:sz w:val="21"/>
        </w:rPr>
        <w:t>各类阀门的阀座内径不应小于阀体的通径。</w:t>
      </w:r>
      <w:r>
        <w:rPr>
          <w:sz w:val="21"/>
        </w:rPr>
        <w:t xml:space="preserve"> </w:t>
      </w:r>
    </w:p>
    <w:p w14:paraId="537D19AC" w14:textId="77777777" w:rsidR="00A71EEF" w:rsidRDefault="00A71EEF">
      <w:pPr>
        <w:pStyle w:val="a3"/>
        <w:spacing w:before="12"/>
        <w:rPr>
          <w:sz w:val="17"/>
        </w:rPr>
      </w:pPr>
    </w:p>
    <w:p w14:paraId="014EB627" w14:textId="77777777" w:rsidR="00A71EEF" w:rsidRDefault="0081115D">
      <w:pPr>
        <w:pStyle w:val="a4"/>
        <w:numPr>
          <w:ilvl w:val="2"/>
          <w:numId w:val="863"/>
        </w:numPr>
        <w:tabs>
          <w:tab w:val="left" w:pos="1370"/>
        </w:tabs>
        <w:ind w:left="1369" w:hanging="530"/>
        <w:jc w:val="both"/>
        <w:rPr>
          <w:sz w:val="21"/>
        </w:rPr>
      </w:pPr>
      <w:r>
        <w:rPr>
          <w:spacing w:val="-13"/>
          <w:sz w:val="21"/>
        </w:rPr>
        <w:t>公称压力</w:t>
      </w:r>
      <w:r>
        <w:rPr>
          <w:spacing w:val="-13"/>
          <w:sz w:val="21"/>
        </w:rPr>
        <w:t xml:space="preserve"> </w:t>
      </w:r>
      <w:r>
        <w:rPr>
          <w:sz w:val="21"/>
        </w:rPr>
        <w:t>1.6MPa</w:t>
      </w:r>
      <w:r>
        <w:rPr>
          <w:spacing w:val="-9"/>
          <w:sz w:val="21"/>
        </w:rPr>
        <w:t xml:space="preserve"> </w:t>
      </w:r>
      <w:r>
        <w:rPr>
          <w:spacing w:val="-9"/>
          <w:sz w:val="21"/>
        </w:rPr>
        <w:t>的接合器，安全阀的开启压力为</w:t>
      </w:r>
      <w:r>
        <w:rPr>
          <w:sz w:val="21"/>
        </w:rPr>
        <w:t>（</w:t>
      </w:r>
      <w:r>
        <w:rPr>
          <w:sz w:val="21"/>
        </w:rPr>
        <w:t>1.70±0.05)MPa</w:t>
      </w:r>
      <w:r>
        <w:rPr>
          <w:spacing w:val="-1"/>
          <w:sz w:val="21"/>
        </w:rPr>
        <w:t>；公称压力</w:t>
      </w:r>
    </w:p>
    <w:p w14:paraId="43AEA167" w14:textId="77777777" w:rsidR="00A71EEF" w:rsidRDefault="00A71EEF">
      <w:pPr>
        <w:pStyle w:val="a3"/>
        <w:spacing w:before="2"/>
        <w:rPr>
          <w:sz w:val="18"/>
        </w:rPr>
      </w:pPr>
    </w:p>
    <w:p w14:paraId="1D72BED8" w14:textId="77777777" w:rsidR="00A71EEF" w:rsidRDefault="0081115D">
      <w:pPr>
        <w:pStyle w:val="a3"/>
        <w:spacing w:line="446" w:lineRule="auto"/>
        <w:ind w:left="418" w:right="1455"/>
        <w:jc w:val="both"/>
      </w:pPr>
      <w:r>
        <w:t>2.5MPa</w:t>
      </w:r>
      <w:r>
        <w:rPr>
          <w:spacing w:val="-9"/>
        </w:rPr>
        <w:t xml:space="preserve"> </w:t>
      </w:r>
      <w:r>
        <w:rPr>
          <w:spacing w:val="-9"/>
        </w:rPr>
        <w:t>的接合器，安全阀的开启压力为</w:t>
      </w:r>
      <w:r>
        <w:t>（</w:t>
      </w:r>
      <w:r>
        <w:t>2.6±0.10)MPa</w:t>
      </w:r>
      <w:r>
        <w:rPr>
          <w:spacing w:val="-10"/>
        </w:rPr>
        <w:t>；公称压力</w:t>
      </w:r>
      <w:r>
        <w:rPr>
          <w:spacing w:val="-10"/>
        </w:rPr>
        <w:t xml:space="preserve"> </w:t>
      </w:r>
      <w:r>
        <w:t>4.0MPa</w:t>
      </w:r>
      <w:r>
        <w:rPr>
          <w:spacing w:val="-8"/>
        </w:rPr>
        <w:t xml:space="preserve"> </w:t>
      </w:r>
      <w:r>
        <w:rPr>
          <w:spacing w:val="-8"/>
        </w:rPr>
        <w:t>的接合器，安全阀</w:t>
      </w:r>
      <w:r>
        <w:rPr>
          <w:spacing w:val="-5"/>
        </w:rPr>
        <w:t>的开启压力为</w:t>
      </w:r>
      <w:r>
        <w:t>（</w:t>
      </w:r>
      <w:r>
        <w:t>4.1±0.10</w:t>
      </w:r>
      <w:r>
        <w:t>）</w:t>
      </w:r>
      <w:r>
        <w:t>MPa</w:t>
      </w:r>
      <w:r>
        <w:rPr>
          <w:spacing w:val="-7"/>
        </w:rPr>
        <w:t>。安全阀的启闭压差应不大于</w:t>
      </w:r>
      <w:r>
        <w:rPr>
          <w:spacing w:val="-7"/>
        </w:rPr>
        <w:t xml:space="preserve"> </w:t>
      </w:r>
      <w:r>
        <w:t>20</w:t>
      </w:r>
      <w:r>
        <w:rPr>
          <w:spacing w:val="-10"/>
        </w:rPr>
        <w:t>%</w:t>
      </w:r>
      <w:r>
        <w:rPr>
          <w:spacing w:val="-10"/>
        </w:rPr>
        <w:t>。公称压力</w:t>
      </w:r>
      <w:r>
        <w:rPr>
          <w:spacing w:val="-10"/>
        </w:rPr>
        <w:t xml:space="preserve"> </w:t>
      </w:r>
      <w:r>
        <w:t>1.6MPa</w:t>
      </w:r>
      <w:r>
        <w:rPr>
          <w:spacing w:val="-34"/>
        </w:rPr>
        <w:t xml:space="preserve"> </w:t>
      </w:r>
      <w:r>
        <w:rPr>
          <w:spacing w:val="-34"/>
        </w:rPr>
        <w:t>和</w:t>
      </w:r>
      <w:r>
        <w:rPr>
          <w:spacing w:val="-34"/>
        </w:rPr>
        <w:t xml:space="preserve"> </w:t>
      </w:r>
      <w:r>
        <w:t xml:space="preserve">2.5MPa </w:t>
      </w:r>
      <w:r>
        <w:rPr>
          <w:spacing w:val="-6"/>
        </w:rPr>
        <w:t>的接合器，安全阀的公称通径应不小于</w:t>
      </w:r>
      <w:r>
        <w:rPr>
          <w:spacing w:val="-6"/>
        </w:rPr>
        <w:t xml:space="preserve"> </w:t>
      </w:r>
      <w:r>
        <w:t>20mm</w:t>
      </w:r>
      <w:r>
        <w:rPr>
          <w:spacing w:val="-10"/>
        </w:rPr>
        <w:t>；公称压力</w:t>
      </w:r>
      <w:r>
        <w:rPr>
          <w:spacing w:val="-10"/>
        </w:rPr>
        <w:t xml:space="preserve"> </w:t>
      </w:r>
      <w:r>
        <w:t>4.0MPa</w:t>
      </w:r>
      <w:r>
        <w:rPr>
          <w:spacing w:val="-8"/>
        </w:rPr>
        <w:t xml:space="preserve"> </w:t>
      </w:r>
      <w:r>
        <w:rPr>
          <w:spacing w:val="-8"/>
        </w:rPr>
        <w:t>的接合器，安全阀的公称通径应</w:t>
      </w:r>
      <w:r>
        <w:rPr>
          <w:spacing w:val="-17"/>
        </w:rPr>
        <w:t>不小于</w:t>
      </w:r>
      <w:r>
        <w:rPr>
          <w:spacing w:val="-17"/>
        </w:rPr>
        <w:t xml:space="preserve"> </w:t>
      </w:r>
      <w:r>
        <w:t>25mm</w:t>
      </w:r>
      <w:r>
        <w:rPr>
          <w:spacing w:val="-3"/>
        </w:rPr>
        <w:t>。</w:t>
      </w:r>
      <w:r>
        <w:t xml:space="preserve"> </w:t>
      </w:r>
    </w:p>
    <w:p w14:paraId="56101BEA" w14:textId="77777777" w:rsidR="00A71EEF" w:rsidRDefault="0081115D">
      <w:pPr>
        <w:pStyle w:val="a4"/>
        <w:numPr>
          <w:ilvl w:val="1"/>
          <w:numId w:val="862"/>
        </w:numPr>
        <w:tabs>
          <w:tab w:val="left" w:pos="1159"/>
        </w:tabs>
        <w:spacing w:line="267" w:lineRule="exact"/>
        <w:ind w:hanging="319"/>
        <w:rPr>
          <w:sz w:val="21"/>
        </w:rPr>
      </w:pPr>
      <w:r>
        <w:rPr>
          <w:spacing w:val="-3"/>
          <w:sz w:val="21"/>
        </w:rPr>
        <w:t>消防接口</w:t>
      </w:r>
      <w:r>
        <w:rPr>
          <w:sz w:val="21"/>
        </w:rPr>
        <w:t xml:space="preserve"> </w:t>
      </w:r>
    </w:p>
    <w:p w14:paraId="430BC9BB" w14:textId="77777777" w:rsidR="00A71EEF" w:rsidRDefault="00A71EEF">
      <w:pPr>
        <w:pStyle w:val="a3"/>
        <w:spacing w:before="12"/>
        <w:rPr>
          <w:sz w:val="17"/>
        </w:rPr>
      </w:pPr>
    </w:p>
    <w:p w14:paraId="3646F016" w14:textId="77777777" w:rsidR="00A71EEF" w:rsidRDefault="0081115D">
      <w:pPr>
        <w:pStyle w:val="a4"/>
        <w:numPr>
          <w:ilvl w:val="2"/>
          <w:numId w:val="862"/>
        </w:numPr>
        <w:tabs>
          <w:tab w:val="left" w:pos="1370"/>
        </w:tabs>
        <w:spacing w:line="446" w:lineRule="auto"/>
        <w:ind w:right="1606" w:firstLine="422"/>
        <w:rPr>
          <w:sz w:val="21"/>
        </w:rPr>
      </w:pPr>
      <w:r>
        <w:rPr>
          <w:spacing w:val="-13"/>
          <w:sz w:val="21"/>
        </w:rPr>
        <w:t>公称通径</w:t>
      </w:r>
      <w:r>
        <w:rPr>
          <w:spacing w:val="-13"/>
          <w:sz w:val="21"/>
        </w:rPr>
        <w:t xml:space="preserve"> </w:t>
      </w:r>
      <w:r>
        <w:rPr>
          <w:sz w:val="21"/>
        </w:rPr>
        <w:t>100mm</w:t>
      </w:r>
      <w:r>
        <w:rPr>
          <w:spacing w:val="-3"/>
          <w:sz w:val="21"/>
        </w:rPr>
        <w:t xml:space="preserve"> </w:t>
      </w:r>
      <w:r>
        <w:rPr>
          <w:spacing w:val="-3"/>
          <w:sz w:val="21"/>
        </w:rPr>
        <w:t>的地下接合器应选用</w:t>
      </w:r>
      <w:r>
        <w:rPr>
          <w:sz w:val="21"/>
        </w:rPr>
        <w:t>GB</w:t>
      </w:r>
      <w:r>
        <w:rPr>
          <w:spacing w:val="6"/>
          <w:sz w:val="21"/>
        </w:rPr>
        <w:t xml:space="preserve"> </w:t>
      </w:r>
      <w:r>
        <w:rPr>
          <w:sz w:val="21"/>
        </w:rPr>
        <w:t>12514.2-2006</w:t>
      </w:r>
      <w:r>
        <w:rPr>
          <w:spacing w:val="-22"/>
          <w:sz w:val="21"/>
        </w:rPr>
        <w:t xml:space="preserve"> </w:t>
      </w:r>
      <w:r>
        <w:rPr>
          <w:spacing w:val="-22"/>
          <w:sz w:val="21"/>
        </w:rPr>
        <w:t>规定的</w:t>
      </w:r>
      <w:r>
        <w:rPr>
          <w:spacing w:val="-22"/>
          <w:sz w:val="21"/>
        </w:rPr>
        <w:t xml:space="preserve"> </w:t>
      </w:r>
      <w:r>
        <w:rPr>
          <w:sz w:val="21"/>
        </w:rPr>
        <w:t>KWA65</w:t>
      </w:r>
      <w:r>
        <w:rPr>
          <w:spacing w:val="-10"/>
          <w:sz w:val="21"/>
        </w:rPr>
        <w:t xml:space="preserve"> </w:t>
      </w:r>
      <w:r>
        <w:rPr>
          <w:spacing w:val="-10"/>
          <w:sz w:val="21"/>
        </w:rPr>
        <w:t>型外螺纹固定</w:t>
      </w:r>
      <w:r>
        <w:rPr>
          <w:spacing w:val="-9"/>
          <w:sz w:val="21"/>
        </w:rPr>
        <w:t>接口。其他形式的接合器应选用</w:t>
      </w:r>
      <w:r>
        <w:rPr>
          <w:spacing w:val="-9"/>
          <w:sz w:val="21"/>
        </w:rPr>
        <w:t xml:space="preserve"> </w:t>
      </w:r>
      <w:r>
        <w:rPr>
          <w:sz w:val="21"/>
        </w:rPr>
        <w:t>GB 12514.2-2006</w:t>
      </w:r>
      <w:r>
        <w:rPr>
          <w:spacing w:val="-23"/>
          <w:sz w:val="21"/>
        </w:rPr>
        <w:t xml:space="preserve"> </w:t>
      </w:r>
      <w:r>
        <w:rPr>
          <w:spacing w:val="-23"/>
          <w:sz w:val="21"/>
        </w:rPr>
        <w:t>规定的</w:t>
      </w:r>
      <w:r>
        <w:rPr>
          <w:spacing w:val="-23"/>
          <w:sz w:val="21"/>
        </w:rPr>
        <w:t xml:space="preserve"> </w:t>
      </w:r>
      <w:r>
        <w:rPr>
          <w:sz w:val="21"/>
        </w:rPr>
        <w:t>KWS65</w:t>
      </w:r>
      <w:r>
        <w:rPr>
          <w:spacing w:val="-9"/>
          <w:sz w:val="21"/>
        </w:rPr>
        <w:t xml:space="preserve"> </w:t>
      </w:r>
      <w:r>
        <w:rPr>
          <w:spacing w:val="-9"/>
          <w:sz w:val="21"/>
        </w:rPr>
        <w:t>型外螺纹固定接口。</w:t>
      </w:r>
      <w:r>
        <w:rPr>
          <w:sz w:val="21"/>
        </w:rPr>
        <w:t xml:space="preserve"> </w:t>
      </w:r>
    </w:p>
    <w:p w14:paraId="5A755E12" w14:textId="77777777" w:rsidR="00A71EEF" w:rsidRDefault="0081115D">
      <w:pPr>
        <w:pStyle w:val="a4"/>
        <w:numPr>
          <w:ilvl w:val="2"/>
          <w:numId w:val="862"/>
        </w:numPr>
        <w:tabs>
          <w:tab w:val="left" w:pos="1370"/>
        </w:tabs>
        <w:spacing w:line="446" w:lineRule="auto"/>
        <w:ind w:right="1606" w:firstLine="422"/>
        <w:rPr>
          <w:sz w:val="21"/>
        </w:rPr>
      </w:pPr>
      <w:r>
        <w:rPr>
          <w:spacing w:val="-13"/>
          <w:sz w:val="21"/>
        </w:rPr>
        <w:t>公称通径</w:t>
      </w:r>
      <w:r>
        <w:rPr>
          <w:spacing w:val="-13"/>
          <w:sz w:val="21"/>
        </w:rPr>
        <w:t xml:space="preserve"> </w:t>
      </w:r>
      <w:r>
        <w:rPr>
          <w:sz w:val="21"/>
        </w:rPr>
        <w:t>150mm</w:t>
      </w:r>
      <w:r>
        <w:rPr>
          <w:spacing w:val="-3"/>
          <w:sz w:val="21"/>
        </w:rPr>
        <w:t xml:space="preserve"> </w:t>
      </w:r>
      <w:r>
        <w:rPr>
          <w:spacing w:val="-3"/>
          <w:sz w:val="21"/>
        </w:rPr>
        <w:t>的地下接合器应</w:t>
      </w:r>
      <w:r>
        <w:rPr>
          <w:spacing w:val="-3"/>
          <w:sz w:val="21"/>
        </w:rPr>
        <w:t>选用</w:t>
      </w:r>
      <w:r>
        <w:rPr>
          <w:sz w:val="21"/>
        </w:rPr>
        <w:t>GB</w:t>
      </w:r>
      <w:r>
        <w:rPr>
          <w:spacing w:val="6"/>
          <w:sz w:val="21"/>
        </w:rPr>
        <w:t xml:space="preserve"> </w:t>
      </w:r>
      <w:r>
        <w:rPr>
          <w:sz w:val="21"/>
        </w:rPr>
        <w:t>12514.2-2006</w:t>
      </w:r>
      <w:r>
        <w:rPr>
          <w:spacing w:val="-22"/>
          <w:sz w:val="21"/>
        </w:rPr>
        <w:t xml:space="preserve"> </w:t>
      </w:r>
      <w:r>
        <w:rPr>
          <w:spacing w:val="-22"/>
          <w:sz w:val="21"/>
        </w:rPr>
        <w:t>规定的</w:t>
      </w:r>
      <w:r>
        <w:rPr>
          <w:spacing w:val="-22"/>
          <w:sz w:val="21"/>
        </w:rPr>
        <w:t xml:space="preserve"> </w:t>
      </w:r>
      <w:r>
        <w:rPr>
          <w:sz w:val="21"/>
        </w:rPr>
        <w:t>KWA80</w:t>
      </w:r>
      <w:r>
        <w:rPr>
          <w:spacing w:val="-10"/>
          <w:sz w:val="21"/>
        </w:rPr>
        <w:t xml:space="preserve"> </w:t>
      </w:r>
      <w:r>
        <w:rPr>
          <w:spacing w:val="-10"/>
          <w:sz w:val="21"/>
        </w:rPr>
        <w:t>型外螺纹固定</w:t>
      </w:r>
      <w:r>
        <w:rPr>
          <w:spacing w:val="-9"/>
          <w:sz w:val="21"/>
        </w:rPr>
        <w:t>接口，其他形式的接合器应选用</w:t>
      </w:r>
      <w:r>
        <w:rPr>
          <w:spacing w:val="-9"/>
          <w:sz w:val="21"/>
        </w:rPr>
        <w:t xml:space="preserve"> </w:t>
      </w:r>
      <w:r>
        <w:rPr>
          <w:sz w:val="21"/>
        </w:rPr>
        <w:t>GB 12514.2-2006</w:t>
      </w:r>
      <w:r>
        <w:rPr>
          <w:spacing w:val="-23"/>
          <w:sz w:val="21"/>
        </w:rPr>
        <w:t xml:space="preserve"> </w:t>
      </w:r>
      <w:r>
        <w:rPr>
          <w:spacing w:val="-23"/>
          <w:sz w:val="21"/>
        </w:rPr>
        <w:t>规定的</w:t>
      </w:r>
      <w:r>
        <w:rPr>
          <w:spacing w:val="-23"/>
          <w:sz w:val="21"/>
        </w:rPr>
        <w:t xml:space="preserve"> </w:t>
      </w:r>
      <w:r>
        <w:rPr>
          <w:sz w:val="21"/>
        </w:rPr>
        <w:t>KWS80</w:t>
      </w:r>
      <w:r>
        <w:rPr>
          <w:spacing w:val="-9"/>
          <w:sz w:val="21"/>
        </w:rPr>
        <w:t xml:space="preserve"> </w:t>
      </w:r>
      <w:r>
        <w:rPr>
          <w:spacing w:val="-9"/>
          <w:sz w:val="21"/>
        </w:rPr>
        <w:t>型外螺纹固定接口。</w:t>
      </w:r>
      <w:r>
        <w:rPr>
          <w:sz w:val="21"/>
        </w:rPr>
        <w:t xml:space="preserve"> </w:t>
      </w:r>
    </w:p>
    <w:p w14:paraId="63A6CFD3" w14:textId="77777777" w:rsidR="00A71EEF" w:rsidRDefault="0081115D">
      <w:pPr>
        <w:pStyle w:val="a4"/>
        <w:numPr>
          <w:ilvl w:val="2"/>
          <w:numId w:val="862"/>
        </w:numPr>
        <w:tabs>
          <w:tab w:val="left" w:pos="1370"/>
        </w:tabs>
        <w:ind w:left="1369" w:hanging="530"/>
        <w:rPr>
          <w:sz w:val="21"/>
        </w:rPr>
      </w:pPr>
      <w:r>
        <w:rPr>
          <w:spacing w:val="-7"/>
          <w:sz w:val="21"/>
        </w:rPr>
        <w:t>消防接口的性能指标应符合</w:t>
      </w:r>
      <w:r>
        <w:rPr>
          <w:spacing w:val="-7"/>
          <w:sz w:val="21"/>
        </w:rPr>
        <w:t xml:space="preserve"> </w:t>
      </w:r>
      <w:r>
        <w:rPr>
          <w:sz w:val="21"/>
        </w:rPr>
        <w:t>GB</w:t>
      </w:r>
      <w:r>
        <w:rPr>
          <w:spacing w:val="1"/>
          <w:sz w:val="21"/>
        </w:rPr>
        <w:t xml:space="preserve"> </w:t>
      </w:r>
      <w:r>
        <w:rPr>
          <w:sz w:val="21"/>
        </w:rPr>
        <w:t>12514.1</w:t>
      </w:r>
      <w:r>
        <w:rPr>
          <w:spacing w:val="-13"/>
          <w:sz w:val="21"/>
        </w:rPr>
        <w:t xml:space="preserve"> </w:t>
      </w:r>
      <w:r>
        <w:rPr>
          <w:spacing w:val="-13"/>
          <w:sz w:val="21"/>
        </w:rPr>
        <w:t>的规定。</w:t>
      </w:r>
      <w:r>
        <w:rPr>
          <w:sz w:val="21"/>
        </w:rPr>
        <w:t xml:space="preserve"> </w:t>
      </w:r>
    </w:p>
    <w:p w14:paraId="117FB217" w14:textId="77777777" w:rsidR="00A71EEF" w:rsidRDefault="00A71EEF">
      <w:pPr>
        <w:rPr>
          <w:sz w:val="21"/>
        </w:rPr>
        <w:sectPr w:rsidR="00A71EEF">
          <w:pgSz w:w="11910" w:h="16850"/>
          <w:pgMar w:top="1220" w:right="0" w:bottom="1420" w:left="1260" w:header="0" w:footer="1239" w:gutter="0"/>
          <w:cols w:space="720"/>
        </w:sectPr>
      </w:pPr>
    </w:p>
    <w:p w14:paraId="6ADFC710" w14:textId="77777777" w:rsidR="00A71EEF" w:rsidRDefault="0081115D">
      <w:pPr>
        <w:pStyle w:val="4"/>
        <w:spacing w:before="37"/>
      </w:pPr>
      <w:r>
        <w:lastRenderedPageBreak/>
        <w:t xml:space="preserve">6 </w:t>
      </w:r>
      <w:r>
        <w:t>试验方法</w:t>
      </w:r>
      <w:r>
        <w:rPr>
          <w:w w:val="99"/>
        </w:rPr>
        <w:t xml:space="preserve"> </w:t>
      </w:r>
    </w:p>
    <w:p w14:paraId="25E49F2F" w14:textId="77777777" w:rsidR="00A71EEF" w:rsidRDefault="00A71EEF">
      <w:pPr>
        <w:pStyle w:val="a3"/>
        <w:spacing w:before="4"/>
        <w:rPr>
          <w:b/>
          <w:sz w:val="17"/>
        </w:rPr>
      </w:pPr>
    </w:p>
    <w:p w14:paraId="4EBB96FB" w14:textId="77777777" w:rsidR="00A71EEF" w:rsidRDefault="0081115D">
      <w:pPr>
        <w:spacing w:before="1"/>
        <w:ind w:left="840"/>
        <w:rPr>
          <w:b/>
          <w:sz w:val="21"/>
        </w:rPr>
      </w:pPr>
      <w:r>
        <w:rPr>
          <w:b/>
          <w:sz w:val="21"/>
        </w:rPr>
        <w:t>6.1</w:t>
      </w:r>
      <w:r>
        <w:rPr>
          <w:b/>
          <w:spacing w:val="3"/>
          <w:sz w:val="21"/>
        </w:rPr>
        <w:t xml:space="preserve"> </w:t>
      </w:r>
      <w:r>
        <w:rPr>
          <w:spacing w:val="-3"/>
          <w:sz w:val="21"/>
        </w:rPr>
        <w:t>结构</w:t>
      </w:r>
      <w:r>
        <w:rPr>
          <w:b/>
          <w:w w:val="99"/>
          <w:sz w:val="21"/>
        </w:rPr>
        <w:t xml:space="preserve"> </w:t>
      </w:r>
    </w:p>
    <w:p w14:paraId="0D9BEAE9" w14:textId="77777777" w:rsidR="00A71EEF" w:rsidRDefault="00A71EEF">
      <w:pPr>
        <w:pStyle w:val="a3"/>
        <w:spacing w:before="12"/>
        <w:rPr>
          <w:b/>
          <w:sz w:val="17"/>
        </w:rPr>
      </w:pPr>
    </w:p>
    <w:p w14:paraId="318FAA50" w14:textId="77777777" w:rsidR="00A71EEF" w:rsidRDefault="0081115D">
      <w:pPr>
        <w:pStyle w:val="a3"/>
        <w:spacing w:line="446" w:lineRule="auto"/>
        <w:ind w:left="840" w:right="4866" w:hanging="3"/>
        <w:rPr>
          <w:b/>
        </w:rPr>
      </w:pPr>
      <w:r>
        <w:rPr>
          <w:spacing w:val="-6"/>
        </w:rPr>
        <w:t>检查接合器的结构组成，判断是否符合</w:t>
      </w:r>
      <w:r>
        <w:rPr>
          <w:spacing w:val="-6"/>
        </w:rPr>
        <w:t xml:space="preserve"> </w:t>
      </w:r>
      <w:r>
        <w:t>5.1</w:t>
      </w:r>
      <w:r>
        <w:rPr>
          <w:spacing w:val="-12"/>
        </w:rPr>
        <w:t xml:space="preserve"> </w:t>
      </w:r>
      <w:r>
        <w:rPr>
          <w:spacing w:val="-12"/>
        </w:rPr>
        <w:t>的规定。</w:t>
      </w:r>
      <w:r>
        <w:rPr>
          <w:b/>
          <w:spacing w:val="-12"/>
        </w:rPr>
        <w:t>6.2</w:t>
      </w:r>
      <w:r>
        <w:rPr>
          <w:b/>
          <w:spacing w:val="-1"/>
        </w:rPr>
        <w:t xml:space="preserve"> </w:t>
      </w:r>
      <w:r>
        <w:rPr>
          <w:spacing w:val="-3"/>
        </w:rPr>
        <w:t>材料</w:t>
      </w:r>
      <w:r>
        <w:rPr>
          <w:b/>
          <w:w w:val="99"/>
        </w:rPr>
        <w:t xml:space="preserve"> </w:t>
      </w:r>
    </w:p>
    <w:p w14:paraId="6F858558" w14:textId="77777777" w:rsidR="00A71EEF" w:rsidRDefault="0081115D">
      <w:pPr>
        <w:pStyle w:val="a4"/>
        <w:numPr>
          <w:ilvl w:val="2"/>
          <w:numId w:val="861"/>
        </w:numPr>
        <w:tabs>
          <w:tab w:val="left" w:pos="1370"/>
        </w:tabs>
        <w:spacing w:line="446" w:lineRule="auto"/>
        <w:ind w:right="1500" w:firstLine="422"/>
        <w:rPr>
          <w:sz w:val="21"/>
        </w:rPr>
      </w:pPr>
      <w:r>
        <w:rPr>
          <w:spacing w:val="-7"/>
          <w:sz w:val="21"/>
        </w:rPr>
        <w:t>灰铸铁的机械性能试验应按</w:t>
      </w:r>
      <w:r>
        <w:rPr>
          <w:spacing w:val="-7"/>
          <w:sz w:val="21"/>
        </w:rPr>
        <w:t xml:space="preserve"> </w:t>
      </w:r>
      <w:r>
        <w:rPr>
          <w:sz w:val="21"/>
        </w:rPr>
        <w:t>GB/T</w:t>
      </w:r>
      <w:r>
        <w:rPr>
          <w:spacing w:val="8"/>
          <w:sz w:val="21"/>
        </w:rPr>
        <w:t xml:space="preserve"> </w:t>
      </w:r>
      <w:r>
        <w:rPr>
          <w:sz w:val="21"/>
        </w:rPr>
        <w:t>9439-2010</w:t>
      </w:r>
      <w:r>
        <w:rPr>
          <w:spacing w:val="-9"/>
          <w:sz w:val="21"/>
        </w:rPr>
        <w:t xml:space="preserve"> </w:t>
      </w:r>
      <w:r>
        <w:rPr>
          <w:spacing w:val="-9"/>
          <w:sz w:val="21"/>
        </w:rPr>
        <w:t>的规定进行，其他铸铁件的机械性能试</w:t>
      </w:r>
      <w:r>
        <w:rPr>
          <w:spacing w:val="-7"/>
          <w:sz w:val="21"/>
        </w:rPr>
        <w:t>验按其相应的标准规定进行。判断试验结果是否符合</w:t>
      </w:r>
      <w:r>
        <w:rPr>
          <w:spacing w:val="-7"/>
          <w:sz w:val="21"/>
        </w:rPr>
        <w:t xml:space="preserve"> </w:t>
      </w:r>
      <w:r>
        <w:rPr>
          <w:sz w:val="21"/>
        </w:rPr>
        <w:t>5.2.1</w:t>
      </w:r>
      <w:r>
        <w:rPr>
          <w:spacing w:val="-36"/>
          <w:sz w:val="21"/>
        </w:rPr>
        <w:t xml:space="preserve"> </w:t>
      </w:r>
      <w:r>
        <w:rPr>
          <w:spacing w:val="-36"/>
          <w:sz w:val="21"/>
        </w:rPr>
        <w:t>或</w:t>
      </w:r>
      <w:r>
        <w:rPr>
          <w:spacing w:val="-36"/>
          <w:sz w:val="21"/>
        </w:rPr>
        <w:t xml:space="preserve"> </w:t>
      </w:r>
      <w:r>
        <w:rPr>
          <w:sz w:val="21"/>
        </w:rPr>
        <w:t>5.2.2</w:t>
      </w:r>
      <w:r>
        <w:rPr>
          <w:spacing w:val="-12"/>
          <w:sz w:val="21"/>
        </w:rPr>
        <w:t xml:space="preserve"> </w:t>
      </w:r>
      <w:r>
        <w:rPr>
          <w:spacing w:val="-12"/>
          <w:sz w:val="21"/>
        </w:rPr>
        <w:t>的规定。</w:t>
      </w:r>
      <w:r>
        <w:rPr>
          <w:spacing w:val="-12"/>
          <w:sz w:val="21"/>
        </w:rPr>
        <w:t xml:space="preserve"> </w:t>
      </w:r>
    </w:p>
    <w:p w14:paraId="70596957" w14:textId="77777777" w:rsidR="00A71EEF" w:rsidRDefault="0081115D">
      <w:pPr>
        <w:pStyle w:val="a4"/>
        <w:numPr>
          <w:ilvl w:val="2"/>
          <w:numId w:val="861"/>
        </w:numPr>
        <w:tabs>
          <w:tab w:val="left" w:pos="1370"/>
        </w:tabs>
        <w:spacing w:line="446" w:lineRule="auto"/>
        <w:ind w:right="1503" w:firstLine="422"/>
        <w:rPr>
          <w:sz w:val="21"/>
        </w:rPr>
      </w:pPr>
      <w:r>
        <w:rPr>
          <w:spacing w:val="-7"/>
          <w:sz w:val="21"/>
        </w:rPr>
        <w:t>球墨铸铁的机械性能试验应按</w:t>
      </w:r>
      <w:r>
        <w:rPr>
          <w:spacing w:val="-7"/>
          <w:sz w:val="21"/>
        </w:rPr>
        <w:t xml:space="preserve"> </w:t>
      </w:r>
      <w:r>
        <w:rPr>
          <w:sz w:val="21"/>
        </w:rPr>
        <w:t>GB/T</w:t>
      </w:r>
      <w:r>
        <w:rPr>
          <w:spacing w:val="9"/>
          <w:sz w:val="21"/>
        </w:rPr>
        <w:t xml:space="preserve"> </w:t>
      </w:r>
      <w:r>
        <w:rPr>
          <w:sz w:val="21"/>
        </w:rPr>
        <w:t>1348-2009</w:t>
      </w:r>
      <w:r>
        <w:rPr>
          <w:spacing w:val="-9"/>
          <w:sz w:val="21"/>
        </w:rPr>
        <w:t xml:space="preserve"> </w:t>
      </w:r>
      <w:r>
        <w:rPr>
          <w:spacing w:val="-9"/>
          <w:sz w:val="21"/>
        </w:rPr>
        <w:t>的规定进行，其他铸件的机械性能试</w:t>
      </w:r>
      <w:r>
        <w:rPr>
          <w:spacing w:val="-7"/>
          <w:sz w:val="21"/>
        </w:rPr>
        <w:t>验按其相应的标准规定进行。判断试验结果是否符合</w:t>
      </w:r>
      <w:r>
        <w:rPr>
          <w:spacing w:val="-7"/>
          <w:sz w:val="21"/>
        </w:rPr>
        <w:t xml:space="preserve"> </w:t>
      </w:r>
      <w:r>
        <w:rPr>
          <w:sz w:val="21"/>
        </w:rPr>
        <w:t>5.2.3</w:t>
      </w:r>
      <w:r>
        <w:rPr>
          <w:spacing w:val="-13"/>
          <w:sz w:val="21"/>
        </w:rPr>
        <w:t xml:space="preserve"> </w:t>
      </w:r>
      <w:r>
        <w:rPr>
          <w:spacing w:val="-13"/>
          <w:sz w:val="21"/>
        </w:rPr>
        <w:t>的规定。</w:t>
      </w:r>
      <w:r>
        <w:rPr>
          <w:sz w:val="21"/>
        </w:rPr>
        <w:t xml:space="preserve"> </w:t>
      </w:r>
    </w:p>
    <w:p w14:paraId="312B2FDC" w14:textId="77777777" w:rsidR="00A71EEF" w:rsidRDefault="0081115D">
      <w:pPr>
        <w:pStyle w:val="a4"/>
        <w:numPr>
          <w:ilvl w:val="2"/>
          <w:numId w:val="861"/>
        </w:numPr>
        <w:tabs>
          <w:tab w:val="left" w:pos="1371"/>
        </w:tabs>
        <w:spacing w:line="267" w:lineRule="exact"/>
        <w:ind w:left="1370" w:hanging="531"/>
        <w:rPr>
          <w:sz w:val="21"/>
        </w:rPr>
      </w:pPr>
      <w:r>
        <w:rPr>
          <w:spacing w:val="-8"/>
          <w:sz w:val="21"/>
        </w:rPr>
        <w:t>铸铜件的机械性能试验按</w:t>
      </w:r>
      <w:r>
        <w:rPr>
          <w:spacing w:val="-8"/>
          <w:sz w:val="21"/>
        </w:rPr>
        <w:t xml:space="preserve"> </w:t>
      </w:r>
      <w:r>
        <w:rPr>
          <w:sz w:val="21"/>
        </w:rPr>
        <w:t>GB/T</w:t>
      </w:r>
      <w:r>
        <w:rPr>
          <w:spacing w:val="2"/>
          <w:sz w:val="21"/>
        </w:rPr>
        <w:t xml:space="preserve"> </w:t>
      </w:r>
      <w:r>
        <w:rPr>
          <w:sz w:val="21"/>
        </w:rPr>
        <w:t>1176-1987</w:t>
      </w:r>
      <w:r>
        <w:rPr>
          <w:spacing w:val="-9"/>
          <w:sz w:val="21"/>
        </w:rPr>
        <w:t xml:space="preserve"> </w:t>
      </w:r>
      <w:r>
        <w:rPr>
          <w:spacing w:val="-9"/>
          <w:sz w:val="21"/>
        </w:rPr>
        <w:t>的规定进行。判断试验结果是否符合</w:t>
      </w:r>
    </w:p>
    <w:p w14:paraId="60D7CB22" w14:textId="77777777" w:rsidR="00A71EEF" w:rsidRDefault="00A71EEF">
      <w:pPr>
        <w:pStyle w:val="a3"/>
        <w:spacing w:before="1"/>
        <w:rPr>
          <w:sz w:val="18"/>
        </w:rPr>
      </w:pPr>
    </w:p>
    <w:p w14:paraId="5198CABE" w14:textId="77777777" w:rsidR="00A71EEF" w:rsidRDefault="0081115D">
      <w:pPr>
        <w:pStyle w:val="a3"/>
        <w:spacing w:before="1"/>
        <w:ind w:left="418"/>
      </w:pPr>
      <w:r>
        <w:t xml:space="preserve">5.2.4 </w:t>
      </w:r>
      <w:r>
        <w:t>的规定。</w:t>
      </w:r>
      <w:r>
        <w:t xml:space="preserve"> </w:t>
      </w:r>
    </w:p>
    <w:p w14:paraId="6DA6AA5F" w14:textId="77777777" w:rsidR="00A71EEF" w:rsidRDefault="00A71EEF">
      <w:pPr>
        <w:pStyle w:val="a3"/>
        <w:spacing w:before="12"/>
        <w:rPr>
          <w:sz w:val="17"/>
        </w:rPr>
      </w:pPr>
    </w:p>
    <w:p w14:paraId="2DE2E610" w14:textId="77777777" w:rsidR="00A71EEF" w:rsidRDefault="0081115D">
      <w:pPr>
        <w:pStyle w:val="a3"/>
        <w:ind w:left="840"/>
      </w:pPr>
      <w:r>
        <w:rPr>
          <w:b/>
        </w:rPr>
        <w:t xml:space="preserve">6.2.4 </w:t>
      </w:r>
      <w:r>
        <w:t>不锈钢铸件的机械性能试验按</w:t>
      </w:r>
      <w:r>
        <w:t xml:space="preserve"> GB/T 2100-2002 </w:t>
      </w:r>
      <w:r>
        <w:t>的规定进行。判断试验结果是否符合</w:t>
      </w:r>
    </w:p>
    <w:p w14:paraId="74A0CED9" w14:textId="77777777" w:rsidR="00A71EEF" w:rsidRDefault="00A71EEF">
      <w:pPr>
        <w:pStyle w:val="a3"/>
        <w:spacing w:before="12"/>
        <w:rPr>
          <w:sz w:val="17"/>
        </w:rPr>
      </w:pPr>
    </w:p>
    <w:p w14:paraId="582C4F45" w14:textId="77777777" w:rsidR="00A71EEF" w:rsidRDefault="0081115D">
      <w:pPr>
        <w:pStyle w:val="a3"/>
        <w:ind w:left="418"/>
      </w:pPr>
      <w:r>
        <w:t xml:space="preserve">5.2.4 </w:t>
      </w:r>
      <w:r>
        <w:t>的规定。</w:t>
      </w:r>
      <w:r>
        <w:t xml:space="preserve"> </w:t>
      </w:r>
    </w:p>
    <w:p w14:paraId="36E9EE65" w14:textId="77777777" w:rsidR="00A71EEF" w:rsidRDefault="00A71EEF">
      <w:pPr>
        <w:pStyle w:val="a3"/>
        <w:spacing w:before="2"/>
        <w:rPr>
          <w:sz w:val="18"/>
        </w:rPr>
      </w:pPr>
    </w:p>
    <w:p w14:paraId="476B7AD9" w14:textId="77777777" w:rsidR="00A71EEF" w:rsidRDefault="0081115D">
      <w:pPr>
        <w:ind w:left="840"/>
        <w:rPr>
          <w:sz w:val="21"/>
        </w:rPr>
      </w:pPr>
      <w:r>
        <w:rPr>
          <w:b/>
          <w:sz w:val="21"/>
        </w:rPr>
        <w:t xml:space="preserve">6.3 </w:t>
      </w:r>
      <w:r>
        <w:rPr>
          <w:sz w:val="21"/>
        </w:rPr>
        <w:t>外观质量的检查</w:t>
      </w:r>
      <w:r>
        <w:rPr>
          <w:sz w:val="21"/>
        </w:rPr>
        <w:t xml:space="preserve"> </w:t>
      </w:r>
    </w:p>
    <w:p w14:paraId="0154AEBA" w14:textId="77777777" w:rsidR="00A71EEF" w:rsidRDefault="00A71EEF">
      <w:pPr>
        <w:pStyle w:val="a3"/>
        <w:rPr>
          <w:sz w:val="18"/>
        </w:rPr>
      </w:pPr>
    </w:p>
    <w:p w14:paraId="28BFCB85" w14:textId="77777777" w:rsidR="00A71EEF" w:rsidRDefault="0081115D">
      <w:pPr>
        <w:pStyle w:val="a3"/>
        <w:spacing w:line="446" w:lineRule="auto"/>
        <w:ind w:left="840" w:right="5077" w:hanging="3"/>
        <w:rPr>
          <w:b/>
        </w:rPr>
      </w:pPr>
      <w:r>
        <w:t>外观质量用目测检查，判断是否符合</w:t>
      </w:r>
      <w:r>
        <w:t xml:space="preserve"> 5.3 </w:t>
      </w:r>
      <w:r>
        <w:t>的规定。</w:t>
      </w:r>
      <w:r>
        <w:rPr>
          <w:b/>
        </w:rPr>
        <w:t xml:space="preserve">6.4 </w:t>
      </w:r>
      <w:r>
        <w:t>螺纹及法兰尺寸检查</w:t>
      </w:r>
      <w:r>
        <w:rPr>
          <w:b/>
          <w:w w:val="99"/>
        </w:rPr>
        <w:t xml:space="preserve"> </w:t>
      </w:r>
    </w:p>
    <w:p w14:paraId="60EF7EC3" w14:textId="77777777" w:rsidR="00A71EEF" w:rsidRDefault="0081115D">
      <w:pPr>
        <w:pStyle w:val="a4"/>
        <w:numPr>
          <w:ilvl w:val="2"/>
          <w:numId w:val="860"/>
        </w:numPr>
        <w:tabs>
          <w:tab w:val="left" w:pos="1370"/>
        </w:tabs>
        <w:spacing w:line="446" w:lineRule="auto"/>
        <w:ind w:right="1402" w:firstLine="422"/>
        <w:rPr>
          <w:sz w:val="21"/>
        </w:rPr>
      </w:pPr>
      <w:r>
        <w:rPr>
          <w:spacing w:val="-5"/>
          <w:sz w:val="21"/>
        </w:rPr>
        <w:t>用螺纹环规和塞规检查螺纹尺寸，圆柱管螺纹环规和塞规的精度应不低于</w:t>
      </w:r>
      <w:r>
        <w:rPr>
          <w:spacing w:val="-5"/>
          <w:sz w:val="21"/>
        </w:rPr>
        <w:t xml:space="preserve"> </w:t>
      </w:r>
      <w:r>
        <w:rPr>
          <w:sz w:val="21"/>
        </w:rPr>
        <w:t>3</w:t>
      </w:r>
      <w:r>
        <w:rPr>
          <w:spacing w:val="-5"/>
          <w:sz w:val="21"/>
        </w:rPr>
        <w:t xml:space="preserve"> </w:t>
      </w:r>
      <w:r>
        <w:rPr>
          <w:spacing w:val="-5"/>
          <w:sz w:val="21"/>
        </w:rPr>
        <w:t>级。公</w:t>
      </w:r>
      <w:r>
        <w:rPr>
          <w:spacing w:val="-5"/>
          <w:sz w:val="21"/>
        </w:rPr>
        <w:t xml:space="preserve"> </w:t>
      </w:r>
      <w:r>
        <w:rPr>
          <w:spacing w:val="-5"/>
          <w:sz w:val="21"/>
        </w:rPr>
        <w:t>制</w:t>
      </w:r>
      <w:r>
        <w:rPr>
          <w:spacing w:val="-7"/>
          <w:sz w:val="21"/>
        </w:rPr>
        <w:t>螺纹环规和塞规的精度应不低于</w:t>
      </w:r>
      <w:r>
        <w:rPr>
          <w:spacing w:val="-7"/>
          <w:sz w:val="21"/>
        </w:rPr>
        <w:t xml:space="preserve"> </w:t>
      </w:r>
      <w:r>
        <w:rPr>
          <w:sz w:val="21"/>
        </w:rPr>
        <w:t>7H</w:t>
      </w:r>
      <w:r>
        <w:rPr>
          <w:sz w:val="21"/>
        </w:rPr>
        <w:t>、</w:t>
      </w:r>
      <w:r>
        <w:rPr>
          <w:sz w:val="21"/>
        </w:rPr>
        <w:t>8g</w:t>
      </w:r>
      <w:r>
        <w:rPr>
          <w:spacing w:val="-12"/>
          <w:sz w:val="21"/>
        </w:rPr>
        <w:t xml:space="preserve"> </w:t>
      </w:r>
      <w:r>
        <w:rPr>
          <w:spacing w:val="-12"/>
          <w:sz w:val="21"/>
        </w:rPr>
        <w:t>级。判断试验结果是否符合</w:t>
      </w:r>
      <w:r>
        <w:rPr>
          <w:spacing w:val="-12"/>
          <w:sz w:val="21"/>
        </w:rPr>
        <w:t xml:space="preserve"> </w:t>
      </w:r>
      <w:r>
        <w:rPr>
          <w:sz w:val="21"/>
        </w:rPr>
        <w:t>5.4.1</w:t>
      </w:r>
      <w:r>
        <w:rPr>
          <w:spacing w:val="-34"/>
          <w:sz w:val="21"/>
        </w:rPr>
        <w:t xml:space="preserve"> </w:t>
      </w:r>
      <w:r>
        <w:rPr>
          <w:spacing w:val="-34"/>
          <w:sz w:val="21"/>
        </w:rPr>
        <w:t>或</w:t>
      </w:r>
      <w:r>
        <w:rPr>
          <w:spacing w:val="-34"/>
          <w:sz w:val="21"/>
        </w:rPr>
        <w:t xml:space="preserve"> </w:t>
      </w:r>
      <w:r>
        <w:rPr>
          <w:sz w:val="21"/>
        </w:rPr>
        <w:t>5.4.2</w:t>
      </w:r>
      <w:r>
        <w:rPr>
          <w:spacing w:val="-13"/>
          <w:sz w:val="21"/>
        </w:rPr>
        <w:t xml:space="preserve"> </w:t>
      </w:r>
      <w:r>
        <w:rPr>
          <w:spacing w:val="-13"/>
          <w:sz w:val="21"/>
        </w:rPr>
        <w:t>的规定。</w:t>
      </w:r>
      <w:r>
        <w:rPr>
          <w:sz w:val="21"/>
        </w:rPr>
        <w:t xml:space="preserve"> </w:t>
      </w:r>
    </w:p>
    <w:p w14:paraId="5EDEF530" w14:textId="77777777" w:rsidR="00A71EEF" w:rsidRDefault="0081115D">
      <w:pPr>
        <w:pStyle w:val="a4"/>
        <w:numPr>
          <w:ilvl w:val="2"/>
          <w:numId w:val="860"/>
        </w:numPr>
        <w:tabs>
          <w:tab w:val="left" w:pos="1370"/>
        </w:tabs>
        <w:spacing w:line="446" w:lineRule="auto"/>
        <w:ind w:right="1604" w:firstLine="422"/>
        <w:rPr>
          <w:sz w:val="21"/>
        </w:rPr>
      </w:pPr>
      <w:r>
        <w:rPr>
          <w:spacing w:val="-3"/>
          <w:sz w:val="21"/>
        </w:rPr>
        <w:t>用游标卡尺检查接合器法兰的连接尺寸，游标卡尺的测量范围应大于被测试样的最</w:t>
      </w:r>
      <w:r>
        <w:rPr>
          <w:spacing w:val="-7"/>
          <w:sz w:val="21"/>
        </w:rPr>
        <w:t>大尺寸，游标卡尺的准确度不低于</w:t>
      </w:r>
      <w:r>
        <w:rPr>
          <w:spacing w:val="-7"/>
          <w:sz w:val="21"/>
        </w:rPr>
        <w:t xml:space="preserve"> </w:t>
      </w:r>
      <w:r>
        <w:rPr>
          <w:sz w:val="21"/>
        </w:rPr>
        <w:t>0.02mm</w:t>
      </w:r>
      <w:r>
        <w:rPr>
          <w:spacing w:val="-8"/>
          <w:sz w:val="21"/>
        </w:rPr>
        <w:t>。判断试验结果是否符合</w:t>
      </w:r>
      <w:r>
        <w:rPr>
          <w:spacing w:val="-8"/>
          <w:sz w:val="21"/>
        </w:rPr>
        <w:t xml:space="preserve"> </w:t>
      </w:r>
      <w:r>
        <w:rPr>
          <w:sz w:val="21"/>
        </w:rPr>
        <w:t>5.4.3</w:t>
      </w:r>
      <w:r>
        <w:rPr>
          <w:spacing w:val="-12"/>
          <w:sz w:val="21"/>
        </w:rPr>
        <w:t xml:space="preserve"> </w:t>
      </w:r>
      <w:r>
        <w:rPr>
          <w:spacing w:val="-12"/>
          <w:sz w:val="21"/>
        </w:rPr>
        <w:t>的规定。</w:t>
      </w:r>
      <w:r>
        <w:rPr>
          <w:spacing w:val="-12"/>
          <w:sz w:val="21"/>
        </w:rPr>
        <w:t xml:space="preserve"> </w:t>
      </w:r>
    </w:p>
    <w:p w14:paraId="2A711BA3" w14:textId="77777777" w:rsidR="00A71EEF" w:rsidRDefault="0081115D">
      <w:pPr>
        <w:pStyle w:val="a4"/>
        <w:numPr>
          <w:ilvl w:val="1"/>
          <w:numId w:val="859"/>
        </w:numPr>
        <w:tabs>
          <w:tab w:val="left" w:pos="1159"/>
        </w:tabs>
        <w:ind w:hanging="319"/>
        <w:rPr>
          <w:b/>
          <w:sz w:val="21"/>
        </w:rPr>
      </w:pPr>
      <w:r>
        <w:rPr>
          <w:spacing w:val="-3"/>
          <w:sz w:val="21"/>
        </w:rPr>
        <w:t>密封性能试验</w:t>
      </w:r>
      <w:r>
        <w:rPr>
          <w:b/>
          <w:w w:val="99"/>
          <w:sz w:val="21"/>
        </w:rPr>
        <w:t xml:space="preserve"> </w:t>
      </w:r>
    </w:p>
    <w:p w14:paraId="503E16F4" w14:textId="77777777" w:rsidR="00A71EEF" w:rsidRDefault="00A71EEF">
      <w:pPr>
        <w:pStyle w:val="a3"/>
        <w:spacing w:before="10"/>
        <w:rPr>
          <w:b/>
          <w:sz w:val="17"/>
        </w:rPr>
      </w:pPr>
    </w:p>
    <w:p w14:paraId="79036734" w14:textId="77777777" w:rsidR="00A71EEF" w:rsidRDefault="0081115D">
      <w:pPr>
        <w:pStyle w:val="a4"/>
        <w:numPr>
          <w:ilvl w:val="2"/>
          <w:numId w:val="859"/>
        </w:numPr>
        <w:tabs>
          <w:tab w:val="left" w:pos="1370"/>
        </w:tabs>
        <w:spacing w:line="446" w:lineRule="auto"/>
        <w:ind w:right="1604" w:firstLine="422"/>
        <w:rPr>
          <w:sz w:val="21"/>
        </w:rPr>
      </w:pPr>
      <w:r>
        <w:rPr>
          <w:spacing w:val="-3"/>
          <w:sz w:val="21"/>
        </w:rPr>
        <w:t>试验时，将截断类阀门关闭，从进口端灌水并排除试样内的空气，缓慢而均匀地升</w:t>
      </w:r>
      <w:r>
        <w:rPr>
          <w:spacing w:val="-8"/>
          <w:sz w:val="21"/>
        </w:rPr>
        <w:t>压至公称压力，并保压</w:t>
      </w:r>
      <w:r>
        <w:rPr>
          <w:spacing w:val="-8"/>
          <w:sz w:val="21"/>
        </w:rPr>
        <w:t xml:space="preserve"> </w:t>
      </w:r>
      <w:r>
        <w:rPr>
          <w:sz w:val="21"/>
        </w:rPr>
        <w:t>2min</w:t>
      </w:r>
      <w:r>
        <w:rPr>
          <w:spacing w:val="-8"/>
          <w:sz w:val="21"/>
        </w:rPr>
        <w:t>。判断试验结果是否符合</w:t>
      </w:r>
      <w:r>
        <w:rPr>
          <w:spacing w:val="-8"/>
          <w:sz w:val="21"/>
        </w:rPr>
        <w:t xml:space="preserve"> </w:t>
      </w:r>
      <w:r>
        <w:rPr>
          <w:sz w:val="21"/>
        </w:rPr>
        <w:t>5.5</w:t>
      </w:r>
      <w:r>
        <w:rPr>
          <w:spacing w:val="-13"/>
          <w:sz w:val="21"/>
        </w:rPr>
        <w:t xml:space="preserve"> </w:t>
      </w:r>
      <w:r>
        <w:rPr>
          <w:spacing w:val="-13"/>
          <w:sz w:val="21"/>
        </w:rPr>
        <w:t>的规定。</w:t>
      </w:r>
      <w:r>
        <w:rPr>
          <w:sz w:val="21"/>
        </w:rPr>
        <w:t xml:space="preserve"> </w:t>
      </w:r>
    </w:p>
    <w:p w14:paraId="129B2A8F" w14:textId="77777777" w:rsidR="00A71EEF" w:rsidRDefault="0081115D">
      <w:pPr>
        <w:pStyle w:val="a4"/>
        <w:numPr>
          <w:ilvl w:val="2"/>
          <w:numId w:val="859"/>
        </w:numPr>
        <w:tabs>
          <w:tab w:val="left" w:pos="1371"/>
        </w:tabs>
        <w:ind w:left="1370" w:hanging="531"/>
        <w:rPr>
          <w:sz w:val="21"/>
        </w:rPr>
      </w:pPr>
      <w:r>
        <w:rPr>
          <w:spacing w:val="-10"/>
          <w:sz w:val="21"/>
        </w:rPr>
        <w:t>试验装置应符合</w:t>
      </w:r>
      <w:r>
        <w:rPr>
          <w:spacing w:val="-10"/>
          <w:sz w:val="21"/>
        </w:rPr>
        <w:t xml:space="preserve"> </w:t>
      </w:r>
      <w:r>
        <w:rPr>
          <w:sz w:val="21"/>
        </w:rPr>
        <w:t>6.6.2</w:t>
      </w:r>
      <w:r>
        <w:rPr>
          <w:spacing w:val="-13"/>
          <w:sz w:val="21"/>
        </w:rPr>
        <w:t xml:space="preserve"> </w:t>
      </w:r>
      <w:r>
        <w:rPr>
          <w:spacing w:val="-13"/>
          <w:sz w:val="21"/>
        </w:rPr>
        <w:t>的规定。</w:t>
      </w:r>
      <w:r>
        <w:rPr>
          <w:sz w:val="21"/>
        </w:rPr>
        <w:t xml:space="preserve"> </w:t>
      </w:r>
    </w:p>
    <w:p w14:paraId="65BC5C61" w14:textId="77777777" w:rsidR="00A71EEF" w:rsidRDefault="00A71EEF">
      <w:pPr>
        <w:pStyle w:val="a3"/>
        <w:spacing w:before="12"/>
        <w:rPr>
          <w:sz w:val="17"/>
        </w:rPr>
      </w:pPr>
    </w:p>
    <w:p w14:paraId="0630EA6E" w14:textId="77777777" w:rsidR="00A71EEF" w:rsidRDefault="0081115D">
      <w:pPr>
        <w:pStyle w:val="a4"/>
        <w:numPr>
          <w:ilvl w:val="1"/>
          <w:numId w:val="859"/>
        </w:numPr>
        <w:tabs>
          <w:tab w:val="left" w:pos="1159"/>
        </w:tabs>
        <w:ind w:hanging="319"/>
        <w:rPr>
          <w:b/>
          <w:sz w:val="21"/>
        </w:rPr>
      </w:pPr>
      <w:r>
        <w:rPr>
          <w:spacing w:val="-3"/>
          <w:sz w:val="21"/>
        </w:rPr>
        <w:t>水压强度试验</w:t>
      </w:r>
      <w:r>
        <w:rPr>
          <w:b/>
          <w:w w:val="99"/>
          <w:sz w:val="21"/>
        </w:rPr>
        <w:t xml:space="preserve"> </w:t>
      </w:r>
    </w:p>
    <w:p w14:paraId="1D9E34BC" w14:textId="77777777" w:rsidR="00A71EEF" w:rsidRDefault="00A71EEF">
      <w:pPr>
        <w:pStyle w:val="a3"/>
        <w:spacing w:before="2"/>
        <w:rPr>
          <w:b/>
          <w:sz w:val="18"/>
        </w:rPr>
      </w:pPr>
    </w:p>
    <w:p w14:paraId="5959E1AB" w14:textId="77777777" w:rsidR="00A71EEF" w:rsidRDefault="0081115D">
      <w:pPr>
        <w:pStyle w:val="a4"/>
        <w:numPr>
          <w:ilvl w:val="2"/>
          <w:numId w:val="859"/>
        </w:numPr>
        <w:tabs>
          <w:tab w:val="left" w:pos="1371"/>
        </w:tabs>
        <w:ind w:left="1370" w:hanging="531"/>
        <w:rPr>
          <w:sz w:val="21"/>
        </w:rPr>
      </w:pPr>
      <w:r>
        <w:rPr>
          <w:spacing w:val="-27"/>
          <w:sz w:val="21"/>
        </w:rPr>
        <w:t>在</w:t>
      </w:r>
      <w:r>
        <w:rPr>
          <w:spacing w:val="-27"/>
          <w:sz w:val="21"/>
        </w:rPr>
        <w:t xml:space="preserve"> </w:t>
      </w:r>
      <w:r>
        <w:rPr>
          <w:sz w:val="21"/>
        </w:rPr>
        <w:t>6.5.1</w:t>
      </w:r>
      <w:r>
        <w:rPr>
          <w:spacing w:val="-9"/>
          <w:sz w:val="21"/>
        </w:rPr>
        <w:t xml:space="preserve"> </w:t>
      </w:r>
      <w:r>
        <w:rPr>
          <w:spacing w:val="-9"/>
          <w:sz w:val="21"/>
        </w:rPr>
        <w:t>试验结束后，拆除安全阀并封闭出口，再缓慢而均匀地将水压升至公称压</w:t>
      </w:r>
    </w:p>
    <w:p w14:paraId="68334100" w14:textId="77777777" w:rsidR="00A71EEF" w:rsidRDefault="00A71EEF">
      <w:pPr>
        <w:pStyle w:val="a3"/>
        <w:rPr>
          <w:sz w:val="18"/>
        </w:rPr>
      </w:pPr>
    </w:p>
    <w:p w14:paraId="11517BB6" w14:textId="77777777" w:rsidR="00A71EEF" w:rsidRDefault="0081115D">
      <w:pPr>
        <w:pStyle w:val="a3"/>
        <w:spacing w:line="446" w:lineRule="auto"/>
        <w:ind w:left="840" w:right="4398" w:hanging="423"/>
      </w:pPr>
      <w:r>
        <w:rPr>
          <w:spacing w:val="-17"/>
        </w:rPr>
        <w:t>力的</w:t>
      </w:r>
      <w:r>
        <w:rPr>
          <w:spacing w:val="-17"/>
        </w:rPr>
        <w:t xml:space="preserve"> </w:t>
      </w:r>
      <w:r>
        <w:t>1.5</w:t>
      </w:r>
      <w:r>
        <w:rPr>
          <w:spacing w:val="-19"/>
        </w:rPr>
        <w:t xml:space="preserve"> </w:t>
      </w:r>
      <w:r>
        <w:rPr>
          <w:spacing w:val="-19"/>
        </w:rPr>
        <w:t>倍，保压</w:t>
      </w:r>
      <w:r>
        <w:rPr>
          <w:spacing w:val="-19"/>
        </w:rPr>
        <w:t xml:space="preserve"> </w:t>
      </w:r>
      <w:r>
        <w:t>2min</w:t>
      </w:r>
      <w:r>
        <w:rPr>
          <w:spacing w:val="-7"/>
        </w:rPr>
        <w:t>。判断试验结果是否符合</w:t>
      </w:r>
      <w:r>
        <w:rPr>
          <w:spacing w:val="-7"/>
        </w:rPr>
        <w:t xml:space="preserve"> </w:t>
      </w:r>
      <w:r>
        <w:t>5.6</w:t>
      </w:r>
      <w:r>
        <w:rPr>
          <w:spacing w:val="-12"/>
        </w:rPr>
        <w:t xml:space="preserve"> </w:t>
      </w:r>
      <w:r>
        <w:rPr>
          <w:spacing w:val="-12"/>
        </w:rPr>
        <w:t>的规定。</w:t>
      </w:r>
      <w:r>
        <w:rPr>
          <w:b/>
        </w:rPr>
        <w:t xml:space="preserve">6.6.2 </w:t>
      </w:r>
      <w:r>
        <w:rPr>
          <w:spacing w:val="-3"/>
        </w:rPr>
        <w:t>试验装置应符合下列规定：</w:t>
      </w:r>
      <w:r>
        <w:t xml:space="preserve"> </w:t>
      </w:r>
    </w:p>
    <w:p w14:paraId="7E03BF5E" w14:textId="77777777" w:rsidR="00A71EEF" w:rsidRDefault="00A71EEF">
      <w:pPr>
        <w:spacing w:line="446" w:lineRule="auto"/>
        <w:sectPr w:rsidR="00A71EEF">
          <w:pgSz w:w="11910" w:h="16850"/>
          <w:pgMar w:top="1200" w:right="0" w:bottom="1420" w:left="1260" w:header="0" w:footer="1239" w:gutter="0"/>
          <w:cols w:space="720"/>
        </w:sectPr>
      </w:pPr>
    </w:p>
    <w:p w14:paraId="70D17993" w14:textId="77777777" w:rsidR="00A71EEF" w:rsidRDefault="0081115D">
      <w:pPr>
        <w:pStyle w:val="a4"/>
        <w:numPr>
          <w:ilvl w:val="0"/>
          <w:numId w:val="858"/>
        </w:numPr>
        <w:tabs>
          <w:tab w:val="left" w:pos="1156"/>
        </w:tabs>
        <w:spacing w:before="47" w:line="446" w:lineRule="auto"/>
        <w:ind w:right="1508" w:firstLine="419"/>
        <w:jc w:val="both"/>
        <w:rPr>
          <w:sz w:val="21"/>
        </w:rPr>
      </w:pPr>
      <w:r>
        <w:rPr>
          <w:spacing w:val="-8"/>
          <w:sz w:val="21"/>
        </w:rPr>
        <w:lastRenderedPageBreak/>
        <w:t>水压源：公称压力为</w:t>
      </w:r>
      <w:r>
        <w:rPr>
          <w:spacing w:val="-8"/>
          <w:sz w:val="21"/>
        </w:rPr>
        <w:t xml:space="preserve"> </w:t>
      </w:r>
      <w:r>
        <w:rPr>
          <w:sz w:val="21"/>
        </w:rPr>
        <w:t>1.6MPa</w:t>
      </w:r>
      <w:r>
        <w:rPr>
          <w:sz w:val="21"/>
        </w:rPr>
        <w:t>、</w:t>
      </w:r>
      <w:r>
        <w:rPr>
          <w:sz w:val="21"/>
        </w:rPr>
        <w:t>2.5MPa</w:t>
      </w:r>
      <w:r>
        <w:rPr>
          <w:spacing w:val="-32"/>
          <w:sz w:val="21"/>
        </w:rPr>
        <w:t xml:space="preserve"> </w:t>
      </w:r>
      <w:r>
        <w:rPr>
          <w:spacing w:val="-32"/>
          <w:sz w:val="21"/>
        </w:rPr>
        <w:t>和</w:t>
      </w:r>
      <w:r>
        <w:rPr>
          <w:spacing w:val="-32"/>
          <w:sz w:val="21"/>
        </w:rPr>
        <w:t xml:space="preserve"> </w:t>
      </w:r>
      <w:r>
        <w:rPr>
          <w:sz w:val="21"/>
        </w:rPr>
        <w:t>4.0MPa</w:t>
      </w:r>
      <w:r>
        <w:rPr>
          <w:spacing w:val="-9"/>
          <w:sz w:val="21"/>
        </w:rPr>
        <w:t xml:space="preserve"> </w:t>
      </w:r>
      <w:r>
        <w:rPr>
          <w:spacing w:val="-9"/>
          <w:sz w:val="21"/>
        </w:rPr>
        <w:t>的接合器，水压源的额定工作压力应分</w:t>
      </w:r>
      <w:r>
        <w:rPr>
          <w:spacing w:val="-16"/>
          <w:sz w:val="21"/>
        </w:rPr>
        <w:t>别不低于</w:t>
      </w:r>
      <w:r>
        <w:rPr>
          <w:spacing w:val="-16"/>
          <w:sz w:val="21"/>
        </w:rPr>
        <w:t xml:space="preserve"> </w:t>
      </w:r>
      <w:r>
        <w:rPr>
          <w:sz w:val="21"/>
        </w:rPr>
        <w:t>2.5MPa</w:t>
      </w:r>
      <w:r>
        <w:rPr>
          <w:sz w:val="21"/>
        </w:rPr>
        <w:t>、</w:t>
      </w:r>
      <w:r>
        <w:rPr>
          <w:sz w:val="21"/>
        </w:rPr>
        <w:t>4.0MPa</w:t>
      </w:r>
      <w:r>
        <w:rPr>
          <w:spacing w:val="-37"/>
          <w:sz w:val="21"/>
        </w:rPr>
        <w:t xml:space="preserve"> </w:t>
      </w:r>
      <w:r>
        <w:rPr>
          <w:spacing w:val="-37"/>
          <w:sz w:val="21"/>
        </w:rPr>
        <w:t>和</w:t>
      </w:r>
      <w:r>
        <w:rPr>
          <w:spacing w:val="-37"/>
          <w:sz w:val="21"/>
        </w:rPr>
        <w:t xml:space="preserve"> </w:t>
      </w:r>
      <w:r>
        <w:rPr>
          <w:sz w:val="21"/>
        </w:rPr>
        <w:t>6.0MPa</w:t>
      </w:r>
      <w:r>
        <w:rPr>
          <w:spacing w:val="-3"/>
          <w:sz w:val="21"/>
        </w:rPr>
        <w:t>。</w:t>
      </w:r>
      <w:r>
        <w:rPr>
          <w:sz w:val="21"/>
        </w:rPr>
        <w:t xml:space="preserve"> </w:t>
      </w:r>
    </w:p>
    <w:p w14:paraId="2F31E321" w14:textId="77777777" w:rsidR="00A71EEF" w:rsidRDefault="0081115D">
      <w:pPr>
        <w:pStyle w:val="a4"/>
        <w:numPr>
          <w:ilvl w:val="0"/>
          <w:numId w:val="858"/>
        </w:numPr>
        <w:tabs>
          <w:tab w:val="left" w:pos="1156"/>
        </w:tabs>
        <w:spacing w:line="369" w:lineRule="auto"/>
        <w:ind w:right="1561" w:firstLine="419"/>
        <w:jc w:val="both"/>
        <w:rPr>
          <w:sz w:val="21"/>
        </w:rPr>
      </w:pPr>
      <w:r>
        <w:rPr>
          <w:spacing w:val="-5"/>
          <w:sz w:val="21"/>
        </w:rPr>
        <w:t>压力显示装置：压力显示装置的测量下限为</w:t>
      </w:r>
      <w:r>
        <w:rPr>
          <w:spacing w:val="-5"/>
          <w:sz w:val="21"/>
        </w:rPr>
        <w:t xml:space="preserve"> </w:t>
      </w:r>
      <w:r>
        <w:rPr>
          <w:sz w:val="21"/>
        </w:rPr>
        <w:t>0MPa</w:t>
      </w:r>
      <w:r>
        <w:rPr>
          <w:spacing w:val="-8"/>
          <w:sz w:val="21"/>
        </w:rPr>
        <w:t>，公称压力为</w:t>
      </w:r>
      <w:r>
        <w:rPr>
          <w:spacing w:val="-8"/>
          <w:sz w:val="21"/>
        </w:rPr>
        <w:t xml:space="preserve"> </w:t>
      </w:r>
      <w:r>
        <w:rPr>
          <w:sz w:val="21"/>
        </w:rPr>
        <w:t>1.6MPa</w:t>
      </w:r>
      <w:r>
        <w:rPr>
          <w:spacing w:val="-8"/>
          <w:sz w:val="21"/>
        </w:rPr>
        <w:t xml:space="preserve"> </w:t>
      </w:r>
      <w:r>
        <w:rPr>
          <w:spacing w:val="-8"/>
          <w:sz w:val="21"/>
        </w:rPr>
        <w:t>的接合器测量上</w:t>
      </w:r>
      <w:r>
        <w:rPr>
          <w:spacing w:val="-22"/>
          <w:sz w:val="21"/>
        </w:rPr>
        <w:t>限为</w:t>
      </w:r>
      <w:r>
        <w:rPr>
          <w:spacing w:val="-22"/>
          <w:sz w:val="21"/>
        </w:rPr>
        <w:t xml:space="preserve"> </w:t>
      </w:r>
      <w:r>
        <w:rPr>
          <w:sz w:val="21"/>
        </w:rPr>
        <w:t>4.0</w:t>
      </w:r>
      <w:r>
        <w:rPr>
          <w:rFonts w:ascii="微软雅黑" w:eastAsia="微软雅黑" w:hint="eastAsia"/>
          <w:spacing w:val="-3"/>
          <w:sz w:val="21"/>
        </w:rPr>
        <w:t>〜</w:t>
      </w:r>
      <w:r>
        <w:rPr>
          <w:sz w:val="21"/>
        </w:rPr>
        <w:t>6.0MPa</w:t>
      </w:r>
      <w:r>
        <w:rPr>
          <w:spacing w:val="-9"/>
          <w:sz w:val="21"/>
        </w:rPr>
        <w:t>，公称压力为</w:t>
      </w:r>
      <w:r>
        <w:rPr>
          <w:spacing w:val="-9"/>
          <w:sz w:val="21"/>
        </w:rPr>
        <w:t xml:space="preserve"> </w:t>
      </w:r>
      <w:r>
        <w:rPr>
          <w:sz w:val="21"/>
        </w:rPr>
        <w:t>2.5MPa</w:t>
      </w:r>
      <w:r>
        <w:rPr>
          <w:spacing w:val="-34"/>
          <w:sz w:val="21"/>
        </w:rPr>
        <w:t xml:space="preserve"> </w:t>
      </w:r>
      <w:r>
        <w:rPr>
          <w:spacing w:val="-34"/>
          <w:sz w:val="21"/>
        </w:rPr>
        <w:t>和</w:t>
      </w:r>
      <w:r>
        <w:rPr>
          <w:spacing w:val="-34"/>
          <w:sz w:val="21"/>
        </w:rPr>
        <w:t xml:space="preserve"> </w:t>
      </w:r>
      <w:r>
        <w:rPr>
          <w:sz w:val="21"/>
        </w:rPr>
        <w:t>4.0MPa</w:t>
      </w:r>
      <w:r>
        <w:rPr>
          <w:spacing w:val="-13"/>
          <w:sz w:val="21"/>
        </w:rPr>
        <w:t xml:space="preserve"> </w:t>
      </w:r>
      <w:r>
        <w:rPr>
          <w:spacing w:val="-13"/>
          <w:sz w:val="21"/>
        </w:rPr>
        <w:t>的接合器测量上限为</w:t>
      </w:r>
      <w:r>
        <w:rPr>
          <w:spacing w:val="-13"/>
          <w:sz w:val="21"/>
        </w:rPr>
        <w:t xml:space="preserve"> </w:t>
      </w:r>
      <w:r>
        <w:rPr>
          <w:sz w:val="21"/>
        </w:rPr>
        <w:t>6.0</w:t>
      </w:r>
      <w:r>
        <w:rPr>
          <w:rFonts w:ascii="微软雅黑" w:eastAsia="微软雅黑" w:hint="eastAsia"/>
          <w:sz w:val="21"/>
        </w:rPr>
        <w:t>〜</w:t>
      </w:r>
      <w:r>
        <w:rPr>
          <w:sz w:val="21"/>
        </w:rPr>
        <w:t>10.0MPa</w:t>
      </w:r>
      <w:r>
        <w:rPr>
          <w:spacing w:val="-2"/>
          <w:sz w:val="21"/>
        </w:rPr>
        <w:t>，测量精</w:t>
      </w:r>
      <w:r>
        <w:rPr>
          <w:spacing w:val="-12"/>
          <w:sz w:val="21"/>
        </w:rPr>
        <w:t>度应不低于</w:t>
      </w:r>
      <w:r>
        <w:rPr>
          <w:spacing w:val="-12"/>
          <w:sz w:val="21"/>
        </w:rPr>
        <w:t xml:space="preserve"> </w:t>
      </w:r>
      <w:r>
        <w:rPr>
          <w:sz w:val="21"/>
        </w:rPr>
        <w:t>1.6</w:t>
      </w:r>
      <w:r>
        <w:rPr>
          <w:spacing w:val="-20"/>
          <w:sz w:val="21"/>
        </w:rPr>
        <w:t xml:space="preserve"> </w:t>
      </w:r>
      <w:r>
        <w:rPr>
          <w:spacing w:val="-20"/>
          <w:sz w:val="21"/>
        </w:rPr>
        <w:t>级。</w:t>
      </w:r>
      <w:r>
        <w:rPr>
          <w:sz w:val="21"/>
        </w:rPr>
        <w:t xml:space="preserve"> </w:t>
      </w:r>
    </w:p>
    <w:p w14:paraId="27E34407" w14:textId="77777777" w:rsidR="00A71EEF" w:rsidRDefault="0081115D">
      <w:pPr>
        <w:pStyle w:val="a4"/>
        <w:numPr>
          <w:ilvl w:val="1"/>
          <w:numId w:val="859"/>
        </w:numPr>
        <w:tabs>
          <w:tab w:val="left" w:pos="1159"/>
        </w:tabs>
        <w:spacing w:before="73"/>
        <w:ind w:hanging="319"/>
        <w:rPr>
          <w:sz w:val="21"/>
        </w:rPr>
      </w:pPr>
      <w:r>
        <w:rPr>
          <w:spacing w:val="-3"/>
          <w:sz w:val="21"/>
        </w:rPr>
        <w:t>安全阀的开启压力和启闭压差试验</w:t>
      </w:r>
      <w:r>
        <w:rPr>
          <w:sz w:val="21"/>
        </w:rPr>
        <w:t xml:space="preserve"> </w:t>
      </w:r>
    </w:p>
    <w:p w14:paraId="54B58E9E" w14:textId="77777777" w:rsidR="00A71EEF" w:rsidRDefault="00A71EEF">
      <w:pPr>
        <w:pStyle w:val="a3"/>
        <w:spacing w:before="2"/>
        <w:rPr>
          <w:sz w:val="18"/>
        </w:rPr>
      </w:pPr>
    </w:p>
    <w:p w14:paraId="542D2794" w14:textId="77777777" w:rsidR="00A71EEF" w:rsidRDefault="0081115D">
      <w:pPr>
        <w:pStyle w:val="a4"/>
        <w:numPr>
          <w:ilvl w:val="2"/>
          <w:numId w:val="859"/>
        </w:numPr>
        <w:tabs>
          <w:tab w:val="left" w:pos="1370"/>
        </w:tabs>
        <w:spacing w:line="446" w:lineRule="auto"/>
        <w:ind w:right="1445" w:firstLine="422"/>
        <w:rPr>
          <w:sz w:val="21"/>
        </w:rPr>
      </w:pPr>
      <w:r>
        <w:rPr>
          <w:spacing w:val="-5"/>
          <w:sz w:val="21"/>
        </w:rPr>
        <w:t>将安全阀的进水口与水压源相接，缓慢均匀地升压，升压速度应不超过</w:t>
      </w:r>
      <w:r>
        <w:rPr>
          <w:spacing w:val="-5"/>
          <w:sz w:val="21"/>
        </w:rPr>
        <w:t xml:space="preserve"> </w:t>
      </w:r>
      <w:r>
        <w:rPr>
          <w:sz w:val="21"/>
        </w:rPr>
        <w:t>0.01MPa/s</w:t>
      </w:r>
      <w:r>
        <w:rPr>
          <w:sz w:val="21"/>
        </w:rPr>
        <w:t>，</w:t>
      </w:r>
      <w:r>
        <w:rPr>
          <w:sz w:val="21"/>
        </w:rPr>
        <w:t xml:space="preserve"> </w:t>
      </w:r>
      <w:r>
        <w:rPr>
          <w:spacing w:val="-5"/>
          <w:sz w:val="21"/>
        </w:rPr>
        <w:t>观察和记录安全阀的开启压力。判断试验结果是否符合</w:t>
      </w:r>
      <w:r>
        <w:rPr>
          <w:spacing w:val="-5"/>
          <w:sz w:val="21"/>
        </w:rPr>
        <w:t xml:space="preserve"> </w:t>
      </w:r>
      <w:r>
        <w:rPr>
          <w:sz w:val="21"/>
        </w:rPr>
        <w:t>5.7.3</w:t>
      </w:r>
      <w:r>
        <w:rPr>
          <w:spacing w:val="-13"/>
          <w:sz w:val="21"/>
        </w:rPr>
        <w:t xml:space="preserve"> </w:t>
      </w:r>
      <w:r>
        <w:rPr>
          <w:spacing w:val="-13"/>
          <w:sz w:val="21"/>
        </w:rPr>
        <w:t>的规定。</w:t>
      </w:r>
      <w:r>
        <w:rPr>
          <w:sz w:val="21"/>
        </w:rPr>
        <w:t xml:space="preserve"> </w:t>
      </w:r>
    </w:p>
    <w:p w14:paraId="63542CFC" w14:textId="77777777" w:rsidR="00A71EEF" w:rsidRDefault="0081115D">
      <w:pPr>
        <w:pStyle w:val="a4"/>
        <w:numPr>
          <w:ilvl w:val="2"/>
          <w:numId w:val="859"/>
        </w:numPr>
        <w:tabs>
          <w:tab w:val="left" w:pos="1371"/>
        </w:tabs>
        <w:spacing w:line="446" w:lineRule="auto"/>
        <w:ind w:right="1604" w:firstLine="422"/>
        <w:rPr>
          <w:sz w:val="21"/>
        </w:rPr>
      </w:pPr>
      <w:r>
        <w:rPr>
          <w:spacing w:val="-3"/>
          <w:sz w:val="21"/>
        </w:rPr>
        <w:t>继续升高压力，直到安全阀达到全开启</w:t>
      </w:r>
      <w:r>
        <w:rPr>
          <w:sz w:val="21"/>
        </w:rPr>
        <w:t>（</w:t>
      </w:r>
      <w:r>
        <w:rPr>
          <w:spacing w:val="-2"/>
          <w:sz w:val="21"/>
        </w:rPr>
        <w:t>排放</w:t>
      </w:r>
      <w:r>
        <w:rPr>
          <w:sz w:val="21"/>
        </w:rPr>
        <w:t>）</w:t>
      </w:r>
      <w:r>
        <w:rPr>
          <w:spacing w:val="-3"/>
          <w:sz w:val="21"/>
        </w:rPr>
        <w:t>状态，然后缓慢均匀地降低压力，</w:t>
      </w:r>
      <w:r>
        <w:rPr>
          <w:spacing w:val="-3"/>
          <w:sz w:val="21"/>
        </w:rPr>
        <w:t xml:space="preserve"> </w:t>
      </w:r>
      <w:r>
        <w:rPr>
          <w:spacing w:val="-3"/>
          <w:sz w:val="21"/>
        </w:rPr>
        <w:t>直到安全阀关闭，观察并记录安全阀的回座压力。</w:t>
      </w:r>
      <w:r>
        <w:rPr>
          <w:sz w:val="21"/>
        </w:rPr>
        <w:t xml:space="preserve"> </w:t>
      </w:r>
    </w:p>
    <w:p w14:paraId="2F4E9FAE" w14:textId="77777777" w:rsidR="00A71EEF" w:rsidRDefault="00A71EEF">
      <w:pPr>
        <w:pStyle w:val="a3"/>
        <w:rPr>
          <w:sz w:val="20"/>
        </w:rPr>
      </w:pPr>
    </w:p>
    <w:p w14:paraId="7650B1C5" w14:textId="77777777" w:rsidR="00A71EEF" w:rsidRDefault="00A71EEF">
      <w:pPr>
        <w:pStyle w:val="a3"/>
        <w:rPr>
          <w:sz w:val="20"/>
        </w:rPr>
      </w:pPr>
    </w:p>
    <w:p w14:paraId="10C0D16C" w14:textId="77777777" w:rsidR="00A71EEF" w:rsidRDefault="00A71EEF">
      <w:pPr>
        <w:pStyle w:val="a3"/>
        <w:rPr>
          <w:sz w:val="20"/>
        </w:rPr>
      </w:pPr>
    </w:p>
    <w:p w14:paraId="502EE3A4" w14:textId="77777777" w:rsidR="00A71EEF" w:rsidRDefault="00A71EEF">
      <w:pPr>
        <w:pStyle w:val="a3"/>
        <w:spacing w:before="12"/>
        <w:rPr>
          <w:sz w:val="17"/>
        </w:rPr>
      </w:pPr>
    </w:p>
    <w:p w14:paraId="31DFE864" w14:textId="77777777" w:rsidR="00A71EEF" w:rsidRDefault="0081115D">
      <w:pPr>
        <w:pStyle w:val="a4"/>
        <w:numPr>
          <w:ilvl w:val="2"/>
          <w:numId w:val="859"/>
        </w:numPr>
        <w:tabs>
          <w:tab w:val="left" w:pos="1367"/>
        </w:tabs>
        <w:ind w:left="1367"/>
        <w:rPr>
          <w:sz w:val="21"/>
        </w:rPr>
      </w:pPr>
      <w:r>
        <w:rPr>
          <w:spacing w:val="-3"/>
          <w:sz w:val="21"/>
        </w:rPr>
        <w:t>安全阀的启闭压差按式</w:t>
      </w:r>
      <w:r>
        <w:rPr>
          <w:sz w:val="21"/>
        </w:rPr>
        <w:t>（</w:t>
      </w:r>
      <w:r>
        <w:rPr>
          <w:sz w:val="21"/>
        </w:rPr>
        <w:t>1</w:t>
      </w:r>
      <w:r>
        <w:rPr>
          <w:sz w:val="21"/>
        </w:rPr>
        <w:t>）</w:t>
      </w:r>
      <w:r>
        <w:rPr>
          <w:spacing w:val="-3"/>
          <w:sz w:val="21"/>
        </w:rPr>
        <w:t>计算：</w:t>
      </w:r>
      <w:r>
        <w:rPr>
          <w:sz w:val="21"/>
        </w:rPr>
        <w:t xml:space="preserve"> </w:t>
      </w:r>
    </w:p>
    <w:p w14:paraId="75E307B0" w14:textId="77777777" w:rsidR="00A71EEF" w:rsidRDefault="00A71EEF">
      <w:pPr>
        <w:pStyle w:val="a3"/>
        <w:rPr>
          <w:sz w:val="20"/>
        </w:rPr>
      </w:pPr>
    </w:p>
    <w:p w14:paraId="21AAD018" w14:textId="77777777" w:rsidR="00A71EEF" w:rsidRDefault="00A71EEF">
      <w:pPr>
        <w:pStyle w:val="a3"/>
        <w:rPr>
          <w:sz w:val="20"/>
        </w:rPr>
      </w:pPr>
    </w:p>
    <w:p w14:paraId="30FDE496" w14:textId="77777777" w:rsidR="00A71EEF" w:rsidRDefault="0081115D">
      <w:pPr>
        <w:pStyle w:val="a3"/>
        <w:rPr>
          <w:sz w:val="15"/>
        </w:rPr>
      </w:pPr>
      <w:r>
        <w:rPr>
          <w:noProof/>
        </w:rPr>
        <w:drawing>
          <wp:anchor distT="0" distB="0" distL="0" distR="0" simplePos="0" relativeHeight="251488768" behindDoc="0" locked="0" layoutInCell="1" allowOverlap="1" wp14:anchorId="6B75EC94" wp14:editId="2601CE65">
            <wp:simplePos x="0" y="0"/>
            <wp:positionH relativeFrom="page">
              <wp:posOffset>1627504</wp:posOffset>
            </wp:positionH>
            <wp:positionV relativeFrom="paragraph">
              <wp:posOffset>147209</wp:posOffset>
            </wp:positionV>
            <wp:extent cx="4191000" cy="381000"/>
            <wp:effectExtent l="0" t="0" r="0" b="0"/>
            <wp:wrapTopAndBottom/>
            <wp:docPr id="89"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62.jpeg"/>
                    <pic:cNvPicPr/>
                  </pic:nvPicPr>
                  <pic:blipFill>
                    <a:blip r:embed="rId58" cstate="print"/>
                    <a:stretch>
                      <a:fillRect/>
                    </a:stretch>
                  </pic:blipFill>
                  <pic:spPr>
                    <a:xfrm>
                      <a:off x="0" y="0"/>
                      <a:ext cx="4191000" cy="381000"/>
                    </a:xfrm>
                    <a:prstGeom prst="rect">
                      <a:avLst/>
                    </a:prstGeom>
                  </pic:spPr>
                </pic:pic>
              </a:graphicData>
            </a:graphic>
          </wp:anchor>
        </w:drawing>
      </w:r>
    </w:p>
    <w:p w14:paraId="17372D5B" w14:textId="77777777" w:rsidR="00A71EEF" w:rsidRDefault="00A71EEF">
      <w:pPr>
        <w:pStyle w:val="a3"/>
        <w:spacing w:before="10"/>
        <w:rPr>
          <w:sz w:val="15"/>
        </w:rPr>
      </w:pPr>
    </w:p>
    <w:p w14:paraId="3AD3ADE3" w14:textId="77777777" w:rsidR="00A71EEF" w:rsidRDefault="0081115D">
      <w:pPr>
        <w:pStyle w:val="a3"/>
        <w:spacing w:before="71" w:line="434" w:lineRule="auto"/>
        <w:ind w:left="418" w:right="1369" w:firstLine="419"/>
      </w:pPr>
      <w:r>
        <w:rPr>
          <w:position w:val="1"/>
        </w:rPr>
        <w:t>式中：</w:t>
      </w:r>
      <w:r>
        <w:rPr>
          <w:i/>
          <w:position w:val="1"/>
          <w:sz w:val="22"/>
        </w:rPr>
        <w:t xml:space="preserve">K </w:t>
      </w:r>
      <w:r>
        <w:rPr>
          <w:position w:val="1"/>
        </w:rPr>
        <w:t>为安全阀的启闭压差，％；</w:t>
      </w:r>
      <w:r>
        <w:rPr>
          <w:i/>
          <w:position w:val="1"/>
          <w:sz w:val="22"/>
        </w:rPr>
        <w:t>P</w:t>
      </w:r>
      <w:r>
        <w:rPr>
          <w:sz w:val="11"/>
        </w:rPr>
        <w:t xml:space="preserve">K </w:t>
      </w:r>
      <w:r>
        <w:rPr>
          <w:sz w:val="11"/>
        </w:rPr>
        <w:t>为</w:t>
      </w:r>
      <w:r>
        <w:rPr>
          <w:position w:val="1"/>
        </w:rPr>
        <w:t>实际开启压力，单位为兆帕（</w:t>
      </w:r>
      <w:r>
        <w:rPr>
          <w:position w:val="1"/>
        </w:rPr>
        <w:t>MPa</w:t>
      </w:r>
      <w:r>
        <w:rPr>
          <w:position w:val="1"/>
        </w:rPr>
        <w:t>）；</w:t>
      </w:r>
      <w:r>
        <w:rPr>
          <w:i/>
          <w:position w:val="1"/>
          <w:sz w:val="22"/>
        </w:rPr>
        <w:t>P</w:t>
      </w:r>
      <w:r>
        <w:rPr>
          <w:sz w:val="11"/>
        </w:rPr>
        <w:t xml:space="preserve">H </w:t>
      </w:r>
      <w:r>
        <w:rPr>
          <w:position w:val="1"/>
        </w:rPr>
        <w:t>为安全阀的</w:t>
      </w:r>
      <w:r>
        <w:t>实际回座压力，单位为兆帕（</w:t>
      </w:r>
      <w:r>
        <w:t>MPa</w:t>
      </w:r>
      <w:r>
        <w:t>）。</w:t>
      </w:r>
      <w:r>
        <w:t xml:space="preserve"> </w:t>
      </w:r>
    </w:p>
    <w:p w14:paraId="65C2AF49" w14:textId="77777777" w:rsidR="00A71EEF" w:rsidRDefault="0081115D">
      <w:pPr>
        <w:pStyle w:val="a4"/>
        <w:numPr>
          <w:ilvl w:val="1"/>
          <w:numId w:val="859"/>
        </w:numPr>
        <w:tabs>
          <w:tab w:val="left" w:pos="1159"/>
        </w:tabs>
        <w:spacing w:before="14"/>
        <w:ind w:hanging="319"/>
        <w:rPr>
          <w:sz w:val="21"/>
        </w:rPr>
      </w:pPr>
      <w:r>
        <w:rPr>
          <w:spacing w:val="-3"/>
          <w:sz w:val="21"/>
        </w:rPr>
        <w:t>消防接口的性能试验</w:t>
      </w:r>
      <w:r>
        <w:rPr>
          <w:sz w:val="21"/>
        </w:rPr>
        <w:t xml:space="preserve"> </w:t>
      </w:r>
    </w:p>
    <w:p w14:paraId="78CB6AD8" w14:textId="77777777" w:rsidR="00A71EEF" w:rsidRDefault="00A71EEF">
      <w:pPr>
        <w:pStyle w:val="a3"/>
        <w:rPr>
          <w:sz w:val="18"/>
        </w:rPr>
      </w:pPr>
    </w:p>
    <w:p w14:paraId="2ECECCD1" w14:textId="77777777" w:rsidR="00A71EEF" w:rsidRDefault="0081115D">
      <w:pPr>
        <w:pStyle w:val="a3"/>
        <w:ind w:left="838"/>
      </w:pPr>
      <w:r>
        <w:t>消防接口的性能试验按</w:t>
      </w:r>
      <w:r>
        <w:t xml:space="preserve"> GB 12514.1 </w:t>
      </w:r>
      <w:r>
        <w:t>的规定进行。判断试验结果是否符合</w:t>
      </w:r>
      <w:r>
        <w:t xml:space="preserve"> 5.8 </w:t>
      </w:r>
      <w:r>
        <w:t>的规定。</w:t>
      </w:r>
      <w:r>
        <w:t xml:space="preserve"> </w:t>
      </w:r>
    </w:p>
    <w:p w14:paraId="4E943A94" w14:textId="77777777" w:rsidR="00A71EEF" w:rsidRDefault="00A71EEF">
      <w:pPr>
        <w:pStyle w:val="a3"/>
        <w:spacing w:before="8"/>
        <w:rPr>
          <w:sz w:val="15"/>
        </w:rPr>
      </w:pPr>
    </w:p>
    <w:p w14:paraId="279812A3" w14:textId="77777777" w:rsidR="00A71EEF" w:rsidRDefault="0081115D">
      <w:pPr>
        <w:pStyle w:val="4"/>
      </w:pPr>
      <w:r>
        <w:t xml:space="preserve">7 </w:t>
      </w:r>
      <w:r>
        <w:t>检验规则</w:t>
      </w:r>
      <w:r>
        <w:rPr>
          <w:w w:val="99"/>
        </w:rPr>
        <w:t xml:space="preserve"> </w:t>
      </w:r>
    </w:p>
    <w:p w14:paraId="100FCD03" w14:textId="77777777" w:rsidR="00A71EEF" w:rsidRDefault="00A71EEF">
      <w:pPr>
        <w:pStyle w:val="a3"/>
        <w:spacing w:before="6"/>
        <w:rPr>
          <w:b/>
          <w:sz w:val="17"/>
        </w:rPr>
      </w:pPr>
    </w:p>
    <w:p w14:paraId="49389EBE" w14:textId="77777777" w:rsidR="00A71EEF" w:rsidRDefault="0081115D">
      <w:pPr>
        <w:pStyle w:val="a4"/>
        <w:numPr>
          <w:ilvl w:val="1"/>
          <w:numId w:val="857"/>
        </w:numPr>
        <w:tabs>
          <w:tab w:val="left" w:pos="1159"/>
        </w:tabs>
        <w:ind w:hanging="319"/>
        <w:rPr>
          <w:sz w:val="21"/>
        </w:rPr>
      </w:pPr>
      <w:r>
        <w:rPr>
          <w:spacing w:val="-3"/>
          <w:sz w:val="21"/>
        </w:rPr>
        <w:t>形式检验</w:t>
      </w:r>
      <w:r>
        <w:rPr>
          <w:sz w:val="21"/>
        </w:rPr>
        <w:t xml:space="preserve"> </w:t>
      </w:r>
    </w:p>
    <w:p w14:paraId="1C2EB0C6" w14:textId="77777777" w:rsidR="00A71EEF" w:rsidRDefault="00A71EEF">
      <w:pPr>
        <w:pStyle w:val="a3"/>
        <w:spacing w:before="12"/>
        <w:rPr>
          <w:sz w:val="17"/>
        </w:rPr>
      </w:pPr>
    </w:p>
    <w:p w14:paraId="464055ED" w14:textId="77777777" w:rsidR="00A71EEF" w:rsidRDefault="0081115D">
      <w:pPr>
        <w:pStyle w:val="a4"/>
        <w:numPr>
          <w:ilvl w:val="2"/>
          <w:numId w:val="857"/>
        </w:numPr>
        <w:tabs>
          <w:tab w:val="left" w:pos="1371"/>
        </w:tabs>
        <w:spacing w:line="446" w:lineRule="auto"/>
        <w:ind w:right="5493" w:firstLine="2"/>
        <w:rPr>
          <w:sz w:val="21"/>
        </w:rPr>
      </w:pPr>
      <w:r>
        <w:rPr>
          <w:spacing w:val="-3"/>
          <w:sz w:val="21"/>
        </w:rPr>
        <w:t>有下列情况之一者，应进行形式检验：</w:t>
      </w:r>
      <w:r>
        <w:rPr>
          <w:spacing w:val="-3"/>
          <w:sz w:val="21"/>
        </w:rPr>
        <w:t xml:space="preserve"> </w:t>
      </w:r>
      <w:r>
        <w:rPr>
          <w:sz w:val="21"/>
        </w:rPr>
        <w:t>a</w:t>
      </w:r>
      <w:r>
        <w:rPr>
          <w:sz w:val="21"/>
        </w:rPr>
        <w:t>）</w:t>
      </w:r>
      <w:r>
        <w:rPr>
          <w:spacing w:val="-3"/>
          <w:sz w:val="21"/>
        </w:rPr>
        <w:t>新产品投产前；</w:t>
      </w:r>
      <w:r>
        <w:rPr>
          <w:sz w:val="21"/>
        </w:rPr>
        <w:t xml:space="preserve"> </w:t>
      </w:r>
    </w:p>
    <w:p w14:paraId="2D2D2F34" w14:textId="77777777" w:rsidR="00A71EEF" w:rsidRDefault="0081115D">
      <w:pPr>
        <w:pStyle w:val="a3"/>
        <w:spacing w:line="446" w:lineRule="auto"/>
        <w:ind w:left="838" w:right="4866"/>
      </w:pPr>
      <w:r>
        <w:t>b</w:t>
      </w:r>
      <w:r>
        <w:t>）产品的设计、结构、工艺或材料有较大改变时；</w:t>
      </w:r>
      <w:r>
        <w:t xml:space="preserve"> c</w:t>
      </w:r>
      <w:r>
        <w:t>）停产一年以上再生产时；</w:t>
      </w:r>
      <w:r>
        <w:t xml:space="preserve"> </w:t>
      </w:r>
    </w:p>
    <w:p w14:paraId="3978AA05" w14:textId="77777777" w:rsidR="00A71EEF" w:rsidRDefault="0081115D">
      <w:pPr>
        <w:pStyle w:val="a4"/>
        <w:numPr>
          <w:ilvl w:val="0"/>
          <w:numId w:val="856"/>
        </w:numPr>
        <w:tabs>
          <w:tab w:val="left" w:pos="1156"/>
        </w:tabs>
        <w:spacing w:line="267" w:lineRule="exact"/>
        <w:rPr>
          <w:sz w:val="21"/>
        </w:rPr>
      </w:pPr>
      <w:r>
        <w:rPr>
          <w:spacing w:val="-3"/>
          <w:sz w:val="21"/>
        </w:rPr>
        <w:t>产品强制准入制度有要求时；</w:t>
      </w:r>
      <w:r>
        <w:rPr>
          <w:sz w:val="21"/>
        </w:rPr>
        <w:t xml:space="preserve"> </w:t>
      </w:r>
    </w:p>
    <w:p w14:paraId="651F4A45" w14:textId="77777777" w:rsidR="00A71EEF" w:rsidRDefault="00A71EEF">
      <w:pPr>
        <w:pStyle w:val="a3"/>
        <w:spacing w:before="2"/>
        <w:rPr>
          <w:sz w:val="18"/>
        </w:rPr>
      </w:pPr>
    </w:p>
    <w:p w14:paraId="7C712BB4" w14:textId="77777777" w:rsidR="00A71EEF" w:rsidRDefault="0081115D">
      <w:pPr>
        <w:pStyle w:val="a4"/>
        <w:numPr>
          <w:ilvl w:val="0"/>
          <w:numId w:val="856"/>
        </w:numPr>
        <w:tabs>
          <w:tab w:val="left" w:pos="1156"/>
        </w:tabs>
        <w:rPr>
          <w:sz w:val="21"/>
        </w:rPr>
      </w:pPr>
      <w:r>
        <w:rPr>
          <w:spacing w:val="-3"/>
          <w:sz w:val="21"/>
        </w:rPr>
        <w:t>国家质量监督机构依法提出型式检验要求时。</w:t>
      </w:r>
      <w:r>
        <w:rPr>
          <w:sz w:val="21"/>
        </w:rPr>
        <w:t xml:space="preserve"> </w:t>
      </w:r>
    </w:p>
    <w:p w14:paraId="1CA69526" w14:textId="77777777" w:rsidR="00A71EEF" w:rsidRDefault="00A71EEF">
      <w:pPr>
        <w:rPr>
          <w:sz w:val="21"/>
        </w:rPr>
        <w:sectPr w:rsidR="00A71EEF">
          <w:pgSz w:w="11910" w:h="16850"/>
          <w:pgMar w:top="1220" w:right="0" w:bottom="1420" w:left="1260" w:header="0" w:footer="1239" w:gutter="0"/>
          <w:cols w:space="720"/>
        </w:sectPr>
      </w:pPr>
    </w:p>
    <w:p w14:paraId="3DB496EA" w14:textId="77777777" w:rsidR="00A71EEF" w:rsidRDefault="0081115D">
      <w:pPr>
        <w:pStyle w:val="a4"/>
        <w:numPr>
          <w:ilvl w:val="2"/>
          <w:numId w:val="857"/>
        </w:numPr>
        <w:tabs>
          <w:tab w:val="left" w:pos="1371"/>
        </w:tabs>
        <w:spacing w:before="47"/>
        <w:ind w:left="1370"/>
        <w:rPr>
          <w:sz w:val="21"/>
        </w:rPr>
      </w:pPr>
      <w:r>
        <w:rPr>
          <w:spacing w:val="-5"/>
          <w:sz w:val="21"/>
        </w:rPr>
        <w:lastRenderedPageBreak/>
        <w:t>形式检验的项目、样本数量、试验方法和判定依据按表</w:t>
      </w:r>
      <w:r>
        <w:rPr>
          <w:spacing w:val="-5"/>
          <w:sz w:val="21"/>
        </w:rPr>
        <w:t xml:space="preserve"> </w:t>
      </w:r>
      <w:r>
        <w:rPr>
          <w:sz w:val="21"/>
        </w:rPr>
        <w:t>2</w:t>
      </w:r>
      <w:r>
        <w:rPr>
          <w:spacing w:val="-13"/>
          <w:sz w:val="21"/>
        </w:rPr>
        <w:t xml:space="preserve"> </w:t>
      </w:r>
      <w:r>
        <w:rPr>
          <w:spacing w:val="-13"/>
          <w:sz w:val="21"/>
        </w:rPr>
        <w:t>的规定。</w:t>
      </w:r>
      <w:r>
        <w:rPr>
          <w:sz w:val="21"/>
        </w:rPr>
        <w:t xml:space="preserve"> </w:t>
      </w:r>
    </w:p>
    <w:p w14:paraId="540E6D1E" w14:textId="77777777" w:rsidR="00A71EEF" w:rsidRDefault="00A71EEF">
      <w:pPr>
        <w:pStyle w:val="a3"/>
        <w:rPr>
          <w:sz w:val="18"/>
        </w:rPr>
      </w:pPr>
    </w:p>
    <w:p w14:paraId="487CF722" w14:textId="77777777" w:rsidR="00A71EEF" w:rsidRDefault="0081115D">
      <w:pPr>
        <w:pStyle w:val="a4"/>
        <w:numPr>
          <w:ilvl w:val="2"/>
          <w:numId w:val="857"/>
        </w:numPr>
        <w:tabs>
          <w:tab w:val="left" w:pos="1371"/>
        </w:tabs>
        <w:ind w:left="1370"/>
        <w:rPr>
          <w:sz w:val="21"/>
        </w:rPr>
      </w:pPr>
      <w:r>
        <w:rPr>
          <w:spacing w:val="-7"/>
          <w:sz w:val="21"/>
        </w:rPr>
        <w:t>形式检验的样品数不应少于</w:t>
      </w:r>
      <w:r>
        <w:rPr>
          <w:spacing w:val="-7"/>
          <w:sz w:val="21"/>
        </w:rPr>
        <w:t xml:space="preserve"> </w:t>
      </w:r>
      <w:r>
        <w:rPr>
          <w:sz w:val="21"/>
        </w:rPr>
        <w:t>3</w:t>
      </w:r>
      <w:r>
        <w:rPr>
          <w:spacing w:val="-20"/>
          <w:sz w:val="21"/>
        </w:rPr>
        <w:t xml:space="preserve"> </w:t>
      </w:r>
      <w:r>
        <w:rPr>
          <w:spacing w:val="-20"/>
          <w:sz w:val="21"/>
        </w:rPr>
        <w:t>台。</w:t>
      </w:r>
      <w:r>
        <w:rPr>
          <w:sz w:val="21"/>
        </w:rPr>
        <w:t xml:space="preserve"> </w:t>
      </w:r>
    </w:p>
    <w:p w14:paraId="7D21A804" w14:textId="77777777" w:rsidR="00A71EEF" w:rsidRDefault="00A71EEF">
      <w:pPr>
        <w:pStyle w:val="a3"/>
        <w:rPr>
          <w:sz w:val="18"/>
        </w:rPr>
      </w:pPr>
    </w:p>
    <w:p w14:paraId="0F37AB66" w14:textId="77777777" w:rsidR="00A71EEF" w:rsidRDefault="0081115D">
      <w:pPr>
        <w:pStyle w:val="a4"/>
        <w:numPr>
          <w:ilvl w:val="2"/>
          <w:numId w:val="857"/>
        </w:numPr>
        <w:tabs>
          <w:tab w:val="left" w:pos="1371"/>
        </w:tabs>
        <w:ind w:left="1370"/>
        <w:rPr>
          <w:sz w:val="21"/>
        </w:rPr>
      </w:pPr>
      <w:r>
        <w:rPr>
          <w:spacing w:val="-7"/>
          <w:sz w:val="21"/>
        </w:rPr>
        <w:t>形式检验的样品应在不少于</w:t>
      </w:r>
      <w:r>
        <w:rPr>
          <w:spacing w:val="-7"/>
          <w:sz w:val="21"/>
        </w:rPr>
        <w:t xml:space="preserve"> </w:t>
      </w:r>
      <w:r>
        <w:rPr>
          <w:sz w:val="21"/>
        </w:rPr>
        <w:t>20</w:t>
      </w:r>
      <w:r>
        <w:rPr>
          <w:spacing w:val="-8"/>
          <w:sz w:val="21"/>
        </w:rPr>
        <w:t xml:space="preserve"> </w:t>
      </w:r>
      <w:r>
        <w:rPr>
          <w:spacing w:val="-8"/>
          <w:sz w:val="21"/>
        </w:rPr>
        <w:t>台的基数中随机抽取。</w:t>
      </w:r>
      <w:r>
        <w:rPr>
          <w:sz w:val="21"/>
        </w:rPr>
        <w:t xml:space="preserve"> </w:t>
      </w:r>
    </w:p>
    <w:p w14:paraId="65B72AF7" w14:textId="77777777" w:rsidR="00A71EEF" w:rsidRDefault="00A71EEF">
      <w:pPr>
        <w:pStyle w:val="a3"/>
        <w:spacing w:before="1"/>
        <w:rPr>
          <w:sz w:val="18"/>
        </w:rPr>
      </w:pPr>
    </w:p>
    <w:p w14:paraId="3EF82770" w14:textId="77777777" w:rsidR="00A71EEF" w:rsidRDefault="0081115D">
      <w:pPr>
        <w:pStyle w:val="a4"/>
        <w:numPr>
          <w:ilvl w:val="2"/>
          <w:numId w:val="857"/>
        </w:numPr>
        <w:tabs>
          <w:tab w:val="left" w:pos="1371"/>
        </w:tabs>
        <w:spacing w:before="1"/>
        <w:ind w:left="1370"/>
        <w:rPr>
          <w:sz w:val="21"/>
        </w:rPr>
      </w:pPr>
      <w:r>
        <w:rPr>
          <w:spacing w:val="-3"/>
          <w:sz w:val="21"/>
        </w:rPr>
        <w:t>形式检验的项目应全部符合标准方为合格。</w:t>
      </w:r>
      <w:r>
        <w:rPr>
          <w:sz w:val="21"/>
        </w:rPr>
        <w:t xml:space="preserve"> </w:t>
      </w:r>
    </w:p>
    <w:p w14:paraId="510DC822" w14:textId="77777777" w:rsidR="00A71EEF" w:rsidRDefault="00A71EEF">
      <w:pPr>
        <w:pStyle w:val="a3"/>
        <w:spacing w:before="12"/>
        <w:rPr>
          <w:sz w:val="17"/>
        </w:rPr>
      </w:pPr>
    </w:p>
    <w:p w14:paraId="18C38F07" w14:textId="77777777" w:rsidR="00A71EEF" w:rsidRDefault="0081115D">
      <w:pPr>
        <w:pStyle w:val="a4"/>
        <w:numPr>
          <w:ilvl w:val="1"/>
          <w:numId w:val="857"/>
        </w:numPr>
        <w:tabs>
          <w:tab w:val="left" w:pos="1159"/>
        </w:tabs>
        <w:ind w:hanging="319"/>
        <w:rPr>
          <w:b/>
          <w:sz w:val="21"/>
        </w:rPr>
      </w:pPr>
      <w:r>
        <w:rPr>
          <w:spacing w:val="-3"/>
          <w:sz w:val="21"/>
        </w:rPr>
        <w:t>逐批检验</w:t>
      </w:r>
      <w:r>
        <w:rPr>
          <w:b/>
          <w:w w:val="99"/>
          <w:sz w:val="21"/>
        </w:rPr>
        <w:t xml:space="preserve"> </w:t>
      </w:r>
    </w:p>
    <w:p w14:paraId="2152CEBF" w14:textId="77777777" w:rsidR="00A71EEF" w:rsidRDefault="00A71EEF">
      <w:pPr>
        <w:pStyle w:val="a3"/>
        <w:spacing w:before="12"/>
        <w:rPr>
          <w:b/>
          <w:sz w:val="17"/>
        </w:rPr>
      </w:pPr>
    </w:p>
    <w:p w14:paraId="00D228A4" w14:textId="77777777" w:rsidR="00A71EEF" w:rsidRDefault="0081115D">
      <w:pPr>
        <w:pStyle w:val="a4"/>
        <w:numPr>
          <w:ilvl w:val="2"/>
          <w:numId w:val="857"/>
        </w:numPr>
        <w:tabs>
          <w:tab w:val="left" w:pos="1370"/>
        </w:tabs>
        <w:ind w:left="1369" w:hanging="530"/>
        <w:rPr>
          <w:sz w:val="21"/>
        </w:rPr>
      </w:pPr>
      <w:r>
        <w:rPr>
          <w:spacing w:val="-3"/>
          <w:sz w:val="21"/>
        </w:rPr>
        <w:t>接合器应经逐批检验合格后方可出厂。</w:t>
      </w:r>
      <w:r>
        <w:rPr>
          <w:sz w:val="21"/>
        </w:rPr>
        <w:t xml:space="preserve"> </w:t>
      </w:r>
    </w:p>
    <w:p w14:paraId="196DD859" w14:textId="77777777" w:rsidR="00A71EEF" w:rsidRDefault="00A71EEF">
      <w:pPr>
        <w:pStyle w:val="a3"/>
        <w:spacing w:before="2"/>
        <w:rPr>
          <w:sz w:val="18"/>
        </w:rPr>
      </w:pPr>
    </w:p>
    <w:p w14:paraId="26118DB9" w14:textId="77777777" w:rsidR="00A71EEF" w:rsidRDefault="0081115D">
      <w:pPr>
        <w:pStyle w:val="a4"/>
        <w:numPr>
          <w:ilvl w:val="2"/>
          <w:numId w:val="857"/>
        </w:numPr>
        <w:tabs>
          <w:tab w:val="left" w:pos="1370"/>
        </w:tabs>
        <w:ind w:left="1369" w:hanging="530"/>
        <w:rPr>
          <w:sz w:val="21"/>
        </w:rPr>
      </w:pPr>
      <w:r>
        <w:rPr>
          <w:spacing w:val="-5"/>
          <w:sz w:val="21"/>
        </w:rPr>
        <w:t>逐批检验的项目、样本数量、试验方法和判定依据按表</w:t>
      </w:r>
      <w:r>
        <w:rPr>
          <w:spacing w:val="-5"/>
          <w:sz w:val="21"/>
        </w:rPr>
        <w:t xml:space="preserve"> </w:t>
      </w:r>
      <w:r>
        <w:rPr>
          <w:sz w:val="21"/>
        </w:rPr>
        <w:t>2</w:t>
      </w:r>
      <w:r>
        <w:rPr>
          <w:spacing w:val="-13"/>
          <w:sz w:val="21"/>
        </w:rPr>
        <w:t xml:space="preserve"> </w:t>
      </w:r>
      <w:r>
        <w:rPr>
          <w:spacing w:val="-13"/>
          <w:sz w:val="21"/>
        </w:rPr>
        <w:t>的规定。</w:t>
      </w:r>
      <w:r>
        <w:rPr>
          <w:sz w:val="21"/>
        </w:rPr>
        <w:t xml:space="preserve"> </w:t>
      </w:r>
    </w:p>
    <w:p w14:paraId="0A76CAD0" w14:textId="77777777" w:rsidR="00A71EEF" w:rsidRDefault="00A71EEF">
      <w:pPr>
        <w:pStyle w:val="a3"/>
        <w:rPr>
          <w:sz w:val="18"/>
        </w:rPr>
      </w:pPr>
    </w:p>
    <w:p w14:paraId="0A4F4C2B" w14:textId="77777777" w:rsidR="00A71EEF" w:rsidRDefault="0081115D">
      <w:pPr>
        <w:pStyle w:val="a4"/>
        <w:numPr>
          <w:ilvl w:val="2"/>
          <w:numId w:val="857"/>
        </w:numPr>
        <w:tabs>
          <w:tab w:val="left" w:pos="1370"/>
        </w:tabs>
        <w:ind w:left="1369" w:hanging="530"/>
        <w:jc w:val="both"/>
        <w:rPr>
          <w:sz w:val="21"/>
        </w:rPr>
      </w:pPr>
      <w:r>
        <w:rPr>
          <w:spacing w:val="-6"/>
          <w:sz w:val="21"/>
        </w:rPr>
        <w:t>非全检项目的检验样本在基数不大于</w:t>
      </w:r>
      <w:r>
        <w:rPr>
          <w:spacing w:val="-6"/>
          <w:sz w:val="21"/>
        </w:rPr>
        <w:t xml:space="preserve"> </w:t>
      </w:r>
      <w:r>
        <w:rPr>
          <w:sz w:val="21"/>
        </w:rPr>
        <w:t>50</w:t>
      </w:r>
      <w:r>
        <w:rPr>
          <w:spacing w:val="-9"/>
          <w:sz w:val="21"/>
        </w:rPr>
        <w:t xml:space="preserve"> </w:t>
      </w:r>
      <w:r>
        <w:rPr>
          <w:spacing w:val="-9"/>
          <w:sz w:val="21"/>
        </w:rPr>
        <w:t>台的批产品中随机抽取。</w:t>
      </w:r>
      <w:r>
        <w:rPr>
          <w:sz w:val="21"/>
        </w:rPr>
        <w:t xml:space="preserve"> </w:t>
      </w:r>
    </w:p>
    <w:p w14:paraId="1F29CB1A" w14:textId="77777777" w:rsidR="00A71EEF" w:rsidRDefault="00A71EEF">
      <w:pPr>
        <w:pStyle w:val="a3"/>
        <w:rPr>
          <w:sz w:val="18"/>
        </w:rPr>
      </w:pPr>
    </w:p>
    <w:p w14:paraId="21616C7E" w14:textId="77777777" w:rsidR="00A71EEF" w:rsidRDefault="0081115D">
      <w:pPr>
        <w:pStyle w:val="a4"/>
        <w:numPr>
          <w:ilvl w:val="2"/>
          <w:numId w:val="857"/>
        </w:numPr>
        <w:tabs>
          <w:tab w:val="left" w:pos="1370"/>
        </w:tabs>
        <w:spacing w:line="446" w:lineRule="auto"/>
        <w:ind w:left="418" w:right="1604" w:firstLine="422"/>
        <w:jc w:val="both"/>
        <w:rPr>
          <w:sz w:val="21"/>
        </w:rPr>
      </w:pPr>
      <w:r>
        <w:rPr>
          <w:spacing w:val="-3"/>
          <w:sz w:val="21"/>
        </w:rPr>
        <w:t>若所检项目均合格，判该批产品合格；若任何所检项目中出现不合格，允许在同批</w:t>
      </w:r>
      <w:r>
        <w:rPr>
          <w:spacing w:val="-9"/>
          <w:sz w:val="21"/>
        </w:rPr>
        <w:t>产品中按表</w:t>
      </w:r>
      <w:r>
        <w:rPr>
          <w:spacing w:val="-9"/>
          <w:sz w:val="21"/>
        </w:rPr>
        <w:t xml:space="preserve"> </w:t>
      </w:r>
      <w:r>
        <w:rPr>
          <w:sz w:val="21"/>
        </w:rPr>
        <w:t>2</w:t>
      </w:r>
      <w:r>
        <w:rPr>
          <w:spacing w:val="-7"/>
          <w:sz w:val="21"/>
        </w:rPr>
        <w:t xml:space="preserve"> </w:t>
      </w:r>
      <w:r>
        <w:rPr>
          <w:spacing w:val="-7"/>
          <w:sz w:val="21"/>
        </w:rPr>
        <w:t>规定的样本数量加倍随机抽取，再次对不合格项目进行检验，若仍不合格，则判</w:t>
      </w:r>
      <w:r>
        <w:rPr>
          <w:spacing w:val="-5"/>
          <w:sz w:val="21"/>
        </w:rPr>
        <w:t>该批为不合格。</w:t>
      </w:r>
      <w:r>
        <w:rPr>
          <w:sz w:val="21"/>
        </w:rPr>
        <w:t xml:space="preserve"> </w:t>
      </w:r>
    </w:p>
    <w:p w14:paraId="318BD6E8" w14:textId="77777777" w:rsidR="00A71EEF" w:rsidRDefault="0081115D">
      <w:pPr>
        <w:pStyle w:val="a4"/>
        <w:numPr>
          <w:ilvl w:val="2"/>
          <w:numId w:val="857"/>
        </w:numPr>
        <w:tabs>
          <w:tab w:val="left" w:pos="1371"/>
        </w:tabs>
        <w:spacing w:line="446" w:lineRule="auto"/>
        <w:ind w:left="418" w:right="1604" w:firstLine="422"/>
        <w:jc w:val="both"/>
        <w:rPr>
          <w:sz w:val="21"/>
        </w:rPr>
      </w:pPr>
      <w:r>
        <w:rPr>
          <w:spacing w:val="-3"/>
          <w:sz w:val="21"/>
        </w:rPr>
        <w:t>被判为不合格批次的产品，可逐台返工检查，剔除不合格品后再次提交检验。样本</w:t>
      </w:r>
      <w:r>
        <w:rPr>
          <w:spacing w:val="-13"/>
          <w:sz w:val="21"/>
        </w:rPr>
        <w:t>数量按表</w:t>
      </w:r>
      <w:r>
        <w:rPr>
          <w:spacing w:val="-13"/>
          <w:sz w:val="21"/>
        </w:rPr>
        <w:t xml:space="preserve"> </w:t>
      </w:r>
      <w:r>
        <w:rPr>
          <w:sz w:val="21"/>
        </w:rPr>
        <w:t>2</w:t>
      </w:r>
      <w:r>
        <w:rPr>
          <w:spacing w:val="-10"/>
          <w:sz w:val="21"/>
        </w:rPr>
        <w:t xml:space="preserve"> </w:t>
      </w:r>
      <w:r>
        <w:rPr>
          <w:spacing w:val="-10"/>
          <w:sz w:val="21"/>
        </w:rPr>
        <w:t>的规定加倍随机抽取，试验方法和判定依据仍按表</w:t>
      </w:r>
      <w:r>
        <w:rPr>
          <w:spacing w:val="-10"/>
          <w:sz w:val="21"/>
        </w:rPr>
        <w:t xml:space="preserve"> </w:t>
      </w:r>
      <w:r>
        <w:rPr>
          <w:sz w:val="21"/>
        </w:rPr>
        <w:t>2</w:t>
      </w:r>
      <w:r>
        <w:rPr>
          <w:spacing w:val="-13"/>
          <w:sz w:val="21"/>
        </w:rPr>
        <w:t xml:space="preserve"> </w:t>
      </w:r>
      <w:r>
        <w:rPr>
          <w:spacing w:val="-13"/>
          <w:sz w:val="21"/>
        </w:rPr>
        <w:t>的规定。</w:t>
      </w:r>
      <w:r>
        <w:rPr>
          <w:sz w:val="21"/>
        </w:rPr>
        <w:t xml:space="preserve"> </w:t>
      </w:r>
    </w:p>
    <w:p w14:paraId="5CC05C28" w14:textId="77777777" w:rsidR="00A71EEF" w:rsidRDefault="0081115D">
      <w:pPr>
        <w:pStyle w:val="6"/>
        <w:ind w:left="1939"/>
        <w:jc w:val="both"/>
      </w:pPr>
      <w:r>
        <w:t>表</w:t>
      </w:r>
      <w:r>
        <w:t xml:space="preserve"> 2 </w:t>
      </w:r>
      <w:r>
        <w:t>形式检验和逐批检验的项目、样本数量、试验方法和判定依据</w:t>
      </w:r>
      <w:r>
        <w:rPr>
          <w:w w:val="99"/>
        </w:rPr>
        <w:t xml:space="preserve"> </w:t>
      </w:r>
    </w:p>
    <w:p w14:paraId="5A9C52DE" w14:textId="77777777" w:rsidR="00A71EEF" w:rsidRDefault="00A71EEF">
      <w:pPr>
        <w:pStyle w:val="a3"/>
        <w:rPr>
          <w:b/>
          <w:sz w:val="20"/>
        </w:rPr>
      </w:pPr>
    </w:p>
    <w:p w14:paraId="3A23F932" w14:textId="77777777" w:rsidR="00A71EEF" w:rsidRDefault="0081115D">
      <w:pPr>
        <w:pStyle w:val="a3"/>
        <w:spacing w:before="7"/>
        <w:rPr>
          <w:b/>
          <w:sz w:val="12"/>
        </w:rPr>
      </w:pPr>
      <w:r>
        <w:rPr>
          <w:noProof/>
        </w:rPr>
        <w:drawing>
          <wp:anchor distT="0" distB="0" distL="0" distR="0" simplePos="0" relativeHeight="251489792" behindDoc="0" locked="0" layoutInCell="1" allowOverlap="1" wp14:anchorId="2E57D06F" wp14:editId="79E400B2">
            <wp:simplePos x="0" y="0"/>
            <wp:positionH relativeFrom="page">
              <wp:posOffset>982344</wp:posOffset>
            </wp:positionH>
            <wp:positionV relativeFrom="paragraph">
              <wp:posOffset>127464</wp:posOffset>
            </wp:positionV>
            <wp:extent cx="5216525" cy="2590800"/>
            <wp:effectExtent l="0" t="0" r="0" b="0"/>
            <wp:wrapTopAndBottom/>
            <wp:docPr id="91"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63.jpeg"/>
                    <pic:cNvPicPr/>
                  </pic:nvPicPr>
                  <pic:blipFill>
                    <a:blip r:embed="rId59" cstate="print"/>
                    <a:stretch>
                      <a:fillRect/>
                    </a:stretch>
                  </pic:blipFill>
                  <pic:spPr>
                    <a:xfrm>
                      <a:off x="0" y="0"/>
                      <a:ext cx="5216525" cy="2590800"/>
                    </a:xfrm>
                    <a:prstGeom prst="rect">
                      <a:avLst/>
                    </a:prstGeom>
                  </pic:spPr>
                </pic:pic>
              </a:graphicData>
            </a:graphic>
          </wp:anchor>
        </w:drawing>
      </w:r>
    </w:p>
    <w:p w14:paraId="111BD83F" w14:textId="77777777" w:rsidR="00A71EEF" w:rsidRDefault="0081115D">
      <w:pPr>
        <w:spacing w:before="133"/>
        <w:ind w:left="418"/>
        <w:rPr>
          <w:b/>
          <w:sz w:val="24"/>
        </w:rPr>
      </w:pPr>
      <w:r>
        <w:rPr>
          <w:b/>
          <w:sz w:val="24"/>
        </w:rPr>
        <w:t xml:space="preserve">8 </w:t>
      </w:r>
      <w:r>
        <w:rPr>
          <w:b/>
          <w:sz w:val="24"/>
        </w:rPr>
        <w:t>标志</w:t>
      </w:r>
      <w:r>
        <w:rPr>
          <w:b/>
          <w:w w:val="99"/>
          <w:sz w:val="24"/>
        </w:rPr>
        <w:t xml:space="preserve"> </w:t>
      </w:r>
    </w:p>
    <w:p w14:paraId="74439DA2" w14:textId="77777777" w:rsidR="00A71EEF" w:rsidRDefault="00A71EEF">
      <w:pPr>
        <w:pStyle w:val="a3"/>
        <w:spacing w:before="4"/>
        <w:rPr>
          <w:b/>
          <w:sz w:val="17"/>
        </w:rPr>
      </w:pPr>
    </w:p>
    <w:p w14:paraId="61034B42" w14:textId="77777777" w:rsidR="00A71EEF" w:rsidRDefault="0081115D">
      <w:pPr>
        <w:pStyle w:val="a3"/>
        <w:ind w:left="838"/>
      </w:pPr>
      <w:r>
        <w:t>在接合器表面醒目处应清晰地铸出型号规格、商标或厂名等永久性标志。</w:t>
      </w:r>
      <w:r>
        <w:t xml:space="preserve"> </w:t>
      </w:r>
    </w:p>
    <w:p w14:paraId="566B031C" w14:textId="77777777" w:rsidR="00A71EEF" w:rsidRDefault="00A71EEF">
      <w:pPr>
        <w:pStyle w:val="a3"/>
        <w:spacing w:before="11"/>
        <w:rPr>
          <w:sz w:val="15"/>
        </w:rPr>
      </w:pPr>
    </w:p>
    <w:p w14:paraId="626324BC" w14:textId="77777777" w:rsidR="00A71EEF" w:rsidRDefault="0081115D">
      <w:pPr>
        <w:pStyle w:val="4"/>
      </w:pPr>
      <w:r>
        <w:t xml:space="preserve">9 </w:t>
      </w:r>
      <w:r>
        <w:t>包装</w:t>
      </w:r>
      <w:r>
        <w:rPr>
          <w:w w:val="99"/>
        </w:rPr>
        <w:t xml:space="preserve"> </w:t>
      </w:r>
    </w:p>
    <w:p w14:paraId="108518CA" w14:textId="77777777" w:rsidR="00A71EEF" w:rsidRDefault="00A71EEF">
      <w:pPr>
        <w:pStyle w:val="a3"/>
        <w:spacing w:before="4"/>
        <w:rPr>
          <w:b/>
          <w:sz w:val="17"/>
        </w:rPr>
      </w:pPr>
    </w:p>
    <w:p w14:paraId="5D14C4B7" w14:textId="77777777" w:rsidR="00A71EEF" w:rsidRDefault="0081115D">
      <w:pPr>
        <w:pStyle w:val="a4"/>
        <w:numPr>
          <w:ilvl w:val="1"/>
          <w:numId w:val="855"/>
        </w:numPr>
        <w:tabs>
          <w:tab w:val="left" w:pos="1160"/>
        </w:tabs>
        <w:spacing w:line="446" w:lineRule="auto"/>
        <w:ind w:right="1604" w:firstLine="422"/>
        <w:rPr>
          <w:sz w:val="21"/>
        </w:rPr>
      </w:pPr>
      <w:r>
        <w:rPr>
          <w:spacing w:val="-3"/>
          <w:sz w:val="21"/>
        </w:rPr>
        <w:t>产品检验合格的，应清除试验时余留在产品内部的剩水和表面的油污脏物，在非油漆表面应涂防锈油。</w:t>
      </w:r>
      <w:r>
        <w:rPr>
          <w:sz w:val="21"/>
        </w:rPr>
        <w:t xml:space="preserve"> </w:t>
      </w:r>
    </w:p>
    <w:p w14:paraId="00CB7754" w14:textId="77777777" w:rsidR="00A71EEF" w:rsidRDefault="00A71EEF">
      <w:pPr>
        <w:spacing w:line="446" w:lineRule="auto"/>
        <w:rPr>
          <w:sz w:val="21"/>
        </w:rPr>
        <w:sectPr w:rsidR="00A71EEF">
          <w:pgSz w:w="11910" w:h="16850"/>
          <w:pgMar w:top="1220" w:right="0" w:bottom="1420" w:left="1260" w:header="0" w:footer="1239" w:gutter="0"/>
          <w:cols w:space="720"/>
        </w:sectPr>
      </w:pPr>
    </w:p>
    <w:p w14:paraId="18AD72A3" w14:textId="77777777" w:rsidR="00A71EEF" w:rsidRDefault="0081115D">
      <w:pPr>
        <w:pStyle w:val="a4"/>
        <w:numPr>
          <w:ilvl w:val="1"/>
          <w:numId w:val="855"/>
        </w:numPr>
        <w:tabs>
          <w:tab w:val="left" w:pos="1159"/>
        </w:tabs>
        <w:spacing w:before="47"/>
        <w:ind w:left="1158" w:hanging="319"/>
        <w:rPr>
          <w:sz w:val="21"/>
        </w:rPr>
      </w:pPr>
      <w:r>
        <w:rPr>
          <w:spacing w:val="-3"/>
          <w:sz w:val="21"/>
        </w:rPr>
        <w:lastRenderedPageBreak/>
        <w:t>包装应牢固可靠，并应附有产品使用说明书、装箱单和产品合格证。</w:t>
      </w:r>
      <w:r>
        <w:rPr>
          <w:sz w:val="21"/>
        </w:rPr>
        <w:t xml:space="preserve"> </w:t>
      </w:r>
    </w:p>
    <w:p w14:paraId="511395A1" w14:textId="77777777" w:rsidR="00A71EEF" w:rsidRDefault="00A71EEF">
      <w:pPr>
        <w:pStyle w:val="a3"/>
        <w:rPr>
          <w:sz w:val="18"/>
        </w:rPr>
      </w:pPr>
    </w:p>
    <w:p w14:paraId="77603297" w14:textId="77777777" w:rsidR="00A71EEF" w:rsidRDefault="0081115D">
      <w:pPr>
        <w:pStyle w:val="a4"/>
        <w:numPr>
          <w:ilvl w:val="1"/>
          <w:numId w:val="855"/>
        </w:numPr>
        <w:tabs>
          <w:tab w:val="left" w:pos="1160"/>
        </w:tabs>
        <w:spacing w:line="446" w:lineRule="auto"/>
        <w:ind w:left="838" w:right="6753" w:firstLine="2"/>
        <w:rPr>
          <w:sz w:val="21"/>
        </w:rPr>
      </w:pPr>
      <w:r>
        <w:rPr>
          <w:spacing w:val="-3"/>
          <w:sz w:val="21"/>
        </w:rPr>
        <w:t>产品包装上应有下列内容：</w:t>
      </w:r>
      <w:r>
        <w:rPr>
          <w:spacing w:val="-3"/>
          <w:sz w:val="21"/>
        </w:rPr>
        <w:t xml:space="preserve"> </w:t>
      </w:r>
      <w:r>
        <w:rPr>
          <w:sz w:val="21"/>
        </w:rPr>
        <w:t>a</w:t>
      </w:r>
      <w:r>
        <w:rPr>
          <w:sz w:val="21"/>
        </w:rPr>
        <w:t>）</w:t>
      </w:r>
      <w:r>
        <w:rPr>
          <w:spacing w:val="-3"/>
          <w:sz w:val="21"/>
        </w:rPr>
        <w:t>产品名称；</w:t>
      </w:r>
      <w:r>
        <w:rPr>
          <w:sz w:val="21"/>
        </w:rPr>
        <w:t xml:space="preserve"> </w:t>
      </w:r>
    </w:p>
    <w:p w14:paraId="4081BEFF" w14:textId="77777777" w:rsidR="00A71EEF" w:rsidRDefault="0081115D">
      <w:pPr>
        <w:pStyle w:val="a4"/>
        <w:numPr>
          <w:ilvl w:val="0"/>
          <w:numId w:val="854"/>
        </w:numPr>
        <w:tabs>
          <w:tab w:val="left" w:pos="1156"/>
        </w:tabs>
        <w:rPr>
          <w:sz w:val="21"/>
        </w:rPr>
      </w:pPr>
      <w:r>
        <w:rPr>
          <w:spacing w:val="-3"/>
          <w:sz w:val="21"/>
        </w:rPr>
        <w:t>型号规格；</w:t>
      </w:r>
      <w:r>
        <w:rPr>
          <w:sz w:val="21"/>
        </w:rPr>
        <w:t xml:space="preserve"> </w:t>
      </w:r>
    </w:p>
    <w:p w14:paraId="4C890518" w14:textId="77777777" w:rsidR="00A71EEF" w:rsidRDefault="00A71EEF">
      <w:pPr>
        <w:pStyle w:val="a3"/>
        <w:spacing w:before="12"/>
        <w:rPr>
          <w:sz w:val="17"/>
        </w:rPr>
      </w:pPr>
    </w:p>
    <w:p w14:paraId="3F9535FF" w14:textId="77777777" w:rsidR="00A71EEF" w:rsidRDefault="0081115D">
      <w:pPr>
        <w:pStyle w:val="a4"/>
        <w:numPr>
          <w:ilvl w:val="0"/>
          <w:numId w:val="854"/>
        </w:numPr>
        <w:tabs>
          <w:tab w:val="left" w:pos="1156"/>
        </w:tabs>
        <w:spacing w:line="446" w:lineRule="auto"/>
        <w:ind w:left="838" w:right="6865" w:firstLine="0"/>
        <w:rPr>
          <w:sz w:val="21"/>
        </w:rPr>
      </w:pPr>
      <w:r>
        <w:rPr>
          <w:spacing w:val="-2"/>
          <w:sz w:val="21"/>
        </w:rPr>
        <w:t>重量</w:t>
      </w:r>
      <w:r>
        <w:rPr>
          <w:spacing w:val="-3"/>
          <w:sz w:val="21"/>
        </w:rPr>
        <w:t>（净重和毛重）；</w:t>
      </w:r>
      <w:r>
        <w:rPr>
          <w:spacing w:val="-3"/>
          <w:sz w:val="21"/>
        </w:rPr>
        <w:t xml:space="preserve">   </w:t>
      </w:r>
      <w:r>
        <w:rPr>
          <w:sz w:val="21"/>
        </w:rPr>
        <w:t>d</w:t>
      </w:r>
      <w:r>
        <w:rPr>
          <w:sz w:val="21"/>
        </w:rPr>
        <w:t>）</w:t>
      </w:r>
      <w:r>
        <w:rPr>
          <w:spacing w:val="-3"/>
          <w:sz w:val="21"/>
        </w:rPr>
        <w:t>生产厂名（或注册商标</w:t>
      </w:r>
      <w:r>
        <w:rPr>
          <w:sz w:val="21"/>
        </w:rPr>
        <w:t>）；</w:t>
      </w:r>
      <w:r>
        <w:rPr>
          <w:sz w:val="21"/>
        </w:rPr>
        <w:t xml:space="preserve"> e</w:t>
      </w:r>
      <w:r>
        <w:rPr>
          <w:sz w:val="21"/>
        </w:rPr>
        <w:t>）</w:t>
      </w:r>
      <w:r>
        <w:rPr>
          <w:spacing w:val="-3"/>
          <w:sz w:val="21"/>
        </w:rPr>
        <w:t>制造日期。</w:t>
      </w:r>
      <w:r>
        <w:rPr>
          <w:sz w:val="21"/>
        </w:rPr>
        <w:t xml:space="preserve"> </w:t>
      </w:r>
    </w:p>
    <w:p w14:paraId="5A454E07" w14:textId="77777777" w:rsidR="00A71EEF" w:rsidRDefault="00A71EEF">
      <w:pPr>
        <w:pStyle w:val="a3"/>
        <w:rPr>
          <w:sz w:val="20"/>
        </w:rPr>
      </w:pPr>
    </w:p>
    <w:p w14:paraId="2FCF4CF1" w14:textId="77777777" w:rsidR="00A71EEF" w:rsidRDefault="00A71EEF">
      <w:pPr>
        <w:pStyle w:val="a3"/>
        <w:rPr>
          <w:sz w:val="20"/>
        </w:rPr>
      </w:pPr>
    </w:p>
    <w:p w14:paraId="3EC790B1" w14:textId="77777777" w:rsidR="00A71EEF" w:rsidRDefault="00A71EEF">
      <w:pPr>
        <w:pStyle w:val="a3"/>
        <w:rPr>
          <w:sz w:val="20"/>
        </w:rPr>
      </w:pPr>
    </w:p>
    <w:p w14:paraId="0906B9A9" w14:textId="77777777" w:rsidR="00A71EEF" w:rsidRDefault="00A71EEF">
      <w:pPr>
        <w:pStyle w:val="a3"/>
        <w:rPr>
          <w:sz w:val="20"/>
        </w:rPr>
      </w:pPr>
    </w:p>
    <w:p w14:paraId="620D3653" w14:textId="77777777" w:rsidR="00A71EEF" w:rsidRDefault="00A71EEF">
      <w:pPr>
        <w:pStyle w:val="a3"/>
        <w:rPr>
          <w:sz w:val="20"/>
        </w:rPr>
      </w:pPr>
    </w:p>
    <w:p w14:paraId="2FE9F541" w14:textId="77777777" w:rsidR="00A71EEF" w:rsidRDefault="00A71EEF">
      <w:pPr>
        <w:pStyle w:val="a3"/>
        <w:rPr>
          <w:sz w:val="20"/>
        </w:rPr>
      </w:pPr>
    </w:p>
    <w:p w14:paraId="3D72960E" w14:textId="77777777" w:rsidR="00A71EEF" w:rsidRDefault="00A71EEF">
      <w:pPr>
        <w:pStyle w:val="a3"/>
        <w:rPr>
          <w:sz w:val="20"/>
        </w:rPr>
      </w:pPr>
    </w:p>
    <w:p w14:paraId="6FF36FF3" w14:textId="77777777" w:rsidR="00A71EEF" w:rsidRDefault="00A71EEF">
      <w:pPr>
        <w:pStyle w:val="a3"/>
        <w:rPr>
          <w:sz w:val="20"/>
        </w:rPr>
      </w:pPr>
    </w:p>
    <w:p w14:paraId="691AA773" w14:textId="77777777" w:rsidR="00A71EEF" w:rsidRDefault="00A71EEF">
      <w:pPr>
        <w:pStyle w:val="a3"/>
        <w:rPr>
          <w:sz w:val="20"/>
        </w:rPr>
      </w:pPr>
    </w:p>
    <w:p w14:paraId="3E96CF74" w14:textId="77777777" w:rsidR="00A71EEF" w:rsidRDefault="00A71EEF">
      <w:pPr>
        <w:pStyle w:val="a3"/>
        <w:rPr>
          <w:sz w:val="20"/>
        </w:rPr>
      </w:pPr>
    </w:p>
    <w:p w14:paraId="3AA16577" w14:textId="77777777" w:rsidR="00A71EEF" w:rsidRDefault="00A71EEF">
      <w:pPr>
        <w:pStyle w:val="a3"/>
        <w:spacing w:before="7"/>
        <w:rPr>
          <w:sz w:val="28"/>
        </w:rPr>
      </w:pPr>
    </w:p>
    <w:p w14:paraId="5CBE5547" w14:textId="77777777" w:rsidR="00A71EEF" w:rsidRDefault="0081115D">
      <w:pPr>
        <w:pStyle w:val="a3"/>
        <w:spacing w:before="72"/>
        <w:ind w:left="3298"/>
      </w:pPr>
      <w:r>
        <w:t xml:space="preserve"> </w:t>
      </w:r>
    </w:p>
    <w:p w14:paraId="0CDA76D6" w14:textId="77777777" w:rsidR="00A71EEF" w:rsidRDefault="00A71EEF">
      <w:pPr>
        <w:sectPr w:rsidR="00A71EEF">
          <w:pgSz w:w="11910" w:h="16850"/>
          <w:pgMar w:top="1220" w:right="0" w:bottom="1420" w:left="1260" w:header="0" w:footer="1239" w:gutter="0"/>
          <w:cols w:space="720"/>
        </w:sectPr>
      </w:pPr>
    </w:p>
    <w:p w14:paraId="340DB4C1" w14:textId="77777777" w:rsidR="00A71EEF" w:rsidRDefault="0081115D">
      <w:pPr>
        <w:pStyle w:val="2"/>
        <w:ind w:right="868"/>
      </w:pPr>
      <w:bookmarkStart w:id="7" w:name="_bookmark7"/>
      <w:bookmarkEnd w:id="7"/>
      <w:r>
        <w:lastRenderedPageBreak/>
        <w:t>消防员照明灯具</w:t>
      </w:r>
      <w:r>
        <w:rPr>
          <w:w w:val="99"/>
        </w:rPr>
        <w:t xml:space="preserve"> </w:t>
      </w:r>
    </w:p>
    <w:p w14:paraId="0CDC0EC2" w14:textId="77777777" w:rsidR="00A71EEF" w:rsidRDefault="00A71EEF">
      <w:pPr>
        <w:pStyle w:val="a3"/>
        <w:rPr>
          <w:b/>
          <w:sz w:val="20"/>
        </w:rPr>
      </w:pPr>
    </w:p>
    <w:p w14:paraId="712ED641" w14:textId="77777777" w:rsidR="00A71EEF" w:rsidRDefault="00A71EEF">
      <w:pPr>
        <w:pStyle w:val="a3"/>
        <w:spacing w:before="5"/>
        <w:rPr>
          <w:b/>
          <w:sz w:val="14"/>
        </w:rPr>
      </w:pPr>
    </w:p>
    <w:p w14:paraId="2CDE7B25" w14:textId="77777777" w:rsidR="00A71EEF" w:rsidRDefault="0081115D">
      <w:pPr>
        <w:pStyle w:val="4"/>
        <w:spacing w:before="66"/>
      </w:pPr>
      <w:r>
        <w:t xml:space="preserve">1 </w:t>
      </w:r>
      <w:r>
        <w:t>范围</w:t>
      </w:r>
      <w:r>
        <w:rPr>
          <w:w w:val="99"/>
        </w:rPr>
        <w:t xml:space="preserve"> </w:t>
      </w:r>
    </w:p>
    <w:p w14:paraId="6E26F3E9" w14:textId="77777777" w:rsidR="00A71EEF" w:rsidRDefault="00A71EEF">
      <w:pPr>
        <w:pStyle w:val="a3"/>
        <w:spacing w:before="4"/>
        <w:rPr>
          <w:b/>
          <w:sz w:val="17"/>
        </w:rPr>
      </w:pPr>
    </w:p>
    <w:p w14:paraId="676817B2" w14:textId="77777777" w:rsidR="00A71EEF" w:rsidRDefault="0081115D">
      <w:pPr>
        <w:pStyle w:val="a3"/>
        <w:spacing w:line="446" w:lineRule="auto"/>
        <w:ind w:left="418" w:right="1609" w:firstLine="419"/>
      </w:pPr>
      <w:r>
        <w:t>本标准规定了消防员照明灯具的定义、分类与型号、技术要求、试验方法、检验规则、标志、包装、运输和贮存。</w:t>
      </w:r>
      <w:r>
        <w:t xml:space="preserve"> </w:t>
      </w:r>
    </w:p>
    <w:p w14:paraId="1F61F0CA" w14:textId="77777777" w:rsidR="00A71EEF" w:rsidRDefault="0081115D">
      <w:pPr>
        <w:pStyle w:val="a3"/>
        <w:ind w:left="838"/>
      </w:pPr>
      <w:r>
        <w:t>本标准适用于消防员在各种光线不足的场所进行灭火救援作业时单人使用的照明灯具。</w:t>
      </w:r>
      <w:r>
        <w:t xml:space="preserve"> </w:t>
      </w:r>
    </w:p>
    <w:p w14:paraId="0B5F4928" w14:textId="77777777" w:rsidR="00A71EEF" w:rsidRDefault="00A71EEF">
      <w:pPr>
        <w:pStyle w:val="a3"/>
        <w:spacing w:before="8"/>
        <w:rPr>
          <w:sz w:val="15"/>
        </w:rPr>
      </w:pPr>
    </w:p>
    <w:p w14:paraId="618639DA" w14:textId="77777777" w:rsidR="00A71EEF" w:rsidRDefault="0081115D">
      <w:pPr>
        <w:pStyle w:val="4"/>
      </w:pPr>
      <w:r>
        <w:t xml:space="preserve">2 </w:t>
      </w:r>
      <w:r>
        <w:t>规范性引用文件</w:t>
      </w:r>
      <w:r>
        <w:rPr>
          <w:w w:val="99"/>
        </w:rPr>
        <w:t xml:space="preserve"> </w:t>
      </w:r>
    </w:p>
    <w:p w14:paraId="7566547B" w14:textId="77777777" w:rsidR="00A71EEF" w:rsidRDefault="00A71EEF">
      <w:pPr>
        <w:pStyle w:val="a3"/>
        <w:spacing w:before="4"/>
        <w:rPr>
          <w:b/>
          <w:sz w:val="17"/>
        </w:rPr>
      </w:pPr>
    </w:p>
    <w:p w14:paraId="71C3EF49" w14:textId="77777777" w:rsidR="00A71EEF" w:rsidRDefault="0081115D">
      <w:pPr>
        <w:pStyle w:val="a3"/>
        <w:spacing w:line="446" w:lineRule="auto"/>
        <w:ind w:left="418" w:right="1609" w:firstLine="419"/>
      </w:pPr>
      <w:r>
        <w:t>下列文件对于本文件的应用是必不可少的。凡是注日期的引用文件，仅注日期的版本适用于本文件。凡是不注日期的引用文件，其最新版本</w:t>
      </w:r>
      <w:r>
        <w:t>(</w:t>
      </w:r>
      <w:r>
        <w:t>包括所有的修改单</w:t>
      </w:r>
      <w:r>
        <w:t>)</w:t>
      </w:r>
      <w:r>
        <w:t>适用于本文件。</w:t>
      </w:r>
      <w:r>
        <w:t xml:space="preserve"> </w:t>
      </w:r>
    </w:p>
    <w:p w14:paraId="04BFC66C" w14:textId="77777777" w:rsidR="00A71EEF" w:rsidRDefault="0081115D">
      <w:pPr>
        <w:pStyle w:val="a3"/>
        <w:ind w:left="838"/>
      </w:pPr>
      <w:r>
        <w:t xml:space="preserve">GB/T 191—2008 </w:t>
      </w:r>
      <w:r>
        <w:t>包装储运图示标志</w:t>
      </w:r>
      <w:r>
        <w:t xml:space="preserve"> </w:t>
      </w:r>
    </w:p>
    <w:p w14:paraId="4C2BDD4C" w14:textId="77777777" w:rsidR="00A71EEF" w:rsidRDefault="00A71EEF">
      <w:pPr>
        <w:pStyle w:val="a3"/>
        <w:rPr>
          <w:sz w:val="18"/>
        </w:rPr>
      </w:pPr>
    </w:p>
    <w:p w14:paraId="49D59210" w14:textId="77777777" w:rsidR="00A71EEF" w:rsidRDefault="0081115D">
      <w:pPr>
        <w:pStyle w:val="a3"/>
        <w:spacing w:line="446" w:lineRule="auto"/>
        <w:ind w:left="838" w:right="1558"/>
      </w:pPr>
      <w:r>
        <w:t>GB/T 2423.1—2008</w:t>
      </w:r>
      <w:r>
        <w:rPr>
          <w:spacing w:val="-6"/>
        </w:rPr>
        <w:t xml:space="preserve">   </w:t>
      </w:r>
      <w:r>
        <w:rPr>
          <w:spacing w:val="-6"/>
        </w:rPr>
        <w:t>电工电子产品环境试验</w:t>
      </w:r>
      <w:r>
        <w:rPr>
          <w:spacing w:val="-6"/>
        </w:rPr>
        <w:t xml:space="preserve">   </w:t>
      </w:r>
      <w:r>
        <w:rPr>
          <w:spacing w:val="-6"/>
        </w:rPr>
        <w:t>第</w:t>
      </w:r>
      <w:r>
        <w:rPr>
          <w:spacing w:val="-6"/>
        </w:rPr>
        <w:t xml:space="preserve"> </w:t>
      </w:r>
      <w:r>
        <w:t>2</w:t>
      </w:r>
      <w:r>
        <w:rPr>
          <w:spacing w:val="-12"/>
        </w:rPr>
        <w:t xml:space="preserve"> </w:t>
      </w:r>
      <w:r>
        <w:rPr>
          <w:spacing w:val="-12"/>
        </w:rPr>
        <w:t>部分：试验方法</w:t>
      </w:r>
      <w:r>
        <w:rPr>
          <w:spacing w:val="-12"/>
        </w:rPr>
        <w:t xml:space="preserve">   </w:t>
      </w:r>
      <w:r>
        <w:rPr>
          <w:spacing w:val="-12"/>
        </w:rPr>
        <w:t>试验</w:t>
      </w:r>
      <w:r>
        <w:rPr>
          <w:spacing w:val="-12"/>
        </w:rPr>
        <w:t xml:space="preserve"> </w:t>
      </w:r>
      <w:r>
        <w:t>A</w:t>
      </w:r>
      <w:r>
        <w:rPr>
          <w:spacing w:val="-1"/>
        </w:rPr>
        <w:t>：低温</w:t>
      </w:r>
      <w:r>
        <w:t>GB/T</w:t>
      </w:r>
      <w:r>
        <w:rPr>
          <w:spacing w:val="2"/>
        </w:rPr>
        <w:t xml:space="preserve"> </w:t>
      </w:r>
      <w:r>
        <w:t>2423.2—2008</w:t>
      </w:r>
      <w:r>
        <w:rPr>
          <w:spacing w:val="-6"/>
        </w:rPr>
        <w:t xml:space="preserve">   </w:t>
      </w:r>
      <w:r>
        <w:rPr>
          <w:spacing w:val="-6"/>
        </w:rPr>
        <w:t>电工电子产品环境试验</w:t>
      </w:r>
      <w:r>
        <w:rPr>
          <w:spacing w:val="-6"/>
        </w:rPr>
        <w:t xml:space="preserve">   </w:t>
      </w:r>
      <w:r>
        <w:rPr>
          <w:spacing w:val="-6"/>
        </w:rPr>
        <w:t>第</w:t>
      </w:r>
      <w:r>
        <w:rPr>
          <w:spacing w:val="-6"/>
        </w:rPr>
        <w:t xml:space="preserve"> </w:t>
      </w:r>
      <w:r>
        <w:t>2</w:t>
      </w:r>
      <w:r>
        <w:rPr>
          <w:spacing w:val="-12"/>
        </w:rPr>
        <w:t xml:space="preserve"> </w:t>
      </w:r>
      <w:r>
        <w:rPr>
          <w:spacing w:val="-12"/>
        </w:rPr>
        <w:t>部分：试验方法</w:t>
      </w:r>
      <w:r>
        <w:rPr>
          <w:spacing w:val="-12"/>
        </w:rPr>
        <w:t xml:space="preserve">   </w:t>
      </w:r>
      <w:r>
        <w:rPr>
          <w:spacing w:val="-12"/>
        </w:rPr>
        <w:t>试验</w:t>
      </w:r>
      <w:r>
        <w:rPr>
          <w:spacing w:val="-12"/>
        </w:rPr>
        <w:t xml:space="preserve"> </w:t>
      </w:r>
      <w:r>
        <w:t>B</w:t>
      </w:r>
      <w:r>
        <w:rPr>
          <w:spacing w:val="-1"/>
        </w:rPr>
        <w:t>：高温</w:t>
      </w:r>
      <w:r>
        <w:t>GB/T</w:t>
      </w:r>
      <w:r>
        <w:rPr>
          <w:spacing w:val="2"/>
        </w:rPr>
        <w:t xml:space="preserve"> </w:t>
      </w:r>
      <w:r>
        <w:t>2423.4—2008</w:t>
      </w:r>
      <w:r>
        <w:rPr>
          <w:spacing w:val="-6"/>
        </w:rPr>
        <w:t xml:space="preserve"> </w:t>
      </w:r>
      <w:r>
        <w:rPr>
          <w:spacing w:val="-6"/>
        </w:rPr>
        <w:t>电工电子产品环境试验</w:t>
      </w:r>
      <w:r>
        <w:rPr>
          <w:spacing w:val="-6"/>
        </w:rPr>
        <w:t xml:space="preserve"> </w:t>
      </w:r>
      <w:r>
        <w:rPr>
          <w:spacing w:val="-6"/>
        </w:rPr>
        <w:t>第</w:t>
      </w:r>
      <w:r>
        <w:rPr>
          <w:spacing w:val="-6"/>
        </w:rPr>
        <w:t xml:space="preserve"> </w:t>
      </w:r>
      <w:r>
        <w:t>2</w:t>
      </w:r>
      <w:r>
        <w:rPr>
          <w:spacing w:val="-12"/>
        </w:rPr>
        <w:t xml:space="preserve"> </w:t>
      </w:r>
      <w:r>
        <w:rPr>
          <w:spacing w:val="-12"/>
        </w:rPr>
        <w:t>部分：试验方法</w:t>
      </w:r>
      <w:r>
        <w:rPr>
          <w:spacing w:val="-12"/>
        </w:rPr>
        <w:t xml:space="preserve"> </w:t>
      </w:r>
      <w:r>
        <w:rPr>
          <w:spacing w:val="-12"/>
        </w:rPr>
        <w:t>试验</w:t>
      </w:r>
      <w:r>
        <w:rPr>
          <w:spacing w:val="-12"/>
        </w:rPr>
        <w:t xml:space="preserve"> </w:t>
      </w:r>
      <w:r>
        <w:t>Db</w:t>
      </w:r>
      <w:r>
        <w:rPr>
          <w:spacing w:val="-2"/>
        </w:rPr>
        <w:t>：交变湿</w:t>
      </w:r>
    </w:p>
    <w:p w14:paraId="21514768" w14:textId="77777777" w:rsidR="00A71EEF" w:rsidRDefault="0081115D">
      <w:pPr>
        <w:pStyle w:val="a3"/>
        <w:spacing w:line="268" w:lineRule="exact"/>
        <w:ind w:left="418"/>
      </w:pPr>
      <w:r>
        <w:t>热（</w:t>
      </w:r>
      <w:r>
        <w:t xml:space="preserve">12h+12h </w:t>
      </w:r>
      <w:r>
        <w:t>循环）</w:t>
      </w:r>
      <w:r>
        <w:t xml:space="preserve"> </w:t>
      </w:r>
    </w:p>
    <w:p w14:paraId="462D2138" w14:textId="77777777" w:rsidR="00A71EEF" w:rsidRDefault="00A71EEF">
      <w:pPr>
        <w:pStyle w:val="a3"/>
        <w:spacing w:before="1"/>
        <w:rPr>
          <w:sz w:val="18"/>
        </w:rPr>
      </w:pPr>
    </w:p>
    <w:p w14:paraId="4C604346" w14:textId="77777777" w:rsidR="00A71EEF" w:rsidRDefault="0081115D">
      <w:pPr>
        <w:pStyle w:val="a3"/>
        <w:spacing w:before="1"/>
        <w:ind w:left="838"/>
      </w:pPr>
      <w:r>
        <w:t xml:space="preserve">GB/T 2423.10—2008 </w:t>
      </w:r>
      <w:r>
        <w:t>电工电子产品环境试验</w:t>
      </w:r>
      <w:r>
        <w:t xml:space="preserve"> </w:t>
      </w:r>
      <w:r>
        <w:t>第</w:t>
      </w:r>
      <w:r>
        <w:t xml:space="preserve"> 2 </w:t>
      </w:r>
      <w:r>
        <w:t>部分：试验方法</w:t>
      </w:r>
      <w:r>
        <w:t xml:space="preserve"> </w:t>
      </w:r>
      <w:r>
        <w:t>试验</w:t>
      </w:r>
      <w:r>
        <w:t xml:space="preserve"> Fc</w:t>
      </w:r>
      <w:r>
        <w:t>：振动</w:t>
      </w:r>
    </w:p>
    <w:p w14:paraId="2401BDC8" w14:textId="77777777" w:rsidR="00A71EEF" w:rsidRDefault="00A71EEF">
      <w:pPr>
        <w:pStyle w:val="a3"/>
        <w:spacing w:before="12"/>
        <w:rPr>
          <w:sz w:val="17"/>
        </w:rPr>
      </w:pPr>
    </w:p>
    <w:p w14:paraId="71DA63F7" w14:textId="77777777" w:rsidR="00A71EEF" w:rsidRDefault="0081115D">
      <w:pPr>
        <w:pStyle w:val="a3"/>
        <w:ind w:left="418"/>
      </w:pPr>
      <w:r>
        <w:t>（正弦）</w:t>
      </w:r>
      <w:r>
        <w:t xml:space="preserve"> </w:t>
      </w:r>
    </w:p>
    <w:p w14:paraId="6239F16A" w14:textId="77777777" w:rsidR="00A71EEF" w:rsidRDefault="00A71EEF">
      <w:pPr>
        <w:pStyle w:val="a3"/>
        <w:spacing w:before="12"/>
        <w:rPr>
          <w:sz w:val="17"/>
        </w:rPr>
      </w:pPr>
    </w:p>
    <w:p w14:paraId="63EF64EB" w14:textId="77777777" w:rsidR="00A71EEF" w:rsidRDefault="0081115D">
      <w:pPr>
        <w:pStyle w:val="a3"/>
        <w:spacing w:line="446" w:lineRule="auto"/>
        <w:ind w:left="838" w:right="3492"/>
      </w:pPr>
      <w:r>
        <w:t xml:space="preserve">GB  3836.1—2010   </w:t>
      </w:r>
      <w:r>
        <w:t>爆炸性</w:t>
      </w:r>
      <w:r>
        <w:t xml:space="preserve">   </w:t>
      </w:r>
      <w:r>
        <w:t>环境第</w:t>
      </w:r>
      <w:r>
        <w:t xml:space="preserve"> 1 </w:t>
      </w:r>
      <w:r>
        <w:t>部分：设备</w:t>
      </w:r>
      <w:r>
        <w:t xml:space="preserve">   </w:t>
      </w:r>
      <w:r>
        <w:t>通用要求</w:t>
      </w:r>
      <w:r>
        <w:t xml:space="preserve">GB 4208—2008 </w:t>
      </w:r>
      <w:r>
        <w:t>外壳防护等级（</w:t>
      </w:r>
      <w:r>
        <w:t xml:space="preserve">IP </w:t>
      </w:r>
      <w:r>
        <w:t>代码）</w:t>
      </w:r>
      <w:r>
        <w:t xml:space="preserve"> </w:t>
      </w:r>
    </w:p>
    <w:p w14:paraId="71FF7D69" w14:textId="77777777" w:rsidR="00A71EEF" w:rsidRDefault="0081115D">
      <w:pPr>
        <w:pStyle w:val="a3"/>
        <w:ind w:left="838"/>
      </w:pPr>
      <w:r>
        <w:t xml:space="preserve">GB 7000.1—2007 </w:t>
      </w:r>
      <w:r>
        <w:t>灯具</w:t>
      </w:r>
      <w:r>
        <w:t xml:space="preserve"> </w:t>
      </w:r>
      <w:r>
        <w:t>第</w:t>
      </w:r>
      <w:r>
        <w:t xml:space="preserve"> 1 </w:t>
      </w:r>
      <w:r>
        <w:t>部分：一般要求与试验</w:t>
      </w:r>
      <w:r>
        <w:t xml:space="preserve"> </w:t>
      </w:r>
    </w:p>
    <w:p w14:paraId="717B1084" w14:textId="77777777" w:rsidR="00A71EEF" w:rsidRDefault="00A71EEF">
      <w:pPr>
        <w:pStyle w:val="a3"/>
        <w:spacing w:before="8"/>
        <w:rPr>
          <w:sz w:val="15"/>
        </w:rPr>
      </w:pPr>
    </w:p>
    <w:p w14:paraId="19357D09" w14:textId="77777777" w:rsidR="00A71EEF" w:rsidRDefault="0081115D">
      <w:pPr>
        <w:pStyle w:val="4"/>
      </w:pPr>
      <w:r>
        <w:t xml:space="preserve">3 </w:t>
      </w:r>
      <w:r>
        <w:t>术语和定义</w:t>
      </w:r>
      <w:r>
        <w:rPr>
          <w:w w:val="99"/>
        </w:rPr>
        <w:t xml:space="preserve"> </w:t>
      </w:r>
    </w:p>
    <w:p w14:paraId="340A7718" w14:textId="77777777" w:rsidR="00A71EEF" w:rsidRDefault="00A71EEF">
      <w:pPr>
        <w:pStyle w:val="a3"/>
        <w:spacing w:before="7"/>
        <w:rPr>
          <w:b/>
          <w:sz w:val="17"/>
        </w:rPr>
      </w:pPr>
    </w:p>
    <w:p w14:paraId="1087AFBC" w14:textId="77777777" w:rsidR="00A71EEF" w:rsidRDefault="0081115D">
      <w:pPr>
        <w:pStyle w:val="a3"/>
        <w:ind w:left="838"/>
      </w:pPr>
      <w:r>
        <w:t>下列术语和定义适用于本文件。</w:t>
      </w:r>
      <w:r>
        <w:t xml:space="preserve"> </w:t>
      </w:r>
    </w:p>
    <w:p w14:paraId="406D74DF" w14:textId="77777777" w:rsidR="00A71EEF" w:rsidRDefault="00A71EEF">
      <w:pPr>
        <w:pStyle w:val="a3"/>
        <w:spacing w:before="12"/>
        <w:rPr>
          <w:sz w:val="17"/>
        </w:rPr>
      </w:pPr>
    </w:p>
    <w:p w14:paraId="422963FB" w14:textId="77777777" w:rsidR="00A71EEF" w:rsidRDefault="0081115D">
      <w:pPr>
        <w:pStyle w:val="a4"/>
        <w:numPr>
          <w:ilvl w:val="1"/>
          <w:numId w:val="853"/>
        </w:numPr>
        <w:tabs>
          <w:tab w:val="left" w:pos="1213"/>
        </w:tabs>
        <w:spacing w:line="446" w:lineRule="auto"/>
        <w:ind w:right="5125" w:firstLine="2"/>
        <w:rPr>
          <w:sz w:val="21"/>
        </w:rPr>
      </w:pPr>
      <w:r>
        <w:rPr>
          <w:spacing w:val="-3"/>
          <w:sz w:val="21"/>
        </w:rPr>
        <w:t>消防员照明灯具</w:t>
      </w:r>
      <w:r>
        <w:rPr>
          <w:spacing w:val="-3"/>
          <w:sz w:val="21"/>
        </w:rPr>
        <w:t xml:space="preserve"> </w:t>
      </w:r>
      <w:r>
        <w:rPr>
          <w:sz w:val="21"/>
        </w:rPr>
        <w:t>luminaire for firefight</w:t>
      </w:r>
      <w:r>
        <w:rPr>
          <w:sz w:val="21"/>
        </w:rPr>
        <w:t xml:space="preserve">er </w:t>
      </w:r>
      <w:r>
        <w:rPr>
          <w:spacing w:val="-3"/>
          <w:sz w:val="21"/>
        </w:rPr>
        <w:t>消防员单人使用的照明灯具。</w:t>
      </w:r>
      <w:r>
        <w:rPr>
          <w:sz w:val="21"/>
        </w:rPr>
        <w:t xml:space="preserve"> </w:t>
      </w:r>
    </w:p>
    <w:p w14:paraId="48ED6D46" w14:textId="77777777" w:rsidR="00A71EEF" w:rsidRDefault="0081115D">
      <w:pPr>
        <w:pStyle w:val="a4"/>
        <w:numPr>
          <w:ilvl w:val="1"/>
          <w:numId w:val="853"/>
        </w:numPr>
        <w:tabs>
          <w:tab w:val="left" w:pos="1160"/>
        </w:tabs>
        <w:ind w:left="1159" w:hanging="320"/>
        <w:rPr>
          <w:b/>
          <w:sz w:val="21"/>
        </w:rPr>
      </w:pPr>
      <w:r>
        <w:rPr>
          <w:spacing w:val="-3"/>
          <w:sz w:val="21"/>
        </w:rPr>
        <w:t>佩戴式消防员照明灯具</w:t>
      </w:r>
      <w:r>
        <w:rPr>
          <w:spacing w:val="-3"/>
          <w:sz w:val="21"/>
        </w:rPr>
        <w:t xml:space="preserve"> </w:t>
      </w:r>
      <w:r>
        <w:rPr>
          <w:sz w:val="21"/>
        </w:rPr>
        <w:t>wearable</w:t>
      </w:r>
      <w:r>
        <w:rPr>
          <w:spacing w:val="1"/>
          <w:sz w:val="21"/>
        </w:rPr>
        <w:t xml:space="preserve"> </w:t>
      </w:r>
      <w:r>
        <w:rPr>
          <w:sz w:val="21"/>
        </w:rPr>
        <w:t>luminaire</w:t>
      </w:r>
      <w:r>
        <w:rPr>
          <w:spacing w:val="-2"/>
          <w:sz w:val="21"/>
        </w:rPr>
        <w:t xml:space="preserve"> </w:t>
      </w:r>
      <w:r>
        <w:rPr>
          <w:sz w:val="21"/>
        </w:rPr>
        <w:t>for</w:t>
      </w:r>
      <w:r>
        <w:rPr>
          <w:spacing w:val="1"/>
          <w:sz w:val="21"/>
        </w:rPr>
        <w:t xml:space="preserve"> </w:t>
      </w:r>
      <w:r>
        <w:rPr>
          <w:sz w:val="21"/>
        </w:rPr>
        <w:t>firefighter</w:t>
      </w:r>
      <w:r>
        <w:rPr>
          <w:b/>
          <w:w w:val="99"/>
          <w:sz w:val="21"/>
        </w:rPr>
        <w:t xml:space="preserve"> </w:t>
      </w:r>
    </w:p>
    <w:p w14:paraId="5785EF25" w14:textId="77777777" w:rsidR="00A71EEF" w:rsidRDefault="00A71EEF">
      <w:pPr>
        <w:pStyle w:val="a3"/>
        <w:rPr>
          <w:b/>
          <w:sz w:val="18"/>
        </w:rPr>
      </w:pPr>
    </w:p>
    <w:p w14:paraId="48343AAE" w14:textId="77777777" w:rsidR="00A71EEF" w:rsidRDefault="0081115D">
      <w:pPr>
        <w:pStyle w:val="a3"/>
        <w:ind w:left="838"/>
      </w:pPr>
      <w:r>
        <w:t>使用时固定佩戴于消防员身体某一部位的消防员照明灯具。</w:t>
      </w:r>
      <w:r>
        <w:t xml:space="preserve"> </w:t>
      </w:r>
    </w:p>
    <w:p w14:paraId="16BBEFB1" w14:textId="77777777" w:rsidR="00A71EEF" w:rsidRDefault="00A71EEF">
      <w:pPr>
        <w:pStyle w:val="a3"/>
        <w:spacing w:before="12"/>
        <w:rPr>
          <w:sz w:val="17"/>
        </w:rPr>
      </w:pPr>
    </w:p>
    <w:p w14:paraId="42E721E8" w14:textId="77777777" w:rsidR="00A71EEF" w:rsidRDefault="0081115D">
      <w:pPr>
        <w:pStyle w:val="a4"/>
        <w:numPr>
          <w:ilvl w:val="1"/>
          <w:numId w:val="853"/>
        </w:numPr>
        <w:tabs>
          <w:tab w:val="left" w:pos="1159"/>
        </w:tabs>
        <w:ind w:left="1158" w:hanging="319"/>
        <w:rPr>
          <w:sz w:val="21"/>
        </w:rPr>
      </w:pPr>
      <w:r>
        <w:rPr>
          <w:spacing w:val="-3"/>
          <w:sz w:val="21"/>
        </w:rPr>
        <w:t>手提式</w:t>
      </w:r>
      <w:r>
        <w:rPr>
          <w:spacing w:val="-3"/>
          <w:sz w:val="21"/>
        </w:rPr>
        <w:t>Ⅰ</w:t>
      </w:r>
      <w:r>
        <w:rPr>
          <w:spacing w:val="-3"/>
          <w:sz w:val="21"/>
        </w:rPr>
        <w:t>型消防员照明灯具</w:t>
      </w:r>
      <w:r>
        <w:rPr>
          <w:spacing w:val="-3"/>
          <w:sz w:val="21"/>
        </w:rPr>
        <w:t xml:space="preserve"> </w:t>
      </w:r>
      <w:r>
        <w:rPr>
          <w:sz w:val="21"/>
        </w:rPr>
        <w:t>type</w:t>
      </w:r>
      <w:r>
        <w:rPr>
          <w:spacing w:val="1"/>
          <w:sz w:val="21"/>
        </w:rPr>
        <w:t xml:space="preserve"> </w:t>
      </w:r>
      <w:r>
        <w:rPr>
          <w:sz w:val="21"/>
        </w:rPr>
        <w:t>I</w:t>
      </w:r>
      <w:r>
        <w:rPr>
          <w:spacing w:val="-2"/>
          <w:sz w:val="21"/>
        </w:rPr>
        <w:t xml:space="preserve"> </w:t>
      </w:r>
      <w:r>
        <w:rPr>
          <w:sz w:val="21"/>
        </w:rPr>
        <w:t>handheld</w:t>
      </w:r>
      <w:r>
        <w:rPr>
          <w:spacing w:val="-2"/>
          <w:sz w:val="21"/>
        </w:rPr>
        <w:t xml:space="preserve"> </w:t>
      </w:r>
      <w:r>
        <w:rPr>
          <w:sz w:val="21"/>
        </w:rPr>
        <w:t>luminaire</w:t>
      </w:r>
      <w:r>
        <w:rPr>
          <w:spacing w:val="-2"/>
          <w:sz w:val="21"/>
        </w:rPr>
        <w:t xml:space="preserve"> </w:t>
      </w:r>
      <w:r>
        <w:rPr>
          <w:sz w:val="21"/>
        </w:rPr>
        <w:t>for</w:t>
      </w:r>
      <w:r>
        <w:rPr>
          <w:spacing w:val="-2"/>
          <w:sz w:val="21"/>
        </w:rPr>
        <w:t xml:space="preserve"> </w:t>
      </w:r>
      <w:r>
        <w:rPr>
          <w:sz w:val="21"/>
        </w:rPr>
        <w:t xml:space="preserve">firefighter </w:t>
      </w:r>
    </w:p>
    <w:p w14:paraId="380C9B7F" w14:textId="77777777" w:rsidR="00A71EEF" w:rsidRDefault="00A71EEF">
      <w:pPr>
        <w:pStyle w:val="a3"/>
        <w:spacing w:before="2"/>
        <w:rPr>
          <w:sz w:val="18"/>
        </w:rPr>
      </w:pPr>
    </w:p>
    <w:p w14:paraId="56B62549" w14:textId="77777777" w:rsidR="00A71EEF" w:rsidRDefault="0081115D">
      <w:pPr>
        <w:pStyle w:val="a3"/>
        <w:ind w:left="838"/>
      </w:pPr>
      <w:r>
        <w:t>质量小于或等于</w:t>
      </w:r>
      <w:r>
        <w:t xml:space="preserve"> 1.5kg</w:t>
      </w:r>
      <w:r>
        <w:t>，使用时可手握或手提的轻型消防员照明灯具。</w:t>
      </w:r>
      <w:r>
        <w:t xml:space="preserve"> </w:t>
      </w:r>
    </w:p>
    <w:p w14:paraId="24C14CAB" w14:textId="77777777" w:rsidR="00A71EEF" w:rsidRDefault="00A71EEF">
      <w:pPr>
        <w:pStyle w:val="a3"/>
        <w:rPr>
          <w:sz w:val="18"/>
        </w:rPr>
      </w:pPr>
    </w:p>
    <w:p w14:paraId="26A70C39" w14:textId="77777777" w:rsidR="00A71EEF" w:rsidRDefault="0081115D">
      <w:pPr>
        <w:pStyle w:val="a4"/>
        <w:numPr>
          <w:ilvl w:val="1"/>
          <w:numId w:val="853"/>
        </w:numPr>
        <w:tabs>
          <w:tab w:val="left" w:pos="1213"/>
        </w:tabs>
        <w:ind w:left="1212" w:hanging="373"/>
        <w:rPr>
          <w:sz w:val="21"/>
        </w:rPr>
      </w:pPr>
      <w:r>
        <w:rPr>
          <w:spacing w:val="-3"/>
          <w:sz w:val="21"/>
        </w:rPr>
        <w:t>手提式</w:t>
      </w:r>
      <w:r>
        <w:rPr>
          <w:spacing w:val="-3"/>
          <w:sz w:val="21"/>
        </w:rPr>
        <w:t>Ⅱ</w:t>
      </w:r>
      <w:r>
        <w:rPr>
          <w:spacing w:val="-3"/>
          <w:sz w:val="21"/>
        </w:rPr>
        <w:t>型消防员照明灯具</w:t>
      </w:r>
      <w:r>
        <w:rPr>
          <w:spacing w:val="-3"/>
          <w:sz w:val="21"/>
        </w:rPr>
        <w:t xml:space="preserve"> </w:t>
      </w:r>
      <w:r>
        <w:rPr>
          <w:sz w:val="21"/>
        </w:rPr>
        <w:t>type Ⅱ handheld</w:t>
      </w:r>
      <w:r>
        <w:rPr>
          <w:spacing w:val="1"/>
          <w:sz w:val="21"/>
        </w:rPr>
        <w:t xml:space="preserve"> </w:t>
      </w:r>
      <w:r>
        <w:rPr>
          <w:sz w:val="21"/>
        </w:rPr>
        <w:t>luminaire for</w:t>
      </w:r>
      <w:r>
        <w:rPr>
          <w:spacing w:val="1"/>
          <w:sz w:val="21"/>
        </w:rPr>
        <w:t xml:space="preserve"> </w:t>
      </w:r>
      <w:r>
        <w:rPr>
          <w:sz w:val="21"/>
        </w:rPr>
        <w:t xml:space="preserve">firefighter </w:t>
      </w:r>
    </w:p>
    <w:p w14:paraId="718CA0D9" w14:textId="77777777" w:rsidR="00A71EEF" w:rsidRDefault="00A71EEF">
      <w:pPr>
        <w:rPr>
          <w:sz w:val="21"/>
        </w:rPr>
        <w:sectPr w:rsidR="00A71EEF">
          <w:pgSz w:w="11910" w:h="16850"/>
          <w:pgMar w:top="1140" w:right="0" w:bottom="1420" w:left="1260" w:header="0" w:footer="1239" w:gutter="0"/>
          <w:cols w:space="720"/>
        </w:sectPr>
      </w:pPr>
    </w:p>
    <w:p w14:paraId="3B03A33D" w14:textId="77777777" w:rsidR="00A71EEF" w:rsidRDefault="0081115D">
      <w:pPr>
        <w:pStyle w:val="a3"/>
        <w:spacing w:before="47" w:line="446" w:lineRule="auto"/>
        <w:ind w:left="840" w:right="2242" w:hanging="3"/>
      </w:pPr>
      <w:r>
        <w:rPr>
          <w:spacing w:val="-11"/>
        </w:rPr>
        <w:lastRenderedPageBreak/>
        <w:t>质量大于</w:t>
      </w:r>
      <w:r>
        <w:rPr>
          <w:spacing w:val="-11"/>
        </w:rPr>
        <w:t xml:space="preserve"> </w:t>
      </w:r>
      <w:r>
        <w:t>1.5kg</w:t>
      </w:r>
      <w:r>
        <w:rPr>
          <w:spacing w:val="-14"/>
        </w:rPr>
        <w:t xml:space="preserve"> </w:t>
      </w:r>
      <w:r>
        <w:rPr>
          <w:spacing w:val="-14"/>
        </w:rPr>
        <w:t>但小于或等于</w:t>
      </w:r>
      <w:r>
        <w:rPr>
          <w:spacing w:val="-14"/>
        </w:rPr>
        <w:t xml:space="preserve"> </w:t>
      </w:r>
      <w:r>
        <w:t>25kg</w:t>
      </w:r>
      <w:r>
        <w:rPr>
          <w:spacing w:val="-8"/>
        </w:rPr>
        <w:t xml:space="preserve"> </w:t>
      </w:r>
      <w:r>
        <w:rPr>
          <w:spacing w:val="-8"/>
        </w:rPr>
        <w:t>使用时可手提或拖拽的重型消防员照明灯具。</w:t>
      </w:r>
      <w:r>
        <w:rPr>
          <w:b/>
        </w:rPr>
        <w:t xml:space="preserve">3.5 </w:t>
      </w:r>
      <w:r>
        <w:rPr>
          <w:spacing w:val="-1"/>
        </w:rPr>
        <w:t>灯头</w:t>
      </w:r>
      <w:r>
        <w:rPr>
          <w:spacing w:val="-1"/>
        </w:rPr>
        <w:t xml:space="preserve"> </w:t>
      </w:r>
      <w:r>
        <w:t xml:space="preserve">lighting assembly </w:t>
      </w:r>
    </w:p>
    <w:p w14:paraId="159A1F1F" w14:textId="77777777" w:rsidR="00A71EEF" w:rsidRDefault="0081115D">
      <w:pPr>
        <w:pStyle w:val="a3"/>
        <w:spacing w:line="267" w:lineRule="exact"/>
        <w:ind w:left="838"/>
      </w:pPr>
      <w:r>
        <w:t>灯具的照明部分，由发光装置、反光罩、透明部件等组成。</w:t>
      </w:r>
      <w:r>
        <w:t xml:space="preserve"> </w:t>
      </w:r>
    </w:p>
    <w:p w14:paraId="54A8B86F" w14:textId="77777777" w:rsidR="00A71EEF" w:rsidRDefault="00A71EEF">
      <w:pPr>
        <w:pStyle w:val="a3"/>
        <w:spacing w:before="10"/>
        <w:rPr>
          <w:sz w:val="15"/>
        </w:rPr>
      </w:pPr>
    </w:p>
    <w:p w14:paraId="67B861CC" w14:textId="77777777" w:rsidR="00A71EEF" w:rsidRDefault="0081115D">
      <w:pPr>
        <w:pStyle w:val="4"/>
        <w:spacing w:before="1"/>
      </w:pPr>
      <w:r>
        <w:t xml:space="preserve">4 </w:t>
      </w:r>
      <w:r>
        <w:t>分类与型号</w:t>
      </w:r>
      <w:r>
        <w:rPr>
          <w:w w:val="99"/>
        </w:rPr>
        <w:t xml:space="preserve"> </w:t>
      </w:r>
    </w:p>
    <w:p w14:paraId="278CC965" w14:textId="77777777" w:rsidR="00A71EEF" w:rsidRDefault="00A71EEF">
      <w:pPr>
        <w:pStyle w:val="a3"/>
        <w:spacing w:before="3"/>
        <w:rPr>
          <w:b/>
          <w:sz w:val="17"/>
        </w:rPr>
      </w:pPr>
    </w:p>
    <w:p w14:paraId="5F16EBF3" w14:textId="77777777" w:rsidR="00A71EEF" w:rsidRDefault="0081115D">
      <w:pPr>
        <w:pStyle w:val="a4"/>
        <w:numPr>
          <w:ilvl w:val="1"/>
          <w:numId w:val="852"/>
        </w:numPr>
        <w:tabs>
          <w:tab w:val="left" w:pos="1160"/>
        </w:tabs>
        <w:spacing w:before="1"/>
        <w:rPr>
          <w:sz w:val="21"/>
        </w:rPr>
      </w:pPr>
      <w:r>
        <w:rPr>
          <w:spacing w:val="-3"/>
          <w:sz w:val="21"/>
        </w:rPr>
        <w:t>分类</w:t>
      </w:r>
      <w:r>
        <w:rPr>
          <w:sz w:val="21"/>
        </w:rPr>
        <w:t xml:space="preserve"> </w:t>
      </w:r>
    </w:p>
    <w:p w14:paraId="0D66B554" w14:textId="77777777" w:rsidR="00A71EEF" w:rsidRDefault="00A71EEF">
      <w:pPr>
        <w:pStyle w:val="a3"/>
        <w:spacing w:before="12"/>
        <w:rPr>
          <w:sz w:val="17"/>
        </w:rPr>
      </w:pPr>
    </w:p>
    <w:p w14:paraId="38470825" w14:textId="77777777" w:rsidR="00A71EEF" w:rsidRDefault="0081115D">
      <w:pPr>
        <w:pStyle w:val="a3"/>
        <w:ind w:left="838"/>
      </w:pPr>
      <w:r>
        <w:t>消防员照明灯具</w:t>
      </w:r>
      <w:r>
        <w:t>(</w:t>
      </w:r>
      <w:r>
        <w:t>以下简称为灯具</w:t>
      </w:r>
      <w:r>
        <w:t>)</w:t>
      </w:r>
      <w:r>
        <w:t>按照使用方式进行分类，类别及代号见表</w:t>
      </w:r>
      <w:r>
        <w:t xml:space="preserve"> 1</w:t>
      </w:r>
      <w:r>
        <w:t>。</w:t>
      </w:r>
      <w:r>
        <w:t xml:space="preserve"> </w:t>
      </w:r>
    </w:p>
    <w:p w14:paraId="181048DD" w14:textId="77777777" w:rsidR="00A71EEF" w:rsidRDefault="00A71EEF">
      <w:pPr>
        <w:pStyle w:val="a3"/>
        <w:rPr>
          <w:sz w:val="20"/>
        </w:rPr>
      </w:pPr>
    </w:p>
    <w:p w14:paraId="43C7FC75" w14:textId="77777777" w:rsidR="00A71EEF" w:rsidRDefault="0081115D">
      <w:pPr>
        <w:pStyle w:val="a3"/>
        <w:spacing w:before="8"/>
        <w:rPr>
          <w:sz w:val="22"/>
        </w:rPr>
      </w:pPr>
      <w:r>
        <w:rPr>
          <w:noProof/>
        </w:rPr>
        <w:drawing>
          <wp:anchor distT="0" distB="0" distL="0" distR="0" simplePos="0" relativeHeight="251490816" behindDoc="0" locked="0" layoutInCell="1" allowOverlap="1" wp14:anchorId="3AFBACB8" wp14:editId="641DD2A7">
            <wp:simplePos x="0" y="0"/>
            <wp:positionH relativeFrom="page">
              <wp:posOffset>1142507</wp:posOffset>
            </wp:positionH>
            <wp:positionV relativeFrom="paragraph">
              <wp:posOffset>209327</wp:posOffset>
            </wp:positionV>
            <wp:extent cx="5275683" cy="1295400"/>
            <wp:effectExtent l="0" t="0" r="0" b="0"/>
            <wp:wrapTopAndBottom/>
            <wp:docPr id="93"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64.jpeg"/>
                    <pic:cNvPicPr/>
                  </pic:nvPicPr>
                  <pic:blipFill>
                    <a:blip r:embed="rId60" cstate="print"/>
                    <a:stretch>
                      <a:fillRect/>
                    </a:stretch>
                  </pic:blipFill>
                  <pic:spPr>
                    <a:xfrm>
                      <a:off x="0" y="0"/>
                      <a:ext cx="5275683" cy="1295400"/>
                    </a:xfrm>
                    <a:prstGeom prst="rect">
                      <a:avLst/>
                    </a:prstGeom>
                  </pic:spPr>
                </pic:pic>
              </a:graphicData>
            </a:graphic>
          </wp:anchor>
        </w:drawing>
      </w:r>
    </w:p>
    <w:p w14:paraId="6A2CFADB" w14:textId="77777777" w:rsidR="00A71EEF" w:rsidRDefault="00A71EEF">
      <w:pPr>
        <w:pStyle w:val="a3"/>
        <w:spacing w:before="5"/>
        <w:rPr>
          <w:sz w:val="17"/>
        </w:rPr>
      </w:pPr>
    </w:p>
    <w:p w14:paraId="5AA0820B" w14:textId="77777777" w:rsidR="00A71EEF" w:rsidRDefault="0081115D">
      <w:pPr>
        <w:pStyle w:val="a4"/>
        <w:numPr>
          <w:ilvl w:val="1"/>
          <w:numId w:val="852"/>
        </w:numPr>
        <w:tabs>
          <w:tab w:val="left" w:pos="1160"/>
        </w:tabs>
        <w:rPr>
          <w:b/>
          <w:sz w:val="21"/>
        </w:rPr>
      </w:pPr>
      <w:r>
        <w:rPr>
          <w:spacing w:val="-3"/>
          <w:sz w:val="21"/>
        </w:rPr>
        <w:t>型号</w:t>
      </w:r>
      <w:r>
        <w:rPr>
          <w:b/>
          <w:w w:val="99"/>
          <w:sz w:val="21"/>
        </w:rPr>
        <w:t xml:space="preserve"> </w:t>
      </w:r>
    </w:p>
    <w:p w14:paraId="5AA9BBB5" w14:textId="77777777" w:rsidR="00A71EEF" w:rsidRDefault="00A71EEF">
      <w:pPr>
        <w:pStyle w:val="a3"/>
        <w:spacing w:before="12"/>
        <w:rPr>
          <w:b/>
          <w:sz w:val="17"/>
        </w:rPr>
      </w:pPr>
    </w:p>
    <w:p w14:paraId="3C92F52E" w14:textId="77777777" w:rsidR="00A71EEF" w:rsidRDefault="0081115D">
      <w:pPr>
        <w:pStyle w:val="a3"/>
        <w:ind w:left="838"/>
      </w:pPr>
      <w:r>
        <w:rPr>
          <w:noProof/>
        </w:rPr>
        <w:drawing>
          <wp:anchor distT="0" distB="0" distL="0" distR="0" simplePos="0" relativeHeight="251491840" behindDoc="0" locked="0" layoutInCell="1" allowOverlap="1" wp14:anchorId="67273944" wp14:editId="66CCD56B">
            <wp:simplePos x="0" y="0"/>
            <wp:positionH relativeFrom="page">
              <wp:posOffset>1121446</wp:posOffset>
            </wp:positionH>
            <wp:positionV relativeFrom="paragraph">
              <wp:posOffset>254380</wp:posOffset>
            </wp:positionV>
            <wp:extent cx="5197405" cy="2038350"/>
            <wp:effectExtent l="0" t="0" r="0" b="0"/>
            <wp:wrapTopAndBottom/>
            <wp:docPr id="95"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65.jpeg"/>
                    <pic:cNvPicPr/>
                  </pic:nvPicPr>
                  <pic:blipFill>
                    <a:blip r:embed="rId61" cstate="print"/>
                    <a:stretch>
                      <a:fillRect/>
                    </a:stretch>
                  </pic:blipFill>
                  <pic:spPr>
                    <a:xfrm>
                      <a:off x="0" y="0"/>
                      <a:ext cx="5197405" cy="2038350"/>
                    </a:xfrm>
                    <a:prstGeom prst="rect">
                      <a:avLst/>
                    </a:prstGeom>
                  </pic:spPr>
                </pic:pic>
              </a:graphicData>
            </a:graphic>
          </wp:anchor>
        </w:drawing>
      </w:r>
      <w:r>
        <w:t>灯具产品型号的编制应符合下列规定：</w:t>
      </w:r>
      <w:r>
        <w:t xml:space="preserve"> </w:t>
      </w:r>
    </w:p>
    <w:p w14:paraId="6CD4CB29" w14:textId="77777777" w:rsidR="00A71EEF" w:rsidRDefault="0081115D">
      <w:pPr>
        <w:pStyle w:val="4"/>
        <w:spacing w:before="133"/>
      </w:pPr>
      <w:r>
        <w:t xml:space="preserve">5 </w:t>
      </w:r>
      <w:r>
        <w:t>技术要求</w:t>
      </w:r>
      <w:r>
        <w:rPr>
          <w:w w:val="99"/>
        </w:rPr>
        <w:t xml:space="preserve"> </w:t>
      </w:r>
    </w:p>
    <w:p w14:paraId="3A82E1DA" w14:textId="77777777" w:rsidR="00A71EEF" w:rsidRDefault="00A71EEF">
      <w:pPr>
        <w:pStyle w:val="a3"/>
        <w:spacing w:before="6"/>
        <w:rPr>
          <w:b/>
          <w:sz w:val="17"/>
        </w:rPr>
      </w:pPr>
    </w:p>
    <w:p w14:paraId="4A1F28B5" w14:textId="77777777" w:rsidR="00A71EEF" w:rsidRDefault="0081115D">
      <w:pPr>
        <w:pStyle w:val="a4"/>
        <w:numPr>
          <w:ilvl w:val="1"/>
          <w:numId w:val="851"/>
        </w:numPr>
        <w:tabs>
          <w:tab w:val="left" w:pos="1159"/>
        </w:tabs>
        <w:ind w:hanging="319"/>
        <w:rPr>
          <w:sz w:val="21"/>
        </w:rPr>
      </w:pPr>
      <w:r>
        <w:rPr>
          <w:spacing w:val="-3"/>
          <w:sz w:val="21"/>
        </w:rPr>
        <w:t>一般要求</w:t>
      </w:r>
      <w:r>
        <w:rPr>
          <w:sz w:val="21"/>
        </w:rPr>
        <w:t xml:space="preserve"> </w:t>
      </w:r>
    </w:p>
    <w:p w14:paraId="286990A8" w14:textId="77777777" w:rsidR="00A71EEF" w:rsidRDefault="00A71EEF">
      <w:pPr>
        <w:pStyle w:val="a3"/>
        <w:spacing w:before="12"/>
        <w:rPr>
          <w:sz w:val="17"/>
        </w:rPr>
      </w:pPr>
    </w:p>
    <w:p w14:paraId="74DF3BE5" w14:textId="77777777" w:rsidR="00A71EEF" w:rsidRDefault="0081115D">
      <w:pPr>
        <w:pStyle w:val="a4"/>
        <w:numPr>
          <w:ilvl w:val="2"/>
          <w:numId w:val="851"/>
        </w:numPr>
        <w:tabs>
          <w:tab w:val="left" w:pos="1370"/>
        </w:tabs>
        <w:ind w:hanging="530"/>
        <w:rPr>
          <w:sz w:val="21"/>
        </w:rPr>
      </w:pPr>
      <w:r>
        <w:rPr>
          <w:spacing w:val="-3"/>
          <w:sz w:val="21"/>
        </w:rPr>
        <w:t>灯具的供电电源应采用可充电电池，电池可替换的灯具应配备独立电池充电底座。</w:t>
      </w:r>
      <w:r>
        <w:rPr>
          <w:sz w:val="21"/>
        </w:rPr>
        <w:t xml:space="preserve"> </w:t>
      </w:r>
    </w:p>
    <w:p w14:paraId="3309A93E" w14:textId="77777777" w:rsidR="00A71EEF" w:rsidRDefault="00A71EEF">
      <w:pPr>
        <w:pStyle w:val="a3"/>
        <w:rPr>
          <w:sz w:val="18"/>
        </w:rPr>
      </w:pPr>
    </w:p>
    <w:p w14:paraId="14AE7C7A" w14:textId="77777777" w:rsidR="00A71EEF" w:rsidRDefault="0081115D">
      <w:pPr>
        <w:pStyle w:val="a4"/>
        <w:numPr>
          <w:ilvl w:val="2"/>
          <w:numId w:val="851"/>
        </w:numPr>
        <w:tabs>
          <w:tab w:val="left" w:pos="1370"/>
        </w:tabs>
        <w:spacing w:line="446" w:lineRule="auto"/>
        <w:ind w:left="418" w:right="1604" w:firstLine="422"/>
        <w:rPr>
          <w:sz w:val="21"/>
        </w:rPr>
      </w:pPr>
      <w:r>
        <w:rPr>
          <w:spacing w:val="-3"/>
          <w:sz w:val="21"/>
        </w:rPr>
        <w:t>灯具的充电器应采用插头与交直流转换器分离式结构，灯具或充电器应设置充、放电保护电路。</w:t>
      </w:r>
      <w:r>
        <w:rPr>
          <w:sz w:val="21"/>
        </w:rPr>
        <w:t xml:space="preserve"> </w:t>
      </w:r>
    </w:p>
    <w:p w14:paraId="04EA1CB4" w14:textId="77777777" w:rsidR="00A71EEF" w:rsidRDefault="0081115D">
      <w:pPr>
        <w:pStyle w:val="a4"/>
        <w:numPr>
          <w:ilvl w:val="2"/>
          <w:numId w:val="851"/>
        </w:numPr>
        <w:tabs>
          <w:tab w:val="left" w:pos="1370"/>
        </w:tabs>
        <w:ind w:hanging="530"/>
        <w:rPr>
          <w:sz w:val="21"/>
        </w:rPr>
      </w:pPr>
      <w:r>
        <w:rPr>
          <w:spacing w:val="-8"/>
          <w:sz w:val="21"/>
        </w:rPr>
        <w:t>灯具的防爆性能应符合</w:t>
      </w:r>
      <w:r>
        <w:rPr>
          <w:spacing w:val="-8"/>
          <w:sz w:val="21"/>
        </w:rPr>
        <w:t xml:space="preserve"> </w:t>
      </w:r>
      <w:r>
        <w:rPr>
          <w:sz w:val="21"/>
        </w:rPr>
        <w:t>GB</w:t>
      </w:r>
      <w:r>
        <w:rPr>
          <w:spacing w:val="1"/>
          <w:sz w:val="21"/>
        </w:rPr>
        <w:t xml:space="preserve"> </w:t>
      </w:r>
      <w:r>
        <w:rPr>
          <w:sz w:val="21"/>
        </w:rPr>
        <w:t>3836.1-2010</w:t>
      </w:r>
      <w:r>
        <w:rPr>
          <w:spacing w:val="-13"/>
          <w:sz w:val="21"/>
        </w:rPr>
        <w:t xml:space="preserve"> </w:t>
      </w:r>
      <w:r>
        <w:rPr>
          <w:spacing w:val="-13"/>
          <w:sz w:val="21"/>
        </w:rPr>
        <w:t>的要求。</w:t>
      </w:r>
      <w:r>
        <w:rPr>
          <w:sz w:val="21"/>
        </w:rPr>
        <w:t xml:space="preserve"> </w:t>
      </w:r>
    </w:p>
    <w:p w14:paraId="245BEAB4" w14:textId="77777777" w:rsidR="00A71EEF" w:rsidRDefault="00A71EEF">
      <w:pPr>
        <w:pStyle w:val="a3"/>
        <w:spacing w:before="12"/>
        <w:rPr>
          <w:sz w:val="17"/>
        </w:rPr>
      </w:pPr>
    </w:p>
    <w:p w14:paraId="7547AF8A" w14:textId="77777777" w:rsidR="00A71EEF" w:rsidRDefault="0081115D">
      <w:pPr>
        <w:pStyle w:val="a4"/>
        <w:numPr>
          <w:ilvl w:val="2"/>
          <w:numId w:val="851"/>
        </w:numPr>
        <w:tabs>
          <w:tab w:val="left" w:pos="1370"/>
        </w:tabs>
        <w:ind w:hanging="530"/>
        <w:rPr>
          <w:sz w:val="21"/>
        </w:rPr>
      </w:pPr>
      <w:r>
        <w:rPr>
          <w:spacing w:val="-3"/>
          <w:sz w:val="21"/>
        </w:rPr>
        <w:t>佩戴式灯具应具有与消防头盔匹配的固定连接件。</w:t>
      </w:r>
      <w:r>
        <w:rPr>
          <w:sz w:val="21"/>
        </w:rPr>
        <w:t xml:space="preserve"> </w:t>
      </w:r>
    </w:p>
    <w:p w14:paraId="5A262B28" w14:textId="77777777" w:rsidR="00A71EEF" w:rsidRDefault="00A71EEF">
      <w:pPr>
        <w:pStyle w:val="a3"/>
        <w:spacing w:before="2"/>
        <w:rPr>
          <w:sz w:val="18"/>
        </w:rPr>
      </w:pPr>
    </w:p>
    <w:p w14:paraId="05527846" w14:textId="77777777" w:rsidR="00A71EEF" w:rsidRDefault="0081115D">
      <w:pPr>
        <w:pStyle w:val="a4"/>
        <w:numPr>
          <w:ilvl w:val="1"/>
          <w:numId w:val="851"/>
        </w:numPr>
        <w:tabs>
          <w:tab w:val="left" w:pos="1159"/>
        </w:tabs>
        <w:ind w:hanging="319"/>
        <w:rPr>
          <w:b/>
          <w:sz w:val="21"/>
        </w:rPr>
      </w:pPr>
      <w:r>
        <w:rPr>
          <w:spacing w:val="-3"/>
          <w:sz w:val="21"/>
        </w:rPr>
        <w:t>功能要求</w:t>
      </w:r>
      <w:r>
        <w:rPr>
          <w:b/>
          <w:w w:val="99"/>
          <w:sz w:val="21"/>
        </w:rPr>
        <w:t xml:space="preserve"> </w:t>
      </w:r>
    </w:p>
    <w:p w14:paraId="47DCC7A2" w14:textId="77777777" w:rsidR="00A71EEF" w:rsidRDefault="00A71EEF">
      <w:pPr>
        <w:rPr>
          <w:sz w:val="21"/>
        </w:rPr>
        <w:sectPr w:rsidR="00A71EEF">
          <w:pgSz w:w="11910" w:h="16850"/>
          <w:pgMar w:top="1220" w:right="0" w:bottom="1420" w:left="1260" w:header="0" w:footer="1239" w:gutter="0"/>
          <w:cols w:space="720"/>
        </w:sectPr>
      </w:pPr>
    </w:p>
    <w:p w14:paraId="7BE36026" w14:textId="77777777" w:rsidR="00A71EEF" w:rsidRDefault="0081115D">
      <w:pPr>
        <w:pStyle w:val="a4"/>
        <w:numPr>
          <w:ilvl w:val="2"/>
          <w:numId w:val="851"/>
        </w:numPr>
        <w:tabs>
          <w:tab w:val="left" w:pos="1370"/>
        </w:tabs>
        <w:spacing w:before="47"/>
        <w:ind w:hanging="530"/>
        <w:rPr>
          <w:sz w:val="21"/>
        </w:rPr>
      </w:pPr>
      <w:r>
        <w:rPr>
          <w:spacing w:val="-3"/>
          <w:sz w:val="21"/>
        </w:rPr>
        <w:lastRenderedPageBreak/>
        <w:t>灯具应具有强、弱光切换功能。</w:t>
      </w:r>
      <w:r>
        <w:rPr>
          <w:sz w:val="21"/>
        </w:rPr>
        <w:t xml:space="preserve"> </w:t>
      </w:r>
    </w:p>
    <w:p w14:paraId="5CEC8AE3" w14:textId="77777777" w:rsidR="00A71EEF" w:rsidRDefault="00A71EEF">
      <w:pPr>
        <w:pStyle w:val="a3"/>
        <w:rPr>
          <w:sz w:val="18"/>
        </w:rPr>
      </w:pPr>
    </w:p>
    <w:p w14:paraId="799914AE" w14:textId="77777777" w:rsidR="00A71EEF" w:rsidRDefault="0081115D">
      <w:pPr>
        <w:pStyle w:val="a4"/>
        <w:numPr>
          <w:ilvl w:val="2"/>
          <w:numId w:val="851"/>
        </w:numPr>
        <w:tabs>
          <w:tab w:val="left" w:pos="1371"/>
        </w:tabs>
        <w:ind w:left="1370" w:hanging="531"/>
        <w:rPr>
          <w:sz w:val="21"/>
        </w:rPr>
      </w:pPr>
      <w:r>
        <w:rPr>
          <w:spacing w:val="-3"/>
          <w:sz w:val="21"/>
        </w:rPr>
        <w:t>灯具应具有闪烁方式的低电压告警功能。</w:t>
      </w:r>
      <w:r>
        <w:rPr>
          <w:sz w:val="21"/>
        </w:rPr>
        <w:t xml:space="preserve"> </w:t>
      </w:r>
    </w:p>
    <w:p w14:paraId="00BB5ED6" w14:textId="77777777" w:rsidR="00A71EEF" w:rsidRDefault="00A71EEF">
      <w:pPr>
        <w:pStyle w:val="a3"/>
        <w:rPr>
          <w:sz w:val="18"/>
        </w:rPr>
      </w:pPr>
    </w:p>
    <w:p w14:paraId="2F31E287" w14:textId="77777777" w:rsidR="00A71EEF" w:rsidRDefault="0081115D">
      <w:pPr>
        <w:pStyle w:val="a4"/>
        <w:numPr>
          <w:ilvl w:val="1"/>
          <w:numId w:val="851"/>
        </w:numPr>
        <w:tabs>
          <w:tab w:val="left" w:pos="1159"/>
        </w:tabs>
        <w:ind w:hanging="319"/>
        <w:rPr>
          <w:b/>
          <w:sz w:val="21"/>
        </w:rPr>
      </w:pPr>
      <w:r>
        <w:rPr>
          <w:spacing w:val="-3"/>
          <w:sz w:val="21"/>
        </w:rPr>
        <w:t>性能要求</w:t>
      </w:r>
      <w:r>
        <w:rPr>
          <w:b/>
          <w:w w:val="99"/>
          <w:sz w:val="21"/>
        </w:rPr>
        <w:t xml:space="preserve"> </w:t>
      </w:r>
    </w:p>
    <w:p w14:paraId="27CC2405" w14:textId="77777777" w:rsidR="00A71EEF" w:rsidRDefault="00A71EEF">
      <w:pPr>
        <w:pStyle w:val="a3"/>
        <w:spacing w:before="1"/>
        <w:rPr>
          <w:b/>
          <w:sz w:val="18"/>
        </w:rPr>
      </w:pPr>
    </w:p>
    <w:p w14:paraId="5D8EA407" w14:textId="77777777" w:rsidR="00A71EEF" w:rsidRDefault="0081115D">
      <w:pPr>
        <w:pStyle w:val="a4"/>
        <w:numPr>
          <w:ilvl w:val="2"/>
          <w:numId w:val="851"/>
        </w:numPr>
        <w:tabs>
          <w:tab w:val="left" w:pos="1370"/>
        </w:tabs>
        <w:spacing w:before="1"/>
        <w:ind w:hanging="530"/>
        <w:rPr>
          <w:sz w:val="21"/>
        </w:rPr>
      </w:pPr>
      <w:r>
        <w:rPr>
          <w:spacing w:val="-3"/>
          <w:sz w:val="21"/>
        </w:rPr>
        <w:t>外观及装配</w:t>
      </w:r>
      <w:r>
        <w:rPr>
          <w:sz w:val="21"/>
        </w:rPr>
        <w:t xml:space="preserve"> </w:t>
      </w:r>
    </w:p>
    <w:p w14:paraId="44377852" w14:textId="77777777" w:rsidR="00A71EEF" w:rsidRDefault="00A71EEF">
      <w:pPr>
        <w:pStyle w:val="a3"/>
        <w:spacing w:before="12"/>
        <w:rPr>
          <w:sz w:val="17"/>
        </w:rPr>
      </w:pPr>
    </w:p>
    <w:p w14:paraId="1F0FC6CB" w14:textId="77777777" w:rsidR="00A71EEF" w:rsidRDefault="0081115D">
      <w:pPr>
        <w:pStyle w:val="a4"/>
        <w:numPr>
          <w:ilvl w:val="3"/>
          <w:numId w:val="851"/>
        </w:numPr>
        <w:tabs>
          <w:tab w:val="left" w:pos="1583"/>
        </w:tabs>
        <w:rPr>
          <w:sz w:val="21"/>
        </w:rPr>
      </w:pPr>
      <w:r>
        <w:rPr>
          <w:spacing w:val="-3"/>
          <w:sz w:val="21"/>
        </w:rPr>
        <w:t>灯具外观应清洁、光滑、整齐，无污损、腐烛、划伤、毛刺、裂痕、变形现象。</w:t>
      </w:r>
      <w:r>
        <w:rPr>
          <w:sz w:val="21"/>
        </w:rPr>
        <w:t xml:space="preserve"> </w:t>
      </w:r>
    </w:p>
    <w:p w14:paraId="3B4A2DE4" w14:textId="77777777" w:rsidR="00A71EEF" w:rsidRDefault="00A71EEF">
      <w:pPr>
        <w:pStyle w:val="a3"/>
        <w:spacing w:before="12"/>
        <w:rPr>
          <w:sz w:val="17"/>
        </w:rPr>
      </w:pPr>
    </w:p>
    <w:p w14:paraId="27CF5CFF" w14:textId="77777777" w:rsidR="00A71EEF" w:rsidRDefault="0081115D">
      <w:pPr>
        <w:pStyle w:val="a4"/>
        <w:numPr>
          <w:ilvl w:val="3"/>
          <w:numId w:val="851"/>
        </w:numPr>
        <w:tabs>
          <w:tab w:val="left" w:pos="1583"/>
        </w:tabs>
        <w:spacing w:line="446" w:lineRule="auto"/>
        <w:ind w:left="418" w:right="1601" w:firstLine="422"/>
        <w:rPr>
          <w:sz w:val="21"/>
        </w:rPr>
      </w:pPr>
      <w:r>
        <w:rPr>
          <w:spacing w:val="-3"/>
          <w:sz w:val="21"/>
        </w:rPr>
        <w:t>灯具各零部件装配应完整、精确、牢靠，无缺损、错位、松动现象，开关操作应方便、灵活、可靠。</w:t>
      </w:r>
      <w:r>
        <w:rPr>
          <w:sz w:val="21"/>
        </w:rPr>
        <w:t xml:space="preserve"> </w:t>
      </w:r>
    </w:p>
    <w:p w14:paraId="592F5BF5" w14:textId="77777777" w:rsidR="00A71EEF" w:rsidRDefault="0081115D">
      <w:pPr>
        <w:pStyle w:val="a4"/>
        <w:numPr>
          <w:ilvl w:val="2"/>
          <w:numId w:val="851"/>
        </w:numPr>
        <w:tabs>
          <w:tab w:val="left" w:pos="1424"/>
        </w:tabs>
        <w:spacing w:before="1"/>
        <w:ind w:left="1423" w:hanging="584"/>
        <w:rPr>
          <w:sz w:val="21"/>
        </w:rPr>
      </w:pPr>
      <w:r>
        <w:rPr>
          <w:spacing w:val="-3"/>
          <w:sz w:val="21"/>
        </w:rPr>
        <w:t>质量</w:t>
      </w:r>
      <w:r>
        <w:rPr>
          <w:sz w:val="21"/>
        </w:rPr>
        <w:t xml:space="preserve"> </w:t>
      </w:r>
    </w:p>
    <w:p w14:paraId="08E79E20" w14:textId="77777777" w:rsidR="00A71EEF" w:rsidRDefault="00A71EEF">
      <w:pPr>
        <w:pStyle w:val="a3"/>
        <w:spacing w:before="12"/>
        <w:rPr>
          <w:sz w:val="17"/>
        </w:rPr>
      </w:pPr>
    </w:p>
    <w:p w14:paraId="38A9D61E" w14:textId="77777777" w:rsidR="00A71EEF" w:rsidRDefault="0081115D">
      <w:pPr>
        <w:pStyle w:val="a3"/>
        <w:ind w:left="838"/>
      </w:pPr>
      <w:r>
        <w:t>灯具的质量</w:t>
      </w:r>
      <w:r>
        <w:t>(</w:t>
      </w:r>
      <w:r>
        <w:t>含电池和附件</w:t>
      </w:r>
      <w:r>
        <w:t>)</w:t>
      </w:r>
      <w:r>
        <w:t>应符合表</w:t>
      </w:r>
      <w:r>
        <w:t xml:space="preserve"> 2 </w:t>
      </w:r>
      <w:r>
        <w:t>的规定。</w:t>
      </w:r>
      <w:r>
        <w:t xml:space="preserve"> </w:t>
      </w:r>
    </w:p>
    <w:p w14:paraId="668801FB" w14:textId="77777777" w:rsidR="00A71EEF" w:rsidRDefault="00A71EEF">
      <w:pPr>
        <w:pStyle w:val="a3"/>
        <w:rPr>
          <w:sz w:val="20"/>
        </w:rPr>
      </w:pPr>
    </w:p>
    <w:p w14:paraId="0AC0E629" w14:textId="77777777" w:rsidR="00A71EEF" w:rsidRDefault="0081115D">
      <w:pPr>
        <w:pStyle w:val="a3"/>
        <w:spacing w:before="11"/>
        <w:rPr>
          <w:sz w:val="18"/>
        </w:rPr>
      </w:pPr>
      <w:r>
        <w:rPr>
          <w:noProof/>
        </w:rPr>
        <w:drawing>
          <wp:anchor distT="0" distB="0" distL="0" distR="0" simplePos="0" relativeHeight="251492864" behindDoc="0" locked="0" layoutInCell="1" allowOverlap="1" wp14:anchorId="5B246367" wp14:editId="1E065816">
            <wp:simplePos x="0" y="0"/>
            <wp:positionH relativeFrom="page">
              <wp:posOffset>1265236</wp:posOffset>
            </wp:positionH>
            <wp:positionV relativeFrom="paragraph">
              <wp:posOffset>178212</wp:posOffset>
            </wp:positionV>
            <wp:extent cx="5010508" cy="1691639"/>
            <wp:effectExtent l="0" t="0" r="0" b="0"/>
            <wp:wrapTopAndBottom/>
            <wp:docPr id="97"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66.jpeg"/>
                    <pic:cNvPicPr/>
                  </pic:nvPicPr>
                  <pic:blipFill>
                    <a:blip r:embed="rId62" cstate="print"/>
                    <a:stretch>
                      <a:fillRect/>
                    </a:stretch>
                  </pic:blipFill>
                  <pic:spPr>
                    <a:xfrm>
                      <a:off x="0" y="0"/>
                      <a:ext cx="5010508" cy="1691639"/>
                    </a:xfrm>
                    <a:prstGeom prst="rect">
                      <a:avLst/>
                    </a:prstGeom>
                  </pic:spPr>
                </pic:pic>
              </a:graphicData>
            </a:graphic>
          </wp:anchor>
        </w:drawing>
      </w:r>
    </w:p>
    <w:p w14:paraId="254A5C8E" w14:textId="77777777" w:rsidR="00A71EEF" w:rsidRDefault="00A71EEF">
      <w:pPr>
        <w:pStyle w:val="a3"/>
        <w:rPr>
          <w:sz w:val="20"/>
        </w:rPr>
      </w:pPr>
    </w:p>
    <w:p w14:paraId="30CD8D20" w14:textId="77777777" w:rsidR="00A71EEF" w:rsidRDefault="00A71EEF">
      <w:pPr>
        <w:pStyle w:val="a3"/>
        <w:spacing w:before="9"/>
        <w:rPr>
          <w:sz w:val="14"/>
        </w:rPr>
      </w:pPr>
    </w:p>
    <w:p w14:paraId="58ABE0C9" w14:textId="77777777" w:rsidR="00A71EEF" w:rsidRDefault="0081115D">
      <w:pPr>
        <w:pStyle w:val="a4"/>
        <w:numPr>
          <w:ilvl w:val="2"/>
          <w:numId w:val="851"/>
        </w:numPr>
        <w:tabs>
          <w:tab w:val="left" w:pos="1370"/>
        </w:tabs>
        <w:ind w:hanging="530"/>
        <w:rPr>
          <w:sz w:val="21"/>
        </w:rPr>
      </w:pPr>
      <w:r>
        <w:rPr>
          <w:spacing w:val="-3"/>
          <w:sz w:val="21"/>
        </w:rPr>
        <w:t>照度</w:t>
      </w:r>
      <w:r>
        <w:rPr>
          <w:sz w:val="21"/>
        </w:rPr>
        <w:t xml:space="preserve"> </w:t>
      </w:r>
    </w:p>
    <w:p w14:paraId="54DB68E4" w14:textId="77777777" w:rsidR="00A71EEF" w:rsidRDefault="00A71EEF">
      <w:pPr>
        <w:pStyle w:val="a3"/>
        <w:spacing w:before="2"/>
        <w:rPr>
          <w:sz w:val="18"/>
        </w:rPr>
      </w:pPr>
    </w:p>
    <w:p w14:paraId="0053E5EC" w14:textId="77777777" w:rsidR="00A71EEF" w:rsidRDefault="0081115D">
      <w:pPr>
        <w:pStyle w:val="a3"/>
        <w:ind w:left="838"/>
      </w:pPr>
      <w:r>
        <w:rPr>
          <w:noProof/>
        </w:rPr>
        <w:drawing>
          <wp:anchor distT="0" distB="0" distL="0" distR="0" simplePos="0" relativeHeight="251493888" behindDoc="0" locked="0" layoutInCell="1" allowOverlap="1" wp14:anchorId="746E0C85" wp14:editId="3CE343ED">
            <wp:simplePos x="0" y="0"/>
            <wp:positionH relativeFrom="page">
              <wp:posOffset>1046381</wp:posOffset>
            </wp:positionH>
            <wp:positionV relativeFrom="paragraph">
              <wp:posOffset>202565</wp:posOffset>
            </wp:positionV>
            <wp:extent cx="5422422" cy="2019300"/>
            <wp:effectExtent l="0" t="0" r="0" b="0"/>
            <wp:wrapTopAndBottom/>
            <wp:docPr id="99"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67.jpeg"/>
                    <pic:cNvPicPr/>
                  </pic:nvPicPr>
                  <pic:blipFill>
                    <a:blip r:embed="rId63" cstate="print"/>
                    <a:stretch>
                      <a:fillRect/>
                    </a:stretch>
                  </pic:blipFill>
                  <pic:spPr>
                    <a:xfrm>
                      <a:off x="0" y="0"/>
                      <a:ext cx="5422422" cy="2019300"/>
                    </a:xfrm>
                    <a:prstGeom prst="rect">
                      <a:avLst/>
                    </a:prstGeom>
                  </pic:spPr>
                </pic:pic>
              </a:graphicData>
            </a:graphic>
          </wp:anchor>
        </w:drawing>
      </w:r>
      <w:r>
        <w:t>在按</w:t>
      </w:r>
      <w:r>
        <w:t xml:space="preserve"> 6.5 </w:t>
      </w:r>
      <w:r>
        <w:t>规定的方法进行试验时，灯具在稳定工作状态下的照度值应符合表</w:t>
      </w:r>
      <w:r>
        <w:t xml:space="preserve"> 3 </w:t>
      </w:r>
      <w:r>
        <w:t>的规定。</w:t>
      </w:r>
      <w:r>
        <w:t xml:space="preserve"> </w:t>
      </w:r>
    </w:p>
    <w:p w14:paraId="2DA84236" w14:textId="77777777" w:rsidR="00A71EEF" w:rsidRDefault="00A71EEF">
      <w:pPr>
        <w:pStyle w:val="a3"/>
        <w:spacing w:before="8"/>
        <w:rPr>
          <w:sz w:val="20"/>
        </w:rPr>
      </w:pPr>
    </w:p>
    <w:p w14:paraId="2B00E34B" w14:textId="77777777" w:rsidR="00A71EEF" w:rsidRDefault="0081115D">
      <w:pPr>
        <w:pStyle w:val="a4"/>
        <w:numPr>
          <w:ilvl w:val="2"/>
          <w:numId w:val="851"/>
        </w:numPr>
        <w:tabs>
          <w:tab w:val="left" w:pos="1371"/>
        </w:tabs>
        <w:ind w:left="1370" w:hanging="531"/>
        <w:rPr>
          <w:sz w:val="21"/>
        </w:rPr>
      </w:pPr>
      <w:r>
        <w:rPr>
          <w:spacing w:val="-3"/>
          <w:sz w:val="21"/>
        </w:rPr>
        <w:t>连续稳定工作时间</w:t>
      </w:r>
      <w:r>
        <w:rPr>
          <w:sz w:val="21"/>
        </w:rPr>
        <w:t xml:space="preserve"> </w:t>
      </w:r>
    </w:p>
    <w:p w14:paraId="5C1C75A8" w14:textId="77777777" w:rsidR="00A71EEF" w:rsidRDefault="00A71EEF">
      <w:pPr>
        <w:pStyle w:val="a3"/>
        <w:rPr>
          <w:sz w:val="18"/>
        </w:rPr>
      </w:pPr>
    </w:p>
    <w:p w14:paraId="4ADA9DD3" w14:textId="77777777" w:rsidR="00A71EEF" w:rsidRDefault="0081115D">
      <w:pPr>
        <w:pStyle w:val="a3"/>
        <w:spacing w:line="446" w:lineRule="auto"/>
        <w:ind w:left="840" w:right="5497" w:hanging="3"/>
      </w:pPr>
      <w:r>
        <w:t>灯具的连续稳定工作时间应符合表</w:t>
      </w:r>
      <w:r>
        <w:t xml:space="preserve"> 4 </w:t>
      </w:r>
      <w:r>
        <w:t>的规定。</w:t>
      </w:r>
      <w:r>
        <w:rPr>
          <w:b/>
        </w:rPr>
        <w:t xml:space="preserve">5.3.5 </w:t>
      </w:r>
      <w:r>
        <w:t>低电压报警时间</w:t>
      </w:r>
      <w:r>
        <w:t xml:space="preserve"> </w:t>
      </w:r>
    </w:p>
    <w:p w14:paraId="3FE581CB" w14:textId="77777777" w:rsidR="00A71EEF" w:rsidRDefault="0081115D">
      <w:pPr>
        <w:pStyle w:val="a3"/>
        <w:spacing w:line="320" w:lineRule="exact"/>
        <w:ind w:left="838"/>
      </w:pPr>
      <w:r>
        <w:t>灯具的低电压报警时间应为</w:t>
      </w:r>
      <w:r>
        <w:t xml:space="preserve"> 10</w:t>
      </w:r>
      <w:r>
        <w:rPr>
          <w:rFonts w:ascii="微软雅黑" w:eastAsia="微软雅黑" w:hint="eastAsia"/>
        </w:rPr>
        <w:t>〜</w:t>
      </w:r>
      <w:r>
        <w:t>20s</w:t>
      </w:r>
      <w:r>
        <w:t>。</w:t>
      </w:r>
      <w:r>
        <w:t xml:space="preserve"> </w:t>
      </w:r>
    </w:p>
    <w:p w14:paraId="62B10FED" w14:textId="77777777" w:rsidR="00A71EEF" w:rsidRDefault="00A71EEF">
      <w:pPr>
        <w:spacing w:line="320" w:lineRule="exact"/>
        <w:sectPr w:rsidR="00A71EEF">
          <w:pgSz w:w="11910" w:h="16850"/>
          <w:pgMar w:top="1220" w:right="0" w:bottom="1420" w:left="1260" w:header="0" w:footer="1239" w:gutter="0"/>
          <w:cols w:space="720"/>
        </w:sectPr>
      </w:pPr>
    </w:p>
    <w:p w14:paraId="3DBCE65E" w14:textId="77777777" w:rsidR="00A71EEF" w:rsidRDefault="0081115D">
      <w:pPr>
        <w:pStyle w:val="a4"/>
        <w:numPr>
          <w:ilvl w:val="2"/>
          <w:numId w:val="850"/>
        </w:numPr>
        <w:tabs>
          <w:tab w:val="left" w:pos="1371"/>
        </w:tabs>
        <w:spacing w:before="47"/>
        <w:rPr>
          <w:sz w:val="21"/>
        </w:rPr>
      </w:pPr>
      <w:r>
        <w:rPr>
          <w:spacing w:val="-3"/>
          <w:sz w:val="21"/>
        </w:rPr>
        <w:lastRenderedPageBreak/>
        <w:t>低电压状态下连续工作时间</w:t>
      </w:r>
      <w:r>
        <w:rPr>
          <w:sz w:val="21"/>
        </w:rPr>
        <w:t xml:space="preserve"> </w:t>
      </w:r>
    </w:p>
    <w:p w14:paraId="12DE73E0" w14:textId="77777777" w:rsidR="00A71EEF" w:rsidRDefault="00A71EEF">
      <w:pPr>
        <w:pStyle w:val="a3"/>
        <w:rPr>
          <w:sz w:val="20"/>
        </w:rPr>
      </w:pPr>
    </w:p>
    <w:p w14:paraId="7B10160A" w14:textId="77777777" w:rsidR="00A71EEF" w:rsidRDefault="00A71EEF">
      <w:pPr>
        <w:pStyle w:val="a3"/>
        <w:rPr>
          <w:sz w:val="20"/>
        </w:rPr>
      </w:pPr>
    </w:p>
    <w:p w14:paraId="332A6A48" w14:textId="77777777" w:rsidR="00A71EEF" w:rsidRDefault="00A71EEF">
      <w:pPr>
        <w:pStyle w:val="a3"/>
        <w:rPr>
          <w:sz w:val="17"/>
        </w:rPr>
      </w:pPr>
    </w:p>
    <w:p w14:paraId="7D3C0E51" w14:textId="77777777" w:rsidR="00A71EEF" w:rsidRDefault="0081115D">
      <w:pPr>
        <w:pStyle w:val="a3"/>
        <w:ind w:left="418"/>
      </w:pPr>
      <w:r>
        <w:t>灯具在低电压状态下连续工作时间应符合表</w:t>
      </w:r>
      <w:r>
        <w:t xml:space="preserve"> 4 </w:t>
      </w:r>
      <w:r>
        <w:t>的规定。</w:t>
      </w:r>
      <w:r>
        <w:t xml:space="preserve"> </w:t>
      </w:r>
    </w:p>
    <w:p w14:paraId="03FE222E" w14:textId="77777777" w:rsidR="00A71EEF" w:rsidRDefault="0081115D">
      <w:pPr>
        <w:pStyle w:val="a3"/>
        <w:spacing w:before="4"/>
        <w:rPr>
          <w:sz w:val="29"/>
        </w:rPr>
      </w:pPr>
      <w:r>
        <w:rPr>
          <w:noProof/>
        </w:rPr>
        <w:drawing>
          <wp:anchor distT="0" distB="0" distL="0" distR="0" simplePos="0" relativeHeight="251494912" behindDoc="0" locked="0" layoutInCell="1" allowOverlap="1" wp14:anchorId="75B1AD71" wp14:editId="3C57B9CB">
            <wp:simplePos x="0" y="0"/>
            <wp:positionH relativeFrom="page">
              <wp:posOffset>1189221</wp:posOffset>
            </wp:positionH>
            <wp:positionV relativeFrom="paragraph">
              <wp:posOffset>263616</wp:posOffset>
            </wp:positionV>
            <wp:extent cx="5222996" cy="1697354"/>
            <wp:effectExtent l="0" t="0" r="0" b="0"/>
            <wp:wrapTopAndBottom/>
            <wp:docPr id="101"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68.jpeg"/>
                    <pic:cNvPicPr/>
                  </pic:nvPicPr>
                  <pic:blipFill>
                    <a:blip r:embed="rId64" cstate="print"/>
                    <a:stretch>
                      <a:fillRect/>
                    </a:stretch>
                  </pic:blipFill>
                  <pic:spPr>
                    <a:xfrm>
                      <a:off x="0" y="0"/>
                      <a:ext cx="5222996" cy="1697354"/>
                    </a:xfrm>
                    <a:prstGeom prst="rect">
                      <a:avLst/>
                    </a:prstGeom>
                  </pic:spPr>
                </pic:pic>
              </a:graphicData>
            </a:graphic>
          </wp:anchor>
        </w:drawing>
      </w:r>
    </w:p>
    <w:p w14:paraId="4771EFCA" w14:textId="77777777" w:rsidR="00A71EEF" w:rsidRDefault="00A71EEF">
      <w:pPr>
        <w:pStyle w:val="a3"/>
        <w:spacing w:before="8"/>
        <w:rPr>
          <w:sz w:val="20"/>
        </w:rPr>
      </w:pPr>
    </w:p>
    <w:p w14:paraId="7908F13F" w14:textId="77777777" w:rsidR="00A71EEF" w:rsidRDefault="0081115D">
      <w:pPr>
        <w:pStyle w:val="a4"/>
        <w:numPr>
          <w:ilvl w:val="2"/>
          <w:numId w:val="850"/>
        </w:numPr>
        <w:tabs>
          <w:tab w:val="left" w:pos="1371"/>
        </w:tabs>
        <w:rPr>
          <w:sz w:val="21"/>
        </w:rPr>
      </w:pPr>
      <w:r>
        <w:rPr>
          <w:spacing w:val="-3"/>
          <w:sz w:val="21"/>
        </w:rPr>
        <w:t>绝缘性能</w:t>
      </w:r>
      <w:r>
        <w:rPr>
          <w:sz w:val="21"/>
        </w:rPr>
        <w:t xml:space="preserve"> </w:t>
      </w:r>
    </w:p>
    <w:p w14:paraId="671BE80F" w14:textId="77777777" w:rsidR="00A71EEF" w:rsidRDefault="00A71EEF">
      <w:pPr>
        <w:pStyle w:val="a3"/>
        <w:spacing w:before="2"/>
        <w:rPr>
          <w:sz w:val="18"/>
        </w:rPr>
      </w:pPr>
    </w:p>
    <w:p w14:paraId="34A27020" w14:textId="77777777" w:rsidR="00A71EEF" w:rsidRDefault="0081115D">
      <w:pPr>
        <w:pStyle w:val="a3"/>
        <w:spacing w:line="446" w:lineRule="auto"/>
        <w:ind w:left="418" w:right="1392" w:firstLine="419"/>
      </w:pPr>
      <w:r>
        <w:t>在常温环境下，灯具带电端子与外壳间的绝缘电阻应不小于</w:t>
      </w:r>
      <w:r>
        <w:t xml:space="preserve"> 20MΩ</w:t>
      </w:r>
      <w:r>
        <w:t>，交变湿热试验后应不小于</w:t>
      </w:r>
      <w:r>
        <w:t xml:space="preserve"> 5MΩ</w:t>
      </w:r>
      <w:r>
        <w:t>。</w:t>
      </w:r>
      <w:r>
        <w:t xml:space="preserve"> </w:t>
      </w:r>
    </w:p>
    <w:p w14:paraId="56B44BF2" w14:textId="77777777" w:rsidR="00A71EEF" w:rsidRDefault="0081115D">
      <w:pPr>
        <w:pStyle w:val="a4"/>
        <w:numPr>
          <w:ilvl w:val="2"/>
          <w:numId w:val="850"/>
        </w:numPr>
        <w:tabs>
          <w:tab w:val="left" w:pos="1371"/>
        </w:tabs>
        <w:spacing w:line="267" w:lineRule="exact"/>
        <w:rPr>
          <w:sz w:val="21"/>
        </w:rPr>
      </w:pPr>
      <w:r>
        <w:rPr>
          <w:spacing w:val="-3"/>
          <w:sz w:val="21"/>
        </w:rPr>
        <w:t>耐电压性能</w:t>
      </w:r>
      <w:r>
        <w:rPr>
          <w:sz w:val="21"/>
        </w:rPr>
        <w:t xml:space="preserve"> </w:t>
      </w:r>
    </w:p>
    <w:p w14:paraId="5DD27853" w14:textId="77777777" w:rsidR="00A71EEF" w:rsidRDefault="00A71EEF">
      <w:pPr>
        <w:pStyle w:val="a3"/>
        <w:spacing w:before="2"/>
        <w:rPr>
          <w:sz w:val="18"/>
        </w:rPr>
      </w:pPr>
    </w:p>
    <w:p w14:paraId="6E5EFA31" w14:textId="77777777" w:rsidR="00A71EEF" w:rsidRDefault="0081115D">
      <w:pPr>
        <w:pStyle w:val="a3"/>
        <w:spacing w:line="446" w:lineRule="auto"/>
        <w:ind w:left="418" w:right="1507" w:firstLine="419"/>
      </w:pPr>
      <w:r>
        <w:rPr>
          <w:spacing w:val="-8"/>
        </w:rPr>
        <w:t>灯具应能耐受频率为</w:t>
      </w:r>
      <w:r>
        <w:rPr>
          <w:spacing w:val="-8"/>
        </w:rPr>
        <w:t xml:space="preserve"> </w:t>
      </w:r>
      <w:r>
        <w:t>50Hz±0.5Hz</w:t>
      </w:r>
      <w:r>
        <w:rPr>
          <w:spacing w:val="-9"/>
        </w:rPr>
        <w:t>，交流电压为</w:t>
      </w:r>
      <w:r>
        <w:rPr>
          <w:spacing w:val="-9"/>
        </w:rPr>
        <w:t xml:space="preserve"> </w:t>
      </w:r>
      <w:r>
        <w:t>500V±50V</w:t>
      </w:r>
      <w:r>
        <w:rPr>
          <w:spacing w:val="-14"/>
        </w:rPr>
        <w:t>，历时</w:t>
      </w:r>
      <w:r>
        <w:rPr>
          <w:spacing w:val="-14"/>
        </w:rPr>
        <w:t xml:space="preserve"> </w:t>
      </w:r>
      <w:r>
        <w:t>60s±5s</w:t>
      </w:r>
      <w:r>
        <w:rPr>
          <w:spacing w:val="-8"/>
        </w:rPr>
        <w:t xml:space="preserve"> </w:t>
      </w:r>
      <w:r>
        <w:rPr>
          <w:spacing w:val="-8"/>
        </w:rPr>
        <w:t>的耐电压试验。</w:t>
      </w:r>
      <w:r>
        <w:rPr>
          <w:spacing w:val="-5"/>
        </w:rPr>
        <w:t>试验过程中，灯具不应出现表面飞弧和击穿现象。试验结束后，灯具应能正常进行开、关和</w:t>
      </w:r>
      <w:r>
        <w:rPr>
          <w:spacing w:val="-5"/>
        </w:rPr>
        <w:t xml:space="preserve">  </w:t>
      </w:r>
      <w:r>
        <w:rPr>
          <w:spacing w:val="-4"/>
        </w:rPr>
        <w:t>强、弱光切换。</w:t>
      </w:r>
      <w:r>
        <w:t xml:space="preserve"> </w:t>
      </w:r>
    </w:p>
    <w:p w14:paraId="4CB1152C" w14:textId="77777777" w:rsidR="00A71EEF" w:rsidRDefault="0081115D">
      <w:pPr>
        <w:pStyle w:val="a4"/>
        <w:numPr>
          <w:ilvl w:val="2"/>
          <w:numId w:val="850"/>
        </w:numPr>
        <w:tabs>
          <w:tab w:val="left" w:pos="1370"/>
        </w:tabs>
        <w:spacing w:line="268" w:lineRule="exact"/>
        <w:ind w:left="1369" w:hanging="530"/>
        <w:rPr>
          <w:sz w:val="21"/>
        </w:rPr>
      </w:pPr>
      <w:r>
        <w:rPr>
          <w:spacing w:val="-3"/>
          <w:sz w:val="21"/>
        </w:rPr>
        <w:t>耐气候环境性能</w:t>
      </w:r>
      <w:r>
        <w:rPr>
          <w:sz w:val="21"/>
        </w:rPr>
        <w:t xml:space="preserve"> </w:t>
      </w:r>
    </w:p>
    <w:p w14:paraId="40861E10" w14:textId="77777777" w:rsidR="00A71EEF" w:rsidRDefault="00A71EEF">
      <w:pPr>
        <w:pStyle w:val="a3"/>
        <w:rPr>
          <w:sz w:val="18"/>
        </w:rPr>
      </w:pPr>
    </w:p>
    <w:p w14:paraId="743C26EC" w14:textId="77777777" w:rsidR="00A71EEF" w:rsidRDefault="0081115D">
      <w:pPr>
        <w:pStyle w:val="a3"/>
        <w:spacing w:line="446" w:lineRule="auto"/>
        <w:ind w:left="418" w:right="1609" w:firstLine="419"/>
      </w:pPr>
      <w:r>
        <w:rPr>
          <w:spacing w:val="-7"/>
        </w:rPr>
        <w:t>灯具应能耐受表</w:t>
      </w:r>
      <w:r>
        <w:rPr>
          <w:spacing w:val="-7"/>
        </w:rPr>
        <w:t xml:space="preserve"> </w:t>
      </w:r>
      <w:r>
        <w:t>5</w:t>
      </w:r>
      <w:r>
        <w:rPr>
          <w:spacing w:val="-7"/>
        </w:rPr>
        <w:t xml:space="preserve"> </w:t>
      </w:r>
      <w:r>
        <w:rPr>
          <w:spacing w:val="-7"/>
        </w:rPr>
        <w:t>所规定的气候环境条件下的各项试验。每项试验后，灯具应能正常进行</w:t>
      </w:r>
      <w:r>
        <w:rPr>
          <w:spacing w:val="-5"/>
        </w:rPr>
        <w:t>开、关和强、弱光切换。</w:t>
      </w:r>
      <w:r>
        <w:rPr>
          <w:spacing w:val="-5"/>
        </w:rPr>
        <w:t xml:space="preserve"> </w:t>
      </w:r>
    </w:p>
    <w:p w14:paraId="42AE2724" w14:textId="77777777" w:rsidR="00A71EEF" w:rsidRDefault="00A71EEF">
      <w:pPr>
        <w:pStyle w:val="a3"/>
        <w:rPr>
          <w:sz w:val="20"/>
        </w:rPr>
      </w:pPr>
    </w:p>
    <w:p w14:paraId="2E207036" w14:textId="77777777" w:rsidR="00A71EEF" w:rsidRDefault="00A71EEF">
      <w:pPr>
        <w:pStyle w:val="a3"/>
        <w:rPr>
          <w:sz w:val="20"/>
        </w:rPr>
      </w:pPr>
    </w:p>
    <w:p w14:paraId="2D7DA32E" w14:textId="77777777" w:rsidR="00A71EEF" w:rsidRDefault="00A71EEF">
      <w:pPr>
        <w:pStyle w:val="a3"/>
        <w:rPr>
          <w:sz w:val="20"/>
        </w:rPr>
      </w:pPr>
    </w:p>
    <w:p w14:paraId="47E9F433" w14:textId="77777777" w:rsidR="00A71EEF" w:rsidRDefault="00A71EEF">
      <w:pPr>
        <w:pStyle w:val="a3"/>
        <w:rPr>
          <w:sz w:val="20"/>
        </w:rPr>
      </w:pPr>
    </w:p>
    <w:p w14:paraId="754A3638" w14:textId="77777777" w:rsidR="00A71EEF" w:rsidRDefault="00A71EEF">
      <w:pPr>
        <w:pStyle w:val="a3"/>
        <w:rPr>
          <w:sz w:val="20"/>
        </w:rPr>
      </w:pPr>
    </w:p>
    <w:p w14:paraId="3B0EFF8D" w14:textId="77777777" w:rsidR="00A71EEF" w:rsidRDefault="00A71EEF">
      <w:pPr>
        <w:pStyle w:val="a3"/>
        <w:spacing w:before="1"/>
        <w:rPr>
          <w:sz w:val="17"/>
        </w:rPr>
      </w:pPr>
    </w:p>
    <w:p w14:paraId="496E8BC7" w14:textId="77777777" w:rsidR="00A71EEF" w:rsidRDefault="0081115D">
      <w:pPr>
        <w:pStyle w:val="a3"/>
        <w:ind w:left="838"/>
      </w:pPr>
      <w:r>
        <w:t xml:space="preserve"> </w:t>
      </w:r>
    </w:p>
    <w:p w14:paraId="30F53D0B" w14:textId="77777777" w:rsidR="00A71EEF" w:rsidRDefault="00A71EEF">
      <w:pPr>
        <w:sectPr w:rsidR="00A71EEF">
          <w:footerReference w:type="default" r:id="rId65"/>
          <w:pgSz w:w="11910" w:h="16850"/>
          <w:pgMar w:top="1220" w:right="0" w:bottom="3880" w:left="1260" w:header="0" w:footer="3692" w:gutter="0"/>
          <w:pgNumType w:start="868"/>
          <w:cols w:space="720"/>
        </w:sectPr>
      </w:pPr>
    </w:p>
    <w:p w14:paraId="4B338A1D" w14:textId="77777777" w:rsidR="00A71EEF" w:rsidRDefault="00A71EEF">
      <w:pPr>
        <w:pStyle w:val="a3"/>
        <w:rPr>
          <w:sz w:val="20"/>
        </w:rPr>
      </w:pPr>
    </w:p>
    <w:p w14:paraId="13466071" w14:textId="77777777" w:rsidR="00A71EEF" w:rsidRDefault="00A71EEF">
      <w:pPr>
        <w:pStyle w:val="a3"/>
        <w:rPr>
          <w:sz w:val="20"/>
        </w:rPr>
      </w:pPr>
    </w:p>
    <w:p w14:paraId="0DEE83BB" w14:textId="77777777" w:rsidR="00A71EEF" w:rsidRDefault="00A71EEF">
      <w:pPr>
        <w:pStyle w:val="a3"/>
        <w:rPr>
          <w:sz w:val="20"/>
        </w:rPr>
      </w:pPr>
    </w:p>
    <w:p w14:paraId="124044A6" w14:textId="77777777" w:rsidR="00A71EEF" w:rsidRDefault="00A71EEF">
      <w:pPr>
        <w:pStyle w:val="a3"/>
        <w:spacing w:before="7"/>
        <w:rPr>
          <w:sz w:val="28"/>
        </w:rPr>
      </w:pPr>
    </w:p>
    <w:p w14:paraId="4696521F" w14:textId="77777777" w:rsidR="00A71EEF" w:rsidRDefault="0081115D">
      <w:pPr>
        <w:pStyle w:val="a3"/>
        <w:ind w:left="493"/>
        <w:rPr>
          <w:sz w:val="20"/>
        </w:rPr>
      </w:pPr>
      <w:r>
        <w:rPr>
          <w:noProof/>
          <w:sz w:val="20"/>
        </w:rPr>
        <w:drawing>
          <wp:inline distT="0" distB="0" distL="0" distR="0" wp14:anchorId="0C7F7066" wp14:editId="1007AFC1">
            <wp:extent cx="5343389" cy="5324475"/>
            <wp:effectExtent l="0" t="0" r="0" b="0"/>
            <wp:docPr id="103"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69.jpeg"/>
                    <pic:cNvPicPr/>
                  </pic:nvPicPr>
                  <pic:blipFill>
                    <a:blip r:embed="rId66" cstate="print"/>
                    <a:stretch>
                      <a:fillRect/>
                    </a:stretch>
                  </pic:blipFill>
                  <pic:spPr>
                    <a:xfrm>
                      <a:off x="0" y="0"/>
                      <a:ext cx="5343389" cy="5324475"/>
                    </a:xfrm>
                    <a:prstGeom prst="rect">
                      <a:avLst/>
                    </a:prstGeom>
                  </pic:spPr>
                </pic:pic>
              </a:graphicData>
            </a:graphic>
          </wp:inline>
        </w:drawing>
      </w:r>
    </w:p>
    <w:p w14:paraId="0FD9437C" w14:textId="77777777" w:rsidR="00A71EEF" w:rsidRDefault="00A71EEF">
      <w:pPr>
        <w:pStyle w:val="a3"/>
        <w:spacing w:before="6"/>
        <w:rPr>
          <w:sz w:val="9"/>
        </w:rPr>
      </w:pPr>
    </w:p>
    <w:p w14:paraId="1CFEA5D2" w14:textId="77777777" w:rsidR="00A71EEF" w:rsidRDefault="0081115D">
      <w:pPr>
        <w:pStyle w:val="a4"/>
        <w:numPr>
          <w:ilvl w:val="2"/>
          <w:numId w:val="850"/>
        </w:numPr>
        <w:tabs>
          <w:tab w:val="left" w:pos="1478"/>
        </w:tabs>
        <w:spacing w:before="72"/>
        <w:ind w:left="1477" w:hanging="638"/>
        <w:rPr>
          <w:sz w:val="21"/>
        </w:rPr>
      </w:pPr>
      <w:r>
        <w:rPr>
          <w:spacing w:val="-3"/>
          <w:sz w:val="21"/>
        </w:rPr>
        <w:t>耐机械环境性能</w:t>
      </w:r>
      <w:r>
        <w:rPr>
          <w:sz w:val="21"/>
        </w:rPr>
        <w:t xml:space="preserve"> </w:t>
      </w:r>
    </w:p>
    <w:p w14:paraId="702C1E7C" w14:textId="77777777" w:rsidR="00A71EEF" w:rsidRDefault="00A71EEF">
      <w:pPr>
        <w:pStyle w:val="a3"/>
        <w:spacing w:before="12"/>
        <w:rPr>
          <w:sz w:val="17"/>
        </w:rPr>
      </w:pPr>
    </w:p>
    <w:p w14:paraId="679A79E6" w14:textId="77777777" w:rsidR="00A71EEF" w:rsidRDefault="0081115D">
      <w:pPr>
        <w:pStyle w:val="a3"/>
        <w:spacing w:line="446" w:lineRule="auto"/>
        <w:ind w:left="418" w:right="1608" w:firstLine="419"/>
      </w:pPr>
      <w:r>
        <w:rPr>
          <w:spacing w:val="-7"/>
        </w:rPr>
        <w:t>灯具应能耐受住表</w:t>
      </w:r>
      <w:r>
        <w:rPr>
          <w:spacing w:val="-7"/>
        </w:rPr>
        <w:t xml:space="preserve"> </w:t>
      </w:r>
      <w:r>
        <w:t>6</w:t>
      </w:r>
      <w:r>
        <w:rPr>
          <w:spacing w:val="-7"/>
        </w:rPr>
        <w:t xml:space="preserve"> </w:t>
      </w:r>
      <w:r>
        <w:rPr>
          <w:spacing w:val="-7"/>
        </w:rPr>
        <w:t>所规定的机械环境条件下各项试验。每项试验后，灯具应无机械损伤</w:t>
      </w:r>
      <w:r>
        <w:rPr>
          <w:spacing w:val="-5"/>
        </w:rPr>
        <w:t>和紧固件松动现象，且能正常进行开、关和强、弱光切换。</w:t>
      </w:r>
      <w:r>
        <w:t xml:space="preserve"> </w:t>
      </w:r>
    </w:p>
    <w:p w14:paraId="2C435A53" w14:textId="77777777" w:rsidR="00A71EEF" w:rsidRDefault="00A71EEF">
      <w:pPr>
        <w:spacing w:line="446" w:lineRule="auto"/>
        <w:sectPr w:rsidR="00A71EEF">
          <w:pgSz w:w="11910" w:h="16850"/>
          <w:pgMar w:top="1600" w:right="0" w:bottom="3980" w:left="1260" w:header="0" w:footer="3692" w:gutter="0"/>
          <w:cols w:space="720"/>
        </w:sectPr>
      </w:pPr>
    </w:p>
    <w:p w14:paraId="2EECFFF7" w14:textId="77777777" w:rsidR="00A71EEF" w:rsidRDefault="00A71EEF">
      <w:pPr>
        <w:pStyle w:val="a3"/>
        <w:spacing w:before="9"/>
        <w:rPr>
          <w:sz w:val="24"/>
        </w:rPr>
      </w:pPr>
    </w:p>
    <w:p w14:paraId="55246A17" w14:textId="77777777" w:rsidR="00A71EEF" w:rsidRDefault="0081115D">
      <w:pPr>
        <w:pStyle w:val="a3"/>
        <w:ind w:left="844"/>
        <w:rPr>
          <w:sz w:val="20"/>
        </w:rPr>
      </w:pPr>
      <w:r>
        <w:rPr>
          <w:noProof/>
          <w:sz w:val="20"/>
        </w:rPr>
        <w:drawing>
          <wp:inline distT="0" distB="0" distL="0" distR="0" wp14:anchorId="11EE4985" wp14:editId="7D8734F3">
            <wp:extent cx="4713303" cy="3714750"/>
            <wp:effectExtent l="0" t="0" r="0" b="0"/>
            <wp:docPr id="105"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70.jpeg"/>
                    <pic:cNvPicPr/>
                  </pic:nvPicPr>
                  <pic:blipFill>
                    <a:blip r:embed="rId67" cstate="print"/>
                    <a:stretch>
                      <a:fillRect/>
                    </a:stretch>
                  </pic:blipFill>
                  <pic:spPr>
                    <a:xfrm>
                      <a:off x="0" y="0"/>
                      <a:ext cx="4713303" cy="3714750"/>
                    </a:xfrm>
                    <a:prstGeom prst="rect">
                      <a:avLst/>
                    </a:prstGeom>
                  </pic:spPr>
                </pic:pic>
              </a:graphicData>
            </a:graphic>
          </wp:inline>
        </w:drawing>
      </w:r>
    </w:p>
    <w:p w14:paraId="7106D982" w14:textId="77777777" w:rsidR="00A71EEF" w:rsidRDefault="00A71EEF">
      <w:pPr>
        <w:pStyle w:val="a3"/>
        <w:rPr>
          <w:sz w:val="20"/>
        </w:rPr>
      </w:pPr>
    </w:p>
    <w:p w14:paraId="2ED3324F" w14:textId="77777777" w:rsidR="00A71EEF" w:rsidRDefault="00A71EEF">
      <w:pPr>
        <w:pStyle w:val="a3"/>
        <w:rPr>
          <w:sz w:val="20"/>
        </w:rPr>
      </w:pPr>
    </w:p>
    <w:p w14:paraId="773DD1B2" w14:textId="77777777" w:rsidR="00A71EEF" w:rsidRDefault="00A71EEF">
      <w:pPr>
        <w:pStyle w:val="a3"/>
        <w:spacing w:before="4"/>
        <w:rPr>
          <w:sz w:val="16"/>
        </w:rPr>
      </w:pPr>
    </w:p>
    <w:p w14:paraId="19A28111" w14:textId="77777777" w:rsidR="00A71EEF" w:rsidRDefault="0081115D">
      <w:pPr>
        <w:pStyle w:val="a4"/>
        <w:numPr>
          <w:ilvl w:val="2"/>
          <w:numId w:val="850"/>
        </w:numPr>
        <w:tabs>
          <w:tab w:val="left" w:pos="1475"/>
        </w:tabs>
        <w:ind w:left="1474" w:hanging="637"/>
        <w:rPr>
          <w:sz w:val="21"/>
        </w:rPr>
      </w:pPr>
      <w:r>
        <w:rPr>
          <w:spacing w:val="-3"/>
          <w:sz w:val="21"/>
        </w:rPr>
        <w:t>开关可靠性</w:t>
      </w:r>
      <w:r>
        <w:rPr>
          <w:spacing w:val="-3"/>
          <w:sz w:val="21"/>
        </w:rPr>
        <w:t xml:space="preserve"> </w:t>
      </w:r>
    </w:p>
    <w:p w14:paraId="0A3E3621" w14:textId="77777777" w:rsidR="00A71EEF" w:rsidRDefault="00A71EEF">
      <w:pPr>
        <w:pStyle w:val="a3"/>
        <w:spacing w:before="12"/>
        <w:rPr>
          <w:sz w:val="17"/>
        </w:rPr>
      </w:pPr>
    </w:p>
    <w:p w14:paraId="0FAF585F" w14:textId="77777777" w:rsidR="00A71EEF" w:rsidRDefault="0081115D">
      <w:pPr>
        <w:pStyle w:val="a3"/>
        <w:spacing w:line="446" w:lineRule="auto"/>
        <w:ind w:left="418" w:right="1608" w:firstLine="419"/>
      </w:pPr>
      <w:r>
        <w:rPr>
          <w:spacing w:val="-7"/>
        </w:rPr>
        <w:t>灯具的开关经</w:t>
      </w:r>
      <w:r>
        <w:rPr>
          <w:spacing w:val="-7"/>
        </w:rPr>
        <w:t xml:space="preserve"> </w:t>
      </w:r>
      <w:r>
        <w:t>50000</w:t>
      </w:r>
      <w:r>
        <w:rPr>
          <w:spacing w:val="-7"/>
        </w:rPr>
        <w:t xml:space="preserve"> </w:t>
      </w:r>
      <w:r>
        <w:rPr>
          <w:spacing w:val="-7"/>
        </w:rPr>
        <w:t>次可靠性试验后应保持完好，且灯具应能正常点亮并实现强、弱光切</w:t>
      </w:r>
      <w:r>
        <w:rPr>
          <w:spacing w:val="-5"/>
        </w:rPr>
        <w:t>换。</w:t>
      </w:r>
      <w:r>
        <w:t xml:space="preserve"> </w:t>
      </w:r>
    </w:p>
    <w:p w14:paraId="54DDF9D2" w14:textId="77777777" w:rsidR="00A71EEF" w:rsidRDefault="0081115D">
      <w:pPr>
        <w:pStyle w:val="a4"/>
        <w:numPr>
          <w:ilvl w:val="2"/>
          <w:numId w:val="850"/>
        </w:numPr>
        <w:tabs>
          <w:tab w:val="left" w:pos="1478"/>
        </w:tabs>
        <w:ind w:left="1477" w:hanging="638"/>
        <w:rPr>
          <w:sz w:val="21"/>
        </w:rPr>
      </w:pPr>
      <w:r>
        <w:rPr>
          <w:spacing w:val="-3"/>
          <w:sz w:val="21"/>
        </w:rPr>
        <w:t>外壳防护等级</w:t>
      </w:r>
      <w:r>
        <w:rPr>
          <w:spacing w:val="-3"/>
          <w:sz w:val="21"/>
        </w:rPr>
        <w:t xml:space="preserve"> </w:t>
      </w:r>
    </w:p>
    <w:p w14:paraId="62C5C7CD" w14:textId="77777777" w:rsidR="00A71EEF" w:rsidRDefault="00A71EEF">
      <w:pPr>
        <w:pStyle w:val="a3"/>
        <w:spacing w:before="12"/>
        <w:rPr>
          <w:sz w:val="17"/>
        </w:rPr>
      </w:pPr>
    </w:p>
    <w:p w14:paraId="588EED7F" w14:textId="77777777" w:rsidR="00A71EEF" w:rsidRDefault="0081115D">
      <w:pPr>
        <w:pStyle w:val="a3"/>
        <w:spacing w:line="448" w:lineRule="auto"/>
        <w:ind w:left="418" w:right="1507" w:firstLine="419"/>
      </w:pPr>
      <w:r>
        <w:rPr>
          <w:spacing w:val="-8"/>
        </w:rPr>
        <w:t>灯具的外壳防护等级应为</w:t>
      </w:r>
      <w:r>
        <w:rPr>
          <w:spacing w:val="-8"/>
        </w:rPr>
        <w:t xml:space="preserve"> </w:t>
      </w:r>
      <w:r>
        <w:t>GB/T 4208-2008</w:t>
      </w:r>
      <w:r>
        <w:rPr>
          <w:spacing w:val="-23"/>
        </w:rPr>
        <w:t xml:space="preserve"> </w:t>
      </w:r>
      <w:r>
        <w:rPr>
          <w:spacing w:val="-23"/>
        </w:rPr>
        <w:t>规定的</w:t>
      </w:r>
      <w:r>
        <w:rPr>
          <w:spacing w:val="-23"/>
        </w:rPr>
        <w:t xml:space="preserve"> </w:t>
      </w:r>
      <w:r>
        <w:rPr>
          <w:spacing w:val="-3"/>
        </w:rPr>
        <w:t xml:space="preserve">IP </w:t>
      </w:r>
      <w:r>
        <w:t>66/IP 67</w:t>
      </w:r>
      <w:r>
        <w:rPr>
          <w:spacing w:val="-36"/>
        </w:rPr>
        <w:t xml:space="preserve"> </w:t>
      </w:r>
      <w:r>
        <w:rPr>
          <w:spacing w:val="-36"/>
        </w:rPr>
        <w:t>或</w:t>
      </w:r>
      <w:r>
        <w:rPr>
          <w:spacing w:val="-36"/>
        </w:rPr>
        <w:t xml:space="preserve"> </w:t>
      </w:r>
      <w:r>
        <w:t>IP 66/IP 68</w:t>
      </w:r>
      <w:r>
        <w:rPr>
          <w:spacing w:val="-10"/>
        </w:rPr>
        <w:t xml:space="preserve"> </w:t>
      </w:r>
      <w:r>
        <w:rPr>
          <w:spacing w:val="-10"/>
        </w:rPr>
        <w:t>的要求。当</w:t>
      </w:r>
      <w:r>
        <w:rPr>
          <w:spacing w:val="-14"/>
        </w:rPr>
        <w:t>防护等级为</w:t>
      </w:r>
      <w:r>
        <w:rPr>
          <w:spacing w:val="-14"/>
        </w:rPr>
        <w:t xml:space="preserve"> </w:t>
      </w:r>
      <w:r>
        <w:t>IP 66/IP 68</w:t>
      </w:r>
      <w:r>
        <w:rPr>
          <w:spacing w:val="-9"/>
        </w:rPr>
        <w:t xml:space="preserve"> </w:t>
      </w:r>
      <w:r>
        <w:rPr>
          <w:spacing w:val="-9"/>
        </w:rPr>
        <w:t>时，生产厂应标明灯具的潜水深度和持续时间。</w:t>
      </w:r>
      <w:r>
        <w:t xml:space="preserve"> </w:t>
      </w:r>
    </w:p>
    <w:p w14:paraId="7E39FBCC" w14:textId="77777777" w:rsidR="00A71EEF" w:rsidRDefault="0081115D">
      <w:pPr>
        <w:pStyle w:val="4"/>
        <w:spacing w:line="273" w:lineRule="exact"/>
      </w:pPr>
      <w:r>
        <w:t xml:space="preserve">6 </w:t>
      </w:r>
      <w:r>
        <w:t>试验方法</w:t>
      </w:r>
      <w:r>
        <w:rPr>
          <w:w w:val="99"/>
        </w:rPr>
        <w:t xml:space="preserve"> </w:t>
      </w:r>
    </w:p>
    <w:p w14:paraId="117DB913" w14:textId="77777777" w:rsidR="00A71EEF" w:rsidRDefault="00A71EEF">
      <w:pPr>
        <w:pStyle w:val="a3"/>
        <w:spacing w:before="4"/>
        <w:rPr>
          <w:b/>
          <w:sz w:val="17"/>
        </w:rPr>
      </w:pPr>
    </w:p>
    <w:p w14:paraId="1F31BA0A" w14:textId="77777777" w:rsidR="00A71EEF" w:rsidRDefault="0081115D">
      <w:pPr>
        <w:ind w:left="840"/>
        <w:rPr>
          <w:sz w:val="21"/>
        </w:rPr>
      </w:pPr>
      <w:r>
        <w:rPr>
          <w:b/>
          <w:sz w:val="21"/>
        </w:rPr>
        <w:t xml:space="preserve">6.1 </w:t>
      </w:r>
      <w:r>
        <w:rPr>
          <w:sz w:val="21"/>
        </w:rPr>
        <w:t>试验环境</w:t>
      </w:r>
      <w:r>
        <w:rPr>
          <w:sz w:val="21"/>
        </w:rPr>
        <w:t xml:space="preserve"> </w:t>
      </w:r>
    </w:p>
    <w:p w14:paraId="51BAC495" w14:textId="77777777" w:rsidR="00A71EEF" w:rsidRDefault="0081115D">
      <w:pPr>
        <w:pStyle w:val="a3"/>
        <w:spacing w:before="43" w:line="500" w:lineRule="exact"/>
        <w:ind w:left="838" w:right="3606"/>
      </w:pPr>
      <w:r>
        <w:t>若相关条文中没有特殊说明，则试验均应在下述大气条件下进行：</w:t>
      </w:r>
      <w:r>
        <w:t xml:space="preserve"> a) </w:t>
      </w:r>
      <w:r>
        <w:t>温度：</w:t>
      </w:r>
      <w:r>
        <w:t>15</w:t>
      </w:r>
      <w:r>
        <w:rPr>
          <w:rFonts w:ascii="微软雅黑" w:eastAsia="微软雅黑" w:hAnsi="微软雅黑" w:hint="eastAsia"/>
        </w:rPr>
        <w:t>〜</w:t>
      </w:r>
      <w:r>
        <w:t>35℃</w:t>
      </w:r>
      <w:r>
        <w:t>；</w:t>
      </w:r>
      <w:r>
        <w:t xml:space="preserve"> </w:t>
      </w:r>
    </w:p>
    <w:p w14:paraId="051475C1" w14:textId="77777777" w:rsidR="00A71EEF" w:rsidRDefault="0081115D">
      <w:pPr>
        <w:pStyle w:val="a3"/>
        <w:spacing w:before="121" w:line="331" w:lineRule="auto"/>
        <w:ind w:left="838" w:right="7074"/>
        <w:rPr>
          <w:b/>
        </w:rPr>
      </w:pPr>
      <w:r>
        <w:t xml:space="preserve">b)  </w:t>
      </w:r>
      <w:r>
        <w:t>相对湿度：</w:t>
      </w:r>
      <w:r>
        <w:t>45%</w:t>
      </w:r>
      <w:r>
        <w:rPr>
          <w:rFonts w:ascii="微软雅黑" w:eastAsia="微软雅黑" w:hint="eastAsia"/>
        </w:rPr>
        <w:t>〜</w:t>
      </w:r>
      <w:r>
        <w:t>75%</w:t>
      </w:r>
      <w:r>
        <w:t>；</w:t>
      </w:r>
      <w:r>
        <w:t xml:space="preserve"> c)</w:t>
      </w:r>
      <w:r>
        <w:rPr>
          <w:spacing w:val="-2"/>
        </w:rPr>
        <w:t xml:space="preserve"> </w:t>
      </w:r>
      <w:r>
        <w:rPr>
          <w:spacing w:val="-2"/>
        </w:rPr>
        <w:t>大气压力：</w:t>
      </w:r>
      <w:r>
        <w:t>86</w:t>
      </w:r>
      <w:r>
        <w:rPr>
          <w:rFonts w:ascii="微软雅黑" w:eastAsia="微软雅黑" w:hint="eastAsia"/>
        </w:rPr>
        <w:t>〜</w:t>
      </w:r>
      <w:r>
        <w:t>106kPa</w:t>
      </w:r>
      <w:r>
        <w:t>。</w:t>
      </w:r>
      <w:r>
        <w:rPr>
          <w:b/>
        </w:rPr>
        <w:t xml:space="preserve">6.2 </w:t>
      </w:r>
      <w:r>
        <w:rPr>
          <w:spacing w:val="-3"/>
        </w:rPr>
        <w:t>功能试验</w:t>
      </w:r>
      <w:r>
        <w:rPr>
          <w:b/>
          <w:w w:val="99"/>
        </w:rPr>
        <w:t xml:space="preserve"> </w:t>
      </w:r>
    </w:p>
    <w:p w14:paraId="7CF6169F" w14:textId="77777777" w:rsidR="00A71EEF" w:rsidRDefault="0081115D">
      <w:pPr>
        <w:pStyle w:val="a4"/>
        <w:numPr>
          <w:ilvl w:val="2"/>
          <w:numId w:val="849"/>
        </w:numPr>
        <w:tabs>
          <w:tab w:val="left" w:pos="1370"/>
        </w:tabs>
        <w:spacing w:before="128"/>
        <w:ind w:hanging="530"/>
        <w:rPr>
          <w:sz w:val="21"/>
        </w:rPr>
      </w:pPr>
      <w:r>
        <w:rPr>
          <w:spacing w:val="-3"/>
          <w:sz w:val="21"/>
        </w:rPr>
        <w:t>操作灯具开关，检查灯具的强、弱光切换功能。</w:t>
      </w:r>
      <w:r>
        <w:rPr>
          <w:sz w:val="21"/>
        </w:rPr>
        <w:t xml:space="preserve"> </w:t>
      </w:r>
    </w:p>
    <w:p w14:paraId="07CEC3BB" w14:textId="77777777" w:rsidR="00A71EEF" w:rsidRDefault="00A71EEF">
      <w:pPr>
        <w:rPr>
          <w:sz w:val="21"/>
        </w:rPr>
        <w:sectPr w:rsidR="00A71EEF">
          <w:footerReference w:type="default" r:id="rId68"/>
          <w:pgSz w:w="11910" w:h="16850"/>
          <w:pgMar w:top="1600" w:right="0" w:bottom="1420" w:left="1260" w:header="0" w:footer="1239" w:gutter="0"/>
          <w:pgNumType w:start="870"/>
          <w:cols w:space="720"/>
        </w:sectPr>
      </w:pPr>
    </w:p>
    <w:p w14:paraId="22379B0D" w14:textId="77777777" w:rsidR="00A71EEF" w:rsidRDefault="0081115D">
      <w:pPr>
        <w:pStyle w:val="a4"/>
        <w:numPr>
          <w:ilvl w:val="2"/>
          <w:numId w:val="849"/>
        </w:numPr>
        <w:tabs>
          <w:tab w:val="left" w:pos="1370"/>
        </w:tabs>
        <w:spacing w:before="47"/>
        <w:ind w:hanging="530"/>
        <w:rPr>
          <w:sz w:val="21"/>
        </w:rPr>
      </w:pPr>
      <w:r>
        <w:rPr>
          <w:spacing w:val="-3"/>
          <w:sz w:val="21"/>
        </w:rPr>
        <w:lastRenderedPageBreak/>
        <w:t>将灯具处于低电压状态，通过感官检查灯具的闪烁方式及低电压报警形式。</w:t>
      </w:r>
      <w:r>
        <w:rPr>
          <w:spacing w:val="-3"/>
          <w:sz w:val="21"/>
        </w:rPr>
        <w:t xml:space="preserve"> </w:t>
      </w:r>
    </w:p>
    <w:p w14:paraId="4A440B74" w14:textId="77777777" w:rsidR="00A71EEF" w:rsidRDefault="00A71EEF">
      <w:pPr>
        <w:pStyle w:val="a3"/>
        <w:rPr>
          <w:sz w:val="18"/>
        </w:rPr>
      </w:pPr>
    </w:p>
    <w:p w14:paraId="2F7830CA" w14:textId="77777777" w:rsidR="00A71EEF" w:rsidRDefault="0081115D">
      <w:pPr>
        <w:ind w:left="840"/>
        <w:rPr>
          <w:sz w:val="21"/>
        </w:rPr>
      </w:pPr>
      <w:r>
        <w:rPr>
          <w:b/>
          <w:sz w:val="21"/>
        </w:rPr>
        <w:t xml:space="preserve">6.3 </w:t>
      </w:r>
      <w:r>
        <w:rPr>
          <w:sz w:val="21"/>
        </w:rPr>
        <w:t>外观及装配检查</w:t>
      </w:r>
      <w:r>
        <w:rPr>
          <w:sz w:val="21"/>
        </w:rPr>
        <w:t xml:space="preserve"> </w:t>
      </w:r>
    </w:p>
    <w:p w14:paraId="30F49272" w14:textId="77777777" w:rsidR="00A71EEF" w:rsidRDefault="00A71EEF">
      <w:pPr>
        <w:pStyle w:val="a3"/>
        <w:rPr>
          <w:sz w:val="18"/>
        </w:rPr>
      </w:pPr>
    </w:p>
    <w:p w14:paraId="31A2E9D2" w14:textId="77777777" w:rsidR="00A71EEF" w:rsidRDefault="0081115D">
      <w:pPr>
        <w:pStyle w:val="a3"/>
        <w:spacing w:line="446" w:lineRule="auto"/>
        <w:ind w:left="840" w:right="5077" w:hanging="3"/>
        <w:rPr>
          <w:b/>
        </w:rPr>
      </w:pPr>
      <w:r>
        <w:rPr>
          <w:spacing w:val="-3"/>
        </w:rPr>
        <w:t>通过感官观察、触摸、操作进行外观及装配检查。</w:t>
      </w:r>
      <w:r>
        <w:rPr>
          <w:b/>
        </w:rPr>
        <w:t>6.4</w:t>
      </w:r>
      <w:r>
        <w:rPr>
          <w:b/>
          <w:spacing w:val="-1"/>
        </w:rPr>
        <w:t xml:space="preserve"> </w:t>
      </w:r>
      <w:r>
        <w:rPr>
          <w:spacing w:val="-3"/>
        </w:rPr>
        <w:t>质量测量</w:t>
      </w:r>
      <w:r>
        <w:rPr>
          <w:b/>
          <w:w w:val="99"/>
        </w:rPr>
        <w:t xml:space="preserve"> </w:t>
      </w:r>
    </w:p>
    <w:p w14:paraId="51F0DEED" w14:textId="77777777" w:rsidR="00A71EEF" w:rsidRDefault="0081115D">
      <w:pPr>
        <w:pStyle w:val="a3"/>
        <w:spacing w:line="446" w:lineRule="auto"/>
        <w:ind w:left="840" w:right="5605" w:hanging="3"/>
        <w:rPr>
          <w:b/>
        </w:rPr>
      </w:pPr>
      <w:r>
        <w:rPr>
          <w:spacing w:val="-9"/>
        </w:rPr>
        <w:t>用精度不低于</w:t>
      </w:r>
      <w:r>
        <w:rPr>
          <w:spacing w:val="-9"/>
        </w:rPr>
        <w:t xml:space="preserve"> </w:t>
      </w:r>
      <w:r>
        <w:t>1g</w:t>
      </w:r>
      <w:r>
        <w:rPr>
          <w:spacing w:val="-9"/>
        </w:rPr>
        <w:t xml:space="preserve"> </w:t>
      </w:r>
      <w:r>
        <w:rPr>
          <w:spacing w:val="-9"/>
        </w:rPr>
        <w:t>的电子秤测量灯具的质量。</w:t>
      </w:r>
      <w:r>
        <w:rPr>
          <w:b/>
        </w:rPr>
        <w:t xml:space="preserve">6.5 </w:t>
      </w:r>
      <w:r>
        <w:rPr>
          <w:spacing w:val="-3"/>
        </w:rPr>
        <w:t>照度测量</w:t>
      </w:r>
      <w:r>
        <w:rPr>
          <w:b/>
          <w:w w:val="99"/>
        </w:rPr>
        <w:t xml:space="preserve"> </w:t>
      </w:r>
    </w:p>
    <w:p w14:paraId="20A5086F" w14:textId="77777777" w:rsidR="00A71EEF" w:rsidRDefault="0081115D">
      <w:pPr>
        <w:pStyle w:val="a3"/>
        <w:spacing w:line="446" w:lineRule="auto"/>
        <w:ind w:left="418" w:right="1608" w:firstLine="419"/>
      </w:pPr>
      <w:r>
        <w:rPr>
          <w:spacing w:val="-3"/>
        </w:rPr>
        <w:t>灯具充满电后，在暗室（完全密封无光线空间</w:t>
      </w:r>
      <w:r>
        <w:t>）</w:t>
      </w:r>
      <w:r>
        <w:rPr>
          <w:spacing w:val="-7"/>
        </w:rPr>
        <w:t>内开启灯具开关，持续</w:t>
      </w:r>
      <w:r>
        <w:rPr>
          <w:spacing w:val="-7"/>
        </w:rPr>
        <w:t xml:space="preserve"> </w:t>
      </w:r>
      <w:r>
        <w:t>10min</w:t>
      </w:r>
      <w:r>
        <w:rPr>
          <w:spacing w:val="-8"/>
        </w:rPr>
        <w:t xml:space="preserve"> </w:t>
      </w:r>
      <w:r>
        <w:rPr>
          <w:spacing w:val="-8"/>
        </w:rPr>
        <w:t>后，将灯具分别处于强光、弱光状态，按图</w:t>
      </w:r>
      <w:r>
        <w:rPr>
          <w:spacing w:val="-8"/>
        </w:rPr>
        <w:t xml:space="preserve"> </w:t>
      </w:r>
      <w:r>
        <w:t>1</w:t>
      </w:r>
      <w:r>
        <w:rPr>
          <w:spacing w:val="-11"/>
        </w:rPr>
        <w:t xml:space="preserve"> </w:t>
      </w:r>
      <w:r>
        <w:rPr>
          <w:spacing w:val="-11"/>
        </w:rPr>
        <w:t>所示，在灯头正前方并按表</w:t>
      </w:r>
      <w:r>
        <w:rPr>
          <w:spacing w:val="-11"/>
        </w:rPr>
        <w:t xml:space="preserve"> </w:t>
      </w:r>
      <w:r>
        <w:t>3</w:t>
      </w:r>
      <w:r>
        <w:rPr>
          <w:spacing w:val="-8"/>
        </w:rPr>
        <w:t xml:space="preserve"> </w:t>
      </w:r>
      <w:r>
        <w:rPr>
          <w:spacing w:val="-8"/>
        </w:rPr>
        <w:t>规定的测试距离，沿光束直径</w:t>
      </w:r>
    </w:p>
    <w:p w14:paraId="76415819" w14:textId="77777777" w:rsidR="00A71EEF" w:rsidRDefault="0081115D">
      <w:pPr>
        <w:pStyle w:val="a3"/>
        <w:spacing w:line="446" w:lineRule="auto"/>
        <w:ind w:left="418" w:right="1609"/>
      </w:pPr>
      <w:r>
        <w:rPr>
          <w:spacing w:val="-5"/>
        </w:rPr>
        <w:t>方向，用分布式照度计测量规定的光束直径上平均分布</w:t>
      </w:r>
      <w:r>
        <w:rPr>
          <w:spacing w:val="-5"/>
        </w:rPr>
        <w:t xml:space="preserve"> </w:t>
      </w:r>
      <w:r>
        <w:t>5</w:t>
      </w:r>
      <w:r>
        <w:rPr>
          <w:spacing w:val="-12"/>
        </w:rPr>
        <w:t xml:space="preserve"> </w:t>
      </w:r>
      <w:r>
        <w:rPr>
          <w:spacing w:val="-12"/>
        </w:rPr>
        <w:t>点的照度值。取</w:t>
      </w:r>
      <w:r>
        <w:rPr>
          <w:spacing w:val="-12"/>
        </w:rPr>
        <w:t xml:space="preserve"> </w:t>
      </w:r>
      <w:r>
        <w:t>5</w:t>
      </w:r>
      <w:r>
        <w:rPr>
          <w:spacing w:val="-8"/>
        </w:rPr>
        <w:t xml:space="preserve"> </w:t>
      </w:r>
      <w:r>
        <w:rPr>
          <w:spacing w:val="-8"/>
        </w:rPr>
        <w:t>点测量值的算术平</w:t>
      </w:r>
      <w:r>
        <w:rPr>
          <w:spacing w:val="-5"/>
        </w:rPr>
        <w:t>均值和最小值作为</w:t>
      </w:r>
      <w:r>
        <w:rPr>
          <w:spacing w:val="-5"/>
        </w:rPr>
        <w:t>照度值。</w:t>
      </w:r>
      <w:r>
        <w:rPr>
          <w:spacing w:val="-5"/>
        </w:rPr>
        <w:t xml:space="preserve"> </w:t>
      </w:r>
    </w:p>
    <w:p w14:paraId="43DDA5C0" w14:textId="77777777" w:rsidR="00A71EEF" w:rsidRDefault="0081115D">
      <w:pPr>
        <w:pStyle w:val="a4"/>
        <w:numPr>
          <w:ilvl w:val="1"/>
          <w:numId w:val="848"/>
        </w:numPr>
        <w:tabs>
          <w:tab w:val="left" w:pos="1159"/>
        </w:tabs>
        <w:ind w:hanging="319"/>
        <w:rPr>
          <w:sz w:val="21"/>
        </w:rPr>
      </w:pPr>
      <w:r>
        <w:rPr>
          <w:spacing w:val="-3"/>
          <w:sz w:val="21"/>
        </w:rPr>
        <w:t>连续稳定工作时间试验</w:t>
      </w:r>
      <w:r>
        <w:rPr>
          <w:spacing w:val="-3"/>
          <w:sz w:val="21"/>
        </w:rPr>
        <w:t xml:space="preserve"> </w:t>
      </w:r>
    </w:p>
    <w:p w14:paraId="292C9B88" w14:textId="77777777" w:rsidR="00A71EEF" w:rsidRDefault="00A71EEF">
      <w:pPr>
        <w:pStyle w:val="a3"/>
        <w:spacing w:before="10"/>
        <w:rPr>
          <w:sz w:val="17"/>
        </w:rPr>
      </w:pPr>
    </w:p>
    <w:p w14:paraId="2F576FA6" w14:textId="77777777" w:rsidR="00A71EEF" w:rsidRDefault="0081115D">
      <w:pPr>
        <w:pStyle w:val="a3"/>
        <w:spacing w:line="446" w:lineRule="auto"/>
        <w:ind w:left="418" w:right="1609" w:firstLine="419"/>
        <w:jc w:val="both"/>
      </w:pPr>
      <w:r>
        <w:rPr>
          <w:spacing w:val="-3"/>
        </w:rPr>
        <w:t>将灯具进行放电后，再充满电，开启开关，分别使灯具处于强光、弱光状态并用计时器开</w:t>
      </w:r>
      <w:r>
        <w:rPr>
          <w:spacing w:val="-10"/>
        </w:rPr>
        <w:t>始计时，按</w:t>
      </w:r>
      <w:r>
        <w:rPr>
          <w:spacing w:val="-10"/>
        </w:rPr>
        <w:t xml:space="preserve"> </w:t>
      </w:r>
      <w:r>
        <w:t>6.5</w:t>
      </w:r>
      <w:r>
        <w:rPr>
          <w:spacing w:val="-10"/>
        </w:rPr>
        <w:t xml:space="preserve"> </w:t>
      </w:r>
      <w:r>
        <w:rPr>
          <w:spacing w:val="-10"/>
        </w:rPr>
        <w:t>的方法连续测量并记录灯具的照度值，直至其小于表</w:t>
      </w:r>
      <w:r>
        <w:rPr>
          <w:spacing w:val="-10"/>
        </w:rPr>
        <w:t xml:space="preserve"> </w:t>
      </w:r>
      <w:r>
        <w:t>3</w:t>
      </w:r>
      <w:r>
        <w:rPr>
          <w:spacing w:val="-8"/>
        </w:rPr>
        <w:t xml:space="preserve"> </w:t>
      </w:r>
      <w:r>
        <w:rPr>
          <w:spacing w:val="-8"/>
        </w:rPr>
        <w:t>规定的照度最小值或出</w:t>
      </w:r>
      <w:r>
        <w:rPr>
          <w:spacing w:val="-5"/>
        </w:rPr>
        <w:t>现低电压吿警状态时停止计时。该时间即为灯具的连续稳定工作时间。</w:t>
      </w:r>
      <w:r>
        <w:t xml:space="preserve"> </w:t>
      </w:r>
    </w:p>
    <w:p w14:paraId="4862F278" w14:textId="77777777" w:rsidR="00A71EEF" w:rsidRDefault="0081115D">
      <w:pPr>
        <w:pStyle w:val="a4"/>
        <w:numPr>
          <w:ilvl w:val="1"/>
          <w:numId w:val="848"/>
        </w:numPr>
        <w:tabs>
          <w:tab w:val="left" w:pos="1159"/>
        </w:tabs>
        <w:spacing w:line="268" w:lineRule="exact"/>
        <w:ind w:hanging="319"/>
        <w:rPr>
          <w:b/>
          <w:sz w:val="21"/>
        </w:rPr>
      </w:pPr>
      <w:r>
        <w:rPr>
          <w:spacing w:val="-3"/>
          <w:sz w:val="21"/>
        </w:rPr>
        <w:t>低电压报警时间试验</w:t>
      </w:r>
      <w:r>
        <w:rPr>
          <w:b/>
          <w:w w:val="99"/>
          <w:sz w:val="21"/>
        </w:rPr>
        <w:t xml:space="preserve"> </w:t>
      </w:r>
    </w:p>
    <w:p w14:paraId="16FCC428" w14:textId="77777777" w:rsidR="00A71EEF" w:rsidRDefault="00A71EEF">
      <w:pPr>
        <w:pStyle w:val="a3"/>
        <w:spacing w:before="2"/>
        <w:rPr>
          <w:b/>
          <w:sz w:val="18"/>
        </w:rPr>
      </w:pPr>
    </w:p>
    <w:p w14:paraId="79FDEED8" w14:textId="77777777" w:rsidR="00A71EEF" w:rsidRDefault="0081115D">
      <w:pPr>
        <w:pStyle w:val="a3"/>
        <w:spacing w:line="446" w:lineRule="auto"/>
        <w:ind w:left="418" w:right="1608" w:firstLine="419"/>
        <w:jc w:val="both"/>
      </w:pPr>
      <w:r>
        <w:t>将灯具进行放电后，再充满电，开启开关，分别使灯具处于强光、弱光状态，当灯具在强光、弱光状态下出现低电压告警状态消失时，用计时器开始计时，直至灯具闪烁方式的低电压告警状态消失时停止计时。该时间即为灯具的低电压告警时间。</w:t>
      </w:r>
      <w:r>
        <w:t xml:space="preserve"> </w:t>
      </w:r>
    </w:p>
    <w:p w14:paraId="1DC0DD24" w14:textId="77777777" w:rsidR="00A71EEF" w:rsidRDefault="0081115D">
      <w:pPr>
        <w:pStyle w:val="a4"/>
        <w:numPr>
          <w:ilvl w:val="1"/>
          <w:numId w:val="848"/>
        </w:numPr>
        <w:tabs>
          <w:tab w:val="left" w:pos="1160"/>
        </w:tabs>
        <w:spacing w:line="268" w:lineRule="exact"/>
        <w:ind w:left="1159" w:hanging="320"/>
        <w:rPr>
          <w:sz w:val="21"/>
        </w:rPr>
      </w:pPr>
      <w:r>
        <w:rPr>
          <w:spacing w:val="-3"/>
          <w:sz w:val="21"/>
        </w:rPr>
        <w:t>低电压状态下连续工作时间试验</w:t>
      </w:r>
      <w:r>
        <w:rPr>
          <w:sz w:val="21"/>
        </w:rPr>
        <w:t xml:space="preserve"> </w:t>
      </w:r>
    </w:p>
    <w:p w14:paraId="0AF06D8C" w14:textId="77777777" w:rsidR="00A71EEF" w:rsidRDefault="00A71EEF">
      <w:pPr>
        <w:pStyle w:val="a3"/>
        <w:rPr>
          <w:sz w:val="18"/>
        </w:rPr>
      </w:pPr>
    </w:p>
    <w:p w14:paraId="44A74191" w14:textId="77777777" w:rsidR="00A71EEF" w:rsidRDefault="0081115D">
      <w:pPr>
        <w:pStyle w:val="a3"/>
        <w:ind w:left="838"/>
      </w:pPr>
      <w:r>
        <w:t>在连续</w:t>
      </w:r>
      <w:r>
        <w:t xml:space="preserve"> 20 </w:t>
      </w:r>
      <w:r>
        <w:t>次充、放电后，将灯具充满电，开启开关，分别使灯具处于强光、弱光状态，当</w:t>
      </w:r>
    </w:p>
    <w:p w14:paraId="5F8B29DF" w14:textId="77777777" w:rsidR="00A71EEF" w:rsidRDefault="00A71EEF">
      <w:pPr>
        <w:pStyle w:val="a3"/>
        <w:spacing w:before="12"/>
        <w:rPr>
          <w:sz w:val="17"/>
        </w:rPr>
      </w:pPr>
    </w:p>
    <w:p w14:paraId="78D233D0" w14:textId="77777777" w:rsidR="00A71EEF" w:rsidRDefault="0081115D">
      <w:pPr>
        <w:pStyle w:val="a3"/>
        <w:ind w:left="418"/>
      </w:pPr>
      <w:r>
        <w:t>灯具在强光、弱光状态下的低电压告警状态消失时，用计时器开始计时，并按</w:t>
      </w:r>
      <w:r>
        <w:t xml:space="preserve"> 6.5 </w:t>
      </w:r>
      <w:r>
        <w:t>的方法连续</w:t>
      </w:r>
    </w:p>
    <w:p w14:paraId="331AB0AB" w14:textId="77777777" w:rsidR="00A71EEF" w:rsidRDefault="00A71EEF">
      <w:pPr>
        <w:pStyle w:val="a3"/>
        <w:spacing w:before="2"/>
        <w:rPr>
          <w:sz w:val="18"/>
        </w:rPr>
      </w:pPr>
    </w:p>
    <w:p w14:paraId="21F85E93" w14:textId="77777777" w:rsidR="00A71EEF" w:rsidRDefault="0081115D">
      <w:pPr>
        <w:pStyle w:val="a3"/>
        <w:spacing w:line="446" w:lineRule="auto"/>
        <w:ind w:left="418" w:right="1609"/>
      </w:pPr>
      <w:r>
        <w:rPr>
          <w:spacing w:val="-5"/>
        </w:rPr>
        <w:t>测量并记录灯具的照度值，直至其小于表</w:t>
      </w:r>
      <w:r>
        <w:rPr>
          <w:spacing w:val="-5"/>
        </w:rPr>
        <w:t xml:space="preserve"> </w:t>
      </w:r>
      <w:r>
        <w:t>3</w:t>
      </w:r>
      <w:r>
        <w:rPr>
          <w:spacing w:val="-7"/>
        </w:rPr>
        <w:t xml:space="preserve"> </w:t>
      </w:r>
      <w:r>
        <w:rPr>
          <w:spacing w:val="-7"/>
        </w:rPr>
        <w:t>规定的照度最小值时停止计时。该时间即</w:t>
      </w:r>
      <w:r>
        <w:rPr>
          <w:spacing w:val="-7"/>
        </w:rPr>
        <w:t>为灯具的</w:t>
      </w:r>
      <w:r>
        <w:rPr>
          <w:spacing w:val="-5"/>
        </w:rPr>
        <w:t>低电压状态下连续工作时间。</w:t>
      </w:r>
      <w:r>
        <w:t xml:space="preserve"> </w:t>
      </w:r>
    </w:p>
    <w:p w14:paraId="5050E7B2" w14:textId="77777777" w:rsidR="00A71EEF" w:rsidRDefault="0081115D">
      <w:pPr>
        <w:pStyle w:val="a4"/>
        <w:numPr>
          <w:ilvl w:val="1"/>
          <w:numId w:val="848"/>
        </w:numPr>
        <w:tabs>
          <w:tab w:val="left" w:pos="1159"/>
        </w:tabs>
        <w:spacing w:line="267" w:lineRule="exact"/>
        <w:ind w:hanging="319"/>
        <w:rPr>
          <w:b/>
          <w:sz w:val="21"/>
        </w:rPr>
      </w:pPr>
      <w:r>
        <w:rPr>
          <w:spacing w:val="-3"/>
          <w:sz w:val="21"/>
        </w:rPr>
        <w:t>绝缘性能试验</w:t>
      </w:r>
      <w:r>
        <w:rPr>
          <w:b/>
          <w:w w:val="99"/>
          <w:sz w:val="21"/>
        </w:rPr>
        <w:t xml:space="preserve"> </w:t>
      </w:r>
    </w:p>
    <w:p w14:paraId="4AD57DA4" w14:textId="77777777" w:rsidR="00A71EEF" w:rsidRDefault="00A71EEF">
      <w:pPr>
        <w:pStyle w:val="a3"/>
        <w:spacing w:before="2"/>
        <w:rPr>
          <w:b/>
          <w:sz w:val="18"/>
        </w:rPr>
      </w:pPr>
    </w:p>
    <w:p w14:paraId="7B41DE95" w14:textId="77777777" w:rsidR="00A71EEF" w:rsidRDefault="0081115D">
      <w:pPr>
        <w:pStyle w:val="a3"/>
        <w:spacing w:line="446" w:lineRule="auto"/>
        <w:ind w:left="840" w:right="5605" w:hanging="3"/>
        <w:rPr>
          <w:b/>
        </w:rPr>
      </w:pPr>
      <w:r>
        <w:rPr>
          <w:spacing w:val="-26"/>
        </w:rPr>
        <w:t>按</w:t>
      </w:r>
      <w:r>
        <w:rPr>
          <w:spacing w:val="-26"/>
        </w:rPr>
        <w:t xml:space="preserve"> </w:t>
      </w:r>
      <w:r>
        <w:t>GB 7000.1—2007</w:t>
      </w:r>
      <w:r>
        <w:rPr>
          <w:spacing w:val="-36"/>
        </w:rPr>
        <w:t xml:space="preserve"> </w:t>
      </w:r>
      <w:r>
        <w:rPr>
          <w:spacing w:val="-36"/>
        </w:rPr>
        <w:t>中</w:t>
      </w:r>
      <w:r>
        <w:rPr>
          <w:spacing w:val="-36"/>
        </w:rPr>
        <w:t xml:space="preserve"> </w:t>
      </w:r>
      <w:r>
        <w:t>10.2.1</w:t>
      </w:r>
      <w:r>
        <w:rPr>
          <w:spacing w:val="-10"/>
        </w:rPr>
        <w:t xml:space="preserve"> </w:t>
      </w:r>
      <w:r>
        <w:rPr>
          <w:spacing w:val="-10"/>
        </w:rPr>
        <w:t>的规定进行。</w:t>
      </w:r>
      <w:r>
        <w:rPr>
          <w:b/>
        </w:rPr>
        <w:t xml:space="preserve">6.10 </w:t>
      </w:r>
      <w:r>
        <w:rPr>
          <w:spacing w:val="-3"/>
        </w:rPr>
        <w:t>耐电压性能试验</w:t>
      </w:r>
      <w:r>
        <w:rPr>
          <w:b/>
          <w:w w:val="99"/>
        </w:rPr>
        <w:t xml:space="preserve"> </w:t>
      </w:r>
    </w:p>
    <w:p w14:paraId="2904EA73" w14:textId="77777777" w:rsidR="00A71EEF" w:rsidRDefault="0081115D">
      <w:pPr>
        <w:pStyle w:val="a3"/>
        <w:spacing w:line="446" w:lineRule="auto"/>
        <w:ind w:left="840" w:right="5605" w:hanging="3"/>
        <w:rPr>
          <w:b/>
        </w:rPr>
      </w:pPr>
      <w:r>
        <w:rPr>
          <w:spacing w:val="-26"/>
        </w:rPr>
        <w:t>按</w:t>
      </w:r>
      <w:r>
        <w:rPr>
          <w:spacing w:val="-26"/>
        </w:rPr>
        <w:t xml:space="preserve"> </w:t>
      </w:r>
      <w:r>
        <w:t>GB 7000.1—2007</w:t>
      </w:r>
      <w:r>
        <w:rPr>
          <w:spacing w:val="-36"/>
        </w:rPr>
        <w:t xml:space="preserve"> </w:t>
      </w:r>
      <w:r>
        <w:rPr>
          <w:spacing w:val="-36"/>
        </w:rPr>
        <w:t>中</w:t>
      </w:r>
      <w:r>
        <w:rPr>
          <w:spacing w:val="-36"/>
        </w:rPr>
        <w:t xml:space="preserve"> </w:t>
      </w:r>
      <w:r>
        <w:t>10.2.2</w:t>
      </w:r>
      <w:r>
        <w:rPr>
          <w:spacing w:val="-10"/>
        </w:rPr>
        <w:t xml:space="preserve"> </w:t>
      </w:r>
      <w:r>
        <w:rPr>
          <w:spacing w:val="-10"/>
        </w:rPr>
        <w:t>的规定进行。</w:t>
      </w:r>
      <w:r>
        <w:rPr>
          <w:b/>
        </w:rPr>
        <w:t xml:space="preserve">6.11 </w:t>
      </w:r>
      <w:r>
        <w:rPr>
          <w:spacing w:val="-3"/>
        </w:rPr>
        <w:t>低温性能试验</w:t>
      </w:r>
      <w:r>
        <w:rPr>
          <w:b/>
          <w:w w:val="99"/>
        </w:rPr>
        <w:t xml:space="preserve"> </w:t>
      </w:r>
    </w:p>
    <w:p w14:paraId="3CA2FC0B" w14:textId="77777777" w:rsidR="00A71EEF" w:rsidRDefault="00A71EEF">
      <w:pPr>
        <w:spacing w:line="446" w:lineRule="auto"/>
        <w:sectPr w:rsidR="00A71EEF">
          <w:pgSz w:w="11910" w:h="16850"/>
          <w:pgMar w:top="1220" w:right="0" w:bottom="1420" w:left="1260" w:header="0" w:footer="1239" w:gutter="0"/>
          <w:cols w:space="720"/>
        </w:sectPr>
      </w:pPr>
    </w:p>
    <w:p w14:paraId="53AC09A9" w14:textId="77777777" w:rsidR="00A71EEF" w:rsidRDefault="0081115D">
      <w:pPr>
        <w:pStyle w:val="a3"/>
        <w:spacing w:before="47" w:line="446" w:lineRule="auto"/>
        <w:ind w:left="840" w:right="3819" w:hanging="3"/>
      </w:pPr>
      <w:r>
        <w:rPr>
          <w:spacing w:val="-17"/>
        </w:rPr>
        <w:lastRenderedPageBreak/>
        <w:t>按表</w:t>
      </w:r>
      <w:r>
        <w:rPr>
          <w:spacing w:val="-17"/>
        </w:rPr>
        <w:t xml:space="preserve"> </w:t>
      </w:r>
      <w:r>
        <w:t>5</w:t>
      </w:r>
      <w:r>
        <w:rPr>
          <w:spacing w:val="-14"/>
        </w:rPr>
        <w:t xml:space="preserve"> </w:t>
      </w:r>
      <w:r>
        <w:rPr>
          <w:spacing w:val="-14"/>
        </w:rPr>
        <w:t>中低温试验条件及</w:t>
      </w:r>
      <w:r>
        <w:rPr>
          <w:spacing w:val="-14"/>
        </w:rPr>
        <w:t xml:space="preserve"> </w:t>
      </w:r>
      <w:r>
        <w:t>GB/T 2423.1—2008</w:t>
      </w:r>
      <w:r>
        <w:rPr>
          <w:spacing w:val="-10"/>
        </w:rPr>
        <w:t xml:space="preserve"> </w:t>
      </w:r>
      <w:r>
        <w:rPr>
          <w:spacing w:val="-10"/>
        </w:rPr>
        <w:t>的规定进行试验。</w:t>
      </w:r>
      <w:r>
        <w:rPr>
          <w:b/>
        </w:rPr>
        <w:t xml:space="preserve">6.12 </w:t>
      </w:r>
      <w:r>
        <w:rPr>
          <w:spacing w:val="-3"/>
        </w:rPr>
        <w:t>高温性能试验</w:t>
      </w:r>
      <w:r>
        <w:t xml:space="preserve"> </w:t>
      </w:r>
    </w:p>
    <w:p w14:paraId="09FB862B" w14:textId="77777777" w:rsidR="00A71EEF" w:rsidRDefault="0081115D">
      <w:pPr>
        <w:pStyle w:val="a3"/>
        <w:spacing w:line="446" w:lineRule="auto"/>
        <w:ind w:left="840" w:right="3819" w:hanging="3"/>
      </w:pPr>
      <w:r>
        <w:rPr>
          <w:spacing w:val="-17"/>
        </w:rPr>
        <w:t>按表</w:t>
      </w:r>
      <w:r>
        <w:rPr>
          <w:spacing w:val="-17"/>
        </w:rPr>
        <w:t xml:space="preserve"> </w:t>
      </w:r>
      <w:r>
        <w:t>5</w:t>
      </w:r>
      <w:r>
        <w:rPr>
          <w:spacing w:val="-14"/>
        </w:rPr>
        <w:t xml:space="preserve"> </w:t>
      </w:r>
      <w:r>
        <w:rPr>
          <w:spacing w:val="-14"/>
        </w:rPr>
        <w:t>中高温试验条件及</w:t>
      </w:r>
      <w:r>
        <w:rPr>
          <w:spacing w:val="-14"/>
        </w:rPr>
        <w:t xml:space="preserve"> </w:t>
      </w:r>
      <w:r>
        <w:t>GB/T 2423.2—2008</w:t>
      </w:r>
      <w:r>
        <w:rPr>
          <w:spacing w:val="-10"/>
        </w:rPr>
        <w:t xml:space="preserve"> </w:t>
      </w:r>
      <w:r>
        <w:rPr>
          <w:spacing w:val="-10"/>
        </w:rPr>
        <w:t>的规定进行试验。</w:t>
      </w:r>
      <w:r>
        <w:rPr>
          <w:b/>
        </w:rPr>
        <w:t xml:space="preserve">6.13 </w:t>
      </w:r>
      <w:r>
        <w:rPr>
          <w:spacing w:val="-3"/>
        </w:rPr>
        <w:t>交变湿热性能试验</w:t>
      </w:r>
      <w:r>
        <w:t xml:space="preserve"> </w:t>
      </w:r>
    </w:p>
    <w:p w14:paraId="1156D712" w14:textId="77777777" w:rsidR="00A71EEF" w:rsidRDefault="0081115D">
      <w:pPr>
        <w:pStyle w:val="a3"/>
        <w:spacing w:line="446" w:lineRule="auto"/>
        <w:ind w:left="418" w:right="1611" w:firstLine="419"/>
      </w:pPr>
      <w:r>
        <w:rPr>
          <w:spacing w:val="-17"/>
        </w:rPr>
        <w:t>按表</w:t>
      </w:r>
      <w:r>
        <w:rPr>
          <w:spacing w:val="-17"/>
        </w:rPr>
        <w:t xml:space="preserve"> </w:t>
      </w:r>
      <w:r>
        <w:t>5</w:t>
      </w:r>
      <w:r>
        <w:rPr>
          <w:spacing w:val="-13"/>
        </w:rPr>
        <w:t xml:space="preserve"> </w:t>
      </w:r>
      <w:r>
        <w:rPr>
          <w:spacing w:val="-13"/>
        </w:rPr>
        <w:t>中交变湿热试验条件及</w:t>
      </w:r>
      <w:r>
        <w:rPr>
          <w:spacing w:val="-13"/>
        </w:rPr>
        <w:t xml:space="preserve"> </w:t>
      </w:r>
      <w:r>
        <w:t>GB/T 2423.4—2008</w:t>
      </w:r>
      <w:r>
        <w:rPr>
          <w:spacing w:val="-12"/>
        </w:rPr>
        <w:t xml:space="preserve"> </w:t>
      </w:r>
      <w:r>
        <w:rPr>
          <w:spacing w:val="-12"/>
        </w:rPr>
        <w:t>的规定进行试验，试验后再按</w:t>
      </w:r>
      <w:r>
        <w:rPr>
          <w:spacing w:val="-12"/>
        </w:rPr>
        <w:t xml:space="preserve"> </w:t>
      </w:r>
      <w:r>
        <w:t>6.9</w:t>
      </w:r>
      <w:r>
        <w:rPr>
          <w:spacing w:val="-19"/>
        </w:rPr>
        <w:t xml:space="preserve"> </w:t>
      </w:r>
      <w:r>
        <w:rPr>
          <w:spacing w:val="-19"/>
        </w:rPr>
        <w:t>的方</w:t>
      </w:r>
      <w:r>
        <w:rPr>
          <w:spacing w:val="-3"/>
        </w:rPr>
        <w:t>法进行绝缘性能试验。</w:t>
      </w:r>
      <w:r>
        <w:t xml:space="preserve"> </w:t>
      </w:r>
    </w:p>
    <w:p w14:paraId="4B8590E6" w14:textId="77777777" w:rsidR="00A71EEF" w:rsidRDefault="0081115D">
      <w:pPr>
        <w:ind w:left="840"/>
        <w:rPr>
          <w:sz w:val="21"/>
        </w:rPr>
      </w:pPr>
      <w:r>
        <w:rPr>
          <w:b/>
          <w:sz w:val="21"/>
        </w:rPr>
        <w:t>6.14</w:t>
      </w:r>
      <w:r>
        <w:rPr>
          <w:b/>
          <w:spacing w:val="8"/>
          <w:sz w:val="21"/>
        </w:rPr>
        <w:t xml:space="preserve"> </w:t>
      </w:r>
      <w:r>
        <w:rPr>
          <w:spacing w:val="-3"/>
          <w:sz w:val="21"/>
        </w:rPr>
        <w:t>低温贮存试验</w:t>
      </w:r>
      <w:r>
        <w:rPr>
          <w:sz w:val="21"/>
        </w:rPr>
        <w:t xml:space="preserve"> </w:t>
      </w:r>
    </w:p>
    <w:p w14:paraId="5E14ACB5" w14:textId="77777777" w:rsidR="00A71EEF" w:rsidRDefault="00A71EEF">
      <w:pPr>
        <w:pStyle w:val="a3"/>
        <w:spacing w:before="11"/>
        <w:rPr>
          <w:sz w:val="17"/>
        </w:rPr>
      </w:pPr>
    </w:p>
    <w:p w14:paraId="5A327DD5" w14:textId="77777777" w:rsidR="00A71EEF" w:rsidRDefault="0081115D">
      <w:pPr>
        <w:pStyle w:val="a3"/>
        <w:spacing w:line="446" w:lineRule="auto"/>
        <w:ind w:left="840" w:right="3397" w:hanging="3"/>
        <w:rPr>
          <w:b/>
        </w:rPr>
      </w:pPr>
      <w:r>
        <w:rPr>
          <w:spacing w:val="-17"/>
        </w:rPr>
        <w:t>按表</w:t>
      </w:r>
      <w:r>
        <w:rPr>
          <w:spacing w:val="-17"/>
        </w:rPr>
        <w:t xml:space="preserve"> </w:t>
      </w:r>
      <w:r>
        <w:t>5</w:t>
      </w:r>
      <w:r>
        <w:rPr>
          <w:spacing w:val="-13"/>
        </w:rPr>
        <w:t xml:space="preserve"> </w:t>
      </w:r>
      <w:r>
        <w:rPr>
          <w:spacing w:val="-13"/>
        </w:rPr>
        <w:t>中低温贮存试验条件及</w:t>
      </w:r>
      <w:r>
        <w:rPr>
          <w:spacing w:val="-13"/>
        </w:rPr>
        <w:t xml:space="preserve"> </w:t>
      </w:r>
      <w:r>
        <w:t>GB/T</w:t>
      </w:r>
      <w:r>
        <w:rPr>
          <w:spacing w:val="4"/>
        </w:rPr>
        <w:t xml:space="preserve"> </w:t>
      </w:r>
      <w:r>
        <w:t>2423.1—2008</w:t>
      </w:r>
      <w:r>
        <w:rPr>
          <w:spacing w:val="-10"/>
        </w:rPr>
        <w:t xml:space="preserve"> </w:t>
      </w:r>
      <w:r>
        <w:rPr>
          <w:spacing w:val="-10"/>
        </w:rPr>
        <w:t>的规定进行试验。</w:t>
      </w:r>
      <w:r>
        <w:rPr>
          <w:b/>
        </w:rPr>
        <w:t>6.15</w:t>
      </w:r>
      <w:r>
        <w:rPr>
          <w:b/>
          <w:spacing w:val="-1"/>
        </w:rPr>
        <w:t xml:space="preserve"> </w:t>
      </w:r>
      <w:r>
        <w:rPr>
          <w:spacing w:val="-3"/>
        </w:rPr>
        <w:t>高温贮存试验</w:t>
      </w:r>
      <w:r>
        <w:rPr>
          <w:b/>
          <w:w w:val="99"/>
        </w:rPr>
        <w:t xml:space="preserve"> </w:t>
      </w:r>
    </w:p>
    <w:p w14:paraId="5E124BAA" w14:textId="77777777" w:rsidR="00A71EEF" w:rsidRDefault="0081115D">
      <w:pPr>
        <w:pStyle w:val="a3"/>
        <w:spacing w:line="446" w:lineRule="auto"/>
        <w:ind w:left="840" w:right="3397" w:hanging="3"/>
      </w:pPr>
      <w:r>
        <w:rPr>
          <w:spacing w:val="-17"/>
        </w:rPr>
        <w:t>按表</w:t>
      </w:r>
      <w:r>
        <w:rPr>
          <w:spacing w:val="-17"/>
        </w:rPr>
        <w:t xml:space="preserve"> </w:t>
      </w:r>
      <w:r>
        <w:t>5</w:t>
      </w:r>
      <w:r>
        <w:rPr>
          <w:spacing w:val="-13"/>
        </w:rPr>
        <w:t xml:space="preserve"> </w:t>
      </w:r>
      <w:r>
        <w:rPr>
          <w:spacing w:val="-13"/>
        </w:rPr>
        <w:t>中高温贮存试验条件及</w:t>
      </w:r>
      <w:r>
        <w:rPr>
          <w:spacing w:val="-13"/>
        </w:rPr>
        <w:t xml:space="preserve"> </w:t>
      </w:r>
      <w:r>
        <w:t>GB/T</w:t>
      </w:r>
      <w:r>
        <w:rPr>
          <w:spacing w:val="4"/>
        </w:rPr>
        <w:t xml:space="preserve"> </w:t>
      </w:r>
      <w:r>
        <w:t>2423.2—2008</w:t>
      </w:r>
      <w:r>
        <w:rPr>
          <w:spacing w:val="-10"/>
        </w:rPr>
        <w:t xml:space="preserve"> </w:t>
      </w:r>
      <w:r>
        <w:rPr>
          <w:spacing w:val="-10"/>
        </w:rPr>
        <w:t>的规定进行试验。</w:t>
      </w:r>
      <w:r>
        <w:rPr>
          <w:b/>
        </w:rPr>
        <w:t xml:space="preserve">6.16 </w:t>
      </w:r>
      <w:r>
        <w:rPr>
          <w:spacing w:val="-3"/>
        </w:rPr>
        <w:t>抗振动性能试验</w:t>
      </w:r>
      <w:r>
        <w:t xml:space="preserve"> </w:t>
      </w:r>
    </w:p>
    <w:p w14:paraId="7EED9930" w14:textId="77777777" w:rsidR="00A71EEF" w:rsidRDefault="0081115D">
      <w:pPr>
        <w:pStyle w:val="a3"/>
        <w:spacing w:line="446" w:lineRule="auto"/>
        <w:ind w:left="840" w:right="2873" w:hanging="3"/>
      </w:pPr>
      <w:r>
        <w:rPr>
          <w:spacing w:val="-17"/>
        </w:rPr>
        <w:t>按表</w:t>
      </w:r>
      <w:r>
        <w:rPr>
          <w:spacing w:val="-17"/>
        </w:rPr>
        <w:t xml:space="preserve"> </w:t>
      </w:r>
      <w:r>
        <w:t>6</w:t>
      </w:r>
      <w:r>
        <w:rPr>
          <w:spacing w:val="-15"/>
        </w:rPr>
        <w:t xml:space="preserve"> </w:t>
      </w:r>
      <w:r>
        <w:rPr>
          <w:spacing w:val="-15"/>
        </w:rPr>
        <w:t>中振动</w:t>
      </w:r>
      <w:r>
        <w:rPr>
          <w:spacing w:val="-3"/>
        </w:rPr>
        <w:t>（</w:t>
      </w:r>
      <w:r>
        <w:rPr>
          <w:spacing w:val="-2"/>
        </w:rPr>
        <w:t>正弦</w:t>
      </w:r>
      <w:r>
        <w:t>）</w:t>
      </w:r>
      <w:r>
        <w:rPr>
          <w:spacing w:val="-11"/>
        </w:rPr>
        <w:t>试验条件及</w:t>
      </w:r>
      <w:r>
        <w:rPr>
          <w:spacing w:val="-11"/>
        </w:rPr>
        <w:t xml:space="preserve"> </w:t>
      </w:r>
      <w:r>
        <w:t>GB/T</w:t>
      </w:r>
      <w:r>
        <w:rPr>
          <w:spacing w:val="3"/>
        </w:rPr>
        <w:t xml:space="preserve"> </w:t>
      </w:r>
      <w:r>
        <w:t>2423.10—2008</w:t>
      </w:r>
      <w:r>
        <w:rPr>
          <w:spacing w:val="-9"/>
        </w:rPr>
        <w:t xml:space="preserve"> </w:t>
      </w:r>
      <w:r>
        <w:rPr>
          <w:spacing w:val="-9"/>
        </w:rPr>
        <w:t>的规定进行试验。</w:t>
      </w:r>
      <w:r>
        <w:rPr>
          <w:b/>
        </w:rPr>
        <w:t>6.17</w:t>
      </w:r>
      <w:r>
        <w:rPr>
          <w:b/>
          <w:spacing w:val="-1"/>
        </w:rPr>
        <w:t xml:space="preserve"> </w:t>
      </w:r>
      <w:r>
        <w:rPr>
          <w:spacing w:val="-3"/>
        </w:rPr>
        <w:t>抗跌落性能试验</w:t>
      </w:r>
      <w:r>
        <w:t xml:space="preserve"> </w:t>
      </w:r>
    </w:p>
    <w:p w14:paraId="7C1ABDDF" w14:textId="77777777" w:rsidR="00A71EEF" w:rsidRDefault="0081115D">
      <w:pPr>
        <w:pStyle w:val="a3"/>
        <w:spacing w:line="446" w:lineRule="auto"/>
        <w:ind w:left="840" w:right="1925" w:hanging="3"/>
      </w:pPr>
      <w:r>
        <w:rPr>
          <w:spacing w:val="-14"/>
        </w:rPr>
        <w:t>按照表</w:t>
      </w:r>
      <w:r>
        <w:rPr>
          <w:spacing w:val="-14"/>
        </w:rPr>
        <w:t xml:space="preserve"> </w:t>
      </w:r>
      <w:r>
        <w:t>6</w:t>
      </w:r>
      <w:r>
        <w:rPr>
          <w:spacing w:val="-12"/>
        </w:rPr>
        <w:t xml:space="preserve"> </w:t>
      </w:r>
      <w:r>
        <w:rPr>
          <w:spacing w:val="-12"/>
        </w:rPr>
        <w:t>规定的试验高度，将灯具沿</w:t>
      </w:r>
      <w:r>
        <w:rPr>
          <w:spacing w:val="-12"/>
        </w:rPr>
        <w:t xml:space="preserve"> </w:t>
      </w:r>
      <w:r>
        <w:t>X</w:t>
      </w:r>
      <w:r>
        <w:rPr>
          <w:spacing w:val="-3"/>
        </w:rPr>
        <w:t>、</w:t>
      </w:r>
      <w:r>
        <w:t>Y</w:t>
      </w:r>
      <w:r>
        <w:t>、</w:t>
      </w:r>
      <w:r>
        <w:t>Z</w:t>
      </w:r>
      <w:r>
        <w:rPr>
          <w:spacing w:val="-9"/>
        </w:rPr>
        <w:t xml:space="preserve"> </w:t>
      </w:r>
      <w:r>
        <w:rPr>
          <w:spacing w:val="-9"/>
        </w:rPr>
        <w:t>三个轴方向各跌落到混凝土地面一次。</w:t>
      </w:r>
      <w:r>
        <w:rPr>
          <w:b/>
          <w:spacing w:val="-9"/>
        </w:rPr>
        <w:t>6.18</w:t>
      </w:r>
      <w:r>
        <w:rPr>
          <w:b/>
          <w:spacing w:val="-1"/>
        </w:rPr>
        <w:t xml:space="preserve"> </w:t>
      </w:r>
      <w:r>
        <w:rPr>
          <w:spacing w:val="-3"/>
        </w:rPr>
        <w:t>开关可靠性试验</w:t>
      </w:r>
      <w:r>
        <w:t xml:space="preserve"> </w:t>
      </w:r>
    </w:p>
    <w:p w14:paraId="28F30288" w14:textId="77777777" w:rsidR="00A71EEF" w:rsidRDefault="0081115D">
      <w:pPr>
        <w:pStyle w:val="a3"/>
        <w:spacing w:line="446" w:lineRule="auto"/>
        <w:ind w:left="840" w:right="4237" w:hanging="3"/>
      </w:pPr>
      <w:r>
        <w:t>在断开电源条件下，对灯具开关进行连续</w:t>
      </w:r>
      <w:r>
        <w:t xml:space="preserve"> 50000 </w:t>
      </w:r>
      <w:r>
        <w:t>次的操作。</w:t>
      </w:r>
      <w:r>
        <w:rPr>
          <w:b/>
        </w:rPr>
        <w:t xml:space="preserve">6.19 </w:t>
      </w:r>
      <w:r>
        <w:t>外壳防护等级试验</w:t>
      </w:r>
      <w:r>
        <w:t xml:space="preserve"> </w:t>
      </w:r>
    </w:p>
    <w:p w14:paraId="0DB4F240" w14:textId="77777777" w:rsidR="00A71EEF" w:rsidRDefault="0081115D">
      <w:pPr>
        <w:pStyle w:val="a3"/>
        <w:spacing w:line="267" w:lineRule="exact"/>
        <w:ind w:left="838"/>
      </w:pPr>
      <w:r>
        <w:t>灯具的外壳防护试验按</w:t>
      </w:r>
      <w:r>
        <w:t xml:space="preserve"> GB 4208—2008 </w:t>
      </w:r>
      <w:r>
        <w:t>第</w:t>
      </w:r>
      <w:r>
        <w:t xml:space="preserve"> 13 </w:t>
      </w:r>
      <w:r>
        <w:t>章、第</w:t>
      </w:r>
      <w:r>
        <w:t xml:space="preserve"> 14 </w:t>
      </w:r>
      <w:r>
        <w:t>章规定的方法进行试验。</w:t>
      </w:r>
      <w:r>
        <w:t xml:space="preserve"> </w:t>
      </w:r>
    </w:p>
    <w:p w14:paraId="71BE48BB" w14:textId="77777777" w:rsidR="00A71EEF" w:rsidRDefault="00A71EEF">
      <w:pPr>
        <w:pStyle w:val="a3"/>
        <w:spacing w:before="8"/>
        <w:rPr>
          <w:sz w:val="15"/>
        </w:rPr>
      </w:pPr>
    </w:p>
    <w:p w14:paraId="2BF912B7" w14:textId="77777777" w:rsidR="00A71EEF" w:rsidRDefault="0081115D">
      <w:pPr>
        <w:pStyle w:val="4"/>
      </w:pPr>
      <w:r>
        <w:t xml:space="preserve">7 </w:t>
      </w:r>
      <w:r>
        <w:t>检验规则</w:t>
      </w:r>
      <w:r>
        <w:rPr>
          <w:w w:val="99"/>
        </w:rPr>
        <w:t xml:space="preserve"> </w:t>
      </w:r>
    </w:p>
    <w:p w14:paraId="0D4FB5CC" w14:textId="77777777" w:rsidR="00A71EEF" w:rsidRDefault="00A71EEF">
      <w:pPr>
        <w:pStyle w:val="a3"/>
        <w:spacing w:before="4"/>
        <w:rPr>
          <w:b/>
          <w:sz w:val="17"/>
        </w:rPr>
      </w:pPr>
    </w:p>
    <w:p w14:paraId="45FE193E" w14:textId="77777777" w:rsidR="00A71EEF" w:rsidRDefault="0081115D">
      <w:pPr>
        <w:ind w:left="840"/>
        <w:rPr>
          <w:b/>
          <w:sz w:val="21"/>
        </w:rPr>
      </w:pPr>
      <w:r>
        <w:rPr>
          <w:b/>
          <w:sz w:val="21"/>
        </w:rPr>
        <w:t>7.1</w:t>
      </w:r>
      <w:r>
        <w:rPr>
          <w:b/>
          <w:spacing w:val="5"/>
          <w:sz w:val="21"/>
        </w:rPr>
        <w:t xml:space="preserve"> </w:t>
      </w:r>
      <w:r>
        <w:rPr>
          <w:spacing w:val="-3"/>
          <w:sz w:val="21"/>
        </w:rPr>
        <w:t>检验分类</w:t>
      </w:r>
      <w:r>
        <w:rPr>
          <w:b/>
          <w:w w:val="99"/>
          <w:sz w:val="21"/>
        </w:rPr>
        <w:t xml:space="preserve"> </w:t>
      </w:r>
    </w:p>
    <w:p w14:paraId="401B39F6" w14:textId="77777777" w:rsidR="00A71EEF" w:rsidRDefault="00A71EEF">
      <w:pPr>
        <w:pStyle w:val="a3"/>
        <w:rPr>
          <w:b/>
          <w:sz w:val="18"/>
        </w:rPr>
      </w:pPr>
    </w:p>
    <w:p w14:paraId="6F8B756B" w14:textId="77777777" w:rsidR="00A71EEF" w:rsidRDefault="0081115D">
      <w:pPr>
        <w:pStyle w:val="a3"/>
        <w:spacing w:line="446" w:lineRule="auto"/>
        <w:ind w:left="840" w:right="6129" w:hanging="3"/>
      </w:pPr>
      <w:r>
        <w:rPr>
          <w:spacing w:val="-3"/>
        </w:rPr>
        <w:t>灯具的检验分为出厂检验和形式检验。</w:t>
      </w:r>
      <w:r>
        <w:rPr>
          <w:b/>
        </w:rPr>
        <w:t>7.2</w:t>
      </w:r>
      <w:r>
        <w:rPr>
          <w:b/>
          <w:spacing w:val="1"/>
        </w:rPr>
        <w:t xml:space="preserve"> </w:t>
      </w:r>
      <w:r>
        <w:rPr>
          <w:spacing w:val="-3"/>
        </w:rPr>
        <w:t>出厂检验</w:t>
      </w:r>
      <w:r>
        <w:t xml:space="preserve"> </w:t>
      </w:r>
    </w:p>
    <w:p w14:paraId="54248F05" w14:textId="77777777" w:rsidR="00A71EEF" w:rsidRDefault="0081115D">
      <w:pPr>
        <w:pStyle w:val="a3"/>
        <w:ind w:left="840"/>
      </w:pPr>
      <w:r>
        <w:rPr>
          <w:b/>
        </w:rPr>
        <w:t xml:space="preserve">7.2.1 </w:t>
      </w:r>
      <w:r>
        <w:t>出厂检验以每</w:t>
      </w:r>
      <w:r>
        <w:t xml:space="preserve"> 100 </w:t>
      </w:r>
      <w:r>
        <w:t>件（套）为一批，不足</w:t>
      </w:r>
      <w:r>
        <w:t xml:space="preserve"> 100 </w:t>
      </w:r>
      <w:r>
        <w:t>件（套）以实际生产量为一批，每批</w:t>
      </w:r>
    </w:p>
    <w:p w14:paraId="198F841E" w14:textId="77777777" w:rsidR="00A71EEF" w:rsidRDefault="00A71EEF">
      <w:pPr>
        <w:pStyle w:val="a3"/>
        <w:spacing w:before="12"/>
        <w:rPr>
          <w:sz w:val="17"/>
        </w:rPr>
      </w:pPr>
    </w:p>
    <w:p w14:paraId="31CC2973" w14:textId="77777777" w:rsidR="00A71EEF" w:rsidRDefault="0081115D">
      <w:pPr>
        <w:pStyle w:val="a3"/>
        <w:ind w:left="418"/>
        <w:jc w:val="both"/>
      </w:pPr>
      <w:r>
        <w:t>随机抽取</w:t>
      </w:r>
      <w:r>
        <w:t xml:space="preserve"> 2 </w:t>
      </w:r>
      <w:r>
        <w:t>件（套</w:t>
      </w:r>
      <w:r>
        <w:t xml:space="preserve">) </w:t>
      </w:r>
      <w:r>
        <w:t>提交检验。</w:t>
      </w:r>
      <w:r>
        <w:t xml:space="preserve"> </w:t>
      </w:r>
    </w:p>
    <w:p w14:paraId="005EDD40" w14:textId="77777777" w:rsidR="00A71EEF" w:rsidRDefault="00A71EEF">
      <w:pPr>
        <w:pStyle w:val="a3"/>
        <w:spacing w:before="2"/>
        <w:rPr>
          <w:sz w:val="18"/>
        </w:rPr>
      </w:pPr>
    </w:p>
    <w:p w14:paraId="525A83C4" w14:textId="77777777" w:rsidR="00A71EEF" w:rsidRDefault="0081115D">
      <w:pPr>
        <w:pStyle w:val="a3"/>
        <w:spacing w:line="446" w:lineRule="auto"/>
        <w:ind w:left="418" w:right="1556" w:firstLine="422"/>
        <w:jc w:val="both"/>
      </w:pPr>
      <w:r>
        <w:rPr>
          <w:b/>
        </w:rPr>
        <w:t xml:space="preserve">7.2.2 </w:t>
      </w:r>
      <w:r>
        <w:rPr>
          <w:spacing w:val="-7"/>
        </w:rPr>
        <w:t>出厂检验项目应至少包括</w:t>
      </w:r>
      <w:r>
        <w:rPr>
          <w:spacing w:val="-7"/>
        </w:rPr>
        <w:t xml:space="preserve"> </w:t>
      </w:r>
      <w:r>
        <w:t>5.3.1</w:t>
      </w:r>
      <w:r>
        <w:rPr>
          <w:spacing w:val="-3"/>
        </w:rPr>
        <w:t>、</w:t>
      </w:r>
      <w:r>
        <w:t>5.3.2</w:t>
      </w:r>
      <w:r>
        <w:t>、</w:t>
      </w:r>
      <w:r>
        <w:t>5.3.3</w:t>
      </w:r>
      <w:r>
        <w:t>、</w:t>
      </w:r>
      <w:r>
        <w:t>5.3.5</w:t>
      </w:r>
      <w:r>
        <w:t>、</w:t>
      </w:r>
      <w:r>
        <w:t>5.3.7</w:t>
      </w:r>
      <w:r>
        <w:t>、</w:t>
      </w:r>
      <w:r>
        <w:t>5.3.8</w:t>
      </w:r>
      <w:r>
        <w:t>、</w:t>
      </w:r>
      <w:r>
        <w:t>5.3.12</w:t>
      </w:r>
      <w:r>
        <w:t>。</w:t>
      </w:r>
      <w:r>
        <w:rPr>
          <w:spacing w:val="-3"/>
        </w:rPr>
        <w:t>如有一项不合格，则对不合格项进行加倍抽样检验，若仍出现不合格，则该批灯具产品出厂检验为不合格。</w:t>
      </w:r>
      <w:r>
        <w:t xml:space="preserve"> </w:t>
      </w:r>
    </w:p>
    <w:p w14:paraId="757DD3C9" w14:textId="77777777" w:rsidR="00A71EEF" w:rsidRDefault="0081115D">
      <w:pPr>
        <w:pStyle w:val="a4"/>
        <w:numPr>
          <w:ilvl w:val="1"/>
          <w:numId w:val="847"/>
        </w:numPr>
        <w:tabs>
          <w:tab w:val="left" w:pos="1159"/>
        </w:tabs>
        <w:spacing w:line="268" w:lineRule="exact"/>
        <w:ind w:hanging="319"/>
        <w:rPr>
          <w:b/>
          <w:sz w:val="21"/>
        </w:rPr>
      </w:pPr>
      <w:r>
        <w:rPr>
          <w:spacing w:val="-3"/>
          <w:sz w:val="21"/>
        </w:rPr>
        <w:t>形式检验</w:t>
      </w:r>
      <w:r>
        <w:rPr>
          <w:b/>
          <w:w w:val="99"/>
          <w:sz w:val="21"/>
        </w:rPr>
        <w:t xml:space="preserve"> </w:t>
      </w:r>
    </w:p>
    <w:p w14:paraId="7732CF96" w14:textId="77777777" w:rsidR="00A71EEF" w:rsidRDefault="00A71EEF">
      <w:pPr>
        <w:spacing w:line="268" w:lineRule="exact"/>
        <w:rPr>
          <w:sz w:val="21"/>
        </w:rPr>
        <w:sectPr w:rsidR="00A71EEF">
          <w:pgSz w:w="11910" w:h="16850"/>
          <w:pgMar w:top="1220" w:right="0" w:bottom="1420" w:left="1260" w:header="0" w:footer="1239" w:gutter="0"/>
          <w:cols w:space="720"/>
        </w:sectPr>
      </w:pPr>
    </w:p>
    <w:p w14:paraId="73529A36" w14:textId="77777777" w:rsidR="00A71EEF" w:rsidRDefault="0081115D">
      <w:pPr>
        <w:pStyle w:val="a4"/>
        <w:numPr>
          <w:ilvl w:val="2"/>
          <w:numId w:val="847"/>
        </w:numPr>
        <w:tabs>
          <w:tab w:val="left" w:pos="1371"/>
        </w:tabs>
        <w:spacing w:before="47" w:line="446" w:lineRule="auto"/>
        <w:ind w:right="5493" w:firstLine="2"/>
        <w:rPr>
          <w:sz w:val="21"/>
        </w:rPr>
      </w:pPr>
      <w:r>
        <w:rPr>
          <w:spacing w:val="-3"/>
          <w:sz w:val="21"/>
        </w:rPr>
        <w:lastRenderedPageBreak/>
        <w:t>有下列情况之一时，应进行形式检验：</w:t>
      </w:r>
      <w:r>
        <w:rPr>
          <w:spacing w:val="-3"/>
          <w:sz w:val="21"/>
        </w:rPr>
        <w:t xml:space="preserve"> </w:t>
      </w:r>
      <w:r>
        <w:rPr>
          <w:sz w:val="21"/>
        </w:rPr>
        <w:t>a)</w:t>
      </w:r>
      <w:r>
        <w:rPr>
          <w:spacing w:val="-3"/>
          <w:sz w:val="21"/>
        </w:rPr>
        <w:t xml:space="preserve"> </w:t>
      </w:r>
      <w:r>
        <w:rPr>
          <w:spacing w:val="-3"/>
          <w:sz w:val="21"/>
        </w:rPr>
        <w:t>新产品试制定型及老产品转厂生产；</w:t>
      </w:r>
      <w:r>
        <w:rPr>
          <w:sz w:val="21"/>
        </w:rPr>
        <w:t xml:space="preserve"> </w:t>
      </w:r>
    </w:p>
    <w:p w14:paraId="42F2F909" w14:textId="77777777" w:rsidR="00A71EEF" w:rsidRDefault="0081115D">
      <w:pPr>
        <w:pStyle w:val="a3"/>
        <w:spacing w:line="446" w:lineRule="auto"/>
        <w:ind w:left="838" w:right="2977"/>
      </w:pPr>
      <w:r>
        <w:t>b)</w:t>
      </w:r>
      <w:r>
        <w:rPr>
          <w:spacing w:val="-3"/>
        </w:rPr>
        <w:t xml:space="preserve"> </w:t>
      </w:r>
      <w:r>
        <w:rPr>
          <w:spacing w:val="-3"/>
        </w:rPr>
        <w:t>定型产品材料、设计、结构、工艺方</w:t>
      </w:r>
      <w:r>
        <w:rPr>
          <w:spacing w:val="-3"/>
        </w:rPr>
        <w:t>面有较大改变可能影响产品性能；</w:t>
      </w:r>
      <w:r>
        <w:rPr>
          <w:spacing w:val="-3"/>
        </w:rPr>
        <w:t xml:space="preserve"> c) </w:t>
      </w:r>
      <w:r>
        <w:rPr>
          <w:spacing w:val="-3"/>
        </w:rPr>
        <w:t>产品停产一年恢复生产；</w:t>
      </w:r>
      <w:r>
        <w:rPr>
          <w:spacing w:val="-3"/>
        </w:rPr>
        <w:t xml:space="preserve"> </w:t>
      </w:r>
    </w:p>
    <w:p w14:paraId="7E48AC00" w14:textId="77777777" w:rsidR="00A71EEF" w:rsidRDefault="0081115D">
      <w:pPr>
        <w:pStyle w:val="a3"/>
        <w:ind w:left="838"/>
      </w:pPr>
      <w:r>
        <w:t xml:space="preserve">d) </w:t>
      </w:r>
      <w:r>
        <w:t>发生重大质量事故。</w:t>
      </w:r>
      <w:r>
        <w:t xml:space="preserve"> </w:t>
      </w:r>
    </w:p>
    <w:p w14:paraId="44FB851E" w14:textId="77777777" w:rsidR="00A71EEF" w:rsidRDefault="00A71EEF">
      <w:pPr>
        <w:pStyle w:val="a3"/>
        <w:spacing w:before="10"/>
        <w:rPr>
          <w:sz w:val="17"/>
        </w:rPr>
      </w:pPr>
    </w:p>
    <w:p w14:paraId="002EB954" w14:textId="77777777" w:rsidR="00A71EEF" w:rsidRDefault="0081115D">
      <w:pPr>
        <w:pStyle w:val="a4"/>
        <w:numPr>
          <w:ilvl w:val="2"/>
          <w:numId w:val="847"/>
        </w:numPr>
        <w:tabs>
          <w:tab w:val="left" w:pos="1371"/>
        </w:tabs>
        <w:ind w:left="1370"/>
        <w:rPr>
          <w:sz w:val="21"/>
        </w:rPr>
      </w:pPr>
      <w:r>
        <w:rPr>
          <w:spacing w:val="-5"/>
          <w:sz w:val="21"/>
        </w:rPr>
        <w:t>形式检验的样品应从出厂检验合格的产品中随机抽取，抽样数量为</w:t>
      </w:r>
      <w:r>
        <w:rPr>
          <w:spacing w:val="-5"/>
          <w:sz w:val="21"/>
        </w:rPr>
        <w:t xml:space="preserve"> </w:t>
      </w:r>
      <w:r>
        <w:rPr>
          <w:sz w:val="21"/>
        </w:rPr>
        <w:t>3</w:t>
      </w:r>
      <w:r>
        <w:rPr>
          <w:spacing w:val="-27"/>
          <w:sz w:val="21"/>
        </w:rPr>
        <w:t xml:space="preserve"> </w:t>
      </w:r>
      <w:r>
        <w:rPr>
          <w:spacing w:val="-27"/>
          <w:sz w:val="21"/>
        </w:rPr>
        <w:t>件</w:t>
      </w:r>
      <w:r>
        <w:rPr>
          <w:sz w:val="21"/>
        </w:rPr>
        <w:t>（</w:t>
      </w:r>
      <w:r>
        <w:rPr>
          <w:spacing w:val="-3"/>
          <w:sz w:val="21"/>
        </w:rPr>
        <w:t>套</w:t>
      </w:r>
      <w:r>
        <w:rPr>
          <w:sz w:val="21"/>
        </w:rPr>
        <w:t>）</w:t>
      </w:r>
      <w:r>
        <w:rPr>
          <w:spacing w:val="-3"/>
          <w:sz w:val="21"/>
        </w:rPr>
        <w:t>。</w:t>
      </w:r>
      <w:r>
        <w:rPr>
          <w:sz w:val="21"/>
        </w:rPr>
        <w:t xml:space="preserve"> </w:t>
      </w:r>
    </w:p>
    <w:p w14:paraId="1B886E6F" w14:textId="77777777" w:rsidR="00A71EEF" w:rsidRDefault="00A71EEF">
      <w:pPr>
        <w:pStyle w:val="a3"/>
        <w:spacing w:before="2"/>
        <w:rPr>
          <w:sz w:val="18"/>
        </w:rPr>
      </w:pPr>
    </w:p>
    <w:p w14:paraId="5C016487" w14:textId="77777777" w:rsidR="00A71EEF" w:rsidRDefault="0081115D">
      <w:pPr>
        <w:pStyle w:val="a4"/>
        <w:numPr>
          <w:ilvl w:val="2"/>
          <w:numId w:val="847"/>
        </w:numPr>
        <w:tabs>
          <w:tab w:val="left" w:pos="1371"/>
        </w:tabs>
        <w:ind w:left="1370"/>
        <w:rPr>
          <w:sz w:val="21"/>
        </w:rPr>
      </w:pPr>
      <w:r>
        <w:rPr>
          <w:spacing w:val="-7"/>
          <w:sz w:val="21"/>
        </w:rPr>
        <w:t>形式检验项目和试验程序应符合表</w:t>
      </w:r>
      <w:r>
        <w:rPr>
          <w:spacing w:val="-7"/>
          <w:sz w:val="21"/>
        </w:rPr>
        <w:t xml:space="preserve"> </w:t>
      </w:r>
      <w:r>
        <w:rPr>
          <w:sz w:val="21"/>
        </w:rPr>
        <w:t>7</w:t>
      </w:r>
      <w:r>
        <w:rPr>
          <w:spacing w:val="-12"/>
          <w:sz w:val="21"/>
        </w:rPr>
        <w:t xml:space="preserve"> </w:t>
      </w:r>
      <w:r>
        <w:rPr>
          <w:spacing w:val="-12"/>
          <w:sz w:val="21"/>
        </w:rPr>
        <w:t>的规定。</w:t>
      </w:r>
      <w:r>
        <w:rPr>
          <w:spacing w:val="-12"/>
          <w:sz w:val="21"/>
        </w:rPr>
        <w:t xml:space="preserve"> </w:t>
      </w:r>
    </w:p>
    <w:p w14:paraId="3C7A6CDB" w14:textId="77777777" w:rsidR="00A71EEF" w:rsidRDefault="0081115D">
      <w:pPr>
        <w:pStyle w:val="a3"/>
        <w:spacing w:before="8"/>
        <w:rPr>
          <w:sz w:val="8"/>
        </w:rPr>
      </w:pPr>
      <w:r>
        <w:pict w14:anchorId="470752FA">
          <v:group id="_x0000_s1187" style="position:absolute;margin-left:88.15pt;margin-top:7.5pt;width:375.55pt;height:435.15pt;z-index:-251502080;mso-wrap-distance-left:0;mso-wrap-distance-right:0;mso-position-horizontal-relative:page" coordorigin="1763,150" coordsize="7511,8703">
            <v:shape id="_x0000_s1189" type="#_x0000_t75" style="position:absolute;left:1993;top:149;width:7184;height:6870">
              <v:imagedata r:id="rId69" o:title=""/>
            </v:shape>
            <v:shape id="_x0000_s1188" type="#_x0000_t75" style="position:absolute;left:1763;top:7013;width:7511;height:1839">
              <v:imagedata r:id="rId70" o:title=""/>
            </v:shape>
            <w10:wrap type="topAndBottom" anchorx="page"/>
          </v:group>
        </w:pict>
      </w:r>
    </w:p>
    <w:p w14:paraId="3FAED0EB" w14:textId="77777777" w:rsidR="00A71EEF" w:rsidRDefault="0081115D">
      <w:pPr>
        <w:pStyle w:val="a4"/>
        <w:numPr>
          <w:ilvl w:val="2"/>
          <w:numId w:val="847"/>
        </w:numPr>
        <w:tabs>
          <w:tab w:val="left" w:pos="1371"/>
        </w:tabs>
        <w:spacing w:before="163"/>
        <w:ind w:left="1370"/>
        <w:rPr>
          <w:sz w:val="21"/>
        </w:rPr>
      </w:pPr>
      <w:r>
        <w:rPr>
          <w:spacing w:val="-3"/>
          <w:sz w:val="21"/>
        </w:rPr>
        <w:t>形式检验项目结果全部符合本标准规定时，判形式检验为合格。</w:t>
      </w:r>
      <w:r>
        <w:rPr>
          <w:sz w:val="21"/>
        </w:rPr>
        <w:t xml:space="preserve"> </w:t>
      </w:r>
    </w:p>
    <w:p w14:paraId="3091AC87" w14:textId="77777777" w:rsidR="00A71EEF" w:rsidRDefault="00A71EEF">
      <w:pPr>
        <w:pStyle w:val="a3"/>
        <w:spacing w:before="11"/>
        <w:rPr>
          <w:sz w:val="15"/>
        </w:rPr>
      </w:pPr>
    </w:p>
    <w:p w14:paraId="5F9472C2" w14:textId="77777777" w:rsidR="00A71EEF" w:rsidRDefault="0081115D">
      <w:pPr>
        <w:pStyle w:val="4"/>
      </w:pPr>
      <w:r>
        <w:t xml:space="preserve">8 </w:t>
      </w:r>
      <w:r>
        <w:t>标志、包装、运输和贮存</w:t>
      </w:r>
      <w:r>
        <w:rPr>
          <w:w w:val="99"/>
        </w:rPr>
        <w:t xml:space="preserve"> </w:t>
      </w:r>
    </w:p>
    <w:p w14:paraId="5D0373C3" w14:textId="77777777" w:rsidR="00A71EEF" w:rsidRDefault="00A71EEF">
      <w:pPr>
        <w:pStyle w:val="a3"/>
        <w:spacing w:before="4"/>
        <w:rPr>
          <w:b/>
          <w:sz w:val="17"/>
        </w:rPr>
      </w:pPr>
    </w:p>
    <w:p w14:paraId="687CE045" w14:textId="77777777" w:rsidR="00A71EEF" w:rsidRDefault="0081115D">
      <w:pPr>
        <w:pStyle w:val="a4"/>
        <w:numPr>
          <w:ilvl w:val="1"/>
          <w:numId w:val="846"/>
        </w:numPr>
        <w:tabs>
          <w:tab w:val="left" w:pos="1159"/>
        </w:tabs>
        <w:ind w:hanging="319"/>
        <w:rPr>
          <w:sz w:val="21"/>
        </w:rPr>
      </w:pPr>
      <w:r>
        <w:rPr>
          <w:spacing w:val="-3"/>
          <w:sz w:val="21"/>
        </w:rPr>
        <w:t>标志</w:t>
      </w:r>
      <w:r>
        <w:rPr>
          <w:sz w:val="21"/>
        </w:rPr>
        <w:t xml:space="preserve"> </w:t>
      </w:r>
    </w:p>
    <w:p w14:paraId="19B4AE81" w14:textId="77777777" w:rsidR="00A71EEF" w:rsidRDefault="00A71EEF">
      <w:pPr>
        <w:rPr>
          <w:sz w:val="21"/>
        </w:rPr>
        <w:sectPr w:rsidR="00A71EEF">
          <w:pgSz w:w="11910" w:h="16850"/>
          <w:pgMar w:top="1220" w:right="0" w:bottom="1420" w:left="1260" w:header="0" w:footer="1239" w:gutter="0"/>
          <w:cols w:space="720"/>
        </w:sectPr>
      </w:pPr>
    </w:p>
    <w:p w14:paraId="439752DF" w14:textId="77777777" w:rsidR="00A71EEF" w:rsidRDefault="0081115D">
      <w:pPr>
        <w:pStyle w:val="a4"/>
        <w:numPr>
          <w:ilvl w:val="2"/>
          <w:numId w:val="846"/>
        </w:numPr>
        <w:tabs>
          <w:tab w:val="left" w:pos="1370"/>
        </w:tabs>
        <w:spacing w:before="47"/>
        <w:ind w:hanging="530"/>
        <w:rPr>
          <w:sz w:val="21"/>
        </w:rPr>
      </w:pPr>
      <w:r>
        <w:rPr>
          <w:spacing w:val="-3"/>
          <w:sz w:val="21"/>
        </w:rPr>
        <w:lastRenderedPageBreak/>
        <w:t>灯具标志</w:t>
      </w:r>
      <w:r>
        <w:rPr>
          <w:sz w:val="21"/>
        </w:rPr>
        <w:t xml:space="preserve"> </w:t>
      </w:r>
    </w:p>
    <w:p w14:paraId="1F52FDD8" w14:textId="77777777" w:rsidR="00A71EEF" w:rsidRDefault="00A71EEF">
      <w:pPr>
        <w:pStyle w:val="a3"/>
        <w:rPr>
          <w:sz w:val="18"/>
        </w:rPr>
      </w:pPr>
    </w:p>
    <w:p w14:paraId="4DE11039" w14:textId="77777777" w:rsidR="00A71EEF" w:rsidRDefault="0081115D">
      <w:pPr>
        <w:pStyle w:val="a3"/>
        <w:spacing w:line="446" w:lineRule="auto"/>
        <w:ind w:left="838" w:right="3397"/>
      </w:pPr>
      <w:r>
        <w:t>灯具的明显位置处应有清晰且与灯具为一体的标志，包括以下内容：</w:t>
      </w:r>
      <w:r>
        <w:t xml:space="preserve"> a) </w:t>
      </w:r>
      <w:r>
        <w:t>产品名称；</w:t>
      </w:r>
      <w:r>
        <w:t xml:space="preserve"> </w:t>
      </w:r>
    </w:p>
    <w:p w14:paraId="4E3842DB" w14:textId="77777777" w:rsidR="00A71EEF" w:rsidRDefault="0081115D">
      <w:pPr>
        <w:pStyle w:val="a4"/>
        <w:numPr>
          <w:ilvl w:val="0"/>
          <w:numId w:val="845"/>
        </w:numPr>
        <w:tabs>
          <w:tab w:val="left" w:pos="1051"/>
        </w:tabs>
        <w:rPr>
          <w:sz w:val="21"/>
        </w:rPr>
      </w:pPr>
      <w:r>
        <w:rPr>
          <w:spacing w:val="-3"/>
          <w:sz w:val="21"/>
        </w:rPr>
        <w:t>产品型号；</w:t>
      </w:r>
      <w:r>
        <w:rPr>
          <w:sz w:val="21"/>
        </w:rPr>
        <w:t xml:space="preserve"> </w:t>
      </w:r>
    </w:p>
    <w:p w14:paraId="5F69B7D4" w14:textId="77777777" w:rsidR="00A71EEF" w:rsidRDefault="00A71EEF">
      <w:pPr>
        <w:pStyle w:val="a3"/>
        <w:spacing w:before="12"/>
        <w:rPr>
          <w:sz w:val="17"/>
        </w:rPr>
      </w:pPr>
    </w:p>
    <w:p w14:paraId="75BE2BE9" w14:textId="77777777" w:rsidR="00A71EEF" w:rsidRDefault="0081115D">
      <w:pPr>
        <w:pStyle w:val="a4"/>
        <w:numPr>
          <w:ilvl w:val="0"/>
          <w:numId w:val="845"/>
        </w:numPr>
        <w:tabs>
          <w:tab w:val="left" w:pos="1051"/>
        </w:tabs>
        <w:spacing w:line="446" w:lineRule="auto"/>
        <w:ind w:left="838" w:right="3085" w:firstLine="0"/>
        <w:rPr>
          <w:sz w:val="21"/>
        </w:rPr>
      </w:pPr>
      <w:r>
        <w:rPr>
          <w:spacing w:val="-3"/>
          <w:sz w:val="21"/>
        </w:rPr>
        <w:t>防护等级（</w:t>
      </w:r>
      <w:r>
        <w:rPr>
          <w:spacing w:val="-13"/>
          <w:sz w:val="21"/>
        </w:rPr>
        <w:t>等级为</w:t>
      </w:r>
      <w:r>
        <w:rPr>
          <w:spacing w:val="-13"/>
          <w:sz w:val="21"/>
        </w:rPr>
        <w:t xml:space="preserve"> </w:t>
      </w:r>
      <w:r>
        <w:rPr>
          <w:sz w:val="21"/>
        </w:rPr>
        <w:t>IP</w:t>
      </w:r>
      <w:r>
        <w:rPr>
          <w:spacing w:val="11"/>
          <w:sz w:val="21"/>
        </w:rPr>
        <w:t xml:space="preserve"> </w:t>
      </w:r>
      <w:r>
        <w:rPr>
          <w:sz w:val="21"/>
        </w:rPr>
        <w:t>66/IP</w:t>
      </w:r>
      <w:r>
        <w:rPr>
          <w:spacing w:val="10"/>
          <w:sz w:val="21"/>
        </w:rPr>
        <w:t xml:space="preserve"> </w:t>
      </w:r>
      <w:r>
        <w:rPr>
          <w:sz w:val="21"/>
        </w:rPr>
        <w:t>68</w:t>
      </w:r>
      <w:r>
        <w:rPr>
          <w:spacing w:val="-8"/>
          <w:sz w:val="21"/>
        </w:rPr>
        <w:t xml:space="preserve"> </w:t>
      </w:r>
      <w:r>
        <w:rPr>
          <w:spacing w:val="-8"/>
          <w:sz w:val="21"/>
        </w:rPr>
        <w:t>时，需标注潜水深度和持续时间</w:t>
      </w:r>
      <w:r>
        <w:rPr>
          <w:sz w:val="21"/>
        </w:rPr>
        <w:t>）；</w:t>
      </w:r>
      <w:r>
        <w:rPr>
          <w:sz w:val="21"/>
        </w:rPr>
        <w:t xml:space="preserve"> d)</w:t>
      </w:r>
      <w:r>
        <w:rPr>
          <w:spacing w:val="-3"/>
          <w:sz w:val="21"/>
        </w:rPr>
        <w:t xml:space="preserve"> </w:t>
      </w:r>
      <w:r>
        <w:rPr>
          <w:spacing w:val="-3"/>
          <w:sz w:val="21"/>
        </w:rPr>
        <w:t>防爆标志；</w:t>
      </w:r>
      <w:r>
        <w:rPr>
          <w:sz w:val="21"/>
        </w:rPr>
        <w:t xml:space="preserve"> </w:t>
      </w:r>
    </w:p>
    <w:p w14:paraId="1BA77911" w14:textId="77777777" w:rsidR="00A71EEF" w:rsidRDefault="0081115D">
      <w:pPr>
        <w:pStyle w:val="a3"/>
        <w:spacing w:line="446" w:lineRule="auto"/>
        <w:ind w:left="838" w:right="8126"/>
      </w:pPr>
      <w:r>
        <w:t>e)</w:t>
      </w:r>
      <w:r>
        <w:rPr>
          <w:spacing w:val="-1"/>
        </w:rPr>
        <w:t xml:space="preserve">  </w:t>
      </w:r>
      <w:r>
        <w:rPr>
          <w:spacing w:val="-1"/>
        </w:rPr>
        <w:t>生产日期；</w:t>
      </w:r>
      <w:r>
        <w:rPr>
          <w:spacing w:val="-1"/>
        </w:rPr>
        <w:t xml:space="preserve"> </w:t>
      </w:r>
      <w:r>
        <w:t>f)</w:t>
      </w:r>
      <w:r>
        <w:rPr>
          <w:spacing w:val="-2"/>
        </w:rPr>
        <w:t xml:space="preserve">  </w:t>
      </w:r>
      <w:r>
        <w:rPr>
          <w:spacing w:val="-2"/>
        </w:rPr>
        <w:t>产品编号；</w:t>
      </w:r>
      <w:r>
        <w:rPr>
          <w:spacing w:val="-2"/>
        </w:rPr>
        <w:t xml:space="preserve"> </w:t>
      </w:r>
      <w:r>
        <w:t>g)</w:t>
      </w:r>
      <w:r>
        <w:rPr>
          <w:spacing w:val="-3"/>
        </w:rPr>
        <w:t xml:space="preserve"> </w:t>
      </w:r>
      <w:r>
        <w:rPr>
          <w:spacing w:val="-3"/>
        </w:rPr>
        <w:t>生产厂名称。</w:t>
      </w:r>
      <w:r>
        <w:t xml:space="preserve"> </w:t>
      </w:r>
    </w:p>
    <w:p w14:paraId="02DC388D" w14:textId="77777777" w:rsidR="00A71EEF" w:rsidRDefault="0081115D">
      <w:pPr>
        <w:pStyle w:val="a4"/>
        <w:numPr>
          <w:ilvl w:val="2"/>
          <w:numId w:val="846"/>
        </w:numPr>
        <w:tabs>
          <w:tab w:val="left" w:pos="1370"/>
        </w:tabs>
        <w:spacing w:line="268" w:lineRule="exact"/>
        <w:ind w:hanging="530"/>
        <w:rPr>
          <w:sz w:val="21"/>
        </w:rPr>
      </w:pPr>
      <w:r>
        <w:rPr>
          <w:spacing w:val="-3"/>
          <w:sz w:val="21"/>
        </w:rPr>
        <w:t>充电器标志</w:t>
      </w:r>
      <w:r>
        <w:rPr>
          <w:sz w:val="21"/>
        </w:rPr>
        <w:t xml:space="preserve"> </w:t>
      </w:r>
    </w:p>
    <w:p w14:paraId="5572359D" w14:textId="77777777" w:rsidR="00A71EEF" w:rsidRDefault="00A71EEF">
      <w:pPr>
        <w:pStyle w:val="a3"/>
        <w:rPr>
          <w:sz w:val="18"/>
        </w:rPr>
      </w:pPr>
    </w:p>
    <w:p w14:paraId="197FB150" w14:textId="77777777" w:rsidR="00A71EEF" w:rsidRDefault="0081115D">
      <w:pPr>
        <w:pStyle w:val="a3"/>
        <w:spacing w:line="446" w:lineRule="auto"/>
        <w:ind w:left="838" w:right="4026"/>
      </w:pPr>
      <w:r>
        <w:t>充电器的明显位置处应有清晰、耐久的标志，包括以下内容：</w:t>
      </w:r>
      <w:r>
        <w:t xml:space="preserve"> a) </w:t>
      </w:r>
      <w:r>
        <w:t>产品名称；</w:t>
      </w:r>
      <w:r>
        <w:t xml:space="preserve"> </w:t>
      </w:r>
    </w:p>
    <w:p w14:paraId="52C21C68" w14:textId="77777777" w:rsidR="00A71EEF" w:rsidRDefault="0081115D">
      <w:pPr>
        <w:pStyle w:val="a4"/>
        <w:numPr>
          <w:ilvl w:val="0"/>
          <w:numId w:val="844"/>
        </w:numPr>
        <w:tabs>
          <w:tab w:val="left" w:pos="1051"/>
        </w:tabs>
        <w:rPr>
          <w:sz w:val="21"/>
        </w:rPr>
      </w:pPr>
      <w:r>
        <w:rPr>
          <w:spacing w:val="-3"/>
          <w:sz w:val="21"/>
        </w:rPr>
        <w:t>产品型号；</w:t>
      </w:r>
      <w:r>
        <w:rPr>
          <w:sz w:val="21"/>
        </w:rPr>
        <w:t xml:space="preserve"> </w:t>
      </w:r>
    </w:p>
    <w:p w14:paraId="7BC8B385" w14:textId="77777777" w:rsidR="00A71EEF" w:rsidRDefault="00A71EEF">
      <w:pPr>
        <w:pStyle w:val="a3"/>
        <w:spacing w:before="12"/>
        <w:rPr>
          <w:sz w:val="17"/>
        </w:rPr>
      </w:pPr>
    </w:p>
    <w:p w14:paraId="5D9BEB2D" w14:textId="77777777" w:rsidR="00A71EEF" w:rsidRDefault="0081115D">
      <w:pPr>
        <w:pStyle w:val="a4"/>
        <w:numPr>
          <w:ilvl w:val="0"/>
          <w:numId w:val="844"/>
        </w:numPr>
        <w:tabs>
          <w:tab w:val="left" w:pos="1051"/>
        </w:tabs>
        <w:spacing w:line="446" w:lineRule="auto"/>
        <w:ind w:left="838" w:right="7914" w:firstLine="0"/>
        <w:rPr>
          <w:sz w:val="21"/>
        </w:rPr>
      </w:pPr>
      <w:r>
        <w:rPr>
          <w:spacing w:val="-3"/>
          <w:sz w:val="21"/>
        </w:rPr>
        <w:t>适配灯具型号；</w:t>
      </w:r>
      <w:r>
        <w:rPr>
          <w:spacing w:val="-3"/>
          <w:sz w:val="21"/>
        </w:rPr>
        <w:t xml:space="preserve"> </w:t>
      </w:r>
      <w:r>
        <w:rPr>
          <w:sz w:val="21"/>
        </w:rPr>
        <w:t>d)</w:t>
      </w:r>
      <w:r>
        <w:rPr>
          <w:spacing w:val="-3"/>
          <w:sz w:val="21"/>
        </w:rPr>
        <w:t xml:space="preserve"> </w:t>
      </w:r>
      <w:r>
        <w:rPr>
          <w:spacing w:val="-3"/>
          <w:sz w:val="21"/>
        </w:rPr>
        <w:t>生产日期；</w:t>
      </w:r>
      <w:r>
        <w:rPr>
          <w:sz w:val="21"/>
        </w:rPr>
        <w:t xml:space="preserve"> </w:t>
      </w:r>
    </w:p>
    <w:p w14:paraId="419A12E9" w14:textId="77777777" w:rsidR="00A71EEF" w:rsidRDefault="0081115D">
      <w:pPr>
        <w:pStyle w:val="a3"/>
        <w:spacing w:line="446" w:lineRule="auto"/>
        <w:ind w:left="838" w:right="8126"/>
      </w:pPr>
      <w:r>
        <w:t>e)</w:t>
      </w:r>
      <w:r>
        <w:rPr>
          <w:spacing w:val="-1"/>
        </w:rPr>
        <w:t xml:space="preserve">  </w:t>
      </w:r>
      <w:r>
        <w:rPr>
          <w:spacing w:val="-1"/>
        </w:rPr>
        <w:t>产品编号；</w:t>
      </w:r>
      <w:r>
        <w:rPr>
          <w:spacing w:val="-1"/>
        </w:rPr>
        <w:t xml:space="preserve"> </w:t>
      </w:r>
      <w:r>
        <w:t>f)</w:t>
      </w:r>
      <w:r>
        <w:rPr>
          <w:spacing w:val="-3"/>
        </w:rPr>
        <w:t xml:space="preserve"> </w:t>
      </w:r>
      <w:r>
        <w:rPr>
          <w:spacing w:val="-3"/>
        </w:rPr>
        <w:t>生产厂名称。</w:t>
      </w:r>
      <w:r>
        <w:rPr>
          <w:b/>
        </w:rPr>
        <w:t>8.1.3</w:t>
      </w:r>
      <w:r>
        <w:rPr>
          <w:b/>
          <w:spacing w:val="3"/>
        </w:rPr>
        <w:t xml:space="preserve"> </w:t>
      </w:r>
      <w:r>
        <w:rPr>
          <w:spacing w:val="-3"/>
        </w:rPr>
        <w:t>包装标志</w:t>
      </w:r>
      <w:r>
        <w:t xml:space="preserve"> </w:t>
      </w:r>
    </w:p>
    <w:p w14:paraId="4ED44E42" w14:textId="77777777" w:rsidR="00A71EEF" w:rsidRDefault="0081115D">
      <w:pPr>
        <w:pStyle w:val="a3"/>
        <w:spacing w:line="446" w:lineRule="auto"/>
        <w:ind w:left="838" w:right="4026"/>
      </w:pPr>
      <w:r>
        <w:t>包装箱上应印明显、清晰、耐久的文字标志，包括以下内容：</w:t>
      </w:r>
      <w:r>
        <w:t xml:space="preserve"> a) </w:t>
      </w:r>
      <w:r>
        <w:t>产品名称、型号；</w:t>
      </w:r>
      <w:r>
        <w:t xml:space="preserve"> </w:t>
      </w:r>
    </w:p>
    <w:p w14:paraId="41CB1D1B" w14:textId="77777777" w:rsidR="00A71EEF" w:rsidRDefault="0081115D">
      <w:pPr>
        <w:pStyle w:val="a3"/>
        <w:spacing w:line="446" w:lineRule="auto"/>
        <w:ind w:left="838" w:right="8330"/>
      </w:pPr>
      <w:r>
        <w:t xml:space="preserve">b) </w:t>
      </w:r>
      <w:r>
        <w:t>产品数量；</w:t>
      </w:r>
      <w:r>
        <w:t xml:space="preserve"> c) </w:t>
      </w:r>
      <w:r>
        <w:t>生产日期；</w:t>
      </w:r>
      <w:r>
        <w:t xml:space="preserve"> </w:t>
      </w:r>
    </w:p>
    <w:p w14:paraId="28287A90" w14:textId="77777777" w:rsidR="00A71EEF" w:rsidRDefault="0081115D">
      <w:pPr>
        <w:pStyle w:val="a3"/>
        <w:spacing w:line="446" w:lineRule="auto"/>
        <w:ind w:left="838" w:right="7705"/>
        <w:jc w:val="both"/>
      </w:pPr>
      <w:r>
        <w:t xml:space="preserve">d) </w:t>
      </w:r>
      <w:r>
        <w:t>生产厂名及地址；</w:t>
      </w:r>
      <w:r>
        <w:t xml:space="preserve"> e) </w:t>
      </w:r>
      <w:r>
        <w:t>外形尺寸及重量；</w:t>
      </w:r>
      <w:r>
        <w:t xml:space="preserve"> f) </w:t>
      </w:r>
      <w:r>
        <w:t>执行标准号；</w:t>
      </w:r>
      <w:r>
        <w:t xml:space="preserve"> </w:t>
      </w:r>
    </w:p>
    <w:p w14:paraId="33F2B36A" w14:textId="77777777" w:rsidR="00A71EEF" w:rsidRDefault="0081115D">
      <w:pPr>
        <w:pStyle w:val="a3"/>
        <w:spacing w:line="446" w:lineRule="auto"/>
        <w:ind w:left="840" w:right="2350" w:hanging="3"/>
        <w:jc w:val="both"/>
      </w:pPr>
      <w:r>
        <w:t xml:space="preserve">g) </w:t>
      </w:r>
      <w:r>
        <w:t>向上、防潮、小心轻放等标志，并应符合</w:t>
      </w:r>
      <w:r>
        <w:t xml:space="preserve"> GB/T 191—2008 </w:t>
      </w:r>
      <w:r>
        <w:t>有关标记的规定。</w:t>
      </w:r>
      <w:r>
        <w:rPr>
          <w:b/>
        </w:rPr>
        <w:t xml:space="preserve">8.2 </w:t>
      </w:r>
      <w:r>
        <w:t>包装</w:t>
      </w:r>
      <w:r>
        <w:t xml:space="preserve"> </w:t>
      </w:r>
    </w:p>
    <w:p w14:paraId="00D9BFD4" w14:textId="77777777" w:rsidR="00A71EEF" w:rsidRDefault="00A71EEF">
      <w:pPr>
        <w:spacing w:line="446" w:lineRule="auto"/>
        <w:jc w:val="both"/>
        <w:sectPr w:rsidR="00A71EEF">
          <w:pgSz w:w="11910" w:h="16850"/>
          <w:pgMar w:top="1220" w:right="0" w:bottom="1420" w:left="1260" w:header="0" w:footer="1239" w:gutter="0"/>
          <w:cols w:space="720"/>
        </w:sectPr>
      </w:pPr>
    </w:p>
    <w:p w14:paraId="3CA0E515" w14:textId="77777777" w:rsidR="00A71EEF" w:rsidRDefault="0081115D">
      <w:pPr>
        <w:pStyle w:val="a3"/>
        <w:spacing w:before="47" w:line="446" w:lineRule="auto"/>
        <w:ind w:left="418" w:right="1609" w:firstLine="419"/>
      </w:pPr>
      <w:r>
        <w:lastRenderedPageBreak/>
        <w:t>灯具及附件的内包装为塑料袋包装，再用纸盒或塑料泡沫包装，并附有产品合格证和使用说明书。</w:t>
      </w:r>
      <w:r>
        <w:t xml:space="preserve"> </w:t>
      </w:r>
    </w:p>
    <w:p w14:paraId="038131E6" w14:textId="77777777" w:rsidR="00A71EEF" w:rsidRDefault="0081115D">
      <w:pPr>
        <w:spacing w:line="267" w:lineRule="exact"/>
        <w:ind w:left="840"/>
        <w:rPr>
          <w:sz w:val="21"/>
        </w:rPr>
      </w:pPr>
      <w:r>
        <w:rPr>
          <w:b/>
          <w:sz w:val="21"/>
        </w:rPr>
        <w:t>8.3</w:t>
      </w:r>
      <w:r>
        <w:rPr>
          <w:b/>
          <w:spacing w:val="3"/>
          <w:sz w:val="21"/>
        </w:rPr>
        <w:t xml:space="preserve"> </w:t>
      </w:r>
      <w:r>
        <w:rPr>
          <w:spacing w:val="-3"/>
          <w:sz w:val="21"/>
        </w:rPr>
        <w:t>运输</w:t>
      </w:r>
      <w:r>
        <w:rPr>
          <w:sz w:val="21"/>
        </w:rPr>
        <w:t xml:space="preserve"> </w:t>
      </w:r>
    </w:p>
    <w:p w14:paraId="0E63E647" w14:textId="77777777" w:rsidR="00A71EEF" w:rsidRDefault="00A71EEF">
      <w:pPr>
        <w:pStyle w:val="a3"/>
        <w:spacing w:before="2"/>
        <w:rPr>
          <w:sz w:val="18"/>
        </w:rPr>
      </w:pPr>
    </w:p>
    <w:p w14:paraId="2985DB3B" w14:textId="77777777" w:rsidR="00A71EEF" w:rsidRDefault="0081115D">
      <w:pPr>
        <w:pStyle w:val="a3"/>
        <w:spacing w:line="446" w:lineRule="auto"/>
        <w:ind w:left="840" w:right="5288" w:hanging="3"/>
      </w:pPr>
      <w:r>
        <w:rPr>
          <w:spacing w:val="-3"/>
        </w:rPr>
        <w:t>产品在运输过程中，应避免重压、碰撞、雨淋。</w:t>
      </w:r>
      <w:r>
        <w:rPr>
          <w:b/>
        </w:rPr>
        <w:t>8.4</w:t>
      </w:r>
      <w:r>
        <w:rPr>
          <w:b/>
          <w:spacing w:val="-1"/>
        </w:rPr>
        <w:t xml:space="preserve"> </w:t>
      </w:r>
      <w:r>
        <w:rPr>
          <w:spacing w:val="-3"/>
        </w:rPr>
        <w:t>贮存</w:t>
      </w:r>
      <w:r>
        <w:t xml:space="preserve"> </w:t>
      </w:r>
    </w:p>
    <w:p w14:paraId="0F382B12" w14:textId="77777777" w:rsidR="00A71EEF" w:rsidRDefault="0081115D">
      <w:pPr>
        <w:pStyle w:val="a3"/>
        <w:spacing w:line="267" w:lineRule="exact"/>
        <w:ind w:left="838"/>
      </w:pPr>
      <w:r>
        <w:t>灯具应存放在通风、干燥、清洁及无腐蚀性化学品的场所。</w:t>
      </w:r>
      <w:r>
        <w:t xml:space="preserve"> </w:t>
      </w:r>
    </w:p>
    <w:p w14:paraId="78D913B3" w14:textId="77777777" w:rsidR="00A71EEF" w:rsidRDefault="00A71EEF">
      <w:pPr>
        <w:pStyle w:val="a3"/>
        <w:spacing w:before="2"/>
        <w:rPr>
          <w:sz w:val="18"/>
        </w:rPr>
      </w:pPr>
    </w:p>
    <w:p w14:paraId="3AD5A2C7" w14:textId="77777777" w:rsidR="00A71EEF" w:rsidRDefault="0081115D">
      <w:pPr>
        <w:pStyle w:val="a3"/>
        <w:ind w:left="838"/>
      </w:pPr>
      <w:r>
        <w:t xml:space="preserve"> </w:t>
      </w:r>
    </w:p>
    <w:p w14:paraId="30D283BC" w14:textId="77777777" w:rsidR="00A71EEF" w:rsidRDefault="00A71EEF">
      <w:pPr>
        <w:sectPr w:rsidR="00A71EEF">
          <w:pgSz w:w="11910" w:h="16850"/>
          <w:pgMar w:top="1220" w:right="0" w:bottom="1420" w:left="1260" w:header="0" w:footer="1239" w:gutter="0"/>
          <w:cols w:space="720"/>
        </w:sectPr>
      </w:pPr>
    </w:p>
    <w:p w14:paraId="17149C2A" w14:textId="77777777" w:rsidR="00A71EEF" w:rsidRDefault="0081115D">
      <w:pPr>
        <w:spacing w:before="37"/>
        <w:ind w:left="2773"/>
        <w:rPr>
          <w:b/>
          <w:sz w:val="28"/>
        </w:rPr>
      </w:pPr>
      <w:bookmarkStart w:id="8" w:name="_bookmark8"/>
      <w:bookmarkEnd w:id="8"/>
      <w:r>
        <w:rPr>
          <w:b/>
          <w:sz w:val="28"/>
        </w:rPr>
        <w:lastRenderedPageBreak/>
        <w:t>消防车</w:t>
      </w:r>
      <w:r>
        <w:rPr>
          <w:b/>
          <w:sz w:val="28"/>
        </w:rPr>
        <w:t xml:space="preserve"> </w:t>
      </w:r>
      <w:r>
        <w:rPr>
          <w:b/>
          <w:sz w:val="28"/>
        </w:rPr>
        <w:t>第</w:t>
      </w:r>
      <w:r>
        <w:rPr>
          <w:b/>
          <w:sz w:val="28"/>
        </w:rPr>
        <w:t xml:space="preserve"> 1 </w:t>
      </w:r>
      <w:r>
        <w:rPr>
          <w:b/>
          <w:sz w:val="28"/>
        </w:rPr>
        <w:t>部分：通用技术条件</w:t>
      </w:r>
      <w:r>
        <w:rPr>
          <w:b/>
          <w:w w:val="99"/>
          <w:sz w:val="28"/>
        </w:rPr>
        <w:t xml:space="preserve"> </w:t>
      </w:r>
    </w:p>
    <w:p w14:paraId="0CB7BB12" w14:textId="77777777" w:rsidR="00A71EEF" w:rsidRDefault="00A71EEF">
      <w:pPr>
        <w:pStyle w:val="a3"/>
        <w:rPr>
          <w:b/>
          <w:sz w:val="20"/>
        </w:rPr>
      </w:pPr>
    </w:p>
    <w:p w14:paraId="7F9063C6" w14:textId="77777777" w:rsidR="00A71EEF" w:rsidRDefault="00A71EEF">
      <w:pPr>
        <w:pStyle w:val="a3"/>
        <w:spacing w:before="10"/>
        <w:rPr>
          <w:b/>
          <w:sz w:val="14"/>
        </w:rPr>
      </w:pPr>
    </w:p>
    <w:p w14:paraId="615092A5" w14:textId="77777777" w:rsidR="00A71EEF" w:rsidRDefault="0081115D">
      <w:pPr>
        <w:pStyle w:val="4"/>
        <w:spacing w:before="67"/>
      </w:pPr>
      <w:r>
        <w:t xml:space="preserve">1 </w:t>
      </w:r>
      <w:r>
        <w:t>范围</w:t>
      </w:r>
      <w:r>
        <w:rPr>
          <w:w w:val="99"/>
        </w:rPr>
        <w:t xml:space="preserve"> </w:t>
      </w:r>
    </w:p>
    <w:p w14:paraId="6B16BD8C" w14:textId="77777777" w:rsidR="00A71EEF" w:rsidRDefault="00A71EEF">
      <w:pPr>
        <w:pStyle w:val="a3"/>
        <w:spacing w:before="3"/>
        <w:rPr>
          <w:b/>
          <w:sz w:val="17"/>
        </w:rPr>
      </w:pPr>
    </w:p>
    <w:p w14:paraId="62729C7E" w14:textId="77777777" w:rsidR="00A71EEF" w:rsidRDefault="0081115D">
      <w:pPr>
        <w:pStyle w:val="a3"/>
        <w:spacing w:before="1" w:line="446" w:lineRule="auto"/>
        <w:ind w:left="838" w:right="1558"/>
      </w:pPr>
      <w:r>
        <w:t>GB 7956</w:t>
      </w:r>
      <w:r>
        <w:rPr>
          <w:spacing w:val="-8"/>
        </w:rPr>
        <w:t xml:space="preserve"> </w:t>
      </w:r>
      <w:r>
        <w:rPr>
          <w:spacing w:val="-8"/>
        </w:rPr>
        <w:t>的本部分规定了消防车的术语和定义、分类及型号、通用技术要求和试验方法。</w:t>
      </w:r>
      <w:r>
        <w:rPr>
          <w:spacing w:val="-3"/>
        </w:rPr>
        <w:t>本部分适用于各类消防车。</w:t>
      </w:r>
      <w:r>
        <w:rPr>
          <w:spacing w:val="-3"/>
        </w:rPr>
        <w:t xml:space="preserve"> </w:t>
      </w:r>
    </w:p>
    <w:p w14:paraId="61EA78B2" w14:textId="77777777" w:rsidR="00A71EEF" w:rsidRDefault="0081115D">
      <w:pPr>
        <w:pStyle w:val="4"/>
        <w:spacing w:line="277" w:lineRule="exact"/>
      </w:pPr>
      <w:r>
        <w:t xml:space="preserve">2 </w:t>
      </w:r>
      <w:r>
        <w:t>规范性引用文件</w:t>
      </w:r>
      <w:r>
        <w:rPr>
          <w:w w:val="99"/>
        </w:rPr>
        <w:t xml:space="preserve"> </w:t>
      </w:r>
    </w:p>
    <w:p w14:paraId="7B252638" w14:textId="77777777" w:rsidR="00A71EEF" w:rsidRDefault="00A71EEF">
      <w:pPr>
        <w:pStyle w:val="a3"/>
        <w:spacing w:before="3"/>
        <w:rPr>
          <w:b/>
          <w:sz w:val="17"/>
        </w:rPr>
      </w:pPr>
    </w:p>
    <w:p w14:paraId="5B381F37" w14:textId="77777777" w:rsidR="00A71EEF" w:rsidRDefault="0081115D">
      <w:pPr>
        <w:pStyle w:val="a3"/>
        <w:spacing w:before="1" w:line="446" w:lineRule="auto"/>
        <w:ind w:left="418" w:right="1609" w:firstLine="419"/>
      </w:pPr>
      <w:r>
        <w:t>下列文件对于本文件的应用是必不可少的。凡是注日期的引用文件，仅注日期的版本适用于本文件。凡是不注日期的引用文件，其最新版本（包括所有的修改单）适用于本文件。</w:t>
      </w:r>
      <w:r>
        <w:t xml:space="preserve"> </w:t>
      </w:r>
    </w:p>
    <w:p w14:paraId="131257FA" w14:textId="77777777" w:rsidR="00A71EEF" w:rsidRDefault="0081115D">
      <w:pPr>
        <w:pStyle w:val="a3"/>
        <w:spacing w:line="446" w:lineRule="auto"/>
        <w:ind w:left="838" w:right="4657"/>
      </w:pPr>
      <w:r>
        <w:t xml:space="preserve">GB 1589—2004 </w:t>
      </w:r>
      <w:r>
        <w:t>道路车辆外廓尺寸、轴荷及质量限值</w:t>
      </w:r>
      <w:r>
        <w:t xml:space="preserve">GB/T 3181  </w:t>
      </w:r>
      <w:r>
        <w:t>漆膜颜色标准</w:t>
      </w:r>
      <w:r>
        <w:t xml:space="preserve"> </w:t>
      </w:r>
    </w:p>
    <w:p w14:paraId="41C5C0E0" w14:textId="77777777" w:rsidR="00A71EEF" w:rsidRDefault="0081115D">
      <w:pPr>
        <w:pStyle w:val="a3"/>
        <w:spacing w:line="446" w:lineRule="auto"/>
        <w:ind w:left="838" w:right="3817"/>
      </w:pPr>
      <w:r>
        <w:t xml:space="preserve">GB 4785—2007   </w:t>
      </w:r>
      <w:r>
        <w:t>汽车及挂车外部照明和光信号装置的安装规定</w:t>
      </w:r>
      <w:r>
        <w:t xml:space="preserve">GB 6245 </w:t>
      </w:r>
      <w:r>
        <w:t>消</w:t>
      </w:r>
      <w:r>
        <w:t xml:space="preserve"> </w:t>
      </w:r>
      <w:r>
        <w:t>防</w:t>
      </w:r>
      <w:r>
        <w:t xml:space="preserve"> </w:t>
      </w:r>
      <w:r>
        <w:t>泵</w:t>
      </w:r>
      <w:r>
        <w:t xml:space="preserve"> </w:t>
      </w:r>
    </w:p>
    <w:p w14:paraId="5A852DE9" w14:textId="77777777" w:rsidR="00A71EEF" w:rsidRDefault="0081115D">
      <w:pPr>
        <w:pStyle w:val="a3"/>
        <w:spacing w:line="446" w:lineRule="auto"/>
        <w:ind w:left="838" w:right="5709"/>
      </w:pPr>
      <w:r>
        <w:t xml:space="preserve">CB 7258—2012   </w:t>
      </w:r>
      <w:r>
        <w:t>机动车运行安全技术条件</w:t>
      </w:r>
      <w:r>
        <w:t xml:space="preserve">GB 8108 </w:t>
      </w:r>
      <w:r>
        <w:t>车用电子警报器</w:t>
      </w:r>
      <w:r>
        <w:t xml:space="preserve"> </w:t>
      </w:r>
    </w:p>
    <w:p w14:paraId="423F29FF" w14:textId="77777777" w:rsidR="00A71EEF" w:rsidRDefault="0081115D">
      <w:pPr>
        <w:pStyle w:val="a3"/>
        <w:spacing w:line="446" w:lineRule="auto"/>
        <w:ind w:left="838" w:right="4866"/>
      </w:pPr>
      <w:r>
        <w:t xml:space="preserve">GB/T 8170   </w:t>
      </w:r>
      <w:r>
        <w:t>数值修约规则与极限数值的表示和判定</w:t>
      </w:r>
      <w:r>
        <w:t xml:space="preserve">GB 8410 </w:t>
      </w:r>
      <w:r>
        <w:t>汽车内饰材料的燃烧特性</w:t>
      </w:r>
      <w:r>
        <w:t xml:space="preserve"> </w:t>
      </w:r>
    </w:p>
    <w:p w14:paraId="0C3AFA20" w14:textId="77777777" w:rsidR="00A71EEF" w:rsidRDefault="0081115D">
      <w:pPr>
        <w:pStyle w:val="a3"/>
        <w:spacing w:line="267" w:lineRule="exact"/>
        <w:ind w:left="838"/>
      </w:pPr>
      <w:r>
        <w:t xml:space="preserve">CB 9656 </w:t>
      </w:r>
      <w:r>
        <w:t>汽车安全玻璃</w:t>
      </w:r>
      <w:r>
        <w:t xml:space="preserve"> </w:t>
      </w:r>
    </w:p>
    <w:p w14:paraId="4D9A52F9" w14:textId="77777777" w:rsidR="00A71EEF" w:rsidRDefault="00A71EEF">
      <w:pPr>
        <w:pStyle w:val="a3"/>
        <w:spacing w:before="12"/>
        <w:rPr>
          <w:sz w:val="17"/>
        </w:rPr>
      </w:pPr>
    </w:p>
    <w:p w14:paraId="346E00E3" w14:textId="77777777" w:rsidR="00A71EEF" w:rsidRDefault="0081115D">
      <w:pPr>
        <w:pStyle w:val="a3"/>
        <w:spacing w:line="446" w:lineRule="auto"/>
        <w:ind w:left="838" w:right="5814"/>
      </w:pPr>
      <w:r>
        <w:t>GB</w:t>
      </w:r>
      <w:r>
        <w:rPr>
          <w:spacing w:val="64"/>
        </w:rPr>
        <w:t xml:space="preserve"> </w:t>
      </w:r>
      <w:r>
        <w:t xml:space="preserve">11567.1   </w:t>
      </w:r>
      <w:r>
        <w:t>汽车和挂车侧面防护要求</w:t>
      </w:r>
      <w:r>
        <w:t>GB</w:t>
      </w:r>
      <w:r>
        <w:rPr>
          <w:spacing w:val="3"/>
        </w:rPr>
        <w:t xml:space="preserve"> </w:t>
      </w:r>
      <w:r>
        <w:t>11567.2</w:t>
      </w:r>
      <w:r>
        <w:rPr>
          <w:spacing w:val="-3"/>
        </w:rPr>
        <w:t xml:space="preserve"> </w:t>
      </w:r>
      <w:r>
        <w:rPr>
          <w:spacing w:val="-3"/>
        </w:rPr>
        <w:t>汽车和挂车后下部防护要求</w:t>
      </w:r>
      <w:r>
        <w:t>GB/T</w:t>
      </w:r>
      <w:r>
        <w:rPr>
          <w:spacing w:val="1"/>
        </w:rPr>
        <w:t xml:space="preserve"> </w:t>
      </w:r>
      <w:r>
        <w:t>12534</w:t>
      </w:r>
      <w:r>
        <w:rPr>
          <w:spacing w:val="-3"/>
        </w:rPr>
        <w:t xml:space="preserve"> </w:t>
      </w:r>
      <w:r>
        <w:rPr>
          <w:spacing w:val="-3"/>
        </w:rPr>
        <w:t>汽车道路试验方法通则</w:t>
      </w:r>
      <w:r>
        <w:t xml:space="preserve"> </w:t>
      </w:r>
    </w:p>
    <w:p w14:paraId="7B24C38D" w14:textId="77777777" w:rsidR="00A71EEF" w:rsidRDefault="0081115D">
      <w:pPr>
        <w:pStyle w:val="a3"/>
        <w:spacing w:line="446" w:lineRule="auto"/>
        <w:ind w:left="838" w:right="5291"/>
      </w:pPr>
      <w:r>
        <w:t xml:space="preserve">GB/T 12538  </w:t>
      </w:r>
      <w:r>
        <w:t>两轴道路车辆</w:t>
      </w:r>
      <w:r>
        <w:t xml:space="preserve">  </w:t>
      </w:r>
      <w:r>
        <w:t>重心位置的测定</w:t>
      </w:r>
      <w:r>
        <w:t xml:space="preserve">GB/T 12539 </w:t>
      </w:r>
      <w:r>
        <w:t>汽车爬陡坡试验方法</w:t>
      </w:r>
      <w:r>
        <w:t xml:space="preserve"> </w:t>
      </w:r>
    </w:p>
    <w:p w14:paraId="4C6EF62D" w14:textId="77777777" w:rsidR="00A71EEF" w:rsidRDefault="0081115D">
      <w:pPr>
        <w:pStyle w:val="a3"/>
        <w:spacing w:line="446" w:lineRule="auto"/>
        <w:ind w:left="838" w:right="6234"/>
      </w:pPr>
      <w:r>
        <w:t xml:space="preserve">GB/T 12543 </w:t>
      </w:r>
      <w:r>
        <w:t>汽车加速性能试验方法</w:t>
      </w:r>
      <w:r>
        <w:t xml:space="preserve">GB/T 12673 </w:t>
      </w:r>
      <w:r>
        <w:t>汽车主要尺寸测量方法</w:t>
      </w:r>
      <w:r>
        <w:t xml:space="preserve"> </w:t>
      </w:r>
    </w:p>
    <w:p w14:paraId="57E70339" w14:textId="77777777" w:rsidR="00A71EEF" w:rsidRDefault="0081115D">
      <w:pPr>
        <w:pStyle w:val="a3"/>
        <w:ind w:left="838"/>
      </w:pPr>
      <w:r>
        <w:t xml:space="preserve">CB/T 12674 </w:t>
      </w:r>
      <w:r>
        <w:t>汽车质量（重量）</w:t>
      </w:r>
      <w:r>
        <w:t xml:space="preserve"> </w:t>
      </w:r>
      <w:r>
        <w:t>参数测定方法</w:t>
      </w:r>
      <w:r>
        <w:t xml:space="preserve"> </w:t>
      </w:r>
    </w:p>
    <w:p w14:paraId="54738A9B" w14:textId="77777777" w:rsidR="00A71EEF" w:rsidRDefault="00A71EEF">
      <w:pPr>
        <w:pStyle w:val="a3"/>
        <w:spacing w:before="9"/>
        <w:rPr>
          <w:sz w:val="17"/>
        </w:rPr>
      </w:pPr>
    </w:p>
    <w:p w14:paraId="6F994189" w14:textId="77777777" w:rsidR="00A71EEF" w:rsidRDefault="0081115D">
      <w:pPr>
        <w:pStyle w:val="a3"/>
        <w:spacing w:line="448" w:lineRule="auto"/>
        <w:ind w:left="838" w:right="4239"/>
      </w:pPr>
      <w:r>
        <w:t xml:space="preserve">CB 12676—1999   </w:t>
      </w:r>
      <w:r>
        <w:t>汽车制功系统</w:t>
      </w:r>
      <w:r>
        <w:t xml:space="preserve">   </w:t>
      </w:r>
      <w:r>
        <w:t>结构、性能和试验方法</w:t>
      </w:r>
      <w:r>
        <w:t xml:space="preserve">GB 13057 </w:t>
      </w:r>
      <w:r>
        <w:t>客车座椅及其车辆固定件的强度</w:t>
      </w:r>
      <w:r>
        <w:t xml:space="preserve"> </w:t>
      </w:r>
    </w:p>
    <w:p w14:paraId="65740DD1" w14:textId="77777777" w:rsidR="00A71EEF" w:rsidRDefault="0081115D">
      <w:pPr>
        <w:pStyle w:val="a3"/>
        <w:spacing w:line="264" w:lineRule="exact"/>
        <w:ind w:left="838"/>
      </w:pPr>
      <w:r>
        <w:t xml:space="preserve">GB 13954 </w:t>
      </w:r>
      <w:r>
        <w:t>警车、消防车、救护车、工程救险车标志灯具</w:t>
      </w:r>
      <w:r>
        <w:t xml:space="preserve"> </w:t>
      </w:r>
    </w:p>
    <w:p w14:paraId="3042FE3E" w14:textId="77777777" w:rsidR="00A71EEF" w:rsidRDefault="00A71EEF">
      <w:pPr>
        <w:spacing w:line="264" w:lineRule="exact"/>
        <w:sectPr w:rsidR="00A71EEF">
          <w:pgSz w:w="11910" w:h="16850"/>
          <w:pgMar w:top="1160" w:right="0" w:bottom="1420" w:left="1260" w:header="0" w:footer="1239" w:gutter="0"/>
          <w:cols w:space="720"/>
        </w:sectPr>
      </w:pPr>
    </w:p>
    <w:p w14:paraId="152058E8" w14:textId="77777777" w:rsidR="00A71EEF" w:rsidRDefault="0081115D">
      <w:pPr>
        <w:pStyle w:val="a3"/>
        <w:spacing w:before="47"/>
        <w:ind w:left="838"/>
      </w:pPr>
      <w:r>
        <w:lastRenderedPageBreak/>
        <w:t>GB/T</w:t>
      </w:r>
      <w:r>
        <w:rPr>
          <w:spacing w:val="4"/>
        </w:rPr>
        <w:t xml:space="preserve"> </w:t>
      </w:r>
      <w:r>
        <w:t>14172</w:t>
      </w:r>
      <w:r>
        <w:rPr>
          <w:spacing w:val="-3"/>
        </w:rPr>
        <w:t xml:space="preserve">   </w:t>
      </w:r>
      <w:r>
        <w:rPr>
          <w:spacing w:val="-3"/>
        </w:rPr>
        <w:t>汽车静侧翻稳定性台架试验方法</w:t>
      </w:r>
      <w:r>
        <w:rPr>
          <w:spacing w:val="-3"/>
        </w:rPr>
        <w:t xml:space="preserve"> </w:t>
      </w:r>
    </w:p>
    <w:p w14:paraId="14FF8198" w14:textId="77777777" w:rsidR="00A71EEF" w:rsidRDefault="00A71EEF">
      <w:pPr>
        <w:pStyle w:val="a3"/>
        <w:rPr>
          <w:sz w:val="18"/>
        </w:rPr>
      </w:pPr>
    </w:p>
    <w:p w14:paraId="291B585F" w14:textId="77777777" w:rsidR="00A71EEF" w:rsidRDefault="0081115D">
      <w:pPr>
        <w:pStyle w:val="a3"/>
        <w:spacing w:line="446" w:lineRule="auto"/>
        <w:ind w:left="838" w:right="4343"/>
      </w:pPr>
      <w:r>
        <w:t>GB</w:t>
      </w:r>
      <w:r>
        <w:rPr>
          <w:spacing w:val="2"/>
        </w:rPr>
        <w:t xml:space="preserve"> </w:t>
      </w:r>
      <w:r>
        <w:t>15084</w:t>
      </w:r>
      <w:r>
        <w:rPr>
          <w:spacing w:val="-3"/>
        </w:rPr>
        <w:t xml:space="preserve">   </w:t>
      </w:r>
      <w:r>
        <w:rPr>
          <w:spacing w:val="-3"/>
        </w:rPr>
        <w:t>机动车辆</w:t>
      </w:r>
      <w:r>
        <w:rPr>
          <w:spacing w:val="-3"/>
        </w:rPr>
        <w:t xml:space="preserve">   </w:t>
      </w:r>
      <w:r>
        <w:rPr>
          <w:spacing w:val="-3"/>
        </w:rPr>
        <w:t>间接视野装置</w:t>
      </w:r>
      <w:r>
        <w:rPr>
          <w:spacing w:val="-3"/>
        </w:rPr>
        <w:t xml:space="preserve">   </w:t>
      </w:r>
      <w:r>
        <w:rPr>
          <w:spacing w:val="-3"/>
        </w:rPr>
        <w:t>性能和安装要求</w:t>
      </w:r>
      <w:r>
        <w:t>GB</w:t>
      </w:r>
      <w:r>
        <w:rPr>
          <w:spacing w:val="1"/>
        </w:rPr>
        <w:t xml:space="preserve"> </w:t>
      </w:r>
      <w:r>
        <w:t>15741</w:t>
      </w:r>
      <w:r>
        <w:rPr>
          <w:spacing w:val="-3"/>
        </w:rPr>
        <w:t xml:space="preserve"> </w:t>
      </w:r>
      <w:r>
        <w:rPr>
          <w:spacing w:val="-3"/>
        </w:rPr>
        <w:t>汽</w:t>
      </w:r>
      <w:r>
        <w:rPr>
          <w:spacing w:val="-3"/>
        </w:rPr>
        <w:t>车和挂车号牌板（</w:t>
      </w:r>
      <w:r>
        <w:t>架</w:t>
      </w:r>
      <w:r>
        <w:rPr>
          <w:spacing w:val="-3"/>
        </w:rPr>
        <w:t>）</w:t>
      </w:r>
      <w:r>
        <w:rPr>
          <w:spacing w:val="-2"/>
        </w:rPr>
        <w:t>及其位置</w:t>
      </w:r>
      <w:r>
        <w:rPr>
          <w:spacing w:val="-2"/>
        </w:rPr>
        <w:t xml:space="preserve"> </w:t>
      </w:r>
    </w:p>
    <w:p w14:paraId="1919F82D" w14:textId="77777777" w:rsidR="00A71EEF" w:rsidRDefault="0081115D">
      <w:pPr>
        <w:pStyle w:val="a3"/>
        <w:spacing w:line="446" w:lineRule="auto"/>
        <w:ind w:left="838" w:right="5394"/>
      </w:pPr>
      <w:r>
        <w:t>GB</w:t>
      </w:r>
      <w:r>
        <w:rPr>
          <w:spacing w:val="1"/>
        </w:rPr>
        <w:t xml:space="preserve"> </w:t>
      </w:r>
      <w:r>
        <w:t>16735</w:t>
      </w:r>
      <w:r>
        <w:rPr>
          <w:spacing w:val="-3"/>
        </w:rPr>
        <w:t xml:space="preserve"> </w:t>
      </w:r>
      <w:r>
        <w:rPr>
          <w:spacing w:val="-3"/>
        </w:rPr>
        <w:t>道路车辆</w:t>
      </w:r>
      <w:r>
        <w:rPr>
          <w:spacing w:val="-3"/>
        </w:rPr>
        <w:t xml:space="preserve">  </w:t>
      </w:r>
      <w:r>
        <w:rPr>
          <w:spacing w:val="-3"/>
        </w:rPr>
        <w:t>车辆识别代号</w:t>
      </w:r>
      <w:r>
        <w:t>（</w:t>
      </w:r>
      <w:r>
        <w:t>VIN</w:t>
      </w:r>
      <w:r>
        <w:t>）</w:t>
      </w:r>
      <w:r>
        <w:t xml:space="preserve"> CB/T</w:t>
      </w:r>
      <w:r>
        <w:rPr>
          <w:spacing w:val="1"/>
        </w:rPr>
        <w:t xml:space="preserve"> </w:t>
      </w:r>
      <w:r>
        <w:t>18411</w:t>
      </w:r>
      <w:r>
        <w:rPr>
          <w:spacing w:val="6"/>
        </w:rPr>
        <w:t xml:space="preserve"> </w:t>
      </w:r>
      <w:r>
        <w:rPr>
          <w:spacing w:val="6"/>
        </w:rPr>
        <w:t>道路车辆</w:t>
      </w:r>
      <w:r>
        <w:rPr>
          <w:spacing w:val="6"/>
        </w:rPr>
        <w:t xml:space="preserve">  </w:t>
      </w:r>
      <w:r>
        <w:rPr>
          <w:spacing w:val="6"/>
        </w:rPr>
        <w:t>产品标牌</w:t>
      </w:r>
      <w:r>
        <w:t xml:space="preserve"> </w:t>
      </w:r>
    </w:p>
    <w:p w14:paraId="14528AA7" w14:textId="77777777" w:rsidR="00A71EEF" w:rsidRDefault="0081115D">
      <w:pPr>
        <w:pStyle w:val="a3"/>
        <w:spacing w:line="267" w:lineRule="exact"/>
        <w:ind w:left="838"/>
      </w:pPr>
      <w:r>
        <w:t xml:space="preserve">GB 20182 </w:t>
      </w:r>
      <w:r>
        <w:t>商用车驾驶室外部凸出物</w:t>
      </w:r>
      <w:r>
        <w:t xml:space="preserve"> </w:t>
      </w:r>
    </w:p>
    <w:p w14:paraId="3D9DD3E7" w14:textId="77777777" w:rsidR="00A71EEF" w:rsidRDefault="00A71EEF">
      <w:pPr>
        <w:pStyle w:val="a3"/>
        <w:spacing w:before="2"/>
        <w:rPr>
          <w:sz w:val="18"/>
        </w:rPr>
      </w:pPr>
    </w:p>
    <w:p w14:paraId="6AD71756" w14:textId="77777777" w:rsidR="00A71EEF" w:rsidRDefault="0081115D">
      <w:pPr>
        <w:pStyle w:val="a3"/>
        <w:spacing w:line="446" w:lineRule="auto"/>
        <w:ind w:left="838" w:right="5917"/>
      </w:pPr>
      <w:r>
        <w:t xml:space="preserve">GB 23254   </w:t>
      </w:r>
      <w:r>
        <w:t>货车及挂车</w:t>
      </w:r>
      <w:r>
        <w:t xml:space="preserve">   </w:t>
      </w:r>
      <w:r>
        <w:t>车身反光标识</w:t>
      </w:r>
      <w:r>
        <w:t xml:space="preserve">GB 50313 </w:t>
      </w:r>
      <w:r>
        <w:t>消防通信指挥系统设计规范</w:t>
      </w:r>
      <w:r>
        <w:t xml:space="preserve"> </w:t>
      </w:r>
    </w:p>
    <w:p w14:paraId="58A736F3" w14:textId="77777777" w:rsidR="00A71EEF" w:rsidRDefault="0081115D">
      <w:pPr>
        <w:pStyle w:val="a3"/>
        <w:spacing w:line="267" w:lineRule="exact"/>
        <w:ind w:left="838"/>
      </w:pPr>
      <w:r>
        <w:t xml:space="preserve">JB/T 5943 </w:t>
      </w:r>
      <w:r>
        <w:t>工程机械</w:t>
      </w:r>
      <w:r>
        <w:t xml:space="preserve"> </w:t>
      </w:r>
      <w:r>
        <w:t>焊接件通用技术条件</w:t>
      </w:r>
      <w:r>
        <w:t xml:space="preserve"> </w:t>
      </w:r>
    </w:p>
    <w:p w14:paraId="21F3FA18" w14:textId="77777777" w:rsidR="00A71EEF" w:rsidRDefault="00A71EEF">
      <w:pPr>
        <w:pStyle w:val="a3"/>
        <w:spacing w:before="2"/>
        <w:rPr>
          <w:sz w:val="18"/>
        </w:rPr>
      </w:pPr>
    </w:p>
    <w:p w14:paraId="27CE4130" w14:textId="77777777" w:rsidR="00A71EEF" w:rsidRDefault="0081115D">
      <w:pPr>
        <w:pStyle w:val="a3"/>
        <w:ind w:left="838"/>
      </w:pPr>
      <w:r>
        <w:t>汽车产品外部标识管理办法（国家发展和改革委员会</w:t>
      </w:r>
      <w:r>
        <w:t>[2005]</w:t>
      </w:r>
      <w:r>
        <w:t>第</w:t>
      </w:r>
      <w:r>
        <w:t xml:space="preserve"> 38 </w:t>
      </w:r>
      <w:r>
        <w:t>号）</w:t>
      </w:r>
      <w:r>
        <w:t xml:space="preserve"> </w:t>
      </w:r>
    </w:p>
    <w:p w14:paraId="2EA79971" w14:textId="77777777" w:rsidR="00A71EEF" w:rsidRDefault="00A71EEF">
      <w:pPr>
        <w:pStyle w:val="a3"/>
        <w:spacing w:before="8"/>
        <w:rPr>
          <w:sz w:val="15"/>
        </w:rPr>
      </w:pPr>
    </w:p>
    <w:p w14:paraId="6EB65712" w14:textId="77777777" w:rsidR="00A71EEF" w:rsidRDefault="0081115D">
      <w:pPr>
        <w:pStyle w:val="4"/>
      </w:pPr>
      <w:r>
        <w:t xml:space="preserve">3 </w:t>
      </w:r>
      <w:r>
        <w:t>术语和定义</w:t>
      </w:r>
      <w:r>
        <w:rPr>
          <w:w w:val="99"/>
        </w:rPr>
        <w:t xml:space="preserve"> </w:t>
      </w:r>
    </w:p>
    <w:p w14:paraId="64373144" w14:textId="77777777" w:rsidR="00A71EEF" w:rsidRDefault="00A71EEF">
      <w:pPr>
        <w:pStyle w:val="a3"/>
        <w:spacing w:before="4"/>
        <w:rPr>
          <w:b/>
          <w:sz w:val="17"/>
        </w:rPr>
      </w:pPr>
    </w:p>
    <w:p w14:paraId="3469F4EA" w14:textId="77777777" w:rsidR="00A71EEF" w:rsidRDefault="0081115D">
      <w:pPr>
        <w:pStyle w:val="a3"/>
        <w:ind w:left="838"/>
      </w:pPr>
      <w:r>
        <w:t>下列术语和定义适用于本文件。</w:t>
      </w:r>
      <w:r>
        <w:t xml:space="preserve"> </w:t>
      </w:r>
    </w:p>
    <w:p w14:paraId="5FE58E78" w14:textId="77777777" w:rsidR="00A71EEF" w:rsidRDefault="00A71EEF">
      <w:pPr>
        <w:pStyle w:val="a3"/>
        <w:spacing w:before="1"/>
        <w:rPr>
          <w:sz w:val="18"/>
        </w:rPr>
      </w:pPr>
    </w:p>
    <w:p w14:paraId="04978D28" w14:textId="77777777" w:rsidR="00A71EEF" w:rsidRDefault="0081115D">
      <w:pPr>
        <w:pStyle w:val="a4"/>
        <w:numPr>
          <w:ilvl w:val="1"/>
          <w:numId w:val="843"/>
        </w:numPr>
        <w:tabs>
          <w:tab w:val="left" w:pos="1159"/>
        </w:tabs>
        <w:spacing w:before="1"/>
        <w:ind w:hanging="319"/>
        <w:rPr>
          <w:sz w:val="21"/>
        </w:rPr>
      </w:pPr>
      <w:r>
        <w:rPr>
          <w:spacing w:val="12"/>
          <w:sz w:val="21"/>
        </w:rPr>
        <w:t>灭火类消防车</w:t>
      </w:r>
      <w:r>
        <w:rPr>
          <w:spacing w:val="12"/>
          <w:sz w:val="21"/>
        </w:rPr>
        <w:t xml:space="preserve"> </w:t>
      </w:r>
      <w:r>
        <w:rPr>
          <w:sz w:val="21"/>
        </w:rPr>
        <w:t>suppression-type</w:t>
      </w:r>
      <w:r>
        <w:rPr>
          <w:spacing w:val="1"/>
          <w:sz w:val="21"/>
        </w:rPr>
        <w:t xml:space="preserve"> </w:t>
      </w:r>
      <w:r>
        <w:rPr>
          <w:sz w:val="21"/>
        </w:rPr>
        <w:t>fighting</w:t>
      </w:r>
      <w:r>
        <w:rPr>
          <w:spacing w:val="-3"/>
          <w:sz w:val="21"/>
        </w:rPr>
        <w:t xml:space="preserve"> </w:t>
      </w:r>
      <w:r>
        <w:rPr>
          <w:sz w:val="21"/>
        </w:rPr>
        <w:t xml:space="preserve">vehicle </w:t>
      </w:r>
    </w:p>
    <w:p w14:paraId="450ED8CD" w14:textId="77777777" w:rsidR="00A71EEF" w:rsidRDefault="00A71EEF">
      <w:pPr>
        <w:pStyle w:val="a3"/>
        <w:spacing w:before="12"/>
        <w:rPr>
          <w:sz w:val="17"/>
        </w:rPr>
      </w:pPr>
    </w:p>
    <w:p w14:paraId="659FFCD3" w14:textId="77777777" w:rsidR="00A71EEF" w:rsidRDefault="0081115D">
      <w:pPr>
        <w:pStyle w:val="a3"/>
        <w:ind w:left="838"/>
      </w:pPr>
      <w:r>
        <w:t>主要装备灭火装置，用于扑灭各类火灾的消防车。</w:t>
      </w:r>
      <w:r>
        <w:t xml:space="preserve"> </w:t>
      </w:r>
    </w:p>
    <w:p w14:paraId="45B30803" w14:textId="77777777" w:rsidR="00A71EEF" w:rsidRDefault="00A71EEF">
      <w:pPr>
        <w:pStyle w:val="a3"/>
        <w:rPr>
          <w:sz w:val="18"/>
        </w:rPr>
      </w:pPr>
    </w:p>
    <w:p w14:paraId="0047415F" w14:textId="77777777" w:rsidR="00A71EEF" w:rsidRDefault="0081115D">
      <w:pPr>
        <w:pStyle w:val="a4"/>
        <w:numPr>
          <w:ilvl w:val="2"/>
          <w:numId w:val="843"/>
        </w:numPr>
        <w:tabs>
          <w:tab w:val="left" w:pos="1424"/>
        </w:tabs>
        <w:rPr>
          <w:sz w:val="21"/>
        </w:rPr>
      </w:pPr>
      <w:r>
        <w:rPr>
          <w:spacing w:val="14"/>
          <w:sz w:val="21"/>
        </w:rPr>
        <w:t>水罐消防车</w:t>
      </w:r>
      <w:r>
        <w:rPr>
          <w:spacing w:val="14"/>
          <w:sz w:val="21"/>
        </w:rPr>
        <w:t xml:space="preserve"> </w:t>
      </w:r>
      <w:r>
        <w:rPr>
          <w:sz w:val="21"/>
        </w:rPr>
        <w:t>water tank fire</w:t>
      </w:r>
      <w:r>
        <w:rPr>
          <w:spacing w:val="1"/>
          <w:sz w:val="21"/>
        </w:rPr>
        <w:t xml:space="preserve"> </w:t>
      </w:r>
      <w:r>
        <w:rPr>
          <w:sz w:val="21"/>
        </w:rPr>
        <w:t xml:space="preserve">fighting vehicle </w:t>
      </w:r>
    </w:p>
    <w:p w14:paraId="48A38AAA" w14:textId="77777777" w:rsidR="00A71EEF" w:rsidRDefault="00A71EEF">
      <w:pPr>
        <w:pStyle w:val="a3"/>
        <w:spacing w:before="2"/>
        <w:rPr>
          <w:sz w:val="18"/>
        </w:rPr>
      </w:pPr>
    </w:p>
    <w:p w14:paraId="450B7B98" w14:textId="77777777" w:rsidR="00A71EEF" w:rsidRDefault="0081115D">
      <w:pPr>
        <w:pStyle w:val="a3"/>
        <w:ind w:left="838"/>
      </w:pPr>
      <w:r>
        <w:t>主要装备车用消防泵和水罐，以水为主要灭火剂的消防车。</w:t>
      </w:r>
      <w:r>
        <w:t xml:space="preserve"> </w:t>
      </w:r>
    </w:p>
    <w:p w14:paraId="6491444B" w14:textId="77777777" w:rsidR="00A71EEF" w:rsidRDefault="00A71EEF">
      <w:pPr>
        <w:pStyle w:val="a3"/>
        <w:spacing w:before="12"/>
        <w:rPr>
          <w:sz w:val="17"/>
        </w:rPr>
      </w:pPr>
    </w:p>
    <w:p w14:paraId="33F5D56D" w14:textId="77777777" w:rsidR="00A71EEF" w:rsidRDefault="0081115D">
      <w:pPr>
        <w:pStyle w:val="a4"/>
        <w:numPr>
          <w:ilvl w:val="2"/>
          <w:numId w:val="843"/>
        </w:numPr>
        <w:tabs>
          <w:tab w:val="left" w:pos="1424"/>
        </w:tabs>
        <w:rPr>
          <w:sz w:val="21"/>
        </w:rPr>
      </w:pPr>
      <w:r>
        <w:rPr>
          <w:spacing w:val="14"/>
          <w:sz w:val="21"/>
        </w:rPr>
        <w:t>供水消防车</w:t>
      </w:r>
      <w:r>
        <w:rPr>
          <w:spacing w:val="14"/>
          <w:sz w:val="21"/>
        </w:rPr>
        <w:t xml:space="preserve"> </w:t>
      </w:r>
      <w:r>
        <w:rPr>
          <w:sz w:val="21"/>
        </w:rPr>
        <w:t>water supply</w:t>
      </w:r>
      <w:r>
        <w:rPr>
          <w:spacing w:val="1"/>
          <w:sz w:val="21"/>
        </w:rPr>
        <w:t xml:space="preserve"> </w:t>
      </w:r>
      <w:r>
        <w:rPr>
          <w:sz w:val="21"/>
        </w:rPr>
        <w:t>fire</w:t>
      </w:r>
      <w:r>
        <w:rPr>
          <w:spacing w:val="-3"/>
          <w:sz w:val="21"/>
        </w:rPr>
        <w:t xml:space="preserve"> </w:t>
      </w:r>
      <w:r>
        <w:rPr>
          <w:sz w:val="21"/>
        </w:rPr>
        <w:t>fighting</w:t>
      </w:r>
      <w:r>
        <w:rPr>
          <w:spacing w:val="-2"/>
          <w:sz w:val="21"/>
        </w:rPr>
        <w:t xml:space="preserve"> </w:t>
      </w:r>
      <w:r>
        <w:rPr>
          <w:sz w:val="21"/>
        </w:rPr>
        <w:t xml:space="preserve">vehicle </w:t>
      </w:r>
    </w:p>
    <w:p w14:paraId="79098AD0" w14:textId="77777777" w:rsidR="00A71EEF" w:rsidRDefault="00A71EEF">
      <w:pPr>
        <w:pStyle w:val="a3"/>
        <w:spacing w:before="12"/>
        <w:rPr>
          <w:sz w:val="17"/>
        </w:rPr>
      </w:pPr>
    </w:p>
    <w:p w14:paraId="7E1F540E" w14:textId="77777777" w:rsidR="00A71EEF" w:rsidRDefault="0081115D">
      <w:pPr>
        <w:pStyle w:val="a3"/>
        <w:ind w:left="838"/>
      </w:pPr>
      <w:r>
        <w:t>主要装备车用消防泵和大容量水罐，用于向灾害现场供水的消防车。</w:t>
      </w:r>
      <w:r>
        <w:t xml:space="preserve"> </w:t>
      </w:r>
    </w:p>
    <w:p w14:paraId="12E89F17" w14:textId="77777777" w:rsidR="00A71EEF" w:rsidRDefault="00A71EEF">
      <w:pPr>
        <w:pStyle w:val="a3"/>
        <w:spacing w:before="2"/>
        <w:rPr>
          <w:sz w:val="18"/>
        </w:rPr>
      </w:pPr>
    </w:p>
    <w:p w14:paraId="012BEE88" w14:textId="77777777" w:rsidR="00A71EEF" w:rsidRDefault="0081115D">
      <w:pPr>
        <w:pStyle w:val="a4"/>
        <w:numPr>
          <w:ilvl w:val="2"/>
          <w:numId w:val="843"/>
        </w:numPr>
        <w:tabs>
          <w:tab w:val="left" w:pos="1424"/>
        </w:tabs>
        <w:rPr>
          <w:sz w:val="21"/>
        </w:rPr>
      </w:pPr>
      <w:r>
        <w:rPr>
          <w:spacing w:val="14"/>
          <w:sz w:val="21"/>
        </w:rPr>
        <w:t>泡沫消防车</w:t>
      </w:r>
      <w:r>
        <w:rPr>
          <w:spacing w:val="14"/>
          <w:sz w:val="21"/>
        </w:rPr>
        <w:t xml:space="preserve"> </w:t>
      </w:r>
      <w:r>
        <w:rPr>
          <w:sz w:val="21"/>
        </w:rPr>
        <w:t>foam fire</w:t>
      </w:r>
      <w:r>
        <w:rPr>
          <w:spacing w:val="-2"/>
          <w:sz w:val="21"/>
        </w:rPr>
        <w:t xml:space="preserve"> </w:t>
      </w:r>
      <w:r>
        <w:rPr>
          <w:sz w:val="21"/>
        </w:rPr>
        <w:t>fighting</w:t>
      </w:r>
      <w:r>
        <w:rPr>
          <w:spacing w:val="1"/>
          <w:sz w:val="21"/>
        </w:rPr>
        <w:t xml:space="preserve"> </w:t>
      </w:r>
      <w:r>
        <w:rPr>
          <w:sz w:val="21"/>
        </w:rPr>
        <w:t xml:space="preserve">vehicle </w:t>
      </w:r>
    </w:p>
    <w:p w14:paraId="0D6A7B3A" w14:textId="77777777" w:rsidR="00A71EEF" w:rsidRDefault="00A71EEF">
      <w:pPr>
        <w:pStyle w:val="a3"/>
        <w:rPr>
          <w:sz w:val="18"/>
        </w:rPr>
      </w:pPr>
    </w:p>
    <w:p w14:paraId="49060CCE" w14:textId="77777777" w:rsidR="00A71EEF" w:rsidRDefault="0081115D">
      <w:pPr>
        <w:pStyle w:val="a3"/>
        <w:spacing w:before="1"/>
        <w:ind w:left="838"/>
      </w:pPr>
      <w:r>
        <w:t>主要装备车用消防泵、水罐、泡</w:t>
      </w:r>
      <w:r>
        <w:t>沫液罐和水</w:t>
      </w:r>
      <w:r>
        <w:t>-</w:t>
      </w:r>
      <w:r>
        <w:t>泡沫液混合设备的消防车。</w:t>
      </w:r>
      <w:r>
        <w:t xml:space="preserve"> </w:t>
      </w:r>
    </w:p>
    <w:p w14:paraId="08260AAD" w14:textId="77777777" w:rsidR="00A71EEF" w:rsidRDefault="00A71EEF">
      <w:pPr>
        <w:pStyle w:val="a3"/>
        <w:spacing w:before="12"/>
        <w:rPr>
          <w:sz w:val="17"/>
        </w:rPr>
      </w:pPr>
    </w:p>
    <w:p w14:paraId="367443BF" w14:textId="77777777" w:rsidR="00A71EEF" w:rsidRDefault="0081115D">
      <w:pPr>
        <w:pStyle w:val="a4"/>
        <w:numPr>
          <w:ilvl w:val="2"/>
          <w:numId w:val="843"/>
        </w:numPr>
        <w:tabs>
          <w:tab w:val="left" w:pos="1424"/>
        </w:tabs>
        <w:spacing w:line="446" w:lineRule="auto"/>
        <w:ind w:left="838" w:right="4391" w:firstLine="2"/>
        <w:rPr>
          <w:sz w:val="21"/>
        </w:rPr>
      </w:pPr>
      <w:r>
        <w:rPr>
          <w:spacing w:val="14"/>
          <w:sz w:val="21"/>
        </w:rPr>
        <w:t>干粉消防车</w:t>
      </w:r>
      <w:r>
        <w:rPr>
          <w:spacing w:val="14"/>
          <w:sz w:val="21"/>
        </w:rPr>
        <w:t xml:space="preserve"> </w:t>
      </w:r>
      <w:r>
        <w:rPr>
          <w:sz w:val="21"/>
        </w:rPr>
        <w:t>dry</w:t>
      </w:r>
      <w:r>
        <w:rPr>
          <w:spacing w:val="-3"/>
          <w:sz w:val="21"/>
        </w:rPr>
        <w:t xml:space="preserve"> </w:t>
      </w:r>
      <w:r>
        <w:rPr>
          <w:sz w:val="21"/>
        </w:rPr>
        <w:t>powder</w:t>
      </w:r>
      <w:r>
        <w:rPr>
          <w:spacing w:val="1"/>
          <w:sz w:val="21"/>
        </w:rPr>
        <w:t xml:space="preserve"> </w:t>
      </w:r>
      <w:r>
        <w:rPr>
          <w:sz w:val="21"/>
        </w:rPr>
        <w:t xml:space="preserve">fire fighting vehicle </w:t>
      </w:r>
      <w:r>
        <w:rPr>
          <w:spacing w:val="-3"/>
          <w:sz w:val="21"/>
        </w:rPr>
        <w:t>主要装备干粉灭火剂罐、成套干粉喷射装置的消防车。</w:t>
      </w:r>
      <w:r>
        <w:rPr>
          <w:spacing w:val="-3"/>
          <w:sz w:val="21"/>
        </w:rPr>
        <w:t xml:space="preserve">  </w:t>
      </w:r>
      <w:r>
        <w:rPr>
          <w:spacing w:val="-3"/>
          <w:sz w:val="21"/>
        </w:rPr>
        <w:t>注：干粉灭火剂也称为干粉。</w:t>
      </w:r>
      <w:r>
        <w:rPr>
          <w:sz w:val="21"/>
        </w:rPr>
        <w:t xml:space="preserve"> </w:t>
      </w:r>
    </w:p>
    <w:p w14:paraId="2557D95E" w14:textId="77777777" w:rsidR="00A71EEF" w:rsidRDefault="0081115D">
      <w:pPr>
        <w:pStyle w:val="a4"/>
        <w:numPr>
          <w:ilvl w:val="2"/>
          <w:numId w:val="843"/>
        </w:numPr>
        <w:tabs>
          <w:tab w:val="left" w:pos="1424"/>
        </w:tabs>
        <w:spacing w:line="268" w:lineRule="exact"/>
        <w:rPr>
          <w:sz w:val="21"/>
        </w:rPr>
      </w:pPr>
      <w:r>
        <w:rPr>
          <w:spacing w:val="-3"/>
          <w:sz w:val="21"/>
        </w:rPr>
        <w:t>干粉泡沫联用消防车</w:t>
      </w:r>
      <w:r>
        <w:rPr>
          <w:spacing w:val="-3"/>
          <w:sz w:val="21"/>
        </w:rPr>
        <w:t xml:space="preserve"> </w:t>
      </w:r>
      <w:r>
        <w:rPr>
          <w:sz w:val="21"/>
        </w:rPr>
        <w:t>dry</w:t>
      </w:r>
      <w:r>
        <w:rPr>
          <w:spacing w:val="1"/>
          <w:sz w:val="21"/>
        </w:rPr>
        <w:t xml:space="preserve"> </w:t>
      </w:r>
      <w:r>
        <w:rPr>
          <w:sz w:val="21"/>
        </w:rPr>
        <w:t>powder and</w:t>
      </w:r>
      <w:r>
        <w:rPr>
          <w:spacing w:val="1"/>
          <w:sz w:val="21"/>
        </w:rPr>
        <w:t xml:space="preserve"> </w:t>
      </w:r>
      <w:r>
        <w:rPr>
          <w:sz w:val="21"/>
        </w:rPr>
        <w:t>foam fire</w:t>
      </w:r>
      <w:r>
        <w:rPr>
          <w:spacing w:val="1"/>
          <w:sz w:val="21"/>
        </w:rPr>
        <w:t xml:space="preserve"> </w:t>
      </w:r>
      <w:r>
        <w:rPr>
          <w:sz w:val="21"/>
        </w:rPr>
        <w:t xml:space="preserve">fighting vehicle </w:t>
      </w:r>
    </w:p>
    <w:p w14:paraId="363AC2F7" w14:textId="77777777" w:rsidR="00A71EEF" w:rsidRDefault="00A71EEF">
      <w:pPr>
        <w:pStyle w:val="a3"/>
        <w:spacing w:before="2"/>
        <w:rPr>
          <w:sz w:val="18"/>
        </w:rPr>
      </w:pPr>
    </w:p>
    <w:p w14:paraId="07565314" w14:textId="77777777" w:rsidR="00A71EEF" w:rsidRDefault="0081115D">
      <w:pPr>
        <w:pStyle w:val="a3"/>
        <w:spacing w:line="446" w:lineRule="auto"/>
        <w:ind w:left="418" w:right="1609" w:firstLine="419"/>
      </w:pPr>
      <w:r>
        <w:t>主要装备车用消防泵、水罐，泡沫液罐和干粉灭火剂罐，可同时或按顺序喷射干粉和泡沫灭火的消防车。</w:t>
      </w:r>
      <w:r>
        <w:t xml:space="preserve"> </w:t>
      </w:r>
    </w:p>
    <w:p w14:paraId="15BDD579" w14:textId="77777777" w:rsidR="00A71EEF" w:rsidRDefault="0081115D">
      <w:pPr>
        <w:pStyle w:val="a4"/>
        <w:numPr>
          <w:ilvl w:val="2"/>
          <w:numId w:val="843"/>
        </w:numPr>
        <w:tabs>
          <w:tab w:val="left" w:pos="1424"/>
        </w:tabs>
        <w:spacing w:line="267" w:lineRule="exact"/>
        <w:rPr>
          <w:sz w:val="21"/>
        </w:rPr>
      </w:pPr>
      <w:r>
        <w:rPr>
          <w:spacing w:val="8"/>
          <w:sz w:val="21"/>
        </w:rPr>
        <w:t>干粉水联用消防车</w:t>
      </w:r>
      <w:r>
        <w:rPr>
          <w:spacing w:val="8"/>
          <w:sz w:val="21"/>
        </w:rPr>
        <w:t xml:space="preserve"> </w:t>
      </w:r>
      <w:r>
        <w:rPr>
          <w:sz w:val="21"/>
        </w:rPr>
        <w:t>dry</w:t>
      </w:r>
      <w:r>
        <w:rPr>
          <w:spacing w:val="-2"/>
          <w:sz w:val="21"/>
        </w:rPr>
        <w:t xml:space="preserve"> </w:t>
      </w:r>
      <w:r>
        <w:rPr>
          <w:sz w:val="21"/>
        </w:rPr>
        <w:t>powder</w:t>
      </w:r>
      <w:r>
        <w:rPr>
          <w:spacing w:val="1"/>
          <w:sz w:val="21"/>
        </w:rPr>
        <w:t xml:space="preserve"> </w:t>
      </w:r>
      <w:r>
        <w:rPr>
          <w:sz w:val="21"/>
        </w:rPr>
        <w:t>and</w:t>
      </w:r>
      <w:r>
        <w:rPr>
          <w:spacing w:val="1"/>
          <w:sz w:val="21"/>
        </w:rPr>
        <w:t xml:space="preserve"> </w:t>
      </w:r>
      <w:r>
        <w:rPr>
          <w:sz w:val="21"/>
        </w:rPr>
        <w:t>water</w:t>
      </w:r>
      <w:r>
        <w:rPr>
          <w:spacing w:val="-3"/>
          <w:sz w:val="21"/>
        </w:rPr>
        <w:t xml:space="preserve"> </w:t>
      </w:r>
      <w:r>
        <w:rPr>
          <w:sz w:val="21"/>
        </w:rPr>
        <w:t>fire</w:t>
      </w:r>
      <w:r>
        <w:rPr>
          <w:spacing w:val="1"/>
          <w:sz w:val="21"/>
        </w:rPr>
        <w:t xml:space="preserve"> </w:t>
      </w:r>
      <w:r>
        <w:rPr>
          <w:sz w:val="21"/>
        </w:rPr>
        <w:t>fighting</w:t>
      </w:r>
      <w:r>
        <w:rPr>
          <w:spacing w:val="-2"/>
          <w:sz w:val="21"/>
        </w:rPr>
        <w:t xml:space="preserve"> </w:t>
      </w:r>
      <w:r>
        <w:rPr>
          <w:sz w:val="21"/>
        </w:rPr>
        <w:t xml:space="preserve">vehicle </w:t>
      </w:r>
    </w:p>
    <w:p w14:paraId="2EB34711" w14:textId="77777777" w:rsidR="00A71EEF" w:rsidRDefault="00A71EEF">
      <w:pPr>
        <w:spacing w:line="267" w:lineRule="exact"/>
        <w:rPr>
          <w:sz w:val="21"/>
        </w:rPr>
        <w:sectPr w:rsidR="00A71EEF">
          <w:pgSz w:w="11910" w:h="16850"/>
          <w:pgMar w:top="1220" w:right="0" w:bottom="1420" w:left="1260" w:header="0" w:footer="1239" w:gutter="0"/>
          <w:cols w:space="720"/>
        </w:sectPr>
      </w:pPr>
    </w:p>
    <w:p w14:paraId="2EBA3549" w14:textId="77777777" w:rsidR="00A71EEF" w:rsidRDefault="0081115D">
      <w:pPr>
        <w:pStyle w:val="a3"/>
        <w:spacing w:before="47" w:line="446" w:lineRule="auto"/>
        <w:ind w:left="418" w:right="1817" w:firstLine="419"/>
      </w:pPr>
      <w:r>
        <w:lastRenderedPageBreak/>
        <w:t>主要装备车用消防泵、水罐和干粉灭火剂罐，可同时或按顺序喷射干粉和水灭火的消防车。</w:t>
      </w:r>
      <w:r>
        <w:t xml:space="preserve"> </w:t>
      </w:r>
    </w:p>
    <w:p w14:paraId="389B10C1" w14:textId="77777777" w:rsidR="00A71EEF" w:rsidRDefault="0081115D">
      <w:pPr>
        <w:pStyle w:val="a4"/>
        <w:numPr>
          <w:ilvl w:val="2"/>
          <w:numId w:val="843"/>
        </w:numPr>
        <w:tabs>
          <w:tab w:val="left" w:pos="1424"/>
        </w:tabs>
        <w:spacing w:line="267" w:lineRule="exact"/>
        <w:rPr>
          <w:sz w:val="21"/>
        </w:rPr>
      </w:pPr>
      <w:r>
        <w:rPr>
          <w:spacing w:val="14"/>
          <w:sz w:val="21"/>
        </w:rPr>
        <w:t>气体消防车</w:t>
      </w:r>
      <w:r>
        <w:rPr>
          <w:spacing w:val="14"/>
          <w:sz w:val="21"/>
        </w:rPr>
        <w:t xml:space="preserve"> </w:t>
      </w:r>
      <w:r>
        <w:rPr>
          <w:sz w:val="21"/>
        </w:rPr>
        <w:t>gas</w:t>
      </w:r>
      <w:r>
        <w:rPr>
          <w:spacing w:val="-2"/>
          <w:sz w:val="21"/>
        </w:rPr>
        <w:t xml:space="preserve"> </w:t>
      </w:r>
      <w:r>
        <w:rPr>
          <w:sz w:val="21"/>
        </w:rPr>
        <w:t>fire fighting</w:t>
      </w:r>
      <w:r>
        <w:rPr>
          <w:spacing w:val="-2"/>
          <w:sz w:val="21"/>
        </w:rPr>
        <w:t xml:space="preserve"> </w:t>
      </w:r>
      <w:r>
        <w:rPr>
          <w:sz w:val="21"/>
        </w:rPr>
        <w:t xml:space="preserve">vehicle </w:t>
      </w:r>
    </w:p>
    <w:p w14:paraId="2FDE90C9" w14:textId="77777777" w:rsidR="00A71EEF" w:rsidRDefault="00A71EEF">
      <w:pPr>
        <w:pStyle w:val="a3"/>
        <w:spacing w:before="2"/>
        <w:rPr>
          <w:sz w:val="18"/>
        </w:rPr>
      </w:pPr>
    </w:p>
    <w:p w14:paraId="08652C3D" w14:textId="77777777" w:rsidR="00A71EEF" w:rsidRDefault="0081115D">
      <w:pPr>
        <w:pStyle w:val="a3"/>
        <w:ind w:left="838"/>
      </w:pPr>
      <w:r>
        <w:t>主要装备气体灭火剂瓶，以气体为灭火剂的消防车。</w:t>
      </w:r>
      <w:r>
        <w:t xml:space="preserve"> </w:t>
      </w:r>
    </w:p>
    <w:p w14:paraId="2C5EE2FF" w14:textId="77777777" w:rsidR="00A71EEF" w:rsidRDefault="00A71EEF">
      <w:pPr>
        <w:pStyle w:val="a3"/>
        <w:rPr>
          <w:sz w:val="18"/>
        </w:rPr>
      </w:pPr>
    </w:p>
    <w:p w14:paraId="4F372B60" w14:textId="77777777" w:rsidR="00A71EEF" w:rsidRDefault="0081115D">
      <w:pPr>
        <w:pStyle w:val="a4"/>
        <w:numPr>
          <w:ilvl w:val="2"/>
          <w:numId w:val="843"/>
        </w:numPr>
        <w:tabs>
          <w:tab w:val="left" w:pos="1424"/>
        </w:tabs>
        <w:rPr>
          <w:sz w:val="21"/>
        </w:rPr>
      </w:pPr>
      <w:r>
        <w:rPr>
          <w:spacing w:val="-3"/>
          <w:sz w:val="21"/>
        </w:rPr>
        <w:t>压缩空气泡沫消防车</w:t>
      </w:r>
      <w:r>
        <w:rPr>
          <w:spacing w:val="-3"/>
          <w:sz w:val="21"/>
        </w:rPr>
        <w:t xml:space="preserve"> </w:t>
      </w:r>
      <w:r>
        <w:rPr>
          <w:sz w:val="21"/>
        </w:rPr>
        <w:t>compressed air</w:t>
      </w:r>
      <w:r>
        <w:rPr>
          <w:spacing w:val="1"/>
          <w:sz w:val="21"/>
        </w:rPr>
        <w:t xml:space="preserve"> </w:t>
      </w:r>
      <w:r>
        <w:rPr>
          <w:sz w:val="21"/>
        </w:rPr>
        <w:t>foam</w:t>
      </w:r>
      <w:r>
        <w:rPr>
          <w:spacing w:val="1"/>
          <w:sz w:val="21"/>
        </w:rPr>
        <w:t xml:space="preserve"> </w:t>
      </w:r>
      <w:r>
        <w:rPr>
          <w:sz w:val="21"/>
        </w:rPr>
        <w:t>system fire</w:t>
      </w:r>
      <w:r>
        <w:rPr>
          <w:spacing w:val="-2"/>
          <w:sz w:val="21"/>
        </w:rPr>
        <w:t xml:space="preserve"> </w:t>
      </w:r>
      <w:r>
        <w:rPr>
          <w:sz w:val="21"/>
        </w:rPr>
        <w:t>fighting</w:t>
      </w:r>
      <w:r>
        <w:rPr>
          <w:spacing w:val="-3"/>
          <w:sz w:val="21"/>
        </w:rPr>
        <w:t xml:space="preserve"> </w:t>
      </w:r>
      <w:r>
        <w:rPr>
          <w:sz w:val="21"/>
        </w:rPr>
        <w:t xml:space="preserve">vehicle </w:t>
      </w:r>
    </w:p>
    <w:p w14:paraId="1287DA71" w14:textId="77777777" w:rsidR="00A71EEF" w:rsidRDefault="00A71EEF">
      <w:pPr>
        <w:pStyle w:val="a3"/>
        <w:spacing w:before="12"/>
        <w:rPr>
          <w:sz w:val="17"/>
        </w:rPr>
      </w:pPr>
    </w:p>
    <w:p w14:paraId="00D3EF5B" w14:textId="77777777" w:rsidR="00A71EEF" w:rsidRDefault="0081115D">
      <w:pPr>
        <w:pStyle w:val="a3"/>
        <w:ind w:left="838"/>
      </w:pPr>
      <w:r>
        <w:t>主要装备水罐和泡沫液罐，</w:t>
      </w:r>
      <w:r>
        <w:t xml:space="preserve"> </w:t>
      </w:r>
      <w:r>
        <w:t>通过压缩空气泡沫系统喷射泡沫灭火的消防车。</w:t>
      </w:r>
      <w:r>
        <w:t xml:space="preserve"> </w:t>
      </w:r>
    </w:p>
    <w:p w14:paraId="5D92226A" w14:textId="77777777" w:rsidR="00A71EEF" w:rsidRDefault="00A71EEF">
      <w:pPr>
        <w:pStyle w:val="a3"/>
        <w:spacing w:before="2"/>
        <w:rPr>
          <w:sz w:val="18"/>
        </w:rPr>
      </w:pPr>
    </w:p>
    <w:p w14:paraId="4A3F2ABA" w14:textId="77777777" w:rsidR="00A71EEF" w:rsidRDefault="0081115D">
      <w:pPr>
        <w:pStyle w:val="a4"/>
        <w:numPr>
          <w:ilvl w:val="2"/>
          <w:numId w:val="843"/>
        </w:numPr>
        <w:tabs>
          <w:tab w:val="left" w:pos="1424"/>
        </w:tabs>
        <w:rPr>
          <w:sz w:val="21"/>
        </w:rPr>
      </w:pPr>
      <w:r>
        <w:rPr>
          <w:spacing w:val="14"/>
          <w:sz w:val="21"/>
        </w:rPr>
        <w:t>泵浦消防车</w:t>
      </w:r>
      <w:r>
        <w:rPr>
          <w:spacing w:val="14"/>
          <w:sz w:val="21"/>
        </w:rPr>
        <w:t xml:space="preserve"> </w:t>
      </w:r>
      <w:r>
        <w:rPr>
          <w:sz w:val="21"/>
        </w:rPr>
        <w:t>pumper fire</w:t>
      </w:r>
      <w:r>
        <w:rPr>
          <w:spacing w:val="1"/>
          <w:sz w:val="21"/>
        </w:rPr>
        <w:t xml:space="preserve"> </w:t>
      </w:r>
      <w:r>
        <w:rPr>
          <w:sz w:val="21"/>
        </w:rPr>
        <w:t>fighting</w:t>
      </w:r>
      <w:r>
        <w:rPr>
          <w:spacing w:val="-3"/>
          <w:sz w:val="21"/>
        </w:rPr>
        <w:t xml:space="preserve"> </w:t>
      </w:r>
      <w:r>
        <w:rPr>
          <w:sz w:val="21"/>
        </w:rPr>
        <w:t xml:space="preserve">vehicle </w:t>
      </w:r>
    </w:p>
    <w:p w14:paraId="74570E4A" w14:textId="77777777" w:rsidR="00A71EEF" w:rsidRDefault="00A71EEF">
      <w:pPr>
        <w:pStyle w:val="a3"/>
        <w:rPr>
          <w:sz w:val="18"/>
        </w:rPr>
      </w:pPr>
    </w:p>
    <w:p w14:paraId="4ACC1C3A" w14:textId="77777777" w:rsidR="00A71EEF" w:rsidRDefault="0081115D">
      <w:pPr>
        <w:pStyle w:val="a3"/>
        <w:ind w:left="838"/>
      </w:pPr>
      <w:r>
        <w:t>主要装备消防泵，不配备灭火剂罐，直接利用水源灭火或供水的消防车。</w:t>
      </w:r>
      <w:r>
        <w:t xml:space="preserve"> </w:t>
      </w:r>
    </w:p>
    <w:p w14:paraId="1363B3EA" w14:textId="77777777" w:rsidR="00A71EEF" w:rsidRDefault="00A71EEF">
      <w:pPr>
        <w:pStyle w:val="a3"/>
        <w:spacing w:before="12"/>
        <w:rPr>
          <w:sz w:val="17"/>
        </w:rPr>
      </w:pPr>
    </w:p>
    <w:p w14:paraId="72F9DF7D" w14:textId="77777777" w:rsidR="00A71EEF" w:rsidRDefault="0081115D">
      <w:pPr>
        <w:pStyle w:val="a4"/>
        <w:numPr>
          <w:ilvl w:val="2"/>
          <w:numId w:val="843"/>
        </w:numPr>
        <w:tabs>
          <w:tab w:val="left" w:pos="1530"/>
        </w:tabs>
        <w:ind w:left="1529" w:hanging="690"/>
        <w:rPr>
          <w:sz w:val="21"/>
        </w:rPr>
      </w:pPr>
      <w:r>
        <w:rPr>
          <w:spacing w:val="10"/>
          <w:sz w:val="21"/>
        </w:rPr>
        <w:t>高倍泡沫消防车</w:t>
      </w:r>
      <w:r>
        <w:rPr>
          <w:spacing w:val="10"/>
          <w:sz w:val="21"/>
        </w:rPr>
        <w:t xml:space="preserve"> </w:t>
      </w:r>
      <w:r>
        <w:rPr>
          <w:sz w:val="21"/>
        </w:rPr>
        <w:t>high-expansion</w:t>
      </w:r>
      <w:r>
        <w:rPr>
          <w:spacing w:val="1"/>
          <w:sz w:val="21"/>
        </w:rPr>
        <w:t xml:space="preserve"> </w:t>
      </w:r>
      <w:r>
        <w:rPr>
          <w:sz w:val="21"/>
        </w:rPr>
        <w:t>foam</w:t>
      </w:r>
      <w:r>
        <w:rPr>
          <w:spacing w:val="-3"/>
          <w:sz w:val="21"/>
        </w:rPr>
        <w:t xml:space="preserve"> </w:t>
      </w:r>
      <w:r>
        <w:rPr>
          <w:sz w:val="21"/>
        </w:rPr>
        <w:t>fire</w:t>
      </w:r>
      <w:r>
        <w:rPr>
          <w:spacing w:val="1"/>
          <w:sz w:val="21"/>
        </w:rPr>
        <w:t xml:space="preserve"> </w:t>
      </w:r>
      <w:r>
        <w:rPr>
          <w:sz w:val="21"/>
        </w:rPr>
        <w:t>fighting</w:t>
      </w:r>
      <w:r>
        <w:rPr>
          <w:spacing w:val="104"/>
          <w:sz w:val="21"/>
        </w:rPr>
        <w:t xml:space="preserve"> </w:t>
      </w:r>
      <w:r>
        <w:rPr>
          <w:sz w:val="21"/>
        </w:rPr>
        <w:t xml:space="preserve">vehicle </w:t>
      </w:r>
    </w:p>
    <w:p w14:paraId="76FFA330" w14:textId="77777777" w:rsidR="00A71EEF" w:rsidRDefault="00A71EEF">
      <w:pPr>
        <w:pStyle w:val="a3"/>
        <w:spacing w:before="2"/>
        <w:rPr>
          <w:sz w:val="18"/>
        </w:rPr>
      </w:pPr>
    </w:p>
    <w:p w14:paraId="48244E1D" w14:textId="77777777" w:rsidR="00A71EEF" w:rsidRDefault="0081115D">
      <w:pPr>
        <w:pStyle w:val="a3"/>
        <w:ind w:left="838"/>
      </w:pPr>
      <w:r>
        <w:t>主要装备水罐和泡沫液罐，通过高倍数泡沫发生器喷射高倍泡沫灭火的消防车。</w:t>
      </w:r>
      <w:r>
        <w:t xml:space="preserve"> </w:t>
      </w:r>
    </w:p>
    <w:p w14:paraId="33D59B1B" w14:textId="77777777" w:rsidR="00A71EEF" w:rsidRDefault="00A71EEF">
      <w:pPr>
        <w:pStyle w:val="a3"/>
        <w:rPr>
          <w:sz w:val="18"/>
        </w:rPr>
      </w:pPr>
    </w:p>
    <w:p w14:paraId="24AC3C38" w14:textId="77777777" w:rsidR="00A71EEF" w:rsidRDefault="0081115D">
      <w:pPr>
        <w:pStyle w:val="a4"/>
        <w:numPr>
          <w:ilvl w:val="2"/>
          <w:numId w:val="843"/>
        </w:numPr>
        <w:tabs>
          <w:tab w:val="left" w:pos="1530"/>
        </w:tabs>
        <w:ind w:left="1529" w:hanging="690"/>
        <w:rPr>
          <w:sz w:val="21"/>
        </w:rPr>
      </w:pPr>
      <w:r>
        <w:rPr>
          <w:spacing w:val="14"/>
          <w:sz w:val="21"/>
        </w:rPr>
        <w:t>水雾消防车</w:t>
      </w:r>
      <w:r>
        <w:rPr>
          <w:spacing w:val="14"/>
          <w:sz w:val="21"/>
        </w:rPr>
        <w:t xml:space="preserve"> </w:t>
      </w:r>
      <w:r>
        <w:rPr>
          <w:sz w:val="21"/>
        </w:rPr>
        <w:t>water mist</w:t>
      </w:r>
      <w:r>
        <w:rPr>
          <w:spacing w:val="1"/>
          <w:sz w:val="21"/>
        </w:rPr>
        <w:t xml:space="preserve"> </w:t>
      </w:r>
      <w:r>
        <w:rPr>
          <w:sz w:val="21"/>
        </w:rPr>
        <w:t>fire</w:t>
      </w:r>
      <w:r>
        <w:rPr>
          <w:spacing w:val="-2"/>
          <w:sz w:val="21"/>
        </w:rPr>
        <w:t xml:space="preserve"> </w:t>
      </w:r>
      <w:r>
        <w:rPr>
          <w:sz w:val="21"/>
        </w:rPr>
        <w:t xml:space="preserve">fighting vehicle </w:t>
      </w:r>
    </w:p>
    <w:p w14:paraId="7E8EE8E9" w14:textId="77777777" w:rsidR="00A71EEF" w:rsidRDefault="00A71EEF">
      <w:pPr>
        <w:pStyle w:val="a3"/>
        <w:spacing w:before="12"/>
        <w:rPr>
          <w:sz w:val="17"/>
        </w:rPr>
      </w:pPr>
    </w:p>
    <w:p w14:paraId="4B8A382B" w14:textId="77777777" w:rsidR="00A71EEF" w:rsidRDefault="0081115D">
      <w:pPr>
        <w:pStyle w:val="a3"/>
        <w:ind w:left="838"/>
      </w:pPr>
      <w:r>
        <w:t>主要装备水罐和水雾灭火装置的消防车。</w:t>
      </w:r>
      <w:r>
        <w:t xml:space="preserve"> </w:t>
      </w:r>
    </w:p>
    <w:p w14:paraId="1099977A" w14:textId="77777777" w:rsidR="00A71EEF" w:rsidRDefault="00A71EEF">
      <w:pPr>
        <w:pStyle w:val="a3"/>
        <w:spacing w:before="2"/>
        <w:rPr>
          <w:sz w:val="18"/>
        </w:rPr>
      </w:pPr>
    </w:p>
    <w:p w14:paraId="6F54CC3B" w14:textId="77777777" w:rsidR="00A71EEF" w:rsidRDefault="0081115D">
      <w:pPr>
        <w:pStyle w:val="a4"/>
        <w:numPr>
          <w:ilvl w:val="2"/>
          <w:numId w:val="843"/>
        </w:numPr>
        <w:tabs>
          <w:tab w:val="left" w:pos="1530"/>
        </w:tabs>
        <w:ind w:left="1529" w:hanging="690"/>
        <w:rPr>
          <w:sz w:val="21"/>
        </w:rPr>
      </w:pPr>
      <w:r>
        <w:rPr>
          <w:spacing w:val="10"/>
          <w:sz w:val="21"/>
        </w:rPr>
        <w:t>高压射流消防车</w:t>
      </w:r>
      <w:r>
        <w:rPr>
          <w:spacing w:val="10"/>
          <w:sz w:val="21"/>
        </w:rPr>
        <w:t xml:space="preserve"> </w:t>
      </w:r>
      <w:r>
        <w:rPr>
          <w:sz w:val="21"/>
        </w:rPr>
        <w:t>high-pressure</w:t>
      </w:r>
      <w:r>
        <w:rPr>
          <w:spacing w:val="1"/>
          <w:sz w:val="21"/>
        </w:rPr>
        <w:t xml:space="preserve"> </w:t>
      </w:r>
      <w:r>
        <w:rPr>
          <w:sz w:val="21"/>
        </w:rPr>
        <w:t>water</w:t>
      </w:r>
      <w:r>
        <w:rPr>
          <w:spacing w:val="-3"/>
          <w:sz w:val="21"/>
        </w:rPr>
        <w:t xml:space="preserve"> </w:t>
      </w:r>
      <w:r>
        <w:rPr>
          <w:sz w:val="21"/>
        </w:rPr>
        <w:t>puncture</w:t>
      </w:r>
      <w:r>
        <w:rPr>
          <w:spacing w:val="1"/>
          <w:sz w:val="21"/>
        </w:rPr>
        <w:t xml:space="preserve"> </w:t>
      </w:r>
      <w:r>
        <w:rPr>
          <w:sz w:val="21"/>
        </w:rPr>
        <w:t>fire</w:t>
      </w:r>
      <w:r>
        <w:rPr>
          <w:spacing w:val="-3"/>
          <w:sz w:val="21"/>
        </w:rPr>
        <w:t xml:space="preserve"> </w:t>
      </w:r>
      <w:r>
        <w:rPr>
          <w:sz w:val="21"/>
        </w:rPr>
        <w:t>fighting</w:t>
      </w:r>
      <w:r>
        <w:rPr>
          <w:spacing w:val="1"/>
          <w:sz w:val="21"/>
        </w:rPr>
        <w:t xml:space="preserve"> </w:t>
      </w:r>
      <w:r>
        <w:rPr>
          <w:sz w:val="21"/>
        </w:rPr>
        <w:t xml:space="preserve">vehicle </w:t>
      </w:r>
    </w:p>
    <w:p w14:paraId="232BD405" w14:textId="77777777" w:rsidR="00A71EEF" w:rsidRDefault="00A71EEF">
      <w:pPr>
        <w:pStyle w:val="a3"/>
        <w:rPr>
          <w:sz w:val="18"/>
        </w:rPr>
      </w:pPr>
    </w:p>
    <w:p w14:paraId="63717C89" w14:textId="77777777" w:rsidR="00A71EEF" w:rsidRDefault="0081115D">
      <w:pPr>
        <w:pStyle w:val="a3"/>
        <w:ind w:left="838"/>
      </w:pPr>
      <w:r>
        <w:t>主要装备水罐和高压射流装置，利用高压水流击穿或切割障碍物灭火的消防车。</w:t>
      </w:r>
      <w:r>
        <w:t xml:space="preserve"> </w:t>
      </w:r>
    </w:p>
    <w:p w14:paraId="13C380DE" w14:textId="77777777" w:rsidR="00A71EEF" w:rsidRDefault="00A71EEF">
      <w:pPr>
        <w:pStyle w:val="a3"/>
        <w:spacing w:before="12"/>
        <w:rPr>
          <w:sz w:val="17"/>
        </w:rPr>
      </w:pPr>
    </w:p>
    <w:p w14:paraId="4E338A1B" w14:textId="77777777" w:rsidR="00A71EEF" w:rsidRDefault="0081115D">
      <w:pPr>
        <w:pStyle w:val="a4"/>
        <w:numPr>
          <w:ilvl w:val="2"/>
          <w:numId w:val="843"/>
        </w:numPr>
        <w:tabs>
          <w:tab w:val="left" w:pos="1530"/>
        </w:tabs>
        <w:ind w:left="1529" w:hanging="690"/>
        <w:rPr>
          <w:sz w:val="21"/>
        </w:rPr>
      </w:pPr>
      <w:r>
        <w:rPr>
          <w:spacing w:val="14"/>
          <w:sz w:val="21"/>
        </w:rPr>
        <w:t>机场消防车</w:t>
      </w:r>
      <w:r>
        <w:rPr>
          <w:spacing w:val="14"/>
          <w:sz w:val="21"/>
        </w:rPr>
        <w:t xml:space="preserve"> </w:t>
      </w:r>
      <w:r>
        <w:rPr>
          <w:sz w:val="21"/>
        </w:rPr>
        <w:t>airport fire</w:t>
      </w:r>
      <w:r>
        <w:rPr>
          <w:spacing w:val="-2"/>
          <w:sz w:val="21"/>
        </w:rPr>
        <w:t xml:space="preserve"> </w:t>
      </w:r>
      <w:r>
        <w:rPr>
          <w:sz w:val="21"/>
        </w:rPr>
        <w:t>fighting</w:t>
      </w:r>
      <w:r>
        <w:rPr>
          <w:spacing w:val="1"/>
          <w:sz w:val="21"/>
        </w:rPr>
        <w:t xml:space="preserve"> </w:t>
      </w:r>
      <w:r>
        <w:rPr>
          <w:sz w:val="21"/>
        </w:rPr>
        <w:t xml:space="preserve">vehicle </w:t>
      </w:r>
    </w:p>
    <w:p w14:paraId="2A461643" w14:textId="77777777" w:rsidR="00A71EEF" w:rsidRDefault="00A71EEF">
      <w:pPr>
        <w:pStyle w:val="a3"/>
        <w:spacing w:before="2"/>
        <w:rPr>
          <w:sz w:val="18"/>
        </w:rPr>
      </w:pPr>
    </w:p>
    <w:p w14:paraId="5DD0C3C2" w14:textId="77777777" w:rsidR="00A71EEF" w:rsidRDefault="0081115D">
      <w:pPr>
        <w:pStyle w:val="a3"/>
        <w:spacing w:line="446" w:lineRule="auto"/>
        <w:ind w:left="418" w:right="1609" w:firstLine="419"/>
      </w:pPr>
      <w:r>
        <w:t>主要装备越野底盘、车用消防泵、水罐和泡沫液罐，具有加速快，越野性好，自动控制程度高，可在行驶中喷射灭火剂，用于扑救飞机火灾的消防车。</w:t>
      </w:r>
      <w:r>
        <w:t xml:space="preserve"> </w:t>
      </w:r>
    </w:p>
    <w:p w14:paraId="2CF2C4E4" w14:textId="77777777" w:rsidR="00A71EEF" w:rsidRDefault="0081115D">
      <w:pPr>
        <w:pStyle w:val="a4"/>
        <w:numPr>
          <w:ilvl w:val="2"/>
          <w:numId w:val="843"/>
        </w:numPr>
        <w:tabs>
          <w:tab w:val="left" w:pos="1530"/>
        </w:tabs>
        <w:spacing w:line="267" w:lineRule="exact"/>
        <w:ind w:left="1529" w:hanging="690"/>
        <w:rPr>
          <w:sz w:val="21"/>
        </w:rPr>
      </w:pPr>
      <w:r>
        <w:rPr>
          <w:spacing w:val="14"/>
          <w:sz w:val="21"/>
        </w:rPr>
        <w:t>涡喷消防车</w:t>
      </w:r>
      <w:r>
        <w:rPr>
          <w:spacing w:val="14"/>
          <w:sz w:val="21"/>
        </w:rPr>
        <w:t xml:space="preserve"> </w:t>
      </w:r>
      <w:r>
        <w:rPr>
          <w:sz w:val="21"/>
        </w:rPr>
        <w:t>turbo-jet engine</w:t>
      </w:r>
      <w:r>
        <w:rPr>
          <w:spacing w:val="-2"/>
          <w:sz w:val="21"/>
        </w:rPr>
        <w:t xml:space="preserve"> </w:t>
      </w:r>
      <w:r>
        <w:rPr>
          <w:sz w:val="21"/>
        </w:rPr>
        <w:t>fire fighting</w:t>
      </w:r>
      <w:r>
        <w:rPr>
          <w:spacing w:val="1"/>
          <w:sz w:val="21"/>
        </w:rPr>
        <w:t xml:space="preserve"> </w:t>
      </w:r>
      <w:r>
        <w:rPr>
          <w:sz w:val="21"/>
        </w:rPr>
        <w:t xml:space="preserve">vehicle </w:t>
      </w:r>
    </w:p>
    <w:p w14:paraId="78782961" w14:textId="77777777" w:rsidR="00A71EEF" w:rsidRDefault="00A71EEF">
      <w:pPr>
        <w:pStyle w:val="a3"/>
        <w:spacing w:before="2"/>
        <w:rPr>
          <w:sz w:val="18"/>
        </w:rPr>
      </w:pPr>
    </w:p>
    <w:p w14:paraId="34D8642D" w14:textId="77777777" w:rsidR="00A71EEF" w:rsidRDefault="0081115D">
      <w:pPr>
        <w:spacing w:line="446" w:lineRule="auto"/>
        <w:ind w:left="840" w:right="1925" w:hanging="3"/>
        <w:rPr>
          <w:b/>
          <w:sz w:val="21"/>
        </w:rPr>
      </w:pPr>
      <w:r>
        <w:rPr>
          <w:spacing w:val="-3"/>
          <w:sz w:val="21"/>
        </w:rPr>
        <w:t>主要装备车用消防泵、水罐、泡沫液罐，利用燃气涡轮发动机喷射灭火剂的消防车。</w:t>
      </w:r>
      <w:r>
        <w:rPr>
          <w:b/>
          <w:sz w:val="21"/>
        </w:rPr>
        <w:t>3.2</w:t>
      </w:r>
      <w:r>
        <w:rPr>
          <w:b/>
          <w:spacing w:val="12"/>
          <w:sz w:val="21"/>
        </w:rPr>
        <w:t xml:space="preserve"> </w:t>
      </w:r>
      <w:r>
        <w:rPr>
          <w:b/>
          <w:spacing w:val="12"/>
          <w:sz w:val="21"/>
        </w:rPr>
        <w:t>举高类消防车</w:t>
      </w:r>
      <w:r>
        <w:rPr>
          <w:b/>
          <w:spacing w:val="12"/>
          <w:sz w:val="21"/>
        </w:rPr>
        <w:t xml:space="preserve"> </w:t>
      </w:r>
      <w:r>
        <w:rPr>
          <w:b/>
          <w:sz w:val="21"/>
        </w:rPr>
        <w:t>aerial</w:t>
      </w:r>
      <w:r>
        <w:rPr>
          <w:b/>
          <w:spacing w:val="105"/>
          <w:sz w:val="21"/>
        </w:rPr>
        <w:t xml:space="preserve"> </w:t>
      </w:r>
      <w:r>
        <w:rPr>
          <w:b/>
          <w:sz w:val="21"/>
        </w:rPr>
        <w:t xml:space="preserve">fire fighting  vehicle </w:t>
      </w:r>
    </w:p>
    <w:p w14:paraId="6C87E896" w14:textId="77777777" w:rsidR="00A71EEF" w:rsidRDefault="0081115D">
      <w:pPr>
        <w:pStyle w:val="a3"/>
        <w:spacing w:line="446" w:lineRule="auto"/>
        <w:ind w:left="418" w:right="1609" w:firstLine="419"/>
      </w:pPr>
      <w:r>
        <w:t>主要装备举高臂架（梯架）、回转机构等部件，用于高空灭火救援、输送物资及消防员的消防军。</w:t>
      </w:r>
      <w:r>
        <w:t xml:space="preserve"> </w:t>
      </w:r>
    </w:p>
    <w:p w14:paraId="34F2C551" w14:textId="77777777" w:rsidR="00A71EEF" w:rsidRDefault="0081115D">
      <w:pPr>
        <w:pStyle w:val="a4"/>
        <w:numPr>
          <w:ilvl w:val="2"/>
          <w:numId w:val="842"/>
        </w:numPr>
        <w:tabs>
          <w:tab w:val="left" w:pos="1424"/>
        </w:tabs>
        <w:rPr>
          <w:sz w:val="21"/>
        </w:rPr>
      </w:pPr>
      <w:r>
        <w:rPr>
          <w:spacing w:val="10"/>
          <w:sz w:val="21"/>
        </w:rPr>
        <w:t>登高平台消防车</w:t>
      </w:r>
      <w:r>
        <w:rPr>
          <w:spacing w:val="10"/>
          <w:sz w:val="21"/>
        </w:rPr>
        <w:t xml:space="preserve"> </w:t>
      </w:r>
      <w:r>
        <w:rPr>
          <w:sz w:val="21"/>
        </w:rPr>
        <w:t>platform</w:t>
      </w:r>
      <w:r>
        <w:rPr>
          <w:spacing w:val="104"/>
          <w:sz w:val="21"/>
        </w:rPr>
        <w:t xml:space="preserve"> </w:t>
      </w:r>
      <w:r>
        <w:rPr>
          <w:sz w:val="21"/>
        </w:rPr>
        <w:t>fire fighting</w:t>
      </w:r>
      <w:r>
        <w:rPr>
          <w:spacing w:val="1"/>
          <w:sz w:val="21"/>
        </w:rPr>
        <w:t xml:space="preserve"> </w:t>
      </w:r>
      <w:r>
        <w:rPr>
          <w:sz w:val="21"/>
        </w:rPr>
        <w:t xml:space="preserve">vehicle </w:t>
      </w:r>
    </w:p>
    <w:p w14:paraId="608893F5" w14:textId="77777777" w:rsidR="00A71EEF" w:rsidRDefault="00A71EEF">
      <w:pPr>
        <w:pStyle w:val="a3"/>
        <w:spacing w:before="10"/>
        <w:rPr>
          <w:sz w:val="17"/>
        </w:rPr>
      </w:pPr>
    </w:p>
    <w:p w14:paraId="72A10E8B" w14:textId="77777777" w:rsidR="00A71EEF" w:rsidRDefault="0081115D">
      <w:pPr>
        <w:pStyle w:val="a3"/>
        <w:spacing w:line="446" w:lineRule="auto"/>
        <w:ind w:left="418" w:right="1609" w:firstLine="419"/>
      </w:pPr>
      <w:r>
        <w:t>主要装备曲臂、直曲臂和工作斗，可向高空输送消防人员、灭火物资、救援被困人员或喷射灭火剂的消防车。</w:t>
      </w:r>
      <w:r>
        <w:t xml:space="preserve"> </w:t>
      </w:r>
    </w:p>
    <w:p w14:paraId="27B7E3F5" w14:textId="77777777" w:rsidR="00A71EEF" w:rsidRDefault="0081115D">
      <w:pPr>
        <w:pStyle w:val="a4"/>
        <w:numPr>
          <w:ilvl w:val="2"/>
          <w:numId w:val="842"/>
        </w:numPr>
        <w:tabs>
          <w:tab w:val="left" w:pos="1424"/>
        </w:tabs>
        <w:spacing w:before="1"/>
        <w:rPr>
          <w:sz w:val="21"/>
        </w:rPr>
      </w:pPr>
      <w:r>
        <w:rPr>
          <w:spacing w:val="14"/>
          <w:sz w:val="21"/>
        </w:rPr>
        <w:t>云梯消防车</w:t>
      </w:r>
      <w:r>
        <w:rPr>
          <w:spacing w:val="14"/>
          <w:sz w:val="21"/>
        </w:rPr>
        <w:t xml:space="preserve"> </w:t>
      </w:r>
      <w:r>
        <w:rPr>
          <w:sz w:val="21"/>
        </w:rPr>
        <w:t>aerial</w:t>
      </w:r>
      <w:r>
        <w:rPr>
          <w:spacing w:val="1"/>
          <w:sz w:val="21"/>
        </w:rPr>
        <w:t xml:space="preserve"> </w:t>
      </w:r>
      <w:r>
        <w:rPr>
          <w:sz w:val="21"/>
        </w:rPr>
        <w:t>ladder fire</w:t>
      </w:r>
      <w:r>
        <w:rPr>
          <w:spacing w:val="1"/>
          <w:sz w:val="21"/>
        </w:rPr>
        <w:t xml:space="preserve"> </w:t>
      </w:r>
      <w:r>
        <w:rPr>
          <w:sz w:val="21"/>
        </w:rPr>
        <w:t xml:space="preserve">fighting vehicle </w:t>
      </w:r>
    </w:p>
    <w:p w14:paraId="54B0F26A" w14:textId="77777777" w:rsidR="00A71EEF" w:rsidRDefault="00A71EEF">
      <w:pPr>
        <w:pStyle w:val="a3"/>
        <w:spacing w:before="12"/>
        <w:rPr>
          <w:sz w:val="17"/>
        </w:rPr>
      </w:pPr>
    </w:p>
    <w:p w14:paraId="2350A021" w14:textId="77777777" w:rsidR="00A71EEF" w:rsidRDefault="0081115D">
      <w:pPr>
        <w:pStyle w:val="a3"/>
        <w:spacing w:line="446" w:lineRule="auto"/>
        <w:ind w:left="418" w:right="1609" w:firstLine="419"/>
      </w:pPr>
      <w:r>
        <w:t>主要装备伸缩云梯，可向高空输送消防人员、灭火物资、救援被困人员就喷射灭火剂的消防车。</w:t>
      </w:r>
      <w:r>
        <w:t xml:space="preserve"> </w:t>
      </w:r>
    </w:p>
    <w:p w14:paraId="671BE0BC" w14:textId="77777777" w:rsidR="00A71EEF" w:rsidRDefault="00A71EEF">
      <w:pPr>
        <w:spacing w:line="446" w:lineRule="auto"/>
        <w:sectPr w:rsidR="00A71EEF">
          <w:pgSz w:w="11910" w:h="16850"/>
          <w:pgMar w:top="1220" w:right="0" w:bottom="1420" w:left="1260" w:header="0" w:footer="1239" w:gutter="0"/>
          <w:cols w:space="720"/>
        </w:sectPr>
      </w:pPr>
    </w:p>
    <w:p w14:paraId="338988D4" w14:textId="77777777" w:rsidR="00A71EEF" w:rsidRDefault="0081115D">
      <w:pPr>
        <w:pStyle w:val="a4"/>
        <w:numPr>
          <w:ilvl w:val="2"/>
          <w:numId w:val="842"/>
        </w:numPr>
        <w:tabs>
          <w:tab w:val="left" w:pos="1424"/>
        </w:tabs>
        <w:spacing w:before="47"/>
        <w:rPr>
          <w:sz w:val="21"/>
        </w:rPr>
      </w:pPr>
      <w:r>
        <w:rPr>
          <w:spacing w:val="10"/>
          <w:sz w:val="21"/>
        </w:rPr>
        <w:lastRenderedPageBreak/>
        <w:t>举高喷射消防车</w:t>
      </w:r>
      <w:r>
        <w:rPr>
          <w:spacing w:val="10"/>
          <w:sz w:val="21"/>
        </w:rPr>
        <w:t xml:space="preserve"> </w:t>
      </w:r>
      <w:r>
        <w:rPr>
          <w:sz w:val="21"/>
        </w:rPr>
        <w:t>water</w:t>
      </w:r>
      <w:r>
        <w:rPr>
          <w:spacing w:val="-2"/>
          <w:sz w:val="21"/>
        </w:rPr>
        <w:t xml:space="preserve"> </w:t>
      </w:r>
      <w:r>
        <w:rPr>
          <w:sz w:val="21"/>
        </w:rPr>
        <w:t>tower fire</w:t>
      </w:r>
      <w:r>
        <w:rPr>
          <w:spacing w:val="-2"/>
          <w:sz w:val="21"/>
        </w:rPr>
        <w:t xml:space="preserve"> </w:t>
      </w:r>
      <w:r>
        <w:rPr>
          <w:sz w:val="21"/>
        </w:rPr>
        <w:t>fighting</w:t>
      </w:r>
      <w:r>
        <w:rPr>
          <w:spacing w:val="1"/>
          <w:sz w:val="21"/>
        </w:rPr>
        <w:t xml:space="preserve"> </w:t>
      </w:r>
      <w:r>
        <w:rPr>
          <w:sz w:val="21"/>
        </w:rPr>
        <w:t xml:space="preserve">vehicle </w:t>
      </w:r>
    </w:p>
    <w:p w14:paraId="3E530282" w14:textId="77777777" w:rsidR="00A71EEF" w:rsidRDefault="00A71EEF">
      <w:pPr>
        <w:pStyle w:val="a3"/>
        <w:rPr>
          <w:sz w:val="18"/>
        </w:rPr>
      </w:pPr>
    </w:p>
    <w:p w14:paraId="119418BC" w14:textId="77777777" w:rsidR="00A71EEF" w:rsidRDefault="0081115D">
      <w:pPr>
        <w:pStyle w:val="a3"/>
        <w:spacing w:line="446" w:lineRule="auto"/>
        <w:ind w:left="418" w:right="1609" w:firstLine="419"/>
      </w:pPr>
      <w:r>
        <w:t>主要装备直臂、曲臂、直曲臂及供液管路，顶端安装消防炮或破拆装置、可高空喷射灭火剂或实施破拆的消防车。</w:t>
      </w:r>
      <w:r>
        <w:t xml:space="preserve"> </w:t>
      </w:r>
    </w:p>
    <w:p w14:paraId="7985A029" w14:textId="77777777" w:rsidR="00A71EEF" w:rsidRDefault="0081115D">
      <w:pPr>
        <w:pStyle w:val="a4"/>
        <w:numPr>
          <w:ilvl w:val="1"/>
          <w:numId w:val="841"/>
        </w:numPr>
        <w:tabs>
          <w:tab w:val="left" w:pos="1159"/>
        </w:tabs>
        <w:ind w:hanging="319"/>
        <w:rPr>
          <w:sz w:val="21"/>
        </w:rPr>
      </w:pPr>
      <w:r>
        <w:rPr>
          <w:spacing w:val="12"/>
          <w:sz w:val="21"/>
        </w:rPr>
        <w:t>专勤类消防车</w:t>
      </w:r>
      <w:r>
        <w:rPr>
          <w:spacing w:val="12"/>
          <w:sz w:val="21"/>
        </w:rPr>
        <w:t xml:space="preserve"> </w:t>
      </w:r>
      <w:r>
        <w:rPr>
          <w:sz w:val="21"/>
        </w:rPr>
        <w:t>specialized</w:t>
      </w:r>
      <w:r>
        <w:rPr>
          <w:spacing w:val="1"/>
          <w:sz w:val="21"/>
        </w:rPr>
        <w:t xml:space="preserve"> </w:t>
      </w:r>
      <w:r>
        <w:rPr>
          <w:sz w:val="21"/>
        </w:rPr>
        <w:t>fire</w:t>
      </w:r>
      <w:r>
        <w:rPr>
          <w:spacing w:val="-3"/>
          <w:sz w:val="21"/>
        </w:rPr>
        <w:t xml:space="preserve"> </w:t>
      </w:r>
      <w:r>
        <w:rPr>
          <w:sz w:val="21"/>
        </w:rPr>
        <w:t>fighting</w:t>
      </w:r>
      <w:r>
        <w:rPr>
          <w:spacing w:val="1"/>
          <w:sz w:val="21"/>
        </w:rPr>
        <w:t xml:space="preserve"> </w:t>
      </w:r>
      <w:r>
        <w:rPr>
          <w:sz w:val="21"/>
        </w:rPr>
        <w:t xml:space="preserve">vehicle </w:t>
      </w:r>
    </w:p>
    <w:p w14:paraId="165E4A1F" w14:textId="77777777" w:rsidR="00A71EEF" w:rsidRDefault="00A71EEF">
      <w:pPr>
        <w:pStyle w:val="a3"/>
        <w:spacing w:before="12"/>
        <w:rPr>
          <w:sz w:val="17"/>
        </w:rPr>
      </w:pPr>
    </w:p>
    <w:p w14:paraId="3A4E393D" w14:textId="77777777" w:rsidR="00A71EEF" w:rsidRDefault="0081115D">
      <w:pPr>
        <w:pStyle w:val="a3"/>
        <w:ind w:left="838"/>
      </w:pPr>
      <w:r>
        <w:t>主要装备专用消防装置，用于某专项消防技术作业的消防车。</w:t>
      </w:r>
      <w:r>
        <w:t xml:space="preserve"> </w:t>
      </w:r>
    </w:p>
    <w:p w14:paraId="65F6B8EB" w14:textId="77777777" w:rsidR="00A71EEF" w:rsidRDefault="00A71EEF">
      <w:pPr>
        <w:pStyle w:val="a3"/>
        <w:rPr>
          <w:sz w:val="18"/>
        </w:rPr>
      </w:pPr>
    </w:p>
    <w:p w14:paraId="4520EE75" w14:textId="77777777" w:rsidR="00A71EEF" w:rsidRDefault="0081115D">
      <w:pPr>
        <w:pStyle w:val="a4"/>
        <w:numPr>
          <w:ilvl w:val="2"/>
          <w:numId w:val="841"/>
        </w:numPr>
        <w:tabs>
          <w:tab w:val="left" w:pos="1424"/>
        </w:tabs>
        <w:rPr>
          <w:sz w:val="21"/>
        </w:rPr>
      </w:pPr>
      <w:r>
        <w:rPr>
          <w:spacing w:val="9"/>
          <w:sz w:val="21"/>
        </w:rPr>
        <w:t>通信指挥消防车</w:t>
      </w:r>
      <w:r>
        <w:rPr>
          <w:spacing w:val="9"/>
          <w:sz w:val="21"/>
        </w:rPr>
        <w:t xml:space="preserve"> </w:t>
      </w:r>
      <w:r>
        <w:rPr>
          <w:sz w:val="21"/>
        </w:rPr>
        <w:t>command</w:t>
      </w:r>
      <w:r>
        <w:rPr>
          <w:spacing w:val="1"/>
          <w:sz w:val="21"/>
        </w:rPr>
        <w:t xml:space="preserve"> </w:t>
      </w:r>
      <w:r>
        <w:rPr>
          <w:sz w:val="21"/>
        </w:rPr>
        <w:t>aod communication fire</w:t>
      </w:r>
      <w:r>
        <w:rPr>
          <w:spacing w:val="1"/>
          <w:sz w:val="21"/>
        </w:rPr>
        <w:t xml:space="preserve"> </w:t>
      </w:r>
      <w:r>
        <w:rPr>
          <w:sz w:val="21"/>
        </w:rPr>
        <w:t>fighting</w:t>
      </w:r>
      <w:r>
        <w:rPr>
          <w:spacing w:val="1"/>
          <w:sz w:val="21"/>
        </w:rPr>
        <w:t xml:space="preserve"> </w:t>
      </w:r>
      <w:r>
        <w:rPr>
          <w:sz w:val="21"/>
        </w:rPr>
        <w:t xml:space="preserve">vehicle </w:t>
      </w:r>
    </w:p>
    <w:p w14:paraId="1B68C53D" w14:textId="77777777" w:rsidR="00A71EEF" w:rsidRDefault="00A71EEF">
      <w:pPr>
        <w:pStyle w:val="a3"/>
        <w:spacing w:before="2"/>
        <w:rPr>
          <w:sz w:val="18"/>
        </w:rPr>
      </w:pPr>
    </w:p>
    <w:p w14:paraId="1D637A9F" w14:textId="77777777" w:rsidR="00A71EEF" w:rsidRDefault="0081115D">
      <w:pPr>
        <w:pStyle w:val="a3"/>
        <w:spacing w:line="446" w:lineRule="auto"/>
        <w:ind w:left="418" w:right="1609" w:firstLine="419"/>
      </w:pPr>
      <w:r>
        <w:t>主要装备无线通信、发电、照明、火场录像、扩音等设备，用于灾害现场通信联络和指挥的消防车。</w:t>
      </w:r>
      <w:r>
        <w:t xml:space="preserve"> </w:t>
      </w:r>
    </w:p>
    <w:p w14:paraId="0C63E7DA" w14:textId="77777777" w:rsidR="00A71EEF" w:rsidRDefault="0081115D">
      <w:pPr>
        <w:pStyle w:val="a4"/>
        <w:numPr>
          <w:ilvl w:val="2"/>
          <w:numId w:val="841"/>
        </w:numPr>
        <w:tabs>
          <w:tab w:val="left" w:pos="1424"/>
        </w:tabs>
        <w:spacing w:line="267" w:lineRule="exact"/>
        <w:rPr>
          <w:sz w:val="21"/>
        </w:rPr>
      </w:pPr>
      <w:r>
        <w:rPr>
          <w:spacing w:val="10"/>
          <w:sz w:val="21"/>
        </w:rPr>
        <w:t>抢险救援消防车</w:t>
      </w:r>
      <w:r>
        <w:rPr>
          <w:spacing w:val="10"/>
          <w:sz w:val="21"/>
        </w:rPr>
        <w:t xml:space="preserve"> </w:t>
      </w:r>
      <w:r>
        <w:rPr>
          <w:sz w:val="21"/>
        </w:rPr>
        <w:t>rescue</w:t>
      </w:r>
      <w:r>
        <w:rPr>
          <w:spacing w:val="1"/>
          <w:sz w:val="21"/>
        </w:rPr>
        <w:t xml:space="preserve"> </w:t>
      </w:r>
      <w:r>
        <w:rPr>
          <w:sz w:val="21"/>
        </w:rPr>
        <w:t>fire fighting</w:t>
      </w:r>
      <w:r>
        <w:rPr>
          <w:spacing w:val="104"/>
          <w:sz w:val="21"/>
        </w:rPr>
        <w:t xml:space="preserve"> </w:t>
      </w:r>
      <w:r>
        <w:rPr>
          <w:sz w:val="21"/>
        </w:rPr>
        <w:t xml:space="preserve">vehicle </w:t>
      </w:r>
    </w:p>
    <w:p w14:paraId="6FC2519C" w14:textId="77777777" w:rsidR="00A71EEF" w:rsidRDefault="00A71EEF">
      <w:pPr>
        <w:pStyle w:val="a3"/>
        <w:spacing w:before="2"/>
        <w:rPr>
          <w:sz w:val="18"/>
        </w:rPr>
      </w:pPr>
    </w:p>
    <w:p w14:paraId="0CC1CF73" w14:textId="77777777" w:rsidR="00A71EEF" w:rsidRDefault="0081115D">
      <w:pPr>
        <w:pStyle w:val="a3"/>
        <w:spacing w:line="446" w:lineRule="auto"/>
        <w:ind w:left="418" w:right="1609" w:firstLine="419"/>
      </w:pPr>
      <w:r>
        <w:t>主要装备抢险救援器材、随车吊或具有起吊功能的随车叉车、绞盘和照明系统，用于在灾害现场实施抢险救援的消防车。</w:t>
      </w:r>
      <w:r>
        <w:t xml:space="preserve"> </w:t>
      </w:r>
    </w:p>
    <w:p w14:paraId="02403956" w14:textId="77777777" w:rsidR="00A71EEF" w:rsidRDefault="0081115D">
      <w:pPr>
        <w:pStyle w:val="a4"/>
        <w:numPr>
          <w:ilvl w:val="2"/>
          <w:numId w:val="841"/>
        </w:numPr>
        <w:tabs>
          <w:tab w:val="left" w:pos="1424"/>
        </w:tabs>
        <w:spacing w:line="267" w:lineRule="exact"/>
        <w:rPr>
          <w:sz w:val="21"/>
        </w:rPr>
      </w:pPr>
      <w:r>
        <w:rPr>
          <w:spacing w:val="10"/>
          <w:sz w:val="21"/>
        </w:rPr>
        <w:t>化学救援消防车</w:t>
      </w:r>
      <w:r>
        <w:rPr>
          <w:spacing w:val="10"/>
          <w:sz w:val="21"/>
        </w:rPr>
        <w:t xml:space="preserve"> </w:t>
      </w:r>
      <w:r>
        <w:rPr>
          <w:sz w:val="21"/>
        </w:rPr>
        <w:t>chemical accident</w:t>
      </w:r>
      <w:r>
        <w:rPr>
          <w:spacing w:val="-2"/>
          <w:sz w:val="21"/>
        </w:rPr>
        <w:t xml:space="preserve"> </w:t>
      </w:r>
      <w:r>
        <w:rPr>
          <w:sz w:val="21"/>
        </w:rPr>
        <w:t>rescue</w:t>
      </w:r>
      <w:r>
        <w:rPr>
          <w:spacing w:val="1"/>
          <w:sz w:val="21"/>
        </w:rPr>
        <w:t xml:space="preserve"> </w:t>
      </w:r>
      <w:r>
        <w:rPr>
          <w:sz w:val="21"/>
        </w:rPr>
        <w:t>fire fighting</w:t>
      </w:r>
      <w:r>
        <w:rPr>
          <w:spacing w:val="104"/>
          <w:sz w:val="21"/>
        </w:rPr>
        <w:t xml:space="preserve"> </w:t>
      </w:r>
      <w:r>
        <w:rPr>
          <w:sz w:val="21"/>
        </w:rPr>
        <w:t xml:space="preserve">vehicle </w:t>
      </w:r>
    </w:p>
    <w:p w14:paraId="74E44173" w14:textId="77777777" w:rsidR="00A71EEF" w:rsidRDefault="00A71EEF">
      <w:pPr>
        <w:pStyle w:val="a3"/>
        <w:spacing w:before="1"/>
        <w:rPr>
          <w:sz w:val="18"/>
        </w:rPr>
      </w:pPr>
    </w:p>
    <w:p w14:paraId="73AFD53C" w14:textId="77777777" w:rsidR="00A71EEF" w:rsidRDefault="0081115D">
      <w:pPr>
        <w:pStyle w:val="a3"/>
        <w:spacing w:before="1"/>
        <w:ind w:left="838"/>
      </w:pPr>
      <w:r>
        <w:t>主要装备化学事故处置器材和装备，用于处置化学灾害事故的消防车。</w:t>
      </w:r>
      <w:r>
        <w:t xml:space="preserve"> </w:t>
      </w:r>
    </w:p>
    <w:p w14:paraId="3B944453" w14:textId="77777777" w:rsidR="00A71EEF" w:rsidRDefault="00A71EEF">
      <w:pPr>
        <w:pStyle w:val="a3"/>
        <w:spacing w:before="12"/>
        <w:rPr>
          <w:sz w:val="17"/>
        </w:rPr>
      </w:pPr>
    </w:p>
    <w:p w14:paraId="420E02C9" w14:textId="77777777" w:rsidR="00A71EEF" w:rsidRDefault="0081115D">
      <w:pPr>
        <w:pStyle w:val="a4"/>
        <w:numPr>
          <w:ilvl w:val="2"/>
          <w:numId w:val="841"/>
        </w:numPr>
        <w:tabs>
          <w:tab w:val="left" w:pos="1424"/>
        </w:tabs>
        <w:rPr>
          <w:sz w:val="21"/>
        </w:rPr>
      </w:pPr>
      <w:r>
        <w:rPr>
          <w:spacing w:val="14"/>
          <w:sz w:val="21"/>
        </w:rPr>
        <w:t>输转消防车</w:t>
      </w:r>
      <w:r>
        <w:rPr>
          <w:spacing w:val="14"/>
          <w:sz w:val="21"/>
        </w:rPr>
        <w:t xml:space="preserve"> </w:t>
      </w:r>
      <w:r>
        <w:rPr>
          <w:sz w:val="21"/>
        </w:rPr>
        <w:t>transport</w:t>
      </w:r>
      <w:r>
        <w:rPr>
          <w:spacing w:val="-2"/>
          <w:sz w:val="21"/>
        </w:rPr>
        <w:t xml:space="preserve"> </w:t>
      </w:r>
      <w:r>
        <w:rPr>
          <w:sz w:val="21"/>
        </w:rPr>
        <w:t>and</w:t>
      </w:r>
      <w:r>
        <w:rPr>
          <w:spacing w:val="-3"/>
          <w:sz w:val="21"/>
        </w:rPr>
        <w:t xml:space="preserve"> </w:t>
      </w:r>
      <w:r>
        <w:rPr>
          <w:sz w:val="21"/>
        </w:rPr>
        <w:t>retur</w:t>
      </w:r>
      <w:r>
        <w:rPr>
          <w:sz w:val="21"/>
        </w:rPr>
        <w:t>n</w:t>
      </w:r>
      <w:r>
        <w:rPr>
          <w:spacing w:val="104"/>
          <w:sz w:val="21"/>
        </w:rPr>
        <w:t xml:space="preserve"> </w:t>
      </w:r>
      <w:r>
        <w:rPr>
          <w:sz w:val="21"/>
        </w:rPr>
        <w:t>fire</w:t>
      </w:r>
      <w:r>
        <w:rPr>
          <w:spacing w:val="-2"/>
          <w:sz w:val="21"/>
        </w:rPr>
        <w:t xml:space="preserve"> </w:t>
      </w:r>
      <w:r>
        <w:rPr>
          <w:sz w:val="21"/>
        </w:rPr>
        <w:t>fighting</w:t>
      </w:r>
      <w:r>
        <w:rPr>
          <w:spacing w:val="103"/>
          <w:sz w:val="21"/>
        </w:rPr>
        <w:t xml:space="preserve"> </w:t>
      </w:r>
      <w:r>
        <w:rPr>
          <w:sz w:val="21"/>
        </w:rPr>
        <w:t xml:space="preserve">vehicle </w:t>
      </w:r>
    </w:p>
    <w:p w14:paraId="2E8DC2AB" w14:textId="77777777" w:rsidR="00A71EEF" w:rsidRDefault="00A71EEF">
      <w:pPr>
        <w:pStyle w:val="a3"/>
        <w:rPr>
          <w:sz w:val="18"/>
        </w:rPr>
      </w:pPr>
    </w:p>
    <w:p w14:paraId="0F71F84F" w14:textId="77777777" w:rsidR="00A71EEF" w:rsidRDefault="0081115D">
      <w:pPr>
        <w:pStyle w:val="a3"/>
        <w:spacing w:line="446" w:lineRule="auto"/>
        <w:ind w:left="418" w:right="1609" w:firstLine="419"/>
      </w:pPr>
      <w:r>
        <w:t>主要装备真空泵和储存罐，具有抽吸、排放和储存能力，用于事故现场输转危险物品的消防车。</w:t>
      </w:r>
      <w:r>
        <w:t xml:space="preserve"> </w:t>
      </w:r>
    </w:p>
    <w:p w14:paraId="224FAE8A" w14:textId="77777777" w:rsidR="00A71EEF" w:rsidRDefault="0081115D">
      <w:pPr>
        <w:pStyle w:val="a4"/>
        <w:numPr>
          <w:ilvl w:val="2"/>
          <w:numId w:val="841"/>
        </w:numPr>
        <w:tabs>
          <w:tab w:val="left" w:pos="1424"/>
        </w:tabs>
        <w:rPr>
          <w:sz w:val="21"/>
        </w:rPr>
      </w:pPr>
      <w:r>
        <w:rPr>
          <w:spacing w:val="14"/>
          <w:sz w:val="21"/>
        </w:rPr>
        <w:t>照明消防车</w:t>
      </w:r>
      <w:r>
        <w:rPr>
          <w:spacing w:val="14"/>
          <w:sz w:val="21"/>
        </w:rPr>
        <w:t xml:space="preserve"> </w:t>
      </w:r>
      <w:r>
        <w:rPr>
          <w:sz w:val="21"/>
        </w:rPr>
        <w:t>lighting fire</w:t>
      </w:r>
      <w:r>
        <w:rPr>
          <w:spacing w:val="-2"/>
          <w:sz w:val="21"/>
        </w:rPr>
        <w:t xml:space="preserve"> </w:t>
      </w:r>
      <w:r>
        <w:rPr>
          <w:sz w:val="21"/>
        </w:rPr>
        <w:t xml:space="preserve">fighting vehicle </w:t>
      </w:r>
    </w:p>
    <w:p w14:paraId="65E7B4AE" w14:textId="77777777" w:rsidR="00A71EEF" w:rsidRDefault="00A71EEF">
      <w:pPr>
        <w:pStyle w:val="a3"/>
        <w:spacing w:before="12"/>
        <w:rPr>
          <w:sz w:val="17"/>
        </w:rPr>
      </w:pPr>
    </w:p>
    <w:p w14:paraId="050B5B2B" w14:textId="77777777" w:rsidR="00A71EEF" w:rsidRDefault="0081115D">
      <w:pPr>
        <w:pStyle w:val="a3"/>
        <w:ind w:left="838"/>
      </w:pPr>
      <w:r>
        <w:t>主要装备固定照明灯、移动照明灯和发电机，用于灾害现场照明的消防车。</w:t>
      </w:r>
      <w:r>
        <w:t xml:space="preserve"> </w:t>
      </w:r>
    </w:p>
    <w:p w14:paraId="1FB53FF0" w14:textId="77777777" w:rsidR="00A71EEF" w:rsidRDefault="00A71EEF">
      <w:pPr>
        <w:pStyle w:val="a3"/>
        <w:spacing w:before="2"/>
        <w:rPr>
          <w:sz w:val="18"/>
        </w:rPr>
      </w:pPr>
    </w:p>
    <w:p w14:paraId="0762A053" w14:textId="77777777" w:rsidR="00A71EEF" w:rsidRDefault="0081115D">
      <w:pPr>
        <w:pStyle w:val="a4"/>
        <w:numPr>
          <w:ilvl w:val="2"/>
          <w:numId w:val="841"/>
        </w:numPr>
        <w:tabs>
          <w:tab w:val="left" w:pos="1424"/>
        </w:tabs>
        <w:rPr>
          <w:sz w:val="21"/>
        </w:rPr>
      </w:pPr>
      <w:r>
        <w:rPr>
          <w:spacing w:val="14"/>
          <w:sz w:val="21"/>
        </w:rPr>
        <w:t>排烟消防车</w:t>
      </w:r>
      <w:r>
        <w:rPr>
          <w:spacing w:val="14"/>
          <w:sz w:val="21"/>
        </w:rPr>
        <w:t xml:space="preserve"> </w:t>
      </w:r>
      <w:r>
        <w:rPr>
          <w:sz w:val="21"/>
        </w:rPr>
        <w:t>smoke</w:t>
      </w:r>
      <w:r>
        <w:rPr>
          <w:spacing w:val="1"/>
          <w:sz w:val="21"/>
        </w:rPr>
        <w:t xml:space="preserve"> </w:t>
      </w:r>
      <w:r>
        <w:rPr>
          <w:sz w:val="21"/>
        </w:rPr>
        <w:t>exhauster fire</w:t>
      </w:r>
      <w:r>
        <w:rPr>
          <w:spacing w:val="-2"/>
          <w:sz w:val="21"/>
        </w:rPr>
        <w:t xml:space="preserve"> </w:t>
      </w:r>
      <w:r>
        <w:rPr>
          <w:sz w:val="21"/>
        </w:rPr>
        <w:t xml:space="preserve">fighting vehicle </w:t>
      </w:r>
    </w:p>
    <w:p w14:paraId="6DAD443A" w14:textId="77777777" w:rsidR="00A71EEF" w:rsidRDefault="00A71EEF">
      <w:pPr>
        <w:pStyle w:val="a3"/>
        <w:rPr>
          <w:sz w:val="18"/>
        </w:rPr>
      </w:pPr>
    </w:p>
    <w:p w14:paraId="2B1F4821" w14:textId="77777777" w:rsidR="00A71EEF" w:rsidRDefault="0081115D">
      <w:pPr>
        <w:pStyle w:val="a3"/>
        <w:ind w:left="838"/>
      </w:pPr>
      <w:r>
        <w:t>主要装备固定排烟送风装置，用于排烟、通风的消防车。</w:t>
      </w:r>
      <w:r>
        <w:t xml:space="preserve"> </w:t>
      </w:r>
    </w:p>
    <w:p w14:paraId="6A1ED28F" w14:textId="77777777" w:rsidR="00A71EEF" w:rsidRDefault="00A71EEF">
      <w:pPr>
        <w:pStyle w:val="a3"/>
        <w:spacing w:before="12"/>
        <w:rPr>
          <w:sz w:val="17"/>
        </w:rPr>
      </w:pPr>
    </w:p>
    <w:p w14:paraId="3B80971C" w14:textId="77777777" w:rsidR="00A71EEF" w:rsidRDefault="0081115D">
      <w:pPr>
        <w:pStyle w:val="a4"/>
        <w:numPr>
          <w:ilvl w:val="2"/>
          <w:numId w:val="841"/>
        </w:numPr>
        <w:tabs>
          <w:tab w:val="left" w:pos="1424"/>
        </w:tabs>
        <w:rPr>
          <w:sz w:val="21"/>
        </w:rPr>
      </w:pPr>
      <w:r>
        <w:rPr>
          <w:spacing w:val="14"/>
          <w:sz w:val="21"/>
        </w:rPr>
        <w:t>洗消消防车</w:t>
      </w:r>
      <w:r>
        <w:rPr>
          <w:spacing w:val="14"/>
          <w:sz w:val="21"/>
        </w:rPr>
        <w:t xml:space="preserve"> </w:t>
      </w:r>
      <w:r>
        <w:rPr>
          <w:sz w:val="21"/>
        </w:rPr>
        <w:t>decontamination</w:t>
      </w:r>
      <w:r>
        <w:rPr>
          <w:spacing w:val="1"/>
          <w:sz w:val="21"/>
        </w:rPr>
        <w:t xml:space="preserve"> </w:t>
      </w:r>
      <w:r>
        <w:rPr>
          <w:sz w:val="21"/>
        </w:rPr>
        <w:t>fire</w:t>
      </w:r>
      <w:r>
        <w:rPr>
          <w:spacing w:val="-1"/>
          <w:sz w:val="21"/>
        </w:rPr>
        <w:t xml:space="preserve"> </w:t>
      </w:r>
      <w:r>
        <w:rPr>
          <w:sz w:val="21"/>
        </w:rPr>
        <w:t>fighting</w:t>
      </w:r>
      <w:r>
        <w:rPr>
          <w:spacing w:val="1"/>
          <w:sz w:val="21"/>
        </w:rPr>
        <w:t xml:space="preserve"> </w:t>
      </w:r>
      <w:r>
        <w:rPr>
          <w:sz w:val="21"/>
        </w:rPr>
        <w:t xml:space="preserve">vehicle </w:t>
      </w:r>
    </w:p>
    <w:p w14:paraId="4F31DADF" w14:textId="77777777" w:rsidR="00A71EEF" w:rsidRDefault="00A71EEF">
      <w:pPr>
        <w:pStyle w:val="a3"/>
        <w:spacing w:before="2"/>
        <w:rPr>
          <w:sz w:val="18"/>
        </w:rPr>
      </w:pPr>
    </w:p>
    <w:p w14:paraId="46A684B6" w14:textId="77777777" w:rsidR="00A71EEF" w:rsidRDefault="0081115D">
      <w:pPr>
        <w:pStyle w:val="a3"/>
        <w:spacing w:line="446" w:lineRule="auto"/>
        <w:ind w:left="418" w:right="1817" w:firstLine="419"/>
      </w:pPr>
      <w:r>
        <w:t>主要装备水泵、水加热装置和冲洗、中和、消毒的药剂，对被化学品、毒剂等污染的人员、地面、楼房、</w:t>
      </w:r>
      <w:r>
        <w:t xml:space="preserve"> </w:t>
      </w:r>
      <w:r>
        <w:t>设备、车辆等实施冲洗和消毒的消防车。</w:t>
      </w:r>
      <w:r>
        <w:t xml:space="preserve"> </w:t>
      </w:r>
    </w:p>
    <w:p w14:paraId="7D3E22F0" w14:textId="77777777" w:rsidR="00A71EEF" w:rsidRDefault="0081115D">
      <w:pPr>
        <w:pStyle w:val="a4"/>
        <w:numPr>
          <w:ilvl w:val="2"/>
          <w:numId w:val="841"/>
        </w:numPr>
        <w:tabs>
          <w:tab w:val="left" w:pos="1424"/>
        </w:tabs>
        <w:spacing w:line="267" w:lineRule="exact"/>
        <w:rPr>
          <w:sz w:val="21"/>
        </w:rPr>
      </w:pPr>
      <w:r>
        <w:rPr>
          <w:spacing w:val="14"/>
          <w:sz w:val="21"/>
        </w:rPr>
        <w:t>侦检消防车</w:t>
      </w:r>
      <w:r>
        <w:rPr>
          <w:spacing w:val="14"/>
          <w:sz w:val="21"/>
        </w:rPr>
        <w:t xml:space="preserve"> </w:t>
      </w:r>
      <w:r>
        <w:rPr>
          <w:sz w:val="21"/>
        </w:rPr>
        <w:t>reconnaissance and detection</w:t>
      </w:r>
      <w:r>
        <w:rPr>
          <w:spacing w:val="1"/>
          <w:sz w:val="21"/>
        </w:rPr>
        <w:t xml:space="preserve"> </w:t>
      </w:r>
      <w:r>
        <w:rPr>
          <w:sz w:val="21"/>
        </w:rPr>
        <w:t xml:space="preserve">fire fighting vehicle </w:t>
      </w:r>
    </w:p>
    <w:p w14:paraId="53CF55CF" w14:textId="77777777" w:rsidR="00A71EEF" w:rsidRDefault="00A71EEF">
      <w:pPr>
        <w:pStyle w:val="a3"/>
        <w:spacing w:before="2"/>
        <w:rPr>
          <w:sz w:val="18"/>
        </w:rPr>
      </w:pPr>
    </w:p>
    <w:p w14:paraId="541BD385" w14:textId="77777777" w:rsidR="00A71EEF" w:rsidRDefault="0081115D">
      <w:pPr>
        <w:pStyle w:val="a3"/>
        <w:spacing w:line="446" w:lineRule="auto"/>
        <w:ind w:left="840" w:right="1925" w:hanging="3"/>
      </w:pPr>
      <w:r>
        <w:t>主要装备多种有害物质的侦检设备，用于检测灾害现场是否存在有害物质的消防车。</w:t>
      </w:r>
      <w:r>
        <w:rPr>
          <w:b/>
        </w:rPr>
        <w:t xml:space="preserve">3.3.9 </w:t>
      </w:r>
      <w:r>
        <w:t>隧道消防车</w:t>
      </w:r>
      <w:r>
        <w:t xml:space="preserve"> tunnel fire fighting vehicle </w:t>
      </w:r>
    </w:p>
    <w:p w14:paraId="4A8E6FAE" w14:textId="77777777" w:rsidR="00A71EEF" w:rsidRDefault="0081115D">
      <w:pPr>
        <w:pStyle w:val="a3"/>
        <w:spacing w:line="446" w:lineRule="auto"/>
        <w:ind w:left="418" w:right="1609" w:firstLine="419"/>
      </w:pPr>
      <w:r>
        <w:t>主要装备增压驾驶室、乘员室和发动机舱，具有双向行驶功能，用于扑救隧道火灾的消防车。</w:t>
      </w:r>
      <w:r>
        <w:t xml:space="preserve"> </w:t>
      </w:r>
    </w:p>
    <w:p w14:paraId="555F424C" w14:textId="77777777" w:rsidR="00A71EEF" w:rsidRDefault="00A71EEF">
      <w:pPr>
        <w:spacing w:line="446" w:lineRule="auto"/>
        <w:sectPr w:rsidR="00A71EEF">
          <w:pgSz w:w="11910" w:h="16850"/>
          <w:pgMar w:top="1220" w:right="0" w:bottom="1420" w:left="1260" w:header="0" w:footer="1239" w:gutter="0"/>
          <w:cols w:space="720"/>
        </w:sectPr>
      </w:pPr>
    </w:p>
    <w:p w14:paraId="427F4084" w14:textId="77777777" w:rsidR="00A71EEF" w:rsidRDefault="0081115D">
      <w:pPr>
        <w:pStyle w:val="a4"/>
        <w:numPr>
          <w:ilvl w:val="2"/>
          <w:numId w:val="840"/>
        </w:numPr>
        <w:tabs>
          <w:tab w:val="left" w:pos="1530"/>
        </w:tabs>
        <w:spacing w:before="47"/>
        <w:ind w:hanging="690"/>
        <w:rPr>
          <w:sz w:val="21"/>
        </w:rPr>
      </w:pPr>
      <w:r>
        <w:rPr>
          <w:spacing w:val="14"/>
          <w:sz w:val="21"/>
        </w:rPr>
        <w:lastRenderedPageBreak/>
        <w:t>履带消防车</w:t>
      </w:r>
      <w:r>
        <w:rPr>
          <w:spacing w:val="14"/>
          <w:sz w:val="21"/>
        </w:rPr>
        <w:t xml:space="preserve"> </w:t>
      </w:r>
      <w:r>
        <w:rPr>
          <w:sz w:val="21"/>
        </w:rPr>
        <w:t>crawler fire</w:t>
      </w:r>
      <w:r>
        <w:rPr>
          <w:spacing w:val="-2"/>
          <w:sz w:val="21"/>
        </w:rPr>
        <w:t xml:space="preserve"> </w:t>
      </w:r>
      <w:r>
        <w:rPr>
          <w:sz w:val="21"/>
        </w:rPr>
        <w:t>fighting</w:t>
      </w:r>
      <w:r>
        <w:rPr>
          <w:spacing w:val="1"/>
          <w:sz w:val="21"/>
        </w:rPr>
        <w:t xml:space="preserve"> </w:t>
      </w:r>
      <w:r>
        <w:rPr>
          <w:sz w:val="21"/>
        </w:rPr>
        <w:t xml:space="preserve">vehicle </w:t>
      </w:r>
    </w:p>
    <w:p w14:paraId="26DAD8CD" w14:textId="77777777" w:rsidR="00A71EEF" w:rsidRDefault="00A71EEF">
      <w:pPr>
        <w:pStyle w:val="a3"/>
        <w:rPr>
          <w:sz w:val="18"/>
        </w:rPr>
      </w:pPr>
    </w:p>
    <w:p w14:paraId="34BC09F0" w14:textId="77777777" w:rsidR="00A71EEF" w:rsidRDefault="0081115D">
      <w:pPr>
        <w:pStyle w:val="a3"/>
        <w:spacing w:line="446" w:lineRule="auto"/>
        <w:ind w:left="418" w:right="1609" w:firstLine="419"/>
      </w:pPr>
      <w:r>
        <w:t>主要装备履带行走装置，用于在复杂地形条件下扑救火灾或向灾害现场运输人员、器材和物资的消防车。</w:t>
      </w:r>
      <w:r>
        <w:t xml:space="preserve"> </w:t>
      </w:r>
    </w:p>
    <w:p w14:paraId="2CD61162" w14:textId="77777777" w:rsidR="00A71EEF" w:rsidRDefault="0081115D">
      <w:pPr>
        <w:pStyle w:val="a4"/>
        <w:numPr>
          <w:ilvl w:val="2"/>
          <w:numId w:val="840"/>
        </w:numPr>
        <w:tabs>
          <w:tab w:val="left" w:pos="1530"/>
        </w:tabs>
        <w:ind w:hanging="690"/>
        <w:rPr>
          <w:sz w:val="21"/>
        </w:rPr>
      </w:pPr>
      <w:r>
        <w:rPr>
          <w:spacing w:val="14"/>
          <w:sz w:val="21"/>
        </w:rPr>
        <w:t>轨道消防车</w:t>
      </w:r>
      <w:r>
        <w:rPr>
          <w:spacing w:val="14"/>
          <w:sz w:val="21"/>
        </w:rPr>
        <w:t xml:space="preserve"> </w:t>
      </w:r>
      <w:r>
        <w:rPr>
          <w:sz w:val="21"/>
        </w:rPr>
        <w:t>track fire</w:t>
      </w:r>
      <w:r>
        <w:rPr>
          <w:spacing w:val="1"/>
          <w:sz w:val="21"/>
        </w:rPr>
        <w:t xml:space="preserve"> </w:t>
      </w:r>
      <w:r>
        <w:rPr>
          <w:sz w:val="21"/>
        </w:rPr>
        <w:t xml:space="preserve">fighting vehicle </w:t>
      </w:r>
    </w:p>
    <w:p w14:paraId="2B65A43C" w14:textId="77777777" w:rsidR="00A71EEF" w:rsidRDefault="00A71EEF">
      <w:pPr>
        <w:pStyle w:val="a3"/>
        <w:spacing w:before="12"/>
        <w:rPr>
          <w:sz w:val="17"/>
        </w:rPr>
      </w:pPr>
    </w:p>
    <w:p w14:paraId="755A5E25" w14:textId="77777777" w:rsidR="00A71EEF" w:rsidRDefault="0081115D">
      <w:pPr>
        <w:pStyle w:val="a3"/>
        <w:ind w:left="838"/>
      </w:pPr>
      <w:r>
        <w:t>主要装备轨道行驶装置，用于扑救地铁或其他轨道火灾的消防车。</w:t>
      </w:r>
      <w:r>
        <w:t xml:space="preserve"> </w:t>
      </w:r>
    </w:p>
    <w:p w14:paraId="26DAB52B" w14:textId="77777777" w:rsidR="00A71EEF" w:rsidRDefault="00A71EEF">
      <w:pPr>
        <w:pStyle w:val="a3"/>
        <w:rPr>
          <w:sz w:val="18"/>
        </w:rPr>
      </w:pPr>
    </w:p>
    <w:p w14:paraId="2F64F2B0" w14:textId="77777777" w:rsidR="00A71EEF" w:rsidRDefault="0081115D">
      <w:pPr>
        <w:pStyle w:val="a4"/>
        <w:numPr>
          <w:ilvl w:val="2"/>
          <w:numId w:val="840"/>
        </w:numPr>
        <w:tabs>
          <w:tab w:val="left" w:pos="1530"/>
        </w:tabs>
        <w:ind w:hanging="690"/>
        <w:rPr>
          <w:sz w:val="21"/>
        </w:rPr>
      </w:pPr>
      <w:r>
        <w:rPr>
          <w:spacing w:val="10"/>
          <w:sz w:val="21"/>
        </w:rPr>
        <w:t>水陆两用消</w:t>
      </w:r>
      <w:r>
        <w:rPr>
          <w:spacing w:val="10"/>
          <w:sz w:val="21"/>
        </w:rPr>
        <w:t>防车</w:t>
      </w:r>
      <w:r>
        <w:rPr>
          <w:spacing w:val="10"/>
          <w:sz w:val="21"/>
        </w:rPr>
        <w:t xml:space="preserve"> </w:t>
      </w:r>
      <w:r>
        <w:rPr>
          <w:sz w:val="21"/>
        </w:rPr>
        <w:t>amphibious fire</w:t>
      </w:r>
      <w:r>
        <w:rPr>
          <w:spacing w:val="-2"/>
          <w:sz w:val="21"/>
        </w:rPr>
        <w:t xml:space="preserve"> </w:t>
      </w:r>
      <w:r>
        <w:rPr>
          <w:sz w:val="21"/>
        </w:rPr>
        <w:t>fighting</w:t>
      </w:r>
      <w:r>
        <w:rPr>
          <w:spacing w:val="1"/>
          <w:sz w:val="21"/>
        </w:rPr>
        <w:t xml:space="preserve"> </w:t>
      </w:r>
      <w:r>
        <w:rPr>
          <w:sz w:val="21"/>
        </w:rPr>
        <w:t xml:space="preserve">vehicle </w:t>
      </w:r>
    </w:p>
    <w:p w14:paraId="4EBF0907" w14:textId="77777777" w:rsidR="00A71EEF" w:rsidRDefault="00A71EEF">
      <w:pPr>
        <w:pStyle w:val="a3"/>
        <w:spacing w:before="2"/>
        <w:rPr>
          <w:sz w:val="18"/>
        </w:rPr>
      </w:pPr>
    </w:p>
    <w:p w14:paraId="11CA2923" w14:textId="77777777" w:rsidR="00A71EEF" w:rsidRDefault="0081115D">
      <w:pPr>
        <w:pStyle w:val="a3"/>
        <w:spacing w:line="446" w:lineRule="auto"/>
        <w:ind w:left="840" w:right="1925" w:hanging="3"/>
      </w:pPr>
      <w:r>
        <w:rPr>
          <w:spacing w:val="-3"/>
        </w:rPr>
        <w:t>主要装备水陆两用驱动装置，既可以在陆地行驶，又可以在水中航行的两栖消防车。</w:t>
      </w:r>
      <w:r>
        <w:rPr>
          <w:b/>
          <w:spacing w:val="-3"/>
        </w:rPr>
        <w:t xml:space="preserve">3.4 </w:t>
      </w:r>
      <w:r>
        <w:rPr>
          <w:spacing w:val="-3"/>
        </w:rPr>
        <w:t>保障类消防车</w:t>
      </w:r>
      <w:r>
        <w:rPr>
          <w:spacing w:val="-3"/>
        </w:rPr>
        <w:t xml:space="preserve">  </w:t>
      </w:r>
      <w:r>
        <w:t>auxiliary fire fighting</w:t>
      </w:r>
      <w:r>
        <w:rPr>
          <w:spacing w:val="104"/>
        </w:rPr>
        <w:t xml:space="preserve"> </w:t>
      </w:r>
      <w:r>
        <w:t xml:space="preserve">vehicle </w:t>
      </w:r>
    </w:p>
    <w:p w14:paraId="1398E428" w14:textId="77777777" w:rsidR="00A71EEF" w:rsidRDefault="0081115D">
      <w:pPr>
        <w:pStyle w:val="a3"/>
        <w:spacing w:line="267" w:lineRule="exact"/>
        <w:ind w:left="838"/>
      </w:pPr>
      <w:r>
        <w:t>主要装备各类保障器材设备，为执行任务的消防车辆或消防员提供保障的消防车。</w:t>
      </w:r>
      <w:r>
        <w:t xml:space="preserve"> </w:t>
      </w:r>
    </w:p>
    <w:p w14:paraId="6B758E19" w14:textId="77777777" w:rsidR="00A71EEF" w:rsidRDefault="00A71EEF">
      <w:pPr>
        <w:pStyle w:val="a3"/>
        <w:spacing w:before="2"/>
        <w:rPr>
          <w:sz w:val="18"/>
        </w:rPr>
      </w:pPr>
    </w:p>
    <w:p w14:paraId="17D93E6F" w14:textId="77777777" w:rsidR="00A71EEF" w:rsidRDefault="0081115D">
      <w:pPr>
        <w:pStyle w:val="a4"/>
        <w:numPr>
          <w:ilvl w:val="2"/>
          <w:numId w:val="839"/>
        </w:numPr>
        <w:tabs>
          <w:tab w:val="left" w:pos="1424"/>
        </w:tabs>
        <w:rPr>
          <w:sz w:val="21"/>
        </w:rPr>
      </w:pPr>
      <w:r>
        <w:rPr>
          <w:spacing w:val="14"/>
          <w:sz w:val="21"/>
        </w:rPr>
        <w:t>器材消防车</w:t>
      </w:r>
      <w:r>
        <w:rPr>
          <w:spacing w:val="14"/>
          <w:sz w:val="21"/>
        </w:rPr>
        <w:t xml:space="preserve"> </w:t>
      </w:r>
      <w:r>
        <w:rPr>
          <w:sz w:val="21"/>
        </w:rPr>
        <w:t>equipment</w:t>
      </w:r>
      <w:r>
        <w:rPr>
          <w:spacing w:val="-3"/>
          <w:sz w:val="21"/>
        </w:rPr>
        <w:t xml:space="preserve"> </w:t>
      </w:r>
      <w:r>
        <w:rPr>
          <w:sz w:val="21"/>
        </w:rPr>
        <w:t>storage</w:t>
      </w:r>
      <w:r>
        <w:rPr>
          <w:spacing w:val="-2"/>
          <w:sz w:val="21"/>
        </w:rPr>
        <w:t xml:space="preserve"> </w:t>
      </w:r>
      <w:r>
        <w:rPr>
          <w:sz w:val="21"/>
        </w:rPr>
        <w:t>fire fighting</w:t>
      </w:r>
      <w:r>
        <w:rPr>
          <w:spacing w:val="1"/>
          <w:sz w:val="21"/>
        </w:rPr>
        <w:t xml:space="preserve"> </w:t>
      </w:r>
      <w:r>
        <w:rPr>
          <w:sz w:val="21"/>
        </w:rPr>
        <w:t xml:space="preserve">vehicle </w:t>
      </w:r>
    </w:p>
    <w:p w14:paraId="043CEACA" w14:textId="77777777" w:rsidR="00A71EEF" w:rsidRDefault="00A71EEF">
      <w:pPr>
        <w:pStyle w:val="a3"/>
        <w:spacing w:before="12"/>
        <w:rPr>
          <w:sz w:val="17"/>
        </w:rPr>
      </w:pPr>
    </w:p>
    <w:p w14:paraId="3007FF48" w14:textId="77777777" w:rsidR="00A71EEF" w:rsidRDefault="0081115D">
      <w:pPr>
        <w:pStyle w:val="a3"/>
        <w:ind w:left="838"/>
      </w:pPr>
      <w:r>
        <w:t>主要装备各种消防器材并放置和固定在器材箱内，用于向灾害现场运送器材的消防车。</w:t>
      </w:r>
      <w:r>
        <w:t xml:space="preserve"> </w:t>
      </w:r>
    </w:p>
    <w:p w14:paraId="3DD933F7" w14:textId="77777777" w:rsidR="00A71EEF" w:rsidRDefault="00A71EEF">
      <w:pPr>
        <w:pStyle w:val="a3"/>
        <w:spacing w:before="12"/>
        <w:rPr>
          <w:sz w:val="17"/>
        </w:rPr>
      </w:pPr>
    </w:p>
    <w:p w14:paraId="50AB5728" w14:textId="77777777" w:rsidR="00A71EEF" w:rsidRDefault="0081115D">
      <w:pPr>
        <w:pStyle w:val="a4"/>
        <w:numPr>
          <w:ilvl w:val="2"/>
          <w:numId w:val="839"/>
        </w:numPr>
        <w:tabs>
          <w:tab w:val="left" w:pos="1424"/>
        </w:tabs>
        <w:rPr>
          <w:sz w:val="21"/>
        </w:rPr>
      </w:pPr>
      <w:r>
        <w:rPr>
          <w:spacing w:val="14"/>
          <w:sz w:val="21"/>
        </w:rPr>
        <w:t>勘察消防车</w:t>
      </w:r>
      <w:r>
        <w:rPr>
          <w:spacing w:val="14"/>
          <w:sz w:val="21"/>
        </w:rPr>
        <w:t xml:space="preserve"> </w:t>
      </w:r>
      <w:r>
        <w:rPr>
          <w:sz w:val="21"/>
        </w:rPr>
        <w:t>fire</w:t>
      </w:r>
      <w:r>
        <w:rPr>
          <w:spacing w:val="1"/>
          <w:sz w:val="21"/>
        </w:rPr>
        <w:t xml:space="preserve"> </w:t>
      </w:r>
      <w:r>
        <w:rPr>
          <w:sz w:val="21"/>
        </w:rPr>
        <w:t>scene investigation</w:t>
      </w:r>
      <w:r>
        <w:rPr>
          <w:spacing w:val="1"/>
          <w:sz w:val="21"/>
        </w:rPr>
        <w:t xml:space="preserve"> </w:t>
      </w:r>
      <w:r>
        <w:rPr>
          <w:sz w:val="21"/>
        </w:rPr>
        <w:t xml:space="preserve">vehicle </w:t>
      </w:r>
    </w:p>
    <w:p w14:paraId="583B7DDC" w14:textId="77777777" w:rsidR="00A71EEF" w:rsidRDefault="00A71EEF">
      <w:pPr>
        <w:pStyle w:val="a3"/>
        <w:spacing w:before="2"/>
        <w:rPr>
          <w:sz w:val="18"/>
        </w:rPr>
      </w:pPr>
    </w:p>
    <w:p w14:paraId="7D584313" w14:textId="77777777" w:rsidR="00A71EEF" w:rsidRDefault="0081115D">
      <w:pPr>
        <w:pStyle w:val="a3"/>
        <w:ind w:left="838"/>
      </w:pPr>
      <w:r>
        <w:t>主要装备各类探测、取样和分析仪器，用于勘察火灾现场的消防车。</w:t>
      </w:r>
      <w:r>
        <w:t xml:space="preserve"> </w:t>
      </w:r>
    </w:p>
    <w:p w14:paraId="3E122E28" w14:textId="77777777" w:rsidR="00A71EEF" w:rsidRDefault="00A71EEF">
      <w:pPr>
        <w:pStyle w:val="a3"/>
        <w:rPr>
          <w:sz w:val="18"/>
        </w:rPr>
      </w:pPr>
    </w:p>
    <w:p w14:paraId="5A8190EB" w14:textId="77777777" w:rsidR="00A71EEF" w:rsidRDefault="0081115D">
      <w:pPr>
        <w:pStyle w:val="a4"/>
        <w:numPr>
          <w:ilvl w:val="2"/>
          <w:numId w:val="839"/>
        </w:numPr>
        <w:tabs>
          <w:tab w:val="left" w:pos="1424"/>
        </w:tabs>
        <w:rPr>
          <w:sz w:val="21"/>
        </w:rPr>
      </w:pPr>
      <w:r>
        <w:rPr>
          <w:spacing w:val="14"/>
          <w:sz w:val="21"/>
        </w:rPr>
        <w:t>宣传消防车</w:t>
      </w:r>
      <w:r>
        <w:rPr>
          <w:spacing w:val="14"/>
          <w:sz w:val="21"/>
        </w:rPr>
        <w:t xml:space="preserve"> </w:t>
      </w:r>
      <w:r>
        <w:rPr>
          <w:sz w:val="21"/>
        </w:rPr>
        <w:t>fire safety</w:t>
      </w:r>
      <w:r>
        <w:rPr>
          <w:spacing w:val="1"/>
          <w:sz w:val="21"/>
        </w:rPr>
        <w:t xml:space="preserve"> </w:t>
      </w:r>
      <w:r>
        <w:rPr>
          <w:sz w:val="21"/>
        </w:rPr>
        <w:t>publicity</w:t>
      </w:r>
      <w:r>
        <w:rPr>
          <w:spacing w:val="-3"/>
          <w:sz w:val="21"/>
        </w:rPr>
        <w:t xml:space="preserve"> </w:t>
      </w:r>
      <w:r>
        <w:rPr>
          <w:sz w:val="21"/>
        </w:rPr>
        <w:t xml:space="preserve">vehicle </w:t>
      </w:r>
    </w:p>
    <w:p w14:paraId="37A15FCA" w14:textId="77777777" w:rsidR="00A71EEF" w:rsidRDefault="00A71EEF">
      <w:pPr>
        <w:pStyle w:val="a3"/>
        <w:rPr>
          <w:sz w:val="18"/>
        </w:rPr>
      </w:pPr>
    </w:p>
    <w:p w14:paraId="44E488BF" w14:textId="77777777" w:rsidR="00A71EEF" w:rsidRDefault="0081115D">
      <w:pPr>
        <w:pStyle w:val="a3"/>
        <w:ind w:left="838"/>
      </w:pPr>
      <w:r>
        <w:t>主要装备各种模拟灾害现场的装置，用于向公众宣传消防知识的消防车。</w:t>
      </w:r>
      <w:r>
        <w:t xml:space="preserve"> </w:t>
      </w:r>
    </w:p>
    <w:p w14:paraId="0E5EE25A" w14:textId="77777777" w:rsidR="00A71EEF" w:rsidRDefault="00A71EEF">
      <w:pPr>
        <w:pStyle w:val="a3"/>
        <w:spacing w:before="1"/>
        <w:rPr>
          <w:sz w:val="18"/>
        </w:rPr>
      </w:pPr>
    </w:p>
    <w:p w14:paraId="691E5DCD" w14:textId="77777777" w:rsidR="00A71EEF" w:rsidRDefault="0081115D">
      <w:pPr>
        <w:pStyle w:val="a4"/>
        <w:numPr>
          <w:ilvl w:val="2"/>
          <w:numId w:val="839"/>
        </w:numPr>
        <w:tabs>
          <w:tab w:val="left" w:pos="1424"/>
        </w:tabs>
        <w:spacing w:before="1"/>
        <w:rPr>
          <w:sz w:val="21"/>
        </w:rPr>
      </w:pPr>
      <w:r>
        <w:rPr>
          <w:spacing w:val="10"/>
          <w:sz w:val="21"/>
        </w:rPr>
        <w:t>水带敷设消防车</w:t>
      </w:r>
      <w:r>
        <w:rPr>
          <w:spacing w:val="10"/>
          <w:sz w:val="21"/>
        </w:rPr>
        <w:t xml:space="preserve"> </w:t>
      </w:r>
      <w:r>
        <w:rPr>
          <w:sz w:val="21"/>
        </w:rPr>
        <w:t>hose laying</w:t>
      </w:r>
      <w:r>
        <w:rPr>
          <w:spacing w:val="1"/>
          <w:sz w:val="21"/>
        </w:rPr>
        <w:t xml:space="preserve"> </w:t>
      </w:r>
      <w:r>
        <w:rPr>
          <w:sz w:val="21"/>
        </w:rPr>
        <w:t>fire</w:t>
      </w:r>
      <w:r>
        <w:rPr>
          <w:spacing w:val="1"/>
          <w:sz w:val="21"/>
        </w:rPr>
        <w:t xml:space="preserve"> </w:t>
      </w:r>
      <w:r>
        <w:rPr>
          <w:sz w:val="21"/>
        </w:rPr>
        <w:t xml:space="preserve">fighting vehicle </w:t>
      </w:r>
    </w:p>
    <w:p w14:paraId="4D0169C6" w14:textId="77777777" w:rsidR="00A71EEF" w:rsidRDefault="00A71EEF">
      <w:pPr>
        <w:pStyle w:val="a3"/>
        <w:spacing w:before="12"/>
        <w:rPr>
          <w:sz w:val="17"/>
        </w:rPr>
      </w:pPr>
    </w:p>
    <w:p w14:paraId="4A43A4C6" w14:textId="77777777" w:rsidR="00A71EEF" w:rsidRDefault="0081115D">
      <w:pPr>
        <w:pStyle w:val="a3"/>
        <w:ind w:left="838"/>
      </w:pPr>
      <w:r>
        <w:t>主要装备水带敷设和回收装置，用于铺设和回收直径大</w:t>
      </w:r>
      <w:r>
        <w:t>于或等于</w:t>
      </w:r>
      <w:r>
        <w:t xml:space="preserve"> 100 mm </w:t>
      </w:r>
      <w:r>
        <w:t>水带的消防车。</w:t>
      </w:r>
      <w:r>
        <w:t xml:space="preserve"> </w:t>
      </w:r>
    </w:p>
    <w:p w14:paraId="20152396" w14:textId="77777777" w:rsidR="00A71EEF" w:rsidRDefault="00A71EEF">
      <w:pPr>
        <w:pStyle w:val="a3"/>
        <w:spacing w:before="12"/>
        <w:rPr>
          <w:sz w:val="17"/>
        </w:rPr>
      </w:pPr>
    </w:p>
    <w:p w14:paraId="6602FB4B" w14:textId="77777777" w:rsidR="00A71EEF" w:rsidRDefault="0081115D">
      <w:pPr>
        <w:pStyle w:val="a4"/>
        <w:numPr>
          <w:ilvl w:val="2"/>
          <w:numId w:val="839"/>
        </w:numPr>
        <w:tabs>
          <w:tab w:val="left" w:pos="1424"/>
        </w:tabs>
        <w:rPr>
          <w:sz w:val="21"/>
        </w:rPr>
      </w:pPr>
      <w:r>
        <w:rPr>
          <w:spacing w:val="14"/>
          <w:sz w:val="21"/>
        </w:rPr>
        <w:t>供气消防车</w:t>
      </w:r>
      <w:r>
        <w:rPr>
          <w:spacing w:val="14"/>
          <w:sz w:val="21"/>
        </w:rPr>
        <w:t xml:space="preserve"> </w:t>
      </w:r>
      <w:r>
        <w:rPr>
          <w:sz w:val="21"/>
        </w:rPr>
        <w:t>compressed</w:t>
      </w:r>
      <w:r>
        <w:rPr>
          <w:spacing w:val="1"/>
          <w:sz w:val="21"/>
        </w:rPr>
        <w:t xml:space="preserve"> </w:t>
      </w:r>
      <w:r>
        <w:rPr>
          <w:sz w:val="21"/>
        </w:rPr>
        <w:t>air support</w:t>
      </w:r>
      <w:r>
        <w:rPr>
          <w:spacing w:val="1"/>
          <w:sz w:val="21"/>
        </w:rPr>
        <w:t xml:space="preserve"> </w:t>
      </w:r>
      <w:r>
        <w:rPr>
          <w:sz w:val="21"/>
        </w:rPr>
        <w:t>fire fighting</w:t>
      </w:r>
      <w:r>
        <w:rPr>
          <w:spacing w:val="-2"/>
          <w:sz w:val="21"/>
        </w:rPr>
        <w:t xml:space="preserve"> </w:t>
      </w:r>
      <w:r>
        <w:rPr>
          <w:sz w:val="21"/>
        </w:rPr>
        <w:t xml:space="preserve">vehicle </w:t>
      </w:r>
    </w:p>
    <w:p w14:paraId="1B6F693B" w14:textId="77777777" w:rsidR="00A71EEF" w:rsidRDefault="00A71EEF">
      <w:pPr>
        <w:pStyle w:val="a3"/>
        <w:spacing w:before="2"/>
        <w:rPr>
          <w:sz w:val="18"/>
        </w:rPr>
      </w:pPr>
    </w:p>
    <w:p w14:paraId="1C24AF03" w14:textId="77777777" w:rsidR="00A71EEF" w:rsidRDefault="0081115D">
      <w:pPr>
        <w:pStyle w:val="a3"/>
        <w:spacing w:line="446" w:lineRule="auto"/>
        <w:ind w:left="418" w:right="1609" w:firstLine="419"/>
      </w:pPr>
      <w:r>
        <w:t>主要装备高压空气压缩机、高压储气瓶组、防爆充气箱等装置，给空气呼吸器瓶充气或给气动工具提供气源的消防车。</w:t>
      </w:r>
      <w:r>
        <w:t xml:space="preserve"> </w:t>
      </w:r>
    </w:p>
    <w:p w14:paraId="465AD0DE" w14:textId="77777777" w:rsidR="00A71EEF" w:rsidRDefault="0081115D">
      <w:pPr>
        <w:pStyle w:val="a4"/>
        <w:numPr>
          <w:ilvl w:val="2"/>
          <w:numId w:val="839"/>
        </w:numPr>
        <w:tabs>
          <w:tab w:val="left" w:pos="1424"/>
        </w:tabs>
        <w:spacing w:line="267" w:lineRule="exact"/>
        <w:rPr>
          <w:sz w:val="21"/>
        </w:rPr>
      </w:pPr>
      <w:r>
        <w:rPr>
          <w:spacing w:val="12"/>
          <w:sz w:val="21"/>
        </w:rPr>
        <w:t>供液消防车</w:t>
      </w:r>
      <w:r>
        <w:rPr>
          <w:spacing w:val="12"/>
          <w:sz w:val="21"/>
        </w:rPr>
        <w:t xml:space="preserve">  </w:t>
      </w:r>
      <w:r>
        <w:rPr>
          <w:sz w:val="21"/>
        </w:rPr>
        <w:t>foam liquid supply fire</w:t>
      </w:r>
      <w:r>
        <w:rPr>
          <w:spacing w:val="1"/>
          <w:sz w:val="21"/>
        </w:rPr>
        <w:t xml:space="preserve"> </w:t>
      </w:r>
      <w:r>
        <w:rPr>
          <w:sz w:val="21"/>
        </w:rPr>
        <w:t>fighting</w:t>
      </w:r>
      <w:r>
        <w:rPr>
          <w:spacing w:val="-3"/>
          <w:sz w:val="21"/>
        </w:rPr>
        <w:t xml:space="preserve"> </w:t>
      </w:r>
      <w:r>
        <w:rPr>
          <w:sz w:val="21"/>
        </w:rPr>
        <w:t xml:space="preserve">vehicle </w:t>
      </w:r>
    </w:p>
    <w:p w14:paraId="250BB921" w14:textId="77777777" w:rsidR="00A71EEF" w:rsidRDefault="00A71EEF">
      <w:pPr>
        <w:pStyle w:val="a3"/>
        <w:spacing w:before="2"/>
        <w:rPr>
          <w:sz w:val="18"/>
        </w:rPr>
      </w:pPr>
    </w:p>
    <w:p w14:paraId="4DC9F0B8" w14:textId="77777777" w:rsidR="00A71EEF" w:rsidRDefault="0081115D">
      <w:pPr>
        <w:pStyle w:val="a3"/>
        <w:ind w:left="838"/>
      </w:pPr>
      <w:r>
        <w:rPr>
          <w:spacing w:val="-3"/>
        </w:rPr>
        <w:t>主要装备供液泵和液体灭火剂罐，用于输送除水以外的各类液体灭火剂的消防车。</w:t>
      </w:r>
      <w:r>
        <w:rPr>
          <w:spacing w:val="-3"/>
        </w:rPr>
        <w:t xml:space="preserve"> </w:t>
      </w:r>
    </w:p>
    <w:p w14:paraId="5724927E" w14:textId="77777777" w:rsidR="00A71EEF" w:rsidRDefault="00A71EEF">
      <w:pPr>
        <w:pStyle w:val="a3"/>
        <w:spacing w:before="12"/>
        <w:rPr>
          <w:sz w:val="17"/>
        </w:rPr>
      </w:pPr>
    </w:p>
    <w:p w14:paraId="3114C8D6" w14:textId="77777777" w:rsidR="00A71EEF" w:rsidRDefault="0081115D">
      <w:pPr>
        <w:pStyle w:val="a4"/>
        <w:numPr>
          <w:ilvl w:val="2"/>
          <w:numId w:val="839"/>
        </w:numPr>
        <w:tabs>
          <w:tab w:val="left" w:pos="1424"/>
        </w:tabs>
        <w:rPr>
          <w:sz w:val="21"/>
        </w:rPr>
      </w:pPr>
      <w:r>
        <w:rPr>
          <w:spacing w:val="10"/>
          <w:sz w:val="21"/>
        </w:rPr>
        <w:t>自装卸式消防车</w:t>
      </w:r>
      <w:r>
        <w:rPr>
          <w:spacing w:val="10"/>
          <w:sz w:val="21"/>
        </w:rPr>
        <w:t xml:space="preserve"> </w:t>
      </w:r>
      <w:r>
        <w:rPr>
          <w:sz w:val="21"/>
        </w:rPr>
        <w:t>self-loading</w:t>
      </w:r>
      <w:r>
        <w:rPr>
          <w:spacing w:val="104"/>
          <w:sz w:val="21"/>
        </w:rPr>
        <w:t xml:space="preserve"> </w:t>
      </w:r>
      <w:r>
        <w:rPr>
          <w:sz w:val="21"/>
        </w:rPr>
        <w:t>fire fighting</w:t>
      </w:r>
      <w:r>
        <w:rPr>
          <w:spacing w:val="1"/>
          <w:sz w:val="21"/>
        </w:rPr>
        <w:t xml:space="preserve"> </w:t>
      </w:r>
      <w:r>
        <w:rPr>
          <w:sz w:val="21"/>
        </w:rPr>
        <w:t xml:space="preserve">vehicle </w:t>
      </w:r>
    </w:p>
    <w:p w14:paraId="05698426" w14:textId="77777777" w:rsidR="00A71EEF" w:rsidRDefault="00A71EEF">
      <w:pPr>
        <w:pStyle w:val="a3"/>
        <w:rPr>
          <w:sz w:val="18"/>
        </w:rPr>
      </w:pPr>
    </w:p>
    <w:p w14:paraId="3BFF6771" w14:textId="77777777" w:rsidR="00A71EEF" w:rsidRDefault="0081115D">
      <w:pPr>
        <w:pStyle w:val="a3"/>
        <w:spacing w:line="446" w:lineRule="auto"/>
        <w:ind w:left="418" w:right="1817" w:firstLine="419"/>
      </w:pPr>
      <w:r>
        <w:t>主要装备自装卸机构，用于将装有消防装备的模块（器材箱）快速运抵灾害现场的消防车。</w:t>
      </w:r>
      <w:r>
        <w:t xml:space="preserve"> </w:t>
      </w:r>
    </w:p>
    <w:p w14:paraId="50303863" w14:textId="77777777" w:rsidR="00A71EEF" w:rsidRDefault="0081115D">
      <w:pPr>
        <w:pStyle w:val="4"/>
        <w:spacing w:line="278" w:lineRule="exact"/>
      </w:pPr>
      <w:r>
        <w:t xml:space="preserve">4 </w:t>
      </w:r>
      <w:r>
        <w:t>分类及型号</w:t>
      </w:r>
      <w:r>
        <w:rPr>
          <w:w w:val="99"/>
        </w:rPr>
        <w:t xml:space="preserve"> </w:t>
      </w:r>
    </w:p>
    <w:p w14:paraId="64EFFBBD" w14:textId="77777777" w:rsidR="00A71EEF" w:rsidRDefault="00A71EEF">
      <w:pPr>
        <w:pStyle w:val="a3"/>
        <w:spacing w:before="4"/>
        <w:rPr>
          <w:b/>
          <w:sz w:val="17"/>
        </w:rPr>
      </w:pPr>
    </w:p>
    <w:p w14:paraId="65997054" w14:textId="77777777" w:rsidR="00A71EEF" w:rsidRDefault="0081115D">
      <w:pPr>
        <w:pStyle w:val="a4"/>
        <w:numPr>
          <w:ilvl w:val="1"/>
          <w:numId w:val="838"/>
        </w:numPr>
        <w:tabs>
          <w:tab w:val="left" w:pos="1159"/>
        </w:tabs>
        <w:ind w:hanging="319"/>
        <w:rPr>
          <w:sz w:val="21"/>
        </w:rPr>
      </w:pPr>
      <w:r>
        <w:rPr>
          <w:spacing w:val="-3"/>
          <w:sz w:val="21"/>
        </w:rPr>
        <w:t>分类</w:t>
      </w:r>
      <w:r>
        <w:rPr>
          <w:sz w:val="21"/>
        </w:rPr>
        <w:t xml:space="preserve"> </w:t>
      </w:r>
    </w:p>
    <w:p w14:paraId="4A772B38" w14:textId="77777777" w:rsidR="00A71EEF" w:rsidRDefault="00A71EEF">
      <w:pPr>
        <w:pStyle w:val="a3"/>
        <w:spacing w:before="2"/>
        <w:rPr>
          <w:sz w:val="18"/>
        </w:rPr>
      </w:pPr>
    </w:p>
    <w:p w14:paraId="58C1E1FA" w14:textId="77777777" w:rsidR="00A71EEF" w:rsidRDefault="0081115D">
      <w:pPr>
        <w:pStyle w:val="a4"/>
        <w:numPr>
          <w:ilvl w:val="2"/>
          <w:numId w:val="838"/>
        </w:numPr>
        <w:tabs>
          <w:tab w:val="left" w:pos="1370"/>
        </w:tabs>
        <w:ind w:hanging="530"/>
        <w:rPr>
          <w:sz w:val="21"/>
        </w:rPr>
      </w:pPr>
      <w:r>
        <w:rPr>
          <w:spacing w:val="-3"/>
          <w:sz w:val="21"/>
        </w:rPr>
        <w:t>按照功能分类</w:t>
      </w:r>
      <w:r>
        <w:rPr>
          <w:sz w:val="21"/>
        </w:rPr>
        <w:t xml:space="preserve"> </w:t>
      </w:r>
    </w:p>
    <w:p w14:paraId="21071D79" w14:textId="77777777" w:rsidR="00A71EEF" w:rsidRDefault="00A71EEF">
      <w:pPr>
        <w:rPr>
          <w:sz w:val="21"/>
        </w:rPr>
        <w:sectPr w:rsidR="00A71EEF">
          <w:pgSz w:w="11910" w:h="16850"/>
          <w:pgMar w:top="1220" w:right="0" w:bottom="1420" w:left="1260" w:header="0" w:footer="1239" w:gutter="0"/>
          <w:cols w:space="720"/>
        </w:sectPr>
      </w:pPr>
    </w:p>
    <w:p w14:paraId="290262C8" w14:textId="77777777" w:rsidR="00A71EEF" w:rsidRDefault="0081115D">
      <w:pPr>
        <w:pStyle w:val="a3"/>
        <w:spacing w:before="47" w:line="446" w:lineRule="auto"/>
        <w:ind w:left="418" w:right="1609" w:firstLine="419"/>
      </w:pPr>
      <w:r>
        <w:lastRenderedPageBreak/>
        <w:t>消防车按照使用功能分为四类：灭火类消防车、举高类消防车、专勤类消防车和保障类消防车。</w:t>
      </w:r>
      <w:r>
        <w:t xml:space="preserve"> </w:t>
      </w:r>
    </w:p>
    <w:p w14:paraId="5B94527E" w14:textId="77777777" w:rsidR="00A71EEF" w:rsidRDefault="0081115D">
      <w:pPr>
        <w:pStyle w:val="a4"/>
        <w:numPr>
          <w:ilvl w:val="2"/>
          <w:numId w:val="838"/>
        </w:numPr>
        <w:tabs>
          <w:tab w:val="left" w:pos="1371"/>
        </w:tabs>
        <w:spacing w:line="267" w:lineRule="exact"/>
        <w:ind w:left="1370" w:hanging="531"/>
        <w:rPr>
          <w:sz w:val="21"/>
        </w:rPr>
      </w:pPr>
      <w:r>
        <w:rPr>
          <w:spacing w:val="-3"/>
          <w:sz w:val="21"/>
        </w:rPr>
        <w:t>按照结构分类</w:t>
      </w:r>
      <w:r>
        <w:rPr>
          <w:sz w:val="21"/>
        </w:rPr>
        <w:t xml:space="preserve"> </w:t>
      </w:r>
    </w:p>
    <w:p w14:paraId="642DA2AF" w14:textId="77777777" w:rsidR="00A71EEF" w:rsidRDefault="00A71EEF">
      <w:pPr>
        <w:pStyle w:val="a3"/>
        <w:spacing w:before="2"/>
        <w:rPr>
          <w:sz w:val="18"/>
        </w:rPr>
      </w:pPr>
    </w:p>
    <w:p w14:paraId="45C6F787" w14:textId="77777777" w:rsidR="00A71EEF" w:rsidRDefault="0081115D">
      <w:pPr>
        <w:pStyle w:val="a3"/>
        <w:spacing w:line="446" w:lineRule="auto"/>
        <w:ind w:left="840" w:right="2977" w:hanging="3"/>
      </w:pPr>
      <w:r>
        <w:t>消防车按照结构分为三类：罐类消防车、举高类消防车和特种类消防车。</w:t>
      </w:r>
      <w:r>
        <w:rPr>
          <w:b/>
        </w:rPr>
        <w:t xml:space="preserve">4.2 </w:t>
      </w:r>
      <w:r>
        <w:t>型号</w:t>
      </w:r>
      <w:r>
        <w:t xml:space="preserve"> </w:t>
      </w:r>
    </w:p>
    <w:p w14:paraId="7D12DBB8" w14:textId="77777777" w:rsidR="00A71EEF" w:rsidRDefault="0081115D">
      <w:pPr>
        <w:pStyle w:val="a4"/>
        <w:numPr>
          <w:ilvl w:val="2"/>
          <w:numId w:val="837"/>
        </w:numPr>
        <w:tabs>
          <w:tab w:val="left" w:pos="1371"/>
        </w:tabs>
        <w:spacing w:line="267" w:lineRule="exact"/>
        <w:rPr>
          <w:sz w:val="21"/>
        </w:rPr>
      </w:pPr>
      <w:r>
        <w:rPr>
          <w:spacing w:val="-3"/>
          <w:sz w:val="21"/>
        </w:rPr>
        <w:t>型号构成</w:t>
      </w:r>
      <w:r>
        <w:rPr>
          <w:sz w:val="21"/>
        </w:rPr>
        <w:t xml:space="preserve"> </w:t>
      </w:r>
    </w:p>
    <w:p w14:paraId="57840E57" w14:textId="77777777" w:rsidR="00A71EEF" w:rsidRDefault="00A71EEF">
      <w:pPr>
        <w:pStyle w:val="a3"/>
        <w:spacing w:before="2"/>
        <w:rPr>
          <w:sz w:val="18"/>
        </w:rPr>
      </w:pPr>
    </w:p>
    <w:p w14:paraId="0026FA0C" w14:textId="77777777" w:rsidR="00A71EEF" w:rsidRDefault="0081115D">
      <w:pPr>
        <w:pStyle w:val="a3"/>
        <w:spacing w:line="446" w:lineRule="auto"/>
        <w:ind w:left="418" w:right="1608" w:firstLine="419"/>
        <w:jc w:val="both"/>
      </w:pPr>
      <w:r>
        <w:rPr>
          <w:noProof/>
        </w:rPr>
        <w:drawing>
          <wp:anchor distT="0" distB="0" distL="0" distR="0" simplePos="0" relativeHeight="251495936" behindDoc="0" locked="0" layoutInCell="1" allowOverlap="1" wp14:anchorId="7F070EAB" wp14:editId="4CCAABC2">
            <wp:simplePos x="0" y="0"/>
            <wp:positionH relativeFrom="page">
              <wp:posOffset>1665604</wp:posOffset>
            </wp:positionH>
            <wp:positionV relativeFrom="paragraph">
              <wp:posOffset>995806</wp:posOffset>
            </wp:positionV>
            <wp:extent cx="4419599" cy="2505075"/>
            <wp:effectExtent l="0" t="0" r="0" b="0"/>
            <wp:wrapTopAndBottom/>
            <wp:docPr id="107"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73.jpeg"/>
                    <pic:cNvPicPr/>
                  </pic:nvPicPr>
                  <pic:blipFill>
                    <a:blip r:embed="rId71" cstate="print"/>
                    <a:stretch>
                      <a:fillRect/>
                    </a:stretch>
                  </pic:blipFill>
                  <pic:spPr>
                    <a:xfrm>
                      <a:off x="0" y="0"/>
                      <a:ext cx="4419599" cy="2505075"/>
                    </a:xfrm>
                    <a:prstGeom prst="rect">
                      <a:avLst/>
                    </a:prstGeom>
                  </pic:spPr>
                </pic:pic>
              </a:graphicData>
            </a:graphic>
          </wp:anchor>
        </w:drawing>
      </w:r>
      <w:r>
        <w:t>消防车的产品型号由消防车企业名称代号、消防车类别代号、消防车主参数代号、消防车产品序号、消防车结构特征代号、消防车用途特征代号、消防车分类代号、消防装备主参数代号组成，必要时附加消防车企业自定代号。型号编制如下：</w:t>
      </w:r>
      <w:r>
        <w:t xml:space="preserve"> </w:t>
      </w:r>
    </w:p>
    <w:p w14:paraId="72535B0C" w14:textId="77777777" w:rsidR="00A71EEF" w:rsidRDefault="00A71EEF">
      <w:pPr>
        <w:pStyle w:val="a3"/>
        <w:rPr>
          <w:sz w:val="20"/>
        </w:rPr>
      </w:pPr>
    </w:p>
    <w:p w14:paraId="02D8E083" w14:textId="77777777" w:rsidR="00A71EEF" w:rsidRDefault="00A71EEF">
      <w:pPr>
        <w:pStyle w:val="a3"/>
        <w:rPr>
          <w:sz w:val="20"/>
        </w:rPr>
      </w:pPr>
    </w:p>
    <w:p w14:paraId="5529BAE9" w14:textId="77777777" w:rsidR="00A71EEF" w:rsidRDefault="0081115D">
      <w:pPr>
        <w:pStyle w:val="a4"/>
        <w:numPr>
          <w:ilvl w:val="2"/>
          <w:numId w:val="837"/>
        </w:numPr>
        <w:tabs>
          <w:tab w:val="left" w:pos="1371"/>
        </w:tabs>
        <w:spacing w:before="164"/>
        <w:rPr>
          <w:sz w:val="21"/>
        </w:rPr>
      </w:pPr>
      <w:r>
        <w:rPr>
          <w:spacing w:val="-3"/>
          <w:sz w:val="21"/>
        </w:rPr>
        <w:t>消防车企业名称代号</w:t>
      </w:r>
      <w:r>
        <w:rPr>
          <w:spacing w:val="-3"/>
          <w:sz w:val="21"/>
        </w:rPr>
        <w:t xml:space="preserve"> </w:t>
      </w:r>
    </w:p>
    <w:p w14:paraId="3CF454C3" w14:textId="77777777" w:rsidR="00A71EEF" w:rsidRDefault="00A71EEF">
      <w:pPr>
        <w:pStyle w:val="a3"/>
        <w:spacing w:before="3"/>
        <w:rPr>
          <w:sz w:val="18"/>
        </w:rPr>
      </w:pPr>
    </w:p>
    <w:p w14:paraId="04649EB3" w14:textId="77777777" w:rsidR="00A71EEF" w:rsidRDefault="0081115D">
      <w:pPr>
        <w:pStyle w:val="a3"/>
        <w:spacing w:line="446" w:lineRule="auto"/>
        <w:ind w:left="840" w:right="1505" w:hanging="3"/>
      </w:pPr>
      <w:r>
        <w:t>用代表企业名称的两个或三个汉语拼音字母表示，其代号由国家汽车行业主管部门给定。</w:t>
      </w:r>
      <w:r>
        <w:rPr>
          <w:b/>
        </w:rPr>
        <w:t xml:space="preserve">4.2.3 </w:t>
      </w:r>
      <w:r>
        <w:t>消防车类别代号</w:t>
      </w:r>
      <w:r>
        <w:t xml:space="preserve"> </w:t>
      </w:r>
    </w:p>
    <w:p w14:paraId="2328F50C" w14:textId="77777777" w:rsidR="00A71EEF" w:rsidRDefault="0081115D">
      <w:pPr>
        <w:pStyle w:val="a3"/>
        <w:spacing w:line="446" w:lineRule="auto"/>
        <w:ind w:left="840" w:right="4866" w:hanging="3"/>
      </w:pPr>
      <w:r>
        <w:rPr>
          <w:spacing w:val="-25"/>
        </w:rPr>
        <w:t>用</w:t>
      </w:r>
      <w:r>
        <w:rPr>
          <w:spacing w:val="-25"/>
        </w:rPr>
        <w:t xml:space="preserve"> </w:t>
      </w:r>
      <w:r>
        <w:t>5</w:t>
      </w:r>
      <w:r>
        <w:rPr>
          <w:spacing w:val="-12"/>
        </w:rPr>
        <w:t xml:space="preserve"> </w:t>
      </w:r>
      <w:r>
        <w:rPr>
          <w:spacing w:val="-12"/>
        </w:rPr>
        <w:t>表示单车式消防车，或用</w:t>
      </w:r>
      <w:r>
        <w:rPr>
          <w:spacing w:val="-12"/>
        </w:rPr>
        <w:t xml:space="preserve"> </w:t>
      </w:r>
      <w:r>
        <w:t>9</w:t>
      </w:r>
      <w:r>
        <w:rPr>
          <w:spacing w:val="-9"/>
        </w:rPr>
        <w:t xml:space="preserve"> </w:t>
      </w:r>
      <w:r>
        <w:rPr>
          <w:spacing w:val="-9"/>
        </w:rPr>
        <w:t>表示半挂式消防车。</w:t>
      </w:r>
      <w:r>
        <w:rPr>
          <w:b/>
          <w:spacing w:val="-9"/>
        </w:rPr>
        <w:t xml:space="preserve">4.2.4 </w:t>
      </w:r>
      <w:r>
        <w:rPr>
          <w:spacing w:val="-3"/>
        </w:rPr>
        <w:t>消防车主参数代号</w:t>
      </w:r>
      <w:r>
        <w:t xml:space="preserve"> </w:t>
      </w:r>
    </w:p>
    <w:p w14:paraId="754D93CA" w14:textId="77777777" w:rsidR="00A71EEF" w:rsidRDefault="0081115D">
      <w:pPr>
        <w:pStyle w:val="a3"/>
        <w:spacing w:line="446" w:lineRule="auto"/>
        <w:ind w:left="840" w:right="3083" w:hanging="3"/>
      </w:pPr>
      <w:r>
        <w:t>用两位阿拉伯数字表示，主参数代号为车辆的总质量，单位为吨（</w:t>
      </w:r>
      <w:r>
        <w:t>t</w:t>
      </w:r>
      <w:r>
        <w:t>）。</w:t>
      </w:r>
      <w:r>
        <w:rPr>
          <w:b/>
        </w:rPr>
        <w:t>4.2.5</w:t>
      </w:r>
      <w:r>
        <w:rPr>
          <w:b/>
        </w:rPr>
        <w:t xml:space="preserve"> </w:t>
      </w:r>
      <w:r>
        <w:t>消防车产品序号</w:t>
      </w:r>
      <w:r>
        <w:t xml:space="preserve"> </w:t>
      </w:r>
    </w:p>
    <w:p w14:paraId="3C2BA2B2" w14:textId="77777777" w:rsidR="00A71EEF" w:rsidRDefault="0081115D">
      <w:pPr>
        <w:pStyle w:val="a3"/>
        <w:spacing w:line="446" w:lineRule="auto"/>
        <w:ind w:left="840" w:right="5396" w:hanging="3"/>
      </w:pPr>
      <w:r>
        <w:t>用一位阿拉伯数字</w:t>
      </w:r>
      <w:r>
        <w:t xml:space="preserve"> 0</w:t>
      </w:r>
      <w:r>
        <w:t>，</w:t>
      </w:r>
      <w:r>
        <w:t>1</w:t>
      </w:r>
      <w:r>
        <w:t>，</w:t>
      </w:r>
      <w:r>
        <w:t>2</w:t>
      </w:r>
      <w:r>
        <w:t>，</w:t>
      </w:r>
      <w:r>
        <w:t>…</w:t>
      </w:r>
      <w:r>
        <w:t>，</w:t>
      </w:r>
      <w:r>
        <w:t xml:space="preserve">9 </w:t>
      </w:r>
      <w:r>
        <w:t>顺序使用。</w:t>
      </w:r>
      <w:r>
        <w:rPr>
          <w:b/>
        </w:rPr>
        <w:t xml:space="preserve">4.2.6 </w:t>
      </w:r>
      <w:r>
        <w:t>消防车结构特征代号</w:t>
      </w:r>
      <w:r>
        <w:t xml:space="preserve"> </w:t>
      </w:r>
    </w:p>
    <w:p w14:paraId="710D594F" w14:textId="77777777" w:rsidR="00A71EEF" w:rsidRDefault="00A71EEF">
      <w:pPr>
        <w:spacing w:line="446" w:lineRule="auto"/>
        <w:sectPr w:rsidR="00A71EEF">
          <w:pgSz w:w="11910" w:h="16850"/>
          <w:pgMar w:top="1220" w:right="0" w:bottom="1420" w:left="1260" w:header="0" w:footer="1239" w:gutter="0"/>
          <w:cols w:space="720"/>
        </w:sectPr>
      </w:pPr>
    </w:p>
    <w:p w14:paraId="282812F4" w14:textId="77777777" w:rsidR="00A71EEF" w:rsidRDefault="0081115D">
      <w:pPr>
        <w:pStyle w:val="a3"/>
        <w:spacing w:before="47" w:line="446" w:lineRule="auto"/>
        <w:ind w:left="418" w:right="1767" w:firstLine="419"/>
      </w:pPr>
      <w:r>
        <w:rPr>
          <w:spacing w:val="-3"/>
        </w:rPr>
        <w:lastRenderedPageBreak/>
        <w:t>用一个汉语拼音字母表示</w:t>
      </w:r>
      <w:r>
        <w:t>，</w:t>
      </w:r>
      <w:r>
        <w:t>G</w:t>
      </w:r>
      <w:r>
        <w:rPr>
          <w:spacing w:val="-8"/>
        </w:rPr>
        <w:t xml:space="preserve"> </w:t>
      </w:r>
      <w:r>
        <w:rPr>
          <w:spacing w:val="-8"/>
        </w:rPr>
        <w:t>代表罐类消防车</w:t>
      </w:r>
      <w:r>
        <w:t>，</w:t>
      </w:r>
      <w:r>
        <w:t>J</w:t>
      </w:r>
      <w:r>
        <w:rPr>
          <w:spacing w:val="-8"/>
        </w:rPr>
        <w:t xml:space="preserve"> </w:t>
      </w:r>
      <w:r>
        <w:rPr>
          <w:spacing w:val="-8"/>
        </w:rPr>
        <w:t>代表举高类消防车，</w:t>
      </w:r>
      <w:r>
        <w:t>T</w:t>
      </w:r>
      <w:r>
        <w:rPr>
          <w:spacing w:val="-7"/>
        </w:rPr>
        <w:t xml:space="preserve"> </w:t>
      </w:r>
      <w:r>
        <w:rPr>
          <w:spacing w:val="-7"/>
        </w:rPr>
        <w:t>代表特种类消防</w:t>
      </w:r>
      <w:r>
        <w:rPr>
          <w:spacing w:val="-5"/>
        </w:rPr>
        <w:t>车。</w:t>
      </w:r>
      <w:r>
        <w:t xml:space="preserve"> </w:t>
      </w:r>
    </w:p>
    <w:p w14:paraId="246BD9CF" w14:textId="77777777" w:rsidR="00A71EEF" w:rsidRDefault="0081115D">
      <w:pPr>
        <w:spacing w:line="267" w:lineRule="exact"/>
        <w:ind w:left="840"/>
        <w:rPr>
          <w:sz w:val="21"/>
        </w:rPr>
      </w:pPr>
      <w:r>
        <w:rPr>
          <w:b/>
          <w:sz w:val="21"/>
        </w:rPr>
        <w:t xml:space="preserve">4.2.7 </w:t>
      </w:r>
      <w:r>
        <w:rPr>
          <w:sz w:val="21"/>
        </w:rPr>
        <w:t>消防车用途特征代号</w:t>
      </w:r>
      <w:r>
        <w:rPr>
          <w:sz w:val="21"/>
        </w:rPr>
        <w:t xml:space="preserve"> </w:t>
      </w:r>
    </w:p>
    <w:p w14:paraId="588F9265" w14:textId="77777777" w:rsidR="00A71EEF" w:rsidRDefault="00A71EEF">
      <w:pPr>
        <w:pStyle w:val="a3"/>
        <w:spacing w:before="2"/>
        <w:rPr>
          <w:sz w:val="18"/>
        </w:rPr>
      </w:pPr>
    </w:p>
    <w:p w14:paraId="16F00F60" w14:textId="77777777" w:rsidR="00A71EEF" w:rsidRDefault="0081115D">
      <w:pPr>
        <w:pStyle w:val="a3"/>
        <w:spacing w:line="446" w:lineRule="auto"/>
        <w:ind w:left="840" w:right="6549" w:hanging="3"/>
      </w:pPr>
      <w:r>
        <w:t>统一用汉语拼音字母</w:t>
      </w:r>
      <w:r>
        <w:t>“XF”</w:t>
      </w:r>
      <w:r>
        <w:t>表示。</w:t>
      </w:r>
      <w:r>
        <w:rPr>
          <w:b/>
        </w:rPr>
        <w:t xml:space="preserve">4.2.8 </w:t>
      </w:r>
      <w:r>
        <w:t>消防车分类代号</w:t>
      </w:r>
      <w:r>
        <w:t xml:space="preserve"> </w:t>
      </w:r>
    </w:p>
    <w:p w14:paraId="128A91D2" w14:textId="77777777" w:rsidR="00A71EEF" w:rsidRDefault="0081115D">
      <w:pPr>
        <w:pStyle w:val="a3"/>
        <w:spacing w:line="446" w:lineRule="auto"/>
        <w:ind w:left="840" w:right="5761" w:hanging="3"/>
      </w:pPr>
      <w:r>
        <w:t>用两个汉语拼音字母表示，其含义见表</w:t>
      </w:r>
      <w:r>
        <w:t xml:space="preserve"> 1</w:t>
      </w:r>
      <w:r>
        <w:t>。</w:t>
      </w:r>
      <w:r>
        <w:rPr>
          <w:b/>
        </w:rPr>
        <w:t xml:space="preserve">4.2.9 </w:t>
      </w:r>
      <w:r>
        <w:t>消防装备主参数代号</w:t>
      </w:r>
      <w:r>
        <w:t xml:space="preserve"> </w:t>
      </w:r>
    </w:p>
    <w:p w14:paraId="6908E4C0" w14:textId="77777777" w:rsidR="00A71EEF" w:rsidRDefault="0081115D">
      <w:pPr>
        <w:pStyle w:val="a3"/>
        <w:ind w:left="838"/>
      </w:pPr>
      <w:r>
        <w:pict w14:anchorId="162C1236">
          <v:group id="_x0000_s1184" style="position:absolute;left:0;text-align:left;margin-left:116.9pt;margin-top:17.55pt;width:392.25pt;height:512.6pt;z-index:-251501056;mso-wrap-distance-left:0;mso-wrap-distance-right:0;mso-position-horizontal-relative:page" coordorigin="2338,351" coordsize="7845,10252">
            <v:shape id="_x0000_s1186" type="#_x0000_t75" style="position:absolute;left:2345;top:351;width:7732;height:5566">
              <v:imagedata r:id="rId72" o:title=""/>
            </v:shape>
            <v:shape id="_x0000_s1185" type="#_x0000_t75" style="position:absolute;left:2338;top:4857;width:7845;height:5745">
              <v:imagedata r:id="rId73" o:title=""/>
            </v:shape>
            <w10:wrap type="topAndBottom" anchorx="page"/>
          </v:group>
        </w:pict>
      </w:r>
      <w:r>
        <w:t>用两位或三位阿拉伯数字表示，其构成和含义见表</w:t>
      </w:r>
      <w:r>
        <w:t xml:space="preserve"> 1</w:t>
      </w:r>
      <w:r>
        <w:t>。</w:t>
      </w:r>
      <w:r>
        <w:t xml:space="preserve"> </w:t>
      </w:r>
    </w:p>
    <w:p w14:paraId="153C9430" w14:textId="77777777" w:rsidR="00A71EEF" w:rsidRDefault="00A71EEF">
      <w:pPr>
        <w:sectPr w:rsidR="00A71EEF">
          <w:pgSz w:w="11910" w:h="16850"/>
          <w:pgMar w:top="1220" w:right="0" w:bottom="1420" w:left="1260" w:header="0" w:footer="1239" w:gutter="0"/>
          <w:cols w:space="720"/>
        </w:sectPr>
      </w:pPr>
    </w:p>
    <w:p w14:paraId="500DA145" w14:textId="77777777" w:rsidR="00A71EEF" w:rsidRDefault="00A71EEF">
      <w:pPr>
        <w:pStyle w:val="a3"/>
        <w:rPr>
          <w:sz w:val="20"/>
        </w:rPr>
      </w:pPr>
    </w:p>
    <w:p w14:paraId="35F0B7DF" w14:textId="77777777" w:rsidR="00A71EEF" w:rsidRDefault="00A71EEF">
      <w:pPr>
        <w:pStyle w:val="a3"/>
        <w:rPr>
          <w:sz w:val="20"/>
        </w:rPr>
      </w:pPr>
    </w:p>
    <w:p w14:paraId="6ECABDC0" w14:textId="77777777" w:rsidR="00A71EEF" w:rsidRDefault="00A71EEF">
      <w:pPr>
        <w:pStyle w:val="a3"/>
        <w:rPr>
          <w:sz w:val="20"/>
        </w:rPr>
      </w:pPr>
    </w:p>
    <w:p w14:paraId="72DE637C" w14:textId="77777777" w:rsidR="00A71EEF" w:rsidRDefault="00A71EEF">
      <w:pPr>
        <w:pStyle w:val="a3"/>
        <w:rPr>
          <w:sz w:val="20"/>
        </w:rPr>
      </w:pPr>
    </w:p>
    <w:p w14:paraId="589B8C3F" w14:textId="77777777" w:rsidR="00A71EEF" w:rsidRDefault="00A71EEF">
      <w:pPr>
        <w:pStyle w:val="a3"/>
        <w:rPr>
          <w:sz w:val="20"/>
        </w:rPr>
      </w:pPr>
    </w:p>
    <w:p w14:paraId="626044FF" w14:textId="77777777" w:rsidR="00A71EEF" w:rsidRDefault="00A71EEF">
      <w:pPr>
        <w:pStyle w:val="a3"/>
        <w:rPr>
          <w:sz w:val="20"/>
        </w:rPr>
      </w:pPr>
    </w:p>
    <w:p w14:paraId="2243CAFF" w14:textId="77777777" w:rsidR="00A71EEF" w:rsidRDefault="00A71EEF">
      <w:pPr>
        <w:pStyle w:val="a3"/>
        <w:rPr>
          <w:sz w:val="20"/>
        </w:rPr>
      </w:pPr>
    </w:p>
    <w:p w14:paraId="1DCF62BE" w14:textId="77777777" w:rsidR="00A71EEF" w:rsidRDefault="00A71EEF">
      <w:pPr>
        <w:pStyle w:val="a3"/>
        <w:spacing w:before="6"/>
        <w:rPr>
          <w:sz w:val="23"/>
        </w:rPr>
      </w:pPr>
    </w:p>
    <w:p w14:paraId="380BDF27" w14:textId="77777777" w:rsidR="00A71EEF" w:rsidRDefault="0081115D">
      <w:pPr>
        <w:pStyle w:val="a3"/>
        <w:spacing w:before="72"/>
        <w:ind w:left="838"/>
      </w:pPr>
      <w:r>
        <w:t>示例</w:t>
      </w:r>
      <w:r>
        <w:t xml:space="preserve"> 1</w:t>
      </w:r>
      <w:r>
        <w:t>：</w:t>
      </w:r>
      <w:r>
        <w:t xml:space="preserve"> </w:t>
      </w:r>
    </w:p>
    <w:p w14:paraId="3A7CA3A0" w14:textId="77777777" w:rsidR="00A71EEF" w:rsidRDefault="00A71EEF">
      <w:pPr>
        <w:pStyle w:val="a3"/>
        <w:spacing w:before="1"/>
        <w:rPr>
          <w:sz w:val="18"/>
        </w:rPr>
      </w:pPr>
    </w:p>
    <w:p w14:paraId="5A9DFD67" w14:textId="77777777" w:rsidR="00A71EEF" w:rsidRDefault="0081115D">
      <w:pPr>
        <w:pStyle w:val="a3"/>
        <w:spacing w:before="1" w:line="446" w:lineRule="auto"/>
        <w:ind w:left="418" w:right="1822" w:firstLine="419"/>
      </w:pPr>
      <w:r>
        <w:rPr>
          <w:spacing w:val="-1"/>
        </w:rPr>
        <w:t>某企业</w:t>
      </w:r>
      <w:r>
        <w:t>（</w:t>
      </w:r>
      <w:r>
        <w:rPr>
          <w:spacing w:val="-3"/>
        </w:rPr>
        <w:t>企业代号：</w:t>
      </w:r>
      <w:r>
        <w:t>SXD</w:t>
      </w:r>
      <w:r>
        <w:t>）</w:t>
      </w:r>
      <w:r>
        <w:rPr>
          <w:spacing w:val="-7"/>
        </w:rPr>
        <w:t>生产的泡沫消防车，总质量</w:t>
      </w:r>
      <w:r>
        <w:rPr>
          <w:spacing w:val="-7"/>
        </w:rPr>
        <w:t xml:space="preserve"> </w:t>
      </w:r>
      <w:r>
        <w:t>14t</w:t>
      </w:r>
      <w:r>
        <w:rPr>
          <w:spacing w:val="-12"/>
        </w:rPr>
        <w:t>，载液量</w:t>
      </w:r>
      <w:r>
        <w:rPr>
          <w:spacing w:val="-12"/>
        </w:rPr>
        <w:t xml:space="preserve"> </w:t>
      </w:r>
      <w:r>
        <w:t>5 t</w:t>
      </w:r>
      <w:r>
        <w:rPr>
          <w:spacing w:val="-3"/>
        </w:rPr>
        <w:t>，没有进行过改</w:t>
      </w:r>
      <w:r>
        <w:rPr>
          <w:spacing w:val="-6"/>
        </w:rPr>
        <w:t>动，没有企业自定义代号，其型号为</w:t>
      </w:r>
      <w:r>
        <w:rPr>
          <w:spacing w:val="-6"/>
        </w:rPr>
        <w:t xml:space="preserve"> </w:t>
      </w:r>
      <w:r>
        <w:t>SXD5140GXFPM50</w:t>
      </w:r>
      <w:r>
        <w:rPr>
          <w:spacing w:val="-3"/>
        </w:rPr>
        <w:t>。</w:t>
      </w:r>
      <w:r>
        <w:t xml:space="preserve"> </w:t>
      </w:r>
    </w:p>
    <w:p w14:paraId="7A0F2ECF" w14:textId="77777777" w:rsidR="00A71EEF" w:rsidRDefault="0081115D">
      <w:pPr>
        <w:pStyle w:val="a3"/>
        <w:spacing w:line="267" w:lineRule="exact"/>
        <w:ind w:left="838"/>
      </w:pPr>
      <w:r>
        <w:t>示例</w:t>
      </w:r>
      <w:r>
        <w:t xml:space="preserve"> 2</w:t>
      </w:r>
      <w:r>
        <w:t>：</w:t>
      </w:r>
      <w:r>
        <w:t xml:space="preserve"> </w:t>
      </w:r>
    </w:p>
    <w:p w14:paraId="3383A599" w14:textId="77777777" w:rsidR="00A71EEF" w:rsidRDefault="00A71EEF">
      <w:pPr>
        <w:pStyle w:val="a3"/>
        <w:spacing w:before="1"/>
        <w:rPr>
          <w:sz w:val="18"/>
        </w:rPr>
      </w:pPr>
    </w:p>
    <w:p w14:paraId="5C74B5B9" w14:textId="77777777" w:rsidR="00A71EEF" w:rsidRDefault="0081115D">
      <w:pPr>
        <w:pStyle w:val="a3"/>
        <w:spacing w:line="446" w:lineRule="auto"/>
        <w:ind w:left="418" w:right="1616" w:firstLine="419"/>
      </w:pPr>
      <w:r>
        <w:rPr>
          <w:spacing w:val="-1"/>
        </w:rPr>
        <w:t>某企业</w:t>
      </w:r>
      <w:r>
        <w:t>（</w:t>
      </w:r>
      <w:r>
        <w:rPr>
          <w:spacing w:val="-3"/>
        </w:rPr>
        <w:t>企业代号：</w:t>
      </w:r>
      <w:r>
        <w:t>WSD</w:t>
      </w:r>
      <w:r>
        <w:t>）</w:t>
      </w:r>
      <w:r>
        <w:rPr>
          <w:spacing w:val="-7"/>
        </w:rPr>
        <w:t>生产的举高喷射消防车，总质量</w:t>
      </w:r>
      <w:r>
        <w:rPr>
          <w:spacing w:val="-7"/>
        </w:rPr>
        <w:t xml:space="preserve"> </w:t>
      </w:r>
      <w:r>
        <w:t>25 t</w:t>
      </w:r>
      <w:r>
        <w:rPr>
          <w:spacing w:val="-9"/>
        </w:rPr>
        <w:t>，最大工作高度</w:t>
      </w:r>
      <w:r>
        <w:rPr>
          <w:spacing w:val="-9"/>
        </w:rPr>
        <w:t xml:space="preserve"> </w:t>
      </w:r>
      <w:r>
        <w:t>30 m</w:t>
      </w:r>
      <w:r>
        <w:rPr>
          <w:spacing w:val="-2"/>
        </w:rPr>
        <w:t>，经</w:t>
      </w:r>
      <w:r>
        <w:rPr>
          <w:spacing w:val="-6"/>
        </w:rPr>
        <w:t>过一次改动，没有企业自定义代号，其型号为</w:t>
      </w:r>
      <w:r>
        <w:rPr>
          <w:spacing w:val="-6"/>
        </w:rPr>
        <w:t xml:space="preserve"> </w:t>
      </w:r>
      <w:r>
        <w:t>WSD5251JXFJP30</w:t>
      </w:r>
      <w:r>
        <w:rPr>
          <w:spacing w:val="-3"/>
        </w:rPr>
        <w:t>。</w:t>
      </w:r>
      <w:r>
        <w:t xml:space="preserve"> </w:t>
      </w:r>
    </w:p>
    <w:p w14:paraId="046C5D91" w14:textId="77777777" w:rsidR="00A71EEF" w:rsidRDefault="0081115D">
      <w:pPr>
        <w:pStyle w:val="a3"/>
        <w:spacing w:line="267" w:lineRule="exact"/>
        <w:ind w:left="838"/>
      </w:pPr>
      <w:r>
        <w:t>示例</w:t>
      </w:r>
      <w:r>
        <w:t xml:space="preserve"> 3</w:t>
      </w:r>
      <w:r>
        <w:t>：</w:t>
      </w:r>
      <w:r>
        <w:t xml:space="preserve"> </w:t>
      </w:r>
    </w:p>
    <w:p w14:paraId="4C4E319B" w14:textId="77777777" w:rsidR="00A71EEF" w:rsidRDefault="00A71EEF">
      <w:pPr>
        <w:pStyle w:val="a3"/>
        <w:spacing w:before="2"/>
        <w:rPr>
          <w:sz w:val="18"/>
        </w:rPr>
      </w:pPr>
    </w:p>
    <w:p w14:paraId="6ED1EE68" w14:textId="77777777" w:rsidR="00A71EEF" w:rsidRDefault="0081115D">
      <w:pPr>
        <w:pStyle w:val="a3"/>
        <w:spacing w:line="446" w:lineRule="auto"/>
        <w:ind w:left="418" w:right="1767" w:firstLine="419"/>
      </w:pPr>
      <w:r>
        <w:rPr>
          <w:spacing w:val="-1"/>
        </w:rPr>
        <w:t>某企业</w:t>
      </w:r>
      <w:r>
        <w:t>（</w:t>
      </w:r>
      <w:r>
        <w:rPr>
          <w:spacing w:val="-3"/>
        </w:rPr>
        <w:t>企业代号：</w:t>
      </w:r>
      <w:r>
        <w:t>MXF</w:t>
      </w:r>
      <w:r>
        <w:t>）</w:t>
      </w:r>
      <w:r>
        <w:rPr>
          <w:spacing w:val="-6"/>
        </w:rPr>
        <w:t>生产的化学救援消防车，总质量</w:t>
      </w:r>
      <w:r>
        <w:rPr>
          <w:spacing w:val="-6"/>
        </w:rPr>
        <w:t xml:space="preserve"> </w:t>
      </w:r>
      <w:r>
        <w:t>7 t</w:t>
      </w:r>
      <w:r>
        <w:rPr>
          <w:spacing w:val="-14"/>
        </w:rPr>
        <w:t>，装载</w:t>
      </w:r>
      <w:r>
        <w:rPr>
          <w:spacing w:val="-14"/>
        </w:rPr>
        <w:t xml:space="preserve"> </w:t>
      </w:r>
      <w:r>
        <w:t>100</w:t>
      </w:r>
      <w:r>
        <w:rPr>
          <w:spacing w:val="-9"/>
        </w:rPr>
        <w:t xml:space="preserve"> </w:t>
      </w:r>
      <w:r>
        <w:rPr>
          <w:spacing w:val="-9"/>
        </w:rPr>
        <w:t>件化学救援器</w:t>
      </w:r>
      <w:r>
        <w:rPr>
          <w:spacing w:val="-7"/>
        </w:rPr>
        <w:t>材，没有进行过改动，没有企业自定义代号，其型号为</w:t>
      </w:r>
      <w:r>
        <w:rPr>
          <w:spacing w:val="-7"/>
        </w:rPr>
        <w:t xml:space="preserve"> </w:t>
      </w:r>
      <w:r>
        <w:t>MXF5070TXFHJ100</w:t>
      </w:r>
      <w:r>
        <w:rPr>
          <w:spacing w:val="-3"/>
        </w:rPr>
        <w:t>。</w:t>
      </w:r>
      <w:r>
        <w:t xml:space="preserve"> </w:t>
      </w:r>
    </w:p>
    <w:p w14:paraId="06B40997" w14:textId="77777777" w:rsidR="00A71EEF" w:rsidRDefault="0081115D">
      <w:pPr>
        <w:spacing w:line="267" w:lineRule="exact"/>
        <w:ind w:left="840"/>
        <w:rPr>
          <w:sz w:val="21"/>
        </w:rPr>
      </w:pPr>
      <w:r>
        <w:rPr>
          <w:b/>
          <w:sz w:val="21"/>
        </w:rPr>
        <w:t xml:space="preserve">4.2.10 </w:t>
      </w:r>
      <w:r>
        <w:rPr>
          <w:sz w:val="21"/>
        </w:rPr>
        <w:t>消防车企业自定代号</w:t>
      </w:r>
      <w:r>
        <w:rPr>
          <w:sz w:val="21"/>
        </w:rPr>
        <w:t xml:space="preserve"> </w:t>
      </w:r>
    </w:p>
    <w:p w14:paraId="43E0986F" w14:textId="77777777" w:rsidR="00A71EEF" w:rsidRDefault="00A71EEF">
      <w:pPr>
        <w:pStyle w:val="a3"/>
        <w:spacing w:before="2"/>
        <w:rPr>
          <w:sz w:val="18"/>
        </w:rPr>
      </w:pPr>
    </w:p>
    <w:p w14:paraId="1A44A51B" w14:textId="77777777" w:rsidR="00A71EEF" w:rsidRDefault="0081115D">
      <w:pPr>
        <w:pStyle w:val="a3"/>
        <w:spacing w:line="446" w:lineRule="auto"/>
        <w:ind w:left="840" w:right="4026" w:hanging="3"/>
      </w:pPr>
      <w:r>
        <w:t>以汉语拼音字母和阿拉伯数字表示，位数及含义由企业自定。</w:t>
      </w:r>
      <w:r>
        <w:rPr>
          <w:b/>
        </w:rPr>
        <w:t xml:space="preserve">4.3 </w:t>
      </w:r>
      <w:r>
        <w:t>消防装备主参数变化规则</w:t>
      </w:r>
      <w:r>
        <w:t xml:space="preserve"> </w:t>
      </w:r>
    </w:p>
    <w:p w14:paraId="567EBAEC" w14:textId="77777777" w:rsidR="00A71EEF" w:rsidRDefault="0081115D">
      <w:pPr>
        <w:pStyle w:val="a4"/>
        <w:numPr>
          <w:ilvl w:val="2"/>
          <w:numId w:val="836"/>
        </w:numPr>
        <w:tabs>
          <w:tab w:val="left" w:pos="1371"/>
        </w:tabs>
        <w:spacing w:line="446" w:lineRule="auto"/>
        <w:ind w:right="1500" w:firstLine="422"/>
        <w:rPr>
          <w:sz w:val="21"/>
        </w:rPr>
      </w:pPr>
      <w:r>
        <w:rPr>
          <w:spacing w:val="-6"/>
          <w:sz w:val="21"/>
        </w:rPr>
        <w:t>主参数变化不大于原定型设计主参数的</w:t>
      </w:r>
      <w:r>
        <w:rPr>
          <w:spacing w:val="-6"/>
          <w:sz w:val="21"/>
        </w:rPr>
        <w:t xml:space="preserve"> </w:t>
      </w:r>
      <w:r>
        <w:rPr>
          <w:sz w:val="21"/>
        </w:rPr>
        <w:t>10</w:t>
      </w:r>
      <w:r>
        <w:rPr>
          <w:spacing w:val="-7"/>
          <w:sz w:val="21"/>
        </w:rPr>
        <w:t>%</w:t>
      </w:r>
      <w:r>
        <w:rPr>
          <w:spacing w:val="-7"/>
          <w:sz w:val="21"/>
        </w:rPr>
        <w:t>时，主参数不变。超过</w:t>
      </w:r>
      <w:r>
        <w:rPr>
          <w:spacing w:val="-7"/>
          <w:sz w:val="21"/>
        </w:rPr>
        <w:t xml:space="preserve"> </w:t>
      </w:r>
      <w:r>
        <w:rPr>
          <w:sz w:val="21"/>
        </w:rPr>
        <w:t>10</w:t>
      </w:r>
      <w:r>
        <w:rPr>
          <w:spacing w:val="-2"/>
          <w:sz w:val="21"/>
        </w:rPr>
        <w:t>%</w:t>
      </w:r>
      <w:r>
        <w:rPr>
          <w:spacing w:val="-2"/>
          <w:sz w:val="21"/>
        </w:rPr>
        <w:t>时，应改变主</w:t>
      </w:r>
      <w:r>
        <w:rPr>
          <w:spacing w:val="-3"/>
          <w:sz w:val="21"/>
        </w:rPr>
        <w:t>参数代号。</w:t>
      </w:r>
      <w:r>
        <w:rPr>
          <w:sz w:val="21"/>
        </w:rPr>
        <w:t xml:space="preserve"> </w:t>
      </w:r>
    </w:p>
    <w:p w14:paraId="56D5DFD3" w14:textId="77777777" w:rsidR="00A71EEF" w:rsidRDefault="0081115D">
      <w:pPr>
        <w:pStyle w:val="a4"/>
        <w:numPr>
          <w:ilvl w:val="2"/>
          <w:numId w:val="836"/>
        </w:numPr>
        <w:tabs>
          <w:tab w:val="left" w:pos="1370"/>
        </w:tabs>
        <w:ind w:left="1369" w:hanging="530"/>
        <w:rPr>
          <w:sz w:val="21"/>
        </w:rPr>
      </w:pPr>
      <w:r>
        <w:rPr>
          <w:spacing w:val="-3"/>
          <w:sz w:val="21"/>
        </w:rPr>
        <w:t>若因数字修约而导致主参数不变时，则应改变其产品序号。</w:t>
      </w:r>
      <w:r>
        <w:rPr>
          <w:sz w:val="21"/>
        </w:rPr>
        <w:t xml:space="preserve"> </w:t>
      </w:r>
    </w:p>
    <w:p w14:paraId="65F897AA" w14:textId="77777777" w:rsidR="00A71EEF" w:rsidRDefault="00A71EEF">
      <w:pPr>
        <w:pStyle w:val="a3"/>
        <w:spacing w:before="10"/>
        <w:rPr>
          <w:sz w:val="17"/>
        </w:rPr>
      </w:pPr>
    </w:p>
    <w:p w14:paraId="0CDF31D2" w14:textId="77777777" w:rsidR="00A71EEF" w:rsidRDefault="0081115D">
      <w:pPr>
        <w:pStyle w:val="a4"/>
        <w:numPr>
          <w:ilvl w:val="2"/>
          <w:numId w:val="836"/>
        </w:numPr>
        <w:tabs>
          <w:tab w:val="left" w:pos="1371"/>
        </w:tabs>
        <w:spacing w:before="1"/>
        <w:ind w:left="1370"/>
        <w:rPr>
          <w:sz w:val="21"/>
        </w:rPr>
      </w:pPr>
      <w:r>
        <w:rPr>
          <w:spacing w:val="-8"/>
          <w:sz w:val="21"/>
        </w:rPr>
        <w:t>主参数的数字修约应符合</w:t>
      </w:r>
      <w:r>
        <w:rPr>
          <w:spacing w:val="-8"/>
          <w:sz w:val="21"/>
        </w:rPr>
        <w:t xml:space="preserve"> </w:t>
      </w:r>
      <w:r>
        <w:rPr>
          <w:sz w:val="21"/>
        </w:rPr>
        <w:t>GB/T</w:t>
      </w:r>
      <w:r>
        <w:rPr>
          <w:spacing w:val="1"/>
          <w:sz w:val="21"/>
        </w:rPr>
        <w:t xml:space="preserve"> </w:t>
      </w:r>
      <w:r>
        <w:rPr>
          <w:sz w:val="21"/>
        </w:rPr>
        <w:t>8170</w:t>
      </w:r>
      <w:r>
        <w:rPr>
          <w:spacing w:val="-12"/>
          <w:sz w:val="21"/>
        </w:rPr>
        <w:t xml:space="preserve"> </w:t>
      </w:r>
      <w:r>
        <w:rPr>
          <w:spacing w:val="-12"/>
          <w:sz w:val="21"/>
        </w:rPr>
        <w:t>的规定。</w:t>
      </w:r>
      <w:r>
        <w:rPr>
          <w:spacing w:val="-12"/>
          <w:sz w:val="21"/>
        </w:rPr>
        <w:t xml:space="preserve"> </w:t>
      </w:r>
    </w:p>
    <w:p w14:paraId="69870FB1" w14:textId="77777777" w:rsidR="00A71EEF" w:rsidRDefault="00A71EEF">
      <w:pPr>
        <w:pStyle w:val="a3"/>
        <w:spacing w:before="10"/>
        <w:rPr>
          <w:sz w:val="15"/>
        </w:rPr>
      </w:pPr>
    </w:p>
    <w:p w14:paraId="7D71E14C" w14:textId="77777777" w:rsidR="00A71EEF" w:rsidRDefault="0081115D">
      <w:pPr>
        <w:pStyle w:val="4"/>
        <w:ind w:left="0" w:right="8419"/>
        <w:jc w:val="right"/>
      </w:pPr>
      <w:r>
        <w:t>5</w:t>
      </w:r>
      <w:r>
        <w:rPr>
          <w:spacing w:val="-1"/>
        </w:rPr>
        <w:t xml:space="preserve"> </w:t>
      </w:r>
      <w:r>
        <w:rPr>
          <w:spacing w:val="-1"/>
        </w:rPr>
        <w:t>通用技术要求</w:t>
      </w:r>
      <w:r>
        <w:rPr>
          <w:spacing w:val="-1"/>
          <w:w w:val="99"/>
        </w:rPr>
        <w:t xml:space="preserve"> </w:t>
      </w:r>
    </w:p>
    <w:p w14:paraId="14DD254F" w14:textId="77777777" w:rsidR="00A71EEF" w:rsidRDefault="00A71EEF">
      <w:pPr>
        <w:pStyle w:val="a3"/>
        <w:spacing w:before="4"/>
        <w:rPr>
          <w:b/>
          <w:sz w:val="17"/>
        </w:rPr>
      </w:pPr>
    </w:p>
    <w:p w14:paraId="02ED158E" w14:textId="77777777" w:rsidR="00A71EEF" w:rsidRDefault="0081115D">
      <w:pPr>
        <w:pStyle w:val="a4"/>
        <w:numPr>
          <w:ilvl w:val="1"/>
          <w:numId w:val="835"/>
        </w:numPr>
        <w:tabs>
          <w:tab w:val="left" w:pos="320"/>
        </w:tabs>
        <w:ind w:right="8436" w:hanging="1160"/>
        <w:jc w:val="right"/>
        <w:rPr>
          <w:sz w:val="21"/>
        </w:rPr>
      </w:pPr>
      <w:r>
        <w:rPr>
          <w:spacing w:val="-3"/>
          <w:sz w:val="21"/>
        </w:rPr>
        <w:t>整车性能</w:t>
      </w:r>
      <w:r>
        <w:rPr>
          <w:sz w:val="21"/>
        </w:rPr>
        <w:t xml:space="preserve"> </w:t>
      </w:r>
    </w:p>
    <w:p w14:paraId="5C60917F" w14:textId="77777777" w:rsidR="00A71EEF" w:rsidRDefault="00A71EEF">
      <w:pPr>
        <w:pStyle w:val="a3"/>
        <w:spacing w:before="12"/>
        <w:rPr>
          <w:sz w:val="17"/>
        </w:rPr>
      </w:pPr>
    </w:p>
    <w:p w14:paraId="7FBA95B8" w14:textId="77777777" w:rsidR="00A71EEF" w:rsidRDefault="0081115D">
      <w:pPr>
        <w:pStyle w:val="a4"/>
        <w:numPr>
          <w:ilvl w:val="2"/>
          <w:numId w:val="835"/>
        </w:numPr>
        <w:tabs>
          <w:tab w:val="left" w:pos="1370"/>
        </w:tabs>
        <w:ind w:hanging="530"/>
        <w:rPr>
          <w:sz w:val="21"/>
        </w:rPr>
      </w:pPr>
      <w:r>
        <w:rPr>
          <w:spacing w:val="-3"/>
          <w:sz w:val="21"/>
        </w:rPr>
        <w:t>可靠性行驶性能</w:t>
      </w:r>
      <w:r>
        <w:rPr>
          <w:sz w:val="21"/>
        </w:rPr>
        <w:t xml:space="preserve"> </w:t>
      </w:r>
    </w:p>
    <w:p w14:paraId="340EA9DB" w14:textId="77777777" w:rsidR="00A71EEF" w:rsidRDefault="00A71EEF">
      <w:pPr>
        <w:rPr>
          <w:sz w:val="21"/>
        </w:rPr>
        <w:sectPr w:rsidR="00A71EEF">
          <w:pgSz w:w="11910" w:h="16850"/>
          <w:pgMar w:top="1600" w:right="0" w:bottom="1420" w:left="1260" w:header="0" w:footer="1239" w:gutter="0"/>
          <w:cols w:space="720"/>
        </w:sectPr>
      </w:pPr>
    </w:p>
    <w:p w14:paraId="319713B2" w14:textId="77777777" w:rsidR="00A71EEF" w:rsidRDefault="0081115D">
      <w:pPr>
        <w:pStyle w:val="a3"/>
        <w:spacing w:before="47" w:after="17" w:line="446" w:lineRule="auto"/>
        <w:ind w:left="418" w:right="1608" w:firstLine="419"/>
        <w:jc w:val="both"/>
      </w:pPr>
      <w:r>
        <w:rPr>
          <w:spacing w:val="-8"/>
        </w:rPr>
        <w:lastRenderedPageBreak/>
        <w:t>消防车应进行</w:t>
      </w:r>
      <w:r>
        <w:rPr>
          <w:spacing w:val="-8"/>
        </w:rPr>
        <w:t xml:space="preserve"> </w:t>
      </w:r>
      <w:r>
        <w:t>5000</w:t>
      </w:r>
      <w:r>
        <w:rPr>
          <w:spacing w:val="18"/>
        </w:rPr>
        <w:t xml:space="preserve"> </w:t>
      </w:r>
      <w:r>
        <w:t>km</w:t>
      </w:r>
      <w:r>
        <w:rPr>
          <w:spacing w:val="-8"/>
        </w:rPr>
        <w:t xml:space="preserve"> </w:t>
      </w:r>
      <w:r>
        <w:rPr>
          <w:spacing w:val="-8"/>
        </w:rPr>
        <w:t>可靠性行驶试验。可靠性行驶试验应在其他试验之后进行，试验后</w:t>
      </w:r>
      <w:r>
        <w:rPr>
          <w:spacing w:val="-5"/>
        </w:rPr>
        <w:t>消防车各功能应正常，不应有部件损坏、位移、断裂、接触不良、漏油、漏水和漏气等现象，</w:t>
      </w:r>
      <w:r>
        <w:rPr>
          <w:spacing w:val="-5"/>
        </w:rPr>
        <w:t xml:space="preserve"> </w:t>
      </w:r>
      <w:r>
        <w:rPr>
          <w:spacing w:val="-4"/>
        </w:rPr>
        <w:t>加速性能、最高车速、制动性能、消防性能不应低于可靠性行驶试验前性能。可靠性行驶试验</w:t>
      </w:r>
      <w:r>
        <w:rPr>
          <w:spacing w:val="-10"/>
        </w:rPr>
        <w:t>的里程分配见表</w:t>
      </w:r>
      <w:r>
        <w:rPr>
          <w:spacing w:val="-10"/>
        </w:rPr>
        <w:t xml:space="preserve"> </w:t>
      </w:r>
      <w:r>
        <w:t>2</w:t>
      </w:r>
      <w:r>
        <w:rPr>
          <w:spacing w:val="-3"/>
        </w:rPr>
        <w:t>。</w:t>
      </w:r>
      <w:r>
        <w:t xml:space="preserve"> </w:t>
      </w:r>
    </w:p>
    <w:p w14:paraId="0BDB650A" w14:textId="77777777" w:rsidR="00A71EEF" w:rsidRDefault="0081115D">
      <w:pPr>
        <w:pStyle w:val="a3"/>
        <w:ind w:left="658"/>
        <w:rPr>
          <w:sz w:val="20"/>
        </w:rPr>
      </w:pPr>
      <w:r>
        <w:rPr>
          <w:sz w:val="20"/>
        </w:rPr>
      </w:r>
      <w:r>
        <w:rPr>
          <w:sz w:val="20"/>
        </w:rPr>
        <w:pict w14:anchorId="6A814A69">
          <v:group id="_x0000_s1181" style="width:411.05pt;height:265.35pt;mso-position-horizontal-relative:char;mso-position-vertical-relative:line" coordsize="8221,5307">
            <v:shape id="_x0000_s1183" type="#_x0000_t75" style="position:absolute;left:225;width:7471;height:2504">
              <v:imagedata r:id="rId74" o:title=""/>
            </v:shape>
            <v:shape id="_x0000_s1182" type="#_x0000_t75" style="position:absolute;top:986;width:8221;height:4321">
              <v:imagedata r:id="rId75" o:title=""/>
            </v:shape>
            <w10:anchorlock/>
          </v:group>
        </w:pict>
      </w:r>
    </w:p>
    <w:p w14:paraId="7ABFEE25" w14:textId="77777777" w:rsidR="00A71EEF" w:rsidRDefault="00A71EEF">
      <w:pPr>
        <w:pStyle w:val="a3"/>
        <w:spacing w:before="6"/>
        <w:rPr>
          <w:sz w:val="16"/>
        </w:rPr>
      </w:pPr>
    </w:p>
    <w:p w14:paraId="30200684" w14:textId="77777777" w:rsidR="00A71EEF" w:rsidRDefault="0081115D">
      <w:pPr>
        <w:pStyle w:val="a4"/>
        <w:numPr>
          <w:ilvl w:val="2"/>
          <w:numId w:val="835"/>
        </w:numPr>
        <w:tabs>
          <w:tab w:val="left" w:pos="1367"/>
        </w:tabs>
        <w:ind w:left="1367"/>
        <w:rPr>
          <w:sz w:val="21"/>
        </w:rPr>
      </w:pPr>
      <w:r>
        <w:rPr>
          <w:spacing w:val="-3"/>
          <w:sz w:val="21"/>
        </w:rPr>
        <w:t>动力性能</w:t>
      </w:r>
      <w:r>
        <w:rPr>
          <w:sz w:val="21"/>
        </w:rPr>
        <w:t xml:space="preserve"> </w:t>
      </w:r>
    </w:p>
    <w:p w14:paraId="57A6C035" w14:textId="77777777" w:rsidR="00A71EEF" w:rsidRDefault="00A71EEF">
      <w:pPr>
        <w:pStyle w:val="a3"/>
        <w:spacing w:before="12"/>
        <w:rPr>
          <w:sz w:val="17"/>
        </w:rPr>
      </w:pPr>
    </w:p>
    <w:p w14:paraId="33288B52" w14:textId="77777777" w:rsidR="00A71EEF" w:rsidRDefault="0081115D">
      <w:pPr>
        <w:pStyle w:val="a4"/>
        <w:numPr>
          <w:ilvl w:val="3"/>
          <w:numId w:val="835"/>
        </w:numPr>
        <w:tabs>
          <w:tab w:val="left" w:pos="1583"/>
        </w:tabs>
        <w:ind w:left="1582" w:hanging="743"/>
        <w:rPr>
          <w:sz w:val="19"/>
        </w:rPr>
      </w:pPr>
      <w:r>
        <w:rPr>
          <w:spacing w:val="-10"/>
          <w:sz w:val="21"/>
        </w:rPr>
        <w:t>比功率应符合表</w:t>
      </w:r>
      <w:r>
        <w:rPr>
          <w:spacing w:val="-10"/>
          <w:sz w:val="21"/>
        </w:rPr>
        <w:t xml:space="preserve"> </w:t>
      </w:r>
      <w:r>
        <w:rPr>
          <w:sz w:val="21"/>
        </w:rPr>
        <w:t>3</w:t>
      </w:r>
      <w:r>
        <w:rPr>
          <w:spacing w:val="-13"/>
          <w:sz w:val="21"/>
        </w:rPr>
        <w:t xml:space="preserve"> </w:t>
      </w:r>
      <w:r>
        <w:rPr>
          <w:spacing w:val="-13"/>
          <w:sz w:val="21"/>
        </w:rPr>
        <w:t>的规定。</w:t>
      </w:r>
      <w:r>
        <w:rPr>
          <w:sz w:val="21"/>
        </w:rPr>
        <w:t xml:space="preserve"> </w:t>
      </w:r>
    </w:p>
    <w:p w14:paraId="35758901" w14:textId="77777777" w:rsidR="00A71EEF" w:rsidRDefault="00A71EEF">
      <w:pPr>
        <w:pStyle w:val="a3"/>
        <w:rPr>
          <w:sz w:val="20"/>
        </w:rPr>
      </w:pPr>
    </w:p>
    <w:p w14:paraId="7915B863" w14:textId="77777777" w:rsidR="00A71EEF" w:rsidRDefault="00A71EEF">
      <w:pPr>
        <w:pStyle w:val="a3"/>
        <w:rPr>
          <w:sz w:val="20"/>
        </w:rPr>
      </w:pPr>
    </w:p>
    <w:p w14:paraId="514FA3AD" w14:textId="77777777" w:rsidR="00A71EEF" w:rsidRDefault="00A71EEF">
      <w:pPr>
        <w:pStyle w:val="a3"/>
        <w:spacing w:before="2"/>
        <w:rPr>
          <w:sz w:val="17"/>
        </w:rPr>
      </w:pPr>
    </w:p>
    <w:p w14:paraId="77470B78" w14:textId="77777777" w:rsidR="00A71EEF" w:rsidRDefault="0081115D">
      <w:pPr>
        <w:pStyle w:val="a4"/>
        <w:numPr>
          <w:ilvl w:val="3"/>
          <w:numId w:val="835"/>
        </w:numPr>
        <w:tabs>
          <w:tab w:val="left" w:pos="1583"/>
        </w:tabs>
        <w:ind w:left="1582" w:hanging="743"/>
        <w:rPr>
          <w:sz w:val="19"/>
        </w:rPr>
      </w:pPr>
      <w:r>
        <w:rPr>
          <w:spacing w:val="-9"/>
          <w:sz w:val="21"/>
        </w:rPr>
        <w:t>消防车最高车速和</w:t>
      </w:r>
      <w:r>
        <w:rPr>
          <w:spacing w:val="-9"/>
          <w:sz w:val="21"/>
        </w:rPr>
        <w:t xml:space="preserve"> </w:t>
      </w:r>
      <w:r>
        <w:rPr>
          <w:sz w:val="21"/>
        </w:rPr>
        <w:t>0</w:t>
      </w:r>
      <w:r>
        <w:rPr>
          <w:sz w:val="21"/>
        </w:rPr>
        <w:t>～</w:t>
      </w:r>
      <w:r>
        <w:rPr>
          <w:sz w:val="21"/>
        </w:rPr>
        <w:t>60</w:t>
      </w:r>
      <w:r>
        <w:rPr>
          <w:spacing w:val="3"/>
          <w:sz w:val="21"/>
        </w:rPr>
        <w:t xml:space="preserve"> </w:t>
      </w:r>
      <w:r>
        <w:rPr>
          <w:sz w:val="21"/>
        </w:rPr>
        <w:t>km/h</w:t>
      </w:r>
      <w:r>
        <w:rPr>
          <w:spacing w:val="-14"/>
          <w:sz w:val="21"/>
        </w:rPr>
        <w:t xml:space="preserve"> </w:t>
      </w:r>
      <w:r>
        <w:rPr>
          <w:spacing w:val="-14"/>
          <w:sz w:val="21"/>
        </w:rPr>
        <w:t>加速时间应符合表</w:t>
      </w:r>
      <w:r>
        <w:rPr>
          <w:spacing w:val="-14"/>
          <w:sz w:val="21"/>
        </w:rPr>
        <w:t xml:space="preserve"> </w:t>
      </w:r>
      <w:r>
        <w:rPr>
          <w:sz w:val="21"/>
        </w:rPr>
        <w:t>4</w:t>
      </w:r>
      <w:r>
        <w:rPr>
          <w:spacing w:val="-15"/>
          <w:sz w:val="21"/>
        </w:rPr>
        <w:t xml:space="preserve"> </w:t>
      </w:r>
      <w:r>
        <w:rPr>
          <w:spacing w:val="-15"/>
          <w:sz w:val="21"/>
        </w:rPr>
        <w:t>的规定</w:t>
      </w:r>
      <w:r>
        <w:rPr>
          <w:sz w:val="21"/>
        </w:rPr>
        <w:t>（</w:t>
      </w:r>
      <w:r>
        <w:rPr>
          <w:spacing w:val="-3"/>
          <w:sz w:val="21"/>
        </w:rPr>
        <w:t>机场消防车除外）。</w:t>
      </w:r>
      <w:r>
        <w:rPr>
          <w:sz w:val="21"/>
        </w:rPr>
        <w:t xml:space="preserve"> </w:t>
      </w:r>
    </w:p>
    <w:p w14:paraId="7B9002CF" w14:textId="77777777" w:rsidR="00A71EEF" w:rsidRDefault="00A71EEF">
      <w:pPr>
        <w:pStyle w:val="a3"/>
        <w:rPr>
          <w:sz w:val="18"/>
        </w:rPr>
      </w:pPr>
    </w:p>
    <w:p w14:paraId="5EC8C817" w14:textId="77777777" w:rsidR="00A71EEF" w:rsidRDefault="0081115D">
      <w:pPr>
        <w:pStyle w:val="a4"/>
        <w:numPr>
          <w:ilvl w:val="3"/>
          <w:numId w:val="835"/>
        </w:numPr>
        <w:tabs>
          <w:tab w:val="left" w:pos="1583"/>
        </w:tabs>
        <w:ind w:left="1582" w:hanging="743"/>
        <w:rPr>
          <w:sz w:val="19"/>
        </w:rPr>
      </w:pPr>
      <w:r>
        <w:rPr>
          <w:spacing w:val="-3"/>
          <w:sz w:val="21"/>
        </w:rPr>
        <w:t>消防车的满载最大爬坡度不应小于底盘参数。</w:t>
      </w:r>
      <w:r>
        <w:rPr>
          <w:sz w:val="21"/>
        </w:rPr>
        <w:t xml:space="preserve"> </w:t>
      </w:r>
    </w:p>
    <w:p w14:paraId="57B11529" w14:textId="77777777" w:rsidR="00A71EEF" w:rsidRDefault="00A71EEF">
      <w:pPr>
        <w:pStyle w:val="a3"/>
        <w:spacing w:before="2"/>
        <w:rPr>
          <w:sz w:val="18"/>
        </w:rPr>
      </w:pPr>
    </w:p>
    <w:p w14:paraId="3F85BAEF" w14:textId="77777777" w:rsidR="00A71EEF" w:rsidRDefault="0081115D">
      <w:pPr>
        <w:pStyle w:val="a4"/>
        <w:numPr>
          <w:ilvl w:val="2"/>
          <w:numId w:val="835"/>
        </w:numPr>
        <w:tabs>
          <w:tab w:val="left" w:pos="1371"/>
        </w:tabs>
        <w:ind w:left="1370" w:hanging="531"/>
        <w:rPr>
          <w:sz w:val="21"/>
        </w:rPr>
      </w:pPr>
      <w:r>
        <w:rPr>
          <w:spacing w:val="-3"/>
          <w:sz w:val="21"/>
        </w:rPr>
        <w:t>通过性能</w:t>
      </w:r>
      <w:r>
        <w:rPr>
          <w:sz w:val="21"/>
        </w:rPr>
        <w:t xml:space="preserve"> </w:t>
      </w:r>
    </w:p>
    <w:p w14:paraId="08613207" w14:textId="77777777" w:rsidR="00A71EEF" w:rsidRDefault="00A71EEF">
      <w:pPr>
        <w:pStyle w:val="a3"/>
        <w:rPr>
          <w:sz w:val="20"/>
        </w:rPr>
      </w:pPr>
    </w:p>
    <w:p w14:paraId="13C8E9CC" w14:textId="77777777" w:rsidR="00A71EEF" w:rsidRDefault="00A71EEF">
      <w:pPr>
        <w:pStyle w:val="a3"/>
        <w:rPr>
          <w:sz w:val="20"/>
        </w:rPr>
      </w:pPr>
    </w:p>
    <w:p w14:paraId="1DBDF3E1" w14:textId="77777777" w:rsidR="00A71EEF" w:rsidRDefault="0081115D">
      <w:pPr>
        <w:pStyle w:val="a3"/>
        <w:spacing w:before="5"/>
        <w:rPr>
          <w:sz w:val="12"/>
        </w:rPr>
      </w:pPr>
      <w:r>
        <w:rPr>
          <w:noProof/>
        </w:rPr>
        <w:drawing>
          <wp:anchor distT="0" distB="0" distL="0" distR="0" simplePos="0" relativeHeight="251496960" behindDoc="0" locked="0" layoutInCell="1" allowOverlap="1" wp14:anchorId="7D108ED5" wp14:editId="7F4488C5">
            <wp:simplePos x="0" y="0"/>
            <wp:positionH relativeFrom="page">
              <wp:posOffset>1360805</wp:posOffset>
            </wp:positionH>
            <wp:positionV relativeFrom="paragraph">
              <wp:posOffset>125852</wp:posOffset>
            </wp:positionV>
            <wp:extent cx="5029200" cy="1952625"/>
            <wp:effectExtent l="0" t="0" r="0" b="0"/>
            <wp:wrapTopAndBottom/>
            <wp:docPr id="109"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78.jpeg"/>
                    <pic:cNvPicPr/>
                  </pic:nvPicPr>
                  <pic:blipFill>
                    <a:blip r:embed="rId76" cstate="print"/>
                    <a:stretch>
                      <a:fillRect/>
                    </a:stretch>
                  </pic:blipFill>
                  <pic:spPr>
                    <a:xfrm>
                      <a:off x="0" y="0"/>
                      <a:ext cx="5029200" cy="1952625"/>
                    </a:xfrm>
                    <a:prstGeom prst="rect">
                      <a:avLst/>
                    </a:prstGeom>
                  </pic:spPr>
                </pic:pic>
              </a:graphicData>
            </a:graphic>
          </wp:anchor>
        </w:drawing>
      </w:r>
    </w:p>
    <w:p w14:paraId="1B41BE21" w14:textId="77777777" w:rsidR="00A71EEF" w:rsidRDefault="00A71EEF">
      <w:pPr>
        <w:rPr>
          <w:sz w:val="12"/>
        </w:rPr>
        <w:sectPr w:rsidR="00A71EEF">
          <w:pgSz w:w="11910" w:h="16850"/>
          <w:pgMar w:top="1220" w:right="0" w:bottom="1420" w:left="1260" w:header="0" w:footer="1239" w:gutter="0"/>
          <w:cols w:space="720"/>
        </w:sectPr>
      </w:pPr>
    </w:p>
    <w:p w14:paraId="4427C517" w14:textId="77777777" w:rsidR="00A71EEF" w:rsidRDefault="0081115D">
      <w:pPr>
        <w:pStyle w:val="a4"/>
        <w:numPr>
          <w:ilvl w:val="3"/>
          <w:numId w:val="835"/>
        </w:numPr>
        <w:tabs>
          <w:tab w:val="left" w:pos="1583"/>
        </w:tabs>
        <w:spacing w:before="47" w:line="446" w:lineRule="auto"/>
        <w:ind w:right="1603" w:firstLine="422"/>
        <w:rPr>
          <w:sz w:val="19"/>
        </w:rPr>
      </w:pPr>
      <w:r>
        <w:rPr>
          <w:spacing w:val="-6"/>
          <w:sz w:val="21"/>
        </w:rPr>
        <w:lastRenderedPageBreak/>
        <w:t>消防车的车辆通道圆、车辆外摆值应符合</w:t>
      </w:r>
      <w:r>
        <w:rPr>
          <w:spacing w:val="-6"/>
          <w:sz w:val="21"/>
        </w:rPr>
        <w:t xml:space="preserve"> </w:t>
      </w:r>
      <w:r>
        <w:rPr>
          <w:sz w:val="21"/>
        </w:rPr>
        <w:t>GB</w:t>
      </w:r>
      <w:r>
        <w:rPr>
          <w:spacing w:val="7"/>
          <w:sz w:val="21"/>
        </w:rPr>
        <w:t xml:space="preserve"> </w:t>
      </w:r>
      <w:r>
        <w:rPr>
          <w:sz w:val="21"/>
        </w:rPr>
        <w:t>1589—2004</w:t>
      </w:r>
      <w:r>
        <w:rPr>
          <w:spacing w:val="-34"/>
          <w:sz w:val="21"/>
        </w:rPr>
        <w:t xml:space="preserve"> </w:t>
      </w:r>
      <w:r>
        <w:rPr>
          <w:spacing w:val="-34"/>
          <w:sz w:val="21"/>
        </w:rPr>
        <w:t>中</w:t>
      </w:r>
      <w:r>
        <w:rPr>
          <w:spacing w:val="-34"/>
          <w:sz w:val="21"/>
        </w:rPr>
        <w:t xml:space="preserve"> </w:t>
      </w:r>
      <w:r>
        <w:rPr>
          <w:sz w:val="21"/>
        </w:rPr>
        <w:t>4.1.2.4</w:t>
      </w:r>
      <w:r>
        <w:rPr>
          <w:spacing w:val="-10"/>
          <w:sz w:val="21"/>
        </w:rPr>
        <w:t xml:space="preserve"> </w:t>
      </w:r>
      <w:r>
        <w:rPr>
          <w:spacing w:val="-10"/>
          <w:sz w:val="21"/>
        </w:rPr>
        <w:t>的要求，后</w:t>
      </w:r>
      <w:r>
        <w:rPr>
          <w:spacing w:val="-16"/>
          <w:sz w:val="21"/>
        </w:rPr>
        <w:t>悬应符合</w:t>
      </w:r>
      <w:r>
        <w:rPr>
          <w:spacing w:val="-16"/>
          <w:sz w:val="21"/>
        </w:rPr>
        <w:t xml:space="preserve"> </w:t>
      </w:r>
      <w:r>
        <w:rPr>
          <w:sz w:val="21"/>
        </w:rPr>
        <w:t>GB 7258—2012</w:t>
      </w:r>
      <w:r>
        <w:rPr>
          <w:spacing w:val="-36"/>
          <w:sz w:val="21"/>
        </w:rPr>
        <w:t xml:space="preserve"> </w:t>
      </w:r>
      <w:r>
        <w:rPr>
          <w:spacing w:val="-36"/>
          <w:sz w:val="21"/>
        </w:rPr>
        <w:t>中</w:t>
      </w:r>
      <w:r>
        <w:rPr>
          <w:spacing w:val="-36"/>
          <w:sz w:val="21"/>
        </w:rPr>
        <w:t xml:space="preserve"> </w:t>
      </w:r>
      <w:r>
        <w:rPr>
          <w:sz w:val="21"/>
        </w:rPr>
        <w:t>4.3</w:t>
      </w:r>
      <w:r>
        <w:rPr>
          <w:spacing w:val="-13"/>
          <w:sz w:val="21"/>
        </w:rPr>
        <w:t xml:space="preserve"> </w:t>
      </w:r>
      <w:r>
        <w:rPr>
          <w:spacing w:val="-13"/>
          <w:sz w:val="21"/>
        </w:rPr>
        <w:t>的要求。</w:t>
      </w:r>
      <w:r>
        <w:rPr>
          <w:sz w:val="21"/>
        </w:rPr>
        <w:t xml:space="preserve"> </w:t>
      </w:r>
    </w:p>
    <w:p w14:paraId="44C0D9AC" w14:textId="77777777" w:rsidR="00A71EEF" w:rsidRDefault="00A71EEF">
      <w:pPr>
        <w:pStyle w:val="a3"/>
        <w:rPr>
          <w:sz w:val="20"/>
        </w:rPr>
      </w:pPr>
    </w:p>
    <w:p w14:paraId="356B7EEA" w14:textId="77777777" w:rsidR="00A71EEF" w:rsidRDefault="00A71EEF">
      <w:pPr>
        <w:pStyle w:val="a3"/>
        <w:rPr>
          <w:sz w:val="20"/>
        </w:rPr>
      </w:pPr>
    </w:p>
    <w:p w14:paraId="77F0B244" w14:textId="77777777" w:rsidR="00A71EEF" w:rsidRDefault="00A71EEF">
      <w:pPr>
        <w:pStyle w:val="a3"/>
        <w:rPr>
          <w:sz w:val="20"/>
        </w:rPr>
      </w:pPr>
    </w:p>
    <w:p w14:paraId="67F3E40B" w14:textId="77777777" w:rsidR="00A71EEF" w:rsidRDefault="00A71EEF">
      <w:pPr>
        <w:pStyle w:val="a3"/>
        <w:rPr>
          <w:sz w:val="20"/>
        </w:rPr>
      </w:pPr>
    </w:p>
    <w:p w14:paraId="12807841" w14:textId="77777777" w:rsidR="00A71EEF" w:rsidRDefault="00A71EEF">
      <w:pPr>
        <w:pStyle w:val="a3"/>
        <w:rPr>
          <w:sz w:val="20"/>
        </w:rPr>
      </w:pPr>
    </w:p>
    <w:p w14:paraId="65920B8F" w14:textId="77777777" w:rsidR="00A71EEF" w:rsidRDefault="00A71EEF">
      <w:pPr>
        <w:pStyle w:val="a3"/>
        <w:rPr>
          <w:sz w:val="20"/>
        </w:rPr>
      </w:pPr>
    </w:p>
    <w:p w14:paraId="2ED264C3" w14:textId="77777777" w:rsidR="00A71EEF" w:rsidRDefault="00A71EEF">
      <w:pPr>
        <w:pStyle w:val="a3"/>
        <w:rPr>
          <w:sz w:val="20"/>
        </w:rPr>
      </w:pPr>
    </w:p>
    <w:p w14:paraId="58705153" w14:textId="77777777" w:rsidR="00A71EEF" w:rsidRDefault="00A71EEF">
      <w:pPr>
        <w:pStyle w:val="a3"/>
        <w:rPr>
          <w:sz w:val="20"/>
        </w:rPr>
      </w:pPr>
    </w:p>
    <w:p w14:paraId="67ECB7BD" w14:textId="77777777" w:rsidR="00A71EEF" w:rsidRDefault="00A71EEF">
      <w:pPr>
        <w:pStyle w:val="a3"/>
        <w:spacing w:before="6"/>
        <w:rPr>
          <w:sz w:val="29"/>
        </w:rPr>
      </w:pPr>
    </w:p>
    <w:p w14:paraId="7F51BEA6" w14:textId="77777777" w:rsidR="00A71EEF" w:rsidRDefault="0081115D">
      <w:pPr>
        <w:pStyle w:val="a4"/>
        <w:numPr>
          <w:ilvl w:val="3"/>
          <w:numId w:val="835"/>
        </w:numPr>
        <w:tabs>
          <w:tab w:val="left" w:pos="1583"/>
        </w:tabs>
        <w:spacing w:before="72"/>
        <w:ind w:left="1582" w:hanging="743"/>
        <w:rPr>
          <w:sz w:val="19"/>
        </w:rPr>
      </w:pPr>
      <w:r>
        <w:rPr>
          <w:noProof/>
        </w:rPr>
        <w:drawing>
          <wp:anchor distT="0" distB="0" distL="0" distR="0" simplePos="0" relativeHeight="251497984" behindDoc="0" locked="0" layoutInCell="1" allowOverlap="1" wp14:anchorId="033FF677" wp14:editId="47DEE150">
            <wp:simplePos x="0" y="0"/>
            <wp:positionH relativeFrom="page">
              <wp:posOffset>1217930</wp:posOffset>
            </wp:positionH>
            <wp:positionV relativeFrom="paragraph">
              <wp:posOffset>260603</wp:posOffset>
            </wp:positionV>
            <wp:extent cx="5053629" cy="2089975"/>
            <wp:effectExtent l="0" t="0" r="0" b="0"/>
            <wp:wrapTopAndBottom/>
            <wp:docPr id="111"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79.jpeg"/>
                    <pic:cNvPicPr/>
                  </pic:nvPicPr>
                  <pic:blipFill>
                    <a:blip r:embed="rId77" cstate="print"/>
                    <a:stretch>
                      <a:fillRect/>
                    </a:stretch>
                  </pic:blipFill>
                  <pic:spPr>
                    <a:xfrm>
                      <a:off x="0" y="0"/>
                      <a:ext cx="5053629" cy="2089975"/>
                    </a:xfrm>
                    <a:prstGeom prst="rect">
                      <a:avLst/>
                    </a:prstGeom>
                  </pic:spPr>
                </pic:pic>
              </a:graphicData>
            </a:graphic>
          </wp:anchor>
        </w:drawing>
      </w:r>
      <w:r>
        <w:rPr>
          <w:spacing w:val="-7"/>
          <w:sz w:val="21"/>
        </w:rPr>
        <w:t>消防车的外廓尺寸应符合表</w:t>
      </w:r>
      <w:r>
        <w:rPr>
          <w:spacing w:val="-7"/>
          <w:sz w:val="21"/>
        </w:rPr>
        <w:t xml:space="preserve"> </w:t>
      </w:r>
      <w:r>
        <w:rPr>
          <w:sz w:val="21"/>
        </w:rPr>
        <w:t>5</w:t>
      </w:r>
      <w:r>
        <w:rPr>
          <w:spacing w:val="-13"/>
          <w:sz w:val="21"/>
        </w:rPr>
        <w:t xml:space="preserve"> </w:t>
      </w:r>
      <w:r>
        <w:rPr>
          <w:spacing w:val="-13"/>
          <w:sz w:val="21"/>
        </w:rPr>
        <w:t>的规定。</w:t>
      </w:r>
      <w:r>
        <w:rPr>
          <w:sz w:val="21"/>
        </w:rPr>
        <w:t xml:space="preserve"> </w:t>
      </w:r>
    </w:p>
    <w:p w14:paraId="7E0BE335" w14:textId="77777777" w:rsidR="00A71EEF" w:rsidRDefault="0081115D">
      <w:pPr>
        <w:pStyle w:val="a4"/>
        <w:numPr>
          <w:ilvl w:val="2"/>
          <w:numId w:val="835"/>
        </w:numPr>
        <w:tabs>
          <w:tab w:val="left" w:pos="1370"/>
        </w:tabs>
        <w:spacing w:before="165"/>
        <w:ind w:hanging="530"/>
        <w:rPr>
          <w:sz w:val="21"/>
        </w:rPr>
      </w:pPr>
      <w:r>
        <w:rPr>
          <w:spacing w:val="-3"/>
          <w:sz w:val="21"/>
        </w:rPr>
        <w:t>制动性能</w:t>
      </w:r>
      <w:r>
        <w:rPr>
          <w:sz w:val="21"/>
        </w:rPr>
        <w:t xml:space="preserve"> </w:t>
      </w:r>
    </w:p>
    <w:p w14:paraId="291860AA" w14:textId="77777777" w:rsidR="00A71EEF" w:rsidRDefault="00A71EEF">
      <w:pPr>
        <w:pStyle w:val="a3"/>
        <w:spacing w:before="1"/>
        <w:rPr>
          <w:sz w:val="18"/>
        </w:rPr>
      </w:pPr>
    </w:p>
    <w:p w14:paraId="27412FB4" w14:textId="77777777" w:rsidR="00A71EEF" w:rsidRDefault="0081115D">
      <w:pPr>
        <w:pStyle w:val="a4"/>
        <w:numPr>
          <w:ilvl w:val="3"/>
          <w:numId w:val="835"/>
        </w:numPr>
        <w:tabs>
          <w:tab w:val="left" w:pos="1576"/>
        </w:tabs>
        <w:spacing w:before="1"/>
        <w:ind w:left="1575"/>
        <w:rPr>
          <w:sz w:val="19"/>
        </w:rPr>
      </w:pPr>
      <w:r>
        <w:rPr>
          <w:spacing w:val="-8"/>
          <w:sz w:val="21"/>
        </w:rPr>
        <w:t>行车制动性能应符合</w:t>
      </w:r>
      <w:r>
        <w:rPr>
          <w:spacing w:val="-8"/>
          <w:sz w:val="21"/>
        </w:rPr>
        <w:t xml:space="preserve"> </w:t>
      </w:r>
      <w:r>
        <w:rPr>
          <w:sz w:val="21"/>
        </w:rPr>
        <w:t>GB</w:t>
      </w:r>
      <w:r>
        <w:rPr>
          <w:spacing w:val="4"/>
          <w:sz w:val="21"/>
        </w:rPr>
        <w:t xml:space="preserve"> </w:t>
      </w:r>
      <w:r>
        <w:rPr>
          <w:sz w:val="21"/>
        </w:rPr>
        <w:t>7258—2012</w:t>
      </w:r>
      <w:r>
        <w:rPr>
          <w:spacing w:val="-35"/>
          <w:sz w:val="21"/>
        </w:rPr>
        <w:t xml:space="preserve"> </w:t>
      </w:r>
      <w:r>
        <w:rPr>
          <w:spacing w:val="-35"/>
          <w:sz w:val="21"/>
        </w:rPr>
        <w:t>中</w:t>
      </w:r>
      <w:r>
        <w:rPr>
          <w:spacing w:val="-35"/>
          <w:sz w:val="21"/>
        </w:rPr>
        <w:t xml:space="preserve"> </w:t>
      </w:r>
      <w:r>
        <w:rPr>
          <w:sz w:val="21"/>
        </w:rPr>
        <w:t>7.2</w:t>
      </w:r>
      <w:r>
        <w:rPr>
          <w:spacing w:val="-13"/>
          <w:sz w:val="21"/>
        </w:rPr>
        <w:t xml:space="preserve"> </w:t>
      </w:r>
      <w:r>
        <w:rPr>
          <w:spacing w:val="-13"/>
          <w:sz w:val="21"/>
        </w:rPr>
        <w:t>的规定。</w:t>
      </w:r>
      <w:r>
        <w:rPr>
          <w:sz w:val="21"/>
        </w:rPr>
        <w:t xml:space="preserve"> </w:t>
      </w:r>
    </w:p>
    <w:p w14:paraId="0ACFCCFB" w14:textId="77777777" w:rsidR="00A71EEF" w:rsidRDefault="00A71EEF">
      <w:pPr>
        <w:pStyle w:val="a3"/>
        <w:spacing w:before="12"/>
        <w:rPr>
          <w:sz w:val="17"/>
        </w:rPr>
      </w:pPr>
    </w:p>
    <w:p w14:paraId="60F782B0" w14:textId="77777777" w:rsidR="00A71EEF" w:rsidRDefault="0081115D">
      <w:pPr>
        <w:pStyle w:val="a4"/>
        <w:numPr>
          <w:ilvl w:val="3"/>
          <w:numId w:val="835"/>
        </w:numPr>
        <w:tabs>
          <w:tab w:val="left" w:pos="1576"/>
        </w:tabs>
        <w:ind w:left="1575"/>
        <w:rPr>
          <w:sz w:val="19"/>
        </w:rPr>
      </w:pPr>
      <w:r>
        <w:rPr>
          <w:spacing w:val="-8"/>
          <w:sz w:val="21"/>
        </w:rPr>
        <w:t>应急制动性能应符合</w:t>
      </w:r>
      <w:r>
        <w:rPr>
          <w:spacing w:val="-8"/>
          <w:sz w:val="21"/>
        </w:rPr>
        <w:t xml:space="preserve"> </w:t>
      </w:r>
      <w:r>
        <w:rPr>
          <w:sz w:val="21"/>
        </w:rPr>
        <w:t>GB</w:t>
      </w:r>
      <w:r>
        <w:rPr>
          <w:spacing w:val="4"/>
          <w:sz w:val="21"/>
        </w:rPr>
        <w:t xml:space="preserve"> </w:t>
      </w:r>
      <w:r>
        <w:rPr>
          <w:sz w:val="21"/>
        </w:rPr>
        <w:t>7258—2012</w:t>
      </w:r>
      <w:r>
        <w:rPr>
          <w:spacing w:val="-35"/>
          <w:sz w:val="21"/>
        </w:rPr>
        <w:t xml:space="preserve"> </w:t>
      </w:r>
      <w:r>
        <w:rPr>
          <w:spacing w:val="-35"/>
          <w:sz w:val="21"/>
        </w:rPr>
        <w:t>中</w:t>
      </w:r>
      <w:r>
        <w:rPr>
          <w:spacing w:val="-35"/>
          <w:sz w:val="21"/>
        </w:rPr>
        <w:t xml:space="preserve"> </w:t>
      </w:r>
      <w:r>
        <w:rPr>
          <w:sz w:val="21"/>
        </w:rPr>
        <w:t>7.3</w:t>
      </w:r>
      <w:r>
        <w:rPr>
          <w:spacing w:val="-13"/>
          <w:sz w:val="21"/>
        </w:rPr>
        <w:t xml:space="preserve"> </w:t>
      </w:r>
      <w:r>
        <w:rPr>
          <w:spacing w:val="-13"/>
          <w:sz w:val="21"/>
        </w:rPr>
        <w:t>的规定。</w:t>
      </w:r>
      <w:r>
        <w:rPr>
          <w:sz w:val="21"/>
        </w:rPr>
        <w:t xml:space="preserve"> </w:t>
      </w:r>
    </w:p>
    <w:p w14:paraId="125D7B0C" w14:textId="77777777" w:rsidR="00A71EEF" w:rsidRDefault="00A71EEF">
      <w:pPr>
        <w:pStyle w:val="a3"/>
        <w:spacing w:before="12"/>
        <w:rPr>
          <w:sz w:val="17"/>
        </w:rPr>
      </w:pPr>
    </w:p>
    <w:p w14:paraId="27463E6C" w14:textId="77777777" w:rsidR="00A71EEF" w:rsidRDefault="0081115D">
      <w:pPr>
        <w:pStyle w:val="a4"/>
        <w:numPr>
          <w:ilvl w:val="3"/>
          <w:numId w:val="835"/>
        </w:numPr>
        <w:tabs>
          <w:tab w:val="left" w:pos="1576"/>
        </w:tabs>
        <w:ind w:left="1575"/>
        <w:rPr>
          <w:sz w:val="19"/>
        </w:rPr>
      </w:pPr>
      <w:r>
        <w:rPr>
          <w:spacing w:val="-8"/>
          <w:sz w:val="21"/>
        </w:rPr>
        <w:t>驻车制动性能应符合</w:t>
      </w:r>
      <w:r>
        <w:rPr>
          <w:spacing w:val="-8"/>
          <w:sz w:val="21"/>
        </w:rPr>
        <w:t xml:space="preserve"> </w:t>
      </w:r>
      <w:r>
        <w:rPr>
          <w:sz w:val="21"/>
        </w:rPr>
        <w:t>GB</w:t>
      </w:r>
      <w:r>
        <w:rPr>
          <w:spacing w:val="4"/>
          <w:sz w:val="21"/>
        </w:rPr>
        <w:t xml:space="preserve"> </w:t>
      </w:r>
      <w:r>
        <w:rPr>
          <w:sz w:val="21"/>
        </w:rPr>
        <w:t>7258—2012</w:t>
      </w:r>
      <w:r>
        <w:rPr>
          <w:spacing w:val="-35"/>
          <w:sz w:val="21"/>
        </w:rPr>
        <w:t xml:space="preserve"> </w:t>
      </w:r>
      <w:r>
        <w:rPr>
          <w:spacing w:val="-35"/>
          <w:sz w:val="21"/>
        </w:rPr>
        <w:t>中</w:t>
      </w:r>
      <w:r>
        <w:rPr>
          <w:spacing w:val="-35"/>
          <w:sz w:val="21"/>
        </w:rPr>
        <w:t xml:space="preserve"> </w:t>
      </w:r>
      <w:r>
        <w:rPr>
          <w:sz w:val="21"/>
        </w:rPr>
        <w:t>7.4</w:t>
      </w:r>
      <w:r>
        <w:rPr>
          <w:spacing w:val="-13"/>
          <w:sz w:val="21"/>
        </w:rPr>
        <w:t xml:space="preserve"> </w:t>
      </w:r>
      <w:r>
        <w:rPr>
          <w:spacing w:val="-13"/>
          <w:sz w:val="21"/>
        </w:rPr>
        <w:t>的规定。</w:t>
      </w:r>
      <w:r>
        <w:rPr>
          <w:sz w:val="21"/>
        </w:rPr>
        <w:t xml:space="preserve"> </w:t>
      </w:r>
    </w:p>
    <w:p w14:paraId="4CD57E84" w14:textId="77777777" w:rsidR="00A71EEF" w:rsidRDefault="00A71EEF">
      <w:pPr>
        <w:pStyle w:val="a3"/>
        <w:spacing w:before="2"/>
        <w:rPr>
          <w:sz w:val="18"/>
        </w:rPr>
      </w:pPr>
    </w:p>
    <w:p w14:paraId="35635A28" w14:textId="77777777" w:rsidR="00A71EEF" w:rsidRDefault="0081115D">
      <w:pPr>
        <w:pStyle w:val="a4"/>
        <w:numPr>
          <w:ilvl w:val="2"/>
          <w:numId w:val="835"/>
        </w:numPr>
        <w:tabs>
          <w:tab w:val="left" w:pos="1370"/>
        </w:tabs>
        <w:ind w:hanging="530"/>
        <w:rPr>
          <w:sz w:val="21"/>
        </w:rPr>
      </w:pPr>
      <w:r>
        <w:rPr>
          <w:spacing w:val="-3"/>
          <w:sz w:val="21"/>
        </w:rPr>
        <w:t>轴荷和质量参数</w:t>
      </w:r>
      <w:r>
        <w:rPr>
          <w:sz w:val="21"/>
        </w:rPr>
        <w:t xml:space="preserve"> </w:t>
      </w:r>
    </w:p>
    <w:p w14:paraId="3F867FF5" w14:textId="77777777" w:rsidR="00A71EEF" w:rsidRDefault="00A71EEF">
      <w:pPr>
        <w:pStyle w:val="a3"/>
        <w:rPr>
          <w:sz w:val="18"/>
        </w:rPr>
      </w:pPr>
    </w:p>
    <w:p w14:paraId="25E7A229" w14:textId="77777777" w:rsidR="00A71EEF" w:rsidRDefault="0081115D">
      <w:pPr>
        <w:pStyle w:val="a4"/>
        <w:numPr>
          <w:ilvl w:val="3"/>
          <w:numId w:val="835"/>
        </w:numPr>
        <w:tabs>
          <w:tab w:val="left" w:pos="1576"/>
        </w:tabs>
        <w:spacing w:line="446" w:lineRule="auto"/>
        <w:ind w:right="1608" w:firstLine="419"/>
        <w:rPr>
          <w:sz w:val="19"/>
        </w:rPr>
      </w:pPr>
      <w:r>
        <w:rPr>
          <w:spacing w:val="-7"/>
          <w:sz w:val="21"/>
        </w:rPr>
        <w:t>消防车轴荷应符合表</w:t>
      </w:r>
      <w:r>
        <w:rPr>
          <w:spacing w:val="-7"/>
          <w:sz w:val="21"/>
        </w:rPr>
        <w:t xml:space="preserve"> </w:t>
      </w:r>
      <w:r>
        <w:rPr>
          <w:sz w:val="21"/>
        </w:rPr>
        <w:t>6</w:t>
      </w:r>
      <w:r>
        <w:rPr>
          <w:spacing w:val="-8"/>
          <w:sz w:val="21"/>
        </w:rPr>
        <w:t xml:space="preserve"> </w:t>
      </w:r>
      <w:r>
        <w:rPr>
          <w:spacing w:val="-8"/>
          <w:sz w:val="21"/>
        </w:rPr>
        <w:t>的规定，并不应超过国家公布的底盘厂公告允许的最大轴</w:t>
      </w:r>
      <w:r>
        <w:rPr>
          <w:spacing w:val="-5"/>
          <w:sz w:val="21"/>
        </w:rPr>
        <w:t>荷。消防车轴荷分配比例应与底盘规定的轴荷分配比例相符。</w:t>
      </w:r>
      <w:r>
        <w:rPr>
          <w:sz w:val="21"/>
        </w:rPr>
        <w:t xml:space="preserve"> </w:t>
      </w:r>
    </w:p>
    <w:p w14:paraId="4244D5A9" w14:textId="77777777" w:rsidR="00A71EEF" w:rsidRDefault="0081115D">
      <w:pPr>
        <w:pStyle w:val="a3"/>
        <w:ind w:left="748"/>
        <w:rPr>
          <w:sz w:val="20"/>
        </w:rPr>
      </w:pPr>
      <w:r>
        <w:rPr>
          <w:noProof/>
          <w:sz w:val="20"/>
        </w:rPr>
        <w:drawing>
          <wp:inline distT="0" distB="0" distL="0" distR="0" wp14:anchorId="4C7688BD" wp14:editId="7A68A0DC">
            <wp:extent cx="4903942" cy="1154430"/>
            <wp:effectExtent l="0" t="0" r="0" b="0"/>
            <wp:docPr id="113"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80.jpeg"/>
                    <pic:cNvPicPr/>
                  </pic:nvPicPr>
                  <pic:blipFill>
                    <a:blip r:embed="rId78" cstate="print"/>
                    <a:stretch>
                      <a:fillRect/>
                    </a:stretch>
                  </pic:blipFill>
                  <pic:spPr>
                    <a:xfrm>
                      <a:off x="0" y="0"/>
                      <a:ext cx="4903942" cy="1154430"/>
                    </a:xfrm>
                    <a:prstGeom prst="rect">
                      <a:avLst/>
                    </a:prstGeom>
                  </pic:spPr>
                </pic:pic>
              </a:graphicData>
            </a:graphic>
          </wp:inline>
        </w:drawing>
      </w:r>
    </w:p>
    <w:p w14:paraId="65C59B45" w14:textId="77777777" w:rsidR="00A71EEF" w:rsidRDefault="0081115D">
      <w:pPr>
        <w:pStyle w:val="a3"/>
        <w:spacing w:before="177"/>
        <w:ind w:right="912"/>
        <w:jc w:val="center"/>
      </w:pPr>
      <w:r>
        <w:t xml:space="preserve"> </w:t>
      </w:r>
    </w:p>
    <w:p w14:paraId="68E28EF7" w14:textId="77777777" w:rsidR="00A71EEF" w:rsidRDefault="00A71EEF">
      <w:pPr>
        <w:jc w:val="center"/>
        <w:sectPr w:rsidR="00A71EEF">
          <w:pgSz w:w="11910" w:h="16850"/>
          <w:pgMar w:top="1220" w:right="0" w:bottom="1420" w:left="1260" w:header="0" w:footer="1239" w:gutter="0"/>
          <w:cols w:space="720"/>
        </w:sectPr>
      </w:pPr>
    </w:p>
    <w:p w14:paraId="56937EF5" w14:textId="77777777" w:rsidR="00A71EEF" w:rsidRDefault="0081115D">
      <w:pPr>
        <w:pStyle w:val="a4"/>
        <w:numPr>
          <w:ilvl w:val="3"/>
          <w:numId w:val="835"/>
        </w:numPr>
        <w:tabs>
          <w:tab w:val="left" w:pos="1576"/>
        </w:tabs>
        <w:spacing w:before="47" w:line="446" w:lineRule="auto"/>
        <w:ind w:right="1450" w:firstLine="419"/>
        <w:rPr>
          <w:sz w:val="19"/>
        </w:rPr>
      </w:pPr>
      <w:r>
        <w:rPr>
          <w:spacing w:val="-5"/>
          <w:sz w:val="21"/>
        </w:rPr>
        <w:lastRenderedPageBreak/>
        <w:t>消防车总质量不应大于底盘厂公告允许总质量的</w:t>
      </w:r>
      <w:r>
        <w:rPr>
          <w:spacing w:val="-5"/>
          <w:sz w:val="21"/>
        </w:rPr>
        <w:t xml:space="preserve"> </w:t>
      </w:r>
      <w:r>
        <w:rPr>
          <w:sz w:val="21"/>
        </w:rPr>
        <w:t>97</w:t>
      </w:r>
      <w:r>
        <w:rPr>
          <w:spacing w:val="-3"/>
          <w:sz w:val="21"/>
        </w:rPr>
        <w:t>%</w:t>
      </w:r>
      <w:r>
        <w:rPr>
          <w:spacing w:val="-3"/>
          <w:sz w:val="21"/>
        </w:rPr>
        <w:t>。测量消防车总质量，消防车</w:t>
      </w:r>
      <w:r>
        <w:rPr>
          <w:spacing w:val="-5"/>
          <w:sz w:val="21"/>
        </w:rPr>
        <w:t>器材箱内没有器材时，</w:t>
      </w:r>
      <w:r>
        <w:rPr>
          <w:spacing w:val="-5"/>
          <w:sz w:val="21"/>
        </w:rPr>
        <w:t xml:space="preserve"> </w:t>
      </w:r>
      <w:r>
        <w:rPr>
          <w:spacing w:val="-5"/>
          <w:sz w:val="21"/>
        </w:rPr>
        <w:t>器材箱内面积相加后按</w:t>
      </w:r>
      <w:r>
        <w:rPr>
          <w:spacing w:val="-5"/>
          <w:sz w:val="21"/>
        </w:rPr>
        <w:t xml:space="preserve"> </w:t>
      </w:r>
      <w:r>
        <w:rPr>
          <w:sz w:val="21"/>
        </w:rPr>
        <w:t>100</w:t>
      </w:r>
      <w:r>
        <w:rPr>
          <w:spacing w:val="9"/>
          <w:sz w:val="21"/>
        </w:rPr>
        <w:t xml:space="preserve"> </w:t>
      </w:r>
      <w:r>
        <w:rPr>
          <w:sz w:val="21"/>
        </w:rPr>
        <w:t>kg/</w:t>
      </w:r>
      <w:r>
        <w:rPr>
          <w:color w:val="333333"/>
          <w:spacing w:val="-3"/>
          <w:sz w:val="21"/>
        </w:rPr>
        <w:t>㎡</w:t>
      </w:r>
      <w:r>
        <w:rPr>
          <w:spacing w:val="-3"/>
          <w:sz w:val="21"/>
        </w:rPr>
        <w:t>配重；实测总质量小于生产企业设计总质量时，应按生产企业设计总质量配重。</w:t>
      </w:r>
      <w:r>
        <w:rPr>
          <w:sz w:val="21"/>
        </w:rPr>
        <w:t xml:space="preserve"> </w:t>
      </w:r>
    </w:p>
    <w:p w14:paraId="737A660D" w14:textId="77777777" w:rsidR="00A71EEF" w:rsidRDefault="0081115D">
      <w:pPr>
        <w:pStyle w:val="a4"/>
        <w:numPr>
          <w:ilvl w:val="2"/>
          <w:numId w:val="835"/>
        </w:numPr>
        <w:tabs>
          <w:tab w:val="left" w:pos="1370"/>
        </w:tabs>
        <w:spacing w:line="268" w:lineRule="exact"/>
        <w:ind w:hanging="530"/>
        <w:rPr>
          <w:sz w:val="21"/>
        </w:rPr>
      </w:pPr>
      <w:r>
        <w:rPr>
          <w:spacing w:val="-3"/>
          <w:sz w:val="21"/>
        </w:rPr>
        <w:t>安全性</w:t>
      </w:r>
      <w:r>
        <w:rPr>
          <w:sz w:val="21"/>
        </w:rPr>
        <w:t xml:space="preserve"> </w:t>
      </w:r>
    </w:p>
    <w:p w14:paraId="39A9F3E3" w14:textId="77777777" w:rsidR="00A71EEF" w:rsidRDefault="00A71EEF">
      <w:pPr>
        <w:pStyle w:val="a3"/>
        <w:rPr>
          <w:sz w:val="18"/>
        </w:rPr>
      </w:pPr>
    </w:p>
    <w:p w14:paraId="47FE2C59" w14:textId="77777777" w:rsidR="00A71EEF" w:rsidRDefault="0081115D">
      <w:pPr>
        <w:pStyle w:val="a4"/>
        <w:numPr>
          <w:ilvl w:val="3"/>
          <w:numId w:val="835"/>
        </w:numPr>
        <w:tabs>
          <w:tab w:val="left" w:pos="1576"/>
        </w:tabs>
        <w:ind w:left="1575"/>
        <w:rPr>
          <w:sz w:val="19"/>
        </w:rPr>
      </w:pPr>
      <w:r>
        <w:rPr>
          <w:spacing w:val="-3"/>
          <w:sz w:val="21"/>
        </w:rPr>
        <w:t>安全防护性能</w:t>
      </w:r>
      <w:r>
        <w:rPr>
          <w:sz w:val="21"/>
        </w:rPr>
        <w:t xml:space="preserve"> </w:t>
      </w:r>
    </w:p>
    <w:p w14:paraId="7CF826D9" w14:textId="77777777" w:rsidR="00A71EEF" w:rsidRDefault="00A71EEF">
      <w:pPr>
        <w:pStyle w:val="a3"/>
        <w:spacing w:before="12"/>
        <w:rPr>
          <w:sz w:val="17"/>
        </w:rPr>
      </w:pPr>
    </w:p>
    <w:p w14:paraId="56F74ED6" w14:textId="77777777" w:rsidR="00A71EEF" w:rsidRDefault="0081115D">
      <w:pPr>
        <w:pStyle w:val="a4"/>
        <w:numPr>
          <w:ilvl w:val="4"/>
          <w:numId w:val="835"/>
        </w:numPr>
        <w:tabs>
          <w:tab w:val="left" w:pos="1788"/>
        </w:tabs>
        <w:spacing w:line="446" w:lineRule="auto"/>
        <w:ind w:right="1505" w:firstLine="419"/>
        <w:rPr>
          <w:sz w:val="21"/>
        </w:rPr>
      </w:pPr>
      <w:r>
        <w:rPr>
          <w:spacing w:val="-7"/>
          <w:sz w:val="21"/>
        </w:rPr>
        <w:t>消防车的后视野应符合</w:t>
      </w:r>
      <w:r>
        <w:rPr>
          <w:spacing w:val="-7"/>
          <w:sz w:val="21"/>
        </w:rPr>
        <w:t xml:space="preserve"> </w:t>
      </w:r>
      <w:r>
        <w:rPr>
          <w:sz w:val="21"/>
        </w:rPr>
        <w:t>GB</w:t>
      </w:r>
      <w:r>
        <w:rPr>
          <w:spacing w:val="12"/>
          <w:sz w:val="21"/>
        </w:rPr>
        <w:t xml:space="preserve"> </w:t>
      </w:r>
      <w:r>
        <w:rPr>
          <w:sz w:val="21"/>
        </w:rPr>
        <w:t>15084</w:t>
      </w:r>
      <w:r>
        <w:rPr>
          <w:spacing w:val="-8"/>
          <w:sz w:val="21"/>
        </w:rPr>
        <w:t xml:space="preserve"> </w:t>
      </w:r>
      <w:r>
        <w:rPr>
          <w:spacing w:val="-8"/>
          <w:sz w:val="21"/>
        </w:rPr>
        <w:t>的要求；外部照明和信号装置的安装要求应符</w:t>
      </w:r>
      <w:r>
        <w:rPr>
          <w:spacing w:val="-31"/>
          <w:sz w:val="21"/>
        </w:rPr>
        <w:t>合</w:t>
      </w:r>
      <w:r>
        <w:rPr>
          <w:spacing w:val="-31"/>
          <w:sz w:val="21"/>
        </w:rPr>
        <w:t xml:space="preserve"> </w:t>
      </w:r>
      <w:r>
        <w:rPr>
          <w:sz w:val="21"/>
        </w:rPr>
        <w:t>GB</w:t>
      </w:r>
      <w:r>
        <w:rPr>
          <w:spacing w:val="-3"/>
          <w:sz w:val="21"/>
        </w:rPr>
        <w:t xml:space="preserve"> </w:t>
      </w:r>
      <w:r>
        <w:rPr>
          <w:sz w:val="21"/>
        </w:rPr>
        <w:t>4785—2007</w:t>
      </w:r>
      <w:r>
        <w:rPr>
          <w:spacing w:val="-12"/>
          <w:sz w:val="21"/>
        </w:rPr>
        <w:t xml:space="preserve"> </w:t>
      </w:r>
      <w:r>
        <w:rPr>
          <w:spacing w:val="-12"/>
          <w:sz w:val="21"/>
        </w:rPr>
        <w:t>的规定。</w:t>
      </w:r>
      <w:r>
        <w:rPr>
          <w:spacing w:val="-12"/>
          <w:sz w:val="21"/>
        </w:rPr>
        <w:t xml:space="preserve"> </w:t>
      </w:r>
    </w:p>
    <w:p w14:paraId="68985942" w14:textId="77777777" w:rsidR="00A71EEF" w:rsidRDefault="0081115D">
      <w:pPr>
        <w:pStyle w:val="a4"/>
        <w:numPr>
          <w:ilvl w:val="4"/>
          <w:numId w:val="835"/>
        </w:numPr>
        <w:tabs>
          <w:tab w:val="left" w:pos="1788"/>
        </w:tabs>
        <w:spacing w:before="1"/>
        <w:ind w:left="1787" w:hanging="950"/>
        <w:rPr>
          <w:sz w:val="21"/>
        </w:rPr>
      </w:pPr>
      <w:r>
        <w:rPr>
          <w:spacing w:val="-7"/>
          <w:sz w:val="21"/>
        </w:rPr>
        <w:t>消防车内饰材料的燃烧特性应符合</w:t>
      </w:r>
      <w:r>
        <w:rPr>
          <w:spacing w:val="-7"/>
          <w:sz w:val="21"/>
        </w:rPr>
        <w:t xml:space="preserve"> </w:t>
      </w:r>
      <w:r>
        <w:rPr>
          <w:sz w:val="21"/>
        </w:rPr>
        <w:t>GB</w:t>
      </w:r>
      <w:r>
        <w:rPr>
          <w:spacing w:val="-2"/>
          <w:sz w:val="21"/>
        </w:rPr>
        <w:t xml:space="preserve"> </w:t>
      </w:r>
      <w:r>
        <w:rPr>
          <w:sz w:val="21"/>
        </w:rPr>
        <w:t>8410</w:t>
      </w:r>
      <w:r>
        <w:rPr>
          <w:spacing w:val="-13"/>
          <w:sz w:val="21"/>
        </w:rPr>
        <w:t xml:space="preserve"> </w:t>
      </w:r>
      <w:r>
        <w:rPr>
          <w:spacing w:val="-13"/>
          <w:sz w:val="21"/>
        </w:rPr>
        <w:t>的规定。</w:t>
      </w:r>
      <w:r>
        <w:rPr>
          <w:sz w:val="21"/>
        </w:rPr>
        <w:t xml:space="preserve"> </w:t>
      </w:r>
    </w:p>
    <w:p w14:paraId="37A519EF" w14:textId="77777777" w:rsidR="00A71EEF" w:rsidRDefault="00A71EEF">
      <w:pPr>
        <w:pStyle w:val="a3"/>
        <w:spacing w:before="12"/>
        <w:rPr>
          <w:sz w:val="17"/>
        </w:rPr>
      </w:pPr>
    </w:p>
    <w:p w14:paraId="53E0C150" w14:textId="77777777" w:rsidR="00A71EEF" w:rsidRDefault="0081115D">
      <w:pPr>
        <w:pStyle w:val="a4"/>
        <w:numPr>
          <w:ilvl w:val="4"/>
          <w:numId w:val="835"/>
        </w:numPr>
        <w:tabs>
          <w:tab w:val="left" w:pos="1788"/>
        </w:tabs>
        <w:ind w:left="1787" w:hanging="950"/>
        <w:rPr>
          <w:sz w:val="21"/>
        </w:rPr>
      </w:pPr>
      <w:r>
        <w:rPr>
          <w:spacing w:val="-6"/>
          <w:sz w:val="21"/>
        </w:rPr>
        <w:t>消防车燃油系统及排气管口指向应符合</w:t>
      </w:r>
      <w:r>
        <w:rPr>
          <w:spacing w:val="-6"/>
          <w:sz w:val="21"/>
        </w:rPr>
        <w:t xml:space="preserve"> </w:t>
      </w:r>
      <w:r>
        <w:rPr>
          <w:sz w:val="21"/>
        </w:rPr>
        <w:t>GB</w:t>
      </w:r>
      <w:r>
        <w:rPr>
          <w:spacing w:val="2"/>
          <w:sz w:val="21"/>
        </w:rPr>
        <w:t xml:space="preserve"> </w:t>
      </w:r>
      <w:r>
        <w:rPr>
          <w:sz w:val="21"/>
        </w:rPr>
        <w:t>7258—2012</w:t>
      </w:r>
      <w:r>
        <w:rPr>
          <w:spacing w:val="-36"/>
          <w:sz w:val="21"/>
        </w:rPr>
        <w:t xml:space="preserve"> </w:t>
      </w:r>
      <w:r>
        <w:rPr>
          <w:spacing w:val="-36"/>
          <w:sz w:val="21"/>
        </w:rPr>
        <w:t>中</w:t>
      </w:r>
      <w:r>
        <w:rPr>
          <w:spacing w:val="-36"/>
          <w:sz w:val="21"/>
        </w:rPr>
        <w:t xml:space="preserve"> </w:t>
      </w:r>
      <w:r>
        <w:rPr>
          <w:sz w:val="21"/>
        </w:rPr>
        <w:t>12.5</w:t>
      </w:r>
      <w:r>
        <w:rPr>
          <w:spacing w:val="-13"/>
          <w:sz w:val="21"/>
        </w:rPr>
        <w:t xml:space="preserve"> </w:t>
      </w:r>
      <w:r>
        <w:rPr>
          <w:spacing w:val="-13"/>
          <w:sz w:val="21"/>
        </w:rPr>
        <w:t>的要求。</w:t>
      </w:r>
      <w:r>
        <w:rPr>
          <w:sz w:val="21"/>
        </w:rPr>
        <w:t xml:space="preserve"> </w:t>
      </w:r>
    </w:p>
    <w:p w14:paraId="7064EB95" w14:textId="77777777" w:rsidR="00A71EEF" w:rsidRDefault="00A71EEF">
      <w:pPr>
        <w:pStyle w:val="a3"/>
        <w:spacing w:before="2"/>
        <w:rPr>
          <w:sz w:val="18"/>
        </w:rPr>
      </w:pPr>
    </w:p>
    <w:p w14:paraId="6AAEA4F1" w14:textId="77777777" w:rsidR="00A71EEF" w:rsidRDefault="0081115D">
      <w:pPr>
        <w:pStyle w:val="a4"/>
        <w:numPr>
          <w:ilvl w:val="4"/>
          <w:numId w:val="835"/>
        </w:numPr>
        <w:tabs>
          <w:tab w:val="left" w:pos="1788"/>
        </w:tabs>
        <w:spacing w:line="446" w:lineRule="auto"/>
        <w:ind w:right="1714" w:firstLine="419"/>
        <w:rPr>
          <w:sz w:val="21"/>
        </w:rPr>
      </w:pPr>
      <w:r>
        <w:rPr>
          <w:spacing w:val="-8"/>
          <w:sz w:val="21"/>
        </w:rPr>
        <w:t>消防车侧面防护应符合</w:t>
      </w:r>
      <w:r>
        <w:rPr>
          <w:spacing w:val="-8"/>
          <w:sz w:val="21"/>
        </w:rPr>
        <w:t xml:space="preserve"> </w:t>
      </w:r>
      <w:r>
        <w:rPr>
          <w:sz w:val="21"/>
        </w:rPr>
        <w:t>GB</w:t>
      </w:r>
      <w:r>
        <w:rPr>
          <w:spacing w:val="11"/>
          <w:sz w:val="21"/>
        </w:rPr>
        <w:t xml:space="preserve"> </w:t>
      </w:r>
      <w:r>
        <w:rPr>
          <w:sz w:val="21"/>
        </w:rPr>
        <w:t>11567.1</w:t>
      </w:r>
      <w:r>
        <w:rPr>
          <w:spacing w:val="-9"/>
          <w:sz w:val="21"/>
        </w:rPr>
        <w:t xml:space="preserve"> </w:t>
      </w:r>
      <w:r>
        <w:rPr>
          <w:spacing w:val="-9"/>
          <w:sz w:val="21"/>
        </w:rPr>
        <w:t>的规定，采用越野底盆改制的消防车不适</w:t>
      </w:r>
      <w:r>
        <w:rPr>
          <w:spacing w:val="-6"/>
          <w:sz w:val="21"/>
        </w:rPr>
        <w:t>用。</w:t>
      </w:r>
      <w:r>
        <w:rPr>
          <w:sz w:val="21"/>
        </w:rPr>
        <w:t xml:space="preserve"> </w:t>
      </w:r>
    </w:p>
    <w:p w14:paraId="48FAAE75" w14:textId="77777777" w:rsidR="00A71EEF" w:rsidRDefault="0081115D">
      <w:pPr>
        <w:pStyle w:val="a4"/>
        <w:numPr>
          <w:ilvl w:val="4"/>
          <w:numId w:val="835"/>
        </w:numPr>
        <w:tabs>
          <w:tab w:val="left" w:pos="1788"/>
        </w:tabs>
        <w:spacing w:line="446" w:lineRule="auto"/>
        <w:ind w:right="1505" w:firstLine="419"/>
        <w:rPr>
          <w:sz w:val="21"/>
        </w:rPr>
      </w:pPr>
      <w:r>
        <w:rPr>
          <w:spacing w:val="-7"/>
          <w:sz w:val="21"/>
        </w:rPr>
        <w:t>消防车后下部防护应符合</w:t>
      </w:r>
      <w:r>
        <w:rPr>
          <w:spacing w:val="-7"/>
          <w:sz w:val="21"/>
        </w:rPr>
        <w:t xml:space="preserve"> </w:t>
      </w:r>
      <w:r>
        <w:rPr>
          <w:sz w:val="21"/>
        </w:rPr>
        <w:t>GB</w:t>
      </w:r>
      <w:r>
        <w:rPr>
          <w:spacing w:val="9"/>
          <w:sz w:val="21"/>
        </w:rPr>
        <w:t xml:space="preserve"> </w:t>
      </w:r>
      <w:r>
        <w:rPr>
          <w:sz w:val="21"/>
        </w:rPr>
        <w:t>11567.2</w:t>
      </w:r>
      <w:r>
        <w:rPr>
          <w:spacing w:val="-8"/>
          <w:sz w:val="21"/>
        </w:rPr>
        <w:t xml:space="preserve"> </w:t>
      </w:r>
      <w:r>
        <w:rPr>
          <w:spacing w:val="-8"/>
          <w:sz w:val="21"/>
        </w:rPr>
        <w:t>的规定，采用越野底盘改制的消防车不适</w:t>
      </w:r>
      <w:r>
        <w:rPr>
          <w:spacing w:val="-6"/>
          <w:sz w:val="21"/>
        </w:rPr>
        <w:t>用。</w:t>
      </w:r>
      <w:r>
        <w:rPr>
          <w:sz w:val="21"/>
        </w:rPr>
        <w:t xml:space="preserve"> </w:t>
      </w:r>
    </w:p>
    <w:p w14:paraId="54039079" w14:textId="77777777" w:rsidR="00A71EEF" w:rsidRDefault="0081115D">
      <w:pPr>
        <w:pStyle w:val="a4"/>
        <w:numPr>
          <w:ilvl w:val="4"/>
          <w:numId w:val="835"/>
        </w:numPr>
        <w:tabs>
          <w:tab w:val="left" w:pos="1788"/>
        </w:tabs>
        <w:spacing w:line="446" w:lineRule="auto"/>
        <w:ind w:right="1505" w:firstLine="419"/>
        <w:rPr>
          <w:sz w:val="21"/>
        </w:rPr>
      </w:pPr>
      <w:r>
        <w:rPr>
          <w:spacing w:val="-8"/>
          <w:sz w:val="21"/>
        </w:rPr>
        <w:t>消防车外表面应符合</w:t>
      </w:r>
      <w:r>
        <w:rPr>
          <w:spacing w:val="-8"/>
          <w:sz w:val="21"/>
        </w:rPr>
        <w:t xml:space="preserve"> </w:t>
      </w:r>
      <w:r>
        <w:rPr>
          <w:sz w:val="21"/>
        </w:rPr>
        <w:t>GB</w:t>
      </w:r>
      <w:r>
        <w:rPr>
          <w:spacing w:val="9"/>
          <w:sz w:val="21"/>
        </w:rPr>
        <w:t xml:space="preserve"> </w:t>
      </w:r>
      <w:r>
        <w:rPr>
          <w:sz w:val="21"/>
        </w:rPr>
        <w:t>20182</w:t>
      </w:r>
      <w:r>
        <w:rPr>
          <w:spacing w:val="-8"/>
          <w:sz w:val="21"/>
        </w:rPr>
        <w:t xml:space="preserve"> </w:t>
      </w:r>
      <w:r>
        <w:rPr>
          <w:spacing w:val="-8"/>
          <w:sz w:val="21"/>
        </w:rPr>
        <w:t>的规定并不应有尖锐突出物和锐利的边缘。消防</w:t>
      </w:r>
      <w:r>
        <w:rPr>
          <w:spacing w:val="-5"/>
          <w:sz w:val="21"/>
        </w:rPr>
        <w:t>装置操作区域周围不应有可能对操作人员造成伤害的物品、热源。</w:t>
      </w:r>
      <w:r>
        <w:rPr>
          <w:sz w:val="21"/>
        </w:rPr>
        <w:t xml:space="preserve"> </w:t>
      </w:r>
    </w:p>
    <w:p w14:paraId="27CA6739" w14:textId="77777777" w:rsidR="00A71EEF" w:rsidRDefault="0081115D">
      <w:pPr>
        <w:pStyle w:val="a4"/>
        <w:numPr>
          <w:ilvl w:val="4"/>
          <w:numId w:val="835"/>
        </w:numPr>
        <w:tabs>
          <w:tab w:val="left" w:pos="1788"/>
        </w:tabs>
        <w:ind w:left="1787" w:hanging="950"/>
        <w:rPr>
          <w:sz w:val="21"/>
        </w:rPr>
      </w:pPr>
      <w:r>
        <w:rPr>
          <w:spacing w:val="-8"/>
          <w:sz w:val="21"/>
        </w:rPr>
        <w:t>对人员可能触碰到的超过</w:t>
      </w:r>
      <w:r>
        <w:rPr>
          <w:spacing w:val="-8"/>
          <w:sz w:val="21"/>
        </w:rPr>
        <w:t xml:space="preserve"> </w:t>
      </w:r>
      <w:r>
        <w:rPr>
          <w:sz w:val="21"/>
        </w:rPr>
        <w:t>60</w:t>
      </w:r>
      <w:r>
        <w:rPr>
          <w:spacing w:val="-3"/>
          <w:sz w:val="21"/>
        </w:rPr>
        <w:t xml:space="preserve"> ℃</w:t>
      </w:r>
      <w:r>
        <w:rPr>
          <w:spacing w:val="-3"/>
          <w:sz w:val="21"/>
        </w:rPr>
        <w:t>的热表面及高速回转物均应设有防护装置。</w:t>
      </w:r>
      <w:r>
        <w:rPr>
          <w:sz w:val="21"/>
        </w:rPr>
        <w:t xml:space="preserve"> </w:t>
      </w:r>
    </w:p>
    <w:p w14:paraId="1AE6B373" w14:textId="77777777" w:rsidR="00A71EEF" w:rsidRDefault="00A71EEF">
      <w:pPr>
        <w:pStyle w:val="a3"/>
        <w:spacing w:before="10"/>
        <w:rPr>
          <w:sz w:val="17"/>
        </w:rPr>
      </w:pPr>
    </w:p>
    <w:p w14:paraId="1F7F1008" w14:textId="77777777" w:rsidR="00A71EEF" w:rsidRDefault="0081115D">
      <w:pPr>
        <w:pStyle w:val="a4"/>
        <w:numPr>
          <w:ilvl w:val="4"/>
          <w:numId w:val="835"/>
        </w:numPr>
        <w:tabs>
          <w:tab w:val="left" w:pos="1788"/>
        </w:tabs>
        <w:spacing w:line="446" w:lineRule="auto"/>
        <w:ind w:right="1608" w:firstLine="419"/>
        <w:rPr>
          <w:sz w:val="21"/>
        </w:rPr>
      </w:pPr>
      <w:r>
        <w:rPr>
          <w:spacing w:val="-8"/>
          <w:sz w:val="21"/>
        </w:rPr>
        <w:t>消防车上公称通径大于</w:t>
      </w:r>
      <w:r>
        <w:rPr>
          <w:spacing w:val="-8"/>
          <w:sz w:val="21"/>
        </w:rPr>
        <w:t xml:space="preserve"> </w:t>
      </w:r>
      <w:r>
        <w:rPr>
          <w:sz w:val="21"/>
        </w:rPr>
        <w:t>65</w:t>
      </w:r>
      <w:r>
        <w:rPr>
          <w:spacing w:val="7"/>
          <w:sz w:val="21"/>
        </w:rPr>
        <w:t xml:space="preserve"> </w:t>
      </w:r>
      <w:r>
        <w:rPr>
          <w:sz w:val="21"/>
        </w:rPr>
        <w:t>mm</w:t>
      </w:r>
      <w:r>
        <w:rPr>
          <w:spacing w:val="-13"/>
          <w:sz w:val="21"/>
        </w:rPr>
        <w:t xml:space="preserve"> </w:t>
      </w:r>
      <w:r>
        <w:rPr>
          <w:spacing w:val="-13"/>
          <w:sz w:val="21"/>
        </w:rPr>
        <w:t>的水带接口和压力不小于</w:t>
      </w:r>
      <w:r>
        <w:rPr>
          <w:spacing w:val="-13"/>
          <w:sz w:val="21"/>
        </w:rPr>
        <w:t xml:space="preserve"> </w:t>
      </w:r>
      <w:r>
        <w:rPr>
          <w:sz w:val="21"/>
        </w:rPr>
        <w:t>1.8</w:t>
      </w:r>
      <w:r>
        <w:rPr>
          <w:spacing w:val="7"/>
          <w:sz w:val="21"/>
        </w:rPr>
        <w:t xml:space="preserve"> </w:t>
      </w:r>
      <w:r>
        <w:rPr>
          <w:sz w:val="21"/>
        </w:rPr>
        <w:t>MPa</w:t>
      </w:r>
      <w:r>
        <w:rPr>
          <w:spacing w:val="-10"/>
          <w:sz w:val="21"/>
        </w:rPr>
        <w:t xml:space="preserve"> </w:t>
      </w:r>
      <w:r>
        <w:rPr>
          <w:spacing w:val="-10"/>
          <w:sz w:val="21"/>
        </w:rPr>
        <w:t>的管路应远离</w:t>
      </w:r>
      <w:r>
        <w:rPr>
          <w:spacing w:val="-5"/>
          <w:sz w:val="21"/>
        </w:rPr>
        <w:t>操作人员或采取防护措施，以防止对操作人员造成伤害。</w:t>
      </w:r>
      <w:r>
        <w:rPr>
          <w:sz w:val="21"/>
        </w:rPr>
        <w:t xml:space="preserve"> </w:t>
      </w:r>
    </w:p>
    <w:p w14:paraId="6896C0CB" w14:textId="77777777" w:rsidR="00A71EEF" w:rsidRDefault="0081115D">
      <w:pPr>
        <w:pStyle w:val="a4"/>
        <w:numPr>
          <w:ilvl w:val="4"/>
          <w:numId w:val="835"/>
        </w:numPr>
        <w:tabs>
          <w:tab w:val="left" w:pos="1788"/>
        </w:tabs>
        <w:ind w:left="1787" w:hanging="950"/>
        <w:rPr>
          <w:sz w:val="21"/>
        </w:rPr>
      </w:pPr>
      <w:r>
        <w:rPr>
          <w:spacing w:val="-3"/>
          <w:sz w:val="21"/>
        </w:rPr>
        <w:t>消防车使用的压力容器应由具有相应生产资质的企业创造。</w:t>
      </w:r>
      <w:r>
        <w:rPr>
          <w:sz w:val="21"/>
        </w:rPr>
        <w:t xml:space="preserve"> </w:t>
      </w:r>
    </w:p>
    <w:p w14:paraId="7A6F2D4B" w14:textId="77777777" w:rsidR="00A71EEF" w:rsidRDefault="00A71EEF">
      <w:pPr>
        <w:pStyle w:val="a3"/>
        <w:rPr>
          <w:sz w:val="18"/>
        </w:rPr>
      </w:pPr>
    </w:p>
    <w:p w14:paraId="162998A0" w14:textId="77777777" w:rsidR="00A71EEF" w:rsidRDefault="0081115D">
      <w:pPr>
        <w:pStyle w:val="a4"/>
        <w:numPr>
          <w:ilvl w:val="4"/>
          <w:numId w:val="835"/>
        </w:numPr>
        <w:tabs>
          <w:tab w:val="left" w:pos="1893"/>
        </w:tabs>
        <w:spacing w:line="446" w:lineRule="auto"/>
        <w:ind w:right="1714" w:firstLine="419"/>
        <w:rPr>
          <w:sz w:val="21"/>
        </w:rPr>
      </w:pPr>
      <w:r>
        <w:rPr>
          <w:spacing w:val="-3"/>
          <w:sz w:val="21"/>
        </w:rPr>
        <w:t>压力容器在消防车上安装时，其与硬物接触处应衬上柔软、耐腐和减震的衬物。</w:t>
      </w:r>
      <w:r>
        <w:rPr>
          <w:sz w:val="21"/>
        </w:rPr>
        <w:t xml:space="preserve"> </w:t>
      </w:r>
    </w:p>
    <w:p w14:paraId="54D0E7B3" w14:textId="77777777" w:rsidR="00A71EEF" w:rsidRDefault="0081115D">
      <w:pPr>
        <w:pStyle w:val="a4"/>
        <w:numPr>
          <w:ilvl w:val="3"/>
          <w:numId w:val="835"/>
        </w:numPr>
        <w:tabs>
          <w:tab w:val="left" w:pos="1576"/>
        </w:tabs>
        <w:ind w:left="1575"/>
        <w:rPr>
          <w:sz w:val="19"/>
        </w:rPr>
      </w:pPr>
      <w:r>
        <w:rPr>
          <w:spacing w:val="-3"/>
          <w:sz w:val="21"/>
        </w:rPr>
        <w:t>质心高度和侧倾稳定角</w:t>
      </w:r>
      <w:r>
        <w:rPr>
          <w:sz w:val="21"/>
        </w:rPr>
        <w:t xml:space="preserve"> </w:t>
      </w:r>
    </w:p>
    <w:p w14:paraId="6D5592FE" w14:textId="77777777" w:rsidR="00A71EEF" w:rsidRDefault="00A71EEF">
      <w:pPr>
        <w:pStyle w:val="a3"/>
        <w:spacing w:before="12"/>
        <w:rPr>
          <w:sz w:val="17"/>
        </w:rPr>
      </w:pPr>
    </w:p>
    <w:p w14:paraId="06F519BB" w14:textId="77777777" w:rsidR="00A71EEF" w:rsidRDefault="0081115D">
      <w:pPr>
        <w:pStyle w:val="a3"/>
        <w:ind w:left="838"/>
      </w:pPr>
      <w:r>
        <w:t>消防车满载质量时质心高度和侧倾稳定角应符合表</w:t>
      </w:r>
      <w:r>
        <w:t xml:space="preserve"> 7 </w:t>
      </w:r>
      <w:r>
        <w:t>的规定。</w:t>
      </w:r>
      <w:r>
        <w:t xml:space="preserve"> </w:t>
      </w:r>
    </w:p>
    <w:p w14:paraId="03E8CD5D" w14:textId="77777777" w:rsidR="00A71EEF" w:rsidRDefault="0081115D">
      <w:pPr>
        <w:pStyle w:val="a3"/>
        <w:rPr>
          <w:sz w:val="12"/>
        </w:rPr>
      </w:pPr>
      <w:r>
        <w:rPr>
          <w:noProof/>
        </w:rPr>
        <w:drawing>
          <wp:anchor distT="0" distB="0" distL="0" distR="0" simplePos="0" relativeHeight="251499008" behindDoc="0" locked="0" layoutInCell="1" allowOverlap="1" wp14:anchorId="1AF00ED6" wp14:editId="0675E569">
            <wp:simplePos x="0" y="0"/>
            <wp:positionH relativeFrom="page">
              <wp:posOffset>1341755</wp:posOffset>
            </wp:positionH>
            <wp:positionV relativeFrom="paragraph">
              <wp:posOffset>122999</wp:posOffset>
            </wp:positionV>
            <wp:extent cx="4972050" cy="1428750"/>
            <wp:effectExtent l="0" t="0" r="0" b="0"/>
            <wp:wrapTopAndBottom/>
            <wp:docPr id="115"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81.jpeg"/>
                    <pic:cNvPicPr/>
                  </pic:nvPicPr>
                  <pic:blipFill>
                    <a:blip r:embed="rId79" cstate="print"/>
                    <a:stretch>
                      <a:fillRect/>
                    </a:stretch>
                  </pic:blipFill>
                  <pic:spPr>
                    <a:xfrm>
                      <a:off x="0" y="0"/>
                      <a:ext cx="4972050" cy="1428750"/>
                    </a:xfrm>
                    <a:prstGeom prst="rect">
                      <a:avLst/>
                    </a:prstGeom>
                  </pic:spPr>
                </pic:pic>
              </a:graphicData>
            </a:graphic>
          </wp:anchor>
        </w:drawing>
      </w:r>
    </w:p>
    <w:p w14:paraId="151B25A1" w14:textId="77777777" w:rsidR="00A71EEF" w:rsidRDefault="00A71EEF">
      <w:pPr>
        <w:rPr>
          <w:sz w:val="12"/>
        </w:rPr>
        <w:sectPr w:rsidR="00A71EEF">
          <w:pgSz w:w="11910" w:h="16850"/>
          <w:pgMar w:top="1220" w:right="0" w:bottom="1420" w:left="1260" w:header="0" w:footer="1239" w:gutter="0"/>
          <w:cols w:space="720"/>
        </w:sectPr>
      </w:pPr>
    </w:p>
    <w:p w14:paraId="4D7F57D8" w14:textId="77777777" w:rsidR="00A71EEF" w:rsidRDefault="0081115D">
      <w:pPr>
        <w:pStyle w:val="a4"/>
        <w:numPr>
          <w:ilvl w:val="2"/>
          <w:numId w:val="835"/>
        </w:numPr>
        <w:tabs>
          <w:tab w:val="left" w:pos="1370"/>
        </w:tabs>
        <w:spacing w:before="167"/>
        <w:ind w:hanging="530"/>
        <w:rPr>
          <w:sz w:val="21"/>
        </w:rPr>
      </w:pPr>
      <w:r>
        <w:rPr>
          <w:spacing w:val="-3"/>
          <w:sz w:val="21"/>
        </w:rPr>
        <w:lastRenderedPageBreak/>
        <w:t>可维修性</w:t>
      </w:r>
      <w:r>
        <w:rPr>
          <w:sz w:val="21"/>
        </w:rPr>
        <w:t xml:space="preserve"> </w:t>
      </w:r>
    </w:p>
    <w:p w14:paraId="2959E8D0" w14:textId="77777777" w:rsidR="00A71EEF" w:rsidRDefault="00A71EEF">
      <w:pPr>
        <w:pStyle w:val="a3"/>
        <w:spacing w:before="12"/>
        <w:rPr>
          <w:sz w:val="17"/>
        </w:rPr>
      </w:pPr>
    </w:p>
    <w:p w14:paraId="79454A40" w14:textId="77777777" w:rsidR="00A71EEF" w:rsidRDefault="0081115D">
      <w:pPr>
        <w:pStyle w:val="a4"/>
        <w:numPr>
          <w:ilvl w:val="3"/>
          <w:numId w:val="835"/>
        </w:numPr>
        <w:tabs>
          <w:tab w:val="left" w:pos="1576"/>
        </w:tabs>
        <w:spacing w:line="446" w:lineRule="auto"/>
        <w:ind w:right="1609" w:firstLine="419"/>
        <w:rPr>
          <w:sz w:val="19"/>
        </w:rPr>
      </w:pPr>
      <w:r>
        <w:rPr>
          <w:spacing w:val="-3"/>
          <w:sz w:val="21"/>
        </w:rPr>
        <w:t>消防车的设计应保证当按底盘制造厂要求检查发动机机油和冷却液液位时不需要翻转驾驶室或使用工具。</w:t>
      </w:r>
      <w:r>
        <w:rPr>
          <w:sz w:val="21"/>
        </w:rPr>
        <w:t xml:space="preserve"> </w:t>
      </w:r>
    </w:p>
    <w:p w14:paraId="723E7F85" w14:textId="77777777" w:rsidR="00A71EEF" w:rsidRDefault="0081115D">
      <w:pPr>
        <w:pStyle w:val="a4"/>
        <w:numPr>
          <w:ilvl w:val="3"/>
          <w:numId w:val="835"/>
        </w:numPr>
        <w:tabs>
          <w:tab w:val="left" w:pos="1576"/>
        </w:tabs>
        <w:spacing w:line="446" w:lineRule="auto"/>
        <w:ind w:right="1609" w:firstLine="419"/>
        <w:rPr>
          <w:sz w:val="19"/>
        </w:rPr>
      </w:pPr>
      <w:r>
        <w:rPr>
          <w:spacing w:val="-3"/>
          <w:sz w:val="21"/>
        </w:rPr>
        <w:t>对于保养、维修时需拆卸的零、部件，应使用可拆卸，可重复使用的连接件，不应采用焊接、铆接等方法故定。</w:t>
      </w:r>
      <w:r>
        <w:rPr>
          <w:sz w:val="21"/>
        </w:rPr>
        <w:t xml:space="preserve"> </w:t>
      </w:r>
    </w:p>
    <w:p w14:paraId="62AEFE56" w14:textId="77777777" w:rsidR="00A71EEF" w:rsidRDefault="0081115D">
      <w:pPr>
        <w:pStyle w:val="a4"/>
        <w:numPr>
          <w:ilvl w:val="2"/>
          <w:numId w:val="835"/>
        </w:numPr>
        <w:tabs>
          <w:tab w:val="left" w:pos="1370"/>
        </w:tabs>
        <w:ind w:hanging="530"/>
        <w:rPr>
          <w:sz w:val="21"/>
        </w:rPr>
      </w:pPr>
      <w:r>
        <w:rPr>
          <w:spacing w:val="-3"/>
          <w:sz w:val="21"/>
        </w:rPr>
        <w:t>防雨密封性能</w:t>
      </w:r>
      <w:r>
        <w:rPr>
          <w:sz w:val="21"/>
        </w:rPr>
        <w:t xml:space="preserve"> </w:t>
      </w:r>
    </w:p>
    <w:p w14:paraId="6E600E2B" w14:textId="77777777" w:rsidR="00A71EEF" w:rsidRDefault="00A71EEF">
      <w:pPr>
        <w:pStyle w:val="a3"/>
        <w:rPr>
          <w:sz w:val="18"/>
        </w:rPr>
      </w:pPr>
    </w:p>
    <w:p w14:paraId="760C7B28" w14:textId="77777777" w:rsidR="00A71EEF" w:rsidRDefault="0081115D">
      <w:pPr>
        <w:pStyle w:val="a3"/>
        <w:ind w:left="838"/>
      </w:pPr>
      <w:r>
        <w:t>消防车应有良好的防雨密封性能，驾驶室</w:t>
      </w:r>
      <w:r>
        <w:t xml:space="preserve"> </w:t>
      </w:r>
      <w:r>
        <w:t>、乘员室、放置电气设备或需防水器材的器材箱</w:t>
      </w:r>
    </w:p>
    <w:p w14:paraId="57DDB154" w14:textId="77777777" w:rsidR="00A71EEF" w:rsidRDefault="00A71EEF">
      <w:pPr>
        <w:pStyle w:val="a3"/>
        <w:spacing w:before="12"/>
        <w:rPr>
          <w:sz w:val="17"/>
        </w:rPr>
      </w:pPr>
    </w:p>
    <w:p w14:paraId="6EE8D0D5" w14:textId="77777777" w:rsidR="00A71EEF" w:rsidRDefault="0081115D">
      <w:pPr>
        <w:pStyle w:val="a3"/>
        <w:spacing w:line="446" w:lineRule="auto"/>
        <w:ind w:left="418" w:right="1817"/>
      </w:pPr>
      <w:r>
        <w:t>（若无法确定器材箱内的器材类型，则此器材箱的防雨密封性应与放置防水器材的器材箱相同）和装有电气设备的泵房不应漏水，警灯和频闪灯不应进水。</w:t>
      </w:r>
      <w:r>
        <w:t xml:space="preserve"> </w:t>
      </w:r>
    </w:p>
    <w:p w14:paraId="74A07C1A" w14:textId="77777777" w:rsidR="00A71EEF" w:rsidRDefault="0081115D">
      <w:pPr>
        <w:pStyle w:val="a4"/>
        <w:numPr>
          <w:ilvl w:val="2"/>
          <w:numId w:val="835"/>
        </w:numPr>
        <w:tabs>
          <w:tab w:val="left" w:pos="1371"/>
        </w:tabs>
        <w:ind w:left="1370" w:hanging="531"/>
        <w:rPr>
          <w:sz w:val="21"/>
        </w:rPr>
      </w:pPr>
      <w:r>
        <w:rPr>
          <w:spacing w:val="-3"/>
          <w:sz w:val="21"/>
        </w:rPr>
        <w:t>低温使用要求</w:t>
      </w:r>
      <w:r>
        <w:rPr>
          <w:sz w:val="21"/>
        </w:rPr>
        <w:t xml:space="preserve"> </w:t>
      </w:r>
    </w:p>
    <w:p w14:paraId="4BC5F40C" w14:textId="77777777" w:rsidR="00A71EEF" w:rsidRDefault="00A71EEF">
      <w:pPr>
        <w:pStyle w:val="a3"/>
        <w:rPr>
          <w:sz w:val="18"/>
        </w:rPr>
      </w:pPr>
    </w:p>
    <w:p w14:paraId="04303AEB" w14:textId="77777777" w:rsidR="00A71EEF" w:rsidRDefault="0081115D">
      <w:pPr>
        <w:pStyle w:val="a3"/>
        <w:spacing w:line="446" w:lineRule="auto"/>
        <w:ind w:left="418" w:right="1608" w:firstLine="419"/>
        <w:jc w:val="both"/>
      </w:pPr>
      <w:r>
        <w:t>冬季最低气温</w:t>
      </w:r>
      <w:r>
        <w:t>-10 ℃</w:t>
      </w:r>
      <w:r>
        <w:t>或以下的低温地区使用的消防车消防泵、外露阀门和管道等过水部件应有保温或加温装置以保证消防泵和阀门正常工作。保温或加温装置的启动应在消防车驾驶位置进行。</w:t>
      </w:r>
      <w:r>
        <w:t xml:space="preserve"> </w:t>
      </w:r>
    </w:p>
    <w:p w14:paraId="4950F295" w14:textId="77777777" w:rsidR="00A71EEF" w:rsidRDefault="0081115D">
      <w:pPr>
        <w:pStyle w:val="a4"/>
        <w:numPr>
          <w:ilvl w:val="1"/>
          <w:numId w:val="834"/>
        </w:numPr>
        <w:tabs>
          <w:tab w:val="left" w:pos="1159"/>
        </w:tabs>
        <w:spacing w:line="268" w:lineRule="exact"/>
        <w:ind w:hanging="319"/>
        <w:rPr>
          <w:b/>
          <w:sz w:val="21"/>
        </w:rPr>
      </w:pPr>
      <w:r>
        <w:rPr>
          <w:spacing w:val="-3"/>
          <w:sz w:val="21"/>
        </w:rPr>
        <w:t>整车标志和标识</w:t>
      </w:r>
      <w:r>
        <w:rPr>
          <w:b/>
          <w:w w:val="99"/>
          <w:sz w:val="21"/>
        </w:rPr>
        <w:t xml:space="preserve"> </w:t>
      </w:r>
    </w:p>
    <w:p w14:paraId="41771439" w14:textId="77777777" w:rsidR="00A71EEF" w:rsidRDefault="00A71EEF">
      <w:pPr>
        <w:pStyle w:val="a3"/>
        <w:spacing w:before="2"/>
        <w:rPr>
          <w:b/>
          <w:sz w:val="18"/>
        </w:rPr>
      </w:pPr>
    </w:p>
    <w:p w14:paraId="104F9D3C" w14:textId="77777777" w:rsidR="00A71EEF" w:rsidRDefault="0081115D">
      <w:pPr>
        <w:pStyle w:val="a4"/>
        <w:numPr>
          <w:ilvl w:val="2"/>
          <w:numId w:val="834"/>
        </w:numPr>
        <w:tabs>
          <w:tab w:val="left" w:pos="1371"/>
        </w:tabs>
        <w:spacing w:line="446" w:lineRule="auto"/>
        <w:ind w:right="1501" w:firstLine="422"/>
        <w:rPr>
          <w:sz w:val="21"/>
        </w:rPr>
      </w:pPr>
      <w:r>
        <w:rPr>
          <w:spacing w:val="-3"/>
          <w:sz w:val="21"/>
        </w:rPr>
        <w:t>消防车前部应有永久保持的消防车生产企业的商标或厂标</w:t>
      </w:r>
      <w:r>
        <w:rPr>
          <w:spacing w:val="-3"/>
          <w:sz w:val="21"/>
        </w:rPr>
        <w:t xml:space="preserve"> </w:t>
      </w:r>
      <w:r>
        <w:rPr>
          <w:spacing w:val="-3"/>
          <w:sz w:val="21"/>
        </w:rPr>
        <w:t>。后部应永久保持按《汽</w:t>
      </w:r>
      <w:r>
        <w:rPr>
          <w:spacing w:val="-5"/>
          <w:sz w:val="21"/>
        </w:rPr>
        <w:t>车产品外部标识管理办法》要求的消防车商标和型号。消防车标志还应符合</w:t>
      </w:r>
      <w:r>
        <w:rPr>
          <w:spacing w:val="-5"/>
          <w:sz w:val="21"/>
        </w:rPr>
        <w:t xml:space="preserve"> </w:t>
      </w:r>
      <w:r>
        <w:rPr>
          <w:sz w:val="21"/>
        </w:rPr>
        <w:t>GB</w:t>
      </w:r>
      <w:r>
        <w:rPr>
          <w:spacing w:val="14"/>
          <w:sz w:val="21"/>
        </w:rPr>
        <w:t xml:space="preserve"> </w:t>
      </w:r>
      <w:r>
        <w:rPr>
          <w:sz w:val="21"/>
        </w:rPr>
        <w:t>7258—2012</w:t>
      </w:r>
      <w:r>
        <w:rPr>
          <w:spacing w:val="-25"/>
          <w:sz w:val="21"/>
        </w:rPr>
        <w:t xml:space="preserve"> </w:t>
      </w:r>
      <w:r>
        <w:rPr>
          <w:spacing w:val="-25"/>
          <w:sz w:val="21"/>
        </w:rPr>
        <w:t>中</w:t>
      </w:r>
    </w:p>
    <w:p w14:paraId="594FC80F" w14:textId="77777777" w:rsidR="00A71EEF" w:rsidRDefault="0081115D">
      <w:pPr>
        <w:pStyle w:val="a3"/>
        <w:spacing w:line="446" w:lineRule="auto"/>
        <w:ind w:left="840" w:right="1608" w:hanging="423"/>
      </w:pPr>
      <w:r>
        <w:t>4.1</w:t>
      </w:r>
      <w:r>
        <w:rPr>
          <w:spacing w:val="-9"/>
        </w:rPr>
        <w:t xml:space="preserve"> </w:t>
      </w:r>
      <w:r>
        <w:rPr>
          <w:spacing w:val="-9"/>
        </w:rPr>
        <w:t>的要求。消防车产品标牌应符合</w:t>
      </w:r>
      <w:r>
        <w:rPr>
          <w:spacing w:val="-9"/>
        </w:rPr>
        <w:t xml:space="preserve"> </w:t>
      </w:r>
      <w:r>
        <w:t>GB/T</w:t>
      </w:r>
      <w:r>
        <w:rPr>
          <w:spacing w:val="30"/>
        </w:rPr>
        <w:t xml:space="preserve"> </w:t>
      </w:r>
      <w:r>
        <w:t>18411</w:t>
      </w:r>
      <w:r>
        <w:rPr>
          <w:spacing w:val="-7"/>
        </w:rPr>
        <w:t xml:space="preserve"> </w:t>
      </w:r>
      <w:r>
        <w:rPr>
          <w:spacing w:val="-7"/>
        </w:rPr>
        <w:t>的规定，并注明消防车使用温度范围。</w:t>
      </w:r>
      <w:r>
        <w:rPr>
          <w:b/>
          <w:spacing w:val="-7"/>
        </w:rPr>
        <w:t>5.2.2</w:t>
      </w:r>
      <w:r>
        <w:rPr>
          <w:b/>
          <w:spacing w:val="3"/>
        </w:rPr>
        <w:t xml:space="preserve"> </w:t>
      </w:r>
      <w:r>
        <w:rPr>
          <w:spacing w:val="-6"/>
        </w:rPr>
        <w:t>消防车的车辆识别代号应分别符合</w:t>
      </w:r>
      <w:r>
        <w:rPr>
          <w:spacing w:val="-6"/>
        </w:rPr>
        <w:t xml:space="preserve"> </w:t>
      </w:r>
      <w:r>
        <w:t>GB</w:t>
      </w:r>
      <w:r>
        <w:rPr>
          <w:spacing w:val="1"/>
        </w:rPr>
        <w:t xml:space="preserve"> </w:t>
      </w:r>
      <w:r>
        <w:t>16735</w:t>
      </w:r>
      <w:r>
        <w:rPr>
          <w:spacing w:val="-35"/>
        </w:rPr>
        <w:t xml:space="preserve"> </w:t>
      </w:r>
      <w:r>
        <w:rPr>
          <w:spacing w:val="-35"/>
        </w:rPr>
        <w:t>和</w:t>
      </w:r>
      <w:r>
        <w:rPr>
          <w:spacing w:val="-35"/>
        </w:rPr>
        <w:t xml:space="preserve"> </w:t>
      </w:r>
      <w:r>
        <w:t>GB</w:t>
      </w:r>
      <w:r>
        <w:rPr>
          <w:spacing w:val="1"/>
        </w:rPr>
        <w:t xml:space="preserve"> </w:t>
      </w:r>
      <w:r>
        <w:t>7258—2012</w:t>
      </w:r>
      <w:r>
        <w:rPr>
          <w:spacing w:val="-35"/>
        </w:rPr>
        <w:t xml:space="preserve"> </w:t>
      </w:r>
      <w:r>
        <w:rPr>
          <w:spacing w:val="-35"/>
        </w:rPr>
        <w:t>中</w:t>
      </w:r>
      <w:r>
        <w:rPr>
          <w:spacing w:val="-35"/>
        </w:rPr>
        <w:t xml:space="preserve"> </w:t>
      </w:r>
      <w:r>
        <w:t>4.1.3</w:t>
      </w:r>
      <w:r>
        <w:rPr>
          <w:spacing w:val="-12"/>
        </w:rPr>
        <w:t xml:space="preserve"> </w:t>
      </w:r>
      <w:r>
        <w:rPr>
          <w:spacing w:val="-12"/>
        </w:rPr>
        <w:t>的规定。</w:t>
      </w:r>
      <w:r>
        <w:rPr>
          <w:b/>
        </w:rPr>
        <w:t>5.2.3</w:t>
      </w:r>
      <w:r>
        <w:rPr>
          <w:b/>
          <w:spacing w:val="2"/>
        </w:rPr>
        <w:t xml:space="preserve"> </w:t>
      </w:r>
      <w:r>
        <w:rPr>
          <w:spacing w:val="-8"/>
        </w:rPr>
        <w:t>消防车车身的颜色应符合</w:t>
      </w:r>
      <w:r>
        <w:rPr>
          <w:spacing w:val="-8"/>
        </w:rPr>
        <w:t xml:space="preserve"> </w:t>
      </w:r>
      <w:r>
        <w:t>GB/T</w:t>
      </w:r>
      <w:r>
        <w:rPr>
          <w:spacing w:val="1"/>
        </w:rPr>
        <w:t xml:space="preserve"> </w:t>
      </w:r>
      <w:r>
        <w:t>3181</w:t>
      </w:r>
      <w:r>
        <w:rPr>
          <w:spacing w:val="-19"/>
        </w:rPr>
        <w:t xml:space="preserve"> </w:t>
      </w:r>
      <w:r>
        <w:rPr>
          <w:spacing w:val="-19"/>
        </w:rPr>
        <w:t>中规定的</w:t>
      </w:r>
      <w:r>
        <w:rPr>
          <w:spacing w:val="-19"/>
        </w:rPr>
        <w:t xml:space="preserve"> </w:t>
      </w:r>
      <w:r>
        <w:t>R03</w:t>
      </w:r>
      <w:r>
        <w:rPr>
          <w:spacing w:val="-13"/>
        </w:rPr>
        <w:t xml:space="preserve"> </w:t>
      </w:r>
      <w:r>
        <w:rPr>
          <w:spacing w:val="-13"/>
        </w:rPr>
        <w:t>大红色。</w:t>
      </w:r>
      <w:r>
        <w:t xml:space="preserve"> </w:t>
      </w:r>
    </w:p>
    <w:p w14:paraId="64BAC94E" w14:textId="77777777" w:rsidR="00A71EEF" w:rsidRDefault="0081115D">
      <w:pPr>
        <w:pStyle w:val="a4"/>
        <w:numPr>
          <w:ilvl w:val="2"/>
          <w:numId w:val="833"/>
        </w:numPr>
        <w:tabs>
          <w:tab w:val="left" w:pos="1370"/>
        </w:tabs>
        <w:spacing w:line="268" w:lineRule="exact"/>
        <w:ind w:hanging="530"/>
        <w:rPr>
          <w:sz w:val="21"/>
        </w:rPr>
      </w:pPr>
      <w:r>
        <w:rPr>
          <w:spacing w:val="-8"/>
          <w:sz w:val="21"/>
        </w:rPr>
        <w:t>消防车后部和两侧面应按</w:t>
      </w:r>
      <w:r>
        <w:rPr>
          <w:spacing w:val="-8"/>
          <w:sz w:val="21"/>
        </w:rPr>
        <w:t xml:space="preserve"> </w:t>
      </w:r>
      <w:r>
        <w:rPr>
          <w:sz w:val="21"/>
        </w:rPr>
        <w:t>GB</w:t>
      </w:r>
      <w:r>
        <w:rPr>
          <w:spacing w:val="-2"/>
          <w:sz w:val="21"/>
        </w:rPr>
        <w:t xml:space="preserve"> </w:t>
      </w:r>
      <w:r>
        <w:rPr>
          <w:sz w:val="21"/>
        </w:rPr>
        <w:t>7258—2012</w:t>
      </w:r>
      <w:r>
        <w:rPr>
          <w:spacing w:val="-8"/>
          <w:sz w:val="21"/>
        </w:rPr>
        <w:t xml:space="preserve"> </w:t>
      </w:r>
      <w:r>
        <w:rPr>
          <w:spacing w:val="-8"/>
          <w:sz w:val="21"/>
        </w:rPr>
        <w:t>中要求粘贴反光标识。</w:t>
      </w:r>
      <w:r>
        <w:rPr>
          <w:sz w:val="21"/>
        </w:rPr>
        <w:t xml:space="preserve"> </w:t>
      </w:r>
    </w:p>
    <w:p w14:paraId="6CC997B7" w14:textId="77777777" w:rsidR="00A71EEF" w:rsidRDefault="00A71EEF">
      <w:pPr>
        <w:pStyle w:val="a3"/>
        <w:spacing w:before="12"/>
        <w:rPr>
          <w:sz w:val="17"/>
        </w:rPr>
      </w:pPr>
    </w:p>
    <w:p w14:paraId="0CCE3448" w14:textId="77777777" w:rsidR="00A71EEF" w:rsidRDefault="0081115D">
      <w:pPr>
        <w:pStyle w:val="a4"/>
        <w:numPr>
          <w:ilvl w:val="2"/>
          <w:numId w:val="833"/>
        </w:numPr>
        <w:tabs>
          <w:tab w:val="left" w:pos="1371"/>
        </w:tabs>
        <w:ind w:left="1370" w:hanging="531"/>
        <w:rPr>
          <w:sz w:val="21"/>
        </w:rPr>
      </w:pPr>
      <w:r>
        <w:rPr>
          <w:spacing w:val="-3"/>
          <w:sz w:val="21"/>
        </w:rPr>
        <w:t>消防车号牌板（架</w:t>
      </w:r>
      <w:r>
        <w:rPr>
          <w:sz w:val="21"/>
        </w:rPr>
        <w:t>）</w:t>
      </w:r>
      <w:r>
        <w:rPr>
          <w:spacing w:val="2"/>
          <w:sz w:val="21"/>
        </w:rPr>
        <w:t>及其位置的要求应符合</w:t>
      </w:r>
      <w:r>
        <w:rPr>
          <w:sz w:val="21"/>
        </w:rPr>
        <w:t>GB</w:t>
      </w:r>
      <w:r>
        <w:rPr>
          <w:spacing w:val="1"/>
          <w:sz w:val="21"/>
        </w:rPr>
        <w:t xml:space="preserve"> </w:t>
      </w:r>
      <w:r>
        <w:rPr>
          <w:sz w:val="21"/>
        </w:rPr>
        <w:t>15741</w:t>
      </w:r>
      <w:r>
        <w:rPr>
          <w:spacing w:val="-13"/>
          <w:sz w:val="21"/>
        </w:rPr>
        <w:t xml:space="preserve"> </w:t>
      </w:r>
      <w:r>
        <w:rPr>
          <w:spacing w:val="-13"/>
          <w:sz w:val="21"/>
        </w:rPr>
        <w:t>的规定。</w:t>
      </w:r>
      <w:r>
        <w:rPr>
          <w:sz w:val="21"/>
        </w:rPr>
        <w:t xml:space="preserve"> </w:t>
      </w:r>
    </w:p>
    <w:p w14:paraId="5DB857BD" w14:textId="77777777" w:rsidR="00A71EEF" w:rsidRDefault="00A71EEF">
      <w:pPr>
        <w:pStyle w:val="a3"/>
        <w:spacing w:before="12"/>
        <w:rPr>
          <w:sz w:val="17"/>
        </w:rPr>
      </w:pPr>
    </w:p>
    <w:p w14:paraId="040AE699" w14:textId="77777777" w:rsidR="00A71EEF" w:rsidRDefault="0081115D">
      <w:pPr>
        <w:pStyle w:val="a4"/>
        <w:numPr>
          <w:ilvl w:val="2"/>
          <w:numId w:val="833"/>
        </w:numPr>
        <w:tabs>
          <w:tab w:val="left" w:pos="1371"/>
        </w:tabs>
        <w:spacing w:line="436" w:lineRule="auto"/>
        <w:ind w:left="418" w:right="1500" w:firstLine="422"/>
        <w:rPr>
          <w:sz w:val="21"/>
        </w:rPr>
      </w:pPr>
      <w:r>
        <w:rPr>
          <w:spacing w:val="-3"/>
          <w:sz w:val="21"/>
        </w:rPr>
        <w:t>消防车轮胎充气压力应在轮胎上方车体上标注。充气压力的单位为</w:t>
      </w:r>
      <w:r>
        <w:rPr>
          <w:spacing w:val="-3"/>
          <w:sz w:val="21"/>
        </w:rPr>
        <w:t>“</w:t>
      </w:r>
      <w:r>
        <w:rPr>
          <w:sz w:val="21"/>
        </w:rPr>
        <w:t>kPa</w:t>
      </w:r>
      <w:r>
        <w:rPr>
          <w:spacing w:val="-1"/>
          <w:sz w:val="21"/>
        </w:rPr>
        <w:t>”</w:t>
      </w:r>
      <w:r>
        <w:rPr>
          <w:spacing w:val="-1"/>
          <w:sz w:val="21"/>
        </w:rPr>
        <w:t>，在其下</w:t>
      </w:r>
      <w:r>
        <w:rPr>
          <w:spacing w:val="-3"/>
          <w:sz w:val="21"/>
        </w:rPr>
        <w:t>方可在括号内标注</w:t>
      </w:r>
      <w:r>
        <w:rPr>
          <w:spacing w:val="-3"/>
          <w:sz w:val="21"/>
        </w:rPr>
        <w:t>“</w:t>
      </w:r>
      <w:r>
        <w:rPr>
          <w:sz w:val="21"/>
        </w:rPr>
        <w:t>kg/c</w:t>
      </w:r>
      <w:r>
        <w:rPr>
          <w:color w:val="333333"/>
          <w:sz w:val="21"/>
        </w:rPr>
        <w:t>m</w:t>
      </w:r>
      <w:r>
        <w:rPr>
          <w:color w:val="333333"/>
          <w:position w:val="11"/>
          <w:sz w:val="11"/>
        </w:rPr>
        <w:t>2</w:t>
      </w:r>
      <w:r>
        <w:rPr>
          <w:spacing w:val="-3"/>
          <w:sz w:val="21"/>
        </w:rPr>
        <w:t>“</w:t>
      </w:r>
      <w:r>
        <w:rPr>
          <w:spacing w:val="-3"/>
          <w:sz w:val="21"/>
        </w:rPr>
        <w:t>，但其字体不应大于法定计量单位。</w:t>
      </w:r>
      <w:r>
        <w:rPr>
          <w:sz w:val="21"/>
        </w:rPr>
        <w:t xml:space="preserve"> </w:t>
      </w:r>
    </w:p>
    <w:p w14:paraId="313D3581" w14:textId="77777777" w:rsidR="00A71EEF" w:rsidRDefault="0081115D">
      <w:pPr>
        <w:pStyle w:val="a4"/>
        <w:numPr>
          <w:ilvl w:val="1"/>
          <w:numId w:val="832"/>
        </w:numPr>
        <w:tabs>
          <w:tab w:val="left" w:pos="1160"/>
        </w:tabs>
        <w:spacing w:before="12"/>
        <w:rPr>
          <w:sz w:val="21"/>
        </w:rPr>
      </w:pPr>
      <w:r>
        <w:rPr>
          <w:spacing w:val="-3"/>
          <w:sz w:val="21"/>
        </w:rPr>
        <w:t>底盘的一般要求</w:t>
      </w:r>
      <w:r>
        <w:rPr>
          <w:sz w:val="21"/>
        </w:rPr>
        <w:t xml:space="preserve"> </w:t>
      </w:r>
    </w:p>
    <w:p w14:paraId="143A5901" w14:textId="77777777" w:rsidR="00A71EEF" w:rsidRDefault="00A71EEF">
      <w:pPr>
        <w:pStyle w:val="a3"/>
        <w:spacing w:before="12"/>
        <w:rPr>
          <w:sz w:val="17"/>
        </w:rPr>
      </w:pPr>
    </w:p>
    <w:p w14:paraId="1D752540" w14:textId="77777777" w:rsidR="00A71EEF" w:rsidRDefault="0081115D">
      <w:pPr>
        <w:pStyle w:val="a4"/>
        <w:numPr>
          <w:ilvl w:val="2"/>
          <w:numId w:val="832"/>
        </w:numPr>
        <w:tabs>
          <w:tab w:val="left" w:pos="1371"/>
        </w:tabs>
        <w:rPr>
          <w:sz w:val="21"/>
        </w:rPr>
      </w:pPr>
      <w:r>
        <w:rPr>
          <w:spacing w:val="-3"/>
          <w:sz w:val="21"/>
        </w:rPr>
        <w:t>底盘使用的各种仪表应采用国家的法定计量单位。</w:t>
      </w:r>
      <w:r>
        <w:rPr>
          <w:sz w:val="21"/>
        </w:rPr>
        <w:t xml:space="preserve"> </w:t>
      </w:r>
    </w:p>
    <w:p w14:paraId="3222D055" w14:textId="77777777" w:rsidR="00A71EEF" w:rsidRDefault="00A71EEF">
      <w:pPr>
        <w:pStyle w:val="a3"/>
        <w:rPr>
          <w:sz w:val="18"/>
        </w:rPr>
      </w:pPr>
    </w:p>
    <w:p w14:paraId="7C9F1CAD" w14:textId="77777777" w:rsidR="00A71EEF" w:rsidRDefault="0081115D">
      <w:pPr>
        <w:pStyle w:val="a4"/>
        <w:numPr>
          <w:ilvl w:val="2"/>
          <w:numId w:val="832"/>
        </w:numPr>
        <w:tabs>
          <w:tab w:val="left" w:pos="1370"/>
        </w:tabs>
        <w:ind w:left="1369" w:hanging="530"/>
        <w:rPr>
          <w:sz w:val="21"/>
        </w:rPr>
      </w:pPr>
      <w:r>
        <w:rPr>
          <w:spacing w:val="-8"/>
          <w:sz w:val="21"/>
        </w:rPr>
        <w:t>底盘的动力性能应符合</w:t>
      </w:r>
      <w:r>
        <w:rPr>
          <w:spacing w:val="-8"/>
          <w:sz w:val="21"/>
        </w:rPr>
        <w:t xml:space="preserve"> </w:t>
      </w:r>
      <w:r>
        <w:rPr>
          <w:sz w:val="21"/>
        </w:rPr>
        <w:t>5.1.2</w:t>
      </w:r>
      <w:r>
        <w:rPr>
          <w:spacing w:val="-13"/>
          <w:sz w:val="21"/>
        </w:rPr>
        <w:t xml:space="preserve"> </w:t>
      </w:r>
      <w:r>
        <w:rPr>
          <w:spacing w:val="-13"/>
          <w:sz w:val="21"/>
        </w:rPr>
        <w:t>的规定。</w:t>
      </w:r>
      <w:r>
        <w:rPr>
          <w:sz w:val="21"/>
        </w:rPr>
        <w:t xml:space="preserve"> </w:t>
      </w:r>
    </w:p>
    <w:p w14:paraId="7F1C03D7" w14:textId="77777777" w:rsidR="00A71EEF" w:rsidRDefault="00A71EEF">
      <w:pPr>
        <w:pStyle w:val="a3"/>
        <w:spacing w:before="2"/>
        <w:rPr>
          <w:sz w:val="18"/>
        </w:rPr>
      </w:pPr>
    </w:p>
    <w:p w14:paraId="70CC5DFE" w14:textId="77777777" w:rsidR="00A71EEF" w:rsidRDefault="0081115D">
      <w:pPr>
        <w:pStyle w:val="a4"/>
        <w:numPr>
          <w:ilvl w:val="2"/>
          <w:numId w:val="832"/>
        </w:numPr>
        <w:tabs>
          <w:tab w:val="left" w:pos="1371"/>
        </w:tabs>
        <w:rPr>
          <w:sz w:val="21"/>
        </w:rPr>
      </w:pPr>
      <w:r>
        <w:rPr>
          <w:spacing w:val="-3"/>
          <w:sz w:val="21"/>
        </w:rPr>
        <w:t>如果所选发动机装有自动断油系统，该系统应带有可切断系统工作的手动开关。</w:t>
      </w:r>
      <w:r>
        <w:rPr>
          <w:sz w:val="21"/>
        </w:rPr>
        <w:t xml:space="preserve"> </w:t>
      </w:r>
    </w:p>
    <w:p w14:paraId="6B3EC219" w14:textId="77777777" w:rsidR="00A71EEF" w:rsidRDefault="00A71EEF">
      <w:pPr>
        <w:rPr>
          <w:sz w:val="21"/>
        </w:rPr>
        <w:sectPr w:rsidR="00A71EEF">
          <w:pgSz w:w="11910" w:h="16850"/>
          <w:pgMar w:top="1600" w:right="0" w:bottom="1420" w:left="1260" w:header="0" w:footer="1239" w:gutter="0"/>
          <w:cols w:space="720"/>
        </w:sectPr>
      </w:pPr>
    </w:p>
    <w:p w14:paraId="61A9176A" w14:textId="77777777" w:rsidR="00A71EEF" w:rsidRDefault="0081115D">
      <w:pPr>
        <w:pStyle w:val="a4"/>
        <w:numPr>
          <w:ilvl w:val="2"/>
          <w:numId w:val="832"/>
        </w:numPr>
        <w:tabs>
          <w:tab w:val="left" w:pos="1371"/>
        </w:tabs>
        <w:spacing w:before="47" w:line="446" w:lineRule="auto"/>
        <w:ind w:left="418" w:right="1604" w:firstLine="422"/>
        <w:rPr>
          <w:sz w:val="21"/>
        </w:rPr>
      </w:pPr>
      <w:r>
        <w:rPr>
          <w:spacing w:val="-8"/>
          <w:sz w:val="21"/>
        </w:rPr>
        <w:lastRenderedPageBreak/>
        <w:t>选用进口底盘除符合</w:t>
      </w:r>
      <w:r>
        <w:rPr>
          <w:spacing w:val="-8"/>
          <w:sz w:val="21"/>
        </w:rPr>
        <w:t xml:space="preserve"> </w:t>
      </w:r>
      <w:r>
        <w:rPr>
          <w:sz w:val="21"/>
        </w:rPr>
        <w:t>5.3.1~5.3.3</w:t>
      </w:r>
      <w:r>
        <w:rPr>
          <w:spacing w:val="-8"/>
          <w:sz w:val="21"/>
        </w:rPr>
        <w:t xml:space="preserve"> </w:t>
      </w:r>
      <w:r>
        <w:rPr>
          <w:spacing w:val="-8"/>
          <w:sz w:val="21"/>
        </w:rPr>
        <w:t>的规定外，还应备有中文使用说明书、中文维修</w:t>
      </w:r>
      <w:r>
        <w:rPr>
          <w:spacing w:val="-6"/>
          <w:sz w:val="21"/>
        </w:rPr>
        <w:t>手册等资料。</w:t>
      </w:r>
      <w:r>
        <w:rPr>
          <w:sz w:val="21"/>
        </w:rPr>
        <w:t xml:space="preserve"> </w:t>
      </w:r>
    </w:p>
    <w:p w14:paraId="2EF431B9" w14:textId="77777777" w:rsidR="00A71EEF" w:rsidRDefault="0081115D">
      <w:pPr>
        <w:pStyle w:val="a4"/>
        <w:numPr>
          <w:ilvl w:val="1"/>
          <w:numId w:val="832"/>
        </w:numPr>
        <w:tabs>
          <w:tab w:val="left" w:pos="1160"/>
        </w:tabs>
        <w:spacing w:line="267" w:lineRule="exact"/>
        <w:rPr>
          <w:b/>
          <w:sz w:val="21"/>
        </w:rPr>
      </w:pPr>
      <w:r>
        <w:rPr>
          <w:spacing w:val="-3"/>
          <w:sz w:val="21"/>
        </w:rPr>
        <w:t>底盘的改制要求</w:t>
      </w:r>
      <w:r>
        <w:rPr>
          <w:b/>
          <w:w w:val="99"/>
          <w:sz w:val="21"/>
        </w:rPr>
        <w:t xml:space="preserve"> </w:t>
      </w:r>
    </w:p>
    <w:p w14:paraId="6924557B" w14:textId="77777777" w:rsidR="00A71EEF" w:rsidRDefault="00A71EEF">
      <w:pPr>
        <w:pStyle w:val="a3"/>
        <w:spacing w:before="2"/>
        <w:rPr>
          <w:b/>
          <w:sz w:val="18"/>
        </w:rPr>
      </w:pPr>
    </w:p>
    <w:p w14:paraId="31F03044" w14:textId="77777777" w:rsidR="00A71EEF" w:rsidRDefault="0081115D">
      <w:pPr>
        <w:pStyle w:val="a4"/>
        <w:numPr>
          <w:ilvl w:val="2"/>
          <w:numId w:val="832"/>
        </w:numPr>
        <w:tabs>
          <w:tab w:val="left" w:pos="1370"/>
        </w:tabs>
        <w:ind w:left="1369" w:hanging="530"/>
        <w:rPr>
          <w:sz w:val="21"/>
        </w:rPr>
      </w:pPr>
      <w:r>
        <w:rPr>
          <w:spacing w:val="-3"/>
          <w:sz w:val="21"/>
        </w:rPr>
        <w:t>底盘改制前的要求</w:t>
      </w:r>
      <w:r>
        <w:rPr>
          <w:sz w:val="21"/>
        </w:rPr>
        <w:t xml:space="preserve"> </w:t>
      </w:r>
    </w:p>
    <w:p w14:paraId="66787FB6" w14:textId="77777777" w:rsidR="00A71EEF" w:rsidRDefault="00A71EEF">
      <w:pPr>
        <w:pStyle w:val="a3"/>
        <w:rPr>
          <w:sz w:val="18"/>
        </w:rPr>
      </w:pPr>
    </w:p>
    <w:p w14:paraId="37C84F3F" w14:textId="77777777" w:rsidR="00A71EEF" w:rsidRDefault="0081115D">
      <w:pPr>
        <w:pStyle w:val="a4"/>
        <w:numPr>
          <w:ilvl w:val="3"/>
          <w:numId w:val="832"/>
        </w:numPr>
        <w:tabs>
          <w:tab w:val="left" w:pos="1576"/>
        </w:tabs>
        <w:rPr>
          <w:sz w:val="21"/>
        </w:rPr>
      </w:pPr>
      <w:r>
        <w:rPr>
          <w:spacing w:val="-3"/>
          <w:sz w:val="21"/>
        </w:rPr>
        <w:t>发动机的冷却</w:t>
      </w:r>
      <w:r>
        <w:rPr>
          <w:sz w:val="21"/>
        </w:rPr>
        <w:t xml:space="preserve"> </w:t>
      </w:r>
    </w:p>
    <w:p w14:paraId="1A94ED78" w14:textId="77777777" w:rsidR="00A71EEF" w:rsidRDefault="00A71EEF">
      <w:pPr>
        <w:pStyle w:val="a3"/>
        <w:spacing w:before="12"/>
        <w:rPr>
          <w:sz w:val="17"/>
        </w:rPr>
      </w:pPr>
    </w:p>
    <w:p w14:paraId="5E66D64E" w14:textId="77777777" w:rsidR="00A71EEF" w:rsidRDefault="0081115D">
      <w:pPr>
        <w:pStyle w:val="a3"/>
        <w:spacing w:line="446" w:lineRule="auto"/>
        <w:ind w:left="418" w:right="1505" w:firstLine="419"/>
        <w:jc w:val="both"/>
      </w:pPr>
      <w:r>
        <w:rPr>
          <w:spacing w:val="-3"/>
        </w:rPr>
        <w:t>消防车用的底盆当需在停车状态驱动大功率负载时其发动机的冷却系统应加装附加冷却系统，附加冷却系统的冷却介质与发动机冷却水不能相混，并在最低处有放尽冷却介质的装置。附加冷却系统应保证在消防车设计的各种工况下都能将发动机温度控制在符合要求的范围内。</w:t>
      </w:r>
      <w:r>
        <w:t xml:space="preserve"> </w:t>
      </w:r>
    </w:p>
    <w:p w14:paraId="2A3853A4" w14:textId="77777777" w:rsidR="00A71EEF" w:rsidRDefault="0081115D">
      <w:pPr>
        <w:pStyle w:val="a4"/>
        <w:numPr>
          <w:ilvl w:val="3"/>
          <w:numId w:val="832"/>
        </w:numPr>
        <w:tabs>
          <w:tab w:val="left" w:pos="1576"/>
        </w:tabs>
        <w:spacing w:line="268" w:lineRule="exact"/>
        <w:rPr>
          <w:sz w:val="21"/>
        </w:rPr>
      </w:pPr>
      <w:r>
        <w:rPr>
          <w:spacing w:val="-3"/>
          <w:sz w:val="21"/>
        </w:rPr>
        <w:t>功率输出装置</w:t>
      </w:r>
      <w:r>
        <w:rPr>
          <w:sz w:val="21"/>
        </w:rPr>
        <w:t xml:space="preserve"> </w:t>
      </w:r>
    </w:p>
    <w:p w14:paraId="4DED843B" w14:textId="77777777" w:rsidR="00A71EEF" w:rsidRDefault="00A71EEF">
      <w:pPr>
        <w:pStyle w:val="a3"/>
        <w:spacing w:before="2"/>
        <w:rPr>
          <w:sz w:val="18"/>
        </w:rPr>
      </w:pPr>
    </w:p>
    <w:p w14:paraId="2BF6BA7B" w14:textId="77777777" w:rsidR="00A71EEF" w:rsidRDefault="0081115D">
      <w:pPr>
        <w:pStyle w:val="a4"/>
        <w:numPr>
          <w:ilvl w:val="4"/>
          <w:numId w:val="832"/>
        </w:numPr>
        <w:tabs>
          <w:tab w:val="left" w:pos="1788"/>
        </w:tabs>
        <w:spacing w:line="446" w:lineRule="auto"/>
        <w:ind w:right="1609" w:firstLine="419"/>
        <w:jc w:val="both"/>
        <w:rPr>
          <w:sz w:val="21"/>
        </w:rPr>
      </w:pPr>
      <w:r>
        <w:rPr>
          <w:spacing w:val="-3"/>
          <w:sz w:val="21"/>
        </w:rPr>
        <w:t>对需要有动力输出要求的消防车底盘应安装功率输出装置。若驱动的负载大于</w:t>
      </w:r>
      <w:r>
        <w:rPr>
          <w:spacing w:val="-8"/>
          <w:sz w:val="21"/>
        </w:rPr>
        <w:t>发动机额定输出功率的</w:t>
      </w:r>
      <w:r>
        <w:rPr>
          <w:spacing w:val="-8"/>
          <w:sz w:val="21"/>
        </w:rPr>
        <w:t xml:space="preserve"> </w:t>
      </w:r>
      <w:r>
        <w:rPr>
          <w:sz w:val="21"/>
        </w:rPr>
        <w:t>60</w:t>
      </w:r>
      <w:r>
        <w:rPr>
          <w:spacing w:val="-3"/>
          <w:sz w:val="21"/>
        </w:rPr>
        <w:t>%</w:t>
      </w:r>
      <w:r>
        <w:rPr>
          <w:spacing w:val="-3"/>
          <w:sz w:val="21"/>
        </w:rPr>
        <w:t>以上时，应安装夹心式功率输出装置或断轴式功率输出装置。</w:t>
      </w:r>
      <w:r>
        <w:rPr>
          <w:sz w:val="21"/>
        </w:rPr>
        <w:t xml:space="preserve"> </w:t>
      </w:r>
    </w:p>
    <w:p w14:paraId="335CBB81" w14:textId="77777777" w:rsidR="00A71EEF" w:rsidRDefault="0081115D">
      <w:pPr>
        <w:pStyle w:val="a4"/>
        <w:numPr>
          <w:ilvl w:val="4"/>
          <w:numId w:val="832"/>
        </w:numPr>
        <w:tabs>
          <w:tab w:val="left" w:pos="1788"/>
        </w:tabs>
        <w:spacing w:line="446" w:lineRule="auto"/>
        <w:ind w:right="1608" w:firstLine="419"/>
        <w:jc w:val="both"/>
        <w:rPr>
          <w:sz w:val="21"/>
        </w:rPr>
      </w:pPr>
      <w:r>
        <w:rPr>
          <w:spacing w:val="-3"/>
          <w:sz w:val="21"/>
        </w:rPr>
        <w:t>夹心式功率输出装置或断轴式功率输出装置宜加装强制冷却器，强制冷却器的液体冷却介质不应与功率输出装置的润滑油相混。冷却介质的流量应能调节，并在最低处有放尽冷却介质的装置。</w:t>
      </w:r>
      <w:r>
        <w:rPr>
          <w:sz w:val="21"/>
        </w:rPr>
        <w:t xml:space="preserve"> </w:t>
      </w:r>
    </w:p>
    <w:p w14:paraId="07920DE5" w14:textId="77777777" w:rsidR="00A71EEF" w:rsidRDefault="0081115D">
      <w:pPr>
        <w:pStyle w:val="a4"/>
        <w:numPr>
          <w:ilvl w:val="4"/>
          <w:numId w:val="832"/>
        </w:numPr>
        <w:tabs>
          <w:tab w:val="left" w:pos="1788"/>
        </w:tabs>
        <w:spacing w:line="446" w:lineRule="auto"/>
        <w:ind w:right="1609" w:firstLine="419"/>
        <w:rPr>
          <w:sz w:val="21"/>
        </w:rPr>
      </w:pPr>
      <w:r>
        <w:rPr>
          <w:spacing w:val="-3"/>
          <w:sz w:val="21"/>
        </w:rPr>
        <w:t>功率输出装置的操纵按钮旁应有中文指示和工作指示灯，断轴式功率输出装置的操纵按钮在驱动消防泵的位置应有防止误操作机构。</w:t>
      </w:r>
      <w:r>
        <w:rPr>
          <w:sz w:val="21"/>
        </w:rPr>
        <w:t xml:space="preserve"> </w:t>
      </w:r>
    </w:p>
    <w:p w14:paraId="092BCF5B" w14:textId="77777777" w:rsidR="00A71EEF" w:rsidRDefault="0081115D">
      <w:pPr>
        <w:pStyle w:val="a4"/>
        <w:numPr>
          <w:ilvl w:val="4"/>
          <w:numId w:val="832"/>
        </w:numPr>
        <w:tabs>
          <w:tab w:val="left" w:pos="1788"/>
        </w:tabs>
        <w:ind w:left="1787"/>
        <w:rPr>
          <w:sz w:val="21"/>
        </w:rPr>
      </w:pPr>
      <w:r>
        <w:rPr>
          <w:spacing w:val="-5"/>
          <w:sz w:val="21"/>
        </w:rPr>
        <w:t>功率输出装置在额定负载工况下持续工作时间不应小于</w:t>
      </w:r>
      <w:r>
        <w:rPr>
          <w:spacing w:val="-5"/>
          <w:sz w:val="21"/>
        </w:rPr>
        <w:t xml:space="preserve"> </w:t>
      </w:r>
      <w:r>
        <w:rPr>
          <w:sz w:val="21"/>
        </w:rPr>
        <w:t>6</w:t>
      </w:r>
      <w:r>
        <w:rPr>
          <w:spacing w:val="3"/>
          <w:sz w:val="21"/>
        </w:rPr>
        <w:t xml:space="preserve"> </w:t>
      </w:r>
      <w:r>
        <w:rPr>
          <w:sz w:val="21"/>
        </w:rPr>
        <w:t>h</w:t>
      </w:r>
      <w:r>
        <w:rPr>
          <w:spacing w:val="-3"/>
          <w:sz w:val="21"/>
        </w:rPr>
        <w:t>，最高油温不应大于</w:t>
      </w:r>
    </w:p>
    <w:p w14:paraId="70BE7C45" w14:textId="77777777" w:rsidR="00A71EEF" w:rsidRDefault="00A71EEF">
      <w:pPr>
        <w:pStyle w:val="a3"/>
        <w:spacing w:before="9"/>
        <w:rPr>
          <w:sz w:val="17"/>
        </w:rPr>
      </w:pPr>
    </w:p>
    <w:p w14:paraId="56B25555" w14:textId="77777777" w:rsidR="00A71EEF" w:rsidRDefault="0081115D">
      <w:pPr>
        <w:pStyle w:val="a3"/>
        <w:ind w:left="418"/>
      </w:pPr>
      <w:r>
        <w:t>100 ℃</w:t>
      </w:r>
      <w:r>
        <w:t>。</w:t>
      </w:r>
      <w:r>
        <w:t xml:space="preserve"> </w:t>
      </w:r>
    </w:p>
    <w:p w14:paraId="128077DF" w14:textId="77777777" w:rsidR="00A71EEF" w:rsidRDefault="00A71EEF">
      <w:pPr>
        <w:pStyle w:val="a3"/>
        <w:spacing w:before="1"/>
        <w:rPr>
          <w:sz w:val="18"/>
        </w:rPr>
      </w:pPr>
    </w:p>
    <w:p w14:paraId="65835F41" w14:textId="77777777" w:rsidR="00A71EEF" w:rsidRDefault="0081115D">
      <w:pPr>
        <w:pStyle w:val="a4"/>
        <w:numPr>
          <w:ilvl w:val="3"/>
          <w:numId w:val="832"/>
        </w:numPr>
        <w:tabs>
          <w:tab w:val="left" w:pos="1576"/>
        </w:tabs>
        <w:spacing w:before="1"/>
        <w:rPr>
          <w:sz w:val="21"/>
        </w:rPr>
      </w:pPr>
      <w:r>
        <w:rPr>
          <w:spacing w:val="-3"/>
          <w:sz w:val="21"/>
        </w:rPr>
        <w:t>离合器</w:t>
      </w:r>
      <w:r>
        <w:rPr>
          <w:sz w:val="21"/>
        </w:rPr>
        <w:t xml:space="preserve"> </w:t>
      </w:r>
    </w:p>
    <w:p w14:paraId="7BEA381F" w14:textId="77777777" w:rsidR="00A71EEF" w:rsidRDefault="00A71EEF">
      <w:pPr>
        <w:pStyle w:val="a3"/>
        <w:rPr>
          <w:sz w:val="18"/>
        </w:rPr>
      </w:pPr>
    </w:p>
    <w:p w14:paraId="6377F299" w14:textId="77777777" w:rsidR="00A71EEF" w:rsidRDefault="0081115D">
      <w:pPr>
        <w:pStyle w:val="a3"/>
        <w:spacing w:line="446" w:lineRule="auto"/>
        <w:ind w:left="418" w:right="1609" w:firstLine="419"/>
      </w:pPr>
      <w:r>
        <w:t>加装夹心式功率输出装置后，离合器接合应平稳，分离彻底，工作时不应有异响、抖动或不正常打滑现象。</w:t>
      </w:r>
      <w:r>
        <w:t xml:space="preserve"> </w:t>
      </w:r>
    </w:p>
    <w:p w14:paraId="0BA2C2CF" w14:textId="77777777" w:rsidR="00A71EEF" w:rsidRDefault="0081115D">
      <w:pPr>
        <w:pStyle w:val="a4"/>
        <w:numPr>
          <w:ilvl w:val="3"/>
          <w:numId w:val="832"/>
        </w:numPr>
        <w:tabs>
          <w:tab w:val="left" w:pos="1576"/>
        </w:tabs>
        <w:rPr>
          <w:sz w:val="21"/>
        </w:rPr>
      </w:pPr>
      <w:r>
        <w:rPr>
          <w:spacing w:val="-3"/>
          <w:sz w:val="21"/>
        </w:rPr>
        <w:t>变速器</w:t>
      </w:r>
      <w:r>
        <w:rPr>
          <w:sz w:val="21"/>
        </w:rPr>
        <w:t xml:space="preserve"> </w:t>
      </w:r>
    </w:p>
    <w:p w14:paraId="7E182FE6" w14:textId="77777777" w:rsidR="00A71EEF" w:rsidRDefault="00A71EEF">
      <w:pPr>
        <w:pStyle w:val="a3"/>
        <w:spacing w:before="12"/>
        <w:rPr>
          <w:sz w:val="17"/>
        </w:rPr>
      </w:pPr>
    </w:p>
    <w:p w14:paraId="00F28D4F" w14:textId="77777777" w:rsidR="00A71EEF" w:rsidRDefault="0081115D">
      <w:pPr>
        <w:pStyle w:val="a3"/>
        <w:spacing w:line="446" w:lineRule="auto"/>
        <w:ind w:left="418" w:right="1609" w:firstLine="419"/>
      </w:pPr>
      <w:r>
        <w:t>加</w:t>
      </w:r>
      <w:r>
        <w:t>装夹心式功率输出装置后，变速器的操作应平稳可靠，无卡阻、跳挡、脱挡现象。运行中应无异响，换挡杆及其传动杆件不应与其他部件干涉。</w:t>
      </w:r>
      <w:r>
        <w:t xml:space="preserve"> </w:t>
      </w:r>
    </w:p>
    <w:p w14:paraId="7423C1D3" w14:textId="77777777" w:rsidR="00A71EEF" w:rsidRDefault="0081115D">
      <w:pPr>
        <w:pStyle w:val="a4"/>
        <w:numPr>
          <w:ilvl w:val="3"/>
          <w:numId w:val="832"/>
        </w:numPr>
        <w:tabs>
          <w:tab w:val="left" w:pos="1576"/>
        </w:tabs>
        <w:rPr>
          <w:sz w:val="21"/>
        </w:rPr>
      </w:pPr>
      <w:r>
        <w:rPr>
          <w:spacing w:val="-3"/>
          <w:sz w:val="21"/>
        </w:rPr>
        <w:t>传动轴</w:t>
      </w:r>
      <w:r>
        <w:rPr>
          <w:sz w:val="21"/>
        </w:rPr>
        <w:t xml:space="preserve"> </w:t>
      </w:r>
    </w:p>
    <w:p w14:paraId="1ACFA95A" w14:textId="77777777" w:rsidR="00A71EEF" w:rsidRDefault="00A71EEF">
      <w:pPr>
        <w:pStyle w:val="a3"/>
        <w:rPr>
          <w:sz w:val="18"/>
        </w:rPr>
      </w:pPr>
    </w:p>
    <w:p w14:paraId="2BA09DB7" w14:textId="77777777" w:rsidR="00A71EEF" w:rsidRDefault="0081115D">
      <w:pPr>
        <w:pStyle w:val="a4"/>
        <w:numPr>
          <w:ilvl w:val="4"/>
          <w:numId w:val="832"/>
        </w:numPr>
        <w:tabs>
          <w:tab w:val="left" w:pos="1788"/>
        </w:tabs>
        <w:spacing w:line="446" w:lineRule="auto"/>
        <w:ind w:right="1609" w:firstLine="419"/>
        <w:rPr>
          <w:sz w:val="21"/>
        </w:rPr>
      </w:pPr>
      <w:r>
        <w:rPr>
          <w:spacing w:val="-3"/>
          <w:sz w:val="21"/>
        </w:rPr>
        <w:t>加装功率输出装置后，如对行驶驱动传动轴进行了改制，应对传动轴动平衡进行校核，校核结果符合底盘的动平衡的要求。</w:t>
      </w:r>
      <w:r>
        <w:rPr>
          <w:sz w:val="21"/>
        </w:rPr>
        <w:t xml:space="preserve"> </w:t>
      </w:r>
    </w:p>
    <w:p w14:paraId="4BCF3BEA" w14:textId="77777777" w:rsidR="00A71EEF" w:rsidRDefault="00A71EEF">
      <w:pPr>
        <w:spacing w:line="446" w:lineRule="auto"/>
        <w:rPr>
          <w:sz w:val="21"/>
        </w:rPr>
        <w:sectPr w:rsidR="00A71EEF">
          <w:pgSz w:w="11910" w:h="16850"/>
          <w:pgMar w:top="1220" w:right="0" w:bottom="1420" w:left="1260" w:header="0" w:footer="1239" w:gutter="0"/>
          <w:cols w:space="720"/>
        </w:sectPr>
      </w:pPr>
    </w:p>
    <w:p w14:paraId="683A4FF4" w14:textId="77777777" w:rsidR="00A71EEF" w:rsidRDefault="0081115D">
      <w:pPr>
        <w:pStyle w:val="a4"/>
        <w:numPr>
          <w:ilvl w:val="4"/>
          <w:numId w:val="832"/>
        </w:numPr>
        <w:tabs>
          <w:tab w:val="left" w:pos="1788"/>
        </w:tabs>
        <w:spacing w:before="47" w:line="446" w:lineRule="auto"/>
        <w:ind w:right="1609" w:firstLine="419"/>
        <w:rPr>
          <w:sz w:val="21"/>
        </w:rPr>
      </w:pPr>
      <w:r>
        <w:rPr>
          <w:spacing w:val="-3"/>
          <w:sz w:val="21"/>
        </w:rPr>
        <w:lastRenderedPageBreak/>
        <w:t>功率输出装置与负载相连的传动轴应校核动平衡，保证运行平稳，不发生振抖和异响。</w:t>
      </w:r>
      <w:r>
        <w:rPr>
          <w:sz w:val="21"/>
        </w:rPr>
        <w:t xml:space="preserve"> </w:t>
      </w:r>
    </w:p>
    <w:p w14:paraId="201A3C94" w14:textId="77777777" w:rsidR="00A71EEF" w:rsidRDefault="0081115D">
      <w:pPr>
        <w:pStyle w:val="a4"/>
        <w:numPr>
          <w:ilvl w:val="3"/>
          <w:numId w:val="832"/>
        </w:numPr>
        <w:tabs>
          <w:tab w:val="left" w:pos="1576"/>
        </w:tabs>
        <w:spacing w:line="267" w:lineRule="exact"/>
        <w:rPr>
          <w:sz w:val="21"/>
        </w:rPr>
      </w:pPr>
      <w:r>
        <w:rPr>
          <w:spacing w:val="-3"/>
          <w:sz w:val="21"/>
        </w:rPr>
        <w:t>排气系统</w:t>
      </w:r>
      <w:r>
        <w:rPr>
          <w:sz w:val="21"/>
        </w:rPr>
        <w:t xml:space="preserve"> </w:t>
      </w:r>
    </w:p>
    <w:p w14:paraId="2992B3B0" w14:textId="77777777" w:rsidR="00A71EEF" w:rsidRDefault="00A71EEF">
      <w:pPr>
        <w:pStyle w:val="a3"/>
        <w:spacing w:before="2"/>
        <w:rPr>
          <w:sz w:val="18"/>
        </w:rPr>
      </w:pPr>
    </w:p>
    <w:p w14:paraId="7C042A12" w14:textId="77777777" w:rsidR="00A71EEF" w:rsidRDefault="0081115D">
      <w:pPr>
        <w:pStyle w:val="a4"/>
        <w:numPr>
          <w:ilvl w:val="4"/>
          <w:numId w:val="832"/>
        </w:numPr>
        <w:tabs>
          <w:tab w:val="left" w:pos="1787"/>
        </w:tabs>
        <w:ind w:left="1787" w:hanging="949"/>
        <w:rPr>
          <w:sz w:val="21"/>
        </w:rPr>
      </w:pPr>
      <w:r>
        <w:rPr>
          <w:spacing w:val="-3"/>
          <w:sz w:val="21"/>
        </w:rPr>
        <w:t>排气口不应朝着操作人员或消防车右侧。</w:t>
      </w:r>
      <w:r>
        <w:rPr>
          <w:spacing w:val="-3"/>
          <w:sz w:val="21"/>
        </w:rPr>
        <w:t xml:space="preserve"> </w:t>
      </w:r>
    </w:p>
    <w:p w14:paraId="46CEEB27" w14:textId="77777777" w:rsidR="00A71EEF" w:rsidRDefault="00A71EEF">
      <w:pPr>
        <w:pStyle w:val="a3"/>
        <w:rPr>
          <w:sz w:val="18"/>
        </w:rPr>
      </w:pPr>
    </w:p>
    <w:p w14:paraId="0B1FFF54" w14:textId="77777777" w:rsidR="00A71EEF" w:rsidRDefault="0081115D">
      <w:pPr>
        <w:pStyle w:val="a4"/>
        <w:numPr>
          <w:ilvl w:val="4"/>
          <w:numId w:val="832"/>
        </w:numPr>
        <w:tabs>
          <w:tab w:val="left" w:pos="1788"/>
        </w:tabs>
        <w:ind w:left="1787"/>
        <w:rPr>
          <w:sz w:val="21"/>
        </w:rPr>
      </w:pPr>
      <w:r>
        <w:rPr>
          <w:spacing w:val="-3"/>
          <w:sz w:val="21"/>
        </w:rPr>
        <w:t>排气管不应布置在可能导致车辆部件或消防装置过热的地方。</w:t>
      </w:r>
      <w:r>
        <w:rPr>
          <w:sz w:val="21"/>
        </w:rPr>
        <w:t xml:space="preserve"> </w:t>
      </w:r>
    </w:p>
    <w:p w14:paraId="6592E9EB" w14:textId="77777777" w:rsidR="00A71EEF" w:rsidRDefault="00A71EEF">
      <w:pPr>
        <w:pStyle w:val="a3"/>
        <w:spacing w:before="12"/>
        <w:rPr>
          <w:sz w:val="17"/>
        </w:rPr>
      </w:pPr>
    </w:p>
    <w:p w14:paraId="5024C33F" w14:textId="77777777" w:rsidR="00A71EEF" w:rsidRDefault="0081115D">
      <w:pPr>
        <w:pStyle w:val="a4"/>
        <w:numPr>
          <w:ilvl w:val="4"/>
          <w:numId w:val="832"/>
        </w:numPr>
        <w:tabs>
          <w:tab w:val="left" w:pos="1788"/>
        </w:tabs>
        <w:ind w:left="1787"/>
        <w:rPr>
          <w:sz w:val="21"/>
        </w:rPr>
      </w:pPr>
      <w:r>
        <w:rPr>
          <w:spacing w:val="-3"/>
          <w:sz w:val="21"/>
        </w:rPr>
        <w:t>排气管应安装消声器。</w:t>
      </w:r>
      <w:r>
        <w:rPr>
          <w:sz w:val="21"/>
        </w:rPr>
        <w:t xml:space="preserve"> </w:t>
      </w:r>
    </w:p>
    <w:p w14:paraId="2D6330CA" w14:textId="77777777" w:rsidR="00A71EEF" w:rsidRDefault="00A71EEF">
      <w:pPr>
        <w:pStyle w:val="a3"/>
        <w:spacing w:before="2"/>
        <w:rPr>
          <w:sz w:val="18"/>
        </w:rPr>
      </w:pPr>
    </w:p>
    <w:p w14:paraId="5153743F" w14:textId="77777777" w:rsidR="00A71EEF" w:rsidRDefault="0081115D">
      <w:pPr>
        <w:pStyle w:val="a4"/>
        <w:numPr>
          <w:ilvl w:val="4"/>
          <w:numId w:val="832"/>
        </w:numPr>
        <w:tabs>
          <w:tab w:val="left" w:pos="1788"/>
        </w:tabs>
        <w:ind w:left="1787"/>
        <w:rPr>
          <w:sz w:val="21"/>
        </w:rPr>
      </w:pPr>
      <w:r>
        <w:rPr>
          <w:spacing w:val="-3"/>
          <w:sz w:val="21"/>
        </w:rPr>
        <w:t>在排气系统暴露的地方应设置保护装置以防止可能对操作人员带来的伤害。</w:t>
      </w:r>
      <w:r>
        <w:rPr>
          <w:spacing w:val="-3"/>
          <w:sz w:val="21"/>
        </w:rPr>
        <w:t xml:space="preserve"> </w:t>
      </w:r>
    </w:p>
    <w:p w14:paraId="099F7DF1" w14:textId="77777777" w:rsidR="00A71EEF" w:rsidRDefault="00A71EEF">
      <w:pPr>
        <w:pStyle w:val="a3"/>
        <w:rPr>
          <w:sz w:val="18"/>
        </w:rPr>
      </w:pPr>
    </w:p>
    <w:p w14:paraId="46AF2CFD" w14:textId="77777777" w:rsidR="00A71EEF" w:rsidRDefault="0081115D">
      <w:pPr>
        <w:pStyle w:val="a4"/>
        <w:numPr>
          <w:ilvl w:val="3"/>
          <w:numId w:val="832"/>
        </w:numPr>
        <w:tabs>
          <w:tab w:val="left" w:pos="1576"/>
        </w:tabs>
        <w:rPr>
          <w:sz w:val="21"/>
        </w:rPr>
      </w:pPr>
      <w:r>
        <w:rPr>
          <w:spacing w:val="-3"/>
          <w:sz w:val="21"/>
        </w:rPr>
        <w:t>制动系统</w:t>
      </w:r>
      <w:r>
        <w:rPr>
          <w:sz w:val="21"/>
        </w:rPr>
        <w:t xml:space="preserve"> </w:t>
      </w:r>
    </w:p>
    <w:p w14:paraId="495DC6B8" w14:textId="77777777" w:rsidR="00A71EEF" w:rsidRDefault="00A71EEF">
      <w:pPr>
        <w:pStyle w:val="a3"/>
        <w:spacing w:before="12"/>
        <w:rPr>
          <w:sz w:val="17"/>
        </w:rPr>
      </w:pPr>
    </w:p>
    <w:p w14:paraId="2D9D4E65" w14:textId="77777777" w:rsidR="00A71EEF" w:rsidRDefault="0081115D">
      <w:pPr>
        <w:pStyle w:val="a4"/>
        <w:numPr>
          <w:ilvl w:val="4"/>
          <w:numId w:val="832"/>
        </w:numPr>
        <w:tabs>
          <w:tab w:val="left" w:pos="1788"/>
        </w:tabs>
        <w:ind w:left="1787"/>
        <w:rPr>
          <w:sz w:val="21"/>
        </w:rPr>
      </w:pPr>
      <w:r>
        <w:rPr>
          <w:spacing w:val="-3"/>
          <w:sz w:val="21"/>
        </w:rPr>
        <w:t>空气制动系统的压缩空气不能用于顶升气垫、气动工具等抢险救援设备。</w:t>
      </w:r>
      <w:r>
        <w:rPr>
          <w:spacing w:val="-3"/>
          <w:sz w:val="21"/>
        </w:rPr>
        <w:t xml:space="preserve"> </w:t>
      </w:r>
    </w:p>
    <w:p w14:paraId="06D55276" w14:textId="77777777" w:rsidR="00A71EEF" w:rsidRDefault="00A71EEF">
      <w:pPr>
        <w:pStyle w:val="a3"/>
        <w:spacing w:before="2"/>
        <w:rPr>
          <w:sz w:val="18"/>
        </w:rPr>
      </w:pPr>
    </w:p>
    <w:p w14:paraId="40C91D35" w14:textId="77777777" w:rsidR="00A71EEF" w:rsidRDefault="0081115D">
      <w:pPr>
        <w:pStyle w:val="a4"/>
        <w:numPr>
          <w:ilvl w:val="4"/>
          <w:numId w:val="832"/>
        </w:numPr>
        <w:tabs>
          <w:tab w:val="left" w:pos="1788"/>
        </w:tabs>
        <w:spacing w:line="446" w:lineRule="auto"/>
        <w:ind w:right="1608" w:firstLine="419"/>
        <w:jc w:val="both"/>
        <w:rPr>
          <w:sz w:val="21"/>
        </w:rPr>
      </w:pPr>
      <w:r>
        <w:rPr>
          <w:spacing w:val="-3"/>
          <w:sz w:val="21"/>
        </w:rPr>
        <w:t>当消防车使用底盘空气制动系统的压缩空气作为气动阀等部件的气源时，应从底盘制造厂规定的取气部位取气，并在取气管路中安装控制阀和过滤器，管路材料应与底盘制动系统管路相同而颜色不同。</w:t>
      </w:r>
      <w:r>
        <w:rPr>
          <w:sz w:val="21"/>
        </w:rPr>
        <w:t xml:space="preserve"> </w:t>
      </w:r>
    </w:p>
    <w:p w14:paraId="7E7257C3" w14:textId="77777777" w:rsidR="00A71EEF" w:rsidRDefault="0081115D">
      <w:pPr>
        <w:pStyle w:val="a4"/>
        <w:numPr>
          <w:ilvl w:val="4"/>
          <w:numId w:val="832"/>
        </w:numPr>
        <w:tabs>
          <w:tab w:val="left" w:pos="1787"/>
        </w:tabs>
        <w:spacing w:line="446" w:lineRule="auto"/>
        <w:ind w:right="1609" w:firstLine="419"/>
        <w:rPr>
          <w:sz w:val="21"/>
        </w:rPr>
      </w:pPr>
      <w:r>
        <w:rPr>
          <w:spacing w:val="-3"/>
          <w:sz w:val="21"/>
        </w:rPr>
        <w:t>制动管路及用气部件的气管不应与车架的刃边、撑杆、螺栓头或支架等接触。若无法避免，应采取护圈、波形管或橡胶夹片等保护措施。</w:t>
      </w:r>
      <w:r>
        <w:rPr>
          <w:sz w:val="21"/>
        </w:rPr>
        <w:t xml:space="preserve"> </w:t>
      </w:r>
    </w:p>
    <w:p w14:paraId="039DC80F" w14:textId="77777777" w:rsidR="00A71EEF" w:rsidRDefault="0081115D">
      <w:pPr>
        <w:pStyle w:val="a4"/>
        <w:numPr>
          <w:ilvl w:val="4"/>
          <w:numId w:val="832"/>
        </w:numPr>
        <w:tabs>
          <w:tab w:val="left" w:pos="1788"/>
        </w:tabs>
        <w:spacing w:line="446" w:lineRule="auto"/>
        <w:ind w:right="1609" w:firstLine="419"/>
        <w:rPr>
          <w:sz w:val="21"/>
        </w:rPr>
      </w:pPr>
      <w:r>
        <w:rPr>
          <w:spacing w:val="-3"/>
          <w:sz w:val="21"/>
        </w:rPr>
        <w:t>制动管路及用气部件气管路应采用紧固措施与车架固定，紧固措施的间距不大</w:t>
      </w:r>
      <w:r>
        <w:rPr>
          <w:spacing w:val="-28"/>
          <w:sz w:val="21"/>
        </w:rPr>
        <w:t>于</w:t>
      </w:r>
      <w:r>
        <w:rPr>
          <w:spacing w:val="-28"/>
          <w:sz w:val="21"/>
        </w:rPr>
        <w:t xml:space="preserve"> </w:t>
      </w:r>
      <w:r>
        <w:rPr>
          <w:sz w:val="21"/>
        </w:rPr>
        <w:t>600 mm</w:t>
      </w:r>
      <w:r>
        <w:rPr>
          <w:spacing w:val="-3"/>
          <w:sz w:val="21"/>
        </w:rPr>
        <w:t>。</w:t>
      </w:r>
      <w:r>
        <w:rPr>
          <w:sz w:val="21"/>
        </w:rPr>
        <w:t xml:space="preserve"> </w:t>
      </w:r>
    </w:p>
    <w:p w14:paraId="5710906F" w14:textId="77777777" w:rsidR="00A71EEF" w:rsidRDefault="0081115D">
      <w:pPr>
        <w:pStyle w:val="a4"/>
        <w:numPr>
          <w:ilvl w:val="4"/>
          <w:numId w:val="832"/>
        </w:numPr>
        <w:tabs>
          <w:tab w:val="left" w:pos="1788"/>
        </w:tabs>
        <w:spacing w:line="446" w:lineRule="auto"/>
        <w:ind w:right="1558" w:firstLine="419"/>
        <w:rPr>
          <w:sz w:val="21"/>
        </w:rPr>
      </w:pPr>
      <w:r>
        <w:rPr>
          <w:spacing w:val="-5"/>
          <w:sz w:val="21"/>
        </w:rPr>
        <w:t>制动管路及用气部件气管路与排气管等发热部件的距离若小于</w:t>
      </w:r>
      <w:r>
        <w:rPr>
          <w:spacing w:val="-5"/>
          <w:sz w:val="21"/>
        </w:rPr>
        <w:t xml:space="preserve"> </w:t>
      </w:r>
      <w:r>
        <w:rPr>
          <w:sz w:val="21"/>
        </w:rPr>
        <w:t>300</w:t>
      </w:r>
      <w:r>
        <w:rPr>
          <w:spacing w:val="12"/>
          <w:sz w:val="21"/>
        </w:rPr>
        <w:t xml:space="preserve"> </w:t>
      </w:r>
      <w:r>
        <w:rPr>
          <w:sz w:val="21"/>
        </w:rPr>
        <w:t>mm</w:t>
      </w:r>
      <w:r>
        <w:rPr>
          <w:spacing w:val="-1"/>
          <w:sz w:val="21"/>
        </w:rPr>
        <w:t>，应采用</w:t>
      </w:r>
      <w:r>
        <w:rPr>
          <w:spacing w:val="-3"/>
          <w:sz w:val="21"/>
        </w:rPr>
        <w:t>隔热措施保护管路。</w:t>
      </w:r>
      <w:r>
        <w:rPr>
          <w:sz w:val="21"/>
        </w:rPr>
        <w:t xml:space="preserve"> </w:t>
      </w:r>
    </w:p>
    <w:p w14:paraId="3181D9E0" w14:textId="77777777" w:rsidR="00A71EEF" w:rsidRDefault="0081115D">
      <w:pPr>
        <w:pStyle w:val="a4"/>
        <w:numPr>
          <w:ilvl w:val="4"/>
          <w:numId w:val="832"/>
        </w:numPr>
        <w:tabs>
          <w:tab w:val="left" w:pos="1788"/>
        </w:tabs>
        <w:spacing w:line="446" w:lineRule="auto"/>
        <w:ind w:right="1609" w:firstLine="419"/>
        <w:rPr>
          <w:sz w:val="21"/>
        </w:rPr>
      </w:pPr>
      <w:r>
        <w:rPr>
          <w:spacing w:val="-3"/>
          <w:sz w:val="21"/>
        </w:rPr>
        <w:t>制动管路及用气部件气管路应避免接触蓄电池酸性液体等有害液体。尼龙管路不应涂漆。</w:t>
      </w:r>
      <w:r>
        <w:rPr>
          <w:sz w:val="21"/>
        </w:rPr>
        <w:t xml:space="preserve"> </w:t>
      </w:r>
    </w:p>
    <w:p w14:paraId="5D904143" w14:textId="77777777" w:rsidR="00A71EEF" w:rsidRDefault="0081115D">
      <w:pPr>
        <w:pStyle w:val="a4"/>
        <w:numPr>
          <w:ilvl w:val="4"/>
          <w:numId w:val="832"/>
        </w:numPr>
        <w:tabs>
          <w:tab w:val="left" w:pos="1788"/>
        </w:tabs>
        <w:spacing w:line="267" w:lineRule="exact"/>
        <w:ind w:left="1787"/>
        <w:rPr>
          <w:sz w:val="21"/>
        </w:rPr>
      </w:pPr>
      <w:r>
        <w:rPr>
          <w:spacing w:val="-3"/>
          <w:sz w:val="21"/>
        </w:rPr>
        <w:t>经改制后的空气制动系统或液压制动系统不应漏气或漏油。</w:t>
      </w:r>
      <w:r>
        <w:rPr>
          <w:sz w:val="21"/>
        </w:rPr>
        <w:t xml:space="preserve"> </w:t>
      </w:r>
    </w:p>
    <w:p w14:paraId="02248DD9" w14:textId="77777777" w:rsidR="00A71EEF" w:rsidRDefault="00A71EEF">
      <w:pPr>
        <w:pStyle w:val="a3"/>
        <w:spacing w:before="11"/>
        <w:rPr>
          <w:sz w:val="17"/>
        </w:rPr>
      </w:pPr>
    </w:p>
    <w:p w14:paraId="4F625D87" w14:textId="77777777" w:rsidR="00A71EEF" w:rsidRDefault="0081115D">
      <w:pPr>
        <w:pStyle w:val="a4"/>
        <w:numPr>
          <w:ilvl w:val="3"/>
          <w:numId w:val="832"/>
        </w:numPr>
        <w:tabs>
          <w:tab w:val="left" w:pos="1576"/>
        </w:tabs>
        <w:rPr>
          <w:sz w:val="21"/>
        </w:rPr>
      </w:pPr>
      <w:r>
        <w:rPr>
          <w:spacing w:val="-2"/>
          <w:sz w:val="21"/>
        </w:rPr>
        <w:t>燃料系统</w:t>
      </w:r>
      <w:r>
        <w:rPr>
          <w:spacing w:val="-2"/>
          <w:sz w:val="21"/>
        </w:rPr>
        <w:t xml:space="preserve"> </w:t>
      </w:r>
    </w:p>
    <w:p w14:paraId="0BAAD785" w14:textId="77777777" w:rsidR="00A71EEF" w:rsidRDefault="00A71EEF">
      <w:pPr>
        <w:pStyle w:val="a3"/>
        <w:rPr>
          <w:sz w:val="18"/>
        </w:rPr>
      </w:pPr>
    </w:p>
    <w:p w14:paraId="341ABAC5" w14:textId="77777777" w:rsidR="00A71EEF" w:rsidRDefault="0081115D">
      <w:pPr>
        <w:pStyle w:val="a4"/>
        <w:numPr>
          <w:ilvl w:val="4"/>
          <w:numId w:val="832"/>
        </w:numPr>
        <w:tabs>
          <w:tab w:val="left" w:pos="1788"/>
        </w:tabs>
        <w:spacing w:line="446" w:lineRule="auto"/>
        <w:ind w:right="1609" w:firstLine="419"/>
        <w:rPr>
          <w:sz w:val="21"/>
        </w:rPr>
      </w:pPr>
      <w:r>
        <w:rPr>
          <w:spacing w:val="-3"/>
          <w:sz w:val="21"/>
        </w:rPr>
        <w:t>燃料箱及燃料管路应坚固并固定牢靠，不会因振动和冲击而发生损坏和漏油现象。</w:t>
      </w:r>
      <w:r>
        <w:rPr>
          <w:sz w:val="21"/>
        </w:rPr>
        <w:t xml:space="preserve"> </w:t>
      </w:r>
    </w:p>
    <w:p w14:paraId="007BECEA" w14:textId="77777777" w:rsidR="00A71EEF" w:rsidRDefault="0081115D">
      <w:pPr>
        <w:pStyle w:val="a4"/>
        <w:numPr>
          <w:ilvl w:val="4"/>
          <w:numId w:val="832"/>
        </w:numPr>
        <w:tabs>
          <w:tab w:val="left" w:pos="1788"/>
        </w:tabs>
        <w:ind w:left="1787"/>
        <w:rPr>
          <w:sz w:val="21"/>
        </w:rPr>
      </w:pPr>
      <w:r>
        <w:rPr>
          <w:spacing w:val="-3"/>
          <w:sz w:val="21"/>
        </w:rPr>
        <w:t>燃料箱的加油口及通气口应保证车辆晃动时不漏油。</w:t>
      </w:r>
      <w:r>
        <w:rPr>
          <w:sz w:val="21"/>
        </w:rPr>
        <w:t xml:space="preserve"> </w:t>
      </w:r>
    </w:p>
    <w:p w14:paraId="2D3C7C37" w14:textId="77777777" w:rsidR="00A71EEF" w:rsidRDefault="00A71EEF">
      <w:pPr>
        <w:pStyle w:val="a3"/>
        <w:spacing w:before="12"/>
        <w:rPr>
          <w:sz w:val="17"/>
        </w:rPr>
      </w:pPr>
    </w:p>
    <w:p w14:paraId="04760E18" w14:textId="77777777" w:rsidR="00A71EEF" w:rsidRDefault="0081115D">
      <w:pPr>
        <w:pStyle w:val="a4"/>
        <w:numPr>
          <w:ilvl w:val="4"/>
          <w:numId w:val="832"/>
        </w:numPr>
        <w:tabs>
          <w:tab w:val="left" w:pos="1788"/>
        </w:tabs>
        <w:spacing w:line="446" w:lineRule="auto"/>
        <w:ind w:right="1505" w:firstLine="419"/>
        <w:rPr>
          <w:sz w:val="21"/>
        </w:rPr>
      </w:pPr>
      <w:r>
        <w:rPr>
          <w:spacing w:val="-3"/>
          <w:sz w:val="21"/>
        </w:rPr>
        <w:t>燃料箱的加油口和通气口不应对着排气管的开口方向，且应距排气管的任一部位</w:t>
      </w:r>
      <w:r>
        <w:rPr>
          <w:spacing w:val="-3"/>
          <w:sz w:val="21"/>
        </w:rPr>
        <w:t>300</w:t>
      </w:r>
      <w:r>
        <w:rPr>
          <w:spacing w:val="20"/>
          <w:sz w:val="21"/>
        </w:rPr>
        <w:t xml:space="preserve"> </w:t>
      </w:r>
      <w:r>
        <w:rPr>
          <w:sz w:val="21"/>
        </w:rPr>
        <w:t>mm</w:t>
      </w:r>
      <w:r>
        <w:rPr>
          <w:spacing w:val="-8"/>
          <w:sz w:val="21"/>
        </w:rPr>
        <w:t xml:space="preserve"> </w:t>
      </w:r>
      <w:r>
        <w:rPr>
          <w:spacing w:val="-8"/>
          <w:sz w:val="21"/>
        </w:rPr>
        <w:t>以上，否则应设置有效的隔热装置。燃料箱的加油口和通气口应距裸露的电气接头及外部可能产生火花的电气开关</w:t>
      </w:r>
      <w:r>
        <w:rPr>
          <w:spacing w:val="-8"/>
          <w:sz w:val="21"/>
        </w:rPr>
        <w:t xml:space="preserve"> </w:t>
      </w:r>
      <w:r>
        <w:rPr>
          <w:sz w:val="21"/>
        </w:rPr>
        <w:t>200</w:t>
      </w:r>
      <w:r>
        <w:rPr>
          <w:spacing w:val="1"/>
          <w:sz w:val="21"/>
        </w:rPr>
        <w:t xml:space="preserve"> </w:t>
      </w:r>
      <w:r>
        <w:rPr>
          <w:sz w:val="21"/>
        </w:rPr>
        <w:t>mm</w:t>
      </w:r>
      <w:r>
        <w:rPr>
          <w:spacing w:val="-15"/>
          <w:sz w:val="21"/>
        </w:rPr>
        <w:t xml:space="preserve"> </w:t>
      </w:r>
      <w:r>
        <w:rPr>
          <w:spacing w:val="-15"/>
          <w:sz w:val="21"/>
        </w:rPr>
        <w:t>以上。</w:t>
      </w:r>
      <w:r>
        <w:rPr>
          <w:sz w:val="21"/>
        </w:rPr>
        <w:t xml:space="preserve"> </w:t>
      </w:r>
    </w:p>
    <w:p w14:paraId="400771F8" w14:textId="77777777" w:rsidR="00A71EEF" w:rsidRDefault="00A71EEF">
      <w:pPr>
        <w:spacing w:line="446" w:lineRule="auto"/>
        <w:rPr>
          <w:sz w:val="21"/>
        </w:rPr>
        <w:sectPr w:rsidR="00A71EEF">
          <w:pgSz w:w="11910" w:h="16850"/>
          <w:pgMar w:top="1220" w:right="0" w:bottom="1420" w:left="1260" w:header="0" w:footer="1239" w:gutter="0"/>
          <w:cols w:space="720"/>
        </w:sectPr>
      </w:pPr>
    </w:p>
    <w:p w14:paraId="78ABFE9C" w14:textId="77777777" w:rsidR="00A71EEF" w:rsidRDefault="0081115D">
      <w:pPr>
        <w:pStyle w:val="a4"/>
        <w:numPr>
          <w:ilvl w:val="4"/>
          <w:numId w:val="832"/>
        </w:numPr>
        <w:tabs>
          <w:tab w:val="left" w:pos="1788"/>
        </w:tabs>
        <w:spacing w:before="47" w:line="446" w:lineRule="auto"/>
        <w:ind w:right="1609" w:firstLine="419"/>
        <w:rPr>
          <w:sz w:val="21"/>
        </w:rPr>
      </w:pPr>
      <w:r>
        <w:rPr>
          <w:spacing w:val="-3"/>
          <w:sz w:val="21"/>
        </w:rPr>
        <w:lastRenderedPageBreak/>
        <w:t>燃料箱的加油口和通气口不应设置在有乘员的车厢内，改装不应影响燃油箱中输油管的拆装。</w:t>
      </w:r>
      <w:r>
        <w:rPr>
          <w:sz w:val="21"/>
        </w:rPr>
        <w:t xml:space="preserve"> </w:t>
      </w:r>
    </w:p>
    <w:p w14:paraId="7953A227" w14:textId="77777777" w:rsidR="00A71EEF" w:rsidRDefault="0081115D">
      <w:pPr>
        <w:pStyle w:val="a4"/>
        <w:numPr>
          <w:ilvl w:val="3"/>
          <w:numId w:val="832"/>
        </w:numPr>
        <w:tabs>
          <w:tab w:val="left" w:pos="1576"/>
        </w:tabs>
        <w:spacing w:line="267" w:lineRule="exact"/>
        <w:rPr>
          <w:sz w:val="21"/>
        </w:rPr>
      </w:pPr>
      <w:r>
        <w:rPr>
          <w:spacing w:val="-3"/>
          <w:sz w:val="21"/>
        </w:rPr>
        <w:t>车架</w:t>
      </w:r>
      <w:r>
        <w:rPr>
          <w:sz w:val="21"/>
        </w:rPr>
        <w:t xml:space="preserve"> </w:t>
      </w:r>
    </w:p>
    <w:p w14:paraId="18809932" w14:textId="77777777" w:rsidR="00A71EEF" w:rsidRDefault="00A71EEF">
      <w:pPr>
        <w:pStyle w:val="a3"/>
        <w:spacing w:before="2"/>
        <w:rPr>
          <w:sz w:val="18"/>
        </w:rPr>
      </w:pPr>
    </w:p>
    <w:p w14:paraId="1881E3B7" w14:textId="77777777" w:rsidR="00A71EEF" w:rsidRDefault="0081115D">
      <w:pPr>
        <w:pStyle w:val="a4"/>
        <w:numPr>
          <w:ilvl w:val="4"/>
          <w:numId w:val="832"/>
        </w:numPr>
        <w:tabs>
          <w:tab w:val="left" w:pos="1788"/>
        </w:tabs>
        <w:ind w:left="1787"/>
        <w:rPr>
          <w:sz w:val="21"/>
        </w:rPr>
      </w:pPr>
      <w:r>
        <w:rPr>
          <w:spacing w:val="-3"/>
          <w:sz w:val="21"/>
        </w:rPr>
        <w:t>当车架需要开孔时，应对所开之孔进行防腐处理。</w:t>
      </w:r>
      <w:r>
        <w:rPr>
          <w:sz w:val="21"/>
        </w:rPr>
        <w:t xml:space="preserve"> </w:t>
      </w:r>
    </w:p>
    <w:p w14:paraId="4A09A112" w14:textId="77777777" w:rsidR="00A71EEF" w:rsidRDefault="00A71EEF">
      <w:pPr>
        <w:pStyle w:val="a3"/>
        <w:rPr>
          <w:sz w:val="18"/>
        </w:rPr>
      </w:pPr>
    </w:p>
    <w:p w14:paraId="6E751537" w14:textId="77777777" w:rsidR="00A71EEF" w:rsidRDefault="0081115D">
      <w:pPr>
        <w:pStyle w:val="a4"/>
        <w:numPr>
          <w:ilvl w:val="4"/>
          <w:numId w:val="832"/>
        </w:numPr>
        <w:tabs>
          <w:tab w:val="left" w:pos="1788"/>
        </w:tabs>
        <w:ind w:left="1787"/>
        <w:rPr>
          <w:sz w:val="21"/>
        </w:rPr>
      </w:pPr>
      <w:r>
        <w:rPr>
          <w:spacing w:val="-3"/>
          <w:sz w:val="21"/>
        </w:rPr>
        <w:t>与车架联接的所有上装部件应采用铆接或螺栓连接，不应焊接。</w:t>
      </w:r>
      <w:r>
        <w:rPr>
          <w:spacing w:val="-3"/>
          <w:sz w:val="21"/>
        </w:rPr>
        <w:t xml:space="preserve"> </w:t>
      </w:r>
    </w:p>
    <w:p w14:paraId="1CBBCB7B" w14:textId="77777777" w:rsidR="00A71EEF" w:rsidRDefault="00A71EEF">
      <w:pPr>
        <w:pStyle w:val="a3"/>
        <w:spacing w:before="12"/>
        <w:rPr>
          <w:sz w:val="17"/>
        </w:rPr>
      </w:pPr>
    </w:p>
    <w:p w14:paraId="6B79E1C2" w14:textId="77777777" w:rsidR="00A71EEF" w:rsidRDefault="0081115D">
      <w:pPr>
        <w:pStyle w:val="a4"/>
        <w:numPr>
          <w:ilvl w:val="4"/>
          <w:numId w:val="832"/>
        </w:numPr>
        <w:tabs>
          <w:tab w:val="left" w:pos="1788"/>
        </w:tabs>
        <w:spacing w:line="446" w:lineRule="auto"/>
        <w:ind w:right="1609" w:firstLine="419"/>
        <w:rPr>
          <w:sz w:val="21"/>
        </w:rPr>
      </w:pPr>
      <w:r>
        <w:rPr>
          <w:spacing w:val="-3"/>
          <w:sz w:val="21"/>
        </w:rPr>
        <w:t>底盘车架上平面如有铆钉头或螺栓头，改制时不应对铆钉头或螺栓头进行打磨或其他有损其联接强度的加工。</w:t>
      </w:r>
      <w:r>
        <w:rPr>
          <w:sz w:val="21"/>
        </w:rPr>
        <w:t xml:space="preserve"> </w:t>
      </w:r>
    </w:p>
    <w:p w14:paraId="3DD6B288" w14:textId="77777777" w:rsidR="00A71EEF" w:rsidRDefault="0081115D">
      <w:pPr>
        <w:pStyle w:val="a4"/>
        <w:numPr>
          <w:ilvl w:val="4"/>
          <w:numId w:val="832"/>
        </w:numPr>
        <w:tabs>
          <w:tab w:val="left" w:pos="1788"/>
        </w:tabs>
        <w:spacing w:before="1" w:line="446" w:lineRule="auto"/>
        <w:ind w:right="1450" w:firstLine="419"/>
        <w:rPr>
          <w:sz w:val="21"/>
        </w:rPr>
      </w:pPr>
      <w:r>
        <w:rPr>
          <w:spacing w:val="-5"/>
          <w:sz w:val="21"/>
        </w:rPr>
        <w:t>底盘改制时可以接长后悬，但不应接长前悬。</w:t>
      </w:r>
      <w:r>
        <w:rPr>
          <w:spacing w:val="-5"/>
          <w:sz w:val="21"/>
        </w:rPr>
        <w:t>接长的后悬不应超过轴距的</w:t>
      </w:r>
      <w:r>
        <w:rPr>
          <w:spacing w:val="-5"/>
          <w:sz w:val="21"/>
        </w:rPr>
        <w:t xml:space="preserve"> </w:t>
      </w:r>
      <w:r>
        <w:rPr>
          <w:sz w:val="21"/>
        </w:rPr>
        <w:t>65%</w:t>
      </w:r>
      <w:r>
        <w:rPr>
          <w:sz w:val="21"/>
        </w:rPr>
        <w:t>，</w:t>
      </w:r>
      <w:r>
        <w:rPr>
          <w:sz w:val="21"/>
        </w:rPr>
        <w:t xml:space="preserve"> </w:t>
      </w:r>
      <w:r>
        <w:rPr>
          <w:spacing w:val="-10"/>
          <w:sz w:val="21"/>
        </w:rPr>
        <w:t>并且不应大于</w:t>
      </w:r>
      <w:r>
        <w:rPr>
          <w:spacing w:val="-10"/>
          <w:sz w:val="21"/>
        </w:rPr>
        <w:t xml:space="preserve"> </w:t>
      </w:r>
      <w:r>
        <w:rPr>
          <w:sz w:val="21"/>
        </w:rPr>
        <w:t xml:space="preserve">3.5 </w:t>
      </w:r>
      <w:r>
        <w:rPr>
          <w:spacing w:val="-3"/>
          <w:sz w:val="21"/>
        </w:rPr>
        <w:t>m</w:t>
      </w:r>
      <w:r>
        <w:rPr>
          <w:spacing w:val="-3"/>
          <w:sz w:val="21"/>
        </w:rPr>
        <w:t>。</w:t>
      </w:r>
      <w:r>
        <w:rPr>
          <w:sz w:val="21"/>
        </w:rPr>
        <w:t xml:space="preserve"> </w:t>
      </w:r>
    </w:p>
    <w:p w14:paraId="708BEA56" w14:textId="77777777" w:rsidR="00A71EEF" w:rsidRDefault="0081115D">
      <w:pPr>
        <w:pStyle w:val="a4"/>
        <w:numPr>
          <w:ilvl w:val="3"/>
          <w:numId w:val="832"/>
        </w:numPr>
        <w:tabs>
          <w:tab w:val="left" w:pos="1682"/>
        </w:tabs>
        <w:ind w:left="1681" w:hanging="844"/>
        <w:rPr>
          <w:sz w:val="21"/>
        </w:rPr>
      </w:pPr>
      <w:r>
        <w:rPr>
          <w:spacing w:val="-3"/>
          <w:sz w:val="21"/>
        </w:rPr>
        <w:t>牵引钩</w:t>
      </w:r>
      <w:r>
        <w:rPr>
          <w:sz w:val="21"/>
        </w:rPr>
        <w:t xml:space="preserve"> </w:t>
      </w:r>
    </w:p>
    <w:p w14:paraId="42A9EAC4" w14:textId="77777777" w:rsidR="00A71EEF" w:rsidRDefault="00A71EEF">
      <w:pPr>
        <w:pStyle w:val="a3"/>
        <w:spacing w:before="12"/>
        <w:rPr>
          <w:sz w:val="17"/>
        </w:rPr>
      </w:pPr>
    </w:p>
    <w:p w14:paraId="0BA02F0F" w14:textId="77777777" w:rsidR="00A71EEF" w:rsidRDefault="0081115D">
      <w:pPr>
        <w:pStyle w:val="a3"/>
        <w:spacing w:line="446" w:lineRule="auto"/>
        <w:ind w:left="840" w:right="5709" w:hanging="3"/>
      </w:pPr>
      <w:r>
        <w:t>底盘前端应设置拖钩，后端应设置牵引钩。</w:t>
      </w:r>
      <w:r>
        <w:rPr>
          <w:b/>
        </w:rPr>
        <w:t xml:space="preserve">5.4.2 </w:t>
      </w:r>
      <w:r>
        <w:t>底盘改制后的要求</w:t>
      </w:r>
      <w:r>
        <w:t xml:space="preserve"> </w:t>
      </w:r>
    </w:p>
    <w:p w14:paraId="1B39FB5D" w14:textId="77777777" w:rsidR="00A71EEF" w:rsidRDefault="0081115D">
      <w:pPr>
        <w:pStyle w:val="a4"/>
        <w:numPr>
          <w:ilvl w:val="3"/>
          <w:numId w:val="831"/>
        </w:numPr>
        <w:tabs>
          <w:tab w:val="left" w:pos="1576"/>
        </w:tabs>
        <w:spacing w:line="446" w:lineRule="auto"/>
        <w:ind w:right="1608" w:firstLine="419"/>
        <w:jc w:val="both"/>
        <w:rPr>
          <w:sz w:val="21"/>
        </w:rPr>
      </w:pPr>
      <w:r>
        <w:rPr>
          <w:noProof/>
        </w:rPr>
        <w:drawing>
          <wp:anchor distT="0" distB="0" distL="0" distR="0" simplePos="0" relativeHeight="251500032" behindDoc="0" locked="0" layoutInCell="1" allowOverlap="1" wp14:anchorId="73EEB36D" wp14:editId="276644F9">
            <wp:simplePos x="0" y="0"/>
            <wp:positionH relativeFrom="page">
              <wp:posOffset>1160780</wp:posOffset>
            </wp:positionH>
            <wp:positionV relativeFrom="paragraph">
              <wp:posOffset>1306576</wp:posOffset>
            </wp:positionV>
            <wp:extent cx="4859016" cy="1289875"/>
            <wp:effectExtent l="0" t="0" r="0" b="0"/>
            <wp:wrapTopAndBottom/>
            <wp:docPr id="117"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82.jpeg"/>
                    <pic:cNvPicPr/>
                  </pic:nvPicPr>
                  <pic:blipFill>
                    <a:blip r:embed="rId80" cstate="print"/>
                    <a:stretch>
                      <a:fillRect/>
                    </a:stretch>
                  </pic:blipFill>
                  <pic:spPr>
                    <a:xfrm>
                      <a:off x="0" y="0"/>
                      <a:ext cx="4859016" cy="1289875"/>
                    </a:xfrm>
                    <a:prstGeom prst="rect">
                      <a:avLst/>
                    </a:prstGeom>
                  </pic:spPr>
                </pic:pic>
              </a:graphicData>
            </a:graphic>
          </wp:anchor>
        </w:drawing>
      </w:r>
      <w:r>
        <w:rPr>
          <w:spacing w:val="-3"/>
          <w:sz w:val="21"/>
        </w:rPr>
        <w:t>对定型生产的底盘进行了一些不影响整车主要技术性能的局部改动时</w:t>
      </w:r>
      <w:r>
        <w:rPr>
          <w:sz w:val="21"/>
        </w:rPr>
        <w:t>（</w:t>
      </w:r>
      <w:r>
        <w:rPr>
          <w:spacing w:val="-3"/>
          <w:sz w:val="21"/>
        </w:rPr>
        <w:t>例如：蓄电池、储气桶移位，增加乘员室等）</w:t>
      </w:r>
      <w:r>
        <w:rPr>
          <w:spacing w:val="-13"/>
          <w:sz w:val="21"/>
        </w:rPr>
        <w:t>应进行</w:t>
      </w:r>
      <w:r>
        <w:rPr>
          <w:spacing w:val="-13"/>
          <w:sz w:val="21"/>
        </w:rPr>
        <w:t xml:space="preserve"> </w:t>
      </w:r>
      <w:r>
        <w:rPr>
          <w:sz w:val="21"/>
        </w:rPr>
        <w:t>5000</w:t>
      </w:r>
      <w:r>
        <w:rPr>
          <w:spacing w:val="16"/>
          <w:sz w:val="21"/>
        </w:rPr>
        <w:t xml:space="preserve"> </w:t>
      </w:r>
      <w:r>
        <w:rPr>
          <w:sz w:val="21"/>
        </w:rPr>
        <w:t>km</w:t>
      </w:r>
      <w:r>
        <w:rPr>
          <w:spacing w:val="-8"/>
          <w:sz w:val="21"/>
        </w:rPr>
        <w:t xml:space="preserve"> </w:t>
      </w:r>
      <w:r>
        <w:rPr>
          <w:spacing w:val="-8"/>
          <w:sz w:val="21"/>
        </w:rPr>
        <w:t>可靠性行驶试验。可靠性行驶试验后底盘</w:t>
      </w:r>
      <w:r>
        <w:rPr>
          <w:spacing w:val="-5"/>
          <w:sz w:val="21"/>
        </w:rPr>
        <w:t>各功能应正常，不应有部件损坏、位移、断裂、接触不良、漏油、漏水和漏气等现象，动力性</w:t>
      </w:r>
      <w:r>
        <w:rPr>
          <w:spacing w:val="-6"/>
          <w:sz w:val="21"/>
        </w:rPr>
        <w:t>能不应低于可靠性行驶试验前性能。行驶路面的里程分配应按表</w:t>
      </w:r>
      <w:r>
        <w:rPr>
          <w:spacing w:val="-6"/>
          <w:sz w:val="21"/>
        </w:rPr>
        <w:t xml:space="preserve"> </w:t>
      </w:r>
      <w:r>
        <w:rPr>
          <w:sz w:val="21"/>
        </w:rPr>
        <w:t>8</w:t>
      </w:r>
      <w:r>
        <w:rPr>
          <w:spacing w:val="-10"/>
          <w:sz w:val="21"/>
        </w:rPr>
        <w:t xml:space="preserve"> </w:t>
      </w:r>
      <w:r>
        <w:rPr>
          <w:spacing w:val="-10"/>
          <w:sz w:val="21"/>
        </w:rPr>
        <w:t>的规定进行。</w:t>
      </w:r>
      <w:r>
        <w:rPr>
          <w:spacing w:val="-10"/>
          <w:sz w:val="21"/>
        </w:rPr>
        <w:t xml:space="preserve"> </w:t>
      </w:r>
    </w:p>
    <w:p w14:paraId="1A6CD902" w14:textId="77777777" w:rsidR="00A71EEF" w:rsidRDefault="00A71EEF">
      <w:pPr>
        <w:pStyle w:val="a3"/>
        <w:rPr>
          <w:sz w:val="20"/>
        </w:rPr>
      </w:pPr>
    </w:p>
    <w:p w14:paraId="5CCDDA5F" w14:textId="77777777" w:rsidR="00A71EEF" w:rsidRDefault="00A71EEF">
      <w:pPr>
        <w:pStyle w:val="a3"/>
        <w:rPr>
          <w:sz w:val="20"/>
        </w:rPr>
      </w:pPr>
    </w:p>
    <w:p w14:paraId="603F54A3" w14:textId="77777777" w:rsidR="00A71EEF" w:rsidRDefault="0081115D">
      <w:pPr>
        <w:pStyle w:val="a4"/>
        <w:numPr>
          <w:ilvl w:val="3"/>
          <w:numId w:val="831"/>
        </w:numPr>
        <w:tabs>
          <w:tab w:val="left" w:pos="1576"/>
        </w:tabs>
        <w:spacing w:before="161" w:line="446" w:lineRule="auto"/>
        <w:ind w:right="1609" w:firstLine="419"/>
        <w:rPr>
          <w:sz w:val="21"/>
        </w:rPr>
      </w:pPr>
      <w:r>
        <w:rPr>
          <w:spacing w:val="-3"/>
          <w:sz w:val="21"/>
        </w:rPr>
        <w:t>对定型生产的底盘进行了影响整车主要技术性能的改动时，应进行整车基本性能</w:t>
      </w:r>
      <w:r>
        <w:rPr>
          <w:spacing w:val="-15"/>
          <w:sz w:val="21"/>
        </w:rPr>
        <w:t>试验和</w:t>
      </w:r>
      <w:r>
        <w:rPr>
          <w:spacing w:val="-15"/>
          <w:sz w:val="21"/>
        </w:rPr>
        <w:t xml:space="preserve"> </w:t>
      </w:r>
      <w:r>
        <w:rPr>
          <w:sz w:val="21"/>
        </w:rPr>
        <w:t>25000</w:t>
      </w:r>
      <w:r>
        <w:rPr>
          <w:spacing w:val="3"/>
          <w:sz w:val="21"/>
        </w:rPr>
        <w:t xml:space="preserve"> </w:t>
      </w:r>
      <w:r>
        <w:rPr>
          <w:sz w:val="21"/>
        </w:rPr>
        <w:t>km</w:t>
      </w:r>
      <w:r>
        <w:rPr>
          <w:spacing w:val="-11"/>
          <w:sz w:val="21"/>
        </w:rPr>
        <w:t xml:space="preserve"> </w:t>
      </w:r>
      <w:r>
        <w:rPr>
          <w:spacing w:val="-11"/>
          <w:sz w:val="21"/>
        </w:rPr>
        <w:t>的可靠性行驶试验。试验路面的里程分配应按表</w:t>
      </w:r>
      <w:r>
        <w:rPr>
          <w:spacing w:val="-11"/>
          <w:sz w:val="21"/>
        </w:rPr>
        <w:t xml:space="preserve"> </w:t>
      </w:r>
      <w:r>
        <w:rPr>
          <w:sz w:val="21"/>
        </w:rPr>
        <w:t>9</w:t>
      </w:r>
      <w:r>
        <w:rPr>
          <w:spacing w:val="-10"/>
          <w:sz w:val="21"/>
        </w:rPr>
        <w:t xml:space="preserve"> </w:t>
      </w:r>
      <w:r>
        <w:rPr>
          <w:spacing w:val="-10"/>
          <w:sz w:val="21"/>
        </w:rPr>
        <w:t>的规定进行。</w:t>
      </w:r>
      <w:r>
        <w:rPr>
          <w:spacing w:val="-10"/>
          <w:sz w:val="21"/>
        </w:rPr>
        <w:t xml:space="preserve"> </w:t>
      </w:r>
    </w:p>
    <w:p w14:paraId="789EE128" w14:textId="77777777" w:rsidR="00A71EEF" w:rsidRDefault="0081115D">
      <w:pPr>
        <w:pStyle w:val="a3"/>
        <w:spacing w:line="267" w:lineRule="exact"/>
        <w:ind w:left="4812"/>
      </w:pPr>
      <w:r>
        <w:t xml:space="preserve"> </w:t>
      </w:r>
    </w:p>
    <w:p w14:paraId="0230A39C" w14:textId="77777777" w:rsidR="00A71EEF" w:rsidRDefault="00A71EEF">
      <w:pPr>
        <w:spacing w:line="267" w:lineRule="exact"/>
        <w:sectPr w:rsidR="00A71EEF">
          <w:pgSz w:w="11910" w:h="16850"/>
          <w:pgMar w:top="1220" w:right="0" w:bottom="1420" w:left="1260" w:header="0" w:footer="1239" w:gutter="0"/>
          <w:cols w:space="720"/>
        </w:sectPr>
      </w:pPr>
    </w:p>
    <w:p w14:paraId="1F0156B0" w14:textId="77777777" w:rsidR="00A71EEF" w:rsidRDefault="0081115D">
      <w:pPr>
        <w:pStyle w:val="a3"/>
        <w:ind w:left="388"/>
        <w:rPr>
          <w:sz w:val="20"/>
        </w:rPr>
      </w:pPr>
      <w:r>
        <w:rPr>
          <w:noProof/>
          <w:sz w:val="20"/>
        </w:rPr>
        <w:lastRenderedPageBreak/>
        <w:drawing>
          <wp:inline distT="0" distB="0" distL="0" distR="0" wp14:anchorId="1970DF59" wp14:editId="1A351979">
            <wp:extent cx="5051152" cy="1549907"/>
            <wp:effectExtent l="0" t="0" r="0" b="0"/>
            <wp:docPr id="119"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83.jpeg"/>
                    <pic:cNvPicPr/>
                  </pic:nvPicPr>
                  <pic:blipFill>
                    <a:blip r:embed="rId81" cstate="print"/>
                    <a:stretch>
                      <a:fillRect/>
                    </a:stretch>
                  </pic:blipFill>
                  <pic:spPr>
                    <a:xfrm>
                      <a:off x="0" y="0"/>
                      <a:ext cx="5051152" cy="1549907"/>
                    </a:xfrm>
                    <a:prstGeom prst="rect">
                      <a:avLst/>
                    </a:prstGeom>
                  </pic:spPr>
                </pic:pic>
              </a:graphicData>
            </a:graphic>
          </wp:inline>
        </w:drawing>
      </w:r>
    </w:p>
    <w:p w14:paraId="11676E91" w14:textId="77777777" w:rsidR="00A71EEF" w:rsidRDefault="00A71EEF">
      <w:pPr>
        <w:pStyle w:val="a3"/>
        <w:spacing w:before="7"/>
        <w:rPr>
          <w:sz w:val="10"/>
        </w:rPr>
      </w:pPr>
    </w:p>
    <w:p w14:paraId="480965E0" w14:textId="77777777" w:rsidR="00A71EEF" w:rsidRDefault="0081115D">
      <w:pPr>
        <w:pStyle w:val="a4"/>
        <w:numPr>
          <w:ilvl w:val="1"/>
          <w:numId w:val="830"/>
        </w:numPr>
        <w:tabs>
          <w:tab w:val="left" w:pos="1159"/>
        </w:tabs>
        <w:spacing w:before="72"/>
        <w:ind w:hanging="319"/>
        <w:rPr>
          <w:b/>
          <w:sz w:val="21"/>
        </w:rPr>
      </w:pPr>
      <w:r>
        <w:rPr>
          <w:spacing w:val="-3"/>
          <w:sz w:val="21"/>
        </w:rPr>
        <w:t>驾驶室和乘员室改制技术要求</w:t>
      </w:r>
      <w:r>
        <w:rPr>
          <w:b/>
          <w:w w:val="99"/>
          <w:sz w:val="21"/>
        </w:rPr>
        <w:t xml:space="preserve"> </w:t>
      </w:r>
    </w:p>
    <w:p w14:paraId="2B961ADE" w14:textId="77777777" w:rsidR="00A71EEF" w:rsidRDefault="00A71EEF">
      <w:pPr>
        <w:pStyle w:val="a3"/>
        <w:spacing w:before="12"/>
        <w:rPr>
          <w:b/>
          <w:sz w:val="17"/>
        </w:rPr>
      </w:pPr>
    </w:p>
    <w:p w14:paraId="38917DFB" w14:textId="77777777" w:rsidR="00A71EEF" w:rsidRDefault="0081115D">
      <w:pPr>
        <w:pStyle w:val="a4"/>
        <w:numPr>
          <w:ilvl w:val="2"/>
          <w:numId w:val="830"/>
        </w:numPr>
        <w:tabs>
          <w:tab w:val="left" w:pos="1371"/>
        </w:tabs>
        <w:rPr>
          <w:sz w:val="21"/>
        </w:rPr>
      </w:pPr>
      <w:r>
        <w:rPr>
          <w:spacing w:val="-3"/>
          <w:sz w:val="21"/>
        </w:rPr>
        <w:t>总体要求</w:t>
      </w:r>
      <w:r>
        <w:rPr>
          <w:sz w:val="21"/>
        </w:rPr>
        <w:t xml:space="preserve"> </w:t>
      </w:r>
    </w:p>
    <w:p w14:paraId="409ADD07" w14:textId="77777777" w:rsidR="00A71EEF" w:rsidRDefault="00A71EEF">
      <w:pPr>
        <w:pStyle w:val="a3"/>
        <w:rPr>
          <w:sz w:val="18"/>
        </w:rPr>
      </w:pPr>
    </w:p>
    <w:p w14:paraId="101E1D07" w14:textId="77777777" w:rsidR="00A71EEF" w:rsidRDefault="0081115D">
      <w:pPr>
        <w:pStyle w:val="a3"/>
        <w:ind w:left="838"/>
      </w:pPr>
      <w:r>
        <w:t>当驾驶室和乘员室（以下简称</w:t>
      </w:r>
      <w:r>
        <w:t>“</w:t>
      </w:r>
      <w:r>
        <w:t>驾乘室</w:t>
      </w:r>
      <w:r>
        <w:t>”</w:t>
      </w:r>
      <w:r>
        <w:t>）需要改制成全封闭、一体式结构时应符合</w:t>
      </w:r>
    </w:p>
    <w:p w14:paraId="6E4C53F5" w14:textId="77777777" w:rsidR="00A71EEF" w:rsidRDefault="00A71EEF">
      <w:pPr>
        <w:pStyle w:val="a3"/>
        <w:spacing w:before="2"/>
        <w:rPr>
          <w:sz w:val="18"/>
        </w:rPr>
      </w:pPr>
    </w:p>
    <w:p w14:paraId="013DC39C" w14:textId="77777777" w:rsidR="00A71EEF" w:rsidRDefault="0081115D">
      <w:pPr>
        <w:pStyle w:val="a3"/>
        <w:ind w:left="418"/>
      </w:pPr>
      <w:r>
        <w:t>5.5.2</w:t>
      </w:r>
      <w:r>
        <w:t>～</w:t>
      </w:r>
      <w:r>
        <w:t xml:space="preserve">5.5.7 </w:t>
      </w:r>
      <w:r>
        <w:t>的要求。</w:t>
      </w:r>
      <w:r>
        <w:t xml:space="preserve"> </w:t>
      </w:r>
    </w:p>
    <w:p w14:paraId="3985F6D6" w14:textId="77777777" w:rsidR="00A71EEF" w:rsidRDefault="00A71EEF">
      <w:pPr>
        <w:pStyle w:val="a3"/>
        <w:spacing w:before="12"/>
        <w:rPr>
          <w:sz w:val="17"/>
        </w:rPr>
      </w:pPr>
    </w:p>
    <w:p w14:paraId="635B4E4D" w14:textId="77777777" w:rsidR="00A71EEF" w:rsidRDefault="0081115D">
      <w:pPr>
        <w:pStyle w:val="a4"/>
        <w:numPr>
          <w:ilvl w:val="2"/>
          <w:numId w:val="830"/>
        </w:numPr>
        <w:tabs>
          <w:tab w:val="left" w:pos="1370"/>
        </w:tabs>
        <w:ind w:left="1369" w:hanging="530"/>
        <w:rPr>
          <w:sz w:val="21"/>
        </w:rPr>
      </w:pPr>
      <w:r>
        <w:rPr>
          <w:spacing w:val="-3"/>
          <w:sz w:val="21"/>
        </w:rPr>
        <w:t>座椅</w:t>
      </w:r>
      <w:r>
        <w:rPr>
          <w:sz w:val="21"/>
        </w:rPr>
        <w:t xml:space="preserve"> </w:t>
      </w:r>
    </w:p>
    <w:p w14:paraId="40D7CE1E" w14:textId="77777777" w:rsidR="00A71EEF" w:rsidRDefault="00A71EEF">
      <w:pPr>
        <w:pStyle w:val="a3"/>
        <w:rPr>
          <w:sz w:val="18"/>
        </w:rPr>
      </w:pPr>
    </w:p>
    <w:p w14:paraId="320B2F30" w14:textId="77777777" w:rsidR="00A71EEF" w:rsidRDefault="0081115D">
      <w:pPr>
        <w:pStyle w:val="a4"/>
        <w:numPr>
          <w:ilvl w:val="3"/>
          <w:numId w:val="830"/>
        </w:numPr>
        <w:tabs>
          <w:tab w:val="left" w:pos="1576"/>
        </w:tabs>
        <w:spacing w:line="446" w:lineRule="auto"/>
        <w:ind w:right="1558" w:firstLine="419"/>
        <w:rPr>
          <w:sz w:val="21"/>
        </w:rPr>
      </w:pPr>
      <w:r>
        <w:rPr>
          <w:spacing w:val="-5"/>
          <w:sz w:val="21"/>
        </w:rPr>
        <w:t>驾驶室内座椅上平面距脚放置地板的高度不小于</w:t>
      </w:r>
      <w:r>
        <w:rPr>
          <w:spacing w:val="-5"/>
          <w:sz w:val="21"/>
        </w:rPr>
        <w:t xml:space="preserve"> </w:t>
      </w:r>
      <w:r>
        <w:rPr>
          <w:sz w:val="21"/>
        </w:rPr>
        <w:t>500</w:t>
      </w:r>
      <w:r>
        <w:rPr>
          <w:spacing w:val="14"/>
          <w:sz w:val="21"/>
        </w:rPr>
        <w:t xml:space="preserve"> </w:t>
      </w:r>
      <w:r>
        <w:rPr>
          <w:sz w:val="21"/>
        </w:rPr>
        <w:t>mm</w:t>
      </w:r>
      <w:r>
        <w:rPr>
          <w:spacing w:val="-3"/>
          <w:sz w:val="21"/>
        </w:rPr>
        <w:t>。座椅靠背角度不可调整时，靠背与座椅上平面的夹角应大于</w:t>
      </w:r>
      <w:r>
        <w:rPr>
          <w:spacing w:val="-3"/>
          <w:sz w:val="21"/>
        </w:rPr>
        <w:t xml:space="preserve"> </w:t>
      </w:r>
      <w:r>
        <w:rPr>
          <w:sz w:val="21"/>
        </w:rPr>
        <w:t>90</w:t>
      </w:r>
      <w:r>
        <w:rPr>
          <w:spacing w:val="-2"/>
          <w:sz w:val="21"/>
        </w:rPr>
        <w:t>°</w:t>
      </w:r>
      <w:r>
        <w:rPr>
          <w:spacing w:val="-2"/>
          <w:sz w:val="21"/>
        </w:rPr>
        <w:t>。</w:t>
      </w:r>
      <w:r>
        <w:rPr>
          <w:sz w:val="21"/>
        </w:rPr>
        <w:t xml:space="preserve"> </w:t>
      </w:r>
    </w:p>
    <w:p w14:paraId="721E198E" w14:textId="77777777" w:rsidR="00A71EEF" w:rsidRDefault="0081115D">
      <w:pPr>
        <w:pStyle w:val="a4"/>
        <w:numPr>
          <w:ilvl w:val="3"/>
          <w:numId w:val="830"/>
        </w:numPr>
        <w:tabs>
          <w:tab w:val="left" w:pos="1576"/>
        </w:tabs>
        <w:spacing w:line="446" w:lineRule="auto"/>
        <w:ind w:right="1611" w:firstLine="419"/>
        <w:rPr>
          <w:sz w:val="21"/>
        </w:rPr>
      </w:pPr>
      <w:r>
        <w:rPr>
          <w:spacing w:val="-5"/>
          <w:sz w:val="21"/>
        </w:rPr>
        <w:t>驾乘室内同向座椅的座间距应不小于</w:t>
      </w:r>
      <w:r>
        <w:rPr>
          <w:spacing w:val="-5"/>
          <w:sz w:val="21"/>
        </w:rPr>
        <w:t xml:space="preserve"> </w:t>
      </w:r>
      <w:r>
        <w:rPr>
          <w:sz w:val="21"/>
        </w:rPr>
        <w:t>650</w:t>
      </w:r>
      <w:r>
        <w:rPr>
          <w:spacing w:val="18"/>
          <w:sz w:val="21"/>
        </w:rPr>
        <w:t xml:space="preserve"> </w:t>
      </w:r>
      <w:r>
        <w:rPr>
          <w:sz w:val="21"/>
        </w:rPr>
        <w:t>mm</w:t>
      </w:r>
      <w:r>
        <w:rPr>
          <w:spacing w:val="-6"/>
          <w:sz w:val="21"/>
        </w:rPr>
        <w:t>，相向座椅的座间距应不小于</w:t>
      </w:r>
      <w:r>
        <w:rPr>
          <w:spacing w:val="-6"/>
          <w:sz w:val="21"/>
        </w:rPr>
        <w:t xml:space="preserve"> </w:t>
      </w:r>
      <w:r>
        <w:rPr>
          <w:sz w:val="21"/>
        </w:rPr>
        <w:t>1200 mm</w:t>
      </w:r>
      <w:r>
        <w:rPr>
          <w:spacing w:val="-3"/>
          <w:sz w:val="21"/>
        </w:rPr>
        <w:t>。</w:t>
      </w:r>
      <w:r>
        <w:rPr>
          <w:sz w:val="21"/>
        </w:rPr>
        <w:t xml:space="preserve"> </w:t>
      </w:r>
    </w:p>
    <w:p w14:paraId="07C7439E" w14:textId="77777777" w:rsidR="00A71EEF" w:rsidRDefault="0081115D">
      <w:pPr>
        <w:pStyle w:val="a4"/>
        <w:numPr>
          <w:ilvl w:val="3"/>
          <w:numId w:val="830"/>
        </w:numPr>
        <w:tabs>
          <w:tab w:val="left" w:pos="1576"/>
        </w:tabs>
        <w:ind w:left="1575"/>
        <w:rPr>
          <w:sz w:val="21"/>
        </w:rPr>
      </w:pPr>
      <w:r>
        <w:rPr>
          <w:spacing w:val="-7"/>
          <w:sz w:val="21"/>
        </w:rPr>
        <w:t>驾乘室内座椅座垫的深度应不小于</w:t>
      </w:r>
      <w:r>
        <w:rPr>
          <w:spacing w:val="-7"/>
          <w:sz w:val="21"/>
        </w:rPr>
        <w:t xml:space="preserve"> </w:t>
      </w:r>
      <w:r>
        <w:rPr>
          <w:sz w:val="21"/>
        </w:rPr>
        <w:t>400</w:t>
      </w:r>
      <w:r>
        <w:rPr>
          <w:spacing w:val="3"/>
          <w:sz w:val="21"/>
        </w:rPr>
        <w:t xml:space="preserve"> </w:t>
      </w:r>
      <w:r>
        <w:rPr>
          <w:spacing w:val="-3"/>
          <w:sz w:val="21"/>
        </w:rPr>
        <w:t>mm</w:t>
      </w:r>
      <w:r>
        <w:rPr>
          <w:spacing w:val="-7"/>
          <w:sz w:val="21"/>
        </w:rPr>
        <w:t>。每位乘员所占宽度应不小于</w:t>
      </w:r>
      <w:r>
        <w:rPr>
          <w:spacing w:val="-7"/>
          <w:sz w:val="21"/>
        </w:rPr>
        <w:t xml:space="preserve"> </w:t>
      </w:r>
      <w:r>
        <w:rPr>
          <w:sz w:val="21"/>
        </w:rPr>
        <w:t>550</w:t>
      </w:r>
      <w:r>
        <w:rPr>
          <w:spacing w:val="3"/>
          <w:sz w:val="21"/>
        </w:rPr>
        <w:t xml:space="preserve"> </w:t>
      </w:r>
      <w:r>
        <w:rPr>
          <w:sz w:val="21"/>
        </w:rPr>
        <w:t>mm</w:t>
      </w:r>
      <w:r>
        <w:rPr>
          <w:spacing w:val="-3"/>
          <w:sz w:val="21"/>
        </w:rPr>
        <w:t>。</w:t>
      </w:r>
      <w:r>
        <w:rPr>
          <w:sz w:val="21"/>
        </w:rPr>
        <w:t xml:space="preserve"> </w:t>
      </w:r>
    </w:p>
    <w:p w14:paraId="0279AE96" w14:textId="77777777" w:rsidR="00A71EEF" w:rsidRDefault="00A71EEF">
      <w:pPr>
        <w:pStyle w:val="a3"/>
        <w:spacing w:before="12"/>
        <w:rPr>
          <w:sz w:val="17"/>
        </w:rPr>
      </w:pPr>
    </w:p>
    <w:p w14:paraId="112B6E16" w14:textId="77777777" w:rsidR="00A71EEF" w:rsidRDefault="0081115D">
      <w:pPr>
        <w:pStyle w:val="a4"/>
        <w:numPr>
          <w:ilvl w:val="3"/>
          <w:numId w:val="830"/>
        </w:numPr>
        <w:tabs>
          <w:tab w:val="left" w:pos="1576"/>
        </w:tabs>
        <w:ind w:left="1575"/>
        <w:rPr>
          <w:sz w:val="21"/>
        </w:rPr>
      </w:pPr>
      <w:r>
        <w:rPr>
          <w:spacing w:val="-6"/>
          <w:sz w:val="21"/>
        </w:rPr>
        <w:t>驾乘室椅靠背顶到座椅上平面的高度应不小于</w:t>
      </w:r>
      <w:r>
        <w:rPr>
          <w:spacing w:val="-6"/>
          <w:sz w:val="21"/>
        </w:rPr>
        <w:t xml:space="preserve"> </w:t>
      </w:r>
      <w:r>
        <w:rPr>
          <w:sz w:val="21"/>
        </w:rPr>
        <w:t>450</w:t>
      </w:r>
      <w:r>
        <w:rPr>
          <w:spacing w:val="1"/>
          <w:sz w:val="21"/>
        </w:rPr>
        <w:t xml:space="preserve"> </w:t>
      </w:r>
      <w:r>
        <w:rPr>
          <w:sz w:val="21"/>
        </w:rPr>
        <w:t>mm</w:t>
      </w:r>
      <w:r>
        <w:rPr>
          <w:spacing w:val="-3"/>
          <w:sz w:val="21"/>
        </w:rPr>
        <w:t>。</w:t>
      </w:r>
      <w:r>
        <w:rPr>
          <w:sz w:val="21"/>
        </w:rPr>
        <w:t xml:space="preserve"> </w:t>
      </w:r>
    </w:p>
    <w:p w14:paraId="4A2B014F" w14:textId="77777777" w:rsidR="00A71EEF" w:rsidRDefault="00A71EEF">
      <w:pPr>
        <w:pStyle w:val="a3"/>
        <w:rPr>
          <w:sz w:val="18"/>
        </w:rPr>
      </w:pPr>
    </w:p>
    <w:p w14:paraId="6EDE10D5" w14:textId="77777777" w:rsidR="00A71EEF" w:rsidRDefault="0081115D">
      <w:pPr>
        <w:pStyle w:val="a4"/>
        <w:numPr>
          <w:ilvl w:val="3"/>
          <w:numId w:val="830"/>
        </w:numPr>
        <w:tabs>
          <w:tab w:val="left" w:pos="1576"/>
        </w:tabs>
        <w:ind w:left="1575"/>
        <w:rPr>
          <w:sz w:val="21"/>
        </w:rPr>
      </w:pPr>
      <w:r>
        <w:rPr>
          <w:spacing w:val="-3"/>
          <w:sz w:val="21"/>
        </w:rPr>
        <w:t>驾驶员座椅的前后位置应可以调整。</w:t>
      </w:r>
      <w:r>
        <w:rPr>
          <w:sz w:val="21"/>
        </w:rPr>
        <w:t xml:space="preserve"> </w:t>
      </w:r>
    </w:p>
    <w:p w14:paraId="5838B31D" w14:textId="77777777" w:rsidR="00A71EEF" w:rsidRDefault="00A71EEF">
      <w:pPr>
        <w:pStyle w:val="a3"/>
        <w:spacing w:before="1"/>
        <w:rPr>
          <w:sz w:val="18"/>
        </w:rPr>
      </w:pPr>
    </w:p>
    <w:p w14:paraId="123C4391" w14:textId="77777777" w:rsidR="00A71EEF" w:rsidRDefault="0081115D">
      <w:pPr>
        <w:pStyle w:val="a4"/>
        <w:numPr>
          <w:ilvl w:val="3"/>
          <w:numId w:val="830"/>
        </w:numPr>
        <w:tabs>
          <w:tab w:val="left" w:pos="1576"/>
        </w:tabs>
        <w:spacing w:before="1"/>
        <w:ind w:left="1575"/>
        <w:rPr>
          <w:sz w:val="21"/>
        </w:rPr>
      </w:pPr>
      <w:r>
        <w:rPr>
          <w:spacing w:val="-5"/>
          <w:sz w:val="21"/>
        </w:rPr>
        <w:t>驾乘室内座椅应具有足够的强度和刚度，固定可靠。座椅的强度应符合</w:t>
      </w:r>
      <w:r>
        <w:rPr>
          <w:spacing w:val="-5"/>
          <w:sz w:val="21"/>
        </w:rPr>
        <w:t xml:space="preserve"> </w:t>
      </w:r>
      <w:r>
        <w:rPr>
          <w:sz w:val="21"/>
        </w:rPr>
        <w:t>GB</w:t>
      </w:r>
      <w:r>
        <w:rPr>
          <w:spacing w:val="2"/>
          <w:sz w:val="21"/>
        </w:rPr>
        <w:t xml:space="preserve"> </w:t>
      </w:r>
      <w:r>
        <w:rPr>
          <w:sz w:val="21"/>
        </w:rPr>
        <w:t>13057</w:t>
      </w:r>
    </w:p>
    <w:p w14:paraId="2CF8D7F6" w14:textId="77777777" w:rsidR="00A71EEF" w:rsidRDefault="00A71EEF">
      <w:pPr>
        <w:pStyle w:val="a3"/>
        <w:spacing w:before="12"/>
        <w:rPr>
          <w:sz w:val="17"/>
        </w:rPr>
      </w:pPr>
    </w:p>
    <w:p w14:paraId="6181BA61" w14:textId="77777777" w:rsidR="00A71EEF" w:rsidRDefault="0081115D">
      <w:pPr>
        <w:pStyle w:val="a3"/>
        <w:ind w:left="418"/>
      </w:pPr>
      <w:r>
        <w:t>的规定。</w:t>
      </w:r>
      <w:r>
        <w:t xml:space="preserve"> </w:t>
      </w:r>
    </w:p>
    <w:p w14:paraId="48D7F60D" w14:textId="77777777" w:rsidR="00A71EEF" w:rsidRDefault="00A71EEF">
      <w:pPr>
        <w:pStyle w:val="a3"/>
        <w:rPr>
          <w:sz w:val="18"/>
        </w:rPr>
      </w:pPr>
    </w:p>
    <w:p w14:paraId="20073042" w14:textId="77777777" w:rsidR="00A71EEF" w:rsidRDefault="0081115D">
      <w:pPr>
        <w:pStyle w:val="a4"/>
        <w:numPr>
          <w:ilvl w:val="3"/>
          <w:numId w:val="830"/>
        </w:numPr>
        <w:tabs>
          <w:tab w:val="left" w:pos="1576"/>
        </w:tabs>
        <w:ind w:left="1575"/>
        <w:rPr>
          <w:sz w:val="21"/>
        </w:rPr>
      </w:pPr>
      <w:r>
        <w:rPr>
          <w:spacing w:val="-5"/>
          <w:sz w:val="21"/>
        </w:rPr>
        <w:t>驾乘室内座椅座垫和靠背应采用非金属软性阻燃材料，其阻燃性能应符合</w:t>
      </w:r>
      <w:r>
        <w:rPr>
          <w:spacing w:val="-5"/>
          <w:sz w:val="21"/>
        </w:rPr>
        <w:t xml:space="preserve"> </w:t>
      </w:r>
      <w:r>
        <w:rPr>
          <w:sz w:val="21"/>
        </w:rPr>
        <w:t>GB 8410</w:t>
      </w:r>
    </w:p>
    <w:p w14:paraId="4ED31E28" w14:textId="77777777" w:rsidR="00A71EEF" w:rsidRDefault="00A71EEF">
      <w:pPr>
        <w:pStyle w:val="a3"/>
        <w:spacing w:before="2"/>
        <w:rPr>
          <w:sz w:val="18"/>
        </w:rPr>
      </w:pPr>
    </w:p>
    <w:p w14:paraId="1438B7A1" w14:textId="77777777" w:rsidR="00A71EEF" w:rsidRDefault="0081115D">
      <w:pPr>
        <w:pStyle w:val="a3"/>
        <w:ind w:left="418"/>
      </w:pPr>
      <w:r>
        <w:t>的规定，并符合环保要求。</w:t>
      </w:r>
      <w:r>
        <w:t xml:space="preserve"> </w:t>
      </w:r>
    </w:p>
    <w:p w14:paraId="5EE95FD2" w14:textId="77777777" w:rsidR="00A71EEF" w:rsidRDefault="00A71EEF">
      <w:pPr>
        <w:pStyle w:val="a3"/>
        <w:spacing w:before="12"/>
        <w:rPr>
          <w:sz w:val="17"/>
        </w:rPr>
      </w:pPr>
    </w:p>
    <w:p w14:paraId="3A0DEE4E" w14:textId="77777777" w:rsidR="00A71EEF" w:rsidRDefault="0081115D">
      <w:pPr>
        <w:pStyle w:val="a4"/>
        <w:numPr>
          <w:ilvl w:val="3"/>
          <w:numId w:val="830"/>
        </w:numPr>
        <w:tabs>
          <w:tab w:val="left" w:pos="1576"/>
        </w:tabs>
        <w:ind w:left="1575"/>
        <w:rPr>
          <w:sz w:val="21"/>
        </w:rPr>
      </w:pPr>
      <w:r>
        <w:rPr>
          <w:spacing w:val="-5"/>
          <w:sz w:val="21"/>
        </w:rPr>
        <w:t>驾乘室座椅后部若安装空气呼吸器，座椅坐人的区域同样应满足</w:t>
      </w:r>
      <w:r>
        <w:rPr>
          <w:spacing w:val="-5"/>
          <w:sz w:val="21"/>
        </w:rPr>
        <w:t xml:space="preserve"> </w:t>
      </w:r>
      <w:r>
        <w:rPr>
          <w:sz w:val="21"/>
        </w:rPr>
        <w:t>5.5.2.1</w:t>
      </w:r>
      <w:r>
        <w:rPr>
          <w:sz w:val="21"/>
        </w:rPr>
        <w:t>～</w:t>
      </w:r>
    </w:p>
    <w:p w14:paraId="437BF935" w14:textId="77777777" w:rsidR="00A71EEF" w:rsidRDefault="00A71EEF">
      <w:pPr>
        <w:pStyle w:val="a3"/>
        <w:rPr>
          <w:sz w:val="18"/>
        </w:rPr>
      </w:pPr>
    </w:p>
    <w:p w14:paraId="06143C0D" w14:textId="77777777" w:rsidR="00A71EEF" w:rsidRDefault="0081115D">
      <w:pPr>
        <w:pStyle w:val="a3"/>
        <w:ind w:left="418"/>
      </w:pPr>
      <w:r>
        <w:t xml:space="preserve">5.5.2.4 </w:t>
      </w:r>
      <w:r>
        <w:t>的要求。</w:t>
      </w:r>
      <w:r>
        <w:t xml:space="preserve"> </w:t>
      </w:r>
    </w:p>
    <w:p w14:paraId="51507160" w14:textId="77777777" w:rsidR="00A71EEF" w:rsidRDefault="00A71EEF">
      <w:pPr>
        <w:pStyle w:val="a3"/>
        <w:spacing w:before="2"/>
        <w:rPr>
          <w:sz w:val="18"/>
        </w:rPr>
      </w:pPr>
    </w:p>
    <w:p w14:paraId="161A41A0" w14:textId="77777777" w:rsidR="00A71EEF" w:rsidRDefault="0081115D">
      <w:pPr>
        <w:pStyle w:val="a3"/>
        <w:ind w:left="838"/>
      </w:pPr>
      <w:r>
        <w:t xml:space="preserve">5.5.2.9 </w:t>
      </w:r>
      <w:r>
        <w:t>驾乘员人数不应超过</w:t>
      </w:r>
      <w:r>
        <w:t xml:space="preserve"> 12 </w:t>
      </w:r>
      <w:r>
        <w:t>人。</w:t>
      </w:r>
      <w:r>
        <w:t xml:space="preserve"> </w:t>
      </w:r>
    </w:p>
    <w:p w14:paraId="08545120" w14:textId="77777777" w:rsidR="00A71EEF" w:rsidRDefault="00A71EEF">
      <w:pPr>
        <w:pStyle w:val="a3"/>
        <w:spacing w:before="12"/>
        <w:rPr>
          <w:sz w:val="17"/>
        </w:rPr>
      </w:pPr>
    </w:p>
    <w:p w14:paraId="25B8DC5E" w14:textId="77777777" w:rsidR="00A71EEF" w:rsidRDefault="0081115D">
      <w:pPr>
        <w:pStyle w:val="a4"/>
        <w:numPr>
          <w:ilvl w:val="2"/>
          <w:numId w:val="830"/>
        </w:numPr>
        <w:tabs>
          <w:tab w:val="left" w:pos="1370"/>
        </w:tabs>
        <w:ind w:left="1369" w:hanging="530"/>
        <w:rPr>
          <w:sz w:val="21"/>
        </w:rPr>
      </w:pPr>
      <w:r>
        <w:rPr>
          <w:spacing w:val="-3"/>
          <w:sz w:val="21"/>
        </w:rPr>
        <w:t>车门</w:t>
      </w:r>
      <w:r>
        <w:rPr>
          <w:sz w:val="21"/>
        </w:rPr>
        <w:t xml:space="preserve"> </w:t>
      </w:r>
    </w:p>
    <w:p w14:paraId="3FEACE47" w14:textId="77777777" w:rsidR="00A71EEF" w:rsidRDefault="00A71EEF">
      <w:pPr>
        <w:pStyle w:val="a3"/>
        <w:spacing w:before="12"/>
        <w:rPr>
          <w:sz w:val="17"/>
        </w:rPr>
      </w:pPr>
    </w:p>
    <w:p w14:paraId="2DF84240" w14:textId="77777777" w:rsidR="00A71EEF" w:rsidRDefault="0081115D">
      <w:pPr>
        <w:pStyle w:val="a4"/>
        <w:numPr>
          <w:ilvl w:val="3"/>
          <w:numId w:val="830"/>
        </w:numPr>
        <w:tabs>
          <w:tab w:val="left" w:pos="1576"/>
        </w:tabs>
        <w:spacing w:line="448" w:lineRule="auto"/>
        <w:ind w:right="1558" w:firstLine="419"/>
        <w:rPr>
          <w:sz w:val="21"/>
        </w:rPr>
      </w:pPr>
      <w:r>
        <w:rPr>
          <w:spacing w:val="-7"/>
          <w:sz w:val="21"/>
        </w:rPr>
        <w:t>驾乘室车门的开度应不小于</w:t>
      </w:r>
      <w:r>
        <w:rPr>
          <w:spacing w:val="-7"/>
          <w:sz w:val="21"/>
        </w:rPr>
        <w:t xml:space="preserve"> </w:t>
      </w:r>
      <w:r>
        <w:rPr>
          <w:sz w:val="21"/>
        </w:rPr>
        <w:t>85°</w:t>
      </w:r>
      <w:r>
        <w:rPr>
          <w:sz w:val="21"/>
        </w:rPr>
        <w:t>（</w:t>
      </w:r>
      <w:r>
        <w:rPr>
          <w:spacing w:val="-3"/>
          <w:sz w:val="21"/>
        </w:rPr>
        <w:t>驾破员车门除外）乘员室的车门尺寸不小于驾驶室车门的尺寸。</w:t>
      </w:r>
      <w:r>
        <w:rPr>
          <w:sz w:val="21"/>
        </w:rPr>
        <w:t xml:space="preserve"> </w:t>
      </w:r>
    </w:p>
    <w:p w14:paraId="28125D87" w14:textId="77777777" w:rsidR="00A71EEF" w:rsidRDefault="00A71EEF">
      <w:pPr>
        <w:spacing w:line="448" w:lineRule="auto"/>
        <w:rPr>
          <w:sz w:val="21"/>
        </w:rPr>
        <w:sectPr w:rsidR="00A71EEF">
          <w:pgSz w:w="11910" w:h="16850"/>
          <w:pgMar w:top="1080" w:right="0" w:bottom="1420" w:left="1260" w:header="0" w:footer="1239" w:gutter="0"/>
          <w:cols w:space="720"/>
        </w:sectPr>
      </w:pPr>
    </w:p>
    <w:p w14:paraId="639ADA6F" w14:textId="77777777" w:rsidR="00A71EEF" w:rsidRDefault="0081115D">
      <w:pPr>
        <w:pStyle w:val="a4"/>
        <w:numPr>
          <w:ilvl w:val="3"/>
          <w:numId w:val="830"/>
        </w:numPr>
        <w:tabs>
          <w:tab w:val="left" w:pos="1576"/>
        </w:tabs>
        <w:spacing w:before="47" w:line="446" w:lineRule="auto"/>
        <w:ind w:right="1609" w:firstLine="419"/>
        <w:rPr>
          <w:sz w:val="21"/>
        </w:rPr>
      </w:pPr>
      <w:r>
        <w:rPr>
          <w:spacing w:val="-3"/>
          <w:sz w:val="21"/>
        </w:rPr>
        <w:lastRenderedPageBreak/>
        <w:t>驾乘室门的启闭应灵活，门锁应保证戴防护手套可操作，在消防车行驶时车门不应自行开启。</w:t>
      </w:r>
      <w:r>
        <w:rPr>
          <w:sz w:val="21"/>
        </w:rPr>
        <w:t xml:space="preserve"> </w:t>
      </w:r>
    </w:p>
    <w:p w14:paraId="46BABEB9" w14:textId="77777777" w:rsidR="00A71EEF" w:rsidRDefault="0081115D">
      <w:pPr>
        <w:pStyle w:val="a4"/>
        <w:numPr>
          <w:ilvl w:val="3"/>
          <w:numId w:val="830"/>
        </w:numPr>
        <w:tabs>
          <w:tab w:val="left" w:pos="1576"/>
        </w:tabs>
        <w:spacing w:line="267" w:lineRule="exact"/>
        <w:ind w:left="1575"/>
        <w:rPr>
          <w:sz w:val="21"/>
        </w:rPr>
      </w:pPr>
      <w:r>
        <w:rPr>
          <w:spacing w:val="-3"/>
          <w:sz w:val="21"/>
        </w:rPr>
        <w:t>驾乘室内设有两排或以上座椅时，应有四个车门</w:t>
      </w:r>
      <w:r>
        <w:rPr>
          <w:sz w:val="21"/>
        </w:rPr>
        <w:t>（</w:t>
      </w:r>
      <w:r>
        <w:rPr>
          <w:spacing w:val="-3"/>
          <w:sz w:val="21"/>
        </w:rPr>
        <w:t>机场消防车除外</w:t>
      </w:r>
      <w:r>
        <w:rPr>
          <w:sz w:val="21"/>
        </w:rPr>
        <w:t>）。</w:t>
      </w:r>
      <w:r>
        <w:rPr>
          <w:sz w:val="21"/>
        </w:rPr>
        <w:t xml:space="preserve"> </w:t>
      </w:r>
    </w:p>
    <w:p w14:paraId="0533965A" w14:textId="77777777" w:rsidR="00A71EEF" w:rsidRDefault="00A71EEF">
      <w:pPr>
        <w:pStyle w:val="a3"/>
        <w:spacing w:before="2"/>
        <w:rPr>
          <w:sz w:val="18"/>
        </w:rPr>
      </w:pPr>
    </w:p>
    <w:p w14:paraId="271BB7B0" w14:textId="77777777" w:rsidR="00A71EEF" w:rsidRDefault="0081115D">
      <w:pPr>
        <w:pStyle w:val="a4"/>
        <w:numPr>
          <w:ilvl w:val="3"/>
          <w:numId w:val="830"/>
        </w:numPr>
        <w:tabs>
          <w:tab w:val="left" w:pos="1576"/>
        </w:tabs>
        <w:ind w:left="1575"/>
        <w:rPr>
          <w:sz w:val="21"/>
        </w:rPr>
      </w:pPr>
      <w:r>
        <w:rPr>
          <w:spacing w:val="-3"/>
          <w:sz w:val="21"/>
        </w:rPr>
        <w:t>车窗的启闭应灵活，不应有自行开启现象。</w:t>
      </w:r>
      <w:r>
        <w:rPr>
          <w:spacing w:val="-3"/>
          <w:sz w:val="21"/>
        </w:rPr>
        <w:t xml:space="preserve"> </w:t>
      </w:r>
    </w:p>
    <w:p w14:paraId="6D62AF3B" w14:textId="77777777" w:rsidR="00A71EEF" w:rsidRDefault="00A71EEF">
      <w:pPr>
        <w:pStyle w:val="a3"/>
        <w:rPr>
          <w:sz w:val="18"/>
        </w:rPr>
      </w:pPr>
    </w:p>
    <w:p w14:paraId="7DE95188" w14:textId="77777777" w:rsidR="00A71EEF" w:rsidRDefault="0081115D">
      <w:pPr>
        <w:pStyle w:val="a4"/>
        <w:numPr>
          <w:ilvl w:val="3"/>
          <w:numId w:val="830"/>
        </w:numPr>
        <w:tabs>
          <w:tab w:val="left" w:pos="1576"/>
        </w:tabs>
        <w:ind w:left="1575"/>
        <w:rPr>
          <w:sz w:val="21"/>
        </w:rPr>
      </w:pPr>
      <w:r>
        <w:rPr>
          <w:spacing w:val="-8"/>
          <w:sz w:val="21"/>
        </w:rPr>
        <w:t>车窗的玻璃应使用符合</w:t>
      </w:r>
      <w:r>
        <w:rPr>
          <w:spacing w:val="-8"/>
          <w:sz w:val="21"/>
        </w:rPr>
        <w:t xml:space="preserve"> </w:t>
      </w:r>
      <w:r>
        <w:rPr>
          <w:sz w:val="21"/>
        </w:rPr>
        <w:t>GB</w:t>
      </w:r>
      <w:r>
        <w:rPr>
          <w:spacing w:val="-2"/>
          <w:sz w:val="21"/>
        </w:rPr>
        <w:t xml:space="preserve"> </w:t>
      </w:r>
      <w:r>
        <w:rPr>
          <w:sz w:val="21"/>
        </w:rPr>
        <w:t>9656</w:t>
      </w:r>
      <w:r>
        <w:rPr>
          <w:spacing w:val="-10"/>
          <w:sz w:val="21"/>
        </w:rPr>
        <w:t xml:space="preserve"> </w:t>
      </w:r>
      <w:r>
        <w:rPr>
          <w:spacing w:val="-10"/>
          <w:sz w:val="21"/>
        </w:rPr>
        <w:t>规定的安全玻璃。</w:t>
      </w:r>
      <w:r>
        <w:rPr>
          <w:sz w:val="21"/>
        </w:rPr>
        <w:t xml:space="preserve"> </w:t>
      </w:r>
    </w:p>
    <w:p w14:paraId="7AE9CC35" w14:textId="77777777" w:rsidR="00A71EEF" w:rsidRDefault="00A71EEF">
      <w:pPr>
        <w:pStyle w:val="a3"/>
        <w:spacing w:before="12"/>
        <w:rPr>
          <w:sz w:val="17"/>
        </w:rPr>
      </w:pPr>
    </w:p>
    <w:p w14:paraId="764C0C8E" w14:textId="77777777" w:rsidR="00A71EEF" w:rsidRDefault="0081115D">
      <w:pPr>
        <w:pStyle w:val="a4"/>
        <w:numPr>
          <w:ilvl w:val="2"/>
          <w:numId w:val="830"/>
        </w:numPr>
        <w:tabs>
          <w:tab w:val="left" w:pos="1370"/>
        </w:tabs>
        <w:ind w:left="1369" w:hanging="530"/>
        <w:rPr>
          <w:sz w:val="21"/>
        </w:rPr>
      </w:pPr>
      <w:r>
        <w:rPr>
          <w:spacing w:val="-3"/>
          <w:sz w:val="21"/>
        </w:rPr>
        <w:t>上、下车踏板</w:t>
      </w:r>
      <w:r>
        <w:rPr>
          <w:sz w:val="21"/>
        </w:rPr>
        <w:t xml:space="preserve"> </w:t>
      </w:r>
    </w:p>
    <w:p w14:paraId="5E8A94CD" w14:textId="77777777" w:rsidR="00A71EEF" w:rsidRDefault="00A71EEF">
      <w:pPr>
        <w:pStyle w:val="a3"/>
        <w:spacing w:before="2"/>
        <w:rPr>
          <w:sz w:val="18"/>
        </w:rPr>
      </w:pPr>
    </w:p>
    <w:p w14:paraId="057B6800" w14:textId="77777777" w:rsidR="00A71EEF" w:rsidRDefault="0081115D">
      <w:pPr>
        <w:pStyle w:val="a3"/>
        <w:spacing w:line="446" w:lineRule="auto"/>
        <w:ind w:left="418" w:right="1346" w:firstLine="419"/>
      </w:pPr>
      <w:r>
        <w:rPr>
          <w:spacing w:val="-5"/>
        </w:rPr>
        <w:t>驾乘室的上、下车踏板间距不大于</w:t>
      </w:r>
      <w:r>
        <w:rPr>
          <w:spacing w:val="-5"/>
        </w:rPr>
        <w:t xml:space="preserve"> </w:t>
      </w:r>
      <w:r>
        <w:t xml:space="preserve">270 </w:t>
      </w:r>
      <w:r>
        <w:rPr>
          <w:spacing w:val="-3"/>
        </w:rPr>
        <w:t>mm</w:t>
      </w:r>
      <w:r>
        <w:rPr>
          <w:spacing w:val="-3"/>
        </w:rPr>
        <w:t>，除驾驶员侧外，其他供乘员上、下车踏板长度</w:t>
      </w:r>
      <w:r>
        <w:rPr>
          <w:spacing w:val="-11"/>
        </w:rPr>
        <w:t>不小于</w:t>
      </w:r>
      <w:r>
        <w:rPr>
          <w:spacing w:val="-11"/>
        </w:rPr>
        <w:t xml:space="preserve"> </w:t>
      </w:r>
      <w:r>
        <w:t>200 mm</w:t>
      </w:r>
      <w:r>
        <w:rPr>
          <w:spacing w:val="-8"/>
        </w:rPr>
        <w:t>，深度不小于</w:t>
      </w:r>
      <w:r>
        <w:rPr>
          <w:spacing w:val="-8"/>
        </w:rPr>
        <w:t xml:space="preserve"> </w:t>
      </w:r>
      <w:r>
        <w:t>100 mm</w:t>
      </w:r>
      <w:r>
        <w:rPr>
          <w:spacing w:val="-2"/>
        </w:rPr>
        <w:t>；踏板应有照明，踏板中间的水平照度不小于</w:t>
      </w:r>
      <w:r>
        <w:rPr>
          <w:spacing w:val="-2"/>
        </w:rPr>
        <w:t xml:space="preserve"> </w:t>
      </w:r>
      <w:r>
        <w:rPr>
          <w:spacing w:val="-3"/>
        </w:rPr>
        <w:t xml:space="preserve">5 </w:t>
      </w:r>
      <w:r>
        <w:t>lx</w:t>
      </w:r>
      <w:r>
        <w:rPr>
          <w:spacing w:val="-2"/>
        </w:rPr>
        <w:t>，踏板</w:t>
      </w:r>
      <w:r>
        <w:rPr>
          <w:spacing w:val="-2"/>
        </w:rPr>
        <w:t xml:space="preserve"> </w:t>
      </w:r>
      <w:r>
        <w:rPr>
          <w:spacing w:val="-4"/>
        </w:rPr>
        <w:t>脚踏面应有防滑措施，与地面最近一级的离地距离不应大于</w:t>
      </w:r>
      <w:r>
        <w:rPr>
          <w:spacing w:val="-4"/>
        </w:rPr>
        <w:t xml:space="preserve"> </w:t>
      </w:r>
      <w:r>
        <w:t>500 mm</w:t>
      </w:r>
      <w:r>
        <w:rPr>
          <w:spacing w:val="-3"/>
        </w:rPr>
        <w:t>。消防车体上取放器材的踏</w:t>
      </w:r>
      <w:r>
        <w:rPr>
          <w:spacing w:val="-6"/>
        </w:rPr>
        <w:t>板，人员站立面距地面高度不应大于</w:t>
      </w:r>
      <w:r>
        <w:rPr>
          <w:spacing w:val="-6"/>
        </w:rPr>
        <w:t xml:space="preserve"> </w:t>
      </w:r>
      <w:r>
        <w:t>450 mm</w:t>
      </w:r>
      <w:r>
        <w:rPr>
          <w:spacing w:val="-8"/>
        </w:rPr>
        <w:t>，长度不应小于</w:t>
      </w:r>
      <w:r>
        <w:rPr>
          <w:spacing w:val="-8"/>
        </w:rPr>
        <w:t xml:space="preserve"> </w:t>
      </w:r>
      <w:r>
        <w:t xml:space="preserve">300 </w:t>
      </w:r>
      <w:r>
        <w:rPr>
          <w:spacing w:val="-3"/>
        </w:rPr>
        <w:t>mm</w:t>
      </w:r>
      <w:r>
        <w:rPr>
          <w:spacing w:val="-8"/>
        </w:rPr>
        <w:t>，深度不应小于</w:t>
      </w:r>
      <w:r>
        <w:rPr>
          <w:spacing w:val="-8"/>
        </w:rPr>
        <w:t xml:space="preserve"> </w:t>
      </w:r>
      <w:r>
        <w:t>200 mm</w:t>
      </w:r>
      <w:r>
        <w:rPr>
          <w:spacing w:val="-20"/>
        </w:rPr>
        <w:t xml:space="preserve"> </w:t>
      </w:r>
      <w:r>
        <w:rPr>
          <w:spacing w:val="-20"/>
        </w:rPr>
        <w:t>并</w:t>
      </w:r>
      <w:r>
        <w:rPr>
          <w:spacing w:val="-20"/>
        </w:rPr>
        <w:t xml:space="preserve"> </w:t>
      </w:r>
      <w:r>
        <w:rPr>
          <w:spacing w:val="-9"/>
        </w:rPr>
        <w:t>应有照明。踏板放下后外侧朝向消防车前和后方应有黄色警告灯闪烁。踏板应能承载</w:t>
      </w:r>
      <w:r>
        <w:rPr>
          <w:spacing w:val="-9"/>
        </w:rPr>
        <w:t xml:space="preserve"> </w:t>
      </w:r>
      <w:r>
        <w:t>75 kg/500 mm</w:t>
      </w:r>
      <w:r>
        <w:rPr>
          <w:spacing w:val="-3"/>
        </w:rPr>
        <w:t xml:space="preserve"> </w:t>
      </w:r>
      <w:r>
        <w:rPr>
          <w:spacing w:val="-3"/>
        </w:rPr>
        <w:t>的重量。当为翻转踏板，在行车位置应有锁止机构防止踏板受震动后自行翻转。翻转踏板应</w:t>
      </w:r>
      <w:r>
        <w:rPr>
          <w:spacing w:val="-15"/>
        </w:rPr>
        <w:t>能承受</w:t>
      </w:r>
      <w:r>
        <w:rPr>
          <w:spacing w:val="-15"/>
        </w:rPr>
        <w:t xml:space="preserve"> </w:t>
      </w:r>
      <w:r>
        <w:t>10000</w:t>
      </w:r>
      <w:r>
        <w:rPr>
          <w:spacing w:val="-9"/>
        </w:rPr>
        <w:t xml:space="preserve"> </w:t>
      </w:r>
      <w:r>
        <w:rPr>
          <w:spacing w:val="-9"/>
        </w:rPr>
        <w:t>次翻转，铰链和回位弹簧不失效。</w:t>
      </w:r>
      <w:r>
        <w:t xml:space="preserve"> </w:t>
      </w:r>
    </w:p>
    <w:p w14:paraId="6A516E36" w14:textId="77777777" w:rsidR="00A71EEF" w:rsidRDefault="0081115D">
      <w:pPr>
        <w:pStyle w:val="a4"/>
        <w:numPr>
          <w:ilvl w:val="2"/>
          <w:numId w:val="830"/>
        </w:numPr>
        <w:tabs>
          <w:tab w:val="left" w:pos="1370"/>
        </w:tabs>
        <w:spacing w:line="266" w:lineRule="exact"/>
        <w:ind w:left="1369" w:hanging="530"/>
        <w:rPr>
          <w:sz w:val="21"/>
        </w:rPr>
      </w:pPr>
      <w:r>
        <w:rPr>
          <w:spacing w:val="-3"/>
          <w:sz w:val="21"/>
        </w:rPr>
        <w:t>扶手</w:t>
      </w:r>
      <w:r>
        <w:rPr>
          <w:sz w:val="21"/>
        </w:rPr>
        <w:t xml:space="preserve"> </w:t>
      </w:r>
    </w:p>
    <w:p w14:paraId="50FDFFE2" w14:textId="77777777" w:rsidR="00A71EEF" w:rsidRDefault="00A71EEF">
      <w:pPr>
        <w:pStyle w:val="a3"/>
        <w:spacing w:before="12"/>
        <w:rPr>
          <w:sz w:val="17"/>
        </w:rPr>
      </w:pPr>
    </w:p>
    <w:p w14:paraId="3B4E5B04" w14:textId="77777777" w:rsidR="00A71EEF" w:rsidRDefault="0081115D">
      <w:pPr>
        <w:pStyle w:val="a4"/>
        <w:numPr>
          <w:ilvl w:val="3"/>
          <w:numId w:val="830"/>
        </w:numPr>
        <w:tabs>
          <w:tab w:val="left" w:pos="1576"/>
        </w:tabs>
        <w:spacing w:line="446" w:lineRule="auto"/>
        <w:ind w:right="1609" w:firstLine="419"/>
        <w:rPr>
          <w:sz w:val="21"/>
        </w:rPr>
      </w:pPr>
      <w:r>
        <w:rPr>
          <w:spacing w:val="-3"/>
          <w:sz w:val="21"/>
        </w:rPr>
        <w:t>除驾驶员外的每个乘员都应有固定身体的扶手，扶手尺寸应保证戴防护手套仍</w:t>
      </w:r>
      <w:r>
        <w:rPr>
          <w:spacing w:val="-3"/>
          <w:sz w:val="21"/>
        </w:rPr>
        <w:t>能抓持。</w:t>
      </w:r>
      <w:r>
        <w:rPr>
          <w:sz w:val="21"/>
        </w:rPr>
        <w:t xml:space="preserve"> </w:t>
      </w:r>
    </w:p>
    <w:p w14:paraId="48068118" w14:textId="77777777" w:rsidR="00A71EEF" w:rsidRDefault="0081115D">
      <w:pPr>
        <w:pStyle w:val="a4"/>
        <w:numPr>
          <w:ilvl w:val="3"/>
          <w:numId w:val="830"/>
        </w:numPr>
        <w:tabs>
          <w:tab w:val="left" w:pos="1576"/>
        </w:tabs>
        <w:ind w:left="1575"/>
        <w:rPr>
          <w:sz w:val="21"/>
        </w:rPr>
      </w:pPr>
      <w:r>
        <w:rPr>
          <w:spacing w:val="-7"/>
          <w:sz w:val="21"/>
        </w:rPr>
        <w:t>扶手与车体应固定可靠，应能承受</w:t>
      </w:r>
      <w:r>
        <w:rPr>
          <w:spacing w:val="-7"/>
          <w:sz w:val="21"/>
        </w:rPr>
        <w:t xml:space="preserve"> </w:t>
      </w:r>
      <w:r>
        <w:rPr>
          <w:sz w:val="21"/>
        </w:rPr>
        <w:t>100</w:t>
      </w:r>
      <w:r>
        <w:rPr>
          <w:spacing w:val="2"/>
          <w:sz w:val="21"/>
        </w:rPr>
        <w:t xml:space="preserve"> </w:t>
      </w:r>
      <w:r>
        <w:rPr>
          <w:sz w:val="21"/>
        </w:rPr>
        <w:t>kg</w:t>
      </w:r>
      <w:r>
        <w:rPr>
          <w:spacing w:val="-9"/>
          <w:sz w:val="21"/>
        </w:rPr>
        <w:t xml:space="preserve"> </w:t>
      </w:r>
      <w:r>
        <w:rPr>
          <w:spacing w:val="-9"/>
          <w:sz w:val="21"/>
        </w:rPr>
        <w:t>的拉为且不脱落和断裂。</w:t>
      </w:r>
      <w:r>
        <w:rPr>
          <w:sz w:val="21"/>
        </w:rPr>
        <w:t xml:space="preserve"> </w:t>
      </w:r>
    </w:p>
    <w:p w14:paraId="3C934AFD" w14:textId="77777777" w:rsidR="00A71EEF" w:rsidRDefault="00A71EEF">
      <w:pPr>
        <w:pStyle w:val="a3"/>
        <w:spacing w:before="12"/>
        <w:rPr>
          <w:sz w:val="17"/>
        </w:rPr>
      </w:pPr>
    </w:p>
    <w:p w14:paraId="79B09A82" w14:textId="77777777" w:rsidR="00A71EEF" w:rsidRDefault="0081115D">
      <w:pPr>
        <w:pStyle w:val="a4"/>
        <w:numPr>
          <w:ilvl w:val="3"/>
          <w:numId w:val="830"/>
        </w:numPr>
        <w:tabs>
          <w:tab w:val="left" w:pos="1576"/>
        </w:tabs>
        <w:spacing w:before="1"/>
        <w:ind w:left="1575"/>
        <w:rPr>
          <w:sz w:val="21"/>
        </w:rPr>
      </w:pPr>
      <w:r>
        <w:rPr>
          <w:spacing w:val="-3"/>
          <w:sz w:val="21"/>
        </w:rPr>
        <w:t>扶手距驾乘室地板的高度应便于乘员坐在座位上抓持。</w:t>
      </w:r>
      <w:r>
        <w:rPr>
          <w:sz w:val="21"/>
        </w:rPr>
        <w:t xml:space="preserve"> </w:t>
      </w:r>
    </w:p>
    <w:p w14:paraId="07245BD3" w14:textId="77777777" w:rsidR="00A71EEF" w:rsidRDefault="00A71EEF">
      <w:pPr>
        <w:pStyle w:val="a3"/>
        <w:spacing w:before="1"/>
        <w:rPr>
          <w:sz w:val="18"/>
        </w:rPr>
      </w:pPr>
    </w:p>
    <w:p w14:paraId="18E36507" w14:textId="77777777" w:rsidR="00A71EEF" w:rsidRDefault="0081115D">
      <w:pPr>
        <w:pStyle w:val="a4"/>
        <w:numPr>
          <w:ilvl w:val="3"/>
          <w:numId w:val="830"/>
        </w:numPr>
        <w:tabs>
          <w:tab w:val="left" w:pos="1576"/>
        </w:tabs>
        <w:ind w:left="1575"/>
        <w:rPr>
          <w:sz w:val="21"/>
        </w:rPr>
      </w:pPr>
      <w:r>
        <w:rPr>
          <w:spacing w:val="-3"/>
          <w:sz w:val="21"/>
        </w:rPr>
        <w:t>驾乘室应有方便上、下车的扶手，扶手应保证戴防护手套仍能抓持。</w:t>
      </w:r>
      <w:r>
        <w:rPr>
          <w:spacing w:val="-3"/>
          <w:sz w:val="21"/>
        </w:rPr>
        <w:t xml:space="preserve"> </w:t>
      </w:r>
    </w:p>
    <w:p w14:paraId="66A779EF" w14:textId="77777777" w:rsidR="00A71EEF" w:rsidRDefault="00A71EEF">
      <w:pPr>
        <w:pStyle w:val="a3"/>
        <w:rPr>
          <w:sz w:val="18"/>
        </w:rPr>
      </w:pPr>
    </w:p>
    <w:p w14:paraId="41FDAF19" w14:textId="77777777" w:rsidR="00A71EEF" w:rsidRDefault="0081115D">
      <w:pPr>
        <w:pStyle w:val="a4"/>
        <w:numPr>
          <w:ilvl w:val="3"/>
          <w:numId w:val="830"/>
        </w:numPr>
        <w:tabs>
          <w:tab w:val="left" w:pos="1576"/>
        </w:tabs>
        <w:spacing w:before="1" w:line="446" w:lineRule="auto"/>
        <w:ind w:right="1818" w:firstLine="419"/>
        <w:rPr>
          <w:sz w:val="21"/>
        </w:rPr>
      </w:pPr>
      <w:r>
        <w:rPr>
          <w:spacing w:val="-3"/>
          <w:sz w:val="21"/>
        </w:rPr>
        <w:t>扶手应优先使用非金属材料制造，若采用金属材料时应在扶手外部包敷非金属层，并应有防滑花纹。</w:t>
      </w:r>
      <w:r>
        <w:rPr>
          <w:sz w:val="21"/>
        </w:rPr>
        <w:t xml:space="preserve"> </w:t>
      </w:r>
    </w:p>
    <w:p w14:paraId="3C3333CA" w14:textId="77777777" w:rsidR="00A71EEF" w:rsidRDefault="0081115D">
      <w:pPr>
        <w:pStyle w:val="a4"/>
        <w:numPr>
          <w:ilvl w:val="2"/>
          <w:numId w:val="830"/>
        </w:numPr>
        <w:tabs>
          <w:tab w:val="left" w:pos="1370"/>
        </w:tabs>
        <w:ind w:left="1369" w:hanging="530"/>
        <w:rPr>
          <w:sz w:val="21"/>
        </w:rPr>
      </w:pPr>
      <w:r>
        <w:rPr>
          <w:spacing w:val="-3"/>
          <w:sz w:val="21"/>
        </w:rPr>
        <w:t>驾乘室的强度和刚度</w:t>
      </w:r>
      <w:r>
        <w:rPr>
          <w:spacing w:val="-3"/>
          <w:sz w:val="21"/>
        </w:rPr>
        <w:t xml:space="preserve"> </w:t>
      </w:r>
    </w:p>
    <w:p w14:paraId="1356A0D4" w14:textId="77777777" w:rsidR="00A71EEF" w:rsidRDefault="00A71EEF">
      <w:pPr>
        <w:pStyle w:val="a3"/>
        <w:spacing w:before="12"/>
        <w:rPr>
          <w:sz w:val="17"/>
        </w:rPr>
      </w:pPr>
    </w:p>
    <w:p w14:paraId="7D64B3B0" w14:textId="77777777" w:rsidR="00A71EEF" w:rsidRDefault="0081115D">
      <w:pPr>
        <w:pStyle w:val="a4"/>
        <w:numPr>
          <w:ilvl w:val="3"/>
          <w:numId w:val="830"/>
        </w:numPr>
        <w:tabs>
          <w:tab w:val="left" w:pos="1576"/>
        </w:tabs>
        <w:spacing w:line="446" w:lineRule="auto"/>
        <w:ind w:right="1505" w:firstLine="419"/>
        <w:rPr>
          <w:sz w:val="21"/>
        </w:rPr>
      </w:pPr>
      <w:r>
        <w:rPr>
          <w:spacing w:val="-6"/>
          <w:sz w:val="21"/>
        </w:rPr>
        <w:t>驾乘室顶需要上人操作或维修装备时，应保证在</w:t>
      </w:r>
      <w:r>
        <w:rPr>
          <w:spacing w:val="-6"/>
          <w:sz w:val="21"/>
        </w:rPr>
        <w:t xml:space="preserve"> </w:t>
      </w:r>
      <w:r>
        <w:rPr>
          <w:sz w:val="21"/>
        </w:rPr>
        <w:t>300</w:t>
      </w:r>
      <w:r>
        <w:rPr>
          <w:spacing w:val="9"/>
          <w:sz w:val="21"/>
        </w:rPr>
        <w:t xml:space="preserve"> </w:t>
      </w:r>
      <w:r>
        <w:rPr>
          <w:sz w:val="21"/>
        </w:rPr>
        <w:t>mm×200</w:t>
      </w:r>
      <w:r>
        <w:rPr>
          <w:spacing w:val="8"/>
          <w:sz w:val="21"/>
        </w:rPr>
        <w:t xml:space="preserve"> </w:t>
      </w:r>
      <w:r>
        <w:rPr>
          <w:sz w:val="21"/>
        </w:rPr>
        <w:t>mm</w:t>
      </w:r>
      <w:r>
        <w:rPr>
          <w:spacing w:val="-8"/>
          <w:sz w:val="21"/>
        </w:rPr>
        <w:t xml:space="preserve"> </w:t>
      </w:r>
      <w:r>
        <w:rPr>
          <w:spacing w:val="-8"/>
          <w:sz w:val="21"/>
        </w:rPr>
        <w:t>范围能够承受质</w:t>
      </w:r>
      <w:r>
        <w:rPr>
          <w:spacing w:val="-24"/>
          <w:sz w:val="21"/>
        </w:rPr>
        <w:t>量为</w:t>
      </w:r>
      <w:r>
        <w:rPr>
          <w:spacing w:val="-24"/>
          <w:sz w:val="21"/>
        </w:rPr>
        <w:t xml:space="preserve"> </w:t>
      </w:r>
      <w:r>
        <w:rPr>
          <w:sz w:val="21"/>
        </w:rPr>
        <w:t>100</w:t>
      </w:r>
      <w:r>
        <w:rPr>
          <w:spacing w:val="1"/>
          <w:sz w:val="21"/>
        </w:rPr>
        <w:t xml:space="preserve"> </w:t>
      </w:r>
      <w:r>
        <w:rPr>
          <w:sz w:val="21"/>
        </w:rPr>
        <w:t>kg</w:t>
      </w:r>
      <w:r>
        <w:rPr>
          <w:spacing w:val="-8"/>
          <w:sz w:val="21"/>
        </w:rPr>
        <w:t xml:space="preserve"> </w:t>
      </w:r>
      <w:r>
        <w:rPr>
          <w:spacing w:val="-8"/>
          <w:sz w:val="21"/>
        </w:rPr>
        <w:t>的静载荷，并且驾乘室顶应采取防滑措施。</w:t>
      </w:r>
      <w:r>
        <w:rPr>
          <w:sz w:val="21"/>
        </w:rPr>
        <w:t xml:space="preserve"> </w:t>
      </w:r>
    </w:p>
    <w:p w14:paraId="1B4E5C81" w14:textId="77777777" w:rsidR="00A71EEF" w:rsidRDefault="0081115D">
      <w:pPr>
        <w:pStyle w:val="a4"/>
        <w:numPr>
          <w:ilvl w:val="3"/>
          <w:numId w:val="830"/>
        </w:numPr>
        <w:tabs>
          <w:tab w:val="left" w:pos="1576"/>
        </w:tabs>
        <w:spacing w:line="446" w:lineRule="auto"/>
        <w:ind w:right="1609" w:firstLine="419"/>
        <w:rPr>
          <w:sz w:val="21"/>
        </w:rPr>
      </w:pPr>
      <w:r>
        <w:rPr>
          <w:spacing w:val="-3"/>
          <w:sz w:val="21"/>
        </w:rPr>
        <w:t>驾乘室应具有与原驾驶室相同的强度和刚度。地板、顶护面、加强筋的形状及材料的材质、厚度等均应与原驾驶室相同。</w:t>
      </w:r>
      <w:r>
        <w:rPr>
          <w:sz w:val="21"/>
        </w:rPr>
        <w:t xml:space="preserve"> </w:t>
      </w:r>
    </w:p>
    <w:p w14:paraId="283F7431" w14:textId="77777777" w:rsidR="00A71EEF" w:rsidRDefault="0081115D">
      <w:pPr>
        <w:pStyle w:val="a4"/>
        <w:numPr>
          <w:ilvl w:val="2"/>
          <w:numId w:val="830"/>
        </w:numPr>
        <w:tabs>
          <w:tab w:val="left" w:pos="1370"/>
        </w:tabs>
        <w:spacing w:line="267" w:lineRule="exact"/>
        <w:ind w:left="1369" w:hanging="530"/>
        <w:rPr>
          <w:sz w:val="21"/>
        </w:rPr>
      </w:pPr>
      <w:r>
        <w:rPr>
          <w:spacing w:val="-3"/>
          <w:sz w:val="21"/>
        </w:rPr>
        <w:t>驾乘室内外部操作要求</w:t>
      </w:r>
      <w:r>
        <w:rPr>
          <w:sz w:val="21"/>
        </w:rPr>
        <w:t xml:space="preserve"> </w:t>
      </w:r>
    </w:p>
    <w:p w14:paraId="25593F8A" w14:textId="77777777" w:rsidR="00A71EEF" w:rsidRDefault="00A71EEF">
      <w:pPr>
        <w:spacing w:line="267" w:lineRule="exact"/>
        <w:rPr>
          <w:sz w:val="21"/>
        </w:rPr>
        <w:sectPr w:rsidR="00A71EEF">
          <w:pgSz w:w="11910" w:h="16850"/>
          <w:pgMar w:top="1220" w:right="0" w:bottom="1420" w:left="1260" w:header="0" w:footer="1239" w:gutter="0"/>
          <w:cols w:space="720"/>
        </w:sectPr>
      </w:pPr>
    </w:p>
    <w:p w14:paraId="6BE74C66" w14:textId="77777777" w:rsidR="00A71EEF" w:rsidRDefault="0081115D">
      <w:pPr>
        <w:pStyle w:val="a4"/>
        <w:numPr>
          <w:ilvl w:val="3"/>
          <w:numId w:val="830"/>
        </w:numPr>
        <w:tabs>
          <w:tab w:val="left" w:pos="1576"/>
        </w:tabs>
        <w:spacing w:before="47" w:line="446" w:lineRule="auto"/>
        <w:ind w:right="1818" w:firstLine="419"/>
        <w:rPr>
          <w:sz w:val="21"/>
        </w:rPr>
      </w:pPr>
      <w:r>
        <w:rPr>
          <w:spacing w:val="-3"/>
          <w:sz w:val="21"/>
        </w:rPr>
        <w:lastRenderedPageBreak/>
        <w:t>驾乘室内部的灯开关、警灯、警报器开关、储物箱开关、抽拉板拉手、启闭车门、车窗等应保证戴防护手套仍能操作。</w:t>
      </w:r>
      <w:r>
        <w:rPr>
          <w:sz w:val="21"/>
        </w:rPr>
        <w:t xml:space="preserve"> </w:t>
      </w:r>
    </w:p>
    <w:p w14:paraId="236AD8E5" w14:textId="77777777" w:rsidR="00A71EEF" w:rsidRDefault="0081115D">
      <w:pPr>
        <w:pStyle w:val="a4"/>
        <w:numPr>
          <w:ilvl w:val="3"/>
          <w:numId w:val="830"/>
        </w:numPr>
        <w:tabs>
          <w:tab w:val="left" w:pos="1576"/>
        </w:tabs>
        <w:spacing w:line="446" w:lineRule="auto"/>
        <w:ind w:right="1609" w:firstLine="419"/>
        <w:rPr>
          <w:sz w:val="21"/>
        </w:rPr>
      </w:pPr>
      <w:r>
        <w:rPr>
          <w:spacing w:val="-3"/>
          <w:sz w:val="21"/>
        </w:rPr>
        <w:t>驾乘室座椅后部若安装空气呼吸器，应有机械锁止机构将空气呼吸器锁住，机械锁止机构的解除手柄应在乘员方便接触处，手柄的大小应保证戴防护手套可操作。</w:t>
      </w:r>
      <w:r>
        <w:rPr>
          <w:sz w:val="21"/>
        </w:rPr>
        <w:t xml:space="preserve"> </w:t>
      </w:r>
    </w:p>
    <w:p w14:paraId="550F9C23" w14:textId="77777777" w:rsidR="00A71EEF" w:rsidRDefault="0081115D">
      <w:pPr>
        <w:pStyle w:val="a4"/>
        <w:numPr>
          <w:ilvl w:val="3"/>
          <w:numId w:val="830"/>
        </w:numPr>
        <w:tabs>
          <w:tab w:val="left" w:pos="1576"/>
        </w:tabs>
        <w:ind w:left="1575"/>
        <w:rPr>
          <w:sz w:val="21"/>
        </w:rPr>
      </w:pPr>
      <w:r>
        <w:rPr>
          <w:spacing w:val="-3"/>
          <w:sz w:val="21"/>
        </w:rPr>
        <w:t>对于可翻转式驾乘室，应采用左右能均匀受力、双向翻转机构，翻转角应不小于</w:t>
      </w:r>
    </w:p>
    <w:p w14:paraId="52E5C77A" w14:textId="77777777" w:rsidR="00A71EEF" w:rsidRDefault="00A71EEF">
      <w:pPr>
        <w:pStyle w:val="a3"/>
        <w:spacing w:before="10"/>
        <w:rPr>
          <w:sz w:val="17"/>
        </w:rPr>
      </w:pPr>
    </w:p>
    <w:p w14:paraId="54226837" w14:textId="77777777" w:rsidR="00A71EEF" w:rsidRDefault="0081115D">
      <w:pPr>
        <w:pStyle w:val="a3"/>
        <w:spacing w:line="446" w:lineRule="auto"/>
        <w:ind w:left="418" w:right="1608"/>
        <w:jc w:val="both"/>
      </w:pPr>
      <w:r>
        <w:t>45°</w:t>
      </w:r>
      <w:r>
        <w:t>。翻转机构应操作灵活，且应安装可靠的锁止装置和保险装置，以保证驾乘室在行驶时不会自行翻起，翻起后不会自行落下，并在翻转操纵机构附近易见部位应有提醒操作人员如何正确使用该操纵机构的中文说明。</w:t>
      </w:r>
      <w:r>
        <w:t xml:space="preserve"> </w:t>
      </w:r>
    </w:p>
    <w:p w14:paraId="4704D81A" w14:textId="77777777" w:rsidR="00A71EEF" w:rsidRDefault="0081115D">
      <w:pPr>
        <w:pStyle w:val="a4"/>
        <w:numPr>
          <w:ilvl w:val="2"/>
          <w:numId w:val="830"/>
        </w:numPr>
        <w:tabs>
          <w:tab w:val="left" w:pos="1370"/>
        </w:tabs>
        <w:spacing w:line="268" w:lineRule="exact"/>
        <w:ind w:left="1369" w:hanging="530"/>
        <w:rPr>
          <w:sz w:val="21"/>
        </w:rPr>
      </w:pPr>
      <w:r>
        <w:rPr>
          <w:spacing w:val="-3"/>
          <w:sz w:val="21"/>
        </w:rPr>
        <w:t>安全要求</w:t>
      </w:r>
      <w:r>
        <w:rPr>
          <w:sz w:val="21"/>
        </w:rPr>
        <w:t xml:space="preserve"> </w:t>
      </w:r>
    </w:p>
    <w:p w14:paraId="1FE33A49" w14:textId="77777777" w:rsidR="00A71EEF" w:rsidRDefault="00A71EEF">
      <w:pPr>
        <w:pStyle w:val="a3"/>
        <w:spacing w:before="2"/>
        <w:rPr>
          <w:sz w:val="18"/>
        </w:rPr>
      </w:pPr>
    </w:p>
    <w:p w14:paraId="6B3FB804" w14:textId="77777777" w:rsidR="00A71EEF" w:rsidRDefault="0081115D">
      <w:pPr>
        <w:pStyle w:val="a4"/>
        <w:numPr>
          <w:ilvl w:val="3"/>
          <w:numId w:val="830"/>
        </w:numPr>
        <w:tabs>
          <w:tab w:val="left" w:pos="1576"/>
        </w:tabs>
        <w:spacing w:line="446" w:lineRule="auto"/>
        <w:ind w:right="1609" w:firstLine="419"/>
        <w:rPr>
          <w:sz w:val="21"/>
        </w:rPr>
      </w:pPr>
      <w:r>
        <w:rPr>
          <w:spacing w:val="-3"/>
          <w:sz w:val="21"/>
        </w:rPr>
        <w:t>在驾驶员可见位置处应安装声光报警装置，以警示发动机温度和润滑油位是否异常。</w:t>
      </w:r>
      <w:r>
        <w:rPr>
          <w:sz w:val="21"/>
        </w:rPr>
        <w:t xml:space="preserve"> </w:t>
      </w:r>
    </w:p>
    <w:p w14:paraId="068365D2" w14:textId="77777777" w:rsidR="00A71EEF" w:rsidRDefault="0081115D">
      <w:pPr>
        <w:pStyle w:val="a4"/>
        <w:numPr>
          <w:ilvl w:val="3"/>
          <w:numId w:val="830"/>
        </w:numPr>
        <w:tabs>
          <w:tab w:val="left" w:pos="1576"/>
        </w:tabs>
        <w:spacing w:line="267" w:lineRule="exact"/>
        <w:ind w:left="1575"/>
        <w:rPr>
          <w:sz w:val="21"/>
        </w:rPr>
      </w:pPr>
      <w:r>
        <w:rPr>
          <w:spacing w:val="-3"/>
          <w:sz w:val="21"/>
        </w:rPr>
        <w:t>乘员室外表面不应有尖角和锐利的边缘。</w:t>
      </w:r>
      <w:r>
        <w:rPr>
          <w:sz w:val="21"/>
        </w:rPr>
        <w:t xml:space="preserve"> </w:t>
      </w:r>
    </w:p>
    <w:p w14:paraId="79E5E035" w14:textId="77777777" w:rsidR="00A71EEF" w:rsidRDefault="00A71EEF">
      <w:pPr>
        <w:pStyle w:val="a3"/>
        <w:spacing w:before="2"/>
        <w:rPr>
          <w:sz w:val="18"/>
        </w:rPr>
      </w:pPr>
    </w:p>
    <w:p w14:paraId="02D756EE" w14:textId="77777777" w:rsidR="00A71EEF" w:rsidRDefault="0081115D">
      <w:pPr>
        <w:pStyle w:val="a4"/>
        <w:numPr>
          <w:ilvl w:val="3"/>
          <w:numId w:val="830"/>
        </w:numPr>
        <w:tabs>
          <w:tab w:val="left" w:pos="1576"/>
        </w:tabs>
        <w:spacing w:line="446" w:lineRule="auto"/>
        <w:ind w:right="1609" w:firstLine="419"/>
        <w:rPr>
          <w:sz w:val="21"/>
        </w:rPr>
      </w:pPr>
      <w:r>
        <w:rPr>
          <w:spacing w:val="-3"/>
          <w:sz w:val="21"/>
        </w:rPr>
        <w:t>功率输出装置装在驾驶室或乘员室下方时，两者之间应采用隔热效果良好的材料隔离。</w:t>
      </w:r>
      <w:r>
        <w:rPr>
          <w:sz w:val="21"/>
        </w:rPr>
        <w:t xml:space="preserve"> </w:t>
      </w:r>
    </w:p>
    <w:p w14:paraId="1A2E9DBD" w14:textId="77777777" w:rsidR="00A71EEF" w:rsidRDefault="0081115D">
      <w:pPr>
        <w:pStyle w:val="a4"/>
        <w:numPr>
          <w:ilvl w:val="3"/>
          <w:numId w:val="830"/>
        </w:numPr>
        <w:tabs>
          <w:tab w:val="left" w:pos="1576"/>
        </w:tabs>
        <w:spacing w:line="267" w:lineRule="exact"/>
        <w:ind w:left="1575"/>
        <w:rPr>
          <w:sz w:val="21"/>
        </w:rPr>
      </w:pPr>
      <w:r>
        <w:rPr>
          <w:spacing w:val="-3"/>
          <w:sz w:val="21"/>
        </w:rPr>
        <w:t>乘员室内部不应有尖角、锐利边缘、突出物等可能对人员造成伤害的形状。</w:t>
      </w:r>
      <w:r>
        <w:rPr>
          <w:spacing w:val="-3"/>
          <w:sz w:val="21"/>
        </w:rPr>
        <w:t xml:space="preserve"> </w:t>
      </w:r>
    </w:p>
    <w:p w14:paraId="096614C3" w14:textId="77777777" w:rsidR="00A71EEF" w:rsidRDefault="00A71EEF">
      <w:pPr>
        <w:pStyle w:val="a3"/>
        <w:spacing w:before="2"/>
        <w:rPr>
          <w:sz w:val="18"/>
        </w:rPr>
      </w:pPr>
    </w:p>
    <w:p w14:paraId="2C3730B1" w14:textId="77777777" w:rsidR="00A71EEF" w:rsidRDefault="0081115D">
      <w:pPr>
        <w:pStyle w:val="a4"/>
        <w:numPr>
          <w:ilvl w:val="3"/>
          <w:numId w:val="830"/>
        </w:numPr>
        <w:tabs>
          <w:tab w:val="left" w:pos="1576"/>
        </w:tabs>
        <w:spacing w:line="446" w:lineRule="auto"/>
        <w:ind w:right="1609" w:firstLine="419"/>
        <w:rPr>
          <w:sz w:val="21"/>
        </w:rPr>
      </w:pPr>
      <w:r>
        <w:rPr>
          <w:spacing w:val="-3"/>
          <w:sz w:val="21"/>
        </w:rPr>
        <w:t>乘员室内部人员可能产生碰撞处</w:t>
      </w:r>
      <w:r>
        <w:rPr>
          <w:spacing w:val="-3"/>
          <w:sz w:val="21"/>
        </w:rPr>
        <w:t>应进行软化处理，软化层应选用阻燃材料，其阻</w:t>
      </w:r>
      <w:r>
        <w:rPr>
          <w:spacing w:val="6"/>
          <w:sz w:val="21"/>
        </w:rPr>
        <w:t>燃性能应符合</w:t>
      </w:r>
      <w:r>
        <w:rPr>
          <w:sz w:val="21"/>
        </w:rPr>
        <w:t>GB</w:t>
      </w:r>
      <w:r>
        <w:rPr>
          <w:spacing w:val="1"/>
          <w:sz w:val="21"/>
        </w:rPr>
        <w:t xml:space="preserve"> </w:t>
      </w:r>
      <w:r>
        <w:rPr>
          <w:sz w:val="21"/>
        </w:rPr>
        <w:t>8410</w:t>
      </w:r>
      <w:r>
        <w:rPr>
          <w:spacing w:val="-9"/>
          <w:sz w:val="21"/>
        </w:rPr>
        <w:t xml:space="preserve"> </w:t>
      </w:r>
      <w:r>
        <w:rPr>
          <w:spacing w:val="-9"/>
          <w:sz w:val="21"/>
        </w:rPr>
        <w:t>的规定，并符合环保要求。</w:t>
      </w:r>
      <w:r>
        <w:rPr>
          <w:sz w:val="21"/>
        </w:rPr>
        <w:t xml:space="preserve"> </w:t>
      </w:r>
    </w:p>
    <w:p w14:paraId="5C53C473" w14:textId="77777777" w:rsidR="00A71EEF" w:rsidRDefault="0081115D">
      <w:pPr>
        <w:pStyle w:val="a4"/>
        <w:numPr>
          <w:ilvl w:val="3"/>
          <w:numId w:val="830"/>
        </w:numPr>
        <w:tabs>
          <w:tab w:val="left" w:pos="1576"/>
        </w:tabs>
        <w:spacing w:line="446" w:lineRule="auto"/>
        <w:ind w:right="1608" w:firstLine="419"/>
        <w:rPr>
          <w:sz w:val="21"/>
        </w:rPr>
      </w:pPr>
      <w:r>
        <w:rPr>
          <w:spacing w:val="-5"/>
          <w:sz w:val="21"/>
        </w:rPr>
        <w:t>地板上铺覆的软化物应选用阻燃材料，其阻燃性能应符合</w:t>
      </w:r>
      <w:r>
        <w:rPr>
          <w:spacing w:val="-5"/>
          <w:sz w:val="21"/>
        </w:rPr>
        <w:t xml:space="preserve"> </w:t>
      </w:r>
      <w:r>
        <w:rPr>
          <w:sz w:val="21"/>
        </w:rPr>
        <w:t>GB</w:t>
      </w:r>
      <w:r>
        <w:rPr>
          <w:spacing w:val="10"/>
          <w:sz w:val="21"/>
        </w:rPr>
        <w:t xml:space="preserve"> </w:t>
      </w:r>
      <w:r>
        <w:rPr>
          <w:sz w:val="21"/>
        </w:rPr>
        <w:t>8410</w:t>
      </w:r>
      <w:r>
        <w:rPr>
          <w:spacing w:val="-9"/>
          <w:sz w:val="21"/>
        </w:rPr>
        <w:t xml:space="preserve"> </w:t>
      </w:r>
      <w:r>
        <w:rPr>
          <w:spacing w:val="-9"/>
          <w:sz w:val="21"/>
        </w:rPr>
        <w:t>的规定，并符</w:t>
      </w:r>
      <w:r>
        <w:rPr>
          <w:spacing w:val="-5"/>
          <w:sz w:val="21"/>
        </w:rPr>
        <w:t>合环保要求，且能减噪、防滑、并便于清洁。</w:t>
      </w:r>
      <w:r>
        <w:rPr>
          <w:sz w:val="21"/>
        </w:rPr>
        <w:t xml:space="preserve"> </w:t>
      </w:r>
    </w:p>
    <w:p w14:paraId="14A45AEE" w14:textId="77777777" w:rsidR="00A71EEF" w:rsidRDefault="0081115D">
      <w:pPr>
        <w:pStyle w:val="a4"/>
        <w:numPr>
          <w:ilvl w:val="3"/>
          <w:numId w:val="830"/>
        </w:numPr>
        <w:tabs>
          <w:tab w:val="left" w:pos="1576"/>
        </w:tabs>
        <w:spacing w:line="446" w:lineRule="auto"/>
        <w:ind w:right="1505" w:firstLine="419"/>
        <w:rPr>
          <w:sz w:val="21"/>
        </w:rPr>
      </w:pPr>
      <w:r>
        <w:rPr>
          <w:spacing w:val="-5"/>
          <w:sz w:val="21"/>
        </w:rPr>
        <w:t>乘员室内若有打开或抽出时会向乘坐空间伸出超过</w:t>
      </w:r>
      <w:r>
        <w:rPr>
          <w:spacing w:val="-5"/>
          <w:sz w:val="21"/>
        </w:rPr>
        <w:t xml:space="preserve"> </w:t>
      </w:r>
      <w:r>
        <w:rPr>
          <w:sz w:val="21"/>
        </w:rPr>
        <w:t>250</w:t>
      </w:r>
      <w:r>
        <w:rPr>
          <w:spacing w:val="11"/>
          <w:sz w:val="21"/>
        </w:rPr>
        <w:t xml:space="preserve"> </w:t>
      </w:r>
      <w:r>
        <w:rPr>
          <w:sz w:val="21"/>
        </w:rPr>
        <w:t>mm</w:t>
      </w:r>
      <w:r>
        <w:rPr>
          <w:spacing w:val="-8"/>
          <w:sz w:val="21"/>
        </w:rPr>
        <w:t xml:space="preserve"> </w:t>
      </w:r>
      <w:r>
        <w:rPr>
          <w:spacing w:val="-8"/>
          <w:sz w:val="21"/>
        </w:rPr>
        <w:t>的储物箱或翻板时，在</w:t>
      </w:r>
      <w:r>
        <w:rPr>
          <w:spacing w:val="-5"/>
          <w:sz w:val="21"/>
        </w:rPr>
        <w:t>打开或抽出时应有明显的指示，以避免造成人员碰伤。</w:t>
      </w:r>
      <w:r>
        <w:rPr>
          <w:sz w:val="21"/>
        </w:rPr>
        <w:t xml:space="preserve"> </w:t>
      </w:r>
    </w:p>
    <w:p w14:paraId="00410633" w14:textId="77777777" w:rsidR="00A71EEF" w:rsidRDefault="0081115D">
      <w:pPr>
        <w:pStyle w:val="a4"/>
        <w:numPr>
          <w:ilvl w:val="3"/>
          <w:numId w:val="830"/>
        </w:numPr>
        <w:tabs>
          <w:tab w:val="left" w:pos="1576"/>
        </w:tabs>
        <w:spacing w:line="446" w:lineRule="auto"/>
        <w:ind w:right="1505" w:firstLine="419"/>
        <w:rPr>
          <w:sz w:val="21"/>
        </w:rPr>
      </w:pPr>
      <w:r>
        <w:rPr>
          <w:spacing w:val="-7"/>
          <w:sz w:val="21"/>
        </w:rPr>
        <w:t>乘员室内距地板高度小于</w:t>
      </w:r>
      <w:r>
        <w:rPr>
          <w:spacing w:val="-7"/>
          <w:sz w:val="21"/>
        </w:rPr>
        <w:t xml:space="preserve"> </w:t>
      </w:r>
      <w:r>
        <w:rPr>
          <w:sz w:val="21"/>
        </w:rPr>
        <w:t>300</w:t>
      </w:r>
      <w:r>
        <w:rPr>
          <w:spacing w:val="12"/>
          <w:sz w:val="21"/>
        </w:rPr>
        <w:t xml:space="preserve"> </w:t>
      </w:r>
      <w:r>
        <w:rPr>
          <w:sz w:val="21"/>
        </w:rPr>
        <w:t>mm</w:t>
      </w:r>
      <w:r>
        <w:rPr>
          <w:spacing w:val="-9"/>
          <w:sz w:val="21"/>
        </w:rPr>
        <w:t xml:space="preserve"> </w:t>
      </w:r>
      <w:r>
        <w:rPr>
          <w:spacing w:val="-9"/>
          <w:sz w:val="21"/>
        </w:rPr>
        <w:t>范围内若放置易损物品时，应有防磕碰、防脚踢</w:t>
      </w:r>
      <w:r>
        <w:rPr>
          <w:spacing w:val="-6"/>
          <w:sz w:val="21"/>
        </w:rPr>
        <w:t>的防护装置。</w:t>
      </w:r>
      <w:r>
        <w:rPr>
          <w:sz w:val="21"/>
        </w:rPr>
        <w:t xml:space="preserve"> </w:t>
      </w:r>
    </w:p>
    <w:p w14:paraId="59978CAC" w14:textId="77777777" w:rsidR="00A71EEF" w:rsidRDefault="0081115D">
      <w:pPr>
        <w:pStyle w:val="a4"/>
        <w:numPr>
          <w:ilvl w:val="2"/>
          <w:numId w:val="830"/>
        </w:numPr>
        <w:tabs>
          <w:tab w:val="left" w:pos="1371"/>
        </w:tabs>
        <w:spacing w:line="267" w:lineRule="exact"/>
        <w:rPr>
          <w:sz w:val="21"/>
        </w:rPr>
      </w:pPr>
      <w:r>
        <w:rPr>
          <w:spacing w:val="-3"/>
          <w:sz w:val="21"/>
        </w:rPr>
        <w:t>外观</w:t>
      </w:r>
      <w:r>
        <w:rPr>
          <w:sz w:val="21"/>
        </w:rPr>
        <w:t xml:space="preserve"> </w:t>
      </w:r>
    </w:p>
    <w:p w14:paraId="25FC7A87" w14:textId="77777777" w:rsidR="00A71EEF" w:rsidRDefault="00A71EEF">
      <w:pPr>
        <w:pStyle w:val="a3"/>
        <w:rPr>
          <w:sz w:val="18"/>
        </w:rPr>
      </w:pPr>
    </w:p>
    <w:p w14:paraId="61F55F50" w14:textId="77777777" w:rsidR="00A71EEF" w:rsidRDefault="0081115D">
      <w:pPr>
        <w:pStyle w:val="a4"/>
        <w:numPr>
          <w:ilvl w:val="3"/>
          <w:numId w:val="830"/>
        </w:numPr>
        <w:tabs>
          <w:tab w:val="left" w:pos="1576"/>
        </w:tabs>
        <w:spacing w:line="446" w:lineRule="auto"/>
        <w:ind w:right="1452" w:firstLine="419"/>
        <w:rPr>
          <w:sz w:val="21"/>
        </w:rPr>
      </w:pPr>
      <w:r>
        <w:rPr>
          <w:spacing w:val="-5"/>
          <w:sz w:val="21"/>
        </w:rPr>
        <w:t>乘员室应周正，后围左右外缘与车架中心对称位置偏差应不大于</w:t>
      </w:r>
      <w:r>
        <w:rPr>
          <w:spacing w:val="-5"/>
          <w:sz w:val="21"/>
        </w:rPr>
        <w:t xml:space="preserve"> </w:t>
      </w:r>
      <w:r>
        <w:rPr>
          <w:spacing w:val="-3"/>
          <w:sz w:val="21"/>
        </w:rPr>
        <w:t>20</w:t>
      </w:r>
      <w:r>
        <w:rPr>
          <w:spacing w:val="14"/>
          <w:sz w:val="21"/>
        </w:rPr>
        <w:t xml:space="preserve"> </w:t>
      </w:r>
      <w:r>
        <w:rPr>
          <w:sz w:val="21"/>
        </w:rPr>
        <w:t>mm</w:t>
      </w:r>
      <w:r>
        <w:rPr>
          <w:spacing w:val="-1"/>
          <w:sz w:val="21"/>
        </w:rPr>
        <w:t>，与车架上</w:t>
      </w:r>
      <w:r>
        <w:rPr>
          <w:spacing w:val="-7"/>
          <w:sz w:val="21"/>
        </w:rPr>
        <w:t>平面高度对称位置偏差应不大于</w:t>
      </w:r>
      <w:r>
        <w:rPr>
          <w:spacing w:val="-7"/>
          <w:sz w:val="21"/>
        </w:rPr>
        <w:t xml:space="preserve"> </w:t>
      </w:r>
      <w:r>
        <w:rPr>
          <w:sz w:val="21"/>
        </w:rPr>
        <w:t>10</w:t>
      </w:r>
      <w:r>
        <w:rPr>
          <w:spacing w:val="-2"/>
          <w:sz w:val="21"/>
        </w:rPr>
        <w:t xml:space="preserve"> </w:t>
      </w:r>
      <w:r>
        <w:rPr>
          <w:sz w:val="21"/>
        </w:rPr>
        <w:t>mm</w:t>
      </w:r>
      <w:r>
        <w:rPr>
          <w:spacing w:val="-3"/>
          <w:sz w:val="21"/>
        </w:rPr>
        <w:t>。</w:t>
      </w:r>
      <w:r>
        <w:rPr>
          <w:sz w:val="21"/>
        </w:rPr>
        <w:t xml:space="preserve"> </w:t>
      </w:r>
    </w:p>
    <w:p w14:paraId="1D566AD6" w14:textId="77777777" w:rsidR="00A71EEF" w:rsidRDefault="0081115D">
      <w:pPr>
        <w:pStyle w:val="a4"/>
        <w:numPr>
          <w:ilvl w:val="3"/>
          <w:numId w:val="830"/>
        </w:numPr>
        <w:tabs>
          <w:tab w:val="left" w:pos="1576"/>
        </w:tabs>
        <w:spacing w:line="267" w:lineRule="exact"/>
        <w:ind w:left="1575"/>
        <w:rPr>
          <w:sz w:val="21"/>
        </w:rPr>
      </w:pPr>
      <w:r>
        <w:rPr>
          <w:spacing w:val="-3"/>
          <w:sz w:val="21"/>
        </w:rPr>
        <w:t>乘员室外护面应平整，圆弧过渡应平滑，车门缝隙均匀。</w:t>
      </w:r>
      <w:r>
        <w:rPr>
          <w:sz w:val="21"/>
        </w:rPr>
        <w:t xml:space="preserve"> </w:t>
      </w:r>
    </w:p>
    <w:p w14:paraId="174D675D" w14:textId="77777777" w:rsidR="00A71EEF" w:rsidRDefault="00A71EEF">
      <w:pPr>
        <w:pStyle w:val="a3"/>
        <w:spacing w:before="2"/>
        <w:rPr>
          <w:sz w:val="18"/>
        </w:rPr>
      </w:pPr>
    </w:p>
    <w:p w14:paraId="0F83298A" w14:textId="77777777" w:rsidR="00A71EEF" w:rsidRDefault="0081115D">
      <w:pPr>
        <w:pStyle w:val="a4"/>
        <w:numPr>
          <w:ilvl w:val="3"/>
          <w:numId w:val="830"/>
        </w:numPr>
        <w:tabs>
          <w:tab w:val="left" w:pos="1576"/>
        </w:tabs>
        <w:ind w:left="1575"/>
        <w:rPr>
          <w:sz w:val="21"/>
        </w:rPr>
      </w:pPr>
      <w:r>
        <w:rPr>
          <w:spacing w:val="-6"/>
          <w:sz w:val="21"/>
        </w:rPr>
        <w:t>乘员室内部所有软化层的选用，除符合</w:t>
      </w:r>
      <w:r>
        <w:rPr>
          <w:spacing w:val="-6"/>
          <w:sz w:val="21"/>
        </w:rPr>
        <w:t xml:space="preserve"> </w:t>
      </w:r>
      <w:r>
        <w:rPr>
          <w:sz w:val="21"/>
        </w:rPr>
        <w:t>5.5.8.5</w:t>
      </w:r>
      <w:r>
        <w:rPr>
          <w:spacing w:val="-9"/>
          <w:sz w:val="21"/>
        </w:rPr>
        <w:t xml:space="preserve"> </w:t>
      </w:r>
      <w:r>
        <w:rPr>
          <w:spacing w:val="-9"/>
          <w:sz w:val="21"/>
        </w:rPr>
        <w:t>的规定外还应尽可能地考虑与原</w:t>
      </w:r>
    </w:p>
    <w:p w14:paraId="35DD42F0" w14:textId="77777777" w:rsidR="00A71EEF" w:rsidRDefault="00A71EEF">
      <w:pPr>
        <w:rPr>
          <w:sz w:val="21"/>
        </w:rPr>
        <w:sectPr w:rsidR="00A71EEF">
          <w:pgSz w:w="11910" w:h="16850"/>
          <w:pgMar w:top="1220" w:right="0" w:bottom="1420" w:left="1260" w:header="0" w:footer="1239" w:gutter="0"/>
          <w:cols w:space="720"/>
        </w:sectPr>
      </w:pPr>
    </w:p>
    <w:p w14:paraId="045DC6AF" w14:textId="77777777" w:rsidR="00A71EEF" w:rsidRDefault="0081115D">
      <w:pPr>
        <w:spacing w:before="47" w:line="446" w:lineRule="auto"/>
        <w:ind w:left="840" w:right="6757" w:hanging="423"/>
        <w:rPr>
          <w:sz w:val="21"/>
        </w:rPr>
      </w:pPr>
      <w:r>
        <w:rPr>
          <w:sz w:val="21"/>
        </w:rPr>
        <w:lastRenderedPageBreak/>
        <w:t>底盘软化层的质地、颜色协调一致。</w:t>
      </w:r>
      <w:r>
        <w:rPr>
          <w:b/>
          <w:sz w:val="21"/>
        </w:rPr>
        <w:t xml:space="preserve">5.5.10 </w:t>
      </w:r>
      <w:r>
        <w:rPr>
          <w:sz w:val="21"/>
        </w:rPr>
        <w:t>车内噪声</w:t>
      </w:r>
      <w:r>
        <w:rPr>
          <w:sz w:val="21"/>
        </w:rPr>
        <w:t xml:space="preserve"> </w:t>
      </w:r>
    </w:p>
    <w:p w14:paraId="1C9BE4B8" w14:textId="77777777" w:rsidR="00A71EEF" w:rsidRDefault="0081115D">
      <w:pPr>
        <w:pStyle w:val="a3"/>
        <w:spacing w:line="446" w:lineRule="auto"/>
        <w:ind w:left="840" w:right="3450" w:hanging="3"/>
        <w:rPr>
          <w:b/>
        </w:rPr>
      </w:pPr>
      <w:r>
        <w:t>消防车行驶时，乘员室内乘员头部位置的噪声值不超过</w:t>
      </w:r>
      <w:r>
        <w:t xml:space="preserve"> 85dB</w:t>
      </w:r>
      <w:r>
        <w:t>（</w:t>
      </w:r>
      <w:r>
        <w:t>A</w:t>
      </w:r>
      <w:r>
        <w:t>）。</w:t>
      </w:r>
      <w:r>
        <w:rPr>
          <w:b/>
        </w:rPr>
        <w:t xml:space="preserve">5.6 </w:t>
      </w:r>
      <w:r>
        <w:t>仪表与操作系统</w:t>
      </w:r>
      <w:r>
        <w:rPr>
          <w:b/>
          <w:w w:val="99"/>
        </w:rPr>
        <w:t xml:space="preserve"> </w:t>
      </w:r>
    </w:p>
    <w:p w14:paraId="23A222B7" w14:textId="77777777" w:rsidR="00A71EEF" w:rsidRDefault="0081115D">
      <w:pPr>
        <w:pStyle w:val="a4"/>
        <w:numPr>
          <w:ilvl w:val="2"/>
          <w:numId w:val="829"/>
        </w:numPr>
        <w:tabs>
          <w:tab w:val="left" w:pos="1371"/>
        </w:tabs>
        <w:spacing w:line="446" w:lineRule="auto"/>
        <w:ind w:right="1604" w:firstLine="422"/>
        <w:rPr>
          <w:sz w:val="21"/>
        </w:rPr>
      </w:pPr>
      <w:r>
        <w:rPr>
          <w:spacing w:val="-3"/>
          <w:sz w:val="21"/>
        </w:rPr>
        <w:t>消防车仪表、操纵手柄、开关处应有指示用途的中文标牌，标牌应可靠固</w:t>
      </w:r>
      <w:r>
        <w:rPr>
          <w:spacing w:val="-3"/>
          <w:sz w:val="21"/>
        </w:rPr>
        <w:t>定，不应因震动、高温、水淋及其他原因脱落，应有保证阅读的照明。</w:t>
      </w:r>
      <w:r>
        <w:rPr>
          <w:sz w:val="21"/>
        </w:rPr>
        <w:t xml:space="preserve"> </w:t>
      </w:r>
    </w:p>
    <w:p w14:paraId="1E1A7EFB" w14:textId="77777777" w:rsidR="00A71EEF" w:rsidRDefault="0081115D">
      <w:pPr>
        <w:pStyle w:val="a4"/>
        <w:numPr>
          <w:ilvl w:val="2"/>
          <w:numId w:val="829"/>
        </w:numPr>
        <w:tabs>
          <w:tab w:val="left" w:pos="1370"/>
        </w:tabs>
        <w:spacing w:line="446" w:lineRule="auto"/>
        <w:ind w:right="1553" w:firstLine="422"/>
        <w:jc w:val="both"/>
        <w:rPr>
          <w:sz w:val="21"/>
        </w:rPr>
      </w:pPr>
      <w:r>
        <w:rPr>
          <w:spacing w:val="-5"/>
          <w:sz w:val="21"/>
        </w:rPr>
        <w:t>消防车用各种仪表应是耐震型，指针式仪表的字体高度不小于</w:t>
      </w:r>
      <w:r>
        <w:rPr>
          <w:spacing w:val="-5"/>
          <w:sz w:val="21"/>
        </w:rPr>
        <w:t xml:space="preserve"> </w:t>
      </w:r>
      <w:r>
        <w:rPr>
          <w:spacing w:val="-3"/>
          <w:sz w:val="21"/>
        </w:rPr>
        <w:t>4</w:t>
      </w:r>
      <w:r>
        <w:rPr>
          <w:spacing w:val="15"/>
          <w:sz w:val="21"/>
        </w:rPr>
        <w:t xml:space="preserve"> </w:t>
      </w:r>
      <w:r>
        <w:rPr>
          <w:sz w:val="21"/>
        </w:rPr>
        <w:t>mm</w:t>
      </w:r>
      <w:r>
        <w:rPr>
          <w:spacing w:val="-2"/>
          <w:sz w:val="21"/>
        </w:rPr>
        <w:t>，数字式仪表的</w:t>
      </w:r>
      <w:r>
        <w:rPr>
          <w:spacing w:val="-9"/>
          <w:sz w:val="21"/>
        </w:rPr>
        <w:t>数字高度不小于</w:t>
      </w:r>
      <w:r>
        <w:rPr>
          <w:spacing w:val="-9"/>
          <w:sz w:val="21"/>
        </w:rPr>
        <w:t xml:space="preserve"> </w:t>
      </w:r>
      <w:r>
        <w:rPr>
          <w:sz w:val="21"/>
        </w:rPr>
        <w:t>6</w:t>
      </w:r>
      <w:r>
        <w:rPr>
          <w:spacing w:val="17"/>
          <w:sz w:val="21"/>
        </w:rPr>
        <w:t xml:space="preserve"> </w:t>
      </w:r>
      <w:r>
        <w:rPr>
          <w:sz w:val="21"/>
        </w:rPr>
        <w:t>mm</w:t>
      </w:r>
      <w:r>
        <w:rPr>
          <w:spacing w:val="-8"/>
          <w:sz w:val="21"/>
        </w:rPr>
        <w:t>。压力表精度不低于</w:t>
      </w:r>
      <w:r>
        <w:rPr>
          <w:spacing w:val="-8"/>
          <w:sz w:val="21"/>
        </w:rPr>
        <w:t xml:space="preserve"> </w:t>
      </w:r>
      <w:r>
        <w:rPr>
          <w:sz w:val="21"/>
        </w:rPr>
        <w:t>2.5</w:t>
      </w:r>
      <w:r>
        <w:rPr>
          <w:spacing w:val="-8"/>
          <w:sz w:val="21"/>
        </w:rPr>
        <w:t xml:space="preserve"> </w:t>
      </w:r>
      <w:r>
        <w:rPr>
          <w:spacing w:val="-8"/>
          <w:sz w:val="21"/>
        </w:rPr>
        <w:t>级。若在亮度高的环境下显示模糊的数字式仪表</w:t>
      </w:r>
      <w:r>
        <w:rPr>
          <w:spacing w:val="-6"/>
          <w:sz w:val="21"/>
        </w:rPr>
        <w:t>应有遮光罩。</w:t>
      </w:r>
      <w:r>
        <w:rPr>
          <w:sz w:val="21"/>
        </w:rPr>
        <w:t xml:space="preserve"> </w:t>
      </w:r>
    </w:p>
    <w:p w14:paraId="79861502" w14:textId="77777777" w:rsidR="00A71EEF" w:rsidRDefault="0081115D">
      <w:pPr>
        <w:pStyle w:val="a4"/>
        <w:numPr>
          <w:ilvl w:val="2"/>
          <w:numId w:val="829"/>
        </w:numPr>
        <w:tabs>
          <w:tab w:val="left" w:pos="1370"/>
        </w:tabs>
        <w:spacing w:line="268" w:lineRule="exact"/>
        <w:ind w:left="1369" w:hanging="530"/>
        <w:rPr>
          <w:sz w:val="21"/>
        </w:rPr>
      </w:pPr>
      <w:r>
        <w:rPr>
          <w:spacing w:val="-3"/>
          <w:sz w:val="21"/>
        </w:rPr>
        <w:t>消防车所使用的计量仪表应采用中华人民共和国法定计量单位。</w:t>
      </w:r>
      <w:r>
        <w:rPr>
          <w:sz w:val="21"/>
        </w:rPr>
        <w:t xml:space="preserve"> </w:t>
      </w:r>
    </w:p>
    <w:p w14:paraId="27E0E5EA" w14:textId="77777777" w:rsidR="00A71EEF" w:rsidRDefault="00A71EEF">
      <w:pPr>
        <w:pStyle w:val="a3"/>
        <w:spacing w:before="10"/>
        <w:rPr>
          <w:sz w:val="17"/>
        </w:rPr>
      </w:pPr>
    </w:p>
    <w:p w14:paraId="79E102F8" w14:textId="77777777" w:rsidR="00A71EEF" w:rsidRDefault="0081115D">
      <w:pPr>
        <w:pStyle w:val="a4"/>
        <w:numPr>
          <w:ilvl w:val="2"/>
          <w:numId w:val="829"/>
        </w:numPr>
        <w:tabs>
          <w:tab w:val="left" w:pos="1371"/>
        </w:tabs>
        <w:spacing w:line="446" w:lineRule="auto"/>
        <w:ind w:right="1604" w:firstLine="422"/>
        <w:jc w:val="both"/>
        <w:rPr>
          <w:sz w:val="21"/>
        </w:rPr>
      </w:pPr>
      <w:r>
        <w:rPr>
          <w:spacing w:val="-10"/>
          <w:sz w:val="21"/>
        </w:rPr>
        <w:t>表盘直径小于</w:t>
      </w:r>
      <w:r>
        <w:rPr>
          <w:spacing w:val="-10"/>
          <w:sz w:val="21"/>
        </w:rPr>
        <w:t xml:space="preserve"> </w:t>
      </w:r>
      <w:r>
        <w:rPr>
          <w:sz w:val="21"/>
        </w:rPr>
        <w:t>60</w:t>
      </w:r>
      <w:r>
        <w:rPr>
          <w:spacing w:val="12"/>
          <w:sz w:val="21"/>
        </w:rPr>
        <w:t xml:space="preserve"> </w:t>
      </w:r>
      <w:r>
        <w:rPr>
          <w:sz w:val="21"/>
        </w:rPr>
        <w:t>mm</w:t>
      </w:r>
      <w:r>
        <w:rPr>
          <w:spacing w:val="-8"/>
          <w:sz w:val="21"/>
        </w:rPr>
        <w:t xml:space="preserve"> </w:t>
      </w:r>
      <w:r>
        <w:rPr>
          <w:spacing w:val="-8"/>
          <w:sz w:val="21"/>
        </w:rPr>
        <w:t>的指针式仪表和数显式仪表不应使用两个或两个以上不同计量</w:t>
      </w:r>
      <w:r>
        <w:rPr>
          <w:spacing w:val="-6"/>
          <w:sz w:val="21"/>
        </w:rPr>
        <w:t>制的单位。</w:t>
      </w:r>
      <w:r>
        <w:rPr>
          <w:sz w:val="21"/>
        </w:rPr>
        <w:t xml:space="preserve"> </w:t>
      </w:r>
    </w:p>
    <w:p w14:paraId="483BD071" w14:textId="77777777" w:rsidR="00A71EEF" w:rsidRDefault="0081115D">
      <w:pPr>
        <w:pStyle w:val="a4"/>
        <w:numPr>
          <w:ilvl w:val="2"/>
          <w:numId w:val="829"/>
        </w:numPr>
        <w:tabs>
          <w:tab w:val="left" w:pos="1370"/>
        </w:tabs>
        <w:spacing w:line="446" w:lineRule="auto"/>
        <w:ind w:right="1604" w:firstLine="422"/>
        <w:jc w:val="both"/>
        <w:rPr>
          <w:sz w:val="21"/>
        </w:rPr>
      </w:pPr>
      <w:r>
        <w:rPr>
          <w:spacing w:val="-3"/>
          <w:sz w:val="21"/>
        </w:rPr>
        <w:t>对于误操作将引起危险后果和较复杂的操作，应在操作人员能看到处用中文文字或图解说明操作的步骤、方法及误操作可能引起的后果。文字或图形在操作位置应能清晰阅读，</w:t>
      </w:r>
      <w:r>
        <w:rPr>
          <w:spacing w:val="-3"/>
          <w:sz w:val="21"/>
        </w:rPr>
        <w:t xml:space="preserve"> </w:t>
      </w:r>
      <w:r>
        <w:rPr>
          <w:spacing w:val="-3"/>
          <w:sz w:val="21"/>
        </w:rPr>
        <w:t>对于可能引起危险的操作和由此带来的后果应使用红色字体，并比其他文字大一号。文字或图形应永久保留，不应因震动、高温、水淋及其他环境原因脱落，应有保证阅读的照明。</w:t>
      </w:r>
      <w:r>
        <w:rPr>
          <w:spacing w:val="-3"/>
          <w:sz w:val="21"/>
        </w:rPr>
        <w:t xml:space="preserve"> </w:t>
      </w:r>
    </w:p>
    <w:p w14:paraId="39B84BB4" w14:textId="77777777" w:rsidR="00A71EEF" w:rsidRDefault="0081115D">
      <w:pPr>
        <w:pStyle w:val="a4"/>
        <w:numPr>
          <w:ilvl w:val="2"/>
          <w:numId w:val="829"/>
        </w:numPr>
        <w:tabs>
          <w:tab w:val="left" w:pos="1370"/>
        </w:tabs>
        <w:spacing w:line="446" w:lineRule="auto"/>
        <w:ind w:right="1604" w:firstLine="422"/>
        <w:jc w:val="both"/>
        <w:rPr>
          <w:sz w:val="21"/>
        </w:rPr>
      </w:pPr>
      <w:r>
        <w:rPr>
          <w:spacing w:val="-3"/>
          <w:sz w:val="21"/>
        </w:rPr>
        <w:t>消防泵的放余水开关应接到方便操作处。放水时操作人员在车边即可操作，放余水</w:t>
      </w:r>
      <w:r>
        <w:rPr>
          <w:spacing w:val="-8"/>
          <w:sz w:val="21"/>
        </w:rPr>
        <w:t>开关的大小应保证在</w:t>
      </w:r>
      <w:r>
        <w:rPr>
          <w:spacing w:val="-8"/>
          <w:sz w:val="21"/>
        </w:rPr>
        <w:t xml:space="preserve"> </w:t>
      </w:r>
      <w:r>
        <w:rPr>
          <w:sz w:val="21"/>
        </w:rPr>
        <w:t>45</w:t>
      </w:r>
      <w:r>
        <w:rPr>
          <w:spacing w:val="-2"/>
          <w:sz w:val="21"/>
        </w:rPr>
        <w:t xml:space="preserve"> </w:t>
      </w:r>
      <w:r>
        <w:rPr>
          <w:sz w:val="21"/>
        </w:rPr>
        <w:t>s</w:t>
      </w:r>
      <w:r>
        <w:rPr>
          <w:spacing w:val="-10"/>
          <w:sz w:val="21"/>
        </w:rPr>
        <w:t xml:space="preserve"> </w:t>
      </w:r>
      <w:r>
        <w:rPr>
          <w:spacing w:val="-10"/>
          <w:sz w:val="21"/>
        </w:rPr>
        <w:t>内放尽泵内余水。</w:t>
      </w:r>
      <w:r>
        <w:rPr>
          <w:sz w:val="21"/>
        </w:rPr>
        <w:t xml:space="preserve"> </w:t>
      </w:r>
    </w:p>
    <w:p w14:paraId="6E3D0B42" w14:textId="77777777" w:rsidR="00A71EEF" w:rsidRDefault="0081115D">
      <w:pPr>
        <w:pStyle w:val="a4"/>
        <w:numPr>
          <w:ilvl w:val="2"/>
          <w:numId w:val="829"/>
        </w:numPr>
        <w:tabs>
          <w:tab w:val="left" w:pos="1371"/>
        </w:tabs>
        <w:spacing w:line="446" w:lineRule="auto"/>
        <w:ind w:right="1445" w:firstLine="422"/>
        <w:jc w:val="both"/>
        <w:rPr>
          <w:sz w:val="21"/>
        </w:rPr>
      </w:pPr>
      <w:r>
        <w:rPr>
          <w:spacing w:val="-5"/>
          <w:sz w:val="21"/>
        </w:rPr>
        <w:t>消防车仪表中心的安装高度离操作人员脚踏平面不大于</w:t>
      </w:r>
      <w:r>
        <w:rPr>
          <w:spacing w:val="-5"/>
          <w:sz w:val="21"/>
        </w:rPr>
        <w:t xml:space="preserve"> </w:t>
      </w:r>
      <w:r>
        <w:rPr>
          <w:sz w:val="21"/>
        </w:rPr>
        <w:t>2100</w:t>
      </w:r>
      <w:r>
        <w:rPr>
          <w:spacing w:val="15"/>
          <w:sz w:val="21"/>
        </w:rPr>
        <w:t xml:space="preserve"> </w:t>
      </w:r>
      <w:r>
        <w:rPr>
          <w:sz w:val="21"/>
        </w:rPr>
        <w:t>mm</w:t>
      </w:r>
      <w:r>
        <w:rPr>
          <w:spacing w:val="-3"/>
          <w:sz w:val="21"/>
        </w:rPr>
        <w:t>。若仪表</w:t>
      </w:r>
      <w:r>
        <w:rPr>
          <w:spacing w:val="-3"/>
          <w:sz w:val="21"/>
        </w:rPr>
        <w:t>中心的安装</w:t>
      </w:r>
      <w:r>
        <w:rPr>
          <w:spacing w:val="-6"/>
          <w:sz w:val="21"/>
        </w:rPr>
        <w:t>高度离操作人员脚踏平面大于</w:t>
      </w:r>
      <w:r>
        <w:rPr>
          <w:spacing w:val="-6"/>
          <w:sz w:val="21"/>
        </w:rPr>
        <w:t xml:space="preserve"> </w:t>
      </w:r>
      <w:r>
        <w:rPr>
          <w:sz w:val="21"/>
        </w:rPr>
        <w:t>1700</w:t>
      </w:r>
      <w:r>
        <w:rPr>
          <w:spacing w:val="21"/>
          <w:sz w:val="21"/>
        </w:rPr>
        <w:t xml:space="preserve"> </w:t>
      </w:r>
      <w:r>
        <w:rPr>
          <w:sz w:val="21"/>
        </w:rPr>
        <w:t>mm</w:t>
      </w:r>
      <w:r>
        <w:rPr>
          <w:spacing w:val="-3"/>
          <w:sz w:val="21"/>
        </w:rPr>
        <w:t>，仪表盘应下倾以方便阅读。操纵手柄、开关的中心离操</w:t>
      </w:r>
      <w:r>
        <w:rPr>
          <w:spacing w:val="-7"/>
          <w:sz w:val="21"/>
        </w:rPr>
        <w:t>作人员脚踏平面的高度不大于</w:t>
      </w:r>
      <w:r>
        <w:rPr>
          <w:spacing w:val="-7"/>
          <w:sz w:val="21"/>
        </w:rPr>
        <w:t xml:space="preserve"> </w:t>
      </w:r>
      <w:r>
        <w:rPr>
          <w:sz w:val="21"/>
        </w:rPr>
        <w:t>1800</w:t>
      </w:r>
      <w:r>
        <w:rPr>
          <w:spacing w:val="-2"/>
          <w:sz w:val="21"/>
        </w:rPr>
        <w:t xml:space="preserve"> </w:t>
      </w:r>
      <w:r>
        <w:rPr>
          <w:sz w:val="21"/>
        </w:rPr>
        <w:t>mm</w:t>
      </w:r>
      <w:r>
        <w:rPr>
          <w:spacing w:val="-3"/>
          <w:sz w:val="21"/>
        </w:rPr>
        <w:t>。</w:t>
      </w:r>
      <w:r>
        <w:rPr>
          <w:sz w:val="21"/>
        </w:rPr>
        <w:t xml:space="preserve"> </w:t>
      </w:r>
    </w:p>
    <w:p w14:paraId="36E5DF22" w14:textId="77777777" w:rsidR="00A71EEF" w:rsidRDefault="0081115D">
      <w:pPr>
        <w:pStyle w:val="a4"/>
        <w:numPr>
          <w:ilvl w:val="2"/>
          <w:numId w:val="829"/>
        </w:numPr>
        <w:tabs>
          <w:tab w:val="left" w:pos="1370"/>
        </w:tabs>
        <w:spacing w:line="446" w:lineRule="auto"/>
        <w:ind w:right="1604" w:firstLine="422"/>
        <w:rPr>
          <w:sz w:val="21"/>
        </w:rPr>
      </w:pPr>
      <w:r>
        <w:rPr>
          <w:spacing w:val="-3"/>
          <w:sz w:val="21"/>
        </w:rPr>
        <w:t>消防车应选用集控制、诊断、显示、警告于一体的集中电子控制单元</w:t>
      </w:r>
      <w:r>
        <w:rPr>
          <w:sz w:val="21"/>
        </w:rPr>
        <w:t>（</w:t>
      </w:r>
      <w:r>
        <w:rPr>
          <w:spacing w:val="-3"/>
          <w:sz w:val="21"/>
        </w:rPr>
        <w:t>控制步长不</w:t>
      </w:r>
      <w:r>
        <w:rPr>
          <w:spacing w:val="-20"/>
          <w:sz w:val="21"/>
        </w:rPr>
        <w:t>大于</w:t>
      </w:r>
      <w:r>
        <w:rPr>
          <w:spacing w:val="-20"/>
          <w:sz w:val="21"/>
        </w:rPr>
        <w:t xml:space="preserve"> </w:t>
      </w:r>
      <w:r>
        <w:rPr>
          <w:sz w:val="21"/>
        </w:rPr>
        <w:t>10 r/min</w:t>
      </w:r>
      <w:r>
        <w:rPr>
          <w:sz w:val="21"/>
        </w:rPr>
        <w:t>）</w:t>
      </w:r>
      <w:r>
        <w:rPr>
          <w:spacing w:val="-3"/>
          <w:sz w:val="21"/>
        </w:rPr>
        <w:t>。</w:t>
      </w:r>
      <w:r>
        <w:rPr>
          <w:sz w:val="21"/>
        </w:rPr>
        <w:t xml:space="preserve"> </w:t>
      </w:r>
    </w:p>
    <w:p w14:paraId="2BADF471" w14:textId="77777777" w:rsidR="00A71EEF" w:rsidRDefault="0081115D">
      <w:pPr>
        <w:pStyle w:val="a4"/>
        <w:numPr>
          <w:ilvl w:val="1"/>
          <w:numId w:val="828"/>
        </w:numPr>
        <w:tabs>
          <w:tab w:val="left" w:pos="1159"/>
        </w:tabs>
        <w:spacing w:line="267" w:lineRule="exact"/>
        <w:ind w:hanging="319"/>
        <w:rPr>
          <w:sz w:val="21"/>
        </w:rPr>
      </w:pPr>
      <w:r>
        <w:rPr>
          <w:spacing w:val="-3"/>
          <w:sz w:val="21"/>
        </w:rPr>
        <w:t>电气系统和警报装置</w:t>
      </w:r>
      <w:r>
        <w:rPr>
          <w:sz w:val="21"/>
        </w:rPr>
        <w:t xml:space="preserve"> </w:t>
      </w:r>
    </w:p>
    <w:p w14:paraId="4B876BC4" w14:textId="77777777" w:rsidR="00A71EEF" w:rsidRDefault="00A71EEF">
      <w:pPr>
        <w:pStyle w:val="a3"/>
        <w:spacing w:before="12"/>
        <w:rPr>
          <w:sz w:val="17"/>
        </w:rPr>
      </w:pPr>
    </w:p>
    <w:p w14:paraId="253E1A71" w14:textId="77777777" w:rsidR="00A71EEF" w:rsidRDefault="0081115D">
      <w:pPr>
        <w:pStyle w:val="a4"/>
        <w:numPr>
          <w:ilvl w:val="2"/>
          <w:numId w:val="828"/>
        </w:numPr>
        <w:tabs>
          <w:tab w:val="left" w:pos="1371"/>
        </w:tabs>
        <w:rPr>
          <w:sz w:val="21"/>
        </w:rPr>
      </w:pPr>
      <w:r>
        <w:rPr>
          <w:spacing w:val="-3"/>
          <w:sz w:val="21"/>
        </w:rPr>
        <w:t>消防车电路应标识清楚，确保不会接错电极、电压和用电设备。</w:t>
      </w:r>
      <w:r>
        <w:rPr>
          <w:sz w:val="21"/>
        </w:rPr>
        <w:t xml:space="preserve"> </w:t>
      </w:r>
    </w:p>
    <w:p w14:paraId="5A892B87" w14:textId="77777777" w:rsidR="00A71EEF" w:rsidRDefault="00A71EEF">
      <w:pPr>
        <w:pStyle w:val="a3"/>
        <w:rPr>
          <w:sz w:val="18"/>
        </w:rPr>
      </w:pPr>
    </w:p>
    <w:p w14:paraId="5B57C903" w14:textId="77777777" w:rsidR="00A71EEF" w:rsidRDefault="0081115D">
      <w:pPr>
        <w:pStyle w:val="a4"/>
        <w:numPr>
          <w:ilvl w:val="2"/>
          <w:numId w:val="828"/>
        </w:numPr>
        <w:tabs>
          <w:tab w:val="left" w:pos="1370"/>
        </w:tabs>
        <w:ind w:left="1369" w:hanging="530"/>
        <w:rPr>
          <w:sz w:val="21"/>
        </w:rPr>
      </w:pPr>
      <w:r>
        <w:rPr>
          <w:spacing w:val="-3"/>
          <w:sz w:val="21"/>
        </w:rPr>
        <w:t>电线应采用钢芯或铜合金芯，电线的标称通电电流应大于电线上实际通电电流的</w:t>
      </w:r>
    </w:p>
    <w:p w14:paraId="51C7524E" w14:textId="77777777" w:rsidR="00A71EEF" w:rsidRDefault="00A71EEF">
      <w:pPr>
        <w:pStyle w:val="a3"/>
        <w:spacing w:before="12"/>
        <w:rPr>
          <w:sz w:val="17"/>
        </w:rPr>
      </w:pPr>
    </w:p>
    <w:p w14:paraId="66AD487C" w14:textId="77777777" w:rsidR="00A71EEF" w:rsidRDefault="0081115D">
      <w:pPr>
        <w:pStyle w:val="a3"/>
        <w:ind w:left="418"/>
      </w:pPr>
      <w:r>
        <w:t>125%</w:t>
      </w:r>
      <w:r>
        <w:t>。</w:t>
      </w:r>
      <w:r>
        <w:t xml:space="preserve"> </w:t>
      </w:r>
    </w:p>
    <w:p w14:paraId="20C2A832" w14:textId="77777777" w:rsidR="00A71EEF" w:rsidRDefault="00A71EEF">
      <w:pPr>
        <w:pStyle w:val="a3"/>
        <w:spacing w:before="2"/>
        <w:rPr>
          <w:sz w:val="18"/>
        </w:rPr>
      </w:pPr>
    </w:p>
    <w:p w14:paraId="66BB5643" w14:textId="77777777" w:rsidR="00A71EEF" w:rsidRDefault="0081115D">
      <w:pPr>
        <w:pStyle w:val="a4"/>
        <w:numPr>
          <w:ilvl w:val="2"/>
          <w:numId w:val="828"/>
        </w:numPr>
        <w:tabs>
          <w:tab w:val="left" w:pos="1370"/>
        </w:tabs>
        <w:ind w:left="1369" w:hanging="530"/>
        <w:rPr>
          <w:sz w:val="21"/>
        </w:rPr>
      </w:pPr>
      <w:r>
        <w:rPr>
          <w:spacing w:val="-3"/>
          <w:sz w:val="21"/>
        </w:rPr>
        <w:t>电线芯的外面应包敷防水、防热和防腐蚀的包敷层。</w:t>
      </w:r>
      <w:r>
        <w:rPr>
          <w:sz w:val="21"/>
        </w:rPr>
        <w:t xml:space="preserve"> </w:t>
      </w:r>
    </w:p>
    <w:p w14:paraId="3BE928D9" w14:textId="77777777" w:rsidR="00A71EEF" w:rsidRDefault="00A71EEF">
      <w:pPr>
        <w:rPr>
          <w:sz w:val="21"/>
        </w:rPr>
        <w:sectPr w:rsidR="00A71EEF">
          <w:pgSz w:w="11910" w:h="16850"/>
          <w:pgMar w:top="1220" w:right="0" w:bottom="1420" w:left="1260" w:header="0" w:footer="1239" w:gutter="0"/>
          <w:cols w:space="720"/>
        </w:sectPr>
      </w:pPr>
    </w:p>
    <w:p w14:paraId="7AD0E4DF" w14:textId="77777777" w:rsidR="00A71EEF" w:rsidRDefault="0081115D">
      <w:pPr>
        <w:pStyle w:val="a4"/>
        <w:numPr>
          <w:ilvl w:val="2"/>
          <w:numId w:val="828"/>
        </w:numPr>
        <w:tabs>
          <w:tab w:val="left" w:pos="1371"/>
        </w:tabs>
        <w:spacing w:before="47"/>
        <w:rPr>
          <w:sz w:val="21"/>
        </w:rPr>
      </w:pPr>
      <w:r>
        <w:rPr>
          <w:spacing w:val="-6"/>
          <w:sz w:val="21"/>
        </w:rPr>
        <w:lastRenderedPageBreak/>
        <w:t>从电源到用电器具间导线的电压降不大于电源电压的</w:t>
      </w:r>
      <w:r>
        <w:rPr>
          <w:spacing w:val="-6"/>
          <w:sz w:val="21"/>
        </w:rPr>
        <w:t xml:space="preserve"> </w:t>
      </w:r>
      <w:r>
        <w:rPr>
          <w:sz w:val="21"/>
        </w:rPr>
        <w:t>10</w:t>
      </w:r>
      <w:r>
        <w:rPr>
          <w:spacing w:val="-2"/>
          <w:sz w:val="21"/>
        </w:rPr>
        <w:t>%</w:t>
      </w:r>
      <w:r>
        <w:rPr>
          <w:spacing w:val="-2"/>
          <w:sz w:val="21"/>
        </w:rPr>
        <w:t>。</w:t>
      </w:r>
      <w:r>
        <w:rPr>
          <w:sz w:val="21"/>
        </w:rPr>
        <w:t xml:space="preserve"> </w:t>
      </w:r>
    </w:p>
    <w:p w14:paraId="3AE92943" w14:textId="77777777" w:rsidR="00A71EEF" w:rsidRDefault="00A71EEF">
      <w:pPr>
        <w:pStyle w:val="a3"/>
        <w:rPr>
          <w:sz w:val="18"/>
        </w:rPr>
      </w:pPr>
    </w:p>
    <w:p w14:paraId="1DE0B8B2" w14:textId="77777777" w:rsidR="00A71EEF" w:rsidRDefault="0081115D">
      <w:pPr>
        <w:pStyle w:val="a4"/>
        <w:numPr>
          <w:ilvl w:val="2"/>
          <w:numId w:val="828"/>
        </w:numPr>
        <w:tabs>
          <w:tab w:val="left" w:pos="1371"/>
        </w:tabs>
        <w:spacing w:line="446" w:lineRule="auto"/>
        <w:ind w:left="418" w:right="1813" w:firstLine="422"/>
        <w:rPr>
          <w:sz w:val="21"/>
        </w:rPr>
      </w:pPr>
      <w:r>
        <w:rPr>
          <w:spacing w:val="-3"/>
          <w:sz w:val="21"/>
        </w:rPr>
        <w:t>消防车应装有电源总开关，总开关切断后，除计时器外的所有用电器具都不能工作。总开关应安装在驾驶员坐在驾驶位置能够操作的位置。</w:t>
      </w:r>
      <w:r>
        <w:rPr>
          <w:sz w:val="21"/>
        </w:rPr>
        <w:t xml:space="preserve"> </w:t>
      </w:r>
    </w:p>
    <w:p w14:paraId="511A57D5" w14:textId="77777777" w:rsidR="00A71EEF" w:rsidRDefault="0081115D">
      <w:pPr>
        <w:pStyle w:val="a4"/>
        <w:numPr>
          <w:ilvl w:val="2"/>
          <w:numId w:val="828"/>
        </w:numPr>
        <w:tabs>
          <w:tab w:val="left" w:pos="1370"/>
        </w:tabs>
        <w:spacing w:line="446" w:lineRule="auto"/>
        <w:ind w:left="418" w:right="1498" w:firstLine="422"/>
        <w:rPr>
          <w:sz w:val="21"/>
        </w:rPr>
      </w:pPr>
      <w:r>
        <w:rPr>
          <w:spacing w:val="-3"/>
          <w:sz w:val="21"/>
        </w:rPr>
        <w:t>总开关由切断状态转换到接合状态，应有声音提示，提示音应保证驾驶员在驾驶位置能听到。</w:t>
      </w:r>
      <w:r>
        <w:rPr>
          <w:sz w:val="21"/>
        </w:rPr>
        <w:t xml:space="preserve"> </w:t>
      </w:r>
    </w:p>
    <w:p w14:paraId="7AA8780B" w14:textId="77777777" w:rsidR="00A71EEF" w:rsidRDefault="0081115D">
      <w:pPr>
        <w:pStyle w:val="a4"/>
        <w:numPr>
          <w:ilvl w:val="2"/>
          <w:numId w:val="828"/>
        </w:numPr>
        <w:tabs>
          <w:tab w:val="left" w:pos="1370"/>
        </w:tabs>
        <w:spacing w:line="446" w:lineRule="auto"/>
        <w:ind w:left="418" w:right="1604" w:firstLine="422"/>
        <w:rPr>
          <w:sz w:val="21"/>
        </w:rPr>
      </w:pPr>
      <w:r>
        <w:rPr>
          <w:spacing w:val="-3"/>
          <w:sz w:val="21"/>
        </w:rPr>
        <w:t>驾乘室上、下踏板的照明灯开关由车门控制：车门打开接通照明，车门关闭切断照</w:t>
      </w:r>
      <w:r>
        <w:rPr>
          <w:spacing w:val="-7"/>
          <w:sz w:val="21"/>
        </w:rPr>
        <w:t>明。驾乘室内的照度不应小于</w:t>
      </w:r>
      <w:r>
        <w:rPr>
          <w:spacing w:val="-7"/>
          <w:sz w:val="21"/>
        </w:rPr>
        <w:t xml:space="preserve"> </w:t>
      </w:r>
      <w:r>
        <w:rPr>
          <w:sz w:val="21"/>
        </w:rPr>
        <w:t>10lx</w:t>
      </w:r>
      <w:r>
        <w:rPr>
          <w:spacing w:val="-3"/>
          <w:sz w:val="21"/>
        </w:rPr>
        <w:t>。</w:t>
      </w:r>
      <w:r>
        <w:rPr>
          <w:sz w:val="21"/>
        </w:rPr>
        <w:t xml:space="preserve"> </w:t>
      </w:r>
    </w:p>
    <w:p w14:paraId="2C122CE4" w14:textId="77777777" w:rsidR="00A71EEF" w:rsidRDefault="0081115D">
      <w:pPr>
        <w:pStyle w:val="a4"/>
        <w:numPr>
          <w:ilvl w:val="2"/>
          <w:numId w:val="828"/>
        </w:numPr>
        <w:tabs>
          <w:tab w:val="left" w:pos="1370"/>
        </w:tabs>
        <w:spacing w:line="446" w:lineRule="auto"/>
        <w:ind w:left="418" w:right="1604" w:firstLine="422"/>
        <w:jc w:val="both"/>
        <w:rPr>
          <w:sz w:val="21"/>
        </w:rPr>
      </w:pPr>
      <w:r>
        <w:rPr>
          <w:spacing w:val="-3"/>
          <w:sz w:val="21"/>
        </w:rPr>
        <w:t>器材厢的照明开关应安装在器材厢内，开关</w:t>
      </w:r>
      <w:r>
        <w:rPr>
          <w:spacing w:val="-3"/>
          <w:sz w:val="21"/>
        </w:rPr>
        <w:t>应设置在打开器材厢门时人员可方便接触，但取、放器材又不会碰到的地方。照明光线应保证在无光条件下打开器材箱照明灯能够分辨器材箱内器材的类型。</w:t>
      </w:r>
      <w:r>
        <w:rPr>
          <w:sz w:val="21"/>
        </w:rPr>
        <w:t xml:space="preserve"> </w:t>
      </w:r>
    </w:p>
    <w:p w14:paraId="5050FA13" w14:textId="77777777" w:rsidR="00A71EEF" w:rsidRDefault="0081115D">
      <w:pPr>
        <w:pStyle w:val="a4"/>
        <w:numPr>
          <w:ilvl w:val="2"/>
          <w:numId w:val="828"/>
        </w:numPr>
        <w:tabs>
          <w:tab w:val="left" w:pos="1371"/>
        </w:tabs>
        <w:spacing w:line="268" w:lineRule="exact"/>
        <w:rPr>
          <w:sz w:val="21"/>
        </w:rPr>
      </w:pPr>
      <w:r>
        <w:rPr>
          <w:spacing w:val="-3"/>
          <w:sz w:val="21"/>
        </w:rPr>
        <w:t>电线与电线的连接应采用热融挤压法、锡焊或其他相同的连接件的方式。</w:t>
      </w:r>
      <w:r>
        <w:rPr>
          <w:spacing w:val="-3"/>
          <w:sz w:val="21"/>
        </w:rPr>
        <w:t xml:space="preserve"> </w:t>
      </w:r>
    </w:p>
    <w:p w14:paraId="4D967D2C" w14:textId="77777777" w:rsidR="00A71EEF" w:rsidRDefault="00A71EEF">
      <w:pPr>
        <w:pStyle w:val="a3"/>
        <w:spacing w:before="10"/>
        <w:rPr>
          <w:sz w:val="17"/>
        </w:rPr>
      </w:pPr>
    </w:p>
    <w:p w14:paraId="214CEBC2" w14:textId="77777777" w:rsidR="00A71EEF" w:rsidRDefault="0081115D">
      <w:pPr>
        <w:pStyle w:val="a4"/>
        <w:numPr>
          <w:ilvl w:val="2"/>
          <w:numId w:val="828"/>
        </w:numPr>
        <w:tabs>
          <w:tab w:val="left" w:pos="1478"/>
        </w:tabs>
        <w:ind w:left="1477" w:hanging="638"/>
        <w:rPr>
          <w:sz w:val="21"/>
        </w:rPr>
      </w:pPr>
      <w:r>
        <w:rPr>
          <w:spacing w:val="-3"/>
          <w:sz w:val="21"/>
        </w:rPr>
        <w:t>电线与用电器具连接应采用接头，接头与用电器具的连接应有防松措施。</w:t>
      </w:r>
      <w:r>
        <w:rPr>
          <w:spacing w:val="-3"/>
          <w:sz w:val="21"/>
        </w:rPr>
        <w:t xml:space="preserve"> </w:t>
      </w:r>
    </w:p>
    <w:p w14:paraId="1EFD4519" w14:textId="77777777" w:rsidR="00A71EEF" w:rsidRDefault="00A71EEF">
      <w:pPr>
        <w:pStyle w:val="a3"/>
        <w:spacing w:before="2"/>
        <w:rPr>
          <w:sz w:val="18"/>
        </w:rPr>
      </w:pPr>
    </w:p>
    <w:p w14:paraId="75509ED4" w14:textId="77777777" w:rsidR="00A71EEF" w:rsidRDefault="0081115D">
      <w:pPr>
        <w:pStyle w:val="a4"/>
        <w:numPr>
          <w:ilvl w:val="2"/>
          <w:numId w:val="828"/>
        </w:numPr>
        <w:tabs>
          <w:tab w:val="left" w:pos="1478"/>
        </w:tabs>
        <w:spacing w:line="446" w:lineRule="auto"/>
        <w:ind w:left="418" w:right="1445" w:firstLine="422"/>
        <w:rPr>
          <w:sz w:val="21"/>
        </w:rPr>
      </w:pPr>
      <w:r>
        <w:rPr>
          <w:spacing w:val="-3"/>
          <w:sz w:val="21"/>
        </w:rPr>
        <w:t>电线束应可靠地与底盘或车体固定，并离排气管等产生高温的部件距离不少于</w:t>
      </w:r>
      <w:r>
        <w:rPr>
          <w:spacing w:val="-3"/>
          <w:sz w:val="21"/>
        </w:rPr>
        <w:t xml:space="preserve"> </w:t>
      </w:r>
      <w:r>
        <w:rPr>
          <w:sz w:val="21"/>
        </w:rPr>
        <w:t>300 mm</w:t>
      </w:r>
      <w:r>
        <w:rPr>
          <w:spacing w:val="-3"/>
          <w:sz w:val="21"/>
        </w:rPr>
        <w:t>。</w:t>
      </w:r>
      <w:r>
        <w:rPr>
          <w:sz w:val="21"/>
        </w:rPr>
        <w:t xml:space="preserve"> </w:t>
      </w:r>
    </w:p>
    <w:p w14:paraId="30EA278C" w14:textId="77777777" w:rsidR="00A71EEF" w:rsidRDefault="0081115D">
      <w:pPr>
        <w:pStyle w:val="a4"/>
        <w:numPr>
          <w:ilvl w:val="2"/>
          <w:numId w:val="828"/>
        </w:numPr>
        <w:tabs>
          <w:tab w:val="left" w:pos="1478"/>
        </w:tabs>
        <w:spacing w:line="267" w:lineRule="exact"/>
        <w:ind w:left="1477" w:hanging="638"/>
        <w:rPr>
          <w:sz w:val="21"/>
        </w:rPr>
      </w:pPr>
      <w:r>
        <w:rPr>
          <w:spacing w:val="-3"/>
          <w:sz w:val="21"/>
        </w:rPr>
        <w:t>当电线束穿过有锐利边缘的孔时，在电线束与孔相接触处应对电线束来进行防护。</w:t>
      </w:r>
      <w:r>
        <w:rPr>
          <w:sz w:val="21"/>
        </w:rPr>
        <w:t xml:space="preserve"> </w:t>
      </w:r>
    </w:p>
    <w:p w14:paraId="21FBFB81" w14:textId="77777777" w:rsidR="00A71EEF" w:rsidRDefault="00A71EEF">
      <w:pPr>
        <w:pStyle w:val="a3"/>
        <w:spacing w:before="2"/>
        <w:rPr>
          <w:sz w:val="18"/>
        </w:rPr>
      </w:pPr>
    </w:p>
    <w:p w14:paraId="5AEC4EF1" w14:textId="77777777" w:rsidR="00A71EEF" w:rsidRDefault="0081115D">
      <w:pPr>
        <w:pStyle w:val="a4"/>
        <w:numPr>
          <w:ilvl w:val="2"/>
          <w:numId w:val="828"/>
        </w:numPr>
        <w:tabs>
          <w:tab w:val="left" w:pos="1478"/>
        </w:tabs>
        <w:ind w:left="1477" w:hanging="638"/>
        <w:rPr>
          <w:sz w:val="21"/>
        </w:rPr>
      </w:pPr>
      <w:r>
        <w:rPr>
          <w:spacing w:val="-3"/>
          <w:sz w:val="21"/>
        </w:rPr>
        <w:t>电线束应避开可能有油污的地方。</w:t>
      </w:r>
      <w:r>
        <w:rPr>
          <w:sz w:val="21"/>
        </w:rPr>
        <w:t xml:space="preserve"> </w:t>
      </w:r>
    </w:p>
    <w:p w14:paraId="369D4D8A" w14:textId="77777777" w:rsidR="00A71EEF" w:rsidRDefault="00A71EEF">
      <w:pPr>
        <w:pStyle w:val="a3"/>
        <w:rPr>
          <w:sz w:val="18"/>
        </w:rPr>
      </w:pPr>
    </w:p>
    <w:p w14:paraId="4BB486BE" w14:textId="77777777" w:rsidR="00A71EEF" w:rsidRDefault="0081115D">
      <w:pPr>
        <w:pStyle w:val="a4"/>
        <w:numPr>
          <w:ilvl w:val="2"/>
          <w:numId w:val="828"/>
        </w:numPr>
        <w:tabs>
          <w:tab w:val="left" w:pos="1478"/>
        </w:tabs>
        <w:ind w:left="1477" w:hanging="638"/>
        <w:rPr>
          <w:sz w:val="21"/>
        </w:rPr>
      </w:pPr>
      <w:r>
        <w:rPr>
          <w:spacing w:val="-3"/>
          <w:sz w:val="21"/>
        </w:rPr>
        <w:t>安装上装的电线束时应不破坏底盘的电线束。</w:t>
      </w:r>
      <w:r>
        <w:rPr>
          <w:spacing w:val="-3"/>
          <w:sz w:val="21"/>
        </w:rPr>
        <w:t xml:space="preserve"> </w:t>
      </w:r>
    </w:p>
    <w:p w14:paraId="67A1F82B" w14:textId="77777777" w:rsidR="00A71EEF" w:rsidRDefault="00A71EEF">
      <w:pPr>
        <w:pStyle w:val="a3"/>
        <w:spacing w:before="12"/>
        <w:rPr>
          <w:sz w:val="17"/>
        </w:rPr>
      </w:pPr>
    </w:p>
    <w:p w14:paraId="4BBA7EF5" w14:textId="77777777" w:rsidR="00A71EEF" w:rsidRDefault="0081115D">
      <w:pPr>
        <w:pStyle w:val="a4"/>
        <w:numPr>
          <w:ilvl w:val="2"/>
          <w:numId w:val="828"/>
        </w:numPr>
        <w:tabs>
          <w:tab w:val="left" w:pos="1478"/>
        </w:tabs>
        <w:spacing w:line="446" w:lineRule="auto"/>
        <w:ind w:left="418" w:right="1445" w:firstLine="422"/>
        <w:rPr>
          <w:sz w:val="21"/>
        </w:rPr>
      </w:pPr>
      <w:r>
        <w:rPr>
          <w:spacing w:val="-5"/>
          <w:sz w:val="21"/>
        </w:rPr>
        <w:t>所有电路都应有保险装置，保险装置在电流超过电路标称电流</w:t>
      </w:r>
      <w:r>
        <w:rPr>
          <w:spacing w:val="-5"/>
          <w:sz w:val="21"/>
        </w:rPr>
        <w:t xml:space="preserve"> </w:t>
      </w:r>
      <w:r>
        <w:rPr>
          <w:sz w:val="21"/>
        </w:rPr>
        <w:t>150</w:t>
      </w:r>
      <w:r>
        <w:rPr>
          <w:spacing w:val="-3"/>
          <w:sz w:val="21"/>
        </w:rPr>
        <w:t>%</w:t>
      </w:r>
      <w:r>
        <w:rPr>
          <w:spacing w:val="-3"/>
          <w:sz w:val="21"/>
        </w:rPr>
        <w:t>时，应自动切断电路。</w:t>
      </w:r>
      <w:r>
        <w:rPr>
          <w:sz w:val="21"/>
        </w:rPr>
        <w:t xml:space="preserve"> </w:t>
      </w:r>
    </w:p>
    <w:p w14:paraId="4CA56813" w14:textId="77777777" w:rsidR="00A71EEF" w:rsidRDefault="0081115D">
      <w:pPr>
        <w:pStyle w:val="a4"/>
        <w:numPr>
          <w:ilvl w:val="2"/>
          <w:numId w:val="828"/>
        </w:numPr>
        <w:tabs>
          <w:tab w:val="left" w:pos="1478"/>
        </w:tabs>
        <w:spacing w:before="1" w:line="446" w:lineRule="auto"/>
        <w:ind w:left="418" w:right="1496" w:firstLine="422"/>
        <w:rPr>
          <w:sz w:val="21"/>
        </w:rPr>
      </w:pPr>
      <w:r>
        <w:rPr>
          <w:spacing w:val="-3"/>
          <w:sz w:val="21"/>
        </w:rPr>
        <w:t>消防车上装和底盘的电路不应共用一个保险装置。功率输出装置的挂挡机构、泵操作板照明、警示灯具和电动消防炮应使用独立的保险装置。</w:t>
      </w:r>
      <w:r>
        <w:rPr>
          <w:sz w:val="21"/>
        </w:rPr>
        <w:t xml:space="preserve"> </w:t>
      </w:r>
    </w:p>
    <w:p w14:paraId="00969066" w14:textId="77777777" w:rsidR="00A71EEF" w:rsidRDefault="0081115D">
      <w:pPr>
        <w:pStyle w:val="a4"/>
        <w:numPr>
          <w:ilvl w:val="2"/>
          <w:numId w:val="828"/>
        </w:numPr>
        <w:tabs>
          <w:tab w:val="left" w:pos="1478"/>
        </w:tabs>
        <w:spacing w:line="446" w:lineRule="auto"/>
        <w:ind w:left="418" w:right="1705" w:firstLine="422"/>
        <w:rPr>
          <w:sz w:val="21"/>
        </w:rPr>
      </w:pPr>
      <w:r>
        <w:rPr>
          <w:spacing w:val="-3"/>
          <w:sz w:val="21"/>
        </w:rPr>
        <w:t>消防车所有电路保险装置应集中放置，电路保险装置应放放置在干燥、防水、防尘、避免机械振动和冲击并且维修人员易接触处。</w:t>
      </w:r>
      <w:r>
        <w:rPr>
          <w:sz w:val="21"/>
        </w:rPr>
        <w:t xml:space="preserve"> </w:t>
      </w:r>
    </w:p>
    <w:p w14:paraId="2B2E5752" w14:textId="77777777" w:rsidR="00A71EEF" w:rsidRDefault="0081115D">
      <w:pPr>
        <w:pStyle w:val="a4"/>
        <w:numPr>
          <w:ilvl w:val="2"/>
          <w:numId w:val="828"/>
        </w:numPr>
        <w:tabs>
          <w:tab w:val="left" w:pos="1478"/>
        </w:tabs>
        <w:spacing w:line="267" w:lineRule="exact"/>
        <w:ind w:left="1477" w:hanging="638"/>
        <w:rPr>
          <w:sz w:val="21"/>
        </w:rPr>
      </w:pPr>
      <w:r>
        <w:rPr>
          <w:spacing w:val="-3"/>
          <w:sz w:val="21"/>
        </w:rPr>
        <w:t>消防车所用电气开关</w:t>
      </w:r>
      <w:r>
        <w:rPr>
          <w:spacing w:val="-3"/>
          <w:sz w:val="21"/>
        </w:rPr>
        <w:t>应防水、防尘。安装在车辆外部的开关应有防雨罩。</w:t>
      </w:r>
      <w:r>
        <w:rPr>
          <w:spacing w:val="-3"/>
          <w:sz w:val="21"/>
        </w:rPr>
        <w:t xml:space="preserve"> </w:t>
      </w:r>
    </w:p>
    <w:p w14:paraId="2BD8BC75" w14:textId="77777777" w:rsidR="00A71EEF" w:rsidRDefault="00A71EEF">
      <w:pPr>
        <w:pStyle w:val="a3"/>
        <w:spacing w:before="1"/>
        <w:rPr>
          <w:sz w:val="18"/>
        </w:rPr>
      </w:pPr>
    </w:p>
    <w:p w14:paraId="34C2A76A" w14:textId="77777777" w:rsidR="00A71EEF" w:rsidRDefault="0081115D">
      <w:pPr>
        <w:pStyle w:val="a4"/>
        <w:numPr>
          <w:ilvl w:val="2"/>
          <w:numId w:val="828"/>
        </w:numPr>
        <w:tabs>
          <w:tab w:val="left" w:pos="1478"/>
        </w:tabs>
        <w:spacing w:line="446" w:lineRule="auto"/>
        <w:ind w:left="418" w:right="1445" w:firstLine="422"/>
        <w:rPr>
          <w:sz w:val="21"/>
        </w:rPr>
      </w:pPr>
      <w:r>
        <w:rPr>
          <w:spacing w:val="-5"/>
          <w:sz w:val="21"/>
        </w:rPr>
        <w:t>电气开关最大允许电流应不小于所接电路标称电流的</w:t>
      </w:r>
      <w:r>
        <w:rPr>
          <w:spacing w:val="-5"/>
          <w:sz w:val="21"/>
        </w:rPr>
        <w:t xml:space="preserve"> </w:t>
      </w:r>
      <w:r>
        <w:rPr>
          <w:sz w:val="21"/>
        </w:rPr>
        <w:t>125</w:t>
      </w:r>
      <w:r>
        <w:rPr>
          <w:spacing w:val="-3"/>
          <w:sz w:val="21"/>
        </w:rPr>
        <w:t>%</w:t>
      </w:r>
      <w:r>
        <w:rPr>
          <w:spacing w:val="-3"/>
          <w:sz w:val="21"/>
        </w:rPr>
        <w:t>。驾驶室仪表板或附近应有可安装五个以上备用按钮和相应指示灯的位置。</w:t>
      </w:r>
      <w:r>
        <w:rPr>
          <w:sz w:val="21"/>
        </w:rPr>
        <w:t xml:space="preserve"> </w:t>
      </w:r>
    </w:p>
    <w:p w14:paraId="2A9D539B" w14:textId="77777777" w:rsidR="00A71EEF" w:rsidRDefault="0081115D">
      <w:pPr>
        <w:pStyle w:val="a4"/>
        <w:numPr>
          <w:ilvl w:val="2"/>
          <w:numId w:val="828"/>
        </w:numPr>
        <w:tabs>
          <w:tab w:val="left" w:pos="1478"/>
        </w:tabs>
        <w:spacing w:line="446" w:lineRule="auto"/>
        <w:ind w:left="838" w:right="2864" w:firstLine="2"/>
        <w:rPr>
          <w:sz w:val="21"/>
        </w:rPr>
      </w:pPr>
      <w:r>
        <w:rPr>
          <w:spacing w:val="-3"/>
          <w:sz w:val="21"/>
        </w:rPr>
        <w:t>消防车发电机的功率不应小于以下电器同时使用时的电功率之和：</w:t>
      </w:r>
      <w:r>
        <w:rPr>
          <w:spacing w:val="-3"/>
          <w:sz w:val="21"/>
        </w:rPr>
        <w:t xml:space="preserve"> a</w:t>
      </w:r>
      <w:r>
        <w:rPr>
          <w:spacing w:val="-3"/>
          <w:sz w:val="21"/>
        </w:rPr>
        <w:t>）发动机和附件工作所需；</w:t>
      </w:r>
      <w:r>
        <w:rPr>
          <w:spacing w:val="-3"/>
          <w:sz w:val="21"/>
        </w:rPr>
        <w:t xml:space="preserve"> </w:t>
      </w:r>
    </w:p>
    <w:p w14:paraId="709D2514" w14:textId="77777777" w:rsidR="00A71EEF" w:rsidRDefault="00A71EEF">
      <w:pPr>
        <w:spacing w:line="446" w:lineRule="auto"/>
        <w:rPr>
          <w:sz w:val="21"/>
        </w:rPr>
        <w:sectPr w:rsidR="00A71EEF">
          <w:pgSz w:w="11910" w:h="16850"/>
          <w:pgMar w:top="1220" w:right="0" w:bottom="1420" w:left="1260" w:header="0" w:footer="1239" w:gutter="0"/>
          <w:cols w:space="720"/>
        </w:sectPr>
      </w:pPr>
    </w:p>
    <w:p w14:paraId="57A46890" w14:textId="77777777" w:rsidR="00A71EEF" w:rsidRDefault="0081115D">
      <w:pPr>
        <w:pStyle w:val="a3"/>
        <w:spacing w:before="47" w:line="446" w:lineRule="auto"/>
        <w:ind w:left="838" w:right="6865"/>
      </w:pPr>
      <w:r>
        <w:lastRenderedPageBreak/>
        <w:t>b</w:t>
      </w:r>
      <w:r>
        <w:t>）</w:t>
      </w:r>
      <w:r>
        <w:rPr>
          <w:spacing w:val="-3"/>
        </w:rPr>
        <w:t>警灯及警报器所需；</w:t>
      </w:r>
      <w:r>
        <w:rPr>
          <w:spacing w:val="-3"/>
        </w:rPr>
        <w:t xml:space="preserve">     </w:t>
      </w:r>
      <w:r>
        <w:t>c</w:t>
      </w:r>
      <w:r>
        <w:t>）</w:t>
      </w:r>
      <w:r>
        <w:rPr>
          <w:spacing w:val="-3"/>
        </w:rPr>
        <w:t>消防车所带通讯器材所需；</w:t>
      </w:r>
      <w:r>
        <w:t xml:space="preserve"> </w:t>
      </w:r>
    </w:p>
    <w:p w14:paraId="594C3AF2" w14:textId="77777777" w:rsidR="00A71EEF" w:rsidRDefault="0081115D">
      <w:pPr>
        <w:pStyle w:val="a3"/>
        <w:spacing w:line="446" w:lineRule="auto"/>
        <w:ind w:left="838" w:right="6549"/>
      </w:pPr>
      <w:r>
        <w:t>d</w:t>
      </w:r>
      <w:r>
        <w:t>）</w:t>
      </w:r>
      <w:r>
        <w:rPr>
          <w:spacing w:val="-3"/>
        </w:rPr>
        <w:t>消防车前照灯和后部灯具所需；</w:t>
      </w:r>
      <w:r>
        <w:rPr>
          <w:spacing w:val="-3"/>
        </w:rPr>
        <w:t xml:space="preserve"> </w:t>
      </w:r>
      <w:r>
        <w:t>e</w:t>
      </w:r>
      <w:r>
        <w:t>）</w:t>
      </w:r>
      <w:r>
        <w:rPr>
          <w:spacing w:val="-3"/>
        </w:rPr>
        <w:t>驾驶室、乘员室照明所需；</w:t>
      </w:r>
      <w:r>
        <w:t xml:space="preserve"> </w:t>
      </w:r>
    </w:p>
    <w:p w14:paraId="5C7E3F90" w14:textId="77777777" w:rsidR="00A71EEF" w:rsidRDefault="0081115D">
      <w:pPr>
        <w:pStyle w:val="a3"/>
        <w:spacing w:line="446" w:lineRule="auto"/>
        <w:ind w:left="838" w:right="5709"/>
      </w:pPr>
      <w:r>
        <w:t>f</w:t>
      </w:r>
      <w:r>
        <w:t>）操作消防泵、举高装置等所需的照明；</w:t>
      </w:r>
      <w:r>
        <w:t xml:space="preserve"> g</w:t>
      </w:r>
      <w:r>
        <w:t>）</w:t>
      </w:r>
      <w:r>
        <w:t xml:space="preserve"> </w:t>
      </w:r>
      <w:r>
        <w:t>各踏脚板、扶手照明及警示灯具所需；</w:t>
      </w:r>
      <w:r>
        <w:t xml:space="preserve"> h</w:t>
      </w:r>
      <w:r>
        <w:t>）</w:t>
      </w:r>
      <w:r>
        <w:t xml:space="preserve"> </w:t>
      </w:r>
      <w:r>
        <w:t>器材厢照明所需；</w:t>
      </w:r>
      <w:r>
        <w:t xml:space="preserve"> </w:t>
      </w:r>
    </w:p>
    <w:p w14:paraId="7259557F" w14:textId="77777777" w:rsidR="00A71EEF" w:rsidRDefault="0081115D">
      <w:pPr>
        <w:pStyle w:val="a3"/>
        <w:spacing w:line="268" w:lineRule="exact"/>
        <w:ind w:left="838"/>
      </w:pPr>
      <w:r>
        <w:t>i</w:t>
      </w:r>
      <w:r>
        <w:t>）用户购买消防车时明示的其他用电设备。</w:t>
      </w:r>
      <w:r>
        <w:t xml:space="preserve"> </w:t>
      </w:r>
    </w:p>
    <w:p w14:paraId="6831CF56" w14:textId="77777777" w:rsidR="00A71EEF" w:rsidRDefault="00A71EEF">
      <w:pPr>
        <w:pStyle w:val="a3"/>
        <w:spacing w:before="10"/>
        <w:rPr>
          <w:sz w:val="17"/>
        </w:rPr>
      </w:pPr>
    </w:p>
    <w:p w14:paraId="59EC0D27" w14:textId="77777777" w:rsidR="00A71EEF" w:rsidRDefault="0081115D">
      <w:pPr>
        <w:pStyle w:val="a4"/>
        <w:numPr>
          <w:ilvl w:val="2"/>
          <w:numId w:val="828"/>
        </w:numPr>
        <w:tabs>
          <w:tab w:val="left" w:pos="1478"/>
        </w:tabs>
        <w:spacing w:line="446" w:lineRule="auto"/>
        <w:ind w:left="418" w:right="1498" w:firstLine="422"/>
        <w:rPr>
          <w:sz w:val="21"/>
        </w:rPr>
      </w:pPr>
      <w:r>
        <w:rPr>
          <w:spacing w:val="-3"/>
          <w:sz w:val="21"/>
        </w:rPr>
        <w:t>发动机工作后发电机不能向蓄电池充电或发动机没工作而使用蓄电池时，应有声和光报警。报警应能使驾驶室内人员察觉。</w:t>
      </w:r>
      <w:r>
        <w:rPr>
          <w:sz w:val="21"/>
        </w:rPr>
        <w:t xml:space="preserve"> </w:t>
      </w:r>
    </w:p>
    <w:p w14:paraId="4FC1751F" w14:textId="77777777" w:rsidR="00A71EEF" w:rsidRDefault="0081115D">
      <w:pPr>
        <w:pStyle w:val="a4"/>
        <w:numPr>
          <w:ilvl w:val="2"/>
          <w:numId w:val="828"/>
        </w:numPr>
        <w:tabs>
          <w:tab w:val="left" w:pos="1478"/>
        </w:tabs>
        <w:spacing w:line="446" w:lineRule="auto"/>
        <w:ind w:left="418" w:right="1553" w:firstLine="422"/>
        <w:rPr>
          <w:sz w:val="21"/>
        </w:rPr>
      </w:pPr>
      <w:r>
        <w:rPr>
          <w:spacing w:val="-11"/>
          <w:sz w:val="21"/>
        </w:rPr>
        <w:t>对标称电压</w:t>
      </w:r>
      <w:r>
        <w:rPr>
          <w:spacing w:val="-11"/>
          <w:sz w:val="21"/>
        </w:rPr>
        <w:t xml:space="preserve"> </w:t>
      </w:r>
      <w:r>
        <w:rPr>
          <w:sz w:val="21"/>
        </w:rPr>
        <w:t>12</w:t>
      </w:r>
      <w:r>
        <w:rPr>
          <w:spacing w:val="5"/>
          <w:sz w:val="21"/>
        </w:rPr>
        <w:t xml:space="preserve"> </w:t>
      </w:r>
      <w:r>
        <w:rPr>
          <w:sz w:val="21"/>
        </w:rPr>
        <w:t>V</w:t>
      </w:r>
      <w:r>
        <w:rPr>
          <w:spacing w:val="-13"/>
          <w:sz w:val="21"/>
        </w:rPr>
        <w:t xml:space="preserve"> </w:t>
      </w:r>
      <w:r>
        <w:rPr>
          <w:spacing w:val="-13"/>
          <w:sz w:val="21"/>
        </w:rPr>
        <w:t>的车辆，当电源电压低于</w:t>
      </w:r>
      <w:r>
        <w:rPr>
          <w:spacing w:val="-13"/>
          <w:sz w:val="21"/>
        </w:rPr>
        <w:t xml:space="preserve"> </w:t>
      </w:r>
      <w:r>
        <w:rPr>
          <w:sz w:val="21"/>
        </w:rPr>
        <w:t>9.6</w:t>
      </w:r>
      <w:r>
        <w:rPr>
          <w:spacing w:val="6"/>
          <w:sz w:val="21"/>
        </w:rPr>
        <w:t xml:space="preserve"> </w:t>
      </w:r>
      <w:r>
        <w:rPr>
          <w:sz w:val="21"/>
        </w:rPr>
        <w:t>V</w:t>
      </w:r>
      <w:r>
        <w:rPr>
          <w:spacing w:val="-9"/>
          <w:sz w:val="21"/>
        </w:rPr>
        <w:t>；或标称电压为</w:t>
      </w:r>
      <w:r>
        <w:rPr>
          <w:spacing w:val="-9"/>
          <w:sz w:val="21"/>
        </w:rPr>
        <w:t xml:space="preserve"> </w:t>
      </w:r>
      <w:r>
        <w:rPr>
          <w:sz w:val="21"/>
        </w:rPr>
        <w:t>24</w:t>
      </w:r>
      <w:r>
        <w:rPr>
          <w:spacing w:val="2"/>
          <w:sz w:val="21"/>
        </w:rPr>
        <w:t xml:space="preserve"> </w:t>
      </w:r>
      <w:r>
        <w:rPr>
          <w:sz w:val="21"/>
        </w:rPr>
        <w:t>V</w:t>
      </w:r>
      <w:r>
        <w:rPr>
          <w:spacing w:val="-10"/>
          <w:sz w:val="21"/>
        </w:rPr>
        <w:t xml:space="preserve"> </w:t>
      </w:r>
      <w:r>
        <w:rPr>
          <w:spacing w:val="-10"/>
          <w:sz w:val="21"/>
        </w:rPr>
        <w:t>的车辆，当</w:t>
      </w:r>
      <w:r>
        <w:rPr>
          <w:spacing w:val="-12"/>
          <w:sz w:val="21"/>
        </w:rPr>
        <w:t>电源电压低于</w:t>
      </w:r>
      <w:r>
        <w:rPr>
          <w:spacing w:val="-12"/>
          <w:sz w:val="21"/>
        </w:rPr>
        <w:t xml:space="preserve"> </w:t>
      </w:r>
      <w:r>
        <w:rPr>
          <w:sz w:val="21"/>
        </w:rPr>
        <w:t>19.2V</w:t>
      </w:r>
      <w:r>
        <w:rPr>
          <w:spacing w:val="-10"/>
          <w:sz w:val="21"/>
        </w:rPr>
        <w:t>，且历时大于</w:t>
      </w:r>
      <w:r>
        <w:rPr>
          <w:spacing w:val="-10"/>
          <w:sz w:val="21"/>
        </w:rPr>
        <w:t xml:space="preserve"> </w:t>
      </w:r>
      <w:r>
        <w:rPr>
          <w:spacing w:val="-3"/>
          <w:sz w:val="21"/>
        </w:rPr>
        <w:t>2</w:t>
      </w:r>
      <w:r>
        <w:rPr>
          <w:spacing w:val="7"/>
          <w:sz w:val="21"/>
        </w:rPr>
        <w:t xml:space="preserve"> </w:t>
      </w:r>
      <w:r>
        <w:rPr>
          <w:sz w:val="21"/>
        </w:rPr>
        <w:t>min</w:t>
      </w:r>
      <w:r>
        <w:rPr>
          <w:spacing w:val="-9"/>
          <w:sz w:val="21"/>
        </w:rPr>
        <w:t xml:space="preserve"> </w:t>
      </w:r>
      <w:r>
        <w:rPr>
          <w:spacing w:val="-9"/>
          <w:sz w:val="21"/>
        </w:rPr>
        <w:t>时应有声光报警。报警应能使驾驶室内人员察觉。</w:t>
      </w:r>
      <w:r>
        <w:rPr>
          <w:sz w:val="21"/>
        </w:rPr>
        <w:t xml:space="preserve"> </w:t>
      </w:r>
    </w:p>
    <w:p w14:paraId="4BB70BF0" w14:textId="77777777" w:rsidR="00A71EEF" w:rsidRDefault="0081115D">
      <w:pPr>
        <w:pStyle w:val="a4"/>
        <w:numPr>
          <w:ilvl w:val="2"/>
          <w:numId w:val="828"/>
        </w:numPr>
        <w:tabs>
          <w:tab w:val="left" w:pos="1478"/>
        </w:tabs>
        <w:spacing w:line="446" w:lineRule="auto"/>
        <w:ind w:left="418" w:right="1604" w:firstLine="422"/>
        <w:rPr>
          <w:sz w:val="21"/>
        </w:rPr>
      </w:pPr>
      <w:r>
        <w:rPr>
          <w:spacing w:val="-8"/>
          <w:sz w:val="21"/>
        </w:rPr>
        <w:t>消防车应装有使用</w:t>
      </w:r>
      <w:r>
        <w:rPr>
          <w:spacing w:val="-8"/>
          <w:sz w:val="21"/>
        </w:rPr>
        <w:t xml:space="preserve"> </w:t>
      </w:r>
      <w:r>
        <w:rPr>
          <w:sz w:val="21"/>
        </w:rPr>
        <w:t>220V</w:t>
      </w:r>
      <w:r>
        <w:rPr>
          <w:spacing w:val="-9"/>
          <w:sz w:val="21"/>
        </w:rPr>
        <w:t xml:space="preserve"> </w:t>
      </w:r>
      <w:r>
        <w:rPr>
          <w:spacing w:val="-9"/>
          <w:sz w:val="21"/>
        </w:rPr>
        <w:t>市电对蓄电池充电的充电器，消防车侧面或后部应装有充</w:t>
      </w:r>
      <w:r>
        <w:rPr>
          <w:spacing w:val="-5"/>
          <w:sz w:val="21"/>
        </w:rPr>
        <w:t>电插座。不用时防水挡板应盖住插口，当消防车启动时能使充电插头自动脱落。</w:t>
      </w:r>
      <w:r>
        <w:rPr>
          <w:sz w:val="21"/>
        </w:rPr>
        <w:t xml:space="preserve"> </w:t>
      </w:r>
    </w:p>
    <w:p w14:paraId="4851E2AF" w14:textId="77777777" w:rsidR="00A71EEF" w:rsidRDefault="0081115D">
      <w:pPr>
        <w:pStyle w:val="a4"/>
        <w:numPr>
          <w:ilvl w:val="2"/>
          <w:numId w:val="828"/>
        </w:numPr>
        <w:tabs>
          <w:tab w:val="left" w:pos="1478"/>
        </w:tabs>
        <w:spacing w:line="446" w:lineRule="auto"/>
        <w:ind w:left="418" w:right="1496" w:firstLine="422"/>
        <w:rPr>
          <w:sz w:val="21"/>
        </w:rPr>
      </w:pPr>
      <w:r>
        <w:rPr>
          <w:spacing w:val="-3"/>
          <w:sz w:val="21"/>
        </w:rPr>
        <w:t>蓄电池应放置在通风、干燥处，放置在驾驶室内时应有盖板，放置在其他地方应远</w:t>
      </w:r>
      <w:r>
        <w:rPr>
          <w:spacing w:val="-5"/>
          <w:sz w:val="21"/>
        </w:rPr>
        <w:t>离热源并采取防护措施以免消防车行驶时遭飞溅物损伤，离电线或制动管的距离小于</w:t>
      </w:r>
      <w:r>
        <w:rPr>
          <w:spacing w:val="-5"/>
          <w:sz w:val="21"/>
        </w:rPr>
        <w:t xml:space="preserve"> </w:t>
      </w:r>
      <w:r>
        <w:rPr>
          <w:sz w:val="21"/>
        </w:rPr>
        <w:t>200mm</w:t>
      </w:r>
      <w:r>
        <w:rPr>
          <w:spacing w:val="-23"/>
          <w:sz w:val="21"/>
        </w:rPr>
        <w:t xml:space="preserve"> </w:t>
      </w:r>
      <w:r>
        <w:rPr>
          <w:spacing w:val="-23"/>
          <w:sz w:val="21"/>
        </w:rPr>
        <w:t>时</w:t>
      </w:r>
      <w:r>
        <w:rPr>
          <w:spacing w:val="-8"/>
          <w:sz w:val="21"/>
        </w:rPr>
        <w:t>也应加隔板，蓄电池放置的位置应便于维护和保养。</w:t>
      </w:r>
      <w:r>
        <w:rPr>
          <w:spacing w:val="-8"/>
          <w:sz w:val="21"/>
        </w:rPr>
        <w:t xml:space="preserve"> </w:t>
      </w:r>
    </w:p>
    <w:p w14:paraId="08722E04" w14:textId="77777777" w:rsidR="00A71EEF" w:rsidRDefault="0081115D">
      <w:pPr>
        <w:pStyle w:val="a4"/>
        <w:numPr>
          <w:ilvl w:val="2"/>
          <w:numId w:val="828"/>
        </w:numPr>
        <w:tabs>
          <w:tab w:val="left" w:pos="1478"/>
        </w:tabs>
        <w:spacing w:line="268" w:lineRule="exact"/>
        <w:ind w:left="1477" w:hanging="638"/>
        <w:rPr>
          <w:sz w:val="21"/>
        </w:rPr>
      </w:pPr>
      <w:r>
        <w:rPr>
          <w:spacing w:val="-6"/>
          <w:sz w:val="21"/>
        </w:rPr>
        <w:t>当发电机不工作时，蓄电池容量应能保证</w:t>
      </w:r>
      <w:r>
        <w:rPr>
          <w:spacing w:val="-6"/>
          <w:sz w:val="21"/>
        </w:rPr>
        <w:t xml:space="preserve"> </w:t>
      </w:r>
      <w:r>
        <w:rPr>
          <w:sz w:val="21"/>
        </w:rPr>
        <w:t>5.7.20</w:t>
      </w:r>
      <w:r>
        <w:rPr>
          <w:spacing w:val="-9"/>
          <w:sz w:val="21"/>
        </w:rPr>
        <w:t xml:space="preserve"> </w:t>
      </w:r>
      <w:r>
        <w:rPr>
          <w:spacing w:val="-9"/>
          <w:sz w:val="21"/>
        </w:rPr>
        <w:t>规定的全部用电设备正常工作</w:t>
      </w:r>
    </w:p>
    <w:p w14:paraId="1F5C0C26" w14:textId="77777777" w:rsidR="00A71EEF" w:rsidRDefault="00A71EEF">
      <w:pPr>
        <w:pStyle w:val="a3"/>
        <w:rPr>
          <w:sz w:val="18"/>
        </w:rPr>
      </w:pPr>
    </w:p>
    <w:p w14:paraId="294AC63A" w14:textId="77777777" w:rsidR="00A71EEF" w:rsidRDefault="0081115D">
      <w:pPr>
        <w:pStyle w:val="a3"/>
        <w:ind w:left="418"/>
      </w:pPr>
      <w:r>
        <w:t xml:space="preserve">10min </w:t>
      </w:r>
      <w:r>
        <w:t>以上。</w:t>
      </w:r>
      <w:r>
        <w:t xml:space="preserve"> </w:t>
      </w:r>
    </w:p>
    <w:p w14:paraId="34A3704B" w14:textId="77777777" w:rsidR="00A71EEF" w:rsidRDefault="00A71EEF">
      <w:pPr>
        <w:pStyle w:val="a3"/>
        <w:rPr>
          <w:sz w:val="18"/>
        </w:rPr>
      </w:pPr>
    </w:p>
    <w:p w14:paraId="7D17C32F" w14:textId="77777777" w:rsidR="00A71EEF" w:rsidRDefault="0081115D">
      <w:pPr>
        <w:pStyle w:val="a4"/>
        <w:numPr>
          <w:ilvl w:val="2"/>
          <w:numId w:val="828"/>
        </w:numPr>
        <w:tabs>
          <w:tab w:val="left" w:pos="1478"/>
        </w:tabs>
        <w:spacing w:line="446" w:lineRule="auto"/>
        <w:ind w:left="418" w:right="1498" w:firstLine="422"/>
        <w:rPr>
          <w:sz w:val="21"/>
        </w:rPr>
      </w:pPr>
      <w:r>
        <w:rPr>
          <w:spacing w:val="-3"/>
          <w:sz w:val="21"/>
        </w:rPr>
        <w:t>使用消防车蓄电池作为动力的电动引水器在蓄电池电容量下降至原容量</w:t>
      </w:r>
      <w:r>
        <w:rPr>
          <w:spacing w:val="-3"/>
          <w:sz w:val="21"/>
        </w:rPr>
        <w:t xml:space="preserve"> </w:t>
      </w:r>
      <w:r>
        <w:rPr>
          <w:sz w:val="21"/>
        </w:rPr>
        <w:t>70</w:t>
      </w:r>
      <w:r>
        <w:rPr>
          <w:spacing w:val="-1"/>
          <w:sz w:val="21"/>
        </w:rPr>
        <w:t>%</w:t>
      </w:r>
      <w:r>
        <w:rPr>
          <w:spacing w:val="-1"/>
          <w:sz w:val="21"/>
        </w:rPr>
        <w:t>时仍能</w:t>
      </w:r>
      <w:r>
        <w:rPr>
          <w:spacing w:val="-3"/>
          <w:sz w:val="21"/>
        </w:rPr>
        <w:t>达到规定的最大真空度。</w:t>
      </w:r>
      <w:r>
        <w:rPr>
          <w:sz w:val="21"/>
        </w:rPr>
        <w:t xml:space="preserve"> </w:t>
      </w:r>
    </w:p>
    <w:p w14:paraId="13A7EF64" w14:textId="77777777" w:rsidR="00A71EEF" w:rsidRDefault="0081115D">
      <w:pPr>
        <w:pStyle w:val="a4"/>
        <w:numPr>
          <w:ilvl w:val="2"/>
          <w:numId w:val="828"/>
        </w:numPr>
        <w:tabs>
          <w:tab w:val="left" w:pos="1478"/>
        </w:tabs>
        <w:ind w:left="1477" w:hanging="638"/>
        <w:rPr>
          <w:sz w:val="21"/>
        </w:rPr>
      </w:pPr>
      <w:r>
        <w:rPr>
          <w:spacing w:val="-3"/>
          <w:sz w:val="21"/>
        </w:rPr>
        <w:t>消防车所有用电器具所产生的光线电干扰不应影响消防员使用的通讯设备。</w:t>
      </w:r>
      <w:r>
        <w:rPr>
          <w:spacing w:val="-3"/>
          <w:sz w:val="21"/>
        </w:rPr>
        <w:t xml:space="preserve"> </w:t>
      </w:r>
    </w:p>
    <w:p w14:paraId="2C9798FC" w14:textId="77777777" w:rsidR="00A71EEF" w:rsidRDefault="00A71EEF">
      <w:pPr>
        <w:pStyle w:val="a3"/>
        <w:spacing w:before="12"/>
        <w:rPr>
          <w:sz w:val="17"/>
        </w:rPr>
      </w:pPr>
    </w:p>
    <w:p w14:paraId="4ED4C43A" w14:textId="77777777" w:rsidR="00A71EEF" w:rsidRDefault="0081115D">
      <w:pPr>
        <w:pStyle w:val="a4"/>
        <w:numPr>
          <w:ilvl w:val="2"/>
          <w:numId w:val="828"/>
        </w:numPr>
        <w:tabs>
          <w:tab w:val="left" w:pos="1478"/>
        </w:tabs>
        <w:spacing w:line="446" w:lineRule="auto"/>
        <w:ind w:left="418" w:right="1496" w:firstLine="422"/>
        <w:rPr>
          <w:sz w:val="21"/>
        </w:rPr>
      </w:pPr>
      <w:r>
        <w:rPr>
          <w:spacing w:val="-3"/>
          <w:sz w:val="21"/>
        </w:rPr>
        <w:t>消防车驾驶室顶部应安装警灯。警报器应安装在驾驶室内驾驶员可操作处。警报器应能控制警灯的开、关及警报声。</w:t>
      </w:r>
      <w:r>
        <w:rPr>
          <w:sz w:val="21"/>
        </w:rPr>
        <w:t xml:space="preserve"> </w:t>
      </w:r>
    </w:p>
    <w:p w14:paraId="5378C640" w14:textId="77777777" w:rsidR="00A71EEF" w:rsidRDefault="0081115D">
      <w:pPr>
        <w:pStyle w:val="a4"/>
        <w:numPr>
          <w:ilvl w:val="2"/>
          <w:numId w:val="828"/>
        </w:numPr>
        <w:tabs>
          <w:tab w:val="left" w:pos="1478"/>
        </w:tabs>
        <w:spacing w:line="446" w:lineRule="auto"/>
        <w:ind w:left="418" w:right="1496" w:firstLine="422"/>
        <w:rPr>
          <w:sz w:val="21"/>
        </w:rPr>
      </w:pPr>
      <w:r>
        <w:rPr>
          <w:spacing w:val="-3"/>
          <w:sz w:val="21"/>
        </w:rPr>
        <w:t>驾驶室顶部的警灯为长排型或圆型。若安装圆型警灯应在驾驶室顶部两侧各安装一个。若消防车后部安装警灯，应在中间安装一个圆型警灯并且与驾驶室警灯联动。</w:t>
      </w:r>
      <w:r>
        <w:rPr>
          <w:sz w:val="21"/>
        </w:rPr>
        <w:t xml:space="preserve"> </w:t>
      </w:r>
    </w:p>
    <w:p w14:paraId="5B5A75A4" w14:textId="77777777" w:rsidR="00A71EEF" w:rsidRDefault="0081115D">
      <w:pPr>
        <w:pStyle w:val="a4"/>
        <w:numPr>
          <w:ilvl w:val="2"/>
          <w:numId w:val="828"/>
        </w:numPr>
        <w:tabs>
          <w:tab w:val="left" w:pos="1478"/>
        </w:tabs>
        <w:spacing w:line="267" w:lineRule="exact"/>
        <w:ind w:left="1477" w:hanging="638"/>
        <w:rPr>
          <w:sz w:val="21"/>
        </w:rPr>
      </w:pPr>
      <w:r>
        <w:rPr>
          <w:spacing w:val="-8"/>
          <w:sz w:val="21"/>
        </w:rPr>
        <w:t>消防车用的警灯应符合</w:t>
      </w:r>
      <w:r>
        <w:rPr>
          <w:spacing w:val="-8"/>
          <w:sz w:val="21"/>
        </w:rPr>
        <w:t xml:space="preserve"> </w:t>
      </w:r>
      <w:r>
        <w:rPr>
          <w:sz w:val="21"/>
        </w:rPr>
        <w:t>GB</w:t>
      </w:r>
      <w:r>
        <w:rPr>
          <w:spacing w:val="1"/>
          <w:sz w:val="21"/>
        </w:rPr>
        <w:t xml:space="preserve"> </w:t>
      </w:r>
      <w:r>
        <w:rPr>
          <w:sz w:val="21"/>
        </w:rPr>
        <w:t>13954</w:t>
      </w:r>
      <w:r>
        <w:rPr>
          <w:spacing w:val="-13"/>
          <w:sz w:val="21"/>
        </w:rPr>
        <w:t xml:space="preserve"> </w:t>
      </w:r>
      <w:r>
        <w:rPr>
          <w:spacing w:val="-13"/>
          <w:sz w:val="21"/>
        </w:rPr>
        <w:t>的规定。</w:t>
      </w:r>
      <w:r>
        <w:rPr>
          <w:sz w:val="21"/>
        </w:rPr>
        <w:t xml:space="preserve"> </w:t>
      </w:r>
    </w:p>
    <w:p w14:paraId="3860001A" w14:textId="77777777" w:rsidR="00A71EEF" w:rsidRDefault="00A71EEF">
      <w:pPr>
        <w:pStyle w:val="a3"/>
        <w:spacing w:before="2"/>
        <w:rPr>
          <w:sz w:val="18"/>
        </w:rPr>
      </w:pPr>
    </w:p>
    <w:p w14:paraId="55F0B205" w14:textId="77777777" w:rsidR="00A71EEF" w:rsidRDefault="0081115D">
      <w:pPr>
        <w:pStyle w:val="a4"/>
        <w:numPr>
          <w:ilvl w:val="2"/>
          <w:numId w:val="828"/>
        </w:numPr>
        <w:tabs>
          <w:tab w:val="left" w:pos="1478"/>
        </w:tabs>
        <w:ind w:left="1477" w:hanging="638"/>
        <w:rPr>
          <w:sz w:val="21"/>
        </w:rPr>
      </w:pPr>
      <w:r>
        <w:rPr>
          <w:spacing w:val="-8"/>
          <w:sz w:val="21"/>
        </w:rPr>
        <w:t>消防车用警报器应符合</w:t>
      </w:r>
      <w:r>
        <w:rPr>
          <w:spacing w:val="-8"/>
          <w:sz w:val="21"/>
        </w:rPr>
        <w:t xml:space="preserve"> </w:t>
      </w:r>
      <w:r>
        <w:rPr>
          <w:sz w:val="21"/>
        </w:rPr>
        <w:t>GB</w:t>
      </w:r>
      <w:r>
        <w:rPr>
          <w:spacing w:val="1"/>
          <w:sz w:val="21"/>
        </w:rPr>
        <w:t xml:space="preserve"> </w:t>
      </w:r>
      <w:r>
        <w:rPr>
          <w:sz w:val="21"/>
        </w:rPr>
        <w:t>8108</w:t>
      </w:r>
      <w:r>
        <w:rPr>
          <w:spacing w:val="-13"/>
          <w:sz w:val="21"/>
        </w:rPr>
        <w:t xml:space="preserve"> </w:t>
      </w:r>
      <w:r>
        <w:rPr>
          <w:spacing w:val="-13"/>
          <w:sz w:val="21"/>
        </w:rPr>
        <w:t>的规定。</w:t>
      </w:r>
      <w:r>
        <w:rPr>
          <w:sz w:val="21"/>
        </w:rPr>
        <w:t xml:space="preserve"> </w:t>
      </w:r>
    </w:p>
    <w:p w14:paraId="0DEA5C16" w14:textId="77777777" w:rsidR="00A71EEF" w:rsidRDefault="00A71EEF">
      <w:pPr>
        <w:rPr>
          <w:sz w:val="21"/>
        </w:rPr>
        <w:sectPr w:rsidR="00A71EEF">
          <w:pgSz w:w="11910" w:h="16850"/>
          <w:pgMar w:top="1220" w:right="0" w:bottom="1420" w:left="1260" w:header="0" w:footer="1239" w:gutter="0"/>
          <w:cols w:space="720"/>
        </w:sectPr>
      </w:pPr>
    </w:p>
    <w:p w14:paraId="72DB6B8A" w14:textId="77777777" w:rsidR="00A71EEF" w:rsidRDefault="0081115D">
      <w:pPr>
        <w:pStyle w:val="a4"/>
        <w:numPr>
          <w:ilvl w:val="2"/>
          <w:numId w:val="828"/>
        </w:numPr>
        <w:tabs>
          <w:tab w:val="left" w:pos="1478"/>
        </w:tabs>
        <w:spacing w:before="47" w:line="446" w:lineRule="auto"/>
        <w:ind w:left="418" w:right="1604" w:firstLine="422"/>
        <w:rPr>
          <w:sz w:val="21"/>
        </w:rPr>
      </w:pPr>
      <w:r>
        <w:rPr>
          <w:spacing w:val="-6"/>
          <w:sz w:val="21"/>
        </w:rPr>
        <w:lastRenderedPageBreak/>
        <w:t>除举高消防车外，消防车长度大于</w:t>
      </w:r>
      <w:r>
        <w:rPr>
          <w:spacing w:val="-6"/>
          <w:sz w:val="21"/>
        </w:rPr>
        <w:t xml:space="preserve"> </w:t>
      </w:r>
      <w:r>
        <w:rPr>
          <w:sz w:val="21"/>
        </w:rPr>
        <w:t>6m</w:t>
      </w:r>
      <w:r>
        <w:rPr>
          <w:spacing w:val="-8"/>
          <w:sz w:val="21"/>
        </w:rPr>
        <w:t xml:space="preserve"> </w:t>
      </w:r>
      <w:r>
        <w:rPr>
          <w:spacing w:val="-8"/>
          <w:sz w:val="21"/>
        </w:rPr>
        <w:t>时消防车两侧上方应安装频闪灯，频闪灯应</w:t>
      </w:r>
      <w:r>
        <w:rPr>
          <w:spacing w:val="-7"/>
          <w:sz w:val="21"/>
        </w:rPr>
        <w:t>红、蓝相间安装。灯间的间距不大于</w:t>
      </w:r>
      <w:r>
        <w:rPr>
          <w:spacing w:val="-7"/>
          <w:sz w:val="21"/>
        </w:rPr>
        <w:t xml:space="preserve"> </w:t>
      </w:r>
      <w:r>
        <w:rPr>
          <w:sz w:val="21"/>
        </w:rPr>
        <w:t>3m</w:t>
      </w:r>
      <w:r>
        <w:rPr>
          <w:spacing w:val="-3"/>
          <w:sz w:val="21"/>
        </w:rPr>
        <w:t>。频闪灯与警灯共用一个开关。频闪灯应符合以下要求：</w:t>
      </w:r>
      <w:r>
        <w:rPr>
          <w:sz w:val="21"/>
        </w:rPr>
        <w:t xml:space="preserve"> </w:t>
      </w:r>
    </w:p>
    <w:p w14:paraId="66B98C22" w14:textId="77777777" w:rsidR="00A71EEF" w:rsidRDefault="0081115D">
      <w:pPr>
        <w:pStyle w:val="a3"/>
        <w:spacing w:line="446" w:lineRule="auto"/>
        <w:ind w:left="838" w:right="1611"/>
      </w:pPr>
      <w:r>
        <w:t>a</w:t>
      </w:r>
      <w:r>
        <w:t>）在环境温度</w:t>
      </w:r>
      <w:r>
        <w:t xml:space="preserve"> 40</w:t>
      </w:r>
      <w:r>
        <w:rPr>
          <w:spacing w:val="3"/>
        </w:rPr>
        <w:t>℃</w:t>
      </w:r>
      <w:r>
        <w:rPr>
          <w:spacing w:val="3"/>
        </w:rPr>
        <w:t>，湿度</w:t>
      </w:r>
      <w:r>
        <w:rPr>
          <w:spacing w:val="3"/>
        </w:rPr>
        <w:t xml:space="preserve"> </w:t>
      </w:r>
      <w:r>
        <w:t>90</w:t>
      </w:r>
      <w:r>
        <w:rPr>
          <w:spacing w:val="6"/>
        </w:rPr>
        <w:t>%</w:t>
      </w:r>
      <w:r>
        <w:rPr>
          <w:spacing w:val="6"/>
        </w:rPr>
        <w:t>下</w:t>
      </w:r>
      <w:r>
        <w:rPr>
          <w:spacing w:val="6"/>
        </w:rPr>
        <w:t xml:space="preserve"> </w:t>
      </w:r>
      <w:r>
        <w:t>1000</w:t>
      </w:r>
      <w:r>
        <w:rPr>
          <w:spacing w:val="72"/>
        </w:rPr>
        <w:t xml:space="preserve"> </w:t>
      </w:r>
      <w:r>
        <w:t>h</w:t>
      </w:r>
      <w:r>
        <w:rPr>
          <w:spacing w:val="-3"/>
        </w:rPr>
        <w:t xml:space="preserve"> </w:t>
      </w:r>
      <w:r>
        <w:rPr>
          <w:spacing w:val="-3"/>
        </w:rPr>
        <w:t>连续闪烁试验，试验期间灯泡不应损坏；</w:t>
      </w:r>
      <w:r>
        <w:rPr>
          <w:spacing w:val="-3"/>
        </w:rPr>
        <w:t xml:space="preserve"> </w:t>
      </w:r>
      <w:r>
        <w:t>b</w:t>
      </w:r>
      <w:r>
        <w:t>）</w:t>
      </w:r>
      <w:r>
        <w:rPr>
          <w:spacing w:val="-11"/>
        </w:rPr>
        <w:t>在环境温度</w:t>
      </w:r>
      <w:r>
        <w:rPr>
          <w:spacing w:val="-11"/>
        </w:rPr>
        <w:t xml:space="preserve"> </w:t>
      </w:r>
      <w:r>
        <w:t>60℃</w:t>
      </w:r>
      <w:r>
        <w:t>和－</w:t>
      </w:r>
      <w:r>
        <w:t>20℃</w:t>
      </w:r>
      <w:r>
        <w:rPr>
          <w:spacing w:val="-11"/>
        </w:rPr>
        <w:t>下分别放置</w:t>
      </w:r>
      <w:r>
        <w:rPr>
          <w:spacing w:val="-11"/>
        </w:rPr>
        <w:t xml:space="preserve"> </w:t>
      </w:r>
      <w:r>
        <w:t>10</w:t>
      </w:r>
      <w:r>
        <w:rPr>
          <w:spacing w:val="17"/>
        </w:rPr>
        <w:t xml:space="preserve"> </w:t>
      </w:r>
      <w:r>
        <w:t>h</w:t>
      </w:r>
      <w:r>
        <w:rPr>
          <w:spacing w:val="-3"/>
        </w:rPr>
        <w:t>，频闪灯的塑料件不应有危及使用的变形和</w:t>
      </w:r>
    </w:p>
    <w:p w14:paraId="7741F00E" w14:textId="77777777" w:rsidR="00A71EEF" w:rsidRDefault="0081115D">
      <w:pPr>
        <w:pStyle w:val="a3"/>
        <w:spacing w:line="267" w:lineRule="exact"/>
        <w:ind w:left="418"/>
      </w:pPr>
      <w:r>
        <w:t>损坏；</w:t>
      </w:r>
      <w:r>
        <w:t xml:space="preserve"> </w:t>
      </w:r>
    </w:p>
    <w:p w14:paraId="37A34505" w14:textId="77777777" w:rsidR="00A71EEF" w:rsidRDefault="00A71EEF">
      <w:pPr>
        <w:pStyle w:val="a3"/>
        <w:spacing w:before="1"/>
        <w:rPr>
          <w:sz w:val="18"/>
        </w:rPr>
      </w:pPr>
    </w:p>
    <w:p w14:paraId="0D9B9514" w14:textId="77777777" w:rsidR="00A71EEF" w:rsidRDefault="0081115D">
      <w:pPr>
        <w:pStyle w:val="a3"/>
        <w:spacing w:line="446" w:lineRule="auto"/>
        <w:ind w:left="418" w:right="1452" w:firstLine="419"/>
      </w:pPr>
      <w:r>
        <w:t>c</w:t>
      </w:r>
      <w:r>
        <w:t>）</w:t>
      </w:r>
      <w:r>
        <w:rPr>
          <w:spacing w:val="-15"/>
        </w:rPr>
        <w:t>在频率</w:t>
      </w:r>
      <w:r>
        <w:rPr>
          <w:spacing w:val="-15"/>
        </w:rPr>
        <w:t xml:space="preserve"> </w:t>
      </w:r>
      <w:r>
        <w:t>0</w:t>
      </w:r>
      <w:r>
        <w:t>～</w:t>
      </w:r>
      <w:r>
        <w:t>100 Hz</w:t>
      </w:r>
      <w:r>
        <w:rPr>
          <w:spacing w:val="-14"/>
        </w:rPr>
        <w:t>，振幅</w:t>
      </w:r>
      <w:r>
        <w:rPr>
          <w:spacing w:val="-14"/>
        </w:rPr>
        <w:t xml:space="preserve"> </w:t>
      </w:r>
      <w:r>
        <w:t>1mm</w:t>
      </w:r>
      <w:r>
        <w:rPr>
          <w:spacing w:val="-8"/>
        </w:rPr>
        <w:t xml:space="preserve"> </w:t>
      </w:r>
      <w:r>
        <w:rPr>
          <w:spacing w:val="-8"/>
        </w:rPr>
        <w:t>下扫频振动，找出共振频率并在此频率下振动</w:t>
      </w:r>
      <w:r>
        <w:rPr>
          <w:spacing w:val="-8"/>
        </w:rPr>
        <w:t xml:space="preserve"> </w:t>
      </w:r>
      <w:r>
        <w:t>6h</w:t>
      </w:r>
      <w:r>
        <w:rPr>
          <w:spacing w:val="-2"/>
        </w:rPr>
        <w:t>。若没有</w:t>
      </w:r>
      <w:r>
        <w:rPr>
          <w:spacing w:val="-8"/>
        </w:rPr>
        <w:t>共振频率，则在频率</w:t>
      </w:r>
      <w:r>
        <w:rPr>
          <w:spacing w:val="-8"/>
        </w:rPr>
        <w:t xml:space="preserve"> </w:t>
      </w:r>
      <w:r>
        <w:t>50Hz</w:t>
      </w:r>
      <w:r>
        <w:rPr>
          <w:spacing w:val="-15"/>
        </w:rPr>
        <w:t>，振幅</w:t>
      </w:r>
      <w:r>
        <w:rPr>
          <w:spacing w:val="-15"/>
        </w:rPr>
        <w:t xml:space="preserve"> </w:t>
      </w:r>
      <w:r>
        <w:t>1mm</w:t>
      </w:r>
      <w:r>
        <w:rPr>
          <w:spacing w:val="-23"/>
        </w:rPr>
        <w:t xml:space="preserve"> </w:t>
      </w:r>
      <w:r>
        <w:rPr>
          <w:spacing w:val="-23"/>
        </w:rPr>
        <w:t>下振动</w:t>
      </w:r>
      <w:r>
        <w:rPr>
          <w:spacing w:val="-23"/>
        </w:rPr>
        <w:t xml:space="preserve"> </w:t>
      </w:r>
      <w:r>
        <w:t>6h</w:t>
      </w:r>
      <w:r>
        <w:rPr>
          <w:spacing w:val="-3"/>
        </w:rPr>
        <w:t>。试验后频闪灯不应损坏。</w:t>
      </w:r>
      <w:r>
        <w:t xml:space="preserve"> </w:t>
      </w:r>
    </w:p>
    <w:p w14:paraId="24B2E5F3" w14:textId="77777777" w:rsidR="00A71EEF" w:rsidRDefault="0081115D">
      <w:pPr>
        <w:pStyle w:val="a4"/>
        <w:numPr>
          <w:ilvl w:val="2"/>
          <w:numId w:val="828"/>
        </w:numPr>
        <w:tabs>
          <w:tab w:val="left" w:pos="1478"/>
        </w:tabs>
        <w:spacing w:line="446" w:lineRule="auto"/>
        <w:ind w:left="418" w:right="1498" w:firstLine="422"/>
        <w:rPr>
          <w:sz w:val="21"/>
        </w:rPr>
      </w:pPr>
      <w:r>
        <w:rPr>
          <w:spacing w:val="-6"/>
          <w:sz w:val="21"/>
        </w:rPr>
        <w:t>安装在消防车后部的随车探照灯应能</w:t>
      </w:r>
      <w:r>
        <w:rPr>
          <w:spacing w:val="-6"/>
          <w:sz w:val="21"/>
        </w:rPr>
        <w:t xml:space="preserve"> </w:t>
      </w:r>
      <w:r>
        <w:rPr>
          <w:sz w:val="21"/>
        </w:rPr>
        <w:t>360</w:t>
      </w:r>
      <w:r>
        <w:rPr>
          <w:spacing w:val="-7"/>
          <w:sz w:val="21"/>
        </w:rPr>
        <w:t>°</w:t>
      </w:r>
      <w:r>
        <w:rPr>
          <w:spacing w:val="-7"/>
          <w:sz w:val="21"/>
        </w:rPr>
        <w:t>回转，俯角大于或等于</w:t>
      </w:r>
      <w:r>
        <w:rPr>
          <w:spacing w:val="-7"/>
          <w:sz w:val="21"/>
        </w:rPr>
        <w:t xml:space="preserve"> </w:t>
      </w:r>
      <w:r>
        <w:rPr>
          <w:sz w:val="21"/>
        </w:rPr>
        <w:t>30</w:t>
      </w:r>
      <w:r>
        <w:rPr>
          <w:spacing w:val="-2"/>
          <w:sz w:val="21"/>
        </w:rPr>
        <w:t>°</w:t>
      </w:r>
      <w:r>
        <w:rPr>
          <w:spacing w:val="-2"/>
          <w:sz w:val="21"/>
        </w:rPr>
        <w:t>，仰角大于</w:t>
      </w:r>
      <w:r>
        <w:rPr>
          <w:spacing w:val="16"/>
          <w:sz w:val="21"/>
        </w:rPr>
        <w:t>或等于</w:t>
      </w:r>
      <w:r>
        <w:rPr>
          <w:spacing w:val="16"/>
          <w:sz w:val="21"/>
        </w:rPr>
        <w:t xml:space="preserve"> </w:t>
      </w:r>
      <w:r>
        <w:rPr>
          <w:sz w:val="21"/>
        </w:rPr>
        <w:t>70</w:t>
      </w:r>
      <w:r>
        <w:rPr>
          <w:spacing w:val="-3"/>
          <w:sz w:val="21"/>
        </w:rPr>
        <w:t>°</w:t>
      </w:r>
      <w:r>
        <w:rPr>
          <w:spacing w:val="-3"/>
          <w:sz w:val="21"/>
        </w:rPr>
        <w:t>。探照灯照度不小于消防车前照灯的照度。探照灯开关应安装在消防泵操作面板上。</w:t>
      </w:r>
      <w:r>
        <w:rPr>
          <w:sz w:val="21"/>
        </w:rPr>
        <w:t xml:space="preserve"> </w:t>
      </w:r>
    </w:p>
    <w:p w14:paraId="7E2C7244" w14:textId="77777777" w:rsidR="00A71EEF" w:rsidRDefault="0081115D">
      <w:pPr>
        <w:pStyle w:val="a4"/>
        <w:numPr>
          <w:ilvl w:val="2"/>
          <w:numId w:val="828"/>
        </w:numPr>
        <w:tabs>
          <w:tab w:val="left" w:pos="1478"/>
        </w:tabs>
        <w:spacing w:line="268" w:lineRule="exact"/>
        <w:ind w:left="1477" w:hanging="638"/>
        <w:rPr>
          <w:sz w:val="21"/>
        </w:rPr>
      </w:pPr>
      <w:r>
        <w:rPr>
          <w:spacing w:val="-3"/>
          <w:sz w:val="21"/>
        </w:rPr>
        <w:t>消防车泵房应安装照明灯。</w:t>
      </w:r>
      <w:r>
        <w:rPr>
          <w:sz w:val="21"/>
        </w:rPr>
        <w:t xml:space="preserve"> </w:t>
      </w:r>
    </w:p>
    <w:p w14:paraId="0A28967D" w14:textId="77777777" w:rsidR="00A71EEF" w:rsidRDefault="00A71EEF">
      <w:pPr>
        <w:pStyle w:val="a3"/>
        <w:rPr>
          <w:sz w:val="18"/>
        </w:rPr>
      </w:pPr>
    </w:p>
    <w:p w14:paraId="5221EF95" w14:textId="77777777" w:rsidR="00A71EEF" w:rsidRDefault="0081115D">
      <w:pPr>
        <w:pStyle w:val="a4"/>
        <w:numPr>
          <w:ilvl w:val="1"/>
          <w:numId w:val="828"/>
        </w:numPr>
        <w:tabs>
          <w:tab w:val="left" w:pos="1159"/>
        </w:tabs>
        <w:ind w:hanging="319"/>
        <w:rPr>
          <w:b/>
          <w:sz w:val="21"/>
        </w:rPr>
      </w:pPr>
      <w:r>
        <w:rPr>
          <w:spacing w:val="-3"/>
          <w:sz w:val="21"/>
        </w:rPr>
        <w:t>使用市电的装置和系统</w:t>
      </w:r>
      <w:r>
        <w:rPr>
          <w:b/>
          <w:spacing w:val="-3"/>
          <w:w w:val="99"/>
          <w:sz w:val="21"/>
        </w:rPr>
        <w:t xml:space="preserve"> </w:t>
      </w:r>
    </w:p>
    <w:p w14:paraId="7AF10D7A" w14:textId="77777777" w:rsidR="00A71EEF" w:rsidRDefault="00A71EEF">
      <w:pPr>
        <w:pStyle w:val="a3"/>
        <w:rPr>
          <w:b/>
          <w:sz w:val="18"/>
        </w:rPr>
      </w:pPr>
    </w:p>
    <w:p w14:paraId="0C9F062C" w14:textId="77777777" w:rsidR="00A71EEF" w:rsidRDefault="0081115D">
      <w:pPr>
        <w:pStyle w:val="a4"/>
        <w:numPr>
          <w:ilvl w:val="2"/>
          <w:numId w:val="828"/>
        </w:numPr>
        <w:tabs>
          <w:tab w:val="left" w:pos="1371"/>
        </w:tabs>
        <w:rPr>
          <w:sz w:val="21"/>
        </w:rPr>
      </w:pPr>
      <w:r>
        <w:rPr>
          <w:spacing w:val="-3"/>
          <w:sz w:val="21"/>
        </w:rPr>
        <w:t>使用市电的装置应放置在器材厢干燥处，并避免热、振动和油污的影响。</w:t>
      </w:r>
      <w:r>
        <w:rPr>
          <w:spacing w:val="-3"/>
          <w:sz w:val="21"/>
        </w:rPr>
        <w:t xml:space="preserve"> </w:t>
      </w:r>
    </w:p>
    <w:p w14:paraId="4BBC7B68" w14:textId="77777777" w:rsidR="00A71EEF" w:rsidRDefault="00A71EEF">
      <w:pPr>
        <w:pStyle w:val="a3"/>
        <w:spacing w:before="12"/>
        <w:rPr>
          <w:sz w:val="17"/>
        </w:rPr>
      </w:pPr>
    </w:p>
    <w:p w14:paraId="18D7322E" w14:textId="77777777" w:rsidR="00A71EEF" w:rsidRDefault="0081115D">
      <w:pPr>
        <w:pStyle w:val="a4"/>
        <w:numPr>
          <w:ilvl w:val="2"/>
          <w:numId w:val="828"/>
        </w:numPr>
        <w:tabs>
          <w:tab w:val="left" w:pos="1370"/>
        </w:tabs>
        <w:ind w:left="1369" w:hanging="530"/>
        <w:rPr>
          <w:sz w:val="21"/>
        </w:rPr>
      </w:pPr>
      <w:r>
        <w:rPr>
          <w:spacing w:val="-6"/>
          <w:sz w:val="21"/>
        </w:rPr>
        <w:t>采用人力移动的用电装置的电压不超过</w:t>
      </w:r>
      <w:r>
        <w:rPr>
          <w:spacing w:val="-6"/>
          <w:sz w:val="21"/>
        </w:rPr>
        <w:t xml:space="preserve"> </w:t>
      </w:r>
      <w:r>
        <w:rPr>
          <w:sz w:val="21"/>
        </w:rPr>
        <w:t>250V</w:t>
      </w:r>
      <w:r>
        <w:rPr>
          <w:sz w:val="21"/>
        </w:rPr>
        <w:t>。</w:t>
      </w:r>
      <w:r>
        <w:rPr>
          <w:sz w:val="21"/>
        </w:rPr>
        <w:t xml:space="preserve"> </w:t>
      </w:r>
    </w:p>
    <w:p w14:paraId="12ACC9AF" w14:textId="77777777" w:rsidR="00A71EEF" w:rsidRDefault="00A71EEF">
      <w:pPr>
        <w:pStyle w:val="a3"/>
        <w:spacing w:before="2"/>
        <w:rPr>
          <w:sz w:val="18"/>
        </w:rPr>
      </w:pPr>
    </w:p>
    <w:p w14:paraId="09C1F02E" w14:textId="77777777" w:rsidR="00A71EEF" w:rsidRDefault="0081115D">
      <w:pPr>
        <w:pStyle w:val="a4"/>
        <w:numPr>
          <w:ilvl w:val="2"/>
          <w:numId w:val="828"/>
        </w:numPr>
        <w:tabs>
          <w:tab w:val="left" w:pos="1371"/>
        </w:tabs>
        <w:rPr>
          <w:sz w:val="21"/>
        </w:rPr>
      </w:pPr>
      <w:r>
        <w:rPr>
          <w:spacing w:val="-13"/>
          <w:sz w:val="21"/>
        </w:rPr>
        <w:t>电压超过</w:t>
      </w:r>
      <w:r>
        <w:rPr>
          <w:spacing w:val="-13"/>
          <w:sz w:val="21"/>
        </w:rPr>
        <w:t xml:space="preserve"> </w:t>
      </w:r>
      <w:r>
        <w:rPr>
          <w:sz w:val="21"/>
        </w:rPr>
        <w:t>250</w:t>
      </w:r>
      <w:r>
        <w:rPr>
          <w:spacing w:val="1"/>
          <w:sz w:val="21"/>
        </w:rPr>
        <w:t xml:space="preserve"> </w:t>
      </w:r>
      <w:r>
        <w:rPr>
          <w:sz w:val="21"/>
        </w:rPr>
        <w:t>V</w:t>
      </w:r>
      <w:r>
        <w:rPr>
          <w:spacing w:val="-9"/>
          <w:sz w:val="21"/>
        </w:rPr>
        <w:t xml:space="preserve"> </w:t>
      </w:r>
      <w:r>
        <w:rPr>
          <w:spacing w:val="-9"/>
          <w:sz w:val="21"/>
        </w:rPr>
        <w:t>的用电装置应固定在消防车上。</w:t>
      </w:r>
      <w:r>
        <w:rPr>
          <w:sz w:val="21"/>
        </w:rPr>
        <w:t xml:space="preserve"> </w:t>
      </w:r>
    </w:p>
    <w:p w14:paraId="7027D1A0" w14:textId="77777777" w:rsidR="00A71EEF" w:rsidRDefault="00A71EEF">
      <w:pPr>
        <w:pStyle w:val="a3"/>
        <w:rPr>
          <w:sz w:val="18"/>
        </w:rPr>
      </w:pPr>
    </w:p>
    <w:p w14:paraId="42A1DAD0" w14:textId="77777777" w:rsidR="00A71EEF" w:rsidRDefault="0081115D">
      <w:pPr>
        <w:pStyle w:val="a4"/>
        <w:numPr>
          <w:ilvl w:val="2"/>
          <w:numId w:val="828"/>
        </w:numPr>
        <w:tabs>
          <w:tab w:val="left" w:pos="1371"/>
        </w:tabs>
        <w:rPr>
          <w:sz w:val="21"/>
        </w:rPr>
      </w:pPr>
      <w:r>
        <w:rPr>
          <w:spacing w:val="-7"/>
          <w:sz w:val="21"/>
        </w:rPr>
        <w:t>用电装置若使用交流电，频率为</w:t>
      </w:r>
      <w:r>
        <w:rPr>
          <w:spacing w:val="-7"/>
          <w:sz w:val="21"/>
        </w:rPr>
        <w:t xml:space="preserve"> </w:t>
      </w:r>
      <w:r>
        <w:rPr>
          <w:sz w:val="21"/>
        </w:rPr>
        <w:t>50Hz</w:t>
      </w:r>
      <w:r>
        <w:rPr>
          <w:sz w:val="21"/>
        </w:rPr>
        <w:t>。</w:t>
      </w:r>
      <w:r>
        <w:rPr>
          <w:sz w:val="21"/>
        </w:rPr>
        <w:t xml:space="preserve"> </w:t>
      </w:r>
    </w:p>
    <w:p w14:paraId="565448C9" w14:textId="77777777" w:rsidR="00A71EEF" w:rsidRDefault="00A71EEF">
      <w:pPr>
        <w:pStyle w:val="a3"/>
        <w:spacing w:before="12"/>
        <w:rPr>
          <w:sz w:val="17"/>
        </w:rPr>
      </w:pPr>
    </w:p>
    <w:p w14:paraId="7A791E15" w14:textId="77777777" w:rsidR="00A71EEF" w:rsidRDefault="0081115D">
      <w:pPr>
        <w:pStyle w:val="a4"/>
        <w:numPr>
          <w:ilvl w:val="2"/>
          <w:numId w:val="828"/>
        </w:numPr>
        <w:tabs>
          <w:tab w:val="left" w:pos="1371"/>
        </w:tabs>
        <w:rPr>
          <w:sz w:val="21"/>
        </w:rPr>
      </w:pPr>
      <w:r>
        <w:rPr>
          <w:spacing w:val="-3"/>
          <w:sz w:val="21"/>
        </w:rPr>
        <w:t>安装在消防车外部的市电电源插口应使用防水型产品。</w:t>
      </w:r>
      <w:r>
        <w:rPr>
          <w:sz w:val="21"/>
        </w:rPr>
        <w:t xml:space="preserve"> </w:t>
      </w:r>
    </w:p>
    <w:p w14:paraId="13840E62" w14:textId="77777777" w:rsidR="00A71EEF" w:rsidRDefault="00A71EEF">
      <w:pPr>
        <w:pStyle w:val="a3"/>
        <w:spacing w:before="2"/>
        <w:rPr>
          <w:sz w:val="18"/>
        </w:rPr>
      </w:pPr>
    </w:p>
    <w:p w14:paraId="4C2877BA" w14:textId="77777777" w:rsidR="00A71EEF" w:rsidRDefault="0081115D">
      <w:pPr>
        <w:pStyle w:val="a4"/>
        <w:numPr>
          <w:ilvl w:val="2"/>
          <w:numId w:val="828"/>
        </w:numPr>
        <w:tabs>
          <w:tab w:val="left" w:pos="1371"/>
        </w:tabs>
        <w:rPr>
          <w:sz w:val="21"/>
        </w:rPr>
      </w:pPr>
      <w:r>
        <w:rPr>
          <w:spacing w:val="-3"/>
          <w:sz w:val="21"/>
        </w:rPr>
        <w:t>使用市电的装置和系统应选用防水型电器并宜安装漏电保护装置。</w:t>
      </w:r>
      <w:r>
        <w:rPr>
          <w:sz w:val="21"/>
        </w:rPr>
        <w:t xml:space="preserve"> </w:t>
      </w:r>
    </w:p>
    <w:p w14:paraId="47860844" w14:textId="77777777" w:rsidR="00A71EEF" w:rsidRDefault="00A71EEF">
      <w:pPr>
        <w:pStyle w:val="a3"/>
        <w:rPr>
          <w:sz w:val="18"/>
        </w:rPr>
      </w:pPr>
    </w:p>
    <w:p w14:paraId="7BF7EF8B" w14:textId="77777777" w:rsidR="00A71EEF" w:rsidRDefault="0081115D">
      <w:pPr>
        <w:pStyle w:val="a4"/>
        <w:numPr>
          <w:ilvl w:val="2"/>
          <w:numId w:val="828"/>
        </w:numPr>
        <w:tabs>
          <w:tab w:val="left" w:pos="1370"/>
        </w:tabs>
        <w:ind w:left="1369" w:hanging="530"/>
        <w:rPr>
          <w:sz w:val="21"/>
        </w:rPr>
      </w:pPr>
      <w:r>
        <w:rPr>
          <w:spacing w:val="-3"/>
          <w:sz w:val="21"/>
        </w:rPr>
        <w:t>安装在消防车上的使用市电的用电装置和系统应能可靠接地。</w:t>
      </w:r>
      <w:r>
        <w:rPr>
          <w:sz w:val="21"/>
        </w:rPr>
        <w:t xml:space="preserve"> </w:t>
      </w:r>
    </w:p>
    <w:p w14:paraId="71AD9557" w14:textId="77777777" w:rsidR="00A71EEF" w:rsidRDefault="00A71EEF">
      <w:pPr>
        <w:pStyle w:val="a3"/>
        <w:rPr>
          <w:sz w:val="18"/>
        </w:rPr>
      </w:pPr>
    </w:p>
    <w:p w14:paraId="2B470F89" w14:textId="77777777" w:rsidR="00A71EEF" w:rsidRDefault="0081115D">
      <w:pPr>
        <w:pStyle w:val="a4"/>
        <w:numPr>
          <w:ilvl w:val="2"/>
          <w:numId w:val="828"/>
        </w:numPr>
        <w:tabs>
          <w:tab w:val="left" w:pos="1370"/>
        </w:tabs>
        <w:ind w:left="1369" w:hanging="530"/>
        <w:rPr>
          <w:sz w:val="21"/>
        </w:rPr>
      </w:pPr>
      <w:r>
        <w:rPr>
          <w:spacing w:val="-5"/>
          <w:sz w:val="21"/>
        </w:rPr>
        <w:t>接地线应选用导电性能良好的铜线，线径应等同于电源线且截面积不小于</w:t>
      </w:r>
      <w:r>
        <w:rPr>
          <w:spacing w:val="-5"/>
          <w:sz w:val="21"/>
        </w:rPr>
        <w:t xml:space="preserve"> </w:t>
      </w:r>
      <w:r>
        <w:rPr>
          <w:sz w:val="21"/>
        </w:rPr>
        <w:t>1.2</w:t>
      </w:r>
      <w:r>
        <w:rPr>
          <w:spacing w:val="3"/>
          <w:sz w:val="21"/>
        </w:rPr>
        <w:t xml:space="preserve"> </w:t>
      </w:r>
      <w:r>
        <w:rPr>
          <w:sz w:val="21"/>
        </w:rPr>
        <w:t>m</w:t>
      </w:r>
    </w:p>
    <w:p w14:paraId="602BC805" w14:textId="77777777" w:rsidR="00A71EEF" w:rsidRDefault="00A71EEF">
      <w:pPr>
        <w:pStyle w:val="a3"/>
        <w:spacing w:before="1"/>
        <w:rPr>
          <w:sz w:val="18"/>
        </w:rPr>
      </w:pPr>
    </w:p>
    <w:p w14:paraId="0AA54C13" w14:textId="77777777" w:rsidR="00A71EEF" w:rsidRDefault="0081115D">
      <w:pPr>
        <w:pStyle w:val="a3"/>
        <w:spacing w:before="1"/>
        <w:ind w:left="418"/>
      </w:pPr>
      <w:r>
        <w:rPr>
          <w:color w:val="333333"/>
        </w:rPr>
        <w:t>㎡</w:t>
      </w:r>
      <w:r>
        <w:t>。</w:t>
      </w:r>
      <w:r>
        <w:t xml:space="preserve"> </w:t>
      </w:r>
    </w:p>
    <w:p w14:paraId="026429BB" w14:textId="77777777" w:rsidR="00A71EEF" w:rsidRDefault="00A71EEF">
      <w:pPr>
        <w:pStyle w:val="a3"/>
        <w:spacing w:before="12"/>
        <w:rPr>
          <w:sz w:val="17"/>
        </w:rPr>
      </w:pPr>
    </w:p>
    <w:p w14:paraId="57A1A095" w14:textId="77777777" w:rsidR="00A71EEF" w:rsidRDefault="0081115D">
      <w:pPr>
        <w:pStyle w:val="a4"/>
        <w:numPr>
          <w:ilvl w:val="2"/>
          <w:numId w:val="828"/>
        </w:numPr>
        <w:tabs>
          <w:tab w:val="left" w:pos="1370"/>
        </w:tabs>
        <w:spacing w:line="446" w:lineRule="auto"/>
        <w:ind w:left="418" w:right="1813" w:firstLine="422"/>
        <w:rPr>
          <w:sz w:val="21"/>
        </w:rPr>
      </w:pPr>
      <w:r>
        <w:rPr>
          <w:spacing w:val="-3"/>
          <w:sz w:val="21"/>
        </w:rPr>
        <w:t>使用市电的装置或系统应在操作人员可见的明显位置用中文标示使用的方法、环境、条件和注意事项。</w:t>
      </w:r>
      <w:r>
        <w:rPr>
          <w:sz w:val="21"/>
        </w:rPr>
        <w:t xml:space="preserve"> </w:t>
      </w:r>
    </w:p>
    <w:p w14:paraId="6E9A5011" w14:textId="77777777" w:rsidR="00A71EEF" w:rsidRDefault="0081115D">
      <w:pPr>
        <w:pStyle w:val="a4"/>
        <w:numPr>
          <w:ilvl w:val="2"/>
          <w:numId w:val="828"/>
        </w:numPr>
        <w:tabs>
          <w:tab w:val="left" w:pos="1478"/>
        </w:tabs>
        <w:ind w:left="1477" w:hanging="638"/>
        <w:rPr>
          <w:sz w:val="21"/>
        </w:rPr>
      </w:pPr>
      <w:r>
        <w:rPr>
          <w:spacing w:val="-3"/>
          <w:sz w:val="21"/>
        </w:rPr>
        <w:t>使用市电的装置或系统的开关、按钮、手柄等应标出用途。</w:t>
      </w:r>
      <w:r>
        <w:rPr>
          <w:sz w:val="21"/>
        </w:rPr>
        <w:t xml:space="preserve"> </w:t>
      </w:r>
    </w:p>
    <w:p w14:paraId="30FE8826" w14:textId="77777777" w:rsidR="00A71EEF" w:rsidRDefault="00A71EEF">
      <w:pPr>
        <w:pStyle w:val="a3"/>
        <w:rPr>
          <w:sz w:val="18"/>
        </w:rPr>
      </w:pPr>
    </w:p>
    <w:p w14:paraId="2FB9E9E8" w14:textId="77777777" w:rsidR="00A71EEF" w:rsidRDefault="0081115D">
      <w:pPr>
        <w:pStyle w:val="a4"/>
        <w:numPr>
          <w:ilvl w:val="2"/>
          <w:numId w:val="828"/>
        </w:numPr>
        <w:tabs>
          <w:tab w:val="left" w:pos="1478"/>
        </w:tabs>
        <w:ind w:left="1477" w:hanging="638"/>
        <w:rPr>
          <w:sz w:val="21"/>
        </w:rPr>
      </w:pPr>
      <w:r>
        <w:rPr>
          <w:spacing w:val="-3"/>
          <w:sz w:val="21"/>
        </w:rPr>
        <w:t>使用市电的装置或系统的电源开关应标出开和关的位置。</w:t>
      </w:r>
      <w:r>
        <w:rPr>
          <w:sz w:val="21"/>
        </w:rPr>
        <w:t xml:space="preserve"> </w:t>
      </w:r>
    </w:p>
    <w:p w14:paraId="0A4F236E" w14:textId="77777777" w:rsidR="00A71EEF" w:rsidRDefault="00A71EEF">
      <w:pPr>
        <w:pStyle w:val="a3"/>
        <w:spacing w:before="12"/>
        <w:rPr>
          <w:sz w:val="17"/>
        </w:rPr>
      </w:pPr>
    </w:p>
    <w:p w14:paraId="190EE4A4" w14:textId="77777777" w:rsidR="00A71EEF" w:rsidRDefault="0081115D">
      <w:pPr>
        <w:pStyle w:val="a4"/>
        <w:numPr>
          <w:ilvl w:val="2"/>
          <w:numId w:val="828"/>
        </w:numPr>
        <w:tabs>
          <w:tab w:val="left" w:pos="1478"/>
        </w:tabs>
        <w:ind w:left="1477" w:hanging="638"/>
        <w:rPr>
          <w:sz w:val="21"/>
        </w:rPr>
      </w:pPr>
      <w:r>
        <w:rPr>
          <w:spacing w:val="-3"/>
          <w:sz w:val="21"/>
        </w:rPr>
        <w:t>使用市电的装置或系统应在消防车上固定可靠，可移动装置取用应方便。</w:t>
      </w:r>
      <w:r>
        <w:rPr>
          <w:spacing w:val="-3"/>
          <w:sz w:val="21"/>
        </w:rPr>
        <w:t xml:space="preserve"> </w:t>
      </w:r>
    </w:p>
    <w:p w14:paraId="6B662B76" w14:textId="77777777" w:rsidR="00A71EEF" w:rsidRDefault="00A71EEF">
      <w:pPr>
        <w:pStyle w:val="a3"/>
        <w:spacing w:before="2"/>
        <w:rPr>
          <w:sz w:val="18"/>
        </w:rPr>
      </w:pPr>
    </w:p>
    <w:p w14:paraId="499E3D6F" w14:textId="77777777" w:rsidR="00A71EEF" w:rsidRDefault="0081115D">
      <w:pPr>
        <w:pStyle w:val="a4"/>
        <w:numPr>
          <w:ilvl w:val="2"/>
          <w:numId w:val="828"/>
        </w:numPr>
        <w:tabs>
          <w:tab w:val="left" w:pos="1478"/>
        </w:tabs>
        <w:ind w:left="1477" w:hanging="638"/>
        <w:rPr>
          <w:sz w:val="21"/>
        </w:rPr>
      </w:pPr>
      <w:r>
        <w:rPr>
          <w:spacing w:val="-3"/>
          <w:sz w:val="21"/>
        </w:rPr>
        <w:t>使用市电的装置或系统接线桩应有遮蔽措施，以免人员误触。</w:t>
      </w:r>
      <w:r>
        <w:rPr>
          <w:sz w:val="21"/>
        </w:rPr>
        <w:t xml:space="preserve"> </w:t>
      </w:r>
    </w:p>
    <w:p w14:paraId="56A7B6FF" w14:textId="77777777" w:rsidR="00A71EEF" w:rsidRDefault="00A71EEF">
      <w:pPr>
        <w:rPr>
          <w:sz w:val="21"/>
        </w:rPr>
        <w:sectPr w:rsidR="00A71EEF">
          <w:pgSz w:w="11910" w:h="16850"/>
          <w:pgMar w:top="1220" w:right="0" w:bottom="1420" w:left="1260" w:header="0" w:footer="1239" w:gutter="0"/>
          <w:cols w:space="720"/>
        </w:sectPr>
      </w:pPr>
    </w:p>
    <w:p w14:paraId="7B242F26" w14:textId="77777777" w:rsidR="00A71EEF" w:rsidRDefault="0081115D">
      <w:pPr>
        <w:pStyle w:val="a4"/>
        <w:numPr>
          <w:ilvl w:val="2"/>
          <w:numId w:val="828"/>
        </w:numPr>
        <w:tabs>
          <w:tab w:val="left" w:pos="1478"/>
        </w:tabs>
        <w:spacing w:before="47"/>
        <w:ind w:left="1477" w:hanging="638"/>
        <w:rPr>
          <w:sz w:val="21"/>
        </w:rPr>
      </w:pPr>
      <w:r>
        <w:rPr>
          <w:spacing w:val="-3"/>
          <w:sz w:val="21"/>
        </w:rPr>
        <w:lastRenderedPageBreak/>
        <w:t>使用市电的装置或系统的储存处温度不超过</w:t>
      </w:r>
      <w:r>
        <w:rPr>
          <w:spacing w:val="-3"/>
          <w:sz w:val="21"/>
        </w:rPr>
        <w:t xml:space="preserve"> </w:t>
      </w:r>
      <w:r>
        <w:rPr>
          <w:sz w:val="21"/>
        </w:rPr>
        <w:t>60</w:t>
      </w:r>
      <w:r>
        <w:rPr>
          <w:spacing w:val="-2"/>
          <w:sz w:val="21"/>
        </w:rPr>
        <w:t xml:space="preserve"> ℃</w:t>
      </w:r>
      <w:r>
        <w:rPr>
          <w:spacing w:val="-2"/>
          <w:sz w:val="21"/>
        </w:rPr>
        <w:t>。</w:t>
      </w:r>
      <w:r>
        <w:rPr>
          <w:sz w:val="21"/>
        </w:rPr>
        <w:t xml:space="preserve"> </w:t>
      </w:r>
    </w:p>
    <w:p w14:paraId="3631AED4" w14:textId="77777777" w:rsidR="00A71EEF" w:rsidRDefault="00A71EEF">
      <w:pPr>
        <w:pStyle w:val="a3"/>
        <w:rPr>
          <w:sz w:val="18"/>
        </w:rPr>
      </w:pPr>
    </w:p>
    <w:p w14:paraId="2B0CD5C1" w14:textId="77777777" w:rsidR="00A71EEF" w:rsidRDefault="0081115D">
      <w:pPr>
        <w:pStyle w:val="a4"/>
        <w:numPr>
          <w:ilvl w:val="1"/>
          <w:numId w:val="828"/>
        </w:numPr>
        <w:tabs>
          <w:tab w:val="left" w:pos="1159"/>
        </w:tabs>
        <w:ind w:hanging="319"/>
        <w:rPr>
          <w:sz w:val="21"/>
        </w:rPr>
      </w:pPr>
      <w:r>
        <w:rPr>
          <w:spacing w:val="-3"/>
          <w:sz w:val="21"/>
        </w:rPr>
        <w:t>非通信指挥消防车的通信区域及设施要求</w:t>
      </w:r>
      <w:r>
        <w:rPr>
          <w:sz w:val="21"/>
        </w:rPr>
        <w:t xml:space="preserve"> </w:t>
      </w:r>
    </w:p>
    <w:p w14:paraId="267125AE" w14:textId="77777777" w:rsidR="00A71EEF" w:rsidRDefault="00A71EEF">
      <w:pPr>
        <w:pStyle w:val="a3"/>
        <w:rPr>
          <w:sz w:val="18"/>
        </w:rPr>
      </w:pPr>
    </w:p>
    <w:p w14:paraId="5DBF5282" w14:textId="77777777" w:rsidR="00A71EEF" w:rsidRDefault="0081115D">
      <w:pPr>
        <w:pStyle w:val="a4"/>
        <w:numPr>
          <w:ilvl w:val="2"/>
          <w:numId w:val="828"/>
        </w:numPr>
        <w:tabs>
          <w:tab w:val="left" w:pos="1371"/>
        </w:tabs>
        <w:rPr>
          <w:sz w:val="21"/>
        </w:rPr>
      </w:pPr>
      <w:r>
        <w:rPr>
          <w:spacing w:val="-3"/>
          <w:sz w:val="21"/>
        </w:rPr>
        <w:t>位置</w:t>
      </w:r>
      <w:r>
        <w:rPr>
          <w:sz w:val="21"/>
        </w:rPr>
        <w:t xml:space="preserve"> </w:t>
      </w:r>
    </w:p>
    <w:p w14:paraId="0FCD3E50" w14:textId="77777777" w:rsidR="00A71EEF" w:rsidRDefault="00A71EEF">
      <w:pPr>
        <w:pStyle w:val="a3"/>
        <w:spacing w:before="1"/>
        <w:rPr>
          <w:sz w:val="18"/>
        </w:rPr>
      </w:pPr>
    </w:p>
    <w:p w14:paraId="4FDC4AEB" w14:textId="77777777" w:rsidR="00A71EEF" w:rsidRDefault="0081115D">
      <w:pPr>
        <w:pStyle w:val="a4"/>
        <w:numPr>
          <w:ilvl w:val="3"/>
          <w:numId w:val="828"/>
        </w:numPr>
        <w:tabs>
          <w:tab w:val="left" w:pos="1576"/>
        </w:tabs>
        <w:spacing w:before="1"/>
        <w:rPr>
          <w:sz w:val="21"/>
        </w:rPr>
      </w:pPr>
      <w:r>
        <w:rPr>
          <w:spacing w:val="-3"/>
          <w:sz w:val="21"/>
        </w:rPr>
        <w:t>通信区域应位于车辆乘员区域或副驾驶区域。</w:t>
      </w:r>
      <w:r>
        <w:rPr>
          <w:sz w:val="21"/>
        </w:rPr>
        <w:t xml:space="preserve"> </w:t>
      </w:r>
    </w:p>
    <w:p w14:paraId="5132FAA1" w14:textId="77777777" w:rsidR="00A71EEF" w:rsidRDefault="00A71EEF">
      <w:pPr>
        <w:pStyle w:val="a3"/>
        <w:spacing w:before="12"/>
        <w:rPr>
          <w:sz w:val="17"/>
        </w:rPr>
      </w:pPr>
    </w:p>
    <w:p w14:paraId="2BC5C37D" w14:textId="77777777" w:rsidR="00A71EEF" w:rsidRDefault="0081115D">
      <w:pPr>
        <w:pStyle w:val="a4"/>
        <w:numPr>
          <w:ilvl w:val="3"/>
          <w:numId w:val="828"/>
        </w:numPr>
        <w:tabs>
          <w:tab w:val="left" w:pos="1576"/>
        </w:tabs>
        <w:rPr>
          <w:sz w:val="21"/>
        </w:rPr>
      </w:pPr>
      <w:r>
        <w:rPr>
          <w:spacing w:val="-3"/>
          <w:sz w:val="21"/>
        </w:rPr>
        <w:t>通信区域应有一定的专用空间。</w:t>
      </w:r>
      <w:r>
        <w:rPr>
          <w:sz w:val="21"/>
        </w:rPr>
        <w:t xml:space="preserve"> </w:t>
      </w:r>
    </w:p>
    <w:p w14:paraId="5CE95372" w14:textId="77777777" w:rsidR="00A71EEF" w:rsidRDefault="00A71EEF">
      <w:pPr>
        <w:pStyle w:val="a3"/>
        <w:spacing w:before="12"/>
        <w:rPr>
          <w:sz w:val="17"/>
        </w:rPr>
      </w:pPr>
    </w:p>
    <w:p w14:paraId="7E332FBA" w14:textId="77777777" w:rsidR="00A71EEF" w:rsidRDefault="0081115D">
      <w:pPr>
        <w:pStyle w:val="a4"/>
        <w:numPr>
          <w:ilvl w:val="2"/>
          <w:numId w:val="828"/>
        </w:numPr>
        <w:tabs>
          <w:tab w:val="left" w:pos="1370"/>
        </w:tabs>
        <w:ind w:left="1369" w:hanging="530"/>
        <w:rPr>
          <w:sz w:val="21"/>
        </w:rPr>
      </w:pPr>
      <w:r>
        <w:rPr>
          <w:spacing w:val="-3"/>
          <w:sz w:val="21"/>
        </w:rPr>
        <w:t>通信区域的噪音</w:t>
      </w:r>
      <w:r>
        <w:rPr>
          <w:sz w:val="21"/>
        </w:rPr>
        <w:t xml:space="preserve"> </w:t>
      </w:r>
    </w:p>
    <w:p w14:paraId="0CBAE151" w14:textId="77777777" w:rsidR="00A71EEF" w:rsidRDefault="00A71EEF">
      <w:pPr>
        <w:pStyle w:val="a3"/>
        <w:spacing w:before="2"/>
        <w:rPr>
          <w:sz w:val="18"/>
        </w:rPr>
      </w:pPr>
    </w:p>
    <w:p w14:paraId="7862A5E2" w14:textId="77777777" w:rsidR="00A71EEF" w:rsidRDefault="0081115D">
      <w:pPr>
        <w:pStyle w:val="a3"/>
        <w:spacing w:line="446" w:lineRule="auto"/>
        <w:ind w:left="418" w:right="1609" w:firstLine="419"/>
      </w:pPr>
      <w:r>
        <w:t>通信区域的内饰应采用隔、吸音材料。当车辆行驶，其他消防装置处于非工作状态时，关闭警报器时通信区域的噪音应小于</w:t>
      </w:r>
      <w:r>
        <w:t xml:space="preserve"> 85dB</w:t>
      </w:r>
      <w:r>
        <w:t>（</w:t>
      </w:r>
      <w:r>
        <w:t>A</w:t>
      </w:r>
      <w:r>
        <w:t>）。</w:t>
      </w:r>
      <w:r>
        <w:t xml:space="preserve"> </w:t>
      </w:r>
    </w:p>
    <w:p w14:paraId="7B82B78C" w14:textId="77777777" w:rsidR="00A71EEF" w:rsidRDefault="0081115D">
      <w:pPr>
        <w:pStyle w:val="a4"/>
        <w:numPr>
          <w:ilvl w:val="2"/>
          <w:numId w:val="828"/>
        </w:numPr>
        <w:tabs>
          <w:tab w:val="left" w:pos="1370"/>
        </w:tabs>
        <w:spacing w:line="267" w:lineRule="exact"/>
        <w:ind w:left="1369" w:hanging="530"/>
        <w:rPr>
          <w:sz w:val="21"/>
        </w:rPr>
      </w:pPr>
      <w:r>
        <w:rPr>
          <w:spacing w:val="-3"/>
          <w:sz w:val="21"/>
        </w:rPr>
        <w:t>通信区域照明</w:t>
      </w:r>
      <w:r>
        <w:rPr>
          <w:sz w:val="21"/>
        </w:rPr>
        <w:t xml:space="preserve"> </w:t>
      </w:r>
    </w:p>
    <w:p w14:paraId="60C87E27" w14:textId="77777777" w:rsidR="00A71EEF" w:rsidRDefault="00A71EEF">
      <w:pPr>
        <w:pStyle w:val="a3"/>
        <w:spacing w:before="2"/>
        <w:rPr>
          <w:sz w:val="18"/>
        </w:rPr>
      </w:pPr>
    </w:p>
    <w:p w14:paraId="069C8799" w14:textId="77777777" w:rsidR="00A71EEF" w:rsidRDefault="0081115D">
      <w:pPr>
        <w:pStyle w:val="a3"/>
        <w:spacing w:line="446" w:lineRule="auto"/>
        <w:ind w:left="418" w:right="1609" w:firstLine="419"/>
      </w:pPr>
      <w:r>
        <w:t>通信区域应设置能控制区域内照明的开关。供电系统应为消防指挥提供持续的室内照明。副驾驶区域为通信区域时应有独立照明灯的插座。</w:t>
      </w:r>
      <w:r>
        <w:t xml:space="preserve"> </w:t>
      </w:r>
    </w:p>
    <w:p w14:paraId="3E0A9B80" w14:textId="77777777" w:rsidR="00A71EEF" w:rsidRDefault="0081115D">
      <w:pPr>
        <w:pStyle w:val="a4"/>
        <w:numPr>
          <w:ilvl w:val="2"/>
          <w:numId w:val="828"/>
        </w:numPr>
        <w:tabs>
          <w:tab w:val="left" w:pos="1370"/>
        </w:tabs>
        <w:spacing w:line="267" w:lineRule="exact"/>
        <w:ind w:left="1369" w:hanging="530"/>
        <w:rPr>
          <w:sz w:val="21"/>
        </w:rPr>
      </w:pPr>
      <w:r>
        <w:rPr>
          <w:spacing w:val="-3"/>
          <w:sz w:val="21"/>
        </w:rPr>
        <w:t>工作台</w:t>
      </w:r>
      <w:r>
        <w:rPr>
          <w:sz w:val="21"/>
        </w:rPr>
        <w:t xml:space="preserve"> </w:t>
      </w:r>
    </w:p>
    <w:p w14:paraId="37FC49B4" w14:textId="77777777" w:rsidR="00A71EEF" w:rsidRDefault="00A71EEF">
      <w:pPr>
        <w:pStyle w:val="a3"/>
        <w:spacing w:before="2"/>
        <w:rPr>
          <w:sz w:val="18"/>
        </w:rPr>
      </w:pPr>
    </w:p>
    <w:p w14:paraId="64A44DD0" w14:textId="77777777" w:rsidR="00A71EEF" w:rsidRDefault="0081115D">
      <w:pPr>
        <w:pStyle w:val="a3"/>
        <w:spacing w:line="446" w:lineRule="auto"/>
        <w:ind w:left="840" w:right="4657" w:hanging="3"/>
      </w:pPr>
      <w:r>
        <w:t>通信区城有工作台时，工作台应平坦，无尖锐的边角。</w:t>
      </w:r>
      <w:r>
        <w:rPr>
          <w:b/>
        </w:rPr>
        <w:t xml:space="preserve">5.9.5 </w:t>
      </w:r>
      <w:r>
        <w:t>通信区域座椅</w:t>
      </w:r>
      <w:r>
        <w:t xml:space="preserve"> </w:t>
      </w:r>
    </w:p>
    <w:p w14:paraId="0E4A1316" w14:textId="77777777" w:rsidR="00A71EEF" w:rsidRDefault="0081115D">
      <w:pPr>
        <w:pStyle w:val="a3"/>
        <w:spacing w:line="446" w:lineRule="auto"/>
        <w:ind w:left="840" w:right="1505" w:hanging="3"/>
      </w:pPr>
      <w:r>
        <w:t>通信区域座椅可为固定式，也可为非固定式。当为非固定时，应有座椅的储存固定空间。</w:t>
      </w:r>
      <w:r>
        <w:rPr>
          <w:b/>
        </w:rPr>
        <w:t xml:space="preserve">5.9.6 </w:t>
      </w:r>
      <w:r>
        <w:t>设施的储存</w:t>
      </w:r>
      <w:r>
        <w:t xml:space="preserve"> </w:t>
      </w:r>
    </w:p>
    <w:p w14:paraId="4ACAE365" w14:textId="77777777" w:rsidR="00A71EEF" w:rsidRDefault="0081115D">
      <w:pPr>
        <w:pStyle w:val="a4"/>
        <w:numPr>
          <w:ilvl w:val="3"/>
          <w:numId w:val="827"/>
        </w:numPr>
        <w:tabs>
          <w:tab w:val="left" w:pos="1576"/>
        </w:tabs>
        <w:rPr>
          <w:sz w:val="21"/>
        </w:rPr>
      </w:pPr>
      <w:r>
        <w:rPr>
          <w:spacing w:val="-3"/>
          <w:sz w:val="21"/>
        </w:rPr>
        <w:t>为通信设施设置的箱柜应能合理的容纳设备，并能为</w:t>
      </w:r>
      <w:r>
        <w:rPr>
          <w:spacing w:val="-3"/>
          <w:sz w:val="21"/>
        </w:rPr>
        <w:t>设备提供保护。</w:t>
      </w:r>
      <w:r>
        <w:rPr>
          <w:spacing w:val="-3"/>
          <w:sz w:val="21"/>
        </w:rPr>
        <w:t xml:space="preserve"> </w:t>
      </w:r>
    </w:p>
    <w:p w14:paraId="64828091" w14:textId="77777777" w:rsidR="00A71EEF" w:rsidRDefault="00A71EEF">
      <w:pPr>
        <w:pStyle w:val="a3"/>
        <w:spacing w:before="10"/>
        <w:rPr>
          <w:sz w:val="17"/>
        </w:rPr>
      </w:pPr>
    </w:p>
    <w:p w14:paraId="7D8B2392" w14:textId="77777777" w:rsidR="00A71EEF" w:rsidRDefault="0081115D">
      <w:pPr>
        <w:pStyle w:val="a4"/>
        <w:numPr>
          <w:ilvl w:val="3"/>
          <w:numId w:val="827"/>
        </w:numPr>
        <w:tabs>
          <w:tab w:val="left" w:pos="1576"/>
        </w:tabs>
        <w:rPr>
          <w:sz w:val="21"/>
        </w:rPr>
      </w:pPr>
      <w:r>
        <w:rPr>
          <w:spacing w:val="-3"/>
          <w:sz w:val="21"/>
        </w:rPr>
        <w:t>箱柜门上的锁止机构或插销装置在车辆运行或不使用设备期间应处于关闭状态。</w:t>
      </w:r>
      <w:r>
        <w:rPr>
          <w:sz w:val="21"/>
        </w:rPr>
        <w:t xml:space="preserve"> </w:t>
      </w:r>
    </w:p>
    <w:p w14:paraId="5DE0A3A1" w14:textId="77777777" w:rsidR="00A71EEF" w:rsidRDefault="00A71EEF">
      <w:pPr>
        <w:pStyle w:val="a3"/>
        <w:spacing w:before="2"/>
        <w:rPr>
          <w:sz w:val="18"/>
        </w:rPr>
      </w:pPr>
    </w:p>
    <w:p w14:paraId="0DF2409E" w14:textId="77777777" w:rsidR="00A71EEF" w:rsidRDefault="0081115D">
      <w:pPr>
        <w:pStyle w:val="a4"/>
        <w:numPr>
          <w:ilvl w:val="2"/>
          <w:numId w:val="826"/>
        </w:numPr>
        <w:tabs>
          <w:tab w:val="left" w:pos="1371"/>
        </w:tabs>
        <w:rPr>
          <w:sz w:val="21"/>
        </w:rPr>
      </w:pPr>
      <w:r>
        <w:rPr>
          <w:spacing w:val="-3"/>
          <w:sz w:val="21"/>
        </w:rPr>
        <w:t>通信设备</w:t>
      </w:r>
      <w:r>
        <w:rPr>
          <w:sz w:val="21"/>
        </w:rPr>
        <w:t xml:space="preserve"> </w:t>
      </w:r>
    </w:p>
    <w:p w14:paraId="21A59ACF" w14:textId="77777777" w:rsidR="00A71EEF" w:rsidRDefault="00A71EEF">
      <w:pPr>
        <w:pStyle w:val="a3"/>
        <w:rPr>
          <w:sz w:val="18"/>
        </w:rPr>
      </w:pPr>
    </w:p>
    <w:p w14:paraId="6930AD85" w14:textId="77777777" w:rsidR="00A71EEF" w:rsidRDefault="0081115D">
      <w:pPr>
        <w:pStyle w:val="a4"/>
        <w:numPr>
          <w:ilvl w:val="3"/>
          <w:numId w:val="826"/>
        </w:numPr>
        <w:tabs>
          <w:tab w:val="left" w:pos="1576"/>
        </w:tabs>
        <w:rPr>
          <w:sz w:val="21"/>
        </w:rPr>
      </w:pPr>
      <w:r>
        <w:rPr>
          <w:spacing w:val="-8"/>
          <w:sz w:val="21"/>
        </w:rPr>
        <w:t>通信系统的设计应符合</w:t>
      </w:r>
      <w:r>
        <w:rPr>
          <w:spacing w:val="-8"/>
          <w:sz w:val="21"/>
        </w:rPr>
        <w:t xml:space="preserve"> </w:t>
      </w:r>
      <w:r>
        <w:rPr>
          <w:sz w:val="21"/>
        </w:rPr>
        <w:t>GB</w:t>
      </w:r>
      <w:r>
        <w:rPr>
          <w:spacing w:val="-2"/>
          <w:sz w:val="21"/>
        </w:rPr>
        <w:t xml:space="preserve"> </w:t>
      </w:r>
      <w:r>
        <w:rPr>
          <w:sz w:val="21"/>
        </w:rPr>
        <w:t>50313</w:t>
      </w:r>
      <w:r>
        <w:rPr>
          <w:spacing w:val="-13"/>
          <w:sz w:val="21"/>
        </w:rPr>
        <w:t xml:space="preserve"> </w:t>
      </w:r>
      <w:r>
        <w:rPr>
          <w:spacing w:val="-13"/>
          <w:sz w:val="21"/>
        </w:rPr>
        <w:t>的要求。</w:t>
      </w:r>
      <w:r>
        <w:rPr>
          <w:sz w:val="21"/>
        </w:rPr>
        <w:t xml:space="preserve"> </w:t>
      </w:r>
    </w:p>
    <w:p w14:paraId="0B7DBB9C" w14:textId="77777777" w:rsidR="00A71EEF" w:rsidRDefault="00A71EEF">
      <w:pPr>
        <w:pStyle w:val="a3"/>
        <w:spacing w:before="12"/>
        <w:rPr>
          <w:sz w:val="17"/>
        </w:rPr>
      </w:pPr>
    </w:p>
    <w:p w14:paraId="7192FF8C" w14:textId="77777777" w:rsidR="00A71EEF" w:rsidRDefault="0081115D">
      <w:pPr>
        <w:pStyle w:val="a4"/>
        <w:numPr>
          <w:ilvl w:val="3"/>
          <w:numId w:val="826"/>
        </w:numPr>
        <w:tabs>
          <w:tab w:val="left" w:pos="1576"/>
        </w:tabs>
        <w:spacing w:line="446" w:lineRule="auto"/>
        <w:ind w:left="418" w:right="1818" w:firstLine="419"/>
        <w:rPr>
          <w:sz w:val="21"/>
        </w:rPr>
      </w:pPr>
      <w:r>
        <w:rPr>
          <w:spacing w:val="-3"/>
          <w:sz w:val="21"/>
        </w:rPr>
        <w:t>当采用乘员室和驾驶室分隔设置，就指挥中心设在车身内时，应有车内通话设施。</w:t>
      </w:r>
      <w:r>
        <w:rPr>
          <w:sz w:val="21"/>
        </w:rPr>
        <w:t xml:space="preserve"> </w:t>
      </w:r>
    </w:p>
    <w:p w14:paraId="2F62A0AF" w14:textId="77777777" w:rsidR="00A71EEF" w:rsidRDefault="0081115D">
      <w:pPr>
        <w:pStyle w:val="a4"/>
        <w:numPr>
          <w:ilvl w:val="3"/>
          <w:numId w:val="826"/>
        </w:numPr>
        <w:tabs>
          <w:tab w:val="left" w:pos="1576"/>
        </w:tabs>
        <w:rPr>
          <w:sz w:val="21"/>
        </w:rPr>
      </w:pPr>
      <w:r>
        <w:rPr>
          <w:spacing w:val="-3"/>
          <w:sz w:val="21"/>
        </w:rPr>
        <w:t>配置无线通信装置或控制台时。应有防振、防撞击等安全保护措施。</w:t>
      </w:r>
      <w:r>
        <w:rPr>
          <w:spacing w:val="-3"/>
          <w:sz w:val="21"/>
        </w:rPr>
        <w:t xml:space="preserve"> </w:t>
      </w:r>
    </w:p>
    <w:p w14:paraId="75BB391B" w14:textId="77777777" w:rsidR="00A71EEF" w:rsidRDefault="00A71EEF">
      <w:pPr>
        <w:pStyle w:val="a3"/>
        <w:rPr>
          <w:sz w:val="18"/>
        </w:rPr>
      </w:pPr>
    </w:p>
    <w:p w14:paraId="2A8AB15A" w14:textId="77777777" w:rsidR="00A71EEF" w:rsidRDefault="0081115D">
      <w:pPr>
        <w:pStyle w:val="a4"/>
        <w:numPr>
          <w:ilvl w:val="2"/>
          <w:numId w:val="826"/>
        </w:numPr>
        <w:tabs>
          <w:tab w:val="left" w:pos="1370"/>
        </w:tabs>
        <w:ind w:left="1369" w:hanging="530"/>
        <w:rPr>
          <w:sz w:val="21"/>
        </w:rPr>
      </w:pPr>
      <w:r>
        <w:rPr>
          <w:spacing w:val="-3"/>
          <w:sz w:val="21"/>
        </w:rPr>
        <w:t>计算机和设备的安装</w:t>
      </w:r>
      <w:r>
        <w:rPr>
          <w:spacing w:val="-3"/>
          <w:sz w:val="21"/>
        </w:rPr>
        <w:t xml:space="preserve"> </w:t>
      </w:r>
    </w:p>
    <w:p w14:paraId="25C29CF1" w14:textId="77777777" w:rsidR="00A71EEF" w:rsidRDefault="00A71EEF">
      <w:pPr>
        <w:pStyle w:val="a3"/>
        <w:spacing w:before="2"/>
        <w:rPr>
          <w:sz w:val="18"/>
        </w:rPr>
      </w:pPr>
    </w:p>
    <w:p w14:paraId="360B9BD3" w14:textId="77777777" w:rsidR="00A71EEF" w:rsidRDefault="0081115D">
      <w:pPr>
        <w:pStyle w:val="a4"/>
        <w:numPr>
          <w:ilvl w:val="3"/>
          <w:numId w:val="826"/>
        </w:numPr>
        <w:tabs>
          <w:tab w:val="left" w:pos="1576"/>
        </w:tabs>
        <w:rPr>
          <w:sz w:val="21"/>
        </w:rPr>
      </w:pPr>
      <w:r>
        <w:rPr>
          <w:spacing w:val="-3"/>
          <w:sz w:val="21"/>
        </w:rPr>
        <w:t>车辆结构空间有限时，应选用笔记本计算机。</w:t>
      </w:r>
      <w:r>
        <w:rPr>
          <w:sz w:val="21"/>
        </w:rPr>
        <w:t xml:space="preserve"> </w:t>
      </w:r>
    </w:p>
    <w:p w14:paraId="7665B20F" w14:textId="77777777" w:rsidR="00A71EEF" w:rsidRDefault="00A71EEF">
      <w:pPr>
        <w:pStyle w:val="a3"/>
        <w:rPr>
          <w:sz w:val="18"/>
        </w:rPr>
      </w:pPr>
    </w:p>
    <w:p w14:paraId="366CE36F" w14:textId="77777777" w:rsidR="00A71EEF" w:rsidRDefault="0081115D">
      <w:pPr>
        <w:pStyle w:val="a4"/>
        <w:numPr>
          <w:ilvl w:val="3"/>
          <w:numId w:val="826"/>
        </w:numPr>
        <w:tabs>
          <w:tab w:val="left" w:pos="1576"/>
        </w:tabs>
        <w:spacing w:line="446" w:lineRule="auto"/>
        <w:ind w:left="418" w:right="1609" w:firstLine="419"/>
        <w:rPr>
          <w:sz w:val="21"/>
        </w:rPr>
      </w:pPr>
      <w:r>
        <w:rPr>
          <w:spacing w:val="-3"/>
          <w:sz w:val="21"/>
        </w:rPr>
        <w:t>在为计算机设备提供的外供电源接口处应设有指示标牌，并在标牌上注明电源的电压及电流强度。</w:t>
      </w:r>
      <w:r>
        <w:rPr>
          <w:sz w:val="21"/>
        </w:rPr>
        <w:t xml:space="preserve"> </w:t>
      </w:r>
    </w:p>
    <w:p w14:paraId="0A5DE814" w14:textId="77777777" w:rsidR="00A71EEF" w:rsidRDefault="0081115D">
      <w:pPr>
        <w:pStyle w:val="a4"/>
        <w:numPr>
          <w:ilvl w:val="3"/>
          <w:numId w:val="826"/>
        </w:numPr>
        <w:tabs>
          <w:tab w:val="left" w:pos="1576"/>
        </w:tabs>
        <w:rPr>
          <w:sz w:val="21"/>
        </w:rPr>
      </w:pPr>
      <w:r>
        <w:rPr>
          <w:spacing w:val="-3"/>
          <w:sz w:val="21"/>
        </w:rPr>
        <w:t>计算机设备安装时应有防震</w:t>
      </w:r>
      <w:r>
        <w:rPr>
          <w:spacing w:val="-3"/>
          <w:sz w:val="21"/>
        </w:rPr>
        <w:t xml:space="preserve"> </w:t>
      </w:r>
      <w:r>
        <w:rPr>
          <w:spacing w:val="-3"/>
          <w:sz w:val="21"/>
        </w:rPr>
        <w:t>、防机械损伤的措施。</w:t>
      </w:r>
      <w:r>
        <w:rPr>
          <w:sz w:val="21"/>
        </w:rPr>
        <w:t xml:space="preserve"> </w:t>
      </w:r>
    </w:p>
    <w:p w14:paraId="4F9CF712" w14:textId="77777777" w:rsidR="00A71EEF" w:rsidRDefault="00A71EEF">
      <w:pPr>
        <w:rPr>
          <w:sz w:val="21"/>
        </w:rPr>
        <w:sectPr w:rsidR="00A71EEF">
          <w:pgSz w:w="11910" w:h="16850"/>
          <w:pgMar w:top="1220" w:right="0" w:bottom="1420" w:left="1260" w:header="0" w:footer="1239" w:gutter="0"/>
          <w:cols w:space="720"/>
        </w:sectPr>
      </w:pPr>
    </w:p>
    <w:p w14:paraId="53BF4308" w14:textId="77777777" w:rsidR="00A71EEF" w:rsidRDefault="0081115D">
      <w:pPr>
        <w:pStyle w:val="a4"/>
        <w:numPr>
          <w:ilvl w:val="2"/>
          <w:numId w:val="826"/>
        </w:numPr>
        <w:tabs>
          <w:tab w:val="left" w:pos="1370"/>
        </w:tabs>
        <w:spacing w:before="47"/>
        <w:ind w:left="1369" w:hanging="530"/>
        <w:rPr>
          <w:sz w:val="21"/>
        </w:rPr>
      </w:pPr>
      <w:r>
        <w:rPr>
          <w:spacing w:val="-3"/>
          <w:sz w:val="21"/>
        </w:rPr>
        <w:lastRenderedPageBreak/>
        <w:t>显示设备及安装</w:t>
      </w:r>
      <w:r>
        <w:rPr>
          <w:sz w:val="21"/>
        </w:rPr>
        <w:t xml:space="preserve"> </w:t>
      </w:r>
    </w:p>
    <w:p w14:paraId="6B7B6D69" w14:textId="77777777" w:rsidR="00A71EEF" w:rsidRDefault="00A71EEF">
      <w:pPr>
        <w:pStyle w:val="a3"/>
        <w:rPr>
          <w:sz w:val="18"/>
        </w:rPr>
      </w:pPr>
    </w:p>
    <w:p w14:paraId="7921375F" w14:textId="77777777" w:rsidR="00A71EEF" w:rsidRDefault="0081115D">
      <w:pPr>
        <w:pStyle w:val="a4"/>
        <w:numPr>
          <w:ilvl w:val="3"/>
          <w:numId w:val="826"/>
        </w:numPr>
        <w:tabs>
          <w:tab w:val="left" w:pos="1576"/>
        </w:tabs>
        <w:rPr>
          <w:sz w:val="21"/>
        </w:rPr>
      </w:pPr>
      <w:r>
        <w:rPr>
          <w:spacing w:val="-3"/>
          <w:sz w:val="21"/>
        </w:rPr>
        <w:t>安装在车辆上的显示设备应满足车辆的运行环境。</w:t>
      </w:r>
      <w:r>
        <w:rPr>
          <w:sz w:val="21"/>
        </w:rPr>
        <w:t xml:space="preserve"> </w:t>
      </w:r>
    </w:p>
    <w:p w14:paraId="0A563CD0" w14:textId="77777777" w:rsidR="00A71EEF" w:rsidRDefault="00A71EEF">
      <w:pPr>
        <w:pStyle w:val="a3"/>
        <w:rPr>
          <w:sz w:val="18"/>
        </w:rPr>
      </w:pPr>
    </w:p>
    <w:p w14:paraId="2967B06F" w14:textId="77777777" w:rsidR="00A71EEF" w:rsidRDefault="0081115D">
      <w:pPr>
        <w:pStyle w:val="a4"/>
        <w:numPr>
          <w:ilvl w:val="3"/>
          <w:numId w:val="826"/>
        </w:numPr>
        <w:tabs>
          <w:tab w:val="left" w:pos="1576"/>
        </w:tabs>
        <w:rPr>
          <w:sz w:val="21"/>
        </w:rPr>
      </w:pPr>
      <w:r>
        <w:rPr>
          <w:spacing w:val="-3"/>
          <w:sz w:val="21"/>
        </w:rPr>
        <w:t>显示设备应储存在封闭的箱柜内，柜内四周应用衬垫加以保护，防止机械损伤。</w:t>
      </w:r>
      <w:r>
        <w:rPr>
          <w:sz w:val="21"/>
        </w:rPr>
        <w:t xml:space="preserve"> </w:t>
      </w:r>
    </w:p>
    <w:p w14:paraId="09E866FF" w14:textId="77777777" w:rsidR="00A71EEF" w:rsidRDefault="00A71EEF">
      <w:pPr>
        <w:pStyle w:val="a3"/>
        <w:spacing w:before="1"/>
        <w:rPr>
          <w:sz w:val="18"/>
        </w:rPr>
      </w:pPr>
    </w:p>
    <w:p w14:paraId="33C401DB" w14:textId="77777777" w:rsidR="00A71EEF" w:rsidRDefault="0081115D">
      <w:pPr>
        <w:pStyle w:val="a4"/>
        <w:numPr>
          <w:ilvl w:val="3"/>
          <w:numId w:val="826"/>
        </w:numPr>
        <w:tabs>
          <w:tab w:val="left" w:pos="1576"/>
        </w:tabs>
        <w:spacing w:before="1"/>
        <w:rPr>
          <w:sz w:val="21"/>
        </w:rPr>
      </w:pPr>
      <w:r>
        <w:rPr>
          <w:spacing w:val="-3"/>
          <w:sz w:val="21"/>
        </w:rPr>
        <w:t>配有显示监控器时，应安装于既能方便观察，又不会受到损伤的地方。</w:t>
      </w:r>
      <w:r>
        <w:rPr>
          <w:spacing w:val="-3"/>
          <w:sz w:val="21"/>
        </w:rPr>
        <w:t xml:space="preserve"> </w:t>
      </w:r>
    </w:p>
    <w:p w14:paraId="0187F166" w14:textId="77777777" w:rsidR="00A71EEF" w:rsidRDefault="00A71EEF">
      <w:pPr>
        <w:pStyle w:val="a3"/>
        <w:spacing w:before="12"/>
        <w:rPr>
          <w:sz w:val="17"/>
        </w:rPr>
      </w:pPr>
    </w:p>
    <w:p w14:paraId="57448A6E" w14:textId="77777777" w:rsidR="00A71EEF" w:rsidRDefault="0081115D">
      <w:pPr>
        <w:pStyle w:val="a4"/>
        <w:numPr>
          <w:ilvl w:val="3"/>
          <w:numId w:val="826"/>
        </w:numPr>
        <w:tabs>
          <w:tab w:val="left" w:pos="1576"/>
        </w:tabs>
        <w:rPr>
          <w:sz w:val="21"/>
        </w:rPr>
      </w:pPr>
      <w:r>
        <w:rPr>
          <w:spacing w:val="-3"/>
          <w:sz w:val="21"/>
        </w:rPr>
        <w:t>显示设备为外部安装时，应按照显示设备外部安装要求安装固定支架。</w:t>
      </w:r>
      <w:r>
        <w:rPr>
          <w:spacing w:val="-3"/>
          <w:sz w:val="21"/>
        </w:rPr>
        <w:t xml:space="preserve"> </w:t>
      </w:r>
    </w:p>
    <w:p w14:paraId="7B7F7686" w14:textId="77777777" w:rsidR="00A71EEF" w:rsidRDefault="00A71EEF">
      <w:pPr>
        <w:pStyle w:val="a3"/>
        <w:spacing w:before="12"/>
        <w:rPr>
          <w:sz w:val="17"/>
        </w:rPr>
      </w:pPr>
    </w:p>
    <w:p w14:paraId="63F2F2CE" w14:textId="77777777" w:rsidR="00A71EEF" w:rsidRDefault="0081115D">
      <w:pPr>
        <w:pStyle w:val="6"/>
        <w:numPr>
          <w:ilvl w:val="1"/>
          <w:numId w:val="828"/>
        </w:numPr>
        <w:tabs>
          <w:tab w:val="left" w:pos="1264"/>
        </w:tabs>
        <w:ind w:left="1263" w:hanging="424"/>
      </w:pPr>
      <w:r>
        <w:rPr>
          <w:spacing w:val="-1"/>
        </w:rPr>
        <w:t>车身、器材箱</w:t>
      </w:r>
      <w:r>
        <w:rPr>
          <w:spacing w:val="-1"/>
          <w:w w:val="99"/>
        </w:rPr>
        <w:t xml:space="preserve"> </w:t>
      </w:r>
    </w:p>
    <w:p w14:paraId="7A59BA0D" w14:textId="77777777" w:rsidR="00A71EEF" w:rsidRDefault="00A71EEF">
      <w:pPr>
        <w:pStyle w:val="a3"/>
        <w:spacing w:before="2"/>
        <w:rPr>
          <w:b/>
          <w:sz w:val="18"/>
        </w:rPr>
      </w:pPr>
    </w:p>
    <w:p w14:paraId="5F43702B" w14:textId="77777777" w:rsidR="00A71EEF" w:rsidRDefault="0081115D">
      <w:pPr>
        <w:pStyle w:val="a4"/>
        <w:numPr>
          <w:ilvl w:val="2"/>
          <w:numId w:val="828"/>
        </w:numPr>
        <w:tabs>
          <w:tab w:val="left" w:pos="1478"/>
        </w:tabs>
        <w:ind w:left="1477" w:hanging="638"/>
        <w:rPr>
          <w:sz w:val="21"/>
        </w:rPr>
      </w:pPr>
      <w:r>
        <w:rPr>
          <w:spacing w:val="-3"/>
          <w:sz w:val="21"/>
        </w:rPr>
        <w:t>基本要求</w:t>
      </w:r>
      <w:r>
        <w:rPr>
          <w:sz w:val="21"/>
        </w:rPr>
        <w:t xml:space="preserve"> </w:t>
      </w:r>
    </w:p>
    <w:p w14:paraId="39330DBE" w14:textId="77777777" w:rsidR="00A71EEF" w:rsidRDefault="00A71EEF">
      <w:pPr>
        <w:pStyle w:val="a3"/>
        <w:rPr>
          <w:sz w:val="18"/>
        </w:rPr>
      </w:pPr>
    </w:p>
    <w:p w14:paraId="76A30FFB" w14:textId="77777777" w:rsidR="00A71EEF" w:rsidRDefault="0081115D">
      <w:pPr>
        <w:pStyle w:val="a4"/>
        <w:numPr>
          <w:ilvl w:val="3"/>
          <w:numId w:val="828"/>
        </w:numPr>
        <w:tabs>
          <w:tab w:val="left" w:pos="1682"/>
        </w:tabs>
        <w:spacing w:line="446" w:lineRule="auto"/>
        <w:ind w:left="418" w:right="1505" w:firstLine="419"/>
        <w:rPr>
          <w:sz w:val="21"/>
        </w:rPr>
      </w:pPr>
      <w:r>
        <w:rPr>
          <w:spacing w:val="-3"/>
          <w:sz w:val="21"/>
        </w:rPr>
        <w:t>在车身外部、内部和厢体，操作者可能触及的任何部件、构件等都不应有任何使人致伤的尖锐突出物或锐利边缘。</w:t>
      </w:r>
      <w:r>
        <w:rPr>
          <w:sz w:val="21"/>
        </w:rPr>
        <w:t xml:space="preserve"> </w:t>
      </w:r>
    </w:p>
    <w:p w14:paraId="68A907D8" w14:textId="77777777" w:rsidR="00A71EEF" w:rsidRDefault="0081115D">
      <w:pPr>
        <w:pStyle w:val="a4"/>
        <w:numPr>
          <w:ilvl w:val="3"/>
          <w:numId w:val="828"/>
        </w:numPr>
        <w:tabs>
          <w:tab w:val="left" w:pos="1682"/>
        </w:tabs>
        <w:spacing w:line="446" w:lineRule="auto"/>
        <w:ind w:left="418" w:right="1611" w:firstLine="419"/>
        <w:rPr>
          <w:sz w:val="21"/>
        </w:rPr>
      </w:pPr>
      <w:r>
        <w:rPr>
          <w:spacing w:val="-3"/>
          <w:sz w:val="21"/>
        </w:rPr>
        <w:t>车身各门、工作平台、抽屉式储物柜</w:t>
      </w:r>
      <w:r>
        <w:rPr>
          <w:spacing w:val="-3"/>
          <w:sz w:val="21"/>
        </w:rPr>
        <w:t xml:space="preserve"> </w:t>
      </w:r>
      <w:r>
        <w:rPr>
          <w:spacing w:val="-3"/>
          <w:sz w:val="21"/>
        </w:rPr>
        <w:t>、抽拉拖板、翻转架、活动踏板等物件伸</w:t>
      </w:r>
      <w:r>
        <w:rPr>
          <w:spacing w:val="-10"/>
          <w:sz w:val="21"/>
        </w:rPr>
        <w:t>出车身之外超过</w:t>
      </w:r>
      <w:r>
        <w:rPr>
          <w:spacing w:val="-10"/>
          <w:sz w:val="21"/>
        </w:rPr>
        <w:t xml:space="preserve"> </w:t>
      </w:r>
      <w:r>
        <w:rPr>
          <w:sz w:val="21"/>
        </w:rPr>
        <w:t>450mm</w:t>
      </w:r>
      <w:r>
        <w:rPr>
          <w:spacing w:val="-9"/>
          <w:sz w:val="21"/>
        </w:rPr>
        <w:t xml:space="preserve"> </w:t>
      </w:r>
      <w:r>
        <w:rPr>
          <w:spacing w:val="-9"/>
          <w:sz w:val="21"/>
        </w:rPr>
        <w:t>时，应有明显的标示。</w:t>
      </w:r>
      <w:r>
        <w:rPr>
          <w:sz w:val="21"/>
        </w:rPr>
        <w:t xml:space="preserve"> </w:t>
      </w:r>
    </w:p>
    <w:p w14:paraId="379EC675" w14:textId="77777777" w:rsidR="00A71EEF" w:rsidRDefault="0081115D">
      <w:pPr>
        <w:pStyle w:val="a4"/>
        <w:numPr>
          <w:ilvl w:val="3"/>
          <w:numId w:val="828"/>
        </w:numPr>
        <w:tabs>
          <w:tab w:val="left" w:pos="1682"/>
        </w:tabs>
        <w:spacing w:line="267" w:lineRule="exact"/>
        <w:ind w:left="1681" w:hanging="844"/>
        <w:rPr>
          <w:sz w:val="21"/>
        </w:rPr>
      </w:pPr>
      <w:r>
        <w:rPr>
          <w:spacing w:val="-3"/>
          <w:sz w:val="21"/>
        </w:rPr>
        <w:t>随车器材应按轻、小的器材放置上面，重、大的器材放置下面的原则进行摆放。</w:t>
      </w:r>
      <w:r>
        <w:rPr>
          <w:sz w:val="21"/>
        </w:rPr>
        <w:t xml:space="preserve"> </w:t>
      </w:r>
    </w:p>
    <w:p w14:paraId="613039F0" w14:textId="77777777" w:rsidR="00A71EEF" w:rsidRDefault="00A71EEF">
      <w:pPr>
        <w:pStyle w:val="a3"/>
        <w:spacing w:before="2"/>
        <w:rPr>
          <w:sz w:val="18"/>
        </w:rPr>
      </w:pPr>
    </w:p>
    <w:p w14:paraId="122B9850" w14:textId="77777777" w:rsidR="00A71EEF" w:rsidRDefault="0081115D">
      <w:pPr>
        <w:pStyle w:val="a4"/>
        <w:numPr>
          <w:ilvl w:val="3"/>
          <w:numId w:val="828"/>
        </w:numPr>
        <w:tabs>
          <w:tab w:val="left" w:pos="1682"/>
        </w:tabs>
        <w:ind w:left="1681" w:hanging="844"/>
        <w:rPr>
          <w:sz w:val="21"/>
        </w:rPr>
      </w:pPr>
      <w:r>
        <w:rPr>
          <w:spacing w:val="-3"/>
          <w:sz w:val="21"/>
        </w:rPr>
        <w:t>同类或相关的器材应摆放在同一器材箱内或相邻的器材箱内。</w:t>
      </w:r>
      <w:r>
        <w:rPr>
          <w:sz w:val="21"/>
        </w:rPr>
        <w:t xml:space="preserve"> </w:t>
      </w:r>
    </w:p>
    <w:p w14:paraId="2D7EECA9" w14:textId="77777777" w:rsidR="00A71EEF" w:rsidRDefault="00A71EEF">
      <w:pPr>
        <w:pStyle w:val="a3"/>
        <w:rPr>
          <w:sz w:val="18"/>
        </w:rPr>
      </w:pPr>
    </w:p>
    <w:p w14:paraId="7949E0B0" w14:textId="77777777" w:rsidR="00A71EEF" w:rsidRDefault="0081115D">
      <w:pPr>
        <w:pStyle w:val="a4"/>
        <w:numPr>
          <w:ilvl w:val="3"/>
          <w:numId w:val="828"/>
        </w:numPr>
        <w:tabs>
          <w:tab w:val="left" w:pos="1682"/>
        </w:tabs>
        <w:ind w:left="1681" w:hanging="844"/>
        <w:rPr>
          <w:sz w:val="21"/>
        </w:rPr>
      </w:pPr>
      <w:r>
        <w:rPr>
          <w:spacing w:val="-3"/>
          <w:sz w:val="21"/>
        </w:rPr>
        <w:t>随车器材应固定可靠，取用方便，器材的抽拉柜、台和旋转架的工作应可靠。</w:t>
      </w:r>
      <w:r>
        <w:rPr>
          <w:spacing w:val="-3"/>
          <w:sz w:val="21"/>
        </w:rPr>
        <w:t xml:space="preserve"> </w:t>
      </w:r>
    </w:p>
    <w:p w14:paraId="223DC337" w14:textId="77777777" w:rsidR="00A71EEF" w:rsidRDefault="00A71EEF">
      <w:pPr>
        <w:pStyle w:val="a3"/>
        <w:spacing w:before="12"/>
        <w:rPr>
          <w:sz w:val="17"/>
        </w:rPr>
      </w:pPr>
    </w:p>
    <w:p w14:paraId="3676D173" w14:textId="77777777" w:rsidR="00A71EEF" w:rsidRDefault="0081115D">
      <w:pPr>
        <w:pStyle w:val="a4"/>
        <w:numPr>
          <w:ilvl w:val="2"/>
          <w:numId w:val="828"/>
        </w:numPr>
        <w:tabs>
          <w:tab w:val="left" w:pos="1478"/>
        </w:tabs>
        <w:ind w:left="1477" w:hanging="638"/>
        <w:rPr>
          <w:sz w:val="21"/>
        </w:rPr>
      </w:pPr>
      <w:r>
        <w:rPr>
          <w:spacing w:val="-3"/>
          <w:sz w:val="21"/>
        </w:rPr>
        <w:t>器材箱</w:t>
      </w:r>
      <w:r>
        <w:rPr>
          <w:sz w:val="21"/>
        </w:rPr>
        <w:t xml:space="preserve"> </w:t>
      </w:r>
    </w:p>
    <w:p w14:paraId="074DF2A9" w14:textId="77777777" w:rsidR="00A71EEF" w:rsidRDefault="00A71EEF">
      <w:pPr>
        <w:pStyle w:val="a3"/>
        <w:spacing w:before="2"/>
        <w:rPr>
          <w:sz w:val="18"/>
        </w:rPr>
      </w:pPr>
    </w:p>
    <w:p w14:paraId="5462F49E" w14:textId="77777777" w:rsidR="00A71EEF" w:rsidRDefault="0081115D">
      <w:pPr>
        <w:pStyle w:val="a4"/>
        <w:numPr>
          <w:ilvl w:val="3"/>
          <w:numId w:val="828"/>
        </w:numPr>
        <w:tabs>
          <w:tab w:val="left" w:pos="1682"/>
        </w:tabs>
        <w:ind w:left="1681" w:hanging="844"/>
        <w:rPr>
          <w:sz w:val="21"/>
        </w:rPr>
      </w:pPr>
      <w:r>
        <w:rPr>
          <w:spacing w:val="-3"/>
          <w:sz w:val="21"/>
        </w:rPr>
        <w:t>箱体应采用耐腐蚀性材料制成或表面经防腐处理。</w:t>
      </w:r>
      <w:r>
        <w:rPr>
          <w:sz w:val="21"/>
        </w:rPr>
        <w:t xml:space="preserve"> </w:t>
      </w:r>
    </w:p>
    <w:p w14:paraId="734F2637" w14:textId="77777777" w:rsidR="00A71EEF" w:rsidRDefault="00A71EEF">
      <w:pPr>
        <w:pStyle w:val="a3"/>
        <w:rPr>
          <w:sz w:val="18"/>
        </w:rPr>
      </w:pPr>
    </w:p>
    <w:p w14:paraId="3E79FD7F" w14:textId="77777777" w:rsidR="00A71EEF" w:rsidRDefault="0081115D">
      <w:pPr>
        <w:pStyle w:val="a4"/>
        <w:numPr>
          <w:ilvl w:val="3"/>
          <w:numId w:val="828"/>
        </w:numPr>
        <w:tabs>
          <w:tab w:val="left" w:pos="1682"/>
        </w:tabs>
        <w:spacing w:line="446" w:lineRule="auto"/>
        <w:ind w:left="418" w:right="1505" w:firstLine="419"/>
        <w:rPr>
          <w:sz w:val="21"/>
        </w:rPr>
      </w:pPr>
      <w:r>
        <w:rPr>
          <w:spacing w:val="-3"/>
          <w:sz w:val="21"/>
        </w:rPr>
        <w:t>可形成电化学腐蚀或抗电性的不同金属材料零部件或构件装在一起时，在两种材料间应采用隔离措施，以防止其发生腐蚀反应。</w:t>
      </w:r>
      <w:r>
        <w:rPr>
          <w:sz w:val="21"/>
        </w:rPr>
        <w:t xml:space="preserve"> </w:t>
      </w:r>
    </w:p>
    <w:p w14:paraId="68FED22B" w14:textId="77777777" w:rsidR="00A71EEF" w:rsidRDefault="0081115D">
      <w:pPr>
        <w:pStyle w:val="a4"/>
        <w:numPr>
          <w:ilvl w:val="3"/>
          <w:numId w:val="828"/>
        </w:numPr>
        <w:tabs>
          <w:tab w:val="left" w:pos="1682"/>
        </w:tabs>
        <w:ind w:left="1681" w:hanging="844"/>
        <w:rPr>
          <w:sz w:val="21"/>
        </w:rPr>
      </w:pPr>
      <w:r>
        <w:rPr>
          <w:spacing w:val="-3"/>
          <w:sz w:val="21"/>
        </w:rPr>
        <w:t>所有暴露在外的非耐腐蚀金属材料的表面均应作防腐蚀处理。</w:t>
      </w:r>
      <w:r>
        <w:rPr>
          <w:sz w:val="21"/>
        </w:rPr>
        <w:t xml:space="preserve"> </w:t>
      </w:r>
    </w:p>
    <w:p w14:paraId="12D19E14" w14:textId="77777777" w:rsidR="00A71EEF" w:rsidRDefault="00A71EEF">
      <w:pPr>
        <w:pStyle w:val="a3"/>
        <w:rPr>
          <w:sz w:val="18"/>
        </w:rPr>
      </w:pPr>
    </w:p>
    <w:p w14:paraId="0EAA32AB" w14:textId="77777777" w:rsidR="00A71EEF" w:rsidRDefault="0081115D">
      <w:pPr>
        <w:pStyle w:val="a4"/>
        <w:numPr>
          <w:ilvl w:val="3"/>
          <w:numId w:val="828"/>
        </w:numPr>
        <w:tabs>
          <w:tab w:val="left" w:pos="1682"/>
        </w:tabs>
        <w:ind w:left="1681" w:hanging="844"/>
        <w:rPr>
          <w:sz w:val="21"/>
        </w:rPr>
      </w:pPr>
      <w:r>
        <w:rPr>
          <w:spacing w:val="-3"/>
          <w:sz w:val="21"/>
        </w:rPr>
        <w:t>任何封闭的厢体应通风、防潮且能排出厢内积水。</w:t>
      </w:r>
      <w:r>
        <w:rPr>
          <w:sz w:val="21"/>
        </w:rPr>
        <w:t xml:space="preserve"> </w:t>
      </w:r>
    </w:p>
    <w:p w14:paraId="326695F3" w14:textId="77777777" w:rsidR="00A71EEF" w:rsidRDefault="00A71EEF">
      <w:pPr>
        <w:pStyle w:val="a3"/>
        <w:spacing w:before="12"/>
        <w:rPr>
          <w:sz w:val="17"/>
        </w:rPr>
      </w:pPr>
    </w:p>
    <w:p w14:paraId="24935E3A" w14:textId="77777777" w:rsidR="00A71EEF" w:rsidRDefault="0081115D">
      <w:pPr>
        <w:pStyle w:val="a4"/>
        <w:numPr>
          <w:ilvl w:val="3"/>
          <w:numId w:val="828"/>
        </w:numPr>
        <w:tabs>
          <w:tab w:val="left" w:pos="1682"/>
        </w:tabs>
        <w:spacing w:line="446" w:lineRule="auto"/>
        <w:ind w:left="418" w:right="1505" w:firstLine="419"/>
        <w:rPr>
          <w:sz w:val="21"/>
        </w:rPr>
      </w:pPr>
      <w:r>
        <w:rPr>
          <w:spacing w:val="-3"/>
          <w:sz w:val="21"/>
        </w:rPr>
        <w:t>箱体内储存的设备、器具均应设防护设施，不应使其内安装的电气线路、照明灯具、警示装置等受到机械损害。</w:t>
      </w:r>
      <w:r>
        <w:rPr>
          <w:sz w:val="21"/>
        </w:rPr>
        <w:t xml:space="preserve"> </w:t>
      </w:r>
    </w:p>
    <w:p w14:paraId="44928D78" w14:textId="77777777" w:rsidR="00A71EEF" w:rsidRDefault="0081115D">
      <w:pPr>
        <w:pStyle w:val="a4"/>
        <w:numPr>
          <w:ilvl w:val="2"/>
          <w:numId w:val="828"/>
        </w:numPr>
        <w:tabs>
          <w:tab w:val="left" w:pos="1478"/>
        </w:tabs>
        <w:ind w:left="1477" w:hanging="638"/>
        <w:rPr>
          <w:sz w:val="21"/>
        </w:rPr>
      </w:pPr>
      <w:r>
        <w:rPr>
          <w:spacing w:val="-3"/>
          <w:sz w:val="21"/>
        </w:rPr>
        <w:t>器材箱门</w:t>
      </w:r>
      <w:r>
        <w:rPr>
          <w:sz w:val="21"/>
        </w:rPr>
        <w:t xml:space="preserve"> </w:t>
      </w:r>
    </w:p>
    <w:p w14:paraId="454A097D" w14:textId="77777777" w:rsidR="00A71EEF" w:rsidRDefault="00A71EEF">
      <w:pPr>
        <w:pStyle w:val="a3"/>
        <w:spacing w:before="12"/>
        <w:rPr>
          <w:sz w:val="17"/>
        </w:rPr>
      </w:pPr>
    </w:p>
    <w:p w14:paraId="445AD288" w14:textId="77777777" w:rsidR="00A71EEF" w:rsidRDefault="0081115D">
      <w:pPr>
        <w:pStyle w:val="a4"/>
        <w:numPr>
          <w:ilvl w:val="3"/>
          <w:numId w:val="828"/>
        </w:numPr>
        <w:tabs>
          <w:tab w:val="left" w:pos="1682"/>
        </w:tabs>
        <w:spacing w:line="446" w:lineRule="auto"/>
        <w:ind w:left="418" w:right="1505" w:firstLine="419"/>
        <w:rPr>
          <w:sz w:val="21"/>
        </w:rPr>
      </w:pPr>
      <w:r>
        <w:rPr>
          <w:spacing w:val="-3"/>
          <w:sz w:val="21"/>
        </w:rPr>
        <w:t>器材箱门应开启、关闭方便，不应有卡阻和两手用力不平衡就打不开的现象。卷</w:t>
      </w:r>
      <w:r>
        <w:rPr>
          <w:spacing w:val="-6"/>
          <w:sz w:val="21"/>
        </w:rPr>
        <w:t>帘门锁应开关方便、可靠。卷帘门和锁具承受</w:t>
      </w:r>
      <w:r>
        <w:rPr>
          <w:spacing w:val="-6"/>
          <w:sz w:val="21"/>
        </w:rPr>
        <w:t xml:space="preserve"> </w:t>
      </w:r>
      <w:r>
        <w:rPr>
          <w:sz w:val="21"/>
        </w:rPr>
        <w:t>10000</w:t>
      </w:r>
      <w:r>
        <w:rPr>
          <w:spacing w:val="-8"/>
          <w:sz w:val="21"/>
        </w:rPr>
        <w:t xml:space="preserve"> </w:t>
      </w:r>
      <w:r>
        <w:rPr>
          <w:spacing w:val="-8"/>
          <w:sz w:val="21"/>
        </w:rPr>
        <w:t>次开启、关闭和锁止后，不应失效。</w:t>
      </w:r>
      <w:r>
        <w:rPr>
          <w:sz w:val="21"/>
        </w:rPr>
        <w:t xml:space="preserve"> </w:t>
      </w:r>
    </w:p>
    <w:p w14:paraId="6B4B883D" w14:textId="77777777" w:rsidR="00A71EEF" w:rsidRDefault="0081115D">
      <w:pPr>
        <w:pStyle w:val="a4"/>
        <w:numPr>
          <w:ilvl w:val="3"/>
          <w:numId w:val="828"/>
        </w:numPr>
        <w:tabs>
          <w:tab w:val="left" w:pos="1682"/>
        </w:tabs>
        <w:spacing w:before="1"/>
        <w:ind w:left="1681" w:hanging="844"/>
        <w:rPr>
          <w:sz w:val="21"/>
        </w:rPr>
      </w:pPr>
      <w:r>
        <w:rPr>
          <w:spacing w:val="-3"/>
          <w:sz w:val="21"/>
        </w:rPr>
        <w:t>器材箱门应由防腐蚀性材料或表面经防腐蚀处理的材料制成。</w:t>
      </w:r>
      <w:r>
        <w:rPr>
          <w:sz w:val="21"/>
        </w:rPr>
        <w:t xml:space="preserve"> </w:t>
      </w:r>
    </w:p>
    <w:p w14:paraId="4BB68E63" w14:textId="77777777" w:rsidR="00A71EEF" w:rsidRDefault="00A71EEF">
      <w:pPr>
        <w:pStyle w:val="a3"/>
        <w:spacing w:before="12"/>
        <w:rPr>
          <w:sz w:val="17"/>
        </w:rPr>
      </w:pPr>
    </w:p>
    <w:p w14:paraId="35813A1E" w14:textId="77777777" w:rsidR="00A71EEF" w:rsidRDefault="0081115D">
      <w:pPr>
        <w:pStyle w:val="a4"/>
        <w:numPr>
          <w:ilvl w:val="3"/>
          <w:numId w:val="828"/>
        </w:numPr>
        <w:tabs>
          <w:tab w:val="left" w:pos="1682"/>
        </w:tabs>
        <w:ind w:left="1681" w:hanging="844"/>
        <w:rPr>
          <w:sz w:val="21"/>
        </w:rPr>
      </w:pPr>
      <w:r>
        <w:rPr>
          <w:spacing w:val="-3"/>
          <w:sz w:val="21"/>
        </w:rPr>
        <w:t>器材箱门设置应利于人员操作，取放设备和器具。</w:t>
      </w:r>
      <w:r>
        <w:rPr>
          <w:sz w:val="21"/>
        </w:rPr>
        <w:t xml:space="preserve"> </w:t>
      </w:r>
    </w:p>
    <w:p w14:paraId="399F55AF" w14:textId="77777777" w:rsidR="00A71EEF" w:rsidRDefault="00A71EEF">
      <w:pPr>
        <w:pStyle w:val="a3"/>
        <w:spacing w:before="2"/>
        <w:rPr>
          <w:sz w:val="18"/>
        </w:rPr>
      </w:pPr>
    </w:p>
    <w:p w14:paraId="30A6EAAC" w14:textId="77777777" w:rsidR="00A71EEF" w:rsidRDefault="0081115D">
      <w:pPr>
        <w:pStyle w:val="a4"/>
        <w:numPr>
          <w:ilvl w:val="3"/>
          <w:numId w:val="828"/>
        </w:numPr>
        <w:tabs>
          <w:tab w:val="left" w:pos="1682"/>
        </w:tabs>
        <w:ind w:left="1681" w:hanging="844"/>
        <w:rPr>
          <w:sz w:val="21"/>
        </w:rPr>
      </w:pPr>
      <w:r>
        <w:rPr>
          <w:spacing w:val="-3"/>
          <w:sz w:val="21"/>
        </w:rPr>
        <w:t>器材箱门应具有锁止功能，在人员需进出或取放设备、器具时能方便开启，在车</w:t>
      </w:r>
    </w:p>
    <w:p w14:paraId="0E85A8FF" w14:textId="77777777" w:rsidR="00A71EEF" w:rsidRDefault="00A71EEF">
      <w:pPr>
        <w:rPr>
          <w:sz w:val="21"/>
        </w:rPr>
        <w:sectPr w:rsidR="00A71EEF">
          <w:pgSz w:w="11910" w:h="16850"/>
          <w:pgMar w:top="1220" w:right="0" w:bottom="1420" w:left="1260" w:header="0" w:footer="1239" w:gutter="0"/>
          <w:cols w:space="720"/>
        </w:sectPr>
      </w:pPr>
    </w:p>
    <w:p w14:paraId="38B0F051" w14:textId="77777777" w:rsidR="00A71EEF" w:rsidRDefault="0081115D">
      <w:pPr>
        <w:spacing w:before="47" w:line="446" w:lineRule="auto"/>
        <w:ind w:left="840" w:right="6969" w:hanging="423"/>
        <w:rPr>
          <w:b/>
          <w:sz w:val="21"/>
        </w:rPr>
      </w:pPr>
      <w:r>
        <w:rPr>
          <w:sz w:val="21"/>
        </w:rPr>
        <w:lastRenderedPageBreak/>
        <w:t>辆运行和不使用时不应自行启闭。</w:t>
      </w:r>
      <w:r>
        <w:rPr>
          <w:b/>
          <w:sz w:val="21"/>
        </w:rPr>
        <w:t xml:space="preserve">5.11 </w:t>
      </w:r>
      <w:r>
        <w:rPr>
          <w:sz w:val="21"/>
        </w:rPr>
        <w:t>设备、器材的固定</w:t>
      </w:r>
      <w:r>
        <w:rPr>
          <w:b/>
          <w:w w:val="99"/>
          <w:sz w:val="21"/>
        </w:rPr>
        <w:t xml:space="preserve"> </w:t>
      </w:r>
    </w:p>
    <w:p w14:paraId="7700174F" w14:textId="77777777" w:rsidR="00A71EEF" w:rsidRDefault="0081115D">
      <w:pPr>
        <w:pStyle w:val="a4"/>
        <w:numPr>
          <w:ilvl w:val="2"/>
          <w:numId w:val="825"/>
        </w:numPr>
        <w:tabs>
          <w:tab w:val="left" w:pos="1478"/>
        </w:tabs>
        <w:spacing w:line="267" w:lineRule="exact"/>
        <w:ind w:hanging="638"/>
        <w:rPr>
          <w:sz w:val="21"/>
        </w:rPr>
      </w:pPr>
      <w:r>
        <w:rPr>
          <w:spacing w:val="-3"/>
          <w:sz w:val="21"/>
        </w:rPr>
        <w:t>应为设备、器材提供固定夹持装置和空间。</w:t>
      </w:r>
      <w:r>
        <w:rPr>
          <w:sz w:val="21"/>
        </w:rPr>
        <w:t xml:space="preserve"> </w:t>
      </w:r>
    </w:p>
    <w:p w14:paraId="598B2144" w14:textId="77777777" w:rsidR="00A71EEF" w:rsidRDefault="00A71EEF">
      <w:pPr>
        <w:pStyle w:val="a3"/>
        <w:spacing w:before="2"/>
        <w:rPr>
          <w:sz w:val="18"/>
        </w:rPr>
      </w:pPr>
    </w:p>
    <w:p w14:paraId="49881960" w14:textId="77777777" w:rsidR="00A71EEF" w:rsidRDefault="0081115D">
      <w:pPr>
        <w:pStyle w:val="a4"/>
        <w:numPr>
          <w:ilvl w:val="2"/>
          <w:numId w:val="825"/>
        </w:numPr>
        <w:tabs>
          <w:tab w:val="left" w:pos="1478"/>
        </w:tabs>
        <w:spacing w:line="446" w:lineRule="auto"/>
        <w:ind w:left="418" w:right="1496" w:firstLine="422"/>
        <w:rPr>
          <w:sz w:val="21"/>
        </w:rPr>
      </w:pPr>
      <w:r>
        <w:rPr>
          <w:spacing w:val="-3"/>
          <w:sz w:val="21"/>
        </w:rPr>
        <w:t>器材箱内的器材夹具应保证器材取用方便和可靠，在消防车行驶时器材不会脱离夹具。</w:t>
      </w:r>
      <w:r>
        <w:rPr>
          <w:sz w:val="21"/>
        </w:rPr>
        <w:t xml:space="preserve"> </w:t>
      </w:r>
    </w:p>
    <w:p w14:paraId="05425264" w14:textId="77777777" w:rsidR="00A71EEF" w:rsidRDefault="0081115D">
      <w:pPr>
        <w:pStyle w:val="a4"/>
        <w:numPr>
          <w:ilvl w:val="2"/>
          <w:numId w:val="825"/>
        </w:numPr>
        <w:tabs>
          <w:tab w:val="left" w:pos="1478"/>
        </w:tabs>
        <w:spacing w:line="446" w:lineRule="auto"/>
        <w:ind w:left="418" w:right="1496" w:firstLine="422"/>
        <w:rPr>
          <w:sz w:val="21"/>
        </w:rPr>
      </w:pPr>
      <w:r>
        <w:rPr>
          <w:spacing w:val="-3"/>
          <w:sz w:val="21"/>
        </w:rPr>
        <w:t>安装车载无线通信设备时，应为其提供一个安全的空间。为避免通信工作受到不应有的干扰，必要时应提供合适的屏蔽装置。</w:t>
      </w:r>
      <w:r>
        <w:rPr>
          <w:sz w:val="21"/>
        </w:rPr>
        <w:t xml:space="preserve"> </w:t>
      </w:r>
    </w:p>
    <w:p w14:paraId="5C5F89FD" w14:textId="77777777" w:rsidR="00A71EEF" w:rsidRDefault="0081115D">
      <w:pPr>
        <w:pStyle w:val="a4"/>
        <w:numPr>
          <w:ilvl w:val="2"/>
          <w:numId w:val="825"/>
        </w:numPr>
        <w:tabs>
          <w:tab w:val="left" w:pos="1478"/>
        </w:tabs>
        <w:ind w:hanging="638"/>
        <w:rPr>
          <w:sz w:val="21"/>
        </w:rPr>
      </w:pPr>
      <w:r>
        <w:rPr>
          <w:spacing w:val="-3"/>
          <w:sz w:val="21"/>
        </w:rPr>
        <w:t>承重抽拉支架应满足下列要求</w:t>
      </w:r>
      <w:r>
        <w:rPr>
          <w:spacing w:val="-3"/>
          <w:sz w:val="21"/>
        </w:rPr>
        <w:t xml:space="preserve"> </w:t>
      </w:r>
      <w:r>
        <w:rPr>
          <w:spacing w:val="-3"/>
          <w:sz w:val="21"/>
        </w:rPr>
        <w:t>：</w:t>
      </w:r>
      <w:r>
        <w:rPr>
          <w:sz w:val="21"/>
        </w:rPr>
        <w:t xml:space="preserve"> </w:t>
      </w:r>
    </w:p>
    <w:p w14:paraId="583D8992" w14:textId="77777777" w:rsidR="00A71EEF" w:rsidRDefault="00A71EEF">
      <w:pPr>
        <w:pStyle w:val="a3"/>
        <w:spacing w:before="10"/>
        <w:rPr>
          <w:sz w:val="17"/>
        </w:rPr>
      </w:pPr>
    </w:p>
    <w:p w14:paraId="4BD39E00" w14:textId="77777777" w:rsidR="00A71EEF" w:rsidRDefault="0081115D">
      <w:pPr>
        <w:pStyle w:val="a3"/>
        <w:spacing w:before="1" w:line="446" w:lineRule="auto"/>
        <w:ind w:left="838" w:right="1505"/>
      </w:pPr>
      <w:r>
        <w:t>a</w:t>
      </w:r>
      <w:r>
        <w:t>）</w:t>
      </w:r>
      <w:r>
        <w:rPr>
          <w:spacing w:val="-3"/>
        </w:rPr>
        <w:t>支架应具有所承载设备、器具所需的强度和刚度，以避免造成设备、器具的</w:t>
      </w:r>
      <w:r>
        <w:rPr>
          <w:spacing w:val="-3"/>
        </w:rPr>
        <w:t>损坏；</w:t>
      </w:r>
      <w:r>
        <w:rPr>
          <w:spacing w:val="-3"/>
        </w:rPr>
        <w:t xml:space="preserve">  </w:t>
      </w:r>
      <w:r>
        <w:t>b</w:t>
      </w:r>
      <w:r>
        <w:t>）</w:t>
      </w:r>
      <w:r>
        <w:rPr>
          <w:spacing w:val="-3"/>
        </w:rPr>
        <w:t>支架应具有锁止功能，在车辆行驶时能可靠的锁止支架，使用时能方便的解除锁闭；</w:t>
      </w:r>
      <w:r>
        <w:rPr>
          <w:spacing w:val="-3"/>
        </w:rPr>
        <w:t xml:space="preserve"> </w:t>
      </w:r>
      <w:r>
        <w:t>c</w:t>
      </w:r>
      <w:r>
        <w:t>）</w:t>
      </w:r>
      <w:r>
        <w:rPr>
          <w:spacing w:val="-3"/>
        </w:rPr>
        <w:t>应在支架侧面最外端设置反光警示标识，反光警示标识的长度应大于支架伸出车身长度</w:t>
      </w:r>
    </w:p>
    <w:p w14:paraId="1061386D" w14:textId="77777777" w:rsidR="00A71EEF" w:rsidRDefault="0081115D">
      <w:pPr>
        <w:pStyle w:val="a3"/>
        <w:spacing w:line="446" w:lineRule="auto"/>
        <w:ind w:left="840" w:right="1872" w:hanging="423"/>
      </w:pPr>
      <w:r>
        <w:t>的</w:t>
      </w:r>
      <w:r>
        <w:t xml:space="preserve"> 2/3</w:t>
      </w:r>
      <w:r>
        <w:t>，可向周围人员发出警示，以避免对人员造成伤害或支架受到外来的碰撞而损坏</w:t>
      </w:r>
      <w:r>
        <w:t xml:space="preserve"> </w:t>
      </w:r>
      <w:r>
        <w:t>。</w:t>
      </w:r>
      <w:r>
        <w:rPr>
          <w:b/>
        </w:rPr>
        <w:t xml:space="preserve">5.11.5 </w:t>
      </w:r>
      <w:r>
        <w:t>空气呼吸器的储存应满足下列要求</w:t>
      </w:r>
      <w:r>
        <w:t xml:space="preserve"> </w:t>
      </w:r>
      <w:r>
        <w:t>：</w:t>
      </w:r>
      <w:r>
        <w:t xml:space="preserve"> </w:t>
      </w:r>
    </w:p>
    <w:p w14:paraId="7CBE5994" w14:textId="77777777" w:rsidR="00A71EEF" w:rsidRDefault="0081115D">
      <w:pPr>
        <w:pStyle w:val="a4"/>
        <w:numPr>
          <w:ilvl w:val="0"/>
          <w:numId w:val="824"/>
        </w:numPr>
        <w:tabs>
          <w:tab w:val="left" w:pos="1156"/>
        </w:tabs>
        <w:spacing w:line="446" w:lineRule="auto"/>
        <w:ind w:right="1505" w:firstLine="419"/>
        <w:rPr>
          <w:sz w:val="21"/>
        </w:rPr>
      </w:pPr>
      <w:r>
        <w:rPr>
          <w:spacing w:val="-3"/>
          <w:sz w:val="21"/>
        </w:rPr>
        <w:t>应合理布置空气呼吸器和备用瓶的储存空间和位置，避免来自其他装置、构件、器具对其造成的磨损或损害；</w:t>
      </w:r>
      <w:r>
        <w:rPr>
          <w:sz w:val="21"/>
        </w:rPr>
        <w:t xml:space="preserve"> </w:t>
      </w:r>
    </w:p>
    <w:p w14:paraId="2D7F7482" w14:textId="77777777" w:rsidR="00A71EEF" w:rsidRDefault="0081115D">
      <w:pPr>
        <w:pStyle w:val="a4"/>
        <w:numPr>
          <w:ilvl w:val="0"/>
          <w:numId w:val="824"/>
        </w:numPr>
        <w:tabs>
          <w:tab w:val="left" w:pos="1156"/>
        </w:tabs>
        <w:spacing w:line="446" w:lineRule="auto"/>
        <w:ind w:right="1505" w:firstLine="419"/>
        <w:rPr>
          <w:sz w:val="21"/>
        </w:rPr>
      </w:pPr>
      <w:r>
        <w:rPr>
          <w:spacing w:val="-3"/>
          <w:sz w:val="21"/>
        </w:rPr>
        <w:t>固定夹持装置不应对空气呼吸器或备用瓶造成划伤、磨损等损害，也不应对其外表面涂层或反光层造成破坏；</w:t>
      </w:r>
      <w:r>
        <w:rPr>
          <w:sz w:val="21"/>
        </w:rPr>
        <w:t xml:space="preserve"> </w:t>
      </w:r>
    </w:p>
    <w:p w14:paraId="0DA56EE1" w14:textId="77777777" w:rsidR="00A71EEF" w:rsidRDefault="0081115D">
      <w:pPr>
        <w:pStyle w:val="a4"/>
        <w:numPr>
          <w:ilvl w:val="0"/>
          <w:numId w:val="824"/>
        </w:numPr>
        <w:tabs>
          <w:tab w:val="left" w:pos="1156"/>
        </w:tabs>
        <w:spacing w:line="446" w:lineRule="auto"/>
        <w:ind w:right="1505" w:firstLine="419"/>
        <w:rPr>
          <w:sz w:val="21"/>
        </w:rPr>
      </w:pPr>
      <w:r>
        <w:rPr>
          <w:spacing w:val="-3"/>
          <w:sz w:val="21"/>
        </w:rPr>
        <w:t>空气呼吸器或备用瓶的储存区域，应远离热源（如消声器、排气管、发动机</w:t>
      </w:r>
      <w:r>
        <w:rPr>
          <w:sz w:val="21"/>
        </w:rPr>
        <w:t>）</w:t>
      </w:r>
      <w:r>
        <w:rPr>
          <w:spacing w:val="-3"/>
          <w:sz w:val="21"/>
        </w:rPr>
        <w:t>并通风干燥；</w:t>
      </w:r>
      <w:r>
        <w:rPr>
          <w:sz w:val="21"/>
        </w:rPr>
        <w:t xml:space="preserve"> </w:t>
      </w:r>
    </w:p>
    <w:p w14:paraId="1E9B6470" w14:textId="77777777" w:rsidR="00A71EEF" w:rsidRDefault="0081115D">
      <w:pPr>
        <w:pStyle w:val="a4"/>
        <w:numPr>
          <w:ilvl w:val="0"/>
          <w:numId w:val="824"/>
        </w:numPr>
        <w:tabs>
          <w:tab w:val="left" w:pos="1156"/>
        </w:tabs>
        <w:spacing w:line="446" w:lineRule="auto"/>
        <w:ind w:left="838" w:right="4554" w:firstLine="0"/>
        <w:rPr>
          <w:sz w:val="21"/>
        </w:rPr>
      </w:pPr>
      <w:r>
        <w:rPr>
          <w:spacing w:val="-3"/>
          <w:sz w:val="21"/>
        </w:rPr>
        <w:t>用筒、管材料垂直方式储存空气呼吸器备用瓶；</w:t>
      </w:r>
      <w:r>
        <w:rPr>
          <w:spacing w:val="-3"/>
          <w:sz w:val="21"/>
        </w:rPr>
        <w:t xml:space="preserve">   </w:t>
      </w:r>
      <w:r>
        <w:rPr>
          <w:sz w:val="21"/>
        </w:rPr>
        <w:t>e</w:t>
      </w:r>
      <w:r>
        <w:rPr>
          <w:sz w:val="21"/>
        </w:rPr>
        <w:t>）</w:t>
      </w:r>
      <w:r>
        <w:rPr>
          <w:spacing w:val="-3"/>
          <w:sz w:val="21"/>
        </w:rPr>
        <w:t>每个储存的备用瓶应装有阀门，且已按规定充满气；</w:t>
      </w:r>
      <w:r>
        <w:rPr>
          <w:sz w:val="21"/>
        </w:rPr>
        <w:t xml:space="preserve"> </w:t>
      </w:r>
    </w:p>
    <w:p w14:paraId="4A68E717" w14:textId="77777777" w:rsidR="00A71EEF" w:rsidRDefault="0081115D">
      <w:pPr>
        <w:pStyle w:val="a4"/>
        <w:numPr>
          <w:ilvl w:val="0"/>
          <w:numId w:val="823"/>
        </w:numPr>
        <w:tabs>
          <w:tab w:val="left" w:pos="1156"/>
        </w:tabs>
        <w:spacing w:line="446" w:lineRule="auto"/>
        <w:ind w:right="1505" w:firstLine="419"/>
        <w:rPr>
          <w:sz w:val="21"/>
        </w:rPr>
      </w:pPr>
      <w:r>
        <w:rPr>
          <w:spacing w:val="-3"/>
          <w:sz w:val="21"/>
        </w:rPr>
        <w:t>储存筒、管的基座应设置有橡胶、塑料或类似装置以避免备用瓶的磨损，并防止备用瓶意外掉入储存位置时的损坏；</w:t>
      </w:r>
      <w:r>
        <w:rPr>
          <w:sz w:val="21"/>
        </w:rPr>
        <w:t xml:space="preserve"> </w:t>
      </w:r>
    </w:p>
    <w:p w14:paraId="3576455B" w14:textId="77777777" w:rsidR="00A71EEF" w:rsidRDefault="0081115D">
      <w:pPr>
        <w:pStyle w:val="a4"/>
        <w:numPr>
          <w:ilvl w:val="0"/>
          <w:numId w:val="823"/>
        </w:numPr>
        <w:tabs>
          <w:tab w:val="left" w:pos="1156"/>
        </w:tabs>
        <w:spacing w:line="267" w:lineRule="exact"/>
        <w:ind w:left="1155"/>
        <w:rPr>
          <w:sz w:val="21"/>
        </w:rPr>
      </w:pPr>
      <w:r>
        <w:rPr>
          <w:spacing w:val="-3"/>
          <w:sz w:val="21"/>
        </w:rPr>
        <w:t>每个储存筒、管应有排水的设计；</w:t>
      </w:r>
      <w:r>
        <w:rPr>
          <w:sz w:val="21"/>
        </w:rPr>
        <w:t xml:space="preserve"> </w:t>
      </w:r>
    </w:p>
    <w:p w14:paraId="154F9265" w14:textId="77777777" w:rsidR="00A71EEF" w:rsidRDefault="00A71EEF">
      <w:pPr>
        <w:pStyle w:val="a3"/>
        <w:spacing w:before="11"/>
        <w:rPr>
          <w:sz w:val="17"/>
        </w:rPr>
      </w:pPr>
    </w:p>
    <w:p w14:paraId="28AFFA78" w14:textId="77777777" w:rsidR="00A71EEF" w:rsidRDefault="0081115D">
      <w:pPr>
        <w:pStyle w:val="a4"/>
        <w:numPr>
          <w:ilvl w:val="0"/>
          <w:numId w:val="823"/>
        </w:numPr>
        <w:tabs>
          <w:tab w:val="left" w:pos="1156"/>
        </w:tabs>
        <w:spacing w:line="446" w:lineRule="auto"/>
        <w:ind w:right="1609" w:firstLine="419"/>
        <w:rPr>
          <w:sz w:val="21"/>
        </w:rPr>
      </w:pPr>
      <w:r>
        <w:rPr>
          <w:spacing w:val="-3"/>
          <w:sz w:val="21"/>
        </w:rPr>
        <w:t>储存筒、管总成应合理布局，并设计成能防止空气呼吸器备用瓶从储存筒、管中意外滑出，使其在运输过程中不产生移动，避免其与厢门的碰撞或摩擦；</w:t>
      </w:r>
      <w:r>
        <w:rPr>
          <w:sz w:val="21"/>
        </w:rPr>
        <w:t xml:space="preserve"> </w:t>
      </w:r>
    </w:p>
    <w:p w14:paraId="022895E7" w14:textId="77777777" w:rsidR="00A71EEF" w:rsidRDefault="0081115D">
      <w:pPr>
        <w:pStyle w:val="a4"/>
        <w:numPr>
          <w:ilvl w:val="0"/>
          <w:numId w:val="823"/>
        </w:numPr>
        <w:tabs>
          <w:tab w:val="left" w:pos="1156"/>
        </w:tabs>
        <w:spacing w:line="446" w:lineRule="auto"/>
        <w:ind w:right="1714" w:firstLine="419"/>
        <w:rPr>
          <w:sz w:val="21"/>
        </w:rPr>
      </w:pPr>
      <w:r>
        <w:rPr>
          <w:spacing w:val="-3"/>
          <w:sz w:val="21"/>
        </w:rPr>
        <w:t>每个储存筒、管或储存区域的后壁应有用橡胶、塑料或类似物的设施避免备用瓶的磨损。</w:t>
      </w:r>
      <w:r>
        <w:rPr>
          <w:sz w:val="21"/>
        </w:rPr>
        <w:t xml:space="preserve"> </w:t>
      </w:r>
    </w:p>
    <w:p w14:paraId="6A0B7D42" w14:textId="77777777" w:rsidR="00A71EEF" w:rsidRDefault="00A71EEF">
      <w:pPr>
        <w:spacing w:line="446" w:lineRule="auto"/>
        <w:rPr>
          <w:sz w:val="21"/>
        </w:rPr>
        <w:sectPr w:rsidR="00A71EEF">
          <w:pgSz w:w="11910" w:h="16850"/>
          <w:pgMar w:top="1220" w:right="0" w:bottom="1420" w:left="1260" w:header="0" w:footer="1239" w:gutter="0"/>
          <w:cols w:space="720"/>
        </w:sectPr>
      </w:pPr>
    </w:p>
    <w:p w14:paraId="55D12B9D" w14:textId="77777777" w:rsidR="00A71EEF" w:rsidRDefault="0081115D">
      <w:pPr>
        <w:pStyle w:val="a4"/>
        <w:numPr>
          <w:ilvl w:val="1"/>
          <w:numId w:val="822"/>
        </w:numPr>
        <w:tabs>
          <w:tab w:val="left" w:pos="1264"/>
        </w:tabs>
        <w:spacing w:before="47"/>
        <w:rPr>
          <w:b/>
          <w:sz w:val="21"/>
        </w:rPr>
      </w:pPr>
      <w:r>
        <w:rPr>
          <w:spacing w:val="-3"/>
          <w:sz w:val="21"/>
        </w:rPr>
        <w:lastRenderedPageBreak/>
        <w:t>爬梯</w:t>
      </w:r>
      <w:r>
        <w:rPr>
          <w:b/>
          <w:w w:val="99"/>
          <w:sz w:val="21"/>
        </w:rPr>
        <w:t xml:space="preserve"> </w:t>
      </w:r>
    </w:p>
    <w:p w14:paraId="54830053" w14:textId="77777777" w:rsidR="00A71EEF" w:rsidRDefault="00A71EEF">
      <w:pPr>
        <w:pStyle w:val="a3"/>
        <w:rPr>
          <w:b/>
          <w:sz w:val="18"/>
        </w:rPr>
      </w:pPr>
    </w:p>
    <w:p w14:paraId="40B04545" w14:textId="77777777" w:rsidR="00A71EEF" w:rsidRDefault="0081115D">
      <w:pPr>
        <w:pStyle w:val="a4"/>
        <w:numPr>
          <w:ilvl w:val="2"/>
          <w:numId w:val="822"/>
        </w:numPr>
        <w:tabs>
          <w:tab w:val="left" w:pos="1478"/>
        </w:tabs>
        <w:spacing w:line="446" w:lineRule="auto"/>
        <w:ind w:right="1603" w:firstLine="422"/>
        <w:rPr>
          <w:sz w:val="21"/>
        </w:rPr>
      </w:pPr>
      <w:r>
        <w:rPr>
          <w:spacing w:val="-7"/>
          <w:sz w:val="21"/>
        </w:rPr>
        <w:t>消防车爬梯的梯磴间距不大于</w:t>
      </w:r>
      <w:r>
        <w:rPr>
          <w:spacing w:val="-7"/>
          <w:sz w:val="21"/>
        </w:rPr>
        <w:t xml:space="preserve"> </w:t>
      </w:r>
      <w:r>
        <w:rPr>
          <w:sz w:val="21"/>
        </w:rPr>
        <w:t>300</w:t>
      </w:r>
      <w:r>
        <w:rPr>
          <w:spacing w:val="7"/>
          <w:sz w:val="21"/>
        </w:rPr>
        <w:t xml:space="preserve"> </w:t>
      </w:r>
      <w:r>
        <w:rPr>
          <w:sz w:val="21"/>
        </w:rPr>
        <w:t>mm</w:t>
      </w:r>
      <w:r>
        <w:rPr>
          <w:spacing w:val="-7"/>
          <w:sz w:val="21"/>
        </w:rPr>
        <w:t>，最低梯磴距地面不大于</w:t>
      </w:r>
      <w:r>
        <w:rPr>
          <w:spacing w:val="-7"/>
          <w:sz w:val="21"/>
        </w:rPr>
        <w:t xml:space="preserve"> </w:t>
      </w:r>
      <w:r>
        <w:rPr>
          <w:sz w:val="21"/>
        </w:rPr>
        <w:t>450</w:t>
      </w:r>
      <w:r>
        <w:rPr>
          <w:spacing w:val="7"/>
          <w:sz w:val="21"/>
        </w:rPr>
        <w:t xml:space="preserve"> </w:t>
      </w:r>
      <w:r>
        <w:rPr>
          <w:sz w:val="21"/>
        </w:rPr>
        <w:t>mm</w:t>
      </w:r>
      <w:r>
        <w:rPr>
          <w:spacing w:val="-1"/>
          <w:sz w:val="21"/>
        </w:rPr>
        <w:t>，深度不小</w:t>
      </w:r>
      <w:r>
        <w:rPr>
          <w:spacing w:val="-27"/>
          <w:sz w:val="21"/>
        </w:rPr>
        <w:t>于</w:t>
      </w:r>
      <w:r>
        <w:rPr>
          <w:spacing w:val="-27"/>
          <w:sz w:val="21"/>
        </w:rPr>
        <w:t xml:space="preserve"> </w:t>
      </w:r>
      <w:r>
        <w:rPr>
          <w:sz w:val="21"/>
        </w:rPr>
        <w:t>150 mm</w:t>
      </w:r>
      <w:r>
        <w:rPr>
          <w:spacing w:val="-3"/>
          <w:sz w:val="21"/>
        </w:rPr>
        <w:t>。</w:t>
      </w:r>
      <w:r>
        <w:rPr>
          <w:sz w:val="21"/>
        </w:rPr>
        <w:t xml:space="preserve"> </w:t>
      </w:r>
    </w:p>
    <w:p w14:paraId="455E4F18" w14:textId="77777777" w:rsidR="00A71EEF" w:rsidRDefault="0081115D">
      <w:pPr>
        <w:pStyle w:val="a4"/>
        <w:numPr>
          <w:ilvl w:val="2"/>
          <w:numId w:val="822"/>
        </w:numPr>
        <w:tabs>
          <w:tab w:val="left" w:pos="1478"/>
        </w:tabs>
        <w:spacing w:line="446" w:lineRule="auto"/>
        <w:ind w:right="1392" w:firstLine="422"/>
        <w:rPr>
          <w:sz w:val="21"/>
        </w:rPr>
      </w:pPr>
      <w:r>
        <w:rPr>
          <w:spacing w:val="-6"/>
          <w:sz w:val="21"/>
        </w:rPr>
        <w:t>消防车爬梯最高梯磴距车顶不大于</w:t>
      </w:r>
      <w:r>
        <w:rPr>
          <w:spacing w:val="-6"/>
          <w:sz w:val="21"/>
        </w:rPr>
        <w:t xml:space="preserve"> </w:t>
      </w:r>
      <w:r>
        <w:rPr>
          <w:sz w:val="21"/>
        </w:rPr>
        <w:t>300</w:t>
      </w:r>
      <w:r>
        <w:rPr>
          <w:spacing w:val="20"/>
          <w:sz w:val="21"/>
        </w:rPr>
        <w:t xml:space="preserve"> </w:t>
      </w:r>
      <w:r>
        <w:rPr>
          <w:sz w:val="21"/>
        </w:rPr>
        <w:t>mm</w:t>
      </w:r>
      <w:r>
        <w:rPr>
          <w:spacing w:val="-5"/>
          <w:sz w:val="21"/>
        </w:rPr>
        <w:t>，扶手顶端距车顶踏脚处高度不小于</w:t>
      </w:r>
      <w:r>
        <w:rPr>
          <w:spacing w:val="-5"/>
          <w:sz w:val="21"/>
        </w:rPr>
        <w:t xml:space="preserve"> </w:t>
      </w:r>
      <w:r>
        <w:rPr>
          <w:sz w:val="21"/>
        </w:rPr>
        <w:t>300 mm</w:t>
      </w:r>
      <w:r>
        <w:rPr>
          <w:spacing w:val="-3"/>
          <w:sz w:val="21"/>
        </w:rPr>
        <w:t>。</w:t>
      </w:r>
      <w:r>
        <w:rPr>
          <w:sz w:val="21"/>
        </w:rPr>
        <w:t xml:space="preserve"> </w:t>
      </w:r>
    </w:p>
    <w:p w14:paraId="4E0D1C31" w14:textId="77777777" w:rsidR="00A71EEF" w:rsidRDefault="0081115D">
      <w:pPr>
        <w:pStyle w:val="a4"/>
        <w:numPr>
          <w:ilvl w:val="2"/>
          <w:numId w:val="822"/>
        </w:numPr>
        <w:tabs>
          <w:tab w:val="left" w:pos="1478"/>
        </w:tabs>
        <w:spacing w:line="446" w:lineRule="auto"/>
        <w:ind w:right="1447" w:firstLine="422"/>
        <w:rPr>
          <w:sz w:val="21"/>
        </w:rPr>
      </w:pPr>
      <w:r>
        <w:rPr>
          <w:spacing w:val="-7"/>
          <w:sz w:val="21"/>
        </w:rPr>
        <w:t>消防车爬梯的梯磴宽度不小于</w:t>
      </w:r>
      <w:r>
        <w:rPr>
          <w:spacing w:val="-7"/>
          <w:sz w:val="21"/>
        </w:rPr>
        <w:t xml:space="preserve"> </w:t>
      </w:r>
      <w:r>
        <w:rPr>
          <w:sz w:val="21"/>
        </w:rPr>
        <w:t>250</w:t>
      </w:r>
      <w:r>
        <w:rPr>
          <w:spacing w:val="6"/>
          <w:sz w:val="21"/>
        </w:rPr>
        <w:t xml:space="preserve"> </w:t>
      </w:r>
      <w:r>
        <w:rPr>
          <w:sz w:val="21"/>
        </w:rPr>
        <w:t>mm</w:t>
      </w:r>
      <w:r>
        <w:rPr>
          <w:spacing w:val="-13"/>
          <w:sz w:val="21"/>
        </w:rPr>
        <w:t>，梯磴在</w:t>
      </w:r>
      <w:r>
        <w:rPr>
          <w:spacing w:val="-13"/>
          <w:sz w:val="21"/>
        </w:rPr>
        <w:t xml:space="preserve"> </w:t>
      </w:r>
      <w:r>
        <w:rPr>
          <w:sz w:val="21"/>
        </w:rPr>
        <w:t>50mm</w:t>
      </w:r>
      <w:r>
        <w:rPr>
          <w:spacing w:val="-17"/>
          <w:sz w:val="21"/>
        </w:rPr>
        <w:t xml:space="preserve"> </w:t>
      </w:r>
      <w:r>
        <w:rPr>
          <w:spacing w:val="-17"/>
          <w:sz w:val="21"/>
        </w:rPr>
        <w:t>宽度上承受</w:t>
      </w:r>
      <w:r>
        <w:rPr>
          <w:spacing w:val="-17"/>
          <w:sz w:val="21"/>
        </w:rPr>
        <w:t xml:space="preserve"> </w:t>
      </w:r>
      <w:r>
        <w:rPr>
          <w:sz w:val="21"/>
        </w:rPr>
        <w:t>300</w:t>
      </w:r>
      <w:r>
        <w:rPr>
          <w:spacing w:val="3"/>
          <w:sz w:val="21"/>
        </w:rPr>
        <w:t xml:space="preserve"> </w:t>
      </w:r>
      <w:r>
        <w:rPr>
          <w:sz w:val="21"/>
        </w:rPr>
        <w:t>kg</w:t>
      </w:r>
      <w:r>
        <w:rPr>
          <w:spacing w:val="-10"/>
          <w:sz w:val="21"/>
        </w:rPr>
        <w:t xml:space="preserve"> </w:t>
      </w:r>
      <w:r>
        <w:rPr>
          <w:spacing w:val="-10"/>
          <w:sz w:val="21"/>
        </w:rPr>
        <w:t>载荷不发生</w:t>
      </w:r>
      <w:r>
        <w:rPr>
          <w:spacing w:val="-8"/>
          <w:sz w:val="21"/>
        </w:rPr>
        <w:t>断裂。</w:t>
      </w:r>
      <w:r>
        <w:rPr>
          <w:sz w:val="21"/>
        </w:rPr>
        <w:t xml:space="preserve"> </w:t>
      </w:r>
    </w:p>
    <w:p w14:paraId="67FF60C9" w14:textId="77777777" w:rsidR="00A71EEF" w:rsidRDefault="0081115D">
      <w:pPr>
        <w:pStyle w:val="a4"/>
        <w:numPr>
          <w:ilvl w:val="1"/>
          <w:numId w:val="822"/>
        </w:numPr>
        <w:tabs>
          <w:tab w:val="left" w:pos="1264"/>
        </w:tabs>
        <w:rPr>
          <w:b/>
          <w:sz w:val="21"/>
        </w:rPr>
      </w:pPr>
      <w:r>
        <w:rPr>
          <w:spacing w:val="-3"/>
          <w:sz w:val="21"/>
        </w:rPr>
        <w:t>制动垫块</w:t>
      </w:r>
      <w:r>
        <w:rPr>
          <w:b/>
          <w:w w:val="99"/>
          <w:sz w:val="21"/>
        </w:rPr>
        <w:t xml:space="preserve"> </w:t>
      </w:r>
    </w:p>
    <w:p w14:paraId="4B30E8D1" w14:textId="77777777" w:rsidR="00A71EEF" w:rsidRDefault="00A71EEF">
      <w:pPr>
        <w:pStyle w:val="a3"/>
        <w:spacing w:before="10"/>
        <w:rPr>
          <w:b/>
          <w:sz w:val="17"/>
        </w:rPr>
      </w:pPr>
    </w:p>
    <w:p w14:paraId="2E60860C" w14:textId="77777777" w:rsidR="00A71EEF" w:rsidRDefault="0081115D">
      <w:pPr>
        <w:pStyle w:val="a3"/>
        <w:spacing w:line="446" w:lineRule="auto"/>
        <w:ind w:left="418" w:right="1391" w:firstLine="419"/>
      </w:pPr>
      <w:r>
        <w:t>消防车应至少配备两个车轮制动块。消防车满载状态停留在</w:t>
      </w:r>
      <w:r>
        <w:t xml:space="preserve"> 20%</w:t>
      </w:r>
      <w:r>
        <w:t>的坡道上，变速器置于空挡位置，当制动块放好并松开驻车制动时，车辆不应移动。</w:t>
      </w:r>
      <w:r>
        <w:t xml:space="preserve"> </w:t>
      </w:r>
    </w:p>
    <w:p w14:paraId="48035852" w14:textId="77777777" w:rsidR="00A71EEF" w:rsidRDefault="0081115D">
      <w:pPr>
        <w:pStyle w:val="a4"/>
        <w:numPr>
          <w:ilvl w:val="1"/>
          <w:numId w:val="822"/>
        </w:numPr>
        <w:tabs>
          <w:tab w:val="left" w:pos="1266"/>
        </w:tabs>
        <w:ind w:left="1265" w:hanging="426"/>
        <w:rPr>
          <w:b/>
          <w:sz w:val="21"/>
        </w:rPr>
      </w:pPr>
      <w:r>
        <w:rPr>
          <w:spacing w:val="-3"/>
          <w:sz w:val="21"/>
        </w:rPr>
        <w:t>附加储气瓶</w:t>
      </w:r>
      <w:r>
        <w:rPr>
          <w:b/>
          <w:w w:val="99"/>
          <w:sz w:val="21"/>
        </w:rPr>
        <w:t xml:space="preserve"> </w:t>
      </w:r>
    </w:p>
    <w:p w14:paraId="43601316" w14:textId="77777777" w:rsidR="00A71EEF" w:rsidRDefault="00A71EEF">
      <w:pPr>
        <w:pStyle w:val="a3"/>
        <w:rPr>
          <w:b/>
          <w:sz w:val="18"/>
        </w:rPr>
      </w:pPr>
    </w:p>
    <w:p w14:paraId="57C90FE7" w14:textId="77777777" w:rsidR="00A71EEF" w:rsidRDefault="0081115D">
      <w:pPr>
        <w:pStyle w:val="a3"/>
        <w:spacing w:line="446" w:lineRule="auto"/>
        <w:ind w:left="418" w:right="1608" w:firstLine="419"/>
        <w:jc w:val="both"/>
      </w:pPr>
      <w:r>
        <w:t>消防车装有附加的储气瓶并使用底盘空气压缩机进行充气时，附加储气瓶应安装防止制动储气瓶内压缩空气向附加储气瓶流动的单向阀。当制动储气瓶内压力降至设定数值后空气压缩机应立即停止向附加储气瓶充气并向制动储气瓶充气。</w:t>
      </w:r>
      <w:r>
        <w:t xml:space="preserve"> </w:t>
      </w:r>
    </w:p>
    <w:p w14:paraId="5773F3BF" w14:textId="77777777" w:rsidR="00A71EEF" w:rsidRDefault="0081115D">
      <w:pPr>
        <w:pStyle w:val="a4"/>
        <w:numPr>
          <w:ilvl w:val="1"/>
          <w:numId w:val="822"/>
        </w:numPr>
        <w:tabs>
          <w:tab w:val="left" w:pos="1264"/>
        </w:tabs>
        <w:spacing w:line="268" w:lineRule="exact"/>
        <w:rPr>
          <w:b/>
          <w:sz w:val="21"/>
        </w:rPr>
      </w:pPr>
      <w:r>
        <w:rPr>
          <w:spacing w:val="-3"/>
          <w:sz w:val="21"/>
        </w:rPr>
        <w:t>随车文件</w:t>
      </w:r>
      <w:r>
        <w:rPr>
          <w:b/>
          <w:w w:val="99"/>
          <w:sz w:val="21"/>
        </w:rPr>
        <w:t xml:space="preserve"> </w:t>
      </w:r>
    </w:p>
    <w:p w14:paraId="165AD6A2" w14:textId="77777777" w:rsidR="00A71EEF" w:rsidRDefault="00A71EEF">
      <w:pPr>
        <w:pStyle w:val="a3"/>
        <w:spacing w:before="2"/>
        <w:rPr>
          <w:b/>
          <w:sz w:val="18"/>
        </w:rPr>
      </w:pPr>
    </w:p>
    <w:p w14:paraId="35E8BC13" w14:textId="77777777" w:rsidR="00A71EEF" w:rsidRDefault="0081115D">
      <w:pPr>
        <w:pStyle w:val="a3"/>
        <w:spacing w:line="446" w:lineRule="auto"/>
        <w:ind w:left="418" w:right="1817" w:firstLine="419"/>
      </w:pPr>
      <w:r>
        <w:t>消防车随车文件应至少包括消防车底盘、整车和消防主要总成的合格证及中文使用说明书。</w:t>
      </w:r>
      <w:r>
        <w:t xml:space="preserve"> </w:t>
      </w:r>
    </w:p>
    <w:p w14:paraId="3C83F9B9" w14:textId="77777777" w:rsidR="00A71EEF" w:rsidRDefault="0081115D">
      <w:pPr>
        <w:pStyle w:val="a4"/>
        <w:numPr>
          <w:ilvl w:val="1"/>
          <w:numId w:val="822"/>
        </w:numPr>
        <w:tabs>
          <w:tab w:val="left" w:pos="1264"/>
        </w:tabs>
        <w:spacing w:line="267" w:lineRule="exact"/>
        <w:rPr>
          <w:b/>
          <w:sz w:val="21"/>
        </w:rPr>
      </w:pPr>
      <w:r>
        <w:rPr>
          <w:spacing w:val="-3"/>
          <w:sz w:val="21"/>
        </w:rPr>
        <w:t>外观质量</w:t>
      </w:r>
      <w:r>
        <w:rPr>
          <w:b/>
          <w:w w:val="99"/>
          <w:sz w:val="21"/>
        </w:rPr>
        <w:t xml:space="preserve"> </w:t>
      </w:r>
    </w:p>
    <w:p w14:paraId="2E0FF95D" w14:textId="77777777" w:rsidR="00A71EEF" w:rsidRDefault="00A71EEF">
      <w:pPr>
        <w:pStyle w:val="a3"/>
        <w:spacing w:before="1"/>
        <w:rPr>
          <w:b/>
          <w:sz w:val="18"/>
        </w:rPr>
      </w:pPr>
    </w:p>
    <w:p w14:paraId="35DE1F61" w14:textId="77777777" w:rsidR="00A71EEF" w:rsidRDefault="0081115D">
      <w:pPr>
        <w:pStyle w:val="a4"/>
        <w:numPr>
          <w:ilvl w:val="2"/>
          <w:numId w:val="822"/>
        </w:numPr>
        <w:tabs>
          <w:tab w:val="left" w:pos="1478"/>
        </w:tabs>
        <w:spacing w:before="1" w:line="446" w:lineRule="auto"/>
        <w:ind w:right="1450" w:firstLine="422"/>
        <w:rPr>
          <w:sz w:val="21"/>
        </w:rPr>
      </w:pPr>
      <w:r>
        <w:rPr>
          <w:spacing w:val="-8"/>
          <w:sz w:val="21"/>
        </w:rPr>
        <w:t>消防车的外表应喷涂</w:t>
      </w:r>
      <w:r>
        <w:rPr>
          <w:spacing w:val="-8"/>
          <w:sz w:val="21"/>
        </w:rPr>
        <w:t xml:space="preserve"> </w:t>
      </w:r>
      <w:r>
        <w:rPr>
          <w:sz w:val="21"/>
        </w:rPr>
        <w:t>R03</w:t>
      </w:r>
      <w:r>
        <w:rPr>
          <w:spacing w:val="-8"/>
          <w:sz w:val="21"/>
        </w:rPr>
        <w:t xml:space="preserve"> </w:t>
      </w:r>
      <w:r>
        <w:rPr>
          <w:spacing w:val="-8"/>
          <w:sz w:val="21"/>
        </w:rPr>
        <w:t>大红色。油漆层的外观应光滑、平整、色泽均匀，不应有</w:t>
      </w:r>
      <w:r>
        <w:rPr>
          <w:spacing w:val="-7"/>
          <w:sz w:val="21"/>
        </w:rPr>
        <w:t>缺漆等缺陷，车身两侧及后平面的平面度和面轮廓度在</w:t>
      </w:r>
      <w:r>
        <w:rPr>
          <w:spacing w:val="-7"/>
          <w:sz w:val="21"/>
        </w:rPr>
        <w:t xml:space="preserve"> </w:t>
      </w:r>
      <w:r>
        <w:rPr>
          <w:sz w:val="21"/>
        </w:rPr>
        <w:t>1000mm×1000</w:t>
      </w:r>
      <w:r>
        <w:rPr>
          <w:spacing w:val="11"/>
          <w:sz w:val="21"/>
        </w:rPr>
        <w:t xml:space="preserve"> </w:t>
      </w:r>
      <w:r>
        <w:rPr>
          <w:sz w:val="21"/>
        </w:rPr>
        <w:t>mm</w:t>
      </w:r>
      <w:r>
        <w:rPr>
          <w:spacing w:val="-13"/>
          <w:sz w:val="21"/>
        </w:rPr>
        <w:t xml:space="preserve"> </w:t>
      </w:r>
      <w:r>
        <w:rPr>
          <w:spacing w:val="-13"/>
          <w:sz w:val="21"/>
        </w:rPr>
        <w:t>的范围内不大于</w:t>
      </w:r>
      <w:r>
        <w:rPr>
          <w:spacing w:val="-13"/>
          <w:sz w:val="21"/>
        </w:rPr>
        <w:t xml:space="preserve"> </w:t>
      </w:r>
      <w:r>
        <w:rPr>
          <w:sz w:val="21"/>
        </w:rPr>
        <w:t>3mm</w:t>
      </w:r>
      <w:r>
        <w:rPr>
          <w:sz w:val="21"/>
        </w:rPr>
        <w:t>。</w:t>
      </w:r>
      <w:r>
        <w:rPr>
          <w:spacing w:val="-3"/>
          <w:sz w:val="21"/>
        </w:rPr>
        <w:t>涂漆零件相互之间不应有显著的色差和光泽差。装饰表面不应有麻坑、斑点、杂色、裂痕、气</w:t>
      </w:r>
      <w:r>
        <w:rPr>
          <w:spacing w:val="-3"/>
          <w:sz w:val="21"/>
        </w:rPr>
        <w:t xml:space="preserve"> </w:t>
      </w:r>
      <w:r>
        <w:rPr>
          <w:spacing w:val="-3"/>
          <w:sz w:val="21"/>
        </w:rPr>
        <w:t>泡及明显的划伤、流痕等缺陷；非装饰表面不应有露底和明显的划伤及毛刺等缺陷。</w:t>
      </w:r>
      <w:r>
        <w:rPr>
          <w:sz w:val="21"/>
        </w:rPr>
        <w:t xml:space="preserve"> </w:t>
      </w:r>
    </w:p>
    <w:p w14:paraId="2566A7BA" w14:textId="77777777" w:rsidR="00A71EEF" w:rsidRDefault="0081115D">
      <w:pPr>
        <w:pStyle w:val="a4"/>
        <w:numPr>
          <w:ilvl w:val="2"/>
          <w:numId w:val="822"/>
        </w:numPr>
        <w:tabs>
          <w:tab w:val="left" w:pos="1478"/>
        </w:tabs>
        <w:spacing w:line="446" w:lineRule="auto"/>
        <w:ind w:right="1496" w:firstLine="422"/>
        <w:rPr>
          <w:sz w:val="21"/>
        </w:rPr>
      </w:pPr>
      <w:r>
        <w:rPr>
          <w:spacing w:val="-3"/>
          <w:sz w:val="21"/>
        </w:rPr>
        <w:t>消防车的电镀层及化学处理层表面色泽应均匀，不应有烧黑、鼓泡、剥落、锈蚀、露底、明显的划伤及毛刺等缺陷。</w:t>
      </w:r>
      <w:r>
        <w:rPr>
          <w:sz w:val="21"/>
        </w:rPr>
        <w:t xml:space="preserve"> </w:t>
      </w:r>
    </w:p>
    <w:p w14:paraId="6E3D5C17" w14:textId="77777777" w:rsidR="00A71EEF" w:rsidRDefault="0081115D">
      <w:pPr>
        <w:pStyle w:val="a4"/>
        <w:numPr>
          <w:ilvl w:val="2"/>
          <w:numId w:val="822"/>
        </w:numPr>
        <w:tabs>
          <w:tab w:val="left" w:pos="1478"/>
        </w:tabs>
        <w:spacing w:line="446" w:lineRule="auto"/>
        <w:ind w:right="1498" w:firstLine="422"/>
        <w:rPr>
          <w:sz w:val="21"/>
        </w:rPr>
      </w:pPr>
      <w:r>
        <w:rPr>
          <w:spacing w:val="-3"/>
          <w:sz w:val="21"/>
        </w:rPr>
        <w:t>消防车的焊接件焊点、焊缝外观应平整、均匀，无明显的堆积及飞溅物，不应有漏焊、焊瘤、夹渣、裂纹、气孔、咬边、烧穿、凹坑、未焊满、塌焊等缺陷。</w:t>
      </w:r>
      <w:r>
        <w:rPr>
          <w:sz w:val="21"/>
        </w:rPr>
        <w:t xml:space="preserve"> </w:t>
      </w:r>
    </w:p>
    <w:p w14:paraId="4302D02C" w14:textId="77777777" w:rsidR="00A71EEF" w:rsidRDefault="0081115D">
      <w:pPr>
        <w:pStyle w:val="a4"/>
        <w:numPr>
          <w:ilvl w:val="2"/>
          <w:numId w:val="822"/>
        </w:numPr>
        <w:tabs>
          <w:tab w:val="left" w:pos="1478"/>
        </w:tabs>
        <w:spacing w:line="267" w:lineRule="exact"/>
        <w:ind w:left="1477" w:hanging="638"/>
        <w:rPr>
          <w:sz w:val="21"/>
        </w:rPr>
      </w:pPr>
      <w:r>
        <w:rPr>
          <w:spacing w:val="-3"/>
          <w:sz w:val="21"/>
        </w:rPr>
        <w:t>消防车的塑料件表面色泽应均匀，不应有明显的划伤、飞边、裂纹及凸凹等缺陷。</w:t>
      </w:r>
      <w:r>
        <w:rPr>
          <w:sz w:val="21"/>
        </w:rPr>
        <w:t xml:space="preserve"> </w:t>
      </w:r>
    </w:p>
    <w:p w14:paraId="5DF8FE86" w14:textId="77777777" w:rsidR="00A71EEF" w:rsidRDefault="00A71EEF">
      <w:pPr>
        <w:pStyle w:val="a3"/>
        <w:spacing w:before="12"/>
        <w:rPr>
          <w:sz w:val="17"/>
        </w:rPr>
      </w:pPr>
    </w:p>
    <w:p w14:paraId="34495304" w14:textId="77777777" w:rsidR="00A71EEF" w:rsidRDefault="0081115D">
      <w:pPr>
        <w:pStyle w:val="a4"/>
        <w:numPr>
          <w:ilvl w:val="1"/>
          <w:numId w:val="822"/>
        </w:numPr>
        <w:tabs>
          <w:tab w:val="left" w:pos="1264"/>
        </w:tabs>
        <w:rPr>
          <w:b/>
          <w:sz w:val="21"/>
        </w:rPr>
      </w:pPr>
      <w:r>
        <w:rPr>
          <w:spacing w:val="-3"/>
          <w:sz w:val="21"/>
        </w:rPr>
        <w:t>装备多种消防专用装置的消防车</w:t>
      </w:r>
      <w:r>
        <w:rPr>
          <w:b/>
          <w:w w:val="99"/>
          <w:sz w:val="21"/>
        </w:rPr>
        <w:t xml:space="preserve"> </w:t>
      </w:r>
    </w:p>
    <w:p w14:paraId="7C028F59" w14:textId="77777777" w:rsidR="00A71EEF" w:rsidRDefault="00A71EEF">
      <w:pPr>
        <w:rPr>
          <w:sz w:val="21"/>
        </w:rPr>
        <w:sectPr w:rsidR="00A71EEF">
          <w:pgSz w:w="11910" w:h="16850"/>
          <w:pgMar w:top="1220" w:right="0" w:bottom="1420" w:left="1260" w:header="0" w:footer="1239" w:gutter="0"/>
          <w:cols w:space="720"/>
        </w:sectPr>
      </w:pPr>
    </w:p>
    <w:p w14:paraId="094253CE" w14:textId="77777777" w:rsidR="00A71EEF" w:rsidRDefault="0081115D">
      <w:pPr>
        <w:pStyle w:val="a3"/>
        <w:spacing w:before="47" w:line="446" w:lineRule="auto"/>
        <w:ind w:left="418" w:right="1609" w:firstLine="419"/>
      </w:pPr>
      <w:r>
        <w:lastRenderedPageBreak/>
        <w:t>消防车如装备了多种消防专用装置，各装置应符合消防车系列标准中各部分的相关技术要求，并应以其主要功能定义消防车型号。</w:t>
      </w:r>
      <w:r>
        <w:t xml:space="preserve"> </w:t>
      </w:r>
    </w:p>
    <w:p w14:paraId="5095ACB9" w14:textId="77777777" w:rsidR="00A71EEF" w:rsidRDefault="00A71EEF">
      <w:pPr>
        <w:pStyle w:val="a3"/>
        <w:spacing w:before="9"/>
        <w:rPr>
          <w:sz w:val="17"/>
        </w:rPr>
      </w:pPr>
    </w:p>
    <w:p w14:paraId="19101977" w14:textId="77777777" w:rsidR="00A71EEF" w:rsidRDefault="0081115D">
      <w:pPr>
        <w:pStyle w:val="4"/>
        <w:spacing w:before="1"/>
      </w:pPr>
      <w:r>
        <w:t xml:space="preserve">6 </w:t>
      </w:r>
      <w:r>
        <w:t>试验方法</w:t>
      </w:r>
      <w:r>
        <w:rPr>
          <w:w w:val="99"/>
        </w:rPr>
        <w:t xml:space="preserve"> </w:t>
      </w:r>
    </w:p>
    <w:p w14:paraId="19AD9F0F" w14:textId="77777777" w:rsidR="00A71EEF" w:rsidRDefault="00A71EEF">
      <w:pPr>
        <w:pStyle w:val="a3"/>
        <w:rPr>
          <w:b/>
          <w:sz w:val="24"/>
        </w:rPr>
      </w:pPr>
    </w:p>
    <w:p w14:paraId="34BBB819" w14:textId="77777777" w:rsidR="00A71EEF" w:rsidRDefault="0081115D">
      <w:pPr>
        <w:pStyle w:val="a4"/>
        <w:numPr>
          <w:ilvl w:val="1"/>
          <w:numId w:val="821"/>
        </w:numPr>
        <w:tabs>
          <w:tab w:val="left" w:pos="1159"/>
        </w:tabs>
        <w:spacing w:before="175"/>
        <w:ind w:hanging="319"/>
        <w:rPr>
          <w:b/>
          <w:sz w:val="21"/>
        </w:rPr>
      </w:pPr>
      <w:r>
        <w:rPr>
          <w:spacing w:val="-3"/>
          <w:sz w:val="21"/>
        </w:rPr>
        <w:t>整车性能试验</w:t>
      </w:r>
      <w:r>
        <w:rPr>
          <w:b/>
          <w:w w:val="99"/>
          <w:sz w:val="21"/>
        </w:rPr>
        <w:t xml:space="preserve"> </w:t>
      </w:r>
    </w:p>
    <w:p w14:paraId="20927305" w14:textId="77777777" w:rsidR="00A71EEF" w:rsidRDefault="00A71EEF">
      <w:pPr>
        <w:pStyle w:val="a3"/>
        <w:spacing w:before="2"/>
        <w:rPr>
          <w:b/>
          <w:sz w:val="18"/>
        </w:rPr>
      </w:pPr>
    </w:p>
    <w:p w14:paraId="2D535BC9" w14:textId="77777777" w:rsidR="00A71EEF" w:rsidRDefault="0081115D">
      <w:pPr>
        <w:pStyle w:val="a4"/>
        <w:numPr>
          <w:ilvl w:val="2"/>
          <w:numId w:val="821"/>
        </w:numPr>
        <w:tabs>
          <w:tab w:val="left" w:pos="1370"/>
        </w:tabs>
        <w:ind w:hanging="530"/>
        <w:rPr>
          <w:sz w:val="21"/>
        </w:rPr>
      </w:pPr>
      <w:r>
        <w:rPr>
          <w:spacing w:val="-3"/>
          <w:sz w:val="21"/>
        </w:rPr>
        <w:t>可靠性行驶试验</w:t>
      </w:r>
      <w:r>
        <w:rPr>
          <w:sz w:val="21"/>
        </w:rPr>
        <w:t xml:space="preserve"> </w:t>
      </w:r>
    </w:p>
    <w:p w14:paraId="71F5071B" w14:textId="77777777" w:rsidR="00A71EEF" w:rsidRDefault="00A71EEF">
      <w:pPr>
        <w:pStyle w:val="a3"/>
        <w:rPr>
          <w:sz w:val="18"/>
        </w:rPr>
      </w:pPr>
    </w:p>
    <w:p w14:paraId="601E95E3" w14:textId="77777777" w:rsidR="00A71EEF" w:rsidRDefault="0081115D">
      <w:pPr>
        <w:pStyle w:val="a3"/>
        <w:spacing w:line="446" w:lineRule="auto"/>
        <w:ind w:left="418" w:right="1450" w:firstLine="419"/>
      </w:pPr>
      <w:r>
        <w:t>5000km</w:t>
      </w:r>
      <w:r>
        <w:rPr>
          <w:spacing w:val="-8"/>
        </w:rPr>
        <w:t xml:space="preserve"> </w:t>
      </w:r>
      <w:r>
        <w:rPr>
          <w:spacing w:val="-8"/>
        </w:rPr>
        <w:t>可靠性行驶试验时消防车应满载，凹凸不平坏路和山路行驶应在国家汽车主管部门</w:t>
      </w:r>
      <w:r>
        <w:rPr>
          <w:spacing w:val="-7"/>
        </w:rPr>
        <w:t>认可的汽车试验场进行。高速路的平均行驶速度不小于</w:t>
      </w:r>
      <w:r>
        <w:rPr>
          <w:spacing w:val="-7"/>
        </w:rPr>
        <w:t xml:space="preserve"> </w:t>
      </w:r>
      <w:r>
        <w:t>80</w:t>
      </w:r>
      <w:r>
        <w:rPr>
          <w:spacing w:val="24"/>
        </w:rPr>
        <w:t xml:space="preserve"> </w:t>
      </w:r>
      <w:r>
        <w:t>km/h</w:t>
      </w:r>
      <w:r>
        <w:rPr>
          <w:spacing w:val="-3"/>
        </w:rPr>
        <w:t>，铺装路面的平均行驶速度不小</w:t>
      </w:r>
      <w:r>
        <w:rPr>
          <w:spacing w:val="-23"/>
        </w:rPr>
        <w:t>于</w:t>
      </w:r>
      <w:r>
        <w:rPr>
          <w:spacing w:val="-23"/>
        </w:rPr>
        <w:t xml:space="preserve"> </w:t>
      </w:r>
      <w:r>
        <w:t>50</w:t>
      </w:r>
      <w:r>
        <w:rPr>
          <w:spacing w:val="11"/>
        </w:rPr>
        <w:t xml:space="preserve"> </w:t>
      </w:r>
      <w:r>
        <w:t>km/h</w:t>
      </w:r>
      <w:r>
        <w:rPr>
          <w:spacing w:val="-6"/>
        </w:rPr>
        <w:t>，凹凸不平坏路的平均行驶速度不小于</w:t>
      </w:r>
      <w:r>
        <w:rPr>
          <w:spacing w:val="-6"/>
        </w:rPr>
        <w:t xml:space="preserve"> </w:t>
      </w:r>
      <w:r>
        <w:t>30</w:t>
      </w:r>
      <w:r>
        <w:rPr>
          <w:spacing w:val="14"/>
        </w:rPr>
        <w:t xml:space="preserve"> </w:t>
      </w:r>
      <w:r>
        <w:t>km/h</w:t>
      </w:r>
      <w:r>
        <w:rPr>
          <w:spacing w:val="-6"/>
        </w:rPr>
        <w:t>，山路的平均行驶速度不小于</w:t>
      </w:r>
      <w:r>
        <w:rPr>
          <w:spacing w:val="-6"/>
        </w:rPr>
        <w:t xml:space="preserve"> </w:t>
      </w:r>
      <w:r>
        <w:t>20 km/h</w:t>
      </w:r>
      <w:r>
        <w:rPr>
          <w:spacing w:val="-5"/>
        </w:rPr>
        <w:t>。各种路面应有不少于此路面行驶里程</w:t>
      </w:r>
      <w:r>
        <w:rPr>
          <w:spacing w:val="-5"/>
        </w:rPr>
        <w:t xml:space="preserve"> </w:t>
      </w:r>
      <w:r>
        <w:t>20</w:t>
      </w:r>
      <w:r>
        <w:rPr>
          <w:spacing w:val="-3"/>
        </w:rPr>
        <w:t>%</w:t>
      </w:r>
      <w:r>
        <w:rPr>
          <w:spacing w:val="-3"/>
        </w:rPr>
        <w:t>的夜间行驶试验，在汽车试验场试验时应打开警灯和频闪灯。可靠性行驶试验里程不包括磨合行驶里程和其他试验的行驶里程。试验中若发生</w:t>
      </w:r>
      <w:r>
        <w:rPr>
          <w:spacing w:val="-3"/>
        </w:rPr>
        <w:t xml:space="preserve"> </w:t>
      </w:r>
      <w:r>
        <w:rPr>
          <w:spacing w:val="-3"/>
        </w:rPr>
        <w:t>危及安全、影响主要维能、出现试验现场不能修复的故障或消防设施故障频发（</w:t>
      </w:r>
      <w:r>
        <w:rPr>
          <w:spacing w:val="-24"/>
        </w:rPr>
        <w:t>每</w:t>
      </w:r>
      <w:r>
        <w:rPr>
          <w:spacing w:val="-24"/>
        </w:rPr>
        <w:t xml:space="preserve"> </w:t>
      </w:r>
      <w:r>
        <w:t>1000</w:t>
      </w:r>
      <w:r>
        <w:rPr>
          <w:spacing w:val="13"/>
        </w:rPr>
        <w:t xml:space="preserve"> </w:t>
      </w:r>
      <w:r>
        <w:t>km</w:t>
      </w:r>
      <w:r>
        <w:rPr>
          <w:spacing w:val="-25"/>
        </w:rPr>
        <w:t xml:space="preserve"> </w:t>
      </w:r>
      <w:r>
        <w:rPr>
          <w:spacing w:val="-25"/>
        </w:rPr>
        <w:t>故</w:t>
      </w:r>
      <w:r>
        <w:rPr>
          <w:spacing w:val="-20"/>
        </w:rPr>
        <w:t>障数大于</w:t>
      </w:r>
      <w:r>
        <w:rPr>
          <w:spacing w:val="-20"/>
        </w:rPr>
        <w:t xml:space="preserve"> </w:t>
      </w:r>
      <w:r>
        <w:t>2</w:t>
      </w:r>
      <w:r>
        <w:rPr>
          <w:spacing w:val="-24"/>
        </w:rPr>
        <w:t xml:space="preserve"> </w:t>
      </w:r>
      <w:r>
        <w:rPr>
          <w:spacing w:val="-24"/>
        </w:rPr>
        <w:t>次</w:t>
      </w:r>
      <w:r>
        <w:rPr>
          <w:spacing w:val="-3"/>
        </w:rPr>
        <w:t>）等情况应终止试验，找出故障原因并改正后重新试验。可靠性行驶试验应记录各路面的试验里程、各路面白天、夜间试验时间和试验期间的故障情况及排除方法，</w:t>
      </w:r>
      <w:r>
        <w:rPr>
          <w:spacing w:val="-3"/>
        </w:rPr>
        <w:t>判断试验</w:t>
      </w:r>
      <w:r>
        <w:rPr>
          <w:spacing w:val="-3"/>
        </w:rPr>
        <w:t xml:space="preserve"> </w:t>
      </w:r>
      <w:r>
        <w:rPr>
          <w:spacing w:val="-11"/>
        </w:rPr>
        <w:t>结果是否符合</w:t>
      </w:r>
      <w:r>
        <w:rPr>
          <w:spacing w:val="-11"/>
        </w:rPr>
        <w:t xml:space="preserve"> </w:t>
      </w:r>
      <w:r>
        <w:t>5.1.1</w:t>
      </w:r>
      <w:r>
        <w:rPr>
          <w:spacing w:val="-12"/>
        </w:rPr>
        <w:t xml:space="preserve"> </w:t>
      </w:r>
      <w:r>
        <w:rPr>
          <w:spacing w:val="-12"/>
        </w:rPr>
        <w:t>的规定。</w:t>
      </w:r>
      <w:r>
        <w:rPr>
          <w:spacing w:val="-12"/>
        </w:rPr>
        <w:t xml:space="preserve"> </w:t>
      </w:r>
    </w:p>
    <w:p w14:paraId="106901B4" w14:textId="77777777" w:rsidR="00A71EEF" w:rsidRDefault="0081115D">
      <w:pPr>
        <w:pStyle w:val="a4"/>
        <w:numPr>
          <w:ilvl w:val="2"/>
          <w:numId w:val="821"/>
        </w:numPr>
        <w:tabs>
          <w:tab w:val="left" w:pos="1370"/>
        </w:tabs>
        <w:spacing w:line="266" w:lineRule="exact"/>
        <w:ind w:hanging="530"/>
        <w:rPr>
          <w:sz w:val="21"/>
        </w:rPr>
      </w:pPr>
      <w:r>
        <w:rPr>
          <w:spacing w:val="-3"/>
          <w:sz w:val="21"/>
        </w:rPr>
        <w:t>动力性能</w:t>
      </w:r>
      <w:r>
        <w:rPr>
          <w:sz w:val="21"/>
        </w:rPr>
        <w:t xml:space="preserve"> </w:t>
      </w:r>
    </w:p>
    <w:p w14:paraId="277320DF" w14:textId="77777777" w:rsidR="00A71EEF" w:rsidRDefault="00A71EEF">
      <w:pPr>
        <w:pStyle w:val="a3"/>
        <w:spacing w:before="12"/>
        <w:rPr>
          <w:sz w:val="17"/>
        </w:rPr>
      </w:pPr>
    </w:p>
    <w:p w14:paraId="06C0D39F" w14:textId="77777777" w:rsidR="00A71EEF" w:rsidRDefault="0081115D">
      <w:pPr>
        <w:pStyle w:val="a4"/>
        <w:numPr>
          <w:ilvl w:val="3"/>
          <w:numId w:val="821"/>
        </w:numPr>
        <w:tabs>
          <w:tab w:val="left" w:pos="1576"/>
        </w:tabs>
        <w:rPr>
          <w:sz w:val="21"/>
        </w:rPr>
      </w:pPr>
      <w:r>
        <w:rPr>
          <w:spacing w:val="-5"/>
          <w:sz w:val="21"/>
        </w:rPr>
        <w:t>将发动机净功率除以车辆满载总质量，判断试验结果是否符合</w:t>
      </w:r>
      <w:r>
        <w:rPr>
          <w:spacing w:val="-5"/>
          <w:sz w:val="21"/>
        </w:rPr>
        <w:t xml:space="preserve"> </w:t>
      </w:r>
      <w:r>
        <w:rPr>
          <w:sz w:val="21"/>
        </w:rPr>
        <w:t>5.1.2.1</w:t>
      </w:r>
      <w:r>
        <w:rPr>
          <w:spacing w:val="-13"/>
          <w:sz w:val="21"/>
        </w:rPr>
        <w:t xml:space="preserve"> </w:t>
      </w:r>
      <w:r>
        <w:rPr>
          <w:spacing w:val="-13"/>
          <w:sz w:val="21"/>
        </w:rPr>
        <w:t>的规定。</w:t>
      </w:r>
      <w:r>
        <w:rPr>
          <w:sz w:val="21"/>
        </w:rPr>
        <w:t xml:space="preserve"> </w:t>
      </w:r>
    </w:p>
    <w:p w14:paraId="2E832E9D" w14:textId="77777777" w:rsidR="00A71EEF" w:rsidRDefault="00A71EEF">
      <w:pPr>
        <w:pStyle w:val="a3"/>
        <w:spacing w:before="2"/>
        <w:rPr>
          <w:sz w:val="18"/>
        </w:rPr>
      </w:pPr>
    </w:p>
    <w:p w14:paraId="79A00B2F" w14:textId="77777777" w:rsidR="00A71EEF" w:rsidRDefault="0081115D">
      <w:pPr>
        <w:pStyle w:val="a4"/>
        <w:numPr>
          <w:ilvl w:val="3"/>
          <w:numId w:val="821"/>
        </w:numPr>
        <w:tabs>
          <w:tab w:val="left" w:pos="1576"/>
        </w:tabs>
        <w:spacing w:line="446" w:lineRule="auto"/>
        <w:ind w:left="418" w:right="1505" w:firstLine="419"/>
        <w:rPr>
          <w:sz w:val="21"/>
        </w:rPr>
      </w:pPr>
      <w:r>
        <w:rPr>
          <w:spacing w:val="-8"/>
          <w:sz w:val="21"/>
        </w:rPr>
        <w:t>消防车最高车速和</w:t>
      </w:r>
      <w:r>
        <w:rPr>
          <w:spacing w:val="-8"/>
          <w:sz w:val="21"/>
        </w:rPr>
        <w:t xml:space="preserve"> </w:t>
      </w:r>
      <w:r>
        <w:rPr>
          <w:sz w:val="21"/>
        </w:rPr>
        <w:t>0</w:t>
      </w:r>
      <w:r>
        <w:rPr>
          <w:sz w:val="21"/>
        </w:rPr>
        <w:t>～</w:t>
      </w:r>
      <w:r>
        <w:rPr>
          <w:sz w:val="21"/>
        </w:rPr>
        <w:t>60</w:t>
      </w:r>
      <w:r>
        <w:rPr>
          <w:spacing w:val="12"/>
          <w:sz w:val="21"/>
        </w:rPr>
        <w:t xml:space="preserve"> </w:t>
      </w:r>
      <w:r>
        <w:rPr>
          <w:sz w:val="21"/>
        </w:rPr>
        <w:t>km/h</w:t>
      </w:r>
      <w:r>
        <w:rPr>
          <w:spacing w:val="-9"/>
          <w:sz w:val="21"/>
        </w:rPr>
        <w:t xml:space="preserve"> </w:t>
      </w:r>
      <w:r>
        <w:rPr>
          <w:spacing w:val="-9"/>
          <w:sz w:val="21"/>
        </w:rPr>
        <w:t>加速时间试验应在国家汽车主管部门认可的汽车试</w:t>
      </w:r>
      <w:r>
        <w:rPr>
          <w:spacing w:val="-7"/>
          <w:sz w:val="21"/>
        </w:rPr>
        <w:t>验场进行，试验的道路、气象条件和试验车辆准备应符合</w:t>
      </w:r>
      <w:r>
        <w:rPr>
          <w:spacing w:val="-7"/>
          <w:sz w:val="21"/>
        </w:rPr>
        <w:t xml:space="preserve"> </w:t>
      </w:r>
      <w:r>
        <w:rPr>
          <w:sz w:val="21"/>
        </w:rPr>
        <w:t>GB/T</w:t>
      </w:r>
      <w:r>
        <w:rPr>
          <w:spacing w:val="20"/>
          <w:sz w:val="21"/>
        </w:rPr>
        <w:t xml:space="preserve"> </w:t>
      </w:r>
      <w:r>
        <w:rPr>
          <w:sz w:val="21"/>
        </w:rPr>
        <w:t>12534</w:t>
      </w:r>
      <w:r>
        <w:rPr>
          <w:spacing w:val="-8"/>
          <w:sz w:val="21"/>
        </w:rPr>
        <w:t xml:space="preserve"> </w:t>
      </w:r>
      <w:r>
        <w:rPr>
          <w:spacing w:val="-8"/>
          <w:sz w:val="21"/>
        </w:rPr>
        <w:t>的要求。试验时消防车应</w:t>
      </w:r>
      <w:r>
        <w:rPr>
          <w:spacing w:val="-5"/>
          <w:sz w:val="21"/>
        </w:rPr>
        <w:t>满载，燃油箱加满燃油，驾驶员和试验员外，其他乘员应使用重物按</w:t>
      </w:r>
      <w:r>
        <w:rPr>
          <w:spacing w:val="-5"/>
          <w:sz w:val="21"/>
        </w:rPr>
        <w:t xml:space="preserve"> </w:t>
      </w:r>
      <w:r>
        <w:rPr>
          <w:sz w:val="21"/>
        </w:rPr>
        <w:t>75</w:t>
      </w:r>
      <w:r>
        <w:rPr>
          <w:spacing w:val="19"/>
          <w:sz w:val="21"/>
        </w:rPr>
        <w:t xml:space="preserve"> </w:t>
      </w:r>
      <w:r>
        <w:rPr>
          <w:sz w:val="21"/>
        </w:rPr>
        <w:t>kg/</w:t>
      </w:r>
      <w:r>
        <w:rPr>
          <w:spacing w:val="-3"/>
          <w:sz w:val="21"/>
        </w:rPr>
        <w:t>人加载。最高车速试验应使用速度测量仪，试验前应检查消防车轮胎气压、制动系统和转向系统是否正常，试验</w:t>
      </w:r>
      <w:r>
        <w:rPr>
          <w:spacing w:val="-1"/>
          <w:sz w:val="21"/>
        </w:rPr>
        <w:t>时应关闭车窗，打开警灯、警报器。达到最高车速应保持</w:t>
      </w:r>
      <w:r>
        <w:rPr>
          <w:spacing w:val="-1"/>
          <w:sz w:val="21"/>
        </w:rPr>
        <w:t xml:space="preserve"> </w:t>
      </w:r>
      <w:r>
        <w:rPr>
          <w:sz w:val="21"/>
        </w:rPr>
        <w:t>5s</w:t>
      </w:r>
      <w:r>
        <w:rPr>
          <w:spacing w:val="-3"/>
          <w:sz w:val="21"/>
        </w:rPr>
        <w:t>，试验应往、返各进行一次，取</w:t>
      </w:r>
      <w:r>
        <w:rPr>
          <w:spacing w:val="-5"/>
          <w:sz w:val="21"/>
        </w:rPr>
        <w:t>往、返试验的平均值为最高车速。起步换挡加速时间试验应按</w:t>
      </w:r>
      <w:r>
        <w:rPr>
          <w:spacing w:val="-5"/>
          <w:sz w:val="21"/>
        </w:rPr>
        <w:t xml:space="preserve"> </w:t>
      </w:r>
      <w:r>
        <w:rPr>
          <w:sz w:val="21"/>
        </w:rPr>
        <w:t>GB/T</w:t>
      </w:r>
      <w:r>
        <w:rPr>
          <w:spacing w:val="21"/>
          <w:sz w:val="21"/>
        </w:rPr>
        <w:t xml:space="preserve"> </w:t>
      </w:r>
      <w:r>
        <w:rPr>
          <w:sz w:val="21"/>
        </w:rPr>
        <w:t>12543</w:t>
      </w:r>
      <w:r>
        <w:rPr>
          <w:spacing w:val="-8"/>
          <w:sz w:val="21"/>
        </w:rPr>
        <w:t xml:space="preserve"> </w:t>
      </w:r>
      <w:r>
        <w:rPr>
          <w:spacing w:val="-8"/>
          <w:sz w:val="21"/>
        </w:rPr>
        <w:t>进行，判断试验结果</w:t>
      </w:r>
      <w:r>
        <w:rPr>
          <w:spacing w:val="-16"/>
          <w:sz w:val="21"/>
        </w:rPr>
        <w:t>是否符合</w:t>
      </w:r>
      <w:r>
        <w:rPr>
          <w:spacing w:val="-16"/>
          <w:sz w:val="21"/>
        </w:rPr>
        <w:t xml:space="preserve"> </w:t>
      </w:r>
      <w:r>
        <w:rPr>
          <w:sz w:val="21"/>
        </w:rPr>
        <w:t>5.1.2.2</w:t>
      </w:r>
      <w:r>
        <w:rPr>
          <w:spacing w:val="-12"/>
          <w:sz w:val="21"/>
        </w:rPr>
        <w:t xml:space="preserve"> </w:t>
      </w:r>
      <w:r>
        <w:rPr>
          <w:spacing w:val="-12"/>
          <w:sz w:val="21"/>
        </w:rPr>
        <w:t>的规定。</w:t>
      </w:r>
      <w:r>
        <w:rPr>
          <w:spacing w:val="-12"/>
          <w:sz w:val="21"/>
        </w:rPr>
        <w:t xml:space="preserve"> </w:t>
      </w:r>
    </w:p>
    <w:p w14:paraId="0BD9F53A" w14:textId="77777777" w:rsidR="00A71EEF" w:rsidRDefault="0081115D">
      <w:pPr>
        <w:pStyle w:val="a4"/>
        <w:numPr>
          <w:ilvl w:val="3"/>
          <w:numId w:val="821"/>
        </w:numPr>
        <w:tabs>
          <w:tab w:val="left" w:pos="1576"/>
        </w:tabs>
        <w:spacing w:line="446" w:lineRule="auto"/>
        <w:ind w:left="418" w:right="1510" w:firstLine="419"/>
        <w:rPr>
          <w:sz w:val="21"/>
        </w:rPr>
      </w:pPr>
      <w:r>
        <w:rPr>
          <w:spacing w:val="-7"/>
          <w:sz w:val="21"/>
        </w:rPr>
        <w:t>消防车最大爬坡度试验按</w:t>
      </w:r>
      <w:r>
        <w:rPr>
          <w:spacing w:val="-7"/>
          <w:sz w:val="21"/>
        </w:rPr>
        <w:t xml:space="preserve"> </w:t>
      </w:r>
      <w:r>
        <w:rPr>
          <w:sz w:val="21"/>
        </w:rPr>
        <w:t>GB/T</w:t>
      </w:r>
      <w:r>
        <w:rPr>
          <w:spacing w:val="5"/>
          <w:sz w:val="21"/>
        </w:rPr>
        <w:t xml:space="preserve"> </w:t>
      </w:r>
      <w:r>
        <w:rPr>
          <w:sz w:val="21"/>
        </w:rPr>
        <w:t>12539</w:t>
      </w:r>
      <w:r>
        <w:rPr>
          <w:spacing w:val="-12"/>
          <w:sz w:val="21"/>
        </w:rPr>
        <w:t xml:space="preserve"> </w:t>
      </w:r>
      <w:r>
        <w:rPr>
          <w:spacing w:val="-12"/>
          <w:sz w:val="21"/>
        </w:rPr>
        <w:t>进行，判断试验结果是否符合</w:t>
      </w:r>
      <w:r>
        <w:rPr>
          <w:spacing w:val="-12"/>
          <w:sz w:val="21"/>
        </w:rPr>
        <w:t xml:space="preserve"> </w:t>
      </w:r>
      <w:r>
        <w:rPr>
          <w:sz w:val="21"/>
        </w:rPr>
        <w:t>5.1.2.3</w:t>
      </w:r>
      <w:r>
        <w:rPr>
          <w:spacing w:val="-19"/>
          <w:sz w:val="21"/>
        </w:rPr>
        <w:t xml:space="preserve"> </w:t>
      </w:r>
      <w:r>
        <w:rPr>
          <w:spacing w:val="-19"/>
          <w:sz w:val="21"/>
        </w:rPr>
        <w:t>的规</w:t>
      </w:r>
      <w:r>
        <w:rPr>
          <w:spacing w:val="-2"/>
          <w:sz w:val="21"/>
        </w:rPr>
        <w:t>定。</w:t>
      </w:r>
      <w:r>
        <w:rPr>
          <w:sz w:val="21"/>
        </w:rPr>
        <w:t xml:space="preserve"> </w:t>
      </w:r>
    </w:p>
    <w:p w14:paraId="43A15BF5" w14:textId="77777777" w:rsidR="00A71EEF" w:rsidRDefault="0081115D">
      <w:pPr>
        <w:pStyle w:val="a4"/>
        <w:numPr>
          <w:ilvl w:val="2"/>
          <w:numId w:val="821"/>
        </w:numPr>
        <w:tabs>
          <w:tab w:val="left" w:pos="1370"/>
        </w:tabs>
        <w:ind w:hanging="530"/>
        <w:rPr>
          <w:sz w:val="21"/>
        </w:rPr>
      </w:pPr>
      <w:r>
        <w:rPr>
          <w:spacing w:val="-3"/>
          <w:sz w:val="21"/>
        </w:rPr>
        <w:t>通过性</w:t>
      </w:r>
      <w:r>
        <w:rPr>
          <w:sz w:val="21"/>
        </w:rPr>
        <w:t xml:space="preserve"> </w:t>
      </w:r>
    </w:p>
    <w:p w14:paraId="20518E16" w14:textId="77777777" w:rsidR="00A71EEF" w:rsidRDefault="00A71EEF">
      <w:pPr>
        <w:rPr>
          <w:sz w:val="21"/>
        </w:rPr>
        <w:sectPr w:rsidR="00A71EEF">
          <w:pgSz w:w="11910" w:h="16850"/>
          <w:pgMar w:top="1220" w:right="0" w:bottom="1420" w:left="1260" w:header="0" w:footer="1239" w:gutter="0"/>
          <w:cols w:space="720"/>
        </w:sectPr>
      </w:pPr>
    </w:p>
    <w:p w14:paraId="73C4B1CA" w14:textId="77777777" w:rsidR="00A71EEF" w:rsidRDefault="0081115D">
      <w:pPr>
        <w:pStyle w:val="a4"/>
        <w:numPr>
          <w:ilvl w:val="3"/>
          <w:numId w:val="821"/>
        </w:numPr>
        <w:tabs>
          <w:tab w:val="left" w:pos="1576"/>
        </w:tabs>
        <w:spacing w:before="47" w:line="446" w:lineRule="auto"/>
        <w:ind w:left="418" w:right="1611" w:firstLine="419"/>
        <w:rPr>
          <w:sz w:val="21"/>
        </w:rPr>
      </w:pPr>
      <w:r>
        <w:rPr>
          <w:spacing w:val="-7"/>
          <w:sz w:val="21"/>
        </w:rPr>
        <w:lastRenderedPageBreak/>
        <w:t>消防车的通道圆、外摆值按</w:t>
      </w:r>
      <w:r>
        <w:rPr>
          <w:spacing w:val="-7"/>
          <w:sz w:val="21"/>
        </w:rPr>
        <w:t xml:space="preserve"> </w:t>
      </w:r>
      <w:r>
        <w:rPr>
          <w:sz w:val="21"/>
        </w:rPr>
        <w:t>GB</w:t>
      </w:r>
      <w:r>
        <w:rPr>
          <w:spacing w:val="6"/>
          <w:sz w:val="21"/>
        </w:rPr>
        <w:t xml:space="preserve"> </w:t>
      </w:r>
      <w:r>
        <w:rPr>
          <w:sz w:val="21"/>
        </w:rPr>
        <w:t xml:space="preserve">1589—2004 </w:t>
      </w:r>
      <w:r>
        <w:rPr>
          <w:sz w:val="21"/>
        </w:rPr>
        <w:t>附录</w:t>
      </w:r>
      <w:r>
        <w:rPr>
          <w:sz w:val="21"/>
        </w:rPr>
        <w:t>A</w:t>
      </w:r>
      <w:r>
        <w:rPr>
          <w:spacing w:val="-9"/>
          <w:sz w:val="21"/>
        </w:rPr>
        <w:t xml:space="preserve"> </w:t>
      </w:r>
      <w:r>
        <w:rPr>
          <w:spacing w:val="-9"/>
          <w:sz w:val="21"/>
        </w:rPr>
        <w:t>进行试验，判断试验结果是否</w:t>
      </w:r>
      <w:r>
        <w:rPr>
          <w:spacing w:val="-24"/>
          <w:sz w:val="21"/>
        </w:rPr>
        <w:t>符合</w:t>
      </w:r>
      <w:r>
        <w:rPr>
          <w:spacing w:val="-24"/>
          <w:sz w:val="21"/>
        </w:rPr>
        <w:t xml:space="preserve"> </w:t>
      </w:r>
      <w:r>
        <w:rPr>
          <w:sz w:val="21"/>
        </w:rPr>
        <w:t>5.1.3.1</w:t>
      </w:r>
      <w:r>
        <w:rPr>
          <w:spacing w:val="-13"/>
          <w:sz w:val="21"/>
        </w:rPr>
        <w:t xml:space="preserve"> </w:t>
      </w:r>
      <w:r>
        <w:rPr>
          <w:spacing w:val="-13"/>
          <w:sz w:val="21"/>
        </w:rPr>
        <w:t>的规定。</w:t>
      </w:r>
      <w:r>
        <w:rPr>
          <w:sz w:val="21"/>
        </w:rPr>
        <w:t xml:space="preserve"> </w:t>
      </w:r>
    </w:p>
    <w:p w14:paraId="5BE57D61" w14:textId="77777777" w:rsidR="00A71EEF" w:rsidRDefault="0081115D">
      <w:pPr>
        <w:pStyle w:val="a4"/>
        <w:numPr>
          <w:ilvl w:val="3"/>
          <w:numId w:val="821"/>
        </w:numPr>
        <w:tabs>
          <w:tab w:val="left" w:pos="1576"/>
        </w:tabs>
        <w:spacing w:line="446" w:lineRule="auto"/>
        <w:ind w:left="418" w:right="1716" w:firstLine="419"/>
        <w:rPr>
          <w:sz w:val="21"/>
        </w:rPr>
      </w:pPr>
      <w:r>
        <w:rPr>
          <w:spacing w:val="-9"/>
          <w:sz w:val="21"/>
        </w:rPr>
        <w:t>消防车外廓尺寸按</w:t>
      </w:r>
      <w:r>
        <w:rPr>
          <w:spacing w:val="-9"/>
          <w:sz w:val="21"/>
        </w:rPr>
        <w:t xml:space="preserve"> </w:t>
      </w:r>
      <w:r>
        <w:rPr>
          <w:sz w:val="21"/>
        </w:rPr>
        <w:t>GB/T</w:t>
      </w:r>
      <w:r>
        <w:rPr>
          <w:spacing w:val="7"/>
          <w:sz w:val="21"/>
        </w:rPr>
        <w:t xml:space="preserve"> </w:t>
      </w:r>
      <w:r>
        <w:rPr>
          <w:sz w:val="21"/>
        </w:rPr>
        <w:t>12673</w:t>
      </w:r>
      <w:r>
        <w:rPr>
          <w:spacing w:val="-12"/>
          <w:sz w:val="21"/>
        </w:rPr>
        <w:t xml:space="preserve"> </w:t>
      </w:r>
      <w:r>
        <w:rPr>
          <w:spacing w:val="-12"/>
          <w:sz w:val="21"/>
        </w:rPr>
        <w:t>进行试验，判断试验结果是否符合</w:t>
      </w:r>
      <w:r>
        <w:rPr>
          <w:spacing w:val="-12"/>
          <w:sz w:val="21"/>
        </w:rPr>
        <w:t xml:space="preserve"> </w:t>
      </w:r>
      <w:r>
        <w:rPr>
          <w:sz w:val="21"/>
        </w:rPr>
        <w:t>5.1.3.2</w:t>
      </w:r>
      <w:r>
        <w:rPr>
          <w:spacing w:val="-18"/>
          <w:sz w:val="21"/>
        </w:rPr>
        <w:t xml:space="preserve"> </w:t>
      </w:r>
      <w:r>
        <w:rPr>
          <w:spacing w:val="-18"/>
          <w:sz w:val="21"/>
        </w:rPr>
        <w:t>的规</w:t>
      </w:r>
      <w:r>
        <w:rPr>
          <w:spacing w:val="-11"/>
          <w:sz w:val="21"/>
        </w:rPr>
        <w:t>定。</w:t>
      </w:r>
      <w:r>
        <w:rPr>
          <w:sz w:val="21"/>
        </w:rPr>
        <w:t xml:space="preserve"> </w:t>
      </w:r>
    </w:p>
    <w:p w14:paraId="0E07DAC4" w14:textId="77777777" w:rsidR="00A71EEF" w:rsidRDefault="0081115D">
      <w:pPr>
        <w:pStyle w:val="a4"/>
        <w:numPr>
          <w:ilvl w:val="2"/>
          <w:numId w:val="821"/>
        </w:numPr>
        <w:tabs>
          <w:tab w:val="left" w:pos="1370"/>
        </w:tabs>
        <w:ind w:hanging="530"/>
        <w:rPr>
          <w:sz w:val="21"/>
        </w:rPr>
      </w:pPr>
      <w:r>
        <w:rPr>
          <w:spacing w:val="-3"/>
          <w:sz w:val="21"/>
        </w:rPr>
        <w:t>制动性能</w:t>
      </w:r>
      <w:r>
        <w:rPr>
          <w:sz w:val="21"/>
        </w:rPr>
        <w:t xml:space="preserve"> </w:t>
      </w:r>
    </w:p>
    <w:p w14:paraId="5E605397" w14:textId="77777777" w:rsidR="00A71EEF" w:rsidRDefault="00A71EEF">
      <w:pPr>
        <w:pStyle w:val="a3"/>
        <w:spacing w:before="10"/>
        <w:rPr>
          <w:sz w:val="17"/>
        </w:rPr>
      </w:pPr>
    </w:p>
    <w:p w14:paraId="30739F26" w14:textId="77777777" w:rsidR="00A71EEF" w:rsidRDefault="0081115D">
      <w:pPr>
        <w:pStyle w:val="a4"/>
        <w:numPr>
          <w:ilvl w:val="3"/>
          <w:numId w:val="821"/>
        </w:numPr>
        <w:tabs>
          <w:tab w:val="left" w:pos="1576"/>
        </w:tabs>
        <w:spacing w:line="446" w:lineRule="auto"/>
        <w:ind w:left="418" w:right="1503" w:firstLine="419"/>
        <w:rPr>
          <w:sz w:val="21"/>
        </w:rPr>
      </w:pPr>
      <w:r>
        <w:rPr>
          <w:spacing w:val="-8"/>
          <w:sz w:val="21"/>
        </w:rPr>
        <w:t>消防车行车制动试验按</w:t>
      </w:r>
      <w:r>
        <w:rPr>
          <w:spacing w:val="-8"/>
          <w:sz w:val="21"/>
        </w:rPr>
        <w:t xml:space="preserve"> </w:t>
      </w:r>
      <w:r>
        <w:rPr>
          <w:sz w:val="21"/>
        </w:rPr>
        <w:t>GB</w:t>
      </w:r>
      <w:r>
        <w:rPr>
          <w:spacing w:val="5"/>
          <w:sz w:val="21"/>
        </w:rPr>
        <w:t xml:space="preserve"> </w:t>
      </w:r>
      <w:r>
        <w:rPr>
          <w:sz w:val="21"/>
        </w:rPr>
        <w:t>12676—1999</w:t>
      </w:r>
      <w:r>
        <w:rPr>
          <w:spacing w:val="-34"/>
          <w:sz w:val="21"/>
        </w:rPr>
        <w:t xml:space="preserve"> </w:t>
      </w:r>
      <w:r>
        <w:rPr>
          <w:spacing w:val="-34"/>
          <w:sz w:val="21"/>
        </w:rPr>
        <w:t>中</w:t>
      </w:r>
      <w:r>
        <w:rPr>
          <w:spacing w:val="-34"/>
          <w:sz w:val="21"/>
        </w:rPr>
        <w:t xml:space="preserve"> </w:t>
      </w:r>
      <w:r>
        <w:rPr>
          <w:sz w:val="21"/>
        </w:rPr>
        <w:t>6.6</w:t>
      </w:r>
      <w:r>
        <w:rPr>
          <w:spacing w:val="-9"/>
          <w:sz w:val="21"/>
        </w:rPr>
        <w:t xml:space="preserve"> </w:t>
      </w:r>
      <w:r>
        <w:rPr>
          <w:spacing w:val="-9"/>
          <w:sz w:val="21"/>
        </w:rPr>
        <w:t>的要求进行，判断试验结果是否符</w:t>
      </w:r>
      <w:r>
        <w:rPr>
          <w:spacing w:val="-31"/>
          <w:sz w:val="21"/>
        </w:rPr>
        <w:t>合</w:t>
      </w:r>
      <w:r>
        <w:rPr>
          <w:spacing w:val="-31"/>
          <w:sz w:val="21"/>
        </w:rPr>
        <w:t xml:space="preserve"> </w:t>
      </w:r>
      <w:r>
        <w:rPr>
          <w:sz w:val="21"/>
        </w:rPr>
        <w:t>5.1.4.1</w:t>
      </w:r>
      <w:r>
        <w:rPr>
          <w:spacing w:val="-13"/>
          <w:sz w:val="21"/>
        </w:rPr>
        <w:t xml:space="preserve"> </w:t>
      </w:r>
      <w:r>
        <w:rPr>
          <w:spacing w:val="-13"/>
          <w:sz w:val="21"/>
        </w:rPr>
        <w:t>的规定。</w:t>
      </w:r>
      <w:r>
        <w:rPr>
          <w:sz w:val="21"/>
        </w:rPr>
        <w:t xml:space="preserve"> </w:t>
      </w:r>
    </w:p>
    <w:p w14:paraId="5EAD3FBB" w14:textId="77777777" w:rsidR="00A71EEF" w:rsidRDefault="0081115D">
      <w:pPr>
        <w:pStyle w:val="a4"/>
        <w:numPr>
          <w:ilvl w:val="3"/>
          <w:numId w:val="821"/>
        </w:numPr>
        <w:tabs>
          <w:tab w:val="left" w:pos="1576"/>
        </w:tabs>
        <w:spacing w:before="1" w:line="446" w:lineRule="auto"/>
        <w:ind w:left="418" w:right="1503" w:firstLine="419"/>
        <w:rPr>
          <w:sz w:val="21"/>
        </w:rPr>
      </w:pPr>
      <w:r>
        <w:rPr>
          <w:spacing w:val="-8"/>
          <w:sz w:val="21"/>
        </w:rPr>
        <w:t>消防车应急制动试验按</w:t>
      </w:r>
      <w:r>
        <w:rPr>
          <w:spacing w:val="-8"/>
          <w:sz w:val="21"/>
        </w:rPr>
        <w:t xml:space="preserve"> </w:t>
      </w:r>
      <w:r>
        <w:rPr>
          <w:sz w:val="21"/>
        </w:rPr>
        <w:t>GB</w:t>
      </w:r>
      <w:r>
        <w:rPr>
          <w:spacing w:val="5"/>
          <w:sz w:val="21"/>
        </w:rPr>
        <w:t xml:space="preserve"> </w:t>
      </w:r>
      <w:r>
        <w:rPr>
          <w:sz w:val="21"/>
        </w:rPr>
        <w:t>12676—1999</w:t>
      </w:r>
      <w:r>
        <w:rPr>
          <w:spacing w:val="-34"/>
          <w:sz w:val="21"/>
        </w:rPr>
        <w:t xml:space="preserve"> </w:t>
      </w:r>
      <w:r>
        <w:rPr>
          <w:spacing w:val="-34"/>
          <w:sz w:val="21"/>
        </w:rPr>
        <w:t>中</w:t>
      </w:r>
      <w:r>
        <w:rPr>
          <w:spacing w:val="-34"/>
          <w:sz w:val="21"/>
        </w:rPr>
        <w:t xml:space="preserve"> </w:t>
      </w:r>
      <w:r>
        <w:rPr>
          <w:sz w:val="21"/>
        </w:rPr>
        <w:t>6.8</w:t>
      </w:r>
      <w:r>
        <w:rPr>
          <w:spacing w:val="-9"/>
          <w:sz w:val="21"/>
        </w:rPr>
        <w:t xml:space="preserve"> </w:t>
      </w:r>
      <w:r>
        <w:rPr>
          <w:spacing w:val="-9"/>
          <w:sz w:val="21"/>
        </w:rPr>
        <w:t>的要求进行，判断试验结果是否符</w:t>
      </w:r>
      <w:r>
        <w:rPr>
          <w:spacing w:val="-31"/>
          <w:sz w:val="21"/>
        </w:rPr>
        <w:t>合</w:t>
      </w:r>
      <w:r>
        <w:rPr>
          <w:spacing w:val="-31"/>
          <w:sz w:val="21"/>
        </w:rPr>
        <w:t xml:space="preserve"> </w:t>
      </w:r>
      <w:r>
        <w:rPr>
          <w:sz w:val="21"/>
        </w:rPr>
        <w:t>5.1.4.2</w:t>
      </w:r>
      <w:r>
        <w:rPr>
          <w:spacing w:val="-13"/>
          <w:sz w:val="21"/>
        </w:rPr>
        <w:t xml:space="preserve"> </w:t>
      </w:r>
      <w:r>
        <w:rPr>
          <w:spacing w:val="-13"/>
          <w:sz w:val="21"/>
        </w:rPr>
        <w:t>的规定。</w:t>
      </w:r>
      <w:r>
        <w:rPr>
          <w:sz w:val="21"/>
        </w:rPr>
        <w:t xml:space="preserve"> </w:t>
      </w:r>
    </w:p>
    <w:p w14:paraId="3772DB5A" w14:textId="77777777" w:rsidR="00A71EEF" w:rsidRDefault="0081115D">
      <w:pPr>
        <w:pStyle w:val="a4"/>
        <w:numPr>
          <w:ilvl w:val="3"/>
          <w:numId w:val="821"/>
        </w:numPr>
        <w:tabs>
          <w:tab w:val="left" w:pos="1576"/>
        </w:tabs>
        <w:rPr>
          <w:sz w:val="21"/>
        </w:rPr>
      </w:pPr>
      <w:r>
        <w:rPr>
          <w:spacing w:val="-9"/>
          <w:sz w:val="21"/>
        </w:rPr>
        <w:t>消防车驻车制动按</w:t>
      </w:r>
      <w:r>
        <w:rPr>
          <w:spacing w:val="-9"/>
          <w:sz w:val="21"/>
        </w:rPr>
        <w:t xml:space="preserve"> </w:t>
      </w:r>
      <w:r>
        <w:rPr>
          <w:sz w:val="21"/>
        </w:rPr>
        <w:t>GB</w:t>
      </w:r>
      <w:r>
        <w:rPr>
          <w:spacing w:val="-1"/>
          <w:sz w:val="21"/>
        </w:rPr>
        <w:t xml:space="preserve"> </w:t>
      </w:r>
      <w:r>
        <w:rPr>
          <w:sz w:val="21"/>
        </w:rPr>
        <w:t>12676—1999</w:t>
      </w:r>
      <w:r>
        <w:rPr>
          <w:spacing w:val="-35"/>
          <w:sz w:val="21"/>
        </w:rPr>
        <w:t xml:space="preserve"> </w:t>
      </w:r>
      <w:r>
        <w:rPr>
          <w:spacing w:val="-35"/>
          <w:sz w:val="21"/>
        </w:rPr>
        <w:t>中</w:t>
      </w:r>
      <w:r>
        <w:rPr>
          <w:spacing w:val="-35"/>
          <w:sz w:val="21"/>
        </w:rPr>
        <w:t xml:space="preserve"> </w:t>
      </w:r>
      <w:r>
        <w:rPr>
          <w:sz w:val="21"/>
        </w:rPr>
        <w:t>6.14</w:t>
      </w:r>
      <w:r>
        <w:rPr>
          <w:spacing w:val="-9"/>
          <w:sz w:val="21"/>
        </w:rPr>
        <w:t xml:space="preserve"> </w:t>
      </w:r>
      <w:r>
        <w:rPr>
          <w:spacing w:val="-9"/>
          <w:sz w:val="21"/>
        </w:rPr>
        <w:t>的要求进行，判断试验结果是否符合</w:t>
      </w:r>
    </w:p>
    <w:p w14:paraId="4C55CD2F" w14:textId="77777777" w:rsidR="00A71EEF" w:rsidRDefault="00A71EEF">
      <w:pPr>
        <w:pStyle w:val="a3"/>
        <w:spacing w:before="12"/>
        <w:rPr>
          <w:sz w:val="17"/>
        </w:rPr>
      </w:pPr>
    </w:p>
    <w:p w14:paraId="12AD547A" w14:textId="77777777" w:rsidR="00A71EEF" w:rsidRDefault="0081115D">
      <w:pPr>
        <w:pStyle w:val="a3"/>
        <w:ind w:left="418"/>
      </w:pPr>
      <w:r>
        <w:t xml:space="preserve">5.1.4.3 </w:t>
      </w:r>
      <w:r>
        <w:t>的规定。</w:t>
      </w:r>
      <w:r>
        <w:t xml:space="preserve"> </w:t>
      </w:r>
    </w:p>
    <w:p w14:paraId="1E8E7BFA" w14:textId="77777777" w:rsidR="00A71EEF" w:rsidRDefault="00A71EEF">
      <w:pPr>
        <w:pStyle w:val="a3"/>
        <w:spacing w:before="12"/>
        <w:rPr>
          <w:sz w:val="17"/>
        </w:rPr>
      </w:pPr>
    </w:p>
    <w:p w14:paraId="5B36ED60" w14:textId="77777777" w:rsidR="00A71EEF" w:rsidRDefault="0081115D">
      <w:pPr>
        <w:pStyle w:val="a4"/>
        <w:numPr>
          <w:ilvl w:val="2"/>
          <w:numId w:val="821"/>
        </w:numPr>
        <w:tabs>
          <w:tab w:val="left" w:pos="1371"/>
        </w:tabs>
        <w:ind w:left="1370" w:hanging="531"/>
        <w:rPr>
          <w:sz w:val="21"/>
        </w:rPr>
      </w:pPr>
      <w:r>
        <w:rPr>
          <w:spacing w:val="-3"/>
          <w:sz w:val="21"/>
        </w:rPr>
        <w:t>轴荷和质量参数</w:t>
      </w:r>
      <w:r>
        <w:rPr>
          <w:sz w:val="21"/>
        </w:rPr>
        <w:t xml:space="preserve"> </w:t>
      </w:r>
    </w:p>
    <w:p w14:paraId="653D679F" w14:textId="77777777" w:rsidR="00A71EEF" w:rsidRDefault="00A71EEF">
      <w:pPr>
        <w:pStyle w:val="a3"/>
        <w:spacing w:before="2"/>
        <w:rPr>
          <w:sz w:val="18"/>
        </w:rPr>
      </w:pPr>
    </w:p>
    <w:p w14:paraId="7FBD203D" w14:textId="77777777" w:rsidR="00A71EEF" w:rsidRDefault="0081115D">
      <w:pPr>
        <w:pStyle w:val="a4"/>
        <w:numPr>
          <w:ilvl w:val="3"/>
          <w:numId w:val="821"/>
        </w:numPr>
        <w:tabs>
          <w:tab w:val="left" w:pos="1576"/>
        </w:tabs>
        <w:rPr>
          <w:sz w:val="21"/>
        </w:rPr>
      </w:pPr>
      <w:r>
        <w:rPr>
          <w:spacing w:val="-3"/>
          <w:sz w:val="21"/>
        </w:rPr>
        <w:t>消防车轴荷测量按</w:t>
      </w:r>
      <w:r>
        <w:rPr>
          <w:spacing w:val="-3"/>
          <w:sz w:val="21"/>
        </w:rPr>
        <w:t xml:space="preserve"> </w:t>
      </w:r>
      <w:r>
        <w:rPr>
          <w:sz w:val="21"/>
        </w:rPr>
        <w:t>GB/T</w:t>
      </w:r>
      <w:r>
        <w:rPr>
          <w:spacing w:val="2"/>
          <w:sz w:val="21"/>
        </w:rPr>
        <w:t xml:space="preserve"> </w:t>
      </w:r>
      <w:r>
        <w:rPr>
          <w:sz w:val="21"/>
        </w:rPr>
        <w:t>12674</w:t>
      </w:r>
      <w:r>
        <w:rPr>
          <w:spacing w:val="-12"/>
          <w:sz w:val="21"/>
        </w:rPr>
        <w:t xml:space="preserve"> </w:t>
      </w:r>
      <w:r>
        <w:rPr>
          <w:spacing w:val="-12"/>
          <w:sz w:val="21"/>
        </w:rPr>
        <w:t>进行，判断试验结果是否符合</w:t>
      </w:r>
      <w:r>
        <w:rPr>
          <w:spacing w:val="-12"/>
          <w:sz w:val="21"/>
        </w:rPr>
        <w:t xml:space="preserve"> </w:t>
      </w:r>
      <w:r>
        <w:rPr>
          <w:sz w:val="21"/>
        </w:rPr>
        <w:t>5.1.5.1</w:t>
      </w:r>
      <w:r>
        <w:rPr>
          <w:spacing w:val="-13"/>
          <w:sz w:val="21"/>
        </w:rPr>
        <w:t xml:space="preserve"> </w:t>
      </w:r>
      <w:r>
        <w:rPr>
          <w:spacing w:val="-13"/>
          <w:sz w:val="21"/>
        </w:rPr>
        <w:t>的规定。</w:t>
      </w:r>
      <w:r>
        <w:rPr>
          <w:sz w:val="21"/>
        </w:rPr>
        <w:t xml:space="preserve"> </w:t>
      </w:r>
    </w:p>
    <w:p w14:paraId="158AD06E" w14:textId="77777777" w:rsidR="00A71EEF" w:rsidRDefault="00A71EEF">
      <w:pPr>
        <w:pStyle w:val="a3"/>
        <w:rPr>
          <w:sz w:val="18"/>
        </w:rPr>
      </w:pPr>
    </w:p>
    <w:p w14:paraId="096AC0A4" w14:textId="77777777" w:rsidR="00A71EEF" w:rsidRDefault="0081115D">
      <w:pPr>
        <w:pStyle w:val="a4"/>
        <w:numPr>
          <w:ilvl w:val="3"/>
          <w:numId w:val="821"/>
        </w:numPr>
        <w:tabs>
          <w:tab w:val="left" w:pos="1576"/>
        </w:tabs>
        <w:spacing w:line="444" w:lineRule="auto"/>
        <w:ind w:left="418" w:right="1474" w:firstLine="419"/>
        <w:rPr>
          <w:sz w:val="21"/>
        </w:rPr>
      </w:pPr>
      <w:r>
        <w:rPr>
          <w:spacing w:val="-8"/>
          <w:sz w:val="21"/>
        </w:rPr>
        <w:t>消防车总质量测量按</w:t>
      </w:r>
      <w:r>
        <w:rPr>
          <w:spacing w:val="-8"/>
          <w:sz w:val="21"/>
        </w:rPr>
        <w:t xml:space="preserve"> </w:t>
      </w:r>
      <w:r>
        <w:rPr>
          <w:sz w:val="21"/>
        </w:rPr>
        <w:t>GB/T</w:t>
      </w:r>
      <w:r>
        <w:rPr>
          <w:spacing w:val="7"/>
          <w:sz w:val="21"/>
        </w:rPr>
        <w:t xml:space="preserve"> </w:t>
      </w:r>
      <w:r>
        <w:rPr>
          <w:sz w:val="21"/>
        </w:rPr>
        <w:t>12674</w:t>
      </w:r>
      <w:r>
        <w:rPr>
          <w:spacing w:val="-9"/>
          <w:sz w:val="21"/>
        </w:rPr>
        <w:t xml:space="preserve"> </w:t>
      </w:r>
      <w:r>
        <w:rPr>
          <w:spacing w:val="-9"/>
          <w:sz w:val="21"/>
        </w:rPr>
        <w:t>进行，测量消防车总质量时，消防车器材箱内没</w:t>
      </w:r>
      <w:r>
        <w:rPr>
          <w:spacing w:val="-8"/>
          <w:sz w:val="21"/>
        </w:rPr>
        <w:t>有器材，器材箱内面积相加后按</w:t>
      </w:r>
      <w:r>
        <w:rPr>
          <w:spacing w:val="-8"/>
          <w:sz w:val="21"/>
        </w:rPr>
        <w:t xml:space="preserve"> </w:t>
      </w:r>
      <w:r>
        <w:rPr>
          <w:sz w:val="21"/>
        </w:rPr>
        <w:t>100</w:t>
      </w:r>
      <w:r>
        <w:rPr>
          <w:spacing w:val="22"/>
          <w:sz w:val="21"/>
        </w:rPr>
        <w:t xml:space="preserve"> </w:t>
      </w:r>
      <w:r>
        <w:rPr>
          <w:sz w:val="21"/>
        </w:rPr>
        <w:t>kg/m</w:t>
      </w:r>
      <w:r>
        <w:rPr>
          <w:position w:val="11"/>
          <w:sz w:val="11"/>
        </w:rPr>
        <w:t>2</w:t>
      </w:r>
      <w:r>
        <w:rPr>
          <w:spacing w:val="-23"/>
          <w:position w:val="11"/>
          <w:sz w:val="11"/>
        </w:rPr>
        <w:t xml:space="preserve"> </w:t>
      </w:r>
      <w:r>
        <w:rPr>
          <w:spacing w:val="-3"/>
          <w:sz w:val="21"/>
        </w:rPr>
        <w:t>配重；当实测总质量小于生产企业设计总质量时，可以按生产企业设计总质量配重。消防车实测总质量除以底盘厂公告允许总质量，判断试验结果</w:t>
      </w:r>
      <w:r>
        <w:rPr>
          <w:spacing w:val="-13"/>
          <w:sz w:val="21"/>
        </w:rPr>
        <w:t>是否符合</w:t>
      </w:r>
      <w:r>
        <w:rPr>
          <w:spacing w:val="-13"/>
          <w:sz w:val="21"/>
        </w:rPr>
        <w:t xml:space="preserve"> </w:t>
      </w:r>
      <w:r>
        <w:rPr>
          <w:sz w:val="21"/>
        </w:rPr>
        <w:t>5.1.5.2</w:t>
      </w:r>
      <w:r>
        <w:rPr>
          <w:spacing w:val="-12"/>
          <w:sz w:val="21"/>
        </w:rPr>
        <w:t xml:space="preserve"> </w:t>
      </w:r>
      <w:r>
        <w:rPr>
          <w:spacing w:val="-12"/>
          <w:sz w:val="21"/>
        </w:rPr>
        <w:t>的规定。</w:t>
      </w:r>
      <w:r>
        <w:rPr>
          <w:spacing w:val="-12"/>
          <w:sz w:val="21"/>
        </w:rPr>
        <w:t xml:space="preserve"> </w:t>
      </w:r>
    </w:p>
    <w:p w14:paraId="5F6CFB4A" w14:textId="77777777" w:rsidR="00A71EEF" w:rsidRDefault="0081115D">
      <w:pPr>
        <w:pStyle w:val="a4"/>
        <w:numPr>
          <w:ilvl w:val="2"/>
          <w:numId w:val="821"/>
        </w:numPr>
        <w:tabs>
          <w:tab w:val="left" w:pos="1371"/>
        </w:tabs>
        <w:spacing w:line="267" w:lineRule="exact"/>
        <w:ind w:left="1370" w:hanging="531"/>
        <w:rPr>
          <w:sz w:val="21"/>
        </w:rPr>
      </w:pPr>
      <w:r>
        <w:rPr>
          <w:spacing w:val="-3"/>
          <w:sz w:val="21"/>
        </w:rPr>
        <w:t>安全性试验</w:t>
      </w:r>
      <w:r>
        <w:rPr>
          <w:sz w:val="21"/>
        </w:rPr>
        <w:t xml:space="preserve"> </w:t>
      </w:r>
    </w:p>
    <w:p w14:paraId="72F12A0F" w14:textId="77777777" w:rsidR="00A71EEF" w:rsidRDefault="00A71EEF">
      <w:pPr>
        <w:pStyle w:val="a3"/>
        <w:spacing w:before="2"/>
        <w:rPr>
          <w:sz w:val="18"/>
        </w:rPr>
      </w:pPr>
    </w:p>
    <w:p w14:paraId="28E77C09" w14:textId="77777777" w:rsidR="00A71EEF" w:rsidRDefault="0081115D">
      <w:pPr>
        <w:pStyle w:val="a4"/>
        <w:numPr>
          <w:ilvl w:val="3"/>
          <w:numId w:val="821"/>
        </w:numPr>
        <w:tabs>
          <w:tab w:val="left" w:pos="1576"/>
        </w:tabs>
        <w:rPr>
          <w:sz w:val="21"/>
        </w:rPr>
      </w:pPr>
      <w:r>
        <w:rPr>
          <w:spacing w:val="-3"/>
          <w:sz w:val="21"/>
        </w:rPr>
        <w:t>安全防护性能</w:t>
      </w:r>
      <w:r>
        <w:rPr>
          <w:sz w:val="21"/>
        </w:rPr>
        <w:t xml:space="preserve"> </w:t>
      </w:r>
    </w:p>
    <w:p w14:paraId="538E1F0A" w14:textId="77777777" w:rsidR="00A71EEF" w:rsidRDefault="00A71EEF">
      <w:pPr>
        <w:pStyle w:val="a3"/>
        <w:rPr>
          <w:sz w:val="18"/>
        </w:rPr>
      </w:pPr>
    </w:p>
    <w:p w14:paraId="0E499E33" w14:textId="77777777" w:rsidR="00A71EEF" w:rsidRDefault="0081115D">
      <w:pPr>
        <w:pStyle w:val="a4"/>
        <w:numPr>
          <w:ilvl w:val="4"/>
          <w:numId w:val="821"/>
        </w:numPr>
        <w:tabs>
          <w:tab w:val="left" w:pos="1788"/>
        </w:tabs>
        <w:rPr>
          <w:sz w:val="21"/>
        </w:rPr>
      </w:pPr>
      <w:r>
        <w:rPr>
          <w:spacing w:val="-8"/>
          <w:sz w:val="21"/>
        </w:rPr>
        <w:t>消防车的后视野测量按</w:t>
      </w:r>
      <w:r>
        <w:rPr>
          <w:spacing w:val="-8"/>
          <w:sz w:val="21"/>
        </w:rPr>
        <w:t xml:space="preserve"> </w:t>
      </w:r>
      <w:r>
        <w:rPr>
          <w:sz w:val="21"/>
        </w:rPr>
        <w:t>GB</w:t>
      </w:r>
      <w:r>
        <w:rPr>
          <w:spacing w:val="3"/>
          <w:sz w:val="21"/>
        </w:rPr>
        <w:t xml:space="preserve"> </w:t>
      </w:r>
      <w:r>
        <w:rPr>
          <w:sz w:val="21"/>
        </w:rPr>
        <w:t>15084</w:t>
      </w:r>
      <w:r>
        <w:rPr>
          <w:spacing w:val="-8"/>
          <w:sz w:val="21"/>
        </w:rPr>
        <w:t xml:space="preserve"> </w:t>
      </w:r>
      <w:r>
        <w:rPr>
          <w:spacing w:val="-8"/>
          <w:sz w:val="21"/>
        </w:rPr>
        <w:t>进行，外部照明和信号装置的安装要求试验按</w:t>
      </w:r>
    </w:p>
    <w:p w14:paraId="3946BCA8" w14:textId="77777777" w:rsidR="00A71EEF" w:rsidRDefault="00A71EEF">
      <w:pPr>
        <w:pStyle w:val="a3"/>
        <w:rPr>
          <w:sz w:val="18"/>
        </w:rPr>
      </w:pPr>
    </w:p>
    <w:p w14:paraId="69C0405C" w14:textId="77777777" w:rsidR="00A71EEF" w:rsidRDefault="0081115D">
      <w:pPr>
        <w:pStyle w:val="a3"/>
        <w:ind w:left="418"/>
      </w:pPr>
      <w:r>
        <w:t xml:space="preserve">GB 4785 </w:t>
      </w:r>
      <w:r>
        <w:t>进行，判断试验结果是否符合</w:t>
      </w:r>
      <w:r>
        <w:t xml:space="preserve"> 5.1.6.1.1 </w:t>
      </w:r>
      <w:r>
        <w:t>的规定。</w:t>
      </w:r>
      <w:r>
        <w:t xml:space="preserve"> </w:t>
      </w:r>
    </w:p>
    <w:p w14:paraId="0F7206A1" w14:textId="77777777" w:rsidR="00A71EEF" w:rsidRDefault="00A71EEF">
      <w:pPr>
        <w:pStyle w:val="a3"/>
        <w:spacing w:before="2"/>
        <w:rPr>
          <w:sz w:val="18"/>
        </w:rPr>
      </w:pPr>
    </w:p>
    <w:p w14:paraId="247515F9" w14:textId="77777777" w:rsidR="00A71EEF" w:rsidRDefault="0081115D">
      <w:pPr>
        <w:pStyle w:val="a4"/>
        <w:numPr>
          <w:ilvl w:val="4"/>
          <w:numId w:val="821"/>
        </w:numPr>
        <w:tabs>
          <w:tab w:val="left" w:pos="1788"/>
        </w:tabs>
        <w:rPr>
          <w:sz w:val="21"/>
        </w:rPr>
      </w:pPr>
      <w:r>
        <w:rPr>
          <w:spacing w:val="-7"/>
          <w:sz w:val="21"/>
        </w:rPr>
        <w:t>内饰材料的燃烧特性试验按</w:t>
      </w:r>
      <w:r>
        <w:rPr>
          <w:spacing w:val="-7"/>
          <w:sz w:val="21"/>
        </w:rPr>
        <w:t xml:space="preserve"> </w:t>
      </w:r>
      <w:r>
        <w:rPr>
          <w:sz w:val="21"/>
        </w:rPr>
        <w:t>GB</w:t>
      </w:r>
      <w:r>
        <w:rPr>
          <w:spacing w:val="2"/>
          <w:sz w:val="21"/>
        </w:rPr>
        <w:t xml:space="preserve"> </w:t>
      </w:r>
      <w:r>
        <w:rPr>
          <w:sz w:val="21"/>
        </w:rPr>
        <w:t>8410</w:t>
      </w:r>
      <w:r>
        <w:rPr>
          <w:spacing w:val="-11"/>
          <w:sz w:val="21"/>
        </w:rPr>
        <w:t xml:space="preserve"> </w:t>
      </w:r>
      <w:r>
        <w:rPr>
          <w:spacing w:val="-11"/>
          <w:sz w:val="21"/>
        </w:rPr>
        <w:t>进行，判断试验结果是否符合</w:t>
      </w:r>
      <w:r>
        <w:rPr>
          <w:spacing w:val="-11"/>
          <w:sz w:val="21"/>
        </w:rPr>
        <w:t xml:space="preserve"> </w:t>
      </w:r>
      <w:r>
        <w:rPr>
          <w:sz w:val="21"/>
        </w:rPr>
        <w:t>5.1.6.1.2</w:t>
      </w:r>
    </w:p>
    <w:p w14:paraId="3AD8AFDF" w14:textId="77777777" w:rsidR="00A71EEF" w:rsidRDefault="00A71EEF">
      <w:pPr>
        <w:pStyle w:val="a3"/>
        <w:spacing w:before="12"/>
        <w:rPr>
          <w:sz w:val="17"/>
        </w:rPr>
      </w:pPr>
    </w:p>
    <w:p w14:paraId="25DFE39E" w14:textId="77777777" w:rsidR="00A71EEF" w:rsidRDefault="0081115D">
      <w:pPr>
        <w:pStyle w:val="a3"/>
        <w:ind w:left="418"/>
      </w:pPr>
      <w:r>
        <w:t>的规定。</w:t>
      </w:r>
      <w:r>
        <w:t xml:space="preserve"> </w:t>
      </w:r>
    </w:p>
    <w:p w14:paraId="192BE391" w14:textId="77777777" w:rsidR="00A71EEF" w:rsidRDefault="00A71EEF">
      <w:pPr>
        <w:pStyle w:val="a3"/>
        <w:spacing w:before="12"/>
        <w:rPr>
          <w:sz w:val="17"/>
        </w:rPr>
      </w:pPr>
    </w:p>
    <w:p w14:paraId="43C5E9DF" w14:textId="77777777" w:rsidR="00A71EEF" w:rsidRDefault="0081115D">
      <w:pPr>
        <w:pStyle w:val="a4"/>
        <w:numPr>
          <w:ilvl w:val="4"/>
          <w:numId w:val="821"/>
        </w:numPr>
        <w:tabs>
          <w:tab w:val="left" w:pos="1788"/>
        </w:tabs>
        <w:rPr>
          <w:sz w:val="21"/>
        </w:rPr>
      </w:pPr>
      <w:r>
        <w:rPr>
          <w:spacing w:val="-7"/>
          <w:sz w:val="21"/>
        </w:rPr>
        <w:t>燃油系统及排气管口指向试验按</w:t>
      </w:r>
      <w:r>
        <w:rPr>
          <w:spacing w:val="-7"/>
          <w:sz w:val="21"/>
        </w:rPr>
        <w:t xml:space="preserve"> </w:t>
      </w:r>
      <w:r>
        <w:rPr>
          <w:sz w:val="21"/>
        </w:rPr>
        <w:t>GB</w:t>
      </w:r>
      <w:r>
        <w:rPr>
          <w:spacing w:val="2"/>
          <w:sz w:val="21"/>
        </w:rPr>
        <w:t xml:space="preserve"> </w:t>
      </w:r>
      <w:r>
        <w:rPr>
          <w:sz w:val="21"/>
        </w:rPr>
        <w:t>7258</w:t>
      </w:r>
      <w:r>
        <w:rPr>
          <w:spacing w:val="-9"/>
          <w:sz w:val="21"/>
        </w:rPr>
        <w:t xml:space="preserve"> </w:t>
      </w:r>
      <w:r>
        <w:rPr>
          <w:spacing w:val="-9"/>
          <w:sz w:val="21"/>
        </w:rPr>
        <w:t>进行，判断试验结果是否符合</w:t>
      </w:r>
    </w:p>
    <w:p w14:paraId="1AA9F2B2" w14:textId="77777777" w:rsidR="00A71EEF" w:rsidRDefault="00A71EEF">
      <w:pPr>
        <w:pStyle w:val="a3"/>
        <w:spacing w:before="2"/>
        <w:rPr>
          <w:sz w:val="18"/>
        </w:rPr>
      </w:pPr>
    </w:p>
    <w:p w14:paraId="04D0529C" w14:textId="77777777" w:rsidR="00A71EEF" w:rsidRDefault="0081115D">
      <w:pPr>
        <w:pStyle w:val="a3"/>
        <w:ind w:left="418"/>
      </w:pPr>
      <w:r>
        <w:t xml:space="preserve">5.1.6.1.3 </w:t>
      </w:r>
      <w:r>
        <w:t>的规定。</w:t>
      </w:r>
      <w:r>
        <w:t xml:space="preserve"> </w:t>
      </w:r>
    </w:p>
    <w:p w14:paraId="46FDEA23" w14:textId="77777777" w:rsidR="00A71EEF" w:rsidRDefault="00A71EEF">
      <w:pPr>
        <w:pStyle w:val="a3"/>
        <w:rPr>
          <w:sz w:val="18"/>
        </w:rPr>
      </w:pPr>
    </w:p>
    <w:p w14:paraId="160C14CA" w14:textId="77777777" w:rsidR="00A71EEF" w:rsidRDefault="0081115D">
      <w:pPr>
        <w:pStyle w:val="a4"/>
        <w:numPr>
          <w:ilvl w:val="4"/>
          <w:numId w:val="820"/>
        </w:numPr>
        <w:tabs>
          <w:tab w:val="left" w:pos="1788"/>
        </w:tabs>
        <w:rPr>
          <w:sz w:val="21"/>
        </w:rPr>
      </w:pPr>
      <w:r>
        <w:rPr>
          <w:spacing w:val="-10"/>
          <w:sz w:val="21"/>
        </w:rPr>
        <w:t>侧面防护试验按</w:t>
      </w:r>
      <w:r>
        <w:rPr>
          <w:spacing w:val="-10"/>
          <w:sz w:val="21"/>
        </w:rPr>
        <w:t xml:space="preserve"> </w:t>
      </w:r>
      <w:r>
        <w:rPr>
          <w:sz w:val="21"/>
        </w:rPr>
        <w:t>GB</w:t>
      </w:r>
      <w:r>
        <w:rPr>
          <w:spacing w:val="-1"/>
          <w:sz w:val="21"/>
        </w:rPr>
        <w:t xml:space="preserve"> </w:t>
      </w:r>
      <w:r>
        <w:rPr>
          <w:sz w:val="21"/>
        </w:rPr>
        <w:t>11567.1</w:t>
      </w:r>
      <w:r>
        <w:rPr>
          <w:spacing w:val="-12"/>
          <w:sz w:val="21"/>
        </w:rPr>
        <w:t xml:space="preserve"> </w:t>
      </w:r>
      <w:r>
        <w:rPr>
          <w:spacing w:val="-12"/>
          <w:sz w:val="21"/>
        </w:rPr>
        <w:t>进行，判断试验结果是否符合</w:t>
      </w:r>
      <w:r>
        <w:rPr>
          <w:spacing w:val="-12"/>
          <w:sz w:val="21"/>
        </w:rPr>
        <w:t xml:space="preserve"> </w:t>
      </w:r>
      <w:r>
        <w:rPr>
          <w:sz w:val="21"/>
        </w:rPr>
        <w:t>5.1.6.1.4</w:t>
      </w:r>
      <w:r>
        <w:rPr>
          <w:spacing w:val="-13"/>
          <w:sz w:val="21"/>
        </w:rPr>
        <w:t xml:space="preserve"> </w:t>
      </w:r>
      <w:r>
        <w:rPr>
          <w:spacing w:val="-13"/>
          <w:sz w:val="21"/>
        </w:rPr>
        <w:t>的规定。</w:t>
      </w:r>
      <w:r>
        <w:rPr>
          <w:sz w:val="21"/>
        </w:rPr>
        <w:t xml:space="preserve"> </w:t>
      </w:r>
    </w:p>
    <w:p w14:paraId="68863537" w14:textId="77777777" w:rsidR="00A71EEF" w:rsidRDefault="00A71EEF">
      <w:pPr>
        <w:pStyle w:val="a3"/>
        <w:spacing w:before="12"/>
        <w:rPr>
          <w:sz w:val="17"/>
        </w:rPr>
      </w:pPr>
    </w:p>
    <w:p w14:paraId="7FB462C8" w14:textId="77777777" w:rsidR="00A71EEF" w:rsidRDefault="0081115D">
      <w:pPr>
        <w:pStyle w:val="a4"/>
        <w:numPr>
          <w:ilvl w:val="4"/>
          <w:numId w:val="820"/>
        </w:numPr>
        <w:tabs>
          <w:tab w:val="left" w:pos="1788"/>
        </w:tabs>
        <w:spacing w:before="1" w:line="446" w:lineRule="auto"/>
        <w:ind w:left="418" w:right="1716" w:firstLine="419"/>
        <w:rPr>
          <w:sz w:val="21"/>
        </w:rPr>
      </w:pPr>
      <w:r>
        <w:rPr>
          <w:spacing w:val="-9"/>
          <w:sz w:val="21"/>
        </w:rPr>
        <w:t>后下部防护试验按</w:t>
      </w:r>
      <w:r>
        <w:rPr>
          <w:spacing w:val="-9"/>
          <w:sz w:val="21"/>
        </w:rPr>
        <w:t xml:space="preserve"> </w:t>
      </w:r>
      <w:r>
        <w:rPr>
          <w:sz w:val="21"/>
        </w:rPr>
        <w:t>GB</w:t>
      </w:r>
      <w:r>
        <w:rPr>
          <w:spacing w:val="7"/>
          <w:sz w:val="21"/>
        </w:rPr>
        <w:t xml:space="preserve"> </w:t>
      </w:r>
      <w:r>
        <w:rPr>
          <w:sz w:val="21"/>
        </w:rPr>
        <w:t>11567.2</w:t>
      </w:r>
      <w:r>
        <w:rPr>
          <w:spacing w:val="-12"/>
          <w:sz w:val="21"/>
        </w:rPr>
        <w:t xml:space="preserve"> </w:t>
      </w:r>
      <w:r>
        <w:rPr>
          <w:spacing w:val="-12"/>
          <w:sz w:val="21"/>
        </w:rPr>
        <w:t>进行，判断试验结果是否符合</w:t>
      </w:r>
      <w:r>
        <w:rPr>
          <w:spacing w:val="-12"/>
          <w:sz w:val="21"/>
        </w:rPr>
        <w:t xml:space="preserve"> </w:t>
      </w:r>
      <w:r>
        <w:rPr>
          <w:sz w:val="21"/>
        </w:rPr>
        <w:t>5.1.6.1.5</w:t>
      </w:r>
      <w:r>
        <w:rPr>
          <w:spacing w:val="-18"/>
          <w:sz w:val="21"/>
        </w:rPr>
        <w:t xml:space="preserve"> </w:t>
      </w:r>
      <w:r>
        <w:rPr>
          <w:spacing w:val="-18"/>
          <w:sz w:val="21"/>
        </w:rPr>
        <w:t>的规</w:t>
      </w:r>
      <w:r>
        <w:rPr>
          <w:spacing w:val="-11"/>
          <w:sz w:val="21"/>
        </w:rPr>
        <w:t>定。</w:t>
      </w:r>
      <w:r>
        <w:rPr>
          <w:sz w:val="21"/>
        </w:rPr>
        <w:t xml:space="preserve"> </w:t>
      </w:r>
    </w:p>
    <w:p w14:paraId="463E90C3" w14:textId="77777777" w:rsidR="00A71EEF" w:rsidRDefault="00A71EEF">
      <w:pPr>
        <w:spacing w:line="446" w:lineRule="auto"/>
        <w:rPr>
          <w:sz w:val="21"/>
        </w:rPr>
        <w:sectPr w:rsidR="00A71EEF">
          <w:pgSz w:w="11910" w:h="16850"/>
          <w:pgMar w:top="1220" w:right="0" w:bottom="1420" w:left="1260" w:header="0" w:footer="1239" w:gutter="0"/>
          <w:cols w:space="720"/>
        </w:sectPr>
      </w:pPr>
    </w:p>
    <w:p w14:paraId="6944574A" w14:textId="77777777" w:rsidR="00A71EEF" w:rsidRDefault="0081115D">
      <w:pPr>
        <w:pStyle w:val="a4"/>
        <w:numPr>
          <w:ilvl w:val="4"/>
          <w:numId w:val="820"/>
        </w:numPr>
        <w:tabs>
          <w:tab w:val="left" w:pos="1788"/>
        </w:tabs>
        <w:spacing w:before="47" w:line="446" w:lineRule="auto"/>
        <w:ind w:left="418" w:right="1558" w:firstLine="419"/>
        <w:rPr>
          <w:sz w:val="21"/>
        </w:rPr>
      </w:pPr>
      <w:r>
        <w:rPr>
          <w:spacing w:val="-3"/>
          <w:sz w:val="21"/>
        </w:rPr>
        <w:lastRenderedPageBreak/>
        <w:t>目测检查消防车外表面是否有尖锐突出物和锐利的边缘，消防装置操作区域周</w:t>
      </w:r>
      <w:r>
        <w:rPr>
          <w:spacing w:val="-4"/>
          <w:sz w:val="21"/>
        </w:rPr>
        <w:t>围是否有可能对操作人员造成伤害的物品、热源，超过</w:t>
      </w:r>
      <w:r>
        <w:rPr>
          <w:spacing w:val="-4"/>
          <w:sz w:val="21"/>
        </w:rPr>
        <w:t xml:space="preserve"> </w:t>
      </w:r>
      <w:r>
        <w:rPr>
          <w:sz w:val="21"/>
        </w:rPr>
        <w:t>60</w:t>
      </w:r>
      <w:r>
        <w:rPr>
          <w:spacing w:val="-3"/>
          <w:sz w:val="21"/>
        </w:rPr>
        <w:t>℃</w:t>
      </w:r>
      <w:r>
        <w:rPr>
          <w:spacing w:val="-3"/>
          <w:sz w:val="21"/>
        </w:rPr>
        <w:t>的热表面及高速回转物是否设置防</w:t>
      </w:r>
      <w:r>
        <w:rPr>
          <w:spacing w:val="-8"/>
          <w:sz w:val="21"/>
        </w:rPr>
        <w:t>护装置，大于</w:t>
      </w:r>
      <w:r>
        <w:rPr>
          <w:spacing w:val="-8"/>
          <w:sz w:val="21"/>
        </w:rPr>
        <w:t xml:space="preserve"> </w:t>
      </w:r>
      <w:r>
        <w:rPr>
          <w:sz w:val="21"/>
        </w:rPr>
        <w:t>65</w:t>
      </w:r>
      <w:r>
        <w:rPr>
          <w:spacing w:val="20"/>
          <w:sz w:val="21"/>
        </w:rPr>
        <w:t xml:space="preserve"> </w:t>
      </w:r>
      <w:r>
        <w:rPr>
          <w:sz w:val="21"/>
        </w:rPr>
        <w:t>mm</w:t>
      </w:r>
      <w:r>
        <w:rPr>
          <w:spacing w:val="-11"/>
          <w:sz w:val="21"/>
        </w:rPr>
        <w:t xml:space="preserve"> </w:t>
      </w:r>
      <w:r>
        <w:rPr>
          <w:spacing w:val="-11"/>
          <w:sz w:val="21"/>
        </w:rPr>
        <w:t>的水带接口和压力大于</w:t>
      </w:r>
      <w:r>
        <w:rPr>
          <w:spacing w:val="-11"/>
          <w:sz w:val="21"/>
        </w:rPr>
        <w:t xml:space="preserve"> </w:t>
      </w:r>
      <w:r>
        <w:rPr>
          <w:sz w:val="21"/>
        </w:rPr>
        <w:t>1.8</w:t>
      </w:r>
      <w:r>
        <w:rPr>
          <w:spacing w:val="20"/>
          <w:sz w:val="21"/>
        </w:rPr>
        <w:t xml:space="preserve"> </w:t>
      </w:r>
      <w:r>
        <w:rPr>
          <w:sz w:val="21"/>
        </w:rPr>
        <w:t>MPa</w:t>
      </w:r>
      <w:r>
        <w:rPr>
          <w:spacing w:val="-7"/>
          <w:sz w:val="21"/>
        </w:rPr>
        <w:t xml:space="preserve"> </w:t>
      </w:r>
      <w:r>
        <w:rPr>
          <w:spacing w:val="-7"/>
          <w:sz w:val="21"/>
        </w:rPr>
        <w:t>的管路是否远离操作人员或采取防护措</w:t>
      </w:r>
      <w:r>
        <w:rPr>
          <w:spacing w:val="-5"/>
          <w:sz w:val="21"/>
        </w:rPr>
        <w:t>施，检查压力容器生产资质，压力容器的安装与硬物接触处应衬上柔软、耐腐蚀和减震的衬</w:t>
      </w:r>
      <w:r>
        <w:rPr>
          <w:spacing w:val="-5"/>
          <w:sz w:val="21"/>
        </w:rPr>
        <w:t xml:space="preserve">  </w:t>
      </w:r>
      <w:r>
        <w:rPr>
          <w:spacing w:val="-8"/>
          <w:sz w:val="21"/>
        </w:rPr>
        <w:t>物，检查判断试验结果是否符合</w:t>
      </w:r>
      <w:r>
        <w:rPr>
          <w:spacing w:val="-8"/>
          <w:sz w:val="21"/>
        </w:rPr>
        <w:t xml:space="preserve"> </w:t>
      </w:r>
      <w:r>
        <w:rPr>
          <w:sz w:val="21"/>
        </w:rPr>
        <w:t>5.1.6.1.6</w:t>
      </w:r>
      <w:r>
        <w:rPr>
          <w:sz w:val="21"/>
        </w:rPr>
        <w:t>～</w:t>
      </w:r>
      <w:r>
        <w:rPr>
          <w:sz w:val="21"/>
        </w:rPr>
        <w:t>5.1.6.1.10</w:t>
      </w:r>
      <w:r>
        <w:rPr>
          <w:spacing w:val="-13"/>
          <w:sz w:val="21"/>
        </w:rPr>
        <w:t xml:space="preserve"> </w:t>
      </w:r>
      <w:r>
        <w:rPr>
          <w:spacing w:val="-13"/>
          <w:sz w:val="21"/>
        </w:rPr>
        <w:t>的规定。</w:t>
      </w:r>
      <w:r>
        <w:rPr>
          <w:sz w:val="21"/>
        </w:rPr>
        <w:t xml:space="preserve"> </w:t>
      </w:r>
    </w:p>
    <w:p w14:paraId="7DD59289" w14:textId="77777777" w:rsidR="00A71EEF" w:rsidRDefault="0081115D">
      <w:pPr>
        <w:pStyle w:val="a4"/>
        <w:numPr>
          <w:ilvl w:val="3"/>
          <w:numId w:val="821"/>
        </w:numPr>
        <w:tabs>
          <w:tab w:val="left" w:pos="1576"/>
        </w:tabs>
        <w:spacing w:line="266" w:lineRule="exact"/>
        <w:rPr>
          <w:sz w:val="21"/>
        </w:rPr>
      </w:pPr>
      <w:r>
        <w:rPr>
          <w:spacing w:val="-3"/>
          <w:sz w:val="21"/>
        </w:rPr>
        <w:t>质心高度和侧倾稳定角测量</w:t>
      </w:r>
      <w:r>
        <w:rPr>
          <w:sz w:val="21"/>
        </w:rPr>
        <w:t xml:space="preserve"> </w:t>
      </w:r>
    </w:p>
    <w:p w14:paraId="05639E1D" w14:textId="77777777" w:rsidR="00A71EEF" w:rsidRDefault="00A71EEF">
      <w:pPr>
        <w:pStyle w:val="a3"/>
        <w:spacing w:before="2"/>
        <w:rPr>
          <w:sz w:val="18"/>
        </w:rPr>
      </w:pPr>
    </w:p>
    <w:p w14:paraId="59B57A40" w14:textId="77777777" w:rsidR="00A71EEF" w:rsidRDefault="0081115D">
      <w:pPr>
        <w:pStyle w:val="a3"/>
        <w:spacing w:line="446" w:lineRule="auto"/>
        <w:ind w:left="418" w:right="1499" w:firstLine="419"/>
      </w:pPr>
      <w:r>
        <w:t>消防车的质心高度测量按</w:t>
      </w:r>
      <w:r>
        <w:t xml:space="preserve"> GB/T 12538 </w:t>
      </w:r>
      <w:r>
        <w:t>进行，消防车的侧倾稳定角应在满载状态下按</w:t>
      </w:r>
      <w:r>
        <w:t xml:space="preserve"> GB/T 14172 </w:t>
      </w:r>
      <w:r>
        <w:t>的方法进行测量，判断试验结果是否符合</w:t>
      </w:r>
      <w:r>
        <w:t xml:space="preserve"> 5.1.6.2 </w:t>
      </w:r>
      <w:r>
        <w:t>的规定。</w:t>
      </w:r>
      <w:r>
        <w:t xml:space="preserve"> </w:t>
      </w:r>
    </w:p>
    <w:p w14:paraId="221FE08A" w14:textId="77777777" w:rsidR="00A71EEF" w:rsidRDefault="0081115D">
      <w:pPr>
        <w:pStyle w:val="a4"/>
        <w:numPr>
          <w:ilvl w:val="2"/>
          <w:numId w:val="821"/>
        </w:numPr>
        <w:tabs>
          <w:tab w:val="left" w:pos="1371"/>
        </w:tabs>
        <w:spacing w:line="267" w:lineRule="exact"/>
        <w:ind w:left="1370" w:hanging="531"/>
        <w:rPr>
          <w:sz w:val="21"/>
        </w:rPr>
      </w:pPr>
      <w:r>
        <w:rPr>
          <w:spacing w:val="-3"/>
          <w:sz w:val="21"/>
        </w:rPr>
        <w:t>可维修性检查</w:t>
      </w:r>
      <w:r>
        <w:rPr>
          <w:sz w:val="21"/>
        </w:rPr>
        <w:t xml:space="preserve"> </w:t>
      </w:r>
    </w:p>
    <w:p w14:paraId="3BF5C834" w14:textId="77777777" w:rsidR="00A71EEF" w:rsidRDefault="00A71EEF">
      <w:pPr>
        <w:pStyle w:val="a3"/>
        <w:spacing w:before="2"/>
        <w:rPr>
          <w:sz w:val="18"/>
        </w:rPr>
      </w:pPr>
    </w:p>
    <w:p w14:paraId="5F0E43F6" w14:textId="77777777" w:rsidR="00A71EEF" w:rsidRDefault="0081115D">
      <w:pPr>
        <w:pStyle w:val="a4"/>
        <w:numPr>
          <w:ilvl w:val="3"/>
          <w:numId w:val="821"/>
        </w:numPr>
        <w:tabs>
          <w:tab w:val="left" w:pos="1576"/>
        </w:tabs>
        <w:spacing w:line="446" w:lineRule="auto"/>
        <w:ind w:left="418" w:right="1609" w:firstLine="419"/>
        <w:rPr>
          <w:sz w:val="21"/>
        </w:rPr>
      </w:pPr>
      <w:r>
        <w:rPr>
          <w:spacing w:val="-3"/>
          <w:sz w:val="21"/>
        </w:rPr>
        <w:t>目测检查消防车检查发动机润滑油和冷却液液位时是否需要翻转驾驶室，判断试验结果是否符</w:t>
      </w:r>
      <w:r>
        <w:rPr>
          <w:spacing w:val="-3"/>
          <w:sz w:val="21"/>
        </w:rPr>
        <w:t xml:space="preserve"> </w:t>
      </w:r>
      <w:r>
        <w:rPr>
          <w:sz w:val="21"/>
        </w:rPr>
        <w:t>5.1.7.1</w:t>
      </w:r>
      <w:r>
        <w:rPr>
          <w:spacing w:val="-13"/>
          <w:sz w:val="21"/>
        </w:rPr>
        <w:t xml:space="preserve"> </w:t>
      </w:r>
      <w:r>
        <w:rPr>
          <w:spacing w:val="-13"/>
          <w:sz w:val="21"/>
        </w:rPr>
        <w:t>的规定。</w:t>
      </w:r>
      <w:r>
        <w:rPr>
          <w:sz w:val="21"/>
        </w:rPr>
        <w:t xml:space="preserve"> </w:t>
      </w:r>
    </w:p>
    <w:p w14:paraId="415222BD" w14:textId="77777777" w:rsidR="00A71EEF" w:rsidRDefault="0081115D">
      <w:pPr>
        <w:pStyle w:val="a4"/>
        <w:numPr>
          <w:ilvl w:val="3"/>
          <w:numId w:val="821"/>
        </w:numPr>
        <w:tabs>
          <w:tab w:val="left" w:pos="1576"/>
        </w:tabs>
        <w:spacing w:line="446" w:lineRule="auto"/>
        <w:ind w:left="418" w:right="1609" w:firstLine="419"/>
        <w:rPr>
          <w:sz w:val="21"/>
        </w:rPr>
      </w:pPr>
      <w:r>
        <w:rPr>
          <w:spacing w:val="-3"/>
          <w:sz w:val="21"/>
        </w:rPr>
        <w:t>目测检查使用工具，保养、维修时需拆卸的零、部件是否采用焊接或铆接方式联</w:t>
      </w:r>
      <w:r>
        <w:rPr>
          <w:spacing w:val="-7"/>
          <w:sz w:val="21"/>
        </w:rPr>
        <w:t>接，判断试验结果是否符合</w:t>
      </w:r>
      <w:r>
        <w:rPr>
          <w:spacing w:val="-7"/>
          <w:sz w:val="21"/>
        </w:rPr>
        <w:t xml:space="preserve"> </w:t>
      </w:r>
      <w:r>
        <w:rPr>
          <w:sz w:val="21"/>
        </w:rPr>
        <w:t>5.1.7.2</w:t>
      </w:r>
      <w:r>
        <w:rPr>
          <w:spacing w:val="-13"/>
          <w:sz w:val="21"/>
        </w:rPr>
        <w:t xml:space="preserve"> </w:t>
      </w:r>
      <w:r>
        <w:rPr>
          <w:spacing w:val="-13"/>
          <w:sz w:val="21"/>
        </w:rPr>
        <w:t>的规定。</w:t>
      </w:r>
      <w:r>
        <w:rPr>
          <w:sz w:val="21"/>
        </w:rPr>
        <w:t xml:space="preserve"> </w:t>
      </w:r>
    </w:p>
    <w:p w14:paraId="070B757F" w14:textId="77777777" w:rsidR="00A71EEF" w:rsidRDefault="0081115D">
      <w:pPr>
        <w:pStyle w:val="a4"/>
        <w:numPr>
          <w:ilvl w:val="2"/>
          <w:numId w:val="821"/>
        </w:numPr>
        <w:tabs>
          <w:tab w:val="left" w:pos="1370"/>
        </w:tabs>
        <w:ind w:hanging="530"/>
        <w:rPr>
          <w:sz w:val="21"/>
        </w:rPr>
      </w:pPr>
      <w:r>
        <w:rPr>
          <w:spacing w:val="-3"/>
          <w:sz w:val="21"/>
        </w:rPr>
        <w:t>防雨密封试验</w:t>
      </w:r>
      <w:r>
        <w:rPr>
          <w:sz w:val="21"/>
        </w:rPr>
        <w:t xml:space="preserve"> </w:t>
      </w:r>
    </w:p>
    <w:p w14:paraId="5DA72B87" w14:textId="77777777" w:rsidR="00A71EEF" w:rsidRDefault="00A71EEF">
      <w:pPr>
        <w:pStyle w:val="a3"/>
        <w:spacing w:before="10"/>
        <w:rPr>
          <w:sz w:val="17"/>
        </w:rPr>
      </w:pPr>
    </w:p>
    <w:p w14:paraId="713DC231" w14:textId="77777777" w:rsidR="00A71EEF" w:rsidRDefault="0081115D">
      <w:pPr>
        <w:pStyle w:val="a3"/>
        <w:spacing w:line="446" w:lineRule="auto"/>
        <w:ind w:left="418" w:right="1450" w:firstLine="419"/>
      </w:pPr>
      <w:r>
        <w:rPr>
          <w:spacing w:val="-5"/>
        </w:rPr>
        <w:t>防雨密封试验采用人工降雨方式进行试验，防雨密封架宽度为</w:t>
      </w:r>
      <w:r>
        <w:rPr>
          <w:spacing w:val="-5"/>
        </w:rPr>
        <w:t xml:space="preserve"> </w:t>
      </w:r>
      <w:r>
        <w:t>3 m</w:t>
      </w:r>
      <w:r>
        <w:rPr>
          <w:spacing w:val="-3"/>
        </w:rPr>
        <w:t>，长度应大于被测消防车</w:t>
      </w:r>
      <w:r>
        <w:rPr>
          <w:spacing w:val="-4"/>
        </w:rPr>
        <w:t>长度，防雨密封架两侧装有供水管，供水管上以</w:t>
      </w:r>
      <w:r>
        <w:rPr>
          <w:spacing w:val="-4"/>
        </w:rPr>
        <w:t xml:space="preserve"> </w:t>
      </w:r>
      <w:r>
        <w:t>250 mm</w:t>
      </w:r>
      <w:r>
        <w:rPr>
          <w:spacing w:val="-5"/>
        </w:rPr>
        <w:t xml:space="preserve"> </w:t>
      </w:r>
      <w:r>
        <w:rPr>
          <w:spacing w:val="-5"/>
        </w:rPr>
        <w:t>间距安装雨水喷头，上方供水管可以</w:t>
      </w:r>
      <w:r>
        <w:rPr>
          <w:spacing w:val="-5"/>
        </w:rPr>
        <w:t xml:space="preserve"> </w:t>
      </w:r>
      <w:r>
        <w:rPr>
          <w:spacing w:val="-9"/>
        </w:rPr>
        <w:t>上、下移动，喷头以</w:t>
      </w:r>
      <w:r>
        <w:rPr>
          <w:spacing w:val="-9"/>
        </w:rPr>
        <w:t xml:space="preserve"> </w:t>
      </w:r>
      <w:r>
        <w:t>45</w:t>
      </w:r>
      <w:r>
        <w:rPr>
          <w:spacing w:val="-6"/>
        </w:rPr>
        <w:t>°</w:t>
      </w:r>
      <w:r>
        <w:rPr>
          <w:spacing w:val="-6"/>
        </w:rPr>
        <w:t>方向朝向消防车，下方供水管固定，两侧以</w:t>
      </w:r>
      <w:r>
        <w:rPr>
          <w:spacing w:val="-6"/>
        </w:rPr>
        <w:t xml:space="preserve"> </w:t>
      </w:r>
      <w:r>
        <w:t>250 mm</w:t>
      </w:r>
      <w:r>
        <w:rPr>
          <w:spacing w:val="-9"/>
        </w:rPr>
        <w:t xml:space="preserve"> </w:t>
      </w:r>
      <w:r>
        <w:rPr>
          <w:spacing w:val="-9"/>
        </w:rPr>
        <w:t>间</w:t>
      </w:r>
      <w:r>
        <w:rPr>
          <w:spacing w:val="-9"/>
        </w:rPr>
        <w:t>距安装朝向消防</w:t>
      </w:r>
      <w:r>
        <w:rPr>
          <w:spacing w:val="-5"/>
        </w:rPr>
        <w:t>车的雨水喷头。试验时将消防车驶入防雨密封架，调整防雨密封架上方供水管使雨水喷头距消</w:t>
      </w:r>
      <w:r>
        <w:rPr>
          <w:spacing w:val="-5"/>
        </w:rPr>
        <w:t xml:space="preserve"> </w:t>
      </w:r>
      <w:r>
        <w:rPr>
          <w:spacing w:val="-10"/>
        </w:rPr>
        <w:t>防车两侧上方</w:t>
      </w:r>
      <w:r>
        <w:rPr>
          <w:spacing w:val="-10"/>
        </w:rPr>
        <w:t xml:space="preserve"> </w:t>
      </w:r>
      <w:r>
        <w:t xml:space="preserve">300 </w:t>
      </w:r>
      <w:r>
        <w:rPr>
          <w:spacing w:val="-3"/>
        </w:rPr>
        <w:t>mm</w:t>
      </w:r>
      <w:r>
        <w:rPr>
          <w:spacing w:val="-3"/>
        </w:rPr>
        <w:t>，关闭消防车门、窗和器材箱门，启动发动机并保持怠速，开启供水泵以</w:t>
      </w:r>
      <w:r>
        <w:rPr>
          <w:spacing w:val="-3"/>
        </w:rPr>
        <w:t>0.12</w:t>
      </w:r>
      <w:r>
        <w:rPr>
          <w:spacing w:val="6"/>
        </w:rPr>
        <w:t xml:space="preserve"> </w:t>
      </w:r>
      <w:r>
        <w:t>mm/s</w:t>
      </w:r>
      <w:r>
        <w:rPr>
          <w:spacing w:val="-10"/>
        </w:rPr>
        <w:t xml:space="preserve"> </w:t>
      </w:r>
      <w:r>
        <w:rPr>
          <w:spacing w:val="-10"/>
        </w:rPr>
        <w:t>的降雨强度向防雨密封架供水，同时开启雨刮、警灯、频闪灯，试验时间为</w:t>
      </w:r>
      <w:r>
        <w:rPr>
          <w:spacing w:val="-10"/>
        </w:rPr>
        <w:t xml:space="preserve"> </w:t>
      </w:r>
      <w:r>
        <w:t xml:space="preserve">15 </w:t>
      </w:r>
    </w:p>
    <w:p w14:paraId="694FBE12" w14:textId="77777777" w:rsidR="00A71EEF" w:rsidRDefault="0081115D">
      <w:pPr>
        <w:pStyle w:val="a3"/>
        <w:spacing w:line="267" w:lineRule="exact"/>
        <w:ind w:left="418"/>
      </w:pPr>
      <w:r>
        <w:t>min</w:t>
      </w:r>
      <w:r>
        <w:t>。停止喷水后打开消防车门、窗和器材箱门检查是否有渗漏，判断试验结果是否符合</w:t>
      </w:r>
      <w:r>
        <w:t xml:space="preserve"> 5.1.8</w:t>
      </w:r>
    </w:p>
    <w:p w14:paraId="333BA483" w14:textId="77777777" w:rsidR="00A71EEF" w:rsidRDefault="00A71EEF">
      <w:pPr>
        <w:pStyle w:val="a3"/>
        <w:spacing w:before="2"/>
        <w:rPr>
          <w:sz w:val="18"/>
        </w:rPr>
      </w:pPr>
    </w:p>
    <w:p w14:paraId="1223059E" w14:textId="77777777" w:rsidR="00A71EEF" w:rsidRDefault="0081115D">
      <w:pPr>
        <w:pStyle w:val="a3"/>
        <w:ind w:left="418"/>
      </w:pPr>
      <w:r>
        <w:t>的规定。</w:t>
      </w:r>
      <w:r>
        <w:t xml:space="preserve"> </w:t>
      </w:r>
    </w:p>
    <w:p w14:paraId="649B3193" w14:textId="77777777" w:rsidR="00A71EEF" w:rsidRDefault="00A71EEF">
      <w:pPr>
        <w:pStyle w:val="a3"/>
        <w:spacing w:before="12"/>
        <w:rPr>
          <w:sz w:val="17"/>
        </w:rPr>
      </w:pPr>
    </w:p>
    <w:p w14:paraId="30C9B091" w14:textId="77777777" w:rsidR="00A71EEF" w:rsidRDefault="0081115D">
      <w:pPr>
        <w:pStyle w:val="a4"/>
        <w:numPr>
          <w:ilvl w:val="2"/>
          <w:numId w:val="821"/>
        </w:numPr>
        <w:tabs>
          <w:tab w:val="left" w:pos="1371"/>
        </w:tabs>
        <w:ind w:left="1370" w:hanging="531"/>
        <w:rPr>
          <w:sz w:val="21"/>
        </w:rPr>
      </w:pPr>
      <w:r>
        <w:rPr>
          <w:spacing w:val="-3"/>
          <w:sz w:val="21"/>
        </w:rPr>
        <w:t>低温使用试验</w:t>
      </w:r>
      <w:r>
        <w:rPr>
          <w:sz w:val="21"/>
        </w:rPr>
        <w:t xml:space="preserve"> </w:t>
      </w:r>
    </w:p>
    <w:p w14:paraId="44876E30" w14:textId="77777777" w:rsidR="00A71EEF" w:rsidRDefault="00A71EEF">
      <w:pPr>
        <w:pStyle w:val="a3"/>
        <w:rPr>
          <w:sz w:val="18"/>
        </w:rPr>
      </w:pPr>
    </w:p>
    <w:p w14:paraId="1A9AF42B" w14:textId="77777777" w:rsidR="00A71EEF" w:rsidRDefault="0081115D">
      <w:pPr>
        <w:pStyle w:val="a3"/>
        <w:spacing w:line="446" w:lineRule="auto"/>
        <w:ind w:left="418" w:right="1450" w:firstLine="419"/>
        <w:jc w:val="both"/>
      </w:pPr>
      <w:r>
        <w:rPr>
          <w:spacing w:val="-3"/>
        </w:rPr>
        <w:t>如消防车产品铭牌上标注的消防车的使用温度在</w:t>
      </w:r>
      <w:r>
        <w:rPr>
          <w:spacing w:val="-3"/>
        </w:rPr>
        <w:t>-</w:t>
      </w:r>
      <w:r>
        <w:t>10</w:t>
      </w:r>
      <w:r>
        <w:rPr>
          <w:spacing w:val="-3"/>
        </w:rPr>
        <w:t>℃</w:t>
      </w:r>
      <w:r>
        <w:rPr>
          <w:spacing w:val="-3"/>
        </w:rPr>
        <w:t>或以下，目测检查消防车的消防泵和外露阀门等过水部件是否配置保温或加温装置，在</w:t>
      </w:r>
      <w:r>
        <w:rPr>
          <w:spacing w:val="-3"/>
        </w:rPr>
        <w:t>-</w:t>
      </w:r>
      <w:r>
        <w:t>10℃</w:t>
      </w:r>
      <w:r>
        <w:rPr>
          <w:spacing w:val="-3"/>
        </w:rPr>
        <w:t>或更低温度下消防车在管路无余水状态</w:t>
      </w:r>
      <w:r>
        <w:rPr>
          <w:spacing w:val="-12"/>
        </w:rPr>
        <w:t>下放置</w:t>
      </w:r>
      <w:r>
        <w:rPr>
          <w:spacing w:val="-12"/>
        </w:rPr>
        <w:t xml:space="preserve"> </w:t>
      </w:r>
      <w:r>
        <w:t>1 h</w:t>
      </w:r>
      <w:r>
        <w:rPr>
          <w:spacing w:val="-3"/>
        </w:rPr>
        <w:t>，自动保温或加温装置，检查消防炮和各出水口是否工作正常，目测检查这些保温或</w:t>
      </w:r>
      <w:r>
        <w:rPr>
          <w:spacing w:val="-6"/>
        </w:rPr>
        <w:t>加湿装置的启动位置，判断试验结果是否符合</w:t>
      </w:r>
      <w:r>
        <w:rPr>
          <w:spacing w:val="-6"/>
        </w:rPr>
        <w:t xml:space="preserve"> </w:t>
      </w:r>
      <w:r>
        <w:t>5.1.9</w:t>
      </w:r>
      <w:r>
        <w:rPr>
          <w:spacing w:val="-13"/>
        </w:rPr>
        <w:t xml:space="preserve"> </w:t>
      </w:r>
      <w:r>
        <w:rPr>
          <w:spacing w:val="-13"/>
        </w:rPr>
        <w:t>的规定。</w:t>
      </w:r>
      <w:r>
        <w:t xml:space="preserve"> </w:t>
      </w:r>
    </w:p>
    <w:p w14:paraId="4595C919" w14:textId="77777777" w:rsidR="00A71EEF" w:rsidRDefault="0081115D">
      <w:pPr>
        <w:pStyle w:val="a4"/>
        <w:numPr>
          <w:ilvl w:val="1"/>
          <w:numId w:val="819"/>
        </w:numPr>
        <w:tabs>
          <w:tab w:val="left" w:pos="1159"/>
        </w:tabs>
        <w:ind w:hanging="319"/>
        <w:rPr>
          <w:b/>
          <w:sz w:val="21"/>
        </w:rPr>
      </w:pPr>
      <w:r>
        <w:rPr>
          <w:spacing w:val="-3"/>
          <w:sz w:val="21"/>
        </w:rPr>
        <w:t>整车标志和标识检查</w:t>
      </w:r>
      <w:r>
        <w:rPr>
          <w:b/>
          <w:w w:val="99"/>
          <w:sz w:val="21"/>
        </w:rPr>
        <w:t xml:space="preserve"> </w:t>
      </w:r>
    </w:p>
    <w:p w14:paraId="1E5095C2" w14:textId="77777777" w:rsidR="00A71EEF" w:rsidRDefault="00A71EEF">
      <w:pPr>
        <w:rPr>
          <w:sz w:val="21"/>
        </w:rPr>
        <w:sectPr w:rsidR="00A71EEF">
          <w:pgSz w:w="11910" w:h="16850"/>
          <w:pgMar w:top="1220" w:right="0" w:bottom="1420" w:left="1260" w:header="0" w:footer="1239" w:gutter="0"/>
          <w:cols w:space="720"/>
        </w:sectPr>
      </w:pPr>
    </w:p>
    <w:p w14:paraId="148DE681" w14:textId="77777777" w:rsidR="00A71EEF" w:rsidRDefault="0081115D">
      <w:pPr>
        <w:pStyle w:val="a4"/>
        <w:numPr>
          <w:ilvl w:val="2"/>
          <w:numId w:val="819"/>
        </w:numPr>
        <w:tabs>
          <w:tab w:val="left" w:pos="1371"/>
        </w:tabs>
        <w:spacing w:before="47"/>
        <w:rPr>
          <w:sz w:val="21"/>
        </w:rPr>
      </w:pPr>
      <w:r>
        <w:rPr>
          <w:spacing w:val="-5"/>
          <w:sz w:val="21"/>
        </w:rPr>
        <w:lastRenderedPageBreak/>
        <w:t>目测检查消防车的商标或厂标、产品标牌，判断试验结果是否符合</w:t>
      </w:r>
      <w:r>
        <w:rPr>
          <w:spacing w:val="-5"/>
          <w:sz w:val="21"/>
        </w:rPr>
        <w:t xml:space="preserve"> </w:t>
      </w:r>
      <w:r>
        <w:rPr>
          <w:sz w:val="21"/>
        </w:rPr>
        <w:t>5.2.1</w:t>
      </w:r>
      <w:r>
        <w:rPr>
          <w:spacing w:val="-13"/>
          <w:sz w:val="21"/>
        </w:rPr>
        <w:t xml:space="preserve"> </w:t>
      </w:r>
      <w:r>
        <w:rPr>
          <w:spacing w:val="-13"/>
          <w:sz w:val="21"/>
        </w:rPr>
        <w:t>的规定。</w:t>
      </w:r>
      <w:r>
        <w:rPr>
          <w:sz w:val="21"/>
        </w:rPr>
        <w:t xml:space="preserve"> </w:t>
      </w:r>
    </w:p>
    <w:p w14:paraId="22D0B117" w14:textId="77777777" w:rsidR="00A71EEF" w:rsidRDefault="00A71EEF">
      <w:pPr>
        <w:pStyle w:val="a3"/>
        <w:rPr>
          <w:sz w:val="18"/>
        </w:rPr>
      </w:pPr>
    </w:p>
    <w:p w14:paraId="3B268B1C" w14:textId="77777777" w:rsidR="00A71EEF" w:rsidRDefault="0081115D">
      <w:pPr>
        <w:pStyle w:val="a4"/>
        <w:numPr>
          <w:ilvl w:val="2"/>
          <w:numId w:val="819"/>
        </w:numPr>
        <w:tabs>
          <w:tab w:val="left" w:pos="1371"/>
        </w:tabs>
        <w:rPr>
          <w:sz w:val="21"/>
        </w:rPr>
      </w:pPr>
      <w:r>
        <w:rPr>
          <w:spacing w:val="-5"/>
          <w:sz w:val="21"/>
        </w:rPr>
        <w:t>目测检查消防车的车辆识别代号，判断试验结果是否符合</w:t>
      </w:r>
      <w:r>
        <w:rPr>
          <w:spacing w:val="-5"/>
          <w:sz w:val="21"/>
        </w:rPr>
        <w:t xml:space="preserve"> </w:t>
      </w:r>
      <w:r>
        <w:rPr>
          <w:sz w:val="21"/>
        </w:rPr>
        <w:t>5.2.2</w:t>
      </w:r>
      <w:r>
        <w:rPr>
          <w:spacing w:val="-12"/>
          <w:sz w:val="21"/>
        </w:rPr>
        <w:t xml:space="preserve"> </w:t>
      </w:r>
      <w:r>
        <w:rPr>
          <w:spacing w:val="-12"/>
          <w:sz w:val="21"/>
        </w:rPr>
        <w:t>的规定。</w:t>
      </w:r>
      <w:r>
        <w:rPr>
          <w:spacing w:val="-12"/>
          <w:sz w:val="21"/>
        </w:rPr>
        <w:t xml:space="preserve"> </w:t>
      </w:r>
    </w:p>
    <w:p w14:paraId="50B37D26" w14:textId="77777777" w:rsidR="00A71EEF" w:rsidRDefault="00A71EEF">
      <w:pPr>
        <w:pStyle w:val="a3"/>
        <w:rPr>
          <w:sz w:val="18"/>
        </w:rPr>
      </w:pPr>
    </w:p>
    <w:p w14:paraId="10D4FBB1" w14:textId="77777777" w:rsidR="00A71EEF" w:rsidRDefault="0081115D">
      <w:pPr>
        <w:pStyle w:val="a4"/>
        <w:numPr>
          <w:ilvl w:val="2"/>
          <w:numId w:val="819"/>
        </w:numPr>
        <w:tabs>
          <w:tab w:val="left" w:pos="1370"/>
        </w:tabs>
        <w:ind w:left="1369" w:hanging="530"/>
        <w:rPr>
          <w:sz w:val="21"/>
        </w:rPr>
      </w:pPr>
      <w:r>
        <w:rPr>
          <w:spacing w:val="-5"/>
          <w:sz w:val="21"/>
        </w:rPr>
        <w:t>目测检查消防车外</w:t>
      </w:r>
      <w:r>
        <w:rPr>
          <w:spacing w:val="-5"/>
          <w:sz w:val="21"/>
        </w:rPr>
        <w:t>表面的颜色，判断试验结果是否符合</w:t>
      </w:r>
      <w:r>
        <w:rPr>
          <w:spacing w:val="-5"/>
          <w:sz w:val="21"/>
        </w:rPr>
        <w:t xml:space="preserve"> </w:t>
      </w:r>
      <w:r>
        <w:rPr>
          <w:sz w:val="21"/>
        </w:rPr>
        <w:t>5.2.3</w:t>
      </w:r>
      <w:r>
        <w:rPr>
          <w:spacing w:val="-12"/>
          <w:sz w:val="21"/>
        </w:rPr>
        <w:t xml:space="preserve"> </w:t>
      </w:r>
      <w:r>
        <w:rPr>
          <w:spacing w:val="-12"/>
          <w:sz w:val="21"/>
        </w:rPr>
        <w:t>的规定。</w:t>
      </w:r>
      <w:r>
        <w:rPr>
          <w:spacing w:val="-12"/>
          <w:sz w:val="21"/>
        </w:rPr>
        <w:t xml:space="preserve"> </w:t>
      </w:r>
    </w:p>
    <w:p w14:paraId="55C86375" w14:textId="77777777" w:rsidR="00A71EEF" w:rsidRDefault="00A71EEF">
      <w:pPr>
        <w:pStyle w:val="a3"/>
        <w:spacing w:before="1"/>
        <w:rPr>
          <w:sz w:val="18"/>
        </w:rPr>
      </w:pPr>
    </w:p>
    <w:p w14:paraId="039C5527" w14:textId="77777777" w:rsidR="00A71EEF" w:rsidRDefault="0081115D">
      <w:pPr>
        <w:pStyle w:val="a4"/>
        <w:numPr>
          <w:ilvl w:val="2"/>
          <w:numId w:val="819"/>
        </w:numPr>
        <w:tabs>
          <w:tab w:val="left" w:pos="1371"/>
        </w:tabs>
        <w:spacing w:before="1" w:line="446" w:lineRule="auto"/>
        <w:ind w:left="418" w:right="1604" w:firstLine="422"/>
        <w:rPr>
          <w:sz w:val="21"/>
        </w:rPr>
      </w:pPr>
      <w:r>
        <w:rPr>
          <w:spacing w:val="-3"/>
          <w:sz w:val="21"/>
        </w:rPr>
        <w:t>目测检查反光标识的粘贴并采用通用量具测量车身反光标识的长度，判断试验结果</w:t>
      </w:r>
      <w:r>
        <w:rPr>
          <w:spacing w:val="-13"/>
          <w:sz w:val="21"/>
        </w:rPr>
        <w:t>是否符合</w:t>
      </w:r>
      <w:r>
        <w:rPr>
          <w:spacing w:val="-13"/>
          <w:sz w:val="21"/>
        </w:rPr>
        <w:t xml:space="preserve"> </w:t>
      </w:r>
      <w:r>
        <w:rPr>
          <w:sz w:val="21"/>
        </w:rPr>
        <w:t>5.2.4</w:t>
      </w:r>
      <w:r>
        <w:rPr>
          <w:spacing w:val="-12"/>
          <w:sz w:val="21"/>
        </w:rPr>
        <w:t xml:space="preserve"> </w:t>
      </w:r>
      <w:r>
        <w:rPr>
          <w:spacing w:val="-12"/>
          <w:sz w:val="21"/>
        </w:rPr>
        <w:t>的规定。</w:t>
      </w:r>
      <w:r>
        <w:rPr>
          <w:spacing w:val="-12"/>
          <w:sz w:val="21"/>
        </w:rPr>
        <w:t xml:space="preserve"> </w:t>
      </w:r>
    </w:p>
    <w:p w14:paraId="1F7B5DE3" w14:textId="77777777" w:rsidR="00A71EEF" w:rsidRDefault="0081115D">
      <w:pPr>
        <w:pStyle w:val="a4"/>
        <w:numPr>
          <w:ilvl w:val="2"/>
          <w:numId w:val="819"/>
        </w:numPr>
        <w:tabs>
          <w:tab w:val="left" w:pos="1370"/>
        </w:tabs>
        <w:spacing w:line="267" w:lineRule="exact"/>
        <w:ind w:left="1369" w:hanging="530"/>
        <w:rPr>
          <w:sz w:val="21"/>
        </w:rPr>
      </w:pPr>
      <w:r>
        <w:rPr>
          <w:spacing w:val="-5"/>
          <w:sz w:val="21"/>
        </w:rPr>
        <w:t>采用通用量具测量号牌板的高度和角度，判断试验结果是否符合</w:t>
      </w:r>
      <w:r>
        <w:rPr>
          <w:spacing w:val="-5"/>
          <w:sz w:val="21"/>
        </w:rPr>
        <w:t xml:space="preserve"> </w:t>
      </w:r>
      <w:r>
        <w:rPr>
          <w:sz w:val="21"/>
        </w:rPr>
        <w:t>5.2.5</w:t>
      </w:r>
      <w:r>
        <w:rPr>
          <w:spacing w:val="-13"/>
          <w:sz w:val="21"/>
        </w:rPr>
        <w:t xml:space="preserve"> </w:t>
      </w:r>
      <w:r>
        <w:rPr>
          <w:spacing w:val="-13"/>
          <w:sz w:val="21"/>
        </w:rPr>
        <w:t>的规定。</w:t>
      </w:r>
      <w:r>
        <w:rPr>
          <w:sz w:val="21"/>
        </w:rPr>
        <w:t xml:space="preserve"> </w:t>
      </w:r>
    </w:p>
    <w:p w14:paraId="5ACD8117" w14:textId="77777777" w:rsidR="00A71EEF" w:rsidRDefault="00A71EEF">
      <w:pPr>
        <w:pStyle w:val="a3"/>
        <w:spacing w:before="1"/>
        <w:rPr>
          <w:sz w:val="18"/>
        </w:rPr>
      </w:pPr>
    </w:p>
    <w:p w14:paraId="18DE2EF7" w14:textId="77777777" w:rsidR="00A71EEF" w:rsidRDefault="0081115D">
      <w:pPr>
        <w:pStyle w:val="a4"/>
        <w:numPr>
          <w:ilvl w:val="2"/>
          <w:numId w:val="819"/>
        </w:numPr>
        <w:tabs>
          <w:tab w:val="left" w:pos="1371"/>
        </w:tabs>
        <w:spacing w:before="1" w:line="446" w:lineRule="auto"/>
        <w:ind w:left="418" w:right="1604" w:firstLine="422"/>
        <w:rPr>
          <w:sz w:val="21"/>
        </w:rPr>
      </w:pPr>
      <w:r>
        <w:rPr>
          <w:spacing w:val="-5"/>
          <w:sz w:val="21"/>
        </w:rPr>
        <w:t>目测检查消防车轮胎上方车体处轮胎气压的标注。判断试验结果是否符合</w:t>
      </w:r>
      <w:r>
        <w:rPr>
          <w:spacing w:val="-5"/>
          <w:sz w:val="21"/>
        </w:rPr>
        <w:t xml:space="preserve"> </w:t>
      </w:r>
      <w:r>
        <w:rPr>
          <w:sz w:val="21"/>
        </w:rPr>
        <w:t>5.2.6</w:t>
      </w:r>
      <w:r>
        <w:rPr>
          <w:spacing w:val="-23"/>
          <w:sz w:val="21"/>
        </w:rPr>
        <w:t xml:space="preserve"> </w:t>
      </w:r>
      <w:r>
        <w:rPr>
          <w:spacing w:val="-23"/>
          <w:sz w:val="21"/>
        </w:rPr>
        <w:t>的</w:t>
      </w:r>
      <w:r>
        <w:rPr>
          <w:spacing w:val="-17"/>
          <w:sz w:val="21"/>
        </w:rPr>
        <w:t>规定。</w:t>
      </w:r>
      <w:r>
        <w:rPr>
          <w:sz w:val="21"/>
        </w:rPr>
        <w:t xml:space="preserve"> </w:t>
      </w:r>
    </w:p>
    <w:p w14:paraId="1EBC8AE1" w14:textId="77777777" w:rsidR="00A71EEF" w:rsidRDefault="0081115D">
      <w:pPr>
        <w:pStyle w:val="a4"/>
        <w:numPr>
          <w:ilvl w:val="1"/>
          <w:numId w:val="819"/>
        </w:numPr>
        <w:tabs>
          <w:tab w:val="left" w:pos="1159"/>
        </w:tabs>
        <w:spacing w:line="267" w:lineRule="exact"/>
        <w:ind w:hanging="319"/>
        <w:rPr>
          <w:sz w:val="21"/>
        </w:rPr>
      </w:pPr>
      <w:r>
        <w:rPr>
          <w:spacing w:val="-3"/>
          <w:sz w:val="21"/>
        </w:rPr>
        <w:t>底盘的一般要求检查</w:t>
      </w:r>
      <w:r>
        <w:rPr>
          <w:sz w:val="21"/>
        </w:rPr>
        <w:t xml:space="preserve"> </w:t>
      </w:r>
    </w:p>
    <w:p w14:paraId="4228A8B7" w14:textId="77777777" w:rsidR="00A71EEF" w:rsidRDefault="00A71EEF">
      <w:pPr>
        <w:pStyle w:val="a3"/>
        <w:spacing w:before="1"/>
        <w:rPr>
          <w:sz w:val="18"/>
        </w:rPr>
      </w:pPr>
    </w:p>
    <w:p w14:paraId="2CDD3931" w14:textId="77777777" w:rsidR="00A71EEF" w:rsidRDefault="0081115D">
      <w:pPr>
        <w:pStyle w:val="a4"/>
        <w:numPr>
          <w:ilvl w:val="2"/>
          <w:numId w:val="819"/>
        </w:numPr>
        <w:tabs>
          <w:tab w:val="left" w:pos="1371"/>
        </w:tabs>
        <w:rPr>
          <w:sz w:val="21"/>
        </w:rPr>
      </w:pPr>
      <w:r>
        <w:rPr>
          <w:spacing w:val="-6"/>
          <w:sz w:val="21"/>
        </w:rPr>
        <w:t>目测检查底盘的各种仪表，判断试验结果是否符合</w:t>
      </w:r>
      <w:r>
        <w:rPr>
          <w:spacing w:val="-6"/>
          <w:sz w:val="21"/>
        </w:rPr>
        <w:t xml:space="preserve"> </w:t>
      </w:r>
      <w:r>
        <w:rPr>
          <w:sz w:val="21"/>
        </w:rPr>
        <w:t>5.3.1</w:t>
      </w:r>
      <w:r>
        <w:rPr>
          <w:spacing w:val="-13"/>
          <w:sz w:val="21"/>
        </w:rPr>
        <w:t xml:space="preserve"> </w:t>
      </w:r>
      <w:r>
        <w:rPr>
          <w:spacing w:val="-13"/>
          <w:sz w:val="21"/>
        </w:rPr>
        <w:t>的规定。</w:t>
      </w:r>
      <w:r>
        <w:rPr>
          <w:sz w:val="21"/>
        </w:rPr>
        <w:t xml:space="preserve"> </w:t>
      </w:r>
    </w:p>
    <w:p w14:paraId="3DE7D5EE" w14:textId="77777777" w:rsidR="00A71EEF" w:rsidRDefault="00A71EEF">
      <w:pPr>
        <w:pStyle w:val="a3"/>
        <w:rPr>
          <w:sz w:val="18"/>
        </w:rPr>
      </w:pPr>
    </w:p>
    <w:p w14:paraId="0206F018" w14:textId="77777777" w:rsidR="00A71EEF" w:rsidRDefault="0081115D">
      <w:pPr>
        <w:pStyle w:val="a4"/>
        <w:numPr>
          <w:ilvl w:val="2"/>
          <w:numId w:val="819"/>
        </w:numPr>
        <w:tabs>
          <w:tab w:val="left" w:pos="1371"/>
        </w:tabs>
        <w:rPr>
          <w:sz w:val="21"/>
        </w:rPr>
      </w:pPr>
      <w:r>
        <w:rPr>
          <w:spacing w:val="-28"/>
          <w:sz w:val="21"/>
        </w:rPr>
        <w:t>按</w:t>
      </w:r>
      <w:r>
        <w:rPr>
          <w:spacing w:val="-28"/>
          <w:sz w:val="21"/>
        </w:rPr>
        <w:t xml:space="preserve"> </w:t>
      </w:r>
      <w:r>
        <w:rPr>
          <w:sz w:val="21"/>
        </w:rPr>
        <w:t>6.1.2</w:t>
      </w:r>
      <w:r>
        <w:rPr>
          <w:spacing w:val="-12"/>
          <w:sz w:val="21"/>
        </w:rPr>
        <w:t xml:space="preserve"> </w:t>
      </w:r>
      <w:r>
        <w:rPr>
          <w:spacing w:val="-12"/>
          <w:sz w:val="21"/>
        </w:rPr>
        <w:t>试验方法进行，判断试验结果是否符合</w:t>
      </w:r>
      <w:r>
        <w:rPr>
          <w:spacing w:val="-12"/>
          <w:sz w:val="21"/>
        </w:rPr>
        <w:t xml:space="preserve"> </w:t>
      </w:r>
      <w:r>
        <w:rPr>
          <w:sz w:val="21"/>
        </w:rPr>
        <w:t>5.3.2</w:t>
      </w:r>
      <w:r>
        <w:rPr>
          <w:spacing w:val="-13"/>
          <w:sz w:val="21"/>
        </w:rPr>
        <w:t xml:space="preserve"> </w:t>
      </w:r>
      <w:r>
        <w:rPr>
          <w:spacing w:val="-13"/>
          <w:sz w:val="21"/>
        </w:rPr>
        <w:t>的规定。</w:t>
      </w:r>
      <w:r>
        <w:rPr>
          <w:sz w:val="21"/>
        </w:rPr>
        <w:t xml:space="preserve"> </w:t>
      </w:r>
    </w:p>
    <w:p w14:paraId="5F357A05" w14:textId="77777777" w:rsidR="00A71EEF" w:rsidRDefault="00A71EEF">
      <w:pPr>
        <w:pStyle w:val="a3"/>
        <w:spacing w:before="12"/>
        <w:rPr>
          <w:sz w:val="17"/>
        </w:rPr>
      </w:pPr>
    </w:p>
    <w:p w14:paraId="2196FF97" w14:textId="77777777" w:rsidR="00A71EEF" w:rsidRDefault="0081115D">
      <w:pPr>
        <w:pStyle w:val="a4"/>
        <w:numPr>
          <w:ilvl w:val="2"/>
          <w:numId w:val="819"/>
        </w:numPr>
        <w:tabs>
          <w:tab w:val="left" w:pos="1370"/>
        </w:tabs>
        <w:ind w:left="1369" w:hanging="530"/>
        <w:rPr>
          <w:sz w:val="21"/>
        </w:rPr>
      </w:pPr>
      <w:r>
        <w:rPr>
          <w:spacing w:val="-6"/>
          <w:sz w:val="21"/>
        </w:rPr>
        <w:t>检查发动机自动断油系统，判断试验结果是否符合</w:t>
      </w:r>
      <w:r>
        <w:rPr>
          <w:spacing w:val="-6"/>
          <w:sz w:val="21"/>
        </w:rPr>
        <w:t xml:space="preserve"> </w:t>
      </w:r>
      <w:r>
        <w:rPr>
          <w:sz w:val="21"/>
        </w:rPr>
        <w:t>5.3.3</w:t>
      </w:r>
      <w:r>
        <w:rPr>
          <w:spacing w:val="-13"/>
          <w:sz w:val="21"/>
        </w:rPr>
        <w:t xml:space="preserve"> </w:t>
      </w:r>
      <w:r>
        <w:rPr>
          <w:spacing w:val="-13"/>
          <w:sz w:val="21"/>
        </w:rPr>
        <w:t>的规定。</w:t>
      </w:r>
      <w:r>
        <w:rPr>
          <w:sz w:val="21"/>
        </w:rPr>
        <w:t xml:space="preserve"> </w:t>
      </w:r>
    </w:p>
    <w:p w14:paraId="38D8124E" w14:textId="77777777" w:rsidR="00A71EEF" w:rsidRDefault="00A71EEF">
      <w:pPr>
        <w:pStyle w:val="a3"/>
        <w:spacing w:before="2"/>
        <w:rPr>
          <w:sz w:val="18"/>
        </w:rPr>
      </w:pPr>
    </w:p>
    <w:p w14:paraId="54431AFE" w14:textId="77777777" w:rsidR="00A71EEF" w:rsidRDefault="0081115D">
      <w:pPr>
        <w:pStyle w:val="a4"/>
        <w:numPr>
          <w:ilvl w:val="2"/>
          <w:numId w:val="819"/>
        </w:numPr>
        <w:tabs>
          <w:tab w:val="left" w:pos="1371"/>
        </w:tabs>
        <w:rPr>
          <w:sz w:val="21"/>
        </w:rPr>
      </w:pPr>
      <w:r>
        <w:rPr>
          <w:spacing w:val="-5"/>
          <w:sz w:val="21"/>
        </w:rPr>
        <w:t>检查进口底盘中文使用说明书、中文维修手册等资料，判断试验结果是否符合</w:t>
      </w:r>
      <w:r>
        <w:rPr>
          <w:spacing w:val="-5"/>
          <w:sz w:val="21"/>
        </w:rPr>
        <w:t xml:space="preserve"> </w:t>
      </w:r>
      <w:r>
        <w:rPr>
          <w:sz w:val="21"/>
        </w:rPr>
        <w:t>5.3.4</w:t>
      </w:r>
    </w:p>
    <w:p w14:paraId="2D6F6841" w14:textId="77777777" w:rsidR="00A71EEF" w:rsidRDefault="00A71EEF">
      <w:pPr>
        <w:pStyle w:val="a3"/>
        <w:rPr>
          <w:sz w:val="18"/>
        </w:rPr>
      </w:pPr>
    </w:p>
    <w:p w14:paraId="25FF4142" w14:textId="77777777" w:rsidR="00A71EEF" w:rsidRDefault="0081115D">
      <w:pPr>
        <w:pStyle w:val="a3"/>
        <w:ind w:left="418"/>
      </w:pPr>
      <w:r>
        <w:t>的规定。</w:t>
      </w:r>
      <w:r>
        <w:t xml:space="preserve"> </w:t>
      </w:r>
    </w:p>
    <w:p w14:paraId="4C774AEE" w14:textId="77777777" w:rsidR="00A71EEF" w:rsidRDefault="00A71EEF">
      <w:pPr>
        <w:pStyle w:val="a3"/>
        <w:spacing w:before="12"/>
        <w:rPr>
          <w:sz w:val="17"/>
        </w:rPr>
      </w:pPr>
    </w:p>
    <w:p w14:paraId="17827104" w14:textId="77777777" w:rsidR="00A71EEF" w:rsidRDefault="0081115D">
      <w:pPr>
        <w:pStyle w:val="a4"/>
        <w:numPr>
          <w:ilvl w:val="1"/>
          <w:numId w:val="819"/>
        </w:numPr>
        <w:tabs>
          <w:tab w:val="left" w:pos="1159"/>
        </w:tabs>
        <w:ind w:hanging="319"/>
        <w:rPr>
          <w:sz w:val="21"/>
        </w:rPr>
      </w:pPr>
      <w:r>
        <w:rPr>
          <w:spacing w:val="-3"/>
          <w:sz w:val="21"/>
        </w:rPr>
        <w:t>底盘改制试验</w:t>
      </w:r>
      <w:r>
        <w:rPr>
          <w:sz w:val="21"/>
        </w:rPr>
        <w:t xml:space="preserve"> </w:t>
      </w:r>
    </w:p>
    <w:p w14:paraId="02367728" w14:textId="77777777" w:rsidR="00A71EEF" w:rsidRDefault="00A71EEF">
      <w:pPr>
        <w:pStyle w:val="a3"/>
        <w:spacing w:before="2"/>
        <w:rPr>
          <w:sz w:val="18"/>
        </w:rPr>
      </w:pPr>
    </w:p>
    <w:p w14:paraId="7E85DEB1" w14:textId="77777777" w:rsidR="00A71EEF" w:rsidRDefault="0081115D">
      <w:pPr>
        <w:pStyle w:val="a4"/>
        <w:numPr>
          <w:ilvl w:val="2"/>
          <w:numId w:val="819"/>
        </w:numPr>
        <w:tabs>
          <w:tab w:val="left" w:pos="1370"/>
        </w:tabs>
        <w:ind w:left="1369" w:hanging="530"/>
        <w:rPr>
          <w:sz w:val="21"/>
        </w:rPr>
      </w:pPr>
      <w:r>
        <w:rPr>
          <w:spacing w:val="-3"/>
          <w:sz w:val="21"/>
        </w:rPr>
        <w:t>底盘改制前的试验</w:t>
      </w:r>
      <w:r>
        <w:rPr>
          <w:sz w:val="21"/>
        </w:rPr>
        <w:t xml:space="preserve"> </w:t>
      </w:r>
    </w:p>
    <w:p w14:paraId="70BD3019" w14:textId="77777777" w:rsidR="00A71EEF" w:rsidRDefault="00A71EEF">
      <w:pPr>
        <w:pStyle w:val="a3"/>
        <w:rPr>
          <w:sz w:val="18"/>
        </w:rPr>
      </w:pPr>
    </w:p>
    <w:p w14:paraId="24EB3355" w14:textId="77777777" w:rsidR="00A71EEF" w:rsidRDefault="0081115D">
      <w:pPr>
        <w:pStyle w:val="a4"/>
        <w:numPr>
          <w:ilvl w:val="3"/>
          <w:numId w:val="819"/>
        </w:numPr>
        <w:tabs>
          <w:tab w:val="left" w:pos="1576"/>
        </w:tabs>
        <w:rPr>
          <w:sz w:val="21"/>
        </w:rPr>
      </w:pPr>
      <w:r>
        <w:rPr>
          <w:spacing w:val="-3"/>
          <w:sz w:val="21"/>
        </w:rPr>
        <w:t>发动机冷却</w:t>
      </w:r>
      <w:r>
        <w:rPr>
          <w:spacing w:val="-3"/>
          <w:sz w:val="21"/>
        </w:rPr>
        <w:t xml:space="preserve"> </w:t>
      </w:r>
    </w:p>
    <w:p w14:paraId="6E1D0E48" w14:textId="77777777" w:rsidR="00A71EEF" w:rsidRDefault="00A71EEF">
      <w:pPr>
        <w:pStyle w:val="a3"/>
        <w:spacing w:before="12"/>
        <w:rPr>
          <w:sz w:val="17"/>
        </w:rPr>
      </w:pPr>
    </w:p>
    <w:p w14:paraId="6BB9C828" w14:textId="77777777" w:rsidR="00A71EEF" w:rsidRDefault="0081115D">
      <w:pPr>
        <w:pStyle w:val="a3"/>
        <w:spacing w:line="446" w:lineRule="auto"/>
        <w:ind w:left="418" w:right="1555" w:firstLine="419"/>
        <w:jc w:val="both"/>
      </w:pPr>
      <w:r>
        <w:rPr>
          <w:spacing w:val="-3"/>
        </w:rPr>
        <w:t>检查底盘发动机是否装有附加冷却系统，附加冷却系统的冷却介质是否与发动机冷却水相混，附加冷却系统最低处是否有放尽冷却介质的装置，将发动机驱动的额定负载机构与发动机</w:t>
      </w:r>
      <w:r>
        <w:rPr>
          <w:spacing w:val="-6"/>
        </w:rPr>
        <w:t>相连接，启动发动机并驱动额定负载连续运转</w:t>
      </w:r>
      <w:r>
        <w:rPr>
          <w:spacing w:val="-6"/>
        </w:rPr>
        <w:t xml:space="preserve"> </w:t>
      </w:r>
      <w:r>
        <w:t>2 h</w:t>
      </w:r>
      <w:r>
        <w:rPr>
          <w:spacing w:val="-7"/>
        </w:rPr>
        <w:t>，同时打开附加冷却系统，每</w:t>
      </w:r>
      <w:r>
        <w:rPr>
          <w:spacing w:val="-7"/>
        </w:rPr>
        <w:t xml:space="preserve"> </w:t>
      </w:r>
      <w:r>
        <w:t>15 min</w:t>
      </w:r>
      <w:r>
        <w:rPr>
          <w:spacing w:val="-14"/>
        </w:rPr>
        <w:t xml:space="preserve"> </w:t>
      </w:r>
      <w:r>
        <w:rPr>
          <w:spacing w:val="-14"/>
        </w:rPr>
        <w:t>测量一</w:t>
      </w:r>
      <w:r>
        <w:rPr>
          <w:spacing w:val="-10"/>
        </w:rPr>
        <w:t>次发动机冷却水温度，判断试验结果是否符合</w:t>
      </w:r>
      <w:r>
        <w:rPr>
          <w:spacing w:val="-10"/>
        </w:rPr>
        <w:t xml:space="preserve"> </w:t>
      </w:r>
      <w:r>
        <w:t>5.4.1.1</w:t>
      </w:r>
      <w:r>
        <w:rPr>
          <w:spacing w:val="-13"/>
        </w:rPr>
        <w:t xml:space="preserve"> </w:t>
      </w:r>
      <w:r>
        <w:rPr>
          <w:spacing w:val="-13"/>
        </w:rPr>
        <w:t>的规定。</w:t>
      </w:r>
      <w:r>
        <w:t xml:space="preserve"> </w:t>
      </w:r>
    </w:p>
    <w:p w14:paraId="514084DE" w14:textId="77777777" w:rsidR="00A71EEF" w:rsidRDefault="0081115D">
      <w:pPr>
        <w:pStyle w:val="a4"/>
        <w:numPr>
          <w:ilvl w:val="3"/>
          <w:numId w:val="819"/>
        </w:numPr>
        <w:tabs>
          <w:tab w:val="left" w:pos="1576"/>
        </w:tabs>
        <w:spacing w:before="1"/>
        <w:rPr>
          <w:sz w:val="21"/>
        </w:rPr>
      </w:pPr>
      <w:r>
        <w:rPr>
          <w:spacing w:val="-3"/>
          <w:sz w:val="21"/>
        </w:rPr>
        <w:t>功率输出装置</w:t>
      </w:r>
      <w:r>
        <w:rPr>
          <w:sz w:val="21"/>
        </w:rPr>
        <w:t xml:space="preserve"> </w:t>
      </w:r>
    </w:p>
    <w:p w14:paraId="33360680" w14:textId="77777777" w:rsidR="00A71EEF" w:rsidRDefault="00A71EEF">
      <w:pPr>
        <w:pStyle w:val="a3"/>
        <w:spacing w:before="12"/>
        <w:rPr>
          <w:sz w:val="17"/>
        </w:rPr>
      </w:pPr>
    </w:p>
    <w:p w14:paraId="3AA42BC6" w14:textId="77777777" w:rsidR="00A71EEF" w:rsidRDefault="0081115D">
      <w:pPr>
        <w:pStyle w:val="a4"/>
        <w:numPr>
          <w:ilvl w:val="4"/>
          <w:numId w:val="819"/>
        </w:numPr>
        <w:tabs>
          <w:tab w:val="left" w:pos="1788"/>
        </w:tabs>
        <w:spacing w:line="446" w:lineRule="auto"/>
        <w:ind w:right="1609" w:firstLine="419"/>
        <w:jc w:val="both"/>
        <w:rPr>
          <w:sz w:val="21"/>
        </w:rPr>
      </w:pPr>
      <w:r>
        <w:rPr>
          <w:spacing w:val="-3"/>
          <w:sz w:val="21"/>
        </w:rPr>
        <w:t>检查功率输出装置的形式、发动机额定功率及负载需要的功率，判断试验结果</w:t>
      </w:r>
      <w:r>
        <w:rPr>
          <w:spacing w:val="-13"/>
          <w:sz w:val="21"/>
        </w:rPr>
        <w:t>是否符合</w:t>
      </w:r>
      <w:r>
        <w:rPr>
          <w:spacing w:val="-13"/>
          <w:sz w:val="21"/>
        </w:rPr>
        <w:t xml:space="preserve"> </w:t>
      </w:r>
      <w:r>
        <w:rPr>
          <w:sz w:val="21"/>
        </w:rPr>
        <w:t>5.4.1.2.1</w:t>
      </w:r>
      <w:r>
        <w:rPr>
          <w:spacing w:val="-12"/>
          <w:sz w:val="21"/>
        </w:rPr>
        <w:t xml:space="preserve"> </w:t>
      </w:r>
      <w:r>
        <w:rPr>
          <w:spacing w:val="-12"/>
          <w:sz w:val="21"/>
        </w:rPr>
        <w:t>的规定。</w:t>
      </w:r>
      <w:r>
        <w:rPr>
          <w:spacing w:val="-12"/>
          <w:sz w:val="21"/>
        </w:rPr>
        <w:t xml:space="preserve"> </w:t>
      </w:r>
    </w:p>
    <w:p w14:paraId="47302B83" w14:textId="77777777" w:rsidR="00A71EEF" w:rsidRDefault="0081115D">
      <w:pPr>
        <w:pStyle w:val="a4"/>
        <w:numPr>
          <w:ilvl w:val="4"/>
          <w:numId w:val="819"/>
        </w:numPr>
        <w:tabs>
          <w:tab w:val="left" w:pos="1788"/>
        </w:tabs>
        <w:spacing w:line="446" w:lineRule="auto"/>
        <w:ind w:right="1608" w:firstLine="419"/>
        <w:jc w:val="both"/>
        <w:rPr>
          <w:sz w:val="21"/>
        </w:rPr>
      </w:pPr>
      <w:r>
        <w:rPr>
          <w:spacing w:val="-3"/>
          <w:sz w:val="21"/>
        </w:rPr>
        <w:t>检查夹心式功率输出装置或断轴式功率输出装置的强制冷却器冷却</w:t>
      </w:r>
      <w:r>
        <w:rPr>
          <w:spacing w:val="-3"/>
          <w:sz w:val="21"/>
        </w:rPr>
        <w:t>液是否与功率输出装置的润滑油相混，冷却介质的流量是否可以调节，在最低处是否有放尽冷却介质的装</w:t>
      </w:r>
      <w:r>
        <w:rPr>
          <w:spacing w:val="-7"/>
          <w:sz w:val="21"/>
        </w:rPr>
        <w:t>置，判断试验结果是否符合</w:t>
      </w:r>
      <w:r>
        <w:rPr>
          <w:spacing w:val="-7"/>
          <w:sz w:val="21"/>
        </w:rPr>
        <w:t xml:space="preserve"> </w:t>
      </w:r>
      <w:r>
        <w:rPr>
          <w:sz w:val="21"/>
        </w:rPr>
        <w:t>5.4.1.2.2</w:t>
      </w:r>
      <w:r>
        <w:rPr>
          <w:spacing w:val="-13"/>
          <w:sz w:val="21"/>
        </w:rPr>
        <w:t xml:space="preserve"> </w:t>
      </w:r>
      <w:r>
        <w:rPr>
          <w:spacing w:val="-13"/>
          <w:sz w:val="21"/>
        </w:rPr>
        <w:t>的规定。</w:t>
      </w:r>
      <w:r>
        <w:rPr>
          <w:sz w:val="21"/>
        </w:rPr>
        <w:t xml:space="preserve"> </w:t>
      </w:r>
    </w:p>
    <w:p w14:paraId="1E021F9A" w14:textId="77777777" w:rsidR="00A71EEF" w:rsidRDefault="00A71EEF">
      <w:pPr>
        <w:spacing w:line="446" w:lineRule="auto"/>
        <w:jc w:val="both"/>
        <w:rPr>
          <w:sz w:val="21"/>
        </w:rPr>
        <w:sectPr w:rsidR="00A71EEF">
          <w:pgSz w:w="11910" w:h="16850"/>
          <w:pgMar w:top="1220" w:right="0" w:bottom="1420" w:left="1260" w:header="0" w:footer="1239" w:gutter="0"/>
          <w:cols w:space="720"/>
        </w:sectPr>
      </w:pPr>
    </w:p>
    <w:p w14:paraId="528316B5" w14:textId="77777777" w:rsidR="00A71EEF" w:rsidRDefault="0081115D">
      <w:pPr>
        <w:pStyle w:val="a4"/>
        <w:numPr>
          <w:ilvl w:val="4"/>
          <w:numId w:val="819"/>
        </w:numPr>
        <w:tabs>
          <w:tab w:val="left" w:pos="1788"/>
        </w:tabs>
        <w:spacing w:before="47" w:line="446" w:lineRule="auto"/>
        <w:ind w:right="1609" w:firstLine="419"/>
        <w:jc w:val="both"/>
        <w:rPr>
          <w:sz w:val="21"/>
        </w:rPr>
      </w:pPr>
      <w:r>
        <w:rPr>
          <w:spacing w:val="-3"/>
          <w:sz w:val="21"/>
        </w:rPr>
        <w:lastRenderedPageBreak/>
        <w:t>检查功率输出装置的中文指示和工作指示灯，检查断轴式功率输出装置的防止</w:t>
      </w:r>
      <w:r>
        <w:rPr>
          <w:spacing w:val="-6"/>
          <w:sz w:val="21"/>
        </w:rPr>
        <w:t>误操作机构是否可靠工作，判断试验结果是否符合</w:t>
      </w:r>
      <w:r>
        <w:rPr>
          <w:spacing w:val="-6"/>
          <w:sz w:val="21"/>
        </w:rPr>
        <w:t xml:space="preserve"> </w:t>
      </w:r>
      <w:r>
        <w:rPr>
          <w:sz w:val="21"/>
        </w:rPr>
        <w:t>5.4.1.2.3</w:t>
      </w:r>
      <w:r>
        <w:rPr>
          <w:spacing w:val="-13"/>
          <w:sz w:val="21"/>
        </w:rPr>
        <w:t xml:space="preserve"> </w:t>
      </w:r>
      <w:r>
        <w:rPr>
          <w:spacing w:val="-13"/>
          <w:sz w:val="21"/>
        </w:rPr>
        <w:t>的规定。</w:t>
      </w:r>
      <w:r>
        <w:rPr>
          <w:sz w:val="21"/>
        </w:rPr>
        <w:t xml:space="preserve"> </w:t>
      </w:r>
    </w:p>
    <w:p w14:paraId="0A0B0DB3" w14:textId="77777777" w:rsidR="00A71EEF" w:rsidRDefault="0081115D">
      <w:pPr>
        <w:pStyle w:val="a4"/>
        <w:numPr>
          <w:ilvl w:val="4"/>
          <w:numId w:val="819"/>
        </w:numPr>
        <w:tabs>
          <w:tab w:val="left" w:pos="1788"/>
        </w:tabs>
        <w:spacing w:line="446" w:lineRule="auto"/>
        <w:ind w:right="1556" w:firstLine="419"/>
        <w:jc w:val="both"/>
        <w:rPr>
          <w:sz w:val="21"/>
        </w:rPr>
      </w:pPr>
      <w:r>
        <w:rPr>
          <w:spacing w:val="-3"/>
          <w:sz w:val="21"/>
        </w:rPr>
        <w:t>将与功率输出装置额定负载相匹配的负载与功率输出装置相连接，启动发动机</w:t>
      </w:r>
      <w:r>
        <w:rPr>
          <w:spacing w:val="-3"/>
          <w:sz w:val="21"/>
        </w:rPr>
        <w:t xml:space="preserve"> </w:t>
      </w:r>
      <w:r>
        <w:rPr>
          <w:spacing w:val="-6"/>
          <w:sz w:val="21"/>
        </w:rPr>
        <w:t>通过功率输出装置驱动负载连续运转</w:t>
      </w:r>
      <w:r>
        <w:rPr>
          <w:spacing w:val="-6"/>
          <w:sz w:val="21"/>
        </w:rPr>
        <w:t xml:space="preserve"> </w:t>
      </w:r>
      <w:r>
        <w:rPr>
          <w:sz w:val="21"/>
        </w:rPr>
        <w:t>6</w:t>
      </w:r>
      <w:r>
        <w:rPr>
          <w:spacing w:val="11"/>
          <w:sz w:val="21"/>
        </w:rPr>
        <w:t xml:space="preserve"> </w:t>
      </w:r>
      <w:r>
        <w:rPr>
          <w:sz w:val="21"/>
        </w:rPr>
        <w:t>h</w:t>
      </w:r>
      <w:r>
        <w:rPr>
          <w:spacing w:val="-6"/>
          <w:sz w:val="21"/>
        </w:rPr>
        <w:t>，同时打开功率输出装置的强制冷却器，每</w:t>
      </w:r>
      <w:r>
        <w:rPr>
          <w:spacing w:val="-6"/>
          <w:sz w:val="21"/>
        </w:rPr>
        <w:t xml:space="preserve"> </w:t>
      </w:r>
      <w:r>
        <w:rPr>
          <w:sz w:val="21"/>
        </w:rPr>
        <w:t>15</w:t>
      </w:r>
      <w:r>
        <w:rPr>
          <w:spacing w:val="11"/>
          <w:sz w:val="21"/>
        </w:rPr>
        <w:t xml:space="preserve"> </w:t>
      </w:r>
      <w:r>
        <w:rPr>
          <w:sz w:val="21"/>
        </w:rPr>
        <w:t>min</w:t>
      </w:r>
      <w:r>
        <w:rPr>
          <w:spacing w:val="-24"/>
          <w:sz w:val="21"/>
        </w:rPr>
        <w:t xml:space="preserve"> </w:t>
      </w:r>
      <w:r>
        <w:rPr>
          <w:spacing w:val="-24"/>
          <w:sz w:val="21"/>
        </w:rPr>
        <w:t>测</w:t>
      </w:r>
      <w:r>
        <w:rPr>
          <w:spacing w:val="-10"/>
          <w:sz w:val="21"/>
        </w:rPr>
        <w:t>量一次功率输出</w:t>
      </w:r>
      <w:r>
        <w:rPr>
          <w:spacing w:val="-10"/>
          <w:sz w:val="21"/>
        </w:rPr>
        <w:t>装置润滑油温度，判断试验结果是否符合</w:t>
      </w:r>
      <w:r>
        <w:rPr>
          <w:spacing w:val="-10"/>
          <w:sz w:val="21"/>
        </w:rPr>
        <w:t xml:space="preserve"> </w:t>
      </w:r>
      <w:r>
        <w:rPr>
          <w:sz w:val="21"/>
        </w:rPr>
        <w:t>5.4.1.2.4</w:t>
      </w:r>
      <w:r>
        <w:rPr>
          <w:spacing w:val="-12"/>
          <w:sz w:val="21"/>
        </w:rPr>
        <w:t xml:space="preserve"> </w:t>
      </w:r>
      <w:r>
        <w:rPr>
          <w:spacing w:val="-12"/>
          <w:sz w:val="21"/>
        </w:rPr>
        <w:t>的规定。</w:t>
      </w:r>
      <w:r>
        <w:rPr>
          <w:spacing w:val="-12"/>
          <w:sz w:val="21"/>
        </w:rPr>
        <w:t xml:space="preserve"> </w:t>
      </w:r>
    </w:p>
    <w:p w14:paraId="65194DBD" w14:textId="77777777" w:rsidR="00A71EEF" w:rsidRDefault="0081115D">
      <w:pPr>
        <w:pStyle w:val="a4"/>
        <w:numPr>
          <w:ilvl w:val="3"/>
          <w:numId w:val="819"/>
        </w:numPr>
        <w:tabs>
          <w:tab w:val="left" w:pos="1576"/>
        </w:tabs>
        <w:spacing w:line="268" w:lineRule="exact"/>
        <w:rPr>
          <w:sz w:val="21"/>
        </w:rPr>
      </w:pPr>
      <w:r>
        <w:rPr>
          <w:spacing w:val="-3"/>
          <w:sz w:val="21"/>
        </w:rPr>
        <w:t>离合器</w:t>
      </w:r>
      <w:r>
        <w:rPr>
          <w:sz w:val="21"/>
        </w:rPr>
        <w:t xml:space="preserve"> </w:t>
      </w:r>
    </w:p>
    <w:p w14:paraId="16C830F7" w14:textId="77777777" w:rsidR="00A71EEF" w:rsidRDefault="00A71EEF">
      <w:pPr>
        <w:pStyle w:val="a3"/>
        <w:rPr>
          <w:sz w:val="18"/>
        </w:rPr>
      </w:pPr>
    </w:p>
    <w:p w14:paraId="190B3D63" w14:textId="77777777" w:rsidR="00A71EEF" w:rsidRDefault="0081115D">
      <w:pPr>
        <w:pStyle w:val="a3"/>
        <w:spacing w:line="446" w:lineRule="auto"/>
        <w:ind w:left="418" w:right="1609" w:firstLine="419"/>
      </w:pPr>
      <w:r>
        <w:t>检查操作功率输出装置时，离合器的接合是否平稳，分离是否彻底，工作时是否有异响、抖动或不正常打滑现象，判断试验结果是否符合</w:t>
      </w:r>
      <w:r>
        <w:t xml:space="preserve"> 5.4.1.3 </w:t>
      </w:r>
      <w:r>
        <w:t>的规定。</w:t>
      </w:r>
      <w:r>
        <w:t xml:space="preserve"> </w:t>
      </w:r>
    </w:p>
    <w:p w14:paraId="5F3EC7A5" w14:textId="77777777" w:rsidR="00A71EEF" w:rsidRDefault="0081115D">
      <w:pPr>
        <w:pStyle w:val="a4"/>
        <w:numPr>
          <w:ilvl w:val="3"/>
          <w:numId w:val="819"/>
        </w:numPr>
        <w:tabs>
          <w:tab w:val="left" w:pos="1576"/>
        </w:tabs>
        <w:spacing w:line="267" w:lineRule="exact"/>
        <w:rPr>
          <w:sz w:val="21"/>
        </w:rPr>
      </w:pPr>
      <w:r>
        <w:rPr>
          <w:spacing w:val="-3"/>
          <w:sz w:val="21"/>
        </w:rPr>
        <w:t>变速器</w:t>
      </w:r>
      <w:r>
        <w:rPr>
          <w:sz w:val="21"/>
        </w:rPr>
        <w:t xml:space="preserve"> </w:t>
      </w:r>
    </w:p>
    <w:p w14:paraId="067DE621" w14:textId="77777777" w:rsidR="00A71EEF" w:rsidRDefault="00A71EEF">
      <w:pPr>
        <w:pStyle w:val="a3"/>
        <w:spacing w:before="2"/>
        <w:rPr>
          <w:sz w:val="18"/>
        </w:rPr>
      </w:pPr>
    </w:p>
    <w:p w14:paraId="26F223A8" w14:textId="77777777" w:rsidR="00A71EEF" w:rsidRDefault="0081115D">
      <w:pPr>
        <w:pStyle w:val="a3"/>
        <w:spacing w:line="446" w:lineRule="auto"/>
        <w:ind w:left="418" w:right="1608" w:firstLine="419"/>
        <w:jc w:val="both"/>
      </w:pPr>
      <w:r>
        <w:rPr>
          <w:spacing w:val="-3"/>
        </w:rPr>
        <w:t>检查操作功率输出装置时，变速器的操作是否平稳可靠，有无卡阻、跳挡、脱挡现象，运</w:t>
      </w:r>
      <w:r>
        <w:rPr>
          <w:spacing w:val="-4"/>
        </w:rPr>
        <w:t>行中有无异响，换挡杆及其传动杆件是否与其他部件干涉，判断试验结果是否符合</w:t>
      </w:r>
      <w:r>
        <w:rPr>
          <w:spacing w:val="-4"/>
        </w:rPr>
        <w:t xml:space="preserve"> </w:t>
      </w:r>
      <w:r>
        <w:t>5.4.1.4</w:t>
      </w:r>
      <w:r>
        <w:rPr>
          <w:spacing w:val="-18"/>
        </w:rPr>
        <w:t xml:space="preserve"> </w:t>
      </w:r>
      <w:r>
        <w:rPr>
          <w:spacing w:val="-18"/>
        </w:rPr>
        <w:t>的</w:t>
      </w:r>
      <w:r>
        <w:rPr>
          <w:spacing w:val="-13"/>
        </w:rPr>
        <w:t>规定。</w:t>
      </w:r>
      <w:r>
        <w:t xml:space="preserve"> </w:t>
      </w:r>
    </w:p>
    <w:p w14:paraId="324EA931" w14:textId="77777777" w:rsidR="00A71EEF" w:rsidRDefault="0081115D">
      <w:pPr>
        <w:pStyle w:val="a4"/>
        <w:numPr>
          <w:ilvl w:val="3"/>
          <w:numId w:val="819"/>
        </w:numPr>
        <w:tabs>
          <w:tab w:val="left" w:pos="1576"/>
        </w:tabs>
        <w:spacing w:line="268" w:lineRule="exact"/>
        <w:rPr>
          <w:sz w:val="21"/>
        </w:rPr>
      </w:pPr>
      <w:r>
        <w:rPr>
          <w:spacing w:val="-3"/>
          <w:sz w:val="21"/>
        </w:rPr>
        <w:t>传动轴</w:t>
      </w:r>
      <w:r>
        <w:rPr>
          <w:sz w:val="21"/>
        </w:rPr>
        <w:t xml:space="preserve"> </w:t>
      </w:r>
    </w:p>
    <w:p w14:paraId="0EBD8961" w14:textId="77777777" w:rsidR="00A71EEF" w:rsidRDefault="00A71EEF">
      <w:pPr>
        <w:pStyle w:val="a3"/>
        <w:rPr>
          <w:sz w:val="18"/>
        </w:rPr>
      </w:pPr>
    </w:p>
    <w:p w14:paraId="184C1A25" w14:textId="77777777" w:rsidR="00A71EEF" w:rsidRDefault="0081115D">
      <w:pPr>
        <w:pStyle w:val="a4"/>
        <w:numPr>
          <w:ilvl w:val="4"/>
          <w:numId w:val="819"/>
        </w:numPr>
        <w:tabs>
          <w:tab w:val="left" w:pos="1788"/>
        </w:tabs>
        <w:spacing w:line="446" w:lineRule="auto"/>
        <w:ind w:right="1613" w:firstLine="419"/>
        <w:rPr>
          <w:sz w:val="21"/>
        </w:rPr>
      </w:pPr>
      <w:r>
        <w:rPr>
          <w:spacing w:val="-5"/>
          <w:sz w:val="21"/>
        </w:rPr>
        <w:t>检查驱动桥传动轴的动平衡校核记录，判断试验结果是否符合</w:t>
      </w:r>
      <w:r>
        <w:rPr>
          <w:spacing w:val="-5"/>
          <w:sz w:val="21"/>
        </w:rPr>
        <w:t xml:space="preserve"> </w:t>
      </w:r>
      <w:r>
        <w:rPr>
          <w:sz w:val="21"/>
        </w:rPr>
        <w:t>5.4.1.5.1</w:t>
      </w:r>
      <w:r>
        <w:rPr>
          <w:spacing w:val="-18"/>
          <w:sz w:val="21"/>
        </w:rPr>
        <w:t xml:space="preserve"> </w:t>
      </w:r>
      <w:r>
        <w:rPr>
          <w:spacing w:val="-18"/>
          <w:sz w:val="21"/>
        </w:rPr>
        <w:t>的规</w:t>
      </w:r>
      <w:r>
        <w:rPr>
          <w:spacing w:val="-2"/>
          <w:sz w:val="21"/>
        </w:rPr>
        <w:t>定。</w:t>
      </w:r>
      <w:r>
        <w:rPr>
          <w:sz w:val="21"/>
        </w:rPr>
        <w:t xml:space="preserve"> </w:t>
      </w:r>
    </w:p>
    <w:p w14:paraId="3A93B0FE" w14:textId="77777777" w:rsidR="00A71EEF" w:rsidRDefault="0081115D">
      <w:pPr>
        <w:pStyle w:val="a4"/>
        <w:numPr>
          <w:ilvl w:val="4"/>
          <w:numId w:val="819"/>
        </w:numPr>
        <w:tabs>
          <w:tab w:val="left" w:pos="1788"/>
        </w:tabs>
        <w:spacing w:line="446" w:lineRule="auto"/>
        <w:ind w:right="1609" w:firstLine="419"/>
        <w:rPr>
          <w:sz w:val="21"/>
        </w:rPr>
      </w:pPr>
      <w:r>
        <w:rPr>
          <w:spacing w:val="-3"/>
          <w:sz w:val="21"/>
        </w:rPr>
        <w:t>检查驱动负载传动轴的动平衡校核记录，运行时是否平稳，有无振抖和异响，</w:t>
      </w:r>
      <w:r>
        <w:rPr>
          <w:spacing w:val="-3"/>
          <w:sz w:val="21"/>
        </w:rPr>
        <w:t xml:space="preserve"> </w:t>
      </w:r>
      <w:r>
        <w:rPr>
          <w:spacing w:val="-8"/>
          <w:sz w:val="21"/>
        </w:rPr>
        <w:t>判断试验结果是否符合</w:t>
      </w:r>
      <w:r>
        <w:rPr>
          <w:spacing w:val="-8"/>
          <w:sz w:val="21"/>
        </w:rPr>
        <w:t xml:space="preserve"> </w:t>
      </w:r>
      <w:r>
        <w:rPr>
          <w:sz w:val="21"/>
        </w:rPr>
        <w:t>5.4.1.5.2</w:t>
      </w:r>
      <w:r>
        <w:rPr>
          <w:spacing w:val="-13"/>
          <w:sz w:val="21"/>
        </w:rPr>
        <w:t xml:space="preserve"> </w:t>
      </w:r>
      <w:r>
        <w:rPr>
          <w:spacing w:val="-13"/>
          <w:sz w:val="21"/>
        </w:rPr>
        <w:t>的规定。</w:t>
      </w:r>
      <w:r>
        <w:rPr>
          <w:sz w:val="21"/>
        </w:rPr>
        <w:t xml:space="preserve"> </w:t>
      </w:r>
    </w:p>
    <w:p w14:paraId="4EF9D8EA" w14:textId="77777777" w:rsidR="00A71EEF" w:rsidRDefault="0081115D">
      <w:pPr>
        <w:pStyle w:val="a4"/>
        <w:numPr>
          <w:ilvl w:val="3"/>
          <w:numId w:val="819"/>
        </w:numPr>
        <w:tabs>
          <w:tab w:val="left" w:pos="1576"/>
        </w:tabs>
        <w:spacing w:line="267" w:lineRule="exact"/>
        <w:rPr>
          <w:sz w:val="21"/>
        </w:rPr>
      </w:pPr>
      <w:r>
        <w:rPr>
          <w:spacing w:val="-3"/>
          <w:sz w:val="21"/>
        </w:rPr>
        <w:t>排气系统</w:t>
      </w:r>
      <w:r>
        <w:rPr>
          <w:sz w:val="21"/>
        </w:rPr>
        <w:t xml:space="preserve"> </w:t>
      </w:r>
    </w:p>
    <w:p w14:paraId="62035E46" w14:textId="77777777" w:rsidR="00A71EEF" w:rsidRDefault="00A71EEF">
      <w:pPr>
        <w:pStyle w:val="a3"/>
        <w:spacing w:before="2"/>
        <w:rPr>
          <w:sz w:val="18"/>
        </w:rPr>
      </w:pPr>
    </w:p>
    <w:p w14:paraId="36449865" w14:textId="77777777" w:rsidR="00A71EEF" w:rsidRDefault="0081115D">
      <w:pPr>
        <w:pStyle w:val="a4"/>
        <w:numPr>
          <w:ilvl w:val="4"/>
          <w:numId w:val="819"/>
        </w:numPr>
        <w:tabs>
          <w:tab w:val="left" w:pos="1788"/>
        </w:tabs>
        <w:ind w:left="1787"/>
        <w:rPr>
          <w:sz w:val="21"/>
        </w:rPr>
      </w:pPr>
      <w:r>
        <w:rPr>
          <w:spacing w:val="-6"/>
          <w:sz w:val="21"/>
        </w:rPr>
        <w:t>目测检查排气管朝向，判断试验结果是否符合</w:t>
      </w:r>
      <w:r>
        <w:rPr>
          <w:spacing w:val="-6"/>
          <w:sz w:val="21"/>
        </w:rPr>
        <w:t xml:space="preserve"> </w:t>
      </w:r>
      <w:r>
        <w:rPr>
          <w:sz w:val="21"/>
        </w:rPr>
        <w:t>5.4.1.6.1</w:t>
      </w:r>
      <w:r>
        <w:rPr>
          <w:spacing w:val="-12"/>
          <w:sz w:val="21"/>
        </w:rPr>
        <w:t xml:space="preserve"> </w:t>
      </w:r>
      <w:r>
        <w:rPr>
          <w:spacing w:val="-12"/>
          <w:sz w:val="21"/>
        </w:rPr>
        <w:t>的规定。</w:t>
      </w:r>
      <w:r>
        <w:rPr>
          <w:spacing w:val="-12"/>
          <w:sz w:val="21"/>
        </w:rPr>
        <w:t xml:space="preserve"> </w:t>
      </w:r>
    </w:p>
    <w:p w14:paraId="009722ED" w14:textId="77777777" w:rsidR="00A71EEF" w:rsidRDefault="00A71EEF">
      <w:pPr>
        <w:pStyle w:val="a3"/>
        <w:rPr>
          <w:sz w:val="18"/>
        </w:rPr>
      </w:pPr>
    </w:p>
    <w:p w14:paraId="41239578" w14:textId="77777777" w:rsidR="00A71EEF" w:rsidRDefault="0081115D">
      <w:pPr>
        <w:pStyle w:val="a4"/>
        <w:numPr>
          <w:ilvl w:val="4"/>
          <w:numId w:val="819"/>
        </w:numPr>
        <w:tabs>
          <w:tab w:val="left" w:pos="1788"/>
        </w:tabs>
        <w:spacing w:line="446" w:lineRule="auto"/>
        <w:ind w:right="1609" w:firstLine="419"/>
        <w:rPr>
          <w:sz w:val="21"/>
        </w:rPr>
      </w:pPr>
      <w:r>
        <w:rPr>
          <w:spacing w:val="-3"/>
          <w:sz w:val="21"/>
        </w:rPr>
        <w:t>目测检查排气管的布置位置，排气管路的防护和排气管路是否对附近电线、其</w:t>
      </w:r>
      <w:r>
        <w:rPr>
          <w:spacing w:val="-6"/>
          <w:sz w:val="21"/>
        </w:rPr>
        <w:t>他管路等造成损伤，判断试验结果是否符合</w:t>
      </w:r>
      <w:r>
        <w:rPr>
          <w:spacing w:val="-6"/>
          <w:sz w:val="21"/>
        </w:rPr>
        <w:t xml:space="preserve"> </w:t>
      </w:r>
      <w:r>
        <w:rPr>
          <w:sz w:val="21"/>
        </w:rPr>
        <w:t>5.4.1.6.2</w:t>
      </w:r>
      <w:r>
        <w:rPr>
          <w:spacing w:val="-13"/>
          <w:sz w:val="21"/>
        </w:rPr>
        <w:t xml:space="preserve"> </w:t>
      </w:r>
      <w:r>
        <w:rPr>
          <w:spacing w:val="-13"/>
          <w:sz w:val="21"/>
        </w:rPr>
        <w:t>的规定。</w:t>
      </w:r>
      <w:r>
        <w:rPr>
          <w:sz w:val="21"/>
        </w:rPr>
        <w:t xml:space="preserve"> </w:t>
      </w:r>
    </w:p>
    <w:p w14:paraId="0D29FF5B" w14:textId="77777777" w:rsidR="00A71EEF" w:rsidRDefault="0081115D">
      <w:pPr>
        <w:pStyle w:val="a4"/>
        <w:numPr>
          <w:ilvl w:val="4"/>
          <w:numId w:val="819"/>
        </w:numPr>
        <w:tabs>
          <w:tab w:val="left" w:pos="1788"/>
        </w:tabs>
        <w:ind w:left="1787"/>
        <w:rPr>
          <w:sz w:val="21"/>
        </w:rPr>
      </w:pPr>
      <w:r>
        <w:rPr>
          <w:spacing w:val="-5"/>
          <w:sz w:val="21"/>
        </w:rPr>
        <w:t>目测检查排气管是否安装消声器，判断试验结果是否符合</w:t>
      </w:r>
      <w:r>
        <w:rPr>
          <w:spacing w:val="-5"/>
          <w:sz w:val="21"/>
        </w:rPr>
        <w:t xml:space="preserve"> </w:t>
      </w:r>
      <w:r>
        <w:rPr>
          <w:sz w:val="21"/>
        </w:rPr>
        <w:t>5.4.1.6.3</w:t>
      </w:r>
      <w:r>
        <w:rPr>
          <w:spacing w:val="-11"/>
          <w:sz w:val="21"/>
        </w:rPr>
        <w:t xml:space="preserve"> </w:t>
      </w:r>
      <w:r>
        <w:rPr>
          <w:spacing w:val="-11"/>
          <w:sz w:val="21"/>
        </w:rPr>
        <w:t>的规定。</w:t>
      </w:r>
      <w:r>
        <w:rPr>
          <w:sz w:val="21"/>
        </w:rPr>
        <w:t xml:space="preserve"> </w:t>
      </w:r>
    </w:p>
    <w:p w14:paraId="1F35EE13" w14:textId="77777777" w:rsidR="00A71EEF" w:rsidRDefault="00A71EEF">
      <w:pPr>
        <w:pStyle w:val="a3"/>
        <w:spacing w:before="12"/>
        <w:rPr>
          <w:sz w:val="17"/>
        </w:rPr>
      </w:pPr>
    </w:p>
    <w:p w14:paraId="72FB023A" w14:textId="77777777" w:rsidR="00A71EEF" w:rsidRDefault="0081115D">
      <w:pPr>
        <w:pStyle w:val="a4"/>
        <w:numPr>
          <w:ilvl w:val="4"/>
          <w:numId w:val="819"/>
        </w:numPr>
        <w:tabs>
          <w:tab w:val="left" w:pos="1788"/>
        </w:tabs>
        <w:ind w:left="1787"/>
        <w:rPr>
          <w:sz w:val="21"/>
        </w:rPr>
      </w:pPr>
      <w:r>
        <w:rPr>
          <w:spacing w:val="-5"/>
          <w:sz w:val="21"/>
        </w:rPr>
        <w:t>目测检查排气系统暴露处的保护，判断试验结果是否符合</w:t>
      </w:r>
      <w:r>
        <w:rPr>
          <w:spacing w:val="-5"/>
          <w:sz w:val="21"/>
        </w:rPr>
        <w:t xml:space="preserve"> </w:t>
      </w:r>
      <w:r>
        <w:rPr>
          <w:sz w:val="21"/>
        </w:rPr>
        <w:t>5.4.1.6.4</w:t>
      </w:r>
      <w:r>
        <w:rPr>
          <w:spacing w:val="-11"/>
          <w:sz w:val="21"/>
        </w:rPr>
        <w:t xml:space="preserve"> </w:t>
      </w:r>
      <w:r>
        <w:rPr>
          <w:spacing w:val="-11"/>
          <w:sz w:val="21"/>
        </w:rPr>
        <w:t>的规定。</w:t>
      </w:r>
      <w:r>
        <w:rPr>
          <w:sz w:val="21"/>
        </w:rPr>
        <w:t xml:space="preserve"> </w:t>
      </w:r>
    </w:p>
    <w:p w14:paraId="2291552C" w14:textId="77777777" w:rsidR="00A71EEF" w:rsidRDefault="00A71EEF">
      <w:pPr>
        <w:pStyle w:val="a3"/>
        <w:spacing w:before="12"/>
        <w:rPr>
          <w:sz w:val="17"/>
        </w:rPr>
      </w:pPr>
    </w:p>
    <w:p w14:paraId="3C7D3441" w14:textId="77777777" w:rsidR="00A71EEF" w:rsidRDefault="0081115D">
      <w:pPr>
        <w:pStyle w:val="a4"/>
        <w:numPr>
          <w:ilvl w:val="3"/>
          <w:numId w:val="819"/>
        </w:numPr>
        <w:tabs>
          <w:tab w:val="left" w:pos="1576"/>
        </w:tabs>
        <w:rPr>
          <w:sz w:val="21"/>
        </w:rPr>
      </w:pPr>
      <w:r>
        <w:rPr>
          <w:spacing w:val="-3"/>
          <w:sz w:val="21"/>
        </w:rPr>
        <w:t>制动系统</w:t>
      </w:r>
      <w:r>
        <w:rPr>
          <w:sz w:val="21"/>
        </w:rPr>
        <w:t xml:space="preserve"> </w:t>
      </w:r>
    </w:p>
    <w:p w14:paraId="2A4A6F17" w14:textId="77777777" w:rsidR="00A71EEF" w:rsidRDefault="00A71EEF">
      <w:pPr>
        <w:pStyle w:val="a3"/>
        <w:spacing w:before="2"/>
        <w:rPr>
          <w:sz w:val="18"/>
        </w:rPr>
      </w:pPr>
    </w:p>
    <w:p w14:paraId="04949828" w14:textId="77777777" w:rsidR="00A71EEF" w:rsidRDefault="0081115D">
      <w:pPr>
        <w:pStyle w:val="a4"/>
        <w:numPr>
          <w:ilvl w:val="4"/>
          <w:numId w:val="819"/>
        </w:numPr>
        <w:tabs>
          <w:tab w:val="left" w:pos="1788"/>
        </w:tabs>
        <w:spacing w:line="446" w:lineRule="auto"/>
        <w:ind w:right="1609" w:firstLine="419"/>
        <w:rPr>
          <w:sz w:val="21"/>
        </w:rPr>
      </w:pPr>
      <w:r>
        <w:rPr>
          <w:spacing w:val="-3"/>
          <w:sz w:val="21"/>
        </w:rPr>
        <w:t>检查空气制动系统的压缩空气是否用于顶升气垫、气动工具等抢险救援设备，</w:t>
      </w:r>
      <w:r>
        <w:rPr>
          <w:spacing w:val="-3"/>
          <w:sz w:val="21"/>
        </w:rPr>
        <w:t xml:space="preserve"> </w:t>
      </w:r>
      <w:r>
        <w:rPr>
          <w:spacing w:val="-8"/>
          <w:sz w:val="21"/>
        </w:rPr>
        <w:t>判断试验结果是否符合</w:t>
      </w:r>
      <w:r>
        <w:rPr>
          <w:spacing w:val="-8"/>
          <w:sz w:val="21"/>
        </w:rPr>
        <w:t xml:space="preserve"> </w:t>
      </w:r>
      <w:r>
        <w:rPr>
          <w:sz w:val="21"/>
        </w:rPr>
        <w:t>5.4.1.7.1</w:t>
      </w:r>
      <w:r>
        <w:rPr>
          <w:spacing w:val="-13"/>
          <w:sz w:val="21"/>
        </w:rPr>
        <w:t xml:space="preserve"> </w:t>
      </w:r>
      <w:r>
        <w:rPr>
          <w:spacing w:val="-13"/>
          <w:sz w:val="21"/>
        </w:rPr>
        <w:t>的规定。</w:t>
      </w:r>
      <w:r>
        <w:rPr>
          <w:sz w:val="21"/>
        </w:rPr>
        <w:t xml:space="preserve"> </w:t>
      </w:r>
    </w:p>
    <w:p w14:paraId="539DDEFE" w14:textId="77777777" w:rsidR="00A71EEF" w:rsidRDefault="00A71EEF">
      <w:pPr>
        <w:spacing w:line="446" w:lineRule="auto"/>
        <w:rPr>
          <w:sz w:val="21"/>
        </w:rPr>
        <w:sectPr w:rsidR="00A71EEF">
          <w:pgSz w:w="11910" w:h="16850"/>
          <w:pgMar w:top="1220" w:right="0" w:bottom="1420" w:left="1260" w:header="0" w:footer="1239" w:gutter="0"/>
          <w:cols w:space="720"/>
        </w:sectPr>
      </w:pPr>
    </w:p>
    <w:p w14:paraId="6A809368" w14:textId="77777777" w:rsidR="00A71EEF" w:rsidRDefault="0081115D">
      <w:pPr>
        <w:pStyle w:val="a4"/>
        <w:numPr>
          <w:ilvl w:val="4"/>
          <w:numId w:val="819"/>
        </w:numPr>
        <w:tabs>
          <w:tab w:val="left" w:pos="1788"/>
        </w:tabs>
        <w:spacing w:before="47" w:line="446" w:lineRule="auto"/>
        <w:ind w:right="1608" w:firstLine="419"/>
        <w:rPr>
          <w:sz w:val="21"/>
        </w:rPr>
      </w:pPr>
      <w:r>
        <w:rPr>
          <w:spacing w:val="-2"/>
          <w:sz w:val="21"/>
        </w:rPr>
        <w:lastRenderedPageBreak/>
        <w:t>目测检查消防车使用底盘空气制动系统的压缩空气作为气动阀等部件的气源</w:t>
      </w:r>
      <w:r>
        <w:rPr>
          <w:spacing w:val="-2"/>
          <w:sz w:val="21"/>
        </w:rPr>
        <w:t xml:space="preserve"> </w:t>
      </w:r>
      <w:r>
        <w:rPr>
          <w:spacing w:val="-2"/>
          <w:sz w:val="21"/>
        </w:rPr>
        <w:t>时</w:t>
      </w:r>
      <w:r>
        <w:rPr>
          <w:spacing w:val="-3"/>
          <w:sz w:val="21"/>
        </w:rPr>
        <w:t>，是否从底盘储气罐上取气，检查在取气端是否安装控制阀和过滤器，管路材料是否与底盘制</w:t>
      </w:r>
      <w:r>
        <w:rPr>
          <w:spacing w:val="-6"/>
          <w:sz w:val="21"/>
        </w:rPr>
        <w:t>动系统管路相同，判断试验结果是否符合</w:t>
      </w:r>
      <w:r>
        <w:rPr>
          <w:spacing w:val="-6"/>
          <w:sz w:val="21"/>
        </w:rPr>
        <w:t xml:space="preserve"> </w:t>
      </w:r>
      <w:r>
        <w:rPr>
          <w:sz w:val="21"/>
        </w:rPr>
        <w:t>5.4.1.7.2</w:t>
      </w:r>
      <w:r>
        <w:rPr>
          <w:spacing w:val="-3"/>
          <w:sz w:val="21"/>
        </w:rPr>
        <w:t xml:space="preserve"> </w:t>
      </w:r>
      <w:r>
        <w:rPr>
          <w:spacing w:val="-3"/>
          <w:sz w:val="21"/>
        </w:rPr>
        <w:t>的规定。</w:t>
      </w:r>
      <w:r>
        <w:rPr>
          <w:sz w:val="21"/>
        </w:rPr>
        <w:t xml:space="preserve"> </w:t>
      </w:r>
    </w:p>
    <w:p w14:paraId="61A3F484" w14:textId="77777777" w:rsidR="00A71EEF" w:rsidRDefault="0081115D">
      <w:pPr>
        <w:pStyle w:val="a4"/>
        <w:numPr>
          <w:ilvl w:val="4"/>
          <w:numId w:val="819"/>
        </w:numPr>
        <w:tabs>
          <w:tab w:val="left" w:pos="1788"/>
        </w:tabs>
        <w:spacing w:line="446" w:lineRule="auto"/>
        <w:ind w:right="1609" w:firstLine="419"/>
        <w:rPr>
          <w:sz w:val="21"/>
        </w:rPr>
      </w:pPr>
      <w:r>
        <w:rPr>
          <w:spacing w:val="-3"/>
          <w:sz w:val="21"/>
        </w:rPr>
        <w:t>目测检查制动管路及用气部件的气管是否与车架的刃边、撑杆、螺栓头或支架</w:t>
      </w:r>
      <w:r>
        <w:rPr>
          <w:spacing w:val="-6"/>
          <w:sz w:val="21"/>
        </w:rPr>
        <w:t>等接触，是否采取保护措施，判断试验结果是否符合</w:t>
      </w:r>
      <w:r>
        <w:rPr>
          <w:spacing w:val="-6"/>
          <w:sz w:val="21"/>
        </w:rPr>
        <w:t xml:space="preserve"> </w:t>
      </w:r>
      <w:r>
        <w:rPr>
          <w:sz w:val="21"/>
        </w:rPr>
        <w:t>5.4.1.7.3</w:t>
      </w:r>
      <w:r>
        <w:rPr>
          <w:spacing w:val="-13"/>
          <w:sz w:val="21"/>
        </w:rPr>
        <w:t xml:space="preserve"> </w:t>
      </w:r>
      <w:r>
        <w:rPr>
          <w:spacing w:val="-13"/>
          <w:sz w:val="21"/>
        </w:rPr>
        <w:t>的规定。</w:t>
      </w:r>
      <w:r>
        <w:rPr>
          <w:sz w:val="21"/>
        </w:rPr>
        <w:t xml:space="preserve"> </w:t>
      </w:r>
    </w:p>
    <w:p w14:paraId="69E84FD5" w14:textId="77777777" w:rsidR="00A71EEF" w:rsidRDefault="0081115D">
      <w:pPr>
        <w:pStyle w:val="a4"/>
        <w:numPr>
          <w:ilvl w:val="4"/>
          <w:numId w:val="819"/>
        </w:numPr>
        <w:tabs>
          <w:tab w:val="left" w:pos="1788"/>
        </w:tabs>
        <w:spacing w:line="446" w:lineRule="auto"/>
        <w:ind w:right="1608" w:firstLine="419"/>
        <w:rPr>
          <w:sz w:val="21"/>
        </w:rPr>
      </w:pPr>
      <w:r>
        <w:rPr>
          <w:spacing w:val="-3"/>
          <w:sz w:val="21"/>
        </w:rPr>
        <w:t>目测检查制动管路及用气部件气管路是否采用紧固措施与车架固定，并用通用</w:t>
      </w:r>
      <w:r>
        <w:rPr>
          <w:spacing w:val="-6"/>
          <w:sz w:val="21"/>
        </w:rPr>
        <w:t>量具测量间距，判断试验结果是否符合</w:t>
      </w:r>
      <w:r>
        <w:rPr>
          <w:spacing w:val="-6"/>
          <w:sz w:val="21"/>
        </w:rPr>
        <w:t xml:space="preserve"> </w:t>
      </w:r>
      <w:r>
        <w:rPr>
          <w:sz w:val="21"/>
        </w:rPr>
        <w:t>5.4.1.7.4</w:t>
      </w:r>
      <w:r>
        <w:rPr>
          <w:spacing w:val="-13"/>
          <w:sz w:val="21"/>
        </w:rPr>
        <w:t xml:space="preserve"> </w:t>
      </w:r>
      <w:r>
        <w:rPr>
          <w:spacing w:val="-13"/>
          <w:sz w:val="21"/>
        </w:rPr>
        <w:t>的规定。</w:t>
      </w:r>
      <w:r>
        <w:rPr>
          <w:sz w:val="21"/>
        </w:rPr>
        <w:t xml:space="preserve"> </w:t>
      </w:r>
    </w:p>
    <w:p w14:paraId="104B7D17" w14:textId="77777777" w:rsidR="00A71EEF" w:rsidRDefault="0081115D">
      <w:pPr>
        <w:pStyle w:val="a4"/>
        <w:numPr>
          <w:ilvl w:val="4"/>
          <w:numId w:val="819"/>
        </w:numPr>
        <w:tabs>
          <w:tab w:val="left" w:pos="1788"/>
        </w:tabs>
        <w:spacing w:line="446" w:lineRule="auto"/>
        <w:ind w:right="1609" w:firstLine="419"/>
        <w:rPr>
          <w:sz w:val="21"/>
        </w:rPr>
      </w:pPr>
      <w:r>
        <w:rPr>
          <w:spacing w:val="-3"/>
          <w:sz w:val="21"/>
        </w:rPr>
        <w:t>采用通用量具测量制动管路及用气部件气管路与排气管等发热部件的距离，检</w:t>
      </w:r>
      <w:r>
        <w:rPr>
          <w:spacing w:val="-5"/>
          <w:sz w:val="21"/>
        </w:rPr>
        <w:t>查是否采用隔热措施保护管路，判断试验结果是否符合</w:t>
      </w:r>
      <w:r>
        <w:rPr>
          <w:spacing w:val="-5"/>
          <w:sz w:val="21"/>
        </w:rPr>
        <w:t xml:space="preserve"> </w:t>
      </w:r>
      <w:r>
        <w:rPr>
          <w:sz w:val="21"/>
        </w:rPr>
        <w:t>5.4.1.7.5</w:t>
      </w:r>
      <w:r>
        <w:rPr>
          <w:spacing w:val="-13"/>
          <w:sz w:val="21"/>
        </w:rPr>
        <w:t xml:space="preserve"> </w:t>
      </w:r>
      <w:r>
        <w:rPr>
          <w:spacing w:val="-13"/>
          <w:sz w:val="21"/>
        </w:rPr>
        <w:t>的规定。</w:t>
      </w:r>
      <w:r>
        <w:rPr>
          <w:sz w:val="21"/>
        </w:rPr>
        <w:t xml:space="preserve"> </w:t>
      </w:r>
    </w:p>
    <w:p w14:paraId="3B0AA59C" w14:textId="77777777" w:rsidR="00A71EEF" w:rsidRDefault="0081115D">
      <w:pPr>
        <w:pStyle w:val="a4"/>
        <w:numPr>
          <w:ilvl w:val="4"/>
          <w:numId w:val="819"/>
        </w:numPr>
        <w:tabs>
          <w:tab w:val="left" w:pos="1788"/>
        </w:tabs>
        <w:spacing w:line="446" w:lineRule="auto"/>
        <w:ind w:right="1609" w:firstLine="419"/>
        <w:rPr>
          <w:sz w:val="21"/>
        </w:rPr>
      </w:pPr>
      <w:r>
        <w:rPr>
          <w:spacing w:val="-3"/>
          <w:sz w:val="21"/>
        </w:rPr>
        <w:t>目测检查制动管路及用气部件气管路是否接触到蓄电池酸性液体等有害液体，</w:t>
      </w:r>
      <w:r>
        <w:rPr>
          <w:spacing w:val="-3"/>
          <w:sz w:val="21"/>
        </w:rPr>
        <w:t xml:space="preserve"> </w:t>
      </w:r>
      <w:r>
        <w:rPr>
          <w:spacing w:val="-6"/>
          <w:sz w:val="21"/>
        </w:rPr>
        <w:t>是否采用</w:t>
      </w:r>
      <w:r>
        <w:rPr>
          <w:spacing w:val="-6"/>
          <w:sz w:val="21"/>
        </w:rPr>
        <w:t>尼龙管路，判断试验结果是否符合</w:t>
      </w:r>
      <w:r>
        <w:rPr>
          <w:spacing w:val="-6"/>
          <w:sz w:val="21"/>
        </w:rPr>
        <w:t xml:space="preserve"> </w:t>
      </w:r>
      <w:r>
        <w:rPr>
          <w:sz w:val="21"/>
        </w:rPr>
        <w:t>5.4.1.7.6</w:t>
      </w:r>
      <w:r>
        <w:rPr>
          <w:spacing w:val="-13"/>
          <w:sz w:val="21"/>
        </w:rPr>
        <w:t xml:space="preserve"> </w:t>
      </w:r>
      <w:r>
        <w:rPr>
          <w:spacing w:val="-13"/>
          <w:sz w:val="21"/>
        </w:rPr>
        <w:t>的规定。</w:t>
      </w:r>
      <w:r>
        <w:rPr>
          <w:sz w:val="21"/>
        </w:rPr>
        <w:t xml:space="preserve"> </w:t>
      </w:r>
    </w:p>
    <w:p w14:paraId="22802BBD" w14:textId="77777777" w:rsidR="00A71EEF" w:rsidRDefault="0081115D">
      <w:pPr>
        <w:pStyle w:val="a4"/>
        <w:numPr>
          <w:ilvl w:val="4"/>
          <w:numId w:val="819"/>
        </w:numPr>
        <w:tabs>
          <w:tab w:val="left" w:pos="1788"/>
        </w:tabs>
        <w:spacing w:line="446" w:lineRule="auto"/>
        <w:ind w:right="1609" w:firstLine="419"/>
        <w:rPr>
          <w:sz w:val="21"/>
        </w:rPr>
      </w:pPr>
      <w:r>
        <w:rPr>
          <w:spacing w:val="-3"/>
          <w:sz w:val="21"/>
        </w:rPr>
        <w:t>目测检查经改制后的空气制动系统或液压制动系统是否有漏气或漏油现象，判</w:t>
      </w:r>
      <w:r>
        <w:rPr>
          <w:spacing w:val="-8"/>
          <w:sz w:val="21"/>
        </w:rPr>
        <w:t>断试验结果是否符合</w:t>
      </w:r>
      <w:r>
        <w:rPr>
          <w:spacing w:val="-8"/>
          <w:sz w:val="21"/>
        </w:rPr>
        <w:t xml:space="preserve"> </w:t>
      </w:r>
      <w:r>
        <w:rPr>
          <w:sz w:val="21"/>
        </w:rPr>
        <w:t>5.4.1.7.7</w:t>
      </w:r>
      <w:r>
        <w:rPr>
          <w:spacing w:val="-13"/>
          <w:sz w:val="21"/>
        </w:rPr>
        <w:t xml:space="preserve"> </w:t>
      </w:r>
      <w:r>
        <w:rPr>
          <w:spacing w:val="-13"/>
          <w:sz w:val="21"/>
        </w:rPr>
        <w:t>的规定。</w:t>
      </w:r>
      <w:r>
        <w:rPr>
          <w:sz w:val="21"/>
        </w:rPr>
        <w:t xml:space="preserve"> </w:t>
      </w:r>
    </w:p>
    <w:p w14:paraId="2A1AB1E0" w14:textId="77777777" w:rsidR="00A71EEF" w:rsidRDefault="0081115D">
      <w:pPr>
        <w:pStyle w:val="a4"/>
        <w:numPr>
          <w:ilvl w:val="3"/>
          <w:numId w:val="819"/>
        </w:numPr>
        <w:tabs>
          <w:tab w:val="left" w:pos="1576"/>
        </w:tabs>
        <w:rPr>
          <w:sz w:val="21"/>
        </w:rPr>
      </w:pPr>
      <w:r>
        <w:rPr>
          <w:spacing w:val="-3"/>
          <w:sz w:val="21"/>
        </w:rPr>
        <w:t>燃料系统</w:t>
      </w:r>
      <w:r>
        <w:rPr>
          <w:sz w:val="21"/>
        </w:rPr>
        <w:t xml:space="preserve"> </w:t>
      </w:r>
    </w:p>
    <w:p w14:paraId="5D26AB66" w14:textId="77777777" w:rsidR="00A71EEF" w:rsidRDefault="00A71EEF">
      <w:pPr>
        <w:pStyle w:val="a3"/>
        <w:spacing w:before="7"/>
        <w:rPr>
          <w:sz w:val="17"/>
        </w:rPr>
      </w:pPr>
    </w:p>
    <w:p w14:paraId="2F8A5DC5" w14:textId="77777777" w:rsidR="00A71EEF" w:rsidRDefault="0081115D">
      <w:pPr>
        <w:pStyle w:val="a4"/>
        <w:numPr>
          <w:ilvl w:val="4"/>
          <w:numId w:val="819"/>
        </w:numPr>
        <w:tabs>
          <w:tab w:val="left" w:pos="1788"/>
        </w:tabs>
        <w:spacing w:line="446" w:lineRule="auto"/>
        <w:ind w:right="1613" w:firstLine="419"/>
        <w:rPr>
          <w:sz w:val="21"/>
        </w:rPr>
      </w:pPr>
      <w:r>
        <w:rPr>
          <w:spacing w:val="-5"/>
          <w:sz w:val="21"/>
        </w:rPr>
        <w:t>检查燃料箱及燃料管路是否固定牢靠，判断试验结果是否符合</w:t>
      </w:r>
      <w:r>
        <w:rPr>
          <w:spacing w:val="-5"/>
          <w:sz w:val="21"/>
        </w:rPr>
        <w:t xml:space="preserve"> </w:t>
      </w:r>
      <w:r>
        <w:rPr>
          <w:sz w:val="21"/>
        </w:rPr>
        <w:t>5.4.1.8.1</w:t>
      </w:r>
      <w:r>
        <w:rPr>
          <w:spacing w:val="-18"/>
          <w:sz w:val="21"/>
        </w:rPr>
        <w:t xml:space="preserve"> </w:t>
      </w:r>
      <w:r>
        <w:rPr>
          <w:spacing w:val="-18"/>
          <w:sz w:val="21"/>
        </w:rPr>
        <w:t>的规</w:t>
      </w:r>
      <w:r>
        <w:rPr>
          <w:spacing w:val="-2"/>
          <w:sz w:val="21"/>
        </w:rPr>
        <w:t>定。</w:t>
      </w:r>
      <w:r>
        <w:rPr>
          <w:sz w:val="21"/>
        </w:rPr>
        <w:t xml:space="preserve"> </w:t>
      </w:r>
    </w:p>
    <w:p w14:paraId="6A3C0FC0" w14:textId="77777777" w:rsidR="00A71EEF" w:rsidRDefault="0081115D">
      <w:pPr>
        <w:pStyle w:val="a4"/>
        <w:numPr>
          <w:ilvl w:val="4"/>
          <w:numId w:val="819"/>
        </w:numPr>
        <w:tabs>
          <w:tab w:val="left" w:pos="1788"/>
        </w:tabs>
        <w:spacing w:line="446" w:lineRule="auto"/>
        <w:ind w:right="1611" w:firstLine="419"/>
        <w:rPr>
          <w:sz w:val="21"/>
        </w:rPr>
      </w:pPr>
      <w:r>
        <w:rPr>
          <w:spacing w:val="-5"/>
          <w:sz w:val="21"/>
        </w:rPr>
        <w:t>目测检查燃油箱加油口和通气口的位置，判断试验结果是否符合</w:t>
      </w:r>
      <w:r>
        <w:rPr>
          <w:spacing w:val="-5"/>
          <w:sz w:val="21"/>
        </w:rPr>
        <w:t xml:space="preserve"> </w:t>
      </w:r>
      <w:r>
        <w:rPr>
          <w:sz w:val="21"/>
        </w:rPr>
        <w:t>5.4.1.8.2</w:t>
      </w:r>
      <w:r>
        <w:rPr>
          <w:spacing w:val="-23"/>
          <w:sz w:val="21"/>
        </w:rPr>
        <w:t xml:space="preserve"> </w:t>
      </w:r>
      <w:r>
        <w:rPr>
          <w:spacing w:val="-23"/>
          <w:sz w:val="21"/>
        </w:rPr>
        <w:t>的</w:t>
      </w:r>
      <w:r>
        <w:rPr>
          <w:spacing w:val="-17"/>
          <w:sz w:val="21"/>
        </w:rPr>
        <w:t>规定。</w:t>
      </w:r>
      <w:r>
        <w:rPr>
          <w:sz w:val="21"/>
        </w:rPr>
        <w:t xml:space="preserve"> </w:t>
      </w:r>
    </w:p>
    <w:p w14:paraId="1D353A01" w14:textId="77777777" w:rsidR="00A71EEF" w:rsidRDefault="0081115D">
      <w:pPr>
        <w:pStyle w:val="a4"/>
        <w:numPr>
          <w:ilvl w:val="4"/>
          <w:numId w:val="819"/>
        </w:numPr>
        <w:tabs>
          <w:tab w:val="left" w:pos="1788"/>
        </w:tabs>
        <w:spacing w:line="446" w:lineRule="auto"/>
        <w:ind w:right="1505" w:firstLine="419"/>
        <w:rPr>
          <w:sz w:val="21"/>
        </w:rPr>
      </w:pPr>
      <w:r>
        <w:rPr>
          <w:spacing w:val="-3"/>
          <w:sz w:val="21"/>
        </w:rPr>
        <w:t>目测检查燃料箱加油口和通气口的位置，采用通用量具测量燃料箱的加油口和通气口与排气管以及距裸露的电气接头、外部可能产生火花的电气开关的距离，判断试验结果是</w:t>
      </w:r>
      <w:r>
        <w:rPr>
          <w:spacing w:val="-15"/>
          <w:sz w:val="21"/>
        </w:rPr>
        <w:t>否符合</w:t>
      </w:r>
      <w:r>
        <w:rPr>
          <w:spacing w:val="-15"/>
          <w:sz w:val="21"/>
        </w:rPr>
        <w:t xml:space="preserve"> </w:t>
      </w:r>
      <w:r>
        <w:rPr>
          <w:sz w:val="21"/>
        </w:rPr>
        <w:t>5.4.1.8.3</w:t>
      </w:r>
      <w:r>
        <w:rPr>
          <w:spacing w:val="-12"/>
          <w:sz w:val="21"/>
        </w:rPr>
        <w:t xml:space="preserve"> </w:t>
      </w:r>
      <w:r>
        <w:rPr>
          <w:spacing w:val="-12"/>
          <w:sz w:val="21"/>
        </w:rPr>
        <w:t>的规定。</w:t>
      </w:r>
      <w:r>
        <w:rPr>
          <w:spacing w:val="-12"/>
          <w:sz w:val="21"/>
        </w:rPr>
        <w:t xml:space="preserve"> </w:t>
      </w:r>
    </w:p>
    <w:p w14:paraId="1DFEF881" w14:textId="77777777" w:rsidR="00A71EEF" w:rsidRDefault="0081115D">
      <w:pPr>
        <w:pStyle w:val="a4"/>
        <w:numPr>
          <w:ilvl w:val="4"/>
          <w:numId w:val="819"/>
        </w:numPr>
        <w:tabs>
          <w:tab w:val="left" w:pos="1788"/>
        </w:tabs>
        <w:spacing w:line="446" w:lineRule="auto"/>
        <w:ind w:right="1609" w:firstLine="419"/>
        <w:rPr>
          <w:sz w:val="21"/>
        </w:rPr>
      </w:pPr>
      <w:r>
        <w:rPr>
          <w:spacing w:val="-3"/>
          <w:sz w:val="21"/>
        </w:rPr>
        <w:t>目测检查燃料箱的加油口和通气口是否设置在有乘员的车厢内，判断试验结果</w:t>
      </w:r>
      <w:r>
        <w:rPr>
          <w:spacing w:val="-13"/>
          <w:sz w:val="21"/>
        </w:rPr>
        <w:t>是否符合</w:t>
      </w:r>
      <w:r>
        <w:rPr>
          <w:spacing w:val="-13"/>
          <w:sz w:val="21"/>
        </w:rPr>
        <w:t xml:space="preserve"> </w:t>
      </w:r>
      <w:r>
        <w:rPr>
          <w:sz w:val="21"/>
        </w:rPr>
        <w:t>5.4.1.8.4</w:t>
      </w:r>
      <w:r>
        <w:rPr>
          <w:spacing w:val="-12"/>
          <w:sz w:val="21"/>
        </w:rPr>
        <w:t xml:space="preserve"> </w:t>
      </w:r>
      <w:r>
        <w:rPr>
          <w:spacing w:val="-12"/>
          <w:sz w:val="21"/>
        </w:rPr>
        <w:t>的规定。</w:t>
      </w:r>
      <w:r>
        <w:rPr>
          <w:spacing w:val="-12"/>
          <w:sz w:val="21"/>
        </w:rPr>
        <w:t xml:space="preserve"> </w:t>
      </w:r>
    </w:p>
    <w:p w14:paraId="599032EC" w14:textId="77777777" w:rsidR="00A71EEF" w:rsidRDefault="0081115D">
      <w:pPr>
        <w:pStyle w:val="a4"/>
        <w:numPr>
          <w:ilvl w:val="3"/>
          <w:numId w:val="819"/>
        </w:numPr>
        <w:tabs>
          <w:tab w:val="left" w:pos="1576"/>
        </w:tabs>
        <w:spacing w:line="267" w:lineRule="exact"/>
        <w:rPr>
          <w:sz w:val="21"/>
        </w:rPr>
      </w:pPr>
      <w:r>
        <w:rPr>
          <w:spacing w:val="-3"/>
          <w:sz w:val="21"/>
        </w:rPr>
        <w:t>车架</w:t>
      </w:r>
      <w:r>
        <w:rPr>
          <w:sz w:val="21"/>
        </w:rPr>
        <w:t xml:space="preserve"> </w:t>
      </w:r>
    </w:p>
    <w:p w14:paraId="0BFE5B35" w14:textId="77777777" w:rsidR="00A71EEF" w:rsidRDefault="00A71EEF">
      <w:pPr>
        <w:pStyle w:val="a3"/>
        <w:spacing w:before="1"/>
        <w:rPr>
          <w:sz w:val="18"/>
        </w:rPr>
      </w:pPr>
    </w:p>
    <w:p w14:paraId="37FDC111" w14:textId="77777777" w:rsidR="00A71EEF" w:rsidRDefault="0081115D">
      <w:pPr>
        <w:pStyle w:val="a4"/>
        <w:numPr>
          <w:ilvl w:val="4"/>
          <w:numId w:val="819"/>
        </w:numPr>
        <w:tabs>
          <w:tab w:val="left" w:pos="1788"/>
        </w:tabs>
        <w:spacing w:line="446" w:lineRule="auto"/>
        <w:ind w:right="1611" w:firstLine="419"/>
        <w:rPr>
          <w:sz w:val="21"/>
        </w:rPr>
      </w:pPr>
      <w:r>
        <w:rPr>
          <w:spacing w:val="-5"/>
          <w:sz w:val="21"/>
        </w:rPr>
        <w:t>检查车架开孔尺才及所开孔的防腐措施，判断试验结果是否符合</w:t>
      </w:r>
      <w:r>
        <w:rPr>
          <w:spacing w:val="-5"/>
          <w:sz w:val="21"/>
        </w:rPr>
        <w:t xml:space="preserve"> </w:t>
      </w:r>
      <w:r>
        <w:rPr>
          <w:sz w:val="21"/>
        </w:rPr>
        <w:t>5.4.1.9.1</w:t>
      </w:r>
      <w:r>
        <w:rPr>
          <w:spacing w:val="-23"/>
          <w:sz w:val="21"/>
        </w:rPr>
        <w:t xml:space="preserve"> </w:t>
      </w:r>
      <w:r>
        <w:rPr>
          <w:spacing w:val="-23"/>
          <w:sz w:val="21"/>
        </w:rPr>
        <w:t>的</w:t>
      </w:r>
      <w:r>
        <w:rPr>
          <w:spacing w:val="-17"/>
          <w:sz w:val="21"/>
        </w:rPr>
        <w:t>规定。</w:t>
      </w:r>
      <w:r>
        <w:rPr>
          <w:sz w:val="21"/>
        </w:rPr>
        <w:t xml:space="preserve"> </w:t>
      </w:r>
    </w:p>
    <w:p w14:paraId="1CE48797" w14:textId="77777777" w:rsidR="00A71EEF" w:rsidRDefault="0081115D">
      <w:pPr>
        <w:pStyle w:val="a4"/>
        <w:numPr>
          <w:ilvl w:val="4"/>
          <w:numId w:val="819"/>
        </w:numPr>
        <w:tabs>
          <w:tab w:val="left" w:pos="1788"/>
        </w:tabs>
        <w:spacing w:line="446" w:lineRule="auto"/>
        <w:ind w:right="1609" w:firstLine="419"/>
        <w:rPr>
          <w:sz w:val="21"/>
        </w:rPr>
      </w:pPr>
      <w:r>
        <w:rPr>
          <w:spacing w:val="-3"/>
          <w:sz w:val="21"/>
        </w:rPr>
        <w:t>目测消防车上装与底盘车架的联接方式，是否采用焊接方式，判断试验结果是</w:t>
      </w:r>
      <w:r>
        <w:rPr>
          <w:spacing w:val="-15"/>
          <w:sz w:val="21"/>
        </w:rPr>
        <w:t>否符合</w:t>
      </w:r>
      <w:r>
        <w:rPr>
          <w:spacing w:val="-15"/>
          <w:sz w:val="21"/>
        </w:rPr>
        <w:t xml:space="preserve"> </w:t>
      </w:r>
      <w:r>
        <w:rPr>
          <w:sz w:val="21"/>
        </w:rPr>
        <w:t>5.4.1.9.2</w:t>
      </w:r>
      <w:r>
        <w:rPr>
          <w:spacing w:val="-12"/>
          <w:sz w:val="21"/>
        </w:rPr>
        <w:t xml:space="preserve"> </w:t>
      </w:r>
      <w:r>
        <w:rPr>
          <w:spacing w:val="-12"/>
          <w:sz w:val="21"/>
        </w:rPr>
        <w:t>的规定。</w:t>
      </w:r>
      <w:r>
        <w:rPr>
          <w:spacing w:val="-12"/>
          <w:sz w:val="21"/>
        </w:rPr>
        <w:t xml:space="preserve"> </w:t>
      </w:r>
    </w:p>
    <w:p w14:paraId="06325A3D" w14:textId="77777777" w:rsidR="00A71EEF" w:rsidRDefault="00A71EEF">
      <w:pPr>
        <w:spacing w:line="446" w:lineRule="auto"/>
        <w:rPr>
          <w:sz w:val="21"/>
        </w:rPr>
        <w:sectPr w:rsidR="00A71EEF">
          <w:pgSz w:w="11910" w:h="16850"/>
          <w:pgMar w:top="1220" w:right="0" w:bottom="1420" w:left="1260" w:header="0" w:footer="1239" w:gutter="0"/>
          <w:cols w:space="720"/>
        </w:sectPr>
      </w:pPr>
    </w:p>
    <w:p w14:paraId="54BC9A58" w14:textId="77777777" w:rsidR="00A71EEF" w:rsidRDefault="0081115D">
      <w:pPr>
        <w:pStyle w:val="a4"/>
        <w:numPr>
          <w:ilvl w:val="4"/>
          <w:numId w:val="819"/>
        </w:numPr>
        <w:tabs>
          <w:tab w:val="left" w:pos="1788"/>
        </w:tabs>
        <w:spacing w:before="47" w:line="446" w:lineRule="auto"/>
        <w:ind w:right="1609" w:firstLine="419"/>
        <w:rPr>
          <w:sz w:val="21"/>
        </w:rPr>
      </w:pPr>
      <w:r>
        <w:rPr>
          <w:spacing w:val="-3"/>
          <w:sz w:val="21"/>
        </w:rPr>
        <w:lastRenderedPageBreak/>
        <w:t>检查底盘车架上平面的铆钉头或螺栓头改制时的加工情况，判断试验结果是否</w:t>
      </w:r>
      <w:r>
        <w:rPr>
          <w:spacing w:val="-20"/>
          <w:sz w:val="21"/>
        </w:rPr>
        <w:t>符合</w:t>
      </w:r>
      <w:r>
        <w:rPr>
          <w:spacing w:val="-20"/>
          <w:sz w:val="21"/>
        </w:rPr>
        <w:t xml:space="preserve"> </w:t>
      </w:r>
      <w:r>
        <w:rPr>
          <w:sz w:val="21"/>
        </w:rPr>
        <w:t>5.4.1.9.3</w:t>
      </w:r>
      <w:r>
        <w:rPr>
          <w:spacing w:val="-12"/>
          <w:sz w:val="21"/>
        </w:rPr>
        <w:t xml:space="preserve"> </w:t>
      </w:r>
      <w:r>
        <w:rPr>
          <w:spacing w:val="-12"/>
          <w:sz w:val="21"/>
        </w:rPr>
        <w:t>的规定。</w:t>
      </w:r>
      <w:r>
        <w:rPr>
          <w:spacing w:val="-12"/>
          <w:sz w:val="21"/>
        </w:rPr>
        <w:t xml:space="preserve"> </w:t>
      </w:r>
    </w:p>
    <w:p w14:paraId="627A070C" w14:textId="77777777" w:rsidR="00A71EEF" w:rsidRDefault="0081115D">
      <w:pPr>
        <w:pStyle w:val="a4"/>
        <w:numPr>
          <w:ilvl w:val="4"/>
          <w:numId w:val="819"/>
        </w:numPr>
        <w:tabs>
          <w:tab w:val="left" w:pos="1788"/>
        </w:tabs>
        <w:spacing w:line="267" w:lineRule="exact"/>
        <w:ind w:left="1787"/>
        <w:rPr>
          <w:sz w:val="21"/>
        </w:rPr>
      </w:pPr>
      <w:r>
        <w:rPr>
          <w:spacing w:val="-3"/>
          <w:sz w:val="21"/>
        </w:rPr>
        <w:t>使用通用量具测量消防车的前悬、后悬和轴距，判断试验结果是否符合</w:t>
      </w:r>
    </w:p>
    <w:p w14:paraId="7E6D3278" w14:textId="77777777" w:rsidR="00A71EEF" w:rsidRDefault="00A71EEF">
      <w:pPr>
        <w:pStyle w:val="a3"/>
        <w:spacing w:before="2"/>
        <w:rPr>
          <w:sz w:val="18"/>
        </w:rPr>
      </w:pPr>
    </w:p>
    <w:p w14:paraId="3E362100" w14:textId="77777777" w:rsidR="00A71EEF" w:rsidRDefault="0081115D">
      <w:pPr>
        <w:pStyle w:val="a3"/>
        <w:spacing w:line="446" w:lineRule="auto"/>
        <w:ind w:left="838" w:right="8126" w:hanging="420"/>
      </w:pPr>
      <w:r>
        <w:t xml:space="preserve">5.4.1.9.4 </w:t>
      </w:r>
      <w:r>
        <w:t>的规定。</w:t>
      </w:r>
      <w:r>
        <w:t xml:space="preserve">6.4.1.10 </w:t>
      </w:r>
      <w:r>
        <w:t>牵引钩</w:t>
      </w:r>
      <w:r>
        <w:t xml:space="preserve"> </w:t>
      </w:r>
    </w:p>
    <w:p w14:paraId="3D9CDD22" w14:textId="77777777" w:rsidR="00A71EEF" w:rsidRDefault="0081115D">
      <w:pPr>
        <w:pStyle w:val="a3"/>
        <w:spacing w:line="267" w:lineRule="exact"/>
        <w:ind w:left="838"/>
      </w:pPr>
      <w:r>
        <w:t>目测检查消防车底盘是否前端有拖钩，后端是否有牵引钩，判断试验结果是否符合</w:t>
      </w:r>
    </w:p>
    <w:p w14:paraId="45DC3CEA" w14:textId="77777777" w:rsidR="00A71EEF" w:rsidRDefault="00A71EEF">
      <w:pPr>
        <w:pStyle w:val="a3"/>
        <w:spacing w:before="2"/>
        <w:rPr>
          <w:sz w:val="18"/>
        </w:rPr>
      </w:pPr>
    </w:p>
    <w:p w14:paraId="2D19B580" w14:textId="77777777" w:rsidR="00A71EEF" w:rsidRDefault="0081115D">
      <w:pPr>
        <w:pStyle w:val="a3"/>
        <w:ind w:left="418"/>
      </w:pPr>
      <w:r>
        <w:t xml:space="preserve">5.4.1.10 </w:t>
      </w:r>
      <w:r>
        <w:t>的规定。</w:t>
      </w:r>
      <w:r>
        <w:t xml:space="preserve"> </w:t>
      </w:r>
    </w:p>
    <w:p w14:paraId="4E54B6D5" w14:textId="77777777" w:rsidR="00A71EEF" w:rsidRDefault="00A71EEF">
      <w:pPr>
        <w:pStyle w:val="a3"/>
        <w:rPr>
          <w:sz w:val="18"/>
        </w:rPr>
      </w:pPr>
    </w:p>
    <w:p w14:paraId="22F6E039" w14:textId="77777777" w:rsidR="00A71EEF" w:rsidRDefault="0081115D">
      <w:pPr>
        <w:pStyle w:val="a4"/>
        <w:numPr>
          <w:ilvl w:val="2"/>
          <w:numId w:val="818"/>
        </w:numPr>
        <w:tabs>
          <w:tab w:val="left" w:pos="1370"/>
        </w:tabs>
        <w:ind w:hanging="530"/>
        <w:rPr>
          <w:sz w:val="21"/>
        </w:rPr>
      </w:pPr>
      <w:r>
        <w:rPr>
          <w:spacing w:val="-3"/>
          <w:sz w:val="21"/>
        </w:rPr>
        <w:t>底盘改制后的试验</w:t>
      </w:r>
      <w:r>
        <w:rPr>
          <w:sz w:val="21"/>
        </w:rPr>
        <w:t xml:space="preserve"> </w:t>
      </w:r>
    </w:p>
    <w:p w14:paraId="7404B230" w14:textId="77777777" w:rsidR="00A71EEF" w:rsidRDefault="00A71EEF">
      <w:pPr>
        <w:pStyle w:val="a3"/>
        <w:rPr>
          <w:sz w:val="18"/>
        </w:rPr>
      </w:pPr>
    </w:p>
    <w:p w14:paraId="7334C037" w14:textId="77777777" w:rsidR="00A71EEF" w:rsidRDefault="0081115D">
      <w:pPr>
        <w:pStyle w:val="a4"/>
        <w:numPr>
          <w:ilvl w:val="3"/>
          <w:numId w:val="818"/>
        </w:numPr>
        <w:tabs>
          <w:tab w:val="left" w:pos="1576"/>
        </w:tabs>
        <w:spacing w:line="446" w:lineRule="auto"/>
        <w:ind w:right="1450" w:firstLine="419"/>
        <w:rPr>
          <w:sz w:val="21"/>
        </w:rPr>
      </w:pPr>
      <w:r>
        <w:rPr>
          <w:sz w:val="21"/>
        </w:rPr>
        <w:t>5000km</w:t>
      </w:r>
      <w:r>
        <w:rPr>
          <w:spacing w:val="-6"/>
          <w:sz w:val="21"/>
        </w:rPr>
        <w:t xml:space="preserve"> </w:t>
      </w:r>
      <w:r>
        <w:rPr>
          <w:spacing w:val="-6"/>
          <w:sz w:val="21"/>
        </w:rPr>
        <w:t>可靠性行驶试验时底盘应满载，凹凸不平坏路和山路行驶应在国家汽车主管部门认可的汽车试验场进行。铺装路面的平均行驶速度不小于</w:t>
      </w:r>
      <w:r>
        <w:rPr>
          <w:spacing w:val="-6"/>
          <w:sz w:val="21"/>
        </w:rPr>
        <w:t xml:space="preserve"> </w:t>
      </w:r>
      <w:r>
        <w:rPr>
          <w:sz w:val="21"/>
        </w:rPr>
        <w:t>50</w:t>
      </w:r>
      <w:r>
        <w:rPr>
          <w:spacing w:val="24"/>
          <w:sz w:val="21"/>
        </w:rPr>
        <w:t xml:space="preserve"> </w:t>
      </w:r>
      <w:r>
        <w:rPr>
          <w:sz w:val="21"/>
        </w:rPr>
        <w:t>km/h</w:t>
      </w:r>
      <w:r>
        <w:rPr>
          <w:spacing w:val="-3"/>
          <w:sz w:val="21"/>
        </w:rPr>
        <w:t>，凹凸不平坏路的平均行</w:t>
      </w:r>
      <w:r>
        <w:rPr>
          <w:spacing w:val="-10"/>
          <w:sz w:val="21"/>
        </w:rPr>
        <w:t>驶速度不小于</w:t>
      </w:r>
      <w:r>
        <w:rPr>
          <w:spacing w:val="-10"/>
          <w:sz w:val="21"/>
        </w:rPr>
        <w:t xml:space="preserve"> </w:t>
      </w:r>
      <w:r>
        <w:rPr>
          <w:sz w:val="21"/>
        </w:rPr>
        <w:t>30</w:t>
      </w:r>
      <w:r>
        <w:rPr>
          <w:spacing w:val="8"/>
          <w:sz w:val="21"/>
        </w:rPr>
        <w:t xml:space="preserve"> </w:t>
      </w:r>
      <w:r>
        <w:rPr>
          <w:sz w:val="21"/>
        </w:rPr>
        <w:t>km/h</w:t>
      </w:r>
      <w:r>
        <w:rPr>
          <w:spacing w:val="-7"/>
          <w:sz w:val="21"/>
        </w:rPr>
        <w:t>，山路的平均行驶速度不小于</w:t>
      </w:r>
      <w:r>
        <w:rPr>
          <w:spacing w:val="-7"/>
          <w:sz w:val="21"/>
        </w:rPr>
        <w:t xml:space="preserve"> </w:t>
      </w:r>
      <w:r>
        <w:rPr>
          <w:sz w:val="21"/>
        </w:rPr>
        <w:t>20</w:t>
      </w:r>
      <w:r>
        <w:rPr>
          <w:spacing w:val="11"/>
          <w:sz w:val="21"/>
        </w:rPr>
        <w:t xml:space="preserve"> </w:t>
      </w:r>
      <w:r>
        <w:rPr>
          <w:sz w:val="21"/>
        </w:rPr>
        <w:t>km/h</w:t>
      </w:r>
      <w:r>
        <w:rPr>
          <w:spacing w:val="-3"/>
          <w:sz w:val="21"/>
        </w:rPr>
        <w:t>。各种路面应有不少于此路面行驶</w:t>
      </w:r>
      <w:r>
        <w:rPr>
          <w:spacing w:val="-8"/>
          <w:sz w:val="21"/>
        </w:rPr>
        <w:t>里程</w:t>
      </w:r>
      <w:r>
        <w:rPr>
          <w:spacing w:val="-8"/>
          <w:sz w:val="21"/>
        </w:rPr>
        <w:t xml:space="preserve"> </w:t>
      </w:r>
      <w:r>
        <w:rPr>
          <w:sz w:val="21"/>
        </w:rPr>
        <w:t>20</w:t>
      </w:r>
      <w:r>
        <w:rPr>
          <w:spacing w:val="-3"/>
          <w:sz w:val="21"/>
        </w:rPr>
        <w:t>%</w:t>
      </w:r>
      <w:r>
        <w:rPr>
          <w:spacing w:val="-3"/>
          <w:sz w:val="21"/>
        </w:rPr>
        <w:t>的夜间行驶试验。可靠性行驶试验里程不包括磨合行驶里程和其他试验的行驶里程。试验中若发生危及安全、危</w:t>
      </w:r>
      <w:r>
        <w:rPr>
          <w:spacing w:val="-3"/>
          <w:sz w:val="21"/>
        </w:rPr>
        <w:t>及主要功能、出现在试验现场不能修复的故障或故障频发（</w:t>
      </w:r>
      <w:r>
        <w:rPr>
          <w:spacing w:val="-20"/>
          <w:sz w:val="21"/>
        </w:rPr>
        <w:t>每</w:t>
      </w:r>
      <w:r>
        <w:rPr>
          <w:spacing w:val="-20"/>
          <w:sz w:val="21"/>
        </w:rPr>
        <w:t xml:space="preserve"> </w:t>
      </w:r>
      <w:r>
        <w:rPr>
          <w:sz w:val="21"/>
        </w:rPr>
        <w:t>1000</w:t>
      </w:r>
      <w:r>
        <w:rPr>
          <w:spacing w:val="27"/>
          <w:sz w:val="21"/>
        </w:rPr>
        <w:t xml:space="preserve"> </w:t>
      </w:r>
      <w:r>
        <w:rPr>
          <w:sz w:val="21"/>
        </w:rPr>
        <w:t xml:space="preserve">km </w:t>
      </w:r>
      <w:r>
        <w:rPr>
          <w:spacing w:val="-11"/>
          <w:sz w:val="21"/>
        </w:rPr>
        <w:t>故障数大于</w:t>
      </w:r>
      <w:r>
        <w:rPr>
          <w:spacing w:val="-11"/>
          <w:sz w:val="21"/>
        </w:rPr>
        <w:t xml:space="preserve"> </w:t>
      </w:r>
      <w:r>
        <w:rPr>
          <w:sz w:val="21"/>
        </w:rPr>
        <w:t>2</w:t>
      </w:r>
      <w:r>
        <w:rPr>
          <w:spacing w:val="-23"/>
          <w:sz w:val="21"/>
        </w:rPr>
        <w:t xml:space="preserve"> </w:t>
      </w:r>
      <w:r>
        <w:rPr>
          <w:spacing w:val="-23"/>
          <w:sz w:val="21"/>
        </w:rPr>
        <w:t>次</w:t>
      </w:r>
      <w:r>
        <w:rPr>
          <w:sz w:val="21"/>
        </w:rPr>
        <w:t>）</w:t>
      </w:r>
      <w:r>
        <w:rPr>
          <w:spacing w:val="-3"/>
          <w:sz w:val="21"/>
        </w:rPr>
        <w:t>等情况应终止试验，找出故障原因并改正后重新试验。可靠性行驶试验应记录各路面的试验里程、各路面白天、夜间试验时间和试验期间的故障情况及排除方法。判断试</w:t>
      </w:r>
      <w:r>
        <w:rPr>
          <w:spacing w:val="-3"/>
          <w:sz w:val="21"/>
        </w:rPr>
        <w:t xml:space="preserve"> </w:t>
      </w:r>
      <w:r>
        <w:rPr>
          <w:spacing w:val="-10"/>
          <w:sz w:val="21"/>
        </w:rPr>
        <w:t>验结果是否符合</w:t>
      </w:r>
      <w:r>
        <w:rPr>
          <w:spacing w:val="-10"/>
          <w:sz w:val="21"/>
        </w:rPr>
        <w:t xml:space="preserve"> </w:t>
      </w:r>
      <w:r>
        <w:rPr>
          <w:sz w:val="21"/>
        </w:rPr>
        <w:t>5.4.2.1</w:t>
      </w:r>
      <w:r>
        <w:rPr>
          <w:spacing w:val="-13"/>
          <w:sz w:val="21"/>
        </w:rPr>
        <w:t xml:space="preserve"> </w:t>
      </w:r>
      <w:r>
        <w:rPr>
          <w:spacing w:val="-13"/>
          <w:sz w:val="21"/>
        </w:rPr>
        <w:t>的规定。</w:t>
      </w:r>
      <w:r>
        <w:rPr>
          <w:sz w:val="21"/>
        </w:rPr>
        <w:t xml:space="preserve"> </w:t>
      </w:r>
    </w:p>
    <w:p w14:paraId="49BEE3A8" w14:textId="77777777" w:rsidR="00A71EEF" w:rsidRDefault="0081115D">
      <w:pPr>
        <w:pStyle w:val="a4"/>
        <w:numPr>
          <w:ilvl w:val="3"/>
          <w:numId w:val="818"/>
        </w:numPr>
        <w:tabs>
          <w:tab w:val="left" w:pos="1576"/>
        </w:tabs>
        <w:spacing w:line="446" w:lineRule="auto"/>
        <w:ind w:right="1450" w:firstLine="419"/>
        <w:rPr>
          <w:sz w:val="21"/>
        </w:rPr>
      </w:pPr>
      <w:r>
        <w:rPr>
          <w:sz w:val="21"/>
        </w:rPr>
        <w:t>25000km</w:t>
      </w:r>
      <w:r>
        <w:rPr>
          <w:spacing w:val="-8"/>
          <w:sz w:val="21"/>
        </w:rPr>
        <w:t xml:space="preserve"> </w:t>
      </w:r>
      <w:r>
        <w:rPr>
          <w:spacing w:val="-8"/>
          <w:sz w:val="21"/>
        </w:rPr>
        <w:t>可靠性行驶试验应在国家汽车主管部门认可的汽车试验场进行。试验时底盘应满载，高速路的平均行驶速度不小于</w:t>
      </w:r>
      <w:r>
        <w:rPr>
          <w:spacing w:val="-8"/>
          <w:sz w:val="21"/>
        </w:rPr>
        <w:t xml:space="preserve"> </w:t>
      </w:r>
      <w:r>
        <w:rPr>
          <w:sz w:val="21"/>
        </w:rPr>
        <w:t>80</w:t>
      </w:r>
      <w:r>
        <w:rPr>
          <w:spacing w:val="7"/>
          <w:sz w:val="21"/>
        </w:rPr>
        <w:t xml:space="preserve"> </w:t>
      </w:r>
      <w:r>
        <w:rPr>
          <w:sz w:val="21"/>
        </w:rPr>
        <w:t>km/h</w:t>
      </w:r>
      <w:r>
        <w:rPr>
          <w:spacing w:val="-6"/>
          <w:sz w:val="21"/>
        </w:rPr>
        <w:t>，铺装路面的平均行驶速度不小于</w:t>
      </w:r>
      <w:r>
        <w:rPr>
          <w:spacing w:val="-6"/>
          <w:sz w:val="21"/>
        </w:rPr>
        <w:t xml:space="preserve"> </w:t>
      </w:r>
      <w:r>
        <w:rPr>
          <w:sz w:val="21"/>
        </w:rPr>
        <w:t>50</w:t>
      </w:r>
      <w:r>
        <w:rPr>
          <w:spacing w:val="11"/>
          <w:sz w:val="21"/>
        </w:rPr>
        <w:t xml:space="preserve"> </w:t>
      </w:r>
      <w:r>
        <w:rPr>
          <w:sz w:val="21"/>
        </w:rPr>
        <w:t>km/h</w:t>
      </w:r>
      <w:r>
        <w:rPr>
          <w:sz w:val="21"/>
        </w:rPr>
        <w:t>，</w:t>
      </w:r>
      <w:r>
        <w:rPr>
          <w:sz w:val="21"/>
        </w:rPr>
        <w:t xml:space="preserve"> </w:t>
      </w:r>
      <w:r>
        <w:rPr>
          <w:spacing w:val="-6"/>
          <w:sz w:val="21"/>
        </w:rPr>
        <w:t>凹凸不平坏路的平均行驶速度不小于</w:t>
      </w:r>
      <w:r>
        <w:rPr>
          <w:spacing w:val="-6"/>
          <w:sz w:val="21"/>
        </w:rPr>
        <w:t xml:space="preserve"> </w:t>
      </w:r>
      <w:r>
        <w:rPr>
          <w:sz w:val="21"/>
        </w:rPr>
        <w:t>30</w:t>
      </w:r>
      <w:r>
        <w:rPr>
          <w:spacing w:val="9"/>
          <w:sz w:val="21"/>
        </w:rPr>
        <w:t xml:space="preserve"> </w:t>
      </w:r>
      <w:r>
        <w:rPr>
          <w:sz w:val="21"/>
        </w:rPr>
        <w:t>km/h</w:t>
      </w:r>
      <w:r>
        <w:rPr>
          <w:spacing w:val="-7"/>
          <w:sz w:val="21"/>
        </w:rPr>
        <w:t>，山路的平均行驶速度不小于</w:t>
      </w:r>
      <w:r>
        <w:rPr>
          <w:spacing w:val="-7"/>
          <w:sz w:val="21"/>
        </w:rPr>
        <w:t xml:space="preserve"> </w:t>
      </w:r>
      <w:r>
        <w:rPr>
          <w:sz w:val="21"/>
        </w:rPr>
        <w:t>20</w:t>
      </w:r>
      <w:r>
        <w:rPr>
          <w:spacing w:val="13"/>
          <w:sz w:val="21"/>
        </w:rPr>
        <w:t xml:space="preserve"> </w:t>
      </w:r>
      <w:r>
        <w:rPr>
          <w:sz w:val="21"/>
        </w:rPr>
        <w:t>km/h</w:t>
      </w:r>
      <w:r>
        <w:rPr>
          <w:spacing w:val="-3"/>
          <w:sz w:val="21"/>
        </w:rPr>
        <w:t>。各种路面</w:t>
      </w:r>
      <w:r>
        <w:rPr>
          <w:spacing w:val="-5"/>
          <w:sz w:val="21"/>
        </w:rPr>
        <w:t>应有不少于此路面行驶里程</w:t>
      </w:r>
      <w:r>
        <w:rPr>
          <w:spacing w:val="-5"/>
          <w:sz w:val="21"/>
        </w:rPr>
        <w:t xml:space="preserve"> </w:t>
      </w:r>
      <w:r>
        <w:rPr>
          <w:sz w:val="21"/>
        </w:rPr>
        <w:t>20</w:t>
      </w:r>
      <w:r>
        <w:rPr>
          <w:spacing w:val="-3"/>
          <w:sz w:val="21"/>
        </w:rPr>
        <w:t>%</w:t>
      </w:r>
      <w:r>
        <w:rPr>
          <w:spacing w:val="-3"/>
          <w:sz w:val="21"/>
        </w:rPr>
        <w:t>的夜间行驶试验。可靠性行驶试验里程不包括磨合行驶里程和其他试验的行驶里程。试验中若发生危及安全、危及主要功能、出现在试验现场不能修复的故障</w:t>
      </w:r>
      <w:r>
        <w:rPr>
          <w:spacing w:val="-3"/>
          <w:sz w:val="21"/>
        </w:rPr>
        <w:t xml:space="preserve"> </w:t>
      </w:r>
      <w:r>
        <w:rPr>
          <w:spacing w:val="-3"/>
          <w:sz w:val="21"/>
        </w:rPr>
        <w:t>或故障频发（</w:t>
      </w:r>
      <w:r>
        <w:rPr>
          <w:spacing w:val="-25"/>
          <w:sz w:val="21"/>
        </w:rPr>
        <w:t>每</w:t>
      </w:r>
      <w:r>
        <w:rPr>
          <w:spacing w:val="-25"/>
          <w:sz w:val="21"/>
        </w:rPr>
        <w:t xml:space="preserve"> </w:t>
      </w:r>
      <w:r>
        <w:rPr>
          <w:sz w:val="21"/>
        </w:rPr>
        <w:t>1000</w:t>
      </w:r>
      <w:r>
        <w:rPr>
          <w:spacing w:val="10"/>
          <w:sz w:val="21"/>
        </w:rPr>
        <w:t xml:space="preserve"> </w:t>
      </w:r>
      <w:r>
        <w:rPr>
          <w:sz w:val="21"/>
        </w:rPr>
        <w:t>km</w:t>
      </w:r>
      <w:r>
        <w:rPr>
          <w:spacing w:val="-16"/>
          <w:sz w:val="21"/>
        </w:rPr>
        <w:t xml:space="preserve"> </w:t>
      </w:r>
      <w:r>
        <w:rPr>
          <w:spacing w:val="-16"/>
          <w:sz w:val="21"/>
        </w:rPr>
        <w:t>故障数大于</w:t>
      </w:r>
      <w:r>
        <w:rPr>
          <w:spacing w:val="-16"/>
          <w:sz w:val="21"/>
        </w:rPr>
        <w:t xml:space="preserve"> </w:t>
      </w:r>
      <w:r>
        <w:rPr>
          <w:sz w:val="21"/>
        </w:rPr>
        <w:t>2</w:t>
      </w:r>
      <w:r>
        <w:rPr>
          <w:spacing w:val="-26"/>
          <w:sz w:val="21"/>
        </w:rPr>
        <w:t xml:space="preserve"> </w:t>
      </w:r>
      <w:r>
        <w:rPr>
          <w:spacing w:val="-26"/>
          <w:sz w:val="21"/>
        </w:rPr>
        <w:t>次</w:t>
      </w:r>
      <w:r>
        <w:rPr>
          <w:sz w:val="21"/>
        </w:rPr>
        <w:t>）</w:t>
      </w:r>
      <w:r>
        <w:rPr>
          <w:spacing w:val="-3"/>
          <w:sz w:val="21"/>
        </w:rPr>
        <w:t>等情况应终止试验，找出故障原因并改正后重新试验。可靠性行驶试验应记录各路面的试验里程、各路面白天、夜间试验时间、燃料消耗量和发</w:t>
      </w:r>
      <w:r>
        <w:rPr>
          <w:spacing w:val="-3"/>
          <w:sz w:val="21"/>
        </w:rPr>
        <w:t xml:space="preserve"> </w:t>
      </w:r>
      <w:r>
        <w:rPr>
          <w:spacing w:val="-3"/>
          <w:sz w:val="21"/>
        </w:rPr>
        <w:t>动机润滑油消耗量、保养情况、试验期间的故障情况、故障次数与排</w:t>
      </w:r>
      <w:r>
        <w:rPr>
          <w:spacing w:val="-3"/>
          <w:sz w:val="21"/>
        </w:rPr>
        <w:t>除方法。判断试验结果是</w:t>
      </w:r>
      <w:r>
        <w:rPr>
          <w:spacing w:val="-3"/>
          <w:sz w:val="21"/>
        </w:rPr>
        <w:t xml:space="preserve"> </w:t>
      </w:r>
      <w:r>
        <w:rPr>
          <w:spacing w:val="-15"/>
          <w:sz w:val="21"/>
        </w:rPr>
        <w:t>否符合</w:t>
      </w:r>
      <w:r>
        <w:rPr>
          <w:spacing w:val="-15"/>
          <w:sz w:val="21"/>
        </w:rPr>
        <w:t xml:space="preserve"> </w:t>
      </w:r>
      <w:r>
        <w:rPr>
          <w:sz w:val="21"/>
        </w:rPr>
        <w:t>5.4.2.2</w:t>
      </w:r>
      <w:r>
        <w:rPr>
          <w:spacing w:val="-12"/>
          <w:sz w:val="21"/>
        </w:rPr>
        <w:t xml:space="preserve"> </w:t>
      </w:r>
      <w:r>
        <w:rPr>
          <w:spacing w:val="-12"/>
          <w:sz w:val="21"/>
        </w:rPr>
        <w:t>的规定。</w:t>
      </w:r>
      <w:r>
        <w:rPr>
          <w:spacing w:val="-12"/>
          <w:sz w:val="21"/>
        </w:rPr>
        <w:t xml:space="preserve"> </w:t>
      </w:r>
    </w:p>
    <w:p w14:paraId="3B30909A" w14:textId="77777777" w:rsidR="00A71EEF" w:rsidRDefault="0081115D">
      <w:pPr>
        <w:pStyle w:val="a4"/>
        <w:numPr>
          <w:ilvl w:val="1"/>
          <w:numId w:val="817"/>
        </w:numPr>
        <w:tabs>
          <w:tab w:val="left" w:pos="1159"/>
        </w:tabs>
        <w:spacing w:line="266" w:lineRule="exact"/>
        <w:ind w:hanging="319"/>
        <w:rPr>
          <w:sz w:val="21"/>
        </w:rPr>
      </w:pPr>
      <w:r>
        <w:rPr>
          <w:spacing w:val="-3"/>
          <w:sz w:val="21"/>
        </w:rPr>
        <w:t>驾乘室改制后试验</w:t>
      </w:r>
      <w:r>
        <w:rPr>
          <w:sz w:val="21"/>
        </w:rPr>
        <w:t xml:space="preserve"> </w:t>
      </w:r>
    </w:p>
    <w:p w14:paraId="5128455A" w14:textId="77777777" w:rsidR="00A71EEF" w:rsidRDefault="00A71EEF">
      <w:pPr>
        <w:pStyle w:val="a3"/>
        <w:spacing w:before="9"/>
        <w:rPr>
          <w:sz w:val="17"/>
        </w:rPr>
      </w:pPr>
    </w:p>
    <w:p w14:paraId="10F96CA2" w14:textId="77777777" w:rsidR="00A71EEF" w:rsidRDefault="0081115D">
      <w:pPr>
        <w:pStyle w:val="a4"/>
        <w:numPr>
          <w:ilvl w:val="2"/>
          <w:numId w:val="817"/>
        </w:numPr>
        <w:tabs>
          <w:tab w:val="left" w:pos="1371"/>
        </w:tabs>
        <w:spacing w:before="1"/>
        <w:rPr>
          <w:sz w:val="21"/>
        </w:rPr>
      </w:pPr>
      <w:r>
        <w:rPr>
          <w:spacing w:val="-3"/>
          <w:sz w:val="21"/>
        </w:rPr>
        <w:t>座椅</w:t>
      </w:r>
      <w:r>
        <w:rPr>
          <w:sz w:val="21"/>
        </w:rPr>
        <w:t xml:space="preserve"> </w:t>
      </w:r>
    </w:p>
    <w:p w14:paraId="4BC93BA6" w14:textId="77777777" w:rsidR="00A71EEF" w:rsidRDefault="00A71EEF">
      <w:pPr>
        <w:rPr>
          <w:sz w:val="21"/>
        </w:rPr>
        <w:sectPr w:rsidR="00A71EEF">
          <w:pgSz w:w="11910" w:h="16850"/>
          <w:pgMar w:top="1220" w:right="0" w:bottom="1420" w:left="1260" w:header="0" w:footer="1239" w:gutter="0"/>
          <w:cols w:space="720"/>
        </w:sectPr>
      </w:pPr>
    </w:p>
    <w:p w14:paraId="02021D02" w14:textId="77777777" w:rsidR="00A71EEF" w:rsidRDefault="0081115D">
      <w:pPr>
        <w:pStyle w:val="a4"/>
        <w:numPr>
          <w:ilvl w:val="3"/>
          <w:numId w:val="817"/>
        </w:numPr>
        <w:tabs>
          <w:tab w:val="left" w:pos="1576"/>
        </w:tabs>
        <w:spacing w:before="47" w:line="446" w:lineRule="auto"/>
        <w:ind w:right="1608" w:firstLine="419"/>
        <w:jc w:val="both"/>
        <w:rPr>
          <w:sz w:val="21"/>
        </w:rPr>
      </w:pPr>
      <w:r>
        <w:rPr>
          <w:spacing w:val="-3"/>
          <w:sz w:val="21"/>
        </w:rPr>
        <w:lastRenderedPageBreak/>
        <w:t>采用通用量具测量座椅与人体臀部接触面至放置脚的地板的垂直距离，测量时座椅应完整并不应压迫座椅与人体臀部接触面变形。若座椅与人体臀部接触面是斜面，应分别测量座椅与人体臀部接触面的高端和低端至放置脚的地板的垂直距离，取两个数的平均值为测量</w:t>
      </w:r>
      <w:r>
        <w:rPr>
          <w:spacing w:val="-5"/>
          <w:sz w:val="21"/>
        </w:rPr>
        <w:t>结果并采用角度仪测量靠背与座椅上平面的夹角，判断试验结果是否符合</w:t>
      </w:r>
      <w:r>
        <w:rPr>
          <w:spacing w:val="-5"/>
          <w:sz w:val="21"/>
        </w:rPr>
        <w:t xml:space="preserve"> </w:t>
      </w:r>
      <w:r>
        <w:rPr>
          <w:sz w:val="21"/>
        </w:rPr>
        <w:t>5.5.2.1</w:t>
      </w:r>
      <w:r>
        <w:rPr>
          <w:spacing w:val="-12"/>
          <w:sz w:val="21"/>
        </w:rPr>
        <w:t xml:space="preserve"> </w:t>
      </w:r>
      <w:r>
        <w:rPr>
          <w:spacing w:val="-12"/>
          <w:sz w:val="21"/>
        </w:rPr>
        <w:t>的规定。</w:t>
      </w:r>
      <w:r>
        <w:rPr>
          <w:sz w:val="21"/>
        </w:rPr>
        <w:t xml:space="preserve"> </w:t>
      </w:r>
    </w:p>
    <w:p w14:paraId="261F9711" w14:textId="77777777" w:rsidR="00A71EEF" w:rsidRDefault="0081115D">
      <w:pPr>
        <w:pStyle w:val="a4"/>
        <w:numPr>
          <w:ilvl w:val="3"/>
          <w:numId w:val="817"/>
        </w:numPr>
        <w:tabs>
          <w:tab w:val="left" w:pos="1576"/>
        </w:tabs>
        <w:spacing w:line="446" w:lineRule="auto"/>
        <w:ind w:right="1608" w:firstLine="419"/>
        <w:jc w:val="both"/>
        <w:rPr>
          <w:sz w:val="21"/>
        </w:rPr>
      </w:pPr>
      <w:r>
        <w:rPr>
          <w:spacing w:val="-3"/>
          <w:sz w:val="21"/>
        </w:rPr>
        <w:t>采用通用量具测量座椅与人体臀部接触面前端至前方座椅水平最近点的距离，相向座椅应测量两座椅与人体臀部接触面前端的水平距离，测量时座椅应完整并不应压迫座椅与</w:t>
      </w:r>
      <w:r>
        <w:rPr>
          <w:spacing w:val="-6"/>
          <w:sz w:val="21"/>
        </w:rPr>
        <w:t>人体臀部接触面前端变形，判断试验结果是否符合</w:t>
      </w:r>
      <w:r>
        <w:rPr>
          <w:spacing w:val="-6"/>
          <w:sz w:val="21"/>
        </w:rPr>
        <w:t xml:space="preserve"> </w:t>
      </w:r>
      <w:r>
        <w:rPr>
          <w:sz w:val="21"/>
        </w:rPr>
        <w:t>5.5.2.2</w:t>
      </w:r>
      <w:r>
        <w:rPr>
          <w:spacing w:val="-13"/>
          <w:sz w:val="21"/>
        </w:rPr>
        <w:t xml:space="preserve"> </w:t>
      </w:r>
      <w:r>
        <w:rPr>
          <w:spacing w:val="-13"/>
          <w:sz w:val="21"/>
        </w:rPr>
        <w:t>的规定。</w:t>
      </w:r>
      <w:r>
        <w:rPr>
          <w:sz w:val="21"/>
        </w:rPr>
        <w:t xml:space="preserve"> </w:t>
      </w:r>
    </w:p>
    <w:p w14:paraId="24F329A4" w14:textId="77777777" w:rsidR="00A71EEF" w:rsidRDefault="0081115D">
      <w:pPr>
        <w:pStyle w:val="a4"/>
        <w:numPr>
          <w:ilvl w:val="3"/>
          <w:numId w:val="817"/>
        </w:numPr>
        <w:tabs>
          <w:tab w:val="left" w:pos="1576"/>
        </w:tabs>
        <w:spacing w:line="446" w:lineRule="auto"/>
        <w:ind w:right="1608" w:firstLine="419"/>
        <w:rPr>
          <w:sz w:val="21"/>
        </w:rPr>
      </w:pPr>
      <w:r>
        <w:rPr>
          <w:spacing w:val="-2"/>
          <w:sz w:val="21"/>
        </w:rPr>
        <w:t>采用通用量具测量坐垫最窄处尺寸，测量座椅坐垫宽度时，将座椅坐垫水平放</w:t>
      </w:r>
      <w:r>
        <w:rPr>
          <w:spacing w:val="-2"/>
          <w:sz w:val="21"/>
        </w:rPr>
        <w:t xml:space="preserve"> </w:t>
      </w:r>
      <w:r>
        <w:rPr>
          <w:spacing w:val="-2"/>
          <w:sz w:val="21"/>
        </w:rPr>
        <w:t>置</w:t>
      </w:r>
      <w:r>
        <w:rPr>
          <w:spacing w:val="-3"/>
          <w:sz w:val="21"/>
        </w:rPr>
        <w:t>，确定每位乘员所占长度时，测量一排座椅两端的最小距离并用测量的数值除乘坐的人数，若座椅中间有高出座椅坐垫的物体，则测量数值应减去高出座椅坐垫物体的宽度，判断试验结果</w:t>
      </w:r>
      <w:r>
        <w:rPr>
          <w:spacing w:val="-13"/>
          <w:sz w:val="21"/>
        </w:rPr>
        <w:t>是否符合</w:t>
      </w:r>
      <w:r>
        <w:rPr>
          <w:spacing w:val="-13"/>
          <w:sz w:val="21"/>
        </w:rPr>
        <w:t xml:space="preserve"> </w:t>
      </w:r>
      <w:r>
        <w:rPr>
          <w:sz w:val="21"/>
        </w:rPr>
        <w:t>5.5.2.3</w:t>
      </w:r>
      <w:r>
        <w:rPr>
          <w:spacing w:val="-12"/>
          <w:sz w:val="21"/>
        </w:rPr>
        <w:t xml:space="preserve"> </w:t>
      </w:r>
      <w:r>
        <w:rPr>
          <w:spacing w:val="-12"/>
          <w:sz w:val="21"/>
        </w:rPr>
        <w:t>的要求。</w:t>
      </w:r>
      <w:r>
        <w:rPr>
          <w:spacing w:val="-12"/>
          <w:sz w:val="21"/>
        </w:rPr>
        <w:t xml:space="preserve"> </w:t>
      </w:r>
    </w:p>
    <w:p w14:paraId="1F91477B" w14:textId="77777777" w:rsidR="00A71EEF" w:rsidRDefault="0081115D">
      <w:pPr>
        <w:pStyle w:val="a4"/>
        <w:numPr>
          <w:ilvl w:val="3"/>
          <w:numId w:val="817"/>
        </w:numPr>
        <w:tabs>
          <w:tab w:val="left" w:pos="1576"/>
        </w:tabs>
        <w:spacing w:line="446" w:lineRule="auto"/>
        <w:ind w:right="1608" w:firstLine="419"/>
        <w:jc w:val="both"/>
        <w:rPr>
          <w:sz w:val="21"/>
        </w:rPr>
      </w:pPr>
      <w:r>
        <w:rPr>
          <w:spacing w:val="-3"/>
          <w:sz w:val="21"/>
        </w:rPr>
        <w:t>将座椅靠背调节至与水平面垂直，采用通用量具测量座椅与人体臀部接触面至座椅靠背顶端的距离，若座椅与人体臀部接触面是斜面，应分别测量座椅与人体臀部接触面的高端和低端至座椅靠背顶端的距离，取两个数的平均值为测量结果。判断试验结果是否符合</w:t>
      </w:r>
    </w:p>
    <w:p w14:paraId="236FF76D" w14:textId="77777777" w:rsidR="00A71EEF" w:rsidRDefault="0081115D">
      <w:pPr>
        <w:pStyle w:val="a3"/>
        <w:spacing w:line="268" w:lineRule="exact"/>
        <w:ind w:left="418"/>
        <w:jc w:val="both"/>
      </w:pPr>
      <w:r>
        <w:t xml:space="preserve">5.5.2.4 </w:t>
      </w:r>
      <w:r>
        <w:t>的规定。</w:t>
      </w:r>
      <w:r>
        <w:t xml:space="preserve"> </w:t>
      </w:r>
    </w:p>
    <w:p w14:paraId="1973DDDA" w14:textId="77777777" w:rsidR="00A71EEF" w:rsidRDefault="00A71EEF">
      <w:pPr>
        <w:pStyle w:val="a3"/>
        <w:spacing w:before="9"/>
        <w:rPr>
          <w:sz w:val="17"/>
        </w:rPr>
      </w:pPr>
    </w:p>
    <w:p w14:paraId="0D12B217" w14:textId="77777777" w:rsidR="00A71EEF" w:rsidRDefault="0081115D">
      <w:pPr>
        <w:pStyle w:val="a4"/>
        <w:numPr>
          <w:ilvl w:val="3"/>
          <w:numId w:val="816"/>
        </w:numPr>
        <w:tabs>
          <w:tab w:val="left" w:pos="1576"/>
        </w:tabs>
        <w:spacing w:line="446" w:lineRule="auto"/>
        <w:ind w:right="1613" w:firstLine="419"/>
        <w:rPr>
          <w:sz w:val="21"/>
        </w:rPr>
      </w:pPr>
      <w:r>
        <w:rPr>
          <w:spacing w:val="-5"/>
          <w:sz w:val="21"/>
        </w:rPr>
        <w:t>检查驾驶员座椅的前后位置是否可以调整，判断试验结果是否符合</w:t>
      </w:r>
      <w:r>
        <w:rPr>
          <w:spacing w:val="-5"/>
          <w:sz w:val="21"/>
        </w:rPr>
        <w:t xml:space="preserve"> </w:t>
      </w:r>
      <w:r>
        <w:rPr>
          <w:sz w:val="21"/>
        </w:rPr>
        <w:t>5.5.2.5</w:t>
      </w:r>
      <w:r>
        <w:rPr>
          <w:spacing w:val="-17"/>
          <w:sz w:val="21"/>
        </w:rPr>
        <w:t xml:space="preserve"> </w:t>
      </w:r>
      <w:r>
        <w:rPr>
          <w:spacing w:val="-17"/>
          <w:sz w:val="21"/>
        </w:rPr>
        <w:t>的规</w:t>
      </w:r>
      <w:r>
        <w:rPr>
          <w:spacing w:val="-2"/>
          <w:sz w:val="21"/>
        </w:rPr>
        <w:t>定。</w:t>
      </w:r>
      <w:r>
        <w:rPr>
          <w:sz w:val="21"/>
        </w:rPr>
        <w:t xml:space="preserve"> </w:t>
      </w:r>
    </w:p>
    <w:p w14:paraId="2146D12F" w14:textId="77777777" w:rsidR="00A71EEF" w:rsidRDefault="0081115D">
      <w:pPr>
        <w:pStyle w:val="a4"/>
        <w:numPr>
          <w:ilvl w:val="3"/>
          <w:numId w:val="816"/>
        </w:numPr>
        <w:tabs>
          <w:tab w:val="left" w:pos="1576"/>
        </w:tabs>
        <w:spacing w:line="267" w:lineRule="exact"/>
        <w:ind w:left="1575"/>
        <w:rPr>
          <w:sz w:val="21"/>
        </w:rPr>
      </w:pPr>
      <w:r>
        <w:rPr>
          <w:spacing w:val="-5"/>
          <w:sz w:val="21"/>
        </w:rPr>
        <w:t>检查驾乘室内座椅的强度和刚度，是否固定可靠，判断试验结果是否符合</w:t>
      </w:r>
      <w:r>
        <w:rPr>
          <w:spacing w:val="-5"/>
          <w:sz w:val="21"/>
        </w:rPr>
        <w:t xml:space="preserve"> </w:t>
      </w:r>
      <w:r>
        <w:rPr>
          <w:sz w:val="21"/>
        </w:rPr>
        <w:t>5.5.2.6</w:t>
      </w:r>
    </w:p>
    <w:p w14:paraId="34D3ADB9" w14:textId="77777777" w:rsidR="00A71EEF" w:rsidRDefault="00A71EEF">
      <w:pPr>
        <w:pStyle w:val="a3"/>
        <w:spacing w:before="2"/>
        <w:rPr>
          <w:sz w:val="18"/>
        </w:rPr>
      </w:pPr>
    </w:p>
    <w:p w14:paraId="37BC6E25" w14:textId="77777777" w:rsidR="00A71EEF" w:rsidRDefault="0081115D">
      <w:pPr>
        <w:pStyle w:val="a3"/>
        <w:ind w:left="418"/>
      </w:pPr>
      <w:r>
        <w:t>的规定。</w:t>
      </w:r>
      <w:r>
        <w:t xml:space="preserve"> </w:t>
      </w:r>
    </w:p>
    <w:p w14:paraId="52DA5669" w14:textId="77777777" w:rsidR="00A71EEF" w:rsidRDefault="00A71EEF">
      <w:pPr>
        <w:pStyle w:val="a3"/>
        <w:rPr>
          <w:sz w:val="18"/>
        </w:rPr>
      </w:pPr>
    </w:p>
    <w:p w14:paraId="1D31D33D" w14:textId="77777777" w:rsidR="00A71EEF" w:rsidRDefault="0081115D">
      <w:pPr>
        <w:pStyle w:val="a4"/>
        <w:numPr>
          <w:ilvl w:val="3"/>
          <w:numId w:val="816"/>
        </w:numPr>
        <w:tabs>
          <w:tab w:val="left" w:pos="1576"/>
        </w:tabs>
        <w:spacing w:line="446" w:lineRule="auto"/>
        <w:ind w:right="1609" w:firstLine="419"/>
        <w:rPr>
          <w:sz w:val="21"/>
        </w:rPr>
      </w:pPr>
      <w:r>
        <w:rPr>
          <w:spacing w:val="-3"/>
          <w:sz w:val="21"/>
        </w:rPr>
        <w:t>检查驾乘室内座椅座垫和靠背材料，并检查其国家级检验机构的检验报告</w:t>
      </w:r>
      <w:r>
        <w:rPr>
          <w:spacing w:val="-3"/>
          <w:sz w:val="21"/>
        </w:rPr>
        <w:t>，判断</w:t>
      </w:r>
      <w:r>
        <w:rPr>
          <w:spacing w:val="-9"/>
          <w:sz w:val="21"/>
        </w:rPr>
        <w:t>试验结果是否符合</w:t>
      </w:r>
      <w:r>
        <w:rPr>
          <w:spacing w:val="-9"/>
          <w:sz w:val="21"/>
        </w:rPr>
        <w:t xml:space="preserve"> </w:t>
      </w:r>
      <w:r>
        <w:rPr>
          <w:sz w:val="21"/>
        </w:rPr>
        <w:t>5.5.2.7</w:t>
      </w:r>
      <w:r>
        <w:rPr>
          <w:spacing w:val="-13"/>
          <w:sz w:val="21"/>
        </w:rPr>
        <w:t xml:space="preserve"> </w:t>
      </w:r>
      <w:r>
        <w:rPr>
          <w:spacing w:val="-13"/>
          <w:sz w:val="21"/>
        </w:rPr>
        <w:t>的规定。</w:t>
      </w:r>
      <w:r>
        <w:rPr>
          <w:sz w:val="21"/>
        </w:rPr>
        <w:t xml:space="preserve"> </w:t>
      </w:r>
    </w:p>
    <w:p w14:paraId="1B817D84" w14:textId="77777777" w:rsidR="00A71EEF" w:rsidRDefault="0081115D">
      <w:pPr>
        <w:pStyle w:val="a4"/>
        <w:numPr>
          <w:ilvl w:val="3"/>
          <w:numId w:val="816"/>
        </w:numPr>
        <w:tabs>
          <w:tab w:val="left" w:pos="1576"/>
        </w:tabs>
        <w:ind w:left="1575"/>
        <w:rPr>
          <w:sz w:val="21"/>
        </w:rPr>
      </w:pPr>
      <w:r>
        <w:rPr>
          <w:spacing w:val="-3"/>
          <w:sz w:val="21"/>
        </w:rPr>
        <w:t>检查驾乘室座椅后部安装空气呼吸器时座椅坐人的区域，判断试验结果是否符合</w:t>
      </w:r>
    </w:p>
    <w:p w14:paraId="51B8E6D3" w14:textId="77777777" w:rsidR="00A71EEF" w:rsidRDefault="00A71EEF">
      <w:pPr>
        <w:pStyle w:val="a3"/>
        <w:rPr>
          <w:sz w:val="18"/>
        </w:rPr>
      </w:pPr>
    </w:p>
    <w:p w14:paraId="3D7C1D7F" w14:textId="77777777" w:rsidR="00A71EEF" w:rsidRDefault="0081115D">
      <w:pPr>
        <w:pStyle w:val="a3"/>
        <w:ind w:left="418"/>
        <w:jc w:val="both"/>
      </w:pPr>
      <w:r>
        <w:t xml:space="preserve">5.5.2.8 </w:t>
      </w:r>
      <w:r>
        <w:t>的规定。</w:t>
      </w:r>
      <w:r>
        <w:t xml:space="preserve"> </w:t>
      </w:r>
    </w:p>
    <w:p w14:paraId="5D8459BE" w14:textId="77777777" w:rsidR="00A71EEF" w:rsidRDefault="00A71EEF">
      <w:pPr>
        <w:pStyle w:val="a3"/>
        <w:spacing w:before="12"/>
        <w:rPr>
          <w:sz w:val="17"/>
        </w:rPr>
      </w:pPr>
    </w:p>
    <w:p w14:paraId="3973A83D" w14:textId="77777777" w:rsidR="00A71EEF" w:rsidRDefault="0081115D">
      <w:pPr>
        <w:pStyle w:val="a3"/>
        <w:ind w:left="838"/>
      </w:pPr>
      <w:r>
        <w:t xml:space="preserve">6.5.1.9 </w:t>
      </w:r>
      <w:r>
        <w:t>目测检查驾乘室满足要求座椅数，判断试验结果是否符合</w:t>
      </w:r>
      <w:r>
        <w:t xml:space="preserve"> 5.5.2.9 </w:t>
      </w:r>
      <w:r>
        <w:t>的规定。</w:t>
      </w:r>
      <w:r>
        <w:t xml:space="preserve"> </w:t>
      </w:r>
    </w:p>
    <w:p w14:paraId="2509FA50" w14:textId="77777777" w:rsidR="00A71EEF" w:rsidRDefault="00A71EEF">
      <w:pPr>
        <w:pStyle w:val="a3"/>
        <w:spacing w:before="2"/>
        <w:rPr>
          <w:sz w:val="18"/>
        </w:rPr>
      </w:pPr>
    </w:p>
    <w:p w14:paraId="0AD493DA" w14:textId="77777777" w:rsidR="00A71EEF" w:rsidRDefault="0081115D">
      <w:pPr>
        <w:pStyle w:val="a4"/>
        <w:numPr>
          <w:ilvl w:val="2"/>
          <w:numId w:val="817"/>
        </w:numPr>
        <w:tabs>
          <w:tab w:val="left" w:pos="1370"/>
        </w:tabs>
        <w:ind w:left="1369" w:hanging="530"/>
        <w:rPr>
          <w:sz w:val="21"/>
        </w:rPr>
      </w:pPr>
      <w:r>
        <w:rPr>
          <w:spacing w:val="-3"/>
          <w:sz w:val="21"/>
        </w:rPr>
        <w:t>车门试验</w:t>
      </w:r>
      <w:r>
        <w:rPr>
          <w:sz w:val="21"/>
        </w:rPr>
        <w:t xml:space="preserve"> </w:t>
      </w:r>
    </w:p>
    <w:p w14:paraId="1838BBEF" w14:textId="77777777" w:rsidR="00A71EEF" w:rsidRDefault="00A71EEF">
      <w:pPr>
        <w:pStyle w:val="a3"/>
        <w:rPr>
          <w:sz w:val="18"/>
        </w:rPr>
      </w:pPr>
    </w:p>
    <w:p w14:paraId="538E79F8" w14:textId="77777777" w:rsidR="00A71EEF" w:rsidRDefault="0081115D">
      <w:pPr>
        <w:pStyle w:val="a4"/>
        <w:numPr>
          <w:ilvl w:val="3"/>
          <w:numId w:val="817"/>
        </w:numPr>
        <w:tabs>
          <w:tab w:val="left" w:pos="1576"/>
        </w:tabs>
        <w:spacing w:line="446" w:lineRule="auto"/>
        <w:ind w:right="1609" w:firstLine="419"/>
        <w:rPr>
          <w:sz w:val="21"/>
        </w:rPr>
      </w:pPr>
      <w:r>
        <w:rPr>
          <w:spacing w:val="-3"/>
          <w:sz w:val="21"/>
        </w:rPr>
        <w:t>将车门完全打开，采用角度仪测量车门关闭至完全打开的角度，判断试验结果是</w:t>
      </w:r>
      <w:r>
        <w:rPr>
          <w:spacing w:val="-15"/>
          <w:sz w:val="21"/>
        </w:rPr>
        <w:t>否符合</w:t>
      </w:r>
      <w:r>
        <w:rPr>
          <w:spacing w:val="-15"/>
          <w:sz w:val="21"/>
        </w:rPr>
        <w:t xml:space="preserve"> </w:t>
      </w:r>
      <w:r>
        <w:rPr>
          <w:sz w:val="21"/>
        </w:rPr>
        <w:t>5.5.3.1</w:t>
      </w:r>
      <w:r>
        <w:rPr>
          <w:spacing w:val="-12"/>
          <w:sz w:val="21"/>
        </w:rPr>
        <w:t xml:space="preserve"> </w:t>
      </w:r>
      <w:r>
        <w:rPr>
          <w:spacing w:val="-12"/>
          <w:sz w:val="21"/>
        </w:rPr>
        <w:t>的规定。</w:t>
      </w:r>
      <w:r>
        <w:rPr>
          <w:spacing w:val="-12"/>
          <w:sz w:val="21"/>
        </w:rPr>
        <w:t xml:space="preserve"> </w:t>
      </w:r>
    </w:p>
    <w:p w14:paraId="1BE9F723" w14:textId="77777777" w:rsidR="00A71EEF" w:rsidRDefault="00A71EEF">
      <w:pPr>
        <w:spacing w:line="446" w:lineRule="auto"/>
        <w:rPr>
          <w:sz w:val="21"/>
        </w:rPr>
        <w:sectPr w:rsidR="00A71EEF">
          <w:pgSz w:w="11910" w:h="16850"/>
          <w:pgMar w:top="1220" w:right="0" w:bottom="1420" w:left="1260" w:header="0" w:footer="1239" w:gutter="0"/>
          <w:cols w:space="720"/>
        </w:sectPr>
      </w:pPr>
    </w:p>
    <w:p w14:paraId="79BABD99" w14:textId="77777777" w:rsidR="00A71EEF" w:rsidRDefault="0081115D">
      <w:pPr>
        <w:pStyle w:val="a4"/>
        <w:numPr>
          <w:ilvl w:val="3"/>
          <w:numId w:val="817"/>
        </w:numPr>
        <w:tabs>
          <w:tab w:val="left" w:pos="1576"/>
        </w:tabs>
        <w:spacing w:before="47" w:line="446" w:lineRule="auto"/>
        <w:ind w:right="1609" w:firstLine="419"/>
        <w:rPr>
          <w:sz w:val="21"/>
        </w:rPr>
      </w:pPr>
      <w:r>
        <w:rPr>
          <w:spacing w:val="-3"/>
          <w:sz w:val="21"/>
        </w:rPr>
        <w:lastRenderedPageBreak/>
        <w:t>佩戴消防防护手套，开关车门三次都应启闭灵活，没有打不开，关不上或在开关</w:t>
      </w:r>
      <w:r>
        <w:rPr>
          <w:spacing w:val="-5"/>
          <w:sz w:val="21"/>
        </w:rPr>
        <w:t>过程中有阻滞现象，门锁应能可靠打开，判断试验结果是否符合</w:t>
      </w:r>
      <w:r>
        <w:rPr>
          <w:spacing w:val="-5"/>
          <w:sz w:val="21"/>
        </w:rPr>
        <w:t xml:space="preserve"> </w:t>
      </w:r>
      <w:r>
        <w:rPr>
          <w:sz w:val="21"/>
        </w:rPr>
        <w:t>5.5.3.2</w:t>
      </w:r>
      <w:r>
        <w:rPr>
          <w:spacing w:val="-12"/>
          <w:sz w:val="21"/>
        </w:rPr>
        <w:t xml:space="preserve"> </w:t>
      </w:r>
      <w:r>
        <w:rPr>
          <w:spacing w:val="-12"/>
          <w:sz w:val="21"/>
        </w:rPr>
        <w:t>的规定。</w:t>
      </w:r>
      <w:r>
        <w:rPr>
          <w:spacing w:val="-12"/>
          <w:sz w:val="21"/>
        </w:rPr>
        <w:t xml:space="preserve"> </w:t>
      </w:r>
    </w:p>
    <w:p w14:paraId="0C088627" w14:textId="77777777" w:rsidR="00A71EEF" w:rsidRDefault="0081115D">
      <w:pPr>
        <w:pStyle w:val="a4"/>
        <w:numPr>
          <w:ilvl w:val="3"/>
          <w:numId w:val="817"/>
        </w:numPr>
        <w:tabs>
          <w:tab w:val="left" w:pos="1576"/>
        </w:tabs>
        <w:spacing w:line="267" w:lineRule="exact"/>
        <w:ind w:left="1575"/>
        <w:rPr>
          <w:sz w:val="21"/>
        </w:rPr>
      </w:pPr>
      <w:r>
        <w:rPr>
          <w:spacing w:val="-6"/>
          <w:sz w:val="21"/>
        </w:rPr>
        <w:t>目测检查驾乘室车门数量，判断试验结果是否符合</w:t>
      </w:r>
      <w:r>
        <w:rPr>
          <w:spacing w:val="-6"/>
          <w:sz w:val="21"/>
        </w:rPr>
        <w:t xml:space="preserve"> </w:t>
      </w:r>
      <w:r>
        <w:rPr>
          <w:sz w:val="21"/>
        </w:rPr>
        <w:t>5.5.3.3</w:t>
      </w:r>
      <w:r>
        <w:rPr>
          <w:spacing w:val="-12"/>
          <w:sz w:val="21"/>
        </w:rPr>
        <w:t xml:space="preserve"> </w:t>
      </w:r>
      <w:r>
        <w:rPr>
          <w:spacing w:val="-12"/>
          <w:sz w:val="21"/>
        </w:rPr>
        <w:t>的规定。</w:t>
      </w:r>
      <w:r>
        <w:rPr>
          <w:spacing w:val="-12"/>
          <w:sz w:val="21"/>
        </w:rPr>
        <w:t xml:space="preserve"> </w:t>
      </w:r>
    </w:p>
    <w:p w14:paraId="3E0F4B7A" w14:textId="77777777" w:rsidR="00A71EEF" w:rsidRDefault="00A71EEF">
      <w:pPr>
        <w:pStyle w:val="a3"/>
        <w:spacing w:before="2"/>
        <w:rPr>
          <w:sz w:val="18"/>
        </w:rPr>
      </w:pPr>
    </w:p>
    <w:p w14:paraId="6BCF61D5" w14:textId="77777777" w:rsidR="00A71EEF" w:rsidRDefault="0081115D">
      <w:pPr>
        <w:pStyle w:val="a4"/>
        <w:numPr>
          <w:ilvl w:val="3"/>
          <w:numId w:val="817"/>
        </w:numPr>
        <w:tabs>
          <w:tab w:val="left" w:pos="1576"/>
        </w:tabs>
        <w:ind w:left="1575"/>
        <w:rPr>
          <w:sz w:val="21"/>
        </w:rPr>
      </w:pPr>
      <w:r>
        <w:rPr>
          <w:spacing w:val="-6"/>
          <w:sz w:val="21"/>
        </w:rPr>
        <w:t>检查车窗的启闭，判断试验结果是否符合</w:t>
      </w:r>
      <w:r>
        <w:rPr>
          <w:spacing w:val="-6"/>
          <w:sz w:val="21"/>
        </w:rPr>
        <w:t xml:space="preserve"> </w:t>
      </w:r>
      <w:r>
        <w:rPr>
          <w:sz w:val="21"/>
        </w:rPr>
        <w:t>5.5.3.4</w:t>
      </w:r>
      <w:r>
        <w:rPr>
          <w:spacing w:val="-13"/>
          <w:sz w:val="21"/>
        </w:rPr>
        <w:t xml:space="preserve"> </w:t>
      </w:r>
      <w:r>
        <w:rPr>
          <w:spacing w:val="-13"/>
          <w:sz w:val="21"/>
        </w:rPr>
        <w:t>的规定。</w:t>
      </w:r>
      <w:r>
        <w:rPr>
          <w:sz w:val="21"/>
        </w:rPr>
        <w:t xml:space="preserve"> </w:t>
      </w:r>
    </w:p>
    <w:p w14:paraId="0DE91268" w14:textId="77777777" w:rsidR="00A71EEF" w:rsidRDefault="00A71EEF">
      <w:pPr>
        <w:pStyle w:val="a3"/>
        <w:rPr>
          <w:sz w:val="18"/>
        </w:rPr>
      </w:pPr>
    </w:p>
    <w:p w14:paraId="4173D428" w14:textId="77777777" w:rsidR="00A71EEF" w:rsidRDefault="0081115D">
      <w:pPr>
        <w:pStyle w:val="a4"/>
        <w:numPr>
          <w:ilvl w:val="3"/>
          <w:numId w:val="817"/>
        </w:numPr>
        <w:tabs>
          <w:tab w:val="left" w:pos="1576"/>
        </w:tabs>
        <w:ind w:left="1575"/>
        <w:rPr>
          <w:sz w:val="21"/>
        </w:rPr>
      </w:pPr>
      <w:r>
        <w:rPr>
          <w:spacing w:val="-6"/>
          <w:sz w:val="21"/>
        </w:rPr>
        <w:t>目测检查玻璃认证标识，判断试验结果是否符合</w:t>
      </w:r>
      <w:r>
        <w:rPr>
          <w:spacing w:val="-6"/>
          <w:sz w:val="21"/>
        </w:rPr>
        <w:t xml:space="preserve"> </w:t>
      </w:r>
      <w:r>
        <w:rPr>
          <w:sz w:val="21"/>
        </w:rPr>
        <w:t>5.5.3.5</w:t>
      </w:r>
      <w:r>
        <w:rPr>
          <w:spacing w:val="-12"/>
          <w:sz w:val="21"/>
        </w:rPr>
        <w:t xml:space="preserve"> </w:t>
      </w:r>
      <w:r>
        <w:rPr>
          <w:spacing w:val="-12"/>
          <w:sz w:val="21"/>
        </w:rPr>
        <w:t>的规定。</w:t>
      </w:r>
      <w:r>
        <w:rPr>
          <w:spacing w:val="-12"/>
          <w:sz w:val="21"/>
        </w:rPr>
        <w:t xml:space="preserve"> </w:t>
      </w:r>
    </w:p>
    <w:p w14:paraId="139EDB19" w14:textId="77777777" w:rsidR="00A71EEF" w:rsidRDefault="00A71EEF">
      <w:pPr>
        <w:pStyle w:val="a3"/>
        <w:spacing w:before="12"/>
        <w:rPr>
          <w:sz w:val="17"/>
        </w:rPr>
      </w:pPr>
    </w:p>
    <w:p w14:paraId="50481C62" w14:textId="77777777" w:rsidR="00A71EEF" w:rsidRDefault="0081115D">
      <w:pPr>
        <w:pStyle w:val="a4"/>
        <w:numPr>
          <w:ilvl w:val="2"/>
          <w:numId w:val="817"/>
        </w:numPr>
        <w:tabs>
          <w:tab w:val="left" w:pos="1370"/>
        </w:tabs>
        <w:ind w:left="1369" w:hanging="530"/>
        <w:rPr>
          <w:sz w:val="21"/>
        </w:rPr>
      </w:pPr>
      <w:r>
        <w:rPr>
          <w:spacing w:val="-3"/>
          <w:sz w:val="21"/>
        </w:rPr>
        <w:t>上、下车踏板</w:t>
      </w:r>
      <w:r>
        <w:rPr>
          <w:sz w:val="21"/>
        </w:rPr>
        <w:t xml:space="preserve"> </w:t>
      </w:r>
    </w:p>
    <w:p w14:paraId="7975AE52" w14:textId="77777777" w:rsidR="00A71EEF" w:rsidRDefault="00A71EEF">
      <w:pPr>
        <w:pStyle w:val="a3"/>
        <w:spacing w:before="2"/>
        <w:rPr>
          <w:sz w:val="18"/>
        </w:rPr>
      </w:pPr>
    </w:p>
    <w:p w14:paraId="32AD6E02" w14:textId="77777777" w:rsidR="00A71EEF" w:rsidRDefault="0081115D">
      <w:pPr>
        <w:pStyle w:val="a3"/>
        <w:spacing w:line="446" w:lineRule="auto"/>
        <w:ind w:left="418" w:right="1452" w:firstLine="419"/>
      </w:pPr>
      <w:r>
        <w:rPr>
          <w:spacing w:val="-3"/>
        </w:rPr>
        <w:t>将上、下车踏板放置为上下人员的位置，确定上、下车踏板间距时应测量上级踏板脚踏平</w:t>
      </w:r>
      <w:r>
        <w:rPr>
          <w:spacing w:val="-3"/>
        </w:rPr>
        <w:t xml:space="preserve"> </w:t>
      </w:r>
      <w:r>
        <w:rPr>
          <w:spacing w:val="-3"/>
        </w:rPr>
        <w:t>面至下级踏板脚踏平面的垂直距离。确定上、下车踏板长度时应测量踏板的最短距离为踏板长</w:t>
      </w:r>
      <w:r>
        <w:rPr>
          <w:spacing w:val="-3"/>
        </w:rPr>
        <w:t xml:space="preserve"> </w:t>
      </w:r>
      <w:r>
        <w:rPr>
          <w:spacing w:val="-3"/>
        </w:rPr>
        <w:t>度。确定踏板深度时应测量踏板外沿至穿消防胶靴能伸进的距离。确定与地面最近一级的离地</w:t>
      </w:r>
      <w:r>
        <w:rPr>
          <w:spacing w:val="-3"/>
        </w:rPr>
        <w:t xml:space="preserve"> </w:t>
      </w:r>
      <w:r>
        <w:rPr>
          <w:spacing w:val="-3"/>
        </w:rPr>
        <w:t>距离时应测量与地面最近一级踏板的脚踏平面至地面的垂直距离。确定踏板中间的水平照度时</w:t>
      </w:r>
      <w:r>
        <w:rPr>
          <w:spacing w:val="-3"/>
        </w:rPr>
        <w:t xml:space="preserve"> </w:t>
      </w:r>
      <w:r>
        <w:rPr>
          <w:spacing w:val="-3"/>
        </w:rPr>
        <w:t>将照度仪光传感器的感光面向上放置在被测踏板的中间，打开踏板照明灯，测量照度值。检查</w:t>
      </w:r>
      <w:r>
        <w:rPr>
          <w:spacing w:val="-3"/>
        </w:rPr>
        <w:t xml:space="preserve"> </w:t>
      </w:r>
      <w:r>
        <w:rPr>
          <w:spacing w:val="-6"/>
        </w:rPr>
        <w:t>消防车踏板放下后的警示标识。在踏板的垂直方向</w:t>
      </w:r>
      <w:r>
        <w:rPr>
          <w:spacing w:val="-6"/>
        </w:rPr>
        <w:t xml:space="preserve"> </w:t>
      </w:r>
      <w:r>
        <w:t>500mm</w:t>
      </w:r>
      <w:r>
        <w:rPr>
          <w:spacing w:val="-17"/>
        </w:rPr>
        <w:t xml:space="preserve"> </w:t>
      </w:r>
      <w:r>
        <w:rPr>
          <w:spacing w:val="-17"/>
        </w:rPr>
        <w:t>范围内加载</w:t>
      </w:r>
      <w:r>
        <w:rPr>
          <w:spacing w:val="-17"/>
        </w:rPr>
        <w:t xml:space="preserve"> </w:t>
      </w:r>
      <w:r>
        <w:t>75</w:t>
      </w:r>
      <w:r>
        <w:rPr>
          <w:spacing w:val="9"/>
        </w:rPr>
        <w:t xml:space="preserve"> </w:t>
      </w:r>
      <w:r>
        <w:t>kg</w:t>
      </w:r>
      <w:r>
        <w:rPr>
          <w:spacing w:val="-16"/>
        </w:rPr>
        <w:t xml:space="preserve"> </w:t>
      </w:r>
      <w:r>
        <w:rPr>
          <w:spacing w:val="-16"/>
        </w:rPr>
        <w:t>的重量保持</w:t>
      </w:r>
      <w:r>
        <w:rPr>
          <w:spacing w:val="-16"/>
        </w:rPr>
        <w:t xml:space="preserve"> </w:t>
      </w:r>
      <w:r>
        <w:t>5</w:t>
      </w:r>
      <w:r>
        <w:rPr>
          <w:spacing w:val="9"/>
        </w:rPr>
        <w:t xml:space="preserve"> </w:t>
      </w:r>
      <w:r>
        <w:t>min</w:t>
      </w:r>
      <w:r>
        <w:t>，</w:t>
      </w:r>
      <w:r>
        <w:t xml:space="preserve"> </w:t>
      </w:r>
      <w:r>
        <w:rPr>
          <w:spacing w:val="-6"/>
        </w:rPr>
        <w:t>查看踏板是否有永久变形。将翻转踏板按宽</w:t>
      </w:r>
      <w:r>
        <w:rPr>
          <w:spacing w:val="-6"/>
        </w:rPr>
        <w:t xml:space="preserve"> </w:t>
      </w:r>
      <w:r>
        <w:t>800mm</w:t>
      </w:r>
      <w:r>
        <w:rPr>
          <w:spacing w:val="3"/>
        </w:rPr>
        <w:t>、高</w:t>
      </w:r>
      <w:r>
        <w:rPr>
          <w:spacing w:val="3"/>
        </w:rPr>
        <w:t xml:space="preserve"> </w:t>
      </w:r>
      <w:r>
        <w:t>500mm</w:t>
      </w:r>
      <w:r>
        <w:rPr>
          <w:spacing w:val="-8"/>
        </w:rPr>
        <w:t xml:space="preserve"> </w:t>
      </w:r>
      <w:r>
        <w:rPr>
          <w:spacing w:val="-8"/>
        </w:rPr>
        <w:t>制成试验样品，装上铰链和回位</w:t>
      </w:r>
      <w:r>
        <w:rPr>
          <w:spacing w:val="-9"/>
        </w:rPr>
        <w:t>弹簧，安装在试验台上进行</w:t>
      </w:r>
      <w:r>
        <w:rPr>
          <w:spacing w:val="-9"/>
        </w:rPr>
        <w:t xml:space="preserve"> </w:t>
      </w:r>
      <w:r>
        <w:t>10000</w:t>
      </w:r>
      <w:r>
        <w:rPr>
          <w:spacing w:val="-12"/>
        </w:rPr>
        <w:t xml:space="preserve"> </w:t>
      </w:r>
      <w:r>
        <w:rPr>
          <w:spacing w:val="-12"/>
        </w:rPr>
        <w:t>次上下翻转试验。判断试验结果是否符合</w:t>
      </w:r>
      <w:r>
        <w:rPr>
          <w:spacing w:val="-12"/>
        </w:rPr>
        <w:t xml:space="preserve"> </w:t>
      </w:r>
      <w:r>
        <w:t>5.5.4</w:t>
      </w:r>
      <w:r>
        <w:rPr>
          <w:spacing w:val="-12"/>
        </w:rPr>
        <w:t xml:space="preserve"> </w:t>
      </w:r>
      <w:r>
        <w:rPr>
          <w:spacing w:val="-12"/>
        </w:rPr>
        <w:t>的规定。</w:t>
      </w:r>
      <w:r>
        <w:t xml:space="preserve"> </w:t>
      </w:r>
    </w:p>
    <w:p w14:paraId="4262240F" w14:textId="77777777" w:rsidR="00A71EEF" w:rsidRDefault="0081115D">
      <w:pPr>
        <w:pStyle w:val="a4"/>
        <w:numPr>
          <w:ilvl w:val="2"/>
          <w:numId w:val="817"/>
        </w:numPr>
        <w:tabs>
          <w:tab w:val="left" w:pos="1371"/>
        </w:tabs>
        <w:spacing w:line="265" w:lineRule="exact"/>
        <w:rPr>
          <w:sz w:val="21"/>
        </w:rPr>
      </w:pPr>
      <w:r>
        <w:rPr>
          <w:spacing w:val="-3"/>
          <w:sz w:val="21"/>
        </w:rPr>
        <w:t>扶手</w:t>
      </w:r>
      <w:r>
        <w:rPr>
          <w:sz w:val="21"/>
        </w:rPr>
        <w:t xml:space="preserve"> </w:t>
      </w:r>
    </w:p>
    <w:p w14:paraId="4A0E2B6A" w14:textId="77777777" w:rsidR="00A71EEF" w:rsidRDefault="00A71EEF">
      <w:pPr>
        <w:pStyle w:val="a3"/>
        <w:spacing w:before="2"/>
        <w:rPr>
          <w:sz w:val="18"/>
        </w:rPr>
      </w:pPr>
    </w:p>
    <w:p w14:paraId="1CA464CA" w14:textId="77777777" w:rsidR="00A71EEF" w:rsidRDefault="0081115D">
      <w:pPr>
        <w:pStyle w:val="a4"/>
        <w:numPr>
          <w:ilvl w:val="3"/>
          <w:numId w:val="817"/>
        </w:numPr>
        <w:tabs>
          <w:tab w:val="left" w:pos="1576"/>
        </w:tabs>
        <w:spacing w:line="446" w:lineRule="auto"/>
        <w:ind w:right="1507" w:firstLine="419"/>
        <w:rPr>
          <w:sz w:val="21"/>
        </w:rPr>
      </w:pPr>
      <w:r>
        <w:rPr>
          <w:spacing w:val="-9"/>
          <w:sz w:val="21"/>
        </w:rPr>
        <w:t>试验时扶手通过</w:t>
      </w:r>
      <w:r>
        <w:rPr>
          <w:spacing w:val="-9"/>
          <w:sz w:val="21"/>
        </w:rPr>
        <w:t xml:space="preserve"> </w:t>
      </w:r>
      <w:r>
        <w:rPr>
          <w:sz w:val="21"/>
        </w:rPr>
        <w:t>30mm</w:t>
      </w:r>
      <w:r>
        <w:rPr>
          <w:spacing w:val="-8"/>
          <w:sz w:val="21"/>
        </w:rPr>
        <w:t xml:space="preserve"> </w:t>
      </w:r>
      <w:r>
        <w:rPr>
          <w:spacing w:val="-8"/>
          <w:sz w:val="21"/>
        </w:rPr>
        <w:t>宽的帆布带与拉力计相连，通过拉力计和帆布带向被测扶手</w:t>
      </w:r>
      <w:r>
        <w:rPr>
          <w:spacing w:val="-10"/>
          <w:sz w:val="21"/>
        </w:rPr>
        <w:t>加载，当拉力达到</w:t>
      </w:r>
      <w:r>
        <w:rPr>
          <w:spacing w:val="-10"/>
          <w:sz w:val="21"/>
        </w:rPr>
        <w:t xml:space="preserve"> </w:t>
      </w:r>
      <w:r>
        <w:rPr>
          <w:sz w:val="21"/>
        </w:rPr>
        <w:t>100kg</w:t>
      </w:r>
      <w:r>
        <w:rPr>
          <w:spacing w:val="-13"/>
          <w:sz w:val="21"/>
        </w:rPr>
        <w:t xml:space="preserve"> </w:t>
      </w:r>
      <w:r>
        <w:rPr>
          <w:spacing w:val="-13"/>
          <w:sz w:val="21"/>
        </w:rPr>
        <w:t>后停止加载并保持</w:t>
      </w:r>
      <w:r>
        <w:rPr>
          <w:spacing w:val="-13"/>
          <w:sz w:val="21"/>
        </w:rPr>
        <w:t xml:space="preserve"> </w:t>
      </w:r>
      <w:r>
        <w:rPr>
          <w:spacing w:val="-3"/>
          <w:sz w:val="21"/>
        </w:rPr>
        <w:t>3</w:t>
      </w:r>
      <w:r>
        <w:rPr>
          <w:spacing w:val="11"/>
          <w:sz w:val="21"/>
        </w:rPr>
        <w:t xml:space="preserve"> </w:t>
      </w:r>
      <w:r>
        <w:rPr>
          <w:sz w:val="21"/>
        </w:rPr>
        <w:t>min</w:t>
      </w:r>
      <w:r>
        <w:rPr>
          <w:spacing w:val="-3"/>
          <w:sz w:val="21"/>
        </w:rPr>
        <w:t>，加载速度应均匀，判断试验结果是否符合</w:t>
      </w:r>
    </w:p>
    <w:p w14:paraId="69BB66B5" w14:textId="77777777" w:rsidR="00A71EEF" w:rsidRDefault="0081115D">
      <w:pPr>
        <w:pStyle w:val="a3"/>
        <w:spacing w:line="267" w:lineRule="exact"/>
        <w:ind w:left="418"/>
      </w:pPr>
      <w:r>
        <w:t xml:space="preserve">5.5.5.1 </w:t>
      </w:r>
      <w:r>
        <w:t>的规定。</w:t>
      </w:r>
      <w:r>
        <w:t xml:space="preserve"> </w:t>
      </w:r>
    </w:p>
    <w:p w14:paraId="556018FA" w14:textId="77777777" w:rsidR="00A71EEF" w:rsidRDefault="00A71EEF">
      <w:pPr>
        <w:pStyle w:val="a3"/>
        <w:spacing w:before="2"/>
        <w:rPr>
          <w:sz w:val="18"/>
        </w:rPr>
      </w:pPr>
    </w:p>
    <w:p w14:paraId="62AB05E3" w14:textId="77777777" w:rsidR="00A71EEF" w:rsidRDefault="0081115D">
      <w:pPr>
        <w:pStyle w:val="a4"/>
        <w:numPr>
          <w:ilvl w:val="3"/>
          <w:numId w:val="815"/>
        </w:numPr>
        <w:tabs>
          <w:tab w:val="left" w:pos="1576"/>
        </w:tabs>
        <w:spacing w:line="446" w:lineRule="auto"/>
        <w:ind w:right="1609" w:firstLine="419"/>
        <w:rPr>
          <w:sz w:val="21"/>
        </w:rPr>
      </w:pPr>
      <w:r>
        <w:rPr>
          <w:spacing w:val="-3"/>
          <w:sz w:val="21"/>
        </w:rPr>
        <w:t>目测检查乘员扶手数量，佩戴消防防护手套，检查各扶手是否可以牢靠的抓持，</w:t>
      </w:r>
      <w:r>
        <w:rPr>
          <w:spacing w:val="-3"/>
          <w:sz w:val="21"/>
        </w:rPr>
        <w:t xml:space="preserve"> </w:t>
      </w:r>
      <w:r>
        <w:rPr>
          <w:spacing w:val="-8"/>
          <w:sz w:val="21"/>
        </w:rPr>
        <w:t>判断试验结果是否符合</w:t>
      </w:r>
      <w:r>
        <w:rPr>
          <w:spacing w:val="-8"/>
          <w:sz w:val="21"/>
        </w:rPr>
        <w:t xml:space="preserve"> </w:t>
      </w:r>
      <w:r>
        <w:rPr>
          <w:sz w:val="21"/>
        </w:rPr>
        <w:t>5.5.5.2</w:t>
      </w:r>
      <w:r>
        <w:rPr>
          <w:spacing w:val="-13"/>
          <w:sz w:val="21"/>
        </w:rPr>
        <w:t xml:space="preserve"> </w:t>
      </w:r>
      <w:r>
        <w:rPr>
          <w:spacing w:val="-13"/>
          <w:sz w:val="21"/>
        </w:rPr>
        <w:t>的规定。</w:t>
      </w:r>
      <w:r>
        <w:rPr>
          <w:sz w:val="21"/>
        </w:rPr>
        <w:t xml:space="preserve"> </w:t>
      </w:r>
    </w:p>
    <w:p w14:paraId="560DB1DA" w14:textId="77777777" w:rsidR="00A71EEF" w:rsidRDefault="0081115D">
      <w:pPr>
        <w:pStyle w:val="a4"/>
        <w:numPr>
          <w:ilvl w:val="3"/>
          <w:numId w:val="815"/>
        </w:numPr>
        <w:tabs>
          <w:tab w:val="left" w:pos="1576"/>
        </w:tabs>
        <w:spacing w:line="446" w:lineRule="auto"/>
        <w:ind w:right="1613" w:firstLine="419"/>
        <w:rPr>
          <w:sz w:val="21"/>
        </w:rPr>
      </w:pPr>
      <w:r>
        <w:rPr>
          <w:spacing w:val="-5"/>
          <w:sz w:val="21"/>
        </w:rPr>
        <w:t>检查扶手在乘员乘坐时是否可以方便抓持，判断试验结果是否符合</w:t>
      </w:r>
      <w:r>
        <w:rPr>
          <w:spacing w:val="-5"/>
          <w:sz w:val="21"/>
        </w:rPr>
        <w:t xml:space="preserve"> </w:t>
      </w:r>
      <w:r>
        <w:rPr>
          <w:sz w:val="21"/>
        </w:rPr>
        <w:t>5.5.5.3</w:t>
      </w:r>
      <w:r>
        <w:rPr>
          <w:spacing w:val="-17"/>
          <w:sz w:val="21"/>
        </w:rPr>
        <w:t xml:space="preserve"> </w:t>
      </w:r>
      <w:r>
        <w:rPr>
          <w:spacing w:val="-17"/>
          <w:sz w:val="21"/>
        </w:rPr>
        <w:t>的规</w:t>
      </w:r>
      <w:r>
        <w:rPr>
          <w:spacing w:val="-2"/>
          <w:sz w:val="21"/>
        </w:rPr>
        <w:t>定。</w:t>
      </w:r>
      <w:r>
        <w:rPr>
          <w:sz w:val="21"/>
        </w:rPr>
        <w:t xml:space="preserve"> </w:t>
      </w:r>
    </w:p>
    <w:p w14:paraId="666CD09C" w14:textId="77777777" w:rsidR="00A71EEF" w:rsidRDefault="0081115D">
      <w:pPr>
        <w:pStyle w:val="a4"/>
        <w:numPr>
          <w:ilvl w:val="3"/>
          <w:numId w:val="815"/>
        </w:numPr>
        <w:tabs>
          <w:tab w:val="left" w:pos="1576"/>
        </w:tabs>
        <w:spacing w:line="446" w:lineRule="auto"/>
        <w:ind w:right="1609" w:firstLine="419"/>
        <w:rPr>
          <w:sz w:val="21"/>
        </w:rPr>
      </w:pPr>
      <w:r>
        <w:rPr>
          <w:spacing w:val="-3"/>
          <w:sz w:val="21"/>
        </w:rPr>
        <w:t>目测检查是否有上、下车扶手，并佩戴消防防护手套检查是否可以牢靠的抓持，</w:t>
      </w:r>
      <w:r>
        <w:rPr>
          <w:spacing w:val="-3"/>
          <w:sz w:val="21"/>
        </w:rPr>
        <w:t xml:space="preserve"> </w:t>
      </w:r>
      <w:r>
        <w:rPr>
          <w:spacing w:val="-8"/>
          <w:sz w:val="21"/>
        </w:rPr>
        <w:t>判断试验结果是否符合</w:t>
      </w:r>
      <w:r>
        <w:rPr>
          <w:spacing w:val="-8"/>
          <w:sz w:val="21"/>
        </w:rPr>
        <w:t xml:space="preserve"> </w:t>
      </w:r>
      <w:r>
        <w:rPr>
          <w:sz w:val="21"/>
        </w:rPr>
        <w:t>5.5.5.4</w:t>
      </w:r>
      <w:r>
        <w:rPr>
          <w:spacing w:val="-3"/>
          <w:sz w:val="21"/>
        </w:rPr>
        <w:t xml:space="preserve"> </w:t>
      </w:r>
      <w:r>
        <w:rPr>
          <w:spacing w:val="-3"/>
          <w:sz w:val="21"/>
        </w:rPr>
        <w:t>的规定。</w:t>
      </w:r>
      <w:r>
        <w:rPr>
          <w:sz w:val="21"/>
        </w:rPr>
        <w:t xml:space="preserve"> </w:t>
      </w:r>
    </w:p>
    <w:p w14:paraId="778BD765" w14:textId="77777777" w:rsidR="00A71EEF" w:rsidRDefault="0081115D">
      <w:pPr>
        <w:pStyle w:val="a4"/>
        <w:numPr>
          <w:ilvl w:val="3"/>
          <w:numId w:val="815"/>
        </w:numPr>
        <w:tabs>
          <w:tab w:val="left" w:pos="1576"/>
        </w:tabs>
        <w:spacing w:line="446" w:lineRule="auto"/>
        <w:ind w:right="1609" w:firstLine="419"/>
        <w:rPr>
          <w:sz w:val="21"/>
        </w:rPr>
      </w:pPr>
      <w:r>
        <w:rPr>
          <w:spacing w:val="-3"/>
          <w:sz w:val="21"/>
        </w:rPr>
        <w:t>检查扶手材料，检查金属扶手是否包敷非金属层，是否有防滑花纹，判断试验结</w:t>
      </w:r>
      <w:r>
        <w:rPr>
          <w:spacing w:val="-12"/>
          <w:sz w:val="21"/>
        </w:rPr>
        <w:t>果是否符合</w:t>
      </w:r>
      <w:r>
        <w:rPr>
          <w:spacing w:val="-12"/>
          <w:sz w:val="21"/>
        </w:rPr>
        <w:t xml:space="preserve"> </w:t>
      </w:r>
      <w:r>
        <w:rPr>
          <w:sz w:val="21"/>
        </w:rPr>
        <w:t>5.5.5.5</w:t>
      </w:r>
      <w:r>
        <w:rPr>
          <w:spacing w:val="-12"/>
          <w:sz w:val="21"/>
        </w:rPr>
        <w:t xml:space="preserve"> </w:t>
      </w:r>
      <w:r>
        <w:rPr>
          <w:spacing w:val="-12"/>
          <w:sz w:val="21"/>
        </w:rPr>
        <w:t>的规定。</w:t>
      </w:r>
      <w:r>
        <w:rPr>
          <w:spacing w:val="-12"/>
          <w:sz w:val="21"/>
        </w:rPr>
        <w:t xml:space="preserve"> </w:t>
      </w:r>
    </w:p>
    <w:p w14:paraId="4AD33F04" w14:textId="77777777" w:rsidR="00A71EEF" w:rsidRDefault="0081115D">
      <w:pPr>
        <w:pStyle w:val="a4"/>
        <w:numPr>
          <w:ilvl w:val="2"/>
          <w:numId w:val="817"/>
        </w:numPr>
        <w:tabs>
          <w:tab w:val="left" w:pos="1371"/>
        </w:tabs>
        <w:spacing w:line="267" w:lineRule="exact"/>
        <w:rPr>
          <w:sz w:val="21"/>
        </w:rPr>
      </w:pPr>
      <w:r>
        <w:rPr>
          <w:spacing w:val="-3"/>
          <w:sz w:val="21"/>
        </w:rPr>
        <w:t>驾乘室强度和刚度</w:t>
      </w:r>
      <w:r>
        <w:rPr>
          <w:sz w:val="21"/>
        </w:rPr>
        <w:t xml:space="preserve"> </w:t>
      </w:r>
    </w:p>
    <w:p w14:paraId="25256A13" w14:textId="77777777" w:rsidR="00A71EEF" w:rsidRDefault="00A71EEF">
      <w:pPr>
        <w:spacing w:line="267" w:lineRule="exact"/>
        <w:rPr>
          <w:sz w:val="21"/>
        </w:rPr>
        <w:sectPr w:rsidR="00A71EEF">
          <w:pgSz w:w="11910" w:h="16850"/>
          <w:pgMar w:top="1220" w:right="0" w:bottom="1420" w:left="1260" w:header="0" w:footer="1239" w:gutter="0"/>
          <w:cols w:space="720"/>
        </w:sectPr>
      </w:pPr>
    </w:p>
    <w:p w14:paraId="27632AC7" w14:textId="77777777" w:rsidR="00A71EEF" w:rsidRDefault="0081115D">
      <w:pPr>
        <w:pStyle w:val="a4"/>
        <w:numPr>
          <w:ilvl w:val="3"/>
          <w:numId w:val="817"/>
        </w:numPr>
        <w:tabs>
          <w:tab w:val="left" w:pos="1576"/>
        </w:tabs>
        <w:spacing w:before="47"/>
        <w:ind w:left="1575"/>
        <w:rPr>
          <w:sz w:val="21"/>
        </w:rPr>
      </w:pPr>
      <w:r>
        <w:rPr>
          <w:spacing w:val="-5"/>
          <w:sz w:val="21"/>
        </w:rPr>
        <w:lastRenderedPageBreak/>
        <w:t>目测检查乘员室顶部是否有防滑措施。将乘员室顶部从中间向四周按每块</w:t>
      </w:r>
      <w:r>
        <w:rPr>
          <w:spacing w:val="-5"/>
          <w:sz w:val="21"/>
        </w:rPr>
        <w:t xml:space="preserve"> </w:t>
      </w:r>
      <w:r>
        <w:rPr>
          <w:sz w:val="21"/>
        </w:rPr>
        <w:t>300</w:t>
      </w:r>
      <w:r>
        <w:rPr>
          <w:spacing w:val="2"/>
          <w:sz w:val="21"/>
        </w:rPr>
        <w:t xml:space="preserve"> </w:t>
      </w:r>
      <w:r>
        <w:rPr>
          <w:sz w:val="21"/>
        </w:rPr>
        <w:t>mm</w:t>
      </w:r>
    </w:p>
    <w:p w14:paraId="226CDFE6" w14:textId="77777777" w:rsidR="00A71EEF" w:rsidRDefault="00A71EEF">
      <w:pPr>
        <w:pStyle w:val="a3"/>
        <w:rPr>
          <w:sz w:val="18"/>
        </w:rPr>
      </w:pPr>
    </w:p>
    <w:p w14:paraId="45D63898" w14:textId="77777777" w:rsidR="00A71EEF" w:rsidRDefault="0081115D">
      <w:pPr>
        <w:pStyle w:val="a3"/>
        <w:spacing w:line="446" w:lineRule="auto"/>
        <w:ind w:left="418" w:right="1508"/>
      </w:pPr>
      <w:r>
        <w:t>×200 mm</w:t>
      </w:r>
      <w:r>
        <w:rPr>
          <w:spacing w:val="-11"/>
        </w:rPr>
        <w:t xml:space="preserve"> </w:t>
      </w:r>
      <w:r>
        <w:rPr>
          <w:spacing w:val="-11"/>
        </w:rPr>
        <w:t>尺寸进行标记，在标记的任一块中放置</w:t>
      </w:r>
      <w:r>
        <w:rPr>
          <w:spacing w:val="-11"/>
        </w:rPr>
        <w:t xml:space="preserve"> </w:t>
      </w:r>
      <w:r>
        <w:t>100kg</w:t>
      </w:r>
      <w:r>
        <w:rPr>
          <w:spacing w:val="-12"/>
        </w:rPr>
        <w:t xml:space="preserve"> </w:t>
      </w:r>
      <w:r>
        <w:rPr>
          <w:spacing w:val="-12"/>
        </w:rPr>
        <w:t>砝码，</w:t>
      </w:r>
      <w:r>
        <w:t>5min</w:t>
      </w:r>
      <w:r>
        <w:rPr>
          <w:spacing w:val="-8"/>
        </w:rPr>
        <w:t xml:space="preserve"> </w:t>
      </w:r>
      <w:r>
        <w:rPr>
          <w:spacing w:val="-8"/>
        </w:rPr>
        <w:t>后取下砝码目测放置砝码区</w:t>
      </w:r>
      <w:r>
        <w:rPr>
          <w:spacing w:val="-5"/>
        </w:rPr>
        <w:t>域是否有结构破坏或可见的永久变形，然后逐一在每个区域重复进行上述试验，对于标记区域</w:t>
      </w:r>
      <w:r>
        <w:rPr>
          <w:spacing w:val="-8"/>
        </w:rPr>
        <w:t>时乘员室顶部边缘不够</w:t>
      </w:r>
      <w:r>
        <w:rPr>
          <w:spacing w:val="-8"/>
        </w:rPr>
        <w:t xml:space="preserve"> </w:t>
      </w:r>
      <w:r>
        <w:t>300mm×200mm</w:t>
      </w:r>
      <w:r>
        <w:rPr>
          <w:spacing w:val="-10"/>
        </w:rPr>
        <w:t xml:space="preserve"> </w:t>
      </w:r>
      <w:r>
        <w:rPr>
          <w:spacing w:val="-10"/>
        </w:rPr>
        <w:t>尺寸的区域不进行试验，判断试验结果是否符合</w:t>
      </w:r>
      <w:r>
        <w:rPr>
          <w:spacing w:val="-10"/>
        </w:rPr>
        <w:t xml:space="preserve"> </w:t>
      </w:r>
      <w:r>
        <w:t xml:space="preserve">5.5.6.1 </w:t>
      </w:r>
      <w:r>
        <w:rPr>
          <w:spacing w:val="-2"/>
        </w:rPr>
        <w:t>的规定。</w:t>
      </w:r>
      <w:r>
        <w:t xml:space="preserve"> </w:t>
      </w:r>
    </w:p>
    <w:p w14:paraId="46460858" w14:textId="77777777" w:rsidR="00A71EEF" w:rsidRDefault="0081115D">
      <w:pPr>
        <w:pStyle w:val="a4"/>
        <w:numPr>
          <w:ilvl w:val="3"/>
          <w:numId w:val="817"/>
        </w:numPr>
        <w:tabs>
          <w:tab w:val="left" w:pos="1576"/>
        </w:tabs>
        <w:spacing w:line="266" w:lineRule="exact"/>
        <w:ind w:left="1575"/>
        <w:rPr>
          <w:sz w:val="21"/>
        </w:rPr>
      </w:pPr>
      <w:r>
        <w:rPr>
          <w:spacing w:val="-6"/>
          <w:sz w:val="21"/>
        </w:rPr>
        <w:t>检查原驾乘室结构和材质，判断试验结果是否符合</w:t>
      </w:r>
      <w:r>
        <w:rPr>
          <w:spacing w:val="-6"/>
          <w:sz w:val="21"/>
        </w:rPr>
        <w:t xml:space="preserve"> </w:t>
      </w:r>
      <w:r>
        <w:rPr>
          <w:sz w:val="21"/>
        </w:rPr>
        <w:t>5.5.6.2</w:t>
      </w:r>
      <w:r>
        <w:rPr>
          <w:spacing w:val="-12"/>
          <w:sz w:val="21"/>
        </w:rPr>
        <w:t xml:space="preserve"> </w:t>
      </w:r>
      <w:r>
        <w:rPr>
          <w:spacing w:val="-12"/>
          <w:sz w:val="21"/>
        </w:rPr>
        <w:t>的规定。</w:t>
      </w:r>
      <w:r>
        <w:rPr>
          <w:spacing w:val="-12"/>
          <w:sz w:val="21"/>
        </w:rPr>
        <w:t xml:space="preserve"> </w:t>
      </w:r>
    </w:p>
    <w:p w14:paraId="07BAEBBE" w14:textId="77777777" w:rsidR="00A71EEF" w:rsidRDefault="00A71EEF">
      <w:pPr>
        <w:pStyle w:val="a3"/>
        <w:spacing w:before="2"/>
        <w:rPr>
          <w:sz w:val="18"/>
        </w:rPr>
      </w:pPr>
    </w:p>
    <w:p w14:paraId="28F28E59" w14:textId="77777777" w:rsidR="00A71EEF" w:rsidRDefault="0081115D">
      <w:pPr>
        <w:pStyle w:val="a4"/>
        <w:numPr>
          <w:ilvl w:val="2"/>
          <w:numId w:val="817"/>
        </w:numPr>
        <w:tabs>
          <w:tab w:val="left" w:pos="1370"/>
        </w:tabs>
        <w:ind w:left="1369" w:hanging="530"/>
        <w:rPr>
          <w:sz w:val="21"/>
        </w:rPr>
      </w:pPr>
      <w:r>
        <w:rPr>
          <w:spacing w:val="-3"/>
          <w:sz w:val="21"/>
        </w:rPr>
        <w:t>驾乘室内外部操作试验</w:t>
      </w:r>
      <w:r>
        <w:rPr>
          <w:sz w:val="21"/>
        </w:rPr>
        <w:t xml:space="preserve"> </w:t>
      </w:r>
    </w:p>
    <w:p w14:paraId="7C4BBA41" w14:textId="77777777" w:rsidR="00A71EEF" w:rsidRDefault="00A71EEF">
      <w:pPr>
        <w:pStyle w:val="a3"/>
        <w:rPr>
          <w:sz w:val="18"/>
        </w:rPr>
      </w:pPr>
    </w:p>
    <w:p w14:paraId="00354C39" w14:textId="77777777" w:rsidR="00A71EEF" w:rsidRDefault="0081115D">
      <w:pPr>
        <w:pStyle w:val="a4"/>
        <w:numPr>
          <w:ilvl w:val="3"/>
          <w:numId w:val="817"/>
        </w:numPr>
        <w:tabs>
          <w:tab w:val="left" w:pos="1576"/>
        </w:tabs>
        <w:spacing w:line="446" w:lineRule="auto"/>
        <w:ind w:right="1508" w:firstLine="419"/>
        <w:jc w:val="both"/>
        <w:rPr>
          <w:sz w:val="21"/>
        </w:rPr>
      </w:pPr>
      <w:r>
        <w:rPr>
          <w:spacing w:val="-2"/>
          <w:sz w:val="21"/>
        </w:rPr>
        <w:t>佩戴消防防护手套，检查驾</w:t>
      </w:r>
      <w:r>
        <w:rPr>
          <w:spacing w:val="-2"/>
          <w:sz w:val="21"/>
        </w:rPr>
        <w:t>乘室内部的灯开关、警灯、警报器开关、储物箱开</w:t>
      </w:r>
      <w:r>
        <w:rPr>
          <w:spacing w:val="-2"/>
          <w:sz w:val="21"/>
        </w:rPr>
        <w:t xml:space="preserve"> </w:t>
      </w:r>
      <w:r>
        <w:rPr>
          <w:spacing w:val="-2"/>
          <w:sz w:val="21"/>
        </w:rPr>
        <w:t>关</w:t>
      </w:r>
      <w:r>
        <w:rPr>
          <w:spacing w:val="-5"/>
          <w:sz w:val="21"/>
        </w:rPr>
        <w:t>、抽拉板拉手、启闭车门、车窗等是否操作方便，判断试验结果是否符合</w:t>
      </w:r>
      <w:r>
        <w:rPr>
          <w:spacing w:val="-5"/>
          <w:sz w:val="21"/>
        </w:rPr>
        <w:t xml:space="preserve"> </w:t>
      </w:r>
      <w:r>
        <w:rPr>
          <w:sz w:val="21"/>
        </w:rPr>
        <w:t>5.5.7.1</w:t>
      </w:r>
      <w:r>
        <w:rPr>
          <w:spacing w:val="-12"/>
          <w:sz w:val="21"/>
        </w:rPr>
        <w:t xml:space="preserve"> </w:t>
      </w:r>
      <w:r>
        <w:rPr>
          <w:spacing w:val="-12"/>
          <w:sz w:val="21"/>
        </w:rPr>
        <w:t>的规定。</w:t>
      </w:r>
      <w:r>
        <w:rPr>
          <w:sz w:val="21"/>
        </w:rPr>
        <w:t xml:space="preserve"> </w:t>
      </w:r>
    </w:p>
    <w:p w14:paraId="17B9DCE2" w14:textId="77777777" w:rsidR="00A71EEF" w:rsidRDefault="0081115D">
      <w:pPr>
        <w:pStyle w:val="a4"/>
        <w:numPr>
          <w:ilvl w:val="3"/>
          <w:numId w:val="817"/>
        </w:numPr>
        <w:tabs>
          <w:tab w:val="left" w:pos="1576"/>
        </w:tabs>
        <w:spacing w:line="446" w:lineRule="auto"/>
        <w:ind w:right="1608" w:firstLine="419"/>
        <w:jc w:val="both"/>
        <w:rPr>
          <w:sz w:val="21"/>
        </w:rPr>
      </w:pPr>
      <w:r>
        <w:rPr>
          <w:spacing w:val="-3"/>
          <w:sz w:val="21"/>
        </w:rPr>
        <w:t>检查驾乘室座椅后部是否安装空气呼吸器，是否有机械锁止机构将空气呼吸器锁住，佩戴消防防护手套，是否可以方便地接触到机械锁止机构的解除手柄并方便操作，判断试</w:t>
      </w:r>
      <w:r>
        <w:rPr>
          <w:spacing w:val="-10"/>
          <w:sz w:val="21"/>
        </w:rPr>
        <w:t>验结果是否符合</w:t>
      </w:r>
      <w:r>
        <w:rPr>
          <w:spacing w:val="-10"/>
          <w:sz w:val="21"/>
        </w:rPr>
        <w:t xml:space="preserve"> </w:t>
      </w:r>
      <w:r>
        <w:rPr>
          <w:sz w:val="21"/>
        </w:rPr>
        <w:t>5.5.7.2</w:t>
      </w:r>
      <w:r>
        <w:rPr>
          <w:spacing w:val="-13"/>
          <w:sz w:val="21"/>
        </w:rPr>
        <w:t xml:space="preserve"> </w:t>
      </w:r>
      <w:r>
        <w:rPr>
          <w:spacing w:val="-13"/>
          <w:sz w:val="21"/>
        </w:rPr>
        <w:t>的规定。</w:t>
      </w:r>
      <w:r>
        <w:rPr>
          <w:sz w:val="21"/>
        </w:rPr>
        <w:t xml:space="preserve"> </w:t>
      </w:r>
    </w:p>
    <w:p w14:paraId="505B8A17" w14:textId="77777777" w:rsidR="00A71EEF" w:rsidRDefault="0081115D">
      <w:pPr>
        <w:pStyle w:val="a4"/>
        <w:numPr>
          <w:ilvl w:val="3"/>
          <w:numId w:val="817"/>
        </w:numPr>
        <w:tabs>
          <w:tab w:val="left" w:pos="1576"/>
        </w:tabs>
        <w:spacing w:line="446" w:lineRule="auto"/>
        <w:ind w:right="1609" w:firstLine="419"/>
        <w:jc w:val="both"/>
        <w:rPr>
          <w:sz w:val="21"/>
        </w:rPr>
      </w:pPr>
      <w:r>
        <w:rPr>
          <w:spacing w:val="-3"/>
          <w:sz w:val="21"/>
        </w:rPr>
        <w:t>检查驾乘室的翻转机构、操作说明及翻转保护机构，使用角度仪测量驾乘室从行</w:t>
      </w:r>
      <w:r>
        <w:rPr>
          <w:spacing w:val="-5"/>
          <w:sz w:val="21"/>
        </w:rPr>
        <w:t>车位置翻转至最大翻转角的角度，判断试验结果是否符合</w:t>
      </w:r>
      <w:r>
        <w:rPr>
          <w:spacing w:val="-5"/>
          <w:sz w:val="21"/>
        </w:rPr>
        <w:t xml:space="preserve"> </w:t>
      </w:r>
      <w:r>
        <w:rPr>
          <w:sz w:val="21"/>
        </w:rPr>
        <w:t>5.5.7.3</w:t>
      </w:r>
      <w:r>
        <w:rPr>
          <w:spacing w:val="-13"/>
          <w:sz w:val="21"/>
        </w:rPr>
        <w:t xml:space="preserve"> </w:t>
      </w:r>
      <w:r>
        <w:rPr>
          <w:spacing w:val="-13"/>
          <w:sz w:val="21"/>
        </w:rPr>
        <w:t>的规定。</w:t>
      </w:r>
      <w:r>
        <w:rPr>
          <w:sz w:val="21"/>
        </w:rPr>
        <w:t xml:space="preserve"> </w:t>
      </w:r>
    </w:p>
    <w:p w14:paraId="62CD8135" w14:textId="77777777" w:rsidR="00A71EEF" w:rsidRDefault="0081115D">
      <w:pPr>
        <w:pStyle w:val="a4"/>
        <w:numPr>
          <w:ilvl w:val="2"/>
          <w:numId w:val="817"/>
        </w:numPr>
        <w:tabs>
          <w:tab w:val="left" w:pos="1370"/>
        </w:tabs>
        <w:spacing w:line="267" w:lineRule="exact"/>
        <w:ind w:left="1369" w:hanging="530"/>
        <w:rPr>
          <w:sz w:val="21"/>
        </w:rPr>
      </w:pPr>
      <w:r>
        <w:rPr>
          <w:spacing w:val="-3"/>
          <w:sz w:val="21"/>
        </w:rPr>
        <w:t>安全要求</w:t>
      </w:r>
      <w:r>
        <w:rPr>
          <w:sz w:val="21"/>
        </w:rPr>
        <w:t xml:space="preserve"> </w:t>
      </w:r>
    </w:p>
    <w:p w14:paraId="00E2AD0B" w14:textId="77777777" w:rsidR="00A71EEF" w:rsidRDefault="00A71EEF">
      <w:pPr>
        <w:pStyle w:val="a3"/>
        <w:rPr>
          <w:sz w:val="18"/>
        </w:rPr>
      </w:pPr>
    </w:p>
    <w:p w14:paraId="131529DC" w14:textId="77777777" w:rsidR="00A71EEF" w:rsidRDefault="0081115D">
      <w:pPr>
        <w:pStyle w:val="a4"/>
        <w:numPr>
          <w:ilvl w:val="3"/>
          <w:numId w:val="817"/>
        </w:numPr>
        <w:tabs>
          <w:tab w:val="left" w:pos="1576"/>
        </w:tabs>
        <w:spacing w:before="1" w:line="446" w:lineRule="auto"/>
        <w:ind w:right="1609" w:firstLine="419"/>
        <w:rPr>
          <w:sz w:val="21"/>
        </w:rPr>
      </w:pPr>
      <w:r>
        <w:rPr>
          <w:spacing w:val="-3"/>
          <w:sz w:val="21"/>
        </w:rPr>
        <w:t>目测检查驾驶员可见位置处是否有发动机温度和润滑油位异常声光报警装置，判</w:t>
      </w:r>
      <w:r>
        <w:rPr>
          <w:spacing w:val="-8"/>
          <w:sz w:val="21"/>
        </w:rPr>
        <w:t>断试验结果是否符合</w:t>
      </w:r>
      <w:r>
        <w:rPr>
          <w:spacing w:val="-8"/>
          <w:sz w:val="21"/>
        </w:rPr>
        <w:t xml:space="preserve"> </w:t>
      </w:r>
      <w:r>
        <w:rPr>
          <w:sz w:val="21"/>
        </w:rPr>
        <w:t>5.5.8.1</w:t>
      </w:r>
      <w:r>
        <w:rPr>
          <w:spacing w:val="-13"/>
          <w:sz w:val="21"/>
        </w:rPr>
        <w:t xml:space="preserve"> </w:t>
      </w:r>
      <w:r>
        <w:rPr>
          <w:spacing w:val="-13"/>
          <w:sz w:val="21"/>
        </w:rPr>
        <w:t>的规定。</w:t>
      </w:r>
      <w:r>
        <w:rPr>
          <w:sz w:val="21"/>
        </w:rPr>
        <w:t xml:space="preserve"> </w:t>
      </w:r>
    </w:p>
    <w:p w14:paraId="2DF38C81" w14:textId="77777777" w:rsidR="00A71EEF" w:rsidRDefault="0081115D">
      <w:pPr>
        <w:pStyle w:val="a4"/>
        <w:numPr>
          <w:ilvl w:val="3"/>
          <w:numId w:val="817"/>
        </w:numPr>
        <w:tabs>
          <w:tab w:val="left" w:pos="1576"/>
        </w:tabs>
        <w:spacing w:line="267" w:lineRule="exact"/>
        <w:ind w:left="1575"/>
        <w:rPr>
          <w:sz w:val="21"/>
        </w:rPr>
      </w:pPr>
      <w:r>
        <w:rPr>
          <w:spacing w:val="-5"/>
          <w:sz w:val="21"/>
        </w:rPr>
        <w:t>目测检查乘员室外表面是否有尖角、锐利边缘，判断试验结果是否符合</w:t>
      </w:r>
      <w:r>
        <w:rPr>
          <w:spacing w:val="-5"/>
          <w:sz w:val="21"/>
        </w:rPr>
        <w:t xml:space="preserve"> </w:t>
      </w:r>
      <w:r>
        <w:rPr>
          <w:sz w:val="21"/>
        </w:rPr>
        <w:t>5.5.8.2</w:t>
      </w:r>
    </w:p>
    <w:p w14:paraId="7361FCF3" w14:textId="77777777" w:rsidR="00A71EEF" w:rsidRDefault="00A71EEF">
      <w:pPr>
        <w:pStyle w:val="a3"/>
        <w:spacing w:before="1"/>
        <w:rPr>
          <w:sz w:val="18"/>
        </w:rPr>
      </w:pPr>
    </w:p>
    <w:p w14:paraId="1131F4CC" w14:textId="77777777" w:rsidR="00A71EEF" w:rsidRDefault="0081115D">
      <w:pPr>
        <w:pStyle w:val="a3"/>
        <w:spacing w:before="1"/>
        <w:ind w:left="418"/>
      </w:pPr>
      <w:r>
        <w:t>的规定。</w:t>
      </w:r>
      <w:r>
        <w:t xml:space="preserve"> </w:t>
      </w:r>
    </w:p>
    <w:p w14:paraId="4488F161" w14:textId="77777777" w:rsidR="00A71EEF" w:rsidRDefault="00A71EEF">
      <w:pPr>
        <w:pStyle w:val="a3"/>
        <w:spacing w:before="12"/>
        <w:rPr>
          <w:sz w:val="17"/>
        </w:rPr>
      </w:pPr>
    </w:p>
    <w:p w14:paraId="54A0E3B7" w14:textId="77777777" w:rsidR="00A71EEF" w:rsidRDefault="0081115D">
      <w:pPr>
        <w:pStyle w:val="a4"/>
        <w:numPr>
          <w:ilvl w:val="3"/>
          <w:numId w:val="817"/>
        </w:numPr>
        <w:tabs>
          <w:tab w:val="left" w:pos="1576"/>
        </w:tabs>
        <w:spacing w:before="1" w:line="446" w:lineRule="auto"/>
        <w:ind w:right="1609" w:firstLine="419"/>
        <w:rPr>
          <w:sz w:val="21"/>
        </w:rPr>
      </w:pPr>
      <w:r>
        <w:rPr>
          <w:spacing w:val="-3"/>
          <w:sz w:val="21"/>
        </w:rPr>
        <w:t>目测检查功率输出装置装在驾驶室或乘员室下方时，两者之间是否采取了隔离，</w:t>
      </w:r>
      <w:r>
        <w:rPr>
          <w:spacing w:val="-3"/>
          <w:sz w:val="21"/>
        </w:rPr>
        <w:t xml:space="preserve"> </w:t>
      </w:r>
      <w:r>
        <w:rPr>
          <w:spacing w:val="-8"/>
          <w:sz w:val="21"/>
        </w:rPr>
        <w:t>判断试验结果是否符合</w:t>
      </w:r>
      <w:r>
        <w:rPr>
          <w:spacing w:val="-8"/>
          <w:sz w:val="21"/>
        </w:rPr>
        <w:t xml:space="preserve"> </w:t>
      </w:r>
      <w:r>
        <w:rPr>
          <w:sz w:val="21"/>
        </w:rPr>
        <w:t>5.5.8.3</w:t>
      </w:r>
      <w:r>
        <w:rPr>
          <w:spacing w:val="-13"/>
          <w:sz w:val="21"/>
        </w:rPr>
        <w:t xml:space="preserve"> </w:t>
      </w:r>
      <w:r>
        <w:rPr>
          <w:spacing w:val="-13"/>
          <w:sz w:val="21"/>
        </w:rPr>
        <w:t>的规定。</w:t>
      </w:r>
      <w:r>
        <w:rPr>
          <w:sz w:val="21"/>
        </w:rPr>
        <w:t xml:space="preserve"> </w:t>
      </w:r>
    </w:p>
    <w:p w14:paraId="3B4CB647" w14:textId="77777777" w:rsidR="00A71EEF" w:rsidRDefault="0081115D">
      <w:pPr>
        <w:pStyle w:val="a4"/>
        <w:numPr>
          <w:ilvl w:val="3"/>
          <w:numId w:val="817"/>
        </w:numPr>
        <w:tabs>
          <w:tab w:val="left" w:pos="1576"/>
        </w:tabs>
        <w:ind w:left="1575"/>
        <w:rPr>
          <w:sz w:val="21"/>
        </w:rPr>
      </w:pPr>
      <w:r>
        <w:rPr>
          <w:spacing w:val="-3"/>
          <w:sz w:val="21"/>
        </w:rPr>
        <w:t>目测检查乘员室内部是否有尖角、锐利边缘、突出物等。判断试验结果是否符合</w:t>
      </w:r>
    </w:p>
    <w:p w14:paraId="08F9909F" w14:textId="77777777" w:rsidR="00A71EEF" w:rsidRDefault="00A71EEF">
      <w:pPr>
        <w:pStyle w:val="a3"/>
        <w:spacing w:before="12"/>
        <w:rPr>
          <w:sz w:val="17"/>
        </w:rPr>
      </w:pPr>
    </w:p>
    <w:p w14:paraId="692DDA88" w14:textId="77777777" w:rsidR="00A71EEF" w:rsidRDefault="0081115D">
      <w:pPr>
        <w:pStyle w:val="a3"/>
        <w:ind w:left="418"/>
      </w:pPr>
      <w:r>
        <w:t xml:space="preserve">5.5.8.4 </w:t>
      </w:r>
      <w:r>
        <w:t>的规定。</w:t>
      </w:r>
      <w:r>
        <w:t xml:space="preserve"> </w:t>
      </w:r>
    </w:p>
    <w:p w14:paraId="1F258B25" w14:textId="77777777" w:rsidR="00A71EEF" w:rsidRDefault="00A71EEF">
      <w:pPr>
        <w:pStyle w:val="a3"/>
        <w:spacing w:before="12"/>
        <w:rPr>
          <w:sz w:val="17"/>
        </w:rPr>
      </w:pPr>
    </w:p>
    <w:p w14:paraId="7E57C7F4" w14:textId="77777777" w:rsidR="00A71EEF" w:rsidRDefault="0081115D">
      <w:pPr>
        <w:pStyle w:val="a4"/>
        <w:numPr>
          <w:ilvl w:val="3"/>
          <w:numId w:val="814"/>
        </w:numPr>
        <w:tabs>
          <w:tab w:val="left" w:pos="1576"/>
        </w:tabs>
        <w:spacing w:line="446" w:lineRule="auto"/>
        <w:ind w:right="1609" w:firstLine="419"/>
        <w:rPr>
          <w:sz w:val="21"/>
        </w:rPr>
      </w:pPr>
      <w:r>
        <w:rPr>
          <w:spacing w:val="-3"/>
          <w:sz w:val="21"/>
        </w:rPr>
        <w:t>检查乘员室内可能产生碰撞处是否进行了软化处理，检查软化层材料，并检查其</w:t>
      </w:r>
      <w:r>
        <w:rPr>
          <w:spacing w:val="-5"/>
          <w:sz w:val="21"/>
        </w:rPr>
        <w:t>国家级检验机构的的检验报告，判断试验结果是否符合</w:t>
      </w:r>
      <w:r>
        <w:rPr>
          <w:spacing w:val="-5"/>
          <w:sz w:val="21"/>
        </w:rPr>
        <w:t xml:space="preserve"> </w:t>
      </w:r>
      <w:r>
        <w:rPr>
          <w:sz w:val="21"/>
        </w:rPr>
        <w:t>5.5.8.5</w:t>
      </w:r>
      <w:r>
        <w:rPr>
          <w:spacing w:val="-13"/>
          <w:sz w:val="21"/>
        </w:rPr>
        <w:t xml:space="preserve"> </w:t>
      </w:r>
      <w:r>
        <w:rPr>
          <w:spacing w:val="-13"/>
          <w:sz w:val="21"/>
        </w:rPr>
        <w:t>的规定。</w:t>
      </w:r>
      <w:r>
        <w:rPr>
          <w:sz w:val="21"/>
        </w:rPr>
        <w:t xml:space="preserve"> </w:t>
      </w:r>
    </w:p>
    <w:p w14:paraId="089EE0B8" w14:textId="77777777" w:rsidR="00A71EEF" w:rsidRDefault="0081115D">
      <w:pPr>
        <w:pStyle w:val="a4"/>
        <w:numPr>
          <w:ilvl w:val="3"/>
          <w:numId w:val="814"/>
        </w:numPr>
        <w:tabs>
          <w:tab w:val="left" w:pos="1576"/>
        </w:tabs>
        <w:spacing w:line="446" w:lineRule="auto"/>
        <w:ind w:right="1609" w:firstLine="419"/>
        <w:rPr>
          <w:sz w:val="21"/>
        </w:rPr>
      </w:pPr>
      <w:r>
        <w:rPr>
          <w:spacing w:val="-3"/>
          <w:sz w:val="21"/>
        </w:rPr>
        <w:t>检查地板铺覆软化层材料情况，并检查其国家级检验机构的检验报告，判断试验</w:t>
      </w:r>
      <w:r>
        <w:rPr>
          <w:spacing w:val="-11"/>
          <w:sz w:val="21"/>
        </w:rPr>
        <w:t>结果是否符合</w:t>
      </w:r>
      <w:r>
        <w:rPr>
          <w:spacing w:val="-11"/>
          <w:sz w:val="21"/>
        </w:rPr>
        <w:t xml:space="preserve"> </w:t>
      </w:r>
      <w:r>
        <w:rPr>
          <w:sz w:val="21"/>
        </w:rPr>
        <w:t>5.5.8.6</w:t>
      </w:r>
      <w:r>
        <w:rPr>
          <w:spacing w:val="-12"/>
          <w:sz w:val="21"/>
        </w:rPr>
        <w:t xml:space="preserve"> </w:t>
      </w:r>
      <w:r>
        <w:rPr>
          <w:spacing w:val="-12"/>
          <w:sz w:val="21"/>
        </w:rPr>
        <w:t>的规定。</w:t>
      </w:r>
      <w:r>
        <w:rPr>
          <w:spacing w:val="-12"/>
          <w:sz w:val="21"/>
        </w:rPr>
        <w:t xml:space="preserve"> </w:t>
      </w:r>
    </w:p>
    <w:p w14:paraId="521F96BC" w14:textId="77777777" w:rsidR="00A71EEF" w:rsidRDefault="00A71EEF">
      <w:pPr>
        <w:spacing w:line="446" w:lineRule="auto"/>
        <w:rPr>
          <w:sz w:val="21"/>
        </w:rPr>
        <w:sectPr w:rsidR="00A71EEF">
          <w:pgSz w:w="11910" w:h="16850"/>
          <w:pgMar w:top="1220" w:right="0" w:bottom="1420" w:left="1260" w:header="0" w:footer="1239" w:gutter="0"/>
          <w:cols w:space="720"/>
        </w:sectPr>
      </w:pPr>
    </w:p>
    <w:p w14:paraId="20E6845D" w14:textId="77777777" w:rsidR="00A71EEF" w:rsidRDefault="0081115D">
      <w:pPr>
        <w:pStyle w:val="a4"/>
        <w:numPr>
          <w:ilvl w:val="3"/>
          <w:numId w:val="814"/>
        </w:numPr>
        <w:tabs>
          <w:tab w:val="left" w:pos="1576"/>
        </w:tabs>
        <w:spacing w:before="47" w:line="446" w:lineRule="auto"/>
        <w:ind w:right="1714" w:firstLine="419"/>
        <w:jc w:val="both"/>
        <w:rPr>
          <w:sz w:val="21"/>
        </w:rPr>
      </w:pPr>
      <w:r>
        <w:rPr>
          <w:spacing w:val="-5"/>
          <w:sz w:val="21"/>
        </w:rPr>
        <w:lastRenderedPageBreak/>
        <w:t>检查乘员室内是否有打开或抽出时会向乘坐空间伸出超过</w:t>
      </w:r>
      <w:r>
        <w:rPr>
          <w:spacing w:val="-5"/>
          <w:sz w:val="21"/>
        </w:rPr>
        <w:t xml:space="preserve"> </w:t>
      </w:r>
      <w:r>
        <w:rPr>
          <w:sz w:val="21"/>
        </w:rPr>
        <w:t>250</w:t>
      </w:r>
      <w:r>
        <w:rPr>
          <w:spacing w:val="12"/>
          <w:sz w:val="21"/>
        </w:rPr>
        <w:t xml:space="preserve"> </w:t>
      </w:r>
      <w:r>
        <w:rPr>
          <w:sz w:val="21"/>
        </w:rPr>
        <w:t>mm</w:t>
      </w:r>
      <w:r>
        <w:rPr>
          <w:spacing w:val="-9"/>
          <w:sz w:val="21"/>
        </w:rPr>
        <w:t xml:space="preserve"> </w:t>
      </w:r>
      <w:r>
        <w:rPr>
          <w:spacing w:val="-9"/>
          <w:sz w:val="21"/>
        </w:rPr>
        <w:t>的储物箱或翻</w:t>
      </w:r>
      <w:r>
        <w:rPr>
          <w:spacing w:val="-8"/>
          <w:sz w:val="21"/>
        </w:rPr>
        <w:t>板，是否有明显的指示，判断试验结果是否符合</w:t>
      </w:r>
      <w:r>
        <w:rPr>
          <w:spacing w:val="-8"/>
          <w:sz w:val="21"/>
        </w:rPr>
        <w:t xml:space="preserve"> </w:t>
      </w:r>
      <w:r>
        <w:rPr>
          <w:sz w:val="21"/>
        </w:rPr>
        <w:t>5.5.8.7</w:t>
      </w:r>
      <w:r>
        <w:rPr>
          <w:spacing w:val="-13"/>
          <w:sz w:val="21"/>
        </w:rPr>
        <w:t xml:space="preserve"> </w:t>
      </w:r>
      <w:r>
        <w:rPr>
          <w:spacing w:val="-13"/>
          <w:sz w:val="21"/>
        </w:rPr>
        <w:t>的规定。</w:t>
      </w:r>
      <w:r>
        <w:rPr>
          <w:sz w:val="21"/>
        </w:rPr>
        <w:t xml:space="preserve"> </w:t>
      </w:r>
    </w:p>
    <w:p w14:paraId="4670A400" w14:textId="77777777" w:rsidR="00A71EEF" w:rsidRDefault="0081115D">
      <w:pPr>
        <w:pStyle w:val="a4"/>
        <w:numPr>
          <w:ilvl w:val="3"/>
          <w:numId w:val="814"/>
        </w:numPr>
        <w:tabs>
          <w:tab w:val="left" w:pos="1576"/>
        </w:tabs>
        <w:spacing w:line="267" w:lineRule="exact"/>
        <w:ind w:left="1575"/>
        <w:jc w:val="both"/>
        <w:rPr>
          <w:sz w:val="21"/>
        </w:rPr>
      </w:pPr>
      <w:r>
        <w:rPr>
          <w:spacing w:val="-8"/>
          <w:sz w:val="21"/>
        </w:rPr>
        <w:t>检查乘员室内高度小于</w:t>
      </w:r>
      <w:r>
        <w:rPr>
          <w:spacing w:val="-8"/>
          <w:sz w:val="21"/>
        </w:rPr>
        <w:t xml:space="preserve"> </w:t>
      </w:r>
      <w:r>
        <w:rPr>
          <w:sz w:val="21"/>
        </w:rPr>
        <w:t>300</w:t>
      </w:r>
      <w:r>
        <w:rPr>
          <w:spacing w:val="3"/>
          <w:sz w:val="21"/>
        </w:rPr>
        <w:t xml:space="preserve"> </w:t>
      </w:r>
      <w:r>
        <w:rPr>
          <w:sz w:val="21"/>
        </w:rPr>
        <w:t>mm</w:t>
      </w:r>
      <w:r>
        <w:rPr>
          <w:spacing w:val="-9"/>
          <w:sz w:val="21"/>
        </w:rPr>
        <w:t xml:space="preserve"> </w:t>
      </w:r>
      <w:r>
        <w:rPr>
          <w:spacing w:val="-9"/>
          <w:sz w:val="21"/>
        </w:rPr>
        <w:t>的物品是否有防撞防护，判断试验结果是否符合</w:t>
      </w:r>
    </w:p>
    <w:p w14:paraId="6A506106" w14:textId="77777777" w:rsidR="00A71EEF" w:rsidRDefault="00A71EEF">
      <w:pPr>
        <w:pStyle w:val="a3"/>
        <w:spacing w:before="2"/>
        <w:rPr>
          <w:sz w:val="18"/>
        </w:rPr>
      </w:pPr>
    </w:p>
    <w:p w14:paraId="28A718E5" w14:textId="77777777" w:rsidR="00A71EEF" w:rsidRDefault="0081115D">
      <w:pPr>
        <w:spacing w:line="446" w:lineRule="auto"/>
        <w:ind w:left="840" w:right="8493" w:hanging="423"/>
        <w:jc w:val="both"/>
        <w:rPr>
          <w:sz w:val="21"/>
        </w:rPr>
      </w:pPr>
      <w:r>
        <w:rPr>
          <w:sz w:val="21"/>
        </w:rPr>
        <w:t xml:space="preserve">5.5.8.8 </w:t>
      </w:r>
      <w:r>
        <w:rPr>
          <w:sz w:val="21"/>
        </w:rPr>
        <w:t>的规定。</w:t>
      </w:r>
      <w:r>
        <w:rPr>
          <w:b/>
          <w:sz w:val="21"/>
        </w:rPr>
        <w:t xml:space="preserve">6.5.8 </w:t>
      </w:r>
      <w:r>
        <w:rPr>
          <w:sz w:val="21"/>
        </w:rPr>
        <w:t>外观</w:t>
      </w:r>
      <w:r>
        <w:rPr>
          <w:sz w:val="21"/>
        </w:rPr>
        <w:t xml:space="preserve"> </w:t>
      </w:r>
    </w:p>
    <w:p w14:paraId="2D72CA61" w14:textId="77777777" w:rsidR="00A71EEF" w:rsidRDefault="0081115D">
      <w:pPr>
        <w:pStyle w:val="a4"/>
        <w:numPr>
          <w:ilvl w:val="3"/>
          <w:numId w:val="813"/>
        </w:numPr>
        <w:tabs>
          <w:tab w:val="left" w:pos="1576"/>
        </w:tabs>
        <w:spacing w:line="446" w:lineRule="auto"/>
        <w:ind w:right="1608" w:firstLine="419"/>
        <w:jc w:val="both"/>
        <w:rPr>
          <w:sz w:val="21"/>
        </w:rPr>
      </w:pPr>
      <w:r>
        <w:rPr>
          <w:spacing w:val="-3"/>
          <w:sz w:val="21"/>
        </w:rPr>
        <w:t>目测检查乘员室是否周正。以消防车车架中心线为基准，测量乘员室左、右外缘水平距离，以消防车车架左、右纵梁上平面为基准，测量距乘员室顶部的垂直距离，判断试验</w:t>
      </w:r>
      <w:r>
        <w:rPr>
          <w:spacing w:val="-11"/>
          <w:sz w:val="21"/>
        </w:rPr>
        <w:t>结果是否符合</w:t>
      </w:r>
      <w:r>
        <w:rPr>
          <w:spacing w:val="-11"/>
          <w:sz w:val="21"/>
        </w:rPr>
        <w:t xml:space="preserve"> </w:t>
      </w:r>
      <w:r>
        <w:rPr>
          <w:sz w:val="21"/>
        </w:rPr>
        <w:t>5.5.9.1</w:t>
      </w:r>
      <w:r>
        <w:rPr>
          <w:spacing w:val="-12"/>
          <w:sz w:val="21"/>
        </w:rPr>
        <w:t xml:space="preserve"> </w:t>
      </w:r>
      <w:r>
        <w:rPr>
          <w:spacing w:val="-12"/>
          <w:sz w:val="21"/>
        </w:rPr>
        <w:t>的规定。</w:t>
      </w:r>
      <w:r>
        <w:rPr>
          <w:spacing w:val="-12"/>
          <w:sz w:val="21"/>
        </w:rPr>
        <w:t xml:space="preserve"> </w:t>
      </w:r>
    </w:p>
    <w:p w14:paraId="27CAC621" w14:textId="77777777" w:rsidR="00A71EEF" w:rsidRDefault="0081115D">
      <w:pPr>
        <w:pStyle w:val="a4"/>
        <w:numPr>
          <w:ilvl w:val="3"/>
          <w:numId w:val="813"/>
        </w:numPr>
        <w:tabs>
          <w:tab w:val="left" w:pos="1576"/>
        </w:tabs>
        <w:spacing w:line="268" w:lineRule="exact"/>
        <w:ind w:left="1575"/>
        <w:jc w:val="both"/>
        <w:rPr>
          <w:sz w:val="21"/>
        </w:rPr>
      </w:pPr>
      <w:r>
        <w:rPr>
          <w:spacing w:val="-5"/>
          <w:sz w:val="21"/>
        </w:rPr>
        <w:t>目测检查乘员室外护面制造质量，判断试验结果是否符合</w:t>
      </w:r>
      <w:r>
        <w:rPr>
          <w:spacing w:val="-5"/>
          <w:sz w:val="21"/>
        </w:rPr>
        <w:t xml:space="preserve"> </w:t>
      </w:r>
      <w:r>
        <w:rPr>
          <w:sz w:val="21"/>
        </w:rPr>
        <w:t>5.5.9.2</w:t>
      </w:r>
      <w:r>
        <w:rPr>
          <w:spacing w:val="-13"/>
          <w:sz w:val="21"/>
        </w:rPr>
        <w:t xml:space="preserve"> </w:t>
      </w:r>
      <w:r>
        <w:rPr>
          <w:spacing w:val="-13"/>
          <w:sz w:val="21"/>
        </w:rPr>
        <w:t>的规定。</w:t>
      </w:r>
      <w:r>
        <w:rPr>
          <w:sz w:val="21"/>
        </w:rPr>
        <w:t xml:space="preserve"> </w:t>
      </w:r>
    </w:p>
    <w:p w14:paraId="291FA021" w14:textId="77777777" w:rsidR="00A71EEF" w:rsidRDefault="00A71EEF">
      <w:pPr>
        <w:pStyle w:val="a3"/>
        <w:spacing w:before="12"/>
        <w:rPr>
          <w:sz w:val="17"/>
        </w:rPr>
      </w:pPr>
    </w:p>
    <w:p w14:paraId="3D4ED80C" w14:textId="77777777" w:rsidR="00A71EEF" w:rsidRDefault="0081115D">
      <w:pPr>
        <w:pStyle w:val="a4"/>
        <w:numPr>
          <w:ilvl w:val="3"/>
          <w:numId w:val="813"/>
        </w:numPr>
        <w:tabs>
          <w:tab w:val="left" w:pos="1576"/>
        </w:tabs>
        <w:ind w:left="1575"/>
        <w:rPr>
          <w:sz w:val="21"/>
        </w:rPr>
      </w:pPr>
      <w:r>
        <w:rPr>
          <w:spacing w:val="-5"/>
          <w:sz w:val="21"/>
        </w:rPr>
        <w:t>目测检查内部软化层的质地和颜色，判断试验结果是否符合</w:t>
      </w:r>
      <w:r>
        <w:rPr>
          <w:spacing w:val="-5"/>
          <w:sz w:val="21"/>
        </w:rPr>
        <w:t xml:space="preserve"> </w:t>
      </w:r>
      <w:r>
        <w:rPr>
          <w:sz w:val="21"/>
        </w:rPr>
        <w:t>5.5.9.3</w:t>
      </w:r>
      <w:r>
        <w:rPr>
          <w:spacing w:val="-13"/>
          <w:sz w:val="21"/>
        </w:rPr>
        <w:t xml:space="preserve"> </w:t>
      </w:r>
      <w:r>
        <w:rPr>
          <w:spacing w:val="-13"/>
          <w:sz w:val="21"/>
        </w:rPr>
        <w:t>的规定。</w:t>
      </w:r>
      <w:r>
        <w:rPr>
          <w:sz w:val="21"/>
        </w:rPr>
        <w:t xml:space="preserve"> </w:t>
      </w:r>
    </w:p>
    <w:p w14:paraId="14C317D5" w14:textId="77777777" w:rsidR="00A71EEF" w:rsidRDefault="00A71EEF">
      <w:pPr>
        <w:pStyle w:val="a3"/>
        <w:rPr>
          <w:sz w:val="18"/>
        </w:rPr>
      </w:pPr>
    </w:p>
    <w:p w14:paraId="1B760732" w14:textId="77777777" w:rsidR="00A71EEF" w:rsidRDefault="0081115D">
      <w:pPr>
        <w:ind w:left="840"/>
        <w:rPr>
          <w:sz w:val="21"/>
        </w:rPr>
      </w:pPr>
      <w:r>
        <w:rPr>
          <w:b/>
          <w:sz w:val="21"/>
        </w:rPr>
        <w:t xml:space="preserve">6.5.9 </w:t>
      </w:r>
      <w:r>
        <w:rPr>
          <w:sz w:val="21"/>
        </w:rPr>
        <w:t>车内噪声</w:t>
      </w:r>
      <w:r>
        <w:rPr>
          <w:sz w:val="21"/>
        </w:rPr>
        <w:t xml:space="preserve"> </w:t>
      </w:r>
    </w:p>
    <w:p w14:paraId="19FEC137" w14:textId="77777777" w:rsidR="00A71EEF" w:rsidRDefault="00A71EEF">
      <w:pPr>
        <w:pStyle w:val="a3"/>
        <w:spacing w:before="12"/>
        <w:rPr>
          <w:sz w:val="17"/>
        </w:rPr>
      </w:pPr>
    </w:p>
    <w:p w14:paraId="5D47095C" w14:textId="77777777" w:rsidR="00A71EEF" w:rsidRDefault="0081115D">
      <w:pPr>
        <w:pStyle w:val="a3"/>
        <w:spacing w:line="446" w:lineRule="auto"/>
        <w:ind w:left="418" w:right="1558" w:firstLine="419"/>
        <w:jc w:val="both"/>
      </w:pPr>
      <w:r>
        <w:rPr>
          <w:spacing w:val="-4"/>
        </w:rPr>
        <w:t>消防车满载，试验道路为铺装路面，道路的坡度不大于</w:t>
      </w:r>
      <w:r>
        <w:rPr>
          <w:spacing w:val="-4"/>
        </w:rPr>
        <w:t xml:space="preserve"> </w:t>
      </w:r>
      <w:r>
        <w:t>1</w:t>
      </w:r>
      <w:r>
        <w:rPr>
          <w:spacing w:val="-3"/>
        </w:rPr>
        <w:t>%</w:t>
      </w:r>
      <w:r>
        <w:rPr>
          <w:spacing w:val="-3"/>
        </w:rPr>
        <w:t>，试验时关闭警报器，消防车从</w:t>
      </w:r>
      <w:r>
        <w:rPr>
          <w:spacing w:val="-3"/>
        </w:rPr>
        <w:t>30km/h</w:t>
      </w:r>
      <w:r>
        <w:rPr>
          <w:spacing w:val="-19"/>
        </w:rPr>
        <w:t xml:space="preserve"> </w:t>
      </w:r>
      <w:r>
        <w:rPr>
          <w:spacing w:val="-19"/>
        </w:rPr>
        <w:t>开始，以</w:t>
      </w:r>
      <w:r>
        <w:rPr>
          <w:spacing w:val="-19"/>
        </w:rPr>
        <w:t xml:space="preserve"> </w:t>
      </w:r>
      <w:r>
        <w:t>10km/h</w:t>
      </w:r>
      <w:r>
        <w:rPr>
          <w:spacing w:val="-14"/>
        </w:rPr>
        <w:t xml:space="preserve"> </w:t>
      </w:r>
      <w:r>
        <w:rPr>
          <w:spacing w:val="-14"/>
        </w:rPr>
        <w:t>为增速步长直至</w:t>
      </w:r>
      <w:r>
        <w:rPr>
          <w:spacing w:val="-14"/>
        </w:rPr>
        <w:t xml:space="preserve"> </w:t>
      </w:r>
      <w:r>
        <w:t>80km/h</w:t>
      </w:r>
      <w:r>
        <w:t>，</w:t>
      </w:r>
      <w:r>
        <w:rPr>
          <w:spacing w:val="-9"/>
        </w:rPr>
        <w:t>将精密噪声仪置于</w:t>
      </w:r>
      <w:r>
        <w:rPr>
          <w:spacing w:val="-9"/>
        </w:rPr>
        <w:t xml:space="preserve"> </w:t>
      </w:r>
      <w:r>
        <w:t>A</w:t>
      </w:r>
      <w:r>
        <w:rPr>
          <w:spacing w:val="-9"/>
        </w:rPr>
        <w:t xml:space="preserve"> </w:t>
      </w:r>
      <w:r>
        <w:rPr>
          <w:spacing w:val="-9"/>
        </w:rPr>
        <w:t>计权慢挡，噪声仪传感</w:t>
      </w:r>
      <w:r>
        <w:rPr>
          <w:spacing w:val="-5"/>
        </w:rPr>
        <w:t>器放置在驾驶员耳旁测量各车速下噪声值，每个车速往返各测量一次。判断试验结果是否符合</w:t>
      </w:r>
    </w:p>
    <w:p w14:paraId="093EF8F9" w14:textId="77777777" w:rsidR="00A71EEF" w:rsidRDefault="0081115D">
      <w:pPr>
        <w:pStyle w:val="a3"/>
        <w:spacing w:line="268" w:lineRule="exact"/>
        <w:ind w:left="418"/>
        <w:jc w:val="both"/>
      </w:pPr>
      <w:r>
        <w:t xml:space="preserve">5.5.10 </w:t>
      </w:r>
      <w:r>
        <w:t>的规定。</w:t>
      </w:r>
      <w:r>
        <w:t xml:space="preserve"> </w:t>
      </w:r>
    </w:p>
    <w:p w14:paraId="4FE2272C" w14:textId="77777777" w:rsidR="00A71EEF" w:rsidRDefault="00A71EEF">
      <w:pPr>
        <w:pStyle w:val="a3"/>
        <w:spacing w:before="2"/>
        <w:rPr>
          <w:sz w:val="18"/>
        </w:rPr>
      </w:pPr>
    </w:p>
    <w:p w14:paraId="32059E19" w14:textId="77777777" w:rsidR="00A71EEF" w:rsidRDefault="0081115D">
      <w:pPr>
        <w:pStyle w:val="a4"/>
        <w:numPr>
          <w:ilvl w:val="1"/>
          <w:numId w:val="817"/>
        </w:numPr>
        <w:tabs>
          <w:tab w:val="left" w:pos="1159"/>
        </w:tabs>
        <w:ind w:hanging="319"/>
        <w:rPr>
          <w:b/>
          <w:sz w:val="21"/>
        </w:rPr>
      </w:pPr>
      <w:r>
        <w:rPr>
          <w:spacing w:val="-3"/>
          <w:sz w:val="21"/>
        </w:rPr>
        <w:t>仪表与操作系统试验</w:t>
      </w:r>
      <w:r>
        <w:rPr>
          <w:b/>
          <w:w w:val="99"/>
          <w:sz w:val="21"/>
        </w:rPr>
        <w:t xml:space="preserve"> </w:t>
      </w:r>
    </w:p>
    <w:p w14:paraId="1C8EFA21" w14:textId="77777777" w:rsidR="00A71EEF" w:rsidRDefault="00A71EEF">
      <w:pPr>
        <w:pStyle w:val="a3"/>
        <w:spacing w:before="12"/>
        <w:rPr>
          <w:b/>
          <w:sz w:val="17"/>
        </w:rPr>
      </w:pPr>
    </w:p>
    <w:p w14:paraId="341E7DAF" w14:textId="77777777" w:rsidR="00A71EEF" w:rsidRDefault="0081115D">
      <w:pPr>
        <w:pStyle w:val="a4"/>
        <w:numPr>
          <w:ilvl w:val="2"/>
          <w:numId w:val="817"/>
        </w:numPr>
        <w:tabs>
          <w:tab w:val="left" w:pos="1371"/>
        </w:tabs>
        <w:spacing w:before="1" w:line="446" w:lineRule="auto"/>
        <w:ind w:left="418" w:right="1500" w:firstLine="422"/>
        <w:rPr>
          <w:sz w:val="21"/>
        </w:rPr>
      </w:pPr>
      <w:r>
        <w:rPr>
          <w:spacing w:val="-3"/>
          <w:sz w:val="21"/>
        </w:rPr>
        <w:t>目测检查消防车仪表</w:t>
      </w:r>
      <w:r>
        <w:rPr>
          <w:spacing w:val="-3"/>
          <w:sz w:val="21"/>
        </w:rPr>
        <w:t xml:space="preserve"> </w:t>
      </w:r>
      <w:r>
        <w:rPr>
          <w:spacing w:val="-3"/>
          <w:sz w:val="21"/>
        </w:rPr>
        <w:t>、操纵手柄、开关处是否有指示用途的中文标牌，标牌是否固</w:t>
      </w:r>
      <w:r>
        <w:rPr>
          <w:spacing w:val="-6"/>
          <w:sz w:val="21"/>
        </w:rPr>
        <w:t>定可靠，是否有照明，判断试验结果是否符合</w:t>
      </w:r>
      <w:r>
        <w:rPr>
          <w:spacing w:val="-6"/>
          <w:sz w:val="21"/>
        </w:rPr>
        <w:t xml:space="preserve"> </w:t>
      </w:r>
      <w:r>
        <w:rPr>
          <w:sz w:val="21"/>
        </w:rPr>
        <w:t>5.6.1</w:t>
      </w:r>
      <w:r>
        <w:rPr>
          <w:spacing w:val="-13"/>
          <w:sz w:val="21"/>
        </w:rPr>
        <w:t xml:space="preserve"> </w:t>
      </w:r>
      <w:r>
        <w:rPr>
          <w:spacing w:val="-13"/>
          <w:sz w:val="21"/>
        </w:rPr>
        <w:t>的规定。</w:t>
      </w:r>
      <w:r>
        <w:rPr>
          <w:sz w:val="21"/>
        </w:rPr>
        <w:t xml:space="preserve"> </w:t>
      </w:r>
    </w:p>
    <w:p w14:paraId="10C8772C" w14:textId="77777777" w:rsidR="00A71EEF" w:rsidRDefault="0081115D">
      <w:pPr>
        <w:pStyle w:val="a4"/>
        <w:numPr>
          <w:ilvl w:val="2"/>
          <w:numId w:val="817"/>
        </w:numPr>
        <w:tabs>
          <w:tab w:val="left" w:pos="1370"/>
        </w:tabs>
        <w:spacing w:line="446" w:lineRule="auto"/>
        <w:ind w:left="418" w:right="1604" w:firstLine="422"/>
        <w:rPr>
          <w:sz w:val="21"/>
        </w:rPr>
      </w:pPr>
      <w:r>
        <w:rPr>
          <w:spacing w:val="-3"/>
          <w:sz w:val="21"/>
        </w:rPr>
        <w:t>目测检查消防车用仪表的型号和精度，测量仪表字体的高度，目测检查显示屏是否</w:t>
      </w:r>
      <w:r>
        <w:rPr>
          <w:spacing w:val="-7"/>
          <w:sz w:val="21"/>
        </w:rPr>
        <w:t>有遮光罩，判断试验结果是否符合</w:t>
      </w:r>
      <w:r>
        <w:rPr>
          <w:spacing w:val="-7"/>
          <w:sz w:val="21"/>
        </w:rPr>
        <w:t xml:space="preserve"> </w:t>
      </w:r>
      <w:r>
        <w:rPr>
          <w:sz w:val="21"/>
        </w:rPr>
        <w:t>5.6.2</w:t>
      </w:r>
      <w:r>
        <w:rPr>
          <w:spacing w:val="-13"/>
          <w:sz w:val="21"/>
        </w:rPr>
        <w:t xml:space="preserve"> </w:t>
      </w:r>
      <w:r>
        <w:rPr>
          <w:spacing w:val="-13"/>
          <w:sz w:val="21"/>
        </w:rPr>
        <w:t>的规定。</w:t>
      </w:r>
      <w:r>
        <w:rPr>
          <w:sz w:val="21"/>
        </w:rPr>
        <w:t xml:space="preserve"> </w:t>
      </w:r>
    </w:p>
    <w:p w14:paraId="7590893B" w14:textId="77777777" w:rsidR="00A71EEF" w:rsidRDefault="0081115D">
      <w:pPr>
        <w:pStyle w:val="a4"/>
        <w:numPr>
          <w:ilvl w:val="2"/>
          <w:numId w:val="817"/>
        </w:numPr>
        <w:tabs>
          <w:tab w:val="left" w:pos="1371"/>
        </w:tabs>
        <w:spacing w:line="446" w:lineRule="auto"/>
        <w:ind w:left="418" w:right="1815" w:firstLine="422"/>
        <w:rPr>
          <w:sz w:val="21"/>
        </w:rPr>
      </w:pPr>
      <w:r>
        <w:rPr>
          <w:spacing w:val="-5"/>
          <w:sz w:val="21"/>
        </w:rPr>
        <w:t>目测检查消防车用计量仪表采用的计量单位，判断试验结果是否符合</w:t>
      </w:r>
      <w:r>
        <w:rPr>
          <w:spacing w:val="-5"/>
          <w:sz w:val="21"/>
        </w:rPr>
        <w:t xml:space="preserve"> </w:t>
      </w:r>
      <w:r>
        <w:rPr>
          <w:sz w:val="21"/>
        </w:rPr>
        <w:t>5.6.3</w:t>
      </w:r>
      <w:r>
        <w:rPr>
          <w:spacing w:val="-16"/>
          <w:sz w:val="21"/>
        </w:rPr>
        <w:t xml:space="preserve"> </w:t>
      </w:r>
      <w:r>
        <w:rPr>
          <w:spacing w:val="-16"/>
          <w:sz w:val="21"/>
        </w:rPr>
        <w:t>的规</w:t>
      </w:r>
      <w:r>
        <w:rPr>
          <w:spacing w:val="-10"/>
          <w:sz w:val="21"/>
        </w:rPr>
        <w:t>定。</w:t>
      </w:r>
      <w:r>
        <w:rPr>
          <w:sz w:val="21"/>
        </w:rPr>
        <w:t xml:space="preserve"> </w:t>
      </w:r>
    </w:p>
    <w:p w14:paraId="44ED89C1" w14:textId="77777777" w:rsidR="00A71EEF" w:rsidRDefault="0081115D">
      <w:pPr>
        <w:pStyle w:val="a4"/>
        <w:numPr>
          <w:ilvl w:val="2"/>
          <w:numId w:val="817"/>
        </w:numPr>
        <w:tabs>
          <w:tab w:val="left" w:pos="1370"/>
        </w:tabs>
        <w:spacing w:line="446" w:lineRule="auto"/>
        <w:ind w:left="418" w:right="1604" w:firstLine="422"/>
        <w:rPr>
          <w:sz w:val="21"/>
        </w:rPr>
      </w:pPr>
      <w:r>
        <w:rPr>
          <w:spacing w:val="-3"/>
          <w:sz w:val="21"/>
        </w:rPr>
        <w:t>目测检查消防车用计量制单位，使用通用量具测量表盘直径，判断试验结果是否符</w:t>
      </w:r>
      <w:r>
        <w:rPr>
          <w:spacing w:val="-28"/>
          <w:sz w:val="21"/>
        </w:rPr>
        <w:t>合</w:t>
      </w:r>
      <w:r>
        <w:rPr>
          <w:spacing w:val="-28"/>
          <w:sz w:val="21"/>
        </w:rPr>
        <w:t xml:space="preserve"> </w:t>
      </w:r>
      <w:r>
        <w:rPr>
          <w:sz w:val="21"/>
        </w:rPr>
        <w:t>5.6.4</w:t>
      </w:r>
      <w:r>
        <w:rPr>
          <w:spacing w:val="-13"/>
          <w:sz w:val="21"/>
        </w:rPr>
        <w:t xml:space="preserve"> </w:t>
      </w:r>
      <w:r>
        <w:rPr>
          <w:spacing w:val="-13"/>
          <w:sz w:val="21"/>
        </w:rPr>
        <w:t>的规定。</w:t>
      </w:r>
      <w:r>
        <w:rPr>
          <w:sz w:val="21"/>
        </w:rPr>
        <w:t xml:space="preserve"> </w:t>
      </w:r>
    </w:p>
    <w:p w14:paraId="67CA8B8D" w14:textId="77777777" w:rsidR="00A71EEF" w:rsidRDefault="0081115D">
      <w:pPr>
        <w:pStyle w:val="a4"/>
        <w:numPr>
          <w:ilvl w:val="2"/>
          <w:numId w:val="817"/>
        </w:numPr>
        <w:tabs>
          <w:tab w:val="left" w:pos="1371"/>
        </w:tabs>
        <w:spacing w:line="446" w:lineRule="auto"/>
        <w:ind w:left="418" w:right="1604" w:firstLine="422"/>
        <w:rPr>
          <w:sz w:val="21"/>
        </w:rPr>
      </w:pPr>
      <w:r>
        <w:rPr>
          <w:spacing w:val="-3"/>
          <w:sz w:val="21"/>
        </w:rPr>
        <w:t>目测检查操作说明及警示说明，文字或图形是否可以永久保留，是否有保证阅读的</w:t>
      </w:r>
      <w:r>
        <w:rPr>
          <w:spacing w:val="-7"/>
          <w:sz w:val="21"/>
        </w:rPr>
        <w:t>照明，判断试验结果是否符合</w:t>
      </w:r>
      <w:r>
        <w:rPr>
          <w:spacing w:val="-7"/>
          <w:sz w:val="21"/>
        </w:rPr>
        <w:t xml:space="preserve"> </w:t>
      </w:r>
      <w:r>
        <w:rPr>
          <w:sz w:val="21"/>
        </w:rPr>
        <w:t>5.6.5</w:t>
      </w:r>
      <w:r>
        <w:rPr>
          <w:spacing w:val="-13"/>
          <w:sz w:val="21"/>
        </w:rPr>
        <w:t xml:space="preserve"> </w:t>
      </w:r>
      <w:r>
        <w:rPr>
          <w:spacing w:val="-13"/>
          <w:sz w:val="21"/>
        </w:rPr>
        <w:t>的规定。</w:t>
      </w:r>
      <w:r>
        <w:rPr>
          <w:sz w:val="21"/>
        </w:rPr>
        <w:t xml:space="preserve"> </w:t>
      </w:r>
    </w:p>
    <w:p w14:paraId="60588347" w14:textId="77777777" w:rsidR="00A71EEF" w:rsidRDefault="00A71EEF">
      <w:pPr>
        <w:spacing w:line="446" w:lineRule="auto"/>
        <w:rPr>
          <w:sz w:val="21"/>
        </w:rPr>
        <w:sectPr w:rsidR="00A71EEF">
          <w:pgSz w:w="11910" w:h="16850"/>
          <w:pgMar w:top="1220" w:right="0" w:bottom="1420" w:left="1260" w:header="0" w:footer="1239" w:gutter="0"/>
          <w:cols w:space="720"/>
        </w:sectPr>
      </w:pPr>
    </w:p>
    <w:p w14:paraId="3EB11994" w14:textId="77777777" w:rsidR="00A71EEF" w:rsidRDefault="0081115D">
      <w:pPr>
        <w:pStyle w:val="a4"/>
        <w:numPr>
          <w:ilvl w:val="2"/>
          <w:numId w:val="817"/>
        </w:numPr>
        <w:tabs>
          <w:tab w:val="left" w:pos="1370"/>
        </w:tabs>
        <w:spacing w:before="47" w:line="446" w:lineRule="auto"/>
        <w:ind w:left="418" w:right="1604" w:firstLine="422"/>
        <w:jc w:val="both"/>
        <w:rPr>
          <w:sz w:val="21"/>
        </w:rPr>
      </w:pPr>
      <w:r>
        <w:rPr>
          <w:spacing w:val="-3"/>
          <w:sz w:val="21"/>
        </w:rPr>
        <w:lastRenderedPageBreak/>
        <w:t>目测检查消防泵放水开关的安装位置并测量放余水时间，测量时将泵内充满水，打开一侧出水球阀并打开消防泵放余水开关，同时使用秒表计时，至放尽泵内余水的时间，判断</w:t>
      </w:r>
      <w:r>
        <w:rPr>
          <w:spacing w:val="-9"/>
          <w:sz w:val="21"/>
        </w:rPr>
        <w:t>试验结果是否符合</w:t>
      </w:r>
      <w:r>
        <w:rPr>
          <w:spacing w:val="-9"/>
          <w:sz w:val="21"/>
        </w:rPr>
        <w:t xml:space="preserve"> </w:t>
      </w:r>
      <w:r>
        <w:rPr>
          <w:sz w:val="21"/>
        </w:rPr>
        <w:t>5.6.6</w:t>
      </w:r>
      <w:r>
        <w:rPr>
          <w:spacing w:val="-13"/>
          <w:sz w:val="21"/>
        </w:rPr>
        <w:t xml:space="preserve"> </w:t>
      </w:r>
      <w:r>
        <w:rPr>
          <w:spacing w:val="-13"/>
          <w:sz w:val="21"/>
        </w:rPr>
        <w:t>的规定。</w:t>
      </w:r>
      <w:r>
        <w:rPr>
          <w:sz w:val="21"/>
        </w:rPr>
        <w:t xml:space="preserve"> </w:t>
      </w:r>
    </w:p>
    <w:p w14:paraId="2B2F13FD" w14:textId="77777777" w:rsidR="00A71EEF" w:rsidRDefault="0081115D">
      <w:pPr>
        <w:pStyle w:val="a4"/>
        <w:numPr>
          <w:ilvl w:val="2"/>
          <w:numId w:val="817"/>
        </w:numPr>
        <w:tabs>
          <w:tab w:val="left" w:pos="1370"/>
        </w:tabs>
        <w:spacing w:line="446" w:lineRule="auto"/>
        <w:ind w:left="418" w:right="1604" w:firstLine="422"/>
        <w:jc w:val="both"/>
        <w:rPr>
          <w:sz w:val="21"/>
        </w:rPr>
      </w:pPr>
      <w:r>
        <w:rPr>
          <w:spacing w:val="-3"/>
          <w:sz w:val="21"/>
        </w:rPr>
        <w:t>采用通用量具测量仪表和操纵手柄、开关中心至操作人员脚踏平面的垂直距离，判</w:t>
      </w:r>
      <w:r>
        <w:rPr>
          <w:spacing w:val="-8"/>
          <w:sz w:val="21"/>
        </w:rPr>
        <w:t>断试验结果是否符合</w:t>
      </w:r>
      <w:r>
        <w:rPr>
          <w:spacing w:val="-8"/>
          <w:sz w:val="21"/>
        </w:rPr>
        <w:t xml:space="preserve"> </w:t>
      </w:r>
      <w:r>
        <w:rPr>
          <w:sz w:val="21"/>
        </w:rPr>
        <w:t>5.6.7</w:t>
      </w:r>
      <w:r>
        <w:rPr>
          <w:spacing w:val="-13"/>
          <w:sz w:val="21"/>
        </w:rPr>
        <w:t xml:space="preserve"> </w:t>
      </w:r>
      <w:r>
        <w:rPr>
          <w:spacing w:val="-13"/>
          <w:sz w:val="21"/>
        </w:rPr>
        <w:t>的规定。</w:t>
      </w:r>
      <w:r>
        <w:rPr>
          <w:sz w:val="21"/>
        </w:rPr>
        <w:t xml:space="preserve"> </w:t>
      </w:r>
    </w:p>
    <w:p w14:paraId="481EA6DA" w14:textId="77777777" w:rsidR="00A71EEF" w:rsidRDefault="0081115D">
      <w:pPr>
        <w:pStyle w:val="a4"/>
        <w:numPr>
          <w:ilvl w:val="2"/>
          <w:numId w:val="817"/>
        </w:numPr>
        <w:tabs>
          <w:tab w:val="left" w:pos="1371"/>
        </w:tabs>
        <w:spacing w:line="267" w:lineRule="exact"/>
        <w:jc w:val="both"/>
        <w:rPr>
          <w:sz w:val="21"/>
        </w:rPr>
      </w:pPr>
      <w:r>
        <w:rPr>
          <w:spacing w:val="-6"/>
          <w:sz w:val="21"/>
        </w:rPr>
        <w:t>目测检查消防车控制系统，判断试验结果是否符合</w:t>
      </w:r>
      <w:r>
        <w:rPr>
          <w:spacing w:val="-6"/>
          <w:sz w:val="21"/>
        </w:rPr>
        <w:t xml:space="preserve"> </w:t>
      </w:r>
      <w:r>
        <w:rPr>
          <w:sz w:val="21"/>
        </w:rPr>
        <w:t>5.6.8</w:t>
      </w:r>
      <w:r>
        <w:rPr>
          <w:spacing w:val="-12"/>
          <w:sz w:val="21"/>
        </w:rPr>
        <w:t xml:space="preserve"> </w:t>
      </w:r>
      <w:r>
        <w:rPr>
          <w:spacing w:val="-12"/>
          <w:sz w:val="21"/>
        </w:rPr>
        <w:t>的规定。</w:t>
      </w:r>
      <w:r>
        <w:rPr>
          <w:spacing w:val="-12"/>
          <w:sz w:val="21"/>
        </w:rPr>
        <w:t xml:space="preserve"> </w:t>
      </w:r>
    </w:p>
    <w:p w14:paraId="5AF3E025" w14:textId="77777777" w:rsidR="00A71EEF" w:rsidRDefault="00A71EEF">
      <w:pPr>
        <w:pStyle w:val="a3"/>
        <w:spacing w:before="1"/>
        <w:rPr>
          <w:sz w:val="18"/>
        </w:rPr>
      </w:pPr>
    </w:p>
    <w:p w14:paraId="58EADB4F" w14:textId="77777777" w:rsidR="00A71EEF" w:rsidRDefault="0081115D">
      <w:pPr>
        <w:pStyle w:val="a4"/>
        <w:numPr>
          <w:ilvl w:val="1"/>
          <w:numId w:val="817"/>
        </w:numPr>
        <w:tabs>
          <w:tab w:val="left" w:pos="1159"/>
        </w:tabs>
        <w:ind w:hanging="319"/>
        <w:rPr>
          <w:sz w:val="21"/>
        </w:rPr>
      </w:pPr>
      <w:r>
        <w:rPr>
          <w:spacing w:val="-3"/>
          <w:sz w:val="21"/>
        </w:rPr>
        <w:t>电气系统和警报装置试验</w:t>
      </w:r>
      <w:r>
        <w:rPr>
          <w:sz w:val="21"/>
        </w:rPr>
        <w:t xml:space="preserve"> </w:t>
      </w:r>
    </w:p>
    <w:p w14:paraId="44EC46CE" w14:textId="77777777" w:rsidR="00A71EEF" w:rsidRDefault="00A71EEF">
      <w:pPr>
        <w:pStyle w:val="a3"/>
        <w:rPr>
          <w:sz w:val="18"/>
        </w:rPr>
      </w:pPr>
    </w:p>
    <w:p w14:paraId="37653643" w14:textId="77777777" w:rsidR="00A71EEF" w:rsidRDefault="0081115D">
      <w:pPr>
        <w:pStyle w:val="a4"/>
        <w:numPr>
          <w:ilvl w:val="2"/>
          <w:numId w:val="817"/>
        </w:numPr>
        <w:tabs>
          <w:tab w:val="left" w:pos="1371"/>
        </w:tabs>
        <w:rPr>
          <w:sz w:val="21"/>
        </w:rPr>
      </w:pPr>
      <w:r>
        <w:rPr>
          <w:spacing w:val="-6"/>
          <w:sz w:val="21"/>
        </w:rPr>
        <w:t>目测检查消防车电路的标识，判断试验结果是否符合</w:t>
      </w:r>
      <w:r>
        <w:rPr>
          <w:spacing w:val="-6"/>
          <w:sz w:val="21"/>
        </w:rPr>
        <w:t xml:space="preserve"> </w:t>
      </w:r>
      <w:r>
        <w:rPr>
          <w:sz w:val="21"/>
        </w:rPr>
        <w:t>5.7.1</w:t>
      </w:r>
      <w:r>
        <w:rPr>
          <w:spacing w:val="-12"/>
          <w:sz w:val="21"/>
        </w:rPr>
        <w:t xml:space="preserve"> </w:t>
      </w:r>
      <w:r>
        <w:rPr>
          <w:spacing w:val="-12"/>
          <w:sz w:val="21"/>
        </w:rPr>
        <w:t>的规定。</w:t>
      </w:r>
      <w:r>
        <w:rPr>
          <w:spacing w:val="-12"/>
          <w:sz w:val="21"/>
        </w:rPr>
        <w:t xml:space="preserve"> </w:t>
      </w:r>
    </w:p>
    <w:p w14:paraId="40DF719F" w14:textId="77777777" w:rsidR="00A71EEF" w:rsidRDefault="00A71EEF">
      <w:pPr>
        <w:pStyle w:val="a3"/>
        <w:rPr>
          <w:sz w:val="18"/>
        </w:rPr>
      </w:pPr>
    </w:p>
    <w:p w14:paraId="5716ACF6" w14:textId="77777777" w:rsidR="00A71EEF" w:rsidRDefault="0081115D">
      <w:pPr>
        <w:pStyle w:val="a4"/>
        <w:numPr>
          <w:ilvl w:val="2"/>
          <w:numId w:val="817"/>
        </w:numPr>
        <w:tabs>
          <w:tab w:val="left" w:pos="1370"/>
        </w:tabs>
        <w:ind w:left="1369" w:hanging="530"/>
        <w:rPr>
          <w:sz w:val="21"/>
        </w:rPr>
      </w:pPr>
      <w:r>
        <w:rPr>
          <w:spacing w:val="-5"/>
          <w:sz w:val="21"/>
        </w:rPr>
        <w:t>检查电线芯材质和电线标称通电电流，判断试验结果是否符合</w:t>
      </w:r>
      <w:r>
        <w:rPr>
          <w:spacing w:val="-5"/>
          <w:sz w:val="21"/>
        </w:rPr>
        <w:t xml:space="preserve"> </w:t>
      </w:r>
      <w:r>
        <w:rPr>
          <w:sz w:val="21"/>
        </w:rPr>
        <w:t>5.7.2</w:t>
      </w:r>
      <w:r>
        <w:rPr>
          <w:spacing w:val="-13"/>
          <w:sz w:val="21"/>
        </w:rPr>
        <w:t xml:space="preserve"> </w:t>
      </w:r>
      <w:r>
        <w:rPr>
          <w:spacing w:val="-13"/>
          <w:sz w:val="21"/>
        </w:rPr>
        <w:t>的规定。</w:t>
      </w:r>
      <w:r>
        <w:rPr>
          <w:sz w:val="21"/>
        </w:rPr>
        <w:t xml:space="preserve"> </w:t>
      </w:r>
    </w:p>
    <w:p w14:paraId="1BF64F28" w14:textId="77777777" w:rsidR="00A71EEF" w:rsidRDefault="00A71EEF">
      <w:pPr>
        <w:pStyle w:val="a3"/>
        <w:spacing w:before="2"/>
        <w:rPr>
          <w:sz w:val="18"/>
        </w:rPr>
      </w:pPr>
    </w:p>
    <w:p w14:paraId="534779B0" w14:textId="77777777" w:rsidR="00A71EEF" w:rsidRDefault="0081115D">
      <w:pPr>
        <w:pStyle w:val="a4"/>
        <w:numPr>
          <w:ilvl w:val="2"/>
          <w:numId w:val="817"/>
        </w:numPr>
        <w:tabs>
          <w:tab w:val="left" w:pos="1371"/>
        </w:tabs>
        <w:rPr>
          <w:sz w:val="21"/>
        </w:rPr>
      </w:pPr>
      <w:r>
        <w:rPr>
          <w:spacing w:val="-6"/>
          <w:sz w:val="21"/>
        </w:rPr>
        <w:t>目测检查电线芯包覆层情况，判断试验结果是否符合</w:t>
      </w:r>
      <w:r>
        <w:rPr>
          <w:spacing w:val="-6"/>
          <w:sz w:val="21"/>
        </w:rPr>
        <w:t xml:space="preserve"> </w:t>
      </w:r>
      <w:r>
        <w:rPr>
          <w:sz w:val="21"/>
        </w:rPr>
        <w:t>5.7.3</w:t>
      </w:r>
      <w:r>
        <w:rPr>
          <w:spacing w:val="-12"/>
          <w:sz w:val="21"/>
        </w:rPr>
        <w:t xml:space="preserve"> </w:t>
      </w:r>
      <w:r>
        <w:rPr>
          <w:spacing w:val="-12"/>
          <w:sz w:val="21"/>
        </w:rPr>
        <w:t>的规定。</w:t>
      </w:r>
      <w:r>
        <w:rPr>
          <w:spacing w:val="-12"/>
          <w:sz w:val="21"/>
        </w:rPr>
        <w:t xml:space="preserve"> </w:t>
      </w:r>
    </w:p>
    <w:p w14:paraId="78142BB4" w14:textId="77777777" w:rsidR="00A71EEF" w:rsidRDefault="00A71EEF">
      <w:pPr>
        <w:pStyle w:val="a3"/>
        <w:spacing w:before="12"/>
        <w:rPr>
          <w:sz w:val="17"/>
        </w:rPr>
      </w:pPr>
    </w:p>
    <w:p w14:paraId="38DD7F45" w14:textId="77777777" w:rsidR="00A71EEF" w:rsidRDefault="0081115D">
      <w:pPr>
        <w:pStyle w:val="a4"/>
        <w:numPr>
          <w:ilvl w:val="2"/>
          <w:numId w:val="817"/>
        </w:numPr>
        <w:tabs>
          <w:tab w:val="left" w:pos="1370"/>
        </w:tabs>
        <w:ind w:left="1369" w:hanging="530"/>
        <w:jc w:val="both"/>
        <w:rPr>
          <w:sz w:val="21"/>
        </w:rPr>
      </w:pPr>
      <w:r>
        <w:rPr>
          <w:spacing w:val="-5"/>
          <w:sz w:val="21"/>
        </w:rPr>
        <w:t>测量电源电压及至用电器具处的电压差值，判断试验结果是否符合</w:t>
      </w:r>
      <w:r>
        <w:rPr>
          <w:spacing w:val="-5"/>
          <w:sz w:val="21"/>
        </w:rPr>
        <w:t xml:space="preserve"> </w:t>
      </w:r>
      <w:r>
        <w:rPr>
          <w:sz w:val="21"/>
        </w:rPr>
        <w:t>5.7.4</w:t>
      </w:r>
      <w:r>
        <w:rPr>
          <w:spacing w:val="-13"/>
          <w:sz w:val="21"/>
        </w:rPr>
        <w:t xml:space="preserve"> </w:t>
      </w:r>
      <w:r>
        <w:rPr>
          <w:spacing w:val="-13"/>
          <w:sz w:val="21"/>
        </w:rPr>
        <w:t>的规定。</w:t>
      </w:r>
      <w:r>
        <w:rPr>
          <w:sz w:val="21"/>
        </w:rPr>
        <w:t xml:space="preserve"> </w:t>
      </w:r>
    </w:p>
    <w:p w14:paraId="24683CAE" w14:textId="77777777" w:rsidR="00A71EEF" w:rsidRDefault="00A71EEF">
      <w:pPr>
        <w:pStyle w:val="a3"/>
        <w:spacing w:before="12"/>
        <w:rPr>
          <w:sz w:val="17"/>
        </w:rPr>
      </w:pPr>
    </w:p>
    <w:p w14:paraId="4DECA50B" w14:textId="77777777" w:rsidR="00A71EEF" w:rsidRDefault="0081115D">
      <w:pPr>
        <w:pStyle w:val="a4"/>
        <w:numPr>
          <w:ilvl w:val="2"/>
          <w:numId w:val="817"/>
        </w:numPr>
        <w:tabs>
          <w:tab w:val="left" w:pos="1371"/>
        </w:tabs>
        <w:spacing w:line="446" w:lineRule="auto"/>
        <w:ind w:left="418" w:right="1604" w:firstLine="422"/>
        <w:jc w:val="both"/>
        <w:rPr>
          <w:sz w:val="21"/>
        </w:rPr>
      </w:pPr>
      <w:r>
        <w:rPr>
          <w:spacing w:val="-3"/>
          <w:sz w:val="21"/>
        </w:rPr>
        <w:t>目测检查电源总开关位置，总开关关断后除计时器外的所有用电器具是否都不能工</w:t>
      </w:r>
      <w:r>
        <w:rPr>
          <w:spacing w:val="-7"/>
          <w:sz w:val="21"/>
        </w:rPr>
        <w:t>作，判断试验结果是否符合</w:t>
      </w:r>
      <w:r>
        <w:rPr>
          <w:spacing w:val="-7"/>
          <w:sz w:val="21"/>
        </w:rPr>
        <w:t xml:space="preserve"> </w:t>
      </w:r>
      <w:r>
        <w:rPr>
          <w:sz w:val="21"/>
        </w:rPr>
        <w:t>5.7.5</w:t>
      </w:r>
      <w:r>
        <w:rPr>
          <w:spacing w:val="-13"/>
          <w:sz w:val="21"/>
        </w:rPr>
        <w:t xml:space="preserve"> </w:t>
      </w:r>
      <w:r>
        <w:rPr>
          <w:spacing w:val="-13"/>
          <w:sz w:val="21"/>
        </w:rPr>
        <w:t>的规定。</w:t>
      </w:r>
      <w:r>
        <w:rPr>
          <w:sz w:val="21"/>
        </w:rPr>
        <w:t xml:space="preserve"> </w:t>
      </w:r>
    </w:p>
    <w:p w14:paraId="0A847BEE" w14:textId="77777777" w:rsidR="00A71EEF" w:rsidRDefault="0081115D">
      <w:pPr>
        <w:pStyle w:val="a4"/>
        <w:numPr>
          <w:ilvl w:val="2"/>
          <w:numId w:val="817"/>
        </w:numPr>
        <w:tabs>
          <w:tab w:val="left" w:pos="1370"/>
        </w:tabs>
        <w:spacing w:before="1" w:line="446" w:lineRule="auto"/>
        <w:ind w:left="418" w:right="1604" w:firstLine="422"/>
        <w:jc w:val="both"/>
        <w:rPr>
          <w:sz w:val="21"/>
        </w:rPr>
      </w:pPr>
      <w:r>
        <w:rPr>
          <w:spacing w:val="-3"/>
          <w:sz w:val="21"/>
        </w:rPr>
        <w:t>检查总开关由切断状态转换到接合状态提示音大小是否能保证驾驶员在驾驶位置听</w:t>
      </w:r>
      <w:r>
        <w:rPr>
          <w:spacing w:val="-7"/>
          <w:sz w:val="21"/>
        </w:rPr>
        <w:t>到，判断试验结果是否符合</w:t>
      </w:r>
      <w:r>
        <w:rPr>
          <w:spacing w:val="-7"/>
          <w:sz w:val="21"/>
        </w:rPr>
        <w:t xml:space="preserve"> </w:t>
      </w:r>
      <w:r>
        <w:rPr>
          <w:sz w:val="21"/>
        </w:rPr>
        <w:t>5.7.6</w:t>
      </w:r>
      <w:r>
        <w:rPr>
          <w:spacing w:val="-13"/>
          <w:sz w:val="21"/>
        </w:rPr>
        <w:t xml:space="preserve"> </w:t>
      </w:r>
      <w:r>
        <w:rPr>
          <w:spacing w:val="-13"/>
          <w:sz w:val="21"/>
        </w:rPr>
        <w:t>的规定。</w:t>
      </w:r>
      <w:r>
        <w:rPr>
          <w:sz w:val="21"/>
        </w:rPr>
        <w:t xml:space="preserve"> </w:t>
      </w:r>
    </w:p>
    <w:p w14:paraId="17930047" w14:textId="77777777" w:rsidR="00A71EEF" w:rsidRDefault="0081115D">
      <w:pPr>
        <w:pStyle w:val="a4"/>
        <w:numPr>
          <w:ilvl w:val="2"/>
          <w:numId w:val="817"/>
        </w:numPr>
        <w:tabs>
          <w:tab w:val="left" w:pos="1370"/>
        </w:tabs>
        <w:spacing w:line="446" w:lineRule="auto"/>
        <w:ind w:left="418" w:right="1604" w:firstLine="422"/>
        <w:jc w:val="both"/>
        <w:rPr>
          <w:sz w:val="21"/>
        </w:rPr>
      </w:pPr>
      <w:r>
        <w:rPr>
          <w:spacing w:val="-3"/>
          <w:sz w:val="21"/>
        </w:rPr>
        <w:t>关闭、打开车门三次，检查驾乘室上、下车踏板的照明灯是否由车门可靠控制，踏</w:t>
      </w:r>
      <w:r>
        <w:rPr>
          <w:spacing w:val="-8"/>
          <w:sz w:val="21"/>
        </w:rPr>
        <w:t>板照度试验按</w:t>
      </w:r>
      <w:r>
        <w:rPr>
          <w:spacing w:val="-8"/>
          <w:sz w:val="21"/>
        </w:rPr>
        <w:t xml:space="preserve"> </w:t>
      </w:r>
      <w:r>
        <w:rPr>
          <w:sz w:val="21"/>
        </w:rPr>
        <w:t>6.5.3</w:t>
      </w:r>
      <w:r>
        <w:rPr>
          <w:spacing w:val="-7"/>
          <w:sz w:val="21"/>
        </w:rPr>
        <w:t xml:space="preserve"> </w:t>
      </w:r>
      <w:r>
        <w:rPr>
          <w:spacing w:val="-7"/>
          <w:sz w:val="21"/>
        </w:rPr>
        <w:t>进行。测量驾乘室内的照度时，照度计光传感器受光面向上，传感器放置</w:t>
      </w:r>
      <w:r>
        <w:rPr>
          <w:spacing w:val="-5"/>
          <w:sz w:val="21"/>
        </w:rPr>
        <w:t>于驾驶员及每一位乘员的座位上，打开驾乘室内所有照明灯，逐一测出各座位的照度，判断结</w:t>
      </w:r>
      <w:r>
        <w:rPr>
          <w:spacing w:val="-13"/>
          <w:sz w:val="21"/>
        </w:rPr>
        <w:t>果是否符合</w:t>
      </w:r>
      <w:r>
        <w:rPr>
          <w:spacing w:val="-13"/>
          <w:sz w:val="21"/>
        </w:rPr>
        <w:t xml:space="preserve"> </w:t>
      </w:r>
      <w:r>
        <w:rPr>
          <w:sz w:val="21"/>
        </w:rPr>
        <w:t>5.7.7</w:t>
      </w:r>
      <w:r>
        <w:rPr>
          <w:spacing w:val="-12"/>
          <w:sz w:val="21"/>
        </w:rPr>
        <w:t xml:space="preserve"> </w:t>
      </w:r>
      <w:r>
        <w:rPr>
          <w:spacing w:val="-12"/>
          <w:sz w:val="21"/>
        </w:rPr>
        <w:t>的规定。</w:t>
      </w:r>
      <w:r>
        <w:rPr>
          <w:spacing w:val="-12"/>
          <w:sz w:val="21"/>
        </w:rPr>
        <w:t xml:space="preserve"> </w:t>
      </w:r>
    </w:p>
    <w:p w14:paraId="7D7E5AB6" w14:textId="77777777" w:rsidR="00A71EEF" w:rsidRDefault="0081115D">
      <w:pPr>
        <w:pStyle w:val="a4"/>
        <w:numPr>
          <w:ilvl w:val="2"/>
          <w:numId w:val="817"/>
        </w:numPr>
        <w:tabs>
          <w:tab w:val="left" w:pos="1370"/>
        </w:tabs>
        <w:spacing w:line="446" w:lineRule="auto"/>
        <w:ind w:left="418" w:right="1604" w:firstLine="422"/>
        <w:jc w:val="both"/>
        <w:rPr>
          <w:sz w:val="21"/>
        </w:rPr>
      </w:pPr>
      <w:r>
        <w:rPr>
          <w:spacing w:val="-3"/>
          <w:sz w:val="21"/>
        </w:rPr>
        <w:t>目测检查消防车器材箱照明灯具和开关的安装数量和位置，检查在无光条件下打开</w:t>
      </w:r>
      <w:r>
        <w:rPr>
          <w:spacing w:val="-5"/>
          <w:sz w:val="21"/>
        </w:rPr>
        <w:t>器材箱照明灯是否能够分辨器材箱内器材的类型，判断试验结果是否符合</w:t>
      </w:r>
      <w:r>
        <w:rPr>
          <w:spacing w:val="-5"/>
          <w:sz w:val="21"/>
        </w:rPr>
        <w:t xml:space="preserve"> </w:t>
      </w:r>
      <w:r>
        <w:rPr>
          <w:sz w:val="21"/>
        </w:rPr>
        <w:t>5.7.8</w:t>
      </w:r>
      <w:r>
        <w:rPr>
          <w:spacing w:val="-13"/>
          <w:sz w:val="21"/>
        </w:rPr>
        <w:t xml:space="preserve"> </w:t>
      </w:r>
      <w:r>
        <w:rPr>
          <w:spacing w:val="-13"/>
          <w:sz w:val="21"/>
        </w:rPr>
        <w:t>的规定。</w:t>
      </w:r>
      <w:r>
        <w:rPr>
          <w:sz w:val="21"/>
        </w:rPr>
        <w:t xml:space="preserve"> </w:t>
      </w:r>
    </w:p>
    <w:p w14:paraId="736AFDC9" w14:textId="77777777" w:rsidR="00A71EEF" w:rsidRDefault="0081115D">
      <w:pPr>
        <w:pStyle w:val="a4"/>
        <w:numPr>
          <w:ilvl w:val="2"/>
          <w:numId w:val="817"/>
        </w:numPr>
        <w:tabs>
          <w:tab w:val="left" w:pos="1370"/>
        </w:tabs>
        <w:ind w:left="1369" w:hanging="530"/>
        <w:jc w:val="both"/>
        <w:rPr>
          <w:sz w:val="21"/>
        </w:rPr>
      </w:pPr>
      <w:r>
        <w:rPr>
          <w:spacing w:val="-5"/>
          <w:sz w:val="21"/>
        </w:rPr>
        <w:t>目测检查电线与电线的连接方式，判断试验结果是否符合</w:t>
      </w:r>
      <w:r>
        <w:rPr>
          <w:spacing w:val="-5"/>
          <w:sz w:val="21"/>
        </w:rPr>
        <w:t xml:space="preserve"> </w:t>
      </w:r>
      <w:r>
        <w:rPr>
          <w:sz w:val="21"/>
        </w:rPr>
        <w:t>5.7.9</w:t>
      </w:r>
      <w:r>
        <w:rPr>
          <w:spacing w:val="-12"/>
          <w:sz w:val="21"/>
        </w:rPr>
        <w:t xml:space="preserve"> </w:t>
      </w:r>
      <w:r>
        <w:rPr>
          <w:spacing w:val="-12"/>
          <w:sz w:val="21"/>
        </w:rPr>
        <w:t>的规定</w:t>
      </w:r>
      <w:r>
        <w:rPr>
          <w:spacing w:val="-12"/>
          <w:sz w:val="21"/>
        </w:rPr>
        <w:t>。</w:t>
      </w:r>
      <w:r>
        <w:rPr>
          <w:spacing w:val="-12"/>
          <w:sz w:val="21"/>
        </w:rPr>
        <w:t xml:space="preserve"> </w:t>
      </w:r>
    </w:p>
    <w:p w14:paraId="6A970A05" w14:textId="77777777" w:rsidR="00A71EEF" w:rsidRDefault="00A71EEF">
      <w:pPr>
        <w:pStyle w:val="a3"/>
        <w:spacing w:before="10"/>
        <w:rPr>
          <w:sz w:val="17"/>
        </w:rPr>
      </w:pPr>
    </w:p>
    <w:p w14:paraId="3F68415A" w14:textId="77777777" w:rsidR="00A71EEF" w:rsidRDefault="0081115D">
      <w:pPr>
        <w:pStyle w:val="a4"/>
        <w:numPr>
          <w:ilvl w:val="2"/>
          <w:numId w:val="817"/>
        </w:numPr>
        <w:tabs>
          <w:tab w:val="left" w:pos="1478"/>
        </w:tabs>
        <w:spacing w:line="446" w:lineRule="auto"/>
        <w:ind w:left="418" w:right="1496" w:firstLine="422"/>
        <w:rPr>
          <w:sz w:val="21"/>
        </w:rPr>
      </w:pPr>
      <w:r>
        <w:rPr>
          <w:spacing w:val="-3"/>
          <w:sz w:val="21"/>
        </w:rPr>
        <w:t>目测检查电线与用电器具连接的连接方式，是否有放松措施，判断试验结果是否符</w:t>
      </w:r>
      <w:r>
        <w:rPr>
          <w:spacing w:val="-28"/>
          <w:sz w:val="21"/>
        </w:rPr>
        <w:t>合</w:t>
      </w:r>
      <w:r>
        <w:rPr>
          <w:spacing w:val="-28"/>
          <w:sz w:val="21"/>
        </w:rPr>
        <w:t xml:space="preserve"> </w:t>
      </w:r>
      <w:r>
        <w:rPr>
          <w:sz w:val="21"/>
        </w:rPr>
        <w:t>5.7.10</w:t>
      </w:r>
      <w:r>
        <w:rPr>
          <w:spacing w:val="-13"/>
          <w:sz w:val="21"/>
        </w:rPr>
        <w:t xml:space="preserve"> </w:t>
      </w:r>
      <w:r>
        <w:rPr>
          <w:spacing w:val="-13"/>
          <w:sz w:val="21"/>
        </w:rPr>
        <w:t>的规定。</w:t>
      </w:r>
      <w:r>
        <w:rPr>
          <w:sz w:val="21"/>
        </w:rPr>
        <w:t xml:space="preserve"> </w:t>
      </w:r>
    </w:p>
    <w:p w14:paraId="1D9FE3E0" w14:textId="77777777" w:rsidR="00A71EEF" w:rsidRDefault="0081115D">
      <w:pPr>
        <w:pStyle w:val="a4"/>
        <w:numPr>
          <w:ilvl w:val="2"/>
          <w:numId w:val="817"/>
        </w:numPr>
        <w:tabs>
          <w:tab w:val="left" w:pos="1478"/>
        </w:tabs>
        <w:spacing w:line="446" w:lineRule="auto"/>
        <w:ind w:left="418" w:right="1705" w:firstLine="422"/>
        <w:rPr>
          <w:sz w:val="21"/>
        </w:rPr>
      </w:pPr>
      <w:r>
        <w:rPr>
          <w:spacing w:val="-3"/>
          <w:sz w:val="21"/>
        </w:rPr>
        <w:t>检查电线束与底盘或车体的连接情况，测量电线束与排气管等产生高温的部件距</w:t>
      </w:r>
      <w:r>
        <w:rPr>
          <w:spacing w:val="-7"/>
          <w:sz w:val="21"/>
        </w:rPr>
        <w:t>离，判断试验结果是否符合</w:t>
      </w:r>
      <w:r>
        <w:rPr>
          <w:spacing w:val="-7"/>
          <w:sz w:val="21"/>
        </w:rPr>
        <w:t xml:space="preserve"> </w:t>
      </w:r>
      <w:r>
        <w:rPr>
          <w:sz w:val="21"/>
        </w:rPr>
        <w:t>5.7.11</w:t>
      </w:r>
      <w:r>
        <w:rPr>
          <w:spacing w:val="-13"/>
          <w:sz w:val="21"/>
        </w:rPr>
        <w:t xml:space="preserve"> </w:t>
      </w:r>
      <w:r>
        <w:rPr>
          <w:spacing w:val="-13"/>
          <w:sz w:val="21"/>
        </w:rPr>
        <w:t>的规定。</w:t>
      </w:r>
      <w:r>
        <w:rPr>
          <w:sz w:val="21"/>
        </w:rPr>
        <w:t xml:space="preserve"> </w:t>
      </w:r>
    </w:p>
    <w:p w14:paraId="19F5DB79" w14:textId="77777777" w:rsidR="00A71EEF" w:rsidRDefault="0081115D">
      <w:pPr>
        <w:pStyle w:val="a4"/>
        <w:numPr>
          <w:ilvl w:val="2"/>
          <w:numId w:val="817"/>
        </w:numPr>
        <w:tabs>
          <w:tab w:val="left" w:pos="1478"/>
        </w:tabs>
        <w:spacing w:line="267" w:lineRule="exact"/>
        <w:ind w:left="1477" w:hanging="638"/>
        <w:rPr>
          <w:sz w:val="21"/>
        </w:rPr>
      </w:pPr>
      <w:r>
        <w:rPr>
          <w:spacing w:val="-5"/>
          <w:sz w:val="21"/>
        </w:rPr>
        <w:t>目测检查电线束穿过有锐利边缘孔时的防护情况，判断试验结果是否符合</w:t>
      </w:r>
      <w:r>
        <w:rPr>
          <w:spacing w:val="-5"/>
          <w:sz w:val="21"/>
        </w:rPr>
        <w:t xml:space="preserve"> </w:t>
      </w:r>
      <w:r>
        <w:rPr>
          <w:sz w:val="21"/>
        </w:rPr>
        <w:t>5.7.12</w:t>
      </w:r>
    </w:p>
    <w:p w14:paraId="07F1754C" w14:textId="77777777" w:rsidR="00A71EEF" w:rsidRDefault="00A71EEF">
      <w:pPr>
        <w:pStyle w:val="a3"/>
        <w:spacing w:before="1"/>
        <w:rPr>
          <w:sz w:val="18"/>
        </w:rPr>
      </w:pPr>
    </w:p>
    <w:p w14:paraId="552D8AE6" w14:textId="77777777" w:rsidR="00A71EEF" w:rsidRDefault="0081115D">
      <w:pPr>
        <w:pStyle w:val="a3"/>
        <w:spacing w:before="1"/>
        <w:ind w:left="418"/>
      </w:pPr>
      <w:r>
        <w:t>的规定。</w:t>
      </w:r>
      <w:r>
        <w:t xml:space="preserve"> </w:t>
      </w:r>
    </w:p>
    <w:p w14:paraId="4F366C6D" w14:textId="77777777" w:rsidR="00A71EEF" w:rsidRDefault="00A71EEF">
      <w:pPr>
        <w:sectPr w:rsidR="00A71EEF">
          <w:pgSz w:w="11910" w:h="16850"/>
          <w:pgMar w:top="1220" w:right="0" w:bottom="1420" w:left="1260" w:header="0" w:footer="1239" w:gutter="0"/>
          <w:cols w:space="720"/>
        </w:sectPr>
      </w:pPr>
    </w:p>
    <w:p w14:paraId="75EA6763" w14:textId="77777777" w:rsidR="00A71EEF" w:rsidRDefault="0081115D">
      <w:pPr>
        <w:pStyle w:val="a4"/>
        <w:numPr>
          <w:ilvl w:val="2"/>
          <w:numId w:val="817"/>
        </w:numPr>
        <w:tabs>
          <w:tab w:val="left" w:pos="1478"/>
        </w:tabs>
        <w:spacing w:before="47"/>
        <w:ind w:left="1477" w:hanging="638"/>
        <w:rPr>
          <w:sz w:val="21"/>
        </w:rPr>
      </w:pPr>
      <w:r>
        <w:rPr>
          <w:spacing w:val="-5"/>
          <w:sz w:val="21"/>
        </w:rPr>
        <w:lastRenderedPageBreak/>
        <w:t>目测检查电线束的安装位置是否有油污，判断试验结果是否符合</w:t>
      </w:r>
      <w:r>
        <w:rPr>
          <w:spacing w:val="-5"/>
          <w:sz w:val="21"/>
        </w:rPr>
        <w:t xml:space="preserve"> </w:t>
      </w:r>
      <w:r>
        <w:rPr>
          <w:sz w:val="21"/>
        </w:rPr>
        <w:t>5.7.13</w:t>
      </w:r>
      <w:r>
        <w:rPr>
          <w:spacing w:val="-13"/>
          <w:sz w:val="21"/>
        </w:rPr>
        <w:t xml:space="preserve"> </w:t>
      </w:r>
      <w:r>
        <w:rPr>
          <w:spacing w:val="-13"/>
          <w:sz w:val="21"/>
        </w:rPr>
        <w:t>的规定。</w:t>
      </w:r>
      <w:r>
        <w:rPr>
          <w:sz w:val="21"/>
        </w:rPr>
        <w:t xml:space="preserve"> </w:t>
      </w:r>
    </w:p>
    <w:p w14:paraId="3C8D4058" w14:textId="77777777" w:rsidR="00A71EEF" w:rsidRDefault="00A71EEF">
      <w:pPr>
        <w:pStyle w:val="a3"/>
        <w:rPr>
          <w:sz w:val="18"/>
        </w:rPr>
      </w:pPr>
    </w:p>
    <w:p w14:paraId="11EA41B8" w14:textId="77777777" w:rsidR="00A71EEF" w:rsidRDefault="0081115D">
      <w:pPr>
        <w:pStyle w:val="a4"/>
        <w:numPr>
          <w:ilvl w:val="2"/>
          <w:numId w:val="817"/>
        </w:numPr>
        <w:tabs>
          <w:tab w:val="left" w:pos="1478"/>
        </w:tabs>
        <w:ind w:left="1477" w:hanging="638"/>
        <w:rPr>
          <w:sz w:val="21"/>
        </w:rPr>
      </w:pPr>
      <w:r>
        <w:rPr>
          <w:spacing w:val="-3"/>
          <w:sz w:val="21"/>
        </w:rPr>
        <w:t>目测检查安装上装的电线束是否破坏底盘的电线束，判断试验结果是否符合</w:t>
      </w:r>
    </w:p>
    <w:p w14:paraId="62E7E9D6" w14:textId="77777777" w:rsidR="00A71EEF" w:rsidRDefault="00A71EEF">
      <w:pPr>
        <w:pStyle w:val="a3"/>
        <w:rPr>
          <w:sz w:val="18"/>
        </w:rPr>
      </w:pPr>
    </w:p>
    <w:p w14:paraId="7602A735" w14:textId="77777777" w:rsidR="00A71EEF" w:rsidRDefault="0081115D">
      <w:pPr>
        <w:pStyle w:val="a3"/>
        <w:ind w:left="418"/>
        <w:jc w:val="both"/>
      </w:pPr>
      <w:r>
        <w:t xml:space="preserve">5.7.14 </w:t>
      </w:r>
      <w:r>
        <w:t>的规定。</w:t>
      </w:r>
      <w:r>
        <w:t xml:space="preserve"> </w:t>
      </w:r>
    </w:p>
    <w:p w14:paraId="5ED58EBE" w14:textId="77777777" w:rsidR="00A71EEF" w:rsidRDefault="00A71EEF">
      <w:pPr>
        <w:pStyle w:val="a3"/>
        <w:spacing w:before="1"/>
        <w:rPr>
          <w:sz w:val="18"/>
        </w:rPr>
      </w:pPr>
    </w:p>
    <w:p w14:paraId="41D1FDD8" w14:textId="77777777" w:rsidR="00A71EEF" w:rsidRDefault="0081115D">
      <w:pPr>
        <w:pStyle w:val="a4"/>
        <w:numPr>
          <w:ilvl w:val="2"/>
          <w:numId w:val="812"/>
        </w:numPr>
        <w:tabs>
          <w:tab w:val="left" w:pos="1478"/>
        </w:tabs>
        <w:spacing w:before="1" w:line="446" w:lineRule="auto"/>
        <w:ind w:right="1551" w:firstLine="422"/>
        <w:jc w:val="both"/>
        <w:rPr>
          <w:sz w:val="21"/>
        </w:rPr>
      </w:pPr>
      <w:r>
        <w:rPr>
          <w:spacing w:val="-4"/>
          <w:sz w:val="21"/>
        </w:rPr>
        <w:t>目测检查电路是否有保险装置，测量超过标称电流</w:t>
      </w:r>
      <w:r>
        <w:rPr>
          <w:spacing w:val="-4"/>
          <w:sz w:val="21"/>
        </w:rPr>
        <w:t xml:space="preserve"> </w:t>
      </w:r>
      <w:r>
        <w:rPr>
          <w:sz w:val="21"/>
        </w:rPr>
        <w:t>150</w:t>
      </w:r>
      <w:r>
        <w:rPr>
          <w:spacing w:val="-3"/>
          <w:sz w:val="21"/>
        </w:rPr>
        <w:t>%</w:t>
      </w:r>
      <w:r>
        <w:rPr>
          <w:spacing w:val="-3"/>
          <w:sz w:val="21"/>
        </w:rPr>
        <w:t>时，是否自动切断电路，判</w:t>
      </w:r>
      <w:r>
        <w:rPr>
          <w:spacing w:val="-8"/>
          <w:sz w:val="21"/>
        </w:rPr>
        <w:t>断试验结果是否符合</w:t>
      </w:r>
      <w:r>
        <w:rPr>
          <w:spacing w:val="-8"/>
          <w:sz w:val="21"/>
        </w:rPr>
        <w:t xml:space="preserve"> </w:t>
      </w:r>
      <w:r>
        <w:rPr>
          <w:sz w:val="21"/>
        </w:rPr>
        <w:t>5.7.15</w:t>
      </w:r>
      <w:r>
        <w:rPr>
          <w:spacing w:val="-13"/>
          <w:sz w:val="21"/>
        </w:rPr>
        <w:t xml:space="preserve"> </w:t>
      </w:r>
      <w:r>
        <w:rPr>
          <w:spacing w:val="-13"/>
          <w:sz w:val="21"/>
        </w:rPr>
        <w:t>的规定。</w:t>
      </w:r>
      <w:r>
        <w:rPr>
          <w:sz w:val="21"/>
        </w:rPr>
        <w:t xml:space="preserve"> </w:t>
      </w:r>
    </w:p>
    <w:p w14:paraId="300413BF" w14:textId="77777777" w:rsidR="00A71EEF" w:rsidRDefault="0081115D">
      <w:pPr>
        <w:pStyle w:val="a4"/>
        <w:numPr>
          <w:ilvl w:val="2"/>
          <w:numId w:val="812"/>
        </w:numPr>
        <w:tabs>
          <w:tab w:val="left" w:pos="1478"/>
        </w:tabs>
        <w:spacing w:line="446" w:lineRule="auto"/>
        <w:ind w:right="1496" w:firstLine="422"/>
        <w:jc w:val="both"/>
        <w:rPr>
          <w:sz w:val="21"/>
        </w:rPr>
      </w:pPr>
      <w:r>
        <w:rPr>
          <w:spacing w:val="-3"/>
          <w:sz w:val="21"/>
        </w:rPr>
        <w:t>目测检查消防车上装和底盘的电路的保险装置，功率输出装置的挂挡机构、泵操作</w:t>
      </w:r>
      <w:r>
        <w:rPr>
          <w:spacing w:val="-4"/>
          <w:sz w:val="21"/>
        </w:rPr>
        <w:t>板照明、警示灯具和电动消防炮是否使用独立的保险装置，判断试验结果是否符合</w:t>
      </w:r>
      <w:r>
        <w:rPr>
          <w:spacing w:val="-4"/>
          <w:sz w:val="21"/>
        </w:rPr>
        <w:t xml:space="preserve"> </w:t>
      </w:r>
      <w:r>
        <w:rPr>
          <w:sz w:val="21"/>
        </w:rPr>
        <w:t>5.7.16</w:t>
      </w:r>
      <w:r>
        <w:rPr>
          <w:spacing w:val="-13"/>
          <w:sz w:val="21"/>
        </w:rPr>
        <w:t xml:space="preserve"> </w:t>
      </w:r>
      <w:r>
        <w:rPr>
          <w:spacing w:val="-13"/>
          <w:sz w:val="21"/>
        </w:rPr>
        <w:t>的规</w:t>
      </w:r>
      <w:r>
        <w:rPr>
          <w:spacing w:val="-8"/>
          <w:sz w:val="21"/>
        </w:rPr>
        <w:t>定。</w:t>
      </w:r>
      <w:r>
        <w:rPr>
          <w:sz w:val="21"/>
        </w:rPr>
        <w:t xml:space="preserve"> </w:t>
      </w:r>
    </w:p>
    <w:p w14:paraId="27765CC8" w14:textId="77777777" w:rsidR="00A71EEF" w:rsidRDefault="0081115D">
      <w:pPr>
        <w:pStyle w:val="a4"/>
        <w:numPr>
          <w:ilvl w:val="2"/>
          <w:numId w:val="812"/>
        </w:numPr>
        <w:tabs>
          <w:tab w:val="left" w:pos="1478"/>
        </w:tabs>
        <w:spacing w:line="446" w:lineRule="auto"/>
        <w:ind w:right="1498" w:firstLine="422"/>
        <w:jc w:val="both"/>
        <w:rPr>
          <w:sz w:val="21"/>
        </w:rPr>
      </w:pPr>
      <w:r>
        <w:rPr>
          <w:spacing w:val="-3"/>
          <w:sz w:val="21"/>
        </w:rPr>
        <w:t>目测检查消防车所有电路保险装置是否集中放置，电路保险装置是否放置在干燥、</w:t>
      </w:r>
      <w:r>
        <w:rPr>
          <w:spacing w:val="-4"/>
          <w:sz w:val="21"/>
        </w:rPr>
        <w:t>防水、防尘、避免机械振动和冲击并且维修人员易接触处，判断试验结果是否符合</w:t>
      </w:r>
      <w:r>
        <w:rPr>
          <w:spacing w:val="-4"/>
          <w:sz w:val="21"/>
        </w:rPr>
        <w:t xml:space="preserve"> </w:t>
      </w:r>
      <w:r>
        <w:rPr>
          <w:sz w:val="21"/>
        </w:rPr>
        <w:t>5.7.17</w:t>
      </w:r>
      <w:r>
        <w:rPr>
          <w:spacing w:val="-13"/>
          <w:sz w:val="21"/>
        </w:rPr>
        <w:t xml:space="preserve"> </w:t>
      </w:r>
      <w:r>
        <w:rPr>
          <w:spacing w:val="-13"/>
          <w:sz w:val="21"/>
        </w:rPr>
        <w:t>的规</w:t>
      </w:r>
      <w:r>
        <w:rPr>
          <w:spacing w:val="-8"/>
          <w:sz w:val="21"/>
        </w:rPr>
        <w:t>定。</w:t>
      </w:r>
      <w:r>
        <w:rPr>
          <w:sz w:val="21"/>
        </w:rPr>
        <w:t xml:space="preserve"> </w:t>
      </w:r>
    </w:p>
    <w:p w14:paraId="02D228B2" w14:textId="77777777" w:rsidR="00A71EEF" w:rsidRDefault="0081115D">
      <w:pPr>
        <w:pStyle w:val="a4"/>
        <w:numPr>
          <w:ilvl w:val="2"/>
          <w:numId w:val="812"/>
        </w:numPr>
        <w:tabs>
          <w:tab w:val="left" w:pos="1478"/>
        </w:tabs>
        <w:spacing w:line="446" w:lineRule="auto"/>
        <w:ind w:right="1601" w:firstLine="422"/>
        <w:rPr>
          <w:sz w:val="21"/>
        </w:rPr>
      </w:pPr>
      <w:r>
        <w:rPr>
          <w:spacing w:val="-3"/>
          <w:sz w:val="21"/>
        </w:rPr>
        <w:t>检查消防车所用电气开关的型号，安装在车辆外部的开关是否有防雨罩，判断试验</w:t>
      </w:r>
      <w:r>
        <w:rPr>
          <w:spacing w:val="-11"/>
          <w:sz w:val="21"/>
        </w:rPr>
        <w:t>结果是否符合</w:t>
      </w:r>
      <w:r>
        <w:rPr>
          <w:spacing w:val="-11"/>
          <w:sz w:val="21"/>
        </w:rPr>
        <w:t xml:space="preserve"> </w:t>
      </w:r>
      <w:r>
        <w:rPr>
          <w:sz w:val="21"/>
        </w:rPr>
        <w:t>5.7.18</w:t>
      </w:r>
      <w:r>
        <w:rPr>
          <w:spacing w:val="-13"/>
          <w:sz w:val="21"/>
        </w:rPr>
        <w:t xml:space="preserve"> </w:t>
      </w:r>
      <w:r>
        <w:rPr>
          <w:spacing w:val="-13"/>
          <w:sz w:val="21"/>
        </w:rPr>
        <w:t>的规定。</w:t>
      </w:r>
      <w:r>
        <w:rPr>
          <w:sz w:val="21"/>
        </w:rPr>
        <w:t xml:space="preserve"> </w:t>
      </w:r>
    </w:p>
    <w:p w14:paraId="536FE571" w14:textId="77777777" w:rsidR="00A71EEF" w:rsidRDefault="0081115D">
      <w:pPr>
        <w:pStyle w:val="a4"/>
        <w:numPr>
          <w:ilvl w:val="2"/>
          <w:numId w:val="812"/>
        </w:numPr>
        <w:tabs>
          <w:tab w:val="left" w:pos="1478"/>
        </w:tabs>
        <w:spacing w:line="446" w:lineRule="auto"/>
        <w:ind w:right="1496" w:firstLine="422"/>
        <w:rPr>
          <w:sz w:val="21"/>
        </w:rPr>
      </w:pPr>
      <w:r>
        <w:rPr>
          <w:spacing w:val="-3"/>
          <w:sz w:val="21"/>
        </w:rPr>
        <w:t>检查电气开关的最大允许电流及所接电路标称电流，目测检查驾驶室仪表板或附近</w:t>
      </w:r>
      <w:r>
        <w:rPr>
          <w:spacing w:val="-5"/>
          <w:sz w:val="21"/>
        </w:rPr>
        <w:t>是否有可安装备用按钮和相应指示灯的位置，判断试验结果是否符合</w:t>
      </w:r>
      <w:r>
        <w:rPr>
          <w:spacing w:val="-5"/>
          <w:sz w:val="21"/>
        </w:rPr>
        <w:t xml:space="preserve"> </w:t>
      </w:r>
      <w:r>
        <w:rPr>
          <w:sz w:val="21"/>
        </w:rPr>
        <w:t>5.7.19</w:t>
      </w:r>
      <w:r>
        <w:rPr>
          <w:spacing w:val="-12"/>
          <w:sz w:val="21"/>
        </w:rPr>
        <w:t xml:space="preserve"> </w:t>
      </w:r>
      <w:r>
        <w:rPr>
          <w:spacing w:val="-12"/>
          <w:sz w:val="21"/>
        </w:rPr>
        <w:t>的规定。</w:t>
      </w:r>
      <w:r>
        <w:rPr>
          <w:spacing w:val="-12"/>
          <w:sz w:val="21"/>
        </w:rPr>
        <w:t xml:space="preserve"> </w:t>
      </w:r>
    </w:p>
    <w:p w14:paraId="06C20369" w14:textId="77777777" w:rsidR="00A71EEF" w:rsidRDefault="0081115D">
      <w:pPr>
        <w:pStyle w:val="a4"/>
        <w:numPr>
          <w:ilvl w:val="2"/>
          <w:numId w:val="812"/>
        </w:numPr>
        <w:tabs>
          <w:tab w:val="left" w:pos="1478"/>
        </w:tabs>
        <w:ind w:left="1477" w:hanging="638"/>
        <w:rPr>
          <w:sz w:val="21"/>
        </w:rPr>
      </w:pPr>
      <w:r>
        <w:rPr>
          <w:spacing w:val="-5"/>
          <w:sz w:val="21"/>
        </w:rPr>
        <w:t>检查底盘发电机功率与标准规定的用电器具的功率，判断试验结果是否符合</w:t>
      </w:r>
      <w:r>
        <w:rPr>
          <w:spacing w:val="-5"/>
          <w:sz w:val="21"/>
        </w:rPr>
        <w:t xml:space="preserve"> </w:t>
      </w:r>
      <w:r>
        <w:rPr>
          <w:sz w:val="21"/>
        </w:rPr>
        <w:t>5.7.20</w:t>
      </w:r>
    </w:p>
    <w:p w14:paraId="5C099814" w14:textId="77777777" w:rsidR="00A71EEF" w:rsidRDefault="00A71EEF">
      <w:pPr>
        <w:pStyle w:val="a3"/>
        <w:spacing w:before="7"/>
        <w:rPr>
          <w:sz w:val="17"/>
        </w:rPr>
      </w:pPr>
    </w:p>
    <w:p w14:paraId="771C154C" w14:textId="77777777" w:rsidR="00A71EEF" w:rsidRDefault="0081115D">
      <w:pPr>
        <w:pStyle w:val="a3"/>
        <w:ind w:left="418"/>
      </w:pPr>
      <w:r>
        <w:t>的规定。</w:t>
      </w:r>
      <w:r>
        <w:t xml:space="preserve"> </w:t>
      </w:r>
    </w:p>
    <w:p w14:paraId="0B6A033E" w14:textId="77777777" w:rsidR="00A71EEF" w:rsidRDefault="00A71EEF">
      <w:pPr>
        <w:pStyle w:val="a3"/>
        <w:rPr>
          <w:sz w:val="18"/>
        </w:rPr>
      </w:pPr>
    </w:p>
    <w:p w14:paraId="7D0B1419" w14:textId="77777777" w:rsidR="00A71EEF" w:rsidRDefault="0081115D">
      <w:pPr>
        <w:pStyle w:val="a4"/>
        <w:numPr>
          <w:ilvl w:val="2"/>
          <w:numId w:val="812"/>
        </w:numPr>
        <w:tabs>
          <w:tab w:val="left" w:pos="1478"/>
        </w:tabs>
        <w:spacing w:line="446" w:lineRule="auto"/>
        <w:ind w:right="1496" w:firstLine="422"/>
        <w:rPr>
          <w:sz w:val="21"/>
        </w:rPr>
      </w:pPr>
      <w:r>
        <w:rPr>
          <w:spacing w:val="-3"/>
          <w:sz w:val="21"/>
        </w:rPr>
        <w:t>不启动底盘发动机，打开用电器具，观察是否有声、光报警，报警是否可在驾驶室</w:t>
      </w:r>
      <w:r>
        <w:rPr>
          <w:spacing w:val="-7"/>
          <w:sz w:val="21"/>
        </w:rPr>
        <w:t>察觉，判断试验结果是否符合</w:t>
      </w:r>
      <w:r>
        <w:rPr>
          <w:spacing w:val="-7"/>
          <w:sz w:val="21"/>
        </w:rPr>
        <w:t xml:space="preserve"> </w:t>
      </w:r>
      <w:r>
        <w:rPr>
          <w:sz w:val="21"/>
        </w:rPr>
        <w:t>5.7.21</w:t>
      </w:r>
      <w:r>
        <w:rPr>
          <w:spacing w:val="-13"/>
          <w:sz w:val="21"/>
        </w:rPr>
        <w:t xml:space="preserve"> </w:t>
      </w:r>
      <w:r>
        <w:rPr>
          <w:spacing w:val="-13"/>
          <w:sz w:val="21"/>
        </w:rPr>
        <w:t>的规定。</w:t>
      </w:r>
      <w:r>
        <w:rPr>
          <w:sz w:val="21"/>
        </w:rPr>
        <w:t xml:space="preserve"> </w:t>
      </w:r>
    </w:p>
    <w:p w14:paraId="2D0EF43A" w14:textId="77777777" w:rsidR="00A71EEF" w:rsidRDefault="0081115D">
      <w:pPr>
        <w:pStyle w:val="a4"/>
        <w:numPr>
          <w:ilvl w:val="2"/>
          <w:numId w:val="812"/>
        </w:numPr>
        <w:tabs>
          <w:tab w:val="left" w:pos="1478"/>
        </w:tabs>
        <w:spacing w:line="446" w:lineRule="auto"/>
        <w:ind w:right="1603" w:firstLine="422"/>
        <w:jc w:val="both"/>
        <w:rPr>
          <w:sz w:val="21"/>
        </w:rPr>
      </w:pPr>
      <w:r>
        <w:rPr>
          <w:spacing w:val="-8"/>
          <w:sz w:val="21"/>
        </w:rPr>
        <w:t>断开蓄电池接线，对于</w:t>
      </w:r>
      <w:r>
        <w:rPr>
          <w:spacing w:val="-8"/>
          <w:sz w:val="21"/>
        </w:rPr>
        <w:t xml:space="preserve"> </w:t>
      </w:r>
      <w:r>
        <w:rPr>
          <w:sz w:val="21"/>
        </w:rPr>
        <w:t>12</w:t>
      </w:r>
      <w:r>
        <w:rPr>
          <w:spacing w:val="7"/>
          <w:sz w:val="21"/>
        </w:rPr>
        <w:t xml:space="preserve"> </w:t>
      </w:r>
      <w:r>
        <w:rPr>
          <w:sz w:val="21"/>
        </w:rPr>
        <w:t>V</w:t>
      </w:r>
      <w:r>
        <w:rPr>
          <w:spacing w:val="-12"/>
          <w:sz w:val="21"/>
        </w:rPr>
        <w:t xml:space="preserve"> </w:t>
      </w:r>
      <w:r>
        <w:rPr>
          <w:spacing w:val="-12"/>
          <w:sz w:val="21"/>
        </w:rPr>
        <w:t>标称电压的消防车用输出电压低于</w:t>
      </w:r>
      <w:r>
        <w:rPr>
          <w:spacing w:val="-12"/>
          <w:sz w:val="21"/>
        </w:rPr>
        <w:t xml:space="preserve"> </w:t>
      </w:r>
      <w:r>
        <w:rPr>
          <w:sz w:val="21"/>
        </w:rPr>
        <w:t>9.6</w:t>
      </w:r>
      <w:r>
        <w:rPr>
          <w:spacing w:val="7"/>
          <w:sz w:val="21"/>
        </w:rPr>
        <w:t xml:space="preserve"> </w:t>
      </w:r>
      <w:r>
        <w:rPr>
          <w:sz w:val="21"/>
        </w:rPr>
        <w:t>V</w:t>
      </w:r>
      <w:r>
        <w:rPr>
          <w:spacing w:val="-10"/>
          <w:sz w:val="21"/>
        </w:rPr>
        <w:t xml:space="preserve"> </w:t>
      </w:r>
      <w:r>
        <w:rPr>
          <w:spacing w:val="-10"/>
          <w:sz w:val="21"/>
        </w:rPr>
        <w:t>电源供电，</w:t>
      </w:r>
      <w:r>
        <w:rPr>
          <w:spacing w:val="-10"/>
          <w:sz w:val="21"/>
        </w:rPr>
        <w:t xml:space="preserve"> </w:t>
      </w:r>
      <w:r>
        <w:rPr>
          <w:spacing w:val="-24"/>
          <w:sz w:val="21"/>
        </w:rPr>
        <w:t>对于</w:t>
      </w:r>
      <w:r>
        <w:rPr>
          <w:spacing w:val="-24"/>
          <w:sz w:val="21"/>
        </w:rPr>
        <w:t xml:space="preserve"> </w:t>
      </w:r>
      <w:r>
        <w:rPr>
          <w:sz w:val="21"/>
        </w:rPr>
        <w:t>24</w:t>
      </w:r>
      <w:r>
        <w:rPr>
          <w:spacing w:val="6"/>
          <w:sz w:val="21"/>
        </w:rPr>
        <w:t xml:space="preserve"> </w:t>
      </w:r>
      <w:r>
        <w:rPr>
          <w:sz w:val="21"/>
        </w:rPr>
        <w:t>V</w:t>
      </w:r>
      <w:r>
        <w:rPr>
          <w:spacing w:val="-12"/>
          <w:sz w:val="21"/>
        </w:rPr>
        <w:t xml:space="preserve"> </w:t>
      </w:r>
      <w:r>
        <w:rPr>
          <w:spacing w:val="-12"/>
          <w:sz w:val="21"/>
        </w:rPr>
        <w:t>标称电压的消防车用输出电压低于</w:t>
      </w:r>
      <w:r>
        <w:rPr>
          <w:spacing w:val="-12"/>
          <w:sz w:val="21"/>
        </w:rPr>
        <w:t xml:space="preserve"> </w:t>
      </w:r>
      <w:r>
        <w:rPr>
          <w:sz w:val="21"/>
        </w:rPr>
        <w:t>19.2</w:t>
      </w:r>
      <w:r>
        <w:rPr>
          <w:spacing w:val="3"/>
          <w:sz w:val="21"/>
        </w:rPr>
        <w:t xml:space="preserve"> </w:t>
      </w:r>
      <w:r>
        <w:rPr>
          <w:sz w:val="21"/>
        </w:rPr>
        <w:t>V</w:t>
      </w:r>
      <w:r>
        <w:rPr>
          <w:spacing w:val="-13"/>
          <w:sz w:val="21"/>
        </w:rPr>
        <w:t xml:space="preserve"> </w:t>
      </w:r>
      <w:r>
        <w:rPr>
          <w:spacing w:val="-13"/>
          <w:sz w:val="21"/>
        </w:rPr>
        <w:t>电源供电，供电时间</w:t>
      </w:r>
      <w:r>
        <w:rPr>
          <w:spacing w:val="-13"/>
          <w:sz w:val="21"/>
        </w:rPr>
        <w:t xml:space="preserve"> </w:t>
      </w:r>
      <w:r>
        <w:rPr>
          <w:sz w:val="21"/>
        </w:rPr>
        <w:t>2</w:t>
      </w:r>
      <w:r>
        <w:rPr>
          <w:spacing w:val="6"/>
          <w:sz w:val="21"/>
        </w:rPr>
        <w:t xml:space="preserve"> </w:t>
      </w:r>
      <w:r>
        <w:rPr>
          <w:sz w:val="21"/>
        </w:rPr>
        <w:t>min</w:t>
      </w:r>
      <w:r>
        <w:rPr>
          <w:sz w:val="21"/>
        </w:rPr>
        <w:t>，</w:t>
      </w:r>
      <w:r>
        <w:rPr>
          <w:spacing w:val="-3"/>
          <w:sz w:val="21"/>
        </w:rPr>
        <w:t>观察是否有</w:t>
      </w:r>
      <w:r>
        <w:rPr>
          <w:spacing w:val="-5"/>
          <w:sz w:val="21"/>
        </w:rPr>
        <w:t>声、光报警，报警是否可在驾驶室察觉，判断试验结果是否符合</w:t>
      </w:r>
      <w:r>
        <w:rPr>
          <w:spacing w:val="-5"/>
          <w:sz w:val="21"/>
        </w:rPr>
        <w:t xml:space="preserve"> </w:t>
      </w:r>
      <w:r>
        <w:rPr>
          <w:sz w:val="21"/>
        </w:rPr>
        <w:t>5.7.22</w:t>
      </w:r>
      <w:r>
        <w:rPr>
          <w:spacing w:val="-12"/>
          <w:sz w:val="21"/>
        </w:rPr>
        <w:t xml:space="preserve"> </w:t>
      </w:r>
      <w:r>
        <w:rPr>
          <w:spacing w:val="-12"/>
          <w:sz w:val="21"/>
        </w:rPr>
        <w:t>的规定。</w:t>
      </w:r>
      <w:r>
        <w:rPr>
          <w:spacing w:val="-12"/>
          <w:sz w:val="21"/>
        </w:rPr>
        <w:t xml:space="preserve"> </w:t>
      </w:r>
    </w:p>
    <w:p w14:paraId="31BC1356" w14:textId="77777777" w:rsidR="00A71EEF" w:rsidRDefault="0081115D">
      <w:pPr>
        <w:pStyle w:val="a4"/>
        <w:numPr>
          <w:ilvl w:val="2"/>
          <w:numId w:val="812"/>
        </w:numPr>
        <w:tabs>
          <w:tab w:val="left" w:pos="1478"/>
        </w:tabs>
        <w:spacing w:line="446" w:lineRule="auto"/>
        <w:ind w:right="1496" w:firstLine="422"/>
        <w:rPr>
          <w:sz w:val="21"/>
        </w:rPr>
      </w:pPr>
      <w:r>
        <w:rPr>
          <w:spacing w:val="-3"/>
          <w:sz w:val="21"/>
        </w:rPr>
        <w:t>检查消防车是否安装蓄电池充电插座，将充电插头插入充电插座，启动发动机观察</w:t>
      </w:r>
      <w:r>
        <w:rPr>
          <w:spacing w:val="-5"/>
          <w:sz w:val="21"/>
        </w:rPr>
        <w:t>充电插头是否自动从插座脱落，判断试验结果是否符合</w:t>
      </w:r>
      <w:r>
        <w:rPr>
          <w:spacing w:val="-5"/>
          <w:sz w:val="21"/>
        </w:rPr>
        <w:t xml:space="preserve"> </w:t>
      </w:r>
      <w:r>
        <w:rPr>
          <w:sz w:val="21"/>
        </w:rPr>
        <w:t>5.7.23</w:t>
      </w:r>
      <w:r>
        <w:rPr>
          <w:spacing w:val="-13"/>
          <w:sz w:val="21"/>
        </w:rPr>
        <w:t xml:space="preserve"> </w:t>
      </w:r>
      <w:r>
        <w:rPr>
          <w:spacing w:val="-13"/>
          <w:sz w:val="21"/>
        </w:rPr>
        <w:t>的规定。</w:t>
      </w:r>
      <w:r>
        <w:rPr>
          <w:sz w:val="21"/>
        </w:rPr>
        <w:t xml:space="preserve"> </w:t>
      </w:r>
    </w:p>
    <w:p w14:paraId="173EA1E9" w14:textId="77777777" w:rsidR="00A71EEF" w:rsidRDefault="0081115D">
      <w:pPr>
        <w:pStyle w:val="a4"/>
        <w:numPr>
          <w:ilvl w:val="2"/>
          <w:numId w:val="812"/>
        </w:numPr>
        <w:tabs>
          <w:tab w:val="left" w:pos="1478"/>
        </w:tabs>
        <w:spacing w:line="446" w:lineRule="auto"/>
        <w:ind w:right="1498" w:firstLine="422"/>
        <w:rPr>
          <w:sz w:val="21"/>
        </w:rPr>
      </w:pPr>
      <w:r>
        <w:rPr>
          <w:spacing w:val="-3"/>
          <w:sz w:val="21"/>
        </w:rPr>
        <w:t>目测检查蓄电池放置的位置是否通风、干燥，是否便于维护，放置在其他地方是否远离热源并是否采取防护措施以免消防车行驶时遭飞溅物损伤，测量蓄电池距电线或制动管的</w:t>
      </w:r>
      <w:r>
        <w:rPr>
          <w:spacing w:val="-7"/>
          <w:sz w:val="21"/>
        </w:rPr>
        <w:t>距离，判断试验结果是否符合</w:t>
      </w:r>
      <w:r>
        <w:rPr>
          <w:spacing w:val="-7"/>
          <w:sz w:val="21"/>
        </w:rPr>
        <w:t xml:space="preserve"> </w:t>
      </w:r>
      <w:r>
        <w:rPr>
          <w:sz w:val="21"/>
        </w:rPr>
        <w:t>5.7.24</w:t>
      </w:r>
      <w:r>
        <w:rPr>
          <w:spacing w:val="-13"/>
          <w:sz w:val="21"/>
        </w:rPr>
        <w:t xml:space="preserve"> </w:t>
      </w:r>
      <w:r>
        <w:rPr>
          <w:spacing w:val="-13"/>
          <w:sz w:val="21"/>
        </w:rPr>
        <w:t>的规定。</w:t>
      </w:r>
      <w:r>
        <w:rPr>
          <w:sz w:val="21"/>
        </w:rPr>
        <w:t xml:space="preserve"> </w:t>
      </w:r>
    </w:p>
    <w:p w14:paraId="58D62F0D" w14:textId="77777777" w:rsidR="00A71EEF" w:rsidRDefault="00A71EEF">
      <w:pPr>
        <w:spacing w:line="446" w:lineRule="auto"/>
        <w:rPr>
          <w:sz w:val="21"/>
        </w:rPr>
        <w:sectPr w:rsidR="00A71EEF">
          <w:pgSz w:w="11910" w:h="16850"/>
          <w:pgMar w:top="1220" w:right="0" w:bottom="1420" w:left="1260" w:header="0" w:footer="1239" w:gutter="0"/>
          <w:cols w:space="720"/>
        </w:sectPr>
      </w:pPr>
    </w:p>
    <w:p w14:paraId="2BD7E389" w14:textId="77777777" w:rsidR="00A71EEF" w:rsidRDefault="0081115D">
      <w:pPr>
        <w:pStyle w:val="a4"/>
        <w:numPr>
          <w:ilvl w:val="2"/>
          <w:numId w:val="812"/>
        </w:numPr>
        <w:tabs>
          <w:tab w:val="left" w:pos="1478"/>
        </w:tabs>
        <w:spacing w:before="47" w:line="446" w:lineRule="auto"/>
        <w:ind w:right="1452" w:firstLine="422"/>
        <w:rPr>
          <w:sz w:val="21"/>
        </w:rPr>
      </w:pPr>
      <w:r>
        <w:rPr>
          <w:spacing w:val="-5"/>
          <w:sz w:val="21"/>
        </w:rPr>
        <w:lastRenderedPageBreak/>
        <w:t>将蓄电池充满，断开底盘发电机输出电路，按</w:t>
      </w:r>
      <w:r>
        <w:rPr>
          <w:spacing w:val="-5"/>
          <w:sz w:val="21"/>
        </w:rPr>
        <w:t xml:space="preserve"> </w:t>
      </w:r>
      <w:r>
        <w:rPr>
          <w:sz w:val="21"/>
        </w:rPr>
        <w:t>5.7.20</w:t>
      </w:r>
      <w:r>
        <w:rPr>
          <w:spacing w:val="-8"/>
          <w:sz w:val="21"/>
        </w:rPr>
        <w:t xml:space="preserve"> </w:t>
      </w:r>
      <w:r>
        <w:rPr>
          <w:spacing w:val="-8"/>
          <w:sz w:val="21"/>
        </w:rPr>
        <w:t>配备的要求打开所有用电器具</w:t>
      </w:r>
      <w:r>
        <w:rPr>
          <w:spacing w:val="-4"/>
          <w:sz w:val="21"/>
        </w:rPr>
        <w:t>，用秒表开始计时，</w:t>
      </w:r>
      <w:r>
        <w:rPr>
          <w:sz w:val="21"/>
        </w:rPr>
        <w:t>10</w:t>
      </w:r>
      <w:r>
        <w:rPr>
          <w:spacing w:val="11"/>
          <w:sz w:val="21"/>
        </w:rPr>
        <w:t xml:space="preserve"> </w:t>
      </w:r>
      <w:r>
        <w:rPr>
          <w:sz w:val="21"/>
        </w:rPr>
        <w:t>min</w:t>
      </w:r>
      <w:r>
        <w:rPr>
          <w:spacing w:val="-10"/>
          <w:sz w:val="21"/>
        </w:rPr>
        <w:t xml:space="preserve"> </w:t>
      </w:r>
      <w:r>
        <w:rPr>
          <w:spacing w:val="-10"/>
          <w:sz w:val="21"/>
        </w:rPr>
        <w:t>后，观察用电器具的工作状态，判断试验结果是否符合</w:t>
      </w:r>
      <w:r>
        <w:rPr>
          <w:spacing w:val="-10"/>
          <w:sz w:val="21"/>
        </w:rPr>
        <w:t xml:space="preserve"> </w:t>
      </w:r>
      <w:r>
        <w:rPr>
          <w:sz w:val="21"/>
        </w:rPr>
        <w:t>5.7.25</w:t>
      </w:r>
      <w:r>
        <w:rPr>
          <w:spacing w:val="-16"/>
          <w:sz w:val="21"/>
        </w:rPr>
        <w:t xml:space="preserve"> </w:t>
      </w:r>
      <w:r>
        <w:rPr>
          <w:spacing w:val="-16"/>
          <w:sz w:val="21"/>
        </w:rPr>
        <w:t>的规</w:t>
      </w:r>
      <w:r>
        <w:rPr>
          <w:spacing w:val="-10"/>
          <w:sz w:val="21"/>
        </w:rPr>
        <w:t>定。</w:t>
      </w:r>
      <w:r>
        <w:rPr>
          <w:sz w:val="21"/>
        </w:rPr>
        <w:t xml:space="preserve"> </w:t>
      </w:r>
    </w:p>
    <w:p w14:paraId="1440C222" w14:textId="77777777" w:rsidR="00A71EEF" w:rsidRDefault="0081115D">
      <w:pPr>
        <w:pStyle w:val="a4"/>
        <w:numPr>
          <w:ilvl w:val="2"/>
          <w:numId w:val="812"/>
        </w:numPr>
        <w:tabs>
          <w:tab w:val="left" w:pos="1478"/>
        </w:tabs>
        <w:spacing w:line="268" w:lineRule="exact"/>
        <w:ind w:left="1477" w:hanging="638"/>
        <w:rPr>
          <w:sz w:val="21"/>
        </w:rPr>
      </w:pPr>
      <w:r>
        <w:rPr>
          <w:spacing w:val="-3"/>
          <w:sz w:val="21"/>
        </w:rPr>
        <w:t>使用蓄电池电容量表测量蓄电池电容量，将蓄电池放电至原容量的</w:t>
      </w:r>
      <w:r>
        <w:rPr>
          <w:spacing w:val="-3"/>
          <w:sz w:val="21"/>
        </w:rPr>
        <w:t xml:space="preserve"> </w:t>
      </w:r>
      <w:r>
        <w:rPr>
          <w:sz w:val="21"/>
        </w:rPr>
        <w:t>70</w:t>
      </w:r>
      <w:r>
        <w:rPr>
          <w:spacing w:val="-14"/>
          <w:sz w:val="21"/>
        </w:rPr>
        <w:t>%</w:t>
      </w:r>
      <w:r>
        <w:rPr>
          <w:spacing w:val="-14"/>
          <w:sz w:val="21"/>
        </w:rPr>
        <w:t>，按</w:t>
      </w:r>
      <w:r>
        <w:rPr>
          <w:spacing w:val="-14"/>
          <w:sz w:val="21"/>
        </w:rPr>
        <w:t xml:space="preserve"> </w:t>
      </w:r>
      <w:r>
        <w:rPr>
          <w:sz w:val="21"/>
        </w:rPr>
        <w:t xml:space="preserve">GB </w:t>
      </w:r>
    </w:p>
    <w:p w14:paraId="13645125" w14:textId="77777777" w:rsidR="00A71EEF" w:rsidRDefault="00A71EEF">
      <w:pPr>
        <w:pStyle w:val="a3"/>
        <w:rPr>
          <w:sz w:val="18"/>
        </w:rPr>
      </w:pPr>
    </w:p>
    <w:p w14:paraId="0A89B42A" w14:textId="77777777" w:rsidR="00A71EEF" w:rsidRDefault="0081115D">
      <w:pPr>
        <w:pStyle w:val="a3"/>
        <w:ind w:left="418"/>
      </w:pPr>
      <w:r>
        <w:t xml:space="preserve">6245 </w:t>
      </w:r>
      <w:r>
        <w:t>规定的最大真空度试验方法进行最大真空度试验，判断试验结果是否符合</w:t>
      </w:r>
      <w:r>
        <w:t xml:space="preserve"> 5.7.26 </w:t>
      </w:r>
      <w:r>
        <w:t>的规定。</w:t>
      </w:r>
      <w:r>
        <w:t xml:space="preserve"> </w:t>
      </w:r>
    </w:p>
    <w:p w14:paraId="5FD159D1" w14:textId="77777777" w:rsidR="00A71EEF" w:rsidRDefault="00A71EEF">
      <w:pPr>
        <w:pStyle w:val="a3"/>
        <w:spacing w:before="12"/>
        <w:rPr>
          <w:sz w:val="17"/>
        </w:rPr>
      </w:pPr>
    </w:p>
    <w:p w14:paraId="7D6F875B" w14:textId="77777777" w:rsidR="00A71EEF" w:rsidRDefault="0081115D">
      <w:pPr>
        <w:pStyle w:val="a4"/>
        <w:numPr>
          <w:ilvl w:val="2"/>
          <w:numId w:val="812"/>
        </w:numPr>
        <w:tabs>
          <w:tab w:val="left" w:pos="1478"/>
        </w:tabs>
        <w:spacing w:line="446" w:lineRule="auto"/>
        <w:ind w:right="1496" w:firstLine="422"/>
        <w:rPr>
          <w:sz w:val="21"/>
        </w:rPr>
      </w:pPr>
      <w:r>
        <w:rPr>
          <w:spacing w:val="-3"/>
          <w:sz w:val="21"/>
        </w:rPr>
        <w:t>打开消防车所有用电器具检查是否干扰消防员使用的通信设备，判断试验结果是否</w:t>
      </w:r>
      <w:r>
        <w:rPr>
          <w:spacing w:val="-20"/>
          <w:sz w:val="21"/>
        </w:rPr>
        <w:t>符合</w:t>
      </w:r>
      <w:r>
        <w:rPr>
          <w:spacing w:val="-20"/>
          <w:sz w:val="21"/>
        </w:rPr>
        <w:t xml:space="preserve"> </w:t>
      </w:r>
      <w:r>
        <w:rPr>
          <w:sz w:val="21"/>
        </w:rPr>
        <w:t>5.7.27</w:t>
      </w:r>
      <w:r>
        <w:rPr>
          <w:spacing w:val="-13"/>
          <w:sz w:val="21"/>
        </w:rPr>
        <w:t xml:space="preserve"> </w:t>
      </w:r>
      <w:r>
        <w:rPr>
          <w:spacing w:val="-13"/>
          <w:sz w:val="21"/>
        </w:rPr>
        <w:t>的规定。</w:t>
      </w:r>
      <w:r>
        <w:rPr>
          <w:sz w:val="21"/>
        </w:rPr>
        <w:t xml:space="preserve"> </w:t>
      </w:r>
    </w:p>
    <w:p w14:paraId="3AA8A57F" w14:textId="77777777" w:rsidR="00A71EEF" w:rsidRDefault="0081115D">
      <w:pPr>
        <w:pStyle w:val="a4"/>
        <w:numPr>
          <w:ilvl w:val="2"/>
          <w:numId w:val="812"/>
        </w:numPr>
        <w:tabs>
          <w:tab w:val="left" w:pos="1478"/>
        </w:tabs>
        <w:spacing w:before="1" w:line="446" w:lineRule="auto"/>
        <w:ind w:right="1496" w:firstLine="422"/>
        <w:rPr>
          <w:sz w:val="21"/>
        </w:rPr>
      </w:pPr>
      <w:r>
        <w:rPr>
          <w:spacing w:val="-3"/>
          <w:sz w:val="21"/>
        </w:rPr>
        <w:t>目测检查消防车车顶警灯、警报器的安装位置，及警报器的功能，判断试验结果是</w:t>
      </w:r>
      <w:r>
        <w:rPr>
          <w:spacing w:val="-15"/>
          <w:sz w:val="21"/>
        </w:rPr>
        <w:t>否符合</w:t>
      </w:r>
      <w:r>
        <w:rPr>
          <w:spacing w:val="-15"/>
          <w:sz w:val="21"/>
        </w:rPr>
        <w:t xml:space="preserve"> </w:t>
      </w:r>
      <w:r>
        <w:rPr>
          <w:sz w:val="21"/>
        </w:rPr>
        <w:t>5.7.28</w:t>
      </w:r>
      <w:r>
        <w:rPr>
          <w:spacing w:val="-12"/>
          <w:sz w:val="21"/>
        </w:rPr>
        <w:t xml:space="preserve"> </w:t>
      </w:r>
      <w:r>
        <w:rPr>
          <w:spacing w:val="-12"/>
          <w:sz w:val="21"/>
        </w:rPr>
        <w:t>的规定。</w:t>
      </w:r>
      <w:r>
        <w:rPr>
          <w:spacing w:val="-12"/>
          <w:sz w:val="21"/>
        </w:rPr>
        <w:t xml:space="preserve"> </w:t>
      </w:r>
    </w:p>
    <w:p w14:paraId="72E1C14A" w14:textId="77777777" w:rsidR="00A71EEF" w:rsidRDefault="0081115D">
      <w:pPr>
        <w:pStyle w:val="a4"/>
        <w:numPr>
          <w:ilvl w:val="2"/>
          <w:numId w:val="812"/>
        </w:numPr>
        <w:tabs>
          <w:tab w:val="left" w:pos="1478"/>
        </w:tabs>
        <w:ind w:left="1477" w:hanging="638"/>
        <w:rPr>
          <w:sz w:val="21"/>
        </w:rPr>
      </w:pPr>
      <w:r>
        <w:rPr>
          <w:spacing w:val="-3"/>
          <w:sz w:val="21"/>
        </w:rPr>
        <w:t>目测检查警灯形式、警灯的颜色、警灯数量和安装方式，判断试验结果是否符合</w:t>
      </w:r>
    </w:p>
    <w:p w14:paraId="59C13103" w14:textId="77777777" w:rsidR="00A71EEF" w:rsidRDefault="00A71EEF">
      <w:pPr>
        <w:pStyle w:val="a3"/>
        <w:spacing w:before="12"/>
        <w:rPr>
          <w:sz w:val="17"/>
        </w:rPr>
      </w:pPr>
    </w:p>
    <w:p w14:paraId="6382271D" w14:textId="77777777" w:rsidR="00A71EEF" w:rsidRDefault="0081115D">
      <w:pPr>
        <w:pStyle w:val="a3"/>
        <w:ind w:left="418"/>
      </w:pPr>
      <w:r>
        <w:t xml:space="preserve">5.7.29 </w:t>
      </w:r>
      <w:r>
        <w:t>的规定。</w:t>
      </w:r>
      <w:r>
        <w:t xml:space="preserve"> </w:t>
      </w:r>
    </w:p>
    <w:p w14:paraId="13237A60" w14:textId="77777777" w:rsidR="00A71EEF" w:rsidRDefault="00A71EEF">
      <w:pPr>
        <w:pStyle w:val="a3"/>
        <w:spacing w:before="12"/>
        <w:rPr>
          <w:sz w:val="17"/>
        </w:rPr>
      </w:pPr>
    </w:p>
    <w:p w14:paraId="531A6B7F" w14:textId="77777777" w:rsidR="00A71EEF" w:rsidRDefault="0081115D">
      <w:pPr>
        <w:pStyle w:val="a4"/>
        <w:numPr>
          <w:ilvl w:val="2"/>
          <w:numId w:val="811"/>
        </w:numPr>
        <w:tabs>
          <w:tab w:val="left" w:pos="1478"/>
        </w:tabs>
        <w:spacing w:line="446" w:lineRule="auto"/>
        <w:ind w:right="1812" w:firstLine="422"/>
        <w:rPr>
          <w:sz w:val="21"/>
        </w:rPr>
      </w:pPr>
      <w:r>
        <w:rPr>
          <w:spacing w:val="-5"/>
          <w:sz w:val="21"/>
        </w:rPr>
        <w:t>检查警灯的国家法定检验机构的检验报告，判断试验结果是否符合</w:t>
      </w:r>
      <w:r>
        <w:rPr>
          <w:spacing w:val="-5"/>
          <w:sz w:val="21"/>
        </w:rPr>
        <w:t xml:space="preserve"> </w:t>
      </w:r>
      <w:r>
        <w:rPr>
          <w:sz w:val="21"/>
        </w:rPr>
        <w:t>5.7.30</w:t>
      </w:r>
      <w:r>
        <w:rPr>
          <w:spacing w:val="-16"/>
          <w:sz w:val="21"/>
        </w:rPr>
        <w:t xml:space="preserve"> </w:t>
      </w:r>
      <w:r>
        <w:rPr>
          <w:spacing w:val="-16"/>
          <w:sz w:val="21"/>
        </w:rPr>
        <w:t>的规</w:t>
      </w:r>
      <w:r>
        <w:rPr>
          <w:spacing w:val="-10"/>
          <w:sz w:val="21"/>
        </w:rPr>
        <w:t>定。</w:t>
      </w:r>
      <w:r>
        <w:rPr>
          <w:sz w:val="21"/>
        </w:rPr>
        <w:t xml:space="preserve"> </w:t>
      </w:r>
    </w:p>
    <w:p w14:paraId="379AD0F0" w14:textId="77777777" w:rsidR="00A71EEF" w:rsidRDefault="0081115D">
      <w:pPr>
        <w:pStyle w:val="a4"/>
        <w:numPr>
          <w:ilvl w:val="2"/>
          <w:numId w:val="811"/>
        </w:numPr>
        <w:tabs>
          <w:tab w:val="left" w:pos="1478"/>
        </w:tabs>
        <w:spacing w:line="446" w:lineRule="auto"/>
        <w:ind w:right="1608" w:firstLine="422"/>
        <w:rPr>
          <w:sz w:val="21"/>
        </w:rPr>
      </w:pPr>
      <w:r>
        <w:rPr>
          <w:spacing w:val="-5"/>
          <w:sz w:val="21"/>
        </w:rPr>
        <w:t>检查警报器的国家法定检验机构的检验报告，判断试验结果是否符合</w:t>
      </w:r>
      <w:r>
        <w:rPr>
          <w:spacing w:val="-5"/>
          <w:sz w:val="21"/>
        </w:rPr>
        <w:t xml:space="preserve"> </w:t>
      </w:r>
      <w:r>
        <w:rPr>
          <w:sz w:val="21"/>
        </w:rPr>
        <w:t>5.7.31</w:t>
      </w:r>
      <w:r>
        <w:rPr>
          <w:spacing w:val="-17"/>
          <w:sz w:val="21"/>
        </w:rPr>
        <w:t xml:space="preserve"> </w:t>
      </w:r>
      <w:r>
        <w:rPr>
          <w:spacing w:val="-17"/>
          <w:sz w:val="21"/>
        </w:rPr>
        <w:t>的规</w:t>
      </w:r>
      <w:r>
        <w:rPr>
          <w:spacing w:val="-2"/>
          <w:sz w:val="21"/>
        </w:rPr>
        <w:t>定。</w:t>
      </w:r>
      <w:r>
        <w:rPr>
          <w:sz w:val="21"/>
        </w:rPr>
        <w:t xml:space="preserve"> </w:t>
      </w:r>
    </w:p>
    <w:p w14:paraId="494E4CF2" w14:textId="77777777" w:rsidR="00A71EEF" w:rsidRDefault="0081115D">
      <w:pPr>
        <w:pStyle w:val="a4"/>
        <w:numPr>
          <w:ilvl w:val="2"/>
          <w:numId w:val="811"/>
        </w:numPr>
        <w:tabs>
          <w:tab w:val="left" w:pos="1478"/>
        </w:tabs>
        <w:spacing w:line="446" w:lineRule="auto"/>
        <w:ind w:right="1496" w:firstLine="422"/>
        <w:rPr>
          <w:sz w:val="21"/>
        </w:rPr>
      </w:pPr>
      <w:r>
        <w:rPr>
          <w:spacing w:val="-7"/>
          <w:sz w:val="21"/>
        </w:rPr>
        <w:t>目测检查消防车车长大于</w:t>
      </w:r>
      <w:r>
        <w:rPr>
          <w:spacing w:val="-7"/>
          <w:sz w:val="21"/>
        </w:rPr>
        <w:t xml:space="preserve"> </w:t>
      </w:r>
      <w:r>
        <w:rPr>
          <w:sz w:val="21"/>
        </w:rPr>
        <w:t>6</w:t>
      </w:r>
      <w:r>
        <w:rPr>
          <w:spacing w:val="14"/>
          <w:sz w:val="21"/>
        </w:rPr>
        <w:t xml:space="preserve"> </w:t>
      </w:r>
      <w:r>
        <w:rPr>
          <w:sz w:val="21"/>
        </w:rPr>
        <w:t>m</w:t>
      </w:r>
      <w:r>
        <w:rPr>
          <w:spacing w:val="-8"/>
          <w:sz w:val="21"/>
        </w:rPr>
        <w:t xml:space="preserve"> </w:t>
      </w:r>
      <w:r>
        <w:rPr>
          <w:spacing w:val="-8"/>
          <w:sz w:val="21"/>
        </w:rPr>
        <w:t>时频闪灯的安装方式、颜色、接线情况，测量安装间</w:t>
      </w:r>
      <w:r>
        <w:rPr>
          <w:spacing w:val="-9"/>
          <w:sz w:val="21"/>
        </w:rPr>
        <w:t>距，判断试验结果是否符合</w:t>
      </w:r>
      <w:r>
        <w:rPr>
          <w:spacing w:val="-9"/>
          <w:sz w:val="21"/>
        </w:rPr>
        <w:t xml:space="preserve"> </w:t>
      </w:r>
      <w:r>
        <w:rPr>
          <w:sz w:val="21"/>
        </w:rPr>
        <w:t>5.7.32</w:t>
      </w:r>
      <w:r>
        <w:rPr>
          <w:spacing w:val="-14"/>
          <w:sz w:val="21"/>
        </w:rPr>
        <w:t xml:space="preserve"> </w:t>
      </w:r>
      <w:r>
        <w:rPr>
          <w:spacing w:val="-14"/>
          <w:sz w:val="21"/>
        </w:rPr>
        <w:t>的规定。并抽取</w:t>
      </w:r>
      <w:r>
        <w:rPr>
          <w:spacing w:val="-14"/>
          <w:sz w:val="21"/>
        </w:rPr>
        <w:t xml:space="preserve"> </w:t>
      </w:r>
      <w:r>
        <w:rPr>
          <w:sz w:val="21"/>
        </w:rPr>
        <w:t>10</w:t>
      </w:r>
      <w:r>
        <w:rPr>
          <w:spacing w:val="-9"/>
          <w:sz w:val="21"/>
        </w:rPr>
        <w:t xml:space="preserve"> </w:t>
      </w:r>
      <w:r>
        <w:rPr>
          <w:spacing w:val="-9"/>
          <w:sz w:val="21"/>
        </w:rPr>
        <w:t>个频闪灯样品进行如下试验：</w:t>
      </w:r>
      <w:r>
        <w:rPr>
          <w:sz w:val="21"/>
        </w:rPr>
        <w:t xml:space="preserve"> </w:t>
      </w:r>
    </w:p>
    <w:p w14:paraId="5BEABDDF" w14:textId="77777777" w:rsidR="00A71EEF" w:rsidRDefault="0081115D">
      <w:pPr>
        <w:pStyle w:val="a4"/>
        <w:numPr>
          <w:ilvl w:val="0"/>
          <w:numId w:val="810"/>
        </w:numPr>
        <w:tabs>
          <w:tab w:val="left" w:pos="1156"/>
        </w:tabs>
        <w:spacing w:line="446" w:lineRule="auto"/>
        <w:ind w:right="1452" w:firstLine="419"/>
        <w:rPr>
          <w:sz w:val="21"/>
        </w:rPr>
      </w:pPr>
      <w:r>
        <w:rPr>
          <w:spacing w:val="-12"/>
          <w:sz w:val="21"/>
        </w:rPr>
        <w:t>在环境温度</w:t>
      </w:r>
      <w:r>
        <w:rPr>
          <w:spacing w:val="-12"/>
          <w:sz w:val="21"/>
        </w:rPr>
        <w:t xml:space="preserve"> </w:t>
      </w:r>
      <w:r>
        <w:rPr>
          <w:sz w:val="21"/>
        </w:rPr>
        <w:t>40</w:t>
      </w:r>
      <w:r>
        <w:rPr>
          <w:spacing w:val="-11"/>
          <w:sz w:val="21"/>
        </w:rPr>
        <w:t>℃</w:t>
      </w:r>
      <w:r>
        <w:rPr>
          <w:spacing w:val="-11"/>
          <w:sz w:val="21"/>
        </w:rPr>
        <w:t>，湿度</w:t>
      </w:r>
      <w:r>
        <w:rPr>
          <w:spacing w:val="-11"/>
          <w:sz w:val="21"/>
        </w:rPr>
        <w:t xml:space="preserve"> </w:t>
      </w:r>
      <w:r>
        <w:rPr>
          <w:sz w:val="21"/>
        </w:rPr>
        <w:t>90</w:t>
      </w:r>
      <w:r>
        <w:rPr>
          <w:spacing w:val="-17"/>
          <w:sz w:val="21"/>
        </w:rPr>
        <w:t>%</w:t>
      </w:r>
      <w:r>
        <w:rPr>
          <w:spacing w:val="-17"/>
          <w:sz w:val="21"/>
        </w:rPr>
        <w:t>下</w:t>
      </w:r>
      <w:r>
        <w:rPr>
          <w:spacing w:val="-17"/>
          <w:sz w:val="21"/>
        </w:rPr>
        <w:t xml:space="preserve"> </w:t>
      </w:r>
      <w:r>
        <w:rPr>
          <w:sz w:val="21"/>
        </w:rPr>
        <w:t>1000</w:t>
      </w:r>
      <w:r>
        <w:rPr>
          <w:spacing w:val="5"/>
          <w:sz w:val="21"/>
        </w:rPr>
        <w:t xml:space="preserve"> </w:t>
      </w:r>
      <w:r>
        <w:rPr>
          <w:sz w:val="21"/>
        </w:rPr>
        <w:t>h</w:t>
      </w:r>
      <w:r>
        <w:rPr>
          <w:spacing w:val="-12"/>
          <w:sz w:val="21"/>
        </w:rPr>
        <w:t xml:space="preserve"> </w:t>
      </w:r>
      <w:r>
        <w:rPr>
          <w:spacing w:val="-12"/>
          <w:sz w:val="21"/>
        </w:rPr>
        <w:t>连续闪烁试验，判断试验结果是否符合</w:t>
      </w:r>
      <w:r>
        <w:rPr>
          <w:spacing w:val="-12"/>
          <w:sz w:val="21"/>
        </w:rPr>
        <w:t xml:space="preserve"> </w:t>
      </w:r>
      <w:r>
        <w:rPr>
          <w:sz w:val="21"/>
        </w:rPr>
        <w:t>5.7.32a</w:t>
      </w:r>
      <w:r>
        <w:rPr>
          <w:sz w:val="21"/>
        </w:rPr>
        <w:t>）</w:t>
      </w:r>
      <w:r>
        <w:rPr>
          <w:sz w:val="21"/>
        </w:rPr>
        <w:t xml:space="preserve"> </w:t>
      </w:r>
      <w:r>
        <w:rPr>
          <w:spacing w:val="-2"/>
          <w:sz w:val="21"/>
        </w:rPr>
        <w:t>的规定；</w:t>
      </w:r>
      <w:r>
        <w:rPr>
          <w:sz w:val="21"/>
        </w:rPr>
        <w:t xml:space="preserve"> </w:t>
      </w:r>
    </w:p>
    <w:p w14:paraId="57830BAC" w14:textId="77777777" w:rsidR="00A71EEF" w:rsidRDefault="0081115D">
      <w:pPr>
        <w:pStyle w:val="a4"/>
        <w:numPr>
          <w:ilvl w:val="0"/>
          <w:numId w:val="810"/>
        </w:numPr>
        <w:tabs>
          <w:tab w:val="left" w:pos="1156"/>
        </w:tabs>
        <w:spacing w:line="446" w:lineRule="auto"/>
        <w:ind w:left="838" w:right="1352" w:firstLine="0"/>
        <w:rPr>
          <w:sz w:val="21"/>
        </w:rPr>
      </w:pPr>
      <w:r>
        <w:rPr>
          <w:spacing w:val="-12"/>
          <w:sz w:val="21"/>
        </w:rPr>
        <w:t>在环境温度</w:t>
      </w:r>
      <w:r>
        <w:rPr>
          <w:spacing w:val="-12"/>
          <w:sz w:val="21"/>
        </w:rPr>
        <w:t xml:space="preserve"> </w:t>
      </w:r>
      <w:r>
        <w:rPr>
          <w:sz w:val="21"/>
        </w:rPr>
        <w:t>60℃</w:t>
      </w:r>
      <w:r>
        <w:rPr>
          <w:sz w:val="21"/>
        </w:rPr>
        <w:t>和－</w:t>
      </w:r>
      <w:r>
        <w:rPr>
          <w:sz w:val="21"/>
        </w:rPr>
        <w:t>20℃</w:t>
      </w:r>
      <w:r>
        <w:rPr>
          <w:spacing w:val="-12"/>
          <w:sz w:val="21"/>
        </w:rPr>
        <w:t>下分别放置</w:t>
      </w:r>
      <w:r>
        <w:rPr>
          <w:spacing w:val="-12"/>
          <w:sz w:val="21"/>
        </w:rPr>
        <w:t xml:space="preserve"> </w:t>
      </w:r>
      <w:r>
        <w:rPr>
          <w:sz w:val="21"/>
        </w:rPr>
        <w:t>10</w:t>
      </w:r>
      <w:r>
        <w:rPr>
          <w:spacing w:val="7"/>
          <w:sz w:val="21"/>
        </w:rPr>
        <w:t xml:space="preserve"> </w:t>
      </w:r>
      <w:r>
        <w:rPr>
          <w:sz w:val="21"/>
        </w:rPr>
        <w:t>h</w:t>
      </w:r>
      <w:r>
        <w:rPr>
          <w:spacing w:val="-7"/>
          <w:sz w:val="21"/>
        </w:rPr>
        <w:t>，判断试验结果是否符合</w:t>
      </w:r>
      <w:r>
        <w:rPr>
          <w:spacing w:val="-7"/>
          <w:sz w:val="21"/>
        </w:rPr>
        <w:t xml:space="preserve"> </w:t>
      </w:r>
      <w:r>
        <w:rPr>
          <w:sz w:val="21"/>
        </w:rPr>
        <w:t>5.7.32b</w:t>
      </w:r>
      <w:r>
        <w:rPr>
          <w:sz w:val="21"/>
        </w:rPr>
        <w:t>）</w:t>
      </w:r>
      <w:r>
        <w:rPr>
          <w:spacing w:val="-3"/>
          <w:sz w:val="21"/>
        </w:rPr>
        <w:t>的规定；</w:t>
      </w:r>
      <w:r>
        <w:rPr>
          <w:spacing w:val="-3"/>
          <w:sz w:val="21"/>
        </w:rPr>
        <w:t xml:space="preserve"> </w:t>
      </w:r>
      <w:r>
        <w:rPr>
          <w:sz w:val="21"/>
        </w:rPr>
        <w:t>c</w:t>
      </w:r>
      <w:r>
        <w:rPr>
          <w:sz w:val="21"/>
        </w:rPr>
        <w:t>）</w:t>
      </w:r>
      <w:r>
        <w:rPr>
          <w:spacing w:val="-15"/>
          <w:sz w:val="21"/>
        </w:rPr>
        <w:t>在频率</w:t>
      </w:r>
      <w:r>
        <w:rPr>
          <w:spacing w:val="-15"/>
          <w:sz w:val="21"/>
        </w:rPr>
        <w:t xml:space="preserve"> </w:t>
      </w:r>
      <w:r>
        <w:rPr>
          <w:sz w:val="21"/>
        </w:rPr>
        <w:t>0</w:t>
      </w:r>
      <w:r>
        <w:rPr>
          <w:sz w:val="21"/>
        </w:rPr>
        <w:t>～</w:t>
      </w:r>
      <w:r>
        <w:rPr>
          <w:sz w:val="21"/>
        </w:rPr>
        <w:t>100Hz</w:t>
      </w:r>
      <w:r>
        <w:rPr>
          <w:spacing w:val="-15"/>
          <w:sz w:val="21"/>
        </w:rPr>
        <w:t>，振幅</w:t>
      </w:r>
      <w:r>
        <w:rPr>
          <w:spacing w:val="-15"/>
          <w:sz w:val="21"/>
        </w:rPr>
        <w:t xml:space="preserve"> </w:t>
      </w:r>
      <w:r>
        <w:rPr>
          <w:sz w:val="21"/>
        </w:rPr>
        <w:t>1</w:t>
      </w:r>
      <w:r>
        <w:rPr>
          <w:spacing w:val="6"/>
          <w:sz w:val="21"/>
        </w:rPr>
        <w:t xml:space="preserve"> </w:t>
      </w:r>
      <w:r>
        <w:rPr>
          <w:sz w:val="21"/>
        </w:rPr>
        <w:t>mm</w:t>
      </w:r>
      <w:r>
        <w:rPr>
          <w:spacing w:val="-11"/>
          <w:sz w:val="21"/>
        </w:rPr>
        <w:t xml:space="preserve"> </w:t>
      </w:r>
      <w:r>
        <w:rPr>
          <w:spacing w:val="-11"/>
          <w:sz w:val="21"/>
        </w:rPr>
        <w:t>下扫频振动，找出共振频率并在此频率下振动</w:t>
      </w:r>
      <w:r>
        <w:rPr>
          <w:spacing w:val="-11"/>
          <w:sz w:val="21"/>
        </w:rPr>
        <w:t xml:space="preserve"> </w:t>
      </w:r>
      <w:r>
        <w:rPr>
          <w:sz w:val="21"/>
        </w:rPr>
        <w:t>6</w:t>
      </w:r>
      <w:r>
        <w:rPr>
          <w:spacing w:val="6"/>
          <w:sz w:val="21"/>
        </w:rPr>
        <w:t xml:space="preserve"> </w:t>
      </w:r>
      <w:r>
        <w:rPr>
          <w:sz w:val="21"/>
        </w:rPr>
        <w:t>h</w:t>
      </w:r>
      <w:r>
        <w:rPr>
          <w:spacing w:val="-2"/>
          <w:sz w:val="21"/>
        </w:rPr>
        <w:t>；若没</w:t>
      </w:r>
    </w:p>
    <w:p w14:paraId="5963A265" w14:textId="77777777" w:rsidR="00A71EEF" w:rsidRDefault="0081115D">
      <w:pPr>
        <w:pStyle w:val="a3"/>
        <w:spacing w:line="446" w:lineRule="auto"/>
        <w:ind w:left="840" w:right="1352" w:hanging="423"/>
      </w:pPr>
      <w:r>
        <w:rPr>
          <w:spacing w:val="-8"/>
        </w:rPr>
        <w:t>有共振频率，则在频率</w:t>
      </w:r>
      <w:r>
        <w:rPr>
          <w:spacing w:val="-8"/>
        </w:rPr>
        <w:t xml:space="preserve"> </w:t>
      </w:r>
      <w:r>
        <w:t>50Hz</w:t>
      </w:r>
      <w:r>
        <w:rPr>
          <w:spacing w:val="-14"/>
        </w:rPr>
        <w:t>，振幅</w:t>
      </w:r>
      <w:r>
        <w:rPr>
          <w:spacing w:val="-14"/>
        </w:rPr>
        <w:t xml:space="preserve"> </w:t>
      </w:r>
      <w:r>
        <w:t>1mm</w:t>
      </w:r>
      <w:r>
        <w:rPr>
          <w:spacing w:val="-22"/>
        </w:rPr>
        <w:t xml:space="preserve"> </w:t>
      </w:r>
      <w:r>
        <w:rPr>
          <w:spacing w:val="-22"/>
        </w:rPr>
        <w:t>下振动</w:t>
      </w:r>
      <w:r>
        <w:rPr>
          <w:spacing w:val="-22"/>
        </w:rPr>
        <w:t xml:space="preserve"> </w:t>
      </w:r>
      <w:r>
        <w:t>6</w:t>
      </w:r>
      <w:r>
        <w:rPr>
          <w:spacing w:val="7"/>
        </w:rPr>
        <w:t xml:space="preserve"> </w:t>
      </w:r>
      <w:r>
        <w:t>h</w:t>
      </w:r>
      <w:r>
        <w:rPr>
          <w:spacing w:val="-8"/>
        </w:rPr>
        <w:t>，判断试验结果是否符合</w:t>
      </w:r>
      <w:r>
        <w:rPr>
          <w:spacing w:val="-8"/>
        </w:rPr>
        <w:t xml:space="preserve"> </w:t>
      </w:r>
      <w:r>
        <w:t>5.7.32c</w:t>
      </w:r>
      <w:r>
        <w:t>）</w:t>
      </w:r>
      <w:r>
        <w:rPr>
          <w:spacing w:val="-3"/>
        </w:rPr>
        <w:t>的规定。</w:t>
      </w:r>
      <w:r>
        <w:rPr>
          <w:b/>
        </w:rPr>
        <w:t>6.7.33</w:t>
      </w:r>
      <w:r>
        <w:rPr>
          <w:b/>
          <w:spacing w:val="17"/>
        </w:rPr>
        <w:t xml:space="preserve"> </w:t>
      </w:r>
      <w:r>
        <w:rPr>
          <w:spacing w:val="-3"/>
        </w:rPr>
        <w:t>目测检查消防车后部的随车探照灯旋转情况，用角度仪测量探照灯相对地平线的</w:t>
      </w:r>
    </w:p>
    <w:p w14:paraId="5E59DF85" w14:textId="77777777" w:rsidR="00A71EEF" w:rsidRDefault="0081115D">
      <w:pPr>
        <w:pStyle w:val="a3"/>
        <w:spacing w:line="446" w:lineRule="auto"/>
        <w:ind w:left="418" w:right="1608"/>
        <w:jc w:val="both"/>
      </w:pPr>
      <w:r>
        <w:rPr>
          <w:spacing w:val="-6"/>
        </w:rPr>
        <w:t>俯仰角，测量探照灯</w:t>
      </w:r>
      <w:r>
        <w:rPr>
          <w:spacing w:val="-6"/>
        </w:rPr>
        <w:t xml:space="preserve"> </w:t>
      </w:r>
      <w:r>
        <w:t>30m</w:t>
      </w:r>
      <w:r>
        <w:rPr>
          <w:spacing w:val="-7"/>
        </w:rPr>
        <w:t xml:space="preserve"> </w:t>
      </w:r>
      <w:r>
        <w:rPr>
          <w:spacing w:val="-7"/>
        </w:rPr>
        <w:t>处照度值并与底盘前照灯照度进行比较。测量点为探照灯在地面投影</w:t>
      </w:r>
      <w:r>
        <w:rPr>
          <w:spacing w:val="-9"/>
        </w:rPr>
        <w:t>中心沿照射方向</w:t>
      </w:r>
      <w:r>
        <w:rPr>
          <w:spacing w:val="-9"/>
        </w:rPr>
        <w:t xml:space="preserve"> </w:t>
      </w:r>
      <w:r>
        <w:t>30m</w:t>
      </w:r>
      <w:r>
        <w:rPr>
          <w:spacing w:val="-7"/>
        </w:rPr>
        <w:t xml:space="preserve"> </w:t>
      </w:r>
      <w:r>
        <w:rPr>
          <w:spacing w:val="-7"/>
        </w:rPr>
        <w:t>处，测量时照度计光传感器放置在地面，受光面向上。判断试验结果是否</w:t>
      </w:r>
      <w:r>
        <w:rPr>
          <w:spacing w:val="-23"/>
        </w:rPr>
        <w:t>符合</w:t>
      </w:r>
      <w:r>
        <w:rPr>
          <w:spacing w:val="-23"/>
        </w:rPr>
        <w:t xml:space="preserve"> </w:t>
      </w:r>
      <w:r>
        <w:t>5.7.33</w:t>
      </w:r>
      <w:r>
        <w:rPr>
          <w:spacing w:val="-13"/>
        </w:rPr>
        <w:t xml:space="preserve"> </w:t>
      </w:r>
      <w:r>
        <w:rPr>
          <w:spacing w:val="-13"/>
        </w:rPr>
        <w:t>的规定。</w:t>
      </w:r>
      <w:r>
        <w:t xml:space="preserve"> </w:t>
      </w:r>
    </w:p>
    <w:p w14:paraId="38E0E18F" w14:textId="77777777" w:rsidR="00A71EEF" w:rsidRDefault="0081115D">
      <w:pPr>
        <w:pStyle w:val="a3"/>
        <w:spacing w:line="446" w:lineRule="auto"/>
        <w:ind w:left="418" w:right="1498" w:firstLine="422"/>
        <w:jc w:val="both"/>
      </w:pPr>
      <w:r>
        <w:rPr>
          <w:b/>
        </w:rPr>
        <w:t xml:space="preserve">6.7.34 </w:t>
      </w:r>
      <w:r>
        <w:t>目测检查消防车泵房内照明灯的安装位置、照明范围和保护情况，判断试验结果是否符合</w:t>
      </w:r>
      <w:r>
        <w:t xml:space="preserve"> 5.7.34 </w:t>
      </w:r>
      <w:r>
        <w:t>的规定。</w:t>
      </w:r>
      <w:r>
        <w:t xml:space="preserve"> </w:t>
      </w:r>
    </w:p>
    <w:p w14:paraId="263A0889" w14:textId="77777777" w:rsidR="00A71EEF" w:rsidRDefault="00A71EEF">
      <w:pPr>
        <w:spacing w:line="446" w:lineRule="auto"/>
        <w:jc w:val="both"/>
        <w:sectPr w:rsidR="00A71EEF">
          <w:pgSz w:w="11910" w:h="16850"/>
          <w:pgMar w:top="1220" w:right="0" w:bottom="1420" w:left="1260" w:header="0" w:footer="1239" w:gutter="0"/>
          <w:cols w:space="720"/>
        </w:sectPr>
      </w:pPr>
    </w:p>
    <w:p w14:paraId="1B664497" w14:textId="77777777" w:rsidR="00A71EEF" w:rsidRDefault="0081115D">
      <w:pPr>
        <w:pStyle w:val="a4"/>
        <w:numPr>
          <w:ilvl w:val="1"/>
          <w:numId w:val="817"/>
        </w:numPr>
        <w:tabs>
          <w:tab w:val="left" w:pos="1159"/>
        </w:tabs>
        <w:spacing w:before="47"/>
        <w:ind w:hanging="319"/>
        <w:rPr>
          <w:sz w:val="21"/>
        </w:rPr>
      </w:pPr>
      <w:r>
        <w:rPr>
          <w:spacing w:val="-3"/>
          <w:sz w:val="21"/>
        </w:rPr>
        <w:lastRenderedPageBreak/>
        <w:t>使用市电的装置和系统试验</w:t>
      </w:r>
      <w:r>
        <w:rPr>
          <w:sz w:val="21"/>
        </w:rPr>
        <w:t xml:space="preserve"> </w:t>
      </w:r>
    </w:p>
    <w:p w14:paraId="3D622002" w14:textId="77777777" w:rsidR="00A71EEF" w:rsidRDefault="00A71EEF">
      <w:pPr>
        <w:pStyle w:val="a3"/>
        <w:rPr>
          <w:sz w:val="18"/>
        </w:rPr>
      </w:pPr>
    </w:p>
    <w:p w14:paraId="7872CDAE" w14:textId="77777777" w:rsidR="00A71EEF" w:rsidRDefault="0081115D">
      <w:pPr>
        <w:pStyle w:val="a4"/>
        <w:numPr>
          <w:ilvl w:val="2"/>
          <w:numId w:val="817"/>
        </w:numPr>
        <w:tabs>
          <w:tab w:val="left" w:pos="1370"/>
        </w:tabs>
        <w:ind w:left="1369" w:hanging="530"/>
        <w:rPr>
          <w:sz w:val="21"/>
        </w:rPr>
      </w:pPr>
      <w:r>
        <w:rPr>
          <w:spacing w:val="-5"/>
          <w:sz w:val="21"/>
        </w:rPr>
        <w:t>目测检查使用市电的装置的放置位置，判断试验结果是否符合</w:t>
      </w:r>
      <w:r>
        <w:rPr>
          <w:spacing w:val="-5"/>
          <w:sz w:val="21"/>
        </w:rPr>
        <w:t xml:space="preserve"> </w:t>
      </w:r>
      <w:r>
        <w:rPr>
          <w:sz w:val="21"/>
        </w:rPr>
        <w:t>5.8.1</w:t>
      </w:r>
      <w:r>
        <w:rPr>
          <w:spacing w:val="-13"/>
          <w:sz w:val="21"/>
        </w:rPr>
        <w:t xml:space="preserve"> </w:t>
      </w:r>
      <w:r>
        <w:rPr>
          <w:spacing w:val="-13"/>
          <w:sz w:val="21"/>
        </w:rPr>
        <w:t>的规定。</w:t>
      </w:r>
      <w:r>
        <w:rPr>
          <w:sz w:val="21"/>
        </w:rPr>
        <w:t xml:space="preserve"> </w:t>
      </w:r>
    </w:p>
    <w:p w14:paraId="67498E0F" w14:textId="77777777" w:rsidR="00A71EEF" w:rsidRDefault="00A71EEF">
      <w:pPr>
        <w:pStyle w:val="a3"/>
        <w:rPr>
          <w:sz w:val="18"/>
        </w:rPr>
      </w:pPr>
    </w:p>
    <w:p w14:paraId="0BDBCD6A" w14:textId="77777777" w:rsidR="00A71EEF" w:rsidRDefault="0081115D">
      <w:pPr>
        <w:pStyle w:val="a4"/>
        <w:numPr>
          <w:ilvl w:val="2"/>
          <w:numId w:val="817"/>
        </w:numPr>
        <w:tabs>
          <w:tab w:val="left" w:pos="1370"/>
        </w:tabs>
        <w:ind w:left="1369" w:hanging="530"/>
        <w:rPr>
          <w:sz w:val="21"/>
        </w:rPr>
      </w:pPr>
      <w:r>
        <w:rPr>
          <w:spacing w:val="-5"/>
          <w:sz w:val="21"/>
        </w:rPr>
        <w:t>测量人力移动的用电装置的输出电压，</w:t>
      </w:r>
      <w:r>
        <w:rPr>
          <w:spacing w:val="-5"/>
          <w:sz w:val="21"/>
        </w:rPr>
        <w:t xml:space="preserve"> </w:t>
      </w:r>
      <w:r>
        <w:rPr>
          <w:spacing w:val="-5"/>
          <w:sz w:val="21"/>
        </w:rPr>
        <w:t>判断试验结果是否符合</w:t>
      </w:r>
      <w:r>
        <w:rPr>
          <w:spacing w:val="-5"/>
          <w:sz w:val="21"/>
        </w:rPr>
        <w:t xml:space="preserve"> </w:t>
      </w:r>
      <w:r>
        <w:rPr>
          <w:sz w:val="21"/>
        </w:rPr>
        <w:t>5.8.2</w:t>
      </w:r>
      <w:r>
        <w:rPr>
          <w:spacing w:val="-13"/>
          <w:sz w:val="21"/>
        </w:rPr>
        <w:t xml:space="preserve"> </w:t>
      </w:r>
      <w:r>
        <w:rPr>
          <w:spacing w:val="-13"/>
          <w:sz w:val="21"/>
        </w:rPr>
        <w:t>的规定。</w:t>
      </w:r>
      <w:r>
        <w:rPr>
          <w:sz w:val="21"/>
        </w:rPr>
        <w:t xml:space="preserve"> </w:t>
      </w:r>
    </w:p>
    <w:p w14:paraId="0A640792" w14:textId="77777777" w:rsidR="00A71EEF" w:rsidRDefault="00A71EEF">
      <w:pPr>
        <w:pStyle w:val="a3"/>
        <w:spacing w:before="1"/>
        <w:rPr>
          <w:sz w:val="18"/>
        </w:rPr>
      </w:pPr>
    </w:p>
    <w:p w14:paraId="3A831806" w14:textId="77777777" w:rsidR="00A71EEF" w:rsidRDefault="0081115D">
      <w:pPr>
        <w:pStyle w:val="a4"/>
        <w:numPr>
          <w:ilvl w:val="2"/>
          <w:numId w:val="817"/>
        </w:numPr>
        <w:tabs>
          <w:tab w:val="left" w:pos="1370"/>
        </w:tabs>
        <w:spacing w:before="1" w:line="446" w:lineRule="auto"/>
        <w:ind w:left="418" w:right="1815" w:firstLine="422"/>
        <w:rPr>
          <w:sz w:val="21"/>
        </w:rPr>
      </w:pPr>
      <w:r>
        <w:rPr>
          <w:spacing w:val="-10"/>
          <w:sz w:val="21"/>
        </w:rPr>
        <w:t>检查电压超过</w:t>
      </w:r>
      <w:r>
        <w:rPr>
          <w:spacing w:val="-10"/>
          <w:sz w:val="21"/>
        </w:rPr>
        <w:t xml:space="preserve"> </w:t>
      </w:r>
      <w:r>
        <w:rPr>
          <w:sz w:val="21"/>
        </w:rPr>
        <w:t>250</w:t>
      </w:r>
      <w:r>
        <w:rPr>
          <w:spacing w:val="6"/>
          <w:sz w:val="21"/>
        </w:rPr>
        <w:t xml:space="preserve"> </w:t>
      </w:r>
      <w:r>
        <w:rPr>
          <w:sz w:val="21"/>
        </w:rPr>
        <w:t>V</w:t>
      </w:r>
      <w:r>
        <w:rPr>
          <w:spacing w:val="-10"/>
          <w:sz w:val="21"/>
        </w:rPr>
        <w:t xml:space="preserve"> </w:t>
      </w:r>
      <w:r>
        <w:rPr>
          <w:spacing w:val="-10"/>
          <w:sz w:val="21"/>
        </w:rPr>
        <w:t>的用电装置的固定情况，判断试验结果是否符合</w:t>
      </w:r>
      <w:r>
        <w:rPr>
          <w:spacing w:val="-10"/>
          <w:sz w:val="21"/>
        </w:rPr>
        <w:t xml:space="preserve"> </w:t>
      </w:r>
      <w:r>
        <w:rPr>
          <w:sz w:val="21"/>
        </w:rPr>
        <w:t>5.8.3</w:t>
      </w:r>
      <w:r>
        <w:rPr>
          <w:spacing w:val="-17"/>
          <w:sz w:val="21"/>
        </w:rPr>
        <w:t xml:space="preserve"> </w:t>
      </w:r>
      <w:r>
        <w:rPr>
          <w:spacing w:val="-17"/>
          <w:sz w:val="21"/>
        </w:rPr>
        <w:t>的规</w:t>
      </w:r>
      <w:r>
        <w:rPr>
          <w:spacing w:val="-10"/>
          <w:sz w:val="21"/>
        </w:rPr>
        <w:t>定。</w:t>
      </w:r>
      <w:r>
        <w:rPr>
          <w:sz w:val="21"/>
        </w:rPr>
        <w:t xml:space="preserve"> </w:t>
      </w:r>
    </w:p>
    <w:p w14:paraId="523D698F" w14:textId="77777777" w:rsidR="00A71EEF" w:rsidRDefault="0081115D">
      <w:pPr>
        <w:pStyle w:val="a4"/>
        <w:numPr>
          <w:ilvl w:val="2"/>
          <w:numId w:val="817"/>
        </w:numPr>
        <w:tabs>
          <w:tab w:val="left" w:pos="1370"/>
        </w:tabs>
        <w:spacing w:line="267" w:lineRule="exact"/>
        <w:ind w:left="1369" w:hanging="530"/>
        <w:rPr>
          <w:sz w:val="21"/>
        </w:rPr>
      </w:pPr>
      <w:r>
        <w:rPr>
          <w:spacing w:val="-5"/>
          <w:sz w:val="21"/>
        </w:rPr>
        <w:t>用电装置为交流电时，测量其频率，判断试验结果是否符合</w:t>
      </w:r>
      <w:r>
        <w:rPr>
          <w:spacing w:val="-5"/>
          <w:sz w:val="21"/>
        </w:rPr>
        <w:t xml:space="preserve"> </w:t>
      </w:r>
      <w:r>
        <w:rPr>
          <w:sz w:val="21"/>
        </w:rPr>
        <w:t>5.8.4</w:t>
      </w:r>
      <w:r>
        <w:rPr>
          <w:spacing w:val="-12"/>
          <w:sz w:val="21"/>
        </w:rPr>
        <w:t xml:space="preserve"> </w:t>
      </w:r>
      <w:r>
        <w:rPr>
          <w:spacing w:val="-12"/>
          <w:sz w:val="21"/>
        </w:rPr>
        <w:t>的规定。</w:t>
      </w:r>
      <w:r>
        <w:rPr>
          <w:spacing w:val="-12"/>
          <w:sz w:val="21"/>
        </w:rPr>
        <w:t xml:space="preserve"> </w:t>
      </w:r>
    </w:p>
    <w:p w14:paraId="19076273" w14:textId="77777777" w:rsidR="00A71EEF" w:rsidRDefault="00A71EEF">
      <w:pPr>
        <w:pStyle w:val="a3"/>
        <w:spacing w:before="1"/>
        <w:rPr>
          <w:sz w:val="18"/>
        </w:rPr>
      </w:pPr>
    </w:p>
    <w:p w14:paraId="4B58A4E7" w14:textId="77777777" w:rsidR="00A71EEF" w:rsidRDefault="0081115D">
      <w:pPr>
        <w:pStyle w:val="a4"/>
        <w:numPr>
          <w:ilvl w:val="2"/>
          <w:numId w:val="817"/>
        </w:numPr>
        <w:tabs>
          <w:tab w:val="left" w:pos="1370"/>
        </w:tabs>
        <w:spacing w:before="1" w:line="446" w:lineRule="auto"/>
        <w:ind w:left="418" w:right="1606" w:firstLine="422"/>
        <w:rPr>
          <w:sz w:val="21"/>
        </w:rPr>
      </w:pPr>
      <w:r>
        <w:rPr>
          <w:spacing w:val="-5"/>
          <w:sz w:val="21"/>
        </w:rPr>
        <w:t>检查安装在消防车外部的市电电源插口的型号，判断试验结果是否符合</w:t>
      </w:r>
      <w:r>
        <w:rPr>
          <w:spacing w:val="-5"/>
          <w:sz w:val="21"/>
        </w:rPr>
        <w:t xml:space="preserve"> </w:t>
      </w:r>
      <w:r>
        <w:rPr>
          <w:sz w:val="21"/>
        </w:rPr>
        <w:t>5.8.5</w:t>
      </w:r>
      <w:r>
        <w:rPr>
          <w:spacing w:val="-17"/>
          <w:sz w:val="21"/>
        </w:rPr>
        <w:t xml:space="preserve"> </w:t>
      </w:r>
      <w:r>
        <w:rPr>
          <w:spacing w:val="-17"/>
          <w:sz w:val="21"/>
        </w:rPr>
        <w:t>的规</w:t>
      </w:r>
      <w:r>
        <w:rPr>
          <w:spacing w:val="-2"/>
          <w:sz w:val="21"/>
        </w:rPr>
        <w:t>定。</w:t>
      </w:r>
      <w:r>
        <w:rPr>
          <w:sz w:val="21"/>
        </w:rPr>
        <w:t xml:space="preserve"> </w:t>
      </w:r>
    </w:p>
    <w:p w14:paraId="22BB0491" w14:textId="77777777" w:rsidR="00A71EEF" w:rsidRDefault="0081115D">
      <w:pPr>
        <w:pStyle w:val="a4"/>
        <w:numPr>
          <w:ilvl w:val="2"/>
          <w:numId w:val="817"/>
        </w:numPr>
        <w:tabs>
          <w:tab w:val="left" w:pos="1370"/>
        </w:tabs>
        <w:spacing w:line="446" w:lineRule="auto"/>
        <w:ind w:left="418" w:right="1604" w:firstLine="422"/>
        <w:rPr>
          <w:sz w:val="21"/>
        </w:rPr>
      </w:pPr>
      <w:r>
        <w:rPr>
          <w:spacing w:val="-3"/>
          <w:sz w:val="21"/>
        </w:rPr>
        <w:t>目测检查使用市电的装置和系统的电器型号，检查是否安装漏电保护装置，判断试</w:t>
      </w:r>
      <w:r>
        <w:rPr>
          <w:spacing w:val="-10"/>
          <w:sz w:val="21"/>
        </w:rPr>
        <w:t>验结果是否符合</w:t>
      </w:r>
      <w:r>
        <w:rPr>
          <w:spacing w:val="-10"/>
          <w:sz w:val="21"/>
        </w:rPr>
        <w:t xml:space="preserve"> </w:t>
      </w:r>
      <w:r>
        <w:rPr>
          <w:sz w:val="21"/>
        </w:rPr>
        <w:t>5.8.6</w:t>
      </w:r>
      <w:r>
        <w:rPr>
          <w:spacing w:val="-12"/>
          <w:sz w:val="21"/>
        </w:rPr>
        <w:t xml:space="preserve"> </w:t>
      </w:r>
      <w:r>
        <w:rPr>
          <w:spacing w:val="-12"/>
          <w:sz w:val="21"/>
        </w:rPr>
        <w:t>的规定。</w:t>
      </w:r>
      <w:r>
        <w:rPr>
          <w:spacing w:val="-12"/>
          <w:sz w:val="21"/>
        </w:rPr>
        <w:t xml:space="preserve"> </w:t>
      </w:r>
    </w:p>
    <w:p w14:paraId="7BAAEF8F" w14:textId="77777777" w:rsidR="00A71EEF" w:rsidRDefault="0081115D">
      <w:pPr>
        <w:pStyle w:val="a4"/>
        <w:numPr>
          <w:ilvl w:val="2"/>
          <w:numId w:val="817"/>
        </w:numPr>
        <w:tabs>
          <w:tab w:val="left" w:pos="1370"/>
        </w:tabs>
        <w:spacing w:line="446" w:lineRule="auto"/>
        <w:ind w:left="418" w:right="1604" w:firstLine="422"/>
        <w:rPr>
          <w:sz w:val="21"/>
        </w:rPr>
      </w:pPr>
      <w:r>
        <w:rPr>
          <w:spacing w:val="-3"/>
          <w:sz w:val="21"/>
        </w:rPr>
        <w:t>目测检查安装在消防车上的使用市电的用电装置和系统的接地情况，判断试验结果</w:t>
      </w:r>
      <w:r>
        <w:rPr>
          <w:spacing w:val="-13"/>
          <w:sz w:val="21"/>
        </w:rPr>
        <w:t>是否符合</w:t>
      </w:r>
      <w:r>
        <w:rPr>
          <w:spacing w:val="-13"/>
          <w:sz w:val="21"/>
        </w:rPr>
        <w:t xml:space="preserve"> </w:t>
      </w:r>
      <w:r>
        <w:rPr>
          <w:sz w:val="21"/>
        </w:rPr>
        <w:t>5.8.7</w:t>
      </w:r>
      <w:r>
        <w:rPr>
          <w:spacing w:val="-12"/>
          <w:sz w:val="21"/>
        </w:rPr>
        <w:t xml:space="preserve"> </w:t>
      </w:r>
      <w:r>
        <w:rPr>
          <w:spacing w:val="-12"/>
          <w:sz w:val="21"/>
        </w:rPr>
        <w:t>的规定。</w:t>
      </w:r>
      <w:r>
        <w:rPr>
          <w:spacing w:val="-12"/>
          <w:sz w:val="21"/>
        </w:rPr>
        <w:t xml:space="preserve"> </w:t>
      </w:r>
    </w:p>
    <w:p w14:paraId="67B54CB0" w14:textId="77777777" w:rsidR="00A71EEF" w:rsidRDefault="0081115D">
      <w:pPr>
        <w:pStyle w:val="a4"/>
        <w:numPr>
          <w:ilvl w:val="2"/>
          <w:numId w:val="817"/>
        </w:numPr>
        <w:tabs>
          <w:tab w:val="left" w:pos="1370"/>
        </w:tabs>
        <w:ind w:left="1369" w:hanging="530"/>
        <w:rPr>
          <w:sz w:val="21"/>
        </w:rPr>
      </w:pPr>
      <w:r>
        <w:rPr>
          <w:spacing w:val="-3"/>
          <w:sz w:val="21"/>
        </w:rPr>
        <w:t>检查接地线材料的选用，采用通用量具测量接地线线径，判断试验结果是否符合</w:t>
      </w:r>
    </w:p>
    <w:p w14:paraId="314BF300" w14:textId="77777777" w:rsidR="00A71EEF" w:rsidRDefault="00A71EEF">
      <w:pPr>
        <w:pStyle w:val="a3"/>
        <w:spacing w:before="10"/>
        <w:rPr>
          <w:sz w:val="17"/>
        </w:rPr>
      </w:pPr>
    </w:p>
    <w:p w14:paraId="49B61287" w14:textId="77777777" w:rsidR="00A71EEF" w:rsidRDefault="0081115D">
      <w:pPr>
        <w:pStyle w:val="a4"/>
        <w:numPr>
          <w:ilvl w:val="2"/>
          <w:numId w:val="809"/>
        </w:numPr>
        <w:tabs>
          <w:tab w:val="left" w:pos="997"/>
        </w:tabs>
        <w:rPr>
          <w:sz w:val="21"/>
        </w:rPr>
      </w:pPr>
      <w:r>
        <w:rPr>
          <w:spacing w:val="-3"/>
          <w:sz w:val="21"/>
        </w:rPr>
        <w:t>的规定。</w:t>
      </w:r>
      <w:r>
        <w:rPr>
          <w:sz w:val="21"/>
        </w:rPr>
        <w:t xml:space="preserve"> </w:t>
      </w:r>
    </w:p>
    <w:p w14:paraId="68F1A27A" w14:textId="77777777" w:rsidR="00A71EEF" w:rsidRDefault="00A71EEF">
      <w:pPr>
        <w:pStyle w:val="a3"/>
        <w:spacing w:before="12"/>
        <w:rPr>
          <w:sz w:val="17"/>
        </w:rPr>
      </w:pPr>
    </w:p>
    <w:p w14:paraId="18F30F92" w14:textId="77777777" w:rsidR="00A71EEF" w:rsidRDefault="0081115D">
      <w:pPr>
        <w:pStyle w:val="a3"/>
        <w:ind w:left="840"/>
      </w:pPr>
      <w:r>
        <w:rPr>
          <w:b/>
        </w:rPr>
        <w:t xml:space="preserve">6.8.9 </w:t>
      </w:r>
      <w:r>
        <w:t>目测检查使用市电的装置或系统的操作标示、注意事项等，判断试验结果是否符合</w:t>
      </w:r>
    </w:p>
    <w:p w14:paraId="3FA90112" w14:textId="77777777" w:rsidR="00A71EEF" w:rsidRDefault="00A71EEF">
      <w:pPr>
        <w:pStyle w:val="a3"/>
        <w:spacing w:before="2"/>
        <w:rPr>
          <w:sz w:val="18"/>
        </w:rPr>
      </w:pPr>
    </w:p>
    <w:p w14:paraId="519AEFBF" w14:textId="77777777" w:rsidR="00A71EEF" w:rsidRDefault="0081115D">
      <w:pPr>
        <w:pStyle w:val="a4"/>
        <w:numPr>
          <w:ilvl w:val="2"/>
          <w:numId w:val="809"/>
        </w:numPr>
        <w:tabs>
          <w:tab w:val="left" w:pos="997"/>
        </w:tabs>
        <w:rPr>
          <w:sz w:val="21"/>
        </w:rPr>
      </w:pPr>
      <w:r>
        <w:rPr>
          <w:spacing w:val="-3"/>
          <w:sz w:val="21"/>
        </w:rPr>
        <w:t>的规定。</w:t>
      </w:r>
      <w:r>
        <w:rPr>
          <w:sz w:val="21"/>
        </w:rPr>
        <w:t xml:space="preserve"> </w:t>
      </w:r>
    </w:p>
    <w:p w14:paraId="3FEC54EB" w14:textId="77777777" w:rsidR="00A71EEF" w:rsidRDefault="00A71EEF">
      <w:pPr>
        <w:pStyle w:val="a3"/>
        <w:rPr>
          <w:sz w:val="18"/>
        </w:rPr>
      </w:pPr>
    </w:p>
    <w:p w14:paraId="68828FBD" w14:textId="77777777" w:rsidR="00A71EEF" w:rsidRDefault="0081115D">
      <w:pPr>
        <w:pStyle w:val="a4"/>
        <w:numPr>
          <w:ilvl w:val="2"/>
          <w:numId w:val="808"/>
        </w:numPr>
        <w:tabs>
          <w:tab w:val="left" w:pos="1478"/>
        </w:tabs>
        <w:spacing w:line="446" w:lineRule="auto"/>
        <w:ind w:right="1496" w:firstLine="422"/>
        <w:rPr>
          <w:sz w:val="21"/>
        </w:rPr>
      </w:pPr>
      <w:r>
        <w:rPr>
          <w:spacing w:val="-3"/>
          <w:sz w:val="21"/>
        </w:rPr>
        <w:t>目测检查使用市电的装置或系统的开关、按钮、手柄等是否标出了用途，判断试验</w:t>
      </w:r>
      <w:r>
        <w:rPr>
          <w:spacing w:val="-11"/>
          <w:sz w:val="21"/>
        </w:rPr>
        <w:t>结果是否符合</w:t>
      </w:r>
      <w:r>
        <w:rPr>
          <w:spacing w:val="-11"/>
          <w:sz w:val="21"/>
        </w:rPr>
        <w:t xml:space="preserve"> </w:t>
      </w:r>
      <w:r>
        <w:rPr>
          <w:sz w:val="21"/>
        </w:rPr>
        <w:t>5.8.10</w:t>
      </w:r>
      <w:r>
        <w:rPr>
          <w:spacing w:val="-2"/>
          <w:sz w:val="21"/>
        </w:rPr>
        <w:t xml:space="preserve"> </w:t>
      </w:r>
      <w:r>
        <w:rPr>
          <w:spacing w:val="-2"/>
          <w:sz w:val="21"/>
        </w:rPr>
        <w:t>的规定。</w:t>
      </w:r>
      <w:r>
        <w:rPr>
          <w:spacing w:val="-2"/>
          <w:sz w:val="21"/>
        </w:rPr>
        <w:t xml:space="preserve"> </w:t>
      </w:r>
    </w:p>
    <w:p w14:paraId="73D133BA" w14:textId="77777777" w:rsidR="00A71EEF" w:rsidRDefault="0081115D">
      <w:pPr>
        <w:pStyle w:val="a4"/>
        <w:numPr>
          <w:ilvl w:val="2"/>
          <w:numId w:val="808"/>
        </w:numPr>
        <w:tabs>
          <w:tab w:val="left" w:pos="1478"/>
        </w:tabs>
        <w:spacing w:line="446" w:lineRule="auto"/>
        <w:ind w:right="1498" w:firstLine="422"/>
        <w:rPr>
          <w:sz w:val="21"/>
        </w:rPr>
      </w:pPr>
      <w:r>
        <w:rPr>
          <w:spacing w:val="-3"/>
          <w:sz w:val="21"/>
        </w:rPr>
        <w:t>目测检查使用市电的装置或系统的电源开关是否标出开和关的位置，判断试验结果</w:t>
      </w:r>
      <w:r>
        <w:rPr>
          <w:spacing w:val="-13"/>
          <w:sz w:val="21"/>
        </w:rPr>
        <w:t>是否符合</w:t>
      </w:r>
      <w:r>
        <w:rPr>
          <w:spacing w:val="-13"/>
          <w:sz w:val="21"/>
        </w:rPr>
        <w:t xml:space="preserve"> </w:t>
      </w:r>
      <w:r>
        <w:rPr>
          <w:sz w:val="21"/>
        </w:rPr>
        <w:t>5.8.11</w:t>
      </w:r>
      <w:r>
        <w:rPr>
          <w:spacing w:val="-12"/>
          <w:sz w:val="21"/>
        </w:rPr>
        <w:t xml:space="preserve"> </w:t>
      </w:r>
      <w:r>
        <w:rPr>
          <w:spacing w:val="-12"/>
          <w:sz w:val="21"/>
        </w:rPr>
        <w:t>的规定。</w:t>
      </w:r>
      <w:r>
        <w:rPr>
          <w:spacing w:val="-12"/>
          <w:sz w:val="21"/>
        </w:rPr>
        <w:t xml:space="preserve"> </w:t>
      </w:r>
    </w:p>
    <w:p w14:paraId="3BBA6041" w14:textId="77777777" w:rsidR="00A71EEF" w:rsidRDefault="0081115D">
      <w:pPr>
        <w:pStyle w:val="a4"/>
        <w:numPr>
          <w:ilvl w:val="2"/>
          <w:numId w:val="808"/>
        </w:numPr>
        <w:tabs>
          <w:tab w:val="left" w:pos="1478"/>
        </w:tabs>
        <w:spacing w:line="446" w:lineRule="auto"/>
        <w:ind w:right="1496" w:firstLine="422"/>
        <w:rPr>
          <w:sz w:val="21"/>
        </w:rPr>
      </w:pPr>
      <w:r>
        <w:rPr>
          <w:spacing w:val="-3"/>
          <w:sz w:val="21"/>
        </w:rPr>
        <w:t>检查使用市电的装置或系统在消防车上固定情况，可移动装置取用是否方便，判断</w:t>
      </w:r>
      <w:r>
        <w:rPr>
          <w:spacing w:val="-9"/>
          <w:sz w:val="21"/>
        </w:rPr>
        <w:t>试验结果是否符合</w:t>
      </w:r>
      <w:r>
        <w:rPr>
          <w:spacing w:val="-9"/>
          <w:sz w:val="21"/>
        </w:rPr>
        <w:t xml:space="preserve"> </w:t>
      </w:r>
      <w:r>
        <w:rPr>
          <w:sz w:val="21"/>
        </w:rPr>
        <w:t>5.8.12</w:t>
      </w:r>
      <w:r>
        <w:rPr>
          <w:spacing w:val="-13"/>
          <w:sz w:val="21"/>
        </w:rPr>
        <w:t xml:space="preserve"> </w:t>
      </w:r>
      <w:r>
        <w:rPr>
          <w:spacing w:val="-13"/>
          <w:sz w:val="21"/>
        </w:rPr>
        <w:t>的规定。</w:t>
      </w:r>
      <w:r>
        <w:rPr>
          <w:sz w:val="21"/>
        </w:rPr>
        <w:t xml:space="preserve"> </w:t>
      </w:r>
    </w:p>
    <w:p w14:paraId="780B76DA" w14:textId="77777777" w:rsidR="00A71EEF" w:rsidRDefault="0081115D">
      <w:pPr>
        <w:pStyle w:val="a4"/>
        <w:numPr>
          <w:ilvl w:val="2"/>
          <w:numId w:val="808"/>
        </w:numPr>
        <w:tabs>
          <w:tab w:val="left" w:pos="1478"/>
        </w:tabs>
        <w:ind w:left="1477" w:hanging="638"/>
        <w:rPr>
          <w:sz w:val="21"/>
        </w:rPr>
      </w:pPr>
      <w:r>
        <w:rPr>
          <w:spacing w:val="-5"/>
          <w:sz w:val="21"/>
        </w:rPr>
        <w:t>目测检查使用市电的装置或系统接线桩的遮蔽措施，判断试验结果是否符合</w:t>
      </w:r>
      <w:r>
        <w:rPr>
          <w:spacing w:val="-5"/>
          <w:sz w:val="21"/>
        </w:rPr>
        <w:t xml:space="preserve"> </w:t>
      </w:r>
      <w:r>
        <w:rPr>
          <w:sz w:val="21"/>
        </w:rPr>
        <w:t>5.8.13</w:t>
      </w:r>
    </w:p>
    <w:p w14:paraId="6ADB6FD8" w14:textId="77777777" w:rsidR="00A71EEF" w:rsidRDefault="00A71EEF">
      <w:pPr>
        <w:pStyle w:val="a3"/>
        <w:spacing w:before="10"/>
        <w:rPr>
          <w:sz w:val="17"/>
        </w:rPr>
      </w:pPr>
    </w:p>
    <w:p w14:paraId="7F5EABF9" w14:textId="77777777" w:rsidR="00A71EEF" w:rsidRDefault="0081115D">
      <w:pPr>
        <w:pStyle w:val="a3"/>
        <w:ind w:left="418"/>
      </w:pPr>
      <w:r>
        <w:t>的规定。</w:t>
      </w:r>
      <w:r>
        <w:t xml:space="preserve"> </w:t>
      </w:r>
    </w:p>
    <w:p w14:paraId="6DF86F0F" w14:textId="77777777" w:rsidR="00A71EEF" w:rsidRDefault="00A71EEF">
      <w:pPr>
        <w:pStyle w:val="a3"/>
        <w:spacing w:before="2"/>
        <w:rPr>
          <w:sz w:val="18"/>
        </w:rPr>
      </w:pPr>
    </w:p>
    <w:p w14:paraId="6EC9792C" w14:textId="77777777" w:rsidR="00A71EEF" w:rsidRDefault="0081115D">
      <w:pPr>
        <w:pStyle w:val="a4"/>
        <w:numPr>
          <w:ilvl w:val="2"/>
          <w:numId w:val="808"/>
        </w:numPr>
        <w:tabs>
          <w:tab w:val="left" w:pos="1478"/>
        </w:tabs>
        <w:spacing w:line="446" w:lineRule="auto"/>
        <w:ind w:right="1601" w:firstLine="422"/>
        <w:rPr>
          <w:sz w:val="21"/>
        </w:rPr>
      </w:pPr>
      <w:r>
        <w:rPr>
          <w:spacing w:val="-6"/>
          <w:sz w:val="21"/>
        </w:rPr>
        <w:t>在室内中使用消防车器材箱内市电装置或系统</w:t>
      </w:r>
      <w:r>
        <w:rPr>
          <w:spacing w:val="-6"/>
          <w:sz w:val="21"/>
        </w:rPr>
        <w:t xml:space="preserve"> </w:t>
      </w:r>
      <w:r>
        <w:rPr>
          <w:sz w:val="21"/>
        </w:rPr>
        <w:t>12</w:t>
      </w:r>
      <w:r>
        <w:rPr>
          <w:spacing w:val="11"/>
          <w:sz w:val="21"/>
        </w:rPr>
        <w:t xml:space="preserve"> </w:t>
      </w:r>
      <w:r>
        <w:rPr>
          <w:sz w:val="21"/>
        </w:rPr>
        <w:t>h</w:t>
      </w:r>
      <w:r>
        <w:rPr>
          <w:spacing w:val="-9"/>
          <w:sz w:val="21"/>
        </w:rPr>
        <w:t xml:space="preserve"> </w:t>
      </w:r>
      <w:r>
        <w:rPr>
          <w:spacing w:val="-9"/>
          <w:sz w:val="21"/>
        </w:rPr>
        <w:t>后，用温度计测量其储存处温</w:t>
      </w:r>
      <w:r>
        <w:rPr>
          <w:spacing w:val="-9"/>
          <w:sz w:val="21"/>
        </w:rPr>
        <w:t>度，判断试验结果是否符合</w:t>
      </w:r>
      <w:r>
        <w:rPr>
          <w:spacing w:val="-9"/>
          <w:sz w:val="21"/>
        </w:rPr>
        <w:t xml:space="preserve"> </w:t>
      </w:r>
      <w:r>
        <w:rPr>
          <w:sz w:val="21"/>
        </w:rPr>
        <w:t>5.8.14</w:t>
      </w:r>
      <w:r>
        <w:rPr>
          <w:spacing w:val="-13"/>
          <w:sz w:val="21"/>
        </w:rPr>
        <w:t xml:space="preserve"> </w:t>
      </w:r>
      <w:r>
        <w:rPr>
          <w:spacing w:val="-13"/>
          <w:sz w:val="21"/>
        </w:rPr>
        <w:t>的规定。</w:t>
      </w:r>
      <w:r>
        <w:rPr>
          <w:sz w:val="21"/>
        </w:rPr>
        <w:t xml:space="preserve"> </w:t>
      </w:r>
    </w:p>
    <w:p w14:paraId="423A8E63" w14:textId="77777777" w:rsidR="00A71EEF" w:rsidRDefault="0081115D">
      <w:pPr>
        <w:pStyle w:val="a4"/>
        <w:numPr>
          <w:ilvl w:val="1"/>
          <w:numId w:val="817"/>
        </w:numPr>
        <w:tabs>
          <w:tab w:val="left" w:pos="1159"/>
        </w:tabs>
        <w:spacing w:line="267" w:lineRule="exact"/>
        <w:ind w:hanging="319"/>
        <w:rPr>
          <w:b/>
          <w:sz w:val="21"/>
        </w:rPr>
      </w:pPr>
      <w:r>
        <w:rPr>
          <w:spacing w:val="-3"/>
          <w:sz w:val="21"/>
        </w:rPr>
        <w:t>非通信指挥消防车的通信区域及设施要求试验</w:t>
      </w:r>
      <w:r>
        <w:rPr>
          <w:b/>
          <w:w w:val="99"/>
          <w:sz w:val="21"/>
        </w:rPr>
        <w:t xml:space="preserve"> </w:t>
      </w:r>
    </w:p>
    <w:p w14:paraId="5B753A1D" w14:textId="77777777" w:rsidR="00A71EEF" w:rsidRDefault="00A71EEF">
      <w:pPr>
        <w:pStyle w:val="a3"/>
        <w:spacing w:before="2"/>
        <w:rPr>
          <w:b/>
          <w:sz w:val="18"/>
        </w:rPr>
      </w:pPr>
    </w:p>
    <w:p w14:paraId="3B4355AF" w14:textId="77777777" w:rsidR="00A71EEF" w:rsidRDefault="0081115D">
      <w:pPr>
        <w:pStyle w:val="a4"/>
        <w:numPr>
          <w:ilvl w:val="2"/>
          <w:numId w:val="817"/>
        </w:numPr>
        <w:tabs>
          <w:tab w:val="left" w:pos="1370"/>
        </w:tabs>
        <w:ind w:left="1369" w:hanging="530"/>
        <w:rPr>
          <w:sz w:val="21"/>
        </w:rPr>
      </w:pPr>
      <w:r>
        <w:rPr>
          <w:spacing w:val="-3"/>
          <w:sz w:val="21"/>
        </w:rPr>
        <w:t>位置</w:t>
      </w:r>
      <w:r>
        <w:rPr>
          <w:sz w:val="21"/>
        </w:rPr>
        <w:t xml:space="preserve"> </w:t>
      </w:r>
    </w:p>
    <w:p w14:paraId="213AEAAD" w14:textId="77777777" w:rsidR="00A71EEF" w:rsidRDefault="00A71EEF">
      <w:pPr>
        <w:rPr>
          <w:sz w:val="21"/>
        </w:rPr>
        <w:sectPr w:rsidR="00A71EEF">
          <w:pgSz w:w="11910" w:h="16850"/>
          <w:pgMar w:top="1220" w:right="0" w:bottom="1420" w:left="1260" w:header="0" w:footer="1239" w:gutter="0"/>
          <w:cols w:space="720"/>
        </w:sectPr>
      </w:pPr>
    </w:p>
    <w:p w14:paraId="6C49A8FD" w14:textId="77777777" w:rsidR="00A71EEF" w:rsidRDefault="0081115D">
      <w:pPr>
        <w:pStyle w:val="a4"/>
        <w:numPr>
          <w:ilvl w:val="3"/>
          <w:numId w:val="817"/>
        </w:numPr>
        <w:tabs>
          <w:tab w:val="left" w:pos="1576"/>
        </w:tabs>
        <w:spacing w:before="47"/>
        <w:ind w:left="1575"/>
        <w:rPr>
          <w:sz w:val="21"/>
        </w:rPr>
      </w:pPr>
      <w:r>
        <w:rPr>
          <w:spacing w:val="-6"/>
          <w:sz w:val="21"/>
        </w:rPr>
        <w:lastRenderedPageBreak/>
        <w:t>目测检查通信区域的位置，判断试验结果是否符合</w:t>
      </w:r>
      <w:r>
        <w:rPr>
          <w:spacing w:val="-6"/>
          <w:sz w:val="21"/>
        </w:rPr>
        <w:t xml:space="preserve"> </w:t>
      </w:r>
      <w:r>
        <w:rPr>
          <w:sz w:val="21"/>
        </w:rPr>
        <w:t>5.9.1.1</w:t>
      </w:r>
      <w:r>
        <w:rPr>
          <w:spacing w:val="-12"/>
          <w:sz w:val="21"/>
        </w:rPr>
        <w:t xml:space="preserve"> </w:t>
      </w:r>
      <w:r>
        <w:rPr>
          <w:spacing w:val="-12"/>
          <w:sz w:val="21"/>
        </w:rPr>
        <w:t>的规定。</w:t>
      </w:r>
      <w:r>
        <w:rPr>
          <w:spacing w:val="-12"/>
          <w:sz w:val="21"/>
        </w:rPr>
        <w:t xml:space="preserve"> </w:t>
      </w:r>
    </w:p>
    <w:p w14:paraId="60E4F050" w14:textId="77777777" w:rsidR="00A71EEF" w:rsidRDefault="00A71EEF">
      <w:pPr>
        <w:pStyle w:val="a3"/>
        <w:rPr>
          <w:sz w:val="18"/>
        </w:rPr>
      </w:pPr>
    </w:p>
    <w:p w14:paraId="49E41763" w14:textId="77777777" w:rsidR="00A71EEF" w:rsidRDefault="0081115D">
      <w:pPr>
        <w:pStyle w:val="a4"/>
        <w:numPr>
          <w:ilvl w:val="3"/>
          <w:numId w:val="817"/>
        </w:numPr>
        <w:tabs>
          <w:tab w:val="left" w:pos="1576"/>
        </w:tabs>
        <w:ind w:left="1575"/>
        <w:rPr>
          <w:sz w:val="21"/>
        </w:rPr>
      </w:pPr>
      <w:r>
        <w:rPr>
          <w:spacing w:val="-5"/>
          <w:sz w:val="21"/>
        </w:rPr>
        <w:t>目测检查通信区域的专用空间，判断试验结果是否符合</w:t>
      </w:r>
      <w:r>
        <w:rPr>
          <w:spacing w:val="-5"/>
          <w:sz w:val="21"/>
        </w:rPr>
        <w:t xml:space="preserve"> </w:t>
      </w:r>
      <w:r>
        <w:rPr>
          <w:sz w:val="21"/>
        </w:rPr>
        <w:t>5.9.1.2</w:t>
      </w:r>
      <w:r>
        <w:rPr>
          <w:spacing w:val="-12"/>
          <w:sz w:val="21"/>
        </w:rPr>
        <w:t xml:space="preserve"> </w:t>
      </w:r>
      <w:r>
        <w:rPr>
          <w:spacing w:val="-12"/>
          <w:sz w:val="21"/>
        </w:rPr>
        <w:t>的规定。</w:t>
      </w:r>
      <w:r>
        <w:rPr>
          <w:spacing w:val="-12"/>
          <w:sz w:val="21"/>
        </w:rPr>
        <w:t xml:space="preserve"> </w:t>
      </w:r>
    </w:p>
    <w:p w14:paraId="4E620123" w14:textId="77777777" w:rsidR="00A71EEF" w:rsidRDefault="00A71EEF">
      <w:pPr>
        <w:pStyle w:val="a3"/>
        <w:rPr>
          <w:sz w:val="18"/>
        </w:rPr>
      </w:pPr>
    </w:p>
    <w:p w14:paraId="20D28331" w14:textId="77777777" w:rsidR="00A71EEF" w:rsidRDefault="0081115D">
      <w:pPr>
        <w:pStyle w:val="a4"/>
        <w:numPr>
          <w:ilvl w:val="2"/>
          <w:numId w:val="817"/>
        </w:numPr>
        <w:tabs>
          <w:tab w:val="left" w:pos="1370"/>
        </w:tabs>
        <w:ind w:left="1369" w:hanging="530"/>
        <w:rPr>
          <w:sz w:val="21"/>
        </w:rPr>
      </w:pPr>
      <w:r>
        <w:rPr>
          <w:spacing w:val="-3"/>
          <w:sz w:val="21"/>
        </w:rPr>
        <w:t>通信区域噪声</w:t>
      </w:r>
      <w:r>
        <w:rPr>
          <w:sz w:val="21"/>
        </w:rPr>
        <w:t xml:space="preserve"> </w:t>
      </w:r>
    </w:p>
    <w:p w14:paraId="46FFC2B8" w14:textId="77777777" w:rsidR="00A71EEF" w:rsidRDefault="00A71EEF">
      <w:pPr>
        <w:pStyle w:val="a3"/>
        <w:spacing w:before="1"/>
        <w:rPr>
          <w:sz w:val="18"/>
        </w:rPr>
      </w:pPr>
    </w:p>
    <w:p w14:paraId="5CDDF777" w14:textId="77777777" w:rsidR="00A71EEF" w:rsidRDefault="0081115D">
      <w:pPr>
        <w:pStyle w:val="a3"/>
        <w:spacing w:before="1" w:line="446" w:lineRule="auto"/>
        <w:ind w:left="418" w:right="1505" w:firstLine="419"/>
      </w:pPr>
      <w:r>
        <w:rPr>
          <w:spacing w:val="-5"/>
        </w:rPr>
        <w:t>消防车满载，试验道路为铺装路面，道路的坡度不大于</w:t>
      </w:r>
      <w:r>
        <w:rPr>
          <w:spacing w:val="-5"/>
        </w:rPr>
        <w:t xml:space="preserve"> </w:t>
      </w:r>
      <w:r>
        <w:t>1</w:t>
      </w:r>
      <w:r>
        <w:rPr>
          <w:spacing w:val="-3"/>
        </w:rPr>
        <w:t>%</w:t>
      </w:r>
      <w:r>
        <w:rPr>
          <w:spacing w:val="-3"/>
        </w:rPr>
        <w:t>，试验时关闭警报器，消防车从</w:t>
      </w:r>
      <w:r>
        <w:rPr>
          <w:spacing w:val="-3"/>
        </w:rPr>
        <w:t xml:space="preserve">30 </w:t>
      </w:r>
      <w:r>
        <w:t>km/h</w:t>
      </w:r>
      <w:r>
        <w:rPr>
          <w:spacing w:val="-19"/>
        </w:rPr>
        <w:t xml:space="preserve"> </w:t>
      </w:r>
      <w:r>
        <w:rPr>
          <w:spacing w:val="-19"/>
        </w:rPr>
        <w:t>开始，以</w:t>
      </w:r>
      <w:r>
        <w:rPr>
          <w:spacing w:val="-19"/>
        </w:rPr>
        <w:t xml:space="preserve"> </w:t>
      </w:r>
      <w:r>
        <w:t>10 km/h</w:t>
      </w:r>
      <w:r>
        <w:rPr>
          <w:spacing w:val="-13"/>
        </w:rPr>
        <w:t xml:space="preserve"> </w:t>
      </w:r>
      <w:r>
        <w:rPr>
          <w:spacing w:val="-13"/>
        </w:rPr>
        <w:t>为增速步长直至</w:t>
      </w:r>
      <w:r>
        <w:rPr>
          <w:spacing w:val="-13"/>
        </w:rPr>
        <w:t xml:space="preserve"> </w:t>
      </w:r>
      <w:r>
        <w:t>80 km/h</w:t>
      </w:r>
      <w:r>
        <w:rPr>
          <w:spacing w:val="-8"/>
        </w:rPr>
        <w:t>，将精密噪声仪置于</w:t>
      </w:r>
      <w:r>
        <w:rPr>
          <w:spacing w:val="-8"/>
        </w:rPr>
        <w:t xml:space="preserve"> </w:t>
      </w:r>
      <w:r>
        <w:t>A</w:t>
      </w:r>
      <w:r>
        <w:rPr>
          <w:spacing w:val="-8"/>
        </w:rPr>
        <w:t xml:space="preserve"> </w:t>
      </w:r>
      <w:r>
        <w:rPr>
          <w:spacing w:val="-8"/>
        </w:rPr>
        <w:t>计权慢挡，噪声仪传</w:t>
      </w:r>
      <w:r>
        <w:rPr>
          <w:spacing w:val="-5"/>
        </w:rPr>
        <w:t>感器放置在坐姿的通信员耳旁测量各车速下噪声值，每个车速往返各测量一次，判断试验结果</w:t>
      </w:r>
      <w:r>
        <w:rPr>
          <w:spacing w:val="-14"/>
        </w:rPr>
        <w:t>是否符合</w:t>
      </w:r>
      <w:r>
        <w:rPr>
          <w:spacing w:val="-14"/>
        </w:rPr>
        <w:t xml:space="preserve"> </w:t>
      </w:r>
      <w:r>
        <w:t>5.9.2</w:t>
      </w:r>
      <w:r>
        <w:rPr>
          <w:spacing w:val="-12"/>
        </w:rPr>
        <w:t xml:space="preserve"> </w:t>
      </w:r>
      <w:r>
        <w:rPr>
          <w:spacing w:val="-12"/>
        </w:rPr>
        <w:t>的规定。</w:t>
      </w:r>
      <w:r>
        <w:rPr>
          <w:spacing w:val="-12"/>
        </w:rPr>
        <w:t xml:space="preserve"> </w:t>
      </w:r>
    </w:p>
    <w:p w14:paraId="4A6B7C47" w14:textId="77777777" w:rsidR="00A71EEF" w:rsidRDefault="0081115D">
      <w:pPr>
        <w:pStyle w:val="a4"/>
        <w:numPr>
          <w:ilvl w:val="2"/>
          <w:numId w:val="817"/>
        </w:numPr>
        <w:tabs>
          <w:tab w:val="left" w:pos="1370"/>
        </w:tabs>
        <w:spacing w:line="267" w:lineRule="exact"/>
        <w:ind w:left="1369" w:hanging="530"/>
        <w:rPr>
          <w:sz w:val="21"/>
        </w:rPr>
      </w:pPr>
      <w:r>
        <w:rPr>
          <w:spacing w:val="-3"/>
          <w:sz w:val="21"/>
        </w:rPr>
        <w:t>通信区域照明</w:t>
      </w:r>
      <w:r>
        <w:rPr>
          <w:sz w:val="21"/>
        </w:rPr>
        <w:t xml:space="preserve"> </w:t>
      </w:r>
    </w:p>
    <w:p w14:paraId="188B86CA" w14:textId="77777777" w:rsidR="00A71EEF" w:rsidRDefault="00A71EEF">
      <w:pPr>
        <w:pStyle w:val="a3"/>
        <w:spacing w:before="12"/>
        <w:rPr>
          <w:sz w:val="17"/>
        </w:rPr>
      </w:pPr>
    </w:p>
    <w:p w14:paraId="3BBEA270" w14:textId="77777777" w:rsidR="00A71EEF" w:rsidRDefault="0081115D">
      <w:pPr>
        <w:pStyle w:val="a3"/>
        <w:spacing w:line="446" w:lineRule="auto"/>
        <w:ind w:left="418" w:right="1609" w:firstLine="419"/>
      </w:pPr>
      <w:r>
        <w:rPr>
          <w:spacing w:val="-3"/>
        </w:rPr>
        <w:t>目测检查通信区域内照明开关及照明情况，副驾驶区域是否有独立照明灯的插座，判断试</w:t>
      </w:r>
      <w:r>
        <w:rPr>
          <w:spacing w:val="-10"/>
        </w:rPr>
        <w:t>验结果是否符合</w:t>
      </w:r>
      <w:r>
        <w:rPr>
          <w:spacing w:val="-10"/>
        </w:rPr>
        <w:t xml:space="preserve"> </w:t>
      </w:r>
      <w:r>
        <w:t>5.9.3</w:t>
      </w:r>
      <w:r>
        <w:rPr>
          <w:spacing w:val="-12"/>
        </w:rPr>
        <w:t xml:space="preserve"> </w:t>
      </w:r>
      <w:r>
        <w:rPr>
          <w:spacing w:val="-12"/>
        </w:rPr>
        <w:t>的规定。</w:t>
      </w:r>
      <w:r>
        <w:rPr>
          <w:spacing w:val="-12"/>
        </w:rPr>
        <w:t xml:space="preserve"> </w:t>
      </w:r>
    </w:p>
    <w:p w14:paraId="1B6A7F3A" w14:textId="77777777" w:rsidR="00A71EEF" w:rsidRDefault="0081115D">
      <w:pPr>
        <w:pStyle w:val="a4"/>
        <w:numPr>
          <w:ilvl w:val="2"/>
          <w:numId w:val="817"/>
        </w:numPr>
        <w:tabs>
          <w:tab w:val="left" w:pos="1370"/>
        </w:tabs>
        <w:ind w:left="1369" w:hanging="530"/>
        <w:rPr>
          <w:sz w:val="21"/>
        </w:rPr>
      </w:pPr>
      <w:r>
        <w:rPr>
          <w:spacing w:val="-3"/>
          <w:sz w:val="21"/>
        </w:rPr>
        <w:t>工作台</w:t>
      </w:r>
      <w:r>
        <w:rPr>
          <w:sz w:val="21"/>
        </w:rPr>
        <w:t xml:space="preserve"> </w:t>
      </w:r>
    </w:p>
    <w:p w14:paraId="5F9F940F" w14:textId="77777777" w:rsidR="00A71EEF" w:rsidRDefault="00A71EEF">
      <w:pPr>
        <w:pStyle w:val="a3"/>
        <w:spacing w:before="12"/>
        <w:rPr>
          <w:sz w:val="17"/>
        </w:rPr>
      </w:pPr>
    </w:p>
    <w:p w14:paraId="07FFE1F0" w14:textId="77777777" w:rsidR="00A71EEF" w:rsidRDefault="0081115D">
      <w:pPr>
        <w:pStyle w:val="a3"/>
        <w:ind w:left="838"/>
      </w:pPr>
      <w:r>
        <w:t>目测检查通信区域工作台，工作台是否平坦，有无尖锐的边角，判断试验结果是否符合</w:t>
      </w:r>
    </w:p>
    <w:p w14:paraId="7E8B6988" w14:textId="77777777" w:rsidR="00A71EEF" w:rsidRDefault="00A71EEF">
      <w:pPr>
        <w:pStyle w:val="a3"/>
        <w:spacing w:before="2"/>
        <w:rPr>
          <w:sz w:val="18"/>
        </w:rPr>
      </w:pPr>
    </w:p>
    <w:p w14:paraId="455C9332" w14:textId="77777777" w:rsidR="00A71EEF" w:rsidRDefault="0081115D">
      <w:pPr>
        <w:pStyle w:val="a3"/>
        <w:ind w:left="418"/>
      </w:pPr>
      <w:r>
        <w:t xml:space="preserve">5.9.4 </w:t>
      </w:r>
      <w:r>
        <w:t>的规定。</w:t>
      </w:r>
      <w:r>
        <w:t xml:space="preserve"> </w:t>
      </w:r>
    </w:p>
    <w:p w14:paraId="0B87CAB2" w14:textId="77777777" w:rsidR="00A71EEF" w:rsidRDefault="00A71EEF">
      <w:pPr>
        <w:pStyle w:val="a3"/>
        <w:rPr>
          <w:sz w:val="18"/>
        </w:rPr>
      </w:pPr>
    </w:p>
    <w:p w14:paraId="7377C6DC" w14:textId="77777777" w:rsidR="00A71EEF" w:rsidRDefault="0081115D">
      <w:pPr>
        <w:pStyle w:val="a4"/>
        <w:numPr>
          <w:ilvl w:val="2"/>
          <w:numId w:val="807"/>
        </w:numPr>
        <w:tabs>
          <w:tab w:val="left" w:pos="1370"/>
        </w:tabs>
        <w:ind w:hanging="530"/>
        <w:rPr>
          <w:sz w:val="21"/>
        </w:rPr>
      </w:pPr>
      <w:r>
        <w:rPr>
          <w:spacing w:val="-3"/>
          <w:sz w:val="21"/>
        </w:rPr>
        <w:t>通信区域座椅</w:t>
      </w:r>
      <w:r>
        <w:rPr>
          <w:sz w:val="21"/>
        </w:rPr>
        <w:t xml:space="preserve"> </w:t>
      </w:r>
    </w:p>
    <w:p w14:paraId="5514C89A" w14:textId="77777777" w:rsidR="00A71EEF" w:rsidRDefault="00A71EEF">
      <w:pPr>
        <w:pStyle w:val="a3"/>
        <w:spacing w:before="12"/>
        <w:rPr>
          <w:sz w:val="17"/>
        </w:rPr>
      </w:pPr>
    </w:p>
    <w:p w14:paraId="19609E54" w14:textId="77777777" w:rsidR="00A71EEF" w:rsidRDefault="0081115D">
      <w:pPr>
        <w:pStyle w:val="a3"/>
        <w:spacing w:line="446" w:lineRule="auto"/>
        <w:ind w:left="418" w:right="1609" w:firstLine="419"/>
      </w:pPr>
      <w:r>
        <w:t>检查通信区域座椅的固定方式，当为非固定时，是否有座椅的储存固定空间，判断试验结果是否符合</w:t>
      </w:r>
      <w:r>
        <w:t xml:space="preserve"> 5.9.5 </w:t>
      </w:r>
      <w:r>
        <w:t>的规定。</w:t>
      </w:r>
      <w:r>
        <w:t xml:space="preserve"> </w:t>
      </w:r>
    </w:p>
    <w:p w14:paraId="2AA6C2F3" w14:textId="77777777" w:rsidR="00A71EEF" w:rsidRDefault="0081115D">
      <w:pPr>
        <w:pStyle w:val="a4"/>
        <w:numPr>
          <w:ilvl w:val="2"/>
          <w:numId w:val="807"/>
        </w:numPr>
        <w:tabs>
          <w:tab w:val="left" w:pos="1370"/>
        </w:tabs>
        <w:ind w:hanging="530"/>
        <w:rPr>
          <w:sz w:val="21"/>
        </w:rPr>
      </w:pPr>
      <w:r>
        <w:rPr>
          <w:spacing w:val="-3"/>
          <w:sz w:val="21"/>
        </w:rPr>
        <w:t>设施的储存</w:t>
      </w:r>
      <w:r>
        <w:rPr>
          <w:sz w:val="21"/>
        </w:rPr>
        <w:t xml:space="preserve"> </w:t>
      </w:r>
    </w:p>
    <w:p w14:paraId="5A91B439" w14:textId="77777777" w:rsidR="00A71EEF" w:rsidRDefault="00A71EEF">
      <w:pPr>
        <w:pStyle w:val="a3"/>
        <w:rPr>
          <w:sz w:val="18"/>
        </w:rPr>
      </w:pPr>
    </w:p>
    <w:p w14:paraId="22BBE7A5" w14:textId="77777777" w:rsidR="00A71EEF" w:rsidRDefault="0081115D">
      <w:pPr>
        <w:pStyle w:val="a4"/>
        <w:numPr>
          <w:ilvl w:val="3"/>
          <w:numId w:val="807"/>
        </w:numPr>
        <w:tabs>
          <w:tab w:val="left" w:pos="1576"/>
        </w:tabs>
        <w:spacing w:line="446" w:lineRule="auto"/>
        <w:ind w:right="1609" w:firstLine="419"/>
        <w:rPr>
          <w:sz w:val="21"/>
        </w:rPr>
      </w:pPr>
      <w:r>
        <w:rPr>
          <w:spacing w:val="-3"/>
          <w:sz w:val="21"/>
        </w:rPr>
        <w:t>检查为通信设施设置的箱柜是否能合理的容纳设备，并能为设备提供保护，判断</w:t>
      </w:r>
      <w:r>
        <w:rPr>
          <w:spacing w:val="-9"/>
          <w:sz w:val="21"/>
        </w:rPr>
        <w:t>试验结果是否符合</w:t>
      </w:r>
      <w:r>
        <w:rPr>
          <w:spacing w:val="-9"/>
          <w:sz w:val="21"/>
        </w:rPr>
        <w:t xml:space="preserve"> </w:t>
      </w:r>
      <w:r>
        <w:rPr>
          <w:sz w:val="21"/>
        </w:rPr>
        <w:t>5.9.6.1</w:t>
      </w:r>
      <w:r>
        <w:rPr>
          <w:spacing w:val="-13"/>
          <w:sz w:val="21"/>
        </w:rPr>
        <w:t xml:space="preserve"> </w:t>
      </w:r>
      <w:r>
        <w:rPr>
          <w:spacing w:val="-13"/>
          <w:sz w:val="21"/>
        </w:rPr>
        <w:t>的规定。</w:t>
      </w:r>
      <w:r>
        <w:rPr>
          <w:sz w:val="21"/>
        </w:rPr>
        <w:t xml:space="preserve"> </w:t>
      </w:r>
    </w:p>
    <w:p w14:paraId="1DB25EDD" w14:textId="77777777" w:rsidR="00A71EEF" w:rsidRDefault="0081115D">
      <w:pPr>
        <w:pStyle w:val="a4"/>
        <w:numPr>
          <w:ilvl w:val="3"/>
          <w:numId w:val="807"/>
        </w:numPr>
        <w:tabs>
          <w:tab w:val="left" w:pos="1576"/>
        </w:tabs>
        <w:spacing w:line="446" w:lineRule="auto"/>
        <w:ind w:right="1609" w:firstLine="419"/>
        <w:rPr>
          <w:sz w:val="21"/>
        </w:rPr>
      </w:pPr>
      <w:r>
        <w:rPr>
          <w:spacing w:val="-3"/>
          <w:sz w:val="21"/>
        </w:rPr>
        <w:t>检查箱柜门上的锁止机构或插销装置在车辆运行或不使用设备期间是否处于关闭</w:t>
      </w:r>
      <w:r>
        <w:rPr>
          <w:spacing w:val="-7"/>
          <w:sz w:val="21"/>
        </w:rPr>
        <w:t>状态，判断试验结果是否符合</w:t>
      </w:r>
      <w:r>
        <w:rPr>
          <w:spacing w:val="-7"/>
          <w:sz w:val="21"/>
        </w:rPr>
        <w:t xml:space="preserve"> </w:t>
      </w:r>
      <w:r>
        <w:rPr>
          <w:sz w:val="21"/>
        </w:rPr>
        <w:t>5.9.6.2</w:t>
      </w:r>
      <w:r>
        <w:rPr>
          <w:spacing w:val="-13"/>
          <w:sz w:val="21"/>
        </w:rPr>
        <w:t xml:space="preserve"> </w:t>
      </w:r>
      <w:r>
        <w:rPr>
          <w:spacing w:val="-13"/>
          <w:sz w:val="21"/>
        </w:rPr>
        <w:t>的规定。</w:t>
      </w:r>
      <w:r>
        <w:rPr>
          <w:sz w:val="21"/>
        </w:rPr>
        <w:t xml:space="preserve"> </w:t>
      </w:r>
    </w:p>
    <w:p w14:paraId="5EEE076B" w14:textId="77777777" w:rsidR="00A71EEF" w:rsidRDefault="0081115D">
      <w:pPr>
        <w:pStyle w:val="a4"/>
        <w:numPr>
          <w:ilvl w:val="2"/>
          <w:numId w:val="807"/>
        </w:numPr>
        <w:tabs>
          <w:tab w:val="left" w:pos="1370"/>
        </w:tabs>
        <w:ind w:hanging="530"/>
        <w:rPr>
          <w:sz w:val="21"/>
        </w:rPr>
      </w:pPr>
      <w:r>
        <w:rPr>
          <w:spacing w:val="-3"/>
          <w:sz w:val="21"/>
        </w:rPr>
        <w:t>通信设备</w:t>
      </w:r>
      <w:r>
        <w:rPr>
          <w:sz w:val="21"/>
        </w:rPr>
        <w:t xml:space="preserve"> </w:t>
      </w:r>
    </w:p>
    <w:p w14:paraId="6C9F8A7B" w14:textId="77777777" w:rsidR="00A71EEF" w:rsidRDefault="00A71EEF">
      <w:pPr>
        <w:pStyle w:val="a3"/>
        <w:spacing w:before="12"/>
        <w:rPr>
          <w:sz w:val="17"/>
        </w:rPr>
      </w:pPr>
    </w:p>
    <w:p w14:paraId="3F907F21" w14:textId="77777777" w:rsidR="00A71EEF" w:rsidRDefault="0081115D">
      <w:pPr>
        <w:pStyle w:val="a4"/>
        <w:numPr>
          <w:ilvl w:val="3"/>
          <w:numId w:val="807"/>
        </w:numPr>
        <w:tabs>
          <w:tab w:val="left" w:pos="1576"/>
        </w:tabs>
        <w:spacing w:line="446" w:lineRule="auto"/>
        <w:ind w:right="1505" w:firstLine="419"/>
        <w:rPr>
          <w:sz w:val="21"/>
        </w:rPr>
      </w:pPr>
      <w:r>
        <w:rPr>
          <w:spacing w:val="-24"/>
          <w:sz w:val="21"/>
        </w:rPr>
        <w:t>按</w:t>
      </w:r>
      <w:r>
        <w:rPr>
          <w:spacing w:val="-24"/>
          <w:sz w:val="21"/>
        </w:rPr>
        <w:t xml:space="preserve"> </w:t>
      </w:r>
      <w:r>
        <w:rPr>
          <w:sz w:val="21"/>
        </w:rPr>
        <w:t>GB</w:t>
      </w:r>
      <w:r>
        <w:rPr>
          <w:spacing w:val="9"/>
          <w:sz w:val="21"/>
        </w:rPr>
        <w:t xml:space="preserve"> </w:t>
      </w:r>
      <w:r>
        <w:rPr>
          <w:sz w:val="21"/>
        </w:rPr>
        <w:t>50313</w:t>
      </w:r>
      <w:r>
        <w:rPr>
          <w:spacing w:val="-9"/>
          <w:sz w:val="21"/>
        </w:rPr>
        <w:t xml:space="preserve"> </w:t>
      </w:r>
      <w:r>
        <w:rPr>
          <w:spacing w:val="-9"/>
          <w:sz w:val="21"/>
        </w:rPr>
        <w:t>进行通信系统设计要求的检查，并查看设备的国家级检验机构的检验报告，判断试验结果是否符合</w:t>
      </w:r>
      <w:r>
        <w:rPr>
          <w:spacing w:val="-9"/>
          <w:sz w:val="21"/>
        </w:rPr>
        <w:t xml:space="preserve"> </w:t>
      </w:r>
      <w:r>
        <w:rPr>
          <w:sz w:val="21"/>
        </w:rPr>
        <w:t>5.9.7.1</w:t>
      </w:r>
      <w:r>
        <w:rPr>
          <w:spacing w:val="-13"/>
          <w:sz w:val="21"/>
        </w:rPr>
        <w:t xml:space="preserve"> </w:t>
      </w:r>
      <w:r>
        <w:rPr>
          <w:spacing w:val="-13"/>
          <w:sz w:val="21"/>
        </w:rPr>
        <w:t>的规定。</w:t>
      </w:r>
      <w:r>
        <w:rPr>
          <w:sz w:val="21"/>
        </w:rPr>
        <w:t xml:space="preserve"> </w:t>
      </w:r>
    </w:p>
    <w:p w14:paraId="2569E4F0" w14:textId="77777777" w:rsidR="00A71EEF" w:rsidRDefault="0081115D">
      <w:pPr>
        <w:pStyle w:val="a4"/>
        <w:numPr>
          <w:ilvl w:val="3"/>
          <w:numId w:val="807"/>
        </w:numPr>
        <w:tabs>
          <w:tab w:val="left" w:pos="1576"/>
        </w:tabs>
        <w:spacing w:line="446" w:lineRule="auto"/>
        <w:ind w:right="1609" w:firstLine="419"/>
        <w:rPr>
          <w:sz w:val="21"/>
        </w:rPr>
      </w:pPr>
      <w:r>
        <w:rPr>
          <w:spacing w:val="-3"/>
          <w:sz w:val="21"/>
        </w:rPr>
        <w:t>检查当采用乘员室和驾驶室分隔设置，或指挥中心设在车身内时，是否有车内通</w:t>
      </w:r>
      <w:r>
        <w:rPr>
          <w:spacing w:val="-7"/>
          <w:sz w:val="21"/>
        </w:rPr>
        <w:t>话设施，判断试验结果是否符合</w:t>
      </w:r>
      <w:r>
        <w:rPr>
          <w:spacing w:val="-7"/>
          <w:sz w:val="21"/>
        </w:rPr>
        <w:t xml:space="preserve"> </w:t>
      </w:r>
      <w:r>
        <w:rPr>
          <w:sz w:val="21"/>
        </w:rPr>
        <w:t>5.9.7.2</w:t>
      </w:r>
      <w:r>
        <w:rPr>
          <w:spacing w:val="-13"/>
          <w:sz w:val="21"/>
        </w:rPr>
        <w:t xml:space="preserve"> </w:t>
      </w:r>
      <w:r>
        <w:rPr>
          <w:spacing w:val="-13"/>
          <w:sz w:val="21"/>
        </w:rPr>
        <w:t>的规定。</w:t>
      </w:r>
      <w:r>
        <w:rPr>
          <w:sz w:val="21"/>
        </w:rPr>
        <w:t xml:space="preserve"> </w:t>
      </w:r>
    </w:p>
    <w:p w14:paraId="6A809DC2" w14:textId="77777777" w:rsidR="00A71EEF" w:rsidRDefault="0081115D">
      <w:pPr>
        <w:pStyle w:val="a4"/>
        <w:numPr>
          <w:ilvl w:val="3"/>
          <w:numId w:val="807"/>
        </w:numPr>
        <w:tabs>
          <w:tab w:val="left" w:pos="1576"/>
        </w:tabs>
        <w:spacing w:line="446" w:lineRule="auto"/>
        <w:ind w:right="1609" w:firstLine="419"/>
        <w:rPr>
          <w:sz w:val="21"/>
        </w:rPr>
      </w:pPr>
      <w:r>
        <w:rPr>
          <w:spacing w:val="-3"/>
          <w:sz w:val="21"/>
        </w:rPr>
        <w:t>检查无线通信装置或控制台，是否有防振、防撞击等安全保护措施，判断试验结</w:t>
      </w:r>
      <w:r>
        <w:rPr>
          <w:spacing w:val="-12"/>
          <w:sz w:val="21"/>
        </w:rPr>
        <w:t>果是否符合</w:t>
      </w:r>
      <w:r>
        <w:rPr>
          <w:spacing w:val="-12"/>
          <w:sz w:val="21"/>
        </w:rPr>
        <w:t xml:space="preserve"> </w:t>
      </w:r>
      <w:r>
        <w:rPr>
          <w:sz w:val="21"/>
        </w:rPr>
        <w:t>5.9.7.3</w:t>
      </w:r>
      <w:r>
        <w:rPr>
          <w:spacing w:val="-12"/>
          <w:sz w:val="21"/>
        </w:rPr>
        <w:t xml:space="preserve"> </w:t>
      </w:r>
      <w:r>
        <w:rPr>
          <w:spacing w:val="-12"/>
          <w:sz w:val="21"/>
        </w:rPr>
        <w:t>的规定。</w:t>
      </w:r>
      <w:r>
        <w:rPr>
          <w:spacing w:val="-12"/>
          <w:sz w:val="21"/>
        </w:rPr>
        <w:t xml:space="preserve"> </w:t>
      </w:r>
    </w:p>
    <w:p w14:paraId="6330FBC2" w14:textId="77777777" w:rsidR="00A71EEF" w:rsidRDefault="00A71EEF">
      <w:pPr>
        <w:spacing w:line="446" w:lineRule="auto"/>
        <w:rPr>
          <w:sz w:val="21"/>
        </w:rPr>
        <w:sectPr w:rsidR="00A71EEF">
          <w:pgSz w:w="11910" w:h="16850"/>
          <w:pgMar w:top="1220" w:right="0" w:bottom="1420" w:left="1260" w:header="0" w:footer="1239" w:gutter="0"/>
          <w:cols w:space="720"/>
        </w:sectPr>
      </w:pPr>
    </w:p>
    <w:p w14:paraId="69372AF9" w14:textId="77777777" w:rsidR="00A71EEF" w:rsidRDefault="0081115D">
      <w:pPr>
        <w:pStyle w:val="a4"/>
        <w:numPr>
          <w:ilvl w:val="2"/>
          <w:numId w:val="807"/>
        </w:numPr>
        <w:tabs>
          <w:tab w:val="left" w:pos="1370"/>
        </w:tabs>
        <w:spacing w:before="47"/>
        <w:ind w:hanging="530"/>
        <w:rPr>
          <w:sz w:val="21"/>
        </w:rPr>
      </w:pPr>
      <w:r>
        <w:rPr>
          <w:spacing w:val="-3"/>
          <w:sz w:val="21"/>
        </w:rPr>
        <w:lastRenderedPageBreak/>
        <w:t>计算机和设备的安装</w:t>
      </w:r>
      <w:r>
        <w:rPr>
          <w:spacing w:val="-3"/>
          <w:sz w:val="21"/>
        </w:rPr>
        <w:t xml:space="preserve"> </w:t>
      </w:r>
    </w:p>
    <w:p w14:paraId="04788913" w14:textId="77777777" w:rsidR="00A71EEF" w:rsidRDefault="00A71EEF">
      <w:pPr>
        <w:pStyle w:val="a3"/>
        <w:rPr>
          <w:sz w:val="18"/>
        </w:rPr>
      </w:pPr>
    </w:p>
    <w:p w14:paraId="1F2F3F9F" w14:textId="77777777" w:rsidR="00A71EEF" w:rsidRDefault="0081115D">
      <w:pPr>
        <w:pStyle w:val="a4"/>
        <w:numPr>
          <w:ilvl w:val="3"/>
          <w:numId w:val="807"/>
        </w:numPr>
        <w:tabs>
          <w:tab w:val="left" w:pos="1576"/>
        </w:tabs>
        <w:ind w:left="1575"/>
        <w:rPr>
          <w:sz w:val="21"/>
        </w:rPr>
      </w:pPr>
      <w:r>
        <w:rPr>
          <w:spacing w:val="-5"/>
          <w:sz w:val="21"/>
        </w:rPr>
        <w:t>目测检查车辆结构空间，确定选用相应的计算机，判断试验结果是否符合</w:t>
      </w:r>
      <w:r>
        <w:rPr>
          <w:spacing w:val="-5"/>
          <w:sz w:val="21"/>
        </w:rPr>
        <w:t xml:space="preserve"> </w:t>
      </w:r>
      <w:r>
        <w:rPr>
          <w:sz w:val="21"/>
        </w:rPr>
        <w:t>5.9.8.1</w:t>
      </w:r>
    </w:p>
    <w:p w14:paraId="72A8868F" w14:textId="77777777" w:rsidR="00A71EEF" w:rsidRDefault="00A71EEF">
      <w:pPr>
        <w:pStyle w:val="a3"/>
        <w:rPr>
          <w:sz w:val="18"/>
        </w:rPr>
      </w:pPr>
    </w:p>
    <w:p w14:paraId="463F06F2" w14:textId="77777777" w:rsidR="00A71EEF" w:rsidRDefault="0081115D">
      <w:pPr>
        <w:pStyle w:val="a3"/>
        <w:ind w:left="418"/>
      </w:pPr>
      <w:r>
        <w:t>的规定。</w:t>
      </w:r>
      <w:r>
        <w:t xml:space="preserve"> </w:t>
      </w:r>
    </w:p>
    <w:p w14:paraId="7AFA5A70" w14:textId="77777777" w:rsidR="00A71EEF" w:rsidRDefault="00A71EEF">
      <w:pPr>
        <w:pStyle w:val="a3"/>
        <w:spacing w:before="1"/>
        <w:rPr>
          <w:sz w:val="18"/>
        </w:rPr>
      </w:pPr>
    </w:p>
    <w:p w14:paraId="716C636F" w14:textId="77777777" w:rsidR="00A71EEF" w:rsidRDefault="0081115D">
      <w:pPr>
        <w:pStyle w:val="a4"/>
        <w:numPr>
          <w:ilvl w:val="3"/>
          <w:numId w:val="807"/>
        </w:numPr>
        <w:tabs>
          <w:tab w:val="left" w:pos="1576"/>
        </w:tabs>
        <w:spacing w:before="1" w:line="446" w:lineRule="auto"/>
        <w:ind w:right="1609" w:firstLine="419"/>
        <w:rPr>
          <w:sz w:val="21"/>
        </w:rPr>
      </w:pPr>
      <w:r>
        <w:rPr>
          <w:spacing w:val="-3"/>
          <w:sz w:val="21"/>
        </w:rPr>
        <w:t>目测检查为计算机设备提供的外供电源接口处是否设有指示标牌，是否在标牌上</w:t>
      </w:r>
      <w:r>
        <w:rPr>
          <w:spacing w:val="-6"/>
          <w:sz w:val="21"/>
        </w:rPr>
        <w:t>注明电源的电压及电流强度，判断试验结果是否符合</w:t>
      </w:r>
      <w:r>
        <w:rPr>
          <w:spacing w:val="-6"/>
          <w:sz w:val="21"/>
        </w:rPr>
        <w:t xml:space="preserve"> </w:t>
      </w:r>
      <w:r>
        <w:rPr>
          <w:sz w:val="21"/>
        </w:rPr>
        <w:t>5.9.8.2</w:t>
      </w:r>
      <w:r>
        <w:rPr>
          <w:spacing w:val="-13"/>
          <w:sz w:val="21"/>
        </w:rPr>
        <w:t xml:space="preserve"> </w:t>
      </w:r>
      <w:r>
        <w:rPr>
          <w:spacing w:val="-13"/>
          <w:sz w:val="21"/>
        </w:rPr>
        <w:t>的规定。</w:t>
      </w:r>
      <w:r>
        <w:rPr>
          <w:sz w:val="21"/>
        </w:rPr>
        <w:t xml:space="preserve"> </w:t>
      </w:r>
    </w:p>
    <w:p w14:paraId="662F9720" w14:textId="77777777" w:rsidR="00A71EEF" w:rsidRDefault="0081115D">
      <w:pPr>
        <w:pStyle w:val="a4"/>
        <w:numPr>
          <w:ilvl w:val="3"/>
          <w:numId w:val="807"/>
        </w:numPr>
        <w:tabs>
          <w:tab w:val="left" w:pos="1576"/>
        </w:tabs>
        <w:spacing w:line="267" w:lineRule="exact"/>
        <w:ind w:left="1575"/>
        <w:rPr>
          <w:sz w:val="21"/>
        </w:rPr>
      </w:pPr>
      <w:r>
        <w:rPr>
          <w:spacing w:val="-3"/>
          <w:sz w:val="21"/>
        </w:rPr>
        <w:t>检查计算机设备安装时是否有防震、防机械损伤的措施，判断试验结果是否符合</w:t>
      </w:r>
    </w:p>
    <w:p w14:paraId="4AC5A5EE" w14:textId="77777777" w:rsidR="00A71EEF" w:rsidRDefault="00A71EEF">
      <w:pPr>
        <w:pStyle w:val="a3"/>
        <w:spacing w:before="1"/>
        <w:rPr>
          <w:sz w:val="18"/>
        </w:rPr>
      </w:pPr>
    </w:p>
    <w:p w14:paraId="1B7B663E" w14:textId="77777777" w:rsidR="00A71EEF" w:rsidRDefault="0081115D">
      <w:pPr>
        <w:pStyle w:val="a3"/>
        <w:spacing w:before="1"/>
        <w:ind w:left="418"/>
      </w:pPr>
      <w:r>
        <w:t xml:space="preserve">5.9.8.3 </w:t>
      </w:r>
      <w:r>
        <w:t>的规定。</w:t>
      </w:r>
      <w:r>
        <w:t xml:space="preserve"> </w:t>
      </w:r>
    </w:p>
    <w:p w14:paraId="680E16A3" w14:textId="77777777" w:rsidR="00A71EEF" w:rsidRDefault="00A71EEF">
      <w:pPr>
        <w:pStyle w:val="a3"/>
        <w:spacing w:before="12"/>
        <w:rPr>
          <w:sz w:val="17"/>
        </w:rPr>
      </w:pPr>
    </w:p>
    <w:p w14:paraId="7F875B4E" w14:textId="77777777" w:rsidR="00A71EEF" w:rsidRDefault="0081115D">
      <w:pPr>
        <w:pStyle w:val="a4"/>
        <w:numPr>
          <w:ilvl w:val="2"/>
          <w:numId w:val="807"/>
        </w:numPr>
        <w:tabs>
          <w:tab w:val="left" w:pos="1370"/>
        </w:tabs>
        <w:ind w:hanging="530"/>
        <w:rPr>
          <w:sz w:val="21"/>
        </w:rPr>
      </w:pPr>
      <w:r>
        <w:rPr>
          <w:spacing w:val="-3"/>
          <w:sz w:val="21"/>
        </w:rPr>
        <w:t>显示设备及安装</w:t>
      </w:r>
      <w:r>
        <w:rPr>
          <w:sz w:val="21"/>
        </w:rPr>
        <w:t xml:space="preserve"> </w:t>
      </w:r>
    </w:p>
    <w:p w14:paraId="06C6B55A" w14:textId="77777777" w:rsidR="00A71EEF" w:rsidRDefault="00A71EEF">
      <w:pPr>
        <w:pStyle w:val="a3"/>
        <w:rPr>
          <w:sz w:val="18"/>
        </w:rPr>
      </w:pPr>
    </w:p>
    <w:p w14:paraId="1027F479" w14:textId="77777777" w:rsidR="00A71EEF" w:rsidRDefault="0081115D">
      <w:pPr>
        <w:pStyle w:val="a4"/>
        <w:numPr>
          <w:ilvl w:val="3"/>
          <w:numId w:val="807"/>
        </w:numPr>
        <w:tabs>
          <w:tab w:val="left" w:pos="1576"/>
        </w:tabs>
        <w:spacing w:line="446" w:lineRule="auto"/>
        <w:ind w:right="1450" w:firstLine="419"/>
        <w:rPr>
          <w:sz w:val="21"/>
        </w:rPr>
      </w:pPr>
      <w:r>
        <w:rPr>
          <w:spacing w:val="-3"/>
          <w:sz w:val="21"/>
        </w:rPr>
        <w:t>目测检查安装在车辆上的显示设备是否满足车辆的运行环境，将消防车在铺装路面</w:t>
      </w:r>
      <w:r>
        <w:rPr>
          <w:spacing w:val="-27"/>
          <w:sz w:val="21"/>
        </w:rPr>
        <w:t>以</w:t>
      </w:r>
      <w:r>
        <w:rPr>
          <w:spacing w:val="-27"/>
          <w:sz w:val="21"/>
        </w:rPr>
        <w:t xml:space="preserve"> </w:t>
      </w:r>
      <w:r>
        <w:rPr>
          <w:sz w:val="21"/>
        </w:rPr>
        <w:t>80</w:t>
      </w:r>
      <w:r>
        <w:rPr>
          <w:spacing w:val="8"/>
          <w:sz w:val="21"/>
        </w:rPr>
        <w:t xml:space="preserve"> </w:t>
      </w:r>
      <w:r>
        <w:rPr>
          <w:sz w:val="21"/>
        </w:rPr>
        <w:t>km/h</w:t>
      </w:r>
      <w:r>
        <w:rPr>
          <w:spacing w:val="-26"/>
          <w:sz w:val="21"/>
        </w:rPr>
        <w:t xml:space="preserve"> </w:t>
      </w:r>
      <w:r>
        <w:rPr>
          <w:spacing w:val="-26"/>
          <w:sz w:val="21"/>
        </w:rPr>
        <w:t>行驶</w:t>
      </w:r>
      <w:r>
        <w:rPr>
          <w:spacing w:val="-26"/>
          <w:sz w:val="21"/>
        </w:rPr>
        <w:t xml:space="preserve"> </w:t>
      </w:r>
      <w:r>
        <w:rPr>
          <w:spacing w:val="-3"/>
          <w:sz w:val="21"/>
        </w:rPr>
        <w:t>1</w:t>
      </w:r>
      <w:r>
        <w:rPr>
          <w:spacing w:val="8"/>
          <w:sz w:val="21"/>
        </w:rPr>
        <w:t xml:space="preserve"> </w:t>
      </w:r>
      <w:r>
        <w:rPr>
          <w:sz w:val="21"/>
        </w:rPr>
        <w:t>h</w:t>
      </w:r>
      <w:r>
        <w:rPr>
          <w:spacing w:val="-5"/>
          <w:sz w:val="21"/>
        </w:rPr>
        <w:t>，检查消防车内显示设备是否完好，判断试验结果是否符合</w:t>
      </w:r>
      <w:r>
        <w:rPr>
          <w:spacing w:val="-5"/>
          <w:sz w:val="21"/>
        </w:rPr>
        <w:t xml:space="preserve"> </w:t>
      </w:r>
      <w:r>
        <w:rPr>
          <w:sz w:val="21"/>
        </w:rPr>
        <w:t>5.9.9.1</w:t>
      </w:r>
      <w:r>
        <w:rPr>
          <w:spacing w:val="-14"/>
          <w:sz w:val="21"/>
        </w:rPr>
        <w:t xml:space="preserve"> </w:t>
      </w:r>
      <w:r>
        <w:rPr>
          <w:spacing w:val="-14"/>
          <w:sz w:val="21"/>
        </w:rPr>
        <w:t>的规定</w:t>
      </w:r>
      <w:r>
        <w:rPr>
          <w:spacing w:val="-3"/>
          <w:sz w:val="21"/>
        </w:rPr>
        <w:t>。</w:t>
      </w:r>
      <w:r>
        <w:rPr>
          <w:sz w:val="21"/>
        </w:rPr>
        <w:t xml:space="preserve"> </w:t>
      </w:r>
    </w:p>
    <w:p w14:paraId="67DA70F7" w14:textId="77777777" w:rsidR="00A71EEF" w:rsidRDefault="0081115D">
      <w:pPr>
        <w:pStyle w:val="a4"/>
        <w:numPr>
          <w:ilvl w:val="3"/>
          <w:numId w:val="807"/>
        </w:numPr>
        <w:tabs>
          <w:tab w:val="left" w:pos="1576"/>
        </w:tabs>
        <w:spacing w:line="446" w:lineRule="auto"/>
        <w:ind w:right="1609" w:firstLine="419"/>
        <w:rPr>
          <w:sz w:val="21"/>
        </w:rPr>
      </w:pPr>
      <w:r>
        <w:rPr>
          <w:spacing w:val="-3"/>
          <w:sz w:val="21"/>
        </w:rPr>
        <w:t>检查显示设备是否储存在封闭的箱柜内，柜内四周是否用衬垫加以保护，防止机</w:t>
      </w:r>
      <w:r>
        <w:rPr>
          <w:spacing w:val="-7"/>
          <w:sz w:val="21"/>
        </w:rPr>
        <w:t>械损伤，判断试验结果是否符合</w:t>
      </w:r>
      <w:r>
        <w:rPr>
          <w:spacing w:val="-7"/>
          <w:sz w:val="21"/>
        </w:rPr>
        <w:t xml:space="preserve"> </w:t>
      </w:r>
      <w:r>
        <w:rPr>
          <w:sz w:val="21"/>
        </w:rPr>
        <w:t>5.9.9.2</w:t>
      </w:r>
      <w:r>
        <w:rPr>
          <w:spacing w:val="-13"/>
          <w:sz w:val="21"/>
        </w:rPr>
        <w:t xml:space="preserve"> </w:t>
      </w:r>
      <w:r>
        <w:rPr>
          <w:spacing w:val="-13"/>
          <w:sz w:val="21"/>
        </w:rPr>
        <w:t>的规定。</w:t>
      </w:r>
      <w:r>
        <w:rPr>
          <w:sz w:val="21"/>
        </w:rPr>
        <w:t xml:space="preserve"> </w:t>
      </w:r>
    </w:p>
    <w:p w14:paraId="422C979C" w14:textId="77777777" w:rsidR="00A71EEF" w:rsidRDefault="0081115D">
      <w:pPr>
        <w:pStyle w:val="a4"/>
        <w:numPr>
          <w:ilvl w:val="3"/>
          <w:numId w:val="807"/>
        </w:numPr>
        <w:tabs>
          <w:tab w:val="left" w:pos="1576"/>
        </w:tabs>
        <w:spacing w:line="446" w:lineRule="auto"/>
        <w:ind w:right="1609" w:firstLine="419"/>
        <w:rPr>
          <w:sz w:val="21"/>
        </w:rPr>
      </w:pPr>
      <w:r>
        <w:rPr>
          <w:spacing w:val="-3"/>
          <w:sz w:val="21"/>
        </w:rPr>
        <w:t>目测检查显示监控器，是否安装于既能方便观察，又不会受到损伤的地方，判断</w:t>
      </w:r>
      <w:r>
        <w:rPr>
          <w:spacing w:val="-9"/>
          <w:sz w:val="21"/>
        </w:rPr>
        <w:t>试验结果是否符合</w:t>
      </w:r>
      <w:r>
        <w:rPr>
          <w:spacing w:val="-9"/>
          <w:sz w:val="21"/>
        </w:rPr>
        <w:t xml:space="preserve"> </w:t>
      </w:r>
      <w:r>
        <w:rPr>
          <w:sz w:val="21"/>
        </w:rPr>
        <w:t>5.9.9.3</w:t>
      </w:r>
      <w:r>
        <w:rPr>
          <w:spacing w:val="-13"/>
          <w:sz w:val="21"/>
        </w:rPr>
        <w:t xml:space="preserve"> </w:t>
      </w:r>
      <w:r>
        <w:rPr>
          <w:spacing w:val="-13"/>
          <w:sz w:val="21"/>
        </w:rPr>
        <w:t>的规定。</w:t>
      </w:r>
      <w:r>
        <w:rPr>
          <w:sz w:val="21"/>
        </w:rPr>
        <w:t xml:space="preserve"> </w:t>
      </w:r>
    </w:p>
    <w:p w14:paraId="43C11A62" w14:textId="77777777" w:rsidR="00A71EEF" w:rsidRDefault="0081115D">
      <w:pPr>
        <w:pStyle w:val="a4"/>
        <w:numPr>
          <w:ilvl w:val="3"/>
          <w:numId w:val="807"/>
        </w:numPr>
        <w:tabs>
          <w:tab w:val="left" w:pos="1576"/>
        </w:tabs>
        <w:spacing w:line="446" w:lineRule="auto"/>
        <w:ind w:right="1609" w:firstLine="419"/>
        <w:rPr>
          <w:sz w:val="21"/>
        </w:rPr>
      </w:pPr>
      <w:r>
        <w:rPr>
          <w:spacing w:val="-3"/>
          <w:sz w:val="21"/>
        </w:rPr>
        <w:t>目测检查显示设备为外部安装时的安装要求，是否安装固定支架，判断试验结果</w:t>
      </w:r>
      <w:r>
        <w:rPr>
          <w:spacing w:val="-13"/>
          <w:sz w:val="21"/>
        </w:rPr>
        <w:t>是否符合</w:t>
      </w:r>
      <w:r>
        <w:rPr>
          <w:spacing w:val="-13"/>
          <w:sz w:val="21"/>
        </w:rPr>
        <w:t xml:space="preserve"> </w:t>
      </w:r>
      <w:r>
        <w:rPr>
          <w:sz w:val="21"/>
        </w:rPr>
        <w:t>5.9.9.4</w:t>
      </w:r>
      <w:r>
        <w:rPr>
          <w:spacing w:val="-12"/>
          <w:sz w:val="21"/>
        </w:rPr>
        <w:t xml:space="preserve"> </w:t>
      </w:r>
      <w:r>
        <w:rPr>
          <w:spacing w:val="-12"/>
          <w:sz w:val="21"/>
        </w:rPr>
        <w:t>的规定。</w:t>
      </w:r>
      <w:r>
        <w:rPr>
          <w:spacing w:val="-12"/>
          <w:sz w:val="21"/>
        </w:rPr>
        <w:t xml:space="preserve"> </w:t>
      </w:r>
    </w:p>
    <w:p w14:paraId="621DEBDB" w14:textId="77777777" w:rsidR="00A71EEF" w:rsidRDefault="0081115D">
      <w:pPr>
        <w:pStyle w:val="a4"/>
        <w:numPr>
          <w:ilvl w:val="1"/>
          <w:numId w:val="817"/>
        </w:numPr>
        <w:tabs>
          <w:tab w:val="left" w:pos="1264"/>
        </w:tabs>
        <w:spacing w:line="267" w:lineRule="exact"/>
        <w:ind w:left="1263" w:hanging="424"/>
        <w:rPr>
          <w:sz w:val="21"/>
        </w:rPr>
      </w:pPr>
      <w:r>
        <w:rPr>
          <w:spacing w:val="-3"/>
          <w:sz w:val="21"/>
        </w:rPr>
        <w:t>车身、器材箱试验</w:t>
      </w:r>
      <w:r>
        <w:rPr>
          <w:sz w:val="21"/>
        </w:rPr>
        <w:t xml:space="preserve"> </w:t>
      </w:r>
    </w:p>
    <w:p w14:paraId="30EE0AA0" w14:textId="77777777" w:rsidR="00A71EEF" w:rsidRDefault="00A71EEF">
      <w:pPr>
        <w:pStyle w:val="a3"/>
        <w:spacing w:before="1"/>
        <w:rPr>
          <w:sz w:val="18"/>
        </w:rPr>
      </w:pPr>
    </w:p>
    <w:p w14:paraId="371A5C57" w14:textId="77777777" w:rsidR="00A71EEF" w:rsidRDefault="0081115D">
      <w:pPr>
        <w:pStyle w:val="a4"/>
        <w:numPr>
          <w:ilvl w:val="2"/>
          <w:numId w:val="817"/>
        </w:numPr>
        <w:tabs>
          <w:tab w:val="left" w:pos="1478"/>
        </w:tabs>
        <w:ind w:left="1477" w:hanging="638"/>
        <w:rPr>
          <w:sz w:val="21"/>
        </w:rPr>
      </w:pPr>
      <w:r>
        <w:rPr>
          <w:spacing w:val="-3"/>
          <w:sz w:val="21"/>
        </w:rPr>
        <w:t>基本要求</w:t>
      </w:r>
      <w:r>
        <w:rPr>
          <w:sz w:val="21"/>
        </w:rPr>
        <w:t xml:space="preserve"> </w:t>
      </w:r>
    </w:p>
    <w:p w14:paraId="095542A3" w14:textId="77777777" w:rsidR="00A71EEF" w:rsidRDefault="00A71EEF">
      <w:pPr>
        <w:pStyle w:val="a3"/>
        <w:rPr>
          <w:sz w:val="18"/>
        </w:rPr>
      </w:pPr>
    </w:p>
    <w:p w14:paraId="26EA1034" w14:textId="77777777" w:rsidR="00A71EEF" w:rsidRDefault="0081115D">
      <w:pPr>
        <w:pStyle w:val="a4"/>
        <w:numPr>
          <w:ilvl w:val="3"/>
          <w:numId w:val="817"/>
        </w:numPr>
        <w:tabs>
          <w:tab w:val="left" w:pos="1682"/>
        </w:tabs>
        <w:spacing w:line="446" w:lineRule="auto"/>
        <w:ind w:right="1505" w:firstLine="419"/>
        <w:jc w:val="both"/>
        <w:rPr>
          <w:sz w:val="21"/>
        </w:rPr>
      </w:pPr>
      <w:r>
        <w:rPr>
          <w:spacing w:val="-3"/>
          <w:sz w:val="21"/>
        </w:rPr>
        <w:t>目测检查车身外部、内部和厢体，是否有使人致伤的尖锐突出物或锐利边缘，判</w:t>
      </w:r>
      <w:r>
        <w:rPr>
          <w:spacing w:val="-8"/>
          <w:sz w:val="21"/>
        </w:rPr>
        <w:t>断试验结果是否符合</w:t>
      </w:r>
      <w:r>
        <w:rPr>
          <w:spacing w:val="-8"/>
          <w:sz w:val="21"/>
        </w:rPr>
        <w:t xml:space="preserve"> </w:t>
      </w:r>
      <w:r>
        <w:rPr>
          <w:sz w:val="21"/>
        </w:rPr>
        <w:t>5.10.1.1</w:t>
      </w:r>
      <w:r>
        <w:rPr>
          <w:spacing w:val="-13"/>
          <w:sz w:val="21"/>
        </w:rPr>
        <w:t xml:space="preserve"> </w:t>
      </w:r>
      <w:r>
        <w:rPr>
          <w:spacing w:val="-13"/>
          <w:sz w:val="21"/>
        </w:rPr>
        <w:t>的规定。</w:t>
      </w:r>
      <w:r>
        <w:rPr>
          <w:sz w:val="21"/>
        </w:rPr>
        <w:t xml:space="preserve"> </w:t>
      </w:r>
    </w:p>
    <w:p w14:paraId="7C7C5C13" w14:textId="77777777" w:rsidR="00A71EEF" w:rsidRDefault="0081115D">
      <w:pPr>
        <w:pStyle w:val="a4"/>
        <w:numPr>
          <w:ilvl w:val="3"/>
          <w:numId w:val="817"/>
        </w:numPr>
        <w:tabs>
          <w:tab w:val="left" w:pos="1682"/>
        </w:tabs>
        <w:spacing w:line="446" w:lineRule="auto"/>
        <w:ind w:right="1505" w:firstLine="419"/>
        <w:jc w:val="both"/>
        <w:rPr>
          <w:sz w:val="21"/>
        </w:rPr>
      </w:pPr>
      <w:r>
        <w:rPr>
          <w:spacing w:val="-3"/>
          <w:sz w:val="21"/>
        </w:rPr>
        <w:t>目测检查车身各门、工作平台、抽屉式储物柜、抽屉拖板、翻转架、活动踏板等</w:t>
      </w:r>
      <w:r>
        <w:rPr>
          <w:spacing w:val="-7"/>
          <w:sz w:val="21"/>
        </w:rPr>
        <w:t>物件伸出车身之外超过</w:t>
      </w:r>
      <w:r>
        <w:rPr>
          <w:spacing w:val="-7"/>
          <w:sz w:val="21"/>
        </w:rPr>
        <w:t xml:space="preserve"> </w:t>
      </w:r>
      <w:r>
        <w:rPr>
          <w:sz w:val="21"/>
        </w:rPr>
        <w:t>450mm</w:t>
      </w:r>
      <w:r>
        <w:rPr>
          <w:spacing w:val="-10"/>
          <w:sz w:val="21"/>
        </w:rPr>
        <w:t xml:space="preserve"> </w:t>
      </w:r>
      <w:r>
        <w:rPr>
          <w:spacing w:val="-10"/>
          <w:sz w:val="21"/>
        </w:rPr>
        <w:t>时，是否有明显的警示标识，判断试验结果是否符合</w:t>
      </w:r>
      <w:r>
        <w:rPr>
          <w:spacing w:val="-10"/>
          <w:sz w:val="21"/>
        </w:rPr>
        <w:t xml:space="preserve"> </w:t>
      </w:r>
      <w:r>
        <w:rPr>
          <w:sz w:val="21"/>
        </w:rPr>
        <w:t>5.10.1.2</w:t>
      </w:r>
      <w:r>
        <w:rPr>
          <w:spacing w:val="-22"/>
          <w:sz w:val="21"/>
        </w:rPr>
        <w:t xml:space="preserve"> </w:t>
      </w:r>
      <w:r>
        <w:rPr>
          <w:spacing w:val="-22"/>
          <w:sz w:val="21"/>
        </w:rPr>
        <w:t>的</w:t>
      </w:r>
      <w:r>
        <w:rPr>
          <w:spacing w:val="-16"/>
          <w:sz w:val="21"/>
        </w:rPr>
        <w:t>规定。</w:t>
      </w:r>
      <w:r>
        <w:rPr>
          <w:sz w:val="21"/>
        </w:rPr>
        <w:t xml:space="preserve"> </w:t>
      </w:r>
    </w:p>
    <w:p w14:paraId="49E54627" w14:textId="77777777" w:rsidR="00A71EEF" w:rsidRDefault="0081115D">
      <w:pPr>
        <w:pStyle w:val="a4"/>
        <w:numPr>
          <w:ilvl w:val="3"/>
          <w:numId w:val="817"/>
        </w:numPr>
        <w:tabs>
          <w:tab w:val="left" w:pos="1682"/>
        </w:tabs>
        <w:spacing w:line="446" w:lineRule="auto"/>
        <w:ind w:right="1822" w:firstLine="419"/>
        <w:jc w:val="both"/>
        <w:rPr>
          <w:sz w:val="21"/>
        </w:rPr>
      </w:pPr>
      <w:r>
        <w:rPr>
          <w:spacing w:val="-5"/>
          <w:sz w:val="21"/>
        </w:rPr>
        <w:t>检查随车器材的摆放位置和固定方式，判断试验结果是否符合</w:t>
      </w:r>
      <w:r>
        <w:rPr>
          <w:spacing w:val="-5"/>
          <w:sz w:val="21"/>
        </w:rPr>
        <w:t xml:space="preserve"> </w:t>
      </w:r>
      <w:r>
        <w:rPr>
          <w:sz w:val="21"/>
        </w:rPr>
        <w:t>5.10.1.3</w:t>
      </w:r>
      <w:r>
        <w:rPr>
          <w:spacing w:val="-16"/>
          <w:sz w:val="21"/>
        </w:rPr>
        <w:t xml:space="preserve"> </w:t>
      </w:r>
      <w:r>
        <w:rPr>
          <w:spacing w:val="-16"/>
          <w:sz w:val="21"/>
        </w:rPr>
        <w:t>的要</w:t>
      </w:r>
      <w:r>
        <w:rPr>
          <w:spacing w:val="-10"/>
          <w:sz w:val="21"/>
        </w:rPr>
        <w:t>求。</w:t>
      </w:r>
      <w:r>
        <w:rPr>
          <w:sz w:val="21"/>
        </w:rPr>
        <w:t xml:space="preserve"> </w:t>
      </w:r>
    </w:p>
    <w:p w14:paraId="7BC12CBE" w14:textId="77777777" w:rsidR="00A71EEF" w:rsidRDefault="0081115D">
      <w:pPr>
        <w:pStyle w:val="a4"/>
        <w:numPr>
          <w:ilvl w:val="3"/>
          <w:numId w:val="817"/>
        </w:numPr>
        <w:tabs>
          <w:tab w:val="left" w:pos="1682"/>
        </w:tabs>
        <w:spacing w:line="267" w:lineRule="exact"/>
        <w:ind w:left="1681" w:hanging="844"/>
        <w:jc w:val="both"/>
        <w:rPr>
          <w:sz w:val="21"/>
        </w:rPr>
      </w:pPr>
      <w:r>
        <w:rPr>
          <w:spacing w:val="-6"/>
          <w:sz w:val="21"/>
        </w:rPr>
        <w:t>检查随车器材的分类方式，判断试验结果是否符合</w:t>
      </w:r>
      <w:r>
        <w:rPr>
          <w:spacing w:val="-6"/>
          <w:sz w:val="21"/>
        </w:rPr>
        <w:t xml:space="preserve"> </w:t>
      </w:r>
      <w:r>
        <w:rPr>
          <w:sz w:val="21"/>
        </w:rPr>
        <w:t>5.10.1.4</w:t>
      </w:r>
      <w:r>
        <w:rPr>
          <w:spacing w:val="-12"/>
          <w:sz w:val="21"/>
        </w:rPr>
        <w:t xml:space="preserve"> </w:t>
      </w:r>
      <w:r>
        <w:rPr>
          <w:spacing w:val="-12"/>
          <w:sz w:val="21"/>
        </w:rPr>
        <w:t>的要求。</w:t>
      </w:r>
      <w:r>
        <w:rPr>
          <w:spacing w:val="-12"/>
          <w:sz w:val="21"/>
        </w:rPr>
        <w:t xml:space="preserve"> </w:t>
      </w:r>
    </w:p>
    <w:p w14:paraId="3CDE686A" w14:textId="77777777" w:rsidR="00A71EEF" w:rsidRDefault="00A71EEF">
      <w:pPr>
        <w:pStyle w:val="a3"/>
        <w:rPr>
          <w:sz w:val="18"/>
        </w:rPr>
      </w:pPr>
    </w:p>
    <w:p w14:paraId="3B5879DC" w14:textId="77777777" w:rsidR="00A71EEF" w:rsidRDefault="0081115D">
      <w:pPr>
        <w:pStyle w:val="a4"/>
        <w:numPr>
          <w:ilvl w:val="3"/>
          <w:numId w:val="817"/>
        </w:numPr>
        <w:tabs>
          <w:tab w:val="left" w:pos="1682"/>
        </w:tabs>
        <w:ind w:left="1681" w:hanging="844"/>
        <w:rPr>
          <w:sz w:val="21"/>
        </w:rPr>
      </w:pPr>
      <w:r>
        <w:rPr>
          <w:spacing w:val="-6"/>
          <w:sz w:val="21"/>
        </w:rPr>
        <w:t>器材的抽屉柜、台和旋转架进行连续</w:t>
      </w:r>
      <w:r>
        <w:rPr>
          <w:spacing w:val="-6"/>
          <w:sz w:val="21"/>
        </w:rPr>
        <w:t xml:space="preserve"> </w:t>
      </w:r>
      <w:r>
        <w:rPr>
          <w:sz w:val="21"/>
        </w:rPr>
        <w:t>2000</w:t>
      </w:r>
      <w:r>
        <w:rPr>
          <w:spacing w:val="-9"/>
          <w:sz w:val="21"/>
        </w:rPr>
        <w:t xml:space="preserve"> </w:t>
      </w:r>
      <w:r>
        <w:rPr>
          <w:spacing w:val="-9"/>
          <w:sz w:val="21"/>
        </w:rPr>
        <w:t>次工作循环，分别使用拉力计测量所</w:t>
      </w:r>
    </w:p>
    <w:p w14:paraId="4C47AE1C" w14:textId="77777777" w:rsidR="00A71EEF" w:rsidRDefault="00A71EEF">
      <w:pPr>
        <w:rPr>
          <w:sz w:val="21"/>
        </w:rPr>
        <w:sectPr w:rsidR="00A71EEF">
          <w:pgSz w:w="11910" w:h="16850"/>
          <w:pgMar w:top="1220" w:right="0" w:bottom="1420" w:left="1260" w:header="0" w:footer="1239" w:gutter="0"/>
          <w:cols w:space="720"/>
        </w:sectPr>
      </w:pPr>
    </w:p>
    <w:p w14:paraId="74EF430F" w14:textId="77777777" w:rsidR="00A71EEF" w:rsidRDefault="0081115D">
      <w:pPr>
        <w:pStyle w:val="a3"/>
        <w:spacing w:before="47" w:line="446" w:lineRule="auto"/>
        <w:ind w:left="418" w:right="1608"/>
      </w:pPr>
      <w:r>
        <w:lastRenderedPageBreak/>
        <w:t>有抽屉柜、台和旋转架满载抽拉、旋转所需要的拉力和旋转力大小，试验结束后再次测量拉力和旋转力大小，判断试验结果是否符合</w:t>
      </w:r>
      <w:r>
        <w:t xml:space="preserve"> 5.10.1.5 </w:t>
      </w:r>
      <w:r>
        <w:t>的要求。</w:t>
      </w:r>
      <w:r>
        <w:t xml:space="preserve"> </w:t>
      </w:r>
    </w:p>
    <w:p w14:paraId="19EC7CF4" w14:textId="77777777" w:rsidR="00A71EEF" w:rsidRDefault="0081115D">
      <w:pPr>
        <w:pStyle w:val="a4"/>
        <w:numPr>
          <w:ilvl w:val="2"/>
          <w:numId w:val="817"/>
        </w:numPr>
        <w:tabs>
          <w:tab w:val="left" w:pos="1478"/>
        </w:tabs>
        <w:spacing w:line="267" w:lineRule="exact"/>
        <w:ind w:left="1477" w:hanging="638"/>
        <w:rPr>
          <w:sz w:val="21"/>
        </w:rPr>
      </w:pPr>
      <w:r>
        <w:rPr>
          <w:spacing w:val="-3"/>
          <w:sz w:val="21"/>
        </w:rPr>
        <w:t>器材箱</w:t>
      </w:r>
      <w:r>
        <w:rPr>
          <w:sz w:val="21"/>
        </w:rPr>
        <w:t xml:space="preserve"> </w:t>
      </w:r>
    </w:p>
    <w:p w14:paraId="208262B3" w14:textId="77777777" w:rsidR="00A71EEF" w:rsidRDefault="00A71EEF">
      <w:pPr>
        <w:pStyle w:val="a3"/>
        <w:spacing w:before="2"/>
        <w:rPr>
          <w:sz w:val="18"/>
        </w:rPr>
      </w:pPr>
    </w:p>
    <w:p w14:paraId="4511407F" w14:textId="77777777" w:rsidR="00A71EEF" w:rsidRDefault="0081115D">
      <w:pPr>
        <w:pStyle w:val="a4"/>
        <w:numPr>
          <w:ilvl w:val="3"/>
          <w:numId w:val="817"/>
        </w:numPr>
        <w:tabs>
          <w:tab w:val="left" w:pos="1682"/>
        </w:tabs>
        <w:ind w:left="1681" w:hanging="844"/>
        <w:rPr>
          <w:sz w:val="21"/>
        </w:rPr>
      </w:pPr>
      <w:r>
        <w:rPr>
          <w:spacing w:val="-5"/>
          <w:sz w:val="21"/>
        </w:rPr>
        <w:t>检查箱体材料或表面处理情况，判断试验结果是否符合</w:t>
      </w:r>
      <w:r>
        <w:rPr>
          <w:spacing w:val="-5"/>
          <w:sz w:val="21"/>
        </w:rPr>
        <w:t xml:space="preserve"> </w:t>
      </w:r>
      <w:r>
        <w:rPr>
          <w:sz w:val="21"/>
        </w:rPr>
        <w:t>5.10.2.1</w:t>
      </w:r>
      <w:r>
        <w:rPr>
          <w:spacing w:val="-13"/>
          <w:sz w:val="21"/>
        </w:rPr>
        <w:t xml:space="preserve"> </w:t>
      </w:r>
      <w:r>
        <w:rPr>
          <w:spacing w:val="-13"/>
          <w:sz w:val="21"/>
        </w:rPr>
        <w:t>的规定。</w:t>
      </w:r>
      <w:r>
        <w:rPr>
          <w:sz w:val="21"/>
        </w:rPr>
        <w:t xml:space="preserve"> </w:t>
      </w:r>
    </w:p>
    <w:p w14:paraId="41E42F50" w14:textId="77777777" w:rsidR="00A71EEF" w:rsidRDefault="00A71EEF">
      <w:pPr>
        <w:pStyle w:val="a3"/>
        <w:rPr>
          <w:sz w:val="18"/>
        </w:rPr>
      </w:pPr>
    </w:p>
    <w:p w14:paraId="69F7EE78" w14:textId="77777777" w:rsidR="00A71EEF" w:rsidRDefault="0081115D">
      <w:pPr>
        <w:pStyle w:val="a4"/>
        <w:numPr>
          <w:ilvl w:val="3"/>
          <w:numId w:val="817"/>
        </w:numPr>
        <w:tabs>
          <w:tab w:val="left" w:pos="1682"/>
        </w:tabs>
        <w:spacing w:line="446" w:lineRule="auto"/>
        <w:ind w:right="1505" w:firstLine="419"/>
        <w:rPr>
          <w:sz w:val="21"/>
        </w:rPr>
      </w:pPr>
      <w:r>
        <w:rPr>
          <w:spacing w:val="-3"/>
          <w:sz w:val="21"/>
        </w:rPr>
        <w:t>目测检查形成电化学腐蚀或抗电性的不同金属材料零部件或构件装在一起时，在</w:t>
      </w:r>
      <w:r>
        <w:rPr>
          <w:spacing w:val="-5"/>
          <w:sz w:val="21"/>
        </w:rPr>
        <w:t>两种材料间是否采用隔离措施，判断试验结果是否符合</w:t>
      </w:r>
      <w:r>
        <w:rPr>
          <w:spacing w:val="-5"/>
          <w:sz w:val="21"/>
        </w:rPr>
        <w:t xml:space="preserve"> </w:t>
      </w:r>
      <w:r>
        <w:rPr>
          <w:sz w:val="21"/>
        </w:rPr>
        <w:t>5.10.2.2</w:t>
      </w:r>
      <w:r>
        <w:rPr>
          <w:spacing w:val="-13"/>
          <w:sz w:val="21"/>
        </w:rPr>
        <w:t xml:space="preserve"> </w:t>
      </w:r>
      <w:r>
        <w:rPr>
          <w:spacing w:val="-13"/>
          <w:sz w:val="21"/>
        </w:rPr>
        <w:t>的规定。</w:t>
      </w:r>
      <w:r>
        <w:rPr>
          <w:sz w:val="21"/>
        </w:rPr>
        <w:t xml:space="preserve"> </w:t>
      </w:r>
    </w:p>
    <w:p w14:paraId="67846CB3" w14:textId="77777777" w:rsidR="00A71EEF" w:rsidRDefault="0081115D">
      <w:pPr>
        <w:pStyle w:val="a4"/>
        <w:numPr>
          <w:ilvl w:val="3"/>
          <w:numId w:val="817"/>
        </w:numPr>
        <w:tabs>
          <w:tab w:val="left" w:pos="1682"/>
        </w:tabs>
        <w:spacing w:line="446" w:lineRule="auto"/>
        <w:ind w:right="1505" w:firstLine="419"/>
        <w:rPr>
          <w:sz w:val="21"/>
        </w:rPr>
      </w:pPr>
      <w:r>
        <w:rPr>
          <w:spacing w:val="-3"/>
          <w:sz w:val="21"/>
        </w:rPr>
        <w:t>目测检查暴露在外的非耐腐蚀金属材料的表面均是否做过防腐蚀处理，判断试验</w:t>
      </w:r>
      <w:r>
        <w:rPr>
          <w:spacing w:val="-11"/>
          <w:sz w:val="21"/>
        </w:rPr>
        <w:t>结果是否符合</w:t>
      </w:r>
      <w:r>
        <w:rPr>
          <w:spacing w:val="-11"/>
          <w:sz w:val="21"/>
        </w:rPr>
        <w:t xml:space="preserve"> </w:t>
      </w:r>
      <w:r>
        <w:rPr>
          <w:sz w:val="21"/>
        </w:rPr>
        <w:t>5.10.2.3</w:t>
      </w:r>
      <w:r>
        <w:rPr>
          <w:spacing w:val="-13"/>
          <w:sz w:val="21"/>
        </w:rPr>
        <w:t xml:space="preserve"> </w:t>
      </w:r>
      <w:r>
        <w:rPr>
          <w:spacing w:val="-13"/>
          <w:sz w:val="21"/>
        </w:rPr>
        <w:t>的规定。</w:t>
      </w:r>
      <w:r>
        <w:rPr>
          <w:sz w:val="21"/>
        </w:rPr>
        <w:t xml:space="preserve"> </w:t>
      </w:r>
    </w:p>
    <w:p w14:paraId="5E4AF993" w14:textId="77777777" w:rsidR="00A71EEF" w:rsidRDefault="0081115D">
      <w:pPr>
        <w:pStyle w:val="a4"/>
        <w:numPr>
          <w:ilvl w:val="3"/>
          <w:numId w:val="817"/>
        </w:numPr>
        <w:tabs>
          <w:tab w:val="left" w:pos="1682"/>
        </w:tabs>
        <w:spacing w:line="267" w:lineRule="exact"/>
        <w:ind w:left="1681" w:hanging="844"/>
        <w:rPr>
          <w:sz w:val="21"/>
        </w:rPr>
      </w:pPr>
      <w:r>
        <w:rPr>
          <w:spacing w:val="-3"/>
          <w:sz w:val="21"/>
        </w:rPr>
        <w:t>目测检查箱体的通风、防潮情况，是否有排水槽或孔，判断试验结果是否符合</w:t>
      </w:r>
    </w:p>
    <w:p w14:paraId="7D55617A" w14:textId="77777777" w:rsidR="00A71EEF" w:rsidRDefault="00A71EEF">
      <w:pPr>
        <w:pStyle w:val="a3"/>
        <w:spacing w:before="1"/>
        <w:rPr>
          <w:sz w:val="18"/>
        </w:rPr>
      </w:pPr>
    </w:p>
    <w:p w14:paraId="4F8986CC" w14:textId="77777777" w:rsidR="00A71EEF" w:rsidRDefault="0081115D">
      <w:pPr>
        <w:pStyle w:val="a3"/>
        <w:spacing w:before="1"/>
        <w:ind w:left="418"/>
      </w:pPr>
      <w:r>
        <w:t xml:space="preserve">5.10.2.4 </w:t>
      </w:r>
      <w:r>
        <w:t>的规定。</w:t>
      </w:r>
      <w:r>
        <w:t xml:space="preserve"> </w:t>
      </w:r>
    </w:p>
    <w:p w14:paraId="6A051527" w14:textId="77777777" w:rsidR="00A71EEF" w:rsidRDefault="00A71EEF">
      <w:pPr>
        <w:pStyle w:val="a3"/>
        <w:spacing w:before="12"/>
        <w:rPr>
          <w:sz w:val="17"/>
        </w:rPr>
      </w:pPr>
    </w:p>
    <w:p w14:paraId="60095939" w14:textId="77777777" w:rsidR="00A71EEF" w:rsidRDefault="0081115D">
      <w:pPr>
        <w:pStyle w:val="a3"/>
        <w:spacing w:line="446" w:lineRule="auto"/>
        <w:ind w:left="418" w:right="1505" w:firstLine="419"/>
      </w:pPr>
      <w:r>
        <w:t xml:space="preserve">6.10.2.5 </w:t>
      </w:r>
      <w:r>
        <w:t>检查箱体内储存的设备、器具是否固定牢固并有防护设施，判断试验结果是否符合</w:t>
      </w:r>
      <w:r>
        <w:t xml:space="preserve"> 5.10.2.5 </w:t>
      </w:r>
      <w:r>
        <w:t>的规定。</w:t>
      </w:r>
      <w:r>
        <w:t xml:space="preserve"> </w:t>
      </w:r>
    </w:p>
    <w:p w14:paraId="61B0DAAA" w14:textId="77777777" w:rsidR="00A71EEF" w:rsidRDefault="0081115D">
      <w:pPr>
        <w:pStyle w:val="a4"/>
        <w:numPr>
          <w:ilvl w:val="2"/>
          <w:numId w:val="817"/>
        </w:numPr>
        <w:tabs>
          <w:tab w:val="left" w:pos="1478"/>
        </w:tabs>
        <w:ind w:left="1477" w:hanging="638"/>
        <w:rPr>
          <w:sz w:val="21"/>
        </w:rPr>
      </w:pPr>
      <w:r>
        <w:rPr>
          <w:spacing w:val="-3"/>
          <w:sz w:val="21"/>
        </w:rPr>
        <w:t>器材箱门</w:t>
      </w:r>
      <w:r>
        <w:rPr>
          <w:sz w:val="21"/>
        </w:rPr>
        <w:t xml:space="preserve"> </w:t>
      </w:r>
    </w:p>
    <w:p w14:paraId="58C1885E" w14:textId="77777777" w:rsidR="00A71EEF" w:rsidRDefault="00A71EEF">
      <w:pPr>
        <w:pStyle w:val="a3"/>
        <w:spacing w:before="12"/>
        <w:rPr>
          <w:sz w:val="17"/>
        </w:rPr>
      </w:pPr>
    </w:p>
    <w:p w14:paraId="13996B79" w14:textId="77777777" w:rsidR="00A71EEF" w:rsidRDefault="0081115D">
      <w:pPr>
        <w:pStyle w:val="a4"/>
        <w:numPr>
          <w:ilvl w:val="3"/>
          <w:numId w:val="817"/>
        </w:numPr>
        <w:tabs>
          <w:tab w:val="left" w:pos="1682"/>
        </w:tabs>
        <w:spacing w:line="446" w:lineRule="auto"/>
        <w:ind w:right="1505" w:firstLine="419"/>
        <w:rPr>
          <w:sz w:val="21"/>
        </w:rPr>
      </w:pPr>
      <w:r>
        <w:rPr>
          <w:spacing w:val="-3"/>
          <w:sz w:val="21"/>
        </w:rPr>
        <w:t>检查器材箱门的开启和关闭是否方便，有无卡阻和两手用力不平衡就打不开的现</w:t>
      </w:r>
      <w:r>
        <w:rPr>
          <w:spacing w:val="-8"/>
          <w:sz w:val="21"/>
        </w:rPr>
        <w:t>象，将卷帘门按宽</w:t>
      </w:r>
      <w:r>
        <w:rPr>
          <w:spacing w:val="-8"/>
          <w:sz w:val="21"/>
        </w:rPr>
        <w:t xml:space="preserve"> </w:t>
      </w:r>
      <w:r>
        <w:rPr>
          <w:sz w:val="21"/>
        </w:rPr>
        <w:t>1100mm</w:t>
      </w:r>
      <w:r>
        <w:rPr>
          <w:spacing w:val="-16"/>
          <w:sz w:val="21"/>
        </w:rPr>
        <w:t>、高</w:t>
      </w:r>
      <w:r>
        <w:rPr>
          <w:spacing w:val="-16"/>
          <w:sz w:val="21"/>
        </w:rPr>
        <w:t xml:space="preserve"> </w:t>
      </w:r>
      <w:r>
        <w:rPr>
          <w:sz w:val="21"/>
        </w:rPr>
        <w:t>1500mm</w:t>
      </w:r>
      <w:r>
        <w:rPr>
          <w:spacing w:val="-8"/>
          <w:sz w:val="21"/>
        </w:rPr>
        <w:t xml:space="preserve"> </w:t>
      </w:r>
      <w:r>
        <w:rPr>
          <w:spacing w:val="-8"/>
          <w:sz w:val="21"/>
        </w:rPr>
        <w:t>制成试验样品，装上框架和锁具，安装在试验台上进行</w:t>
      </w:r>
      <w:r>
        <w:rPr>
          <w:spacing w:val="-8"/>
          <w:sz w:val="21"/>
        </w:rPr>
        <w:t>10000</w:t>
      </w:r>
      <w:r>
        <w:rPr>
          <w:spacing w:val="-12"/>
          <w:sz w:val="21"/>
        </w:rPr>
        <w:t xml:space="preserve"> </w:t>
      </w:r>
      <w:r>
        <w:rPr>
          <w:spacing w:val="-12"/>
          <w:sz w:val="21"/>
        </w:rPr>
        <w:t>次试验，判断试验结果是否符合</w:t>
      </w:r>
      <w:r>
        <w:rPr>
          <w:spacing w:val="-12"/>
          <w:sz w:val="21"/>
        </w:rPr>
        <w:t xml:space="preserve"> </w:t>
      </w:r>
      <w:r>
        <w:rPr>
          <w:sz w:val="21"/>
        </w:rPr>
        <w:t>5.10.3.1</w:t>
      </w:r>
      <w:r>
        <w:rPr>
          <w:spacing w:val="-13"/>
          <w:sz w:val="21"/>
        </w:rPr>
        <w:t xml:space="preserve"> </w:t>
      </w:r>
      <w:r>
        <w:rPr>
          <w:spacing w:val="-13"/>
          <w:sz w:val="21"/>
        </w:rPr>
        <w:t>的规定。</w:t>
      </w:r>
      <w:r>
        <w:rPr>
          <w:sz w:val="21"/>
        </w:rPr>
        <w:t xml:space="preserve"> </w:t>
      </w:r>
    </w:p>
    <w:p w14:paraId="7FBCB4F4" w14:textId="77777777" w:rsidR="00A71EEF" w:rsidRDefault="0081115D">
      <w:pPr>
        <w:pStyle w:val="a4"/>
        <w:numPr>
          <w:ilvl w:val="3"/>
          <w:numId w:val="817"/>
        </w:numPr>
        <w:tabs>
          <w:tab w:val="left" w:pos="1682"/>
        </w:tabs>
        <w:spacing w:line="446" w:lineRule="auto"/>
        <w:ind w:right="1822" w:firstLine="419"/>
        <w:rPr>
          <w:sz w:val="21"/>
        </w:rPr>
      </w:pPr>
      <w:r>
        <w:rPr>
          <w:spacing w:val="-5"/>
          <w:sz w:val="21"/>
        </w:rPr>
        <w:t>检查器材箱门的材料或表面处理情况，判断试验结果是否符合</w:t>
      </w:r>
      <w:r>
        <w:rPr>
          <w:spacing w:val="-5"/>
          <w:sz w:val="21"/>
        </w:rPr>
        <w:t xml:space="preserve"> </w:t>
      </w:r>
      <w:r>
        <w:rPr>
          <w:sz w:val="21"/>
        </w:rPr>
        <w:t>5.10.3.2</w:t>
      </w:r>
      <w:r>
        <w:rPr>
          <w:spacing w:val="-16"/>
          <w:sz w:val="21"/>
        </w:rPr>
        <w:t xml:space="preserve"> </w:t>
      </w:r>
      <w:r>
        <w:rPr>
          <w:spacing w:val="-16"/>
          <w:sz w:val="21"/>
        </w:rPr>
        <w:t>的规</w:t>
      </w:r>
      <w:r>
        <w:rPr>
          <w:spacing w:val="-10"/>
          <w:sz w:val="21"/>
        </w:rPr>
        <w:t>定。</w:t>
      </w:r>
      <w:r>
        <w:rPr>
          <w:sz w:val="21"/>
        </w:rPr>
        <w:t xml:space="preserve"> </w:t>
      </w:r>
    </w:p>
    <w:p w14:paraId="0576F718" w14:textId="77777777" w:rsidR="00A71EEF" w:rsidRDefault="0081115D">
      <w:pPr>
        <w:pStyle w:val="a4"/>
        <w:numPr>
          <w:ilvl w:val="3"/>
          <w:numId w:val="817"/>
        </w:numPr>
        <w:tabs>
          <w:tab w:val="left" w:pos="1682"/>
        </w:tabs>
        <w:ind w:left="1681" w:hanging="844"/>
        <w:rPr>
          <w:sz w:val="21"/>
        </w:rPr>
      </w:pPr>
      <w:r>
        <w:rPr>
          <w:spacing w:val="-5"/>
          <w:sz w:val="21"/>
        </w:rPr>
        <w:t>目测检查器材箱门设置是否有利于人员操作，判断试验结果是否符合</w:t>
      </w:r>
      <w:r>
        <w:rPr>
          <w:spacing w:val="-5"/>
          <w:sz w:val="21"/>
        </w:rPr>
        <w:t xml:space="preserve"> </w:t>
      </w:r>
      <w:r>
        <w:rPr>
          <w:sz w:val="21"/>
        </w:rPr>
        <w:t>5.10.3.3</w:t>
      </w:r>
    </w:p>
    <w:p w14:paraId="3FF21056" w14:textId="77777777" w:rsidR="00A71EEF" w:rsidRDefault="00A71EEF">
      <w:pPr>
        <w:pStyle w:val="a3"/>
        <w:spacing w:before="12"/>
        <w:rPr>
          <w:sz w:val="17"/>
        </w:rPr>
      </w:pPr>
    </w:p>
    <w:p w14:paraId="44698B0F" w14:textId="77777777" w:rsidR="00A71EEF" w:rsidRDefault="0081115D">
      <w:pPr>
        <w:pStyle w:val="a3"/>
        <w:ind w:left="418"/>
      </w:pPr>
      <w:r>
        <w:t>的规定。</w:t>
      </w:r>
      <w:r>
        <w:t xml:space="preserve"> </w:t>
      </w:r>
    </w:p>
    <w:p w14:paraId="200893CB" w14:textId="77777777" w:rsidR="00A71EEF" w:rsidRDefault="00A71EEF">
      <w:pPr>
        <w:pStyle w:val="a3"/>
        <w:spacing w:before="12"/>
        <w:rPr>
          <w:sz w:val="17"/>
        </w:rPr>
      </w:pPr>
    </w:p>
    <w:p w14:paraId="041AA851" w14:textId="77777777" w:rsidR="00A71EEF" w:rsidRDefault="0081115D">
      <w:pPr>
        <w:pStyle w:val="a4"/>
        <w:numPr>
          <w:ilvl w:val="3"/>
          <w:numId w:val="817"/>
        </w:numPr>
        <w:tabs>
          <w:tab w:val="left" w:pos="1682"/>
        </w:tabs>
        <w:spacing w:line="446" w:lineRule="auto"/>
        <w:ind w:right="1505" w:firstLine="419"/>
        <w:rPr>
          <w:sz w:val="21"/>
        </w:rPr>
      </w:pPr>
      <w:r>
        <w:rPr>
          <w:spacing w:val="-3"/>
          <w:sz w:val="21"/>
        </w:rPr>
        <w:t>检查器材箱门是否具有锁止功能。在人员需进出或取放设备、器具时是否方便开</w:t>
      </w:r>
      <w:r>
        <w:rPr>
          <w:spacing w:val="-8"/>
          <w:sz w:val="21"/>
        </w:rPr>
        <w:t>启，在行驶可靠性</w:t>
      </w:r>
      <w:r>
        <w:rPr>
          <w:spacing w:val="-8"/>
          <w:sz w:val="21"/>
        </w:rPr>
        <w:t xml:space="preserve"> </w:t>
      </w:r>
      <w:r>
        <w:rPr>
          <w:sz w:val="21"/>
        </w:rPr>
        <w:t>1</w:t>
      </w:r>
      <w:r>
        <w:rPr>
          <w:sz w:val="21"/>
        </w:rPr>
        <w:t>500</w:t>
      </w:r>
      <w:r>
        <w:rPr>
          <w:spacing w:val="11"/>
          <w:sz w:val="21"/>
        </w:rPr>
        <w:t xml:space="preserve"> </w:t>
      </w:r>
      <w:r>
        <w:rPr>
          <w:sz w:val="21"/>
        </w:rPr>
        <w:t>km</w:t>
      </w:r>
      <w:r>
        <w:rPr>
          <w:spacing w:val="-8"/>
          <w:sz w:val="21"/>
        </w:rPr>
        <w:t xml:space="preserve"> </w:t>
      </w:r>
      <w:r>
        <w:rPr>
          <w:spacing w:val="-8"/>
          <w:sz w:val="21"/>
        </w:rPr>
        <w:t>凹凸不平的坏路</w:t>
      </w:r>
      <w:r>
        <w:rPr>
          <w:spacing w:val="-3"/>
          <w:sz w:val="21"/>
        </w:rPr>
        <w:t>（含碎石、土石路</w:t>
      </w:r>
      <w:r>
        <w:rPr>
          <w:sz w:val="21"/>
        </w:rPr>
        <w:t>）</w:t>
      </w:r>
      <w:r>
        <w:rPr>
          <w:spacing w:val="-3"/>
          <w:sz w:val="21"/>
        </w:rPr>
        <w:t>试验时，检查器材箱门，判断</w:t>
      </w:r>
      <w:r>
        <w:rPr>
          <w:spacing w:val="-9"/>
          <w:sz w:val="21"/>
        </w:rPr>
        <w:t>试验结果是否符合</w:t>
      </w:r>
      <w:r>
        <w:rPr>
          <w:spacing w:val="-9"/>
          <w:sz w:val="21"/>
        </w:rPr>
        <w:t xml:space="preserve"> </w:t>
      </w:r>
      <w:r>
        <w:rPr>
          <w:sz w:val="21"/>
        </w:rPr>
        <w:t>5.10.3.4</w:t>
      </w:r>
      <w:r>
        <w:rPr>
          <w:spacing w:val="-13"/>
          <w:sz w:val="21"/>
        </w:rPr>
        <w:t xml:space="preserve"> </w:t>
      </w:r>
      <w:r>
        <w:rPr>
          <w:spacing w:val="-13"/>
          <w:sz w:val="21"/>
        </w:rPr>
        <w:t>的规定。</w:t>
      </w:r>
      <w:r>
        <w:rPr>
          <w:sz w:val="21"/>
        </w:rPr>
        <w:t xml:space="preserve"> </w:t>
      </w:r>
    </w:p>
    <w:p w14:paraId="0DB7EF8A" w14:textId="77777777" w:rsidR="00A71EEF" w:rsidRDefault="0081115D">
      <w:pPr>
        <w:pStyle w:val="a4"/>
        <w:numPr>
          <w:ilvl w:val="1"/>
          <w:numId w:val="817"/>
        </w:numPr>
        <w:tabs>
          <w:tab w:val="left" w:pos="1264"/>
        </w:tabs>
        <w:spacing w:line="268" w:lineRule="exact"/>
        <w:ind w:left="1263" w:hanging="424"/>
        <w:rPr>
          <w:sz w:val="21"/>
        </w:rPr>
      </w:pPr>
      <w:r>
        <w:rPr>
          <w:spacing w:val="-3"/>
          <w:sz w:val="21"/>
        </w:rPr>
        <w:t>设备、器材固定</w:t>
      </w:r>
      <w:r>
        <w:rPr>
          <w:sz w:val="21"/>
        </w:rPr>
        <w:t xml:space="preserve"> </w:t>
      </w:r>
    </w:p>
    <w:p w14:paraId="646D38E1" w14:textId="77777777" w:rsidR="00A71EEF" w:rsidRDefault="00A71EEF">
      <w:pPr>
        <w:pStyle w:val="a3"/>
        <w:spacing w:before="2"/>
        <w:rPr>
          <w:sz w:val="18"/>
        </w:rPr>
      </w:pPr>
    </w:p>
    <w:p w14:paraId="4D2BEEF9" w14:textId="77777777" w:rsidR="00A71EEF" w:rsidRDefault="0081115D">
      <w:pPr>
        <w:pStyle w:val="a4"/>
        <w:numPr>
          <w:ilvl w:val="2"/>
          <w:numId w:val="817"/>
        </w:numPr>
        <w:tabs>
          <w:tab w:val="left" w:pos="1478"/>
        </w:tabs>
        <w:ind w:left="1477" w:hanging="638"/>
        <w:rPr>
          <w:sz w:val="21"/>
        </w:rPr>
      </w:pPr>
      <w:r>
        <w:rPr>
          <w:spacing w:val="-3"/>
          <w:sz w:val="21"/>
        </w:rPr>
        <w:t>检查器材箱内的器材夹具布置是否合理，固定是否可靠，判断试验结果是否符合</w:t>
      </w:r>
    </w:p>
    <w:p w14:paraId="297B9B21" w14:textId="77777777" w:rsidR="00A71EEF" w:rsidRDefault="00A71EEF">
      <w:pPr>
        <w:pStyle w:val="a3"/>
        <w:rPr>
          <w:sz w:val="18"/>
        </w:rPr>
      </w:pPr>
    </w:p>
    <w:p w14:paraId="05FAFE35" w14:textId="77777777" w:rsidR="00A71EEF" w:rsidRDefault="0081115D">
      <w:pPr>
        <w:pStyle w:val="a3"/>
        <w:ind w:left="418"/>
      </w:pPr>
      <w:r>
        <w:t xml:space="preserve">5.11.1 </w:t>
      </w:r>
      <w:r>
        <w:t>的规定。</w:t>
      </w:r>
      <w:r>
        <w:t xml:space="preserve"> </w:t>
      </w:r>
    </w:p>
    <w:p w14:paraId="08F6FA18" w14:textId="77777777" w:rsidR="00A71EEF" w:rsidRDefault="00A71EEF">
      <w:pPr>
        <w:pStyle w:val="a3"/>
        <w:spacing w:before="12"/>
        <w:rPr>
          <w:sz w:val="17"/>
        </w:rPr>
      </w:pPr>
    </w:p>
    <w:p w14:paraId="05E51F19" w14:textId="77777777" w:rsidR="00A71EEF" w:rsidRDefault="0081115D">
      <w:pPr>
        <w:pStyle w:val="a4"/>
        <w:numPr>
          <w:ilvl w:val="2"/>
          <w:numId w:val="806"/>
        </w:numPr>
        <w:tabs>
          <w:tab w:val="left" w:pos="1478"/>
        </w:tabs>
        <w:spacing w:line="446" w:lineRule="auto"/>
        <w:ind w:right="1498" w:firstLine="422"/>
        <w:rPr>
          <w:sz w:val="21"/>
        </w:rPr>
      </w:pPr>
      <w:r>
        <w:rPr>
          <w:spacing w:val="-3"/>
          <w:sz w:val="21"/>
        </w:rPr>
        <w:t>检查设备、器材是否取用方便，目测检查设备、器材布置是否合理，判断试验结果</w:t>
      </w:r>
      <w:r>
        <w:rPr>
          <w:spacing w:val="-13"/>
          <w:sz w:val="21"/>
        </w:rPr>
        <w:t>是否符合</w:t>
      </w:r>
      <w:r>
        <w:rPr>
          <w:spacing w:val="-13"/>
          <w:sz w:val="21"/>
        </w:rPr>
        <w:t xml:space="preserve"> </w:t>
      </w:r>
      <w:r>
        <w:rPr>
          <w:sz w:val="21"/>
        </w:rPr>
        <w:t>5.11.2</w:t>
      </w:r>
      <w:r>
        <w:rPr>
          <w:spacing w:val="-12"/>
          <w:sz w:val="21"/>
        </w:rPr>
        <w:t xml:space="preserve"> </w:t>
      </w:r>
      <w:r>
        <w:rPr>
          <w:spacing w:val="-12"/>
          <w:sz w:val="21"/>
        </w:rPr>
        <w:t>的规定。</w:t>
      </w:r>
      <w:r>
        <w:rPr>
          <w:spacing w:val="-12"/>
          <w:sz w:val="21"/>
        </w:rPr>
        <w:t xml:space="preserve"> </w:t>
      </w:r>
    </w:p>
    <w:p w14:paraId="41E6B449" w14:textId="77777777" w:rsidR="00A71EEF" w:rsidRDefault="00A71EEF">
      <w:pPr>
        <w:spacing w:line="446" w:lineRule="auto"/>
        <w:rPr>
          <w:sz w:val="21"/>
        </w:rPr>
        <w:sectPr w:rsidR="00A71EEF">
          <w:pgSz w:w="11910" w:h="16850"/>
          <w:pgMar w:top="1220" w:right="0" w:bottom="1420" w:left="1260" w:header="0" w:footer="1239" w:gutter="0"/>
          <w:cols w:space="720"/>
        </w:sectPr>
      </w:pPr>
    </w:p>
    <w:p w14:paraId="4A9F22D2" w14:textId="77777777" w:rsidR="00A71EEF" w:rsidRDefault="0081115D">
      <w:pPr>
        <w:pStyle w:val="a4"/>
        <w:numPr>
          <w:ilvl w:val="2"/>
          <w:numId w:val="806"/>
        </w:numPr>
        <w:tabs>
          <w:tab w:val="left" w:pos="1478"/>
        </w:tabs>
        <w:spacing w:before="47" w:line="446" w:lineRule="auto"/>
        <w:ind w:right="1496" w:firstLine="422"/>
        <w:rPr>
          <w:sz w:val="21"/>
        </w:rPr>
      </w:pPr>
      <w:r>
        <w:rPr>
          <w:spacing w:val="-3"/>
          <w:sz w:val="21"/>
        </w:rPr>
        <w:lastRenderedPageBreak/>
        <w:t>目测检查安装车载无线通信设备时，是否有一个安全的空间，为避免通信工作受到</w:t>
      </w:r>
      <w:r>
        <w:rPr>
          <w:spacing w:val="-5"/>
          <w:sz w:val="21"/>
        </w:rPr>
        <w:t>不应有的干扰，是否有合适的屏蔽装置，判断试验结果是否符合</w:t>
      </w:r>
      <w:r>
        <w:rPr>
          <w:spacing w:val="-5"/>
          <w:sz w:val="21"/>
        </w:rPr>
        <w:t xml:space="preserve"> </w:t>
      </w:r>
      <w:r>
        <w:rPr>
          <w:sz w:val="21"/>
        </w:rPr>
        <w:t>5.11.3</w:t>
      </w:r>
      <w:r>
        <w:rPr>
          <w:spacing w:val="-12"/>
          <w:sz w:val="21"/>
        </w:rPr>
        <w:t xml:space="preserve"> </w:t>
      </w:r>
      <w:r>
        <w:rPr>
          <w:spacing w:val="-12"/>
          <w:sz w:val="21"/>
        </w:rPr>
        <w:t>的规定。</w:t>
      </w:r>
      <w:r>
        <w:rPr>
          <w:spacing w:val="-12"/>
          <w:sz w:val="21"/>
        </w:rPr>
        <w:t xml:space="preserve"> </w:t>
      </w:r>
    </w:p>
    <w:p w14:paraId="5607A502" w14:textId="77777777" w:rsidR="00A71EEF" w:rsidRDefault="0081115D">
      <w:pPr>
        <w:pStyle w:val="a4"/>
        <w:numPr>
          <w:ilvl w:val="2"/>
          <w:numId w:val="806"/>
        </w:numPr>
        <w:tabs>
          <w:tab w:val="left" w:pos="1478"/>
        </w:tabs>
        <w:spacing w:line="267" w:lineRule="exact"/>
        <w:ind w:left="1477" w:hanging="638"/>
        <w:rPr>
          <w:sz w:val="21"/>
        </w:rPr>
      </w:pPr>
      <w:r>
        <w:rPr>
          <w:spacing w:val="-3"/>
          <w:sz w:val="21"/>
        </w:rPr>
        <w:t>承重抽拉支架检查方法：</w:t>
      </w:r>
      <w:r>
        <w:rPr>
          <w:sz w:val="21"/>
        </w:rPr>
        <w:t xml:space="preserve"> </w:t>
      </w:r>
    </w:p>
    <w:p w14:paraId="7E522BF1" w14:textId="77777777" w:rsidR="00A71EEF" w:rsidRDefault="00A71EEF">
      <w:pPr>
        <w:pStyle w:val="a3"/>
        <w:spacing w:before="2"/>
        <w:rPr>
          <w:sz w:val="18"/>
        </w:rPr>
      </w:pPr>
    </w:p>
    <w:p w14:paraId="316CC42C" w14:textId="77777777" w:rsidR="00A71EEF" w:rsidRDefault="0081115D">
      <w:pPr>
        <w:pStyle w:val="a4"/>
        <w:numPr>
          <w:ilvl w:val="0"/>
          <w:numId w:val="805"/>
        </w:numPr>
        <w:tabs>
          <w:tab w:val="left" w:pos="1156"/>
        </w:tabs>
        <w:spacing w:line="446" w:lineRule="auto"/>
        <w:ind w:right="2031" w:firstLine="419"/>
        <w:rPr>
          <w:sz w:val="21"/>
        </w:rPr>
      </w:pPr>
      <w:r>
        <w:rPr>
          <w:spacing w:val="-3"/>
          <w:sz w:val="21"/>
        </w:rPr>
        <w:t>检查支架是否具有所承载设备、器具所需的强度和刚度，判断试验结果是否符合</w:t>
      </w:r>
      <w:r>
        <w:rPr>
          <w:sz w:val="21"/>
        </w:rPr>
        <w:t>5.11.4a</w:t>
      </w:r>
      <w:r>
        <w:rPr>
          <w:sz w:val="21"/>
        </w:rPr>
        <w:t>）</w:t>
      </w:r>
      <w:r>
        <w:rPr>
          <w:spacing w:val="-3"/>
          <w:sz w:val="21"/>
        </w:rPr>
        <w:t>的规定。</w:t>
      </w:r>
      <w:r>
        <w:rPr>
          <w:sz w:val="21"/>
        </w:rPr>
        <w:t xml:space="preserve"> </w:t>
      </w:r>
    </w:p>
    <w:p w14:paraId="34AE9D22" w14:textId="77777777" w:rsidR="00A71EEF" w:rsidRDefault="0081115D">
      <w:pPr>
        <w:pStyle w:val="a4"/>
        <w:numPr>
          <w:ilvl w:val="0"/>
          <w:numId w:val="805"/>
        </w:numPr>
        <w:tabs>
          <w:tab w:val="left" w:pos="1156"/>
        </w:tabs>
        <w:spacing w:line="267" w:lineRule="exact"/>
        <w:ind w:left="1155"/>
        <w:rPr>
          <w:sz w:val="21"/>
        </w:rPr>
      </w:pPr>
      <w:r>
        <w:rPr>
          <w:spacing w:val="-5"/>
          <w:sz w:val="21"/>
        </w:rPr>
        <w:t>检查支架是否具有锁止功能，并能方便解除，在行驶可靠性</w:t>
      </w:r>
      <w:r>
        <w:rPr>
          <w:spacing w:val="-5"/>
          <w:sz w:val="21"/>
        </w:rPr>
        <w:t xml:space="preserve"> </w:t>
      </w:r>
      <w:r>
        <w:rPr>
          <w:sz w:val="21"/>
        </w:rPr>
        <w:t>1500</w:t>
      </w:r>
      <w:r>
        <w:rPr>
          <w:spacing w:val="2"/>
          <w:sz w:val="21"/>
        </w:rPr>
        <w:t xml:space="preserve"> </w:t>
      </w:r>
      <w:r>
        <w:rPr>
          <w:sz w:val="21"/>
        </w:rPr>
        <w:t>km</w:t>
      </w:r>
      <w:r>
        <w:rPr>
          <w:spacing w:val="-9"/>
          <w:sz w:val="21"/>
        </w:rPr>
        <w:t xml:space="preserve"> </w:t>
      </w:r>
      <w:r>
        <w:rPr>
          <w:spacing w:val="-9"/>
          <w:sz w:val="21"/>
        </w:rPr>
        <w:t>凹凸不平的坏路</w:t>
      </w:r>
    </w:p>
    <w:p w14:paraId="29CEF054" w14:textId="77777777" w:rsidR="00A71EEF" w:rsidRDefault="00A71EEF">
      <w:pPr>
        <w:pStyle w:val="a3"/>
        <w:spacing w:before="2"/>
        <w:rPr>
          <w:sz w:val="18"/>
        </w:rPr>
      </w:pPr>
    </w:p>
    <w:p w14:paraId="02E68B3B" w14:textId="77777777" w:rsidR="00A71EEF" w:rsidRDefault="0081115D">
      <w:pPr>
        <w:pStyle w:val="a3"/>
        <w:ind w:left="418"/>
      </w:pPr>
      <w:r>
        <w:t>（含碎石、土石路）试验时检查锁止支架，判断试验结果是否符合</w:t>
      </w:r>
      <w:r>
        <w:t xml:space="preserve"> 5.11.4b</w:t>
      </w:r>
      <w:r>
        <w:t>）的规定；</w:t>
      </w:r>
      <w:r>
        <w:t xml:space="preserve"> </w:t>
      </w:r>
    </w:p>
    <w:p w14:paraId="6177F933" w14:textId="77777777" w:rsidR="00A71EEF" w:rsidRDefault="00A71EEF">
      <w:pPr>
        <w:pStyle w:val="a3"/>
        <w:rPr>
          <w:sz w:val="18"/>
        </w:rPr>
      </w:pPr>
    </w:p>
    <w:p w14:paraId="529FFE28" w14:textId="77777777" w:rsidR="00A71EEF" w:rsidRDefault="0081115D">
      <w:pPr>
        <w:pStyle w:val="a4"/>
        <w:numPr>
          <w:ilvl w:val="0"/>
          <w:numId w:val="805"/>
        </w:numPr>
        <w:tabs>
          <w:tab w:val="left" w:pos="1156"/>
        </w:tabs>
        <w:spacing w:line="446" w:lineRule="auto"/>
        <w:ind w:right="1505" w:firstLine="419"/>
        <w:rPr>
          <w:sz w:val="21"/>
        </w:rPr>
      </w:pPr>
      <w:r>
        <w:rPr>
          <w:spacing w:val="-3"/>
          <w:sz w:val="21"/>
        </w:rPr>
        <w:t>将承重抽拉支架全部拉出，目测检查支架侧面最外端的反光</w:t>
      </w:r>
      <w:r>
        <w:rPr>
          <w:spacing w:val="-3"/>
          <w:sz w:val="21"/>
        </w:rPr>
        <w:t>警示标识，测量反光警示标</w:t>
      </w:r>
      <w:r>
        <w:rPr>
          <w:spacing w:val="-6"/>
          <w:sz w:val="21"/>
        </w:rPr>
        <w:t>识和支架伸出车身的长度，判断试验结果是否符合</w:t>
      </w:r>
      <w:r>
        <w:rPr>
          <w:spacing w:val="-6"/>
          <w:sz w:val="21"/>
        </w:rPr>
        <w:t xml:space="preserve"> </w:t>
      </w:r>
      <w:r>
        <w:rPr>
          <w:sz w:val="21"/>
        </w:rPr>
        <w:t>5.11.4c</w:t>
      </w:r>
      <w:r>
        <w:rPr>
          <w:sz w:val="21"/>
        </w:rPr>
        <w:t>）</w:t>
      </w:r>
      <w:r>
        <w:rPr>
          <w:spacing w:val="-3"/>
          <w:sz w:val="21"/>
        </w:rPr>
        <w:t>的规定。</w:t>
      </w:r>
      <w:r>
        <w:rPr>
          <w:sz w:val="21"/>
        </w:rPr>
        <w:t xml:space="preserve"> </w:t>
      </w:r>
    </w:p>
    <w:p w14:paraId="5EE63333" w14:textId="77777777" w:rsidR="00A71EEF" w:rsidRDefault="0081115D">
      <w:pPr>
        <w:pStyle w:val="a4"/>
        <w:numPr>
          <w:ilvl w:val="2"/>
          <w:numId w:val="806"/>
        </w:numPr>
        <w:tabs>
          <w:tab w:val="left" w:pos="1478"/>
        </w:tabs>
        <w:ind w:left="1477" w:hanging="638"/>
        <w:rPr>
          <w:sz w:val="21"/>
        </w:rPr>
      </w:pPr>
      <w:r>
        <w:rPr>
          <w:spacing w:val="-3"/>
          <w:sz w:val="21"/>
        </w:rPr>
        <w:t>空气呼吸器的储存检查方法：</w:t>
      </w:r>
      <w:r>
        <w:rPr>
          <w:sz w:val="21"/>
        </w:rPr>
        <w:t xml:space="preserve"> </w:t>
      </w:r>
    </w:p>
    <w:p w14:paraId="4047103B" w14:textId="77777777" w:rsidR="00A71EEF" w:rsidRDefault="00A71EEF">
      <w:pPr>
        <w:pStyle w:val="a3"/>
        <w:spacing w:before="12"/>
        <w:rPr>
          <w:sz w:val="17"/>
        </w:rPr>
      </w:pPr>
    </w:p>
    <w:p w14:paraId="01468612" w14:textId="77777777" w:rsidR="00A71EEF" w:rsidRDefault="0081115D">
      <w:pPr>
        <w:pStyle w:val="a4"/>
        <w:numPr>
          <w:ilvl w:val="0"/>
          <w:numId w:val="804"/>
        </w:numPr>
        <w:tabs>
          <w:tab w:val="left" w:pos="1156"/>
        </w:tabs>
        <w:spacing w:line="446" w:lineRule="auto"/>
        <w:ind w:right="1505" w:firstLine="419"/>
        <w:rPr>
          <w:sz w:val="21"/>
        </w:rPr>
      </w:pPr>
      <w:r>
        <w:rPr>
          <w:spacing w:val="-3"/>
          <w:sz w:val="21"/>
        </w:rPr>
        <w:t>目测检查空气呼吸器和备用瓶是否合理布置，是否有合理的储存空间和位置，判断试验</w:t>
      </w:r>
      <w:r>
        <w:rPr>
          <w:spacing w:val="-11"/>
          <w:sz w:val="21"/>
        </w:rPr>
        <w:t>结果是否符合</w:t>
      </w:r>
      <w:r>
        <w:rPr>
          <w:spacing w:val="-11"/>
          <w:sz w:val="21"/>
        </w:rPr>
        <w:t xml:space="preserve"> </w:t>
      </w:r>
      <w:r>
        <w:rPr>
          <w:sz w:val="21"/>
        </w:rPr>
        <w:t>5.11.5a</w:t>
      </w:r>
      <w:r>
        <w:rPr>
          <w:sz w:val="21"/>
        </w:rPr>
        <w:t>）</w:t>
      </w:r>
      <w:r>
        <w:rPr>
          <w:spacing w:val="-1"/>
          <w:sz w:val="21"/>
        </w:rPr>
        <w:t>的规定；</w:t>
      </w:r>
      <w:r>
        <w:rPr>
          <w:spacing w:val="-1"/>
          <w:sz w:val="21"/>
        </w:rPr>
        <w:t xml:space="preserve"> </w:t>
      </w:r>
    </w:p>
    <w:p w14:paraId="099223D4" w14:textId="77777777" w:rsidR="00A71EEF" w:rsidRDefault="0081115D">
      <w:pPr>
        <w:pStyle w:val="a4"/>
        <w:numPr>
          <w:ilvl w:val="0"/>
          <w:numId w:val="804"/>
        </w:numPr>
        <w:tabs>
          <w:tab w:val="left" w:pos="1156"/>
        </w:tabs>
        <w:spacing w:line="446" w:lineRule="auto"/>
        <w:ind w:right="1505" w:firstLine="419"/>
        <w:rPr>
          <w:sz w:val="21"/>
        </w:rPr>
      </w:pPr>
      <w:r>
        <w:rPr>
          <w:spacing w:val="-3"/>
          <w:sz w:val="21"/>
        </w:rPr>
        <w:t>目测检查空气呼吸器或备用瓶的固定夹持装置，是否对其造成划伤、磨损等损害，判断</w:t>
      </w:r>
      <w:r>
        <w:rPr>
          <w:spacing w:val="-9"/>
          <w:sz w:val="21"/>
        </w:rPr>
        <w:t>试验结果是否符合</w:t>
      </w:r>
      <w:r>
        <w:rPr>
          <w:spacing w:val="-9"/>
          <w:sz w:val="21"/>
        </w:rPr>
        <w:t xml:space="preserve"> </w:t>
      </w:r>
      <w:r>
        <w:rPr>
          <w:sz w:val="21"/>
        </w:rPr>
        <w:t>5.11.5b</w:t>
      </w:r>
      <w:r>
        <w:rPr>
          <w:sz w:val="21"/>
        </w:rPr>
        <w:t>）</w:t>
      </w:r>
      <w:r>
        <w:rPr>
          <w:spacing w:val="-3"/>
          <w:sz w:val="21"/>
        </w:rPr>
        <w:t>的规定；</w:t>
      </w:r>
      <w:r>
        <w:rPr>
          <w:sz w:val="21"/>
        </w:rPr>
        <w:t xml:space="preserve"> </w:t>
      </w:r>
    </w:p>
    <w:p w14:paraId="467533D7" w14:textId="77777777" w:rsidR="00A71EEF" w:rsidRDefault="0081115D">
      <w:pPr>
        <w:pStyle w:val="a4"/>
        <w:numPr>
          <w:ilvl w:val="0"/>
          <w:numId w:val="804"/>
        </w:numPr>
        <w:tabs>
          <w:tab w:val="left" w:pos="1156"/>
        </w:tabs>
        <w:spacing w:line="446" w:lineRule="auto"/>
        <w:ind w:right="1505" w:firstLine="419"/>
        <w:rPr>
          <w:sz w:val="21"/>
        </w:rPr>
      </w:pPr>
      <w:r>
        <w:rPr>
          <w:spacing w:val="-3"/>
          <w:sz w:val="21"/>
        </w:rPr>
        <w:t>目测检查空气呼吸器或备用瓶的储存区域是否远离热源</w:t>
      </w:r>
      <w:r>
        <w:rPr>
          <w:sz w:val="21"/>
        </w:rPr>
        <w:t>（</w:t>
      </w:r>
      <w:r>
        <w:rPr>
          <w:spacing w:val="-3"/>
          <w:sz w:val="21"/>
        </w:rPr>
        <w:t>如消声器、排气管、发动机</w:t>
      </w:r>
      <w:r>
        <w:rPr>
          <w:sz w:val="21"/>
        </w:rPr>
        <w:t>）</w:t>
      </w:r>
      <w:r>
        <w:rPr>
          <w:sz w:val="21"/>
        </w:rPr>
        <w:t xml:space="preserve"> </w:t>
      </w:r>
      <w:r>
        <w:rPr>
          <w:spacing w:val="-6"/>
          <w:sz w:val="21"/>
        </w:rPr>
        <w:t>并通风干燥的地方，判断试验结果是否符合</w:t>
      </w:r>
      <w:r>
        <w:rPr>
          <w:spacing w:val="-6"/>
          <w:sz w:val="21"/>
        </w:rPr>
        <w:t xml:space="preserve"> </w:t>
      </w:r>
      <w:r>
        <w:rPr>
          <w:sz w:val="21"/>
        </w:rPr>
        <w:t>5.11.5c</w:t>
      </w:r>
      <w:r>
        <w:rPr>
          <w:sz w:val="21"/>
        </w:rPr>
        <w:t>）</w:t>
      </w:r>
      <w:r>
        <w:rPr>
          <w:spacing w:val="-3"/>
          <w:sz w:val="21"/>
        </w:rPr>
        <w:t>的规定；</w:t>
      </w:r>
      <w:r>
        <w:rPr>
          <w:sz w:val="21"/>
        </w:rPr>
        <w:t xml:space="preserve"> </w:t>
      </w:r>
    </w:p>
    <w:p w14:paraId="19528A73" w14:textId="77777777" w:rsidR="00A71EEF" w:rsidRDefault="0081115D">
      <w:pPr>
        <w:pStyle w:val="a4"/>
        <w:numPr>
          <w:ilvl w:val="0"/>
          <w:numId w:val="804"/>
        </w:numPr>
        <w:tabs>
          <w:tab w:val="left" w:pos="1156"/>
        </w:tabs>
        <w:spacing w:line="446" w:lineRule="auto"/>
        <w:ind w:right="1450" w:firstLine="419"/>
        <w:rPr>
          <w:sz w:val="21"/>
        </w:rPr>
      </w:pPr>
      <w:r>
        <w:rPr>
          <w:spacing w:val="-3"/>
          <w:sz w:val="21"/>
        </w:rPr>
        <w:t>目测检查用筒</w:t>
      </w:r>
      <w:r>
        <w:rPr>
          <w:sz w:val="21"/>
        </w:rPr>
        <w:t>/</w:t>
      </w:r>
      <w:r>
        <w:rPr>
          <w:spacing w:val="-4"/>
          <w:sz w:val="21"/>
        </w:rPr>
        <w:t>管材料储存空气呼吸器备用瓶的方式，判断试验结果是否符合</w:t>
      </w:r>
      <w:r>
        <w:rPr>
          <w:spacing w:val="-4"/>
          <w:sz w:val="21"/>
        </w:rPr>
        <w:t xml:space="preserve"> </w:t>
      </w:r>
      <w:r>
        <w:rPr>
          <w:sz w:val="21"/>
        </w:rPr>
        <w:t>5.11.5d</w:t>
      </w:r>
      <w:r>
        <w:rPr>
          <w:sz w:val="21"/>
        </w:rPr>
        <w:t>）</w:t>
      </w:r>
      <w:r>
        <w:rPr>
          <w:sz w:val="21"/>
        </w:rPr>
        <w:t xml:space="preserve"> </w:t>
      </w:r>
      <w:r>
        <w:rPr>
          <w:spacing w:val="-2"/>
          <w:sz w:val="21"/>
        </w:rPr>
        <w:t>的规定；</w:t>
      </w:r>
      <w:r>
        <w:rPr>
          <w:sz w:val="21"/>
        </w:rPr>
        <w:t xml:space="preserve"> </w:t>
      </w:r>
    </w:p>
    <w:p w14:paraId="0E961694" w14:textId="77777777" w:rsidR="00A71EEF" w:rsidRDefault="0081115D">
      <w:pPr>
        <w:pStyle w:val="a4"/>
        <w:numPr>
          <w:ilvl w:val="0"/>
          <w:numId w:val="804"/>
        </w:numPr>
        <w:tabs>
          <w:tab w:val="left" w:pos="1156"/>
        </w:tabs>
        <w:spacing w:line="446" w:lineRule="auto"/>
        <w:ind w:right="1505" w:firstLine="419"/>
        <w:rPr>
          <w:sz w:val="21"/>
        </w:rPr>
      </w:pPr>
      <w:r>
        <w:rPr>
          <w:spacing w:val="-3"/>
          <w:sz w:val="21"/>
        </w:rPr>
        <w:t>目测检查每个被储存的备用瓶是否装有阀门，且已按规定充气，判断试验结果是否符合</w:t>
      </w:r>
      <w:r>
        <w:rPr>
          <w:spacing w:val="-3"/>
          <w:sz w:val="21"/>
        </w:rPr>
        <w:t>5.11.5e</w:t>
      </w:r>
      <w:r>
        <w:rPr>
          <w:spacing w:val="-3"/>
          <w:sz w:val="21"/>
        </w:rPr>
        <w:t>）的规定；</w:t>
      </w:r>
      <w:r>
        <w:rPr>
          <w:sz w:val="21"/>
        </w:rPr>
        <w:t xml:space="preserve"> </w:t>
      </w:r>
    </w:p>
    <w:p w14:paraId="2EECD31B" w14:textId="77777777" w:rsidR="00A71EEF" w:rsidRDefault="0081115D">
      <w:pPr>
        <w:pStyle w:val="a4"/>
        <w:numPr>
          <w:ilvl w:val="0"/>
          <w:numId w:val="804"/>
        </w:numPr>
        <w:tabs>
          <w:tab w:val="left" w:pos="1156"/>
        </w:tabs>
        <w:spacing w:line="446" w:lineRule="auto"/>
        <w:ind w:right="1608" w:firstLine="419"/>
        <w:rPr>
          <w:sz w:val="21"/>
        </w:rPr>
      </w:pPr>
      <w:r>
        <w:rPr>
          <w:spacing w:val="-3"/>
          <w:sz w:val="21"/>
        </w:rPr>
        <w:t>目测检查储存筒</w:t>
      </w:r>
      <w:r>
        <w:rPr>
          <w:spacing w:val="-3"/>
          <w:sz w:val="21"/>
        </w:rPr>
        <w:t>/</w:t>
      </w:r>
      <w:r>
        <w:rPr>
          <w:spacing w:val="-3"/>
          <w:sz w:val="21"/>
        </w:rPr>
        <w:t>管的基座是否有橡胶、塑料或类似装置以避免备用瓶的磨损，判断试</w:t>
      </w:r>
      <w:r>
        <w:rPr>
          <w:spacing w:val="-10"/>
          <w:sz w:val="21"/>
        </w:rPr>
        <w:t>验结果是否符合</w:t>
      </w:r>
      <w:r>
        <w:rPr>
          <w:spacing w:val="-10"/>
          <w:sz w:val="21"/>
        </w:rPr>
        <w:t xml:space="preserve"> </w:t>
      </w:r>
      <w:r>
        <w:rPr>
          <w:sz w:val="21"/>
        </w:rPr>
        <w:t>5.11.5f</w:t>
      </w:r>
      <w:r>
        <w:rPr>
          <w:sz w:val="21"/>
        </w:rPr>
        <w:t>）</w:t>
      </w:r>
      <w:r>
        <w:rPr>
          <w:spacing w:val="-3"/>
          <w:sz w:val="21"/>
        </w:rPr>
        <w:t>的规定；</w:t>
      </w:r>
      <w:r>
        <w:rPr>
          <w:sz w:val="21"/>
        </w:rPr>
        <w:t xml:space="preserve"> </w:t>
      </w:r>
    </w:p>
    <w:p w14:paraId="4E6B7425" w14:textId="77777777" w:rsidR="00A71EEF" w:rsidRDefault="0081115D">
      <w:pPr>
        <w:pStyle w:val="a4"/>
        <w:numPr>
          <w:ilvl w:val="0"/>
          <w:numId w:val="804"/>
        </w:numPr>
        <w:tabs>
          <w:tab w:val="left" w:pos="1156"/>
        </w:tabs>
        <w:spacing w:line="446" w:lineRule="auto"/>
        <w:ind w:left="838" w:right="1503" w:firstLine="0"/>
        <w:rPr>
          <w:sz w:val="21"/>
        </w:rPr>
      </w:pPr>
      <w:r>
        <w:rPr>
          <w:spacing w:val="-3"/>
          <w:sz w:val="21"/>
        </w:rPr>
        <w:t>目测检查储存筒</w:t>
      </w:r>
      <w:r>
        <w:rPr>
          <w:spacing w:val="-3"/>
          <w:sz w:val="21"/>
        </w:rPr>
        <w:t>/</w:t>
      </w:r>
      <w:r>
        <w:rPr>
          <w:spacing w:val="-5"/>
          <w:sz w:val="21"/>
        </w:rPr>
        <w:t>管都是否有排水的设计，判断试验结果是否符合</w:t>
      </w:r>
      <w:r>
        <w:rPr>
          <w:spacing w:val="-5"/>
          <w:sz w:val="21"/>
        </w:rPr>
        <w:t xml:space="preserve"> </w:t>
      </w:r>
      <w:r>
        <w:rPr>
          <w:sz w:val="21"/>
        </w:rPr>
        <w:t>5.11.5g</w:t>
      </w:r>
      <w:r>
        <w:rPr>
          <w:sz w:val="21"/>
        </w:rPr>
        <w:t>）</w:t>
      </w:r>
      <w:r>
        <w:rPr>
          <w:spacing w:val="-3"/>
          <w:sz w:val="21"/>
        </w:rPr>
        <w:t>的规定；</w:t>
      </w:r>
      <w:r>
        <w:rPr>
          <w:spacing w:val="-3"/>
          <w:sz w:val="21"/>
        </w:rPr>
        <w:t xml:space="preserve"> </w:t>
      </w:r>
      <w:r>
        <w:rPr>
          <w:sz w:val="21"/>
        </w:rPr>
        <w:t>h</w:t>
      </w:r>
      <w:r>
        <w:rPr>
          <w:sz w:val="21"/>
        </w:rPr>
        <w:t>）</w:t>
      </w:r>
      <w:r>
        <w:rPr>
          <w:spacing w:val="-3"/>
          <w:sz w:val="21"/>
        </w:rPr>
        <w:t>目测检查储存筒</w:t>
      </w:r>
      <w:r>
        <w:rPr>
          <w:spacing w:val="-3"/>
          <w:sz w:val="21"/>
        </w:rPr>
        <w:t>/</w:t>
      </w:r>
      <w:r>
        <w:rPr>
          <w:spacing w:val="-3"/>
          <w:sz w:val="21"/>
        </w:rPr>
        <w:t>管总成布局是否合理，是否可以防止空气呼吸器备用瓶从储存筒</w:t>
      </w:r>
      <w:r>
        <w:rPr>
          <w:spacing w:val="-3"/>
          <w:sz w:val="21"/>
        </w:rPr>
        <w:t>/</w:t>
      </w:r>
      <w:r>
        <w:rPr>
          <w:sz w:val="21"/>
        </w:rPr>
        <w:t>管中</w:t>
      </w:r>
    </w:p>
    <w:p w14:paraId="0B539845" w14:textId="77777777" w:rsidR="00A71EEF" w:rsidRDefault="0081115D">
      <w:pPr>
        <w:pStyle w:val="a3"/>
        <w:spacing w:line="446" w:lineRule="auto"/>
        <w:ind w:left="838" w:right="1608" w:hanging="420"/>
      </w:pPr>
      <w:r>
        <w:rPr>
          <w:spacing w:val="-2"/>
        </w:rPr>
        <w:t>意外滑出，并使其在运输过程中不产生移动，判断试验结果是否符合</w:t>
      </w:r>
      <w:r>
        <w:rPr>
          <w:spacing w:val="-2"/>
        </w:rPr>
        <w:t xml:space="preserve">  </w:t>
      </w:r>
      <w:r>
        <w:t>5.11.5h</w:t>
      </w:r>
      <w:r>
        <w:t>）</w:t>
      </w:r>
      <w:r>
        <w:rPr>
          <w:spacing w:val="-3"/>
        </w:rPr>
        <w:t>的规定；</w:t>
      </w:r>
      <w:r>
        <w:rPr>
          <w:spacing w:val="-3"/>
        </w:rPr>
        <w:t xml:space="preserve"> i</w:t>
      </w:r>
      <w:r>
        <w:rPr>
          <w:spacing w:val="-3"/>
        </w:rPr>
        <w:t>）目测检查储存筒</w:t>
      </w:r>
      <w:r>
        <w:rPr>
          <w:spacing w:val="-3"/>
        </w:rPr>
        <w:t>/</w:t>
      </w:r>
      <w:r>
        <w:rPr>
          <w:spacing w:val="-3"/>
        </w:rPr>
        <w:t>管或储存区域的后壁是否有用橡胶、塑料或类似物的设施避免备用瓶</w:t>
      </w:r>
    </w:p>
    <w:p w14:paraId="210546F7" w14:textId="77777777" w:rsidR="00A71EEF" w:rsidRDefault="0081115D">
      <w:pPr>
        <w:pStyle w:val="a3"/>
        <w:spacing w:line="446" w:lineRule="auto"/>
        <w:ind w:left="840" w:right="5339" w:hanging="423"/>
      </w:pPr>
      <w:r>
        <w:t>的磨损，判断试验结果是否符合</w:t>
      </w:r>
      <w:r>
        <w:t xml:space="preserve"> 5.11.5i</w:t>
      </w:r>
      <w:r>
        <w:t>）的规定。</w:t>
      </w:r>
      <w:r>
        <w:rPr>
          <w:b/>
        </w:rPr>
        <w:t xml:space="preserve">6.12 </w:t>
      </w:r>
      <w:r>
        <w:t>爬梯试验</w:t>
      </w:r>
      <w:r>
        <w:t xml:space="preserve"> </w:t>
      </w:r>
    </w:p>
    <w:p w14:paraId="62803889" w14:textId="77777777" w:rsidR="00A71EEF" w:rsidRDefault="00A71EEF">
      <w:pPr>
        <w:spacing w:line="446" w:lineRule="auto"/>
        <w:sectPr w:rsidR="00A71EEF">
          <w:pgSz w:w="11910" w:h="16850"/>
          <w:pgMar w:top="1220" w:right="0" w:bottom="1420" w:left="1260" w:header="0" w:footer="1239" w:gutter="0"/>
          <w:cols w:space="720"/>
        </w:sectPr>
      </w:pPr>
    </w:p>
    <w:p w14:paraId="6C05D28F" w14:textId="77777777" w:rsidR="00A71EEF" w:rsidRDefault="0081115D">
      <w:pPr>
        <w:pStyle w:val="a4"/>
        <w:numPr>
          <w:ilvl w:val="2"/>
          <w:numId w:val="803"/>
        </w:numPr>
        <w:tabs>
          <w:tab w:val="left" w:pos="1478"/>
        </w:tabs>
        <w:spacing w:before="47" w:line="446" w:lineRule="auto"/>
        <w:ind w:right="1496" w:firstLine="422"/>
        <w:rPr>
          <w:sz w:val="21"/>
        </w:rPr>
      </w:pPr>
      <w:r>
        <w:rPr>
          <w:spacing w:val="-3"/>
          <w:sz w:val="21"/>
        </w:rPr>
        <w:lastRenderedPageBreak/>
        <w:t>测量爬梯任意两梯磴脚踏面的最小距离，测量爬梯离地面最近的梯磴至地面的垂直</w:t>
      </w:r>
      <w:r>
        <w:rPr>
          <w:spacing w:val="-7"/>
          <w:sz w:val="21"/>
        </w:rPr>
        <w:t>距离，判断试验结果是否符合</w:t>
      </w:r>
      <w:r>
        <w:rPr>
          <w:spacing w:val="-7"/>
          <w:sz w:val="21"/>
        </w:rPr>
        <w:t xml:space="preserve"> </w:t>
      </w:r>
      <w:r>
        <w:rPr>
          <w:sz w:val="21"/>
        </w:rPr>
        <w:t>5.12.1</w:t>
      </w:r>
      <w:r>
        <w:rPr>
          <w:spacing w:val="-13"/>
          <w:sz w:val="21"/>
        </w:rPr>
        <w:t xml:space="preserve"> </w:t>
      </w:r>
      <w:r>
        <w:rPr>
          <w:spacing w:val="-13"/>
          <w:sz w:val="21"/>
        </w:rPr>
        <w:t>的规定。</w:t>
      </w:r>
      <w:r>
        <w:rPr>
          <w:sz w:val="21"/>
        </w:rPr>
        <w:t xml:space="preserve"> </w:t>
      </w:r>
    </w:p>
    <w:p w14:paraId="366B9C47" w14:textId="77777777" w:rsidR="00A71EEF" w:rsidRDefault="0081115D">
      <w:pPr>
        <w:pStyle w:val="a4"/>
        <w:numPr>
          <w:ilvl w:val="2"/>
          <w:numId w:val="803"/>
        </w:numPr>
        <w:tabs>
          <w:tab w:val="left" w:pos="1478"/>
        </w:tabs>
        <w:spacing w:line="446" w:lineRule="auto"/>
        <w:ind w:right="1498" w:firstLine="422"/>
        <w:rPr>
          <w:sz w:val="21"/>
        </w:rPr>
      </w:pPr>
      <w:r>
        <w:rPr>
          <w:spacing w:val="-3"/>
          <w:sz w:val="21"/>
        </w:rPr>
        <w:t>测量爬梯距车顶最近的梯磴距车顶踏脚处的垂直距离，测量爬梯扶手顶端距车顶踏</w:t>
      </w:r>
      <w:r>
        <w:rPr>
          <w:spacing w:val="-6"/>
          <w:sz w:val="21"/>
        </w:rPr>
        <w:t>脚处的垂直距离，判断试验结果是否符合</w:t>
      </w:r>
      <w:r>
        <w:rPr>
          <w:spacing w:val="-6"/>
          <w:sz w:val="21"/>
        </w:rPr>
        <w:t xml:space="preserve"> </w:t>
      </w:r>
      <w:r>
        <w:rPr>
          <w:sz w:val="21"/>
        </w:rPr>
        <w:t>5.12.2</w:t>
      </w:r>
      <w:r>
        <w:rPr>
          <w:spacing w:val="-13"/>
          <w:sz w:val="21"/>
        </w:rPr>
        <w:t xml:space="preserve"> </w:t>
      </w:r>
      <w:r>
        <w:rPr>
          <w:spacing w:val="-13"/>
          <w:sz w:val="21"/>
        </w:rPr>
        <w:t>的规定。</w:t>
      </w:r>
      <w:r>
        <w:rPr>
          <w:sz w:val="21"/>
        </w:rPr>
        <w:t xml:space="preserve"> </w:t>
      </w:r>
    </w:p>
    <w:p w14:paraId="59573206" w14:textId="77777777" w:rsidR="00A71EEF" w:rsidRDefault="0081115D">
      <w:pPr>
        <w:pStyle w:val="a4"/>
        <w:numPr>
          <w:ilvl w:val="2"/>
          <w:numId w:val="803"/>
        </w:numPr>
        <w:tabs>
          <w:tab w:val="left" w:pos="1478"/>
        </w:tabs>
        <w:spacing w:line="446" w:lineRule="auto"/>
        <w:ind w:right="1604" w:firstLine="422"/>
        <w:rPr>
          <w:sz w:val="21"/>
        </w:rPr>
      </w:pPr>
      <w:r>
        <w:rPr>
          <w:spacing w:val="-5"/>
          <w:sz w:val="21"/>
        </w:rPr>
        <w:t>测量爬梯两侧板内侧最小距离为梯磴宽度，制作一宽度</w:t>
      </w:r>
      <w:r>
        <w:rPr>
          <w:spacing w:val="-5"/>
          <w:sz w:val="21"/>
        </w:rPr>
        <w:t xml:space="preserve"> </w:t>
      </w:r>
      <w:r>
        <w:rPr>
          <w:sz w:val="21"/>
        </w:rPr>
        <w:t>50mm</w:t>
      </w:r>
      <w:r>
        <w:rPr>
          <w:spacing w:val="-8"/>
          <w:sz w:val="21"/>
        </w:rPr>
        <w:t xml:space="preserve"> </w:t>
      </w:r>
      <w:r>
        <w:rPr>
          <w:spacing w:val="-8"/>
          <w:sz w:val="21"/>
        </w:rPr>
        <w:t>的钢卡，测量梯磴强度时将钢卡卡在梯磴中间，在钢卡下方挂上</w:t>
      </w:r>
      <w:r>
        <w:rPr>
          <w:spacing w:val="-8"/>
          <w:sz w:val="21"/>
        </w:rPr>
        <w:t xml:space="preserve"> </w:t>
      </w:r>
      <w:r>
        <w:rPr>
          <w:sz w:val="21"/>
        </w:rPr>
        <w:t>300kg</w:t>
      </w:r>
      <w:r>
        <w:rPr>
          <w:spacing w:val="-16"/>
          <w:sz w:val="21"/>
        </w:rPr>
        <w:t xml:space="preserve"> </w:t>
      </w:r>
      <w:r>
        <w:rPr>
          <w:spacing w:val="-16"/>
          <w:sz w:val="21"/>
        </w:rPr>
        <w:t>重物并持续</w:t>
      </w:r>
      <w:r>
        <w:rPr>
          <w:spacing w:val="-16"/>
          <w:sz w:val="21"/>
        </w:rPr>
        <w:t xml:space="preserve"> </w:t>
      </w:r>
      <w:r>
        <w:rPr>
          <w:sz w:val="21"/>
        </w:rPr>
        <w:t>5min</w:t>
      </w:r>
      <w:r>
        <w:rPr>
          <w:spacing w:val="-3"/>
          <w:sz w:val="21"/>
        </w:rPr>
        <w:t>，判断试验结果是否符合</w:t>
      </w:r>
    </w:p>
    <w:p w14:paraId="0126EF0B" w14:textId="77777777" w:rsidR="00A71EEF" w:rsidRDefault="0081115D">
      <w:pPr>
        <w:pStyle w:val="a3"/>
        <w:ind w:left="418"/>
      </w:pPr>
      <w:r>
        <w:t xml:space="preserve">5.12.3 </w:t>
      </w:r>
      <w:r>
        <w:t>的规定。</w:t>
      </w:r>
      <w:r>
        <w:t xml:space="preserve"> </w:t>
      </w:r>
    </w:p>
    <w:p w14:paraId="4DAD2AD3" w14:textId="77777777" w:rsidR="00A71EEF" w:rsidRDefault="00A71EEF">
      <w:pPr>
        <w:pStyle w:val="a3"/>
        <w:spacing w:before="11"/>
        <w:rPr>
          <w:sz w:val="17"/>
        </w:rPr>
      </w:pPr>
    </w:p>
    <w:p w14:paraId="0750B27B" w14:textId="77777777" w:rsidR="00A71EEF" w:rsidRDefault="0081115D">
      <w:pPr>
        <w:pStyle w:val="a4"/>
        <w:numPr>
          <w:ilvl w:val="1"/>
          <w:numId w:val="802"/>
        </w:numPr>
        <w:tabs>
          <w:tab w:val="left" w:pos="1264"/>
        </w:tabs>
        <w:rPr>
          <w:b/>
          <w:sz w:val="21"/>
        </w:rPr>
      </w:pPr>
      <w:r>
        <w:rPr>
          <w:spacing w:val="-3"/>
          <w:sz w:val="21"/>
        </w:rPr>
        <w:t>制动垫块检查</w:t>
      </w:r>
      <w:r>
        <w:rPr>
          <w:b/>
          <w:w w:val="99"/>
          <w:sz w:val="21"/>
        </w:rPr>
        <w:t xml:space="preserve"> </w:t>
      </w:r>
    </w:p>
    <w:p w14:paraId="3DDBBEBF" w14:textId="77777777" w:rsidR="00A71EEF" w:rsidRDefault="00A71EEF">
      <w:pPr>
        <w:pStyle w:val="a3"/>
        <w:spacing w:before="12"/>
        <w:rPr>
          <w:b/>
          <w:sz w:val="17"/>
        </w:rPr>
      </w:pPr>
    </w:p>
    <w:p w14:paraId="323189B8" w14:textId="77777777" w:rsidR="00A71EEF" w:rsidRDefault="0081115D">
      <w:pPr>
        <w:pStyle w:val="a3"/>
        <w:spacing w:line="446" w:lineRule="auto"/>
        <w:ind w:left="418" w:right="1391" w:firstLine="419"/>
      </w:pPr>
      <w:r>
        <w:t>检查消防车制动垫块配备的数量，消防车满载状态停留在</w:t>
      </w:r>
      <w:r>
        <w:t xml:space="preserve"> 20%</w:t>
      </w:r>
      <w:r>
        <w:t>的坡道上，变速器置于空挡位置，当制动垫块放好并松开驻车制动</w:t>
      </w:r>
      <w:r>
        <w:t xml:space="preserve"> </w:t>
      </w:r>
      <w:r>
        <w:t>，判断试验结果是否符合</w:t>
      </w:r>
      <w:r>
        <w:t xml:space="preserve"> 5.13 </w:t>
      </w:r>
      <w:r>
        <w:t>的规</w:t>
      </w:r>
      <w:r>
        <w:t>定。</w:t>
      </w:r>
      <w:r>
        <w:t xml:space="preserve"> </w:t>
      </w:r>
    </w:p>
    <w:p w14:paraId="317D13A3" w14:textId="77777777" w:rsidR="00A71EEF" w:rsidRDefault="0081115D">
      <w:pPr>
        <w:pStyle w:val="a4"/>
        <w:numPr>
          <w:ilvl w:val="1"/>
          <w:numId w:val="802"/>
        </w:numPr>
        <w:tabs>
          <w:tab w:val="left" w:pos="1266"/>
        </w:tabs>
        <w:ind w:left="1265" w:hanging="426"/>
        <w:rPr>
          <w:sz w:val="21"/>
        </w:rPr>
      </w:pPr>
      <w:r>
        <w:rPr>
          <w:spacing w:val="-3"/>
          <w:sz w:val="21"/>
        </w:rPr>
        <w:t>附加储气瓶检查</w:t>
      </w:r>
      <w:r>
        <w:rPr>
          <w:sz w:val="21"/>
        </w:rPr>
        <w:t xml:space="preserve"> </w:t>
      </w:r>
    </w:p>
    <w:p w14:paraId="26672C1C" w14:textId="77777777" w:rsidR="00A71EEF" w:rsidRDefault="00A71EEF">
      <w:pPr>
        <w:pStyle w:val="a3"/>
        <w:spacing w:before="12"/>
        <w:rPr>
          <w:sz w:val="17"/>
        </w:rPr>
      </w:pPr>
    </w:p>
    <w:p w14:paraId="5F13E41E" w14:textId="77777777" w:rsidR="00A71EEF" w:rsidRDefault="0081115D">
      <w:pPr>
        <w:pStyle w:val="a3"/>
        <w:spacing w:line="446" w:lineRule="auto"/>
        <w:ind w:left="418" w:right="1608" w:firstLine="419"/>
        <w:jc w:val="both"/>
      </w:pPr>
      <w:r>
        <w:t>检查是否有防止制动储气瓶向附加储气瓶流动的单向阀，发动消防车，降低备用储气瓶压力，使底盘空气压缩机向备用储气瓶充气，同时连续踩刹车，降低制动储气瓶的压力，检查底盘空压机是否优先向制动储气瓶充气，判断试验结果是否符合</w:t>
      </w:r>
      <w:r>
        <w:t xml:space="preserve"> 5.14 </w:t>
      </w:r>
      <w:r>
        <w:t>的要求。</w:t>
      </w:r>
      <w:r>
        <w:t xml:space="preserve"> </w:t>
      </w:r>
    </w:p>
    <w:p w14:paraId="19234AB6" w14:textId="77777777" w:rsidR="00A71EEF" w:rsidRDefault="0081115D">
      <w:pPr>
        <w:pStyle w:val="a4"/>
        <w:numPr>
          <w:ilvl w:val="1"/>
          <w:numId w:val="802"/>
        </w:numPr>
        <w:tabs>
          <w:tab w:val="left" w:pos="1266"/>
        </w:tabs>
        <w:spacing w:line="268" w:lineRule="exact"/>
        <w:ind w:left="1265" w:hanging="426"/>
        <w:rPr>
          <w:b/>
          <w:sz w:val="21"/>
        </w:rPr>
      </w:pPr>
      <w:r>
        <w:rPr>
          <w:spacing w:val="-3"/>
          <w:sz w:val="21"/>
        </w:rPr>
        <w:t>随车文件检查</w:t>
      </w:r>
      <w:r>
        <w:rPr>
          <w:b/>
          <w:w w:val="99"/>
          <w:sz w:val="21"/>
        </w:rPr>
        <w:t xml:space="preserve"> </w:t>
      </w:r>
    </w:p>
    <w:p w14:paraId="79F5EC99" w14:textId="77777777" w:rsidR="00A71EEF" w:rsidRDefault="00A71EEF">
      <w:pPr>
        <w:pStyle w:val="a3"/>
        <w:spacing w:before="2"/>
        <w:rPr>
          <w:b/>
          <w:sz w:val="18"/>
        </w:rPr>
      </w:pPr>
    </w:p>
    <w:p w14:paraId="6A82AA88" w14:textId="77777777" w:rsidR="00A71EEF" w:rsidRDefault="0081115D">
      <w:pPr>
        <w:pStyle w:val="a3"/>
        <w:spacing w:line="446" w:lineRule="auto"/>
        <w:ind w:left="840" w:right="4134" w:hanging="3"/>
        <w:rPr>
          <w:b/>
        </w:rPr>
      </w:pPr>
      <w:r>
        <w:t>检查消防车随车文件。判断试验结果是否符合</w:t>
      </w:r>
      <w:r>
        <w:t xml:space="preserve"> 5.15 </w:t>
      </w:r>
      <w:r>
        <w:t>的规定。</w:t>
      </w:r>
      <w:r>
        <w:rPr>
          <w:b/>
        </w:rPr>
        <w:t xml:space="preserve">6.16 </w:t>
      </w:r>
      <w:r>
        <w:t>外观质量检查</w:t>
      </w:r>
      <w:r>
        <w:rPr>
          <w:b/>
          <w:w w:val="99"/>
        </w:rPr>
        <w:t xml:space="preserve"> </w:t>
      </w:r>
    </w:p>
    <w:p w14:paraId="31D51479" w14:textId="77777777" w:rsidR="00A71EEF" w:rsidRDefault="0081115D">
      <w:pPr>
        <w:pStyle w:val="a4"/>
        <w:numPr>
          <w:ilvl w:val="2"/>
          <w:numId w:val="801"/>
        </w:numPr>
        <w:tabs>
          <w:tab w:val="left" w:pos="1478"/>
        </w:tabs>
        <w:spacing w:line="446" w:lineRule="auto"/>
        <w:ind w:right="1498" w:firstLine="422"/>
        <w:rPr>
          <w:sz w:val="21"/>
        </w:rPr>
      </w:pPr>
      <w:r>
        <w:rPr>
          <w:spacing w:val="-3"/>
          <w:sz w:val="21"/>
        </w:rPr>
        <w:t>目测检查消防车的油漆颜色，检查油漆层的外观是否光滑、平整、色泽均匀，是否有缺漆等缺陷。涂漆零件相互之间是否有显著的色差和光泽差，装饰表面是否有麻坑、斑点、杂色、裂痕、气泡及明显的划伤、流痕等缺陷，非装饰表面是否有露底和明显的划伤及毛刺等</w:t>
      </w:r>
      <w:r>
        <w:rPr>
          <w:spacing w:val="-7"/>
          <w:sz w:val="21"/>
        </w:rPr>
        <w:t>缺陷，车身两侧及后平面分别取</w:t>
      </w:r>
      <w:r>
        <w:rPr>
          <w:spacing w:val="-7"/>
          <w:sz w:val="21"/>
        </w:rPr>
        <w:t xml:space="preserve"> </w:t>
      </w:r>
      <w:r>
        <w:rPr>
          <w:sz w:val="21"/>
        </w:rPr>
        <w:t>1000</w:t>
      </w:r>
      <w:r>
        <w:rPr>
          <w:spacing w:val="7"/>
          <w:sz w:val="21"/>
        </w:rPr>
        <w:t xml:space="preserve"> </w:t>
      </w:r>
      <w:r>
        <w:rPr>
          <w:sz w:val="21"/>
        </w:rPr>
        <w:t>mm×1000</w:t>
      </w:r>
      <w:r>
        <w:rPr>
          <w:spacing w:val="7"/>
          <w:sz w:val="21"/>
        </w:rPr>
        <w:t xml:space="preserve"> </w:t>
      </w:r>
      <w:r>
        <w:rPr>
          <w:sz w:val="21"/>
        </w:rPr>
        <w:t>mm</w:t>
      </w:r>
      <w:r>
        <w:rPr>
          <w:spacing w:val="-15"/>
          <w:sz w:val="21"/>
        </w:rPr>
        <w:t xml:space="preserve"> </w:t>
      </w:r>
      <w:r>
        <w:rPr>
          <w:spacing w:val="-15"/>
          <w:sz w:val="21"/>
        </w:rPr>
        <w:t>的测试面，用</w:t>
      </w:r>
      <w:r>
        <w:rPr>
          <w:spacing w:val="-15"/>
          <w:sz w:val="21"/>
        </w:rPr>
        <w:t xml:space="preserve"> </w:t>
      </w:r>
      <w:r>
        <w:rPr>
          <w:spacing w:val="-3"/>
          <w:sz w:val="21"/>
        </w:rPr>
        <w:t>1</w:t>
      </w:r>
      <w:r>
        <w:rPr>
          <w:spacing w:val="7"/>
          <w:sz w:val="21"/>
        </w:rPr>
        <w:t xml:space="preserve"> </w:t>
      </w:r>
      <w:r>
        <w:rPr>
          <w:sz w:val="21"/>
        </w:rPr>
        <w:t>m</w:t>
      </w:r>
      <w:r>
        <w:rPr>
          <w:spacing w:val="-8"/>
          <w:sz w:val="21"/>
        </w:rPr>
        <w:t xml:space="preserve"> </w:t>
      </w:r>
      <w:r>
        <w:rPr>
          <w:spacing w:val="-8"/>
          <w:sz w:val="21"/>
        </w:rPr>
        <w:t>钢直尺靠住车身，测量纵向和横向最大间隙，判断试验结果是否符合</w:t>
      </w:r>
      <w:r>
        <w:rPr>
          <w:spacing w:val="-8"/>
          <w:sz w:val="21"/>
        </w:rPr>
        <w:t xml:space="preserve"> </w:t>
      </w:r>
      <w:r>
        <w:rPr>
          <w:sz w:val="21"/>
        </w:rPr>
        <w:t>5.16.1</w:t>
      </w:r>
      <w:r>
        <w:rPr>
          <w:spacing w:val="-13"/>
          <w:sz w:val="21"/>
        </w:rPr>
        <w:t xml:space="preserve"> </w:t>
      </w:r>
      <w:r>
        <w:rPr>
          <w:spacing w:val="-13"/>
          <w:sz w:val="21"/>
        </w:rPr>
        <w:t>的规定。</w:t>
      </w:r>
      <w:r>
        <w:rPr>
          <w:sz w:val="21"/>
        </w:rPr>
        <w:t xml:space="preserve"> </w:t>
      </w:r>
    </w:p>
    <w:p w14:paraId="567F4377" w14:textId="77777777" w:rsidR="00A71EEF" w:rsidRDefault="0081115D">
      <w:pPr>
        <w:pStyle w:val="a4"/>
        <w:numPr>
          <w:ilvl w:val="2"/>
          <w:numId w:val="801"/>
        </w:numPr>
        <w:tabs>
          <w:tab w:val="left" w:pos="1478"/>
        </w:tabs>
        <w:spacing w:line="446" w:lineRule="auto"/>
        <w:ind w:right="1496" w:firstLine="422"/>
        <w:rPr>
          <w:sz w:val="21"/>
        </w:rPr>
      </w:pPr>
      <w:r>
        <w:rPr>
          <w:spacing w:val="-3"/>
          <w:sz w:val="21"/>
        </w:rPr>
        <w:t>目测检查消防车的电镀层及化学处理层表面色泽是否均匀，是否有烧黑、鼓泡、剥</w:t>
      </w:r>
      <w:r>
        <w:rPr>
          <w:spacing w:val="-5"/>
          <w:sz w:val="21"/>
        </w:rPr>
        <w:t>落、锈蚀、露底、明显的划伤及毛刺</w:t>
      </w:r>
      <w:r>
        <w:rPr>
          <w:spacing w:val="-5"/>
          <w:sz w:val="21"/>
        </w:rPr>
        <w:t>等缺陷，判断试验结果是否符合</w:t>
      </w:r>
      <w:r>
        <w:rPr>
          <w:spacing w:val="-5"/>
          <w:sz w:val="21"/>
        </w:rPr>
        <w:t xml:space="preserve"> </w:t>
      </w:r>
      <w:r>
        <w:rPr>
          <w:sz w:val="21"/>
        </w:rPr>
        <w:t>5.16.2</w:t>
      </w:r>
      <w:r>
        <w:rPr>
          <w:spacing w:val="-12"/>
          <w:sz w:val="21"/>
        </w:rPr>
        <w:t xml:space="preserve"> </w:t>
      </w:r>
      <w:r>
        <w:rPr>
          <w:spacing w:val="-12"/>
          <w:sz w:val="21"/>
        </w:rPr>
        <w:t>的规定。</w:t>
      </w:r>
      <w:r>
        <w:rPr>
          <w:spacing w:val="-12"/>
          <w:sz w:val="21"/>
        </w:rPr>
        <w:t xml:space="preserve"> </w:t>
      </w:r>
    </w:p>
    <w:p w14:paraId="6B4C2071" w14:textId="77777777" w:rsidR="00A71EEF" w:rsidRDefault="0081115D">
      <w:pPr>
        <w:pStyle w:val="a4"/>
        <w:numPr>
          <w:ilvl w:val="2"/>
          <w:numId w:val="801"/>
        </w:numPr>
        <w:tabs>
          <w:tab w:val="left" w:pos="1478"/>
        </w:tabs>
        <w:spacing w:line="446" w:lineRule="auto"/>
        <w:ind w:right="1496" w:firstLine="422"/>
        <w:rPr>
          <w:sz w:val="21"/>
        </w:rPr>
      </w:pPr>
      <w:r>
        <w:rPr>
          <w:spacing w:val="-3"/>
          <w:sz w:val="21"/>
        </w:rPr>
        <w:t>目测检查消防车的焊接件焊点、焊缝外观是否平整、均匀，是否有明显的堆积及飞溅物，是否有漏焊、焊瘤、夹渣、裂纹、气孔、咬边、烧穿、凹坑、未焊满、塌焊等缺陷，判</w:t>
      </w:r>
      <w:r>
        <w:rPr>
          <w:spacing w:val="-8"/>
          <w:sz w:val="21"/>
        </w:rPr>
        <w:t>断试验结果是否符合</w:t>
      </w:r>
      <w:r>
        <w:rPr>
          <w:spacing w:val="-8"/>
          <w:sz w:val="21"/>
        </w:rPr>
        <w:t xml:space="preserve"> </w:t>
      </w:r>
      <w:r>
        <w:rPr>
          <w:sz w:val="21"/>
        </w:rPr>
        <w:t>5.16.3</w:t>
      </w:r>
      <w:r>
        <w:rPr>
          <w:spacing w:val="-13"/>
          <w:sz w:val="21"/>
        </w:rPr>
        <w:t xml:space="preserve"> </w:t>
      </w:r>
      <w:r>
        <w:rPr>
          <w:spacing w:val="-13"/>
          <w:sz w:val="21"/>
        </w:rPr>
        <w:t>的规定。</w:t>
      </w:r>
      <w:r>
        <w:rPr>
          <w:sz w:val="21"/>
        </w:rPr>
        <w:t xml:space="preserve"> </w:t>
      </w:r>
    </w:p>
    <w:p w14:paraId="628584B0" w14:textId="77777777" w:rsidR="00A71EEF" w:rsidRDefault="0081115D">
      <w:pPr>
        <w:pStyle w:val="a4"/>
        <w:numPr>
          <w:ilvl w:val="2"/>
          <w:numId w:val="801"/>
        </w:numPr>
        <w:tabs>
          <w:tab w:val="left" w:pos="1478"/>
        </w:tabs>
        <w:spacing w:line="268" w:lineRule="exact"/>
        <w:ind w:left="1477" w:hanging="638"/>
        <w:rPr>
          <w:sz w:val="21"/>
        </w:rPr>
      </w:pPr>
      <w:r>
        <w:rPr>
          <w:spacing w:val="-3"/>
          <w:sz w:val="21"/>
        </w:rPr>
        <w:t>目测检查消防车的塑料件表面色泽是否均匀，是否有明显的划伤、飞边、裂纹及凸</w:t>
      </w:r>
    </w:p>
    <w:p w14:paraId="374034AC" w14:textId="77777777" w:rsidR="00A71EEF" w:rsidRDefault="00A71EEF">
      <w:pPr>
        <w:spacing w:line="268" w:lineRule="exact"/>
        <w:rPr>
          <w:sz w:val="21"/>
        </w:rPr>
        <w:sectPr w:rsidR="00A71EEF">
          <w:pgSz w:w="11910" w:h="16850"/>
          <w:pgMar w:top="1220" w:right="0" w:bottom="1420" w:left="1260" w:header="0" w:footer="1239" w:gutter="0"/>
          <w:cols w:space="720"/>
        </w:sectPr>
      </w:pPr>
    </w:p>
    <w:p w14:paraId="35317111" w14:textId="77777777" w:rsidR="00A71EEF" w:rsidRDefault="0081115D">
      <w:pPr>
        <w:pStyle w:val="a3"/>
        <w:spacing w:before="47" w:line="446" w:lineRule="auto"/>
        <w:ind w:left="840" w:right="5394" w:hanging="423"/>
        <w:rPr>
          <w:b/>
        </w:rPr>
      </w:pPr>
      <w:r>
        <w:lastRenderedPageBreak/>
        <w:t>凹等缺陷，判断试验结果是否符合</w:t>
      </w:r>
      <w:r>
        <w:t xml:space="preserve"> 5.16.4 </w:t>
      </w:r>
      <w:r>
        <w:t>的规定。</w:t>
      </w:r>
      <w:r>
        <w:rPr>
          <w:b/>
        </w:rPr>
        <w:t xml:space="preserve">6.17 </w:t>
      </w:r>
      <w:r>
        <w:t>装置多种消防专用装置的消防车试验</w:t>
      </w:r>
      <w:r>
        <w:rPr>
          <w:b/>
          <w:w w:val="99"/>
        </w:rPr>
        <w:t xml:space="preserve"> </w:t>
      </w:r>
    </w:p>
    <w:p w14:paraId="44CB7710" w14:textId="77777777" w:rsidR="00A71EEF" w:rsidRDefault="0081115D">
      <w:pPr>
        <w:pStyle w:val="a3"/>
        <w:spacing w:line="446" w:lineRule="auto"/>
        <w:ind w:left="418" w:right="1609" w:firstLine="419"/>
      </w:pPr>
      <w:r>
        <w:t>消防车装备的各消防专用装置按照消防车系列标准中</w:t>
      </w:r>
      <w:r>
        <w:t>各部分规定的方法进行试验，判断试验结果是否符合消防车系列标准中各部分的技术要求。</w:t>
      </w:r>
      <w:r>
        <w:t xml:space="preserve"> </w:t>
      </w:r>
    </w:p>
    <w:p w14:paraId="4CA36B24" w14:textId="77777777" w:rsidR="00A71EEF" w:rsidRDefault="00A71EEF">
      <w:pPr>
        <w:pStyle w:val="a3"/>
        <w:spacing w:before="5"/>
        <w:rPr>
          <w:sz w:val="19"/>
        </w:rPr>
      </w:pPr>
    </w:p>
    <w:p w14:paraId="3452251C" w14:textId="77777777" w:rsidR="00A71EEF" w:rsidRDefault="0081115D">
      <w:pPr>
        <w:pStyle w:val="2"/>
        <w:spacing w:before="0"/>
        <w:ind w:left="2780"/>
        <w:jc w:val="left"/>
      </w:pPr>
      <w:bookmarkStart w:id="9" w:name="_bookmark9"/>
      <w:bookmarkEnd w:id="9"/>
      <w:r>
        <w:t>消防车</w:t>
      </w:r>
      <w:r>
        <w:t xml:space="preserve"> </w:t>
      </w:r>
      <w:r>
        <w:t>第</w:t>
      </w:r>
      <w:r>
        <w:t xml:space="preserve"> 2 </w:t>
      </w:r>
      <w:r>
        <w:t>部分：水罐消防车</w:t>
      </w:r>
      <w:r>
        <w:rPr>
          <w:w w:val="99"/>
        </w:rPr>
        <w:t xml:space="preserve"> </w:t>
      </w:r>
    </w:p>
    <w:p w14:paraId="4E6685A1" w14:textId="77777777" w:rsidR="00A71EEF" w:rsidRDefault="00A71EEF">
      <w:pPr>
        <w:pStyle w:val="a3"/>
        <w:spacing w:before="7"/>
        <w:rPr>
          <w:b/>
          <w:sz w:val="39"/>
        </w:rPr>
      </w:pPr>
    </w:p>
    <w:p w14:paraId="4E213EE3" w14:textId="77777777" w:rsidR="00A71EEF" w:rsidRDefault="0081115D">
      <w:pPr>
        <w:pStyle w:val="4"/>
      </w:pPr>
      <w:r>
        <w:t xml:space="preserve">1 </w:t>
      </w:r>
      <w:r>
        <w:t>范围</w:t>
      </w:r>
      <w:r>
        <w:rPr>
          <w:w w:val="99"/>
        </w:rPr>
        <w:t xml:space="preserve"> </w:t>
      </w:r>
    </w:p>
    <w:p w14:paraId="6C767CA7" w14:textId="77777777" w:rsidR="00A71EEF" w:rsidRDefault="00A71EEF">
      <w:pPr>
        <w:pStyle w:val="a3"/>
        <w:spacing w:before="4"/>
        <w:rPr>
          <w:b/>
          <w:sz w:val="17"/>
        </w:rPr>
      </w:pPr>
    </w:p>
    <w:p w14:paraId="18990BFB" w14:textId="77777777" w:rsidR="00A71EEF" w:rsidRDefault="0081115D">
      <w:pPr>
        <w:pStyle w:val="a3"/>
        <w:spacing w:line="446" w:lineRule="auto"/>
        <w:ind w:left="418" w:right="1661" w:firstLine="419"/>
      </w:pPr>
      <w:r>
        <w:t>GB 7956</w:t>
      </w:r>
      <w:r>
        <w:rPr>
          <w:spacing w:val="-8"/>
        </w:rPr>
        <w:t xml:space="preserve"> </w:t>
      </w:r>
      <w:r>
        <w:rPr>
          <w:spacing w:val="-8"/>
        </w:rPr>
        <w:t>的本部分规定了水罐消防车的术语和定义、技术要求、试验方法，检验规则及标</w:t>
      </w:r>
      <w:r>
        <w:rPr>
          <w:spacing w:val="-5"/>
        </w:rPr>
        <w:t>志、包装、</w:t>
      </w:r>
      <w:r>
        <w:rPr>
          <w:spacing w:val="-5"/>
        </w:rPr>
        <w:t xml:space="preserve"> </w:t>
      </w:r>
      <w:r>
        <w:rPr>
          <w:spacing w:val="-5"/>
        </w:rPr>
        <w:t>运输和储存。</w:t>
      </w:r>
      <w:r>
        <w:t xml:space="preserve"> </w:t>
      </w:r>
    </w:p>
    <w:p w14:paraId="426D52A8" w14:textId="77777777" w:rsidR="00A71EEF" w:rsidRDefault="0081115D">
      <w:pPr>
        <w:pStyle w:val="a3"/>
        <w:ind w:left="838"/>
      </w:pPr>
      <w:r>
        <w:t>本部分适用于水罐车消防车；供水消防车参照本部分执行。</w:t>
      </w:r>
      <w:r>
        <w:t xml:space="preserve"> </w:t>
      </w:r>
    </w:p>
    <w:p w14:paraId="7708D2E4" w14:textId="77777777" w:rsidR="00A71EEF" w:rsidRDefault="00A71EEF">
      <w:pPr>
        <w:pStyle w:val="a3"/>
        <w:spacing w:before="8"/>
        <w:rPr>
          <w:sz w:val="15"/>
        </w:rPr>
      </w:pPr>
    </w:p>
    <w:p w14:paraId="288F6932" w14:textId="77777777" w:rsidR="00A71EEF" w:rsidRDefault="0081115D">
      <w:pPr>
        <w:pStyle w:val="4"/>
      </w:pPr>
      <w:r>
        <w:t xml:space="preserve">2 </w:t>
      </w:r>
      <w:r>
        <w:t>规范性引用文件</w:t>
      </w:r>
      <w:r>
        <w:rPr>
          <w:w w:val="99"/>
        </w:rPr>
        <w:t xml:space="preserve"> </w:t>
      </w:r>
    </w:p>
    <w:p w14:paraId="20C35A17" w14:textId="77777777" w:rsidR="00A71EEF" w:rsidRDefault="00A71EEF">
      <w:pPr>
        <w:pStyle w:val="a3"/>
        <w:spacing w:before="4"/>
        <w:rPr>
          <w:b/>
          <w:sz w:val="17"/>
        </w:rPr>
      </w:pPr>
    </w:p>
    <w:p w14:paraId="0163DD4E" w14:textId="77777777" w:rsidR="00A71EEF" w:rsidRDefault="0081115D">
      <w:pPr>
        <w:pStyle w:val="a3"/>
        <w:spacing w:line="446" w:lineRule="auto"/>
        <w:ind w:left="418" w:right="1609" w:firstLine="419"/>
      </w:pPr>
      <w:r>
        <w:t>下列文件对于本文件的应用是必不可少的，凡是注日期的引用文件，仅注日期的版本适用于本文件。凡是不注日期的引用文件，其最新版本（包括所有的修改单</w:t>
      </w:r>
      <w:r>
        <w:t>)</w:t>
      </w:r>
      <w:r>
        <w:t>适用于本文件。</w:t>
      </w:r>
      <w:r>
        <w:t xml:space="preserve"> </w:t>
      </w:r>
    </w:p>
    <w:p w14:paraId="6F2DAE9B" w14:textId="77777777" w:rsidR="00A71EEF" w:rsidRDefault="0081115D">
      <w:pPr>
        <w:pStyle w:val="a3"/>
        <w:ind w:left="838"/>
      </w:pPr>
      <w:r>
        <w:t xml:space="preserve">GB/T 3181 </w:t>
      </w:r>
      <w:r>
        <w:t>漆膜颜色标准</w:t>
      </w:r>
      <w:r>
        <w:t xml:space="preserve"> </w:t>
      </w:r>
    </w:p>
    <w:p w14:paraId="46907622" w14:textId="77777777" w:rsidR="00A71EEF" w:rsidRDefault="00A71EEF">
      <w:pPr>
        <w:pStyle w:val="a3"/>
        <w:rPr>
          <w:sz w:val="18"/>
        </w:rPr>
      </w:pPr>
    </w:p>
    <w:p w14:paraId="2F10C51A" w14:textId="77777777" w:rsidR="00A71EEF" w:rsidRDefault="0081115D">
      <w:pPr>
        <w:pStyle w:val="a3"/>
        <w:spacing w:line="446" w:lineRule="auto"/>
        <w:ind w:left="838" w:right="4134"/>
      </w:pPr>
      <w:r>
        <w:t xml:space="preserve">GB 4351.1—2005 </w:t>
      </w:r>
      <w:r>
        <w:t>手提式灭火器</w:t>
      </w:r>
      <w:r>
        <w:t xml:space="preserve"> </w:t>
      </w:r>
      <w:r>
        <w:t>第</w:t>
      </w:r>
      <w:r>
        <w:t xml:space="preserve"> 1 </w:t>
      </w:r>
      <w:r>
        <w:t>部分：性能和结构要求</w:t>
      </w:r>
      <w:r>
        <w:t xml:space="preserve">GB 6245—2006 </w:t>
      </w:r>
      <w:r>
        <w:t>消防泵</w:t>
      </w:r>
      <w:r>
        <w:t xml:space="preserve"> </w:t>
      </w:r>
    </w:p>
    <w:p w14:paraId="31664C9D" w14:textId="77777777" w:rsidR="00A71EEF" w:rsidRDefault="0081115D">
      <w:pPr>
        <w:pStyle w:val="a3"/>
        <w:spacing w:line="446" w:lineRule="auto"/>
        <w:ind w:left="838" w:right="5077"/>
      </w:pPr>
      <w:r>
        <w:t xml:space="preserve">GB 7956.1-2014 </w:t>
      </w:r>
      <w:r>
        <w:t>消防车</w:t>
      </w:r>
      <w:r>
        <w:t xml:space="preserve"> </w:t>
      </w:r>
      <w:r>
        <w:t>第</w:t>
      </w:r>
      <w:r>
        <w:t xml:space="preserve"> 1 </w:t>
      </w:r>
      <w:r>
        <w:t>部分：通用技术条件</w:t>
      </w:r>
      <w:r>
        <w:t xml:space="preserve">GB 19156 </w:t>
      </w:r>
      <w:r>
        <w:t>消防炮通用技术条件</w:t>
      </w:r>
      <w:r>
        <w:t xml:space="preserve"> </w:t>
      </w:r>
    </w:p>
    <w:p w14:paraId="3C95F887" w14:textId="77777777" w:rsidR="00A71EEF" w:rsidRDefault="0081115D">
      <w:pPr>
        <w:pStyle w:val="4"/>
        <w:spacing w:line="277" w:lineRule="exact"/>
      </w:pPr>
      <w:r>
        <w:t xml:space="preserve">3 </w:t>
      </w:r>
      <w:r>
        <w:t>术语和定义</w:t>
      </w:r>
      <w:r>
        <w:rPr>
          <w:w w:val="99"/>
        </w:rPr>
        <w:t xml:space="preserve"> </w:t>
      </w:r>
    </w:p>
    <w:p w14:paraId="606C368C" w14:textId="77777777" w:rsidR="00A71EEF" w:rsidRDefault="00A71EEF">
      <w:pPr>
        <w:pStyle w:val="a3"/>
        <w:spacing w:before="4"/>
        <w:rPr>
          <w:b/>
          <w:sz w:val="17"/>
        </w:rPr>
      </w:pPr>
    </w:p>
    <w:p w14:paraId="32757B17" w14:textId="77777777" w:rsidR="00A71EEF" w:rsidRDefault="0081115D">
      <w:pPr>
        <w:pStyle w:val="a3"/>
        <w:spacing w:line="446" w:lineRule="auto"/>
        <w:ind w:left="418" w:right="1400" w:firstLine="419"/>
      </w:pPr>
      <w:r>
        <w:t>GB 6245</w:t>
      </w:r>
      <w:r>
        <w:rPr>
          <w:spacing w:val="-34"/>
        </w:rPr>
        <w:t xml:space="preserve"> </w:t>
      </w:r>
      <w:r>
        <w:rPr>
          <w:spacing w:val="-34"/>
        </w:rPr>
        <w:t>和</w:t>
      </w:r>
      <w:r>
        <w:rPr>
          <w:spacing w:val="-34"/>
        </w:rPr>
        <w:t xml:space="preserve"> </w:t>
      </w:r>
      <w:r>
        <w:t>GB7956.1</w:t>
      </w:r>
      <w:r>
        <w:rPr>
          <w:spacing w:val="-11"/>
        </w:rPr>
        <w:t xml:space="preserve"> </w:t>
      </w:r>
      <w:r>
        <w:rPr>
          <w:spacing w:val="-11"/>
        </w:rPr>
        <w:t>界定的术语和定义适用于本文件。为了便于使用，以下重复列出了</w:t>
      </w:r>
      <w:r>
        <w:rPr>
          <w:spacing w:val="-11"/>
        </w:rPr>
        <w:t xml:space="preserve"> </w:t>
      </w:r>
      <w:r>
        <w:t>GB 7956.1- 2014</w:t>
      </w:r>
      <w:r>
        <w:rPr>
          <w:spacing w:val="-9"/>
        </w:rPr>
        <w:t xml:space="preserve"> </w:t>
      </w:r>
      <w:r>
        <w:rPr>
          <w:spacing w:val="-9"/>
        </w:rPr>
        <w:t>中的某些术语和定义。</w:t>
      </w:r>
      <w:r>
        <w:t xml:space="preserve"> </w:t>
      </w:r>
    </w:p>
    <w:p w14:paraId="60000037" w14:textId="77777777" w:rsidR="00A71EEF" w:rsidRDefault="0081115D">
      <w:pPr>
        <w:pStyle w:val="a4"/>
        <w:numPr>
          <w:ilvl w:val="1"/>
          <w:numId w:val="800"/>
        </w:numPr>
        <w:tabs>
          <w:tab w:val="left" w:pos="1213"/>
        </w:tabs>
        <w:ind w:hanging="373"/>
        <w:rPr>
          <w:sz w:val="21"/>
        </w:rPr>
      </w:pPr>
      <w:r>
        <w:rPr>
          <w:spacing w:val="-3"/>
          <w:sz w:val="21"/>
        </w:rPr>
        <w:t>水罐消防车</w:t>
      </w:r>
      <w:r>
        <w:rPr>
          <w:spacing w:val="-3"/>
          <w:sz w:val="21"/>
        </w:rPr>
        <w:t xml:space="preserve"> </w:t>
      </w:r>
      <w:r>
        <w:rPr>
          <w:sz w:val="21"/>
        </w:rPr>
        <w:t>water</w:t>
      </w:r>
      <w:r>
        <w:rPr>
          <w:spacing w:val="1"/>
          <w:sz w:val="21"/>
        </w:rPr>
        <w:t xml:space="preserve"> </w:t>
      </w:r>
      <w:r>
        <w:rPr>
          <w:sz w:val="21"/>
        </w:rPr>
        <w:t>tank fire</w:t>
      </w:r>
      <w:r>
        <w:rPr>
          <w:spacing w:val="1"/>
          <w:sz w:val="21"/>
        </w:rPr>
        <w:t xml:space="preserve"> </w:t>
      </w:r>
      <w:r>
        <w:rPr>
          <w:sz w:val="21"/>
        </w:rPr>
        <w:t xml:space="preserve">fighting vehicle </w:t>
      </w:r>
    </w:p>
    <w:p w14:paraId="7B15162B" w14:textId="77777777" w:rsidR="00A71EEF" w:rsidRDefault="00A71EEF">
      <w:pPr>
        <w:pStyle w:val="a3"/>
        <w:spacing w:before="12"/>
        <w:rPr>
          <w:sz w:val="17"/>
        </w:rPr>
      </w:pPr>
    </w:p>
    <w:p w14:paraId="730067CE" w14:textId="77777777" w:rsidR="00A71EEF" w:rsidRDefault="0081115D">
      <w:pPr>
        <w:pStyle w:val="a3"/>
        <w:spacing w:line="446" w:lineRule="auto"/>
        <w:ind w:left="838" w:right="4237"/>
      </w:pPr>
      <w:r>
        <w:t>主要装备车用消防泵和水罐，以水为主要灭火剂的消防车。</w:t>
      </w:r>
      <w:r>
        <w:t>[GB 7956.1-2014</w:t>
      </w:r>
      <w:r>
        <w:t>，定义</w:t>
      </w:r>
      <w:r>
        <w:t xml:space="preserve"> 3.1.1] </w:t>
      </w:r>
    </w:p>
    <w:p w14:paraId="719B3129" w14:textId="77777777" w:rsidR="00A71EEF" w:rsidRDefault="0081115D">
      <w:pPr>
        <w:pStyle w:val="a4"/>
        <w:numPr>
          <w:ilvl w:val="1"/>
          <w:numId w:val="800"/>
        </w:numPr>
        <w:tabs>
          <w:tab w:val="left" w:pos="1159"/>
        </w:tabs>
        <w:ind w:left="1158" w:hanging="319"/>
        <w:rPr>
          <w:b/>
          <w:sz w:val="21"/>
        </w:rPr>
      </w:pPr>
      <w:r>
        <w:rPr>
          <w:spacing w:val="-3"/>
          <w:sz w:val="21"/>
        </w:rPr>
        <w:t>供水消防车</w:t>
      </w:r>
      <w:r>
        <w:rPr>
          <w:spacing w:val="-3"/>
          <w:sz w:val="21"/>
        </w:rPr>
        <w:t xml:space="preserve"> </w:t>
      </w:r>
      <w:r>
        <w:rPr>
          <w:sz w:val="21"/>
        </w:rPr>
        <w:t>water</w:t>
      </w:r>
      <w:r>
        <w:rPr>
          <w:spacing w:val="1"/>
          <w:sz w:val="21"/>
        </w:rPr>
        <w:t xml:space="preserve"> </w:t>
      </w:r>
      <w:r>
        <w:rPr>
          <w:sz w:val="21"/>
        </w:rPr>
        <w:t>supply fire</w:t>
      </w:r>
      <w:r>
        <w:rPr>
          <w:spacing w:val="-2"/>
          <w:sz w:val="21"/>
        </w:rPr>
        <w:t xml:space="preserve"> </w:t>
      </w:r>
      <w:r>
        <w:rPr>
          <w:sz w:val="21"/>
        </w:rPr>
        <w:t>fighting</w:t>
      </w:r>
      <w:r>
        <w:rPr>
          <w:spacing w:val="1"/>
          <w:sz w:val="21"/>
        </w:rPr>
        <w:t xml:space="preserve"> </w:t>
      </w:r>
      <w:r>
        <w:rPr>
          <w:sz w:val="21"/>
        </w:rPr>
        <w:t>vehicle</w:t>
      </w:r>
      <w:r>
        <w:rPr>
          <w:b/>
          <w:w w:val="99"/>
          <w:sz w:val="21"/>
        </w:rPr>
        <w:t xml:space="preserve"> </w:t>
      </w:r>
    </w:p>
    <w:p w14:paraId="69B9DE50" w14:textId="77777777" w:rsidR="00A71EEF" w:rsidRDefault="00A71EEF">
      <w:pPr>
        <w:pStyle w:val="a3"/>
        <w:rPr>
          <w:b/>
          <w:sz w:val="18"/>
        </w:rPr>
      </w:pPr>
    </w:p>
    <w:p w14:paraId="1A929CF9" w14:textId="77777777" w:rsidR="00A71EEF" w:rsidRDefault="0081115D">
      <w:pPr>
        <w:pStyle w:val="a3"/>
        <w:spacing w:line="446" w:lineRule="auto"/>
        <w:ind w:left="838" w:right="3397"/>
      </w:pPr>
      <w:r>
        <w:t>主要装备车用消防泵和大容量水罐，用于向灾害现场供水的消防车。</w:t>
      </w:r>
      <w:r>
        <w:t>[GB7956.1—2014</w:t>
      </w:r>
      <w:r>
        <w:t>，定义</w:t>
      </w:r>
      <w:r>
        <w:t xml:space="preserve"> 3.1.2] </w:t>
      </w:r>
    </w:p>
    <w:p w14:paraId="059CC43E" w14:textId="77777777" w:rsidR="00A71EEF" w:rsidRDefault="00A71EEF">
      <w:pPr>
        <w:spacing w:line="446" w:lineRule="auto"/>
        <w:sectPr w:rsidR="00A71EEF">
          <w:pgSz w:w="11910" w:h="16850"/>
          <w:pgMar w:top="1220" w:right="0" w:bottom="1420" w:left="1260" w:header="0" w:footer="1239" w:gutter="0"/>
          <w:cols w:space="720"/>
        </w:sectPr>
      </w:pPr>
    </w:p>
    <w:p w14:paraId="6A213272" w14:textId="77777777" w:rsidR="00A71EEF" w:rsidRDefault="0081115D">
      <w:pPr>
        <w:pStyle w:val="4"/>
        <w:spacing w:before="37"/>
      </w:pPr>
      <w:r>
        <w:lastRenderedPageBreak/>
        <w:t xml:space="preserve">4 </w:t>
      </w:r>
      <w:r>
        <w:t>技术要求</w:t>
      </w:r>
      <w:r>
        <w:rPr>
          <w:w w:val="99"/>
        </w:rPr>
        <w:t xml:space="preserve"> </w:t>
      </w:r>
    </w:p>
    <w:p w14:paraId="16993AE6" w14:textId="77777777" w:rsidR="00A71EEF" w:rsidRDefault="00A71EEF">
      <w:pPr>
        <w:pStyle w:val="a3"/>
        <w:spacing w:before="4"/>
        <w:rPr>
          <w:b/>
          <w:sz w:val="17"/>
        </w:rPr>
      </w:pPr>
    </w:p>
    <w:p w14:paraId="0F754A39" w14:textId="77777777" w:rsidR="00A71EEF" w:rsidRDefault="0081115D">
      <w:pPr>
        <w:pStyle w:val="a4"/>
        <w:numPr>
          <w:ilvl w:val="1"/>
          <w:numId w:val="799"/>
        </w:numPr>
        <w:tabs>
          <w:tab w:val="left" w:pos="1159"/>
        </w:tabs>
        <w:spacing w:before="1"/>
        <w:ind w:hanging="319"/>
        <w:rPr>
          <w:b/>
          <w:sz w:val="21"/>
        </w:rPr>
      </w:pPr>
      <w:r>
        <w:rPr>
          <w:spacing w:val="-3"/>
          <w:sz w:val="21"/>
        </w:rPr>
        <w:t>基本要求</w:t>
      </w:r>
      <w:r>
        <w:rPr>
          <w:b/>
          <w:w w:val="99"/>
          <w:sz w:val="21"/>
        </w:rPr>
        <w:t xml:space="preserve"> </w:t>
      </w:r>
    </w:p>
    <w:p w14:paraId="21AD16D2" w14:textId="77777777" w:rsidR="00A71EEF" w:rsidRDefault="00A71EEF">
      <w:pPr>
        <w:pStyle w:val="a3"/>
        <w:spacing w:before="12"/>
        <w:rPr>
          <w:b/>
          <w:sz w:val="17"/>
        </w:rPr>
      </w:pPr>
    </w:p>
    <w:p w14:paraId="08512CEA" w14:textId="77777777" w:rsidR="00A71EEF" w:rsidRDefault="0081115D">
      <w:pPr>
        <w:pStyle w:val="a3"/>
        <w:spacing w:line="446" w:lineRule="auto"/>
        <w:ind w:left="418" w:right="1767" w:firstLine="419"/>
      </w:pPr>
      <w:r>
        <w:t>水罐消防车（以下简称</w:t>
      </w:r>
      <w:r>
        <w:t>“</w:t>
      </w:r>
      <w:r>
        <w:t>水罐车</w:t>
      </w:r>
      <w:r>
        <w:t>"</w:t>
      </w:r>
      <w:r>
        <w:t>）、供水消防车（以下简称</w:t>
      </w:r>
      <w:r>
        <w:t>”</w:t>
      </w:r>
      <w:r>
        <w:t>供水车</w:t>
      </w:r>
      <w:r>
        <w:t>”</w:t>
      </w:r>
      <w:r>
        <w:t>）除应符合</w:t>
      </w:r>
      <w:r>
        <w:t xml:space="preserve"> GB 7956.1-2014 </w:t>
      </w:r>
      <w:r>
        <w:t>的通用技术要求外，还应符合本部分的要求。</w:t>
      </w:r>
      <w:r>
        <w:t xml:space="preserve"> </w:t>
      </w:r>
    </w:p>
    <w:p w14:paraId="2D34D072" w14:textId="77777777" w:rsidR="00A71EEF" w:rsidRDefault="0081115D">
      <w:pPr>
        <w:pStyle w:val="a4"/>
        <w:numPr>
          <w:ilvl w:val="1"/>
          <w:numId w:val="799"/>
        </w:numPr>
        <w:tabs>
          <w:tab w:val="left" w:pos="1159"/>
        </w:tabs>
        <w:ind w:hanging="319"/>
        <w:rPr>
          <w:sz w:val="21"/>
        </w:rPr>
      </w:pPr>
      <w:r>
        <w:rPr>
          <w:spacing w:val="-3"/>
          <w:sz w:val="21"/>
        </w:rPr>
        <w:t>整车要求</w:t>
      </w:r>
      <w:r>
        <w:rPr>
          <w:sz w:val="21"/>
        </w:rPr>
        <w:t xml:space="preserve"> </w:t>
      </w:r>
    </w:p>
    <w:p w14:paraId="5E2D6B2C" w14:textId="77777777" w:rsidR="00A71EEF" w:rsidRDefault="00A71EEF">
      <w:pPr>
        <w:pStyle w:val="a3"/>
        <w:spacing w:before="12"/>
        <w:rPr>
          <w:sz w:val="17"/>
        </w:rPr>
      </w:pPr>
    </w:p>
    <w:p w14:paraId="0F7554F3" w14:textId="77777777" w:rsidR="00A71EEF" w:rsidRDefault="0081115D">
      <w:pPr>
        <w:pStyle w:val="a4"/>
        <w:numPr>
          <w:ilvl w:val="2"/>
          <w:numId w:val="799"/>
        </w:numPr>
        <w:tabs>
          <w:tab w:val="left" w:pos="1370"/>
        </w:tabs>
        <w:ind w:hanging="530"/>
        <w:rPr>
          <w:sz w:val="21"/>
        </w:rPr>
      </w:pPr>
      <w:r>
        <w:rPr>
          <w:spacing w:val="-3"/>
          <w:sz w:val="21"/>
        </w:rPr>
        <w:t>一般要求</w:t>
      </w:r>
      <w:r>
        <w:rPr>
          <w:sz w:val="21"/>
        </w:rPr>
        <w:t xml:space="preserve"> </w:t>
      </w:r>
    </w:p>
    <w:p w14:paraId="23489937" w14:textId="77777777" w:rsidR="00A71EEF" w:rsidRDefault="00A71EEF">
      <w:pPr>
        <w:pStyle w:val="a3"/>
        <w:spacing w:before="2"/>
        <w:rPr>
          <w:sz w:val="18"/>
        </w:rPr>
      </w:pPr>
    </w:p>
    <w:p w14:paraId="332A8988" w14:textId="77777777" w:rsidR="00A71EEF" w:rsidRDefault="0081115D">
      <w:pPr>
        <w:pStyle w:val="a4"/>
        <w:numPr>
          <w:ilvl w:val="3"/>
          <w:numId w:val="799"/>
        </w:numPr>
        <w:tabs>
          <w:tab w:val="left" w:pos="1576"/>
        </w:tabs>
        <w:rPr>
          <w:sz w:val="21"/>
        </w:rPr>
      </w:pPr>
      <w:r>
        <w:rPr>
          <w:spacing w:val="-7"/>
          <w:sz w:val="21"/>
        </w:rPr>
        <w:t>燃油箱容量应满足满载行驶</w:t>
      </w:r>
      <w:r>
        <w:rPr>
          <w:spacing w:val="-7"/>
          <w:sz w:val="21"/>
        </w:rPr>
        <w:t xml:space="preserve"> </w:t>
      </w:r>
      <w:r>
        <w:rPr>
          <w:sz w:val="21"/>
        </w:rPr>
        <w:t>100km</w:t>
      </w:r>
      <w:r>
        <w:rPr>
          <w:spacing w:val="-8"/>
          <w:sz w:val="21"/>
        </w:rPr>
        <w:t xml:space="preserve"> </w:t>
      </w:r>
      <w:r>
        <w:rPr>
          <w:spacing w:val="-8"/>
          <w:sz w:val="21"/>
        </w:rPr>
        <w:t>后在消防车额定流量和出口压力下连续工作</w:t>
      </w:r>
    </w:p>
    <w:p w14:paraId="01EAE2E1" w14:textId="77777777" w:rsidR="00A71EEF" w:rsidRDefault="00A71EEF">
      <w:pPr>
        <w:pStyle w:val="a3"/>
        <w:rPr>
          <w:sz w:val="18"/>
        </w:rPr>
      </w:pPr>
    </w:p>
    <w:p w14:paraId="2B0E7542" w14:textId="77777777" w:rsidR="00A71EEF" w:rsidRDefault="0081115D">
      <w:pPr>
        <w:pStyle w:val="a3"/>
        <w:ind w:left="418"/>
      </w:pPr>
      <w:r>
        <w:t>2h</w:t>
      </w:r>
      <w:r>
        <w:t>。</w:t>
      </w:r>
      <w:r>
        <w:t xml:space="preserve"> </w:t>
      </w:r>
    </w:p>
    <w:p w14:paraId="64B51C33" w14:textId="77777777" w:rsidR="00A71EEF" w:rsidRDefault="00A71EEF">
      <w:pPr>
        <w:pStyle w:val="a3"/>
        <w:spacing w:before="12"/>
        <w:rPr>
          <w:sz w:val="17"/>
        </w:rPr>
      </w:pPr>
    </w:p>
    <w:p w14:paraId="1307BC5A" w14:textId="77777777" w:rsidR="00A71EEF" w:rsidRDefault="0081115D">
      <w:pPr>
        <w:pStyle w:val="a4"/>
        <w:numPr>
          <w:ilvl w:val="3"/>
          <w:numId w:val="799"/>
        </w:numPr>
        <w:tabs>
          <w:tab w:val="left" w:pos="1576"/>
        </w:tabs>
        <w:spacing w:line="446" w:lineRule="auto"/>
        <w:ind w:left="418" w:right="1402" w:firstLine="419"/>
        <w:rPr>
          <w:sz w:val="21"/>
        </w:rPr>
      </w:pPr>
      <w:r>
        <w:rPr>
          <w:spacing w:val="-2"/>
          <w:sz w:val="21"/>
        </w:rPr>
        <w:t>应有手控发动机转速控制器，控制器操作机构便于操作，并能保持稳定的发动机</w:t>
      </w:r>
      <w:r>
        <w:rPr>
          <w:spacing w:val="-2"/>
          <w:sz w:val="21"/>
        </w:rPr>
        <w:t xml:space="preserve"> </w:t>
      </w:r>
      <w:r>
        <w:rPr>
          <w:spacing w:val="-2"/>
          <w:sz w:val="21"/>
        </w:rPr>
        <w:t>转</w:t>
      </w:r>
      <w:r>
        <w:rPr>
          <w:spacing w:val="-3"/>
          <w:sz w:val="21"/>
        </w:rPr>
        <w:t>速，操作人</w:t>
      </w:r>
      <w:r>
        <w:rPr>
          <w:spacing w:val="-3"/>
          <w:sz w:val="21"/>
        </w:rPr>
        <w:t xml:space="preserve"> </w:t>
      </w:r>
      <w:r>
        <w:rPr>
          <w:spacing w:val="-3"/>
          <w:sz w:val="21"/>
        </w:rPr>
        <w:t>员在消防泵操作处应能看清所有压力显示装置、消防泵转速表以及其他指示器。</w:t>
      </w:r>
      <w:r>
        <w:rPr>
          <w:sz w:val="21"/>
        </w:rPr>
        <w:t xml:space="preserve"> </w:t>
      </w:r>
    </w:p>
    <w:p w14:paraId="2AD18AC9" w14:textId="77777777" w:rsidR="00A71EEF" w:rsidRDefault="0081115D">
      <w:pPr>
        <w:pStyle w:val="a4"/>
        <w:numPr>
          <w:ilvl w:val="3"/>
          <w:numId w:val="799"/>
        </w:numPr>
        <w:tabs>
          <w:tab w:val="left" w:pos="1576"/>
        </w:tabs>
        <w:rPr>
          <w:sz w:val="21"/>
        </w:rPr>
      </w:pPr>
      <w:r>
        <w:rPr>
          <w:spacing w:val="-3"/>
          <w:sz w:val="21"/>
        </w:rPr>
        <w:t>各自动控制机构应有手动应急措施。</w:t>
      </w:r>
      <w:r>
        <w:rPr>
          <w:sz w:val="21"/>
        </w:rPr>
        <w:t xml:space="preserve"> </w:t>
      </w:r>
    </w:p>
    <w:p w14:paraId="43C5FC70" w14:textId="77777777" w:rsidR="00A71EEF" w:rsidRDefault="00A71EEF">
      <w:pPr>
        <w:pStyle w:val="a3"/>
        <w:rPr>
          <w:sz w:val="18"/>
        </w:rPr>
      </w:pPr>
    </w:p>
    <w:p w14:paraId="1D72301A" w14:textId="77777777" w:rsidR="00A71EEF" w:rsidRDefault="0081115D">
      <w:pPr>
        <w:pStyle w:val="a4"/>
        <w:numPr>
          <w:ilvl w:val="3"/>
          <w:numId w:val="799"/>
        </w:numPr>
        <w:tabs>
          <w:tab w:val="left" w:pos="1576"/>
        </w:tabs>
        <w:rPr>
          <w:sz w:val="21"/>
        </w:rPr>
      </w:pPr>
      <w:r>
        <w:rPr>
          <w:spacing w:val="-5"/>
          <w:sz w:val="21"/>
        </w:rPr>
        <w:t>操作面板上消防泵出口和进口压力表连接处应提供测试用连接管，接口规格为</w:t>
      </w:r>
      <w:r>
        <w:rPr>
          <w:spacing w:val="-5"/>
          <w:sz w:val="21"/>
        </w:rPr>
        <w:t xml:space="preserve"> </w:t>
      </w:r>
      <w:r>
        <w:rPr>
          <w:sz w:val="21"/>
        </w:rPr>
        <w:t>M10</w:t>
      </w:r>
    </w:p>
    <w:p w14:paraId="40AC2000" w14:textId="77777777" w:rsidR="00A71EEF" w:rsidRDefault="00A71EEF">
      <w:pPr>
        <w:pStyle w:val="a3"/>
        <w:spacing w:before="2"/>
        <w:rPr>
          <w:sz w:val="18"/>
        </w:rPr>
      </w:pPr>
    </w:p>
    <w:p w14:paraId="26546F93" w14:textId="77777777" w:rsidR="00A71EEF" w:rsidRDefault="0081115D">
      <w:pPr>
        <w:pStyle w:val="a3"/>
        <w:spacing w:line="446" w:lineRule="auto"/>
        <w:ind w:left="838" w:right="1508" w:hanging="420"/>
      </w:pPr>
      <w:r>
        <w:t xml:space="preserve">×1.5mm </w:t>
      </w:r>
      <w:r>
        <w:t>的外螺纹，螺纹长度不小于</w:t>
      </w:r>
      <w:r>
        <w:t xml:space="preserve"> 15mm</w:t>
      </w:r>
      <w:r>
        <w:t>，接口位置应便于外接压力表的安装，井标注标识。</w:t>
      </w:r>
      <w:r>
        <w:t xml:space="preserve">4.2.1.5 </w:t>
      </w:r>
      <w:r>
        <w:t>主操作面板区域离地</w:t>
      </w:r>
      <w:r>
        <w:t xml:space="preserve"> 1.2m </w:t>
      </w:r>
      <w:r>
        <w:t>以上不应有大于</w:t>
      </w:r>
      <w:r>
        <w:t xml:space="preserve"> 65mm </w:t>
      </w:r>
      <w:r>
        <w:t>的出水口。</w:t>
      </w:r>
      <w:r>
        <w:t xml:space="preserve"> </w:t>
      </w:r>
    </w:p>
    <w:p w14:paraId="10493080" w14:textId="77777777" w:rsidR="00A71EEF" w:rsidRDefault="0081115D">
      <w:pPr>
        <w:pStyle w:val="a4"/>
        <w:numPr>
          <w:ilvl w:val="2"/>
          <w:numId w:val="799"/>
        </w:numPr>
        <w:tabs>
          <w:tab w:val="left" w:pos="1370"/>
        </w:tabs>
        <w:spacing w:line="267" w:lineRule="exact"/>
        <w:ind w:hanging="530"/>
        <w:rPr>
          <w:sz w:val="21"/>
        </w:rPr>
      </w:pPr>
      <w:r>
        <w:rPr>
          <w:spacing w:val="-3"/>
          <w:sz w:val="21"/>
        </w:rPr>
        <w:t>操作说明和标识</w:t>
      </w:r>
      <w:r>
        <w:rPr>
          <w:sz w:val="21"/>
        </w:rPr>
        <w:t xml:space="preserve"> </w:t>
      </w:r>
    </w:p>
    <w:p w14:paraId="62D646A9" w14:textId="77777777" w:rsidR="00A71EEF" w:rsidRDefault="00A71EEF">
      <w:pPr>
        <w:pStyle w:val="a3"/>
        <w:spacing w:before="2"/>
        <w:rPr>
          <w:sz w:val="18"/>
        </w:rPr>
      </w:pPr>
    </w:p>
    <w:p w14:paraId="5161A905" w14:textId="77777777" w:rsidR="00A71EEF" w:rsidRDefault="0081115D">
      <w:pPr>
        <w:pStyle w:val="a4"/>
        <w:numPr>
          <w:ilvl w:val="3"/>
          <w:numId w:val="799"/>
        </w:numPr>
        <w:tabs>
          <w:tab w:val="left" w:pos="1576"/>
        </w:tabs>
        <w:rPr>
          <w:sz w:val="21"/>
        </w:rPr>
      </w:pPr>
      <w:r>
        <w:rPr>
          <w:spacing w:val="-3"/>
          <w:sz w:val="21"/>
        </w:rPr>
        <w:t>操作面板应包括以下内容：</w:t>
      </w:r>
      <w:r>
        <w:rPr>
          <w:sz w:val="21"/>
        </w:rPr>
        <w:t xml:space="preserve"> </w:t>
      </w:r>
    </w:p>
    <w:p w14:paraId="2A9E06AD" w14:textId="77777777" w:rsidR="00A71EEF" w:rsidRDefault="00A71EEF">
      <w:pPr>
        <w:pStyle w:val="a3"/>
        <w:spacing w:before="12"/>
        <w:rPr>
          <w:sz w:val="17"/>
        </w:rPr>
      </w:pPr>
    </w:p>
    <w:p w14:paraId="0B72D6DE" w14:textId="77777777" w:rsidR="00A71EEF" w:rsidRDefault="0081115D">
      <w:pPr>
        <w:pStyle w:val="a3"/>
        <w:ind w:left="838"/>
      </w:pPr>
      <w:r>
        <w:rPr>
          <w:spacing w:val="-3"/>
        </w:rPr>
        <w:t>——</w:t>
      </w:r>
      <w:r>
        <w:rPr>
          <w:spacing w:val="-3"/>
        </w:rPr>
        <w:t>消防泵额定流量和出口压力数值及操作说明；</w:t>
      </w:r>
      <w:r>
        <w:t xml:space="preserve"> </w:t>
      </w:r>
    </w:p>
    <w:p w14:paraId="4FA9C915" w14:textId="77777777" w:rsidR="00A71EEF" w:rsidRDefault="00A71EEF">
      <w:pPr>
        <w:pStyle w:val="a3"/>
        <w:spacing w:before="12"/>
        <w:rPr>
          <w:sz w:val="17"/>
        </w:rPr>
      </w:pPr>
    </w:p>
    <w:p w14:paraId="3F93FA94" w14:textId="77777777" w:rsidR="00A71EEF" w:rsidRDefault="0081115D">
      <w:pPr>
        <w:pStyle w:val="a3"/>
        <w:ind w:left="838"/>
      </w:pPr>
      <w:r>
        <w:rPr>
          <w:spacing w:val="-3"/>
        </w:rPr>
        <w:t>——</w:t>
      </w:r>
      <w:r>
        <w:rPr>
          <w:spacing w:val="-3"/>
        </w:rPr>
        <w:t>消防泵出口压力显示</w:t>
      </w:r>
      <w:r>
        <w:t>（</w:t>
      </w:r>
      <w:r>
        <w:rPr>
          <w:spacing w:val="-10"/>
        </w:rPr>
        <w:t>精度不低于</w:t>
      </w:r>
      <w:r>
        <w:rPr>
          <w:spacing w:val="-10"/>
        </w:rPr>
        <w:t xml:space="preserve"> </w:t>
      </w:r>
      <w:r>
        <w:t>2.5</w:t>
      </w:r>
      <w:r>
        <w:rPr>
          <w:spacing w:val="-23"/>
        </w:rPr>
        <w:t xml:space="preserve"> </w:t>
      </w:r>
      <w:r>
        <w:rPr>
          <w:spacing w:val="-23"/>
        </w:rPr>
        <w:t>级</w:t>
      </w:r>
      <w:r>
        <w:t>）；</w:t>
      </w:r>
      <w:r>
        <w:t xml:space="preserve"> </w:t>
      </w:r>
    </w:p>
    <w:p w14:paraId="2B00D257" w14:textId="77777777" w:rsidR="00A71EEF" w:rsidRDefault="00A71EEF">
      <w:pPr>
        <w:pStyle w:val="a3"/>
        <w:spacing w:before="2"/>
        <w:rPr>
          <w:sz w:val="18"/>
        </w:rPr>
      </w:pPr>
    </w:p>
    <w:p w14:paraId="59920D86" w14:textId="77777777" w:rsidR="00A71EEF" w:rsidRDefault="0081115D">
      <w:pPr>
        <w:pStyle w:val="a3"/>
        <w:ind w:left="838"/>
      </w:pPr>
      <w:r>
        <w:rPr>
          <w:spacing w:val="-3"/>
        </w:rPr>
        <w:t>——</w:t>
      </w:r>
      <w:r>
        <w:rPr>
          <w:spacing w:val="-3"/>
        </w:rPr>
        <w:t>消防泵进口压力显示</w:t>
      </w:r>
      <w:r>
        <w:t>（</w:t>
      </w:r>
      <w:r>
        <w:rPr>
          <w:spacing w:val="-10"/>
        </w:rPr>
        <w:t>精度不低于</w:t>
      </w:r>
      <w:r>
        <w:rPr>
          <w:spacing w:val="-10"/>
        </w:rPr>
        <w:t xml:space="preserve"> </w:t>
      </w:r>
      <w:r>
        <w:t>2.5</w:t>
      </w:r>
      <w:r>
        <w:rPr>
          <w:spacing w:val="-23"/>
        </w:rPr>
        <w:t xml:space="preserve"> </w:t>
      </w:r>
      <w:r>
        <w:rPr>
          <w:spacing w:val="-23"/>
        </w:rPr>
        <w:t>级</w:t>
      </w:r>
      <w:r>
        <w:t>）；</w:t>
      </w:r>
      <w:r>
        <w:t xml:space="preserve"> </w:t>
      </w:r>
    </w:p>
    <w:p w14:paraId="531DB72E" w14:textId="77777777" w:rsidR="00A71EEF" w:rsidRDefault="00A71EEF">
      <w:pPr>
        <w:pStyle w:val="a3"/>
        <w:rPr>
          <w:sz w:val="18"/>
        </w:rPr>
      </w:pPr>
    </w:p>
    <w:p w14:paraId="36092FF6" w14:textId="77777777" w:rsidR="00A71EEF" w:rsidRDefault="0081115D">
      <w:pPr>
        <w:pStyle w:val="a3"/>
        <w:ind w:left="838"/>
      </w:pPr>
      <w:r>
        <w:t>——</w:t>
      </w:r>
      <w:r>
        <w:t>消防泵转速显示及累计工柞时间显示；</w:t>
      </w:r>
      <w:r>
        <w:t xml:space="preserve"> </w:t>
      </w:r>
    </w:p>
    <w:p w14:paraId="1981B873" w14:textId="77777777" w:rsidR="00A71EEF" w:rsidRDefault="00A71EEF">
      <w:pPr>
        <w:pStyle w:val="a3"/>
        <w:rPr>
          <w:sz w:val="18"/>
        </w:rPr>
      </w:pPr>
    </w:p>
    <w:p w14:paraId="208DE394" w14:textId="77777777" w:rsidR="00A71EEF" w:rsidRDefault="0081115D">
      <w:pPr>
        <w:pStyle w:val="a3"/>
        <w:ind w:left="838"/>
      </w:pPr>
      <w:r>
        <w:rPr>
          <w:spacing w:val="-3"/>
        </w:rPr>
        <w:t>——</w:t>
      </w:r>
      <w:r>
        <w:rPr>
          <w:spacing w:val="-3"/>
        </w:rPr>
        <w:t>水罐的液位显示；</w:t>
      </w:r>
      <w:r>
        <w:t xml:space="preserve"> </w:t>
      </w:r>
    </w:p>
    <w:p w14:paraId="7E606965" w14:textId="77777777" w:rsidR="00A71EEF" w:rsidRDefault="00A71EEF">
      <w:pPr>
        <w:pStyle w:val="a3"/>
        <w:spacing w:before="2"/>
        <w:rPr>
          <w:sz w:val="18"/>
        </w:rPr>
      </w:pPr>
    </w:p>
    <w:p w14:paraId="53B85694" w14:textId="77777777" w:rsidR="00A71EEF" w:rsidRDefault="0081115D">
      <w:pPr>
        <w:pStyle w:val="a3"/>
        <w:ind w:left="838"/>
      </w:pPr>
      <w:r>
        <w:rPr>
          <w:spacing w:val="-3"/>
        </w:rPr>
        <w:t>——</w:t>
      </w:r>
      <w:r>
        <w:rPr>
          <w:spacing w:val="-3"/>
        </w:rPr>
        <w:t>发动机水温显示；</w:t>
      </w:r>
      <w:r>
        <w:t xml:space="preserve"> </w:t>
      </w:r>
    </w:p>
    <w:p w14:paraId="61DE5497" w14:textId="77777777" w:rsidR="00A71EEF" w:rsidRDefault="00A71EEF">
      <w:pPr>
        <w:pStyle w:val="a3"/>
        <w:spacing w:before="12"/>
        <w:rPr>
          <w:sz w:val="17"/>
        </w:rPr>
      </w:pPr>
    </w:p>
    <w:p w14:paraId="2960031E" w14:textId="77777777" w:rsidR="00A71EEF" w:rsidRDefault="0081115D">
      <w:pPr>
        <w:pStyle w:val="a3"/>
        <w:ind w:left="838"/>
      </w:pPr>
      <w:r>
        <w:t>——</w:t>
      </w:r>
      <w:r>
        <w:t>发动机机油温度显示；</w:t>
      </w:r>
      <w:r>
        <w:t xml:space="preserve"> </w:t>
      </w:r>
    </w:p>
    <w:p w14:paraId="63645CB4" w14:textId="77777777" w:rsidR="00A71EEF" w:rsidRDefault="00A71EEF">
      <w:pPr>
        <w:pStyle w:val="a3"/>
        <w:spacing w:before="12"/>
        <w:rPr>
          <w:sz w:val="17"/>
        </w:rPr>
      </w:pPr>
    </w:p>
    <w:p w14:paraId="1C45582F" w14:textId="77777777" w:rsidR="00A71EEF" w:rsidRDefault="0081115D">
      <w:pPr>
        <w:pStyle w:val="a3"/>
        <w:ind w:left="838"/>
      </w:pPr>
      <w:r>
        <w:t>——</w:t>
      </w:r>
      <w:r>
        <w:t>面板上仪表及开关的用途说明牌；</w:t>
      </w:r>
      <w:r>
        <w:t xml:space="preserve"> </w:t>
      </w:r>
    </w:p>
    <w:p w14:paraId="2B54C10B" w14:textId="77777777" w:rsidR="00A71EEF" w:rsidRDefault="00A71EEF">
      <w:pPr>
        <w:pStyle w:val="a3"/>
        <w:spacing w:before="2"/>
        <w:rPr>
          <w:sz w:val="18"/>
        </w:rPr>
      </w:pPr>
    </w:p>
    <w:p w14:paraId="6D7E7EC9" w14:textId="77777777" w:rsidR="00A71EEF" w:rsidRDefault="0081115D">
      <w:pPr>
        <w:pStyle w:val="a3"/>
        <w:ind w:left="838"/>
      </w:pPr>
      <w:r>
        <w:t>——</w:t>
      </w:r>
      <w:r>
        <w:t>紧急停止按钮。</w:t>
      </w:r>
      <w:r>
        <w:t xml:space="preserve"> </w:t>
      </w:r>
    </w:p>
    <w:p w14:paraId="28D2E347" w14:textId="77777777" w:rsidR="00A71EEF" w:rsidRDefault="00A71EEF">
      <w:pPr>
        <w:pStyle w:val="a3"/>
        <w:rPr>
          <w:sz w:val="18"/>
        </w:rPr>
      </w:pPr>
    </w:p>
    <w:p w14:paraId="3D65D0D1" w14:textId="77777777" w:rsidR="00A71EEF" w:rsidRDefault="0081115D">
      <w:pPr>
        <w:pStyle w:val="a4"/>
        <w:numPr>
          <w:ilvl w:val="3"/>
          <w:numId w:val="799"/>
        </w:numPr>
        <w:tabs>
          <w:tab w:val="left" w:pos="1576"/>
        </w:tabs>
        <w:rPr>
          <w:sz w:val="21"/>
        </w:rPr>
      </w:pPr>
      <w:r>
        <w:rPr>
          <w:spacing w:val="-3"/>
          <w:sz w:val="21"/>
        </w:rPr>
        <w:t>操柞面板上应有水管路系统简图及基本操作说明。</w:t>
      </w:r>
      <w:r>
        <w:rPr>
          <w:sz w:val="21"/>
        </w:rPr>
        <w:t xml:space="preserve"> </w:t>
      </w:r>
    </w:p>
    <w:p w14:paraId="0608BA58" w14:textId="77777777" w:rsidR="00A71EEF" w:rsidRDefault="00A71EEF">
      <w:pPr>
        <w:pStyle w:val="a3"/>
        <w:rPr>
          <w:sz w:val="18"/>
        </w:rPr>
      </w:pPr>
    </w:p>
    <w:p w14:paraId="17E18256" w14:textId="77777777" w:rsidR="00A71EEF" w:rsidRDefault="0081115D">
      <w:pPr>
        <w:pStyle w:val="a4"/>
        <w:numPr>
          <w:ilvl w:val="3"/>
          <w:numId w:val="799"/>
        </w:numPr>
        <w:tabs>
          <w:tab w:val="left" w:pos="1576"/>
        </w:tabs>
        <w:rPr>
          <w:sz w:val="21"/>
        </w:rPr>
      </w:pPr>
      <w:r>
        <w:rPr>
          <w:spacing w:val="-3"/>
          <w:sz w:val="21"/>
        </w:rPr>
        <w:t>在水罐注水口处应设有</w:t>
      </w:r>
      <w:r>
        <w:rPr>
          <w:spacing w:val="-3"/>
          <w:sz w:val="21"/>
        </w:rPr>
        <w:t>“</w:t>
      </w:r>
      <w:r>
        <w:rPr>
          <w:spacing w:val="-3"/>
          <w:sz w:val="21"/>
        </w:rPr>
        <w:t>水罐注水口</w:t>
      </w:r>
      <w:r>
        <w:rPr>
          <w:spacing w:val="-3"/>
          <w:sz w:val="21"/>
        </w:rPr>
        <w:t>”</w:t>
      </w:r>
      <w:r>
        <w:rPr>
          <w:spacing w:val="-3"/>
          <w:sz w:val="21"/>
        </w:rPr>
        <w:t>字祥的标牌，标牌应永久固定。</w:t>
      </w:r>
      <w:r>
        <w:rPr>
          <w:spacing w:val="-3"/>
          <w:sz w:val="21"/>
        </w:rPr>
        <w:t xml:space="preserve"> </w:t>
      </w:r>
    </w:p>
    <w:p w14:paraId="4151D1D8" w14:textId="77777777" w:rsidR="00A71EEF" w:rsidRDefault="00A71EEF">
      <w:pPr>
        <w:pStyle w:val="a3"/>
        <w:spacing w:before="2"/>
        <w:rPr>
          <w:sz w:val="18"/>
        </w:rPr>
      </w:pPr>
    </w:p>
    <w:p w14:paraId="7AEC1293" w14:textId="77777777" w:rsidR="00A71EEF" w:rsidRDefault="0081115D">
      <w:pPr>
        <w:pStyle w:val="a4"/>
        <w:numPr>
          <w:ilvl w:val="1"/>
          <w:numId w:val="799"/>
        </w:numPr>
        <w:tabs>
          <w:tab w:val="left" w:pos="1159"/>
        </w:tabs>
        <w:ind w:hanging="319"/>
        <w:rPr>
          <w:b/>
          <w:sz w:val="21"/>
        </w:rPr>
      </w:pPr>
      <w:r>
        <w:rPr>
          <w:spacing w:val="-3"/>
          <w:sz w:val="21"/>
        </w:rPr>
        <w:t>底盘改制要求</w:t>
      </w:r>
      <w:r>
        <w:rPr>
          <w:b/>
          <w:w w:val="99"/>
          <w:sz w:val="21"/>
        </w:rPr>
        <w:t xml:space="preserve"> </w:t>
      </w:r>
    </w:p>
    <w:p w14:paraId="4D9179B4" w14:textId="77777777" w:rsidR="00A71EEF" w:rsidRDefault="00A71EEF">
      <w:pPr>
        <w:rPr>
          <w:sz w:val="21"/>
        </w:rPr>
        <w:sectPr w:rsidR="00A71EEF">
          <w:pgSz w:w="11910" w:h="16850"/>
          <w:pgMar w:top="1200" w:right="0" w:bottom="1420" w:left="1260" w:header="0" w:footer="1239" w:gutter="0"/>
          <w:cols w:space="720"/>
        </w:sectPr>
      </w:pPr>
    </w:p>
    <w:p w14:paraId="60F6C23C" w14:textId="77777777" w:rsidR="00A71EEF" w:rsidRDefault="0081115D">
      <w:pPr>
        <w:pStyle w:val="a3"/>
        <w:spacing w:before="47"/>
        <w:ind w:left="840"/>
      </w:pPr>
      <w:r>
        <w:rPr>
          <w:b/>
        </w:rPr>
        <w:lastRenderedPageBreak/>
        <w:t xml:space="preserve">4.3.1 </w:t>
      </w:r>
      <w:r>
        <w:t>底盘改制应符合</w:t>
      </w:r>
      <w:r>
        <w:t xml:space="preserve"> GB 7956.1 </w:t>
      </w:r>
      <w:r>
        <w:t>一</w:t>
      </w:r>
      <w:r>
        <w:t xml:space="preserve"> 2014 </w:t>
      </w:r>
      <w:r>
        <w:t>中</w:t>
      </w:r>
      <w:r>
        <w:t xml:space="preserve"> 5.4 </w:t>
      </w:r>
      <w:r>
        <w:t>的要求。</w:t>
      </w:r>
      <w:r>
        <w:t xml:space="preserve"> </w:t>
      </w:r>
    </w:p>
    <w:p w14:paraId="75865B73" w14:textId="77777777" w:rsidR="00A71EEF" w:rsidRDefault="00A71EEF">
      <w:pPr>
        <w:pStyle w:val="a3"/>
        <w:rPr>
          <w:sz w:val="18"/>
        </w:rPr>
      </w:pPr>
    </w:p>
    <w:p w14:paraId="3E6F3AF2" w14:textId="77777777" w:rsidR="00A71EEF" w:rsidRDefault="0081115D">
      <w:pPr>
        <w:pStyle w:val="a3"/>
        <w:ind w:left="840"/>
      </w:pPr>
      <w:r>
        <w:rPr>
          <w:b/>
        </w:rPr>
        <w:t xml:space="preserve">4.3.2 </w:t>
      </w:r>
      <w:r>
        <w:t>当罐体直接安裝在底盘上时，应保证罐体与底盘弹性联接且不与底盘直接接触。</w:t>
      </w:r>
      <w:r>
        <w:t xml:space="preserve"> </w:t>
      </w:r>
    </w:p>
    <w:p w14:paraId="4C352C9B" w14:textId="77777777" w:rsidR="00A71EEF" w:rsidRDefault="00A71EEF">
      <w:pPr>
        <w:pStyle w:val="a3"/>
        <w:rPr>
          <w:sz w:val="18"/>
        </w:rPr>
      </w:pPr>
    </w:p>
    <w:p w14:paraId="2EFD1638" w14:textId="77777777" w:rsidR="00A71EEF" w:rsidRDefault="0081115D">
      <w:pPr>
        <w:pStyle w:val="a4"/>
        <w:numPr>
          <w:ilvl w:val="1"/>
          <w:numId w:val="799"/>
        </w:numPr>
        <w:tabs>
          <w:tab w:val="left" w:pos="1159"/>
        </w:tabs>
        <w:ind w:hanging="319"/>
        <w:rPr>
          <w:b/>
          <w:sz w:val="21"/>
        </w:rPr>
      </w:pPr>
      <w:r>
        <w:rPr>
          <w:spacing w:val="-3"/>
          <w:sz w:val="21"/>
        </w:rPr>
        <w:t>消防水力系统的要求</w:t>
      </w:r>
      <w:r>
        <w:rPr>
          <w:b/>
          <w:w w:val="99"/>
          <w:sz w:val="21"/>
        </w:rPr>
        <w:t xml:space="preserve"> </w:t>
      </w:r>
    </w:p>
    <w:p w14:paraId="3E4A2900" w14:textId="77777777" w:rsidR="00A71EEF" w:rsidRDefault="00A71EEF">
      <w:pPr>
        <w:pStyle w:val="a3"/>
        <w:spacing w:before="1"/>
        <w:rPr>
          <w:b/>
          <w:sz w:val="18"/>
        </w:rPr>
      </w:pPr>
    </w:p>
    <w:p w14:paraId="3E13C9DB" w14:textId="77777777" w:rsidR="00A71EEF" w:rsidRDefault="0081115D">
      <w:pPr>
        <w:pStyle w:val="a4"/>
        <w:numPr>
          <w:ilvl w:val="2"/>
          <w:numId w:val="799"/>
        </w:numPr>
        <w:tabs>
          <w:tab w:val="left" w:pos="1370"/>
        </w:tabs>
        <w:spacing w:before="1"/>
        <w:ind w:hanging="530"/>
        <w:rPr>
          <w:sz w:val="24"/>
        </w:rPr>
      </w:pPr>
      <w:r>
        <w:rPr>
          <w:spacing w:val="40"/>
          <w:sz w:val="21"/>
        </w:rPr>
        <w:t>消防泵</w:t>
      </w:r>
      <w:r>
        <w:rPr>
          <w:spacing w:val="-48"/>
          <w:sz w:val="21"/>
        </w:rPr>
        <w:t xml:space="preserve"> </w:t>
      </w:r>
      <w:r>
        <w:rPr>
          <w:sz w:val="24"/>
        </w:rPr>
        <w:t xml:space="preserve"> </w:t>
      </w:r>
    </w:p>
    <w:p w14:paraId="18339CC5" w14:textId="77777777" w:rsidR="00A71EEF" w:rsidRDefault="00A71EEF">
      <w:pPr>
        <w:pStyle w:val="a3"/>
        <w:spacing w:before="12"/>
        <w:rPr>
          <w:sz w:val="17"/>
        </w:rPr>
      </w:pPr>
    </w:p>
    <w:p w14:paraId="0F11EC9D" w14:textId="77777777" w:rsidR="00A71EEF" w:rsidRDefault="0081115D">
      <w:pPr>
        <w:pStyle w:val="a4"/>
        <w:numPr>
          <w:ilvl w:val="3"/>
          <w:numId w:val="799"/>
        </w:numPr>
        <w:tabs>
          <w:tab w:val="left" w:pos="1576"/>
        </w:tabs>
        <w:rPr>
          <w:sz w:val="21"/>
        </w:rPr>
      </w:pPr>
      <w:r>
        <w:rPr>
          <w:spacing w:val="-8"/>
          <w:sz w:val="21"/>
        </w:rPr>
        <w:t>选用的车用消防泵应符合</w:t>
      </w:r>
      <w:r>
        <w:rPr>
          <w:spacing w:val="-8"/>
          <w:sz w:val="21"/>
        </w:rPr>
        <w:t xml:space="preserve"> </w:t>
      </w:r>
      <w:r>
        <w:rPr>
          <w:sz w:val="21"/>
        </w:rPr>
        <w:t>GB</w:t>
      </w:r>
      <w:r>
        <w:rPr>
          <w:spacing w:val="1"/>
          <w:sz w:val="21"/>
        </w:rPr>
        <w:t xml:space="preserve"> </w:t>
      </w:r>
      <w:r>
        <w:rPr>
          <w:sz w:val="21"/>
        </w:rPr>
        <w:t>6245-2006</w:t>
      </w:r>
      <w:r>
        <w:rPr>
          <w:spacing w:val="-10"/>
          <w:sz w:val="21"/>
        </w:rPr>
        <w:t xml:space="preserve"> </w:t>
      </w:r>
      <w:r>
        <w:rPr>
          <w:spacing w:val="-10"/>
          <w:sz w:val="21"/>
        </w:rPr>
        <w:t>的相关规定</w:t>
      </w:r>
      <w:r>
        <w:rPr>
          <w:spacing w:val="-10"/>
          <w:sz w:val="21"/>
        </w:rPr>
        <w:t>.</w:t>
      </w:r>
      <w:r>
        <w:rPr>
          <w:sz w:val="21"/>
        </w:rPr>
        <w:t xml:space="preserve"> </w:t>
      </w:r>
    </w:p>
    <w:p w14:paraId="3DAEFB9B" w14:textId="77777777" w:rsidR="00A71EEF" w:rsidRDefault="00A71EEF">
      <w:pPr>
        <w:pStyle w:val="a3"/>
        <w:spacing w:before="12"/>
        <w:rPr>
          <w:sz w:val="17"/>
        </w:rPr>
      </w:pPr>
    </w:p>
    <w:p w14:paraId="7CF74877" w14:textId="77777777" w:rsidR="00A71EEF" w:rsidRDefault="0081115D">
      <w:pPr>
        <w:pStyle w:val="a4"/>
        <w:numPr>
          <w:ilvl w:val="3"/>
          <w:numId w:val="799"/>
        </w:numPr>
        <w:tabs>
          <w:tab w:val="left" w:pos="1576"/>
        </w:tabs>
        <w:rPr>
          <w:sz w:val="21"/>
        </w:rPr>
      </w:pPr>
      <w:r>
        <w:rPr>
          <w:spacing w:val="-3"/>
          <w:sz w:val="21"/>
        </w:rPr>
        <w:t>消防泵的放余水装置应操作方便，并应直接将余水排至车外。</w:t>
      </w:r>
      <w:r>
        <w:rPr>
          <w:sz w:val="21"/>
        </w:rPr>
        <w:t xml:space="preserve"> </w:t>
      </w:r>
    </w:p>
    <w:p w14:paraId="35A3F14C" w14:textId="77777777" w:rsidR="00A71EEF" w:rsidRDefault="00A71EEF">
      <w:pPr>
        <w:pStyle w:val="a3"/>
        <w:spacing w:before="2"/>
        <w:rPr>
          <w:sz w:val="18"/>
        </w:rPr>
      </w:pPr>
    </w:p>
    <w:p w14:paraId="6D6CB205" w14:textId="77777777" w:rsidR="00A71EEF" w:rsidRDefault="0081115D">
      <w:pPr>
        <w:pStyle w:val="a4"/>
        <w:numPr>
          <w:ilvl w:val="3"/>
          <w:numId w:val="799"/>
        </w:numPr>
        <w:tabs>
          <w:tab w:val="left" w:pos="1576"/>
        </w:tabs>
        <w:rPr>
          <w:sz w:val="21"/>
        </w:rPr>
      </w:pPr>
      <w:r>
        <w:rPr>
          <w:spacing w:val="-3"/>
          <w:sz w:val="21"/>
        </w:rPr>
        <w:t>消防泵与发动机功率匹配应：</w:t>
      </w:r>
      <w:r>
        <w:rPr>
          <w:sz w:val="21"/>
        </w:rPr>
        <w:t xml:space="preserve"> </w:t>
      </w:r>
    </w:p>
    <w:p w14:paraId="7DF6599B" w14:textId="77777777" w:rsidR="00A71EEF" w:rsidRDefault="00A71EEF">
      <w:pPr>
        <w:pStyle w:val="a3"/>
        <w:rPr>
          <w:sz w:val="18"/>
        </w:rPr>
      </w:pPr>
    </w:p>
    <w:p w14:paraId="6ED88FCF" w14:textId="77777777" w:rsidR="00A71EEF" w:rsidRDefault="0081115D">
      <w:pPr>
        <w:pStyle w:val="a3"/>
        <w:spacing w:line="446" w:lineRule="auto"/>
        <w:ind w:left="418" w:right="1391" w:firstLine="419"/>
      </w:pPr>
      <w:r>
        <w:t>——</w:t>
      </w:r>
      <w:r>
        <w:t>消坊泵额定工况轴功率与发动机额定功率之比：汽袖机不应大于</w:t>
      </w:r>
      <w:r>
        <w:t xml:space="preserve"> 55%</w:t>
      </w:r>
      <w:r>
        <w:t>；柴油机不应大于</w:t>
      </w:r>
      <w:r>
        <w:t>60%</w:t>
      </w:r>
      <w:r>
        <w:t>；</w:t>
      </w:r>
      <w:r>
        <w:t xml:space="preserve"> </w:t>
      </w:r>
    </w:p>
    <w:p w14:paraId="0511E5D3" w14:textId="77777777" w:rsidR="00A71EEF" w:rsidRDefault="0081115D">
      <w:pPr>
        <w:spacing w:line="446" w:lineRule="auto"/>
        <w:ind w:left="840" w:right="6390" w:hanging="3"/>
        <w:rPr>
          <w:b/>
          <w:sz w:val="21"/>
        </w:rPr>
      </w:pPr>
      <w:r>
        <w:rPr>
          <w:sz w:val="21"/>
        </w:rPr>
        <w:t>——</w:t>
      </w:r>
      <w:r>
        <w:rPr>
          <w:sz w:val="21"/>
        </w:rPr>
        <w:t>取力器的增速比不应大于</w:t>
      </w:r>
      <w:r>
        <w:rPr>
          <w:sz w:val="21"/>
        </w:rPr>
        <w:t xml:space="preserve"> 1.5</w:t>
      </w:r>
      <w:r>
        <w:rPr>
          <w:sz w:val="21"/>
        </w:rPr>
        <w:t>。</w:t>
      </w:r>
      <w:r>
        <w:rPr>
          <w:b/>
          <w:sz w:val="21"/>
        </w:rPr>
        <w:t xml:space="preserve">4.4.2 </w:t>
      </w:r>
      <w:r>
        <w:rPr>
          <w:sz w:val="21"/>
        </w:rPr>
        <w:t>消防管路</w:t>
      </w:r>
      <w:r>
        <w:rPr>
          <w:b/>
          <w:w w:val="99"/>
          <w:sz w:val="21"/>
        </w:rPr>
        <w:t xml:space="preserve"> </w:t>
      </w:r>
    </w:p>
    <w:p w14:paraId="1AAA793D" w14:textId="77777777" w:rsidR="00A71EEF" w:rsidRDefault="0081115D">
      <w:pPr>
        <w:pStyle w:val="a4"/>
        <w:numPr>
          <w:ilvl w:val="3"/>
          <w:numId w:val="798"/>
        </w:numPr>
        <w:tabs>
          <w:tab w:val="left" w:pos="1576"/>
        </w:tabs>
        <w:spacing w:line="267" w:lineRule="exact"/>
        <w:rPr>
          <w:sz w:val="21"/>
        </w:rPr>
      </w:pPr>
      <w:r>
        <w:rPr>
          <w:spacing w:val="-3"/>
          <w:sz w:val="21"/>
        </w:rPr>
        <w:t>一般要求</w:t>
      </w:r>
      <w:r>
        <w:rPr>
          <w:sz w:val="21"/>
        </w:rPr>
        <w:t xml:space="preserve"> </w:t>
      </w:r>
    </w:p>
    <w:p w14:paraId="18F9EBBC" w14:textId="77777777" w:rsidR="00A71EEF" w:rsidRDefault="00A71EEF">
      <w:pPr>
        <w:pStyle w:val="a3"/>
        <w:spacing w:before="2"/>
        <w:rPr>
          <w:sz w:val="18"/>
        </w:rPr>
      </w:pPr>
    </w:p>
    <w:p w14:paraId="46D54537" w14:textId="77777777" w:rsidR="00A71EEF" w:rsidRDefault="0081115D">
      <w:pPr>
        <w:pStyle w:val="a4"/>
        <w:numPr>
          <w:ilvl w:val="4"/>
          <w:numId w:val="798"/>
        </w:numPr>
        <w:tabs>
          <w:tab w:val="left" w:pos="1788"/>
        </w:tabs>
        <w:rPr>
          <w:sz w:val="21"/>
        </w:rPr>
      </w:pPr>
      <w:r>
        <w:rPr>
          <w:spacing w:val="-3"/>
          <w:sz w:val="21"/>
        </w:rPr>
        <w:t>所有管路应采用耐腐蚀材料或采取防腐蚀措施。</w:t>
      </w:r>
      <w:r>
        <w:rPr>
          <w:sz w:val="21"/>
        </w:rPr>
        <w:t xml:space="preserve"> </w:t>
      </w:r>
    </w:p>
    <w:p w14:paraId="7ECD387A" w14:textId="77777777" w:rsidR="00A71EEF" w:rsidRDefault="00A71EEF">
      <w:pPr>
        <w:pStyle w:val="a3"/>
        <w:rPr>
          <w:sz w:val="18"/>
        </w:rPr>
      </w:pPr>
    </w:p>
    <w:p w14:paraId="21FC96EF" w14:textId="77777777" w:rsidR="00A71EEF" w:rsidRDefault="0081115D">
      <w:pPr>
        <w:pStyle w:val="a4"/>
        <w:numPr>
          <w:ilvl w:val="4"/>
          <w:numId w:val="798"/>
        </w:numPr>
        <w:tabs>
          <w:tab w:val="left" w:pos="1788"/>
        </w:tabs>
        <w:rPr>
          <w:sz w:val="21"/>
        </w:rPr>
      </w:pPr>
      <w:r>
        <w:rPr>
          <w:spacing w:val="-3"/>
          <w:sz w:val="21"/>
        </w:rPr>
        <w:t>管路布置应便于消防泵及传动机构的维护和保养。</w:t>
      </w:r>
      <w:r>
        <w:rPr>
          <w:sz w:val="21"/>
        </w:rPr>
        <w:t xml:space="preserve"> </w:t>
      </w:r>
    </w:p>
    <w:p w14:paraId="723716FA" w14:textId="77777777" w:rsidR="00A71EEF" w:rsidRDefault="00A71EEF">
      <w:pPr>
        <w:pStyle w:val="a3"/>
        <w:spacing w:before="12"/>
        <w:rPr>
          <w:sz w:val="17"/>
        </w:rPr>
      </w:pPr>
    </w:p>
    <w:p w14:paraId="467971F3" w14:textId="77777777" w:rsidR="00A71EEF" w:rsidRDefault="0081115D">
      <w:pPr>
        <w:pStyle w:val="a4"/>
        <w:numPr>
          <w:ilvl w:val="4"/>
          <w:numId w:val="798"/>
        </w:numPr>
        <w:tabs>
          <w:tab w:val="left" w:pos="1788"/>
        </w:tabs>
        <w:rPr>
          <w:sz w:val="21"/>
        </w:rPr>
      </w:pPr>
      <w:r>
        <w:rPr>
          <w:spacing w:val="-5"/>
          <w:sz w:val="21"/>
        </w:rPr>
        <w:t>消防管路应采用不同颜色区分，进水管路和水罐至消防泵的输水管路应为</w:t>
      </w:r>
      <w:r>
        <w:rPr>
          <w:spacing w:val="-5"/>
          <w:sz w:val="21"/>
        </w:rPr>
        <w:t xml:space="preserve"> </w:t>
      </w:r>
      <w:r>
        <w:rPr>
          <w:sz w:val="21"/>
        </w:rPr>
        <w:t xml:space="preserve">GB/T </w:t>
      </w:r>
    </w:p>
    <w:p w14:paraId="3C155E4E" w14:textId="77777777" w:rsidR="00A71EEF" w:rsidRDefault="00A71EEF">
      <w:pPr>
        <w:pStyle w:val="a3"/>
        <w:spacing w:before="2"/>
        <w:rPr>
          <w:sz w:val="18"/>
        </w:rPr>
      </w:pPr>
    </w:p>
    <w:p w14:paraId="1ACFA6D0" w14:textId="77777777" w:rsidR="00A71EEF" w:rsidRDefault="0081115D">
      <w:pPr>
        <w:pStyle w:val="a3"/>
        <w:ind w:left="418"/>
      </w:pPr>
      <w:r>
        <w:t xml:space="preserve">3181 </w:t>
      </w:r>
      <w:r>
        <w:t>规定的</w:t>
      </w:r>
      <w:r>
        <w:t xml:space="preserve"> G05 </w:t>
      </w:r>
      <w:r>
        <w:t>深绿色，出水管路应为</w:t>
      </w:r>
      <w:r>
        <w:t xml:space="preserve"> GB/T 3181 </w:t>
      </w:r>
      <w:r>
        <w:t>规定的</w:t>
      </w:r>
      <w:r>
        <w:t xml:space="preserve"> R03 </w:t>
      </w:r>
      <w:r>
        <w:t>大红色。</w:t>
      </w:r>
      <w:r>
        <w:t xml:space="preserve"> </w:t>
      </w:r>
    </w:p>
    <w:p w14:paraId="2B3F3030" w14:textId="77777777" w:rsidR="00A71EEF" w:rsidRDefault="00A71EEF">
      <w:pPr>
        <w:pStyle w:val="a3"/>
        <w:rPr>
          <w:sz w:val="18"/>
        </w:rPr>
      </w:pPr>
    </w:p>
    <w:p w14:paraId="322864E0" w14:textId="77777777" w:rsidR="00A71EEF" w:rsidRDefault="0081115D">
      <w:pPr>
        <w:pStyle w:val="a4"/>
        <w:numPr>
          <w:ilvl w:val="3"/>
          <w:numId w:val="798"/>
        </w:numPr>
        <w:tabs>
          <w:tab w:val="left" w:pos="1576"/>
        </w:tabs>
        <w:rPr>
          <w:sz w:val="21"/>
        </w:rPr>
      </w:pPr>
      <w:r>
        <w:rPr>
          <w:spacing w:val="-3"/>
          <w:sz w:val="21"/>
        </w:rPr>
        <w:t>消防泵进水管路</w:t>
      </w:r>
      <w:r>
        <w:rPr>
          <w:sz w:val="21"/>
        </w:rPr>
        <w:t xml:space="preserve"> </w:t>
      </w:r>
    </w:p>
    <w:p w14:paraId="52B2AB22" w14:textId="77777777" w:rsidR="00A71EEF" w:rsidRDefault="00A71EEF">
      <w:pPr>
        <w:pStyle w:val="a3"/>
        <w:spacing w:before="12"/>
        <w:rPr>
          <w:sz w:val="17"/>
        </w:rPr>
      </w:pPr>
    </w:p>
    <w:p w14:paraId="2B5C1550" w14:textId="77777777" w:rsidR="00A71EEF" w:rsidRDefault="0081115D">
      <w:pPr>
        <w:pStyle w:val="a4"/>
        <w:numPr>
          <w:ilvl w:val="4"/>
          <w:numId w:val="798"/>
        </w:numPr>
        <w:tabs>
          <w:tab w:val="left" w:pos="1788"/>
        </w:tabs>
        <w:spacing w:line="446" w:lineRule="auto"/>
        <w:ind w:left="418" w:right="1609" w:firstLine="419"/>
        <w:rPr>
          <w:sz w:val="21"/>
        </w:rPr>
      </w:pPr>
      <w:r>
        <w:rPr>
          <w:spacing w:val="-3"/>
          <w:sz w:val="21"/>
        </w:rPr>
        <w:t>当消防泵进水口设在侧面时、应在车辆两侧均设进水口，单侧进水口应满足消防车额定压力和流量要求。</w:t>
      </w:r>
      <w:r>
        <w:rPr>
          <w:spacing w:val="-3"/>
          <w:sz w:val="21"/>
        </w:rPr>
        <w:t xml:space="preserve"> </w:t>
      </w:r>
    </w:p>
    <w:p w14:paraId="06AA6F5D" w14:textId="77777777" w:rsidR="00A71EEF" w:rsidRDefault="0081115D">
      <w:pPr>
        <w:pStyle w:val="a4"/>
        <w:numPr>
          <w:ilvl w:val="4"/>
          <w:numId w:val="798"/>
        </w:numPr>
        <w:tabs>
          <w:tab w:val="left" w:pos="1788"/>
        </w:tabs>
        <w:spacing w:before="1"/>
        <w:rPr>
          <w:sz w:val="21"/>
        </w:rPr>
      </w:pPr>
      <w:r>
        <w:rPr>
          <w:spacing w:val="-10"/>
          <w:sz w:val="21"/>
        </w:rPr>
        <w:t>额定流量不小于</w:t>
      </w:r>
      <w:r>
        <w:rPr>
          <w:spacing w:val="-10"/>
          <w:sz w:val="21"/>
        </w:rPr>
        <w:t xml:space="preserve"> </w:t>
      </w:r>
      <w:r>
        <w:rPr>
          <w:sz w:val="21"/>
        </w:rPr>
        <w:t>100L/s</w:t>
      </w:r>
      <w:r>
        <w:rPr>
          <w:spacing w:val="-9"/>
          <w:sz w:val="21"/>
        </w:rPr>
        <w:t xml:space="preserve"> </w:t>
      </w:r>
      <w:r>
        <w:rPr>
          <w:spacing w:val="-9"/>
          <w:sz w:val="21"/>
        </w:rPr>
        <w:t>的消防车进水管路应设置阀门。</w:t>
      </w:r>
      <w:r>
        <w:rPr>
          <w:sz w:val="21"/>
        </w:rPr>
        <w:t xml:space="preserve"> </w:t>
      </w:r>
    </w:p>
    <w:p w14:paraId="537EF955" w14:textId="77777777" w:rsidR="00A71EEF" w:rsidRDefault="00A71EEF">
      <w:pPr>
        <w:pStyle w:val="a3"/>
        <w:spacing w:before="12"/>
        <w:rPr>
          <w:sz w:val="17"/>
        </w:rPr>
      </w:pPr>
    </w:p>
    <w:p w14:paraId="493014B6" w14:textId="77777777" w:rsidR="00A71EEF" w:rsidRDefault="0081115D">
      <w:pPr>
        <w:pStyle w:val="a4"/>
        <w:numPr>
          <w:ilvl w:val="4"/>
          <w:numId w:val="798"/>
        </w:numPr>
        <w:tabs>
          <w:tab w:val="left" w:pos="1788"/>
        </w:tabs>
        <w:rPr>
          <w:sz w:val="21"/>
        </w:rPr>
      </w:pPr>
      <w:r>
        <w:rPr>
          <w:spacing w:val="-10"/>
          <w:sz w:val="21"/>
        </w:rPr>
        <w:t>进水管路应保证</w:t>
      </w:r>
      <w:r>
        <w:rPr>
          <w:spacing w:val="-10"/>
          <w:sz w:val="21"/>
        </w:rPr>
        <w:t xml:space="preserve"> </w:t>
      </w:r>
      <w:r>
        <w:rPr>
          <w:sz w:val="21"/>
        </w:rPr>
        <w:t>45s</w:t>
      </w:r>
      <w:r>
        <w:rPr>
          <w:spacing w:val="-9"/>
          <w:sz w:val="21"/>
        </w:rPr>
        <w:t xml:space="preserve"> </w:t>
      </w:r>
      <w:r>
        <w:rPr>
          <w:spacing w:val="-9"/>
          <w:sz w:val="21"/>
        </w:rPr>
        <w:t>内能够放尽进水管路内的余水。</w:t>
      </w:r>
      <w:r>
        <w:rPr>
          <w:sz w:val="21"/>
        </w:rPr>
        <w:t xml:space="preserve"> </w:t>
      </w:r>
    </w:p>
    <w:p w14:paraId="549753FF" w14:textId="77777777" w:rsidR="00A71EEF" w:rsidRDefault="00A71EEF">
      <w:pPr>
        <w:pStyle w:val="a3"/>
        <w:spacing w:before="2"/>
        <w:rPr>
          <w:sz w:val="18"/>
        </w:rPr>
      </w:pPr>
    </w:p>
    <w:p w14:paraId="4C7E3B39" w14:textId="77777777" w:rsidR="00A71EEF" w:rsidRDefault="0081115D">
      <w:pPr>
        <w:pStyle w:val="a4"/>
        <w:numPr>
          <w:ilvl w:val="4"/>
          <w:numId w:val="798"/>
        </w:numPr>
        <w:tabs>
          <w:tab w:val="left" w:pos="1788"/>
        </w:tabs>
        <w:spacing w:line="446" w:lineRule="auto"/>
        <w:ind w:left="418" w:right="1505" w:firstLine="419"/>
        <w:rPr>
          <w:sz w:val="21"/>
        </w:rPr>
      </w:pPr>
      <w:r>
        <w:rPr>
          <w:spacing w:val="-3"/>
          <w:sz w:val="21"/>
        </w:rPr>
        <w:t>消防泵的每个进水口和吸水管之间应安装抗腐蚀性滤网，滤网的过流面积不应降低消防泵</w:t>
      </w:r>
      <w:r>
        <w:rPr>
          <w:spacing w:val="-3"/>
          <w:sz w:val="21"/>
        </w:rPr>
        <w:t xml:space="preserve"> </w:t>
      </w:r>
      <w:r>
        <w:rPr>
          <w:spacing w:val="-3"/>
          <w:sz w:val="21"/>
        </w:rPr>
        <w:t>的额定压力和流盘。滤网上的孔不应通过：</w:t>
      </w:r>
      <w:r>
        <w:rPr>
          <w:sz w:val="21"/>
        </w:rPr>
        <w:t xml:space="preserve"> </w:t>
      </w:r>
    </w:p>
    <w:p w14:paraId="21B2CE87" w14:textId="77777777" w:rsidR="00A71EEF" w:rsidRDefault="0081115D">
      <w:pPr>
        <w:pStyle w:val="a3"/>
        <w:spacing w:line="267" w:lineRule="exact"/>
        <w:ind w:left="838"/>
      </w:pPr>
      <w:r>
        <w:t>——</w:t>
      </w:r>
      <w:r>
        <w:t>对于额定流量不大于</w:t>
      </w:r>
      <w:r>
        <w:t xml:space="preserve"> 30L/s </w:t>
      </w:r>
      <w:r>
        <w:t>的消防泵，大于或等于</w:t>
      </w:r>
      <w:r>
        <w:t xml:space="preserve"> 8mm </w:t>
      </w:r>
      <w:r>
        <w:t>的颗粒。</w:t>
      </w:r>
      <w:r>
        <w:t xml:space="preserve"> </w:t>
      </w:r>
    </w:p>
    <w:p w14:paraId="63A9DC32" w14:textId="77777777" w:rsidR="00A71EEF" w:rsidRDefault="00A71EEF">
      <w:pPr>
        <w:pStyle w:val="a3"/>
        <w:spacing w:before="2"/>
        <w:rPr>
          <w:sz w:val="18"/>
        </w:rPr>
      </w:pPr>
    </w:p>
    <w:p w14:paraId="06714B20" w14:textId="77777777" w:rsidR="00A71EEF" w:rsidRDefault="0081115D">
      <w:pPr>
        <w:pStyle w:val="a3"/>
        <w:spacing w:line="446" w:lineRule="auto"/>
        <w:ind w:left="838" w:right="3505"/>
      </w:pPr>
      <w:r>
        <w:rPr>
          <w:spacing w:val="-8"/>
        </w:rPr>
        <w:t>——</w:t>
      </w:r>
      <w:r>
        <w:rPr>
          <w:spacing w:val="-8"/>
        </w:rPr>
        <w:t>对于额定流量大于</w:t>
      </w:r>
      <w:r>
        <w:rPr>
          <w:spacing w:val="-8"/>
        </w:rPr>
        <w:t xml:space="preserve"> </w:t>
      </w:r>
      <w:r>
        <w:t>30L/s</w:t>
      </w:r>
      <w:r>
        <w:rPr>
          <w:spacing w:val="-13"/>
        </w:rPr>
        <w:t xml:space="preserve"> </w:t>
      </w:r>
      <w:r>
        <w:rPr>
          <w:spacing w:val="-13"/>
        </w:rPr>
        <w:t>的消防泵，大于或等于</w:t>
      </w:r>
      <w:r>
        <w:rPr>
          <w:spacing w:val="-13"/>
        </w:rPr>
        <w:t xml:space="preserve"> </w:t>
      </w:r>
      <w:r>
        <w:t>13mm</w:t>
      </w:r>
      <w:r>
        <w:rPr>
          <w:spacing w:val="-13"/>
        </w:rPr>
        <w:t xml:space="preserve"> </w:t>
      </w:r>
      <w:r>
        <w:rPr>
          <w:spacing w:val="-13"/>
        </w:rPr>
        <w:t>的颗粒。</w:t>
      </w:r>
      <w:r>
        <w:t>4.4.2.2.5</w:t>
      </w:r>
      <w:r>
        <w:rPr>
          <w:spacing w:val="-5"/>
        </w:rPr>
        <w:t xml:space="preserve"> </w:t>
      </w:r>
      <w:r>
        <w:rPr>
          <w:spacing w:val="-5"/>
        </w:rPr>
        <w:t>应配置吸水管，每车携带的吸水管长度不应小于</w:t>
      </w:r>
      <w:r>
        <w:rPr>
          <w:spacing w:val="-5"/>
        </w:rPr>
        <w:t xml:space="preserve"> </w:t>
      </w:r>
      <w:r>
        <w:t>8m</w:t>
      </w:r>
      <w:r>
        <w:rPr>
          <w:spacing w:val="-3"/>
        </w:rPr>
        <w:t>。</w:t>
      </w:r>
      <w:r>
        <w:t xml:space="preserve"> </w:t>
      </w:r>
    </w:p>
    <w:p w14:paraId="435BBFC0" w14:textId="77777777" w:rsidR="00A71EEF" w:rsidRDefault="0081115D">
      <w:pPr>
        <w:pStyle w:val="a4"/>
        <w:numPr>
          <w:ilvl w:val="3"/>
          <w:numId w:val="797"/>
        </w:numPr>
        <w:tabs>
          <w:tab w:val="left" w:pos="1576"/>
        </w:tabs>
        <w:spacing w:line="267" w:lineRule="exact"/>
        <w:rPr>
          <w:sz w:val="21"/>
        </w:rPr>
      </w:pPr>
      <w:r>
        <w:rPr>
          <w:spacing w:val="-3"/>
          <w:sz w:val="21"/>
        </w:rPr>
        <w:t>6</w:t>
      </w:r>
      <w:r>
        <w:rPr>
          <w:spacing w:val="-9"/>
          <w:sz w:val="21"/>
        </w:rPr>
        <w:t xml:space="preserve"> </w:t>
      </w:r>
      <w:r>
        <w:rPr>
          <w:spacing w:val="-9"/>
          <w:sz w:val="21"/>
        </w:rPr>
        <w:t>进水管路在</w:t>
      </w:r>
      <w:r>
        <w:rPr>
          <w:spacing w:val="-9"/>
          <w:sz w:val="21"/>
        </w:rPr>
        <w:t xml:space="preserve"> </w:t>
      </w:r>
      <w:r>
        <w:rPr>
          <w:sz w:val="21"/>
        </w:rPr>
        <w:t>0.8MPa</w:t>
      </w:r>
      <w:r>
        <w:rPr>
          <w:spacing w:val="-9"/>
          <w:sz w:val="21"/>
        </w:rPr>
        <w:t xml:space="preserve"> </w:t>
      </w:r>
      <w:r>
        <w:rPr>
          <w:spacing w:val="-9"/>
          <w:sz w:val="21"/>
        </w:rPr>
        <w:t>压力下不应出现管路漏水、冒汗、密封件渗漏等现象；在</w:t>
      </w:r>
    </w:p>
    <w:p w14:paraId="31D7FA46" w14:textId="77777777" w:rsidR="00A71EEF" w:rsidRDefault="00A71EEF">
      <w:pPr>
        <w:pStyle w:val="a3"/>
        <w:spacing w:before="1"/>
        <w:rPr>
          <w:sz w:val="18"/>
        </w:rPr>
      </w:pPr>
    </w:p>
    <w:p w14:paraId="45A91AE2" w14:textId="77777777" w:rsidR="00A71EEF" w:rsidRDefault="0081115D">
      <w:pPr>
        <w:pStyle w:val="a3"/>
        <w:spacing w:before="1"/>
        <w:ind w:left="418"/>
      </w:pPr>
      <w:r>
        <w:t xml:space="preserve">1.2MPa </w:t>
      </w:r>
      <w:r>
        <w:t>压力下不应破裂，不应产生影响正常使用的永久变形。</w:t>
      </w:r>
      <w:r>
        <w:t xml:space="preserve"> </w:t>
      </w:r>
    </w:p>
    <w:p w14:paraId="03792693" w14:textId="77777777" w:rsidR="00A71EEF" w:rsidRDefault="00A71EEF">
      <w:pPr>
        <w:sectPr w:rsidR="00A71EEF">
          <w:pgSz w:w="11910" w:h="16850"/>
          <w:pgMar w:top="1220" w:right="0" w:bottom="1420" w:left="1260" w:header="0" w:footer="1239" w:gutter="0"/>
          <w:cols w:space="720"/>
        </w:sectPr>
      </w:pPr>
    </w:p>
    <w:p w14:paraId="59C97A0B" w14:textId="77777777" w:rsidR="00A71EEF" w:rsidRDefault="0081115D">
      <w:pPr>
        <w:pStyle w:val="a4"/>
        <w:numPr>
          <w:ilvl w:val="3"/>
          <w:numId w:val="797"/>
        </w:numPr>
        <w:tabs>
          <w:tab w:val="left" w:pos="1576"/>
        </w:tabs>
        <w:spacing w:before="47"/>
        <w:rPr>
          <w:sz w:val="21"/>
        </w:rPr>
      </w:pPr>
      <w:r>
        <w:rPr>
          <w:spacing w:val="-3"/>
          <w:sz w:val="21"/>
        </w:rPr>
        <w:lastRenderedPageBreak/>
        <w:t>消防泵出水管路</w:t>
      </w:r>
      <w:r>
        <w:rPr>
          <w:sz w:val="21"/>
        </w:rPr>
        <w:t xml:space="preserve"> </w:t>
      </w:r>
    </w:p>
    <w:p w14:paraId="215BCB05" w14:textId="77777777" w:rsidR="00A71EEF" w:rsidRDefault="00A71EEF">
      <w:pPr>
        <w:pStyle w:val="a3"/>
        <w:rPr>
          <w:sz w:val="18"/>
        </w:rPr>
      </w:pPr>
    </w:p>
    <w:p w14:paraId="59883C2E" w14:textId="77777777" w:rsidR="00A71EEF" w:rsidRDefault="0081115D">
      <w:pPr>
        <w:pStyle w:val="a3"/>
        <w:ind w:left="838"/>
      </w:pPr>
      <w:r>
        <w:t xml:space="preserve">4.4.2,3.1 </w:t>
      </w:r>
      <w:r>
        <w:t>出水管路的通径和数量应保证消防车在额定工况下的出水流量。</w:t>
      </w:r>
      <w:r>
        <w:t xml:space="preserve"> </w:t>
      </w:r>
    </w:p>
    <w:p w14:paraId="5A79A7D8" w14:textId="77777777" w:rsidR="00A71EEF" w:rsidRDefault="00A71EEF">
      <w:pPr>
        <w:pStyle w:val="a3"/>
        <w:rPr>
          <w:sz w:val="18"/>
        </w:rPr>
      </w:pPr>
    </w:p>
    <w:p w14:paraId="08290255" w14:textId="77777777" w:rsidR="00A71EEF" w:rsidRDefault="0081115D">
      <w:pPr>
        <w:pStyle w:val="a3"/>
        <w:ind w:left="838"/>
      </w:pPr>
      <w:r>
        <w:t xml:space="preserve">4.4.2,3 2 </w:t>
      </w:r>
      <w:r>
        <w:t>出水管路应保证</w:t>
      </w:r>
      <w:r>
        <w:t xml:space="preserve"> 45s </w:t>
      </w:r>
      <w:r>
        <w:t>内能够放尽出水管路内的佘水，放余水应方便操作。</w:t>
      </w:r>
      <w:r>
        <w:t xml:space="preserve"> </w:t>
      </w:r>
    </w:p>
    <w:p w14:paraId="284B29D5" w14:textId="77777777" w:rsidR="00A71EEF" w:rsidRDefault="00A71EEF">
      <w:pPr>
        <w:pStyle w:val="a3"/>
        <w:spacing w:before="1"/>
        <w:rPr>
          <w:sz w:val="18"/>
        </w:rPr>
      </w:pPr>
    </w:p>
    <w:p w14:paraId="669097A2" w14:textId="77777777" w:rsidR="00A71EEF" w:rsidRDefault="0081115D">
      <w:pPr>
        <w:pStyle w:val="a3"/>
        <w:spacing w:before="1" w:line="446" w:lineRule="auto"/>
        <w:ind w:left="418" w:right="1505" w:firstLine="419"/>
      </w:pPr>
      <w:r>
        <w:t>4J.2.3.3</w:t>
      </w:r>
      <w:r>
        <w:rPr>
          <w:spacing w:val="-6"/>
        </w:rPr>
        <w:t xml:space="preserve"> </w:t>
      </w:r>
      <w:r>
        <w:rPr>
          <w:spacing w:val="-6"/>
        </w:rPr>
        <w:t>出水口中心离地高度大于</w:t>
      </w:r>
      <w:r>
        <w:rPr>
          <w:spacing w:val="-6"/>
        </w:rPr>
        <w:t xml:space="preserve"> </w:t>
      </w:r>
      <w:r>
        <w:t>1.2m</w:t>
      </w:r>
      <w:r>
        <w:rPr>
          <w:spacing w:val="-8"/>
        </w:rPr>
        <w:t xml:space="preserve"> </w:t>
      </w:r>
      <w:r>
        <w:rPr>
          <w:spacing w:val="-8"/>
        </w:rPr>
        <w:t>时，出水口应向下倾斜，且离操作踏板上平面的</w:t>
      </w:r>
      <w:r>
        <w:rPr>
          <w:spacing w:val="-12"/>
        </w:rPr>
        <w:t>高度不应大于</w:t>
      </w:r>
      <w:r>
        <w:rPr>
          <w:spacing w:val="-12"/>
        </w:rPr>
        <w:t xml:space="preserve"> </w:t>
      </w:r>
      <w:r>
        <w:t>1+2m</w:t>
      </w:r>
      <w:r>
        <w:rPr>
          <w:spacing w:val="-3"/>
        </w:rPr>
        <w:t>。</w:t>
      </w:r>
      <w:r>
        <w:t xml:space="preserve"> </w:t>
      </w:r>
    </w:p>
    <w:p w14:paraId="54161816" w14:textId="77777777" w:rsidR="00A71EEF" w:rsidRDefault="0081115D">
      <w:pPr>
        <w:pStyle w:val="a4"/>
        <w:numPr>
          <w:ilvl w:val="4"/>
          <w:numId w:val="796"/>
        </w:numPr>
        <w:tabs>
          <w:tab w:val="left" w:pos="1788"/>
        </w:tabs>
        <w:spacing w:line="267" w:lineRule="exact"/>
        <w:rPr>
          <w:sz w:val="21"/>
        </w:rPr>
      </w:pPr>
      <w:r>
        <w:rPr>
          <w:spacing w:val="-3"/>
          <w:sz w:val="21"/>
        </w:rPr>
        <w:t>岀水管路应安装可关闭出水管路和消防泵连接的止回阀。</w:t>
      </w:r>
      <w:r>
        <w:rPr>
          <w:sz w:val="21"/>
        </w:rPr>
        <w:t xml:space="preserve"> </w:t>
      </w:r>
    </w:p>
    <w:p w14:paraId="6EA6F5F5" w14:textId="77777777" w:rsidR="00A71EEF" w:rsidRDefault="00A71EEF">
      <w:pPr>
        <w:pStyle w:val="a3"/>
        <w:spacing w:before="1"/>
        <w:rPr>
          <w:sz w:val="18"/>
        </w:rPr>
      </w:pPr>
    </w:p>
    <w:p w14:paraId="16369C69" w14:textId="77777777" w:rsidR="00A71EEF" w:rsidRDefault="0081115D">
      <w:pPr>
        <w:pStyle w:val="a4"/>
        <w:numPr>
          <w:ilvl w:val="4"/>
          <w:numId w:val="796"/>
        </w:numPr>
        <w:tabs>
          <w:tab w:val="left" w:pos="1788"/>
        </w:tabs>
        <w:spacing w:before="1"/>
        <w:rPr>
          <w:sz w:val="21"/>
        </w:rPr>
      </w:pPr>
      <w:r>
        <w:rPr>
          <w:spacing w:val="-3"/>
          <w:sz w:val="21"/>
        </w:rPr>
        <w:t>出水管路应经静水压密封试验，试验压力为出水管路承受的最大工作压力值的</w:t>
      </w:r>
    </w:p>
    <w:p w14:paraId="481B2AE8" w14:textId="77777777" w:rsidR="00A71EEF" w:rsidRDefault="00A71EEF">
      <w:pPr>
        <w:pStyle w:val="a3"/>
        <w:spacing w:before="12"/>
        <w:rPr>
          <w:sz w:val="17"/>
        </w:rPr>
      </w:pPr>
    </w:p>
    <w:p w14:paraId="5549DA0D" w14:textId="77777777" w:rsidR="00A71EEF" w:rsidRDefault="0081115D">
      <w:pPr>
        <w:pStyle w:val="a3"/>
        <w:ind w:left="418"/>
        <w:jc w:val="both"/>
      </w:pPr>
      <w:r>
        <w:t xml:space="preserve">1.1 </w:t>
      </w:r>
      <w:r>
        <w:t>倍，管路及各连接处不应出现渗漏。</w:t>
      </w:r>
      <w:r>
        <w:t xml:space="preserve"> </w:t>
      </w:r>
    </w:p>
    <w:p w14:paraId="0D3F016A" w14:textId="77777777" w:rsidR="00A71EEF" w:rsidRDefault="00A71EEF">
      <w:pPr>
        <w:pStyle w:val="a3"/>
        <w:rPr>
          <w:sz w:val="18"/>
        </w:rPr>
      </w:pPr>
    </w:p>
    <w:p w14:paraId="4525E712" w14:textId="77777777" w:rsidR="00A71EEF" w:rsidRDefault="0081115D">
      <w:pPr>
        <w:pStyle w:val="a4"/>
        <w:numPr>
          <w:ilvl w:val="4"/>
          <w:numId w:val="796"/>
        </w:numPr>
        <w:tabs>
          <w:tab w:val="left" w:pos="1788"/>
        </w:tabs>
        <w:rPr>
          <w:sz w:val="21"/>
        </w:rPr>
      </w:pPr>
      <w:r>
        <w:rPr>
          <w:spacing w:val="-3"/>
          <w:sz w:val="21"/>
        </w:rPr>
        <w:t>出水管路应经静水压强度试验，试验压力为出水管路承受的最大工作压力值的</w:t>
      </w:r>
    </w:p>
    <w:p w14:paraId="5A1E73C8" w14:textId="77777777" w:rsidR="00A71EEF" w:rsidRDefault="00A71EEF">
      <w:pPr>
        <w:pStyle w:val="a3"/>
        <w:spacing w:before="2"/>
        <w:rPr>
          <w:sz w:val="18"/>
        </w:rPr>
      </w:pPr>
    </w:p>
    <w:p w14:paraId="5D4C9C1E" w14:textId="77777777" w:rsidR="00A71EEF" w:rsidRDefault="0081115D">
      <w:pPr>
        <w:pStyle w:val="a3"/>
        <w:ind w:left="418"/>
        <w:jc w:val="both"/>
      </w:pPr>
      <w:r>
        <w:t xml:space="preserve">1.5 </w:t>
      </w:r>
      <w:r>
        <w:t>倍，不应出现明显变形和结构破坏。</w:t>
      </w:r>
      <w:r>
        <w:t xml:space="preserve"> </w:t>
      </w:r>
    </w:p>
    <w:p w14:paraId="5F0E0A48" w14:textId="77777777" w:rsidR="00A71EEF" w:rsidRDefault="00A71EEF">
      <w:pPr>
        <w:pStyle w:val="a3"/>
        <w:spacing w:before="12"/>
        <w:rPr>
          <w:sz w:val="17"/>
        </w:rPr>
      </w:pPr>
    </w:p>
    <w:p w14:paraId="38AD4EC3" w14:textId="77777777" w:rsidR="00A71EEF" w:rsidRDefault="0081115D">
      <w:pPr>
        <w:pStyle w:val="a4"/>
        <w:numPr>
          <w:ilvl w:val="4"/>
          <w:numId w:val="796"/>
        </w:numPr>
        <w:tabs>
          <w:tab w:val="left" w:pos="1788"/>
        </w:tabs>
        <w:spacing w:line="446" w:lineRule="auto"/>
        <w:ind w:left="418" w:right="1505" w:firstLine="419"/>
        <w:jc w:val="both"/>
        <w:rPr>
          <w:sz w:val="21"/>
        </w:rPr>
      </w:pPr>
      <w:r>
        <w:rPr>
          <w:spacing w:val="-3"/>
          <w:sz w:val="21"/>
        </w:rPr>
        <w:t>在出水管路最大工作压力下，手动启闭的出水阀开启和关闭力在不使用辅助装置</w:t>
      </w:r>
      <w:r>
        <w:rPr>
          <w:spacing w:val="-7"/>
          <w:sz w:val="21"/>
        </w:rPr>
        <w:t>的前提下不应大于</w:t>
      </w:r>
      <w:r>
        <w:rPr>
          <w:spacing w:val="-7"/>
          <w:sz w:val="21"/>
        </w:rPr>
        <w:t xml:space="preserve"> </w:t>
      </w:r>
      <w:r>
        <w:rPr>
          <w:sz w:val="21"/>
        </w:rPr>
        <w:t>200N</w:t>
      </w:r>
      <w:r>
        <w:rPr>
          <w:spacing w:val="-3"/>
          <w:sz w:val="21"/>
        </w:rPr>
        <w:t>。非手动启闭的出水阀按正常操作方法可开启和关闭。当出水管路中没</w:t>
      </w:r>
      <w:r>
        <w:rPr>
          <w:spacing w:val="-6"/>
          <w:sz w:val="21"/>
        </w:rPr>
        <w:t>有压力时，手动启闭的出水阀开启和关闭力不应大于</w:t>
      </w:r>
      <w:r>
        <w:rPr>
          <w:spacing w:val="-6"/>
          <w:sz w:val="21"/>
        </w:rPr>
        <w:t xml:space="preserve"> </w:t>
      </w:r>
      <w:r>
        <w:rPr>
          <w:sz w:val="21"/>
        </w:rPr>
        <w:t>50N</w:t>
      </w:r>
      <w:r>
        <w:rPr>
          <w:spacing w:val="-3"/>
          <w:sz w:val="21"/>
        </w:rPr>
        <w:t>。</w:t>
      </w:r>
      <w:r>
        <w:rPr>
          <w:sz w:val="21"/>
        </w:rPr>
        <w:t xml:space="preserve"> </w:t>
      </w:r>
    </w:p>
    <w:p w14:paraId="6BB36A2D" w14:textId="77777777" w:rsidR="00A71EEF" w:rsidRDefault="0081115D">
      <w:pPr>
        <w:pStyle w:val="a4"/>
        <w:numPr>
          <w:ilvl w:val="4"/>
          <w:numId w:val="796"/>
        </w:numPr>
        <w:tabs>
          <w:tab w:val="left" w:pos="1788"/>
        </w:tabs>
        <w:spacing w:line="446" w:lineRule="auto"/>
        <w:ind w:left="418" w:right="1611" w:firstLine="419"/>
        <w:jc w:val="both"/>
        <w:rPr>
          <w:sz w:val="21"/>
        </w:rPr>
      </w:pPr>
      <w:r>
        <w:rPr>
          <w:spacing w:val="-3"/>
          <w:sz w:val="21"/>
        </w:rPr>
        <w:t>出水阀应有指示启闭方向的指示标牌，在出水阀操作位置可见处应</w:t>
      </w:r>
      <w:r>
        <w:rPr>
          <w:spacing w:val="-3"/>
          <w:sz w:val="21"/>
        </w:rPr>
        <w:t>有</w:t>
      </w:r>
      <w:r>
        <w:rPr>
          <w:spacing w:val="-3"/>
          <w:sz w:val="21"/>
        </w:rPr>
        <w:t>"</w:t>
      </w:r>
      <w:r>
        <w:rPr>
          <w:spacing w:val="-3"/>
          <w:sz w:val="21"/>
        </w:rPr>
        <w:t>缓馒打开</w:t>
      </w:r>
      <w:r>
        <w:rPr>
          <w:spacing w:val="-5"/>
          <w:sz w:val="21"/>
        </w:rPr>
        <w:t>出水阀</w:t>
      </w:r>
      <w:r>
        <w:rPr>
          <w:spacing w:val="-5"/>
          <w:sz w:val="21"/>
        </w:rPr>
        <w:t>”</w:t>
      </w:r>
      <w:r>
        <w:rPr>
          <w:spacing w:val="-5"/>
          <w:sz w:val="21"/>
        </w:rPr>
        <w:t>的警示标牌，出水阀结构上应保证从开启至最大开度所用的时间应大于</w:t>
      </w:r>
      <w:r>
        <w:rPr>
          <w:spacing w:val="-5"/>
          <w:sz w:val="21"/>
        </w:rPr>
        <w:t xml:space="preserve"> </w:t>
      </w:r>
      <w:r>
        <w:rPr>
          <w:sz w:val="21"/>
        </w:rPr>
        <w:t>5s</w:t>
      </w:r>
      <w:r>
        <w:rPr>
          <w:spacing w:val="-3"/>
          <w:sz w:val="21"/>
        </w:rPr>
        <w:t>。</w:t>
      </w:r>
      <w:r>
        <w:rPr>
          <w:sz w:val="21"/>
        </w:rPr>
        <w:t xml:space="preserve"> </w:t>
      </w:r>
    </w:p>
    <w:p w14:paraId="5CFD2A4B" w14:textId="77777777" w:rsidR="00A71EEF" w:rsidRDefault="0081115D">
      <w:pPr>
        <w:pStyle w:val="a4"/>
        <w:numPr>
          <w:ilvl w:val="3"/>
          <w:numId w:val="797"/>
        </w:numPr>
        <w:tabs>
          <w:tab w:val="left" w:pos="1576"/>
        </w:tabs>
        <w:jc w:val="both"/>
        <w:rPr>
          <w:sz w:val="21"/>
        </w:rPr>
      </w:pPr>
      <w:r>
        <w:rPr>
          <w:spacing w:val="-3"/>
          <w:sz w:val="21"/>
        </w:rPr>
        <w:t>水罐至消防泵的输水管路</w:t>
      </w:r>
      <w:r>
        <w:rPr>
          <w:sz w:val="21"/>
        </w:rPr>
        <w:t xml:space="preserve"> </w:t>
      </w:r>
    </w:p>
    <w:p w14:paraId="774C7973" w14:textId="77777777" w:rsidR="00A71EEF" w:rsidRDefault="00A71EEF">
      <w:pPr>
        <w:pStyle w:val="a3"/>
        <w:spacing w:before="11"/>
        <w:rPr>
          <w:sz w:val="17"/>
        </w:rPr>
      </w:pPr>
    </w:p>
    <w:p w14:paraId="4BDC3ACB" w14:textId="77777777" w:rsidR="00A71EEF" w:rsidRDefault="0081115D">
      <w:pPr>
        <w:pStyle w:val="a4"/>
        <w:numPr>
          <w:ilvl w:val="4"/>
          <w:numId w:val="797"/>
        </w:numPr>
        <w:tabs>
          <w:tab w:val="left" w:pos="1788"/>
        </w:tabs>
        <w:spacing w:line="446" w:lineRule="auto"/>
        <w:ind w:right="1508" w:firstLine="419"/>
        <w:rPr>
          <w:sz w:val="21"/>
        </w:rPr>
      </w:pPr>
      <w:r>
        <w:rPr>
          <w:spacing w:val="-5"/>
          <w:sz w:val="21"/>
        </w:rPr>
        <w:t>水罐至消防泵的输水管路上应设置阀门且操作方便，额定流量大于</w:t>
      </w:r>
      <w:r>
        <w:rPr>
          <w:spacing w:val="-5"/>
          <w:sz w:val="21"/>
        </w:rPr>
        <w:t xml:space="preserve"> </w:t>
      </w:r>
      <w:r>
        <w:rPr>
          <w:sz w:val="21"/>
        </w:rPr>
        <w:t>60L/s</w:t>
      </w:r>
      <w:r>
        <w:rPr>
          <w:spacing w:val="-12"/>
          <w:sz w:val="21"/>
        </w:rPr>
        <w:t xml:space="preserve"> </w:t>
      </w:r>
      <w:r>
        <w:rPr>
          <w:spacing w:val="-12"/>
          <w:sz w:val="21"/>
        </w:rPr>
        <w:t>时不应</w:t>
      </w:r>
      <w:r>
        <w:rPr>
          <w:spacing w:val="-5"/>
          <w:sz w:val="21"/>
        </w:rPr>
        <w:t>采用手动开启。</w:t>
      </w:r>
      <w:r>
        <w:rPr>
          <w:sz w:val="21"/>
        </w:rPr>
        <w:t xml:space="preserve"> </w:t>
      </w:r>
    </w:p>
    <w:p w14:paraId="5AC86E10" w14:textId="77777777" w:rsidR="00A71EEF" w:rsidRDefault="0081115D">
      <w:pPr>
        <w:pStyle w:val="a4"/>
        <w:numPr>
          <w:ilvl w:val="4"/>
          <w:numId w:val="797"/>
        </w:numPr>
        <w:tabs>
          <w:tab w:val="left" w:pos="1788"/>
        </w:tabs>
        <w:spacing w:line="446" w:lineRule="auto"/>
        <w:ind w:right="1714" w:firstLine="419"/>
        <w:rPr>
          <w:sz w:val="21"/>
        </w:rPr>
      </w:pPr>
      <w:r>
        <w:rPr>
          <w:spacing w:val="-3"/>
          <w:sz w:val="21"/>
        </w:rPr>
        <w:t>水罐内输水管路的进口设置在排污孔邻近部位时，应保证污物不进入消防泵内。</w:t>
      </w:r>
      <w:r>
        <w:rPr>
          <w:sz w:val="21"/>
        </w:rPr>
        <w:t xml:space="preserve"> </w:t>
      </w:r>
    </w:p>
    <w:p w14:paraId="5633405E" w14:textId="77777777" w:rsidR="00A71EEF" w:rsidRDefault="0081115D">
      <w:pPr>
        <w:pStyle w:val="a4"/>
        <w:numPr>
          <w:ilvl w:val="4"/>
          <w:numId w:val="797"/>
        </w:numPr>
        <w:tabs>
          <w:tab w:val="left" w:pos="1788"/>
        </w:tabs>
        <w:spacing w:line="267" w:lineRule="exact"/>
        <w:ind w:left="1787"/>
        <w:rPr>
          <w:sz w:val="21"/>
        </w:rPr>
      </w:pPr>
      <w:r>
        <w:rPr>
          <w:spacing w:val="-3"/>
          <w:sz w:val="21"/>
        </w:rPr>
        <w:t>输水管路进口应设置滤网，并应满足消防车额定工况要求。</w:t>
      </w:r>
      <w:r>
        <w:rPr>
          <w:sz w:val="21"/>
        </w:rPr>
        <w:t xml:space="preserve"> </w:t>
      </w:r>
    </w:p>
    <w:p w14:paraId="073926DA" w14:textId="77777777" w:rsidR="00A71EEF" w:rsidRDefault="00A71EEF">
      <w:pPr>
        <w:pStyle w:val="a3"/>
        <w:spacing w:before="2"/>
        <w:rPr>
          <w:sz w:val="18"/>
        </w:rPr>
      </w:pPr>
    </w:p>
    <w:p w14:paraId="36941E5C" w14:textId="77777777" w:rsidR="00A71EEF" w:rsidRDefault="0081115D">
      <w:pPr>
        <w:pStyle w:val="a4"/>
        <w:numPr>
          <w:ilvl w:val="2"/>
          <w:numId w:val="795"/>
        </w:numPr>
        <w:tabs>
          <w:tab w:val="left" w:pos="1367"/>
        </w:tabs>
        <w:spacing w:line="446" w:lineRule="auto"/>
        <w:ind w:right="1558" w:firstLine="419"/>
        <w:jc w:val="both"/>
        <w:rPr>
          <w:sz w:val="19"/>
        </w:rPr>
      </w:pPr>
      <w:r>
        <w:rPr>
          <w:sz w:val="21"/>
        </w:rPr>
        <w:t>,4.4</w:t>
      </w:r>
      <w:r>
        <w:rPr>
          <w:spacing w:val="-7"/>
          <w:sz w:val="21"/>
        </w:rPr>
        <w:t xml:space="preserve"> </w:t>
      </w:r>
      <w:r>
        <w:rPr>
          <w:spacing w:val="-7"/>
          <w:sz w:val="21"/>
        </w:rPr>
        <w:t>额定流量不大于</w:t>
      </w:r>
      <w:r>
        <w:rPr>
          <w:spacing w:val="-7"/>
          <w:sz w:val="21"/>
        </w:rPr>
        <w:t xml:space="preserve"> </w:t>
      </w:r>
      <w:r>
        <w:rPr>
          <w:sz w:val="21"/>
        </w:rPr>
        <w:t>100L/s</w:t>
      </w:r>
      <w:r>
        <w:rPr>
          <w:spacing w:val="-9"/>
          <w:sz w:val="21"/>
        </w:rPr>
        <w:t xml:space="preserve"> </w:t>
      </w:r>
      <w:r>
        <w:rPr>
          <w:spacing w:val="-9"/>
          <w:sz w:val="21"/>
        </w:rPr>
        <w:t>的消防车，水罐至消防泵的输水管路应能保证抽取罐</w:t>
      </w:r>
      <w:r>
        <w:rPr>
          <w:spacing w:val="-20"/>
          <w:sz w:val="21"/>
        </w:rPr>
        <w:t>容量</w:t>
      </w:r>
      <w:r>
        <w:rPr>
          <w:spacing w:val="-20"/>
          <w:sz w:val="21"/>
        </w:rPr>
        <w:t xml:space="preserve"> </w:t>
      </w:r>
      <w:r>
        <w:rPr>
          <w:sz w:val="21"/>
        </w:rPr>
        <w:t>90</w:t>
      </w:r>
      <w:r>
        <w:rPr>
          <w:spacing w:val="-6"/>
          <w:sz w:val="21"/>
        </w:rPr>
        <w:t>%</w:t>
      </w:r>
      <w:r>
        <w:rPr>
          <w:spacing w:val="-6"/>
          <w:sz w:val="21"/>
        </w:rPr>
        <w:t>以上的水，额定流量大于</w:t>
      </w:r>
      <w:r>
        <w:rPr>
          <w:spacing w:val="-6"/>
          <w:sz w:val="21"/>
        </w:rPr>
        <w:t xml:space="preserve"> </w:t>
      </w:r>
      <w:r>
        <w:rPr>
          <w:sz w:val="21"/>
        </w:rPr>
        <w:t>100L/s</w:t>
      </w:r>
      <w:r>
        <w:rPr>
          <w:spacing w:val="-8"/>
          <w:sz w:val="21"/>
        </w:rPr>
        <w:t xml:space="preserve"> </w:t>
      </w:r>
      <w:r>
        <w:rPr>
          <w:spacing w:val="-8"/>
          <w:sz w:val="21"/>
        </w:rPr>
        <w:t>的消防车，水罐至消防泵的输水管路应能保证抽取罐</w:t>
      </w:r>
      <w:r>
        <w:rPr>
          <w:spacing w:val="-24"/>
          <w:sz w:val="21"/>
        </w:rPr>
        <w:t>容量</w:t>
      </w:r>
      <w:r>
        <w:rPr>
          <w:spacing w:val="-24"/>
          <w:sz w:val="21"/>
        </w:rPr>
        <w:t xml:space="preserve"> </w:t>
      </w:r>
      <w:r>
        <w:rPr>
          <w:sz w:val="21"/>
        </w:rPr>
        <w:t>85</w:t>
      </w:r>
      <w:r>
        <w:rPr>
          <w:spacing w:val="-3"/>
          <w:sz w:val="21"/>
        </w:rPr>
        <w:t>%</w:t>
      </w:r>
      <w:r>
        <w:rPr>
          <w:spacing w:val="-3"/>
          <w:sz w:val="21"/>
        </w:rPr>
        <w:t>以上的水。</w:t>
      </w:r>
      <w:r>
        <w:rPr>
          <w:sz w:val="21"/>
        </w:rPr>
        <w:t xml:space="preserve"> </w:t>
      </w:r>
    </w:p>
    <w:p w14:paraId="6B5D8CDB" w14:textId="77777777" w:rsidR="00A71EEF" w:rsidRDefault="0081115D">
      <w:pPr>
        <w:pStyle w:val="a4"/>
        <w:numPr>
          <w:ilvl w:val="2"/>
          <w:numId w:val="795"/>
        </w:numPr>
        <w:tabs>
          <w:tab w:val="left" w:pos="1370"/>
        </w:tabs>
        <w:spacing w:line="268" w:lineRule="exact"/>
        <w:ind w:left="1369" w:hanging="530"/>
        <w:rPr>
          <w:b/>
          <w:sz w:val="19"/>
        </w:rPr>
      </w:pPr>
      <w:r>
        <w:rPr>
          <w:spacing w:val="-3"/>
          <w:sz w:val="21"/>
        </w:rPr>
        <w:t>水罐</w:t>
      </w:r>
      <w:r>
        <w:rPr>
          <w:b/>
          <w:w w:val="99"/>
          <w:sz w:val="21"/>
        </w:rPr>
        <w:t xml:space="preserve"> </w:t>
      </w:r>
    </w:p>
    <w:p w14:paraId="7EF19ACD" w14:textId="77777777" w:rsidR="00A71EEF" w:rsidRDefault="00A71EEF">
      <w:pPr>
        <w:pStyle w:val="a3"/>
        <w:rPr>
          <w:b/>
          <w:sz w:val="18"/>
        </w:rPr>
      </w:pPr>
    </w:p>
    <w:p w14:paraId="15CCA462" w14:textId="77777777" w:rsidR="00A71EEF" w:rsidRDefault="0081115D">
      <w:pPr>
        <w:pStyle w:val="a4"/>
        <w:numPr>
          <w:ilvl w:val="3"/>
          <w:numId w:val="795"/>
        </w:numPr>
        <w:tabs>
          <w:tab w:val="left" w:pos="1576"/>
        </w:tabs>
        <w:rPr>
          <w:sz w:val="21"/>
        </w:rPr>
      </w:pPr>
      <w:r>
        <w:rPr>
          <w:spacing w:val="-3"/>
          <w:sz w:val="21"/>
        </w:rPr>
        <w:t>罐体要求</w:t>
      </w:r>
      <w:r>
        <w:rPr>
          <w:sz w:val="21"/>
        </w:rPr>
        <w:t xml:space="preserve"> </w:t>
      </w:r>
    </w:p>
    <w:p w14:paraId="66CB0B75" w14:textId="77777777" w:rsidR="00A71EEF" w:rsidRDefault="00A71EEF">
      <w:pPr>
        <w:pStyle w:val="a3"/>
        <w:spacing w:before="12"/>
        <w:rPr>
          <w:sz w:val="17"/>
        </w:rPr>
      </w:pPr>
    </w:p>
    <w:p w14:paraId="168368C4" w14:textId="77777777" w:rsidR="00A71EEF" w:rsidRDefault="0081115D">
      <w:pPr>
        <w:pStyle w:val="a4"/>
        <w:numPr>
          <w:ilvl w:val="4"/>
          <w:numId w:val="795"/>
        </w:numPr>
        <w:tabs>
          <w:tab w:val="left" w:pos="1788"/>
        </w:tabs>
        <w:spacing w:before="1" w:line="446" w:lineRule="auto"/>
        <w:ind w:right="1349" w:firstLine="419"/>
        <w:rPr>
          <w:sz w:val="21"/>
        </w:rPr>
      </w:pPr>
      <w:r>
        <w:rPr>
          <w:spacing w:val="-8"/>
          <w:sz w:val="21"/>
        </w:rPr>
        <w:t>罐容积大于或等于</w:t>
      </w:r>
      <w:r>
        <w:rPr>
          <w:spacing w:val="-8"/>
          <w:sz w:val="21"/>
        </w:rPr>
        <w:t xml:space="preserve"> </w:t>
      </w:r>
      <w:r>
        <w:rPr>
          <w:sz w:val="21"/>
        </w:rPr>
        <w:t>12m³</w:t>
      </w:r>
      <w:r>
        <w:rPr>
          <w:spacing w:val="-7"/>
          <w:sz w:val="21"/>
        </w:rPr>
        <w:t>时，容积误差不应超过士</w:t>
      </w:r>
      <w:r>
        <w:rPr>
          <w:spacing w:val="-7"/>
          <w:sz w:val="21"/>
        </w:rPr>
        <w:t xml:space="preserve"> </w:t>
      </w:r>
      <w:r>
        <w:rPr>
          <w:sz w:val="21"/>
        </w:rPr>
        <w:t>2</w:t>
      </w:r>
      <w:r>
        <w:rPr>
          <w:spacing w:val="-8"/>
          <w:sz w:val="21"/>
        </w:rPr>
        <w:t>%</w:t>
      </w:r>
      <w:r>
        <w:rPr>
          <w:spacing w:val="-8"/>
          <w:sz w:val="21"/>
        </w:rPr>
        <w:t>；容积小于</w:t>
      </w:r>
      <w:r>
        <w:rPr>
          <w:spacing w:val="-8"/>
          <w:sz w:val="21"/>
        </w:rPr>
        <w:t xml:space="preserve"> </w:t>
      </w:r>
      <w:r>
        <w:rPr>
          <w:sz w:val="21"/>
        </w:rPr>
        <w:t>12m³</w:t>
      </w:r>
      <w:r>
        <w:rPr>
          <w:spacing w:val="-3"/>
          <w:sz w:val="21"/>
        </w:rPr>
        <w:t>且不小于以上</w:t>
      </w:r>
      <w:r>
        <w:rPr>
          <w:spacing w:val="-3"/>
          <w:sz w:val="21"/>
        </w:rPr>
        <w:t>1m³</w:t>
      </w:r>
      <w:r>
        <w:rPr>
          <w:spacing w:val="-9"/>
          <w:sz w:val="21"/>
        </w:rPr>
        <w:t>时，</w:t>
      </w:r>
      <w:r>
        <w:rPr>
          <w:spacing w:val="-9"/>
          <w:sz w:val="21"/>
        </w:rPr>
        <w:t xml:space="preserve"> </w:t>
      </w:r>
      <w:r>
        <w:rPr>
          <w:spacing w:val="-9"/>
          <w:sz w:val="21"/>
        </w:rPr>
        <w:t>每减少</w:t>
      </w:r>
      <w:r>
        <w:rPr>
          <w:spacing w:val="-9"/>
          <w:sz w:val="21"/>
        </w:rPr>
        <w:t xml:space="preserve"> </w:t>
      </w:r>
      <w:r>
        <w:rPr>
          <w:sz w:val="21"/>
        </w:rPr>
        <w:t>1m³</w:t>
      </w:r>
      <w:r>
        <w:rPr>
          <w:spacing w:val="-8"/>
          <w:sz w:val="21"/>
        </w:rPr>
        <w:t>，其误差绝对值增加</w:t>
      </w:r>
      <w:r>
        <w:rPr>
          <w:spacing w:val="-8"/>
          <w:sz w:val="21"/>
        </w:rPr>
        <w:t xml:space="preserve"> </w:t>
      </w:r>
      <w:r>
        <w:rPr>
          <w:sz w:val="21"/>
        </w:rPr>
        <w:t>0.1</w:t>
      </w:r>
      <w:r>
        <w:rPr>
          <w:spacing w:val="-8"/>
          <w:sz w:val="21"/>
        </w:rPr>
        <w:t>%</w:t>
      </w:r>
      <w:r>
        <w:rPr>
          <w:spacing w:val="-8"/>
          <w:sz w:val="21"/>
        </w:rPr>
        <w:t>；容积小于</w:t>
      </w:r>
      <w:r>
        <w:rPr>
          <w:spacing w:val="-8"/>
          <w:sz w:val="21"/>
        </w:rPr>
        <w:t xml:space="preserve"> </w:t>
      </w:r>
      <w:r>
        <w:rPr>
          <w:sz w:val="21"/>
        </w:rPr>
        <w:t>1m³</w:t>
      </w:r>
      <w:r>
        <w:rPr>
          <w:spacing w:val="-7"/>
          <w:sz w:val="21"/>
        </w:rPr>
        <w:t>时，容积误差不应超过士</w:t>
      </w:r>
      <w:r>
        <w:rPr>
          <w:spacing w:val="-7"/>
          <w:sz w:val="21"/>
        </w:rPr>
        <w:t xml:space="preserve"> </w:t>
      </w:r>
      <w:r>
        <w:rPr>
          <w:sz w:val="21"/>
        </w:rPr>
        <w:t>10</w:t>
      </w:r>
      <w:r>
        <w:rPr>
          <w:spacing w:val="-2"/>
          <w:sz w:val="21"/>
        </w:rPr>
        <w:t>%</w:t>
      </w:r>
      <w:r>
        <w:rPr>
          <w:spacing w:val="-2"/>
          <w:sz w:val="21"/>
        </w:rPr>
        <w:t>。</w:t>
      </w:r>
      <w:r>
        <w:rPr>
          <w:sz w:val="21"/>
        </w:rPr>
        <w:t xml:space="preserve"> </w:t>
      </w:r>
    </w:p>
    <w:p w14:paraId="4A56D1D6" w14:textId="77777777" w:rsidR="00A71EEF" w:rsidRDefault="00A71EEF">
      <w:pPr>
        <w:spacing w:line="446" w:lineRule="auto"/>
        <w:rPr>
          <w:sz w:val="21"/>
        </w:rPr>
        <w:sectPr w:rsidR="00A71EEF">
          <w:pgSz w:w="11910" w:h="16850"/>
          <w:pgMar w:top="1220" w:right="0" w:bottom="1420" w:left="1260" w:header="0" w:footer="1239" w:gutter="0"/>
          <w:cols w:space="720"/>
        </w:sectPr>
      </w:pPr>
    </w:p>
    <w:p w14:paraId="7FBCE624" w14:textId="77777777" w:rsidR="00A71EEF" w:rsidRDefault="0081115D">
      <w:pPr>
        <w:pStyle w:val="a4"/>
        <w:numPr>
          <w:ilvl w:val="4"/>
          <w:numId w:val="795"/>
        </w:numPr>
        <w:tabs>
          <w:tab w:val="left" w:pos="1788"/>
        </w:tabs>
        <w:spacing w:before="47"/>
        <w:ind w:left="1787"/>
        <w:rPr>
          <w:sz w:val="21"/>
        </w:rPr>
      </w:pPr>
      <w:r>
        <w:rPr>
          <w:spacing w:val="-3"/>
          <w:sz w:val="21"/>
        </w:rPr>
        <w:lastRenderedPageBreak/>
        <w:t>罐体和阀门应采用防腐蚀材料或经防腐蚀处理。</w:t>
      </w:r>
      <w:r>
        <w:rPr>
          <w:sz w:val="21"/>
        </w:rPr>
        <w:t xml:space="preserve"> </w:t>
      </w:r>
    </w:p>
    <w:p w14:paraId="0CD5E665" w14:textId="77777777" w:rsidR="00A71EEF" w:rsidRDefault="00A71EEF">
      <w:pPr>
        <w:pStyle w:val="a3"/>
        <w:rPr>
          <w:sz w:val="18"/>
        </w:rPr>
      </w:pPr>
    </w:p>
    <w:p w14:paraId="04F47927" w14:textId="77777777" w:rsidR="00A71EEF" w:rsidRDefault="0081115D">
      <w:pPr>
        <w:pStyle w:val="a4"/>
        <w:numPr>
          <w:ilvl w:val="4"/>
          <w:numId w:val="795"/>
        </w:numPr>
        <w:tabs>
          <w:tab w:val="left" w:pos="1788"/>
        </w:tabs>
        <w:spacing w:line="446" w:lineRule="auto"/>
        <w:ind w:right="1508" w:firstLine="419"/>
        <w:rPr>
          <w:sz w:val="21"/>
        </w:rPr>
      </w:pPr>
      <w:r>
        <w:rPr>
          <w:spacing w:val="-10"/>
          <w:sz w:val="21"/>
        </w:rPr>
        <w:t>罐容积超过</w:t>
      </w:r>
      <w:r>
        <w:rPr>
          <w:spacing w:val="-10"/>
          <w:sz w:val="21"/>
        </w:rPr>
        <w:t xml:space="preserve"> </w:t>
      </w:r>
      <w:r>
        <w:rPr>
          <w:sz w:val="21"/>
        </w:rPr>
        <w:t>2m³</w:t>
      </w:r>
      <w:r>
        <w:rPr>
          <w:sz w:val="21"/>
        </w:rPr>
        <w:t>，</w:t>
      </w:r>
      <w:r>
        <w:rPr>
          <w:spacing w:val="-7"/>
          <w:sz w:val="21"/>
        </w:rPr>
        <w:t>罐内应设防荡板，罐容积超过</w:t>
      </w:r>
      <w:r>
        <w:rPr>
          <w:spacing w:val="-7"/>
          <w:sz w:val="21"/>
        </w:rPr>
        <w:t xml:space="preserve"> </w:t>
      </w:r>
      <w:r>
        <w:rPr>
          <w:sz w:val="21"/>
        </w:rPr>
        <w:t>3m³</w:t>
      </w:r>
      <w:r>
        <w:rPr>
          <w:spacing w:val="-3"/>
          <w:sz w:val="21"/>
        </w:rPr>
        <w:t>，罐内应设纵向防荡板，防</w:t>
      </w:r>
      <w:r>
        <w:rPr>
          <w:spacing w:val="-7"/>
          <w:sz w:val="21"/>
        </w:rPr>
        <w:t>荡板隔出的单腔容积不应大于</w:t>
      </w:r>
      <w:r>
        <w:rPr>
          <w:spacing w:val="-7"/>
          <w:sz w:val="21"/>
        </w:rPr>
        <w:t xml:space="preserve"> </w:t>
      </w:r>
      <w:r>
        <w:rPr>
          <w:sz w:val="21"/>
        </w:rPr>
        <w:t>2m³</w:t>
      </w:r>
      <w:r>
        <w:rPr>
          <w:spacing w:val="-3"/>
          <w:sz w:val="21"/>
        </w:rPr>
        <w:t>。</w:t>
      </w:r>
      <w:r>
        <w:rPr>
          <w:sz w:val="21"/>
        </w:rPr>
        <w:t xml:space="preserve"> </w:t>
      </w:r>
    </w:p>
    <w:p w14:paraId="31D87315" w14:textId="77777777" w:rsidR="00A71EEF" w:rsidRDefault="0081115D">
      <w:pPr>
        <w:pStyle w:val="a4"/>
        <w:numPr>
          <w:ilvl w:val="4"/>
          <w:numId w:val="795"/>
        </w:numPr>
        <w:tabs>
          <w:tab w:val="left" w:pos="1788"/>
        </w:tabs>
        <w:ind w:left="1787"/>
        <w:rPr>
          <w:sz w:val="21"/>
        </w:rPr>
      </w:pPr>
      <w:r>
        <w:rPr>
          <w:spacing w:val="-13"/>
          <w:sz w:val="21"/>
        </w:rPr>
        <w:t>容积大于</w:t>
      </w:r>
      <w:r>
        <w:rPr>
          <w:spacing w:val="-13"/>
          <w:sz w:val="21"/>
        </w:rPr>
        <w:t xml:space="preserve"> </w:t>
      </w:r>
      <w:r>
        <w:rPr>
          <w:sz w:val="21"/>
        </w:rPr>
        <w:t>1m³</w:t>
      </w:r>
      <w:r>
        <w:rPr>
          <w:spacing w:val="-3"/>
          <w:sz w:val="21"/>
        </w:rPr>
        <w:t>的罐顶部应设置可供人员进出的人孔及人孔盖，人孔直径不小于</w:t>
      </w:r>
    </w:p>
    <w:p w14:paraId="57C3C305" w14:textId="77777777" w:rsidR="00A71EEF" w:rsidRDefault="00A71EEF">
      <w:pPr>
        <w:pStyle w:val="a3"/>
        <w:spacing w:before="12"/>
        <w:rPr>
          <w:sz w:val="17"/>
        </w:rPr>
      </w:pPr>
    </w:p>
    <w:p w14:paraId="0C1D8138" w14:textId="77777777" w:rsidR="00A71EEF" w:rsidRDefault="0081115D">
      <w:pPr>
        <w:pStyle w:val="a3"/>
        <w:ind w:left="418"/>
      </w:pPr>
      <w:r>
        <w:t>400mm</w:t>
      </w:r>
      <w:r>
        <w:t>，人孔盖在罐内压力超过</w:t>
      </w:r>
      <w:r>
        <w:t xml:space="preserve"> 0.1MP </w:t>
      </w:r>
      <w:r>
        <w:t>时可自动卸压。</w:t>
      </w:r>
      <w:r>
        <w:t xml:space="preserve"> </w:t>
      </w:r>
    </w:p>
    <w:p w14:paraId="62F2F21F" w14:textId="77777777" w:rsidR="00A71EEF" w:rsidRDefault="00A71EEF">
      <w:pPr>
        <w:pStyle w:val="a3"/>
        <w:rPr>
          <w:sz w:val="18"/>
        </w:rPr>
      </w:pPr>
    </w:p>
    <w:p w14:paraId="1D3F729E" w14:textId="77777777" w:rsidR="00A71EEF" w:rsidRDefault="0081115D">
      <w:pPr>
        <w:pStyle w:val="a4"/>
        <w:numPr>
          <w:ilvl w:val="4"/>
          <w:numId w:val="795"/>
        </w:numPr>
        <w:tabs>
          <w:tab w:val="left" w:pos="1788"/>
        </w:tabs>
        <w:ind w:left="1787"/>
        <w:rPr>
          <w:sz w:val="21"/>
        </w:rPr>
      </w:pPr>
      <w:r>
        <w:rPr>
          <w:spacing w:val="-3"/>
          <w:sz w:val="21"/>
        </w:rPr>
        <w:t>水罐最低处应投置排污孔，排出的淤物不应接触车身和底盘零部件。</w:t>
      </w:r>
      <w:r>
        <w:rPr>
          <w:spacing w:val="-3"/>
          <w:sz w:val="21"/>
        </w:rPr>
        <w:t xml:space="preserve"> </w:t>
      </w:r>
    </w:p>
    <w:p w14:paraId="261CEBB2" w14:textId="77777777" w:rsidR="00A71EEF" w:rsidRDefault="00A71EEF">
      <w:pPr>
        <w:pStyle w:val="a3"/>
        <w:spacing w:before="2"/>
        <w:rPr>
          <w:sz w:val="18"/>
        </w:rPr>
      </w:pPr>
    </w:p>
    <w:p w14:paraId="3E8ACC67" w14:textId="77777777" w:rsidR="00A71EEF" w:rsidRDefault="0081115D">
      <w:pPr>
        <w:pStyle w:val="a4"/>
        <w:numPr>
          <w:ilvl w:val="2"/>
          <w:numId w:val="794"/>
        </w:numPr>
        <w:tabs>
          <w:tab w:val="left" w:pos="1367"/>
        </w:tabs>
        <w:rPr>
          <w:sz w:val="19"/>
        </w:rPr>
      </w:pPr>
      <w:r>
        <w:rPr>
          <w:sz w:val="21"/>
        </w:rPr>
        <w:t>,1.6</w:t>
      </w:r>
      <w:r>
        <w:rPr>
          <w:spacing w:val="-3"/>
          <w:sz w:val="21"/>
        </w:rPr>
        <w:t xml:space="preserve"> </w:t>
      </w:r>
      <w:r>
        <w:rPr>
          <w:spacing w:val="-3"/>
          <w:sz w:val="21"/>
        </w:rPr>
        <w:t>水罐应设置液位或液量的指示装置。</w:t>
      </w:r>
      <w:r>
        <w:rPr>
          <w:sz w:val="21"/>
        </w:rPr>
        <w:t xml:space="preserve"> </w:t>
      </w:r>
    </w:p>
    <w:p w14:paraId="6DD062DB" w14:textId="77777777" w:rsidR="00A71EEF" w:rsidRDefault="00A71EEF">
      <w:pPr>
        <w:pStyle w:val="a3"/>
        <w:rPr>
          <w:sz w:val="18"/>
        </w:rPr>
      </w:pPr>
    </w:p>
    <w:p w14:paraId="6E6D6AC9" w14:textId="77777777" w:rsidR="00A71EEF" w:rsidRDefault="0081115D">
      <w:pPr>
        <w:pStyle w:val="a3"/>
        <w:spacing w:line="446" w:lineRule="auto"/>
        <w:ind w:left="418" w:right="1505" w:firstLine="419"/>
      </w:pPr>
      <w:r>
        <w:t>4.4.3.1.7</w:t>
      </w:r>
      <w:r>
        <w:rPr>
          <w:spacing w:val="-6"/>
        </w:rPr>
        <w:t xml:space="preserve"> </w:t>
      </w:r>
      <w:r>
        <w:rPr>
          <w:spacing w:val="-6"/>
        </w:rPr>
        <w:t>水罐应能承受</w:t>
      </w:r>
      <w:r>
        <w:rPr>
          <w:spacing w:val="-6"/>
        </w:rPr>
        <w:t xml:space="preserve"> </w:t>
      </w:r>
      <w:r>
        <w:t>0.1MPa</w:t>
      </w:r>
      <w:r>
        <w:rPr>
          <w:spacing w:val="-14"/>
        </w:rPr>
        <w:t xml:space="preserve"> </w:t>
      </w:r>
      <w:r>
        <w:rPr>
          <w:spacing w:val="-14"/>
        </w:rPr>
        <w:t>的静水压力，经</w:t>
      </w:r>
      <w:r>
        <w:rPr>
          <w:spacing w:val="-14"/>
        </w:rPr>
        <w:t xml:space="preserve"> </w:t>
      </w:r>
      <w:r>
        <w:t>0.1MPa</w:t>
      </w:r>
      <w:r>
        <w:rPr>
          <w:spacing w:val="-9"/>
        </w:rPr>
        <w:t xml:space="preserve"> </w:t>
      </w:r>
      <w:r>
        <w:rPr>
          <w:spacing w:val="-9"/>
        </w:rPr>
        <w:t>静水压强度试验，罐体两侧面不</w:t>
      </w:r>
      <w:r>
        <w:rPr>
          <w:spacing w:val="-5"/>
        </w:rPr>
        <w:t>应出现明显残余变形，相连接的管道、阀门均不许有渗漏。</w:t>
      </w:r>
      <w:r>
        <w:t xml:space="preserve"> </w:t>
      </w:r>
    </w:p>
    <w:p w14:paraId="76A68B57" w14:textId="77777777" w:rsidR="00A71EEF" w:rsidRDefault="0081115D">
      <w:pPr>
        <w:pStyle w:val="a4"/>
        <w:numPr>
          <w:ilvl w:val="3"/>
          <w:numId w:val="795"/>
        </w:numPr>
        <w:tabs>
          <w:tab w:val="left" w:pos="1576"/>
        </w:tabs>
        <w:rPr>
          <w:sz w:val="21"/>
        </w:rPr>
      </w:pPr>
      <w:r>
        <w:rPr>
          <w:spacing w:val="-3"/>
          <w:sz w:val="21"/>
        </w:rPr>
        <w:t>注水装置</w:t>
      </w:r>
      <w:r>
        <w:rPr>
          <w:sz w:val="21"/>
        </w:rPr>
        <w:t xml:space="preserve"> </w:t>
      </w:r>
    </w:p>
    <w:p w14:paraId="6E3C7F37" w14:textId="77777777" w:rsidR="00A71EEF" w:rsidRDefault="00A71EEF">
      <w:pPr>
        <w:pStyle w:val="a3"/>
        <w:spacing w:before="12"/>
        <w:rPr>
          <w:sz w:val="17"/>
        </w:rPr>
      </w:pPr>
    </w:p>
    <w:p w14:paraId="21E94F80" w14:textId="77777777" w:rsidR="00A71EEF" w:rsidRDefault="0081115D">
      <w:pPr>
        <w:pStyle w:val="a4"/>
        <w:numPr>
          <w:ilvl w:val="4"/>
          <w:numId w:val="795"/>
        </w:numPr>
        <w:tabs>
          <w:tab w:val="left" w:pos="1788"/>
        </w:tabs>
        <w:spacing w:line="446" w:lineRule="auto"/>
        <w:ind w:right="1609" w:firstLine="419"/>
        <w:rPr>
          <w:sz w:val="21"/>
        </w:rPr>
      </w:pPr>
      <w:r>
        <w:rPr>
          <w:spacing w:val="-3"/>
          <w:sz w:val="21"/>
        </w:rPr>
        <w:t>消防泵至水罐的注水管路应设置阀门，阀门应方便操作。注水管路通径不应小</w:t>
      </w:r>
      <w:r>
        <w:rPr>
          <w:spacing w:val="-28"/>
          <w:sz w:val="21"/>
        </w:rPr>
        <w:t>于</w:t>
      </w:r>
      <w:r>
        <w:rPr>
          <w:spacing w:val="-28"/>
          <w:sz w:val="21"/>
        </w:rPr>
        <w:t xml:space="preserve"> </w:t>
      </w:r>
      <w:r>
        <w:rPr>
          <w:sz w:val="21"/>
        </w:rPr>
        <w:t>65mm</w:t>
      </w:r>
      <w:r>
        <w:rPr>
          <w:spacing w:val="-3"/>
          <w:sz w:val="21"/>
        </w:rPr>
        <w:t>，管路中不应有积水。</w:t>
      </w:r>
      <w:r>
        <w:rPr>
          <w:sz w:val="21"/>
        </w:rPr>
        <w:t xml:space="preserve"> </w:t>
      </w:r>
    </w:p>
    <w:p w14:paraId="0E9BB858" w14:textId="77777777" w:rsidR="00A71EEF" w:rsidRDefault="0081115D">
      <w:pPr>
        <w:pStyle w:val="a4"/>
        <w:numPr>
          <w:ilvl w:val="4"/>
          <w:numId w:val="795"/>
        </w:numPr>
        <w:tabs>
          <w:tab w:val="left" w:pos="1788"/>
        </w:tabs>
        <w:spacing w:line="446" w:lineRule="auto"/>
        <w:ind w:right="1664" w:firstLine="419"/>
        <w:rPr>
          <w:sz w:val="21"/>
        </w:rPr>
      </w:pPr>
      <w:r>
        <w:rPr>
          <w:spacing w:val="-5"/>
          <w:sz w:val="21"/>
        </w:rPr>
        <w:t>从车辆外部向水罐注水的管路通径不应小于</w:t>
      </w:r>
      <w:r>
        <w:rPr>
          <w:spacing w:val="-5"/>
          <w:sz w:val="21"/>
        </w:rPr>
        <w:t xml:space="preserve"> </w:t>
      </w:r>
      <w:r>
        <w:rPr>
          <w:sz w:val="21"/>
        </w:rPr>
        <w:t>65mm</w:t>
      </w:r>
      <w:r>
        <w:rPr>
          <w:spacing w:val="-3"/>
          <w:sz w:val="21"/>
        </w:rPr>
        <w:t>，管路应保证罐内水不会倒流，管路中不应有积水。注水口应加防护盖。</w:t>
      </w:r>
      <w:r>
        <w:rPr>
          <w:sz w:val="21"/>
        </w:rPr>
        <w:t xml:space="preserve"> </w:t>
      </w:r>
    </w:p>
    <w:p w14:paraId="06FBCF74" w14:textId="77777777" w:rsidR="00A71EEF" w:rsidRDefault="0081115D">
      <w:pPr>
        <w:pStyle w:val="a4"/>
        <w:numPr>
          <w:ilvl w:val="4"/>
          <w:numId w:val="795"/>
        </w:numPr>
        <w:tabs>
          <w:tab w:val="left" w:pos="1788"/>
        </w:tabs>
        <w:spacing w:line="267" w:lineRule="exact"/>
        <w:ind w:left="1787"/>
        <w:rPr>
          <w:sz w:val="21"/>
        </w:rPr>
      </w:pPr>
      <w:r>
        <w:rPr>
          <w:spacing w:val="-3"/>
          <w:sz w:val="21"/>
        </w:rPr>
        <w:t>在水罐注水口处应设有</w:t>
      </w:r>
      <w:r>
        <w:rPr>
          <w:spacing w:val="-3"/>
          <w:sz w:val="21"/>
        </w:rPr>
        <w:t>“</w:t>
      </w:r>
      <w:r>
        <w:rPr>
          <w:spacing w:val="-3"/>
          <w:sz w:val="21"/>
        </w:rPr>
        <w:t>水罐注水口</w:t>
      </w:r>
      <w:r>
        <w:rPr>
          <w:spacing w:val="-3"/>
          <w:sz w:val="21"/>
        </w:rPr>
        <w:t>”</w:t>
      </w:r>
      <w:r>
        <w:rPr>
          <w:spacing w:val="-3"/>
          <w:sz w:val="21"/>
        </w:rPr>
        <w:t>字祥的招牌，标牌应永久固定。</w:t>
      </w:r>
      <w:r>
        <w:rPr>
          <w:spacing w:val="-3"/>
          <w:sz w:val="21"/>
        </w:rPr>
        <w:t xml:space="preserve"> </w:t>
      </w:r>
    </w:p>
    <w:p w14:paraId="0552538F" w14:textId="77777777" w:rsidR="00A71EEF" w:rsidRDefault="00A71EEF">
      <w:pPr>
        <w:pStyle w:val="a3"/>
        <w:spacing w:before="2"/>
        <w:rPr>
          <w:sz w:val="18"/>
        </w:rPr>
      </w:pPr>
    </w:p>
    <w:p w14:paraId="425C5430" w14:textId="77777777" w:rsidR="00A71EEF" w:rsidRDefault="0081115D">
      <w:pPr>
        <w:pStyle w:val="a4"/>
        <w:numPr>
          <w:ilvl w:val="3"/>
          <w:numId w:val="795"/>
        </w:numPr>
        <w:tabs>
          <w:tab w:val="left" w:pos="1576"/>
        </w:tabs>
        <w:rPr>
          <w:sz w:val="21"/>
        </w:rPr>
      </w:pPr>
      <w:r>
        <w:rPr>
          <w:spacing w:val="-3"/>
          <w:sz w:val="21"/>
        </w:rPr>
        <w:t>溢水装置</w:t>
      </w:r>
      <w:r>
        <w:rPr>
          <w:sz w:val="21"/>
        </w:rPr>
        <w:t xml:space="preserve"> </w:t>
      </w:r>
    </w:p>
    <w:p w14:paraId="6B169AF7" w14:textId="77777777" w:rsidR="00A71EEF" w:rsidRDefault="00A71EEF">
      <w:pPr>
        <w:pStyle w:val="a3"/>
        <w:spacing w:before="12"/>
        <w:rPr>
          <w:sz w:val="17"/>
        </w:rPr>
      </w:pPr>
    </w:p>
    <w:p w14:paraId="5D43D44A" w14:textId="77777777" w:rsidR="00A71EEF" w:rsidRDefault="0081115D">
      <w:pPr>
        <w:pStyle w:val="a3"/>
        <w:spacing w:line="446" w:lineRule="auto"/>
        <w:ind w:left="418" w:right="1609" w:firstLine="419"/>
      </w:pPr>
      <w:r>
        <w:t>应在水罐内设置通大气的溢水管路，溢水管路直径不应小于水罐与消防泵间输水管路直径的</w:t>
      </w:r>
      <w:r>
        <w:t xml:space="preserve"> 30%</w:t>
      </w:r>
      <w:r>
        <w:t>，溢水管路应高出罐顶。</w:t>
      </w:r>
      <w:r>
        <w:t xml:space="preserve"> </w:t>
      </w:r>
    </w:p>
    <w:p w14:paraId="0E33FDB7" w14:textId="77777777" w:rsidR="00A71EEF" w:rsidRDefault="0081115D">
      <w:pPr>
        <w:pStyle w:val="a4"/>
        <w:numPr>
          <w:ilvl w:val="2"/>
          <w:numId w:val="794"/>
        </w:numPr>
        <w:tabs>
          <w:tab w:val="left" w:pos="1370"/>
        </w:tabs>
        <w:ind w:left="1369" w:hanging="530"/>
        <w:rPr>
          <w:sz w:val="19"/>
        </w:rPr>
      </w:pPr>
      <w:r>
        <w:rPr>
          <w:spacing w:val="-3"/>
          <w:sz w:val="21"/>
        </w:rPr>
        <w:t>消坊炮</w:t>
      </w:r>
      <w:r>
        <w:rPr>
          <w:sz w:val="21"/>
        </w:rPr>
        <w:t xml:space="preserve"> </w:t>
      </w:r>
    </w:p>
    <w:p w14:paraId="7B991F5B" w14:textId="77777777" w:rsidR="00A71EEF" w:rsidRDefault="00A71EEF">
      <w:pPr>
        <w:pStyle w:val="a3"/>
        <w:rPr>
          <w:sz w:val="18"/>
        </w:rPr>
      </w:pPr>
    </w:p>
    <w:p w14:paraId="3C54EA02" w14:textId="77777777" w:rsidR="00A71EEF" w:rsidRDefault="0081115D">
      <w:pPr>
        <w:pStyle w:val="a4"/>
        <w:numPr>
          <w:ilvl w:val="3"/>
          <w:numId w:val="794"/>
        </w:numPr>
        <w:tabs>
          <w:tab w:val="left" w:pos="1576"/>
        </w:tabs>
        <w:rPr>
          <w:sz w:val="21"/>
        </w:rPr>
      </w:pPr>
      <w:r>
        <w:rPr>
          <w:spacing w:val="-6"/>
          <w:sz w:val="21"/>
        </w:rPr>
        <w:t>水罐车配备的车载消防炮喷射性能应符合</w:t>
      </w:r>
      <w:r>
        <w:rPr>
          <w:spacing w:val="-6"/>
          <w:sz w:val="21"/>
        </w:rPr>
        <w:t xml:space="preserve"> </w:t>
      </w:r>
      <w:r>
        <w:rPr>
          <w:sz w:val="21"/>
        </w:rPr>
        <w:t>GB</w:t>
      </w:r>
      <w:r>
        <w:rPr>
          <w:spacing w:val="1"/>
          <w:sz w:val="21"/>
        </w:rPr>
        <w:t xml:space="preserve"> </w:t>
      </w:r>
      <w:r>
        <w:rPr>
          <w:sz w:val="21"/>
        </w:rPr>
        <w:t>19156</w:t>
      </w:r>
      <w:r>
        <w:rPr>
          <w:spacing w:val="-13"/>
          <w:sz w:val="21"/>
        </w:rPr>
        <w:t xml:space="preserve"> </w:t>
      </w:r>
      <w:r>
        <w:rPr>
          <w:spacing w:val="-13"/>
          <w:sz w:val="21"/>
        </w:rPr>
        <w:t>的要求。</w:t>
      </w:r>
      <w:r>
        <w:rPr>
          <w:sz w:val="21"/>
        </w:rPr>
        <w:t xml:space="preserve"> </w:t>
      </w:r>
    </w:p>
    <w:p w14:paraId="20A2239F" w14:textId="77777777" w:rsidR="00A71EEF" w:rsidRDefault="00A71EEF">
      <w:pPr>
        <w:pStyle w:val="a3"/>
        <w:rPr>
          <w:sz w:val="18"/>
        </w:rPr>
      </w:pPr>
    </w:p>
    <w:p w14:paraId="073D5CE3" w14:textId="77777777" w:rsidR="00A71EEF" w:rsidRDefault="0081115D">
      <w:pPr>
        <w:pStyle w:val="a4"/>
        <w:numPr>
          <w:ilvl w:val="2"/>
          <w:numId w:val="793"/>
        </w:numPr>
        <w:tabs>
          <w:tab w:val="left" w:pos="1367"/>
        </w:tabs>
        <w:rPr>
          <w:sz w:val="19"/>
        </w:rPr>
      </w:pPr>
      <w:r>
        <w:rPr>
          <w:sz w:val="21"/>
        </w:rPr>
        <w:t>,2</w:t>
      </w:r>
      <w:r>
        <w:rPr>
          <w:spacing w:val="-3"/>
          <w:sz w:val="21"/>
        </w:rPr>
        <w:t xml:space="preserve"> </w:t>
      </w:r>
      <w:r>
        <w:rPr>
          <w:spacing w:val="-3"/>
          <w:sz w:val="21"/>
        </w:rPr>
        <w:t>车载消防炮装车后的俯角不应小于</w:t>
      </w:r>
      <w:r>
        <w:rPr>
          <w:spacing w:val="-3"/>
          <w:sz w:val="21"/>
        </w:rPr>
        <w:t xml:space="preserve"> </w:t>
      </w:r>
      <w:r>
        <w:rPr>
          <w:sz w:val="21"/>
        </w:rPr>
        <w:t>7</w:t>
      </w:r>
      <w:r>
        <w:rPr>
          <w:spacing w:val="-2"/>
          <w:sz w:val="21"/>
        </w:rPr>
        <w:t>°</w:t>
      </w:r>
      <w:r>
        <w:rPr>
          <w:spacing w:val="-2"/>
          <w:sz w:val="21"/>
        </w:rPr>
        <w:t>。</w:t>
      </w:r>
      <w:r>
        <w:rPr>
          <w:sz w:val="21"/>
        </w:rPr>
        <w:t xml:space="preserve"> </w:t>
      </w:r>
    </w:p>
    <w:p w14:paraId="582126F0" w14:textId="77777777" w:rsidR="00A71EEF" w:rsidRDefault="00A71EEF">
      <w:pPr>
        <w:pStyle w:val="a3"/>
        <w:spacing w:before="2"/>
        <w:rPr>
          <w:sz w:val="18"/>
        </w:rPr>
      </w:pPr>
    </w:p>
    <w:p w14:paraId="0ADFA10E" w14:textId="77777777" w:rsidR="00A71EEF" w:rsidRDefault="0081115D">
      <w:pPr>
        <w:pStyle w:val="a4"/>
        <w:numPr>
          <w:ilvl w:val="3"/>
          <w:numId w:val="792"/>
        </w:numPr>
        <w:tabs>
          <w:tab w:val="left" w:pos="1576"/>
        </w:tabs>
        <w:rPr>
          <w:sz w:val="21"/>
        </w:rPr>
      </w:pPr>
      <w:r>
        <w:rPr>
          <w:spacing w:val="-3"/>
          <w:sz w:val="21"/>
        </w:rPr>
        <w:t>车顶炮的进水管路应设置控制启闭的阀门。</w:t>
      </w:r>
      <w:r>
        <w:rPr>
          <w:spacing w:val="-3"/>
          <w:sz w:val="21"/>
        </w:rPr>
        <w:t xml:space="preserve"> </w:t>
      </w:r>
    </w:p>
    <w:p w14:paraId="40323DB9" w14:textId="77777777" w:rsidR="00A71EEF" w:rsidRDefault="00A71EEF">
      <w:pPr>
        <w:pStyle w:val="a3"/>
        <w:spacing w:before="12"/>
        <w:rPr>
          <w:sz w:val="17"/>
        </w:rPr>
      </w:pPr>
    </w:p>
    <w:p w14:paraId="6276BF6B" w14:textId="77777777" w:rsidR="00A71EEF" w:rsidRDefault="0081115D">
      <w:pPr>
        <w:pStyle w:val="a4"/>
        <w:numPr>
          <w:ilvl w:val="3"/>
          <w:numId w:val="792"/>
        </w:numPr>
        <w:tabs>
          <w:tab w:val="left" w:pos="1576"/>
        </w:tabs>
        <w:spacing w:line="446" w:lineRule="auto"/>
        <w:ind w:left="418" w:right="1609" w:firstLine="419"/>
        <w:rPr>
          <w:sz w:val="21"/>
        </w:rPr>
      </w:pPr>
      <w:r>
        <w:rPr>
          <w:spacing w:val="-3"/>
          <w:sz w:val="21"/>
        </w:rPr>
        <w:t>车顶炮和车前炮应有锁紧机构，锁紧机构能够在消防炮喷射时可靠锁止在任何俯仰和回转角度。</w:t>
      </w:r>
      <w:r>
        <w:rPr>
          <w:sz w:val="21"/>
        </w:rPr>
        <w:t xml:space="preserve"> </w:t>
      </w:r>
    </w:p>
    <w:p w14:paraId="009A4437" w14:textId="77777777" w:rsidR="00A71EEF" w:rsidRDefault="0081115D">
      <w:pPr>
        <w:pStyle w:val="a4"/>
        <w:numPr>
          <w:ilvl w:val="3"/>
          <w:numId w:val="792"/>
        </w:numPr>
        <w:tabs>
          <w:tab w:val="left" w:pos="1576"/>
        </w:tabs>
        <w:spacing w:line="446" w:lineRule="auto"/>
        <w:ind w:left="418" w:right="1505" w:firstLine="419"/>
        <w:rPr>
          <w:sz w:val="21"/>
        </w:rPr>
      </w:pPr>
      <w:r>
        <w:rPr>
          <w:spacing w:val="-3"/>
          <w:sz w:val="21"/>
        </w:rPr>
        <w:t>车载消防炮采用无线遥控时，无线遥控信号不应对消防车其他控制系统和通信系统的工作造成干扰。</w:t>
      </w:r>
      <w:r>
        <w:rPr>
          <w:sz w:val="21"/>
        </w:rPr>
        <w:t xml:space="preserve"> </w:t>
      </w:r>
    </w:p>
    <w:p w14:paraId="3937AB60" w14:textId="77777777" w:rsidR="00A71EEF" w:rsidRDefault="0081115D">
      <w:pPr>
        <w:pStyle w:val="a4"/>
        <w:numPr>
          <w:ilvl w:val="2"/>
          <w:numId w:val="793"/>
        </w:numPr>
        <w:tabs>
          <w:tab w:val="left" w:pos="1370"/>
        </w:tabs>
        <w:spacing w:line="267" w:lineRule="exact"/>
        <w:ind w:left="1369" w:hanging="530"/>
        <w:rPr>
          <w:sz w:val="19"/>
        </w:rPr>
      </w:pPr>
      <w:r>
        <w:rPr>
          <w:spacing w:val="-3"/>
          <w:sz w:val="21"/>
        </w:rPr>
        <w:t>最大真空度及密封性</w:t>
      </w:r>
      <w:r>
        <w:rPr>
          <w:spacing w:val="-3"/>
          <w:sz w:val="21"/>
        </w:rPr>
        <w:t xml:space="preserve"> </w:t>
      </w:r>
    </w:p>
    <w:p w14:paraId="27B660F6" w14:textId="77777777" w:rsidR="00A71EEF" w:rsidRDefault="00A71EEF">
      <w:pPr>
        <w:spacing w:line="267" w:lineRule="exact"/>
        <w:rPr>
          <w:sz w:val="19"/>
        </w:rPr>
        <w:sectPr w:rsidR="00A71EEF">
          <w:pgSz w:w="11910" w:h="16850"/>
          <w:pgMar w:top="1220" w:right="0" w:bottom="1420" w:left="1260" w:header="0" w:footer="1239" w:gutter="0"/>
          <w:cols w:space="720"/>
        </w:sectPr>
      </w:pPr>
    </w:p>
    <w:p w14:paraId="1AB28F91" w14:textId="77777777" w:rsidR="00A71EEF" w:rsidRDefault="0081115D">
      <w:pPr>
        <w:pStyle w:val="a3"/>
        <w:spacing w:before="47" w:line="446" w:lineRule="auto"/>
        <w:ind w:left="418" w:right="1560" w:firstLine="419"/>
      </w:pPr>
      <w:r>
        <w:rPr>
          <w:spacing w:val="-8"/>
        </w:rPr>
        <w:lastRenderedPageBreak/>
        <w:t>在大气压力为</w:t>
      </w:r>
      <w:r>
        <w:rPr>
          <w:spacing w:val="-8"/>
        </w:rPr>
        <w:t xml:space="preserve"> </w:t>
      </w:r>
      <w:r>
        <w:t>101kPa</w:t>
      </w:r>
      <w:r>
        <w:rPr>
          <w:spacing w:val="-10"/>
        </w:rPr>
        <w:t xml:space="preserve"> </w:t>
      </w:r>
      <w:r>
        <w:rPr>
          <w:spacing w:val="-10"/>
        </w:rPr>
        <w:t>下，消防车引水装置所能形成的最大真空度不应小于</w:t>
      </w:r>
      <w:r>
        <w:rPr>
          <w:spacing w:val="-10"/>
        </w:rPr>
        <w:t xml:space="preserve"> </w:t>
      </w:r>
      <w:r>
        <w:t>85kPa</w:t>
      </w:r>
      <w:r>
        <w:rPr>
          <w:spacing w:val="-3"/>
        </w:rPr>
        <w:t>。引水系统的密封性在最大真空度条件下</w:t>
      </w:r>
      <w:r>
        <w:t>，</w:t>
      </w:r>
      <w:r>
        <w:t>1min</w:t>
      </w:r>
      <w:r>
        <w:rPr>
          <w:spacing w:val="-12"/>
        </w:rPr>
        <w:t xml:space="preserve"> </w:t>
      </w:r>
      <w:r>
        <w:rPr>
          <w:spacing w:val="-12"/>
        </w:rPr>
        <w:t>内真空度的降低数值不应大于</w:t>
      </w:r>
      <w:r>
        <w:rPr>
          <w:spacing w:val="-12"/>
        </w:rPr>
        <w:t xml:space="preserve"> </w:t>
      </w:r>
      <w:r>
        <w:t>2.6kPa</w:t>
      </w:r>
      <w:r>
        <w:t>。</w:t>
      </w:r>
      <w:r>
        <w:t xml:space="preserve"> </w:t>
      </w:r>
    </w:p>
    <w:p w14:paraId="4F3A6B1E" w14:textId="77777777" w:rsidR="00A71EEF" w:rsidRDefault="0081115D">
      <w:pPr>
        <w:pStyle w:val="a4"/>
        <w:numPr>
          <w:ilvl w:val="2"/>
          <w:numId w:val="793"/>
        </w:numPr>
        <w:tabs>
          <w:tab w:val="left" w:pos="1370"/>
        </w:tabs>
        <w:spacing w:line="267" w:lineRule="exact"/>
        <w:ind w:left="1369" w:hanging="530"/>
        <w:rPr>
          <w:sz w:val="19"/>
        </w:rPr>
      </w:pPr>
      <w:r>
        <w:rPr>
          <w:spacing w:val="-3"/>
          <w:sz w:val="21"/>
        </w:rPr>
        <w:t>最大吸深时消防泵的性能、引水时间</w:t>
      </w:r>
      <w:r>
        <w:rPr>
          <w:sz w:val="21"/>
        </w:rPr>
        <w:t xml:space="preserve"> </w:t>
      </w:r>
    </w:p>
    <w:p w14:paraId="0F2C35A5" w14:textId="77777777" w:rsidR="00A71EEF" w:rsidRDefault="00A71EEF">
      <w:pPr>
        <w:pStyle w:val="a3"/>
        <w:spacing w:before="2"/>
        <w:rPr>
          <w:sz w:val="18"/>
        </w:rPr>
      </w:pPr>
    </w:p>
    <w:p w14:paraId="2E12A2F4" w14:textId="77777777" w:rsidR="00A71EEF" w:rsidRDefault="0081115D">
      <w:pPr>
        <w:pStyle w:val="a4"/>
        <w:numPr>
          <w:ilvl w:val="3"/>
          <w:numId w:val="793"/>
        </w:numPr>
        <w:tabs>
          <w:tab w:val="left" w:pos="1576"/>
        </w:tabs>
        <w:rPr>
          <w:sz w:val="21"/>
        </w:rPr>
      </w:pPr>
      <w:r>
        <w:rPr>
          <w:spacing w:val="-12"/>
          <w:sz w:val="21"/>
        </w:rPr>
        <w:t>在大气压力</w:t>
      </w:r>
      <w:r>
        <w:rPr>
          <w:spacing w:val="-12"/>
          <w:sz w:val="21"/>
        </w:rPr>
        <w:t xml:space="preserve"> </w:t>
      </w:r>
      <w:r>
        <w:rPr>
          <w:sz w:val="21"/>
        </w:rPr>
        <w:t>101kPa</w:t>
      </w:r>
      <w:r>
        <w:rPr>
          <w:spacing w:val="-13"/>
          <w:sz w:val="21"/>
        </w:rPr>
        <w:t>、</w:t>
      </w:r>
      <w:r>
        <w:rPr>
          <w:spacing w:val="-13"/>
          <w:sz w:val="21"/>
        </w:rPr>
        <w:t>,</w:t>
      </w:r>
      <w:r>
        <w:rPr>
          <w:spacing w:val="-13"/>
          <w:sz w:val="21"/>
        </w:rPr>
        <w:t>水温</w:t>
      </w:r>
      <w:r>
        <w:rPr>
          <w:spacing w:val="-13"/>
          <w:sz w:val="21"/>
        </w:rPr>
        <w:t xml:space="preserve"> </w:t>
      </w:r>
      <w:r>
        <w:rPr>
          <w:sz w:val="21"/>
        </w:rPr>
        <w:t>20</w:t>
      </w:r>
      <w:r>
        <w:rPr>
          <w:spacing w:val="-7"/>
          <w:sz w:val="21"/>
        </w:rPr>
        <w:t>℃</w:t>
      </w:r>
      <w:r>
        <w:rPr>
          <w:spacing w:val="-7"/>
          <w:sz w:val="21"/>
        </w:rPr>
        <w:t>下时，最大吸深不应小于</w:t>
      </w:r>
      <w:r>
        <w:rPr>
          <w:spacing w:val="-7"/>
          <w:sz w:val="21"/>
        </w:rPr>
        <w:t xml:space="preserve"> </w:t>
      </w:r>
      <w:r>
        <w:rPr>
          <w:sz w:val="21"/>
        </w:rPr>
        <w:t>7m</w:t>
      </w:r>
      <w:r>
        <w:rPr>
          <w:spacing w:val="-3"/>
          <w:sz w:val="21"/>
        </w:rPr>
        <w:t>。引水时间应符合表</w:t>
      </w:r>
    </w:p>
    <w:p w14:paraId="1C024455" w14:textId="77777777" w:rsidR="00A71EEF" w:rsidRDefault="00A71EEF">
      <w:pPr>
        <w:pStyle w:val="a3"/>
        <w:rPr>
          <w:sz w:val="18"/>
        </w:rPr>
      </w:pPr>
    </w:p>
    <w:p w14:paraId="1E04349E" w14:textId="77777777" w:rsidR="00A71EEF" w:rsidRDefault="0081115D">
      <w:pPr>
        <w:pStyle w:val="a3"/>
        <w:ind w:left="418"/>
      </w:pPr>
      <w:r>
        <w:pict w14:anchorId="021EFD05">
          <v:group id="_x0000_s1178" style="position:absolute;left:0;text-align:left;margin-left:95.9pt;margin-top:19.7pt;width:395.25pt;height:173.5pt;z-index:-251500032;mso-wrap-distance-left:0;mso-wrap-distance-right:0;mso-position-horizontal-relative:page" coordorigin="1918,394" coordsize="7905,3470">
            <v:shape id="_x0000_s1180" type="#_x0000_t75" style="position:absolute;left:1918;top:394;width:7905;height:2595">
              <v:imagedata r:id="rId82" o:title=""/>
            </v:shape>
            <v:shape id="_x0000_s1179" type="#_x0000_t75" style="position:absolute;left:1994;top:1029;width:7619;height:2835">
              <v:imagedata r:id="rId83" o:title=""/>
            </v:shape>
            <w10:wrap type="topAndBottom" anchorx="page"/>
          </v:group>
        </w:pict>
      </w:r>
      <w:r>
        <w:t xml:space="preserve">1 </w:t>
      </w:r>
      <w:r>
        <w:t>的要求。</w:t>
      </w:r>
      <w:r>
        <w:t xml:space="preserve"> </w:t>
      </w:r>
    </w:p>
    <w:p w14:paraId="22634CAB" w14:textId="77777777" w:rsidR="00A71EEF" w:rsidRDefault="0081115D">
      <w:pPr>
        <w:pStyle w:val="a4"/>
        <w:numPr>
          <w:ilvl w:val="3"/>
          <w:numId w:val="793"/>
        </w:numPr>
        <w:tabs>
          <w:tab w:val="left" w:pos="1576"/>
        </w:tabs>
        <w:spacing w:before="163"/>
        <w:rPr>
          <w:sz w:val="21"/>
        </w:rPr>
      </w:pPr>
      <w:r>
        <w:rPr>
          <w:spacing w:val="-6"/>
          <w:sz w:val="21"/>
        </w:rPr>
        <w:t>在最大吸深时，消防泵的流量和出口压力应满足表</w:t>
      </w:r>
      <w:r>
        <w:rPr>
          <w:spacing w:val="-6"/>
          <w:sz w:val="21"/>
        </w:rPr>
        <w:t xml:space="preserve"> </w:t>
      </w:r>
      <w:r>
        <w:rPr>
          <w:sz w:val="21"/>
        </w:rPr>
        <w:t>2</w:t>
      </w:r>
      <w:r>
        <w:rPr>
          <w:spacing w:val="-13"/>
          <w:sz w:val="21"/>
        </w:rPr>
        <w:t xml:space="preserve"> </w:t>
      </w:r>
      <w:r>
        <w:rPr>
          <w:spacing w:val="-13"/>
          <w:sz w:val="21"/>
        </w:rPr>
        <w:t>的规定。</w:t>
      </w:r>
      <w:r>
        <w:rPr>
          <w:sz w:val="21"/>
        </w:rPr>
        <w:t xml:space="preserve"> </w:t>
      </w:r>
    </w:p>
    <w:p w14:paraId="56810999" w14:textId="77777777" w:rsidR="00A71EEF" w:rsidRDefault="00A71EEF">
      <w:pPr>
        <w:pStyle w:val="a3"/>
        <w:rPr>
          <w:sz w:val="18"/>
        </w:rPr>
      </w:pPr>
    </w:p>
    <w:p w14:paraId="2F5A0561" w14:textId="77777777" w:rsidR="00A71EEF" w:rsidRDefault="0081115D">
      <w:pPr>
        <w:pStyle w:val="a4"/>
        <w:numPr>
          <w:ilvl w:val="2"/>
          <w:numId w:val="793"/>
        </w:numPr>
        <w:tabs>
          <w:tab w:val="left" w:pos="1370"/>
        </w:tabs>
        <w:ind w:left="1369" w:hanging="530"/>
        <w:rPr>
          <w:sz w:val="19"/>
        </w:rPr>
      </w:pPr>
      <w:r>
        <w:rPr>
          <w:spacing w:val="-3"/>
          <w:sz w:val="21"/>
        </w:rPr>
        <w:t>连续运转试验</w:t>
      </w:r>
      <w:r>
        <w:rPr>
          <w:sz w:val="21"/>
        </w:rPr>
        <w:t xml:space="preserve"> </w:t>
      </w:r>
    </w:p>
    <w:p w14:paraId="2B8D2910" w14:textId="77777777" w:rsidR="00A71EEF" w:rsidRDefault="00A71EEF">
      <w:pPr>
        <w:pStyle w:val="a3"/>
        <w:rPr>
          <w:sz w:val="18"/>
        </w:rPr>
      </w:pPr>
    </w:p>
    <w:p w14:paraId="616D27F2" w14:textId="77777777" w:rsidR="00A71EEF" w:rsidRDefault="0081115D">
      <w:pPr>
        <w:pStyle w:val="a3"/>
        <w:ind w:left="838"/>
      </w:pPr>
      <w:r>
        <w:t>水罐车</w:t>
      </w:r>
      <w:r>
        <w:t xml:space="preserve"> 6h </w:t>
      </w:r>
      <w:r>
        <w:t>连续运转试验应满足以下要求：</w:t>
      </w:r>
      <w:r>
        <w:t xml:space="preserve"> </w:t>
      </w:r>
    </w:p>
    <w:p w14:paraId="33A266A7" w14:textId="77777777" w:rsidR="00A71EEF" w:rsidRDefault="00A71EEF">
      <w:pPr>
        <w:pStyle w:val="a3"/>
        <w:spacing w:before="1"/>
        <w:rPr>
          <w:sz w:val="18"/>
        </w:rPr>
      </w:pPr>
    </w:p>
    <w:p w14:paraId="7848D22E" w14:textId="77777777" w:rsidR="00A71EEF" w:rsidRDefault="0081115D">
      <w:pPr>
        <w:pStyle w:val="a3"/>
        <w:spacing w:before="1"/>
        <w:ind w:left="838"/>
      </w:pPr>
      <w:r>
        <w:t>——</w:t>
      </w:r>
      <w:r>
        <w:t>在连续运转试验过程中，发动机转速不应超过发动机的额定转速；</w:t>
      </w:r>
      <w:r>
        <w:t xml:space="preserve"> </w:t>
      </w:r>
    </w:p>
    <w:p w14:paraId="1CB433C9" w14:textId="77777777" w:rsidR="00A71EEF" w:rsidRDefault="00A71EEF">
      <w:pPr>
        <w:pStyle w:val="a3"/>
        <w:spacing w:before="12"/>
        <w:rPr>
          <w:sz w:val="17"/>
        </w:rPr>
      </w:pPr>
    </w:p>
    <w:p w14:paraId="48337046" w14:textId="77777777" w:rsidR="00A71EEF" w:rsidRDefault="0081115D">
      <w:pPr>
        <w:pStyle w:val="a3"/>
        <w:ind w:left="838"/>
      </w:pPr>
      <w:r>
        <w:t>——</w:t>
      </w:r>
      <w:r>
        <w:t>发动机无异响、过度振动、漏水、漏油、漏气等异常现象；</w:t>
      </w:r>
      <w:r>
        <w:t xml:space="preserve"> </w:t>
      </w:r>
    </w:p>
    <w:p w14:paraId="7867077E" w14:textId="77777777" w:rsidR="00A71EEF" w:rsidRDefault="00A71EEF">
      <w:pPr>
        <w:pStyle w:val="a3"/>
        <w:spacing w:before="12"/>
        <w:rPr>
          <w:sz w:val="17"/>
        </w:rPr>
      </w:pPr>
    </w:p>
    <w:p w14:paraId="2397535A" w14:textId="77777777" w:rsidR="00A71EEF" w:rsidRDefault="0081115D">
      <w:pPr>
        <w:pStyle w:val="a3"/>
        <w:ind w:left="838"/>
      </w:pPr>
      <w:r>
        <w:rPr>
          <w:spacing w:val="-7"/>
        </w:rPr>
        <w:t>——</w:t>
      </w:r>
      <w:r>
        <w:rPr>
          <w:spacing w:val="-7"/>
        </w:rPr>
        <w:t>发动机出水温度小于</w:t>
      </w:r>
      <w:r>
        <w:rPr>
          <w:spacing w:val="-7"/>
        </w:rPr>
        <w:t xml:space="preserve"> </w:t>
      </w:r>
      <w:r>
        <w:t>90℃</w:t>
      </w:r>
      <w:r>
        <w:t>；</w:t>
      </w:r>
      <w:r>
        <w:t xml:space="preserve"> </w:t>
      </w:r>
    </w:p>
    <w:p w14:paraId="7F6570CB" w14:textId="77777777" w:rsidR="00A71EEF" w:rsidRDefault="00A71EEF">
      <w:pPr>
        <w:pStyle w:val="a3"/>
        <w:spacing w:before="2"/>
        <w:rPr>
          <w:sz w:val="18"/>
        </w:rPr>
      </w:pPr>
    </w:p>
    <w:p w14:paraId="71A5186D" w14:textId="77777777" w:rsidR="00A71EEF" w:rsidRDefault="0081115D">
      <w:pPr>
        <w:pStyle w:val="a3"/>
        <w:ind w:left="838"/>
      </w:pPr>
      <w:r>
        <w:rPr>
          <w:spacing w:val="-7"/>
        </w:rPr>
        <w:t>——</w:t>
      </w:r>
      <w:r>
        <w:rPr>
          <w:spacing w:val="-7"/>
        </w:rPr>
        <w:t>发动机机油溢度小于</w:t>
      </w:r>
      <w:r>
        <w:rPr>
          <w:spacing w:val="-7"/>
        </w:rPr>
        <w:t xml:space="preserve"> </w:t>
      </w:r>
      <w:r>
        <w:t>95℃</w:t>
      </w:r>
      <w:r>
        <w:t>；</w:t>
      </w:r>
      <w:r>
        <w:t xml:space="preserve"> </w:t>
      </w:r>
    </w:p>
    <w:p w14:paraId="65A6F107" w14:textId="77777777" w:rsidR="00A71EEF" w:rsidRDefault="00A71EEF">
      <w:pPr>
        <w:pStyle w:val="a3"/>
        <w:rPr>
          <w:sz w:val="18"/>
        </w:rPr>
      </w:pPr>
    </w:p>
    <w:p w14:paraId="507974E1" w14:textId="77777777" w:rsidR="00A71EEF" w:rsidRDefault="0081115D">
      <w:pPr>
        <w:pStyle w:val="a3"/>
        <w:ind w:left="838"/>
      </w:pPr>
      <w:r>
        <w:t>——</w:t>
      </w:r>
      <w:r>
        <w:t>变速器及取力器的润滑油温度应小于</w:t>
      </w:r>
      <w:r>
        <w:t xml:space="preserve"> 100℃</w:t>
      </w:r>
      <w:r>
        <w:t>；</w:t>
      </w:r>
      <w:r>
        <w:t xml:space="preserve"> </w:t>
      </w:r>
    </w:p>
    <w:p w14:paraId="5E85C5AF" w14:textId="77777777" w:rsidR="00A71EEF" w:rsidRDefault="00A71EEF">
      <w:pPr>
        <w:pStyle w:val="a3"/>
        <w:rPr>
          <w:sz w:val="18"/>
        </w:rPr>
      </w:pPr>
    </w:p>
    <w:p w14:paraId="4CFDC4A2" w14:textId="77777777" w:rsidR="00A71EEF" w:rsidRDefault="0081115D">
      <w:pPr>
        <w:pStyle w:val="a3"/>
        <w:spacing w:line="446" w:lineRule="auto"/>
        <w:ind w:left="840" w:right="5341" w:hanging="3"/>
      </w:pPr>
      <w:r>
        <w:t>——</w:t>
      </w:r>
      <w:r>
        <w:t>取力器的输出轴轴承座温度应小于</w:t>
      </w:r>
      <w:r>
        <w:t xml:space="preserve"> 100℃</w:t>
      </w:r>
      <w:r>
        <w:t>；</w:t>
      </w:r>
      <w:r>
        <w:t xml:space="preserve"> </w:t>
      </w:r>
      <w:r>
        <w:rPr>
          <w:b/>
        </w:rPr>
        <w:t xml:space="preserve">4.4.8 </w:t>
      </w:r>
      <w:r>
        <w:t>水罐车超负荷运转性能</w:t>
      </w:r>
      <w:r>
        <w:t xml:space="preserve"> </w:t>
      </w:r>
    </w:p>
    <w:p w14:paraId="3E6D5092" w14:textId="77777777" w:rsidR="00A71EEF" w:rsidRDefault="0081115D">
      <w:pPr>
        <w:pStyle w:val="a3"/>
        <w:spacing w:line="446" w:lineRule="auto"/>
        <w:ind w:left="840" w:right="1505" w:hanging="3"/>
        <w:rPr>
          <w:b/>
        </w:rPr>
      </w:pPr>
      <w:r>
        <w:t>水罐车应迸行超负荷运转试验，发动机和消防泵应工作正常，无过度振动、漏油等现象。</w:t>
      </w:r>
      <w:r>
        <w:rPr>
          <w:b/>
        </w:rPr>
        <w:t xml:space="preserve">4.5 </w:t>
      </w:r>
      <w:r>
        <w:t>仪器、仪表的要求</w:t>
      </w:r>
      <w:r>
        <w:rPr>
          <w:b/>
          <w:w w:val="99"/>
        </w:rPr>
        <w:t xml:space="preserve"> </w:t>
      </w:r>
    </w:p>
    <w:p w14:paraId="02B8C317" w14:textId="77777777" w:rsidR="00A71EEF" w:rsidRDefault="0081115D">
      <w:pPr>
        <w:pStyle w:val="a3"/>
        <w:ind w:left="840"/>
      </w:pPr>
      <w:r>
        <w:rPr>
          <w:b/>
        </w:rPr>
        <w:t xml:space="preserve">4.5.1 </w:t>
      </w:r>
      <w:r>
        <w:t>仪器、仪表应符合</w:t>
      </w:r>
      <w:r>
        <w:t xml:space="preserve"> GB 7956.1—2014 </w:t>
      </w:r>
      <w:r>
        <w:t>中</w:t>
      </w:r>
      <w:r>
        <w:t xml:space="preserve"> 5.6 </w:t>
      </w:r>
      <w:r>
        <w:t>的规定。</w:t>
      </w:r>
      <w:r>
        <w:t xml:space="preserve"> </w:t>
      </w:r>
    </w:p>
    <w:p w14:paraId="0520F8DD" w14:textId="77777777" w:rsidR="00A71EEF" w:rsidRDefault="00A71EEF">
      <w:pPr>
        <w:pStyle w:val="a3"/>
        <w:spacing w:before="12"/>
        <w:rPr>
          <w:sz w:val="17"/>
        </w:rPr>
      </w:pPr>
    </w:p>
    <w:p w14:paraId="5CF7EFE8" w14:textId="77777777" w:rsidR="00A71EEF" w:rsidRDefault="0081115D">
      <w:pPr>
        <w:ind w:left="840"/>
        <w:rPr>
          <w:sz w:val="21"/>
        </w:rPr>
      </w:pPr>
      <w:r>
        <w:rPr>
          <w:b/>
          <w:sz w:val="21"/>
        </w:rPr>
        <w:t xml:space="preserve">4.5.2 </w:t>
      </w:r>
      <w:r>
        <w:rPr>
          <w:sz w:val="21"/>
        </w:rPr>
        <w:t>显示负压的真空表应选用压力真空联用表。</w:t>
      </w:r>
      <w:r>
        <w:rPr>
          <w:sz w:val="21"/>
        </w:rPr>
        <w:t xml:space="preserve"> </w:t>
      </w:r>
    </w:p>
    <w:p w14:paraId="2EBB7BE7" w14:textId="77777777" w:rsidR="00A71EEF" w:rsidRDefault="00A71EEF">
      <w:pPr>
        <w:pStyle w:val="a3"/>
        <w:rPr>
          <w:sz w:val="18"/>
        </w:rPr>
      </w:pPr>
    </w:p>
    <w:p w14:paraId="698D154C" w14:textId="77777777" w:rsidR="00A71EEF" w:rsidRDefault="0081115D">
      <w:pPr>
        <w:pStyle w:val="a4"/>
        <w:numPr>
          <w:ilvl w:val="1"/>
          <w:numId w:val="791"/>
        </w:numPr>
        <w:tabs>
          <w:tab w:val="left" w:pos="1159"/>
        </w:tabs>
        <w:ind w:hanging="319"/>
        <w:rPr>
          <w:b/>
          <w:sz w:val="21"/>
        </w:rPr>
      </w:pPr>
      <w:r>
        <w:rPr>
          <w:spacing w:val="-3"/>
          <w:sz w:val="21"/>
        </w:rPr>
        <w:t>器材摆放、固定和配备</w:t>
      </w:r>
      <w:r>
        <w:rPr>
          <w:b/>
          <w:spacing w:val="-3"/>
          <w:w w:val="99"/>
          <w:sz w:val="21"/>
        </w:rPr>
        <w:t xml:space="preserve"> </w:t>
      </w:r>
    </w:p>
    <w:p w14:paraId="6476F048" w14:textId="77777777" w:rsidR="00A71EEF" w:rsidRDefault="00A71EEF">
      <w:pPr>
        <w:pStyle w:val="a3"/>
        <w:spacing w:before="2"/>
        <w:rPr>
          <w:b/>
          <w:sz w:val="18"/>
        </w:rPr>
      </w:pPr>
    </w:p>
    <w:p w14:paraId="41ECD4AB" w14:textId="77777777" w:rsidR="00A71EEF" w:rsidRDefault="0081115D">
      <w:pPr>
        <w:pStyle w:val="a3"/>
        <w:ind w:left="840"/>
      </w:pPr>
      <w:r>
        <w:rPr>
          <w:b/>
        </w:rPr>
        <w:t xml:space="preserve">4.6.1 </w:t>
      </w:r>
      <w:r>
        <w:t>器材的摆放和固定应符合</w:t>
      </w:r>
      <w:r>
        <w:t xml:space="preserve"> GB7956.1—2014 </w:t>
      </w:r>
      <w:r>
        <w:t>中</w:t>
      </w:r>
      <w:r>
        <w:t xml:space="preserve"> 5.10</w:t>
      </w:r>
      <w:r>
        <w:t>、</w:t>
      </w:r>
      <w:r>
        <w:t xml:space="preserve">5.11 </w:t>
      </w:r>
      <w:r>
        <w:t>的规定。</w:t>
      </w:r>
      <w:r>
        <w:t xml:space="preserve"> </w:t>
      </w:r>
    </w:p>
    <w:p w14:paraId="35A78E25" w14:textId="77777777" w:rsidR="00A71EEF" w:rsidRDefault="00A71EEF">
      <w:pPr>
        <w:sectPr w:rsidR="00A71EEF">
          <w:pgSz w:w="11910" w:h="16850"/>
          <w:pgMar w:top="1220" w:right="0" w:bottom="1420" w:left="1260" w:header="0" w:footer="1239" w:gutter="0"/>
          <w:cols w:space="720"/>
        </w:sectPr>
      </w:pPr>
    </w:p>
    <w:p w14:paraId="7804FC1A" w14:textId="77777777" w:rsidR="00A71EEF" w:rsidRDefault="0081115D">
      <w:pPr>
        <w:spacing w:before="47"/>
        <w:ind w:left="840"/>
        <w:rPr>
          <w:sz w:val="21"/>
        </w:rPr>
      </w:pPr>
      <w:r>
        <w:rPr>
          <w:b/>
          <w:sz w:val="21"/>
        </w:rPr>
        <w:lastRenderedPageBreak/>
        <w:t>4.6.2</w:t>
      </w:r>
      <w:r>
        <w:rPr>
          <w:b/>
          <w:spacing w:val="103"/>
          <w:sz w:val="21"/>
        </w:rPr>
        <w:t xml:space="preserve"> </w:t>
      </w:r>
      <w:r>
        <w:rPr>
          <w:spacing w:val="-7"/>
          <w:sz w:val="21"/>
        </w:rPr>
        <w:t>配备的器材、附件应不低于表</w:t>
      </w:r>
      <w:r>
        <w:rPr>
          <w:spacing w:val="-7"/>
          <w:sz w:val="21"/>
        </w:rPr>
        <w:t xml:space="preserve"> </w:t>
      </w:r>
      <w:r>
        <w:rPr>
          <w:sz w:val="21"/>
        </w:rPr>
        <w:t>3</w:t>
      </w:r>
      <w:r>
        <w:rPr>
          <w:spacing w:val="-13"/>
          <w:sz w:val="21"/>
        </w:rPr>
        <w:t xml:space="preserve"> </w:t>
      </w:r>
      <w:r>
        <w:rPr>
          <w:spacing w:val="-13"/>
          <w:sz w:val="21"/>
        </w:rPr>
        <w:t>的规定。</w:t>
      </w:r>
      <w:r>
        <w:rPr>
          <w:sz w:val="21"/>
        </w:rPr>
        <w:t xml:space="preserve"> </w:t>
      </w:r>
    </w:p>
    <w:p w14:paraId="72486967" w14:textId="77777777" w:rsidR="00A71EEF" w:rsidRDefault="0081115D">
      <w:pPr>
        <w:pStyle w:val="a3"/>
        <w:spacing w:before="11"/>
        <w:rPr>
          <w:sz w:val="7"/>
        </w:rPr>
      </w:pPr>
      <w:r>
        <w:pict w14:anchorId="79DD55EC">
          <v:group id="_x0000_s1175" style="position:absolute;margin-left:102.6pt;margin-top:7pt;width:401.25pt;height:406.55pt;z-index:-251499008;mso-wrap-distance-left:0;mso-wrap-distance-right:0;mso-position-horizontal-relative:page" coordorigin="2052,140" coordsize="8025,8131">
            <v:shape id="_x0000_s1177" type="#_x0000_t75" style="position:absolute;left:2128;top:140;width:7635;height:2775">
              <v:imagedata r:id="rId84" o:title=""/>
            </v:shape>
            <v:shape id="_x0000_s1176" type="#_x0000_t75" style="position:absolute;left:2052;top:635;width:8025;height:7636">
              <v:imagedata r:id="rId85" o:title=""/>
            </v:shape>
            <w10:wrap type="topAndBottom" anchorx="page"/>
          </v:group>
        </w:pict>
      </w:r>
    </w:p>
    <w:p w14:paraId="5F008D47" w14:textId="77777777" w:rsidR="00A71EEF" w:rsidRDefault="00A71EEF">
      <w:pPr>
        <w:pStyle w:val="a3"/>
        <w:rPr>
          <w:sz w:val="20"/>
        </w:rPr>
      </w:pPr>
    </w:p>
    <w:p w14:paraId="3338B62F" w14:textId="77777777" w:rsidR="00A71EEF" w:rsidRDefault="00A71EEF">
      <w:pPr>
        <w:pStyle w:val="a3"/>
        <w:spacing w:before="2"/>
        <w:rPr>
          <w:sz w:val="26"/>
        </w:rPr>
      </w:pPr>
    </w:p>
    <w:p w14:paraId="21B1F74D" w14:textId="77777777" w:rsidR="00A71EEF" w:rsidRDefault="0081115D">
      <w:pPr>
        <w:pStyle w:val="a4"/>
        <w:numPr>
          <w:ilvl w:val="1"/>
          <w:numId w:val="791"/>
        </w:numPr>
        <w:tabs>
          <w:tab w:val="left" w:pos="1159"/>
        </w:tabs>
        <w:spacing w:before="72"/>
        <w:ind w:hanging="319"/>
        <w:rPr>
          <w:b/>
          <w:sz w:val="21"/>
        </w:rPr>
      </w:pPr>
      <w:r>
        <w:rPr>
          <w:spacing w:val="-3"/>
          <w:sz w:val="21"/>
        </w:rPr>
        <w:t>警报灯具</w:t>
      </w:r>
      <w:r>
        <w:rPr>
          <w:b/>
          <w:w w:val="99"/>
          <w:sz w:val="21"/>
        </w:rPr>
        <w:t xml:space="preserve"> </w:t>
      </w:r>
    </w:p>
    <w:p w14:paraId="436910BA" w14:textId="77777777" w:rsidR="00A71EEF" w:rsidRDefault="00A71EEF">
      <w:pPr>
        <w:pStyle w:val="a3"/>
        <w:spacing w:before="12"/>
        <w:rPr>
          <w:b/>
          <w:sz w:val="17"/>
        </w:rPr>
      </w:pPr>
    </w:p>
    <w:p w14:paraId="30B37B8D" w14:textId="77777777" w:rsidR="00A71EEF" w:rsidRDefault="0081115D">
      <w:pPr>
        <w:pStyle w:val="a3"/>
        <w:spacing w:line="446" w:lineRule="auto"/>
        <w:ind w:left="840" w:right="3611" w:hanging="3"/>
        <w:rPr>
          <w:b/>
        </w:rPr>
      </w:pPr>
      <w:r>
        <w:rPr>
          <w:spacing w:val="-8"/>
        </w:rPr>
        <w:t>警报灯具性能应符合</w:t>
      </w:r>
      <w:r>
        <w:rPr>
          <w:spacing w:val="-8"/>
        </w:rPr>
        <w:t xml:space="preserve"> </w:t>
      </w:r>
      <w:r>
        <w:t>GB7956.1—2014</w:t>
      </w:r>
      <w:r>
        <w:rPr>
          <w:spacing w:val="-35"/>
        </w:rPr>
        <w:t xml:space="preserve"> </w:t>
      </w:r>
      <w:r>
        <w:rPr>
          <w:spacing w:val="-35"/>
        </w:rPr>
        <w:t>中</w:t>
      </w:r>
      <w:r>
        <w:rPr>
          <w:spacing w:val="-35"/>
        </w:rPr>
        <w:t xml:space="preserve"> </w:t>
      </w:r>
      <w:r>
        <w:t>5.7.28</w:t>
      </w:r>
      <w:r>
        <w:t>～</w:t>
      </w:r>
      <w:r>
        <w:t>5.7.31</w:t>
      </w:r>
      <w:r>
        <w:rPr>
          <w:spacing w:val="-13"/>
        </w:rPr>
        <w:t xml:space="preserve"> </w:t>
      </w:r>
      <w:r>
        <w:rPr>
          <w:spacing w:val="-13"/>
        </w:rPr>
        <w:t>的规定。</w:t>
      </w:r>
      <w:r>
        <w:rPr>
          <w:b/>
        </w:rPr>
        <w:t xml:space="preserve">4.8 </w:t>
      </w:r>
      <w:r>
        <w:rPr>
          <w:spacing w:val="-3"/>
        </w:rPr>
        <w:t>随车文件、工具及易损件</w:t>
      </w:r>
      <w:r>
        <w:rPr>
          <w:b/>
          <w:w w:val="99"/>
        </w:rPr>
        <w:t xml:space="preserve"> </w:t>
      </w:r>
    </w:p>
    <w:p w14:paraId="70978ABD" w14:textId="77777777" w:rsidR="00A71EEF" w:rsidRDefault="0081115D">
      <w:pPr>
        <w:pStyle w:val="a4"/>
        <w:numPr>
          <w:ilvl w:val="2"/>
          <w:numId w:val="790"/>
        </w:numPr>
        <w:tabs>
          <w:tab w:val="left" w:pos="1370"/>
        </w:tabs>
        <w:spacing w:line="446" w:lineRule="auto"/>
        <w:ind w:right="1604" w:firstLine="422"/>
        <w:rPr>
          <w:sz w:val="21"/>
        </w:rPr>
      </w:pPr>
      <w:r>
        <w:rPr>
          <w:spacing w:val="-3"/>
          <w:sz w:val="21"/>
        </w:rPr>
        <w:t>消防车交付用户时除应交付车辆注册所需资料外，还应随车交付用户以下中文文件资料：</w:t>
      </w:r>
      <w:r>
        <w:rPr>
          <w:sz w:val="21"/>
        </w:rPr>
        <w:t xml:space="preserve"> </w:t>
      </w:r>
    </w:p>
    <w:p w14:paraId="00B26F8C" w14:textId="77777777" w:rsidR="00A71EEF" w:rsidRDefault="0081115D">
      <w:pPr>
        <w:pStyle w:val="a3"/>
        <w:ind w:left="838"/>
      </w:pPr>
      <w:r>
        <w:t>——</w:t>
      </w:r>
      <w:r>
        <w:t>底盘操作手册；</w:t>
      </w:r>
      <w:r>
        <w:t xml:space="preserve"> </w:t>
      </w:r>
    </w:p>
    <w:p w14:paraId="586DFD23" w14:textId="77777777" w:rsidR="00A71EEF" w:rsidRDefault="00A71EEF">
      <w:pPr>
        <w:pStyle w:val="a3"/>
        <w:rPr>
          <w:sz w:val="18"/>
        </w:rPr>
      </w:pPr>
    </w:p>
    <w:p w14:paraId="0E951929" w14:textId="77777777" w:rsidR="00A71EEF" w:rsidRDefault="0081115D">
      <w:pPr>
        <w:pStyle w:val="a3"/>
        <w:ind w:left="838"/>
      </w:pPr>
      <w:r>
        <w:t>——</w:t>
      </w:r>
      <w:r>
        <w:t>底盘维修手册及零部件目录；</w:t>
      </w:r>
      <w:r>
        <w:t xml:space="preserve"> </w:t>
      </w:r>
    </w:p>
    <w:p w14:paraId="08F2F8FD" w14:textId="77777777" w:rsidR="00A71EEF" w:rsidRDefault="00A71EEF">
      <w:pPr>
        <w:pStyle w:val="a3"/>
        <w:spacing w:before="12"/>
        <w:rPr>
          <w:sz w:val="17"/>
        </w:rPr>
      </w:pPr>
    </w:p>
    <w:p w14:paraId="6C46B323" w14:textId="77777777" w:rsidR="00A71EEF" w:rsidRDefault="0081115D">
      <w:pPr>
        <w:pStyle w:val="a3"/>
        <w:ind w:left="838"/>
      </w:pPr>
      <w:r>
        <w:t>——</w:t>
      </w:r>
      <w:r>
        <w:t>底盘质量保证书和售后服务说明书；</w:t>
      </w:r>
      <w:r>
        <w:t xml:space="preserve"> </w:t>
      </w:r>
    </w:p>
    <w:p w14:paraId="6F532C84" w14:textId="77777777" w:rsidR="00A71EEF" w:rsidRDefault="00A71EEF">
      <w:pPr>
        <w:pStyle w:val="a3"/>
        <w:spacing w:before="2"/>
        <w:rPr>
          <w:sz w:val="18"/>
        </w:rPr>
      </w:pPr>
    </w:p>
    <w:p w14:paraId="64DFA5E2" w14:textId="77777777" w:rsidR="00A71EEF" w:rsidRDefault="0081115D">
      <w:pPr>
        <w:pStyle w:val="a3"/>
        <w:ind w:left="838"/>
      </w:pPr>
      <w:r>
        <w:t>——</w:t>
      </w:r>
      <w:r>
        <w:t>底盘合格证；</w:t>
      </w:r>
      <w:r>
        <w:t xml:space="preserve"> </w:t>
      </w:r>
    </w:p>
    <w:p w14:paraId="72EBB886" w14:textId="77777777" w:rsidR="00A71EEF" w:rsidRDefault="00A71EEF">
      <w:pPr>
        <w:pStyle w:val="a3"/>
        <w:rPr>
          <w:sz w:val="18"/>
        </w:rPr>
      </w:pPr>
    </w:p>
    <w:p w14:paraId="5812DC52" w14:textId="77777777" w:rsidR="00A71EEF" w:rsidRDefault="0081115D">
      <w:pPr>
        <w:pStyle w:val="a3"/>
        <w:ind w:left="838"/>
      </w:pPr>
      <w:r>
        <w:t>——</w:t>
      </w:r>
      <w:r>
        <w:t>底盘随车工具清单；</w:t>
      </w:r>
      <w:r>
        <w:t xml:space="preserve"> </w:t>
      </w:r>
    </w:p>
    <w:p w14:paraId="669B2881" w14:textId="77777777" w:rsidR="00A71EEF" w:rsidRDefault="00A71EEF">
      <w:pPr>
        <w:sectPr w:rsidR="00A71EEF">
          <w:pgSz w:w="11910" w:h="16850"/>
          <w:pgMar w:top="1220" w:right="0" w:bottom="1420" w:left="1260" w:header="0" w:footer="1239" w:gutter="0"/>
          <w:cols w:space="720"/>
        </w:sectPr>
      </w:pPr>
    </w:p>
    <w:p w14:paraId="696DBA39" w14:textId="77777777" w:rsidR="00A71EEF" w:rsidRDefault="0081115D">
      <w:pPr>
        <w:pStyle w:val="a3"/>
        <w:spacing w:before="47"/>
        <w:ind w:left="838"/>
      </w:pPr>
      <w:r>
        <w:rPr>
          <w:spacing w:val="-3"/>
        </w:rPr>
        <w:lastRenderedPageBreak/>
        <w:t>——</w:t>
      </w:r>
      <w:r>
        <w:rPr>
          <w:spacing w:val="-3"/>
        </w:rPr>
        <w:t>消防车电气原理图；</w:t>
      </w:r>
      <w:r>
        <w:t xml:space="preserve"> </w:t>
      </w:r>
    </w:p>
    <w:p w14:paraId="318E02FC" w14:textId="77777777" w:rsidR="00A71EEF" w:rsidRDefault="00A71EEF">
      <w:pPr>
        <w:pStyle w:val="a3"/>
        <w:rPr>
          <w:sz w:val="18"/>
        </w:rPr>
      </w:pPr>
    </w:p>
    <w:p w14:paraId="30155510" w14:textId="77777777" w:rsidR="00A71EEF" w:rsidRDefault="0081115D">
      <w:pPr>
        <w:pStyle w:val="a3"/>
        <w:ind w:left="838"/>
      </w:pPr>
      <w:r>
        <w:rPr>
          <w:spacing w:val="-3"/>
        </w:rPr>
        <w:t>——</w:t>
      </w:r>
      <w:r>
        <w:rPr>
          <w:spacing w:val="-3"/>
        </w:rPr>
        <w:t>消防车使用说明书；</w:t>
      </w:r>
      <w:r>
        <w:t xml:space="preserve"> </w:t>
      </w:r>
    </w:p>
    <w:p w14:paraId="3D6D26A5" w14:textId="77777777" w:rsidR="00A71EEF" w:rsidRDefault="00A71EEF">
      <w:pPr>
        <w:pStyle w:val="a3"/>
        <w:rPr>
          <w:sz w:val="18"/>
        </w:rPr>
      </w:pPr>
    </w:p>
    <w:p w14:paraId="1F706DFF" w14:textId="77777777" w:rsidR="00A71EEF" w:rsidRDefault="0081115D">
      <w:pPr>
        <w:pStyle w:val="a3"/>
        <w:ind w:left="838"/>
      </w:pPr>
      <w:r>
        <w:t>——</w:t>
      </w:r>
      <w:r>
        <w:t>消防车维修、保养手册及零部件目录；</w:t>
      </w:r>
      <w:r>
        <w:t xml:space="preserve"> </w:t>
      </w:r>
    </w:p>
    <w:p w14:paraId="37389240" w14:textId="77777777" w:rsidR="00A71EEF" w:rsidRDefault="00A71EEF">
      <w:pPr>
        <w:pStyle w:val="a3"/>
        <w:spacing w:before="1"/>
        <w:rPr>
          <w:sz w:val="18"/>
        </w:rPr>
      </w:pPr>
    </w:p>
    <w:p w14:paraId="104F6716" w14:textId="77777777" w:rsidR="00A71EEF" w:rsidRDefault="0081115D">
      <w:pPr>
        <w:pStyle w:val="a3"/>
        <w:spacing w:before="1"/>
        <w:ind w:left="838"/>
      </w:pPr>
      <w:r>
        <w:t>——</w:t>
      </w:r>
      <w:r>
        <w:t>消防车合格证；</w:t>
      </w:r>
      <w:r>
        <w:t xml:space="preserve"> </w:t>
      </w:r>
    </w:p>
    <w:p w14:paraId="5132758E" w14:textId="77777777" w:rsidR="00A71EEF" w:rsidRDefault="00A71EEF">
      <w:pPr>
        <w:pStyle w:val="a3"/>
        <w:spacing w:before="12"/>
        <w:rPr>
          <w:sz w:val="17"/>
        </w:rPr>
      </w:pPr>
    </w:p>
    <w:p w14:paraId="17D4BC21" w14:textId="77777777" w:rsidR="00A71EEF" w:rsidRDefault="0081115D">
      <w:pPr>
        <w:pStyle w:val="a3"/>
        <w:ind w:left="838"/>
      </w:pPr>
      <w:r>
        <w:t>——</w:t>
      </w:r>
      <w:r>
        <w:t>质量保证和售后服务承诺；</w:t>
      </w:r>
      <w:r>
        <w:t xml:space="preserve"> </w:t>
      </w:r>
    </w:p>
    <w:p w14:paraId="5741F4E9" w14:textId="77777777" w:rsidR="00A71EEF" w:rsidRDefault="00A71EEF">
      <w:pPr>
        <w:pStyle w:val="a3"/>
        <w:spacing w:before="12"/>
        <w:rPr>
          <w:sz w:val="17"/>
        </w:rPr>
      </w:pPr>
    </w:p>
    <w:p w14:paraId="185D6DF5" w14:textId="77777777" w:rsidR="00A71EEF" w:rsidRDefault="0081115D">
      <w:pPr>
        <w:pStyle w:val="a3"/>
        <w:ind w:left="838"/>
      </w:pPr>
      <w:r>
        <w:t>——</w:t>
      </w:r>
      <w:r>
        <w:t>消防车随车工具及易损件清单；</w:t>
      </w:r>
      <w:r>
        <w:t xml:space="preserve"> </w:t>
      </w:r>
    </w:p>
    <w:p w14:paraId="53500547" w14:textId="77777777" w:rsidR="00A71EEF" w:rsidRDefault="00A71EEF">
      <w:pPr>
        <w:pStyle w:val="a3"/>
        <w:spacing w:before="2"/>
        <w:rPr>
          <w:sz w:val="18"/>
        </w:rPr>
      </w:pPr>
    </w:p>
    <w:p w14:paraId="3FE75440" w14:textId="77777777" w:rsidR="00A71EEF" w:rsidRDefault="0081115D">
      <w:pPr>
        <w:pStyle w:val="a3"/>
        <w:ind w:left="838"/>
      </w:pPr>
      <w:r>
        <w:t>——</w:t>
      </w:r>
      <w:r>
        <w:t>所配总成及附件的合柊证和使用说明书。</w:t>
      </w:r>
      <w:r>
        <w:t xml:space="preserve"> </w:t>
      </w:r>
    </w:p>
    <w:p w14:paraId="289804D3" w14:textId="77777777" w:rsidR="00A71EEF" w:rsidRDefault="00A71EEF">
      <w:pPr>
        <w:pStyle w:val="a3"/>
        <w:rPr>
          <w:sz w:val="18"/>
        </w:rPr>
      </w:pPr>
    </w:p>
    <w:p w14:paraId="6AFDE9DE" w14:textId="77777777" w:rsidR="00A71EEF" w:rsidRDefault="0081115D">
      <w:pPr>
        <w:pStyle w:val="a4"/>
        <w:numPr>
          <w:ilvl w:val="2"/>
          <w:numId w:val="790"/>
        </w:numPr>
        <w:tabs>
          <w:tab w:val="left" w:pos="1371"/>
        </w:tabs>
        <w:ind w:left="1370" w:hanging="531"/>
        <w:rPr>
          <w:sz w:val="21"/>
        </w:rPr>
      </w:pPr>
      <w:r>
        <w:rPr>
          <w:spacing w:val="-3"/>
          <w:sz w:val="21"/>
        </w:rPr>
        <w:t>消防车除随车配置底盘工具外还应随车配置消防装置的专用工具</w:t>
      </w:r>
      <w:r>
        <w:rPr>
          <w:spacing w:val="-3"/>
          <w:sz w:val="21"/>
        </w:rPr>
        <w:t>.</w:t>
      </w:r>
      <w:r>
        <w:rPr>
          <w:spacing w:val="-3"/>
          <w:sz w:val="21"/>
        </w:rPr>
        <w:t>。</w:t>
      </w:r>
      <w:r>
        <w:rPr>
          <w:spacing w:val="-3"/>
          <w:sz w:val="21"/>
        </w:rPr>
        <w:t xml:space="preserve"> </w:t>
      </w:r>
    </w:p>
    <w:p w14:paraId="2A01D3F9" w14:textId="77777777" w:rsidR="00A71EEF" w:rsidRDefault="00A71EEF">
      <w:pPr>
        <w:pStyle w:val="a3"/>
        <w:rPr>
          <w:sz w:val="18"/>
        </w:rPr>
      </w:pPr>
    </w:p>
    <w:p w14:paraId="232DC7B5" w14:textId="77777777" w:rsidR="00A71EEF" w:rsidRDefault="0081115D">
      <w:pPr>
        <w:pStyle w:val="a4"/>
        <w:numPr>
          <w:ilvl w:val="2"/>
          <w:numId w:val="790"/>
        </w:numPr>
        <w:tabs>
          <w:tab w:val="left" w:pos="1371"/>
        </w:tabs>
        <w:ind w:left="1370" w:hanging="531"/>
        <w:rPr>
          <w:sz w:val="21"/>
        </w:rPr>
      </w:pPr>
      <w:r>
        <w:rPr>
          <w:spacing w:val="-3"/>
          <w:sz w:val="21"/>
        </w:rPr>
        <w:t>消防车应随车配置全套消防装备电路保险丝。</w:t>
      </w:r>
      <w:r>
        <w:rPr>
          <w:spacing w:val="-3"/>
          <w:sz w:val="21"/>
        </w:rPr>
        <w:t xml:space="preserve"> </w:t>
      </w:r>
    </w:p>
    <w:p w14:paraId="2E5332D6" w14:textId="77777777" w:rsidR="00A71EEF" w:rsidRDefault="00A71EEF">
      <w:pPr>
        <w:pStyle w:val="a3"/>
        <w:spacing w:before="10"/>
        <w:rPr>
          <w:sz w:val="15"/>
        </w:rPr>
      </w:pPr>
    </w:p>
    <w:p w14:paraId="48D20B8A" w14:textId="77777777" w:rsidR="00A71EEF" w:rsidRDefault="0081115D">
      <w:pPr>
        <w:pStyle w:val="4"/>
      </w:pPr>
      <w:r>
        <w:t xml:space="preserve">5 </w:t>
      </w:r>
      <w:r>
        <w:t>试验方法</w:t>
      </w:r>
      <w:r>
        <w:rPr>
          <w:w w:val="99"/>
        </w:rPr>
        <w:t xml:space="preserve"> </w:t>
      </w:r>
    </w:p>
    <w:p w14:paraId="3D119822" w14:textId="77777777" w:rsidR="00A71EEF" w:rsidRDefault="00A71EEF">
      <w:pPr>
        <w:pStyle w:val="a3"/>
        <w:spacing w:before="4"/>
        <w:rPr>
          <w:b/>
          <w:sz w:val="17"/>
        </w:rPr>
      </w:pPr>
    </w:p>
    <w:p w14:paraId="67061283" w14:textId="77777777" w:rsidR="00A71EEF" w:rsidRDefault="0081115D">
      <w:pPr>
        <w:ind w:left="840"/>
        <w:rPr>
          <w:b/>
          <w:sz w:val="21"/>
        </w:rPr>
      </w:pPr>
      <w:r>
        <w:rPr>
          <w:b/>
          <w:sz w:val="21"/>
        </w:rPr>
        <w:t xml:space="preserve">5.1 </w:t>
      </w:r>
      <w:r>
        <w:rPr>
          <w:sz w:val="21"/>
        </w:rPr>
        <w:t>基本要求试验</w:t>
      </w:r>
      <w:r>
        <w:rPr>
          <w:b/>
          <w:w w:val="99"/>
          <w:sz w:val="21"/>
        </w:rPr>
        <w:t xml:space="preserve"> </w:t>
      </w:r>
    </w:p>
    <w:p w14:paraId="6F011456" w14:textId="77777777" w:rsidR="00A71EEF" w:rsidRDefault="00A71EEF">
      <w:pPr>
        <w:pStyle w:val="a3"/>
        <w:spacing w:before="12"/>
        <w:rPr>
          <w:b/>
          <w:sz w:val="17"/>
        </w:rPr>
      </w:pPr>
    </w:p>
    <w:p w14:paraId="177624E6" w14:textId="77777777" w:rsidR="00A71EEF" w:rsidRDefault="0081115D">
      <w:pPr>
        <w:pStyle w:val="a3"/>
        <w:ind w:left="838"/>
      </w:pPr>
      <w:r>
        <w:t>试验按</w:t>
      </w:r>
      <w:r>
        <w:t xml:space="preserve"> GB 7956.1—2014 </w:t>
      </w:r>
      <w:r>
        <w:t>第六章的相关内容进行，判断试验结果是否符合</w:t>
      </w:r>
      <w:r>
        <w:t xml:space="preserve"> GB 7955.1—2014</w:t>
      </w:r>
    </w:p>
    <w:p w14:paraId="2A72568F" w14:textId="77777777" w:rsidR="00A71EEF" w:rsidRDefault="00A71EEF">
      <w:pPr>
        <w:pStyle w:val="a3"/>
        <w:spacing w:before="2"/>
        <w:rPr>
          <w:sz w:val="18"/>
        </w:rPr>
      </w:pPr>
    </w:p>
    <w:p w14:paraId="7F6F7EF7" w14:textId="77777777" w:rsidR="00A71EEF" w:rsidRDefault="0081115D">
      <w:pPr>
        <w:spacing w:line="446" w:lineRule="auto"/>
        <w:ind w:left="840" w:right="8016" w:hanging="423"/>
        <w:rPr>
          <w:b/>
          <w:sz w:val="21"/>
        </w:rPr>
      </w:pPr>
      <w:r>
        <w:rPr>
          <w:spacing w:val="-3"/>
          <w:sz w:val="21"/>
        </w:rPr>
        <w:t>第五章的相关要求。</w:t>
      </w:r>
      <w:r>
        <w:rPr>
          <w:spacing w:val="-3"/>
          <w:sz w:val="21"/>
        </w:rPr>
        <w:t xml:space="preserve"> </w:t>
      </w:r>
      <w:r>
        <w:rPr>
          <w:b/>
          <w:sz w:val="21"/>
        </w:rPr>
        <w:t>5.2</w:t>
      </w:r>
      <w:r>
        <w:rPr>
          <w:b/>
          <w:spacing w:val="3"/>
          <w:sz w:val="21"/>
        </w:rPr>
        <w:t xml:space="preserve"> </w:t>
      </w:r>
      <w:r>
        <w:rPr>
          <w:spacing w:val="-3"/>
          <w:sz w:val="21"/>
        </w:rPr>
        <w:t>整车要求试验</w:t>
      </w:r>
      <w:r>
        <w:rPr>
          <w:b/>
          <w:w w:val="99"/>
          <w:sz w:val="21"/>
        </w:rPr>
        <w:t xml:space="preserve"> </w:t>
      </w:r>
    </w:p>
    <w:p w14:paraId="7366D3D2" w14:textId="77777777" w:rsidR="00A71EEF" w:rsidRDefault="0081115D">
      <w:pPr>
        <w:pStyle w:val="a4"/>
        <w:numPr>
          <w:ilvl w:val="2"/>
          <w:numId w:val="789"/>
        </w:numPr>
        <w:tabs>
          <w:tab w:val="left" w:pos="1370"/>
        </w:tabs>
        <w:spacing w:line="267" w:lineRule="exact"/>
        <w:ind w:hanging="530"/>
        <w:rPr>
          <w:sz w:val="21"/>
        </w:rPr>
      </w:pPr>
      <w:r>
        <w:rPr>
          <w:spacing w:val="-3"/>
          <w:sz w:val="21"/>
        </w:rPr>
        <w:t>一般要求试验</w:t>
      </w:r>
      <w:r>
        <w:rPr>
          <w:sz w:val="21"/>
        </w:rPr>
        <w:t xml:space="preserve"> </w:t>
      </w:r>
    </w:p>
    <w:p w14:paraId="4AD91680" w14:textId="77777777" w:rsidR="00A71EEF" w:rsidRDefault="00A71EEF">
      <w:pPr>
        <w:pStyle w:val="a3"/>
        <w:spacing w:before="2"/>
        <w:rPr>
          <w:sz w:val="18"/>
        </w:rPr>
      </w:pPr>
    </w:p>
    <w:p w14:paraId="0541060B" w14:textId="77777777" w:rsidR="00A71EEF" w:rsidRDefault="0081115D">
      <w:pPr>
        <w:pStyle w:val="a4"/>
        <w:numPr>
          <w:ilvl w:val="3"/>
          <w:numId w:val="789"/>
        </w:numPr>
        <w:tabs>
          <w:tab w:val="left" w:pos="1576"/>
        </w:tabs>
        <w:spacing w:line="446" w:lineRule="auto"/>
        <w:ind w:right="1505" w:firstLine="419"/>
        <w:rPr>
          <w:sz w:val="21"/>
        </w:rPr>
      </w:pPr>
      <w:r>
        <w:rPr>
          <w:spacing w:val="-8"/>
          <w:sz w:val="21"/>
        </w:rPr>
        <w:t>在满载条种下行驶</w:t>
      </w:r>
      <w:r>
        <w:rPr>
          <w:spacing w:val="-8"/>
          <w:sz w:val="21"/>
        </w:rPr>
        <w:t xml:space="preserve"> </w:t>
      </w:r>
      <w:r>
        <w:rPr>
          <w:sz w:val="21"/>
        </w:rPr>
        <w:t>100km</w:t>
      </w:r>
      <w:r>
        <w:rPr>
          <w:spacing w:val="-12"/>
          <w:sz w:val="21"/>
        </w:rPr>
        <w:t xml:space="preserve"> </w:t>
      </w:r>
      <w:r>
        <w:rPr>
          <w:spacing w:val="-12"/>
          <w:sz w:val="21"/>
        </w:rPr>
        <w:t>后，停在平整，坚硬的地面上，在</w:t>
      </w:r>
      <w:r>
        <w:rPr>
          <w:spacing w:val="-12"/>
          <w:sz w:val="21"/>
        </w:rPr>
        <w:t xml:space="preserve"> </w:t>
      </w:r>
      <w:r>
        <w:rPr>
          <w:sz w:val="21"/>
        </w:rPr>
        <w:t>3m</w:t>
      </w:r>
      <w:r>
        <w:rPr>
          <w:spacing w:val="-9"/>
          <w:sz w:val="21"/>
        </w:rPr>
        <w:t xml:space="preserve"> </w:t>
      </w:r>
      <w:r>
        <w:rPr>
          <w:spacing w:val="-9"/>
          <w:sz w:val="21"/>
        </w:rPr>
        <w:t>吸深下，将连接好</w:t>
      </w:r>
      <w:r>
        <w:rPr>
          <w:spacing w:val="-5"/>
          <w:sz w:val="21"/>
        </w:rPr>
        <w:t>滤水器的吸水管接在消防泵进口并放入水中，启动发动机并接合消防泵，并在消防泵额定工况</w:t>
      </w:r>
      <w:r>
        <w:rPr>
          <w:spacing w:val="-12"/>
          <w:sz w:val="21"/>
        </w:rPr>
        <w:t>下连续工作</w:t>
      </w:r>
      <w:r>
        <w:rPr>
          <w:spacing w:val="-12"/>
          <w:sz w:val="21"/>
        </w:rPr>
        <w:t xml:space="preserve"> </w:t>
      </w:r>
      <w:r>
        <w:rPr>
          <w:sz w:val="21"/>
        </w:rPr>
        <w:t>2h</w:t>
      </w:r>
      <w:r>
        <w:rPr>
          <w:spacing w:val="-6"/>
          <w:sz w:val="21"/>
        </w:rPr>
        <w:t>，当试验条件不是标准环境条件时，应按</w:t>
      </w:r>
      <w:r>
        <w:rPr>
          <w:spacing w:val="-6"/>
          <w:sz w:val="21"/>
        </w:rPr>
        <w:t xml:space="preserve"> </w:t>
      </w:r>
      <w:r>
        <w:rPr>
          <w:sz w:val="21"/>
        </w:rPr>
        <w:t>GB</w:t>
      </w:r>
      <w:r>
        <w:rPr>
          <w:spacing w:val="6"/>
          <w:sz w:val="21"/>
        </w:rPr>
        <w:t xml:space="preserve"> </w:t>
      </w:r>
      <w:r>
        <w:rPr>
          <w:sz w:val="21"/>
        </w:rPr>
        <w:t>6245</w:t>
      </w:r>
      <w:r>
        <w:rPr>
          <w:spacing w:val="3"/>
          <w:sz w:val="21"/>
        </w:rPr>
        <w:t xml:space="preserve">— </w:t>
      </w:r>
      <w:r>
        <w:rPr>
          <w:sz w:val="21"/>
        </w:rPr>
        <w:t>2006</w:t>
      </w:r>
      <w:r>
        <w:rPr>
          <w:spacing w:val="-35"/>
          <w:sz w:val="21"/>
        </w:rPr>
        <w:t xml:space="preserve"> </w:t>
      </w:r>
      <w:r>
        <w:rPr>
          <w:spacing w:val="-35"/>
          <w:sz w:val="21"/>
        </w:rPr>
        <w:t>中</w:t>
      </w:r>
      <w:r>
        <w:rPr>
          <w:spacing w:val="-35"/>
          <w:sz w:val="21"/>
        </w:rPr>
        <w:t xml:space="preserve"> </w:t>
      </w:r>
      <w:r>
        <w:rPr>
          <w:sz w:val="21"/>
        </w:rPr>
        <w:t>10.4.1</w:t>
      </w:r>
      <w:r>
        <w:rPr>
          <w:spacing w:val="-11"/>
          <w:sz w:val="21"/>
        </w:rPr>
        <w:t xml:space="preserve"> </w:t>
      </w:r>
      <w:r>
        <w:rPr>
          <w:spacing w:val="-11"/>
          <w:sz w:val="21"/>
        </w:rPr>
        <w:t>的规定进行</w:t>
      </w:r>
      <w:r>
        <w:rPr>
          <w:spacing w:val="-10"/>
          <w:sz w:val="21"/>
        </w:rPr>
        <w:t>修正。判新试验结果是否符合</w:t>
      </w:r>
      <w:r>
        <w:rPr>
          <w:spacing w:val="-10"/>
          <w:sz w:val="21"/>
        </w:rPr>
        <w:t xml:space="preserve"> </w:t>
      </w:r>
      <w:r>
        <w:rPr>
          <w:sz w:val="21"/>
        </w:rPr>
        <w:t>4.2.1.1</w:t>
      </w:r>
      <w:r>
        <w:rPr>
          <w:spacing w:val="-13"/>
          <w:sz w:val="21"/>
        </w:rPr>
        <w:t xml:space="preserve"> </w:t>
      </w:r>
      <w:r>
        <w:rPr>
          <w:spacing w:val="-13"/>
          <w:sz w:val="21"/>
        </w:rPr>
        <w:t>的要求。</w:t>
      </w:r>
      <w:r>
        <w:rPr>
          <w:sz w:val="21"/>
        </w:rPr>
        <w:t xml:space="preserve"> </w:t>
      </w:r>
    </w:p>
    <w:p w14:paraId="2A9189CC" w14:textId="77777777" w:rsidR="00A71EEF" w:rsidRDefault="0081115D">
      <w:pPr>
        <w:pStyle w:val="a4"/>
        <w:numPr>
          <w:ilvl w:val="3"/>
          <w:numId w:val="789"/>
        </w:numPr>
        <w:tabs>
          <w:tab w:val="left" w:pos="1576"/>
        </w:tabs>
        <w:spacing w:line="267" w:lineRule="exact"/>
        <w:ind w:left="1575"/>
        <w:rPr>
          <w:sz w:val="21"/>
        </w:rPr>
      </w:pPr>
      <w:r>
        <w:rPr>
          <w:spacing w:val="-5"/>
          <w:sz w:val="21"/>
        </w:rPr>
        <w:t>检查转速控制器，并查看操作处的各种指足装置、判断检査结果是否符合</w:t>
      </w:r>
      <w:r>
        <w:rPr>
          <w:spacing w:val="-5"/>
          <w:sz w:val="21"/>
        </w:rPr>
        <w:t xml:space="preserve"> </w:t>
      </w:r>
      <w:r>
        <w:rPr>
          <w:sz w:val="21"/>
        </w:rPr>
        <w:t>4.2.1.2</w:t>
      </w:r>
    </w:p>
    <w:p w14:paraId="2C601A9F" w14:textId="77777777" w:rsidR="00A71EEF" w:rsidRDefault="00A71EEF">
      <w:pPr>
        <w:pStyle w:val="a3"/>
        <w:rPr>
          <w:sz w:val="18"/>
        </w:rPr>
      </w:pPr>
    </w:p>
    <w:p w14:paraId="7DEA127C" w14:textId="77777777" w:rsidR="00A71EEF" w:rsidRDefault="0081115D">
      <w:pPr>
        <w:pStyle w:val="a3"/>
        <w:ind w:left="418"/>
      </w:pPr>
      <w:r>
        <w:t>的要求。</w:t>
      </w:r>
      <w:r>
        <w:t xml:space="preserve"> </w:t>
      </w:r>
    </w:p>
    <w:p w14:paraId="17D41F41" w14:textId="77777777" w:rsidR="00A71EEF" w:rsidRDefault="00A71EEF">
      <w:pPr>
        <w:pStyle w:val="a3"/>
        <w:spacing w:before="1"/>
        <w:rPr>
          <w:sz w:val="18"/>
        </w:rPr>
      </w:pPr>
    </w:p>
    <w:p w14:paraId="3FBFABFF" w14:textId="77777777" w:rsidR="00A71EEF" w:rsidRDefault="0081115D">
      <w:pPr>
        <w:pStyle w:val="a4"/>
        <w:numPr>
          <w:ilvl w:val="3"/>
          <w:numId w:val="789"/>
        </w:numPr>
        <w:tabs>
          <w:tab w:val="left" w:pos="1576"/>
        </w:tabs>
        <w:spacing w:before="1"/>
        <w:ind w:left="1575"/>
        <w:rPr>
          <w:sz w:val="21"/>
        </w:rPr>
      </w:pPr>
      <w:r>
        <w:rPr>
          <w:spacing w:val="-6"/>
          <w:sz w:val="21"/>
        </w:rPr>
        <w:t>检查备自动控制机构，判断检査结果是诉符合</w:t>
      </w:r>
      <w:r>
        <w:rPr>
          <w:spacing w:val="-6"/>
          <w:sz w:val="21"/>
        </w:rPr>
        <w:t xml:space="preserve"> </w:t>
      </w:r>
      <w:r>
        <w:rPr>
          <w:sz w:val="21"/>
        </w:rPr>
        <w:t>42.1.3</w:t>
      </w:r>
      <w:r>
        <w:rPr>
          <w:spacing w:val="-13"/>
          <w:sz w:val="21"/>
        </w:rPr>
        <w:t xml:space="preserve"> </w:t>
      </w:r>
      <w:r>
        <w:rPr>
          <w:spacing w:val="-13"/>
          <w:sz w:val="21"/>
        </w:rPr>
        <w:t>的要求。</w:t>
      </w:r>
      <w:r>
        <w:rPr>
          <w:sz w:val="21"/>
        </w:rPr>
        <w:t xml:space="preserve"> </w:t>
      </w:r>
    </w:p>
    <w:p w14:paraId="373635FF" w14:textId="77777777" w:rsidR="00A71EEF" w:rsidRDefault="00A71EEF">
      <w:pPr>
        <w:pStyle w:val="a3"/>
        <w:spacing w:before="12"/>
        <w:rPr>
          <w:sz w:val="17"/>
        </w:rPr>
      </w:pPr>
    </w:p>
    <w:p w14:paraId="35C241BE" w14:textId="77777777" w:rsidR="00A71EEF" w:rsidRDefault="0081115D">
      <w:pPr>
        <w:pStyle w:val="a4"/>
        <w:numPr>
          <w:ilvl w:val="3"/>
          <w:numId w:val="789"/>
        </w:numPr>
        <w:tabs>
          <w:tab w:val="left" w:pos="1576"/>
        </w:tabs>
        <w:spacing w:line="446" w:lineRule="auto"/>
        <w:ind w:right="1508" w:firstLine="419"/>
        <w:rPr>
          <w:sz w:val="21"/>
        </w:rPr>
      </w:pPr>
      <w:r>
        <w:rPr>
          <w:spacing w:val="-3"/>
          <w:sz w:val="21"/>
        </w:rPr>
        <w:t>检查操作面板上消防泵出口和进口压力表的联接方式及连接管处的标识，用游标卡</w:t>
      </w:r>
      <w:r>
        <w:rPr>
          <w:spacing w:val="-5"/>
          <w:sz w:val="21"/>
        </w:rPr>
        <w:t>尺测量联接螺纹直径和长度，用螺纹规测量螺距，判断检査结果是否符合</w:t>
      </w:r>
      <w:r>
        <w:rPr>
          <w:spacing w:val="-5"/>
          <w:sz w:val="21"/>
        </w:rPr>
        <w:t xml:space="preserve"> </w:t>
      </w:r>
      <w:r>
        <w:rPr>
          <w:sz w:val="21"/>
        </w:rPr>
        <w:t>4.2.1.4</w:t>
      </w:r>
      <w:r>
        <w:rPr>
          <w:spacing w:val="-12"/>
          <w:sz w:val="21"/>
        </w:rPr>
        <w:t xml:space="preserve"> </w:t>
      </w:r>
      <w:r>
        <w:rPr>
          <w:spacing w:val="-12"/>
          <w:sz w:val="21"/>
        </w:rPr>
        <w:t>的要求。</w:t>
      </w:r>
      <w:r>
        <w:rPr>
          <w:sz w:val="21"/>
        </w:rPr>
        <w:t xml:space="preserve"> </w:t>
      </w:r>
    </w:p>
    <w:p w14:paraId="7860E226" w14:textId="77777777" w:rsidR="00A71EEF" w:rsidRDefault="0081115D">
      <w:pPr>
        <w:pStyle w:val="a4"/>
        <w:numPr>
          <w:ilvl w:val="3"/>
          <w:numId w:val="789"/>
        </w:numPr>
        <w:tabs>
          <w:tab w:val="left" w:pos="1576"/>
        </w:tabs>
        <w:spacing w:line="446" w:lineRule="auto"/>
        <w:ind w:right="1609" w:firstLine="419"/>
        <w:rPr>
          <w:sz w:val="21"/>
        </w:rPr>
      </w:pPr>
      <w:r>
        <w:rPr>
          <w:spacing w:val="-3"/>
          <w:sz w:val="21"/>
        </w:rPr>
        <w:t>检查操作面板的出水口，并用卷尺测量其直径和离地高度，判断检查结果足否符</w:t>
      </w:r>
      <w:r>
        <w:rPr>
          <w:spacing w:val="-28"/>
          <w:sz w:val="21"/>
        </w:rPr>
        <w:t>合</w:t>
      </w:r>
      <w:r>
        <w:rPr>
          <w:spacing w:val="-28"/>
          <w:sz w:val="21"/>
        </w:rPr>
        <w:t xml:space="preserve"> </w:t>
      </w:r>
      <w:r>
        <w:rPr>
          <w:sz w:val="21"/>
        </w:rPr>
        <w:t>4.2.1.5</w:t>
      </w:r>
      <w:r>
        <w:rPr>
          <w:spacing w:val="-13"/>
          <w:sz w:val="21"/>
        </w:rPr>
        <w:t xml:space="preserve"> </w:t>
      </w:r>
      <w:r>
        <w:rPr>
          <w:spacing w:val="-13"/>
          <w:sz w:val="21"/>
        </w:rPr>
        <w:t>的要求。</w:t>
      </w:r>
      <w:r>
        <w:rPr>
          <w:sz w:val="21"/>
        </w:rPr>
        <w:t xml:space="preserve"> </w:t>
      </w:r>
    </w:p>
    <w:p w14:paraId="37D0BAA0" w14:textId="77777777" w:rsidR="00A71EEF" w:rsidRDefault="0081115D">
      <w:pPr>
        <w:pStyle w:val="a4"/>
        <w:numPr>
          <w:ilvl w:val="2"/>
          <w:numId w:val="789"/>
        </w:numPr>
        <w:tabs>
          <w:tab w:val="left" w:pos="1370"/>
        </w:tabs>
        <w:spacing w:line="267" w:lineRule="exact"/>
        <w:ind w:hanging="530"/>
        <w:rPr>
          <w:sz w:val="21"/>
        </w:rPr>
      </w:pPr>
      <w:r>
        <w:rPr>
          <w:spacing w:val="-3"/>
          <w:sz w:val="21"/>
        </w:rPr>
        <w:t>操作说明和标识试验</w:t>
      </w:r>
      <w:r>
        <w:rPr>
          <w:spacing w:val="-3"/>
          <w:sz w:val="21"/>
        </w:rPr>
        <w:t xml:space="preserve"> </w:t>
      </w:r>
    </w:p>
    <w:p w14:paraId="5D94587A" w14:textId="77777777" w:rsidR="00A71EEF" w:rsidRDefault="00A71EEF">
      <w:pPr>
        <w:spacing w:line="267" w:lineRule="exact"/>
        <w:rPr>
          <w:sz w:val="21"/>
        </w:rPr>
        <w:sectPr w:rsidR="00A71EEF">
          <w:pgSz w:w="11910" w:h="16850"/>
          <w:pgMar w:top="1220" w:right="0" w:bottom="1420" w:left="1260" w:header="0" w:footer="1239" w:gutter="0"/>
          <w:cols w:space="720"/>
        </w:sectPr>
      </w:pPr>
    </w:p>
    <w:p w14:paraId="1F131DAF" w14:textId="77777777" w:rsidR="00A71EEF" w:rsidRDefault="0081115D">
      <w:pPr>
        <w:pStyle w:val="a4"/>
        <w:numPr>
          <w:ilvl w:val="3"/>
          <w:numId w:val="789"/>
        </w:numPr>
        <w:tabs>
          <w:tab w:val="left" w:pos="1576"/>
        </w:tabs>
        <w:spacing w:before="47" w:line="446" w:lineRule="auto"/>
        <w:ind w:right="1820" w:firstLine="419"/>
        <w:rPr>
          <w:sz w:val="21"/>
        </w:rPr>
      </w:pPr>
      <w:r>
        <w:rPr>
          <w:spacing w:val="-5"/>
          <w:sz w:val="21"/>
        </w:rPr>
        <w:lastRenderedPageBreak/>
        <w:t>目测检査操作面板上的指示或显示装置，判断检査结果是否符合</w:t>
      </w:r>
      <w:r>
        <w:rPr>
          <w:spacing w:val="-5"/>
          <w:sz w:val="21"/>
        </w:rPr>
        <w:t xml:space="preserve"> </w:t>
      </w:r>
      <w:r>
        <w:rPr>
          <w:sz w:val="21"/>
        </w:rPr>
        <w:t>4.2.2.1</w:t>
      </w:r>
      <w:r>
        <w:rPr>
          <w:spacing w:val="-16"/>
          <w:sz w:val="21"/>
        </w:rPr>
        <w:t xml:space="preserve"> </w:t>
      </w:r>
      <w:r>
        <w:rPr>
          <w:spacing w:val="-16"/>
          <w:sz w:val="21"/>
        </w:rPr>
        <w:t>的要</w:t>
      </w:r>
      <w:r>
        <w:rPr>
          <w:spacing w:val="-10"/>
          <w:sz w:val="21"/>
        </w:rPr>
        <w:t>求。</w:t>
      </w:r>
      <w:r>
        <w:rPr>
          <w:sz w:val="21"/>
        </w:rPr>
        <w:t xml:space="preserve"> </w:t>
      </w:r>
    </w:p>
    <w:p w14:paraId="3B66827D" w14:textId="77777777" w:rsidR="00A71EEF" w:rsidRDefault="0081115D">
      <w:pPr>
        <w:pStyle w:val="a4"/>
        <w:numPr>
          <w:ilvl w:val="3"/>
          <w:numId w:val="789"/>
        </w:numPr>
        <w:tabs>
          <w:tab w:val="left" w:pos="1576"/>
        </w:tabs>
        <w:spacing w:line="446" w:lineRule="auto"/>
        <w:ind w:right="1608" w:firstLine="419"/>
        <w:rPr>
          <w:sz w:val="21"/>
        </w:rPr>
      </w:pPr>
      <w:r>
        <w:rPr>
          <w:spacing w:val="-5"/>
          <w:sz w:val="21"/>
        </w:rPr>
        <w:t>目测检查操作面板上是否有水管路系统简图，判断检査结果是否符合</w:t>
      </w:r>
      <w:r>
        <w:rPr>
          <w:spacing w:val="-5"/>
          <w:sz w:val="21"/>
        </w:rPr>
        <w:t xml:space="preserve"> </w:t>
      </w:r>
      <w:r>
        <w:rPr>
          <w:sz w:val="21"/>
        </w:rPr>
        <w:t>4.2.2.2</w:t>
      </w:r>
      <w:r>
        <w:rPr>
          <w:spacing w:val="-24"/>
          <w:sz w:val="21"/>
        </w:rPr>
        <w:t xml:space="preserve"> </w:t>
      </w:r>
      <w:r>
        <w:rPr>
          <w:spacing w:val="-24"/>
          <w:sz w:val="21"/>
        </w:rPr>
        <w:t>的</w:t>
      </w:r>
      <w:r>
        <w:rPr>
          <w:spacing w:val="-17"/>
          <w:sz w:val="21"/>
        </w:rPr>
        <w:t>要求。</w:t>
      </w:r>
      <w:r>
        <w:rPr>
          <w:sz w:val="21"/>
        </w:rPr>
        <w:t xml:space="preserve"> </w:t>
      </w:r>
    </w:p>
    <w:p w14:paraId="66A8CCED" w14:textId="77777777" w:rsidR="00A71EEF" w:rsidRDefault="0081115D">
      <w:pPr>
        <w:pStyle w:val="a4"/>
        <w:numPr>
          <w:ilvl w:val="3"/>
          <w:numId w:val="789"/>
        </w:numPr>
        <w:tabs>
          <w:tab w:val="left" w:pos="1576"/>
        </w:tabs>
        <w:ind w:left="1575"/>
        <w:rPr>
          <w:sz w:val="21"/>
        </w:rPr>
      </w:pPr>
      <w:r>
        <w:rPr>
          <w:spacing w:val="-6"/>
          <w:sz w:val="21"/>
        </w:rPr>
        <w:t>检查水罐注</w:t>
      </w:r>
      <w:r>
        <w:rPr>
          <w:spacing w:val="-6"/>
          <w:sz w:val="21"/>
        </w:rPr>
        <w:t>水口，判断检查结果是否符合</w:t>
      </w:r>
      <w:r>
        <w:rPr>
          <w:spacing w:val="-6"/>
          <w:sz w:val="21"/>
        </w:rPr>
        <w:t xml:space="preserve"> </w:t>
      </w:r>
      <w:r>
        <w:rPr>
          <w:sz w:val="21"/>
        </w:rPr>
        <w:t>4.2.2.3</w:t>
      </w:r>
      <w:r>
        <w:rPr>
          <w:spacing w:val="-13"/>
          <w:sz w:val="21"/>
        </w:rPr>
        <w:t xml:space="preserve"> </w:t>
      </w:r>
      <w:r>
        <w:rPr>
          <w:spacing w:val="-13"/>
          <w:sz w:val="21"/>
        </w:rPr>
        <w:t>的要求。</w:t>
      </w:r>
      <w:r>
        <w:rPr>
          <w:sz w:val="21"/>
        </w:rPr>
        <w:t xml:space="preserve"> </w:t>
      </w:r>
    </w:p>
    <w:p w14:paraId="74CA7FEE" w14:textId="77777777" w:rsidR="00A71EEF" w:rsidRDefault="00A71EEF">
      <w:pPr>
        <w:pStyle w:val="a3"/>
        <w:spacing w:before="10"/>
        <w:rPr>
          <w:sz w:val="17"/>
        </w:rPr>
      </w:pPr>
    </w:p>
    <w:p w14:paraId="179AB384" w14:textId="77777777" w:rsidR="00A71EEF" w:rsidRDefault="0081115D">
      <w:pPr>
        <w:pStyle w:val="a4"/>
        <w:numPr>
          <w:ilvl w:val="1"/>
          <w:numId w:val="788"/>
        </w:numPr>
        <w:tabs>
          <w:tab w:val="left" w:pos="1159"/>
        </w:tabs>
        <w:ind w:hanging="319"/>
        <w:rPr>
          <w:b/>
          <w:sz w:val="21"/>
        </w:rPr>
      </w:pPr>
      <w:r>
        <w:rPr>
          <w:spacing w:val="-3"/>
          <w:sz w:val="21"/>
        </w:rPr>
        <w:t>底盘改制试验</w:t>
      </w:r>
      <w:r>
        <w:rPr>
          <w:b/>
          <w:w w:val="99"/>
          <w:sz w:val="21"/>
        </w:rPr>
        <w:t xml:space="preserve"> </w:t>
      </w:r>
    </w:p>
    <w:p w14:paraId="24E591B7" w14:textId="77777777" w:rsidR="00A71EEF" w:rsidRDefault="00A71EEF">
      <w:pPr>
        <w:pStyle w:val="a3"/>
        <w:spacing w:before="2"/>
        <w:rPr>
          <w:b/>
          <w:sz w:val="18"/>
        </w:rPr>
      </w:pPr>
    </w:p>
    <w:p w14:paraId="1613ED41" w14:textId="77777777" w:rsidR="00A71EEF" w:rsidRDefault="0081115D">
      <w:pPr>
        <w:pStyle w:val="a4"/>
        <w:numPr>
          <w:ilvl w:val="2"/>
          <w:numId w:val="788"/>
        </w:numPr>
        <w:tabs>
          <w:tab w:val="left" w:pos="1371"/>
        </w:tabs>
        <w:rPr>
          <w:sz w:val="21"/>
        </w:rPr>
      </w:pPr>
      <w:r>
        <w:rPr>
          <w:spacing w:val="-18"/>
          <w:sz w:val="21"/>
        </w:rPr>
        <w:t>按照</w:t>
      </w:r>
      <w:r>
        <w:rPr>
          <w:spacing w:val="-18"/>
          <w:sz w:val="21"/>
        </w:rPr>
        <w:t xml:space="preserve"> </w:t>
      </w:r>
      <w:r>
        <w:rPr>
          <w:sz w:val="21"/>
        </w:rPr>
        <w:t>GB79S6.1—2014</w:t>
      </w:r>
      <w:r>
        <w:rPr>
          <w:spacing w:val="-36"/>
          <w:sz w:val="21"/>
        </w:rPr>
        <w:t xml:space="preserve"> </w:t>
      </w:r>
      <w:r>
        <w:rPr>
          <w:spacing w:val="-36"/>
          <w:sz w:val="21"/>
        </w:rPr>
        <w:t>中</w:t>
      </w:r>
      <w:r>
        <w:rPr>
          <w:spacing w:val="-36"/>
          <w:sz w:val="21"/>
        </w:rPr>
        <w:t xml:space="preserve"> </w:t>
      </w:r>
      <w:r>
        <w:rPr>
          <w:sz w:val="21"/>
        </w:rPr>
        <w:t>6.4</w:t>
      </w:r>
      <w:r>
        <w:rPr>
          <w:spacing w:val="-10"/>
          <w:sz w:val="21"/>
        </w:rPr>
        <w:t xml:space="preserve"> </w:t>
      </w:r>
      <w:r>
        <w:rPr>
          <w:spacing w:val="-10"/>
          <w:sz w:val="21"/>
        </w:rPr>
        <w:t>规定的方法进行试验，判断试验结果是否符合</w:t>
      </w:r>
      <w:r>
        <w:rPr>
          <w:spacing w:val="-10"/>
          <w:sz w:val="21"/>
        </w:rPr>
        <w:t xml:space="preserve"> </w:t>
      </w:r>
      <w:r>
        <w:rPr>
          <w:sz w:val="21"/>
        </w:rPr>
        <w:t>4.3.1</w:t>
      </w:r>
    </w:p>
    <w:p w14:paraId="15818CF0" w14:textId="77777777" w:rsidR="00A71EEF" w:rsidRDefault="00A71EEF">
      <w:pPr>
        <w:pStyle w:val="a3"/>
        <w:rPr>
          <w:sz w:val="18"/>
        </w:rPr>
      </w:pPr>
    </w:p>
    <w:p w14:paraId="2608A11D" w14:textId="77777777" w:rsidR="00A71EEF" w:rsidRDefault="0081115D">
      <w:pPr>
        <w:pStyle w:val="a3"/>
        <w:ind w:left="418"/>
      </w:pPr>
      <w:r>
        <w:t>的要求。</w:t>
      </w:r>
      <w:r>
        <w:t xml:space="preserve"> </w:t>
      </w:r>
    </w:p>
    <w:p w14:paraId="3419ABC7" w14:textId="77777777" w:rsidR="00A71EEF" w:rsidRDefault="00A71EEF">
      <w:pPr>
        <w:pStyle w:val="a3"/>
        <w:rPr>
          <w:sz w:val="18"/>
        </w:rPr>
      </w:pPr>
    </w:p>
    <w:p w14:paraId="57DFCDC1" w14:textId="77777777" w:rsidR="00A71EEF" w:rsidRDefault="0081115D">
      <w:pPr>
        <w:pStyle w:val="a4"/>
        <w:numPr>
          <w:ilvl w:val="2"/>
          <w:numId w:val="788"/>
        </w:numPr>
        <w:tabs>
          <w:tab w:val="left" w:pos="1371"/>
        </w:tabs>
        <w:rPr>
          <w:sz w:val="21"/>
        </w:rPr>
      </w:pPr>
      <w:r>
        <w:rPr>
          <w:spacing w:val="-6"/>
          <w:sz w:val="21"/>
        </w:rPr>
        <w:t>检查罐体与底盘的连接方式，判断检查结果是否符合</w:t>
      </w:r>
      <w:r>
        <w:rPr>
          <w:spacing w:val="-6"/>
          <w:sz w:val="21"/>
        </w:rPr>
        <w:t xml:space="preserve"> </w:t>
      </w:r>
      <w:r>
        <w:rPr>
          <w:sz w:val="21"/>
        </w:rPr>
        <w:t>4.3.2</w:t>
      </w:r>
      <w:r>
        <w:rPr>
          <w:spacing w:val="-12"/>
          <w:sz w:val="21"/>
        </w:rPr>
        <w:t xml:space="preserve"> </w:t>
      </w:r>
      <w:r>
        <w:rPr>
          <w:spacing w:val="-12"/>
          <w:sz w:val="21"/>
        </w:rPr>
        <w:t>的要求。</w:t>
      </w:r>
      <w:r>
        <w:rPr>
          <w:spacing w:val="-12"/>
          <w:sz w:val="21"/>
        </w:rPr>
        <w:t xml:space="preserve"> </w:t>
      </w:r>
    </w:p>
    <w:p w14:paraId="3FE5447F" w14:textId="77777777" w:rsidR="00A71EEF" w:rsidRDefault="00A71EEF">
      <w:pPr>
        <w:pStyle w:val="a3"/>
        <w:spacing w:before="2"/>
        <w:rPr>
          <w:sz w:val="18"/>
        </w:rPr>
      </w:pPr>
    </w:p>
    <w:p w14:paraId="59819EBE" w14:textId="77777777" w:rsidR="00A71EEF" w:rsidRDefault="0081115D">
      <w:pPr>
        <w:pStyle w:val="a4"/>
        <w:numPr>
          <w:ilvl w:val="1"/>
          <w:numId w:val="788"/>
        </w:numPr>
        <w:tabs>
          <w:tab w:val="left" w:pos="1159"/>
        </w:tabs>
        <w:ind w:hanging="319"/>
        <w:rPr>
          <w:sz w:val="21"/>
        </w:rPr>
      </w:pPr>
      <w:r>
        <w:rPr>
          <w:spacing w:val="-3"/>
          <w:sz w:val="21"/>
        </w:rPr>
        <w:t>消防水力系统的试验</w:t>
      </w:r>
      <w:r>
        <w:rPr>
          <w:sz w:val="21"/>
        </w:rPr>
        <w:t xml:space="preserve"> </w:t>
      </w:r>
    </w:p>
    <w:p w14:paraId="5CB3BA5C" w14:textId="77777777" w:rsidR="00A71EEF" w:rsidRDefault="00A71EEF">
      <w:pPr>
        <w:pStyle w:val="a3"/>
        <w:spacing w:before="12"/>
        <w:rPr>
          <w:sz w:val="17"/>
        </w:rPr>
      </w:pPr>
    </w:p>
    <w:p w14:paraId="7601455E" w14:textId="77777777" w:rsidR="00A71EEF" w:rsidRDefault="0081115D">
      <w:pPr>
        <w:pStyle w:val="a4"/>
        <w:numPr>
          <w:ilvl w:val="2"/>
          <w:numId w:val="788"/>
        </w:numPr>
        <w:tabs>
          <w:tab w:val="left" w:pos="1370"/>
        </w:tabs>
        <w:ind w:left="1369" w:hanging="530"/>
        <w:rPr>
          <w:sz w:val="21"/>
        </w:rPr>
      </w:pPr>
      <w:r>
        <w:rPr>
          <w:spacing w:val="-3"/>
          <w:sz w:val="21"/>
        </w:rPr>
        <w:t>消防泵检查</w:t>
      </w:r>
      <w:r>
        <w:rPr>
          <w:spacing w:val="-3"/>
          <w:sz w:val="21"/>
        </w:rPr>
        <w:t xml:space="preserve"> </w:t>
      </w:r>
    </w:p>
    <w:p w14:paraId="29CF2135" w14:textId="77777777" w:rsidR="00A71EEF" w:rsidRDefault="00A71EEF">
      <w:pPr>
        <w:pStyle w:val="a3"/>
        <w:spacing w:before="12"/>
        <w:rPr>
          <w:sz w:val="17"/>
        </w:rPr>
      </w:pPr>
    </w:p>
    <w:p w14:paraId="0A39C40D" w14:textId="77777777" w:rsidR="00A71EEF" w:rsidRDefault="0081115D">
      <w:pPr>
        <w:pStyle w:val="a4"/>
        <w:numPr>
          <w:ilvl w:val="3"/>
          <w:numId w:val="788"/>
        </w:numPr>
        <w:tabs>
          <w:tab w:val="left" w:pos="1576"/>
        </w:tabs>
        <w:spacing w:before="1"/>
        <w:rPr>
          <w:sz w:val="21"/>
        </w:rPr>
      </w:pPr>
      <w:r>
        <w:rPr>
          <w:spacing w:val="-6"/>
          <w:sz w:val="21"/>
        </w:rPr>
        <w:t>査阅选用消防泵的相关资科</w:t>
      </w:r>
      <w:r>
        <w:rPr>
          <w:spacing w:val="-6"/>
          <w:sz w:val="21"/>
        </w:rPr>
        <w:t>.</w:t>
      </w:r>
      <w:r>
        <w:rPr>
          <w:spacing w:val="-6"/>
          <w:sz w:val="21"/>
        </w:rPr>
        <w:t>判断检查结果是否符合</w:t>
      </w:r>
      <w:r>
        <w:rPr>
          <w:spacing w:val="-6"/>
          <w:sz w:val="21"/>
        </w:rPr>
        <w:t xml:space="preserve"> </w:t>
      </w:r>
      <w:r>
        <w:rPr>
          <w:sz w:val="21"/>
        </w:rPr>
        <w:t>4.4.1.1</w:t>
      </w:r>
      <w:r>
        <w:rPr>
          <w:spacing w:val="-12"/>
          <w:sz w:val="21"/>
        </w:rPr>
        <w:t xml:space="preserve"> </w:t>
      </w:r>
      <w:r>
        <w:rPr>
          <w:spacing w:val="-12"/>
          <w:sz w:val="21"/>
        </w:rPr>
        <w:t>的要求。</w:t>
      </w:r>
      <w:r>
        <w:rPr>
          <w:spacing w:val="-12"/>
          <w:sz w:val="21"/>
        </w:rPr>
        <w:t xml:space="preserve"> </w:t>
      </w:r>
    </w:p>
    <w:p w14:paraId="6522D95F" w14:textId="77777777" w:rsidR="00A71EEF" w:rsidRDefault="00A71EEF">
      <w:pPr>
        <w:pStyle w:val="a3"/>
        <w:spacing w:before="1"/>
        <w:rPr>
          <w:sz w:val="18"/>
        </w:rPr>
      </w:pPr>
    </w:p>
    <w:p w14:paraId="04FA09A0" w14:textId="77777777" w:rsidR="00A71EEF" w:rsidRDefault="0081115D">
      <w:pPr>
        <w:pStyle w:val="a4"/>
        <w:numPr>
          <w:ilvl w:val="3"/>
          <w:numId w:val="788"/>
        </w:numPr>
        <w:tabs>
          <w:tab w:val="left" w:pos="1576"/>
        </w:tabs>
        <w:rPr>
          <w:sz w:val="21"/>
        </w:rPr>
      </w:pPr>
      <w:r>
        <w:rPr>
          <w:spacing w:val="-6"/>
          <w:sz w:val="21"/>
        </w:rPr>
        <w:t>检査消防泵的放余水装置，判断检查结果是否符合</w:t>
      </w:r>
      <w:r>
        <w:rPr>
          <w:spacing w:val="-6"/>
          <w:sz w:val="21"/>
        </w:rPr>
        <w:t xml:space="preserve"> </w:t>
      </w:r>
      <w:r>
        <w:rPr>
          <w:sz w:val="21"/>
        </w:rPr>
        <w:t>4.4.1.2</w:t>
      </w:r>
      <w:r>
        <w:rPr>
          <w:spacing w:val="-12"/>
          <w:sz w:val="21"/>
        </w:rPr>
        <w:t xml:space="preserve"> </w:t>
      </w:r>
      <w:r>
        <w:rPr>
          <w:spacing w:val="-12"/>
          <w:sz w:val="21"/>
        </w:rPr>
        <w:t>的要求。</w:t>
      </w:r>
      <w:r>
        <w:rPr>
          <w:spacing w:val="-12"/>
          <w:sz w:val="21"/>
        </w:rPr>
        <w:t xml:space="preserve"> </w:t>
      </w:r>
    </w:p>
    <w:p w14:paraId="074FF920" w14:textId="77777777" w:rsidR="00A71EEF" w:rsidRDefault="00A71EEF">
      <w:pPr>
        <w:pStyle w:val="a3"/>
        <w:rPr>
          <w:sz w:val="18"/>
        </w:rPr>
      </w:pPr>
    </w:p>
    <w:p w14:paraId="2214E45E" w14:textId="77777777" w:rsidR="00A71EEF" w:rsidRDefault="0081115D">
      <w:pPr>
        <w:pStyle w:val="a4"/>
        <w:numPr>
          <w:ilvl w:val="3"/>
          <w:numId w:val="788"/>
        </w:numPr>
        <w:tabs>
          <w:tab w:val="left" w:pos="1576"/>
        </w:tabs>
        <w:rPr>
          <w:sz w:val="21"/>
        </w:rPr>
      </w:pPr>
      <w:r>
        <w:rPr>
          <w:spacing w:val="-3"/>
          <w:sz w:val="21"/>
        </w:rPr>
        <w:t>査阅企业设计资料中消防泵与发动机的匹配参数，判断检查结果是否符合</w:t>
      </w:r>
    </w:p>
    <w:p w14:paraId="1689B647" w14:textId="77777777" w:rsidR="00A71EEF" w:rsidRDefault="00A71EEF">
      <w:pPr>
        <w:pStyle w:val="a3"/>
        <w:rPr>
          <w:sz w:val="18"/>
        </w:rPr>
      </w:pPr>
    </w:p>
    <w:p w14:paraId="3C228A40" w14:textId="77777777" w:rsidR="00A71EEF" w:rsidRDefault="0081115D">
      <w:pPr>
        <w:pStyle w:val="a3"/>
        <w:ind w:left="418"/>
      </w:pPr>
      <w:r>
        <w:t xml:space="preserve">4.4.1.3 </w:t>
      </w:r>
      <w:r>
        <w:t>的要求。</w:t>
      </w:r>
      <w:r>
        <w:t xml:space="preserve"> </w:t>
      </w:r>
    </w:p>
    <w:p w14:paraId="141E8588" w14:textId="77777777" w:rsidR="00A71EEF" w:rsidRDefault="00A71EEF">
      <w:pPr>
        <w:pStyle w:val="a3"/>
        <w:spacing w:before="2"/>
        <w:rPr>
          <w:sz w:val="18"/>
        </w:rPr>
      </w:pPr>
    </w:p>
    <w:p w14:paraId="71F5626F" w14:textId="77777777" w:rsidR="00A71EEF" w:rsidRDefault="0081115D">
      <w:pPr>
        <w:pStyle w:val="a4"/>
        <w:numPr>
          <w:ilvl w:val="2"/>
          <w:numId w:val="788"/>
        </w:numPr>
        <w:tabs>
          <w:tab w:val="left" w:pos="1371"/>
        </w:tabs>
        <w:rPr>
          <w:sz w:val="21"/>
        </w:rPr>
      </w:pPr>
      <w:r>
        <w:rPr>
          <w:spacing w:val="-2"/>
          <w:sz w:val="21"/>
        </w:rPr>
        <w:t>消防管路试验</w:t>
      </w:r>
      <w:r>
        <w:rPr>
          <w:spacing w:val="-2"/>
          <w:sz w:val="21"/>
        </w:rPr>
        <w:t xml:space="preserve"> </w:t>
      </w:r>
    </w:p>
    <w:p w14:paraId="6DCE26B8" w14:textId="77777777" w:rsidR="00A71EEF" w:rsidRDefault="00A71EEF">
      <w:pPr>
        <w:pStyle w:val="a3"/>
        <w:spacing w:before="12"/>
        <w:rPr>
          <w:sz w:val="17"/>
        </w:rPr>
      </w:pPr>
    </w:p>
    <w:p w14:paraId="18B05E5A" w14:textId="77777777" w:rsidR="00A71EEF" w:rsidRDefault="0081115D">
      <w:pPr>
        <w:pStyle w:val="a4"/>
        <w:numPr>
          <w:ilvl w:val="3"/>
          <w:numId w:val="788"/>
        </w:numPr>
        <w:tabs>
          <w:tab w:val="left" w:pos="1576"/>
        </w:tabs>
        <w:rPr>
          <w:sz w:val="21"/>
        </w:rPr>
      </w:pPr>
      <w:r>
        <w:rPr>
          <w:spacing w:val="-3"/>
          <w:sz w:val="21"/>
        </w:rPr>
        <w:t>一般要求试验</w:t>
      </w:r>
      <w:r>
        <w:rPr>
          <w:sz w:val="21"/>
        </w:rPr>
        <w:t xml:space="preserve"> </w:t>
      </w:r>
    </w:p>
    <w:p w14:paraId="41205FC3" w14:textId="77777777" w:rsidR="00A71EEF" w:rsidRDefault="00A71EEF">
      <w:pPr>
        <w:pStyle w:val="a3"/>
        <w:spacing w:before="12"/>
        <w:rPr>
          <w:sz w:val="17"/>
        </w:rPr>
      </w:pPr>
    </w:p>
    <w:p w14:paraId="1206971B" w14:textId="77777777" w:rsidR="00A71EEF" w:rsidRDefault="0081115D">
      <w:pPr>
        <w:pStyle w:val="a4"/>
        <w:numPr>
          <w:ilvl w:val="4"/>
          <w:numId w:val="788"/>
        </w:numPr>
        <w:tabs>
          <w:tab w:val="left" w:pos="1788"/>
        </w:tabs>
        <w:spacing w:line="446" w:lineRule="auto"/>
        <w:ind w:right="1510" w:firstLine="419"/>
        <w:rPr>
          <w:sz w:val="21"/>
        </w:rPr>
      </w:pPr>
      <w:r>
        <w:rPr>
          <w:spacing w:val="-5"/>
          <w:sz w:val="21"/>
        </w:rPr>
        <w:t>检查所有消防管路的材质或防腐措施，判断试验结果是否符合</w:t>
      </w:r>
      <w:r>
        <w:rPr>
          <w:spacing w:val="-5"/>
          <w:sz w:val="21"/>
        </w:rPr>
        <w:t xml:space="preserve"> </w:t>
      </w:r>
      <w:r>
        <w:rPr>
          <w:sz w:val="21"/>
        </w:rPr>
        <w:t>4.4.2.1.1</w:t>
      </w:r>
      <w:r>
        <w:rPr>
          <w:spacing w:val="-12"/>
          <w:sz w:val="21"/>
        </w:rPr>
        <w:t xml:space="preserve"> </w:t>
      </w:r>
      <w:r>
        <w:rPr>
          <w:spacing w:val="-12"/>
          <w:sz w:val="21"/>
        </w:rPr>
        <w:t>的要求</w:t>
      </w:r>
      <w:r>
        <w:rPr>
          <w:spacing w:val="-3"/>
          <w:sz w:val="21"/>
        </w:rPr>
        <w:t>。</w:t>
      </w:r>
      <w:r>
        <w:rPr>
          <w:sz w:val="21"/>
        </w:rPr>
        <w:t xml:space="preserve"> </w:t>
      </w:r>
    </w:p>
    <w:p w14:paraId="21DFA36E" w14:textId="77777777" w:rsidR="00A71EEF" w:rsidRDefault="0081115D">
      <w:pPr>
        <w:pStyle w:val="a4"/>
        <w:numPr>
          <w:ilvl w:val="4"/>
          <w:numId w:val="788"/>
        </w:numPr>
        <w:tabs>
          <w:tab w:val="left" w:pos="1788"/>
        </w:tabs>
        <w:spacing w:before="1" w:line="446" w:lineRule="auto"/>
        <w:ind w:right="1820" w:firstLine="419"/>
        <w:rPr>
          <w:sz w:val="21"/>
        </w:rPr>
      </w:pPr>
      <w:r>
        <w:rPr>
          <w:spacing w:val="-5"/>
          <w:sz w:val="21"/>
        </w:rPr>
        <w:t>目测检查所有消防管路的布置情况，判断试验结果是否符合</w:t>
      </w:r>
      <w:r>
        <w:rPr>
          <w:spacing w:val="-5"/>
          <w:sz w:val="21"/>
        </w:rPr>
        <w:t xml:space="preserve"> </w:t>
      </w:r>
      <w:r>
        <w:rPr>
          <w:sz w:val="21"/>
        </w:rPr>
        <w:t>4.4.2.1.2</w:t>
      </w:r>
      <w:r>
        <w:rPr>
          <w:spacing w:val="-16"/>
          <w:sz w:val="21"/>
        </w:rPr>
        <w:t xml:space="preserve"> </w:t>
      </w:r>
      <w:r>
        <w:rPr>
          <w:spacing w:val="-16"/>
          <w:sz w:val="21"/>
        </w:rPr>
        <w:t>的要</w:t>
      </w:r>
      <w:r>
        <w:rPr>
          <w:spacing w:val="-10"/>
          <w:sz w:val="21"/>
        </w:rPr>
        <w:t>求。</w:t>
      </w:r>
      <w:r>
        <w:rPr>
          <w:sz w:val="21"/>
        </w:rPr>
        <w:t xml:space="preserve"> </w:t>
      </w:r>
    </w:p>
    <w:p w14:paraId="1B8D646B" w14:textId="77777777" w:rsidR="00A71EEF" w:rsidRDefault="0081115D">
      <w:pPr>
        <w:pStyle w:val="a4"/>
        <w:numPr>
          <w:ilvl w:val="4"/>
          <w:numId w:val="788"/>
        </w:numPr>
        <w:tabs>
          <w:tab w:val="left" w:pos="1788"/>
        </w:tabs>
        <w:ind w:left="1787"/>
        <w:rPr>
          <w:sz w:val="21"/>
        </w:rPr>
      </w:pPr>
      <w:r>
        <w:rPr>
          <w:spacing w:val="-5"/>
          <w:sz w:val="21"/>
        </w:rPr>
        <w:t>目测检查所有与消防泵相连消防管路的颜色，判断试验结果是否符合</w:t>
      </w:r>
      <w:r>
        <w:rPr>
          <w:spacing w:val="-5"/>
          <w:sz w:val="21"/>
        </w:rPr>
        <w:t xml:space="preserve"> </w:t>
      </w:r>
      <w:r>
        <w:rPr>
          <w:sz w:val="21"/>
        </w:rPr>
        <w:t>4.4.2.1.3</w:t>
      </w:r>
    </w:p>
    <w:p w14:paraId="1A520BDB" w14:textId="77777777" w:rsidR="00A71EEF" w:rsidRDefault="00A71EEF">
      <w:pPr>
        <w:pStyle w:val="a3"/>
        <w:spacing w:before="12"/>
        <w:rPr>
          <w:sz w:val="17"/>
        </w:rPr>
      </w:pPr>
    </w:p>
    <w:p w14:paraId="589D7FC3" w14:textId="77777777" w:rsidR="00A71EEF" w:rsidRDefault="0081115D">
      <w:pPr>
        <w:pStyle w:val="a3"/>
        <w:ind w:left="418"/>
      </w:pPr>
      <w:r>
        <w:t>的要求。</w:t>
      </w:r>
      <w:r>
        <w:t xml:space="preserve"> </w:t>
      </w:r>
    </w:p>
    <w:p w14:paraId="2D3B4650" w14:textId="77777777" w:rsidR="00A71EEF" w:rsidRDefault="00A71EEF">
      <w:pPr>
        <w:pStyle w:val="a3"/>
        <w:spacing w:before="12"/>
        <w:rPr>
          <w:sz w:val="17"/>
        </w:rPr>
      </w:pPr>
    </w:p>
    <w:p w14:paraId="5605492C" w14:textId="77777777" w:rsidR="00A71EEF" w:rsidRDefault="0081115D">
      <w:pPr>
        <w:pStyle w:val="a4"/>
        <w:numPr>
          <w:ilvl w:val="3"/>
          <w:numId w:val="788"/>
        </w:numPr>
        <w:tabs>
          <w:tab w:val="left" w:pos="1576"/>
        </w:tabs>
        <w:rPr>
          <w:sz w:val="21"/>
        </w:rPr>
      </w:pPr>
      <w:r>
        <w:rPr>
          <w:spacing w:val="-3"/>
          <w:sz w:val="21"/>
        </w:rPr>
        <w:t>消防泵进水管路试验</w:t>
      </w:r>
      <w:r>
        <w:rPr>
          <w:sz w:val="21"/>
        </w:rPr>
        <w:t xml:space="preserve"> </w:t>
      </w:r>
    </w:p>
    <w:p w14:paraId="23D4FC38" w14:textId="77777777" w:rsidR="00A71EEF" w:rsidRDefault="00A71EEF">
      <w:pPr>
        <w:pStyle w:val="a3"/>
        <w:spacing w:before="2"/>
        <w:rPr>
          <w:sz w:val="18"/>
        </w:rPr>
      </w:pPr>
    </w:p>
    <w:p w14:paraId="3CDCC503" w14:textId="77777777" w:rsidR="00A71EEF" w:rsidRDefault="0081115D">
      <w:pPr>
        <w:pStyle w:val="a4"/>
        <w:numPr>
          <w:ilvl w:val="4"/>
          <w:numId w:val="788"/>
        </w:numPr>
        <w:tabs>
          <w:tab w:val="left" w:pos="1788"/>
        </w:tabs>
        <w:spacing w:line="446" w:lineRule="auto"/>
        <w:ind w:right="1608" w:firstLine="419"/>
        <w:rPr>
          <w:sz w:val="21"/>
        </w:rPr>
      </w:pPr>
      <w:r>
        <w:rPr>
          <w:spacing w:val="-5"/>
          <w:sz w:val="21"/>
        </w:rPr>
        <w:t>目测检查消防泵进水口位置。消防车停在平整、坚硬的地面上，在</w:t>
      </w:r>
      <w:r>
        <w:rPr>
          <w:spacing w:val="-5"/>
          <w:sz w:val="21"/>
        </w:rPr>
        <w:t xml:space="preserve"> </w:t>
      </w:r>
      <w:r>
        <w:rPr>
          <w:sz w:val="21"/>
        </w:rPr>
        <w:t>3m</w:t>
      </w:r>
      <w:r>
        <w:rPr>
          <w:spacing w:val="-8"/>
          <w:sz w:val="21"/>
        </w:rPr>
        <w:t xml:space="preserve"> </w:t>
      </w:r>
      <w:r>
        <w:rPr>
          <w:spacing w:val="-8"/>
          <w:sz w:val="21"/>
        </w:rPr>
        <w:t>吸深</w:t>
      </w:r>
      <w:r>
        <w:rPr>
          <w:spacing w:val="-8"/>
          <w:sz w:val="21"/>
        </w:rPr>
        <w:t xml:space="preserve"> </w:t>
      </w:r>
      <w:r>
        <w:rPr>
          <w:spacing w:val="-8"/>
          <w:sz w:val="21"/>
        </w:rPr>
        <w:t>下</w:t>
      </w:r>
      <w:r>
        <w:rPr>
          <w:spacing w:val="-4"/>
          <w:sz w:val="21"/>
        </w:rPr>
        <w:t>，将连接好滤水器的吸水管接在消防泵进口井放入水中，启动发动机并接合消防泵。当试验条</w:t>
      </w:r>
      <w:r>
        <w:rPr>
          <w:spacing w:val="-7"/>
          <w:sz w:val="21"/>
        </w:rPr>
        <w:t>件不是标准环境条件时，应按</w:t>
      </w:r>
      <w:r>
        <w:rPr>
          <w:spacing w:val="-7"/>
          <w:sz w:val="21"/>
        </w:rPr>
        <w:t xml:space="preserve"> </w:t>
      </w:r>
      <w:r>
        <w:rPr>
          <w:sz w:val="21"/>
        </w:rPr>
        <w:t>GB</w:t>
      </w:r>
      <w:r>
        <w:rPr>
          <w:spacing w:val="8"/>
          <w:sz w:val="21"/>
        </w:rPr>
        <w:t xml:space="preserve"> </w:t>
      </w:r>
      <w:r>
        <w:rPr>
          <w:sz w:val="21"/>
        </w:rPr>
        <w:t>6245</w:t>
      </w:r>
      <w:r>
        <w:rPr>
          <w:spacing w:val="-34"/>
          <w:sz w:val="21"/>
        </w:rPr>
        <w:t xml:space="preserve"> </w:t>
      </w:r>
      <w:r>
        <w:rPr>
          <w:spacing w:val="-34"/>
          <w:sz w:val="21"/>
        </w:rPr>
        <w:t>一</w:t>
      </w:r>
      <w:r>
        <w:rPr>
          <w:spacing w:val="-34"/>
          <w:sz w:val="21"/>
        </w:rPr>
        <w:t xml:space="preserve"> </w:t>
      </w:r>
      <w:r>
        <w:rPr>
          <w:sz w:val="21"/>
        </w:rPr>
        <w:t>2006</w:t>
      </w:r>
      <w:r>
        <w:rPr>
          <w:spacing w:val="-33"/>
          <w:sz w:val="21"/>
        </w:rPr>
        <w:t xml:space="preserve"> </w:t>
      </w:r>
      <w:r>
        <w:rPr>
          <w:spacing w:val="-33"/>
          <w:sz w:val="21"/>
        </w:rPr>
        <w:t>中</w:t>
      </w:r>
      <w:r>
        <w:rPr>
          <w:spacing w:val="-33"/>
          <w:sz w:val="21"/>
        </w:rPr>
        <w:t xml:space="preserve"> </w:t>
      </w:r>
      <w:r>
        <w:rPr>
          <w:sz w:val="21"/>
        </w:rPr>
        <w:t>10.4.1</w:t>
      </w:r>
      <w:r>
        <w:rPr>
          <w:spacing w:val="-8"/>
          <w:sz w:val="21"/>
        </w:rPr>
        <w:t xml:space="preserve"> </w:t>
      </w:r>
      <w:r>
        <w:rPr>
          <w:spacing w:val="-8"/>
          <w:sz w:val="21"/>
        </w:rPr>
        <w:t>的规定进行修正，检査消防泵压力和流量，判断试验结果是否符合</w:t>
      </w:r>
      <w:r>
        <w:rPr>
          <w:spacing w:val="-8"/>
          <w:sz w:val="21"/>
        </w:rPr>
        <w:t xml:space="preserve"> </w:t>
      </w:r>
      <w:r>
        <w:rPr>
          <w:sz w:val="21"/>
        </w:rPr>
        <w:t>4.4.2.2.1</w:t>
      </w:r>
      <w:r>
        <w:rPr>
          <w:spacing w:val="-12"/>
          <w:sz w:val="21"/>
        </w:rPr>
        <w:t xml:space="preserve"> </w:t>
      </w:r>
      <w:r>
        <w:rPr>
          <w:spacing w:val="-12"/>
          <w:sz w:val="21"/>
        </w:rPr>
        <w:t>的要求。</w:t>
      </w:r>
      <w:r>
        <w:rPr>
          <w:spacing w:val="-12"/>
          <w:sz w:val="21"/>
        </w:rPr>
        <w:t xml:space="preserve"> </w:t>
      </w:r>
    </w:p>
    <w:p w14:paraId="7C7EE7AB" w14:textId="77777777" w:rsidR="00A71EEF" w:rsidRDefault="00A71EEF">
      <w:pPr>
        <w:spacing w:line="446" w:lineRule="auto"/>
        <w:rPr>
          <w:sz w:val="21"/>
        </w:rPr>
        <w:sectPr w:rsidR="00A71EEF">
          <w:pgSz w:w="11910" w:h="16850"/>
          <w:pgMar w:top="1220" w:right="0" w:bottom="1420" w:left="1260" w:header="0" w:footer="1239" w:gutter="0"/>
          <w:cols w:space="720"/>
        </w:sectPr>
      </w:pPr>
    </w:p>
    <w:p w14:paraId="2B8A7452" w14:textId="77777777" w:rsidR="00A71EEF" w:rsidRDefault="0081115D">
      <w:pPr>
        <w:pStyle w:val="a4"/>
        <w:numPr>
          <w:ilvl w:val="4"/>
          <w:numId w:val="788"/>
        </w:numPr>
        <w:tabs>
          <w:tab w:val="left" w:pos="1788"/>
        </w:tabs>
        <w:spacing w:before="47"/>
        <w:ind w:left="1787"/>
        <w:rPr>
          <w:sz w:val="21"/>
        </w:rPr>
      </w:pPr>
      <w:r>
        <w:rPr>
          <w:spacing w:val="-6"/>
          <w:sz w:val="21"/>
        </w:rPr>
        <w:lastRenderedPageBreak/>
        <w:t>检查进水管路的阀门，判断试验结果是否符合</w:t>
      </w:r>
      <w:r>
        <w:rPr>
          <w:spacing w:val="-6"/>
          <w:sz w:val="21"/>
        </w:rPr>
        <w:t xml:space="preserve"> </w:t>
      </w:r>
      <w:r>
        <w:rPr>
          <w:sz w:val="21"/>
        </w:rPr>
        <w:t>4.4.2.2.2</w:t>
      </w:r>
      <w:r>
        <w:rPr>
          <w:spacing w:val="-12"/>
          <w:sz w:val="21"/>
        </w:rPr>
        <w:t xml:space="preserve"> </w:t>
      </w:r>
      <w:r>
        <w:rPr>
          <w:spacing w:val="-12"/>
          <w:sz w:val="21"/>
        </w:rPr>
        <w:t>的要求。</w:t>
      </w:r>
      <w:r>
        <w:rPr>
          <w:spacing w:val="-12"/>
          <w:sz w:val="21"/>
        </w:rPr>
        <w:t xml:space="preserve"> </w:t>
      </w:r>
    </w:p>
    <w:p w14:paraId="799D4886" w14:textId="77777777" w:rsidR="00A71EEF" w:rsidRDefault="00A71EEF">
      <w:pPr>
        <w:pStyle w:val="a3"/>
        <w:rPr>
          <w:sz w:val="18"/>
        </w:rPr>
      </w:pPr>
    </w:p>
    <w:p w14:paraId="21F43B9C" w14:textId="77777777" w:rsidR="00A71EEF" w:rsidRDefault="0081115D">
      <w:pPr>
        <w:pStyle w:val="a4"/>
        <w:numPr>
          <w:ilvl w:val="4"/>
          <w:numId w:val="788"/>
        </w:numPr>
        <w:tabs>
          <w:tab w:val="left" w:pos="1788"/>
        </w:tabs>
        <w:ind w:left="1787"/>
        <w:rPr>
          <w:sz w:val="21"/>
        </w:rPr>
      </w:pPr>
      <w:r>
        <w:rPr>
          <w:spacing w:val="-6"/>
          <w:sz w:val="21"/>
        </w:rPr>
        <w:t>用秒表测定放尽余水的时间，判断试验结杲是否符合</w:t>
      </w:r>
      <w:r>
        <w:rPr>
          <w:spacing w:val="-6"/>
          <w:sz w:val="21"/>
        </w:rPr>
        <w:t xml:space="preserve"> </w:t>
      </w:r>
      <w:r>
        <w:rPr>
          <w:sz w:val="21"/>
        </w:rPr>
        <w:t>4.4.2.2.3</w:t>
      </w:r>
      <w:r>
        <w:rPr>
          <w:spacing w:val="-13"/>
          <w:sz w:val="21"/>
        </w:rPr>
        <w:t xml:space="preserve"> </w:t>
      </w:r>
      <w:r>
        <w:rPr>
          <w:spacing w:val="-13"/>
          <w:sz w:val="21"/>
        </w:rPr>
        <w:t>的要求。</w:t>
      </w:r>
      <w:r>
        <w:rPr>
          <w:sz w:val="21"/>
        </w:rPr>
        <w:t xml:space="preserve"> </w:t>
      </w:r>
    </w:p>
    <w:p w14:paraId="319F9E1F" w14:textId="77777777" w:rsidR="00A71EEF" w:rsidRDefault="00A71EEF">
      <w:pPr>
        <w:pStyle w:val="a3"/>
        <w:rPr>
          <w:sz w:val="18"/>
        </w:rPr>
      </w:pPr>
    </w:p>
    <w:p w14:paraId="5381EBEB" w14:textId="77777777" w:rsidR="00A71EEF" w:rsidRDefault="0081115D">
      <w:pPr>
        <w:pStyle w:val="a4"/>
        <w:numPr>
          <w:ilvl w:val="4"/>
          <w:numId w:val="788"/>
        </w:numPr>
        <w:tabs>
          <w:tab w:val="left" w:pos="1788"/>
        </w:tabs>
        <w:spacing w:line="446" w:lineRule="auto"/>
        <w:ind w:right="1609" w:firstLine="419"/>
        <w:rPr>
          <w:sz w:val="21"/>
        </w:rPr>
      </w:pPr>
      <w:r>
        <w:rPr>
          <w:spacing w:val="-3"/>
          <w:sz w:val="21"/>
        </w:rPr>
        <w:t>目测检查消防泵的每个进水口和吸水管之间的滤网，用游标卡尺测量过流断面</w:t>
      </w:r>
      <w:r>
        <w:rPr>
          <w:spacing w:val="-6"/>
          <w:sz w:val="21"/>
        </w:rPr>
        <w:t>处滤网孔尺寸，判断试验结果是否符合</w:t>
      </w:r>
      <w:r>
        <w:rPr>
          <w:spacing w:val="-6"/>
          <w:sz w:val="21"/>
        </w:rPr>
        <w:t xml:space="preserve"> </w:t>
      </w:r>
      <w:r>
        <w:rPr>
          <w:sz w:val="21"/>
        </w:rPr>
        <w:t>4.4.2.2.4</w:t>
      </w:r>
      <w:r>
        <w:rPr>
          <w:spacing w:val="-13"/>
          <w:sz w:val="21"/>
        </w:rPr>
        <w:t xml:space="preserve"> </w:t>
      </w:r>
      <w:r>
        <w:rPr>
          <w:spacing w:val="-13"/>
          <w:sz w:val="21"/>
        </w:rPr>
        <w:t>的要求。</w:t>
      </w:r>
      <w:r>
        <w:rPr>
          <w:sz w:val="21"/>
        </w:rPr>
        <w:t xml:space="preserve"> </w:t>
      </w:r>
    </w:p>
    <w:p w14:paraId="3A447C59" w14:textId="77777777" w:rsidR="00A71EEF" w:rsidRDefault="0081115D">
      <w:pPr>
        <w:pStyle w:val="a4"/>
        <w:numPr>
          <w:ilvl w:val="4"/>
          <w:numId w:val="788"/>
        </w:numPr>
        <w:tabs>
          <w:tab w:val="left" w:pos="1788"/>
        </w:tabs>
        <w:ind w:left="1787"/>
        <w:rPr>
          <w:sz w:val="21"/>
        </w:rPr>
      </w:pPr>
      <w:r>
        <w:rPr>
          <w:spacing w:val="-6"/>
          <w:sz w:val="21"/>
        </w:rPr>
        <w:t>用卷尺测量吸水管长度，判断试验结果是否符合</w:t>
      </w:r>
      <w:r>
        <w:rPr>
          <w:spacing w:val="-6"/>
          <w:sz w:val="21"/>
        </w:rPr>
        <w:t xml:space="preserve"> </w:t>
      </w:r>
      <w:r>
        <w:rPr>
          <w:sz w:val="21"/>
        </w:rPr>
        <w:t>4.4.2.2.5</w:t>
      </w:r>
      <w:r>
        <w:rPr>
          <w:spacing w:val="-12"/>
          <w:sz w:val="21"/>
        </w:rPr>
        <w:t xml:space="preserve"> </w:t>
      </w:r>
      <w:r>
        <w:rPr>
          <w:spacing w:val="-12"/>
          <w:sz w:val="21"/>
        </w:rPr>
        <w:t>的要求。</w:t>
      </w:r>
      <w:r>
        <w:rPr>
          <w:spacing w:val="-12"/>
          <w:sz w:val="21"/>
        </w:rPr>
        <w:t xml:space="preserve"> </w:t>
      </w:r>
    </w:p>
    <w:p w14:paraId="70634456" w14:textId="77777777" w:rsidR="00A71EEF" w:rsidRDefault="00A71EEF">
      <w:pPr>
        <w:pStyle w:val="a3"/>
        <w:spacing w:before="12"/>
        <w:rPr>
          <w:sz w:val="17"/>
        </w:rPr>
      </w:pPr>
    </w:p>
    <w:p w14:paraId="2B418790" w14:textId="77777777" w:rsidR="00A71EEF" w:rsidRDefault="0081115D">
      <w:pPr>
        <w:pStyle w:val="a3"/>
        <w:ind w:left="838"/>
      </w:pPr>
      <w:r>
        <w:t xml:space="preserve">5,4.2,2,6 </w:t>
      </w:r>
      <w:r>
        <w:t>试验时将各进、出水口封闭，用试压泵向管内压水，达到试验压力后保持</w:t>
      </w:r>
    </w:p>
    <w:p w14:paraId="0BFA5D95" w14:textId="77777777" w:rsidR="00A71EEF" w:rsidRDefault="00A71EEF">
      <w:pPr>
        <w:pStyle w:val="a3"/>
        <w:spacing w:before="2"/>
        <w:rPr>
          <w:sz w:val="18"/>
        </w:rPr>
      </w:pPr>
    </w:p>
    <w:p w14:paraId="1EE4CE6F" w14:textId="77777777" w:rsidR="00A71EEF" w:rsidRDefault="0081115D">
      <w:pPr>
        <w:pStyle w:val="a3"/>
        <w:ind w:left="418"/>
      </w:pPr>
      <w:r>
        <w:t>3min</w:t>
      </w:r>
      <w:r>
        <w:t>，判断试验结果是否符合</w:t>
      </w:r>
      <w:r>
        <w:t xml:space="preserve"> 4.4.2.2.6 </w:t>
      </w:r>
      <w:r>
        <w:t>的要求。</w:t>
      </w:r>
      <w:r>
        <w:t xml:space="preserve"> </w:t>
      </w:r>
    </w:p>
    <w:p w14:paraId="4AD03FBB" w14:textId="77777777" w:rsidR="00A71EEF" w:rsidRDefault="00A71EEF">
      <w:pPr>
        <w:pStyle w:val="a3"/>
        <w:rPr>
          <w:sz w:val="18"/>
        </w:rPr>
      </w:pPr>
    </w:p>
    <w:p w14:paraId="3229C6BF" w14:textId="77777777" w:rsidR="00A71EEF" w:rsidRDefault="0081115D">
      <w:pPr>
        <w:pStyle w:val="a4"/>
        <w:numPr>
          <w:ilvl w:val="3"/>
          <w:numId w:val="788"/>
        </w:numPr>
        <w:tabs>
          <w:tab w:val="left" w:pos="1576"/>
        </w:tabs>
        <w:rPr>
          <w:sz w:val="21"/>
        </w:rPr>
      </w:pPr>
      <w:r>
        <w:rPr>
          <w:spacing w:val="-3"/>
          <w:sz w:val="21"/>
        </w:rPr>
        <w:t>消防泵出水管路试验</w:t>
      </w:r>
      <w:r>
        <w:rPr>
          <w:sz w:val="21"/>
        </w:rPr>
        <w:t xml:space="preserve"> </w:t>
      </w:r>
    </w:p>
    <w:p w14:paraId="07BA50C0" w14:textId="77777777" w:rsidR="00A71EEF" w:rsidRDefault="00A71EEF">
      <w:pPr>
        <w:pStyle w:val="a3"/>
        <w:spacing w:before="12"/>
        <w:rPr>
          <w:sz w:val="17"/>
        </w:rPr>
      </w:pPr>
    </w:p>
    <w:p w14:paraId="11B8948B" w14:textId="77777777" w:rsidR="00A71EEF" w:rsidRDefault="0081115D">
      <w:pPr>
        <w:pStyle w:val="a4"/>
        <w:numPr>
          <w:ilvl w:val="4"/>
          <w:numId w:val="788"/>
        </w:numPr>
        <w:tabs>
          <w:tab w:val="left" w:pos="1788"/>
        </w:tabs>
        <w:spacing w:line="446" w:lineRule="auto"/>
        <w:ind w:right="1505" w:firstLine="419"/>
        <w:rPr>
          <w:sz w:val="21"/>
        </w:rPr>
      </w:pPr>
      <w:r>
        <w:rPr>
          <w:spacing w:val="-3"/>
          <w:sz w:val="21"/>
        </w:rPr>
        <w:t>消防车停在平整、坚硬的地面上，将吸水管</w:t>
      </w:r>
      <w:r>
        <w:rPr>
          <w:spacing w:val="-3"/>
          <w:sz w:val="21"/>
        </w:rPr>
        <w:t>接在消防泵进口并放入水中，将各出口和流量计相连，启动发动机井接合消防泵，在额定转速下运行，测量消防泵的压力和流</w:t>
      </w:r>
      <w:r>
        <w:rPr>
          <w:spacing w:val="-3"/>
          <w:sz w:val="21"/>
        </w:rPr>
        <w:t xml:space="preserve">  </w:t>
      </w:r>
      <w:r>
        <w:rPr>
          <w:spacing w:val="-3"/>
          <w:sz w:val="21"/>
        </w:rPr>
        <w:t>量</w:t>
      </w:r>
      <w:r>
        <w:rPr>
          <w:spacing w:val="-8"/>
          <w:sz w:val="21"/>
        </w:rPr>
        <w:t>，判断试验结果是否符合</w:t>
      </w:r>
      <w:r>
        <w:rPr>
          <w:spacing w:val="-8"/>
          <w:sz w:val="21"/>
        </w:rPr>
        <w:t xml:space="preserve"> </w:t>
      </w:r>
      <w:r>
        <w:rPr>
          <w:sz w:val="21"/>
        </w:rPr>
        <w:t>4.4.2.3.1</w:t>
      </w:r>
      <w:r>
        <w:rPr>
          <w:spacing w:val="-13"/>
          <w:sz w:val="21"/>
        </w:rPr>
        <w:t xml:space="preserve"> </w:t>
      </w:r>
      <w:r>
        <w:rPr>
          <w:spacing w:val="-13"/>
          <w:sz w:val="21"/>
        </w:rPr>
        <w:t>的要求。</w:t>
      </w:r>
      <w:r>
        <w:rPr>
          <w:sz w:val="21"/>
        </w:rPr>
        <w:t xml:space="preserve"> </w:t>
      </w:r>
    </w:p>
    <w:p w14:paraId="71275436" w14:textId="77777777" w:rsidR="00A71EEF" w:rsidRDefault="0081115D">
      <w:pPr>
        <w:pStyle w:val="a4"/>
        <w:numPr>
          <w:ilvl w:val="4"/>
          <w:numId w:val="788"/>
        </w:numPr>
        <w:tabs>
          <w:tab w:val="left" w:pos="1788"/>
        </w:tabs>
        <w:spacing w:line="446" w:lineRule="auto"/>
        <w:ind w:right="1505" w:firstLine="419"/>
        <w:rPr>
          <w:sz w:val="21"/>
        </w:rPr>
      </w:pPr>
      <w:r>
        <w:rPr>
          <w:spacing w:val="-3"/>
          <w:sz w:val="21"/>
        </w:rPr>
        <w:t>消防泵运转结束后：放出水管路余水，用秒表测定放尽余水的时间，判断试验结</w:t>
      </w:r>
      <w:r>
        <w:rPr>
          <w:spacing w:val="-12"/>
          <w:sz w:val="21"/>
        </w:rPr>
        <w:t>果是否符合</w:t>
      </w:r>
      <w:r>
        <w:rPr>
          <w:spacing w:val="-12"/>
          <w:sz w:val="21"/>
        </w:rPr>
        <w:t xml:space="preserve"> </w:t>
      </w:r>
      <w:r>
        <w:rPr>
          <w:sz w:val="21"/>
        </w:rPr>
        <w:t>4.4.2.3.2</w:t>
      </w:r>
      <w:r>
        <w:rPr>
          <w:spacing w:val="-13"/>
          <w:sz w:val="21"/>
        </w:rPr>
        <w:t xml:space="preserve"> </w:t>
      </w:r>
      <w:r>
        <w:rPr>
          <w:spacing w:val="-13"/>
          <w:sz w:val="21"/>
        </w:rPr>
        <w:t>的要求。</w:t>
      </w:r>
      <w:r>
        <w:rPr>
          <w:sz w:val="21"/>
        </w:rPr>
        <w:t xml:space="preserve"> </w:t>
      </w:r>
    </w:p>
    <w:p w14:paraId="0CD692E8" w14:textId="77777777" w:rsidR="00A71EEF" w:rsidRDefault="0081115D">
      <w:pPr>
        <w:pStyle w:val="a4"/>
        <w:numPr>
          <w:ilvl w:val="4"/>
          <w:numId w:val="788"/>
        </w:numPr>
        <w:tabs>
          <w:tab w:val="left" w:pos="1788"/>
        </w:tabs>
        <w:spacing w:line="446" w:lineRule="auto"/>
        <w:ind w:right="1505" w:firstLine="419"/>
        <w:rPr>
          <w:sz w:val="21"/>
        </w:rPr>
      </w:pPr>
      <w:r>
        <w:rPr>
          <w:spacing w:val="-3"/>
          <w:sz w:val="21"/>
        </w:rPr>
        <w:t>用卷尺测量出水口中心离地高度、并目测检查出水口倾斜情况，用卷尺测量出水</w:t>
      </w:r>
      <w:r>
        <w:rPr>
          <w:spacing w:val="-5"/>
          <w:sz w:val="21"/>
        </w:rPr>
        <w:t>口中心离操作踏板上平面的高度，判断试验结果是否符合</w:t>
      </w:r>
      <w:r>
        <w:rPr>
          <w:spacing w:val="-5"/>
          <w:sz w:val="21"/>
        </w:rPr>
        <w:t xml:space="preserve"> </w:t>
      </w:r>
      <w:r>
        <w:rPr>
          <w:sz w:val="21"/>
        </w:rPr>
        <w:t>4.4.2.3.3</w:t>
      </w:r>
      <w:r>
        <w:rPr>
          <w:spacing w:val="-12"/>
          <w:sz w:val="21"/>
        </w:rPr>
        <w:t xml:space="preserve"> </w:t>
      </w:r>
      <w:r>
        <w:rPr>
          <w:spacing w:val="-12"/>
          <w:sz w:val="21"/>
        </w:rPr>
        <w:t>的要求。</w:t>
      </w:r>
      <w:r>
        <w:rPr>
          <w:spacing w:val="-12"/>
          <w:sz w:val="21"/>
        </w:rPr>
        <w:t xml:space="preserve"> </w:t>
      </w:r>
    </w:p>
    <w:p w14:paraId="1ECE885A" w14:textId="77777777" w:rsidR="00A71EEF" w:rsidRDefault="0081115D">
      <w:pPr>
        <w:pStyle w:val="a4"/>
        <w:numPr>
          <w:ilvl w:val="4"/>
          <w:numId w:val="788"/>
        </w:numPr>
        <w:tabs>
          <w:tab w:val="left" w:pos="1788"/>
        </w:tabs>
        <w:spacing w:line="446" w:lineRule="auto"/>
        <w:ind w:right="1510" w:firstLine="419"/>
        <w:rPr>
          <w:sz w:val="21"/>
        </w:rPr>
      </w:pPr>
      <w:r>
        <w:rPr>
          <w:spacing w:val="-5"/>
          <w:sz w:val="21"/>
        </w:rPr>
        <w:t>目测检查出水管路止回脚的安装情况，判断试验结果是否符合</w:t>
      </w:r>
      <w:r>
        <w:rPr>
          <w:spacing w:val="-5"/>
          <w:sz w:val="21"/>
        </w:rPr>
        <w:t xml:space="preserve"> </w:t>
      </w:r>
      <w:r>
        <w:rPr>
          <w:sz w:val="21"/>
        </w:rPr>
        <w:t>4.4.2.3.</w:t>
      </w:r>
      <w:r>
        <w:rPr>
          <w:sz w:val="21"/>
        </w:rPr>
        <w:t>4</w:t>
      </w:r>
      <w:r>
        <w:rPr>
          <w:spacing w:val="-12"/>
          <w:sz w:val="21"/>
        </w:rPr>
        <w:t xml:space="preserve"> </w:t>
      </w:r>
      <w:r>
        <w:rPr>
          <w:spacing w:val="-12"/>
          <w:sz w:val="21"/>
        </w:rPr>
        <w:t>的要求</w:t>
      </w:r>
      <w:r>
        <w:rPr>
          <w:spacing w:val="-3"/>
          <w:sz w:val="21"/>
        </w:rPr>
        <w:t>。</w:t>
      </w:r>
      <w:r>
        <w:rPr>
          <w:sz w:val="21"/>
        </w:rPr>
        <w:t xml:space="preserve"> </w:t>
      </w:r>
    </w:p>
    <w:p w14:paraId="7451B5C4" w14:textId="77777777" w:rsidR="00A71EEF" w:rsidRDefault="0081115D">
      <w:pPr>
        <w:pStyle w:val="a4"/>
        <w:numPr>
          <w:ilvl w:val="4"/>
          <w:numId w:val="788"/>
        </w:numPr>
        <w:tabs>
          <w:tab w:val="left" w:pos="1788"/>
        </w:tabs>
        <w:spacing w:line="446" w:lineRule="auto"/>
        <w:ind w:right="1505" w:firstLine="419"/>
        <w:jc w:val="both"/>
        <w:rPr>
          <w:sz w:val="21"/>
        </w:rPr>
      </w:pPr>
      <w:r>
        <w:rPr>
          <w:spacing w:val="-3"/>
          <w:sz w:val="21"/>
        </w:rPr>
        <w:t>将消防泵出口止回阀后的出水管路注满水，棑除残余空气，关闭出水阀，用试压</w:t>
      </w:r>
      <w:r>
        <w:rPr>
          <w:spacing w:val="-5"/>
          <w:sz w:val="21"/>
        </w:rPr>
        <w:t>泵向出水管路内缓慢加压至规定试验压力，保持</w:t>
      </w:r>
      <w:r>
        <w:rPr>
          <w:spacing w:val="-5"/>
          <w:sz w:val="21"/>
        </w:rPr>
        <w:t xml:space="preserve"> </w:t>
      </w:r>
      <w:r>
        <w:rPr>
          <w:sz w:val="21"/>
        </w:rPr>
        <w:t>3min</w:t>
      </w:r>
      <w:r>
        <w:rPr>
          <w:spacing w:val="-7"/>
          <w:sz w:val="21"/>
        </w:rPr>
        <w:t>，判断试验结果是否符合</w:t>
      </w:r>
      <w:r>
        <w:rPr>
          <w:spacing w:val="-7"/>
          <w:sz w:val="21"/>
        </w:rPr>
        <w:t xml:space="preserve"> </w:t>
      </w:r>
      <w:r>
        <w:rPr>
          <w:sz w:val="21"/>
        </w:rPr>
        <w:t>4.4.2.3.5</w:t>
      </w:r>
      <w:r>
        <w:rPr>
          <w:spacing w:val="-16"/>
          <w:sz w:val="21"/>
        </w:rPr>
        <w:t xml:space="preserve"> </w:t>
      </w:r>
      <w:r>
        <w:rPr>
          <w:spacing w:val="-16"/>
          <w:sz w:val="21"/>
        </w:rPr>
        <w:t>的要</w:t>
      </w:r>
      <w:r>
        <w:rPr>
          <w:spacing w:val="-10"/>
          <w:sz w:val="21"/>
        </w:rPr>
        <w:t>求。</w:t>
      </w:r>
      <w:r>
        <w:rPr>
          <w:sz w:val="21"/>
        </w:rPr>
        <w:t xml:space="preserve"> </w:t>
      </w:r>
    </w:p>
    <w:p w14:paraId="7DB70E92" w14:textId="77777777" w:rsidR="00A71EEF" w:rsidRDefault="0081115D">
      <w:pPr>
        <w:pStyle w:val="a4"/>
        <w:numPr>
          <w:ilvl w:val="4"/>
          <w:numId w:val="788"/>
        </w:numPr>
        <w:tabs>
          <w:tab w:val="left" w:pos="1788"/>
        </w:tabs>
        <w:spacing w:line="446" w:lineRule="auto"/>
        <w:ind w:right="1457" w:firstLine="419"/>
        <w:jc w:val="both"/>
        <w:rPr>
          <w:sz w:val="21"/>
        </w:rPr>
      </w:pPr>
      <w:r>
        <w:rPr>
          <w:spacing w:val="-3"/>
          <w:sz w:val="21"/>
        </w:rPr>
        <w:t>将消防泵出口止回阀后的出水管路注满水，排除残余空气，关闭出水阀，用试压</w:t>
      </w:r>
      <w:r>
        <w:rPr>
          <w:spacing w:val="-5"/>
          <w:sz w:val="21"/>
        </w:rPr>
        <w:t>泵向出水管路内缓慢加压至规定试验压力，保持</w:t>
      </w:r>
      <w:r>
        <w:rPr>
          <w:spacing w:val="-5"/>
          <w:sz w:val="21"/>
        </w:rPr>
        <w:t xml:space="preserve"> </w:t>
      </w:r>
      <w:r>
        <w:rPr>
          <w:sz w:val="21"/>
        </w:rPr>
        <w:t>3mm</w:t>
      </w:r>
      <w:r>
        <w:rPr>
          <w:spacing w:val="-7"/>
          <w:sz w:val="21"/>
        </w:rPr>
        <w:t>，判断试验结果是否符合</w:t>
      </w:r>
      <w:r>
        <w:rPr>
          <w:spacing w:val="-7"/>
          <w:sz w:val="21"/>
        </w:rPr>
        <w:t xml:space="preserve"> </w:t>
      </w:r>
      <w:r>
        <w:rPr>
          <w:sz w:val="21"/>
        </w:rPr>
        <w:t>4.4.2.3.6</w:t>
      </w:r>
      <w:r>
        <w:rPr>
          <w:spacing w:val="-12"/>
          <w:sz w:val="21"/>
        </w:rPr>
        <w:t xml:space="preserve"> </w:t>
      </w:r>
      <w:r>
        <w:rPr>
          <w:spacing w:val="-12"/>
          <w:sz w:val="21"/>
        </w:rPr>
        <w:t>的要求</w:t>
      </w:r>
      <w:r>
        <w:rPr>
          <w:spacing w:val="-3"/>
          <w:sz w:val="21"/>
        </w:rPr>
        <w:t>。</w:t>
      </w:r>
      <w:r>
        <w:rPr>
          <w:sz w:val="21"/>
        </w:rPr>
        <w:t xml:space="preserve"> </w:t>
      </w:r>
    </w:p>
    <w:p w14:paraId="72B6E64E" w14:textId="77777777" w:rsidR="00A71EEF" w:rsidRDefault="0081115D">
      <w:pPr>
        <w:pStyle w:val="a4"/>
        <w:numPr>
          <w:ilvl w:val="4"/>
          <w:numId w:val="788"/>
        </w:numPr>
        <w:tabs>
          <w:tab w:val="left" w:pos="1788"/>
        </w:tabs>
        <w:spacing w:line="446" w:lineRule="auto"/>
        <w:ind w:right="1505" w:firstLine="419"/>
        <w:rPr>
          <w:sz w:val="21"/>
        </w:rPr>
      </w:pPr>
      <w:r>
        <w:rPr>
          <w:spacing w:val="-3"/>
          <w:sz w:val="21"/>
        </w:rPr>
        <w:t>手动启闭的出水阀，在出水管路最大工作压力下，在出水阀操作手柄顶端施加操作力，用拉力计测量开启和关闭力大小，当出水管路中没有压力时，在出水阀操作手柄顶端施</w:t>
      </w:r>
      <w:r>
        <w:rPr>
          <w:spacing w:val="-5"/>
          <w:sz w:val="21"/>
        </w:rPr>
        <w:t>加操作力，用拉力计测量开启和关闭力大小，判断试验结果是否符合</w:t>
      </w:r>
      <w:r>
        <w:rPr>
          <w:spacing w:val="-5"/>
          <w:sz w:val="21"/>
        </w:rPr>
        <w:t xml:space="preserve"> </w:t>
      </w:r>
      <w:r>
        <w:rPr>
          <w:sz w:val="21"/>
        </w:rPr>
        <w:t>4.4.2.3.7</w:t>
      </w:r>
      <w:r>
        <w:rPr>
          <w:spacing w:val="-13"/>
          <w:sz w:val="21"/>
        </w:rPr>
        <w:t xml:space="preserve"> </w:t>
      </w:r>
      <w:r>
        <w:rPr>
          <w:spacing w:val="-13"/>
          <w:sz w:val="21"/>
        </w:rPr>
        <w:t>的要求。</w:t>
      </w:r>
      <w:r>
        <w:rPr>
          <w:sz w:val="21"/>
        </w:rPr>
        <w:t xml:space="preserve"> </w:t>
      </w:r>
    </w:p>
    <w:p w14:paraId="6DAE347F" w14:textId="77777777" w:rsidR="00A71EEF" w:rsidRDefault="0081115D">
      <w:pPr>
        <w:pStyle w:val="a4"/>
        <w:numPr>
          <w:ilvl w:val="4"/>
          <w:numId w:val="788"/>
        </w:numPr>
        <w:tabs>
          <w:tab w:val="left" w:pos="1788"/>
        </w:tabs>
        <w:spacing w:line="446" w:lineRule="auto"/>
        <w:ind w:right="1505" w:firstLine="419"/>
        <w:rPr>
          <w:sz w:val="21"/>
        </w:rPr>
      </w:pPr>
      <w:r>
        <w:rPr>
          <w:spacing w:val="-3"/>
          <w:sz w:val="21"/>
        </w:rPr>
        <w:t>检查消防泵出水管路的出水阀及指示标牌、警示标牌，并用秒表测量阀门完全打</w:t>
      </w:r>
      <w:r>
        <w:rPr>
          <w:spacing w:val="-6"/>
          <w:sz w:val="21"/>
        </w:rPr>
        <w:t>开所用时间，判断试验结果是否符合</w:t>
      </w:r>
      <w:r>
        <w:rPr>
          <w:spacing w:val="-6"/>
          <w:sz w:val="21"/>
        </w:rPr>
        <w:t xml:space="preserve"> </w:t>
      </w:r>
      <w:r>
        <w:rPr>
          <w:sz w:val="21"/>
        </w:rPr>
        <w:t>4.4.2.3.8</w:t>
      </w:r>
      <w:r>
        <w:rPr>
          <w:spacing w:val="-13"/>
          <w:sz w:val="21"/>
        </w:rPr>
        <w:t xml:space="preserve"> </w:t>
      </w:r>
      <w:r>
        <w:rPr>
          <w:spacing w:val="-13"/>
          <w:sz w:val="21"/>
        </w:rPr>
        <w:t>的要求。</w:t>
      </w:r>
      <w:r>
        <w:rPr>
          <w:sz w:val="21"/>
        </w:rPr>
        <w:t xml:space="preserve"> </w:t>
      </w:r>
    </w:p>
    <w:p w14:paraId="4F20D735" w14:textId="77777777" w:rsidR="00A71EEF" w:rsidRDefault="00A71EEF">
      <w:pPr>
        <w:spacing w:line="446" w:lineRule="auto"/>
        <w:rPr>
          <w:sz w:val="21"/>
        </w:rPr>
        <w:sectPr w:rsidR="00A71EEF">
          <w:pgSz w:w="11910" w:h="16850"/>
          <w:pgMar w:top="1220" w:right="0" w:bottom="1420" w:left="1260" w:header="0" w:footer="1239" w:gutter="0"/>
          <w:cols w:space="720"/>
        </w:sectPr>
      </w:pPr>
    </w:p>
    <w:p w14:paraId="39ECFBD3" w14:textId="77777777" w:rsidR="00A71EEF" w:rsidRDefault="0081115D">
      <w:pPr>
        <w:pStyle w:val="a4"/>
        <w:numPr>
          <w:ilvl w:val="3"/>
          <w:numId w:val="788"/>
        </w:numPr>
        <w:tabs>
          <w:tab w:val="left" w:pos="1576"/>
        </w:tabs>
        <w:spacing w:before="47"/>
        <w:rPr>
          <w:sz w:val="21"/>
        </w:rPr>
      </w:pPr>
      <w:r>
        <w:rPr>
          <w:spacing w:val="-3"/>
          <w:sz w:val="21"/>
        </w:rPr>
        <w:lastRenderedPageBreak/>
        <w:t>水罐至消防泵的输水管路试验</w:t>
      </w:r>
      <w:r>
        <w:rPr>
          <w:sz w:val="21"/>
        </w:rPr>
        <w:t xml:space="preserve"> </w:t>
      </w:r>
    </w:p>
    <w:p w14:paraId="538592E3" w14:textId="77777777" w:rsidR="00A71EEF" w:rsidRDefault="00A71EEF">
      <w:pPr>
        <w:pStyle w:val="a3"/>
        <w:rPr>
          <w:sz w:val="18"/>
        </w:rPr>
      </w:pPr>
    </w:p>
    <w:p w14:paraId="4660E203" w14:textId="77777777" w:rsidR="00A71EEF" w:rsidRDefault="0081115D">
      <w:pPr>
        <w:pStyle w:val="a4"/>
        <w:numPr>
          <w:ilvl w:val="4"/>
          <w:numId w:val="788"/>
        </w:numPr>
        <w:tabs>
          <w:tab w:val="left" w:pos="1788"/>
        </w:tabs>
        <w:spacing w:line="446" w:lineRule="auto"/>
        <w:ind w:right="1820" w:firstLine="419"/>
        <w:rPr>
          <w:sz w:val="21"/>
        </w:rPr>
      </w:pPr>
      <w:r>
        <w:rPr>
          <w:spacing w:val="-5"/>
          <w:sz w:val="21"/>
        </w:rPr>
        <w:t>检查水罐至消防泵的输水管路阀门，判断试验结果是否符合</w:t>
      </w:r>
      <w:r>
        <w:rPr>
          <w:spacing w:val="-5"/>
          <w:sz w:val="21"/>
        </w:rPr>
        <w:t xml:space="preserve"> </w:t>
      </w:r>
      <w:r>
        <w:rPr>
          <w:sz w:val="21"/>
        </w:rPr>
        <w:t>4.4.</w:t>
      </w:r>
      <w:r>
        <w:rPr>
          <w:sz w:val="21"/>
        </w:rPr>
        <w:t>2.4.1</w:t>
      </w:r>
      <w:r>
        <w:rPr>
          <w:spacing w:val="-16"/>
          <w:sz w:val="21"/>
        </w:rPr>
        <w:t xml:space="preserve"> </w:t>
      </w:r>
      <w:r>
        <w:rPr>
          <w:spacing w:val="-16"/>
          <w:sz w:val="21"/>
        </w:rPr>
        <w:t>的要</w:t>
      </w:r>
      <w:r>
        <w:rPr>
          <w:spacing w:val="-10"/>
          <w:sz w:val="21"/>
        </w:rPr>
        <w:t>求。</w:t>
      </w:r>
      <w:r>
        <w:rPr>
          <w:sz w:val="21"/>
        </w:rPr>
        <w:t xml:space="preserve"> </w:t>
      </w:r>
    </w:p>
    <w:p w14:paraId="0DCB54E0" w14:textId="77777777" w:rsidR="00A71EEF" w:rsidRDefault="0081115D">
      <w:pPr>
        <w:pStyle w:val="a4"/>
        <w:numPr>
          <w:ilvl w:val="4"/>
          <w:numId w:val="788"/>
        </w:numPr>
        <w:tabs>
          <w:tab w:val="left" w:pos="1788"/>
        </w:tabs>
        <w:spacing w:line="446" w:lineRule="auto"/>
        <w:ind w:right="1820" w:firstLine="419"/>
        <w:rPr>
          <w:sz w:val="21"/>
        </w:rPr>
      </w:pPr>
      <w:r>
        <w:rPr>
          <w:spacing w:val="-5"/>
          <w:sz w:val="21"/>
        </w:rPr>
        <w:t>目测检查水罐内输水管路进口位置，判断试验结果是否符合</w:t>
      </w:r>
      <w:r>
        <w:rPr>
          <w:spacing w:val="-5"/>
          <w:sz w:val="21"/>
        </w:rPr>
        <w:t xml:space="preserve"> </w:t>
      </w:r>
      <w:r>
        <w:rPr>
          <w:sz w:val="21"/>
        </w:rPr>
        <w:t>4.4.2.4.2</w:t>
      </w:r>
      <w:r>
        <w:rPr>
          <w:spacing w:val="-16"/>
          <w:sz w:val="21"/>
        </w:rPr>
        <w:t xml:space="preserve"> </w:t>
      </w:r>
      <w:r>
        <w:rPr>
          <w:spacing w:val="-16"/>
          <w:sz w:val="21"/>
        </w:rPr>
        <w:t>的要</w:t>
      </w:r>
      <w:r>
        <w:rPr>
          <w:spacing w:val="-10"/>
          <w:sz w:val="21"/>
        </w:rPr>
        <w:t>求。</w:t>
      </w:r>
      <w:r>
        <w:rPr>
          <w:sz w:val="21"/>
        </w:rPr>
        <w:t xml:space="preserve"> </w:t>
      </w:r>
    </w:p>
    <w:p w14:paraId="4C83C94D" w14:textId="77777777" w:rsidR="00A71EEF" w:rsidRDefault="0081115D">
      <w:pPr>
        <w:pStyle w:val="a4"/>
        <w:numPr>
          <w:ilvl w:val="4"/>
          <w:numId w:val="788"/>
        </w:numPr>
        <w:tabs>
          <w:tab w:val="left" w:pos="1787"/>
        </w:tabs>
        <w:spacing w:line="446" w:lineRule="auto"/>
        <w:ind w:right="1609" w:firstLine="419"/>
        <w:rPr>
          <w:sz w:val="21"/>
        </w:rPr>
      </w:pPr>
      <w:r>
        <w:rPr>
          <w:spacing w:val="-3"/>
          <w:sz w:val="21"/>
        </w:rPr>
        <w:t>目测检查输水管路进口滤网。使用罐内供水，把各出口和流量相连，启动消防泵，在额定</w:t>
      </w:r>
      <w:r>
        <w:rPr>
          <w:spacing w:val="-3"/>
          <w:sz w:val="21"/>
        </w:rPr>
        <w:t xml:space="preserve"> </w:t>
      </w:r>
      <w:r>
        <w:rPr>
          <w:spacing w:val="-3"/>
          <w:sz w:val="21"/>
        </w:rPr>
        <w:t>工况下运转，待运转稳定后测量泵的流量和压力，判断试验结果是否符合</w:t>
      </w:r>
    </w:p>
    <w:p w14:paraId="76CE6417" w14:textId="77777777" w:rsidR="00A71EEF" w:rsidRDefault="0081115D">
      <w:pPr>
        <w:pStyle w:val="a3"/>
        <w:ind w:left="418"/>
      </w:pPr>
      <w:r>
        <w:t xml:space="preserve">4.4.2.4.3 </w:t>
      </w:r>
      <w:r>
        <w:t>的要求。</w:t>
      </w:r>
      <w:r>
        <w:t xml:space="preserve"> </w:t>
      </w:r>
    </w:p>
    <w:p w14:paraId="66E2AD61" w14:textId="77777777" w:rsidR="00A71EEF" w:rsidRDefault="00A71EEF">
      <w:pPr>
        <w:pStyle w:val="a3"/>
        <w:spacing w:before="10"/>
        <w:rPr>
          <w:sz w:val="17"/>
        </w:rPr>
      </w:pPr>
    </w:p>
    <w:p w14:paraId="21225927" w14:textId="77777777" w:rsidR="00A71EEF" w:rsidRDefault="0081115D">
      <w:pPr>
        <w:pStyle w:val="a3"/>
        <w:spacing w:line="446" w:lineRule="auto"/>
        <w:ind w:left="418" w:right="1505" w:firstLine="419"/>
      </w:pPr>
      <w:r>
        <w:t xml:space="preserve">5.4.2.4.4 </w:t>
      </w:r>
      <w:r>
        <w:t>当车辆水平时，将水罐内罐满水，测量总重</w:t>
      </w:r>
      <w:r>
        <w:t>.</w:t>
      </w:r>
      <w:r>
        <w:t>，启动消防泵，在额定流量水罐向消防泵供水，待水罐不能供水后停止，测量总重，判断试验结果是否符合</w:t>
      </w:r>
      <w:r>
        <w:t xml:space="preserve"> 4.4.2.4.4 </w:t>
      </w:r>
      <w:r>
        <w:t>的要求。</w:t>
      </w:r>
      <w:r>
        <w:t xml:space="preserve"> </w:t>
      </w:r>
    </w:p>
    <w:p w14:paraId="3DC2EAC2" w14:textId="77777777" w:rsidR="00A71EEF" w:rsidRDefault="0081115D">
      <w:pPr>
        <w:pStyle w:val="a4"/>
        <w:numPr>
          <w:ilvl w:val="2"/>
          <w:numId w:val="787"/>
        </w:numPr>
        <w:tabs>
          <w:tab w:val="left" w:pos="1370"/>
        </w:tabs>
        <w:ind w:hanging="530"/>
        <w:rPr>
          <w:sz w:val="21"/>
        </w:rPr>
      </w:pPr>
      <w:r>
        <w:rPr>
          <w:spacing w:val="-3"/>
          <w:sz w:val="21"/>
        </w:rPr>
        <w:t>水罐试验</w:t>
      </w:r>
      <w:r>
        <w:rPr>
          <w:sz w:val="21"/>
        </w:rPr>
        <w:t xml:space="preserve"> </w:t>
      </w:r>
    </w:p>
    <w:p w14:paraId="79B4FA27" w14:textId="77777777" w:rsidR="00A71EEF" w:rsidRDefault="00A71EEF">
      <w:pPr>
        <w:pStyle w:val="a3"/>
        <w:rPr>
          <w:sz w:val="18"/>
        </w:rPr>
      </w:pPr>
    </w:p>
    <w:p w14:paraId="2EED96AA" w14:textId="77777777" w:rsidR="00A71EEF" w:rsidRDefault="0081115D">
      <w:pPr>
        <w:pStyle w:val="a4"/>
        <w:numPr>
          <w:ilvl w:val="3"/>
          <w:numId w:val="787"/>
        </w:numPr>
        <w:tabs>
          <w:tab w:val="left" w:pos="1576"/>
        </w:tabs>
        <w:rPr>
          <w:sz w:val="21"/>
        </w:rPr>
      </w:pPr>
      <w:r>
        <w:rPr>
          <w:spacing w:val="-3"/>
          <w:sz w:val="21"/>
        </w:rPr>
        <w:t>罐体要求试验</w:t>
      </w:r>
      <w:r>
        <w:rPr>
          <w:sz w:val="21"/>
        </w:rPr>
        <w:t xml:space="preserve"> </w:t>
      </w:r>
    </w:p>
    <w:p w14:paraId="6BB9D232" w14:textId="77777777" w:rsidR="00A71EEF" w:rsidRDefault="00A71EEF">
      <w:pPr>
        <w:pStyle w:val="a3"/>
        <w:spacing w:before="2"/>
        <w:rPr>
          <w:sz w:val="18"/>
        </w:rPr>
      </w:pPr>
    </w:p>
    <w:p w14:paraId="52C1AB38" w14:textId="77777777" w:rsidR="00A71EEF" w:rsidRDefault="0081115D">
      <w:pPr>
        <w:pStyle w:val="a4"/>
        <w:numPr>
          <w:ilvl w:val="4"/>
          <w:numId w:val="787"/>
        </w:numPr>
        <w:tabs>
          <w:tab w:val="left" w:pos="1788"/>
        </w:tabs>
        <w:rPr>
          <w:sz w:val="21"/>
        </w:rPr>
      </w:pPr>
      <w:r>
        <w:rPr>
          <w:spacing w:val="-6"/>
          <w:sz w:val="21"/>
        </w:rPr>
        <w:t>利用称重法测出水罐容量，判断试验结果是否符合</w:t>
      </w:r>
      <w:r>
        <w:rPr>
          <w:spacing w:val="-6"/>
          <w:sz w:val="21"/>
        </w:rPr>
        <w:t xml:space="preserve"> </w:t>
      </w:r>
      <w:r>
        <w:rPr>
          <w:sz w:val="21"/>
        </w:rPr>
        <w:t>4.4.3.1.1</w:t>
      </w:r>
      <w:r>
        <w:rPr>
          <w:spacing w:val="-12"/>
          <w:sz w:val="21"/>
        </w:rPr>
        <w:t xml:space="preserve"> </w:t>
      </w:r>
      <w:r>
        <w:rPr>
          <w:spacing w:val="-12"/>
          <w:sz w:val="21"/>
        </w:rPr>
        <w:t>的要求。</w:t>
      </w:r>
      <w:r>
        <w:rPr>
          <w:spacing w:val="-12"/>
          <w:sz w:val="21"/>
        </w:rPr>
        <w:t xml:space="preserve"> </w:t>
      </w:r>
    </w:p>
    <w:p w14:paraId="6AD26247" w14:textId="77777777" w:rsidR="00A71EEF" w:rsidRDefault="00A71EEF">
      <w:pPr>
        <w:pStyle w:val="a3"/>
        <w:spacing w:before="12"/>
        <w:rPr>
          <w:sz w:val="17"/>
        </w:rPr>
      </w:pPr>
    </w:p>
    <w:p w14:paraId="24111CF4" w14:textId="77777777" w:rsidR="00A71EEF" w:rsidRDefault="0081115D">
      <w:pPr>
        <w:pStyle w:val="a3"/>
        <w:spacing w:line="446" w:lineRule="auto"/>
        <w:ind w:left="418" w:right="1510" w:firstLine="419"/>
      </w:pPr>
      <w:r>
        <w:t>5.4.3.1.2</w:t>
      </w:r>
      <w:r>
        <w:rPr>
          <w:spacing w:val="-14"/>
        </w:rPr>
        <w:t xml:space="preserve"> </w:t>
      </w:r>
      <w:r>
        <w:rPr>
          <w:spacing w:val="-14"/>
        </w:rPr>
        <w:t>选取</w:t>
      </w:r>
      <w:r>
        <w:rPr>
          <w:spacing w:val="-14"/>
        </w:rPr>
        <w:t xml:space="preserve"> </w:t>
      </w:r>
      <w:r>
        <w:t>200mm×200mm</w:t>
      </w:r>
      <w:r>
        <w:rPr>
          <w:spacing w:val="-13"/>
        </w:rPr>
        <w:t xml:space="preserve"> </w:t>
      </w:r>
      <w:r>
        <w:rPr>
          <w:spacing w:val="-13"/>
        </w:rPr>
        <w:t>的罐体材料样品，按照</w:t>
      </w:r>
      <w:r>
        <w:rPr>
          <w:spacing w:val="-13"/>
        </w:rPr>
        <w:t xml:space="preserve"> </w:t>
      </w:r>
      <w:r>
        <w:t>GB 4351.1—2005</w:t>
      </w:r>
      <w:r>
        <w:rPr>
          <w:spacing w:val="-35"/>
        </w:rPr>
        <w:t xml:space="preserve"> </w:t>
      </w:r>
      <w:r>
        <w:rPr>
          <w:spacing w:val="-35"/>
        </w:rPr>
        <w:t>中</w:t>
      </w:r>
      <w:r>
        <w:rPr>
          <w:spacing w:val="-35"/>
        </w:rPr>
        <w:t xml:space="preserve"> </w:t>
      </w:r>
      <w:r>
        <w:t>7.7.1</w:t>
      </w:r>
      <w:r>
        <w:rPr>
          <w:spacing w:val="-12"/>
        </w:rPr>
        <w:t xml:space="preserve"> </w:t>
      </w:r>
      <w:r>
        <w:rPr>
          <w:spacing w:val="-12"/>
        </w:rPr>
        <w:t>规定的方</w:t>
      </w:r>
      <w:r>
        <w:rPr>
          <w:spacing w:val="-9"/>
        </w:rPr>
        <w:t>法进行盐雾试验、判断试验结果是否符合</w:t>
      </w:r>
      <w:r>
        <w:rPr>
          <w:spacing w:val="-9"/>
        </w:rPr>
        <w:t xml:space="preserve"> </w:t>
      </w:r>
      <w:r>
        <w:t>4.4.3.1.2</w:t>
      </w:r>
      <w:r>
        <w:rPr>
          <w:spacing w:val="-13"/>
        </w:rPr>
        <w:t xml:space="preserve"> </w:t>
      </w:r>
      <w:r>
        <w:rPr>
          <w:spacing w:val="-13"/>
        </w:rPr>
        <w:t>的要求。</w:t>
      </w:r>
      <w:r>
        <w:t xml:space="preserve"> </w:t>
      </w:r>
    </w:p>
    <w:p w14:paraId="3F908A7E" w14:textId="77777777" w:rsidR="00A71EEF" w:rsidRDefault="0081115D">
      <w:pPr>
        <w:pStyle w:val="a4"/>
        <w:numPr>
          <w:ilvl w:val="4"/>
          <w:numId w:val="786"/>
        </w:numPr>
        <w:tabs>
          <w:tab w:val="left" w:pos="1788"/>
        </w:tabs>
        <w:rPr>
          <w:sz w:val="21"/>
        </w:rPr>
      </w:pPr>
      <w:r>
        <w:rPr>
          <w:spacing w:val="-6"/>
          <w:sz w:val="21"/>
        </w:rPr>
        <w:t>检査水罐内防荡板设置情况，判断试验结果是否符合</w:t>
      </w:r>
      <w:r>
        <w:rPr>
          <w:spacing w:val="-6"/>
          <w:sz w:val="21"/>
        </w:rPr>
        <w:t xml:space="preserve"> </w:t>
      </w:r>
      <w:r>
        <w:rPr>
          <w:sz w:val="21"/>
        </w:rPr>
        <w:t>4.4.3.1.3</w:t>
      </w:r>
      <w:r>
        <w:rPr>
          <w:spacing w:val="-13"/>
          <w:sz w:val="21"/>
        </w:rPr>
        <w:t xml:space="preserve"> </w:t>
      </w:r>
      <w:r>
        <w:rPr>
          <w:spacing w:val="-13"/>
          <w:sz w:val="21"/>
        </w:rPr>
        <w:t>的要求。</w:t>
      </w:r>
      <w:r>
        <w:rPr>
          <w:sz w:val="21"/>
        </w:rPr>
        <w:t xml:space="preserve"> </w:t>
      </w:r>
    </w:p>
    <w:p w14:paraId="271DD30D" w14:textId="77777777" w:rsidR="00A71EEF" w:rsidRDefault="00A71EEF">
      <w:pPr>
        <w:pStyle w:val="a3"/>
        <w:rPr>
          <w:sz w:val="18"/>
        </w:rPr>
      </w:pPr>
    </w:p>
    <w:p w14:paraId="3E3653F1" w14:textId="77777777" w:rsidR="00A71EEF" w:rsidRDefault="0081115D">
      <w:pPr>
        <w:pStyle w:val="a4"/>
        <w:numPr>
          <w:ilvl w:val="4"/>
          <w:numId w:val="786"/>
        </w:numPr>
        <w:tabs>
          <w:tab w:val="left" w:pos="1788"/>
        </w:tabs>
        <w:spacing w:line="446" w:lineRule="auto"/>
        <w:ind w:left="418" w:right="1818" w:firstLine="419"/>
        <w:rPr>
          <w:sz w:val="21"/>
        </w:rPr>
      </w:pPr>
      <w:r>
        <w:rPr>
          <w:spacing w:val="-3"/>
          <w:sz w:val="21"/>
        </w:rPr>
        <w:t>目测检查人孔及人孔盖，用卷尺测量人孔盖直径；关闭人孔盖，封闭各出入口，将水罐注满水，用试压泵向罐内缓慢加压至规定试验压力，判断试验结果是否符合</w:t>
      </w:r>
    </w:p>
    <w:p w14:paraId="453F238F" w14:textId="77777777" w:rsidR="00A71EEF" w:rsidRDefault="0081115D">
      <w:pPr>
        <w:pStyle w:val="a3"/>
        <w:ind w:left="418"/>
      </w:pPr>
      <w:r>
        <w:t xml:space="preserve">4.4.3.1.4 </w:t>
      </w:r>
      <w:r>
        <w:t>的要求。</w:t>
      </w:r>
      <w:r>
        <w:t xml:space="preserve"> </w:t>
      </w:r>
    </w:p>
    <w:p w14:paraId="22440B14" w14:textId="77777777" w:rsidR="00A71EEF" w:rsidRDefault="00A71EEF">
      <w:pPr>
        <w:pStyle w:val="a3"/>
        <w:rPr>
          <w:sz w:val="18"/>
        </w:rPr>
      </w:pPr>
    </w:p>
    <w:p w14:paraId="2769C7D9" w14:textId="77777777" w:rsidR="00A71EEF" w:rsidRDefault="0081115D">
      <w:pPr>
        <w:pStyle w:val="a4"/>
        <w:numPr>
          <w:ilvl w:val="4"/>
          <w:numId w:val="785"/>
        </w:numPr>
        <w:tabs>
          <w:tab w:val="left" w:pos="1788"/>
        </w:tabs>
        <w:rPr>
          <w:sz w:val="21"/>
        </w:rPr>
      </w:pPr>
      <w:r>
        <w:rPr>
          <w:spacing w:val="-6"/>
          <w:sz w:val="21"/>
        </w:rPr>
        <w:t>目测检查水罐排污孔，判断试验结果是否符合</w:t>
      </w:r>
      <w:r>
        <w:rPr>
          <w:spacing w:val="-6"/>
          <w:sz w:val="21"/>
        </w:rPr>
        <w:t xml:space="preserve"> </w:t>
      </w:r>
      <w:r>
        <w:rPr>
          <w:sz w:val="21"/>
        </w:rPr>
        <w:t>4.4.3.1.5</w:t>
      </w:r>
      <w:r>
        <w:rPr>
          <w:spacing w:val="-12"/>
          <w:sz w:val="21"/>
        </w:rPr>
        <w:t xml:space="preserve"> </w:t>
      </w:r>
      <w:r>
        <w:rPr>
          <w:spacing w:val="-12"/>
          <w:sz w:val="21"/>
        </w:rPr>
        <w:t>的要求。</w:t>
      </w:r>
      <w:r>
        <w:rPr>
          <w:spacing w:val="-12"/>
          <w:sz w:val="21"/>
        </w:rPr>
        <w:t xml:space="preserve"> </w:t>
      </w:r>
    </w:p>
    <w:p w14:paraId="2024918C" w14:textId="77777777" w:rsidR="00A71EEF" w:rsidRDefault="00A71EEF">
      <w:pPr>
        <w:pStyle w:val="a3"/>
        <w:spacing w:before="12"/>
        <w:rPr>
          <w:sz w:val="17"/>
        </w:rPr>
      </w:pPr>
    </w:p>
    <w:p w14:paraId="35F066CD" w14:textId="77777777" w:rsidR="00A71EEF" w:rsidRDefault="0081115D">
      <w:pPr>
        <w:pStyle w:val="a4"/>
        <w:numPr>
          <w:ilvl w:val="4"/>
          <w:numId w:val="785"/>
        </w:numPr>
        <w:tabs>
          <w:tab w:val="left" w:pos="1788"/>
        </w:tabs>
        <w:spacing w:line="446" w:lineRule="auto"/>
        <w:ind w:left="418" w:right="1613" w:firstLine="419"/>
        <w:rPr>
          <w:sz w:val="21"/>
        </w:rPr>
      </w:pPr>
      <w:r>
        <w:rPr>
          <w:spacing w:val="-5"/>
          <w:sz w:val="21"/>
        </w:rPr>
        <w:t>目测检查水罐的液位或液量指示装置，判断试验结果是否符合</w:t>
      </w:r>
      <w:r>
        <w:rPr>
          <w:spacing w:val="-5"/>
          <w:sz w:val="21"/>
        </w:rPr>
        <w:t xml:space="preserve"> </w:t>
      </w:r>
      <w:r>
        <w:rPr>
          <w:sz w:val="21"/>
        </w:rPr>
        <w:t>4.4.3.1.6</w:t>
      </w:r>
      <w:r>
        <w:rPr>
          <w:spacing w:val="-18"/>
          <w:sz w:val="21"/>
        </w:rPr>
        <w:t xml:space="preserve"> </w:t>
      </w:r>
      <w:r>
        <w:rPr>
          <w:spacing w:val="-18"/>
          <w:sz w:val="21"/>
        </w:rPr>
        <w:t>的要</w:t>
      </w:r>
      <w:r>
        <w:rPr>
          <w:spacing w:val="-2"/>
          <w:sz w:val="21"/>
        </w:rPr>
        <w:t>求。</w:t>
      </w:r>
      <w:r>
        <w:rPr>
          <w:sz w:val="21"/>
        </w:rPr>
        <w:t xml:space="preserve"> </w:t>
      </w:r>
    </w:p>
    <w:p w14:paraId="62A49020" w14:textId="77777777" w:rsidR="00A71EEF" w:rsidRDefault="0081115D">
      <w:pPr>
        <w:pStyle w:val="a4"/>
        <w:numPr>
          <w:ilvl w:val="4"/>
          <w:numId w:val="785"/>
        </w:numPr>
        <w:tabs>
          <w:tab w:val="left" w:pos="1788"/>
        </w:tabs>
        <w:spacing w:line="446" w:lineRule="auto"/>
        <w:ind w:left="418" w:right="1818" w:firstLine="419"/>
        <w:rPr>
          <w:sz w:val="21"/>
        </w:rPr>
      </w:pPr>
      <w:r>
        <w:rPr>
          <w:spacing w:val="-3"/>
          <w:sz w:val="21"/>
        </w:rPr>
        <w:t>封闭水罐各出入口，将水罐注满水，用试压泵向罐内缓慢加压至规定试验压</w:t>
      </w:r>
      <w:r>
        <w:rPr>
          <w:spacing w:val="-13"/>
          <w:sz w:val="21"/>
        </w:rPr>
        <w:t>力，保持</w:t>
      </w:r>
      <w:r>
        <w:rPr>
          <w:spacing w:val="-13"/>
          <w:sz w:val="21"/>
        </w:rPr>
        <w:t xml:space="preserve"> </w:t>
      </w:r>
      <w:r>
        <w:rPr>
          <w:sz w:val="21"/>
        </w:rPr>
        <w:t>3min</w:t>
      </w:r>
      <w:r>
        <w:rPr>
          <w:spacing w:val="-7"/>
          <w:sz w:val="21"/>
        </w:rPr>
        <w:t>，</w:t>
      </w:r>
      <w:r>
        <w:rPr>
          <w:spacing w:val="-7"/>
          <w:sz w:val="21"/>
        </w:rPr>
        <w:t xml:space="preserve"> </w:t>
      </w:r>
      <w:r>
        <w:rPr>
          <w:spacing w:val="-7"/>
          <w:sz w:val="21"/>
        </w:rPr>
        <w:t>判断试验结果是否符合</w:t>
      </w:r>
      <w:r>
        <w:rPr>
          <w:spacing w:val="-7"/>
          <w:sz w:val="21"/>
        </w:rPr>
        <w:t xml:space="preserve"> </w:t>
      </w:r>
      <w:r>
        <w:rPr>
          <w:sz w:val="21"/>
        </w:rPr>
        <w:t>4.4.3.1.7</w:t>
      </w:r>
      <w:r>
        <w:rPr>
          <w:spacing w:val="-13"/>
          <w:sz w:val="21"/>
        </w:rPr>
        <w:t xml:space="preserve"> </w:t>
      </w:r>
      <w:r>
        <w:rPr>
          <w:spacing w:val="-13"/>
          <w:sz w:val="21"/>
        </w:rPr>
        <w:t>的要求。</w:t>
      </w:r>
      <w:r>
        <w:rPr>
          <w:sz w:val="21"/>
        </w:rPr>
        <w:t xml:space="preserve"> </w:t>
      </w:r>
    </w:p>
    <w:p w14:paraId="5E3A0AAB" w14:textId="77777777" w:rsidR="00A71EEF" w:rsidRDefault="0081115D">
      <w:pPr>
        <w:pStyle w:val="a4"/>
        <w:numPr>
          <w:ilvl w:val="3"/>
          <w:numId w:val="787"/>
        </w:numPr>
        <w:tabs>
          <w:tab w:val="left" w:pos="1576"/>
        </w:tabs>
        <w:rPr>
          <w:sz w:val="21"/>
        </w:rPr>
      </w:pPr>
      <w:r>
        <w:rPr>
          <w:spacing w:val="-3"/>
          <w:sz w:val="21"/>
        </w:rPr>
        <w:t>注水装置试验</w:t>
      </w:r>
      <w:r>
        <w:rPr>
          <w:sz w:val="21"/>
        </w:rPr>
        <w:t xml:space="preserve"> </w:t>
      </w:r>
    </w:p>
    <w:p w14:paraId="73B8234D" w14:textId="77777777" w:rsidR="00A71EEF" w:rsidRDefault="00A71EEF">
      <w:pPr>
        <w:pStyle w:val="a3"/>
        <w:rPr>
          <w:sz w:val="18"/>
        </w:rPr>
      </w:pPr>
    </w:p>
    <w:p w14:paraId="7A2F315D" w14:textId="77777777" w:rsidR="00A71EEF" w:rsidRDefault="0081115D">
      <w:pPr>
        <w:pStyle w:val="a4"/>
        <w:numPr>
          <w:ilvl w:val="4"/>
          <w:numId w:val="787"/>
        </w:numPr>
        <w:tabs>
          <w:tab w:val="left" w:pos="1788"/>
        </w:tabs>
        <w:spacing w:line="446" w:lineRule="auto"/>
        <w:ind w:left="418" w:right="1609" w:firstLine="419"/>
        <w:rPr>
          <w:sz w:val="21"/>
        </w:rPr>
      </w:pPr>
      <w:r>
        <w:rPr>
          <w:spacing w:val="-3"/>
          <w:sz w:val="21"/>
        </w:rPr>
        <w:t>目测检查消防泵至水罐的注水管路内阀门，并用卷尺测量注水管路通径，判断</w:t>
      </w:r>
      <w:r>
        <w:rPr>
          <w:spacing w:val="-9"/>
          <w:sz w:val="21"/>
        </w:rPr>
        <w:t>试验结果是否符合</w:t>
      </w:r>
      <w:r>
        <w:rPr>
          <w:spacing w:val="-9"/>
          <w:sz w:val="21"/>
        </w:rPr>
        <w:t xml:space="preserve"> </w:t>
      </w:r>
      <w:r>
        <w:rPr>
          <w:sz w:val="21"/>
        </w:rPr>
        <w:t>4.4.3.2.1</w:t>
      </w:r>
      <w:r>
        <w:rPr>
          <w:spacing w:val="-13"/>
          <w:sz w:val="21"/>
        </w:rPr>
        <w:t xml:space="preserve"> </w:t>
      </w:r>
      <w:r>
        <w:rPr>
          <w:spacing w:val="-13"/>
          <w:sz w:val="21"/>
        </w:rPr>
        <w:t>的要求。</w:t>
      </w:r>
      <w:r>
        <w:rPr>
          <w:sz w:val="21"/>
        </w:rPr>
        <w:t xml:space="preserve"> </w:t>
      </w:r>
    </w:p>
    <w:p w14:paraId="7F85A84E" w14:textId="77777777" w:rsidR="00A71EEF" w:rsidRDefault="00A71EEF">
      <w:pPr>
        <w:spacing w:line="446" w:lineRule="auto"/>
        <w:rPr>
          <w:sz w:val="21"/>
        </w:rPr>
        <w:sectPr w:rsidR="00A71EEF">
          <w:pgSz w:w="11910" w:h="16850"/>
          <w:pgMar w:top="1220" w:right="0" w:bottom="1420" w:left="1260" w:header="0" w:footer="1239" w:gutter="0"/>
          <w:cols w:space="720"/>
        </w:sectPr>
      </w:pPr>
    </w:p>
    <w:p w14:paraId="4596AB5A" w14:textId="77777777" w:rsidR="00A71EEF" w:rsidRDefault="0081115D">
      <w:pPr>
        <w:pStyle w:val="a4"/>
        <w:numPr>
          <w:ilvl w:val="4"/>
          <w:numId w:val="787"/>
        </w:numPr>
        <w:tabs>
          <w:tab w:val="left" w:pos="1788"/>
        </w:tabs>
        <w:spacing w:before="47" w:line="446" w:lineRule="auto"/>
        <w:ind w:left="418" w:right="1609" w:firstLine="419"/>
        <w:rPr>
          <w:sz w:val="21"/>
        </w:rPr>
      </w:pPr>
      <w:r>
        <w:rPr>
          <w:spacing w:val="-3"/>
          <w:sz w:val="21"/>
        </w:rPr>
        <w:lastRenderedPageBreak/>
        <w:t>用卷尺测量管路通经；向水罐内注满水，目测检查管路情况；目测检査与外部</w:t>
      </w:r>
      <w:r>
        <w:rPr>
          <w:spacing w:val="-6"/>
          <w:sz w:val="21"/>
        </w:rPr>
        <w:t>相连注水口的防护盖，判断试验结果是否符合</w:t>
      </w:r>
      <w:r>
        <w:rPr>
          <w:spacing w:val="-6"/>
          <w:sz w:val="21"/>
        </w:rPr>
        <w:t xml:space="preserve"> </w:t>
      </w:r>
      <w:r>
        <w:rPr>
          <w:sz w:val="21"/>
        </w:rPr>
        <w:t>4.4.3.2.2</w:t>
      </w:r>
      <w:r>
        <w:rPr>
          <w:spacing w:val="-13"/>
          <w:sz w:val="21"/>
        </w:rPr>
        <w:t xml:space="preserve"> </w:t>
      </w:r>
      <w:r>
        <w:rPr>
          <w:spacing w:val="-13"/>
          <w:sz w:val="21"/>
        </w:rPr>
        <w:t>的要求。</w:t>
      </w:r>
      <w:r>
        <w:rPr>
          <w:sz w:val="21"/>
        </w:rPr>
        <w:t xml:space="preserve"> </w:t>
      </w:r>
    </w:p>
    <w:p w14:paraId="40386EA4" w14:textId="77777777" w:rsidR="00A71EEF" w:rsidRDefault="0081115D">
      <w:pPr>
        <w:pStyle w:val="a3"/>
        <w:spacing w:line="267" w:lineRule="exact"/>
        <w:ind w:left="838"/>
      </w:pPr>
      <w:r>
        <w:t xml:space="preserve">5,4,3.2.3 </w:t>
      </w:r>
      <w:r>
        <w:t>检查水罐注水口处的标牌，判断试验结果</w:t>
      </w:r>
      <w:r>
        <w:t>是否符合</w:t>
      </w:r>
      <w:r>
        <w:t xml:space="preserve"> 4.4.3.2.3 </w:t>
      </w:r>
      <w:r>
        <w:t>的要求。</w:t>
      </w:r>
      <w:r>
        <w:t xml:space="preserve"> </w:t>
      </w:r>
    </w:p>
    <w:p w14:paraId="4FF96657" w14:textId="77777777" w:rsidR="00A71EEF" w:rsidRDefault="00A71EEF">
      <w:pPr>
        <w:pStyle w:val="a3"/>
        <w:spacing w:before="2"/>
        <w:rPr>
          <w:sz w:val="18"/>
        </w:rPr>
      </w:pPr>
    </w:p>
    <w:p w14:paraId="2DD7EC80" w14:textId="77777777" w:rsidR="00A71EEF" w:rsidRDefault="0081115D">
      <w:pPr>
        <w:pStyle w:val="a4"/>
        <w:numPr>
          <w:ilvl w:val="3"/>
          <w:numId w:val="787"/>
        </w:numPr>
        <w:tabs>
          <w:tab w:val="left" w:pos="1576"/>
        </w:tabs>
        <w:rPr>
          <w:sz w:val="21"/>
        </w:rPr>
      </w:pPr>
      <w:r>
        <w:rPr>
          <w:spacing w:val="-3"/>
          <w:sz w:val="21"/>
        </w:rPr>
        <w:t>溢水装置试验</w:t>
      </w:r>
      <w:r>
        <w:rPr>
          <w:sz w:val="21"/>
        </w:rPr>
        <w:t xml:space="preserve"> </w:t>
      </w:r>
    </w:p>
    <w:p w14:paraId="4F98BC9F" w14:textId="77777777" w:rsidR="00A71EEF" w:rsidRDefault="00A71EEF">
      <w:pPr>
        <w:pStyle w:val="a3"/>
        <w:rPr>
          <w:sz w:val="18"/>
        </w:rPr>
      </w:pPr>
    </w:p>
    <w:p w14:paraId="3188FC99" w14:textId="77777777" w:rsidR="00A71EEF" w:rsidRDefault="0081115D">
      <w:pPr>
        <w:pStyle w:val="a3"/>
        <w:spacing w:line="446" w:lineRule="auto"/>
        <w:ind w:left="418" w:right="1820" w:firstLine="419"/>
      </w:pPr>
      <w:r>
        <w:rPr>
          <w:spacing w:val="-4"/>
        </w:rPr>
        <w:t>目测检查溢水管路，并用卷尺测量溢水管路通经，判断试验结果是否符合</w:t>
      </w:r>
      <w:r>
        <w:rPr>
          <w:spacing w:val="-4"/>
        </w:rPr>
        <w:t xml:space="preserve"> </w:t>
      </w:r>
      <w:r>
        <w:t>4.4.3.3</w:t>
      </w:r>
      <w:r>
        <w:rPr>
          <w:spacing w:val="-14"/>
        </w:rPr>
        <w:t xml:space="preserve"> </w:t>
      </w:r>
      <w:r>
        <w:rPr>
          <w:spacing w:val="-14"/>
        </w:rPr>
        <w:t>的要</w:t>
      </w:r>
      <w:r>
        <w:rPr>
          <w:spacing w:val="-9"/>
        </w:rPr>
        <w:t>求。</w:t>
      </w:r>
      <w:r>
        <w:t xml:space="preserve"> </w:t>
      </w:r>
    </w:p>
    <w:p w14:paraId="6F4F5571" w14:textId="77777777" w:rsidR="00A71EEF" w:rsidRDefault="0081115D">
      <w:pPr>
        <w:pStyle w:val="a4"/>
        <w:numPr>
          <w:ilvl w:val="2"/>
          <w:numId w:val="787"/>
        </w:numPr>
        <w:tabs>
          <w:tab w:val="left" w:pos="1370"/>
        </w:tabs>
        <w:ind w:hanging="530"/>
        <w:rPr>
          <w:sz w:val="21"/>
        </w:rPr>
      </w:pPr>
      <w:r>
        <w:rPr>
          <w:spacing w:val="-3"/>
          <w:sz w:val="21"/>
        </w:rPr>
        <w:t>消防炮试验</w:t>
      </w:r>
      <w:r>
        <w:rPr>
          <w:sz w:val="21"/>
        </w:rPr>
        <w:t xml:space="preserve"> </w:t>
      </w:r>
    </w:p>
    <w:p w14:paraId="518DC46A" w14:textId="77777777" w:rsidR="00A71EEF" w:rsidRDefault="00A71EEF">
      <w:pPr>
        <w:pStyle w:val="a3"/>
        <w:rPr>
          <w:sz w:val="18"/>
        </w:rPr>
      </w:pPr>
    </w:p>
    <w:p w14:paraId="46B4F3CB" w14:textId="77777777" w:rsidR="00A71EEF" w:rsidRDefault="0081115D">
      <w:pPr>
        <w:pStyle w:val="a4"/>
        <w:numPr>
          <w:ilvl w:val="3"/>
          <w:numId w:val="787"/>
        </w:numPr>
        <w:tabs>
          <w:tab w:val="left" w:pos="1576"/>
        </w:tabs>
        <w:spacing w:line="446" w:lineRule="auto"/>
        <w:ind w:left="418" w:right="1508" w:firstLine="419"/>
        <w:rPr>
          <w:sz w:val="21"/>
        </w:rPr>
      </w:pPr>
      <w:r>
        <w:rPr>
          <w:spacing w:val="-3"/>
          <w:sz w:val="21"/>
        </w:rPr>
        <w:t>消防炮喷射性能的测定应在平坦的场地上进行。试验时在消防炮的进水口处装一压</w:t>
      </w:r>
      <w:r>
        <w:rPr>
          <w:spacing w:val="-7"/>
          <w:sz w:val="21"/>
        </w:rPr>
        <w:t>力表，压</w:t>
      </w:r>
      <w:r>
        <w:rPr>
          <w:spacing w:val="-7"/>
          <w:sz w:val="21"/>
        </w:rPr>
        <w:t xml:space="preserve"> </w:t>
      </w:r>
      <w:r>
        <w:rPr>
          <w:spacing w:val="-7"/>
          <w:sz w:val="21"/>
        </w:rPr>
        <w:t>力表精度不低于</w:t>
      </w:r>
      <w:r>
        <w:rPr>
          <w:spacing w:val="-7"/>
          <w:sz w:val="21"/>
        </w:rPr>
        <w:t xml:space="preserve"> </w:t>
      </w:r>
      <w:r>
        <w:rPr>
          <w:sz w:val="21"/>
        </w:rPr>
        <w:t>1.6</w:t>
      </w:r>
      <w:r>
        <w:rPr>
          <w:spacing w:val="-13"/>
          <w:sz w:val="21"/>
        </w:rPr>
        <w:t xml:space="preserve"> </w:t>
      </w:r>
      <w:r>
        <w:rPr>
          <w:spacing w:val="-13"/>
          <w:sz w:val="21"/>
        </w:rPr>
        <w:t>级。消防炮的仰角为</w:t>
      </w:r>
      <w:r>
        <w:rPr>
          <w:spacing w:val="-13"/>
          <w:sz w:val="21"/>
        </w:rPr>
        <w:t xml:space="preserve"> </w:t>
      </w:r>
      <w:r>
        <w:rPr>
          <w:sz w:val="21"/>
        </w:rPr>
        <w:t>30°±1</w:t>
      </w:r>
      <w:r>
        <w:rPr>
          <w:spacing w:val="-3"/>
          <w:sz w:val="21"/>
        </w:rPr>
        <w:t>°</w:t>
      </w:r>
      <w:r>
        <w:rPr>
          <w:spacing w:val="-3"/>
          <w:sz w:val="21"/>
        </w:rPr>
        <w:t>，顺风向喷射，风速小于</w:t>
      </w:r>
      <w:r>
        <w:rPr>
          <w:spacing w:val="-3"/>
          <w:sz w:val="21"/>
        </w:rPr>
        <w:t xml:space="preserve"> </w:t>
      </w:r>
      <w:r>
        <w:rPr>
          <w:sz w:val="21"/>
        </w:rPr>
        <w:t xml:space="preserve">2m/s </w:t>
      </w:r>
      <w:r>
        <w:rPr>
          <w:spacing w:val="-5"/>
          <w:sz w:val="21"/>
        </w:rPr>
        <w:t>。试验时当消防炮进水口压力达到额定工作压力并稳定后，用秒表测定不少于</w:t>
      </w:r>
      <w:r>
        <w:rPr>
          <w:spacing w:val="-5"/>
          <w:sz w:val="21"/>
        </w:rPr>
        <w:t xml:space="preserve"> </w:t>
      </w:r>
      <w:r>
        <w:rPr>
          <w:sz w:val="21"/>
        </w:rPr>
        <w:t>10s</w:t>
      </w:r>
      <w:r>
        <w:rPr>
          <w:spacing w:val="-9"/>
          <w:sz w:val="21"/>
        </w:rPr>
        <w:t xml:space="preserve"> </w:t>
      </w:r>
      <w:r>
        <w:rPr>
          <w:spacing w:val="-9"/>
          <w:sz w:val="21"/>
        </w:rPr>
        <w:t>时间连续洒</w:t>
      </w:r>
      <w:r>
        <w:rPr>
          <w:spacing w:val="-3"/>
          <w:sz w:val="21"/>
        </w:rPr>
        <w:t>落水的最远点为射程最远</w:t>
      </w:r>
      <w:r>
        <w:rPr>
          <w:spacing w:val="-3"/>
          <w:sz w:val="21"/>
        </w:rPr>
        <w:t xml:space="preserve"> </w:t>
      </w:r>
      <w:r>
        <w:rPr>
          <w:spacing w:val="-3"/>
          <w:sz w:val="21"/>
        </w:rPr>
        <w:t>点，以消防炮炮出口铅锤线与地面交点为原点，最远点至原点之间的</w:t>
      </w:r>
      <w:r>
        <w:rPr>
          <w:spacing w:val="-6"/>
          <w:sz w:val="21"/>
        </w:rPr>
        <w:t>直线距离即为消防炮的射程。判断试验结果是否符合</w:t>
      </w:r>
      <w:r>
        <w:rPr>
          <w:spacing w:val="-6"/>
          <w:sz w:val="21"/>
        </w:rPr>
        <w:t xml:space="preserve"> </w:t>
      </w:r>
      <w:r>
        <w:rPr>
          <w:sz w:val="21"/>
        </w:rPr>
        <w:t>4.4.4.1</w:t>
      </w:r>
      <w:r>
        <w:rPr>
          <w:spacing w:val="-13"/>
          <w:sz w:val="21"/>
        </w:rPr>
        <w:t xml:space="preserve"> </w:t>
      </w:r>
      <w:r>
        <w:rPr>
          <w:spacing w:val="-13"/>
          <w:sz w:val="21"/>
        </w:rPr>
        <w:t>的要求。</w:t>
      </w:r>
      <w:r>
        <w:rPr>
          <w:sz w:val="21"/>
        </w:rPr>
        <w:t xml:space="preserve"> </w:t>
      </w:r>
    </w:p>
    <w:p w14:paraId="26F9920F" w14:textId="77777777" w:rsidR="00A71EEF" w:rsidRDefault="0081115D">
      <w:pPr>
        <w:pStyle w:val="a4"/>
        <w:numPr>
          <w:ilvl w:val="3"/>
          <w:numId w:val="787"/>
        </w:numPr>
        <w:tabs>
          <w:tab w:val="left" w:pos="1576"/>
        </w:tabs>
        <w:spacing w:line="446" w:lineRule="auto"/>
        <w:ind w:left="418" w:right="1820" w:firstLine="419"/>
        <w:rPr>
          <w:sz w:val="21"/>
        </w:rPr>
      </w:pPr>
      <w:r>
        <w:rPr>
          <w:spacing w:val="-5"/>
          <w:sz w:val="21"/>
        </w:rPr>
        <w:t>用角度仪测量车载炮的俯仰角和回转角，判断试验结果是否符合</w:t>
      </w:r>
      <w:r>
        <w:rPr>
          <w:spacing w:val="-5"/>
          <w:sz w:val="21"/>
        </w:rPr>
        <w:t xml:space="preserve"> </w:t>
      </w:r>
      <w:r>
        <w:rPr>
          <w:sz w:val="21"/>
        </w:rPr>
        <w:t>4.4.4.2</w:t>
      </w:r>
      <w:r>
        <w:rPr>
          <w:spacing w:val="-16"/>
          <w:sz w:val="21"/>
        </w:rPr>
        <w:t xml:space="preserve"> </w:t>
      </w:r>
      <w:r>
        <w:rPr>
          <w:spacing w:val="-16"/>
          <w:sz w:val="21"/>
        </w:rPr>
        <w:t>的要</w:t>
      </w:r>
      <w:r>
        <w:rPr>
          <w:spacing w:val="-10"/>
          <w:sz w:val="21"/>
        </w:rPr>
        <w:t>求。</w:t>
      </w:r>
      <w:r>
        <w:rPr>
          <w:sz w:val="21"/>
        </w:rPr>
        <w:t xml:space="preserve"> </w:t>
      </w:r>
    </w:p>
    <w:p w14:paraId="4F64FEB9" w14:textId="77777777" w:rsidR="00A71EEF" w:rsidRDefault="0081115D">
      <w:pPr>
        <w:pStyle w:val="a4"/>
        <w:numPr>
          <w:ilvl w:val="3"/>
          <w:numId w:val="787"/>
        </w:numPr>
        <w:tabs>
          <w:tab w:val="left" w:pos="1576"/>
        </w:tabs>
        <w:spacing w:line="267" w:lineRule="exact"/>
        <w:rPr>
          <w:sz w:val="21"/>
        </w:rPr>
      </w:pPr>
      <w:r>
        <w:rPr>
          <w:spacing w:val="-6"/>
          <w:sz w:val="21"/>
        </w:rPr>
        <w:t>目测检查车顶炮进水管路，判断试验结果是否符合</w:t>
      </w:r>
      <w:r>
        <w:rPr>
          <w:spacing w:val="-6"/>
          <w:sz w:val="21"/>
        </w:rPr>
        <w:t xml:space="preserve"> </w:t>
      </w:r>
      <w:r>
        <w:rPr>
          <w:sz w:val="21"/>
        </w:rPr>
        <w:t>4.4.4.3</w:t>
      </w:r>
      <w:r>
        <w:rPr>
          <w:spacing w:val="-12"/>
          <w:sz w:val="21"/>
        </w:rPr>
        <w:t xml:space="preserve"> </w:t>
      </w:r>
      <w:r>
        <w:rPr>
          <w:spacing w:val="-12"/>
          <w:sz w:val="21"/>
        </w:rPr>
        <w:t>的要求。</w:t>
      </w:r>
      <w:r>
        <w:rPr>
          <w:spacing w:val="-12"/>
          <w:sz w:val="21"/>
        </w:rPr>
        <w:t xml:space="preserve"> </w:t>
      </w:r>
    </w:p>
    <w:p w14:paraId="708CDEAA" w14:textId="77777777" w:rsidR="00A71EEF" w:rsidRDefault="00A71EEF">
      <w:pPr>
        <w:pStyle w:val="a3"/>
        <w:rPr>
          <w:sz w:val="18"/>
        </w:rPr>
      </w:pPr>
    </w:p>
    <w:p w14:paraId="67470954" w14:textId="77777777" w:rsidR="00A71EEF" w:rsidRDefault="0081115D">
      <w:pPr>
        <w:pStyle w:val="a4"/>
        <w:numPr>
          <w:ilvl w:val="3"/>
          <w:numId w:val="787"/>
        </w:numPr>
        <w:tabs>
          <w:tab w:val="left" w:pos="1576"/>
        </w:tabs>
        <w:rPr>
          <w:sz w:val="21"/>
        </w:rPr>
      </w:pPr>
      <w:r>
        <w:rPr>
          <w:spacing w:val="-6"/>
          <w:sz w:val="21"/>
        </w:rPr>
        <w:t>检查车载炮的锁紧机构、判断试验结果是否符合</w:t>
      </w:r>
      <w:r>
        <w:rPr>
          <w:spacing w:val="-6"/>
          <w:sz w:val="21"/>
        </w:rPr>
        <w:t xml:space="preserve"> </w:t>
      </w:r>
      <w:r>
        <w:rPr>
          <w:sz w:val="21"/>
        </w:rPr>
        <w:t>4.4.4.4</w:t>
      </w:r>
      <w:r>
        <w:rPr>
          <w:spacing w:val="-12"/>
          <w:sz w:val="21"/>
        </w:rPr>
        <w:t xml:space="preserve"> </w:t>
      </w:r>
      <w:r>
        <w:rPr>
          <w:spacing w:val="-12"/>
          <w:sz w:val="21"/>
        </w:rPr>
        <w:t>的要求。</w:t>
      </w:r>
      <w:r>
        <w:rPr>
          <w:spacing w:val="-12"/>
          <w:sz w:val="21"/>
        </w:rPr>
        <w:t xml:space="preserve"> </w:t>
      </w:r>
    </w:p>
    <w:p w14:paraId="2B3DD92C" w14:textId="77777777" w:rsidR="00A71EEF" w:rsidRDefault="00A71EEF">
      <w:pPr>
        <w:pStyle w:val="a3"/>
        <w:spacing w:before="12"/>
        <w:rPr>
          <w:sz w:val="17"/>
        </w:rPr>
      </w:pPr>
    </w:p>
    <w:p w14:paraId="7EC137E9" w14:textId="77777777" w:rsidR="00A71EEF" w:rsidRDefault="0081115D">
      <w:pPr>
        <w:pStyle w:val="a4"/>
        <w:numPr>
          <w:ilvl w:val="3"/>
          <w:numId w:val="787"/>
        </w:numPr>
        <w:tabs>
          <w:tab w:val="left" w:pos="1576"/>
        </w:tabs>
        <w:spacing w:line="446" w:lineRule="auto"/>
        <w:ind w:left="418" w:right="1609" w:firstLine="419"/>
        <w:rPr>
          <w:sz w:val="21"/>
        </w:rPr>
      </w:pPr>
      <w:r>
        <w:rPr>
          <w:spacing w:val="-3"/>
          <w:sz w:val="21"/>
        </w:rPr>
        <w:t>消防炮采用无线遥控时，检查消防车其他控制系統和通讯系统，判断试验结果是</w:t>
      </w:r>
      <w:r>
        <w:rPr>
          <w:spacing w:val="-15"/>
          <w:sz w:val="21"/>
        </w:rPr>
        <w:t>否符合</w:t>
      </w:r>
      <w:r>
        <w:rPr>
          <w:spacing w:val="-15"/>
          <w:sz w:val="21"/>
        </w:rPr>
        <w:t xml:space="preserve"> </w:t>
      </w:r>
      <w:r>
        <w:rPr>
          <w:sz w:val="21"/>
        </w:rPr>
        <w:t>4.4.4.5</w:t>
      </w:r>
      <w:r>
        <w:rPr>
          <w:spacing w:val="-12"/>
          <w:sz w:val="21"/>
        </w:rPr>
        <w:t xml:space="preserve"> </w:t>
      </w:r>
      <w:r>
        <w:rPr>
          <w:spacing w:val="-12"/>
          <w:sz w:val="21"/>
        </w:rPr>
        <w:t>的要求。</w:t>
      </w:r>
      <w:r>
        <w:rPr>
          <w:spacing w:val="-12"/>
          <w:sz w:val="21"/>
        </w:rPr>
        <w:t xml:space="preserve"> </w:t>
      </w:r>
    </w:p>
    <w:p w14:paraId="558AD80F" w14:textId="77777777" w:rsidR="00A71EEF" w:rsidRDefault="0081115D">
      <w:pPr>
        <w:pStyle w:val="a4"/>
        <w:numPr>
          <w:ilvl w:val="2"/>
          <w:numId w:val="787"/>
        </w:numPr>
        <w:tabs>
          <w:tab w:val="left" w:pos="1370"/>
        </w:tabs>
        <w:ind w:hanging="530"/>
        <w:rPr>
          <w:sz w:val="21"/>
        </w:rPr>
      </w:pPr>
      <w:r>
        <w:rPr>
          <w:spacing w:val="-3"/>
          <w:sz w:val="21"/>
        </w:rPr>
        <w:t>最大真空度</w:t>
      </w:r>
      <w:r>
        <w:rPr>
          <w:spacing w:val="-3"/>
          <w:sz w:val="21"/>
        </w:rPr>
        <w:t>及密封性试验</w:t>
      </w:r>
      <w:r>
        <w:rPr>
          <w:sz w:val="21"/>
        </w:rPr>
        <w:t xml:space="preserve"> </w:t>
      </w:r>
    </w:p>
    <w:p w14:paraId="4A8F9F60" w14:textId="77777777" w:rsidR="00A71EEF" w:rsidRDefault="00A71EEF">
      <w:pPr>
        <w:pStyle w:val="a3"/>
        <w:rPr>
          <w:sz w:val="18"/>
        </w:rPr>
      </w:pPr>
    </w:p>
    <w:p w14:paraId="02E1FD3F" w14:textId="77777777" w:rsidR="00A71EEF" w:rsidRDefault="0081115D">
      <w:pPr>
        <w:pStyle w:val="a3"/>
        <w:spacing w:line="446" w:lineRule="auto"/>
        <w:ind w:left="418" w:right="1608" w:firstLine="419"/>
      </w:pPr>
      <w:r>
        <w:t>将配备的规定长度的吸水管，一端封闭，另一端接在消防泵的一个进水口上，封闭其余进水口，泵和吸水管路中不应有水存留。启动引水装置至最大真空度，待稳定后记下该值，然后关闭引水装置，测量</w:t>
      </w:r>
      <w:r>
        <w:t xml:space="preserve"> 1min </w:t>
      </w:r>
      <w:r>
        <w:t>内真空度的下降值。当试验条件不是标准环境条件时，应按</w:t>
      </w:r>
      <w:r>
        <w:t xml:space="preserve"> GB 6245—2006 </w:t>
      </w:r>
      <w:r>
        <w:t>中</w:t>
      </w:r>
      <w:r>
        <w:t xml:space="preserve"> 10.4.1 </w:t>
      </w:r>
      <w:r>
        <w:t>的规定进行修正。判断试验结果是否符合</w:t>
      </w:r>
      <w:r>
        <w:t xml:space="preserve"> 4.4.5 </w:t>
      </w:r>
      <w:r>
        <w:t>的要求。</w:t>
      </w:r>
      <w:r>
        <w:t xml:space="preserve"> </w:t>
      </w:r>
    </w:p>
    <w:p w14:paraId="32BD056C" w14:textId="77777777" w:rsidR="00A71EEF" w:rsidRDefault="0081115D">
      <w:pPr>
        <w:pStyle w:val="a4"/>
        <w:numPr>
          <w:ilvl w:val="2"/>
          <w:numId w:val="787"/>
        </w:numPr>
        <w:tabs>
          <w:tab w:val="left" w:pos="1370"/>
        </w:tabs>
        <w:spacing w:line="266" w:lineRule="exact"/>
        <w:ind w:hanging="530"/>
        <w:rPr>
          <w:sz w:val="21"/>
        </w:rPr>
      </w:pPr>
      <w:r>
        <w:rPr>
          <w:spacing w:val="-3"/>
          <w:sz w:val="21"/>
        </w:rPr>
        <w:t>最大吸深时消防泵的性能、引水时间试验</w:t>
      </w:r>
      <w:r>
        <w:rPr>
          <w:sz w:val="21"/>
        </w:rPr>
        <w:t xml:space="preserve"> </w:t>
      </w:r>
    </w:p>
    <w:p w14:paraId="1885C82C" w14:textId="77777777" w:rsidR="00A71EEF" w:rsidRDefault="00A71EEF">
      <w:pPr>
        <w:pStyle w:val="a3"/>
        <w:spacing w:before="2"/>
        <w:rPr>
          <w:sz w:val="18"/>
        </w:rPr>
      </w:pPr>
    </w:p>
    <w:p w14:paraId="5F5CF27C" w14:textId="77777777" w:rsidR="00A71EEF" w:rsidRDefault="0081115D">
      <w:pPr>
        <w:pStyle w:val="a4"/>
        <w:numPr>
          <w:ilvl w:val="3"/>
          <w:numId w:val="787"/>
        </w:numPr>
        <w:tabs>
          <w:tab w:val="left" w:pos="1576"/>
        </w:tabs>
        <w:spacing w:line="446" w:lineRule="auto"/>
        <w:ind w:left="418" w:right="1505" w:firstLine="419"/>
        <w:rPr>
          <w:sz w:val="21"/>
        </w:rPr>
      </w:pPr>
      <w:r>
        <w:rPr>
          <w:spacing w:val="-3"/>
          <w:sz w:val="21"/>
        </w:rPr>
        <w:t>消防车停在平整、坚硬的地面上，将配备的吸水管，</w:t>
      </w:r>
      <w:r>
        <w:rPr>
          <w:spacing w:val="-3"/>
          <w:sz w:val="21"/>
        </w:rPr>
        <w:t xml:space="preserve"> </w:t>
      </w:r>
      <w:r>
        <w:rPr>
          <w:spacing w:val="-3"/>
          <w:sz w:val="21"/>
        </w:rPr>
        <w:t>一端接消防泵的进水口，另</w:t>
      </w:r>
      <w:r>
        <w:rPr>
          <w:spacing w:val="-5"/>
          <w:sz w:val="21"/>
        </w:rPr>
        <w:t>一端接滤水器，投入水池或其他水源中，当大气压力为</w:t>
      </w:r>
      <w:r>
        <w:rPr>
          <w:spacing w:val="-5"/>
          <w:sz w:val="21"/>
        </w:rPr>
        <w:t xml:space="preserve"> </w:t>
      </w:r>
      <w:r>
        <w:rPr>
          <w:sz w:val="21"/>
        </w:rPr>
        <w:t>101kPa</w:t>
      </w:r>
      <w:r>
        <w:rPr>
          <w:spacing w:val="-10"/>
          <w:sz w:val="21"/>
        </w:rPr>
        <w:t>，水温</w:t>
      </w:r>
      <w:r>
        <w:rPr>
          <w:spacing w:val="-10"/>
          <w:sz w:val="21"/>
        </w:rPr>
        <w:t xml:space="preserve"> </w:t>
      </w:r>
      <w:r>
        <w:rPr>
          <w:sz w:val="21"/>
        </w:rPr>
        <w:t>20</w:t>
      </w:r>
      <w:r>
        <w:rPr>
          <w:spacing w:val="-3"/>
          <w:sz w:val="21"/>
        </w:rPr>
        <w:t>℃</w:t>
      </w:r>
      <w:r>
        <w:rPr>
          <w:spacing w:val="-3"/>
          <w:sz w:val="21"/>
        </w:rPr>
        <w:t>吋消防泵回轮中心距</w:t>
      </w:r>
      <w:r>
        <w:rPr>
          <w:spacing w:val="-19"/>
          <w:sz w:val="21"/>
        </w:rPr>
        <w:t>水面</w:t>
      </w:r>
      <w:r>
        <w:rPr>
          <w:spacing w:val="-19"/>
          <w:sz w:val="21"/>
        </w:rPr>
        <w:t xml:space="preserve"> </w:t>
      </w:r>
      <w:r>
        <w:rPr>
          <w:sz w:val="21"/>
        </w:rPr>
        <w:t>7m</w:t>
      </w:r>
      <w:r>
        <w:rPr>
          <w:spacing w:val="-26"/>
          <w:sz w:val="21"/>
        </w:rPr>
        <w:t xml:space="preserve"> </w:t>
      </w:r>
      <w:r>
        <w:rPr>
          <w:spacing w:val="-26"/>
          <w:sz w:val="21"/>
        </w:rPr>
        <w:t>高</w:t>
      </w:r>
      <w:r>
        <w:rPr>
          <w:sz w:val="21"/>
        </w:rPr>
        <w:t>（</w:t>
      </w:r>
      <w:r>
        <w:rPr>
          <w:spacing w:val="-10"/>
          <w:sz w:val="21"/>
        </w:rPr>
        <w:t>滤水器离水面</w:t>
      </w:r>
      <w:r>
        <w:rPr>
          <w:spacing w:val="-10"/>
          <w:sz w:val="21"/>
        </w:rPr>
        <w:t xml:space="preserve"> </w:t>
      </w:r>
      <w:r>
        <w:rPr>
          <w:sz w:val="21"/>
        </w:rPr>
        <w:t>200mm</w:t>
      </w:r>
      <w:r>
        <w:rPr>
          <w:spacing w:val="-8"/>
          <w:sz w:val="21"/>
        </w:rPr>
        <w:t>，并离开水源底部</w:t>
      </w:r>
      <w:r>
        <w:rPr>
          <w:spacing w:val="-8"/>
          <w:sz w:val="21"/>
        </w:rPr>
        <w:t xml:space="preserve"> </w:t>
      </w:r>
      <w:r>
        <w:rPr>
          <w:sz w:val="21"/>
        </w:rPr>
        <w:t>200mm</w:t>
      </w:r>
      <w:r>
        <w:rPr>
          <w:sz w:val="21"/>
        </w:rPr>
        <w:t>）</w:t>
      </w:r>
      <w:r>
        <w:rPr>
          <w:spacing w:val="-3"/>
          <w:sz w:val="21"/>
        </w:rPr>
        <w:t>。启动引水装置，测定自引水装置</w:t>
      </w:r>
      <w:r>
        <w:rPr>
          <w:spacing w:val="-5"/>
          <w:sz w:val="21"/>
        </w:rPr>
        <w:t>开始工作，到消防泵出口压力表显示压力的时间，其结果应符合</w:t>
      </w:r>
      <w:r>
        <w:rPr>
          <w:spacing w:val="-5"/>
          <w:sz w:val="21"/>
        </w:rPr>
        <w:t xml:space="preserve"> </w:t>
      </w:r>
      <w:r>
        <w:rPr>
          <w:sz w:val="21"/>
        </w:rPr>
        <w:t>4.4.6.1</w:t>
      </w:r>
      <w:r>
        <w:rPr>
          <w:spacing w:val="-12"/>
          <w:sz w:val="21"/>
        </w:rPr>
        <w:t xml:space="preserve"> </w:t>
      </w:r>
      <w:r>
        <w:rPr>
          <w:spacing w:val="-12"/>
          <w:sz w:val="21"/>
        </w:rPr>
        <w:t>的要求。</w:t>
      </w:r>
      <w:r>
        <w:rPr>
          <w:spacing w:val="-12"/>
          <w:sz w:val="21"/>
        </w:rPr>
        <w:t xml:space="preserve"> </w:t>
      </w:r>
    </w:p>
    <w:p w14:paraId="0BCF6939" w14:textId="77777777" w:rsidR="00A71EEF" w:rsidRDefault="00A71EEF">
      <w:pPr>
        <w:spacing w:line="446" w:lineRule="auto"/>
        <w:rPr>
          <w:sz w:val="21"/>
        </w:rPr>
        <w:sectPr w:rsidR="00A71EEF">
          <w:pgSz w:w="11910" w:h="16850"/>
          <w:pgMar w:top="1220" w:right="0" w:bottom="1420" w:left="1260" w:header="0" w:footer="1239" w:gutter="0"/>
          <w:cols w:space="720"/>
        </w:sectPr>
      </w:pPr>
    </w:p>
    <w:p w14:paraId="2F0471F2" w14:textId="77777777" w:rsidR="00A71EEF" w:rsidRDefault="0081115D">
      <w:pPr>
        <w:pStyle w:val="a3"/>
        <w:spacing w:before="47" w:line="446" w:lineRule="auto"/>
        <w:ind w:left="418" w:right="1609" w:firstLine="419"/>
      </w:pPr>
      <w:r>
        <w:lastRenderedPageBreak/>
        <w:t>试验后，立即将引上的水放净：再重复进行两次引水时间试验。当试验条件不是标准环境条件时，</w:t>
      </w:r>
      <w:r>
        <w:t xml:space="preserve"> </w:t>
      </w:r>
      <w:r>
        <w:t>应按</w:t>
      </w:r>
      <w:r>
        <w:t xml:space="preserve"> GB 6245—2005 </w:t>
      </w:r>
      <w:r>
        <w:t>中</w:t>
      </w:r>
      <w:r>
        <w:t xml:space="preserve"> 10.4.1 </w:t>
      </w:r>
      <w:r>
        <w:t>的较定进行修正，判断三次试验结果是否均符合</w:t>
      </w:r>
    </w:p>
    <w:p w14:paraId="58941A45" w14:textId="77777777" w:rsidR="00A71EEF" w:rsidRDefault="0081115D">
      <w:pPr>
        <w:pStyle w:val="a3"/>
        <w:spacing w:line="267" w:lineRule="exact"/>
        <w:ind w:left="418"/>
      </w:pPr>
      <w:r>
        <w:t xml:space="preserve">4.4.6.1 </w:t>
      </w:r>
      <w:r>
        <w:t>的要求。</w:t>
      </w:r>
      <w:r>
        <w:t xml:space="preserve"> </w:t>
      </w:r>
    </w:p>
    <w:p w14:paraId="44C09C3D" w14:textId="77777777" w:rsidR="00A71EEF" w:rsidRDefault="00A71EEF">
      <w:pPr>
        <w:pStyle w:val="a3"/>
        <w:spacing w:before="2"/>
        <w:rPr>
          <w:sz w:val="18"/>
        </w:rPr>
      </w:pPr>
    </w:p>
    <w:p w14:paraId="2C369B77" w14:textId="77777777" w:rsidR="00A71EEF" w:rsidRDefault="0081115D">
      <w:pPr>
        <w:pStyle w:val="a3"/>
        <w:ind w:left="838"/>
      </w:pPr>
      <w:r>
        <w:t xml:space="preserve">5.4.6.2 </w:t>
      </w:r>
      <w:r>
        <w:t>按照</w:t>
      </w:r>
      <w:r>
        <w:t xml:space="preserve"> 5.1.6.1 </w:t>
      </w:r>
      <w:r>
        <w:t>的试验方法测定单个吸水口最大吸深时泵的性能，判断试验结果是</w:t>
      </w:r>
    </w:p>
    <w:p w14:paraId="45F6ECC3" w14:textId="77777777" w:rsidR="00A71EEF" w:rsidRDefault="00A71EEF">
      <w:pPr>
        <w:pStyle w:val="a3"/>
        <w:rPr>
          <w:sz w:val="18"/>
        </w:rPr>
      </w:pPr>
    </w:p>
    <w:p w14:paraId="2CE5C816" w14:textId="77777777" w:rsidR="00A71EEF" w:rsidRDefault="0081115D">
      <w:pPr>
        <w:spacing w:line="446" w:lineRule="auto"/>
        <w:ind w:left="840" w:right="7804" w:hanging="423"/>
        <w:rPr>
          <w:sz w:val="21"/>
        </w:rPr>
      </w:pPr>
      <w:r>
        <w:rPr>
          <w:sz w:val="21"/>
        </w:rPr>
        <w:t>否符合</w:t>
      </w:r>
      <w:r>
        <w:rPr>
          <w:sz w:val="21"/>
        </w:rPr>
        <w:t xml:space="preserve"> 4.4.6.2 </w:t>
      </w:r>
      <w:r>
        <w:rPr>
          <w:sz w:val="21"/>
        </w:rPr>
        <w:t>的要求。</w:t>
      </w:r>
      <w:r>
        <w:rPr>
          <w:b/>
          <w:sz w:val="21"/>
        </w:rPr>
        <w:t xml:space="preserve">5.4.7 </w:t>
      </w:r>
      <w:r>
        <w:rPr>
          <w:sz w:val="21"/>
        </w:rPr>
        <w:t>连续运转试验</w:t>
      </w:r>
      <w:r>
        <w:rPr>
          <w:sz w:val="21"/>
        </w:rPr>
        <w:t xml:space="preserve"> </w:t>
      </w:r>
    </w:p>
    <w:p w14:paraId="0639C644" w14:textId="77777777" w:rsidR="00A71EEF" w:rsidRDefault="0081115D">
      <w:pPr>
        <w:pStyle w:val="a4"/>
        <w:numPr>
          <w:ilvl w:val="3"/>
          <w:numId w:val="784"/>
        </w:numPr>
        <w:tabs>
          <w:tab w:val="left" w:pos="1576"/>
        </w:tabs>
        <w:rPr>
          <w:sz w:val="21"/>
        </w:rPr>
      </w:pPr>
      <w:r>
        <w:rPr>
          <w:spacing w:val="-3"/>
          <w:sz w:val="21"/>
        </w:rPr>
        <w:t>水罐车和供水车进行连读运转试验时的工况分配如下：</w:t>
      </w:r>
      <w:r>
        <w:rPr>
          <w:sz w:val="21"/>
        </w:rPr>
        <w:t xml:space="preserve"> </w:t>
      </w:r>
    </w:p>
    <w:p w14:paraId="7177E31C" w14:textId="77777777" w:rsidR="00A71EEF" w:rsidRDefault="00A71EEF">
      <w:pPr>
        <w:pStyle w:val="a3"/>
        <w:rPr>
          <w:sz w:val="18"/>
        </w:rPr>
      </w:pPr>
    </w:p>
    <w:p w14:paraId="1F50A328" w14:textId="77777777" w:rsidR="00A71EEF" w:rsidRDefault="0081115D">
      <w:pPr>
        <w:pStyle w:val="a3"/>
        <w:spacing w:line="446" w:lineRule="auto"/>
        <w:ind w:left="418" w:right="1613" w:firstLine="419"/>
      </w:pPr>
      <w:r>
        <w:rPr>
          <w:spacing w:val="-5"/>
        </w:rPr>
        <w:t>——</w:t>
      </w:r>
      <w:r>
        <w:rPr>
          <w:spacing w:val="-5"/>
        </w:rPr>
        <w:t>装有低压泵的水罐车，应在额定工况下连续工作</w:t>
      </w:r>
      <w:r>
        <w:rPr>
          <w:spacing w:val="-5"/>
        </w:rPr>
        <w:t xml:space="preserve"> </w:t>
      </w:r>
      <w:r>
        <w:t>3h</w:t>
      </w:r>
      <w:r>
        <w:rPr>
          <w:spacing w:val="-6"/>
        </w:rPr>
        <w:t>，继续在流量为额定值的</w:t>
      </w:r>
      <w:r>
        <w:rPr>
          <w:spacing w:val="-6"/>
        </w:rPr>
        <w:t xml:space="preserve"> </w:t>
      </w:r>
      <w:r>
        <w:t>70</w:t>
      </w:r>
      <w:r>
        <w:rPr>
          <w:spacing w:val="-3"/>
        </w:rPr>
        <w:t>%</w:t>
      </w:r>
      <w:r>
        <w:rPr>
          <w:spacing w:val="-3"/>
        </w:rPr>
        <w:t>、出</w:t>
      </w:r>
      <w:r>
        <w:rPr>
          <w:spacing w:val="-8"/>
        </w:rPr>
        <w:t>口压力不小于额定值</w:t>
      </w:r>
      <w:r>
        <w:rPr>
          <w:spacing w:val="-8"/>
        </w:rPr>
        <w:t xml:space="preserve"> </w:t>
      </w:r>
      <w:r>
        <w:t>130</w:t>
      </w:r>
      <w:r>
        <w:rPr>
          <w:spacing w:val="-8"/>
        </w:rPr>
        <w:t>%</w:t>
      </w:r>
      <w:r>
        <w:rPr>
          <w:spacing w:val="-8"/>
        </w:rPr>
        <w:t>的条件下连续工作</w:t>
      </w:r>
      <w:r>
        <w:rPr>
          <w:spacing w:val="-8"/>
        </w:rPr>
        <w:t xml:space="preserve"> </w:t>
      </w:r>
      <w:r>
        <w:t>3h</w:t>
      </w:r>
      <w:r>
        <w:t>；</w:t>
      </w:r>
      <w:r>
        <w:t xml:space="preserve"> </w:t>
      </w:r>
    </w:p>
    <w:p w14:paraId="73900447" w14:textId="77777777" w:rsidR="00A71EEF" w:rsidRDefault="0081115D">
      <w:pPr>
        <w:pStyle w:val="a3"/>
        <w:spacing w:line="446" w:lineRule="auto"/>
        <w:ind w:left="418" w:right="1558" w:firstLine="419"/>
      </w:pPr>
      <w:r>
        <w:rPr>
          <w:spacing w:val="-4"/>
        </w:rPr>
        <w:t>——</w:t>
      </w:r>
      <w:r>
        <w:rPr>
          <w:spacing w:val="-4"/>
        </w:rPr>
        <w:t>装有中低压泵的水罐车，应在低压额定工况下连续运转</w:t>
      </w:r>
      <w:r>
        <w:rPr>
          <w:spacing w:val="-4"/>
        </w:rPr>
        <w:t xml:space="preserve"> </w:t>
      </w:r>
      <w:r>
        <w:t>3h</w:t>
      </w:r>
      <w:r>
        <w:rPr>
          <w:spacing w:val="-3"/>
        </w:rPr>
        <w:t>，继续在中压额定的工况下连续运转</w:t>
      </w:r>
      <w:r>
        <w:rPr>
          <w:spacing w:val="-3"/>
        </w:rPr>
        <w:t xml:space="preserve"> </w:t>
      </w:r>
      <w:r>
        <w:t>3h</w:t>
      </w:r>
      <w:r>
        <w:t>；</w:t>
      </w:r>
      <w:r>
        <w:t xml:space="preserve"> </w:t>
      </w:r>
    </w:p>
    <w:p w14:paraId="77011452" w14:textId="77777777" w:rsidR="00A71EEF" w:rsidRDefault="0081115D">
      <w:pPr>
        <w:pStyle w:val="a3"/>
        <w:spacing w:line="446" w:lineRule="auto"/>
        <w:ind w:left="418" w:right="1558" w:firstLine="419"/>
      </w:pPr>
      <w:r>
        <w:rPr>
          <w:spacing w:val="-4"/>
        </w:rPr>
        <w:t>——</w:t>
      </w:r>
      <w:r>
        <w:rPr>
          <w:spacing w:val="-4"/>
        </w:rPr>
        <w:t>装有高低压泵的水罐车，应在低压额定工况下连续运转</w:t>
      </w:r>
      <w:r>
        <w:rPr>
          <w:spacing w:val="-4"/>
        </w:rPr>
        <w:t xml:space="preserve"> </w:t>
      </w:r>
      <w:r>
        <w:t>3h</w:t>
      </w:r>
      <w:r>
        <w:rPr>
          <w:spacing w:val="-3"/>
        </w:rPr>
        <w:t>，继续在高压额定的工况下连续运转</w:t>
      </w:r>
      <w:r>
        <w:rPr>
          <w:spacing w:val="-3"/>
        </w:rPr>
        <w:t xml:space="preserve"> </w:t>
      </w:r>
      <w:r>
        <w:t>3h</w:t>
      </w:r>
      <w:r>
        <w:t>；</w:t>
      </w:r>
      <w:r>
        <w:t xml:space="preserve"> </w:t>
      </w:r>
    </w:p>
    <w:p w14:paraId="7F7589CB" w14:textId="77777777" w:rsidR="00A71EEF" w:rsidRDefault="0081115D">
      <w:pPr>
        <w:pStyle w:val="a3"/>
        <w:ind w:left="838"/>
      </w:pPr>
      <w:r>
        <w:t>——</w:t>
      </w:r>
      <w:r>
        <w:t>装有中压泵或高压泵的水罐车，应在其额定工况下连续工作</w:t>
      </w:r>
      <w:r>
        <w:t xml:space="preserve"> 6h</w:t>
      </w:r>
      <w:r>
        <w:t>；</w:t>
      </w:r>
      <w:r>
        <w:t xml:space="preserve"> </w:t>
      </w:r>
    </w:p>
    <w:p w14:paraId="5B342243" w14:textId="77777777" w:rsidR="00A71EEF" w:rsidRDefault="00A71EEF">
      <w:pPr>
        <w:pStyle w:val="a3"/>
        <w:spacing w:before="10"/>
        <w:rPr>
          <w:sz w:val="17"/>
        </w:rPr>
      </w:pPr>
    </w:p>
    <w:p w14:paraId="7A13455E" w14:textId="77777777" w:rsidR="00A71EEF" w:rsidRDefault="0081115D">
      <w:pPr>
        <w:pStyle w:val="a3"/>
        <w:ind w:left="838"/>
      </w:pPr>
      <w:r>
        <w:t>——</w:t>
      </w:r>
      <w:r>
        <w:t>供水车应在其额定工况下连续工作</w:t>
      </w:r>
      <w:r>
        <w:t xml:space="preserve"> 6h</w:t>
      </w:r>
      <w:r>
        <w:t>；</w:t>
      </w:r>
      <w:r>
        <w:t xml:space="preserve"> </w:t>
      </w:r>
    </w:p>
    <w:p w14:paraId="50592FF8" w14:textId="77777777" w:rsidR="00A71EEF" w:rsidRDefault="00A71EEF">
      <w:pPr>
        <w:pStyle w:val="a3"/>
        <w:spacing w:before="1"/>
        <w:rPr>
          <w:sz w:val="18"/>
        </w:rPr>
      </w:pPr>
    </w:p>
    <w:p w14:paraId="08920AA6" w14:textId="77777777" w:rsidR="00A71EEF" w:rsidRDefault="0081115D">
      <w:pPr>
        <w:pStyle w:val="a4"/>
        <w:numPr>
          <w:ilvl w:val="3"/>
          <w:numId w:val="784"/>
        </w:numPr>
        <w:tabs>
          <w:tab w:val="left" w:pos="1576"/>
        </w:tabs>
        <w:spacing w:before="1" w:line="446" w:lineRule="auto"/>
        <w:ind w:left="418" w:right="1505" w:firstLine="419"/>
        <w:rPr>
          <w:sz w:val="21"/>
        </w:rPr>
      </w:pPr>
      <w:r>
        <w:rPr>
          <w:spacing w:val="-6"/>
          <w:sz w:val="21"/>
        </w:rPr>
        <w:t>消防车停在平整、坚硬的地面上，在</w:t>
      </w:r>
      <w:r>
        <w:rPr>
          <w:spacing w:val="-6"/>
          <w:sz w:val="21"/>
        </w:rPr>
        <w:t xml:space="preserve"> </w:t>
      </w:r>
      <w:r>
        <w:rPr>
          <w:sz w:val="21"/>
        </w:rPr>
        <w:t>3m</w:t>
      </w:r>
      <w:r>
        <w:rPr>
          <w:spacing w:val="-8"/>
          <w:sz w:val="21"/>
        </w:rPr>
        <w:t xml:space="preserve"> </w:t>
      </w:r>
      <w:r>
        <w:rPr>
          <w:spacing w:val="-8"/>
          <w:sz w:val="21"/>
        </w:rPr>
        <w:t>吸深下，将连接好滤水器的吸水管接在消</w:t>
      </w:r>
      <w:r>
        <w:rPr>
          <w:spacing w:val="-7"/>
          <w:sz w:val="21"/>
        </w:rPr>
        <w:t>防泵进口并放入水中，启动发动机并接合消防泵，水罐车和供水车分别按</w:t>
      </w:r>
      <w:r>
        <w:rPr>
          <w:spacing w:val="-7"/>
          <w:sz w:val="21"/>
        </w:rPr>
        <w:t xml:space="preserve"> </w:t>
      </w:r>
      <w:r>
        <w:rPr>
          <w:sz w:val="21"/>
        </w:rPr>
        <w:t>5.4.7.1</w:t>
      </w:r>
      <w:r>
        <w:rPr>
          <w:spacing w:val="-10"/>
          <w:sz w:val="21"/>
        </w:rPr>
        <w:t xml:space="preserve"> </w:t>
      </w:r>
      <w:r>
        <w:rPr>
          <w:spacing w:val="-10"/>
          <w:sz w:val="21"/>
        </w:rPr>
        <w:t>规定的工况</w:t>
      </w:r>
      <w:r>
        <w:rPr>
          <w:spacing w:val="-7"/>
          <w:sz w:val="21"/>
        </w:rPr>
        <w:t>和时间运转。当试验条件不是标准环境条件时，应按</w:t>
      </w:r>
      <w:r>
        <w:rPr>
          <w:spacing w:val="-7"/>
          <w:sz w:val="21"/>
        </w:rPr>
        <w:t xml:space="preserve"> </w:t>
      </w:r>
      <w:r>
        <w:rPr>
          <w:sz w:val="21"/>
        </w:rPr>
        <w:t>GB</w:t>
      </w:r>
      <w:r>
        <w:rPr>
          <w:spacing w:val="12"/>
          <w:sz w:val="21"/>
        </w:rPr>
        <w:t xml:space="preserve"> </w:t>
      </w:r>
      <w:r>
        <w:rPr>
          <w:sz w:val="21"/>
        </w:rPr>
        <w:t>6245—2006</w:t>
      </w:r>
      <w:r>
        <w:rPr>
          <w:spacing w:val="-30"/>
          <w:sz w:val="21"/>
        </w:rPr>
        <w:t xml:space="preserve"> </w:t>
      </w:r>
      <w:r>
        <w:rPr>
          <w:spacing w:val="-30"/>
          <w:sz w:val="21"/>
        </w:rPr>
        <w:t>中</w:t>
      </w:r>
      <w:r>
        <w:rPr>
          <w:spacing w:val="-30"/>
          <w:sz w:val="21"/>
        </w:rPr>
        <w:t xml:space="preserve"> </w:t>
      </w:r>
      <w:r>
        <w:rPr>
          <w:sz w:val="21"/>
        </w:rPr>
        <w:t>10.4.1</w:t>
      </w:r>
      <w:r>
        <w:rPr>
          <w:spacing w:val="-8"/>
          <w:sz w:val="21"/>
        </w:rPr>
        <w:t xml:space="preserve"> </w:t>
      </w:r>
      <w:r>
        <w:rPr>
          <w:spacing w:val="-8"/>
          <w:sz w:val="21"/>
        </w:rPr>
        <w:t>的规定进行修</w:t>
      </w:r>
      <w:r>
        <w:rPr>
          <w:spacing w:val="-8"/>
          <w:sz w:val="21"/>
        </w:rPr>
        <w:t xml:space="preserve"> </w:t>
      </w:r>
      <w:r>
        <w:rPr>
          <w:spacing w:val="-6"/>
          <w:sz w:val="21"/>
        </w:rPr>
        <w:t>正。</w:t>
      </w:r>
      <w:r>
        <w:rPr>
          <w:sz w:val="21"/>
        </w:rPr>
        <w:t xml:space="preserve"> </w:t>
      </w:r>
    </w:p>
    <w:p w14:paraId="65AF35B4" w14:textId="77777777" w:rsidR="00A71EEF" w:rsidRDefault="0081115D">
      <w:pPr>
        <w:pStyle w:val="a4"/>
        <w:numPr>
          <w:ilvl w:val="3"/>
          <w:numId w:val="784"/>
        </w:numPr>
        <w:tabs>
          <w:tab w:val="left" w:pos="1576"/>
        </w:tabs>
        <w:spacing w:line="446" w:lineRule="auto"/>
        <w:ind w:left="418" w:right="1608" w:firstLine="419"/>
        <w:jc w:val="both"/>
        <w:rPr>
          <w:sz w:val="21"/>
        </w:rPr>
      </w:pPr>
      <w:r>
        <w:rPr>
          <w:spacing w:val="-6"/>
          <w:sz w:val="21"/>
        </w:rPr>
        <w:t>待消防车运转稳定后开始计时，每隔</w:t>
      </w:r>
      <w:r>
        <w:rPr>
          <w:spacing w:val="-6"/>
          <w:sz w:val="21"/>
        </w:rPr>
        <w:t xml:space="preserve"> </w:t>
      </w:r>
      <w:r>
        <w:rPr>
          <w:sz w:val="21"/>
        </w:rPr>
        <w:t>15min</w:t>
      </w:r>
      <w:r>
        <w:rPr>
          <w:spacing w:val="-8"/>
          <w:sz w:val="21"/>
        </w:rPr>
        <w:t xml:space="preserve"> </w:t>
      </w:r>
      <w:r>
        <w:rPr>
          <w:spacing w:val="-8"/>
          <w:sz w:val="21"/>
        </w:rPr>
        <w:t>测量一次下述规定的各参数并检查发</w:t>
      </w:r>
      <w:r>
        <w:rPr>
          <w:spacing w:val="-5"/>
          <w:sz w:val="21"/>
        </w:rPr>
        <w:t>动机、取力器有无异响、过度振动、漏水，漏油、漏气等异常现象，做好记录。试验过程不应</w:t>
      </w:r>
      <w:r>
        <w:rPr>
          <w:spacing w:val="-4"/>
          <w:sz w:val="21"/>
        </w:rPr>
        <w:t>间断，并保持泵的出口压力和流量不低于规定值。试验中可随时调节辅助冷却器。</w:t>
      </w:r>
      <w:r>
        <w:rPr>
          <w:sz w:val="21"/>
        </w:rPr>
        <w:t xml:space="preserve"> </w:t>
      </w:r>
    </w:p>
    <w:p w14:paraId="0DAC2B76" w14:textId="77777777" w:rsidR="00A71EEF" w:rsidRDefault="0081115D">
      <w:pPr>
        <w:pStyle w:val="a3"/>
        <w:spacing w:line="268" w:lineRule="exact"/>
        <w:ind w:left="838"/>
      </w:pPr>
      <w:r>
        <w:rPr>
          <w:spacing w:val="-3"/>
        </w:rPr>
        <w:t>——</w:t>
      </w:r>
      <w:r>
        <w:rPr>
          <w:spacing w:val="-3"/>
        </w:rPr>
        <w:t>消防泵进口压力；</w:t>
      </w:r>
      <w:r>
        <w:t xml:space="preserve"> </w:t>
      </w:r>
    </w:p>
    <w:p w14:paraId="210C0504" w14:textId="77777777" w:rsidR="00A71EEF" w:rsidRDefault="00A71EEF">
      <w:pPr>
        <w:pStyle w:val="a3"/>
        <w:spacing w:before="10"/>
        <w:rPr>
          <w:sz w:val="17"/>
        </w:rPr>
      </w:pPr>
    </w:p>
    <w:p w14:paraId="6529384D" w14:textId="77777777" w:rsidR="00A71EEF" w:rsidRDefault="0081115D">
      <w:pPr>
        <w:pStyle w:val="a3"/>
        <w:ind w:left="838"/>
      </w:pPr>
      <w:r>
        <w:rPr>
          <w:spacing w:val="-3"/>
        </w:rPr>
        <w:t>——</w:t>
      </w:r>
      <w:r>
        <w:rPr>
          <w:spacing w:val="-3"/>
        </w:rPr>
        <w:t>消防泵出口压力；</w:t>
      </w:r>
      <w:r>
        <w:t xml:space="preserve"> </w:t>
      </w:r>
    </w:p>
    <w:p w14:paraId="7961D79B" w14:textId="77777777" w:rsidR="00A71EEF" w:rsidRDefault="00A71EEF">
      <w:pPr>
        <w:pStyle w:val="a3"/>
        <w:spacing w:before="2"/>
        <w:rPr>
          <w:sz w:val="18"/>
        </w:rPr>
      </w:pPr>
    </w:p>
    <w:p w14:paraId="39995C41" w14:textId="77777777" w:rsidR="00A71EEF" w:rsidRDefault="0081115D">
      <w:pPr>
        <w:pStyle w:val="a3"/>
        <w:ind w:left="838"/>
      </w:pPr>
      <w:r>
        <w:rPr>
          <w:spacing w:val="-3"/>
        </w:rPr>
        <w:t>——</w:t>
      </w:r>
      <w:r>
        <w:rPr>
          <w:spacing w:val="-3"/>
        </w:rPr>
        <w:t>消防泵流量；</w:t>
      </w:r>
      <w:r>
        <w:t xml:space="preserve"> </w:t>
      </w:r>
    </w:p>
    <w:p w14:paraId="4B7508B2" w14:textId="77777777" w:rsidR="00A71EEF" w:rsidRDefault="00A71EEF">
      <w:pPr>
        <w:pStyle w:val="a3"/>
        <w:rPr>
          <w:sz w:val="18"/>
        </w:rPr>
      </w:pPr>
    </w:p>
    <w:p w14:paraId="63DB81C2" w14:textId="77777777" w:rsidR="00A71EEF" w:rsidRDefault="0081115D">
      <w:pPr>
        <w:pStyle w:val="a3"/>
        <w:ind w:left="838"/>
      </w:pPr>
      <w:r>
        <w:rPr>
          <w:spacing w:val="-3"/>
        </w:rPr>
        <w:t>——</w:t>
      </w:r>
      <w:r>
        <w:rPr>
          <w:spacing w:val="-3"/>
        </w:rPr>
        <w:t>消防泵转速；</w:t>
      </w:r>
      <w:r>
        <w:t xml:space="preserve"> </w:t>
      </w:r>
    </w:p>
    <w:p w14:paraId="770DDB4C" w14:textId="77777777" w:rsidR="00A71EEF" w:rsidRDefault="00A71EEF">
      <w:pPr>
        <w:pStyle w:val="a3"/>
        <w:spacing w:before="12"/>
        <w:rPr>
          <w:sz w:val="17"/>
        </w:rPr>
      </w:pPr>
    </w:p>
    <w:p w14:paraId="69A2DB0F" w14:textId="77777777" w:rsidR="00A71EEF" w:rsidRDefault="0081115D">
      <w:pPr>
        <w:pStyle w:val="a3"/>
        <w:ind w:left="838"/>
      </w:pPr>
      <w:r>
        <w:rPr>
          <w:spacing w:val="-3"/>
        </w:rPr>
        <w:t>——</w:t>
      </w:r>
      <w:r>
        <w:rPr>
          <w:spacing w:val="-3"/>
        </w:rPr>
        <w:t>发动机水温；</w:t>
      </w:r>
      <w:r>
        <w:t xml:space="preserve"> </w:t>
      </w:r>
    </w:p>
    <w:p w14:paraId="27BAB062" w14:textId="77777777" w:rsidR="00A71EEF" w:rsidRDefault="00A71EEF">
      <w:pPr>
        <w:pStyle w:val="a3"/>
        <w:spacing w:before="2"/>
        <w:rPr>
          <w:sz w:val="18"/>
        </w:rPr>
      </w:pPr>
    </w:p>
    <w:p w14:paraId="400D6296" w14:textId="77777777" w:rsidR="00A71EEF" w:rsidRDefault="0081115D">
      <w:pPr>
        <w:pStyle w:val="a3"/>
        <w:ind w:left="838"/>
      </w:pPr>
      <w:r>
        <w:t>——</w:t>
      </w:r>
      <w:r>
        <w:t>取力器润滑油温度；</w:t>
      </w:r>
      <w:r>
        <w:t xml:space="preserve"> </w:t>
      </w:r>
    </w:p>
    <w:p w14:paraId="5C8BFD2A" w14:textId="77777777" w:rsidR="00A71EEF" w:rsidRDefault="00A71EEF">
      <w:pPr>
        <w:sectPr w:rsidR="00A71EEF">
          <w:pgSz w:w="11910" w:h="16850"/>
          <w:pgMar w:top="1220" w:right="0" w:bottom="1420" w:left="1260" w:header="0" w:footer="1239" w:gutter="0"/>
          <w:cols w:space="720"/>
        </w:sectPr>
      </w:pPr>
    </w:p>
    <w:p w14:paraId="017C2AF3" w14:textId="77777777" w:rsidR="00A71EEF" w:rsidRDefault="0081115D">
      <w:pPr>
        <w:pStyle w:val="a3"/>
        <w:spacing w:before="47"/>
        <w:ind w:left="838"/>
      </w:pPr>
      <w:r>
        <w:lastRenderedPageBreak/>
        <w:t>——</w:t>
      </w:r>
      <w:r>
        <w:t>取力器轴承座温度。</w:t>
      </w:r>
      <w:r>
        <w:t xml:space="preserve"> </w:t>
      </w:r>
    </w:p>
    <w:p w14:paraId="138854F7" w14:textId="77777777" w:rsidR="00A71EEF" w:rsidRDefault="00A71EEF">
      <w:pPr>
        <w:pStyle w:val="a3"/>
        <w:rPr>
          <w:sz w:val="18"/>
        </w:rPr>
      </w:pPr>
    </w:p>
    <w:p w14:paraId="70305368" w14:textId="77777777" w:rsidR="00A71EEF" w:rsidRDefault="0081115D">
      <w:pPr>
        <w:pStyle w:val="a3"/>
        <w:spacing w:line="446" w:lineRule="auto"/>
        <w:ind w:left="840" w:right="6131" w:hanging="3"/>
      </w:pPr>
      <w:r>
        <w:t>判断试验结杲是否符合</w:t>
      </w:r>
      <w:r>
        <w:t xml:space="preserve"> 4.4.7 </w:t>
      </w:r>
      <w:r>
        <w:t>的要求。</w:t>
      </w:r>
      <w:r>
        <w:rPr>
          <w:b/>
        </w:rPr>
        <w:t xml:space="preserve">5.4.8 </w:t>
      </w:r>
      <w:r>
        <w:t>水罐车超负荷运转试验</w:t>
      </w:r>
      <w:r>
        <w:t xml:space="preserve"> </w:t>
      </w:r>
    </w:p>
    <w:p w14:paraId="08FCB3A9" w14:textId="77777777" w:rsidR="00A71EEF" w:rsidRDefault="0081115D">
      <w:pPr>
        <w:pStyle w:val="a3"/>
        <w:ind w:left="838"/>
      </w:pPr>
      <w:r>
        <w:t>调节水罐车消防泵出口压力为规定值的</w:t>
      </w:r>
      <w:r>
        <w:t xml:space="preserve"> 1.1 </w:t>
      </w:r>
      <w:r>
        <w:t>倍，流量为额定值，待运转稳定后开始计时，</w:t>
      </w:r>
    </w:p>
    <w:p w14:paraId="6185016E" w14:textId="77777777" w:rsidR="00A71EEF" w:rsidRDefault="00A71EEF">
      <w:pPr>
        <w:pStyle w:val="a3"/>
        <w:spacing w:before="12"/>
        <w:rPr>
          <w:sz w:val="17"/>
        </w:rPr>
      </w:pPr>
    </w:p>
    <w:p w14:paraId="4694CB27" w14:textId="77777777" w:rsidR="00A71EEF" w:rsidRDefault="0081115D">
      <w:pPr>
        <w:pStyle w:val="a3"/>
        <w:ind w:left="418"/>
      </w:pPr>
      <w:r>
        <w:t xml:space="preserve">10min </w:t>
      </w:r>
      <w:r>
        <w:t>后停止运转，判断试验结果是否符合</w:t>
      </w:r>
      <w:r>
        <w:t xml:space="preserve"> 4.4.8 </w:t>
      </w:r>
      <w:r>
        <w:t>的要求。</w:t>
      </w:r>
      <w:r>
        <w:t xml:space="preserve"> </w:t>
      </w:r>
    </w:p>
    <w:p w14:paraId="55426A1D" w14:textId="77777777" w:rsidR="00A71EEF" w:rsidRDefault="00A71EEF">
      <w:pPr>
        <w:pStyle w:val="a3"/>
        <w:rPr>
          <w:sz w:val="18"/>
        </w:rPr>
      </w:pPr>
    </w:p>
    <w:p w14:paraId="6FEDB74B" w14:textId="77777777" w:rsidR="00A71EEF" w:rsidRDefault="0081115D">
      <w:pPr>
        <w:pStyle w:val="a4"/>
        <w:numPr>
          <w:ilvl w:val="1"/>
          <w:numId w:val="788"/>
        </w:numPr>
        <w:tabs>
          <w:tab w:val="left" w:pos="1160"/>
        </w:tabs>
        <w:ind w:left="1159" w:hanging="320"/>
        <w:rPr>
          <w:b/>
          <w:sz w:val="21"/>
        </w:rPr>
      </w:pPr>
      <w:r>
        <w:rPr>
          <w:spacing w:val="-3"/>
          <w:sz w:val="21"/>
        </w:rPr>
        <w:t>仪器、仪表的要求检查</w:t>
      </w:r>
      <w:r>
        <w:rPr>
          <w:b/>
          <w:spacing w:val="-3"/>
          <w:w w:val="99"/>
          <w:sz w:val="21"/>
        </w:rPr>
        <w:t xml:space="preserve"> </w:t>
      </w:r>
    </w:p>
    <w:p w14:paraId="0D9DB382" w14:textId="77777777" w:rsidR="00A71EEF" w:rsidRDefault="00A71EEF">
      <w:pPr>
        <w:pStyle w:val="a3"/>
        <w:spacing w:before="2"/>
        <w:rPr>
          <w:b/>
          <w:sz w:val="18"/>
        </w:rPr>
      </w:pPr>
    </w:p>
    <w:p w14:paraId="75FC2E0F" w14:textId="77777777" w:rsidR="00A71EEF" w:rsidRDefault="0081115D">
      <w:pPr>
        <w:pStyle w:val="a4"/>
        <w:numPr>
          <w:ilvl w:val="2"/>
          <w:numId w:val="788"/>
        </w:numPr>
        <w:tabs>
          <w:tab w:val="left" w:pos="1371"/>
        </w:tabs>
        <w:spacing w:line="446" w:lineRule="auto"/>
        <w:ind w:left="418" w:right="1500" w:firstLine="422"/>
        <w:rPr>
          <w:sz w:val="21"/>
        </w:rPr>
      </w:pPr>
      <w:r>
        <w:rPr>
          <w:spacing w:val="-19"/>
          <w:sz w:val="21"/>
        </w:rPr>
        <w:t>按照</w:t>
      </w:r>
      <w:r>
        <w:rPr>
          <w:spacing w:val="-19"/>
          <w:sz w:val="21"/>
        </w:rPr>
        <w:t xml:space="preserve"> </w:t>
      </w:r>
      <w:r>
        <w:rPr>
          <w:sz w:val="21"/>
        </w:rPr>
        <w:t>GB</w:t>
      </w:r>
      <w:r>
        <w:rPr>
          <w:spacing w:val="7"/>
          <w:sz w:val="21"/>
        </w:rPr>
        <w:t xml:space="preserve"> </w:t>
      </w:r>
      <w:r>
        <w:rPr>
          <w:sz w:val="21"/>
        </w:rPr>
        <w:t>7956-2014</w:t>
      </w:r>
      <w:r>
        <w:rPr>
          <w:spacing w:val="-35"/>
          <w:sz w:val="21"/>
        </w:rPr>
        <w:t xml:space="preserve"> </w:t>
      </w:r>
      <w:r>
        <w:rPr>
          <w:spacing w:val="-35"/>
          <w:sz w:val="21"/>
        </w:rPr>
        <w:t>中</w:t>
      </w:r>
      <w:r>
        <w:rPr>
          <w:spacing w:val="-35"/>
          <w:sz w:val="21"/>
        </w:rPr>
        <w:t xml:space="preserve"> </w:t>
      </w:r>
      <w:r>
        <w:rPr>
          <w:sz w:val="21"/>
        </w:rPr>
        <w:t>6.6</w:t>
      </w:r>
      <w:r>
        <w:rPr>
          <w:spacing w:val="-11"/>
          <w:sz w:val="21"/>
        </w:rPr>
        <w:t xml:space="preserve"> </w:t>
      </w:r>
      <w:r>
        <w:rPr>
          <w:spacing w:val="-11"/>
          <w:sz w:val="21"/>
        </w:rPr>
        <w:t>规定的方法进行试验，判断试验结果是否符合</w:t>
      </w:r>
      <w:r>
        <w:rPr>
          <w:spacing w:val="-11"/>
          <w:sz w:val="21"/>
        </w:rPr>
        <w:t xml:space="preserve"> </w:t>
      </w:r>
      <w:r>
        <w:rPr>
          <w:sz w:val="21"/>
        </w:rPr>
        <w:t>4.5.1</w:t>
      </w:r>
      <w:r>
        <w:rPr>
          <w:spacing w:val="-19"/>
          <w:sz w:val="21"/>
        </w:rPr>
        <w:t xml:space="preserve"> </w:t>
      </w:r>
      <w:r>
        <w:rPr>
          <w:spacing w:val="-19"/>
          <w:sz w:val="21"/>
        </w:rPr>
        <w:t>的要</w:t>
      </w:r>
      <w:r>
        <w:rPr>
          <w:spacing w:val="-2"/>
          <w:sz w:val="21"/>
        </w:rPr>
        <w:t>求。</w:t>
      </w:r>
      <w:r>
        <w:rPr>
          <w:sz w:val="21"/>
        </w:rPr>
        <w:t xml:space="preserve"> </w:t>
      </w:r>
    </w:p>
    <w:p w14:paraId="667FD940" w14:textId="77777777" w:rsidR="00A71EEF" w:rsidRDefault="0081115D">
      <w:pPr>
        <w:pStyle w:val="a4"/>
        <w:numPr>
          <w:ilvl w:val="2"/>
          <w:numId w:val="788"/>
        </w:numPr>
        <w:tabs>
          <w:tab w:val="left" w:pos="1370"/>
        </w:tabs>
        <w:spacing w:line="267" w:lineRule="exact"/>
        <w:ind w:left="1369" w:hanging="530"/>
        <w:rPr>
          <w:sz w:val="21"/>
        </w:rPr>
      </w:pPr>
      <w:r>
        <w:rPr>
          <w:spacing w:val="-6"/>
          <w:sz w:val="21"/>
        </w:rPr>
        <w:t>检查显示负压的仪表，判断试验结果是否符合</w:t>
      </w:r>
      <w:r>
        <w:rPr>
          <w:spacing w:val="-6"/>
          <w:sz w:val="21"/>
        </w:rPr>
        <w:t xml:space="preserve"> </w:t>
      </w:r>
      <w:r>
        <w:rPr>
          <w:sz w:val="21"/>
        </w:rPr>
        <w:t>4.5.2</w:t>
      </w:r>
      <w:r>
        <w:rPr>
          <w:spacing w:val="-13"/>
          <w:sz w:val="21"/>
        </w:rPr>
        <w:t xml:space="preserve"> </w:t>
      </w:r>
      <w:r>
        <w:rPr>
          <w:spacing w:val="-13"/>
          <w:sz w:val="21"/>
        </w:rPr>
        <w:t>的要求。</w:t>
      </w:r>
      <w:r>
        <w:rPr>
          <w:sz w:val="21"/>
        </w:rPr>
        <w:t xml:space="preserve"> </w:t>
      </w:r>
    </w:p>
    <w:p w14:paraId="51BE6A5B" w14:textId="77777777" w:rsidR="00A71EEF" w:rsidRDefault="00A71EEF">
      <w:pPr>
        <w:pStyle w:val="a3"/>
        <w:spacing w:before="2"/>
        <w:rPr>
          <w:sz w:val="18"/>
        </w:rPr>
      </w:pPr>
    </w:p>
    <w:p w14:paraId="1102F370" w14:textId="77777777" w:rsidR="00A71EEF" w:rsidRDefault="0081115D">
      <w:pPr>
        <w:pStyle w:val="a4"/>
        <w:numPr>
          <w:ilvl w:val="1"/>
          <w:numId w:val="788"/>
        </w:numPr>
        <w:tabs>
          <w:tab w:val="left" w:pos="1159"/>
        </w:tabs>
        <w:ind w:hanging="319"/>
        <w:rPr>
          <w:sz w:val="21"/>
        </w:rPr>
      </w:pPr>
      <w:r>
        <w:rPr>
          <w:spacing w:val="-3"/>
          <w:sz w:val="21"/>
        </w:rPr>
        <w:t>器材摆放、固定和配备检査</w:t>
      </w:r>
      <w:r>
        <w:rPr>
          <w:sz w:val="21"/>
        </w:rPr>
        <w:t xml:space="preserve"> </w:t>
      </w:r>
    </w:p>
    <w:p w14:paraId="3941C304" w14:textId="77777777" w:rsidR="00A71EEF" w:rsidRDefault="00A71EEF">
      <w:pPr>
        <w:pStyle w:val="a3"/>
        <w:spacing w:before="12"/>
        <w:rPr>
          <w:sz w:val="17"/>
        </w:rPr>
      </w:pPr>
    </w:p>
    <w:p w14:paraId="2AE33431" w14:textId="77777777" w:rsidR="00A71EEF" w:rsidRDefault="0081115D">
      <w:pPr>
        <w:pStyle w:val="a4"/>
        <w:numPr>
          <w:ilvl w:val="2"/>
          <w:numId w:val="788"/>
        </w:numPr>
        <w:tabs>
          <w:tab w:val="left" w:pos="1371"/>
        </w:tabs>
        <w:rPr>
          <w:sz w:val="21"/>
        </w:rPr>
      </w:pPr>
      <w:r>
        <w:rPr>
          <w:spacing w:val="-19"/>
          <w:sz w:val="21"/>
        </w:rPr>
        <w:t>按照</w:t>
      </w:r>
      <w:r>
        <w:rPr>
          <w:spacing w:val="-19"/>
          <w:sz w:val="21"/>
        </w:rPr>
        <w:t xml:space="preserve"> </w:t>
      </w:r>
      <w:r>
        <w:rPr>
          <w:sz w:val="21"/>
        </w:rPr>
        <w:t>GB</w:t>
      </w:r>
      <w:r>
        <w:rPr>
          <w:spacing w:val="2"/>
          <w:sz w:val="21"/>
        </w:rPr>
        <w:t xml:space="preserve"> </w:t>
      </w:r>
      <w:r>
        <w:rPr>
          <w:sz w:val="21"/>
        </w:rPr>
        <w:t>7956.1-2014</w:t>
      </w:r>
      <w:r>
        <w:rPr>
          <w:spacing w:val="-36"/>
          <w:sz w:val="21"/>
        </w:rPr>
        <w:t xml:space="preserve"> </w:t>
      </w:r>
      <w:r>
        <w:rPr>
          <w:spacing w:val="-36"/>
          <w:sz w:val="21"/>
        </w:rPr>
        <w:t>中</w:t>
      </w:r>
      <w:r>
        <w:rPr>
          <w:spacing w:val="-36"/>
          <w:sz w:val="21"/>
        </w:rPr>
        <w:t xml:space="preserve"> </w:t>
      </w:r>
      <w:r>
        <w:rPr>
          <w:sz w:val="21"/>
        </w:rPr>
        <w:t>6.10</w:t>
      </w:r>
      <w:r>
        <w:rPr>
          <w:sz w:val="21"/>
        </w:rPr>
        <w:t>、</w:t>
      </w:r>
      <w:r>
        <w:rPr>
          <w:sz w:val="21"/>
        </w:rPr>
        <w:t>6.11</w:t>
      </w:r>
      <w:r>
        <w:rPr>
          <w:spacing w:val="-8"/>
          <w:sz w:val="21"/>
        </w:rPr>
        <w:t xml:space="preserve"> </w:t>
      </w:r>
      <w:r>
        <w:rPr>
          <w:spacing w:val="-8"/>
          <w:sz w:val="21"/>
        </w:rPr>
        <w:t>规定的方法进行试验，判断试验结果是否符含</w:t>
      </w:r>
    </w:p>
    <w:p w14:paraId="6955F711" w14:textId="77777777" w:rsidR="00A71EEF" w:rsidRDefault="00A71EEF">
      <w:pPr>
        <w:pStyle w:val="a3"/>
        <w:spacing w:before="12"/>
        <w:rPr>
          <w:sz w:val="17"/>
        </w:rPr>
      </w:pPr>
    </w:p>
    <w:p w14:paraId="21F43B04" w14:textId="77777777" w:rsidR="00A71EEF" w:rsidRDefault="0081115D">
      <w:pPr>
        <w:pStyle w:val="a3"/>
        <w:ind w:left="418"/>
      </w:pPr>
      <w:r>
        <w:t xml:space="preserve">4.6.1 </w:t>
      </w:r>
      <w:r>
        <w:t>的要求。</w:t>
      </w:r>
      <w:r>
        <w:t xml:space="preserve"> </w:t>
      </w:r>
    </w:p>
    <w:p w14:paraId="3188DB40" w14:textId="77777777" w:rsidR="00A71EEF" w:rsidRDefault="00A71EEF">
      <w:pPr>
        <w:pStyle w:val="a3"/>
        <w:spacing w:before="2"/>
        <w:rPr>
          <w:sz w:val="18"/>
        </w:rPr>
      </w:pPr>
    </w:p>
    <w:p w14:paraId="6A4FF513" w14:textId="77777777" w:rsidR="00A71EEF" w:rsidRDefault="0081115D">
      <w:pPr>
        <w:pStyle w:val="a3"/>
        <w:ind w:left="840"/>
      </w:pPr>
      <w:r>
        <w:rPr>
          <w:b/>
        </w:rPr>
        <w:t xml:space="preserve">5.6.2 </w:t>
      </w:r>
      <w:r>
        <w:t>目测检查随车器材的种类、数量，判断试验结果是否符合</w:t>
      </w:r>
      <w:r>
        <w:t xml:space="preserve"> 4.6.2 </w:t>
      </w:r>
      <w:r>
        <w:t>的要求。</w:t>
      </w:r>
      <w:r>
        <w:t xml:space="preserve"> </w:t>
      </w:r>
    </w:p>
    <w:p w14:paraId="1879B70A" w14:textId="77777777" w:rsidR="00A71EEF" w:rsidRDefault="00A71EEF">
      <w:pPr>
        <w:pStyle w:val="a3"/>
        <w:rPr>
          <w:sz w:val="18"/>
        </w:rPr>
      </w:pPr>
    </w:p>
    <w:p w14:paraId="106FCC02" w14:textId="77777777" w:rsidR="00A71EEF" w:rsidRDefault="0081115D">
      <w:pPr>
        <w:pStyle w:val="a4"/>
        <w:numPr>
          <w:ilvl w:val="1"/>
          <w:numId w:val="788"/>
        </w:numPr>
        <w:tabs>
          <w:tab w:val="left" w:pos="1159"/>
        </w:tabs>
        <w:ind w:hanging="319"/>
        <w:rPr>
          <w:sz w:val="21"/>
        </w:rPr>
      </w:pPr>
      <w:r>
        <w:rPr>
          <w:spacing w:val="-3"/>
          <w:sz w:val="21"/>
        </w:rPr>
        <w:t>警报灯具试验</w:t>
      </w:r>
      <w:r>
        <w:rPr>
          <w:sz w:val="21"/>
        </w:rPr>
        <w:t xml:space="preserve"> </w:t>
      </w:r>
    </w:p>
    <w:p w14:paraId="2BF2263F" w14:textId="77777777" w:rsidR="00A71EEF" w:rsidRDefault="00A71EEF">
      <w:pPr>
        <w:pStyle w:val="a3"/>
        <w:rPr>
          <w:sz w:val="18"/>
        </w:rPr>
      </w:pPr>
    </w:p>
    <w:p w14:paraId="03B1F73D" w14:textId="77777777" w:rsidR="00A71EEF" w:rsidRDefault="0081115D">
      <w:pPr>
        <w:pStyle w:val="a3"/>
        <w:ind w:left="838"/>
      </w:pPr>
      <w:r>
        <w:t>按照</w:t>
      </w:r>
      <w:r>
        <w:t xml:space="preserve"> GB 7956.1—2014 </w:t>
      </w:r>
      <w:r>
        <w:t>中</w:t>
      </w:r>
      <w:r>
        <w:t xml:space="preserve"> 6.7.28~6.7.31 </w:t>
      </w:r>
      <w:r>
        <w:t>规定的方法进行试验，判断试验结果是否符合</w:t>
      </w:r>
      <w:r>
        <w:t xml:space="preserve"> 4.7</w:t>
      </w:r>
    </w:p>
    <w:p w14:paraId="5D66830D" w14:textId="77777777" w:rsidR="00A71EEF" w:rsidRDefault="00A71EEF">
      <w:pPr>
        <w:pStyle w:val="a3"/>
        <w:spacing w:before="1"/>
        <w:rPr>
          <w:sz w:val="18"/>
        </w:rPr>
      </w:pPr>
    </w:p>
    <w:p w14:paraId="40BE63C9" w14:textId="77777777" w:rsidR="00A71EEF" w:rsidRDefault="0081115D">
      <w:pPr>
        <w:pStyle w:val="a3"/>
        <w:spacing w:before="1"/>
        <w:ind w:left="418"/>
      </w:pPr>
      <w:r>
        <w:t>的要求。</w:t>
      </w:r>
      <w:r>
        <w:t xml:space="preserve"> </w:t>
      </w:r>
    </w:p>
    <w:p w14:paraId="6306FC98" w14:textId="77777777" w:rsidR="00A71EEF" w:rsidRDefault="00A71EEF">
      <w:pPr>
        <w:pStyle w:val="a3"/>
        <w:spacing w:before="12"/>
        <w:rPr>
          <w:sz w:val="17"/>
        </w:rPr>
      </w:pPr>
    </w:p>
    <w:p w14:paraId="1E15469C" w14:textId="77777777" w:rsidR="00A71EEF" w:rsidRDefault="0081115D">
      <w:pPr>
        <w:pStyle w:val="a4"/>
        <w:numPr>
          <w:ilvl w:val="1"/>
          <w:numId w:val="788"/>
        </w:numPr>
        <w:tabs>
          <w:tab w:val="left" w:pos="1159"/>
        </w:tabs>
        <w:ind w:hanging="319"/>
        <w:rPr>
          <w:sz w:val="21"/>
        </w:rPr>
      </w:pPr>
      <w:r>
        <w:rPr>
          <w:spacing w:val="-3"/>
          <w:sz w:val="21"/>
        </w:rPr>
        <w:t>随车文件、工具及易损件检查</w:t>
      </w:r>
      <w:r>
        <w:rPr>
          <w:sz w:val="21"/>
        </w:rPr>
        <w:t xml:space="preserve"> </w:t>
      </w:r>
    </w:p>
    <w:p w14:paraId="31429E06" w14:textId="77777777" w:rsidR="00A71EEF" w:rsidRDefault="00A71EEF">
      <w:pPr>
        <w:pStyle w:val="a3"/>
        <w:spacing w:before="12"/>
        <w:rPr>
          <w:sz w:val="17"/>
        </w:rPr>
      </w:pPr>
    </w:p>
    <w:p w14:paraId="63B50D5E" w14:textId="77777777" w:rsidR="00A71EEF" w:rsidRDefault="0081115D">
      <w:pPr>
        <w:pStyle w:val="a4"/>
        <w:numPr>
          <w:ilvl w:val="2"/>
          <w:numId w:val="788"/>
        </w:numPr>
        <w:tabs>
          <w:tab w:val="left" w:pos="1371"/>
        </w:tabs>
        <w:rPr>
          <w:sz w:val="21"/>
        </w:rPr>
      </w:pPr>
      <w:r>
        <w:rPr>
          <w:spacing w:val="-5"/>
          <w:sz w:val="21"/>
        </w:rPr>
        <w:t>查阅随车交付的相关文件，文件内容是否清晰完整，判断试验结果是否符合</w:t>
      </w:r>
      <w:r>
        <w:rPr>
          <w:spacing w:val="-5"/>
          <w:sz w:val="21"/>
        </w:rPr>
        <w:t xml:space="preserve"> </w:t>
      </w:r>
      <w:r>
        <w:rPr>
          <w:sz w:val="21"/>
        </w:rPr>
        <w:t>4.8.1</w:t>
      </w:r>
    </w:p>
    <w:p w14:paraId="33CEAA0A" w14:textId="77777777" w:rsidR="00A71EEF" w:rsidRDefault="00A71EEF">
      <w:pPr>
        <w:pStyle w:val="a3"/>
        <w:spacing w:before="2"/>
        <w:rPr>
          <w:sz w:val="18"/>
        </w:rPr>
      </w:pPr>
    </w:p>
    <w:p w14:paraId="1A5E01C6" w14:textId="77777777" w:rsidR="00A71EEF" w:rsidRDefault="0081115D">
      <w:pPr>
        <w:pStyle w:val="a3"/>
        <w:ind w:left="418"/>
        <w:rPr>
          <w:b/>
        </w:rPr>
      </w:pPr>
      <w:r>
        <w:t>的要求。</w:t>
      </w:r>
      <w:r>
        <w:rPr>
          <w:b/>
          <w:w w:val="99"/>
        </w:rPr>
        <w:t xml:space="preserve"> </w:t>
      </w:r>
    </w:p>
    <w:p w14:paraId="2376CEFD" w14:textId="77777777" w:rsidR="00A71EEF" w:rsidRDefault="00A71EEF">
      <w:pPr>
        <w:pStyle w:val="a3"/>
        <w:rPr>
          <w:b/>
          <w:sz w:val="18"/>
        </w:rPr>
      </w:pPr>
    </w:p>
    <w:p w14:paraId="1FEF9362" w14:textId="77777777" w:rsidR="00A71EEF" w:rsidRDefault="0081115D">
      <w:pPr>
        <w:pStyle w:val="a4"/>
        <w:numPr>
          <w:ilvl w:val="2"/>
          <w:numId w:val="788"/>
        </w:numPr>
        <w:tabs>
          <w:tab w:val="left" w:pos="1370"/>
        </w:tabs>
        <w:ind w:left="1369" w:hanging="530"/>
        <w:rPr>
          <w:sz w:val="21"/>
        </w:rPr>
      </w:pPr>
      <w:r>
        <w:rPr>
          <w:spacing w:val="-5"/>
          <w:sz w:val="21"/>
        </w:rPr>
        <w:t>检查随车专用工具、密封件和保险丝是否齐全，判断试验结果是否符合</w:t>
      </w:r>
      <w:r>
        <w:rPr>
          <w:spacing w:val="-5"/>
          <w:sz w:val="21"/>
        </w:rPr>
        <w:t xml:space="preserve"> </w:t>
      </w:r>
      <w:r>
        <w:rPr>
          <w:sz w:val="21"/>
        </w:rPr>
        <w:t>4.8.2</w:t>
      </w:r>
      <w:r>
        <w:rPr>
          <w:sz w:val="21"/>
        </w:rPr>
        <w:t>、</w:t>
      </w:r>
    </w:p>
    <w:p w14:paraId="44F5D76A" w14:textId="77777777" w:rsidR="00A71EEF" w:rsidRDefault="00A71EEF">
      <w:pPr>
        <w:pStyle w:val="a3"/>
        <w:rPr>
          <w:sz w:val="18"/>
        </w:rPr>
      </w:pPr>
    </w:p>
    <w:p w14:paraId="2655DBEB" w14:textId="77777777" w:rsidR="00A71EEF" w:rsidRDefault="0081115D">
      <w:pPr>
        <w:pStyle w:val="a3"/>
        <w:ind w:left="418"/>
      </w:pPr>
      <w:r>
        <w:t xml:space="preserve">4.8.3 </w:t>
      </w:r>
      <w:r>
        <w:t>的要求。</w:t>
      </w:r>
      <w:r>
        <w:t xml:space="preserve"> </w:t>
      </w:r>
    </w:p>
    <w:p w14:paraId="46E29B1D" w14:textId="77777777" w:rsidR="00A71EEF" w:rsidRDefault="00A71EEF">
      <w:pPr>
        <w:pStyle w:val="a3"/>
        <w:spacing w:before="10"/>
        <w:rPr>
          <w:sz w:val="15"/>
        </w:rPr>
      </w:pPr>
    </w:p>
    <w:p w14:paraId="7E659214" w14:textId="77777777" w:rsidR="00A71EEF" w:rsidRDefault="0081115D">
      <w:pPr>
        <w:pStyle w:val="4"/>
      </w:pPr>
      <w:r>
        <w:t xml:space="preserve">6 </w:t>
      </w:r>
      <w:r>
        <w:t>检查规则</w:t>
      </w:r>
      <w:r>
        <w:rPr>
          <w:w w:val="99"/>
        </w:rPr>
        <w:t xml:space="preserve"> </w:t>
      </w:r>
    </w:p>
    <w:p w14:paraId="19A214B6" w14:textId="77777777" w:rsidR="00A71EEF" w:rsidRDefault="00A71EEF">
      <w:pPr>
        <w:pStyle w:val="a3"/>
        <w:spacing w:before="4"/>
        <w:rPr>
          <w:b/>
          <w:sz w:val="17"/>
        </w:rPr>
      </w:pPr>
    </w:p>
    <w:p w14:paraId="7A013EF0" w14:textId="77777777" w:rsidR="00A71EEF" w:rsidRDefault="0081115D">
      <w:pPr>
        <w:pStyle w:val="a4"/>
        <w:numPr>
          <w:ilvl w:val="1"/>
          <w:numId w:val="783"/>
        </w:numPr>
        <w:tabs>
          <w:tab w:val="left" w:pos="1159"/>
        </w:tabs>
        <w:ind w:hanging="319"/>
        <w:rPr>
          <w:sz w:val="21"/>
        </w:rPr>
      </w:pPr>
      <w:r>
        <w:rPr>
          <w:spacing w:val="-3"/>
          <w:sz w:val="21"/>
        </w:rPr>
        <w:t>检验分类</w:t>
      </w:r>
      <w:r>
        <w:rPr>
          <w:sz w:val="21"/>
        </w:rPr>
        <w:t xml:space="preserve"> </w:t>
      </w:r>
    </w:p>
    <w:p w14:paraId="1CD87F91" w14:textId="77777777" w:rsidR="00A71EEF" w:rsidRDefault="00A71EEF">
      <w:pPr>
        <w:pStyle w:val="a3"/>
        <w:spacing w:before="12"/>
        <w:rPr>
          <w:sz w:val="17"/>
        </w:rPr>
      </w:pPr>
    </w:p>
    <w:p w14:paraId="38A29340" w14:textId="77777777" w:rsidR="00A71EEF" w:rsidRDefault="0081115D">
      <w:pPr>
        <w:pStyle w:val="a4"/>
        <w:numPr>
          <w:ilvl w:val="2"/>
          <w:numId w:val="783"/>
        </w:numPr>
        <w:tabs>
          <w:tab w:val="left" w:pos="1370"/>
        </w:tabs>
        <w:ind w:hanging="530"/>
        <w:rPr>
          <w:sz w:val="21"/>
        </w:rPr>
      </w:pPr>
      <w:r>
        <w:rPr>
          <w:spacing w:val="-3"/>
          <w:sz w:val="21"/>
        </w:rPr>
        <w:t>出厂试验</w:t>
      </w:r>
      <w:r>
        <w:rPr>
          <w:sz w:val="21"/>
        </w:rPr>
        <w:t xml:space="preserve"> </w:t>
      </w:r>
    </w:p>
    <w:p w14:paraId="4FF7D338" w14:textId="77777777" w:rsidR="00A71EEF" w:rsidRDefault="00A71EEF">
      <w:pPr>
        <w:pStyle w:val="a3"/>
        <w:spacing w:before="2"/>
        <w:rPr>
          <w:sz w:val="18"/>
        </w:rPr>
      </w:pPr>
    </w:p>
    <w:p w14:paraId="716EE46E" w14:textId="77777777" w:rsidR="00A71EEF" w:rsidRDefault="0081115D">
      <w:pPr>
        <w:pStyle w:val="a3"/>
        <w:spacing w:line="446" w:lineRule="auto"/>
        <w:ind w:left="418" w:right="1611" w:firstLine="419"/>
      </w:pPr>
      <w:r>
        <w:rPr>
          <w:spacing w:val="-8"/>
        </w:rPr>
        <w:t>检查项目至少应包括表</w:t>
      </w:r>
      <w:r>
        <w:rPr>
          <w:spacing w:val="-8"/>
        </w:rPr>
        <w:t xml:space="preserve"> </w:t>
      </w:r>
      <w:r>
        <w:t>4</w:t>
      </w:r>
      <w:r>
        <w:rPr>
          <w:spacing w:val="-12"/>
        </w:rPr>
        <w:t xml:space="preserve"> </w:t>
      </w:r>
      <w:r>
        <w:rPr>
          <w:spacing w:val="-12"/>
        </w:rPr>
        <w:t>中出厂检验的内容，其结果应符合</w:t>
      </w:r>
      <w:r>
        <w:rPr>
          <w:spacing w:val="-12"/>
        </w:rPr>
        <w:t xml:space="preserve"> </w:t>
      </w:r>
      <w:r>
        <w:t>GB 7956.1—2014</w:t>
      </w:r>
      <w:r>
        <w:rPr>
          <w:spacing w:val="-10"/>
        </w:rPr>
        <w:t xml:space="preserve"> </w:t>
      </w:r>
      <w:r>
        <w:rPr>
          <w:spacing w:val="-10"/>
        </w:rPr>
        <w:t>和本部分的</w:t>
      </w:r>
      <w:r>
        <w:rPr>
          <w:spacing w:val="-8"/>
        </w:rPr>
        <w:t>规定。</w:t>
      </w:r>
      <w:r>
        <w:t xml:space="preserve"> </w:t>
      </w:r>
    </w:p>
    <w:p w14:paraId="463E4F0A" w14:textId="77777777" w:rsidR="00A71EEF" w:rsidRDefault="0081115D">
      <w:pPr>
        <w:pStyle w:val="a4"/>
        <w:numPr>
          <w:ilvl w:val="2"/>
          <w:numId w:val="783"/>
        </w:numPr>
        <w:tabs>
          <w:tab w:val="left" w:pos="1370"/>
        </w:tabs>
        <w:spacing w:line="267" w:lineRule="exact"/>
        <w:ind w:hanging="530"/>
        <w:rPr>
          <w:sz w:val="21"/>
        </w:rPr>
      </w:pPr>
      <w:r>
        <w:rPr>
          <w:spacing w:val="-3"/>
          <w:sz w:val="21"/>
        </w:rPr>
        <w:t>形式试验</w:t>
      </w:r>
      <w:r>
        <w:rPr>
          <w:sz w:val="21"/>
        </w:rPr>
        <w:t xml:space="preserve"> </w:t>
      </w:r>
    </w:p>
    <w:p w14:paraId="5F6B0EDE" w14:textId="77777777" w:rsidR="00A71EEF" w:rsidRDefault="00A71EEF">
      <w:pPr>
        <w:pStyle w:val="a3"/>
        <w:spacing w:before="2"/>
        <w:rPr>
          <w:sz w:val="18"/>
        </w:rPr>
      </w:pPr>
    </w:p>
    <w:p w14:paraId="29264B7E" w14:textId="77777777" w:rsidR="00A71EEF" w:rsidRDefault="0081115D">
      <w:pPr>
        <w:pStyle w:val="a4"/>
        <w:numPr>
          <w:ilvl w:val="3"/>
          <w:numId w:val="783"/>
        </w:numPr>
        <w:tabs>
          <w:tab w:val="left" w:pos="1583"/>
        </w:tabs>
        <w:rPr>
          <w:sz w:val="21"/>
        </w:rPr>
      </w:pPr>
      <w:r>
        <w:rPr>
          <w:spacing w:val="-3"/>
          <w:sz w:val="21"/>
        </w:rPr>
        <w:t>凡属下列情况之一时应进行形式试验：</w:t>
      </w:r>
      <w:r>
        <w:rPr>
          <w:sz w:val="21"/>
        </w:rPr>
        <w:t xml:space="preserve"> </w:t>
      </w:r>
    </w:p>
    <w:p w14:paraId="3D2AE961" w14:textId="77777777" w:rsidR="00A71EEF" w:rsidRDefault="00A71EEF">
      <w:pPr>
        <w:rPr>
          <w:sz w:val="21"/>
        </w:rPr>
        <w:sectPr w:rsidR="00A71EEF">
          <w:pgSz w:w="11910" w:h="16850"/>
          <w:pgMar w:top="1220" w:right="0" w:bottom="1420" w:left="1260" w:header="0" w:footer="1239" w:gutter="0"/>
          <w:cols w:space="720"/>
        </w:sectPr>
      </w:pPr>
    </w:p>
    <w:p w14:paraId="32480874" w14:textId="77777777" w:rsidR="00A71EEF" w:rsidRDefault="0081115D">
      <w:pPr>
        <w:pStyle w:val="a3"/>
        <w:spacing w:before="47"/>
        <w:ind w:left="838"/>
      </w:pPr>
      <w:r>
        <w:lastRenderedPageBreak/>
        <w:t>——</w:t>
      </w:r>
      <w:r>
        <w:t>新产品试测定型或老产品转厂生产；</w:t>
      </w:r>
      <w:r>
        <w:t xml:space="preserve"> </w:t>
      </w:r>
    </w:p>
    <w:p w14:paraId="1079184B" w14:textId="77777777" w:rsidR="00A71EEF" w:rsidRDefault="00A71EEF">
      <w:pPr>
        <w:pStyle w:val="a3"/>
        <w:rPr>
          <w:sz w:val="18"/>
        </w:rPr>
      </w:pPr>
    </w:p>
    <w:p w14:paraId="10A5BA09" w14:textId="77777777" w:rsidR="00A71EEF" w:rsidRDefault="0081115D">
      <w:pPr>
        <w:pStyle w:val="a3"/>
        <w:spacing w:line="446" w:lineRule="auto"/>
        <w:ind w:left="418" w:right="1817" w:firstLine="419"/>
      </w:pPr>
      <w:r>
        <w:t>——</w:t>
      </w:r>
      <w:r>
        <w:t>批量生产后，主要结构部件设计及生产工艺有重大改变，应抽样进行相应项目的试验；</w:t>
      </w:r>
      <w:r>
        <w:t xml:space="preserve"> </w:t>
      </w:r>
    </w:p>
    <w:p w14:paraId="40DE9501" w14:textId="77777777" w:rsidR="00A71EEF" w:rsidRDefault="0081115D">
      <w:pPr>
        <w:pStyle w:val="a3"/>
        <w:ind w:left="838"/>
      </w:pPr>
      <w:r>
        <w:t>——</w:t>
      </w:r>
      <w:r>
        <w:t>产品停产两年后，恢复生产；</w:t>
      </w:r>
      <w:r>
        <w:t xml:space="preserve"> </w:t>
      </w:r>
    </w:p>
    <w:p w14:paraId="360727DF" w14:textId="77777777" w:rsidR="00A71EEF" w:rsidRDefault="00A71EEF">
      <w:pPr>
        <w:pStyle w:val="a3"/>
        <w:spacing w:before="12"/>
        <w:rPr>
          <w:sz w:val="17"/>
        </w:rPr>
      </w:pPr>
    </w:p>
    <w:p w14:paraId="4B916E0D" w14:textId="77777777" w:rsidR="00A71EEF" w:rsidRDefault="0081115D">
      <w:pPr>
        <w:pStyle w:val="a3"/>
        <w:ind w:left="838"/>
      </w:pPr>
      <w:r>
        <w:t>——</w:t>
      </w:r>
      <w:r>
        <w:t>发生重大质量事故整改后；</w:t>
      </w:r>
      <w:r>
        <w:t xml:space="preserve"> </w:t>
      </w:r>
    </w:p>
    <w:p w14:paraId="2537D2F9" w14:textId="77777777" w:rsidR="00A71EEF" w:rsidRDefault="00A71EEF">
      <w:pPr>
        <w:pStyle w:val="a3"/>
        <w:rPr>
          <w:sz w:val="18"/>
        </w:rPr>
      </w:pPr>
    </w:p>
    <w:p w14:paraId="69A563A9" w14:textId="77777777" w:rsidR="00A71EEF" w:rsidRDefault="0081115D">
      <w:pPr>
        <w:pStyle w:val="a3"/>
        <w:ind w:left="838"/>
      </w:pPr>
      <w:r>
        <w:t>——</w:t>
      </w:r>
      <w:r>
        <w:t>质量监督机构依法提出要求。</w:t>
      </w:r>
      <w:r>
        <w:t xml:space="preserve"> </w:t>
      </w:r>
    </w:p>
    <w:p w14:paraId="08ED35FF" w14:textId="77777777" w:rsidR="00A71EEF" w:rsidRDefault="00A71EEF">
      <w:pPr>
        <w:pStyle w:val="a3"/>
        <w:spacing w:before="2"/>
        <w:rPr>
          <w:sz w:val="18"/>
        </w:rPr>
      </w:pPr>
    </w:p>
    <w:p w14:paraId="0F3D24D2" w14:textId="77777777" w:rsidR="00A71EEF" w:rsidRDefault="0081115D">
      <w:pPr>
        <w:pStyle w:val="a4"/>
        <w:numPr>
          <w:ilvl w:val="3"/>
          <w:numId w:val="783"/>
        </w:numPr>
        <w:tabs>
          <w:tab w:val="left" w:pos="1583"/>
        </w:tabs>
        <w:rPr>
          <w:sz w:val="21"/>
        </w:rPr>
      </w:pPr>
      <w:r>
        <w:rPr>
          <w:spacing w:val="-9"/>
          <w:sz w:val="21"/>
        </w:rPr>
        <w:t>检验项目应包括表</w:t>
      </w:r>
      <w:r>
        <w:rPr>
          <w:spacing w:val="-9"/>
          <w:sz w:val="21"/>
        </w:rPr>
        <w:t xml:space="preserve"> </w:t>
      </w:r>
      <w:r>
        <w:rPr>
          <w:sz w:val="21"/>
        </w:rPr>
        <w:t>4</w:t>
      </w:r>
      <w:r>
        <w:rPr>
          <w:spacing w:val="-9"/>
          <w:sz w:val="21"/>
        </w:rPr>
        <w:t xml:space="preserve"> </w:t>
      </w:r>
      <w:r>
        <w:rPr>
          <w:spacing w:val="-9"/>
          <w:sz w:val="21"/>
        </w:rPr>
        <w:t>中形式检验的全部内容。</w:t>
      </w:r>
      <w:r>
        <w:rPr>
          <w:sz w:val="21"/>
        </w:rPr>
        <w:t xml:space="preserve"> </w:t>
      </w:r>
    </w:p>
    <w:p w14:paraId="37BA5412" w14:textId="77777777" w:rsidR="00A71EEF" w:rsidRDefault="00A71EEF">
      <w:pPr>
        <w:rPr>
          <w:sz w:val="21"/>
        </w:rPr>
        <w:sectPr w:rsidR="00A71EEF">
          <w:pgSz w:w="11910" w:h="16850"/>
          <w:pgMar w:top="1220" w:right="0" w:bottom="1420" w:left="1260" w:header="0" w:footer="1239" w:gutter="0"/>
          <w:cols w:space="720"/>
        </w:sectPr>
      </w:pPr>
    </w:p>
    <w:p w14:paraId="023810D5" w14:textId="77777777" w:rsidR="00A71EEF" w:rsidRDefault="0081115D">
      <w:pPr>
        <w:pStyle w:val="a3"/>
        <w:ind w:left="373"/>
        <w:rPr>
          <w:sz w:val="20"/>
        </w:rPr>
      </w:pPr>
      <w:r>
        <w:rPr>
          <w:noProof/>
          <w:sz w:val="20"/>
        </w:rPr>
        <w:lastRenderedPageBreak/>
        <w:drawing>
          <wp:inline distT="0" distB="0" distL="0" distR="0" wp14:anchorId="3B3625EA" wp14:editId="2759510F">
            <wp:extent cx="4988521" cy="5114925"/>
            <wp:effectExtent l="0" t="0" r="0" b="0"/>
            <wp:docPr id="121"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88.jpeg"/>
                    <pic:cNvPicPr/>
                  </pic:nvPicPr>
                  <pic:blipFill>
                    <a:blip r:embed="rId86" cstate="print"/>
                    <a:stretch>
                      <a:fillRect/>
                    </a:stretch>
                  </pic:blipFill>
                  <pic:spPr>
                    <a:xfrm>
                      <a:off x="0" y="0"/>
                      <a:ext cx="4988521" cy="5114925"/>
                    </a:xfrm>
                    <a:prstGeom prst="rect">
                      <a:avLst/>
                    </a:prstGeom>
                  </pic:spPr>
                </pic:pic>
              </a:graphicData>
            </a:graphic>
          </wp:inline>
        </w:drawing>
      </w:r>
    </w:p>
    <w:p w14:paraId="3BEA6A22" w14:textId="77777777" w:rsidR="00A71EEF" w:rsidRDefault="0081115D">
      <w:pPr>
        <w:pStyle w:val="a3"/>
        <w:spacing w:before="3"/>
        <w:rPr>
          <w:sz w:val="8"/>
        </w:rPr>
      </w:pPr>
      <w:r>
        <w:rPr>
          <w:noProof/>
        </w:rPr>
        <w:drawing>
          <wp:anchor distT="0" distB="0" distL="0" distR="0" simplePos="0" relativeHeight="251501056" behindDoc="0" locked="0" layoutInCell="1" allowOverlap="1" wp14:anchorId="28877821" wp14:editId="70184EFF">
            <wp:simplePos x="0" y="0"/>
            <wp:positionH relativeFrom="page">
              <wp:posOffset>1017269</wp:posOffset>
            </wp:positionH>
            <wp:positionV relativeFrom="paragraph">
              <wp:posOffset>92202</wp:posOffset>
            </wp:positionV>
            <wp:extent cx="5086515" cy="2085975"/>
            <wp:effectExtent l="0" t="0" r="0" b="0"/>
            <wp:wrapTopAndBottom/>
            <wp:docPr id="123" name="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89.jpeg"/>
                    <pic:cNvPicPr/>
                  </pic:nvPicPr>
                  <pic:blipFill>
                    <a:blip r:embed="rId87" cstate="print"/>
                    <a:stretch>
                      <a:fillRect/>
                    </a:stretch>
                  </pic:blipFill>
                  <pic:spPr>
                    <a:xfrm>
                      <a:off x="0" y="0"/>
                      <a:ext cx="5086515" cy="2085975"/>
                    </a:xfrm>
                    <a:prstGeom prst="rect">
                      <a:avLst/>
                    </a:prstGeom>
                  </pic:spPr>
                </pic:pic>
              </a:graphicData>
            </a:graphic>
          </wp:anchor>
        </w:drawing>
      </w:r>
    </w:p>
    <w:p w14:paraId="2AF68162" w14:textId="77777777" w:rsidR="00A71EEF" w:rsidRDefault="00A71EEF">
      <w:pPr>
        <w:pStyle w:val="a3"/>
        <w:rPr>
          <w:sz w:val="20"/>
        </w:rPr>
      </w:pPr>
    </w:p>
    <w:p w14:paraId="4DCE4DB7" w14:textId="77777777" w:rsidR="00A71EEF" w:rsidRDefault="00A71EEF">
      <w:pPr>
        <w:pStyle w:val="a3"/>
        <w:rPr>
          <w:sz w:val="20"/>
        </w:rPr>
      </w:pPr>
    </w:p>
    <w:p w14:paraId="7E883966" w14:textId="77777777" w:rsidR="00A71EEF" w:rsidRDefault="00A71EEF">
      <w:pPr>
        <w:pStyle w:val="a3"/>
        <w:rPr>
          <w:sz w:val="20"/>
        </w:rPr>
      </w:pPr>
    </w:p>
    <w:p w14:paraId="4B0EE8AD" w14:textId="77777777" w:rsidR="00A71EEF" w:rsidRDefault="00A71EEF">
      <w:pPr>
        <w:pStyle w:val="a3"/>
        <w:rPr>
          <w:sz w:val="20"/>
        </w:rPr>
      </w:pPr>
    </w:p>
    <w:p w14:paraId="160120F9" w14:textId="77777777" w:rsidR="00A71EEF" w:rsidRDefault="00A71EEF">
      <w:pPr>
        <w:pStyle w:val="a3"/>
        <w:rPr>
          <w:sz w:val="20"/>
        </w:rPr>
      </w:pPr>
    </w:p>
    <w:p w14:paraId="445AA80E" w14:textId="77777777" w:rsidR="00A71EEF" w:rsidRDefault="00A71EEF">
      <w:pPr>
        <w:pStyle w:val="a3"/>
        <w:spacing w:before="5"/>
        <w:rPr>
          <w:sz w:val="25"/>
        </w:rPr>
      </w:pPr>
    </w:p>
    <w:p w14:paraId="64EDF262" w14:textId="77777777" w:rsidR="00A71EEF" w:rsidRDefault="0081115D">
      <w:pPr>
        <w:pStyle w:val="a3"/>
        <w:spacing w:before="71"/>
        <w:ind w:left="418"/>
      </w:pPr>
      <w:r>
        <w:t xml:space="preserve"> </w:t>
      </w:r>
    </w:p>
    <w:p w14:paraId="17787684" w14:textId="77777777" w:rsidR="00A71EEF" w:rsidRDefault="00A71EEF">
      <w:pPr>
        <w:sectPr w:rsidR="00A71EEF">
          <w:pgSz w:w="11910" w:h="16850"/>
          <w:pgMar w:top="1400" w:right="0" w:bottom="1420" w:left="1260" w:header="0" w:footer="1239" w:gutter="0"/>
          <w:cols w:space="720"/>
        </w:sectPr>
      </w:pPr>
    </w:p>
    <w:p w14:paraId="0367626D" w14:textId="77777777" w:rsidR="00A71EEF" w:rsidRDefault="0081115D">
      <w:pPr>
        <w:pStyle w:val="a3"/>
        <w:ind w:left="664"/>
        <w:rPr>
          <w:sz w:val="20"/>
        </w:rPr>
      </w:pPr>
      <w:r>
        <w:rPr>
          <w:noProof/>
          <w:sz w:val="20"/>
        </w:rPr>
        <w:lastRenderedPageBreak/>
        <w:drawing>
          <wp:inline distT="0" distB="0" distL="0" distR="0" wp14:anchorId="6F9B71A3" wp14:editId="396374B9">
            <wp:extent cx="4705003" cy="5391150"/>
            <wp:effectExtent l="0" t="0" r="0" b="0"/>
            <wp:docPr id="125"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90.jpeg"/>
                    <pic:cNvPicPr/>
                  </pic:nvPicPr>
                  <pic:blipFill>
                    <a:blip r:embed="rId88" cstate="print"/>
                    <a:stretch>
                      <a:fillRect/>
                    </a:stretch>
                  </pic:blipFill>
                  <pic:spPr>
                    <a:xfrm>
                      <a:off x="0" y="0"/>
                      <a:ext cx="4705003" cy="5391150"/>
                    </a:xfrm>
                    <a:prstGeom prst="rect">
                      <a:avLst/>
                    </a:prstGeom>
                  </pic:spPr>
                </pic:pic>
              </a:graphicData>
            </a:graphic>
          </wp:inline>
        </w:drawing>
      </w:r>
    </w:p>
    <w:p w14:paraId="3037931D" w14:textId="77777777" w:rsidR="00A71EEF" w:rsidRDefault="00A71EEF">
      <w:pPr>
        <w:pStyle w:val="a3"/>
        <w:spacing w:before="11"/>
        <w:rPr>
          <w:sz w:val="11"/>
        </w:rPr>
      </w:pPr>
    </w:p>
    <w:p w14:paraId="5F139D1E" w14:textId="77777777" w:rsidR="00A71EEF" w:rsidRDefault="0081115D">
      <w:pPr>
        <w:spacing w:before="72"/>
        <w:ind w:left="840"/>
        <w:rPr>
          <w:b/>
          <w:sz w:val="21"/>
        </w:rPr>
      </w:pPr>
      <w:r>
        <w:rPr>
          <w:b/>
          <w:sz w:val="21"/>
        </w:rPr>
        <w:t xml:space="preserve">6.2 </w:t>
      </w:r>
      <w:r>
        <w:rPr>
          <w:sz w:val="21"/>
        </w:rPr>
        <w:t>判定规则</w:t>
      </w:r>
      <w:r>
        <w:rPr>
          <w:b/>
          <w:w w:val="99"/>
          <w:sz w:val="21"/>
        </w:rPr>
        <w:t xml:space="preserve"> </w:t>
      </w:r>
    </w:p>
    <w:p w14:paraId="0E7F8315" w14:textId="77777777" w:rsidR="00A71EEF" w:rsidRDefault="00A71EEF">
      <w:pPr>
        <w:pStyle w:val="a3"/>
        <w:spacing w:before="2"/>
        <w:rPr>
          <w:b/>
          <w:sz w:val="18"/>
        </w:rPr>
      </w:pPr>
    </w:p>
    <w:p w14:paraId="4CD487C8" w14:textId="77777777" w:rsidR="00A71EEF" w:rsidRDefault="0081115D">
      <w:pPr>
        <w:pStyle w:val="a3"/>
        <w:ind w:left="838"/>
      </w:pPr>
      <w:r>
        <w:t>表</w:t>
      </w:r>
      <w:r>
        <w:t xml:space="preserve"> 4 </w:t>
      </w:r>
      <w:r>
        <w:t>第</w:t>
      </w:r>
      <w:r>
        <w:t xml:space="preserve"> 1 </w:t>
      </w:r>
      <w:r>
        <w:t>项中</w:t>
      </w:r>
      <w:r>
        <w:t xml:space="preserve"> 5.1.4</w:t>
      </w:r>
      <w:r>
        <w:t>、</w:t>
      </w:r>
      <w:r>
        <w:t>5.1.5</w:t>
      </w:r>
      <w:r>
        <w:t>、</w:t>
      </w:r>
      <w:r>
        <w:t xml:space="preserve">5.1.6 </w:t>
      </w:r>
      <w:r>
        <w:t>第</w:t>
      </w:r>
      <w:r>
        <w:t xml:space="preserve"> 3 </w:t>
      </w:r>
      <w:r>
        <w:t>项、第</w:t>
      </w:r>
      <w:r>
        <w:t xml:space="preserve"> 5 </w:t>
      </w:r>
      <w:r>
        <w:t>项中</w:t>
      </w:r>
      <w:r>
        <w:t xml:space="preserve"> 5.5.7</w:t>
      </w:r>
      <w:r>
        <w:t>、第</w:t>
      </w:r>
      <w:r>
        <w:t xml:space="preserve"> 8 </w:t>
      </w:r>
      <w:r>
        <w:t>项、第</w:t>
      </w:r>
      <w:r>
        <w:t xml:space="preserve"> 13 </w:t>
      </w:r>
      <w:r>
        <w:t>项、第</w:t>
      </w:r>
      <w:r>
        <w:t xml:space="preserve"> 17</w:t>
      </w:r>
    </w:p>
    <w:p w14:paraId="1069E49E" w14:textId="77777777" w:rsidR="00A71EEF" w:rsidRDefault="00A71EEF">
      <w:pPr>
        <w:pStyle w:val="a3"/>
        <w:spacing w:before="12"/>
        <w:rPr>
          <w:sz w:val="17"/>
        </w:rPr>
      </w:pPr>
    </w:p>
    <w:p w14:paraId="49743686" w14:textId="77777777" w:rsidR="00A71EEF" w:rsidRDefault="0081115D">
      <w:pPr>
        <w:pStyle w:val="a3"/>
        <w:spacing w:line="432" w:lineRule="auto"/>
        <w:ind w:left="418" w:right="1558"/>
        <w:rPr>
          <w:b/>
          <w:sz w:val="24"/>
        </w:rPr>
      </w:pPr>
      <w:r>
        <w:rPr>
          <w:spacing w:val="-14"/>
        </w:rPr>
        <w:t>项，第</w:t>
      </w:r>
      <w:r>
        <w:rPr>
          <w:spacing w:val="-14"/>
        </w:rPr>
        <w:t xml:space="preserve"> </w:t>
      </w:r>
      <w:r>
        <w:t>18</w:t>
      </w:r>
      <w:r>
        <w:rPr>
          <w:spacing w:val="-21"/>
        </w:rPr>
        <w:t xml:space="preserve"> </w:t>
      </w:r>
      <w:r>
        <w:rPr>
          <w:spacing w:val="-21"/>
        </w:rPr>
        <w:t>项、第</w:t>
      </w:r>
      <w:r>
        <w:rPr>
          <w:spacing w:val="-21"/>
        </w:rPr>
        <w:t xml:space="preserve"> </w:t>
      </w:r>
      <w:r>
        <w:t>19</w:t>
      </w:r>
      <w:r>
        <w:rPr>
          <w:spacing w:val="-26"/>
        </w:rPr>
        <w:t xml:space="preserve"> </w:t>
      </w:r>
      <w:r>
        <w:rPr>
          <w:spacing w:val="-26"/>
        </w:rPr>
        <w:t>项中</w:t>
      </w:r>
      <w:r>
        <w:rPr>
          <w:spacing w:val="-26"/>
        </w:rPr>
        <w:t xml:space="preserve"> </w:t>
      </w:r>
      <w:r>
        <w:t>4.4.3</w:t>
      </w:r>
      <w:r>
        <w:rPr>
          <w:spacing w:val="-17"/>
        </w:rPr>
        <w:t>、第</w:t>
      </w:r>
      <w:r>
        <w:rPr>
          <w:spacing w:val="-17"/>
        </w:rPr>
        <w:t xml:space="preserve"> </w:t>
      </w:r>
      <w:r>
        <w:t>23</w:t>
      </w:r>
      <w:r>
        <w:rPr>
          <w:spacing w:val="-9"/>
        </w:rPr>
        <w:t xml:space="preserve"> </w:t>
      </w:r>
      <w:r>
        <w:rPr>
          <w:spacing w:val="-9"/>
        </w:rPr>
        <w:t>项如有一项不合格，则判该产品为不合格；其余项目有</w:t>
      </w:r>
      <w:r>
        <w:rPr>
          <w:spacing w:val="-5"/>
        </w:rPr>
        <w:t>一项未达到要求时，允许对不合格项进行返工，经复检，如仍不合格则判该产品为不合格。</w:t>
      </w:r>
      <w:r>
        <w:rPr>
          <w:spacing w:val="-5"/>
        </w:rPr>
        <w:t xml:space="preserve">   </w:t>
      </w:r>
      <w:r>
        <w:rPr>
          <w:b/>
          <w:sz w:val="24"/>
        </w:rPr>
        <w:t>7</w:t>
      </w:r>
      <w:r>
        <w:rPr>
          <w:b/>
          <w:spacing w:val="-1"/>
          <w:sz w:val="24"/>
        </w:rPr>
        <w:t xml:space="preserve"> </w:t>
      </w:r>
      <w:r>
        <w:rPr>
          <w:b/>
          <w:spacing w:val="-1"/>
          <w:sz w:val="24"/>
        </w:rPr>
        <w:t>标志、包装、运输和贮存</w:t>
      </w:r>
      <w:r>
        <w:rPr>
          <w:b/>
          <w:spacing w:val="-1"/>
          <w:w w:val="99"/>
          <w:sz w:val="24"/>
        </w:rPr>
        <w:t xml:space="preserve"> </w:t>
      </w:r>
    </w:p>
    <w:p w14:paraId="0A5C8435" w14:textId="77777777" w:rsidR="00A71EEF" w:rsidRDefault="0081115D">
      <w:pPr>
        <w:spacing w:line="247" w:lineRule="exact"/>
        <w:ind w:left="840"/>
        <w:rPr>
          <w:b/>
          <w:sz w:val="21"/>
        </w:rPr>
      </w:pPr>
      <w:r>
        <w:rPr>
          <w:b/>
          <w:sz w:val="21"/>
        </w:rPr>
        <w:t xml:space="preserve">7.1 </w:t>
      </w:r>
      <w:r>
        <w:rPr>
          <w:sz w:val="21"/>
        </w:rPr>
        <w:t>标</w:t>
      </w:r>
      <w:r>
        <w:rPr>
          <w:sz w:val="21"/>
        </w:rPr>
        <w:t xml:space="preserve"> </w:t>
      </w:r>
      <w:r>
        <w:rPr>
          <w:sz w:val="21"/>
        </w:rPr>
        <w:t>志</w:t>
      </w:r>
      <w:r>
        <w:rPr>
          <w:b/>
          <w:w w:val="99"/>
          <w:sz w:val="21"/>
        </w:rPr>
        <w:t xml:space="preserve"> </w:t>
      </w:r>
    </w:p>
    <w:p w14:paraId="1A488A59" w14:textId="77777777" w:rsidR="00A71EEF" w:rsidRDefault="00A71EEF">
      <w:pPr>
        <w:pStyle w:val="a3"/>
        <w:rPr>
          <w:b/>
          <w:sz w:val="18"/>
        </w:rPr>
      </w:pPr>
    </w:p>
    <w:p w14:paraId="6BF0286F" w14:textId="77777777" w:rsidR="00A71EEF" w:rsidRDefault="0081115D">
      <w:pPr>
        <w:pStyle w:val="a3"/>
        <w:spacing w:line="446" w:lineRule="auto"/>
        <w:ind w:left="840" w:right="5500" w:hanging="3"/>
        <w:rPr>
          <w:b/>
        </w:rPr>
      </w:pPr>
      <w:r>
        <w:rPr>
          <w:spacing w:val="-11"/>
        </w:rPr>
        <w:t>标志应符合</w:t>
      </w:r>
      <w:r>
        <w:rPr>
          <w:spacing w:val="-11"/>
        </w:rPr>
        <w:t xml:space="preserve"> </w:t>
      </w:r>
      <w:r>
        <w:t>GB 7956.1—2014</w:t>
      </w:r>
      <w:r>
        <w:rPr>
          <w:spacing w:val="-35"/>
        </w:rPr>
        <w:t xml:space="preserve"> </w:t>
      </w:r>
      <w:r>
        <w:rPr>
          <w:spacing w:val="-35"/>
        </w:rPr>
        <w:t>中</w:t>
      </w:r>
      <w:r>
        <w:rPr>
          <w:spacing w:val="-35"/>
        </w:rPr>
        <w:t xml:space="preserve"> </w:t>
      </w:r>
      <w:r>
        <w:t>5.2</w:t>
      </w:r>
      <w:r>
        <w:rPr>
          <w:spacing w:val="-13"/>
        </w:rPr>
        <w:t xml:space="preserve"> </w:t>
      </w:r>
      <w:r>
        <w:rPr>
          <w:spacing w:val="-13"/>
        </w:rPr>
        <w:t>的规定。</w:t>
      </w:r>
      <w:r>
        <w:rPr>
          <w:b/>
        </w:rPr>
        <w:t xml:space="preserve">7.2 </w:t>
      </w:r>
      <w:r>
        <w:rPr>
          <w:spacing w:val="-3"/>
        </w:rPr>
        <w:t>包装</w:t>
      </w:r>
      <w:r>
        <w:rPr>
          <w:b/>
          <w:w w:val="99"/>
        </w:rPr>
        <w:t xml:space="preserve"> </w:t>
      </w:r>
    </w:p>
    <w:p w14:paraId="774C1BB0" w14:textId="77777777" w:rsidR="00A71EEF" w:rsidRDefault="0081115D">
      <w:pPr>
        <w:pStyle w:val="a4"/>
        <w:numPr>
          <w:ilvl w:val="2"/>
          <w:numId w:val="782"/>
        </w:numPr>
        <w:tabs>
          <w:tab w:val="left" w:pos="1371"/>
        </w:tabs>
        <w:rPr>
          <w:sz w:val="21"/>
        </w:rPr>
      </w:pPr>
      <w:r>
        <w:rPr>
          <w:spacing w:val="-3"/>
          <w:sz w:val="21"/>
        </w:rPr>
        <w:t>出厂采用裸装，随车文件用防潮材料包装。</w:t>
      </w:r>
      <w:r>
        <w:rPr>
          <w:sz w:val="21"/>
        </w:rPr>
        <w:t xml:space="preserve"> </w:t>
      </w:r>
    </w:p>
    <w:p w14:paraId="3DCF2866" w14:textId="77777777" w:rsidR="00A71EEF" w:rsidRDefault="00A71EEF">
      <w:pPr>
        <w:pStyle w:val="a3"/>
        <w:rPr>
          <w:sz w:val="18"/>
        </w:rPr>
      </w:pPr>
    </w:p>
    <w:p w14:paraId="4F4D9577" w14:textId="77777777" w:rsidR="00A71EEF" w:rsidRDefault="0081115D">
      <w:pPr>
        <w:pStyle w:val="a4"/>
        <w:numPr>
          <w:ilvl w:val="2"/>
          <w:numId w:val="782"/>
        </w:numPr>
        <w:tabs>
          <w:tab w:val="left" w:pos="1370"/>
        </w:tabs>
        <w:ind w:left="1369" w:hanging="530"/>
        <w:rPr>
          <w:sz w:val="21"/>
        </w:rPr>
      </w:pPr>
      <w:r>
        <w:rPr>
          <w:spacing w:val="-3"/>
          <w:sz w:val="21"/>
        </w:rPr>
        <w:t>所有车门、工具箱均应关闭锁紧。</w:t>
      </w:r>
      <w:r>
        <w:rPr>
          <w:sz w:val="21"/>
        </w:rPr>
        <w:t xml:space="preserve"> </w:t>
      </w:r>
    </w:p>
    <w:p w14:paraId="6E6BC9D9" w14:textId="77777777" w:rsidR="00A71EEF" w:rsidRDefault="00A71EEF">
      <w:pPr>
        <w:rPr>
          <w:sz w:val="21"/>
        </w:rPr>
        <w:sectPr w:rsidR="00A71EEF">
          <w:pgSz w:w="11910" w:h="16850"/>
          <w:pgMar w:top="1500" w:right="0" w:bottom="1420" w:left="1260" w:header="0" w:footer="1239" w:gutter="0"/>
          <w:cols w:space="720"/>
        </w:sectPr>
      </w:pPr>
    </w:p>
    <w:p w14:paraId="382B7EF2" w14:textId="77777777" w:rsidR="00A71EEF" w:rsidRDefault="0081115D">
      <w:pPr>
        <w:pStyle w:val="a4"/>
        <w:numPr>
          <w:ilvl w:val="2"/>
          <w:numId w:val="782"/>
        </w:numPr>
        <w:tabs>
          <w:tab w:val="left" w:pos="1370"/>
        </w:tabs>
        <w:spacing w:before="47"/>
        <w:ind w:left="1369" w:hanging="530"/>
        <w:rPr>
          <w:sz w:val="21"/>
        </w:rPr>
      </w:pPr>
      <w:r>
        <w:rPr>
          <w:spacing w:val="-3"/>
          <w:sz w:val="21"/>
        </w:rPr>
        <w:lastRenderedPageBreak/>
        <w:t>外露镀铬件应涂防锈油，车外照明灯、警灯应用塑料薄膜包扎。</w:t>
      </w:r>
      <w:r>
        <w:rPr>
          <w:sz w:val="21"/>
        </w:rPr>
        <w:t xml:space="preserve"> </w:t>
      </w:r>
    </w:p>
    <w:p w14:paraId="77B1E027" w14:textId="77777777" w:rsidR="00A71EEF" w:rsidRDefault="00A71EEF">
      <w:pPr>
        <w:pStyle w:val="a3"/>
        <w:rPr>
          <w:sz w:val="18"/>
        </w:rPr>
      </w:pPr>
    </w:p>
    <w:p w14:paraId="7DF13AFD" w14:textId="77777777" w:rsidR="00A71EEF" w:rsidRDefault="0081115D">
      <w:pPr>
        <w:pStyle w:val="a4"/>
        <w:numPr>
          <w:ilvl w:val="2"/>
          <w:numId w:val="782"/>
        </w:numPr>
        <w:tabs>
          <w:tab w:val="left" w:pos="1371"/>
        </w:tabs>
        <w:spacing w:line="446" w:lineRule="auto"/>
        <w:ind w:left="418" w:right="1498" w:firstLine="422"/>
        <w:rPr>
          <w:sz w:val="21"/>
        </w:rPr>
      </w:pPr>
      <w:r>
        <w:rPr>
          <w:spacing w:val="-3"/>
          <w:sz w:val="21"/>
        </w:rPr>
        <w:t>采用铁</w:t>
      </w:r>
      <w:r>
        <w:rPr>
          <w:spacing w:val="-3"/>
          <w:sz w:val="21"/>
        </w:rPr>
        <w:t>(</w:t>
      </w:r>
      <w:r>
        <w:rPr>
          <w:spacing w:val="-3"/>
          <w:sz w:val="21"/>
        </w:rPr>
        <w:t>水〉路运输时，发动机不得有余水，燃料箱不得有余油，蓄电池应断开正负极接头。</w:t>
      </w:r>
      <w:r>
        <w:rPr>
          <w:sz w:val="21"/>
        </w:rPr>
        <w:t xml:space="preserve"> </w:t>
      </w:r>
    </w:p>
    <w:p w14:paraId="2A7101CF" w14:textId="77777777" w:rsidR="00A71EEF" w:rsidRDefault="0081115D">
      <w:pPr>
        <w:pStyle w:val="a4"/>
        <w:numPr>
          <w:ilvl w:val="1"/>
          <w:numId w:val="781"/>
        </w:numPr>
        <w:tabs>
          <w:tab w:val="left" w:pos="1159"/>
        </w:tabs>
        <w:ind w:hanging="319"/>
        <w:rPr>
          <w:sz w:val="21"/>
        </w:rPr>
      </w:pPr>
      <w:r>
        <w:rPr>
          <w:spacing w:val="-3"/>
          <w:sz w:val="21"/>
        </w:rPr>
        <w:t>运输</w:t>
      </w:r>
      <w:r>
        <w:rPr>
          <w:sz w:val="21"/>
        </w:rPr>
        <w:t xml:space="preserve"> </w:t>
      </w:r>
    </w:p>
    <w:p w14:paraId="4C5F2C74" w14:textId="77777777" w:rsidR="00A71EEF" w:rsidRDefault="00A71EEF">
      <w:pPr>
        <w:pStyle w:val="a3"/>
        <w:spacing w:before="12"/>
        <w:rPr>
          <w:sz w:val="17"/>
        </w:rPr>
      </w:pPr>
    </w:p>
    <w:p w14:paraId="7A393834" w14:textId="77777777" w:rsidR="00A71EEF" w:rsidRDefault="0081115D">
      <w:pPr>
        <w:pStyle w:val="a4"/>
        <w:numPr>
          <w:ilvl w:val="2"/>
          <w:numId w:val="781"/>
        </w:numPr>
        <w:tabs>
          <w:tab w:val="left" w:pos="1370"/>
        </w:tabs>
        <w:ind w:hanging="530"/>
        <w:rPr>
          <w:sz w:val="21"/>
        </w:rPr>
      </w:pPr>
      <w:r>
        <w:rPr>
          <w:spacing w:val="-3"/>
          <w:sz w:val="21"/>
        </w:rPr>
        <w:t>采用行驶运输时，应遵守使用说明书相关新车行驶的规定。</w:t>
      </w:r>
      <w:r>
        <w:rPr>
          <w:sz w:val="21"/>
        </w:rPr>
        <w:t xml:space="preserve"> </w:t>
      </w:r>
    </w:p>
    <w:p w14:paraId="002E0979" w14:textId="77777777" w:rsidR="00A71EEF" w:rsidRDefault="00A71EEF">
      <w:pPr>
        <w:pStyle w:val="a3"/>
        <w:rPr>
          <w:sz w:val="18"/>
        </w:rPr>
      </w:pPr>
    </w:p>
    <w:p w14:paraId="012E0DB3" w14:textId="77777777" w:rsidR="00A71EEF" w:rsidRDefault="0081115D">
      <w:pPr>
        <w:pStyle w:val="a4"/>
        <w:numPr>
          <w:ilvl w:val="2"/>
          <w:numId w:val="781"/>
        </w:numPr>
        <w:tabs>
          <w:tab w:val="left" w:pos="1371"/>
        </w:tabs>
        <w:ind w:left="1370" w:hanging="531"/>
        <w:rPr>
          <w:sz w:val="21"/>
        </w:rPr>
      </w:pPr>
      <w:r>
        <w:rPr>
          <w:spacing w:val="-3"/>
          <w:sz w:val="21"/>
        </w:rPr>
        <w:t>采用铁</w:t>
      </w:r>
      <w:r>
        <w:rPr>
          <w:sz w:val="21"/>
        </w:rPr>
        <w:t>（</w:t>
      </w:r>
      <w:r>
        <w:rPr>
          <w:spacing w:val="-3"/>
          <w:sz w:val="21"/>
        </w:rPr>
        <w:t>水</w:t>
      </w:r>
      <w:r>
        <w:rPr>
          <w:sz w:val="21"/>
        </w:rPr>
        <w:t>）</w:t>
      </w:r>
      <w:r>
        <w:rPr>
          <w:spacing w:val="-3"/>
          <w:sz w:val="21"/>
        </w:rPr>
        <w:t>路运输时，应执行铁</w:t>
      </w:r>
      <w:r>
        <w:rPr>
          <w:spacing w:val="-3"/>
          <w:sz w:val="21"/>
        </w:rPr>
        <w:t>(</w:t>
      </w:r>
      <w:r>
        <w:rPr>
          <w:spacing w:val="-3"/>
          <w:sz w:val="21"/>
        </w:rPr>
        <w:t>水</w:t>
      </w:r>
      <w:r>
        <w:rPr>
          <w:spacing w:val="-3"/>
          <w:sz w:val="21"/>
        </w:rPr>
        <w:t>)</w:t>
      </w:r>
      <w:r>
        <w:rPr>
          <w:spacing w:val="-3"/>
          <w:sz w:val="21"/>
        </w:rPr>
        <w:t>路运输的相关规定。</w:t>
      </w:r>
      <w:r>
        <w:rPr>
          <w:sz w:val="21"/>
        </w:rPr>
        <w:t xml:space="preserve"> </w:t>
      </w:r>
    </w:p>
    <w:p w14:paraId="5ED03BFB" w14:textId="77777777" w:rsidR="00A71EEF" w:rsidRDefault="00A71EEF">
      <w:pPr>
        <w:pStyle w:val="a3"/>
        <w:spacing w:before="2"/>
        <w:rPr>
          <w:sz w:val="18"/>
        </w:rPr>
      </w:pPr>
    </w:p>
    <w:p w14:paraId="7599FDFC" w14:textId="77777777" w:rsidR="00A71EEF" w:rsidRDefault="0081115D">
      <w:pPr>
        <w:pStyle w:val="a4"/>
        <w:numPr>
          <w:ilvl w:val="1"/>
          <w:numId w:val="781"/>
        </w:numPr>
        <w:tabs>
          <w:tab w:val="left" w:pos="1159"/>
        </w:tabs>
        <w:ind w:hanging="319"/>
        <w:rPr>
          <w:b/>
          <w:sz w:val="21"/>
        </w:rPr>
      </w:pPr>
      <w:r>
        <w:rPr>
          <w:spacing w:val="-3"/>
          <w:sz w:val="21"/>
        </w:rPr>
        <w:t>贮存</w:t>
      </w:r>
      <w:r>
        <w:rPr>
          <w:b/>
          <w:w w:val="99"/>
          <w:sz w:val="21"/>
        </w:rPr>
        <w:t xml:space="preserve"> </w:t>
      </w:r>
    </w:p>
    <w:p w14:paraId="2FB19DFD" w14:textId="77777777" w:rsidR="00A71EEF" w:rsidRDefault="00A71EEF">
      <w:pPr>
        <w:pStyle w:val="a3"/>
        <w:rPr>
          <w:b/>
          <w:sz w:val="18"/>
        </w:rPr>
      </w:pPr>
    </w:p>
    <w:p w14:paraId="4C06CD0C" w14:textId="77777777" w:rsidR="00A71EEF" w:rsidRDefault="0081115D">
      <w:pPr>
        <w:pStyle w:val="a3"/>
        <w:spacing w:line="446" w:lineRule="auto"/>
        <w:ind w:left="418" w:right="1609" w:firstLine="419"/>
      </w:pPr>
      <w:r>
        <w:t>需长期贮存时，应将燃油和水放尽，切断电路，停放在防雨、防潮、防晒、无腐蚀气体侵害及通风良好的场所，并按产品使用说明书的规定进行维护和保养。</w:t>
      </w:r>
      <w:r>
        <w:t xml:space="preserve"> </w:t>
      </w:r>
    </w:p>
    <w:p w14:paraId="3BF532E8" w14:textId="77777777" w:rsidR="00A71EEF" w:rsidRDefault="00A71EEF">
      <w:pPr>
        <w:pStyle w:val="a3"/>
        <w:rPr>
          <w:sz w:val="20"/>
        </w:rPr>
      </w:pPr>
    </w:p>
    <w:p w14:paraId="48AEB730" w14:textId="77777777" w:rsidR="00A71EEF" w:rsidRDefault="00A71EEF">
      <w:pPr>
        <w:pStyle w:val="a3"/>
        <w:rPr>
          <w:sz w:val="20"/>
        </w:rPr>
      </w:pPr>
    </w:p>
    <w:p w14:paraId="71B67C29" w14:textId="77777777" w:rsidR="00A71EEF" w:rsidRDefault="00A71EEF">
      <w:pPr>
        <w:pStyle w:val="a3"/>
        <w:rPr>
          <w:sz w:val="20"/>
        </w:rPr>
      </w:pPr>
    </w:p>
    <w:p w14:paraId="00C614EE" w14:textId="77777777" w:rsidR="00A71EEF" w:rsidRDefault="00A71EEF">
      <w:pPr>
        <w:pStyle w:val="a3"/>
        <w:rPr>
          <w:sz w:val="20"/>
        </w:rPr>
      </w:pPr>
    </w:p>
    <w:p w14:paraId="4A1D8E74" w14:textId="77777777" w:rsidR="00A71EEF" w:rsidRDefault="00A71EEF">
      <w:pPr>
        <w:pStyle w:val="a3"/>
        <w:rPr>
          <w:sz w:val="20"/>
        </w:rPr>
      </w:pPr>
    </w:p>
    <w:p w14:paraId="6AEEE77C" w14:textId="77777777" w:rsidR="00A71EEF" w:rsidRDefault="00A71EEF">
      <w:pPr>
        <w:pStyle w:val="a3"/>
        <w:rPr>
          <w:sz w:val="20"/>
        </w:rPr>
      </w:pPr>
    </w:p>
    <w:p w14:paraId="6A336233" w14:textId="77777777" w:rsidR="00A71EEF" w:rsidRDefault="00A71EEF">
      <w:pPr>
        <w:pStyle w:val="a3"/>
        <w:rPr>
          <w:sz w:val="20"/>
        </w:rPr>
      </w:pPr>
    </w:p>
    <w:p w14:paraId="504B3CEE" w14:textId="77777777" w:rsidR="00A71EEF" w:rsidRDefault="00A71EEF">
      <w:pPr>
        <w:pStyle w:val="a3"/>
        <w:rPr>
          <w:sz w:val="20"/>
        </w:rPr>
      </w:pPr>
    </w:p>
    <w:p w14:paraId="716D60B5" w14:textId="77777777" w:rsidR="00A71EEF" w:rsidRDefault="00A71EEF">
      <w:pPr>
        <w:pStyle w:val="a3"/>
        <w:rPr>
          <w:sz w:val="20"/>
        </w:rPr>
      </w:pPr>
    </w:p>
    <w:p w14:paraId="0C23EF53" w14:textId="77777777" w:rsidR="00A71EEF" w:rsidRDefault="00A71EEF">
      <w:pPr>
        <w:pStyle w:val="a3"/>
        <w:rPr>
          <w:sz w:val="20"/>
        </w:rPr>
      </w:pPr>
    </w:p>
    <w:p w14:paraId="59A10876" w14:textId="77777777" w:rsidR="00A71EEF" w:rsidRDefault="00A71EEF">
      <w:pPr>
        <w:pStyle w:val="a3"/>
        <w:rPr>
          <w:sz w:val="20"/>
        </w:rPr>
      </w:pPr>
    </w:p>
    <w:p w14:paraId="11CE7162" w14:textId="77777777" w:rsidR="00A71EEF" w:rsidRDefault="00A71EEF">
      <w:pPr>
        <w:pStyle w:val="a3"/>
        <w:rPr>
          <w:sz w:val="20"/>
        </w:rPr>
      </w:pPr>
    </w:p>
    <w:p w14:paraId="37E08043" w14:textId="77777777" w:rsidR="00A71EEF" w:rsidRDefault="00A71EEF">
      <w:pPr>
        <w:pStyle w:val="a3"/>
        <w:rPr>
          <w:sz w:val="20"/>
        </w:rPr>
      </w:pPr>
    </w:p>
    <w:p w14:paraId="3AA56501" w14:textId="77777777" w:rsidR="00A71EEF" w:rsidRDefault="00A71EEF">
      <w:pPr>
        <w:pStyle w:val="a3"/>
        <w:rPr>
          <w:sz w:val="20"/>
        </w:rPr>
      </w:pPr>
    </w:p>
    <w:p w14:paraId="7620A8F5" w14:textId="77777777" w:rsidR="00A71EEF" w:rsidRDefault="00A71EEF">
      <w:pPr>
        <w:pStyle w:val="a3"/>
        <w:rPr>
          <w:sz w:val="20"/>
        </w:rPr>
      </w:pPr>
    </w:p>
    <w:p w14:paraId="5DFEB7C9" w14:textId="77777777" w:rsidR="00A71EEF" w:rsidRDefault="00A71EEF">
      <w:pPr>
        <w:pStyle w:val="a3"/>
        <w:rPr>
          <w:sz w:val="20"/>
        </w:rPr>
      </w:pPr>
    </w:p>
    <w:p w14:paraId="0FDD92BB" w14:textId="77777777" w:rsidR="00A71EEF" w:rsidRDefault="00A71EEF">
      <w:pPr>
        <w:pStyle w:val="a3"/>
        <w:rPr>
          <w:sz w:val="20"/>
        </w:rPr>
      </w:pPr>
    </w:p>
    <w:p w14:paraId="4252DB50" w14:textId="77777777" w:rsidR="00A71EEF" w:rsidRDefault="00A71EEF">
      <w:pPr>
        <w:pStyle w:val="a3"/>
        <w:rPr>
          <w:sz w:val="20"/>
        </w:rPr>
      </w:pPr>
    </w:p>
    <w:p w14:paraId="7FB45B8F" w14:textId="77777777" w:rsidR="00A71EEF" w:rsidRDefault="00A71EEF">
      <w:pPr>
        <w:pStyle w:val="a3"/>
        <w:rPr>
          <w:sz w:val="20"/>
        </w:rPr>
      </w:pPr>
    </w:p>
    <w:p w14:paraId="45297270" w14:textId="77777777" w:rsidR="00A71EEF" w:rsidRDefault="00A71EEF">
      <w:pPr>
        <w:pStyle w:val="a3"/>
        <w:rPr>
          <w:sz w:val="20"/>
        </w:rPr>
      </w:pPr>
    </w:p>
    <w:p w14:paraId="62180555" w14:textId="77777777" w:rsidR="00A71EEF" w:rsidRDefault="00A71EEF">
      <w:pPr>
        <w:pStyle w:val="a3"/>
        <w:rPr>
          <w:sz w:val="20"/>
        </w:rPr>
      </w:pPr>
    </w:p>
    <w:p w14:paraId="4E917521" w14:textId="77777777" w:rsidR="00A71EEF" w:rsidRDefault="00A71EEF">
      <w:pPr>
        <w:pStyle w:val="a3"/>
        <w:rPr>
          <w:sz w:val="20"/>
        </w:rPr>
      </w:pPr>
    </w:p>
    <w:p w14:paraId="3D47585E" w14:textId="77777777" w:rsidR="00A71EEF" w:rsidRDefault="00A71EEF">
      <w:pPr>
        <w:pStyle w:val="a3"/>
        <w:rPr>
          <w:sz w:val="20"/>
        </w:rPr>
      </w:pPr>
    </w:p>
    <w:p w14:paraId="7515DEC5" w14:textId="77777777" w:rsidR="00A71EEF" w:rsidRDefault="00A71EEF">
      <w:pPr>
        <w:pStyle w:val="a3"/>
        <w:rPr>
          <w:sz w:val="20"/>
        </w:rPr>
      </w:pPr>
    </w:p>
    <w:p w14:paraId="6310167D" w14:textId="77777777" w:rsidR="00A71EEF" w:rsidRDefault="00A71EEF">
      <w:pPr>
        <w:pStyle w:val="a3"/>
        <w:rPr>
          <w:sz w:val="20"/>
        </w:rPr>
      </w:pPr>
    </w:p>
    <w:p w14:paraId="7B3B9B0A" w14:textId="77777777" w:rsidR="00A71EEF" w:rsidRDefault="00A71EEF">
      <w:pPr>
        <w:pStyle w:val="a3"/>
        <w:rPr>
          <w:sz w:val="20"/>
        </w:rPr>
      </w:pPr>
    </w:p>
    <w:p w14:paraId="38B7C279" w14:textId="77777777" w:rsidR="00A71EEF" w:rsidRDefault="00A71EEF">
      <w:pPr>
        <w:pStyle w:val="a3"/>
        <w:rPr>
          <w:sz w:val="20"/>
        </w:rPr>
      </w:pPr>
    </w:p>
    <w:p w14:paraId="7CAC6EE6" w14:textId="77777777" w:rsidR="00A71EEF" w:rsidRDefault="00A71EEF">
      <w:pPr>
        <w:pStyle w:val="a3"/>
        <w:rPr>
          <w:sz w:val="20"/>
        </w:rPr>
      </w:pPr>
    </w:p>
    <w:p w14:paraId="7E2770AD" w14:textId="77777777" w:rsidR="00A71EEF" w:rsidRDefault="00A71EEF">
      <w:pPr>
        <w:pStyle w:val="a3"/>
        <w:rPr>
          <w:sz w:val="20"/>
        </w:rPr>
      </w:pPr>
    </w:p>
    <w:p w14:paraId="4A1A9841" w14:textId="77777777" w:rsidR="00A71EEF" w:rsidRDefault="00A71EEF">
      <w:pPr>
        <w:pStyle w:val="a3"/>
        <w:rPr>
          <w:sz w:val="20"/>
        </w:rPr>
      </w:pPr>
    </w:p>
    <w:p w14:paraId="794FD5BE" w14:textId="77777777" w:rsidR="00A71EEF" w:rsidRDefault="00A71EEF">
      <w:pPr>
        <w:pStyle w:val="a3"/>
        <w:rPr>
          <w:sz w:val="20"/>
        </w:rPr>
      </w:pPr>
    </w:p>
    <w:p w14:paraId="06C7DBF4" w14:textId="77777777" w:rsidR="00A71EEF" w:rsidRDefault="00A71EEF">
      <w:pPr>
        <w:pStyle w:val="a3"/>
        <w:rPr>
          <w:sz w:val="20"/>
        </w:rPr>
      </w:pPr>
    </w:p>
    <w:p w14:paraId="3C4DD1EB" w14:textId="77777777" w:rsidR="00A71EEF" w:rsidRDefault="00A71EEF">
      <w:pPr>
        <w:pStyle w:val="a3"/>
        <w:rPr>
          <w:sz w:val="20"/>
        </w:rPr>
      </w:pPr>
    </w:p>
    <w:p w14:paraId="107AF9A5" w14:textId="77777777" w:rsidR="00A71EEF" w:rsidRDefault="00A71EEF">
      <w:pPr>
        <w:pStyle w:val="a3"/>
        <w:rPr>
          <w:sz w:val="20"/>
        </w:rPr>
      </w:pPr>
    </w:p>
    <w:p w14:paraId="58C7D72D" w14:textId="77777777" w:rsidR="00A71EEF" w:rsidRDefault="00A71EEF">
      <w:pPr>
        <w:pStyle w:val="a3"/>
        <w:spacing w:before="12"/>
        <w:rPr>
          <w:sz w:val="16"/>
        </w:rPr>
      </w:pPr>
    </w:p>
    <w:p w14:paraId="0596C7F2" w14:textId="77777777" w:rsidR="00A71EEF" w:rsidRDefault="0081115D">
      <w:pPr>
        <w:pStyle w:val="a3"/>
        <w:spacing w:before="72"/>
        <w:ind w:left="3298"/>
      </w:pPr>
      <w:r>
        <w:t xml:space="preserve"> </w:t>
      </w:r>
    </w:p>
    <w:p w14:paraId="0481464A" w14:textId="77777777" w:rsidR="00A71EEF" w:rsidRDefault="00A71EEF">
      <w:pPr>
        <w:sectPr w:rsidR="00A71EEF">
          <w:pgSz w:w="11910" w:h="16850"/>
          <w:pgMar w:top="1220" w:right="0" w:bottom="1420" w:left="1260" w:header="0" w:footer="1239" w:gutter="0"/>
          <w:cols w:space="720"/>
        </w:sectPr>
      </w:pPr>
    </w:p>
    <w:p w14:paraId="6E724146" w14:textId="77777777" w:rsidR="00A71EEF" w:rsidRDefault="0081115D">
      <w:pPr>
        <w:pStyle w:val="2"/>
        <w:ind w:left="2780"/>
        <w:jc w:val="left"/>
      </w:pPr>
      <w:bookmarkStart w:id="10" w:name="_bookmark10"/>
      <w:bookmarkEnd w:id="10"/>
      <w:r>
        <w:lastRenderedPageBreak/>
        <w:t>消防车</w:t>
      </w:r>
      <w:r>
        <w:t xml:space="preserve"> </w:t>
      </w:r>
      <w:r>
        <w:t>第</w:t>
      </w:r>
      <w:r>
        <w:t xml:space="preserve"> 3 </w:t>
      </w:r>
      <w:r>
        <w:t>部分：泡沫消防车</w:t>
      </w:r>
      <w:r>
        <w:rPr>
          <w:w w:val="99"/>
        </w:rPr>
        <w:t xml:space="preserve"> </w:t>
      </w:r>
    </w:p>
    <w:p w14:paraId="303F03B5" w14:textId="77777777" w:rsidR="00A71EEF" w:rsidRDefault="00A71EEF">
      <w:pPr>
        <w:pStyle w:val="a3"/>
        <w:rPr>
          <w:b/>
          <w:sz w:val="20"/>
        </w:rPr>
      </w:pPr>
    </w:p>
    <w:p w14:paraId="7C7DF22B" w14:textId="77777777" w:rsidR="00A71EEF" w:rsidRDefault="00A71EEF">
      <w:pPr>
        <w:pStyle w:val="a3"/>
        <w:spacing w:before="5"/>
        <w:rPr>
          <w:b/>
          <w:sz w:val="14"/>
        </w:rPr>
      </w:pPr>
    </w:p>
    <w:p w14:paraId="06C05D67" w14:textId="77777777" w:rsidR="00A71EEF" w:rsidRDefault="0081115D">
      <w:pPr>
        <w:pStyle w:val="4"/>
        <w:spacing w:before="66"/>
      </w:pPr>
      <w:r>
        <w:t xml:space="preserve">1 </w:t>
      </w:r>
      <w:r>
        <w:t>范围</w:t>
      </w:r>
      <w:r>
        <w:rPr>
          <w:w w:val="99"/>
        </w:rPr>
        <w:t xml:space="preserve"> </w:t>
      </w:r>
    </w:p>
    <w:p w14:paraId="1CCBDC9C" w14:textId="77777777" w:rsidR="00A71EEF" w:rsidRDefault="00A71EEF">
      <w:pPr>
        <w:pStyle w:val="a3"/>
        <w:spacing w:before="4"/>
        <w:rPr>
          <w:b/>
          <w:sz w:val="17"/>
        </w:rPr>
      </w:pPr>
    </w:p>
    <w:p w14:paraId="53DB1C3F" w14:textId="77777777" w:rsidR="00A71EEF" w:rsidRDefault="0081115D">
      <w:pPr>
        <w:pStyle w:val="a3"/>
        <w:spacing w:line="446" w:lineRule="auto"/>
        <w:ind w:left="418" w:right="1661" w:firstLine="419"/>
      </w:pPr>
      <w:r>
        <w:t>GB 7956</w:t>
      </w:r>
      <w:r>
        <w:rPr>
          <w:spacing w:val="-8"/>
        </w:rPr>
        <w:t xml:space="preserve"> </w:t>
      </w:r>
      <w:r>
        <w:rPr>
          <w:spacing w:val="-8"/>
        </w:rPr>
        <w:t>的本部分规定了泡沫消防车的术语和定义、技术要求、试验方法、检验规则及标</w:t>
      </w:r>
      <w:r>
        <w:rPr>
          <w:spacing w:val="-5"/>
        </w:rPr>
        <w:t>志、包装、</w:t>
      </w:r>
      <w:r>
        <w:rPr>
          <w:spacing w:val="-5"/>
        </w:rPr>
        <w:t xml:space="preserve"> </w:t>
      </w:r>
      <w:r>
        <w:rPr>
          <w:spacing w:val="-5"/>
        </w:rPr>
        <w:t>运输和贮存。</w:t>
      </w:r>
      <w:r>
        <w:t xml:space="preserve"> </w:t>
      </w:r>
    </w:p>
    <w:p w14:paraId="17D772FB" w14:textId="77777777" w:rsidR="00A71EEF" w:rsidRDefault="0081115D">
      <w:pPr>
        <w:pStyle w:val="a3"/>
        <w:ind w:left="838"/>
      </w:pPr>
      <w:r>
        <w:t>本部分适用于泡沫消防车。</w:t>
      </w:r>
      <w:r>
        <w:t xml:space="preserve"> </w:t>
      </w:r>
    </w:p>
    <w:p w14:paraId="3F62D5B5" w14:textId="77777777" w:rsidR="00A71EEF" w:rsidRDefault="00A71EEF">
      <w:pPr>
        <w:pStyle w:val="a3"/>
        <w:spacing w:before="12"/>
        <w:rPr>
          <w:sz w:val="17"/>
        </w:rPr>
      </w:pPr>
    </w:p>
    <w:p w14:paraId="4DAD6861" w14:textId="77777777" w:rsidR="00A71EEF" w:rsidRDefault="0081115D">
      <w:pPr>
        <w:pStyle w:val="a3"/>
        <w:ind w:left="838"/>
      </w:pPr>
      <w:r>
        <w:t>本部分不适用于压缩空气泡沫消防车和高倍泡沫消防车。</w:t>
      </w:r>
      <w:r>
        <w:t xml:space="preserve"> </w:t>
      </w:r>
    </w:p>
    <w:p w14:paraId="108A3319" w14:textId="77777777" w:rsidR="00A71EEF" w:rsidRDefault="00A71EEF">
      <w:pPr>
        <w:pStyle w:val="a3"/>
        <w:spacing w:before="9"/>
        <w:rPr>
          <w:sz w:val="15"/>
        </w:rPr>
      </w:pPr>
    </w:p>
    <w:p w14:paraId="20D7021A" w14:textId="77777777" w:rsidR="00A71EEF" w:rsidRDefault="0081115D">
      <w:pPr>
        <w:pStyle w:val="4"/>
      </w:pPr>
      <w:r>
        <w:t xml:space="preserve">2 </w:t>
      </w:r>
      <w:r>
        <w:t>规范性引用文件</w:t>
      </w:r>
      <w:r>
        <w:rPr>
          <w:w w:val="99"/>
        </w:rPr>
        <w:t xml:space="preserve"> </w:t>
      </w:r>
    </w:p>
    <w:p w14:paraId="737865E0" w14:textId="77777777" w:rsidR="00A71EEF" w:rsidRDefault="00A71EEF">
      <w:pPr>
        <w:pStyle w:val="a3"/>
        <w:spacing w:before="6"/>
        <w:rPr>
          <w:b/>
          <w:sz w:val="17"/>
        </w:rPr>
      </w:pPr>
    </w:p>
    <w:p w14:paraId="6CE938AF" w14:textId="77777777" w:rsidR="00A71EEF" w:rsidRDefault="0081115D">
      <w:pPr>
        <w:pStyle w:val="a3"/>
        <w:spacing w:line="446" w:lineRule="auto"/>
        <w:ind w:left="418" w:right="1609" w:firstLine="419"/>
      </w:pPr>
      <w:r>
        <w:t>下列文件对于本文件的应用是必不可少的。凡是注日期的引用文件，仅注日期的版本适用于本文件。凡是不注日期的引用文件，其最新版本</w:t>
      </w:r>
      <w:r>
        <w:t>(</w:t>
      </w:r>
      <w:r>
        <w:t>包括所有的修改单</w:t>
      </w:r>
      <w:r>
        <w:t>)</w:t>
      </w:r>
      <w:r>
        <w:t>适用于本文件。</w:t>
      </w:r>
      <w:r>
        <w:t xml:space="preserve"> </w:t>
      </w:r>
    </w:p>
    <w:p w14:paraId="4A308A95" w14:textId="77777777" w:rsidR="00A71EEF" w:rsidRDefault="0081115D">
      <w:pPr>
        <w:pStyle w:val="a3"/>
        <w:spacing w:line="267" w:lineRule="exact"/>
        <w:ind w:left="838"/>
      </w:pPr>
      <w:r>
        <w:t xml:space="preserve">GB/T3181 </w:t>
      </w:r>
      <w:r>
        <w:t>漆膜颜色标准</w:t>
      </w:r>
      <w:r>
        <w:t xml:space="preserve"> </w:t>
      </w:r>
    </w:p>
    <w:p w14:paraId="43415D75" w14:textId="77777777" w:rsidR="00A71EEF" w:rsidRDefault="00A71EEF">
      <w:pPr>
        <w:pStyle w:val="a3"/>
        <w:spacing w:before="2"/>
        <w:rPr>
          <w:sz w:val="18"/>
        </w:rPr>
      </w:pPr>
    </w:p>
    <w:p w14:paraId="3DAB177D" w14:textId="77777777" w:rsidR="00A71EEF" w:rsidRDefault="0081115D">
      <w:pPr>
        <w:pStyle w:val="a3"/>
        <w:spacing w:line="446" w:lineRule="auto"/>
        <w:ind w:left="838" w:right="4239"/>
      </w:pPr>
      <w:r>
        <w:t xml:space="preserve">GB 4351.1-2005 </w:t>
      </w:r>
      <w:r>
        <w:t>手提式灭火器</w:t>
      </w:r>
      <w:r>
        <w:t xml:space="preserve"> </w:t>
      </w:r>
      <w:r>
        <w:t>第</w:t>
      </w:r>
      <w:r>
        <w:t xml:space="preserve"> 1 </w:t>
      </w:r>
      <w:r>
        <w:t>部分：性能和结构要求</w:t>
      </w:r>
      <w:r>
        <w:t xml:space="preserve">GB 6245—2006 </w:t>
      </w:r>
      <w:r>
        <w:t>消防泵</w:t>
      </w:r>
      <w:r>
        <w:t xml:space="preserve"> </w:t>
      </w:r>
    </w:p>
    <w:p w14:paraId="67B0E2E9" w14:textId="77777777" w:rsidR="00A71EEF" w:rsidRDefault="0081115D">
      <w:pPr>
        <w:pStyle w:val="a3"/>
        <w:spacing w:line="446" w:lineRule="auto"/>
        <w:ind w:left="838" w:right="5077"/>
      </w:pPr>
      <w:r>
        <w:t xml:space="preserve">GB 7956.1-2014 </w:t>
      </w:r>
      <w:r>
        <w:t>消防车</w:t>
      </w:r>
      <w:r>
        <w:t xml:space="preserve"> </w:t>
      </w:r>
      <w:r>
        <w:t>第</w:t>
      </w:r>
      <w:r>
        <w:t xml:space="preserve"> 1 </w:t>
      </w:r>
      <w:r>
        <w:t>部分：通用技术条件</w:t>
      </w:r>
      <w:r>
        <w:t xml:space="preserve">GB 19156 </w:t>
      </w:r>
      <w:r>
        <w:t>消防炮通用技术条件</w:t>
      </w:r>
      <w:r>
        <w:t xml:space="preserve"> </w:t>
      </w:r>
    </w:p>
    <w:p w14:paraId="07FDEFF2" w14:textId="77777777" w:rsidR="00A71EEF" w:rsidRDefault="0081115D">
      <w:pPr>
        <w:pStyle w:val="4"/>
        <w:spacing w:line="277" w:lineRule="exact"/>
      </w:pPr>
      <w:r>
        <w:t xml:space="preserve">3 </w:t>
      </w:r>
      <w:r>
        <w:t>术语和定义</w:t>
      </w:r>
      <w:r>
        <w:rPr>
          <w:w w:val="99"/>
        </w:rPr>
        <w:t xml:space="preserve"> </w:t>
      </w:r>
    </w:p>
    <w:p w14:paraId="33EACE96" w14:textId="77777777" w:rsidR="00A71EEF" w:rsidRDefault="00A71EEF">
      <w:pPr>
        <w:pStyle w:val="a3"/>
        <w:spacing w:before="2"/>
        <w:rPr>
          <w:b/>
          <w:sz w:val="17"/>
        </w:rPr>
      </w:pPr>
    </w:p>
    <w:p w14:paraId="520428C2" w14:textId="77777777" w:rsidR="00A71EEF" w:rsidRDefault="0081115D">
      <w:pPr>
        <w:pStyle w:val="a3"/>
        <w:spacing w:line="446" w:lineRule="auto"/>
        <w:ind w:left="418" w:right="1450" w:firstLine="419"/>
      </w:pPr>
      <w:r>
        <w:t>GB 6245</w:t>
      </w:r>
      <w:r>
        <w:rPr>
          <w:spacing w:val="-33"/>
        </w:rPr>
        <w:t xml:space="preserve"> </w:t>
      </w:r>
      <w:r>
        <w:rPr>
          <w:spacing w:val="-33"/>
        </w:rPr>
        <w:t>和</w:t>
      </w:r>
      <w:r>
        <w:rPr>
          <w:spacing w:val="-33"/>
        </w:rPr>
        <w:t xml:space="preserve"> </w:t>
      </w:r>
      <w:r>
        <w:t>GB 7956.1</w:t>
      </w:r>
      <w:r>
        <w:rPr>
          <w:spacing w:val="-8"/>
        </w:rPr>
        <w:t xml:space="preserve"> </w:t>
      </w:r>
      <w:r>
        <w:rPr>
          <w:spacing w:val="-8"/>
        </w:rPr>
        <w:t>界定的以及下列术语和定义适用于本文件。为了便于使用，以下重复</w:t>
      </w:r>
      <w:r>
        <w:rPr>
          <w:spacing w:val="-17"/>
        </w:rPr>
        <w:t>列出了</w:t>
      </w:r>
      <w:r>
        <w:rPr>
          <w:spacing w:val="-17"/>
        </w:rPr>
        <w:t xml:space="preserve"> </w:t>
      </w:r>
      <w:r>
        <w:t>GB 7956.1—2014</w:t>
      </w:r>
      <w:r>
        <w:rPr>
          <w:spacing w:val="-9"/>
        </w:rPr>
        <w:t xml:space="preserve"> </w:t>
      </w:r>
      <w:r>
        <w:rPr>
          <w:spacing w:val="-9"/>
        </w:rPr>
        <w:t>中的某些术语和定义。</w:t>
      </w:r>
      <w:r>
        <w:t xml:space="preserve"> </w:t>
      </w:r>
    </w:p>
    <w:p w14:paraId="049C7345" w14:textId="77777777" w:rsidR="00A71EEF" w:rsidRDefault="0081115D">
      <w:pPr>
        <w:pStyle w:val="a4"/>
        <w:numPr>
          <w:ilvl w:val="1"/>
          <w:numId w:val="780"/>
        </w:numPr>
        <w:tabs>
          <w:tab w:val="left" w:pos="1213"/>
        </w:tabs>
        <w:ind w:hanging="373"/>
        <w:rPr>
          <w:sz w:val="21"/>
        </w:rPr>
      </w:pPr>
      <w:r>
        <w:rPr>
          <w:spacing w:val="-3"/>
          <w:sz w:val="21"/>
        </w:rPr>
        <w:t>泡沫消防车</w:t>
      </w:r>
      <w:r>
        <w:rPr>
          <w:spacing w:val="-3"/>
          <w:sz w:val="21"/>
        </w:rPr>
        <w:t xml:space="preserve"> </w:t>
      </w:r>
      <w:r>
        <w:rPr>
          <w:sz w:val="21"/>
        </w:rPr>
        <w:t>foam</w:t>
      </w:r>
      <w:r>
        <w:rPr>
          <w:spacing w:val="1"/>
          <w:sz w:val="21"/>
        </w:rPr>
        <w:t xml:space="preserve"> </w:t>
      </w:r>
      <w:r>
        <w:rPr>
          <w:sz w:val="21"/>
        </w:rPr>
        <w:t>fire fighting</w:t>
      </w:r>
      <w:r>
        <w:rPr>
          <w:spacing w:val="1"/>
          <w:sz w:val="21"/>
        </w:rPr>
        <w:t xml:space="preserve"> </w:t>
      </w:r>
      <w:r>
        <w:rPr>
          <w:sz w:val="21"/>
        </w:rPr>
        <w:t xml:space="preserve">vehicle </w:t>
      </w:r>
    </w:p>
    <w:p w14:paraId="00FEDAEA" w14:textId="77777777" w:rsidR="00A71EEF" w:rsidRDefault="00A71EEF">
      <w:pPr>
        <w:pStyle w:val="a3"/>
        <w:spacing w:before="12"/>
        <w:rPr>
          <w:sz w:val="17"/>
        </w:rPr>
      </w:pPr>
    </w:p>
    <w:p w14:paraId="4C20E300" w14:textId="77777777" w:rsidR="00A71EEF" w:rsidRDefault="0081115D">
      <w:pPr>
        <w:pStyle w:val="a3"/>
        <w:spacing w:line="448" w:lineRule="auto"/>
        <w:ind w:left="838" w:right="3083"/>
      </w:pPr>
      <w:r>
        <w:t>主要装备车用消防泵、水罐、泡沫液罐和水</w:t>
      </w:r>
      <w:r>
        <w:t>-</w:t>
      </w:r>
      <w:r>
        <w:t>泡沫液混合设备的消防车。</w:t>
      </w:r>
      <w:r>
        <w:t>[GB 7956.1—2014</w:t>
      </w:r>
      <w:r>
        <w:t>，定义</w:t>
      </w:r>
      <w:r>
        <w:t xml:space="preserve"> 3.1.3] </w:t>
      </w:r>
    </w:p>
    <w:p w14:paraId="24B16659" w14:textId="77777777" w:rsidR="00A71EEF" w:rsidRDefault="0081115D">
      <w:pPr>
        <w:pStyle w:val="a4"/>
        <w:numPr>
          <w:ilvl w:val="1"/>
          <w:numId w:val="780"/>
        </w:numPr>
        <w:tabs>
          <w:tab w:val="left" w:pos="1213"/>
        </w:tabs>
        <w:spacing w:line="264" w:lineRule="exact"/>
        <w:ind w:hanging="373"/>
        <w:rPr>
          <w:b/>
          <w:sz w:val="21"/>
        </w:rPr>
      </w:pPr>
      <w:r>
        <w:rPr>
          <w:spacing w:val="10"/>
          <w:sz w:val="21"/>
        </w:rPr>
        <w:t>泡沫比例混合器</w:t>
      </w:r>
      <w:r>
        <w:rPr>
          <w:spacing w:val="10"/>
          <w:sz w:val="21"/>
        </w:rPr>
        <w:t xml:space="preserve"> </w:t>
      </w:r>
      <w:r>
        <w:rPr>
          <w:sz w:val="21"/>
        </w:rPr>
        <w:t>foam</w:t>
      </w:r>
      <w:r>
        <w:rPr>
          <w:spacing w:val="1"/>
          <w:sz w:val="21"/>
        </w:rPr>
        <w:t xml:space="preserve"> </w:t>
      </w:r>
      <w:r>
        <w:rPr>
          <w:sz w:val="21"/>
        </w:rPr>
        <w:t>proportioner</w:t>
      </w:r>
      <w:r>
        <w:rPr>
          <w:b/>
          <w:w w:val="99"/>
          <w:sz w:val="21"/>
        </w:rPr>
        <w:t xml:space="preserve"> </w:t>
      </w:r>
    </w:p>
    <w:p w14:paraId="44B02020" w14:textId="77777777" w:rsidR="00A71EEF" w:rsidRDefault="00A71EEF">
      <w:pPr>
        <w:pStyle w:val="a3"/>
        <w:spacing w:before="12"/>
        <w:rPr>
          <w:b/>
          <w:sz w:val="17"/>
        </w:rPr>
      </w:pPr>
    </w:p>
    <w:p w14:paraId="33CD4384" w14:textId="77777777" w:rsidR="00A71EEF" w:rsidRDefault="0081115D">
      <w:pPr>
        <w:pStyle w:val="a3"/>
        <w:ind w:left="838"/>
      </w:pPr>
      <w:r>
        <w:t>通过负压或正压供给泡沫液，使泡沫液和水按一定比例混合的装置。</w:t>
      </w:r>
      <w:r>
        <w:t xml:space="preserve"> </w:t>
      </w:r>
    </w:p>
    <w:p w14:paraId="64A3FB43" w14:textId="77777777" w:rsidR="00A71EEF" w:rsidRDefault="00A71EEF">
      <w:pPr>
        <w:pStyle w:val="a3"/>
        <w:spacing w:before="2"/>
        <w:rPr>
          <w:sz w:val="18"/>
        </w:rPr>
      </w:pPr>
    </w:p>
    <w:p w14:paraId="01EB3127" w14:textId="77777777" w:rsidR="00A71EEF" w:rsidRDefault="0081115D">
      <w:pPr>
        <w:pStyle w:val="a4"/>
        <w:numPr>
          <w:ilvl w:val="1"/>
          <w:numId w:val="780"/>
        </w:numPr>
        <w:tabs>
          <w:tab w:val="left" w:pos="1213"/>
        </w:tabs>
        <w:ind w:hanging="373"/>
        <w:rPr>
          <w:sz w:val="21"/>
        </w:rPr>
      </w:pPr>
      <w:r>
        <w:rPr>
          <w:spacing w:val="12"/>
          <w:sz w:val="21"/>
        </w:rPr>
        <w:t>车用泡沫系统</w:t>
      </w:r>
      <w:r>
        <w:rPr>
          <w:spacing w:val="12"/>
          <w:sz w:val="21"/>
        </w:rPr>
        <w:t xml:space="preserve"> </w:t>
      </w:r>
      <w:r>
        <w:rPr>
          <w:sz w:val="21"/>
        </w:rPr>
        <w:t xml:space="preserve">foam system </w:t>
      </w:r>
    </w:p>
    <w:p w14:paraId="36C969A7" w14:textId="77777777" w:rsidR="00A71EEF" w:rsidRDefault="00A71EEF">
      <w:pPr>
        <w:pStyle w:val="a3"/>
        <w:spacing w:before="12"/>
        <w:rPr>
          <w:sz w:val="17"/>
        </w:rPr>
      </w:pPr>
    </w:p>
    <w:p w14:paraId="67E70642" w14:textId="77777777" w:rsidR="00A71EEF" w:rsidRDefault="0081115D">
      <w:pPr>
        <w:pStyle w:val="a3"/>
        <w:spacing w:before="1" w:line="446" w:lineRule="auto"/>
        <w:ind w:left="418" w:right="1609" w:firstLine="419"/>
      </w:pPr>
      <w:r>
        <w:t>将泡沫液、水与空气充分混合产生泡沫实施灭火的系统，由安装在消防车上的泡沫比例混合器、泡沫产生或喷射装置、专用组件</w:t>
      </w:r>
      <w:r>
        <w:t>(</w:t>
      </w:r>
      <w:r>
        <w:t>如泡沫液罐、泡沫液泵</w:t>
      </w:r>
      <w:r>
        <w:t>)</w:t>
      </w:r>
      <w:r>
        <w:t>及管路等组成。</w:t>
      </w:r>
      <w:r>
        <w:t xml:space="preserve"> </w:t>
      </w:r>
    </w:p>
    <w:p w14:paraId="24E7F39C" w14:textId="77777777" w:rsidR="00A71EEF" w:rsidRDefault="0081115D">
      <w:pPr>
        <w:pStyle w:val="4"/>
        <w:spacing w:line="278" w:lineRule="exact"/>
      </w:pPr>
      <w:r>
        <w:t xml:space="preserve">4 </w:t>
      </w:r>
      <w:r>
        <w:t>技术要求</w:t>
      </w:r>
      <w:r>
        <w:rPr>
          <w:w w:val="99"/>
        </w:rPr>
        <w:t xml:space="preserve"> </w:t>
      </w:r>
    </w:p>
    <w:p w14:paraId="71797525" w14:textId="77777777" w:rsidR="00A71EEF" w:rsidRDefault="00A71EEF">
      <w:pPr>
        <w:pStyle w:val="a3"/>
        <w:spacing w:before="3"/>
        <w:rPr>
          <w:b/>
          <w:sz w:val="17"/>
        </w:rPr>
      </w:pPr>
    </w:p>
    <w:p w14:paraId="5B900599" w14:textId="77777777" w:rsidR="00A71EEF" w:rsidRDefault="0081115D">
      <w:pPr>
        <w:pStyle w:val="a4"/>
        <w:numPr>
          <w:ilvl w:val="1"/>
          <w:numId w:val="779"/>
        </w:numPr>
        <w:tabs>
          <w:tab w:val="left" w:pos="1159"/>
        </w:tabs>
        <w:ind w:hanging="319"/>
        <w:rPr>
          <w:sz w:val="21"/>
        </w:rPr>
      </w:pPr>
      <w:r>
        <w:rPr>
          <w:spacing w:val="-3"/>
          <w:sz w:val="21"/>
        </w:rPr>
        <w:t>基本要求</w:t>
      </w:r>
      <w:r>
        <w:rPr>
          <w:sz w:val="21"/>
        </w:rPr>
        <w:t xml:space="preserve"> </w:t>
      </w:r>
    </w:p>
    <w:p w14:paraId="3F33B3D8" w14:textId="77777777" w:rsidR="00A71EEF" w:rsidRDefault="00A71EEF">
      <w:pPr>
        <w:rPr>
          <w:sz w:val="21"/>
        </w:rPr>
        <w:sectPr w:rsidR="00A71EEF">
          <w:pgSz w:w="11910" w:h="16850"/>
          <w:pgMar w:top="1140" w:right="0" w:bottom="1420" w:left="1260" w:header="0" w:footer="1239" w:gutter="0"/>
          <w:cols w:space="720"/>
        </w:sectPr>
      </w:pPr>
    </w:p>
    <w:p w14:paraId="3D874993" w14:textId="77777777" w:rsidR="00A71EEF" w:rsidRDefault="0081115D">
      <w:pPr>
        <w:pStyle w:val="a3"/>
        <w:spacing w:before="47" w:line="446" w:lineRule="auto"/>
        <w:ind w:left="418" w:right="1611" w:firstLine="419"/>
      </w:pPr>
      <w:r>
        <w:rPr>
          <w:spacing w:val="-2"/>
        </w:rPr>
        <w:lastRenderedPageBreak/>
        <w:t>泡沫消防车</w:t>
      </w:r>
      <w:r>
        <w:t>（</w:t>
      </w:r>
      <w:r>
        <w:rPr>
          <w:spacing w:val="-6"/>
        </w:rPr>
        <w:t>以下简称</w:t>
      </w:r>
      <w:r>
        <w:rPr>
          <w:spacing w:val="-6"/>
        </w:rPr>
        <w:t>“</w:t>
      </w:r>
      <w:r>
        <w:rPr>
          <w:spacing w:val="-6"/>
        </w:rPr>
        <w:t>泡沫车</w:t>
      </w:r>
      <w:r>
        <w:rPr>
          <w:spacing w:val="-6"/>
        </w:rPr>
        <w:t>”)</w:t>
      </w:r>
      <w:r>
        <w:rPr>
          <w:spacing w:val="-6"/>
        </w:rPr>
        <w:t>除应符合</w:t>
      </w:r>
      <w:r>
        <w:rPr>
          <w:spacing w:val="-6"/>
        </w:rPr>
        <w:t xml:space="preserve"> </w:t>
      </w:r>
      <w:r>
        <w:t>GB 7956.1-2014</w:t>
      </w:r>
      <w:r>
        <w:rPr>
          <w:spacing w:val="-8"/>
        </w:rPr>
        <w:t xml:space="preserve"> </w:t>
      </w:r>
      <w:r>
        <w:rPr>
          <w:spacing w:val="-8"/>
        </w:rPr>
        <w:t>的通用技术要求外，还应符</w:t>
      </w:r>
      <w:r>
        <w:rPr>
          <w:spacing w:val="-5"/>
        </w:rPr>
        <w:t>合本部分的要求。</w:t>
      </w:r>
      <w:r>
        <w:t xml:space="preserve"> </w:t>
      </w:r>
    </w:p>
    <w:p w14:paraId="0A1E59A8" w14:textId="77777777" w:rsidR="00A71EEF" w:rsidRDefault="0081115D">
      <w:pPr>
        <w:pStyle w:val="a4"/>
        <w:numPr>
          <w:ilvl w:val="1"/>
          <w:numId w:val="779"/>
        </w:numPr>
        <w:tabs>
          <w:tab w:val="left" w:pos="1159"/>
        </w:tabs>
        <w:spacing w:line="267" w:lineRule="exact"/>
        <w:ind w:hanging="319"/>
        <w:rPr>
          <w:b/>
          <w:sz w:val="21"/>
        </w:rPr>
      </w:pPr>
      <w:r>
        <w:rPr>
          <w:spacing w:val="-3"/>
          <w:sz w:val="21"/>
        </w:rPr>
        <w:t>整车要求</w:t>
      </w:r>
      <w:r>
        <w:rPr>
          <w:b/>
          <w:w w:val="99"/>
          <w:sz w:val="21"/>
        </w:rPr>
        <w:t xml:space="preserve"> </w:t>
      </w:r>
    </w:p>
    <w:p w14:paraId="49623FEC" w14:textId="77777777" w:rsidR="00A71EEF" w:rsidRDefault="00A71EEF">
      <w:pPr>
        <w:pStyle w:val="a3"/>
        <w:spacing w:before="2"/>
        <w:rPr>
          <w:b/>
          <w:sz w:val="18"/>
        </w:rPr>
      </w:pPr>
    </w:p>
    <w:p w14:paraId="593B1BEC" w14:textId="77777777" w:rsidR="00A71EEF" w:rsidRDefault="0081115D">
      <w:pPr>
        <w:pStyle w:val="a4"/>
        <w:numPr>
          <w:ilvl w:val="2"/>
          <w:numId w:val="779"/>
        </w:numPr>
        <w:tabs>
          <w:tab w:val="left" w:pos="1370"/>
        </w:tabs>
        <w:ind w:hanging="530"/>
        <w:rPr>
          <w:sz w:val="21"/>
        </w:rPr>
      </w:pPr>
      <w:r>
        <w:rPr>
          <w:spacing w:val="-3"/>
          <w:sz w:val="21"/>
        </w:rPr>
        <w:t>—</w:t>
      </w:r>
      <w:r>
        <w:rPr>
          <w:spacing w:val="-3"/>
          <w:sz w:val="21"/>
        </w:rPr>
        <w:t>般要求</w:t>
      </w:r>
      <w:r>
        <w:rPr>
          <w:sz w:val="21"/>
        </w:rPr>
        <w:t xml:space="preserve"> </w:t>
      </w:r>
    </w:p>
    <w:p w14:paraId="4BAB08BF" w14:textId="77777777" w:rsidR="00A71EEF" w:rsidRDefault="00A71EEF">
      <w:pPr>
        <w:pStyle w:val="a3"/>
        <w:rPr>
          <w:sz w:val="18"/>
        </w:rPr>
      </w:pPr>
    </w:p>
    <w:p w14:paraId="7B7B6352" w14:textId="77777777" w:rsidR="00A71EEF" w:rsidRDefault="0081115D">
      <w:pPr>
        <w:pStyle w:val="a4"/>
        <w:numPr>
          <w:ilvl w:val="3"/>
          <w:numId w:val="779"/>
        </w:numPr>
        <w:tabs>
          <w:tab w:val="left" w:pos="1576"/>
        </w:tabs>
        <w:rPr>
          <w:sz w:val="21"/>
        </w:rPr>
      </w:pPr>
      <w:r>
        <w:rPr>
          <w:spacing w:val="-7"/>
          <w:sz w:val="21"/>
        </w:rPr>
        <w:t>燃油箱容量应满足泡沫车行驶</w:t>
      </w:r>
      <w:r>
        <w:rPr>
          <w:spacing w:val="-7"/>
          <w:sz w:val="21"/>
        </w:rPr>
        <w:t xml:space="preserve"> </w:t>
      </w:r>
      <w:r>
        <w:rPr>
          <w:sz w:val="21"/>
        </w:rPr>
        <w:t>100km</w:t>
      </w:r>
      <w:r>
        <w:rPr>
          <w:spacing w:val="-9"/>
          <w:sz w:val="21"/>
        </w:rPr>
        <w:t xml:space="preserve"> </w:t>
      </w:r>
      <w:r>
        <w:rPr>
          <w:spacing w:val="-9"/>
          <w:sz w:val="21"/>
        </w:rPr>
        <w:t>后在消防车额定流量和出口压力下连续工作</w:t>
      </w:r>
    </w:p>
    <w:p w14:paraId="479E3C1F" w14:textId="77777777" w:rsidR="00A71EEF" w:rsidRDefault="00A71EEF">
      <w:pPr>
        <w:pStyle w:val="a3"/>
        <w:spacing w:before="12"/>
        <w:rPr>
          <w:sz w:val="17"/>
        </w:rPr>
      </w:pPr>
    </w:p>
    <w:p w14:paraId="1C754A81" w14:textId="77777777" w:rsidR="00A71EEF" w:rsidRDefault="0081115D">
      <w:pPr>
        <w:pStyle w:val="a3"/>
        <w:ind w:left="418"/>
      </w:pPr>
      <w:r>
        <w:t>2h</w:t>
      </w:r>
      <w:r>
        <w:t>。</w:t>
      </w:r>
      <w:r>
        <w:t xml:space="preserve"> </w:t>
      </w:r>
    </w:p>
    <w:p w14:paraId="5AB7F727" w14:textId="77777777" w:rsidR="00A71EEF" w:rsidRDefault="00A71EEF">
      <w:pPr>
        <w:pStyle w:val="a3"/>
        <w:spacing w:before="2"/>
        <w:rPr>
          <w:sz w:val="18"/>
        </w:rPr>
      </w:pPr>
    </w:p>
    <w:p w14:paraId="5E916729" w14:textId="77777777" w:rsidR="00A71EEF" w:rsidRDefault="0081115D">
      <w:pPr>
        <w:pStyle w:val="a4"/>
        <w:numPr>
          <w:ilvl w:val="3"/>
          <w:numId w:val="779"/>
        </w:numPr>
        <w:tabs>
          <w:tab w:val="left" w:pos="1576"/>
        </w:tabs>
        <w:rPr>
          <w:sz w:val="21"/>
        </w:rPr>
      </w:pPr>
      <w:r>
        <w:rPr>
          <w:spacing w:val="-8"/>
          <w:sz w:val="21"/>
        </w:rPr>
        <w:t>主操作面板区域离地</w:t>
      </w:r>
      <w:r>
        <w:rPr>
          <w:spacing w:val="-8"/>
          <w:sz w:val="21"/>
        </w:rPr>
        <w:t xml:space="preserve"> </w:t>
      </w:r>
      <w:r>
        <w:rPr>
          <w:sz w:val="21"/>
        </w:rPr>
        <w:t>1.2m</w:t>
      </w:r>
      <w:r>
        <w:rPr>
          <w:spacing w:val="-14"/>
          <w:sz w:val="21"/>
        </w:rPr>
        <w:t xml:space="preserve"> </w:t>
      </w:r>
      <w:r>
        <w:rPr>
          <w:spacing w:val="-14"/>
          <w:sz w:val="21"/>
        </w:rPr>
        <w:t>以上不应有大于</w:t>
      </w:r>
      <w:r>
        <w:rPr>
          <w:spacing w:val="-14"/>
          <w:sz w:val="21"/>
        </w:rPr>
        <w:t xml:space="preserve"> </w:t>
      </w:r>
      <w:r>
        <w:rPr>
          <w:sz w:val="21"/>
        </w:rPr>
        <w:t>65mm</w:t>
      </w:r>
      <w:r>
        <w:rPr>
          <w:spacing w:val="-11"/>
          <w:sz w:val="21"/>
        </w:rPr>
        <w:t xml:space="preserve"> </w:t>
      </w:r>
      <w:r>
        <w:rPr>
          <w:spacing w:val="-11"/>
          <w:sz w:val="21"/>
        </w:rPr>
        <w:t>的出水口。</w:t>
      </w:r>
      <w:r>
        <w:rPr>
          <w:sz w:val="21"/>
        </w:rPr>
        <w:t xml:space="preserve"> </w:t>
      </w:r>
    </w:p>
    <w:p w14:paraId="0B2F817D" w14:textId="77777777" w:rsidR="00A71EEF" w:rsidRDefault="00A71EEF">
      <w:pPr>
        <w:pStyle w:val="a3"/>
        <w:rPr>
          <w:sz w:val="18"/>
        </w:rPr>
      </w:pPr>
    </w:p>
    <w:p w14:paraId="388759F9" w14:textId="77777777" w:rsidR="00A71EEF" w:rsidRDefault="0081115D">
      <w:pPr>
        <w:pStyle w:val="a4"/>
        <w:numPr>
          <w:ilvl w:val="3"/>
          <w:numId w:val="779"/>
        </w:numPr>
        <w:tabs>
          <w:tab w:val="left" w:pos="1576"/>
        </w:tabs>
        <w:spacing w:line="446" w:lineRule="auto"/>
        <w:ind w:left="418" w:right="1505" w:firstLine="419"/>
        <w:rPr>
          <w:sz w:val="21"/>
        </w:rPr>
      </w:pPr>
      <w:r>
        <w:rPr>
          <w:spacing w:val="-3"/>
          <w:sz w:val="21"/>
        </w:rPr>
        <w:t>泡沫车应有手控发动机转速控制器，控制器操作机构便于操作，并能保持稳定的发动机转速，</w:t>
      </w:r>
      <w:r>
        <w:rPr>
          <w:spacing w:val="-3"/>
          <w:sz w:val="21"/>
        </w:rPr>
        <w:t xml:space="preserve"> </w:t>
      </w:r>
      <w:r>
        <w:rPr>
          <w:spacing w:val="-3"/>
          <w:sz w:val="21"/>
        </w:rPr>
        <w:t>操作人员在消防泵操作处应能看清所有压力显示装置、消防泵转速表以及其他指示器。</w:t>
      </w:r>
      <w:r>
        <w:rPr>
          <w:sz w:val="21"/>
        </w:rPr>
        <w:t xml:space="preserve"> </w:t>
      </w:r>
    </w:p>
    <w:p w14:paraId="3B937CD3" w14:textId="77777777" w:rsidR="00A71EEF" w:rsidRDefault="0081115D">
      <w:pPr>
        <w:pStyle w:val="a4"/>
        <w:numPr>
          <w:ilvl w:val="3"/>
          <w:numId w:val="779"/>
        </w:numPr>
        <w:tabs>
          <w:tab w:val="left" w:pos="1576"/>
        </w:tabs>
        <w:spacing w:line="268" w:lineRule="exact"/>
        <w:rPr>
          <w:sz w:val="21"/>
        </w:rPr>
      </w:pPr>
      <w:r>
        <w:rPr>
          <w:spacing w:val="-3"/>
          <w:sz w:val="21"/>
        </w:rPr>
        <w:t>泡沫车各自动控制机构应有手动应急措施。</w:t>
      </w:r>
      <w:r>
        <w:rPr>
          <w:spacing w:val="-3"/>
          <w:sz w:val="21"/>
        </w:rPr>
        <w:t xml:space="preserve"> </w:t>
      </w:r>
    </w:p>
    <w:p w14:paraId="24287C8D" w14:textId="77777777" w:rsidR="00A71EEF" w:rsidRDefault="00A71EEF">
      <w:pPr>
        <w:pStyle w:val="a3"/>
        <w:spacing w:before="12"/>
        <w:rPr>
          <w:sz w:val="17"/>
        </w:rPr>
      </w:pPr>
    </w:p>
    <w:p w14:paraId="403EF527" w14:textId="77777777" w:rsidR="00A71EEF" w:rsidRDefault="0081115D">
      <w:pPr>
        <w:pStyle w:val="a4"/>
        <w:numPr>
          <w:ilvl w:val="3"/>
          <w:numId w:val="779"/>
        </w:numPr>
        <w:tabs>
          <w:tab w:val="left" w:pos="1576"/>
        </w:tabs>
        <w:rPr>
          <w:sz w:val="21"/>
        </w:rPr>
      </w:pPr>
      <w:r>
        <w:rPr>
          <w:spacing w:val="-5"/>
          <w:sz w:val="21"/>
        </w:rPr>
        <w:t>操作面板上消防泵出口和进口压力表联接处应提供测试用连接管，接口规格为</w:t>
      </w:r>
      <w:r>
        <w:rPr>
          <w:spacing w:val="-5"/>
          <w:sz w:val="21"/>
        </w:rPr>
        <w:t xml:space="preserve"> </w:t>
      </w:r>
      <w:r>
        <w:rPr>
          <w:sz w:val="21"/>
        </w:rPr>
        <w:t>M10</w:t>
      </w:r>
    </w:p>
    <w:p w14:paraId="4A4FC165" w14:textId="77777777" w:rsidR="00A71EEF" w:rsidRDefault="00A71EEF">
      <w:pPr>
        <w:pStyle w:val="a3"/>
        <w:spacing w:before="2"/>
        <w:rPr>
          <w:sz w:val="18"/>
        </w:rPr>
      </w:pPr>
    </w:p>
    <w:p w14:paraId="70BB0C91" w14:textId="77777777" w:rsidR="00A71EEF" w:rsidRDefault="0081115D">
      <w:pPr>
        <w:pStyle w:val="a3"/>
        <w:spacing w:line="446" w:lineRule="auto"/>
        <w:ind w:left="840" w:right="1455" w:hanging="423"/>
      </w:pPr>
      <w:r>
        <w:t xml:space="preserve">×1.5mm </w:t>
      </w:r>
      <w:r>
        <w:t>的外螺纹，螺纹长度不小于</w:t>
      </w:r>
      <w:r>
        <w:t xml:space="preserve"> 15mm</w:t>
      </w:r>
      <w:r>
        <w:t>，接口位置应便于外接压力表的安装，并标注标识。</w:t>
      </w:r>
      <w:r>
        <w:rPr>
          <w:b/>
        </w:rPr>
        <w:t xml:space="preserve">4.2.2 </w:t>
      </w:r>
      <w:r>
        <w:t>操作说明和标识</w:t>
      </w:r>
      <w:r>
        <w:t xml:space="preserve"> </w:t>
      </w:r>
    </w:p>
    <w:p w14:paraId="52DDFE73" w14:textId="77777777" w:rsidR="00A71EEF" w:rsidRDefault="0081115D">
      <w:pPr>
        <w:pStyle w:val="a4"/>
        <w:numPr>
          <w:ilvl w:val="3"/>
          <w:numId w:val="778"/>
        </w:numPr>
        <w:tabs>
          <w:tab w:val="left" w:pos="1576"/>
        </w:tabs>
        <w:spacing w:line="267" w:lineRule="exact"/>
        <w:rPr>
          <w:sz w:val="21"/>
        </w:rPr>
      </w:pPr>
      <w:r>
        <w:rPr>
          <w:spacing w:val="-3"/>
          <w:sz w:val="21"/>
        </w:rPr>
        <w:t>操作说明和标识应包括以下内容：</w:t>
      </w:r>
      <w:r>
        <w:rPr>
          <w:sz w:val="21"/>
        </w:rPr>
        <w:t xml:space="preserve"> </w:t>
      </w:r>
    </w:p>
    <w:p w14:paraId="297771A6" w14:textId="77777777" w:rsidR="00A71EEF" w:rsidRDefault="00A71EEF">
      <w:pPr>
        <w:pStyle w:val="a3"/>
        <w:spacing w:before="2"/>
        <w:rPr>
          <w:sz w:val="18"/>
        </w:rPr>
      </w:pPr>
    </w:p>
    <w:p w14:paraId="664FA80C" w14:textId="77777777" w:rsidR="00A71EEF" w:rsidRDefault="0081115D">
      <w:pPr>
        <w:pStyle w:val="a3"/>
        <w:ind w:left="838"/>
      </w:pPr>
      <w:r>
        <w:t>——</w:t>
      </w:r>
      <w:r>
        <w:t>消防泵额定流量和出口压力数值及操作说明；</w:t>
      </w:r>
      <w:r>
        <w:t xml:space="preserve"> </w:t>
      </w:r>
    </w:p>
    <w:p w14:paraId="18EEBDC9" w14:textId="77777777" w:rsidR="00A71EEF" w:rsidRDefault="00A71EEF">
      <w:pPr>
        <w:pStyle w:val="a3"/>
        <w:rPr>
          <w:sz w:val="18"/>
        </w:rPr>
      </w:pPr>
    </w:p>
    <w:p w14:paraId="19F3914D" w14:textId="77777777" w:rsidR="00A71EEF" w:rsidRDefault="0081115D">
      <w:pPr>
        <w:pStyle w:val="a3"/>
        <w:ind w:left="838"/>
      </w:pPr>
      <w:r>
        <w:t>——</w:t>
      </w:r>
      <w:r>
        <w:t>选用泡沫的类别（适用时</w:t>
      </w:r>
      <w:r>
        <w:t>)</w:t>
      </w:r>
      <w:r>
        <w:t>及混合比；</w:t>
      </w:r>
      <w:r>
        <w:t xml:space="preserve"> </w:t>
      </w:r>
    </w:p>
    <w:p w14:paraId="301A032D" w14:textId="77777777" w:rsidR="00A71EEF" w:rsidRDefault="00A71EEF">
      <w:pPr>
        <w:pStyle w:val="a3"/>
        <w:spacing w:before="12"/>
        <w:rPr>
          <w:sz w:val="17"/>
        </w:rPr>
      </w:pPr>
    </w:p>
    <w:p w14:paraId="70F8A4C5" w14:textId="77777777" w:rsidR="00A71EEF" w:rsidRDefault="0081115D">
      <w:pPr>
        <w:pStyle w:val="a3"/>
        <w:ind w:left="838"/>
      </w:pPr>
      <w:r>
        <w:rPr>
          <w:spacing w:val="-6"/>
        </w:rPr>
        <w:t>——</w:t>
      </w:r>
      <w:r>
        <w:rPr>
          <w:spacing w:val="-6"/>
        </w:rPr>
        <w:t>消防泵出口压力显示</w:t>
      </w:r>
      <w:r>
        <w:rPr>
          <w:spacing w:val="-6"/>
        </w:rPr>
        <w:t>(</w:t>
      </w:r>
      <w:r>
        <w:rPr>
          <w:spacing w:val="-6"/>
        </w:rPr>
        <w:t>精度不低于</w:t>
      </w:r>
      <w:r>
        <w:rPr>
          <w:spacing w:val="-6"/>
        </w:rPr>
        <w:t xml:space="preserve"> </w:t>
      </w:r>
      <w:r>
        <w:t>2.5</w:t>
      </w:r>
      <w:r>
        <w:rPr>
          <w:spacing w:val="-21"/>
        </w:rPr>
        <w:t xml:space="preserve"> </w:t>
      </w:r>
      <w:r>
        <w:rPr>
          <w:spacing w:val="-21"/>
        </w:rPr>
        <w:t>级</w:t>
      </w:r>
      <w:r>
        <w:rPr>
          <w:spacing w:val="-3"/>
        </w:rPr>
        <w:t>）；</w:t>
      </w:r>
      <w:r>
        <w:t xml:space="preserve"> </w:t>
      </w:r>
    </w:p>
    <w:p w14:paraId="0DD60817" w14:textId="77777777" w:rsidR="00A71EEF" w:rsidRDefault="00A71EEF">
      <w:pPr>
        <w:pStyle w:val="a3"/>
        <w:spacing w:before="2"/>
        <w:rPr>
          <w:sz w:val="18"/>
        </w:rPr>
      </w:pPr>
    </w:p>
    <w:p w14:paraId="67010AD5" w14:textId="77777777" w:rsidR="00A71EEF" w:rsidRDefault="0081115D">
      <w:pPr>
        <w:pStyle w:val="a3"/>
        <w:ind w:left="838"/>
      </w:pPr>
      <w:r>
        <w:rPr>
          <w:spacing w:val="-6"/>
        </w:rPr>
        <w:t>——</w:t>
      </w:r>
      <w:r>
        <w:rPr>
          <w:spacing w:val="-6"/>
        </w:rPr>
        <w:t>消防泵进口压力显示</w:t>
      </w:r>
      <w:r>
        <w:rPr>
          <w:spacing w:val="-6"/>
        </w:rPr>
        <w:t>(</w:t>
      </w:r>
      <w:r>
        <w:rPr>
          <w:spacing w:val="-6"/>
        </w:rPr>
        <w:t>精度不低于</w:t>
      </w:r>
      <w:r>
        <w:rPr>
          <w:spacing w:val="-6"/>
        </w:rPr>
        <w:t xml:space="preserve"> </w:t>
      </w:r>
      <w:r>
        <w:t>2.5</w:t>
      </w:r>
      <w:r>
        <w:rPr>
          <w:spacing w:val="-21"/>
        </w:rPr>
        <w:t xml:space="preserve"> </w:t>
      </w:r>
      <w:r>
        <w:rPr>
          <w:spacing w:val="-21"/>
        </w:rPr>
        <w:t>级</w:t>
      </w:r>
      <w:r>
        <w:rPr>
          <w:spacing w:val="-3"/>
        </w:rPr>
        <w:t>）；</w:t>
      </w:r>
      <w:r>
        <w:t xml:space="preserve"> </w:t>
      </w:r>
    </w:p>
    <w:p w14:paraId="2E097B3A" w14:textId="77777777" w:rsidR="00A71EEF" w:rsidRDefault="00A71EEF">
      <w:pPr>
        <w:pStyle w:val="a3"/>
        <w:rPr>
          <w:sz w:val="18"/>
        </w:rPr>
      </w:pPr>
    </w:p>
    <w:p w14:paraId="3CC91E7C" w14:textId="77777777" w:rsidR="00A71EEF" w:rsidRDefault="0081115D">
      <w:pPr>
        <w:pStyle w:val="a3"/>
        <w:ind w:left="838"/>
      </w:pPr>
      <w:r>
        <w:t>——</w:t>
      </w:r>
      <w:r>
        <w:t>消防泵转速显示及累计工作时间显示；</w:t>
      </w:r>
      <w:r>
        <w:t xml:space="preserve"> </w:t>
      </w:r>
    </w:p>
    <w:p w14:paraId="0AA360A7" w14:textId="77777777" w:rsidR="00A71EEF" w:rsidRDefault="00A71EEF">
      <w:pPr>
        <w:pStyle w:val="a3"/>
        <w:spacing w:before="12"/>
        <w:rPr>
          <w:sz w:val="17"/>
        </w:rPr>
      </w:pPr>
    </w:p>
    <w:p w14:paraId="38BFA5D5" w14:textId="77777777" w:rsidR="00A71EEF" w:rsidRDefault="0081115D">
      <w:pPr>
        <w:pStyle w:val="a3"/>
        <w:ind w:left="838"/>
      </w:pPr>
      <w:r>
        <w:t>——</w:t>
      </w:r>
      <w:r>
        <w:t>水罐和泡沫液罐的液</w:t>
      </w:r>
      <w:r>
        <w:t>位显示；</w:t>
      </w:r>
      <w:r>
        <w:t xml:space="preserve"> </w:t>
      </w:r>
    </w:p>
    <w:p w14:paraId="2B49BAF1" w14:textId="77777777" w:rsidR="00A71EEF" w:rsidRDefault="00A71EEF">
      <w:pPr>
        <w:pStyle w:val="a3"/>
        <w:spacing w:before="2"/>
        <w:rPr>
          <w:sz w:val="18"/>
        </w:rPr>
      </w:pPr>
    </w:p>
    <w:p w14:paraId="46956BDE" w14:textId="77777777" w:rsidR="00A71EEF" w:rsidRDefault="0081115D">
      <w:pPr>
        <w:pStyle w:val="a3"/>
        <w:ind w:left="838"/>
      </w:pPr>
      <w:r>
        <w:t>——</w:t>
      </w:r>
      <w:r>
        <w:t>发动机水温显示；</w:t>
      </w:r>
      <w:r>
        <w:t xml:space="preserve"> </w:t>
      </w:r>
    </w:p>
    <w:p w14:paraId="6D5805F4" w14:textId="77777777" w:rsidR="00A71EEF" w:rsidRDefault="00A71EEF">
      <w:pPr>
        <w:pStyle w:val="a3"/>
        <w:rPr>
          <w:sz w:val="18"/>
        </w:rPr>
      </w:pPr>
    </w:p>
    <w:p w14:paraId="64E94777" w14:textId="77777777" w:rsidR="00A71EEF" w:rsidRDefault="0081115D">
      <w:pPr>
        <w:pStyle w:val="a3"/>
        <w:ind w:left="838"/>
      </w:pPr>
      <w:r>
        <w:rPr>
          <w:spacing w:val="-3"/>
        </w:rPr>
        <w:t>——</w:t>
      </w:r>
      <w:r>
        <w:rPr>
          <w:spacing w:val="-3"/>
        </w:rPr>
        <w:t>发动机机油温度显示；</w:t>
      </w:r>
      <w:r>
        <w:rPr>
          <w:spacing w:val="-3"/>
        </w:rPr>
        <w:t xml:space="preserve"> </w:t>
      </w:r>
    </w:p>
    <w:p w14:paraId="64679ABC" w14:textId="77777777" w:rsidR="00A71EEF" w:rsidRDefault="00A71EEF">
      <w:pPr>
        <w:pStyle w:val="a3"/>
        <w:spacing w:before="12"/>
        <w:rPr>
          <w:sz w:val="17"/>
        </w:rPr>
      </w:pPr>
    </w:p>
    <w:p w14:paraId="75A81DD2" w14:textId="77777777" w:rsidR="00A71EEF" w:rsidRDefault="0081115D">
      <w:pPr>
        <w:pStyle w:val="a3"/>
        <w:ind w:left="838"/>
      </w:pPr>
      <w:r>
        <w:rPr>
          <w:spacing w:val="-3"/>
        </w:rPr>
        <w:t>——</w:t>
      </w:r>
      <w:r>
        <w:rPr>
          <w:spacing w:val="-3"/>
        </w:rPr>
        <w:t>仪表板照明灯和开关；</w:t>
      </w:r>
      <w:r>
        <w:rPr>
          <w:spacing w:val="-3"/>
        </w:rPr>
        <w:t xml:space="preserve"> </w:t>
      </w:r>
    </w:p>
    <w:p w14:paraId="4D8D0756" w14:textId="77777777" w:rsidR="00A71EEF" w:rsidRDefault="00A71EEF">
      <w:pPr>
        <w:pStyle w:val="a3"/>
        <w:spacing w:before="2"/>
        <w:rPr>
          <w:sz w:val="18"/>
        </w:rPr>
      </w:pPr>
    </w:p>
    <w:p w14:paraId="365F466F" w14:textId="77777777" w:rsidR="00A71EEF" w:rsidRDefault="0081115D">
      <w:pPr>
        <w:pStyle w:val="a3"/>
        <w:ind w:left="838"/>
      </w:pPr>
      <w:r>
        <w:t>——</w:t>
      </w:r>
      <w:r>
        <w:t>紧急停止按钮；</w:t>
      </w:r>
      <w:r>
        <w:t xml:space="preserve"> </w:t>
      </w:r>
    </w:p>
    <w:p w14:paraId="001DE226" w14:textId="77777777" w:rsidR="00A71EEF" w:rsidRDefault="00A71EEF">
      <w:pPr>
        <w:pStyle w:val="a3"/>
        <w:rPr>
          <w:sz w:val="18"/>
        </w:rPr>
      </w:pPr>
    </w:p>
    <w:p w14:paraId="15798CC5" w14:textId="77777777" w:rsidR="00A71EEF" w:rsidRDefault="0081115D">
      <w:pPr>
        <w:pStyle w:val="a3"/>
        <w:ind w:left="838"/>
      </w:pPr>
      <w:r>
        <w:t>——</w:t>
      </w:r>
      <w:r>
        <w:t>冲洗标识和开关位置；</w:t>
      </w:r>
      <w:r>
        <w:t xml:space="preserve"> </w:t>
      </w:r>
    </w:p>
    <w:p w14:paraId="731A278C" w14:textId="77777777" w:rsidR="00A71EEF" w:rsidRDefault="00A71EEF">
      <w:pPr>
        <w:pStyle w:val="a3"/>
        <w:spacing w:before="12"/>
        <w:rPr>
          <w:sz w:val="17"/>
        </w:rPr>
      </w:pPr>
    </w:p>
    <w:p w14:paraId="4D6C2717" w14:textId="77777777" w:rsidR="00A71EEF" w:rsidRDefault="0081115D">
      <w:pPr>
        <w:pStyle w:val="a3"/>
        <w:ind w:left="838"/>
      </w:pPr>
      <w:r>
        <w:t>——</w:t>
      </w:r>
      <w:r>
        <w:t>面板上仪表及开关的用途说明牌。</w:t>
      </w:r>
      <w:r>
        <w:t xml:space="preserve"> </w:t>
      </w:r>
    </w:p>
    <w:p w14:paraId="49248BB9" w14:textId="77777777" w:rsidR="00A71EEF" w:rsidRDefault="00A71EEF">
      <w:pPr>
        <w:pStyle w:val="a3"/>
        <w:spacing w:before="2"/>
        <w:rPr>
          <w:sz w:val="18"/>
        </w:rPr>
      </w:pPr>
    </w:p>
    <w:p w14:paraId="1A112767" w14:textId="77777777" w:rsidR="00A71EEF" w:rsidRDefault="0081115D">
      <w:pPr>
        <w:pStyle w:val="a4"/>
        <w:numPr>
          <w:ilvl w:val="3"/>
          <w:numId w:val="778"/>
        </w:numPr>
        <w:tabs>
          <w:tab w:val="left" w:pos="1576"/>
        </w:tabs>
        <w:rPr>
          <w:sz w:val="21"/>
        </w:rPr>
      </w:pPr>
      <w:r>
        <w:rPr>
          <w:spacing w:val="-3"/>
          <w:sz w:val="21"/>
        </w:rPr>
        <w:t>泡沫比例混合系统的控制调节应安装在操作仪表板处，便于人员操作。</w:t>
      </w:r>
      <w:r>
        <w:rPr>
          <w:spacing w:val="-3"/>
          <w:sz w:val="21"/>
        </w:rPr>
        <w:t xml:space="preserve"> </w:t>
      </w:r>
    </w:p>
    <w:p w14:paraId="1F21632D" w14:textId="77777777" w:rsidR="00A71EEF" w:rsidRDefault="00A71EEF">
      <w:pPr>
        <w:rPr>
          <w:sz w:val="21"/>
        </w:rPr>
        <w:sectPr w:rsidR="00A71EEF">
          <w:pgSz w:w="11910" w:h="16850"/>
          <w:pgMar w:top="1220" w:right="0" w:bottom="1420" w:left="1260" w:header="0" w:footer="1239" w:gutter="0"/>
          <w:cols w:space="720"/>
        </w:sectPr>
      </w:pPr>
    </w:p>
    <w:p w14:paraId="5EE67722" w14:textId="77777777" w:rsidR="00A71EEF" w:rsidRDefault="0081115D">
      <w:pPr>
        <w:pStyle w:val="a4"/>
        <w:numPr>
          <w:ilvl w:val="3"/>
          <w:numId w:val="778"/>
        </w:numPr>
        <w:tabs>
          <w:tab w:val="left" w:pos="1576"/>
        </w:tabs>
        <w:spacing w:before="47"/>
        <w:rPr>
          <w:sz w:val="21"/>
        </w:rPr>
      </w:pPr>
      <w:r>
        <w:rPr>
          <w:spacing w:val="-3"/>
          <w:sz w:val="21"/>
        </w:rPr>
        <w:lastRenderedPageBreak/>
        <w:t>操作面板上应有水、泡沫管路系统简图及基本操作说明。</w:t>
      </w:r>
      <w:r>
        <w:rPr>
          <w:sz w:val="21"/>
        </w:rPr>
        <w:t xml:space="preserve"> </w:t>
      </w:r>
    </w:p>
    <w:p w14:paraId="4A753F9F" w14:textId="77777777" w:rsidR="00A71EEF" w:rsidRDefault="00A71EEF">
      <w:pPr>
        <w:pStyle w:val="a3"/>
        <w:rPr>
          <w:sz w:val="18"/>
        </w:rPr>
      </w:pPr>
    </w:p>
    <w:p w14:paraId="0F16A2A9" w14:textId="77777777" w:rsidR="00A71EEF" w:rsidRDefault="0081115D">
      <w:pPr>
        <w:pStyle w:val="a4"/>
        <w:numPr>
          <w:ilvl w:val="3"/>
          <w:numId w:val="778"/>
        </w:numPr>
        <w:tabs>
          <w:tab w:val="left" w:pos="1576"/>
        </w:tabs>
        <w:rPr>
          <w:sz w:val="21"/>
        </w:rPr>
      </w:pPr>
      <w:r>
        <w:rPr>
          <w:spacing w:val="-3"/>
          <w:sz w:val="21"/>
        </w:rPr>
        <w:t>在水罐注水口处应设有</w:t>
      </w:r>
      <w:r>
        <w:rPr>
          <w:spacing w:val="-3"/>
          <w:sz w:val="21"/>
        </w:rPr>
        <w:t>“</w:t>
      </w:r>
      <w:r>
        <w:rPr>
          <w:spacing w:val="-3"/>
          <w:sz w:val="21"/>
        </w:rPr>
        <w:t>水罐注水口</w:t>
      </w:r>
      <w:r>
        <w:rPr>
          <w:spacing w:val="-3"/>
          <w:sz w:val="21"/>
        </w:rPr>
        <w:t xml:space="preserve"> ”</w:t>
      </w:r>
      <w:r>
        <w:rPr>
          <w:spacing w:val="-3"/>
          <w:sz w:val="21"/>
        </w:rPr>
        <w:t>字样的标牌，标牌应永久性固定。</w:t>
      </w:r>
      <w:r>
        <w:rPr>
          <w:sz w:val="21"/>
        </w:rPr>
        <w:t xml:space="preserve"> </w:t>
      </w:r>
    </w:p>
    <w:p w14:paraId="726AF672" w14:textId="77777777" w:rsidR="00A71EEF" w:rsidRDefault="00A71EEF">
      <w:pPr>
        <w:pStyle w:val="a3"/>
        <w:rPr>
          <w:sz w:val="18"/>
        </w:rPr>
      </w:pPr>
    </w:p>
    <w:p w14:paraId="0C7D7771" w14:textId="77777777" w:rsidR="00A71EEF" w:rsidRDefault="0081115D">
      <w:pPr>
        <w:pStyle w:val="a4"/>
        <w:numPr>
          <w:ilvl w:val="3"/>
          <w:numId w:val="778"/>
        </w:numPr>
        <w:tabs>
          <w:tab w:val="left" w:pos="1576"/>
        </w:tabs>
        <w:spacing w:line="446" w:lineRule="auto"/>
        <w:ind w:left="418" w:right="1609" w:firstLine="419"/>
        <w:rPr>
          <w:sz w:val="21"/>
        </w:rPr>
      </w:pPr>
      <w:r>
        <w:rPr>
          <w:spacing w:val="-3"/>
          <w:sz w:val="21"/>
        </w:rPr>
        <w:t>在泡沫罐加液口处或邻近位置应设有</w:t>
      </w:r>
      <w:r>
        <w:rPr>
          <w:spacing w:val="-3"/>
          <w:sz w:val="21"/>
        </w:rPr>
        <w:t>“</w:t>
      </w:r>
      <w:r>
        <w:rPr>
          <w:spacing w:val="-3"/>
          <w:sz w:val="21"/>
        </w:rPr>
        <w:t>泡沫罐注液口</w:t>
      </w:r>
      <w:r>
        <w:rPr>
          <w:spacing w:val="-3"/>
          <w:sz w:val="21"/>
        </w:rPr>
        <w:t>”</w:t>
      </w:r>
      <w:r>
        <w:rPr>
          <w:spacing w:val="-3"/>
          <w:sz w:val="21"/>
        </w:rPr>
        <w:t>字样的标牌。在明显位置处应注明可使用的泡沫液类型，并用红色字体注明</w:t>
      </w:r>
      <w:r>
        <w:rPr>
          <w:spacing w:val="-3"/>
          <w:sz w:val="21"/>
        </w:rPr>
        <w:t>“</w:t>
      </w:r>
      <w:r>
        <w:rPr>
          <w:spacing w:val="-3"/>
          <w:sz w:val="21"/>
        </w:rPr>
        <w:t>不要将不同类型、不同企业的泡沫液混</w:t>
      </w:r>
      <w:r>
        <w:rPr>
          <w:spacing w:val="-3"/>
          <w:sz w:val="21"/>
        </w:rPr>
        <w:t xml:space="preserve"> </w:t>
      </w:r>
      <w:r>
        <w:rPr>
          <w:spacing w:val="-3"/>
          <w:sz w:val="21"/>
        </w:rPr>
        <w:t>装</w:t>
      </w:r>
      <w:r>
        <w:rPr>
          <w:spacing w:val="-3"/>
          <w:sz w:val="21"/>
        </w:rPr>
        <w:t>”</w:t>
      </w:r>
      <w:r>
        <w:rPr>
          <w:spacing w:val="-3"/>
          <w:sz w:val="21"/>
        </w:rPr>
        <w:t>的警告性文宇。标牌</w:t>
      </w:r>
      <w:r>
        <w:rPr>
          <w:spacing w:val="-3"/>
          <w:sz w:val="21"/>
        </w:rPr>
        <w:t xml:space="preserve"> </w:t>
      </w:r>
      <w:r>
        <w:rPr>
          <w:spacing w:val="-3"/>
          <w:sz w:val="21"/>
        </w:rPr>
        <w:t>应永久性固定。</w:t>
      </w:r>
      <w:r>
        <w:rPr>
          <w:sz w:val="21"/>
        </w:rPr>
        <w:t xml:space="preserve"> </w:t>
      </w:r>
    </w:p>
    <w:p w14:paraId="445BDFA0" w14:textId="77777777" w:rsidR="00A71EEF" w:rsidRDefault="0081115D">
      <w:pPr>
        <w:pStyle w:val="a4"/>
        <w:numPr>
          <w:ilvl w:val="1"/>
          <w:numId w:val="779"/>
        </w:numPr>
        <w:tabs>
          <w:tab w:val="left" w:pos="1159"/>
        </w:tabs>
        <w:spacing w:line="268" w:lineRule="exact"/>
        <w:ind w:hanging="319"/>
        <w:rPr>
          <w:b/>
          <w:sz w:val="21"/>
        </w:rPr>
      </w:pPr>
      <w:r>
        <w:rPr>
          <w:spacing w:val="-3"/>
          <w:sz w:val="21"/>
        </w:rPr>
        <w:t>底盘改制要求</w:t>
      </w:r>
      <w:r>
        <w:rPr>
          <w:b/>
          <w:w w:val="99"/>
          <w:sz w:val="21"/>
        </w:rPr>
        <w:t xml:space="preserve"> </w:t>
      </w:r>
    </w:p>
    <w:p w14:paraId="139ED219" w14:textId="77777777" w:rsidR="00A71EEF" w:rsidRDefault="00A71EEF">
      <w:pPr>
        <w:pStyle w:val="a3"/>
        <w:spacing w:before="1"/>
        <w:rPr>
          <w:b/>
          <w:sz w:val="18"/>
        </w:rPr>
      </w:pPr>
    </w:p>
    <w:p w14:paraId="4EEEBBCF" w14:textId="77777777" w:rsidR="00A71EEF" w:rsidRDefault="0081115D">
      <w:pPr>
        <w:pStyle w:val="a4"/>
        <w:numPr>
          <w:ilvl w:val="2"/>
          <w:numId w:val="779"/>
        </w:numPr>
        <w:tabs>
          <w:tab w:val="left" w:pos="1370"/>
        </w:tabs>
        <w:spacing w:before="1"/>
        <w:ind w:hanging="530"/>
        <w:rPr>
          <w:sz w:val="21"/>
        </w:rPr>
      </w:pPr>
      <w:r>
        <w:rPr>
          <w:spacing w:val="-8"/>
          <w:sz w:val="21"/>
        </w:rPr>
        <w:t>泡沫车的底盘改制应符合</w:t>
      </w:r>
      <w:r>
        <w:rPr>
          <w:spacing w:val="-8"/>
          <w:sz w:val="21"/>
        </w:rPr>
        <w:t xml:space="preserve"> </w:t>
      </w:r>
      <w:r>
        <w:rPr>
          <w:sz w:val="21"/>
        </w:rPr>
        <w:t>GB</w:t>
      </w:r>
      <w:r>
        <w:rPr>
          <w:spacing w:val="-2"/>
          <w:sz w:val="21"/>
        </w:rPr>
        <w:t xml:space="preserve"> </w:t>
      </w:r>
      <w:r>
        <w:rPr>
          <w:sz w:val="21"/>
        </w:rPr>
        <w:t>7956.1—2014</w:t>
      </w:r>
      <w:r>
        <w:rPr>
          <w:spacing w:val="-37"/>
          <w:sz w:val="21"/>
        </w:rPr>
        <w:t xml:space="preserve"> </w:t>
      </w:r>
      <w:r>
        <w:rPr>
          <w:spacing w:val="-37"/>
          <w:sz w:val="21"/>
        </w:rPr>
        <w:t>中</w:t>
      </w:r>
      <w:r>
        <w:rPr>
          <w:spacing w:val="-37"/>
          <w:sz w:val="21"/>
        </w:rPr>
        <w:t xml:space="preserve"> </w:t>
      </w:r>
      <w:r>
        <w:rPr>
          <w:sz w:val="21"/>
        </w:rPr>
        <w:t>5.4</w:t>
      </w:r>
      <w:r>
        <w:rPr>
          <w:spacing w:val="-13"/>
          <w:sz w:val="21"/>
        </w:rPr>
        <w:t xml:space="preserve"> </w:t>
      </w:r>
      <w:r>
        <w:rPr>
          <w:spacing w:val="-13"/>
          <w:sz w:val="21"/>
        </w:rPr>
        <w:t>的要求。</w:t>
      </w:r>
      <w:r>
        <w:rPr>
          <w:sz w:val="21"/>
        </w:rPr>
        <w:t xml:space="preserve"> </w:t>
      </w:r>
    </w:p>
    <w:p w14:paraId="37A7CCEA" w14:textId="77777777" w:rsidR="00A71EEF" w:rsidRDefault="00A71EEF">
      <w:pPr>
        <w:pStyle w:val="a3"/>
        <w:rPr>
          <w:sz w:val="18"/>
        </w:rPr>
      </w:pPr>
    </w:p>
    <w:p w14:paraId="3B6D093F" w14:textId="77777777" w:rsidR="00A71EEF" w:rsidRDefault="0081115D">
      <w:pPr>
        <w:pStyle w:val="a4"/>
        <w:numPr>
          <w:ilvl w:val="2"/>
          <w:numId w:val="779"/>
        </w:numPr>
        <w:tabs>
          <w:tab w:val="left" w:pos="1371"/>
        </w:tabs>
        <w:ind w:left="1370" w:hanging="531"/>
        <w:rPr>
          <w:sz w:val="21"/>
        </w:rPr>
      </w:pPr>
      <w:r>
        <w:rPr>
          <w:spacing w:val="-3"/>
          <w:sz w:val="21"/>
        </w:rPr>
        <w:t>当罐体直接安装在底盘上时，应保证罐体与底盘弹性联接且不与底盘直接接触。</w:t>
      </w:r>
      <w:r>
        <w:rPr>
          <w:sz w:val="21"/>
        </w:rPr>
        <w:t xml:space="preserve"> </w:t>
      </w:r>
    </w:p>
    <w:p w14:paraId="6108805D" w14:textId="77777777" w:rsidR="00A71EEF" w:rsidRDefault="00A71EEF">
      <w:pPr>
        <w:pStyle w:val="a3"/>
        <w:spacing w:before="12"/>
        <w:rPr>
          <w:sz w:val="17"/>
        </w:rPr>
      </w:pPr>
    </w:p>
    <w:p w14:paraId="1E315EC2" w14:textId="77777777" w:rsidR="00A71EEF" w:rsidRDefault="0081115D">
      <w:pPr>
        <w:pStyle w:val="a4"/>
        <w:numPr>
          <w:ilvl w:val="1"/>
          <w:numId w:val="779"/>
        </w:numPr>
        <w:tabs>
          <w:tab w:val="left" w:pos="1159"/>
        </w:tabs>
        <w:ind w:hanging="319"/>
        <w:rPr>
          <w:b/>
          <w:sz w:val="21"/>
        </w:rPr>
      </w:pPr>
      <w:r>
        <w:rPr>
          <w:spacing w:val="-3"/>
          <w:sz w:val="21"/>
        </w:rPr>
        <w:t>消防水力系统要求</w:t>
      </w:r>
      <w:r>
        <w:rPr>
          <w:b/>
          <w:w w:val="99"/>
          <w:sz w:val="21"/>
        </w:rPr>
        <w:t xml:space="preserve"> </w:t>
      </w:r>
    </w:p>
    <w:p w14:paraId="670CEC53" w14:textId="77777777" w:rsidR="00A71EEF" w:rsidRDefault="00A71EEF">
      <w:pPr>
        <w:pStyle w:val="a3"/>
        <w:spacing w:before="2"/>
        <w:rPr>
          <w:b/>
          <w:sz w:val="18"/>
        </w:rPr>
      </w:pPr>
    </w:p>
    <w:p w14:paraId="75D320AA" w14:textId="77777777" w:rsidR="00A71EEF" w:rsidRDefault="0081115D">
      <w:pPr>
        <w:pStyle w:val="a4"/>
        <w:numPr>
          <w:ilvl w:val="2"/>
          <w:numId w:val="779"/>
        </w:numPr>
        <w:tabs>
          <w:tab w:val="left" w:pos="1371"/>
        </w:tabs>
        <w:ind w:left="1370" w:hanging="531"/>
        <w:rPr>
          <w:sz w:val="21"/>
        </w:rPr>
      </w:pPr>
      <w:r>
        <w:rPr>
          <w:spacing w:val="-3"/>
          <w:sz w:val="21"/>
        </w:rPr>
        <w:t>消防泵</w:t>
      </w:r>
      <w:r>
        <w:rPr>
          <w:sz w:val="21"/>
        </w:rPr>
        <w:t xml:space="preserve"> </w:t>
      </w:r>
    </w:p>
    <w:p w14:paraId="3F9904E8" w14:textId="77777777" w:rsidR="00A71EEF" w:rsidRDefault="00A71EEF">
      <w:pPr>
        <w:pStyle w:val="a3"/>
        <w:spacing w:before="12"/>
        <w:rPr>
          <w:sz w:val="17"/>
        </w:rPr>
      </w:pPr>
    </w:p>
    <w:p w14:paraId="6C5E0887" w14:textId="77777777" w:rsidR="00A71EEF" w:rsidRDefault="0081115D">
      <w:pPr>
        <w:pStyle w:val="a4"/>
        <w:numPr>
          <w:ilvl w:val="3"/>
          <w:numId w:val="779"/>
        </w:numPr>
        <w:tabs>
          <w:tab w:val="left" w:pos="1576"/>
        </w:tabs>
        <w:rPr>
          <w:sz w:val="21"/>
        </w:rPr>
      </w:pPr>
      <w:r>
        <w:rPr>
          <w:spacing w:val="-3"/>
          <w:sz w:val="21"/>
        </w:rPr>
        <w:t>选用的车用消防泵</w:t>
      </w:r>
      <w:r>
        <w:rPr>
          <w:sz w:val="21"/>
        </w:rPr>
        <w:t>（</w:t>
      </w:r>
      <w:r>
        <w:rPr>
          <w:spacing w:val="-7"/>
          <w:sz w:val="21"/>
        </w:rPr>
        <w:t>以下简称</w:t>
      </w:r>
      <w:r>
        <w:rPr>
          <w:spacing w:val="-7"/>
          <w:sz w:val="21"/>
        </w:rPr>
        <w:t>"</w:t>
      </w:r>
      <w:r>
        <w:rPr>
          <w:spacing w:val="-7"/>
          <w:sz w:val="21"/>
        </w:rPr>
        <w:t>消防泵</w:t>
      </w:r>
      <w:r>
        <w:rPr>
          <w:spacing w:val="-7"/>
          <w:sz w:val="21"/>
        </w:rPr>
        <w:t>”)</w:t>
      </w:r>
      <w:r>
        <w:rPr>
          <w:spacing w:val="-7"/>
          <w:sz w:val="21"/>
        </w:rPr>
        <w:t>应符合</w:t>
      </w:r>
      <w:r>
        <w:rPr>
          <w:spacing w:val="-7"/>
          <w:sz w:val="21"/>
        </w:rPr>
        <w:t xml:space="preserve"> </w:t>
      </w:r>
      <w:r>
        <w:rPr>
          <w:sz w:val="21"/>
        </w:rPr>
        <w:t>GB</w:t>
      </w:r>
      <w:r>
        <w:rPr>
          <w:spacing w:val="-1"/>
          <w:sz w:val="21"/>
        </w:rPr>
        <w:t xml:space="preserve"> </w:t>
      </w:r>
      <w:r>
        <w:rPr>
          <w:sz w:val="21"/>
        </w:rPr>
        <w:t>6245—2006</w:t>
      </w:r>
      <w:r>
        <w:rPr>
          <w:spacing w:val="-10"/>
          <w:sz w:val="21"/>
        </w:rPr>
        <w:t xml:space="preserve"> </w:t>
      </w:r>
      <w:r>
        <w:rPr>
          <w:spacing w:val="-10"/>
          <w:sz w:val="21"/>
        </w:rPr>
        <w:t>的相关规定。</w:t>
      </w:r>
      <w:r>
        <w:rPr>
          <w:sz w:val="21"/>
        </w:rPr>
        <w:t xml:space="preserve"> </w:t>
      </w:r>
    </w:p>
    <w:p w14:paraId="6E7A117C" w14:textId="77777777" w:rsidR="00A71EEF" w:rsidRDefault="00A71EEF">
      <w:pPr>
        <w:pStyle w:val="a3"/>
        <w:rPr>
          <w:sz w:val="18"/>
        </w:rPr>
      </w:pPr>
    </w:p>
    <w:p w14:paraId="5BFDB85B" w14:textId="77777777" w:rsidR="00A71EEF" w:rsidRDefault="0081115D">
      <w:pPr>
        <w:pStyle w:val="a4"/>
        <w:numPr>
          <w:ilvl w:val="3"/>
          <w:numId w:val="779"/>
        </w:numPr>
        <w:tabs>
          <w:tab w:val="left" w:pos="1576"/>
        </w:tabs>
        <w:rPr>
          <w:sz w:val="21"/>
        </w:rPr>
      </w:pPr>
      <w:r>
        <w:rPr>
          <w:spacing w:val="-3"/>
          <w:sz w:val="21"/>
        </w:rPr>
        <w:t>消防泵放余水装置应操作方便，并应直接将余水排出车外。</w:t>
      </w:r>
      <w:r>
        <w:rPr>
          <w:sz w:val="21"/>
        </w:rPr>
        <w:t xml:space="preserve"> </w:t>
      </w:r>
    </w:p>
    <w:p w14:paraId="2F967412" w14:textId="77777777" w:rsidR="00A71EEF" w:rsidRDefault="00A71EEF">
      <w:pPr>
        <w:pStyle w:val="a3"/>
        <w:spacing w:before="2"/>
        <w:rPr>
          <w:sz w:val="18"/>
        </w:rPr>
      </w:pPr>
    </w:p>
    <w:p w14:paraId="39EF976D" w14:textId="77777777" w:rsidR="00A71EEF" w:rsidRDefault="0081115D">
      <w:pPr>
        <w:pStyle w:val="a4"/>
        <w:numPr>
          <w:ilvl w:val="3"/>
          <w:numId w:val="779"/>
        </w:numPr>
        <w:tabs>
          <w:tab w:val="left" w:pos="1576"/>
        </w:tabs>
        <w:rPr>
          <w:sz w:val="21"/>
        </w:rPr>
      </w:pPr>
      <w:r>
        <w:rPr>
          <w:spacing w:val="-3"/>
          <w:sz w:val="21"/>
        </w:rPr>
        <w:t>消防泵与发动机功率匹配应：</w:t>
      </w:r>
      <w:r>
        <w:rPr>
          <w:sz w:val="21"/>
        </w:rPr>
        <w:t xml:space="preserve"> </w:t>
      </w:r>
    </w:p>
    <w:p w14:paraId="379115FA" w14:textId="77777777" w:rsidR="00A71EEF" w:rsidRDefault="00A71EEF">
      <w:pPr>
        <w:pStyle w:val="a3"/>
        <w:spacing w:before="12"/>
        <w:rPr>
          <w:sz w:val="17"/>
        </w:rPr>
      </w:pPr>
    </w:p>
    <w:p w14:paraId="5404E871" w14:textId="77777777" w:rsidR="00A71EEF" w:rsidRDefault="0081115D">
      <w:pPr>
        <w:pStyle w:val="a3"/>
        <w:spacing w:line="446" w:lineRule="auto"/>
        <w:ind w:left="418" w:right="1394" w:firstLine="419"/>
      </w:pPr>
      <w:r>
        <w:t>——</w:t>
      </w:r>
      <w:r>
        <w:t>消防泵额定工况的轴功率与发动机额定功率之比：汽油机不应大于</w:t>
      </w:r>
      <w:r>
        <w:t xml:space="preserve"> 55%</w:t>
      </w:r>
      <w:r>
        <w:t>；柴油机不应大于</w:t>
      </w:r>
      <w:r>
        <w:t xml:space="preserve"> 60%</w:t>
      </w:r>
      <w:r>
        <w:t>；</w:t>
      </w:r>
      <w:r>
        <w:t xml:space="preserve"> </w:t>
      </w:r>
    </w:p>
    <w:p w14:paraId="5B5621F9" w14:textId="77777777" w:rsidR="00A71EEF" w:rsidRDefault="0081115D">
      <w:pPr>
        <w:spacing w:line="446" w:lineRule="auto"/>
        <w:ind w:left="840" w:right="6601" w:hanging="3"/>
        <w:rPr>
          <w:sz w:val="21"/>
        </w:rPr>
      </w:pPr>
      <w:r>
        <w:rPr>
          <w:sz w:val="21"/>
        </w:rPr>
        <w:t>——</w:t>
      </w:r>
      <w:r>
        <w:rPr>
          <w:sz w:val="21"/>
        </w:rPr>
        <w:t>取力器的增速比不大于</w:t>
      </w:r>
      <w:r>
        <w:rPr>
          <w:sz w:val="21"/>
        </w:rPr>
        <w:t xml:space="preserve"> 1.5</w:t>
      </w:r>
      <w:r>
        <w:rPr>
          <w:sz w:val="21"/>
        </w:rPr>
        <w:t>。</w:t>
      </w:r>
      <w:r>
        <w:rPr>
          <w:b/>
          <w:sz w:val="21"/>
        </w:rPr>
        <w:t xml:space="preserve">4.4.2 </w:t>
      </w:r>
      <w:r>
        <w:rPr>
          <w:sz w:val="21"/>
        </w:rPr>
        <w:t>消防管路</w:t>
      </w:r>
      <w:r>
        <w:rPr>
          <w:sz w:val="21"/>
        </w:rPr>
        <w:t xml:space="preserve"> </w:t>
      </w:r>
    </w:p>
    <w:p w14:paraId="12622F04" w14:textId="77777777" w:rsidR="00A71EEF" w:rsidRDefault="0081115D">
      <w:pPr>
        <w:pStyle w:val="a4"/>
        <w:numPr>
          <w:ilvl w:val="3"/>
          <w:numId w:val="777"/>
        </w:numPr>
        <w:tabs>
          <w:tab w:val="left" w:pos="1576"/>
        </w:tabs>
        <w:spacing w:line="267" w:lineRule="exact"/>
        <w:rPr>
          <w:sz w:val="21"/>
        </w:rPr>
      </w:pPr>
      <w:r>
        <w:rPr>
          <w:spacing w:val="-3"/>
          <w:sz w:val="21"/>
        </w:rPr>
        <w:t>—</w:t>
      </w:r>
      <w:r>
        <w:rPr>
          <w:spacing w:val="-3"/>
          <w:sz w:val="21"/>
        </w:rPr>
        <w:t>般要求</w:t>
      </w:r>
      <w:r>
        <w:rPr>
          <w:sz w:val="21"/>
        </w:rPr>
        <w:t xml:space="preserve"> </w:t>
      </w:r>
    </w:p>
    <w:p w14:paraId="5BB272F6" w14:textId="77777777" w:rsidR="00A71EEF" w:rsidRDefault="00A71EEF">
      <w:pPr>
        <w:pStyle w:val="a3"/>
        <w:spacing w:before="2"/>
        <w:rPr>
          <w:sz w:val="18"/>
        </w:rPr>
      </w:pPr>
    </w:p>
    <w:p w14:paraId="67F11E48" w14:textId="77777777" w:rsidR="00A71EEF" w:rsidRDefault="0081115D">
      <w:pPr>
        <w:pStyle w:val="a4"/>
        <w:numPr>
          <w:ilvl w:val="4"/>
          <w:numId w:val="777"/>
        </w:numPr>
        <w:tabs>
          <w:tab w:val="left" w:pos="1788"/>
        </w:tabs>
        <w:rPr>
          <w:sz w:val="21"/>
        </w:rPr>
      </w:pPr>
      <w:r>
        <w:rPr>
          <w:spacing w:val="-3"/>
          <w:sz w:val="21"/>
        </w:rPr>
        <w:t>所有消防管路应采用耐腐蚀材料或采取防腐蚀措施。</w:t>
      </w:r>
      <w:r>
        <w:rPr>
          <w:sz w:val="21"/>
        </w:rPr>
        <w:t xml:space="preserve"> </w:t>
      </w:r>
    </w:p>
    <w:p w14:paraId="2823A4F9" w14:textId="77777777" w:rsidR="00A71EEF" w:rsidRDefault="00A71EEF">
      <w:pPr>
        <w:pStyle w:val="a3"/>
        <w:rPr>
          <w:sz w:val="18"/>
        </w:rPr>
      </w:pPr>
    </w:p>
    <w:p w14:paraId="7A7C9EBF" w14:textId="77777777" w:rsidR="00A71EEF" w:rsidRDefault="0081115D">
      <w:pPr>
        <w:pStyle w:val="a4"/>
        <w:numPr>
          <w:ilvl w:val="4"/>
          <w:numId w:val="777"/>
        </w:numPr>
        <w:tabs>
          <w:tab w:val="left" w:pos="1788"/>
        </w:tabs>
        <w:rPr>
          <w:sz w:val="21"/>
        </w:rPr>
      </w:pPr>
      <w:r>
        <w:rPr>
          <w:spacing w:val="-3"/>
          <w:sz w:val="21"/>
        </w:rPr>
        <w:t>管路布置应便于消防泵及传动机构的维护和保养。</w:t>
      </w:r>
      <w:r>
        <w:rPr>
          <w:sz w:val="21"/>
        </w:rPr>
        <w:t xml:space="preserve"> </w:t>
      </w:r>
    </w:p>
    <w:p w14:paraId="19E311BB" w14:textId="77777777" w:rsidR="00A71EEF" w:rsidRDefault="00A71EEF">
      <w:pPr>
        <w:pStyle w:val="a3"/>
        <w:rPr>
          <w:sz w:val="18"/>
        </w:rPr>
      </w:pPr>
    </w:p>
    <w:p w14:paraId="372BEEA7" w14:textId="77777777" w:rsidR="00A71EEF" w:rsidRDefault="0081115D">
      <w:pPr>
        <w:pStyle w:val="a4"/>
        <w:numPr>
          <w:ilvl w:val="4"/>
          <w:numId w:val="777"/>
        </w:numPr>
        <w:tabs>
          <w:tab w:val="left" w:pos="1788"/>
        </w:tabs>
        <w:spacing w:line="446" w:lineRule="auto"/>
        <w:ind w:left="418" w:right="1503" w:firstLine="419"/>
        <w:rPr>
          <w:sz w:val="21"/>
        </w:rPr>
      </w:pPr>
      <w:r>
        <w:rPr>
          <w:spacing w:val="-3"/>
          <w:sz w:val="21"/>
        </w:rPr>
        <w:t>消防管路应用不同颜色区分，消防泵进水管路及水罐至消防泵的输水管路应为</w:t>
      </w:r>
      <w:r>
        <w:rPr>
          <w:spacing w:val="-3"/>
          <w:sz w:val="21"/>
        </w:rPr>
        <w:t>GB/T</w:t>
      </w:r>
      <w:r>
        <w:rPr>
          <w:spacing w:val="9"/>
          <w:sz w:val="21"/>
        </w:rPr>
        <w:t xml:space="preserve"> </w:t>
      </w:r>
      <w:r>
        <w:rPr>
          <w:sz w:val="21"/>
        </w:rPr>
        <w:t>3181</w:t>
      </w:r>
      <w:r>
        <w:rPr>
          <w:spacing w:val="-21"/>
          <w:sz w:val="21"/>
        </w:rPr>
        <w:t xml:space="preserve"> </w:t>
      </w:r>
      <w:r>
        <w:rPr>
          <w:spacing w:val="-21"/>
          <w:sz w:val="21"/>
        </w:rPr>
        <w:t>规定的</w:t>
      </w:r>
      <w:r>
        <w:rPr>
          <w:spacing w:val="-21"/>
          <w:sz w:val="21"/>
        </w:rPr>
        <w:t xml:space="preserve"> </w:t>
      </w:r>
      <w:r>
        <w:rPr>
          <w:sz w:val="21"/>
        </w:rPr>
        <w:t>G05</w:t>
      </w:r>
      <w:r>
        <w:rPr>
          <w:spacing w:val="-10"/>
          <w:sz w:val="21"/>
        </w:rPr>
        <w:t xml:space="preserve"> </w:t>
      </w:r>
      <w:r>
        <w:rPr>
          <w:spacing w:val="-10"/>
          <w:sz w:val="21"/>
        </w:rPr>
        <w:t>深绿色，泡沫罐与泡沫液泵或泡沫比例混合器的输液管路应为</w:t>
      </w:r>
      <w:r>
        <w:rPr>
          <w:spacing w:val="-10"/>
          <w:sz w:val="21"/>
        </w:rPr>
        <w:t xml:space="preserve"> </w:t>
      </w:r>
      <w:r>
        <w:rPr>
          <w:sz w:val="21"/>
        </w:rPr>
        <w:t>GB/T</w:t>
      </w:r>
      <w:r>
        <w:rPr>
          <w:spacing w:val="6"/>
          <w:sz w:val="21"/>
        </w:rPr>
        <w:t xml:space="preserve"> </w:t>
      </w:r>
      <w:r>
        <w:rPr>
          <w:sz w:val="21"/>
        </w:rPr>
        <w:t xml:space="preserve">3181 </w:t>
      </w:r>
      <w:r>
        <w:rPr>
          <w:spacing w:val="-15"/>
          <w:sz w:val="21"/>
        </w:rPr>
        <w:t>规定的</w:t>
      </w:r>
      <w:r>
        <w:rPr>
          <w:spacing w:val="-15"/>
          <w:sz w:val="21"/>
        </w:rPr>
        <w:t xml:space="preserve"> </w:t>
      </w:r>
      <w:r>
        <w:rPr>
          <w:sz w:val="21"/>
        </w:rPr>
        <w:t>Y08</w:t>
      </w:r>
      <w:r>
        <w:rPr>
          <w:spacing w:val="-11"/>
          <w:sz w:val="21"/>
        </w:rPr>
        <w:t xml:space="preserve"> </w:t>
      </w:r>
      <w:r>
        <w:rPr>
          <w:spacing w:val="-11"/>
          <w:sz w:val="21"/>
        </w:rPr>
        <w:t>深黄色，消防泵出水管路应为</w:t>
      </w:r>
      <w:r>
        <w:rPr>
          <w:spacing w:val="-11"/>
          <w:sz w:val="21"/>
        </w:rPr>
        <w:t xml:space="preserve"> </w:t>
      </w:r>
      <w:r>
        <w:rPr>
          <w:sz w:val="21"/>
        </w:rPr>
        <w:t>GB/T</w:t>
      </w:r>
      <w:r>
        <w:rPr>
          <w:spacing w:val="2"/>
          <w:sz w:val="21"/>
        </w:rPr>
        <w:t xml:space="preserve"> </w:t>
      </w:r>
      <w:r>
        <w:rPr>
          <w:sz w:val="21"/>
        </w:rPr>
        <w:t>3181</w:t>
      </w:r>
      <w:r>
        <w:rPr>
          <w:spacing w:val="-23"/>
          <w:sz w:val="21"/>
        </w:rPr>
        <w:t xml:space="preserve"> </w:t>
      </w:r>
      <w:r>
        <w:rPr>
          <w:spacing w:val="-23"/>
          <w:sz w:val="21"/>
        </w:rPr>
        <w:t>规定的</w:t>
      </w:r>
      <w:r>
        <w:rPr>
          <w:spacing w:val="-23"/>
          <w:sz w:val="21"/>
        </w:rPr>
        <w:t xml:space="preserve"> </w:t>
      </w:r>
      <w:r>
        <w:rPr>
          <w:sz w:val="21"/>
        </w:rPr>
        <w:t>R03</w:t>
      </w:r>
      <w:r>
        <w:rPr>
          <w:spacing w:val="-13"/>
          <w:sz w:val="21"/>
        </w:rPr>
        <w:t xml:space="preserve"> </w:t>
      </w:r>
      <w:r>
        <w:rPr>
          <w:spacing w:val="-13"/>
          <w:sz w:val="21"/>
        </w:rPr>
        <w:t>大红色。</w:t>
      </w:r>
      <w:r>
        <w:rPr>
          <w:sz w:val="21"/>
        </w:rPr>
        <w:t xml:space="preserve"> </w:t>
      </w:r>
    </w:p>
    <w:p w14:paraId="2B6F4D98" w14:textId="77777777" w:rsidR="00A71EEF" w:rsidRDefault="0081115D">
      <w:pPr>
        <w:pStyle w:val="a4"/>
        <w:numPr>
          <w:ilvl w:val="3"/>
          <w:numId w:val="777"/>
        </w:numPr>
        <w:tabs>
          <w:tab w:val="left" w:pos="1576"/>
        </w:tabs>
        <w:spacing w:line="268" w:lineRule="exact"/>
        <w:rPr>
          <w:sz w:val="21"/>
        </w:rPr>
      </w:pPr>
      <w:r>
        <w:rPr>
          <w:spacing w:val="-3"/>
          <w:sz w:val="21"/>
        </w:rPr>
        <w:t>消防泵进水管路</w:t>
      </w:r>
      <w:r>
        <w:rPr>
          <w:sz w:val="21"/>
        </w:rPr>
        <w:t xml:space="preserve"> </w:t>
      </w:r>
    </w:p>
    <w:p w14:paraId="68007A49" w14:textId="77777777" w:rsidR="00A71EEF" w:rsidRDefault="00A71EEF">
      <w:pPr>
        <w:pStyle w:val="a3"/>
        <w:spacing w:before="2"/>
        <w:rPr>
          <w:sz w:val="18"/>
        </w:rPr>
      </w:pPr>
    </w:p>
    <w:p w14:paraId="756039F4" w14:textId="77777777" w:rsidR="00A71EEF" w:rsidRDefault="0081115D">
      <w:pPr>
        <w:pStyle w:val="a4"/>
        <w:numPr>
          <w:ilvl w:val="4"/>
          <w:numId w:val="777"/>
        </w:numPr>
        <w:tabs>
          <w:tab w:val="left" w:pos="1788"/>
        </w:tabs>
        <w:spacing w:line="446" w:lineRule="auto"/>
        <w:ind w:left="418" w:right="1609" w:firstLine="419"/>
        <w:rPr>
          <w:sz w:val="21"/>
        </w:rPr>
      </w:pPr>
      <w:r>
        <w:rPr>
          <w:spacing w:val="-3"/>
          <w:sz w:val="21"/>
        </w:rPr>
        <w:t>当消防泵进水口设在侧面时，应在车辆两侧均设进水口。单侧进水口应满足泡沫车额定压力和流量的要求。</w:t>
      </w:r>
      <w:r>
        <w:rPr>
          <w:sz w:val="21"/>
        </w:rPr>
        <w:t xml:space="preserve"> </w:t>
      </w:r>
    </w:p>
    <w:p w14:paraId="079C3404" w14:textId="77777777" w:rsidR="00A71EEF" w:rsidRDefault="0081115D">
      <w:pPr>
        <w:pStyle w:val="a4"/>
        <w:numPr>
          <w:ilvl w:val="4"/>
          <w:numId w:val="777"/>
        </w:numPr>
        <w:tabs>
          <w:tab w:val="left" w:pos="1788"/>
        </w:tabs>
        <w:spacing w:line="267" w:lineRule="exact"/>
        <w:rPr>
          <w:sz w:val="21"/>
        </w:rPr>
      </w:pPr>
      <w:r>
        <w:rPr>
          <w:spacing w:val="-10"/>
          <w:sz w:val="21"/>
        </w:rPr>
        <w:t>额定流量不小于</w:t>
      </w:r>
      <w:r>
        <w:rPr>
          <w:spacing w:val="-10"/>
          <w:sz w:val="21"/>
        </w:rPr>
        <w:t xml:space="preserve"> </w:t>
      </w:r>
      <w:r>
        <w:rPr>
          <w:sz w:val="21"/>
        </w:rPr>
        <w:t>100L/s</w:t>
      </w:r>
      <w:r>
        <w:rPr>
          <w:spacing w:val="-9"/>
          <w:sz w:val="21"/>
        </w:rPr>
        <w:t xml:space="preserve"> </w:t>
      </w:r>
      <w:r>
        <w:rPr>
          <w:spacing w:val="-9"/>
          <w:sz w:val="21"/>
        </w:rPr>
        <w:t>的泡沫车进水管路应设置阀门。</w:t>
      </w:r>
      <w:r>
        <w:rPr>
          <w:sz w:val="21"/>
        </w:rPr>
        <w:t xml:space="preserve"> </w:t>
      </w:r>
    </w:p>
    <w:p w14:paraId="0E842000" w14:textId="77777777" w:rsidR="00A71EEF" w:rsidRDefault="00A71EEF">
      <w:pPr>
        <w:pStyle w:val="a3"/>
        <w:spacing w:before="2"/>
        <w:rPr>
          <w:sz w:val="18"/>
        </w:rPr>
      </w:pPr>
    </w:p>
    <w:p w14:paraId="7DCC495B" w14:textId="77777777" w:rsidR="00A71EEF" w:rsidRDefault="0081115D">
      <w:pPr>
        <w:pStyle w:val="a4"/>
        <w:numPr>
          <w:ilvl w:val="4"/>
          <w:numId w:val="777"/>
        </w:numPr>
        <w:tabs>
          <w:tab w:val="left" w:pos="1788"/>
        </w:tabs>
        <w:rPr>
          <w:sz w:val="21"/>
        </w:rPr>
      </w:pPr>
      <w:r>
        <w:rPr>
          <w:spacing w:val="-10"/>
          <w:sz w:val="21"/>
        </w:rPr>
        <w:t>进水管路应保证</w:t>
      </w:r>
      <w:r>
        <w:rPr>
          <w:spacing w:val="-10"/>
          <w:sz w:val="21"/>
        </w:rPr>
        <w:t xml:space="preserve"> </w:t>
      </w:r>
      <w:r>
        <w:rPr>
          <w:sz w:val="21"/>
        </w:rPr>
        <w:t>45s</w:t>
      </w:r>
      <w:r>
        <w:rPr>
          <w:spacing w:val="-9"/>
          <w:sz w:val="21"/>
        </w:rPr>
        <w:t xml:space="preserve"> </w:t>
      </w:r>
      <w:r>
        <w:rPr>
          <w:spacing w:val="-9"/>
          <w:sz w:val="21"/>
        </w:rPr>
        <w:t>内能够放尽进水管路内的余水。</w:t>
      </w:r>
      <w:r>
        <w:rPr>
          <w:sz w:val="21"/>
        </w:rPr>
        <w:t xml:space="preserve"> </w:t>
      </w:r>
    </w:p>
    <w:p w14:paraId="21273274" w14:textId="77777777" w:rsidR="00A71EEF" w:rsidRDefault="00A71EEF">
      <w:pPr>
        <w:rPr>
          <w:sz w:val="21"/>
        </w:rPr>
        <w:sectPr w:rsidR="00A71EEF">
          <w:pgSz w:w="11910" w:h="16850"/>
          <w:pgMar w:top="1220" w:right="0" w:bottom="1420" w:left="1260" w:header="0" w:footer="1239" w:gutter="0"/>
          <w:cols w:space="720"/>
        </w:sectPr>
      </w:pPr>
    </w:p>
    <w:p w14:paraId="77C7527F" w14:textId="77777777" w:rsidR="00A71EEF" w:rsidRDefault="0081115D">
      <w:pPr>
        <w:pStyle w:val="a4"/>
        <w:numPr>
          <w:ilvl w:val="4"/>
          <w:numId w:val="777"/>
        </w:numPr>
        <w:tabs>
          <w:tab w:val="left" w:pos="1788"/>
        </w:tabs>
        <w:spacing w:before="47" w:line="446" w:lineRule="auto"/>
        <w:ind w:left="418" w:right="1609" w:firstLine="419"/>
        <w:rPr>
          <w:sz w:val="21"/>
        </w:rPr>
      </w:pPr>
      <w:r>
        <w:rPr>
          <w:spacing w:val="-3"/>
          <w:sz w:val="21"/>
        </w:rPr>
        <w:lastRenderedPageBreak/>
        <w:t>消防泵的每个进水口和吸水管之间应安装抗腐蚀滤网，滤网的过流面积不应降低消防泵的额定压力和流量。滤网上的孔不应通过：</w:t>
      </w:r>
      <w:r>
        <w:rPr>
          <w:spacing w:val="-3"/>
          <w:sz w:val="21"/>
        </w:rPr>
        <w:t xml:space="preserve"> </w:t>
      </w:r>
    </w:p>
    <w:p w14:paraId="34B4C17B" w14:textId="77777777" w:rsidR="00A71EEF" w:rsidRDefault="0081115D">
      <w:pPr>
        <w:pStyle w:val="a3"/>
        <w:spacing w:line="267" w:lineRule="exact"/>
        <w:ind w:left="838"/>
      </w:pPr>
      <w:r>
        <w:t>——</w:t>
      </w:r>
      <w:r>
        <w:t>对于额定流量不大于</w:t>
      </w:r>
      <w:r>
        <w:t xml:space="preserve"> 30L/s </w:t>
      </w:r>
      <w:r>
        <w:t>的消防泵，为大于或等于</w:t>
      </w:r>
      <w:r>
        <w:t xml:space="preserve"> 8mm </w:t>
      </w:r>
      <w:r>
        <w:t>的颗粒；</w:t>
      </w:r>
      <w:r>
        <w:t xml:space="preserve"> </w:t>
      </w:r>
    </w:p>
    <w:p w14:paraId="156F6287" w14:textId="77777777" w:rsidR="00A71EEF" w:rsidRDefault="00A71EEF">
      <w:pPr>
        <w:pStyle w:val="a3"/>
        <w:spacing w:before="2"/>
        <w:rPr>
          <w:sz w:val="18"/>
        </w:rPr>
      </w:pPr>
    </w:p>
    <w:p w14:paraId="6D239C86" w14:textId="77777777" w:rsidR="00A71EEF" w:rsidRDefault="0081115D">
      <w:pPr>
        <w:pStyle w:val="a3"/>
        <w:ind w:left="838"/>
      </w:pPr>
      <w:r>
        <w:t>——</w:t>
      </w:r>
      <w:r>
        <w:t>对于额定流量大于</w:t>
      </w:r>
      <w:r>
        <w:t xml:space="preserve"> 30L/s </w:t>
      </w:r>
      <w:r>
        <w:t>的消防泵</w:t>
      </w:r>
      <w:r>
        <w:t>,</w:t>
      </w:r>
      <w:r>
        <w:t>为大于或等于</w:t>
      </w:r>
      <w:r>
        <w:t xml:space="preserve"> 13mm </w:t>
      </w:r>
      <w:r>
        <w:t>的颗粒。</w:t>
      </w:r>
      <w:r>
        <w:t xml:space="preserve"> </w:t>
      </w:r>
    </w:p>
    <w:p w14:paraId="0A38A576" w14:textId="77777777" w:rsidR="00A71EEF" w:rsidRDefault="00A71EEF">
      <w:pPr>
        <w:pStyle w:val="a3"/>
        <w:rPr>
          <w:sz w:val="18"/>
        </w:rPr>
      </w:pPr>
    </w:p>
    <w:p w14:paraId="3A305F2F" w14:textId="77777777" w:rsidR="00A71EEF" w:rsidRDefault="0081115D">
      <w:pPr>
        <w:pStyle w:val="a4"/>
        <w:numPr>
          <w:ilvl w:val="4"/>
          <w:numId w:val="777"/>
        </w:numPr>
        <w:tabs>
          <w:tab w:val="left" w:pos="1788"/>
        </w:tabs>
        <w:rPr>
          <w:sz w:val="21"/>
        </w:rPr>
      </w:pPr>
      <w:r>
        <w:rPr>
          <w:spacing w:val="-11"/>
          <w:sz w:val="21"/>
        </w:rPr>
        <w:t>进水管路在</w:t>
      </w:r>
      <w:r>
        <w:rPr>
          <w:spacing w:val="-11"/>
          <w:sz w:val="21"/>
        </w:rPr>
        <w:t xml:space="preserve"> </w:t>
      </w:r>
      <w:r>
        <w:rPr>
          <w:sz w:val="21"/>
        </w:rPr>
        <w:t>0.8MPa</w:t>
      </w:r>
      <w:r>
        <w:rPr>
          <w:spacing w:val="-9"/>
          <w:sz w:val="21"/>
        </w:rPr>
        <w:t xml:space="preserve"> </w:t>
      </w:r>
      <w:r>
        <w:rPr>
          <w:spacing w:val="-9"/>
          <w:sz w:val="21"/>
        </w:rPr>
        <w:t>静水压下不应出现管路漏水、冒汗、密封件渗漏等现象；在</w:t>
      </w:r>
    </w:p>
    <w:p w14:paraId="6CC05434" w14:textId="77777777" w:rsidR="00A71EEF" w:rsidRDefault="00A71EEF">
      <w:pPr>
        <w:pStyle w:val="a3"/>
        <w:spacing w:before="12"/>
        <w:rPr>
          <w:sz w:val="17"/>
        </w:rPr>
      </w:pPr>
    </w:p>
    <w:p w14:paraId="296B4FB2" w14:textId="77777777" w:rsidR="00A71EEF" w:rsidRDefault="0081115D">
      <w:pPr>
        <w:pStyle w:val="a3"/>
        <w:ind w:left="418"/>
      </w:pPr>
      <w:r>
        <w:t xml:space="preserve">1.2MPa </w:t>
      </w:r>
      <w:r>
        <w:t>静水压下不应破裂，不应产生影响正常使用的永久变形。</w:t>
      </w:r>
      <w:r>
        <w:t xml:space="preserve"> </w:t>
      </w:r>
    </w:p>
    <w:p w14:paraId="14DD1C6F" w14:textId="77777777" w:rsidR="00A71EEF" w:rsidRDefault="00A71EEF">
      <w:pPr>
        <w:pStyle w:val="a3"/>
        <w:spacing w:before="2"/>
        <w:rPr>
          <w:sz w:val="18"/>
        </w:rPr>
      </w:pPr>
    </w:p>
    <w:p w14:paraId="01988DB8" w14:textId="77777777" w:rsidR="00A71EEF" w:rsidRDefault="0081115D">
      <w:pPr>
        <w:pStyle w:val="a4"/>
        <w:numPr>
          <w:ilvl w:val="4"/>
          <w:numId w:val="777"/>
        </w:numPr>
        <w:tabs>
          <w:tab w:val="left" w:pos="1788"/>
        </w:tabs>
        <w:rPr>
          <w:sz w:val="21"/>
        </w:rPr>
      </w:pPr>
      <w:r>
        <w:rPr>
          <w:spacing w:val="-5"/>
          <w:sz w:val="21"/>
        </w:rPr>
        <w:t>泡沫车应配置吸水管，每车携带的吸水管长度不应小于</w:t>
      </w:r>
      <w:r>
        <w:rPr>
          <w:spacing w:val="-5"/>
          <w:sz w:val="21"/>
        </w:rPr>
        <w:t xml:space="preserve"> </w:t>
      </w:r>
      <w:r>
        <w:rPr>
          <w:sz w:val="21"/>
        </w:rPr>
        <w:t>8m</w:t>
      </w:r>
      <w:r>
        <w:rPr>
          <w:spacing w:val="-3"/>
          <w:sz w:val="21"/>
        </w:rPr>
        <w:t>。</w:t>
      </w:r>
      <w:r>
        <w:rPr>
          <w:sz w:val="21"/>
        </w:rPr>
        <w:t xml:space="preserve"> </w:t>
      </w:r>
    </w:p>
    <w:p w14:paraId="54817295" w14:textId="77777777" w:rsidR="00A71EEF" w:rsidRDefault="00A71EEF">
      <w:pPr>
        <w:pStyle w:val="a3"/>
        <w:rPr>
          <w:sz w:val="18"/>
        </w:rPr>
      </w:pPr>
    </w:p>
    <w:p w14:paraId="05159474" w14:textId="77777777" w:rsidR="00A71EEF" w:rsidRDefault="0081115D">
      <w:pPr>
        <w:pStyle w:val="a4"/>
        <w:numPr>
          <w:ilvl w:val="3"/>
          <w:numId w:val="777"/>
        </w:numPr>
        <w:tabs>
          <w:tab w:val="left" w:pos="1576"/>
        </w:tabs>
        <w:rPr>
          <w:sz w:val="21"/>
        </w:rPr>
      </w:pPr>
      <w:r>
        <w:rPr>
          <w:spacing w:val="-3"/>
          <w:sz w:val="21"/>
        </w:rPr>
        <w:t>消防泵出水管路</w:t>
      </w:r>
      <w:r>
        <w:rPr>
          <w:sz w:val="21"/>
        </w:rPr>
        <w:t xml:space="preserve"> </w:t>
      </w:r>
    </w:p>
    <w:p w14:paraId="27ECC84F" w14:textId="77777777" w:rsidR="00A71EEF" w:rsidRDefault="00A71EEF">
      <w:pPr>
        <w:pStyle w:val="a3"/>
        <w:spacing w:before="12"/>
        <w:rPr>
          <w:sz w:val="17"/>
        </w:rPr>
      </w:pPr>
    </w:p>
    <w:p w14:paraId="41CD51F2" w14:textId="77777777" w:rsidR="00A71EEF" w:rsidRDefault="0081115D">
      <w:pPr>
        <w:pStyle w:val="a4"/>
        <w:numPr>
          <w:ilvl w:val="4"/>
          <w:numId w:val="777"/>
        </w:numPr>
        <w:tabs>
          <w:tab w:val="left" w:pos="1788"/>
        </w:tabs>
        <w:rPr>
          <w:sz w:val="21"/>
        </w:rPr>
      </w:pPr>
      <w:r>
        <w:rPr>
          <w:spacing w:val="-3"/>
          <w:sz w:val="21"/>
        </w:rPr>
        <w:t>出水管路的通径和数量应保证泡沫车在额定工况下的出水流量。</w:t>
      </w:r>
      <w:r>
        <w:rPr>
          <w:spacing w:val="-3"/>
          <w:sz w:val="21"/>
        </w:rPr>
        <w:t xml:space="preserve"> </w:t>
      </w:r>
    </w:p>
    <w:p w14:paraId="7CCD832F" w14:textId="77777777" w:rsidR="00A71EEF" w:rsidRDefault="00A71EEF">
      <w:pPr>
        <w:pStyle w:val="a3"/>
        <w:spacing w:before="2"/>
        <w:rPr>
          <w:sz w:val="18"/>
        </w:rPr>
      </w:pPr>
    </w:p>
    <w:p w14:paraId="732E8CD8" w14:textId="77777777" w:rsidR="00A71EEF" w:rsidRDefault="0081115D">
      <w:pPr>
        <w:pStyle w:val="a4"/>
        <w:numPr>
          <w:ilvl w:val="4"/>
          <w:numId w:val="777"/>
        </w:numPr>
        <w:tabs>
          <w:tab w:val="left" w:pos="1788"/>
        </w:tabs>
        <w:spacing w:line="446" w:lineRule="auto"/>
        <w:ind w:left="418" w:right="1817" w:firstLine="419"/>
        <w:rPr>
          <w:sz w:val="21"/>
        </w:rPr>
      </w:pPr>
      <w:r>
        <w:rPr>
          <w:spacing w:val="-7"/>
          <w:sz w:val="21"/>
        </w:rPr>
        <w:t>出水管路最低处应保证</w:t>
      </w:r>
      <w:r>
        <w:rPr>
          <w:spacing w:val="-7"/>
          <w:sz w:val="21"/>
        </w:rPr>
        <w:t xml:space="preserve"> </w:t>
      </w:r>
      <w:r>
        <w:rPr>
          <w:sz w:val="21"/>
        </w:rPr>
        <w:t>45s</w:t>
      </w:r>
      <w:r>
        <w:rPr>
          <w:spacing w:val="-8"/>
          <w:sz w:val="21"/>
        </w:rPr>
        <w:t xml:space="preserve"> </w:t>
      </w:r>
      <w:r>
        <w:rPr>
          <w:spacing w:val="-8"/>
          <w:sz w:val="21"/>
        </w:rPr>
        <w:t>内能够放尽出水管路内的余水，放余水应便于操</w:t>
      </w:r>
      <w:r>
        <w:rPr>
          <w:spacing w:val="-6"/>
          <w:sz w:val="21"/>
        </w:rPr>
        <w:t>作。</w:t>
      </w:r>
      <w:r>
        <w:rPr>
          <w:sz w:val="21"/>
        </w:rPr>
        <w:t xml:space="preserve"> </w:t>
      </w:r>
    </w:p>
    <w:p w14:paraId="5BDE3487" w14:textId="77777777" w:rsidR="00A71EEF" w:rsidRDefault="0081115D">
      <w:pPr>
        <w:pStyle w:val="a4"/>
        <w:numPr>
          <w:ilvl w:val="4"/>
          <w:numId w:val="777"/>
        </w:numPr>
        <w:tabs>
          <w:tab w:val="left" w:pos="1788"/>
        </w:tabs>
        <w:spacing w:line="446" w:lineRule="auto"/>
        <w:ind w:left="418" w:right="1505" w:firstLine="419"/>
        <w:rPr>
          <w:sz w:val="21"/>
        </w:rPr>
      </w:pPr>
      <w:r>
        <w:rPr>
          <w:spacing w:val="-7"/>
          <w:sz w:val="21"/>
        </w:rPr>
        <w:t>出水口中心离地高度大于</w:t>
      </w:r>
      <w:r>
        <w:rPr>
          <w:spacing w:val="-7"/>
          <w:sz w:val="21"/>
        </w:rPr>
        <w:t xml:space="preserve"> </w:t>
      </w:r>
      <w:r>
        <w:rPr>
          <w:sz w:val="21"/>
        </w:rPr>
        <w:t>1.2m</w:t>
      </w:r>
      <w:r>
        <w:rPr>
          <w:spacing w:val="-8"/>
          <w:sz w:val="21"/>
        </w:rPr>
        <w:t xml:space="preserve"> </w:t>
      </w:r>
      <w:r>
        <w:rPr>
          <w:spacing w:val="-8"/>
          <w:sz w:val="21"/>
        </w:rPr>
        <w:t>时，出水口应向下倾斜，且离操作踏板上平面的</w:t>
      </w:r>
      <w:r>
        <w:rPr>
          <w:spacing w:val="-12"/>
          <w:sz w:val="21"/>
        </w:rPr>
        <w:t>高度应不大于</w:t>
      </w:r>
      <w:r>
        <w:rPr>
          <w:spacing w:val="-12"/>
          <w:sz w:val="21"/>
        </w:rPr>
        <w:t xml:space="preserve"> </w:t>
      </w:r>
      <w:r>
        <w:rPr>
          <w:sz w:val="21"/>
        </w:rPr>
        <w:t xml:space="preserve">1.2 </w:t>
      </w:r>
      <w:r>
        <w:rPr>
          <w:spacing w:val="-3"/>
          <w:sz w:val="21"/>
        </w:rPr>
        <w:t>m</w:t>
      </w:r>
      <w:r>
        <w:rPr>
          <w:spacing w:val="-3"/>
          <w:sz w:val="21"/>
        </w:rPr>
        <w:t>。</w:t>
      </w:r>
      <w:r>
        <w:rPr>
          <w:sz w:val="21"/>
        </w:rPr>
        <w:t xml:space="preserve"> </w:t>
      </w:r>
    </w:p>
    <w:p w14:paraId="7691F4D5" w14:textId="77777777" w:rsidR="00A71EEF" w:rsidRDefault="0081115D">
      <w:pPr>
        <w:pStyle w:val="a4"/>
        <w:numPr>
          <w:ilvl w:val="4"/>
          <w:numId w:val="777"/>
        </w:numPr>
        <w:tabs>
          <w:tab w:val="left" w:pos="1788"/>
        </w:tabs>
        <w:rPr>
          <w:sz w:val="21"/>
        </w:rPr>
      </w:pPr>
      <w:r>
        <w:rPr>
          <w:spacing w:val="-3"/>
          <w:sz w:val="21"/>
        </w:rPr>
        <w:t>出水管路应安装可关闭出水管路和消防泵连接的止回阀。</w:t>
      </w:r>
      <w:r>
        <w:rPr>
          <w:sz w:val="21"/>
        </w:rPr>
        <w:t xml:space="preserve"> </w:t>
      </w:r>
    </w:p>
    <w:p w14:paraId="586A8EC1" w14:textId="77777777" w:rsidR="00A71EEF" w:rsidRDefault="00A71EEF">
      <w:pPr>
        <w:pStyle w:val="a3"/>
        <w:spacing w:before="10"/>
        <w:rPr>
          <w:sz w:val="17"/>
        </w:rPr>
      </w:pPr>
    </w:p>
    <w:p w14:paraId="0AF37A3A" w14:textId="77777777" w:rsidR="00A71EEF" w:rsidRDefault="0081115D">
      <w:pPr>
        <w:pStyle w:val="a4"/>
        <w:numPr>
          <w:ilvl w:val="4"/>
          <w:numId w:val="777"/>
        </w:numPr>
        <w:tabs>
          <w:tab w:val="left" w:pos="1788"/>
        </w:tabs>
        <w:rPr>
          <w:sz w:val="21"/>
        </w:rPr>
      </w:pPr>
      <w:r>
        <w:rPr>
          <w:spacing w:val="-3"/>
          <w:sz w:val="21"/>
        </w:rPr>
        <w:t>出水管路应经静水压密封试验，试验压力为出水管路承受的最大工作压力值的</w:t>
      </w:r>
    </w:p>
    <w:p w14:paraId="39A4BD11" w14:textId="77777777" w:rsidR="00A71EEF" w:rsidRDefault="00A71EEF">
      <w:pPr>
        <w:pStyle w:val="a3"/>
        <w:spacing w:before="2"/>
        <w:rPr>
          <w:sz w:val="18"/>
        </w:rPr>
      </w:pPr>
    </w:p>
    <w:p w14:paraId="7FF5FF47" w14:textId="77777777" w:rsidR="00A71EEF" w:rsidRDefault="0081115D">
      <w:pPr>
        <w:pStyle w:val="a3"/>
        <w:ind w:left="418"/>
      </w:pPr>
      <w:r>
        <w:t xml:space="preserve">1.1 </w:t>
      </w:r>
      <w:r>
        <w:t>倍。试验后，管路及各连接处不应出现渗漏。</w:t>
      </w:r>
      <w:r>
        <w:t xml:space="preserve"> </w:t>
      </w:r>
    </w:p>
    <w:p w14:paraId="1B4F3949" w14:textId="77777777" w:rsidR="00A71EEF" w:rsidRDefault="00A71EEF">
      <w:pPr>
        <w:pStyle w:val="a3"/>
        <w:rPr>
          <w:sz w:val="18"/>
        </w:rPr>
      </w:pPr>
    </w:p>
    <w:p w14:paraId="49556DFA" w14:textId="77777777" w:rsidR="00A71EEF" w:rsidRDefault="0081115D">
      <w:pPr>
        <w:pStyle w:val="a4"/>
        <w:numPr>
          <w:ilvl w:val="4"/>
          <w:numId w:val="777"/>
        </w:numPr>
        <w:tabs>
          <w:tab w:val="left" w:pos="1788"/>
        </w:tabs>
        <w:rPr>
          <w:sz w:val="21"/>
        </w:rPr>
      </w:pPr>
      <w:r>
        <w:rPr>
          <w:spacing w:val="-3"/>
          <w:sz w:val="21"/>
        </w:rPr>
        <w:t>出水管路应经静水压强度试验，试验压力为出水管路承受的最大工作压力值的</w:t>
      </w:r>
    </w:p>
    <w:p w14:paraId="6D68DC18" w14:textId="77777777" w:rsidR="00A71EEF" w:rsidRDefault="00A71EEF">
      <w:pPr>
        <w:pStyle w:val="a3"/>
        <w:spacing w:before="12"/>
        <w:rPr>
          <w:sz w:val="17"/>
        </w:rPr>
      </w:pPr>
    </w:p>
    <w:p w14:paraId="6AD08179" w14:textId="77777777" w:rsidR="00A71EEF" w:rsidRDefault="0081115D">
      <w:pPr>
        <w:pStyle w:val="a3"/>
        <w:ind w:left="418"/>
      </w:pPr>
      <w:r>
        <w:t xml:space="preserve">1.5 </w:t>
      </w:r>
      <w:r>
        <w:t>倍。试验后，不应出现明显变形和结构破坏。</w:t>
      </w:r>
      <w:r>
        <w:t xml:space="preserve"> </w:t>
      </w:r>
    </w:p>
    <w:p w14:paraId="5C03E96E" w14:textId="77777777" w:rsidR="00A71EEF" w:rsidRDefault="00A71EEF">
      <w:pPr>
        <w:pStyle w:val="a3"/>
        <w:spacing w:before="2"/>
        <w:rPr>
          <w:sz w:val="18"/>
        </w:rPr>
      </w:pPr>
    </w:p>
    <w:p w14:paraId="1D1EFF26" w14:textId="77777777" w:rsidR="00A71EEF" w:rsidRDefault="0081115D">
      <w:pPr>
        <w:pStyle w:val="a4"/>
        <w:numPr>
          <w:ilvl w:val="4"/>
          <w:numId w:val="777"/>
        </w:numPr>
        <w:tabs>
          <w:tab w:val="left" w:pos="1788"/>
        </w:tabs>
        <w:spacing w:line="446" w:lineRule="auto"/>
        <w:ind w:left="418" w:right="1450" w:firstLine="419"/>
        <w:rPr>
          <w:sz w:val="21"/>
        </w:rPr>
      </w:pPr>
      <w:r>
        <w:rPr>
          <w:spacing w:val="-5"/>
          <w:sz w:val="21"/>
        </w:rPr>
        <w:t>在出水管路最大工作压力下，手动启闭的出水阀开启和关闭力不应大于</w:t>
      </w:r>
      <w:r>
        <w:rPr>
          <w:spacing w:val="-5"/>
          <w:sz w:val="21"/>
        </w:rPr>
        <w:t xml:space="preserve"> </w:t>
      </w:r>
      <w:r>
        <w:rPr>
          <w:sz w:val="21"/>
        </w:rPr>
        <w:t>200N(</w:t>
      </w:r>
      <w:r>
        <w:rPr>
          <w:sz w:val="21"/>
        </w:rPr>
        <w:t>不</w:t>
      </w:r>
      <w:r>
        <w:rPr>
          <w:spacing w:val="-2"/>
          <w:sz w:val="21"/>
        </w:rPr>
        <w:t>使用辅助装置</w:t>
      </w:r>
      <w:r>
        <w:rPr>
          <w:spacing w:val="-3"/>
          <w:sz w:val="21"/>
        </w:rPr>
        <w:t>）。非手动启闭的出水阀按正常操作方法可开启和关闭。当出水管路中没有压力</w:t>
      </w:r>
      <w:r>
        <w:rPr>
          <w:spacing w:val="-3"/>
          <w:sz w:val="21"/>
        </w:rPr>
        <w:t xml:space="preserve"> </w:t>
      </w:r>
      <w:r>
        <w:rPr>
          <w:spacing w:val="-6"/>
          <w:sz w:val="21"/>
        </w:rPr>
        <w:t>时，手动启闭的出水阀开启和关闭力不应大于</w:t>
      </w:r>
      <w:r>
        <w:rPr>
          <w:spacing w:val="-6"/>
          <w:sz w:val="21"/>
        </w:rPr>
        <w:t xml:space="preserve"> </w:t>
      </w:r>
      <w:r>
        <w:rPr>
          <w:sz w:val="21"/>
        </w:rPr>
        <w:t>50N</w:t>
      </w:r>
      <w:r>
        <w:rPr>
          <w:sz w:val="21"/>
        </w:rPr>
        <w:t>。</w:t>
      </w:r>
      <w:r>
        <w:rPr>
          <w:sz w:val="21"/>
        </w:rPr>
        <w:t xml:space="preserve"> </w:t>
      </w:r>
    </w:p>
    <w:p w14:paraId="492F14A5" w14:textId="77777777" w:rsidR="00A71EEF" w:rsidRDefault="0081115D">
      <w:pPr>
        <w:pStyle w:val="a4"/>
        <w:numPr>
          <w:ilvl w:val="4"/>
          <w:numId w:val="777"/>
        </w:numPr>
        <w:tabs>
          <w:tab w:val="left" w:pos="1788"/>
        </w:tabs>
        <w:spacing w:line="446" w:lineRule="auto"/>
        <w:ind w:left="418" w:right="1609" w:firstLine="419"/>
        <w:rPr>
          <w:sz w:val="21"/>
        </w:rPr>
      </w:pPr>
      <w:r>
        <w:rPr>
          <w:spacing w:val="-3"/>
          <w:sz w:val="21"/>
        </w:rPr>
        <w:t>出水阀应有指示启闭方向的指示标牌，在出水阀操作</w:t>
      </w:r>
      <w:r>
        <w:rPr>
          <w:spacing w:val="-3"/>
          <w:sz w:val="21"/>
        </w:rPr>
        <w:t>位置可见处应有</w:t>
      </w:r>
      <w:r>
        <w:rPr>
          <w:spacing w:val="-3"/>
          <w:sz w:val="21"/>
        </w:rPr>
        <w:t>“</w:t>
      </w:r>
      <w:r>
        <w:rPr>
          <w:spacing w:val="-3"/>
          <w:sz w:val="21"/>
        </w:rPr>
        <w:t>缓慢打</w:t>
      </w:r>
      <w:r>
        <w:rPr>
          <w:spacing w:val="-5"/>
          <w:sz w:val="21"/>
        </w:rPr>
        <w:t>开出水阀</w:t>
      </w:r>
      <w:r>
        <w:rPr>
          <w:spacing w:val="-5"/>
          <w:sz w:val="21"/>
        </w:rPr>
        <w:t>”</w:t>
      </w:r>
      <w:r>
        <w:rPr>
          <w:spacing w:val="-5"/>
          <w:sz w:val="21"/>
        </w:rPr>
        <w:t>的警示标牌，出水阀结构上应保证从开启至最大开度的时间应大于</w:t>
      </w:r>
      <w:r>
        <w:rPr>
          <w:spacing w:val="-5"/>
          <w:sz w:val="21"/>
        </w:rPr>
        <w:t xml:space="preserve"> </w:t>
      </w:r>
      <w:r>
        <w:rPr>
          <w:sz w:val="21"/>
        </w:rPr>
        <w:t>5s</w:t>
      </w:r>
      <w:r>
        <w:rPr>
          <w:spacing w:val="-3"/>
          <w:sz w:val="21"/>
        </w:rPr>
        <w:t>。</w:t>
      </w:r>
      <w:r>
        <w:rPr>
          <w:sz w:val="21"/>
        </w:rPr>
        <w:t xml:space="preserve"> </w:t>
      </w:r>
    </w:p>
    <w:p w14:paraId="2E37CE7E" w14:textId="77777777" w:rsidR="00A71EEF" w:rsidRDefault="0081115D">
      <w:pPr>
        <w:pStyle w:val="a4"/>
        <w:numPr>
          <w:ilvl w:val="3"/>
          <w:numId w:val="777"/>
        </w:numPr>
        <w:tabs>
          <w:tab w:val="left" w:pos="1576"/>
        </w:tabs>
        <w:spacing w:line="267" w:lineRule="exact"/>
        <w:rPr>
          <w:sz w:val="21"/>
        </w:rPr>
      </w:pPr>
      <w:r>
        <w:rPr>
          <w:spacing w:val="-3"/>
          <w:sz w:val="21"/>
        </w:rPr>
        <w:t>水罐至消防泵的输水管路</w:t>
      </w:r>
      <w:r>
        <w:rPr>
          <w:sz w:val="21"/>
        </w:rPr>
        <w:t xml:space="preserve"> </w:t>
      </w:r>
    </w:p>
    <w:p w14:paraId="2DF9755E" w14:textId="77777777" w:rsidR="00A71EEF" w:rsidRDefault="00A71EEF">
      <w:pPr>
        <w:pStyle w:val="a3"/>
        <w:spacing w:before="1"/>
        <w:rPr>
          <w:sz w:val="18"/>
        </w:rPr>
      </w:pPr>
    </w:p>
    <w:p w14:paraId="56185676" w14:textId="77777777" w:rsidR="00A71EEF" w:rsidRDefault="0081115D">
      <w:pPr>
        <w:pStyle w:val="a4"/>
        <w:numPr>
          <w:ilvl w:val="4"/>
          <w:numId w:val="777"/>
        </w:numPr>
        <w:tabs>
          <w:tab w:val="left" w:pos="1788"/>
        </w:tabs>
        <w:rPr>
          <w:sz w:val="21"/>
        </w:rPr>
      </w:pPr>
      <w:r>
        <w:rPr>
          <w:spacing w:val="-5"/>
          <w:sz w:val="21"/>
        </w:rPr>
        <w:t>水罐至消防泵的输水管路上应设置阀门且操作方便，泡沫车额定流量大于</w:t>
      </w:r>
      <w:r>
        <w:rPr>
          <w:spacing w:val="-5"/>
          <w:sz w:val="21"/>
        </w:rPr>
        <w:t xml:space="preserve"> </w:t>
      </w:r>
      <w:r>
        <w:rPr>
          <w:sz w:val="21"/>
        </w:rPr>
        <w:t>60L/s</w:t>
      </w:r>
    </w:p>
    <w:p w14:paraId="7EB9D95C" w14:textId="77777777" w:rsidR="00A71EEF" w:rsidRDefault="00A71EEF">
      <w:pPr>
        <w:pStyle w:val="a3"/>
        <w:rPr>
          <w:sz w:val="18"/>
        </w:rPr>
      </w:pPr>
    </w:p>
    <w:p w14:paraId="3AD49F39" w14:textId="77777777" w:rsidR="00A71EEF" w:rsidRDefault="0081115D">
      <w:pPr>
        <w:pStyle w:val="a3"/>
        <w:ind w:left="418"/>
      </w:pPr>
      <w:r>
        <w:t>时不应采用手动开启。</w:t>
      </w:r>
      <w:r>
        <w:t xml:space="preserve"> </w:t>
      </w:r>
    </w:p>
    <w:p w14:paraId="09ED30D7" w14:textId="77777777" w:rsidR="00A71EEF" w:rsidRDefault="00A71EEF">
      <w:pPr>
        <w:pStyle w:val="a3"/>
        <w:spacing w:before="12"/>
        <w:rPr>
          <w:sz w:val="17"/>
        </w:rPr>
      </w:pPr>
    </w:p>
    <w:p w14:paraId="6B77677E" w14:textId="77777777" w:rsidR="00A71EEF" w:rsidRDefault="0081115D">
      <w:pPr>
        <w:pStyle w:val="a4"/>
        <w:numPr>
          <w:ilvl w:val="4"/>
          <w:numId w:val="777"/>
        </w:numPr>
        <w:tabs>
          <w:tab w:val="left" w:pos="1788"/>
        </w:tabs>
        <w:spacing w:line="446" w:lineRule="auto"/>
        <w:ind w:left="418" w:right="1609" w:firstLine="419"/>
        <w:rPr>
          <w:sz w:val="21"/>
        </w:rPr>
      </w:pPr>
      <w:r>
        <w:rPr>
          <w:spacing w:val="-3"/>
          <w:sz w:val="21"/>
        </w:rPr>
        <w:t>当水罐内输水管路的进口设置在排污孔邻近部位时，应保证污物不进入消防泵内。</w:t>
      </w:r>
      <w:r>
        <w:rPr>
          <w:sz w:val="21"/>
        </w:rPr>
        <w:t xml:space="preserve"> </w:t>
      </w:r>
    </w:p>
    <w:p w14:paraId="5ECA403D" w14:textId="77777777" w:rsidR="00A71EEF" w:rsidRDefault="00A71EEF">
      <w:pPr>
        <w:spacing w:line="446" w:lineRule="auto"/>
        <w:rPr>
          <w:sz w:val="21"/>
        </w:rPr>
        <w:sectPr w:rsidR="00A71EEF">
          <w:pgSz w:w="11910" w:h="16850"/>
          <w:pgMar w:top="1220" w:right="0" w:bottom="1420" w:left="1260" w:header="0" w:footer="1239" w:gutter="0"/>
          <w:cols w:space="720"/>
        </w:sectPr>
      </w:pPr>
    </w:p>
    <w:p w14:paraId="100F3A8E" w14:textId="77777777" w:rsidR="00A71EEF" w:rsidRDefault="0081115D">
      <w:pPr>
        <w:pStyle w:val="a4"/>
        <w:numPr>
          <w:ilvl w:val="4"/>
          <w:numId w:val="777"/>
        </w:numPr>
        <w:tabs>
          <w:tab w:val="left" w:pos="1788"/>
        </w:tabs>
        <w:spacing w:before="47"/>
        <w:rPr>
          <w:sz w:val="21"/>
        </w:rPr>
      </w:pPr>
      <w:r>
        <w:rPr>
          <w:spacing w:val="-3"/>
          <w:sz w:val="21"/>
        </w:rPr>
        <w:lastRenderedPageBreak/>
        <w:t>输水管路进口应设置滤网，并应满足泡沫车额定工况要求。</w:t>
      </w:r>
      <w:r>
        <w:rPr>
          <w:sz w:val="21"/>
        </w:rPr>
        <w:t xml:space="preserve"> </w:t>
      </w:r>
    </w:p>
    <w:p w14:paraId="33461D9F" w14:textId="77777777" w:rsidR="00A71EEF" w:rsidRDefault="00A71EEF">
      <w:pPr>
        <w:pStyle w:val="a3"/>
        <w:rPr>
          <w:sz w:val="18"/>
        </w:rPr>
      </w:pPr>
    </w:p>
    <w:p w14:paraId="23EB33E8" w14:textId="77777777" w:rsidR="00A71EEF" w:rsidRDefault="0081115D">
      <w:pPr>
        <w:pStyle w:val="a4"/>
        <w:numPr>
          <w:ilvl w:val="4"/>
          <w:numId w:val="777"/>
        </w:numPr>
        <w:tabs>
          <w:tab w:val="left" w:pos="1788"/>
        </w:tabs>
        <w:spacing w:line="446" w:lineRule="auto"/>
        <w:ind w:left="418" w:right="1505" w:firstLine="419"/>
        <w:jc w:val="both"/>
        <w:rPr>
          <w:sz w:val="21"/>
        </w:rPr>
      </w:pPr>
      <w:r>
        <w:rPr>
          <w:spacing w:val="-8"/>
          <w:sz w:val="21"/>
        </w:rPr>
        <w:t>额定流量不大于</w:t>
      </w:r>
      <w:r>
        <w:rPr>
          <w:spacing w:val="-8"/>
          <w:sz w:val="21"/>
        </w:rPr>
        <w:t xml:space="preserve"> </w:t>
      </w:r>
      <w:r>
        <w:rPr>
          <w:sz w:val="21"/>
        </w:rPr>
        <w:t>100L/s</w:t>
      </w:r>
      <w:r>
        <w:rPr>
          <w:spacing w:val="-8"/>
          <w:sz w:val="21"/>
        </w:rPr>
        <w:t xml:space="preserve"> </w:t>
      </w:r>
      <w:r>
        <w:rPr>
          <w:spacing w:val="-8"/>
          <w:sz w:val="21"/>
        </w:rPr>
        <w:t>的泡沫车，水罐至消防泵的输水管路应能保证抽取罐容</w:t>
      </w:r>
      <w:r>
        <w:rPr>
          <w:spacing w:val="-26"/>
          <w:sz w:val="21"/>
        </w:rPr>
        <w:t>量</w:t>
      </w:r>
      <w:r>
        <w:rPr>
          <w:spacing w:val="-26"/>
          <w:sz w:val="21"/>
        </w:rPr>
        <w:t xml:space="preserve"> </w:t>
      </w:r>
      <w:r>
        <w:rPr>
          <w:sz w:val="21"/>
        </w:rPr>
        <w:t>90</w:t>
      </w:r>
      <w:r>
        <w:rPr>
          <w:spacing w:val="-6"/>
          <w:sz w:val="21"/>
        </w:rPr>
        <w:t>%</w:t>
      </w:r>
      <w:r>
        <w:rPr>
          <w:spacing w:val="-6"/>
          <w:sz w:val="21"/>
        </w:rPr>
        <w:t>以上的水，额定流量大于</w:t>
      </w:r>
      <w:r>
        <w:rPr>
          <w:spacing w:val="-6"/>
          <w:sz w:val="21"/>
        </w:rPr>
        <w:t xml:space="preserve"> </w:t>
      </w:r>
      <w:r>
        <w:rPr>
          <w:sz w:val="21"/>
        </w:rPr>
        <w:t>100L/s</w:t>
      </w:r>
      <w:r>
        <w:rPr>
          <w:spacing w:val="-8"/>
          <w:sz w:val="21"/>
        </w:rPr>
        <w:t xml:space="preserve"> </w:t>
      </w:r>
      <w:r>
        <w:rPr>
          <w:spacing w:val="-8"/>
          <w:sz w:val="21"/>
        </w:rPr>
        <w:t>的泡沫车，水罐至消防泵的输水管路应能保证抽取罐容</w:t>
      </w:r>
      <w:r>
        <w:rPr>
          <w:spacing w:val="-31"/>
          <w:sz w:val="21"/>
        </w:rPr>
        <w:t>量</w:t>
      </w:r>
      <w:r>
        <w:rPr>
          <w:spacing w:val="-31"/>
          <w:sz w:val="21"/>
        </w:rPr>
        <w:t xml:space="preserve"> </w:t>
      </w:r>
      <w:r>
        <w:rPr>
          <w:sz w:val="21"/>
        </w:rPr>
        <w:t>85</w:t>
      </w:r>
      <w:r>
        <w:rPr>
          <w:spacing w:val="-3"/>
          <w:sz w:val="21"/>
        </w:rPr>
        <w:t>%</w:t>
      </w:r>
      <w:r>
        <w:rPr>
          <w:spacing w:val="-3"/>
          <w:sz w:val="21"/>
        </w:rPr>
        <w:t>以上的水。</w:t>
      </w:r>
      <w:r>
        <w:rPr>
          <w:sz w:val="21"/>
        </w:rPr>
        <w:t xml:space="preserve"> </w:t>
      </w:r>
    </w:p>
    <w:p w14:paraId="11330847" w14:textId="77777777" w:rsidR="00A71EEF" w:rsidRDefault="0081115D">
      <w:pPr>
        <w:pStyle w:val="a4"/>
        <w:numPr>
          <w:ilvl w:val="3"/>
          <w:numId w:val="777"/>
        </w:numPr>
        <w:tabs>
          <w:tab w:val="left" w:pos="1576"/>
        </w:tabs>
        <w:spacing w:line="268" w:lineRule="exact"/>
        <w:rPr>
          <w:sz w:val="21"/>
        </w:rPr>
      </w:pPr>
      <w:r>
        <w:rPr>
          <w:spacing w:val="-3"/>
          <w:sz w:val="21"/>
        </w:rPr>
        <w:t>泡沫罐至泡沫比例混合器的输液管路</w:t>
      </w:r>
      <w:r>
        <w:rPr>
          <w:sz w:val="21"/>
        </w:rPr>
        <w:t xml:space="preserve"> </w:t>
      </w:r>
    </w:p>
    <w:p w14:paraId="6DD139B9" w14:textId="77777777" w:rsidR="00A71EEF" w:rsidRDefault="00A71EEF">
      <w:pPr>
        <w:pStyle w:val="a3"/>
        <w:rPr>
          <w:sz w:val="18"/>
        </w:rPr>
      </w:pPr>
    </w:p>
    <w:p w14:paraId="0EA05550" w14:textId="77777777" w:rsidR="00A71EEF" w:rsidRDefault="0081115D">
      <w:pPr>
        <w:pStyle w:val="a4"/>
        <w:numPr>
          <w:ilvl w:val="4"/>
          <w:numId w:val="777"/>
        </w:numPr>
        <w:tabs>
          <w:tab w:val="left" w:pos="1788"/>
        </w:tabs>
        <w:spacing w:line="446" w:lineRule="auto"/>
        <w:ind w:left="418" w:right="1452" w:firstLine="419"/>
        <w:rPr>
          <w:sz w:val="21"/>
        </w:rPr>
      </w:pPr>
      <w:r>
        <w:rPr>
          <w:spacing w:val="-5"/>
          <w:sz w:val="21"/>
        </w:rPr>
        <w:t>泡沫罐至泡沫液泵或泡沫比例混合器的输液管路应能抽取罐容量</w:t>
      </w:r>
      <w:r>
        <w:rPr>
          <w:spacing w:val="-5"/>
          <w:sz w:val="21"/>
        </w:rPr>
        <w:t xml:space="preserve"> </w:t>
      </w:r>
      <w:r>
        <w:rPr>
          <w:sz w:val="21"/>
        </w:rPr>
        <w:t>95%</w:t>
      </w:r>
      <w:r>
        <w:rPr>
          <w:spacing w:val="-3"/>
          <w:sz w:val="21"/>
        </w:rPr>
        <w:t>以上的泡沫液。</w:t>
      </w:r>
      <w:r>
        <w:rPr>
          <w:sz w:val="21"/>
        </w:rPr>
        <w:t xml:space="preserve"> </w:t>
      </w:r>
    </w:p>
    <w:p w14:paraId="37F58F24" w14:textId="77777777" w:rsidR="00A71EEF" w:rsidRDefault="0081115D">
      <w:pPr>
        <w:pStyle w:val="a4"/>
        <w:numPr>
          <w:ilvl w:val="4"/>
          <w:numId w:val="777"/>
        </w:numPr>
        <w:tabs>
          <w:tab w:val="left" w:pos="1788"/>
        </w:tabs>
        <w:rPr>
          <w:sz w:val="21"/>
        </w:rPr>
      </w:pPr>
      <w:r>
        <w:rPr>
          <w:spacing w:val="-3"/>
          <w:sz w:val="21"/>
        </w:rPr>
        <w:t>泡沫罐输液管路通径应满足泡沫比例混合器的最大流量要求，并在大气压力为</w:t>
      </w:r>
    </w:p>
    <w:p w14:paraId="628130F1" w14:textId="77777777" w:rsidR="00A71EEF" w:rsidRDefault="00A71EEF">
      <w:pPr>
        <w:pStyle w:val="a3"/>
        <w:rPr>
          <w:sz w:val="18"/>
        </w:rPr>
      </w:pPr>
    </w:p>
    <w:p w14:paraId="113F77BA" w14:textId="77777777" w:rsidR="00A71EEF" w:rsidRDefault="0081115D">
      <w:pPr>
        <w:pStyle w:val="a3"/>
        <w:spacing w:line="446" w:lineRule="auto"/>
        <w:ind w:left="418" w:right="1611"/>
      </w:pPr>
      <w:r>
        <w:t>101kPa</w:t>
      </w:r>
      <w:r>
        <w:rPr>
          <w:spacing w:val="-15"/>
        </w:rPr>
        <w:t xml:space="preserve"> </w:t>
      </w:r>
      <w:r>
        <w:rPr>
          <w:spacing w:val="-15"/>
        </w:rPr>
        <w:t>下，</w:t>
      </w:r>
      <w:r>
        <w:rPr>
          <w:spacing w:val="-15"/>
        </w:rPr>
        <w:t xml:space="preserve"> </w:t>
      </w:r>
      <w:r>
        <w:rPr>
          <w:spacing w:val="-15"/>
        </w:rPr>
        <w:t>承受</w:t>
      </w:r>
      <w:r>
        <w:rPr>
          <w:spacing w:val="-15"/>
        </w:rPr>
        <w:t xml:space="preserve"> </w:t>
      </w:r>
      <w:r>
        <w:t>85kPa</w:t>
      </w:r>
      <w:r>
        <w:rPr>
          <w:spacing w:val="-21"/>
        </w:rPr>
        <w:t xml:space="preserve"> </w:t>
      </w:r>
      <w:r>
        <w:rPr>
          <w:spacing w:val="-21"/>
        </w:rPr>
        <w:t>真空度</w:t>
      </w:r>
      <w:r>
        <w:rPr>
          <w:spacing w:val="-21"/>
        </w:rPr>
        <w:t xml:space="preserve"> </w:t>
      </w:r>
      <w:r>
        <w:t>5min</w:t>
      </w:r>
      <w:r>
        <w:rPr>
          <w:spacing w:val="-3"/>
        </w:rPr>
        <w:t>，不应有渗漏和肉眼可见的变形。泡沫液输液管路进口应装有滤网。</w:t>
      </w:r>
      <w:r>
        <w:t xml:space="preserve"> </w:t>
      </w:r>
    </w:p>
    <w:p w14:paraId="4AE0DCCE" w14:textId="77777777" w:rsidR="00A71EEF" w:rsidRDefault="0081115D">
      <w:pPr>
        <w:pStyle w:val="a4"/>
        <w:numPr>
          <w:ilvl w:val="2"/>
          <w:numId w:val="776"/>
        </w:numPr>
        <w:tabs>
          <w:tab w:val="left" w:pos="1370"/>
        </w:tabs>
        <w:ind w:hanging="530"/>
        <w:rPr>
          <w:sz w:val="21"/>
        </w:rPr>
      </w:pPr>
      <w:r>
        <w:rPr>
          <w:spacing w:val="-3"/>
          <w:sz w:val="21"/>
        </w:rPr>
        <w:t>水罐和泡沫液罐</w:t>
      </w:r>
      <w:r>
        <w:rPr>
          <w:sz w:val="21"/>
        </w:rPr>
        <w:t xml:space="preserve"> </w:t>
      </w:r>
    </w:p>
    <w:p w14:paraId="2F83BA8E" w14:textId="77777777" w:rsidR="00A71EEF" w:rsidRDefault="00A71EEF">
      <w:pPr>
        <w:pStyle w:val="a3"/>
        <w:spacing w:before="12"/>
        <w:rPr>
          <w:sz w:val="17"/>
        </w:rPr>
      </w:pPr>
    </w:p>
    <w:p w14:paraId="6B98ACC1" w14:textId="77777777" w:rsidR="00A71EEF" w:rsidRDefault="0081115D">
      <w:pPr>
        <w:pStyle w:val="a4"/>
        <w:numPr>
          <w:ilvl w:val="3"/>
          <w:numId w:val="776"/>
        </w:numPr>
        <w:tabs>
          <w:tab w:val="left" w:pos="1576"/>
        </w:tabs>
        <w:rPr>
          <w:sz w:val="21"/>
        </w:rPr>
      </w:pPr>
      <w:r>
        <w:rPr>
          <w:spacing w:val="-3"/>
          <w:sz w:val="21"/>
        </w:rPr>
        <w:t>罐体要求</w:t>
      </w:r>
      <w:r>
        <w:rPr>
          <w:sz w:val="21"/>
        </w:rPr>
        <w:t xml:space="preserve"> </w:t>
      </w:r>
    </w:p>
    <w:p w14:paraId="5B2859C7" w14:textId="77777777" w:rsidR="00A71EEF" w:rsidRDefault="00A71EEF">
      <w:pPr>
        <w:pStyle w:val="a3"/>
        <w:spacing w:before="2"/>
        <w:rPr>
          <w:sz w:val="18"/>
        </w:rPr>
      </w:pPr>
    </w:p>
    <w:p w14:paraId="36091643" w14:textId="77777777" w:rsidR="00A71EEF" w:rsidRDefault="0081115D">
      <w:pPr>
        <w:pStyle w:val="a4"/>
        <w:numPr>
          <w:ilvl w:val="4"/>
          <w:numId w:val="776"/>
        </w:numPr>
        <w:tabs>
          <w:tab w:val="left" w:pos="1788"/>
        </w:tabs>
        <w:spacing w:line="446" w:lineRule="auto"/>
        <w:ind w:right="1455" w:firstLine="419"/>
        <w:rPr>
          <w:sz w:val="21"/>
        </w:rPr>
      </w:pPr>
      <w:r>
        <w:rPr>
          <w:spacing w:val="-7"/>
          <w:sz w:val="21"/>
        </w:rPr>
        <w:t>泡沫车罐容积大于或等于</w:t>
      </w:r>
      <w:r>
        <w:rPr>
          <w:spacing w:val="-7"/>
          <w:sz w:val="21"/>
        </w:rPr>
        <w:t xml:space="preserve"> </w:t>
      </w:r>
      <w:r>
        <w:rPr>
          <w:sz w:val="21"/>
        </w:rPr>
        <w:t>12m³</w:t>
      </w:r>
      <w:r>
        <w:rPr>
          <w:spacing w:val="-7"/>
          <w:sz w:val="21"/>
        </w:rPr>
        <w:t>时，容积误差不应超过土</w:t>
      </w:r>
      <w:r>
        <w:rPr>
          <w:spacing w:val="-7"/>
          <w:sz w:val="21"/>
        </w:rPr>
        <w:t xml:space="preserve"> </w:t>
      </w:r>
      <w:r>
        <w:rPr>
          <w:sz w:val="21"/>
        </w:rPr>
        <w:t>2</w:t>
      </w:r>
      <w:r>
        <w:rPr>
          <w:spacing w:val="-9"/>
          <w:sz w:val="21"/>
        </w:rPr>
        <w:t>%</w:t>
      </w:r>
      <w:r>
        <w:rPr>
          <w:spacing w:val="-9"/>
          <w:sz w:val="21"/>
        </w:rPr>
        <w:t>；容积小于</w:t>
      </w:r>
      <w:r>
        <w:rPr>
          <w:spacing w:val="-9"/>
          <w:sz w:val="21"/>
        </w:rPr>
        <w:t xml:space="preserve"> </w:t>
      </w:r>
      <w:r>
        <w:rPr>
          <w:sz w:val="21"/>
        </w:rPr>
        <w:t>12m³</w:t>
      </w:r>
      <w:r>
        <w:rPr>
          <w:sz w:val="21"/>
        </w:rPr>
        <w:t>且不</w:t>
      </w:r>
      <w:r>
        <w:rPr>
          <w:spacing w:val="-17"/>
          <w:sz w:val="21"/>
        </w:rPr>
        <w:t>小于</w:t>
      </w:r>
      <w:r>
        <w:rPr>
          <w:spacing w:val="-17"/>
          <w:sz w:val="21"/>
        </w:rPr>
        <w:t xml:space="preserve"> </w:t>
      </w:r>
      <w:r>
        <w:rPr>
          <w:sz w:val="21"/>
        </w:rPr>
        <w:t>1m³</w:t>
      </w:r>
      <w:r>
        <w:rPr>
          <w:spacing w:val="-12"/>
          <w:sz w:val="21"/>
        </w:rPr>
        <w:t>时，每减少</w:t>
      </w:r>
      <w:r>
        <w:rPr>
          <w:spacing w:val="-12"/>
          <w:sz w:val="21"/>
        </w:rPr>
        <w:t xml:space="preserve"> </w:t>
      </w:r>
      <w:r>
        <w:rPr>
          <w:sz w:val="21"/>
        </w:rPr>
        <w:t>1m³</w:t>
      </w:r>
      <w:r>
        <w:rPr>
          <w:spacing w:val="-8"/>
          <w:sz w:val="21"/>
        </w:rPr>
        <w:t>，其误差绝对值增加</w:t>
      </w:r>
      <w:r>
        <w:rPr>
          <w:spacing w:val="-8"/>
          <w:sz w:val="21"/>
        </w:rPr>
        <w:t xml:space="preserve"> </w:t>
      </w:r>
      <w:r>
        <w:rPr>
          <w:sz w:val="21"/>
        </w:rPr>
        <w:t>0.1</w:t>
      </w:r>
      <w:r>
        <w:rPr>
          <w:spacing w:val="-8"/>
          <w:sz w:val="21"/>
        </w:rPr>
        <w:t>%</w:t>
      </w:r>
      <w:r>
        <w:rPr>
          <w:spacing w:val="-8"/>
          <w:sz w:val="21"/>
        </w:rPr>
        <w:t>；容积小于</w:t>
      </w:r>
      <w:r>
        <w:rPr>
          <w:spacing w:val="-8"/>
          <w:sz w:val="21"/>
        </w:rPr>
        <w:t xml:space="preserve"> </w:t>
      </w:r>
      <w:r>
        <w:rPr>
          <w:sz w:val="21"/>
        </w:rPr>
        <w:t>1m³</w:t>
      </w:r>
      <w:r>
        <w:rPr>
          <w:spacing w:val="-8"/>
          <w:sz w:val="21"/>
        </w:rPr>
        <w:t>时，容积误差不应超过</w:t>
      </w:r>
      <w:r>
        <w:rPr>
          <w:spacing w:val="-8"/>
          <w:sz w:val="21"/>
        </w:rPr>
        <w:t xml:space="preserve"> </w:t>
      </w:r>
      <w:r>
        <w:rPr>
          <w:sz w:val="21"/>
        </w:rPr>
        <w:t>10</w:t>
      </w:r>
      <w:r>
        <w:rPr>
          <w:spacing w:val="-2"/>
          <w:sz w:val="21"/>
        </w:rPr>
        <w:t>%</w:t>
      </w:r>
      <w:r>
        <w:rPr>
          <w:spacing w:val="-2"/>
          <w:sz w:val="21"/>
        </w:rPr>
        <w:t>。</w:t>
      </w:r>
      <w:r>
        <w:rPr>
          <w:sz w:val="21"/>
        </w:rPr>
        <w:t xml:space="preserve"> </w:t>
      </w:r>
    </w:p>
    <w:p w14:paraId="15A7E28E" w14:textId="77777777" w:rsidR="00A71EEF" w:rsidRDefault="0081115D">
      <w:pPr>
        <w:pStyle w:val="a4"/>
        <w:numPr>
          <w:ilvl w:val="4"/>
          <w:numId w:val="776"/>
        </w:numPr>
        <w:tabs>
          <w:tab w:val="left" w:pos="1788"/>
        </w:tabs>
        <w:spacing w:line="267" w:lineRule="exact"/>
        <w:ind w:left="1787"/>
        <w:rPr>
          <w:sz w:val="21"/>
        </w:rPr>
      </w:pPr>
      <w:r>
        <w:rPr>
          <w:spacing w:val="-3"/>
          <w:sz w:val="21"/>
        </w:rPr>
        <w:t>罐体和阀门应采用防腐材料或经过防腐处理。</w:t>
      </w:r>
      <w:r>
        <w:rPr>
          <w:sz w:val="21"/>
        </w:rPr>
        <w:t xml:space="preserve"> </w:t>
      </w:r>
    </w:p>
    <w:p w14:paraId="64AB2FBC" w14:textId="77777777" w:rsidR="00A71EEF" w:rsidRDefault="00A71EEF">
      <w:pPr>
        <w:pStyle w:val="a3"/>
        <w:spacing w:before="2"/>
        <w:rPr>
          <w:sz w:val="18"/>
        </w:rPr>
      </w:pPr>
    </w:p>
    <w:p w14:paraId="16532A72" w14:textId="77777777" w:rsidR="00A71EEF" w:rsidRDefault="0081115D">
      <w:pPr>
        <w:pStyle w:val="a4"/>
        <w:numPr>
          <w:ilvl w:val="4"/>
          <w:numId w:val="776"/>
        </w:numPr>
        <w:tabs>
          <w:tab w:val="left" w:pos="1788"/>
        </w:tabs>
        <w:spacing w:line="446" w:lineRule="auto"/>
        <w:ind w:right="1508" w:firstLine="419"/>
        <w:rPr>
          <w:sz w:val="21"/>
        </w:rPr>
      </w:pPr>
      <w:r>
        <w:rPr>
          <w:spacing w:val="-10"/>
          <w:sz w:val="21"/>
        </w:rPr>
        <w:t>罐容积超过</w:t>
      </w:r>
      <w:r>
        <w:rPr>
          <w:spacing w:val="-10"/>
          <w:sz w:val="21"/>
        </w:rPr>
        <w:t xml:space="preserve"> </w:t>
      </w:r>
      <w:r>
        <w:rPr>
          <w:sz w:val="21"/>
        </w:rPr>
        <w:t>2m³</w:t>
      </w:r>
      <w:r>
        <w:rPr>
          <w:sz w:val="21"/>
        </w:rPr>
        <w:t>，</w:t>
      </w:r>
      <w:r>
        <w:rPr>
          <w:spacing w:val="-7"/>
          <w:sz w:val="21"/>
        </w:rPr>
        <w:t>罐内应设防荡板，罐容积超过</w:t>
      </w:r>
      <w:r>
        <w:rPr>
          <w:spacing w:val="-7"/>
          <w:sz w:val="21"/>
        </w:rPr>
        <w:t xml:space="preserve"> </w:t>
      </w:r>
      <w:r>
        <w:rPr>
          <w:sz w:val="21"/>
        </w:rPr>
        <w:t>3m³</w:t>
      </w:r>
      <w:r>
        <w:rPr>
          <w:spacing w:val="-3"/>
          <w:sz w:val="21"/>
        </w:rPr>
        <w:t>，罐内应设纵向防荡板，防</w:t>
      </w:r>
      <w:r>
        <w:rPr>
          <w:spacing w:val="-7"/>
          <w:sz w:val="21"/>
        </w:rPr>
        <w:t>荡板隔出的单腔容积不应大于</w:t>
      </w:r>
      <w:r>
        <w:rPr>
          <w:spacing w:val="-7"/>
          <w:sz w:val="21"/>
        </w:rPr>
        <w:t xml:space="preserve"> </w:t>
      </w:r>
      <w:r>
        <w:rPr>
          <w:sz w:val="21"/>
        </w:rPr>
        <w:t>2m³</w:t>
      </w:r>
      <w:r>
        <w:rPr>
          <w:spacing w:val="-3"/>
          <w:sz w:val="21"/>
        </w:rPr>
        <w:t>。</w:t>
      </w:r>
      <w:r>
        <w:rPr>
          <w:sz w:val="21"/>
        </w:rPr>
        <w:t xml:space="preserve"> </w:t>
      </w:r>
    </w:p>
    <w:p w14:paraId="0F902784" w14:textId="77777777" w:rsidR="00A71EEF" w:rsidRDefault="0081115D">
      <w:pPr>
        <w:pStyle w:val="a4"/>
        <w:numPr>
          <w:ilvl w:val="4"/>
          <w:numId w:val="776"/>
        </w:numPr>
        <w:tabs>
          <w:tab w:val="left" w:pos="1788"/>
        </w:tabs>
        <w:spacing w:line="267" w:lineRule="exact"/>
        <w:ind w:left="1787"/>
        <w:rPr>
          <w:sz w:val="21"/>
        </w:rPr>
      </w:pPr>
      <w:r>
        <w:rPr>
          <w:spacing w:val="-13"/>
          <w:sz w:val="21"/>
        </w:rPr>
        <w:t>容积大于</w:t>
      </w:r>
      <w:r>
        <w:rPr>
          <w:spacing w:val="-13"/>
          <w:sz w:val="21"/>
        </w:rPr>
        <w:t xml:space="preserve"> </w:t>
      </w:r>
      <w:r>
        <w:rPr>
          <w:sz w:val="21"/>
        </w:rPr>
        <w:t>1m³</w:t>
      </w:r>
      <w:r>
        <w:rPr>
          <w:spacing w:val="-3"/>
          <w:sz w:val="21"/>
        </w:rPr>
        <w:t>的罐顶部应设置可供人员进出的人孔及人孔盖</w:t>
      </w:r>
      <w:r>
        <w:rPr>
          <w:spacing w:val="-3"/>
          <w:sz w:val="21"/>
        </w:rPr>
        <w:t>，人孔直径不小于</w:t>
      </w:r>
    </w:p>
    <w:p w14:paraId="2848AD19" w14:textId="77777777" w:rsidR="00A71EEF" w:rsidRDefault="00A71EEF">
      <w:pPr>
        <w:pStyle w:val="a3"/>
        <w:spacing w:before="1"/>
        <w:rPr>
          <w:sz w:val="18"/>
        </w:rPr>
      </w:pPr>
    </w:p>
    <w:p w14:paraId="07257020" w14:textId="77777777" w:rsidR="00A71EEF" w:rsidRDefault="0081115D">
      <w:pPr>
        <w:pStyle w:val="a3"/>
        <w:spacing w:before="1"/>
        <w:ind w:left="418"/>
      </w:pPr>
      <w:r>
        <w:t>0.4m</w:t>
      </w:r>
      <w:r>
        <w:t>。水罐人孔盖在罐内压力超过</w:t>
      </w:r>
      <w:r>
        <w:t xml:space="preserve"> 0.1MPa </w:t>
      </w:r>
      <w:r>
        <w:t>时可自动卸压。</w:t>
      </w:r>
      <w:r>
        <w:t xml:space="preserve"> </w:t>
      </w:r>
    </w:p>
    <w:p w14:paraId="424B3F83" w14:textId="77777777" w:rsidR="00A71EEF" w:rsidRDefault="00A71EEF">
      <w:pPr>
        <w:pStyle w:val="a3"/>
        <w:rPr>
          <w:sz w:val="18"/>
        </w:rPr>
      </w:pPr>
    </w:p>
    <w:p w14:paraId="5BD04DCB" w14:textId="77777777" w:rsidR="00A71EEF" w:rsidRDefault="0081115D">
      <w:pPr>
        <w:pStyle w:val="a4"/>
        <w:numPr>
          <w:ilvl w:val="4"/>
          <w:numId w:val="776"/>
        </w:numPr>
        <w:tabs>
          <w:tab w:val="left" w:pos="1788"/>
        </w:tabs>
        <w:spacing w:line="446" w:lineRule="auto"/>
        <w:ind w:right="1818" w:firstLine="419"/>
        <w:rPr>
          <w:sz w:val="21"/>
        </w:rPr>
      </w:pPr>
      <w:r>
        <w:rPr>
          <w:spacing w:val="-3"/>
          <w:sz w:val="21"/>
        </w:rPr>
        <w:t>水罐和泡沫液罐最低处应设置排污孔，排出的淤物不应接触车身或底盘零部件。</w:t>
      </w:r>
      <w:r>
        <w:rPr>
          <w:sz w:val="21"/>
        </w:rPr>
        <w:t xml:space="preserve"> </w:t>
      </w:r>
    </w:p>
    <w:p w14:paraId="61455057" w14:textId="77777777" w:rsidR="00A71EEF" w:rsidRDefault="0081115D">
      <w:pPr>
        <w:pStyle w:val="a4"/>
        <w:numPr>
          <w:ilvl w:val="4"/>
          <w:numId w:val="776"/>
        </w:numPr>
        <w:tabs>
          <w:tab w:val="left" w:pos="1788"/>
        </w:tabs>
        <w:ind w:left="1787"/>
        <w:rPr>
          <w:sz w:val="21"/>
        </w:rPr>
      </w:pPr>
      <w:r>
        <w:rPr>
          <w:spacing w:val="-3"/>
          <w:sz w:val="21"/>
        </w:rPr>
        <w:t>水罐和泡沫液罐应设置液位或液量的指示装置。</w:t>
      </w:r>
      <w:r>
        <w:rPr>
          <w:sz w:val="21"/>
        </w:rPr>
        <w:t xml:space="preserve"> </w:t>
      </w:r>
    </w:p>
    <w:p w14:paraId="3B281384" w14:textId="77777777" w:rsidR="00A71EEF" w:rsidRDefault="00A71EEF">
      <w:pPr>
        <w:pStyle w:val="a3"/>
        <w:spacing w:before="12"/>
        <w:rPr>
          <w:sz w:val="17"/>
        </w:rPr>
      </w:pPr>
    </w:p>
    <w:p w14:paraId="0B8176BD" w14:textId="77777777" w:rsidR="00A71EEF" w:rsidRDefault="0081115D">
      <w:pPr>
        <w:pStyle w:val="a4"/>
        <w:numPr>
          <w:ilvl w:val="4"/>
          <w:numId w:val="776"/>
        </w:numPr>
        <w:tabs>
          <w:tab w:val="left" w:pos="1788"/>
        </w:tabs>
        <w:spacing w:line="446" w:lineRule="auto"/>
        <w:ind w:right="1611" w:firstLine="419"/>
        <w:rPr>
          <w:sz w:val="21"/>
        </w:rPr>
      </w:pPr>
      <w:r>
        <w:rPr>
          <w:spacing w:val="-7"/>
          <w:sz w:val="21"/>
        </w:rPr>
        <w:t>水罐和泡沫液罐应能承受</w:t>
      </w:r>
      <w:r>
        <w:rPr>
          <w:spacing w:val="-7"/>
          <w:sz w:val="21"/>
        </w:rPr>
        <w:t xml:space="preserve"> </w:t>
      </w:r>
      <w:r>
        <w:rPr>
          <w:sz w:val="21"/>
        </w:rPr>
        <w:t>0.1MPa</w:t>
      </w:r>
      <w:r>
        <w:rPr>
          <w:spacing w:val="-13"/>
          <w:sz w:val="21"/>
        </w:rPr>
        <w:t xml:space="preserve"> </w:t>
      </w:r>
      <w:r>
        <w:rPr>
          <w:spacing w:val="-13"/>
          <w:sz w:val="21"/>
        </w:rPr>
        <w:t>的静水压力。经</w:t>
      </w:r>
      <w:r>
        <w:rPr>
          <w:spacing w:val="-13"/>
          <w:sz w:val="21"/>
        </w:rPr>
        <w:t xml:space="preserve"> </w:t>
      </w:r>
      <w:r>
        <w:rPr>
          <w:sz w:val="21"/>
        </w:rPr>
        <w:t>0.1MPa</w:t>
      </w:r>
      <w:r>
        <w:rPr>
          <w:spacing w:val="-9"/>
          <w:sz w:val="21"/>
        </w:rPr>
        <w:t xml:space="preserve"> </w:t>
      </w:r>
      <w:r>
        <w:rPr>
          <w:spacing w:val="-9"/>
          <w:sz w:val="21"/>
        </w:rPr>
        <w:t>静水压强度试验，罐</w:t>
      </w:r>
      <w:r>
        <w:rPr>
          <w:spacing w:val="-5"/>
          <w:sz w:val="21"/>
        </w:rPr>
        <w:t>体两侧面不应出现明显残余变形，相连接的管道、阀门均不许有渗漏。</w:t>
      </w:r>
      <w:r>
        <w:rPr>
          <w:sz w:val="21"/>
        </w:rPr>
        <w:t xml:space="preserve"> </w:t>
      </w:r>
    </w:p>
    <w:p w14:paraId="00B4E497" w14:textId="77777777" w:rsidR="00A71EEF" w:rsidRDefault="0081115D">
      <w:pPr>
        <w:pStyle w:val="a4"/>
        <w:numPr>
          <w:ilvl w:val="4"/>
          <w:numId w:val="776"/>
        </w:numPr>
        <w:tabs>
          <w:tab w:val="left" w:pos="1788"/>
        </w:tabs>
        <w:ind w:left="1787"/>
        <w:rPr>
          <w:sz w:val="21"/>
        </w:rPr>
      </w:pPr>
      <w:r>
        <w:rPr>
          <w:spacing w:val="-3"/>
          <w:sz w:val="21"/>
        </w:rPr>
        <w:t>泡沫液罐应设置呼吸口，呼吸口应保证正常输送泡沫液。</w:t>
      </w:r>
      <w:r>
        <w:rPr>
          <w:sz w:val="21"/>
        </w:rPr>
        <w:t xml:space="preserve"> </w:t>
      </w:r>
    </w:p>
    <w:p w14:paraId="36B2239D" w14:textId="77777777" w:rsidR="00A71EEF" w:rsidRDefault="00A71EEF">
      <w:pPr>
        <w:pStyle w:val="a3"/>
        <w:rPr>
          <w:sz w:val="18"/>
        </w:rPr>
      </w:pPr>
    </w:p>
    <w:p w14:paraId="6B0CFEB2" w14:textId="77777777" w:rsidR="00A71EEF" w:rsidRDefault="0081115D">
      <w:pPr>
        <w:pStyle w:val="a4"/>
        <w:numPr>
          <w:ilvl w:val="3"/>
          <w:numId w:val="776"/>
        </w:numPr>
        <w:tabs>
          <w:tab w:val="left" w:pos="1576"/>
        </w:tabs>
        <w:rPr>
          <w:sz w:val="21"/>
        </w:rPr>
      </w:pPr>
      <w:r>
        <w:rPr>
          <w:spacing w:val="-3"/>
          <w:sz w:val="21"/>
        </w:rPr>
        <w:t>注液装置</w:t>
      </w:r>
      <w:r>
        <w:rPr>
          <w:sz w:val="21"/>
        </w:rPr>
        <w:t xml:space="preserve"> </w:t>
      </w:r>
    </w:p>
    <w:p w14:paraId="6C93F4F6" w14:textId="77777777" w:rsidR="00A71EEF" w:rsidRDefault="00A71EEF">
      <w:pPr>
        <w:pStyle w:val="a3"/>
        <w:spacing w:before="12"/>
        <w:rPr>
          <w:sz w:val="17"/>
        </w:rPr>
      </w:pPr>
    </w:p>
    <w:p w14:paraId="03297CC7" w14:textId="77777777" w:rsidR="00A71EEF" w:rsidRDefault="0081115D">
      <w:pPr>
        <w:pStyle w:val="a4"/>
        <w:numPr>
          <w:ilvl w:val="4"/>
          <w:numId w:val="776"/>
        </w:numPr>
        <w:tabs>
          <w:tab w:val="left" w:pos="1788"/>
        </w:tabs>
        <w:spacing w:line="446" w:lineRule="auto"/>
        <w:ind w:right="1609" w:firstLine="419"/>
        <w:rPr>
          <w:sz w:val="21"/>
        </w:rPr>
      </w:pPr>
      <w:r>
        <w:rPr>
          <w:spacing w:val="-3"/>
          <w:sz w:val="21"/>
        </w:rPr>
        <w:t>消防泵至水罐的注水管路应设置阀门，阀门应方便操作。注水管路通径不应小</w:t>
      </w:r>
      <w:r>
        <w:rPr>
          <w:spacing w:val="-28"/>
          <w:sz w:val="21"/>
        </w:rPr>
        <w:t>于</w:t>
      </w:r>
      <w:r>
        <w:rPr>
          <w:spacing w:val="-28"/>
          <w:sz w:val="21"/>
        </w:rPr>
        <w:t xml:space="preserve"> </w:t>
      </w:r>
      <w:r>
        <w:rPr>
          <w:sz w:val="21"/>
        </w:rPr>
        <w:t>65mm</w:t>
      </w:r>
      <w:r>
        <w:rPr>
          <w:spacing w:val="-3"/>
          <w:sz w:val="21"/>
        </w:rPr>
        <w:t>，管路中不应有积水。</w:t>
      </w:r>
      <w:r>
        <w:rPr>
          <w:sz w:val="21"/>
        </w:rPr>
        <w:t xml:space="preserve"> </w:t>
      </w:r>
    </w:p>
    <w:p w14:paraId="69A4980F" w14:textId="77777777" w:rsidR="00A71EEF" w:rsidRDefault="00A71EEF">
      <w:pPr>
        <w:spacing w:line="446" w:lineRule="auto"/>
        <w:rPr>
          <w:sz w:val="21"/>
        </w:rPr>
        <w:sectPr w:rsidR="00A71EEF">
          <w:pgSz w:w="11910" w:h="16850"/>
          <w:pgMar w:top="1220" w:right="0" w:bottom="1420" w:left="1260" w:header="0" w:footer="1239" w:gutter="0"/>
          <w:cols w:space="720"/>
        </w:sectPr>
      </w:pPr>
    </w:p>
    <w:p w14:paraId="6A6A7960" w14:textId="77777777" w:rsidR="00A71EEF" w:rsidRDefault="0081115D">
      <w:pPr>
        <w:pStyle w:val="a4"/>
        <w:numPr>
          <w:ilvl w:val="4"/>
          <w:numId w:val="776"/>
        </w:numPr>
        <w:tabs>
          <w:tab w:val="left" w:pos="1788"/>
        </w:tabs>
        <w:spacing w:before="47" w:line="446" w:lineRule="auto"/>
        <w:ind w:right="1767" w:firstLine="419"/>
        <w:rPr>
          <w:sz w:val="21"/>
        </w:rPr>
      </w:pPr>
      <w:r>
        <w:rPr>
          <w:spacing w:val="-5"/>
          <w:sz w:val="21"/>
        </w:rPr>
        <w:lastRenderedPageBreak/>
        <w:t>从车辆外部向水罐注水的管路通径不应小于</w:t>
      </w:r>
      <w:r>
        <w:rPr>
          <w:spacing w:val="-5"/>
          <w:sz w:val="21"/>
        </w:rPr>
        <w:t xml:space="preserve"> </w:t>
      </w:r>
      <w:r>
        <w:rPr>
          <w:sz w:val="21"/>
        </w:rPr>
        <w:t>65mm</w:t>
      </w:r>
      <w:r>
        <w:rPr>
          <w:spacing w:val="-3"/>
          <w:sz w:val="21"/>
        </w:rPr>
        <w:t>，管路应保证罐内水不会倒流，管路中不应有积水。注水口应加防护盖。</w:t>
      </w:r>
      <w:r>
        <w:rPr>
          <w:sz w:val="21"/>
        </w:rPr>
        <w:t xml:space="preserve"> </w:t>
      </w:r>
    </w:p>
    <w:p w14:paraId="11BF475F" w14:textId="77777777" w:rsidR="00A71EEF" w:rsidRDefault="0081115D">
      <w:pPr>
        <w:pStyle w:val="a4"/>
        <w:numPr>
          <w:ilvl w:val="4"/>
          <w:numId w:val="776"/>
        </w:numPr>
        <w:tabs>
          <w:tab w:val="left" w:pos="1788"/>
        </w:tabs>
        <w:spacing w:line="446" w:lineRule="auto"/>
        <w:ind w:right="1609" w:firstLine="419"/>
        <w:rPr>
          <w:sz w:val="21"/>
        </w:rPr>
      </w:pPr>
      <w:r>
        <w:rPr>
          <w:spacing w:val="-3"/>
          <w:sz w:val="21"/>
        </w:rPr>
        <w:t>泡沫液泵至泡沫液罐间的注液管路应设置不锈钢阀门，阀门应便于操作。注液</w:t>
      </w:r>
      <w:r>
        <w:rPr>
          <w:spacing w:val="-8"/>
          <w:sz w:val="21"/>
        </w:rPr>
        <w:t>管路应采用壁厚不小于</w:t>
      </w:r>
      <w:r>
        <w:rPr>
          <w:spacing w:val="-8"/>
          <w:sz w:val="21"/>
        </w:rPr>
        <w:t xml:space="preserve"> </w:t>
      </w:r>
      <w:r>
        <w:rPr>
          <w:sz w:val="21"/>
        </w:rPr>
        <w:t>1.5mm</w:t>
      </w:r>
      <w:r>
        <w:rPr>
          <w:spacing w:val="-13"/>
          <w:sz w:val="21"/>
        </w:rPr>
        <w:t xml:space="preserve"> </w:t>
      </w:r>
      <w:r>
        <w:rPr>
          <w:spacing w:val="-13"/>
          <w:sz w:val="21"/>
        </w:rPr>
        <w:t>的不锈钢管，通径不小于</w:t>
      </w:r>
      <w:r>
        <w:rPr>
          <w:spacing w:val="-13"/>
          <w:sz w:val="21"/>
        </w:rPr>
        <w:t xml:space="preserve"> </w:t>
      </w:r>
      <w:r>
        <w:rPr>
          <w:sz w:val="21"/>
        </w:rPr>
        <w:t>40mm</w:t>
      </w:r>
      <w:r>
        <w:rPr>
          <w:spacing w:val="-3"/>
          <w:sz w:val="21"/>
        </w:rPr>
        <w:t>。</w:t>
      </w:r>
      <w:r>
        <w:rPr>
          <w:sz w:val="21"/>
        </w:rPr>
        <w:t xml:space="preserve"> </w:t>
      </w:r>
    </w:p>
    <w:p w14:paraId="7221C5C6" w14:textId="77777777" w:rsidR="00A71EEF" w:rsidRDefault="0081115D">
      <w:pPr>
        <w:pStyle w:val="a4"/>
        <w:numPr>
          <w:ilvl w:val="4"/>
          <w:numId w:val="776"/>
        </w:numPr>
        <w:tabs>
          <w:tab w:val="left" w:pos="1788"/>
        </w:tabs>
        <w:ind w:left="1787"/>
        <w:rPr>
          <w:sz w:val="21"/>
        </w:rPr>
      </w:pPr>
      <w:r>
        <w:rPr>
          <w:spacing w:val="-3"/>
          <w:sz w:val="21"/>
        </w:rPr>
        <w:t>泡沫罐注液口应有保护盖。</w:t>
      </w:r>
      <w:r>
        <w:rPr>
          <w:sz w:val="21"/>
        </w:rPr>
        <w:t xml:space="preserve"> </w:t>
      </w:r>
    </w:p>
    <w:p w14:paraId="14AD3AF6" w14:textId="77777777" w:rsidR="00A71EEF" w:rsidRDefault="00A71EEF">
      <w:pPr>
        <w:pStyle w:val="a3"/>
        <w:spacing w:before="10"/>
        <w:rPr>
          <w:sz w:val="17"/>
        </w:rPr>
      </w:pPr>
    </w:p>
    <w:p w14:paraId="54BBB6EC" w14:textId="77777777" w:rsidR="00A71EEF" w:rsidRDefault="0081115D">
      <w:pPr>
        <w:pStyle w:val="a4"/>
        <w:numPr>
          <w:ilvl w:val="3"/>
          <w:numId w:val="776"/>
        </w:numPr>
        <w:tabs>
          <w:tab w:val="left" w:pos="1576"/>
        </w:tabs>
        <w:rPr>
          <w:sz w:val="21"/>
        </w:rPr>
      </w:pPr>
      <w:r>
        <w:rPr>
          <w:spacing w:val="-3"/>
          <w:sz w:val="21"/>
        </w:rPr>
        <w:t>溢水装置</w:t>
      </w:r>
      <w:r>
        <w:rPr>
          <w:sz w:val="21"/>
        </w:rPr>
        <w:t xml:space="preserve"> </w:t>
      </w:r>
    </w:p>
    <w:p w14:paraId="4065677B" w14:textId="77777777" w:rsidR="00A71EEF" w:rsidRDefault="00A71EEF">
      <w:pPr>
        <w:pStyle w:val="a3"/>
        <w:spacing w:before="2"/>
        <w:rPr>
          <w:sz w:val="18"/>
        </w:rPr>
      </w:pPr>
    </w:p>
    <w:p w14:paraId="0D3FBB2B" w14:textId="77777777" w:rsidR="00A71EEF" w:rsidRDefault="0081115D">
      <w:pPr>
        <w:pStyle w:val="a3"/>
        <w:ind w:left="838"/>
      </w:pPr>
      <w:r>
        <w:t>应在水罐内设置通大气的溢水管路，溢水管路直径不小于水罐与消防泵间输水管路</w:t>
      </w:r>
      <w:r>
        <w:t>直径的</w:t>
      </w:r>
    </w:p>
    <w:p w14:paraId="60FC2029" w14:textId="77777777" w:rsidR="00A71EEF" w:rsidRDefault="00A71EEF">
      <w:pPr>
        <w:pStyle w:val="a3"/>
        <w:rPr>
          <w:sz w:val="18"/>
        </w:rPr>
      </w:pPr>
    </w:p>
    <w:p w14:paraId="436A9FEF" w14:textId="77777777" w:rsidR="00A71EEF" w:rsidRDefault="0081115D">
      <w:pPr>
        <w:pStyle w:val="a3"/>
        <w:ind w:left="418"/>
      </w:pPr>
      <w:r>
        <w:t>30%</w:t>
      </w:r>
      <w:r>
        <w:t>。溢水管路应高出罐顶。</w:t>
      </w:r>
      <w:r>
        <w:t xml:space="preserve"> </w:t>
      </w:r>
    </w:p>
    <w:p w14:paraId="6C8661E6" w14:textId="77777777" w:rsidR="00A71EEF" w:rsidRDefault="00A71EEF">
      <w:pPr>
        <w:pStyle w:val="a3"/>
        <w:rPr>
          <w:sz w:val="18"/>
        </w:rPr>
      </w:pPr>
    </w:p>
    <w:p w14:paraId="7A6698BB" w14:textId="77777777" w:rsidR="00A71EEF" w:rsidRDefault="0081115D">
      <w:pPr>
        <w:pStyle w:val="a4"/>
        <w:numPr>
          <w:ilvl w:val="2"/>
          <w:numId w:val="776"/>
        </w:numPr>
        <w:tabs>
          <w:tab w:val="left" w:pos="1370"/>
        </w:tabs>
        <w:ind w:hanging="530"/>
        <w:rPr>
          <w:sz w:val="21"/>
        </w:rPr>
      </w:pPr>
      <w:r>
        <w:rPr>
          <w:spacing w:val="-3"/>
          <w:sz w:val="21"/>
        </w:rPr>
        <w:t>车用泡沫系统</w:t>
      </w:r>
      <w:r>
        <w:rPr>
          <w:sz w:val="21"/>
        </w:rPr>
        <w:t xml:space="preserve"> </w:t>
      </w:r>
    </w:p>
    <w:p w14:paraId="4CFE3897" w14:textId="77777777" w:rsidR="00A71EEF" w:rsidRDefault="00A71EEF">
      <w:pPr>
        <w:pStyle w:val="a3"/>
        <w:spacing w:before="2"/>
        <w:rPr>
          <w:sz w:val="18"/>
        </w:rPr>
      </w:pPr>
    </w:p>
    <w:p w14:paraId="4FCDE008" w14:textId="77777777" w:rsidR="00A71EEF" w:rsidRDefault="0081115D">
      <w:pPr>
        <w:pStyle w:val="a4"/>
        <w:numPr>
          <w:ilvl w:val="3"/>
          <w:numId w:val="776"/>
        </w:numPr>
        <w:tabs>
          <w:tab w:val="left" w:pos="1576"/>
        </w:tabs>
        <w:rPr>
          <w:sz w:val="21"/>
        </w:rPr>
      </w:pPr>
      <w:r>
        <w:rPr>
          <w:spacing w:val="-3"/>
          <w:sz w:val="21"/>
        </w:rPr>
        <w:t>车用泡沫系统一般要求</w:t>
      </w:r>
      <w:r>
        <w:rPr>
          <w:sz w:val="21"/>
        </w:rPr>
        <w:t xml:space="preserve"> </w:t>
      </w:r>
    </w:p>
    <w:p w14:paraId="28187151" w14:textId="77777777" w:rsidR="00A71EEF" w:rsidRDefault="00A71EEF">
      <w:pPr>
        <w:pStyle w:val="a3"/>
        <w:spacing w:before="12"/>
        <w:rPr>
          <w:sz w:val="17"/>
        </w:rPr>
      </w:pPr>
    </w:p>
    <w:p w14:paraId="4CC0052B" w14:textId="77777777" w:rsidR="00A71EEF" w:rsidRDefault="0081115D">
      <w:pPr>
        <w:pStyle w:val="a4"/>
        <w:numPr>
          <w:ilvl w:val="4"/>
          <w:numId w:val="776"/>
        </w:numPr>
        <w:tabs>
          <w:tab w:val="left" w:pos="1788"/>
        </w:tabs>
        <w:spacing w:line="446" w:lineRule="auto"/>
        <w:ind w:right="1505" w:firstLine="419"/>
        <w:rPr>
          <w:sz w:val="21"/>
        </w:rPr>
      </w:pPr>
      <w:r>
        <w:rPr>
          <w:spacing w:val="-3"/>
          <w:sz w:val="21"/>
        </w:rPr>
        <w:t>泡沫炮或泡沫</w:t>
      </w:r>
      <w:r>
        <w:rPr>
          <w:spacing w:val="-3"/>
          <w:sz w:val="21"/>
        </w:rPr>
        <w:t>/</w:t>
      </w:r>
      <w:r>
        <w:rPr>
          <w:spacing w:val="-3"/>
          <w:sz w:val="21"/>
        </w:rPr>
        <w:t>水两用炮、泡沫液泵和泡沫比例混合器的过流表面应使用抗泡沫液腐烛的材料或涂层。</w:t>
      </w:r>
      <w:r>
        <w:rPr>
          <w:sz w:val="21"/>
        </w:rPr>
        <w:t xml:space="preserve"> </w:t>
      </w:r>
    </w:p>
    <w:p w14:paraId="7D932D2A" w14:textId="77777777" w:rsidR="00A71EEF" w:rsidRDefault="0081115D">
      <w:pPr>
        <w:pStyle w:val="a4"/>
        <w:numPr>
          <w:ilvl w:val="4"/>
          <w:numId w:val="776"/>
        </w:numPr>
        <w:tabs>
          <w:tab w:val="left" w:pos="1788"/>
        </w:tabs>
        <w:spacing w:line="446" w:lineRule="auto"/>
        <w:ind w:right="1609" w:firstLine="419"/>
        <w:rPr>
          <w:sz w:val="21"/>
        </w:rPr>
      </w:pPr>
      <w:r>
        <w:rPr>
          <w:spacing w:val="-3"/>
          <w:sz w:val="21"/>
        </w:rPr>
        <w:t>车用泡沫系统应设冲洗装置，冲洗装置应避免在冲洗过程中水流回泡沫液罐或水罐。</w:t>
      </w:r>
      <w:r>
        <w:rPr>
          <w:sz w:val="21"/>
        </w:rPr>
        <w:t xml:space="preserve"> </w:t>
      </w:r>
    </w:p>
    <w:p w14:paraId="1238AFB4" w14:textId="77777777" w:rsidR="00A71EEF" w:rsidRDefault="0081115D">
      <w:pPr>
        <w:pStyle w:val="a4"/>
        <w:numPr>
          <w:ilvl w:val="4"/>
          <w:numId w:val="776"/>
        </w:numPr>
        <w:tabs>
          <w:tab w:val="left" w:pos="1788"/>
        </w:tabs>
        <w:spacing w:line="267" w:lineRule="exact"/>
        <w:ind w:left="1787"/>
        <w:rPr>
          <w:sz w:val="21"/>
        </w:rPr>
      </w:pPr>
      <w:r>
        <w:rPr>
          <w:spacing w:val="-3"/>
          <w:sz w:val="21"/>
        </w:rPr>
        <w:t>车用泡沫系统应有外吸泡沫液接口和联接软管，二者的拆装应方便。</w:t>
      </w:r>
      <w:r>
        <w:rPr>
          <w:spacing w:val="-3"/>
          <w:sz w:val="21"/>
        </w:rPr>
        <w:t xml:space="preserve"> </w:t>
      </w:r>
    </w:p>
    <w:p w14:paraId="23B94138" w14:textId="77777777" w:rsidR="00A71EEF" w:rsidRDefault="00A71EEF">
      <w:pPr>
        <w:pStyle w:val="a3"/>
        <w:spacing w:before="2"/>
        <w:rPr>
          <w:sz w:val="18"/>
        </w:rPr>
      </w:pPr>
    </w:p>
    <w:p w14:paraId="1507B6FF" w14:textId="77777777" w:rsidR="00A71EEF" w:rsidRDefault="0081115D">
      <w:pPr>
        <w:pStyle w:val="a4"/>
        <w:numPr>
          <w:ilvl w:val="4"/>
          <w:numId w:val="776"/>
        </w:numPr>
        <w:tabs>
          <w:tab w:val="left" w:pos="1788"/>
        </w:tabs>
        <w:ind w:left="1787"/>
        <w:rPr>
          <w:sz w:val="21"/>
        </w:rPr>
      </w:pPr>
      <w:r>
        <w:rPr>
          <w:spacing w:val="-3"/>
          <w:sz w:val="21"/>
        </w:rPr>
        <w:t>在车用泡沫系统中应设有防止水倒流入泡沫液罐的措施。</w:t>
      </w:r>
      <w:r>
        <w:rPr>
          <w:sz w:val="21"/>
        </w:rPr>
        <w:t xml:space="preserve"> </w:t>
      </w:r>
    </w:p>
    <w:p w14:paraId="64040A35" w14:textId="77777777" w:rsidR="00A71EEF" w:rsidRDefault="00A71EEF">
      <w:pPr>
        <w:pStyle w:val="a3"/>
        <w:spacing w:before="12"/>
        <w:rPr>
          <w:sz w:val="17"/>
        </w:rPr>
      </w:pPr>
    </w:p>
    <w:p w14:paraId="0A088E97" w14:textId="77777777" w:rsidR="00A71EEF" w:rsidRDefault="0081115D">
      <w:pPr>
        <w:pStyle w:val="a4"/>
        <w:numPr>
          <w:ilvl w:val="4"/>
          <w:numId w:val="776"/>
        </w:numPr>
        <w:tabs>
          <w:tab w:val="left" w:pos="1788"/>
        </w:tabs>
        <w:spacing w:line="446" w:lineRule="auto"/>
        <w:ind w:right="1818" w:firstLine="419"/>
        <w:rPr>
          <w:sz w:val="21"/>
        </w:rPr>
      </w:pPr>
      <w:r>
        <w:rPr>
          <w:spacing w:val="-3"/>
          <w:sz w:val="21"/>
        </w:rPr>
        <w:t>车用泡沫系统在以系统最大工作压力和最大流量运行时应具有良好的密封性能，不应有渗漏现象。</w:t>
      </w:r>
      <w:r>
        <w:rPr>
          <w:sz w:val="21"/>
        </w:rPr>
        <w:t xml:space="preserve"> </w:t>
      </w:r>
    </w:p>
    <w:p w14:paraId="0552E996" w14:textId="77777777" w:rsidR="00A71EEF" w:rsidRDefault="0081115D">
      <w:pPr>
        <w:pStyle w:val="a4"/>
        <w:numPr>
          <w:ilvl w:val="4"/>
          <w:numId w:val="776"/>
        </w:numPr>
        <w:tabs>
          <w:tab w:val="left" w:pos="1788"/>
        </w:tabs>
        <w:ind w:left="1787"/>
        <w:rPr>
          <w:sz w:val="21"/>
        </w:rPr>
      </w:pPr>
      <w:r>
        <w:rPr>
          <w:spacing w:val="-6"/>
          <w:sz w:val="21"/>
        </w:rPr>
        <w:t>车用泡沫系统的棍合比精度应符合表</w:t>
      </w:r>
      <w:r>
        <w:rPr>
          <w:spacing w:val="-6"/>
          <w:sz w:val="21"/>
        </w:rPr>
        <w:t xml:space="preserve"> </w:t>
      </w:r>
      <w:r>
        <w:rPr>
          <w:sz w:val="21"/>
        </w:rPr>
        <w:t>1</w:t>
      </w:r>
      <w:r>
        <w:rPr>
          <w:spacing w:val="-15"/>
          <w:sz w:val="21"/>
        </w:rPr>
        <w:t xml:space="preserve"> </w:t>
      </w:r>
      <w:r>
        <w:rPr>
          <w:spacing w:val="-15"/>
          <w:sz w:val="21"/>
        </w:rPr>
        <w:t>要求。</w:t>
      </w:r>
      <w:r>
        <w:rPr>
          <w:sz w:val="21"/>
        </w:rPr>
        <w:t xml:space="preserve"> </w:t>
      </w:r>
    </w:p>
    <w:p w14:paraId="58D7D1D8" w14:textId="77777777" w:rsidR="00A71EEF" w:rsidRDefault="0081115D">
      <w:pPr>
        <w:pStyle w:val="a3"/>
        <w:spacing w:before="3"/>
        <w:rPr>
          <w:sz w:val="12"/>
        </w:rPr>
      </w:pPr>
      <w:r>
        <w:rPr>
          <w:noProof/>
        </w:rPr>
        <w:drawing>
          <wp:anchor distT="0" distB="0" distL="0" distR="0" simplePos="0" relativeHeight="251502080" behindDoc="0" locked="0" layoutInCell="1" allowOverlap="1" wp14:anchorId="3781B673" wp14:editId="06411A12">
            <wp:simplePos x="0" y="0"/>
            <wp:positionH relativeFrom="page">
              <wp:posOffset>1151255</wp:posOffset>
            </wp:positionH>
            <wp:positionV relativeFrom="paragraph">
              <wp:posOffset>124856</wp:posOffset>
            </wp:positionV>
            <wp:extent cx="4448677" cy="1124712"/>
            <wp:effectExtent l="0" t="0" r="0" b="0"/>
            <wp:wrapTopAndBottom/>
            <wp:docPr id="127" name="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91.jpeg"/>
                    <pic:cNvPicPr/>
                  </pic:nvPicPr>
                  <pic:blipFill>
                    <a:blip r:embed="rId89" cstate="print"/>
                    <a:stretch>
                      <a:fillRect/>
                    </a:stretch>
                  </pic:blipFill>
                  <pic:spPr>
                    <a:xfrm>
                      <a:off x="0" y="0"/>
                      <a:ext cx="4448677" cy="1124712"/>
                    </a:xfrm>
                    <a:prstGeom prst="rect">
                      <a:avLst/>
                    </a:prstGeom>
                  </pic:spPr>
                </pic:pic>
              </a:graphicData>
            </a:graphic>
          </wp:anchor>
        </w:drawing>
      </w:r>
    </w:p>
    <w:p w14:paraId="6A9A27B4" w14:textId="77777777" w:rsidR="00A71EEF" w:rsidRDefault="00A71EEF">
      <w:pPr>
        <w:pStyle w:val="a3"/>
        <w:rPr>
          <w:sz w:val="20"/>
        </w:rPr>
      </w:pPr>
    </w:p>
    <w:p w14:paraId="36F2153C" w14:textId="77777777" w:rsidR="00A71EEF" w:rsidRDefault="00A71EEF">
      <w:pPr>
        <w:pStyle w:val="a3"/>
        <w:rPr>
          <w:sz w:val="20"/>
        </w:rPr>
      </w:pPr>
    </w:p>
    <w:p w14:paraId="00256768" w14:textId="77777777" w:rsidR="00A71EEF" w:rsidRDefault="0081115D">
      <w:pPr>
        <w:pStyle w:val="a4"/>
        <w:numPr>
          <w:ilvl w:val="3"/>
          <w:numId w:val="776"/>
        </w:numPr>
        <w:tabs>
          <w:tab w:val="left" w:pos="1576"/>
        </w:tabs>
        <w:spacing w:before="179"/>
        <w:rPr>
          <w:sz w:val="21"/>
        </w:rPr>
      </w:pPr>
      <w:r>
        <w:rPr>
          <w:spacing w:val="-3"/>
          <w:sz w:val="21"/>
        </w:rPr>
        <w:t>泡沫比例混合器</w:t>
      </w:r>
      <w:r>
        <w:rPr>
          <w:sz w:val="21"/>
        </w:rPr>
        <w:t xml:space="preserve"> </w:t>
      </w:r>
    </w:p>
    <w:p w14:paraId="35FCB4A2" w14:textId="77777777" w:rsidR="00A71EEF" w:rsidRDefault="00A71EEF">
      <w:pPr>
        <w:pStyle w:val="a3"/>
        <w:spacing w:before="2"/>
        <w:rPr>
          <w:sz w:val="18"/>
        </w:rPr>
      </w:pPr>
    </w:p>
    <w:p w14:paraId="3AAA7901" w14:textId="77777777" w:rsidR="00A71EEF" w:rsidRDefault="0081115D">
      <w:pPr>
        <w:pStyle w:val="a4"/>
        <w:numPr>
          <w:ilvl w:val="4"/>
          <w:numId w:val="776"/>
        </w:numPr>
        <w:tabs>
          <w:tab w:val="left" w:pos="1788"/>
        </w:tabs>
        <w:ind w:left="1787"/>
        <w:rPr>
          <w:sz w:val="21"/>
        </w:rPr>
      </w:pPr>
      <w:r>
        <w:rPr>
          <w:spacing w:val="-3"/>
          <w:sz w:val="21"/>
        </w:rPr>
        <w:t>标志牌</w:t>
      </w:r>
      <w:r>
        <w:rPr>
          <w:sz w:val="21"/>
        </w:rPr>
        <w:t xml:space="preserve"> </w:t>
      </w:r>
    </w:p>
    <w:p w14:paraId="38F0EE89" w14:textId="77777777" w:rsidR="00A71EEF" w:rsidRDefault="00A71EEF">
      <w:pPr>
        <w:pStyle w:val="a3"/>
        <w:rPr>
          <w:sz w:val="18"/>
        </w:rPr>
      </w:pPr>
    </w:p>
    <w:p w14:paraId="0DFBC913" w14:textId="77777777" w:rsidR="00A71EEF" w:rsidRDefault="0081115D">
      <w:pPr>
        <w:pStyle w:val="a3"/>
        <w:ind w:left="838"/>
      </w:pPr>
      <w:r>
        <w:t>泡沫比例混合器应设置有下列内容的永久性标志牌：</w:t>
      </w:r>
      <w:r>
        <w:t xml:space="preserve"> </w:t>
      </w:r>
    </w:p>
    <w:p w14:paraId="0F5DA670" w14:textId="77777777" w:rsidR="00A71EEF" w:rsidRDefault="00A71EEF">
      <w:pPr>
        <w:pStyle w:val="a3"/>
        <w:spacing w:before="12"/>
        <w:rPr>
          <w:sz w:val="17"/>
        </w:rPr>
      </w:pPr>
    </w:p>
    <w:p w14:paraId="16C6C393" w14:textId="77777777" w:rsidR="00A71EEF" w:rsidRDefault="0081115D">
      <w:pPr>
        <w:pStyle w:val="a3"/>
        <w:ind w:left="838"/>
      </w:pPr>
      <w:r>
        <w:t>——</w:t>
      </w:r>
      <w:r>
        <w:t>产品名称与型号；</w:t>
      </w:r>
      <w:r>
        <w:t xml:space="preserve"> </w:t>
      </w:r>
    </w:p>
    <w:p w14:paraId="62498A4F" w14:textId="77777777" w:rsidR="00A71EEF" w:rsidRDefault="00A71EEF">
      <w:pPr>
        <w:sectPr w:rsidR="00A71EEF">
          <w:pgSz w:w="11910" w:h="16850"/>
          <w:pgMar w:top="1220" w:right="0" w:bottom="1420" w:left="1260" w:header="0" w:footer="1239" w:gutter="0"/>
          <w:cols w:space="720"/>
        </w:sectPr>
      </w:pPr>
    </w:p>
    <w:p w14:paraId="3A4BE379" w14:textId="77777777" w:rsidR="00A71EEF" w:rsidRDefault="0081115D">
      <w:pPr>
        <w:pStyle w:val="a3"/>
        <w:spacing w:before="47"/>
        <w:ind w:left="838"/>
      </w:pPr>
      <w:r>
        <w:lastRenderedPageBreak/>
        <w:t>——</w:t>
      </w:r>
      <w:r>
        <w:t>泡沫比例混合器泡沫混合液流量与进口压力范围；</w:t>
      </w:r>
      <w:r>
        <w:t xml:space="preserve"> </w:t>
      </w:r>
    </w:p>
    <w:p w14:paraId="0C626C95" w14:textId="77777777" w:rsidR="00A71EEF" w:rsidRDefault="00A71EEF">
      <w:pPr>
        <w:pStyle w:val="a3"/>
        <w:rPr>
          <w:sz w:val="18"/>
        </w:rPr>
      </w:pPr>
    </w:p>
    <w:p w14:paraId="36EC3884" w14:textId="77777777" w:rsidR="00A71EEF" w:rsidRDefault="0081115D">
      <w:pPr>
        <w:pStyle w:val="a3"/>
        <w:ind w:left="838"/>
      </w:pPr>
      <w:r>
        <w:t>——</w:t>
      </w:r>
      <w:r>
        <w:t>适用的消防泵流量与压力范围；</w:t>
      </w:r>
      <w:r>
        <w:t xml:space="preserve"> </w:t>
      </w:r>
    </w:p>
    <w:p w14:paraId="1F40F61F" w14:textId="77777777" w:rsidR="00A71EEF" w:rsidRDefault="00A71EEF">
      <w:pPr>
        <w:pStyle w:val="a3"/>
        <w:rPr>
          <w:sz w:val="18"/>
        </w:rPr>
      </w:pPr>
    </w:p>
    <w:p w14:paraId="1A2ED8C2" w14:textId="77777777" w:rsidR="00A71EEF" w:rsidRDefault="0081115D">
      <w:pPr>
        <w:pStyle w:val="a3"/>
        <w:ind w:left="838"/>
      </w:pPr>
      <w:r>
        <w:t>——</w:t>
      </w:r>
      <w:r>
        <w:t>混合比；</w:t>
      </w:r>
      <w:r>
        <w:t xml:space="preserve"> </w:t>
      </w:r>
    </w:p>
    <w:p w14:paraId="123E479F" w14:textId="77777777" w:rsidR="00A71EEF" w:rsidRDefault="00A71EEF">
      <w:pPr>
        <w:pStyle w:val="a3"/>
        <w:spacing w:before="1"/>
        <w:rPr>
          <w:sz w:val="18"/>
        </w:rPr>
      </w:pPr>
    </w:p>
    <w:p w14:paraId="7A4E5AA0" w14:textId="77777777" w:rsidR="00A71EEF" w:rsidRDefault="0081115D">
      <w:pPr>
        <w:pStyle w:val="a3"/>
        <w:spacing w:before="1"/>
        <w:ind w:left="838"/>
      </w:pPr>
      <w:r>
        <w:t>——</w:t>
      </w:r>
      <w:r>
        <w:t>泡沫液类型；</w:t>
      </w:r>
      <w:r>
        <w:t xml:space="preserve"> </w:t>
      </w:r>
    </w:p>
    <w:p w14:paraId="2AF7B159" w14:textId="77777777" w:rsidR="00A71EEF" w:rsidRDefault="00A71EEF">
      <w:pPr>
        <w:pStyle w:val="a3"/>
        <w:spacing w:before="12"/>
        <w:rPr>
          <w:sz w:val="17"/>
        </w:rPr>
      </w:pPr>
    </w:p>
    <w:p w14:paraId="7B5B7BAB" w14:textId="77777777" w:rsidR="00A71EEF" w:rsidRDefault="0081115D">
      <w:pPr>
        <w:pStyle w:val="a3"/>
        <w:ind w:left="838"/>
      </w:pPr>
      <w:r>
        <w:rPr>
          <w:spacing w:val="-3"/>
        </w:rPr>
        <w:t>——</w:t>
      </w:r>
      <w:r>
        <w:rPr>
          <w:spacing w:val="-3"/>
        </w:rPr>
        <w:t>生产企业名称；</w:t>
      </w:r>
      <w:r>
        <w:t xml:space="preserve"> </w:t>
      </w:r>
    </w:p>
    <w:p w14:paraId="7FA4553D" w14:textId="77777777" w:rsidR="00A71EEF" w:rsidRDefault="00A71EEF">
      <w:pPr>
        <w:pStyle w:val="a3"/>
        <w:spacing w:before="12"/>
        <w:rPr>
          <w:sz w:val="17"/>
        </w:rPr>
      </w:pPr>
    </w:p>
    <w:p w14:paraId="5E670AC1" w14:textId="77777777" w:rsidR="00A71EEF" w:rsidRDefault="0081115D">
      <w:pPr>
        <w:pStyle w:val="a3"/>
        <w:spacing w:line="446" w:lineRule="auto"/>
        <w:ind w:left="838" w:right="7809"/>
      </w:pPr>
      <w:r>
        <w:rPr>
          <w:spacing w:val="-3"/>
        </w:rPr>
        <w:t>——</w:t>
      </w:r>
      <w:r>
        <w:rPr>
          <w:spacing w:val="-3"/>
        </w:rPr>
        <w:t>生产日期。</w:t>
      </w:r>
      <w:r>
        <w:t>4.4.4.2.2</w:t>
      </w:r>
      <w:r>
        <w:rPr>
          <w:spacing w:val="-1"/>
        </w:rPr>
        <w:t xml:space="preserve"> </w:t>
      </w:r>
      <w:r>
        <w:rPr>
          <w:spacing w:val="-1"/>
        </w:rPr>
        <w:t>液流方向</w:t>
      </w:r>
      <w:r>
        <w:rPr>
          <w:spacing w:val="-1"/>
        </w:rPr>
        <w:t xml:space="preserve"> </w:t>
      </w:r>
    </w:p>
    <w:p w14:paraId="32148939" w14:textId="77777777" w:rsidR="00A71EEF" w:rsidRDefault="0081115D">
      <w:pPr>
        <w:pStyle w:val="a3"/>
        <w:spacing w:before="1" w:line="446" w:lineRule="auto"/>
        <w:ind w:left="838" w:right="4657"/>
      </w:pPr>
      <w:r>
        <w:t>在泡沫比例混合器外壳明显位置以箭头表示液流方向。</w:t>
      </w:r>
      <w:r>
        <w:t xml:space="preserve">4.4.4.2.3 </w:t>
      </w:r>
      <w:r>
        <w:t>主要性能指标</w:t>
      </w:r>
      <w:r>
        <w:t xml:space="preserve"> </w:t>
      </w:r>
    </w:p>
    <w:p w14:paraId="58E113E4" w14:textId="77777777" w:rsidR="00A71EEF" w:rsidRDefault="0081115D">
      <w:pPr>
        <w:pStyle w:val="a3"/>
        <w:spacing w:line="446" w:lineRule="auto"/>
        <w:ind w:left="418" w:right="1609" w:firstLine="419"/>
      </w:pPr>
      <w:r>
        <w:t>企业应提供泡沫比例混合器的主要性能指标，包括进口工作压力范围、流量范围，混合比精度等，并应符合</w:t>
      </w:r>
      <w:r>
        <w:t xml:space="preserve"> 4.4.4.1.6 </w:t>
      </w:r>
      <w:r>
        <w:t>的要求。</w:t>
      </w:r>
      <w:r>
        <w:t xml:space="preserve"> </w:t>
      </w:r>
    </w:p>
    <w:p w14:paraId="4DC4F6E8" w14:textId="77777777" w:rsidR="00A71EEF" w:rsidRDefault="0081115D">
      <w:pPr>
        <w:pStyle w:val="a4"/>
        <w:numPr>
          <w:ilvl w:val="4"/>
          <w:numId w:val="775"/>
        </w:numPr>
        <w:tabs>
          <w:tab w:val="left" w:pos="1788"/>
        </w:tabs>
        <w:spacing w:line="267" w:lineRule="exact"/>
        <w:rPr>
          <w:sz w:val="21"/>
        </w:rPr>
      </w:pPr>
      <w:r>
        <w:rPr>
          <w:spacing w:val="-3"/>
          <w:sz w:val="21"/>
        </w:rPr>
        <w:t>静水压密封、强度要求</w:t>
      </w:r>
      <w:r>
        <w:rPr>
          <w:sz w:val="21"/>
        </w:rPr>
        <w:t xml:space="preserve"> </w:t>
      </w:r>
    </w:p>
    <w:p w14:paraId="1840FD66" w14:textId="77777777" w:rsidR="00A71EEF" w:rsidRDefault="00A71EEF">
      <w:pPr>
        <w:pStyle w:val="a3"/>
        <w:spacing w:before="1"/>
        <w:rPr>
          <w:sz w:val="18"/>
        </w:rPr>
      </w:pPr>
    </w:p>
    <w:p w14:paraId="1045E0BD" w14:textId="77777777" w:rsidR="00A71EEF" w:rsidRDefault="0081115D">
      <w:pPr>
        <w:pStyle w:val="a4"/>
        <w:numPr>
          <w:ilvl w:val="5"/>
          <w:numId w:val="775"/>
        </w:numPr>
        <w:tabs>
          <w:tab w:val="left" w:pos="1996"/>
        </w:tabs>
        <w:spacing w:before="1"/>
        <w:rPr>
          <w:sz w:val="21"/>
        </w:rPr>
      </w:pPr>
      <w:r>
        <w:rPr>
          <w:spacing w:val="-5"/>
          <w:sz w:val="21"/>
        </w:rPr>
        <w:t>比例混合器应经静水压密封试验，试验压力为规定最大工作压力值的</w:t>
      </w:r>
      <w:r>
        <w:rPr>
          <w:spacing w:val="-5"/>
          <w:sz w:val="21"/>
        </w:rPr>
        <w:t xml:space="preserve"> </w:t>
      </w:r>
      <w:r>
        <w:rPr>
          <w:sz w:val="21"/>
        </w:rPr>
        <w:t>1.1</w:t>
      </w:r>
    </w:p>
    <w:p w14:paraId="63CB6C5A" w14:textId="77777777" w:rsidR="00A71EEF" w:rsidRDefault="00A71EEF">
      <w:pPr>
        <w:pStyle w:val="a3"/>
        <w:spacing w:before="12"/>
        <w:rPr>
          <w:sz w:val="17"/>
        </w:rPr>
      </w:pPr>
    </w:p>
    <w:p w14:paraId="0E08B3A8" w14:textId="77777777" w:rsidR="00A71EEF" w:rsidRDefault="0081115D">
      <w:pPr>
        <w:pStyle w:val="a3"/>
        <w:ind w:left="418"/>
      </w:pPr>
      <w:r>
        <w:t>倍。试验后，比例混合器壳体及各连接处不应出现渗漏。</w:t>
      </w:r>
      <w:r>
        <w:t xml:space="preserve"> </w:t>
      </w:r>
    </w:p>
    <w:p w14:paraId="7EE0EA47" w14:textId="77777777" w:rsidR="00A71EEF" w:rsidRDefault="00A71EEF">
      <w:pPr>
        <w:pStyle w:val="a3"/>
        <w:rPr>
          <w:sz w:val="18"/>
        </w:rPr>
      </w:pPr>
    </w:p>
    <w:p w14:paraId="1588931E" w14:textId="77777777" w:rsidR="00A71EEF" w:rsidRDefault="0081115D">
      <w:pPr>
        <w:pStyle w:val="a4"/>
        <w:numPr>
          <w:ilvl w:val="5"/>
          <w:numId w:val="775"/>
        </w:numPr>
        <w:tabs>
          <w:tab w:val="left" w:pos="1996"/>
        </w:tabs>
        <w:rPr>
          <w:sz w:val="21"/>
        </w:rPr>
      </w:pPr>
      <w:r>
        <w:rPr>
          <w:spacing w:val="-5"/>
          <w:sz w:val="21"/>
        </w:rPr>
        <w:t>比例混合器应经静水压强度试验，试验压力为规定最大工作压力值的</w:t>
      </w:r>
      <w:r>
        <w:rPr>
          <w:spacing w:val="-5"/>
          <w:sz w:val="21"/>
        </w:rPr>
        <w:t xml:space="preserve"> </w:t>
      </w:r>
      <w:r>
        <w:rPr>
          <w:sz w:val="21"/>
        </w:rPr>
        <w:t>1.5</w:t>
      </w:r>
    </w:p>
    <w:p w14:paraId="338099FA" w14:textId="77777777" w:rsidR="00A71EEF" w:rsidRDefault="00A71EEF">
      <w:pPr>
        <w:pStyle w:val="a3"/>
        <w:spacing w:before="2"/>
        <w:rPr>
          <w:sz w:val="18"/>
        </w:rPr>
      </w:pPr>
    </w:p>
    <w:p w14:paraId="679FC883" w14:textId="77777777" w:rsidR="00A71EEF" w:rsidRDefault="0081115D">
      <w:pPr>
        <w:pStyle w:val="a3"/>
        <w:spacing w:line="446" w:lineRule="auto"/>
        <w:ind w:left="838" w:right="3186" w:hanging="420"/>
      </w:pPr>
      <w:r>
        <w:t>倍，试验后，比例混合器壳体及各连接管路不应出现明显变形和结构破坏。</w:t>
      </w:r>
      <w:r>
        <w:t>4.4.</w:t>
      </w:r>
      <w:r>
        <w:t xml:space="preserve">4.2.5 </w:t>
      </w:r>
      <w:r>
        <w:t>负压式泡沫比例混合器</w:t>
      </w:r>
      <w:r>
        <w:t xml:space="preserve"> </w:t>
      </w:r>
    </w:p>
    <w:p w14:paraId="77DC285F" w14:textId="77777777" w:rsidR="00A71EEF" w:rsidRDefault="0081115D">
      <w:pPr>
        <w:pStyle w:val="a4"/>
        <w:numPr>
          <w:ilvl w:val="5"/>
          <w:numId w:val="774"/>
        </w:numPr>
        <w:tabs>
          <w:tab w:val="left" w:pos="1996"/>
        </w:tabs>
        <w:spacing w:line="267" w:lineRule="exact"/>
        <w:rPr>
          <w:sz w:val="21"/>
        </w:rPr>
      </w:pPr>
      <w:r>
        <w:rPr>
          <w:spacing w:val="-10"/>
          <w:sz w:val="21"/>
        </w:rPr>
        <w:t>在大气压力为</w:t>
      </w:r>
      <w:r>
        <w:rPr>
          <w:spacing w:val="-10"/>
          <w:sz w:val="21"/>
        </w:rPr>
        <w:t xml:space="preserve"> </w:t>
      </w:r>
      <w:r>
        <w:rPr>
          <w:sz w:val="21"/>
        </w:rPr>
        <w:t>101kPa</w:t>
      </w:r>
      <w:r>
        <w:rPr>
          <w:spacing w:val="-12"/>
          <w:sz w:val="21"/>
        </w:rPr>
        <w:t xml:space="preserve"> </w:t>
      </w:r>
      <w:r>
        <w:rPr>
          <w:spacing w:val="-12"/>
          <w:sz w:val="21"/>
        </w:rPr>
        <w:t>下，负压式泡沫比例混合器在</w:t>
      </w:r>
      <w:r>
        <w:rPr>
          <w:spacing w:val="-12"/>
          <w:sz w:val="21"/>
        </w:rPr>
        <w:t xml:space="preserve"> </w:t>
      </w:r>
      <w:r>
        <w:rPr>
          <w:sz w:val="21"/>
        </w:rPr>
        <w:t>85kPa</w:t>
      </w:r>
      <w:r>
        <w:rPr>
          <w:spacing w:val="-9"/>
          <w:sz w:val="21"/>
        </w:rPr>
        <w:t xml:space="preserve"> </w:t>
      </w:r>
      <w:r>
        <w:rPr>
          <w:spacing w:val="-9"/>
          <w:sz w:val="21"/>
        </w:rPr>
        <w:t>真空度条件下，</w:t>
      </w:r>
    </w:p>
    <w:p w14:paraId="5405BC19" w14:textId="77777777" w:rsidR="00A71EEF" w:rsidRDefault="00A71EEF">
      <w:pPr>
        <w:pStyle w:val="a3"/>
        <w:spacing w:before="1"/>
        <w:rPr>
          <w:sz w:val="18"/>
        </w:rPr>
      </w:pPr>
    </w:p>
    <w:p w14:paraId="7B0DE106" w14:textId="77777777" w:rsidR="00A71EEF" w:rsidRDefault="0081115D">
      <w:pPr>
        <w:pStyle w:val="a3"/>
        <w:spacing w:before="1"/>
        <w:ind w:left="418"/>
      </w:pPr>
      <w:r>
        <w:t xml:space="preserve">1min </w:t>
      </w:r>
      <w:r>
        <w:t>内真空度的降低数值应不大于</w:t>
      </w:r>
      <w:r>
        <w:t xml:space="preserve"> 0.5kPa</w:t>
      </w:r>
      <w:r>
        <w:t>。</w:t>
      </w:r>
      <w:r>
        <w:t xml:space="preserve"> </w:t>
      </w:r>
    </w:p>
    <w:p w14:paraId="5E7E8A21" w14:textId="77777777" w:rsidR="00A71EEF" w:rsidRDefault="00A71EEF">
      <w:pPr>
        <w:pStyle w:val="a3"/>
        <w:rPr>
          <w:sz w:val="18"/>
        </w:rPr>
      </w:pPr>
    </w:p>
    <w:p w14:paraId="37860402" w14:textId="77777777" w:rsidR="00A71EEF" w:rsidRDefault="0081115D">
      <w:pPr>
        <w:pStyle w:val="a4"/>
        <w:numPr>
          <w:ilvl w:val="5"/>
          <w:numId w:val="774"/>
        </w:numPr>
        <w:tabs>
          <w:tab w:val="left" w:pos="1996"/>
        </w:tabs>
        <w:rPr>
          <w:sz w:val="21"/>
        </w:rPr>
      </w:pPr>
      <w:r>
        <w:rPr>
          <w:spacing w:val="-5"/>
          <w:sz w:val="21"/>
        </w:rPr>
        <w:t>负压式泡沫比例混合器进、出口的压力差应不大于进口工作压力的</w:t>
      </w:r>
      <w:r>
        <w:rPr>
          <w:spacing w:val="-5"/>
          <w:sz w:val="21"/>
        </w:rPr>
        <w:t xml:space="preserve"> </w:t>
      </w:r>
      <w:r>
        <w:rPr>
          <w:sz w:val="21"/>
        </w:rPr>
        <w:t>35</w:t>
      </w:r>
      <w:r>
        <w:rPr>
          <w:spacing w:val="-2"/>
          <w:sz w:val="21"/>
        </w:rPr>
        <w:t>%</w:t>
      </w:r>
      <w:r>
        <w:rPr>
          <w:spacing w:val="-2"/>
          <w:sz w:val="21"/>
        </w:rPr>
        <w:t>。</w:t>
      </w:r>
      <w:r>
        <w:rPr>
          <w:sz w:val="21"/>
        </w:rPr>
        <w:t xml:space="preserve"> </w:t>
      </w:r>
    </w:p>
    <w:p w14:paraId="2B548969" w14:textId="77777777" w:rsidR="00A71EEF" w:rsidRDefault="00A71EEF">
      <w:pPr>
        <w:pStyle w:val="a3"/>
        <w:spacing w:before="12"/>
        <w:rPr>
          <w:sz w:val="17"/>
        </w:rPr>
      </w:pPr>
    </w:p>
    <w:p w14:paraId="65283BF6" w14:textId="77777777" w:rsidR="00A71EEF" w:rsidRDefault="0081115D">
      <w:pPr>
        <w:pStyle w:val="a4"/>
        <w:numPr>
          <w:ilvl w:val="4"/>
          <w:numId w:val="773"/>
        </w:numPr>
        <w:tabs>
          <w:tab w:val="left" w:pos="1788"/>
        </w:tabs>
        <w:rPr>
          <w:sz w:val="21"/>
        </w:rPr>
      </w:pPr>
      <w:r>
        <w:rPr>
          <w:spacing w:val="-3"/>
          <w:sz w:val="21"/>
        </w:rPr>
        <w:t>正压式泡沫比例混合器</w:t>
      </w:r>
      <w:r>
        <w:rPr>
          <w:sz w:val="21"/>
        </w:rPr>
        <w:t xml:space="preserve"> </w:t>
      </w:r>
    </w:p>
    <w:p w14:paraId="53913CC2" w14:textId="77777777" w:rsidR="00A71EEF" w:rsidRDefault="00A71EEF">
      <w:pPr>
        <w:pStyle w:val="a3"/>
        <w:spacing w:before="2"/>
        <w:rPr>
          <w:sz w:val="18"/>
        </w:rPr>
      </w:pPr>
    </w:p>
    <w:p w14:paraId="05D4CA01" w14:textId="77777777" w:rsidR="00A71EEF" w:rsidRDefault="0081115D">
      <w:pPr>
        <w:pStyle w:val="a4"/>
        <w:numPr>
          <w:ilvl w:val="5"/>
          <w:numId w:val="773"/>
        </w:numPr>
        <w:tabs>
          <w:tab w:val="left" w:pos="1996"/>
        </w:tabs>
        <w:rPr>
          <w:sz w:val="21"/>
        </w:rPr>
      </w:pPr>
      <w:r>
        <w:rPr>
          <w:spacing w:val="-6"/>
          <w:sz w:val="21"/>
        </w:rPr>
        <w:t>正压式泡沫比例混合器的泡沫液泵应符合</w:t>
      </w:r>
      <w:r>
        <w:rPr>
          <w:spacing w:val="-6"/>
          <w:sz w:val="21"/>
        </w:rPr>
        <w:t xml:space="preserve"> </w:t>
      </w:r>
      <w:r>
        <w:rPr>
          <w:sz w:val="21"/>
        </w:rPr>
        <w:t>GB</w:t>
      </w:r>
      <w:r>
        <w:rPr>
          <w:spacing w:val="2"/>
          <w:sz w:val="21"/>
        </w:rPr>
        <w:t xml:space="preserve"> </w:t>
      </w:r>
      <w:r>
        <w:rPr>
          <w:sz w:val="21"/>
        </w:rPr>
        <w:t>6245—2006</w:t>
      </w:r>
      <w:r>
        <w:rPr>
          <w:spacing w:val="-36"/>
          <w:sz w:val="21"/>
        </w:rPr>
        <w:t xml:space="preserve"> </w:t>
      </w:r>
      <w:r>
        <w:rPr>
          <w:spacing w:val="-36"/>
          <w:sz w:val="21"/>
        </w:rPr>
        <w:t>第</w:t>
      </w:r>
      <w:r>
        <w:rPr>
          <w:spacing w:val="-36"/>
          <w:sz w:val="21"/>
        </w:rPr>
        <w:t xml:space="preserve"> </w:t>
      </w:r>
      <w:r>
        <w:rPr>
          <w:sz w:val="21"/>
        </w:rPr>
        <w:t>7</w:t>
      </w:r>
      <w:r>
        <w:rPr>
          <w:spacing w:val="-11"/>
          <w:sz w:val="21"/>
        </w:rPr>
        <w:t xml:space="preserve"> </w:t>
      </w:r>
      <w:r>
        <w:rPr>
          <w:spacing w:val="-11"/>
          <w:sz w:val="21"/>
        </w:rPr>
        <w:t>章的规定。</w:t>
      </w:r>
      <w:r>
        <w:rPr>
          <w:sz w:val="21"/>
        </w:rPr>
        <w:t xml:space="preserve"> </w:t>
      </w:r>
    </w:p>
    <w:p w14:paraId="4F562E93" w14:textId="77777777" w:rsidR="00A71EEF" w:rsidRDefault="00A71EEF">
      <w:pPr>
        <w:pStyle w:val="a3"/>
        <w:spacing w:before="12"/>
        <w:rPr>
          <w:sz w:val="17"/>
        </w:rPr>
      </w:pPr>
    </w:p>
    <w:p w14:paraId="3845AFAB" w14:textId="77777777" w:rsidR="00A71EEF" w:rsidRDefault="0081115D">
      <w:pPr>
        <w:pStyle w:val="a4"/>
        <w:numPr>
          <w:ilvl w:val="5"/>
          <w:numId w:val="773"/>
        </w:numPr>
        <w:tabs>
          <w:tab w:val="left" w:pos="1996"/>
        </w:tabs>
        <w:rPr>
          <w:sz w:val="21"/>
        </w:rPr>
      </w:pPr>
      <w:r>
        <w:rPr>
          <w:spacing w:val="-3"/>
          <w:sz w:val="21"/>
        </w:rPr>
        <w:t>泡沫液泵的动力源和驱动装置应能保证供泡沫液泵正常工作。</w:t>
      </w:r>
      <w:r>
        <w:rPr>
          <w:spacing w:val="-3"/>
          <w:sz w:val="21"/>
        </w:rPr>
        <w:t xml:space="preserve"> </w:t>
      </w:r>
    </w:p>
    <w:p w14:paraId="64710D08" w14:textId="77777777" w:rsidR="00A71EEF" w:rsidRDefault="00A71EEF">
      <w:pPr>
        <w:pStyle w:val="a3"/>
        <w:rPr>
          <w:sz w:val="18"/>
        </w:rPr>
      </w:pPr>
    </w:p>
    <w:p w14:paraId="600DEAE8" w14:textId="77777777" w:rsidR="00A71EEF" w:rsidRDefault="0081115D">
      <w:pPr>
        <w:pStyle w:val="a4"/>
        <w:numPr>
          <w:ilvl w:val="5"/>
          <w:numId w:val="773"/>
        </w:numPr>
        <w:tabs>
          <w:tab w:val="left" w:pos="1996"/>
        </w:tabs>
        <w:rPr>
          <w:sz w:val="21"/>
        </w:rPr>
      </w:pPr>
      <w:r>
        <w:rPr>
          <w:spacing w:val="-3"/>
          <w:sz w:val="21"/>
        </w:rPr>
        <w:t>泡沫液泵的工作压力和流量应与比例混合器的工作压力和流量范围相适应。</w:t>
      </w:r>
      <w:r>
        <w:rPr>
          <w:spacing w:val="-3"/>
          <w:sz w:val="21"/>
        </w:rPr>
        <w:t xml:space="preserve"> </w:t>
      </w:r>
    </w:p>
    <w:p w14:paraId="10F9C1EB" w14:textId="77777777" w:rsidR="00A71EEF" w:rsidRDefault="0081115D">
      <w:pPr>
        <w:pStyle w:val="a4"/>
        <w:numPr>
          <w:ilvl w:val="5"/>
          <w:numId w:val="773"/>
        </w:numPr>
        <w:tabs>
          <w:tab w:val="left" w:pos="1996"/>
        </w:tabs>
        <w:spacing w:before="165" w:line="350" w:lineRule="auto"/>
        <w:ind w:left="418" w:right="1505" w:firstLine="419"/>
        <w:rPr>
          <w:sz w:val="21"/>
        </w:rPr>
      </w:pPr>
      <w:r>
        <w:rPr>
          <w:spacing w:val="-5"/>
          <w:sz w:val="21"/>
        </w:rPr>
        <w:t>泡沫液泵应设有泄压阀，泄压阀在供泡沫液泵最大工作压力的</w:t>
      </w:r>
      <w:r>
        <w:rPr>
          <w:spacing w:val="-5"/>
          <w:sz w:val="21"/>
        </w:rPr>
        <w:t xml:space="preserve"> </w:t>
      </w:r>
      <w:r>
        <w:rPr>
          <w:sz w:val="21"/>
        </w:rPr>
        <w:t>1.1</w:t>
      </w:r>
      <w:r>
        <w:rPr>
          <w:rFonts w:ascii="微软雅黑" w:eastAsia="微软雅黑" w:hint="eastAsia"/>
          <w:sz w:val="21"/>
        </w:rPr>
        <w:t>〜</w:t>
      </w:r>
      <w:r>
        <w:rPr>
          <w:sz w:val="21"/>
        </w:rPr>
        <w:t>1.5</w:t>
      </w:r>
      <w:r>
        <w:rPr>
          <w:spacing w:val="-16"/>
          <w:sz w:val="21"/>
        </w:rPr>
        <w:t xml:space="preserve"> </w:t>
      </w:r>
      <w:r>
        <w:rPr>
          <w:spacing w:val="-16"/>
          <w:sz w:val="21"/>
        </w:rPr>
        <w:t>倍范</w:t>
      </w:r>
      <w:r>
        <w:rPr>
          <w:spacing w:val="-7"/>
          <w:sz w:val="21"/>
        </w:rPr>
        <w:t>围内能自动泄压。</w:t>
      </w:r>
      <w:r>
        <w:rPr>
          <w:sz w:val="21"/>
        </w:rPr>
        <w:t xml:space="preserve"> </w:t>
      </w:r>
    </w:p>
    <w:p w14:paraId="5890FC9B" w14:textId="77777777" w:rsidR="00A71EEF" w:rsidRDefault="0081115D">
      <w:pPr>
        <w:pStyle w:val="a4"/>
        <w:numPr>
          <w:ilvl w:val="5"/>
          <w:numId w:val="773"/>
        </w:numPr>
        <w:tabs>
          <w:tab w:val="left" w:pos="1996"/>
        </w:tabs>
        <w:spacing w:before="41" w:line="352" w:lineRule="auto"/>
        <w:ind w:left="418" w:right="1558" w:firstLine="419"/>
        <w:rPr>
          <w:sz w:val="21"/>
        </w:rPr>
      </w:pPr>
      <w:r>
        <w:rPr>
          <w:spacing w:val="-6"/>
          <w:sz w:val="21"/>
        </w:rPr>
        <w:t>当泡沫罐内液体剩余量达到标称容量的</w:t>
      </w:r>
      <w:r>
        <w:rPr>
          <w:spacing w:val="-6"/>
          <w:sz w:val="21"/>
        </w:rPr>
        <w:t xml:space="preserve"> </w:t>
      </w:r>
      <w:r>
        <w:rPr>
          <w:sz w:val="21"/>
        </w:rPr>
        <w:t>4%</w:t>
      </w:r>
      <w:r>
        <w:rPr>
          <w:rFonts w:ascii="微软雅黑" w:eastAsia="微软雅黑" w:hint="eastAsia"/>
          <w:sz w:val="21"/>
        </w:rPr>
        <w:t>〜</w:t>
      </w:r>
      <w:r>
        <w:rPr>
          <w:sz w:val="21"/>
        </w:rPr>
        <w:t>6</w:t>
      </w:r>
      <w:r>
        <w:rPr>
          <w:spacing w:val="-3"/>
          <w:sz w:val="21"/>
        </w:rPr>
        <w:t>%</w:t>
      </w:r>
      <w:r>
        <w:rPr>
          <w:spacing w:val="-3"/>
          <w:sz w:val="21"/>
        </w:rPr>
        <w:t>范围内时，泡沫液泵应能自动停机。</w:t>
      </w:r>
      <w:r>
        <w:rPr>
          <w:sz w:val="21"/>
        </w:rPr>
        <w:t xml:space="preserve"> </w:t>
      </w:r>
    </w:p>
    <w:p w14:paraId="4D37B4E7" w14:textId="77777777" w:rsidR="00A71EEF" w:rsidRDefault="00A71EEF">
      <w:pPr>
        <w:spacing w:line="352" w:lineRule="auto"/>
        <w:rPr>
          <w:sz w:val="21"/>
        </w:rPr>
        <w:sectPr w:rsidR="00A71EEF">
          <w:pgSz w:w="11910" w:h="16850"/>
          <w:pgMar w:top="1220" w:right="0" w:bottom="1420" w:left="1260" w:header="0" w:footer="1239" w:gutter="0"/>
          <w:cols w:space="720"/>
        </w:sectPr>
      </w:pPr>
    </w:p>
    <w:p w14:paraId="6D23DFA7" w14:textId="77777777" w:rsidR="00A71EEF" w:rsidRDefault="0081115D">
      <w:pPr>
        <w:pStyle w:val="a4"/>
        <w:numPr>
          <w:ilvl w:val="3"/>
          <w:numId w:val="776"/>
        </w:numPr>
        <w:tabs>
          <w:tab w:val="left" w:pos="1576"/>
        </w:tabs>
        <w:spacing w:before="47"/>
        <w:rPr>
          <w:sz w:val="21"/>
        </w:rPr>
      </w:pPr>
      <w:r>
        <w:rPr>
          <w:spacing w:val="-3"/>
          <w:sz w:val="21"/>
        </w:rPr>
        <w:lastRenderedPageBreak/>
        <w:t>消防炮</w:t>
      </w:r>
      <w:r>
        <w:rPr>
          <w:sz w:val="21"/>
        </w:rPr>
        <w:t xml:space="preserve"> </w:t>
      </w:r>
    </w:p>
    <w:p w14:paraId="1447EC6D" w14:textId="77777777" w:rsidR="00A71EEF" w:rsidRDefault="00A71EEF">
      <w:pPr>
        <w:pStyle w:val="a3"/>
        <w:rPr>
          <w:sz w:val="18"/>
        </w:rPr>
      </w:pPr>
    </w:p>
    <w:p w14:paraId="2645D4A9" w14:textId="77777777" w:rsidR="00A71EEF" w:rsidRDefault="0081115D">
      <w:pPr>
        <w:pStyle w:val="a4"/>
        <w:numPr>
          <w:ilvl w:val="4"/>
          <w:numId w:val="776"/>
        </w:numPr>
        <w:tabs>
          <w:tab w:val="left" w:pos="1788"/>
        </w:tabs>
        <w:ind w:left="1787"/>
        <w:rPr>
          <w:sz w:val="21"/>
        </w:rPr>
      </w:pPr>
      <w:r>
        <w:rPr>
          <w:spacing w:val="-3"/>
          <w:sz w:val="21"/>
        </w:rPr>
        <w:t>泡沫车配备的泡沫炮或泡沫</w:t>
      </w:r>
      <w:r>
        <w:rPr>
          <w:spacing w:val="-3"/>
          <w:sz w:val="21"/>
        </w:rPr>
        <w:t>/</w:t>
      </w:r>
      <w:r>
        <w:rPr>
          <w:spacing w:val="-8"/>
          <w:sz w:val="21"/>
        </w:rPr>
        <w:t>水两用炮喷射性能应符合</w:t>
      </w:r>
      <w:r>
        <w:rPr>
          <w:spacing w:val="-8"/>
          <w:sz w:val="21"/>
        </w:rPr>
        <w:t xml:space="preserve"> </w:t>
      </w:r>
      <w:r>
        <w:rPr>
          <w:sz w:val="21"/>
        </w:rPr>
        <w:t>GB</w:t>
      </w:r>
      <w:r>
        <w:rPr>
          <w:spacing w:val="2"/>
          <w:sz w:val="21"/>
        </w:rPr>
        <w:t xml:space="preserve"> </w:t>
      </w:r>
      <w:r>
        <w:rPr>
          <w:sz w:val="21"/>
        </w:rPr>
        <w:t>19156</w:t>
      </w:r>
      <w:r>
        <w:rPr>
          <w:spacing w:val="-13"/>
          <w:sz w:val="21"/>
        </w:rPr>
        <w:t xml:space="preserve"> </w:t>
      </w:r>
      <w:r>
        <w:rPr>
          <w:spacing w:val="-13"/>
          <w:sz w:val="21"/>
        </w:rPr>
        <w:t>的规定。</w:t>
      </w:r>
      <w:r>
        <w:rPr>
          <w:sz w:val="21"/>
        </w:rPr>
        <w:t xml:space="preserve"> </w:t>
      </w:r>
    </w:p>
    <w:p w14:paraId="5FFC20AC" w14:textId="77777777" w:rsidR="00A71EEF" w:rsidRDefault="00A71EEF">
      <w:pPr>
        <w:pStyle w:val="a3"/>
        <w:rPr>
          <w:sz w:val="18"/>
        </w:rPr>
      </w:pPr>
    </w:p>
    <w:p w14:paraId="667E590C" w14:textId="77777777" w:rsidR="00A71EEF" w:rsidRDefault="0081115D">
      <w:pPr>
        <w:pStyle w:val="a4"/>
        <w:numPr>
          <w:ilvl w:val="4"/>
          <w:numId w:val="776"/>
        </w:numPr>
        <w:tabs>
          <w:tab w:val="left" w:pos="1788"/>
        </w:tabs>
        <w:ind w:left="1787"/>
        <w:rPr>
          <w:sz w:val="21"/>
        </w:rPr>
      </w:pPr>
      <w:r>
        <w:rPr>
          <w:spacing w:val="-7"/>
          <w:sz w:val="21"/>
        </w:rPr>
        <w:t>消防炮装车后，俯角不应小于</w:t>
      </w:r>
      <w:r>
        <w:rPr>
          <w:spacing w:val="-7"/>
          <w:sz w:val="21"/>
        </w:rPr>
        <w:t xml:space="preserve"> </w:t>
      </w:r>
      <w:r>
        <w:rPr>
          <w:sz w:val="21"/>
        </w:rPr>
        <w:t>7°</w:t>
      </w:r>
      <w:r>
        <w:rPr>
          <w:sz w:val="21"/>
        </w:rPr>
        <w:t>。</w:t>
      </w:r>
      <w:r>
        <w:rPr>
          <w:sz w:val="21"/>
        </w:rPr>
        <w:t xml:space="preserve"> </w:t>
      </w:r>
    </w:p>
    <w:p w14:paraId="182B1726" w14:textId="77777777" w:rsidR="00A71EEF" w:rsidRDefault="00A71EEF">
      <w:pPr>
        <w:pStyle w:val="a3"/>
        <w:spacing w:before="1"/>
        <w:rPr>
          <w:sz w:val="18"/>
        </w:rPr>
      </w:pPr>
    </w:p>
    <w:p w14:paraId="4823D4F6" w14:textId="77777777" w:rsidR="00A71EEF" w:rsidRDefault="0081115D">
      <w:pPr>
        <w:pStyle w:val="a4"/>
        <w:numPr>
          <w:ilvl w:val="4"/>
          <w:numId w:val="776"/>
        </w:numPr>
        <w:tabs>
          <w:tab w:val="left" w:pos="1788"/>
        </w:tabs>
        <w:spacing w:before="1"/>
        <w:ind w:left="1787"/>
        <w:rPr>
          <w:sz w:val="21"/>
        </w:rPr>
      </w:pPr>
      <w:r>
        <w:rPr>
          <w:spacing w:val="-3"/>
          <w:sz w:val="21"/>
        </w:rPr>
        <w:t>车顶炮的进水管路应设置控制启闭的阀门。</w:t>
      </w:r>
      <w:r>
        <w:rPr>
          <w:sz w:val="21"/>
        </w:rPr>
        <w:t xml:space="preserve"> </w:t>
      </w:r>
    </w:p>
    <w:p w14:paraId="21ADB823" w14:textId="77777777" w:rsidR="00A71EEF" w:rsidRDefault="00A71EEF">
      <w:pPr>
        <w:pStyle w:val="a3"/>
        <w:spacing w:before="12"/>
        <w:rPr>
          <w:sz w:val="17"/>
        </w:rPr>
      </w:pPr>
    </w:p>
    <w:p w14:paraId="207DD73B" w14:textId="77777777" w:rsidR="00A71EEF" w:rsidRDefault="0081115D">
      <w:pPr>
        <w:pStyle w:val="a4"/>
        <w:numPr>
          <w:ilvl w:val="4"/>
          <w:numId w:val="776"/>
        </w:numPr>
        <w:tabs>
          <w:tab w:val="left" w:pos="1788"/>
        </w:tabs>
        <w:spacing w:line="446" w:lineRule="auto"/>
        <w:ind w:right="1609" w:firstLine="419"/>
        <w:rPr>
          <w:sz w:val="21"/>
        </w:rPr>
      </w:pPr>
      <w:r>
        <w:rPr>
          <w:spacing w:val="-3"/>
          <w:sz w:val="21"/>
        </w:rPr>
        <w:t>车顶炮应有锁紧机构和支撑机构，车前炮应有锁紧机构，锁紧机构能够在消防炮喷射时将炮锁止在任何俯仰和回转角度，支撑机构在泡沫车行驶时能够可靠支撑消防炮。</w:t>
      </w:r>
      <w:r>
        <w:rPr>
          <w:sz w:val="21"/>
        </w:rPr>
        <w:t xml:space="preserve"> </w:t>
      </w:r>
    </w:p>
    <w:p w14:paraId="16B6B4F9" w14:textId="77777777" w:rsidR="00A71EEF" w:rsidRDefault="0081115D">
      <w:pPr>
        <w:pStyle w:val="a4"/>
        <w:numPr>
          <w:ilvl w:val="4"/>
          <w:numId w:val="776"/>
        </w:numPr>
        <w:tabs>
          <w:tab w:val="left" w:pos="1788"/>
        </w:tabs>
        <w:spacing w:line="446" w:lineRule="auto"/>
        <w:ind w:right="1609" w:firstLine="419"/>
        <w:rPr>
          <w:sz w:val="21"/>
        </w:rPr>
      </w:pPr>
      <w:r>
        <w:rPr>
          <w:spacing w:val="-3"/>
          <w:sz w:val="21"/>
        </w:rPr>
        <w:t>消防炮为无线遥控时，消防炮的遥控信号不应对消防车其他控制系统和通讯系统的工作造成干扰。</w:t>
      </w:r>
      <w:r>
        <w:rPr>
          <w:sz w:val="21"/>
        </w:rPr>
        <w:t xml:space="preserve"> </w:t>
      </w:r>
    </w:p>
    <w:p w14:paraId="7A497352" w14:textId="77777777" w:rsidR="00A71EEF" w:rsidRDefault="0081115D">
      <w:pPr>
        <w:pStyle w:val="a4"/>
        <w:numPr>
          <w:ilvl w:val="2"/>
          <w:numId w:val="772"/>
        </w:numPr>
        <w:tabs>
          <w:tab w:val="left" w:pos="1370"/>
        </w:tabs>
        <w:spacing w:line="267" w:lineRule="exact"/>
        <w:ind w:hanging="530"/>
        <w:rPr>
          <w:sz w:val="21"/>
        </w:rPr>
      </w:pPr>
      <w:r>
        <w:rPr>
          <w:spacing w:val="-3"/>
          <w:sz w:val="21"/>
        </w:rPr>
        <w:t>泡沫车最大真空度及密封性</w:t>
      </w:r>
      <w:r>
        <w:rPr>
          <w:sz w:val="21"/>
        </w:rPr>
        <w:t xml:space="preserve"> </w:t>
      </w:r>
    </w:p>
    <w:p w14:paraId="6ED9F9D6" w14:textId="77777777" w:rsidR="00A71EEF" w:rsidRDefault="00A71EEF">
      <w:pPr>
        <w:pStyle w:val="a3"/>
        <w:spacing w:before="2"/>
        <w:rPr>
          <w:sz w:val="18"/>
        </w:rPr>
      </w:pPr>
    </w:p>
    <w:p w14:paraId="3B527A0F" w14:textId="77777777" w:rsidR="00A71EEF" w:rsidRDefault="0081115D">
      <w:pPr>
        <w:pStyle w:val="a3"/>
        <w:spacing w:line="446" w:lineRule="auto"/>
        <w:ind w:left="418" w:right="1560" w:firstLine="419"/>
      </w:pPr>
      <w:r>
        <w:rPr>
          <w:spacing w:val="-8"/>
        </w:rPr>
        <w:t>在大气压力为</w:t>
      </w:r>
      <w:r>
        <w:rPr>
          <w:spacing w:val="-8"/>
        </w:rPr>
        <w:t xml:space="preserve"> </w:t>
      </w:r>
      <w:r>
        <w:t>101kPa</w:t>
      </w:r>
      <w:r>
        <w:rPr>
          <w:spacing w:val="-10"/>
        </w:rPr>
        <w:t xml:space="preserve"> </w:t>
      </w:r>
      <w:r>
        <w:rPr>
          <w:spacing w:val="-10"/>
        </w:rPr>
        <w:t>下，消防车引水装置所能形成的最大真空度应不小于</w:t>
      </w:r>
      <w:r>
        <w:rPr>
          <w:spacing w:val="-10"/>
        </w:rPr>
        <w:t xml:space="preserve"> </w:t>
      </w:r>
      <w:r>
        <w:t>85kPa</w:t>
      </w:r>
      <w:r>
        <w:rPr>
          <w:spacing w:val="-3"/>
        </w:rPr>
        <w:t>。引水系统的密封性在最大真空度条件下</w:t>
      </w:r>
      <w:r>
        <w:t>，</w:t>
      </w:r>
      <w:r>
        <w:t>1min</w:t>
      </w:r>
      <w:r>
        <w:rPr>
          <w:spacing w:val="-12"/>
        </w:rPr>
        <w:t xml:space="preserve"> </w:t>
      </w:r>
      <w:r>
        <w:rPr>
          <w:spacing w:val="-12"/>
        </w:rPr>
        <w:t>内真空度的降低数值应不大于</w:t>
      </w:r>
      <w:r>
        <w:rPr>
          <w:spacing w:val="-12"/>
        </w:rPr>
        <w:t xml:space="preserve"> </w:t>
      </w:r>
      <w:r>
        <w:t>2.6kPa</w:t>
      </w:r>
      <w:r>
        <w:t>。</w:t>
      </w:r>
      <w:r>
        <w:t xml:space="preserve"> </w:t>
      </w:r>
    </w:p>
    <w:p w14:paraId="662159E7" w14:textId="77777777" w:rsidR="00A71EEF" w:rsidRDefault="0081115D">
      <w:pPr>
        <w:pStyle w:val="a4"/>
        <w:numPr>
          <w:ilvl w:val="2"/>
          <w:numId w:val="772"/>
        </w:numPr>
        <w:tabs>
          <w:tab w:val="left" w:pos="1370"/>
        </w:tabs>
        <w:spacing w:line="267" w:lineRule="exact"/>
        <w:ind w:hanging="530"/>
        <w:rPr>
          <w:sz w:val="21"/>
        </w:rPr>
      </w:pPr>
      <w:r>
        <w:rPr>
          <w:spacing w:val="-3"/>
          <w:sz w:val="21"/>
        </w:rPr>
        <w:t>引水时间、最大吸深时泵的性能要求</w:t>
      </w:r>
      <w:r>
        <w:rPr>
          <w:sz w:val="21"/>
        </w:rPr>
        <w:t xml:space="preserve"> </w:t>
      </w:r>
    </w:p>
    <w:p w14:paraId="2882E58F" w14:textId="77777777" w:rsidR="00A71EEF" w:rsidRDefault="00A71EEF">
      <w:pPr>
        <w:pStyle w:val="a3"/>
        <w:spacing w:before="1"/>
        <w:rPr>
          <w:sz w:val="18"/>
        </w:rPr>
      </w:pPr>
    </w:p>
    <w:p w14:paraId="40AD7558" w14:textId="77777777" w:rsidR="00A71EEF" w:rsidRDefault="0081115D">
      <w:pPr>
        <w:pStyle w:val="a4"/>
        <w:numPr>
          <w:ilvl w:val="3"/>
          <w:numId w:val="772"/>
        </w:numPr>
        <w:tabs>
          <w:tab w:val="left" w:pos="1576"/>
        </w:tabs>
        <w:spacing w:before="1" w:line="446" w:lineRule="auto"/>
        <w:ind w:right="1457" w:firstLine="419"/>
        <w:rPr>
          <w:sz w:val="21"/>
        </w:rPr>
      </w:pPr>
      <w:r>
        <w:rPr>
          <w:spacing w:val="-11"/>
          <w:sz w:val="21"/>
        </w:rPr>
        <w:t>在大气压力</w:t>
      </w:r>
      <w:r>
        <w:rPr>
          <w:spacing w:val="-11"/>
          <w:sz w:val="21"/>
        </w:rPr>
        <w:t xml:space="preserve"> </w:t>
      </w:r>
      <w:r>
        <w:rPr>
          <w:sz w:val="21"/>
        </w:rPr>
        <w:t>101kP</w:t>
      </w:r>
      <w:r>
        <w:rPr>
          <w:sz w:val="21"/>
        </w:rPr>
        <w:t>a</w:t>
      </w:r>
      <w:r>
        <w:rPr>
          <w:spacing w:val="-14"/>
          <w:sz w:val="21"/>
        </w:rPr>
        <w:t>、水温</w:t>
      </w:r>
      <w:r>
        <w:rPr>
          <w:spacing w:val="-14"/>
          <w:sz w:val="21"/>
        </w:rPr>
        <w:t xml:space="preserve"> </w:t>
      </w:r>
      <w:r>
        <w:rPr>
          <w:sz w:val="21"/>
        </w:rPr>
        <w:t>20</w:t>
      </w:r>
      <w:r>
        <w:rPr>
          <w:spacing w:val="-6"/>
          <w:sz w:val="21"/>
        </w:rPr>
        <w:t>℃</w:t>
      </w:r>
      <w:r>
        <w:rPr>
          <w:spacing w:val="-6"/>
          <w:sz w:val="21"/>
        </w:rPr>
        <w:t>下时，泡沫车的最大吸深不应小于</w:t>
      </w:r>
      <w:r>
        <w:rPr>
          <w:spacing w:val="-6"/>
          <w:sz w:val="21"/>
        </w:rPr>
        <w:t xml:space="preserve"> </w:t>
      </w:r>
      <w:r>
        <w:rPr>
          <w:spacing w:val="-3"/>
          <w:sz w:val="21"/>
        </w:rPr>
        <w:t>7m</w:t>
      </w:r>
      <w:r>
        <w:rPr>
          <w:spacing w:val="-2"/>
          <w:sz w:val="21"/>
        </w:rPr>
        <w:t>。引水时间应</w:t>
      </w:r>
      <w:r>
        <w:rPr>
          <w:spacing w:val="-15"/>
          <w:sz w:val="21"/>
        </w:rPr>
        <w:t>符合表</w:t>
      </w:r>
      <w:r>
        <w:rPr>
          <w:spacing w:val="-15"/>
          <w:sz w:val="21"/>
        </w:rPr>
        <w:t xml:space="preserve"> </w:t>
      </w:r>
      <w:r>
        <w:rPr>
          <w:sz w:val="21"/>
        </w:rPr>
        <w:t>2</w:t>
      </w:r>
      <w:r>
        <w:rPr>
          <w:spacing w:val="-13"/>
          <w:sz w:val="21"/>
        </w:rPr>
        <w:t xml:space="preserve"> </w:t>
      </w:r>
      <w:r>
        <w:rPr>
          <w:spacing w:val="-13"/>
          <w:sz w:val="21"/>
        </w:rPr>
        <w:t>的要求。</w:t>
      </w:r>
      <w:r>
        <w:rPr>
          <w:sz w:val="21"/>
        </w:rPr>
        <w:t xml:space="preserve"> </w:t>
      </w:r>
    </w:p>
    <w:p w14:paraId="597B7501" w14:textId="77777777" w:rsidR="00A71EEF" w:rsidRDefault="0081115D">
      <w:pPr>
        <w:pStyle w:val="a3"/>
        <w:spacing w:before="8"/>
        <w:rPr>
          <w:sz w:val="12"/>
        </w:rPr>
      </w:pPr>
      <w:r>
        <w:rPr>
          <w:noProof/>
        </w:rPr>
        <w:drawing>
          <wp:anchor distT="0" distB="0" distL="0" distR="0" simplePos="0" relativeHeight="251503104" behindDoc="0" locked="0" layoutInCell="1" allowOverlap="1" wp14:anchorId="0A91D22D" wp14:editId="1738AD37">
            <wp:simplePos x="0" y="0"/>
            <wp:positionH relativeFrom="page">
              <wp:posOffset>1027430</wp:posOffset>
            </wp:positionH>
            <wp:positionV relativeFrom="paragraph">
              <wp:posOffset>128056</wp:posOffset>
            </wp:positionV>
            <wp:extent cx="5114925" cy="1133475"/>
            <wp:effectExtent l="0" t="0" r="0" b="0"/>
            <wp:wrapTopAndBottom/>
            <wp:docPr id="129" name="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92.jpeg"/>
                    <pic:cNvPicPr/>
                  </pic:nvPicPr>
                  <pic:blipFill>
                    <a:blip r:embed="rId90" cstate="print"/>
                    <a:stretch>
                      <a:fillRect/>
                    </a:stretch>
                  </pic:blipFill>
                  <pic:spPr>
                    <a:xfrm>
                      <a:off x="0" y="0"/>
                      <a:ext cx="5114925" cy="1133475"/>
                    </a:xfrm>
                    <a:prstGeom prst="rect">
                      <a:avLst/>
                    </a:prstGeom>
                  </pic:spPr>
                </pic:pic>
              </a:graphicData>
            </a:graphic>
          </wp:anchor>
        </w:drawing>
      </w:r>
    </w:p>
    <w:p w14:paraId="70447E81" w14:textId="77777777" w:rsidR="00A71EEF" w:rsidRDefault="0081115D">
      <w:pPr>
        <w:pStyle w:val="a4"/>
        <w:numPr>
          <w:ilvl w:val="3"/>
          <w:numId w:val="772"/>
        </w:numPr>
        <w:tabs>
          <w:tab w:val="left" w:pos="1576"/>
        </w:tabs>
        <w:spacing w:before="164"/>
        <w:ind w:left="1575"/>
        <w:rPr>
          <w:sz w:val="21"/>
        </w:rPr>
      </w:pPr>
      <w:r>
        <w:rPr>
          <w:spacing w:val="-6"/>
          <w:sz w:val="21"/>
        </w:rPr>
        <w:t>在最大吸深时，消防泵的流量和出口压力应满足表</w:t>
      </w:r>
      <w:r>
        <w:rPr>
          <w:spacing w:val="-6"/>
          <w:sz w:val="21"/>
        </w:rPr>
        <w:t xml:space="preserve"> </w:t>
      </w:r>
      <w:r>
        <w:rPr>
          <w:sz w:val="21"/>
        </w:rPr>
        <w:t>3</w:t>
      </w:r>
      <w:r>
        <w:rPr>
          <w:spacing w:val="-13"/>
          <w:sz w:val="21"/>
        </w:rPr>
        <w:t xml:space="preserve"> </w:t>
      </w:r>
      <w:r>
        <w:rPr>
          <w:spacing w:val="-13"/>
          <w:sz w:val="21"/>
        </w:rPr>
        <w:t>的规定。</w:t>
      </w:r>
      <w:r>
        <w:rPr>
          <w:sz w:val="21"/>
        </w:rPr>
        <w:t xml:space="preserve"> </w:t>
      </w:r>
    </w:p>
    <w:p w14:paraId="0EB5FE39" w14:textId="77777777" w:rsidR="00A71EEF" w:rsidRDefault="0081115D">
      <w:pPr>
        <w:pStyle w:val="a3"/>
        <w:spacing w:before="9"/>
      </w:pPr>
      <w:r>
        <w:rPr>
          <w:noProof/>
        </w:rPr>
        <w:drawing>
          <wp:anchor distT="0" distB="0" distL="0" distR="0" simplePos="0" relativeHeight="251504128" behindDoc="0" locked="0" layoutInCell="1" allowOverlap="1" wp14:anchorId="7459D88A" wp14:editId="35D523DD">
            <wp:simplePos x="0" y="0"/>
            <wp:positionH relativeFrom="page">
              <wp:posOffset>1170305</wp:posOffset>
            </wp:positionH>
            <wp:positionV relativeFrom="paragraph">
              <wp:posOffset>201890</wp:posOffset>
            </wp:positionV>
            <wp:extent cx="4715510" cy="1409700"/>
            <wp:effectExtent l="0" t="0" r="0" b="0"/>
            <wp:wrapTopAndBottom/>
            <wp:docPr id="131" name="image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93.jpeg"/>
                    <pic:cNvPicPr/>
                  </pic:nvPicPr>
                  <pic:blipFill>
                    <a:blip r:embed="rId91" cstate="print"/>
                    <a:stretch>
                      <a:fillRect/>
                    </a:stretch>
                  </pic:blipFill>
                  <pic:spPr>
                    <a:xfrm>
                      <a:off x="0" y="0"/>
                      <a:ext cx="4715510" cy="1409700"/>
                    </a:xfrm>
                    <a:prstGeom prst="rect">
                      <a:avLst/>
                    </a:prstGeom>
                  </pic:spPr>
                </pic:pic>
              </a:graphicData>
            </a:graphic>
          </wp:anchor>
        </w:drawing>
      </w:r>
    </w:p>
    <w:p w14:paraId="76E67EC9" w14:textId="77777777" w:rsidR="00A71EEF" w:rsidRDefault="0081115D">
      <w:pPr>
        <w:pStyle w:val="a4"/>
        <w:numPr>
          <w:ilvl w:val="2"/>
          <w:numId w:val="772"/>
        </w:numPr>
        <w:tabs>
          <w:tab w:val="left" w:pos="1371"/>
        </w:tabs>
        <w:spacing w:before="164"/>
        <w:ind w:left="1370" w:hanging="531"/>
        <w:rPr>
          <w:sz w:val="21"/>
        </w:rPr>
      </w:pPr>
      <w:r>
        <w:rPr>
          <w:spacing w:val="-3"/>
          <w:sz w:val="21"/>
        </w:rPr>
        <w:t>泡沫车连续运转要求</w:t>
      </w:r>
      <w:r>
        <w:rPr>
          <w:spacing w:val="-3"/>
          <w:sz w:val="21"/>
        </w:rPr>
        <w:t xml:space="preserve"> </w:t>
      </w:r>
    </w:p>
    <w:p w14:paraId="039ADA10" w14:textId="77777777" w:rsidR="00A71EEF" w:rsidRDefault="00A71EEF">
      <w:pPr>
        <w:pStyle w:val="a3"/>
        <w:rPr>
          <w:sz w:val="18"/>
        </w:rPr>
      </w:pPr>
    </w:p>
    <w:p w14:paraId="66AC40CC" w14:textId="77777777" w:rsidR="00A71EEF" w:rsidRDefault="0081115D">
      <w:pPr>
        <w:pStyle w:val="a3"/>
        <w:ind w:left="838"/>
      </w:pPr>
      <w:r>
        <w:t>泡沫车</w:t>
      </w:r>
      <w:r>
        <w:t xml:space="preserve"> 6h </w:t>
      </w:r>
      <w:r>
        <w:t>连续运转试验应符合以下要求：</w:t>
      </w:r>
      <w:r>
        <w:t xml:space="preserve"> </w:t>
      </w:r>
    </w:p>
    <w:p w14:paraId="793EB9A8" w14:textId="77777777" w:rsidR="00A71EEF" w:rsidRDefault="00A71EEF">
      <w:pPr>
        <w:pStyle w:val="a3"/>
        <w:spacing w:before="12"/>
        <w:rPr>
          <w:sz w:val="17"/>
        </w:rPr>
      </w:pPr>
    </w:p>
    <w:p w14:paraId="76656348" w14:textId="77777777" w:rsidR="00A71EEF" w:rsidRDefault="0081115D">
      <w:pPr>
        <w:pStyle w:val="a3"/>
        <w:ind w:left="838"/>
      </w:pPr>
      <w:r>
        <w:t>——</w:t>
      </w:r>
      <w:r>
        <w:t>在连续运转试验过程中，发动机转速不应超过发动机的额定转速；</w:t>
      </w:r>
      <w:r>
        <w:t xml:space="preserve"> </w:t>
      </w:r>
    </w:p>
    <w:p w14:paraId="2A9EA7BC" w14:textId="77777777" w:rsidR="00A71EEF" w:rsidRDefault="00A71EEF">
      <w:pPr>
        <w:pStyle w:val="a3"/>
        <w:spacing w:before="2"/>
        <w:rPr>
          <w:sz w:val="18"/>
        </w:rPr>
      </w:pPr>
    </w:p>
    <w:p w14:paraId="2395A466" w14:textId="77777777" w:rsidR="00A71EEF" w:rsidRDefault="0081115D">
      <w:pPr>
        <w:pStyle w:val="a3"/>
        <w:ind w:left="838"/>
      </w:pPr>
      <w:r>
        <w:t>——</w:t>
      </w:r>
      <w:r>
        <w:t>发动机无异响、过度振动、漏水、漏油、漏气等异常现象；</w:t>
      </w:r>
      <w:r>
        <w:t xml:space="preserve"> </w:t>
      </w:r>
    </w:p>
    <w:p w14:paraId="3ED0B35F" w14:textId="77777777" w:rsidR="00A71EEF" w:rsidRDefault="00A71EEF">
      <w:pPr>
        <w:sectPr w:rsidR="00A71EEF">
          <w:pgSz w:w="11910" w:h="16850"/>
          <w:pgMar w:top="1220" w:right="0" w:bottom="1420" w:left="1260" w:header="0" w:footer="1239" w:gutter="0"/>
          <w:cols w:space="720"/>
        </w:sectPr>
      </w:pPr>
    </w:p>
    <w:p w14:paraId="677E26F1" w14:textId="77777777" w:rsidR="00A71EEF" w:rsidRDefault="0081115D">
      <w:pPr>
        <w:pStyle w:val="a3"/>
        <w:spacing w:before="47"/>
        <w:ind w:left="838"/>
      </w:pPr>
      <w:r>
        <w:rPr>
          <w:spacing w:val="-7"/>
        </w:rPr>
        <w:lastRenderedPageBreak/>
        <w:t>——</w:t>
      </w:r>
      <w:r>
        <w:rPr>
          <w:spacing w:val="-7"/>
        </w:rPr>
        <w:t>发动机出水温度小于</w:t>
      </w:r>
      <w:r>
        <w:rPr>
          <w:spacing w:val="-7"/>
        </w:rPr>
        <w:t xml:space="preserve"> </w:t>
      </w:r>
      <w:r>
        <w:t>90℃</w:t>
      </w:r>
      <w:r>
        <w:t>；</w:t>
      </w:r>
      <w:r>
        <w:t xml:space="preserve"> </w:t>
      </w:r>
    </w:p>
    <w:p w14:paraId="6DA8C6D0" w14:textId="77777777" w:rsidR="00A71EEF" w:rsidRDefault="00A71EEF">
      <w:pPr>
        <w:pStyle w:val="a3"/>
        <w:rPr>
          <w:sz w:val="18"/>
        </w:rPr>
      </w:pPr>
    </w:p>
    <w:p w14:paraId="7EDFFC8A" w14:textId="77777777" w:rsidR="00A71EEF" w:rsidRDefault="0081115D">
      <w:pPr>
        <w:pStyle w:val="a3"/>
        <w:ind w:left="838"/>
      </w:pPr>
      <w:r>
        <w:rPr>
          <w:spacing w:val="-7"/>
        </w:rPr>
        <w:t>——</w:t>
      </w:r>
      <w:r>
        <w:rPr>
          <w:spacing w:val="-7"/>
        </w:rPr>
        <w:t>发动机机油温度小于</w:t>
      </w:r>
      <w:r>
        <w:rPr>
          <w:spacing w:val="-7"/>
        </w:rPr>
        <w:t xml:space="preserve"> </w:t>
      </w:r>
      <w:r>
        <w:t>95℃</w:t>
      </w:r>
      <w:r>
        <w:t>；</w:t>
      </w:r>
      <w:r>
        <w:t xml:space="preserve"> </w:t>
      </w:r>
    </w:p>
    <w:p w14:paraId="71E83862" w14:textId="77777777" w:rsidR="00A71EEF" w:rsidRDefault="00A71EEF">
      <w:pPr>
        <w:pStyle w:val="a3"/>
        <w:rPr>
          <w:sz w:val="18"/>
        </w:rPr>
      </w:pPr>
    </w:p>
    <w:p w14:paraId="74C80A59" w14:textId="77777777" w:rsidR="00A71EEF" w:rsidRDefault="0081115D">
      <w:pPr>
        <w:pStyle w:val="a3"/>
        <w:ind w:left="838"/>
      </w:pPr>
      <w:r>
        <w:t>——</w:t>
      </w:r>
      <w:r>
        <w:t>变速器及功率输出装置的润滑油温度应小于</w:t>
      </w:r>
      <w:r>
        <w:t xml:space="preserve"> 100℃</w:t>
      </w:r>
      <w:r>
        <w:t>；</w:t>
      </w:r>
      <w:r>
        <w:t xml:space="preserve"> </w:t>
      </w:r>
    </w:p>
    <w:p w14:paraId="3941F730" w14:textId="77777777" w:rsidR="00A71EEF" w:rsidRDefault="00A71EEF">
      <w:pPr>
        <w:pStyle w:val="a3"/>
        <w:spacing w:before="1"/>
        <w:rPr>
          <w:sz w:val="18"/>
        </w:rPr>
      </w:pPr>
    </w:p>
    <w:p w14:paraId="32B4B3D8" w14:textId="77777777" w:rsidR="00A71EEF" w:rsidRDefault="0081115D">
      <w:pPr>
        <w:pStyle w:val="a3"/>
        <w:spacing w:before="1" w:line="446" w:lineRule="auto"/>
        <w:ind w:left="840" w:right="4710" w:hanging="3"/>
      </w:pPr>
      <w:r>
        <w:t>——</w:t>
      </w:r>
      <w:r>
        <w:t>功率输出装置的输出轴轴承座温度应小于</w:t>
      </w:r>
      <w:r>
        <w:t xml:space="preserve"> 100℃</w:t>
      </w:r>
      <w:r>
        <w:t>。</w:t>
      </w:r>
      <w:r>
        <w:rPr>
          <w:b/>
        </w:rPr>
        <w:t xml:space="preserve">4.4.8 </w:t>
      </w:r>
      <w:r>
        <w:t>泡沫车超负荷运转要求</w:t>
      </w:r>
      <w:r>
        <w:t xml:space="preserve"> </w:t>
      </w:r>
    </w:p>
    <w:p w14:paraId="59644347" w14:textId="77777777" w:rsidR="00A71EEF" w:rsidRDefault="0081115D">
      <w:pPr>
        <w:pStyle w:val="a3"/>
        <w:spacing w:line="446" w:lineRule="auto"/>
        <w:ind w:left="840" w:right="2345" w:hanging="3"/>
      </w:pPr>
      <w:r>
        <w:t>进行超负荷运转试验，发动机和消防泵应工作正常，无过度振动、漏油等现象。</w:t>
      </w:r>
      <w:r>
        <w:rPr>
          <w:b/>
        </w:rPr>
        <w:t xml:space="preserve">4.5 </w:t>
      </w:r>
      <w:r>
        <w:t>仪器、仪表的要求</w:t>
      </w:r>
      <w:r>
        <w:t xml:space="preserve"> </w:t>
      </w:r>
    </w:p>
    <w:p w14:paraId="7675E484" w14:textId="77777777" w:rsidR="00A71EEF" w:rsidRDefault="0081115D">
      <w:pPr>
        <w:pStyle w:val="a4"/>
        <w:numPr>
          <w:ilvl w:val="2"/>
          <w:numId w:val="771"/>
        </w:numPr>
        <w:tabs>
          <w:tab w:val="left" w:pos="1371"/>
        </w:tabs>
        <w:rPr>
          <w:sz w:val="21"/>
        </w:rPr>
      </w:pPr>
      <w:r>
        <w:rPr>
          <w:spacing w:val="-7"/>
          <w:sz w:val="21"/>
        </w:rPr>
        <w:t>泡沫车的仪器、仪表应符合</w:t>
      </w:r>
      <w:r>
        <w:rPr>
          <w:spacing w:val="-7"/>
          <w:sz w:val="21"/>
        </w:rPr>
        <w:t xml:space="preserve"> </w:t>
      </w:r>
      <w:r>
        <w:rPr>
          <w:sz w:val="21"/>
        </w:rPr>
        <w:t>GB</w:t>
      </w:r>
      <w:r>
        <w:rPr>
          <w:spacing w:val="1"/>
          <w:sz w:val="21"/>
        </w:rPr>
        <w:t xml:space="preserve"> </w:t>
      </w:r>
      <w:r>
        <w:rPr>
          <w:sz w:val="21"/>
        </w:rPr>
        <w:t>7956.1—2014</w:t>
      </w:r>
      <w:r>
        <w:rPr>
          <w:spacing w:val="-36"/>
          <w:sz w:val="21"/>
        </w:rPr>
        <w:t xml:space="preserve"> </w:t>
      </w:r>
      <w:r>
        <w:rPr>
          <w:spacing w:val="-36"/>
          <w:sz w:val="21"/>
        </w:rPr>
        <w:t>中</w:t>
      </w:r>
      <w:r>
        <w:rPr>
          <w:spacing w:val="-36"/>
          <w:sz w:val="21"/>
        </w:rPr>
        <w:t xml:space="preserve"> </w:t>
      </w:r>
      <w:r>
        <w:rPr>
          <w:sz w:val="21"/>
        </w:rPr>
        <w:t>5.6</w:t>
      </w:r>
      <w:r>
        <w:rPr>
          <w:spacing w:val="-13"/>
          <w:sz w:val="21"/>
        </w:rPr>
        <w:t xml:space="preserve"> </w:t>
      </w:r>
      <w:r>
        <w:rPr>
          <w:spacing w:val="-13"/>
          <w:sz w:val="21"/>
        </w:rPr>
        <w:t>的规定。</w:t>
      </w:r>
      <w:r>
        <w:rPr>
          <w:sz w:val="21"/>
        </w:rPr>
        <w:t xml:space="preserve"> </w:t>
      </w:r>
    </w:p>
    <w:p w14:paraId="23CC811C" w14:textId="77777777" w:rsidR="00A71EEF" w:rsidRDefault="00A71EEF">
      <w:pPr>
        <w:pStyle w:val="a3"/>
        <w:spacing w:before="10"/>
        <w:rPr>
          <w:sz w:val="17"/>
        </w:rPr>
      </w:pPr>
    </w:p>
    <w:p w14:paraId="7781CB09" w14:textId="77777777" w:rsidR="00A71EEF" w:rsidRDefault="0081115D">
      <w:pPr>
        <w:pStyle w:val="a4"/>
        <w:numPr>
          <w:ilvl w:val="2"/>
          <w:numId w:val="771"/>
        </w:numPr>
        <w:tabs>
          <w:tab w:val="left" w:pos="1370"/>
        </w:tabs>
        <w:ind w:left="1369" w:hanging="530"/>
        <w:rPr>
          <w:sz w:val="21"/>
        </w:rPr>
      </w:pPr>
      <w:r>
        <w:rPr>
          <w:spacing w:val="-3"/>
          <w:sz w:val="21"/>
        </w:rPr>
        <w:t>泡沫车显示负压的真空表应选用压力真空联用表。</w:t>
      </w:r>
      <w:r>
        <w:rPr>
          <w:sz w:val="21"/>
        </w:rPr>
        <w:t xml:space="preserve"> </w:t>
      </w:r>
    </w:p>
    <w:p w14:paraId="49571D7E" w14:textId="77777777" w:rsidR="00A71EEF" w:rsidRDefault="00A71EEF">
      <w:pPr>
        <w:pStyle w:val="a3"/>
        <w:spacing w:before="2"/>
        <w:rPr>
          <w:sz w:val="18"/>
        </w:rPr>
      </w:pPr>
    </w:p>
    <w:p w14:paraId="2E13431E" w14:textId="77777777" w:rsidR="00A71EEF" w:rsidRDefault="0081115D">
      <w:pPr>
        <w:pStyle w:val="a4"/>
        <w:numPr>
          <w:ilvl w:val="1"/>
          <w:numId w:val="770"/>
        </w:numPr>
        <w:tabs>
          <w:tab w:val="left" w:pos="1159"/>
        </w:tabs>
        <w:ind w:hanging="319"/>
        <w:rPr>
          <w:sz w:val="21"/>
        </w:rPr>
      </w:pPr>
      <w:r>
        <w:rPr>
          <w:spacing w:val="-3"/>
          <w:sz w:val="21"/>
        </w:rPr>
        <w:t>器材摆放、固定和配备</w:t>
      </w:r>
      <w:r>
        <w:rPr>
          <w:spacing w:val="-3"/>
          <w:sz w:val="21"/>
        </w:rPr>
        <w:t xml:space="preserve"> </w:t>
      </w:r>
    </w:p>
    <w:p w14:paraId="34028F4B" w14:textId="77777777" w:rsidR="00A71EEF" w:rsidRDefault="00A71EEF">
      <w:pPr>
        <w:pStyle w:val="a3"/>
        <w:spacing w:before="12"/>
        <w:rPr>
          <w:sz w:val="17"/>
        </w:rPr>
      </w:pPr>
    </w:p>
    <w:p w14:paraId="61400F54" w14:textId="77777777" w:rsidR="00A71EEF" w:rsidRDefault="0081115D">
      <w:pPr>
        <w:pStyle w:val="a3"/>
        <w:ind w:left="840"/>
      </w:pPr>
      <w:r>
        <w:rPr>
          <w:b/>
        </w:rPr>
        <w:t xml:space="preserve">4.6.1 </w:t>
      </w:r>
      <w:r>
        <w:t>器材的摆放和固定应符合</w:t>
      </w:r>
      <w:r>
        <w:t xml:space="preserve"> GB 7956.1—2014 </w:t>
      </w:r>
      <w:r>
        <w:t>中</w:t>
      </w:r>
      <w:r>
        <w:t xml:space="preserve"> 5.10</w:t>
      </w:r>
      <w:r>
        <w:t>、</w:t>
      </w:r>
      <w:r>
        <w:t xml:space="preserve">5.11 </w:t>
      </w:r>
      <w:r>
        <w:t>的规定。</w:t>
      </w:r>
      <w:r>
        <w:t xml:space="preserve"> </w:t>
      </w:r>
    </w:p>
    <w:p w14:paraId="7198F69C" w14:textId="77777777" w:rsidR="00A71EEF" w:rsidRDefault="00A71EEF">
      <w:pPr>
        <w:pStyle w:val="a3"/>
        <w:spacing w:before="12"/>
        <w:rPr>
          <w:sz w:val="17"/>
        </w:rPr>
      </w:pPr>
    </w:p>
    <w:p w14:paraId="1439AA7F" w14:textId="77777777" w:rsidR="00A71EEF" w:rsidRDefault="0081115D">
      <w:pPr>
        <w:pStyle w:val="a3"/>
        <w:spacing w:before="1"/>
        <w:ind w:left="840"/>
      </w:pPr>
      <w:r>
        <w:rPr>
          <w:b/>
        </w:rPr>
        <w:t xml:space="preserve">4.6.2 </w:t>
      </w:r>
      <w:r>
        <w:t>泡沫车配备的器材、附件应不低于表</w:t>
      </w:r>
      <w:r>
        <w:t xml:space="preserve"> 4 </w:t>
      </w:r>
      <w:r>
        <w:t>的规定。</w:t>
      </w:r>
      <w:r>
        <w:t xml:space="preserve"> </w:t>
      </w:r>
    </w:p>
    <w:p w14:paraId="034E8C4D" w14:textId="77777777" w:rsidR="00A71EEF" w:rsidRDefault="00A71EEF">
      <w:pPr>
        <w:pStyle w:val="a3"/>
        <w:spacing w:before="1"/>
        <w:rPr>
          <w:sz w:val="18"/>
        </w:rPr>
      </w:pPr>
    </w:p>
    <w:p w14:paraId="7769285B" w14:textId="77777777" w:rsidR="00A71EEF" w:rsidRDefault="0081115D">
      <w:pPr>
        <w:pStyle w:val="a3"/>
        <w:ind w:right="912"/>
        <w:jc w:val="center"/>
      </w:pPr>
      <w:r>
        <w:rPr>
          <w:noProof/>
        </w:rPr>
        <w:drawing>
          <wp:anchor distT="0" distB="0" distL="0" distR="0" simplePos="0" relativeHeight="251505152" behindDoc="0" locked="0" layoutInCell="1" allowOverlap="1" wp14:anchorId="4CCDA755" wp14:editId="08993DC0">
            <wp:simplePos x="0" y="0"/>
            <wp:positionH relativeFrom="page">
              <wp:posOffset>1265555</wp:posOffset>
            </wp:positionH>
            <wp:positionV relativeFrom="paragraph">
              <wp:posOffset>230251</wp:posOffset>
            </wp:positionV>
            <wp:extent cx="5020933" cy="4805934"/>
            <wp:effectExtent l="0" t="0" r="0" b="0"/>
            <wp:wrapTopAndBottom/>
            <wp:docPr id="133" name="image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94.jpeg"/>
                    <pic:cNvPicPr/>
                  </pic:nvPicPr>
                  <pic:blipFill>
                    <a:blip r:embed="rId92" cstate="print"/>
                    <a:stretch>
                      <a:fillRect/>
                    </a:stretch>
                  </pic:blipFill>
                  <pic:spPr>
                    <a:xfrm>
                      <a:off x="0" y="0"/>
                      <a:ext cx="5020933" cy="4805934"/>
                    </a:xfrm>
                    <a:prstGeom prst="rect">
                      <a:avLst/>
                    </a:prstGeom>
                  </pic:spPr>
                </pic:pic>
              </a:graphicData>
            </a:graphic>
          </wp:anchor>
        </w:drawing>
      </w:r>
      <w:r>
        <w:t xml:space="preserve"> </w:t>
      </w:r>
    </w:p>
    <w:p w14:paraId="183E28B8" w14:textId="77777777" w:rsidR="00A71EEF" w:rsidRDefault="00A71EEF">
      <w:pPr>
        <w:jc w:val="center"/>
        <w:sectPr w:rsidR="00A71EEF">
          <w:pgSz w:w="11910" w:h="16850"/>
          <w:pgMar w:top="1220" w:right="0" w:bottom="1420" w:left="1260" w:header="0" w:footer="1239" w:gutter="0"/>
          <w:cols w:space="720"/>
        </w:sectPr>
      </w:pPr>
    </w:p>
    <w:p w14:paraId="23ACD66A" w14:textId="77777777" w:rsidR="00A71EEF" w:rsidRDefault="00A71EEF">
      <w:pPr>
        <w:pStyle w:val="a3"/>
        <w:rPr>
          <w:sz w:val="20"/>
        </w:rPr>
      </w:pPr>
    </w:p>
    <w:p w14:paraId="38AA637F" w14:textId="77777777" w:rsidR="00A71EEF" w:rsidRDefault="00A71EEF">
      <w:pPr>
        <w:pStyle w:val="a3"/>
        <w:rPr>
          <w:sz w:val="20"/>
        </w:rPr>
      </w:pPr>
    </w:p>
    <w:p w14:paraId="7BB7C172" w14:textId="77777777" w:rsidR="00A71EEF" w:rsidRDefault="00A71EEF">
      <w:pPr>
        <w:pStyle w:val="a3"/>
        <w:rPr>
          <w:sz w:val="20"/>
        </w:rPr>
      </w:pPr>
    </w:p>
    <w:p w14:paraId="53852919" w14:textId="77777777" w:rsidR="00A71EEF" w:rsidRDefault="00A71EEF">
      <w:pPr>
        <w:pStyle w:val="a3"/>
        <w:rPr>
          <w:sz w:val="20"/>
        </w:rPr>
      </w:pPr>
    </w:p>
    <w:p w14:paraId="3686997F" w14:textId="77777777" w:rsidR="00A71EEF" w:rsidRDefault="00A71EEF">
      <w:pPr>
        <w:pStyle w:val="a3"/>
        <w:rPr>
          <w:sz w:val="20"/>
        </w:rPr>
      </w:pPr>
    </w:p>
    <w:p w14:paraId="64BB68D0" w14:textId="77777777" w:rsidR="00A71EEF" w:rsidRDefault="00A71EEF">
      <w:pPr>
        <w:pStyle w:val="a3"/>
        <w:rPr>
          <w:sz w:val="20"/>
        </w:rPr>
      </w:pPr>
    </w:p>
    <w:p w14:paraId="04B0DEF0" w14:textId="77777777" w:rsidR="00A71EEF" w:rsidRDefault="00A71EEF">
      <w:pPr>
        <w:pStyle w:val="a3"/>
        <w:rPr>
          <w:sz w:val="20"/>
        </w:rPr>
      </w:pPr>
    </w:p>
    <w:p w14:paraId="10655BD5" w14:textId="77777777" w:rsidR="00A71EEF" w:rsidRDefault="00A71EEF">
      <w:pPr>
        <w:pStyle w:val="a3"/>
        <w:rPr>
          <w:sz w:val="20"/>
        </w:rPr>
      </w:pPr>
    </w:p>
    <w:p w14:paraId="1B80A82A" w14:textId="77777777" w:rsidR="00A71EEF" w:rsidRDefault="00A71EEF">
      <w:pPr>
        <w:pStyle w:val="a3"/>
        <w:rPr>
          <w:sz w:val="20"/>
        </w:rPr>
      </w:pPr>
    </w:p>
    <w:p w14:paraId="31C0060F" w14:textId="77777777" w:rsidR="00A71EEF" w:rsidRDefault="00A71EEF">
      <w:pPr>
        <w:pStyle w:val="a3"/>
        <w:rPr>
          <w:sz w:val="20"/>
        </w:rPr>
      </w:pPr>
    </w:p>
    <w:p w14:paraId="2EB54D22" w14:textId="77777777" w:rsidR="00A71EEF" w:rsidRDefault="00A71EEF">
      <w:pPr>
        <w:pStyle w:val="a3"/>
        <w:spacing w:before="8"/>
        <w:rPr>
          <w:sz w:val="16"/>
        </w:rPr>
      </w:pPr>
    </w:p>
    <w:p w14:paraId="7C5CE977" w14:textId="77777777" w:rsidR="00A71EEF" w:rsidRDefault="0081115D">
      <w:pPr>
        <w:pStyle w:val="a3"/>
        <w:ind w:left="808"/>
        <w:rPr>
          <w:sz w:val="20"/>
        </w:rPr>
      </w:pPr>
      <w:r>
        <w:rPr>
          <w:noProof/>
          <w:sz w:val="20"/>
        </w:rPr>
        <w:drawing>
          <wp:inline distT="0" distB="0" distL="0" distR="0" wp14:anchorId="79E2A85E" wp14:editId="07621224">
            <wp:extent cx="4862966" cy="3554539"/>
            <wp:effectExtent l="0" t="0" r="0" b="0"/>
            <wp:docPr id="135" name="image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95.jpeg"/>
                    <pic:cNvPicPr/>
                  </pic:nvPicPr>
                  <pic:blipFill>
                    <a:blip r:embed="rId93" cstate="print"/>
                    <a:stretch>
                      <a:fillRect/>
                    </a:stretch>
                  </pic:blipFill>
                  <pic:spPr>
                    <a:xfrm>
                      <a:off x="0" y="0"/>
                      <a:ext cx="4862966" cy="3554539"/>
                    </a:xfrm>
                    <a:prstGeom prst="rect">
                      <a:avLst/>
                    </a:prstGeom>
                  </pic:spPr>
                </pic:pic>
              </a:graphicData>
            </a:graphic>
          </wp:inline>
        </w:drawing>
      </w:r>
    </w:p>
    <w:p w14:paraId="13756B73" w14:textId="77777777" w:rsidR="00A71EEF" w:rsidRDefault="00A71EEF">
      <w:pPr>
        <w:pStyle w:val="a3"/>
        <w:rPr>
          <w:sz w:val="20"/>
        </w:rPr>
      </w:pPr>
    </w:p>
    <w:p w14:paraId="1AA7DFF0" w14:textId="77777777" w:rsidR="00A71EEF" w:rsidRDefault="00A71EEF">
      <w:pPr>
        <w:pStyle w:val="a3"/>
        <w:rPr>
          <w:sz w:val="27"/>
        </w:rPr>
      </w:pPr>
    </w:p>
    <w:p w14:paraId="3546C6C4" w14:textId="77777777" w:rsidR="00A71EEF" w:rsidRDefault="0081115D">
      <w:pPr>
        <w:pStyle w:val="a4"/>
        <w:numPr>
          <w:ilvl w:val="1"/>
          <w:numId w:val="770"/>
        </w:numPr>
        <w:tabs>
          <w:tab w:val="left" w:pos="1160"/>
        </w:tabs>
        <w:spacing w:before="72"/>
        <w:ind w:left="1159" w:hanging="320"/>
        <w:rPr>
          <w:b/>
          <w:sz w:val="21"/>
        </w:rPr>
      </w:pPr>
      <w:r>
        <w:rPr>
          <w:spacing w:val="-3"/>
          <w:sz w:val="21"/>
        </w:rPr>
        <w:t>警报灯具</w:t>
      </w:r>
      <w:r>
        <w:rPr>
          <w:b/>
          <w:w w:val="99"/>
          <w:sz w:val="21"/>
        </w:rPr>
        <w:t xml:space="preserve"> </w:t>
      </w:r>
    </w:p>
    <w:p w14:paraId="7744191A" w14:textId="77777777" w:rsidR="00A71EEF" w:rsidRDefault="0081115D">
      <w:pPr>
        <w:pStyle w:val="a3"/>
        <w:spacing w:before="163" w:line="352" w:lineRule="auto"/>
        <w:ind w:left="840" w:right="3505" w:hanging="3"/>
      </w:pPr>
      <w:r>
        <w:rPr>
          <w:spacing w:val="-8"/>
        </w:rPr>
        <w:t>警报灯具性能应符合</w:t>
      </w:r>
      <w:r>
        <w:rPr>
          <w:spacing w:val="-8"/>
        </w:rPr>
        <w:t xml:space="preserve"> </w:t>
      </w:r>
      <w:r>
        <w:t>GB 7956.1—2014</w:t>
      </w:r>
      <w:r>
        <w:rPr>
          <w:spacing w:val="-35"/>
        </w:rPr>
        <w:t xml:space="preserve"> </w:t>
      </w:r>
      <w:r>
        <w:rPr>
          <w:spacing w:val="-35"/>
        </w:rPr>
        <w:t>中</w:t>
      </w:r>
      <w:r>
        <w:rPr>
          <w:spacing w:val="-35"/>
        </w:rPr>
        <w:t xml:space="preserve"> </w:t>
      </w:r>
      <w:r>
        <w:t>5.7.28</w:t>
      </w:r>
      <w:r>
        <w:rPr>
          <w:rFonts w:ascii="微软雅黑" w:eastAsia="微软雅黑" w:hAnsi="微软雅黑" w:hint="eastAsia"/>
          <w:spacing w:val="-3"/>
        </w:rPr>
        <w:t>〜</w:t>
      </w:r>
      <w:r>
        <w:t>5.7.31</w:t>
      </w:r>
      <w:r>
        <w:rPr>
          <w:spacing w:val="-13"/>
        </w:rPr>
        <w:t xml:space="preserve"> </w:t>
      </w:r>
      <w:r>
        <w:rPr>
          <w:spacing w:val="-13"/>
        </w:rPr>
        <w:t>的要求。</w:t>
      </w:r>
      <w:r>
        <w:rPr>
          <w:b/>
        </w:rPr>
        <w:t xml:space="preserve">4.8 </w:t>
      </w:r>
      <w:r>
        <w:rPr>
          <w:spacing w:val="-3"/>
        </w:rPr>
        <w:t>随车文件、工具及易损件</w:t>
      </w:r>
      <w:r>
        <w:t xml:space="preserve"> </w:t>
      </w:r>
    </w:p>
    <w:p w14:paraId="0A83FABA" w14:textId="77777777" w:rsidR="00A71EEF" w:rsidRDefault="0081115D">
      <w:pPr>
        <w:pStyle w:val="a4"/>
        <w:numPr>
          <w:ilvl w:val="2"/>
          <w:numId w:val="769"/>
        </w:numPr>
        <w:tabs>
          <w:tab w:val="left" w:pos="1370"/>
        </w:tabs>
        <w:spacing w:before="104" w:line="446" w:lineRule="auto"/>
        <w:ind w:right="1604" w:firstLine="422"/>
        <w:rPr>
          <w:sz w:val="21"/>
        </w:rPr>
      </w:pPr>
      <w:r>
        <w:rPr>
          <w:spacing w:val="-3"/>
          <w:sz w:val="21"/>
        </w:rPr>
        <w:t>泡沫车交付用户时除应交付车辆注册所需资料外，还应随车交付用户以下中文文件资料：</w:t>
      </w:r>
      <w:r>
        <w:rPr>
          <w:sz w:val="21"/>
        </w:rPr>
        <w:t xml:space="preserve"> </w:t>
      </w:r>
    </w:p>
    <w:p w14:paraId="043663DA" w14:textId="77777777" w:rsidR="00A71EEF" w:rsidRDefault="0081115D">
      <w:pPr>
        <w:pStyle w:val="a3"/>
        <w:ind w:left="838"/>
      </w:pPr>
      <w:r>
        <w:t>——</w:t>
      </w:r>
      <w:r>
        <w:t>底盘操作手册；</w:t>
      </w:r>
      <w:r>
        <w:t xml:space="preserve"> </w:t>
      </w:r>
    </w:p>
    <w:p w14:paraId="35A1511A" w14:textId="77777777" w:rsidR="00A71EEF" w:rsidRDefault="00A71EEF">
      <w:pPr>
        <w:pStyle w:val="a3"/>
        <w:spacing w:before="12"/>
        <w:rPr>
          <w:sz w:val="17"/>
        </w:rPr>
      </w:pPr>
    </w:p>
    <w:p w14:paraId="08B1210C" w14:textId="77777777" w:rsidR="00A71EEF" w:rsidRDefault="0081115D">
      <w:pPr>
        <w:pStyle w:val="a3"/>
        <w:ind w:left="838"/>
      </w:pPr>
      <w:r>
        <w:t>——</w:t>
      </w:r>
      <w:r>
        <w:t>底盘维修手册及零部件目录；</w:t>
      </w:r>
      <w:r>
        <w:t xml:space="preserve"> </w:t>
      </w:r>
    </w:p>
    <w:p w14:paraId="0E4D9198" w14:textId="77777777" w:rsidR="00A71EEF" w:rsidRDefault="00A71EEF">
      <w:pPr>
        <w:pStyle w:val="a3"/>
        <w:spacing w:before="12"/>
        <w:rPr>
          <w:sz w:val="17"/>
        </w:rPr>
      </w:pPr>
    </w:p>
    <w:p w14:paraId="50D72B97" w14:textId="77777777" w:rsidR="00A71EEF" w:rsidRDefault="0081115D">
      <w:pPr>
        <w:pStyle w:val="a3"/>
        <w:ind w:left="838"/>
      </w:pPr>
      <w:r>
        <w:t>——</w:t>
      </w:r>
      <w:r>
        <w:t>底盘质量保证书和售后服务说明书；</w:t>
      </w:r>
      <w:r>
        <w:t xml:space="preserve"> </w:t>
      </w:r>
    </w:p>
    <w:p w14:paraId="69B0229C" w14:textId="77777777" w:rsidR="00A71EEF" w:rsidRDefault="00A71EEF">
      <w:pPr>
        <w:pStyle w:val="a3"/>
        <w:spacing w:before="2"/>
        <w:rPr>
          <w:sz w:val="18"/>
        </w:rPr>
      </w:pPr>
    </w:p>
    <w:p w14:paraId="252CA3F3" w14:textId="77777777" w:rsidR="00A71EEF" w:rsidRDefault="0081115D">
      <w:pPr>
        <w:pStyle w:val="a3"/>
        <w:ind w:left="838"/>
      </w:pPr>
      <w:r>
        <w:t>——</w:t>
      </w:r>
      <w:r>
        <w:t>底盘合格证；</w:t>
      </w:r>
      <w:r>
        <w:t xml:space="preserve"> </w:t>
      </w:r>
    </w:p>
    <w:p w14:paraId="3C9A5C9F" w14:textId="77777777" w:rsidR="00A71EEF" w:rsidRDefault="00A71EEF">
      <w:pPr>
        <w:sectPr w:rsidR="00A71EEF">
          <w:pgSz w:w="11910" w:h="16850"/>
          <w:pgMar w:top="1600" w:right="0" w:bottom="1420" w:left="1260" w:header="0" w:footer="1239" w:gutter="0"/>
          <w:cols w:space="720"/>
        </w:sectPr>
      </w:pPr>
    </w:p>
    <w:p w14:paraId="08E01436" w14:textId="77777777" w:rsidR="00A71EEF" w:rsidRDefault="0081115D">
      <w:pPr>
        <w:pStyle w:val="a3"/>
        <w:spacing w:before="47"/>
        <w:ind w:left="838"/>
      </w:pPr>
      <w:r>
        <w:rPr>
          <w:spacing w:val="-3"/>
        </w:rPr>
        <w:lastRenderedPageBreak/>
        <w:t>——</w:t>
      </w:r>
      <w:r>
        <w:rPr>
          <w:spacing w:val="-3"/>
        </w:rPr>
        <w:t>底盘随车工具清单；</w:t>
      </w:r>
      <w:r>
        <w:t xml:space="preserve"> </w:t>
      </w:r>
    </w:p>
    <w:p w14:paraId="177403EE" w14:textId="77777777" w:rsidR="00A71EEF" w:rsidRDefault="00A71EEF">
      <w:pPr>
        <w:pStyle w:val="a3"/>
        <w:rPr>
          <w:sz w:val="18"/>
        </w:rPr>
      </w:pPr>
    </w:p>
    <w:p w14:paraId="58C790A9" w14:textId="77777777" w:rsidR="00A71EEF" w:rsidRDefault="0081115D">
      <w:pPr>
        <w:pStyle w:val="a3"/>
        <w:ind w:left="838"/>
      </w:pPr>
      <w:r>
        <w:rPr>
          <w:spacing w:val="-3"/>
        </w:rPr>
        <w:t>——</w:t>
      </w:r>
      <w:r>
        <w:rPr>
          <w:spacing w:val="-3"/>
        </w:rPr>
        <w:t>泡沫车电气原理图；</w:t>
      </w:r>
      <w:r>
        <w:t xml:space="preserve"> </w:t>
      </w:r>
    </w:p>
    <w:p w14:paraId="7B057D01" w14:textId="77777777" w:rsidR="00A71EEF" w:rsidRDefault="00A71EEF">
      <w:pPr>
        <w:pStyle w:val="a3"/>
        <w:rPr>
          <w:sz w:val="18"/>
        </w:rPr>
      </w:pPr>
    </w:p>
    <w:p w14:paraId="1C9998DC" w14:textId="77777777" w:rsidR="00A71EEF" w:rsidRDefault="0081115D">
      <w:pPr>
        <w:pStyle w:val="a3"/>
        <w:ind w:left="838"/>
      </w:pPr>
      <w:r>
        <w:rPr>
          <w:spacing w:val="-3"/>
        </w:rPr>
        <w:t>——</w:t>
      </w:r>
      <w:r>
        <w:rPr>
          <w:spacing w:val="-3"/>
        </w:rPr>
        <w:t>泡沫车使用说明书；</w:t>
      </w:r>
      <w:r>
        <w:t xml:space="preserve"> </w:t>
      </w:r>
    </w:p>
    <w:p w14:paraId="4B89EF63" w14:textId="77777777" w:rsidR="00A71EEF" w:rsidRDefault="00A71EEF">
      <w:pPr>
        <w:pStyle w:val="a3"/>
        <w:spacing w:before="1"/>
        <w:rPr>
          <w:sz w:val="18"/>
        </w:rPr>
      </w:pPr>
    </w:p>
    <w:p w14:paraId="05B17D0A" w14:textId="77777777" w:rsidR="00A71EEF" w:rsidRDefault="0081115D">
      <w:pPr>
        <w:pStyle w:val="a3"/>
        <w:spacing w:before="1"/>
        <w:ind w:left="838"/>
      </w:pPr>
      <w:r>
        <w:t>——</w:t>
      </w:r>
      <w:r>
        <w:t>泡沫车维修、保养手册及零部件目录；</w:t>
      </w:r>
      <w:r>
        <w:t xml:space="preserve"> </w:t>
      </w:r>
    </w:p>
    <w:p w14:paraId="05169478" w14:textId="77777777" w:rsidR="00A71EEF" w:rsidRDefault="00A71EEF">
      <w:pPr>
        <w:pStyle w:val="a3"/>
        <w:spacing w:before="12"/>
        <w:rPr>
          <w:sz w:val="17"/>
        </w:rPr>
      </w:pPr>
    </w:p>
    <w:p w14:paraId="4E4A7D09" w14:textId="77777777" w:rsidR="00A71EEF" w:rsidRDefault="0081115D">
      <w:pPr>
        <w:pStyle w:val="a3"/>
        <w:ind w:left="838"/>
      </w:pPr>
      <w:r>
        <w:t>——</w:t>
      </w:r>
      <w:r>
        <w:t>泡沫车合格证；</w:t>
      </w:r>
      <w:r>
        <w:t xml:space="preserve"> </w:t>
      </w:r>
    </w:p>
    <w:p w14:paraId="1AAB9A03" w14:textId="77777777" w:rsidR="00A71EEF" w:rsidRDefault="00A71EEF">
      <w:pPr>
        <w:pStyle w:val="a3"/>
        <w:spacing w:before="12"/>
        <w:rPr>
          <w:sz w:val="17"/>
        </w:rPr>
      </w:pPr>
    </w:p>
    <w:p w14:paraId="44403377" w14:textId="77777777" w:rsidR="00A71EEF" w:rsidRDefault="0081115D">
      <w:pPr>
        <w:pStyle w:val="a3"/>
        <w:ind w:left="838"/>
      </w:pPr>
      <w:r>
        <w:t>——</w:t>
      </w:r>
      <w:r>
        <w:t>质量保证和售后服务承诺；</w:t>
      </w:r>
      <w:r>
        <w:t xml:space="preserve"> </w:t>
      </w:r>
    </w:p>
    <w:p w14:paraId="6E0335EB" w14:textId="77777777" w:rsidR="00A71EEF" w:rsidRDefault="00A71EEF">
      <w:pPr>
        <w:pStyle w:val="a3"/>
        <w:spacing w:before="2"/>
        <w:rPr>
          <w:sz w:val="18"/>
        </w:rPr>
      </w:pPr>
    </w:p>
    <w:p w14:paraId="0C386279" w14:textId="77777777" w:rsidR="00A71EEF" w:rsidRDefault="0081115D">
      <w:pPr>
        <w:pStyle w:val="a3"/>
        <w:ind w:left="838"/>
      </w:pPr>
      <w:r>
        <w:t>——</w:t>
      </w:r>
      <w:r>
        <w:t>泡沫车随车工具及易损件清单；</w:t>
      </w:r>
      <w:r>
        <w:t xml:space="preserve"> </w:t>
      </w:r>
    </w:p>
    <w:p w14:paraId="6A267739" w14:textId="77777777" w:rsidR="00A71EEF" w:rsidRDefault="00A71EEF">
      <w:pPr>
        <w:pStyle w:val="a3"/>
        <w:rPr>
          <w:sz w:val="18"/>
        </w:rPr>
      </w:pPr>
    </w:p>
    <w:p w14:paraId="60B8B98B" w14:textId="77777777" w:rsidR="00A71EEF" w:rsidRDefault="0081115D">
      <w:pPr>
        <w:pStyle w:val="a3"/>
        <w:ind w:left="838"/>
      </w:pPr>
      <w:r>
        <w:t>——</w:t>
      </w:r>
      <w:r>
        <w:t>所配总成及附件的合格证和使用说明书。</w:t>
      </w:r>
      <w:r>
        <w:t xml:space="preserve"> </w:t>
      </w:r>
    </w:p>
    <w:p w14:paraId="29B302A8" w14:textId="77777777" w:rsidR="00A71EEF" w:rsidRDefault="00A71EEF">
      <w:pPr>
        <w:pStyle w:val="a3"/>
        <w:rPr>
          <w:sz w:val="18"/>
        </w:rPr>
      </w:pPr>
    </w:p>
    <w:p w14:paraId="5379B5DB" w14:textId="77777777" w:rsidR="00A71EEF" w:rsidRDefault="0081115D">
      <w:pPr>
        <w:pStyle w:val="a4"/>
        <w:numPr>
          <w:ilvl w:val="2"/>
          <w:numId w:val="769"/>
        </w:numPr>
        <w:tabs>
          <w:tab w:val="left" w:pos="1371"/>
        </w:tabs>
        <w:ind w:left="1370" w:hanging="531"/>
        <w:rPr>
          <w:sz w:val="21"/>
        </w:rPr>
      </w:pPr>
      <w:r>
        <w:rPr>
          <w:spacing w:val="-3"/>
          <w:sz w:val="21"/>
        </w:rPr>
        <w:t>泡沫车除随车配置底盘工具外还应随车配置消防装置的专用工具。</w:t>
      </w:r>
      <w:r>
        <w:rPr>
          <w:sz w:val="21"/>
        </w:rPr>
        <w:t xml:space="preserve"> </w:t>
      </w:r>
    </w:p>
    <w:p w14:paraId="7F426FB1" w14:textId="77777777" w:rsidR="00A71EEF" w:rsidRDefault="00A71EEF">
      <w:pPr>
        <w:pStyle w:val="a3"/>
        <w:spacing w:before="2"/>
        <w:rPr>
          <w:sz w:val="18"/>
        </w:rPr>
      </w:pPr>
    </w:p>
    <w:p w14:paraId="32C3D10A" w14:textId="77777777" w:rsidR="00A71EEF" w:rsidRDefault="0081115D">
      <w:pPr>
        <w:pStyle w:val="a4"/>
        <w:numPr>
          <w:ilvl w:val="2"/>
          <w:numId w:val="769"/>
        </w:numPr>
        <w:tabs>
          <w:tab w:val="left" w:pos="1371"/>
        </w:tabs>
        <w:ind w:left="1370" w:hanging="531"/>
        <w:rPr>
          <w:sz w:val="21"/>
        </w:rPr>
      </w:pPr>
      <w:r>
        <w:rPr>
          <w:spacing w:val="-3"/>
          <w:sz w:val="21"/>
        </w:rPr>
        <w:t>泡沫车应随车配置全套消防装备电路保险丝。</w:t>
      </w:r>
      <w:r>
        <w:rPr>
          <w:spacing w:val="-3"/>
          <w:sz w:val="21"/>
        </w:rPr>
        <w:t xml:space="preserve"> </w:t>
      </w:r>
    </w:p>
    <w:p w14:paraId="1D372A4D" w14:textId="77777777" w:rsidR="00A71EEF" w:rsidRDefault="00A71EEF">
      <w:pPr>
        <w:pStyle w:val="a3"/>
        <w:rPr>
          <w:sz w:val="20"/>
        </w:rPr>
      </w:pPr>
    </w:p>
    <w:p w14:paraId="685E9241" w14:textId="77777777" w:rsidR="00A71EEF" w:rsidRDefault="00A71EEF">
      <w:pPr>
        <w:pStyle w:val="a3"/>
        <w:spacing w:before="10"/>
        <w:rPr>
          <w:sz w:val="15"/>
        </w:rPr>
      </w:pPr>
    </w:p>
    <w:p w14:paraId="0F1DAFFE" w14:textId="77777777" w:rsidR="00A71EEF" w:rsidRDefault="0081115D">
      <w:pPr>
        <w:pStyle w:val="4"/>
        <w:spacing w:before="1"/>
      </w:pPr>
      <w:r>
        <w:t xml:space="preserve">5 </w:t>
      </w:r>
      <w:r>
        <w:t>试验方法</w:t>
      </w:r>
      <w:r>
        <w:rPr>
          <w:w w:val="99"/>
        </w:rPr>
        <w:t xml:space="preserve"> </w:t>
      </w:r>
    </w:p>
    <w:p w14:paraId="00F557BA" w14:textId="77777777" w:rsidR="00A71EEF" w:rsidRDefault="00A71EEF">
      <w:pPr>
        <w:pStyle w:val="a3"/>
        <w:rPr>
          <w:b/>
          <w:sz w:val="24"/>
        </w:rPr>
      </w:pPr>
    </w:p>
    <w:p w14:paraId="5F3333BD" w14:textId="77777777" w:rsidR="00A71EEF" w:rsidRDefault="0081115D">
      <w:pPr>
        <w:spacing w:before="175"/>
        <w:ind w:left="840"/>
        <w:rPr>
          <w:sz w:val="21"/>
        </w:rPr>
      </w:pPr>
      <w:r>
        <w:rPr>
          <w:b/>
          <w:sz w:val="21"/>
        </w:rPr>
        <w:t xml:space="preserve">5.1 </w:t>
      </w:r>
      <w:r>
        <w:rPr>
          <w:sz w:val="21"/>
        </w:rPr>
        <w:t>基本要求试验</w:t>
      </w:r>
      <w:r>
        <w:rPr>
          <w:sz w:val="21"/>
        </w:rPr>
        <w:t xml:space="preserve"> </w:t>
      </w:r>
    </w:p>
    <w:p w14:paraId="4A54CA34" w14:textId="77777777" w:rsidR="00A71EEF" w:rsidRDefault="00A71EEF">
      <w:pPr>
        <w:pStyle w:val="a3"/>
        <w:rPr>
          <w:sz w:val="18"/>
        </w:rPr>
      </w:pPr>
    </w:p>
    <w:p w14:paraId="31DE0B74" w14:textId="77777777" w:rsidR="00A71EEF" w:rsidRDefault="0081115D">
      <w:pPr>
        <w:pStyle w:val="a3"/>
        <w:ind w:left="838"/>
      </w:pPr>
      <w:r>
        <w:t>试验按</w:t>
      </w:r>
      <w:r>
        <w:t xml:space="preserve"> GB 7956.1—2014 </w:t>
      </w:r>
      <w:r>
        <w:t>第</w:t>
      </w:r>
      <w:r>
        <w:t xml:space="preserve"> 6 </w:t>
      </w:r>
      <w:r>
        <w:t>章的相关内容进行，判断试验结果是否符合</w:t>
      </w:r>
      <w:r>
        <w:t xml:space="preserve"> GB 7956.1—2014</w:t>
      </w:r>
    </w:p>
    <w:p w14:paraId="2E6A1D76" w14:textId="77777777" w:rsidR="00A71EEF" w:rsidRDefault="00A71EEF">
      <w:pPr>
        <w:pStyle w:val="a3"/>
        <w:spacing w:before="2"/>
        <w:rPr>
          <w:sz w:val="18"/>
        </w:rPr>
      </w:pPr>
    </w:p>
    <w:p w14:paraId="37F8F3D0" w14:textId="77777777" w:rsidR="00A71EEF" w:rsidRDefault="0081115D">
      <w:pPr>
        <w:pStyle w:val="a3"/>
        <w:spacing w:line="446" w:lineRule="auto"/>
        <w:ind w:left="840" w:right="8016" w:hanging="423"/>
      </w:pPr>
      <w:r>
        <w:rPr>
          <w:spacing w:val="-21"/>
        </w:rPr>
        <w:t>第</w:t>
      </w:r>
      <w:r>
        <w:rPr>
          <w:spacing w:val="-21"/>
        </w:rPr>
        <w:t xml:space="preserve"> </w:t>
      </w:r>
      <w:r>
        <w:t>5</w:t>
      </w:r>
      <w:r>
        <w:rPr>
          <w:spacing w:val="-8"/>
        </w:rPr>
        <w:t xml:space="preserve"> </w:t>
      </w:r>
      <w:r>
        <w:rPr>
          <w:spacing w:val="-8"/>
        </w:rPr>
        <w:t>章的相关要求。</w:t>
      </w:r>
      <w:r>
        <w:rPr>
          <w:b/>
        </w:rPr>
        <w:t>5.2</w:t>
      </w:r>
      <w:r>
        <w:rPr>
          <w:b/>
          <w:spacing w:val="4"/>
        </w:rPr>
        <w:t xml:space="preserve"> </w:t>
      </w:r>
      <w:r>
        <w:rPr>
          <w:spacing w:val="-3"/>
        </w:rPr>
        <w:t>整车要求试验</w:t>
      </w:r>
      <w:r>
        <w:t xml:space="preserve"> </w:t>
      </w:r>
    </w:p>
    <w:p w14:paraId="64AE3206" w14:textId="77777777" w:rsidR="00A71EEF" w:rsidRDefault="0081115D">
      <w:pPr>
        <w:pStyle w:val="a4"/>
        <w:numPr>
          <w:ilvl w:val="2"/>
          <w:numId w:val="768"/>
        </w:numPr>
        <w:tabs>
          <w:tab w:val="left" w:pos="1370"/>
        </w:tabs>
        <w:spacing w:line="267" w:lineRule="exact"/>
        <w:ind w:hanging="530"/>
        <w:rPr>
          <w:sz w:val="19"/>
        </w:rPr>
      </w:pPr>
      <w:r>
        <w:rPr>
          <w:spacing w:val="-3"/>
          <w:sz w:val="21"/>
        </w:rPr>
        <w:t>一般要求试验</w:t>
      </w:r>
      <w:r>
        <w:rPr>
          <w:sz w:val="21"/>
        </w:rPr>
        <w:t xml:space="preserve"> </w:t>
      </w:r>
    </w:p>
    <w:p w14:paraId="09C20A9E" w14:textId="77777777" w:rsidR="00A71EEF" w:rsidRDefault="00A71EEF">
      <w:pPr>
        <w:pStyle w:val="a3"/>
        <w:spacing w:before="2"/>
        <w:rPr>
          <w:sz w:val="18"/>
        </w:rPr>
      </w:pPr>
    </w:p>
    <w:p w14:paraId="741DFB3B" w14:textId="77777777" w:rsidR="00A71EEF" w:rsidRDefault="0081115D">
      <w:pPr>
        <w:pStyle w:val="a4"/>
        <w:numPr>
          <w:ilvl w:val="3"/>
          <w:numId w:val="768"/>
        </w:numPr>
        <w:tabs>
          <w:tab w:val="left" w:pos="1576"/>
        </w:tabs>
        <w:spacing w:line="446" w:lineRule="auto"/>
        <w:ind w:right="1452" w:firstLine="419"/>
        <w:rPr>
          <w:sz w:val="21"/>
        </w:rPr>
      </w:pPr>
      <w:r>
        <w:rPr>
          <w:spacing w:val="-7"/>
          <w:sz w:val="21"/>
        </w:rPr>
        <w:t>泡沫车在满载条件下行驶</w:t>
      </w:r>
      <w:r>
        <w:rPr>
          <w:spacing w:val="-7"/>
          <w:sz w:val="21"/>
        </w:rPr>
        <w:t xml:space="preserve"> </w:t>
      </w:r>
      <w:r>
        <w:rPr>
          <w:sz w:val="21"/>
        </w:rPr>
        <w:t>100km</w:t>
      </w:r>
      <w:r>
        <w:rPr>
          <w:spacing w:val="-11"/>
          <w:sz w:val="21"/>
        </w:rPr>
        <w:t xml:space="preserve"> </w:t>
      </w:r>
      <w:r>
        <w:rPr>
          <w:spacing w:val="-11"/>
          <w:sz w:val="21"/>
        </w:rPr>
        <w:t>后，停在平整、坚硬的地面上，在</w:t>
      </w:r>
      <w:r>
        <w:rPr>
          <w:spacing w:val="-11"/>
          <w:sz w:val="21"/>
        </w:rPr>
        <w:t xml:space="preserve"> </w:t>
      </w:r>
      <w:r>
        <w:rPr>
          <w:sz w:val="21"/>
        </w:rPr>
        <w:t>3m</w:t>
      </w:r>
      <w:r>
        <w:rPr>
          <w:spacing w:val="-10"/>
          <w:sz w:val="21"/>
        </w:rPr>
        <w:t xml:space="preserve"> </w:t>
      </w:r>
      <w:r>
        <w:rPr>
          <w:spacing w:val="-10"/>
          <w:sz w:val="21"/>
        </w:rPr>
        <w:t>吸深下，将</w:t>
      </w:r>
      <w:r>
        <w:rPr>
          <w:spacing w:val="-4"/>
          <w:sz w:val="21"/>
        </w:rPr>
        <w:t>吸水管接在</w:t>
      </w:r>
      <w:r>
        <w:rPr>
          <w:spacing w:val="-4"/>
          <w:sz w:val="21"/>
        </w:rPr>
        <w:t xml:space="preserve"> </w:t>
      </w:r>
      <w:r>
        <w:rPr>
          <w:spacing w:val="-4"/>
          <w:sz w:val="21"/>
        </w:rPr>
        <w:t>消防泵进口并放入水中，启动发动机并接合消防泵，并在额定工况下连续工作</w:t>
      </w:r>
      <w:r>
        <w:rPr>
          <w:spacing w:val="-4"/>
          <w:sz w:val="21"/>
        </w:rPr>
        <w:t xml:space="preserve"> </w:t>
      </w:r>
      <w:r>
        <w:rPr>
          <w:sz w:val="21"/>
        </w:rPr>
        <w:t>2h</w:t>
      </w:r>
      <w:r>
        <w:rPr>
          <w:sz w:val="21"/>
        </w:rPr>
        <w:t>，</w:t>
      </w:r>
      <w:r>
        <w:rPr>
          <w:sz w:val="21"/>
        </w:rPr>
        <w:t xml:space="preserve"> </w:t>
      </w:r>
      <w:r>
        <w:rPr>
          <w:spacing w:val="-8"/>
          <w:sz w:val="21"/>
        </w:rPr>
        <w:t>判断试验结果是否</w:t>
      </w:r>
      <w:r>
        <w:rPr>
          <w:spacing w:val="-8"/>
          <w:sz w:val="21"/>
        </w:rPr>
        <w:t xml:space="preserve"> </w:t>
      </w:r>
      <w:r>
        <w:rPr>
          <w:spacing w:val="-8"/>
          <w:sz w:val="21"/>
        </w:rPr>
        <w:t>符合</w:t>
      </w:r>
      <w:r>
        <w:rPr>
          <w:spacing w:val="-8"/>
          <w:sz w:val="21"/>
        </w:rPr>
        <w:t xml:space="preserve"> </w:t>
      </w:r>
      <w:r>
        <w:rPr>
          <w:sz w:val="21"/>
        </w:rPr>
        <w:t>4.2.1.1</w:t>
      </w:r>
      <w:r>
        <w:rPr>
          <w:spacing w:val="-11"/>
          <w:sz w:val="21"/>
        </w:rPr>
        <w:t xml:space="preserve"> </w:t>
      </w:r>
      <w:r>
        <w:rPr>
          <w:spacing w:val="-11"/>
          <w:sz w:val="21"/>
        </w:rPr>
        <w:t>的要求。当试验条件不是标准环境条件时，应按</w:t>
      </w:r>
      <w:r>
        <w:rPr>
          <w:spacing w:val="-11"/>
          <w:sz w:val="21"/>
        </w:rPr>
        <w:t xml:space="preserve"> </w:t>
      </w:r>
      <w:r>
        <w:rPr>
          <w:sz w:val="21"/>
        </w:rPr>
        <w:t>GB</w:t>
      </w:r>
      <w:r>
        <w:rPr>
          <w:spacing w:val="5"/>
          <w:sz w:val="21"/>
        </w:rPr>
        <w:t xml:space="preserve"> </w:t>
      </w:r>
      <w:r>
        <w:rPr>
          <w:sz w:val="21"/>
        </w:rPr>
        <w:t>6245— 2006</w:t>
      </w:r>
      <w:r>
        <w:rPr>
          <w:spacing w:val="-37"/>
          <w:sz w:val="21"/>
        </w:rPr>
        <w:t xml:space="preserve"> </w:t>
      </w:r>
      <w:r>
        <w:rPr>
          <w:spacing w:val="-37"/>
          <w:sz w:val="21"/>
        </w:rPr>
        <w:t>中</w:t>
      </w:r>
      <w:r>
        <w:rPr>
          <w:spacing w:val="-37"/>
          <w:sz w:val="21"/>
        </w:rPr>
        <w:t xml:space="preserve"> </w:t>
      </w:r>
      <w:r>
        <w:rPr>
          <w:sz w:val="21"/>
        </w:rPr>
        <w:t>10.4.1</w:t>
      </w:r>
      <w:r>
        <w:rPr>
          <w:spacing w:val="-10"/>
          <w:sz w:val="21"/>
        </w:rPr>
        <w:t xml:space="preserve"> </w:t>
      </w:r>
      <w:r>
        <w:rPr>
          <w:spacing w:val="-10"/>
          <w:sz w:val="21"/>
        </w:rPr>
        <w:t>的规定进行修正。</w:t>
      </w:r>
      <w:r>
        <w:rPr>
          <w:sz w:val="21"/>
        </w:rPr>
        <w:t xml:space="preserve"> </w:t>
      </w:r>
    </w:p>
    <w:p w14:paraId="3D3BEA3D" w14:textId="77777777" w:rsidR="00A71EEF" w:rsidRDefault="0081115D">
      <w:pPr>
        <w:pStyle w:val="a4"/>
        <w:numPr>
          <w:ilvl w:val="3"/>
          <w:numId w:val="768"/>
        </w:numPr>
        <w:tabs>
          <w:tab w:val="left" w:pos="1576"/>
        </w:tabs>
        <w:spacing w:line="446" w:lineRule="auto"/>
        <w:ind w:right="1609" w:firstLine="419"/>
        <w:rPr>
          <w:sz w:val="21"/>
        </w:rPr>
      </w:pPr>
      <w:r>
        <w:rPr>
          <w:spacing w:val="-3"/>
          <w:sz w:val="21"/>
        </w:rPr>
        <w:t>检査泡沫车操作面板侧的出水口，并用卷尺测量其直径和离地高度，判断检査结果是否符合</w:t>
      </w:r>
      <w:r>
        <w:rPr>
          <w:spacing w:val="-3"/>
          <w:sz w:val="21"/>
        </w:rPr>
        <w:t xml:space="preserve"> </w:t>
      </w:r>
      <w:r>
        <w:rPr>
          <w:sz w:val="21"/>
        </w:rPr>
        <w:t>4.2.1.2</w:t>
      </w:r>
      <w:r>
        <w:rPr>
          <w:spacing w:val="-12"/>
          <w:sz w:val="21"/>
        </w:rPr>
        <w:t xml:space="preserve"> </w:t>
      </w:r>
      <w:r>
        <w:rPr>
          <w:spacing w:val="-12"/>
          <w:sz w:val="21"/>
        </w:rPr>
        <w:t>的要求。</w:t>
      </w:r>
      <w:r>
        <w:rPr>
          <w:spacing w:val="-12"/>
          <w:sz w:val="21"/>
        </w:rPr>
        <w:t xml:space="preserve"> </w:t>
      </w:r>
    </w:p>
    <w:p w14:paraId="3E95FDE7" w14:textId="77777777" w:rsidR="00A71EEF" w:rsidRDefault="0081115D">
      <w:pPr>
        <w:pStyle w:val="a4"/>
        <w:numPr>
          <w:ilvl w:val="3"/>
          <w:numId w:val="768"/>
        </w:numPr>
        <w:tabs>
          <w:tab w:val="left" w:pos="1576"/>
        </w:tabs>
        <w:ind w:left="1575"/>
        <w:rPr>
          <w:sz w:val="21"/>
        </w:rPr>
      </w:pPr>
      <w:r>
        <w:rPr>
          <w:spacing w:val="-5"/>
          <w:sz w:val="21"/>
        </w:rPr>
        <w:t>检査泡沫车的手控发动机转速控制器，判断检査结果是否符合</w:t>
      </w:r>
      <w:r>
        <w:rPr>
          <w:spacing w:val="-5"/>
          <w:sz w:val="21"/>
        </w:rPr>
        <w:t xml:space="preserve"> </w:t>
      </w:r>
      <w:r>
        <w:rPr>
          <w:sz w:val="21"/>
        </w:rPr>
        <w:t>4.2.1.3</w:t>
      </w:r>
      <w:r>
        <w:rPr>
          <w:spacing w:val="-13"/>
          <w:sz w:val="21"/>
        </w:rPr>
        <w:t xml:space="preserve"> </w:t>
      </w:r>
      <w:r>
        <w:rPr>
          <w:spacing w:val="-13"/>
          <w:sz w:val="21"/>
        </w:rPr>
        <w:t>的要求。</w:t>
      </w:r>
      <w:r>
        <w:rPr>
          <w:sz w:val="21"/>
        </w:rPr>
        <w:t xml:space="preserve"> </w:t>
      </w:r>
    </w:p>
    <w:p w14:paraId="1B3A554C" w14:textId="77777777" w:rsidR="00A71EEF" w:rsidRDefault="00A71EEF">
      <w:pPr>
        <w:pStyle w:val="a3"/>
        <w:spacing w:before="10"/>
        <w:rPr>
          <w:sz w:val="17"/>
        </w:rPr>
      </w:pPr>
    </w:p>
    <w:p w14:paraId="27E6F7F0" w14:textId="77777777" w:rsidR="00A71EEF" w:rsidRDefault="0081115D">
      <w:pPr>
        <w:pStyle w:val="a4"/>
        <w:numPr>
          <w:ilvl w:val="3"/>
          <w:numId w:val="768"/>
        </w:numPr>
        <w:tabs>
          <w:tab w:val="left" w:pos="1576"/>
        </w:tabs>
        <w:ind w:left="1575"/>
        <w:rPr>
          <w:sz w:val="21"/>
        </w:rPr>
      </w:pPr>
      <w:r>
        <w:rPr>
          <w:spacing w:val="-6"/>
          <w:sz w:val="21"/>
        </w:rPr>
        <w:t>检査泡沫车各自动控制机构，判断检査结果是否符合</w:t>
      </w:r>
      <w:r>
        <w:rPr>
          <w:spacing w:val="-6"/>
          <w:sz w:val="21"/>
        </w:rPr>
        <w:t xml:space="preserve"> </w:t>
      </w:r>
      <w:r>
        <w:rPr>
          <w:sz w:val="21"/>
        </w:rPr>
        <w:t>4.2.1.4</w:t>
      </w:r>
      <w:r>
        <w:rPr>
          <w:spacing w:val="-12"/>
          <w:sz w:val="21"/>
        </w:rPr>
        <w:t xml:space="preserve"> </w:t>
      </w:r>
      <w:r>
        <w:rPr>
          <w:spacing w:val="-12"/>
          <w:sz w:val="21"/>
        </w:rPr>
        <w:t>的要求。</w:t>
      </w:r>
      <w:r>
        <w:rPr>
          <w:spacing w:val="-12"/>
          <w:sz w:val="21"/>
        </w:rPr>
        <w:t xml:space="preserve"> </w:t>
      </w:r>
    </w:p>
    <w:p w14:paraId="62C275EC" w14:textId="77777777" w:rsidR="00A71EEF" w:rsidRDefault="00A71EEF">
      <w:pPr>
        <w:pStyle w:val="a3"/>
        <w:rPr>
          <w:sz w:val="18"/>
        </w:rPr>
      </w:pPr>
    </w:p>
    <w:p w14:paraId="5932C05D" w14:textId="77777777" w:rsidR="00A71EEF" w:rsidRDefault="0081115D">
      <w:pPr>
        <w:pStyle w:val="a4"/>
        <w:numPr>
          <w:ilvl w:val="3"/>
          <w:numId w:val="768"/>
        </w:numPr>
        <w:tabs>
          <w:tab w:val="left" w:pos="1576"/>
        </w:tabs>
        <w:spacing w:line="446" w:lineRule="auto"/>
        <w:ind w:right="1609" w:firstLine="419"/>
        <w:rPr>
          <w:sz w:val="21"/>
        </w:rPr>
      </w:pPr>
      <w:r>
        <w:rPr>
          <w:spacing w:val="-3"/>
          <w:sz w:val="21"/>
        </w:rPr>
        <w:t>检査操作面板上消防泵出口和进口压力表联接处的测试用连接管，用游标卡尺测</w:t>
      </w:r>
      <w:r>
        <w:rPr>
          <w:spacing w:val="-5"/>
          <w:sz w:val="21"/>
        </w:rPr>
        <w:t>量连接螺纹直径和长度，用螺纹规测量螺距，判断试验结果是否符合</w:t>
      </w:r>
      <w:r>
        <w:rPr>
          <w:spacing w:val="-5"/>
          <w:sz w:val="21"/>
        </w:rPr>
        <w:t xml:space="preserve"> </w:t>
      </w:r>
      <w:r>
        <w:rPr>
          <w:sz w:val="21"/>
        </w:rPr>
        <w:t>4.2.1.5</w:t>
      </w:r>
      <w:r>
        <w:rPr>
          <w:spacing w:val="-12"/>
          <w:sz w:val="21"/>
        </w:rPr>
        <w:t xml:space="preserve"> </w:t>
      </w:r>
      <w:r>
        <w:rPr>
          <w:spacing w:val="-12"/>
          <w:sz w:val="21"/>
        </w:rPr>
        <w:t>的要求。</w:t>
      </w:r>
      <w:r>
        <w:rPr>
          <w:spacing w:val="-12"/>
          <w:sz w:val="21"/>
        </w:rPr>
        <w:t xml:space="preserve"> </w:t>
      </w:r>
    </w:p>
    <w:p w14:paraId="0B0AA3A1" w14:textId="77777777" w:rsidR="00A71EEF" w:rsidRDefault="0081115D">
      <w:pPr>
        <w:pStyle w:val="a4"/>
        <w:numPr>
          <w:ilvl w:val="2"/>
          <w:numId w:val="768"/>
        </w:numPr>
        <w:tabs>
          <w:tab w:val="left" w:pos="1367"/>
        </w:tabs>
        <w:ind w:left="1367"/>
        <w:rPr>
          <w:sz w:val="19"/>
        </w:rPr>
      </w:pPr>
      <w:r>
        <w:rPr>
          <w:spacing w:val="-3"/>
          <w:sz w:val="21"/>
        </w:rPr>
        <w:t>操作说明和标识试验</w:t>
      </w:r>
      <w:r>
        <w:rPr>
          <w:spacing w:val="-3"/>
          <w:sz w:val="21"/>
        </w:rPr>
        <w:t xml:space="preserve"> </w:t>
      </w:r>
    </w:p>
    <w:p w14:paraId="323403EC" w14:textId="77777777" w:rsidR="00A71EEF" w:rsidRDefault="00A71EEF">
      <w:pPr>
        <w:rPr>
          <w:sz w:val="19"/>
        </w:rPr>
        <w:sectPr w:rsidR="00A71EEF">
          <w:pgSz w:w="11910" w:h="16850"/>
          <w:pgMar w:top="1220" w:right="0" w:bottom="1420" w:left="1260" w:header="0" w:footer="1239" w:gutter="0"/>
          <w:cols w:space="720"/>
        </w:sectPr>
      </w:pPr>
    </w:p>
    <w:p w14:paraId="10874390" w14:textId="77777777" w:rsidR="00A71EEF" w:rsidRDefault="0081115D">
      <w:pPr>
        <w:pStyle w:val="a4"/>
        <w:numPr>
          <w:ilvl w:val="3"/>
          <w:numId w:val="768"/>
        </w:numPr>
        <w:tabs>
          <w:tab w:val="left" w:pos="1576"/>
        </w:tabs>
        <w:spacing w:before="47"/>
        <w:ind w:left="1575"/>
        <w:rPr>
          <w:sz w:val="21"/>
        </w:rPr>
      </w:pPr>
      <w:r>
        <w:rPr>
          <w:spacing w:val="-5"/>
          <w:sz w:val="21"/>
        </w:rPr>
        <w:lastRenderedPageBreak/>
        <w:t>目测检査操作面板上的指示或显示，判断检査结果是否符合</w:t>
      </w:r>
      <w:r>
        <w:rPr>
          <w:spacing w:val="-5"/>
          <w:sz w:val="21"/>
        </w:rPr>
        <w:t xml:space="preserve"> </w:t>
      </w:r>
      <w:r>
        <w:rPr>
          <w:sz w:val="21"/>
        </w:rPr>
        <w:t>4.2.2.1</w:t>
      </w:r>
      <w:r>
        <w:rPr>
          <w:spacing w:val="-13"/>
          <w:sz w:val="21"/>
        </w:rPr>
        <w:t xml:space="preserve"> </w:t>
      </w:r>
      <w:r>
        <w:rPr>
          <w:spacing w:val="-13"/>
          <w:sz w:val="21"/>
        </w:rPr>
        <w:t>的要求。</w:t>
      </w:r>
      <w:r>
        <w:rPr>
          <w:sz w:val="21"/>
        </w:rPr>
        <w:t xml:space="preserve"> </w:t>
      </w:r>
    </w:p>
    <w:p w14:paraId="3037A216" w14:textId="77777777" w:rsidR="00A71EEF" w:rsidRDefault="00A71EEF">
      <w:pPr>
        <w:pStyle w:val="a3"/>
        <w:rPr>
          <w:sz w:val="18"/>
        </w:rPr>
      </w:pPr>
    </w:p>
    <w:p w14:paraId="6151F75D" w14:textId="77777777" w:rsidR="00A71EEF" w:rsidRDefault="0081115D">
      <w:pPr>
        <w:pStyle w:val="a4"/>
        <w:numPr>
          <w:ilvl w:val="3"/>
          <w:numId w:val="768"/>
        </w:numPr>
        <w:tabs>
          <w:tab w:val="left" w:pos="1576"/>
        </w:tabs>
        <w:ind w:left="1575"/>
        <w:rPr>
          <w:sz w:val="21"/>
        </w:rPr>
      </w:pPr>
      <w:r>
        <w:rPr>
          <w:spacing w:val="-3"/>
          <w:sz w:val="21"/>
        </w:rPr>
        <w:t>目测检査泡沫比例混合系统的控制调节装置的位置，判断检査结果是否符合</w:t>
      </w:r>
    </w:p>
    <w:p w14:paraId="208B8EAB" w14:textId="77777777" w:rsidR="00A71EEF" w:rsidRDefault="00A71EEF">
      <w:pPr>
        <w:pStyle w:val="a3"/>
        <w:rPr>
          <w:sz w:val="18"/>
        </w:rPr>
      </w:pPr>
    </w:p>
    <w:p w14:paraId="24ECEE78" w14:textId="77777777" w:rsidR="00A71EEF" w:rsidRDefault="0081115D">
      <w:pPr>
        <w:pStyle w:val="a3"/>
        <w:spacing w:line="446" w:lineRule="auto"/>
        <w:ind w:left="418" w:right="1497"/>
      </w:pPr>
      <w:r>
        <w:t xml:space="preserve">4.2.2.2 </w:t>
      </w:r>
      <w:r>
        <w:t>的要求。</w:t>
      </w:r>
      <w:r>
        <w:t xml:space="preserve"> 5.2.2.3 </w:t>
      </w:r>
      <w:r>
        <w:t>目测检査操作面板上的水、泡沫管路系统简图及基本操作说明，判断检査结果是否符合</w:t>
      </w:r>
      <w:r>
        <w:t xml:space="preserve"> 4.2.2.3 </w:t>
      </w:r>
      <w:r>
        <w:t>的要求。</w:t>
      </w:r>
      <w:r>
        <w:t xml:space="preserve"> </w:t>
      </w:r>
    </w:p>
    <w:p w14:paraId="30853BD9" w14:textId="77777777" w:rsidR="00A71EEF" w:rsidRDefault="0081115D">
      <w:pPr>
        <w:pStyle w:val="a4"/>
        <w:numPr>
          <w:ilvl w:val="3"/>
          <w:numId w:val="767"/>
        </w:numPr>
        <w:tabs>
          <w:tab w:val="left" w:pos="1576"/>
        </w:tabs>
        <w:rPr>
          <w:sz w:val="21"/>
        </w:rPr>
      </w:pPr>
      <w:r>
        <w:rPr>
          <w:spacing w:val="-6"/>
          <w:sz w:val="21"/>
        </w:rPr>
        <w:t>检査水罐注水口，判断检査结果是否符合</w:t>
      </w:r>
      <w:r>
        <w:rPr>
          <w:spacing w:val="-6"/>
          <w:sz w:val="21"/>
        </w:rPr>
        <w:t xml:space="preserve"> </w:t>
      </w:r>
      <w:r>
        <w:rPr>
          <w:sz w:val="21"/>
        </w:rPr>
        <w:t>4.2.2.4</w:t>
      </w:r>
      <w:r>
        <w:rPr>
          <w:spacing w:val="-13"/>
          <w:sz w:val="21"/>
        </w:rPr>
        <w:t xml:space="preserve"> </w:t>
      </w:r>
      <w:r>
        <w:rPr>
          <w:spacing w:val="-13"/>
          <w:sz w:val="21"/>
        </w:rPr>
        <w:t>的要求。</w:t>
      </w:r>
      <w:r>
        <w:rPr>
          <w:sz w:val="21"/>
        </w:rPr>
        <w:t xml:space="preserve"> </w:t>
      </w:r>
    </w:p>
    <w:p w14:paraId="0255CDE6" w14:textId="77777777" w:rsidR="00A71EEF" w:rsidRDefault="00A71EEF">
      <w:pPr>
        <w:pStyle w:val="a3"/>
        <w:spacing w:before="12"/>
        <w:rPr>
          <w:sz w:val="17"/>
        </w:rPr>
      </w:pPr>
    </w:p>
    <w:p w14:paraId="30C8B0C5" w14:textId="77777777" w:rsidR="00A71EEF" w:rsidRDefault="0081115D">
      <w:pPr>
        <w:pStyle w:val="a4"/>
        <w:numPr>
          <w:ilvl w:val="3"/>
          <w:numId w:val="767"/>
        </w:numPr>
        <w:tabs>
          <w:tab w:val="left" w:pos="1576"/>
        </w:tabs>
        <w:rPr>
          <w:sz w:val="21"/>
        </w:rPr>
      </w:pPr>
      <w:r>
        <w:rPr>
          <w:spacing w:val="-5"/>
          <w:sz w:val="21"/>
        </w:rPr>
        <w:t>检査泡沫液加液口处或邻近位置的标牌和文字，判断检查结果是否符合</w:t>
      </w:r>
      <w:r>
        <w:rPr>
          <w:spacing w:val="-5"/>
          <w:sz w:val="21"/>
        </w:rPr>
        <w:t xml:space="preserve"> </w:t>
      </w:r>
      <w:r>
        <w:rPr>
          <w:sz w:val="21"/>
        </w:rPr>
        <w:t>4.2.2.5</w:t>
      </w:r>
    </w:p>
    <w:p w14:paraId="1E324299" w14:textId="77777777" w:rsidR="00A71EEF" w:rsidRDefault="00A71EEF">
      <w:pPr>
        <w:pStyle w:val="a3"/>
        <w:spacing w:before="2"/>
        <w:rPr>
          <w:sz w:val="18"/>
        </w:rPr>
      </w:pPr>
    </w:p>
    <w:p w14:paraId="0931A793" w14:textId="77777777" w:rsidR="00A71EEF" w:rsidRDefault="0081115D">
      <w:pPr>
        <w:pStyle w:val="a3"/>
        <w:ind w:left="418"/>
      </w:pPr>
      <w:r>
        <w:t>的要求。</w:t>
      </w:r>
      <w:r>
        <w:t xml:space="preserve"> </w:t>
      </w:r>
    </w:p>
    <w:p w14:paraId="50F66A86" w14:textId="77777777" w:rsidR="00A71EEF" w:rsidRDefault="00A71EEF">
      <w:pPr>
        <w:pStyle w:val="a3"/>
        <w:rPr>
          <w:sz w:val="18"/>
        </w:rPr>
      </w:pPr>
    </w:p>
    <w:p w14:paraId="18617265" w14:textId="77777777" w:rsidR="00A71EEF" w:rsidRDefault="0081115D">
      <w:pPr>
        <w:pStyle w:val="a4"/>
        <w:numPr>
          <w:ilvl w:val="1"/>
          <w:numId w:val="766"/>
        </w:numPr>
        <w:tabs>
          <w:tab w:val="left" w:pos="1160"/>
        </w:tabs>
        <w:rPr>
          <w:b/>
          <w:sz w:val="21"/>
        </w:rPr>
      </w:pPr>
      <w:r>
        <w:rPr>
          <w:spacing w:val="-3"/>
          <w:sz w:val="21"/>
        </w:rPr>
        <w:t>底盘改制试验</w:t>
      </w:r>
      <w:r>
        <w:rPr>
          <w:b/>
          <w:w w:val="99"/>
          <w:sz w:val="21"/>
        </w:rPr>
        <w:t xml:space="preserve"> </w:t>
      </w:r>
    </w:p>
    <w:p w14:paraId="6D6E4CC1" w14:textId="77777777" w:rsidR="00A71EEF" w:rsidRDefault="00A71EEF">
      <w:pPr>
        <w:pStyle w:val="a3"/>
        <w:spacing w:before="12"/>
        <w:rPr>
          <w:b/>
          <w:sz w:val="17"/>
        </w:rPr>
      </w:pPr>
    </w:p>
    <w:p w14:paraId="3B836D91" w14:textId="77777777" w:rsidR="00A71EEF" w:rsidRDefault="0081115D">
      <w:pPr>
        <w:pStyle w:val="a4"/>
        <w:numPr>
          <w:ilvl w:val="2"/>
          <w:numId w:val="766"/>
        </w:numPr>
        <w:tabs>
          <w:tab w:val="left" w:pos="1370"/>
        </w:tabs>
        <w:ind w:hanging="530"/>
        <w:rPr>
          <w:sz w:val="21"/>
        </w:rPr>
      </w:pPr>
      <w:r>
        <w:rPr>
          <w:spacing w:val="-19"/>
          <w:sz w:val="21"/>
        </w:rPr>
        <w:t>按照</w:t>
      </w:r>
      <w:r>
        <w:rPr>
          <w:spacing w:val="-19"/>
          <w:sz w:val="21"/>
        </w:rPr>
        <w:t xml:space="preserve"> </w:t>
      </w:r>
      <w:r>
        <w:rPr>
          <w:sz w:val="21"/>
        </w:rPr>
        <w:t>GB</w:t>
      </w:r>
      <w:r>
        <w:rPr>
          <w:spacing w:val="-1"/>
          <w:sz w:val="21"/>
        </w:rPr>
        <w:t xml:space="preserve"> </w:t>
      </w:r>
      <w:r>
        <w:rPr>
          <w:sz w:val="21"/>
        </w:rPr>
        <w:t>7956.1—2014</w:t>
      </w:r>
      <w:r>
        <w:rPr>
          <w:spacing w:val="-36"/>
          <w:sz w:val="21"/>
        </w:rPr>
        <w:t xml:space="preserve"> </w:t>
      </w:r>
      <w:r>
        <w:rPr>
          <w:spacing w:val="-36"/>
          <w:sz w:val="21"/>
        </w:rPr>
        <w:t>中</w:t>
      </w:r>
      <w:r>
        <w:rPr>
          <w:spacing w:val="-36"/>
          <w:sz w:val="21"/>
        </w:rPr>
        <w:t xml:space="preserve"> </w:t>
      </w:r>
      <w:r>
        <w:rPr>
          <w:sz w:val="21"/>
        </w:rPr>
        <w:t>6.4</w:t>
      </w:r>
      <w:r>
        <w:rPr>
          <w:spacing w:val="-10"/>
          <w:sz w:val="21"/>
        </w:rPr>
        <w:t xml:space="preserve"> </w:t>
      </w:r>
      <w:r>
        <w:rPr>
          <w:spacing w:val="-10"/>
          <w:sz w:val="21"/>
        </w:rPr>
        <w:t>规定的方法进行试验，判断试验结果是否符合</w:t>
      </w:r>
      <w:r>
        <w:rPr>
          <w:spacing w:val="-10"/>
          <w:sz w:val="21"/>
        </w:rPr>
        <w:t xml:space="preserve"> </w:t>
      </w:r>
      <w:r>
        <w:rPr>
          <w:sz w:val="21"/>
        </w:rPr>
        <w:t>4.3.1</w:t>
      </w:r>
    </w:p>
    <w:p w14:paraId="3C0F2B6B" w14:textId="77777777" w:rsidR="00A71EEF" w:rsidRDefault="00A71EEF">
      <w:pPr>
        <w:pStyle w:val="a3"/>
        <w:spacing w:before="2"/>
        <w:rPr>
          <w:sz w:val="18"/>
        </w:rPr>
      </w:pPr>
    </w:p>
    <w:p w14:paraId="2D01763F" w14:textId="77777777" w:rsidR="00A71EEF" w:rsidRDefault="0081115D">
      <w:pPr>
        <w:pStyle w:val="a3"/>
        <w:ind w:left="418"/>
      </w:pPr>
      <w:r>
        <w:t>的要求。</w:t>
      </w:r>
      <w:r>
        <w:t xml:space="preserve"> </w:t>
      </w:r>
    </w:p>
    <w:p w14:paraId="2C222894" w14:textId="77777777" w:rsidR="00A71EEF" w:rsidRDefault="00A71EEF">
      <w:pPr>
        <w:pStyle w:val="a3"/>
        <w:rPr>
          <w:sz w:val="18"/>
        </w:rPr>
      </w:pPr>
    </w:p>
    <w:p w14:paraId="357B7980" w14:textId="77777777" w:rsidR="00A71EEF" w:rsidRDefault="0081115D">
      <w:pPr>
        <w:pStyle w:val="a4"/>
        <w:numPr>
          <w:ilvl w:val="2"/>
          <w:numId w:val="766"/>
        </w:numPr>
        <w:tabs>
          <w:tab w:val="left" w:pos="1371"/>
        </w:tabs>
        <w:ind w:left="1370" w:hanging="531"/>
        <w:rPr>
          <w:sz w:val="21"/>
        </w:rPr>
      </w:pPr>
      <w:r>
        <w:rPr>
          <w:spacing w:val="-6"/>
          <w:sz w:val="21"/>
        </w:rPr>
        <w:t>检査罐体与底盘的连接方式，判断试验结果是否符合</w:t>
      </w:r>
      <w:r>
        <w:rPr>
          <w:spacing w:val="-6"/>
          <w:sz w:val="21"/>
        </w:rPr>
        <w:t xml:space="preserve"> </w:t>
      </w:r>
      <w:r>
        <w:rPr>
          <w:sz w:val="21"/>
        </w:rPr>
        <w:t>4.3.2</w:t>
      </w:r>
      <w:r>
        <w:rPr>
          <w:spacing w:val="-12"/>
          <w:sz w:val="21"/>
        </w:rPr>
        <w:t xml:space="preserve"> </w:t>
      </w:r>
      <w:r>
        <w:rPr>
          <w:spacing w:val="-12"/>
          <w:sz w:val="21"/>
        </w:rPr>
        <w:t>的要求。</w:t>
      </w:r>
      <w:r>
        <w:rPr>
          <w:spacing w:val="-12"/>
          <w:sz w:val="21"/>
        </w:rPr>
        <w:t xml:space="preserve"> </w:t>
      </w:r>
    </w:p>
    <w:p w14:paraId="5CF10521" w14:textId="77777777" w:rsidR="00A71EEF" w:rsidRDefault="00A71EEF">
      <w:pPr>
        <w:pStyle w:val="a3"/>
        <w:spacing w:before="12"/>
        <w:rPr>
          <w:sz w:val="17"/>
        </w:rPr>
      </w:pPr>
    </w:p>
    <w:p w14:paraId="255EB6D4" w14:textId="77777777" w:rsidR="00A71EEF" w:rsidRDefault="0081115D">
      <w:pPr>
        <w:pStyle w:val="a4"/>
        <w:numPr>
          <w:ilvl w:val="1"/>
          <w:numId w:val="766"/>
        </w:numPr>
        <w:tabs>
          <w:tab w:val="left" w:pos="1159"/>
        </w:tabs>
        <w:ind w:left="1158" w:hanging="319"/>
        <w:rPr>
          <w:b/>
          <w:sz w:val="21"/>
        </w:rPr>
      </w:pPr>
      <w:r>
        <w:rPr>
          <w:spacing w:val="-3"/>
          <w:sz w:val="21"/>
        </w:rPr>
        <w:t>消防水力系统试验</w:t>
      </w:r>
      <w:r>
        <w:rPr>
          <w:b/>
          <w:w w:val="99"/>
          <w:sz w:val="21"/>
        </w:rPr>
        <w:t xml:space="preserve"> </w:t>
      </w:r>
    </w:p>
    <w:p w14:paraId="3D98B5D0" w14:textId="77777777" w:rsidR="00A71EEF" w:rsidRDefault="00A71EEF">
      <w:pPr>
        <w:pStyle w:val="a3"/>
        <w:spacing w:before="2"/>
        <w:rPr>
          <w:b/>
          <w:sz w:val="18"/>
        </w:rPr>
      </w:pPr>
    </w:p>
    <w:p w14:paraId="2683BB64" w14:textId="77777777" w:rsidR="00A71EEF" w:rsidRDefault="0081115D">
      <w:pPr>
        <w:pStyle w:val="a4"/>
        <w:numPr>
          <w:ilvl w:val="2"/>
          <w:numId w:val="766"/>
        </w:numPr>
        <w:tabs>
          <w:tab w:val="left" w:pos="1371"/>
        </w:tabs>
        <w:ind w:left="1370" w:hanging="531"/>
        <w:rPr>
          <w:sz w:val="21"/>
        </w:rPr>
      </w:pPr>
      <w:r>
        <w:rPr>
          <w:spacing w:val="-3"/>
          <w:sz w:val="21"/>
        </w:rPr>
        <w:t>消防泵试验</w:t>
      </w:r>
      <w:r>
        <w:rPr>
          <w:sz w:val="21"/>
        </w:rPr>
        <w:t xml:space="preserve"> </w:t>
      </w:r>
    </w:p>
    <w:p w14:paraId="26B8A21A" w14:textId="77777777" w:rsidR="00A71EEF" w:rsidRDefault="00A71EEF">
      <w:pPr>
        <w:pStyle w:val="a3"/>
        <w:rPr>
          <w:sz w:val="18"/>
        </w:rPr>
      </w:pPr>
    </w:p>
    <w:p w14:paraId="142F90D2" w14:textId="77777777" w:rsidR="00A71EEF" w:rsidRDefault="0081115D">
      <w:pPr>
        <w:pStyle w:val="a4"/>
        <w:numPr>
          <w:ilvl w:val="3"/>
          <w:numId w:val="766"/>
        </w:numPr>
        <w:tabs>
          <w:tab w:val="left" w:pos="1576"/>
        </w:tabs>
        <w:rPr>
          <w:sz w:val="21"/>
        </w:rPr>
      </w:pPr>
      <w:r>
        <w:rPr>
          <w:spacing w:val="-5"/>
          <w:sz w:val="21"/>
        </w:rPr>
        <w:t>査阅泡沫车选用消防泵的相关资料，判断检査结果是否符合</w:t>
      </w:r>
      <w:r>
        <w:rPr>
          <w:spacing w:val="-5"/>
          <w:sz w:val="21"/>
        </w:rPr>
        <w:t xml:space="preserve"> </w:t>
      </w:r>
      <w:r>
        <w:rPr>
          <w:sz w:val="21"/>
        </w:rPr>
        <w:t>4.4.1.1</w:t>
      </w:r>
      <w:r>
        <w:rPr>
          <w:spacing w:val="-13"/>
          <w:sz w:val="21"/>
        </w:rPr>
        <w:t xml:space="preserve"> </w:t>
      </w:r>
      <w:r>
        <w:rPr>
          <w:spacing w:val="-13"/>
          <w:sz w:val="21"/>
        </w:rPr>
        <w:t>的要求。</w:t>
      </w:r>
      <w:r>
        <w:rPr>
          <w:sz w:val="21"/>
        </w:rPr>
        <w:t xml:space="preserve"> </w:t>
      </w:r>
    </w:p>
    <w:p w14:paraId="7FD385CD" w14:textId="77777777" w:rsidR="00A71EEF" w:rsidRDefault="00A71EEF">
      <w:pPr>
        <w:pStyle w:val="a3"/>
        <w:spacing w:before="12"/>
        <w:rPr>
          <w:sz w:val="17"/>
        </w:rPr>
      </w:pPr>
    </w:p>
    <w:p w14:paraId="70C10E8B" w14:textId="77777777" w:rsidR="00A71EEF" w:rsidRDefault="0081115D">
      <w:pPr>
        <w:pStyle w:val="a4"/>
        <w:numPr>
          <w:ilvl w:val="3"/>
          <w:numId w:val="766"/>
        </w:numPr>
        <w:tabs>
          <w:tab w:val="left" w:pos="1576"/>
        </w:tabs>
        <w:rPr>
          <w:sz w:val="21"/>
        </w:rPr>
      </w:pPr>
      <w:r>
        <w:rPr>
          <w:spacing w:val="-6"/>
          <w:sz w:val="21"/>
        </w:rPr>
        <w:t>检査消防泵的放余水装置，判断检査结果是否符合</w:t>
      </w:r>
      <w:r>
        <w:rPr>
          <w:spacing w:val="-6"/>
          <w:sz w:val="21"/>
        </w:rPr>
        <w:t xml:space="preserve"> </w:t>
      </w:r>
      <w:r>
        <w:rPr>
          <w:sz w:val="21"/>
        </w:rPr>
        <w:t>4.4.1.2</w:t>
      </w:r>
      <w:r>
        <w:rPr>
          <w:spacing w:val="-12"/>
          <w:sz w:val="21"/>
        </w:rPr>
        <w:t xml:space="preserve"> </w:t>
      </w:r>
      <w:r>
        <w:rPr>
          <w:spacing w:val="-12"/>
          <w:sz w:val="21"/>
        </w:rPr>
        <w:t>的要求。</w:t>
      </w:r>
      <w:r>
        <w:rPr>
          <w:spacing w:val="-12"/>
          <w:sz w:val="21"/>
        </w:rPr>
        <w:t xml:space="preserve"> </w:t>
      </w:r>
    </w:p>
    <w:p w14:paraId="3957DB1D" w14:textId="77777777" w:rsidR="00A71EEF" w:rsidRDefault="00A71EEF">
      <w:pPr>
        <w:pStyle w:val="a3"/>
        <w:spacing w:before="2"/>
        <w:rPr>
          <w:sz w:val="18"/>
        </w:rPr>
      </w:pPr>
    </w:p>
    <w:p w14:paraId="7A7DC1AC" w14:textId="77777777" w:rsidR="00A71EEF" w:rsidRDefault="0081115D">
      <w:pPr>
        <w:pStyle w:val="a4"/>
        <w:numPr>
          <w:ilvl w:val="3"/>
          <w:numId w:val="766"/>
        </w:numPr>
        <w:tabs>
          <w:tab w:val="left" w:pos="1576"/>
        </w:tabs>
        <w:rPr>
          <w:sz w:val="21"/>
        </w:rPr>
      </w:pPr>
      <w:r>
        <w:rPr>
          <w:spacing w:val="-5"/>
          <w:sz w:val="21"/>
        </w:rPr>
        <w:t>査阅企业设计资料中消防泵与发动机的匹配参数，判断检査结果是否符合</w:t>
      </w:r>
      <w:r>
        <w:rPr>
          <w:spacing w:val="-5"/>
          <w:sz w:val="21"/>
        </w:rPr>
        <w:t xml:space="preserve"> </w:t>
      </w:r>
      <w:r>
        <w:rPr>
          <w:sz w:val="21"/>
        </w:rPr>
        <w:t>4.4.1.3</w:t>
      </w:r>
    </w:p>
    <w:p w14:paraId="457BD108" w14:textId="77777777" w:rsidR="00A71EEF" w:rsidRDefault="00A71EEF">
      <w:pPr>
        <w:pStyle w:val="a3"/>
        <w:spacing w:before="12"/>
        <w:rPr>
          <w:sz w:val="17"/>
        </w:rPr>
      </w:pPr>
    </w:p>
    <w:p w14:paraId="3A0EE8F6" w14:textId="77777777" w:rsidR="00A71EEF" w:rsidRDefault="0081115D">
      <w:pPr>
        <w:pStyle w:val="a3"/>
        <w:ind w:left="418"/>
      </w:pPr>
      <w:r>
        <w:t>的要求。</w:t>
      </w:r>
      <w:r>
        <w:t xml:space="preserve"> </w:t>
      </w:r>
    </w:p>
    <w:p w14:paraId="690C0306" w14:textId="77777777" w:rsidR="00A71EEF" w:rsidRDefault="00A71EEF">
      <w:pPr>
        <w:pStyle w:val="a3"/>
        <w:rPr>
          <w:sz w:val="18"/>
        </w:rPr>
      </w:pPr>
    </w:p>
    <w:p w14:paraId="0CDCFF55" w14:textId="77777777" w:rsidR="00A71EEF" w:rsidRDefault="0081115D">
      <w:pPr>
        <w:pStyle w:val="a4"/>
        <w:numPr>
          <w:ilvl w:val="2"/>
          <w:numId w:val="766"/>
        </w:numPr>
        <w:tabs>
          <w:tab w:val="left" w:pos="1370"/>
        </w:tabs>
        <w:ind w:hanging="530"/>
        <w:rPr>
          <w:sz w:val="21"/>
        </w:rPr>
      </w:pPr>
      <w:r>
        <w:rPr>
          <w:spacing w:val="-3"/>
          <w:sz w:val="21"/>
        </w:rPr>
        <w:t>消防管路试验</w:t>
      </w:r>
      <w:r>
        <w:rPr>
          <w:sz w:val="21"/>
        </w:rPr>
        <w:t xml:space="preserve"> </w:t>
      </w:r>
    </w:p>
    <w:p w14:paraId="153C26EA" w14:textId="77777777" w:rsidR="00A71EEF" w:rsidRDefault="00A71EEF">
      <w:pPr>
        <w:pStyle w:val="a3"/>
        <w:spacing w:before="2"/>
        <w:rPr>
          <w:sz w:val="18"/>
        </w:rPr>
      </w:pPr>
    </w:p>
    <w:p w14:paraId="3FAD99FA" w14:textId="77777777" w:rsidR="00A71EEF" w:rsidRDefault="0081115D">
      <w:pPr>
        <w:pStyle w:val="a4"/>
        <w:numPr>
          <w:ilvl w:val="3"/>
          <w:numId w:val="766"/>
        </w:numPr>
        <w:tabs>
          <w:tab w:val="left" w:pos="1576"/>
        </w:tabs>
        <w:rPr>
          <w:sz w:val="21"/>
        </w:rPr>
      </w:pPr>
      <w:r>
        <w:rPr>
          <w:spacing w:val="-3"/>
          <w:sz w:val="21"/>
        </w:rPr>
        <w:t>一般要求试验</w:t>
      </w:r>
      <w:r>
        <w:rPr>
          <w:sz w:val="21"/>
        </w:rPr>
        <w:t xml:space="preserve"> </w:t>
      </w:r>
    </w:p>
    <w:p w14:paraId="01F8E3CA" w14:textId="77777777" w:rsidR="00A71EEF" w:rsidRDefault="00A71EEF">
      <w:pPr>
        <w:pStyle w:val="a3"/>
        <w:rPr>
          <w:sz w:val="18"/>
        </w:rPr>
      </w:pPr>
    </w:p>
    <w:p w14:paraId="4447794D" w14:textId="77777777" w:rsidR="00A71EEF" w:rsidRDefault="0081115D">
      <w:pPr>
        <w:pStyle w:val="a4"/>
        <w:numPr>
          <w:ilvl w:val="4"/>
          <w:numId w:val="766"/>
        </w:numPr>
        <w:tabs>
          <w:tab w:val="left" w:pos="1788"/>
        </w:tabs>
        <w:rPr>
          <w:sz w:val="21"/>
        </w:rPr>
      </w:pPr>
      <w:r>
        <w:rPr>
          <w:spacing w:val="-5"/>
          <w:sz w:val="21"/>
        </w:rPr>
        <w:t>检査消防管路的材质或防腐措施，判断检査结果是否符合</w:t>
      </w:r>
      <w:r>
        <w:rPr>
          <w:spacing w:val="-5"/>
          <w:sz w:val="21"/>
        </w:rPr>
        <w:t xml:space="preserve"> </w:t>
      </w:r>
      <w:r>
        <w:rPr>
          <w:sz w:val="21"/>
        </w:rPr>
        <w:t>4.4.2.1.1</w:t>
      </w:r>
      <w:r>
        <w:rPr>
          <w:spacing w:val="-13"/>
          <w:sz w:val="21"/>
        </w:rPr>
        <w:t xml:space="preserve"> </w:t>
      </w:r>
      <w:r>
        <w:rPr>
          <w:spacing w:val="-13"/>
          <w:sz w:val="21"/>
        </w:rPr>
        <w:t>的要求。</w:t>
      </w:r>
      <w:r>
        <w:rPr>
          <w:sz w:val="21"/>
        </w:rPr>
        <w:t xml:space="preserve"> </w:t>
      </w:r>
    </w:p>
    <w:p w14:paraId="05054C4E" w14:textId="77777777" w:rsidR="00A71EEF" w:rsidRDefault="00A71EEF">
      <w:pPr>
        <w:pStyle w:val="a3"/>
        <w:spacing w:before="12"/>
        <w:rPr>
          <w:sz w:val="17"/>
        </w:rPr>
      </w:pPr>
    </w:p>
    <w:p w14:paraId="374D01D6" w14:textId="77777777" w:rsidR="00A71EEF" w:rsidRDefault="0081115D">
      <w:pPr>
        <w:pStyle w:val="a4"/>
        <w:numPr>
          <w:ilvl w:val="4"/>
          <w:numId w:val="766"/>
        </w:numPr>
        <w:tabs>
          <w:tab w:val="left" w:pos="1788"/>
        </w:tabs>
        <w:spacing w:line="446" w:lineRule="auto"/>
        <w:ind w:left="418" w:right="1820" w:firstLine="419"/>
        <w:rPr>
          <w:sz w:val="21"/>
        </w:rPr>
      </w:pPr>
      <w:r>
        <w:rPr>
          <w:spacing w:val="-5"/>
          <w:sz w:val="21"/>
        </w:rPr>
        <w:t>目测检查所有消防管路的布置情况，判断检查结果是否符合</w:t>
      </w:r>
      <w:r>
        <w:rPr>
          <w:spacing w:val="-5"/>
          <w:sz w:val="21"/>
        </w:rPr>
        <w:t xml:space="preserve"> </w:t>
      </w:r>
      <w:r>
        <w:rPr>
          <w:sz w:val="21"/>
        </w:rPr>
        <w:t>4.4.2.1.2</w:t>
      </w:r>
      <w:r>
        <w:rPr>
          <w:spacing w:val="-16"/>
          <w:sz w:val="21"/>
        </w:rPr>
        <w:t xml:space="preserve"> </w:t>
      </w:r>
      <w:r>
        <w:rPr>
          <w:spacing w:val="-16"/>
          <w:sz w:val="21"/>
        </w:rPr>
        <w:t>的要</w:t>
      </w:r>
      <w:r>
        <w:rPr>
          <w:spacing w:val="-10"/>
          <w:sz w:val="21"/>
        </w:rPr>
        <w:t>求。</w:t>
      </w:r>
      <w:r>
        <w:rPr>
          <w:sz w:val="21"/>
        </w:rPr>
        <w:t xml:space="preserve"> </w:t>
      </w:r>
    </w:p>
    <w:p w14:paraId="204C3CBF" w14:textId="77777777" w:rsidR="00A71EEF" w:rsidRDefault="0081115D">
      <w:pPr>
        <w:pStyle w:val="a4"/>
        <w:numPr>
          <w:ilvl w:val="4"/>
          <w:numId w:val="766"/>
        </w:numPr>
        <w:tabs>
          <w:tab w:val="left" w:pos="1788"/>
        </w:tabs>
        <w:rPr>
          <w:sz w:val="21"/>
        </w:rPr>
      </w:pPr>
      <w:r>
        <w:rPr>
          <w:spacing w:val="-5"/>
          <w:sz w:val="21"/>
        </w:rPr>
        <w:t>目测检查所有消防管路的颜色，判断检查结果是否符合</w:t>
      </w:r>
      <w:r>
        <w:rPr>
          <w:spacing w:val="-5"/>
          <w:sz w:val="21"/>
        </w:rPr>
        <w:t xml:space="preserve"> </w:t>
      </w:r>
      <w:r>
        <w:rPr>
          <w:sz w:val="21"/>
        </w:rPr>
        <w:t>4.4.2.1.3</w:t>
      </w:r>
      <w:r>
        <w:rPr>
          <w:spacing w:val="-13"/>
          <w:sz w:val="21"/>
        </w:rPr>
        <w:t xml:space="preserve"> </w:t>
      </w:r>
      <w:r>
        <w:rPr>
          <w:spacing w:val="-13"/>
          <w:sz w:val="21"/>
        </w:rPr>
        <w:t>的要求。</w:t>
      </w:r>
      <w:r>
        <w:rPr>
          <w:sz w:val="21"/>
        </w:rPr>
        <w:t xml:space="preserve"> </w:t>
      </w:r>
    </w:p>
    <w:p w14:paraId="27C3223C" w14:textId="77777777" w:rsidR="00A71EEF" w:rsidRDefault="00A71EEF">
      <w:pPr>
        <w:pStyle w:val="a3"/>
        <w:spacing w:before="12"/>
        <w:rPr>
          <w:sz w:val="17"/>
        </w:rPr>
      </w:pPr>
    </w:p>
    <w:p w14:paraId="04053024" w14:textId="77777777" w:rsidR="00A71EEF" w:rsidRDefault="0081115D">
      <w:pPr>
        <w:pStyle w:val="a4"/>
        <w:numPr>
          <w:ilvl w:val="3"/>
          <w:numId w:val="766"/>
        </w:numPr>
        <w:tabs>
          <w:tab w:val="left" w:pos="1576"/>
        </w:tabs>
        <w:rPr>
          <w:sz w:val="21"/>
        </w:rPr>
      </w:pPr>
      <w:r>
        <w:rPr>
          <w:spacing w:val="-3"/>
          <w:sz w:val="21"/>
        </w:rPr>
        <w:t>消防泵进水管路试验</w:t>
      </w:r>
      <w:r>
        <w:rPr>
          <w:sz w:val="21"/>
        </w:rPr>
        <w:t xml:space="preserve"> </w:t>
      </w:r>
    </w:p>
    <w:p w14:paraId="56148E79" w14:textId="77777777" w:rsidR="00A71EEF" w:rsidRDefault="00A71EEF">
      <w:pPr>
        <w:pStyle w:val="a3"/>
        <w:spacing w:before="2"/>
        <w:rPr>
          <w:sz w:val="18"/>
        </w:rPr>
      </w:pPr>
    </w:p>
    <w:p w14:paraId="6DAA970A" w14:textId="77777777" w:rsidR="00A71EEF" w:rsidRDefault="0081115D">
      <w:pPr>
        <w:pStyle w:val="a4"/>
        <w:numPr>
          <w:ilvl w:val="4"/>
          <w:numId w:val="766"/>
        </w:numPr>
        <w:tabs>
          <w:tab w:val="left" w:pos="1788"/>
        </w:tabs>
        <w:spacing w:line="446" w:lineRule="auto"/>
        <w:ind w:left="418" w:right="1503" w:firstLine="419"/>
        <w:rPr>
          <w:sz w:val="21"/>
        </w:rPr>
      </w:pPr>
      <w:r>
        <w:rPr>
          <w:spacing w:val="-5"/>
          <w:sz w:val="21"/>
        </w:rPr>
        <w:t>目测检查消防泵进水口位置。泡沫车停在平整、坚硬的地面上，在</w:t>
      </w:r>
      <w:r>
        <w:rPr>
          <w:spacing w:val="-5"/>
          <w:sz w:val="21"/>
        </w:rPr>
        <w:t xml:space="preserve"> </w:t>
      </w:r>
      <w:r>
        <w:rPr>
          <w:sz w:val="21"/>
        </w:rPr>
        <w:t>3m</w:t>
      </w:r>
      <w:r>
        <w:rPr>
          <w:spacing w:val="-11"/>
          <w:sz w:val="21"/>
        </w:rPr>
        <w:t xml:space="preserve"> </w:t>
      </w:r>
      <w:r>
        <w:rPr>
          <w:spacing w:val="-11"/>
          <w:sz w:val="21"/>
        </w:rPr>
        <w:t>吸深下，</w:t>
      </w:r>
      <w:r>
        <w:rPr>
          <w:spacing w:val="-11"/>
          <w:sz w:val="21"/>
        </w:rPr>
        <w:t xml:space="preserve"> </w:t>
      </w:r>
      <w:r>
        <w:rPr>
          <w:spacing w:val="-6"/>
          <w:sz w:val="21"/>
        </w:rPr>
        <w:t>将连接好滤水器的吸水管接在消防泵进口并放入水中，启动发动机并接合消防泵，判断检查结</w:t>
      </w:r>
      <w:r>
        <w:rPr>
          <w:spacing w:val="-12"/>
          <w:sz w:val="21"/>
        </w:rPr>
        <w:t>果是否符合</w:t>
      </w:r>
      <w:r>
        <w:rPr>
          <w:spacing w:val="-12"/>
          <w:sz w:val="21"/>
        </w:rPr>
        <w:t xml:space="preserve"> </w:t>
      </w:r>
      <w:r>
        <w:rPr>
          <w:sz w:val="21"/>
        </w:rPr>
        <w:t>4.4.2.2.1</w:t>
      </w:r>
      <w:r>
        <w:rPr>
          <w:spacing w:val="-10"/>
          <w:sz w:val="21"/>
        </w:rPr>
        <w:t xml:space="preserve"> </w:t>
      </w:r>
      <w:r>
        <w:rPr>
          <w:spacing w:val="-10"/>
          <w:sz w:val="21"/>
        </w:rPr>
        <w:t>的要求，当试验条件不是标准环境条件时，应按</w:t>
      </w:r>
      <w:r>
        <w:rPr>
          <w:spacing w:val="-10"/>
          <w:sz w:val="21"/>
        </w:rPr>
        <w:t xml:space="preserve"> </w:t>
      </w:r>
      <w:r>
        <w:rPr>
          <w:sz w:val="21"/>
        </w:rPr>
        <w:t>GB</w:t>
      </w:r>
      <w:r>
        <w:rPr>
          <w:spacing w:val="1"/>
          <w:sz w:val="21"/>
        </w:rPr>
        <w:t xml:space="preserve"> </w:t>
      </w:r>
      <w:r>
        <w:rPr>
          <w:sz w:val="21"/>
        </w:rPr>
        <w:t>6245—2006</w:t>
      </w:r>
      <w:r>
        <w:rPr>
          <w:spacing w:val="-27"/>
          <w:sz w:val="21"/>
        </w:rPr>
        <w:t xml:space="preserve"> </w:t>
      </w:r>
      <w:r>
        <w:rPr>
          <w:spacing w:val="-27"/>
          <w:sz w:val="21"/>
        </w:rPr>
        <w:t>中</w:t>
      </w:r>
    </w:p>
    <w:p w14:paraId="447147BA" w14:textId="77777777" w:rsidR="00A71EEF" w:rsidRDefault="0081115D">
      <w:pPr>
        <w:pStyle w:val="a3"/>
        <w:spacing w:line="268" w:lineRule="exact"/>
        <w:ind w:left="418"/>
      </w:pPr>
      <w:r>
        <w:t xml:space="preserve">10.4.1 </w:t>
      </w:r>
      <w:r>
        <w:t>的规定进行修正，检查消防泵压力和流量。</w:t>
      </w:r>
      <w:r>
        <w:t xml:space="preserve"> </w:t>
      </w:r>
    </w:p>
    <w:p w14:paraId="48D99664" w14:textId="77777777" w:rsidR="00A71EEF" w:rsidRDefault="00A71EEF">
      <w:pPr>
        <w:spacing w:line="268" w:lineRule="exact"/>
        <w:sectPr w:rsidR="00A71EEF">
          <w:pgSz w:w="11910" w:h="16850"/>
          <w:pgMar w:top="1220" w:right="0" w:bottom="1420" w:left="1260" w:header="0" w:footer="1239" w:gutter="0"/>
          <w:cols w:space="720"/>
        </w:sectPr>
      </w:pPr>
    </w:p>
    <w:p w14:paraId="5E6B62C7" w14:textId="77777777" w:rsidR="00A71EEF" w:rsidRDefault="0081115D">
      <w:pPr>
        <w:pStyle w:val="a4"/>
        <w:numPr>
          <w:ilvl w:val="4"/>
          <w:numId w:val="766"/>
        </w:numPr>
        <w:tabs>
          <w:tab w:val="left" w:pos="1788"/>
        </w:tabs>
        <w:spacing w:before="47"/>
        <w:rPr>
          <w:sz w:val="21"/>
        </w:rPr>
      </w:pPr>
      <w:r>
        <w:rPr>
          <w:spacing w:val="-9"/>
          <w:sz w:val="21"/>
        </w:rPr>
        <w:lastRenderedPageBreak/>
        <w:t>检查额定流量大于</w:t>
      </w:r>
      <w:r>
        <w:rPr>
          <w:spacing w:val="-9"/>
          <w:sz w:val="21"/>
        </w:rPr>
        <w:t xml:space="preserve"> </w:t>
      </w:r>
      <w:r>
        <w:rPr>
          <w:sz w:val="21"/>
        </w:rPr>
        <w:t>100L/s</w:t>
      </w:r>
      <w:r>
        <w:rPr>
          <w:spacing w:val="-8"/>
          <w:sz w:val="21"/>
        </w:rPr>
        <w:t xml:space="preserve"> </w:t>
      </w:r>
      <w:r>
        <w:rPr>
          <w:spacing w:val="-8"/>
          <w:sz w:val="21"/>
        </w:rPr>
        <w:t>的泡沫车进水管路的阀门，判断检查结果是否符合</w:t>
      </w:r>
    </w:p>
    <w:p w14:paraId="58B94E13" w14:textId="77777777" w:rsidR="00A71EEF" w:rsidRDefault="00A71EEF">
      <w:pPr>
        <w:pStyle w:val="a3"/>
        <w:rPr>
          <w:sz w:val="18"/>
        </w:rPr>
      </w:pPr>
    </w:p>
    <w:p w14:paraId="57F50A50" w14:textId="77777777" w:rsidR="00A71EEF" w:rsidRDefault="0081115D">
      <w:pPr>
        <w:pStyle w:val="a3"/>
        <w:ind w:left="418"/>
      </w:pPr>
      <w:r>
        <w:t xml:space="preserve">4.4.2.2.2 </w:t>
      </w:r>
      <w:r>
        <w:t>的要求</w:t>
      </w:r>
      <w:r>
        <w:t xml:space="preserve">. </w:t>
      </w:r>
    </w:p>
    <w:p w14:paraId="6E998FFA" w14:textId="77777777" w:rsidR="00A71EEF" w:rsidRDefault="00A71EEF">
      <w:pPr>
        <w:pStyle w:val="a3"/>
        <w:rPr>
          <w:sz w:val="18"/>
        </w:rPr>
      </w:pPr>
    </w:p>
    <w:p w14:paraId="14355FC3" w14:textId="77777777" w:rsidR="00A71EEF" w:rsidRDefault="0081115D">
      <w:pPr>
        <w:pStyle w:val="a4"/>
        <w:numPr>
          <w:ilvl w:val="4"/>
          <w:numId w:val="765"/>
        </w:numPr>
        <w:tabs>
          <w:tab w:val="left" w:pos="1788"/>
        </w:tabs>
        <w:spacing w:line="446" w:lineRule="auto"/>
        <w:ind w:right="1609" w:firstLine="419"/>
        <w:rPr>
          <w:sz w:val="21"/>
        </w:rPr>
      </w:pPr>
      <w:r>
        <w:rPr>
          <w:spacing w:val="-3"/>
          <w:sz w:val="21"/>
        </w:rPr>
        <w:t>消防泵运转结束后，放尽水管路余水，用秒表测定放尽余水的时间，判断试验</w:t>
      </w:r>
      <w:r>
        <w:rPr>
          <w:spacing w:val="-11"/>
          <w:sz w:val="21"/>
        </w:rPr>
        <w:t>结果是否符合</w:t>
      </w:r>
      <w:r>
        <w:rPr>
          <w:spacing w:val="-11"/>
          <w:sz w:val="21"/>
        </w:rPr>
        <w:t xml:space="preserve"> </w:t>
      </w:r>
      <w:r>
        <w:rPr>
          <w:sz w:val="21"/>
        </w:rPr>
        <w:t>4.4.2.2.3</w:t>
      </w:r>
      <w:r>
        <w:rPr>
          <w:spacing w:val="-13"/>
          <w:sz w:val="21"/>
        </w:rPr>
        <w:t xml:space="preserve"> </w:t>
      </w:r>
      <w:r>
        <w:rPr>
          <w:spacing w:val="-13"/>
          <w:sz w:val="21"/>
        </w:rPr>
        <w:t>的要求。</w:t>
      </w:r>
      <w:r>
        <w:rPr>
          <w:sz w:val="21"/>
        </w:rPr>
        <w:t xml:space="preserve"> </w:t>
      </w:r>
    </w:p>
    <w:p w14:paraId="5EA76BB8" w14:textId="77777777" w:rsidR="00A71EEF" w:rsidRDefault="0081115D">
      <w:pPr>
        <w:pStyle w:val="a4"/>
        <w:numPr>
          <w:ilvl w:val="4"/>
          <w:numId w:val="765"/>
        </w:numPr>
        <w:tabs>
          <w:tab w:val="left" w:pos="1788"/>
        </w:tabs>
        <w:spacing w:line="446" w:lineRule="auto"/>
        <w:ind w:right="1609" w:firstLine="419"/>
        <w:rPr>
          <w:sz w:val="21"/>
        </w:rPr>
      </w:pPr>
      <w:r>
        <w:rPr>
          <w:spacing w:val="-3"/>
          <w:sz w:val="21"/>
        </w:rPr>
        <w:t>目测检查消防泵的每个进水口和吸水管之间的滤网，用游标卡尺测量过流断面</w:t>
      </w:r>
      <w:r>
        <w:rPr>
          <w:spacing w:val="-6"/>
          <w:sz w:val="21"/>
        </w:rPr>
        <w:t>处滤网孔尺</w:t>
      </w:r>
      <w:r>
        <w:rPr>
          <w:spacing w:val="-6"/>
          <w:sz w:val="21"/>
        </w:rPr>
        <w:t xml:space="preserve"> </w:t>
      </w:r>
      <w:r>
        <w:rPr>
          <w:spacing w:val="-6"/>
          <w:sz w:val="21"/>
        </w:rPr>
        <w:t>寸，判断试验结果是否符合</w:t>
      </w:r>
      <w:r>
        <w:rPr>
          <w:spacing w:val="-6"/>
          <w:sz w:val="21"/>
        </w:rPr>
        <w:t xml:space="preserve"> </w:t>
      </w:r>
      <w:r>
        <w:rPr>
          <w:sz w:val="21"/>
        </w:rPr>
        <w:t>4.4.2.2.4</w:t>
      </w:r>
      <w:r>
        <w:rPr>
          <w:spacing w:val="-13"/>
          <w:sz w:val="21"/>
        </w:rPr>
        <w:t xml:space="preserve"> </w:t>
      </w:r>
      <w:r>
        <w:rPr>
          <w:spacing w:val="-13"/>
          <w:sz w:val="21"/>
        </w:rPr>
        <w:t>的要求。</w:t>
      </w:r>
      <w:r>
        <w:rPr>
          <w:sz w:val="21"/>
        </w:rPr>
        <w:t xml:space="preserve"> </w:t>
      </w:r>
    </w:p>
    <w:p w14:paraId="57DC4E4E" w14:textId="77777777" w:rsidR="00A71EEF" w:rsidRDefault="0081115D">
      <w:pPr>
        <w:pStyle w:val="a4"/>
        <w:numPr>
          <w:ilvl w:val="4"/>
          <w:numId w:val="765"/>
        </w:numPr>
        <w:tabs>
          <w:tab w:val="left" w:pos="1788"/>
        </w:tabs>
        <w:ind w:left="1787"/>
        <w:rPr>
          <w:sz w:val="21"/>
        </w:rPr>
      </w:pPr>
      <w:r>
        <w:rPr>
          <w:spacing w:val="-3"/>
          <w:sz w:val="21"/>
        </w:rPr>
        <w:t>试验时将各进、出水口封闭，用试压泵向管内压水，达到试验压力后保持</w:t>
      </w:r>
    </w:p>
    <w:p w14:paraId="39B4E5B8" w14:textId="77777777" w:rsidR="00A71EEF" w:rsidRDefault="00A71EEF">
      <w:pPr>
        <w:pStyle w:val="a3"/>
        <w:spacing w:before="12"/>
        <w:rPr>
          <w:sz w:val="17"/>
        </w:rPr>
      </w:pPr>
    </w:p>
    <w:p w14:paraId="6BDDA672" w14:textId="77777777" w:rsidR="00A71EEF" w:rsidRDefault="0081115D">
      <w:pPr>
        <w:pStyle w:val="a3"/>
        <w:ind w:left="418"/>
      </w:pPr>
      <w:r>
        <w:t>3min</w:t>
      </w:r>
      <w:r>
        <w:t>，判断试验结果是否符合</w:t>
      </w:r>
      <w:r>
        <w:t xml:space="preserve"> 4.4.2.2.5 </w:t>
      </w:r>
      <w:r>
        <w:t>的要求。</w:t>
      </w:r>
      <w:r>
        <w:t xml:space="preserve"> </w:t>
      </w:r>
    </w:p>
    <w:p w14:paraId="3147651E" w14:textId="77777777" w:rsidR="00A71EEF" w:rsidRDefault="00A71EEF">
      <w:pPr>
        <w:pStyle w:val="a3"/>
        <w:rPr>
          <w:sz w:val="18"/>
        </w:rPr>
      </w:pPr>
    </w:p>
    <w:p w14:paraId="1AFEF390" w14:textId="77777777" w:rsidR="00A71EEF" w:rsidRDefault="0081115D">
      <w:pPr>
        <w:pStyle w:val="a4"/>
        <w:numPr>
          <w:ilvl w:val="4"/>
          <w:numId w:val="765"/>
        </w:numPr>
        <w:tabs>
          <w:tab w:val="left" w:pos="1788"/>
        </w:tabs>
        <w:ind w:left="1787"/>
        <w:rPr>
          <w:sz w:val="21"/>
        </w:rPr>
      </w:pPr>
      <w:r>
        <w:rPr>
          <w:spacing w:val="-6"/>
          <w:sz w:val="21"/>
        </w:rPr>
        <w:t>用卷尺测量吸水管长度，判断试验结果是否符合</w:t>
      </w:r>
      <w:r>
        <w:rPr>
          <w:spacing w:val="-6"/>
          <w:sz w:val="21"/>
        </w:rPr>
        <w:t xml:space="preserve"> </w:t>
      </w:r>
      <w:r>
        <w:rPr>
          <w:sz w:val="21"/>
        </w:rPr>
        <w:t>4.4.2.2.6</w:t>
      </w:r>
      <w:r>
        <w:rPr>
          <w:spacing w:val="-12"/>
          <w:sz w:val="21"/>
        </w:rPr>
        <w:t xml:space="preserve"> </w:t>
      </w:r>
      <w:r>
        <w:rPr>
          <w:spacing w:val="-12"/>
          <w:sz w:val="21"/>
        </w:rPr>
        <w:t>的要求。</w:t>
      </w:r>
      <w:r>
        <w:rPr>
          <w:spacing w:val="-12"/>
          <w:sz w:val="21"/>
        </w:rPr>
        <w:t xml:space="preserve"> </w:t>
      </w:r>
    </w:p>
    <w:p w14:paraId="41D28F9D" w14:textId="77777777" w:rsidR="00A71EEF" w:rsidRDefault="00A71EEF">
      <w:pPr>
        <w:pStyle w:val="a3"/>
        <w:spacing w:before="2"/>
        <w:rPr>
          <w:sz w:val="18"/>
        </w:rPr>
      </w:pPr>
    </w:p>
    <w:p w14:paraId="45DC4BA2" w14:textId="77777777" w:rsidR="00A71EEF" w:rsidRDefault="0081115D">
      <w:pPr>
        <w:pStyle w:val="a4"/>
        <w:numPr>
          <w:ilvl w:val="3"/>
          <w:numId w:val="766"/>
        </w:numPr>
        <w:tabs>
          <w:tab w:val="left" w:pos="1576"/>
        </w:tabs>
        <w:rPr>
          <w:sz w:val="21"/>
        </w:rPr>
      </w:pPr>
      <w:r>
        <w:rPr>
          <w:spacing w:val="-3"/>
          <w:sz w:val="21"/>
        </w:rPr>
        <w:t>消防泵出水管路试验</w:t>
      </w:r>
      <w:r>
        <w:rPr>
          <w:sz w:val="21"/>
        </w:rPr>
        <w:t xml:space="preserve"> </w:t>
      </w:r>
    </w:p>
    <w:p w14:paraId="2F4E5846" w14:textId="77777777" w:rsidR="00A71EEF" w:rsidRDefault="00A71EEF">
      <w:pPr>
        <w:pStyle w:val="a3"/>
        <w:spacing w:before="12"/>
        <w:rPr>
          <w:sz w:val="17"/>
        </w:rPr>
      </w:pPr>
    </w:p>
    <w:p w14:paraId="6B9D47C6" w14:textId="77777777" w:rsidR="00A71EEF" w:rsidRDefault="0081115D">
      <w:pPr>
        <w:pStyle w:val="a4"/>
        <w:numPr>
          <w:ilvl w:val="4"/>
          <w:numId w:val="766"/>
        </w:numPr>
        <w:tabs>
          <w:tab w:val="left" w:pos="1788"/>
        </w:tabs>
        <w:spacing w:line="446" w:lineRule="auto"/>
        <w:ind w:left="418" w:right="1608" w:firstLine="419"/>
        <w:jc w:val="both"/>
        <w:rPr>
          <w:sz w:val="21"/>
        </w:rPr>
      </w:pPr>
      <w:r>
        <w:rPr>
          <w:spacing w:val="-3"/>
          <w:sz w:val="21"/>
        </w:rPr>
        <w:t>消防车停在平整、坚硬的地面上，将吸水管接在消防泵进口并放入水中，各出口和流量计相连，启动消防泵，在额定工况下运转，待运转稳定后测量泵的流量和压力，判断</w:t>
      </w:r>
      <w:r>
        <w:rPr>
          <w:spacing w:val="-9"/>
          <w:sz w:val="21"/>
        </w:rPr>
        <w:t>试验结果是否符合</w:t>
      </w:r>
      <w:r>
        <w:rPr>
          <w:spacing w:val="-9"/>
          <w:sz w:val="21"/>
        </w:rPr>
        <w:t xml:space="preserve"> </w:t>
      </w:r>
      <w:r>
        <w:rPr>
          <w:sz w:val="21"/>
        </w:rPr>
        <w:t>4.4.2.3.1</w:t>
      </w:r>
      <w:r>
        <w:rPr>
          <w:spacing w:val="-13"/>
          <w:sz w:val="21"/>
        </w:rPr>
        <w:t xml:space="preserve"> </w:t>
      </w:r>
      <w:r>
        <w:rPr>
          <w:spacing w:val="-13"/>
          <w:sz w:val="21"/>
        </w:rPr>
        <w:t>的要求。</w:t>
      </w:r>
      <w:r>
        <w:rPr>
          <w:sz w:val="21"/>
        </w:rPr>
        <w:t xml:space="preserve"> </w:t>
      </w:r>
    </w:p>
    <w:p w14:paraId="0BD768AD" w14:textId="77777777" w:rsidR="00A71EEF" w:rsidRDefault="0081115D">
      <w:pPr>
        <w:pStyle w:val="a4"/>
        <w:numPr>
          <w:ilvl w:val="4"/>
          <w:numId w:val="766"/>
        </w:numPr>
        <w:tabs>
          <w:tab w:val="left" w:pos="1788"/>
        </w:tabs>
        <w:spacing w:line="446" w:lineRule="auto"/>
        <w:ind w:left="418" w:right="1609" w:firstLine="419"/>
        <w:jc w:val="both"/>
        <w:rPr>
          <w:sz w:val="21"/>
        </w:rPr>
      </w:pPr>
      <w:r>
        <w:rPr>
          <w:spacing w:val="-3"/>
          <w:sz w:val="21"/>
        </w:rPr>
        <w:t>消防泵运转结束后，放出水管路余水，用秒表测定放尽余水的时间，判断试验</w:t>
      </w:r>
      <w:r>
        <w:rPr>
          <w:spacing w:val="-11"/>
          <w:sz w:val="21"/>
        </w:rPr>
        <w:t>结果是否符合</w:t>
      </w:r>
      <w:r>
        <w:rPr>
          <w:spacing w:val="-11"/>
          <w:sz w:val="21"/>
        </w:rPr>
        <w:t xml:space="preserve"> </w:t>
      </w:r>
      <w:r>
        <w:rPr>
          <w:sz w:val="21"/>
        </w:rPr>
        <w:t>4.4.2.3.2</w:t>
      </w:r>
      <w:r>
        <w:rPr>
          <w:spacing w:val="-13"/>
          <w:sz w:val="21"/>
        </w:rPr>
        <w:t xml:space="preserve"> </w:t>
      </w:r>
      <w:r>
        <w:rPr>
          <w:spacing w:val="-13"/>
          <w:sz w:val="21"/>
        </w:rPr>
        <w:t>的要求。</w:t>
      </w:r>
      <w:r>
        <w:rPr>
          <w:sz w:val="21"/>
        </w:rPr>
        <w:t xml:space="preserve"> </w:t>
      </w:r>
    </w:p>
    <w:p w14:paraId="61D75E22" w14:textId="77777777" w:rsidR="00A71EEF" w:rsidRDefault="0081115D">
      <w:pPr>
        <w:pStyle w:val="a4"/>
        <w:numPr>
          <w:ilvl w:val="4"/>
          <w:numId w:val="766"/>
        </w:numPr>
        <w:tabs>
          <w:tab w:val="left" w:pos="1788"/>
        </w:tabs>
        <w:spacing w:line="446" w:lineRule="auto"/>
        <w:ind w:left="418" w:right="1609" w:firstLine="419"/>
        <w:jc w:val="both"/>
        <w:rPr>
          <w:sz w:val="21"/>
        </w:rPr>
      </w:pPr>
      <w:r>
        <w:rPr>
          <w:spacing w:val="-3"/>
          <w:sz w:val="21"/>
        </w:rPr>
        <w:t>用卷尺测量出水口中心离地高度，目测检查出水口倾斜方向，用卷尺测量出水</w:t>
      </w:r>
      <w:r>
        <w:rPr>
          <w:spacing w:val="-5"/>
          <w:sz w:val="21"/>
        </w:rPr>
        <w:t>口中心离操作踏板上平面的高度，判断试验结果是否符合</w:t>
      </w:r>
      <w:r>
        <w:rPr>
          <w:spacing w:val="-5"/>
          <w:sz w:val="21"/>
        </w:rPr>
        <w:t xml:space="preserve"> </w:t>
      </w:r>
      <w:r>
        <w:rPr>
          <w:sz w:val="21"/>
        </w:rPr>
        <w:t>4.4.2.3.3</w:t>
      </w:r>
      <w:r>
        <w:rPr>
          <w:spacing w:val="-12"/>
          <w:sz w:val="21"/>
        </w:rPr>
        <w:t xml:space="preserve"> </w:t>
      </w:r>
      <w:r>
        <w:rPr>
          <w:spacing w:val="-12"/>
          <w:sz w:val="21"/>
        </w:rPr>
        <w:t>的要求。</w:t>
      </w:r>
      <w:r>
        <w:rPr>
          <w:spacing w:val="-12"/>
          <w:sz w:val="21"/>
        </w:rPr>
        <w:t xml:space="preserve"> </w:t>
      </w:r>
    </w:p>
    <w:p w14:paraId="1E431B6A" w14:textId="77777777" w:rsidR="00A71EEF" w:rsidRDefault="0081115D">
      <w:pPr>
        <w:pStyle w:val="a4"/>
        <w:numPr>
          <w:ilvl w:val="4"/>
          <w:numId w:val="766"/>
        </w:numPr>
        <w:tabs>
          <w:tab w:val="left" w:pos="1788"/>
        </w:tabs>
        <w:spacing w:line="267" w:lineRule="exact"/>
        <w:jc w:val="both"/>
        <w:rPr>
          <w:sz w:val="21"/>
        </w:rPr>
      </w:pPr>
      <w:r>
        <w:rPr>
          <w:spacing w:val="-5"/>
          <w:sz w:val="21"/>
        </w:rPr>
        <w:t>目测检査出水管路的止回阀安装，判断试验结果是否</w:t>
      </w:r>
      <w:r>
        <w:rPr>
          <w:spacing w:val="-5"/>
          <w:sz w:val="21"/>
        </w:rPr>
        <w:t>符合</w:t>
      </w:r>
      <w:r>
        <w:rPr>
          <w:spacing w:val="-5"/>
          <w:sz w:val="21"/>
        </w:rPr>
        <w:t xml:space="preserve"> </w:t>
      </w:r>
      <w:r>
        <w:rPr>
          <w:sz w:val="21"/>
        </w:rPr>
        <w:t>4.4.2.3.4</w:t>
      </w:r>
      <w:r>
        <w:rPr>
          <w:spacing w:val="-13"/>
          <w:sz w:val="21"/>
        </w:rPr>
        <w:t xml:space="preserve"> </w:t>
      </w:r>
      <w:r>
        <w:rPr>
          <w:spacing w:val="-13"/>
          <w:sz w:val="21"/>
        </w:rPr>
        <w:t>的要求。</w:t>
      </w:r>
      <w:r>
        <w:rPr>
          <w:sz w:val="21"/>
        </w:rPr>
        <w:t xml:space="preserve"> </w:t>
      </w:r>
    </w:p>
    <w:p w14:paraId="0F7F7BEA" w14:textId="77777777" w:rsidR="00A71EEF" w:rsidRDefault="00A71EEF">
      <w:pPr>
        <w:pStyle w:val="a3"/>
        <w:spacing w:before="1"/>
        <w:rPr>
          <w:sz w:val="18"/>
        </w:rPr>
      </w:pPr>
    </w:p>
    <w:p w14:paraId="28C181A6" w14:textId="77777777" w:rsidR="00A71EEF" w:rsidRDefault="0081115D">
      <w:pPr>
        <w:pStyle w:val="a4"/>
        <w:numPr>
          <w:ilvl w:val="4"/>
          <w:numId w:val="766"/>
        </w:numPr>
        <w:tabs>
          <w:tab w:val="left" w:pos="1788"/>
        </w:tabs>
        <w:spacing w:line="446" w:lineRule="auto"/>
        <w:ind w:left="418" w:right="1609" w:firstLine="419"/>
        <w:rPr>
          <w:sz w:val="21"/>
        </w:rPr>
      </w:pPr>
      <w:r>
        <w:rPr>
          <w:spacing w:val="-3"/>
          <w:sz w:val="21"/>
        </w:rPr>
        <w:t>将消防泵出口止回阀后的出水管路注满水，排除残余空气，关闭出水阀，用试</w:t>
      </w:r>
      <w:r>
        <w:rPr>
          <w:spacing w:val="-6"/>
          <w:sz w:val="21"/>
        </w:rPr>
        <w:t>压泵向管路内缓慢加压至规定试验压力，保持</w:t>
      </w:r>
      <w:r>
        <w:rPr>
          <w:spacing w:val="-6"/>
          <w:sz w:val="21"/>
        </w:rPr>
        <w:t xml:space="preserve"> </w:t>
      </w:r>
      <w:r>
        <w:rPr>
          <w:sz w:val="21"/>
        </w:rPr>
        <w:t>3min</w:t>
      </w:r>
      <w:r>
        <w:rPr>
          <w:spacing w:val="-7"/>
          <w:sz w:val="21"/>
        </w:rPr>
        <w:t>，判断试验结果是否符合</w:t>
      </w:r>
      <w:r>
        <w:rPr>
          <w:spacing w:val="-7"/>
          <w:sz w:val="21"/>
        </w:rPr>
        <w:t xml:space="preserve"> </w:t>
      </w:r>
      <w:r>
        <w:rPr>
          <w:sz w:val="21"/>
        </w:rPr>
        <w:t>4.4.2.3.5</w:t>
      </w:r>
      <w:r>
        <w:rPr>
          <w:spacing w:val="-17"/>
          <w:sz w:val="21"/>
        </w:rPr>
        <w:t xml:space="preserve"> </w:t>
      </w:r>
      <w:r>
        <w:rPr>
          <w:spacing w:val="-17"/>
          <w:sz w:val="21"/>
        </w:rPr>
        <w:t>的要</w:t>
      </w:r>
      <w:r>
        <w:rPr>
          <w:spacing w:val="-10"/>
          <w:sz w:val="21"/>
        </w:rPr>
        <w:t>求。</w:t>
      </w:r>
      <w:r>
        <w:rPr>
          <w:sz w:val="21"/>
        </w:rPr>
        <w:t xml:space="preserve"> </w:t>
      </w:r>
    </w:p>
    <w:p w14:paraId="22977547" w14:textId="77777777" w:rsidR="00A71EEF" w:rsidRDefault="0081115D">
      <w:pPr>
        <w:pStyle w:val="a4"/>
        <w:numPr>
          <w:ilvl w:val="4"/>
          <w:numId w:val="766"/>
        </w:numPr>
        <w:tabs>
          <w:tab w:val="left" w:pos="1788"/>
        </w:tabs>
        <w:spacing w:line="446" w:lineRule="auto"/>
        <w:ind w:left="418" w:right="1609" w:firstLine="419"/>
        <w:rPr>
          <w:sz w:val="21"/>
        </w:rPr>
      </w:pPr>
      <w:r>
        <w:rPr>
          <w:spacing w:val="-3"/>
          <w:sz w:val="21"/>
        </w:rPr>
        <w:t>将消防泵出口止回阀后的出水管路承压零件注满水，排除残余空气，关闭出水</w:t>
      </w:r>
      <w:r>
        <w:rPr>
          <w:spacing w:val="-5"/>
          <w:sz w:val="21"/>
        </w:rPr>
        <w:t>阀，用试压泵向管路内缓慢加压至规定试验压力，保持</w:t>
      </w:r>
      <w:r>
        <w:rPr>
          <w:spacing w:val="-5"/>
          <w:sz w:val="21"/>
        </w:rPr>
        <w:t xml:space="preserve"> </w:t>
      </w:r>
      <w:r>
        <w:rPr>
          <w:sz w:val="21"/>
        </w:rPr>
        <w:t>3min</w:t>
      </w:r>
      <w:r>
        <w:rPr>
          <w:spacing w:val="-3"/>
          <w:sz w:val="21"/>
        </w:rPr>
        <w:t>，判断试验结果是否符合</w:t>
      </w:r>
    </w:p>
    <w:p w14:paraId="277AF292" w14:textId="77777777" w:rsidR="00A71EEF" w:rsidRDefault="0081115D">
      <w:pPr>
        <w:pStyle w:val="a3"/>
        <w:spacing w:line="267" w:lineRule="exact"/>
        <w:ind w:left="418"/>
      </w:pPr>
      <w:r>
        <w:t xml:space="preserve">4.4.2.3.6 </w:t>
      </w:r>
      <w:r>
        <w:t>的要求。</w:t>
      </w:r>
      <w:r>
        <w:t xml:space="preserve"> </w:t>
      </w:r>
    </w:p>
    <w:p w14:paraId="32B89359" w14:textId="77777777" w:rsidR="00A71EEF" w:rsidRDefault="00A71EEF">
      <w:pPr>
        <w:pStyle w:val="a3"/>
        <w:spacing w:before="1"/>
        <w:rPr>
          <w:sz w:val="18"/>
        </w:rPr>
      </w:pPr>
    </w:p>
    <w:p w14:paraId="6DF97BAB" w14:textId="77777777" w:rsidR="00A71EEF" w:rsidRDefault="0081115D">
      <w:pPr>
        <w:pStyle w:val="a4"/>
        <w:numPr>
          <w:ilvl w:val="4"/>
          <w:numId w:val="764"/>
        </w:numPr>
        <w:tabs>
          <w:tab w:val="left" w:pos="1788"/>
        </w:tabs>
        <w:spacing w:line="446" w:lineRule="auto"/>
        <w:ind w:right="1609" w:firstLine="419"/>
        <w:jc w:val="both"/>
        <w:rPr>
          <w:sz w:val="21"/>
        </w:rPr>
      </w:pPr>
      <w:r>
        <w:rPr>
          <w:spacing w:val="-3"/>
          <w:sz w:val="21"/>
        </w:rPr>
        <w:t>手动启闭的出水阀，在出水管路最大工作压力下，在出水阀操作手柄顶端施加操作力，用拉力计测量开启和关闭力大小。当出水管路中没有压力时，在出水阀操作手柄顶端</w:t>
      </w:r>
      <w:r>
        <w:rPr>
          <w:spacing w:val="-5"/>
          <w:sz w:val="21"/>
        </w:rPr>
        <w:t>施加操作力，用拉力计测量开启和关闭力大小，判断试验结果是否符合</w:t>
      </w:r>
      <w:r>
        <w:rPr>
          <w:spacing w:val="-5"/>
          <w:sz w:val="21"/>
        </w:rPr>
        <w:t xml:space="preserve"> </w:t>
      </w:r>
      <w:r>
        <w:rPr>
          <w:sz w:val="21"/>
        </w:rPr>
        <w:t>4.4.2.3.7</w:t>
      </w:r>
      <w:r>
        <w:rPr>
          <w:spacing w:val="-12"/>
          <w:sz w:val="21"/>
        </w:rPr>
        <w:t xml:space="preserve"> </w:t>
      </w:r>
      <w:r>
        <w:rPr>
          <w:spacing w:val="-12"/>
          <w:sz w:val="21"/>
        </w:rPr>
        <w:t>的要求。</w:t>
      </w:r>
      <w:r>
        <w:rPr>
          <w:sz w:val="21"/>
        </w:rPr>
        <w:t xml:space="preserve"> </w:t>
      </w:r>
    </w:p>
    <w:p w14:paraId="170A541F" w14:textId="77777777" w:rsidR="00A71EEF" w:rsidRDefault="00A71EEF">
      <w:pPr>
        <w:spacing w:line="446" w:lineRule="auto"/>
        <w:jc w:val="both"/>
        <w:rPr>
          <w:sz w:val="21"/>
        </w:rPr>
        <w:sectPr w:rsidR="00A71EEF">
          <w:pgSz w:w="11910" w:h="16850"/>
          <w:pgMar w:top="1220" w:right="0" w:bottom="1420" w:left="1260" w:header="0" w:footer="1239" w:gutter="0"/>
          <w:cols w:space="720"/>
        </w:sectPr>
      </w:pPr>
    </w:p>
    <w:p w14:paraId="0249ECA0" w14:textId="77777777" w:rsidR="00A71EEF" w:rsidRDefault="0081115D">
      <w:pPr>
        <w:pStyle w:val="a4"/>
        <w:numPr>
          <w:ilvl w:val="4"/>
          <w:numId w:val="764"/>
        </w:numPr>
        <w:tabs>
          <w:tab w:val="left" w:pos="1788"/>
        </w:tabs>
        <w:spacing w:before="47" w:line="446" w:lineRule="auto"/>
        <w:ind w:right="1609" w:firstLine="419"/>
        <w:rPr>
          <w:sz w:val="21"/>
        </w:rPr>
      </w:pPr>
      <w:r>
        <w:rPr>
          <w:spacing w:val="-3"/>
          <w:sz w:val="21"/>
        </w:rPr>
        <w:lastRenderedPageBreak/>
        <w:t>检查消防泵出水管路的出水阀及指示标牌、警示标牌，并用秒表测量阀门完全</w:t>
      </w:r>
      <w:r>
        <w:rPr>
          <w:spacing w:val="-6"/>
          <w:sz w:val="21"/>
        </w:rPr>
        <w:t>打开所用时间，判断试验结果是否符合</w:t>
      </w:r>
      <w:r>
        <w:rPr>
          <w:spacing w:val="-6"/>
          <w:sz w:val="21"/>
        </w:rPr>
        <w:t xml:space="preserve"> </w:t>
      </w:r>
      <w:r>
        <w:rPr>
          <w:sz w:val="21"/>
        </w:rPr>
        <w:t>4.4.2.3.8</w:t>
      </w:r>
      <w:r>
        <w:rPr>
          <w:spacing w:val="-13"/>
          <w:sz w:val="21"/>
        </w:rPr>
        <w:t xml:space="preserve"> </w:t>
      </w:r>
      <w:r>
        <w:rPr>
          <w:spacing w:val="-13"/>
          <w:sz w:val="21"/>
        </w:rPr>
        <w:t>的要求。</w:t>
      </w:r>
      <w:r>
        <w:rPr>
          <w:sz w:val="21"/>
        </w:rPr>
        <w:t xml:space="preserve"> </w:t>
      </w:r>
    </w:p>
    <w:p w14:paraId="690774EA" w14:textId="77777777" w:rsidR="00A71EEF" w:rsidRDefault="0081115D">
      <w:pPr>
        <w:pStyle w:val="a4"/>
        <w:numPr>
          <w:ilvl w:val="3"/>
          <w:numId w:val="766"/>
        </w:numPr>
        <w:tabs>
          <w:tab w:val="left" w:pos="1576"/>
        </w:tabs>
        <w:spacing w:line="267" w:lineRule="exact"/>
        <w:rPr>
          <w:sz w:val="21"/>
        </w:rPr>
      </w:pPr>
      <w:r>
        <w:rPr>
          <w:spacing w:val="-3"/>
          <w:sz w:val="21"/>
        </w:rPr>
        <w:t>水罐至消防泵的输水管路试验</w:t>
      </w:r>
      <w:r>
        <w:rPr>
          <w:sz w:val="21"/>
        </w:rPr>
        <w:t xml:space="preserve"> </w:t>
      </w:r>
    </w:p>
    <w:p w14:paraId="5E1D1717" w14:textId="77777777" w:rsidR="00A71EEF" w:rsidRDefault="00A71EEF">
      <w:pPr>
        <w:pStyle w:val="a3"/>
        <w:spacing w:before="2"/>
        <w:rPr>
          <w:sz w:val="18"/>
        </w:rPr>
      </w:pPr>
    </w:p>
    <w:p w14:paraId="1D0BB549" w14:textId="77777777" w:rsidR="00A71EEF" w:rsidRDefault="0081115D">
      <w:pPr>
        <w:pStyle w:val="a4"/>
        <w:numPr>
          <w:ilvl w:val="4"/>
          <w:numId w:val="766"/>
        </w:numPr>
        <w:tabs>
          <w:tab w:val="left" w:pos="1788"/>
        </w:tabs>
        <w:spacing w:line="446" w:lineRule="auto"/>
        <w:ind w:left="418" w:right="1820" w:firstLine="419"/>
        <w:rPr>
          <w:sz w:val="21"/>
        </w:rPr>
      </w:pPr>
      <w:r>
        <w:rPr>
          <w:spacing w:val="-5"/>
          <w:sz w:val="21"/>
        </w:rPr>
        <w:t>检查水罐至消防泵的输水管路阀门，判断检查结果是否符合</w:t>
      </w:r>
      <w:r>
        <w:rPr>
          <w:spacing w:val="-5"/>
          <w:sz w:val="21"/>
        </w:rPr>
        <w:t xml:space="preserve"> </w:t>
      </w:r>
      <w:r>
        <w:rPr>
          <w:sz w:val="21"/>
        </w:rPr>
        <w:t>4.4.</w:t>
      </w:r>
      <w:r>
        <w:rPr>
          <w:sz w:val="21"/>
        </w:rPr>
        <w:t>2.4.1</w:t>
      </w:r>
      <w:r>
        <w:rPr>
          <w:spacing w:val="-16"/>
          <w:sz w:val="21"/>
        </w:rPr>
        <w:t xml:space="preserve"> </w:t>
      </w:r>
      <w:r>
        <w:rPr>
          <w:spacing w:val="-16"/>
          <w:sz w:val="21"/>
        </w:rPr>
        <w:t>的要</w:t>
      </w:r>
      <w:r>
        <w:rPr>
          <w:spacing w:val="-10"/>
          <w:sz w:val="21"/>
        </w:rPr>
        <w:t>求。</w:t>
      </w:r>
      <w:r>
        <w:rPr>
          <w:sz w:val="21"/>
        </w:rPr>
        <w:t xml:space="preserve"> </w:t>
      </w:r>
    </w:p>
    <w:p w14:paraId="65366285" w14:textId="77777777" w:rsidR="00A71EEF" w:rsidRDefault="0081115D">
      <w:pPr>
        <w:pStyle w:val="a4"/>
        <w:numPr>
          <w:ilvl w:val="4"/>
          <w:numId w:val="766"/>
        </w:numPr>
        <w:tabs>
          <w:tab w:val="left" w:pos="1788"/>
        </w:tabs>
        <w:spacing w:line="446" w:lineRule="auto"/>
        <w:ind w:left="418" w:right="1611" w:firstLine="419"/>
        <w:rPr>
          <w:sz w:val="21"/>
        </w:rPr>
      </w:pPr>
      <w:r>
        <w:rPr>
          <w:spacing w:val="-5"/>
          <w:sz w:val="21"/>
        </w:rPr>
        <w:t>目测检查水罐内输水管路的进口位置，判断检查结果是否符合</w:t>
      </w:r>
      <w:r>
        <w:rPr>
          <w:spacing w:val="-5"/>
          <w:sz w:val="21"/>
        </w:rPr>
        <w:t xml:space="preserve"> </w:t>
      </w:r>
      <w:r>
        <w:rPr>
          <w:sz w:val="21"/>
        </w:rPr>
        <w:t>4.4.2.4.2</w:t>
      </w:r>
      <w:r>
        <w:rPr>
          <w:spacing w:val="-16"/>
          <w:sz w:val="21"/>
        </w:rPr>
        <w:t xml:space="preserve"> </w:t>
      </w:r>
      <w:r>
        <w:rPr>
          <w:spacing w:val="-16"/>
          <w:sz w:val="21"/>
        </w:rPr>
        <w:t>的要</w:t>
      </w:r>
      <w:r>
        <w:rPr>
          <w:spacing w:val="-10"/>
          <w:sz w:val="21"/>
        </w:rPr>
        <w:t>求。</w:t>
      </w:r>
      <w:r>
        <w:rPr>
          <w:sz w:val="21"/>
        </w:rPr>
        <w:t xml:space="preserve"> </w:t>
      </w:r>
    </w:p>
    <w:p w14:paraId="726E8093" w14:textId="77777777" w:rsidR="00A71EEF" w:rsidRDefault="0081115D">
      <w:pPr>
        <w:pStyle w:val="a4"/>
        <w:numPr>
          <w:ilvl w:val="4"/>
          <w:numId w:val="766"/>
        </w:numPr>
        <w:tabs>
          <w:tab w:val="left" w:pos="1788"/>
        </w:tabs>
        <w:spacing w:line="446" w:lineRule="auto"/>
        <w:ind w:left="418" w:right="1609" w:firstLine="419"/>
        <w:rPr>
          <w:sz w:val="21"/>
        </w:rPr>
      </w:pPr>
      <w:r>
        <w:rPr>
          <w:spacing w:val="-3"/>
          <w:sz w:val="21"/>
        </w:rPr>
        <w:t>目测检查输水管路进口滤网。使用罐内供水，把各出口和流量计相连，启动消防泵，在额定工况下运转，待运转稳定后测量泵的流量和压力，判断试验结果是否符合</w:t>
      </w:r>
    </w:p>
    <w:p w14:paraId="144775B3" w14:textId="77777777" w:rsidR="00A71EEF" w:rsidRDefault="0081115D">
      <w:pPr>
        <w:pStyle w:val="a4"/>
        <w:numPr>
          <w:ilvl w:val="4"/>
          <w:numId w:val="763"/>
        </w:numPr>
        <w:tabs>
          <w:tab w:val="left" w:pos="1417"/>
        </w:tabs>
        <w:rPr>
          <w:sz w:val="21"/>
        </w:rPr>
      </w:pPr>
      <w:r>
        <w:rPr>
          <w:spacing w:val="-3"/>
          <w:sz w:val="21"/>
        </w:rPr>
        <w:t>的要求。</w:t>
      </w:r>
      <w:r>
        <w:rPr>
          <w:sz w:val="21"/>
        </w:rPr>
        <w:t xml:space="preserve"> </w:t>
      </w:r>
    </w:p>
    <w:p w14:paraId="147B15E4" w14:textId="77777777" w:rsidR="00A71EEF" w:rsidRDefault="00A71EEF">
      <w:pPr>
        <w:pStyle w:val="a3"/>
        <w:spacing w:before="10"/>
        <w:rPr>
          <w:sz w:val="17"/>
        </w:rPr>
      </w:pPr>
    </w:p>
    <w:p w14:paraId="510398B4" w14:textId="77777777" w:rsidR="00A71EEF" w:rsidRDefault="0081115D">
      <w:pPr>
        <w:pStyle w:val="a3"/>
        <w:spacing w:line="446" w:lineRule="auto"/>
        <w:ind w:left="418" w:right="1608" w:firstLine="419"/>
      </w:pPr>
      <w:r>
        <w:t xml:space="preserve">5.4.2.4.4 </w:t>
      </w:r>
      <w:r>
        <w:t>当车辆水平时，将水罐内灌满水，测量总重，启动消防泵，在泡沫车额定压力和流量下，从水罐向消防泵供水，待水罐不能供水后停止，测量总重，判断试验结果是否符合</w:t>
      </w:r>
    </w:p>
    <w:p w14:paraId="1206192B" w14:textId="77777777" w:rsidR="00A71EEF" w:rsidRDefault="0081115D">
      <w:pPr>
        <w:pStyle w:val="a4"/>
        <w:numPr>
          <w:ilvl w:val="4"/>
          <w:numId w:val="763"/>
        </w:numPr>
        <w:tabs>
          <w:tab w:val="left" w:pos="1417"/>
        </w:tabs>
        <w:rPr>
          <w:sz w:val="21"/>
        </w:rPr>
      </w:pPr>
      <w:r>
        <w:rPr>
          <w:spacing w:val="-3"/>
          <w:sz w:val="21"/>
        </w:rPr>
        <w:t>的要求。</w:t>
      </w:r>
      <w:r>
        <w:rPr>
          <w:sz w:val="21"/>
        </w:rPr>
        <w:t xml:space="preserve"> </w:t>
      </w:r>
    </w:p>
    <w:p w14:paraId="0F00500E" w14:textId="77777777" w:rsidR="00A71EEF" w:rsidRDefault="00A71EEF">
      <w:pPr>
        <w:pStyle w:val="a3"/>
        <w:rPr>
          <w:sz w:val="18"/>
        </w:rPr>
      </w:pPr>
    </w:p>
    <w:p w14:paraId="1A0BDCDD" w14:textId="77777777" w:rsidR="00A71EEF" w:rsidRDefault="0081115D">
      <w:pPr>
        <w:pStyle w:val="a4"/>
        <w:numPr>
          <w:ilvl w:val="3"/>
          <w:numId w:val="766"/>
        </w:numPr>
        <w:tabs>
          <w:tab w:val="left" w:pos="1576"/>
        </w:tabs>
        <w:rPr>
          <w:sz w:val="21"/>
        </w:rPr>
      </w:pPr>
      <w:r>
        <w:rPr>
          <w:spacing w:val="-3"/>
          <w:sz w:val="21"/>
        </w:rPr>
        <w:t>泡沫液罐至泡沫比例混合器的输液管路试验</w:t>
      </w:r>
      <w:r>
        <w:rPr>
          <w:spacing w:val="-3"/>
          <w:sz w:val="21"/>
        </w:rPr>
        <w:t xml:space="preserve"> </w:t>
      </w:r>
    </w:p>
    <w:p w14:paraId="5424D177" w14:textId="77777777" w:rsidR="00A71EEF" w:rsidRDefault="00A71EEF">
      <w:pPr>
        <w:pStyle w:val="a3"/>
        <w:rPr>
          <w:sz w:val="18"/>
        </w:rPr>
      </w:pPr>
    </w:p>
    <w:p w14:paraId="2384B180" w14:textId="77777777" w:rsidR="00A71EEF" w:rsidRDefault="0081115D">
      <w:pPr>
        <w:pStyle w:val="a4"/>
        <w:numPr>
          <w:ilvl w:val="4"/>
          <w:numId w:val="766"/>
        </w:numPr>
        <w:tabs>
          <w:tab w:val="left" w:pos="1788"/>
        </w:tabs>
        <w:spacing w:line="446" w:lineRule="auto"/>
        <w:ind w:left="418" w:right="1609" w:firstLine="419"/>
        <w:rPr>
          <w:sz w:val="21"/>
        </w:rPr>
      </w:pPr>
      <w:r>
        <w:rPr>
          <w:spacing w:val="-3"/>
          <w:sz w:val="21"/>
        </w:rPr>
        <w:t>将泡沫罐内灌满泡沫，启动泡沫液泵，待泡沫罐不能供液后停止，测量抽出的</w:t>
      </w:r>
      <w:r>
        <w:rPr>
          <w:spacing w:val="-6"/>
          <w:sz w:val="21"/>
        </w:rPr>
        <w:t>泡沫液重量，判断试验结果是否符合</w:t>
      </w:r>
      <w:r>
        <w:rPr>
          <w:spacing w:val="-6"/>
          <w:sz w:val="21"/>
        </w:rPr>
        <w:t xml:space="preserve"> </w:t>
      </w:r>
      <w:r>
        <w:rPr>
          <w:sz w:val="21"/>
        </w:rPr>
        <w:t>4.4.2.5.1</w:t>
      </w:r>
      <w:r>
        <w:rPr>
          <w:spacing w:val="-13"/>
          <w:sz w:val="21"/>
        </w:rPr>
        <w:t xml:space="preserve"> </w:t>
      </w:r>
      <w:r>
        <w:rPr>
          <w:spacing w:val="-13"/>
          <w:sz w:val="21"/>
        </w:rPr>
        <w:t>的要求。</w:t>
      </w:r>
      <w:r>
        <w:rPr>
          <w:sz w:val="21"/>
        </w:rPr>
        <w:t xml:space="preserve"> </w:t>
      </w:r>
    </w:p>
    <w:p w14:paraId="349A4B3A" w14:textId="77777777" w:rsidR="00A71EEF" w:rsidRDefault="0081115D">
      <w:pPr>
        <w:pStyle w:val="a4"/>
        <w:numPr>
          <w:ilvl w:val="4"/>
          <w:numId w:val="766"/>
        </w:numPr>
        <w:tabs>
          <w:tab w:val="left" w:pos="1788"/>
        </w:tabs>
        <w:spacing w:line="446" w:lineRule="auto"/>
        <w:ind w:left="418" w:right="1505" w:firstLine="419"/>
        <w:rPr>
          <w:sz w:val="21"/>
        </w:rPr>
      </w:pPr>
      <w:r>
        <w:rPr>
          <w:spacing w:val="-3"/>
          <w:sz w:val="21"/>
        </w:rPr>
        <w:t>目测检查输液管路进口滤网。把输液管路出口和流量计相连，泡沫比例混合器在最大工况</w:t>
      </w:r>
      <w:r>
        <w:rPr>
          <w:spacing w:val="-3"/>
          <w:sz w:val="21"/>
        </w:rPr>
        <w:t xml:space="preserve"> </w:t>
      </w:r>
      <w:r>
        <w:rPr>
          <w:spacing w:val="-3"/>
          <w:sz w:val="21"/>
        </w:rPr>
        <w:t>下运转，待运转稳定后测量流量和压力。输液管路进口与真空泵相连接，封闭</w:t>
      </w:r>
      <w:r>
        <w:rPr>
          <w:spacing w:val="-3"/>
          <w:sz w:val="21"/>
        </w:rPr>
        <w:t>其他开</w:t>
      </w:r>
      <w:r>
        <w:rPr>
          <w:spacing w:val="-7"/>
          <w:sz w:val="21"/>
        </w:rPr>
        <w:t>口，开启真空泵抽真空至</w:t>
      </w:r>
      <w:r>
        <w:rPr>
          <w:spacing w:val="-7"/>
          <w:sz w:val="21"/>
        </w:rPr>
        <w:t xml:space="preserve"> </w:t>
      </w:r>
      <w:r>
        <w:rPr>
          <w:sz w:val="21"/>
        </w:rPr>
        <w:t>85kPa</w:t>
      </w:r>
      <w:r>
        <w:rPr>
          <w:spacing w:val="-8"/>
          <w:sz w:val="21"/>
        </w:rPr>
        <w:t>，关闭真空泵，测定</w:t>
      </w:r>
      <w:r>
        <w:rPr>
          <w:spacing w:val="-8"/>
          <w:sz w:val="21"/>
        </w:rPr>
        <w:t xml:space="preserve"> </w:t>
      </w:r>
      <w:r>
        <w:rPr>
          <w:sz w:val="21"/>
        </w:rPr>
        <w:t>5min</w:t>
      </w:r>
      <w:r>
        <w:rPr>
          <w:spacing w:val="-8"/>
          <w:sz w:val="21"/>
        </w:rPr>
        <w:t xml:space="preserve"> </w:t>
      </w:r>
      <w:r>
        <w:rPr>
          <w:spacing w:val="-8"/>
          <w:sz w:val="21"/>
        </w:rPr>
        <w:t>内真空度下降值。判断试验结果是否</w:t>
      </w:r>
      <w:r>
        <w:rPr>
          <w:spacing w:val="-19"/>
          <w:sz w:val="21"/>
        </w:rPr>
        <w:t>符合</w:t>
      </w:r>
      <w:r>
        <w:rPr>
          <w:spacing w:val="-19"/>
          <w:sz w:val="21"/>
        </w:rPr>
        <w:t xml:space="preserve"> </w:t>
      </w:r>
      <w:r>
        <w:rPr>
          <w:sz w:val="21"/>
        </w:rPr>
        <w:t>4.4.2.5.2</w:t>
      </w:r>
      <w:r>
        <w:rPr>
          <w:spacing w:val="-12"/>
          <w:sz w:val="21"/>
        </w:rPr>
        <w:t xml:space="preserve"> </w:t>
      </w:r>
      <w:r>
        <w:rPr>
          <w:spacing w:val="-12"/>
          <w:sz w:val="21"/>
        </w:rPr>
        <w:t>的要求。</w:t>
      </w:r>
      <w:r>
        <w:rPr>
          <w:spacing w:val="-12"/>
          <w:sz w:val="21"/>
        </w:rPr>
        <w:t xml:space="preserve"> </w:t>
      </w:r>
    </w:p>
    <w:p w14:paraId="1E44ADBD" w14:textId="77777777" w:rsidR="00A71EEF" w:rsidRDefault="0081115D">
      <w:pPr>
        <w:pStyle w:val="a4"/>
        <w:numPr>
          <w:ilvl w:val="2"/>
          <w:numId w:val="762"/>
        </w:numPr>
        <w:tabs>
          <w:tab w:val="left" w:pos="1370"/>
        </w:tabs>
        <w:spacing w:line="267" w:lineRule="exact"/>
        <w:ind w:hanging="530"/>
        <w:rPr>
          <w:sz w:val="21"/>
        </w:rPr>
      </w:pPr>
      <w:r>
        <w:rPr>
          <w:spacing w:val="-3"/>
          <w:sz w:val="21"/>
        </w:rPr>
        <w:t>水罐和泡沫液罐试验</w:t>
      </w:r>
      <w:r>
        <w:rPr>
          <w:spacing w:val="-3"/>
          <w:sz w:val="21"/>
        </w:rPr>
        <w:t xml:space="preserve"> </w:t>
      </w:r>
    </w:p>
    <w:p w14:paraId="4BC9F1F1" w14:textId="77777777" w:rsidR="00A71EEF" w:rsidRDefault="00A71EEF">
      <w:pPr>
        <w:pStyle w:val="a3"/>
        <w:spacing w:before="1"/>
        <w:rPr>
          <w:sz w:val="18"/>
        </w:rPr>
      </w:pPr>
    </w:p>
    <w:p w14:paraId="1D5392EE" w14:textId="77777777" w:rsidR="00A71EEF" w:rsidRDefault="0081115D">
      <w:pPr>
        <w:pStyle w:val="a4"/>
        <w:numPr>
          <w:ilvl w:val="3"/>
          <w:numId w:val="762"/>
        </w:numPr>
        <w:tabs>
          <w:tab w:val="left" w:pos="1576"/>
        </w:tabs>
        <w:spacing w:before="1"/>
        <w:rPr>
          <w:sz w:val="21"/>
        </w:rPr>
      </w:pPr>
      <w:r>
        <w:rPr>
          <w:spacing w:val="-3"/>
          <w:sz w:val="21"/>
        </w:rPr>
        <w:t>罐体要求试验</w:t>
      </w:r>
      <w:r>
        <w:rPr>
          <w:sz w:val="21"/>
        </w:rPr>
        <w:t xml:space="preserve"> </w:t>
      </w:r>
    </w:p>
    <w:p w14:paraId="2A3868EA" w14:textId="77777777" w:rsidR="00A71EEF" w:rsidRDefault="00A71EEF">
      <w:pPr>
        <w:pStyle w:val="a3"/>
        <w:spacing w:before="12"/>
        <w:rPr>
          <w:sz w:val="17"/>
        </w:rPr>
      </w:pPr>
    </w:p>
    <w:p w14:paraId="511D922D" w14:textId="77777777" w:rsidR="00A71EEF" w:rsidRDefault="0081115D">
      <w:pPr>
        <w:pStyle w:val="a4"/>
        <w:numPr>
          <w:ilvl w:val="4"/>
          <w:numId w:val="762"/>
        </w:numPr>
        <w:tabs>
          <w:tab w:val="left" w:pos="1788"/>
        </w:tabs>
        <w:rPr>
          <w:sz w:val="21"/>
        </w:rPr>
      </w:pPr>
      <w:r>
        <w:rPr>
          <w:spacing w:val="-6"/>
          <w:sz w:val="21"/>
        </w:rPr>
        <w:t>用称重法测量泡沫车罐容量，判断试验结果是否符合</w:t>
      </w:r>
      <w:r>
        <w:rPr>
          <w:spacing w:val="-6"/>
          <w:sz w:val="21"/>
        </w:rPr>
        <w:t xml:space="preserve"> </w:t>
      </w:r>
      <w:r>
        <w:rPr>
          <w:sz w:val="21"/>
        </w:rPr>
        <w:t>4.4.3.1.1</w:t>
      </w:r>
      <w:r>
        <w:rPr>
          <w:spacing w:val="-13"/>
          <w:sz w:val="21"/>
        </w:rPr>
        <w:t xml:space="preserve"> </w:t>
      </w:r>
      <w:r>
        <w:rPr>
          <w:spacing w:val="-13"/>
          <w:sz w:val="21"/>
        </w:rPr>
        <w:t>的要求。</w:t>
      </w:r>
      <w:r>
        <w:rPr>
          <w:sz w:val="21"/>
        </w:rPr>
        <w:t xml:space="preserve"> </w:t>
      </w:r>
    </w:p>
    <w:p w14:paraId="767DB8E3" w14:textId="77777777" w:rsidR="00A71EEF" w:rsidRDefault="00A71EEF">
      <w:pPr>
        <w:pStyle w:val="a3"/>
        <w:spacing w:before="12"/>
        <w:rPr>
          <w:sz w:val="17"/>
        </w:rPr>
      </w:pPr>
    </w:p>
    <w:p w14:paraId="502AD5EC" w14:textId="77777777" w:rsidR="00A71EEF" w:rsidRDefault="0081115D">
      <w:pPr>
        <w:pStyle w:val="a3"/>
        <w:spacing w:line="446" w:lineRule="auto"/>
        <w:ind w:left="418" w:right="1510" w:firstLine="419"/>
      </w:pPr>
      <w:r>
        <w:t>5.4.3.1.2</w:t>
      </w:r>
      <w:r>
        <w:rPr>
          <w:spacing w:val="-14"/>
        </w:rPr>
        <w:t xml:space="preserve"> </w:t>
      </w:r>
      <w:r>
        <w:rPr>
          <w:spacing w:val="-14"/>
        </w:rPr>
        <w:t>选取</w:t>
      </w:r>
      <w:r>
        <w:rPr>
          <w:spacing w:val="-14"/>
        </w:rPr>
        <w:t xml:space="preserve"> </w:t>
      </w:r>
      <w:r>
        <w:t>200mm×200mm</w:t>
      </w:r>
      <w:r>
        <w:rPr>
          <w:spacing w:val="-13"/>
        </w:rPr>
        <w:t xml:space="preserve"> </w:t>
      </w:r>
      <w:r>
        <w:rPr>
          <w:spacing w:val="-13"/>
        </w:rPr>
        <w:t>的罐体材料样品，按照</w:t>
      </w:r>
      <w:r>
        <w:rPr>
          <w:spacing w:val="-13"/>
        </w:rPr>
        <w:t xml:space="preserve"> </w:t>
      </w:r>
      <w:r>
        <w:t>GB 4351.1—2005</w:t>
      </w:r>
      <w:r>
        <w:rPr>
          <w:spacing w:val="-35"/>
        </w:rPr>
        <w:t xml:space="preserve"> </w:t>
      </w:r>
      <w:r>
        <w:rPr>
          <w:spacing w:val="-35"/>
        </w:rPr>
        <w:t>中</w:t>
      </w:r>
      <w:r>
        <w:rPr>
          <w:spacing w:val="-35"/>
        </w:rPr>
        <w:t xml:space="preserve"> </w:t>
      </w:r>
      <w:r>
        <w:t>7.7.1</w:t>
      </w:r>
      <w:r>
        <w:rPr>
          <w:spacing w:val="-12"/>
        </w:rPr>
        <w:t xml:space="preserve"> </w:t>
      </w:r>
      <w:r>
        <w:rPr>
          <w:spacing w:val="-12"/>
        </w:rPr>
        <w:t>规定进行</w:t>
      </w:r>
      <w:r>
        <w:rPr>
          <w:spacing w:val="-9"/>
        </w:rPr>
        <w:t>盐雾试验，判断试验结果是否符合</w:t>
      </w:r>
      <w:r>
        <w:rPr>
          <w:spacing w:val="-9"/>
        </w:rPr>
        <w:t xml:space="preserve"> </w:t>
      </w:r>
      <w:r>
        <w:t>4.4.3.1.2</w:t>
      </w:r>
      <w:r>
        <w:rPr>
          <w:spacing w:val="-13"/>
        </w:rPr>
        <w:t xml:space="preserve"> </w:t>
      </w:r>
      <w:r>
        <w:rPr>
          <w:spacing w:val="-13"/>
        </w:rPr>
        <w:t>的要求。</w:t>
      </w:r>
      <w:r>
        <w:t xml:space="preserve"> </w:t>
      </w:r>
    </w:p>
    <w:p w14:paraId="165DA983" w14:textId="77777777" w:rsidR="00A71EEF" w:rsidRDefault="0081115D">
      <w:pPr>
        <w:pStyle w:val="a4"/>
        <w:numPr>
          <w:ilvl w:val="4"/>
          <w:numId w:val="761"/>
        </w:numPr>
        <w:tabs>
          <w:tab w:val="left" w:pos="1788"/>
        </w:tabs>
        <w:rPr>
          <w:sz w:val="21"/>
        </w:rPr>
      </w:pPr>
      <w:r>
        <w:rPr>
          <w:spacing w:val="-6"/>
          <w:sz w:val="21"/>
        </w:rPr>
        <w:t>检查罐内防荡板设置，判断试验结果是否符合</w:t>
      </w:r>
      <w:r>
        <w:rPr>
          <w:spacing w:val="-6"/>
          <w:sz w:val="21"/>
        </w:rPr>
        <w:t xml:space="preserve"> </w:t>
      </w:r>
      <w:r>
        <w:rPr>
          <w:sz w:val="21"/>
        </w:rPr>
        <w:t>4.4.3.1.3</w:t>
      </w:r>
      <w:r>
        <w:rPr>
          <w:spacing w:val="-12"/>
          <w:sz w:val="21"/>
        </w:rPr>
        <w:t xml:space="preserve"> </w:t>
      </w:r>
      <w:r>
        <w:rPr>
          <w:spacing w:val="-12"/>
          <w:sz w:val="21"/>
        </w:rPr>
        <w:t>的要求。</w:t>
      </w:r>
      <w:r>
        <w:rPr>
          <w:spacing w:val="-12"/>
          <w:sz w:val="21"/>
        </w:rPr>
        <w:t xml:space="preserve"> </w:t>
      </w:r>
    </w:p>
    <w:p w14:paraId="223CB3D9" w14:textId="77777777" w:rsidR="00A71EEF" w:rsidRDefault="00A71EEF">
      <w:pPr>
        <w:rPr>
          <w:sz w:val="21"/>
        </w:rPr>
        <w:sectPr w:rsidR="00A71EEF">
          <w:pgSz w:w="11910" w:h="16850"/>
          <w:pgMar w:top="1220" w:right="0" w:bottom="1420" w:left="1260" w:header="0" w:footer="1239" w:gutter="0"/>
          <w:cols w:space="720"/>
        </w:sectPr>
      </w:pPr>
    </w:p>
    <w:p w14:paraId="0DCC5A96" w14:textId="77777777" w:rsidR="00A71EEF" w:rsidRDefault="0081115D">
      <w:pPr>
        <w:pStyle w:val="a4"/>
        <w:numPr>
          <w:ilvl w:val="4"/>
          <w:numId w:val="761"/>
        </w:numPr>
        <w:tabs>
          <w:tab w:val="left" w:pos="1788"/>
        </w:tabs>
        <w:spacing w:before="47" w:line="446" w:lineRule="auto"/>
        <w:ind w:left="418" w:right="1558" w:firstLine="419"/>
        <w:jc w:val="both"/>
        <w:rPr>
          <w:sz w:val="21"/>
        </w:rPr>
      </w:pPr>
      <w:r>
        <w:rPr>
          <w:spacing w:val="-3"/>
          <w:sz w:val="21"/>
        </w:rPr>
        <w:lastRenderedPageBreak/>
        <w:t>目测检查人孔及人孔盖，用卷尺测量人孔直径。关闭人孔盖，将水罐注满水，</w:t>
      </w:r>
      <w:r>
        <w:rPr>
          <w:spacing w:val="-3"/>
          <w:sz w:val="21"/>
        </w:rPr>
        <w:t xml:space="preserve"> </w:t>
      </w:r>
      <w:r>
        <w:rPr>
          <w:spacing w:val="-4"/>
          <w:sz w:val="21"/>
        </w:rPr>
        <w:t>封闭各出入口，</w:t>
      </w:r>
      <w:r>
        <w:rPr>
          <w:spacing w:val="-4"/>
          <w:sz w:val="21"/>
        </w:rPr>
        <w:t xml:space="preserve"> </w:t>
      </w:r>
      <w:r>
        <w:rPr>
          <w:spacing w:val="-4"/>
          <w:sz w:val="21"/>
        </w:rPr>
        <w:t>用试压泵向罐内缓慢加压至规定试验压力，判断试验结果是否符合</w:t>
      </w:r>
      <w:r>
        <w:rPr>
          <w:spacing w:val="-4"/>
          <w:sz w:val="21"/>
        </w:rPr>
        <w:t xml:space="preserve"> </w:t>
      </w:r>
      <w:r>
        <w:rPr>
          <w:sz w:val="21"/>
        </w:rPr>
        <w:t xml:space="preserve">4.4.3.1.4 </w:t>
      </w:r>
      <w:r>
        <w:rPr>
          <w:spacing w:val="-2"/>
          <w:sz w:val="21"/>
        </w:rPr>
        <w:t>的要求。</w:t>
      </w:r>
      <w:r>
        <w:rPr>
          <w:sz w:val="21"/>
        </w:rPr>
        <w:t xml:space="preserve"> </w:t>
      </w:r>
    </w:p>
    <w:p w14:paraId="73BBDC4B" w14:textId="77777777" w:rsidR="00A71EEF" w:rsidRDefault="0081115D">
      <w:pPr>
        <w:pStyle w:val="a4"/>
        <w:numPr>
          <w:ilvl w:val="4"/>
          <w:numId w:val="761"/>
        </w:numPr>
        <w:tabs>
          <w:tab w:val="left" w:pos="1788"/>
        </w:tabs>
        <w:spacing w:line="268" w:lineRule="exact"/>
        <w:jc w:val="both"/>
        <w:rPr>
          <w:sz w:val="21"/>
        </w:rPr>
      </w:pPr>
      <w:r>
        <w:rPr>
          <w:spacing w:val="-5"/>
          <w:sz w:val="21"/>
        </w:rPr>
        <w:t>目测检查水罐和泡沫液罐排污孔，判断试验结果是否符合</w:t>
      </w:r>
      <w:r>
        <w:rPr>
          <w:spacing w:val="-5"/>
          <w:sz w:val="21"/>
        </w:rPr>
        <w:t xml:space="preserve"> </w:t>
      </w:r>
      <w:r>
        <w:rPr>
          <w:sz w:val="21"/>
        </w:rPr>
        <w:t>4.4.3.1.5</w:t>
      </w:r>
      <w:r>
        <w:rPr>
          <w:spacing w:val="-13"/>
          <w:sz w:val="21"/>
        </w:rPr>
        <w:t xml:space="preserve"> </w:t>
      </w:r>
      <w:r>
        <w:rPr>
          <w:spacing w:val="-13"/>
          <w:sz w:val="21"/>
        </w:rPr>
        <w:t>的要求。</w:t>
      </w:r>
      <w:r>
        <w:rPr>
          <w:sz w:val="21"/>
        </w:rPr>
        <w:t xml:space="preserve"> </w:t>
      </w:r>
    </w:p>
    <w:p w14:paraId="08FF251B" w14:textId="77777777" w:rsidR="00A71EEF" w:rsidRDefault="00A71EEF">
      <w:pPr>
        <w:pStyle w:val="a3"/>
        <w:rPr>
          <w:sz w:val="18"/>
        </w:rPr>
      </w:pPr>
    </w:p>
    <w:p w14:paraId="3F3F3A06" w14:textId="77777777" w:rsidR="00A71EEF" w:rsidRDefault="0081115D">
      <w:pPr>
        <w:pStyle w:val="a4"/>
        <w:numPr>
          <w:ilvl w:val="4"/>
          <w:numId w:val="761"/>
        </w:numPr>
        <w:tabs>
          <w:tab w:val="left" w:pos="1788"/>
        </w:tabs>
        <w:rPr>
          <w:sz w:val="21"/>
        </w:rPr>
      </w:pPr>
      <w:r>
        <w:rPr>
          <w:spacing w:val="-3"/>
          <w:sz w:val="21"/>
        </w:rPr>
        <w:t>目测检查水罐和泡沫液罐的液位或液量的指示装置，判断试验结果是否符合</w:t>
      </w:r>
    </w:p>
    <w:p w14:paraId="77A1E160" w14:textId="77777777" w:rsidR="00A71EEF" w:rsidRDefault="00A71EEF">
      <w:pPr>
        <w:pStyle w:val="a3"/>
        <w:spacing w:before="12"/>
        <w:rPr>
          <w:sz w:val="17"/>
        </w:rPr>
      </w:pPr>
    </w:p>
    <w:p w14:paraId="185020FB" w14:textId="77777777" w:rsidR="00A71EEF" w:rsidRDefault="0081115D">
      <w:pPr>
        <w:pStyle w:val="a3"/>
        <w:ind w:left="418"/>
      </w:pPr>
      <w:r>
        <w:t xml:space="preserve">4.4.3.1.6 </w:t>
      </w:r>
      <w:r>
        <w:t>的要求。</w:t>
      </w:r>
      <w:r>
        <w:t xml:space="preserve"> </w:t>
      </w:r>
    </w:p>
    <w:p w14:paraId="550DEF76" w14:textId="77777777" w:rsidR="00A71EEF" w:rsidRDefault="00A71EEF">
      <w:pPr>
        <w:pStyle w:val="a3"/>
        <w:spacing w:before="2"/>
        <w:rPr>
          <w:sz w:val="18"/>
        </w:rPr>
      </w:pPr>
    </w:p>
    <w:p w14:paraId="12A85724" w14:textId="77777777" w:rsidR="00A71EEF" w:rsidRDefault="0081115D">
      <w:pPr>
        <w:pStyle w:val="a4"/>
        <w:numPr>
          <w:ilvl w:val="4"/>
          <w:numId w:val="760"/>
        </w:numPr>
        <w:tabs>
          <w:tab w:val="left" w:pos="1788"/>
        </w:tabs>
        <w:spacing w:line="446" w:lineRule="auto"/>
        <w:ind w:right="1609" w:firstLine="419"/>
        <w:rPr>
          <w:sz w:val="21"/>
        </w:rPr>
      </w:pPr>
      <w:r>
        <w:rPr>
          <w:spacing w:val="-3"/>
          <w:sz w:val="21"/>
        </w:rPr>
        <w:t>将水罐和泡沫液罐注满水，分别封闭水罐和泡沫液罐各出入口，用试压泵向罐</w:t>
      </w:r>
      <w:r>
        <w:rPr>
          <w:spacing w:val="-7"/>
          <w:sz w:val="21"/>
        </w:rPr>
        <w:t>内缓慢加压至规定试验压力，保持</w:t>
      </w:r>
      <w:r>
        <w:rPr>
          <w:spacing w:val="-7"/>
          <w:sz w:val="21"/>
        </w:rPr>
        <w:t xml:space="preserve"> </w:t>
      </w:r>
      <w:r>
        <w:rPr>
          <w:sz w:val="21"/>
        </w:rPr>
        <w:t>3min</w:t>
      </w:r>
      <w:r>
        <w:rPr>
          <w:spacing w:val="-7"/>
          <w:sz w:val="21"/>
        </w:rPr>
        <w:t>，判断试验结果是否符合</w:t>
      </w:r>
      <w:r>
        <w:rPr>
          <w:spacing w:val="-7"/>
          <w:sz w:val="21"/>
        </w:rPr>
        <w:t xml:space="preserve"> </w:t>
      </w:r>
      <w:r>
        <w:rPr>
          <w:sz w:val="21"/>
        </w:rPr>
        <w:t>4.4.3.1.7</w:t>
      </w:r>
      <w:r>
        <w:rPr>
          <w:spacing w:val="-12"/>
          <w:sz w:val="21"/>
        </w:rPr>
        <w:t xml:space="preserve"> </w:t>
      </w:r>
      <w:r>
        <w:rPr>
          <w:spacing w:val="-12"/>
          <w:sz w:val="21"/>
        </w:rPr>
        <w:t>的要求。</w:t>
      </w:r>
      <w:r>
        <w:rPr>
          <w:spacing w:val="-12"/>
          <w:sz w:val="21"/>
        </w:rPr>
        <w:t xml:space="preserve"> </w:t>
      </w:r>
    </w:p>
    <w:p w14:paraId="5F23A850" w14:textId="77777777" w:rsidR="00A71EEF" w:rsidRDefault="0081115D">
      <w:pPr>
        <w:pStyle w:val="a4"/>
        <w:numPr>
          <w:ilvl w:val="4"/>
          <w:numId w:val="760"/>
        </w:numPr>
        <w:tabs>
          <w:tab w:val="left" w:pos="1788"/>
        </w:tabs>
        <w:spacing w:line="267" w:lineRule="exact"/>
        <w:ind w:left="1787"/>
        <w:rPr>
          <w:sz w:val="21"/>
        </w:rPr>
      </w:pPr>
      <w:r>
        <w:rPr>
          <w:spacing w:val="-6"/>
          <w:sz w:val="21"/>
        </w:rPr>
        <w:t>目测检查泡沫罐呼吸口，判断试验结果是否符合</w:t>
      </w:r>
      <w:r>
        <w:rPr>
          <w:spacing w:val="-6"/>
          <w:sz w:val="21"/>
        </w:rPr>
        <w:t xml:space="preserve"> </w:t>
      </w:r>
      <w:r>
        <w:rPr>
          <w:sz w:val="21"/>
        </w:rPr>
        <w:t>4.4.3.1.8</w:t>
      </w:r>
      <w:r>
        <w:rPr>
          <w:spacing w:val="-12"/>
          <w:sz w:val="21"/>
        </w:rPr>
        <w:t xml:space="preserve"> </w:t>
      </w:r>
      <w:r>
        <w:rPr>
          <w:spacing w:val="-12"/>
          <w:sz w:val="21"/>
        </w:rPr>
        <w:t>的要求。</w:t>
      </w:r>
      <w:r>
        <w:rPr>
          <w:spacing w:val="-12"/>
          <w:sz w:val="21"/>
        </w:rPr>
        <w:t xml:space="preserve"> </w:t>
      </w:r>
    </w:p>
    <w:p w14:paraId="75FCF3A7" w14:textId="77777777" w:rsidR="00A71EEF" w:rsidRDefault="00A71EEF">
      <w:pPr>
        <w:pStyle w:val="a3"/>
        <w:spacing w:before="2"/>
        <w:rPr>
          <w:sz w:val="18"/>
        </w:rPr>
      </w:pPr>
    </w:p>
    <w:p w14:paraId="041C51C5" w14:textId="77777777" w:rsidR="00A71EEF" w:rsidRDefault="0081115D">
      <w:pPr>
        <w:pStyle w:val="a4"/>
        <w:numPr>
          <w:ilvl w:val="3"/>
          <w:numId w:val="762"/>
        </w:numPr>
        <w:tabs>
          <w:tab w:val="left" w:pos="1576"/>
        </w:tabs>
        <w:rPr>
          <w:sz w:val="21"/>
        </w:rPr>
      </w:pPr>
      <w:r>
        <w:rPr>
          <w:spacing w:val="-3"/>
          <w:sz w:val="21"/>
        </w:rPr>
        <w:t>注液装置试验</w:t>
      </w:r>
      <w:r>
        <w:rPr>
          <w:sz w:val="21"/>
        </w:rPr>
        <w:t xml:space="preserve"> </w:t>
      </w:r>
    </w:p>
    <w:p w14:paraId="4D79AF08" w14:textId="77777777" w:rsidR="00A71EEF" w:rsidRDefault="00A71EEF">
      <w:pPr>
        <w:pStyle w:val="a3"/>
        <w:spacing w:before="12"/>
        <w:rPr>
          <w:sz w:val="17"/>
        </w:rPr>
      </w:pPr>
    </w:p>
    <w:p w14:paraId="503CB626" w14:textId="77777777" w:rsidR="00A71EEF" w:rsidRDefault="0081115D">
      <w:pPr>
        <w:pStyle w:val="a4"/>
        <w:numPr>
          <w:ilvl w:val="4"/>
          <w:numId w:val="762"/>
        </w:numPr>
        <w:tabs>
          <w:tab w:val="left" w:pos="1788"/>
        </w:tabs>
        <w:spacing w:line="446" w:lineRule="auto"/>
        <w:ind w:left="418" w:right="1609" w:firstLine="419"/>
        <w:rPr>
          <w:sz w:val="21"/>
        </w:rPr>
      </w:pPr>
      <w:r>
        <w:rPr>
          <w:spacing w:val="-3"/>
          <w:sz w:val="21"/>
        </w:rPr>
        <w:t>目测检查消防泵至水罐注水管路内的阀门，用卷尺测量注水管路通径，判断试</w:t>
      </w:r>
      <w:r>
        <w:rPr>
          <w:spacing w:val="-10"/>
          <w:sz w:val="21"/>
        </w:rPr>
        <w:t>验结果是否符合</w:t>
      </w:r>
      <w:r>
        <w:rPr>
          <w:spacing w:val="-10"/>
          <w:sz w:val="21"/>
        </w:rPr>
        <w:t xml:space="preserve"> </w:t>
      </w:r>
      <w:r>
        <w:rPr>
          <w:sz w:val="21"/>
        </w:rPr>
        <w:t>4.4.3.2.1</w:t>
      </w:r>
      <w:r>
        <w:rPr>
          <w:spacing w:val="-13"/>
          <w:sz w:val="21"/>
        </w:rPr>
        <w:t xml:space="preserve"> </w:t>
      </w:r>
      <w:r>
        <w:rPr>
          <w:spacing w:val="-13"/>
          <w:sz w:val="21"/>
        </w:rPr>
        <w:t>的要求。</w:t>
      </w:r>
      <w:r>
        <w:rPr>
          <w:sz w:val="21"/>
        </w:rPr>
        <w:t xml:space="preserve"> </w:t>
      </w:r>
    </w:p>
    <w:p w14:paraId="4424AD64" w14:textId="77777777" w:rsidR="00A71EEF" w:rsidRDefault="0081115D">
      <w:pPr>
        <w:pStyle w:val="a4"/>
        <w:numPr>
          <w:ilvl w:val="4"/>
          <w:numId w:val="762"/>
        </w:numPr>
        <w:tabs>
          <w:tab w:val="left" w:pos="1788"/>
        </w:tabs>
        <w:spacing w:line="446" w:lineRule="auto"/>
        <w:ind w:left="418" w:right="1609" w:firstLine="419"/>
        <w:rPr>
          <w:sz w:val="21"/>
        </w:rPr>
      </w:pPr>
      <w:r>
        <w:rPr>
          <w:spacing w:val="-3"/>
          <w:sz w:val="21"/>
        </w:rPr>
        <w:t>用卷尺测量从车辆外部向水罐注水的管路通径，向水罐内注满水，目测检查管</w:t>
      </w:r>
      <w:r>
        <w:rPr>
          <w:spacing w:val="-5"/>
          <w:sz w:val="21"/>
        </w:rPr>
        <w:t>路情况，目测检查注水处的防护盖，判断试验结果是否符合</w:t>
      </w:r>
      <w:r>
        <w:rPr>
          <w:spacing w:val="-5"/>
          <w:sz w:val="21"/>
        </w:rPr>
        <w:t xml:space="preserve"> </w:t>
      </w:r>
      <w:r>
        <w:rPr>
          <w:sz w:val="21"/>
        </w:rPr>
        <w:t>4.4.3.2</w:t>
      </w:r>
      <w:r>
        <w:rPr>
          <w:sz w:val="21"/>
        </w:rPr>
        <w:t>.2</w:t>
      </w:r>
      <w:r>
        <w:rPr>
          <w:spacing w:val="-12"/>
          <w:sz w:val="21"/>
        </w:rPr>
        <w:t xml:space="preserve"> </w:t>
      </w:r>
      <w:r>
        <w:rPr>
          <w:spacing w:val="-12"/>
          <w:sz w:val="21"/>
        </w:rPr>
        <w:t>的要求。</w:t>
      </w:r>
      <w:r>
        <w:rPr>
          <w:spacing w:val="-12"/>
          <w:sz w:val="21"/>
        </w:rPr>
        <w:t xml:space="preserve"> </w:t>
      </w:r>
    </w:p>
    <w:p w14:paraId="4E1CAA25" w14:textId="77777777" w:rsidR="00A71EEF" w:rsidRDefault="0081115D">
      <w:pPr>
        <w:pStyle w:val="a4"/>
        <w:numPr>
          <w:ilvl w:val="4"/>
          <w:numId w:val="762"/>
        </w:numPr>
        <w:tabs>
          <w:tab w:val="left" w:pos="1788"/>
        </w:tabs>
        <w:spacing w:line="446" w:lineRule="auto"/>
        <w:ind w:left="418" w:right="1609" w:firstLine="419"/>
        <w:rPr>
          <w:sz w:val="21"/>
        </w:rPr>
      </w:pPr>
      <w:r>
        <w:rPr>
          <w:spacing w:val="-3"/>
          <w:sz w:val="21"/>
        </w:rPr>
        <w:t>检査泡沫液泵至泡沫液罐间的注液管路阀门。用游标卡尺测量注液管路壁厚和</w:t>
      </w:r>
      <w:r>
        <w:rPr>
          <w:spacing w:val="-5"/>
          <w:sz w:val="21"/>
        </w:rPr>
        <w:t>通径，核査</w:t>
      </w:r>
      <w:r>
        <w:rPr>
          <w:spacing w:val="-5"/>
          <w:sz w:val="21"/>
        </w:rPr>
        <w:t xml:space="preserve"> </w:t>
      </w:r>
      <w:r>
        <w:rPr>
          <w:spacing w:val="-5"/>
          <w:sz w:val="21"/>
        </w:rPr>
        <w:t>注液管路材质报告，判断试验结果是否符合</w:t>
      </w:r>
      <w:r>
        <w:rPr>
          <w:spacing w:val="-5"/>
          <w:sz w:val="21"/>
        </w:rPr>
        <w:t xml:space="preserve"> </w:t>
      </w:r>
      <w:r>
        <w:rPr>
          <w:sz w:val="21"/>
        </w:rPr>
        <w:t>4.4.3.2.3</w:t>
      </w:r>
      <w:r>
        <w:rPr>
          <w:spacing w:val="-13"/>
          <w:sz w:val="21"/>
        </w:rPr>
        <w:t xml:space="preserve"> </w:t>
      </w:r>
      <w:r>
        <w:rPr>
          <w:spacing w:val="-13"/>
          <w:sz w:val="21"/>
        </w:rPr>
        <w:t>的要求。</w:t>
      </w:r>
      <w:r>
        <w:rPr>
          <w:sz w:val="21"/>
        </w:rPr>
        <w:t xml:space="preserve"> </w:t>
      </w:r>
    </w:p>
    <w:p w14:paraId="3CB83EF5" w14:textId="77777777" w:rsidR="00A71EEF" w:rsidRDefault="0081115D">
      <w:pPr>
        <w:pStyle w:val="a4"/>
        <w:numPr>
          <w:ilvl w:val="4"/>
          <w:numId w:val="762"/>
        </w:numPr>
        <w:tabs>
          <w:tab w:val="left" w:pos="1788"/>
        </w:tabs>
        <w:spacing w:line="446" w:lineRule="auto"/>
        <w:ind w:left="418" w:right="1613" w:firstLine="419"/>
        <w:rPr>
          <w:sz w:val="21"/>
        </w:rPr>
      </w:pPr>
      <w:r>
        <w:rPr>
          <w:spacing w:val="-5"/>
          <w:sz w:val="21"/>
        </w:rPr>
        <w:t>目测检査泡沫罐注液口的密封保护盖，判断试验结果是否符合</w:t>
      </w:r>
      <w:r>
        <w:rPr>
          <w:spacing w:val="-5"/>
          <w:sz w:val="21"/>
        </w:rPr>
        <w:t xml:space="preserve"> </w:t>
      </w:r>
      <w:r>
        <w:rPr>
          <w:sz w:val="21"/>
        </w:rPr>
        <w:t>4.4.3.2.4</w:t>
      </w:r>
      <w:r>
        <w:rPr>
          <w:spacing w:val="-18"/>
          <w:sz w:val="21"/>
        </w:rPr>
        <w:t xml:space="preserve"> </w:t>
      </w:r>
      <w:r>
        <w:rPr>
          <w:spacing w:val="-18"/>
          <w:sz w:val="21"/>
        </w:rPr>
        <w:t>的要</w:t>
      </w:r>
      <w:r>
        <w:rPr>
          <w:spacing w:val="-2"/>
          <w:sz w:val="21"/>
        </w:rPr>
        <w:t>求。</w:t>
      </w:r>
      <w:r>
        <w:rPr>
          <w:sz w:val="21"/>
        </w:rPr>
        <w:t xml:space="preserve"> </w:t>
      </w:r>
    </w:p>
    <w:p w14:paraId="03541DF7" w14:textId="77777777" w:rsidR="00A71EEF" w:rsidRDefault="0081115D">
      <w:pPr>
        <w:pStyle w:val="a4"/>
        <w:numPr>
          <w:ilvl w:val="3"/>
          <w:numId w:val="762"/>
        </w:numPr>
        <w:tabs>
          <w:tab w:val="left" w:pos="1576"/>
        </w:tabs>
        <w:rPr>
          <w:sz w:val="21"/>
        </w:rPr>
      </w:pPr>
      <w:r>
        <w:rPr>
          <w:spacing w:val="-3"/>
          <w:sz w:val="21"/>
        </w:rPr>
        <w:t>溢水装置试验</w:t>
      </w:r>
      <w:r>
        <w:rPr>
          <w:sz w:val="21"/>
        </w:rPr>
        <w:t xml:space="preserve"> </w:t>
      </w:r>
    </w:p>
    <w:p w14:paraId="4D0E41DB" w14:textId="77777777" w:rsidR="00A71EEF" w:rsidRDefault="00A71EEF">
      <w:pPr>
        <w:pStyle w:val="a3"/>
        <w:spacing w:before="11"/>
        <w:rPr>
          <w:sz w:val="17"/>
        </w:rPr>
      </w:pPr>
    </w:p>
    <w:p w14:paraId="37014015" w14:textId="77777777" w:rsidR="00A71EEF" w:rsidRDefault="0081115D">
      <w:pPr>
        <w:pStyle w:val="a3"/>
        <w:ind w:left="838"/>
      </w:pPr>
      <w:r>
        <w:t>目测检査水罐内的溢水管路，用卷尺测量溢水管路尺寸，判断试验结果是否符合</w:t>
      </w:r>
      <w:r>
        <w:t xml:space="preserve"> 4.4.3.3</w:t>
      </w:r>
    </w:p>
    <w:p w14:paraId="46044816" w14:textId="77777777" w:rsidR="00A71EEF" w:rsidRDefault="00A71EEF">
      <w:pPr>
        <w:pStyle w:val="a3"/>
        <w:spacing w:before="12"/>
        <w:rPr>
          <w:sz w:val="17"/>
        </w:rPr>
      </w:pPr>
    </w:p>
    <w:p w14:paraId="2D4E4165" w14:textId="77777777" w:rsidR="00A71EEF" w:rsidRDefault="0081115D">
      <w:pPr>
        <w:pStyle w:val="a3"/>
        <w:ind w:left="418"/>
      </w:pPr>
      <w:r>
        <w:t>的要求。</w:t>
      </w:r>
      <w:r>
        <w:t xml:space="preserve">  </w:t>
      </w:r>
      <w:r>
        <w:t xml:space="preserve"> </w:t>
      </w:r>
    </w:p>
    <w:p w14:paraId="2E2F8B85" w14:textId="77777777" w:rsidR="00A71EEF" w:rsidRDefault="00A71EEF">
      <w:pPr>
        <w:pStyle w:val="a3"/>
        <w:spacing w:before="2"/>
        <w:rPr>
          <w:sz w:val="18"/>
        </w:rPr>
      </w:pPr>
    </w:p>
    <w:p w14:paraId="71084042" w14:textId="77777777" w:rsidR="00A71EEF" w:rsidRDefault="0081115D">
      <w:pPr>
        <w:pStyle w:val="a4"/>
        <w:numPr>
          <w:ilvl w:val="2"/>
          <w:numId w:val="762"/>
        </w:numPr>
        <w:tabs>
          <w:tab w:val="left" w:pos="1370"/>
        </w:tabs>
        <w:ind w:hanging="530"/>
        <w:rPr>
          <w:sz w:val="21"/>
        </w:rPr>
      </w:pPr>
      <w:r>
        <w:rPr>
          <w:spacing w:val="-3"/>
          <w:sz w:val="21"/>
        </w:rPr>
        <w:t>车用泡沫系统试验</w:t>
      </w:r>
      <w:r>
        <w:rPr>
          <w:sz w:val="21"/>
        </w:rPr>
        <w:t xml:space="preserve"> </w:t>
      </w:r>
    </w:p>
    <w:p w14:paraId="64962719" w14:textId="77777777" w:rsidR="00A71EEF" w:rsidRDefault="00A71EEF">
      <w:pPr>
        <w:pStyle w:val="a3"/>
        <w:spacing w:before="12"/>
        <w:rPr>
          <w:sz w:val="17"/>
        </w:rPr>
      </w:pPr>
    </w:p>
    <w:p w14:paraId="6F66E57D" w14:textId="77777777" w:rsidR="00A71EEF" w:rsidRDefault="0081115D">
      <w:pPr>
        <w:pStyle w:val="a4"/>
        <w:numPr>
          <w:ilvl w:val="3"/>
          <w:numId w:val="762"/>
        </w:numPr>
        <w:tabs>
          <w:tab w:val="left" w:pos="1576"/>
        </w:tabs>
        <w:rPr>
          <w:sz w:val="21"/>
        </w:rPr>
      </w:pPr>
      <w:r>
        <w:rPr>
          <w:spacing w:val="-3"/>
          <w:sz w:val="21"/>
        </w:rPr>
        <w:t>车用泡沫系统一般要求试验</w:t>
      </w:r>
      <w:r>
        <w:rPr>
          <w:sz w:val="21"/>
        </w:rPr>
        <w:t xml:space="preserve"> </w:t>
      </w:r>
    </w:p>
    <w:p w14:paraId="597ECC78" w14:textId="77777777" w:rsidR="00A71EEF" w:rsidRDefault="00A71EEF">
      <w:pPr>
        <w:pStyle w:val="a3"/>
        <w:rPr>
          <w:sz w:val="18"/>
        </w:rPr>
      </w:pPr>
    </w:p>
    <w:p w14:paraId="7076EC56" w14:textId="77777777" w:rsidR="00A71EEF" w:rsidRDefault="0081115D">
      <w:pPr>
        <w:pStyle w:val="a4"/>
        <w:numPr>
          <w:ilvl w:val="4"/>
          <w:numId w:val="762"/>
        </w:numPr>
        <w:tabs>
          <w:tab w:val="left" w:pos="1788"/>
        </w:tabs>
        <w:spacing w:line="446" w:lineRule="auto"/>
        <w:ind w:left="418" w:right="1505" w:firstLine="419"/>
        <w:rPr>
          <w:sz w:val="21"/>
        </w:rPr>
      </w:pPr>
      <w:r>
        <w:rPr>
          <w:spacing w:val="-3"/>
          <w:sz w:val="21"/>
        </w:rPr>
        <w:t>检查泡沫系统管路、泡沫炮或泡沫</w:t>
      </w:r>
      <w:r>
        <w:rPr>
          <w:sz w:val="21"/>
        </w:rPr>
        <w:t>/</w:t>
      </w:r>
      <w:r>
        <w:rPr>
          <w:spacing w:val="-3"/>
          <w:sz w:val="21"/>
        </w:rPr>
        <w:t>水两用炮、泡沫比例混合器的过流表面，判</w:t>
      </w:r>
      <w:r>
        <w:rPr>
          <w:spacing w:val="-8"/>
          <w:sz w:val="21"/>
        </w:rPr>
        <w:t>断试验结果是否符合</w:t>
      </w:r>
      <w:r>
        <w:rPr>
          <w:spacing w:val="-8"/>
          <w:sz w:val="21"/>
        </w:rPr>
        <w:t xml:space="preserve"> </w:t>
      </w:r>
      <w:r>
        <w:rPr>
          <w:sz w:val="21"/>
        </w:rPr>
        <w:t>4.4.4.1.1</w:t>
      </w:r>
      <w:r>
        <w:rPr>
          <w:spacing w:val="-13"/>
          <w:sz w:val="21"/>
        </w:rPr>
        <w:t xml:space="preserve"> </w:t>
      </w:r>
      <w:r>
        <w:rPr>
          <w:spacing w:val="-13"/>
          <w:sz w:val="21"/>
        </w:rPr>
        <w:t>的要求。</w:t>
      </w:r>
      <w:r>
        <w:rPr>
          <w:sz w:val="21"/>
        </w:rPr>
        <w:t xml:space="preserve"> </w:t>
      </w:r>
    </w:p>
    <w:p w14:paraId="1D5589CB" w14:textId="77777777" w:rsidR="00A71EEF" w:rsidRDefault="0081115D">
      <w:pPr>
        <w:pStyle w:val="a4"/>
        <w:numPr>
          <w:ilvl w:val="4"/>
          <w:numId w:val="762"/>
        </w:numPr>
        <w:tabs>
          <w:tab w:val="left" w:pos="1788"/>
        </w:tabs>
        <w:rPr>
          <w:sz w:val="21"/>
        </w:rPr>
      </w:pPr>
      <w:r>
        <w:rPr>
          <w:spacing w:val="-6"/>
          <w:sz w:val="21"/>
        </w:rPr>
        <w:t>检查泡沫系统内的冲洗装置，判断试验结果是否符合</w:t>
      </w:r>
      <w:r>
        <w:rPr>
          <w:spacing w:val="-6"/>
          <w:sz w:val="21"/>
        </w:rPr>
        <w:t xml:space="preserve"> </w:t>
      </w:r>
      <w:r>
        <w:rPr>
          <w:sz w:val="21"/>
        </w:rPr>
        <w:t>4.4.4.1.2</w:t>
      </w:r>
      <w:r>
        <w:rPr>
          <w:spacing w:val="-13"/>
          <w:sz w:val="21"/>
        </w:rPr>
        <w:t xml:space="preserve"> </w:t>
      </w:r>
      <w:r>
        <w:rPr>
          <w:spacing w:val="-13"/>
          <w:sz w:val="21"/>
        </w:rPr>
        <w:t>的要求。</w:t>
      </w:r>
      <w:r>
        <w:rPr>
          <w:sz w:val="21"/>
        </w:rPr>
        <w:t xml:space="preserve"> </w:t>
      </w:r>
    </w:p>
    <w:p w14:paraId="7593EF9C" w14:textId="77777777" w:rsidR="00A71EEF" w:rsidRDefault="00A71EEF">
      <w:pPr>
        <w:pStyle w:val="a3"/>
        <w:spacing w:before="12"/>
        <w:rPr>
          <w:sz w:val="17"/>
        </w:rPr>
      </w:pPr>
    </w:p>
    <w:p w14:paraId="475C1CB9" w14:textId="77777777" w:rsidR="00A71EEF" w:rsidRDefault="0081115D">
      <w:pPr>
        <w:pStyle w:val="a4"/>
        <w:numPr>
          <w:ilvl w:val="4"/>
          <w:numId w:val="762"/>
        </w:numPr>
        <w:tabs>
          <w:tab w:val="left" w:pos="1788"/>
        </w:tabs>
        <w:rPr>
          <w:sz w:val="21"/>
        </w:rPr>
      </w:pPr>
      <w:r>
        <w:rPr>
          <w:spacing w:val="-5"/>
          <w:sz w:val="21"/>
        </w:rPr>
        <w:t>检查泡沫系统的外吸泡沫液接口和连接软管，判断试验结果是否符合</w:t>
      </w:r>
      <w:r>
        <w:rPr>
          <w:spacing w:val="-5"/>
          <w:sz w:val="21"/>
        </w:rPr>
        <w:t xml:space="preserve"> </w:t>
      </w:r>
      <w:r>
        <w:rPr>
          <w:sz w:val="21"/>
        </w:rPr>
        <w:t>4.4.4.1.3</w:t>
      </w:r>
    </w:p>
    <w:p w14:paraId="33C6B229" w14:textId="77777777" w:rsidR="00A71EEF" w:rsidRDefault="00A71EEF">
      <w:pPr>
        <w:pStyle w:val="a3"/>
        <w:spacing w:before="2"/>
        <w:rPr>
          <w:sz w:val="18"/>
        </w:rPr>
      </w:pPr>
    </w:p>
    <w:p w14:paraId="68AD9746" w14:textId="77777777" w:rsidR="00A71EEF" w:rsidRDefault="0081115D">
      <w:pPr>
        <w:pStyle w:val="a3"/>
        <w:ind w:left="418"/>
      </w:pPr>
      <w:r>
        <w:t>的要求。</w:t>
      </w:r>
      <w:r>
        <w:t xml:space="preserve"> </w:t>
      </w:r>
    </w:p>
    <w:p w14:paraId="6691441A" w14:textId="77777777" w:rsidR="00A71EEF" w:rsidRDefault="00A71EEF">
      <w:pPr>
        <w:sectPr w:rsidR="00A71EEF">
          <w:pgSz w:w="11910" w:h="16850"/>
          <w:pgMar w:top="1220" w:right="0" w:bottom="1420" w:left="1260" w:header="0" w:footer="1239" w:gutter="0"/>
          <w:cols w:space="720"/>
        </w:sectPr>
      </w:pPr>
    </w:p>
    <w:p w14:paraId="6DEE73F5" w14:textId="77777777" w:rsidR="00A71EEF" w:rsidRDefault="0081115D">
      <w:pPr>
        <w:pStyle w:val="a4"/>
        <w:numPr>
          <w:ilvl w:val="4"/>
          <w:numId w:val="762"/>
        </w:numPr>
        <w:tabs>
          <w:tab w:val="left" w:pos="1788"/>
        </w:tabs>
        <w:spacing w:before="47" w:line="446" w:lineRule="auto"/>
        <w:ind w:left="418" w:right="1820" w:firstLine="419"/>
        <w:rPr>
          <w:sz w:val="21"/>
        </w:rPr>
      </w:pPr>
      <w:r>
        <w:rPr>
          <w:spacing w:val="-5"/>
          <w:sz w:val="21"/>
        </w:rPr>
        <w:lastRenderedPageBreak/>
        <w:t>目测检查泡沫系统中的防倒流装置，判断试验结果是否符合</w:t>
      </w:r>
      <w:r>
        <w:rPr>
          <w:spacing w:val="-5"/>
          <w:sz w:val="21"/>
        </w:rPr>
        <w:t xml:space="preserve"> </w:t>
      </w:r>
      <w:r>
        <w:rPr>
          <w:sz w:val="21"/>
        </w:rPr>
        <w:t>4.4.4.1.4</w:t>
      </w:r>
      <w:r>
        <w:rPr>
          <w:spacing w:val="-16"/>
          <w:sz w:val="21"/>
        </w:rPr>
        <w:t xml:space="preserve"> </w:t>
      </w:r>
      <w:r>
        <w:rPr>
          <w:spacing w:val="-16"/>
          <w:sz w:val="21"/>
        </w:rPr>
        <w:t>的要</w:t>
      </w:r>
      <w:r>
        <w:rPr>
          <w:spacing w:val="-10"/>
          <w:sz w:val="21"/>
        </w:rPr>
        <w:t>求。</w:t>
      </w:r>
      <w:r>
        <w:rPr>
          <w:sz w:val="21"/>
        </w:rPr>
        <w:t xml:space="preserve"> </w:t>
      </w:r>
    </w:p>
    <w:p w14:paraId="6FE36806" w14:textId="77777777" w:rsidR="00A71EEF" w:rsidRDefault="0081115D">
      <w:pPr>
        <w:pStyle w:val="a4"/>
        <w:numPr>
          <w:ilvl w:val="4"/>
          <w:numId w:val="762"/>
        </w:numPr>
        <w:tabs>
          <w:tab w:val="left" w:pos="1788"/>
        </w:tabs>
        <w:spacing w:line="446" w:lineRule="auto"/>
        <w:ind w:left="418" w:right="1558" w:firstLine="419"/>
        <w:rPr>
          <w:sz w:val="21"/>
        </w:rPr>
      </w:pPr>
      <w:r>
        <w:rPr>
          <w:spacing w:val="-5"/>
          <w:sz w:val="21"/>
        </w:rPr>
        <w:t>泡沫系统在最大工作压力和最大流量下运行，保持稳定运行</w:t>
      </w:r>
      <w:r>
        <w:rPr>
          <w:spacing w:val="-5"/>
          <w:sz w:val="21"/>
        </w:rPr>
        <w:t xml:space="preserve"> </w:t>
      </w:r>
      <w:r>
        <w:rPr>
          <w:sz w:val="21"/>
        </w:rPr>
        <w:t>3min</w:t>
      </w:r>
      <w:r>
        <w:rPr>
          <w:spacing w:val="-2"/>
          <w:sz w:val="21"/>
        </w:rPr>
        <w:t>，判断试验结</w:t>
      </w:r>
      <w:r>
        <w:rPr>
          <w:spacing w:val="-3"/>
          <w:sz w:val="21"/>
        </w:rPr>
        <w:t>果是否符合</w:t>
      </w:r>
      <w:r>
        <w:rPr>
          <w:spacing w:val="-3"/>
          <w:sz w:val="21"/>
        </w:rPr>
        <w:t xml:space="preserve"> </w:t>
      </w:r>
      <w:r>
        <w:rPr>
          <w:sz w:val="21"/>
        </w:rPr>
        <w:t>4.4.4.1.5</w:t>
      </w:r>
      <w:r>
        <w:rPr>
          <w:spacing w:val="-13"/>
          <w:sz w:val="21"/>
        </w:rPr>
        <w:t xml:space="preserve"> </w:t>
      </w:r>
      <w:r>
        <w:rPr>
          <w:spacing w:val="-13"/>
          <w:sz w:val="21"/>
        </w:rPr>
        <w:t>的要求。</w:t>
      </w:r>
      <w:r>
        <w:rPr>
          <w:sz w:val="21"/>
        </w:rPr>
        <w:t xml:space="preserve"> </w:t>
      </w:r>
    </w:p>
    <w:p w14:paraId="021AAF49" w14:textId="77777777" w:rsidR="00A71EEF" w:rsidRDefault="0081115D">
      <w:pPr>
        <w:pStyle w:val="a4"/>
        <w:numPr>
          <w:ilvl w:val="4"/>
          <w:numId w:val="762"/>
        </w:numPr>
        <w:tabs>
          <w:tab w:val="left" w:pos="1788"/>
        </w:tabs>
        <w:rPr>
          <w:sz w:val="21"/>
        </w:rPr>
      </w:pPr>
      <w:r>
        <w:rPr>
          <w:spacing w:val="-3"/>
          <w:sz w:val="21"/>
        </w:rPr>
        <w:t>车用</w:t>
      </w:r>
      <w:r>
        <w:rPr>
          <w:spacing w:val="-3"/>
          <w:sz w:val="21"/>
        </w:rPr>
        <w:t>泡沫系统精度试验方法如下：</w:t>
      </w:r>
      <w:r>
        <w:rPr>
          <w:sz w:val="21"/>
        </w:rPr>
        <w:t xml:space="preserve"> </w:t>
      </w:r>
    </w:p>
    <w:p w14:paraId="54C335CC" w14:textId="77777777" w:rsidR="00A71EEF" w:rsidRDefault="00A71EEF">
      <w:pPr>
        <w:pStyle w:val="a3"/>
        <w:spacing w:before="10"/>
        <w:rPr>
          <w:sz w:val="17"/>
        </w:rPr>
      </w:pPr>
    </w:p>
    <w:p w14:paraId="5FF3A861" w14:textId="77777777" w:rsidR="00A71EEF" w:rsidRDefault="0081115D">
      <w:pPr>
        <w:pStyle w:val="a3"/>
        <w:spacing w:line="446" w:lineRule="auto"/>
        <w:ind w:left="418" w:right="1505" w:firstLine="419"/>
      </w:pPr>
      <w:r>
        <w:rPr>
          <w:spacing w:val="-8"/>
        </w:rPr>
        <w:t>用滴管取试验用</w:t>
      </w:r>
      <w:r>
        <w:rPr>
          <w:spacing w:val="-8"/>
        </w:rPr>
        <w:t xml:space="preserve"> </w:t>
      </w:r>
      <w:r>
        <w:t>1</w:t>
      </w:r>
      <w:r>
        <w:rPr>
          <w:spacing w:val="-14"/>
        </w:rPr>
        <w:t>%</w:t>
      </w:r>
      <w:r>
        <w:rPr>
          <w:spacing w:val="-14"/>
        </w:rPr>
        <w:t>型</w:t>
      </w:r>
      <w:r>
        <w:rPr>
          <w:spacing w:val="-14"/>
        </w:rPr>
        <w:t xml:space="preserve"> </w:t>
      </w:r>
      <w:r>
        <w:t>B</w:t>
      </w:r>
      <w:r>
        <w:rPr>
          <w:spacing w:val="-12"/>
        </w:rPr>
        <w:t xml:space="preserve"> </w:t>
      </w:r>
      <w:r>
        <w:rPr>
          <w:spacing w:val="-12"/>
        </w:rPr>
        <w:t>类泡沫液，分别向</w:t>
      </w:r>
      <w:r>
        <w:rPr>
          <w:spacing w:val="-12"/>
        </w:rPr>
        <w:t xml:space="preserve"> </w:t>
      </w:r>
      <w:r>
        <w:t>3</w:t>
      </w:r>
      <w:r>
        <w:rPr>
          <w:spacing w:val="-28"/>
        </w:rPr>
        <w:t xml:space="preserve"> </w:t>
      </w:r>
      <w:r>
        <w:rPr>
          <w:spacing w:val="-28"/>
        </w:rPr>
        <w:t>只</w:t>
      </w:r>
      <w:r>
        <w:rPr>
          <w:spacing w:val="-28"/>
        </w:rPr>
        <w:t xml:space="preserve"> </w:t>
      </w:r>
      <w:r>
        <w:t>100mL</w:t>
      </w:r>
      <w:r>
        <w:rPr>
          <w:spacing w:val="-14"/>
        </w:rPr>
        <w:t xml:space="preserve"> </w:t>
      </w:r>
      <w:r>
        <w:rPr>
          <w:spacing w:val="-14"/>
        </w:rPr>
        <w:t>的量筒内滴入</w:t>
      </w:r>
      <w:r>
        <w:rPr>
          <w:spacing w:val="-14"/>
        </w:rPr>
        <w:t xml:space="preserve"> </w:t>
      </w:r>
      <w:r>
        <w:t>1mL</w:t>
      </w:r>
      <w:r>
        <w:t>、</w:t>
      </w:r>
      <w:r>
        <w:t>2mL</w:t>
      </w:r>
      <w:r>
        <w:t>、</w:t>
      </w:r>
      <w:r>
        <w:t>3mL</w:t>
      </w:r>
      <w:r>
        <w:rPr>
          <w:spacing w:val="-15"/>
        </w:rPr>
        <w:t xml:space="preserve"> </w:t>
      </w:r>
      <w:r>
        <w:rPr>
          <w:spacing w:val="-15"/>
        </w:rPr>
        <w:t>泡沫</w:t>
      </w:r>
      <w:r>
        <w:rPr>
          <w:spacing w:val="-15"/>
        </w:rPr>
        <w:t xml:space="preserve"> </w:t>
      </w:r>
      <w:r>
        <w:rPr>
          <w:spacing w:val="-7"/>
        </w:rPr>
        <w:t>液，</w:t>
      </w:r>
      <w:r>
        <w:rPr>
          <w:spacing w:val="-7"/>
        </w:rPr>
        <w:t xml:space="preserve"> </w:t>
      </w:r>
      <w:r>
        <w:rPr>
          <w:spacing w:val="-7"/>
        </w:rPr>
        <w:t>然后将试验用水加入各量筒至</w:t>
      </w:r>
      <w:r>
        <w:rPr>
          <w:spacing w:val="-7"/>
        </w:rPr>
        <w:t xml:space="preserve"> </w:t>
      </w:r>
      <w:r>
        <w:t>100mL</w:t>
      </w:r>
      <w:r>
        <w:rPr>
          <w:spacing w:val="-13"/>
        </w:rPr>
        <w:t>，制成</w:t>
      </w:r>
      <w:r>
        <w:rPr>
          <w:spacing w:val="-13"/>
        </w:rPr>
        <w:t xml:space="preserve"> </w:t>
      </w:r>
      <w:r>
        <w:t>1%</w:t>
      </w:r>
      <w:r>
        <w:t>、</w:t>
      </w:r>
      <w:r>
        <w:t>2%</w:t>
      </w:r>
      <w:r>
        <w:rPr>
          <w:spacing w:val="-3"/>
        </w:rPr>
        <w:t>、</w:t>
      </w:r>
      <w:r>
        <w:t>3%</w:t>
      </w:r>
      <w:r>
        <w:rPr>
          <w:spacing w:val="-3"/>
        </w:rPr>
        <w:t>标准浓度的混合液，充分混合，分别用折光仪</w:t>
      </w:r>
      <w:r>
        <w:rPr>
          <w:spacing w:val="-3"/>
        </w:rPr>
        <w:t xml:space="preserve"> </w:t>
      </w:r>
      <w:r>
        <w:rPr>
          <w:spacing w:val="-3"/>
        </w:rPr>
        <w:t>读出折光系数，在坐标纸上做出折光系数与混合液浓度的标定曲线。待所接泡沫析出混合液后，用同一折光仪测出析出液体的折光系数，将此折光系数与标定曲线进行对比即可</w:t>
      </w:r>
      <w:r>
        <w:rPr>
          <w:spacing w:val="-6"/>
        </w:rPr>
        <w:t>确定所接泡沫样本的混合比，其结果应符合</w:t>
      </w:r>
      <w:r>
        <w:rPr>
          <w:spacing w:val="-6"/>
        </w:rPr>
        <w:t xml:space="preserve"> </w:t>
      </w:r>
      <w:r>
        <w:t>4.4.4.1.6</w:t>
      </w:r>
      <w:r>
        <w:rPr>
          <w:spacing w:val="-8"/>
        </w:rPr>
        <w:t xml:space="preserve"> </w:t>
      </w:r>
      <w:r>
        <w:rPr>
          <w:spacing w:val="-8"/>
        </w:rPr>
        <w:t>的规定。如采用电导率仪测试，其标定</w:t>
      </w:r>
      <w:r>
        <w:rPr>
          <w:spacing w:val="3"/>
        </w:rPr>
        <w:t>和比对方式同</w:t>
      </w:r>
      <w:r>
        <w:t>A</w:t>
      </w:r>
      <w:r>
        <w:rPr>
          <w:spacing w:val="-11"/>
        </w:rPr>
        <w:t xml:space="preserve"> </w:t>
      </w:r>
      <w:r>
        <w:rPr>
          <w:spacing w:val="-11"/>
        </w:rPr>
        <w:t>类泡沫液。</w:t>
      </w:r>
      <w:r>
        <w:rPr>
          <w:spacing w:val="-11"/>
        </w:rPr>
        <w:t xml:space="preserve"> </w:t>
      </w:r>
    </w:p>
    <w:p w14:paraId="218F76D8" w14:textId="77777777" w:rsidR="00A71EEF" w:rsidRDefault="0081115D">
      <w:pPr>
        <w:pStyle w:val="a3"/>
        <w:spacing w:line="446" w:lineRule="auto"/>
        <w:ind w:left="418" w:right="1505" w:firstLine="419"/>
      </w:pPr>
      <w:r>
        <w:rPr>
          <w:spacing w:val="-8"/>
        </w:rPr>
        <w:t>用滴管取试验用</w:t>
      </w:r>
      <w:r>
        <w:rPr>
          <w:spacing w:val="-8"/>
        </w:rPr>
        <w:t xml:space="preserve"> </w:t>
      </w:r>
      <w:r>
        <w:t>3</w:t>
      </w:r>
      <w:r>
        <w:rPr>
          <w:spacing w:val="-14"/>
        </w:rPr>
        <w:t>%</w:t>
      </w:r>
      <w:r>
        <w:rPr>
          <w:spacing w:val="-14"/>
        </w:rPr>
        <w:t>型</w:t>
      </w:r>
      <w:r>
        <w:rPr>
          <w:spacing w:val="-14"/>
        </w:rPr>
        <w:t xml:space="preserve"> </w:t>
      </w:r>
      <w:r>
        <w:t>B</w:t>
      </w:r>
      <w:r>
        <w:rPr>
          <w:spacing w:val="-12"/>
        </w:rPr>
        <w:t xml:space="preserve"> </w:t>
      </w:r>
      <w:r>
        <w:rPr>
          <w:spacing w:val="-12"/>
        </w:rPr>
        <w:t>类泡沫液，分别向</w:t>
      </w:r>
      <w:r>
        <w:rPr>
          <w:spacing w:val="-12"/>
        </w:rPr>
        <w:t xml:space="preserve"> </w:t>
      </w:r>
      <w:r>
        <w:t>3</w:t>
      </w:r>
      <w:r>
        <w:rPr>
          <w:spacing w:val="-28"/>
        </w:rPr>
        <w:t xml:space="preserve"> </w:t>
      </w:r>
      <w:r>
        <w:rPr>
          <w:spacing w:val="-28"/>
        </w:rPr>
        <w:t>只</w:t>
      </w:r>
      <w:r>
        <w:rPr>
          <w:spacing w:val="-28"/>
        </w:rPr>
        <w:t xml:space="preserve"> </w:t>
      </w:r>
      <w:r>
        <w:t>100mL</w:t>
      </w:r>
      <w:r>
        <w:rPr>
          <w:spacing w:val="-14"/>
        </w:rPr>
        <w:t xml:space="preserve"> </w:t>
      </w:r>
      <w:r>
        <w:rPr>
          <w:spacing w:val="-14"/>
        </w:rPr>
        <w:t>的量筒内滴入</w:t>
      </w:r>
      <w:r>
        <w:rPr>
          <w:spacing w:val="-14"/>
        </w:rPr>
        <w:t xml:space="preserve"> </w:t>
      </w:r>
      <w:r>
        <w:t>1mL</w:t>
      </w:r>
      <w:r>
        <w:t>、</w:t>
      </w:r>
      <w:r>
        <w:t>3mL</w:t>
      </w:r>
      <w:r>
        <w:t>、</w:t>
      </w:r>
      <w:r>
        <w:t>5mL</w:t>
      </w:r>
      <w:r>
        <w:rPr>
          <w:spacing w:val="-15"/>
        </w:rPr>
        <w:t xml:space="preserve"> </w:t>
      </w:r>
      <w:r>
        <w:rPr>
          <w:spacing w:val="-15"/>
        </w:rPr>
        <w:t>泡沫</w:t>
      </w:r>
      <w:r>
        <w:rPr>
          <w:spacing w:val="-15"/>
        </w:rPr>
        <w:t xml:space="preserve"> </w:t>
      </w:r>
      <w:r>
        <w:rPr>
          <w:spacing w:val="-7"/>
        </w:rPr>
        <w:t>液，</w:t>
      </w:r>
      <w:r>
        <w:rPr>
          <w:spacing w:val="-7"/>
        </w:rPr>
        <w:t xml:space="preserve"> </w:t>
      </w:r>
      <w:r>
        <w:rPr>
          <w:spacing w:val="-7"/>
        </w:rPr>
        <w:t>然后将试验用水加入各量筒至</w:t>
      </w:r>
      <w:r>
        <w:rPr>
          <w:spacing w:val="-7"/>
        </w:rPr>
        <w:t xml:space="preserve"> </w:t>
      </w:r>
      <w:r>
        <w:t>100mL</w:t>
      </w:r>
      <w:r>
        <w:rPr>
          <w:spacing w:val="-13"/>
        </w:rPr>
        <w:t>，制成</w:t>
      </w:r>
      <w:r>
        <w:rPr>
          <w:spacing w:val="-13"/>
        </w:rPr>
        <w:t xml:space="preserve"> </w:t>
      </w:r>
      <w:r>
        <w:t>1%</w:t>
      </w:r>
      <w:r>
        <w:t>、</w:t>
      </w:r>
      <w:r>
        <w:t>3%</w:t>
      </w:r>
      <w:r>
        <w:rPr>
          <w:spacing w:val="-3"/>
        </w:rPr>
        <w:t>、</w:t>
      </w:r>
      <w:r>
        <w:t>5%</w:t>
      </w:r>
      <w:r>
        <w:rPr>
          <w:spacing w:val="-3"/>
        </w:rPr>
        <w:t>标准浓度的混合</w:t>
      </w:r>
      <w:r>
        <w:rPr>
          <w:spacing w:val="-3"/>
        </w:rPr>
        <w:t>液，充分混合，分别用折光仪</w:t>
      </w:r>
      <w:r>
        <w:rPr>
          <w:spacing w:val="-3"/>
        </w:rPr>
        <w:t xml:space="preserve"> </w:t>
      </w:r>
      <w:r>
        <w:rPr>
          <w:spacing w:val="-3"/>
        </w:rPr>
        <w:t>读出折光系数，在坐标纸上做出折光系数与混合液浓度的标定曲线。待所接泡沫析出混合液后，用同一折光仪测出析出液体的折光系数，将此折光系数与标定曲线进行对比即可</w:t>
      </w:r>
      <w:r>
        <w:rPr>
          <w:spacing w:val="-6"/>
        </w:rPr>
        <w:t>确定所接泡沫样本的混合比，</w:t>
      </w:r>
      <w:r>
        <w:rPr>
          <w:spacing w:val="-6"/>
        </w:rPr>
        <w:t xml:space="preserve"> </w:t>
      </w:r>
      <w:r>
        <w:rPr>
          <w:spacing w:val="-6"/>
        </w:rPr>
        <w:t>其结果应符合</w:t>
      </w:r>
      <w:r>
        <w:rPr>
          <w:spacing w:val="-6"/>
        </w:rPr>
        <w:t xml:space="preserve"> </w:t>
      </w:r>
      <w:r>
        <w:t>4.4.4.1.6</w:t>
      </w:r>
      <w:r>
        <w:rPr>
          <w:spacing w:val="-13"/>
        </w:rPr>
        <w:t xml:space="preserve"> </w:t>
      </w:r>
      <w:r>
        <w:rPr>
          <w:spacing w:val="-13"/>
        </w:rPr>
        <w:t>的规定。</w:t>
      </w:r>
      <w:r>
        <w:t xml:space="preserve"> </w:t>
      </w:r>
    </w:p>
    <w:p w14:paraId="17CEFBA3" w14:textId="77777777" w:rsidR="00A71EEF" w:rsidRDefault="0081115D">
      <w:pPr>
        <w:pStyle w:val="a3"/>
        <w:spacing w:line="446" w:lineRule="auto"/>
        <w:ind w:left="418" w:right="1505" w:firstLine="419"/>
      </w:pPr>
      <w:r>
        <w:rPr>
          <w:spacing w:val="-8"/>
        </w:rPr>
        <w:t>用滴管取试验用</w:t>
      </w:r>
      <w:r>
        <w:rPr>
          <w:spacing w:val="-8"/>
        </w:rPr>
        <w:t xml:space="preserve"> </w:t>
      </w:r>
      <w:r>
        <w:t>6</w:t>
      </w:r>
      <w:r>
        <w:rPr>
          <w:spacing w:val="-14"/>
        </w:rPr>
        <w:t>%</w:t>
      </w:r>
      <w:r>
        <w:rPr>
          <w:spacing w:val="-14"/>
        </w:rPr>
        <w:t>型</w:t>
      </w:r>
      <w:r>
        <w:rPr>
          <w:spacing w:val="-14"/>
        </w:rPr>
        <w:t xml:space="preserve"> </w:t>
      </w:r>
      <w:r>
        <w:t>B</w:t>
      </w:r>
      <w:r>
        <w:rPr>
          <w:spacing w:val="-12"/>
        </w:rPr>
        <w:t xml:space="preserve"> </w:t>
      </w:r>
      <w:r>
        <w:rPr>
          <w:spacing w:val="-12"/>
        </w:rPr>
        <w:t>类泡沫液，分别向</w:t>
      </w:r>
      <w:r>
        <w:rPr>
          <w:spacing w:val="-12"/>
        </w:rPr>
        <w:t xml:space="preserve"> </w:t>
      </w:r>
      <w:r>
        <w:t>3</w:t>
      </w:r>
      <w:r>
        <w:rPr>
          <w:spacing w:val="-28"/>
        </w:rPr>
        <w:t xml:space="preserve"> </w:t>
      </w:r>
      <w:r>
        <w:rPr>
          <w:spacing w:val="-28"/>
        </w:rPr>
        <w:t>只</w:t>
      </w:r>
      <w:r>
        <w:rPr>
          <w:spacing w:val="-28"/>
        </w:rPr>
        <w:t xml:space="preserve"> </w:t>
      </w:r>
      <w:r>
        <w:t>100mL</w:t>
      </w:r>
      <w:r>
        <w:rPr>
          <w:spacing w:val="-14"/>
        </w:rPr>
        <w:t xml:space="preserve"> </w:t>
      </w:r>
      <w:r>
        <w:rPr>
          <w:spacing w:val="-14"/>
        </w:rPr>
        <w:t>的量筒内滴入</w:t>
      </w:r>
      <w:r>
        <w:rPr>
          <w:spacing w:val="-14"/>
        </w:rPr>
        <w:t xml:space="preserve"> </w:t>
      </w:r>
      <w:r>
        <w:t>3mL</w:t>
      </w:r>
      <w:r>
        <w:t>、</w:t>
      </w:r>
      <w:r>
        <w:t>6mL</w:t>
      </w:r>
      <w:r>
        <w:t>、</w:t>
      </w:r>
      <w:r>
        <w:t>9mL</w:t>
      </w:r>
      <w:r>
        <w:rPr>
          <w:spacing w:val="-15"/>
        </w:rPr>
        <w:t xml:space="preserve"> </w:t>
      </w:r>
      <w:r>
        <w:rPr>
          <w:spacing w:val="-15"/>
        </w:rPr>
        <w:t>泡沫</w:t>
      </w:r>
      <w:r>
        <w:rPr>
          <w:spacing w:val="-15"/>
        </w:rPr>
        <w:t xml:space="preserve"> </w:t>
      </w:r>
      <w:r>
        <w:rPr>
          <w:spacing w:val="-7"/>
        </w:rPr>
        <w:t>液，</w:t>
      </w:r>
      <w:r>
        <w:rPr>
          <w:spacing w:val="-7"/>
        </w:rPr>
        <w:t xml:space="preserve"> </w:t>
      </w:r>
      <w:r>
        <w:rPr>
          <w:spacing w:val="-7"/>
        </w:rPr>
        <w:t>然后将试验用水加入各量筒至</w:t>
      </w:r>
      <w:r>
        <w:rPr>
          <w:spacing w:val="-7"/>
        </w:rPr>
        <w:t xml:space="preserve"> </w:t>
      </w:r>
      <w:r>
        <w:t>100mL</w:t>
      </w:r>
      <w:r>
        <w:rPr>
          <w:spacing w:val="-13"/>
        </w:rPr>
        <w:t>，制成</w:t>
      </w:r>
      <w:r>
        <w:rPr>
          <w:spacing w:val="-13"/>
        </w:rPr>
        <w:t xml:space="preserve"> </w:t>
      </w:r>
      <w:r>
        <w:t>3%</w:t>
      </w:r>
      <w:r>
        <w:t>、</w:t>
      </w:r>
      <w:r>
        <w:t>6%</w:t>
      </w:r>
      <w:r>
        <w:rPr>
          <w:spacing w:val="-3"/>
        </w:rPr>
        <w:t>、</w:t>
      </w:r>
      <w:r>
        <w:t>9%</w:t>
      </w:r>
      <w:r>
        <w:rPr>
          <w:spacing w:val="-3"/>
        </w:rPr>
        <w:t>标准浓度的混合液，充分混合，分别用折光仪</w:t>
      </w:r>
      <w:r>
        <w:rPr>
          <w:spacing w:val="-3"/>
        </w:rPr>
        <w:t xml:space="preserve"> </w:t>
      </w:r>
      <w:r>
        <w:rPr>
          <w:spacing w:val="-3"/>
        </w:rPr>
        <w:t>读出折光系数，在坐标纸上做出折光系数</w:t>
      </w:r>
      <w:r>
        <w:rPr>
          <w:spacing w:val="-3"/>
        </w:rPr>
        <w:t>与混合液浓度的标定曲线。待所接泡沫析出混合液后，用同一折光仪测出析出液体的折光系数，将此折光系数与标定曲线进行对比即可</w:t>
      </w:r>
      <w:r>
        <w:rPr>
          <w:spacing w:val="-6"/>
        </w:rPr>
        <w:t>确定所接泡沫样本的混合比，</w:t>
      </w:r>
      <w:r>
        <w:rPr>
          <w:spacing w:val="-6"/>
        </w:rPr>
        <w:t xml:space="preserve"> </w:t>
      </w:r>
      <w:r>
        <w:rPr>
          <w:spacing w:val="-6"/>
        </w:rPr>
        <w:t>其结果应符合</w:t>
      </w:r>
      <w:r>
        <w:rPr>
          <w:spacing w:val="-6"/>
        </w:rPr>
        <w:t xml:space="preserve"> </w:t>
      </w:r>
      <w:r>
        <w:t>4.4.4.1.6</w:t>
      </w:r>
      <w:r>
        <w:rPr>
          <w:spacing w:val="-13"/>
        </w:rPr>
        <w:t xml:space="preserve"> </w:t>
      </w:r>
      <w:r>
        <w:rPr>
          <w:spacing w:val="-13"/>
        </w:rPr>
        <w:t>的规定。</w:t>
      </w:r>
      <w:r>
        <w:t xml:space="preserve"> </w:t>
      </w:r>
    </w:p>
    <w:p w14:paraId="7A985468" w14:textId="77777777" w:rsidR="00A71EEF" w:rsidRDefault="0081115D">
      <w:pPr>
        <w:pStyle w:val="a4"/>
        <w:numPr>
          <w:ilvl w:val="3"/>
          <w:numId w:val="762"/>
        </w:numPr>
        <w:tabs>
          <w:tab w:val="left" w:pos="1576"/>
        </w:tabs>
        <w:spacing w:line="268" w:lineRule="exact"/>
        <w:rPr>
          <w:sz w:val="21"/>
        </w:rPr>
      </w:pPr>
      <w:r>
        <w:rPr>
          <w:spacing w:val="-3"/>
          <w:sz w:val="21"/>
        </w:rPr>
        <w:t>泡沫比例混合器试验</w:t>
      </w:r>
      <w:r>
        <w:rPr>
          <w:sz w:val="21"/>
        </w:rPr>
        <w:t xml:space="preserve"> </w:t>
      </w:r>
    </w:p>
    <w:p w14:paraId="40EB22D3" w14:textId="77777777" w:rsidR="00A71EEF" w:rsidRDefault="00A71EEF">
      <w:pPr>
        <w:pStyle w:val="a3"/>
        <w:spacing w:before="9"/>
        <w:rPr>
          <w:sz w:val="17"/>
        </w:rPr>
      </w:pPr>
    </w:p>
    <w:p w14:paraId="17A3DB09" w14:textId="77777777" w:rsidR="00A71EEF" w:rsidRDefault="0081115D">
      <w:pPr>
        <w:pStyle w:val="a4"/>
        <w:numPr>
          <w:ilvl w:val="4"/>
          <w:numId w:val="762"/>
        </w:numPr>
        <w:tabs>
          <w:tab w:val="left" w:pos="1788"/>
        </w:tabs>
        <w:spacing w:before="1"/>
        <w:rPr>
          <w:sz w:val="21"/>
        </w:rPr>
      </w:pPr>
      <w:r>
        <w:rPr>
          <w:spacing w:val="-3"/>
          <w:sz w:val="21"/>
        </w:rPr>
        <w:t>标志牌检查</w:t>
      </w:r>
      <w:r>
        <w:rPr>
          <w:spacing w:val="-3"/>
          <w:sz w:val="21"/>
        </w:rPr>
        <w:t xml:space="preserve"> </w:t>
      </w:r>
    </w:p>
    <w:p w14:paraId="0416AEB5" w14:textId="77777777" w:rsidR="00A71EEF" w:rsidRDefault="00A71EEF">
      <w:pPr>
        <w:pStyle w:val="a3"/>
        <w:spacing w:before="12"/>
        <w:rPr>
          <w:sz w:val="17"/>
        </w:rPr>
      </w:pPr>
    </w:p>
    <w:p w14:paraId="7538FF56" w14:textId="77777777" w:rsidR="00A71EEF" w:rsidRDefault="0081115D">
      <w:pPr>
        <w:pStyle w:val="a3"/>
        <w:spacing w:line="446" w:lineRule="auto"/>
        <w:ind w:left="418" w:right="1820" w:firstLine="419"/>
      </w:pPr>
      <w:r>
        <w:rPr>
          <w:spacing w:val="-5"/>
        </w:rPr>
        <w:t>目测检查泡沫比例混合器外壳的永久性标志牌，判断试验结果是否符合</w:t>
      </w:r>
      <w:r>
        <w:rPr>
          <w:spacing w:val="-5"/>
        </w:rPr>
        <w:t xml:space="preserve"> </w:t>
      </w:r>
      <w:r>
        <w:t>4.4.4.2.1</w:t>
      </w:r>
      <w:r>
        <w:rPr>
          <w:spacing w:val="-14"/>
        </w:rPr>
        <w:t xml:space="preserve"> </w:t>
      </w:r>
      <w:r>
        <w:rPr>
          <w:spacing w:val="-14"/>
        </w:rPr>
        <w:t>的要</w:t>
      </w:r>
      <w:r>
        <w:rPr>
          <w:spacing w:val="-9"/>
        </w:rPr>
        <w:t>求。</w:t>
      </w:r>
      <w:r>
        <w:t xml:space="preserve"> </w:t>
      </w:r>
    </w:p>
    <w:p w14:paraId="26A87F2E" w14:textId="77777777" w:rsidR="00A71EEF" w:rsidRDefault="0081115D">
      <w:pPr>
        <w:pStyle w:val="a4"/>
        <w:numPr>
          <w:ilvl w:val="4"/>
          <w:numId w:val="762"/>
        </w:numPr>
        <w:tabs>
          <w:tab w:val="left" w:pos="1788"/>
        </w:tabs>
        <w:rPr>
          <w:sz w:val="21"/>
        </w:rPr>
      </w:pPr>
      <w:r>
        <w:rPr>
          <w:spacing w:val="-3"/>
          <w:sz w:val="21"/>
        </w:rPr>
        <w:t>液流方向检查</w:t>
      </w:r>
      <w:r>
        <w:rPr>
          <w:spacing w:val="-3"/>
          <w:sz w:val="21"/>
        </w:rPr>
        <w:t xml:space="preserve"> </w:t>
      </w:r>
    </w:p>
    <w:p w14:paraId="2923C1C8" w14:textId="77777777" w:rsidR="00A71EEF" w:rsidRDefault="00A71EEF">
      <w:pPr>
        <w:pStyle w:val="a3"/>
        <w:spacing w:before="12"/>
        <w:rPr>
          <w:sz w:val="17"/>
        </w:rPr>
      </w:pPr>
    </w:p>
    <w:p w14:paraId="5BCDE6BA" w14:textId="77777777" w:rsidR="00A71EEF" w:rsidRDefault="0081115D">
      <w:pPr>
        <w:pStyle w:val="a3"/>
        <w:spacing w:line="446" w:lineRule="auto"/>
        <w:ind w:left="838" w:right="1716"/>
      </w:pPr>
      <w:r>
        <w:t>目测检查泡沫比例混合器外壳的液流方向，判断试验结果是否符合</w:t>
      </w:r>
      <w:r>
        <w:t xml:space="preserve"> 4.4.4.2.2 </w:t>
      </w:r>
      <w:r>
        <w:t>的要求。</w:t>
      </w:r>
      <w:r>
        <w:t xml:space="preserve">5.4.4.2.3 </w:t>
      </w:r>
      <w:r>
        <w:t>主要性能指标试验</w:t>
      </w:r>
      <w:r>
        <w:t xml:space="preserve"> </w:t>
      </w:r>
    </w:p>
    <w:p w14:paraId="05195BF2" w14:textId="77777777" w:rsidR="00A71EEF" w:rsidRDefault="00A71EEF">
      <w:pPr>
        <w:spacing w:line="446" w:lineRule="auto"/>
        <w:sectPr w:rsidR="00A71EEF">
          <w:pgSz w:w="11910" w:h="16850"/>
          <w:pgMar w:top="1220" w:right="0" w:bottom="1420" w:left="1260" w:header="0" w:footer="1239" w:gutter="0"/>
          <w:cols w:space="720"/>
        </w:sectPr>
      </w:pPr>
    </w:p>
    <w:p w14:paraId="38E8F562" w14:textId="77777777" w:rsidR="00A71EEF" w:rsidRDefault="0081115D">
      <w:pPr>
        <w:pStyle w:val="a3"/>
        <w:spacing w:before="47" w:line="446" w:lineRule="auto"/>
        <w:ind w:left="418" w:right="1505" w:firstLine="419"/>
      </w:pPr>
      <w:r>
        <w:rPr>
          <w:spacing w:val="-3"/>
        </w:rPr>
        <w:lastRenderedPageBreak/>
        <w:t>将</w:t>
      </w:r>
      <w:r>
        <w:rPr>
          <w:spacing w:val="-3"/>
        </w:rPr>
        <w:t>泡沫比例混合器按正常使用状态安装在试验管路上，进口管路直管段长度不小于泡沫比</w:t>
      </w:r>
      <w:r>
        <w:rPr>
          <w:spacing w:val="-7"/>
        </w:rPr>
        <w:t>例混合器进口直径的</w:t>
      </w:r>
      <w:r>
        <w:rPr>
          <w:spacing w:val="-7"/>
        </w:rPr>
        <w:t xml:space="preserve"> </w:t>
      </w:r>
      <w:r>
        <w:t>10</w:t>
      </w:r>
      <w:r>
        <w:rPr>
          <w:spacing w:val="-10"/>
        </w:rPr>
        <w:t xml:space="preserve"> </w:t>
      </w:r>
      <w:r>
        <w:rPr>
          <w:spacing w:val="-10"/>
        </w:rPr>
        <w:t>倍，出口管路直管段长度不小于泡沫比例混合器出口直径的</w:t>
      </w:r>
      <w:r>
        <w:rPr>
          <w:spacing w:val="-10"/>
        </w:rPr>
        <w:t xml:space="preserve"> </w:t>
      </w:r>
      <w:r>
        <w:t>5</w:t>
      </w:r>
      <w:r>
        <w:rPr>
          <w:spacing w:val="-11"/>
        </w:rPr>
        <w:t xml:space="preserve"> </w:t>
      </w:r>
      <w:r>
        <w:rPr>
          <w:spacing w:val="-11"/>
        </w:rPr>
        <w:t>倍，压力</w:t>
      </w:r>
      <w:r>
        <w:rPr>
          <w:spacing w:val="-4"/>
        </w:rPr>
        <w:t>表精度不低于</w:t>
      </w:r>
      <w:r>
        <w:rPr>
          <w:spacing w:val="-4"/>
        </w:rPr>
        <w:t xml:space="preserve"> </w:t>
      </w:r>
      <w:r>
        <w:t>1.6</w:t>
      </w:r>
      <w:r>
        <w:rPr>
          <w:spacing w:val="-10"/>
        </w:rPr>
        <w:t xml:space="preserve"> </w:t>
      </w:r>
      <w:r>
        <w:rPr>
          <w:spacing w:val="-10"/>
        </w:rPr>
        <w:t>级。以标准混合比数值为中间值，用量筒至少配备</w:t>
      </w:r>
      <w:r>
        <w:rPr>
          <w:spacing w:val="-10"/>
        </w:rPr>
        <w:t xml:space="preserve"> </w:t>
      </w:r>
      <w:r>
        <w:t>3</w:t>
      </w:r>
      <w:r>
        <w:rPr>
          <w:spacing w:val="-9"/>
        </w:rPr>
        <w:t xml:space="preserve"> </w:t>
      </w:r>
      <w:r>
        <w:rPr>
          <w:spacing w:val="-9"/>
        </w:rPr>
        <w:t>种混合比的泡沫混合液</w:t>
      </w:r>
      <w:r>
        <w:rPr>
          <w:spacing w:val="-5"/>
        </w:rPr>
        <w:t>标准样，将其各自搅拌均匀后，采用析光仪、导电仪或其他有效的仪器读取数值，调节泡沫比</w:t>
      </w:r>
      <w:r>
        <w:rPr>
          <w:spacing w:val="-4"/>
        </w:rPr>
        <w:t>例混合器的进口压力及流量达到规定值，稳定后将喷出的泡沫混合液取样。在析光仪、导电仪</w:t>
      </w:r>
      <w:r>
        <w:rPr>
          <w:spacing w:val="-3"/>
        </w:rPr>
        <w:t>或其他有效的仪器上读取数值并与泡沫混合液标准样对照，求得混合比。试验分别在最小、中间、最大进口压力下以及最小流量值、中间流量值、</w:t>
      </w:r>
      <w:r>
        <w:rPr>
          <w:spacing w:val="-3"/>
        </w:rPr>
        <w:t xml:space="preserve"> </w:t>
      </w:r>
      <w:r>
        <w:rPr>
          <w:spacing w:val="-3"/>
        </w:rPr>
        <w:t>最大流量值条件下进行，判断试验结果是</w:t>
      </w:r>
      <w:r>
        <w:rPr>
          <w:spacing w:val="-15"/>
        </w:rPr>
        <w:t>否符合</w:t>
      </w:r>
      <w:r>
        <w:rPr>
          <w:spacing w:val="-15"/>
        </w:rPr>
        <w:t xml:space="preserve"> </w:t>
      </w:r>
      <w:r>
        <w:t>4.4.4.2.3</w:t>
      </w:r>
      <w:r>
        <w:rPr>
          <w:spacing w:val="-12"/>
        </w:rPr>
        <w:t xml:space="preserve"> </w:t>
      </w:r>
      <w:r>
        <w:rPr>
          <w:spacing w:val="-12"/>
        </w:rPr>
        <w:t>的要求。</w:t>
      </w:r>
      <w:r>
        <w:rPr>
          <w:spacing w:val="-12"/>
        </w:rPr>
        <w:t xml:space="preserve"> </w:t>
      </w:r>
    </w:p>
    <w:p w14:paraId="5C1A795B" w14:textId="77777777" w:rsidR="00A71EEF" w:rsidRDefault="0081115D">
      <w:pPr>
        <w:pStyle w:val="a4"/>
        <w:numPr>
          <w:ilvl w:val="4"/>
          <w:numId w:val="759"/>
        </w:numPr>
        <w:tabs>
          <w:tab w:val="left" w:pos="1788"/>
        </w:tabs>
        <w:spacing w:line="265" w:lineRule="exact"/>
        <w:rPr>
          <w:sz w:val="21"/>
        </w:rPr>
      </w:pPr>
      <w:r>
        <w:rPr>
          <w:spacing w:val="-3"/>
          <w:sz w:val="21"/>
        </w:rPr>
        <w:t>静水压密封、强度试验</w:t>
      </w:r>
      <w:r>
        <w:rPr>
          <w:sz w:val="21"/>
        </w:rPr>
        <w:t xml:space="preserve"> </w:t>
      </w:r>
    </w:p>
    <w:p w14:paraId="7EAE8035" w14:textId="77777777" w:rsidR="00A71EEF" w:rsidRDefault="00A71EEF">
      <w:pPr>
        <w:pStyle w:val="a3"/>
        <w:spacing w:before="2"/>
        <w:rPr>
          <w:sz w:val="18"/>
        </w:rPr>
      </w:pPr>
    </w:p>
    <w:p w14:paraId="07795D87" w14:textId="77777777" w:rsidR="00A71EEF" w:rsidRDefault="0081115D">
      <w:pPr>
        <w:pStyle w:val="a4"/>
        <w:numPr>
          <w:ilvl w:val="5"/>
          <w:numId w:val="759"/>
        </w:numPr>
        <w:tabs>
          <w:tab w:val="left" w:pos="1996"/>
        </w:tabs>
        <w:spacing w:line="446" w:lineRule="auto"/>
        <w:ind w:right="1609" w:firstLine="419"/>
        <w:rPr>
          <w:sz w:val="21"/>
        </w:rPr>
      </w:pPr>
      <w:r>
        <w:rPr>
          <w:spacing w:val="-3"/>
          <w:sz w:val="21"/>
        </w:rPr>
        <w:t>将泡沫比例混合器进、出口封闭并注满水，排除残余空气、用试压泵缓慢加</w:t>
      </w:r>
      <w:r>
        <w:rPr>
          <w:spacing w:val="-8"/>
          <w:sz w:val="21"/>
        </w:rPr>
        <w:t>压至规定试验压力，保持</w:t>
      </w:r>
      <w:r>
        <w:rPr>
          <w:spacing w:val="-8"/>
          <w:sz w:val="21"/>
        </w:rPr>
        <w:t xml:space="preserve"> </w:t>
      </w:r>
      <w:r>
        <w:rPr>
          <w:sz w:val="21"/>
        </w:rPr>
        <w:t>3min</w:t>
      </w:r>
      <w:r>
        <w:rPr>
          <w:spacing w:val="-8"/>
          <w:sz w:val="21"/>
        </w:rPr>
        <w:t>，判断试验结果是否符合</w:t>
      </w:r>
      <w:r>
        <w:rPr>
          <w:spacing w:val="-8"/>
          <w:sz w:val="21"/>
        </w:rPr>
        <w:t xml:space="preserve"> </w:t>
      </w:r>
      <w:r>
        <w:rPr>
          <w:sz w:val="21"/>
        </w:rPr>
        <w:t>4.4.4.2.4.1</w:t>
      </w:r>
      <w:r>
        <w:rPr>
          <w:spacing w:val="-12"/>
          <w:sz w:val="21"/>
        </w:rPr>
        <w:t xml:space="preserve"> </w:t>
      </w:r>
      <w:r>
        <w:rPr>
          <w:spacing w:val="-12"/>
          <w:sz w:val="21"/>
        </w:rPr>
        <w:t>的要求。</w:t>
      </w:r>
      <w:r>
        <w:rPr>
          <w:spacing w:val="-12"/>
          <w:sz w:val="21"/>
        </w:rPr>
        <w:t xml:space="preserve"> </w:t>
      </w:r>
    </w:p>
    <w:p w14:paraId="5605C9A6" w14:textId="77777777" w:rsidR="00A71EEF" w:rsidRDefault="0081115D">
      <w:pPr>
        <w:pStyle w:val="a4"/>
        <w:numPr>
          <w:ilvl w:val="5"/>
          <w:numId w:val="759"/>
        </w:numPr>
        <w:tabs>
          <w:tab w:val="left" w:pos="1996"/>
        </w:tabs>
        <w:spacing w:line="446" w:lineRule="auto"/>
        <w:ind w:right="1609" w:firstLine="419"/>
        <w:rPr>
          <w:sz w:val="21"/>
        </w:rPr>
      </w:pPr>
      <w:r>
        <w:rPr>
          <w:spacing w:val="-3"/>
          <w:sz w:val="21"/>
        </w:rPr>
        <w:t>将泡沫比例混合器进、出口封闭并注满水，排除残余空气。用试压泵缓慢加</w:t>
      </w:r>
      <w:r>
        <w:rPr>
          <w:spacing w:val="-8"/>
          <w:sz w:val="21"/>
        </w:rPr>
        <w:t>压至规定试验压力，保持</w:t>
      </w:r>
      <w:r>
        <w:rPr>
          <w:spacing w:val="-8"/>
          <w:sz w:val="21"/>
        </w:rPr>
        <w:t xml:space="preserve"> </w:t>
      </w:r>
      <w:r>
        <w:rPr>
          <w:sz w:val="21"/>
        </w:rPr>
        <w:t>3min</w:t>
      </w:r>
      <w:r>
        <w:rPr>
          <w:spacing w:val="-8"/>
          <w:sz w:val="21"/>
        </w:rPr>
        <w:t>，判断试验结果是否符合</w:t>
      </w:r>
      <w:r>
        <w:rPr>
          <w:spacing w:val="-8"/>
          <w:sz w:val="21"/>
        </w:rPr>
        <w:t xml:space="preserve"> </w:t>
      </w:r>
      <w:r>
        <w:rPr>
          <w:sz w:val="21"/>
        </w:rPr>
        <w:t>4.4.4.2.4.2</w:t>
      </w:r>
      <w:r>
        <w:rPr>
          <w:spacing w:val="-12"/>
          <w:sz w:val="21"/>
        </w:rPr>
        <w:t xml:space="preserve"> </w:t>
      </w:r>
      <w:r>
        <w:rPr>
          <w:spacing w:val="-12"/>
          <w:sz w:val="21"/>
        </w:rPr>
        <w:t>的要求。</w:t>
      </w:r>
      <w:r>
        <w:rPr>
          <w:spacing w:val="-12"/>
          <w:sz w:val="21"/>
        </w:rPr>
        <w:t xml:space="preserve"> </w:t>
      </w:r>
    </w:p>
    <w:p w14:paraId="3715DBB1" w14:textId="77777777" w:rsidR="00A71EEF" w:rsidRDefault="0081115D">
      <w:pPr>
        <w:pStyle w:val="a4"/>
        <w:numPr>
          <w:ilvl w:val="4"/>
          <w:numId w:val="759"/>
        </w:numPr>
        <w:tabs>
          <w:tab w:val="left" w:pos="1788"/>
        </w:tabs>
        <w:rPr>
          <w:sz w:val="21"/>
        </w:rPr>
      </w:pPr>
      <w:r>
        <w:rPr>
          <w:spacing w:val="-3"/>
          <w:sz w:val="21"/>
        </w:rPr>
        <w:t>负压式泡沫比例混合器试验</w:t>
      </w:r>
      <w:r>
        <w:rPr>
          <w:sz w:val="21"/>
        </w:rPr>
        <w:t xml:space="preserve"> </w:t>
      </w:r>
    </w:p>
    <w:p w14:paraId="5C99EED7" w14:textId="77777777" w:rsidR="00A71EEF" w:rsidRDefault="00A71EEF">
      <w:pPr>
        <w:pStyle w:val="a3"/>
        <w:spacing w:before="10"/>
        <w:rPr>
          <w:sz w:val="17"/>
        </w:rPr>
      </w:pPr>
    </w:p>
    <w:p w14:paraId="186C8A45" w14:textId="77777777" w:rsidR="00A71EEF" w:rsidRDefault="0081115D">
      <w:pPr>
        <w:pStyle w:val="a4"/>
        <w:numPr>
          <w:ilvl w:val="5"/>
          <w:numId w:val="759"/>
        </w:numPr>
        <w:tabs>
          <w:tab w:val="left" w:pos="1996"/>
        </w:tabs>
        <w:spacing w:line="446" w:lineRule="auto"/>
        <w:ind w:right="1609" w:firstLine="419"/>
        <w:rPr>
          <w:sz w:val="21"/>
        </w:rPr>
      </w:pPr>
      <w:r>
        <w:rPr>
          <w:spacing w:val="-3"/>
          <w:sz w:val="21"/>
        </w:rPr>
        <w:t>将负压式泡沫比例混合器进口与真空泵相连接，封闭其他开口。开启真空泵</w:t>
      </w:r>
      <w:r>
        <w:rPr>
          <w:spacing w:val="-13"/>
          <w:sz w:val="21"/>
        </w:rPr>
        <w:t>抽真空至</w:t>
      </w:r>
      <w:r>
        <w:rPr>
          <w:spacing w:val="-13"/>
          <w:sz w:val="21"/>
        </w:rPr>
        <w:t xml:space="preserve"> </w:t>
      </w:r>
      <w:r>
        <w:rPr>
          <w:sz w:val="21"/>
        </w:rPr>
        <w:t>85kPa</w:t>
      </w:r>
      <w:r>
        <w:rPr>
          <w:spacing w:val="-8"/>
          <w:sz w:val="21"/>
        </w:rPr>
        <w:t>，关闭真空泵，测定</w:t>
      </w:r>
      <w:r>
        <w:rPr>
          <w:spacing w:val="-8"/>
          <w:sz w:val="21"/>
        </w:rPr>
        <w:t xml:space="preserve"> </w:t>
      </w:r>
      <w:r>
        <w:rPr>
          <w:sz w:val="21"/>
        </w:rPr>
        <w:t>1min</w:t>
      </w:r>
      <w:r>
        <w:rPr>
          <w:spacing w:val="-9"/>
          <w:sz w:val="21"/>
        </w:rPr>
        <w:t xml:space="preserve"> </w:t>
      </w:r>
      <w:r>
        <w:rPr>
          <w:spacing w:val="-9"/>
          <w:sz w:val="21"/>
        </w:rPr>
        <w:t>内真空度下降值，判断试验结果是否符合</w:t>
      </w:r>
      <w:r>
        <w:rPr>
          <w:spacing w:val="-9"/>
          <w:sz w:val="21"/>
        </w:rPr>
        <w:t>4.4.4.2.5.1</w:t>
      </w:r>
      <w:r>
        <w:rPr>
          <w:spacing w:val="-13"/>
          <w:sz w:val="21"/>
        </w:rPr>
        <w:t xml:space="preserve"> </w:t>
      </w:r>
      <w:r>
        <w:rPr>
          <w:spacing w:val="-13"/>
          <w:sz w:val="21"/>
        </w:rPr>
        <w:t>的要求。</w:t>
      </w:r>
      <w:r>
        <w:rPr>
          <w:sz w:val="21"/>
        </w:rPr>
        <w:t xml:space="preserve"> </w:t>
      </w:r>
    </w:p>
    <w:p w14:paraId="17013C94" w14:textId="77777777" w:rsidR="00A71EEF" w:rsidRDefault="0081115D">
      <w:pPr>
        <w:pStyle w:val="a4"/>
        <w:numPr>
          <w:ilvl w:val="5"/>
          <w:numId w:val="759"/>
        </w:numPr>
        <w:tabs>
          <w:tab w:val="left" w:pos="1996"/>
        </w:tabs>
        <w:spacing w:line="446" w:lineRule="auto"/>
        <w:ind w:right="1608" w:firstLine="419"/>
        <w:jc w:val="both"/>
        <w:rPr>
          <w:sz w:val="21"/>
        </w:rPr>
      </w:pPr>
      <w:r>
        <w:rPr>
          <w:spacing w:val="-3"/>
          <w:sz w:val="21"/>
        </w:rPr>
        <w:t>负压式泡沫比例混合器压差试验分别在最小、最大进口压力下以及最小流量值、最大流量值条件下进行。调节负压式泡沫比例混合器的进口压力及流量达到</w:t>
      </w:r>
      <w:r>
        <w:rPr>
          <w:spacing w:val="-3"/>
          <w:sz w:val="21"/>
        </w:rPr>
        <w:t>规定值，稳定</w:t>
      </w:r>
      <w:r>
        <w:rPr>
          <w:spacing w:val="-4"/>
          <w:sz w:val="21"/>
        </w:rPr>
        <w:t>后读取负压式泡沫比例混合器进口压力与出口压力值，判断试验结果是否符合</w:t>
      </w:r>
      <w:r>
        <w:rPr>
          <w:spacing w:val="-4"/>
          <w:sz w:val="21"/>
        </w:rPr>
        <w:t xml:space="preserve"> </w:t>
      </w:r>
      <w:r>
        <w:rPr>
          <w:sz w:val="21"/>
        </w:rPr>
        <w:t>4.4.4.2.5.2</w:t>
      </w:r>
      <w:r>
        <w:rPr>
          <w:spacing w:val="-19"/>
          <w:sz w:val="21"/>
        </w:rPr>
        <w:t xml:space="preserve"> </w:t>
      </w:r>
      <w:r>
        <w:rPr>
          <w:spacing w:val="-19"/>
          <w:sz w:val="21"/>
        </w:rPr>
        <w:t>的</w:t>
      </w:r>
      <w:r>
        <w:rPr>
          <w:spacing w:val="-14"/>
          <w:sz w:val="21"/>
        </w:rPr>
        <w:t>要求。</w:t>
      </w:r>
      <w:r>
        <w:rPr>
          <w:sz w:val="21"/>
        </w:rPr>
        <w:t xml:space="preserve"> </w:t>
      </w:r>
    </w:p>
    <w:p w14:paraId="257DC67F" w14:textId="77777777" w:rsidR="00A71EEF" w:rsidRDefault="0081115D">
      <w:pPr>
        <w:pStyle w:val="a4"/>
        <w:numPr>
          <w:ilvl w:val="4"/>
          <w:numId w:val="759"/>
        </w:numPr>
        <w:tabs>
          <w:tab w:val="left" w:pos="1788"/>
        </w:tabs>
        <w:rPr>
          <w:sz w:val="21"/>
        </w:rPr>
      </w:pPr>
      <w:r>
        <w:rPr>
          <w:spacing w:val="-3"/>
          <w:sz w:val="21"/>
        </w:rPr>
        <w:t>正压式泡沫比例混合器试验</w:t>
      </w:r>
      <w:r>
        <w:rPr>
          <w:sz w:val="21"/>
        </w:rPr>
        <w:t xml:space="preserve"> </w:t>
      </w:r>
    </w:p>
    <w:p w14:paraId="6534A99C" w14:textId="77777777" w:rsidR="00A71EEF" w:rsidRDefault="00A71EEF">
      <w:pPr>
        <w:pStyle w:val="a3"/>
        <w:spacing w:before="11"/>
        <w:rPr>
          <w:sz w:val="17"/>
        </w:rPr>
      </w:pPr>
    </w:p>
    <w:p w14:paraId="305BBDB5" w14:textId="77777777" w:rsidR="00A71EEF" w:rsidRDefault="0081115D">
      <w:pPr>
        <w:pStyle w:val="a4"/>
        <w:numPr>
          <w:ilvl w:val="5"/>
          <w:numId w:val="759"/>
        </w:numPr>
        <w:tabs>
          <w:tab w:val="left" w:pos="1996"/>
        </w:tabs>
        <w:spacing w:before="1" w:line="446" w:lineRule="auto"/>
        <w:ind w:right="1611" w:firstLine="419"/>
        <w:rPr>
          <w:sz w:val="21"/>
        </w:rPr>
      </w:pPr>
      <w:r>
        <w:rPr>
          <w:spacing w:val="-5"/>
          <w:sz w:val="21"/>
        </w:rPr>
        <w:t>査阅泡沫车选用供泡沫液泵的资料，判断试验结果是否符合</w:t>
      </w:r>
      <w:r>
        <w:rPr>
          <w:spacing w:val="-5"/>
          <w:sz w:val="21"/>
        </w:rPr>
        <w:t xml:space="preserve"> </w:t>
      </w:r>
      <w:r>
        <w:rPr>
          <w:sz w:val="21"/>
        </w:rPr>
        <w:t>4.4.4.2.6.1</w:t>
      </w:r>
      <w:r>
        <w:rPr>
          <w:spacing w:val="-25"/>
          <w:sz w:val="21"/>
        </w:rPr>
        <w:t xml:space="preserve"> </w:t>
      </w:r>
      <w:r>
        <w:rPr>
          <w:spacing w:val="-25"/>
          <w:sz w:val="21"/>
        </w:rPr>
        <w:t>的</w:t>
      </w:r>
      <w:r>
        <w:rPr>
          <w:spacing w:val="-18"/>
          <w:sz w:val="21"/>
        </w:rPr>
        <w:t>要求。</w:t>
      </w:r>
      <w:r>
        <w:rPr>
          <w:sz w:val="21"/>
        </w:rPr>
        <w:t xml:space="preserve"> </w:t>
      </w:r>
    </w:p>
    <w:p w14:paraId="4A89A225" w14:textId="77777777" w:rsidR="00A71EEF" w:rsidRDefault="0081115D">
      <w:pPr>
        <w:pStyle w:val="a4"/>
        <w:numPr>
          <w:ilvl w:val="5"/>
          <w:numId w:val="759"/>
        </w:numPr>
        <w:tabs>
          <w:tab w:val="left" w:pos="1996"/>
        </w:tabs>
        <w:ind w:left="1995"/>
        <w:rPr>
          <w:sz w:val="21"/>
        </w:rPr>
      </w:pPr>
      <w:r>
        <w:rPr>
          <w:spacing w:val="-3"/>
          <w:sz w:val="21"/>
        </w:rPr>
        <w:t>对供泡沫液泵的动力源和驱动装置进行检査，判断试验结果是否符合</w:t>
      </w:r>
    </w:p>
    <w:p w14:paraId="1D1E33AB" w14:textId="77777777" w:rsidR="00A71EEF" w:rsidRDefault="00A71EEF">
      <w:pPr>
        <w:pStyle w:val="a3"/>
        <w:spacing w:before="12"/>
        <w:rPr>
          <w:sz w:val="17"/>
        </w:rPr>
      </w:pPr>
    </w:p>
    <w:p w14:paraId="2AB0F2E0" w14:textId="77777777" w:rsidR="00A71EEF" w:rsidRDefault="0081115D">
      <w:pPr>
        <w:pStyle w:val="a4"/>
        <w:numPr>
          <w:ilvl w:val="5"/>
          <w:numId w:val="758"/>
        </w:numPr>
        <w:tabs>
          <w:tab w:val="left" w:pos="1628"/>
        </w:tabs>
        <w:rPr>
          <w:sz w:val="21"/>
        </w:rPr>
      </w:pPr>
      <w:r>
        <w:rPr>
          <w:spacing w:val="-3"/>
          <w:sz w:val="21"/>
        </w:rPr>
        <w:t>的要求。</w:t>
      </w:r>
      <w:r>
        <w:rPr>
          <w:sz w:val="21"/>
        </w:rPr>
        <w:t xml:space="preserve"> </w:t>
      </w:r>
    </w:p>
    <w:p w14:paraId="6162475A" w14:textId="77777777" w:rsidR="00A71EEF" w:rsidRDefault="00A71EEF">
      <w:pPr>
        <w:pStyle w:val="a3"/>
        <w:rPr>
          <w:sz w:val="18"/>
        </w:rPr>
      </w:pPr>
    </w:p>
    <w:p w14:paraId="12582895" w14:textId="77777777" w:rsidR="00A71EEF" w:rsidRDefault="0081115D">
      <w:pPr>
        <w:pStyle w:val="a3"/>
        <w:ind w:left="838"/>
      </w:pPr>
      <w:r>
        <w:t xml:space="preserve">5.4.4.2.6.3 </w:t>
      </w:r>
      <w:r>
        <w:t>查阅企业供泡沫液泵与比例混合系统的资料，判断试验结果是否符合</w:t>
      </w:r>
    </w:p>
    <w:p w14:paraId="5B198A49" w14:textId="77777777" w:rsidR="00A71EEF" w:rsidRDefault="00A71EEF">
      <w:pPr>
        <w:pStyle w:val="a3"/>
        <w:spacing w:before="1"/>
        <w:rPr>
          <w:sz w:val="18"/>
        </w:rPr>
      </w:pPr>
    </w:p>
    <w:p w14:paraId="7DDAE829" w14:textId="77777777" w:rsidR="00A71EEF" w:rsidRDefault="0081115D">
      <w:pPr>
        <w:pStyle w:val="a4"/>
        <w:numPr>
          <w:ilvl w:val="5"/>
          <w:numId w:val="758"/>
        </w:numPr>
        <w:tabs>
          <w:tab w:val="left" w:pos="1628"/>
        </w:tabs>
        <w:spacing w:before="1"/>
        <w:rPr>
          <w:sz w:val="21"/>
        </w:rPr>
      </w:pPr>
      <w:r>
        <w:rPr>
          <w:spacing w:val="-3"/>
          <w:sz w:val="21"/>
        </w:rPr>
        <w:t>的要求。</w:t>
      </w:r>
      <w:r>
        <w:rPr>
          <w:sz w:val="21"/>
        </w:rPr>
        <w:t xml:space="preserve"> </w:t>
      </w:r>
    </w:p>
    <w:p w14:paraId="52095E56" w14:textId="77777777" w:rsidR="00A71EEF" w:rsidRDefault="00A71EEF">
      <w:pPr>
        <w:rPr>
          <w:sz w:val="21"/>
        </w:rPr>
        <w:sectPr w:rsidR="00A71EEF">
          <w:pgSz w:w="11910" w:h="16850"/>
          <w:pgMar w:top="1220" w:right="0" w:bottom="1420" w:left="1260" w:header="0" w:footer="1239" w:gutter="0"/>
          <w:cols w:space="720"/>
        </w:sectPr>
      </w:pPr>
    </w:p>
    <w:p w14:paraId="4C74E361" w14:textId="77777777" w:rsidR="00A71EEF" w:rsidRDefault="0081115D">
      <w:pPr>
        <w:pStyle w:val="a4"/>
        <w:numPr>
          <w:ilvl w:val="5"/>
          <w:numId w:val="757"/>
        </w:numPr>
        <w:tabs>
          <w:tab w:val="left" w:pos="1996"/>
        </w:tabs>
        <w:spacing w:before="47"/>
        <w:rPr>
          <w:sz w:val="21"/>
        </w:rPr>
      </w:pPr>
      <w:r>
        <w:rPr>
          <w:spacing w:val="-5"/>
          <w:sz w:val="21"/>
        </w:rPr>
        <w:lastRenderedPageBreak/>
        <w:t>向供泡沫液泵缓慢加压至泄压阀开启，判断试验结果是否符合</w:t>
      </w:r>
      <w:r>
        <w:rPr>
          <w:spacing w:val="-5"/>
          <w:sz w:val="21"/>
        </w:rPr>
        <w:t xml:space="preserve"> </w:t>
      </w:r>
      <w:r>
        <w:rPr>
          <w:sz w:val="21"/>
        </w:rPr>
        <w:t>4.4.4.2.6.4</w:t>
      </w:r>
    </w:p>
    <w:p w14:paraId="3B43EDC9" w14:textId="77777777" w:rsidR="00A71EEF" w:rsidRDefault="00A71EEF">
      <w:pPr>
        <w:pStyle w:val="a3"/>
        <w:rPr>
          <w:sz w:val="18"/>
        </w:rPr>
      </w:pPr>
    </w:p>
    <w:p w14:paraId="380600ED" w14:textId="77777777" w:rsidR="00A71EEF" w:rsidRDefault="0081115D">
      <w:pPr>
        <w:pStyle w:val="a3"/>
        <w:ind w:left="418"/>
      </w:pPr>
      <w:r>
        <w:t>的要求。</w:t>
      </w:r>
      <w:r>
        <w:t xml:space="preserve"> </w:t>
      </w:r>
    </w:p>
    <w:p w14:paraId="595E53D2" w14:textId="77777777" w:rsidR="00A71EEF" w:rsidRDefault="00A71EEF">
      <w:pPr>
        <w:pStyle w:val="a3"/>
        <w:rPr>
          <w:sz w:val="18"/>
        </w:rPr>
      </w:pPr>
    </w:p>
    <w:p w14:paraId="12C28352" w14:textId="77777777" w:rsidR="00A71EEF" w:rsidRDefault="0081115D">
      <w:pPr>
        <w:pStyle w:val="a4"/>
        <w:numPr>
          <w:ilvl w:val="5"/>
          <w:numId w:val="757"/>
        </w:numPr>
        <w:tabs>
          <w:tab w:val="left" w:pos="1996"/>
        </w:tabs>
        <w:spacing w:line="446" w:lineRule="auto"/>
        <w:ind w:left="418" w:right="1609" w:firstLine="419"/>
        <w:rPr>
          <w:sz w:val="21"/>
        </w:rPr>
      </w:pPr>
      <w:r>
        <w:rPr>
          <w:spacing w:val="-3"/>
          <w:sz w:val="21"/>
        </w:rPr>
        <w:t>当供泡沫液泵运行时，将泡沫液罐内液位降低至供泡沫液泵自动停机，判断</w:t>
      </w:r>
      <w:r>
        <w:rPr>
          <w:spacing w:val="-9"/>
          <w:sz w:val="21"/>
        </w:rPr>
        <w:t>试验结果是否符合</w:t>
      </w:r>
      <w:r>
        <w:rPr>
          <w:spacing w:val="-9"/>
          <w:sz w:val="21"/>
        </w:rPr>
        <w:t xml:space="preserve"> </w:t>
      </w:r>
      <w:r>
        <w:rPr>
          <w:sz w:val="21"/>
        </w:rPr>
        <w:t>4.4.4.2.6.5</w:t>
      </w:r>
      <w:r>
        <w:rPr>
          <w:spacing w:val="-13"/>
          <w:sz w:val="21"/>
        </w:rPr>
        <w:t xml:space="preserve"> </w:t>
      </w:r>
      <w:r>
        <w:rPr>
          <w:spacing w:val="-13"/>
          <w:sz w:val="21"/>
        </w:rPr>
        <w:t>的要求。</w:t>
      </w:r>
      <w:r>
        <w:rPr>
          <w:sz w:val="21"/>
        </w:rPr>
        <w:t xml:space="preserve"> </w:t>
      </w:r>
    </w:p>
    <w:p w14:paraId="4B34A712" w14:textId="77777777" w:rsidR="00A71EEF" w:rsidRDefault="0081115D">
      <w:pPr>
        <w:pStyle w:val="a4"/>
        <w:numPr>
          <w:ilvl w:val="3"/>
          <w:numId w:val="762"/>
        </w:numPr>
        <w:tabs>
          <w:tab w:val="left" w:pos="1576"/>
        </w:tabs>
        <w:rPr>
          <w:sz w:val="21"/>
        </w:rPr>
      </w:pPr>
      <w:r>
        <w:rPr>
          <w:spacing w:val="-3"/>
          <w:sz w:val="21"/>
        </w:rPr>
        <w:t>消防炮试验</w:t>
      </w:r>
      <w:r>
        <w:rPr>
          <w:spacing w:val="-3"/>
          <w:sz w:val="21"/>
        </w:rPr>
        <w:t xml:space="preserve"> </w:t>
      </w:r>
    </w:p>
    <w:p w14:paraId="3DFA45EA" w14:textId="77777777" w:rsidR="00A71EEF" w:rsidRDefault="00A71EEF">
      <w:pPr>
        <w:pStyle w:val="a3"/>
        <w:spacing w:before="12"/>
        <w:rPr>
          <w:sz w:val="17"/>
        </w:rPr>
      </w:pPr>
    </w:p>
    <w:p w14:paraId="4558FCD2" w14:textId="77777777" w:rsidR="00A71EEF" w:rsidRDefault="0081115D">
      <w:pPr>
        <w:pStyle w:val="a4"/>
        <w:numPr>
          <w:ilvl w:val="4"/>
          <w:numId w:val="762"/>
        </w:numPr>
        <w:tabs>
          <w:tab w:val="left" w:pos="1788"/>
        </w:tabs>
        <w:rPr>
          <w:sz w:val="21"/>
        </w:rPr>
      </w:pPr>
      <w:r>
        <w:rPr>
          <w:spacing w:val="-3"/>
          <w:sz w:val="21"/>
        </w:rPr>
        <w:t>泡沫炮或泡沫</w:t>
      </w:r>
      <w:r>
        <w:rPr>
          <w:spacing w:val="-3"/>
          <w:sz w:val="21"/>
        </w:rPr>
        <w:t>/</w:t>
      </w:r>
      <w:r>
        <w:rPr>
          <w:spacing w:val="-3"/>
          <w:sz w:val="21"/>
        </w:rPr>
        <w:t>水两用炮喷射性能试验方法如下：</w:t>
      </w:r>
      <w:r>
        <w:rPr>
          <w:sz w:val="21"/>
        </w:rPr>
        <w:t xml:space="preserve"> </w:t>
      </w:r>
    </w:p>
    <w:p w14:paraId="01E7E3D4" w14:textId="77777777" w:rsidR="00A71EEF" w:rsidRDefault="00A71EEF">
      <w:pPr>
        <w:pStyle w:val="a3"/>
        <w:spacing w:before="2"/>
        <w:rPr>
          <w:sz w:val="18"/>
        </w:rPr>
      </w:pPr>
    </w:p>
    <w:p w14:paraId="381BDFD5" w14:textId="77777777" w:rsidR="00A71EEF" w:rsidRDefault="0081115D">
      <w:pPr>
        <w:pStyle w:val="a4"/>
        <w:numPr>
          <w:ilvl w:val="0"/>
          <w:numId w:val="756"/>
        </w:numPr>
        <w:tabs>
          <w:tab w:val="left" w:pos="1051"/>
        </w:tabs>
        <w:spacing w:line="446" w:lineRule="auto"/>
        <w:ind w:right="1452" w:firstLine="419"/>
        <w:rPr>
          <w:sz w:val="21"/>
        </w:rPr>
      </w:pPr>
      <w:r>
        <w:rPr>
          <w:spacing w:val="-3"/>
          <w:sz w:val="21"/>
        </w:rPr>
        <w:t>泡沫射程测定，泡沫射程的测定应在平坦的场地上进行。试验时在炮的进水口处装一压</w:t>
      </w:r>
      <w:r>
        <w:rPr>
          <w:spacing w:val="-3"/>
          <w:sz w:val="21"/>
        </w:rPr>
        <w:t xml:space="preserve"> </w:t>
      </w:r>
      <w:r>
        <w:rPr>
          <w:spacing w:val="-7"/>
          <w:sz w:val="21"/>
        </w:rPr>
        <w:t>力表，</w:t>
      </w:r>
      <w:r>
        <w:rPr>
          <w:spacing w:val="-7"/>
          <w:sz w:val="21"/>
        </w:rPr>
        <w:t xml:space="preserve"> </w:t>
      </w:r>
      <w:r>
        <w:rPr>
          <w:spacing w:val="-7"/>
          <w:sz w:val="21"/>
        </w:rPr>
        <w:t>压力表精度不低于</w:t>
      </w:r>
      <w:r>
        <w:rPr>
          <w:spacing w:val="-7"/>
          <w:sz w:val="21"/>
        </w:rPr>
        <w:t xml:space="preserve"> </w:t>
      </w:r>
      <w:r>
        <w:rPr>
          <w:sz w:val="21"/>
        </w:rPr>
        <w:t>1.6</w:t>
      </w:r>
      <w:r>
        <w:rPr>
          <w:spacing w:val="-13"/>
          <w:sz w:val="21"/>
        </w:rPr>
        <w:t xml:space="preserve"> </w:t>
      </w:r>
      <w:r>
        <w:rPr>
          <w:spacing w:val="-13"/>
          <w:sz w:val="21"/>
        </w:rPr>
        <w:t>级。消防炮的仰角为</w:t>
      </w:r>
      <w:r>
        <w:rPr>
          <w:spacing w:val="-13"/>
          <w:sz w:val="21"/>
        </w:rPr>
        <w:t xml:space="preserve"> </w:t>
      </w:r>
      <w:r>
        <w:rPr>
          <w:sz w:val="21"/>
        </w:rPr>
        <w:t>30</w:t>
      </w:r>
      <w:r>
        <w:rPr>
          <w:spacing w:val="-16"/>
          <w:sz w:val="21"/>
        </w:rPr>
        <w:t>°</w:t>
      </w:r>
      <w:r>
        <w:rPr>
          <w:spacing w:val="-16"/>
          <w:sz w:val="21"/>
        </w:rPr>
        <w:t>士</w:t>
      </w:r>
      <w:r>
        <w:rPr>
          <w:spacing w:val="-16"/>
          <w:sz w:val="21"/>
        </w:rPr>
        <w:t xml:space="preserve"> </w:t>
      </w:r>
      <w:r>
        <w:rPr>
          <w:sz w:val="21"/>
        </w:rPr>
        <w:t>1</w:t>
      </w:r>
      <w:r>
        <w:rPr>
          <w:spacing w:val="-7"/>
          <w:sz w:val="21"/>
        </w:rPr>
        <w:t>°</w:t>
      </w:r>
      <w:r>
        <w:rPr>
          <w:spacing w:val="-7"/>
          <w:sz w:val="21"/>
        </w:rPr>
        <w:t>，顺风向喷射，风速小于</w:t>
      </w:r>
      <w:r>
        <w:rPr>
          <w:spacing w:val="-7"/>
          <w:sz w:val="21"/>
        </w:rPr>
        <w:t xml:space="preserve"> </w:t>
      </w:r>
      <w:r>
        <w:rPr>
          <w:sz w:val="21"/>
        </w:rPr>
        <w:t>2m/s</w:t>
      </w:r>
      <w:r>
        <w:rPr>
          <w:sz w:val="21"/>
        </w:rPr>
        <w:t>，</w:t>
      </w:r>
      <w:r>
        <w:rPr>
          <w:sz w:val="21"/>
        </w:rPr>
        <w:t xml:space="preserve"> </w:t>
      </w:r>
      <w:r>
        <w:rPr>
          <w:spacing w:val="-5"/>
          <w:sz w:val="21"/>
        </w:rPr>
        <w:t>试验时当消防炮进水口压力达到额定工作压力并稳定后</w:t>
      </w:r>
      <w:r>
        <w:rPr>
          <w:spacing w:val="-5"/>
          <w:sz w:val="21"/>
        </w:rPr>
        <w:t>，用秒表测定不少于</w:t>
      </w:r>
      <w:r>
        <w:rPr>
          <w:spacing w:val="-5"/>
          <w:sz w:val="21"/>
        </w:rPr>
        <w:t xml:space="preserve"> </w:t>
      </w:r>
      <w:r>
        <w:rPr>
          <w:sz w:val="21"/>
        </w:rPr>
        <w:t>10s</w:t>
      </w:r>
      <w:r>
        <w:rPr>
          <w:spacing w:val="-9"/>
          <w:sz w:val="21"/>
        </w:rPr>
        <w:t xml:space="preserve"> </w:t>
      </w:r>
      <w:r>
        <w:rPr>
          <w:spacing w:val="-9"/>
          <w:sz w:val="21"/>
        </w:rPr>
        <w:t>时间连续洒落</w:t>
      </w:r>
      <w:r>
        <w:rPr>
          <w:spacing w:val="-5"/>
          <w:sz w:val="21"/>
        </w:rPr>
        <w:t>泡沫的最远点为射程最远点，以消防炮出口铅垂线与地面交点为原点，最远点至原点之间的直</w:t>
      </w:r>
      <w:r>
        <w:rPr>
          <w:spacing w:val="-5"/>
          <w:sz w:val="21"/>
        </w:rPr>
        <w:t xml:space="preserve"> </w:t>
      </w:r>
      <w:r>
        <w:rPr>
          <w:spacing w:val="-7"/>
          <w:sz w:val="21"/>
        </w:rPr>
        <w:t>线距离即为泡沫的射程。判断试验结果是否符合</w:t>
      </w:r>
      <w:r>
        <w:rPr>
          <w:spacing w:val="-7"/>
          <w:sz w:val="21"/>
        </w:rPr>
        <w:t xml:space="preserve"> </w:t>
      </w:r>
      <w:r>
        <w:rPr>
          <w:sz w:val="21"/>
        </w:rPr>
        <w:t>4.4.4.3.1</w:t>
      </w:r>
      <w:r>
        <w:rPr>
          <w:spacing w:val="-13"/>
          <w:sz w:val="21"/>
        </w:rPr>
        <w:t xml:space="preserve"> </w:t>
      </w:r>
      <w:r>
        <w:rPr>
          <w:spacing w:val="-13"/>
          <w:sz w:val="21"/>
        </w:rPr>
        <w:t>的要求。</w:t>
      </w:r>
      <w:r>
        <w:rPr>
          <w:sz w:val="21"/>
        </w:rPr>
        <w:t xml:space="preserve"> </w:t>
      </w:r>
    </w:p>
    <w:p w14:paraId="2066C17B" w14:textId="77777777" w:rsidR="00A71EEF" w:rsidRDefault="0081115D">
      <w:pPr>
        <w:pStyle w:val="a4"/>
        <w:numPr>
          <w:ilvl w:val="0"/>
          <w:numId w:val="756"/>
        </w:numPr>
        <w:tabs>
          <w:tab w:val="left" w:pos="1051"/>
        </w:tabs>
        <w:spacing w:line="446" w:lineRule="auto"/>
        <w:ind w:right="1560" w:firstLine="419"/>
        <w:rPr>
          <w:sz w:val="21"/>
        </w:rPr>
      </w:pPr>
      <w:r>
        <w:rPr>
          <w:spacing w:val="-4"/>
          <w:sz w:val="21"/>
        </w:rPr>
        <w:t>发泡倍数测定，泡沫挡板采用轻质耐腐蚀金属材料制作，挡板的结构和尺寸见图</w:t>
      </w:r>
      <w:r>
        <w:rPr>
          <w:spacing w:val="-4"/>
          <w:sz w:val="21"/>
        </w:rPr>
        <w:t xml:space="preserve"> </w:t>
      </w:r>
      <w:r>
        <w:rPr>
          <w:sz w:val="21"/>
        </w:rPr>
        <w:t>1</w:t>
      </w:r>
      <w:r>
        <w:rPr>
          <w:spacing w:val="-3"/>
          <w:sz w:val="21"/>
        </w:rPr>
        <w:t>。泡</w:t>
      </w:r>
      <w:r>
        <w:rPr>
          <w:spacing w:val="-5"/>
          <w:sz w:val="21"/>
        </w:rPr>
        <w:t>沫接筒用轻质耐水材料制作，接筒底部装有玻璃开关和玻璃管。接筒结构和尺寸见图</w:t>
      </w:r>
      <w:r>
        <w:rPr>
          <w:spacing w:val="-5"/>
          <w:sz w:val="21"/>
        </w:rPr>
        <w:t xml:space="preserve"> </w:t>
      </w:r>
      <w:r>
        <w:rPr>
          <w:spacing w:val="-3"/>
          <w:sz w:val="21"/>
        </w:rPr>
        <w:t>2</w:t>
      </w:r>
      <w:r>
        <w:rPr>
          <w:spacing w:val="-3"/>
          <w:sz w:val="21"/>
        </w:rPr>
        <w:t>。</w:t>
      </w:r>
      <w:r>
        <w:rPr>
          <w:sz w:val="21"/>
        </w:rPr>
        <w:t xml:space="preserve"> </w:t>
      </w:r>
    </w:p>
    <w:p w14:paraId="211940A9" w14:textId="77777777" w:rsidR="00A71EEF" w:rsidRDefault="0081115D">
      <w:pPr>
        <w:pStyle w:val="a3"/>
        <w:spacing w:line="446" w:lineRule="auto"/>
        <w:ind w:left="418" w:right="1503" w:firstLine="419"/>
      </w:pPr>
      <w:r>
        <w:rPr>
          <w:spacing w:val="-3"/>
        </w:rPr>
        <w:t>试验时调整好泡沫比例混合器的比例，消防炮先向其他方向喷射，待达到额定工作压力并稳定后再转向泡沫挡板，用泡沫接筒接从挡板上流下的泡沫直至泡沫充满接筒并开始记时，用刮片刮去顶部多余的泡沫，擦净外表面，在电子秤上称出盛满泡沫的接筒重量，用式</w:t>
      </w:r>
      <w:r>
        <w:rPr>
          <w:spacing w:val="-3"/>
        </w:rPr>
        <w:t>(</w:t>
      </w:r>
      <w:r>
        <w:t>1</w:t>
      </w:r>
      <w:r>
        <w:rPr>
          <w:spacing w:val="-2"/>
        </w:rPr>
        <w:t>)</w:t>
      </w:r>
      <w:r>
        <w:rPr>
          <w:spacing w:val="-2"/>
        </w:rPr>
        <w:t>计算发</w:t>
      </w:r>
      <w:r>
        <w:rPr>
          <w:spacing w:val="-7"/>
        </w:rPr>
        <w:t>泡倍</w:t>
      </w:r>
      <w:r>
        <w:rPr>
          <w:spacing w:val="-7"/>
        </w:rPr>
        <w:t xml:space="preserve"> </w:t>
      </w:r>
      <w:r>
        <w:rPr>
          <w:spacing w:val="-7"/>
        </w:rPr>
        <w:t>数，判断试验结果是否符合</w:t>
      </w:r>
      <w:r>
        <w:rPr>
          <w:spacing w:val="-7"/>
        </w:rPr>
        <w:t xml:space="preserve"> </w:t>
      </w:r>
      <w:r>
        <w:t>4.4.4.3.1</w:t>
      </w:r>
      <w:r>
        <w:rPr>
          <w:spacing w:val="-12"/>
        </w:rPr>
        <w:t xml:space="preserve"> </w:t>
      </w:r>
      <w:r>
        <w:rPr>
          <w:spacing w:val="-12"/>
        </w:rPr>
        <w:t>的要求。</w:t>
      </w:r>
      <w:r>
        <w:rPr>
          <w:spacing w:val="-12"/>
        </w:rPr>
        <w:t xml:space="preserve"> </w:t>
      </w:r>
    </w:p>
    <w:p w14:paraId="60D256FA" w14:textId="77777777" w:rsidR="00A71EEF" w:rsidRDefault="0081115D">
      <w:pPr>
        <w:pStyle w:val="a3"/>
        <w:spacing w:before="7"/>
        <w:rPr>
          <w:sz w:val="15"/>
        </w:rPr>
      </w:pPr>
      <w:r>
        <w:rPr>
          <w:noProof/>
        </w:rPr>
        <w:drawing>
          <wp:anchor distT="0" distB="0" distL="0" distR="0" simplePos="0" relativeHeight="251506176" behindDoc="0" locked="0" layoutInCell="1" allowOverlap="1" wp14:anchorId="585EA972" wp14:editId="4297675C">
            <wp:simplePos x="0" y="0"/>
            <wp:positionH relativeFrom="page">
              <wp:posOffset>2113279</wp:posOffset>
            </wp:positionH>
            <wp:positionV relativeFrom="paragraph">
              <wp:posOffset>151340</wp:posOffset>
            </wp:positionV>
            <wp:extent cx="3200399" cy="304800"/>
            <wp:effectExtent l="0" t="0" r="0" b="0"/>
            <wp:wrapTopAndBottom/>
            <wp:docPr id="137" name="image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96.jpeg"/>
                    <pic:cNvPicPr/>
                  </pic:nvPicPr>
                  <pic:blipFill>
                    <a:blip r:embed="rId94" cstate="print"/>
                    <a:stretch>
                      <a:fillRect/>
                    </a:stretch>
                  </pic:blipFill>
                  <pic:spPr>
                    <a:xfrm>
                      <a:off x="0" y="0"/>
                      <a:ext cx="3200399" cy="304800"/>
                    </a:xfrm>
                    <a:prstGeom prst="rect">
                      <a:avLst/>
                    </a:prstGeom>
                  </pic:spPr>
                </pic:pic>
              </a:graphicData>
            </a:graphic>
          </wp:anchor>
        </w:drawing>
      </w:r>
    </w:p>
    <w:p w14:paraId="005FAEE2" w14:textId="77777777" w:rsidR="00A71EEF" w:rsidRDefault="00A71EEF">
      <w:pPr>
        <w:pStyle w:val="a3"/>
        <w:rPr>
          <w:sz w:val="20"/>
        </w:rPr>
      </w:pPr>
    </w:p>
    <w:p w14:paraId="71C4C374" w14:textId="77777777" w:rsidR="00A71EEF" w:rsidRDefault="00A71EEF">
      <w:pPr>
        <w:pStyle w:val="a3"/>
        <w:spacing w:before="5"/>
        <w:rPr>
          <w:sz w:val="25"/>
        </w:rPr>
      </w:pPr>
    </w:p>
    <w:p w14:paraId="248B318E" w14:textId="77777777" w:rsidR="00A71EEF" w:rsidRDefault="0081115D">
      <w:pPr>
        <w:pStyle w:val="a3"/>
        <w:spacing w:before="72" w:line="429" w:lineRule="auto"/>
        <w:ind w:left="418" w:right="1602" w:firstLine="419"/>
        <w:jc w:val="both"/>
      </w:pPr>
      <w:r>
        <w:rPr>
          <w:position w:val="1"/>
        </w:rPr>
        <w:t>式中，</w:t>
      </w:r>
      <w:r>
        <w:rPr>
          <w:i/>
          <w:position w:val="1"/>
          <w:sz w:val="22"/>
        </w:rPr>
        <w:t>N</w:t>
      </w:r>
      <w:r>
        <w:rPr>
          <w:i/>
          <w:spacing w:val="-48"/>
          <w:position w:val="1"/>
          <w:sz w:val="22"/>
        </w:rPr>
        <w:t xml:space="preserve"> </w:t>
      </w:r>
      <w:r>
        <w:rPr>
          <w:spacing w:val="-3"/>
          <w:position w:val="1"/>
        </w:rPr>
        <w:t>为发泡倍数；</w:t>
      </w:r>
      <w:r>
        <w:rPr>
          <w:i/>
          <w:position w:val="1"/>
          <w:sz w:val="22"/>
        </w:rPr>
        <w:t>V</w:t>
      </w:r>
      <w:r>
        <w:rPr>
          <w:sz w:val="11"/>
        </w:rPr>
        <w:t>c</w:t>
      </w:r>
      <w:r>
        <w:rPr>
          <w:spacing w:val="-23"/>
          <w:sz w:val="11"/>
        </w:rPr>
        <w:t xml:space="preserve"> </w:t>
      </w:r>
      <w:r>
        <w:rPr>
          <w:spacing w:val="-3"/>
          <w:position w:val="1"/>
        </w:rPr>
        <w:t>为泡沫接受器的容积，单位为立方厘米</w:t>
      </w:r>
      <w:r>
        <w:rPr>
          <w:position w:val="1"/>
        </w:rPr>
        <w:t>(cm³)</w:t>
      </w:r>
      <w:r>
        <w:rPr>
          <w:position w:val="1"/>
        </w:rPr>
        <w:t>；</w:t>
      </w:r>
      <w:r>
        <w:rPr>
          <w:i/>
          <w:position w:val="1"/>
          <w:sz w:val="22"/>
        </w:rPr>
        <w:t>W</w:t>
      </w:r>
      <w:r>
        <w:rPr>
          <w:sz w:val="11"/>
        </w:rPr>
        <w:t>p</w:t>
      </w:r>
      <w:r>
        <w:rPr>
          <w:spacing w:val="-26"/>
          <w:sz w:val="11"/>
        </w:rPr>
        <w:t xml:space="preserve"> </w:t>
      </w:r>
      <w:r>
        <w:rPr>
          <w:spacing w:val="-3"/>
          <w:position w:val="1"/>
        </w:rPr>
        <w:t>为泡沫接受器装满泡沫时的总质量，单位为克</w:t>
      </w:r>
      <w:r>
        <w:rPr>
          <w:spacing w:val="-3"/>
          <w:position w:val="1"/>
        </w:rPr>
        <w:t>(</w:t>
      </w:r>
      <w:r>
        <w:rPr>
          <w:position w:val="1"/>
        </w:rPr>
        <w:t>g)</w:t>
      </w:r>
      <w:r>
        <w:rPr>
          <w:position w:val="1"/>
        </w:rPr>
        <w:t>；</w:t>
      </w:r>
      <w:r>
        <w:rPr>
          <w:i/>
          <w:position w:val="1"/>
          <w:sz w:val="22"/>
        </w:rPr>
        <w:t>W</w:t>
      </w:r>
      <w:r>
        <w:rPr>
          <w:sz w:val="11"/>
        </w:rPr>
        <w:t>e</w:t>
      </w:r>
      <w:r>
        <w:rPr>
          <w:spacing w:val="-24"/>
          <w:sz w:val="11"/>
        </w:rPr>
        <w:t xml:space="preserve"> </w:t>
      </w:r>
      <w:r>
        <w:rPr>
          <w:spacing w:val="-3"/>
          <w:position w:val="1"/>
        </w:rPr>
        <w:t>为泡沫接受器质量，单位为克</w:t>
      </w:r>
      <w:r>
        <w:rPr>
          <w:position w:val="1"/>
        </w:rPr>
        <w:t>(g)</w:t>
      </w:r>
      <w:r>
        <w:rPr>
          <w:position w:val="1"/>
        </w:rPr>
        <w:t>；</w:t>
      </w:r>
      <w:r>
        <w:rPr>
          <w:i/>
          <w:position w:val="1"/>
          <w:sz w:val="22"/>
        </w:rPr>
        <w:t>ρ</w:t>
      </w:r>
      <w:r>
        <w:rPr>
          <w:spacing w:val="-3"/>
          <w:position w:val="1"/>
        </w:rPr>
        <w:t>为混合液的密度，</w:t>
      </w:r>
      <w:r>
        <w:rPr>
          <w:spacing w:val="-3"/>
          <w:position w:val="1"/>
        </w:rPr>
        <w:t xml:space="preserve"> </w:t>
      </w:r>
      <w:r>
        <w:rPr>
          <w:spacing w:val="-28"/>
        </w:rPr>
        <w:t>取</w:t>
      </w:r>
      <w:r>
        <w:rPr>
          <w:spacing w:val="-28"/>
        </w:rPr>
        <w:t xml:space="preserve"> </w:t>
      </w:r>
      <w:r>
        <w:t>1.0g/cm³</w:t>
      </w:r>
      <w:r>
        <w:rPr>
          <w:spacing w:val="-3"/>
        </w:rPr>
        <w:t>。</w:t>
      </w:r>
      <w:r>
        <w:t xml:space="preserve"> </w:t>
      </w:r>
    </w:p>
    <w:p w14:paraId="0AF8D28E" w14:textId="77777777" w:rsidR="00A71EEF" w:rsidRDefault="00A71EEF">
      <w:pPr>
        <w:spacing w:line="429" w:lineRule="auto"/>
        <w:jc w:val="both"/>
        <w:sectPr w:rsidR="00A71EEF">
          <w:pgSz w:w="11910" w:h="16850"/>
          <w:pgMar w:top="1220" w:right="0" w:bottom="1420" w:left="1260" w:header="0" w:footer="1239" w:gutter="0"/>
          <w:cols w:space="720"/>
        </w:sectPr>
      </w:pPr>
    </w:p>
    <w:p w14:paraId="06B24D62" w14:textId="77777777" w:rsidR="00A71EEF" w:rsidRDefault="0081115D">
      <w:pPr>
        <w:pStyle w:val="a3"/>
        <w:ind w:left="1888"/>
        <w:rPr>
          <w:sz w:val="20"/>
        </w:rPr>
      </w:pPr>
      <w:r>
        <w:rPr>
          <w:noProof/>
          <w:sz w:val="20"/>
        </w:rPr>
        <w:lastRenderedPageBreak/>
        <w:drawing>
          <wp:inline distT="0" distB="0" distL="0" distR="0" wp14:anchorId="4565124F" wp14:editId="517C2B07">
            <wp:extent cx="4059969" cy="657225"/>
            <wp:effectExtent l="0" t="0" r="0" b="0"/>
            <wp:docPr id="139" name="image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97.jpeg"/>
                    <pic:cNvPicPr/>
                  </pic:nvPicPr>
                  <pic:blipFill>
                    <a:blip r:embed="rId95" cstate="print"/>
                    <a:stretch>
                      <a:fillRect/>
                    </a:stretch>
                  </pic:blipFill>
                  <pic:spPr>
                    <a:xfrm>
                      <a:off x="0" y="0"/>
                      <a:ext cx="4059969" cy="657225"/>
                    </a:xfrm>
                    <a:prstGeom prst="rect">
                      <a:avLst/>
                    </a:prstGeom>
                  </pic:spPr>
                </pic:pic>
              </a:graphicData>
            </a:graphic>
          </wp:inline>
        </w:drawing>
      </w:r>
    </w:p>
    <w:p w14:paraId="014F5A22" w14:textId="77777777" w:rsidR="00A71EEF" w:rsidRDefault="0081115D">
      <w:pPr>
        <w:pStyle w:val="a3"/>
        <w:spacing w:before="7"/>
        <w:rPr>
          <w:sz w:val="17"/>
        </w:rPr>
      </w:pPr>
      <w:r>
        <w:rPr>
          <w:noProof/>
        </w:rPr>
        <w:drawing>
          <wp:anchor distT="0" distB="0" distL="0" distR="0" simplePos="0" relativeHeight="251507200" behindDoc="0" locked="0" layoutInCell="1" allowOverlap="1" wp14:anchorId="238B8C94" wp14:editId="3B9CC5DC">
            <wp:simplePos x="0" y="0"/>
            <wp:positionH relativeFrom="page">
              <wp:posOffset>2071063</wp:posOffset>
            </wp:positionH>
            <wp:positionV relativeFrom="paragraph">
              <wp:posOffset>167767</wp:posOffset>
            </wp:positionV>
            <wp:extent cx="3454626" cy="1842516"/>
            <wp:effectExtent l="0" t="0" r="0" b="0"/>
            <wp:wrapTopAndBottom/>
            <wp:docPr id="141" name="image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98.jpeg"/>
                    <pic:cNvPicPr/>
                  </pic:nvPicPr>
                  <pic:blipFill>
                    <a:blip r:embed="rId96" cstate="print"/>
                    <a:stretch>
                      <a:fillRect/>
                    </a:stretch>
                  </pic:blipFill>
                  <pic:spPr>
                    <a:xfrm>
                      <a:off x="0" y="0"/>
                      <a:ext cx="3454626" cy="1842516"/>
                    </a:xfrm>
                    <a:prstGeom prst="rect">
                      <a:avLst/>
                    </a:prstGeom>
                  </pic:spPr>
                </pic:pic>
              </a:graphicData>
            </a:graphic>
          </wp:anchor>
        </w:drawing>
      </w:r>
    </w:p>
    <w:p w14:paraId="5C41804C" w14:textId="77777777" w:rsidR="00A71EEF" w:rsidRDefault="00A71EEF">
      <w:pPr>
        <w:pStyle w:val="a3"/>
        <w:spacing w:before="10"/>
        <w:rPr>
          <w:sz w:val="7"/>
        </w:rPr>
      </w:pPr>
    </w:p>
    <w:p w14:paraId="57E3DB6B" w14:textId="77777777" w:rsidR="00A71EEF" w:rsidRDefault="0081115D">
      <w:pPr>
        <w:pStyle w:val="a3"/>
        <w:spacing w:before="72" w:line="446" w:lineRule="auto"/>
        <w:ind w:left="418" w:right="1558" w:firstLine="419"/>
        <w:jc w:val="both"/>
      </w:pPr>
      <w:r>
        <w:t>c</w:t>
      </w:r>
      <w:r>
        <w:t>）</w:t>
      </w:r>
      <w:r>
        <w:t>25</w:t>
      </w:r>
      <w:r>
        <w:rPr>
          <w:spacing w:val="-5"/>
        </w:rPr>
        <w:t>%</w:t>
      </w:r>
      <w:r>
        <w:rPr>
          <w:spacing w:val="-5"/>
        </w:rPr>
        <w:t>析液时间的测定，将量杯放在衡器</w:t>
      </w:r>
      <w:r>
        <w:rPr>
          <w:spacing w:val="-5"/>
        </w:rPr>
        <w:t>(</w:t>
      </w:r>
      <w:r>
        <w:rPr>
          <w:spacing w:val="-5"/>
        </w:rPr>
        <w:t>精确到</w:t>
      </w:r>
      <w:r>
        <w:rPr>
          <w:spacing w:val="-5"/>
        </w:rPr>
        <w:t xml:space="preserve"> </w:t>
      </w:r>
      <w:r>
        <w:t>1g</w:t>
      </w:r>
      <w:r>
        <w:rPr>
          <w:spacing w:val="-3"/>
        </w:rPr>
        <w:t>)</w:t>
      </w:r>
      <w:r>
        <w:rPr>
          <w:spacing w:val="-3"/>
        </w:rPr>
        <w:t>上去皮。将盛有泡沫的泡沫接筒放在支架上，打开底部开关使析出液体流入量杯内，当量杯内的泡沫混合液量等于时，停止计时，</w:t>
      </w:r>
      <w:r>
        <w:rPr>
          <w:spacing w:val="-3"/>
        </w:rPr>
        <w:t xml:space="preserve"> </w:t>
      </w:r>
      <w:r>
        <w:rPr>
          <w:spacing w:val="-7"/>
        </w:rPr>
        <w:t>计时器示的时间就是泡沫</w:t>
      </w:r>
      <w:r>
        <w:rPr>
          <w:spacing w:val="-7"/>
        </w:rPr>
        <w:t xml:space="preserve"> </w:t>
      </w:r>
      <w:r>
        <w:t>25%</w:t>
      </w:r>
      <w:r>
        <w:rPr>
          <w:spacing w:val="-6"/>
        </w:rPr>
        <w:t>析液时间，判断试验结果是否符合</w:t>
      </w:r>
      <w:r>
        <w:rPr>
          <w:spacing w:val="-6"/>
        </w:rPr>
        <w:t xml:space="preserve"> </w:t>
      </w:r>
      <w:r>
        <w:t>4.4.4.3.1</w:t>
      </w:r>
      <w:r>
        <w:rPr>
          <w:spacing w:val="-9"/>
        </w:rPr>
        <w:t xml:space="preserve"> </w:t>
      </w:r>
      <w:r>
        <w:rPr>
          <w:spacing w:val="-9"/>
        </w:rPr>
        <w:t>的要求。按式</w:t>
      </w:r>
      <w:r>
        <w:t>（</w:t>
      </w:r>
      <w:r>
        <w:t xml:space="preserve">2) </w:t>
      </w:r>
      <w:r>
        <w:rPr>
          <w:spacing w:val="-1"/>
        </w:rPr>
        <w:t>计算：</w:t>
      </w:r>
      <w:r>
        <w:t xml:space="preserve"> </w:t>
      </w:r>
    </w:p>
    <w:p w14:paraId="5B658E2E" w14:textId="77777777" w:rsidR="00A71EEF" w:rsidRDefault="0081115D">
      <w:pPr>
        <w:pStyle w:val="a3"/>
        <w:spacing w:before="5"/>
        <w:rPr>
          <w:sz w:val="12"/>
        </w:rPr>
      </w:pPr>
      <w:r>
        <w:rPr>
          <w:noProof/>
        </w:rPr>
        <w:drawing>
          <wp:anchor distT="0" distB="0" distL="0" distR="0" simplePos="0" relativeHeight="251508224" behindDoc="0" locked="0" layoutInCell="1" allowOverlap="1" wp14:anchorId="085F5654" wp14:editId="4C7F79FB">
            <wp:simplePos x="0" y="0"/>
            <wp:positionH relativeFrom="page">
              <wp:posOffset>2237104</wp:posOffset>
            </wp:positionH>
            <wp:positionV relativeFrom="paragraph">
              <wp:posOffset>125658</wp:posOffset>
            </wp:positionV>
            <wp:extent cx="2971799" cy="1676400"/>
            <wp:effectExtent l="0" t="0" r="0" b="0"/>
            <wp:wrapTopAndBottom/>
            <wp:docPr id="143" name="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99.jpeg"/>
                    <pic:cNvPicPr/>
                  </pic:nvPicPr>
                  <pic:blipFill>
                    <a:blip r:embed="rId97" cstate="print"/>
                    <a:stretch>
                      <a:fillRect/>
                    </a:stretch>
                  </pic:blipFill>
                  <pic:spPr>
                    <a:xfrm>
                      <a:off x="0" y="0"/>
                      <a:ext cx="2971799" cy="1676400"/>
                    </a:xfrm>
                    <a:prstGeom prst="rect">
                      <a:avLst/>
                    </a:prstGeom>
                  </pic:spPr>
                </pic:pic>
              </a:graphicData>
            </a:graphic>
          </wp:anchor>
        </w:drawing>
      </w:r>
    </w:p>
    <w:p w14:paraId="620C73A5" w14:textId="77777777" w:rsidR="00A71EEF" w:rsidRDefault="00A71EEF">
      <w:pPr>
        <w:pStyle w:val="a3"/>
        <w:spacing w:before="1"/>
        <w:rPr>
          <w:sz w:val="15"/>
        </w:rPr>
      </w:pPr>
    </w:p>
    <w:p w14:paraId="12BD613A" w14:textId="77777777" w:rsidR="00A71EEF" w:rsidRDefault="0081115D">
      <w:pPr>
        <w:pStyle w:val="a3"/>
        <w:ind w:left="838"/>
      </w:pPr>
      <w:r>
        <w:t xml:space="preserve">d) </w:t>
      </w:r>
      <w:r>
        <w:t>温度修正，对泡沫灭火剂应进行温度修正如下：</w:t>
      </w:r>
      <w:r>
        <w:t xml:space="preserve"> </w:t>
      </w:r>
    </w:p>
    <w:p w14:paraId="0647B136" w14:textId="77777777" w:rsidR="00A71EEF" w:rsidRDefault="00A71EEF">
      <w:pPr>
        <w:pStyle w:val="a3"/>
        <w:rPr>
          <w:sz w:val="18"/>
        </w:rPr>
      </w:pPr>
    </w:p>
    <w:p w14:paraId="07660E82" w14:textId="77777777" w:rsidR="00A71EEF" w:rsidRDefault="0081115D">
      <w:pPr>
        <w:pStyle w:val="a3"/>
        <w:spacing w:line="446" w:lineRule="auto"/>
        <w:ind w:left="418" w:right="1507" w:firstLine="419"/>
      </w:pPr>
      <w:r>
        <w:rPr>
          <w:spacing w:val="-6"/>
        </w:rPr>
        <w:t>——</w:t>
      </w:r>
      <w:r>
        <w:rPr>
          <w:spacing w:val="-6"/>
        </w:rPr>
        <w:t>发泡倍数：当混合液温度大于</w:t>
      </w:r>
      <w:r>
        <w:rPr>
          <w:spacing w:val="-6"/>
        </w:rPr>
        <w:t xml:space="preserve"> </w:t>
      </w:r>
      <w:r>
        <w:t>20</w:t>
      </w:r>
      <w:r>
        <w:rPr>
          <w:spacing w:val="-6"/>
        </w:rPr>
        <w:t>℃</w:t>
      </w:r>
      <w:r>
        <w:rPr>
          <w:spacing w:val="-6"/>
        </w:rPr>
        <w:t>，不作修正；当混合液温度小于</w:t>
      </w:r>
      <w:r>
        <w:rPr>
          <w:spacing w:val="-6"/>
        </w:rPr>
        <w:t xml:space="preserve"> </w:t>
      </w:r>
      <w:r>
        <w:t>20</w:t>
      </w:r>
      <w:r>
        <w:rPr>
          <w:spacing w:val="-2"/>
        </w:rPr>
        <w:t>℃</w:t>
      </w:r>
      <w:r>
        <w:rPr>
          <w:spacing w:val="-2"/>
        </w:rPr>
        <w:t>时，温度每降</w:t>
      </w:r>
      <w:r>
        <w:rPr>
          <w:spacing w:val="-28"/>
        </w:rPr>
        <w:t>低</w:t>
      </w:r>
      <w:r>
        <w:rPr>
          <w:spacing w:val="-28"/>
        </w:rPr>
        <w:t xml:space="preserve"> </w:t>
      </w:r>
      <w:r>
        <w:t>1.7</w:t>
      </w:r>
      <w:r>
        <w:rPr>
          <w:spacing w:val="-8"/>
        </w:rPr>
        <w:t>℃</w:t>
      </w:r>
      <w:r>
        <w:rPr>
          <w:spacing w:val="-8"/>
        </w:rPr>
        <w:t>，发泡倍数应增加</w:t>
      </w:r>
      <w:r>
        <w:rPr>
          <w:spacing w:val="-8"/>
        </w:rPr>
        <w:t xml:space="preserve"> </w:t>
      </w:r>
      <w:r>
        <w:t>0.1</w:t>
      </w:r>
      <w:r>
        <w:t>；</w:t>
      </w:r>
      <w:r>
        <w:t xml:space="preserve"> </w:t>
      </w:r>
    </w:p>
    <w:p w14:paraId="714732F1" w14:textId="77777777" w:rsidR="00A71EEF" w:rsidRDefault="0081115D">
      <w:pPr>
        <w:pStyle w:val="a3"/>
        <w:spacing w:line="446" w:lineRule="auto"/>
        <w:ind w:left="418" w:right="1560" w:firstLine="419"/>
      </w:pPr>
      <w:r>
        <w:rPr>
          <w:spacing w:val="-6"/>
        </w:rPr>
        <w:t>——</w:t>
      </w:r>
      <w:r>
        <w:rPr>
          <w:spacing w:val="-6"/>
        </w:rPr>
        <w:t>析液时间：当混合液温度大于</w:t>
      </w:r>
      <w:r>
        <w:rPr>
          <w:spacing w:val="-6"/>
        </w:rPr>
        <w:t xml:space="preserve"> </w:t>
      </w:r>
      <w:r>
        <w:t>20</w:t>
      </w:r>
      <w:r>
        <w:rPr>
          <w:spacing w:val="-9"/>
        </w:rPr>
        <w:t>℃</w:t>
      </w:r>
      <w:r>
        <w:rPr>
          <w:spacing w:val="-9"/>
        </w:rPr>
        <w:t>，温度每升髙</w:t>
      </w:r>
      <w:r>
        <w:rPr>
          <w:spacing w:val="-9"/>
        </w:rPr>
        <w:t xml:space="preserve"> </w:t>
      </w:r>
      <w:r>
        <w:t>1.7</w:t>
      </w:r>
      <w:r>
        <w:rPr>
          <w:spacing w:val="-7"/>
        </w:rPr>
        <w:t>℃</w:t>
      </w:r>
      <w:r>
        <w:rPr>
          <w:spacing w:val="-7"/>
        </w:rPr>
        <w:t>，析液时间增加</w:t>
      </w:r>
      <w:r>
        <w:rPr>
          <w:spacing w:val="-7"/>
        </w:rPr>
        <w:t xml:space="preserve"> </w:t>
      </w:r>
      <w:r>
        <w:t>0.1min</w:t>
      </w:r>
      <w:r>
        <w:rPr>
          <w:spacing w:val="-2"/>
        </w:rPr>
        <w:t>；当混</w:t>
      </w:r>
      <w:r>
        <w:rPr>
          <w:spacing w:val="-10"/>
        </w:rPr>
        <w:t>合液温度</w:t>
      </w:r>
      <w:r>
        <w:rPr>
          <w:spacing w:val="-10"/>
        </w:rPr>
        <w:t xml:space="preserve"> </w:t>
      </w:r>
      <w:r>
        <w:rPr>
          <w:spacing w:val="-10"/>
        </w:rPr>
        <w:t>小于</w:t>
      </w:r>
      <w:r>
        <w:rPr>
          <w:spacing w:val="-10"/>
        </w:rPr>
        <w:t xml:space="preserve"> </w:t>
      </w:r>
      <w:r>
        <w:t>20</w:t>
      </w:r>
      <w:r>
        <w:rPr>
          <w:spacing w:val="-9"/>
        </w:rPr>
        <w:t>℃</w:t>
      </w:r>
      <w:r>
        <w:rPr>
          <w:spacing w:val="-9"/>
        </w:rPr>
        <w:t>，温度每降低</w:t>
      </w:r>
      <w:r>
        <w:rPr>
          <w:spacing w:val="-9"/>
        </w:rPr>
        <w:t xml:space="preserve"> </w:t>
      </w:r>
      <w:r>
        <w:t>1.7</w:t>
      </w:r>
      <w:r>
        <w:rPr>
          <w:spacing w:val="-9"/>
        </w:rPr>
        <w:t>℃</w:t>
      </w:r>
      <w:r>
        <w:rPr>
          <w:spacing w:val="-9"/>
        </w:rPr>
        <w:t>，析液时间减少</w:t>
      </w:r>
      <w:r>
        <w:rPr>
          <w:spacing w:val="-9"/>
        </w:rPr>
        <w:t xml:space="preserve"> </w:t>
      </w:r>
      <w:r>
        <w:t>0.1min</w:t>
      </w:r>
      <w:r>
        <w:rPr>
          <w:spacing w:val="-3"/>
        </w:rPr>
        <w:t>。</w:t>
      </w:r>
      <w:r>
        <w:t xml:space="preserve"> </w:t>
      </w:r>
    </w:p>
    <w:p w14:paraId="537A3DB6" w14:textId="77777777" w:rsidR="00A71EEF" w:rsidRDefault="0081115D">
      <w:pPr>
        <w:pStyle w:val="a4"/>
        <w:numPr>
          <w:ilvl w:val="4"/>
          <w:numId w:val="762"/>
        </w:numPr>
        <w:tabs>
          <w:tab w:val="left" w:pos="1788"/>
        </w:tabs>
        <w:spacing w:line="446" w:lineRule="auto"/>
        <w:ind w:left="418" w:right="1611" w:firstLine="419"/>
        <w:rPr>
          <w:sz w:val="21"/>
        </w:rPr>
      </w:pPr>
      <w:r>
        <w:rPr>
          <w:spacing w:val="-5"/>
          <w:sz w:val="21"/>
        </w:rPr>
        <w:t>用角度仪测量车载炮的俯仰角和回转角，判断试验结果是否符合</w:t>
      </w:r>
      <w:r>
        <w:rPr>
          <w:spacing w:val="-5"/>
          <w:sz w:val="21"/>
        </w:rPr>
        <w:t xml:space="preserve"> </w:t>
      </w:r>
      <w:r>
        <w:rPr>
          <w:sz w:val="21"/>
        </w:rPr>
        <w:t>4.4.4.3.2</w:t>
      </w:r>
      <w:r>
        <w:rPr>
          <w:spacing w:val="-23"/>
          <w:sz w:val="21"/>
        </w:rPr>
        <w:t xml:space="preserve"> </w:t>
      </w:r>
      <w:r>
        <w:rPr>
          <w:spacing w:val="-23"/>
          <w:sz w:val="21"/>
        </w:rPr>
        <w:t>的</w:t>
      </w:r>
      <w:r>
        <w:rPr>
          <w:spacing w:val="-17"/>
          <w:sz w:val="21"/>
        </w:rPr>
        <w:t>要求。</w:t>
      </w:r>
      <w:r>
        <w:rPr>
          <w:sz w:val="21"/>
        </w:rPr>
        <w:t xml:space="preserve"> </w:t>
      </w:r>
    </w:p>
    <w:p w14:paraId="139E5A31" w14:textId="77777777" w:rsidR="00A71EEF" w:rsidRDefault="0081115D">
      <w:pPr>
        <w:pStyle w:val="a4"/>
        <w:numPr>
          <w:ilvl w:val="4"/>
          <w:numId w:val="762"/>
        </w:numPr>
        <w:tabs>
          <w:tab w:val="left" w:pos="1788"/>
        </w:tabs>
        <w:spacing w:line="267" w:lineRule="exact"/>
        <w:rPr>
          <w:sz w:val="21"/>
        </w:rPr>
      </w:pPr>
      <w:r>
        <w:rPr>
          <w:spacing w:val="-6"/>
          <w:sz w:val="21"/>
        </w:rPr>
        <w:t>目测检查车顶炮进水管路，判断试验结果是否符合</w:t>
      </w:r>
      <w:r>
        <w:rPr>
          <w:spacing w:val="-6"/>
          <w:sz w:val="21"/>
        </w:rPr>
        <w:t xml:space="preserve"> </w:t>
      </w:r>
      <w:r>
        <w:rPr>
          <w:sz w:val="21"/>
        </w:rPr>
        <w:t>4.4.4.3.3</w:t>
      </w:r>
      <w:r>
        <w:rPr>
          <w:spacing w:val="-12"/>
          <w:sz w:val="21"/>
        </w:rPr>
        <w:t xml:space="preserve"> </w:t>
      </w:r>
      <w:r>
        <w:rPr>
          <w:spacing w:val="-12"/>
          <w:sz w:val="21"/>
        </w:rPr>
        <w:t>的要求。</w:t>
      </w:r>
      <w:r>
        <w:rPr>
          <w:spacing w:val="-12"/>
          <w:sz w:val="21"/>
        </w:rPr>
        <w:t xml:space="preserve"> </w:t>
      </w:r>
    </w:p>
    <w:p w14:paraId="3CF6D2EE" w14:textId="77777777" w:rsidR="00A71EEF" w:rsidRDefault="00A71EEF">
      <w:pPr>
        <w:spacing w:line="267" w:lineRule="exact"/>
        <w:rPr>
          <w:sz w:val="21"/>
        </w:rPr>
        <w:sectPr w:rsidR="00A71EEF">
          <w:pgSz w:w="11910" w:h="16850"/>
          <w:pgMar w:top="1600" w:right="0" w:bottom="1420" w:left="1260" w:header="0" w:footer="1239" w:gutter="0"/>
          <w:cols w:space="720"/>
        </w:sectPr>
      </w:pPr>
    </w:p>
    <w:p w14:paraId="6406D916" w14:textId="77777777" w:rsidR="00A71EEF" w:rsidRDefault="0081115D">
      <w:pPr>
        <w:pStyle w:val="a4"/>
        <w:numPr>
          <w:ilvl w:val="4"/>
          <w:numId w:val="762"/>
        </w:numPr>
        <w:tabs>
          <w:tab w:val="left" w:pos="1788"/>
        </w:tabs>
        <w:spacing w:before="47" w:line="446" w:lineRule="auto"/>
        <w:ind w:left="418" w:right="1609" w:firstLine="419"/>
        <w:rPr>
          <w:sz w:val="21"/>
        </w:rPr>
      </w:pPr>
      <w:r>
        <w:rPr>
          <w:spacing w:val="-3"/>
          <w:sz w:val="21"/>
        </w:rPr>
        <w:lastRenderedPageBreak/>
        <w:t>检查车顶炮的锁紧机构和支撑机构，车前炮的锁紧</w:t>
      </w:r>
      <w:r>
        <w:rPr>
          <w:spacing w:val="-3"/>
          <w:sz w:val="21"/>
        </w:rPr>
        <w:t>机构，判断试验结果是否符</w:t>
      </w:r>
      <w:r>
        <w:rPr>
          <w:spacing w:val="-28"/>
          <w:sz w:val="21"/>
        </w:rPr>
        <w:t>合</w:t>
      </w:r>
      <w:r>
        <w:rPr>
          <w:spacing w:val="-28"/>
          <w:sz w:val="21"/>
        </w:rPr>
        <w:t xml:space="preserve"> </w:t>
      </w:r>
      <w:r>
        <w:rPr>
          <w:sz w:val="21"/>
        </w:rPr>
        <w:t>4.4.4.3.4</w:t>
      </w:r>
      <w:r>
        <w:rPr>
          <w:spacing w:val="-13"/>
          <w:sz w:val="21"/>
        </w:rPr>
        <w:t xml:space="preserve"> </w:t>
      </w:r>
      <w:r>
        <w:rPr>
          <w:spacing w:val="-13"/>
          <w:sz w:val="21"/>
        </w:rPr>
        <w:t>的要求。</w:t>
      </w:r>
      <w:r>
        <w:rPr>
          <w:sz w:val="21"/>
        </w:rPr>
        <w:t xml:space="preserve"> </w:t>
      </w:r>
    </w:p>
    <w:p w14:paraId="75C31F05" w14:textId="77777777" w:rsidR="00A71EEF" w:rsidRDefault="0081115D">
      <w:pPr>
        <w:pStyle w:val="a4"/>
        <w:numPr>
          <w:ilvl w:val="4"/>
          <w:numId w:val="762"/>
        </w:numPr>
        <w:tabs>
          <w:tab w:val="left" w:pos="1788"/>
        </w:tabs>
        <w:spacing w:line="446" w:lineRule="auto"/>
        <w:ind w:left="418" w:right="1609" w:firstLine="419"/>
        <w:rPr>
          <w:sz w:val="21"/>
        </w:rPr>
      </w:pPr>
      <w:r>
        <w:rPr>
          <w:spacing w:val="-3"/>
          <w:sz w:val="21"/>
        </w:rPr>
        <w:t>消防炮采用无线遥控时，检查泡沫车其他控制系统和通信系统，判断试验结果是否符合</w:t>
      </w:r>
      <w:r>
        <w:rPr>
          <w:spacing w:val="-3"/>
          <w:sz w:val="21"/>
        </w:rPr>
        <w:t xml:space="preserve"> </w:t>
      </w:r>
      <w:r>
        <w:rPr>
          <w:sz w:val="21"/>
        </w:rPr>
        <w:t>4.4.4.3.5</w:t>
      </w:r>
      <w:r>
        <w:rPr>
          <w:spacing w:val="-3"/>
          <w:sz w:val="21"/>
        </w:rPr>
        <w:t xml:space="preserve"> </w:t>
      </w:r>
      <w:r>
        <w:rPr>
          <w:spacing w:val="-3"/>
          <w:sz w:val="21"/>
        </w:rPr>
        <w:t>的要求。</w:t>
      </w:r>
      <w:r>
        <w:rPr>
          <w:spacing w:val="-3"/>
          <w:sz w:val="21"/>
        </w:rPr>
        <w:t xml:space="preserve"> </w:t>
      </w:r>
    </w:p>
    <w:p w14:paraId="5989F096" w14:textId="77777777" w:rsidR="00A71EEF" w:rsidRDefault="0081115D">
      <w:pPr>
        <w:pStyle w:val="a4"/>
        <w:numPr>
          <w:ilvl w:val="2"/>
          <w:numId w:val="755"/>
        </w:numPr>
        <w:tabs>
          <w:tab w:val="left" w:pos="1370"/>
        </w:tabs>
        <w:ind w:hanging="530"/>
        <w:rPr>
          <w:sz w:val="21"/>
        </w:rPr>
      </w:pPr>
      <w:r>
        <w:rPr>
          <w:spacing w:val="-3"/>
          <w:sz w:val="21"/>
        </w:rPr>
        <w:t>泡沫车最大真空度及密封性试验</w:t>
      </w:r>
      <w:r>
        <w:rPr>
          <w:sz w:val="21"/>
        </w:rPr>
        <w:t xml:space="preserve"> </w:t>
      </w:r>
    </w:p>
    <w:p w14:paraId="1BDF8861" w14:textId="77777777" w:rsidR="00A71EEF" w:rsidRDefault="00A71EEF">
      <w:pPr>
        <w:pStyle w:val="a3"/>
        <w:spacing w:before="10"/>
        <w:rPr>
          <w:sz w:val="17"/>
        </w:rPr>
      </w:pPr>
    </w:p>
    <w:p w14:paraId="697FBB91" w14:textId="77777777" w:rsidR="00A71EEF" w:rsidRDefault="0081115D">
      <w:pPr>
        <w:pStyle w:val="a3"/>
        <w:spacing w:line="446" w:lineRule="auto"/>
        <w:ind w:left="418" w:right="1505" w:firstLine="419"/>
      </w:pPr>
      <w:r>
        <w:rPr>
          <w:spacing w:val="-3"/>
        </w:rPr>
        <w:t>将泡沫车配备的规定长度的吸水管，一端封闭，另一端接在消防泵的一个进水口上，封闭其余进水</w:t>
      </w:r>
      <w:r>
        <w:rPr>
          <w:spacing w:val="-3"/>
        </w:rPr>
        <w:t xml:space="preserve"> </w:t>
      </w:r>
      <w:r>
        <w:rPr>
          <w:spacing w:val="-3"/>
        </w:rPr>
        <w:t>口，泵和吸水管路中不应有水存留。启动引水装置至最大真空度，待稳定后记下该</w:t>
      </w:r>
      <w:r>
        <w:rPr>
          <w:spacing w:val="-6"/>
        </w:rPr>
        <w:t>值，然后关闭引水装置，测量</w:t>
      </w:r>
      <w:r>
        <w:rPr>
          <w:spacing w:val="-6"/>
        </w:rPr>
        <w:t xml:space="preserve"> </w:t>
      </w:r>
      <w:r>
        <w:t>1min</w:t>
      </w:r>
      <w:r>
        <w:rPr>
          <w:spacing w:val="-8"/>
        </w:rPr>
        <w:t xml:space="preserve"> </w:t>
      </w:r>
      <w:r>
        <w:rPr>
          <w:spacing w:val="-8"/>
        </w:rPr>
        <w:t>内真空度的下降值。当试验条件不是标准环境条件时，应按</w:t>
      </w:r>
      <w:r>
        <w:rPr>
          <w:spacing w:val="-8"/>
        </w:rPr>
        <w:t>GB</w:t>
      </w:r>
      <w:r>
        <w:rPr>
          <w:spacing w:val="2"/>
        </w:rPr>
        <w:t xml:space="preserve"> </w:t>
      </w:r>
      <w:r>
        <w:t>6245—2006</w:t>
      </w:r>
      <w:r>
        <w:rPr>
          <w:spacing w:val="-36"/>
        </w:rPr>
        <w:t xml:space="preserve"> </w:t>
      </w:r>
      <w:r>
        <w:rPr>
          <w:spacing w:val="-36"/>
        </w:rPr>
        <w:t>中</w:t>
      </w:r>
      <w:r>
        <w:rPr>
          <w:spacing w:val="-36"/>
        </w:rPr>
        <w:t xml:space="preserve"> </w:t>
      </w:r>
      <w:r>
        <w:t>10.4.1</w:t>
      </w:r>
      <w:r>
        <w:rPr>
          <w:spacing w:val="-12"/>
        </w:rPr>
        <w:t xml:space="preserve"> </w:t>
      </w:r>
      <w:r>
        <w:rPr>
          <w:spacing w:val="-12"/>
        </w:rPr>
        <w:t>的规定进行修正</w:t>
      </w:r>
      <w:r>
        <w:rPr>
          <w:spacing w:val="-12"/>
        </w:rPr>
        <w:t>。判断试验结果是否符合</w:t>
      </w:r>
      <w:r>
        <w:rPr>
          <w:spacing w:val="-12"/>
        </w:rPr>
        <w:t xml:space="preserve"> </w:t>
      </w:r>
      <w:r>
        <w:t>4.4.5</w:t>
      </w:r>
      <w:r>
        <w:rPr>
          <w:spacing w:val="-12"/>
        </w:rPr>
        <w:t xml:space="preserve"> </w:t>
      </w:r>
      <w:r>
        <w:rPr>
          <w:spacing w:val="-12"/>
        </w:rPr>
        <w:t>的要求。</w:t>
      </w:r>
      <w:r>
        <w:rPr>
          <w:spacing w:val="-12"/>
        </w:rPr>
        <w:t xml:space="preserve"> </w:t>
      </w:r>
    </w:p>
    <w:p w14:paraId="644B8AB5" w14:textId="77777777" w:rsidR="00A71EEF" w:rsidRDefault="0081115D">
      <w:pPr>
        <w:pStyle w:val="a4"/>
        <w:numPr>
          <w:ilvl w:val="2"/>
          <w:numId w:val="755"/>
        </w:numPr>
        <w:tabs>
          <w:tab w:val="left" w:pos="1371"/>
        </w:tabs>
        <w:spacing w:before="1"/>
        <w:ind w:left="1370" w:hanging="531"/>
        <w:rPr>
          <w:sz w:val="21"/>
        </w:rPr>
      </w:pPr>
      <w:r>
        <w:rPr>
          <w:spacing w:val="-3"/>
          <w:sz w:val="21"/>
        </w:rPr>
        <w:t>引水时间、最大吸深时泵的性能试验</w:t>
      </w:r>
      <w:r>
        <w:rPr>
          <w:sz w:val="21"/>
        </w:rPr>
        <w:t xml:space="preserve"> </w:t>
      </w:r>
    </w:p>
    <w:p w14:paraId="41152436" w14:textId="77777777" w:rsidR="00A71EEF" w:rsidRDefault="00A71EEF">
      <w:pPr>
        <w:pStyle w:val="a3"/>
        <w:spacing w:before="12"/>
        <w:rPr>
          <w:sz w:val="17"/>
        </w:rPr>
      </w:pPr>
    </w:p>
    <w:p w14:paraId="631AF904" w14:textId="77777777" w:rsidR="00A71EEF" w:rsidRDefault="0081115D">
      <w:pPr>
        <w:pStyle w:val="a4"/>
        <w:numPr>
          <w:ilvl w:val="3"/>
          <w:numId w:val="755"/>
        </w:numPr>
        <w:tabs>
          <w:tab w:val="left" w:pos="1576"/>
        </w:tabs>
        <w:spacing w:line="446" w:lineRule="auto"/>
        <w:ind w:right="1505" w:firstLine="419"/>
        <w:rPr>
          <w:sz w:val="21"/>
        </w:rPr>
      </w:pPr>
      <w:r>
        <w:rPr>
          <w:spacing w:val="-3"/>
          <w:sz w:val="21"/>
        </w:rPr>
        <w:t>泡沫车停在平整、坚硬的地面上，将泡沫车配备的吸水管，一端接消防泵的进水口</w:t>
      </w:r>
      <w:r>
        <w:rPr>
          <w:spacing w:val="-5"/>
          <w:sz w:val="21"/>
        </w:rPr>
        <w:t>，另一端接滤水器，投入水池或其他水源中，当大气压力为</w:t>
      </w:r>
      <w:r>
        <w:rPr>
          <w:spacing w:val="-5"/>
          <w:sz w:val="21"/>
        </w:rPr>
        <w:t xml:space="preserve"> </w:t>
      </w:r>
      <w:r>
        <w:rPr>
          <w:sz w:val="21"/>
        </w:rPr>
        <w:t>101kPa</w:t>
      </w:r>
      <w:r>
        <w:rPr>
          <w:spacing w:val="-11"/>
          <w:sz w:val="21"/>
        </w:rPr>
        <w:t>，水温</w:t>
      </w:r>
      <w:r>
        <w:rPr>
          <w:spacing w:val="-11"/>
          <w:sz w:val="21"/>
        </w:rPr>
        <w:t xml:space="preserve"> </w:t>
      </w:r>
      <w:r>
        <w:rPr>
          <w:sz w:val="21"/>
        </w:rPr>
        <w:t>20℃</w:t>
      </w:r>
      <w:r>
        <w:rPr>
          <w:spacing w:val="-3"/>
          <w:sz w:val="21"/>
        </w:rPr>
        <w:t>时消防泵叶轮回</w:t>
      </w:r>
      <w:r>
        <w:rPr>
          <w:spacing w:val="-10"/>
          <w:sz w:val="21"/>
        </w:rPr>
        <w:t>转中心距水面</w:t>
      </w:r>
      <w:r>
        <w:rPr>
          <w:spacing w:val="-10"/>
          <w:sz w:val="21"/>
        </w:rPr>
        <w:t xml:space="preserve"> </w:t>
      </w:r>
      <w:r>
        <w:rPr>
          <w:sz w:val="21"/>
        </w:rPr>
        <w:t>7m</w:t>
      </w:r>
      <w:r>
        <w:rPr>
          <w:spacing w:val="-7"/>
          <w:sz w:val="21"/>
        </w:rPr>
        <w:t xml:space="preserve"> </w:t>
      </w:r>
      <w:r>
        <w:rPr>
          <w:spacing w:val="-7"/>
          <w:sz w:val="21"/>
        </w:rPr>
        <w:t>高</w:t>
      </w:r>
      <w:r>
        <w:rPr>
          <w:spacing w:val="-7"/>
          <w:sz w:val="21"/>
        </w:rPr>
        <w:t xml:space="preserve"> (</w:t>
      </w:r>
      <w:r>
        <w:rPr>
          <w:spacing w:val="-7"/>
          <w:sz w:val="21"/>
        </w:rPr>
        <w:t>滤水器应完全沉没在水中</w:t>
      </w:r>
      <w:r>
        <w:rPr>
          <w:spacing w:val="-3"/>
          <w:sz w:val="21"/>
        </w:rPr>
        <w:t>）。启动引水装置，测定自引水装置开始工</w:t>
      </w:r>
      <w:r>
        <w:rPr>
          <w:spacing w:val="-3"/>
          <w:sz w:val="21"/>
        </w:rPr>
        <w:t xml:space="preserve"> </w:t>
      </w:r>
      <w:r>
        <w:rPr>
          <w:spacing w:val="-3"/>
          <w:sz w:val="21"/>
        </w:rPr>
        <w:t>作，到消防泵出口压力表显示压力的时间。</w:t>
      </w:r>
      <w:r>
        <w:rPr>
          <w:sz w:val="21"/>
        </w:rPr>
        <w:t xml:space="preserve"> </w:t>
      </w:r>
    </w:p>
    <w:p w14:paraId="1CD000A5" w14:textId="77777777" w:rsidR="00A71EEF" w:rsidRDefault="0081115D">
      <w:pPr>
        <w:pStyle w:val="a3"/>
        <w:spacing w:line="446" w:lineRule="auto"/>
        <w:ind w:left="418" w:right="1609" w:firstLine="419"/>
        <w:jc w:val="both"/>
      </w:pPr>
      <w:r>
        <w:rPr>
          <w:spacing w:val="-3"/>
        </w:rPr>
        <w:t>试验后，放尽消防泵及吸水管中的余水，再重复进行两次单个吸水口引水时间试验，当试</w:t>
      </w:r>
      <w:r>
        <w:rPr>
          <w:spacing w:val="-6"/>
        </w:rPr>
        <w:t>验条件不</w:t>
      </w:r>
      <w:r>
        <w:rPr>
          <w:spacing w:val="-6"/>
        </w:rPr>
        <w:t xml:space="preserve"> </w:t>
      </w:r>
      <w:r>
        <w:rPr>
          <w:spacing w:val="-6"/>
        </w:rPr>
        <w:t>是标准环境条件时，应按</w:t>
      </w:r>
      <w:r>
        <w:rPr>
          <w:spacing w:val="-6"/>
        </w:rPr>
        <w:t xml:space="preserve"> </w:t>
      </w:r>
      <w:r>
        <w:t>GB 6245—2006</w:t>
      </w:r>
      <w:r>
        <w:rPr>
          <w:spacing w:val="-34"/>
        </w:rPr>
        <w:t xml:space="preserve"> </w:t>
      </w:r>
      <w:r>
        <w:rPr>
          <w:spacing w:val="-34"/>
        </w:rPr>
        <w:t>中</w:t>
      </w:r>
      <w:r>
        <w:rPr>
          <w:spacing w:val="-34"/>
        </w:rPr>
        <w:t xml:space="preserve"> </w:t>
      </w:r>
      <w:r>
        <w:t>10.4.1</w:t>
      </w:r>
      <w:r>
        <w:rPr>
          <w:spacing w:val="-9"/>
        </w:rPr>
        <w:t xml:space="preserve"> </w:t>
      </w:r>
      <w:r>
        <w:rPr>
          <w:spacing w:val="-9"/>
        </w:rPr>
        <w:t>的规定进行修正。判断三次试验</w:t>
      </w:r>
      <w:r>
        <w:rPr>
          <w:spacing w:val="-5"/>
        </w:rPr>
        <w:t>结果是否符合</w:t>
      </w:r>
      <w:r>
        <w:rPr>
          <w:spacing w:val="-5"/>
        </w:rPr>
        <w:t xml:space="preserve"> </w:t>
      </w:r>
      <w:r>
        <w:t>4.4.6.1</w:t>
      </w:r>
      <w:r>
        <w:rPr>
          <w:spacing w:val="-3"/>
        </w:rPr>
        <w:t xml:space="preserve"> </w:t>
      </w:r>
      <w:r>
        <w:rPr>
          <w:spacing w:val="-3"/>
        </w:rPr>
        <w:t>的要求。</w:t>
      </w:r>
      <w:r>
        <w:t xml:space="preserve"> </w:t>
      </w:r>
    </w:p>
    <w:p w14:paraId="72B58CE2" w14:textId="77777777" w:rsidR="00A71EEF" w:rsidRDefault="0081115D">
      <w:pPr>
        <w:pStyle w:val="a4"/>
        <w:numPr>
          <w:ilvl w:val="3"/>
          <w:numId w:val="755"/>
        </w:numPr>
        <w:tabs>
          <w:tab w:val="left" w:pos="1576"/>
        </w:tabs>
        <w:spacing w:line="446" w:lineRule="auto"/>
        <w:ind w:right="1608" w:firstLine="419"/>
        <w:jc w:val="both"/>
        <w:rPr>
          <w:sz w:val="21"/>
        </w:rPr>
      </w:pPr>
      <w:r>
        <w:rPr>
          <w:spacing w:val="-17"/>
          <w:sz w:val="21"/>
        </w:rPr>
        <w:t>按照</w:t>
      </w:r>
      <w:r>
        <w:rPr>
          <w:spacing w:val="-17"/>
          <w:sz w:val="21"/>
        </w:rPr>
        <w:t xml:space="preserve"> </w:t>
      </w:r>
      <w:r>
        <w:rPr>
          <w:sz w:val="21"/>
        </w:rPr>
        <w:t>5.4.6.1</w:t>
      </w:r>
      <w:r>
        <w:rPr>
          <w:spacing w:val="-8"/>
          <w:sz w:val="21"/>
        </w:rPr>
        <w:t xml:space="preserve"> </w:t>
      </w:r>
      <w:r>
        <w:rPr>
          <w:spacing w:val="-8"/>
          <w:sz w:val="21"/>
        </w:rPr>
        <w:t>的试验方法测定单个吸水口最大吸深时泵的性能，判断试验结果是</w:t>
      </w:r>
      <w:r>
        <w:rPr>
          <w:spacing w:val="-17"/>
          <w:sz w:val="21"/>
        </w:rPr>
        <w:t>否符合</w:t>
      </w:r>
      <w:r>
        <w:rPr>
          <w:spacing w:val="-17"/>
          <w:sz w:val="21"/>
        </w:rPr>
        <w:t xml:space="preserve"> </w:t>
      </w:r>
      <w:r>
        <w:rPr>
          <w:sz w:val="21"/>
        </w:rPr>
        <w:t>4.4.6.2</w:t>
      </w:r>
      <w:r>
        <w:rPr>
          <w:spacing w:val="-3"/>
          <w:sz w:val="21"/>
        </w:rPr>
        <w:t xml:space="preserve"> </w:t>
      </w:r>
      <w:r>
        <w:rPr>
          <w:spacing w:val="-3"/>
          <w:sz w:val="21"/>
        </w:rPr>
        <w:t>的要求。</w:t>
      </w:r>
      <w:r>
        <w:rPr>
          <w:spacing w:val="-3"/>
          <w:sz w:val="21"/>
        </w:rPr>
        <w:t xml:space="preserve"> </w:t>
      </w:r>
    </w:p>
    <w:p w14:paraId="39EABD3A" w14:textId="77777777" w:rsidR="00A71EEF" w:rsidRDefault="0081115D">
      <w:pPr>
        <w:pStyle w:val="a4"/>
        <w:numPr>
          <w:ilvl w:val="2"/>
          <w:numId w:val="755"/>
        </w:numPr>
        <w:tabs>
          <w:tab w:val="left" w:pos="1370"/>
        </w:tabs>
        <w:ind w:hanging="530"/>
        <w:jc w:val="both"/>
        <w:rPr>
          <w:sz w:val="21"/>
        </w:rPr>
      </w:pPr>
      <w:r>
        <w:rPr>
          <w:spacing w:val="-3"/>
          <w:sz w:val="21"/>
        </w:rPr>
        <w:t>泡沫车连续运转试验</w:t>
      </w:r>
      <w:r>
        <w:rPr>
          <w:spacing w:val="-3"/>
          <w:sz w:val="21"/>
        </w:rPr>
        <w:t xml:space="preserve"> </w:t>
      </w:r>
    </w:p>
    <w:p w14:paraId="7D6A2F1C" w14:textId="77777777" w:rsidR="00A71EEF" w:rsidRDefault="00A71EEF">
      <w:pPr>
        <w:pStyle w:val="a3"/>
        <w:spacing w:before="9"/>
        <w:rPr>
          <w:sz w:val="17"/>
        </w:rPr>
      </w:pPr>
    </w:p>
    <w:p w14:paraId="6D9E4B97" w14:textId="77777777" w:rsidR="00A71EEF" w:rsidRDefault="0081115D">
      <w:pPr>
        <w:pStyle w:val="a4"/>
        <w:numPr>
          <w:ilvl w:val="3"/>
          <w:numId w:val="755"/>
        </w:numPr>
        <w:tabs>
          <w:tab w:val="left" w:pos="1576"/>
        </w:tabs>
        <w:ind w:left="1575"/>
        <w:rPr>
          <w:sz w:val="21"/>
        </w:rPr>
      </w:pPr>
      <w:r>
        <w:rPr>
          <w:spacing w:val="-3"/>
          <w:sz w:val="21"/>
        </w:rPr>
        <w:t>进行连续运转试验时的工况分配如下：</w:t>
      </w:r>
      <w:r>
        <w:rPr>
          <w:sz w:val="21"/>
        </w:rPr>
        <w:t xml:space="preserve"> </w:t>
      </w:r>
    </w:p>
    <w:p w14:paraId="6CC6DAF6" w14:textId="77777777" w:rsidR="00A71EEF" w:rsidRDefault="00A71EEF">
      <w:pPr>
        <w:pStyle w:val="a3"/>
        <w:spacing w:before="2"/>
        <w:rPr>
          <w:sz w:val="18"/>
        </w:rPr>
      </w:pPr>
    </w:p>
    <w:p w14:paraId="23CAF9FE" w14:textId="77777777" w:rsidR="00A71EEF" w:rsidRDefault="0081115D">
      <w:pPr>
        <w:pStyle w:val="a3"/>
        <w:spacing w:line="446" w:lineRule="auto"/>
        <w:ind w:left="418" w:right="1613" w:firstLine="419"/>
      </w:pPr>
      <w:r>
        <w:rPr>
          <w:spacing w:val="-5"/>
        </w:rPr>
        <w:t>——</w:t>
      </w:r>
      <w:r>
        <w:rPr>
          <w:spacing w:val="-5"/>
        </w:rPr>
        <w:t>装有低压泵的泡沫车，应在额定工况下连续工作</w:t>
      </w:r>
      <w:r>
        <w:rPr>
          <w:spacing w:val="-5"/>
        </w:rPr>
        <w:t xml:space="preserve"> </w:t>
      </w:r>
      <w:r>
        <w:t>3h</w:t>
      </w:r>
      <w:r>
        <w:rPr>
          <w:spacing w:val="-6"/>
        </w:rPr>
        <w:t>，继续在流量为额定值的</w:t>
      </w:r>
      <w:r>
        <w:rPr>
          <w:spacing w:val="-6"/>
        </w:rPr>
        <w:t xml:space="preserve"> </w:t>
      </w:r>
      <w:r>
        <w:t>70</w:t>
      </w:r>
      <w:r>
        <w:rPr>
          <w:spacing w:val="-3"/>
        </w:rPr>
        <w:t>%</w:t>
      </w:r>
      <w:r>
        <w:rPr>
          <w:spacing w:val="-3"/>
        </w:rPr>
        <w:t>、出</w:t>
      </w:r>
      <w:r>
        <w:rPr>
          <w:spacing w:val="-8"/>
        </w:rPr>
        <w:t>口压力不小于额定值</w:t>
      </w:r>
      <w:r>
        <w:rPr>
          <w:spacing w:val="-8"/>
        </w:rPr>
        <w:t xml:space="preserve"> </w:t>
      </w:r>
      <w:r>
        <w:t>130</w:t>
      </w:r>
      <w:r>
        <w:rPr>
          <w:spacing w:val="-8"/>
        </w:rPr>
        <w:t>%</w:t>
      </w:r>
      <w:r>
        <w:rPr>
          <w:spacing w:val="-8"/>
        </w:rPr>
        <w:t>的条件下连续工作</w:t>
      </w:r>
      <w:r>
        <w:rPr>
          <w:spacing w:val="-8"/>
        </w:rPr>
        <w:t xml:space="preserve"> </w:t>
      </w:r>
      <w:r>
        <w:t>3h</w:t>
      </w:r>
      <w:r>
        <w:t>；</w:t>
      </w:r>
      <w:r>
        <w:t xml:space="preserve"> </w:t>
      </w:r>
    </w:p>
    <w:p w14:paraId="3CE54B08" w14:textId="77777777" w:rsidR="00A71EEF" w:rsidRDefault="0081115D">
      <w:pPr>
        <w:pStyle w:val="a3"/>
        <w:spacing w:line="446" w:lineRule="auto"/>
        <w:ind w:left="418" w:right="1558" w:firstLine="419"/>
      </w:pPr>
      <w:r>
        <w:rPr>
          <w:spacing w:val="-4"/>
        </w:rPr>
        <w:t>——</w:t>
      </w:r>
      <w:r>
        <w:rPr>
          <w:spacing w:val="-4"/>
        </w:rPr>
        <w:t>装有中低压泵的泡沫车，应在低压额定工况下连续运转</w:t>
      </w:r>
      <w:r>
        <w:rPr>
          <w:spacing w:val="-4"/>
        </w:rPr>
        <w:t xml:space="preserve"> </w:t>
      </w:r>
      <w:r>
        <w:t>3h</w:t>
      </w:r>
      <w:r>
        <w:rPr>
          <w:spacing w:val="-3"/>
        </w:rPr>
        <w:t>，继续在中压额定工况下连</w:t>
      </w:r>
      <w:r>
        <w:rPr>
          <w:spacing w:val="-15"/>
        </w:rPr>
        <w:t>续运转</w:t>
      </w:r>
      <w:r>
        <w:rPr>
          <w:spacing w:val="-15"/>
        </w:rPr>
        <w:t xml:space="preserve"> </w:t>
      </w:r>
      <w:r>
        <w:t>3h</w:t>
      </w:r>
      <w:r>
        <w:t>；</w:t>
      </w:r>
      <w:r>
        <w:t xml:space="preserve"> </w:t>
      </w:r>
    </w:p>
    <w:p w14:paraId="437C4FDE" w14:textId="77777777" w:rsidR="00A71EEF" w:rsidRDefault="0081115D">
      <w:pPr>
        <w:pStyle w:val="a3"/>
        <w:spacing w:line="446" w:lineRule="auto"/>
        <w:ind w:left="418" w:right="1558" w:firstLine="419"/>
      </w:pPr>
      <w:r>
        <w:rPr>
          <w:spacing w:val="-4"/>
        </w:rPr>
        <w:t>——</w:t>
      </w:r>
      <w:r>
        <w:rPr>
          <w:spacing w:val="-4"/>
        </w:rPr>
        <w:t>装有高低压泵的泡沫车，应在低压额定工况下连续运转</w:t>
      </w:r>
      <w:r>
        <w:rPr>
          <w:spacing w:val="-4"/>
        </w:rPr>
        <w:t xml:space="preserve"> </w:t>
      </w:r>
      <w:r>
        <w:t>3h</w:t>
      </w:r>
      <w:r>
        <w:rPr>
          <w:spacing w:val="-3"/>
        </w:rPr>
        <w:t>，继续在高压额定工况下连</w:t>
      </w:r>
      <w:r>
        <w:rPr>
          <w:spacing w:val="-15"/>
        </w:rPr>
        <w:t>续运转</w:t>
      </w:r>
      <w:r>
        <w:rPr>
          <w:spacing w:val="-15"/>
        </w:rPr>
        <w:t xml:space="preserve"> </w:t>
      </w:r>
      <w:r>
        <w:t>3h</w:t>
      </w:r>
      <w:r>
        <w:t>；</w:t>
      </w:r>
      <w:r>
        <w:t xml:space="preserve"> </w:t>
      </w:r>
    </w:p>
    <w:p w14:paraId="1310C8F3" w14:textId="77777777" w:rsidR="00A71EEF" w:rsidRDefault="0081115D">
      <w:pPr>
        <w:pStyle w:val="a3"/>
        <w:ind w:left="838"/>
      </w:pPr>
      <w:r>
        <w:t>——</w:t>
      </w:r>
      <w:r>
        <w:t>装有中压泵或高压泵的泡沫车，应在其额定工况下连续工作</w:t>
      </w:r>
      <w:r>
        <w:t xml:space="preserve"> 6h</w:t>
      </w:r>
      <w:r>
        <w:t>。</w:t>
      </w:r>
      <w:r>
        <w:t xml:space="preserve"> </w:t>
      </w:r>
    </w:p>
    <w:p w14:paraId="05F9C8D4" w14:textId="77777777" w:rsidR="00A71EEF" w:rsidRDefault="00A71EEF">
      <w:pPr>
        <w:sectPr w:rsidR="00A71EEF">
          <w:pgSz w:w="11910" w:h="16850"/>
          <w:pgMar w:top="1220" w:right="0" w:bottom="1420" w:left="1260" w:header="0" w:footer="1239" w:gutter="0"/>
          <w:cols w:space="720"/>
        </w:sectPr>
      </w:pPr>
    </w:p>
    <w:p w14:paraId="5A9A297B" w14:textId="77777777" w:rsidR="00A71EEF" w:rsidRDefault="0081115D">
      <w:pPr>
        <w:pStyle w:val="a4"/>
        <w:numPr>
          <w:ilvl w:val="3"/>
          <w:numId w:val="755"/>
        </w:numPr>
        <w:tabs>
          <w:tab w:val="left" w:pos="1576"/>
        </w:tabs>
        <w:spacing w:before="47" w:line="446" w:lineRule="auto"/>
        <w:ind w:right="1505" w:firstLine="419"/>
        <w:rPr>
          <w:sz w:val="21"/>
        </w:rPr>
      </w:pPr>
      <w:r>
        <w:rPr>
          <w:spacing w:val="-6"/>
          <w:sz w:val="21"/>
        </w:rPr>
        <w:lastRenderedPageBreak/>
        <w:t>泡沫车停在平整、坚硬的地面上，在</w:t>
      </w:r>
      <w:r>
        <w:rPr>
          <w:spacing w:val="-6"/>
          <w:sz w:val="21"/>
        </w:rPr>
        <w:t xml:space="preserve"> </w:t>
      </w:r>
      <w:r>
        <w:rPr>
          <w:sz w:val="21"/>
        </w:rPr>
        <w:t>3m</w:t>
      </w:r>
      <w:r>
        <w:rPr>
          <w:spacing w:val="-8"/>
          <w:sz w:val="21"/>
        </w:rPr>
        <w:t xml:space="preserve"> </w:t>
      </w:r>
      <w:r>
        <w:rPr>
          <w:spacing w:val="-8"/>
          <w:sz w:val="21"/>
        </w:rPr>
        <w:t>吸深下，将连接好滤水器的吸水管接在消</w:t>
      </w:r>
      <w:r>
        <w:rPr>
          <w:spacing w:val="-7"/>
          <w:sz w:val="21"/>
        </w:rPr>
        <w:t>防泵进口并放入水中，启动发动机并接合消防泵，分别按</w:t>
      </w:r>
      <w:r>
        <w:rPr>
          <w:spacing w:val="-7"/>
          <w:sz w:val="21"/>
        </w:rPr>
        <w:t xml:space="preserve"> </w:t>
      </w:r>
      <w:r>
        <w:rPr>
          <w:sz w:val="21"/>
        </w:rPr>
        <w:t>5.4.7.1</w:t>
      </w:r>
      <w:r>
        <w:rPr>
          <w:spacing w:val="-8"/>
          <w:sz w:val="21"/>
        </w:rPr>
        <w:t xml:space="preserve"> </w:t>
      </w:r>
      <w:r>
        <w:rPr>
          <w:spacing w:val="-8"/>
          <w:sz w:val="21"/>
        </w:rPr>
        <w:t>规定的工况和时间运转。当试验条件不是标准环境条件时，应按</w:t>
      </w:r>
      <w:r>
        <w:rPr>
          <w:spacing w:val="-8"/>
          <w:sz w:val="21"/>
        </w:rPr>
        <w:t xml:space="preserve"> </w:t>
      </w:r>
      <w:r>
        <w:rPr>
          <w:sz w:val="21"/>
        </w:rPr>
        <w:t>GB 6245—2006</w:t>
      </w:r>
      <w:r>
        <w:rPr>
          <w:spacing w:val="-35"/>
          <w:sz w:val="21"/>
        </w:rPr>
        <w:t xml:space="preserve"> </w:t>
      </w:r>
      <w:r>
        <w:rPr>
          <w:spacing w:val="-35"/>
          <w:sz w:val="21"/>
        </w:rPr>
        <w:t>中</w:t>
      </w:r>
      <w:r>
        <w:rPr>
          <w:spacing w:val="-35"/>
          <w:sz w:val="21"/>
        </w:rPr>
        <w:t xml:space="preserve"> </w:t>
      </w:r>
      <w:r>
        <w:rPr>
          <w:sz w:val="21"/>
        </w:rPr>
        <w:t>10.4.1</w:t>
      </w:r>
      <w:r>
        <w:rPr>
          <w:spacing w:val="-9"/>
          <w:sz w:val="21"/>
        </w:rPr>
        <w:t xml:space="preserve"> </w:t>
      </w:r>
      <w:r>
        <w:rPr>
          <w:spacing w:val="-9"/>
          <w:sz w:val="21"/>
        </w:rPr>
        <w:t>的规定进行修正。</w:t>
      </w:r>
      <w:r>
        <w:rPr>
          <w:sz w:val="21"/>
        </w:rPr>
        <w:t xml:space="preserve"> </w:t>
      </w:r>
    </w:p>
    <w:p w14:paraId="673643ED" w14:textId="77777777" w:rsidR="00A71EEF" w:rsidRDefault="0081115D">
      <w:pPr>
        <w:pStyle w:val="a4"/>
        <w:numPr>
          <w:ilvl w:val="3"/>
          <w:numId w:val="755"/>
        </w:numPr>
        <w:tabs>
          <w:tab w:val="left" w:pos="1576"/>
        </w:tabs>
        <w:spacing w:line="446" w:lineRule="auto"/>
        <w:ind w:right="1608" w:firstLine="419"/>
        <w:jc w:val="both"/>
        <w:rPr>
          <w:sz w:val="21"/>
        </w:rPr>
      </w:pPr>
      <w:r>
        <w:rPr>
          <w:spacing w:val="-6"/>
          <w:sz w:val="21"/>
        </w:rPr>
        <w:t>待泡沫车运转稳定后开始计时，每隔</w:t>
      </w:r>
      <w:r>
        <w:rPr>
          <w:spacing w:val="-6"/>
          <w:sz w:val="21"/>
        </w:rPr>
        <w:t xml:space="preserve"> </w:t>
      </w:r>
      <w:r>
        <w:rPr>
          <w:sz w:val="21"/>
        </w:rPr>
        <w:t>15min</w:t>
      </w:r>
      <w:r>
        <w:rPr>
          <w:spacing w:val="-8"/>
          <w:sz w:val="21"/>
        </w:rPr>
        <w:t xml:space="preserve"> </w:t>
      </w:r>
      <w:r>
        <w:rPr>
          <w:spacing w:val="-8"/>
          <w:sz w:val="21"/>
        </w:rPr>
        <w:t>测量一次下述规定的各参数并检査发</w:t>
      </w:r>
      <w:r>
        <w:rPr>
          <w:spacing w:val="-5"/>
          <w:sz w:val="21"/>
        </w:rPr>
        <w:t>动机、取力器有无异响、过度振动、漏水、漏油，漏气等异常现象，做好记录。试验过程不应</w:t>
      </w:r>
      <w:r>
        <w:rPr>
          <w:spacing w:val="-4"/>
          <w:sz w:val="21"/>
        </w:rPr>
        <w:t>间断，并保持泵的出口压力和流量不低于规定值。试验中可随时调节发动机辅助冷却器：</w:t>
      </w:r>
      <w:r>
        <w:rPr>
          <w:sz w:val="21"/>
        </w:rPr>
        <w:t xml:space="preserve"> </w:t>
      </w:r>
    </w:p>
    <w:p w14:paraId="27D8B8AF" w14:textId="77777777" w:rsidR="00A71EEF" w:rsidRDefault="0081115D">
      <w:pPr>
        <w:pStyle w:val="a3"/>
        <w:spacing w:line="268" w:lineRule="exact"/>
        <w:ind w:left="838"/>
      </w:pPr>
      <w:r>
        <w:rPr>
          <w:spacing w:val="-3"/>
        </w:rPr>
        <w:t>——</w:t>
      </w:r>
      <w:r>
        <w:rPr>
          <w:spacing w:val="-3"/>
        </w:rPr>
        <w:t>消防泵的进口压力；</w:t>
      </w:r>
      <w:r>
        <w:t xml:space="preserve"> </w:t>
      </w:r>
    </w:p>
    <w:p w14:paraId="4031E665" w14:textId="77777777" w:rsidR="00A71EEF" w:rsidRDefault="00A71EEF">
      <w:pPr>
        <w:pStyle w:val="a3"/>
        <w:spacing w:before="12"/>
        <w:rPr>
          <w:sz w:val="17"/>
        </w:rPr>
      </w:pPr>
    </w:p>
    <w:p w14:paraId="55607BD8" w14:textId="77777777" w:rsidR="00A71EEF" w:rsidRDefault="0081115D">
      <w:pPr>
        <w:pStyle w:val="a3"/>
        <w:ind w:left="838"/>
      </w:pPr>
      <w:r>
        <w:rPr>
          <w:spacing w:val="-3"/>
        </w:rPr>
        <w:t>——</w:t>
      </w:r>
      <w:r>
        <w:rPr>
          <w:spacing w:val="-3"/>
        </w:rPr>
        <w:t>消防泵的出口压力；</w:t>
      </w:r>
      <w:r>
        <w:t xml:space="preserve"> </w:t>
      </w:r>
    </w:p>
    <w:p w14:paraId="717BEE6C" w14:textId="77777777" w:rsidR="00A71EEF" w:rsidRDefault="00A71EEF">
      <w:pPr>
        <w:pStyle w:val="a3"/>
        <w:rPr>
          <w:sz w:val="18"/>
        </w:rPr>
      </w:pPr>
    </w:p>
    <w:p w14:paraId="3A76A716" w14:textId="77777777" w:rsidR="00A71EEF" w:rsidRDefault="0081115D">
      <w:pPr>
        <w:pStyle w:val="a3"/>
        <w:ind w:left="838"/>
      </w:pPr>
      <w:r>
        <w:rPr>
          <w:spacing w:val="-3"/>
        </w:rPr>
        <w:t>——</w:t>
      </w:r>
      <w:r>
        <w:rPr>
          <w:spacing w:val="-3"/>
        </w:rPr>
        <w:t>消防泵的流量；</w:t>
      </w:r>
      <w:r>
        <w:t xml:space="preserve"> </w:t>
      </w:r>
    </w:p>
    <w:p w14:paraId="74F4C896" w14:textId="77777777" w:rsidR="00A71EEF" w:rsidRDefault="00A71EEF">
      <w:pPr>
        <w:pStyle w:val="a3"/>
        <w:spacing w:before="1"/>
        <w:rPr>
          <w:sz w:val="18"/>
        </w:rPr>
      </w:pPr>
    </w:p>
    <w:p w14:paraId="6DC01B46" w14:textId="77777777" w:rsidR="00A71EEF" w:rsidRDefault="0081115D">
      <w:pPr>
        <w:pStyle w:val="a3"/>
        <w:spacing w:before="1"/>
        <w:ind w:left="838"/>
      </w:pPr>
      <w:r>
        <w:rPr>
          <w:spacing w:val="-3"/>
        </w:rPr>
        <w:t>——</w:t>
      </w:r>
      <w:r>
        <w:rPr>
          <w:spacing w:val="-3"/>
        </w:rPr>
        <w:t>消防泵的转速；</w:t>
      </w:r>
      <w:r>
        <w:t xml:space="preserve"> </w:t>
      </w:r>
    </w:p>
    <w:p w14:paraId="7DE34523" w14:textId="77777777" w:rsidR="00A71EEF" w:rsidRDefault="00A71EEF">
      <w:pPr>
        <w:pStyle w:val="a3"/>
        <w:spacing w:before="12"/>
        <w:rPr>
          <w:sz w:val="17"/>
        </w:rPr>
      </w:pPr>
    </w:p>
    <w:p w14:paraId="12E04189" w14:textId="77777777" w:rsidR="00A71EEF" w:rsidRDefault="0081115D">
      <w:pPr>
        <w:pStyle w:val="a3"/>
        <w:ind w:left="838"/>
      </w:pPr>
      <w:r>
        <w:t>——</w:t>
      </w:r>
      <w:r>
        <w:t>发动机的出水温度；</w:t>
      </w:r>
      <w:r>
        <w:t xml:space="preserve"> </w:t>
      </w:r>
    </w:p>
    <w:p w14:paraId="403ED4F3" w14:textId="77777777" w:rsidR="00A71EEF" w:rsidRDefault="00A71EEF">
      <w:pPr>
        <w:pStyle w:val="a3"/>
        <w:spacing w:before="12"/>
        <w:rPr>
          <w:sz w:val="17"/>
        </w:rPr>
      </w:pPr>
    </w:p>
    <w:p w14:paraId="457C4040" w14:textId="77777777" w:rsidR="00A71EEF" w:rsidRDefault="0081115D">
      <w:pPr>
        <w:pStyle w:val="a3"/>
        <w:ind w:left="838"/>
      </w:pPr>
      <w:r>
        <w:t>——</w:t>
      </w:r>
      <w:r>
        <w:t>取力器的润滑油温度；</w:t>
      </w:r>
      <w:r>
        <w:t xml:space="preserve"> </w:t>
      </w:r>
    </w:p>
    <w:p w14:paraId="4AB9A626" w14:textId="77777777" w:rsidR="00A71EEF" w:rsidRDefault="00A71EEF">
      <w:pPr>
        <w:pStyle w:val="a3"/>
        <w:spacing w:before="2"/>
        <w:rPr>
          <w:sz w:val="18"/>
        </w:rPr>
      </w:pPr>
    </w:p>
    <w:p w14:paraId="4F27E3E9" w14:textId="77777777" w:rsidR="00A71EEF" w:rsidRDefault="0081115D">
      <w:pPr>
        <w:pStyle w:val="a3"/>
        <w:ind w:left="838"/>
      </w:pPr>
      <w:r>
        <w:t>——</w:t>
      </w:r>
      <w:r>
        <w:t>取力器的输出轴轴承座温度。</w:t>
      </w:r>
      <w:r>
        <w:t xml:space="preserve"> </w:t>
      </w:r>
    </w:p>
    <w:p w14:paraId="485F2EE5" w14:textId="77777777" w:rsidR="00A71EEF" w:rsidRDefault="00A71EEF">
      <w:pPr>
        <w:pStyle w:val="a3"/>
        <w:rPr>
          <w:sz w:val="18"/>
        </w:rPr>
      </w:pPr>
    </w:p>
    <w:p w14:paraId="0696EB73" w14:textId="77777777" w:rsidR="00A71EEF" w:rsidRDefault="0081115D">
      <w:pPr>
        <w:pStyle w:val="a3"/>
        <w:spacing w:line="446" w:lineRule="auto"/>
        <w:ind w:left="840" w:right="6131" w:hanging="3"/>
      </w:pPr>
      <w:r>
        <w:t>判断试验结果是否符合</w:t>
      </w:r>
      <w:r>
        <w:t xml:space="preserve"> 4.4.7 </w:t>
      </w:r>
      <w:r>
        <w:t>的要求。</w:t>
      </w:r>
      <w:r>
        <w:rPr>
          <w:b/>
        </w:rPr>
        <w:t xml:space="preserve">5.4.8 </w:t>
      </w:r>
      <w:r>
        <w:t>泡沫车超负荷运转试验</w:t>
      </w:r>
      <w:r>
        <w:t xml:space="preserve"> </w:t>
      </w:r>
    </w:p>
    <w:p w14:paraId="66D34F9A" w14:textId="77777777" w:rsidR="00A71EEF" w:rsidRDefault="0081115D">
      <w:pPr>
        <w:pStyle w:val="a3"/>
        <w:spacing w:line="446" w:lineRule="auto"/>
        <w:ind w:left="418" w:right="1611" w:firstLine="419"/>
        <w:jc w:val="both"/>
      </w:pPr>
      <w:r>
        <w:rPr>
          <w:spacing w:val="-4"/>
        </w:rPr>
        <w:t>泡沫车停在平整、坚硬的地面上，启动消防泵，调节泵出口压力为规定值的</w:t>
      </w:r>
      <w:r>
        <w:rPr>
          <w:spacing w:val="-4"/>
        </w:rPr>
        <w:t xml:space="preserve"> </w:t>
      </w:r>
      <w:r>
        <w:t>1.1</w:t>
      </w:r>
      <w:r>
        <w:rPr>
          <w:spacing w:val="-8"/>
        </w:rPr>
        <w:t xml:space="preserve"> </w:t>
      </w:r>
      <w:r>
        <w:rPr>
          <w:spacing w:val="-8"/>
        </w:rPr>
        <w:t>倍，流量</w:t>
      </w:r>
      <w:r>
        <w:rPr>
          <w:spacing w:val="-5"/>
        </w:rPr>
        <w:t>满足额定值，待运转稳定后开始计时，</w:t>
      </w:r>
      <w:r>
        <w:t>10min</w:t>
      </w:r>
      <w:r>
        <w:rPr>
          <w:spacing w:val="-10"/>
        </w:rPr>
        <w:t xml:space="preserve"> </w:t>
      </w:r>
      <w:r>
        <w:rPr>
          <w:spacing w:val="-10"/>
        </w:rPr>
        <w:t>后停止运转，判断试验结果是否符合</w:t>
      </w:r>
      <w:r>
        <w:rPr>
          <w:spacing w:val="-10"/>
        </w:rPr>
        <w:t xml:space="preserve"> </w:t>
      </w:r>
      <w:r>
        <w:t>4.4.8</w:t>
      </w:r>
      <w:r>
        <w:rPr>
          <w:spacing w:val="-17"/>
        </w:rPr>
        <w:t xml:space="preserve"> </w:t>
      </w:r>
      <w:r>
        <w:rPr>
          <w:spacing w:val="-17"/>
        </w:rPr>
        <w:t>的要</w:t>
      </w:r>
      <w:r>
        <w:rPr>
          <w:spacing w:val="-2"/>
        </w:rPr>
        <w:t>求。</w:t>
      </w:r>
      <w:r>
        <w:t xml:space="preserve"> </w:t>
      </w:r>
    </w:p>
    <w:p w14:paraId="53A1A2F5" w14:textId="77777777" w:rsidR="00A71EEF" w:rsidRDefault="0081115D">
      <w:pPr>
        <w:pStyle w:val="a4"/>
        <w:numPr>
          <w:ilvl w:val="1"/>
          <w:numId w:val="754"/>
        </w:numPr>
        <w:tabs>
          <w:tab w:val="left" w:pos="1159"/>
        </w:tabs>
        <w:spacing w:line="268" w:lineRule="exact"/>
        <w:ind w:hanging="319"/>
        <w:rPr>
          <w:sz w:val="21"/>
        </w:rPr>
      </w:pPr>
      <w:r>
        <w:rPr>
          <w:spacing w:val="-3"/>
          <w:sz w:val="21"/>
        </w:rPr>
        <w:t>仪器、仪表的要求检查</w:t>
      </w:r>
      <w:r>
        <w:rPr>
          <w:spacing w:val="-3"/>
          <w:sz w:val="21"/>
        </w:rPr>
        <w:t xml:space="preserve"> </w:t>
      </w:r>
    </w:p>
    <w:p w14:paraId="7AF56CF0" w14:textId="77777777" w:rsidR="00A71EEF" w:rsidRDefault="00A71EEF">
      <w:pPr>
        <w:pStyle w:val="a3"/>
        <w:rPr>
          <w:sz w:val="18"/>
        </w:rPr>
      </w:pPr>
    </w:p>
    <w:p w14:paraId="34612E85" w14:textId="77777777" w:rsidR="00A71EEF" w:rsidRDefault="0081115D">
      <w:pPr>
        <w:pStyle w:val="a4"/>
        <w:numPr>
          <w:ilvl w:val="2"/>
          <w:numId w:val="754"/>
        </w:numPr>
        <w:tabs>
          <w:tab w:val="left" w:pos="1370"/>
        </w:tabs>
        <w:ind w:hanging="530"/>
        <w:rPr>
          <w:sz w:val="21"/>
        </w:rPr>
      </w:pPr>
      <w:r>
        <w:rPr>
          <w:spacing w:val="-19"/>
          <w:sz w:val="21"/>
        </w:rPr>
        <w:t>按照</w:t>
      </w:r>
      <w:r>
        <w:rPr>
          <w:spacing w:val="-19"/>
          <w:sz w:val="21"/>
        </w:rPr>
        <w:t xml:space="preserve"> </w:t>
      </w:r>
      <w:r>
        <w:rPr>
          <w:sz w:val="21"/>
        </w:rPr>
        <w:t>GB</w:t>
      </w:r>
      <w:r>
        <w:rPr>
          <w:spacing w:val="-1"/>
          <w:sz w:val="21"/>
        </w:rPr>
        <w:t xml:space="preserve"> </w:t>
      </w:r>
      <w:r>
        <w:rPr>
          <w:sz w:val="21"/>
        </w:rPr>
        <w:t>7956.1—2014</w:t>
      </w:r>
      <w:r>
        <w:rPr>
          <w:spacing w:val="-36"/>
          <w:sz w:val="21"/>
        </w:rPr>
        <w:t xml:space="preserve"> </w:t>
      </w:r>
      <w:r>
        <w:rPr>
          <w:spacing w:val="-36"/>
          <w:sz w:val="21"/>
        </w:rPr>
        <w:t>中</w:t>
      </w:r>
      <w:r>
        <w:rPr>
          <w:spacing w:val="-36"/>
          <w:sz w:val="21"/>
        </w:rPr>
        <w:t xml:space="preserve"> </w:t>
      </w:r>
      <w:r>
        <w:rPr>
          <w:sz w:val="21"/>
        </w:rPr>
        <w:t>6.6</w:t>
      </w:r>
      <w:r>
        <w:rPr>
          <w:spacing w:val="-10"/>
          <w:sz w:val="21"/>
        </w:rPr>
        <w:t xml:space="preserve"> </w:t>
      </w:r>
      <w:r>
        <w:rPr>
          <w:spacing w:val="-10"/>
          <w:sz w:val="21"/>
        </w:rPr>
        <w:t>规定的方法进行试验，判断试验结果是否符合</w:t>
      </w:r>
      <w:r>
        <w:rPr>
          <w:spacing w:val="-10"/>
          <w:sz w:val="21"/>
        </w:rPr>
        <w:t xml:space="preserve"> </w:t>
      </w:r>
      <w:r>
        <w:rPr>
          <w:sz w:val="21"/>
        </w:rPr>
        <w:t>4.5.1</w:t>
      </w:r>
    </w:p>
    <w:p w14:paraId="0F427D8F" w14:textId="77777777" w:rsidR="00A71EEF" w:rsidRDefault="00A71EEF">
      <w:pPr>
        <w:pStyle w:val="a3"/>
        <w:spacing w:before="12"/>
        <w:rPr>
          <w:sz w:val="17"/>
        </w:rPr>
      </w:pPr>
    </w:p>
    <w:p w14:paraId="04D7973E" w14:textId="77777777" w:rsidR="00A71EEF" w:rsidRDefault="0081115D">
      <w:pPr>
        <w:pStyle w:val="a3"/>
        <w:ind w:left="418"/>
      </w:pPr>
      <w:r>
        <w:t>的要求。</w:t>
      </w:r>
      <w:r>
        <w:t xml:space="preserve"> </w:t>
      </w:r>
    </w:p>
    <w:p w14:paraId="5DD1D327" w14:textId="77777777" w:rsidR="00A71EEF" w:rsidRDefault="00A71EEF">
      <w:pPr>
        <w:pStyle w:val="a3"/>
        <w:spacing w:before="2"/>
        <w:rPr>
          <w:sz w:val="18"/>
        </w:rPr>
      </w:pPr>
    </w:p>
    <w:p w14:paraId="559E70C2" w14:textId="77777777" w:rsidR="00A71EEF" w:rsidRDefault="0081115D">
      <w:pPr>
        <w:pStyle w:val="a4"/>
        <w:numPr>
          <w:ilvl w:val="2"/>
          <w:numId w:val="754"/>
        </w:numPr>
        <w:tabs>
          <w:tab w:val="left" w:pos="1370"/>
        </w:tabs>
        <w:ind w:hanging="530"/>
        <w:rPr>
          <w:sz w:val="21"/>
        </w:rPr>
      </w:pPr>
      <w:r>
        <w:rPr>
          <w:spacing w:val="-6"/>
          <w:sz w:val="21"/>
        </w:rPr>
        <w:t>检査泡沫车显示负压的仪表，判断试验结果是否符合</w:t>
      </w:r>
      <w:r>
        <w:rPr>
          <w:spacing w:val="-6"/>
          <w:sz w:val="21"/>
        </w:rPr>
        <w:t xml:space="preserve"> </w:t>
      </w:r>
      <w:r>
        <w:rPr>
          <w:sz w:val="21"/>
        </w:rPr>
        <w:t>4.5.2</w:t>
      </w:r>
      <w:r>
        <w:rPr>
          <w:spacing w:val="-12"/>
          <w:sz w:val="21"/>
        </w:rPr>
        <w:t xml:space="preserve"> </w:t>
      </w:r>
      <w:r>
        <w:rPr>
          <w:spacing w:val="-12"/>
          <w:sz w:val="21"/>
        </w:rPr>
        <w:t>的要求。</w:t>
      </w:r>
      <w:r>
        <w:rPr>
          <w:spacing w:val="-12"/>
          <w:sz w:val="21"/>
        </w:rPr>
        <w:t xml:space="preserve"> </w:t>
      </w:r>
    </w:p>
    <w:p w14:paraId="3A58AA67" w14:textId="77777777" w:rsidR="00A71EEF" w:rsidRDefault="00A71EEF">
      <w:pPr>
        <w:pStyle w:val="a3"/>
        <w:rPr>
          <w:sz w:val="18"/>
        </w:rPr>
      </w:pPr>
    </w:p>
    <w:p w14:paraId="768E08C8" w14:textId="77777777" w:rsidR="00A71EEF" w:rsidRDefault="0081115D">
      <w:pPr>
        <w:pStyle w:val="a4"/>
        <w:numPr>
          <w:ilvl w:val="1"/>
          <w:numId w:val="754"/>
        </w:numPr>
        <w:tabs>
          <w:tab w:val="left" w:pos="1159"/>
        </w:tabs>
        <w:ind w:hanging="319"/>
        <w:rPr>
          <w:b/>
          <w:sz w:val="21"/>
        </w:rPr>
      </w:pPr>
      <w:r>
        <w:rPr>
          <w:spacing w:val="-3"/>
          <w:sz w:val="21"/>
        </w:rPr>
        <w:t>器材摆放、固定和配备检査</w:t>
      </w:r>
      <w:r>
        <w:rPr>
          <w:b/>
          <w:w w:val="99"/>
          <w:sz w:val="21"/>
        </w:rPr>
        <w:t xml:space="preserve"> </w:t>
      </w:r>
    </w:p>
    <w:p w14:paraId="41F3D8EB" w14:textId="77777777" w:rsidR="00A71EEF" w:rsidRDefault="00A71EEF">
      <w:pPr>
        <w:pStyle w:val="a3"/>
        <w:spacing w:before="12"/>
        <w:rPr>
          <w:b/>
          <w:sz w:val="17"/>
        </w:rPr>
      </w:pPr>
    </w:p>
    <w:p w14:paraId="42D57761" w14:textId="77777777" w:rsidR="00A71EEF" w:rsidRDefault="0081115D">
      <w:pPr>
        <w:pStyle w:val="a4"/>
        <w:numPr>
          <w:ilvl w:val="2"/>
          <w:numId w:val="754"/>
        </w:numPr>
        <w:tabs>
          <w:tab w:val="left" w:pos="1371"/>
        </w:tabs>
        <w:ind w:left="1370" w:hanging="531"/>
        <w:rPr>
          <w:sz w:val="21"/>
        </w:rPr>
      </w:pPr>
      <w:r>
        <w:rPr>
          <w:spacing w:val="-19"/>
          <w:sz w:val="21"/>
        </w:rPr>
        <w:t>按照</w:t>
      </w:r>
      <w:r>
        <w:rPr>
          <w:spacing w:val="-19"/>
          <w:sz w:val="21"/>
        </w:rPr>
        <w:t xml:space="preserve"> </w:t>
      </w:r>
      <w:r>
        <w:rPr>
          <w:sz w:val="21"/>
        </w:rPr>
        <w:t>GB</w:t>
      </w:r>
      <w:r>
        <w:rPr>
          <w:spacing w:val="2"/>
          <w:sz w:val="21"/>
        </w:rPr>
        <w:t xml:space="preserve"> </w:t>
      </w:r>
      <w:r>
        <w:rPr>
          <w:sz w:val="21"/>
        </w:rPr>
        <w:t>7956.1—2014</w:t>
      </w:r>
      <w:r>
        <w:rPr>
          <w:spacing w:val="-36"/>
          <w:sz w:val="21"/>
        </w:rPr>
        <w:t xml:space="preserve"> </w:t>
      </w:r>
      <w:r>
        <w:rPr>
          <w:spacing w:val="-36"/>
          <w:sz w:val="21"/>
        </w:rPr>
        <w:t>中</w:t>
      </w:r>
      <w:r>
        <w:rPr>
          <w:spacing w:val="-36"/>
          <w:sz w:val="21"/>
        </w:rPr>
        <w:t xml:space="preserve"> </w:t>
      </w:r>
      <w:r>
        <w:rPr>
          <w:sz w:val="21"/>
        </w:rPr>
        <w:t>6.10</w:t>
      </w:r>
      <w:r>
        <w:rPr>
          <w:sz w:val="21"/>
        </w:rPr>
        <w:t>、</w:t>
      </w:r>
      <w:r>
        <w:rPr>
          <w:sz w:val="21"/>
        </w:rPr>
        <w:t>6.11</w:t>
      </w:r>
      <w:r>
        <w:rPr>
          <w:spacing w:val="-8"/>
          <w:sz w:val="21"/>
        </w:rPr>
        <w:t xml:space="preserve"> </w:t>
      </w:r>
      <w:r>
        <w:rPr>
          <w:spacing w:val="-8"/>
          <w:sz w:val="21"/>
        </w:rPr>
        <w:t>规定的方法进行试验，判断试验结果是否符合</w:t>
      </w:r>
    </w:p>
    <w:p w14:paraId="12518D12" w14:textId="77777777" w:rsidR="00A71EEF" w:rsidRDefault="00A71EEF">
      <w:pPr>
        <w:pStyle w:val="a3"/>
        <w:spacing w:before="2"/>
        <w:rPr>
          <w:sz w:val="18"/>
        </w:rPr>
      </w:pPr>
    </w:p>
    <w:p w14:paraId="5D9DB44B" w14:textId="77777777" w:rsidR="00A71EEF" w:rsidRDefault="0081115D">
      <w:pPr>
        <w:pStyle w:val="a3"/>
        <w:ind w:left="418"/>
      </w:pPr>
      <w:r>
        <w:t xml:space="preserve">4.6.1 </w:t>
      </w:r>
      <w:r>
        <w:t>的要求。</w:t>
      </w:r>
      <w:r>
        <w:t xml:space="preserve"> </w:t>
      </w:r>
    </w:p>
    <w:p w14:paraId="061A8966" w14:textId="77777777" w:rsidR="00A71EEF" w:rsidRDefault="00A71EEF">
      <w:pPr>
        <w:pStyle w:val="a3"/>
        <w:rPr>
          <w:sz w:val="18"/>
        </w:rPr>
      </w:pPr>
    </w:p>
    <w:p w14:paraId="4315D3F7" w14:textId="77777777" w:rsidR="00A71EEF" w:rsidRDefault="0081115D">
      <w:pPr>
        <w:pStyle w:val="a3"/>
        <w:ind w:left="840"/>
      </w:pPr>
      <w:r>
        <w:rPr>
          <w:b/>
        </w:rPr>
        <w:t xml:space="preserve">5.6.2 </w:t>
      </w:r>
      <w:r>
        <w:t>目测检査随车器材的种类、数量，判断试验结果是否符合</w:t>
      </w:r>
      <w:r>
        <w:t xml:space="preserve"> 4.6.2 </w:t>
      </w:r>
      <w:r>
        <w:t>的要求。</w:t>
      </w:r>
      <w:r>
        <w:t xml:space="preserve"> </w:t>
      </w:r>
    </w:p>
    <w:p w14:paraId="37717044" w14:textId="77777777" w:rsidR="00A71EEF" w:rsidRDefault="00A71EEF">
      <w:pPr>
        <w:pStyle w:val="a3"/>
        <w:spacing w:before="12"/>
        <w:rPr>
          <w:sz w:val="17"/>
        </w:rPr>
      </w:pPr>
    </w:p>
    <w:p w14:paraId="15ECA9C3" w14:textId="77777777" w:rsidR="00A71EEF" w:rsidRDefault="0081115D">
      <w:pPr>
        <w:pStyle w:val="a4"/>
        <w:numPr>
          <w:ilvl w:val="1"/>
          <w:numId w:val="754"/>
        </w:numPr>
        <w:tabs>
          <w:tab w:val="left" w:pos="1159"/>
        </w:tabs>
        <w:ind w:hanging="319"/>
        <w:rPr>
          <w:b/>
          <w:sz w:val="21"/>
        </w:rPr>
      </w:pPr>
      <w:r>
        <w:rPr>
          <w:spacing w:val="-3"/>
          <w:sz w:val="21"/>
        </w:rPr>
        <w:t>警报灯具试验</w:t>
      </w:r>
      <w:r>
        <w:rPr>
          <w:b/>
          <w:w w:val="99"/>
          <w:sz w:val="21"/>
        </w:rPr>
        <w:t xml:space="preserve"> </w:t>
      </w:r>
    </w:p>
    <w:p w14:paraId="33395523" w14:textId="77777777" w:rsidR="00A71EEF" w:rsidRDefault="00A71EEF">
      <w:pPr>
        <w:rPr>
          <w:sz w:val="21"/>
        </w:rPr>
        <w:sectPr w:rsidR="00A71EEF">
          <w:pgSz w:w="11910" w:h="16850"/>
          <w:pgMar w:top="1220" w:right="0" w:bottom="1420" w:left="1260" w:header="0" w:footer="1239" w:gutter="0"/>
          <w:cols w:space="720"/>
        </w:sectPr>
      </w:pPr>
    </w:p>
    <w:p w14:paraId="3983FB81" w14:textId="77777777" w:rsidR="00A71EEF" w:rsidRDefault="0081115D">
      <w:pPr>
        <w:pStyle w:val="a3"/>
        <w:spacing w:before="47"/>
        <w:ind w:left="838"/>
      </w:pPr>
      <w:r>
        <w:lastRenderedPageBreak/>
        <w:t>按照</w:t>
      </w:r>
      <w:r>
        <w:t xml:space="preserve"> GB 7956.1—2014 </w:t>
      </w:r>
      <w:r>
        <w:t>中</w:t>
      </w:r>
      <w:r>
        <w:t xml:space="preserve"> 6.7.28~6.7.31 </w:t>
      </w:r>
      <w:r>
        <w:t>规定的方法进行试验，判断试验结果是否符合</w:t>
      </w:r>
      <w:r>
        <w:t xml:space="preserve"> 4.7</w:t>
      </w:r>
    </w:p>
    <w:p w14:paraId="17544AE6" w14:textId="77777777" w:rsidR="00A71EEF" w:rsidRDefault="00A71EEF">
      <w:pPr>
        <w:pStyle w:val="a3"/>
        <w:rPr>
          <w:sz w:val="18"/>
        </w:rPr>
      </w:pPr>
    </w:p>
    <w:p w14:paraId="17CA1487" w14:textId="77777777" w:rsidR="00A71EEF" w:rsidRDefault="0081115D">
      <w:pPr>
        <w:pStyle w:val="a3"/>
        <w:ind w:left="418"/>
      </w:pPr>
      <w:r>
        <w:t>的要求。</w:t>
      </w:r>
      <w:r>
        <w:t xml:space="preserve"> </w:t>
      </w:r>
    </w:p>
    <w:p w14:paraId="3E8230A5" w14:textId="77777777" w:rsidR="00A71EEF" w:rsidRDefault="00A71EEF">
      <w:pPr>
        <w:pStyle w:val="a3"/>
        <w:rPr>
          <w:sz w:val="18"/>
        </w:rPr>
      </w:pPr>
    </w:p>
    <w:p w14:paraId="23910D39" w14:textId="77777777" w:rsidR="00A71EEF" w:rsidRDefault="0081115D">
      <w:pPr>
        <w:pStyle w:val="a4"/>
        <w:numPr>
          <w:ilvl w:val="1"/>
          <w:numId w:val="754"/>
        </w:numPr>
        <w:tabs>
          <w:tab w:val="left" w:pos="1159"/>
        </w:tabs>
        <w:ind w:hanging="319"/>
        <w:rPr>
          <w:sz w:val="24"/>
        </w:rPr>
      </w:pPr>
      <w:r>
        <w:rPr>
          <w:spacing w:val="-3"/>
          <w:sz w:val="21"/>
        </w:rPr>
        <w:t>随车文件、工具及易损件检査</w:t>
      </w:r>
      <w:r>
        <w:rPr>
          <w:sz w:val="24"/>
        </w:rPr>
        <w:t xml:space="preserve"> </w:t>
      </w:r>
    </w:p>
    <w:p w14:paraId="0EB51109" w14:textId="77777777" w:rsidR="00A71EEF" w:rsidRDefault="00A71EEF">
      <w:pPr>
        <w:pStyle w:val="a3"/>
        <w:spacing w:before="1"/>
        <w:rPr>
          <w:sz w:val="18"/>
        </w:rPr>
      </w:pPr>
    </w:p>
    <w:p w14:paraId="535B4B21" w14:textId="77777777" w:rsidR="00A71EEF" w:rsidRDefault="0081115D">
      <w:pPr>
        <w:pStyle w:val="a4"/>
        <w:numPr>
          <w:ilvl w:val="2"/>
          <w:numId w:val="754"/>
        </w:numPr>
        <w:tabs>
          <w:tab w:val="left" w:pos="1371"/>
        </w:tabs>
        <w:spacing w:before="1"/>
        <w:ind w:left="1370" w:hanging="531"/>
        <w:rPr>
          <w:sz w:val="21"/>
        </w:rPr>
      </w:pPr>
      <w:r>
        <w:rPr>
          <w:spacing w:val="-5"/>
          <w:sz w:val="21"/>
        </w:rPr>
        <w:t>查阅随车交付的相关文件，文件内容是否清晰完整，判断试验结果是否符合</w:t>
      </w:r>
      <w:r>
        <w:rPr>
          <w:spacing w:val="-5"/>
          <w:sz w:val="21"/>
        </w:rPr>
        <w:t xml:space="preserve"> </w:t>
      </w:r>
      <w:r>
        <w:rPr>
          <w:sz w:val="21"/>
        </w:rPr>
        <w:t>4.8.1</w:t>
      </w:r>
    </w:p>
    <w:p w14:paraId="705E080D" w14:textId="77777777" w:rsidR="00A71EEF" w:rsidRDefault="00A71EEF">
      <w:pPr>
        <w:pStyle w:val="a3"/>
        <w:spacing w:before="12"/>
        <w:rPr>
          <w:sz w:val="17"/>
        </w:rPr>
      </w:pPr>
    </w:p>
    <w:p w14:paraId="6267DD79" w14:textId="77777777" w:rsidR="00A71EEF" w:rsidRDefault="0081115D">
      <w:pPr>
        <w:pStyle w:val="a3"/>
        <w:ind w:left="418"/>
      </w:pPr>
      <w:r>
        <w:t>的要求。</w:t>
      </w:r>
      <w:r>
        <w:t xml:space="preserve"> </w:t>
      </w:r>
    </w:p>
    <w:p w14:paraId="45A84373" w14:textId="77777777" w:rsidR="00A71EEF" w:rsidRDefault="00A71EEF">
      <w:pPr>
        <w:pStyle w:val="a3"/>
        <w:spacing w:before="12"/>
        <w:rPr>
          <w:sz w:val="17"/>
        </w:rPr>
      </w:pPr>
    </w:p>
    <w:p w14:paraId="63305A1B" w14:textId="77777777" w:rsidR="00A71EEF" w:rsidRDefault="0081115D">
      <w:pPr>
        <w:pStyle w:val="a4"/>
        <w:numPr>
          <w:ilvl w:val="2"/>
          <w:numId w:val="754"/>
        </w:numPr>
        <w:tabs>
          <w:tab w:val="left" w:pos="1371"/>
        </w:tabs>
        <w:ind w:left="1370" w:hanging="531"/>
        <w:rPr>
          <w:sz w:val="21"/>
        </w:rPr>
      </w:pPr>
      <w:r>
        <w:rPr>
          <w:spacing w:val="-3"/>
          <w:sz w:val="21"/>
        </w:rPr>
        <w:t>目测检査随车配置的专用工具、密封件和保险丝是否齐全，判断试验结果是否符合</w:t>
      </w:r>
    </w:p>
    <w:p w14:paraId="50FDBB03" w14:textId="77777777" w:rsidR="00A71EEF" w:rsidRDefault="0081115D">
      <w:pPr>
        <w:pStyle w:val="a3"/>
        <w:spacing w:before="166"/>
        <w:ind w:left="418"/>
      </w:pPr>
      <w:r>
        <w:t>4.8.2</w:t>
      </w:r>
      <w:r>
        <w:rPr>
          <w:rFonts w:ascii="微软雅黑" w:eastAsia="微软雅黑" w:hint="eastAsia"/>
        </w:rPr>
        <w:t>〜</w:t>
      </w:r>
      <w:r>
        <w:t xml:space="preserve">4.8.3 </w:t>
      </w:r>
      <w:r>
        <w:t>的要求。</w:t>
      </w:r>
      <w:r>
        <w:t xml:space="preserve"> </w:t>
      </w:r>
    </w:p>
    <w:p w14:paraId="30FC4FF0" w14:textId="77777777" w:rsidR="00A71EEF" w:rsidRDefault="0081115D">
      <w:pPr>
        <w:pStyle w:val="4"/>
        <w:spacing w:before="150"/>
      </w:pPr>
      <w:r>
        <w:t xml:space="preserve">6 </w:t>
      </w:r>
      <w:r>
        <w:t>检验规则</w:t>
      </w:r>
      <w:r>
        <w:rPr>
          <w:w w:val="99"/>
        </w:rPr>
        <w:t xml:space="preserve"> </w:t>
      </w:r>
    </w:p>
    <w:p w14:paraId="5A93689A" w14:textId="77777777" w:rsidR="00A71EEF" w:rsidRDefault="00A71EEF">
      <w:pPr>
        <w:pStyle w:val="a3"/>
        <w:spacing w:before="3"/>
        <w:rPr>
          <w:b/>
          <w:sz w:val="17"/>
        </w:rPr>
      </w:pPr>
    </w:p>
    <w:p w14:paraId="6420C18C" w14:textId="77777777" w:rsidR="00A71EEF" w:rsidRDefault="0081115D">
      <w:pPr>
        <w:pStyle w:val="a4"/>
        <w:numPr>
          <w:ilvl w:val="1"/>
          <w:numId w:val="753"/>
        </w:numPr>
        <w:tabs>
          <w:tab w:val="left" w:pos="1160"/>
        </w:tabs>
        <w:rPr>
          <w:b/>
          <w:sz w:val="21"/>
        </w:rPr>
      </w:pPr>
      <w:r>
        <w:rPr>
          <w:spacing w:val="-3"/>
          <w:sz w:val="21"/>
        </w:rPr>
        <w:t>检验分类</w:t>
      </w:r>
      <w:r>
        <w:rPr>
          <w:b/>
          <w:w w:val="99"/>
          <w:sz w:val="21"/>
        </w:rPr>
        <w:t xml:space="preserve"> </w:t>
      </w:r>
    </w:p>
    <w:p w14:paraId="57ADFD63" w14:textId="77777777" w:rsidR="00A71EEF" w:rsidRDefault="00A71EEF">
      <w:pPr>
        <w:pStyle w:val="a3"/>
        <w:spacing w:before="2"/>
        <w:rPr>
          <w:b/>
          <w:sz w:val="18"/>
        </w:rPr>
      </w:pPr>
    </w:p>
    <w:p w14:paraId="48DE9D86" w14:textId="77777777" w:rsidR="00A71EEF" w:rsidRDefault="0081115D">
      <w:pPr>
        <w:pStyle w:val="a4"/>
        <w:numPr>
          <w:ilvl w:val="2"/>
          <w:numId w:val="753"/>
        </w:numPr>
        <w:tabs>
          <w:tab w:val="left" w:pos="1370"/>
        </w:tabs>
        <w:ind w:hanging="530"/>
        <w:rPr>
          <w:sz w:val="21"/>
        </w:rPr>
      </w:pPr>
      <w:r>
        <w:rPr>
          <w:spacing w:val="-3"/>
          <w:sz w:val="21"/>
        </w:rPr>
        <w:t>出厂试验</w:t>
      </w:r>
      <w:r>
        <w:rPr>
          <w:sz w:val="21"/>
        </w:rPr>
        <w:t xml:space="preserve"> </w:t>
      </w:r>
    </w:p>
    <w:p w14:paraId="1F4E005D" w14:textId="77777777" w:rsidR="00A71EEF" w:rsidRDefault="00A71EEF">
      <w:pPr>
        <w:pStyle w:val="a3"/>
        <w:rPr>
          <w:sz w:val="18"/>
        </w:rPr>
      </w:pPr>
    </w:p>
    <w:p w14:paraId="0E70ABBB" w14:textId="77777777" w:rsidR="00A71EEF" w:rsidRDefault="0081115D">
      <w:pPr>
        <w:pStyle w:val="a3"/>
        <w:spacing w:line="446" w:lineRule="auto"/>
        <w:ind w:left="418" w:right="1611" w:firstLine="419"/>
      </w:pPr>
      <w:r>
        <w:rPr>
          <w:spacing w:val="-8"/>
        </w:rPr>
        <w:t>检验项目至少应包括表</w:t>
      </w:r>
      <w:r>
        <w:rPr>
          <w:spacing w:val="-8"/>
        </w:rPr>
        <w:t xml:space="preserve"> </w:t>
      </w:r>
      <w:r>
        <w:t>5</w:t>
      </w:r>
      <w:r>
        <w:rPr>
          <w:spacing w:val="-12"/>
        </w:rPr>
        <w:t xml:space="preserve"> </w:t>
      </w:r>
      <w:r>
        <w:rPr>
          <w:spacing w:val="-12"/>
        </w:rPr>
        <w:t>中出厂检验的内容，其结果应符合</w:t>
      </w:r>
      <w:r>
        <w:rPr>
          <w:spacing w:val="-12"/>
        </w:rPr>
        <w:t xml:space="preserve"> </w:t>
      </w:r>
      <w:r>
        <w:t>GB 7956.1—2014</w:t>
      </w:r>
      <w:r>
        <w:rPr>
          <w:spacing w:val="-10"/>
        </w:rPr>
        <w:t xml:space="preserve"> </w:t>
      </w:r>
      <w:r>
        <w:rPr>
          <w:spacing w:val="-10"/>
        </w:rPr>
        <w:t>和本部分的</w:t>
      </w:r>
      <w:r>
        <w:rPr>
          <w:spacing w:val="-8"/>
        </w:rPr>
        <w:t>规定。</w:t>
      </w:r>
      <w:r>
        <w:t xml:space="preserve"> </w:t>
      </w:r>
    </w:p>
    <w:p w14:paraId="1378E467" w14:textId="77777777" w:rsidR="00A71EEF" w:rsidRDefault="0081115D">
      <w:pPr>
        <w:pStyle w:val="a4"/>
        <w:numPr>
          <w:ilvl w:val="2"/>
          <w:numId w:val="753"/>
        </w:numPr>
        <w:tabs>
          <w:tab w:val="left" w:pos="1370"/>
        </w:tabs>
        <w:ind w:hanging="530"/>
        <w:rPr>
          <w:sz w:val="21"/>
        </w:rPr>
      </w:pPr>
      <w:r>
        <w:rPr>
          <w:spacing w:val="-3"/>
          <w:sz w:val="21"/>
        </w:rPr>
        <w:t>形式试验</w:t>
      </w:r>
      <w:r>
        <w:rPr>
          <w:sz w:val="21"/>
        </w:rPr>
        <w:t xml:space="preserve"> </w:t>
      </w:r>
    </w:p>
    <w:p w14:paraId="1FDEF120" w14:textId="77777777" w:rsidR="00A71EEF" w:rsidRDefault="00A71EEF">
      <w:pPr>
        <w:pStyle w:val="a3"/>
        <w:spacing w:before="12"/>
        <w:rPr>
          <w:sz w:val="17"/>
        </w:rPr>
      </w:pPr>
    </w:p>
    <w:p w14:paraId="46D52AD2" w14:textId="77777777" w:rsidR="00A71EEF" w:rsidRDefault="0081115D">
      <w:pPr>
        <w:pStyle w:val="a4"/>
        <w:numPr>
          <w:ilvl w:val="3"/>
          <w:numId w:val="753"/>
        </w:numPr>
        <w:tabs>
          <w:tab w:val="left" w:pos="1576"/>
        </w:tabs>
        <w:rPr>
          <w:sz w:val="21"/>
        </w:rPr>
      </w:pPr>
      <w:r>
        <w:rPr>
          <w:spacing w:val="-3"/>
          <w:sz w:val="21"/>
        </w:rPr>
        <w:t>凡属下列情况之一时应进行形式试验：</w:t>
      </w:r>
      <w:r>
        <w:rPr>
          <w:sz w:val="21"/>
        </w:rPr>
        <w:t xml:space="preserve"> </w:t>
      </w:r>
    </w:p>
    <w:p w14:paraId="7AD89E17" w14:textId="77777777" w:rsidR="00A71EEF" w:rsidRDefault="00A71EEF">
      <w:pPr>
        <w:pStyle w:val="a3"/>
        <w:rPr>
          <w:sz w:val="18"/>
        </w:rPr>
      </w:pPr>
    </w:p>
    <w:p w14:paraId="6335D675" w14:textId="77777777" w:rsidR="00A71EEF" w:rsidRDefault="0081115D">
      <w:pPr>
        <w:pStyle w:val="a3"/>
        <w:ind w:left="838"/>
      </w:pPr>
      <w:r>
        <w:t>——</w:t>
      </w:r>
      <w:r>
        <w:t>新产品试制定型或老产品转厂生产；</w:t>
      </w:r>
      <w:r>
        <w:t xml:space="preserve"> </w:t>
      </w:r>
    </w:p>
    <w:p w14:paraId="23713B52" w14:textId="77777777" w:rsidR="00A71EEF" w:rsidRDefault="00A71EEF">
      <w:pPr>
        <w:pStyle w:val="a3"/>
        <w:spacing w:before="2"/>
        <w:rPr>
          <w:sz w:val="18"/>
        </w:rPr>
      </w:pPr>
    </w:p>
    <w:p w14:paraId="49FD7315" w14:textId="77777777" w:rsidR="00A71EEF" w:rsidRDefault="0081115D">
      <w:pPr>
        <w:pStyle w:val="a3"/>
        <w:spacing w:line="446" w:lineRule="auto"/>
        <w:ind w:left="418" w:right="1817" w:firstLine="419"/>
      </w:pPr>
      <w:r>
        <w:t>——</w:t>
      </w:r>
      <w:r>
        <w:t>批量生产后，主要结构部件设计及生产工艺有重大改变，应抽样进行相应项目的试验；</w:t>
      </w:r>
      <w:r>
        <w:t xml:space="preserve"> </w:t>
      </w:r>
    </w:p>
    <w:p w14:paraId="1B34D29C" w14:textId="77777777" w:rsidR="00A71EEF" w:rsidRDefault="0081115D">
      <w:pPr>
        <w:pStyle w:val="a3"/>
        <w:spacing w:line="267" w:lineRule="exact"/>
        <w:ind w:left="838"/>
      </w:pPr>
      <w:r>
        <w:t>——</w:t>
      </w:r>
      <w:r>
        <w:t>产品停产两年后，恢复生产；</w:t>
      </w:r>
      <w:r>
        <w:t xml:space="preserve"> </w:t>
      </w:r>
    </w:p>
    <w:p w14:paraId="54806650" w14:textId="77777777" w:rsidR="00A71EEF" w:rsidRDefault="00A71EEF">
      <w:pPr>
        <w:pStyle w:val="a3"/>
        <w:spacing w:before="2"/>
        <w:rPr>
          <w:sz w:val="18"/>
        </w:rPr>
      </w:pPr>
    </w:p>
    <w:p w14:paraId="5CE1FB61" w14:textId="77777777" w:rsidR="00A71EEF" w:rsidRDefault="0081115D">
      <w:pPr>
        <w:pStyle w:val="a3"/>
        <w:ind w:left="838"/>
      </w:pPr>
      <w:r>
        <w:t>——</w:t>
      </w:r>
      <w:r>
        <w:t>发生重大质量事故整改后；</w:t>
      </w:r>
      <w:r>
        <w:t xml:space="preserve"> </w:t>
      </w:r>
    </w:p>
    <w:p w14:paraId="64759CCA" w14:textId="77777777" w:rsidR="00A71EEF" w:rsidRDefault="00A71EEF">
      <w:pPr>
        <w:pStyle w:val="a3"/>
        <w:rPr>
          <w:sz w:val="18"/>
        </w:rPr>
      </w:pPr>
    </w:p>
    <w:p w14:paraId="0F0CE872" w14:textId="77777777" w:rsidR="00A71EEF" w:rsidRDefault="0081115D">
      <w:pPr>
        <w:pStyle w:val="a3"/>
        <w:ind w:left="838"/>
      </w:pPr>
      <w:r>
        <w:t>——</w:t>
      </w:r>
      <w:r>
        <w:t>质量监督机构依法提出要求。</w:t>
      </w:r>
      <w:r>
        <w:t xml:space="preserve"> </w:t>
      </w:r>
    </w:p>
    <w:p w14:paraId="7D3E28F0" w14:textId="77777777" w:rsidR="00A71EEF" w:rsidRDefault="00A71EEF">
      <w:pPr>
        <w:pStyle w:val="a3"/>
        <w:rPr>
          <w:sz w:val="20"/>
        </w:rPr>
      </w:pPr>
    </w:p>
    <w:p w14:paraId="54B582FC" w14:textId="77777777" w:rsidR="00A71EEF" w:rsidRDefault="00A71EEF">
      <w:pPr>
        <w:pStyle w:val="a3"/>
        <w:rPr>
          <w:sz w:val="20"/>
        </w:rPr>
      </w:pPr>
    </w:p>
    <w:p w14:paraId="526EEADE" w14:textId="77777777" w:rsidR="00A71EEF" w:rsidRDefault="00A71EEF">
      <w:pPr>
        <w:pStyle w:val="a3"/>
        <w:rPr>
          <w:sz w:val="20"/>
        </w:rPr>
      </w:pPr>
    </w:p>
    <w:p w14:paraId="04352104" w14:textId="77777777" w:rsidR="00A71EEF" w:rsidRDefault="00A71EEF">
      <w:pPr>
        <w:pStyle w:val="a3"/>
        <w:rPr>
          <w:sz w:val="20"/>
        </w:rPr>
      </w:pPr>
    </w:p>
    <w:p w14:paraId="05404C2E" w14:textId="77777777" w:rsidR="00A71EEF" w:rsidRDefault="00A71EEF">
      <w:pPr>
        <w:pStyle w:val="a3"/>
        <w:rPr>
          <w:sz w:val="20"/>
        </w:rPr>
      </w:pPr>
    </w:p>
    <w:p w14:paraId="0EB73D42" w14:textId="77777777" w:rsidR="00A71EEF" w:rsidRDefault="00A71EEF">
      <w:pPr>
        <w:pStyle w:val="a3"/>
        <w:spacing w:before="6"/>
        <w:rPr>
          <w:sz w:val="29"/>
        </w:rPr>
      </w:pPr>
    </w:p>
    <w:p w14:paraId="26B5B776" w14:textId="77777777" w:rsidR="00A71EEF" w:rsidRDefault="0081115D">
      <w:pPr>
        <w:pStyle w:val="a3"/>
        <w:spacing w:before="71"/>
        <w:ind w:left="838"/>
      </w:pPr>
      <w:r>
        <w:t xml:space="preserve"> </w:t>
      </w:r>
    </w:p>
    <w:p w14:paraId="244C0355" w14:textId="77777777" w:rsidR="00A71EEF" w:rsidRDefault="00A71EEF">
      <w:pPr>
        <w:sectPr w:rsidR="00A71EEF">
          <w:pgSz w:w="11910" w:h="16850"/>
          <w:pgMar w:top="1220" w:right="0" w:bottom="1420" w:left="1260" w:header="0" w:footer="1239" w:gutter="0"/>
          <w:cols w:space="720"/>
        </w:sectPr>
      </w:pPr>
    </w:p>
    <w:p w14:paraId="1328A913" w14:textId="77777777" w:rsidR="00A71EEF" w:rsidRDefault="0081115D">
      <w:pPr>
        <w:pStyle w:val="a4"/>
        <w:numPr>
          <w:ilvl w:val="3"/>
          <w:numId w:val="753"/>
        </w:numPr>
        <w:tabs>
          <w:tab w:val="left" w:pos="1576"/>
        </w:tabs>
        <w:spacing w:before="47"/>
        <w:rPr>
          <w:sz w:val="21"/>
        </w:rPr>
      </w:pPr>
      <w:r>
        <w:rPr>
          <w:noProof/>
        </w:rPr>
        <w:lastRenderedPageBreak/>
        <w:drawing>
          <wp:anchor distT="0" distB="0" distL="0" distR="0" simplePos="0" relativeHeight="251509248" behindDoc="0" locked="0" layoutInCell="1" allowOverlap="1" wp14:anchorId="51776521" wp14:editId="6C6F7FBF">
            <wp:simplePos x="0" y="0"/>
            <wp:positionH relativeFrom="page">
              <wp:posOffset>1456055</wp:posOffset>
            </wp:positionH>
            <wp:positionV relativeFrom="paragraph">
              <wp:posOffset>241045</wp:posOffset>
            </wp:positionV>
            <wp:extent cx="4663978" cy="6410610"/>
            <wp:effectExtent l="0" t="0" r="0" b="0"/>
            <wp:wrapTopAndBottom/>
            <wp:docPr id="145" name="image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100.jpeg"/>
                    <pic:cNvPicPr/>
                  </pic:nvPicPr>
                  <pic:blipFill>
                    <a:blip r:embed="rId98" cstate="print"/>
                    <a:stretch>
                      <a:fillRect/>
                    </a:stretch>
                  </pic:blipFill>
                  <pic:spPr>
                    <a:xfrm>
                      <a:off x="0" y="0"/>
                      <a:ext cx="4663978" cy="6410610"/>
                    </a:xfrm>
                    <a:prstGeom prst="rect">
                      <a:avLst/>
                    </a:prstGeom>
                  </pic:spPr>
                </pic:pic>
              </a:graphicData>
            </a:graphic>
          </wp:anchor>
        </w:drawing>
      </w:r>
      <w:r>
        <w:rPr>
          <w:spacing w:val="-9"/>
          <w:sz w:val="21"/>
        </w:rPr>
        <w:t>检验项目应包括表</w:t>
      </w:r>
      <w:r>
        <w:rPr>
          <w:spacing w:val="-9"/>
          <w:sz w:val="21"/>
        </w:rPr>
        <w:t xml:space="preserve"> </w:t>
      </w:r>
      <w:r>
        <w:rPr>
          <w:sz w:val="21"/>
        </w:rPr>
        <w:t>5</w:t>
      </w:r>
      <w:r>
        <w:rPr>
          <w:spacing w:val="-9"/>
          <w:sz w:val="21"/>
        </w:rPr>
        <w:t xml:space="preserve"> </w:t>
      </w:r>
      <w:r>
        <w:rPr>
          <w:spacing w:val="-9"/>
          <w:sz w:val="21"/>
        </w:rPr>
        <w:t>中型式检验的内容。</w:t>
      </w:r>
      <w:r>
        <w:rPr>
          <w:sz w:val="21"/>
        </w:rPr>
        <w:t xml:space="preserve"> </w:t>
      </w:r>
    </w:p>
    <w:p w14:paraId="19EB0589" w14:textId="77777777" w:rsidR="00A71EEF" w:rsidRDefault="00A71EEF">
      <w:pPr>
        <w:rPr>
          <w:sz w:val="21"/>
        </w:rPr>
        <w:sectPr w:rsidR="00A71EEF">
          <w:pgSz w:w="11910" w:h="16850"/>
          <w:pgMar w:top="1220" w:right="0" w:bottom="1420" w:left="1260" w:header="0" w:footer="1239" w:gutter="0"/>
          <w:cols w:space="720"/>
        </w:sectPr>
      </w:pPr>
    </w:p>
    <w:p w14:paraId="6840251F" w14:textId="77777777" w:rsidR="00A71EEF" w:rsidRDefault="0081115D">
      <w:pPr>
        <w:pStyle w:val="a3"/>
        <w:ind w:left="867"/>
        <w:rPr>
          <w:sz w:val="20"/>
        </w:rPr>
      </w:pPr>
      <w:r>
        <w:rPr>
          <w:noProof/>
          <w:sz w:val="20"/>
        </w:rPr>
        <w:lastRenderedPageBreak/>
        <w:drawing>
          <wp:inline distT="0" distB="0" distL="0" distR="0" wp14:anchorId="0C84BDA6" wp14:editId="5B6C3523">
            <wp:extent cx="4817358" cy="8622411"/>
            <wp:effectExtent l="0" t="0" r="0" b="0"/>
            <wp:docPr id="147"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101.png"/>
                    <pic:cNvPicPr/>
                  </pic:nvPicPr>
                  <pic:blipFill>
                    <a:blip r:embed="rId99" cstate="print"/>
                    <a:stretch>
                      <a:fillRect/>
                    </a:stretch>
                  </pic:blipFill>
                  <pic:spPr>
                    <a:xfrm>
                      <a:off x="0" y="0"/>
                      <a:ext cx="4817358" cy="8622411"/>
                    </a:xfrm>
                    <a:prstGeom prst="rect">
                      <a:avLst/>
                    </a:prstGeom>
                  </pic:spPr>
                </pic:pic>
              </a:graphicData>
            </a:graphic>
          </wp:inline>
        </w:drawing>
      </w:r>
    </w:p>
    <w:p w14:paraId="7FDCF39E" w14:textId="77777777" w:rsidR="00A71EEF" w:rsidRDefault="0081115D">
      <w:pPr>
        <w:pStyle w:val="a3"/>
        <w:spacing w:line="259" w:lineRule="exact"/>
        <w:ind w:left="418"/>
      </w:pPr>
      <w:r>
        <w:t xml:space="preserve"> </w:t>
      </w:r>
    </w:p>
    <w:p w14:paraId="5A7B010A" w14:textId="77777777" w:rsidR="00A71EEF" w:rsidRDefault="0081115D">
      <w:pPr>
        <w:pStyle w:val="a3"/>
        <w:spacing w:before="4"/>
        <w:ind w:left="418"/>
      </w:pPr>
      <w:r>
        <w:t xml:space="preserve"> </w:t>
      </w:r>
    </w:p>
    <w:p w14:paraId="3BE3B439" w14:textId="77777777" w:rsidR="00A71EEF" w:rsidRDefault="00A71EEF">
      <w:pPr>
        <w:sectPr w:rsidR="00A71EEF">
          <w:pgSz w:w="11910" w:h="16850"/>
          <w:pgMar w:top="1160" w:right="0" w:bottom="1420" w:left="1260" w:header="0" w:footer="1239" w:gutter="0"/>
          <w:cols w:space="720"/>
        </w:sectPr>
      </w:pPr>
    </w:p>
    <w:p w14:paraId="2985D583" w14:textId="77777777" w:rsidR="00A71EEF" w:rsidRDefault="0081115D">
      <w:pPr>
        <w:spacing w:before="59"/>
        <w:ind w:left="840"/>
        <w:rPr>
          <w:sz w:val="21"/>
        </w:rPr>
      </w:pPr>
      <w:r>
        <w:rPr>
          <w:b/>
          <w:sz w:val="21"/>
        </w:rPr>
        <w:lastRenderedPageBreak/>
        <w:t xml:space="preserve">6.2 </w:t>
      </w:r>
      <w:r>
        <w:rPr>
          <w:sz w:val="21"/>
        </w:rPr>
        <w:t>判定规则</w:t>
      </w:r>
      <w:r>
        <w:rPr>
          <w:sz w:val="21"/>
        </w:rPr>
        <w:t xml:space="preserve"> </w:t>
      </w:r>
    </w:p>
    <w:p w14:paraId="0E5CBE29" w14:textId="77777777" w:rsidR="00A71EEF" w:rsidRDefault="00A71EEF">
      <w:pPr>
        <w:pStyle w:val="a3"/>
        <w:spacing w:before="2"/>
        <w:rPr>
          <w:sz w:val="18"/>
        </w:rPr>
      </w:pPr>
    </w:p>
    <w:p w14:paraId="16F7EDE2" w14:textId="77777777" w:rsidR="00A71EEF" w:rsidRDefault="0081115D">
      <w:pPr>
        <w:pStyle w:val="a3"/>
        <w:spacing w:line="446" w:lineRule="auto"/>
        <w:ind w:left="418" w:right="1505" w:firstLine="419"/>
      </w:pPr>
      <w:r>
        <w:rPr>
          <w:spacing w:val="-27"/>
        </w:rPr>
        <w:t>表</w:t>
      </w:r>
      <w:r>
        <w:rPr>
          <w:spacing w:val="-27"/>
        </w:rPr>
        <w:t xml:space="preserve"> </w:t>
      </w:r>
      <w:r>
        <w:t>5</w:t>
      </w:r>
      <w:r>
        <w:rPr>
          <w:spacing w:val="-36"/>
        </w:rPr>
        <w:t xml:space="preserve"> </w:t>
      </w:r>
      <w:r>
        <w:rPr>
          <w:spacing w:val="-36"/>
        </w:rPr>
        <w:t>第</w:t>
      </w:r>
      <w:r>
        <w:rPr>
          <w:spacing w:val="-36"/>
        </w:rPr>
        <w:t xml:space="preserve"> </w:t>
      </w:r>
      <w:r>
        <w:t>1</w:t>
      </w:r>
      <w:r>
        <w:rPr>
          <w:spacing w:val="-28"/>
        </w:rPr>
        <w:t xml:space="preserve"> </w:t>
      </w:r>
      <w:r>
        <w:rPr>
          <w:spacing w:val="-28"/>
        </w:rPr>
        <w:t>项中</w:t>
      </w:r>
      <w:r>
        <w:rPr>
          <w:spacing w:val="-28"/>
        </w:rPr>
        <w:t xml:space="preserve"> </w:t>
      </w:r>
      <w:r>
        <w:t>5.1.4</w:t>
      </w:r>
      <w:r>
        <w:t>、</w:t>
      </w:r>
      <w:r>
        <w:t>5.1.5</w:t>
      </w:r>
      <w:r>
        <w:t>、</w:t>
      </w:r>
      <w:r>
        <w:t>5.1.6</w:t>
      </w:r>
      <w:r>
        <w:rPr>
          <w:spacing w:val="-18"/>
        </w:rPr>
        <w:t>、第</w:t>
      </w:r>
      <w:r>
        <w:rPr>
          <w:spacing w:val="-18"/>
        </w:rPr>
        <w:t xml:space="preserve"> </w:t>
      </w:r>
      <w:r>
        <w:t>3</w:t>
      </w:r>
      <w:r>
        <w:rPr>
          <w:spacing w:val="-23"/>
        </w:rPr>
        <w:t xml:space="preserve"> </w:t>
      </w:r>
      <w:r>
        <w:rPr>
          <w:spacing w:val="-23"/>
        </w:rPr>
        <w:t>项、第</w:t>
      </w:r>
      <w:r>
        <w:rPr>
          <w:spacing w:val="-23"/>
        </w:rPr>
        <w:t xml:space="preserve"> </w:t>
      </w:r>
      <w:r>
        <w:t>5</w:t>
      </w:r>
      <w:r>
        <w:rPr>
          <w:spacing w:val="-27"/>
        </w:rPr>
        <w:t xml:space="preserve"> </w:t>
      </w:r>
      <w:r>
        <w:rPr>
          <w:spacing w:val="-27"/>
        </w:rPr>
        <w:t>项中</w:t>
      </w:r>
      <w:r>
        <w:rPr>
          <w:spacing w:val="-27"/>
        </w:rPr>
        <w:t xml:space="preserve"> </w:t>
      </w:r>
      <w:r>
        <w:t>5.5.7</w:t>
      </w:r>
      <w:r>
        <w:rPr>
          <w:spacing w:val="-18"/>
        </w:rPr>
        <w:t>、第</w:t>
      </w:r>
      <w:r>
        <w:rPr>
          <w:spacing w:val="-18"/>
        </w:rPr>
        <w:t xml:space="preserve"> </w:t>
      </w:r>
      <w:r>
        <w:t>8</w:t>
      </w:r>
      <w:r>
        <w:rPr>
          <w:spacing w:val="-23"/>
        </w:rPr>
        <w:t xml:space="preserve"> </w:t>
      </w:r>
      <w:r>
        <w:rPr>
          <w:spacing w:val="-23"/>
        </w:rPr>
        <w:t>项、第</w:t>
      </w:r>
      <w:r>
        <w:rPr>
          <w:spacing w:val="-23"/>
        </w:rPr>
        <w:t xml:space="preserve"> </w:t>
      </w:r>
      <w:r>
        <w:t>13</w:t>
      </w:r>
      <w:r>
        <w:rPr>
          <w:spacing w:val="-23"/>
        </w:rPr>
        <w:t xml:space="preserve"> </w:t>
      </w:r>
      <w:r>
        <w:rPr>
          <w:spacing w:val="-23"/>
        </w:rPr>
        <w:t>项、第</w:t>
      </w:r>
      <w:r>
        <w:rPr>
          <w:spacing w:val="-23"/>
        </w:rPr>
        <w:t xml:space="preserve"> </w:t>
      </w:r>
      <w:r>
        <w:t xml:space="preserve">16 </w:t>
      </w:r>
      <w:r>
        <w:rPr>
          <w:spacing w:val="-14"/>
        </w:rPr>
        <w:t>项、第</w:t>
      </w:r>
      <w:r>
        <w:rPr>
          <w:spacing w:val="-14"/>
        </w:rPr>
        <w:t xml:space="preserve"> </w:t>
      </w:r>
      <w:r>
        <w:t>17</w:t>
      </w:r>
      <w:r>
        <w:rPr>
          <w:spacing w:val="-21"/>
        </w:rPr>
        <w:t xml:space="preserve"> </w:t>
      </w:r>
      <w:r>
        <w:rPr>
          <w:spacing w:val="-21"/>
        </w:rPr>
        <w:t>项、第</w:t>
      </w:r>
      <w:r>
        <w:rPr>
          <w:spacing w:val="-21"/>
        </w:rPr>
        <w:t xml:space="preserve"> </w:t>
      </w:r>
      <w:r>
        <w:t>18</w:t>
      </w:r>
      <w:r>
        <w:rPr>
          <w:spacing w:val="-11"/>
        </w:rPr>
        <w:t xml:space="preserve"> </w:t>
      </w:r>
      <w:r>
        <w:rPr>
          <w:spacing w:val="-11"/>
        </w:rPr>
        <w:t>项中</w:t>
      </w:r>
      <w:r>
        <w:rPr>
          <w:spacing w:val="-11"/>
        </w:rPr>
        <w:t xml:space="preserve"> </w:t>
      </w:r>
      <w:r>
        <w:t>4.4.2</w:t>
      </w:r>
      <w:r>
        <w:rPr>
          <w:spacing w:val="-17"/>
        </w:rPr>
        <w:t>、第</w:t>
      </w:r>
      <w:r>
        <w:rPr>
          <w:spacing w:val="-17"/>
        </w:rPr>
        <w:t xml:space="preserve"> </w:t>
      </w:r>
      <w:r>
        <w:t>22</w:t>
      </w:r>
      <w:r>
        <w:rPr>
          <w:spacing w:val="-9"/>
        </w:rPr>
        <w:t xml:space="preserve"> </w:t>
      </w:r>
      <w:r>
        <w:rPr>
          <w:spacing w:val="-9"/>
        </w:rPr>
        <w:t>项有一项不合格，则判该产品为不合格；其余项目有一</w:t>
      </w:r>
      <w:r>
        <w:rPr>
          <w:spacing w:val="-5"/>
        </w:rPr>
        <w:t>项未达到本部分要求时，允许对不合格项进行返工，经复检，如仍不合格则判该产品为不合</w:t>
      </w:r>
      <w:r>
        <w:rPr>
          <w:spacing w:val="-5"/>
        </w:rPr>
        <w:t xml:space="preserve">  </w:t>
      </w:r>
      <w:r>
        <w:rPr>
          <w:spacing w:val="-4"/>
        </w:rPr>
        <w:t>格。</w:t>
      </w:r>
      <w:r>
        <w:t xml:space="preserve"> </w:t>
      </w:r>
    </w:p>
    <w:p w14:paraId="406DB96A" w14:textId="77777777" w:rsidR="00A71EEF" w:rsidRDefault="0081115D">
      <w:pPr>
        <w:pStyle w:val="4"/>
        <w:spacing w:line="275" w:lineRule="exact"/>
      </w:pPr>
      <w:r>
        <w:t xml:space="preserve">7 </w:t>
      </w:r>
      <w:r>
        <w:t>标志、包裝、运输和贮存</w:t>
      </w:r>
      <w:r>
        <w:rPr>
          <w:w w:val="99"/>
        </w:rPr>
        <w:t xml:space="preserve"> </w:t>
      </w:r>
    </w:p>
    <w:p w14:paraId="4C6EE7D5" w14:textId="77777777" w:rsidR="00A71EEF" w:rsidRDefault="00A71EEF">
      <w:pPr>
        <w:pStyle w:val="a3"/>
        <w:spacing w:before="4"/>
        <w:rPr>
          <w:b/>
          <w:sz w:val="17"/>
        </w:rPr>
      </w:pPr>
    </w:p>
    <w:p w14:paraId="55C0A56D" w14:textId="77777777" w:rsidR="00A71EEF" w:rsidRDefault="0081115D">
      <w:pPr>
        <w:ind w:left="840"/>
        <w:rPr>
          <w:b/>
          <w:sz w:val="21"/>
        </w:rPr>
      </w:pPr>
      <w:r>
        <w:rPr>
          <w:b/>
          <w:sz w:val="21"/>
        </w:rPr>
        <w:t>7.1</w:t>
      </w:r>
      <w:r>
        <w:rPr>
          <w:b/>
          <w:spacing w:val="3"/>
          <w:sz w:val="21"/>
        </w:rPr>
        <w:t xml:space="preserve"> </w:t>
      </w:r>
      <w:r>
        <w:rPr>
          <w:spacing w:val="-3"/>
          <w:sz w:val="21"/>
        </w:rPr>
        <w:t>标志</w:t>
      </w:r>
      <w:r>
        <w:rPr>
          <w:b/>
          <w:w w:val="99"/>
          <w:sz w:val="21"/>
        </w:rPr>
        <w:t xml:space="preserve"> </w:t>
      </w:r>
    </w:p>
    <w:p w14:paraId="5A9738A3" w14:textId="77777777" w:rsidR="00A71EEF" w:rsidRDefault="00A71EEF">
      <w:pPr>
        <w:pStyle w:val="a3"/>
        <w:spacing w:before="2"/>
        <w:rPr>
          <w:b/>
          <w:sz w:val="18"/>
        </w:rPr>
      </w:pPr>
    </w:p>
    <w:p w14:paraId="7664B096" w14:textId="77777777" w:rsidR="00A71EEF" w:rsidRDefault="0081115D">
      <w:pPr>
        <w:pStyle w:val="a3"/>
        <w:spacing w:line="446" w:lineRule="auto"/>
        <w:ind w:left="840" w:right="4659" w:hanging="3"/>
        <w:rPr>
          <w:b/>
        </w:rPr>
      </w:pPr>
      <w:r>
        <w:rPr>
          <w:spacing w:val="-8"/>
        </w:rPr>
        <w:t>泡沫车的标志应符合</w:t>
      </w:r>
      <w:r>
        <w:rPr>
          <w:spacing w:val="-8"/>
        </w:rPr>
        <w:t xml:space="preserve"> </w:t>
      </w:r>
      <w:r>
        <w:t>GB</w:t>
      </w:r>
      <w:r>
        <w:rPr>
          <w:spacing w:val="2"/>
        </w:rPr>
        <w:t xml:space="preserve"> </w:t>
      </w:r>
      <w:r>
        <w:t>7956.1—2014</w:t>
      </w:r>
      <w:r>
        <w:rPr>
          <w:spacing w:val="-35"/>
        </w:rPr>
        <w:t xml:space="preserve"> </w:t>
      </w:r>
      <w:r>
        <w:rPr>
          <w:spacing w:val="-35"/>
        </w:rPr>
        <w:t>中</w:t>
      </w:r>
      <w:r>
        <w:rPr>
          <w:spacing w:val="-35"/>
        </w:rPr>
        <w:t xml:space="preserve"> </w:t>
      </w:r>
      <w:r>
        <w:t>5.2</w:t>
      </w:r>
      <w:r>
        <w:rPr>
          <w:spacing w:val="-13"/>
        </w:rPr>
        <w:t xml:space="preserve"> </w:t>
      </w:r>
      <w:r>
        <w:rPr>
          <w:spacing w:val="-13"/>
        </w:rPr>
        <w:t>的规定。</w:t>
      </w:r>
      <w:r>
        <w:rPr>
          <w:b/>
        </w:rPr>
        <w:t>7.2</w:t>
      </w:r>
      <w:r>
        <w:rPr>
          <w:b/>
          <w:spacing w:val="-1"/>
        </w:rPr>
        <w:t xml:space="preserve"> </w:t>
      </w:r>
      <w:r>
        <w:rPr>
          <w:spacing w:val="-3"/>
        </w:rPr>
        <w:t>包装</w:t>
      </w:r>
      <w:r>
        <w:rPr>
          <w:b/>
          <w:w w:val="99"/>
        </w:rPr>
        <w:t xml:space="preserve"> </w:t>
      </w:r>
    </w:p>
    <w:p w14:paraId="0FD74F80" w14:textId="77777777" w:rsidR="00A71EEF" w:rsidRDefault="0081115D">
      <w:pPr>
        <w:pStyle w:val="a4"/>
        <w:numPr>
          <w:ilvl w:val="2"/>
          <w:numId w:val="752"/>
        </w:numPr>
        <w:tabs>
          <w:tab w:val="left" w:pos="1371"/>
        </w:tabs>
        <w:spacing w:line="267" w:lineRule="exact"/>
        <w:rPr>
          <w:sz w:val="21"/>
        </w:rPr>
      </w:pPr>
      <w:r>
        <w:rPr>
          <w:spacing w:val="-3"/>
          <w:sz w:val="21"/>
        </w:rPr>
        <w:t>泡沫车出厂采用裸装，所有车门，工具箱均应关闭锁紧。</w:t>
      </w:r>
      <w:r>
        <w:rPr>
          <w:sz w:val="21"/>
        </w:rPr>
        <w:t xml:space="preserve"> </w:t>
      </w:r>
    </w:p>
    <w:p w14:paraId="52118F48" w14:textId="77777777" w:rsidR="00A71EEF" w:rsidRDefault="00A71EEF">
      <w:pPr>
        <w:pStyle w:val="a3"/>
        <w:spacing w:before="2"/>
        <w:rPr>
          <w:sz w:val="18"/>
        </w:rPr>
      </w:pPr>
    </w:p>
    <w:p w14:paraId="06B29653" w14:textId="77777777" w:rsidR="00A71EEF" w:rsidRDefault="0081115D">
      <w:pPr>
        <w:pStyle w:val="a4"/>
        <w:numPr>
          <w:ilvl w:val="2"/>
          <w:numId w:val="752"/>
        </w:numPr>
        <w:tabs>
          <w:tab w:val="left" w:pos="1371"/>
        </w:tabs>
        <w:rPr>
          <w:sz w:val="21"/>
        </w:rPr>
      </w:pPr>
      <w:r>
        <w:rPr>
          <w:spacing w:val="-3"/>
          <w:sz w:val="21"/>
        </w:rPr>
        <w:t>随车文件用防潮材料包装。</w:t>
      </w:r>
      <w:r>
        <w:rPr>
          <w:sz w:val="21"/>
        </w:rPr>
        <w:t xml:space="preserve"> </w:t>
      </w:r>
    </w:p>
    <w:p w14:paraId="0C3DA77A" w14:textId="77777777" w:rsidR="00A71EEF" w:rsidRDefault="00A71EEF">
      <w:pPr>
        <w:pStyle w:val="a3"/>
        <w:spacing w:before="12"/>
        <w:rPr>
          <w:sz w:val="17"/>
        </w:rPr>
      </w:pPr>
    </w:p>
    <w:p w14:paraId="344EA513" w14:textId="77777777" w:rsidR="00A71EEF" w:rsidRDefault="0081115D">
      <w:pPr>
        <w:pStyle w:val="a4"/>
        <w:numPr>
          <w:ilvl w:val="2"/>
          <w:numId w:val="752"/>
        </w:numPr>
        <w:tabs>
          <w:tab w:val="left" w:pos="1371"/>
        </w:tabs>
        <w:rPr>
          <w:sz w:val="21"/>
        </w:rPr>
      </w:pPr>
      <w:r>
        <w:rPr>
          <w:spacing w:val="-3"/>
          <w:sz w:val="21"/>
        </w:rPr>
        <w:t>外露镀铬件应涂防锈油，车外照明灯、警灯应用塑料薄膜包扎，</w:t>
      </w:r>
      <w:r>
        <w:rPr>
          <w:sz w:val="21"/>
        </w:rPr>
        <w:t xml:space="preserve"> </w:t>
      </w:r>
    </w:p>
    <w:p w14:paraId="481F94C1" w14:textId="77777777" w:rsidR="00A71EEF" w:rsidRDefault="00A71EEF">
      <w:pPr>
        <w:pStyle w:val="a3"/>
        <w:rPr>
          <w:sz w:val="18"/>
        </w:rPr>
      </w:pPr>
    </w:p>
    <w:p w14:paraId="7E9A9B8F" w14:textId="77777777" w:rsidR="00A71EEF" w:rsidRDefault="0081115D">
      <w:pPr>
        <w:pStyle w:val="a4"/>
        <w:numPr>
          <w:ilvl w:val="2"/>
          <w:numId w:val="752"/>
        </w:numPr>
        <w:tabs>
          <w:tab w:val="left" w:pos="1370"/>
        </w:tabs>
        <w:spacing w:line="446" w:lineRule="auto"/>
        <w:ind w:left="418" w:right="1604" w:firstLine="422"/>
        <w:rPr>
          <w:sz w:val="21"/>
        </w:rPr>
      </w:pPr>
      <w:r>
        <w:rPr>
          <w:spacing w:val="-3"/>
          <w:sz w:val="21"/>
        </w:rPr>
        <w:t>采用铁</w:t>
      </w:r>
      <w:r>
        <w:rPr>
          <w:spacing w:val="-3"/>
          <w:sz w:val="21"/>
        </w:rPr>
        <w:t>(</w:t>
      </w:r>
      <w:r>
        <w:rPr>
          <w:spacing w:val="-3"/>
          <w:sz w:val="21"/>
        </w:rPr>
        <w:t>水</w:t>
      </w:r>
      <w:r>
        <w:rPr>
          <w:spacing w:val="-3"/>
          <w:sz w:val="21"/>
        </w:rPr>
        <w:t>)</w:t>
      </w:r>
      <w:r>
        <w:rPr>
          <w:spacing w:val="-3"/>
          <w:sz w:val="21"/>
        </w:rPr>
        <w:t>路运输时，发动机不得有余水，燃料箱不得有余油，蓄电池应断开正负极接头。</w:t>
      </w:r>
      <w:r>
        <w:rPr>
          <w:sz w:val="21"/>
        </w:rPr>
        <w:t xml:space="preserve"> </w:t>
      </w:r>
    </w:p>
    <w:p w14:paraId="0C4EA8ED" w14:textId="77777777" w:rsidR="00A71EEF" w:rsidRDefault="0081115D">
      <w:pPr>
        <w:pStyle w:val="a4"/>
        <w:numPr>
          <w:ilvl w:val="1"/>
          <w:numId w:val="751"/>
        </w:numPr>
        <w:tabs>
          <w:tab w:val="left" w:pos="1159"/>
        </w:tabs>
        <w:ind w:hanging="319"/>
        <w:rPr>
          <w:sz w:val="21"/>
        </w:rPr>
      </w:pPr>
      <w:r>
        <w:rPr>
          <w:spacing w:val="-3"/>
          <w:sz w:val="21"/>
        </w:rPr>
        <w:t>运输</w:t>
      </w:r>
      <w:r>
        <w:rPr>
          <w:sz w:val="21"/>
        </w:rPr>
        <w:t xml:space="preserve"> </w:t>
      </w:r>
    </w:p>
    <w:p w14:paraId="40B335D5" w14:textId="77777777" w:rsidR="00A71EEF" w:rsidRDefault="00A71EEF">
      <w:pPr>
        <w:pStyle w:val="a3"/>
        <w:rPr>
          <w:sz w:val="18"/>
        </w:rPr>
      </w:pPr>
    </w:p>
    <w:p w14:paraId="36250CE3" w14:textId="77777777" w:rsidR="00A71EEF" w:rsidRDefault="0081115D">
      <w:pPr>
        <w:pStyle w:val="a4"/>
        <w:numPr>
          <w:ilvl w:val="2"/>
          <w:numId w:val="751"/>
        </w:numPr>
        <w:tabs>
          <w:tab w:val="left" w:pos="1370"/>
        </w:tabs>
        <w:ind w:hanging="530"/>
        <w:rPr>
          <w:sz w:val="21"/>
        </w:rPr>
      </w:pPr>
      <w:r>
        <w:rPr>
          <w:spacing w:val="-3"/>
          <w:sz w:val="21"/>
        </w:rPr>
        <w:t>采用行驶运输时，应遵守使用说明书相关新车行驶的规定。</w:t>
      </w:r>
      <w:r>
        <w:rPr>
          <w:sz w:val="21"/>
        </w:rPr>
        <w:t xml:space="preserve"> </w:t>
      </w:r>
    </w:p>
    <w:p w14:paraId="466C3881" w14:textId="77777777" w:rsidR="00A71EEF" w:rsidRDefault="00A71EEF">
      <w:pPr>
        <w:pStyle w:val="a3"/>
        <w:spacing w:before="1"/>
        <w:rPr>
          <w:sz w:val="18"/>
        </w:rPr>
      </w:pPr>
    </w:p>
    <w:p w14:paraId="40C0971D" w14:textId="77777777" w:rsidR="00A71EEF" w:rsidRDefault="0081115D">
      <w:pPr>
        <w:pStyle w:val="a4"/>
        <w:numPr>
          <w:ilvl w:val="2"/>
          <w:numId w:val="751"/>
        </w:numPr>
        <w:tabs>
          <w:tab w:val="left" w:pos="1370"/>
        </w:tabs>
        <w:spacing w:before="1"/>
        <w:ind w:hanging="530"/>
        <w:rPr>
          <w:sz w:val="21"/>
        </w:rPr>
      </w:pPr>
      <w:r>
        <w:rPr>
          <w:spacing w:val="-3"/>
          <w:sz w:val="21"/>
        </w:rPr>
        <w:t>采用铁</w:t>
      </w:r>
      <w:r>
        <w:rPr>
          <w:spacing w:val="-3"/>
          <w:sz w:val="21"/>
        </w:rPr>
        <w:t>(</w:t>
      </w:r>
      <w:r>
        <w:rPr>
          <w:spacing w:val="-3"/>
          <w:sz w:val="21"/>
        </w:rPr>
        <w:t>水</w:t>
      </w:r>
      <w:r>
        <w:rPr>
          <w:spacing w:val="-3"/>
          <w:sz w:val="21"/>
        </w:rPr>
        <w:t>)</w:t>
      </w:r>
      <w:r>
        <w:rPr>
          <w:spacing w:val="-3"/>
          <w:sz w:val="21"/>
        </w:rPr>
        <w:t>路运输时，应执行铁</w:t>
      </w:r>
      <w:r>
        <w:rPr>
          <w:spacing w:val="-3"/>
          <w:sz w:val="21"/>
        </w:rPr>
        <w:t>(</w:t>
      </w:r>
      <w:r>
        <w:rPr>
          <w:spacing w:val="-3"/>
          <w:sz w:val="21"/>
        </w:rPr>
        <w:t>水</w:t>
      </w:r>
      <w:r>
        <w:rPr>
          <w:spacing w:val="-3"/>
          <w:sz w:val="21"/>
        </w:rPr>
        <w:t>)</w:t>
      </w:r>
      <w:r>
        <w:rPr>
          <w:spacing w:val="-3"/>
          <w:sz w:val="21"/>
        </w:rPr>
        <w:t>路运输的相关规定。</w:t>
      </w:r>
      <w:r>
        <w:rPr>
          <w:sz w:val="21"/>
        </w:rPr>
        <w:t xml:space="preserve"> </w:t>
      </w:r>
    </w:p>
    <w:p w14:paraId="3771FCBE" w14:textId="77777777" w:rsidR="00A71EEF" w:rsidRDefault="00A71EEF">
      <w:pPr>
        <w:pStyle w:val="a3"/>
        <w:spacing w:before="12"/>
        <w:rPr>
          <w:sz w:val="17"/>
        </w:rPr>
      </w:pPr>
    </w:p>
    <w:p w14:paraId="2AF9CA42" w14:textId="77777777" w:rsidR="00A71EEF" w:rsidRDefault="0081115D">
      <w:pPr>
        <w:pStyle w:val="a4"/>
        <w:numPr>
          <w:ilvl w:val="1"/>
          <w:numId w:val="751"/>
        </w:numPr>
        <w:tabs>
          <w:tab w:val="left" w:pos="1160"/>
        </w:tabs>
        <w:ind w:left="1159" w:hanging="320"/>
        <w:rPr>
          <w:sz w:val="21"/>
        </w:rPr>
      </w:pPr>
      <w:r>
        <w:rPr>
          <w:spacing w:val="-3"/>
          <w:sz w:val="21"/>
        </w:rPr>
        <w:t>贮存</w:t>
      </w:r>
      <w:r>
        <w:rPr>
          <w:sz w:val="21"/>
        </w:rPr>
        <w:t xml:space="preserve"> </w:t>
      </w:r>
    </w:p>
    <w:p w14:paraId="4BD11985" w14:textId="77777777" w:rsidR="00A71EEF" w:rsidRDefault="00A71EEF">
      <w:pPr>
        <w:pStyle w:val="a3"/>
        <w:spacing w:before="12"/>
        <w:rPr>
          <w:sz w:val="17"/>
        </w:rPr>
      </w:pPr>
    </w:p>
    <w:p w14:paraId="2FCCF176" w14:textId="77777777" w:rsidR="00A71EEF" w:rsidRDefault="0081115D">
      <w:pPr>
        <w:pStyle w:val="a3"/>
        <w:spacing w:line="448" w:lineRule="auto"/>
        <w:ind w:left="418" w:right="1436" w:firstLine="419"/>
      </w:pPr>
      <w:r>
        <w:rPr>
          <w:spacing w:val="-8"/>
        </w:rPr>
        <w:t>泡沫车需长期贮存时，应将燃柚和水放尽，切断电路，停放在防雨、防潮、防晒、无腐蚀气</w:t>
      </w:r>
      <w:r>
        <w:rPr>
          <w:spacing w:val="-5"/>
        </w:rPr>
        <w:t>体侵害及通风良好的场所，并按产品使用说明书的规定进行维护和保养。</w:t>
      </w:r>
      <w:r>
        <w:t xml:space="preserve"> </w:t>
      </w:r>
    </w:p>
    <w:p w14:paraId="64581627" w14:textId="77777777" w:rsidR="00A71EEF" w:rsidRDefault="00A71EEF">
      <w:pPr>
        <w:pStyle w:val="a3"/>
        <w:rPr>
          <w:sz w:val="20"/>
        </w:rPr>
      </w:pPr>
    </w:p>
    <w:p w14:paraId="2256D1A7" w14:textId="77777777" w:rsidR="00A71EEF" w:rsidRDefault="00A71EEF">
      <w:pPr>
        <w:pStyle w:val="a3"/>
        <w:rPr>
          <w:sz w:val="20"/>
        </w:rPr>
      </w:pPr>
    </w:p>
    <w:p w14:paraId="77B5B454" w14:textId="77777777" w:rsidR="00A71EEF" w:rsidRDefault="00A71EEF">
      <w:pPr>
        <w:pStyle w:val="a3"/>
        <w:rPr>
          <w:sz w:val="20"/>
        </w:rPr>
      </w:pPr>
    </w:p>
    <w:p w14:paraId="10D3F15B" w14:textId="77777777" w:rsidR="00A71EEF" w:rsidRDefault="00A71EEF">
      <w:pPr>
        <w:pStyle w:val="a3"/>
        <w:rPr>
          <w:sz w:val="20"/>
        </w:rPr>
      </w:pPr>
    </w:p>
    <w:p w14:paraId="2DDEE6D5" w14:textId="77777777" w:rsidR="00A71EEF" w:rsidRDefault="00A71EEF">
      <w:pPr>
        <w:pStyle w:val="a3"/>
        <w:rPr>
          <w:sz w:val="20"/>
        </w:rPr>
      </w:pPr>
    </w:p>
    <w:p w14:paraId="5B4A4AC0" w14:textId="77777777" w:rsidR="00A71EEF" w:rsidRDefault="00A71EEF">
      <w:pPr>
        <w:pStyle w:val="a3"/>
        <w:rPr>
          <w:sz w:val="20"/>
        </w:rPr>
      </w:pPr>
    </w:p>
    <w:p w14:paraId="4C228BA1" w14:textId="77777777" w:rsidR="00A71EEF" w:rsidRDefault="00A71EEF">
      <w:pPr>
        <w:pStyle w:val="a3"/>
        <w:rPr>
          <w:sz w:val="20"/>
        </w:rPr>
      </w:pPr>
    </w:p>
    <w:p w14:paraId="64537E32" w14:textId="77777777" w:rsidR="00A71EEF" w:rsidRDefault="00A71EEF">
      <w:pPr>
        <w:pStyle w:val="a3"/>
        <w:rPr>
          <w:sz w:val="20"/>
        </w:rPr>
      </w:pPr>
    </w:p>
    <w:p w14:paraId="721D34C7" w14:textId="77777777" w:rsidR="00A71EEF" w:rsidRDefault="00A71EEF">
      <w:pPr>
        <w:pStyle w:val="a3"/>
        <w:rPr>
          <w:sz w:val="20"/>
        </w:rPr>
      </w:pPr>
    </w:p>
    <w:p w14:paraId="657EB6B8" w14:textId="77777777" w:rsidR="00A71EEF" w:rsidRDefault="00A71EEF">
      <w:pPr>
        <w:pStyle w:val="a3"/>
        <w:rPr>
          <w:sz w:val="20"/>
        </w:rPr>
      </w:pPr>
    </w:p>
    <w:p w14:paraId="49349792" w14:textId="77777777" w:rsidR="00A71EEF" w:rsidRDefault="00A71EEF">
      <w:pPr>
        <w:pStyle w:val="a3"/>
        <w:rPr>
          <w:sz w:val="20"/>
        </w:rPr>
      </w:pPr>
    </w:p>
    <w:p w14:paraId="01A79702" w14:textId="77777777" w:rsidR="00A71EEF" w:rsidRDefault="00A71EEF">
      <w:pPr>
        <w:pStyle w:val="a3"/>
        <w:rPr>
          <w:sz w:val="20"/>
        </w:rPr>
      </w:pPr>
    </w:p>
    <w:p w14:paraId="1558C879" w14:textId="77777777" w:rsidR="00A71EEF" w:rsidRDefault="00A71EEF">
      <w:pPr>
        <w:pStyle w:val="a3"/>
        <w:spacing w:before="2"/>
        <w:rPr>
          <w:sz w:val="27"/>
        </w:rPr>
      </w:pPr>
    </w:p>
    <w:p w14:paraId="0A0F8BE6" w14:textId="77777777" w:rsidR="00A71EEF" w:rsidRDefault="0081115D">
      <w:pPr>
        <w:pStyle w:val="a3"/>
        <w:spacing w:before="72"/>
        <w:ind w:left="838"/>
      </w:pPr>
      <w:r>
        <w:t xml:space="preserve"> </w:t>
      </w:r>
    </w:p>
    <w:p w14:paraId="1176AF8A" w14:textId="77777777" w:rsidR="00A71EEF" w:rsidRDefault="00A71EEF">
      <w:pPr>
        <w:sectPr w:rsidR="00A71EEF">
          <w:pgSz w:w="11910" w:h="16850"/>
          <w:pgMar w:top="1480" w:right="0" w:bottom="1420" w:left="1260" w:header="0" w:footer="1239" w:gutter="0"/>
          <w:cols w:space="720"/>
        </w:sectPr>
      </w:pPr>
    </w:p>
    <w:p w14:paraId="11390D13" w14:textId="77777777" w:rsidR="00A71EEF" w:rsidRDefault="00A71EEF">
      <w:pPr>
        <w:pStyle w:val="a3"/>
        <w:spacing w:before="1"/>
        <w:rPr>
          <w:sz w:val="28"/>
        </w:rPr>
      </w:pPr>
    </w:p>
    <w:p w14:paraId="54B75C1E" w14:textId="77777777" w:rsidR="00A71EEF" w:rsidRDefault="0081115D">
      <w:pPr>
        <w:pStyle w:val="2"/>
        <w:spacing w:before="58"/>
        <w:ind w:right="868"/>
      </w:pPr>
      <w:bookmarkStart w:id="11" w:name="_bookmark11"/>
      <w:bookmarkEnd w:id="11"/>
      <w:r>
        <w:t>建筑设计防火规范</w:t>
      </w:r>
      <w:r>
        <w:rPr>
          <w:w w:val="99"/>
        </w:rPr>
        <w:t xml:space="preserve"> </w:t>
      </w:r>
    </w:p>
    <w:p w14:paraId="1955D4AA" w14:textId="77777777" w:rsidR="00A71EEF" w:rsidRDefault="00A71EEF">
      <w:pPr>
        <w:pStyle w:val="a3"/>
        <w:rPr>
          <w:b/>
          <w:sz w:val="20"/>
        </w:rPr>
      </w:pPr>
    </w:p>
    <w:p w14:paraId="0CCC2CD1" w14:textId="77777777" w:rsidR="00A71EEF" w:rsidRDefault="00A71EEF">
      <w:pPr>
        <w:pStyle w:val="a3"/>
        <w:spacing w:before="4"/>
        <w:rPr>
          <w:b/>
          <w:sz w:val="14"/>
        </w:rPr>
      </w:pPr>
    </w:p>
    <w:p w14:paraId="0FE0041A" w14:textId="77777777" w:rsidR="00A71EEF" w:rsidRDefault="0081115D">
      <w:pPr>
        <w:pStyle w:val="4"/>
        <w:numPr>
          <w:ilvl w:val="0"/>
          <w:numId w:val="750"/>
        </w:numPr>
        <w:tabs>
          <w:tab w:val="left" w:pos="601"/>
        </w:tabs>
        <w:spacing w:before="66"/>
      </w:pPr>
      <w:r>
        <w:t>总则</w:t>
      </w:r>
      <w:r>
        <w:rPr>
          <w:w w:val="99"/>
        </w:rPr>
        <w:t xml:space="preserve"> </w:t>
      </w:r>
    </w:p>
    <w:p w14:paraId="200A1970" w14:textId="77777777" w:rsidR="00A71EEF" w:rsidRDefault="00A71EEF">
      <w:pPr>
        <w:pStyle w:val="a3"/>
        <w:spacing w:before="4"/>
        <w:rPr>
          <w:b/>
          <w:sz w:val="17"/>
        </w:rPr>
      </w:pPr>
    </w:p>
    <w:p w14:paraId="3E7E95CF" w14:textId="77777777" w:rsidR="00A71EEF" w:rsidRDefault="0081115D">
      <w:pPr>
        <w:pStyle w:val="a4"/>
        <w:numPr>
          <w:ilvl w:val="1"/>
          <w:numId w:val="750"/>
        </w:numPr>
        <w:tabs>
          <w:tab w:val="left" w:pos="1160"/>
        </w:tabs>
        <w:ind w:left="1159" w:hanging="320"/>
        <w:rPr>
          <w:color w:val="333333"/>
          <w:sz w:val="19"/>
        </w:rPr>
      </w:pPr>
      <w:r>
        <w:rPr>
          <w:color w:val="333333"/>
          <w:spacing w:val="-3"/>
          <w:sz w:val="21"/>
        </w:rPr>
        <w:t>为了预防建筑火灾，减少火灾危害，保护人身和财产安全，制定本规范。</w:t>
      </w:r>
      <w:r>
        <w:rPr>
          <w:color w:val="333333"/>
          <w:spacing w:val="-3"/>
          <w:sz w:val="21"/>
        </w:rPr>
        <w:t xml:space="preserve"> </w:t>
      </w:r>
    </w:p>
    <w:p w14:paraId="194601EA" w14:textId="77777777" w:rsidR="00A71EEF" w:rsidRDefault="00A71EEF">
      <w:pPr>
        <w:pStyle w:val="a3"/>
        <w:rPr>
          <w:sz w:val="18"/>
        </w:rPr>
      </w:pPr>
    </w:p>
    <w:p w14:paraId="2DC42E13" w14:textId="77777777" w:rsidR="00A71EEF" w:rsidRDefault="0081115D">
      <w:pPr>
        <w:pStyle w:val="a4"/>
        <w:numPr>
          <w:ilvl w:val="1"/>
          <w:numId w:val="750"/>
        </w:numPr>
        <w:tabs>
          <w:tab w:val="left" w:pos="1160"/>
        </w:tabs>
        <w:ind w:left="1159" w:hanging="320"/>
        <w:rPr>
          <w:color w:val="333333"/>
          <w:sz w:val="19"/>
        </w:rPr>
      </w:pPr>
      <w:r>
        <w:rPr>
          <w:color w:val="333333"/>
          <w:spacing w:val="-3"/>
          <w:sz w:val="21"/>
        </w:rPr>
        <w:t>本规范适用于下列新建、扩建和改建的建筑：</w:t>
      </w:r>
      <w:r>
        <w:rPr>
          <w:color w:val="333333"/>
          <w:sz w:val="21"/>
        </w:rPr>
        <w:t xml:space="preserve"> </w:t>
      </w:r>
    </w:p>
    <w:p w14:paraId="5A284DFE" w14:textId="77777777" w:rsidR="00A71EEF" w:rsidRDefault="00A71EEF">
      <w:pPr>
        <w:pStyle w:val="a3"/>
        <w:spacing w:before="2"/>
        <w:rPr>
          <w:sz w:val="18"/>
        </w:rPr>
      </w:pPr>
    </w:p>
    <w:p w14:paraId="5744E0DD" w14:textId="77777777" w:rsidR="00A71EEF" w:rsidRDefault="0081115D">
      <w:pPr>
        <w:pStyle w:val="a3"/>
        <w:spacing w:line="446" w:lineRule="auto"/>
        <w:ind w:left="838" w:right="9069"/>
      </w:pPr>
      <w:r>
        <w:rPr>
          <w:color w:val="333333"/>
        </w:rPr>
        <w:t>厂房；</w:t>
      </w:r>
      <w:r>
        <w:rPr>
          <w:color w:val="333333"/>
        </w:rPr>
        <w:t xml:space="preserve"> </w:t>
      </w:r>
      <w:r>
        <w:rPr>
          <w:color w:val="333333"/>
        </w:rPr>
        <w:t>仓库；</w:t>
      </w:r>
      <w:r>
        <w:rPr>
          <w:color w:val="333333"/>
        </w:rPr>
        <w:t xml:space="preserve"> </w:t>
      </w:r>
    </w:p>
    <w:p w14:paraId="08736517" w14:textId="77777777" w:rsidR="00A71EEF" w:rsidRDefault="0081115D">
      <w:pPr>
        <w:pStyle w:val="a3"/>
        <w:spacing w:line="267" w:lineRule="exact"/>
        <w:ind w:left="838"/>
      </w:pPr>
      <w:r>
        <w:rPr>
          <w:color w:val="333333"/>
        </w:rPr>
        <w:t>民用建筑；</w:t>
      </w:r>
      <w:r>
        <w:rPr>
          <w:color w:val="333333"/>
        </w:rPr>
        <w:t xml:space="preserve"> </w:t>
      </w:r>
    </w:p>
    <w:p w14:paraId="4DF9DEEC" w14:textId="77777777" w:rsidR="00A71EEF" w:rsidRDefault="00A71EEF">
      <w:pPr>
        <w:pStyle w:val="a3"/>
        <w:spacing w:before="2"/>
        <w:rPr>
          <w:sz w:val="18"/>
        </w:rPr>
      </w:pPr>
    </w:p>
    <w:p w14:paraId="05E9ED16" w14:textId="77777777" w:rsidR="00A71EEF" w:rsidRDefault="0081115D">
      <w:pPr>
        <w:pStyle w:val="a3"/>
        <w:spacing w:line="446" w:lineRule="auto"/>
        <w:ind w:left="838" w:right="6757"/>
      </w:pPr>
      <w:r>
        <w:rPr>
          <w:color w:val="333333"/>
          <w:spacing w:val="-3"/>
        </w:rPr>
        <w:t>甲、乙、丙类液体储罐（</w:t>
      </w:r>
      <w:r>
        <w:rPr>
          <w:color w:val="333333"/>
        </w:rPr>
        <w:t>区）；</w:t>
      </w:r>
      <w:r>
        <w:rPr>
          <w:color w:val="333333"/>
        </w:rPr>
        <w:t xml:space="preserve"> </w:t>
      </w:r>
      <w:r>
        <w:rPr>
          <w:color w:val="333333"/>
          <w:spacing w:val="-3"/>
        </w:rPr>
        <w:t>可燃、助燃气体储罐</w:t>
      </w:r>
      <w:r>
        <w:rPr>
          <w:color w:val="333333"/>
        </w:rPr>
        <w:t>（</w:t>
      </w:r>
      <w:r>
        <w:rPr>
          <w:color w:val="333333"/>
          <w:spacing w:val="-3"/>
        </w:rPr>
        <w:t>区</w:t>
      </w:r>
      <w:r>
        <w:rPr>
          <w:color w:val="333333"/>
        </w:rPr>
        <w:t>）；</w:t>
      </w:r>
      <w:r>
        <w:rPr>
          <w:color w:val="333333"/>
        </w:rPr>
        <w:t xml:space="preserve">  </w:t>
      </w:r>
      <w:r>
        <w:rPr>
          <w:color w:val="333333"/>
          <w:spacing w:val="-3"/>
        </w:rPr>
        <w:t>可燃材料堆场；</w:t>
      </w:r>
      <w:r>
        <w:rPr>
          <w:color w:val="333333"/>
        </w:rPr>
        <w:t xml:space="preserve"> </w:t>
      </w:r>
    </w:p>
    <w:p w14:paraId="7A39274D" w14:textId="77777777" w:rsidR="00A71EEF" w:rsidRDefault="0081115D">
      <w:pPr>
        <w:pStyle w:val="a3"/>
        <w:spacing w:line="446" w:lineRule="auto"/>
        <w:ind w:left="418" w:right="1505" w:firstLine="419"/>
      </w:pPr>
      <w:r>
        <w:rPr>
          <w:color w:val="333333"/>
        </w:rPr>
        <w:t xml:space="preserve"> </w:t>
      </w:r>
      <w:r>
        <w:rPr>
          <w:color w:val="333333"/>
        </w:rPr>
        <w:t>城市交通隧道。人民防空工程、石油和天然气工程、石油化工工程和火力发电厂与变电站等的建筑防火设计，当有专门的国家标准时，宜从其规定。</w:t>
      </w:r>
      <w:r>
        <w:rPr>
          <w:color w:val="333333"/>
        </w:rPr>
        <w:t xml:space="preserve"> </w:t>
      </w:r>
    </w:p>
    <w:p w14:paraId="7DA5ABA8" w14:textId="77777777" w:rsidR="00A71EEF" w:rsidRDefault="0081115D">
      <w:pPr>
        <w:pStyle w:val="a4"/>
        <w:numPr>
          <w:ilvl w:val="1"/>
          <w:numId w:val="750"/>
        </w:numPr>
        <w:tabs>
          <w:tab w:val="left" w:pos="1160"/>
        </w:tabs>
        <w:spacing w:line="446" w:lineRule="auto"/>
        <w:ind w:left="418" w:right="1604" w:firstLine="422"/>
        <w:rPr>
          <w:color w:val="333333"/>
          <w:sz w:val="19"/>
        </w:rPr>
      </w:pPr>
      <w:r>
        <w:rPr>
          <w:color w:val="333333"/>
          <w:spacing w:val="-3"/>
          <w:sz w:val="21"/>
        </w:rPr>
        <w:t>本规范不适用于火药、炸药及其制品厂房</w:t>
      </w:r>
      <w:r>
        <w:rPr>
          <w:color w:val="333333"/>
          <w:sz w:val="21"/>
        </w:rPr>
        <w:t>（</w:t>
      </w:r>
      <w:r>
        <w:rPr>
          <w:color w:val="333333"/>
          <w:spacing w:val="-2"/>
          <w:sz w:val="21"/>
        </w:rPr>
        <w:t>仓库</w:t>
      </w:r>
      <w:r>
        <w:rPr>
          <w:color w:val="333333"/>
          <w:sz w:val="21"/>
        </w:rPr>
        <w:t>）</w:t>
      </w:r>
      <w:r>
        <w:rPr>
          <w:color w:val="333333"/>
          <w:spacing w:val="-3"/>
          <w:sz w:val="21"/>
        </w:rPr>
        <w:t>、花炮厂房</w:t>
      </w:r>
      <w:r>
        <w:rPr>
          <w:color w:val="333333"/>
          <w:sz w:val="21"/>
        </w:rPr>
        <w:t>（</w:t>
      </w:r>
      <w:r>
        <w:rPr>
          <w:color w:val="333333"/>
          <w:spacing w:val="-2"/>
          <w:sz w:val="21"/>
        </w:rPr>
        <w:t>仓库</w:t>
      </w:r>
      <w:r>
        <w:rPr>
          <w:color w:val="333333"/>
          <w:spacing w:val="-3"/>
          <w:sz w:val="21"/>
        </w:rPr>
        <w:t>）</w:t>
      </w:r>
      <w:r>
        <w:rPr>
          <w:color w:val="333333"/>
          <w:spacing w:val="-2"/>
          <w:sz w:val="21"/>
        </w:rPr>
        <w:t>的建筑防火设</w:t>
      </w:r>
      <w:r>
        <w:rPr>
          <w:color w:val="333333"/>
          <w:spacing w:val="-3"/>
          <w:sz w:val="21"/>
        </w:rPr>
        <w:t>计。</w:t>
      </w:r>
      <w:r>
        <w:rPr>
          <w:color w:val="333333"/>
          <w:sz w:val="21"/>
        </w:rPr>
        <w:t xml:space="preserve"> </w:t>
      </w:r>
    </w:p>
    <w:p w14:paraId="57B74171" w14:textId="77777777" w:rsidR="00A71EEF" w:rsidRDefault="0081115D">
      <w:pPr>
        <w:pStyle w:val="a4"/>
        <w:numPr>
          <w:ilvl w:val="1"/>
          <w:numId w:val="750"/>
        </w:numPr>
        <w:tabs>
          <w:tab w:val="left" w:pos="1160"/>
        </w:tabs>
        <w:spacing w:line="446" w:lineRule="auto"/>
        <w:ind w:left="418" w:right="1604" w:firstLine="422"/>
        <w:rPr>
          <w:color w:val="333333"/>
          <w:sz w:val="19"/>
        </w:rPr>
      </w:pPr>
      <w:r>
        <w:rPr>
          <w:color w:val="333333"/>
          <w:spacing w:val="-3"/>
          <w:sz w:val="21"/>
        </w:rPr>
        <w:t>同一建筑内设置多种使用功能场所时，不同使用功能场所之间应进行防火分隔，该建筑及其各功能场所的防火设计应根据本规范的相关规定确定。</w:t>
      </w:r>
      <w:r>
        <w:rPr>
          <w:color w:val="333333"/>
          <w:sz w:val="21"/>
        </w:rPr>
        <w:t xml:space="preserve"> </w:t>
      </w:r>
    </w:p>
    <w:p w14:paraId="2C567E2B" w14:textId="77777777" w:rsidR="00A71EEF" w:rsidRDefault="0081115D">
      <w:pPr>
        <w:pStyle w:val="a4"/>
        <w:numPr>
          <w:ilvl w:val="1"/>
          <w:numId w:val="750"/>
        </w:numPr>
        <w:tabs>
          <w:tab w:val="left" w:pos="1160"/>
        </w:tabs>
        <w:spacing w:line="446" w:lineRule="auto"/>
        <w:ind w:left="418" w:right="1604" w:firstLine="422"/>
        <w:rPr>
          <w:color w:val="333333"/>
          <w:sz w:val="19"/>
        </w:rPr>
      </w:pPr>
      <w:r>
        <w:rPr>
          <w:color w:val="333333"/>
          <w:spacing w:val="-3"/>
          <w:sz w:val="21"/>
        </w:rPr>
        <w:t>建筑防火设计应遵循国家的有关方针政策，针对建筑及其火灾特点，从全局出发，统筹兼顾，做到安全适用、技术先进、经济合理。</w:t>
      </w:r>
      <w:r>
        <w:rPr>
          <w:color w:val="333333"/>
          <w:sz w:val="21"/>
        </w:rPr>
        <w:t xml:space="preserve"> </w:t>
      </w:r>
    </w:p>
    <w:p w14:paraId="0D33039A" w14:textId="77777777" w:rsidR="00A71EEF" w:rsidRDefault="0081115D">
      <w:pPr>
        <w:pStyle w:val="a4"/>
        <w:numPr>
          <w:ilvl w:val="1"/>
          <w:numId w:val="750"/>
        </w:numPr>
        <w:tabs>
          <w:tab w:val="left" w:pos="1160"/>
        </w:tabs>
        <w:spacing w:line="446" w:lineRule="auto"/>
        <w:ind w:left="418" w:right="1445" w:firstLine="422"/>
        <w:rPr>
          <w:color w:val="333333"/>
          <w:sz w:val="19"/>
        </w:rPr>
      </w:pPr>
      <w:r>
        <w:rPr>
          <w:color w:val="333333"/>
          <w:spacing w:val="-9"/>
          <w:sz w:val="21"/>
        </w:rPr>
        <w:t>建筑高度大于</w:t>
      </w:r>
      <w:r>
        <w:rPr>
          <w:color w:val="333333"/>
          <w:spacing w:val="-9"/>
          <w:sz w:val="21"/>
        </w:rPr>
        <w:t xml:space="preserve"> </w:t>
      </w:r>
      <w:r>
        <w:rPr>
          <w:color w:val="333333"/>
          <w:sz w:val="21"/>
        </w:rPr>
        <w:t>250m</w:t>
      </w:r>
      <w:r>
        <w:rPr>
          <w:color w:val="333333"/>
          <w:spacing w:val="-3"/>
          <w:sz w:val="21"/>
        </w:rPr>
        <w:t xml:space="preserve"> </w:t>
      </w:r>
      <w:r>
        <w:rPr>
          <w:color w:val="333333"/>
          <w:spacing w:val="-3"/>
          <w:sz w:val="21"/>
        </w:rPr>
        <w:t>的建筑，除应符合本规</w:t>
      </w:r>
      <w:r>
        <w:rPr>
          <w:color w:val="333333"/>
          <w:spacing w:val="-3"/>
          <w:sz w:val="21"/>
        </w:rPr>
        <w:t>范的要求外，尚应结合实际情况采取更加严格的防火措施，其防火设计应提交国家消防主管部门组织专题研究、论证。</w:t>
      </w:r>
      <w:r>
        <w:rPr>
          <w:color w:val="333333"/>
          <w:sz w:val="21"/>
        </w:rPr>
        <w:t xml:space="preserve"> </w:t>
      </w:r>
    </w:p>
    <w:p w14:paraId="791DE576" w14:textId="77777777" w:rsidR="00A71EEF" w:rsidRDefault="0081115D">
      <w:pPr>
        <w:pStyle w:val="a4"/>
        <w:numPr>
          <w:ilvl w:val="1"/>
          <w:numId w:val="750"/>
        </w:numPr>
        <w:tabs>
          <w:tab w:val="left" w:pos="1160"/>
        </w:tabs>
        <w:ind w:left="1159" w:hanging="320"/>
        <w:rPr>
          <w:color w:val="333333"/>
          <w:sz w:val="19"/>
        </w:rPr>
      </w:pPr>
      <w:r>
        <w:rPr>
          <w:color w:val="333333"/>
          <w:spacing w:val="-3"/>
          <w:sz w:val="21"/>
        </w:rPr>
        <w:t>建筑防火设计除应符合本规范的规定外，尚应符合国家现行有关标准的规定。</w:t>
      </w:r>
      <w:r>
        <w:rPr>
          <w:color w:val="333333"/>
          <w:spacing w:val="-3"/>
          <w:sz w:val="21"/>
        </w:rPr>
        <w:t xml:space="preserve"> </w:t>
      </w:r>
    </w:p>
    <w:p w14:paraId="0AF8DAC1" w14:textId="77777777" w:rsidR="00A71EEF" w:rsidRDefault="00A71EEF">
      <w:pPr>
        <w:pStyle w:val="a3"/>
        <w:spacing w:before="2"/>
        <w:rPr>
          <w:sz w:val="15"/>
        </w:rPr>
      </w:pPr>
    </w:p>
    <w:p w14:paraId="07ECCD66" w14:textId="77777777" w:rsidR="00A71EEF" w:rsidRDefault="0081115D">
      <w:pPr>
        <w:pStyle w:val="4"/>
        <w:numPr>
          <w:ilvl w:val="0"/>
          <w:numId w:val="750"/>
        </w:numPr>
        <w:tabs>
          <w:tab w:val="left" w:pos="601"/>
        </w:tabs>
      </w:pPr>
      <w:r>
        <w:t>术语、符号</w:t>
      </w:r>
      <w:r>
        <w:rPr>
          <w:w w:val="99"/>
        </w:rPr>
        <w:t xml:space="preserve"> </w:t>
      </w:r>
    </w:p>
    <w:p w14:paraId="229066C6" w14:textId="77777777" w:rsidR="00A71EEF" w:rsidRDefault="00A71EEF">
      <w:pPr>
        <w:pStyle w:val="a3"/>
        <w:spacing w:before="6"/>
        <w:rPr>
          <w:b/>
          <w:sz w:val="17"/>
        </w:rPr>
      </w:pPr>
    </w:p>
    <w:p w14:paraId="18C36D8F" w14:textId="77777777" w:rsidR="00A71EEF" w:rsidRDefault="0081115D">
      <w:pPr>
        <w:pStyle w:val="a4"/>
        <w:numPr>
          <w:ilvl w:val="1"/>
          <w:numId w:val="750"/>
        </w:numPr>
        <w:tabs>
          <w:tab w:val="left" w:pos="1159"/>
        </w:tabs>
        <w:spacing w:before="1"/>
        <w:ind w:hanging="319"/>
        <w:rPr>
          <w:sz w:val="19"/>
        </w:rPr>
      </w:pPr>
      <w:r>
        <w:rPr>
          <w:spacing w:val="-3"/>
          <w:sz w:val="21"/>
        </w:rPr>
        <w:t>术语</w:t>
      </w:r>
      <w:r>
        <w:rPr>
          <w:sz w:val="21"/>
        </w:rPr>
        <w:t xml:space="preserve"> </w:t>
      </w:r>
    </w:p>
    <w:p w14:paraId="1C4EC032" w14:textId="77777777" w:rsidR="00A71EEF" w:rsidRDefault="00A71EEF">
      <w:pPr>
        <w:pStyle w:val="a3"/>
        <w:spacing w:before="12"/>
        <w:rPr>
          <w:sz w:val="17"/>
        </w:rPr>
      </w:pPr>
    </w:p>
    <w:p w14:paraId="14300F50" w14:textId="77777777" w:rsidR="00A71EEF" w:rsidRDefault="0081115D">
      <w:pPr>
        <w:pStyle w:val="a4"/>
        <w:numPr>
          <w:ilvl w:val="2"/>
          <w:numId w:val="750"/>
        </w:numPr>
        <w:tabs>
          <w:tab w:val="left" w:pos="1371"/>
        </w:tabs>
        <w:rPr>
          <w:sz w:val="21"/>
        </w:rPr>
      </w:pPr>
      <w:r>
        <w:rPr>
          <w:color w:val="333333"/>
          <w:spacing w:val="-3"/>
          <w:sz w:val="21"/>
        </w:rPr>
        <w:t>高层建筑</w:t>
      </w:r>
      <w:r>
        <w:rPr>
          <w:color w:val="333333"/>
          <w:spacing w:val="-3"/>
          <w:sz w:val="21"/>
        </w:rPr>
        <w:t xml:space="preserve"> </w:t>
      </w:r>
      <w:r>
        <w:rPr>
          <w:color w:val="333333"/>
          <w:sz w:val="21"/>
        </w:rPr>
        <w:t>high-rise</w:t>
      </w:r>
      <w:r>
        <w:rPr>
          <w:color w:val="333333"/>
          <w:spacing w:val="1"/>
          <w:sz w:val="21"/>
        </w:rPr>
        <w:t xml:space="preserve"> </w:t>
      </w:r>
      <w:r>
        <w:rPr>
          <w:color w:val="333333"/>
          <w:sz w:val="21"/>
        </w:rPr>
        <w:t xml:space="preserve">building </w:t>
      </w:r>
    </w:p>
    <w:p w14:paraId="12C83F0A" w14:textId="77777777" w:rsidR="00A71EEF" w:rsidRDefault="00A71EEF">
      <w:pPr>
        <w:pStyle w:val="a3"/>
        <w:rPr>
          <w:sz w:val="18"/>
        </w:rPr>
      </w:pPr>
    </w:p>
    <w:p w14:paraId="27272758" w14:textId="77777777" w:rsidR="00A71EEF" w:rsidRDefault="0081115D">
      <w:pPr>
        <w:pStyle w:val="a3"/>
        <w:spacing w:line="446" w:lineRule="auto"/>
        <w:ind w:left="838" w:right="1505"/>
      </w:pPr>
      <w:r>
        <w:rPr>
          <w:color w:val="333333"/>
          <w:spacing w:val="-9"/>
        </w:rPr>
        <w:t>建筑高度大于</w:t>
      </w:r>
      <w:r>
        <w:rPr>
          <w:color w:val="333333"/>
          <w:spacing w:val="-9"/>
        </w:rPr>
        <w:t xml:space="preserve"> </w:t>
      </w:r>
      <w:r>
        <w:rPr>
          <w:color w:val="333333"/>
        </w:rPr>
        <w:t>27m</w:t>
      </w:r>
      <w:r>
        <w:rPr>
          <w:color w:val="333333"/>
          <w:spacing w:val="-11"/>
        </w:rPr>
        <w:t xml:space="preserve"> </w:t>
      </w:r>
      <w:r>
        <w:rPr>
          <w:color w:val="333333"/>
          <w:spacing w:val="-11"/>
        </w:rPr>
        <w:t>的住宅建筑和建筑高度大于</w:t>
      </w:r>
      <w:r>
        <w:rPr>
          <w:color w:val="333333"/>
          <w:spacing w:val="-11"/>
        </w:rPr>
        <w:t xml:space="preserve"> </w:t>
      </w:r>
      <w:r>
        <w:rPr>
          <w:color w:val="333333"/>
        </w:rPr>
        <w:t>24m</w:t>
      </w:r>
      <w:r>
        <w:rPr>
          <w:color w:val="333333"/>
          <w:spacing w:val="-9"/>
        </w:rPr>
        <w:t xml:space="preserve"> </w:t>
      </w:r>
      <w:r>
        <w:rPr>
          <w:color w:val="333333"/>
          <w:spacing w:val="-9"/>
        </w:rPr>
        <w:t>的非单层厂房、仓库和其他民用建筑。</w:t>
      </w:r>
      <w:r>
        <w:rPr>
          <w:color w:val="333333"/>
          <w:spacing w:val="-6"/>
        </w:rPr>
        <w:t>注：建筑高度的计算应符合本规范附录</w:t>
      </w:r>
      <w:r>
        <w:rPr>
          <w:color w:val="333333"/>
          <w:spacing w:val="-6"/>
        </w:rPr>
        <w:t xml:space="preserve"> </w:t>
      </w:r>
      <w:r>
        <w:rPr>
          <w:color w:val="333333"/>
        </w:rPr>
        <w:t>A</w:t>
      </w:r>
      <w:r>
        <w:rPr>
          <w:color w:val="333333"/>
          <w:spacing w:val="-13"/>
        </w:rPr>
        <w:t xml:space="preserve"> </w:t>
      </w:r>
      <w:r>
        <w:rPr>
          <w:color w:val="333333"/>
          <w:spacing w:val="-13"/>
        </w:rPr>
        <w:t>的规定。</w:t>
      </w:r>
      <w:r>
        <w:rPr>
          <w:color w:val="333333"/>
        </w:rPr>
        <w:t xml:space="preserve"> </w:t>
      </w:r>
    </w:p>
    <w:p w14:paraId="241D241A" w14:textId="77777777" w:rsidR="00A71EEF" w:rsidRDefault="00A71EEF">
      <w:pPr>
        <w:spacing w:line="446" w:lineRule="auto"/>
        <w:sectPr w:rsidR="00A71EEF">
          <w:pgSz w:w="11910" w:h="16850"/>
          <w:pgMar w:top="1600" w:right="0" w:bottom="1420" w:left="1260" w:header="0" w:footer="1239" w:gutter="0"/>
          <w:cols w:space="720"/>
        </w:sectPr>
      </w:pPr>
    </w:p>
    <w:p w14:paraId="0CFEB7B7" w14:textId="77777777" w:rsidR="00A71EEF" w:rsidRDefault="0081115D">
      <w:pPr>
        <w:pStyle w:val="a4"/>
        <w:numPr>
          <w:ilvl w:val="2"/>
          <w:numId w:val="750"/>
        </w:numPr>
        <w:tabs>
          <w:tab w:val="left" w:pos="1371"/>
        </w:tabs>
        <w:spacing w:before="47"/>
        <w:rPr>
          <w:sz w:val="21"/>
        </w:rPr>
      </w:pPr>
      <w:r>
        <w:rPr>
          <w:color w:val="333333"/>
          <w:spacing w:val="-2"/>
          <w:sz w:val="21"/>
        </w:rPr>
        <w:lastRenderedPageBreak/>
        <w:t>裙房</w:t>
      </w:r>
      <w:r>
        <w:rPr>
          <w:color w:val="333333"/>
          <w:spacing w:val="-2"/>
          <w:sz w:val="21"/>
        </w:rPr>
        <w:t xml:space="preserve"> </w:t>
      </w:r>
      <w:r>
        <w:rPr>
          <w:color w:val="333333"/>
          <w:sz w:val="21"/>
        </w:rPr>
        <w:t xml:space="preserve">podium </w:t>
      </w:r>
    </w:p>
    <w:p w14:paraId="22DA98C9" w14:textId="77777777" w:rsidR="00A71EEF" w:rsidRDefault="00A71EEF">
      <w:pPr>
        <w:pStyle w:val="a3"/>
        <w:rPr>
          <w:sz w:val="18"/>
        </w:rPr>
      </w:pPr>
    </w:p>
    <w:p w14:paraId="37241E6D" w14:textId="77777777" w:rsidR="00A71EEF" w:rsidRDefault="0081115D">
      <w:pPr>
        <w:pStyle w:val="a3"/>
        <w:spacing w:line="446" w:lineRule="auto"/>
        <w:ind w:left="840" w:right="2134" w:hanging="3"/>
      </w:pPr>
      <w:r>
        <w:rPr>
          <w:color w:val="333333"/>
        </w:rPr>
        <w:t>在高层建筑主体投影范围外，与建筑主体相连且建筑高度不大于</w:t>
      </w:r>
      <w:r>
        <w:rPr>
          <w:color w:val="333333"/>
        </w:rPr>
        <w:t xml:space="preserve"> 24m </w:t>
      </w:r>
      <w:r>
        <w:rPr>
          <w:color w:val="333333"/>
        </w:rPr>
        <w:t>的附属建筑。</w:t>
      </w:r>
      <w:r>
        <w:rPr>
          <w:b/>
          <w:color w:val="333333"/>
        </w:rPr>
        <w:t xml:space="preserve">2.1.3 </w:t>
      </w:r>
      <w:r>
        <w:rPr>
          <w:color w:val="333333"/>
        </w:rPr>
        <w:t>重要公共建筑</w:t>
      </w:r>
      <w:r>
        <w:rPr>
          <w:color w:val="333333"/>
        </w:rPr>
        <w:t xml:space="preserve"> important public building </w:t>
      </w:r>
    </w:p>
    <w:p w14:paraId="7FB01968" w14:textId="77777777" w:rsidR="00A71EEF" w:rsidRDefault="0081115D">
      <w:pPr>
        <w:pStyle w:val="a3"/>
        <w:spacing w:line="446" w:lineRule="auto"/>
        <w:ind w:left="840" w:right="2977" w:hanging="3"/>
      </w:pPr>
      <w:r>
        <w:rPr>
          <w:color w:val="333333"/>
        </w:rPr>
        <w:t>发生火灾可能造成重大人员伤亡、财产损失和严重社会影响的公共建筑。</w:t>
      </w:r>
      <w:r>
        <w:rPr>
          <w:b/>
          <w:color w:val="333333"/>
        </w:rPr>
        <w:t xml:space="preserve">2.1.4 </w:t>
      </w:r>
      <w:r>
        <w:rPr>
          <w:color w:val="333333"/>
        </w:rPr>
        <w:t>商业服务网点</w:t>
      </w:r>
      <w:r>
        <w:rPr>
          <w:color w:val="333333"/>
        </w:rPr>
        <w:t xml:space="preserve"> commercial facilities </w:t>
      </w:r>
    </w:p>
    <w:p w14:paraId="21CB9482" w14:textId="77777777" w:rsidR="00A71EEF" w:rsidRDefault="0081115D">
      <w:pPr>
        <w:pStyle w:val="a3"/>
        <w:spacing w:line="446" w:lineRule="auto"/>
        <w:ind w:left="418" w:right="1661" w:firstLine="419"/>
      </w:pPr>
      <w:r>
        <w:rPr>
          <w:color w:val="333333"/>
          <w:spacing w:val="-4"/>
        </w:rPr>
        <w:t>设置在住宅建筑的首层或首层及二层，每个分隔单元建筑面积不大于</w:t>
      </w:r>
      <w:r>
        <w:rPr>
          <w:color w:val="333333"/>
          <w:spacing w:val="-4"/>
        </w:rPr>
        <w:t xml:space="preserve"> </w:t>
      </w:r>
      <w:r>
        <w:rPr>
          <w:color w:val="333333"/>
        </w:rPr>
        <w:t>300m²</w:t>
      </w:r>
      <w:r>
        <w:rPr>
          <w:color w:val="333333"/>
          <w:spacing w:val="-2"/>
        </w:rPr>
        <w:t>的商店、邮政</w:t>
      </w:r>
      <w:r>
        <w:rPr>
          <w:color w:val="333333"/>
          <w:spacing w:val="-3"/>
        </w:rPr>
        <w:t>所、储蓄所、理发店等小型营业性用房。</w:t>
      </w:r>
      <w:r>
        <w:rPr>
          <w:color w:val="333333"/>
        </w:rPr>
        <w:t xml:space="preserve"> </w:t>
      </w:r>
    </w:p>
    <w:p w14:paraId="1A0CFE18" w14:textId="77777777" w:rsidR="00A71EEF" w:rsidRDefault="0081115D">
      <w:pPr>
        <w:ind w:left="840"/>
        <w:rPr>
          <w:sz w:val="21"/>
        </w:rPr>
      </w:pPr>
      <w:r>
        <w:rPr>
          <w:b/>
          <w:color w:val="333333"/>
          <w:sz w:val="21"/>
        </w:rPr>
        <w:t>2.1.5</w:t>
      </w:r>
      <w:r>
        <w:rPr>
          <w:b/>
          <w:color w:val="333333"/>
          <w:spacing w:val="-1"/>
          <w:sz w:val="21"/>
        </w:rPr>
        <w:t xml:space="preserve"> </w:t>
      </w:r>
      <w:r>
        <w:rPr>
          <w:color w:val="333333"/>
          <w:spacing w:val="-3"/>
          <w:sz w:val="21"/>
        </w:rPr>
        <w:t>高架仓库</w:t>
      </w:r>
      <w:r>
        <w:rPr>
          <w:color w:val="333333"/>
          <w:spacing w:val="-3"/>
          <w:sz w:val="21"/>
        </w:rPr>
        <w:t xml:space="preserve"> </w:t>
      </w:r>
      <w:r>
        <w:rPr>
          <w:color w:val="333333"/>
          <w:sz w:val="21"/>
        </w:rPr>
        <w:t>high</w:t>
      </w:r>
      <w:r>
        <w:rPr>
          <w:color w:val="333333"/>
          <w:spacing w:val="1"/>
          <w:sz w:val="21"/>
        </w:rPr>
        <w:t xml:space="preserve"> </w:t>
      </w:r>
      <w:r>
        <w:rPr>
          <w:color w:val="333333"/>
          <w:sz w:val="21"/>
        </w:rPr>
        <w:t xml:space="preserve">rack storage </w:t>
      </w:r>
    </w:p>
    <w:p w14:paraId="7F7CA167" w14:textId="77777777" w:rsidR="00A71EEF" w:rsidRDefault="00A71EEF">
      <w:pPr>
        <w:pStyle w:val="a3"/>
        <w:spacing w:before="10"/>
        <w:rPr>
          <w:sz w:val="17"/>
        </w:rPr>
      </w:pPr>
    </w:p>
    <w:p w14:paraId="6B48DF95" w14:textId="77777777" w:rsidR="00A71EEF" w:rsidRDefault="0081115D">
      <w:pPr>
        <w:pStyle w:val="a3"/>
        <w:spacing w:line="446" w:lineRule="auto"/>
        <w:ind w:left="840" w:right="3923" w:hanging="3"/>
      </w:pPr>
      <w:r>
        <w:rPr>
          <w:color w:val="333333"/>
        </w:rPr>
        <w:t>货架高度大于</w:t>
      </w:r>
      <w:r>
        <w:rPr>
          <w:color w:val="333333"/>
        </w:rPr>
        <w:t xml:space="preserve"> 7m </w:t>
      </w:r>
      <w:r>
        <w:rPr>
          <w:color w:val="333333"/>
        </w:rPr>
        <w:t>且采用机械化</w:t>
      </w:r>
      <w:r>
        <w:rPr>
          <w:color w:val="333333"/>
        </w:rPr>
        <w:t>操作或自动化控制的货架仓库。</w:t>
      </w:r>
      <w:r>
        <w:rPr>
          <w:b/>
          <w:color w:val="333333"/>
        </w:rPr>
        <w:t xml:space="preserve">2.1.6 </w:t>
      </w:r>
      <w:r>
        <w:rPr>
          <w:color w:val="333333"/>
        </w:rPr>
        <w:t>半地下室</w:t>
      </w:r>
      <w:r>
        <w:rPr>
          <w:color w:val="333333"/>
        </w:rPr>
        <w:t xml:space="preserve"> semi-basement </w:t>
      </w:r>
    </w:p>
    <w:p w14:paraId="65B63802" w14:textId="77777777" w:rsidR="00A71EEF" w:rsidRDefault="0081115D">
      <w:pPr>
        <w:pStyle w:val="a3"/>
        <w:spacing w:line="446" w:lineRule="auto"/>
        <w:ind w:left="840" w:right="1919" w:hanging="3"/>
      </w:pPr>
      <w:r>
        <w:rPr>
          <w:color w:val="333333"/>
        </w:rPr>
        <w:t>房间地面低于室外设计地面的平均高度大于该房间平均净高</w:t>
      </w:r>
      <w:r>
        <w:rPr>
          <w:color w:val="333333"/>
        </w:rPr>
        <w:t xml:space="preserve"> 1/3</w:t>
      </w:r>
      <w:r>
        <w:rPr>
          <w:color w:val="333333"/>
        </w:rPr>
        <w:t>，且不大于</w:t>
      </w:r>
      <w:r>
        <w:rPr>
          <w:color w:val="333333"/>
        </w:rPr>
        <w:t xml:space="preserve"> 1/2 </w:t>
      </w:r>
      <w:r>
        <w:rPr>
          <w:color w:val="333333"/>
        </w:rPr>
        <w:t>者。</w:t>
      </w:r>
      <w:r>
        <w:rPr>
          <w:b/>
          <w:color w:val="333333"/>
        </w:rPr>
        <w:t xml:space="preserve">2.1.7 </w:t>
      </w:r>
      <w:r>
        <w:rPr>
          <w:color w:val="333333"/>
        </w:rPr>
        <w:t>地下室</w:t>
      </w:r>
      <w:r>
        <w:rPr>
          <w:color w:val="333333"/>
        </w:rPr>
        <w:t xml:space="preserve"> basement </w:t>
      </w:r>
    </w:p>
    <w:p w14:paraId="1A8F9FB0" w14:textId="77777777" w:rsidR="00A71EEF" w:rsidRDefault="0081115D">
      <w:pPr>
        <w:pStyle w:val="a3"/>
        <w:spacing w:line="446" w:lineRule="auto"/>
        <w:ind w:left="840" w:right="3397" w:hanging="3"/>
      </w:pPr>
      <w:r>
        <w:rPr>
          <w:color w:val="333333"/>
        </w:rPr>
        <w:t>房间地面低于室外设计地面的平均高度大于该房间平均净高</w:t>
      </w:r>
      <w:r>
        <w:rPr>
          <w:color w:val="333333"/>
        </w:rPr>
        <w:t xml:space="preserve"> 1/2 </w:t>
      </w:r>
      <w:r>
        <w:rPr>
          <w:color w:val="333333"/>
        </w:rPr>
        <w:t>者。</w:t>
      </w:r>
      <w:r>
        <w:rPr>
          <w:b/>
          <w:color w:val="333333"/>
        </w:rPr>
        <w:t xml:space="preserve">2.1.8 </w:t>
      </w:r>
      <w:r>
        <w:rPr>
          <w:color w:val="333333"/>
        </w:rPr>
        <w:t>明火地点</w:t>
      </w:r>
      <w:r>
        <w:rPr>
          <w:color w:val="333333"/>
        </w:rPr>
        <w:t xml:space="preserve"> open flame location </w:t>
      </w:r>
    </w:p>
    <w:p w14:paraId="12EDD930" w14:textId="77777777" w:rsidR="00A71EEF" w:rsidRDefault="0081115D">
      <w:pPr>
        <w:pStyle w:val="a3"/>
        <w:spacing w:line="446" w:lineRule="auto"/>
        <w:ind w:left="840" w:right="2134" w:hanging="3"/>
      </w:pPr>
      <w:r>
        <w:rPr>
          <w:color w:val="333333"/>
        </w:rPr>
        <w:t>室内外有外露火焰或赤热表面的固定地点（民用建筑内的灶具、电磁炉等除外）。</w:t>
      </w:r>
      <w:r>
        <w:rPr>
          <w:b/>
          <w:color w:val="333333"/>
        </w:rPr>
        <w:t xml:space="preserve">2.1.9 </w:t>
      </w:r>
      <w:r>
        <w:rPr>
          <w:color w:val="333333"/>
        </w:rPr>
        <w:t>散发火花地点</w:t>
      </w:r>
      <w:r>
        <w:rPr>
          <w:color w:val="333333"/>
        </w:rPr>
        <w:t xml:space="preserve"> sparking site </w:t>
      </w:r>
    </w:p>
    <w:p w14:paraId="49B1CD65" w14:textId="77777777" w:rsidR="00A71EEF" w:rsidRDefault="0081115D">
      <w:pPr>
        <w:pStyle w:val="a3"/>
        <w:spacing w:line="446" w:lineRule="auto"/>
        <w:ind w:left="840" w:right="3186" w:hanging="3"/>
      </w:pPr>
      <w:r>
        <w:rPr>
          <w:color w:val="333333"/>
        </w:rPr>
        <w:t>有飞火的烟囱或进行室外砂轮、电焊、气焊、气割等作业的固定地点。</w:t>
      </w:r>
      <w:r>
        <w:rPr>
          <w:b/>
          <w:color w:val="333333"/>
        </w:rPr>
        <w:t xml:space="preserve">2.1.10 </w:t>
      </w:r>
      <w:r>
        <w:rPr>
          <w:color w:val="333333"/>
        </w:rPr>
        <w:t>耐火极限</w:t>
      </w:r>
      <w:r>
        <w:rPr>
          <w:color w:val="333333"/>
        </w:rPr>
        <w:t xml:space="preserve"> fire resistance rating </w:t>
      </w:r>
    </w:p>
    <w:p w14:paraId="4521760E" w14:textId="77777777" w:rsidR="00A71EEF" w:rsidRDefault="0081115D">
      <w:pPr>
        <w:pStyle w:val="a3"/>
        <w:spacing w:line="446" w:lineRule="auto"/>
        <w:ind w:left="418" w:right="1609" w:firstLine="419"/>
      </w:pPr>
      <w:r>
        <w:rPr>
          <w:color w:val="333333"/>
        </w:rPr>
        <w:t>在标准耐火试验条件下，建筑构件、配件或结构从受到火的作用时起，至失去承载能力、完整性或隔热性时止所用时间，用小时表示。</w:t>
      </w:r>
      <w:r>
        <w:rPr>
          <w:color w:val="333333"/>
        </w:rPr>
        <w:t xml:space="preserve"> </w:t>
      </w:r>
    </w:p>
    <w:p w14:paraId="2FBAD32D" w14:textId="77777777" w:rsidR="00A71EEF" w:rsidRDefault="0081115D">
      <w:pPr>
        <w:spacing w:line="267" w:lineRule="exact"/>
        <w:ind w:left="840"/>
        <w:rPr>
          <w:sz w:val="21"/>
        </w:rPr>
      </w:pPr>
      <w:r>
        <w:rPr>
          <w:b/>
          <w:color w:val="333333"/>
          <w:sz w:val="21"/>
        </w:rPr>
        <w:t xml:space="preserve">2.1.11 </w:t>
      </w:r>
      <w:r>
        <w:rPr>
          <w:color w:val="333333"/>
          <w:sz w:val="21"/>
        </w:rPr>
        <w:t>防火隔墙</w:t>
      </w:r>
      <w:r>
        <w:rPr>
          <w:color w:val="333333"/>
          <w:sz w:val="21"/>
        </w:rPr>
        <w:t xml:space="preserve"> fire partition wall </w:t>
      </w:r>
    </w:p>
    <w:p w14:paraId="2D4421E4" w14:textId="77777777" w:rsidR="00A71EEF" w:rsidRDefault="00A71EEF">
      <w:pPr>
        <w:pStyle w:val="a3"/>
        <w:rPr>
          <w:sz w:val="18"/>
        </w:rPr>
      </w:pPr>
    </w:p>
    <w:p w14:paraId="29D4F8AD" w14:textId="77777777" w:rsidR="00A71EEF" w:rsidRDefault="0081115D">
      <w:pPr>
        <w:pStyle w:val="a3"/>
        <w:spacing w:line="446" w:lineRule="auto"/>
        <w:ind w:left="840" w:right="2765" w:hanging="3"/>
      </w:pPr>
      <w:r>
        <w:rPr>
          <w:color w:val="333333"/>
        </w:rPr>
        <w:t>建筑内防止火灾蔓延至相邻区域且耐火极限不低于规定要求的不燃性墙体。</w:t>
      </w:r>
      <w:r>
        <w:rPr>
          <w:b/>
          <w:color w:val="333333"/>
        </w:rPr>
        <w:t xml:space="preserve">2.1.12 </w:t>
      </w:r>
      <w:r>
        <w:rPr>
          <w:color w:val="333333"/>
        </w:rPr>
        <w:t>防火墙</w:t>
      </w:r>
      <w:r>
        <w:rPr>
          <w:color w:val="333333"/>
        </w:rPr>
        <w:t xml:space="preserve"> fire wall </w:t>
      </w:r>
    </w:p>
    <w:p w14:paraId="6A54DE4F" w14:textId="77777777" w:rsidR="00A71EEF" w:rsidRDefault="0081115D">
      <w:pPr>
        <w:pStyle w:val="a3"/>
        <w:spacing w:line="446" w:lineRule="auto"/>
        <w:ind w:left="840" w:right="1664" w:hanging="3"/>
      </w:pPr>
      <w:r>
        <w:rPr>
          <w:color w:val="333333"/>
        </w:rPr>
        <w:t>防止火灾蔓延至相邻建筑或相邻水平防火分区且耐火极限不低于</w:t>
      </w:r>
      <w:r>
        <w:rPr>
          <w:color w:val="333333"/>
        </w:rPr>
        <w:t xml:space="preserve"> 3.00h </w:t>
      </w:r>
      <w:r>
        <w:rPr>
          <w:color w:val="333333"/>
        </w:rPr>
        <w:t>的不燃性</w:t>
      </w:r>
      <w:r>
        <w:rPr>
          <w:color w:val="333333"/>
        </w:rPr>
        <w:t>墙体。</w:t>
      </w:r>
      <w:r>
        <w:rPr>
          <w:b/>
          <w:color w:val="333333"/>
        </w:rPr>
        <w:t xml:space="preserve">2.1.13 </w:t>
      </w:r>
      <w:r>
        <w:rPr>
          <w:color w:val="333333"/>
        </w:rPr>
        <w:t>避难层（间）</w:t>
      </w:r>
      <w:r>
        <w:rPr>
          <w:color w:val="333333"/>
        </w:rPr>
        <w:t xml:space="preserve"> refuge floor</w:t>
      </w:r>
      <w:r>
        <w:rPr>
          <w:color w:val="333333"/>
        </w:rPr>
        <w:t>（</w:t>
      </w:r>
      <w:r>
        <w:rPr>
          <w:color w:val="333333"/>
        </w:rPr>
        <w:t>room</w:t>
      </w:r>
      <w:r>
        <w:rPr>
          <w:color w:val="333333"/>
        </w:rPr>
        <w:t>）</w:t>
      </w:r>
      <w:r>
        <w:rPr>
          <w:color w:val="333333"/>
        </w:rPr>
        <w:t xml:space="preserve"> </w:t>
      </w:r>
    </w:p>
    <w:p w14:paraId="54E17841" w14:textId="77777777" w:rsidR="00A71EEF" w:rsidRDefault="0081115D">
      <w:pPr>
        <w:pStyle w:val="a3"/>
        <w:spacing w:line="446" w:lineRule="auto"/>
        <w:ind w:left="840" w:right="4026" w:hanging="3"/>
      </w:pPr>
      <w:r>
        <w:rPr>
          <w:color w:val="333333"/>
        </w:rPr>
        <w:t>建筑内用于人员暂时躲避火灾及其烟气危害的楼层（房间）。</w:t>
      </w:r>
      <w:r>
        <w:rPr>
          <w:b/>
          <w:color w:val="333333"/>
        </w:rPr>
        <w:t xml:space="preserve">2.1.14 </w:t>
      </w:r>
      <w:r>
        <w:rPr>
          <w:color w:val="333333"/>
        </w:rPr>
        <w:t>安全出口</w:t>
      </w:r>
      <w:r>
        <w:rPr>
          <w:color w:val="333333"/>
        </w:rPr>
        <w:t xml:space="preserve"> safety exit </w:t>
      </w:r>
    </w:p>
    <w:p w14:paraId="68CF439B" w14:textId="77777777" w:rsidR="00A71EEF" w:rsidRDefault="0081115D">
      <w:pPr>
        <w:pStyle w:val="a3"/>
        <w:ind w:left="838"/>
      </w:pPr>
      <w:r>
        <w:rPr>
          <w:color w:val="333333"/>
        </w:rPr>
        <w:t>供人员安全疏散用的楼梯间和室外楼梯的出入口或直通室内外安全区域的出口。</w:t>
      </w:r>
      <w:r>
        <w:rPr>
          <w:color w:val="333333"/>
        </w:rPr>
        <w:t xml:space="preserve"> </w:t>
      </w:r>
    </w:p>
    <w:p w14:paraId="72618405" w14:textId="77777777" w:rsidR="00A71EEF" w:rsidRDefault="00A71EEF">
      <w:pPr>
        <w:sectPr w:rsidR="00A71EEF">
          <w:pgSz w:w="11910" w:h="16850"/>
          <w:pgMar w:top="1220" w:right="0" w:bottom="1420" w:left="1260" w:header="0" w:footer="1239" w:gutter="0"/>
          <w:cols w:space="720"/>
        </w:sectPr>
      </w:pPr>
    </w:p>
    <w:p w14:paraId="2212B78B" w14:textId="77777777" w:rsidR="00A71EEF" w:rsidRDefault="0081115D">
      <w:pPr>
        <w:spacing w:before="47"/>
        <w:ind w:left="840"/>
        <w:rPr>
          <w:sz w:val="21"/>
        </w:rPr>
      </w:pPr>
      <w:r>
        <w:rPr>
          <w:b/>
          <w:color w:val="333333"/>
          <w:sz w:val="21"/>
        </w:rPr>
        <w:lastRenderedPageBreak/>
        <w:t xml:space="preserve">2.1.15 </w:t>
      </w:r>
      <w:r>
        <w:rPr>
          <w:color w:val="333333"/>
          <w:sz w:val="21"/>
        </w:rPr>
        <w:t>封闭楼梯间</w:t>
      </w:r>
      <w:r>
        <w:rPr>
          <w:color w:val="333333"/>
          <w:sz w:val="21"/>
        </w:rPr>
        <w:t xml:space="preserve"> enclosed staircase </w:t>
      </w:r>
    </w:p>
    <w:p w14:paraId="43180F8F" w14:textId="77777777" w:rsidR="00A71EEF" w:rsidRDefault="00A71EEF">
      <w:pPr>
        <w:pStyle w:val="a3"/>
        <w:rPr>
          <w:sz w:val="18"/>
        </w:rPr>
      </w:pPr>
    </w:p>
    <w:p w14:paraId="0D19C668" w14:textId="77777777" w:rsidR="00A71EEF" w:rsidRDefault="0081115D">
      <w:pPr>
        <w:pStyle w:val="a3"/>
        <w:spacing w:line="446" w:lineRule="auto"/>
        <w:ind w:left="840" w:right="3817" w:hanging="3"/>
      </w:pPr>
      <w:r>
        <w:rPr>
          <w:color w:val="333333"/>
        </w:rPr>
        <w:t>在楼梯间入口处设置门，以防止火灾的烟和热气进入的楼梯间。</w:t>
      </w:r>
      <w:r>
        <w:rPr>
          <w:b/>
          <w:color w:val="333333"/>
        </w:rPr>
        <w:t xml:space="preserve">2.1.16 </w:t>
      </w:r>
      <w:r>
        <w:rPr>
          <w:color w:val="333333"/>
        </w:rPr>
        <w:t>防烟楼梯间</w:t>
      </w:r>
      <w:r>
        <w:rPr>
          <w:color w:val="333333"/>
        </w:rPr>
        <w:t xml:space="preserve"> smoke-proof staircase </w:t>
      </w:r>
    </w:p>
    <w:p w14:paraId="30DD3503" w14:textId="77777777" w:rsidR="00A71EEF" w:rsidRDefault="0081115D">
      <w:pPr>
        <w:pStyle w:val="a3"/>
        <w:spacing w:line="446" w:lineRule="auto"/>
        <w:ind w:left="418" w:right="1608" w:firstLine="419"/>
      </w:pPr>
      <w:r>
        <w:rPr>
          <w:color w:val="333333"/>
        </w:rPr>
        <w:t>在楼梯间入口处设置防烟的前室、开敞式阳台或凹廊（统称前室）等设施，且通向前室和楼梯间的门均为防火门，以防止火灾的烟和热气进入的楼梯间。</w:t>
      </w:r>
      <w:r>
        <w:rPr>
          <w:color w:val="333333"/>
        </w:rPr>
        <w:t xml:space="preserve"> </w:t>
      </w:r>
    </w:p>
    <w:p w14:paraId="31477488" w14:textId="77777777" w:rsidR="00A71EEF" w:rsidRDefault="0081115D">
      <w:pPr>
        <w:pStyle w:val="a4"/>
        <w:numPr>
          <w:ilvl w:val="2"/>
          <w:numId w:val="749"/>
        </w:numPr>
        <w:tabs>
          <w:tab w:val="left" w:pos="1478"/>
        </w:tabs>
        <w:spacing w:line="267" w:lineRule="exact"/>
        <w:ind w:hanging="638"/>
        <w:rPr>
          <w:sz w:val="21"/>
        </w:rPr>
      </w:pPr>
      <w:r>
        <w:rPr>
          <w:color w:val="333333"/>
          <w:spacing w:val="-3"/>
          <w:sz w:val="21"/>
        </w:rPr>
        <w:t>避难走道</w:t>
      </w:r>
      <w:r>
        <w:rPr>
          <w:color w:val="333333"/>
          <w:spacing w:val="-3"/>
          <w:sz w:val="21"/>
        </w:rPr>
        <w:t xml:space="preserve"> </w:t>
      </w:r>
      <w:r>
        <w:rPr>
          <w:color w:val="333333"/>
          <w:sz w:val="21"/>
        </w:rPr>
        <w:t>exit</w:t>
      </w:r>
      <w:r>
        <w:rPr>
          <w:color w:val="333333"/>
          <w:spacing w:val="1"/>
          <w:sz w:val="21"/>
        </w:rPr>
        <w:t xml:space="preserve"> </w:t>
      </w:r>
      <w:r>
        <w:rPr>
          <w:color w:val="333333"/>
          <w:sz w:val="21"/>
        </w:rPr>
        <w:t xml:space="preserve">passageway </w:t>
      </w:r>
    </w:p>
    <w:p w14:paraId="1D4E40FA" w14:textId="77777777" w:rsidR="00A71EEF" w:rsidRDefault="00A71EEF">
      <w:pPr>
        <w:pStyle w:val="a3"/>
        <w:spacing w:before="2"/>
        <w:rPr>
          <w:sz w:val="18"/>
        </w:rPr>
      </w:pPr>
    </w:p>
    <w:p w14:paraId="5E1F79CE" w14:textId="77777777" w:rsidR="00A71EEF" w:rsidRDefault="0081115D">
      <w:pPr>
        <w:pStyle w:val="a3"/>
        <w:spacing w:line="446" w:lineRule="auto"/>
        <w:ind w:left="418" w:right="1498" w:firstLine="419"/>
      </w:pPr>
      <w:r>
        <w:rPr>
          <w:color w:val="333333"/>
        </w:rPr>
        <w:t>采取防烟措施且两侧设置耐火极限不低于</w:t>
      </w:r>
      <w:r>
        <w:rPr>
          <w:color w:val="333333"/>
        </w:rPr>
        <w:t xml:space="preserve"> 3.00h </w:t>
      </w:r>
      <w:r>
        <w:rPr>
          <w:color w:val="333333"/>
        </w:rPr>
        <w:t>的防火隔墙，用于人员安全通行至室外的走道。</w:t>
      </w:r>
      <w:r>
        <w:rPr>
          <w:color w:val="333333"/>
        </w:rPr>
        <w:t xml:space="preserve"> </w:t>
      </w:r>
    </w:p>
    <w:p w14:paraId="7890BC82" w14:textId="77777777" w:rsidR="00A71EEF" w:rsidRDefault="0081115D">
      <w:pPr>
        <w:pStyle w:val="a4"/>
        <w:numPr>
          <w:ilvl w:val="2"/>
          <w:numId w:val="749"/>
        </w:numPr>
        <w:tabs>
          <w:tab w:val="left" w:pos="1478"/>
        </w:tabs>
        <w:spacing w:line="267" w:lineRule="exact"/>
        <w:ind w:hanging="638"/>
        <w:rPr>
          <w:sz w:val="21"/>
        </w:rPr>
      </w:pPr>
      <w:r>
        <w:rPr>
          <w:color w:val="333333"/>
          <w:spacing w:val="-2"/>
          <w:sz w:val="21"/>
        </w:rPr>
        <w:t>闪点</w:t>
      </w:r>
      <w:r>
        <w:rPr>
          <w:color w:val="333333"/>
          <w:spacing w:val="-2"/>
          <w:sz w:val="21"/>
        </w:rPr>
        <w:t xml:space="preserve"> </w:t>
      </w:r>
      <w:r>
        <w:rPr>
          <w:color w:val="333333"/>
          <w:sz w:val="21"/>
        </w:rPr>
        <w:t>flash</w:t>
      </w:r>
      <w:r>
        <w:rPr>
          <w:color w:val="333333"/>
          <w:spacing w:val="1"/>
          <w:sz w:val="21"/>
        </w:rPr>
        <w:t xml:space="preserve"> </w:t>
      </w:r>
      <w:r>
        <w:rPr>
          <w:color w:val="333333"/>
          <w:sz w:val="21"/>
        </w:rPr>
        <w:t xml:space="preserve">point </w:t>
      </w:r>
    </w:p>
    <w:p w14:paraId="639CBDE9" w14:textId="77777777" w:rsidR="00A71EEF" w:rsidRDefault="00A71EEF">
      <w:pPr>
        <w:pStyle w:val="a3"/>
        <w:spacing w:before="2"/>
        <w:rPr>
          <w:sz w:val="18"/>
        </w:rPr>
      </w:pPr>
    </w:p>
    <w:p w14:paraId="0F2E890F" w14:textId="77777777" w:rsidR="00A71EEF" w:rsidRDefault="0081115D">
      <w:pPr>
        <w:pStyle w:val="a3"/>
        <w:spacing w:line="446" w:lineRule="auto"/>
        <w:ind w:left="418" w:right="1609" w:firstLine="419"/>
      </w:pPr>
      <w:r>
        <w:rPr>
          <w:color w:val="333333"/>
        </w:rPr>
        <w:t>在规定的试验条件下，可燃性液体或固体表面产生的蒸气与空气形成的混合物，遇火源能够闪燃的液体或固体的最低温度（采用闭杯法测定）。</w:t>
      </w:r>
      <w:r>
        <w:rPr>
          <w:color w:val="333333"/>
        </w:rPr>
        <w:t xml:space="preserve"> </w:t>
      </w:r>
    </w:p>
    <w:p w14:paraId="074CD021" w14:textId="77777777" w:rsidR="00A71EEF" w:rsidRDefault="0081115D">
      <w:pPr>
        <w:pStyle w:val="a4"/>
        <w:numPr>
          <w:ilvl w:val="2"/>
          <w:numId w:val="749"/>
        </w:numPr>
        <w:tabs>
          <w:tab w:val="left" w:pos="1478"/>
        </w:tabs>
        <w:spacing w:line="267" w:lineRule="exact"/>
        <w:ind w:hanging="638"/>
        <w:rPr>
          <w:sz w:val="21"/>
        </w:rPr>
      </w:pPr>
      <w:r>
        <w:rPr>
          <w:color w:val="333333"/>
          <w:spacing w:val="-3"/>
          <w:sz w:val="21"/>
        </w:rPr>
        <w:t>爆炸下限</w:t>
      </w:r>
      <w:r>
        <w:rPr>
          <w:color w:val="333333"/>
          <w:spacing w:val="-3"/>
          <w:sz w:val="21"/>
        </w:rPr>
        <w:t xml:space="preserve"> </w:t>
      </w:r>
      <w:r>
        <w:rPr>
          <w:color w:val="333333"/>
          <w:sz w:val="21"/>
        </w:rPr>
        <w:t>lower</w:t>
      </w:r>
      <w:r>
        <w:rPr>
          <w:color w:val="333333"/>
          <w:spacing w:val="-2"/>
          <w:sz w:val="21"/>
        </w:rPr>
        <w:t xml:space="preserve"> </w:t>
      </w:r>
      <w:r>
        <w:rPr>
          <w:color w:val="333333"/>
          <w:sz w:val="21"/>
        </w:rPr>
        <w:t xml:space="preserve">explosion limit </w:t>
      </w:r>
    </w:p>
    <w:p w14:paraId="28D94700" w14:textId="77777777" w:rsidR="00A71EEF" w:rsidRDefault="00A71EEF">
      <w:pPr>
        <w:pStyle w:val="a3"/>
        <w:spacing w:before="2"/>
        <w:rPr>
          <w:sz w:val="18"/>
        </w:rPr>
      </w:pPr>
    </w:p>
    <w:p w14:paraId="328589A4" w14:textId="77777777" w:rsidR="00A71EEF" w:rsidRDefault="0081115D">
      <w:pPr>
        <w:pStyle w:val="a3"/>
        <w:spacing w:line="446" w:lineRule="auto"/>
        <w:ind w:left="840" w:right="2134" w:hanging="3"/>
      </w:pPr>
      <w:r>
        <w:rPr>
          <w:color w:val="333333"/>
        </w:rPr>
        <w:t>可燃的蒸气、气体或粉尘与空气组成的混合物，遇火源即能发生爆炸的最低浓度。</w:t>
      </w:r>
      <w:r>
        <w:rPr>
          <w:b/>
          <w:color w:val="333333"/>
        </w:rPr>
        <w:t xml:space="preserve">2.1.20 </w:t>
      </w:r>
      <w:r>
        <w:rPr>
          <w:color w:val="333333"/>
        </w:rPr>
        <w:t>沸溢性油品</w:t>
      </w:r>
      <w:r>
        <w:rPr>
          <w:color w:val="333333"/>
        </w:rPr>
        <w:t xml:space="preserve"> boil-over oil </w:t>
      </w:r>
    </w:p>
    <w:p w14:paraId="47FE2CB9" w14:textId="77777777" w:rsidR="00A71EEF" w:rsidRDefault="0081115D">
      <w:pPr>
        <w:pStyle w:val="a3"/>
        <w:spacing w:line="446" w:lineRule="auto"/>
        <w:ind w:left="840" w:right="5493" w:hanging="3"/>
      </w:pPr>
      <w:r>
        <w:rPr>
          <w:color w:val="333333"/>
        </w:rPr>
        <w:t>含水并在燃烧时可产生热波作用的油品。</w:t>
      </w:r>
      <w:r>
        <w:rPr>
          <w:b/>
          <w:color w:val="333333"/>
        </w:rPr>
        <w:t xml:space="preserve">2.1.21 </w:t>
      </w:r>
      <w:r>
        <w:rPr>
          <w:color w:val="333333"/>
        </w:rPr>
        <w:t>防火间距</w:t>
      </w:r>
      <w:r>
        <w:rPr>
          <w:color w:val="333333"/>
        </w:rPr>
        <w:t xml:space="preserve"> fire separation distance </w:t>
      </w:r>
    </w:p>
    <w:p w14:paraId="7D068E5E" w14:textId="77777777" w:rsidR="00A71EEF" w:rsidRDefault="0081115D">
      <w:pPr>
        <w:pStyle w:val="a3"/>
        <w:spacing w:line="446" w:lineRule="auto"/>
        <w:ind w:left="838" w:right="3186"/>
      </w:pPr>
      <w:r>
        <w:rPr>
          <w:color w:val="333333"/>
          <w:spacing w:val="-3"/>
        </w:rPr>
        <w:t>防止着火建筑在一定时间内引燃相邻建筑，便于消防扑救的间隔距离。</w:t>
      </w:r>
      <w:r>
        <w:rPr>
          <w:color w:val="333333"/>
          <w:spacing w:val="-6"/>
        </w:rPr>
        <w:t>注：防火间距的计算方法应符合本规范附录</w:t>
      </w:r>
      <w:r>
        <w:rPr>
          <w:color w:val="333333"/>
          <w:spacing w:val="-6"/>
        </w:rPr>
        <w:t xml:space="preserve"> </w:t>
      </w:r>
      <w:r>
        <w:rPr>
          <w:color w:val="333333"/>
          <w:spacing w:val="-3"/>
        </w:rPr>
        <w:t>B</w:t>
      </w:r>
      <w:r>
        <w:rPr>
          <w:color w:val="333333"/>
          <w:spacing w:val="-2"/>
        </w:rPr>
        <w:t xml:space="preserve"> </w:t>
      </w:r>
      <w:r>
        <w:rPr>
          <w:color w:val="333333"/>
          <w:spacing w:val="-2"/>
        </w:rPr>
        <w:t>的规定。</w:t>
      </w:r>
      <w:r>
        <w:rPr>
          <w:color w:val="333333"/>
        </w:rPr>
        <w:t xml:space="preserve"> </w:t>
      </w:r>
    </w:p>
    <w:p w14:paraId="7F90B231" w14:textId="77777777" w:rsidR="00A71EEF" w:rsidRDefault="0081115D">
      <w:pPr>
        <w:pStyle w:val="a4"/>
        <w:numPr>
          <w:ilvl w:val="2"/>
          <w:numId w:val="748"/>
        </w:numPr>
        <w:tabs>
          <w:tab w:val="left" w:pos="1478"/>
        </w:tabs>
        <w:ind w:hanging="638"/>
        <w:rPr>
          <w:sz w:val="21"/>
        </w:rPr>
      </w:pPr>
      <w:r>
        <w:rPr>
          <w:color w:val="333333"/>
          <w:spacing w:val="-3"/>
          <w:sz w:val="21"/>
        </w:rPr>
        <w:t>防火分区</w:t>
      </w:r>
      <w:r>
        <w:rPr>
          <w:color w:val="333333"/>
          <w:spacing w:val="-3"/>
          <w:sz w:val="21"/>
        </w:rPr>
        <w:t xml:space="preserve"> </w:t>
      </w:r>
      <w:r>
        <w:rPr>
          <w:color w:val="333333"/>
          <w:sz w:val="21"/>
        </w:rPr>
        <w:t>fire</w:t>
      </w:r>
      <w:r>
        <w:rPr>
          <w:color w:val="333333"/>
          <w:spacing w:val="1"/>
          <w:sz w:val="21"/>
        </w:rPr>
        <w:t xml:space="preserve"> </w:t>
      </w:r>
      <w:r>
        <w:rPr>
          <w:color w:val="333333"/>
          <w:sz w:val="21"/>
        </w:rPr>
        <w:t xml:space="preserve">compartment </w:t>
      </w:r>
    </w:p>
    <w:p w14:paraId="6D11005A" w14:textId="77777777" w:rsidR="00A71EEF" w:rsidRDefault="00A71EEF">
      <w:pPr>
        <w:pStyle w:val="a3"/>
        <w:spacing w:before="10"/>
        <w:rPr>
          <w:sz w:val="17"/>
        </w:rPr>
      </w:pPr>
    </w:p>
    <w:p w14:paraId="404774F5" w14:textId="77777777" w:rsidR="00A71EEF" w:rsidRDefault="0081115D">
      <w:pPr>
        <w:pStyle w:val="a3"/>
        <w:spacing w:line="446" w:lineRule="auto"/>
        <w:ind w:left="418" w:right="1609" w:firstLine="419"/>
      </w:pPr>
      <w:r>
        <w:rPr>
          <w:color w:val="333333"/>
        </w:rPr>
        <w:t>在建筑内部采用防火墙、楼板及其他防火分隔设施分隔而成，能在一定时间内防止火灾向同一建筑的其余部分蔓延的局部空间。</w:t>
      </w:r>
      <w:r>
        <w:rPr>
          <w:color w:val="333333"/>
        </w:rPr>
        <w:t xml:space="preserve"> </w:t>
      </w:r>
    </w:p>
    <w:p w14:paraId="105EA303" w14:textId="77777777" w:rsidR="00A71EEF" w:rsidRDefault="0081115D">
      <w:pPr>
        <w:pStyle w:val="a4"/>
        <w:numPr>
          <w:ilvl w:val="2"/>
          <w:numId w:val="748"/>
        </w:numPr>
        <w:tabs>
          <w:tab w:val="left" w:pos="1478"/>
        </w:tabs>
        <w:ind w:hanging="638"/>
        <w:rPr>
          <w:sz w:val="21"/>
        </w:rPr>
      </w:pPr>
      <w:r>
        <w:rPr>
          <w:color w:val="333333"/>
          <w:spacing w:val="-3"/>
          <w:sz w:val="21"/>
        </w:rPr>
        <w:t>充实水柱</w:t>
      </w:r>
      <w:r>
        <w:rPr>
          <w:color w:val="333333"/>
          <w:spacing w:val="-3"/>
          <w:sz w:val="21"/>
        </w:rPr>
        <w:t xml:space="preserve"> </w:t>
      </w:r>
      <w:r>
        <w:rPr>
          <w:color w:val="333333"/>
          <w:sz w:val="21"/>
        </w:rPr>
        <w:t>full</w:t>
      </w:r>
      <w:r>
        <w:rPr>
          <w:color w:val="333333"/>
          <w:spacing w:val="1"/>
          <w:sz w:val="21"/>
        </w:rPr>
        <w:t xml:space="preserve"> </w:t>
      </w:r>
      <w:r>
        <w:rPr>
          <w:color w:val="333333"/>
          <w:sz w:val="21"/>
        </w:rPr>
        <w:t xml:space="preserve">water spout </w:t>
      </w:r>
    </w:p>
    <w:p w14:paraId="19A072EC" w14:textId="77777777" w:rsidR="00A71EEF" w:rsidRDefault="00A71EEF">
      <w:pPr>
        <w:pStyle w:val="a3"/>
        <w:rPr>
          <w:sz w:val="18"/>
        </w:rPr>
      </w:pPr>
    </w:p>
    <w:p w14:paraId="3B65907E" w14:textId="77777777" w:rsidR="00A71EEF" w:rsidRDefault="0081115D">
      <w:pPr>
        <w:pStyle w:val="a3"/>
        <w:spacing w:line="446" w:lineRule="auto"/>
        <w:ind w:left="840" w:right="2556" w:hanging="3"/>
        <w:rPr>
          <w:b/>
        </w:rPr>
      </w:pPr>
      <w:r>
        <w:rPr>
          <w:color w:val="333333"/>
        </w:rPr>
        <w:t>从水枪喷嘴起至射流</w:t>
      </w:r>
      <w:r>
        <w:rPr>
          <w:color w:val="333333"/>
        </w:rPr>
        <w:t xml:space="preserve"> 90%</w:t>
      </w:r>
      <w:r>
        <w:rPr>
          <w:color w:val="333333"/>
        </w:rPr>
        <w:t>的水柱水量穿过直径</w:t>
      </w:r>
      <w:r>
        <w:rPr>
          <w:color w:val="333333"/>
        </w:rPr>
        <w:t xml:space="preserve"> 380mm </w:t>
      </w:r>
      <w:r>
        <w:rPr>
          <w:color w:val="333333"/>
        </w:rPr>
        <w:t>圆孔处的一段射流长度。</w:t>
      </w:r>
      <w:r>
        <w:rPr>
          <w:b/>
        </w:rPr>
        <w:t xml:space="preserve">2.2 </w:t>
      </w:r>
      <w:r>
        <w:rPr>
          <w:b/>
        </w:rPr>
        <w:t>符号</w:t>
      </w:r>
      <w:r>
        <w:rPr>
          <w:b/>
          <w:w w:val="99"/>
        </w:rPr>
        <w:t xml:space="preserve"> </w:t>
      </w:r>
    </w:p>
    <w:p w14:paraId="4264F390" w14:textId="77777777" w:rsidR="00A71EEF" w:rsidRDefault="0081115D">
      <w:pPr>
        <w:pStyle w:val="a3"/>
        <w:spacing w:line="446" w:lineRule="auto"/>
        <w:ind w:left="838" w:right="8126"/>
      </w:pPr>
      <w:r>
        <w:rPr>
          <w:color w:val="333333"/>
        </w:rPr>
        <w:t>A——</w:t>
      </w:r>
      <w:r>
        <w:rPr>
          <w:color w:val="333333"/>
        </w:rPr>
        <w:t>泄压面积</w:t>
      </w:r>
      <w:r>
        <w:rPr>
          <w:color w:val="333333"/>
        </w:rPr>
        <w:t xml:space="preserve">C—— </w:t>
      </w:r>
      <w:r>
        <w:rPr>
          <w:color w:val="333333"/>
        </w:rPr>
        <w:t>泄</w:t>
      </w:r>
      <w:r>
        <w:rPr>
          <w:color w:val="333333"/>
        </w:rPr>
        <w:t xml:space="preserve"> </w:t>
      </w:r>
      <w:r>
        <w:rPr>
          <w:color w:val="333333"/>
        </w:rPr>
        <w:t>压</w:t>
      </w:r>
      <w:r>
        <w:rPr>
          <w:color w:val="333333"/>
        </w:rPr>
        <w:t xml:space="preserve"> </w:t>
      </w:r>
      <w:r>
        <w:rPr>
          <w:color w:val="333333"/>
        </w:rPr>
        <w:t>比</w:t>
      </w:r>
      <w:r>
        <w:rPr>
          <w:color w:val="333333"/>
        </w:rPr>
        <w:t xml:space="preserve"> D——</w:t>
      </w:r>
      <w:r>
        <w:rPr>
          <w:color w:val="333333"/>
        </w:rPr>
        <w:t>储罐的直径</w:t>
      </w:r>
      <w:r>
        <w:rPr>
          <w:color w:val="333333"/>
        </w:rPr>
        <w:t xml:space="preserve"> </w:t>
      </w:r>
    </w:p>
    <w:p w14:paraId="35E0A139" w14:textId="77777777" w:rsidR="00A71EEF" w:rsidRDefault="0081115D">
      <w:pPr>
        <w:pStyle w:val="a3"/>
        <w:spacing w:line="268" w:lineRule="exact"/>
        <w:ind w:left="838"/>
      </w:pPr>
      <w:r>
        <w:rPr>
          <w:color w:val="333333"/>
        </w:rPr>
        <w:t>DN——</w:t>
      </w:r>
      <w:r>
        <w:rPr>
          <w:color w:val="333333"/>
        </w:rPr>
        <w:t>管道的公称直径</w:t>
      </w:r>
      <w:r>
        <w:rPr>
          <w:color w:val="333333"/>
        </w:rPr>
        <w:t xml:space="preserve"> </w:t>
      </w:r>
    </w:p>
    <w:p w14:paraId="0595CD3F" w14:textId="77777777" w:rsidR="00A71EEF" w:rsidRDefault="00A71EEF">
      <w:pPr>
        <w:spacing w:line="268" w:lineRule="exact"/>
        <w:sectPr w:rsidR="00A71EEF">
          <w:pgSz w:w="11910" w:h="16850"/>
          <w:pgMar w:top="1220" w:right="0" w:bottom="1420" w:left="1260" w:header="0" w:footer="1239" w:gutter="0"/>
          <w:cols w:space="720"/>
        </w:sectPr>
      </w:pPr>
    </w:p>
    <w:p w14:paraId="5EEF8C94" w14:textId="77777777" w:rsidR="00A71EEF" w:rsidRDefault="0081115D">
      <w:pPr>
        <w:pStyle w:val="a3"/>
        <w:spacing w:before="47" w:line="446" w:lineRule="auto"/>
        <w:ind w:left="838" w:right="7494"/>
      </w:pPr>
      <w:r>
        <w:rPr>
          <w:color w:val="333333"/>
        </w:rPr>
        <w:lastRenderedPageBreak/>
        <w:t xml:space="preserve">ΔH—— </w:t>
      </w:r>
      <w:r>
        <w:rPr>
          <w:color w:val="333333"/>
        </w:rPr>
        <w:t>建</w:t>
      </w:r>
      <w:r>
        <w:rPr>
          <w:color w:val="333333"/>
        </w:rPr>
        <w:t xml:space="preserve"> </w:t>
      </w:r>
      <w:r>
        <w:rPr>
          <w:color w:val="333333"/>
        </w:rPr>
        <w:t>筑</w:t>
      </w:r>
      <w:r>
        <w:rPr>
          <w:color w:val="333333"/>
        </w:rPr>
        <w:t xml:space="preserve"> </w:t>
      </w:r>
      <w:r>
        <w:rPr>
          <w:color w:val="333333"/>
        </w:rPr>
        <w:t>高</w:t>
      </w:r>
      <w:r>
        <w:rPr>
          <w:color w:val="333333"/>
        </w:rPr>
        <w:t xml:space="preserve"> </w:t>
      </w:r>
      <w:r>
        <w:rPr>
          <w:color w:val="333333"/>
        </w:rPr>
        <w:t>差</w:t>
      </w:r>
      <w:r>
        <w:rPr>
          <w:color w:val="333333"/>
        </w:rPr>
        <w:t xml:space="preserve"> L——</w:t>
      </w:r>
      <w:r>
        <w:rPr>
          <w:color w:val="333333"/>
        </w:rPr>
        <w:t>隧道的封闭段长度</w:t>
      </w:r>
      <w:r>
        <w:rPr>
          <w:color w:val="333333"/>
        </w:rPr>
        <w:t>N——</w:t>
      </w:r>
      <w:r>
        <w:rPr>
          <w:color w:val="333333"/>
        </w:rPr>
        <w:t>人数</w:t>
      </w:r>
      <w:r>
        <w:rPr>
          <w:color w:val="333333"/>
        </w:rPr>
        <w:t xml:space="preserve"> </w:t>
      </w:r>
    </w:p>
    <w:p w14:paraId="26F0E76E" w14:textId="77777777" w:rsidR="00A71EEF" w:rsidRDefault="0081115D">
      <w:pPr>
        <w:pStyle w:val="a3"/>
        <w:spacing w:line="446" w:lineRule="auto"/>
        <w:ind w:left="838" w:right="7914"/>
      </w:pPr>
      <w:r>
        <w:rPr>
          <w:color w:val="333333"/>
        </w:rPr>
        <w:t xml:space="preserve">n—— </w:t>
      </w:r>
      <w:r>
        <w:rPr>
          <w:color w:val="333333"/>
        </w:rPr>
        <w:t>座</w:t>
      </w:r>
      <w:r>
        <w:rPr>
          <w:color w:val="333333"/>
        </w:rPr>
        <w:t xml:space="preserve"> </w:t>
      </w:r>
      <w:r>
        <w:rPr>
          <w:color w:val="333333"/>
        </w:rPr>
        <w:t>位</w:t>
      </w:r>
      <w:r>
        <w:rPr>
          <w:color w:val="333333"/>
        </w:rPr>
        <w:t xml:space="preserve"> </w:t>
      </w:r>
      <w:r>
        <w:rPr>
          <w:color w:val="333333"/>
        </w:rPr>
        <w:t>数</w:t>
      </w:r>
      <w:r>
        <w:rPr>
          <w:color w:val="333333"/>
        </w:rPr>
        <w:t xml:space="preserve"> K——</w:t>
      </w:r>
      <w:r>
        <w:rPr>
          <w:color w:val="333333"/>
        </w:rPr>
        <w:t>爆炸特征指数</w:t>
      </w:r>
      <w:r>
        <w:rPr>
          <w:color w:val="333333"/>
        </w:rPr>
        <w:t xml:space="preserve"> </w:t>
      </w:r>
    </w:p>
    <w:p w14:paraId="02EB1C64" w14:textId="77777777" w:rsidR="00A71EEF" w:rsidRDefault="0081115D">
      <w:pPr>
        <w:pStyle w:val="a3"/>
        <w:spacing w:line="446" w:lineRule="auto"/>
        <w:ind w:left="838" w:right="4554"/>
      </w:pPr>
      <w:r>
        <w:rPr>
          <w:color w:val="333333"/>
        </w:rPr>
        <w:t>V——</w:t>
      </w:r>
      <w:r>
        <w:rPr>
          <w:color w:val="333333"/>
        </w:rPr>
        <w:t>建筑物、堆场的体积，储罐、</w:t>
      </w:r>
      <w:r>
        <w:rPr>
          <w:color w:val="333333"/>
        </w:rPr>
        <w:t>瓶组的容积或容量</w:t>
      </w:r>
      <w:r>
        <w:rPr>
          <w:color w:val="333333"/>
        </w:rPr>
        <w:t>W——</w:t>
      </w:r>
      <w:r>
        <w:rPr>
          <w:color w:val="333333"/>
        </w:rPr>
        <w:t>可燃材料堆场或粮食筒仓、席穴囤、土圆仓的储量</w:t>
      </w:r>
      <w:r>
        <w:rPr>
          <w:color w:val="333333"/>
        </w:rPr>
        <w:t xml:space="preserve"> </w:t>
      </w:r>
    </w:p>
    <w:p w14:paraId="10ACC900" w14:textId="77777777" w:rsidR="00A71EEF" w:rsidRDefault="0081115D">
      <w:pPr>
        <w:pStyle w:val="4"/>
        <w:spacing w:line="278" w:lineRule="exact"/>
      </w:pPr>
      <w:r>
        <w:t xml:space="preserve">3 </w:t>
      </w:r>
      <w:r>
        <w:t>厂房和仓库</w:t>
      </w:r>
      <w:r>
        <w:rPr>
          <w:w w:val="99"/>
        </w:rPr>
        <w:t xml:space="preserve"> </w:t>
      </w:r>
    </w:p>
    <w:p w14:paraId="4FA7BFF8" w14:textId="77777777" w:rsidR="00A71EEF" w:rsidRDefault="00A71EEF">
      <w:pPr>
        <w:pStyle w:val="a3"/>
        <w:spacing w:before="1"/>
        <w:rPr>
          <w:b/>
          <w:sz w:val="17"/>
        </w:rPr>
      </w:pPr>
    </w:p>
    <w:p w14:paraId="717C7C0F" w14:textId="77777777" w:rsidR="00A71EEF" w:rsidRDefault="0081115D">
      <w:pPr>
        <w:pStyle w:val="a4"/>
        <w:numPr>
          <w:ilvl w:val="1"/>
          <w:numId w:val="747"/>
        </w:numPr>
        <w:tabs>
          <w:tab w:val="left" w:pos="1159"/>
        </w:tabs>
        <w:ind w:hanging="319"/>
        <w:rPr>
          <w:b/>
          <w:sz w:val="21"/>
        </w:rPr>
      </w:pPr>
      <w:r>
        <w:rPr>
          <w:spacing w:val="-3"/>
          <w:sz w:val="21"/>
        </w:rPr>
        <w:t>火灾危险性分类</w:t>
      </w:r>
      <w:r>
        <w:rPr>
          <w:b/>
          <w:w w:val="99"/>
          <w:sz w:val="21"/>
        </w:rPr>
        <w:t xml:space="preserve"> </w:t>
      </w:r>
    </w:p>
    <w:p w14:paraId="4FB04C07" w14:textId="77777777" w:rsidR="00A71EEF" w:rsidRDefault="00A71EEF">
      <w:pPr>
        <w:pStyle w:val="a3"/>
        <w:spacing w:before="1"/>
        <w:rPr>
          <w:b/>
          <w:sz w:val="18"/>
        </w:rPr>
      </w:pPr>
    </w:p>
    <w:p w14:paraId="396176B2" w14:textId="77777777" w:rsidR="00A71EEF" w:rsidRDefault="0081115D">
      <w:pPr>
        <w:pStyle w:val="a4"/>
        <w:numPr>
          <w:ilvl w:val="2"/>
          <w:numId w:val="747"/>
        </w:numPr>
        <w:tabs>
          <w:tab w:val="left" w:pos="1371"/>
        </w:tabs>
        <w:spacing w:before="1" w:line="446" w:lineRule="auto"/>
        <w:ind w:right="1604" w:firstLine="422"/>
        <w:rPr>
          <w:sz w:val="21"/>
        </w:rPr>
      </w:pPr>
      <w:r>
        <w:rPr>
          <w:color w:val="333333"/>
          <w:spacing w:val="-3"/>
          <w:sz w:val="21"/>
        </w:rPr>
        <w:t>生产的火灾危险性应根据生产中使用或产生的物质性质及其数量等因素分，可分为</w:t>
      </w:r>
      <w:r>
        <w:rPr>
          <w:color w:val="333333"/>
          <w:spacing w:val="-6"/>
          <w:sz w:val="21"/>
        </w:rPr>
        <w:t>甲、乙、丙、丁、戊类，并应符合表</w:t>
      </w:r>
      <w:r>
        <w:rPr>
          <w:color w:val="333333"/>
          <w:spacing w:val="-6"/>
          <w:sz w:val="21"/>
        </w:rPr>
        <w:t xml:space="preserve"> </w:t>
      </w:r>
      <w:r>
        <w:rPr>
          <w:color w:val="333333"/>
          <w:sz w:val="21"/>
        </w:rPr>
        <w:t>3.1.1</w:t>
      </w:r>
      <w:r>
        <w:rPr>
          <w:color w:val="333333"/>
          <w:spacing w:val="-3"/>
          <w:sz w:val="21"/>
        </w:rPr>
        <w:t xml:space="preserve"> </w:t>
      </w:r>
      <w:r>
        <w:rPr>
          <w:color w:val="333333"/>
          <w:spacing w:val="-3"/>
          <w:sz w:val="21"/>
        </w:rPr>
        <w:t>的规定。</w:t>
      </w:r>
      <w:r>
        <w:rPr>
          <w:color w:val="333333"/>
          <w:spacing w:val="-3"/>
          <w:sz w:val="21"/>
        </w:rPr>
        <w:t xml:space="preserve"> </w:t>
      </w:r>
    </w:p>
    <w:p w14:paraId="6B134F72" w14:textId="77777777" w:rsidR="00A71EEF" w:rsidRDefault="00A71EEF">
      <w:pPr>
        <w:spacing w:line="446" w:lineRule="auto"/>
        <w:rPr>
          <w:sz w:val="21"/>
        </w:rPr>
        <w:sectPr w:rsidR="00A71EEF">
          <w:pgSz w:w="11910" w:h="16850"/>
          <w:pgMar w:top="1220" w:right="0" w:bottom="1420" w:left="1260" w:header="0" w:footer="1239" w:gutter="0"/>
          <w:cols w:space="720"/>
        </w:sectPr>
      </w:pPr>
    </w:p>
    <w:p w14:paraId="5EDBBEE0" w14:textId="77777777" w:rsidR="00A71EEF" w:rsidRDefault="0081115D">
      <w:pPr>
        <w:pStyle w:val="6"/>
        <w:spacing w:before="47"/>
        <w:ind w:left="3519"/>
      </w:pPr>
      <w:r>
        <w:lastRenderedPageBreak/>
        <w:t>表</w:t>
      </w:r>
      <w:r>
        <w:t xml:space="preserve"> 3.1.1 </w:t>
      </w:r>
      <w:r>
        <w:t>生产的火灾危险性分类</w:t>
      </w:r>
      <w:r>
        <w:rPr>
          <w:w w:val="99"/>
        </w:rPr>
        <w:t xml:space="preserve"> </w:t>
      </w:r>
    </w:p>
    <w:p w14:paraId="2F3677F5" w14:textId="77777777" w:rsidR="00A71EEF" w:rsidRDefault="0081115D">
      <w:pPr>
        <w:pStyle w:val="a3"/>
        <w:spacing w:before="9"/>
        <w:rPr>
          <w:b/>
          <w:sz w:val="22"/>
        </w:rPr>
      </w:pPr>
      <w:r>
        <w:rPr>
          <w:noProof/>
        </w:rPr>
        <w:drawing>
          <wp:anchor distT="0" distB="0" distL="0" distR="0" simplePos="0" relativeHeight="251510272" behindDoc="0" locked="0" layoutInCell="1" allowOverlap="1" wp14:anchorId="613F6385" wp14:editId="57D9BD0E">
            <wp:simplePos x="0" y="0"/>
            <wp:positionH relativeFrom="page">
              <wp:posOffset>1046480</wp:posOffset>
            </wp:positionH>
            <wp:positionV relativeFrom="paragraph">
              <wp:posOffset>209637</wp:posOffset>
            </wp:positionV>
            <wp:extent cx="5419247" cy="5705475"/>
            <wp:effectExtent l="0" t="0" r="0" b="0"/>
            <wp:wrapTopAndBottom/>
            <wp:docPr id="149" name="image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102.jpeg"/>
                    <pic:cNvPicPr/>
                  </pic:nvPicPr>
                  <pic:blipFill>
                    <a:blip r:embed="rId100" cstate="print"/>
                    <a:stretch>
                      <a:fillRect/>
                    </a:stretch>
                  </pic:blipFill>
                  <pic:spPr>
                    <a:xfrm>
                      <a:off x="0" y="0"/>
                      <a:ext cx="5419247" cy="5705475"/>
                    </a:xfrm>
                    <a:prstGeom prst="rect">
                      <a:avLst/>
                    </a:prstGeom>
                  </pic:spPr>
                </pic:pic>
              </a:graphicData>
            </a:graphic>
          </wp:anchor>
        </w:drawing>
      </w:r>
    </w:p>
    <w:p w14:paraId="57A4D103" w14:textId="77777777" w:rsidR="00A71EEF" w:rsidRDefault="0081115D">
      <w:pPr>
        <w:pStyle w:val="a4"/>
        <w:numPr>
          <w:ilvl w:val="2"/>
          <w:numId w:val="747"/>
        </w:numPr>
        <w:tabs>
          <w:tab w:val="left" w:pos="1370"/>
        </w:tabs>
        <w:spacing w:before="147" w:line="446" w:lineRule="auto"/>
        <w:ind w:right="1604" w:firstLine="422"/>
        <w:jc w:val="both"/>
        <w:rPr>
          <w:sz w:val="21"/>
        </w:rPr>
      </w:pPr>
      <w:r>
        <w:rPr>
          <w:color w:val="333333"/>
          <w:spacing w:val="-3"/>
          <w:sz w:val="21"/>
        </w:rPr>
        <w:t>同一座厂房或厂房的任一防火分区内有不同火灾危险性生产时，厂房或防火分区内的生产火灾危险性类别应按火灾危险性较大的部分确定；当生产过程中使用或产生易燃、可燃物的量较少，不足以构成爆炸或火灾危险时，可按实际情况确定；当符合下述条件之一时，可按火灾危险性较小的部分确定：</w:t>
      </w:r>
      <w:r>
        <w:rPr>
          <w:color w:val="333333"/>
          <w:sz w:val="21"/>
        </w:rPr>
        <w:t xml:space="preserve"> </w:t>
      </w:r>
    </w:p>
    <w:p w14:paraId="68F34637" w14:textId="77777777" w:rsidR="00A71EEF" w:rsidRDefault="0081115D">
      <w:pPr>
        <w:pStyle w:val="a3"/>
        <w:spacing w:line="446" w:lineRule="auto"/>
        <w:ind w:left="418" w:right="1450" w:firstLine="419"/>
      </w:pPr>
      <w:r>
        <w:rPr>
          <w:color w:val="333333"/>
          <w:spacing w:val="-5"/>
        </w:rPr>
        <w:t>火灾危险性较大的生产部分占本层或本防火分区建筑面积的比例小于</w:t>
      </w:r>
      <w:r>
        <w:rPr>
          <w:color w:val="333333"/>
          <w:spacing w:val="-5"/>
        </w:rPr>
        <w:t xml:space="preserve"> </w:t>
      </w:r>
      <w:r>
        <w:rPr>
          <w:color w:val="333333"/>
        </w:rPr>
        <w:t>5</w:t>
      </w:r>
      <w:r>
        <w:rPr>
          <w:color w:val="333333"/>
          <w:spacing w:val="-3"/>
        </w:rPr>
        <w:t>%</w:t>
      </w:r>
      <w:r>
        <w:rPr>
          <w:color w:val="333333"/>
          <w:spacing w:val="-3"/>
        </w:rPr>
        <w:t>或丁、戊类厂房内</w:t>
      </w:r>
      <w:r>
        <w:rPr>
          <w:color w:val="333333"/>
          <w:spacing w:val="-5"/>
        </w:rPr>
        <w:t>的油漆工段小于</w:t>
      </w:r>
      <w:r>
        <w:rPr>
          <w:color w:val="333333"/>
          <w:spacing w:val="-5"/>
        </w:rPr>
        <w:t xml:space="preserve"> </w:t>
      </w:r>
      <w:r>
        <w:rPr>
          <w:color w:val="333333"/>
        </w:rPr>
        <w:t>10</w:t>
      </w:r>
      <w:r>
        <w:rPr>
          <w:color w:val="333333"/>
          <w:spacing w:val="-3"/>
        </w:rPr>
        <w:t>%</w:t>
      </w:r>
      <w:r>
        <w:rPr>
          <w:color w:val="333333"/>
          <w:spacing w:val="-3"/>
        </w:rPr>
        <w:t>，且发生火灾事故时不足以蔓延至其他部位或火灾危险性较大的生产部分采取了有效的防火措施；</w:t>
      </w:r>
      <w:r>
        <w:rPr>
          <w:color w:val="333333"/>
        </w:rPr>
        <w:t xml:space="preserve"> </w:t>
      </w:r>
    </w:p>
    <w:p w14:paraId="57D99BEC" w14:textId="77777777" w:rsidR="00A71EEF" w:rsidRDefault="00A71EEF">
      <w:pPr>
        <w:spacing w:line="446" w:lineRule="auto"/>
        <w:sectPr w:rsidR="00A71EEF">
          <w:pgSz w:w="11910" w:h="16850"/>
          <w:pgMar w:top="1220" w:right="0" w:bottom="1420" w:left="1260" w:header="0" w:footer="1239" w:gutter="0"/>
          <w:cols w:space="720"/>
        </w:sectPr>
      </w:pPr>
    </w:p>
    <w:p w14:paraId="523F94CF" w14:textId="77777777" w:rsidR="00A71EEF" w:rsidRDefault="0081115D">
      <w:pPr>
        <w:pStyle w:val="a3"/>
        <w:spacing w:before="47" w:line="446" w:lineRule="auto"/>
        <w:ind w:left="418" w:right="1608" w:firstLine="419"/>
        <w:jc w:val="both"/>
      </w:pPr>
      <w:r>
        <w:rPr>
          <w:color w:val="333333"/>
        </w:rPr>
        <w:lastRenderedPageBreak/>
        <w:t>丁、戊类厂房内</w:t>
      </w:r>
      <w:r>
        <w:rPr>
          <w:color w:val="333333"/>
        </w:rPr>
        <w:t>的油漆工段，当采用封闭喷漆工艺，封闭喷漆空间内保持负压、油漆工段设置可燃气体探测报警系统或自动抑爆系统，且油漆工段占所在防火分区建筑面积的比例不大于</w:t>
      </w:r>
      <w:r>
        <w:rPr>
          <w:color w:val="333333"/>
        </w:rPr>
        <w:t xml:space="preserve"> 20%</w:t>
      </w:r>
      <w:r>
        <w:rPr>
          <w:color w:val="333333"/>
        </w:rPr>
        <w:t>。</w:t>
      </w:r>
      <w:r>
        <w:rPr>
          <w:color w:val="333333"/>
        </w:rPr>
        <w:t xml:space="preserve"> </w:t>
      </w:r>
    </w:p>
    <w:p w14:paraId="6C3CAE80" w14:textId="77777777" w:rsidR="00A71EEF" w:rsidRDefault="0081115D">
      <w:pPr>
        <w:pStyle w:val="a4"/>
        <w:numPr>
          <w:ilvl w:val="2"/>
          <w:numId w:val="747"/>
        </w:numPr>
        <w:tabs>
          <w:tab w:val="left" w:pos="1370"/>
        </w:tabs>
        <w:spacing w:line="446" w:lineRule="auto"/>
        <w:ind w:right="1604" w:firstLine="422"/>
        <w:jc w:val="both"/>
        <w:rPr>
          <w:sz w:val="21"/>
        </w:rPr>
      </w:pPr>
      <w:r>
        <w:rPr>
          <w:color w:val="333333"/>
          <w:spacing w:val="-3"/>
          <w:sz w:val="21"/>
        </w:rPr>
        <w:t>储存物品的火灾危险性应根据储存物品的性质和储存物品中的可燃物数量等因素划</w:t>
      </w:r>
      <w:r>
        <w:rPr>
          <w:color w:val="333333"/>
          <w:spacing w:val="-6"/>
          <w:sz w:val="21"/>
        </w:rPr>
        <w:t>分，可分为甲、乙、丙、丁、戊类，并应符合表</w:t>
      </w:r>
      <w:r>
        <w:rPr>
          <w:color w:val="333333"/>
          <w:spacing w:val="-6"/>
          <w:sz w:val="21"/>
        </w:rPr>
        <w:t xml:space="preserve"> </w:t>
      </w:r>
      <w:r>
        <w:rPr>
          <w:color w:val="333333"/>
          <w:sz w:val="21"/>
        </w:rPr>
        <w:t>3.1.3</w:t>
      </w:r>
      <w:r>
        <w:rPr>
          <w:color w:val="333333"/>
          <w:spacing w:val="-3"/>
          <w:sz w:val="21"/>
        </w:rPr>
        <w:t xml:space="preserve"> </w:t>
      </w:r>
      <w:r>
        <w:rPr>
          <w:color w:val="333333"/>
          <w:spacing w:val="-3"/>
          <w:sz w:val="21"/>
        </w:rPr>
        <w:t>的规定。</w:t>
      </w:r>
      <w:r>
        <w:rPr>
          <w:color w:val="333333"/>
          <w:sz w:val="21"/>
        </w:rPr>
        <w:t xml:space="preserve"> </w:t>
      </w:r>
    </w:p>
    <w:p w14:paraId="6EFF5484" w14:textId="77777777" w:rsidR="00A71EEF" w:rsidRDefault="0081115D">
      <w:pPr>
        <w:pStyle w:val="6"/>
        <w:spacing w:line="267" w:lineRule="exact"/>
        <w:ind w:left="3310"/>
        <w:jc w:val="both"/>
      </w:pPr>
      <w:r>
        <w:t>表</w:t>
      </w:r>
      <w:r>
        <w:t xml:space="preserve"> 3.1.3 </w:t>
      </w:r>
      <w:r>
        <w:t>储存物品的火灾危险性分类</w:t>
      </w:r>
      <w:r>
        <w:rPr>
          <w:w w:val="99"/>
        </w:rPr>
        <w:t xml:space="preserve"> </w:t>
      </w:r>
    </w:p>
    <w:p w14:paraId="545A3B12" w14:textId="77777777" w:rsidR="00A71EEF" w:rsidRDefault="0081115D">
      <w:pPr>
        <w:pStyle w:val="a3"/>
        <w:spacing w:before="3"/>
        <w:rPr>
          <w:b/>
          <w:sz w:val="17"/>
        </w:rPr>
      </w:pPr>
      <w:r>
        <w:rPr>
          <w:noProof/>
        </w:rPr>
        <w:drawing>
          <wp:anchor distT="0" distB="0" distL="0" distR="0" simplePos="0" relativeHeight="251511296" behindDoc="0" locked="0" layoutInCell="1" allowOverlap="1" wp14:anchorId="5736B6D3" wp14:editId="69109657">
            <wp:simplePos x="0" y="0"/>
            <wp:positionH relativeFrom="page">
              <wp:posOffset>1094105</wp:posOffset>
            </wp:positionH>
            <wp:positionV relativeFrom="paragraph">
              <wp:posOffset>165334</wp:posOffset>
            </wp:positionV>
            <wp:extent cx="5276849" cy="4257675"/>
            <wp:effectExtent l="0" t="0" r="0" b="0"/>
            <wp:wrapTopAndBottom/>
            <wp:docPr id="151" name="image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103.jpeg"/>
                    <pic:cNvPicPr/>
                  </pic:nvPicPr>
                  <pic:blipFill>
                    <a:blip r:embed="rId101" cstate="print"/>
                    <a:stretch>
                      <a:fillRect/>
                    </a:stretch>
                  </pic:blipFill>
                  <pic:spPr>
                    <a:xfrm>
                      <a:off x="0" y="0"/>
                      <a:ext cx="5276849" cy="4257675"/>
                    </a:xfrm>
                    <a:prstGeom prst="rect">
                      <a:avLst/>
                    </a:prstGeom>
                  </pic:spPr>
                </pic:pic>
              </a:graphicData>
            </a:graphic>
          </wp:anchor>
        </w:drawing>
      </w:r>
    </w:p>
    <w:p w14:paraId="249909C4" w14:textId="77777777" w:rsidR="00A71EEF" w:rsidRDefault="0081115D">
      <w:pPr>
        <w:pStyle w:val="a4"/>
        <w:numPr>
          <w:ilvl w:val="2"/>
          <w:numId w:val="747"/>
        </w:numPr>
        <w:tabs>
          <w:tab w:val="left" w:pos="1370"/>
        </w:tabs>
        <w:spacing w:before="163" w:line="446" w:lineRule="auto"/>
        <w:ind w:right="1604" w:firstLine="422"/>
        <w:rPr>
          <w:sz w:val="21"/>
        </w:rPr>
      </w:pPr>
      <w:r>
        <w:rPr>
          <w:color w:val="333333"/>
          <w:spacing w:val="-3"/>
          <w:sz w:val="21"/>
        </w:rPr>
        <w:t>同一座仓库或仓库的任一防火分区内储存不同火灾危险性物品时，仓库或防火分区的火灾危险性应按火灾危险性最大的物品确定。</w:t>
      </w:r>
      <w:r>
        <w:rPr>
          <w:color w:val="333333"/>
          <w:sz w:val="21"/>
        </w:rPr>
        <w:t xml:space="preserve"> </w:t>
      </w:r>
    </w:p>
    <w:p w14:paraId="1E187115" w14:textId="77777777" w:rsidR="00A71EEF" w:rsidRDefault="0081115D">
      <w:pPr>
        <w:pStyle w:val="a4"/>
        <w:numPr>
          <w:ilvl w:val="2"/>
          <w:numId w:val="747"/>
        </w:numPr>
        <w:tabs>
          <w:tab w:val="left" w:pos="1370"/>
        </w:tabs>
        <w:spacing w:line="446" w:lineRule="auto"/>
        <w:ind w:right="1606" w:firstLine="422"/>
        <w:rPr>
          <w:sz w:val="21"/>
        </w:rPr>
      </w:pPr>
      <w:r>
        <w:rPr>
          <w:color w:val="333333"/>
          <w:spacing w:val="-5"/>
          <w:sz w:val="21"/>
        </w:rPr>
        <w:t>丁、戊类储存物品仓库的火灾危险性，当可燃包装重量大于物品本身重量</w:t>
      </w:r>
      <w:r>
        <w:rPr>
          <w:color w:val="333333"/>
          <w:spacing w:val="-5"/>
          <w:sz w:val="21"/>
        </w:rPr>
        <w:t xml:space="preserve"> </w:t>
      </w:r>
      <w:r>
        <w:rPr>
          <w:color w:val="333333"/>
          <w:sz w:val="21"/>
        </w:rPr>
        <w:t>1/4</w:t>
      </w:r>
      <w:r>
        <w:rPr>
          <w:color w:val="333333"/>
          <w:spacing w:val="-17"/>
          <w:sz w:val="21"/>
        </w:rPr>
        <w:t xml:space="preserve"> </w:t>
      </w:r>
      <w:r>
        <w:rPr>
          <w:color w:val="333333"/>
          <w:spacing w:val="-17"/>
          <w:sz w:val="21"/>
        </w:rPr>
        <w:t>或可</w:t>
      </w:r>
      <w:r>
        <w:rPr>
          <w:color w:val="333333"/>
          <w:spacing w:val="-7"/>
          <w:sz w:val="21"/>
        </w:rPr>
        <w:t>燃包装体积大于物品本身体积的</w:t>
      </w:r>
      <w:r>
        <w:rPr>
          <w:color w:val="333333"/>
          <w:spacing w:val="-7"/>
          <w:sz w:val="21"/>
        </w:rPr>
        <w:t xml:space="preserve"> </w:t>
      </w:r>
      <w:r>
        <w:rPr>
          <w:color w:val="333333"/>
          <w:sz w:val="21"/>
        </w:rPr>
        <w:t>1/2</w:t>
      </w:r>
      <w:r>
        <w:rPr>
          <w:color w:val="333333"/>
          <w:spacing w:val="-3"/>
          <w:sz w:val="21"/>
        </w:rPr>
        <w:t xml:space="preserve"> </w:t>
      </w:r>
      <w:r>
        <w:rPr>
          <w:color w:val="333333"/>
          <w:spacing w:val="-3"/>
          <w:sz w:val="21"/>
        </w:rPr>
        <w:t>时，应按丙类确定。</w:t>
      </w:r>
      <w:r>
        <w:rPr>
          <w:color w:val="333333"/>
          <w:sz w:val="21"/>
        </w:rPr>
        <w:t xml:space="preserve"> </w:t>
      </w:r>
    </w:p>
    <w:p w14:paraId="2AB6F40B" w14:textId="77777777" w:rsidR="00A71EEF" w:rsidRDefault="0081115D">
      <w:pPr>
        <w:pStyle w:val="a4"/>
        <w:numPr>
          <w:ilvl w:val="1"/>
          <w:numId w:val="747"/>
        </w:numPr>
        <w:tabs>
          <w:tab w:val="left" w:pos="1159"/>
        </w:tabs>
        <w:ind w:hanging="319"/>
        <w:rPr>
          <w:sz w:val="21"/>
        </w:rPr>
      </w:pPr>
      <w:r>
        <w:rPr>
          <w:spacing w:val="-3"/>
          <w:sz w:val="21"/>
        </w:rPr>
        <w:t>厂房和仓库的耐火等级</w:t>
      </w:r>
      <w:r>
        <w:rPr>
          <w:spacing w:val="-3"/>
          <w:sz w:val="21"/>
        </w:rPr>
        <w:t xml:space="preserve"> </w:t>
      </w:r>
    </w:p>
    <w:p w14:paraId="47BD136D" w14:textId="77777777" w:rsidR="00A71EEF" w:rsidRDefault="00A71EEF">
      <w:pPr>
        <w:pStyle w:val="a3"/>
        <w:spacing w:before="12"/>
        <w:rPr>
          <w:sz w:val="17"/>
        </w:rPr>
      </w:pPr>
    </w:p>
    <w:p w14:paraId="3B9F16BD" w14:textId="77777777" w:rsidR="00A71EEF" w:rsidRDefault="0081115D">
      <w:pPr>
        <w:pStyle w:val="a4"/>
        <w:numPr>
          <w:ilvl w:val="2"/>
          <w:numId w:val="747"/>
        </w:numPr>
        <w:tabs>
          <w:tab w:val="left" w:pos="1371"/>
        </w:tabs>
        <w:spacing w:line="446" w:lineRule="auto"/>
        <w:ind w:right="1604" w:firstLine="422"/>
        <w:rPr>
          <w:sz w:val="21"/>
        </w:rPr>
      </w:pPr>
      <w:r>
        <w:rPr>
          <w:color w:val="333333"/>
          <w:spacing w:val="-3"/>
          <w:sz w:val="21"/>
        </w:rPr>
        <w:t>厂房和仓库的耐火等级可分为一、二、三、四级，相应建筑构件的燃烧性能和耐火</w:t>
      </w:r>
      <w:r>
        <w:rPr>
          <w:color w:val="333333"/>
          <w:spacing w:val="-6"/>
          <w:sz w:val="21"/>
        </w:rPr>
        <w:t>极限，除本规范另有规定外，不应低于表</w:t>
      </w:r>
      <w:r>
        <w:rPr>
          <w:color w:val="333333"/>
          <w:spacing w:val="-6"/>
          <w:sz w:val="21"/>
        </w:rPr>
        <w:t xml:space="preserve"> </w:t>
      </w:r>
      <w:r>
        <w:rPr>
          <w:color w:val="333333"/>
          <w:sz w:val="21"/>
        </w:rPr>
        <w:t>3.2.1</w:t>
      </w:r>
      <w:r>
        <w:rPr>
          <w:color w:val="333333"/>
          <w:spacing w:val="-3"/>
          <w:sz w:val="21"/>
        </w:rPr>
        <w:t xml:space="preserve"> </w:t>
      </w:r>
      <w:r>
        <w:rPr>
          <w:color w:val="333333"/>
          <w:spacing w:val="-3"/>
          <w:sz w:val="21"/>
        </w:rPr>
        <w:t>的规定。</w:t>
      </w:r>
      <w:r>
        <w:rPr>
          <w:color w:val="333333"/>
          <w:sz w:val="21"/>
        </w:rPr>
        <w:t xml:space="preserve"> </w:t>
      </w:r>
    </w:p>
    <w:p w14:paraId="613817D7" w14:textId="77777777" w:rsidR="00A71EEF" w:rsidRDefault="00A71EEF">
      <w:pPr>
        <w:spacing w:line="446" w:lineRule="auto"/>
        <w:rPr>
          <w:sz w:val="21"/>
        </w:rPr>
        <w:sectPr w:rsidR="00A71EEF">
          <w:pgSz w:w="11910" w:h="16850"/>
          <w:pgMar w:top="1220" w:right="0" w:bottom="1420" w:left="1260" w:header="0" w:footer="1239" w:gutter="0"/>
          <w:cols w:space="720"/>
        </w:sectPr>
      </w:pPr>
    </w:p>
    <w:p w14:paraId="3FF78260" w14:textId="77777777" w:rsidR="00A71EEF" w:rsidRDefault="0081115D">
      <w:pPr>
        <w:pStyle w:val="6"/>
        <w:spacing w:before="47"/>
        <w:ind w:left="1675"/>
      </w:pPr>
      <w:r>
        <w:lastRenderedPageBreak/>
        <w:t>表</w:t>
      </w:r>
      <w:r>
        <w:t xml:space="preserve"> 3.2.1 </w:t>
      </w:r>
      <w:r>
        <w:t>不同耐火等级厂房和仓库建筑构件的燃烧性能和耐火极限（</w:t>
      </w:r>
      <w:r>
        <w:t>h</w:t>
      </w:r>
      <w:r>
        <w:t>）</w:t>
      </w:r>
      <w:r>
        <w:rPr>
          <w:w w:val="99"/>
        </w:rPr>
        <w:t xml:space="preserve"> </w:t>
      </w:r>
    </w:p>
    <w:p w14:paraId="15516C9A" w14:textId="77777777" w:rsidR="00A71EEF" w:rsidRDefault="0081115D">
      <w:pPr>
        <w:pStyle w:val="a3"/>
        <w:spacing w:before="5"/>
        <w:rPr>
          <w:b/>
          <w:sz w:val="27"/>
        </w:rPr>
      </w:pPr>
      <w:r>
        <w:rPr>
          <w:noProof/>
        </w:rPr>
        <w:drawing>
          <wp:anchor distT="0" distB="0" distL="0" distR="0" simplePos="0" relativeHeight="251512320" behindDoc="0" locked="0" layoutInCell="1" allowOverlap="1" wp14:anchorId="3C6471B4" wp14:editId="746AE805">
            <wp:simplePos x="0" y="0"/>
            <wp:positionH relativeFrom="page">
              <wp:posOffset>1398905</wp:posOffset>
            </wp:positionH>
            <wp:positionV relativeFrom="paragraph">
              <wp:posOffset>247737</wp:posOffset>
            </wp:positionV>
            <wp:extent cx="4958950" cy="5457825"/>
            <wp:effectExtent l="0" t="0" r="0" b="0"/>
            <wp:wrapTopAndBottom/>
            <wp:docPr id="153" name="image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104.jpeg"/>
                    <pic:cNvPicPr/>
                  </pic:nvPicPr>
                  <pic:blipFill>
                    <a:blip r:embed="rId102" cstate="print"/>
                    <a:stretch>
                      <a:fillRect/>
                    </a:stretch>
                  </pic:blipFill>
                  <pic:spPr>
                    <a:xfrm>
                      <a:off x="0" y="0"/>
                      <a:ext cx="4958950" cy="5457825"/>
                    </a:xfrm>
                    <a:prstGeom prst="rect">
                      <a:avLst/>
                    </a:prstGeom>
                  </pic:spPr>
                </pic:pic>
              </a:graphicData>
            </a:graphic>
          </wp:anchor>
        </w:drawing>
      </w:r>
    </w:p>
    <w:p w14:paraId="6FC00D9C" w14:textId="77777777" w:rsidR="00A71EEF" w:rsidRDefault="0081115D">
      <w:pPr>
        <w:pStyle w:val="a3"/>
        <w:spacing w:before="177"/>
        <w:ind w:left="838"/>
      </w:pPr>
      <w:r>
        <w:rPr>
          <w:color w:val="333333"/>
        </w:rPr>
        <w:t>注：二级耐火等级建筑内采用不燃材料的吊顶，其耐火极限不限。</w:t>
      </w:r>
      <w:r>
        <w:rPr>
          <w:color w:val="333333"/>
        </w:rPr>
        <w:t xml:space="preserve"> </w:t>
      </w:r>
    </w:p>
    <w:p w14:paraId="35D70652" w14:textId="77777777" w:rsidR="00A71EEF" w:rsidRDefault="00A71EEF">
      <w:pPr>
        <w:pStyle w:val="a3"/>
        <w:spacing w:before="5"/>
        <w:rPr>
          <w:sz w:val="17"/>
        </w:rPr>
      </w:pPr>
    </w:p>
    <w:p w14:paraId="151A39F4" w14:textId="77777777" w:rsidR="00A71EEF" w:rsidRDefault="0081115D">
      <w:pPr>
        <w:pStyle w:val="a4"/>
        <w:numPr>
          <w:ilvl w:val="2"/>
          <w:numId w:val="747"/>
        </w:numPr>
        <w:tabs>
          <w:tab w:val="left" w:pos="1371"/>
        </w:tabs>
        <w:spacing w:line="446" w:lineRule="auto"/>
        <w:ind w:right="1575" w:firstLine="422"/>
        <w:rPr>
          <w:sz w:val="21"/>
        </w:rPr>
      </w:pPr>
      <w:r>
        <w:rPr>
          <w:color w:val="333333"/>
          <w:spacing w:val="-4"/>
          <w:sz w:val="21"/>
        </w:rPr>
        <w:t>高层厂房，甲、乙类厂房的耐火等级不应低于二级，建筑面积不大于</w:t>
      </w:r>
      <w:r>
        <w:rPr>
          <w:color w:val="333333"/>
          <w:spacing w:val="-4"/>
          <w:sz w:val="21"/>
        </w:rPr>
        <w:t xml:space="preserve"> </w:t>
      </w:r>
      <w:r>
        <w:rPr>
          <w:color w:val="333333"/>
          <w:sz w:val="21"/>
        </w:rPr>
        <w:t>300m</w:t>
      </w:r>
      <w:r>
        <w:rPr>
          <w:color w:val="333333"/>
          <w:position w:val="11"/>
          <w:sz w:val="11"/>
        </w:rPr>
        <w:t>2</w:t>
      </w:r>
      <w:r>
        <w:rPr>
          <w:color w:val="333333"/>
          <w:spacing w:val="-17"/>
          <w:position w:val="11"/>
          <w:sz w:val="11"/>
        </w:rPr>
        <w:t xml:space="preserve"> </w:t>
      </w:r>
      <w:r>
        <w:rPr>
          <w:color w:val="333333"/>
          <w:spacing w:val="-2"/>
          <w:sz w:val="21"/>
        </w:rPr>
        <w:t>的独立甲</w:t>
      </w:r>
      <w:r>
        <w:rPr>
          <w:color w:val="333333"/>
          <w:spacing w:val="-3"/>
          <w:sz w:val="21"/>
        </w:rPr>
        <w:t>、乙类单层厂房可采用三级耐火等级的建筑。</w:t>
      </w:r>
      <w:r>
        <w:rPr>
          <w:color w:val="333333"/>
          <w:sz w:val="21"/>
        </w:rPr>
        <w:t xml:space="preserve"> </w:t>
      </w:r>
    </w:p>
    <w:p w14:paraId="2A2E0807" w14:textId="77777777" w:rsidR="00A71EEF" w:rsidRDefault="0081115D">
      <w:pPr>
        <w:pStyle w:val="a4"/>
        <w:numPr>
          <w:ilvl w:val="2"/>
          <w:numId w:val="747"/>
        </w:numPr>
        <w:tabs>
          <w:tab w:val="left" w:pos="1371"/>
        </w:tabs>
        <w:spacing w:line="267" w:lineRule="exact"/>
        <w:ind w:left="1370"/>
        <w:rPr>
          <w:sz w:val="21"/>
        </w:rPr>
      </w:pPr>
      <w:r>
        <w:rPr>
          <w:color w:val="333333"/>
          <w:spacing w:val="-3"/>
          <w:sz w:val="21"/>
        </w:rPr>
        <w:t>单、多层丙类厂房和多层丁、戊类厂房的耐火等级不应低于三级。</w:t>
      </w:r>
      <w:r>
        <w:rPr>
          <w:color w:val="333333"/>
          <w:spacing w:val="-3"/>
          <w:sz w:val="21"/>
        </w:rPr>
        <w:t xml:space="preserve"> </w:t>
      </w:r>
    </w:p>
    <w:p w14:paraId="42F6CBD6" w14:textId="77777777" w:rsidR="00A71EEF" w:rsidRDefault="00A71EEF">
      <w:pPr>
        <w:pStyle w:val="a3"/>
        <w:spacing w:before="2"/>
        <w:rPr>
          <w:sz w:val="18"/>
        </w:rPr>
      </w:pPr>
    </w:p>
    <w:p w14:paraId="10F69BAC" w14:textId="77777777" w:rsidR="00A71EEF" w:rsidRDefault="0081115D">
      <w:pPr>
        <w:pStyle w:val="a3"/>
        <w:spacing w:line="441" w:lineRule="auto"/>
        <w:ind w:left="418" w:right="1601" w:firstLine="419"/>
        <w:jc w:val="both"/>
      </w:pPr>
      <w:r>
        <w:rPr>
          <w:color w:val="333333"/>
          <w:spacing w:val="-3"/>
        </w:rPr>
        <w:t>使用或产生丙类液体的厂房和有火花、赤热表面、明火的丁类厂房，其耐火等级均不应低</w:t>
      </w:r>
      <w:r>
        <w:rPr>
          <w:color w:val="333333"/>
          <w:spacing w:val="-7"/>
        </w:rPr>
        <w:t>于二级，当为建筑面积不大于</w:t>
      </w:r>
      <w:r>
        <w:rPr>
          <w:color w:val="333333"/>
          <w:spacing w:val="-7"/>
        </w:rPr>
        <w:t xml:space="preserve"> </w:t>
      </w:r>
      <w:r>
        <w:rPr>
          <w:color w:val="333333"/>
        </w:rPr>
        <w:t>500m</w:t>
      </w:r>
      <w:r>
        <w:rPr>
          <w:color w:val="333333"/>
          <w:position w:val="11"/>
          <w:sz w:val="11"/>
        </w:rPr>
        <w:t>2</w:t>
      </w:r>
      <w:r>
        <w:rPr>
          <w:color w:val="333333"/>
          <w:sz w:val="11"/>
        </w:rPr>
        <w:t xml:space="preserve"> </w:t>
      </w:r>
      <w:r>
        <w:rPr>
          <w:color w:val="333333"/>
          <w:spacing w:val="-6"/>
        </w:rPr>
        <w:t>的单层丙类厂房或建筑面积不大于</w:t>
      </w:r>
      <w:r>
        <w:rPr>
          <w:color w:val="333333"/>
          <w:spacing w:val="-6"/>
        </w:rPr>
        <w:t xml:space="preserve"> </w:t>
      </w:r>
      <w:r>
        <w:rPr>
          <w:color w:val="333333"/>
        </w:rPr>
        <w:t>1000m</w:t>
      </w:r>
      <w:r>
        <w:rPr>
          <w:color w:val="333333"/>
          <w:position w:val="11"/>
          <w:sz w:val="11"/>
        </w:rPr>
        <w:t>2</w:t>
      </w:r>
      <w:r>
        <w:rPr>
          <w:color w:val="333333"/>
          <w:spacing w:val="4"/>
          <w:position w:val="11"/>
          <w:sz w:val="11"/>
        </w:rPr>
        <w:t xml:space="preserve">  </w:t>
      </w:r>
      <w:r>
        <w:rPr>
          <w:color w:val="333333"/>
          <w:spacing w:val="-3"/>
        </w:rPr>
        <w:t>的单层丁类厂房时，可采用三级耐火等级的建筑。</w:t>
      </w:r>
      <w:r>
        <w:rPr>
          <w:color w:val="333333"/>
          <w:spacing w:val="-3"/>
        </w:rPr>
        <w:t xml:space="preserve"> </w:t>
      </w:r>
    </w:p>
    <w:p w14:paraId="5FBEE189" w14:textId="77777777" w:rsidR="00A71EEF" w:rsidRDefault="0081115D">
      <w:pPr>
        <w:pStyle w:val="a4"/>
        <w:numPr>
          <w:ilvl w:val="2"/>
          <w:numId w:val="747"/>
        </w:numPr>
        <w:tabs>
          <w:tab w:val="left" w:pos="1370"/>
        </w:tabs>
        <w:spacing w:before="5" w:line="446" w:lineRule="auto"/>
        <w:ind w:right="1498" w:firstLine="422"/>
        <w:jc w:val="both"/>
        <w:rPr>
          <w:b/>
          <w:sz w:val="21"/>
        </w:rPr>
      </w:pPr>
      <w:r>
        <w:rPr>
          <w:color w:val="333333"/>
          <w:spacing w:val="-3"/>
          <w:sz w:val="21"/>
        </w:rPr>
        <w:t>使用或储存特殊贵重的机器、仪表、仪器等设备或物品的建筑，其耐火等级不应低于二级。</w:t>
      </w:r>
      <w:r>
        <w:rPr>
          <w:b/>
          <w:color w:val="333333"/>
          <w:w w:val="99"/>
          <w:sz w:val="21"/>
        </w:rPr>
        <w:t xml:space="preserve"> </w:t>
      </w:r>
    </w:p>
    <w:p w14:paraId="38DF2C9F" w14:textId="77777777" w:rsidR="00A71EEF" w:rsidRDefault="00A71EEF">
      <w:pPr>
        <w:spacing w:line="446" w:lineRule="auto"/>
        <w:jc w:val="both"/>
        <w:rPr>
          <w:sz w:val="21"/>
        </w:rPr>
        <w:sectPr w:rsidR="00A71EEF">
          <w:pgSz w:w="11910" w:h="16850"/>
          <w:pgMar w:top="1220" w:right="0" w:bottom="1420" w:left="1260" w:header="0" w:footer="1239" w:gutter="0"/>
          <w:cols w:space="720"/>
        </w:sectPr>
      </w:pPr>
    </w:p>
    <w:p w14:paraId="64BFA028" w14:textId="77777777" w:rsidR="00A71EEF" w:rsidRDefault="0081115D">
      <w:pPr>
        <w:pStyle w:val="a4"/>
        <w:numPr>
          <w:ilvl w:val="2"/>
          <w:numId w:val="747"/>
        </w:numPr>
        <w:tabs>
          <w:tab w:val="left" w:pos="1370"/>
        </w:tabs>
        <w:spacing w:before="47"/>
        <w:ind w:left="1369" w:hanging="530"/>
        <w:rPr>
          <w:sz w:val="21"/>
        </w:rPr>
      </w:pPr>
      <w:r>
        <w:rPr>
          <w:color w:val="333333"/>
          <w:spacing w:val="-5"/>
          <w:sz w:val="21"/>
        </w:rPr>
        <w:lastRenderedPageBreak/>
        <w:t>锅炉房的耐火等级不应低于二级，当为燃煤锅炉房且锅炉的总蒸发量不大于</w:t>
      </w:r>
      <w:r>
        <w:rPr>
          <w:color w:val="333333"/>
          <w:spacing w:val="-5"/>
          <w:sz w:val="21"/>
        </w:rPr>
        <w:t xml:space="preserve"> </w:t>
      </w:r>
      <w:r>
        <w:rPr>
          <w:color w:val="333333"/>
          <w:sz w:val="21"/>
        </w:rPr>
        <w:t xml:space="preserve">4t/h </w:t>
      </w:r>
    </w:p>
    <w:p w14:paraId="26701AEA" w14:textId="77777777" w:rsidR="00A71EEF" w:rsidRDefault="00A71EEF">
      <w:pPr>
        <w:pStyle w:val="a3"/>
        <w:rPr>
          <w:sz w:val="18"/>
        </w:rPr>
      </w:pPr>
    </w:p>
    <w:p w14:paraId="35C54A91" w14:textId="77777777" w:rsidR="00A71EEF" w:rsidRDefault="0081115D">
      <w:pPr>
        <w:pStyle w:val="a3"/>
        <w:ind w:left="418"/>
      </w:pPr>
      <w:r>
        <w:rPr>
          <w:color w:val="333333"/>
        </w:rPr>
        <w:t>时，可采用三级耐火等级的建筑。</w:t>
      </w:r>
      <w:r>
        <w:rPr>
          <w:color w:val="333333"/>
        </w:rPr>
        <w:t xml:space="preserve"> </w:t>
      </w:r>
    </w:p>
    <w:p w14:paraId="6CCA620F" w14:textId="77777777" w:rsidR="00A71EEF" w:rsidRDefault="00A71EEF">
      <w:pPr>
        <w:pStyle w:val="a3"/>
        <w:rPr>
          <w:sz w:val="18"/>
        </w:rPr>
      </w:pPr>
    </w:p>
    <w:p w14:paraId="2B20BAEF" w14:textId="77777777" w:rsidR="00A71EEF" w:rsidRDefault="0081115D">
      <w:pPr>
        <w:pStyle w:val="a4"/>
        <w:numPr>
          <w:ilvl w:val="2"/>
          <w:numId w:val="747"/>
        </w:numPr>
        <w:tabs>
          <w:tab w:val="left" w:pos="1371"/>
        </w:tabs>
        <w:spacing w:line="446" w:lineRule="auto"/>
        <w:ind w:right="1604" w:firstLine="422"/>
        <w:rPr>
          <w:sz w:val="21"/>
        </w:rPr>
      </w:pPr>
      <w:r>
        <w:rPr>
          <w:color w:val="333333"/>
          <w:spacing w:val="-3"/>
          <w:sz w:val="21"/>
        </w:rPr>
        <w:t>油浸变压器室、高压配电装置室的耐火等级不应低于二级，其他防火设计应符合现行国家标准《火力发电厂和变电站设计防火规范》</w:t>
      </w:r>
      <w:r>
        <w:rPr>
          <w:color w:val="333333"/>
          <w:sz w:val="21"/>
        </w:rPr>
        <w:t>GB</w:t>
      </w:r>
      <w:r>
        <w:rPr>
          <w:color w:val="333333"/>
          <w:spacing w:val="2"/>
          <w:sz w:val="21"/>
        </w:rPr>
        <w:t xml:space="preserve"> </w:t>
      </w:r>
      <w:r>
        <w:rPr>
          <w:color w:val="333333"/>
          <w:sz w:val="21"/>
        </w:rPr>
        <w:t>50229</w:t>
      </w:r>
      <w:r>
        <w:rPr>
          <w:color w:val="333333"/>
          <w:spacing w:val="-3"/>
          <w:sz w:val="21"/>
        </w:rPr>
        <w:t xml:space="preserve"> </w:t>
      </w:r>
      <w:r>
        <w:rPr>
          <w:color w:val="333333"/>
          <w:spacing w:val="-3"/>
          <w:sz w:val="21"/>
        </w:rPr>
        <w:t>等标准的规定。</w:t>
      </w:r>
      <w:r>
        <w:rPr>
          <w:color w:val="333333"/>
          <w:sz w:val="21"/>
        </w:rPr>
        <w:t xml:space="preserve"> </w:t>
      </w:r>
    </w:p>
    <w:p w14:paraId="21B02271" w14:textId="77777777" w:rsidR="00A71EEF" w:rsidRDefault="0081115D">
      <w:pPr>
        <w:pStyle w:val="a4"/>
        <w:numPr>
          <w:ilvl w:val="2"/>
          <w:numId w:val="747"/>
        </w:numPr>
        <w:tabs>
          <w:tab w:val="left" w:pos="1371"/>
        </w:tabs>
        <w:spacing w:line="446" w:lineRule="auto"/>
        <w:ind w:right="1498" w:firstLine="422"/>
        <w:rPr>
          <w:sz w:val="21"/>
        </w:rPr>
      </w:pPr>
      <w:r>
        <w:rPr>
          <w:color w:val="333333"/>
          <w:spacing w:val="-3"/>
          <w:sz w:val="21"/>
        </w:rPr>
        <w:t>高架仓库、高层仓库、甲类仓库、多层乙类仓库和储存可燃液体的多层丙类仓库，其耐火等级不应低于二级。</w:t>
      </w:r>
      <w:r>
        <w:rPr>
          <w:color w:val="333333"/>
          <w:spacing w:val="-3"/>
          <w:sz w:val="21"/>
        </w:rPr>
        <w:t xml:space="preserve"> </w:t>
      </w:r>
    </w:p>
    <w:p w14:paraId="7D2604B1" w14:textId="77777777" w:rsidR="00A71EEF" w:rsidRDefault="0081115D">
      <w:pPr>
        <w:pStyle w:val="a3"/>
        <w:spacing w:line="446" w:lineRule="auto"/>
        <w:ind w:left="418" w:right="1609" w:firstLine="419"/>
      </w:pPr>
      <w:r>
        <w:rPr>
          <w:color w:val="333333"/>
        </w:rPr>
        <w:t>单层乙类仓库，单层丙类仓库，储存可燃固体的多层丙类仓库和多层丁、戊类仓库，其耐火等级不应低于三级。</w:t>
      </w:r>
      <w:r>
        <w:rPr>
          <w:color w:val="333333"/>
        </w:rPr>
        <w:t xml:space="preserve"> </w:t>
      </w:r>
    </w:p>
    <w:p w14:paraId="368EEA9F" w14:textId="77777777" w:rsidR="00A71EEF" w:rsidRDefault="0081115D">
      <w:pPr>
        <w:pStyle w:val="a4"/>
        <w:numPr>
          <w:ilvl w:val="2"/>
          <w:numId w:val="747"/>
        </w:numPr>
        <w:tabs>
          <w:tab w:val="left" w:pos="1371"/>
        </w:tabs>
        <w:spacing w:line="267" w:lineRule="exact"/>
        <w:ind w:left="1370"/>
        <w:rPr>
          <w:sz w:val="21"/>
        </w:rPr>
      </w:pPr>
      <w:r>
        <w:rPr>
          <w:color w:val="333333"/>
          <w:spacing w:val="-3"/>
          <w:sz w:val="21"/>
        </w:rPr>
        <w:t>粮食筒仓的耐火等级不应低于二级；二级耐火等级的粮食筒仓可采用钢板仓。</w:t>
      </w:r>
      <w:r>
        <w:rPr>
          <w:color w:val="333333"/>
          <w:sz w:val="21"/>
        </w:rPr>
        <w:t xml:space="preserve"> </w:t>
      </w:r>
    </w:p>
    <w:p w14:paraId="23CB9407" w14:textId="77777777" w:rsidR="00A71EEF" w:rsidRDefault="00A71EEF">
      <w:pPr>
        <w:pStyle w:val="a3"/>
        <w:spacing w:before="1"/>
        <w:rPr>
          <w:sz w:val="18"/>
        </w:rPr>
      </w:pPr>
    </w:p>
    <w:p w14:paraId="53FAA835" w14:textId="77777777" w:rsidR="00A71EEF" w:rsidRDefault="0081115D">
      <w:pPr>
        <w:pStyle w:val="a3"/>
        <w:spacing w:line="446" w:lineRule="auto"/>
        <w:ind w:left="418" w:right="1608" w:firstLine="419"/>
      </w:pPr>
      <w:r>
        <w:rPr>
          <w:color w:val="333333"/>
        </w:rPr>
        <w:t>粮食平房仓的耐火等级不应低于三级；二级耐火等级的散装粮食平房仓可采用无防火保护的金属承重构件。</w:t>
      </w:r>
      <w:r>
        <w:rPr>
          <w:color w:val="333333"/>
        </w:rPr>
        <w:t xml:space="preserve"> </w:t>
      </w:r>
    </w:p>
    <w:p w14:paraId="5213E706" w14:textId="77777777" w:rsidR="00A71EEF" w:rsidRDefault="0081115D">
      <w:pPr>
        <w:pStyle w:val="a4"/>
        <w:numPr>
          <w:ilvl w:val="2"/>
          <w:numId w:val="747"/>
        </w:numPr>
        <w:tabs>
          <w:tab w:val="left" w:pos="1370"/>
        </w:tabs>
        <w:spacing w:line="267" w:lineRule="exact"/>
        <w:ind w:left="1369" w:hanging="530"/>
        <w:rPr>
          <w:b/>
          <w:sz w:val="21"/>
        </w:rPr>
      </w:pPr>
      <w:r>
        <w:rPr>
          <w:color w:val="333333"/>
          <w:spacing w:val="-5"/>
          <w:sz w:val="21"/>
        </w:rPr>
        <w:t>甲、乙类厂房和甲、乙、丙类仓库内的防火墙，其耐火极限不应低于</w:t>
      </w:r>
      <w:r>
        <w:rPr>
          <w:color w:val="333333"/>
          <w:spacing w:val="-5"/>
          <w:sz w:val="21"/>
        </w:rPr>
        <w:t xml:space="preserve"> </w:t>
      </w:r>
      <w:r>
        <w:rPr>
          <w:color w:val="333333"/>
          <w:sz w:val="21"/>
        </w:rPr>
        <w:t>4.00h</w:t>
      </w:r>
      <w:r>
        <w:rPr>
          <w:color w:val="333333"/>
          <w:spacing w:val="-3"/>
          <w:sz w:val="21"/>
        </w:rPr>
        <w:t>。</w:t>
      </w:r>
      <w:r>
        <w:rPr>
          <w:b/>
          <w:color w:val="333333"/>
          <w:w w:val="99"/>
          <w:sz w:val="21"/>
        </w:rPr>
        <w:t xml:space="preserve"> </w:t>
      </w:r>
    </w:p>
    <w:p w14:paraId="6092AEFD" w14:textId="77777777" w:rsidR="00A71EEF" w:rsidRDefault="00A71EEF">
      <w:pPr>
        <w:pStyle w:val="a3"/>
        <w:spacing w:before="2"/>
        <w:rPr>
          <w:b/>
          <w:sz w:val="18"/>
        </w:rPr>
      </w:pPr>
    </w:p>
    <w:p w14:paraId="765009A2" w14:textId="77777777" w:rsidR="00A71EEF" w:rsidRDefault="0081115D">
      <w:pPr>
        <w:pStyle w:val="a4"/>
        <w:numPr>
          <w:ilvl w:val="2"/>
          <w:numId w:val="747"/>
        </w:numPr>
        <w:tabs>
          <w:tab w:val="left" w:pos="1478"/>
        </w:tabs>
        <w:ind w:left="1477" w:hanging="638"/>
        <w:rPr>
          <w:sz w:val="21"/>
        </w:rPr>
      </w:pPr>
      <w:r>
        <w:rPr>
          <w:color w:val="333333"/>
          <w:spacing w:val="-3"/>
          <w:sz w:val="21"/>
        </w:rPr>
        <w:t>一、二级耐火等级单层厂房（</w:t>
      </w:r>
      <w:r>
        <w:rPr>
          <w:color w:val="333333"/>
          <w:spacing w:val="-2"/>
          <w:sz w:val="21"/>
        </w:rPr>
        <w:t>仓库</w:t>
      </w:r>
      <w:r>
        <w:rPr>
          <w:color w:val="333333"/>
          <w:sz w:val="21"/>
        </w:rPr>
        <w:t>）</w:t>
      </w:r>
      <w:r>
        <w:rPr>
          <w:color w:val="333333"/>
          <w:spacing w:val="-7"/>
          <w:sz w:val="21"/>
        </w:rPr>
        <w:t>的柱，其耐火极限分别不应低于</w:t>
      </w:r>
      <w:r>
        <w:rPr>
          <w:color w:val="333333"/>
          <w:spacing w:val="-7"/>
          <w:sz w:val="21"/>
        </w:rPr>
        <w:t xml:space="preserve"> </w:t>
      </w:r>
      <w:r>
        <w:rPr>
          <w:color w:val="333333"/>
          <w:sz w:val="21"/>
        </w:rPr>
        <w:t>2.50h</w:t>
      </w:r>
      <w:r>
        <w:rPr>
          <w:color w:val="333333"/>
          <w:spacing w:val="-27"/>
          <w:sz w:val="21"/>
        </w:rPr>
        <w:t xml:space="preserve"> </w:t>
      </w:r>
      <w:r>
        <w:rPr>
          <w:color w:val="333333"/>
          <w:spacing w:val="-27"/>
          <w:sz w:val="21"/>
        </w:rPr>
        <w:t>和</w:t>
      </w:r>
    </w:p>
    <w:p w14:paraId="778E7100" w14:textId="77777777" w:rsidR="00A71EEF" w:rsidRDefault="00A71EEF">
      <w:pPr>
        <w:pStyle w:val="a3"/>
        <w:rPr>
          <w:sz w:val="18"/>
        </w:rPr>
      </w:pPr>
    </w:p>
    <w:p w14:paraId="2E921598" w14:textId="77777777" w:rsidR="00A71EEF" w:rsidRDefault="0081115D">
      <w:pPr>
        <w:pStyle w:val="a3"/>
        <w:ind w:left="418"/>
      </w:pPr>
      <w:r>
        <w:rPr>
          <w:color w:val="333333"/>
        </w:rPr>
        <w:t>2.00h</w:t>
      </w:r>
      <w:r>
        <w:rPr>
          <w:color w:val="333333"/>
        </w:rPr>
        <w:t>。</w:t>
      </w:r>
      <w:r>
        <w:rPr>
          <w:color w:val="333333"/>
        </w:rPr>
        <w:t xml:space="preserve"> </w:t>
      </w:r>
    </w:p>
    <w:p w14:paraId="35534727" w14:textId="77777777" w:rsidR="00A71EEF" w:rsidRDefault="00A71EEF">
      <w:pPr>
        <w:pStyle w:val="a3"/>
        <w:rPr>
          <w:sz w:val="18"/>
        </w:rPr>
      </w:pPr>
    </w:p>
    <w:p w14:paraId="56DD8253" w14:textId="77777777" w:rsidR="00A71EEF" w:rsidRDefault="0081115D">
      <w:pPr>
        <w:pStyle w:val="a4"/>
        <w:numPr>
          <w:ilvl w:val="2"/>
          <w:numId w:val="747"/>
        </w:numPr>
        <w:tabs>
          <w:tab w:val="left" w:pos="1478"/>
        </w:tabs>
        <w:spacing w:line="446" w:lineRule="auto"/>
        <w:ind w:right="1498" w:firstLine="422"/>
        <w:rPr>
          <w:sz w:val="21"/>
        </w:rPr>
      </w:pPr>
      <w:r>
        <w:rPr>
          <w:color w:val="333333"/>
          <w:spacing w:val="-3"/>
          <w:sz w:val="21"/>
        </w:rPr>
        <w:t>采用自动喷水灭火系统全保护的一级耐火等级单、多层厂房</w:t>
      </w:r>
      <w:r>
        <w:rPr>
          <w:color w:val="333333"/>
          <w:sz w:val="21"/>
        </w:rPr>
        <w:t>（</w:t>
      </w:r>
      <w:r>
        <w:rPr>
          <w:color w:val="333333"/>
          <w:spacing w:val="-2"/>
          <w:sz w:val="21"/>
        </w:rPr>
        <w:t>仓库</w:t>
      </w:r>
      <w:r>
        <w:rPr>
          <w:color w:val="333333"/>
          <w:spacing w:val="-3"/>
          <w:sz w:val="21"/>
        </w:rPr>
        <w:t>）</w:t>
      </w:r>
      <w:r>
        <w:rPr>
          <w:color w:val="333333"/>
          <w:spacing w:val="-2"/>
          <w:sz w:val="21"/>
        </w:rPr>
        <w:t>的屋顶承重构</w:t>
      </w:r>
      <w:r>
        <w:rPr>
          <w:color w:val="333333"/>
          <w:spacing w:val="-8"/>
          <w:sz w:val="21"/>
        </w:rPr>
        <w:t>件，其耐火极限不应低于</w:t>
      </w:r>
      <w:r>
        <w:rPr>
          <w:color w:val="333333"/>
          <w:spacing w:val="-8"/>
          <w:sz w:val="21"/>
        </w:rPr>
        <w:t xml:space="preserve"> </w:t>
      </w:r>
      <w:r>
        <w:rPr>
          <w:color w:val="333333"/>
          <w:sz w:val="21"/>
        </w:rPr>
        <w:t>1.00h</w:t>
      </w:r>
      <w:r>
        <w:rPr>
          <w:color w:val="333333"/>
          <w:spacing w:val="-3"/>
          <w:sz w:val="21"/>
        </w:rPr>
        <w:t>。</w:t>
      </w:r>
      <w:r>
        <w:rPr>
          <w:color w:val="333333"/>
          <w:sz w:val="21"/>
        </w:rPr>
        <w:t xml:space="preserve"> </w:t>
      </w:r>
    </w:p>
    <w:p w14:paraId="0ADD9E38" w14:textId="77777777" w:rsidR="00A71EEF" w:rsidRDefault="0081115D">
      <w:pPr>
        <w:pStyle w:val="a4"/>
        <w:numPr>
          <w:ilvl w:val="2"/>
          <w:numId w:val="747"/>
        </w:numPr>
        <w:tabs>
          <w:tab w:val="left" w:pos="1478"/>
        </w:tabs>
        <w:spacing w:line="446" w:lineRule="auto"/>
        <w:ind w:right="1496" w:firstLine="422"/>
        <w:rPr>
          <w:sz w:val="21"/>
        </w:rPr>
      </w:pPr>
      <w:r>
        <w:rPr>
          <w:color w:val="333333"/>
          <w:spacing w:val="-3"/>
          <w:sz w:val="21"/>
        </w:rPr>
        <w:t>除甲、乙类仓库和高层仓库外，一、二级耐火等级建筑的非承重外墙，当采用不燃</w:t>
      </w:r>
      <w:r>
        <w:rPr>
          <w:color w:val="333333"/>
          <w:spacing w:val="-7"/>
          <w:sz w:val="21"/>
        </w:rPr>
        <w:t>性墙体时，其耐火极限不应低于</w:t>
      </w:r>
      <w:r>
        <w:rPr>
          <w:color w:val="333333"/>
          <w:spacing w:val="-7"/>
          <w:sz w:val="21"/>
        </w:rPr>
        <w:t xml:space="preserve"> </w:t>
      </w:r>
      <w:r>
        <w:rPr>
          <w:color w:val="333333"/>
          <w:sz w:val="21"/>
        </w:rPr>
        <w:t>0.25h</w:t>
      </w:r>
      <w:r>
        <w:rPr>
          <w:color w:val="333333"/>
          <w:spacing w:val="-7"/>
          <w:sz w:val="21"/>
        </w:rPr>
        <w:t>；当采用难燃</w:t>
      </w:r>
      <w:r>
        <w:rPr>
          <w:color w:val="333333"/>
          <w:spacing w:val="-7"/>
          <w:sz w:val="21"/>
        </w:rPr>
        <w:t>性墙体时，不应低于</w:t>
      </w:r>
      <w:r>
        <w:rPr>
          <w:color w:val="333333"/>
          <w:spacing w:val="-7"/>
          <w:sz w:val="21"/>
        </w:rPr>
        <w:t xml:space="preserve"> </w:t>
      </w:r>
      <w:r>
        <w:rPr>
          <w:color w:val="333333"/>
          <w:sz w:val="21"/>
        </w:rPr>
        <w:t>0.50h</w:t>
      </w:r>
      <w:r>
        <w:rPr>
          <w:color w:val="333333"/>
          <w:spacing w:val="-3"/>
          <w:sz w:val="21"/>
        </w:rPr>
        <w:t>。</w:t>
      </w:r>
      <w:r>
        <w:rPr>
          <w:color w:val="333333"/>
          <w:sz w:val="21"/>
        </w:rPr>
        <w:t xml:space="preserve"> </w:t>
      </w:r>
    </w:p>
    <w:p w14:paraId="730B8BAE" w14:textId="77777777" w:rsidR="00A71EEF" w:rsidRDefault="0081115D">
      <w:pPr>
        <w:pStyle w:val="a3"/>
        <w:spacing w:line="446" w:lineRule="auto"/>
        <w:ind w:left="418" w:right="1450" w:firstLine="419"/>
      </w:pPr>
      <w:r>
        <w:rPr>
          <w:color w:val="333333"/>
        </w:rPr>
        <w:t>4</w:t>
      </w:r>
      <w:r>
        <w:rPr>
          <w:color w:val="333333"/>
          <w:spacing w:val="-10"/>
        </w:rPr>
        <w:t xml:space="preserve"> </w:t>
      </w:r>
      <w:r>
        <w:rPr>
          <w:color w:val="333333"/>
          <w:spacing w:val="-10"/>
        </w:rPr>
        <w:t>层及</w:t>
      </w:r>
      <w:r>
        <w:rPr>
          <w:color w:val="333333"/>
          <w:spacing w:val="-10"/>
        </w:rPr>
        <w:t xml:space="preserve"> </w:t>
      </w:r>
      <w:r>
        <w:rPr>
          <w:color w:val="333333"/>
        </w:rPr>
        <w:t>4</w:t>
      </w:r>
      <w:r>
        <w:rPr>
          <w:color w:val="333333"/>
          <w:spacing w:val="-3"/>
        </w:rPr>
        <w:t xml:space="preserve"> </w:t>
      </w:r>
      <w:r>
        <w:rPr>
          <w:color w:val="333333"/>
          <w:spacing w:val="-3"/>
        </w:rPr>
        <w:t>层以下的一、二级耐火等级丁、戊类地上厂房（</w:t>
      </w:r>
      <w:r>
        <w:rPr>
          <w:color w:val="333333"/>
          <w:spacing w:val="-2"/>
        </w:rPr>
        <w:t>仓库</w:t>
      </w:r>
      <w:r>
        <w:rPr>
          <w:color w:val="333333"/>
        </w:rPr>
        <w:t>）</w:t>
      </w:r>
      <w:r>
        <w:rPr>
          <w:color w:val="333333"/>
          <w:spacing w:val="-3"/>
        </w:rPr>
        <w:t>的非承重外墙，当采用不燃性墙体时，其耐火极限不限；当采用难燃性轻质复合墙体时，其表面材料应为不燃材料、内</w:t>
      </w:r>
      <w:r>
        <w:rPr>
          <w:color w:val="333333"/>
          <w:spacing w:val="-3"/>
        </w:rPr>
        <w:t xml:space="preserve"> </w:t>
      </w:r>
      <w:r>
        <w:rPr>
          <w:color w:val="333333"/>
          <w:spacing w:val="-6"/>
        </w:rPr>
        <w:t>填充材料的燃烧性能不应低于</w:t>
      </w:r>
      <w:r>
        <w:rPr>
          <w:color w:val="333333"/>
          <w:spacing w:val="-6"/>
        </w:rPr>
        <w:t xml:space="preserve"> </w:t>
      </w:r>
      <w:r>
        <w:rPr>
          <w:color w:val="333333"/>
        </w:rPr>
        <w:t>B2</w:t>
      </w:r>
      <w:r>
        <w:rPr>
          <w:color w:val="333333"/>
          <w:spacing w:val="-3"/>
        </w:rPr>
        <w:t xml:space="preserve"> </w:t>
      </w:r>
      <w:r>
        <w:rPr>
          <w:color w:val="333333"/>
          <w:spacing w:val="-3"/>
        </w:rPr>
        <w:t>级。材料的燃烧性能分级应符合现行国家标准《建筑材料及制品燃烧性能分级》</w:t>
      </w:r>
      <w:r>
        <w:rPr>
          <w:color w:val="333333"/>
        </w:rPr>
        <w:t>GB 8624</w:t>
      </w:r>
      <w:r>
        <w:rPr>
          <w:color w:val="333333"/>
          <w:spacing w:val="-2"/>
        </w:rPr>
        <w:t xml:space="preserve"> </w:t>
      </w:r>
      <w:r>
        <w:rPr>
          <w:color w:val="333333"/>
          <w:spacing w:val="-2"/>
        </w:rPr>
        <w:t>的规定。</w:t>
      </w:r>
      <w:r>
        <w:rPr>
          <w:color w:val="333333"/>
        </w:rPr>
        <w:t xml:space="preserve"> </w:t>
      </w:r>
    </w:p>
    <w:p w14:paraId="1CFA7B0A" w14:textId="77777777" w:rsidR="00A71EEF" w:rsidRDefault="0081115D">
      <w:pPr>
        <w:pStyle w:val="a4"/>
        <w:numPr>
          <w:ilvl w:val="2"/>
          <w:numId w:val="747"/>
        </w:numPr>
        <w:tabs>
          <w:tab w:val="left" w:pos="1478"/>
        </w:tabs>
        <w:spacing w:line="446" w:lineRule="auto"/>
        <w:ind w:right="1498" w:firstLine="422"/>
        <w:rPr>
          <w:sz w:val="21"/>
        </w:rPr>
      </w:pPr>
      <w:r>
        <w:rPr>
          <w:color w:val="333333"/>
          <w:spacing w:val="-3"/>
          <w:sz w:val="21"/>
        </w:rPr>
        <w:t>二级耐火等级厂房</w:t>
      </w:r>
      <w:r>
        <w:rPr>
          <w:color w:val="333333"/>
          <w:sz w:val="21"/>
        </w:rPr>
        <w:t>（</w:t>
      </w:r>
      <w:r>
        <w:rPr>
          <w:color w:val="333333"/>
          <w:spacing w:val="-2"/>
          <w:sz w:val="21"/>
        </w:rPr>
        <w:t>仓库</w:t>
      </w:r>
      <w:r>
        <w:rPr>
          <w:color w:val="333333"/>
          <w:sz w:val="21"/>
        </w:rPr>
        <w:t>）</w:t>
      </w:r>
      <w:r>
        <w:rPr>
          <w:color w:val="333333"/>
          <w:spacing w:val="-3"/>
          <w:sz w:val="21"/>
        </w:rPr>
        <w:t>内的房间隔墙，当采用难燃性墙体时，其耐火极限应提</w:t>
      </w:r>
      <w:r>
        <w:rPr>
          <w:color w:val="333333"/>
          <w:spacing w:val="-28"/>
          <w:sz w:val="21"/>
        </w:rPr>
        <w:t>高</w:t>
      </w:r>
      <w:r>
        <w:rPr>
          <w:color w:val="333333"/>
          <w:spacing w:val="-28"/>
          <w:sz w:val="21"/>
        </w:rPr>
        <w:t xml:space="preserve"> </w:t>
      </w:r>
      <w:r>
        <w:rPr>
          <w:color w:val="333333"/>
          <w:sz w:val="21"/>
        </w:rPr>
        <w:t>0.25h</w:t>
      </w:r>
      <w:r>
        <w:rPr>
          <w:color w:val="333333"/>
          <w:spacing w:val="-3"/>
          <w:sz w:val="21"/>
        </w:rPr>
        <w:t>。</w:t>
      </w:r>
      <w:r>
        <w:rPr>
          <w:color w:val="333333"/>
          <w:sz w:val="21"/>
        </w:rPr>
        <w:t xml:space="preserve"> </w:t>
      </w:r>
    </w:p>
    <w:p w14:paraId="504EE69B" w14:textId="77777777" w:rsidR="00A71EEF" w:rsidRDefault="0081115D">
      <w:pPr>
        <w:pStyle w:val="a4"/>
        <w:numPr>
          <w:ilvl w:val="2"/>
          <w:numId w:val="747"/>
        </w:numPr>
        <w:tabs>
          <w:tab w:val="left" w:pos="1478"/>
        </w:tabs>
        <w:spacing w:line="446" w:lineRule="auto"/>
        <w:ind w:right="1498" w:firstLine="422"/>
        <w:rPr>
          <w:sz w:val="21"/>
        </w:rPr>
      </w:pPr>
      <w:r>
        <w:rPr>
          <w:color w:val="333333"/>
          <w:spacing w:val="-3"/>
          <w:sz w:val="21"/>
        </w:rPr>
        <w:t>二级耐火等级多层厂房和多层仓库内采用预应力钢筋混凝土的楼板，其耐火极限不</w:t>
      </w:r>
      <w:r>
        <w:rPr>
          <w:color w:val="333333"/>
          <w:spacing w:val="-15"/>
          <w:sz w:val="21"/>
        </w:rPr>
        <w:t>应低于</w:t>
      </w:r>
      <w:r>
        <w:rPr>
          <w:color w:val="333333"/>
          <w:spacing w:val="-15"/>
          <w:sz w:val="21"/>
        </w:rPr>
        <w:t xml:space="preserve"> </w:t>
      </w:r>
      <w:r>
        <w:rPr>
          <w:color w:val="333333"/>
          <w:sz w:val="21"/>
        </w:rPr>
        <w:t>0.75h</w:t>
      </w:r>
      <w:r>
        <w:rPr>
          <w:color w:val="333333"/>
          <w:spacing w:val="-3"/>
          <w:sz w:val="21"/>
        </w:rPr>
        <w:t>。</w:t>
      </w:r>
      <w:r>
        <w:rPr>
          <w:color w:val="333333"/>
          <w:sz w:val="21"/>
        </w:rPr>
        <w:t xml:space="preserve"> </w:t>
      </w:r>
    </w:p>
    <w:p w14:paraId="7DF19615" w14:textId="77777777" w:rsidR="00A71EEF" w:rsidRDefault="0081115D">
      <w:pPr>
        <w:pStyle w:val="a4"/>
        <w:numPr>
          <w:ilvl w:val="2"/>
          <w:numId w:val="747"/>
        </w:numPr>
        <w:tabs>
          <w:tab w:val="left" w:pos="1478"/>
        </w:tabs>
        <w:spacing w:line="446" w:lineRule="auto"/>
        <w:ind w:right="1601" w:firstLine="422"/>
        <w:rPr>
          <w:b/>
          <w:sz w:val="21"/>
        </w:rPr>
      </w:pPr>
      <w:r>
        <w:rPr>
          <w:color w:val="333333"/>
          <w:spacing w:val="-3"/>
          <w:sz w:val="21"/>
        </w:rPr>
        <w:t>一、二级耐火等级厂房</w:t>
      </w:r>
      <w:r>
        <w:rPr>
          <w:color w:val="333333"/>
          <w:sz w:val="21"/>
        </w:rPr>
        <w:t>（</w:t>
      </w:r>
      <w:r>
        <w:rPr>
          <w:color w:val="333333"/>
          <w:spacing w:val="-2"/>
          <w:sz w:val="21"/>
        </w:rPr>
        <w:t>仓库</w:t>
      </w:r>
      <w:r>
        <w:rPr>
          <w:color w:val="333333"/>
          <w:spacing w:val="-3"/>
          <w:sz w:val="21"/>
        </w:rPr>
        <w:t>）的上人平屋顶，其屋面板的耐火极限分别不应低于</w:t>
      </w:r>
      <w:r>
        <w:rPr>
          <w:color w:val="333333"/>
          <w:spacing w:val="-3"/>
          <w:sz w:val="21"/>
        </w:rPr>
        <w:t>1.50h</w:t>
      </w:r>
      <w:r>
        <w:rPr>
          <w:color w:val="333333"/>
          <w:spacing w:val="-19"/>
          <w:sz w:val="21"/>
        </w:rPr>
        <w:t xml:space="preserve"> </w:t>
      </w:r>
      <w:r>
        <w:rPr>
          <w:color w:val="333333"/>
          <w:spacing w:val="-19"/>
          <w:sz w:val="21"/>
        </w:rPr>
        <w:t>和</w:t>
      </w:r>
      <w:r>
        <w:rPr>
          <w:color w:val="333333"/>
          <w:spacing w:val="-19"/>
          <w:sz w:val="21"/>
        </w:rPr>
        <w:t xml:space="preserve"> </w:t>
      </w:r>
      <w:r>
        <w:rPr>
          <w:color w:val="333333"/>
          <w:sz w:val="21"/>
        </w:rPr>
        <w:t>1.00h</w:t>
      </w:r>
      <w:r>
        <w:rPr>
          <w:color w:val="333333"/>
          <w:spacing w:val="-3"/>
          <w:sz w:val="21"/>
        </w:rPr>
        <w:t>。</w:t>
      </w:r>
      <w:r>
        <w:rPr>
          <w:b/>
          <w:color w:val="333333"/>
          <w:w w:val="99"/>
          <w:sz w:val="21"/>
        </w:rPr>
        <w:t xml:space="preserve"> </w:t>
      </w:r>
    </w:p>
    <w:p w14:paraId="3817924C" w14:textId="77777777" w:rsidR="00A71EEF" w:rsidRDefault="00A71EEF">
      <w:pPr>
        <w:spacing w:line="446" w:lineRule="auto"/>
        <w:rPr>
          <w:sz w:val="21"/>
        </w:rPr>
        <w:sectPr w:rsidR="00A71EEF">
          <w:pgSz w:w="11910" w:h="16850"/>
          <w:pgMar w:top="1220" w:right="0" w:bottom="1420" w:left="1260" w:header="0" w:footer="1239" w:gutter="0"/>
          <w:cols w:space="720"/>
        </w:sectPr>
      </w:pPr>
    </w:p>
    <w:p w14:paraId="7B545262" w14:textId="77777777" w:rsidR="00A71EEF" w:rsidRDefault="0081115D">
      <w:pPr>
        <w:pStyle w:val="a4"/>
        <w:numPr>
          <w:ilvl w:val="2"/>
          <w:numId w:val="747"/>
        </w:numPr>
        <w:tabs>
          <w:tab w:val="left" w:pos="1478"/>
        </w:tabs>
        <w:spacing w:before="47"/>
        <w:ind w:left="1477" w:hanging="638"/>
        <w:rPr>
          <w:sz w:val="21"/>
        </w:rPr>
      </w:pPr>
      <w:r>
        <w:rPr>
          <w:color w:val="333333"/>
          <w:spacing w:val="-3"/>
          <w:sz w:val="21"/>
        </w:rPr>
        <w:lastRenderedPageBreak/>
        <w:t>一、二级耐火等级厂房（</w:t>
      </w:r>
      <w:r>
        <w:rPr>
          <w:color w:val="333333"/>
          <w:spacing w:val="-2"/>
          <w:sz w:val="21"/>
        </w:rPr>
        <w:t>仓库</w:t>
      </w:r>
      <w:r>
        <w:rPr>
          <w:color w:val="333333"/>
          <w:sz w:val="21"/>
        </w:rPr>
        <w:t>）</w:t>
      </w:r>
      <w:r>
        <w:rPr>
          <w:color w:val="333333"/>
          <w:spacing w:val="-3"/>
          <w:sz w:val="21"/>
        </w:rPr>
        <w:t>的屋面板应采用不燃材料。</w:t>
      </w:r>
      <w:r>
        <w:rPr>
          <w:color w:val="333333"/>
          <w:sz w:val="21"/>
        </w:rPr>
        <w:t xml:space="preserve"> </w:t>
      </w:r>
    </w:p>
    <w:p w14:paraId="6CE98591" w14:textId="77777777" w:rsidR="00A71EEF" w:rsidRDefault="00A71EEF">
      <w:pPr>
        <w:pStyle w:val="a3"/>
        <w:rPr>
          <w:sz w:val="18"/>
        </w:rPr>
      </w:pPr>
    </w:p>
    <w:p w14:paraId="55B5F134" w14:textId="77777777" w:rsidR="00A71EEF" w:rsidRDefault="0081115D">
      <w:pPr>
        <w:pStyle w:val="a3"/>
        <w:spacing w:line="446" w:lineRule="auto"/>
        <w:ind w:left="418" w:right="1609" w:firstLine="419"/>
      </w:pPr>
      <w:r>
        <w:rPr>
          <w:color w:val="333333"/>
        </w:rPr>
        <w:t>屋面防水层宜采用不燃、难燃材料，当采用可燃防水材料且铺设在可燃、难燃保温材料上时，防水材料或可燃、难燃保温材料应采用不燃材料作防护层。</w:t>
      </w:r>
      <w:r>
        <w:rPr>
          <w:color w:val="333333"/>
        </w:rPr>
        <w:t xml:space="preserve"> </w:t>
      </w:r>
    </w:p>
    <w:p w14:paraId="3FF33686" w14:textId="77777777" w:rsidR="00A71EEF" w:rsidRDefault="0081115D">
      <w:pPr>
        <w:pStyle w:val="a4"/>
        <w:numPr>
          <w:ilvl w:val="2"/>
          <w:numId w:val="747"/>
        </w:numPr>
        <w:tabs>
          <w:tab w:val="left" w:pos="1478"/>
        </w:tabs>
        <w:spacing w:line="446" w:lineRule="auto"/>
        <w:ind w:right="1496" w:firstLine="422"/>
        <w:rPr>
          <w:sz w:val="21"/>
        </w:rPr>
      </w:pPr>
      <w:r>
        <w:rPr>
          <w:color w:val="333333"/>
          <w:spacing w:val="-3"/>
          <w:sz w:val="21"/>
        </w:rPr>
        <w:t>建筑中的非承重外墙、房间隔墙和屋面板，当确需采用金属夹芯板材时，其芯材应为不燃材料，且耐火极限应符合本规范有关规定。</w:t>
      </w:r>
      <w:r>
        <w:rPr>
          <w:color w:val="333333"/>
          <w:sz w:val="21"/>
        </w:rPr>
        <w:t xml:space="preserve"> </w:t>
      </w:r>
    </w:p>
    <w:p w14:paraId="707F9C53" w14:textId="77777777" w:rsidR="00A71EEF" w:rsidRDefault="0081115D">
      <w:pPr>
        <w:pStyle w:val="a4"/>
        <w:numPr>
          <w:ilvl w:val="2"/>
          <w:numId w:val="747"/>
        </w:numPr>
        <w:tabs>
          <w:tab w:val="left" w:pos="1478"/>
        </w:tabs>
        <w:spacing w:line="446" w:lineRule="auto"/>
        <w:ind w:right="1496" w:firstLine="422"/>
        <w:rPr>
          <w:sz w:val="21"/>
        </w:rPr>
      </w:pPr>
      <w:r>
        <w:rPr>
          <w:color w:val="333333"/>
          <w:spacing w:val="-3"/>
          <w:sz w:val="21"/>
        </w:rPr>
        <w:t>除本规范另有规定外，以木柱承重且墙体采用不燃材料的厂房（</w:t>
      </w:r>
      <w:r>
        <w:rPr>
          <w:color w:val="333333"/>
          <w:spacing w:val="-2"/>
          <w:sz w:val="21"/>
        </w:rPr>
        <w:t>仓库</w:t>
      </w:r>
      <w:r>
        <w:rPr>
          <w:color w:val="333333"/>
          <w:sz w:val="21"/>
        </w:rPr>
        <w:t>），</w:t>
      </w:r>
      <w:r>
        <w:rPr>
          <w:color w:val="333333"/>
          <w:spacing w:val="-3"/>
          <w:sz w:val="21"/>
        </w:rPr>
        <w:t>其耐火等级可按四级确定。</w:t>
      </w:r>
      <w:r>
        <w:rPr>
          <w:color w:val="333333"/>
          <w:sz w:val="21"/>
        </w:rPr>
        <w:t xml:space="preserve"> </w:t>
      </w:r>
    </w:p>
    <w:p w14:paraId="6A9D20B3" w14:textId="77777777" w:rsidR="00A71EEF" w:rsidRDefault="0081115D">
      <w:pPr>
        <w:pStyle w:val="a4"/>
        <w:numPr>
          <w:ilvl w:val="2"/>
          <w:numId w:val="747"/>
        </w:numPr>
        <w:tabs>
          <w:tab w:val="left" w:pos="1478"/>
        </w:tabs>
        <w:spacing w:line="446" w:lineRule="auto"/>
        <w:ind w:right="1496" w:firstLine="422"/>
        <w:rPr>
          <w:sz w:val="21"/>
        </w:rPr>
      </w:pPr>
      <w:r>
        <w:rPr>
          <w:color w:val="333333"/>
          <w:spacing w:val="-3"/>
          <w:sz w:val="21"/>
        </w:rPr>
        <w:t>预制钢筋混凝土构件的节点外露部位，应采取防火保护措施，且节点的耐火极限不应低于相应构件的耐火极限。</w:t>
      </w:r>
      <w:r>
        <w:rPr>
          <w:color w:val="333333"/>
          <w:sz w:val="21"/>
        </w:rPr>
        <w:t xml:space="preserve"> </w:t>
      </w:r>
    </w:p>
    <w:p w14:paraId="28FC594E" w14:textId="77777777" w:rsidR="00A71EEF" w:rsidRDefault="0081115D">
      <w:pPr>
        <w:pStyle w:val="a4"/>
        <w:numPr>
          <w:ilvl w:val="1"/>
          <w:numId w:val="747"/>
        </w:numPr>
        <w:tabs>
          <w:tab w:val="left" w:pos="1159"/>
        </w:tabs>
        <w:ind w:hanging="319"/>
        <w:rPr>
          <w:sz w:val="21"/>
        </w:rPr>
      </w:pPr>
      <w:r>
        <w:rPr>
          <w:spacing w:val="-3"/>
          <w:sz w:val="21"/>
        </w:rPr>
        <w:t>厂房和仓库的层数、面积和平面布置</w:t>
      </w:r>
      <w:r>
        <w:rPr>
          <w:sz w:val="21"/>
        </w:rPr>
        <w:t xml:space="preserve"> </w:t>
      </w:r>
    </w:p>
    <w:p w14:paraId="73FADCD9" w14:textId="77777777" w:rsidR="00A71EEF" w:rsidRDefault="00A71EEF">
      <w:pPr>
        <w:pStyle w:val="a3"/>
        <w:spacing w:before="10"/>
        <w:rPr>
          <w:sz w:val="17"/>
        </w:rPr>
      </w:pPr>
    </w:p>
    <w:p w14:paraId="79F77707" w14:textId="77777777" w:rsidR="00A71EEF" w:rsidRDefault="0081115D">
      <w:pPr>
        <w:pStyle w:val="a4"/>
        <w:numPr>
          <w:ilvl w:val="2"/>
          <w:numId w:val="747"/>
        </w:numPr>
        <w:tabs>
          <w:tab w:val="left" w:pos="1371"/>
        </w:tabs>
        <w:ind w:left="1370"/>
        <w:rPr>
          <w:sz w:val="21"/>
        </w:rPr>
      </w:pPr>
      <w:r>
        <w:rPr>
          <w:color w:val="333333"/>
          <w:spacing w:val="-3"/>
          <w:sz w:val="21"/>
        </w:rPr>
        <w:t>除本规范另有规定外，厂房的层数和每个防火分区的最大允许建筑面积应符合表</w:t>
      </w:r>
    </w:p>
    <w:p w14:paraId="259E2DAC" w14:textId="77777777" w:rsidR="00A71EEF" w:rsidRDefault="00A71EEF">
      <w:pPr>
        <w:pStyle w:val="a3"/>
        <w:rPr>
          <w:sz w:val="18"/>
        </w:rPr>
      </w:pPr>
    </w:p>
    <w:p w14:paraId="404AE924" w14:textId="77777777" w:rsidR="00A71EEF" w:rsidRDefault="0081115D">
      <w:pPr>
        <w:pStyle w:val="a4"/>
        <w:numPr>
          <w:ilvl w:val="2"/>
          <w:numId w:val="746"/>
        </w:numPr>
        <w:tabs>
          <w:tab w:val="left" w:pos="948"/>
        </w:tabs>
        <w:ind w:hanging="530"/>
        <w:jc w:val="left"/>
        <w:rPr>
          <w:color w:val="333333"/>
          <w:sz w:val="19"/>
        </w:rPr>
      </w:pPr>
      <w:r>
        <w:rPr>
          <w:color w:val="333333"/>
          <w:spacing w:val="-3"/>
          <w:sz w:val="21"/>
        </w:rPr>
        <w:t>的规定。</w:t>
      </w:r>
      <w:r>
        <w:rPr>
          <w:color w:val="333333"/>
          <w:sz w:val="21"/>
        </w:rPr>
        <w:t xml:space="preserve"> </w:t>
      </w:r>
    </w:p>
    <w:p w14:paraId="14DED2C3" w14:textId="77777777" w:rsidR="00A71EEF" w:rsidRDefault="00A71EEF">
      <w:pPr>
        <w:pStyle w:val="a3"/>
        <w:spacing w:before="2"/>
        <w:rPr>
          <w:sz w:val="18"/>
        </w:rPr>
      </w:pPr>
    </w:p>
    <w:p w14:paraId="43483DA9" w14:textId="77777777" w:rsidR="00A71EEF" w:rsidRDefault="0081115D">
      <w:pPr>
        <w:pStyle w:val="6"/>
        <w:ind w:left="2359"/>
      </w:pPr>
      <w:r>
        <w:t>表</w:t>
      </w:r>
      <w:r>
        <w:t xml:space="preserve"> 3.3.1 </w:t>
      </w:r>
      <w:r>
        <w:t>厂房的层数和每个防火分区的最大允许建筑面积</w:t>
      </w:r>
      <w:r>
        <w:rPr>
          <w:w w:val="99"/>
        </w:rPr>
        <w:t xml:space="preserve"> </w:t>
      </w:r>
    </w:p>
    <w:p w14:paraId="4572466C" w14:textId="77777777" w:rsidR="00A71EEF" w:rsidRDefault="0081115D">
      <w:pPr>
        <w:pStyle w:val="a3"/>
        <w:spacing w:before="11"/>
        <w:rPr>
          <w:b/>
          <w:sz w:val="17"/>
        </w:rPr>
      </w:pPr>
      <w:r>
        <w:rPr>
          <w:noProof/>
        </w:rPr>
        <w:drawing>
          <wp:anchor distT="0" distB="0" distL="0" distR="0" simplePos="0" relativeHeight="251513344" behindDoc="0" locked="0" layoutInCell="1" allowOverlap="1" wp14:anchorId="4453FBA8" wp14:editId="64EA2EFA">
            <wp:simplePos x="0" y="0"/>
            <wp:positionH relativeFrom="page">
              <wp:posOffset>1170305</wp:posOffset>
            </wp:positionH>
            <wp:positionV relativeFrom="paragraph">
              <wp:posOffset>170529</wp:posOffset>
            </wp:positionV>
            <wp:extent cx="5308074" cy="3590925"/>
            <wp:effectExtent l="0" t="0" r="0" b="0"/>
            <wp:wrapTopAndBottom/>
            <wp:docPr id="155" name="image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105.jpeg"/>
                    <pic:cNvPicPr/>
                  </pic:nvPicPr>
                  <pic:blipFill>
                    <a:blip r:embed="rId103" cstate="print"/>
                    <a:stretch>
                      <a:fillRect/>
                    </a:stretch>
                  </pic:blipFill>
                  <pic:spPr>
                    <a:xfrm>
                      <a:off x="0" y="0"/>
                      <a:ext cx="5308074" cy="3590925"/>
                    </a:xfrm>
                    <a:prstGeom prst="rect">
                      <a:avLst/>
                    </a:prstGeom>
                  </pic:spPr>
                </pic:pic>
              </a:graphicData>
            </a:graphic>
          </wp:anchor>
        </w:drawing>
      </w:r>
    </w:p>
    <w:p w14:paraId="4C0488C2" w14:textId="77777777" w:rsidR="00A71EEF" w:rsidRDefault="0081115D">
      <w:pPr>
        <w:pStyle w:val="a3"/>
        <w:spacing w:before="149" w:line="446" w:lineRule="auto"/>
        <w:ind w:left="418" w:right="1505" w:firstLine="419"/>
      </w:pPr>
      <w:r>
        <w:rPr>
          <w:color w:val="333333"/>
        </w:rPr>
        <w:t>注：</w:t>
      </w:r>
      <w:r>
        <w:rPr>
          <w:color w:val="333333"/>
        </w:rPr>
        <w:t>1</w:t>
      </w:r>
      <w:r>
        <w:rPr>
          <w:color w:val="333333"/>
          <w:spacing w:val="-3"/>
        </w:rPr>
        <w:t xml:space="preserve">. </w:t>
      </w:r>
      <w:r>
        <w:rPr>
          <w:color w:val="333333"/>
          <w:spacing w:val="-3"/>
        </w:rPr>
        <w:t>防火分区之间应采用防火墙分隔。除甲类厂房外的一、二级耐火等级厂房，当其防火分区的建筑面积大于本表规定，且设置防火墙确有困难时，可采用防火卷帘或防火分隔水幕</w:t>
      </w:r>
      <w:r>
        <w:rPr>
          <w:color w:val="333333"/>
          <w:spacing w:val="-6"/>
        </w:rPr>
        <w:t>分隔。采用防火卷帘时，应符合本规范第</w:t>
      </w:r>
      <w:r>
        <w:rPr>
          <w:color w:val="333333"/>
          <w:spacing w:val="-6"/>
        </w:rPr>
        <w:t xml:space="preserve"> </w:t>
      </w:r>
      <w:r>
        <w:rPr>
          <w:color w:val="333333"/>
        </w:rPr>
        <w:t>6.5.3</w:t>
      </w:r>
      <w:r>
        <w:rPr>
          <w:color w:val="333333"/>
          <w:spacing w:val="-3"/>
        </w:rPr>
        <w:t xml:space="preserve"> </w:t>
      </w:r>
      <w:r>
        <w:rPr>
          <w:color w:val="333333"/>
          <w:spacing w:val="-3"/>
        </w:rPr>
        <w:t>条的规定；采用防火分隔水幕时，应符合现行</w:t>
      </w:r>
    </w:p>
    <w:p w14:paraId="64FF470D" w14:textId="77777777" w:rsidR="00A71EEF" w:rsidRDefault="00A71EEF">
      <w:pPr>
        <w:spacing w:line="446" w:lineRule="auto"/>
        <w:sectPr w:rsidR="00A71EEF">
          <w:pgSz w:w="11910" w:h="16850"/>
          <w:pgMar w:top="1220" w:right="0" w:bottom="1420" w:left="1260" w:header="0" w:footer="1239" w:gutter="0"/>
          <w:cols w:space="720"/>
        </w:sectPr>
      </w:pPr>
    </w:p>
    <w:p w14:paraId="3055AFFD" w14:textId="77777777" w:rsidR="00A71EEF" w:rsidRDefault="0081115D">
      <w:pPr>
        <w:pStyle w:val="a3"/>
        <w:spacing w:before="47"/>
        <w:ind w:left="418"/>
      </w:pPr>
      <w:r>
        <w:rPr>
          <w:color w:val="333333"/>
        </w:rPr>
        <w:lastRenderedPageBreak/>
        <w:t>国家标准《自动喷水灭火系统设计规范》</w:t>
      </w:r>
      <w:r>
        <w:rPr>
          <w:color w:val="333333"/>
        </w:rPr>
        <w:t xml:space="preserve">GB 50084 </w:t>
      </w:r>
      <w:r>
        <w:rPr>
          <w:color w:val="333333"/>
        </w:rPr>
        <w:t>的规定。</w:t>
      </w:r>
      <w:r>
        <w:rPr>
          <w:color w:val="333333"/>
        </w:rPr>
        <w:t xml:space="preserve"> </w:t>
      </w:r>
    </w:p>
    <w:p w14:paraId="624D56D3" w14:textId="77777777" w:rsidR="00A71EEF" w:rsidRDefault="00A71EEF">
      <w:pPr>
        <w:pStyle w:val="a3"/>
        <w:rPr>
          <w:sz w:val="18"/>
        </w:rPr>
      </w:pPr>
    </w:p>
    <w:p w14:paraId="4C08B54B" w14:textId="77777777" w:rsidR="00A71EEF" w:rsidRDefault="0081115D">
      <w:pPr>
        <w:pStyle w:val="a4"/>
        <w:numPr>
          <w:ilvl w:val="3"/>
          <w:numId w:val="746"/>
        </w:numPr>
        <w:tabs>
          <w:tab w:val="left" w:pos="1051"/>
        </w:tabs>
        <w:spacing w:line="446" w:lineRule="auto"/>
        <w:ind w:right="1558" w:firstLine="419"/>
        <w:jc w:val="both"/>
        <w:rPr>
          <w:sz w:val="21"/>
        </w:rPr>
      </w:pPr>
      <w:r>
        <w:rPr>
          <w:color w:val="333333"/>
          <w:spacing w:val="-3"/>
          <w:sz w:val="21"/>
        </w:rPr>
        <w:t>除麻纺厂房外，一级耐火等级的多层纺织厂房和二级耐火等级的单、多层纺织厂房，其</w:t>
      </w:r>
      <w:r>
        <w:rPr>
          <w:color w:val="333333"/>
          <w:spacing w:val="-5"/>
          <w:sz w:val="21"/>
        </w:rPr>
        <w:t>每个防火分</w:t>
      </w:r>
      <w:r>
        <w:rPr>
          <w:color w:val="333333"/>
          <w:spacing w:val="-5"/>
          <w:sz w:val="21"/>
        </w:rPr>
        <w:t>区的最大允许建筑面积可按本表的规定增加</w:t>
      </w:r>
      <w:r>
        <w:rPr>
          <w:color w:val="333333"/>
          <w:spacing w:val="-5"/>
          <w:sz w:val="21"/>
        </w:rPr>
        <w:t xml:space="preserve"> </w:t>
      </w:r>
      <w:r>
        <w:rPr>
          <w:color w:val="333333"/>
          <w:sz w:val="21"/>
        </w:rPr>
        <w:t>0.5</w:t>
      </w:r>
      <w:r>
        <w:rPr>
          <w:color w:val="333333"/>
          <w:spacing w:val="-3"/>
          <w:sz w:val="21"/>
        </w:rPr>
        <w:t xml:space="preserve"> </w:t>
      </w:r>
      <w:r>
        <w:rPr>
          <w:color w:val="333333"/>
          <w:spacing w:val="-3"/>
          <w:sz w:val="21"/>
        </w:rPr>
        <w:t>倍，但厂房内的原棉开包、清花车</w:t>
      </w:r>
      <w:r>
        <w:rPr>
          <w:color w:val="333333"/>
          <w:spacing w:val="-5"/>
          <w:sz w:val="21"/>
        </w:rPr>
        <w:t>间与厂房内其他部位之间均应采用耐火极限不低于</w:t>
      </w:r>
      <w:r>
        <w:rPr>
          <w:color w:val="333333"/>
          <w:spacing w:val="-5"/>
          <w:sz w:val="21"/>
        </w:rPr>
        <w:t xml:space="preserve"> </w:t>
      </w:r>
      <w:r>
        <w:rPr>
          <w:color w:val="333333"/>
          <w:sz w:val="21"/>
        </w:rPr>
        <w:t>2.50h</w:t>
      </w:r>
      <w:r>
        <w:rPr>
          <w:color w:val="333333"/>
          <w:spacing w:val="-3"/>
          <w:sz w:val="21"/>
        </w:rPr>
        <w:t xml:space="preserve"> </w:t>
      </w:r>
      <w:r>
        <w:rPr>
          <w:color w:val="333333"/>
          <w:spacing w:val="-3"/>
          <w:sz w:val="21"/>
        </w:rPr>
        <w:t>的防火隔墙分隔，需要开设门、窗、洞口时，应设置甲级防火门、窗。</w:t>
      </w:r>
      <w:r>
        <w:rPr>
          <w:color w:val="333333"/>
          <w:sz w:val="21"/>
        </w:rPr>
        <w:t xml:space="preserve"> </w:t>
      </w:r>
    </w:p>
    <w:p w14:paraId="051FD385" w14:textId="77777777" w:rsidR="00A71EEF" w:rsidRDefault="0081115D">
      <w:pPr>
        <w:pStyle w:val="a4"/>
        <w:numPr>
          <w:ilvl w:val="3"/>
          <w:numId w:val="746"/>
        </w:numPr>
        <w:tabs>
          <w:tab w:val="left" w:pos="1051"/>
        </w:tabs>
        <w:spacing w:line="446" w:lineRule="auto"/>
        <w:ind w:right="1505" w:firstLine="419"/>
        <w:rPr>
          <w:sz w:val="21"/>
        </w:rPr>
      </w:pPr>
      <w:r>
        <w:rPr>
          <w:color w:val="333333"/>
          <w:spacing w:val="-3"/>
          <w:sz w:val="21"/>
        </w:rPr>
        <w:t>一、二级耐火等级的单、多层造纸生产联合厂房，其每个防火分区的最大允许建筑面积</w:t>
      </w:r>
      <w:r>
        <w:rPr>
          <w:color w:val="333333"/>
          <w:spacing w:val="-7"/>
          <w:sz w:val="21"/>
        </w:rPr>
        <w:t>可按本表的规定增加</w:t>
      </w:r>
      <w:r>
        <w:rPr>
          <w:color w:val="333333"/>
          <w:spacing w:val="-7"/>
          <w:sz w:val="21"/>
        </w:rPr>
        <w:t xml:space="preserve"> </w:t>
      </w:r>
      <w:r>
        <w:rPr>
          <w:color w:val="333333"/>
          <w:sz w:val="21"/>
        </w:rPr>
        <w:t>1.5</w:t>
      </w:r>
      <w:r>
        <w:rPr>
          <w:color w:val="333333"/>
          <w:spacing w:val="-3"/>
          <w:sz w:val="21"/>
        </w:rPr>
        <w:t xml:space="preserve"> </w:t>
      </w:r>
      <w:r>
        <w:rPr>
          <w:color w:val="333333"/>
          <w:spacing w:val="-3"/>
          <w:sz w:val="21"/>
        </w:rPr>
        <w:t>倍。一、二级耐火等级的湿式造纸联合厂房，当纸机烘缸罩内设置自动灭火系统，完成工段设置有效灭火设施保护时，其每个防火分区的最大允许建筑面积可按工艺要求确定。</w:t>
      </w:r>
      <w:r>
        <w:rPr>
          <w:color w:val="333333"/>
          <w:sz w:val="21"/>
        </w:rPr>
        <w:t xml:space="preserve"> </w:t>
      </w:r>
    </w:p>
    <w:p w14:paraId="31023D8E" w14:textId="77777777" w:rsidR="00A71EEF" w:rsidRDefault="0081115D">
      <w:pPr>
        <w:pStyle w:val="a4"/>
        <w:numPr>
          <w:ilvl w:val="3"/>
          <w:numId w:val="746"/>
        </w:numPr>
        <w:tabs>
          <w:tab w:val="left" w:pos="1051"/>
        </w:tabs>
        <w:ind w:left="1050"/>
        <w:rPr>
          <w:sz w:val="21"/>
        </w:rPr>
      </w:pPr>
      <w:r>
        <w:rPr>
          <w:color w:val="333333"/>
          <w:spacing w:val="-5"/>
          <w:sz w:val="21"/>
        </w:rPr>
        <w:t>一、二级耐火等级的谷物筒仓工作塔，当每层工作人数不超过</w:t>
      </w:r>
      <w:r>
        <w:rPr>
          <w:color w:val="333333"/>
          <w:spacing w:val="-5"/>
          <w:sz w:val="21"/>
        </w:rPr>
        <w:t xml:space="preserve"> </w:t>
      </w:r>
      <w:r>
        <w:rPr>
          <w:color w:val="333333"/>
          <w:spacing w:val="-3"/>
          <w:sz w:val="21"/>
        </w:rPr>
        <w:t xml:space="preserve">2 </w:t>
      </w:r>
      <w:r>
        <w:rPr>
          <w:color w:val="333333"/>
          <w:spacing w:val="-3"/>
          <w:sz w:val="21"/>
        </w:rPr>
        <w:t>人时，其层数不限。</w:t>
      </w:r>
      <w:r>
        <w:rPr>
          <w:color w:val="333333"/>
          <w:sz w:val="21"/>
        </w:rPr>
        <w:t xml:space="preserve"> </w:t>
      </w:r>
    </w:p>
    <w:p w14:paraId="3E0038D1" w14:textId="77777777" w:rsidR="00A71EEF" w:rsidRDefault="00A71EEF">
      <w:pPr>
        <w:pStyle w:val="a3"/>
        <w:spacing w:before="10"/>
        <w:rPr>
          <w:sz w:val="17"/>
        </w:rPr>
      </w:pPr>
    </w:p>
    <w:p w14:paraId="299087AA" w14:textId="77777777" w:rsidR="00A71EEF" w:rsidRDefault="0081115D">
      <w:pPr>
        <w:pStyle w:val="a4"/>
        <w:numPr>
          <w:ilvl w:val="3"/>
          <w:numId w:val="746"/>
        </w:numPr>
        <w:tabs>
          <w:tab w:val="left" w:pos="1051"/>
        </w:tabs>
        <w:spacing w:line="446" w:lineRule="auto"/>
        <w:ind w:right="1508" w:firstLine="419"/>
        <w:rPr>
          <w:sz w:val="21"/>
        </w:rPr>
      </w:pPr>
      <w:r>
        <w:rPr>
          <w:color w:val="333333"/>
          <w:spacing w:val="-2"/>
          <w:sz w:val="21"/>
        </w:rPr>
        <w:t>一、二级耐火等级卷烟生产联合厂房内的原料、备料及成组配方、制丝、储丝和卷接</w:t>
      </w:r>
      <w:r>
        <w:rPr>
          <w:color w:val="333333"/>
          <w:spacing w:val="-2"/>
          <w:sz w:val="21"/>
        </w:rPr>
        <w:t xml:space="preserve"> </w:t>
      </w:r>
      <w:r>
        <w:rPr>
          <w:color w:val="333333"/>
          <w:spacing w:val="-2"/>
          <w:sz w:val="21"/>
        </w:rPr>
        <w:t>包</w:t>
      </w:r>
      <w:r>
        <w:rPr>
          <w:color w:val="333333"/>
          <w:spacing w:val="-3"/>
          <w:sz w:val="21"/>
        </w:rPr>
        <w:t>、辅料周转、成品暂存、二氧化碳膨胀烟丝等生产用房应划分独立的防火分隔单元，当工艺条件许可时，应采用防火墙进行分隔。其中制丝、储丝和卷接包车间可划分为一个防火分区，且每个防火分区的最大允许建筑面积可按工艺要求确定，但制丝、储丝及卷接包车间之间应采用</w:t>
      </w:r>
      <w:r>
        <w:rPr>
          <w:color w:val="333333"/>
          <w:spacing w:val="-9"/>
          <w:sz w:val="21"/>
        </w:rPr>
        <w:t>耐火极限不低于</w:t>
      </w:r>
      <w:r>
        <w:rPr>
          <w:color w:val="333333"/>
          <w:spacing w:val="-9"/>
          <w:sz w:val="21"/>
        </w:rPr>
        <w:t xml:space="preserve"> </w:t>
      </w:r>
      <w:r>
        <w:rPr>
          <w:color w:val="333333"/>
          <w:sz w:val="21"/>
        </w:rPr>
        <w:t>2.00h</w:t>
      </w:r>
      <w:r>
        <w:rPr>
          <w:color w:val="333333"/>
          <w:spacing w:val="-7"/>
          <w:sz w:val="21"/>
        </w:rPr>
        <w:t xml:space="preserve"> </w:t>
      </w:r>
      <w:r>
        <w:rPr>
          <w:color w:val="333333"/>
          <w:spacing w:val="-7"/>
          <w:sz w:val="21"/>
        </w:rPr>
        <w:t>的防火隔墙和</w:t>
      </w:r>
      <w:r>
        <w:rPr>
          <w:color w:val="333333"/>
          <w:spacing w:val="-7"/>
          <w:sz w:val="21"/>
        </w:rPr>
        <w:t xml:space="preserve"> </w:t>
      </w:r>
      <w:r>
        <w:rPr>
          <w:color w:val="333333"/>
          <w:sz w:val="21"/>
        </w:rPr>
        <w:t>1.00h</w:t>
      </w:r>
      <w:r>
        <w:rPr>
          <w:color w:val="333333"/>
          <w:spacing w:val="-3"/>
          <w:sz w:val="21"/>
        </w:rPr>
        <w:t xml:space="preserve"> </w:t>
      </w:r>
      <w:r>
        <w:rPr>
          <w:color w:val="333333"/>
          <w:spacing w:val="-3"/>
          <w:sz w:val="21"/>
        </w:rPr>
        <w:t>的楼板进行分隔。厂房内各水平和竖向防火分隔之间的开口应采取防止火灾蔓延的措施。</w:t>
      </w:r>
      <w:r>
        <w:rPr>
          <w:color w:val="333333"/>
          <w:sz w:val="21"/>
        </w:rPr>
        <w:t xml:space="preserve"> </w:t>
      </w:r>
    </w:p>
    <w:p w14:paraId="28B14127" w14:textId="77777777" w:rsidR="00A71EEF" w:rsidRDefault="0081115D">
      <w:pPr>
        <w:pStyle w:val="a4"/>
        <w:numPr>
          <w:ilvl w:val="3"/>
          <w:numId w:val="746"/>
        </w:numPr>
        <w:tabs>
          <w:tab w:val="left" w:pos="1051"/>
        </w:tabs>
        <w:spacing w:line="446" w:lineRule="auto"/>
        <w:ind w:right="1561" w:firstLine="419"/>
        <w:rPr>
          <w:sz w:val="21"/>
        </w:rPr>
      </w:pPr>
      <w:r>
        <w:rPr>
          <w:color w:val="333333"/>
          <w:spacing w:val="-6"/>
          <w:sz w:val="21"/>
        </w:rPr>
        <w:t>厂房内的操作平台、检修平台，当使用人数少于</w:t>
      </w:r>
      <w:r>
        <w:rPr>
          <w:color w:val="333333"/>
          <w:spacing w:val="-6"/>
          <w:sz w:val="21"/>
        </w:rPr>
        <w:t xml:space="preserve"> </w:t>
      </w:r>
      <w:r>
        <w:rPr>
          <w:color w:val="333333"/>
          <w:sz w:val="21"/>
        </w:rPr>
        <w:t>10</w:t>
      </w:r>
      <w:r>
        <w:rPr>
          <w:color w:val="333333"/>
          <w:spacing w:val="-3"/>
          <w:sz w:val="21"/>
        </w:rPr>
        <w:t xml:space="preserve"> </w:t>
      </w:r>
      <w:r>
        <w:rPr>
          <w:color w:val="333333"/>
          <w:spacing w:val="-3"/>
          <w:sz w:val="21"/>
        </w:rPr>
        <w:t>人时，平台的面积可不计入所在防火分区的建筑面积内。</w:t>
      </w:r>
      <w:r>
        <w:rPr>
          <w:color w:val="333333"/>
          <w:sz w:val="21"/>
        </w:rPr>
        <w:t xml:space="preserve"> </w:t>
      </w:r>
    </w:p>
    <w:p w14:paraId="331D3814" w14:textId="77777777" w:rsidR="00A71EEF" w:rsidRDefault="0081115D">
      <w:pPr>
        <w:pStyle w:val="a4"/>
        <w:numPr>
          <w:ilvl w:val="3"/>
          <w:numId w:val="746"/>
        </w:numPr>
        <w:tabs>
          <w:tab w:val="left" w:pos="1051"/>
        </w:tabs>
        <w:ind w:left="1050"/>
        <w:rPr>
          <w:sz w:val="21"/>
        </w:rPr>
      </w:pPr>
      <w:r>
        <w:rPr>
          <w:color w:val="333333"/>
          <w:spacing w:val="-3"/>
          <w:sz w:val="21"/>
        </w:rPr>
        <w:t>“—”</w:t>
      </w:r>
      <w:r>
        <w:rPr>
          <w:color w:val="333333"/>
          <w:spacing w:val="-3"/>
          <w:sz w:val="21"/>
        </w:rPr>
        <w:t>表示不允许。</w:t>
      </w:r>
      <w:r>
        <w:rPr>
          <w:color w:val="333333"/>
          <w:sz w:val="21"/>
        </w:rPr>
        <w:t xml:space="preserve"> </w:t>
      </w:r>
    </w:p>
    <w:p w14:paraId="02FD38FA" w14:textId="77777777" w:rsidR="00A71EEF" w:rsidRDefault="00A71EEF">
      <w:pPr>
        <w:pStyle w:val="a3"/>
        <w:spacing w:before="11"/>
        <w:rPr>
          <w:sz w:val="17"/>
        </w:rPr>
      </w:pPr>
    </w:p>
    <w:p w14:paraId="477F7CE7" w14:textId="77777777" w:rsidR="00A71EEF" w:rsidRDefault="0081115D">
      <w:pPr>
        <w:pStyle w:val="a4"/>
        <w:numPr>
          <w:ilvl w:val="2"/>
          <w:numId w:val="746"/>
        </w:numPr>
        <w:tabs>
          <w:tab w:val="left" w:pos="1371"/>
        </w:tabs>
        <w:ind w:left="1370" w:hanging="531"/>
        <w:jc w:val="left"/>
        <w:rPr>
          <w:color w:val="333333"/>
          <w:sz w:val="19"/>
        </w:rPr>
      </w:pPr>
      <w:r>
        <w:rPr>
          <w:color w:val="333333"/>
          <w:spacing w:val="-6"/>
          <w:sz w:val="21"/>
        </w:rPr>
        <w:t>除</w:t>
      </w:r>
      <w:r>
        <w:rPr>
          <w:color w:val="333333"/>
          <w:spacing w:val="-6"/>
          <w:sz w:val="21"/>
        </w:rPr>
        <w:t>本规范另有规定外，仓库的层数和面积应符合表</w:t>
      </w:r>
      <w:r>
        <w:rPr>
          <w:color w:val="333333"/>
          <w:spacing w:val="-6"/>
          <w:sz w:val="21"/>
        </w:rPr>
        <w:t xml:space="preserve"> </w:t>
      </w:r>
      <w:r>
        <w:rPr>
          <w:color w:val="333333"/>
          <w:sz w:val="21"/>
        </w:rPr>
        <w:t>3.3.2</w:t>
      </w:r>
      <w:r>
        <w:rPr>
          <w:color w:val="333333"/>
          <w:spacing w:val="-2"/>
          <w:sz w:val="21"/>
        </w:rPr>
        <w:t xml:space="preserve"> </w:t>
      </w:r>
      <w:r>
        <w:rPr>
          <w:color w:val="333333"/>
          <w:spacing w:val="-2"/>
          <w:sz w:val="21"/>
        </w:rPr>
        <w:t>的规定。</w:t>
      </w:r>
      <w:r>
        <w:rPr>
          <w:color w:val="333333"/>
          <w:spacing w:val="-2"/>
          <w:sz w:val="21"/>
        </w:rPr>
        <w:t xml:space="preserve"> </w:t>
      </w:r>
    </w:p>
    <w:p w14:paraId="00E77899" w14:textId="77777777" w:rsidR="00A71EEF" w:rsidRDefault="00A71EEF">
      <w:pPr>
        <w:pStyle w:val="a3"/>
        <w:rPr>
          <w:sz w:val="20"/>
        </w:rPr>
      </w:pPr>
    </w:p>
    <w:p w14:paraId="4B0A456C" w14:textId="77777777" w:rsidR="00A71EEF" w:rsidRDefault="00A71EEF">
      <w:pPr>
        <w:pStyle w:val="a3"/>
        <w:rPr>
          <w:sz w:val="20"/>
        </w:rPr>
      </w:pPr>
    </w:p>
    <w:p w14:paraId="641610C8" w14:textId="77777777" w:rsidR="00A71EEF" w:rsidRDefault="00A71EEF">
      <w:pPr>
        <w:pStyle w:val="a3"/>
        <w:rPr>
          <w:sz w:val="20"/>
        </w:rPr>
      </w:pPr>
    </w:p>
    <w:p w14:paraId="3D8EB813" w14:textId="77777777" w:rsidR="00A71EEF" w:rsidRDefault="00A71EEF">
      <w:pPr>
        <w:pStyle w:val="a3"/>
        <w:rPr>
          <w:sz w:val="20"/>
        </w:rPr>
      </w:pPr>
    </w:p>
    <w:p w14:paraId="27388E91" w14:textId="77777777" w:rsidR="00A71EEF" w:rsidRDefault="00A71EEF">
      <w:pPr>
        <w:pStyle w:val="a3"/>
        <w:rPr>
          <w:sz w:val="20"/>
        </w:rPr>
      </w:pPr>
    </w:p>
    <w:p w14:paraId="3FC2061A" w14:textId="77777777" w:rsidR="00A71EEF" w:rsidRDefault="00A71EEF">
      <w:pPr>
        <w:pStyle w:val="a3"/>
        <w:rPr>
          <w:sz w:val="20"/>
        </w:rPr>
      </w:pPr>
    </w:p>
    <w:p w14:paraId="1170DA7B" w14:textId="77777777" w:rsidR="00A71EEF" w:rsidRDefault="00A71EEF">
      <w:pPr>
        <w:pStyle w:val="a3"/>
        <w:rPr>
          <w:sz w:val="20"/>
        </w:rPr>
      </w:pPr>
    </w:p>
    <w:p w14:paraId="317A5BA7" w14:textId="77777777" w:rsidR="00A71EEF" w:rsidRDefault="00A71EEF">
      <w:pPr>
        <w:pStyle w:val="a3"/>
        <w:rPr>
          <w:sz w:val="20"/>
        </w:rPr>
      </w:pPr>
    </w:p>
    <w:p w14:paraId="3E1AEDA2" w14:textId="77777777" w:rsidR="00A71EEF" w:rsidRDefault="00A71EEF">
      <w:pPr>
        <w:pStyle w:val="a3"/>
        <w:rPr>
          <w:sz w:val="20"/>
        </w:rPr>
      </w:pPr>
    </w:p>
    <w:p w14:paraId="2A1B4322" w14:textId="77777777" w:rsidR="00A71EEF" w:rsidRDefault="00A71EEF">
      <w:pPr>
        <w:pStyle w:val="a3"/>
        <w:rPr>
          <w:sz w:val="20"/>
        </w:rPr>
      </w:pPr>
    </w:p>
    <w:p w14:paraId="72EB3CAD" w14:textId="77777777" w:rsidR="00A71EEF" w:rsidRDefault="00A71EEF">
      <w:pPr>
        <w:pStyle w:val="a3"/>
        <w:rPr>
          <w:sz w:val="20"/>
        </w:rPr>
      </w:pPr>
    </w:p>
    <w:p w14:paraId="4583A412" w14:textId="77777777" w:rsidR="00A71EEF" w:rsidRDefault="00A71EEF">
      <w:pPr>
        <w:pStyle w:val="a3"/>
        <w:rPr>
          <w:sz w:val="20"/>
        </w:rPr>
      </w:pPr>
    </w:p>
    <w:p w14:paraId="663A1DAE" w14:textId="77777777" w:rsidR="00A71EEF" w:rsidRDefault="00A71EEF">
      <w:pPr>
        <w:pStyle w:val="a3"/>
        <w:rPr>
          <w:sz w:val="20"/>
        </w:rPr>
      </w:pPr>
    </w:p>
    <w:p w14:paraId="5E917F90" w14:textId="77777777" w:rsidR="00A71EEF" w:rsidRDefault="00A71EEF">
      <w:pPr>
        <w:pStyle w:val="a3"/>
        <w:spacing w:before="9"/>
        <w:rPr>
          <w:sz w:val="25"/>
        </w:rPr>
      </w:pPr>
    </w:p>
    <w:p w14:paraId="0ED7B1F9" w14:textId="77777777" w:rsidR="00A71EEF" w:rsidRDefault="0081115D">
      <w:pPr>
        <w:spacing w:before="71"/>
        <w:ind w:left="840"/>
        <w:rPr>
          <w:b/>
          <w:sz w:val="21"/>
        </w:rPr>
      </w:pPr>
      <w:r>
        <w:rPr>
          <w:b/>
          <w:color w:val="333333"/>
          <w:w w:val="99"/>
          <w:sz w:val="21"/>
        </w:rPr>
        <w:t xml:space="preserve"> </w:t>
      </w:r>
    </w:p>
    <w:p w14:paraId="03D35E33" w14:textId="77777777" w:rsidR="00A71EEF" w:rsidRDefault="00A71EEF">
      <w:pPr>
        <w:rPr>
          <w:sz w:val="21"/>
        </w:rPr>
        <w:sectPr w:rsidR="00A71EEF">
          <w:pgSz w:w="11910" w:h="16850"/>
          <w:pgMar w:top="1220" w:right="0" w:bottom="1420" w:left="1260" w:header="0" w:footer="1239" w:gutter="0"/>
          <w:cols w:space="720"/>
        </w:sectPr>
      </w:pPr>
    </w:p>
    <w:p w14:paraId="5ED17B9B" w14:textId="77777777" w:rsidR="00A71EEF" w:rsidRDefault="0081115D">
      <w:pPr>
        <w:spacing w:before="47"/>
        <w:ind w:right="492"/>
        <w:jc w:val="center"/>
        <w:rPr>
          <w:b/>
          <w:sz w:val="21"/>
        </w:rPr>
      </w:pPr>
      <w:r>
        <w:rPr>
          <w:b/>
          <w:sz w:val="21"/>
        </w:rPr>
        <w:lastRenderedPageBreak/>
        <w:t>表</w:t>
      </w:r>
      <w:r>
        <w:rPr>
          <w:b/>
          <w:sz w:val="21"/>
        </w:rPr>
        <w:t xml:space="preserve"> 3.3.2 </w:t>
      </w:r>
      <w:r>
        <w:rPr>
          <w:b/>
          <w:sz w:val="21"/>
        </w:rPr>
        <w:t>仓库的层数和面积</w:t>
      </w:r>
      <w:r>
        <w:rPr>
          <w:b/>
          <w:w w:val="99"/>
          <w:sz w:val="21"/>
        </w:rPr>
        <w:t xml:space="preserve"> </w:t>
      </w:r>
    </w:p>
    <w:p w14:paraId="257FC22D" w14:textId="77777777" w:rsidR="00A71EEF" w:rsidRDefault="0081115D">
      <w:pPr>
        <w:pStyle w:val="a3"/>
        <w:spacing w:before="5"/>
        <w:rPr>
          <w:b/>
          <w:sz w:val="11"/>
        </w:rPr>
      </w:pPr>
      <w:r>
        <w:rPr>
          <w:noProof/>
        </w:rPr>
        <w:drawing>
          <wp:anchor distT="0" distB="0" distL="0" distR="0" simplePos="0" relativeHeight="251514368" behindDoc="0" locked="0" layoutInCell="1" allowOverlap="1" wp14:anchorId="07190996" wp14:editId="66916E05">
            <wp:simplePos x="0" y="0"/>
            <wp:positionH relativeFrom="page">
              <wp:posOffset>1208405</wp:posOffset>
            </wp:positionH>
            <wp:positionV relativeFrom="paragraph">
              <wp:posOffset>117562</wp:posOffset>
            </wp:positionV>
            <wp:extent cx="5038724" cy="4295775"/>
            <wp:effectExtent l="0" t="0" r="0" b="0"/>
            <wp:wrapTopAndBottom/>
            <wp:docPr id="157" name="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106.jpeg"/>
                    <pic:cNvPicPr/>
                  </pic:nvPicPr>
                  <pic:blipFill>
                    <a:blip r:embed="rId104" cstate="print"/>
                    <a:stretch>
                      <a:fillRect/>
                    </a:stretch>
                  </pic:blipFill>
                  <pic:spPr>
                    <a:xfrm>
                      <a:off x="0" y="0"/>
                      <a:ext cx="5038724" cy="4295775"/>
                    </a:xfrm>
                    <a:prstGeom prst="rect">
                      <a:avLst/>
                    </a:prstGeom>
                  </pic:spPr>
                </pic:pic>
              </a:graphicData>
            </a:graphic>
          </wp:anchor>
        </w:drawing>
      </w:r>
    </w:p>
    <w:p w14:paraId="3148FC29" w14:textId="77777777" w:rsidR="00A71EEF" w:rsidRDefault="0081115D">
      <w:pPr>
        <w:pStyle w:val="a3"/>
        <w:spacing w:before="179" w:line="446" w:lineRule="auto"/>
        <w:ind w:left="418" w:right="1608" w:firstLine="419"/>
        <w:jc w:val="both"/>
      </w:pPr>
      <w:r>
        <w:rPr>
          <w:color w:val="333333"/>
        </w:rPr>
        <w:t>注：</w:t>
      </w:r>
      <w:r>
        <w:rPr>
          <w:color w:val="333333"/>
        </w:rPr>
        <w:t>1.</w:t>
      </w:r>
      <w:r>
        <w:rPr>
          <w:color w:val="333333"/>
        </w:rPr>
        <w:t>仓库内的防火分区之间必须采用防火墙分隔，甲、乙类仓库内防火分区之间的防火墙不应开设门、窗、洞口；地下或半地下仓库（包括地下或半地下室）的最大允许占地面积，</w:t>
      </w:r>
      <w:r>
        <w:rPr>
          <w:color w:val="333333"/>
        </w:rPr>
        <w:t xml:space="preserve"> </w:t>
      </w:r>
      <w:r>
        <w:rPr>
          <w:color w:val="333333"/>
        </w:rPr>
        <w:t>不应大于相应类别地上仓库的最大允许占地面积。</w:t>
      </w:r>
      <w:r>
        <w:rPr>
          <w:color w:val="333333"/>
        </w:rPr>
        <w:t xml:space="preserve"> </w:t>
      </w:r>
    </w:p>
    <w:p w14:paraId="57FE7321" w14:textId="77777777" w:rsidR="00A71EEF" w:rsidRDefault="0081115D">
      <w:pPr>
        <w:pStyle w:val="a4"/>
        <w:numPr>
          <w:ilvl w:val="0"/>
          <w:numId w:val="745"/>
        </w:numPr>
        <w:tabs>
          <w:tab w:val="left" w:pos="1051"/>
        </w:tabs>
        <w:spacing w:line="268" w:lineRule="exact"/>
        <w:ind w:right="564" w:hanging="1051"/>
        <w:rPr>
          <w:sz w:val="21"/>
        </w:rPr>
      </w:pPr>
      <w:r>
        <w:rPr>
          <w:color w:val="333333"/>
          <w:spacing w:val="-3"/>
          <w:sz w:val="21"/>
        </w:rPr>
        <w:t>石油库区内的桶装油品仓库应符合现行国家标准《石油库设计规范》</w:t>
      </w:r>
      <w:r>
        <w:rPr>
          <w:color w:val="333333"/>
          <w:sz w:val="21"/>
        </w:rPr>
        <w:t>GB</w:t>
      </w:r>
      <w:r>
        <w:rPr>
          <w:color w:val="333333"/>
          <w:spacing w:val="4"/>
          <w:sz w:val="21"/>
        </w:rPr>
        <w:t xml:space="preserve"> </w:t>
      </w:r>
      <w:r>
        <w:rPr>
          <w:color w:val="333333"/>
          <w:sz w:val="21"/>
        </w:rPr>
        <w:t>50074</w:t>
      </w:r>
      <w:r>
        <w:rPr>
          <w:color w:val="333333"/>
          <w:spacing w:val="-2"/>
          <w:sz w:val="21"/>
        </w:rPr>
        <w:t xml:space="preserve"> </w:t>
      </w:r>
      <w:r>
        <w:rPr>
          <w:color w:val="333333"/>
          <w:spacing w:val="-2"/>
          <w:sz w:val="21"/>
        </w:rPr>
        <w:t>的规定。</w:t>
      </w:r>
      <w:r>
        <w:rPr>
          <w:color w:val="333333"/>
          <w:sz w:val="21"/>
        </w:rPr>
        <w:t xml:space="preserve"> </w:t>
      </w:r>
    </w:p>
    <w:p w14:paraId="5793A8B5" w14:textId="77777777" w:rsidR="00A71EEF" w:rsidRDefault="00A71EEF">
      <w:pPr>
        <w:pStyle w:val="a3"/>
        <w:spacing w:before="3"/>
        <w:rPr>
          <w:sz w:val="17"/>
        </w:rPr>
      </w:pPr>
    </w:p>
    <w:p w14:paraId="56BBFAEC" w14:textId="77777777" w:rsidR="00A71EEF" w:rsidRDefault="0081115D">
      <w:pPr>
        <w:pStyle w:val="a4"/>
        <w:numPr>
          <w:ilvl w:val="0"/>
          <w:numId w:val="745"/>
        </w:numPr>
        <w:tabs>
          <w:tab w:val="left" w:pos="1051"/>
        </w:tabs>
        <w:rPr>
          <w:sz w:val="21"/>
        </w:rPr>
      </w:pPr>
      <w:r>
        <w:rPr>
          <w:color w:val="333333"/>
          <w:spacing w:val="-5"/>
          <w:sz w:val="21"/>
        </w:rPr>
        <w:t>一、二级耐火等级的煤均化库，每个防火分区的最大允许建筑面积不应大于</w:t>
      </w:r>
      <w:r>
        <w:rPr>
          <w:color w:val="333333"/>
          <w:spacing w:val="-5"/>
          <w:sz w:val="21"/>
        </w:rPr>
        <w:t xml:space="preserve"> </w:t>
      </w:r>
      <w:r>
        <w:rPr>
          <w:color w:val="333333"/>
          <w:sz w:val="21"/>
        </w:rPr>
        <w:t>12000m</w:t>
      </w:r>
      <w:r>
        <w:rPr>
          <w:color w:val="333333"/>
          <w:position w:val="11"/>
          <w:sz w:val="11"/>
        </w:rPr>
        <w:t>2</w:t>
      </w:r>
      <w:r>
        <w:rPr>
          <w:color w:val="333333"/>
          <w:spacing w:val="-3"/>
          <w:sz w:val="21"/>
        </w:rPr>
        <w:t>。</w:t>
      </w:r>
      <w:r>
        <w:rPr>
          <w:color w:val="333333"/>
          <w:sz w:val="21"/>
        </w:rPr>
        <w:t xml:space="preserve"> </w:t>
      </w:r>
    </w:p>
    <w:p w14:paraId="04962168" w14:textId="77777777" w:rsidR="00A71EEF" w:rsidRDefault="00A71EEF">
      <w:pPr>
        <w:pStyle w:val="a3"/>
        <w:spacing w:before="12"/>
        <w:rPr>
          <w:sz w:val="17"/>
        </w:rPr>
      </w:pPr>
    </w:p>
    <w:p w14:paraId="0E8C34F4" w14:textId="77777777" w:rsidR="00A71EEF" w:rsidRDefault="0081115D">
      <w:pPr>
        <w:pStyle w:val="a4"/>
        <w:numPr>
          <w:ilvl w:val="0"/>
          <w:numId w:val="745"/>
        </w:numPr>
        <w:tabs>
          <w:tab w:val="left" w:pos="1051"/>
        </w:tabs>
        <w:spacing w:line="446" w:lineRule="auto"/>
        <w:ind w:left="418" w:right="1505" w:firstLine="419"/>
        <w:rPr>
          <w:sz w:val="21"/>
        </w:rPr>
      </w:pPr>
      <w:r>
        <w:rPr>
          <w:color w:val="333333"/>
          <w:spacing w:val="-3"/>
          <w:sz w:val="21"/>
        </w:rPr>
        <w:t>独立建造的硝酸铵仓库、电石仓库、聚乙烯等高分子制品仓库、尿素仓库、配煤仓库、造纸厂的独立成品仓库，当建筑的耐火等级不低于二级时，每座仓库的最大允许占地面积和每</w:t>
      </w:r>
      <w:r>
        <w:rPr>
          <w:color w:val="333333"/>
          <w:spacing w:val="-6"/>
          <w:sz w:val="21"/>
        </w:rPr>
        <w:t>个防火分区的最大允许建筑面积可按本表的规定增加</w:t>
      </w:r>
      <w:r>
        <w:rPr>
          <w:color w:val="333333"/>
          <w:spacing w:val="-6"/>
          <w:sz w:val="21"/>
        </w:rPr>
        <w:t xml:space="preserve"> </w:t>
      </w:r>
      <w:r>
        <w:rPr>
          <w:color w:val="333333"/>
          <w:sz w:val="21"/>
        </w:rPr>
        <w:t>1.0</w:t>
      </w:r>
      <w:r>
        <w:rPr>
          <w:color w:val="333333"/>
          <w:spacing w:val="-2"/>
          <w:sz w:val="21"/>
        </w:rPr>
        <w:t xml:space="preserve"> </w:t>
      </w:r>
      <w:r>
        <w:rPr>
          <w:color w:val="333333"/>
          <w:spacing w:val="-2"/>
          <w:sz w:val="21"/>
        </w:rPr>
        <w:t>倍。</w:t>
      </w:r>
      <w:r>
        <w:rPr>
          <w:color w:val="333333"/>
          <w:sz w:val="21"/>
        </w:rPr>
        <w:t xml:space="preserve"> </w:t>
      </w:r>
    </w:p>
    <w:p w14:paraId="33D82186" w14:textId="77777777" w:rsidR="00A71EEF" w:rsidRDefault="0081115D">
      <w:pPr>
        <w:pStyle w:val="a4"/>
        <w:numPr>
          <w:ilvl w:val="0"/>
          <w:numId w:val="745"/>
        </w:numPr>
        <w:tabs>
          <w:tab w:val="left" w:pos="1051"/>
        </w:tabs>
        <w:spacing w:line="436" w:lineRule="auto"/>
        <w:ind w:left="418" w:right="1503" w:firstLine="419"/>
        <w:rPr>
          <w:sz w:val="21"/>
        </w:rPr>
      </w:pPr>
      <w:r>
        <w:rPr>
          <w:color w:val="333333"/>
          <w:spacing w:val="-4"/>
          <w:sz w:val="21"/>
        </w:rPr>
        <w:t>一、二级耐火等级粮食平房仓的最大允许占地面积不应大于</w:t>
      </w:r>
      <w:r>
        <w:rPr>
          <w:color w:val="333333"/>
          <w:spacing w:val="-4"/>
          <w:sz w:val="21"/>
        </w:rPr>
        <w:t xml:space="preserve"> </w:t>
      </w:r>
      <w:r>
        <w:rPr>
          <w:color w:val="333333"/>
          <w:sz w:val="21"/>
        </w:rPr>
        <w:t>12000m</w:t>
      </w:r>
      <w:r>
        <w:rPr>
          <w:color w:val="333333"/>
          <w:position w:val="11"/>
          <w:sz w:val="11"/>
        </w:rPr>
        <w:t>2</w:t>
      </w:r>
      <w:r>
        <w:rPr>
          <w:color w:val="333333"/>
          <w:spacing w:val="-3"/>
          <w:sz w:val="21"/>
        </w:rPr>
        <w:t>，每个防火分区的最</w:t>
      </w:r>
      <w:r>
        <w:rPr>
          <w:color w:val="333333"/>
          <w:spacing w:val="-8"/>
          <w:sz w:val="21"/>
        </w:rPr>
        <w:t>大允许建筑面积不应大于</w:t>
      </w:r>
      <w:r>
        <w:rPr>
          <w:color w:val="333333"/>
          <w:spacing w:val="-8"/>
          <w:sz w:val="21"/>
        </w:rPr>
        <w:t xml:space="preserve"> </w:t>
      </w:r>
      <w:r>
        <w:rPr>
          <w:color w:val="333333"/>
          <w:sz w:val="21"/>
        </w:rPr>
        <w:t>3000m</w:t>
      </w:r>
      <w:r>
        <w:rPr>
          <w:color w:val="333333"/>
          <w:position w:val="11"/>
          <w:sz w:val="11"/>
        </w:rPr>
        <w:t>2</w:t>
      </w:r>
      <w:r>
        <w:rPr>
          <w:color w:val="333333"/>
          <w:spacing w:val="-3"/>
          <w:sz w:val="21"/>
        </w:rPr>
        <w:t>；三级耐火等级粮食平房仓的最大允许占地面积不应大于</w:t>
      </w:r>
      <w:r>
        <w:rPr>
          <w:color w:val="333333"/>
          <w:spacing w:val="-3"/>
          <w:sz w:val="21"/>
        </w:rPr>
        <w:t>3000m</w:t>
      </w:r>
      <w:r>
        <w:rPr>
          <w:color w:val="333333"/>
          <w:spacing w:val="-3"/>
          <w:position w:val="11"/>
          <w:sz w:val="11"/>
        </w:rPr>
        <w:t>2</w:t>
      </w:r>
      <w:r>
        <w:rPr>
          <w:color w:val="333333"/>
          <w:spacing w:val="-6"/>
          <w:sz w:val="21"/>
        </w:rPr>
        <w:t>，每个防火分区的最大允许建筑面积不应大于</w:t>
      </w:r>
      <w:r>
        <w:rPr>
          <w:color w:val="333333"/>
          <w:spacing w:val="-6"/>
          <w:sz w:val="21"/>
        </w:rPr>
        <w:t xml:space="preserve"> </w:t>
      </w:r>
      <w:r>
        <w:rPr>
          <w:color w:val="333333"/>
          <w:sz w:val="21"/>
        </w:rPr>
        <w:t>1000m</w:t>
      </w:r>
      <w:r>
        <w:rPr>
          <w:color w:val="333333"/>
          <w:position w:val="11"/>
          <w:sz w:val="11"/>
        </w:rPr>
        <w:t>2</w:t>
      </w:r>
      <w:r>
        <w:rPr>
          <w:color w:val="333333"/>
          <w:spacing w:val="-3"/>
          <w:sz w:val="21"/>
        </w:rPr>
        <w:t>。</w:t>
      </w:r>
      <w:r>
        <w:rPr>
          <w:color w:val="333333"/>
          <w:sz w:val="21"/>
        </w:rPr>
        <w:t xml:space="preserve"> </w:t>
      </w:r>
    </w:p>
    <w:p w14:paraId="058AE3F4" w14:textId="77777777" w:rsidR="00A71EEF" w:rsidRDefault="0081115D">
      <w:pPr>
        <w:pStyle w:val="a4"/>
        <w:numPr>
          <w:ilvl w:val="0"/>
          <w:numId w:val="745"/>
        </w:numPr>
        <w:tabs>
          <w:tab w:val="left" w:pos="1051"/>
        </w:tabs>
        <w:spacing w:line="439" w:lineRule="auto"/>
        <w:ind w:left="418" w:right="1606" w:firstLine="419"/>
        <w:rPr>
          <w:sz w:val="21"/>
        </w:rPr>
      </w:pPr>
      <w:r>
        <w:rPr>
          <w:color w:val="333333"/>
          <w:spacing w:val="-6"/>
          <w:sz w:val="21"/>
        </w:rPr>
        <w:t>一、二级耐火等级且占地面积不大于</w:t>
      </w:r>
      <w:r>
        <w:rPr>
          <w:color w:val="333333"/>
          <w:spacing w:val="-6"/>
          <w:sz w:val="21"/>
        </w:rPr>
        <w:t xml:space="preserve"> </w:t>
      </w:r>
      <w:r>
        <w:rPr>
          <w:color w:val="333333"/>
          <w:sz w:val="21"/>
        </w:rPr>
        <w:t>2000m</w:t>
      </w:r>
      <w:r>
        <w:rPr>
          <w:color w:val="333333"/>
          <w:position w:val="11"/>
          <w:sz w:val="11"/>
        </w:rPr>
        <w:t>2</w:t>
      </w:r>
      <w:r>
        <w:rPr>
          <w:color w:val="333333"/>
          <w:spacing w:val="20"/>
          <w:sz w:val="11"/>
        </w:rPr>
        <w:t xml:space="preserve"> </w:t>
      </w:r>
      <w:r>
        <w:rPr>
          <w:color w:val="333333"/>
          <w:spacing w:val="-3"/>
          <w:sz w:val="21"/>
        </w:rPr>
        <w:t>的单层棉花库房，其防火分区的最大允许</w:t>
      </w:r>
      <w:r>
        <w:rPr>
          <w:color w:val="333333"/>
          <w:spacing w:val="-9"/>
          <w:sz w:val="21"/>
        </w:rPr>
        <w:t>建筑面积不应大于</w:t>
      </w:r>
      <w:r>
        <w:rPr>
          <w:color w:val="333333"/>
          <w:spacing w:val="-9"/>
          <w:sz w:val="21"/>
        </w:rPr>
        <w:t xml:space="preserve"> </w:t>
      </w:r>
      <w:r>
        <w:rPr>
          <w:color w:val="333333"/>
          <w:sz w:val="21"/>
        </w:rPr>
        <w:t>2000m</w:t>
      </w:r>
      <w:r>
        <w:rPr>
          <w:color w:val="333333"/>
          <w:position w:val="11"/>
          <w:sz w:val="11"/>
        </w:rPr>
        <w:t>2</w:t>
      </w:r>
      <w:r>
        <w:rPr>
          <w:color w:val="333333"/>
          <w:sz w:val="21"/>
        </w:rPr>
        <w:t>。</w:t>
      </w:r>
      <w:r>
        <w:rPr>
          <w:color w:val="333333"/>
          <w:sz w:val="21"/>
        </w:rPr>
        <w:t xml:space="preserve"> </w:t>
      </w:r>
    </w:p>
    <w:p w14:paraId="3C57CC0D" w14:textId="77777777" w:rsidR="00A71EEF" w:rsidRDefault="00A71EEF">
      <w:pPr>
        <w:spacing w:line="439" w:lineRule="auto"/>
        <w:rPr>
          <w:sz w:val="21"/>
        </w:rPr>
        <w:sectPr w:rsidR="00A71EEF">
          <w:pgSz w:w="11910" w:h="16850"/>
          <w:pgMar w:top="1220" w:right="0" w:bottom="1420" w:left="1260" w:header="0" w:footer="1239" w:gutter="0"/>
          <w:cols w:space="720"/>
        </w:sectPr>
      </w:pPr>
    </w:p>
    <w:p w14:paraId="0F3BE259" w14:textId="77777777" w:rsidR="00A71EEF" w:rsidRDefault="0081115D">
      <w:pPr>
        <w:pStyle w:val="a4"/>
        <w:numPr>
          <w:ilvl w:val="0"/>
          <w:numId w:val="745"/>
        </w:numPr>
        <w:tabs>
          <w:tab w:val="left" w:pos="1051"/>
        </w:tabs>
        <w:spacing w:before="47" w:line="446" w:lineRule="auto"/>
        <w:ind w:left="418" w:right="1609" w:firstLine="419"/>
        <w:rPr>
          <w:sz w:val="21"/>
        </w:rPr>
      </w:pPr>
      <w:r>
        <w:rPr>
          <w:color w:val="333333"/>
          <w:spacing w:val="-3"/>
          <w:sz w:val="21"/>
        </w:rPr>
        <w:lastRenderedPageBreak/>
        <w:t>一、二级耐火等级冷库的最大允许占地面积和防火分区的最大允许建筑面积，应符合现行国家标准《冷库设计规范》</w:t>
      </w:r>
      <w:r>
        <w:rPr>
          <w:color w:val="333333"/>
          <w:sz w:val="21"/>
        </w:rPr>
        <w:t>GB</w:t>
      </w:r>
      <w:r>
        <w:rPr>
          <w:color w:val="333333"/>
          <w:spacing w:val="1"/>
          <w:sz w:val="21"/>
        </w:rPr>
        <w:t xml:space="preserve"> </w:t>
      </w:r>
      <w:r>
        <w:rPr>
          <w:color w:val="333333"/>
          <w:sz w:val="21"/>
        </w:rPr>
        <w:t>50072</w:t>
      </w:r>
      <w:r>
        <w:rPr>
          <w:color w:val="333333"/>
          <w:spacing w:val="-3"/>
          <w:sz w:val="21"/>
        </w:rPr>
        <w:t xml:space="preserve"> </w:t>
      </w:r>
      <w:r>
        <w:rPr>
          <w:color w:val="333333"/>
          <w:spacing w:val="-3"/>
          <w:sz w:val="21"/>
        </w:rPr>
        <w:t>的规定。</w:t>
      </w:r>
      <w:r>
        <w:rPr>
          <w:color w:val="333333"/>
          <w:sz w:val="21"/>
        </w:rPr>
        <w:t xml:space="preserve"> </w:t>
      </w:r>
    </w:p>
    <w:p w14:paraId="076718B9" w14:textId="77777777" w:rsidR="00A71EEF" w:rsidRDefault="0081115D">
      <w:pPr>
        <w:pStyle w:val="a4"/>
        <w:numPr>
          <w:ilvl w:val="0"/>
          <w:numId w:val="745"/>
        </w:numPr>
        <w:tabs>
          <w:tab w:val="left" w:pos="1051"/>
        </w:tabs>
        <w:spacing w:line="267" w:lineRule="exact"/>
        <w:rPr>
          <w:sz w:val="21"/>
        </w:rPr>
      </w:pPr>
      <w:r>
        <w:rPr>
          <w:color w:val="333333"/>
          <w:spacing w:val="-3"/>
          <w:sz w:val="21"/>
        </w:rPr>
        <w:t>“—”</w:t>
      </w:r>
      <w:r>
        <w:rPr>
          <w:color w:val="333333"/>
          <w:spacing w:val="-3"/>
          <w:sz w:val="21"/>
        </w:rPr>
        <w:t>表示不允许。</w:t>
      </w:r>
      <w:r>
        <w:rPr>
          <w:color w:val="333333"/>
          <w:sz w:val="21"/>
        </w:rPr>
        <w:t xml:space="preserve"> </w:t>
      </w:r>
    </w:p>
    <w:p w14:paraId="192C2104" w14:textId="77777777" w:rsidR="00A71EEF" w:rsidRDefault="00A71EEF">
      <w:pPr>
        <w:pStyle w:val="a3"/>
        <w:spacing w:before="2"/>
        <w:rPr>
          <w:sz w:val="18"/>
        </w:rPr>
      </w:pPr>
    </w:p>
    <w:p w14:paraId="4CFB4595" w14:textId="77777777" w:rsidR="00A71EEF" w:rsidRDefault="0081115D">
      <w:pPr>
        <w:pStyle w:val="a4"/>
        <w:numPr>
          <w:ilvl w:val="2"/>
          <w:numId w:val="746"/>
        </w:numPr>
        <w:tabs>
          <w:tab w:val="left" w:pos="1370"/>
        </w:tabs>
        <w:spacing w:line="446" w:lineRule="auto"/>
        <w:ind w:left="418" w:right="1342" w:firstLine="422"/>
        <w:jc w:val="left"/>
        <w:rPr>
          <w:color w:val="333333"/>
          <w:sz w:val="19"/>
        </w:rPr>
      </w:pPr>
      <w:r>
        <w:rPr>
          <w:color w:val="333333"/>
          <w:spacing w:val="-3"/>
          <w:sz w:val="21"/>
        </w:rPr>
        <w:t>厂房内设置自动灭火系统时，每个防火分区的最大允许建筑面积可按本规范第</w:t>
      </w:r>
      <w:r>
        <w:rPr>
          <w:color w:val="333333"/>
          <w:spacing w:val="-3"/>
          <w:sz w:val="21"/>
        </w:rPr>
        <w:t xml:space="preserve"> </w:t>
      </w:r>
      <w:r>
        <w:rPr>
          <w:color w:val="333333"/>
          <w:sz w:val="21"/>
        </w:rPr>
        <w:t xml:space="preserve">3.3.1 </w:t>
      </w:r>
      <w:r>
        <w:rPr>
          <w:color w:val="333333"/>
          <w:spacing w:val="-5"/>
          <w:sz w:val="21"/>
        </w:rPr>
        <w:t>条的规定增加</w:t>
      </w:r>
      <w:r>
        <w:rPr>
          <w:color w:val="333333"/>
          <w:spacing w:val="-5"/>
          <w:sz w:val="21"/>
        </w:rPr>
        <w:t xml:space="preserve"> </w:t>
      </w:r>
      <w:r>
        <w:rPr>
          <w:color w:val="333333"/>
          <w:sz w:val="21"/>
        </w:rPr>
        <w:t>1.0</w:t>
      </w:r>
      <w:r>
        <w:rPr>
          <w:color w:val="333333"/>
          <w:spacing w:val="-3"/>
          <w:sz w:val="21"/>
        </w:rPr>
        <w:t xml:space="preserve"> </w:t>
      </w:r>
      <w:r>
        <w:rPr>
          <w:color w:val="333333"/>
          <w:spacing w:val="-3"/>
          <w:sz w:val="21"/>
        </w:rPr>
        <w:t>倍。当丁、戊类的地上厂房内设置自动灭火系统时，每个防火分区的最大允许建筑面积不限。厂房内局部设置自动灭火系统时，其防火分区的增加面积可按该局部面积的</w:t>
      </w:r>
      <w:r>
        <w:rPr>
          <w:color w:val="333333"/>
          <w:spacing w:val="-3"/>
          <w:sz w:val="21"/>
        </w:rPr>
        <w:t xml:space="preserve"> 1.0 </w:t>
      </w:r>
      <w:r>
        <w:rPr>
          <w:color w:val="333333"/>
          <w:spacing w:val="-3"/>
          <w:sz w:val="21"/>
        </w:rPr>
        <w:t>倍计算。</w:t>
      </w:r>
      <w:r>
        <w:rPr>
          <w:color w:val="333333"/>
          <w:sz w:val="21"/>
        </w:rPr>
        <w:t xml:space="preserve"> </w:t>
      </w:r>
    </w:p>
    <w:p w14:paraId="5EA948A2" w14:textId="77777777" w:rsidR="00A71EEF" w:rsidRDefault="0081115D">
      <w:pPr>
        <w:pStyle w:val="a3"/>
        <w:spacing w:line="446" w:lineRule="auto"/>
        <w:ind w:left="418" w:right="1609" w:firstLine="419"/>
      </w:pPr>
      <w:r>
        <w:rPr>
          <w:color w:val="333333"/>
        </w:rPr>
        <w:t>仓库内设置自动灭火系统时，除冷库的防火分区外，每座仓库的最大允许占地面积和每个防火分区的最大允许建筑面积可按本规范第</w:t>
      </w:r>
      <w:r>
        <w:rPr>
          <w:color w:val="333333"/>
        </w:rPr>
        <w:t xml:space="preserve"> 3.3.2 </w:t>
      </w:r>
      <w:r>
        <w:rPr>
          <w:color w:val="333333"/>
        </w:rPr>
        <w:t>条的规定增加</w:t>
      </w:r>
      <w:r>
        <w:rPr>
          <w:color w:val="333333"/>
        </w:rPr>
        <w:t xml:space="preserve"> 1.0 </w:t>
      </w:r>
      <w:r>
        <w:rPr>
          <w:color w:val="333333"/>
        </w:rPr>
        <w:t>倍。</w:t>
      </w:r>
      <w:r>
        <w:rPr>
          <w:color w:val="333333"/>
        </w:rPr>
        <w:t xml:space="preserve"> </w:t>
      </w:r>
    </w:p>
    <w:p w14:paraId="1F545116" w14:textId="77777777" w:rsidR="00A71EEF" w:rsidRDefault="0081115D">
      <w:pPr>
        <w:pStyle w:val="a4"/>
        <w:numPr>
          <w:ilvl w:val="2"/>
          <w:numId w:val="746"/>
        </w:numPr>
        <w:tabs>
          <w:tab w:val="left" w:pos="1371"/>
        </w:tabs>
        <w:ind w:left="1370" w:hanging="531"/>
        <w:jc w:val="left"/>
        <w:rPr>
          <w:color w:val="333333"/>
          <w:sz w:val="19"/>
        </w:rPr>
      </w:pPr>
      <w:r>
        <w:rPr>
          <w:color w:val="333333"/>
          <w:spacing w:val="-3"/>
          <w:sz w:val="21"/>
        </w:rPr>
        <w:t>甲、乙类生产场所</w:t>
      </w:r>
      <w:r>
        <w:rPr>
          <w:color w:val="333333"/>
          <w:sz w:val="21"/>
        </w:rPr>
        <w:t>（</w:t>
      </w:r>
      <w:r>
        <w:rPr>
          <w:color w:val="333333"/>
          <w:spacing w:val="-2"/>
          <w:sz w:val="21"/>
        </w:rPr>
        <w:t>仓库</w:t>
      </w:r>
      <w:r>
        <w:rPr>
          <w:color w:val="333333"/>
          <w:sz w:val="21"/>
        </w:rPr>
        <w:t>）</w:t>
      </w:r>
      <w:r>
        <w:rPr>
          <w:color w:val="333333"/>
          <w:spacing w:val="-3"/>
          <w:sz w:val="21"/>
        </w:rPr>
        <w:t>不应设置在地下或半地下。</w:t>
      </w:r>
      <w:r>
        <w:rPr>
          <w:color w:val="333333"/>
          <w:sz w:val="21"/>
        </w:rPr>
        <w:t xml:space="preserve"> </w:t>
      </w:r>
    </w:p>
    <w:p w14:paraId="00B7717E" w14:textId="77777777" w:rsidR="00A71EEF" w:rsidRDefault="00A71EEF">
      <w:pPr>
        <w:pStyle w:val="a3"/>
        <w:spacing w:before="10"/>
        <w:rPr>
          <w:sz w:val="17"/>
        </w:rPr>
      </w:pPr>
    </w:p>
    <w:p w14:paraId="1889A09A" w14:textId="77777777" w:rsidR="00A71EEF" w:rsidRDefault="0081115D">
      <w:pPr>
        <w:pStyle w:val="a4"/>
        <w:numPr>
          <w:ilvl w:val="2"/>
          <w:numId w:val="746"/>
        </w:numPr>
        <w:tabs>
          <w:tab w:val="left" w:pos="1371"/>
        </w:tabs>
        <w:ind w:left="1370" w:hanging="531"/>
        <w:jc w:val="left"/>
        <w:rPr>
          <w:color w:val="333333"/>
          <w:sz w:val="19"/>
        </w:rPr>
      </w:pPr>
      <w:r>
        <w:rPr>
          <w:color w:val="333333"/>
          <w:spacing w:val="-3"/>
          <w:sz w:val="21"/>
        </w:rPr>
        <w:t>员工宿舍严禁设置在厂房内。</w:t>
      </w:r>
      <w:r>
        <w:rPr>
          <w:color w:val="333333"/>
          <w:sz w:val="21"/>
        </w:rPr>
        <w:t xml:space="preserve"> </w:t>
      </w:r>
    </w:p>
    <w:p w14:paraId="72E305C4" w14:textId="77777777" w:rsidR="00A71EEF" w:rsidRDefault="00A71EEF">
      <w:pPr>
        <w:pStyle w:val="a3"/>
        <w:rPr>
          <w:sz w:val="18"/>
        </w:rPr>
      </w:pPr>
    </w:p>
    <w:p w14:paraId="0A612309" w14:textId="77777777" w:rsidR="00A71EEF" w:rsidRDefault="0081115D">
      <w:pPr>
        <w:pStyle w:val="a3"/>
        <w:spacing w:line="446" w:lineRule="auto"/>
        <w:ind w:left="418" w:right="1609" w:firstLine="419"/>
      </w:pPr>
      <w:r>
        <w:rPr>
          <w:color w:val="333333"/>
        </w:rPr>
        <w:t>办公室、休息室等不应设置在甲、乙类厂房内，确需贴邻本厂房时，其耐火等级不应低于二级，并应采用耐</w:t>
      </w:r>
      <w:r>
        <w:rPr>
          <w:color w:val="333333"/>
        </w:rPr>
        <w:t>火极限不低于</w:t>
      </w:r>
      <w:r>
        <w:rPr>
          <w:color w:val="333333"/>
        </w:rPr>
        <w:t xml:space="preserve"> 3.00h </w:t>
      </w:r>
      <w:r>
        <w:rPr>
          <w:color w:val="333333"/>
        </w:rPr>
        <w:t>的防爆墙与厂房分隔，且应设置独立的安全出口。</w:t>
      </w:r>
      <w:r>
        <w:rPr>
          <w:color w:val="333333"/>
        </w:rPr>
        <w:t xml:space="preserve"> </w:t>
      </w:r>
    </w:p>
    <w:p w14:paraId="4B89BEA6" w14:textId="77777777" w:rsidR="00A71EEF" w:rsidRDefault="0081115D">
      <w:pPr>
        <w:pStyle w:val="a3"/>
        <w:spacing w:line="446" w:lineRule="auto"/>
        <w:ind w:left="418" w:right="1555" w:firstLine="419"/>
        <w:rPr>
          <w:b/>
        </w:rPr>
      </w:pPr>
      <w:r>
        <w:rPr>
          <w:color w:val="333333"/>
          <w:spacing w:val="-5"/>
        </w:rPr>
        <w:t>办公室、休息室设置在丙类厂房内时，应采用耐火极限不低于</w:t>
      </w:r>
      <w:r>
        <w:rPr>
          <w:color w:val="333333"/>
          <w:spacing w:val="-5"/>
        </w:rPr>
        <w:t xml:space="preserve"> </w:t>
      </w:r>
      <w:r>
        <w:rPr>
          <w:color w:val="333333"/>
        </w:rPr>
        <w:t>2.50h</w:t>
      </w:r>
      <w:r>
        <w:rPr>
          <w:color w:val="333333"/>
          <w:spacing w:val="-15"/>
        </w:rPr>
        <w:t xml:space="preserve"> </w:t>
      </w:r>
      <w:r>
        <w:rPr>
          <w:color w:val="333333"/>
          <w:spacing w:val="-15"/>
        </w:rPr>
        <w:t>的防火隔墙和</w:t>
      </w:r>
      <w:r>
        <w:rPr>
          <w:color w:val="333333"/>
          <w:spacing w:val="-15"/>
        </w:rPr>
        <w:t xml:space="preserve"> </w:t>
      </w:r>
      <w:r>
        <w:rPr>
          <w:color w:val="333333"/>
        </w:rPr>
        <w:t xml:space="preserve">1.00h </w:t>
      </w:r>
      <w:r>
        <w:rPr>
          <w:color w:val="333333"/>
          <w:spacing w:val="-5"/>
        </w:rPr>
        <w:t>的楼板与其他部位分隔，并应至少设置</w:t>
      </w:r>
      <w:r>
        <w:rPr>
          <w:color w:val="333333"/>
          <w:spacing w:val="-5"/>
        </w:rPr>
        <w:t xml:space="preserve"> </w:t>
      </w:r>
      <w:r>
        <w:rPr>
          <w:color w:val="333333"/>
          <w:spacing w:val="-3"/>
        </w:rPr>
        <w:t xml:space="preserve">1 </w:t>
      </w:r>
      <w:r>
        <w:rPr>
          <w:color w:val="333333"/>
          <w:spacing w:val="-3"/>
        </w:rPr>
        <w:t>个独立的安全出口。如隔墙上需开设相互连通的门时，应采用乙级防火门。</w:t>
      </w:r>
      <w:r>
        <w:rPr>
          <w:b/>
          <w:color w:val="333333"/>
          <w:w w:val="99"/>
        </w:rPr>
        <w:t xml:space="preserve"> </w:t>
      </w:r>
    </w:p>
    <w:p w14:paraId="7E63D0D9" w14:textId="77777777" w:rsidR="00A71EEF" w:rsidRDefault="0081115D">
      <w:pPr>
        <w:pStyle w:val="a4"/>
        <w:numPr>
          <w:ilvl w:val="2"/>
          <w:numId w:val="746"/>
        </w:numPr>
        <w:tabs>
          <w:tab w:val="left" w:pos="1370"/>
        </w:tabs>
        <w:spacing w:line="268" w:lineRule="exact"/>
        <w:ind w:left="1369" w:hanging="530"/>
        <w:jc w:val="left"/>
        <w:rPr>
          <w:b/>
          <w:color w:val="333333"/>
          <w:sz w:val="19"/>
        </w:rPr>
      </w:pPr>
      <w:r>
        <w:rPr>
          <w:color w:val="333333"/>
          <w:spacing w:val="-3"/>
          <w:sz w:val="21"/>
        </w:rPr>
        <w:t>厂房内设置中间仓库时，应符合下列规定：</w:t>
      </w:r>
      <w:r>
        <w:rPr>
          <w:b/>
          <w:color w:val="333333"/>
          <w:w w:val="99"/>
          <w:sz w:val="21"/>
        </w:rPr>
        <w:t xml:space="preserve"> </w:t>
      </w:r>
    </w:p>
    <w:p w14:paraId="56502046" w14:textId="77777777" w:rsidR="00A71EEF" w:rsidRDefault="00A71EEF">
      <w:pPr>
        <w:pStyle w:val="a3"/>
        <w:rPr>
          <w:b/>
          <w:sz w:val="18"/>
        </w:rPr>
      </w:pPr>
    </w:p>
    <w:p w14:paraId="5AF2F89E" w14:textId="77777777" w:rsidR="00A71EEF" w:rsidRDefault="0081115D">
      <w:pPr>
        <w:pStyle w:val="a3"/>
        <w:ind w:left="838"/>
        <w:jc w:val="both"/>
      </w:pPr>
      <w:r>
        <w:rPr>
          <w:color w:val="333333"/>
        </w:rPr>
        <w:t>甲、乙类中间仓库应靠外墙布置，其储量不宜超过</w:t>
      </w:r>
      <w:r>
        <w:rPr>
          <w:color w:val="333333"/>
        </w:rPr>
        <w:t xml:space="preserve"> 1 </w:t>
      </w:r>
      <w:r>
        <w:rPr>
          <w:color w:val="333333"/>
        </w:rPr>
        <w:t>昼夜的需要量；</w:t>
      </w:r>
      <w:r>
        <w:rPr>
          <w:color w:val="333333"/>
        </w:rPr>
        <w:t xml:space="preserve"> </w:t>
      </w:r>
    </w:p>
    <w:p w14:paraId="3638A169" w14:textId="77777777" w:rsidR="00A71EEF" w:rsidRDefault="00A71EEF">
      <w:pPr>
        <w:pStyle w:val="a3"/>
        <w:spacing w:before="1"/>
        <w:rPr>
          <w:sz w:val="18"/>
        </w:rPr>
      </w:pPr>
    </w:p>
    <w:p w14:paraId="35951515" w14:textId="77777777" w:rsidR="00A71EEF" w:rsidRDefault="0081115D">
      <w:pPr>
        <w:pStyle w:val="a3"/>
        <w:spacing w:before="1" w:line="446" w:lineRule="auto"/>
        <w:ind w:left="418" w:right="1558" w:firstLine="419"/>
        <w:jc w:val="both"/>
      </w:pPr>
      <w:r>
        <w:rPr>
          <w:color w:val="333333"/>
          <w:spacing w:val="-5"/>
        </w:rPr>
        <w:t>甲、乙、丙类中间仓库应采用防火墙和耐火极限不低于</w:t>
      </w:r>
      <w:r>
        <w:rPr>
          <w:color w:val="333333"/>
          <w:spacing w:val="-5"/>
        </w:rPr>
        <w:t xml:space="preserve"> </w:t>
      </w:r>
      <w:r>
        <w:rPr>
          <w:color w:val="333333"/>
        </w:rPr>
        <w:t>1.50h</w:t>
      </w:r>
      <w:r>
        <w:rPr>
          <w:color w:val="333333"/>
          <w:spacing w:val="-2"/>
        </w:rPr>
        <w:t xml:space="preserve"> </w:t>
      </w:r>
      <w:r>
        <w:rPr>
          <w:color w:val="333333"/>
          <w:spacing w:val="-2"/>
        </w:rPr>
        <w:t>的不燃性楼板与其他部位分</w:t>
      </w:r>
      <w:r>
        <w:rPr>
          <w:color w:val="333333"/>
          <w:spacing w:val="-3"/>
        </w:rPr>
        <w:t>隔；</w:t>
      </w:r>
      <w:r>
        <w:rPr>
          <w:color w:val="333333"/>
        </w:rPr>
        <w:t xml:space="preserve"> </w:t>
      </w:r>
    </w:p>
    <w:p w14:paraId="33569B99" w14:textId="77777777" w:rsidR="00A71EEF" w:rsidRDefault="0081115D">
      <w:pPr>
        <w:pStyle w:val="a3"/>
        <w:spacing w:line="446" w:lineRule="auto"/>
        <w:ind w:left="418" w:right="1508" w:firstLine="419"/>
        <w:jc w:val="both"/>
      </w:pPr>
      <w:r>
        <w:rPr>
          <w:color w:val="333333"/>
          <w:spacing w:val="-6"/>
        </w:rPr>
        <w:t>丁、戊类中间仓库应采用耐火极限不低于</w:t>
      </w:r>
      <w:r>
        <w:rPr>
          <w:color w:val="333333"/>
          <w:spacing w:val="-6"/>
        </w:rPr>
        <w:t xml:space="preserve"> </w:t>
      </w:r>
      <w:r>
        <w:rPr>
          <w:color w:val="333333"/>
        </w:rPr>
        <w:t>2.00h</w:t>
      </w:r>
      <w:r>
        <w:rPr>
          <w:color w:val="333333"/>
          <w:spacing w:val="-7"/>
        </w:rPr>
        <w:t xml:space="preserve"> </w:t>
      </w:r>
      <w:r>
        <w:rPr>
          <w:color w:val="333333"/>
          <w:spacing w:val="-7"/>
        </w:rPr>
        <w:t>的防火隔墙和</w:t>
      </w:r>
      <w:r>
        <w:rPr>
          <w:color w:val="333333"/>
          <w:spacing w:val="-7"/>
        </w:rPr>
        <w:t xml:space="preserve"> </w:t>
      </w:r>
      <w:r>
        <w:rPr>
          <w:color w:val="333333"/>
        </w:rPr>
        <w:t>1.00h</w:t>
      </w:r>
      <w:r>
        <w:rPr>
          <w:color w:val="333333"/>
          <w:spacing w:val="-2"/>
        </w:rPr>
        <w:t xml:space="preserve"> </w:t>
      </w:r>
      <w:r>
        <w:rPr>
          <w:color w:val="333333"/>
          <w:spacing w:val="-2"/>
        </w:rPr>
        <w:t>的楼板与其他部位分</w:t>
      </w:r>
      <w:r>
        <w:rPr>
          <w:color w:val="333333"/>
          <w:spacing w:val="-3"/>
        </w:rPr>
        <w:t>隔</w:t>
      </w:r>
      <w:r>
        <w:rPr>
          <w:color w:val="333333"/>
          <w:spacing w:val="-3"/>
        </w:rPr>
        <w:t>;</w:t>
      </w:r>
      <w:r>
        <w:rPr>
          <w:color w:val="333333"/>
        </w:rPr>
        <w:t xml:space="preserve"> </w:t>
      </w:r>
    </w:p>
    <w:p w14:paraId="1C9C15AD" w14:textId="77777777" w:rsidR="00A71EEF" w:rsidRDefault="0081115D">
      <w:pPr>
        <w:pStyle w:val="a3"/>
        <w:ind w:left="838"/>
        <w:jc w:val="both"/>
      </w:pPr>
      <w:r>
        <w:rPr>
          <w:color w:val="333333"/>
        </w:rPr>
        <w:t>仓库的耐火等级和面积应符合本规范第</w:t>
      </w:r>
      <w:r>
        <w:rPr>
          <w:color w:val="333333"/>
        </w:rPr>
        <w:t xml:space="preserve"> 3.3.2 </w:t>
      </w:r>
      <w:r>
        <w:rPr>
          <w:color w:val="333333"/>
        </w:rPr>
        <w:t>条和第</w:t>
      </w:r>
      <w:r>
        <w:rPr>
          <w:color w:val="333333"/>
        </w:rPr>
        <w:t xml:space="preserve"> 3.3.3 </w:t>
      </w:r>
      <w:r>
        <w:rPr>
          <w:color w:val="333333"/>
        </w:rPr>
        <w:t>条的规定。</w:t>
      </w:r>
      <w:r>
        <w:rPr>
          <w:color w:val="333333"/>
        </w:rPr>
        <w:t xml:space="preserve"> </w:t>
      </w:r>
    </w:p>
    <w:p w14:paraId="2AF84033" w14:textId="77777777" w:rsidR="00A71EEF" w:rsidRDefault="00A71EEF">
      <w:pPr>
        <w:pStyle w:val="a3"/>
        <w:rPr>
          <w:sz w:val="17"/>
        </w:rPr>
      </w:pPr>
    </w:p>
    <w:p w14:paraId="10C3C0C4" w14:textId="77777777" w:rsidR="00A71EEF" w:rsidRDefault="0081115D">
      <w:pPr>
        <w:pStyle w:val="a4"/>
        <w:numPr>
          <w:ilvl w:val="2"/>
          <w:numId w:val="746"/>
        </w:numPr>
        <w:tabs>
          <w:tab w:val="left" w:pos="1370"/>
        </w:tabs>
        <w:spacing w:line="446" w:lineRule="auto"/>
        <w:ind w:left="418" w:right="1498" w:firstLine="422"/>
        <w:jc w:val="both"/>
        <w:rPr>
          <w:color w:val="333333"/>
          <w:sz w:val="19"/>
        </w:rPr>
      </w:pPr>
      <w:r>
        <w:rPr>
          <w:color w:val="333333"/>
          <w:spacing w:val="-5"/>
          <w:sz w:val="21"/>
        </w:rPr>
        <w:t>厂房内的丙类液体中间储罐应设置在单独房间内，其容量不应大于</w:t>
      </w:r>
      <w:r>
        <w:rPr>
          <w:color w:val="333333"/>
          <w:spacing w:val="-5"/>
          <w:sz w:val="21"/>
        </w:rPr>
        <w:t xml:space="preserve"> </w:t>
      </w:r>
      <w:r>
        <w:rPr>
          <w:color w:val="333333"/>
          <w:sz w:val="21"/>
        </w:rPr>
        <w:t>5m</w:t>
      </w:r>
      <w:r>
        <w:rPr>
          <w:color w:val="333333"/>
          <w:position w:val="11"/>
          <w:sz w:val="11"/>
        </w:rPr>
        <w:t>3</w:t>
      </w:r>
      <w:r>
        <w:rPr>
          <w:color w:val="333333"/>
          <w:spacing w:val="-2"/>
          <w:sz w:val="21"/>
        </w:rPr>
        <w:t>。设置中间储</w:t>
      </w:r>
      <w:r>
        <w:rPr>
          <w:color w:val="333333"/>
          <w:spacing w:val="-6"/>
          <w:sz w:val="21"/>
        </w:rPr>
        <w:t>罐的房间，应采用耐火极限不低于</w:t>
      </w:r>
      <w:r>
        <w:rPr>
          <w:color w:val="333333"/>
          <w:spacing w:val="-6"/>
          <w:sz w:val="21"/>
        </w:rPr>
        <w:t xml:space="preserve"> </w:t>
      </w:r>
      <w:r>
        <w:rPr>
          <w:color w:val="333333"/>
          <w:sz w:val="21"/>
        </w:rPr>
        <w:t>3.00h</w:t>
      </w:r>
      <w:r>
        <w:rPr>
          <w:color w:val="333333"/>
          <w:spacing w:val="-7"/>
          <w:sz w:val="21"/>
        </w:rPr>
        <w:t xml:space="preserve"> </w:t>
      </w:r>
      <w:r>
        <w:rPr>
          <w:color w:val="333333"/>
          <w:spacing w:val="-7"/>
          <w:sz w:val="21"/>
        </w:rPr>
        <w:t>的防火隔墙和</w:t>
      </w:r>
      <w:r>
        <w:rPr>
          <w:color w:val="333333"/>
          <w:spacing w:val="-7"/>
          <w:sz w:val="21"/>
        </w:rPr>
        <w:t xml:space="preserve"> </w:t>
      </w:r>
      <w:r>
        <w:rPr>
          <w:color w:val="333333"/>
          <w:sz w:val="21"/>
        </w:rPr>
        <w:t>1.50h</w:t>
      </w:r>
      <w:r>
        <w:rPr>
          <w:color w:val="333333"/>
          <w:spacing w:val="-3"/>
          <w:sz w:val="21"/>
        </w:rPr>
        <w:t xml:space="preserve"> </w:t>
      </w:r>
      <w:r>
        <w:rPr>
          <w:color w:val="333333"/>
          <w:spacing w:val="-3"/>
          <w:sz w:val="21"/>
        </w:rPr>
        <w:t>的楼板与其他部位分隔，房间门应采用甲级防火门。</w:t>
      </w:r>
      <w:r>
        <w:rPr>
          <w:color w:val="333333"/>
          <w:sz w:val="21"/>
        </w:rPr>
        <w:t xml:space="preserve"> </w:t>
      </w:r>
    </w:p>
    <w:p w14:paraId="40C6E9AF" w14:textId="77777777" w:rsidR="00A71EEF" w:rsidRDefault="0081115D">
      <w:pPr>
        <w:pStyle w:val="a4"/>
        <w:numPr>
          <w:ilvl w:val="2"/>
          <w:numId w:val="746"/>
        </w:numPr>
        <w:tabs>
          <w:tab w:val="left" w:pos="1371"/>
        </w:tabs>
        <w:spacing w:line="446" w:lineRule="auto"/>
        <w:ind w:left="418" w:right="1450" w:firstLine="422"/>
        <w:jc w:val="both"/>
        <w:rPr>
          <w:color w:val="333333"/>
          <w:sz w:val="19"/>
        </w:rPr>
      </w:pPr>
      <w:r>
        <w:rPr>
          <w:color w:val="333333"/>
          <w:spacing w:val="-3"/>
          <w:sz w:val="21"/>
        </w:rPr>
        <w:t>变、配电站不应设置在甲、乙类厂房内或贴邻，且不应设置在爆炸性气体、粉尘环境</w:t>
      </w:r>
      <w:r>
        <w:rPr>
          <w:color w:val="333333"/>
          <w:spacing w:val="-6"/>
          <w:sz w:val="21"/>
        </w:rPr>
        <w:t>的危险区域内。供甲、乙类厂房专用的</w:t>
      </w:r>
      <w:r>
        <w:rPr>
          <w:color w:val="333333"/>
          <w:spacing w:val="-6"/>
          <w:sz w:val="21"/>
        </w:rPr>
        <w:t xml:space="preserve"> </w:t>
      </w:r>
      <w:r>
        <w:rPr>
          <w:color w:val="333333"/>
          <w:sz w:val="21"/>
        </w:rPr>
        <w:t>10kV</w:t>
      </w:r>
      <w:r>
        <w:rPr>
          <w:color w:val="333333"/>
          <w:spacing w:val="-3"/>
          <w:sz w:val="21"/>
        </w:rPr>
        <w:t xml:space="preserve"> </w:t>
      </w:r>
      <w:r>
        <w:rPr>
          <w:color w:val="333333"/>
          <w:spacing w:val="-3"/>
          <w:sz w:val="21"/>
        </w:rPr>
        <w:t>及以下的</w:t>
      </w:r>
      <w:r>
        <w:rPr>
          <w:color w:val="333333"/>
          <w:spacing w:val="-3"/>
          <w:sz w:val="21"/>
        </w:rPr>
        <w:t>变、配电站，当采用无门、窗、洞口的</w:t>
      </w:r>
    </w:p>
    <w:p w14:paraId="29FFA72E" w14:textId="77777777" w:rsidR="00A71EEF" w:rsidRDefault="00A71EEF">
      <w:pPr>
        <w:spacing w:line="446" w:lineRule="auto"/>
        <w:jc w:val="both"/>
        <w:rPr>
          <w:sz w:val="19"/>
        </w:rPr>
        <w:sectPr w:rsidR="00A71EEF">
          <w:pgSz w:w="11910" w:h="16850"/>
          <w:pgMar w:top="1220" w:right="0" w:bottom="1420" w:left="1260" w:header="0" w:footer="1239" w:gutter="0"/>
          <w:cols w:space="720"/>
        </w:sectPr>
      </w:pPr>
    </w:p>
    <w:p w14:paraId="4FBD69ED" w14:textId="77777777" w:rsidR="00A71EEF" w:rsidRDefault="0081115D">
      <w:pPr>
        <w:pStyle w:val="a3"/>
        <w:spacing w:before="47" w:line="446" w:lineRule="auto"/>
        <w:ind w:left="418" w:right="1714"/>
      </w:pPr>
      <w:r>
        <w:rPr>
          <w:color w:val="333333"/>
        </w:rPr>
        <w:lastRenderedPageBreak/>
        <w:t>防火墙分隔时，可一面贴邻，并应符合现行国家标准《爆炸危险环境电力装置设计规范》</w:t>
      </w:r>
      <w:r>
        <w:rPr>
          <w:color w:val="333333"/>
        </w:rPr>
        <w:t xml:space="preserve">GB 50058 </w:t>
      </w:r>
      <w:r>
        <w:rPr>
          <w:color w:val="333333"/>
        </w:rPr>
        <w:t>等标准的规定。</w:t>
      </w:r>
      <w:r>
        <w:rPr>
          <w:color w:val="333333"/>
        </w:rPr>
        <w:t xml:space="preserve"> </w:t>
      </w:r>
    </w:p>
    <w:p w14:paraId="30957740" w14:textId="77777777" w:rsidR="00A71EEF" w:rsidRDefault="0081115D">
      <w:pPr>
        <w:pStyle w:val="a3"/>
        <w:spacing w:line="446" w:lineRule="auto"/>
        <w:ind w:left="840" w:right="3817" w:hanging="3"/>
        <w:rPr>
          <w:b/>
        </w:rPr>
      </w:pPr>
      <w:r>
        <w:rPr>
          <w:color w:val="333333"/>
        </w:rPr>
        <w:t>乙类厂房的配电站确需在防火墙上开窗时，应采用甲级防火窗。</w:t>
      </w:r>
      <w:r>
        <w:rPr>
          <w:b/>
          <w:color w:val="333333"/>
        </w:rPr>
        <w:t xml:space="preserve">3.3.9 </w:t>
      </w:r>
      <w:r>
        <w:rPr>
          <w:color w:val="333333"/>
        </w:rPr>
        <w:t>员工宿舍严禁设置在仓库内。</w:t>
      </w:r>
      <w:r>
        <w:rPr>
          <w:b/>
          <w:color w:val="333333"/>
          <w:w w:val="99"/>
        </w:rPr>
        <w:t xml:space="preserve"> </w:t>
      </w:r>
    </w:p>
    <w:p w14:paraId="710C9708" w14:textId="77777777" w:rsidR="00A71EEF" w:rsidRDefault="0081115D">
      <w:pPr>
        <w:pStyle w:val="a3"/>
        <w:ind w:left="838"/>
        <w:rPr>
          <w:b/>
        </w:rPr>
      </w:pPr>
      <w:r>
        <w:rPr>
          <w:color w:val="333333"/>
        </w:rPr>
        <w:t>办公室、休息室等严禁设置在甲、乙类仓库内，也不应贴邻。</w:t>
      </w:r>
      <w:r>
        <w:rPr>
          <w:b/>
          <w:color w:val="333333"/>
          <w:w w:val="99"/>
        </w:rPr>
        <w:t xml:space="preserve"> </w:t>
      </w:r>
    </w:p>
    <w:p w14:paraId="0B0B045F" w14:textId="77777777" w:rsidR="00A71EEF" w:rsidRDefault="00A71EEF">
      <w:pPr>
        <w:pStyle w:val="a3"/>
        <w:spacing w:before="10"/>
        <w:rPr>
          <w:b/>
          <w:sz w:val="17"/>
        </w:rPr>
      </w:pPr>
    </w:p>
    <w:p w14:paraId="40B36ABB" w14:textId="77777777" w:rsidR="00A71EEF" w:rsidRDefault="0081115D">
      <w:pPr>
        <w:pStyle w:val="a3"/>
        <w:spacing w:line="446" w:lineRule="auto"/>
        <w:ind w:left="418" w:right="1609" w:firstLine="419"/>
        <w:rPr>
          <w:b/>
        </w:rPr>
      </w:pPr>
      <w:r>
        <w:rPr>
          <w:color w:val="333333"/>
        </w:rPr>
        <w:t>办公室、休息室设置在丙、丁类仓库内时，应采用耐火极限不低于</w:t>
      </w:r>
      <w:r>
        <w:rPr>
          <w:color w:val="333333"/>
        </w:rPr>
        <w:t xml:space="preserve"> 2.50h </w:t>
      </w:r>
      <w:r>
        <w:rPr>
          <w:color w:val="333333"/>
        </w:rPr>
        <w:t>的防火隔墙和</w:t>
      </w:r>
      <w:r>
        <w:rPr>
          <w:color w:val="333333"/>
        </w:rPr>
        <w:t xml:space="preserve">1.00h </w:t>
      </w:r>
      <w:r>
        <w:rPr>
          <w:color w:val="333333"/>
        </w:rPr>
        <w:t>的楼板与其他部位分隔，并应设置独立的安全出口。隔墙上需开设相互连通的门时，应采用乙级防火门。</w:t>
      </w:r>
      <w:r>
        <w:rPr>
          <w:b/>
          <w:color w:val="333333"/>
          <w:w w:val="99"/>
        </w:rPr>
        <w:t xml:space="preserve"> </w:t>
      </w:r>
    </w:p>
    <w:p w14:paraId="3E1266F1" w14:textId="77777777" w:rsidR="00A71EEF" w:rsidRDefault="0081115D">
      <w:pPr>
        <w:spacing w:line="268" w:lineRule="exact"/>
        <w:ind w:left="840"/>
        <w:rPr>
          <w:sz w:val="21"/>
        </w:rPr>
      </w:pPr>
      <w:r>
        <w:rPr>
          <w:b/>
          <w:color w:val="333333"/>
          <w:sz w:val="21"/>
        </w:rPr>
        <w:t xml:space="preserve">3.3.10 </w:t>
      </w:r>
      <w:r>
        <w:rPr>
          <w:color w:val="333333"/>
          <w:sz w:val="21"/>
        </w:rPr>
        <w:t>物流建筑的防火设计应符合下列规定：</w:t>
      </w:r>
      <w:r>
        <w:rPr>
          <w:color w:val="333333"/>
          <w:sz w:val="21"/>
        </w:rPr>
        <w:t xml:space="preserve"> </w:t>
      </w:r>
    </w:p>
    <w:p w14:paraId="630411AD" w14:textId="77777777" w:rsidR="00A71EEF" w:rsidRDefault="00A71EEF">
      <w:pPr>
        <w:pStyle w:val="a3"/>
        <w:spacing w:before="2"/>
        <w:rPr>
          <w:sz w:val="18"/>
        </w:rPr>
      </w:pPr>
    </w:p>
    <w:p w14:paraId="2E2709CB" w14:textId="77777777" w:rsidR="00A71EEF" w:rsidRDefault="0081115D">
      <w:pPr>
        <w:pStyle w:val="a3"/>
        <w:spacing w:line="446" w:lineRule="auto"/>
        <w:ind w:left="418" w:right="1505" w:firstLine="419"/>
      </w:pPr>
      <w:r>
        <w:rPr>
          <w:color w:val="333333"/>
        </w:rPr>
        <w:t xml:space="preserve"> </w:t>
      </w:r>
      <w:r>
        <w:rPr>
          <w:color w:val="333333"/>
        </w:rPr>
        <w:t>当建筑功能以分拣、加工等作业为主时，应按本规范有关厂房的规定确定，其中仓储部分应按中间仓库确定；</w:t>
      </w:r>
      <w:r>
        <w:rPr>
          <w:color w:val="333333"/>
        </w:rPr>
        <w:t xml:space="preserve"> </w:t>
      </w:r>
    </w:p>
    <w:p w14:paraId="2AAF7276" w14:textId="77777777" w:rsidR="00A71EEF" w:rsidRDefault="0081115D">
      <w:pPr>
        <w:pStyle w:val="a3"/>
        <w:spacing w:line="446" w:lineRule="auto"/>
        <w:ind w:left="418" w:right="1505" w:firstLine="419"/>
      </w:pPr>
      <w:r>
        <w:rPr>
          <w:color w:val="333333"/>
        </w:rPr>
        <w:t xml:space="preserve"> </w:t>
      </w:r>
      <w:r>
        <w:rPr>
          <w:color w:val="333333"/>
          <w:spacing w:val="-3"/>
        </w:rPr>
        <w:t>当建筑功能以仓储为主或建筑难以区分主要功能时，应按本规范有关仓库的规定确定，但当分拣等作业区采用防火墙与储存区完全分隔时，作业区和储存区的防火要求可分别按本规范有</w:t>
      </w:r>
      <w:r>
        <w:rPr>
          <w:color w:val="333333"/>
          <w:spacing w:val="-3"/>
        </w:rPr>
        <w:t>关厂房和仓库的规定确定。其中，当分拣等作业区采用防火墙与储存区完全分隔且符合下列条件时，除自动化控制的丙类高架仓库外，储存区的防火分区最大允许建筑面积和储存区部分</w:t>
      </w:r>
      <w:r>
        <w:rPr>
          <w:color w:val="333333"/>
          <w:spacing w:val="-6"/>
        </w:rPr>
        <w:t>建筑的最大允许占地面积，可按本规范表</w:t>
      </w:r>
      <w:r>
        <w:rPr>
          <w:color w:val="333333"/>
          <w:spacing w:val="-6"/>
        </w:rPr>
        <w:t xml:space="preserve"> </w:t>
      </w:r>
      <w:r>
        <w:rPr>
          <w:color w:val="333333"/>
        </w:rPr>
        <w:t>3.3.2</w:t>
      </w:r>
      <w:r>
        <w:rPr>
          <w:color w:val="333333"/>
        </w:rPr>
        <w:t>（</w:t>
      </w:r>
      <w:r>
        <w:rPr>
          <w:color w:val="333333"/>
          <w:spacing w:val="-1"/>
        </w:rPr>
        <w:t>不含注</w:t>
      </w:r>
      <w:r>
        <w:rPr>
          <w:color w:val="333333"/>
        </w:rPr>
        <w:t>）</w:t>
      </w:r>
      <w:r>
        <w:rPr>
          <w:color w:val="333333"/>
          <w:spacing w:val="-12"/>
        </w:rPr>
        <w:t>的规定增加</w:t>
      </w:r>
      <w:r>
        <w:rPr>
          <w:color w:val="333333"/>
          <w:spacing w:val="-12"/>
        </w:rPr>
        <w:t xml:space="preserve"> </w:t>
      </w:r>
      <w:r>
        <w:rPr>
          <w:color w:val="333333"/>
        </w:rPr>
        <w:t xml:space="preserve">3.0 </w:t>
      </w:r>
      <w:r>
        <w:rPr>
          <w:color w:val="333333"/>
        </w:rPr>
        <w:t>倍：</w:t>
      </w:r>
      <w:r>
        <w:rPr>
          <w:color w:val="333333"/>
        </w:rPr>
        <w:t xml:space="preserve"> </w:t>
      </w:r>
    </w:p>
    <w:p w14:paraId="27C6D7CF" w14:textId="77777777" w:rsidR="00A71EEF" w:rsidRDefault="0081115D">
      <w:pPr>
        <w:pStyle w:val="a4"/>
        <w:numPr>
          <w:ilvl w:val="0"/>
          <w:numId w:val="744"/>
        </w:numPr>
        <w:tabs>
          <w:tab w:val="left" w:pos="1367"/>
        </w:tabs>
        <w:spacing w:line="446" w:lineRule="auto"/>
        <w:ind w:right="1505" w:firstLine="419"/>
        <w:rPr>
          <w:sz w:val="21"/>
        </w:rPr>
      </w:pPr>
      <w:r>
        <w:rPr>
          <w:color w:val="333333"/>
          <w:spacing w:val="-3"/>
          <w:sz w:val="21"/>
        </w:rPr>
        <w:t>储存除可燃液体、棉、麻、丝、毛及其他纺织品、泡沫塑料等物品外的丙类物品且建筑的耐火等级不低于一级；</w:t>
      </w:r>
      <w:r>
        <w:rPr>
          <w:color w:val="333333"/>
          <w:spacing w:val="-3"/>
          <w:sz w:val="21"/>
        </w:rPr>
        <w:t xml:space="preserve"> </w:t>
      </w:r>
    </w:p>
    <w:p w14:paraId="1251E9DB" w14:textId="77777777" w:rsidR="00A71EEF" w:rsidRDefault="0081115D">
      <w:pPr>
        <w:pStyle w:val="a4"/>
        <w:numPr>
          <w:ilvl w:val="0"/>
          <w:numId w:val="744"/>
        </w:numPr>
        <w:tabs>
          <w:tab w:val="left" w:pos="1367"/>
        </w:tabs>
        <w:ind w:left="1367"/>
        <w:rPr>
          <w:sz w:val="21"/>
        </w:rPr>
      </w:pPr>
      <w:r>
        <w:rPr>
          <w:color w:val="333333"/>
          <w:spacing w:val="-3"/>
          <w:sz w:val="21"/>
        </w:rPr>
        <w:t>储存丁、戊类物品且建筑的耐火等级不低于二级；</w:t>
      </w:r>
      <w:r>
        <w:rPr>
          <w:color w:val="333333"/>
          <w:sz w:val="21"/>
        </w:rPr>
        <w:t xml:space="preserve"> </w:t>
      </w:r>
    </w:p>
    <w:p w14:paraId="6B853F3D" w14:textId="77777777" w:rsidR="00A71EEF" w:rsidRDefault="00A71EEF">
      <w:pPr>
        <w:pStyle w:val="a3"/>
        <w:spacing w:before="9"/>
        <w:rPr>
          <w:sz w:val="17"/>
        </w:rPr>
      </w:pPr>
    </w:p>
    <w:p w14:paraId="71D7E857" w14:textId="77777777" w:rsidR="00A71EEF" w:rsidRDefault="0081115D">
      <w:pPr>
        <w:pStyle w:val="a4"/>
        <w:numPr>
          <w:ilvl w:val="0"/>
          <w:numId w:val="744"/>
        </w:numPr>
        <w:tabs>
          <w:tab w:val="left" w:pos="1367"/>
        </w:tabs>
        <w:spacing w:before="1" w:line="446" w:lineRule="auto"/>
        <w:ind w:left="840" w:right="4134" w:hanging="3"/>
        <w:rPr>
          <w:sz w:val="21"/>
        </w:rPr>
      </w:pPr>
      <w:r>
        <w:rPr>
          <w:color w:val="333333"/>
          <w:spacing w:val="-3"/>
          <w:sz w:val="21"/>
        </w:rPr>
        <w:t>建筑内全部设置自动水灭火系统和火灾自动报警系统。</w:t>
      </w:r>
      <w:r>
        <w:rPr>
          <w:b/>
          <w:color w:val="333333"/>
          <w:sz w:val="21"/>
        </w:rPr>
        <w:t>3.3.11</w:t>
      </w:r>
      <w:r>
        <w:rPr>
          <w:b/>
          <w:color w:val="333333"/>
          <w:spacing w:val="2"/>
          <w:sz w:val="21"/>
        </w:rPr>
        <w:t xml:space="preserve"> </w:t>
      </w:r>
      <w:r>
        <w:rPr>
          <w:color w:val="333333"/>
          <w:spacing w:val="-3"/>
          <w:sz w:val="21"/>
        </w:rPr>
        <w:t>甲、乙类厂房（</w:t>
      </w:r>
      <w:r>
        <w:rPr>
          <w:color w:val="333333"/>
          <w:spacing w:val="-2"/>
          <w:sz w:val="21"/>
        </w:rPr>
        <w:t>仓库</w:t>
      </w:r>
      <w:r>
        <w:rPr>
          <w:color w:val="333333"/>
          <w:sz w:val="21"/>
        </w:rPr>
        <w:t>）</w:t>
      </w:r>
      <w:r>
        <w:rPr>
          <w:color w:val="333333"/>
          <w:spacing w:val="-3"/>
          <w:sz w:val="21"/>
        </w:rPr>
        <w:t>内不应设置铁路线。</w:t>
      </w:r>
      <w:r>
        <w:rPr>
          <w:color w:val="333333"/>
          <w:sz w:val="21"/>
        </w:rPr>
        <w:t xml:space="preserve"> </w:t>
      </w:r>
    </w:p>
    <w:p w14:paraId="02F94214" w14:textId="77777777" w:rsidR="00A71EEF" w:rsidRDefault="0081115D">
      <w:pPr>
        <w:pStyle w:val="a3"/>
        <w:spacing w:line="446" w:lineRule="auto"/>
        <w:ind w:left="418" w:right="1609" w:firstLine="419"/>
      </w:pPr>
      <w:r>
        <w:rPr>
          <w:color w:val="333333"/>
        </w:rPr>
        <w:t>需要出入蒸汽机车和内燃机车的丙、丁、戊类厂房（仓库），其屋顶应采用不燃材料或采取其他防火措施。</w:t>
      </w:r>
      <w:r>
        <w:rPr>
          <w:color w:val="333333"/>
        </w:rPr>
        <w:t xml:space="preserve"> </w:t>
      </w:r>
    </w:p>
    <w:p w14:paraId="2F689F1B" w14:textId="77777777" w:rsidR="00A71EEF" w:rsidRDefault="0081115D">
      <w:pPr>
        <w:pStyle w:val="a4"/>
        <w:numPr>
          <w:ilvl w:val="1"/>
          <w:numId w:val="747"/>
        </w:numPr>
        <w:tabs>
          <w:tab w:val="left" w:pos="1159"/>
        </w:tabs>
        <w:spacing w:line="267" w:lineRule="exact"/>
        <w:ind w:hanging="319"/>
        <w:rPr>
          <w:sz w:val="21"/>
        </w:rPr>
      </w:pPr>
      <w:r>
        <w:rPr>
          <w:spacing w:val="-3"/>
          <w:sz w:val="21"/>
        </w:rPr>
        <w:t>厂房的防火间距</w:t>
      </w:r>
      <w:r>
        <w:rPr>
          <w:sz w:val="21"/>
        </w:rPr>
        <w:t xml:space="preserve"> </w:t>
      </w:r>
    </w:p>
    <w:p w14:paraId="5BAC9E3C" w14:textId="77777777" w:rsidR="00A71EEF" w:rsidRDefault="00A71EEF">
      <w:pPr>
        <w:pStyle w:val="a3"/>
        <w:spacing w:before="1"/>
        <w:rPr>
          <w:sz w:val="18"/>
        </w:rPr>
      </w:pPr>
    </w:p>
    <w:p w14:paraId="083F42F6" w14:textId="77777777" w:rsidR="00A71EEF" w:rsidRDefault="0081115D">
      <w:pPr>
        <w:pStyle w:val="a4"/>
        <w:numPr>
          <w:ilvl w:val="2"/>
          <w:numId w:val="747"/>
        </w:numPr>
        <w:tabs>
          <w:tab w:val="left" w:pos="1370"/>
        </w:tabs>
        <w:spacing w:line="446" w:lineRule="auto"/>
        <w:ind w:right="1604" w:firstLine="422"/>
        <w:rPr>
          <w:sz w:val="21"/>
        </w:rPr>
      </w:pPr>
      <w:r>
        <w:rPr>
          <w:color w:val="333333"/>
          <w:spacing w:val="-3"/>
          <w:sz w:val="21"/>
        </w:rPr>
        <w:t>除本规范另有规定外，厂房之间及与乙、丙、丁、戊类仓库、民用建筑等的防火间</w:t>
      </w:r>
      <w:r>
        <w:rPr>
          <w:color w:val="333333"/>
          <w:spacing w:val="-10"/>
          <w:sz w:val="21"/>
        </w:rPr>
        <w:t>距不应小于表</w:t>
      </w:r>
      <w:r>
        <w:rPr>
          <w:color w:val="333333"/>
          <w:spacing w:val="-10"/>
          <w:sz w:val="21"/>
        </w:rPr>
        <w:t xml:space="preserve"> </w:t>
      </w:r>
      <w:r>
        <w:rPr>
          <w:color w:val="333333"/>
          <w:sz w:val="21"/>
        </w:rPr>
        <w:t>3.4.1</w:t>
      </w:r>
      <w:r>
        <w:rPr>
          <w:color w:val="333333"/>
          <w:spacing w:val="-6"/>
          <w:sz w:val="21"/>
        </w:rPr>
        <w:t xml:space="preserve"> </w:t>
      </w:r>
      <w:r>
        <w:rPr>
          <w:color w:val="333333"/>
          <w:spacing w:val="-6"/>
          <w:sz w:val="21"/>
        </w:rPr>
        <w:t>的规定，与甲类仓库的防火间距应符合本规范第</w:t>
      </w:r>
      <w:r>
        <w:rPr>
          <w:color w:val="333333"/>
          <w:spacing w:val="-6"/>
          <w:sz w:val="21"/>
        </w:rPr>
        <w:t xml:space="preserve"> </w:t>
      </w:r>
      <w:r>
        <w:rPr>
          <w:color w:val="333333"/>
          <w:sz w:val="21"/>
        </w:rPr>
        <w:t>3.5.1</w:t>
      </w:r>
      <w:r>
        <w:rPr>
          <w:color w:val="333333"/>
          <w:spacing w:val="-10"/>
          <w:sz w:val="21"/>
        </w:rPr>
        <w:t xml:space="preserve"> </w:t>
      </w:r>
      <w:r>
        <w:rPr>
          <w:color w:val="333333"/>
          <w:spacing w:val="-10"/>
          <w:sz w:val="21"/>
        </w:rPr>
        <w:t>条的规定。</w:t>
      </w:r>
      <w:r>
        <w:rPr>
          <w:color w:val="333333"/>
          <w:spacing w:val="-10"/>
          <w:sz w:val="21"/>
        </w:rPr>
        <w:t xml:space="preserve"> </w:t>
      </w:r>
    </w:p>
    <w:p w14:paraId="7DF87EB3" w14:textId="77777777" w:rsidR="00A71EEF" w:rsidRDefault="0081115D">
      <w:pPr>
        <w:pStyle w:val="6"/>
        <w:spacing w:line="267" w:lineRule="exact"/>
        <w:ind w:left="840"/>
      </w:pPr>
      <w:r>
        <w:t>表</w:t>
      </w:r>
      <w:r>
        <w:t xml:space="preserve"> 3.4.1 </w:t>
      </w:r>
      <w:r>
        <w:t>厂房之间及与乙、丙、丁、戊类仓库、民用建筑等的防火间距（</w:t>
      </w:r>
      <w:r>
        <w:t>m</w:t>
      </w:r>
      <w:r>
        <w:t>）</w:t>
      </w:r>
      <w:r>
        <w:rPr>
          <w:w w:val="99"/>
        </w:rPr>
        <w:t xml:space="preserve"> </w:t>
      </w:r>
    </w:p>
    <w:p w14:paraId="4121A717" w14:textId="77777777" w:rsidR="00A71EEF" w:rsidRDefault="00A71EEF">
      <w:pPr>
        <w:pStyle w:val="a3"/>
        <w:spacing w:before="2"/>
        <w:rPr>
          <w:b/>
          <w:sz w:val="18"/>
        </w:rPr>
      </w:pPr>
    </w:p>
    <w:p w14:paraId="4314062E" w14:textId="77777777" w:rsidR="00A71EEF" w:rsidRDefault="0081115D">
      <w:pPr>
        <w:ind w:left="840"/>
        <w:rPr>
          <w:b/>
          <w:sz w:val="21"/>
        </w:rPr>
      </w:pPr>
      <w:r>
        <w:rPr>
          <w:b/>
          <w:w w:val="99"/>
          <w:sz w:val="21"/>
        </w:rPr>
        <w:t xml:space="preserve"> </w:t>
      </w:r>
    </w:p>
    <w:p w14:paraId="723DF0F8" w14:textId="77777777" w:rsidR="00A71EEF" w:rsidRDefault="00A71EEF">
      <w:pPr>
        <w:rPr>
          <w:sz w:val="21"/>
        </w:rPr>
        <w:sectPr w:rsidR="00A71EEF">
          <w:pgSz w:w="11910" w:h="16850"/>
          <w:pgMar w:top="1220" w:right="0" w:bottom="1420" w:left="1260" w:header="0" w:footer="1239" w:gutter="0"/>
          <w:cols w:space="720"/>
        </w:sectPr>
      </w:pPr>
    </w:p>
    <w:p w14:paraId="4D524744" w14:textId="77777777" w:rsidR="00A71EEF" w:rsidRDefault="00A71EEF">
      <w:pPr>
        <w:pStyle w:val="a3"/>
        <w:rPr>
          <w:b/>
          <w:sz w:val="20"/>
        </w:rPr>
      </w:pPr>
    </w:p>
    <w:p w14:paraId="6884C834" w14:textId="77777777" w:rsidR="00A71EEF" w:rsidRDefault="00A71EEF">
      <w:pPr>
        <w:pStyle w:val="a3"/>
        <w:rPr>
          <w:b/>
          <w:sz w:val="20"/>
        </w:rPr>
      </w:pPr>
    </w:p>
    <w:p w14:paraId="49015E30" w14:textId="77777777" w:rsidR="00A71EEF" w:rsidRDefault="00A71EEF">
      <w:pPr>
        <w:pStyle w:val="a3"/>
        <w:rPr>
          <w:b/>
          <w:sz w:val="20"/>
        </w:rPr>
      </w:pPr>
    </w:p>
    <w:p w14:paraId="54873579" w14:textId="77777777" w:rsidR="00A71EEF" w:rsidRDefault="00A71EEF">
      <w:pPr>
        <w:pStyle w:val="a3"/>
        <w:rPr>
          <w:b/>
          <w:sz w:val="20"/>
        </w:rPr>
      </w:pPr>
    </w:p>
    <w:p w14:paraId="621B3B39" w14:textId="77777777" w:rsidR="00A71EEF" w:rsidRDefault="00A71EEF">
      <w:pPr>
        <w:pStyle w:val="a3"/>
        <w:rPr>
          <w:b/>
          <w:sz w:val="20"/>
        </w:rPr>
      </w:pPr>
    </w:p>
    <w:p w14:paraId="49BBD27F" w14:textId="77777777" w:rsidR="00A71EEF" w:rsidRDefault="00A71EEF">
      <w:pPr>
        <w:pStyle w:val="a3"/>
        <w:spacing w:before="10" w:after="1"/>
        <w:rPr>
          <w:b/>
        </w:rPr>
      </w:pPr>
    </w:p>
    <w:p w14:paraId="45873557" w14:textId="77777777" w:rsidR="00A71EEF" w:rsidRDefault="0081115D">
      <w:pPr>
        <w:pStyle w:val="a3"/>
        <w:ind w:left="658"/>
        <w:rPr>
          <w:sz w:val="20"/>
        </w:rPr>
      </w:pPr>
      <w:r>
        <w:rPr>
          <w:noProof/>
          <w:sz w:val="20"/>
        </w:rPr>
        <w:drawing>
          <wp:inline distT="0" distB="0" distL="0" distR="0" wp14:anchorId="7436AE4C" wp14:editId="70C99CCE">
            <wp:extent cx="5224890" cy="3590925"/>
            <wp:effectExtent l="0" t="0" r="0" b="0"/>
            <wp:docPr id="159" name="image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107.jpeg"/>
                    <pic:cNvPicPr/>
                  </pic:nvPicPr>
                  <pic:blipFill>
                    <a:blip r:embed="rId105" cstate="print"/>
                    <a:stretch>
                      <a:fillRect/>
                    </a:stretch>
                  </pic:blipFill>
                  <pic:spPr>
                    <a:xfrm>
                      <a:off x="0" y="0"/>
                      <a:ext cx="5224890" cy="3590925"/>
                    </a:xfrm>
                    <a:prstGeom prst="rect">
                      <a:avLst/>
                    </a:prstGeom>
                  </pic:spPr>
                </pic:pic>
              </a:graphicData>
            </a:graphic>
          </wp:inline>
        </w:drawing>
      </w:r>
    </w:p>
    <w:p w14:paraId="6F163753" w14:textId="77777777" w:rsidR="00A71EEF" w:rsidRDefault="00A71EEF">
      <w:pPr>
        <w:pStyle w:val="a3"/>
        <w:spacing w:before="7"/>
        <w:rPr>
          <w:b/>
          <w:sz w:val="10"/>
        </w:rPr>
      </w:pPr>
    </w:p>
    <w:p w14:paraId="42555A7F" w14:textId="77777777" w:rsidR="00A71EEF" w:rsidRDefault="0081115D">
      <w:pPr>
        <w:pStyle w:val="a3"/>
        <w:spacing w:before="72" w:line="446" w:lineRule="auto"/>
        <w:ind w:left="418" w:right="1450" w:firstLine="419"/>
      </w:pPr>
      <w:r>
        <w:rPr>
          <w:color w:val="333333"/>
        </w:rPr>
        <w:t>注：</w:t>
      </w:r>
      <w:r>
        <w:rPr>
          <w:color w:val="333333"/>
        </w:rPr>
        <w:t>1</w:t>
      </w:r>
      <w:r>
        <w:rPr>
          <w:color w:val="333333"/>
          <w:spacing w:val="-4"/>
        </w:rPr>
        <w:t>.</w:t>
      </w:r>
      <w:r>
        <w:rPr>
          <w:color w:val="333333"/>
          <w:spacing w:val="-4"/>
        </w:rPr>
        <w:t>乙类厂房与重要公共建筑的防火间距不宜小于</w:t>
      </w:r>
      <w:r>
        <w:rPr>
          <w:color w:val="333333"/>
          <w:spacing w:val="-4"/>
        </w:rPr>
        <w:t xml:space="preserve"> </w:t>
      </w:r>
      <w:r>
        <w:rPr>
          <w:color w:val="333333"/>
        </w:rPr>
        <w:t>50m</w:t>
      </w:r>
      <w:r>
        <w:rPr>
          <w:color w:val="333333"/>
          <w:spacing w:val="-3"/>
        </w:rPr>
        <w:t>；与明火或散发火花地点，不宜小</w:t>
      </w:r>
      <w:r>
        <w:rPr>
          <w:color w:val="333333"/>
          <w:spacing w:val="-24"/>
        </w:rPr>
        <w:t>于</w:t>
      </w:r>
      <w:r>
        <w:rPr>
          <w:color w:val="333333"/>
          <w:spacing w:val="-24"/>
        </w:rPr>
        <w:t xml:space="preserve"> </w:t>
      </w:r>
      <w:r>
        <w:rPr>
          <w:color w:val="333333"/>
        </w:rPr>
        <w:t>30m</w:t>
      </w:r>
      <w:r>
        <w:rPr>
          <w:color w:val="333333"/>
          <w:spacing w:val="-5"/>
        </w:rPr>
        <w:t>。单、多层戊类厂房之间及与戊类仓库的防火间距可按本表的规定减少</w:t>
      </w:r>
      <w:r>
        <w:rPr>
          <w:color w:val="333333"/>
          <w:spacing w:val="-5"/>
        </w:rPr>
        <w:t xml:space="preserve"> </w:t>
      </w:r>
      <w:r>
        <w:rPr>
          <w:color w:val="333333"/>
        </w:rPr>
        <w:t>2m</w:t>
      </w:r>
      <w:r>
        <w:rPr>
          <w:color w:val="333333"/>
          <w:spacing w:val="-3"/>
        </w:rPr>
        <w:t>，与民用建筑</w:t>
      </w:r>
      <w:r>
        <w:rPr>
          <w:color w:val="333333"/>
          <w:spacing w:val="-5"/>
        </w:rPr>
        <w:t>的防火间距可将戊类厂房等同民用建筑按本规范第</w:t>
      </w:r>
      <w:r>
        <w:rPr>
          <w:color w:val="333333"/>
          <w:spacing w:val="-5"/>
        </w:rPr>
        <w:t xml:space="preserve"> </w:t>
      </w:r>
      <w:r>
        <w:rPr>
          <w:color w:val="333333"/>
        </w:rPr>
        <w:t>5.2.2</w:t>
      </w:r>
      <w:r>
        <w:rPr>
          <w:color w:val="333333"/>
          <w:spacing w:val="-3"/>
        </w:rPr>
        <w:t xml:space="preserve"> </w:t>
      </w:r>
      <w:r>
        <w:rPr>
          <w:color w:val="333333"/>
          <w:spacing w:val="-3"/>
        </w:rPr>
        <w:t>条的规定执行。为丙、丁、戊类厂房</w:t>
      </w:r>
      <w:r>
        <w:rPr>
          <w:color w:val="333333"/>
          <w:spacing w:val="-4"/>
        </w:rPr>
        <w:t>服务而单独设置的生活用房应按民用建筑确定，与所属厂房的防火间距不应小于</w:t>
      </w:r>
      <w:r>
        <w:rPr>
          <w:color w:val="333333"/>
          <w:spacing w:val="-4"/>
        </w:rPr>
        <w:t xml:space="preserve"> </w:t>
      </w:r>
      <w:r>
        <w:rPr>
          <w:color w:val="333333"/>
        </w:rPr>
        <w:t>6m</w:t>
      </w:r>
      <w:r>
        <w:rPr>
          <w:color w:val="333333"/>
          <w:spacing w:val="-3"/>
        </w:rPr>
        <w:t>。确需相邻</w:t>
      </w:r>
      <w:r>
        <w:rPr>
          <w:color w:val="333333"/>
          <w:spacing w:val="-8"/>
        </w:rPr>
        <w:t>布置时，应符合本表注</w:t>
      </w:r>
      <w:r>
        <w:rPr>
          <w:color w:val="333333"/>
          <w:spacing w:val="-8"/>
        </w:rPr>
        <w:t xml:space="preserve"> </w:t>
      </w:r>
      <w:r>
        <w:rPr>
          <w:color w:val="333333"/>
          <w:spacing w:val="-3"/>
        </w:rPr>
        <w:t>2</w:t>
      </w:r>
      <w:r>
        <w:rPr>
          <w:color w:val="333333"/>
        </w:rPr>
        <w:t>、</w:t>
      </w:r>
      <w:r>
        <w:rPr>
          <w:color w:val="333333"/>
        </w:rPr>
        <w:t>3</w:t>
      </w:r>
      <w:r>
        <w:rPr>
          <w:color w:val="333333"/>
          <w:spacing w:val="-3"/>
        </w:rPr>
        <w:t xml:space="preserve"> </w:t>
      </w:r>
      <w:r>
        <w:rPr>
          <w:color w:val="333333"/>
          <w:spacing w:val="-3"/>
        </w:rPr>
        <w:t>的规定。</w:t>
      </w:r>
      <w:r>
        <w:rPr>
          <w:color w:val="333333"/>
        </w:rPr>
        <w:t xml:space="preserve"> </w:t>
      </w:r>
    </w:p>
    <w:p w14:paraId="5F7D90FA" w14:textId="77777777" w:rsidR="00A71EEF" w:rsidRDefault="0081115D">
      <w:pPr>
        <w:pStyle w:val="a4"/>
        <w:numPr>
          <w:ilvl w:val="0"/>
          <w:numId w:val="743"/>
        </w:numPr>
        <w:tabs>
          <w:tab w:val="left" w:pos="1051"/>
        </w:tabs>
        <w:spacing w:line="446" w:lineRule="auto"/>
        <w:ind w:right="1558" w:firstLine="419"/>
        <w:rPr>
          <w:sz w:val="21"/>
        </w:rPr>
      </w:pPr>
      <w:r>
        <w:rPr>
          <w:color w:val="333333"/>
          <w:spacing w:val="-3"/>
          <w:sz w:val="21"/>
        </w:rPr>
        <w:t>两座厂房相邻较高一面外墙为防火墙，或相邻两座高度相同的一、二级耐火等级建筑中</w:t>
      </w:r>
      <w:r>
        <w:rPr>
          <w:color w:val="333333"/>
          <w:spacing w:val="-5"/>
          <w:sz w:val="21"/>
        </w:rPr>
        <w:t>相邻任一侧外墙为防火墙且屋顶的耐火极限不低于</w:t>
      </w:r>
      <w:r>
        <w:rPr>
          <w:color w:val="333333"/>
          <w:spacing w:val="-5"/>
          <w:sz w:val="21"/>
        </w:rPr>
        <w:t xml:space="preserve"> </w:t>
      </w:r>
      <w:r>
        <w:rPr>
          <w:color w:val="333333"/>
          <w:sz w:val="21"/>
        </w:rPr>
        <w:t>1.00h</w:t>
      </w:r>
      <w:r>
        <w:rPr>
          <w:color w:val="333333"/>
          <w:spacing w:val="-3"/>
          <w:sz w:val="21"/>
        </w:rPr>
        <w:t xml:space="preserve"> </w:t>
      </w:r>
      <w:r>
        <w:rPr>
          <w:color w:val="333333"/>
          <w:spacing w:val="-3"/>
          <w:sz w:val="21"/>
        </w:rPr>
        <w:t>时，其防火间距不限，但甲类厂房之</w:t>
      </w:r>
      <w:r>
        <w:rPr>
          <w:color w:val="333333"/>
          <w:spacing w:val="-1"/>
          <w:sz w:val="21"/>
        </w:rPr>
        <w:t>间不应小于</w:t>
      </w:r>
      <w:r>
        <w:rPr>
          <w:color w:val="333333"/>
          <w:spacing w:val="-1"/>
          <w:sz w:val="21"/>
        </w:rPr>
        <w:t xml:space="preserve"> </w:t>
      </w:r>
      <w:r>
        <w:rPr>
          <w:color w:val="333333"/>
          <w:sz w:val="21"/>
        </w:rPr>
        <w:t>4m</w:t>
      </w:r>
      <w:r>
        <w:rPr>
          <w:color w:val="333333"/>
          <w:spacing w:val="-3"/>
          <w:sz w:val="21"/>
        </w:rPr>
        <w:t>。两座丙、丁、戊类厂房相邻两面外墙均为不燃性墙体，当无外露的可燃性屋</w:t>
      </w:r>
      <w:r>
        <w:rPr>
          <w:color w:val="333333"/>
          <w:spacing w:val="-4"/>
          <w:sz w:val="21"/>
        </w:rPr>
        <w:t>檐，每面外墙上的门、窗、洞口面积之和各不大于外墙面积的</w:t>
      </w:r>
      <w:r>
        <w:rPr>
          <w:color w:val="333333"/>
          <w:spacing w:val="-4"/>
          <w:sz w:val="21"/>
        </w:rPr>
        <w:t xml:space="preserve"> </w:t>
      </w:r>
      <w:r>
        <w:rPr>
          <w:color w:val="333333"/>
          <w:sz w:val="21"/>
        </w:rPr>
        <w:t>5</w:t>
      </w:r>
      <w:r>
        <w:rPr>
          <w:color w:val="333333"/>
          <w:spacing w:val="-3"/>
          <w:sz w:val="21"/>
        </w:rPr>
        <w:t>%</w:t>
      </w:r>
      <w:r>
        <w:rPr>
          <w:color w:val="333333"/>
          <w:spacing w:val="-3"/>
          <w:sz w:val="21"/>
        </w:rPr>
        <w:t>，且门、窗、洞口不正对开设</w:t>
      </w:r>
      <w:r>
        <w:rPr>
          <w:color w:val="333333"/>
          <w:spacing w:val="-6"/>
          <w:sz w:val="21"/>
        </w:rPr>
        <w:t>时，其防火间距可按本表的规定减少</w:t>
      </w:r>
      <w:r>
        <w:rPr>
          <w:color w:val="333333"/>
          <w:spacing w:val="-6"/>
          <w:sz w:val="21"/>
        </w:rPr>
        <w:t xml:space="preserve"> </w:t>
      </w:r>
      <w:r>
        <w:rPr>
          <w:color w:val="333333"/>
          <w:sz w:val="21"/>
        </w:rPr>
        <w:t>25</w:t>
      </w:r>
      <w:r>
        <w:rPr>
          <w:color w:val="333333"/>
          <w:spacing w:val="-3"/>
          <w:sz w:val="21"/>
        </w:rPr>
        <w:t>%</w:t>
      </w:r>
      <w:r>
        <w:rPr>
          <w:color w:val="333333"/>
          <w:spacing w:val="-3"/>
          <w:sz w:val="21"/>
        </w:rPr>
        <w:t>。甲、乙类厂房</w:t>
      </w:r>
      <w:r>
        <w:rPr>
          <w:color w:val="333333"/>
          <w:sz w:val="21"/>
        </w:rPr>
        <w:t>（</w:t>
      </w:r>
      <w:r>
        <w:rPr>
          <w:color w:val="333333"/>
          <w:spacing w:val="-2"/>
          <w:sz w:val="21"/>
        </w:rPr>
        <w:t>仓库</w:t>
      </w:r>
      <w:r>
        <w:rPr>
          <w:color w:val="333333"/>
          <w:spacing w:val="-3"/>
          <w:sz w:val="21"/>
        </w:rPr>
        <w:t>）</w:t>
      </w:r>
      <w:r>
        <w:rPr>
          <w:color w:val="333333"/>
          <w:spacing w:val="-9"/>
          <w:sz w:val="21"/>
        </w:rPr>
        <w:t>不应与本规范第</w:t>
      </w:r>
      <w:r>
        <w:rPr>
          <w:color w:val="333333"/>
          <w:spacing w:val="-9"/>
          <w:sz w:val="21"/>
        </w:rPr>
        <w:t xml:space="preserve"> </w:t>
      </w:r>
      <w:r>
        <w:rPr>
          <w:color w:val="333333"/>
          <w:sz w:val="21"/>
        </w:rPr>
        <w:t>3.3.5</w:t>
      </w:r>
      <w:r>
        <w:rPr>
          <w:color w:val="333333"/>
          <w:spacing w:val="4"/>
          <w:sz w:val="21"/>
        </w:rPr>
        <w:t xml:space="preserve"> </w:t>
      </w:r>
      <w:r>
        <w:rPr>
          <w:color w:val="333333"/>
          <w:spacing w:val="4"/>
          <w:sz w:val="21"/>
        </w:rPr>
        <w:t>条规</w:t>
      </w:r>
      <w:r>
        <w:rPr>
          <w:color w:val="333333"/>
          <w:spacing w:val="-3"/>
          <w:sz w:val="21"/>
        </w:rPr>
        <w:t>定外的其他建筑贴邻。</w:t>
      </w:r>
      <w:r>
        <w:rPr>
          <w:color w:val="333333"/>
          <w:sz w:val="21"/>
        </w:rPr>
        <w:t xml:space="preserve"> </w:t>
      </w:r>
    </w:p>
    <w:p w14:paraId="6F2FB4AA" w14:textId="77777777" w:rsidR="00A71EEF" w:rsidRDefault="0081115D">
      <w:pPr>
        <w:pStyle w:val="a4"/>
        <w:numPr>
          <w:ilvl w:val="0"/>
          <w:numId w:val="743"/>
        </w:numPr>
        <w:tabs>
          <w:tab w:val="left" w:pos="1051"/>
        </w:tabs>
        <w:spacing w:line="267" w:lineRule="exact"/>
        <w:ind w:left="1050"/>
        <w:rPr>
          <w:sz w:val="21"/>
        </w:rPr>
      </w:pPr>
      <w:r>
        <w:rPr>
          <w:color w:val="333333"/>
          <w:spacing w:val="-3"/>
          <w:sz w:val="21"/>
        </w:rPr>
        <w:t>两座一、二级耐火等级的厂房，当相邻较低一面外墙为防火墙且较低一座厂房的屋顶无</w:t>
      </w:r>
    </w:p>
    <w:p w14:paraId="1432C28A" w14:textId="77777777" w:rsidR="00A71EEF" w:rsidRDefault="00A71EEF">
      <w:pPr>
        <w:pStyle w:val="a3"/>
        <w:spacing w:before="11"/>
        <w:rPr>
          <w:sz w:val="17"/>
        </w:rPr>
      </w:pPr>
    </w:p>
    <w:p w14:paraId="7A5DE772" w14:textId="77777777" w:rsidR="00A71EEF" w:rsidRDefault="0081115D">
      <w:pPr>
        <w:pStyle w:val="a3"/>
        <w:ind w:left="418"/>
      </w:pPr>
      <w:r>
        <w:rPr>
          <w:color w:val="333333"/>
        </w:rPr>
        <w:t>天窗，屋顶的耐火极限不低于</w:t>
      </w:r>
      <w:r>
        <w:rPr>
          <w:color w:val="333333"/>
        </w:rPr>
        <w:t xml:space="preserve"> 1.00h</w:t>
      </w:r>
      <w:r>
        <w:rPr>
          <w:color w:val="333333"/>
        </w:rPr>
        <w:t>，或相邻较高一面外墙的门、窗等开口部位设置甲级防火</w:t>
      </w:r>
    </w:p>
    <w:p w14:paraId="7F84ECE8" w14:textId="77777777" w:rsidR="00A71EEF" w:rsidRDefault="00A71EEF">
      <w:pPr>
        <w:sectPr w:rsidR="00A71EEF">
          <w:pgSz w:w="11910" w:h="16850"/>
          <w:pgMar w:top="1600" w:right="0" w:bottom="1420" w:left="1260" w:header="0" w:footer="1239" w:gutter="0"/>
          <w:cols w:space="720"/>
        </w:sectPr>
      </w:pPr>
    </w:p>
    <w:p w14:paraId="29818116" w14:textId="77777777" w:rsidR="00A71EEF" w:rsidRDefault="0081115D">
      <w:pPr>
        <w:pStyle w:val="a3"/>
        <w:spacing w:before="47" w:line="446" w:lineRule="auto"/>
        <w:ind w:left="418" w:right="1502"/>
      </w:pPr>
      <w:r>
        <w:rPr>
          <w:color w:val="333333"/>
        </w:rPr>
        <w:lastRenderedPageBreak/>
        <w:t>门、窗或防火分隔水幕或按本规范第</w:t>
      </w:r>
      <w:r>
        <w:rPr>
          <w:color w:val="333333"/>
        </w:rPr>
        <w:t xml:space="preserve"> 6.5.3 </w:t>
      </w:r>
      <w:r>
        <w:rPr>
          <w:color w:val="333333"/>
        </w:rPr>
        <w:t>条的规定设置防火卷帘时，甲、乙类厂房之间的防火间距不应小于</w:t>
      </w:r>
      <w:r>
        <w:rPr>
          <w:color w:val="333333"/>
        </w:rPr>
        <w:t xml:space="preserve"> 6m</w:t>
      </w:r>
      <w:r>
        <w:rPr>
          <w:color w:val="333333"/>
        </w:rPr>
        <w:t>；丙、丁、戊类厂房之间的防火间距不应小于</w:t>
      </w:r>
      <w:r>
        <w:rPr>
          <w:color w:val="333333"/>
        </w:rPr>
        <w:t xml:space="preserve"> 4m</w:t>
      </w:r>
      <w:r>
        <w:rPr>
          <w:color w:val="333333"/>
        </w:rPr>
        <w:t>。</w:t>
      </w:r>
      <w:r>
        <w:rPr>
          <w:color w:val="333333"/>
        </w:rPr>
        <w:t xml:space="preserve"> </w:t>
      </w:r>
    </w:p>
    <w:p w14:paraId="6841E5C2" w14:textId="77777777" w:rsidR="00A71EEF" w:rsidRDefault="0081115D">
      <w:pPr>
        <w:pStyle w:val="a4"/>
        <w:numPr>
          <w:ilvl w:val="0"/>
          <w:numId w:val="743"/>
        </w:numPr>
        <w:tabs>
          <w:tab w:val="left" w:pos="1051"/>
        </w:tabs>
        <w:spacing w:line="267" w:lineRule="exact"/>
        <w:ind w:left="1050"/>
        <w:rPr>
          <w:sz w:val="21"/>
        </w:rPr>
      </w:pPr>
      <w:r>
        <w:rPr>
          <w:color w:val="333333"/>
          <w:spacing w:val="-3"/>
          <w:sz w:val="21"/>
        </w:rPr>
        <w:t>发电厂内的主变压器，其油量可按单台确定。</w:t>
      </w:r>
      <w:r>
        <w:rPr>
          <w:color w:val="333333"/>
          <w:sz w:val="21"/>
        </w:rPr>
        <w:t xml:space="preserve"> </w:t>
      </w:r>
    </w:p>
    <w:p w14:paraId="4318293B" w14:textId="77777777" w:rsidR="00A71EEF" w:rsidRDefault="00A71EEF">
      <w:pPr>
        <w:pStyle w:val="a3"/>
        <w:spacing w:before="2"/>
        <w:rPr>
          <w:sz w:val="18"/>
        </w:rPr>
      </w:pPr>
    </w:p>
    <w:p w14:paraId="10F2898A" w14:textId="77777777" w:rsidR="00A71EEF" w:rsidRDefault="0081115D">
      <w:pPr>
        <w:pStyle w:val="a4"/>
        <w:numPr>
          <w:ilvl w:val="0"/>
          <w:numId w:val="743"/>
        </w:numPr>
        <w:tabs>
          <w:tab w:val="left" w:pos="1051"/>
        </w:tabs>
        <w:ind w:left="1050"/>
        <w:rPr>
          <w:sz w:val="21"/>
        </w:rPr>
      </w:pPr>
      <w:r>
        <w:rPr>
          <w:color w:val="333333"/>
          <w:spacing w:val="-3"/>
          <w:sz w:val="21"/>
        </w:rPr>
        <w:t>耐火等级低于四级的既有厂房，其耐火等级可按四级确定。</w:t>
      </w:r>
      <w:r>
        <w:rPr>
          <w:color w:val="333333"/>
          <w:sz w:val="21"/>
        </w:rPr>
        <w:t xml:space="preserve"> </w:t>
      </w:r>
    </w:p>
    <w:p w14:paraId="43932316" w14:textId="77777777" w:rsidR="00A71EEF" w:rsidRDefault="00A71EEF">
      <w:pPr>
        <w:pStyle w:val="a3"/>
        <w:rPr>
          <w:sz w:val="18"/>
        </w:rPr>
      </w:pPr>
    </w:p>
    <w:p w14:paraId="7EB5E66B" w14:textId="77777777" w:rsidR="00A71EEF" w:rsidRDefault="0081115D">
      <w:pPr>
        <w:pStyle w:val="a4"/>
        <w:numPr>
          <w:ilvl w:val="0"/>
          <w:numId w:val="743"/>
        </w:numPr>
        <w:tabs>
          <w:tab w:val="left" w:pos="1051"/>
        </w:tabs>
        <w:ind w:left="1050"/>
        <w:rPr>
          <w:sz w:val="21"/>
        </w:rPr>
      </w:pPr>
      <w:r>
        <w:rPr>
          <w:color w:val="333333"/>
          <w:spacing w:val="-5"/>
          <w:sz w:val="21"/>
        </w:rPr>
        <w:t>当丙、丁、戊类厂房与丙、丁、戊类仓库相邻时，应符合本表注</w:t>
      </w:r>
      <w:r>
        <w:rPr>
          <w:color w:val="333333"/>
          <w:spacing w:val="-5"/>
          <w:sz w:val="21"/>
        </w:rPr>
        <w:t xml:space="preserve"> </w:t>
      </w:r>
      <w:r>
        <w:rPr>
          <w:color w:val="333333"/>
          <w:sz w:val="21"/>
        </w:rPr>
        <w:t>2</w:t>
      </w:r>
      <w:r>
        <w:rPr>
          <w:color w:val="333333"/>
          <w:spacing w:val="-3"/>
          <w:sz w:val="21"/>
        </w:rPr>
        <w:t>、</w:t>
      </w:r>
      <w:r>
        <w:rPr>
          <w:color w:val="333333"/>
          <w:sz w:val="21"/>
        </w:rPr>
        <w:t xml:space="preserve">3 </w:t>
      </w:r>
      <w:r>
        <w:rPr>
          <w:color w:val="333333"/>
          <w:sz w:val="21"/>
        </w:rPr>
        <w:t>的规定。</w:t>
      </w:r>
      <w:r>
        <w:rPr>
          <w:color w:val="333333"/>
          <w:sz w:val="21"/>
        </w:rPr>
        <w:t xml:space="preserve"> </w:t>
      </w:r>
    </w:p>
    <w:p w14:paraId="23559880" w14:textId="77777777" w:rsidR="00A71EEF" w:rsidRDefault="00A71EEF">
      <w:pPr>
        <w:pStyle w:val="a3"/>
        <w:spacing w:before="12"/>
        <w:rPr>
          <w:sz w:val="17"/>
        </w:rPr>
      </w:pPr>
    </w:p>
    <w:p w14:paraId="25C82345" w14:textId="77777777" w:rsidR="00A71EEF" w:rsidRDefault="0081115D">
      <w:pPr>
        <w:pStyle w:val="a4"/>
        <w:numPr>
          <w:ilvl w:val="2"/>
          <w:numId w:val="747"/>
        </w:numPr>
        <w:tabs>
          <w:tab w:val="left" w:pos="1370"/>
        </w:tabs>
        <w:spacing w:line="446" w:lineRule="auto"/>
        <w:ind w:right="1551" w:firstLine="422"/>
        <w:rPr>
          <w:b/>
          <w:sz w:val="21"/>
        </w:rPr>
      </w:pPr>
      <w:r>
        <w:rPr>
          <w:color w:val="333333"/>
          <w:spacing w:val="-4"/>
          <w:sz w:val="21"/>
        </w:rPr>
        <w:t>甲类厂房与重要公共建筑的防火间距不应小于</w:t>
      </w:r>
      <w:r>
        <w:rPr>
          <w:color w:val="333333"/>
          <w:spacing w:val="-4"/>
          <w:sz w:val="21"/>
        </w:rPr>
        <w:t xml:space="preserve"> </w:t>
      </w:r>
      <w:r>
        <w:rPr>
          <w:color w:val="333333"/>
          <w:sz w:val="21"/>
        </w:rPr>
        <w:t>50m</w:t>
      </w:r>
      <w:r>
        <w:rPr>
          <w:color w:val="333333"/>
          <w:spacing w:val="-3"/>
          <w:sz w:val="21"/>
        </w:rPr>
        <w:t>，与明火或散发火花地点的防火间</w:t>
      </w:r>
      <w:r>
        <w:rPr>
          <w:color w:val="333333"/>
          <w:spacing w:val="-12"/>
          <w:sz w:val="21"/>
        </w:rPr>
        <w:t>距不应小于</w:t>
      </w:r>
      <w:r>
        <w:rPr>
          <w:color w:val="333333"/>
          <w:spacing w:val="-12"/>
          <w:sz w:val="21"/>
        </w:rPr>
        <w:t xml:space="preserve"> </w:t>
      </w:r>
      <w:r>
        <w:rPr>
          <w:color w:val="333333"/>
          <w:sz w:val="21"/>
        </w:rPr>
        <w:t>30m</w:t>
      </w:r>
      <w:r>
        <w:rPr>
          <w:color w:val="333333"/>
          <w:spacing w:val="-3"/>
          <w:sz w:val="21"/>
        </w:rPr>
        <w:t>。</w:t>
      </w:r>
      <w:r>
        <w:rPr>
          <w:b/>
          <w:color w:val="333333"/>
          <w:w w:val="99"/>
          <w:sz w:val="21"/>
        </w:rPr>
        <w:t xml:space="preserve"> </w:t>
      </w:r>
    </w:p>
    <w:p w14:paraId="09FDCD76" w14:textId="77777777" w:rsidR="00A71EEF" w:rsidRDefault="0081115D">
      <w:pPr>
        <w:pStyle w:val="a4"/>
        <w:numPr>
          <w:ilvl w:val="2"/>
          <w:numId w:val="747"/>
        </w:numPr>
        <w:tabs>
          <w:tab w:val="left" w:pos="1371"/>
        </w:tabs>
        <w:spacing w:before="1"/>
        <w:ind w:left="1370"/>
        <w:rPr>
          <w:sz w:val="21"/>
        </w:rPr>
      </w:pPr>
      <w:r>
        <w:rPr>
          <w:color w:val="333333"/>
          <w:spacing w:val="-3"/>
          <w:sz w:val="21"/>
        </w:rPr>
        <w:t>散发可燃气体、可燃蒸气的甲类厂房与铁路、道路等的防火间距不应小于表</w:t>
      </w:r>
      <w:r>
        <w:rPr>
          <w:color w:val="333333"/>
          <w:spacing w:val="-3"/>
          <w:sz w:val="21"/>
        </w:rPr>
        <w:t xml:space="preserve"> </w:t>
      </w:r>
    </w:p>
    <w:p w14:paraId="68BFCE9A" w14:textId="77777777" w:rsidR="00A71EEF" w:rsidRDefault="00A71EEF">
      <w:pPr>
        <w:pStyle w:val="a3"/>
        <w:spacing w:before="12"/>
        <w:rPr>
          <w:sz w:val="17"/>
        </w:rPr>
      </w:pPr>
    </w:p>
    <w:p w14:paraId="2165E6A1" w14:textId="77777777" w:rsidR="00A71EEF" w:rsidRDefault="0081115D">
      <w:pPr>
        <w:pStyle w:val="a4"/>
        <w:numPr>
          <w:ilvl w:val="2"/>
          <w:numId w:val="742"/>
        </w:numPr>
        <w:tabs>
          <w:tab w:val="left" w:pos="948"/>
        </w:tabs>
        <w:spacing w:line="446" w:lineRule="auto"/>
        <w:ind w:right="1611" w:firstLine="0"/>
        <w:jc w:val="left"/>
        <w:rPr>
          <w:color w:val="333333"/>
          <w:sz w:val="19"/>
        </w:rPr>
      </w:pPr>
      <w:r>
        <w:rPr>
          <w:color w:val="333333"/>
          <w:spacing w:val="-5"/>
          <w:sz w:val="21"/>
        </w:rPr>
        <w:t>的规定，但甲类厂房所属厂内铁路装卸线当有安全措施时，防火间距不受表</w:t>
      </w:r>
      <w:r>
        <w:rPr>
          <w:color w:val="333333"/>
          <w:spacing w:val="-5"/>
          <w:sz w:val="21"/>
        </w:rPr>
        <w:t xml:space="preserve"> </w:t>
      </w:r>
      <w:r>
        <w:rPr>
          <w:color w:val="333333"/>
          <w:sz w:val="21"/>
        </w:rPr>
        <w:t>3.4.3</w:t>
      </w:r>
      <w:r>
        <w:rPr>
          <w:color w:val="333333"/>
          <w:spacing w:val="-17"/>
          <w:sz w:val="21"/>
        </w:rPr>
        <w:t xml:space="preserve"> </w:t>
      </w:r>
      <w:r>
        <w:rPr>
          <w:color w:val="333333"/>
          <w:spacing w:val="-17"/>
          <w:sz w:val="21"/>
        </w:rPr>
        <w:t>规定</w:t>
      </w:r>
      <w:r>
        <w:rPr>
          <w:color w:val="333333"/>
          <w:spacing w:val="-2"/>
          <w:sz w:val="21"/>
        </w:rPr>
        <w:t>的限制。</w:t>
      </w:r>
      <w:r>
        <w:rPr>
          <w:color w:val="333333"/>
          <w:sz w:val="21"/>
        </w:rPr>
        <w:t xml:space="preserve"> </w:t>
      </w:r>
    </w:p>
    <w:p w14:paraId="5D4D6B8E" w14:textId="77777777" w:rsidR="00A71EEF" w:rsidRDefault="0081115D">
      <w:pPr>
        <w:pStyle w:val="6"/>
        <w:ind w:left="1358"/>
      </w:pPr>
      <w:r>
        <w:t>表</w:t>
      </w:r>
      <w:r>
        <w:t xml:space="preserve"> 3.4.3 </w:t>
      </w:r>
      <w:r>
        <w:t>散发可燃气体、可燃蒸气的甲类厂房与铁路、道路等的防火间距（</w:t>
      </w:r>
      <w:r>
        <w:t>m</w:t>
      </w:r>
      <w:r>
        <w:t>）</w:t>
      </w:r>
      <w:r>
        <w:rPr>
          <w:w w:val="99"/>
        </w:rPr>
        <w:t xml:space="preserve"> </w:t>
      </w:r>
    </w:p>
    <w:p w14:paraId="7E2401D8" w14:textId="77777777" w:rsidR="00A71EEF" w:rsidRDefault="0081115D">
      <w:pPr>
        <w:pStyle w:val="a3"/>
        <w:spacing w:before="10"/>
        <w:rPr>
          <w:b/>
          <w:sz w:val="7"/>
        </w:rPr>
      </w:pPr>
      <w:r>
        <w:rPr>
          <w:noProof/>
        </w:rPr>
        <w:drawing>
          <wp:anchor distT="0" distB="0" distL="0" distR="0" simplePos="0" relativeHeight="251515392" behindDoc="0" locked="0" layoutInCell="1" allowOverlap="1" wp14:anchorId="01918D24" wp14:editId="47E04CC2">
            <wp:simplePos x="0" y="0"/>
            <wp:positionH relativeFrom="page">
              <wp:posOffset>1151255</wp:posOffset>
            </wp:positionH>
            <wp:positionV relativeFrom="paragraph">
              <wp:posOffset>88511</wp:posOffset>
            </wp:positionV>
            <wp:extent cx="5373370" cy="723900"/>
            <wp:effectExtent l="0" t="0" r="0" b="0"/>
            <wp:wrapTopAndBottom/>
            <wp:docPr id="161" name="image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108.jpeg"/>
                    <pic:cNvPicPr/>
                  </pic:nvPicPr>
                  <pic:blipFill>
                    <a:blip r:embed="rId106" cstate="print"/>
                    <a:stretch>
                      <a:fillRect/>
                    </a:stretch>
                  </pic:blipFill>
                  <pic:spPr>
                    <a:xfrm>
                      <a:off x="0" y="0"/>
                      <a:ext cx="5373370" cy="723900"/>
                    </a:xfrm>
                    <a:prstGeom prst="rect">
                      <a:avLst/>
                    </a:prstGeom>
                  </pic:spPr>
                </pic:pic>
              </a:graphicData>
            </a:graphic>
          </wp:anchor>
        </w:drawing>
      </w:r>
    </w:p>
    <w:p w14:paraId="4667C4D0" w14:textId="77777777" w:rsidR="00A71EEF" w:rsidRDefault="0081115D">
      <w:pPr>
        <w:pStyle w:val="a4"/>
        <w:numPr>
          <w:ilvl w:val="2"/>
          <w:numId w:val="742"/>
        </w:numPr>
        <w:tabs>
          <w:tab w:val="left" w:pos="1370"/>
        </w:tabs>
        <w:spacing w:before="163" w:line="446" w:lineRule="auto"/>
        <w:ind w:right="1498" w:firstLine="422"/>
        <w:jc w:val="left"/>
        <w:rPr>
          <w:color w:val="333333"/>
          <w:sz w:val="19"/>
        </w:rPr>
      </w:pPr>
      <w:r>
        <w:rPr>
          <w:color w:val="333333"/>
          <w:spacing w:val="-3"/>
          <w:sz w:val="21"/>
        </w:rPr>
        <w:t>高层厂房与甲、乙、丙类液体储罐，可燃、助燃气体储罐，液化石油气储罐，可燃材</w:t>
      </w:r>
      <w:r>
        <w:rPr>
          <w:color w:val="333333"/>
          <w:spacing w:val="-2"/>
          <w:sz w:val="21"/>
        </w:rPr>
        <w:t>料堆场</w:t>
      </w:r>
      <w:r>
        <w:rPr>
          <w:color w:val="333333"/>
          <w:spacing w:val="-3"/>
          <w:sz w:val="21"/>
        </w:rPr>
        <w:t>（除煤和焦炭场外</w:t>
      </w:r>
      <w:r>
        <w:rPr>
          <w:color w:val="333333"/>
          <w:sz w:val="21"/>
        </w:rPr>
        <w:t>）</w:t>
      </w:r>
      <w:r>
        <w:rPr>
          <w:color w:val="333333"/>
          <w:spacing w:val="-7"/>
          <w:sz w:val="21"/>
        </w:rPr>
        <w:t>的防火间距，应符合本规范第</w:t>
      </w:r>
      <w:r>
        <w:rPr>
          <w:color w:val="333333"/>
          <w:spacing w:val="-7"/>
          <w:sz w:val="21"/>
        </w:rPr>
        <w:t xml:space="preserve"> </w:t>
      </w:r>
      <w:r>
        <w:rPr>
          <w:color w:val="333333"/>
          <w:spacing w:val="-3"/>
          <w:sz w:val="21"/>
        </w:rPr>
        <w:t>4</w:t>
      </w:r>
      <w:r>
        <w:rPr>
          <w:color w:val="333333"/>
          <w:spacing w:val="-7"/>
          <w:sz w:val="21"/>
        </w:rPr>
        <w:t xml:space="preserve"> </w:t>
      </w:r>
      <w:r>
        <w:rPr>
          <w:color w:val="333333"/>
          <w:spacing w:val="-7"/>
          <w:sz w:val="21"/>
        </w:rPr>
        <w:t>章的规定，且不应小于</w:t>
      </w:r>
      <w:r>
        <w:rPr>
          <w:color w:val="333333"/>
          <w:spacing w:val="-7"/>
          <w:sz w:val="21"/>
        </w:rPr>
        <w:t xml:space="preserve"> </w:t>
      </w:r>
      <w:r>
        <w:rPr>
          <w:color w:val="333333"/>
          <w:sz w:val="21"/>
        </w:rPr>
        <w:t>13m</w:t>
      </w:r>
      <w:r>
        <w:rPr>
          <w:b/>
          <w:color w:val="333333"/>
          <w:sz w:val="21"/>
        </w:rPr>
        <w:t>。</w:t>
      </w:r>
      <w:r>
        <w:rPr>
          <w:color w:val="333333"/>
          <w:sz w:val="21"/>
        </w:rPr>
        <w:t xml:space="preserve"> </w:t>
      </w:r>
    </w:p>
    <w:p w14:paraId="15F63775" w14:textId="77777777" w:rsidR="00A71EEF" w:rsidRDefault="0081115D">
      <w:pPr>
        <w:pStyle w:val="a4"/>
        <w:numPr>
          <w:ilvl w:val="2"/>
          <w:numId w:val="742"/>
        </w:numPr>
        <w:tabs>
          <w:tab w:val="left" w:pos="1371"/>
        </w:tabs>
        <w:spacing w:line="446" w:lineRule="auto"/>
        <w:ind w:right="1604" w:firstLine="422"/>
        <w:jc w:val="left"/>
        <w:rPr>
          <w:color w:val="333333"/>
          <w:sz w:val="19"/>
        </w:rPr>
      </w:pPr>
      <w:r>
        <w:rPr>
          <w:color w:val="333333"/>
          <w:spacing w:val="-3"/>
          <w:sz w:val="21"/>
        </w:rPr>
        <w:t>丙、丁、戊类厂房与民用建筑的耐火等级均为一、二级时，丙、丁、戊类厂房与民用建筑的防火间距可适当</w:t>
      </w:r>
      <w:r>
        <w:rPr>
          <w:color w:val="333333"/>
          <w:spacing w:val="-3"/>
          <w:sz w:val="21"/>
        </w:rPr>
        <w:t>减小，但应符合下列规定：</w:t>
      </w:r>
      <w:r>
        <w:rPr>
          <w:color w:val="333333"/>
          <w:spacing w:val="-3"/>
          <w:sz w:val="21"/>
        </w:rPr>
        <w:t xml:space="preserve"> </w:t>
      </w:r>
    </w:p>
    <w:p w14:paraId="21BA3974" w14:textId="77777777" w:rsidR="00A71EEF" w:rsidRDefault="0081115D">
      <w:pPr>
        <w:pStyle w:val="a3"/>
        <w:spacing w:line="446" w:lineRule="auto"/>
        <w:ind w:left="418" w:right="1498" w:firstLine="419"/>
      </w:pPr>
      <w:r>
        <w:rPr>
          <w:color w:val="333333"/>
        </w:rPr>
        <w:t>当较高一面外墙为无门、窗、洞口的防火墙，或比相邻较低一座建筑屋面高</w:t>
      </w:r>
      <w:r>
        <w:rPr>
          <w:color w:val="333333"/>
        </w:rPr>
        <w:t xml:space="preserve"> 15m </w:t>
      </w:r>
      <w:r>
        <w:rPr>
          <w:color w:val="333333"/>
        </w:rPr>
        <w:t>及以下范围内的外墙为无门、窗、洞口的防火墙时，其防火间距不限；</w:t>
      </w:r>
      <w:r>
        <w:rPr>
          <w:color w:val="333333"/>
        </w:rPr>
        <w:t xml:space="preserve"> </w:t>
      </w:r>
    </w:p>
    <w:p w14:paraId="003AE898" w14:textId="77777777" w:rsidR="00A71EEF" w:rsidRDefault="0081115D">
      <w:pPr>
        <w:pStyle w:val="a3"/>
        <w:spacing w:line="446" w:lineRule="auto"/>
        <w:ind w:left="418" w:right="1391" w:firstLine="419"/>
      </w:pPr>
      <w:r>
        <w:rPr>
          <w:color w:val="333333"/>
        </w:rPr>
        <w:t>相邻较低一面外墙为防火墙，且屋顶无天窗、屋顶的耐火极限不低于</w:t>
      </w:r>
      <w:r>
        <w:rPr>
          <w:color w:val="333333"/>
        </w:rPr>
        <w:t xml:space="preserve"> 1.00h</w:t>
      </w:r>
      <w:r>
        <w:rPr>
          <w:color w:val="333333"/>
        </w:rPr>
        <w:t>，或相邻较高一面外墙为防火墙，且墙上开口部位采取了防火措施，其防火间距可适当减小，但不应小于</w:t>
      </w:r>
      <w:r>
        <w:rPr>
          <w:color w:val="333333"/>
        </w:rPr>
        <w:t xml:space="preserve"> 4m</w:t>
      </w:r>
      <w:r>
        <w:rPr>
          <w:color w:val="333333"/>
        </w:rPr>
        <w:t>。</w:t>
      </w:r>
      <w:r>
        <w:rPr>
          <w:color w:val="333333"/>
        </w:rPr>
        <w:t xml:space="preserve"> </w:t>
      </w:r>
    </w:p>
    <w:p w14:paraId="6EF9AD56" w14:textId="77777777" w:rsidR="00A71EEF" w:rsidRDefault="0081115D">
      <w:pPr>
        <w:pStyle w:val="a4"/>
        <w:numPr>
          <w:ilvl w:val="2"/>
          <w:numId w:val="742"/>
        </w:numPr>
        <w:tabs>
          <w:tab w:val="left" w:pos="1371"/>
        </w:tabs>
        <w:spacing w:line="446" w:lineRule="auto"/>
        <w:ind w:right="1604" w:firstLine="422"/>
        <w:jc w:val="left"/>
        <w:rPr>
          <w:color w:val="333333"/>
          <w:sz w:val="19"/>
        </w:rPr>
      </w:pPr>
      <w:r>
        <w:rPr>
          <w:color w:val="333333"/>
          <w:spacing w:val="-3"/>
          <w:sz w:val="21"/>
        </w:rPr>
        <w:t>厂房外附设化学易燃物品的设备，其外壁与相邻厂房室外附设设备的外壁或相邻厂</w:t>
      </w:r>
      <w:r>
        <w:rPr>
          <w:color w:val="333333"/>
          <w:spacing w:val="-6"/>
          <w:sz w:val="21"/>
        </w:rPr>
        <w:t>房外墙的防火间距，不应小于本规范第</w:t>
      </w:r>
      <w:r>
        <w:rPr>
          <w:color w:val="333333"/>
          <w:spacing w:val="-6"/>
          <w:sz w:val="21"/>
        </w:rPr>
        <w:t xml:space="preserve"> </w:t>
      </w:r>
      <w:r>
        <w:rPr>
          <w:color w:val="333333"/>
          <w:sz w:val="21"/>
        </w:rPr>
        <w:t>3.4.1</w:t>
      </w:r>
      <w:r>
        <w:rPr>
          <w:color w:val="333333"/>
          <w:spacing w:val="-3"/>
          <w:sz w:val="21"/>
        </w:rPr>
        <w:t xml:space="preserve"> </w:t>
      </w:r>
      <w:r>
        <w:rPr>
          <w:color w:val="333333"/>
          <w:spacing w:val="-3"/>
          <w:sz w:val="21"/>
        </w:rPr>
        <w:t>条的规定。用不燃材料制作的室外设备，可按一、二</w:t>
      </w:r>
      <w:r>
        <w:rPr>
          <w:color w:val="333333"/>
          <w:spacing w:val="-3"/>
          <w:sz w:val="21"/>
        </w:rPr>
        <w:t>级耐火等级建筑确定。</w:t>
      </w:r>
      <w:r>
        <w:rPr>
          <w:color w:val="333333"/>
          <w:sz w:val="21"/>
        </w:rPr>
        <w:t xml:space="preserve"> </w:t>
      </w:r>
    </w:p>
    <w:p w14:paraId="7B7BBD31" w14:textId="77777777" w:rsidR="00A71EEF" w:rsidRDefault="0081115D">
      <w:pPr>
        <w:pStyle w:val="a3"/>
        <w:spacing w:line="446" w:lineRule="auto"/>
        <w:ind w:left="418" w:right="1500" w:firstLine="419"/>
      </w:pPr>
      <w:r>
        <w:rPr>
          <w:color w:val="333333"/>
          <w:spacing w:val="-9"/>
        </w:rPr>
        <w:t>总容量不大于</w:t>
      </w:r>
      <w:r>
        <w:rPr>
          <w:color w:val="333333"/>
          <w:spacing w:val="-9"/>
        </w:rPr>
        <w:t xml:space="preserve"> </w:t>
      </w:r>
      <w:r>
        <w:rPr>
          <w:color w:val="333333"/>
        </w:rPr>
        <w:t>15m</w:t>
      </w:r>
      <w:r>
        <w:rPr>
          <w:color w:val="333333"/>
          <w:position w:val="11"/>
          <w:sz w:val="11"/>
        </w:rPr>
        <w:t>3</w:t>
      </w:r>
      <w:r>
        <w:rPr>
          <w:color w:val="333333"/>
          <w:sz w:val="11"/>
        </w:rPr>
        <w:t xml:space="preserve"> </w:t>
      </w:r>
      <w:r>
        <w:rPr>
          <w:color w:val="333333"/>
          <w:spacing w:val="-5"/>
        </w:rPr>
        <w:t>的丙类液体储罐，当直埋于厂房外墙外，且面向储罐一面</w:t>
      </w:r>
      <w:r>
        <w:rPr>
          <w:color w:val="333333"/>
          <w:spacing w:val="-5"/>
        </w:rPr>
        <w:t xml:space="preserve"> </w:t>
      </w:r>
      <w:r>
        <w:rPr>
          <w:color w:val="333333"/>
        </w:rPr>
        <w:t>4.0m</w:t>
      </w:r>
      <w:r>
        <w:rPr>
          <w:color w:val="333333"/>
          <w:spacing w:val="-14"/>
        </w:rPr>
        <w:t xml:space="preserve"> </w:t>
      </w:r>
      <w:r>
        <w:rPr>
          <w:color w:val="333333"/>
          <w:spacing w:val="-14"/>
        </w:rPr>
        <w:t>范围内</w:t>
      </w:r>
      <w:r>
        <w:rPr>
          <w:color w:val="333333"/>
          <w:spacing w:val="-7"/>
        </w:rPr>
        <w:t>的外墙为防火墙时，其防火间距不限。</w:t>
      </w:r>
      <w:r>
        <w:rPr>
          <w:color w:val="333333"/>
        </w:rPr>
        <w:t xml:space="preserve"> </w:t>
      </w:r>
    </w:p>
    <w:p w14:paraId="55160041" w14:textId="77777777" w:rsidR="00A71EEF" w:rsidRDefault="00A71EEF">
      <w:pPr>
        <w:spacing w:line="446" w:lineRule="auto"/>
        <w:sectPr w:rsidR="00A71EEF">
          <w:pgSz w:w="11910" w:h="16850"/>
          <w:pgMar w:top="1220" w:right="0" w:bottom="1420" w:left="1260" w:header="0" w:footer="1239" w:gutter="0"/>
          <w:cols w:space="720"/>
        </w:sectPr>
      </w:pPr>
    </w:p>
    <w:p w14:paraId="48149667" w14:textId="77777777" w:rsidR="00A71EEF" w:rsidRDefault="0081115D">
      <w:pPr>
        <w:pStyle w:val="a4"/>
        <w:numPr>
          <w:ilvl w:val="2"/>
          <w:numId w:val="742"/>
        </w:numPr>
        <w:tabs>
          <w:tab w:val="left" w:pos="1370"/>
        </w:tabs>
        <w:spacing w:before="47" w:line="446" w:lineRule="auto"/>
        <w:ind w:right="1553" w:firstLine="422"/>
        <w:jc w:val="both"/>
        <w:rPr>
          <w:color w:val="333333"/>
          <w:sz w:val="19"/>
        </w:rPr>
      </w:pPr>
      <w:r>
        <w:rPr>
          <w:color w:val="333333"/>
          <w:spacing w:val="-14"/>
          <w:sz w:val="21"/>
        </w:rPr>
        <w:lastRenderedPageBreak/>
        <w:t>同一座</w:t>
      </w:r>
      <w:r>
        <w:rPr>
          <w:color w:val="333333"/>
          <w:spacing w:val="-14"/>
          <w:sz w:val="21"/>
        </w:rPr>
        <w:t xml:space="preserve"> </w:t>
      </w:r>
      <w:r>
        <w:rPr>
          <w:color w:val="333333"/>
          <w:spacing w:val="-3"/>
          <w:sz w:val="21"/>
        </w:rPr>
        <w:t>U</w:t>
      </w:r>
      <w:r>
        <w:rPr>
          <w:color w:val="333333"/>
          <w:spacing w:val="-5"/>
          <w:sz w:val="21"/>
        </w:rPr>
        <w:t xml:space="preserve"> </w:t>
      </w:r>
      <w:r>
        <w:rPr>
          <w:color w:val="333333"/>
          <w:spacing w:val="-5"/>
          <w:sz w:val="21"/>
        </w:rPr>
        <w:t>形或山形厂房中相邻两翼之间的防火间距，不宜小于本规范第</w:t>
      </w:r>
      <w:r>
        <w:rPr>
          <w:color w:val="333333"/>
          <w:spacing w:val="-5"/>
          <w:sz w:val="21"/>
        </w:rPr>
        <w:t xml:space="preserve"> </w:t>
      </w:r>
      <w:r>
        <w:rPr>
          <w:color w:val="333333"/>
          <w:sz w:val="21"/>
        </w:rPr>
        <w:t>3.4.1</w:t>
      </w:r>
      <w:r>
        <w:rPr>
          <w:color w:val="333333"/>
          <w:spacing w:val="-19"/>
          <w:sz w:val="21"/>
        </w:rPr>
        <w:t xml:space="preserve"> </w:t>
      </w:r>
      <w:r>
        <w:rPr>
          <w:color w:val="333333"/>
          <w:spacing w:val="-19"/>
          <w:sz w:val="21"/>
        </w:rPr>
        <w:t>条的</w:t>
      </w:r>
      <w:r>
        <w:rPr>
          <w:color w:val="333333"/>
          <w:spacing w:val="-5"/>
          <w:sz w:val="21"/>
        </w:rPr>
        <w:t>规定，但当厂房的占地面积小于本规范第</w:t>
      </w:r>
      <w:r>
        <w:rPr>
          <w:color w:val="333333"/>
          <w:spacing w:val="-5"/>
          <w:sz w:val="21"/>
        </w:rPr>
        <w:t xml:space="preserve"> </w:t>
      </w:r>
      <w:r>
        <w:rPr>
          <w:color w:val="333333"/>
          <w:sz w:val="21"/>
        </w:rPr>
        <w:t>3.3.1</w:t>
      </w:r>
      <w:r>
        <w:rPr>
          <w:color w:val="333333"/>
          <w:spacing w:val="-3"/>
          <w:sz w:val="21"/>
        </w:rPr>
        <w:t xml:space="preserve"> </w:t>
      </w:r>
      <w:r>
        <w:rPr>
          <w:color w:val="333333"/>
          <w:spacing w:val="-3"/>
          <w:sz w:val="21"/>
        </w:rPr>
        <w:t>条规定的每个防火分区最大允许建筑面积时，</w:t>
      </w:r>
      <w:r>
        <w:rPr>
          <w:color w:val="333333"/>
          <w:spacing w:val="-3"/>
          <w:sz w:val="21"/>
        </w:rPr>
        <w:t xml:space="preserve"> </w:t>
      </w:r>
      <w:r>
        <w:rPr>
          <w:color w:val="333333"/>
          <w:spacing w:val="-10"/>
          <w:sz w:val="21"/>
        </w:rPr>
        <w:t>其防火间距可为</w:t>
      </w:r>
      <w:r>
        <w:rPr>
          <w:color w:val="333333"/>
          <w:spacing w:val="-10"/>
          <w:sz w:val="21"/>
        </w:rPr>
        <w:t xml:space="preserve"> </w:t>
      </w:r>
      <w:r>
        <w:rPr>
          <w:color w:val="333333"/>
          <w:sz w:val="21"/>
        </w:rPr>
        <w:t>6m</w:t>
      </w:r>
      <w:r>
        <w:rPr>
          <w:color w:val="333333"/>
          <w:spacing w:val="-3"/>
          <w:sz w:val="21"/>
        </w:rPr>
        <w:t>。</w:t>
      </w:r>
      <w:r>
        <w:rPr>
          <w:color w:val="333333"/>
          <w:sz w:val="21"/>
        </w:rPr>
        <w:t xml:space="preserve"> </w:t>
      </w:r>
    </w:p>
    <w:p w14:paraId="58DAD09F" w14:textId="77777777" w:rsidR="00A71EEF" w:rsidRDefault="0081115D">
      <w:pPr>
        <w:pStyle w:val="a4"/>
        <w:numPr>
          <w:ilvl w:val="2"/>
          <w:numId w:val="742"/>
        </w:numPr>
        <w:tabs>
          <w:tab w:val="left" w:pos="1371"/>
        </w:tabs>
        <w:spacing w:line="444" w:lineRule="auto"/>
        <w:ind w:right="1445" w:firstLine="422"/>
        <w:jc w:val="left"/>
        <w:rPr>
          <w:color w:val="333333"/>
          <w:sz w:val="19"/>
        </w:rPr>
      </w:pPr>
      <w:r>
        <w:rPr>
          <w:color w:val="333333"/>
          <w:spacing w:val="-3"/>
          <w:sz w:val="21"/>
        </w:rPr>
        <w:t>除高层厂房和甲类厂房外，其他类别的数座厂房占地面积之和小于本规范</w:t>
      </w:r>
      <w:r>
        <w:rPr>
          <w:color w:val="333333"/>
          <w:spacing w:val="-3"/>
          <w:sz w:val="21"/>
        </w:rPr>
        <w:t xml:space="preserve"> </w:t>
      </w:r>
      <w:r>
        <w:rPr>
          <w:color w:val="333333"/>
          <w:spacing w:val="-3"/>
          <w:sz w:val="21"/>
        </w:rPr>
        <w:t>第</w:t>
      </w:r>
      <w:r>
        <w:rPr>
          <w:color w:val="333333"/>
          <w:spacing w:val="-3"/>
          <w:sz w:val="21"/>
        </w:rPr>
        <w:t xml:space="preserve"> </w:t>
      </w:r>
      <w:r>
        <w:rPr>
          <w:color w:val="333333"/>
          <w:sz w:val="21"/>
        </w:rPr>
        <w:t xml:space="preserve">3.3.1 </w:t>
      </w:r>
      <w:r>
        <w:rPr>
          <w:color w:val="333333"/>
          <w:spacing w:val="-3"/>
          <w:sz w:val="21"/>
        </w:rPr>
        <w:t>条规定的防火分区最大允许建筑面积</w:t>
      </w:r>
      <w:r>
        <w:rPr>
          <w:color w:val="333333"/>
          <w:sz w:val="21"/>
        </w:rPr>
        <w:t>（</w:t>
      </w:r>
      <w:r>
        <w:rPr>
          <w:color w:val="333333"/>
          <w:spacing w:val="-3"/>
          <w:sz w:val="21"/>
        </w:rPr>
        <w:t>按其中较小者确定，但防火分区的最大允许建筑面积不</w:t>
      </w:r>
      <w:r>
        <w:rPr>
          <w:color w:val="333333"/>
          <w:spacing w:val="-3"/>
          <w:sz w:val="21"/>
        </w:rPr>
        <w:t xml:space="preserve"> </w:t>
      </w:r>
      <w:r>
        <w:rPr>
          <w:color w:val="333333"/>
          <w:spacing w:val="-9"/>
          <w:sz w:val="21"/>
        </w:rPr>
        <w:t>限者，不应大于</w:t>
      </w:r>
      <w:r>
        <w:rPr>
          <w:color w:val="333333"/>
          <w:spacing w:val="-9"/>
          <w:sz w:val="21"/>
        </w:rPr>
        <w:t xml:space="preserve"> </w:t>
      </w:r>
      <w:r>
        <w:rPr>
          <w:color w:val="333333"/>
          <w:sz w:val="21"/>
        </w:rPr>
        <w:t>10000</w:t>
      </w:r>
      <w:r>
        <w:rPr>
          <w:color w:val="333333"/>
          <w:spacing w:val="12"/>
          <w:sz w:val="21"/>
        </w:rPr>
        <w:t xml:space="preserve"> </w:t>
      </w:r>
      <w:r>
        <w:rPr>
          <w:color w:val="333333"/>
          <w:sz w:val="21"/>
        </w:rPr>
        <w:t>m</w:t>
      </w:r>
      <w:r>
        <w:rPr>
          <w:color w:val="333333"/>
          <w:position w:val="11"/>
          <w:sz w:val="11"/>
        </w:rPr>
        <w:t>2</w:t>
      </w:r>
      <w:r>
        <w:rPr>
          <w:color w:val="333333"/>
          <w:sz w:val="21"/>
        </w:rPr>
        <w:t>）</w:t>
      </w:r>
      <w:r>
        <w:rPr>
          <w:color w:val="333333"/>
          <w:spacing w:val="-6"/>
          <w:sz w:val="21"/>
        </w:rPr>
        <w:t>时，可成组布置。当厂房建筑高度不大于</w:t>
      </w:r>
      <w:r>
        <w:rPr>
          <w:color w:val="333333"/>
          <w:spacing w:val="-6"/>
          <w:sz w:val="21"/>
        </w:rPr>
        <w:t xml:space="preserve"> </w:t>
      </w:r>
      <w:r>
        <w:rPr>
          <w:color w:val="333333"/>
          <w:sz w:val="21"/>
        </w:rPr>
        <w:t>7m</w:t>
      </w:r>
      <w:r>
        <w:rPr>
          <w:color w:val="333333"/>
          <w:spacing w:val="-2"/>
          <w:sz w:val="21"/>
        </w:rPr>
        <w:t xml:space="preserve"> </w:t>
      </w:r>
      <w:r>
        <w:rPr>
          <w:color w:val="333333"/>
          <w:spacing w:val="-2"/>
          <w:sz w:val="21"/>
        </w:rPr>
        <w:t>时，组内厂房之间的防</w:t>
      </w:r>
      <w:r>
        <w:rPr>
          <w:color w:val="333333"/>
          <w:spacing w:val="-9"/>
          <w:sz w:val="21"/>
        </w:rPr>
        <w:t>火间距不应小于</w:t>
      </w:r>
      <w:r>
        <w:rPr>
          <w:color w:val="333333"/>
          <w:spacing w:val="-9"/>
          <w:sz w:val="21"/>
        </w:rPr>
        <w:t xml:space="preserve"> </w:t>
      </w:r>
      <w:r>
        <w:rPr>
          <w:color w:val="333333"/>
          <w:sz w:val="21"/>
        </w:rPr>
        <w:t>4m</w:t>
      </w:r>
      <w:r>
        <w:rPr>
          <w:color w:val="333333"/>
          <w:spacing w:val="-8"/>
          <w:sz w:val="21"/>
        </w:rPr>
        <w:t>；当厂房建筑高度大于</w:t>
      </w:r>
      <w:r>
        <w:rPr>
          <w:color w:val="333333"/>
          <w:spacing w:val="-8"/>
          <w:sz w:val="21"/>
        </w:rPr>
        <w:t xml:space="preserve"> </w:t>
      </w:r>
      <w:r>
        <w:rPr>
          <w:color w:val="333333"/>
          <w:sz w:val="21"/>
        </w:rPr>
        <w:t>7m</w:t>
      </w:r>
      <w:r>
        <w:rPr>
          <w:color w:val="333333"/>
          <w:spacing w:val="-6"/>
          <w:sz w:val="21"/>
        </w:rPr>
        <w:t xml:space="preserve"> </w:t>
      </w:r>
      <w:r>
        <w:rPr>
          <w:color w:val="333333"/>
          <w:spacing w:val="-6"/>
          <w:sz w:val="21"/>
        </w:rPr>
        <w:t>时，组内厂房之间的防火间距不应小于</w:t>
      </w:r>
      <w:r>
        <w:rPr>
          <w:color w:val="333333"/>
          <w:spacing w:val="-6"/>
          <w:sz w:val="21"/>
        </w:rPr>
        <w:t xml:space="preserve"> </w:t>
      </w:r>
      <w:r>
        <w:rPr>
          <w:color w:val="333333"/>
          <w:sz w:val="21"/>
        </w:rPr>
        <w:t>6m</w:t>
      </w:r>
      <w:r>
        <w:rPr>
          <w:color w:val="333333"/>
          <w:spacing w:val="-3"/>
          <w:sz w:val="21"/>
        </w:rPr>
        <w:t>。</w:t>
      </w:r>
      <w:r>
        <w:rPr>
          <w:color w:val="333333"/>
          <w:sz w:val="21"/>
        </w:rPr>
        <w:t xml:space="preserve"> </w:t>
      </w:r>
    </w:p>
    <w:p w14:paraId="5D82507B" w14:textId="77777777" w:rsidR="00A71EEF" w:rsidRDefault="0081115D">
      <w:pPr>
        <w:pStyle w:val="a3"/>
        <w:spacing w:line="268" w:lineRule="exact"/>
        <w:ind w:left="838"/>
      </w:pPr>
      <w:r>
        <w:rPr>
          <w:color w:val="333333"/>
        </w:rPr>
        <w:t>组与组或组与相邻建筑的防火间距，应根据相邻两座中耐火等级较低的建筑，按本规范第</w:t>
      </w:r>
    </w:p>
    <w:p w14:paraId="6B566E06" w14:textId="77777777" w:rsidR="00A71EEF" w:rsidRDefault="00A71EEF">
      <w:pPr>
        <w:pStyle w:val="a3"/>
        <w:spacing w:before="11"/>
        <w:rPr>
          <w:sz w:val="17"/>
        </w:rPr>
      </w:pPr>
    </w:p>
    <w:p w14:paraId="6DC7D93C" w14:textId="77777777" w:rsidR="00A71EEF" w:rsidRDefault="0081115D">
      <w:pPr>
        <w:pStyle w:val="a3"/>
        <w:spacing w:before="1"/>
        <w:ind w:left="418"/>
      </w:pPr>
      <w:r>
        <w:rPr>
          <w:color w:val="333333"/>
        </w:rPr>
        <w:t xml:space="preserve">3.4.1 </w:t>
      </w:r>
      <w:r>
        <w:rPr>
          <w:color w:val="333333"/>
        </w:rPr>
        <w:t>条的规定确定。</w:t>
      </w:r>
      <w:r>
        <w:rPr>
          <w:color w:val="333333"/>
        </w:rPr>
        <w:t xml:space="preserve"> </w:t>
      </w:r>
    </w:p>
    <w:p w14:paraId="26E5B2C8" w14:textId="77777777" w:rsidR="00A71EEF" w:rsidRDefault="00A71EEF">
      <w:pPr>
        <w:pStyle w:val="a3"/>
        <w:spacing w:before="1"/>
        <w:rPr>
          <w:sz w:val="18"/>
        </w:rPr>
      </w:pPr>
    </w:p>
    <w:p w14:paraId="5508705B" w14:textId="77777777" w:rsidR="00A71EEF" w:rsidRDefault="0081115D">
      <w:pPr>
        <w:pStyle w:val="a4"/>
        <w:numPr>
          <w:ilvl w:val="2"/>
          <w:numId w:val="741"/>
        </w:numPr>
        <w:tabs>
          <w:tab w:val="left" w:pos="1370"/>
        </w:tabs>
        <w:spacing w:before="1" w:line="446" w:lineRule="auto"/>
        <w:ind w:right="1498" w:firstLine="422"/>
        <w:rPr>
          <w:b/>
          <w:sz w:val="21"/>
        </w:rPr>
      </w:pPr>
      <w:r>
        <w:rPr>
          <w:color w:val="333333"/>
          <w:spacing w:val="-3"/>
          <w:sz w:val="21"/>
        </w:rPr>
        <w:t>一级汽车加油站、一级汽车加气站和一级汽车加油加气合建站不应布置在城市建成区内。</w:t>
      </w:r>
      <w:r>
        <w:rPr>
          <w:b/>
          <w:color w:val="333333"/>
          <w:w w:val="99"/>
          <w:sz w:val="21"/>
        </w:rPr>
        <w:t xml:space="preserve"> </w:t>
      </w:r>
    </w:p>
    <w:p w14:paraId="3FCB3AC2" w14:textId="77777777" w:rsidR="00A71EEF" w:rsidRDefault="0081115D">
      <w:pPr>
        <w:pStyle w:val="a4"/>
        <w:numPr>
          <w:ilvl w:val="2"/>
          <w:numId w:val="741"/>
        </w:numPr>
        <w:tabs>
          <w:tab w:val="left" w:pos="1478"/>
        </w:tabs>
        <w:spacing w:line="446" w:lineRule="auto"/>
        <w:ind w:right="1496" w:firstLine="422"/>
        <w:rPr>
          <w:sz w:val="21"/>
        </w:rPr>
      </w:pPr>
      <w:r>
        <w:rPr>
          <w:color w:val="333333"/>
          <w:spacing w:val="-3"/>
          <w:sz w:val="21"/>
        </w:rPr>
        <w:t>汽车加油、加气站和加油加气合建站的分级，汽车加油、加气站和加油加气合建站及其加油（</w:t>
      </w:r>
      <w:r>
        <w:rPr>
          <w:color w:val="333333"/>
          <w:sz w:val="21"/>
        </w:rPr>
        <w:t>气</w:t>
      </w:r>
      <w:r>
        <w:rPr>
          <w:color w:val="333333"/>
          <w:spacing w:val="-3"/>
          <w:sz w:val="21"/>
        </w:rPr>
        <w:t>）机、储油</w:t>
      </w:r>
      <w:r>
        <w:rPr>
          <w:color w:val="333333"/>
          <w:sz w:val="21"/>
        </w:rPr>
        <w:t>（气</w:t>
      </w:r>
      <w:r>
        <w:rPr>
          <w:color w:val="333333"/>
          <w:spacing w:val="-3"/>
          <w:sz w:val="21"/>
        </w:rPr>
        <w:t>）罐等与站外明火或散发火花地点、建筑、铁路、道路的防火间距以及站内各建筑或设施之间的防火间距，应符合现行国家标准《汽车加油加气站设计与施工规范》</w:t>
      </w:r>
      <w:r>
        <w:rPr>
          <w:color w:val="333333"/>
          <w:sz w:val="21"/>
        </w:rPr>
        <w:t>GB 50156</w:t>
      </w:r>
      <w:r>
        <w:rPr>
          <w:color w:val="333333"/>
          <w:spacing w:val="-3"/>
          <w:sz w:val="21"/>
        </w:rPr>
        <w:t xml:space="preserve"> </w:t>
      </w:r>
      <w:r>
        <w:rPr>
          <w:color w:val="333333"/>
          <w:spacing w:val="-3"/>
          <w:sz w:val="21"/>
        </w:rPr>
        <w:t>的规定。</w:t>
      </w:r>
      <w:r>
        <w:rPr>
          <w:color w:val="333333"/>
          <w:spacing w:val="-3"/>
          <w:sz w:val="21"/>
        </w:rPr>
        <w:t xml:space="preserve"> </w:t>
      </w:r>
    </w:p>
    <w:p w14:paraId="729A0D4C" w14:textId="77777777" w:rsidR="00A71EEF" w:rsidRDefault="0081115D">
      <w:pPr>
        <w:pStyle w:val="a4"/>
        <w:numPr>
          <w:ilvl w:val="2"/>
          <w:numId w:val="741"/>
        </w:numPr>
        <w:tabs>
          <w:tab w:val="left" w:pos="1478"/>
        </w:tabs>
        <w:spacing w:line="446" w:lineRule="auto"/>
        <w:ind w:right="1450" w:firstLine="422"/>
        <w:rPr>
          <w:sz w:val="21"/>
        </w:rPr>
      </w:pPr>
      <w:r>
        <w:rPr>
          <w:color w:val="333333"/>
          <w:spacing w:val="-9"/>
          <w:sz w:val="21"/>
        </w:rPr>
        <w:t>电力系统电压为</w:t>
      </w:r>
      <w:r>
        <w:rPr>
          <w:color w:val="333333"/>
          <w:spacing w:val="-9"/>
          <w:sz w:val="21"/>
        </w:rPr>
        <w:t xml:space="preserve"> </w:t>
      </w:r>
      <w:r>
        <w:rPr>
          <w:color w:val="333333"/>
          <w:sz w:val="21"/>
        </w:rPr>
        <w:t>35kV</w:t>
      </w:r>
      <w:r>
        <w:rPr>
          <w:color w:val="333333"/>
          <w:sz w:val="21"/>
        </w:rPr>
        <w:t>～</w:t>
      </w:r>
      <w:r>
        <w:rPr>
          <w:color w:val="333333"/>
          <w:sz w:val="21"/>
        </w:rPr>
        <w:t>500kV</w:t>
      </w:r>
      <w:r>
        <w:rPr>
          <w:color w:val="333333"/>
          <w:spacing w:val="-7"/>
          <w:sz w:val="21"/>
        </w:rPr>
        <w:t xml:space="preserve"> </w:t>
      </w:r>
      <w:r>
        <w:rPr>
          <w:color w:val="333333"/>
          <w:spacing w:val="-7"/>
          <w:sz w:val="21"/>
        </w:rPr>
        <w:t>且每台</w:t>
      </w:r>
      <w:r>
        <w:rPr>
          <w:color w:val="333333"/>
          <w:spacing w:val="-7"/>
          <w:sz w:val="21"/>
        </w:rPr>
        <w:t>变压器容量不小于</w:t>
      </w:r>
      <w:r>
        <w:rPr>
          <w:color w:val="333333"/>
          <w:spacing w:val="-7"/>
          <w:sz w:val="21"/>
        </w:rPr>
        <w:t xml:space="preserve"> </w:t>
      </w:r>
      <w:r>
        <w:rPr>
          <w:color w:val="333333"/>
          <w:sz w:val="21"/>
        </w:rPr>
        <w:t>10MVA</w:t>
      </w:r>
      <w:r>
        <w:rPr>
          <w:color w:val="333333"/>
          <w:spacing w:val="-1"/>
          <w:sz w:val="21"/>
        </w:rPr>
        <w:t xml:space="preserve"> </w:t>
      </w:r>
      <w:r>
        <w:rPr>
          <w:color w:val="333333"/>
          <w:spacing w:val="-1"/>
          <w:sz w:val="21"/>
        </w:rPr>
        <w:t>的室外变、配电站以</w:t>
      </w:r>
      <w:r>
        <w:rPr>
          <w:color w:val="333333"/>
          <w:spacing w:val="-6"/>
          <w:sz w:val="21"/>
        </w:rPr>
        <w:t>及工业企业的变压器总油量大于</w:t>
      </w:r>
      <w:r>
        <w:rPr>
          <w:color w:val="333333"/>
          <w:spacing w:val="-6"/>
          <w:sz w:val="21"/>
        </w:rPr>
        <w:t xml:space="preserve"> </w:t>
      </w:r>
      <w:r>
        <w:rPr>
          <w:color w:val="333333"/>
          <w:sz w:val="21"/>
        </w:rPr>
        <w:t>5t</w:t>
      </w:r>
      <w:r>
        <w:rPr>
          <w:color w:val="333333"/>
          <w:spacing w:val="-3"/>
          <w:sz w:val="21"/>
        </w:rPr>
        <w:t xml:space="preserve"> </w:t>
      </w:r>
      <w:r>
        <w:rPr>
          <w:color w:val="333333"/>
          <w:spacing w:val="-3"/>
          <w:sz w:val="21"/>
        </w:rPr>
        <w:t>的室外降压变电站，与其他建筑的防火间距不应小于本规范</w:t>
      </w:r>
      <w:r>
        <w:rPr>
          <w:color w:val="333333"/>
          <w:spacing w:val="-28"/>
          <w:sz w:val="21"/>
        </w:rPr>
        <w:t>第</w:t>
      </w:r>
      <w:r>
        <w:rPr>
          <w:color w:val="333333"/>
          <w:spacing w:val="-28"/>
          <w:sz w:val="21"/>
        </w:rPr>
        <w:t xml:space="preserve"> </w:t>
      </w:r>
      <w:r>
        <w:rPr>
          <w:color w:val="333333"/>
          <w:sz w:val="21"/>
        </w:rPr>
        <w:t>3.4.1</w:t>
      </w:r>
      <w:r>
        <w:rPr>
          <w:color w:val="333333"/>
          <w:spacing w:val="-13"/>
          <w:sz w:val="21"/>
        </w:rPr>
        <w:t xml:space="preserve"> </w:t>
      </w:r>
      <w:r>
        <w:rPr>
          <w:color w:val="333333"/>
          <w:spacing w:val="-13"/>
          <w:sz w:val="21"/>
        </w:rPr>
        <w:t>条和第</w:t>
      </w:r>
      <w:r>
        <w:rPr>
          <w:color w:val="333333"/>
          <w:spacing w:val="-13"/>
          <w:sz w:val="21"/>
        </w:rPr>
        <w:t xml:space="preserve"> </w:t>
      </w:r>
      <w:r>
        <w:rPr>
          <w:color w:val="333333"/>
          <w:sz w:val="21"/>
        </w:rPr>
        <w:t>3.5.1</w:t>
      </w:r>
      <w:r>
        <w:rPr>
          <w:color w:val="333333"/>
          <w:spacing w:val="-3"/>
          <w:sz w:val="21"/>
        </w:rPr>
        <w:t xml:space="preserve"> </w:t>
      </w:r>
      <w:r>
        <w:rPr>
          <w:color w:val="333333"/>
          <w:spacing w:val="-3"/>
          <w:sz w:val="21"/>
        </w:rPr>
        <w:t>条的规定。</w:t>
      </w:r>
      <w:r>
        <w:rPr>
          <w:color w:val="333333"/>
          <w:sz w:val="21"/>
        </w:rPr>
        <w:t xml:space="preserve"> </w:t>
      </w:r>
    </w:p>
    <w:p w14:paraId="1AFD213C" w14:textId="77777777" w:rsidR="00A71EEF" w:rsidRDefault="0081115D">
      <w:pPr>
        <w:pStyle w:val="a4"/>
        <w:numPr>
          <w:ilvl w:val="2"/>
          <w:numId w:val="741"/>
        </w:numPr>
        <w:tabs>
          <w:tab w:val="left" w:pos="1478"/>
        </w:tabs>
        <w:spacing w:line="446" w:lineRule="auto"/>
        <w:ind w:right="1445" w:firstLine="422"/>
        <w:rPr>
          <w:sz w:val="21"/>
        </w:rPr>
      </w:pPr>
      <w:r>
        <w:rPr>
          <w:color w:val="333333"/>
          <w:spacing w:val="-6"/>
          <w:sz w:val="21"/>
        </w:rPr>
        <w:t>厂区围墙与厂区内建筑的间距不宜小于</w:t>
      </w:r>
      <w:r>
        <w:rPr>
          <w:color w:val="333333"/>
          <w:spacing w:val="-6"/>
          <w:sz w:val="21"/>
        </w:rPr>
        <w:t xml:space="preserve"> </w:t>
      </w:r>
      <w:r>
        <w:rPr>
          <w:color w:val="333333"/>
          <w:sz w:val="21"/>
        </w:rPr>
        <w:t>5m</w:t>
      </w:r>
      <w:r>
        <w:rPr>
          <w:color w:val="333333"/>
          <w:spacing w:val="-3"/>
          <w:sz w:val="21"/>
        </w:rPr>
        <w:t>，围墙两侧建筑的间距应满足相应建筑的防火间距要求。</w:t>
      </w:r>
      <w:r>
        <w:rPr>
          <w:color w:val="333333"/>
          <w:sz w:val="21"/>
        </w:rPr>
        <w:t xml:space="preserve"> </w:t>
      </w:r>
    </w:p>
    <w:p w14:paraId="7BF0C1C0" w14:textId="77777777" w:rsidR="00A71EEF" w:rsidRDefault="0081115D">
      <w:pPr>
        <w:pStyle w:val="a4"/>
        <w:numPr>
          <w:ilvl w:val="1"/>
          <w:numId w:val="747"/>
        </w:numPr>
        <w:tabs>
          <w:tab w:val="left" w:pos="1159"/>
        </w:tabs>
        <w:spacing w:line="267" w:lineRule="exact"/>
        <w:ind w:hanging="319"/>
        <w:rPr>
          <w:sz w:val="21"/>
        </w:rPr>
      </w:pPr>
      <w:r>
        <w:rPr>
          <w:spacing w:val="-3"/>
          <w:sz w:val="21"/>
        </w:rPr>
        <w:t>仓库的防火间距</w:t>
      </w:r>
      <w:r>
        <w:rPr>
          <w:sz w:val="21"/>
        </w:rPr>
        <w:t xml:space="preserve"> </w:t>
      </w:r>
    </w:p>
    <w:p w14:paraId="5E45E37A" w14:textId="77777777" w:rsidR="00A71EEF" w:rsidRDefault="00A71EEF">
      <w:pPr>
        <w:pStyle w:val="a3"/>
        <w:spacing w:before="10"/>
        <w:rPr>
          <w:sz w:val="17"/>
        </w:rPr>
      </w:pPr>
    </w:p>
    <w:p w14:paraId="3A349B8F" w14:textId="77777777" w:rsidR="00A71EEF" w:rsidRDefault="0081115D">
      <w:pPr>
        <w:pStyle w:val="a4"/>
        <w:numPr>
          <w:ilvl w:val="2"/>
          <w:numId w:val="747"/>
        </w:numPr>
        <w:tabs>
          <w:tab w:val="left" w:pos="1371"/>
        </w:tabs>
        <w:spacing w:before="1" w:line="446" w:lineRule="auto"/>
        <w:ind w:right="1604" w:firstLine="422"/>
        <w:rPr>
          <w:sz w:val="21"/>
        </w:rPr>
      </w:pPr>
      <w:r>
        <w:rPr>
          <w:color w:val="333333"/>
          <w:spacing w:val="-3"/>
          <w:sz w:val="21"/>
        </w:rPr>
        <w:t>甲类仓库之间及与其他建筑、明火或散发火花地点、铁路、道路等的防火间距不应</w:t>
      </w:r>
      <w:r>
        <w:rPr>
          <w:color w:val="333333"/>
          <w:spacing w:val="-15"/>
          <w:sz w:val="21"/>
        </w:rPr>
        <w:t>小于表</w:t>
      </w:r>
      <w:r>
        <w:rPr>
          <w:color w:val="333333"/>
          <w:spacing w:val="-15"/>
          <w:sz w:val="21"/>
        </w:rPr>
        <w:t xml:space="preserve"> </w:t>
      </w:r>
      <w:r>
        <w:rPr>
          <w:color w:val="333333"/>
          <w:sz w:val="21"/>
        </w:rPr>
        <w:t>3.5.1</w:t>
      </w:r>
      <w:r>
        <w:rPr>
          <w:color w:val="333333"/>
          <w:spacing w:val="-3"/>
          <w:sz w:val="21"/>
        </w:rPr>
        <w:t xml:space="preserve"> </w:t>
      </w:r>
      <w:r>
        <w:rPr>
          <w:color w:val="333333"/>
          <w:spacing w:val="-3"/>
          <w:sz w:val="21"/>
        </w:rPr>
        <w:t>的规定。</w:t>
      </w:r>
      <w:r>
        <w:rPr>
          <w:color w:val="333333"/>
          <w:spacing w:val="-3"/>
          <w:sz w:val="21"/>
        </w:rPr>
        <w:t xml:space="preserve"> </w:t>
      </w:r>
    </w:p>
    <w:p w14:paraId="0F40876E" w14:textId="77777777" w:rsidR="00A71EEF" w:rsidRDefault="00A71EEF">
      <w:pPr>
        <w:pStyle w:val="a3"/>
        <w:rPr>
          <w:sz w:val="20"/>
        </w:rPr>
      </w:pPr>
    </w:p>
    <w:p w14:paraId="39984F91" w14:textId="77777777" w:rsidR="00A71EEF" w:rsidRDefault="00A71EEF">
      <w:pPr>
        <w:pStyle w:val="a3"/>
        <w:rPr>
          <w:sz w:val="20"/>
        </w:rPr>
      </w:pPr>
    </w:p>
    <w:p w14:paraId="233147E4" w14:textId="77777777" w:rsidR="00A71EEF" w:rsidRDefault="00A71EEF">
      <w:pPr>
        <w:pStyle w:val="a3"/>
        <w:rPr>
          <w:sz w:val="20"/>
        </w:rPr>
      </w:pPr>
    </w:p>
    <w:p w14:paraId="349FC3FB" w14:textId="77777777" w:rsidR="00A71EEF" w:rsidRDefault="00A71EEF">
      <w:pPr>
        <w:pStyle w:val="a3"/>
        <w:rPr>
          <w:sz w:val="20"/>
        </w:rPr>
      </w:pPr>
    </w:p>
    <w:p w14:paraId="702E38F7" w14:textId="77777777" w:rsidR="00A71EEF" w:rsidRDefault="00A71EEF">
      <w:pPr>
        <w:pStyle w:val="a3"/>
        <w:rPr>
          <w:sz w:val="20"/>
        </w:rPr>
      </w:pPr>
    </w:p>
    <w:p w14:paraId="384C5231" w14:textId="77777777" w:rsidR="00A71EEF" w:rsidRDefault="00A71EEF">
      <w:pPr>
        <w:pStyle w:val="a3"/>
        <w:rPr>
          <w:sz w:val="20"/>
        </w:rPr>
      </w:pPr>
    </w:p>
    <w:p w14:paraId="62FA0262" w14:textId="77777777" w:rsidR="00A71EEF" w:rsidRDefault="00A71EEF">
      <w:pPr>
        <w:pStyle w:val="a3"/>
        <w:rPr>
          <w:sz w:val="20"/>
        </w:rPr>
      </w:pPr>
    </w:p>
    <w:p w14:paraId="2C3A489D" w14:textId="77777777" w:rsidR="00A71EEF" w:rsidRDefault="00A71EEF">
      <w:pPr>
        <w:pStyle w:val="a3"/>
        <w:rPr>
          <w:sz w:val="16"/>
        </w:rPr>
      </w:pPr>
    </w:p>
    <w:p w14:paraId="53006ECC" w14:textId="77777777" w:rsidR="00A71EEF" w:rsidRDefault="0081115D">
      <w:pPr>
        <w:pStyle w:val="a3"/>
        <w:ind w:left="838"/>
      </w:pPr>
      <w:r>
        <w:rPr>
          <w:color w:val="333333"/>
        </w:rPr>
        <w:t xml:space="preserve"> </w:t>
      </w:r>
    </w:p>
    <w:p w14:paraId="52A7780D" w14:textId="77777777" w:rsidR="00A71EEF" w:rsidRDefault="00A71EEF">
      <w:pPr>
        <w:sectPr w:rsidR="00A71EEF">
          <w:pgSz w:w="11910" w:h="16850"/>
          <w:pgMar w:top="1220" w:right="0" w:bottom="1420" w:left="1260" w:header="0" w:footer="1239" w:gutter="0"/>
          <w:cols w:space="720"/>
        </w:sectPr>
      </w:pPr>
    </w:p>
    <w:p w14:paraId="7DB572CB" w14:textId="77777777" w:rsidR="00A71EEF" w:rsidRDefault="00A71EEF">
      <w:pPr>
        <w:pStyle w:val="a3"/>
        <w:rPr>
          <w:sz w:val="20"/>
        </w:rPr>
      </w:pPr>
    </w:p>
    <w:p w14:paraId="3501E16A" w14:textId="77777777" w:rsidR="00A71EEF" w:rsidRDefault="00A71EEF">
      <w:pPr>
        <w:pStyle w:val="a3"/>
        <w:rPr>
          <w:sz w:val="20"/>
        </w:rPr>
      </w:pPr>
    </w:p>
    <w:p w14:paraId="2431692A" w14:textId="77777777" w:rsidR="00A71EEF" w:rsidRDefault="00A71EEF">
      <w:pPr>
        <w:pStyle w:val="a3"/>
        <w:rPr>
          <w:sz w:val="20"/>
        </w:rPr>
      </w:pPr>
    </w:p>
    <w:p w14:paraId="169C38F1" w14:textId="77777777" w:rsidR="00A71EEF" w:rsidRDefault="00A71EEF">
      <w:pPr>
        <w:pStyle w:val="a3"/>
        <w:rPr>
          <w:sz w:val="20"/>
        </w:rPr>
      </w:pPr>
    </w:p>
    <w:p w14:paraId="02413060" w14:textId="77777777" w:rsidR="00A71EEF" w:rsidRDefault="00A71EEF">
      <w:pPr>
        <w:pStyle w:val="a3"/>
        <w:rPr>
          <w:sz w:val="20"/>
        </w:rPr>
      </w:pPr>
    </w:p>
    <w:p w14:paraId="19E9768B" w14:textId="77777777" w:rsidR="00A71EEF" w:rsidRDefault="00A71EEF">
      <w:pPr>
        <w:pStyle w:val="a3"/>
        <w:rPr>
          <w:sz w:val="20"/>
        </w:rPr>
      </w:pPr>
    </w:p>
    <w:p w14:paraId="2C7577A9" w14:textId="77777777" w:rsidR="00A71EEF" w:rsidRDefault="00A71EEF">
      <w:pPr>
        <w:pStyle w:val="a3"/>
        <w:rPr>
          <w:sz w:val="20"/>
        </w:rPr>
      </w:pPr>
    </w:p>
    <w:p w14:paraId="317C4B9D" w14:textId="77777777" w:rsidR="00A71EEF" w:rsidRDefault="00A71EEF">
      <w:pPr>
        <w:pStyle w:val="a3"/>
        <w:rPr>
          <w:sz w:val="20"/>
        </w:rPr>
      </w:pPr>
    </w:p>
    <w:p w14:paraId="086D88E0" w14:textId="77777777" w:rsidR="00A71EEF" w:rsidRDefault="00A71EEF">
      <w:pPr>
        <w:pStyle w:val="a3"/>
        <w:rPr>
          <w:sz w:val="20"/>
        </w:rPr>
      </w:pPr>
    </w:p>
    <w:p w14:paraId="6D28ADBF" w14:textId="77777777" w:rsidR="00A71EEF" w:rsidRDefault="00A71EEF">
      <w:pPr>
        <w:pStyle w:val="a3"/>
        <w:spacing w:before="8"/>
        <w:rPr>
          <w:sz w:val="22"/>
        </w:rPr>
      </w:pPr>
    </w:p>
    <w:p w14:paraId="4C9E7751" w14:textId="77777777" w:rsidR="00A71EEF" w:rsidRDefault="0081115D">
      <w:pPr>
        <w:pStyle w:val="6"/>
        <w:spacing w:before="72"/>
        <w:ind w:left="516"/>
      </w:pPr>
      <w:r>
        <w:t>表</w:t>
      </w:r>
      <w:r>
        <w:t xml:space="preserve"> 3.5.1 </w:t>
      </w:r>
      <w:r>
        <w:t>甲类仓库之间及与其他建筑、明火或散发火花地点、铁路、道路等的防火间距（</w:t>
      </w:r>
      <w:r>
        <w:t>m</w:t>
      </w:r>
      <w:r>
        <w:t>）</w:t>
      </w:r>
      <w:r>
        <w:rPr>
          <w:w w:val="99"/>
        </w:rPr>
        <w:t xml:space="preserve"> </w:t>
      </w:r>
    </w:p>
    <w:p w14:paraId="76542CDF" w14:textId="77777777" w:rsidR="00A71EEF" w:rsidRDefault="0081115D">
      <w:pPr>
        <w:pStyle w:val="a3"/>
        <w:spacing w:before="5"/>
        <w:rPr>
          <w:b/>
          <w:sz w:val="10"/>
        </w:rPr>
      </w:pPr>
      <w:r>
        <w:rPr>
          <w:noProof/>
        </w:rPr>
        <w:drawing>
          <wp:anchor distT="0" distB="0" distL="0" distR="0" simplePos="0" relativeHeight="251516416" behindDoc="0" locked="0" layoutInCell="1" allowOverlap="1" wp14:anchorId="02ED8E8A" wp14:editId="6E81FDD3">
            <wp:simplePos x="0" y="0"/>
            <wp:positionH relativeFrom="page">
              <wp:posOffset>903605</wp:posOffset>
            </wp:positionH>
            <wp:positionV relativeFrom="paragraph">
              <wp:posOffset>109862</wp:posOffset>
            </wp:positionV>
            <wp:extent cx="5887976" cy="3200400"/>
            <wp:effectExtent l="0" t="0" r="0" b="0"/>
            <wp:wrapTopAndBottom/>
            <wp:docPr id="163" name="image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09.jpeg"/>
                    <pic:cNvPicPr/>
                  </pic:nvPicPr>
                  <pic:blipFill>
                    <a:blip r:embed="rId107" cstate="print"/>
                    <a:stretch>
                      <a:fillRect/>
                    </a:stretch>
                  </pic:blipFill>
                  <pic:spPr>
                    <a:xfrm>
                      <a:off x="0" y="0"/>
                      <a:ext cx="5887976" cy="3200400"/>
                    </a:xfrm>
                    <a:prstGeom prst="rect">
                      <a:avLst/>
                    </a:prstGeom>
                  </pic:spPr>
                </pic:pic>
              </a:graphicData>
            </a:graphic>
          </wp:anchor>
        </w:drawing>
      </w:r>
    </w:p>
    <w:p w14:paraId="164A6E09" w14:textId="77777777" w:rsidR="00A71EEF" w:rsidRDefault="00A71EEF">
      <w:pPr>
        <w:pStyle w:val="a3"/>
        <w:rPr>
          <w:b/>
          <w:sz w:val="15"/>
        </w:rPr>
      </w:pPr>
    </w:p>
    <w:p w14:paraId="406C0F09" w14:textId="77777777" w:rsidR="00A71EEF" w:rsidRDefault="0081115D">
      <w:pPr>
        <w:pStyle w:val="a3"/>
        <w:spacing w:line="446" w:lineRule="auto"/>
        <w:ind w:left="418" w:right="1452" w:firstLine="419"/>
      </w:pPr>
      <w:r>
        <w:rPr>
          <w:color w:val="333333"/>
          <w:spacing w:val="-6"/>
        </w:rPr>
        <w:t>注：甲类仓库之间的防火间距，当第</w:t>
      </w:r>
      <w:r>
        <w:rPr>
          <w:color w:val="333333"/>
          <w:spacing w:val="-6"/>
        </w:rPr>
        <w:t xml:space="preserve"> </w:t>
      </w:r>
      <w:r>
        <w:rPr>
          <w:color w:val="333333"/>
        </w:rPr>
        <w:t>3</w:t>
      </w:r>
      <w:r>
        <w:rPr>
          <w:color w:val="333333"/>
          <w:spacing w:val="-3"/>
        </w:rPr>
        <w:t>、</w:t>
      </w:r>
      <w:r>
        <w:rPr>
          <w:color w:val="333333"/>
        </w:rPr>
        <w:t>4</w:t>
      </w:r>
      <w:r>
        <w:rPr>
          <w:color w:val="333333"/>
          <w:spacing w:val="-7"/>
        </w:rPr>
        <w:t xml:space="preserve"> </w:t>
      </w:r>
      <w:r>
        <w:rPr>
          <w:color w:val="333333"/>
          <w:spacing w:val="-7"/>
        </w:rPr>
        <w:t>项物品储量不大于</w:t>
      </w:r>
      <w:r>
        <w:rPr>
          <w:color w:val="333333"/>
          <w:spacing w:val="-7"/>
        </w:rPr>
        <w:t xml:space="preserve"> </w:t>
      </w:r>
      <w:r>
        <w:rPr>
          <w:color w:val="333333"/>
        </w:rPr>
        <w:t>2t</w:t>
      </w:r>
      <w:r>
        <w:rPr>
          <w:color w:val="333333"/>
          <w:spacing w:val="-16"/>
        </w:rPr>
        <w:t>，第</w:t>
      </w:r>
      <w:r>
        <w:rPr>
          <w:color w:val="333333"/>
          <w:spacing w:val="-16"/>
        </w:rPr>
        <w:t xml:space="preserve"> </w:t>
      </w:r>
      <w:r>
        <w:rPr>
          <w:color w:val="333333"/>
          <w:spacing w:val="-3"/>
        </w:rPr>
        <w:t>1</w:t>
      </w:r>
      <w:r>
        <w:rPr>
          <w:color w:val="333333"/>
        </w:rPr>
        <w:t>、</w:t>
      </w:r>
      <w:r>
        <w:rPr>
          <w:color w:val="333333"/>
          <w:spacing w:val="-3"/>
        </w:rPr>
        <w:t>2</w:t>
      </w:r>
      <w:r>
        <w:rPr>
          <w:color w:val="333333"/>
        </w:rPr>
        <w:t>、</w:t>
      </w:r>
      <w:r>
        <w:rPr>
          <w:color w:val="333333"/>
        </w:rPr>
        <w:t>5</w:t>
      </w:r>
      <w:r>
        <w:rPr>
          <w:color w:val="333333"/>
        </w:rPr>
        <w:t>、</w:t>
      </w:r>
      <w:r>
        <w:rPr>
          <w:color w:val="333333"/>
        </w:rPr>
        <w:t xml:space="preserve">6 </w:t>
      </w:r>
      <w:r>
        <w:rPr>
          <w:color w:val="333333"/>
        </w:rPr>
        <w:t>项物品储</w:t>
      </w:r>
      <w:r>
        <w:rPr>
          <w:color w:val="333333"/>
          <w:spacing w:val="-12"/>
        </w:rPr>
        <w:t>量不大于</w:t>
      </w:r>
      <w:r>
        <w:rPr>
          <w:color w:val="333333"/>
          <w:spacing w:val="-12"/>
        </w:rPr>
        <w:t xml:space="preserve"> </w:t>
      </w:r>
      <w:r>
        <w:rPr>
          <w:color w:val="333333"/>
        </w:rPr>
        <w:t>5t</w:t>
      </w:r>
      <w:r>
        <w:rPr>
          <w:color w:val="333333"/>
          <w:spacing w:val="-9"/>
        </w:rPr>
        <w:t xml:space="preserve"> </w:t>
      </w:r>
      <w:r>
        <w:rPr>
          <w:color w:val="333333"/>
          <w:spacing w:val="-9"/>
        </w:rPr>
        <w:t>时，不应小于</w:t>
      </w:r>
      <w:r>
        <w:rPr>
          <w:color w:val="333333"/>
          <w:spacing w:val="-9"/>
        </w:rPr>
        <w:t xml:space="preserve"> </w:t>
      </w:r>
      <w:r>
        <w:rPr>
          <w:color w:val="333333"/>
        </w:rPr>
        <w:t>12m</w:t>
      </w:r>
      <w:r>
        <w:rPr>
          <w:color w:val="333333"/>
          <w:spacing w:val="-6"/>
        </w:rPr>
        <w:t>。甲类仓库与高层仓库的防火间距不应小于</w:t>
      </w:r>
      <w:r>
        <w:rPr>
          <w:color w:val="333333"/>
          <w:spacing w:val="-6"/>
        </w:rPr>
        <w:t xml:space="preserve"> </w:t>
      </w:r>
      <w:r>
        <w:rPr>
          <w:color w:val="333333"/>
        </w:rPr>
        <w:t>13m</w:t>
      </w:r>
      <w:r>
        <w:rPr>
          <w:color w:val="333333"/>
        </w:rPr>
        <w:t>。</w:t>
      </w:r>
      <w:r>
        <w:rPr>
          <w:color w:val="333333"/>
        </w:rPr>
        <w:t xml:space="preserve"> </w:t>
      </w:r>
    </w:p>
    <w:p w14:paraId="0C8995DA" w14:textId="77777777" w:rsidR="00A71EEF" w:rsidRDefault="00A71EEF">
      <w:pPr>
        <w:spacing w:line="446" w:lineRule="auto"/>
        <w:sectPr w:rsidR="00A71EEF">
          <w:pgSz w:w="11910" w:h="16850"/>
          <w:pgMar w:top="1600" w:right="0" w:bottom="1420" w:left="1260" w:header="0" w:footer="1239" w:gutter="0"/>
          <w:cols w:space="720"/>
        </w:sectPr>
      </w:pPr>
    </w:p>
    <w:p w14:paraId="15468DE9" w14:textId="77777777" w:rsidR="00A71EEF" w:rsidRDefault="0081115D">
      <w:pPr>
        <w:pStyle w:val="a4"/>
        <w:numPr>
          <w:ilvl w:val="2"/>
          <w:numId w:val="747"/>
        </w:numPr>
        <w:tabs>
          <w:tab w:val="left" w:pos="1370"/>
        </w:tabs>
        <w:spacing w:before="47" w:line="446" w:lineRule="auto"/>
        <w:ind w:right="1498" w:firstLine="422"/>
        <w:rPr>
          <w:sz w:val="21"/>
        </w:rPr>
      </w:pPr>
      <w:r>
        <w:rPr>
          <w:color w:val="333333"/>
          <w:spacing w:val="-3"/>
          <w:sz w:val="21"/>
        </w:rPr>
        <w:lastRenderedPageBreak/>
        <w:t>除本规范另有规定外，乙、丙、丁、戊类仓库之间及与民用建筑的防火间距，不应小</w:t>
      </w:r>
      <w:r>
        <w:rPr>
          <w:color w:val="333333"/>
          <w:spacing w:val="-19"/>
          <w:sz w:val="21"/>
        </w:rPr>
        <w:t>于表</w:t>
      </w:r>
      <w:r>
        <w:rPr>
          <w:color w:val="333333"/>
          <w:spacing w:val="-19"/>
          <w:sz w:val="21"/>
        </w:rPr>
        <w:t xml:space="preserve"> </w:t>
      </w:r>
      <w:r>
        <w:rPr>
          <w:color w:val="333333"/>
          <w:sz w:val="21"/>
        </w:rPr>
        <w:t>3.5.2</w:t>
      </w:r>
      <w:r>
        <w:rPr>
          <w:color w:val="333333"/>
          <w:spacing w:val="-3"/>
          <w:sz w:val="21"/>
        </w:rPr>
        <w:t xml:space="preserve"> </w:t>
      </w:r>
      <w:r>
        <w:rPr>
          <w:color w:val="333333"/>
          <w:spacing w:val="-3"/>
          <w:sz w:val="21"/>
        </w:rPr>
        <w:t>的规定。</w:t>
      </w:r>
      <w:r>
        <w:rPr>
          <w:color w:val="333333"/>
          <w:spacing w:val="-3"/>
          <w:sz w:val="21"/>
        </w:rPr>
        <w:t xml:space="preserve"> </w:t>
      </w:r>
    </w:p>
    <w:p w14:paraId="4EBEE295" w14:textId="77777777" w:rsidR="00A71EEF" w:rsidRDefault="0081115D">
      <w:pPr>
        <w:pStyle w:val="6"/>
        <w:spacing w:line="267" w:lineRule="exact"/>
        <w:ind w:left="1886"/>
      </w:pPr>
      <w:r>
        <w:rPr>
          <w:noProof/>
        </w:rPr>
        <w:drawing>
          <wp:anchor distT="0" distB="0" distL="0" distR="0" simplePos="0" relativeHeight="251517440" behindDoc="0" locked="0" layoutInCell="1" allowOverlap="1" wp14:anchorId="0BF3829E" wp14:editId="17E68E4A">
            <wp:simplePos x="0" y="0"/>
            <wp:positionH relativeFrom="page">
              <wp:posOffset>979805</wp:posOffset>
            </wp:positionH>
            <wp:positionV relativeFrom="paragraph">
              <wp:posOffset>243006</wp:posOffset>
            </wp:positionV>
            <wp:extent cx="5532050" cy="3333750"/>
            <wp:effectExtent l="0" t="0" r="0" b="0"/>
            <wp:wrapTopAndBottom/>
            <wp:docPr id="165" name="image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110.jpeg"/>
                    <pic:cNvPicPr/>
                  </pic:nvPicPr>
                  <pic:blipFill>
                    <a:blip r:embed="rId108" cstate="print"/>
                    <a:stretch>
                      <a:fillRect/>
                    </a:stretch>
                  </pic:blipFill>
                  <pic:spPr>
                    <a:xfrm>
                      <a:off x="0" y="0"/>
                      <a:ext cx="5532050" cy="3333750"/>
                    </a:xfrm>
                    <a:prstGeom prst="rect">
                      <a:avLst/>
                    </a:prstGeom>
                  </pic:spPr>
                </pic:pic>
              </a:graphicData>
            </a:graphic>
          </wp:anchor>
        </w:drawing>
      </w:r>
      <w:r>
        <w:t>表</w:t>
      </w:r>
      <w:r>
        <w:t xml:space="preserve"> 3.5.2 </w:t>
      </w:r>
      <w:r>
        <w:t>乙、丙、丁、戊类仓库之间及与民用建筑的防火间距（</w:t>
      </w:r>
      <w:r>
        <w:t>m</w:t>
      </w:r>
      <w:r>
        <w:t>）</w:t>
      </w:r>
      <w:r>
        <w:rPr>
          <w:w w:val="99"/>
        </w:rPr>
        <w:t xml:space="preserve"> </w:t>
      </w:r>
    </w:p>
    <w:p w14:paraId="0C075E26" w14:textId="77777777" w:rsidR="00A71EEF" w:rsidRDefault="0081115D">
      <w:pPr>
        <w:pStyle w:val="a3"/>
        <w:spacing w:before="147"/>
        <w:ind w:left="838"/>
      </w:pPr>
      <w:r>
        <w:rPr>
          <w:color w:val="333333"/>
        </w:rPr>
        <w:t>注：</w:t>
      </w:r>
      <w:r>
        <w:rPr>
          <w:color w:val="333333"/>
        </w:rPr>
        <w:t>1</w:t>
      </w:r>
      <w:r>
        <w:rPr>
          <w:color w:val="333333"/>
          <w:spacing w:val="-4"/>
        </w:rPr>
        <w:t>.</w:t>
      </w:r>
      <w:r>
        <w:rPr>
          <w:color w:val="333333"/>
          <w:spacing w:val="-4"/>
        </w:rPr>
        <w:t>单、多层</w:t>
      </w:r>
      <w:r>
        <w:rPr>
          <w:color w:val="333333"/>
          <w:spacing w:val="-4"/>
        </w:rPr>
        <w:t>戊类仓库之间的防火间距，可按本表的规定减少</w:t>
      </w:r>
      <w:r>
        <w:rPr>
          <w:color w:val="333333"/>
          <w:spacing w:val="-4"/>
        </w:rPr>
        <w:t xml:space="preserve"> </w:t>
      </w:r>
      <w:r>
        <w:rPr>
          <w:color w:val="333333"/>
        </w:rPr>
        <w:t>2m</w:t>
      </w:r>
      <w:r>
        <w:rPr>
          <w:color w:val="333333"/>
          <w:spacing w:val="-3"/>
        </w:rPr>
        <w:t>。</w:t>
      </w:r>
      <w:r>
        <w:rPr>
          <w:color w:val="333333"/>
        </w:rPr>
        <w:t xml:space="preserve"> </w:t>
      </w:r>
    </w:p>
    <w:p w14:paraId="11B3A07D" w14:textId="77777777" w:rsidR="00A71EEF" w:rsidRDefault="00A71EEF">
      <w:pPr>
        <w:pStyle w:val="a3"/>
        <w:spacing w:before="2"/>
        <w:rPr>
          <w:sz w:val="18"/>
        </w:rPr>
      </w:pPr>
    </w:p>
    <w:p w14:paraId="3320963B" w14:textId="77777777" w:rsidR="00A71EEF" w:rsidRDefault="0081115D">
      <w:pPr>
        <w:pStyle w:val="a4"/>
        <w:numPr>
          <w:ilvl w:val="0"/>
          <w:numId w:val="740"/>
        </w:numPr>
        <w:tabs>
          <w:tab w:val="left" w:pos="1051"/>
        </w:tabs>
        <w:spacing w:line="446" w:lineRule="auto"/>
        <w:ind w:right="1452" w:firstLine="419"/>
        <w:rPr>
          <w:sz w:val="21"/>
        </w:rPr>
      </w:pPr>
      <w:r>
        <w:rPr>
          <w:color w:val="333333"/>
          <w:spacing w:val="-5"/>
          <w:sz w:val="21"/>
        </w:rPr>
        <w:t>两座仓库的相邻外墙均为防火墙时，防火间距可以减小，但丙类仓库，不应小于</w:t>
      </w:r>
      <w:r>
        <w:rPr>
          <w:color w:val="333333"/>
          <w:spacing w:val="-5"/>
          <w:sz w:val="21"/>
        </w:rPr>
        <w:t xml:space="preserve"> </w:t>
      </w:r>
      <w:r>
        <w:rPr>
          <w:color w:val="333333"/>
          <w:sz w:val="21"/>
        </w:rPr>
        <w:t>6m</w:t>
      </w:r>
      <w:r>
        <w:rPr>
          <w:color w:val="333333"/>
          <w:spacing w:val="8"/>
          <w:sz w:val="21"/>
        </w:rPr>
        <w:t>；</w:t>
      </w:r>
      <w:r>
        <w:rPr>
          <w:color w:val="333333"/>
          <w:spacing w:val="8"/>
          <w:sz w:val="21"/>
        </w:rPr>
        <w:t xml:space="preserve"> </w:t>
      </w:r>
      <w:r>
        <w:rPr>
          <w:color w:val="333333"/>
          <w:spacing w:val="8"/>
          <w:sz w:val="21"/>
        </w:rPr>
        <w:t>丁</w:t>
      </w:r>
      <w:r>
        <w:rPr>
          <w:color w:val="333333"/>
          <w:spacing w:val="-8"/>
          <w:sz w:val="21"/>
        </w:rPr>
        <w:t>、戊类仓库，不应小于</w:t>
      </w:r>
      <w:r>
        <w:rPr>
          <w:color w:val="333333"/>
          <w:spacing w:val="-8"/>
          <w:sz w:val="21"/>
        </w:rPr>
        <w:t xml:space="preserve"> </w:t>
      </w:r>
      <w:r>
        <w:rPr>
          <w:color w:val="333333"/>
          <w:sz w:val="21"/>
        </w:rPr>
        <w:t>4m</w:t>
      </w:r>
      <w:r>
        <w:rPr>
          <w:color w:val="333333"/>
          <w:spacing w:val="-2"/>
          <w:sz w:val="21"/>
        </w:rPr>
        <w:t>。两座仓库相邻较高一面外墙为防火墙，或相邻两座高度相同的</w:t>
      </w:r>
      <w:r>
        <w:rPr>
          <w:color w:val="333333"/>
          <w:spacing w:val="-2"/>
          <w:sz w:val="21"/>
        </w:rPr>
        <w:t xml:space="preserve">  </w:t>
      </w:r>
      <w:r>
        <w:rPr>
          <w:color w:val="333333"/>
          <w:spacing w:val="-2"/>
          <w:sz w:val="21"/>
        </w:rPr>
        <w:t>一</w:t>
      </w:r>
      <w:r>
        <w:rPr>
          <w:color w:val="333333"/>
          <w:spacing w:val="-4"/>
          <w:sz w:val="21"/>
        </w:rPr>
        <w:t>、二级耐火等级建筑中相邻任一侧外墙为防火墙且屋顶的耐火极限不低于</w:t>
      </w:r>
      <w:r>
        <w:rPr>
          <w:color w:val="333333"/>
          <w:spacing w:val="-4"/>
          <w:sz w:val="21"/>
        </w:rPr>
        <w:t xml:space="preserve"> </w:t>
      </w:r>
      <w:r>
        <w:rPr>
          <w:color w:val="333333"/>
          <w:sz w:val="21"/>
        </w:rPr>
        <w:t>1.00h</w:t>
      </w:r>
      <w:r>
        <w:rPr>
          <w:color w:val="333333"/>
          <w:spacing w:val="-3"/>
          <w:sz w:val="21"/>
        </w:rPr>
        <w:t>，且总占地面积</w:t>
      </w:r>
      <w:r>
        <w:rPr>
          <w:color w:val="333333"/>
          <w:spacing w:val="-10"/>
          <w:sz w:val="21"/>
        </w:rPr>
        <w:t>不大于本规范第</w:t>
      </w:r>
      <w:r>
        <w:rPr>
          <w:color w:val="333333"/>
          <w:spacing w:val="-10"/>
          <w:sz w:val="21"/>
        </w:rPr>
        <w:t xml:space="preserve"> </w:t>
      </w:r>
      <w:r>
        <w:rPr>
          <w:color w:val="333333"/>
          <w:sz w:val="21"/>
        </w:rPr>
        <w:t>3.3.2</w:t>
      </w:r>
      <w:r>
        <w:rPr>
          <w:color w:val="333333"/>
          <w:spacing w:val="-3"/>
          <w:sz w:val="21"/>
        </w:rPr>
        <w:t xml:space="preserve"> </w:t>
      </w:r>
      <w:r>
        <w:rPr>
          <w:color w:val="333333"/>
          <w:spacing w:val="-3"/>
          <w:sz w:val="21"/>
        </w:rPr>
        <w:t>条一座仓库的最大允许占地面积规定时，其防火间距不限。</w:t>
      </w:r>
      <w:r>
        <w:rPr>
          <w:color w:val="333333"/>
          <w:sz w:val="21"/>
        </w:rPr>
        <w:t xml:space="preserve"> </w:t>
      </w:r>
    </w:p>
    <w:p w14:paraId="04301F77" w14:textId="77777777" w:rsidR="00A71EEF" w:rsidRDefault="0081115D">
      <w:pPr>
        <w:pStyle w:val="a4"/>
        <w:numPr>
          <w:ilvl w:val="0"/>
          <w:numId w:val="740"/>
        </w:numPr>
        <w:tabs>
          <w:tab w:val="left" w:pos="1051"/>
        </w:tabs>
        <w:spacing w:line="446" w:lineRule="auto"/>
        <w:ind w:right="1503" w:firstLine="419"/>
        <w:rPr>
          <w:sz w:val="21"/>
        </w:rPr>
      </w:pPr>
      <w:r>
        <w:rPr>
          <w:color w:val="333333"/>
          <w:spacing w:val="-12"/>
          <w:sz w:val="21"/>
        </w:rPr>
        <w:t>除乙类第</w:t>
      </w:r>
      <w:r>
        <w:rPr>
          <w:color w:val="333333"/>
          <w:spacing w:val="-12"/>
          <w:sz w:val="21"/>
        </w:rPr>
        <w:t xml:space="preserve"> </w:t>
      </w:r>
      <w:r>
        <w:rPr>
          <w:color w:val="333333"/>
          <w:sz w:val="21"/>
        </w:rPr>
        <w:t>6</w:t>
      </w:r>
      <w:r>
        <w:rPr>
          <w:color w:val="333333"/>
          <w:spacing w:val="-5"/>
          <w:sz w:val="21"/>
        </w:rPr>
        <w:t xml:space="preserve"> </w:t>
      </w:r>
      <w:r>
        <w:rPr>
          <w:color w:val="333333"/>
          <w:spacing w:val="-5"/>
          <w:sz w:val="21"/>
        </w:rPr>
        <w:t>项物品外的乙类仓库，与民用建筑的防火间距不宜小于</w:t>
      </w:r>
      <w:r>
        <w:rPr>
          <w:color w:val="333333"/>
          <w:spacing w:val="-5"/>
          <w:sz w:val="21"/>
        </w:rPr>
        <w:t xml:space="preserve"> </w:t>
      </w:r>
      <w:r>
        <w:rPr>
          <w:color w:val="333333"/>
          <w:sz w:val="21"/>
        </w:rPr>
        <w:t>25m</w:t>
      </w:r>
      <w:r>
        <w:rPr>
          <w:color w:val="333333"/>
          <w:spacing w:val="-2"/>
          <w:sz w:val="21"/>
        </w:rPr>
        <w:t>，与重要公共建</w:t>
      </w:r>
      <w:r>
        <w:rPr>
          <w:color w:val="333333"/>
          <w:spacing w:val="-8"/>
          <w:sz w:val="21"/>
        </w:rPr>
        <w:t>筑的防火间距不应小于</w:t>
      </w:r>
      <w:r>
        <w:rPr>
          <w:color w:val="333333"/>
          <w:spacing w:val="-8"/>
          <w:sz w:val="21"/>
        </w:rPr>
        <w:t xml:space="preserve"> </w:t>
      </w:r>
      <w:r>
        <w:rPr>
          <w:color w:val="333333"/>
          <w:sz w:val="21"/>
        </w:rPr>
        <w:t>50m</w:t>
      </w:r>
      <w:r>
        <w:rPr>
          <w:color w:val="333333"/>
          <w:sz w:val="21"/>
        </w:rPr>
        <w:t>，</w:t>
      </w:r>
      <w:r>
        <w:rPr>
          <w:color w:val="333333"/>
          <w:spacing w:val="-6"/>
          <w:sz w:val="21"/>
        </w:rPr>
        <w:t>与铁路、道路等的防火间距不宜小于表</w:t>
      </w:r>
      <w:r>
        <w:rPr>
          <w:color w:val="333333"/>
          <w:spacing w:val="-6"/>
          <w:sz w:val="21"/>
        </w:rPr>
        <w:t xml:space="preserve"> </w:t>
      </w:r>
      <w:r>
        <w:rPr>
          <w:color w:val="333333"/>
          <w:sz w:val="21"/>
        </w:rPr>
        <w:t>3.5.1</w:t>
      </w:r>
      <w:r>
        <w:rPr>
          <w:color w:val="333333"/>
          <w:spacing w:val="-2"/>
          <w:sz w:val="21"/>
        </w:rPr>
        <w:t xml:space="preserve"> </w:t>
      </w:r>
      <w:r>
        <w:rPr>
          <w:color w:val="333333"/>
          <w:spacing w:val="-2"/>
          <w:sz w:val="21"/>
        </w:rPr>
        <w:t>中甲类仓库与铁</w:t>
      </w:r>
    </w:p>
    <w:p w14:paraId="4533DD64" w14:textId="77777777" w:rsidR="00A71EEF" w:rsidRDefault="0081115D">
      <w:pPr>
        <w:pStyle w:val="a3"/>
        <w:ind w:left="418"/>
      </w:pPr>
      <w:r>
        <w:rPr>
          <w:color w:val="333333"/>
        </w:rPr>
        <w:t>路、道路等的防火间距。</w:t>
      </w:r>
      <w:r>
        <w:rPr>
          <w:color w:val="333333"/>
        </w:rPr>
        <w:t xml:space="preserve"> </w:t>
      </w:r>
    </w:p>
    <w:p w14:paraId="71C111E7" w14:textId="77777777" w:rsidR="00A71EEF" w:rsidRDefault="00A71EEF">
      <w:pPr>
        <w:pStyle w:val="a3"/>
        <w:spacing w:before="10"/>
        <w:rPr>
          <w:sz w:val="17"/>
        </w:rPr>
      </w:pPr>
    </w:p>
    <w:p w14:paraId="16D8BD30" w14:textId="77777777" w:rsidR="00A71EEF" w:rsidRDefault="0081115D">
      <w:pPr>
        <w:pStyle w:val="a4"/>
        <w:numPr>
          <w:ilvl w:val="2"/>
          <w:numId w:val="747"/>
        </w:numPr>
        <w:tabs>
          <w:tab w:val="left" w:pos="1370"/>
        </w:tabs>
        <w:spacing w:line="446" w:lineRule="auto"/>
        <w:ind w:right="1604" w:firstLine="422"/>
        <w:rPr>
          <w:sz w:val="21"/>
        </w:rPr>
      </w:pPr>
      <w:r>
        <w:rPr>
          <w:color w:val="333333"/>
          <w:spacing w:val="-3"/>
          <w:sz w:val="21"/>
        </w:rPr>
        <w:t>丁、戊类仓库与民用建筑的耐火等级均为一、二级时，仓库与民用建筑的防火间距可适当减小，但应符合下列规定：</w:t>
      </w:r>
      <w:r>
        <w:rPr>
          <w:color w:val="333333"/>
          <w:sz w:val="21"/>
        </w:rPr>
        <w:t xml:space="preserve"> </w:t>
      </w:r>
    </w:p>
    <w:p w14:paraId="13DE8E11" w14:textId="77777777" w:rsidR="00A71EEF" w:rsidRDefault="0081115D">
      <w:pPr>
        <w:pStyle w:val="a3"/>
        <w:spacing w:line="446" w:lineRule="auto"/>
        <w:ind w:left="418" w:right="1498" w:firstLine="419"/>
      </w:pPr>
      <w:r>
        <w:rPr>
          <w:color w:val="333333"/>
        </w:rPr>
        <w:t>当较高一面外墙为无门、窗、洞口的防火墙，或比相邻较低一座建筑屋面高</w:t>
      </w:r>
      <w:r>
        <w:rPr>
          <w:color w:val="333333"/>
        </w:rPr>
        <w:t xml:space="preserve"> 15m </w:t>
      </w:r>
      <w:r>
        <w:rPr>
          <w:color w:val="333333"/>
        </w:rPr>
        <w:t>及以下范围内的外墙为无门、窗、洞口的防火墙时，其防火间距不限；</w:t>
      </w:r>
      <w:r>
        <w:rPr>
          <w:color w:val="333333"/>
        </w:rPr>
        <w:t xml:space="preserve"> </w:t>
      </w:r>
    </w:p>
    <w:p w14:paraId="5BFCDB6B" w14:textId="77777777" w:rsidR="00A71EEF" w:rsidRDefault="0081115D">
      <w:pPr>
        <w:pStyle w:val="a3"/>
        <w:spacing w:line="446" w:lineRule="auto"/>
        <w:ind w:left="418" w:right="1392" w:firstLine="419"/>
      </w:pPr>
      <w:r>
        <w:rPr>
          <w:color w:val="333333"/>
        </w:rPr>
        <w:t>相邻较低一面外墙为防火墙，且屋顶无天窗或洞口、屋顶耐火极限不低于</w:t>
      </w:r>
      <w:r>
        <w:rPr>
          <w:color w:val="333333"/>
        </w:rPr>
        <w:t xml:space="preserve"> 1.00h</w:t>
      </w:r>
      <w:r>
        <w:rPr>
          <w:color w:val="333333"/>
        </w:rPr>
        <w:t>，或相邻较高一面外墙为防火墙，且墙上开口部位采取了防火措施，其防火间距可适当减小，但不应小于</w:t>
      </w:r>
    </w:p>
    <w:p w14:paraId="0E7A8F63" w14:textId="77777777" w:rsidR="00A71EEF" w:rsidRDefault="00A71EEF">
      <w:pPr>
        <w:spacing w:line="446" w:lineRule="auto"/>
        <w:sectPr w:rsidR="00A71EEF">
          <w:pgSz w:w="11910" w:h="16850"/>
          <w:pgMar w:top="1220" w:right="0" w:bottom="1420" w:left="1260" w:header="0" w:footer="1239" w:gutter="0"/>
          <w:cols w:space="720"/>
        </w:sectPr>
      </w:pPr>
    </w:p>
    <w:p w14:paraId="0EDB7194" w14:textId="77777777" w:rsidR="00A71EEF" w:rsidRDefault="0081115D">
      <w:pPr>
        <w:pStyle w:val="a3"/>
        <w:spacing w:before="47"/>
        <w:ind w:left="418"/>
      </w:pPr>
      <w:r>
        <w:rPr>
          <w:color w:val="333333"/>
        </w:rPr>
        <w:lastRenderedPageBreak/>
        <w:t>4m</w:t>
      </w:r>
      <w:r>
        <w:rPr>
          <w:color w:val="333333"/>
        </w:rPr>
        <w:t>。</w:t>
      </w:r>
      <w:r>
        <w:rPr>
          <w:color w:val="333333"/>
        </w:rPr>
        <w:t xml:space="preserve"> </w:t>
      </w:r>
    </w:p>
    <w:p w14:paraId="13A0FF7A" w14:textId="77777777" w:rsidR="00A71EEF" w:rsidRDefault="00A71EEF">
      <w:pPr>
        <w:pStyle w:val="a3"/>
        <w:rPr>
          <w:sz w:val="18"/>
        </w:rPr>
      </w:pPr>
    </w:p>
    <w:p w14:paraId="2275B474" w14:textId="77777777" w:rsidR="00A71EEF" w:rsidRDefault="0081115D">
      <w:pPr>
        <w:pStyle w:val="a4"/>
        <w:numPr>
          <w:ilvl w:val="2"/>
          <w:numId w:val="747"/>
        </w:numPr>
        <w:tabs>
          <w:tab w:val="left" w:pos="1371"/>
        </w:tabs>
        <w:spacing w:line="446" w:lineRule="auto"/>
        <w:ind w:left="1992" w:right="1712" w:hanging="1152"/>
        <w:rPr>
          <w:b/>
          <w:sz w:val="21"/>
        </w:rPr>
      </w:pPr>
      <w:r>
        <w:rPr>
          <w:color w:val="333333"/>
          <w:spacing w:val="-4"/>
          <w:sz w:val="21"/>
        </w:rPr>
        <w:t>粮食筒仓与其他建筑、粮食筒仓组之间的防火间距，不应小于表</w:t>
      </w:r>
      <w:r>
        <w:rPr>
          <w:color w:val="333333"/>
          <w:spacing w:val="-4"/>
          <w:sz w:val="21"/>
        </w:rPr>
        <w:t xml:space="preserve"> </w:t>
      </w:r>
      <w:r>
        <w:rPr>
          <w:color w:val="333333"/>
          <w:sz w:val="21"/>
        </w:rPr>
        <w:t>3.5.4</w:t>
      </w:r>
      <w:r>
        <w:rPr>
          <w:color w:val="333333"/>
          <w:spacing w:val="-7"/>
          <w:sz w:val="21"/>
        </w:rPr>
        <w:t xml:space="preserve"> </w:t>
      </w:r>
      <w:r>
        <w:rPr>
          <w:color w:val="333333"/>
          <w:spacing w:val="-7"/>
          <w:sz w:val="21"/>
        </w:rPr>
        <w:t>的规定。</w:t>
      </w:r>
      <w:r>
        <w:rPr>
          <w:b/>
          <w:sz w:val="21"/>
        </w:rPr>
        <w:t>表</w:t>
      </w:r>
      <w:r>
        <w:rPr>
          <w:b/>
          <w:spacing w:val="-54"/>
          <w:sz w:val="21"/>
        </w:rPr>
        <w:t xml:space="preserve"> </w:t>
      </w:r>
      <w:r>
        <w:rPr>
          <w:b/>
          <w:sz w:val="21"/>
        </w:rPr>
        <w:t>3.5.4</w:t>
      </w:r>
      <w:r>
        <w:rPr>
          <w:b/>
          <w:spacing w:val="-3"/>
          <w:sz w:val="21"/>
        </w:rPr>
        <w:t xml:space="preserve"> </w:t>
      </w:r>
      <w:r>
        <w:rPr>
          <w:b/>
          <w:spacing w:val="-3"/>
          <w:sz w:val="21"/>
        </w:rPr>
        <w:t>粮食筒仓与其他建筑、粮食筒仓组之间的防火间距</w:t>
      </w:r>
      <w:r>
        <w:rPr>
          <w:b/>
          <w:sz w:val="21"/>
        </w:rPr>
        <w:t>（</w:t>
      </w:r>
      <w:r>
        <w:rPr>
          <w:b/>
          <w:sz w:val="21"/>
        </w:rPr>
        <w:t>m</w:t>
      </w:r>
      <w:r>
        <w:rPr>
          <w:b/>
          <w:sz w:val="21"/>
        </w:rPr>
        <w:t>）</w:t>
      </w:r>
      <w:r>
        <w:rPr>
          <w:b/>
          <w:w w:val="99"/>
          <w:sz w:val="21"/>
        </w:rPr>
        <w:t xml:space="preserve"> </w:t>
      </w:r>
    </w:p>
    <w:p w14:paraId="18988469" w14:textId="77777777" w:rsidR="00A71EEF" w:rsidRDefault="0081115D">
      <w:pPr>
        <w:pStyle w:val="a3"/>
        <w:spacing w:before="12"/>
        <w:rPr>
          <w:b/>
          <w:sz w:val="8"/>
        </w:rPr>
      </w:pPr>
      <w:r>
        <w:rPr>
          <w:noProof/>
        </w:rPr>
        <w:drawing>
          <wp:anchor distT="0" distB="0" distL="0" distR="0" simplePos="0" relativeHeight="251518464" behindDoc="0" locked="0" layoutInCell="1" allowOverlap="1" wp14:anchorId="02ED6AC7" wp14:editId="6926091D">
            <wp:simplePos x="0" y="0"/>
            <wp:positionH relativeFrom="page">
              <wp:posOffset>1170305</wp:posOffset>
            </wp:positionH>
            <wp:positionV relativeFrom="paragraph">
              <wp:posOffset>97535</wp:posOffset>
            </wp:positionV>
            <wp:extent cx="5553074" cy="2466975"/>
            <wp:effectExtent l="0" t="0" r="0" b="0"/>
            <wp:wrapTopAndBottom/>
            <wp:docPr id="167" name="image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111.jpeg"/>
                    <pic:cNvPicPr/>
                  </pic:nvPicPr>
                  <pic:blipFill>
                    <a:blip r:embed="rId109" cstate="print"/>
                    <a:stretch>
                      <a:fillRect/>
                    </a:stretch>
                  </pic:blipFill>
                  <pic:spPr>
                    <a:xfrm>
                      <a:off x="0" y="0"/>
                      <a:ext cx="5553074" cy="2466975"/>
                    </a:xfrm>
                    <a:prstGeom prst="rect">
                      <a:avLst/>
                    </a:prstGeom>
                  </pic:spPr>
                </pic:pic>
              </a:graphicData>
            </a:graphic>
          </wp:anchor>
        </w:drawing>
      </w:r>
    </w:p>
    <w:p w14:paraId="2E1C6173" w14:textId="77777777" w:rsidR="00A71EEF" w:rsidRDefault="0081115D">
      <w:pPr>
        <w:pStyle w:val="a3"/>
        <w:spacing w:before="162" w:line="446" w:lineRule="auto"/>
        <w:ind w:left="418" w:right="1505" w:firstLine="419"/>
      </w:pPr>
      <w:r>
        <w:rPr>
          <w:color w:val="333333"/>
        </w:rPr>
        <w:t>注：</w:t>
      </w:r>
      <w:r>
        <w:rPr>
          <w:color w:val="333333"/>
        </w:rPr>
        <w:t xml:space="preserve">1. </w:t>
      </w:r>
      <w:r>
        <w:rPr>
          <w:color w:val="333333"/>
        </w:rPr>
        <w:t>当粮食立筒仓、粮食浅圆仓与工作塔、接收塔、发放站为一个完整工艺单元的组群时，组内各建筑之间的防火间距不受本表限制。</w:t>
      </w:r>
      <w:r>
        <w:rPr>
          <w:color w:val="333333"/>
        </w:rPr>
        <w:t xml:space="preserve"> </w:t>
      </w:r>
    </w:p>
    <w:p w14:paraId="11D34030" w14:textId="77777777" w:rsidR="00A71EEF" w:rsidRDefault="0081115D">
      <w:pPr>
        <w:pStyle w:val="a3"/>
        <w:ind w:left="838"/>
      </w:pPr>
      <w:r>
        <w:rPr>
          <w:color w:val="333333"/>
        </w:rPr>
        <w:t>2.</w:t>
      </w:r>
      <w:r>
        <w:rPr>
          <w:color w:val="333333"/>
        </w:rPr>
        <w:t>粮食浅圆仓组内每个独立仓的储量不应大于</w:t>
      </w:r>
      <w:r>
        <w:rPr>
          <w:color w:val="333333"/>
        </w:rPr>
        <w:t xml:space="preserve"> 10000t</w:t>
      </w:r>
      <w:r>
        <w:rPr>
          <w:color w:val="333333"/>
        </w:rPr>
        <w:t>。</w:t>
      </w:r>
      <w:r>
        <w:rPr>
          <w:color w:val="333333"/>
        </w:rPr>
        <w:t xml:space="preserve"> </w:t>
      </w:r>
    </w:p>
    <w:p w14:paraId="705228E2" w14:textId="77777777" w:rsidR="00A71EEF" w:rsidRDefault="00A71EEF">
      <w:pPr>
        <w:pStyle w:val="a3"/>
        <w:rPr>
          <w:sz w:val="18"/>
        </w:rPr>
      </w:pPr>
    </w:p>
    <w:p w14:paraId="1AF74FD4" w14:textId="77777777" w:rsidR="00A71EEF" w:rsidRDefault="0081115D">
      <w:pPr>
        <w:pStyle w:val="a4"/>
        <w:numPr>
          <w:ilvl w:val="2"/>
          <w:numId w:val="747"/>
        </w:numPr>
        <w:tabs>
          <w:tab w:val="left" w:pos="1370"/>
        </w:tabs>
        <w:spacing w:line="446" w:lineRule="auto"/>
        <w:ind w:right="1553" w:firstLine="422"/>
        <w:rPr>
          <w:sz w:val="21"/>
        </w:rPr>
      </w:pPr>
      <w:r>
        <w:rPr>
          <w:color w:val="333333"/>
          <w:spacing w:val="-6"/>
          <w:sz w:val="21"/>
        </w:rPr>
        <w:t>库区围墙与库区内建筑的间距不宜小于</w:t>
      </w:r>
      <w:r>
        <w:rPr>
          <w:color w:val="333333"/>
          <w:spacing w:val="-6"/>
          <w:sz w:val="21"/>
        </w:rPr>
        <w:t xml:space="preserve"> </w:t>
      </w:r>
      <w:r>
        <w:rPr>
          <w:color w:val="333333"/>
          <w:sz w:val="21"/>
        </w:rPr>
        <w:t>5m</w:t>
      </w:r>
      <w:r>
        <w:rPr>
          <w:color w:val="333333"/>
          <w:spacing w:val="-3"/>
          <w:sz w:val="21"/>
        </w:rPr>
        <w:t>，围墙两侧建筑的间距应满足相应建筑的防火间距要求。</w:t>
      </w:r>
      <w:r>
        <w:rPr>
          <w:color w:val="333333"/>
          <w:sz w:val="21"/>
        </w:rPr>
        <w:t xml:space="preserve"> </w:t>
      </w:r>
    </w:p>
    <w:p w14:paraId="1CBE36E2" w14:textId="77777777" w:rsidR="00A71EEF" w:rsidRDefault="0081115D">
      <w:pPr>
        <w:pStyle w:val="a4"/>
        <w:numPr>
          <w:ilvl w:val="1"/>
          <w:numId w:val="747"/>
        </w:numPr>
        <w:tabs>
          <w:tab w:val="left" w:pos="1159"/>
        </w:tabs>
        <w:ind w:hanging="319"/>
        <w:rPr>
          <w:sz w:val="21"/>
        </w:rPr>
      </w:pPr>
      <w:r>
        <w:rPr>
          <w:spacing w:val="-3"/>
          <w:sz w:val="21"/>
        </w:rPr>
        <w:t>厂房和仓库的防爆</w:t>
      </w:r>
      <w:r>
        <w:rPr>
          <w:sz w:val="21"/>
        </w:rPr>
        <w:t xml:space="preserve"> </w:t>
      </w:r>
    </w:p>
    <w:p w14:paraId="484C3ECA" w14:textId="77777777" w:rsidR="00A71EEF" w:rsidRDefault="00A71EEF">
      <w:pPr>
        <w:pStyle w:val="a3"/>
        <w:spacing w:before="12"/>
        <w:rPr>
          <w:sz w:val="17"/>
        </w:rPr>
      </w:pPr>
    </w:p>
    <w:p w14:paraId="30119830" w14:textId="77777777" w:rsidR="00A71EEF" w:rsidRDefault="0081115D">
      <w:pPr>
        <w:pStyle w:val="a4"/>
        <w:numPr>
          <w:ilvl w:val="2"/>
          <w:numId w:val="747"/>
        </w:numPr>
        <w:tabs>
          <w:tab w:val="left" w:pos="1371"/>
        </w:tabs>
        <w:spacing w:line="446" w:lineRule="auto"/>
        <w:ind w:right="1604" w:firstLine="422"/>
        <w:rPr>
          <w:sz w:val="21"/>
        </w:rPr>
      </w:pPr>
      <w:r>
        <w:rPr>
          <w:color w:val="333333"/>
          <w:spacing w:val="-3"/>
          <w:sz w:val="21"/>
        </w:rPr>
        <w:t>有爆炸危险的甲、乙类厂房宜独立设置，并宜采用敞开或半敞开式。其承重结构宜采用钢筋混凝土或钢框架、排架结构。</w:t>
      </w:r>
      <w:r>
        <w:rPr>
          <w:color w:val="333333"/>
          <w:sz w:val="21"/>
        </w:rPr>
        <w:t xml:space="preserve"> </w:t>
      </w:r>
    </w:p>
    <w:p w14:paraId="2E0823E2" w14:textId="77777777" w:rsidR="00A71EEF" w:rsidRDefault="0081115D">
      <w:pPr>
        <w:pStyle w:val="a4"/>
        <w:numPr>
          <w:ilvl w:val="2"/>
          <w:numId w:val="747"/>
        </w:numPr>
        <w:tabs>
          <w:tab w:val="left" w:pos="1371"/>
        </w:tabs>
        <w:ind w:left="1370"/>
        <w:rPr>
          <w:b/>
          <w:sz w:val="21"/>
        </w:rPr>
      </w:pPr>
      <w:r>
        <w:rPr>
          <w:color w:val="333333"/>
          <w:spacing w:val="-3"/>
          <w:sz w:val="21"/>
        </w:rPr>
        <w:t>有爆炸危险的厂房或厂房内有爆炸危险的部位应设置泄压设施。</w:t>
      </w:r>
      <w:r>
        <w:rPr>
          <w:b/>
          <w:color w:val="333333"/>
          <w:w w:val="99"/>
          <w:sz w:val="21"/>
        </w:rPr>
        <w:t xml:space="preserve"> </w:t>
      </w:r>
    </w:p>
    <w:p w14:paraId="095562A8" w14:textId="77777777" w:rsidR="00A71EEF" w:rsidRDefault="00A71EEF">
      <w:pPr>
        <w:pStyle w:val="a3"/>
        <w:rPr>
          <w:b/>
          <w:sz w:val="18"/>
        </w:rPr>
      </w:pPr>
    </w:p>
    <w:p w14:paraId="2BB67A6F" w14:textId="77777777" w:rsidR="00A71EEF" w:rsidRDefault="0081115D">
      <w:pPr>
        <w:pStyle w:val="a4"/>
        <w:numPr>
          <w:ilvl w:val="2"/>
          <w:numId w:val="747"/>
        </w:numPr>
        <w:tabs>
          <w:tab w:val="left" w:pos="1370"/>
        </w:tabs>
        <w:spacing w:line="446" w:lineRule="auto"/>
        <w:ind w:right="1604" w:firstLine="422"/>
        <w:rPr>
          <w:sz w:val="21"/>
        </w:rPr>
      </w:pPr>
      <w:r>
        <w:rPr>
          <w:color w:val="333333"/>
          <w:spacing w:val="-3"/>
          <w:sz w:val="21"/>
        </w:rPr>
        <w:t>泄压设施宜采用轻质屋面板、轻质墙体和易于泄压的门、窗等，应采用安全玻璃等在爆炸时不产生尖锐碎片的材料。</w:t>
      </w:r>
      <w:r>
        <w:rPr>
          <w:color w:val="333333"/>
          <w:sz w:val="21"/>
        </w:rPr>
        <w:t xml:space="preserve"> </w:t>
      </w:r>
    </w:p>
    <w:p w14:paraId="1283BF08" w14:textId="77777777" w:rsidR="00A71EEF" w:rsidRDefault="0081115D">
      <w:pPr>
        <w:pStyle w:val="a3"/>
        <w:spacing w:line="436" w:lineRule="auto"/>
        <w:ind w:left="838" w:right="1925"/>
      </w:pPr>
      <w:r>
        <w:rPr>
          <w:color w:val="333333"/>
          <w:spacing w:val="-3"/>
        </w:rPr>
        <w:t>泄压设施的设置应避开人员密集场所和主要交通道路，并宜靠近有爆炸危险的部位。</w:t>
      </w:r>
      <w:r>
        <w:rPr>
          <w:color w:val="333333"/>
          <w:spacing w:val="-6"/>
        </w:rPr>
        <w:t>作为泄压设施的轻质屋面板和墙体的质量不宜大于</w:t>
      </w:r>
      <w:r>
        <w:rPr>
          <w:color w:val="333333"/>
          <w:spacing w:val="-6"/>
        </w:rPr>
        <w:t xml:space="preserve"> </w:t>
      </w:r>
      <w:r>
        <w:rPr>
          <w:color w:val="333333"/>
        </w:rPr>
        <w:t>60kg/m</w:t>
      </w:r>
      <w:r>
        <w:rPr>
          <w:color w:val="333333"/>
          <w:position w:val="11"/>
          <w:sz w:val="11"/>
        </w:rPr>
        <w:t>2</w:t>
      </w:r>
      <w:r>
        <w:rPr>
          <w:color w:val="333333"/>
          <w:spacing w:val="-3"/>
        </w:rPr>
        <w:t>。</w:t>
      </w:r>
      <w:r>
        <w:rPr>
          <w:color w:val="333333"/>
        </w:rPr>
        <w:t xml:space="preserve"> </w:t>
      </w:r>
    </w:p>
    <w:p w14:paraId="63444D0D" w14:textId="77777777" w:rsidR="00A71EEF" w:rsidRDefault="0081115D">
      <w:pPr>
        <w:pStyle w:val="a3"/>
        <w:spacing w:before="11"/>
        <w:ind w:left="838"/>
      </w:pPr>
      <w:r>
        <w:rPr>
          <w:color w:val="333333"/>
        </w:rPr>
        <w:t>屋顶上的泄压设施应采取防冰雪积聚措施。</w:t>
      </w:r>
      <w:r>
        <w:rPr>
          <w:color w:val="333333"/>
        </w:rPr>
        <w:t xml:space="preserve"> </w:t>
      </w:r>
    </w:p>
    <w:p w14:paraId="4E4CDFF0" w14:textId="77777777" w:rsidR="00A71EEF" w:rsidRDefault="00A71EEF">
      <w:pPr>
        <w:sectPr w:rsidR="00A71EEF">
          <w:pgSz w:w="11910" w:h="16850"/>
          <w:pgMar w:top="1220" w:right="0" w:bottom="1420" w:left="1260" w:header="0" w:footer="1239" w:gutter="0"/>
          <w:cols w:space="720"/>
        </w:sectPr>
      </w:pPr>
    </w:p>
    <w:p w14:paraId="7637C975" w14:textId="77777777" w:rsidR="00A71EEF" w:rsidRDefault="0081115D">
      <w:pPr>
        <w:pStyle w:val="a4"/>
        <w:numPr>
          <w:ilvl w:val="2"/>
          <w:numId w:val="747"/>
        </w:numPr>
        <w:tabs>
          <w:tab w:val="left" w:pos="1370"/>
        </w:tabs>
        <w:spacing w:before="47"/>
        <w:ind w:left="1369" w:hanging="530"/>
        <w:rPr>
          <w:sz w:val="21"/>
        </w:rPr>
      </w:pPr>
      <w:r>
        <w:rPr>
          <w:noProof/>
        </w:rPr>
        <w:lastRenderedPageBreak/>
        <w:drawing>
          <wp:anchor distT="0" distB="0" distL="0" distR="0" simplePos="0" relativeHeight="251519488" behindDoc="0" locked="0" layoutInCell="1" allowOverlap="1" wp14:anchorId="73389FE9" wp14:editId="5E5BA095">
            <wp:simplePos x="0" y="0"/>
            <wp:positionH relativeFrom="page">
              <wp:posOffset>1160780</wp:posOffset>
            </wp:positionH>
            <wp:positionV relativeFrom="paragraph">
              <wp:posOffset>273430</wp:posOffset>
            </wp:positionV>
            <wp:extent cx="4953000" cy="790575"/>
            <wp:effectExtent l="0" t="0" r="0" b="0"/>
            <wp:wrapTopAndBottom/>
            <wp:docPr id="169" name="image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12.jpeg"/>
                    <pic:cNvPicPr/>
                  </pic:nvPicPr>
                  <pic:blipFill>
                    <a:blip r:embed="rId110" cstate="print"/>
                    <a:stretch>
                      <a:fillRect/>
                    </a:stretch>
                  </pic:blipFill>
                  <pic:spPr>
                    <a:xfrm>
                      <a:off x="0" y="0"/>
                      <a:ext cx="4953000" cy="790575"/>
                    </a:xfrm>
                    <a:prstGeom prst="rect">
                      <a:avLst/>
                    </a:prstGeom>
                  </pic:spPr>
                </pic:pic>
              </a:graphicData>
            </a:graphic>
          </wp:anchor>
        </w:drawing>
      </w:r>
      <w:r>
        <w:rPr>
          <w:color w:val="333333"/>
          <w:spacing w:val="-5"/>
          <w:sz w:val="21"/>
        </w:rPr>
        <w:t>厂房的泄压面积宜按下式计算，但当厂房的长径比大于</w:t>
      </w:r>
      <w:r>
        <w:rPr>
          <w:color w:val="333333"/>
          <w:spacing w:val="-5"/>
          <w:sz w:val="21"/>
        </w:rPr>
        <w:t xml:space="preserve"> </w:t>
      </w:r>
      <w:r>
        <w:rPr>
          <w:color w:val="333333"/>
          <w:sz w:val="21"/>
        </w:rPr>
        <w:t>3</w:t>
      </w:r>
      <w:r>
        <w:rPr>
          <w:color w:val="333333"/>
          <w:spacing w:val="-3"/>
          <w:sz w:val="21"/>
        </w:rPr>
        <w:t xml:space="preserve"> </w:t>
      </w:r>
      <w:r>
        <w:rPr>
          <w:color w:val="333333"/>
          <w:spacing w:val="-3"/>
          <w:sz w:val="21"/>
        </w:rPr>
        <w:t>时，宜将建筑划分为长径</w:t>
      </w:r>
    </w:p>
    <w:p w14:paraId="55389473" w14:textId="77777777" w:rsidR="00A71EEF" w:rsidRDefault="0081115D">
      <w:pPr>
        <w:pStyle w:val="a3"/>
        <w:spacing w:before="176"/>
        <w:ind w:left="418"/>
      </w:pPr>
      <w:r>
        <w:rPr>
          <w:color w:val="333333"/>
        </w:rPr>
        <w:t>比不大于</w:t>
      </w:r>
      <w:r>
        <w:rPr>
          <w:color w:val="333333"/>
        </w:rPr>
        <w:t xml:space="preserve"> 3 </w:t>
      </w:r>
      <w:r>
        <w:rPr>
          <w:color w:val="333333"/>
        </w:rPr>
        <w:t>的多个计算段，各计算段中的公共截面不得作为泄压面积：</w:t>
      </w:r>
      <w:r>
        <w:rPr>
          <w:color w:val="333333"/>
        </w:rPr>
        <w:t xml:space="preserve">  </w:t>
      </w:r>
      <w:r>
        <w:rPr>
          <w:color w:val="333333"/>
        </w:rPr>
        <w:t xml:space="preserve"> </w:t>
      </w:r>
    </w:p>
    <w:p w14:paraId="76A3DEDC" w14:textId="77777777" w:rsidR="00A71EEF" w:rsidRDefault="00A71EEF">
      <w:pPr>
        <w:pStyle w:val="a3"/>
        <w:spacing w:before="5"/>
        <w:rPr>
          <w:sz w:val="17"/>
        </w:rPr>
      </w:pPr>
    </w:p>
    <w:p w14:paraId="07A98B05" w14:textId="77777777" w:rsidR="00A71EEF" w:rsidRDefault="0081115D">
      <w:pPr>
        <w:pStyle w:val="6"/>
        <w:ind w:left="2040"/>
      </w:pPr>
      <w:r>
        <w:t>表</w:t>
      </w:r>
      <w:r>
        <w:t xml:space="preserve"> 3.6.4 </w:t>
      </w:r>
      <w:r>
        <w:t>厂房内爆炸性危险物质的类别与泄压比规定值（</w:t>
      </w:r>
      <w:r>
        <w:t>m</w:t>
      </w:r>
      <w:r>
        <w:rPr>
          <w:position w:val="11"/>
          <w:sz w:val="11"/>
        </w:rPr>
        <w:t>2</w:t>
      </w:r>
      <w:r>
        <w:t>/m</w:t>
      </w:r>
      <w:r>
        <w:rPr>
          <w:position w:val="11"/>
          <w:sz w:val="11"/>
        </w:rPr>
        <w:t>3</w:t>
      </w:r>
      <w:r>
        <w:t>）</w:t>
      </w:r>
      <w:r>
        <w:rPr>
          <w:w w:val="99"/>
        </w:rPr>
        <w:t xml:space="preserve"> </w:t>
      </w:r>
    </w:p>
    <w:p w14:paraId="0E470447" w14:textId="77777777" w:rsidR="00A71EEF" w:rsidRDefault="0081115D">
      <w:pPr>
        <w:pStyle w:val="a3"/>
        <w:spacing w:before="10"/>
        <w:rPr>
          <w:b/>
          <w:sz w:val="14"/>
        </w:rPr>
      </w:pPr>
      <w:r>
        <w:rPr>
          <w:noProof/>
        </w:rPr>
        <w:drawing>
          <wp:anchor distT="0" distB="0" distL="0" distR="0" simplePos="0" relativeHeight="251520512" behindDoc="0" locked="0" layoutInCell="1" allowOverlap="1" wp14:anchorId="7C2C668B" wp14:editId="4E66CA59">
            <wp:simplePos x="0" y="0"/>
            <wp:positionH relativeFrom="page">
              <wp:posOffset>1113155</wp:posOffset>
            </wp:positionH>
            <wp:positionV relativeFrom="paragraph">
              <wp:posOffset>145454</wp:posOffset>
            </wp:positionV>
            <wp:extent cx="5433620" cy="2209800"/>
            <wp:effectExtent l="0" t="0" r="0" b="0"/>
            <wp:wrapTopAndBottom/>
            <wp:docPr id="171" name="image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113.jpeg"/>
                    <pic:cNvPicPr/>
                  </pic:nvPicPr>
                  <pic:blipFill>
                    <a:blip r:embed="rId111" cstate="print"/>
                    <a:stretch>
                      <a:fillRect/>
                    </a:stretch>
                  </pic:blipFill>
                  <pic:spPr>
                    <a:xfrm>
                      <a:off x="0" y="0"/>
                      <a:ext cx="5433620" cy="2209800"/>
                    </a:xfrm>
                    <a:prstGeom prst="rect">
                      <a:avLst/>
                    </a:prstGeom>
                  </pic:spPr>
                </pic:pic>
              </a:graphicData>
            </a:graphic>
          </wp:anchor>
        </w:drawing>
      </w:r>
    </w:p>
    <w:p w14:paraId="557BD9E1" w14:textId="77777777" w:rsidR="00A71EEF" w:rsidRDefault="00A71EEF">
      <w:pPr>
        <w:pStyle w:val="a3"/>
        <w:rPr>
          <w:b/>
          <w:sz w:val="22"/>
        </w:rPr>
      </w:pPr>
    </w:p>
    <w:p w14:paraId="0B626E86" w14:textId="77777777" w:rsidR="00A71EEF" w:rsidRDefault="00A71EEF">
      <w:pPr>
        <w:pStyle w:val="a3"/>
        <w:spacing w:before="10"/>
        <w:rPr>
          <w:b/>
          <w:sz w:val="29"/>
        </w:rPr>
      </w:pPr>
    </w:p>
    <w:p w14:paraId="5A36BFBA" w14:textId="77777777" w:rsidR="00A71EEF" w:rsidRDefault="0081115D">
      <w:pPr>
        <w:pStyle w:val="a3"/>
        <w:spacing w:before="1" w:line="446" w:lineRule="auto"/>
        <w:ind w:left="418" w:right="1498" w:firstLine="419"/>
      </w:pPr>
      <w:r>
        <w:rPr>
          <w:color w:val="333333"/>
        </w:rPr>
        <w:t>注：长径比为建筑平面几何外形尺寸中的最长尺寸与其横截面周长的积和</w:t>
      </w:r>
      <w:r>
        <w:rPr>
          <w:color w:val="333333"/>
        </w:rPr>
        <w:t xml:space="preserve"> 4.0 </w:t>
      </w:r>
      <w:r>
        <w:rPr>
          <w:color w:val="333333"/>
        </w:rPr>
        <w:t>倍的建筑横截面积之比。</w:t>
      </w:r>
      <w:r>
        <w:rPr>
          <w:color w:val="333333"/>
        </w:rPr>
        <w:t xml:space="preserve"> </w:t>
      </w:r>
    </w:p>
    <w:p w14:paraId="0166337E" w14:textId="77777777" w:rsidR="00A71EEF" w:rsidRDefault="0081115D">
      <w:pPr>
        <w:pStyle w:val="a4"/>
        <w:numPr>
          <w:ilvl w:val="2"/>
          <w:numId w:val="747"/>
        </w:numPr>
        <w:tabs>
          <w:tab w:val="left" w:pos="1370"/>
        </w:tabs>
        <w:spacing w:line="446" w:lineRule="auto"/>
        <w:ind w:right="1813" w:firstLine="422"/>
        <w:rPr>
          <w:sz w:val="21"/>
        </w:rPr>
      </w:pPr>
      <w:r>
        <w:rPr>
          <w:color w:val="333333"/>
          <w:spacing w:val="-3"/>
          <w:sz w:val="21"/>
        </w:rPr>
        <w:t>散发较空气轻的可燃气体、可燃蒸气的甲类厂房，宜采用轻质屋面板作为泄压面积。顶棚应尽量平整、无死角，厂房上部空间应通风良好。</w:t>
      </w:r>
      <w:r>
        <w:rPr>
          <w:color w:val="333333"/>
          <w:sz w:val="21"/>
        </w:rPr>
        <w:t xml:space="preserve"> </w:t>
      </w:r>
    </w:p>
    <w:p w14:paraId="48D211FC" w14:textId="77777777" w:rsidR="00A71EEF" w:rsidRDefault="0081115D">
      <w:pPr>
        <w:pStyle w:val="a4"/>
        <w:numPr>
          <w:ilvl w:val="2"/>
          <w:numId w:val="747"/>
        </w:numPr>
        <w:tabs>
          <w:tab w:val="left" w:pos="1371"/>
        </w:tabs>
        <w:spacing w:line="446" w:lineRule="auto"/>
        <w:ind w:right="1498" w:firstLine="422"/>
        <w:rPr>
          <w:sz w:val="21"/>
        </w:rPr>
      </w:pPr>
      <w:r>
        <w:rPr>
          <w:color w:val="333333"/>
          <w:spacing w:val="-3"/>
          <w:sz w:val="21"/>
        </w:rPr>
        <w:t>散发较空气重的可燃气体、可燃蒸气的甲类厂房和有粉尘、纤维爆炸危险的乙类厂房，应符合下列规定：</w:t>
      </w:r>
      <w:r>
        <w:rPr>
          <w:color w:val="333333"/>
          <w:sz w:val="21"/>
        </w:rPr>
        <w:t xml:space="preserve"> </w:t>
      </w:r>
    </w:p>
    <w:p w14:paraId="3E08C6A4" w14:textId="77777777" w:rsidR="00A71EEF" w:rsidRDefault="0081115D">
      <w:pPr>
        <w:pStyle w:val="a3"/>
        <w:spacing w:line="446" w:lineRule="auto"/>
        <w:ind w:left="838" w:right="2765"/>
        <w:rPr>
          <w:b/>
        </w:rPr>
      </w:pPr>
      <w:r>
        <w:rPr>
          <w:color w:val="333333"/>
          <w:spacing w:val="-3"/>
        </w:rPr>
        <w:t>应采用不发火花的地面。采用绝缘材料作整体面层时，应采取防静电措施；</w:t>
      </w:r>
      <w:r>
        <w:rPr>
          <w:color w:val="333333"/>
          <w:spacing w:val="-3"/>
        </w:rPr>
        <w:t xml:space="preserve"> </w:t>
      </w:r>
      <w:r>
        <w:rPr>
          <w:color w:val="333333"/>
          <w:spacing w:val="-3"/>
        </w:rPr>
        <w:t>散发可燃粉尘、纤维的厂房，其内表面应平整、光滑，并易于清扫；</w:t>
      </w:r>
      <w:r>
        <w:rPr>
          <w:b/>
          <w:color w:val="333333"/>
          <w:w w:val="99"/>
        </w:rPr>
        <w:t xml:space="preserve"> </w:t>
      </w:r>
    </w:p>
    <w:p w14:paraId="71B95B90" w14:textId="77777777" w:rsidR="00A71EEF" w:rsidRDefault="0081115D">
      <w:pPr>
        <w:pStyle w:val="a3"/>
        <w:spacing w:line="446" w:lineRule="auto"/>
        <w:ind w:left="418" w:right="1609" w:firstLine="419"/>
        <w:rPr>
          <w:b/>
        </w:rPr>
      </w:pPr>
      <w:r>
        <w:rPr>
          <w:color w:val="333333"/>
        </w:rPr>
        <w:t>厂房内不宜设置地沟，确需设置时，其盖板应严密，地沟应采取防止可燃气体、可燃蒸气和粉尘、纤维在地沟积聚的有效措施，且应在与相邻厂房连通处采用防火材料密封。</w:t>
      </w:r>
      <w:r>
        <w:rPr>
          <w:b/>
          <w:color w:val="333333"/>
          <w:w w:val="99"/>
        </w:rPr>
        <w:t xml:space="preserve"> </w:t>
      </w:r>
    </w:p>
    <w:p w14:paraId="6EFAA948" w14:textId="77777777" w:rsidR="00A71EEF" w:rsidRDefault="0081115D">
      <w:pPr>
        <w:pStyle w:val="a4"/>
        <w:numPr>
          <w:ilvl w:val="2"/>
          <w:numId w:val="747"/>
        </w:numPr>
        <w:tabs>
          <w:tab w:val="left" w:pos="1370"/>
        </w:tabs>
        <w:spacing w:line="446" w:lineRule="auto"/>
        <w:ind w:right="1604" w:firstLine="422"/>
        <w:rPr>
          <w:sz w:val="21"/>
        </w:rPr>
      </w:pPr>
      <w:r>
        <w:rPr>
          <w:color w:val="333333"/>
          <w:spacing w:val="-3"/>
          <w:sz w:val="21"/>
        </w:rPr>
        <w:t>有</w:t>
      </w:r>
      <w:r>
        <w:rPr>
          <w:color w:val="333333"/>
          <w:spacing w:val="-3"/>
          <w:sz w:val="21"/>
        </w:rPr>
        <w:t>爆炸危险的甲、乙类生产部位，宜布置在单层厂房靠外墙的泄压设施或多层厂房顶层靠外墙的泄压设施附近。</w:t>
      </w:r>
      <w:r>
        <w:rPr>
          <w:color w:val="333333"/>
          <w:sz w:val="21"/>
        </w:rPr>
        <w:t xml:space="preserve"> </w:t>
      </w:r>
    </w:p>
    <w:p w14:paraId="213D26AB" w14:textId="77777777" w:rsidR="00A71EEF" w:rsidRDefault="0081115D">
      <w:pPr>
        <w:pStyle w:val="a3"/>
        <w:spacing w:line="446" w:lineRule="auto"/>
        <w:ind w:left="840" w:right="4026" w:hanging="3"/>
      </w:pPr>
      <w:r>
        <w:rPr>
          <w:color w:val="333333"/>
        </w:rPr>
        <w:t>有爆炸危险的设备宜避开厂房的梁、柱等主要承重构件布置。</w:t>
      </w:r>
      <w:r>
        <w:rPr>
          <w:b/>
          <w:color w:val="333333"/>
        </w:rPr>
        <w:t xml:space="preserve">3.6.8 </w:t>
      </w:r>
      <w:r>
        <w:rPr>
          <w:color w:val="333333"/>
        </w:rPr>
        <w:t>有爆炸危险的甲、乙类厂房的总控制室应独立设置</w:t>
      </w:r>
      <w:r>
        <w:rPr>
          <w:b/>
          <w:color w:val="333333"/>
        </w:rPr>
        <w:t>。</w:t>
      </w:r>
      <w:r>
        <w:rPr>
          <w:color w:val="333333"/>
        </w:rPr>
        <w:t xml:space="preserve"> </w:t>
      </w:r>
    </w:p>
    <w:p w14:paraId="42013D2C" w14:textId="77777777" w:rsidR="00A71EEF" w:rsidRDefault="00A71EEF">
      <w:pPr>
        <w:spacing w:line="446" w:lineRule="auto"/>
        <w:sectPr w:rsidR="00A71EEF">
          <w:pgSz w:w="11910" w:h="16850"/>
          <w:pgMar w:top="1220" w:right="0" w:bottom="1420" w:left="1260" w:header="0" w:footer="1239" w:gutter="0"/>
          <w:cols w:space="720"/>
        </w:sectPr>
      </w:pPr>
    </w:p>
    <w:p w14:paraId="44948CA9" w14:textId="77777777" w:rsidR="00A71EEF" w:rsidRDefault="0081115D">
      <w:pPr>
        <w:pStyle w:val="a4"/>
        <w:numPr>
          <w:ilvl w:val="2"/>
          <w:numId w:val="739"/>
        </w:numPr>
        <w:tabs>
          <w:tab w:val="left" w:pos="1371"/>
        </w:tabs>
        <w:spacing w:before="47" w:line="446" w:lineRule="auto"/>
        <w:ind w:right="1604" w:firstLine="422"/>
        <w:jc w:val="both"/>
        <w:rPr>
          <w:sz w:val="21"/>
        </w:rPr>
      </w:pPr>
      <w:r>
        <w:rPr>
          <w:color w:val="333333"/>
          <w:spacing w:val="-3"/>
          <w:sz w:val="21"/>
        </w:rPr>
        <w:lastRenderedPageBreak/>
        <w:t>有爆炸危险的甲、乙类厂房的分控制室宜独立设置，当贴邻外墙设置时，应采用耐</w:t>
      </w:r>
      <w:r>
        <w:rPr>
          <w:color w:val="333333"/>
          <w:spacing w:val="-11"/>
          <w:sz w:val="21"/>
        </w:rPr>
        <w:t>火极限不低于</w:t>
      </w:r>
      <w:r>
        <w:rPr>
          <w:color w:val="333333"/>
          <w:spacing w:val="-11"/>
          <w:sz w:val="21"/>
        </w:rPr>
        <w:t xml:space="preserve"> </w:t>
      </w:r>
      <w:r>
        <w:rPr>
          <w:color w:val="333333"/>
          <w:sz w:val="21"/>
        </w:rPr>
        <w:t>3.00h</w:t>
      </w:r>
      <w:r>
        <w:rPr>
          <w:color w:val="333333"/>
          <w:spacing w:val="-3"/>
          <w:sz w:val="21"/>
        </w:rPr>
        <w:t xml:space="preserve"> </w:t>
      </w:r>
      <w:r>
        <w:rPr>
          <w:color w:val="333333"/>
          <w:spacing w:val="-3"/>
          <w:sz w:val="21"/>
        </w:rPr>
        <w:t>的防火隔墙与其他部位分隔。</w:t>
      </w:r>
      <w:r>
        <w:rPr>
          <w:color w:val="333333"/>
          <w:spacing w:val="-3"/>
          <w:sz w:val="21"/>
        </w:rPr>
        <w:t xml:space="preserve"> </w:t>
      </w:r>
    </w:p>
    <w:p w14:paraId="11E51AC5" w14:textId="77777777" w:rsidR="00A71EEF" w:rsidRDefault="0081115D">
      <w:pPr>
        <w:pStyle w:val="a4"/>
        <w:numPr>
          <w:ilvl w:val="2"/>
          <w:numId w:val="739"/>
        </w:numPr>
        <w:tabs>
          <w:tab w:val="left" w:pos="1478"/>
        </w:tabs>
        <w:spacing w:line="446" w:lineRule="auto"/>
        <w:ind w:right="1496" w:firstLine="422"/>
        <w:jc w:val="both"/>
        <w:rPr>
          <w:sz w:val="21"/>
        </w:rPr>
      </w:pPr>
      <w:r>
        <w:rPr>
          <w:color w:val="333333"/>
          <w:spacing w:val="-3"/>
          <w:sz w:val="21"/>
        </w:rPr>
        <w:t>有爆炸危险区域内的楼梯间、室外楼梯或有爆炸危险的区域与相邻区域连通处，应</w:t>
      </w:r>
      <w:r>
        <w:rPr>
          <w:color w:val="333333"/>
          <w:spacing w:val="-5"/>
          <w:sz w:val="21"/>
        </w:rPr>
        <w:t>设置门斗等防护措施。门斗的隔墙应为耐火极限不应低于</w:t>
      </w:r>
      <w:r>
        <w:rPr>
          <w:color w:val="333333"/>
          <w:spacing w:val="-5"/>
          <w:sz w:val="21"/>
        </w:rPr>
        <w:t xml:space="preserve"> </w:t>
      </w:r>
      <w:r>
        <w:rPr>
          <w:color w:val="333333"/>
          <w:sz w:val="21"/>
        </w:rPr>
        <w:t>2.00h</w:t>
      </w:r>
      <w:r>
        <w:rPr>
          <w:color w:val="333333"/>
          <w:spacing w:val="-3"/>
          <w:sz w:val="21"/>
        </w:rPr>
        <w:t xml:space="preserve"> </w:t>
      </w:r>
      <w:r>
        <w:rPr>
          <w:color w:val="333333"/>
          <w:spacing w:val="-3"/>
          <w:sz w:val="21"/>
        </w:rPr>
        <w:t>的防火隔墙，门应采用甲级防火门并应与楼梯间的门错位设置。</w:t>
      </w:r>
      <w:r>
        <w:rPr>
          <w:color w:val="333333"/>
          <w:sz w:val="21"/>
        </w:rPr>
        <w:t xml:space="preserve"> </w:t>
      </w:r>
    </w:p>
    <w:p w14:paraId="1D40B635" w14:textId="77777777" w:rsidR="00A71EEF" w:rsidRDefault="0081115D">
      <w:pPr>
        <w:pStyle w:val="a4"/>
        <w:numPr>
          <w:ilvl w:val="2"/>
          <w:numId w:val="739"/>
        </w:numPr>
        <w:tabs>
          <w:tab w:val="left" w:pos="1478"/>
        </w:tabs>
        <w:spacing w:line="446" w:lineRule="auto"/>
        <w:ind w:right="1601" w:firstLine="422"/>
        <w:rPr>
          <w:b/>
          <w:sz w:val="21"/>
        </w:rPr>
      </w:pPr>
      <w:r>
        <w:rPr>
          <w:color w:val="333333"/>
          <w:spacing w:val="-3"/>
          <w:sz w:val="21"/>
        </w:rPr>
        <w:t>使用和生产甲、乙、丙类液体的厂房，其管、沟不应与相邻厂房的管、沟相通，下水道应设置隔油设施。</w:t>
      </w:r>
      <w:r>
        <w:rPr>
          <w:b/>
          <w:color w:val="333333"/>
          <w:w w:val="99"/>
          <w:sz w:val="21"/>
        </w:rPr>
        <w:t xml:space="preserve"> </w:t>
      </w:r>
    </w:p>
    <w:p w14:paraId="569AE366" w14:textId="77777777" w:rsidR="00A71EEF" w:rsidRDefault="0081115D">
      <w:pPr>
        <w:pStyle w:val="a4"/>
        <w:numPr>
          <w:ilvl w:val="2"/>
          <w:numId w:val="739"/>
        </w:numPr>
        <w:tabs>
          <w:tab w:val="left" w:pos="1478"/>
        </w:tabs>
        <w:spacing w:line="446" w:lineRule="auto"/>
        <w:ind w:right="1498" w:firstLine="422"/>
        <w:rPr>
          <w:b/>
          <w:sz w:val="21"/>
        </w:rPr>
      </w:pPr>
      <w:r>
        <w:rPr>
          <w:color w:val="333333"/>
          <w:spacing w:val="-3"/>
          <w:sz w:val="21"/>
        </w:rPr>
        <w:t>甲、乙、丙类液体仓库应设置防止液体流散的设施。遇湿会发生燃烧爆炸的物品仓库应采取防止水浸渍的措施。</w:t>
      </w:r>
      <w:r>
        <w:rPr>
          <w:b/>
          <w:color w:val="333333"/>
          <w:w w:val="99"/>
          <w:sz w:val="21"/>
        </w:rPr>
        <w:t xml:space="preserve"> </w:t>
      </w:r>
    </w:p>
    <w:p w14:paraId="0F129939" w14:textId="77777777" w:rsidR="00A71EEF" w:rsidRDefault="0081115D">
      <w:pPr>
        <w:pStyle w:val="a4"/>
        <w:numPr>
          <w:ilvl w:val="2"/>
          <w:numId w:val="739"/>
        </w:numPr>
        <w:tabs>
          <w:tab w:val="left" w:pos="1478"/>
        </w:tabs>
        <w:ind w:left="1477" w:hanging="638"/>
        <w:rPr>
          <w:sz w:val="21"/>
        </w:rPr>
      </w:pPr>
      <w:r>
        <w:rPr>
          <w:color w:val="333333"/>
          <w:spacing w:val="-3"/>
          <w:sz w:val="21"/>
        </w:rPr>
        <w:t>有粉尘爆炸危险的筒仓，其顶部盖板应设置必要的泄压设施。</w:t>
      </w:r>
      <w:r>
        <w:rPr>
          <w:color w:val="333333"/>
          <w:sz w:val="21"/>
        </w:rPr>
        <w:t xml:space="preserve"> </w:t>
      </w:r>
    </w:p>
    <w:p w14:paraId="578CD907" w14:textId="77777777" w:rsidR="00A71EEF" w:rsidRDefault="00A71EEF">
      <w:pPr>
        <w:pStyle w:val="a3"/>
        <w:spacing w:before="9"/>
        <w:rPr>
          <w:sz w:val="17"/>
        </w:rPr>
      </w:pPr>
    </w:p>
    <w:p w14:paraId="516EB9A8" w14:textId="77777777" w:rsidR="00A71EEF" w:rsidRDefault="0081115D">
      <w:pPr>
        <w:pStyle w:val="a3"/>
        <w:spacing w:before="1" w:line="446" w:lineRule="auto"/>
        <w:ind w:left="418" w:right="1498" w:firstLine="419"/>
      </w:pPr>
      <w:r>
        <w:rPr>
          <w:color w:val="333333"/>
        </w:rPr>
        <w:t>粮食筒仓工作塔和上通廊的泄压面积应按本规范第</w:t>
      </w:r>
      <w:r>
        <w:rPr>
          <w:color w:val="333333"/>
        </w:rPr>
        <w:t xml:space="preserve"> 3.6.4 </w:t>
      </w:r>
      <w:r>
        <w:rPr>
          <w:color w:val="333333"/>
        </w:rPr>
        <w:t>条的规定计算确定。有粉尘爆炸危险的其他粮食储存设施应采取防爆措施。</w:t>
      </w:r>
      <w:r>
        <w:rPr>
          <w:color w:val="333333"/>
        </w:rPr>
        <w:t xml:space="preserve"> </w:t>
      </w:r>
    </w:p>
    <w:p w14:paraId="1FD55340" w14:textId="77777777" w:rsidR="00A71EEF" w:rsidRDefault="0081115D">
      <w:pPr>
        <w:pStyle w:val="a4"/>
        <w:numPr>
          <w:ilvl w:val="2"/>
          <w:numId w:val="739"/>
        </w:numPr>
        <w:tabs>
          <w:tab w:val="left" w:pos="1478"/>
        </w:tabs>
        <w:spacing w:line="446" w:lineRule="auto"/>
        <w:ind w:right="1447" w:firstLine="422"/>
        <w:rPr>
          <w:sz w:val="21"/>
        </w:rPr>
      </w:pPr>
      <w:r>
        <w:rPr>
          <w:color w:val="333333"/>
          <w:spacing w:val="-5"/>
          <w:sz w:val="21"/>
        </w:rPr>
        <w:t>有爆炸危险的仓库或仓库内有爆炸危险的部位，宜按本规范第</w:t>
      </w:r>
      <w:r>
        <w:rPr>
          <w:color w:val="333333"/>
          <w:spacing w:val="-5"/>
          <w:sz w:val="21"/>
        </w:rPr>
        <w:t xml:space="preserve"> </w:t>
      </w:r>
      <w:r>
        <w:rPr>
          <w:color w:val="333333"/>
          <w:sz w:val="21"/>
        </w:rPr>
        <w:t>3.6</w:t>
      </w:r>
      <w:r>
        <w:rPr>
          <w:color w:val="333333"/>
          <w:spacing w:val="-1"/>
          <w:sz w:val="21"/>
        </w:rPr>
        <w:t xml:space="preserve"> </w:t>
      </w:r>
      <w:r>
        <w:rPr>
          <w:color w:val="333333"/>
          <w:spacing w:val="-1"/>
          <w:sz w:val="21"/>
        </w:rPr>
        <w:t>节规定采取防爆</w:t>
      </w:r>
      <w:r>
        <w:rPr>
          <w:color w:val="333333"/>
          <w:spacing w:val="-3"/>
          <w:sz w:val="21"/>
        </w:rPr>
        <w:t>措施、设置泄压设施。</w:t>
      </w:r>
      <w:r>
        <w:rPr>
          <w:color w:val="333333"/>
          <w:sz w:val="21"/>
        </w:rPr>
        <w:t xml:space="preserve"> </w:t>
      </w:r>
    </w:p>
    <w:p w14:paraId="55E78355" w14:textId="77777777" w:rsidR="00A71EEF" w:rsidRDefault="0081115D">
      <w:pPr>
        <w:pStyle w:val="a4"/>
        <w:numPr>
          <w:ilvl w:val="1"/>
          <w:numId w:val="747"/>
        </w:numPr>
        <w:tabs>
          <w:tab w:val="left" w:pos="1159"/>
        </w:tabs>
        <w:spacing w:line="267" w:lineRule="exact"/>
        <w:ind w:hanging="319"/>
        <w:rPr>
          <w:b/>
          <w:sz w:val="21"/>
        </w:rPr>
      </w:pPr>
      <w:r>
        <w:rPr>
          <w:spacing w:val="-3"/>
          <w:sz w:val="21"/>
        </w:rPr>
        <w:t>厂房的安全疏散</w:t>
      </w:r>
      <w:r>
        <w:rPr>
          <w:b/>
          <w:w w:val="99"/>
          <w:sz w:val="21"/>
        </w:rPr>
        <w:t xml:space="preserve"> </w:t>
      </w:r>
    </w:p>
    <w:p w14:paraId="2DA63FDA" w14:textId="77777777" w:rsidR="00A71EEF" w:rsidRDefault="00A71EEF">
      <w:pPr>
        <w:pStyle w:val="a3"/>
        <w:spacing w:before="1"/>
        <w:rPr>
          <w:b/>
          <w:sz w:val="18"/>
        </w:rPr>
      </w:pPr>
    </w:p>
    <w:p w14:paraId="5DEC5E38" w14:textId="77777777" w:rsidR="00A71EEF" w:rsidRDefault="0081115D">
      <w:pPr>
        <w:pStyle w:val="a4"/>
        <w:numPr>
          <w:ilvl w:val="2"/>
          <w:numId w:val="747"/>
        </w:numPr>
        <w:tabs>
          <w:tab w:val="left" w:pos="1370"/>
        </w:tabs>
        <w:ind w:left="1369" w:hanging="530"/>
        <w:rPr>
          <w:sz w:val="21"/>
        </w:rPr>
      </w:pPr>
      <w:r>
        <w:rPr>
          <w:color w:val="333333"/>
          <w:spacing w:val="-5"/>
          <w:sz w:val="21"/>
        </w:rPr>
        <w:t>厂房的安全出口应分散布置。每个防火分区或一个防火分区的每个楼层，其相邻</w:t>
      </w:r>
      <w:r>
        <w:rPr>
          <w:color w:val="333333"/>
          <w:spacing w:val="-5"/>
          <w:sz w:val="21"/>
        </w:rPr>
        <w:t xml:space="preserve"> </w:t>
      </w:r>
      <w:r>
        <w:rPr>
          <w:color w:val="333333"/>
          <w:sz w:val="21"/>
        </w:rPr>
        <w:t xml:space="preserve">2 </w:t>
      </w:r>
    </w:p>
    <w:p w14:paraId="4FE763E2" w14:textId="77777777" w:rsidR="00A71EEF" w:rsidRDefault="00A71EEF">
      <w:pPr>
        <w:pStyle w:val="a3"/>
        <w:rPr>
          <w:sz w:val="18"/>
        </w:rPr>
      </w:pPr>
    </w:p>
    <w:p w14:paraId="7AEFB143" w14:textId="77777777" w:rsidR="00A71EEF" w:rsidRDefault="0081115D">
      <w:pPr>
        <w:pStyle w:val="a3"/>
        <w:ind w:left="418"/>
      </w:pPr>
      <w:r>
        <w:rPr>
          <w:color w:val="333333"/>
        </w:rPr>
        <w:t>个安全出口最近边缘之间的水平距离不应小于</w:t>
      </w:r>
      <w:r>
        <w:rPr>
          <w:color w:val="333333"/>
        </w:rPr>
        <w:t xml:space="preserve"> 5m</w:t>
      </w:r>
      <w:r>
        <w:rPr>
          <w:color w:val="333333"/>
        </w:rPr>
        <w:t>。</w:t>
      </w:r>
      <w:r>
        <w:rPr>
          <w:color w:val="333333"/>
        </w:rPr>
        <w:t xml:space="preserve"> </w:t>
      </w:r>
    </w:p>
    <w:p w14:paraId="58704136" w14:textId="77777777" w:rsidR="00A71EEF" w:rsidRDefault="00A71EEF">
      <w:pPr>
        <w:pStyle w:val="a3"/>
        <w:spacing w:before="12"/>
        <w:rPr>
          <w:sz w:val="17"/>
        </w:rPr>
      </w:pPr>
    </w:p>
    <w:p w14:paraId="6582A7C8" w14:textId="77777777" w:rsidR="00A71EEF" w:rsidRDefault="0081115D">
      <w:pPr>
        <w:pStyle w:val="a4"/>
        <w:numPr>
          <w:ilvl w:val="2"/>
          <w:numId w:val="747"/>
        </w:numPr>
        <w:tabs>
          <w:tab w:val="left" w:pos="1371"/>
        </w:tabs>
        <w:spacing w:line="446" w:lineRule="auto"/>
        <w:ind w:right="1498" w:firstLine="422"/>
        <w:rPr>
          <w:sz w:val="21"/>
        </w:rPr>
      </w:pPr>
      <w:r>
        <w:rPr>
          <w:color w:val="333333"/>
          <w:spacing w:val="-3"/>
          <w:sz w:val="21"/>
        </w:rPr>
        <w:t>厂房内每个防火分区或一个防火分区内的每个楼层，其安全出口的数量应经计算确定</w:t>
      </w:r>
      <w:r>
        <w:rPr>
          <w:color w:val="333333"/>
          <w:spacing w:val="-11"/>
          <w:sz w:val="21"/>
        </w:rPr>
        <w:t>，且不应少于</w:t>
      </w:r>
      <w:r>
        <w:rPr>
          <w:color w:val="333333"/>
          <w:spacing w:val="-11"/>
          <w:sz w:val="21"/>
        </w:rPr>
        <w:t xml:space="preserve"> </w:t>
      </w:r>
      <w:r>
        <w:rPr>
          <w:color w:val="333333"/>
          <w:sz w:val="21"/>
        </w:rPr>
        <w:t>2</w:t>
      </w:r>
      <w:r>
        <w:rPr>
          <w:color w:val="333333"/>
          <w:spacing w:val="-7"/>
          <w:sz w:val="21"/>
        </w:rPr>
        <w:t xml:space="preserve"> </w:t>
      </w:r>
      <w:r>
        <w:rPr>
          <w:color w:val="333333"/>
          <w:spacing w:val="-7"/>
          <w:sz w:val="21"/>
        </w:rPr>
        <w:t>个；当符合下列条件时，可设置</w:t>
      </w:r>
      <w:r>
        <w:rPr>
          <w:color w:val="333333"/>
          <w:spacing w:val="-7"/>
          <w:sz w:val="21"/>
        </w:rPr>
        <w:t xml:space="preserve"> </w:t>
      </w:r>
      <w:r>
        <w:rPr>
          <w:color w:val="333333"/>
          <w:sz w:val="21"/>
        </w:rPr>
        <w:t>1</w:t>
      </w:r>
      <w:r>
        <w:rPr>
          <w:color w:val="333333"/>
          <w:spacing w:val="-3"/>
          <w:sz w:val="21"/>
        </w:rPr>
        <w:t xml:space="preserve"> </w:t>
      </w:r>
      <w:r>
        <w:rPr>
          <w:color w:val="333333"/>
          <w:spacing w:val="-3"/>
          <w:sz w:val="21"/>
        </w:rPr>
        <w:t>个安全出口：</w:t>
      </w:r>
      <w:r>
        <w:rPr>
          <w:color w:val="333333"/>
          <w:sz w:val="21"/>
        </w:rPr>
        <w:t xml:space="preserve"> </w:t>
      </w:r>
    </w:p>
    <w:p w14:paraId="606B8476" w14:textId="77777777" w:rsidR="00A71EEF" w:rsidRDefault="0081115D">
      <w:pPr>
        <w:pStyle w:val="a3"/>
        <w:spacing w:line="270" w:lineRule="exact"/>
        <w:ind w:left="838"/>
      </w:pPr>
      <w:r>
        <w:rPr>
          <w:color w:val="333333"/>
        </w:rPr>
        <w:t xml:space="preserve"> </w:t>
      </w:r>
      <w:r>
        <w:rPr>
          <w:color w:val="333333"/>
        </w:rPr>
        <w:t xml:space="preserve"> </w:t>
      </w:r>
      <w:r>
        <w:rPr>
          <w:color w:val="333333"/>
        </w:rPr>
        <w:t>甲类厂房，每层建筑面积不大于</w:t>
      </w:r>
      <w:r>
        <w:rPr>
          <w:color w:val="333333"/>
        </w:rPr>
        <w:t xml:space="preserve"> 100m</w:t>
      </w:r>
      <w:r>
        <w:rPr>
          <w:color w:val="333333"/>
          <w:position w:val="11"/>
          <w:sz w:val="11"/>
        </w:rPr>
        <w:t>2</w:t>
      </w:r>
      <w:r>
        <w:rPr>
          <w:color w:val="333333"/>
        </w:rPr>
        <w:t>，且同一时间的作业人数不超过</w:t>
      </w:r>
      <w:r>
        <w:rPr>
          <w:color w:val="333333"/>
        </w:rPr>
        <w:t xml:space="preserve"> 5 </w:t>
      </w:r>
      <w:r>
        <w:rPr>
          <w:color w:val="333333"/>
        </w:rPr>
        <w:t>人；</w:t>
      </w:r>
      <w:r>
        <w:rPr>
          <w:color w:val="333333"/>
        </w:rPr>
        <w:t xml:space="preserve"> </w:t>
      </w:r>
    </w:p>
    <w:p w14:paraId="17C596C9" w14:textId="77777777" w:rsidR="00A71EEF" w:rsidRDefault="00A71EEF">
      <w:pPr>
        <w:pStyle w:val="a3"/>
        <w:spacing w:before="2"/>
        <w:rPr>
          <w:sz w:val="17"/>
        </w:rPr>
      </w:pPr>
    </w:p>
    <w:p w14:paraId="1236506C" w14:textId="77777777" w:rsidR="00A71EEF" w:rsidRDefault="0081115D">
      <w:pPr>
        <w:pStyle w:val="a3"/>
        <w:ind w:left="838"/>
      </w:pPr>
      <w:r>
        <w:rPr>
          <w:color w:val="333333"/>
        </w:rPr>
        <w:t xml:space="preserve"> </w:t>
      </w:r>
      <w:r>
        <w:rPr>
          <w:color w:val="333333"/>
        </w:rPr>
        <w:t xml:space="preserve"> </w:t>
      </w:r>
      <w:r>
        <w:rPr>
          <w:color w:val="333333"/>
          <w:spacing w:val="-6"/>
        </w:rPr>
        <w:t>乙类厂房，每层建筑面积不大于</w:t>
      </w:r>
      <w:r>
        <w:rPr>
          <w:color w:val="333333"/>
          <w:spacing w:val="-6"/>
        </w:rPr>
        <w:t xml:space="preserve"> </w:t>
      </w:r>
      <w:r>
        <w:rPr>
          <w:color w:val="333333"/>
        </w:rPr>
        <w:t>150m</w:t>
      </w:r>
      <w:r>
        <w:rPr>
          <w:color w:val="333333"/>
          <w:position w:val="11"/>
          <w:sz w:val="11"/>
        </w:rPr>
        <w:t>2</w:t>
      </w:r>
      <w:r>
        <w:rPr>
          <w:color w:val="333333"/>
          <w:spacing w:val="-6"/>
        </w:rPr>
        <w:t>，且同一时间的作业人数不超过</w:t>
      </w:r>
      <w:r>
        <w:rPr>
          <w:color w:val="333333"/>
          <w:spacing w:val="-6"/>
        </w:rPr>
        <w:t xml:space="preserve"> </w:t>
      </w:r>
      <w:r>
        <w:rPr>
          <w:color w:val="333333"/>
        </w:rPr>
        <w:t>10</w:t>
      </w:r>
      <w:r>
        <w:rPr>
          <w:color w:val="333333"/>
          <w:spacing w:val="-16"/>
        </w:rPr>
        <w:t xml:space="preserve"> </w:t>
      </w:r>
      <w:r>
        <w:rPr>
          <w:color w:val="333333"/>
          <w:spacing w:val="-16"/>
        </w:rPr>
        <w:t>人；</w:t>
      </w:r>
      <w:r>
        <w:rPr>
          <w:color w:val="333333"/>
          <w:spacing w:val="-16"/>
        </w:rPr>
        <w:t xml:space="preserve"> </w:t>
      </w:r>
    </w:p>
    <w:p w14:paraId="48B809F0" w14:textId="77777777" w:rsidR="00A71EEF" w:rsidRDefault="00A71EEF">
      <w:pPr>
        <w:pStyle w:val="a3"/>
        <w:spacing w:before="5"/>
        <w:rPr>
          <w:sz w:val="17"/>
        </w:rPr>
      </w:pPr>
    </w:p>
    <w:p w14:paraId="576219B2" w14:textId="77777777" w:rsidR="00A71EEF" w:rsidRDefault="0081115D">
      <w:pPr>
        <w:pStyle w:val="a3"/>
        <w:ind w:left="838"/>
      </w:pPr>
      <w:r>
        <w:rPr>
          <w:color w:val="333333"/>
        </w:rPr>
        <w:t xml:space="preserve"> </w:t>
      </w:r>
      <w:r>
        <w:rPr>
          <w:color w:val="333333"/>
        </w:rPr>
        <w:t xml:space="preserve"> </w:t>
      </w:r>
      <w:r>
        <w:rPr>
          <w:color w:val="333333"/>
          <w:spacing w:val="-6"/>
        </w:rPr>
        <w:t>丙类厂房，每层建筑面积不大于</w:t>
      </w:r>
      <w:r>
        <w:rPr>
          <w:color w:val="333333"/>
          <w:spacing w:val="-6"/>
        </w:rPr>
        <w:t xml:space="preserve"> </w:t>
      </w:r>
      <w:r>
        <w:rPr>
          <w:color w:val="333333"/>
        </w:rPr>
        <w:t>250m</w:t>
      </w:r>
      <w:r>
        <w:rPr>
          <w:color w:val="333333"/>
          <w:position w:val="11"/>
          <w:sz w:val="11"/>
        </w:rPr>
        <w:t>2</w:t>
      </w:r>
      <w:r>
        <w:rPr>
          <w:color w:val="333333"/>
          <w:spacing w:val="-6"/>
        </w:rPr>
        <w:t>，且同一时间的作业人数不超过</w:t>
      </w:r>
      <w:r>
        <w:rPr>
          <w:color w:val="333333"/>
          <w:spacing w:val="-6"/>
        </w:rPr>
        <w:t xml:space="preserve"> </w:t>
      </w:r>
      <w:r>
        <w:rPr>
          <w:color w:val="333333"/>
        </w:rPr>
        <w:t>20</w:t>
      </w:r>
      <w:r>
        <w:rPr>
          <w:color w:val="333333"/>
          <w:spacing w:val="-16"/>
        </w:rPr>
        <w:t xml:space="preserve"> </w:t>
      </w:r>
      <w:r>
        <w:rPr>
          <w:color w:val="333333"/>
          <w:spacing w:val="-16"/>
        </w:rPr>
        <w:t>人；</w:t>
      </w:r>
      <w:r>
        <w:rPr>
          <w:color w:val="333333"/>
          <w:spacing w:val="-16"/>
        </w:rPr>
        <w:t xml:space="preserve"> </w:t>
      </w:r>
    </w:p>
    <w:p w14:paraId="6980B5E0" w14:textId="77777777" w:rsidR="00A71EEF" w:rsidRDefault="00A71EEF">
      <w:pPr>
        <w:pStyle w:val="a3"/>
        <w:spacing w:before="2"/>
        <w:rPr>
          <w:sz w:val="17"/>
        </w:rPr>
      </w:pPr>
    </w:p>
    <w:p w14:paraId="09CE4804" w14:textId="77777777" w:rsidR="00A71EEF" w:rsidRDefault="0081115D">
      <w:pPr>
        <w:pStyle w:val="a3"/>
        <w:spacing w:before="1"/>
        <w:ind w:left="838"/>
        <w:jc w:val="both"/>
      </w:pPr>
      <w:r>
        <w:rPr>
          <w:color w:val="333333"/>
        </w:rPr>
        <w:t xml:space="preserve"> </w:t>
      </w:r>
      <w:r>
        <w:rPr>
          <w:color w:val="333333"/>
        </w:rPr>
        <w:t xml:space="preserve"> </w:t>
      </w:r>
      <w:r>
        <w:rPr>
          <w:color w:val="333333"/>
        </w:rPr>
        <w:t>丁、戊类厂房，每层建筑面积不大于</w:t>
      </w:r>
      <w:r>
        <w:rPr>
          <w:color w:val="333333"/>
        </w:rPr>
        <w:t xml:space="preserve"> 400m</w:t>
      </w:r>
      <w:r>
        <w:rPr>
          <w:color w:val="333333"/>
          <w:position w:val="11"/>
          <w:sz w:val="11"/>
        </w:rPr>
        <w:t>2</w:t>
      </w:r>
      <w:r>
        <w:rPr>
          <w:color w:val="333333"/>
        </w:rPr>
        <w:t>，且同一时间的作业人数不超过</w:t>
      </w:r>
      <w:r>
        <w:rPr>
          <w:color w:val="333333"/>
        </w:rPr>
        <w:t xml:space="preserve"> 30 </w:t>
      </w:r>
      <w:r>
        <w:rPr>
          <w:color w:val="333333"/>
        </w:rPr>
        <w:t>人；</w:t>
      </w:r>
      <w:r>
        <w:rPr>
          <w:color w:val="333333"/>
        </w:rPr>
        <w:t xml:space="preserve"> </w:t>
      </w:r>
    </w:p>
    <w:p w14:paraId="49AD7BAC" w14:textId="77777777" w:rsidR="00A71EEF" w:rsidRDefault="00A71EEF">
      <w:pPr>
        <w:pStyle w:val="a3"/>
        <w:spacing w:before="2"/>
        <w:rPr>
          <w:sz w:val="17"/>
        </w:rPr>
      </w:pPr>
    </w:p>
    <w:p w14:paraId="1F6E547F" w14:textId="77777777" w:rsidR="00A71EEF" w:rsidRDefault="0081115D">
      <w:pPr>
        <w:pStyle w:val="a3"/>
        <w:spacing w:line="446" w:lineRule="auto"/>
        <w:ind w:left="418" w:right="1606" w:firstLine="419"/>
        <w:jc w:val="both"/>
      </w:pPr>
      <w:r>
        <w:rPr>
          <w:color w:val="333333"/>
        </w:rPr>
        <w:t xml:space="preserve"> </w:t>
      </w:r>
      <w:r>
        <w:rPr>
          <w:color w:val="333333"/>
        </w:rPr>
        <w:t xml:space="preserve"> </w:t>
      </w:r>
      <w:r>
        <w:rPr>
          <w:color w:val="333333"/>
          <w:spacing w:val="-3"/>
        </w:rPr>
        <w:t>地下或半地下厂房</w:t>
      </w:r>
      <w:r>
        <w:rPr>
          <w:color w:val="333333"/>
        </w:rPr>
        <w:t>（</w:t>
      </w:r>
      <w:r>
        <w:rPr>
          <w:color w:val="333333"/>
          <w:spacing w:val="-3"/>
        </w:rPr>
        <w:t>包括地下或半地下室</w:t>
      </w:r>
      <w:r>
        <w:rPr>
          <w:color w:val="333333"/>
        </w:rPr>
        <w:t>）</w:t>
      </w:r>
      <w:r>
        <w:rPr>
          <w:color w:val="333333"/>
          <w:spacing w:val="-6"/>
        </w:rPr>
        <w:t>，每层建筑面积不大于</w:t>
      </w:r>
      <w:r>
        <w:rPr>
          <w:color w:val="333333"/>
          <w:spacing w:val="-6"/>
        </w:rPr>
        <w:t xml:space="preserve"> </w:t>
      </w:r>
      <w:r>
        <w:rPr>
          <w:color w:val="333333"/>
        </w:rPr>
        <w:t>50m</w:t>
      </w:r>
      <w:r>
        <w:rPr>
          <w:color w:val="333333"/>
          <w:position w:val="11"/>
          <w:sz w:val="11"/>
        </w:rPr>
        <w:t>2</w:t>
      </w:r>
      <w:r>
        <w:rPr>
          <w:color w:val="333333"/>
          <w:spacing w:val="-2"/>
        </w:rPr>
        <w:t>，且同一时间的</w:t>
      </w:r>
      <w:r>
        <w:rPr>
          <w:color w:val="333333"/>
          <w:spacing w:val="-10"/>
        </w:rPr>
        <w:t>作业人数不超过</w:t>
      </w:r>
      <w:r>
        <w:rPr>
          <w:color w:val="333333"/>
          <w:spacing w:val="-10"/>
        </w:rPr>
        <w:t xml:space="preserve"> </w:t>
      </w:r>
      <w:r>
        <w:rPr>
          <w:color w:val="333333"/>
        </w:rPr>
        <w:t>15</w:t>
      </w:r>
      <w:r>
        <w:rPr>
          <w:color w:val="333333"/>
          <w:spacing w:val="-19"/>
        </w:rPr>
        <w:t xml:space="preserve"> </w:t>
      </w:r>
      <w:r>
        <w:rPr>
          <w:color w:val="333333"/>
          <w:spacing w:val="-19"/>
        </w:rPr>
        <w:t>人。</w:t>
      </w:r>
      <w:r>
        <w:rPr>
          <w:color w:val="333333"/>
          <w:spacing w:val="-19"/>
        </w:rPr>
        <w:t xml:space="preserve"> </w:t>
      </w:r>
    </w:p>
    <w:p w14:paraId="66AC4BE6" w14:textId="77777777" w:rsidR="00A71EEF" w:rsidRDefault="0081115D">
      <w:pPr>
        <w:pStyle w:val="a4"/>
        <w:numPr>
          <w:ilvl w:val="2"/>
          <w:numId w:val="747"/>
        </w:numPr>
        <w:tabs>
          <w:tab w:val="left" w:pos="1370"/>
        </w:tabs>
        <w:spacing w:line="446" w:lineRule="auto"/>
        <w:ind w:right="1604" w:firstLine="422"/>
        <w:jc w:val="both"/>
        <w:rPr>
          <w:b/>
          <w:sz w:val="21"/>
        </w:rPr>
      </w:pPr>
      <w:r>
        <w:rPr>
          <w:color w:val="333333"/>
          <w:spacing w:val="-3"/>
          <w:sz w:val="21"/>
        </w:rPr>
        <w:t>地下或半地下厂房</w:t>
      </w:r>
      <w:r>
        <w:rPr>
          <w:color w:val="333333"/>
          <w:sz w:val="21"/>
        </w:rPr>
        <w:t>（</w:t>
      </w:r>
      <w:r>
        <w:rPr>
          <w:color w:val="333333"/>
          <w:spacing w:val="-3"/>
          <w:sz w:val="21"/>
        </w:rPr>
        <w:t>包括地下或半地下室</w:t>
      </w:r>
      <w:r>
        <w:rPr>
          <w:color w:val="333333"/>
          <w:sz w:val="21"/>
        </w:rPr>
        <w:t>）</w:t>
      </w:r>
      <w:r>
        <w:rPr>
          <w:color w:val="333333"/>
          <w:spacing w:val="-3"/>
          <w:sz w:val="21"/>
        </w:rPr>
        <w:t>，当有多个防火分区相邻布置，并采用防火墙分隔时，每个防火分区可利用防火墙上通向相邻防火分区的甲级防火门作为第二安全出</w:t>
      </w:r>
      <w:r>
        <w:rPr>
          <w:color w:val="333333"/>
          <w:spacing w:val="-7"/>
          <w:sz w:val="21"/>
        </w:rPr>
        <w:t>口，但每个防火分区必须至少有</w:t>
      </w:r>
      <w:r>
        <w:rPr>
          <w:color w:val="333333"/>
          <w:spacing w:val="-7"/>
          <w:sz w:val="21"/>
        </w:rPr>
        <w:t xml:space="preserve"> </w:t>
      </w:r>
      <w:r>
        <w:rPr>
          <w:color w:val="333333"/>
          <w:sz w:val="21"/>
        </w:rPr>
        <w:t>1</w:t>
      </w:r>
      <w:r>
        <w:rPr>
          <w:color w:val="333333"/>
          <w:spacing w:val="-3"/>
          <w:sz w:val="21"/>
        </w:rPr>
        <w:t xml:space="preserve"> </w:t>
      </w:r>
      <w:r>
        <w:rPr>
          <w:color w:val="333333"/>
          <w:spacing w:val="-3"/>
          <w:sz w:val="21"/>
        </w:rPr>
        <w:t>个直通室外的独立安全出口。</w:t>
      </w:r>
      <w:r>
        <w:rPr>
          <w:b/>
          <w:color w:val="333333"/>
          <w:w w:val="99"/>
          <w:sz w:val="21"/>
        </w:rPr>
        <w:t xml:space="preserve"> </w:t>
      </w:r>
    </w:p>
    <w:p w14:paraId="7AE8A67F" w14:textId="77777777" w:rsidR="00A71EEF" w:rsidRDefault="00A71EEF">
      <w:pPr>
        <w:spacing w:line="446" w:lineRule="auto"/>
        <w:jc w:val="both"/>
        <w:rPr>
          <w:sz w:val="21"/>
        </w:rPr>
        <w:sectPr w:rsidR="00A71EEF">
          <w:pgSz w:w="11910" w:h="16850"/>
          <w:pgMar w:top="1220" w:right="0" w:bottom="1420" w:left="1260" w:header="0" w:footer="1239" w:gutter="0"/>
          <w:cols w:space="720"/>
        </w:sectPr>
      </w:pPr>
    </w:p>
    <w:p w14:paraId="4A483E36" w14:textId="77777777" w:rsidR="00A71EEF" w:rsidRDefault="0081115D">
      <w:pPr>
        <w:pStyle w:val="a4"/>
        <w:numPr>
          <w:ilvl w:val="2"/>
          <w:numId w:val="747"/>
        </w:numPr>
        <w:tabs>
          <w:tab w:val="left" w:pos="1370"/>
        </w:tabs>
        <w:spacing w:before="47"/>
        <w:ind w:left="1369" w:hanging="530"/>
        <w:rPr>
          <w:sz w:val="21"/>
        </w:rPr>
      </w:pPr>
      <w:r>
        <w:rPr>
          <w:color w:val="333333"/>
          <w:spacing w:val="-6"/>
          <w:sz w:val="21"/>
        </w:rPr>
        <w:lastRenderedPageBreak/>
        <w:t>厂房内任一点至最近安全出口的直线距离不应大于表</w:t>
      </w:r>
      <w:r>
        <w:rPr>
          <w:color w:val="333333"/>
          <w:spacing w:val="-6"/>
          <w:sz w:val="21"/>
        </w:rPr>
        <w:t xml:space="preserve"> </w:t>
      </w:r>
      <w:r>
        <w:rPr>
          <w:color w:val="333333"/>
          <w:sz w:val="21"/>
        </w:rPr>
        <w:t>3.7.4</w:t>
      </w:r>
      <w:r>
        <w:rPr>
          <w:color w:val="333333"/>
          <w:spacing w:val="-3"/>
          <w:sz w:val="21"/>
        </w:rPr>
        <w:t xml:space="preserve"> </w:t>
      </w:r>
      <w:r>
        <w:rPr>
          <w:color w:val="333333"/>
          <w:spacing w:val="-3"/>
          <w:sz w:val="21"/>
        </w:rPr>
        <w:t>的规定。</w:t>
      </w:r>
      <w:r>
        <w:rPr>
          <w:color w:val="333333"/>
          <w:spacing w:val="-3"/>
          <w:sz w:val="21"/>
        </w:rPr>
        <w:t xml:space="preserve"> </w:t>
      </w:r>
    </w:p>
    <w:p w14:paraId="508782FF" w14:textId="77777777" w:rsidR="00A71EEF" w:rsidRDefault="00A71EEF">
      <w:pPr>
        <w:pStyle w:val="a3"/>
        <w:rPr>
          <w:sz w:val="18"/>
        </w:rPr>
      </w:pPr>
    </w:p>
    <w:p w14:paraId="79B94142" w14:textId="77777777" w:rsidR="00A71EEF" w:rsidRDefault="0081115D">
      <w:pPr>
        <w:pStyle w:val="6"/>
        <w:ind w:left="2412"/>
      </w:pPr>
      <w:r>
        <w:t>表</w:t>
      </w:r>
      <w:r>
        <w:t xml:space="preserve"> 3.7.4 </w:t>
      </w:r>
      <w:r>
        <w:t>厂房内任一点至最近安全出口的直线距离（</w:t>
      </w:r>
      <w:r>
        <w:t>m</w:t>
      </w:r>
      <w:r>
        <w:t>）</w:t>
      </w:r>
      <w:r>
        <w:rPr>
          <w:w w:val="99"/>
        </w:rPr>
        <w:t xml:space="preserve"> </w:t>
      </w:r>
    </w:p>
    <w:p w14:paraId="53096BE6" w14:textId="77777777" w:rsidR="00A71EEF" w:rsidRDefault="0081115D">
      <w:pPr>
        <w:pStyle w:val="a3"/>
        <w:spacing w:before="7"/>
        <w:rPr>
          <w:b/>
          <w:sz w:val="14"/>
        </w:rPr>
      </w:pPr>
      <w:r>
        <w:rPr>
          <w:noProof/>
        </w:rPr>
        <w:drawing>
          <wp:anchor distT="0" distB="0" distL="0" distR="0" simplePos="0" relativeHeight="251521536" behindDoc="0" locked="0" layoutInCell="1" allowOverlap="1" wp14:anchorId="586D88E1" wp14:editId="7D2903B0">
            <wp:simplePos x="0" y="0"/>
            <wp:positionH relativeFrom="page">
              <wp:posOffset>1103630</wp:posOffset>
            </wp:positionH>
            <wp:positionV relativeFrom="paragraph">
              <wp:posOffset>143160</wp:posOffset>
            </wp:positionV>
            <wp:extent cx="5304794" cy="2743200"/>
            <wp:effectExtent l="0" t="0" r="0" b="0"/>
            <wp:wrapTopAndBottom/>
            <wp:docPr id="173" name="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114.jpeg"/>
                    <pic:cNvPicPr/>
                  </pic:nvPicPr>
                  <pic:blipFill>
                    <a:blip r:embed="rId112" cstate="print"/>
                    <a:stretch>
                      <a:fillRect/>
                    </a:stretch>
                  </pic:blipFill>
                  <pic:spPr>
                    <a:xfrm>
                      <a:off x="0" y="0"/>
                      <a:ext cx="5304794" cy="2743200"/>
                    </a:xfrm>
                    <a:prstGeom prst="rect">
                      <a:avLst/>
                    </a:prstGeom>
                  </pic:spPr>
                </pic:pic>
              </a:graphicData>
            </a:graphic>
          </wp:anchor>
        </w:drawing>
      </w:r>
    </w:p>
    <w:p w14:paraId="2B7D3830" w14:textId="77777777" w:rsidR="00A71EEF" w:rsidRDefault="0081115D">
      <w:pPr>
        <w:pStyle w:val="a4"/>
        <w:numPr>
          <w:ilvl w:val="2"/>
          <w:numId w:val="747"/>
        </w:numPr>
        <w:tabs>
          <w:tab w:val="left" w:pos="1371"/>
        </w:tabs>
        <w:spacing w:before="147" w:line="446" w:lineRule="auto"/>
        <w:ind w:right="1508" w:firstLine="422"/>
        <w:rPr>
          <w:sz w:val="21"/>
        </w:rPr>
      </w:pPr>
      <w:r>
        <w:rPr>
          <w:color w:val="333333"/>
          <w:spacing w:val="-5"/>
          <w:sz w:val="21"/>
        </w:rPr>
        <w:t>厂房内疏散楼梯、走道、门的各自总净宽度，应根据疏散人数按每</w:t>
      </w:r>
      <w:r>
        <w:rPr>
          <w:color w:val="333333"/>
          <w:spacing w:val="-5"/>
          <w:sz w:val="21"/>
        </w:rPr>
        <w:t xml:space="preserve"> </w:t>
      </w:r>
      <w:r>
        <w:rPr>
          <w:color w:val="333333"/>
          <w:sz w:val="21"/>
        </w:rPr>
        <w:t xml:space="preserve">100 </w:t>
      </w:r>
      <w:r>
        <w:rPr>
          <w:color w:val="333333"/>
          <w:sz w:val="21"/>
        </w:rPr>
        <w:t>人的最小疏</w:t>
      </w:r>
      <w:r>
        <w:rPr>
          <w:color w:val="333333"/>
          <w:spacing w:val="-8"/>
          <w:sz w:val="21"/>
        </w:rPr>
        <w:t>散净宽度不小于表</w:t>
      </w:r>
      <w:r>
        <w:rPr>
          <w:color w:val="333333"/>
          <w:spacing w:val="-8"/>
          <w:sz w:val="21"/>
        </w:rPr>
        <w:t xml:space="preserve"> </w:t>
      </w:r>
      <w:r>
        <w:rPr>
          <w:color w:val="333333"/>
          <w:sz w:val="21"/>
        </w:rPr>
        <w:t>3.7.5</w:t>
      </w:r>
      <w:r>
        <w:rPr>
          <w:color w:val="333333"/>
          <w:spacing w:val="-5"/>
          <w:sz w:val="21"/>
        </w:rPr>
        <w:t xml:space="preserve"> </w:t>
      </w:r>
      <w:r>
        <w:rPr>
          <w:color w:val="333333"/>
          <w:spacing w:val="-5"/>
          <w:sz w:val="21"/>
        </w:rPr>
        <w:t>的规定计算确定。但疏散楼梯的最小净宽度不宜小于</w:t>
      </w:r>
      <w:r>
        <w:rPr>
          <w:color w:val="333333"/>
          <w:spacing w:val="-5"/>
          <w:sz w:val="21"/>
        </w:rPr>
        <w:t xml:space="preserve"> </w:t>
      </w:r>
      <w:r>
        <w:rPr>
          <w:color w:val="333333"/>
          <w:sz w:val="21"/>
        </w:rPr>
        <w:t>1.10m</w:t>
      </w:r>
      <w:r>
        <w:rPr>
          <w:color w:val="333333"/>
          <w:spacing w:val="-1"/>
          <w:sz w:val="21"/>
        </w:rPr>
        <w:t>，疏散走</w:t>
      </w:r>
      <w:r>
        <w:rPr>
          <w:color w:val="333333"/>
          <w:spacing w:val="-6"/>
          <w:sz w:val="21"/>
        </w:rPr>
        <w:t>道的最小净宽度不宜小于</w:t>
      </w:r>
      <w:r>
        <w:rPr>
          <w:color w:val="333333"/>
          <w:spacing w:val="-6"/>
          <w:sz w:val="21"/>
        </w:rPr>
        <w:t xml:space="preserve"> </w:t>
      </w:r>
      <w:r>
        <w:rPr>
          <w:color w:val="333333"/>
          <w:sz w:val="21"/>
        </w:rPr>
        <w:t>1.40m</w:t>
      </w:r>
      <w:r>
        <w:rPr>
          <w:color w:val="333333"/>
          <w:spacing w:val="-6"/>
          <w:sz w:val="21"/>
        </w:rPr>
        <w:t>，门的最小净宽度不宜小于</w:t>
      </w:r>
      <w:r>
        <w:rPr>
          <w:color w:val="333333"/>
          <w:spacing w:val="-6"/>
          <w:sz w:val="21"/>
        </w:rPr>
        <w:t xml:space="preserve"> </w:t>
      </w:r>
      <w:r>
        <w:rPr>
          <w:color w:val="333333"/>
          <w:sz w:val="21"/>
        </w:rPr>
        <w:t>0.90m</w:t>
      </w:r>
      <w:r>
        <w:rPr>
          <w:color w:val="333333"/>
          <w:spacing w:val="-3"/>
          <w:sz w:val="21"/>
        </w:rPr>
        <w:t>。当每层疏散人数不相等时，</w:t>
      </w:r>
      <w:r>
        <w:rPr>
          <w:color w:val="333333"/>
          <w:spacing w:val="-3"/>
          <w:sz w:val="21"/>
        </w:rPr>
        <w:t xml:space="preserve"> </w:t>
      </w:r>
      <w:r>
        <w:rPr>
          <w:color w:val="333333"/>
          <w:spacing w:val="-3"/>
          <w:sz w:val="21"/>
        </w:rPr>
        <w:t>疏散楼梯的总净宽度应分层计算，下层楼梯总净宽度应按该层及以上疏散人数最多一层的疏散人数计算。</w:t>
      </w:r>
      <w:r>
        <w:rPr>
          <w:color w:val="333333"/>
          <w:sz w:val="21"/>
        </w:rPr>
        <w:t xml:space="preserve"> </w:t>
      </w:r>
    </w:p>
    <w:p w14:paraId="7DE156E9" w14:textId="77777777" w:rsidR="00A71EEF" w:rsidRDefault="0081115D">
      <w:pPr>
        <w:pStyle w:val="6"/>
        <w:spacing w:line="268" w:lineRule="exact"/>
        <w:ind w:left="1488"/>
      </w:pPr>
      <w:r>
        <w:t>表</w:t>
      </w:r>
      <w:r>
        <w:t xml:space="preserve"> 3.7.5 </w:t>
      </w:r>
      <w:r>
        <w:t>厂房内疏散楼梯、走道和门的每</w:t>
      </w:r>
      <w:r>
        <w:t xml:space="preserve"> 100 </w:t>
      </w:r>
      <w:r>
        <w:t>人最小疏散净宽度（</w:t>
      </w:r>
      <w:r>
        <w:t>m/</w:t>
      </w:r>
      <w:r>
        <w:t>百人）</w:t>
      </w:r>
      <w:r>
        <w:rPr>
          <w:w w:val="99"/>
        </w:rPr>
        <w:t xml:space="preserve"> </w:t>
      </w:r>
    </w:p>
    <w:p w14:paraId="48D021CE" w14:textId="77777777" w:rsidR="00A71EEF" w:rsidRDefault="0081115D">
      <w:pPr>
        <w:pStyle w:val="a3"/>
        <w:spacing w:before="10"/>
        <w:rPr>
          <w:b/>
          <w:sz w:val="12"/>
        </w:rPr>
      </w:pPr>
      <w:r>
        <w:rPr>
          <w:noProof/>
        </w:rPr>
        <w:drawing>
          <wp:anchor distT="0" distB="0" distL="0" distR="0" simplePos="0" relativeHeight="251522560" behindDoc="0" locked="0" layoutInCell="1" allowOverlap="1" wp14:anchorId="297F82FB" wp14:editId="1BD09D65">
            <wp:simplePos x="0" y="0"/>
            <wp:positionH relativeFrom="page">
              <wp:posOffset>1208405</wp:posOffset>
            </wp:positionH>
            <wp:positionV relativeFrom="paragraph">
              <wp:posOffset>129373</wp:posOffset>
            </wp:positionV>
            <wp:extent cx="5162740" cy="695325"/>
            <wp:effectExtent l="0" t="0" r="0" b="0"/>
            <wp:wrapTopAndBottom/>
            <wp:docPr id="175" name="image1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115.jpeg"/>
                    <pic:cNvPicPr/>
                  </pic:nvPicPr>
                  <pic:blipFill>
                    <a:blip r:embed="rId113" cstate="print"/>
                    <a:stretch>
                      <a:fillRect/>
                    </a:stretch>
                  </pic:blipFill>
                  <pic:spPr>
                    <a:xfrm>
                      <a:off x="0" y="0"/>
                      <a:ext cx="5162740" cy="695325"/>
                    </a:xfrm>
                    <a:prstGeom prst="rect">
                      <a:avLst/>
                    </a:prstGeom>
                  </pic:spPr>
                </pic:pic>
              </a:graphicData>
            </a:graphic>
          </wp:anchor>
        </w:drawing>
      </w:r>
    </w:p>
    <w:p w14:paraId="73ADAABC" w14:textId="77777777" w:rsidR="00A71EEF" w:rsidRDefault="0081115D">
      <w:pPr>
        <w:pStyle w:val="a3"/>
        <w:spacing w:before="168" w:line="446" w:lineRule="auto"/>
        <w:ind w:left="418" w:right="1611" w:firstLine="419"/>
      </w:pPr>
      <w:r>
        <w:rPr>
          <w:color w:val="333333"/>
        </w:rPr>
        <w:t>首层外门的总净宽度应按该层及以上疏散人数最多一层的疏散人数计算，且该门的最小净宽度不应小于</w:t>
      </w:r>
      <w:r>
        <w:rPr>
          <w:color w:val="333333"/>
        </w:rPr>
        <w:t xml:space="preserve"> 1.20m</w:t>
      </w:r>
      <w:r>
        <w:rPr>
          <w:color w:val="333333"/>
        </w:rPr>
        <w:t>。</w:t>
      </w:r>
      <w:r>
        <w:rPr>
          <w:color w:val="333333"/>
        </w:rPr>
        <w:t xml:space="preserve"> </w:t>
      </w:r>
    </w:p>
    <w:p w14:paraId="687BD266" w14:textId="77777777" w:rsidR="00A71EEF" w:rsidRDefault="0081115D">
      <w:pPr>
        <w:pStyle w:val="a4"/>
        <w:numPr>
          <w:ilvl w:val="2"/>
          <w:numId w:val="747"/>
        </w:numPr>
        <w:tabs>
          <w:tab w:val="left" w:pos="1371"/>
        </w:tabs>
        <w:spacing w:line="446" w:lineRule="auto"/>
        <w:ind w:right="1498" w:firstLine="422"/>
        <w:rPr>
          <w:sz w:val="21"/>
        </w:rPr>
      </w:pPr>
      <w:r>
        <w:rPr>
          <w:color w:val="333333"/>
          <w:spacing w:val="-3"/>
          <w:sz w:val="21"/>
        </w:rPr>
        <w:t>高层厂房和甲、乙、丙类多层厂房的疏散楼梯应采用封闭楼梯间或室外楼梯。建筑高</w:t>
      </w:r>
      <w:r>
        <w:rPr>
          <w:color w:val="333333"/>
          <w:spacing w:val="-15"/>
          <w:sz w:val="21"/>
        </w:rPr>
        <w:t>度大于</w:t>
      </w:r>
      <w:r>
        <w:rPr>
          <w:color w:val="333333"/>
          <w:spacing w:val="-15"/>
          <w:sz w:val="21"/>
        </w:rPr>
        <w:t xml:space="preserve"> </w:t>
      </w:r>
      <w:r>
        <w:rPr>
          <w:color w:val="333333"/>
          <w:sz w:val="21"/>
        </w:rPr>
        <w:t>32m</w:t>
      </w:r>
      <w:r>
        <w:rPr>
          <w:color w:val="333333"/>
          <w:spacing w:val="-8"/>
          <w:sz w:val="21"/>
        </w:rPr>
        <w:t xml:space="preserve"> </w:t>
      </w:r>
      <w:r>
        <w:rPr>
          <w:color w:val="333333"/>
          <w:spacing w:val="-8"/>
          <w:sz w:val="21"/>
        </w:rPr>
        <w:t>且任一层人数超过</w:t>
      </w:r>
      <w:r>
        <w:rPr>
          <w:color w:val="333333"/>
          <w:spacing w:val="-8"/>
          <w:sz w:val="21"/>
        </w:rPr>
        <w:t xml:space="preserve"> </w:t>
      </w:r>
      <w:r>
        <w:rPr>
          <w:color w:val="333333"/>
          <w:sz w:val="21"/>
        </w:rPr>
        <w:t>10</w:t>
      </w:r>
      <w:r>
        <w:rPr>
          <w:color w:val="333333"/>
          <w:spacing w:val="-3"/>
          <w:sz w:val="21"/>
        </w:rPr>
        <w:t xml:space="preserve"> </w:t>
      </w:r>
      <w:r>
        <w:rPr>
          <w:color w:val="333333"/>
          <w:spacing w:val="-3"/>
          <w:sz w:val="21"/>
        </w:rPr>
        <w:t>人的厂房，应采用防烟楼梯间或室外楼梯。</w:t>
      </w:r>
      <w:r>
        <w:rPr>
          <w:color w:val="333333"/>
          <w:sz w:val="21"/>
        </w:rPr>
        <w:t xml:space="preserve"> </w:t>
      </w:r>
    </w:p>
    <w:p w14:paraId="714386AB" w14:textId="77777777" w:rsidR="00A71EEF" w:rsidRDefault="0081115D">
      <w:pPr>
        <w:pStyle w:val="a4"/>
        <w:numPr>
          <w:ilvl w:val="1"/>
          <w:numId w:val="747"/>
        </w:numPr>
        <w:tabs>
          <w:tab w:val="left" w:pos="1159"/>
        </w:tabs>
        <w:spacing w:line="267" w:lineRule="exact"/>
        <w:ind w:hanging="319"/>
        <w:rPr>
          <w:b/>
          <w:sz w:val="21"/>
        </w:rPr>
      </w:pPr>
      <w:r>
        <w:rPr>
          <w:spacing w:val="-3"/>
          <w:sz w:val="21"/>
        </w:rPr>
        <w:t>仓库的安全疏散</w:t>
      </w:r>
      <w:r>
        <w:rPr>
          <w:b/>
          <w:w w:val="99"/>
          <w:sz w:val="21"/>
        </w:rPr>
        <w:t xml:space="preserve"> </w:t>
      </w:r>
    </w:p>
    <w:p w14:paraId="46923260" w14:textId="77777777" w:rsidR="00A71EEF" w:rsidRDefault="00A71EEF">
      <w:pPr>
        <w:pStyle w:val="a3"/>
        <w:spacing w:before="1"/>
        <w:rPr>
          <w:b/>
          <w:sz w:val="18"/>
        </w:rPr>
      </w:pPr>
    </w:p>
    <w:p w14:paraId="71A36836" w14:textId="77777777" w:rsidR="00A71EEF" w:rsidRDefault="0081115D">
      <w:pPr>
        <w:pStyle w:val="a4"/>
        <w:numPr>
          <w:ilvl w:val="2"/>
          <w:numId w:val="747"/>
        </w:numPr>
        <w:tabs>
          <w:tab w:val="left" w:pos="1370"/>
        </w:tabs>
        <w:ind w:left="1369" w:hanging="530"/>
        <w:rPr>
          <w:sz w:val="21"/>
        </w:rPr>
      </w:pPr>
      <w:r>
        <w:rPr>
          <w:color w:val="333333"/>
          <w:spacing w:val="-5"/>
          <w:sz w:val="21"/>
        </w:rPr>
        <w:t>仓库的安全出口应分散布置。每个防火分区或一个防火分区的每个楼层，其相邻</w:t>
      </w:r>
      <w:r>
        <w:rPr>
          <w:color w:val="333333"/>
          <w:spacing w:val="-5"/>
          <w:sz w:val="21"/>
        </w:rPr>
        <w:t xml:space="preserve"> </w:t>
      </w:r>
      <w:r>
        <w:rPr>
          <w:color w:val="333333"/>
          <w:sz w:val="21"/>
        </w:rPr>
        <w:t xml:space="preserve">2 </w:t>
      </w:r>
    </w:p>
    <w:p w14:paraId="24E1C991" w14:textId="77777777" w:rsidR="00A71EEF" w:rsidRDefault="00A71EEF">
      <w:pPr>
        <w:pStyle w:val="a3"/>
        <w:rPr>
          <w:sz w:val="18"/>
        </w:rPr>
      </w:pPr>
    </w:p>
    <w:p w14:paraId="04FE9386" w14:textId="77777777" w:rsidR="00A71EEF" w:rsidRDefault="0081115D">
      <w:pPr>
        <w:pStyle w:val="a3"/>
        <w:ind w:left="418"/>
      </w:pPr>
      <w:r>
        <w:rPr>
          <w:color w:val="333333"/>
        </w:rPr>
        <w:t>个安全出口最近边缘之间的水平距离不应小于</w:t>
      </w:r>
      <w:r>
        <w:rPr>
          <w:color w:val="333333"/>
        </w:rPr>
        <w:t xml:space="preserve"> 5m</w:t>
      </w:r>
      <w:r>
        <w:rPr>
          <w:color w:val="333333"/>
        </w:rPr>
        <w:t>。</w:t>
      </w:r>
      <w:r>
        <w:rPr>
          <w:color w:val="333333"/>
        </w:rPr>
        <w:t xml:space="preserve"> </w:t>
      </w:r>
    </w:p>
    <w:p w14:paraId="356E38F9" w14:textId="77777777" w:rsidR="00A71EEF" w:rsidRDefault="0081115D">
      <w:pPr>
        <w:pStyle w:val="a4"/>
        <w:numPr>
          <w:ilvl w:val="2"/>
          <w:numId w:val="747"/>
        </w:numPr>
        <w:tabs>
          <w:tab w:val="left" w:pos="1370"/>
        </w:tabs>
        <w:spacing w:before="39" w:line="502" w:lineRule="exact"/>
        <w:ind w:right="1498" w:firstLine="422"/>
        <w:rPr>
          <w:sz w:val="21"/>
        </w:rPr>
      </w:pPr>
      <w:r>
        <w:rPr>
          <w:color w:val="333333"/>
          <w:spacing w:val="-7"/>
          <w:sz w:val="21"/>
        </w:rPr>
        <w:t>每座仓库的安全出口不应少于</w:t>
      </w:r>
      <w:r>
        <w:rPr>
          <w:color w:val="333333"/>
          <w:spacing w:val="-7"/>
          <w:sz w:val="21"/>
        </w:rPr>
        <w:t xml:space="preserve"> </w:t>
      </w:r>
      <w:r>
        <w:rPr>
          <w:color w:val="333333"/>
          <w:sz w:val="21"/>
        </w:rPr>
        <w:t>2</w:t>
      </w:r>
      <w:r>
        <w:rPr>
          <w:color w:val="333333"/>
          <w:spacing w:val="-12"/>
          <w:sz w:val="21"/>
        </w:rPr>
        <w:t xml:space="preserve"> </w:t>
      </w:r>
      <w:r>
        <w:rPr>
          <w:color w:val="333333"/>
          <w:spacing w:val="-12"/>
          <w:sz w:val="21"/>
        </w:rPr>
        <w:t>个，当一座仓库的占地面积不大于</w:t>
      </w:r>
      <w:r>
        <w:rPr>
          <w:color w:val="333333"/>
          <w:spacing w:val="-12"/>
          <w:sz w:val="21"/>
        </w:rPr>
        <w:t xml:space="preserve"> </w:t>
      </w:r>
      <w:r>
        <w:rPr>
          <w:color w:val="333333"/>
          <w:sz w:val="21"/>
        </w:rPr>
        <w:t>300m</w:t>
      </w:r>
      <w:r>
        <w:rPr>
          <w:color w:val="333333"/>
          <w:position w:val="11"/>
          <w:sz w:val="11"/>
        </w:rPr>
        <w:t>2</w:t>
      </w:r>
      <w:r>
        <w:rPr>
          <w:color w:val="333333"/>
          <w:spacing w:val="2"/>
          <w:sz w:val="11"/>
        </w:rPr>
        <w:t xml:space="preserve">   </w:t>
      </w:r>
      <w:r>
        <w:rPr>
          <w:color w:val="333333"/>
          <w:spacing w:val="-3"/>
          <w:sz w:val="21"/>
        </w:rPr>
        <w:t>时，可设</w:t>
      </w:r>
      <w:r>
        <w:rPr>
          <w:color w:val="333333"/>
          <w:spacing w:val="-25"/>
          <w:sz w:val="21"/>
        </w:rPr>
        <w:t>置</w:t>
      </w:r>
      <w:r>
        <w:rPr>
          <w:color w:val="333333"/>
          <w:spacing w:val="-25"/>
          <w:sz w:val="21"/>
        </w:rPr>
        <w:t xml:space="preserve"> </w:t>
      </w:r>
      <w:r>
        <w:rPr>
          <w:color w:val="333333"/>
          <w:sz w:val="21"/>
        </w:rPr>
        <w:t>1</w:t>
      </w:r>
      <w:r>
        <w:rPr>
          <w:color w:val="333333"/>
          <w:spacing w:val="-10"/>
          <w:sz w:val="21"/>
        </w:rPr>
        <w:t xml:space="preserve"> </w:t>
      </w:r>
      <w:r>
        <w:rPr>
          <w:color w:val="333333"/>
          <w:spacing w:val="-10"/>
          <w:sz w:val="21"/>
        </w:rPr>
        <w:t>个安全出口。仓库内每个防火分区通向疏散走道、楼梯或室外的出口不宜少于</w:t>
      </w:r>
      <w:r>
        <w:rPr>
          <w:color w:val="333333"/>
          <w:spacing w:val="-10"/>
          <w:sz w:val="21"/>
        </w:rPr>
        <w:t xml:space="preserve"> </w:t>
      </w:r>
      <w:r>
        <w:rPr>
          <w:color w:val="333333"/>
          <w:sz w:val="21"/>
        </w:rPr>
        <w:t>2</w:t>
      </w:r>
      <w:r>
        <w:rPr>
          <w:color w:val="333333"/>
          <w:spacing w:val="-12"/>
          <w:sz w:val="21"/>
        </w:rPr>
        <w:t xml:space="preserve"> </w:t>
      </w:r>
      <w:r>
        <w:rPr>
          <w:color w:val="333333"/>
          <w:spacing w:val="-12"/>
          <w:sz w:val="21"/>
        </w:rPr>
        <w:t>个，当防</w:t>
      </w:r>
    </w:p>
    <w:p w14:paraId="608C7242" w14:textId="77777777" w:rsidR="00A71EEF" w:rsidRDefault="00A71EEF">
      <w:pPr>
        <w:spacing w:line="502" w:lineRule="exact"/>
        <w:rPr>
          <w:sz w:val="21"/>
        </w:rPr>
        <w:sectPr w:rsidR="00A71EEF">
          <w:pgSz w:w="11910" w:h="16850"/>
          <w:pgMar w:top="1220" w:right="0" w:bottom="1420" w:left="1260" w:header="0" w:footer="1239" w:gutter="0"/>
          <w:cols w:space="720"/>
        </w:sectPr>
      </w:pPr>
    </w:p>
    <w:p w14:paraId="07084AF6" w14:textId="77777777" w:rsidR="00A71EEF" w:rsidRDefault="0081115D">
      <w:pPr>
        <w:pStyle w:val="a3"/>
        <w:spacing w:before="57" w:line="446" w:lineRule="auto"/>
        <w:ind w:left="418" w:right="1604"/>
        <w:jc w:val="both"/>
        <w:rPr>
          <w:b/>
        </w:rPr>
      </w:pPr>
      <w:r>
        <w:rPr>
          <w:color w:val="333333"/>
          <w:spacing w:val="-7"/>
        </w:rPr>
        <w:lastRenderedPageBreak/>
        <w:t>火分区的建筑面积不大于</w:t>
      </w:r>
      <w:r>
        <w:rPr>
          <w:color w:val="333333"/>
          <w:spacing w:val="-7"/>
        </w:rPr>
        <w:t xml:space="preserve"> </w:t>
      </w:r>
      <w:r>
        <w:rPr>
          <w:color w:val="333333"/>
        </w:rPr>
        <w:t>100m</w:t>
      </w:r>
      <w:r>
        <w:rPr>
          <w:color w:val="333333"/>
          <w:position w:val="11"/>
          <w:sz w:val="11"/>
        </w:rPr>
        <w:t xml:space="preserve">2 </w:t>
      </w:r>
      <w:r>
        <w:rPr>
          <w:color w:val="333333"/>
          <w:spacing w:val="-10"/>
        </w:rPr>
        <w:t>时，可设置</w:t>
      </w:r>
      <w:r>
        <w:rPr>
          <w:color w:val="333333"/>
          <w:spacing w:val="-10"/>
        </w:rPr>
        <w:t xml:space="preserve"> </w:t>
      </w:r>
      <w:r>
        <w:rPr>
          <w:color w:val="333333"/>
        </w:rPr>
        <w:t>1</w:t>
      </w:r>
      <w:r>
        <w:rPr>
          <w:color w:val="333333"/>
          <w:spacing w:val="-8"/>
        </w:rPr>
        <w:t xml:space="preserve"> </w:t>
      </w:r>
      <w:r>
        <w:rPr>
          <w:color w:val="333333"/>
          <w:spacing w:val="-8"/>
        </w:rPr>
        <w:t>个出口。通向疏散走道或楼梯的门应为乙级防火</w:t>
      </w:r>
      <w:r>
        <w:rPr>
          <w:color w:val="333333"/>
          <w:spacing w:val="-6"/>
        </w:rPr>
        <w:t>门。</w:t>
      </w:r>
      <w:r>
        <w:rPr>
          <w:b/>
          <w:color w:val="333333"/>
          <w:w w:val="99"/>
        </w:rPr>
        <w:t xml:space="preserve"> </w:t>
      </w:r>
    </w:p>
    <w:p w14:paraId="643071F1" w14:textId="77777777" w:rsidR="00A71EEF" w:rsidRDefault="0081115D">
      <w:pPr>
        <w:pStyle w:val="a4"/>
        <w:numPr>
          <w:ilvl w:val="2"/>
          <w:numId w:val="747"/>
        </w:numPr>
        <w:tabs>
          <w:tab w:val="left" w:pos="1370"/>
        </w:tabs>
        <w:spacing w:line="439" w:lineRule="auto"/>
        <w:ind w:right="1604" w:firstLine="422"/>
        <w:jc w:val="both"/>
        <w:rPr>
          <w:b/>
          <w:sz w:val="21"/>
        </w:rPr>
      </w:pPr>
      <w:r>
        <w:rPr>
          <w:color w:val="333333"/>
          <w:spacing w:val="-3"/>
          <w:sz w:val="21"/>
        </w:rPr>
        <w:t>地下或半地下仓库</w:t>
      </w:r>
      <w:r>
        <w:rPr>
          <w:color w:val="333333"/>
          <w:sz w:val="21"/>
        </w:rPr>
        <w:t>（</w:t>
      </w:r>
      <w:r>
        <w:rPr>
          <w:color w:val="333333"/>
          <w:spacing w:val="-3"/>
          <w:sz w:val="21"/>
        </w:rPr>
        <w:t>包括地下或半地下室）</w:t>
      </w:r>
      <w:r>
        <w:rPr>
          <w:color w:val="333333"/>
          <w:spacing w:val="-8"/>
          <w:sz w:val="21"/>
        </w:rPr>
        <w:t>的安全出口不应少于</w:t>
      </w:r>
      <w:r>
        <w:rPr>
          <w:color w:val="333333"/>
          <w:spacing w:val="-8"/>
          <w:sz w:val="21"/>
        </w:rPr>
        <w:t xml:space="preserve"> </w:t>
      </w:r>
      <w:r>
        <w:rPr>
          <w:color w:val="333333"/>
          <w:sz w:val="21"/>
        </w:rPr>
        <w:t>2</w:t>
      </w:r>
      <w:r>
        <w:rPr>
          <w:color w:val="333333"/>
          <w:spacing w:val="-8"/>
          <w:sz w:val="21"/>
        </w:rPr>
        <w:t xml:space="preserve"> </w:t>
      </w:r>
      <w:r>
        <w:rPr>
          <w:color w:val="333333"/>
          <w:spacing w:val="-8"/>
          <w:sz w:val="21"/>
        </w:rPr>
        <w:t>个；当建筑面积</w:t>
      </w:r>
      <w:r>
        <w:rPr>
          <w:color w:val="333333"/>
          <w:spacing w:val="-17"/>
          <w:sz w:val="21"/>
        </w:rPr>
        <w:t>不大于</w:t>
      </w:r>
      <w:r>
        <w:rPr>
          <w:color w:val="333333"/>
          <w:spacing w:val="-17"/>
          <w:sz w:val="21"/>
        </w:rPr>
        <w:t xml:space="preserve"> </w:t>
      </w:r>
      <w:r>
        <w:rPr>
          <w:color w:val="333333"/>
          <w:sz w:val="21"/>
        </w:rPr>
        <w:t>100m</w:t>
      </w:r>
      <w:r>
        <w:rPr>
          <w:color w:val="333333"/>
          <w:position w:val="11"/>
          <w:sz w:val="11"/>
        </w:rPr>
        <w:t>2</w:t>
      </w:r>
      <w:r>
        <w:rPr>
          <w:color w:val="333333"/>
          <w:spacing w:val="49"/>
          <w:sz w:val="11"/>
        </w:rPr>
        <w:t xml:space="preserve"> </w:t>
      </w:r>
      <w:r>
        <w:rPr>
          <w:color w:val="333333"/>
          <w:spacing w:val="-12"/>
          <w:sz w:val="21"/>
        </w:rPr>
        <w:t>时，可设置</w:t>
      </w:r>
      <w:r>
        <w:rPr>
          <w:color w:val="333333"/>
          <w:spacing w:val="-12"/>
          <w:sz w:val="21"/>
        </w:rPr>
        <w:t xml:space="preserve"> </w:t>
      </w:r>
      <w:r>
        <w:rPr>
          <w:color w:val="333333"/>
          <w:sz w:val="21"/>
        </w:rPr>
        <w:t>1</w:t>
      </w:r>
      <w:r>
        <w:rPr>
          <w:color w:val="333333"/>
          <w:spacing w:val="-10"/>
          <w:sz w:val="21"/>
        </w:rPr>
        <w:t xml:space="preserve"> </w:t>
      </w:r>
      <w:r>
        <w:rPr>
          <w:color w:val="333333"/>
          <w:spacing w:val="-10"/>
          <w:sz w:val="21"/>
        </w:rPr>
        <w:t>个安全出口。</w:t>
      </w:r>
      <w:r>
        <w:rPr>
          <w:b/>
          <w:color w:val="333333"/>
          <w:w w:val="99"/>
          <w:sz w:val="21"/>
        </w:rPr>
        <w:t xml:space="preserve"> </w:t>
      </w:r>
    </w:p>
    <w:p w14:paraId="31901BB2" w14:textId="77777777" w:rsidR="00A71EEF" w:rsidRDefault="0081115D">
      <w:pPr>
        <w:pStyle w:val="a3"/>
        <w:spacing w:before="4" w:line="446" w:lineRule="auto"/>
        <w:ind w:left="418" w:right="1608" w:firstLine="419"/>
        <w:jc w:val="both"/>
        <w:rPr>
          <w:b/>
        </w:rPr>
      </w:pPr>
      <w:r>
        <w:rPr>
          <w:color w:val="333333"/>
        </w:rPr>
        <w:t>地下或半地下仓库（包括地下或半地下室），当有多个防火分区相邻布置并采用防火墙分隔时，每个防火分区可利用防火墙上通向相邻防火分区的甲级防火门作为第二安全出口，但每个防火分区必须至少有</w:t>
      </w:r>
      <w:r>
        <w:rPr>
          <w:color w:val="333333"/>
        </w:rPr>
        <w:t xml:space="preserve"> 1 </w:t>
      </w:r>
      <w:r>
        <w:rPr>
          <w:color w:val="333333"/>
        </w:rPr>
        <w:t>个直通室外的安全出口。</w:t>
      </w:r>
      <w:r>
        <w:rPr>
          <w:b/>
          <w:color w:val="333333"/>
          <w:w w:val="99"/>
        </w:rPr>
        <w:t xml:space="preserve"> </w:t>
      </w:r>
    </w:p>
    <w:p w14:paraId="008339C9" w14:textId="77777777" w:rsidR="00A71EEF" w:rsidRDefault="0081115D">
      <w:pPr>
        <w:pStyle w:val="a4"/>
        <w:numPr>
          <w:ilvl w:val="2"/>
          <w:numId w:val="747"/>
        </w:numPr>
        <w:tabs>
          <w:tab w:val="left" w:pos="1370"/>
        </w:tabs>
        <w:spacing w:line="446" w:lineRule="auto"/>
        <w:ind w:right="1604" w:firstLine="422"/>
        <w:rPr>
          <w:sz w:val="21"/>
        </w:rPr>
      </w:pPr>
      <w:r>
        <w:rPr>
          <w:color w:val="333333"/>
          <w:spacing w:val="-3"/>
          <w:sz w:val="21"/>
        </w:rPr>
        <w:t>冷库、粮食筒仓、金库的安全疏散设计应分别符合现行国家标准《冷库设计规范》</w:t>
      </w:r>
      <w:r>
        <w:rPr>
          <w:color w:val="333333"/>
          <w:spacing w:val="-3"/>
          <w:sz w:val="21"/>
        </w:rPr>
        <w:t>GB</w:t>
      </w:r>
      <w:r>
        <w:rPr>
          <w:color w:val="333333"/>
          <w:spacing w:val="1"/>
          <w:sz w:val="21"/>
        </w:rPr>
        <w:t xml:space="preserve"> </w:t>
      </w:r>
      <w:r>
        <w:rPr>
          <w:color w:val="333333"/>
          <w:sz w:val="21"/>
        </w:rPr>
        <w:t>50072</w:t>
      </w:r>
      <w:r>
        <w:rPr>
          <w:color w:val="333333"/>
          <w:spacing w:val="-3"/>
          <w:sz w:val="21"/>
        </w:rPr>
        <w:t xml:space="preserve"> </w:t>
      </w:r>
      <w:r>
        <w:rPr>
          <w:color w:val="333333"/>
          <w:spacing w:val="-3"/>
          <w:sz w:val="21"/>
        </w:rPr>
        <w:t>和《粮食钢板筒仓设计规范》</w:t>
      </w:r>
      <w:r>
        <w:rPr>
          <w:color w:val="333333"/>
          <w:sz w:val="21"/>
        </w:rPr>
        <w:t>GB</w:t>
      </w:r>
      <w:r>
        <w:rPr>
          <w:color w:val="333333"/>
          <w:spacing w:val="2"/>
          <w:sz w:val="21"/>
        </w:rPr>
        <w:t xml:space="preserve"> </w:t>
      </w:r>
      <w:r>
        <w:rPr>
          <w:color w:val="333333"/>
          <w:sz w:val="21"/>
        </w:rPr>
        <w:t>50322</w:t>
      </w:r>
      <w:r>
        <w:rPr>
          <w:color w:val="333333"/>
          <w:spacing w:val="-3"/>
          <w:sz w:val="21"/>
        </w:rPr>
        <w:t xml:space="preserve"> </w:t>
      </w:r>
      <w:r>
        <w:rPr>
          <w:color w:val="333333"/>
          <w:spacing w:val="-3"/>
          <w:sz w:val="21"/>
        </w:rPr>
        <w:t>等标准的规定。</w:t>
      </w:r>
      <w:r>
        <w:rPr>
          <w:color w:val="333333"/>
          <w:sz w:val="21"/>
        </w:rPr>
        <w:t xml:space="preserve"> </w:t>
      </w:r>
    </w:p>
    <w:p w14:paraId="454C7763" w14:textId="77777777" w:rsidR="00A71EEF" w:rsidRDefault="0081115D">
      <w:pPr>
        <w:pStyle w:val="a4"/>
        <w:numPr>
          <w:ilvl w:val="2"/>
          <w:numId w:val="747"/>
        </w:numPr>
        <w:tabs>
          <w:tab w:val="left" w:pos="1370"/>
        </w:tabs>
        <w:spacing w:line="269" w:lineRule="exact"/>
        <w:ind w:left="1369" w:hanging="530"/>
        <w:rPr>
          <w:sz w:val="21"/>
        </w:rPr>
      </w:pPr>
      <w:r>
        <w:rPr>
          <w:color w:val="333333"/>
          <w:spacing w:val="-8"/>
          <w:sz w:val="21"/>
        </w:rPr>
        <w:t>粮食筒仓上层面积小于</w:t>
      </w:r>
      <w:r>
        <w:rPr>
          <w:color w:val="333333"/>
          <w:spacing w:val="-8"/>
          <w:sz w:val="21"/>
        </w:rPr>
        <w:t xml:space="preserve"> </w:t>
      </w:r>
      <w:r>
        <w:rPr>
          <w:color w:val="333333"/>
          <w:sz w:val="21"/>
        </w:rPr>
        <w:t>1000m</w:t>
      </w:r>
      <w:r>
        <w:rPr>
          <w:color w:val="333333"/>
          <w:position w:val="11"/>
          <w:sz w:val="11"/>
        </w:rPr>
        <w:t>2</w:t>
      </w:r>
      <w:r>
        <w:rPr>
          <w:color w:val="333333"/>
          <w:spacing w:val="-8"/>
          <w:sz w:val="21"/>
        </w:rPr>
        <w:t>，且作业人数不超过</w:t>
      </w:r>
      <w:r>
        <w:rPr>
          <w:color w:val="333333"/>
          <w:spacing w:val="-8"/>
          <w:sz w:val="21"/>
        </w:rPr>
        <w:t xml:space="preserve"> </w:t>
      </w:r>
      <w:r>
        <w:rPr>
          <w:color w:val="333333"/>
          <w:sz w:val="21"/>
        </w:rPr>
        <w:t>2</w:t>
      </w:r>
      <w:r>
        <w:rPr>
          <w:color w:val="333333"/>
          <w:spacing w:val="-16"/>
          <w:sz w:val="21"/>
        </w:rPr>
        <w:t xml:space="preserve"> </w:t>
      </w:r>
      <w:r>
        <w:rPr>
          <w:color w:val="333333"/>
          <w:spacing w:val="-16"/>
          <w:sz w:val="21"/>
        </w:rPr>
        <w:t>人时，可设置</w:t>
      </w:r>
      <w:r>
        <w:rPr>
          <w:color w:val="333333"/>
          <w:spacing w:val="-16"/>
          <w:sz w:val="21"/>
        </w:rPr>
        <w:t xml:space="preserve"> </w:t>
      </w:r>
      <w:r>
        <w:rPr>
          <w:color w:val="333333"/>
          <w:sz w:val="21"/>
        </w:rPr>
        <w:t>1</w:t>
      </w:r>
      <w:r>
        <w:rPr>
          <w:color w:val="333333"/>
          <w:spacing w:val="-10"/>
          <w:sz w:val="21"/>
        </w:rPr>
        <w:t xml:space="preserve"> </w:t>
      </w:r>
      <w:r>
        <w:rPr>
          <w:color w:val="333333"/>
          <w:spacing w:val="-10"/>
          <w:sz w:val="21"/>
        </w:rPr>
        <w:t>个安全出口。</w:t>
      </w:r>
      <w:r>
        <w:rPr>
          <w:color w:val="333333"/>
          <w:sz w:val="21"/>
        </w:rPr>
        <w:t xml:space="preserve"> </w:t>
      </w:r>
    </w:p>
    <w:p w14:paraId="218CE09E" w14:textId="77777777" w:rsidR="00A71EEF" w:rsidRDefault="00A71EEF">
      <w:pPr>
        <w:pStyle w:val="a3"/>
        <w:spacing w:before="12"/>
        <w:rPr>
          <w:sz w:val="17"/>
        </w:rPr>
      </w:pPr>
    </w:p>
    <w:p w14:paraId="3491CF90" w14:textId="77777777" w:rsidR="00A71EEF" w:rsidRDefault="0081115D">
      <w:pPr>
        <w:pStyle w:val="a4"/>
        <w:numPr>
          <w:ilvl w:val="2"/>
          <w:numId w:val="747"/>
        </w:numPr>
        <w:tabs>
          <w:tab w:val="left" w:pos="1370"/>
        </w:tabs>
        <w:spacing w:line="446" w:lineRule="auto"/>
        <w:ind w:right="1553" w:firstLine="422"/>
        <w:rPr>
          <w:sz w:val="21"/>
        </w:rPr>
      </w:pPr>
      <w:r>
        <w:rPr>
          <w:color w:val="333333"/>
          <w:spacing w:val="-7"/>
          <w:sz w:val="21"/>
        </w:rPr>
        <w:t>仓库、筒仓中符合本规范第</w:t>
      </w:r>
      <w:r>
        <w:rPr>
          <w:color w:val="333333"/>
          <w:spacing w:val="-7"/>
          <w:sz w:val="21"/>
        </w:rPr>
        <w:t xml:space="preserve"> </w:t>
      </w:r>
      <w:r>
        <w:rPr>
          <w:color w:val="333333"/>
          <w:sz w:val="21"/>
        </w:rPr>
        <w:t>6.4.5</w:t>
      </w:r>
      <w:r>
        <w:rPr>
          <w:color w:val="333333"/>
          <w:spacing w:val="-3"/>
          <w:sz w:val="21"/>
        </w:rPr>
        <w:t xml:space="preserve"> </w:t>
      </w:r>
      <w:r>
        <w:rPr>
          <w:color w:val="333333"/>
          <w:spacing w:val="-3"/>
          <w:sz w:val="21"/>
        </w:rPr>
        <w:t>条规定的室外金属梯，可作为疏散楼梯，但筒仓</w:t>
      </w:r>
      <w:r>
        <w:rPr>
          <w:color w:val="333333"/>
          <w:spacing w:val="-7"/>
          <w:sz w:val="21"/>
        </w:rPr>
        <w:t>室外楼梯平台的耐火极限不应低于</w:t>
      </w:r>
      <w:r>
        <w:rPr>
          <w:color w:val="333333"/>
          <w:spacing w:val="-7"/>
          <w:sz w:val="21"/>
        </w:rPr>
        <w:t xml:space="preserve"> </w:t>
      </w:r>
      <w:r>
        <w:rPr>
          <w:color w:val="333333"/>
          <w:sz w:val="21"/>
        </w:rPr>
        <w:t>0.25h</w:t>
      </w:r>
      <w:r>
        <w:rPr>
          <w:color w:val="333333"/>
          <w:spacing w:val="-3"/>
          <w:sz w:val="21"/>
        </w:rPr>
        <w:t>。</w:t>
      </w:r>
      <w:r>
        <w:rPr>
          <w:color w:val="333333"/>
          <w:sz w:val="21"/>
        </w:rPr>
        <w:t xml:space="preserve"> </w:t>
      </w:r>
    </w:p>
    <w:p w14:paraId="58D489B3" w14:textId="77777777" w:rsidR="00A71EEF" w:rsidRDefault="0081115D">
      <w:pPr>
        <w:pStyle w:val="a4"/>
        <w:numPr>
          <w:ilvl w:val="2"/>
          <w:numId w:val="747"/>
        </w:numPr>
        <w:tabs>
          <w:tab w:val="left" w:pos="1370"/>
        </w:tabs>
        <w:ind w:left="1369" w:hanging="530"/>
        <w:rPr>
          <w:b/>
          <w:sz w:val="21"/>
        </w:rPr>
      </w:pPr>
      <w:r>
        <w:rPr>
          <w:color w:val="333333"/>
          <w:spacing w:val="-3"/>
          <w:sz w:val="21"/>
        </w:rPr>
        <w:t>高层仓库的疏散楼梯应采用封闭楼梯间。</w:t>
      </w:r>
      <w:r>
        <w:rPr>
          <w:b/>
          <w:color w:val="333333"/>
          <w:w w:val="99"/>
          <w:sz w:val="21"/>
        </w:rPr>
        <w:t xml:space="preserve"> </w:t>
      </w:r>
    </w:p>
    <w:p w14:paraId="6CB36F51" w14:textId="77777777" w:rsidR="00A71EEF" w:rsidRDefault="00A71EEF">
      <w:pPr>
        <w:pStyle w:val="a3"/>
        <w:spacing w:before="12"/>
        <w:rPr>
          <w:b/>
          <w:sz w:val="17"/>
        </w:rPr>
      </w:pPr>
    </w:p>
    <w:p w14:paraId="3AC267B8" w14:textId="77777777" w:rsidR="00A71EEF" w:rsidRDefault="0081115D">
      <w:pPr>
        <w:pStyle w:val="a4"/>
        <w:numPr>
          <w:ilvl w:val="2"/>
          <w:numId w:val="747"/>
        </w:numPr>
        <w:tabs>
          <w:tab w:val="left" w:pos="1370"/>
        </w:tabs>
        <w:spacing w:line="446" w:lineRule="auto"/>
        <w:ind w:right="1558" w:firstLine="422"/>
        <w:jc w:val="both"/>
        <w:rPr>
          <w:sz w:val="21"/>
        </w:rPr>
      </w:pPr>
      <w:r>
        <w:rPr>
          <w:color w:val="333333"/>
          <w:spacing w:val="-3"/>
          <w:sz w:val="21"/>
        </w:rPr>
        <w:t>除一、二级耐火等级的多层戊类仓库外，其他仓库内供垂直运输物品的提升设施宜</w:t>
      </w:r>
      <w:r>
        <w:rPr>
          <w:color w:val="333333"/>
          <w:spacing w:val="-3"/>
          <w:sz w:val="21"/>
        </w:rPr>
        <w:t xml:space="preserve"> </w:t>
      </w:r>
      <w:r>
        <w:rPr>
          <w:color w:val="333333"/>
          <w:spacing w:val="-5"/>
          <w:sz w:val="21"/>
        </w:rPr>
        <w:t>设置在仓库外，确需设置在仓库内时，应设置在井壁的耐火极限不低于</w:t>
      </w:r>
      <w:r>
        <w:rPr>
          <w:color w:val="333333"/>
          <w:spacing w:val="-5"/>
          <w:sz w:val="21"/>
        </w:rPr>
        <w:t xml:space="preserve"> </w:t>
      </w:r>
      <w:r>
        <w:rPr>
          <w:color w:val="333333"/>
          <w:sz w:val="21"/>
        </w:rPr>
        <w:t xml:space="preserve">2.00h </w:t>
      </w:r>
      <w:r>
        <w:rPr>
          <w:color w:val="333333"/>
          <w:sz w:val="21"/>
        </w:rPr>
        <w:t>的井筒内。室内</w:t>
      </w:r>
      <w:r>
        <w:rPr>
          <w:color w:val="333333"/>
          <w:spacing w:val="-5"/>
          <w:sz w:val="21"/>
        </w:rPr>
        <w:t>外提升设施通向仓库的入口应设置乙级防火门或符合本规范第</w:t>
      </w:r>
      <w:r>
        <w:rPr>
          <w:color w:val="333333"/>
          <w:spacing w:val="-5"/>
          <w:sz w:val="21"/>
        </w:rPr>
        <w:t xml:space="preserve"> </w:t>
      </w:r>
      <w:r>
        <w:rPr>
          <w:color w:val="333333"/>
          <w:sz w:val="21"/>
        </w:rPr>
        <w:t>6.5.3</w:t>
      </w:r>
      <w:r>
        <w:rPr>
          <w:color w:val="333333"/>
          <w:spacing w:val="-3"/>
          <w:sz w:val="21"/>
        </w:rPr>
        <w:t xml:space="preserve"> </w:t>
      </w:r>
      <w:r>
        <w:rPr>
          <w:color w:val="333333"/>
          <w:spacing w:val="-3"/>
          <w:sz w:val="21"/>
        </w:rPr>
        <w:t>条规定的防火卷帘。</w:t>
      </w:r>
      <w:r>
        <w:rPr>
          <w:color w:val="333333"/>
          <w:sz w:val="21"/>
        </w:rPr>
        <w:t xml:space="preserve"> </w:t>
      </w:r>
    </w:p>
    <w:p w14:paraId="4F11C9E5" w14:textId="77777777" w:rsidR="00A71EEF" w:rsidRDefault="0081115D">
      <w:pPr>
        <w:pStyle w:val="4"/>
        <w:spacing w:line="276" w:lineRule="exact"/>
      </w:pPr>
      <w:r>
        <w:t xml:space="preserve">4 </w:t>
      </w:r>
      <w:r>
        <w:t>甲、乙、丙类液体、气体储罐（区）和可燃料堆场</w:t>
      </w:r>
      <w:r>
        <w:rPr>
          <w:w w:val="99"/>
        </w:rPr>
        <w:t xml:space="preserve"> </w:t>
      </w:r>
    </w:p>
    <w:p w14:paraId="787B3E0A" w14:textId="77777777" w:rsidR="00A71EEF" w:rsidRDefault="00A71EEF">
      <w:pPr>
        <w:pStyle w:val="a3"/>
        <w:spacing w:before="4"/>
        <w:rPr>
          <w:b/>
          <w:sz w:val="17"/>
        </w:rPr>
      </w:pPr>
    </w:p>
    <w:p w14:paraId="2B07FC65" w14:textId="77777777" w:rsidR="00A71EEF" w:rsidRDefault="0081115D">
      <w:pPr>
        <w:pStyle w:val="a4"/>
        <w:numPr>
          <w:ilvl w:val="1"/>
          <w:numId w:val="738"/>
        </w:numPr>
        <w:tabs>
          <w:tab w:val="left" w:pos="1159"/>
        </w:tabs>
        <w:ind w:hanging="319"/>
        <w:rPr>
          <w:b/>
          <w:sz w:val="21"/>
        </w:rPr>
      </w:pPr>
      <w:r>
        <w:rPr>
          <w:spacing w:val="-3"/>
          <w:sz w:val="21"/>
        </w:rPr>
        <w:t>一般规定</w:t>
      </w:r>
      <w:r>
        <w:rPr>
          <w:b/>
          <w:w w:val="99"/>
          <w:sz w:val="21"/>
        </w:rPr>
        <w:t xml:space="preserve"> </w:t>
      </w:r>
    </w:p>
    <w:p w14:paraId="6C6A84C8" w14:textId="77777777" w:rsidR="00A71EEF" w:rsidRDefault="00A71EEF">
      <w:pPr>
        <w:pStyle w:val="a3"/>
        <w:spacing w:before="2"/>
        <w:rPr>
          <w:b/>
          <w:sz w:val="18"/>
        </w:rPr>
      </w:pPr>
    </w:p>
    <w:p w14:paraId="4D74E18B" w14:textId="77777777" w:rsidR="00A71EEF" w:rsidRDefault="0081115D">
      <w:pPr>
        <w:pStyle w:val="a4"/>
        <w:numPr>
          <w:ilvl w:val="2"/>
          <w:numId w:val="738"/>
        </w:numPr>
        <w:tabs>
          <w:tab w:val="left" w:pos="1371"/>
        </w:tabs>
        <w:spacing w:line="446" w:lineRule="auto"/>
        <w:ind w:right="1604" w:firstLine="422"/>
        <w:jc w:val="both"/>
        <w:rPr>
          <w:sz w:val="21"/>
        </w:rPr>
      </w:pPr>
      <w:r>
        <w:rPr>
          <w:color w:val="333333"/>
          <w:spacing w:val="-3"/>
          <w:sz w:val="21"/>
        </w:rPr>
        <w:t>甲、乙、丙类液体储罐区，液化石油气储罐区，可燃、助燃气体储罐区和可燃材料堆场等，应布置在城市（</w:t>
      </w:r>
      <w:r>
        <w:rPr>
          <w:color w:val="333333"/>
          <w:sz w:val="21"/>
        </w:rPr>
        <w:t>区域</w:t>
      </w:r>
      <w:r>
        <w:rPr>
          <w:color w:val="333333"/>
          <w:spacing w:val="-3"/>
          <w:sz w:val="21"/>
        </w:rPr>
        <w:t>）的边缘或相对独立的安全地带，并宜布置在城市（</w:t>
      </w:r>
      <w:r>
        <w:rPr>
          <w:color w:val="333333"/>
          <w:spacing w:val="-2"/>
          <w:sz w:val="21"/>
        </w:rPr>
        <w:t>区域</w:t>
      </w:r>
      <w:r>
        <w:rPr>
          <w:color w:val="333333"/>
          <w:sz w:val="21"/>
        </w:rPr>
        <w:t>）</w:t>
      </w:r>
      <w:r>
        <w:rPr>
          <w:color w:val="333333"/>
          <w:spacing w:val="-2"/>
          <w:sz w:val="21"/>
        </w:rPr>
        <w:t>全年</w:t>
      </w:r>
      <w:r>
        <w:rPr>
          <w:color w:val="333333"/>
          <w:spacing w:val="-3"/>
          <w:sz w:val="21"/>
        </w:rPr>
        <w:t>最小频率风向的上风侧。</w:t>
      </w:r>
      <w:r>
        <w:rPr>
          <w:color w:val="333333"/>
          <w:sz w:val="21"/>
        </w:rPr>
        <w:t xml:space="preserve"> </w:t>
      </w:r>
    </w:p>
    <w:p w14:paraId="17FD7920" w14:textId="77777777" w:rsidR="00A71EEF" w:rsidRDefault="0081115D">
      <w:pPr>
        <w:pStyle w:val="a3"/>
        <w:spacing w:line="446" w:lineRule="auto"/>
        <w:ind w:left="418" w:right="1609" w:firstLine="419"/>
      </w:pPr>
      <w:r>
        <w:rPr>
          <w:color w:val="333333"/>
        </w:rPr>
        <w:t>甲、乙、丙类液体储罐（区）宜布置在地势较低的地带。当布置在地势较高的地带时，应采取安全防护设施。</w:t>
      </w:r>
      <w:r>
        <w:rPr>
          <w:color w:val="333333"/>
        </w:rPr>
        <w:t xml:space="preserve"> </w:t>
      </w:r>
    </w:p>
    <w:p w14:paraId="721C7C1E" w14:textId="77777777" w:rsidR="00A71EEF" w:rsidRDefault="0081115D">
      <w:pPr>
        <w:pStyle w:val="a3"/>
        <w:spacing w:line="446" w:lineRule="auto"/>
        <w:ind w:left="840" w:right="2345" w:hanging="3"/>
        <w:rPr>
          <w:b/>
        </w:rPr>
      </w:pPr>
      <w:r>
        <w:rPr>
          <w:color w:val="333333"/>
        </w:rPr>
        <w:t>液化石油气储罐（区）宜布置在地势平坦、开阔等不易积存液化石油气的地带。</w:t>
      </w:r>
      <w:r>
        <w:rPr>
          <w:b/>
          <w:color w:val="333333"/>
        </w:rPr>
        <w:t xml:space="preserve">4.1.2 </w:t>
      </w:r>
      <w:r>
        <w:rPr>
          <w:color w:val="333333"/>
        </w:rPr>
        <w:t>桶装、瓶装甲类液体不应露天存放。</w:t>
      </w:r>
      <w:r>
        <w:rPr>
          <w:b/>
          <w:color w:val="333333"/>
          <w:w w:val="99"/>
        </w:rPr>
        <w:t xml:space="preserve"> </w:t>
      </w:r>
    </w:p>
    <w:p w14:paraId="49D26D47" w14:textId="77777777" w:rsidR="00A71EEF" w:rsidRDefault="0081115D">
      <w:pPr>
        <w:pStyle w:val="a4"/>
        <w:numPr>
          <w:ilvl w:val="2"/>
          <w:numId w:val="737"/>
        </w:numPr>
        <w:tabs>
          <w:tab w:val="left" w:pos="1370"/>
        </w:tabs>
        <w:ind w:hanging="530"/>
        <w:rPr>
          <w:b/>
          <w:sz w:val="21"/>
        </w:rPr>
      </w:pPr>
      <w:r>
        <w:rPr>
          <w:color w:val="333333"/>
          <w:spacing w:val="-6"/>
          <w:sz w:val="21"/>
        </w:rPr>
        <w:t>液化石油气储罐组或储罐区的四周应设置高度不小于</w:t>
      </w:r>
      <w:r>
        <w:rPr>
          <w:color w:val="333333"/>
          <w:spacing w:val="-6"/>
          <w:sz w:val="21"/>
        </w:rPr>
        <w:t xml:space="preserve"> </w:t>
      </w:r>
      <w:r>
        <w:rPr>
          <w:color w:val="333333"/>
          <w:sz w:val="21"/>
        </w:rPr>
        <w:t>1.0m</w:t>
      </w:r>
      <w:r>
        <w:rPr>
          <w:color w:val="333333"/>
          <w:spacing w:val="-3"/>
          <w:sz w:val="21"/>
        </w:rPr>
        <w:t xml:space="preserve"> </w:t>
      </w:r>
      <w:r>
        <w:rPr>
          <w:color w:val="333333"/>
          <w:spacing w:val="-3"/>
          <w:sz w:val="21"/>
        </w:rPr>
        <w:t>的不燃性实体防护墙。</w:t>
      </w:r>
      <w:r>
        <w:rPr>
          <w:b/>
          <w:color w:val="333333"/>
          <w:w w:val="99"/>
          <w:sz w:val="21"/>
        </w:rPr>
        <w:t xml:space="preserve"> </w:t>
      </w:r>
    </w:p>
    <w:p w14:paraId="28B729AA" w14:textId="77777777" w:rsidR="00A71EEF" w:rsidRDefault="00A71EEF">
      <w:pPr>
        <w:pStyle w:val="a3"/>
        <w:spacing w:before="9"/>
        <w:rPr>
          <w:b/>
          <w:sz w:val="17"/>
        </w:rPr>
      </w:pPr>
    </w:p>
    <w:p w14:paraId="15C635AD" w14:textId="77777777" w:rsidR="00A71EEF" w:rsidRDefault="0081115D">
      <w:pPr>
        <w:pStyle w:val="a4"/>
        <w:numPr>
          <w:ilvl w:val="2"/>
          <w:numId w:val="737"/>
        </w:numPr>
        <w:tabs>
          <w:tab w:val="left" w:pos="1371"/>
        </w:tabs>
        <w:spacing w:before="1" w:line="446" w:lineRule="auto"/>
        <w:ind w:left="418" w:right="1604" w:firstLine="422"/>
        <w:rPr>
          <w:sz w:val="21"/>
        </w:rPr>
      </w:pPr>
      <w:r>
        <w:rPr>
          <w:color w:val="333333"/>
          <w:spacing w:val="-3"/>
          <w:sz w:val="21"/>
        </w:rPr>
        <w:t>甲、乙、丙类液体储罐区，液化石</w:t>
      </w:r>
      <w:r>
        <w:rPr>
          <w:color w:val="333333"/>
          <w:spacing w:val="-3"/>
          <w:sz w:val="21"/>
        </w:rPr>
        <w:t>油气储罐区，可燃、助燃气体储罐区和可燃材料堆场，应与装卸区、辅助生产区及办公区分开布置。</w:t>
      </w:r>
      <w:r>
        <w:rPr>
          <w:color w:val="333333"/>
          <w:spacing w:val="-3"/>
          <w:sz w:val="21"/>
        </w:rPr>
        <w:t xml:space="preserve"> </w:t>
      </w:r>
    </w:p>
    <w:p w14:paraId="7005FC4C" w14:textId="77777777" w:rsidR="00A71EEF" w:rsidRDefault="00A71EEF">
      <w:pPr>
        <w:spacing w:line="446" w:lineRule="auto"/>
        <w:rPr>
          <w:sz w:val="21"/>
        </w:rPr>
        <w:sectPr w:rsidR="00A71EEF">
          <w:pgSz w:w="11910" w:h="16850"/>
          <w:pgMar w:top="1200" w:right="0" w:bottom="1420" w:left="1260" w:header="0" w:footer="1239" w:gutter="0"/>
          <w:cols w:space="720"/>
        </w:sectPr>
      </w:pPr>
    </w:p>
    <w:p w14:paraId="30ACD045" w14:textId="77777777" w:rsidR="00A71EEF" w:rsidRDefault="0081115D">
      <w:pPr>
        <w:pStyle w:val="a4"/>
        <w:numPr>
          <w:ilvl w:val="2"/>
          <w:numId w:val="737"/>
        </w:numPr>
        <w:tabs>
          <w:tab w:val="left" w:pos="1371"/>
        </w:tabs>
        <w:spacing w:before="47" w:line="446" w:lineRule="auto"/>
        <w:ind w:left="418" w:right="1604" w:firstLine="422"/>
        <w:rPr>
          <w:sz w:val="21"/>
        </w:rPr>
      </w:pPr>
      <w:r>
        <w:rPr>
          <w:color w:val="333333"/>
          <w:spacing w:val="-3"/>
          <w:sz w:val="21"/>
        </w:rPr>
        <w:lastRenderedPageBreak/>
        <w:t>甲、乙、丙类液体储罐，液化石油气储罐，可燃、助燃气体储罐和可燃材料堆垛，</w:t>
      </w:r>
      <w:r>
        <w:rPr>
          <w:color w:val="333333"/>
          <w:spacing w:val="-3"/>
          <w:sz w:val="21"/>
        </w:rPr>
        <w:t xml:space="preserve"> </w:t>
      </w:r>
      <w:r>
        <w:rPr>
          <w:color w:val="333333"/>
          <w:spacing w:val="-6"/>
          <w:sz w:val="21"/>
        </w:rPr>
        <w:t>与架空电力线的最近水平距离应符合本规范第</w:t>
      </w:r>
      <w:r>
        <w:rPr>
          <w:color w:val="333333"/>
          <w:spacing w:val="-6"/>
          <w:sz w:val="21"/>
        </w:rPr>
        <w:t xml:space="preserve"> </w:t>
      </w:r>
      <w:r>
        <w:rPr>
          <w:color w:val="333333"/>
          <w:sz w:val="21"/>
        </w:rPr>
        <w:t>10.2.1</w:t>
      </w:r>
      <w:r>
        <w:rPr>
          <w:color w:val="333333"/>
          <w:spacing w:val="-3"/>
          <w:sz w:val="21"/>
        </w:rPr>
        <w:t xml:space="preserve"> </w:t>
      </w:r>
      <w:r>
        <w:rPr>
          <w:color w:val="333333"/>
          <w:spacing w:val="-3"/>
          <w:sz w:val="21"/>
        </w:rPr>
        <w:t>条的规定。</w:t>
      </w:r>
      <w:r>
        <w:rPr>
          <w:color w:val="333333"/>
          <w:sz w:val="21"/>
        </w:rPr>
        <w:t xml:space="preserve"> </w:t>
      </w:r>
    </w:p>
    <w:p w14:paraId="70BEA6D4" w14:textId="77777777" w:rsidR="00A71EEF" w:rsidRDefault="0081115D">
      <w:pPr>
        <w:pStyle w:val="a4"/>
        <w:numPr>
          <w:ilvl w:val="1"/>
          <w:numId w:val="738"/>
        </w:numPr>
        <w:tabs>
          <w:tab w:val="left" w:pos="1159"/>
        </w:tabs>
        <w:spacing w:line="267" w:lineRule="exact"/>
        <w:ind w:hanging="319"/>
        <w:rPr>
          <w:sz w:val="21"/>
        </w:rPr>
      </w:pPr>
      <w:r>
        <w:rPr>
          <w:spacing w:val="-3"/>
          <w:sz w:val="21"/>
        </w:rPr>
        <w:t>甲、乙、丙类液体储罐</w:t>
      </w:r>
      <w:r>
        <w:rPr>
          <w:sz w:val="21"/>
        </w:rPr>
        <w:t>（</w:t>
      </w:r>
      <w:r>
        <w:rPr>
          <w:spacing w:val="-3"/>
          <w:sz w:val="21"/>
        </w:rPr>
        <w:t>区</w:t>
      </w:r>
      <w:r>
        <w:rPr>
          <w:sz w:val="21"/>
        </w:rPr>
        <w:t>）</w:t>
      </w:r>
      <w:r>
        <w:rPr>
          <w:spacing w:val="-3"/>
          <w:sz w:val="21"/>
        </w:rPr>
        <w:t>的防火间距</w:t>
      </w:r>
      <w:r>
        <w:rPr>
          <w:sz w:val="21"/>
        </w:rPr>
        <w:t xml:space="preserve"> </w:t>
      </w:r>
    </w:p>
    <w:p w14:paraId="5D1302F5" w14:textId="77777777" w:rsidR="00A71EEF" w:rsidRDefault="00A71EEF">
      <w:pPr>
        <w:pStyle w:val="a3"/>
        <w:spacing w:before="2"/>
        <w:rPr>
          <w:sz w:val="18"/>
        </w:rPr>
      </w:pPr>
    </w:p>
    <w:p w14:paraId="3D65593B" w14:textId="77777777" w:rsidR="00A71EEF" w:rsidRDefault="0081115D">
      <w:pPr>
        <w:pStyle w:val="a4"/>
        <w:numPr>
          <w:ilvl w:val="2"/>
          <w:numId w:val="738"/>
        </w:numPr>
        <w:tabs>
          <w:tab w:val="left" w:pos="1370"/>
        </w:tabs>
        <w:spacing w:line="446" w:lineRule="auto"/>
        <w:ind w:right="1604" w:firstLine="422"/>
        <w:rPr>
          <w:sz w:val="21"/>
        </w:rPr>
      </w:pPr>
      <w:r>
        <w:rPr>
          <w:color w:val="333333"/>
          <w:spacing w:val="-3"/>
          <w:sz w:val="21"/>
        </w:rPr>
        <w:t>甲、乙、丙类液体储罐（</w:t>
      </w:r>
      <w:r>
        <w:rPr>
          <w:color w:val="333333"/>
          <w:sz w:val="21"/>
        </w:rPr>
        <w:t>区</w:t>
      </w:r>
      <w:r>
        <w:rPr>
          <w:color w:val="333333"/>
          <w:spacing w:val="-3"/>
          <w:sz w:val="21"/>
        </w:rPr>
        <w:t>）和乙、丙类液体桶装堆场与其他建筑的防火间距，不</w:t>
      </w:r>
      <w:r>
        <w:rPr>
          <w:color w:val="333333"/>
          <w:spacing w:val="-13"/>
          <w:sz w:val="21"/>
        </w:rPr>
        <w:t>应小于表</w:t>
      </w:r>
      <w:r>
        <w:rPr>
          <w:color w:val="333333"/>
          <w:spacing w:val="-13"/>
          <w:sz w:val="21"/>
        </w:rPr>
        <w:t xml:space="preserve"> </w:t>
      </w:r>
      <w:r>
        <w:rPr>
          <w:color w:val="333333"/>
          <w:sz w:val="21"/>
        </w:rPr>
        <w:t>4.2.1</w:t>
      </w:r>
      <w:r>
        <w:rPr>
          <w:color w:val="333333"/>
          <w:spacing w:val="-3"/>
          <w:sz w:val="21"/>
        </w:rPr>
        <w:t xml:space="preserve"> </w:t>
      </w:r>
      <w:r>
        <w:rPr>
          <w:color w:val="333333"/>
          <w:spacing w:val="-3"/>
          <w:sz w:val="21"/>
        </w:rPr>
        <w:t>的规定。</w:t>
      </w:r>
      <w:r>
        <w:rPr>
          <w:color w:val="333333"/>
          <w:spacing w:val="-3"/>
          <w:sz w:val="21"/>
        </w:rPr>
        <w:t xml:space="preserve"> </w:t>
      </w:r>
    </w:p>
    <w:p w14:paraId="741CF94F" w14:textId="77777777" w:rsidR="00A71EEF" w:rsidRDefault="0081115D">
      <w:pPr>
        <w:pStyle w:val="6"/>
        <w:spacing w:line="267" w:lineRule="exact"/>
        <w:ind w:left="840"/>
      </w:pPr>
      <w:r>
        <w:t>表</w:t>
      </w:r>
      <w:r>
        <w:t xml:space="preserve"> 4.2.1 </w:t>
      </w:r>
      <w:r>
        <w:t>甲、乙、丙类液体储罐（区），乙、丙类液体桶装堆场与其他建筑的防火间距</w:t>
      </w:r>
    </w:p>
    <w:p w14:paraId="1695337A" w14:textId="77777777" w:rsidR="00A71EEF" w:rsidRDefault="00A71EEF">
      <w:pPr>
        <w:pStyle w:val="a3"/>
        <w:spacing w:before="2"/>
        <w:rPr>
          <w:b/>
          <w:sz w:val="18"/>
        </w:rPr>
      </w:pPr>
    </w:p>
    <w:p w14:paraId="74E498D2" w14:textId="77777777" w:rsidR="00A71EEF" w:rsidRDefault="0081115D">
      <w:pPr>
        <w:ind w:left="418"/>
        <w:rPr>
          <w:b/>
          <w:sz w:val="21"/>
        </w:rPr>
      </w:pPr>
      <w:r>
        <w:rPr>
          <w:b/>
          <w:sz w:val="21"/>
        </w:rPr>
        <w:t>（</w:t>
      </w:r>
      <w:r>
        <w:rPr>
          <w:b/>
          <w:sz w:val="21"/>
        </w:rPr>
        <w:t>m</w:t>
      </w:r>
      <w:r>
        <w:rPr>
          <w:b/>
          <w:sz w:val="21"/>
        </w:rPr>
        <w:t>）</w:t>
      </w:r>
      <w:r>
        <w:rPr>
          <w:b/>
          <w:w w:val="99"/>
          <w:sz w:val="21"/>
        </w:rPr>
        <w:t xml:space="preserve"> </w:t>
      </w:r>
    </w:p>
    <w:p w14:paraId="00C7B7C3" w14:textId="77777777" w:rsidR="00A71EEF" w:rsidRDefault="0081115D">
      <w:pPr>
        <w:pStyle w:val="a3"/>
        <w:spacing w:before="1"/>
        <w:rPr>
          <w:b/>
          <w:sz w:val="14"/>
        </w:rPr>
      </w:pPr>
      <w:r>
        <w:rPr>
          <w:noProof/>
        </w:rPr>
        <w:drawing>
          <wp:anchor distT="0" distB="0" distL="0" distR="0" simplePos="0" relativeHeight="251523584" behindDoc="0" locked="0" layoutInCell="1" allowOverlap="1" wp14:anchorId="2D32E6BD" wp14:editId="14CA993C">
            <wp:simplePos x="0" y="0"/>
            <wp:positionH relativeFrom="page">
              <wp:posOffset>1179830</wp:posOffset>
            </wp:positionH>
            <wp:positionV relativeFrom="paragraph">
              <wp:posOffset>139422</wp:posOffset>
            </wp:positionV>
            <wp:extent cx="5262853" cy="3581400"/>
            <wp:effectExtent l="0" t="0" r="0" b="0"/>
            <wp:wrapTopAndBottom/>
            <wp:docPr id="177" name="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116.jpeg"/>
                    <pic:cNvPicPr/>
                  </pic:nvPicPr>
                  <pic:blipFill>
                    <a:blip r:embed="rId114" cstate="print"/>
                    <a:stretch>
                      <a:fillRect/>
                    </a:stretch>
                  </pic:blipFill>
                  <pic:spPr>
                    <a:xfrm>
                      <a:off x="0" y="0"/>
                      <a:ext cx="5262853" cy="3581400"/>
                    </a:xfrm>
                    <a:prstGeom prst="rect">
                      <a:avLst/>
                    </a:prstGeom>
                  </pic:spPr>
                </pic:pic>
              </a:graphicData>
            </a:graphic>
          </wp:anchor>
        </w:drawing>
      </w:r>
    </w:p>
    <w:p w14:paraId="08E176E8" w14:textId="77777777" w:rsidR="00A71EEF" w:rsidRDefault="00A71EEF">
      <w:pPr>
        <w:pStyle w:val="a3"/>
        <w:spacing w:before="2"/>
        <w:rPr>
          <w:b/>
          <w:sz w:val="15"/>
        </w:rPr>
      </w:pPr>
    </w:p>
    <w:p w14:paraId="4C9B4533" w14:textId="77777777" w:rsidR="00A71EEF" w:rsidRDefault="0081115D">
      <w:pPr>
        <w:pStyle w:val="a3"/>
        <w:ind w:left="838"/>
      </w:pPr>
      <w:r>
        <w:rPr>
          <w:color w:val="333333"/>
        </w:rPr>
        <w:t>注：</w:t>
      </w:r>
      <w:r>
        <w:rPr>
          <w:color w:val="333333"/>
        </w:rPr>
        <w:t xml:space="preserve">1. </w:t>
      </w:r>
      <w:r>
        <w:rPr>
          <w:color w:val="333333"/>
        </w:rPr>
        <w:t>当甲、乙类液体储罐和丙类液体储罐布置在同一储罐区时，罐区的总容量可按</w:t>
      </w:r>
    </w:p>
    <w:p w14:paraId="7BBA8D3A" w14:textId="77777777" w:rsidR="00A71EEF" w:rsidRDefault="00A71EEF">
      <w:pPr>
        <w:pStyle w:val="a3"/>
        <w:spacing w:before="2"/>
        <w:rPr>
          <w:sz w:val="17"/>
        </w:rPr>
      </w:pPr>
    </w:p>
    <w:p w14:paraId="3EC8EE8B" w14:textId="77777777" w:rsidR="00A71EEF" w:rsidRDefault="0081115D">
      <w:pPr>
        <w:pStyle w:val="a3"/>
        <w:spacing w:before="1"/>
        <w:ind w:left="418"/>
      </w:pPr>
      <w:r>
        <w:rPr>
          <w:color w:val="333333"/>
        </w:rPr>
        <w:t>1m</w:t>
      </w:r>
      <w:r>
        <w:rPr>
          <w:color w:val="333333"/>
          <w:position w:val="11"/>
          <w:sz w:val="11"/>
        </w:rPr>
        <w:t xml:space="preserve">3 </w:t>
      </w:r>
      <w:r>
        <w:rPr>
          <w:color w:val="333333"/>
        </w:rPr>
        <w:t>甲、乙类液体相当于</w:t>
      </w:r>
      <w:r>
        <w:rPr>
          <w:color w:val="333333"/>
        </w:rPr>
        <w:t xml:space="preserve"> 5m</w:t>
      </w:r>
      <w:r>
        <w:rPr>
          <w:color w:val="333333"/>
          <w:position w:val="11"/>
          <w:sz w:val="11"/>
        </w:rPr>
        <w:t xml:space="preserve">3 </w:t>
      </w:r>
      <w:r>
        <w:rPr>
          <w:color w:val="333333"/>
        </w:rPr>
        <w:t>丙类液体折算。</w:t>
      </w:r>
      <w:r>
        <w:rPr>
          <w:color w:val="333333"/>
        </w:rPr>
        <w:t xml:space="preserve"> </w:t>
      </w:r>
    </w:p>
    <w:p w14:paraId="3D7429BB" w14:textId="77777777" w:rsidR="00A71EEF" w:rsidRDefault="00A71EEF">
      <w:pPr>
        <w:pStyle w:val="a3"/>
        <w:spacing w:before="12"/>
        <w:rPr>
          <w:sz w:val="17"/>
        </w:rPr>
      </w:pPr>
    </w:p>
    <w:p w14:paraId="2C71BF9B" w14:textId="77777777" w:rsidR="00A71EEF" w:rsidRDefault="0081115D">
      <w:pPr>
        <w:pStyle w:val="a4"/>
        <w:numPr>
          <w:ilvl w:val="0"/>
          <w:numId w:val="736"/>
        </w:numPr>
        <w:tabs>
          <w:tab w:val="left" w:pos="1051"/>
        </w:tabs>
        <w:rPr>
          <w:sz w:val="21"/>
        </w:rPr>
      </w:pPr>
      <w:r>
        <w:rPr>
          <w:color w:val="333333"/>
          <w:spacing w:val="-6"/>
          <w:sz w:val="21"/>
        </w:rPr>
        <w:t>储罐防火堤外侧基脚线至相邻建筑的距离不应小于</w:t>
      </w:r>
      <w:r>
        <w:rPr>
          <w:color w:val="333333"/>
          <w:spacing w:val="-6"/>
          <w:sz w:val="21"/>
        </w:rPr>
        <w:t xml:space="preserve"> </w:t>
      </w:r>
      <w:r>
        <w:rPr>
          <w:color w:val="333333"/>
          <w:sz w:val="21"/>
        </w:rPr>
        <w:t>10m</w:t>
      </w:r>
      <w:r>
        <w:rPr>
          <w:color w:val="333333"/>
          <w:spacing w:val="-3"/>
          <w:sz w:val="21"/>
        </w:rPr>
        <w:t>。</w:t>
      </w:r>
      <w:r>
        <w:rPr>
          <w:color w:val="333333"/>
          <w:sz w:val="21"/>
        </w:rPr>
        <w:t xml:space="preserve"> </w:t>
      </w:r>
    </w:p>
    <w:p w14:paraId="22D05A87" w14:textId="77777777" w:rsidR="00A71EEF" w:rsidRDefault="00A71EEF">
      <w:pPr>
        <w:pStyle w:val="a3"/>
        <w:spacing w:before="2"/>
        <w:rPr>
          <w:sz w:val="18"/>
        </w:rPr>
      </w:pPr>
    </w:p>
    <w:p w14:paraId="2E2DAFE1" w14:textId="77777777" w:rsidR="00A71EEF" w:rsidRDefault="0081115D">
      <w:pPr>
        <w:pStyle w:val="a4"/>
        <w:numPr>
          <w:ilvl w:val="0"/>
          <w:numId w:val="736"/>
        </w:numPr>
        <w:tabs>
          <w:tab w:val="left" w:pos="1051"/>
        </w:tabs>
        <w:rPr>
          <w:sz w:val="21"/>
        </w:rPr>
      </w:pPr>
      <w:r>
        <w:rPr>
          <w:color w:val="333333"/>
          <w:spacing w:val="-3"/>
          <w:sz w:val="21"/>
        </w:rPr>
        <w:t>甲、乙、丙类液体的固定顶储罐区或半露天堆场，乙、丙类液体桶装堆场与甲类厂房</w:t>
      </w:r>
    </w:p>
    <w:p w14:paraId="29C1257A" w14:textId="77777777" w:rsidR="00A71EEF" w:rsidRDefault="00A71EEF">
      <w:pPr>
        <w:pStyle w:val="a3"/>
        <w:spacing w:before="12"/>
        <w:rPr>
          <w:sz w:val="17"/>
        </w:rPr>
      </w:pPr>
    </w:p>
    <w:p w14:paraId="71C791E2" w14:textId="77777777" w:rsidR="00A71EEF" w:rsidRDefault="0081115D">
      <w:pPr>
        <w:pStyle w:val="a3"/>
        <w:spacing w:line="446" w:lineRule="auto"/>
        <w:ind w:left="418" w:right="1450"/>
      </w:pPr>
      <w:r>
        <w:rPr>
          <w:color w:val="333333"/>
        </w:rPr>
        <w:t>（</w:t>
      </w:r>
      <w:r>
        <w:rPr>
          <w:color w:val="333333"/>
          <w:spacing w:val="-2"/>
        </w:rPr>
        <w:t>仓库</w:t>
      </w:r>
      <w:r>
        <w:rPr>
          <w:color w:val="333333"/>
        </w:rPr>
        <w:t>）</w:t>
      </w:r>
      <w:r>
        <w:rPr>
          <w:color w:val="333333"/>
          <w:spacing w:val="-4"/>
        </w:rPr>
        <w:t>、民用建筑的防火间距，应按本表的规定增加</w:t>
      </w:r>
      <w:r>
        <w:rPr>
          <w:color w:val="333333"/>
          <w:spacing w:val="-4"/>
        </w:rPr>
        <w:t xml:space="preserve"> </w:t>
      </w:r>
      <w:r>
        <w:rPr>
          <w:color w:val="333333"/>
        </w:rPr>
        <w:t>25</w:t>
      </w:r>
      <w:r>
        <w:rPr>
          <w:color w:val="333333"/>
          <w:spacing w:val="-3"/>
        </w:rPr>
        <w:t>%</w:t>
      </w:r>
      <w:r>
        <w:rPr>
          <w:color w:val="333333"/>
          <w:spacing w:val="-3"/>
        </w:rPr>
        <w:t>，且甲、乙类液体的固定顶储罐区或半露天堆场，乙、丙类液体桶装堆场与甲类厂房（</w:t>
      </w:r>
      <w:r>
        <w:rPr>
          <w:color w:val="333333"/>
        </w:rPr>
        <w:t>仓库</w:t>
      </w:r>
      <w:r>
        <w:rPr>
          <w:color w:val="333333"/>
          <w:spacing w:val="-3"/>
        </w:rPr>
        <w:t>）、裙房、单、多层民用建筑的防火间</w:t>
      </w:r>
      <w:r>
        <w:rPr>
          <w:color w:val="333333"/>
          <w:spacing w:val="-3"/>
        </w:rPr>
        <w:t xml:space="preserve"> </w:t>
      </w:r>
      <w:r>
        <w:rPr>
          <w:color w:val="333333"/>
          <w:spacing w:val="-6"/>
        </w:rPr>
        <w:t>距不应小于</w:t>
      </w:r>
      <w:r>
        <w:rPr>
          <w:color w:val="333333"/>
          <w:spacing w:val="-6"/>
        </w:rPr>
        <w:t xml:space="preserve"> </w:t>
      </w:r>
      <w:r>
        <w:rPr>
          <w:color w:val="333333"/>
        </w:rPr>
        <w:t>25m</w:t>
      </w:r>
      <w:r>
        <w:rPr>
          <w:color w:val="333333"/>
          <w:spacing w:val="-3"/>
        </w:rPr>
        <w:t>，与明火或散发火花地点的防火间距应按本表有关四级耐火等级建筑物的规定增</w:t>
      </w:r>
      <w:r>
        <w:rPr>
          <w:color w:val="333333"/>
          <w:spacing w:val="-28"/>
        </w:rPr>
        <w:t>加</w:t>
      </w:r>
      <w:r>
        <w:rPr>
          <w:color w:val="333333"/>
          <w:spacing w:val="-28"/>
        </w:rPr>
        <w:t xml:space="preserve"> </w:t>
      </w:r>
      <w:r>
        <w:rPr>
          <w:color w:val="333333"/>
        </w:rPr>
        <w:t>25</w:t>
      </w:r>
      <w:r>
        <w:rPr>
          <w:color w:val="333333"/>
          <w:spacing w:val="-2"/>
        </w:rPr>
        <w:t>%</w:t>
      </w:r>
      <w:r>
        <w:rPr>
          <w:color w:val="333333"/>
          <w:spacing w:val="-2"/>
        </w:rPr>
        <w:t>。</w:t>
      </w:r>
      <w:r>
        <w:rPr>
          <w:color w:val="333333"/>
        </w:rPr>
        <w:t xml:space="preserve"> </w:t>
      </w:r>
    </w:p>
    <w:p w14:paraId="10347FC5" w14:textId="77777777" w:rsidR="00A71EEF" w:rsidRDefault="0081115D">
      <w:pPr>
        <w:pStyle w:val="a4"/>
        <w:numPr>
          <w:ilvl w:val="0"/>
          <w:numId w:val="736"/>
        </w:numPr>
        <w:tabs>
          <w:tab w:val="left" w:pos="1051"/>
        </w:tabs>
        <w:spacing w:line="267" w:lineRule="exact"/>
        <w:rPr>
          <w:sz w:val="21"/>
        </w:rPr>
      </w:pPr>
      <w:r>
        <w:rPr>
          <w:color w:val="333333"/>
          <w:spacing w:val="-8"/>
          <w:sz w:val="21"/>
        </w:rPr>
        <w:t>浮顶储罐区或闪点大于</w:t>
      </w:r>
      <w:r>
        <w:rPr>
          <w:color w:val="333333"/>
          <w:spacing w:val="-8"/>
          <w:sz w:val="21"/>
        </w:rPr>
        <w:t xml:space="preserve"> </w:t>
      </w:r>
      <w:r>
        <w:rPr>
          <w:color w:val="333333"/>
          <w:sz w:val="21"/>
        </w:rPr>
        <w:t>120</w:t>
      </w:r>
      <w:r>
        <w:rPr>
          <w:color w:val="333333"/>
          <w:spacing w:val="-3"/>
          <w:sz w:val="21"/>
        </w:rPr>
        <w:t>℃</w:t>
      </w:r>
      <w:r>
        <w:rPr>
          <w:color w:val="333333"/>
          <w:spacing w:val="-3"/>
          <w:sz w:val="21"/>
        </w:rPr>
        <w:t>的液体储罐区与其他建筑的防火间距，可按本表的规定减</w:t>
      </w:r>
    </w:p>
    <w:p w14:paraId="49165500" w14:textId="77777777" w:rsidR="00A71EEF" w:rsidRDefault="00A71EEF">
      <w:pPr>
        <w:spacing w:line="267" w:lineRule="exact"/>
        <w:rPr>
          <w:sz w:val="21"/>
        </w:rPr>
        <w:sectPr w:rsidR="00A71EEF">
          <w:pgSz w:w="11910" w:h="16850"/>
          <w:pgMar w:top="1220" w:right="0" w:bottom="1420" w:left="1260" w:header="0" w:footer="1239" w:gutter="0"/>
          <w:cols w:space="720"/>
        </w:sectPr>
      </w:pPr>
    </w:p>
    <w:p w14:paraId="78C7AFD2" w14:textId="77777777" w:rsidR="00A71EEF" w:rsidRDefault="0081115D">
      <w:pPr>
        <w:pStyle w:val="a3"/>
        <w:spacing w:before="47"/>
        <w:ind w:left="418"/>
      </w:pPr>
      <w:r>
        <w:rPr>
          <w:color w:val="333333"/>
        </w:rPr>
        <w:lastRenderedPageBreak/>
        <w:t>少</w:t>
      </w:r>
      <w:r>
        <w:rPr>
          <w:color w:val="333333"/>
        </w:rPr>
        <w:t xml:space="preserve"> 25%</w:t>
      </w:r>
      <w:r>
        <w:rPr>
          <w:color w:val="333333"/>
        </w:rPr>
        <w:t>。</w:t>
      </w:r>
      <w:r>
        <w:rPr>
          <w:color w:val="333333"/>
        </w:rPr>
        <w:t xml:space="preserve"> </w:t>
      </w:r>
    </w:p>
    <w:p w14:paraId="1FB10ECA" w14:textId="77777777" w:rsidR="00A71EEF" w:rsidRDefault="00A71EEF">
      <w:pPr>
        <w:pStyle w:val="a3"/>
        <w:rPr>
          <w:sz w:val="18"/>
        </w:rPr>
      </w:pPr>
    </w:p>
    <w:p w14:paraId="66912CD4" w14:textId="77777777" w:rsidR="00A71EEF" w:rsidRDefault="0081115D">
      <w:pPr>
        <w:pStyle w:val="a4"/>
        <w:numPr>
          <w:ilvl w:val="0"/>
          <w:numId w:val="736"/>
        </w:numPr>
        <w:tabs>
          <w:tab w:val="left" w:pos="1051"/>
        </w:tabs>
        <w:spacing w:line="446" w:lineRule="auto"/>
        <w:ind w:left="418" w:right="1505" w:firstLine="419"/>
        <w:rPr>
          <w:sz w:val="21"/>
        </w:rPr>
      </w:pPr>
      <w:r>
        <w:rPr>
          <w:color w:val="333333"/>
          <w:spacing w:val="-3"/>
          <w:sz w:val="21"/>
        </w:rPr>
        <w:t>当数个储罐区布置在同一库区内时，储罐区之间的防火间距不应小于本表相应容量的储罐区与四级耐火等级建筑物防火间距的较大值。</w:t>
      </w:r>
      <w:r>
        <w:rPr>
          <w:color w:val="333333"/>
          <w:sz w:val="21"/>
        </w:rPr>
        <w:t xml:space="preserve"> </w:t>
      </w:r>
    </w:p>
    <w:p w14:paraId="6A71ABDC" w14:textId="77777777" w:rsidR="00A71EEF" w:rsidRDefault="0081115D">
      <w:pPr>
        <w:pStyle w:val="a4"/>
        <w:numPr>
          <w:ilvl w:val="0"/>
          <w:numId w:val="736"/>
        </w:numPr>
        <w:tabs>
          <w:tab w:val="left" w:pos="1051"/>
        </w:tabs>
        <w:spacing w:line="269" w:lineRule="exact"/>
        <w:rPr>
          <w:sz w:val="21"/>
        </w:rPr>
      </w:pPr>
      <w:r>
        <w:rPr>
          <w:color w:val="333333"/>
          <w:spacing w:val="-5"/>
          <w:sz w:val="21"/>
        </w:rPr>
        <w:t>直埋地下的甲、乙、丙类液体卧式罐，当单罐容量不大于</w:t>
      </w:r>
      <w:r>
        <w:rPr>
          <w:color w:val="333333"/>
          <w:spacing w:val="-5"/>
          <w:sz w:val="21"/>
        </w:rPr>
        <w:t xml:space="preserve"> </w:t>
      </w:r>
      <w:r>
        <w:rPr>
          <w:color w:val="333333"/>
          <w:sz w:val="21"/>
        </w:rPr>
        <w:t>50m</w:t>
      </w:r>
      <w:r>
        <w:rPr>
          <w:color w:val="333333"/>
          <w:position w:val="11"/>
          <w:sz w:val="11"/>
        </w:rPr>
        <w:t>3</w:t>
      </w:r>
      <w:r>
        <w:rPr>
          <w:color w:val="333333"/>
          <w:spacing w:val="-2"/>
          <w:sz w:val="21"/>
        </w:rPr>
        <w:t>，总容量不大于</w:t>
      </w:r>
    </w:p>
    <w:p w14:paraId="25DB17E0" w14:textId="77777777" w:rsidR="00A71EEF" w:rsidRDefault="00A71EEF">
      <w:pPr>
        <w:pStyle w:val="a3"/>
        <w:spacing w:before="2"/>
        <w:rPr>
          <w:sz w:val="17"/>
        </w:rPr>
      </w:pPr>
    </w:p>
    <w:p w14:paraId="612FB700" w14:textId="77777777" w:rsidR="00A71EEF" w:rsidRDefault="0081115D">
      <w:pPr>
        <w:pStyle w:val="a3"/>
        <w:spacing w:before="1"/>
        <w:ind w:left="418"/>
      </w:pPr>
      <w:r>
        <w:rPr>
          <w:color w:val="333333"/>
        </w:rPr>
        <w:t>200m</w:t>
      </w:r>
      <w:r>
        <w:rPr>
          <w:color w:val="333333"/>
          <w:position w:val="11"/>
          <w:sz w:val="11"/>
        </w:rPr>
        <w:t>3</w:t>
      </w:r>
      <w:r>
        <w:rPr>
          <w:color w:val="333333"/>
          <w:sz w:val="11"/>
        </w:rPr>
        <w:t xml:space="preserve"> </w:t>
      </w:r>
      <w:r>
        <w:rPr>
          <w:color w:val="333333"/>
          <w:spacing w:val="-6"/>
        </w:rPr>
        <w:t>时，与建筑物的防火间距可按本表规定减少</w:t>
      </w:r>
      <w:r>
        <w:rPr>
          <w:color w:val="333333"/>
          <w:spacing w:val="-6"/>
        </w:rPr>
        <w:t xml:space="preserve"> </w:t>
      </w:r>
      <w:r>
        <w:rPr>
          <w:color w:val="333333"/>
        </w:rPr>
        <w:t>50%</w:t>
      </w:r>
      <w:r>
        <w:rPr>
          <w:color w:val="333333"/>
          <w:spacing w:val="-3"/>
        </w:rPr>
        <w:t>。</w:t>
      </w:r>
      <w:r>
        <w:rPr>
          <w:color w:val="333333"/>
        </w:rPr>
        <w:t xml:space="preserve"> </w:t>
      </w:r>
    </w:p>
    <w:p w14:paraId="7E8C77E7" w14:textId="77777777" w:rsidR="00A71EEF" w:rsidRDefault="00A71EEF">
      <w:pPr>
        <w:pStyle w:val="a3"/>
        <w:spacing w:before="12"/>
        <w:rPr>
          <w:sz w:val="17"/>
        </w:rPr>
      </w:pPr>
    </w:p>
    <w:p w14:paraId="6DE0D140" w14:textId="77777777" w:rsidR="00A71EEF" w:rsidRDefault="0081115D">
      <w:pPr>
        <w:pStyle w:val="a4"/>
        <w:numPr>
          <w:ilvl w:val="0"/>
          <w:numId w:val="736"/>
        </w:numPr>
        <w:tabs>
          <w:tab w:val="left" w:pos="1051"/>
        </w:tabs>
        <w:spacing w:line="446" w:lineRule="auto"/>
        <w:ind w:left="418" w:right="1507" w:firstLine="419"/>
        <w:rPr>
          <w:sz w:val="21"/>
        </w:rPr>
      </w:pPr>
      <w:r>
        <w:rPr>
          <w:color w:val="333333"/>
          <w:spacing w:val="-6"/>
          <w:sz w:val="21"/>
        </w:rPr>
        <w:t>室外变、配电站指电力系统电压为</w:t>
      </w:r>
      <w:r>
        <w:rPr>
          <w:color w:val="333333"/>
          <w:spacing w:val="-6"/>
          <w:sz w:val="21"/>
        </w:rPr>
        <w:t xml:space="preserve"> </w:t>
      </w:r>
      <w:r>
        <w:rPr>
          <w:color w:val="333333"/>
          <w:sz w:val="21"/>
        </w:rPr>
        <w:t>35kV</w:t>
      </w:r>
      <w:r>
        <w:rPr>
          <w:color w:val="333333"/>
          <w:sz w:val="21"/>
        </w:rPr>
        <w:t>～</w:t>
      </w:r>
      <w:r>
        <w:rPr>
          <w:color w:val="333333"/>
          <w:sz w:val="21"/>
        </w:rPr>
        <w:t>500kV</w:t>
      </w:r>
      <w:r>
        <w:rPr>
          <w:color w:val="333333"/>
          <w:spacing w:val="-7"/>
          <w:sz w:val="21"/>
        </w:rPr>
        <w:t xml:space="preserve"> </w:t>
      </w:r>
      <w:r>
        <w:rPr>
          <w:color w:val="333333"/>
          <w:spacing w:val="-7"/>
          <w:sz w:val="21"/>
        </w:rPr>
        <w:t>且每台变压器容量不小于</w:t>
      </w:r>
      <w:r>
        <w:rPr>
          <w:color w:val="333333"/>
          <w:spacing w:val="-7"/>
          <w:sz w:val="21"/>
        </w:rPr>
        <w:t xml:space="preserve"> </w:t>
      </w:r>
      <w:r>
        <w:rPr>
          <w:color w:val="333333"/>
          <w:sz w:val="21"/>
        </w:rPr>
        <w:t xml:space="preserve">10MVA </w:t>
      </w:r>
      <w:r>
        <w:rPr>
          <w:color w:val="333333"/>
          <w:sz w:val="21"/>
        </w:rPr>
        <w:t>的室外</w:t>
      </w:r>
      <w:r>
        <w:rPr>
          <w:color w:val="333333"/>
          <w:spacing w:val="-6"/>
          <w:sz w:val="21"/>
        </w:rPr>
        <w:t>变、配电站和工业企业的变压器总油量大于</w:t>
      </w:r>
      <w:r>
        <w:rPr>
          <w:color w:val="333333"/>
          <w:spacing w:val="-6"/>
          <w:sz w:val="21"/>
        </w:rPr>
        <w:t xml:space="preserve"> </w:t>
      </w:r>
      <w:r>
        <w:rPr>
          <w:color w:val="333333"/>
          <w:sz w:val="21"/>
        </w:rPr>
        <w:t>5t</w:t>
      </w:r>
      <w:r>
        <w:rPr>
          <w:color w:val="333333"/>
          <w:spacing w:val="-3"/>
          <w:sz w:val="21"/>
        </w:rPr>
        <w:t xml:space="preserve"> </w:t>
      </w:r>
      <w:r>
        <w:rPr>
          <w:color w:val="333333"/>
          <w:spacing w:val="-3"/>
          <w:sz w:val="21"/>
        </w:rPr>
        <w:t>的室外降压变电站。</w:t>
      </w:r>
      <w:r>
        <w:rPr>
          <w:color w:val="333333"/>
          <w:sz w:val="21"/>
        </w:rPr>
        <w:t xml:space="preserve"> </w:t>
      </w:r>
    </w:p>
    <w:p w14:paraId="64C879A9" w14:textId="77777777" w:rsidR="00A71EEF" w:rsidRDefault="0081115D">
      <w:pPr>
        <w:pStyle w:val="a4"/>
        <w:numPr>
          <w:ilvl w:val="2"/>
          <w:numId w:val="738"/>
        </w:numPr>
        <w:tabs>
          <w:tab w:val="left" w:pos="1371"/>
        </w:tabs>
        <w:ind w:left="1370"/>
        <w:rPr>
          <w:sz w:val="21"/>
        </w:rPr>
      </w:pPr>
      <w:r>
        <w:rPr>
          <w:color w:val="333333"/>
          <w:spacing w:val="-6"/>
          <w:sz w:val="21"/>
        </w:rPr>
        <w:t>甲、乙、丙类液体储罐之间的防火间距不应小于表</w:t>
      </w:r>
      <w:r>
        <w:rPr>
          <w:color w:val="333333"/>
          <w:spacing w:val="-6"/>
          <w:sz w:val="21"/>
        </w:rPr>
        <w:t xml:space="preserve"> </w:t>
      </w:r>
      <w:r>
        <w:rPr>
          <w:color w:val="333333"/>
          <w:sz w:val="21"/>
        </w:rPr>
        <w:t>4.2.2</w:t>
      </w:r>
      <w:r>
        <w:rPr>
          <w:color w:val="333333"/>
          <w:spacing w:val="-2"/>
          <w:sz w:val="21"/>
        </w:rPr>
        <w:t xml:space="preserve"> </w:t>
      </w:r>
      <w:r>
        <w:rPr>
          <w:color w:val="333333"/>
          <w:spacing w:val="-2"/>
          <w:sz w:val="21"/>
        </w:rPr>
        <w:t>的规定。</w:t>
      </w:r>
      <w:r>
        <w:rPr>
          <w:color w:val="333333"/>
          <w:spacing w:val="-2"/>
          <w:sz w:val="21"/>
        </w:rPr>
        <w:t xml:space="preserve"> </w:t>
      </w:r>
    </w:p>
    <w:p w14:paraId="79F03A82" w14:textId="77777777" w:rsidR="00A71EEF" w:rsidRDefault="00A71EEF">
      <w:pPr>
        <w:pStyle w:val="a3"/>
        <w:rPr>
          <w:sz w:val="18"/>
        </w:rPr>
      </w:pPr>
    </w:p>
    <w:p w14:paraId="10017F92" w14:textId="77777777" w:rsidR="00A71EEF" w:rsidRDefault="0081115D">
      <w:pPr>
        <w:pStyle w:val="6"/>
        <w:ind w:left="2518"/>
      </w:pPr>
      <w:r>
        <w:t>表</w:t>
      </w:r>
      <w:r>
        <w:t xml:space="preserve"> 4.2</w:t>
      </w:r>
      <w:r>
        <w:t xml:space="preserve">.2 </w:t>
      </w:r>
      <w:r>
        <w:t>甲、乙、丙类液体储罐之间的防火间距（</w:t>
      </w:r>
      <w:r>
        <w:t>m</w:t>
      </w:r>
      <w:r>
        <w:t>）</w:t>
      </w:r>
      <w:r>
        <w:rPr>
          <w:w w:val="99"/>
        </w:rPr>
        <w:t xml:space="preserve"> </w:t>
      </w:r>
    </w:p>
    <w:p w14:paraId="2487BEB6" w14:textId="77777777" w:rsidR="00A71EEF" w:rsidRDefault="0081115D">
      <w:pPr>
        <w:pStyle w:val="a3"/>
        <w:rPr>
          <w:b/>
          <w:sz w:val="18"/>
        </w:rPr>
      </w:pPr>
      <w:r>
        <w:rPr>
          <w:noProof/>
        </w:rPr>
        <w:drawing>
          <wp:anchor distT="0" distB="0" distL="0" distR="0" simplePos="0" relativeHeight="251524608" behindDoc="0" locked="0" layoutInCell="1" allowOverlap="1" wp14:anchorId="3B654B98" wp14:editId="3811D3EC">
            <wp:simplePos x="0" y="0"/>
            <wp:positionH relativeFrom="page">
              <wp:posOffset>1239519</wp:posOffset>
            </wp:positionH>
            <wp:positionV relativeFrom="paragraph">
              <wp:posOffset>171640</wp:posOffset>
            </wp:positionV>
            <wp:extent cx="5158906" cy="1400175"/>
            <wp:effectExtent l="0" t="0" r="0" b="0"/>
            <wp:wrapTopAndBottom/>
            <wp:docPr id="179" name="image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17.jpeg"/>
                    <pic:cNvPicPr/>
                  </pic:nvPicPr>
                  <pic:blipFill>
                    <a:blip r:embed="rId115" cstate="print"/>
                    <a:stretch>
                      <a:fillRect/>
                    </a:stretch>
                  </pic:blipFill>
                  <pic:spPr>
                    <a:xfrm>
                      <a:off x="0" y="0"/>
                      <a:ext cx="5158906" cy="1400175"/>
                    </a:xfrm>
                    <a:prstGeom prst="rect">
                      <a:avLst/>
                    </a:prstGeom>
                  </pic:spPr>
                </pic:pic>
              </a:graphicData>
            </a:graphic>
          </wp:anchor>
        </w:drawing>
      </w:r>
    </w:p>
    <w:p w14:paraId="06AC0837" w14:textId="77777777" w:rsidR="00A71EEF" w:rsidRDefault="0081115D">
      <w:pPr>
        <w:pStyle w:val="a3"/>
        <w:spacing w:before="167" w:line="446" w:lineRule="auto"/>
        <w:ind w:left="838" w:right="1508"/>
      </w:pPr>
      <w:r>
        <w:rPr>
          <w:color w:val="333333"/>
        </w:rPr>
        <w:t>注：</w:t>
      </w:r>
      <w:r>
        <w:rPr>
          <w:color w:val="333333"/>
        </w:rPr>
        <w:t xml:space="preserve">1. D </w:t>
      </w:r>
      <w:r>
        <w:rPr>
          <w:color w:val="333333"/>
        </w:rPr>
        <w:t>为相邻较大立式储罐的直径（</w:t>
      </w:r>
      <w:r>
        <w:rPr>
          <w:color w:val="333333"/>
        </w:rPr>
        <w:t>m</w:t>
      </w:r>
      <w:r>
        <w:rPr>
          <w:color w:val="333333"/>
        </w:rPr>
        <w:t>），矩形储罐的直径为长边与短边之和的一半。</w:t>
      </w:r>
      <w:r>
        <w:rPr>
          <w:color w:val="333333"/>
        </w:rPr>
        <w:t xml:space="preserve">2. </w:t>
      </w:r>
      <w:r>
        <w:rPr>
          <w:color w:val="333333"/>
        </w:rPr>
        <w:t>不同液体、不同形式储罐之间的防火间距不应小于本表规定的较大值。</w:t>
      </w:r>
      <w:r>
        <w:rPr>
          <w:color w:val="333333"/>
        </w:rPr>
        <w:t xml:space="preserve"> </w:t>
      </w:r>
    </w:p>
    <w:p w14:paraId="10C3CD05" w14:textId="77777777" w:rsidR="00A71EEF" w:rsidRDefault="0081115D">
      <w:pPr>
        <w:pStyle w:val="a4"/>
        <w:numPr>
          <w:ilvl w:val="0"/>
          <w:numId w:val="735"/>
        </w:numPr>
        <w:tabs>
          <w:tab w:val="left" w:pos="1051"/>
        </w:tabs>
        <w:rPr>
          <w:sz w:val="21"/>
        </w:rPr>
      </w:pPr>
      <w:r>
        <w:rPr>
          <w:color w:val="333333"/>
          <w:spacing w:val="-6"/>
          <w:sz w:val="21"/>
        </w:rPr>
        <w:t>两排卧式储罐之间的防火间距不应小于</w:t>
      </w:r>
      <w:r>
        <w:rPr>
          <w:color w:val="333333"/>
          <w:spacing w:val="-6"/>
          <w:sz w:val="21"/>
        </w:rPr>
        <w:t xml:space="preserve"> </w:t>
      </w:r>
      <w:r>
        <w:rPr>
          <w:color w:val="333333"/>
          <w:sz w:val="21"/>
        </w:rPr>
        <w:t>3m</w:t>
      </w:r>
      <w:r>
        <w:rPr>
          <w:color w:val="333333"/>
          <w:sz w:val="21"/>
        </w:rPr>
        <w:t>。</w:t>
      </w:r>
      <w:r>
        <w:rPr>
          <w:color w:val="333333"/>
          <w:sz w:val="21"/>
        </w:rPr>
        <w:t xml:space="preserve"> </w:t>
      </w:r>
    </w:p>
    <w:p w14:paraId="429D04A5" w14:textId="77777777" w:rsidR="00A71EEF" w:rsidRDefault="00A71EEF">
      <w:pPr>
        <w:pStyle w:val="a3"/>
        <w:spacing w:before="2"/>
        <w:rPr>
          <w:sz w:val="17"/>
        </w:rPr>
      </w:pPr>
    </w:p>
    <w:p w14:paraId="1CC800E4" w14:textId="77777777" w:rsidR="00A71EEF" w:rsidRDefault="0081115D">
      <w:pPr>
        <w:pStyle w:val="a4"/>
        <w:numPr>
          <w:ilvl w:val="0"/>
          <w:numId w:val="735"/>
        </w:numPr>
        <w:tabs>
          <w:tab w:val="left" w:pos="1051"/>
        </w:tabs>
        <w:spacing w:line="446" w:lineRule="auto"/>
        <w:ind w:left="418" w:right="1505" w:firstLine="419"/>
        <w:rPr>
          <w:sz w:val="21"/>
        </w:rPr>
      </w:pPr>
      <w:r>
        <w:rPr>
          <w:color w:val="333333"/>
          <w:spacing w:val="-8"/>
          <w:sz w:val="21"/>
        </w:rPr>
        <w:t>当单罐容量不大于</w:t>
      </w:r>
      <w:r>
        <w:rPr>
          <w:color w:val="333333"/>
          <w:spacing w:val="-8"/>
          <w:sz w:val="21"/>
        </w:rPr>
        <w:t xml:space="preserve"> </w:t>
      </w:r>
      <w:r>
        <w:rPr>
          <w:color w:val="333333"/>
          <w:sz w:val="21"/>
        </w:rPr>
        <w:t>1000m</w:t>
      </w:r>
      <w:r>
        <w:rPr>
          <w:color w:val="333333"/>
          <w:position w:val="11"/>
          <w:sz w:val="11"/>
        </w:rPr>
        <w:t>3</w:t>
      </w:r>
      <w:r>
        <w:rPr>
          <w:color w:val="333333"/>
          <w:spacing w:val="2"/>
          <w:sz w:val="11"/>
        </w:rPr>
        <w:t xml:space="preserve">   </w:t>
      </w:r>
      <w:r>
        <w:rPr>
          <w:color w:val="333333"/>
          <w:spacing w:val="-3"/>
          <w:sz w:val="21"/>
        </w:rPr>
        <w:t>且采用固定冷却系统时，甲、乙类液体的地上式固定顶储罐</w:t>
      </w:r>
      <w:r>
        <w:rPr>
          <w:color w:val="333333"/>
          <w:spacing w:val="-8"/>
          <w:sz w:val="21"/>
        </w:rPr>
        <w:t>之间的防火间距不应小于</w:t>
      </w:r>
      <w:r>
        <w:rPr>
          <w:color w:val="333333"/>
          <w:spacing w:val="-8"/>
          <w:sz w:val="21"/>
        </w:rPr>
        <w:t xml:space="preserve"> </w:t>
      </w:r>
      <w:r>
        <w:rPr>
          <w:color w:val="333333"/>
          <w:sz w:val="21"/>
        </w:rPr>
        <w:t>0.6D</w:t>
      </w:r>
      <w:r>
        <w:rPr>
          <w:color w:val="333333"/>
          <w:spacing w:val="-3"/>
          <w:sz w:val="21"/>
        </w:rPr>
        <w:t>。</w:t>
      </w:r>
      <w:r>
        <w:rPr>
          <w:color w:val="333333"/>
          <w:sz w:val="21"/>
        </w:rPr>
        <w:t xml:space="preserve"> </w:t>
      </w:r>
    </w:p>
    <w:p w14:paraId="3FD6E13A" w14:textId="77777777" w:rsidR="00A71EEF" w:rsidRDefault="0081115D">
      <w:pPr>
        <w:pStyle w:val="a4"/>
        <w:numPr>
          <w:ilvl w:val="0"/>
          <w:numId w:val="735"/>
        </w:numPr>
        <w:tabs>
          <w:tab w:val="left" w:pos="1051"/>
        </w:tabs>
        <w:spacing w:before="1" w:line="446" w:lineRule="auto"/>
        <w:ind w:left="418" w:right="1609" w:firstLine="419"/>
        <w:rPr>
          <w:sz w:val="21"/>
        </w:rPr>
      </w:pPr>
      <w:r>
        <w:rPr>
          <w:color w:val="333333"/>
          <w:spacing w:val="-3"/>
          <w:sz w:val="21"/>
        </w:rPr>
        <w:t>地上式储罐同时设置液下喷射泡沫灭火系统、固定冷却水系统和扑救防火堤内液体火灾</w:t>
      </w:r>
      <w:r>
        <w:rPr>
          <w:color w:val="333333"/>
          <w:spacing w:val="-5"/>
          <w:sz w:val="21"/>
        </w:rPr>
        <w:t>的泡沫灭火设施时，储罐之间的防火间距可适当减小，但不宜小于</w:t>
      </w:r>
      <w:r>
        <w:rPr>
          <w:color w:val="333333"/>
          <w:spacing w:val="-5"/>
          <w:sz w:val="21"/>
        </w:rPr>
        <w:t xml:space="preserve"> </w:t>
      </w:r>
      <w:r>
        <w:rPr>
          <w:color w:val="333333"/>
          <w:sz w:val="21"/>
        </w:rPr>
        <w:t>0.4D</w:t>
      </w:r>
      <w:r>
        <w:rPr>
          <w:color w:val="333333"/>
          <w:spacing w:val="-3"/>
          <w:sz w:val="21"/>
        </w:rPr>
        <w:t>。</w:t>
      </w:r>
      <w:r>
        <w:rPr>
          <w:color w:val="333333"/>
          <w:sz w:val="21"/>
        </w:rPr>
        <w:t xml:space="preserve"> </w:t>
      </w:r>
    </w:p>
    <w:p w14:paraId="318B42F7" w14:textId="77777777" w:rsidR="00A71EEF" w:rsidRDefault="0081115D">
      <w:pPr>
        <w:pStyle w:val="a4"/>
        <w:numPr>
          <w:ilvl w:val="0"/>
          <w:numId w:val="735"/>
        </w:numPr>
        <w:tabs>
          <w:tab w:val="left" w:pos="1051"/>
        </w:tabs>
        <w:spacing w:line="267" w:lineRule="exact"/>
        <w:rPr>
          <w:sz w:val="21"/>
        </w:rPr>
      </w:pPr>
      <w:r>
        <w:rPr>
          <w:color w:val="333333"/>
          <w:spacing w:val="-13"/>
          <w:sz w:val="21"/>
        </w:rPr>
        <w:t>闪点大于</w:t>
      </w:r>
      <w:r>
        <w:rPr>
          <w:color w:val="333333"/>
          <w:spacing w:val="-13"/>
          <w:sz w:val="21"/>
        </w:rPr>
        <w:t xml:space="preserve"> </w:t>
      </w:r>
      <w:r>
        <w:rPr>
          <w:color w:val="333333"/>
          <w:sz w:val="21"/>
        </w:rPr>
        <w:t>120</w:t>
      </w:r>
      <w:r>
        <w:rPr>
          <w:color w:val="333333"/>
          <w:spacing w:val="-7"/>
          <w:sz w:val="21"/>
        </w:rPr>
        <w:t>℃</w:t>
      </w:r>
      <w:r>
        <w:rPr>
          <w:color w:val="333333"/>
          <w:spacing w:val="-7"/>
          <w:sz w:val="21"/>
        </w:rPr>
        <w:t>的液体，当单罐容量大于</w:t>
      </w:r>
      <w:r>
        <w:rPr>
          <w:color w:val="333333"/>
          <w:spacing w:val="-7"/>
          <w:sz w:val="21"/>
        </w:rPr>
        <w:t xml:space="preserve"> </w:t>
      </w:r>
      <w:r>
        <w:rPr>
          <w:color w:val="333333"/>
          <w:sz w:val="21"/>
        </w:rPr>
        <w:t>1000m</w:t>
      </w:r>
      <w:r>
        <w:rPr>
          <w:color w:val="333333"/>
          <w:position w:val="11"/>
          <w:sz w:val="11"/>
        </w:rPr>
        <w:t>3</w:t>
      </w:r>
      <w:r>
        <w:rPr>
          <w:color w:val="333333"/>
          <w:spacing w:val="49"/>
          <w:sz w:val="11"/>
        </w:rPr>
        <w:t xml:space="preserve"> </w:t>
      </w:r>
      <w:r>
        <w:rPr>
          <w:color w:val="333333"/>
          <w:spacing w:val="-3"/>
          <w:sz w:val="21"/>
        </w:rPr>
        <w:t>时，储罐之间的防火间距不应小于</w:t>
      </w:r>
    </w:p>
    <w:p w14:paraId="4694CFDA" w14:textId="77777777" w:rsidR="00A71EEF" w:rsidRDefault="00A71EEF">
      <w:pPr>
        <w:pStyle w:val="a3"/>
        <w:spacing w:before="4"/>
        <w:rPr>
          <w:sz w:val="17"/>
        </w:rPr>
      </w:pPr>
    </w:p>
    <w:p w14:paraId="55F6BB08" w14:textId="77777777" w:rsidR="00A71EEF" w:rsidRDefault="0081115D">
      <w:pPr>
        <w:pStyle w:val="a3"/>
        <w:ind w:left="418"/>
      </w:pPr>
      <w:r>
        <w:rPr>
          <w:color w:val="333333"/>
        </w:rPr>
        <w:t>5m</w:t>
      </w:r>
      <w:r>
        <w:rPr>
          <w:color w:val="333333"/>
        </w:rPr>
        <w:t>；</w:t>
      </w:r>
      <w:r>
        <w:rPr>
          <w:color w:val="333333"/>
          <w:spacing w:val="-9"/>
        </w:rPr>
        <w:t>当单罐容量不大于</w:t>
      </w:r>
      <w:r>
        <w:rPr>
          <w:color w:val="333333"/>
          <w:spacing w:val="-9"/>
        </w:rPr>
        <w:t xml:space="preserve"> </w:t>
      </w:r>
      <w:r>
        <w:rPr>
          <w:color w:val="333333"/>
        </w:rPr>
        <w:t>1000m</w:t>
      </w:r>
      <w:r>
        <w:rPr>
          <w:color w:val="333333"/>
          <w:position w:val="11"/>
          <w:sz w:val="11"/>
        </w:rPr>
        <w:t>3</w:t>
      </w:r>
      <w:r>
        <w:rPr>
          <w:color w:val="333333"/>
          <w:sz w:val="11"/>
        </w:rPr>
        <w:t xml:space="preserve"> </w:t>
      </w:r>
      <w:r>
        <w:rPr>
          <w:color w:val="333333"/>
          <w:spacing w:val="-7"/>
        </w:rPr>
        <w:t>时，储罐之间的防火间距不应小于</w:t>
      </w:r>
      <w:r>
        <w:rPr>
          <w:color w:val="333333"/>
          <w:spacing w:val="-7"/>
        </w:rPr>
        <w:t xml:space="preserve"> </w:t>
      </w:r>
      <w:r>
        <w:rPr>
          <w:color w:val="333333"/>
        </w:rPr>
        <w:t>2m</w:t>
      </w:r>
      <w:r>
        <w:rPr>
          <w:color w:val="333333"/>
          <w:spacing w:val="-3"/>
        </w:rPr>
        <w:t>。</w:t>
      </w:r>
      <w:r>
        <w:rPr>
          <w:color w:val="333333"/>
        </w:rPr>
        <w:t xml:space="preserve"> </w:t>
      </w:r>
    </w:p>
    <w:p w14:paraId="7571FDC4" w14:textId="77777777" w:rsidR="00A71EEF" w:rsidRDefault="00A71EEF">
      <w:pPr>
        <w:pStyle w:val="a3"/>
        <w:rPr>
          <w:sz w:val="18"/>
        </w:rPr>
      </w:pPr>
    </w:p>
    <w:p w14:paraId="31213C91" w14:textId="77777777" w:rsidR="00A71EEF" w:rsidRDefault="0081115D">
      <w:pPr>
        <w:pStyle w:val="a4"/>
        <w:numPr>
          <w:ilvl w:val="2"/>
          <w:numId w:val="738"/>
        </w:numPr>
        <w:tabs>
          <w:tab w:val="left" w:pos="1370"/>
        </w:tabs>
        <w:spacing w:line="446" w:lineRule="auto"/>
        <w:ind w:left="838" w:right="3915" w:firstLine="2"/>
        <w:rPr>
          <w:b/>
          <w:sz w:val="21"/>
        </w:rPr>
      </w:pPr>
      <w:r>
        <w:rPr>
          <w:color w:val="333333"/>
          <w:spacing w:val="-2"/>
          <w:sz w:val="21"/>
        </w:rPr>
        <w:t>甲、乙、丙类液体储罐成组布置时，应符合下列规定：</w:t>
      </w:r>
      <w:r>
        <w:rPr>
          <w:color w:val="333333"/>
          <w:spacing w:val="-2"/>
          <w:sz w:val="21"/>
        </w:rPr>
        <w:t xml:space="preserve"> </w:t>
      </w:r>
      <w:r>
        <w:rPr>
          <w:color w:val="333333"/>
          <w:spacing w:val="-2"/>
          <w:sz w:val="21"/>
        </w:rPr>
        <w:t>组</w:t>
      </w:r>
      <w:r>
        <w:rPr>
          <w:color w:val="333333"/>
          <w:spacing w:val="-6"/>
          <w:sz w:val="21"/>
        </w:rPr>
        <w:t>内储罐的单罐容量和总容量不应大于表</w:t>
      </w:r>
      <w:r>
        <w:rPr>
          <w:color w:val="333333"/>
          <w:spacing w:val="-6"/>
          <w:sz w:val="21"/>
        </w:rPr>
        <w:t xml:space="preserve"> </w:t>
      </w:r>
      <w:r>
        <w:rPr>
          <w:color w:val="333333"/>
          <w:sz w:val="21"/>
        </w:rPr>
        <w:t>4.2.3</w:t>
      </w:r>
      <w:r>
        <w:rPr>
          <w:color w:val="333333"/>
          <w:spacing w:val="-3"/>
          <w:sz w:val="21"/>
        </w:rPr>
        <w:t xml:space="preserve"> </w:t>
      </w:r>
      <w:r>
        <w:rPr>
          <w:color w:val="333333"/>
          <w:spacing w:val="-3"/>
          <w:sz w:val="21"/>
        </w:rPr>
        <w:t>的规定；</w:t>
      </w:r>
      <w:r>
        <w:rPr>
          <w:b/>
          <w:color w:val="333333"/>
          <w:w w:val="99"/>
          <w:sz w:val="21"/>
        </w:rPr>
        <w:t xml:space="preserve"> </w:t>
      </w:r>
    </w:p>
    <w:p w14:paraId="631D63F6" w14:textId="77777777" w:rsidR="00A71EEF" w:rsidRDefault="0081115D">
      <w:pPr>
        <w:pStyle w:val="6"/>
        <w:ind w:left="2571"/>
      </w:pPr>
      <w:r>
        <w:t>表</w:t>
      </w:r>
      <w:r>
        <w:t xml:space="preserve"> 4.2.3 </w:t>
      </w:r>
      <w:r>
        <w:t>甲、乙、丙类液体储罐分组布置的最大容量</w:t>
      </w:r>
      <w:r>
        <w:rPr>
          <w:w w:val="99"/>
        </w:rPr>
        <w:t xml:space="preserve"> </w:t>
      </w:r>
    </w:p>
    <w:p w14:paraId="7990B3AC" w14:textId="77777777" w:rsidR="00A71EEF" w:rsidRDefault="0081115D">
      <w:pPr>
        <w:pStyle w:val="a3"/>
        <w:spacing w:before="10"/>
        <w:rPr>
          <w:b/>
          <w:sz w:val="12"/>
        </w:rPr>
      </w:pPr>
      <w:r>
        <w:rPr>
          <w:noProof/>
        </w:rPr>
        <w:drawing>
          <wp:anchor distT="0" distB="0" distL="0" distR="0" simplePos="0" relativeHeight="251525632" behindDoc="0" locked="0" layoutInCell="1" allowOverlap="1" wp14:anchorId="1EFBC613" wp14:editId="3BEA895D">
            <wp:simplePos x="0" y="0"/>
            <wp:positionH relativeFrom="page">
              <wp:posOffset>1179830</wp:posOffset>
            </wp:positionH>
            <wp:positionV relativeFrom="paragraph">
              <wp:posOffset>129135</wp:posOffset>
            </wp:positionV>
            <wp:extent cx="5129917" cy="704850"/>
            <wp:effectExtent l="0" t="0" r="0" b="0"/>
            <wp:wrapTopAndBottom/>
            <wp:docPr id="181" name="image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18.jpeg"/>
                    <pic:cNvPicPr/>
                  </pic:nvPicPr>
                  <pic:blipFill>
                    <a:blip r:embed="rId116" cstate="print"/>
                    <a:stretch>
                      <a:fillRect/>
                    </a:stretch>
                  </pic:blipFill>
                  <pic:spPr>
                    <a:xfrm>
                      <a:off x="0" y="0"/>
                      <a:ext cx="5129917" cy="704850"/>
                    </a:xfrm>
                    <a:prstGeom prst="rect">
                      <a:avLst/>
                    </a:prstGeom>
                  </pic:spPr>
                </pic:pic>
              </a:graphicData>
            </a:graphic>
          </wp:anchor>
        </w:drawing>
      </w:r>
    </w:p>
    <w:p w14:paraId="3F49CF7C" w14:textId="77777777" w:rsidR="00A71EEF" w:rsidRDefault="00A71EEF">
      <w:pPr>
        <w:rPr>
          <w:sz w:val="12"/>
        </w:rPr>
        <w:sectPr w:rsidR="00A71EEF">
          <w:pgSz w:w="11910" w:h="16850"/>
          <w:pgMar w:top="1220" w:right="0" w:bottom="1420" w:left="1260" w:header="0" w:footer="1239" w:gutter="0"/>
          <w:cols w:space="720"/>
        </w:sectPr>
      </w:pPr>
    </w:p>
    <w:p w14:paraId="0DA9A795" w14:textId="77777777" w:rsidR="00A71EEF" w:rsidRDefault="0081115D">
      <w:pPr>
        <w:pStyle w:val="a3"/>
        <w:spacing w:before="47" w:line="446" w:lineRule="auto"/>
        <w:ind w:left="418" w:right="1555" w:firstLine="419"/>
        <w:jc w:val="both"/>
      </w:pPr>
      <w:r>
        <w:rPr>
          <w:color w:val="333333"/>
          <w:spacing w:val="-4"/>
        </w:rPr>
        <w:lastRenderedPageBreak/>
        <w:t>组内储罐的布置不应超过两排。甲、乙类液体立式储罐之间的防火间距不应小于</w:t>
      </w:r>
      <w:r>
        <w:rPr>
          <w:color w:val="333333"/>
          <w:spacing w:val="-4"/>
        </w:rPr>
        <w:t xml:space="preserve"> </w:t>
      </w:r>
      <w:r>
        <w:rPr>
          <w:color w:val="333333"/>
        </w:rPr>
        <w:t>2m</w:t>
      </w:r>
      <w:r>
        <w:rPr>
          <w:color w:val="333333"/>
        </w:rPr>
        <w:t>，卧式</w:t>
      </w:r>
      <w:r>
        <w:rPr>
          <w:color w:val="333333"/>
          <w:spacing w:val="-7"/>
        </w:rPr>
        <w:t>储罐之间的防火间距不应小于</w:t>
      </w:r>
      <w:r>
        <w:rPr>
          <w:color w:val="333333"/>
          <w:spacing w:val="-7"/>
        </w:rPr>
        <w:t xml:space="preserve"> </w:t>
      </w:r>
      <w:r>
        <w:rPr>
          <w:color w:val="333333"/>
        </w:rPr>
        <w:t>0.8m</w:t>
      </w:r>
      <w:r>
        <w:rPr>
          <w:color w:val="333333"/>
          <w:spacing w:val="-3"/>
        </w:rPr>
        <w:t>；丙类液体储罐之间的防火间距不限；</w:t>
      </w:r>
      <w:r>
        <w:rPr>
          <w:color w:val="333333"/>
        </w:rPr>
        <w:t xml:space="preserve"> </w:t>
      </w:r>
    </w:p>
    <w:p w14:paraId="408EC94F" w14:textId="77777777" w:rsidR="00A71EEF" w:rsidRDefault="0081115D">
      <w:pPr>
        <w:pStyle w:val="a3"/>
        <w:spacing w:line="446" w:lineRule="auto"/>
        <w:ind w:left="418" w:right="1609" w:firstLine="419"/>
        <w:jc w:val="both"/>
        <w:rPr>
          <w:b/>
        </w:rPr>
      </w:pPr>
      <w:r>
        <w:rPr>
          <w:color w:val="333333"/>
        </w:rPr>
        <w:t>储罐组之间的防火间距应根据组内储罐的形式和总容量折算为相同类别的标准单罐，按本规范第</w:t>
      </w:r>
      <w:r>
        <w:rPr>
          <w:color w:val="333333"/>
        </w:rPr>
        <w:t xml:space="preserve"> 4.2.2 </w:t>
      </w:r>
      <w:r>
        <w:rPr>
          <w:color w:val="333333"/>
        </w:rPr>
        <w:t>条的规定确定。</w:t>
      </w:r>
      <w:r>
        <w:rPr>
          <w:b/>
          <w:color w:val="333333"/>
          <w:w w:val="99"/>
        </w:rPr>
        <w:t xml:space="preserve"> </w:t>
      </w:r>
    </w:p>
    <w:p w14:paraId="40CDAECC" w14:textId="77777777" w:rsidR="00A71EEF" w:rsidRDefault="0081115D">
      <w:pPr>
        <w:pStyle w:val="a4"/>
        <w:numPr>
          <w:ilvl w:val="2"/>
          <w:numId w:val="738"/>
        </w:numPr>
        <w:tabs>
          <w:tab w:val="left" w:pos="1370"/>
        </w:tabs>
        <w:spacing w:line="446" w:lineRule="auto"/>
        <w:ind w:right="1604" w:firstLine="422"/>
        <w:jc w:val="both"/>
        <w:rPr>
          <w:sz w:val="21"/>
        </w:rPr>
      </w:pPr>
      <w:r>
        <w:rPr>
          <w:color w:val="333333"/>
          <w:spacing w:val="-3"/>
          <w:sz w:val="21"/>
        </w:rPr>
        <w:t>甲、乙、丙类液体的地上式、半地下式储罐区，其每个防火堤内宜布置火灾危险性类别相同或相近的储罐。沸溢性油品储罐不应与非沸溢性油品储罐布置在同一防火堤内。地上式、半地下式储罐不应与地下式储罐布置在同一防火堤内。</w:t>
      </w:r>
      <w:r>
        <w:rPr>
          <w:color w:val="333333"/>
          <w:sz w:val="21"/>
        </w:rPr>
        <w:t xml:space="preserve"> </w:t>
      </w:r>
    </w:p>
    <w:p w14:paraId="2DB78C72" w14:textId="77777777" w:rsidR="00A71EEF" w:rsidRDefault="0081115D">
      <w:pPr>
        <w:pStyle w:val="a4"/>
        <w:numPr>
          <w:ilvl w:val="2"/>
          <w:numId w:val="738"/>
        </w:numPr>
        <w:tabs>
          <w:tab w:val="left" w:pos="1370"/>
        </w:tabs>
        <w:spacing w:line="446" w:lineRule="auto"/>
        <w:ind w:right="1813" w:firstLine="422"/>
        <w:rPr>
          <w:sz w:val="21"/>
        </w:rPr>
      </w:pPr>
      <w:r>
        <w:rPr>
          <w:color w:val="333333"/>
          <w:spacing w:val="-3"/>
          <w:sz w:val="21"/>
        </w:rPr>
        <w:t>甲、乙、丙类液体的地上式、半地下式储罐或储罐组，其四周应设置不燃性防火堤。防火堤的设置应符合下列规定：</w:t>
      </w:r>
      <w:r>
        <w:rPr>
          <w:color w:val="333333"/>
          <w:sz w:val="21"/>
        </w:rPr>
        <w:t xml:space="preserve"> </w:t>
      </w:r>
    </w:p>
    <w:p w14:paraId="7593BE10" w14:textId="77777777" w:rsidR="00A71EEF" w:rsidRDefault="0081115D">
      <w:pPr>
        <w:pStyle w:val="a3"/>
        <w:spacing w:line="446" w:lineRule="auto"/>
        <w:ind w:left="418" w:right="1582" w:firstLine="419"/>
      </w:pPr>
      <w:r>
        <w:rPr>
          <w:color w:val="333333"/>
          <w:spacing w:val="-7"/>
        </w:rPr>
        <w:t>防火堤内的储罐布置不宜超过</w:t>
      </w:r>
      <w:r>
        <w:rPr>
          <w:color w:val="333333"/>
          <w:spacing w:val="-7"/>
        </w:rPr>
        <w:t xml:space="preserve"> </w:t>
      </w:r>
      <w:r>
        <w:rPr>
          <w:color w:val="333333"/>
          <w:spacing w:val="-3"/>
        </w:rPr>
        <w:t>2</w:t>
      </w:r>
      <w:r>
        <w:rPr>
          <w:color w:val="333333"/>
          <w:spacing w:val="-7"/>
        </w:rPr>
        <w:t xml:space="preserve"> </w:t>
      </w:r>
      <w:r>
        <w:rPr>
          <w:color w:val="333333"/>
          <w:spacing w:val="-7"/>
        </w:rPr>
        <w:t>排，单罐容量不大于</w:t>
      </w:r>
      <w:r>
        <w:rPr>
          <w:color w:val="333333"/>
          <w:spacing w:val="-7"/>
        </w:rPr>
        <w:t xml:space="preserve"> </w:t>
      </w:r>
      <w:r>
        <w:rPr>
          <w:color w:val="333333"/>
        </w:rPr>
        <w:t>1000m</w:t>
      </w:r>
      <w:r>
        <w:rPr>
          <w:color w:val="333333"/>
          <w:position w:val="11"/>
          <w:sz w:val="11"/>
        </w:rPr>
        <w:t xml:space="preserve">3 </w:t>
      </w:r>
      <w:r>
        <w:rPr>
          <w:color w:val="333333"/>
          <w:spacing w:val="-11"/>
        </w:rPr>
        <w:t>且闪点大于</w:t>
      </w:r>
      <w:r>
        <w:rPr>
          <w:color w:val="333333"/>
          <w:spacing w:val="-11"/>
        </w:rPr>
        <w:t xml:space="preserve"> </w:t>
      </w:r>
      <w:r>
        <w:rPr>
          <w:color w:val="333333"/>
        </w:rPr>
        <w:t>120</w:t>
      </w:r>
      <w:r>
        <w:rPr>
          <w:color w:val="333333"/>
          <w:spacing w:val="-2"/>
        </w:rPr>
        <w:t>℃</w:t>
      </w:r>
      <w:r>
        <w:rPr>
          <w:color w:val="333333"/>
          <w:spacing w:val="-2"/>
        </w:rPr>
        <w:t>的液体储罐</w:t>
      </w:r>
      <w:r>
        <w:rPr>
          <w:color w:val="333333"/>
          <w:spacing w:val="-13"/>
        </w:rPr>
        <w:t>不宜超过</w:t>
      </w:r>
      <w:r>
        <w:rPr>
          <w:color w:val="333333"/>
          <w:spacing w:val="-13"/>
        </w:rPr>
        <w:t xml:space="preserve"> </w:t>
      </w:r>
      <w:r>
        <w:rPr>
          <w:color w:val="333333"/>
          <w:spacing w:val="-3"/>
        </w:rPr>
        <w:t xml:space="preserve">4 </w:t>
      </w:r>
      <w:r>
        <w:rPr>
          <w:color w:val="333333"/>
          <w:spacing w:val="-3"/>
        </w:rPr>
        <w:t>排；</w:t>
      </w:r>
      <w:r>
        <w:rPr>
          <w:color w:val="333333"/>
        </w:rPr>
        <w:t xml:space="preserve"> </w:t>
      </w:r>
    </w:p>
    <w:p w14:paraId="3FEF650C" w14:textId="77777777" w:rsidR="00A71EEF" w:rsidRDefault="0081115D">
      <w:pPr>
        <w:pStyle w:val="a3"/>
        <w:spacing w:line="446" w:lineRule="auto"/>
        <w:ind w:left="418" w:right="1609" w:firstLine="419"/>
      </w:pPr>
      <w:r>
        <w:rPr>
          <w:color w:val="333333"/>
        </w:rPr>
        <w:t>防火堤的有效容量不应小于其中最大储罐的容量。对于浮顶罐，防火堤的有效容量可为其中最大储罐容量的一半；</w:t>
      </w:r>
      <w:r>
        <w:rPr>
          <w:color w:val="333333"/>
        </w:rPr>
        <w:t xml:space="preserve"> </w:t>
      </w:r>
    </w:p>
    <w:p w14:paraId="5E04534D" w14:textId="77777777" w:rsidR="00A71EEF" w:rsidRDefault="0081115D">
      <w:pPr>
        <w:pStyle w:val="a3"/>
        <w:spacing w:line="446" w:lineRule="auto"/>
        <w:ind w:left="418" w:right="1609" w:firstLine="419"/>
      </w:pPr>
      <w:r>
        <w:rPr>
          <w:color w:val="333333"/>
        </w:rPr>
        <w:t>防火堤内侧基脚线至立式储罐外壁的水平距离不应小于罐壁高度的一半。防火堤内侧基脚线至卧式储罐的水平距离不应小于</w:t>
      </w:r>
      <w:r>
        <w:rPr>
          <w:color w:val="333333"/>
        </w:rPr>
        <w:t xml:space="preserve"> 3m</w:t>
      </w:r>
      <w:r>
        <w:rPr>
          <w:color w:val="333333"/>
        </w:rPr>
        <w:t>；</w:t>
      </w:r>
      <w:r>
        <w:rPr>
          <w:color w:val="333333"/>
        </w:rPr>
        <w:t xml:space="preserve"> </w:t>
      </w:r>
    </w:p>
    <w:p w14:paraId="66FC97EC" w14:textId="77777777" w:rsidR="00A71EEF" w:rsidRDefault="0081115D">
      <w:pPr>
        <w:pStyle w:val="a3"/>
        <w:spacing w:line="446" w:lineRule="auto"/>
        <w:ind w:left="418" w:right="1505" w:firstLine="419"/>
      </w:pPr>
      <w:r>
        <w:rPr>
          <w:color w:val="333333"/>
          <w:spacing w:val="-6"/>
        </w:rPr>
        <w:t>防火堤的设计高度应比计算高度高出</w:t>
      </w:r>
      <w:r>
        <w:rPr>
          <w:color w:val="333333"/>
          <w:spacing w:val="-6"/>
        </w:rPr>
        <w:t xml:space="preserve"> </w:t>
      </w:r>
      <w:r>
        <w:rPr>
          <w:color w:val="333333"/>
        </w:rPr>
        <w:t>0.2m</w:t>
      </w:r>
      <w:r>
        <w:rPr>
          <w:color w:val="333333"/>
          <w:spacing w:val="-10"/>
        </w:rPr>
        <w:t>，且应为</w:t>
      </w:r>
      <w:r>
        <w:rPr>
          <w:color w:val="333333"/>
          <w:spacing w:val="-10"/>
        </w:rPr>
        <w:t xml:space="preserve"> </w:t>
      </w:r>
      <w:r>
        <w:rPr>
          <w:color w:val="333333"/>
        </w:rPr>
        <w:t>1.0m</w:t>
      </w:r>
      <w:r>
        <w:rPr>
          <w:color w:val="333333"/>
        </w:rPr>
        <w:t>～</w:t>
      </w:r>
      <w:r>
        <w:rPr>
          <w:color w:val="333333"/>
        </w:rPr>
        <w:t>2.2m</w:t>
      </w:r>
      <w:r>
        <w:rPr>
          <w:color w:val="333333"/>
          <w:spacing w:val="-3"/>
        </w:rPr>
        <w:t>，在防火堤的适当位置应设置便于灭火救援人员进出防火堤的踏步；</w:t>
      </w:r>
      <w:r>
        <w:rPr>
          <w:color w:val="333333"/>
        </w:rPr>
        <w:t xml:space="preserve"> </w:t>
      </w:r>
    </w:p>
    <w:p w14:paraId="035D289B" w14:textId="77777777" w:rsidR="00A71EEF" w:rsidRDefault="0081115D">
      <w:pPr>
        <w:pStyle w:val="a3"/>
        <w:spacing w:line="267" w:lineRule="exact"/>
        <w:ind w:left="838"/>
      </w:pPr>
      <w:r>
        <w:rPr>
          <w:color w:val="333333"/>
        </w:rPr>
        <w:t>沸溢性油品的地上式、半地下式储罐，每个储罐均应设置一个防火堤或防火隔堤；</w:t>
      </w:r>
      <w:r>
        <w:rPr>
          <w:color w:val="333333"/>
        </w:rPr>
        <w:t xml:space="preserve"> </w:t>
      </w:r>
    </w:p>
    <w:p w14:paraId="27EB7D0E" w14:textId="77777777" w:rsidR="00A71EEF" w:rsidRDefault="00A71EEF">
      <w:pPr>
        <w:pStyle w:val="a3"/>
        <w:spacing w:before="12"/>
        <w:rPr>
          <w:sz w:val="16"/>
        </w:rPr>
      </w:pPr>
    </w:p>
    <w:p w14:paraId="10294526" w14:textId="77777777" w:rsidR="00A71EEF" w:rsidRDefault="0081115D">
      <w:pPr>
        <w:pStyle w:val="a3"/>
        <w:spacing w:line="446" w:lineRule="auto"/>
        <w:ind w:left="418" w:right="1609" w:firstLine="419"/>
      </w:pPr>
      <w:r>
        <w:rPr>
          <w:color w:val="333333"/>
        </w:rPr>
        <w:t>含油污水排水管应在防火堤的出口处设置水封设施，雨水排水管应设置阀门等封闭、隔</w:t>
      </w:r>
      <w:r>
        <w:rPr>
          <w:color w:val="333333"/>
        </w:rPr>
        <w:t>离装置。</w:t>
      </w:r>
      <w:r>
        <w:rPr>
          <w:color w:val="333333"/>
        </w:rPr>
        <w:t xml:space="preserve"> </w:t>
      </w:r>
    </w:p>
    <w:p w14:paraId="1A4E8C16" w14:textId="77777777" w:rsidR="00A71EEF" w:rsidRDefault="0081115D">
      <w:pPr>
        <w:pStyle w:val="a4"/>
        <w:numPr>
          <w:ilvl w:val="2"/>
          <w:numId w:val="738"/>
        </w:numPr>
        <w:tabs>
          <w:tab w:val="left" w:pos="1370"/>
        </w:tabs>
        <w:spacing w:line="446" w:lineRule="auto"/>
        <w:ind w:right="1445" w:firstLine="422"/>
        <w:rPr>
          <w:sz w:val="21"/>
        </w:rPr>
      </w:pPr>
      <w:r>
        <w:rPr>
          <w:color w:val="333333"/>
          <w:spacing w:val="-5"/>
          <w:sz w:val="21"/>
        </w:rPr>
        <w:t>甲类液体半露天堆场，乙、丙类液体桶装堆场和闪点大于</w:t>
      </w:r>
      <w:r>
        <w:rPr>
          <w:color w:val="333333"/>
          <w:spacing w:val="-5"/>
          <w:sz w:val="21"/>
        </w:rPr>
        <w:t xml:space="preserve"> </w:t>
      </w:r>
      <w:r>
        <w:rPr>
          <w:color w:val="333333"/>
          <w:sz w:val="21"/>
        </w:rPr>
        <w:t>120</w:t>
      </w:r>
      <w:r>
        <w:rPr>
          <w:color w:val="333333"/>
          <w:spacing w:val="-2"/>
          <w:sz w:val="21"/>
        </w:rPr>
        <w:t>℃</w:t>
      </w:r>
      <w:r>
        <w:rPr>
          <w:color w:val="333333"/>
          <w:spacing w:val="-2"/>
          <w:sz w:val="21"/>
        </w:rPr>
        <w:t>的液体储罐</w:t>
      </w:r>
      <w:r>
        <w:rPr>
          <w:color w:val="333333"/>
          <w:sz w:val="21"/>
        </w:rPr>
        <w:t>（</w:t>
      </w:r>
      <w:r>
        <w:rPr>
          <w:color w:val="333333"/>
          <w:spacing w:val="-3"/>
          <w:sz w:val="21"/>
        </w:rPr>
        <w:t>区</w:t>
      </w:r>
      <w:r>
        <w:rPr>
          <w:color w:val="333333"/>
          <w:sz w:val="21"/>
        </w:rPr>
        <w:t>），</w:t>
      </w:r>
      <w:r>
        <w:rPr>
          <w:color w:val="333333"/>
          <w:sz w:val="21"/>
        </w:rPr>
        <w:t xml:space="preserve"> </w:t>
      </w:r>
      <w:r>
        <w:rPr>
          <w:color w:val="333333"/>
          <w:spacing w:val="-3"/>
          <w:sz w:val="21"/>
        </w:rPr>
        <w:t>当采取了防止液体流散的设施时，可不设置防火堤。</w:t>
      </w:r>
      <w:r>
        <w:rPr>
          <w:color w:val="333333"/>
          <w:spacing w:val="-3"/>
          <w:sz w:val="21"/>
        </w:rPr>
        <w:t xml:space="preserve"> </w:t>
      </w:r>
    </w:p>
    <w:p w14:paraId="5260F432" w14:textId="77777777" w:rsidR="00A71EEF" w:rsidRDefault="0081115D">
      <w:pPr>
        <w:pStyle w:val="a4"/>
        <w:numPr>
          <w:ilvl w:val="2"/>
          <w:numId w:val="738"/>
        </w:numPr>
        <w:tabs>
          <w:tab w:val="left" w:pos="1370"/>
        </w:tabs>
        <w:ind w:left="1369" w:hanging="530"/>
        <w:rPr>
          <w:sz w:val="21"/>
        </w:rPr>
      </w:pPr>
      <w:r>
        <w:rPr>
          <w:color w:val="333333"/>
          <w:spacing w:val="-5"/>
          <w:sz w:val="21"/>
        </w:rPr>
        <w:t>甲、乙、丙类液体储罐与其泵房、装卸鹤管的防火间距不应小于表</w:t>
      </w:r>
      <w:r>
        <w:rPr>
          <w:color w:val="333333"/>
          <w:spacing w:val="-5"/>
          <w:sz w:val="21"/>
        </w:rPr>
        <w:t xml:space="preserve"> </w:t>
      </w:r>
      <w:r>
        <w:rPr>
          <w:color w:val="333333"/>
          <w:sz w:val="21"/>
        </w:rPr>
        <w:t>4.2.7</w:t>
      </w:r>
      <w:r>
        <w:rPr>
          <w:color w:val="333333"/>
          <w:spacing w:val="-3"/>
          <w:sz w:val="21"/>
        </w:rPr>
        <w:t xml:space="preserve"> </w:t>
      </w:r>
      <w:r>
        <w:rPr>
          <w:color w:val="333333"/>
          <w:spacing w:val="-3"/>
          <w:sz w:val="21"/>
        </w:rPr>
        <w:t>的规定。</w:t>
      </w:r>
      <w:r>
        <w:rPr>
          <w:color w:val="333333"/>
          <w:sz w:val="21"/>
        </w:rPr>
        <w:t xml:space="preserve"> </w:t>
      </w:r>
    </w:p>
    <w:p w14:paraId="6C84F196" w14:textId="77777777" w:rsidR="00A71EEF" w:rsidRDefault="00A71EEF">
      <w:pPr>
        <w:pStyle w:val="a3"/>
        <w:spacing w:before="11"/>
        <w:rPr>
          <w:sz w:val="17"/>
        </w:rPr>
      </w:pPr>
    </w:p>
    <w:p w14:paraId="4334F603" w14:textId="77777777" w:rsidR="00A71EEF" w:rsidRDefault="0081115D">
      <w:pPr>
        <w:pStyle w:val="6"/>
        <w:ind w:left="1781"/>
      </w:pPr>
      <w:r>
        <w:t>表</w:t>
      </w:r>
      <w:r>
        <w:t xml:space="preserve"> 4.2.7 </w:t>
      </w:r>
      <w:r>
        <w:t>甲、乙、丙类液体储罐与其泵房、装卸鹤管的防火间距（</w:t>
      </w:r>
      <w:r>
        <w:t>m</w:t>
      </w:r>
      <w:r>
        <w:t>）</w:t>
      </w:r>
      <w:r>
        <w:rPr>
          <w:w w:val="99"/>
        </w:rPr>
        <w:t xml:space="preserve"> </w:t>
      </w:r>
    </w:p>
    <w:p w14:paraId="61CEA7EE" w14:textId="77777777" w:rsidR="00A71EEF" w:rsidRDefault="00A71EEF">
      <w:pPr>
        <w:sectPr w:rsidR="00A71EEF">
          <w:pgSz w:w="11910" w:h="16850"/>
          <w:pgMar w:top="1220" w:right="0" w:bottom="1420" w:left="1260" w:header="0" w:footer="1239" w:gutter="0"/>
          <w:cols w:space="720"/>
        </w:sectPr>
      </w:pPr>
    </w:p>
    <w:p w14:paraId="500D434E" w14:textId="77777777" w:rsidR="00A71EEF" w:rsidRDefault="0081115D">
      <w:pPr>
        <w:pStyle w:val="a3"/>
        <w:ind w:left="628"/>
        <w:rPr>
          <w:sz w:val="20"/>
        </w:rPr>
      </w:pPr>
      <w:r>
        <w:rPr>
          <w:noProof/>
          <w:sz w:val="20"/>
        </w:rPr>
        <w:lastRenderedPageBreak/>
        <w:drawing>
          <wp:inline distT="0" distB="0" distL="0" distR="0" wp14:anchorId="2FA4930C" wp14:editId="57A9FA2A">
            <wp:extent cx="5115559" cy="1219200"/>
            <wp:effectExtent l="0" t="0" r="0" b="0"/>
            <wp:docPr id="183" name="image1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19.jpeg"/>
                    <pic:cNvPicPr/>
                  </pic:nvPicPr>
                  <pic:blipFill>
                    <a:blip r:embed="rId117" cstate="print"/>
                    <a:stretch>
                      <a:fillRect/>
                    </a:stretch>
                  </pic:blipFill>
                  <pic:spPr>
                    <a:xfrm>
                      <a:off x="0" y="0"/>
                      <a:ext cx="5115559" cy="1219200"/>
                    </a:xfrm>
                    <a:prstGeom prst="rect">
                      <a:avLst/>
                    </a:prstGeom>
                  </pic:spPr>
                </pic:pic>
              </a:graphicData>
            </a:graphic>
          </wp:inline>
        </w:drawing>
      </w:r>
    </w:p>
    <w:p w14:paraId="27DBEC1E" w14:textId="77777777" w:rsidR="00A71EEF" w:rsidRDefault="00A71EEF">
      <w:pPr>
        <w:pStyle w:val="a3"/>
        <w:rPr>
          <w:b/>
          <w:sz w:val="20"/>
        </w:rPr>
      </w:pPr>
    </w:p>
    <w:p w14:paraId="3AFDFA23" w14:textId="77777777" w:rsidR="00A71EEF" w:rsidRDefault="00A71EEF">
      <w:pPr>
        <w:pStyle w:val="a3"/>
        <w:spacing w:before="2"/>
        <w:rPr>
          <w:b/>
          <w:sz w:val="26"/>
        </w:rPr>
      </w:pPr>
    </w:p>
    <w:p w14:paraId="3C71F63E" w14:textId="77777777" w:rsidR="00A71EEF" w:rsidRDefault="0081115D">
      <w:pPr>
        <w:pStyle w:val="a3"/>
        <w:spacing w:before="86" w:line="446" w:lineRule="auto"/>
        <w:ind w:left="418" w:right="1606" w:firstLine="419"/>
      </w:pPr>
      <w:r>
        <w:rPr>
          <w:color w:val="333333"/>
        </w:rPr>
        <w:t>注：</w:t>
      </w:r>
      <w:r>
        <w:rPr>
          <w:color w:val="333333"/>
        </w:rPr>
        <w:t>1</w:t>
      </w:r>
      <w:r>
        <w:rPr>
          <w:color w:val="333333"/>
          <w:spacing w:val="-9"/>
        </w:rPr>
        <w:t>.</w:t>
      </w:r>
      <w:r>
        <w:rPr>
          <w:color w:val="333333"/>
          <w:spacing w:val="-9"/>
        </w:rPr>
        <w:t>总容量不大于</w:t>
      </w:r>
      <w:r>
        <w:rPr>
          <w:color w:val="333333"/>
          <w:spacing w:val="-9"/>
        </w:rPr>
        <w:t xml:space="preserve"> </w:t>
      </w:r>
      <w:r>
        <w:rPr>
          <w:color w:val="333333"/>
        </w:rPr>
        <w:t>1000m</w:t>
      </w:r>
      <w:r>
        <w:rPr>
          <w:color w:val="333333"/>
          <w:position w:val="11"/>
          <w:sz w:val="11"/>
        </w:rPr>
        <w:t>3</w:t>
      </w:r>
      <w:r>
        <w:rPr>
          <w:color w:val="333333"/>
          <w:spacing w:val="1"/>
          <w:sz w:val="11"/>
        </w:rPr>
        <w:t xml:space="preserve">  </w:t>
      </w:r>
      <w:r>
        <w:rPr>
          <w:color w:val="333333"/>
          <w:spacing w:val="-6"/>
        </w:rPr>
        <w:t>的甲、乙类液体储罐和总容量不大于</w:t>
      </w:r>
      <w:r>
        <w:rPr>
          <w:color w:val="333333"/>
          <w:spacing w:val="-6"/>
        </w:rPr>
        <w:t xml:space="preserve"> </w:t>
      </w:r>
      <w:r>
        <w:rPr>
          <w:color w:val="333333"/>
        </w:rPr>
        <w:t>5000m</w:t>
      </w:r>
      <w:r>
        <w:rPr>
          <w:color w:val="333333"/>
          <w:position w:val="11"/>
          <w:sz w:val="11"/>
        </w:rPr>
        <w:t>3</w:t>
      </w:r>
      <w:r>
        <w:rPr>
          <w:color w:val="333333"/>
          <w:sz w:val="11"/>
        </w:rPr>
        <w:t xml:space="preserve">   </w:t>
      </w:r>
      <w:r>
        <w:rPr>
          <w:color w:val="333333"/>
          <w:spacing w:val="-2"/>
        </w:rPr>
        <w:t>的丙类液体储</w:t>
      </w:r>
      <w:r>
        <w:rPr>
          <w:color w:val="333333"/>
          <w:spacing w:val="-6"/>
        </w:rPr>
        <w:t>罐，其防火间距可按本表的规定减少</w:t>
      </w:r>
      <w:r>
        <w:rPr>
          <w:color w:val="333333"/>
          <w:spacing w:val="-6"/>
        </w:rPr>
        <w:t xml:space="preserve"> </w:t>
      </w:r>
      <w:r>
        <w:rPr>
          <w:color w:val="333333"/>
        </w:rPr>
        <w:t>25</w:t>
      </w:r>
      <w:r>
        <w:rPr>
          <w:color w:val="333333"/>
          <w:spacing w:val="-2"/>
        </w:rPr>
        <w:t>%</w:t>
      </w:r>
      <w:r>
        <w:rPr>
          <w:color w:val="333333"/>
          <w:spacing w:val="-2"/>
        </w:rPr>
        <w:t>。</w:t>
      </w:r>
      <w:r>
        <w:rPr>
          <w:color w:val="333333"/>
        </w:rPr>
        <w:t xml:space="preserve"> </w:t>
      </w:r>
    </w:p>
    <w:p w14:paraId="7B008714" w14:textId="77777777" w:rsidR="00A71EEF" w:rsidRDefault="0081115D">
      <w:pPr>
        <w:pStyle w:val="a3"/>
        <w:ind w:left="838"/>
      </w:pPr>
      <w:r>
        <w:rPr>
          <w:color w:val="333333"/>
        </w:rPr>
        <w:t>2.</w:t>
      </w:r>
      <w:r>
        <w:rPr>
          <w:color w:val="333333"/>
        </w:rPr>
        <w:t>泵房、装卸鹤管与储罐防火堤外侧基脚线的距离不应小于</w:t>
      </w:r>
      <w:r>
        <w:rPr>
          <w:color w:val="333333"/>
        </w:rPr>
        <w:t xml:space="preserve"> 5m</w:t>
      </w:r>
      <w:r>
        <w:rPr>
          <w:color w:val="333333"/>
        </w:rPr>
        <w:t>。</w:t>
      </w:r>
      <w:r>
        <w:rPr>
          <w:color w:val="333333"/>
        </w:rPr>
        <w:t xml:space="preserve"> </w:t>
      </w:r>
    </w:p>
    <w:p w14:paraId="5E4B134F" w14:textId="77777777" w:rsidR="00A71EEF" w:rsidRDefault="00A71EEF">
      <w:pPr>
        <w:pStyle w:val="a3"/>
        <w:spacing w:before="12"/>
        <w:rPr>
          <w:sz w:val="17"/>
        </w:rPr>
      </w:pPr>
    </w:p>
    <w:p w14:paraId="0130A016" w14:textId="77777777" w:rsidR="00A71EEF" w:rsidRDefault="0081115D">
      <w:pPr>
        <w:pStyle w:val="a4"/>
        <w:numPr>
          <w:ilvl w:val="2"/>
          <w:numId w:val="738"/>
        </w:numPr>
        <w:tabs>
          <w:tab w:val="left" w:pos="1371"/>
        </w:tabs>
        <w:spacing w:line="446" w:lineRule="auto"/>
        <w:ind w:right="1445" w:firstLine="422"/>
        <w:rPr>
          <w:sz w:val="21"/>
        </w:rPr>
      </w:pPr>
      <w:r>
        <w:rPr>
          <w:color w:val="333333"/>
          <w:spacing w:val="-5"/>
          <w:sz w:val="21"/>
        </w:rPr>
        <w:t>甲、乙、丙类液体装卸鹤管与建筑物、厂内铁路线的防火间距不应小于表</w:t>
      </w:r>
      <w:r>
        <w:rPr>
          <w:color w:val="333333"/>
          <w:spacing w:val="-5"/>
          <w:sz w:val="21"/>
        </w:rPr>
        <w:t xml:space="preserve"> </w:t>
      </w:r>
      <w:r>
        <w:rPr>
          <w:color w:val="333333"/>
          <w:sz w:val="21"/>
        </w:rPr>
        <w:t>4.2.8</w:t>
      </w:r>
      <w:r>
        <w:rPr>
          <w:color w:val="333333"/>
          <w:spacing w:val="6"/>
          <w:sz w:val="21"/>
        </w:rPr>
        <w:t xml:space="preserve">  </w:t>
      </w:r>
      <w:r>
        <w:rPr>
          <w:color w:val="333333"/>
          <w:spacing w:val="6"/>
          <w:sz w:val="21"/>
        </w:rPr>
        <w:t>的</w:t>
      </w:r>
      <w:r>
        <w:rPr>
          <w:color w:val="333333"/>
          <w:spacing w:val="3"/>
          <w:sz w:val="21"/>
        </w:rPr>
        <w:t>规定。</w:t>
      </w:r>
      <w:r>
        <w:rPr>
          <w:color w:val="333333"/>
          <w:sz w:val="21"/>
        </w:rPr>
        <w:t xml:space="preserve"> </w:t>
      </w:r>
    </w:p>
    <w:p w14:paraId="417A0C10" w14:textId="77777777" w:rsidR="00A71EEF" w:rsidRDefault="0081115D">
      <w:pPr>
        <w:pStyle w:val="6"/>
        <w:ind w:left="1464"/>
      </w:pPr>
      <w:r>
        <w:t>表</w:t>
      </w:r>
      <w:r>
        <w:t xml:space="preserve"> 4.2.8 </w:t>
      </w:r>
      <w:r>
        <w:t>甲、乙、丙类液体装卸鹤管与建筑物、厂内铁路线的防火间距（</w:t>
      </w:r>
      <w:r>
        <w:t>m</w:t>
      </w:r>
      <w:r>
        <w:t>）</w:t>
      </w:r>
      <w:r>
        <w:rPr>
          <w:w w:val="99"/>
        </w:rPr>
        <w:t xml:space="preserve"> </w:t>
      </w:r>
    </w:p>
    <w:p w14:paraId="022D91C4" w14:textId="77777777" w:rsidR="00A71EEF" w:rsidRDefault="00A71EEF">
      <w:pPr>
        <w:pStyle w:val="a3"/>
        <w:rPr>
          <w:b/>
          <w:sz w:val="20"/>
        </w:rPr>
      </w:pPr>
    </w:p>
    <w:p w14:paraId="293DC3E0" w14:textId="77777777" w:rsidR="00A71EEF" w:rsidRDefault="0081115D">
      <w:pPr>
        <w:pStyle w:val="a3"/>
        <w:spacing w:before="5"/>
        <w:rPr>
          <w:b/>
          <w:sz w:val="24"/>
        </w:rPr>
      </w:pPr>
      <w:r>
        <w:rPr>
          <w:noProof/>
        </w:rPr>
        <w:drawing>
          <wp:anchor distT="0" distB="0" distL="0" distR="0" simplePos="0" relativeHeight="251526656" behindDoc="0" locked="0" layoutInCell="1" allowOverlap="1" wp14:anchorId="2EEF100D" wp14:editId="244780B1">
            <wp:simplePos x="0" y="0"/>
            <wp:positionH relativeFrom="page">
              <wp:posOffset>1347469</wp:posOffset>
            </wp:positionH>
            <wp:positionV relativeFrom="paragraph">
              <wp:posOffset>223596</wp:posOffset>
            </wp:positionV>
            <wp:extent cx="5120149" cy="1371600"/>
            <wp:effectExtent l="0" t="0" r="0" b="0"/>
            <wp:wrapTopAndBottom/>
            <wp:docPr id="185" name="image1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120.jpeg"/>
                    <pic:cNvPicPr/>
                  </pic:nvPicPr>
                  <pic:blipFill>
                    <a:blip r:embed="rId118" cstate="print"/>
                    <a:stretch>
                      <a:fillRect/>
                    </a:stretch>
                  </pic:blipFill>
                  <pic:spPr>
                    <a:xfrm>
                      <a:off x="0" y="0"/>
                      <a:ext cx="5120149" cy="1371600"/>
                    </a:xfrm>
                    <a:prstGeom prst="rect">
                      <a:avLst/>
                    </a:prstGeom>
                  </pic:spPr>
                </pic:pic>
              </a:graphicData>
            </a:graphic>
          </wp:anchor>
        </w:drawing>
      </w:r>
    </w:p>
    <w:p w14:paraId="419040A5" w14:textId="77777777" w:rsidR="00A71EEF" w:rsidRDefault="00A71EEF">
      <w:pPr>
        <w:pStyle w:val="a3"/>
        <w:rPr>
          <w:b/>
          <w:sz w:val="20"/>
        </w:rPr>
      </w:pPr>
    </w:p>
    <w:p w14:paraId="560CC35F" w14:textId="77777777" w:rsidR="00A71EEF" w:rsidRDefault="00A71EEF">
      <w:pPr>
        <w:pStyle w:val="a3"/>
        <w:spacing w:before="1"/>
        <w:rPr>
          <w:b/>
          <w:sz w:val="28"/>
        </w:rPr>
      </w:pPr>
    </w:p>
    <w:p w14:paraId="42AFEDA7" w14:textId="77777777" w:rsidR="00A71EEF" w:rsidRDefault="0081115D">
      <w:pPr>
        <w:pStyle w:val="a3"/>
        <w:spacing w:before="72" w:line="446" w:lineRule="auto"/>
        <w:ind w:left="840" w:right="2079" w:hanging="3"/>
      </w:pPr>
      <w:r>
        <w:rPr>
          <w:color w:val="333333"/>
        </w:rPr>
        <w:t>注：装卸鹤管与其直接装卸用的甲、乙、丙类液体装卸铁路线的防火间距不限。</w:t>
      </w:r>
      <w:r>
        <w:rPr>
          <w:b/>
          <w:color w:val="333333"/>
        </w:rPr>
        <w:t xml:space="preserve">4.2.9 </w:t>
      </w:r>
      <w:r>
        <w:rPr>
          <w:color w:val="333333"/>
        </w:rPr>
        <w:t>甲、乙、丙类液体储罐与铁路、道路的防火间距不应小于表</w:t>
      </w:r>
      <w:r>
        <w:rPr>
          <w:color w:val="333333"/>
        </w:rPr>
        <w:t xml:space="preserve"> 4.2.9 </w:t>
      </w:r>
      <w:r>
        <w:rPr>
          <w:color w:val="333333"/>
        </w:rPr>
        <w:t>的规定。</w:t>
      </w:r>
      <w:r>
        <w:rPr>
          <w:color w:val="333333"/>
        </w:rPr>
        <w:t xml:space="preserve"> </w:t>
      </w:r>
    </w:p>
    <w:p w14:paraId="723CE6D9" w14:textId="77777777" w:rsidR="00A71EEF" w:rsidRDefault="0081115D">
      <w:pPr>
        <w:pStyle w:val="6"/>
        <w:spacing w:line="267" w:lineRule="exact"/>
        <w:ind w:left="2098"/>
      </w:pPr>
      <w:r>
        <w:t>表</w:t>
      </w:r>
      <w:r>
        <w:t xml:space="preserve"> 4.2.9 </w:t>
      </w:r>
      <w:r>
        <w:t>甲、乙、丙类液体储罐与铁路、道路的防火间距（</w:t>
      </w:r>
      <w:r>
        <w:t>m</w:t>
      </w:r>
      <w:r>
        <w:t>）</w:t>
      </w:r>
      <w:r>
        <w:rPr>
          <w:w w:val="99"/>
        </w:rPr>
        <w:t xml:space="preserve"> </w:t>
      </w:r>
    </w:p>
    <w:p w14:paraId="2571021A" w14:textId="77777777" w:rsidR="00A71EEF" w:rsidRDefault="00A71EEF">
      <w:pPr>
        <w:pStyle w:val="a3"/>
        <w:rPr>
          <w:b/>
          <w:sz w:val="20"/>
        </w:rPr>
      </w:pPr>
    </w:p>
    <w:p w14:paraId="7B6A6F3E" w14:textId="77777777" w:rsidR="00A71EEF" w:rsidRDefault="0081115D">
      <w:pPr>
        <w:pStyle w:val="a3"/>
        <w:spacing w:before="2"/>
        <w:rPr>
          <w:b/>
          <w:sz w:val="11"/>
        </w:rPr>
      </w:pPr>
      <w:r>
        <w:rPr>
          <w:noProof/>
        </w:rPr>
        <w:drawing>
          <wp:anchor distT="0" distB="0" distL="0" distR="0" simplePos="0" relativeHeight="251527680" behindDoc="0" locked="0" layoutInCell="1" allowOverlap="1" wp14:anchorId="6620C217" wp14:editId="11C2EA9D">
            <wp:simplePos x="0" y="0"/>
            <wp:positionH relativeFrom="page">
              <wp:posOffset>1351280</wp:posOffset>
            </wp:positionH>
            <wp:positionV relativeFrom="paragraph">
              <wp:posOffset>115810</wp:posOffset>
            </wp:positionV>
            <wp:extent cx="4829175" cy="1200150"/>
            <wp:effectExtent l="0" t="0" r="0" b="0"/>
            <wp:wrapTopAndBottom/>
            <wp:docPr id="187" name="image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121.jpeg"/>
                    <pic:cNvPicPr/>
                  </pic:nvPicPr>
                  <pic:blipFill>
                    <a:blip r:embed="rId119" cstate="print"/>
                    <a:stretch>
                      <a:fillRect/>
                    </a:stretch>
                  </pic:blipFill>
                  <pic:spPr>
                    <a:xfrm>
                      <a:off x="0" y="0"/>
                      <a:ext cx="4829175" cy="1200150"/>
                    </a:xfrm>
                    <a:prstGeom prst="rect">
                      <a:avLst/>
                    </a:prstGeom>
                  </pic:spPr>
                </pic:pic>
              </a:graphicData>
            </a:graphic>
          </wp:anchor>
        </w:drawing>
      </w:r>
    </w:p>
    <w:p w14:paraId="3D3A8886" w14:textId="77777777" w:rsidR="00A71EEF" w:rsidRDefault="00A71EEF">
      <w:pPr>
        <w:pStyle w:val="a3"/>
        <w:rPr>
          <w:b/>
          <w:sz w:val="20"/>
        </w:rPr>
      </w:pPr>
    </w:p>
    <w:p w14:paraId="09943ED8" w14:textId="77777777" w:rsidR="00A71EEF" w:rsidRDefault="00A71EEF">
      <w:pPr>
        <w:pStyle w:val="a3"/>
        <w:spacing w:before="3"/>
        <w:rPr>
          <w:b/>
          <w:sz w:val="26"/>
        </w:rPr>
      </w:pPr>
    </w:p>
    <w:p w14:paraId="173BA6DC" w14:textId="77777777" w:rsidR="00A71EEF" w:rsidRDefault="0081115D">
      <w:pPr>
        <w:pStyle w:val="a4"/>
        <w:numPr>
          <w:ilvl w:val="2"/>
          <w:numId w:val="734"/>
        </w:numPr>
        <w:tabs>
          <w:tab w:val="left" w:pos="1478"/>
        </w:tabs>
        <w:spacing w:before="72"/>
        <w:ind w:hanging="638"/>
        <w:rPr>
          <w:sz w:val="21"/>
        </w:rPr>
      </w:pPr>
      <w:r>
        <w:rPr>
          <w:color w:val="333333"/>
          <w:spacing w:val="-6"/>
          <w:sz w:val="21"/>
        </w:rPr>
        <w:t>零位罐与所属铁路装卸线的距离不应小于</w:t>
      </w:r>
      <w:r>
        <w:rPr>
          <w:color w:val="333333"/>
          <w:spacing w:val="-6"/>
          <w:sz w:val="21"/>
        </w:rPr>
        <w:t xml:space="preserve"> </w:t>
      </w:r>
      <w:r>
        <w:rPr>
          <w:color w:val="333333"/>
          <w:spacing w:val="-3"/>
          <w:sz w:val="21"/>
        </w:rPr>
        <w:t>6m</w:t>
      </w:r>
      <w:r>
        <w:rPr>
          <w:color w:val="333333"/>
          <w:sz w:val="21"/>
        </w:rPr>
        <w:t>。</w:t>
      </w:r>
      <w:r>
        <w:rPr>
          <w:color w:val="333333"/>
          <w:sz w:val="21"/>
        </w:rPr>
        <w:t xml:space="preserve"> </w:t>
      </w:r>
    </w:p>
    <w:p w14:paraId="667CF6D9" w14:textId="77777777" w:rsidR="00A71EEF" w:rsidRDefault="00A71EEF">
      <w:pPr>
        <w:pStyle w:val="a3"/>
        <w:spacing w:before="12"/>
        <w:rPr>
          <w:sz w:val="17"/>
        </w:rPr>
      </w:pPr>
    </w:p>
    <w:p w14:paraId="6316D41F" w14:textId="77777777" w:rsidR="00A71EEF" w:rsidRDefault="0081115D">
      <w:pPr>
        <w:pStyle w:val="a4"/>
        <w:numPr>
          <w:ilvl w:val="2"/>
          <w:numId w:val="734"/>
        </w:numPr>
        <w:tabs>
          <w:tab w:val="left" w:pos="1478"/>
        </w:tabs>
        <w:ind w:hanging="638"/>
        <w:rPr>
          <w:sz w:val="21"/>
        </w:rPr>
      </w:pPr>
      <w:r>
        <w:rPr>
          <w:color w:val="333333"/>
          <w:spacing w:val="-3"/>
          <w:sz w:val="21"/>
        </w:rPr>
        <w:t>石油库的储罐</w:t>
      </w:r>
      <w:r>
        <w:rPr>
          <w:color w:val="333333"/>
          <w:sz w:val="21"/>
        </w:rPr>
        <w:t>（</w:t>
      </w:r>
      <w:r>
        <w:rPr>
          <w:color w:val="333333"/>
          <w:spacing w:val="-3"/>
          <w:sz w:val="21"/>
        </w:rPr>
        <w:t>区</w:t>
      </w:r>
      <w:r>
        <w:rPr>
          <w:color w:val="333333"/>
          <w:sz w:val="21"/>
        </w:rPr>
        <w:t>）</w:t>
      </w:r>
      <w:r>
        <w:rPr>
          <w:color w:val="333333"/>
          <w:spacing w:val="-3"/>
          <w:sz w:val="21"/>
        </w:rPr>
        <w:t>与建筑的防火间距，石油库内的储罐布置和防火间距以及储罐</w:t>
      </w:r>
    </w:p>
    <w:p w14:paraId="7DD49BAC" w14:textId="77777777" w:rsidR="00A71EEF" w:rsidRDefault="00A71EEF">
      <w:pPr>
        <w:rPr>
          <w:sz w:val="21"/>
        </w:rPr>
        <w:sectPr w:rsidR="00A71EEF">
          <w:pgSz w:w="11910" w:h="16850"/>
          <w:pgMar w:top="1380" w:right="0" w:bottom="1420" w:left="1260" w:header="0" w:footer="1239" w:gutter="0"/>
          <w:cols w:space="720"/>
        </w:sectPr>
      </w:pPr>
    </w:p>
    <w:p w14:paraId="606523B2" w14:textId="77777777" w:rsidR="00A71EEF" w:rsidRDefault="0081115D">
      <w:pPr>
        <w:pStyle w:val="a3"/>
        <w:spacing w:before="47" w:line="446" w:lineRule="auto"/>
        <w:ind w:left="418" w:right="1503"/>
      </w:pPr>
      <w:r>
        <w:rPr>
          <w:color w:val="333333"/>
          <w:spacing w:val="-3"/>
        </w:rPr>
        <w:lastRenderedPageBreak/>
        <w:t>与泵房、装卸鹤管等库内建筑的防火间距，应符合现行国家标准《石油库设计规范》</w:t>
      </w:r>
      <w:r>
        <w:rPr>
          <w:color w:val="333333"/>
        </w:rPr>
        <w:t>GB</w:t>
      </w:r>
      <w:r>
        <w:rPr>
          <w:color w:val="333333"/>
          <w:spacing w:val="20"/>
        </w:rPr>
        <w:t xml:space="preserve"> </w:t>
      </w:r>
      <w:r>
        <w:rPr>
          <w:color w:val="333333"/>
        </w:rPr>
        <w:t xml:space="preserve">50074 </w:t>
      </w:r>
      <w:r>
        <w:rPr>
          <w:color w:val="333333"/>
          <w:spacing w:val="-2"/>
        </w:rPr>
        <w:t>的规定。</w:t>
      </w:r>
      <w:r>
        <w:rPr>
          <w:color w:val="333333"/>
        </w:rPr>
        <w:t xml:space="preserve"> </w:t>
      </w:r>
    </w:p>
    <w:p w14:paraId="23175A94" w14:textId="77777777" w:rsidR="00A71EEF" w:rsidRDefault="0081115D">
      <w:pPr>
        <w:pStyle w:val="a4"/>
        <w:numPr>
          <w:ilvl w:val="1"/>
          <w:numId w:val="738"/>
        </w:numPr>
        <w:tabs>
          <w:tab w:val="left" w:pos="1159"/>
        </w:tabs>
        <w:spacing w:line="267" w:lineRule="exact"/>
        <w:ind w:hanging="319"/>
        <w:rPr>
          <w:sz w:val="21"/>
        </w:rPr>
      </w:pPr>
      <w:r>
        <w:rPr>
          <w:spacing w:val="-3"/>
          <w:sz w:val="21"/>
        </w:rPr>
        <w:t>可燃、助燃气体储罐</w:t>
      </w:r>
      <w:r>
        <w:rPr>
          <w:sz w:val="21"/>
        </w:rPr>
        <w:t>（区</w:t>
      </w:r>
      <w:r>
        <w:rPr>
          <w:spacing w:val="-3"/>
          <w:sz w:val="21"/>
        </w:rPr>
        <w:t>）的防火间距</w:t>
      </w:r>
      <w:r>
        <w:rPr>
          <w:sz w:val="21"/>
        </w:rPr>
        <w:t xml:space="preserve"> </w:t>
      </w:r>
    </w:p>
    <w:p w14:paraId="51FA9D5B" w14:textId="77777777" w:rsidR="00A71EEF" w:rsidRDefault="00A71EEF">
      <w:pPr>
        <w:pStyle w:val="a3"/>
        <w:spacing w:before="2"/>
        <w:rPr>
          <w:sz w:val="18"/>
        </w:rPr>
      </w:pPr>
    </w:p>
    <w:p w14:paraId="167391BD" w14:textId="77777777" w:rsidR="00A71EEF" w:rsidRDefault="0081115D">
      <w:pPr>
        <w:pStyle w:val="a4"/>
        <w:numPr>
          <w:ilvl w:val="2"/>
          <w:numId w:val="738"/>
        </w:numPr>
        <w:tabs>
          <w:tab w:val="left" w:pos="1370"/>
        </w:tabs>
        <w:ind w:left="1369" w:hanging="530"/>
        <w:rPr>
          <w:sz w:val="21"/>
        </w:rPr>
      </w:pPr>
      <w:r>
        <w:rPr>
          <w:color w:val="333333"/>
          <w:spacing w:val="-3"/>
          <w:sz w:val="21"/>
        </w:rPr>
        <w:t>可燃气体储罐与建筑物、储罐、堆场等的防火间距应符合下列规定：</w:t>
      </w:r>
      <w:r>
        <w:rPr>
          <w:color w:val="333333"/>
          <w:spacing w:val="-3"/>
          <w:sz w:val="21"/>
        </w:rPr>
        <w:t xml:space="preserve"> </w:t>
      </w:r>
    </w:p>
    <w:p w14:paraId="6AAAC5CA" w14:textId="77777777" w:rsidR="00A71EEF" w:rsidRDefault="00A71EEF">
      <w:pPr>
        <w:pStyle w:val="a3"/>
        <w:rPr>
          <w:sz w:val="18"/>
        </w:rPr>
      </w:pPr>
    </w:p>
    <w:p w14:paraId="3472D730" w14:textId="77777777" w:rsidR="00A71EEF" w:rsidRDefault="0081115D">
      <w:pPr>
        <w:pStyle w:val="a3"/>
        <w:ind w:left="838"/>
      </w:pPr>
      <w:r>
        <w:rPr>
          <w:color w:val="333333"/>
        </w:rPr>
        <w:t>湿式可燃气体储罐与建筑物、储罐、堆场等的防火间距不应小于表</w:t>
      </w:r>
      <w:r>
        <w:rPr>
          <w:color w:val="333333"/>
        </w:rPr>
        <w:t xml:space="preserve"> 4.3.1 </w:t>
      </w:r>
      <w:r>
        <w:rPr>
          <w:color w:val="333333"/>
        </w:rPr>
        <w:t>的规定；</w:t>
      </w:r>
      <w:r>
        <w:rPr>
          <w:color w:val="333333"/>
        </w:rPr>
        <w:t xml:space="preserve"> </w:t>
      </w:r>
    </w:p>
    <w:p w14:paraId="34B60921" w14:textId="77777777" w:rsidR="00A71EEF" w:rsidRDefault="00A71EEF">
      <w:pPr>
        <w:pStyle w:val="a3"/>
        <w:spacing w:before="12"/>
        <w:rPr>
          <w:sz w:val="17"/>
        </w:rPr>
      </w:pPr>
    </w:p>
    <w:p w14:paraId="468915C6" w14:textId="77777777" w:rsidR="00A71EEF" w:rsidRDefault="0081115D">
      <w:pPr>
        <w:pStyle w:val="6"/>
        <w:ind w:left="1781"/>
      </w:pPr>
      <w:r>
        <w:t>表</w:t>
      </w:r>
      <w:r>
        <w:t xml:space="preserve"> 4.3.1 </w:t>
      </w:r>
      <w:r>
        <w:t>湿式可燃气体储罐与建筑物、储罐、堆场等的防火间距（</w:t>
      </w:r>
      <w:r>
        <w:t>m</w:t>
      </w:r>
      <w:r>
        <w:t>）</w:t>
      </w:r>
      <w:r>
        <w:rPr>
          <w:w w:val="99"/>
        </w:rPr>
        <w:t xml:space="preserve"> </w:t>
      </w:r>
    </w:p>
    <w:p w14:paraId="14151E28" w14:textId="77777777" w:rsidR="00A71EEF" w:rsidRDefault="0081115D">
      <w:pPr>
        <w:pStyle w:val="a3"/>
        <w:spacing w:before="8"/>
        <w:rPr>
          <w:b/>
          <w:sz w:val="19"/>
        </w:rPr>
      </w:pPr>
      <w:r>
        <w:rPr>
          <w:noProof/>
        </w:rPr>
        <w:drawing>
          <wp:anchor distT="0" distB="0" distL="0" distR="0" simplePos="0" relativeHeight="251528704" behindDoc="0" locked="0" layoutInCell="1" allowOverlap="1" wp14:anchorId="7DAF3EFB" wp14:editId="47101AFE">
            <wp:simplePos x="0" y="0"/>
            <wp:positionH relativeFrom="page">
              <wp:posOffset>989330</wp:posOffset>
            </wp:positionH>
            <wp:positionV relativeFrom="paragraph">
              <wp:posOffset>184840</wp:posOffset>
            </wp:positionV>
            <wp:extent cx="5318131" cy="3658742"/>
            <wp:effectExtent l="0" t="0" r="0" b="0"/>
            <wp:wrapTopAndBottom/>
            <wp:docPr id="189" name="image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22.jpeg"/>
                    <pic:cNvPicPr/>
                  </pic:nvPicPr>
                  <pic:blipFill>
                    <a:blip r:embed="rId120" cstate="print"/>
                    <a:stretch>
                      <a:fillRect/>
                    </a:stretch>
                  </pic:blipFill>
                  <pic:spPr>
                    <a:xfrm>
                      <a:off x="0" y="0"/>
                      <a:ext cx="5318131" cy="3658742"/>
                    </a:xfrm>
                    <a:prstGeom prst="rect">
                      <a:avLst/>
                    </a:prstGeom>
                  </pic:spPr>
                </pic:pic>
              </a:graphicData>
            </a:graphic>
          </wp:anchor>
        </w:drawing>
      </w:r>
    </w:p>
    <w:p w14:paraId="0932941D" w14:textId="77777777" w:rsidR="00A71EEF" w:rsidRDefault="00A71EEF">
      <w:pPr>
        <w:pStyle w:val="a3"/>
        <w:spacing w:before="1"/>
        <w:rPr>
          <w:b/>
          <w:sz w:val="14"/>
        </w:rPr>
      </w:pPr>
    </w:p>
    <w:p w14:paraId="7468DD1F" w14:textId="77777777" w:rsidR="00A71EEF" w:rsidRDefault="0081115D">
      <w:pPr>
        <w:pStyle w:val="a3"/>
        <w:ind w:left="838"/>
      </w:pPr>
      <w:r>
        <w:rPr>
          <w:color w:val="333333"/>
        </w:rPr>
        <w:t>注：固定容积可燃气体储罐的总容积按储罐几何容积（</w:t>
      </w:r>
      <w:r>
        <w:rPr>
          <w:color w:val="333333"/>
        </w:rPr>
        <w:t>m</w:t>
      </w:r>
      <w:r>
        <w:rPr>
          <w:color w:val="333333"/>
          <w:position w:val="11"/>
          <w:sz w:val="11"/>
        </w:rPr>
        <w:t>3</w:t>
      </w:r>
      <w:r>
        <w:rPr>
          <w:color w:val="333333"/>
        </w:rPr>
        <w:t>）和设计储存压力（绝对压力，</w:t>
      </w:r>
    </w:p>
    <w:p w14:paraId="75F7DE20" w14:textId="77777777" w:rsidR="00A71EEF" w:rsidRDefault="00A71EEF">
      <w:pPr>
        <w:pStyle w:val="a3"/>
        <w:spacing w:before="2"/>
        <w:rPr>
          <w:sz w:val="18"/>
        </w:rPr>
      </w:pPr>
    </w:p>
    <w:p w14:paraId="4111792C" w14:textId="77777777" w:rsidR="00A71EEF" w:rsidRDefault="0081115D">
      <w:pPr>
        <w:pStyle w:val="a3"/>
        <w:ind w:left="418"/>
      </w:pPr>
      <w:r>
        <w:rPr>
          <w:color w:val="333333"/>
        </w:rPr>
        <w:t>105Pa</w:t>
      </w:r>
      <w:r>
        <w:rPr>
          <w:color w:val="333333"/>
        </w:rPr>
        <w:t>）</w:t>
      </w:r>
      <w:r>
        <w:rPr>
          <w:color w:val="333333"/>
        </w:rPr>
        <w:t xml:space="preserve"> </w:t>
      </w:r>
      <w:r>
        <w:rPr>
          <w:color w:val="333333"/>
        </w:rPr>
        <w:t>的乘积计算。</w:t>
      </w:r>
      <w:r>
        <w:rPr>
          <w:color w:val="333333"/>
        </w:rPr>
        <w:t xml:space="preserve"> </w:t>
      </w:r>
    </w:p>
    <w:p w14:paraId="56625716" w14:textId="77777777" w:rsidR="00A71EEF" w:rsidRDefault="00A71EEF">
      <w:pPr>
        <w:pStyle w:val="a3"/>
        <w:rPr>
          <w:sz w:val="18"/>
        </w:rPr>
      </w:pPr>
    </w:p>
    <w:p w14:paraId="15B3D97C" w14:textId="77777777" w:rsidR="00A71EEF" w:rsidRDefault="0081115D">
      <w:pPr>
        <w:pStyle w:val="a3"/>
        <w:ind w:left="838"/>
        <w:rPr>
          <w:b/>
        </w:rPr>
      </w:pPr>
      <w:r>
        <w:rPr>
          <w:color w:val="333333"/>
        </w:rPr>
        <w:t>固定容积的可燃气体储罐与建筑物、储罐、堆场等的防火间距不应小于表</w:t>
      </w:r>
      <w:r>
        <w:rPr>
          <w:color w:val="333333"/>
        </w:rPr>
        <w:t xml:space="preserve"> 4.3.1 </w:t>
      </w:r>
      <w:r>
        <w:rPr>
          <w:color w:val="333333"/>
        </w:rPr>
        <w:t>的规定；</w:t>
      </w:r>
      <w:r>
        <w:rPr>
          <w:b/>
          <w:color w:val="333333"/>
          <w:w w:val="99"/>
        </w:rPr>
        <w:t xml:space="preserve"> </w:t>
      </w:r>
    </w:p>
    <w:p w14:paraId="2FAB3281" w14:textId="77777777" w:rsidR="00A71EEF" w:rsidRDefault="00A71EEF">
      <w:pPr>
        <w:pStyle w:val="a3"/>
        <w:spacing w:before="12"/>
        <w:rPr>
          <w:b/>
          <w:sz w:val="17"/>
        </w:rPr>
      </w:pPr>
    </w:p>
    <w:p w14:paraId="55BD4B24" w14:textId="77777777" w:rsidR="00A71EEF" w:rsidRDefault="0081115D">
      <w:pPr>
        <w:pStyle w:val="a3"/>
        <w:spacing w:line="446" w:lineRule="auto"/>
        <w:ind w:left="418" w:right="1505" w:firstLine="419"/>
        <w:rPr>
          <w:b/>
        </w:rPr>
      </w:pPr>
      <w:r>
        <w:rPr>
          <w:color w:val="333333"/>
        </w:rPr>
        <w:t xml:space="preserve"> </w:t>
      </w:r>
      <w:r>
        <w:rPr>
          <w:color w:val="333333"/>
        </w:rPr>
        <w:t>干式可燃气体储罐与建筑物、储罐、堆场等的防火间距：当可燃气体的密度比空气大时，</w:t>
      </w:r>
      <w:r>
        <w:rPr>
          <w:color w:val="333333"/>
        </w:rPr>
        <w:t xml:space="preserve"> </w:t>
      </w:r>
      <w:r>
        <w:rPr>
          <w:color w:val="333333"/>
        </w:rPr>
        <w:t>应按表</w:t>
      </w:r>
      <w:r>
        <w:rPr>
          <w:color w:val="333333"/>
        </w:rPr>
        <w:t xml:space="preserve"> 4.3.1 </w:t>
      </w:r>
      <w:r>
        <w:rPr>
          <w:color w:val="333333"/>
        </w:rPr>
        <w:t>的规定增加</w:t>
      </w:r>
      <w:r>
        <w:rPr>
          <w:color w:val="333333"/>
        </w:rPr>
        <w:t xml:space="preserve"> 25%</w:t>
      </w:r>
      <w:r>
        <w:rPr>
          <w:color w:val="333333"/>
        </w:rPr>
        <w:t>；当可燃气体的密度比空气小时，可按表</w:t>
      </w:r>
      <w:r>
        <w:rPr>
          <w:color w:val="333333"/>
        </w:rPr>
        <w:t xml:space="preserve"> 4.3.1 </w:t>
      </w:r>
      <w:r>
        <w:rPr>
          <w:color w:val="333333"/>
        </w:rPr>
        <w:t>的规定确定；</w:t>
      </w:r>
      <w:r>
        <w:rPr>
          <w:b/>
          <w:color w:val="333333"/>
          <w:w w:val="99"/>
        </w:rPr>
        <w:t xml:space="preserve"> </w:t>
      </w:r>
    </w:p>
    <w:p w14:paraId="59F87A78" w14:textId="77777777" w:rsidR="00A71EEF" w:rsidRDefault="0081115D">
      <w:pPr>
        <w:pStyle w:val="a3"/>
        <w:spacing w:line="446" w:lineRule="auto"/>
        <w:ind w:left="418" w:right="1609" w:firstLine="419"/>
        <w:rPr>
          <w:b/>
        </w:rPr>
      </w:pPr>
      <w:r>
        <w:rPr>
          <w:color w:val="333333"/>
        </w:rPr>
        <w:t>湿式或干式可燃气体储罐的水封井、油泵房和电梯间等附属设施与该储罐的防火间距，可按工艺要求布置；</w:t>
      </w:r>
      <w:r>
        <w:rPr>
          <w:b/>
          <w:color w:val="333333"/>
          <w:w w:val="99"/>
        </w:rPr>
        <w:t xml:space="preserve"> </w:t>
      </w:r>
    </w:p>
    <w:p w14:paraId="2C7F37FE" w14:textId="77777777" w:rsidR="00A71EEF" w:rsidRDefault="0081115D">
      <w:pPr>
        <w:pStyle w:val="a3"/>
        <w:spacing w:line="446" w:lineRule="auto"/>
        <w:ind w:left="840" w:right="3704" w:hanging="3"/>
        <w:rPr>
          <w:b/>
        </w:rPr>
      </w:pPr>
      <w:r>
        <w:rPr>
          <w:color w:val="333333"/>
        </w:rPr>
        <w:t>容积不大于</w:t>
      </w:r>
      <w:r>
        <w:rPr>
          <w:color w:val="333333"/>
        </w:rPr>
        <w:t xml:space="preserve"> 20m</w:t>
      </w:r>
      <w:r>
        <w:rPr>
          <w:color w:val="333333"/>
          <w:position w:val="11"/>
          <w:sz w:val="11"/>
        </w:rPr>
        <w:t xml:space="preserve">3 </w:t>
      </w:r>
      <w:r>
        <w:rPr>
          <w:color w:val="333333"/>
        </w:rPr>
        <w:t>的可燃气体储罐与其使用厂房的防火间距不限。</w:t>
      </w:r>
      <w:r>
        <w:rPr>
          <w:b/>
        </w:rPr>
        <w:t xml:space="preserve">4.3.2 </w:t>
      </w:r>
      <w:r>
        <w:t>可燃气体储罐（区）之间的防火间距应符合下列规定：</w:t>
      </w:r>
      <w:r>
        <w:rPr>
          <w:b/>
          <w:w w:val="99"/>
        </w:rPr>
        <w:t xml:space="preserve"> </w:t>
      </w:r>
    </w:p>
    <w:p w14:paraId="2793E26B" w14:textId="77777777" w:rsidR="00A71EEF" w:rsidRDefault="0081115D">
      <w:pPr>
        <w:pStyle w:val="a3"/>
        <w:spacing w:line="267" w:lineRule="exact"/>
        <w:ind w:left="838"/>
      </w:pPr>
      <w:r>
        <w:t>湿式可燃气体储罐或干式可燃气体储罐之间及湿式与干式可燃气体储罐的防火间距，不应</w:t>
      </w:r>
    </w:p>
    <w:p w14:paraId="6F61DFDC" w14:textId="77777777" w:rsidR="00A71EEF" w:rsidRDefault="00A71EEF">
      <w:pPr>
        <w:spacing w:line="267" w:lineRule="exact"/>
        <w:sectPr w:rsidR="00A71EEF">
          <w:pgSz w:w="11910" w:h="16850"/>
          <w:pgMar w:top="1220" w:right="0" w:bottom="1420" w:left="1260" w:header="0" w:footer="1239" w:gutter="0"/>
          <w:cols w:space="720"/>
        </w:sectPr>
      </w:pPr>
    </w:p>
    <w:p w14:paraId="18D5F595" w14:textId="77777777" w:rsidR="00A71EEF" w:rsidRDefault="0081115D">
      <w:pPr>
        <w:pStyle w:val="a3"/>
        <w:spacing w:before="47"/>
        <w:ind w:left="418"/>
        <w:rPr>
          <w:b/>
        </w:rPr>
      </w:pPr>
      <w:r>
        <w:lastRenderedPageBreak/>
        <w:t>小于相邻较大罐直径的</w:t>
      </w:r>
      <w:r>
        <w:t xml:space="preserve"> 1/2</w:t>
      </w:r>
      <w:r>
        <w:t>；</w:t>
      </w:r>
      <w:r>
        <w:rPr>
          <w:b/>
          <w:w w:val="99"/>
        </w:rPr>
        <w:t xml:space="preserve"> </w:t>
      </w:r>
    </w:p>
    <w:p w14:paraId="633B15F1" w14:textId="77777777" w:rsidR="00A71EEF" w:rsidRDefault="00A71EEF">
      <w:pPr>
        <w:pStyle w:val="a3"/>
        <w:rPr>
          <w:b/>
          <w:sz w:val="18"/>
        </w:rPr>
      </w:pPr>
    </w:p>
    <w:p w14:paraId="6CC59CF5" w14:textId="77777777" w:rsidR="00A71EEF" w:rsidRDefault="0081115D">
      <w:pPr>
        <w:pStyle w:val="a3"/>
        <w:ind w:left="838"/>
        <w:jc w:val="both"/>
        <w:rPr>
          <w:b/>
        </w:rPr>
      </w:pPr>
      <w:r>
        <w:t>固定容积的可燃气体储罐之间的防火间距不应小于相邻较大罐直径的</w:t>
      </w:r>
      <w:r>
        <w:t xml:space="preserve"> 2/3</w:t>
      </w:r>
      <w:r>
        <w:t>；</w:t>
      </w:r>
      <w:r>
        <w:rPr>
          <w:b/>
          <w:w w:val="99"/>
        </w:rPr>
        <w:t xml:space="preserve"> </w:t>
      </w:r>
    </w:p>
    <w:p w14:paraId="74235E1C" w14:textId="77777777" w:rsidR="00A71EEF" w:rsidRDefault="00A71EEF">
      <w:pPr>
        <w:pStyle w:val="a3"/>
        <w:rPr>
          <w:b/>
          <w:sz w:val="18"/>
        </w:rPr>
      </w:pPr>
    </w:p>
    <w:p w14:paraId="0BDE42CC" w14:textId="77777777" w:rsidR="00A71EEF" w:rsidRDefault="0081115D">
      <w:pPr>
        <w:pStyle w:val="a3"/>
        <w:spacing w:line="446" w:lineRule="auto"/>
        <w:ind w:left="418" w:right="1609" w:firstLine="419"/>
        <w:jc w:val="both"/>
        <w:rPr>
          <w:b/>
        </w:rPr>
      </w:pPr>
      <w:r>
        <w:t>固定容积的可燃气体储罐与湿式或干式可燃气体储罐的防火间距，不应小于相邻较大罐直径的</w:t>
      </w:r>
      <w:r>
        <w:t xml:space="preserve"> 1/2</w:t>
      </w:r>
      <w:r>
        <w:t>；</w:t>
      </w:r>
      <w:r>
        <w:rPr>
          <w:b/>
          <w:w w:val="99"/>
        </w:rPr>
        <w:t xml:space="preserve"> </w:t>
      </w:r>
    </w:p>
    <w:p w14:paraId="68B551DE" w14:textId="77777777" w:rsidR="00A71EEF" w:rsidRDefault="0081115D">
      <w:pPr>
        <w:pStyle w:val="a3"/>
        <w:spacing w:line="446" w:lineRule="auto"/>
        <w:ind w:left="418" w:right="1608" w:firstLine="419"/>
        <w:jc w:val="both"/>
        <w:rPr>
          <w:b/>
        </w:rPr>
      </w:pPr>
      <w:r>
        <w:rPr>
          <w:spacing w:val="-6"/>
        </w:rPr>
        <w:t>数个固定容积的可燃气体储罐的总容积大于</w:t>
      </w:r>
      <w:r>
        <w:rPr>
          <w:spacing w:val="-6"/>
        </w:rPr>
        <w:t xml:space="preserve"> </w:t>
      </w:r>
      <w:r>
        <w:t>200000m</w:t>
      </w:r>
      <w:r>
        <w:rPr>
          <w:position w:val="11"/>
          <w:sz w:val="11"/>
        </w:rPr>
        <w:t>3</w:t>
      </w:r>
      <w:r>
        <w:rPr>
          <w:sz w:val="11"/>
        </w:rPr>
        <w:t xml:space="preserve"> </w:t>
      </w:r>
      <w:r>
        <w:rPr>
          <w:spacing w:val="-3"/>
        </w:rPr>
        <w:t>时，应分组布置。卧式储罐组之间的防火间距不应小于相邻较大罐长度的一半；球形储罐组之间的防火间距不应小于相邻较大罐</w:t>
      </w:r>
      <w:r>
        <w:rPr>
          <w:spacing w:val="-9"/>
        </w:rPr>
        <w:t>直径，且不应小于</w:t>
      </w:r>
      <w:r>
        <w:rPr>
          <w:spacing w:val="-9"/>
        </w:rPr>
        <w:t xml:space="preserve"> </w:t>
      </w:r>
      <w:r>
        <w:t>20m</w:t>
      </w:r>
      <w:r>
        <w:t>。</w:t>
      </w:r>
      <w:r>
        <w:rPr>
          <w:b/>
          <w:w w:val="99"/>
        </w:rPr>
        <w:t xml:space="preserve"> </w:t>
      </w:r>
    </w:p>
    <w:p w14:paraId="0F128F9D" w14:textId="77777777" w:rsidR="00A71EEF" w:rsidRDefault="0081115D">
      <w:pPr>
        <w:pStyle w:val="a4"/>
        <w:numPr>
          <w:ilvl w:val="2"/>
          <w:numId w:val="733"/>
        </w:numPr>
        <w:tabs>
          <w:tab w:val="left" w:pos="1371"/>
        </w:tabs>
        <w:spacing w:line="268" w:lineRule="exact"/>
        <w:rPr>
          <w:b/>
          <w:sz w:val="19"/>
        </w:rPr>
      </w:pPr>
      <w:r>
        <w:rPr>
          <w:spacing w:val="-3"/>
          <w:sz w:val="21"/>
        </w:rPr>
        <w:t>氧气储罐与建筑物、储罐、堆场等的防火间距应符合下列规定：</w:t>
      </w:r>
      <w:r>
        <w:rPr>
          <w:b/>
          <w:w w:val="99"/>
          <w:sz w:val="21"/>
        </w:rPr>
        <w:t xml:space="preserve"> </w:t>
      </w:r>
    </w:p>
    <w:p w14:paraId="561C24F8" w14:textId="77777777" w:rsidR="00A71EEF" w:rsidRDefault="00A71EEF">
      <w:pPr>
        <w:pStyle w:val="a3"/>
        <w:spacing w:before="2"/>
        <w:rPr>
          <w:b/>
          <w:sz w:val="17"/>
        </w:rPr>
      </w:pPr>
    </w:p>
    <w:p w14:paraId="10C31B02" w14:textId="77777777" w:rsidR="00A71EEF" w:rsidRDefault="0081115D">
      <w:pPr>
        <w:pStyle w:val="a3"/>
        <w:ind w:left="838"/>
        <w:jc w:val="both"/>
        <w:rPr>
          <w:b/>
        </w:rPr>
      </w:pPr>
      <w:r>
        <w:rPr>
          <w:spacing w:val="-5"/>
        </w:rPr>
        <w:t>湿式氧气储罐与建筑物、储罐、堆场等的防火间距不应小于表</w:t>
      </w:r>
      <w:r>
        <w:rPr>
          <w:spacing w:val="-5"/>
        </w:rPr>
        <w:t xml:space="preserve"> </w:t>
      </w:r>
      <w:r>
        <w:t>4.3.3</w:t>
      </w:r>
      <w:r>
        <w:rPr>
          <w:spacing w:val="2"/>
        </w:rPr>
        <w:t xml:space="preserve"> </w:t>
      </w:r>
      <w:r>
        <w:rPr>
          <w:spacing w:val="2"/>
        </w:rPr>
        <w:t>的规定；</w:t>
      </w:r>
      <w:r>
        <w:rPr>
          <w:b/>
          <w:spacing w:val="2"/>
          <w:w w:val="99"/>
        </w:rPr>
        <w:t xml:space="preserve"> </w:t>
      </w:r>
    </w:p>
    <w:p w14:paraId="27EFD832" w14:textId="77777777" w:rsidR="00A71EEF" w:rsidRDefault="00A71EEF">
      <w:pPr>
        <w:pStyle w:val="a3"/>
        <w:spacing w:before="2"/>
        <w:rPr>
          <w:b/>
          <w:sz w:val="18"/>
        </w:rPr>
      </w:pPr>
    </w:p>
    <w:p w14:paraId="3745C00B" w14:textId="77777777" w:rsidR="00A71EEF" w:rsidRDefault="0081115D">
      <w:pPr>
        <w:pStyle w:val="6"/>
        <w:ind w:left="1992"/>
      </w:pPr>
      <w:r>
        <w:rPr>
          <w:spacing w:val="-27"/>
        </w:rPr>
        <w:t>表</w:t>
      </w:r>
      <w:r>
        <w:rPr>
          <w:spacing w:val="-27"/>
        </w:rPr>
        <w:t xml:space="preserve"> </w:t>
      </w:r>
      <w:r>
        <w:t>4.3.3</w:t>
      </w:r>
      <w:r>
        <w:rPr>
          <w:spacing w:val="-3"/>
        </w:rPr>
        <w:t xml:space="preserve"> </w:t>
      </w:r>
      <w:r>
        <w:rPr>
          <w:spacing w:val="-3"/>
        </w:rPr>
        <w:t>湿式氧气储罐与建筑物、储罐、堆场等的防火间距</w:t>
      </w:r>
      <w:r>
        <w:t>（</w:t>
      </w:r>
      <w:r>
        <w:t>m</w:t>
      </w:r>
      <w:r>
        <w:t>）</w:t>
      </w:r>
      <w:r>
        <w:rPr>
          <w:w w:val="99"/>
        </w:rPr>
        <w:t xml:space="preserve"> </w:t>
      </w:r>
    </w:p>
    <w:p w14:paraId="09E54396" w14:textId="77777777" w:rsidR="00A71EEF" w:rsidRDefault="0081115D">
      <w:pPr>
        <w:pStyle w:val="a3"/>
        <w:spacing w:before="12"/>
        <w:rPr>
          <w:b/>
          <w:sz w:val="24"/>
        </w:rPr>
      </w:pPr>
      <w:r>
        <w:rPr>
          <w:noProof/>
        </w:rPr>
        <w:drawing>
          <wp:anchor distT="0" distB="0" distL="0" distR="0" simplePos="0" relativeHeight="251529728" behindDoc="0" locked="0" layoutInCell="1" allowOverlap="1" wp14:anchorId="4FE86D32" wp14:editId="22B1F8B9">
            <wp:simplePos x="0" y="0"/>
            <wp:positionH relativeFrom="page">
              <wp:posOffset>1198880</wp:posOffset>
            </wp:positionH>
            <wp:positionV relativeFrom="paragraph">
              <wp:posOffset>227766</wp:posOffset>
            </wp:positionV>
            <wp:extent cx="5289249" cy="3114675"/>
            <wp:effectExtent l="0" t="0" r="0" b="0"/>
            <wp:wrapTopAndBottom/>
            <wp:docPr id="191" name="image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23.jpeg"/>
                    <pic:cNvPicPr/>
                  </pic:nvPicPr>
                  <pic:blipFill>
                    <a:blip r:embed="rId121" cstate="print"/>
                    <a:stretch>
                      <a:fillRect/>
                    </a:stretch>
                  </pic:blipFill>
                  <pic:spPr>
                    <a:xfrm>
                      <a:off x="0" y="0"/>
                      <a:ext cx="5289249" cy="3114675"/>
                    </a:xfrm>
                    <a:prstGeom prst="rect">
                      <a:avLst/>
                    </a:prstGeom>
                  </pic:spPr>
                </pic:pic>
              </a:graphicData>
            </a:graphic>
          </wp:anchor>
        </w:drawing>
      </w:r>
    </w:p>
    <w:p w14:paraId="3B5E7FF3" w14:textId="77777777" w:rsidR="00A71EEF" w:rsidRDefault="0081115D">
      <w:pPr>
        <w:pStyle w:val="a3"/>
        <w:spacing w:before="167"/>
        <w:ind w:left="838"/>
      </w:pPr>
      <w:r>
        <w:rPr>
          <w:color w:val="333333"/>
        </w:rPr>
        <w:t>注：固定容积氧气储罐的总容积按储罐几何容积（</w:t>
      </w:r>
      <w:r>
        <w:rPr>
          <w:color w:val="333333"/>
        </w:rPr>
        <w:t>m</w:t>
      </w:r>
      <w:r>
        <w:rPr>
          <w:color w:val="333333"/>
          <w:position w:val="11"/>
          <w:sz w:val="11"/>
        </w:rPr>
        <w:t>3</w:t>
      </w:r>
      <w:r>
        <w:rPr>
          <w:color w:val="333333"/>
        </w:rPr>
        <w:t>）和设计储存压力（绝对压力，</w:t>
      </w:r>
    </w:p>
    <w:p w14:paraId="335F586E" w14:textId="77777777" w:rsidR="00A71EEF" w:rsidRDefault="00A71EEF">
      <w:pPr>
        <w:pStyle w:val="a3"/>
        <w:spacing w:before="2"/>
        <w:rPr>
          <w:sz w:val="18"/>
        </w:rPr>
      </w:pPr>
    </w:p>
    <w:p w14:paraId="6BD054EA" w14:textId="77777777" w:rsidR="00A71EEF" w:rsidRDefault="0081115D">
      <w:pPr>
        <w:pStyle w:val="a3"/>
        <w:ind w:left="418"/>
      </w:pPr>
      <w:r>
        <w:rPr>
          <w:color w:val="333333"/>
        </w:rPr>
        <w:t>105Pa</w:t>
      </w:r>
      <w:r>
        <w:rPr>
          <w:color w:val="333333"/>
        </w:rPr>
        <w:t>）的乘积计算。</w:t>
      </w:r>
      <w:r>
        <w:rPr>
          <w:color w:val="333333"/>
        </w:rPr>
        <w:t xml:space="preserve"> </w:t>
      </w:r>
    </w:p>
    <w:p w14:paraId="325696DC" w14:textId="77777777" w:rsidR="00A71EEF" w:rsidRDefault="00A71EEF">
      <w:pPr>
        <w:pStyle w:val="a3"/>
        <w:rPr>
          <w:sz w:val="18"/>
        </w:rPr>
      </w:pPr>
    </w:p>
    <w:p w14:paraId="3EE64785" w14:textId="77777777" w:rsidR="00A71EEF" w:rsidRDefault="0081115D">
      <w:pPr>
        <w:pStyle w:val="a3"/>
        <w:ind w:left="838"/>
        <w:rPr>
          <w:b/>
        </w:rPr>
      </w:pPr>
      <w:r>
        <w:rPr>
          <w:color w:val="333333"/>
        </w:rPr>
        <w:t>氧气储罐之间的防火间距不应小于相邻较大罐直径的</w:t>
      </w:r>
      <w:r>
        <w:rPr>
          <w:color w:val="333333"/>
        </w:rPr>
        <w:t xml:space="preserve"> 1/2</w:t>
      </w:r>
      <w:r>
        <w:rPr>
          <w:color w:val="333333"/>
        </w:rPr>
        <w:t>；</w:t>
      </w:r>
      <w:r>
        <w:rPr>
          <w:b/>
          <w:color w:val="333333"/>
          <w:w w:val="99"/>
        </w:rPr>
        <w:t xml:space="preserve"> </w:t>
      </w:r>
    </w:p>
    <w:p w14:paraId="23528BBD" w14:textId="77777777" w:rsidR="00A71EEF" w:rsidRDefault="00A71EEF">
      <w:pPr>
        <w:pStyle w:val="a3"/>
        <w:spacing w:before="12"/>
        <w:rPr>
          <w:b/>
          <w:sz w:val="17"/>
        </w:rPr>
      </w:pPr>
    </w:p>
    <w:p w14:paraId="30C7A402" w14:textId="77777777" w:rsidR="00A71EEF" w:rsidRDefault="0081115D">
      <w:pPr>
        <w:pStyle w:val="a3"/>
        <w:ind w:left="838"/>
        <w:rPr>
          <w:b/>
        </w:rPr>
      </w:pPr>
      <w:r>
        <w:rPr>
          <w:color w:val="333333"/>
        </w:rPr>
        <w:t>氧气储罐与可燃气体储罐的防火间距不应小于相邻较大罐的直径；</w:t>
      </w:r>
      <w:r>
        <w:rPr>
          <w:b/>
          <w:color w:val="333333"/>
          <w:w w:val="99"/>
        </w:rPr>
        <w:t xml:space="preserve"> </w:t>
      </w:r>
    </w:p>
    <w:p w14:paraId="75EBAC1A" w14:textId="77777777" w:rsidR="00A71EEF" w:rsidRDefault="00A71EEF">
      <w:pPr>
        <w:pStyle w:val="a3"/>
        <w:spacing w:before="2"/>
        <w:rPr>
          <w:b/>
          <w:sz w:val="18"/>
        </w:rPr>
      </w:pPr>
    </w:p>
    <w:p w14:paraId="6D36574E" w14:textId="77777777" w:rsidR="00A71EEF" w:rsidRDefault="0081115D">
      <w:pPr>
        <w:pStyle w:val="a3"/>
        <w:spacing w:line="446" w:lineRule="auto"/>
        <w:ind w:left="838" w:right="1925"/>
        <w:rPr>
          <w:b/>
        </w:rPr>
      </w:pPr>
      <w:r>
        <w:rPr>
          <w:color w:val="333333"/>
          <w:spacing w:val="-5"/>
        </w:rPr>
        <w:t>固定容积的氧气储罐与建筑物、储罐、堆场等的防火间距不应小于表</w:t>
      </w:r>
      <w:r>
        <w:rPr>
          <w:color w:val="333333"/>
          <w:spacing w:val="-5"/>
        </w:rPr>
        <w:t xml:space="preserve"> </w:t>
      </w:r>
      <w:r>
        <w:rPr>
          <w:color w:val="333333"/>
        </w:rPr>
        <w:t>4.3.3</w:t>
      </w:r>
      <w:r>
        <w:rPr>
          <w:color w:val="333333"/>
          <w:spacing w:val="-11"/>
        </w:rPr>
        <w:t xml:space="preserve"> </w:t>
      </w:r>
      <w:r>
        <w:rPr>
          <w:color w:val="333333"/>
          <w:spacing w:val="-11"/>
        </w:rPr>
        <w:t>的规定；</w:t>
      </w:r>
      <w:r>
        <w:rPr>
          <w:color w:val="333333"/>
          <w:spacing w:val="-11"/>
        </w:rPr>
        <w:t xml:space="preserve"> </w:t>
      </w:r>
      <w:r>
        <w:rPr>
          <w:color w:val="333333"/>
          <w:spacing w:val="-3"/>
        </w:rPr>
        <w:t>氧气储罐与其制氧厂房的防火间距可按工艺布置要求确定；</w:t>
      </w:r>
      <w:r>
        <w:rPr>
          <w:b/>
          <w:color w:val="333333"/>
          <w:w w:val="99"/>
        </w:rPr>
        <w:t xml:space="preserve"> </w:t>
      </w:r>
    </w:p>
    <w:p w14:paraId="58C040E6" w14:textId="77777777" w:rsidR="00A71EEF" w:rsidRDefault="0081115D">
      <w:pPr>
        <w:pStyle w:val="a3"/>
        <w:spacing w:line="267" w:lineRule="exact"/>
        <w:ind w:left="838"/>
        <w:rPr>
          <w:b/>
        </w:rPr>
      </w:pPr>
      <w:r>
        <w:rPr>
          <w:color w:val="333333"/>
        </w:rPr>
        <w:t>容积不大于</w:t>
      </w:r>
      <w:r>
        <w:rPr>
          <w:color w:val="333333"/>
        </w:rPr>
        <w:t xml:space="preserve"> 50m</w:t>
      </w:r>
      <w:r>
        <w:rPr>
          <w:color w:val="333333"/>
          <w:position w:val="11"/>
          <w:sz w:val="11"/>
        </w:rPr>
        <w:t>3</w:t>
      </w:r>
      <w:r>
        <w:rPr>
          <w:color w:val="333333"/>
          <w:sz w:val="11"/>
        </w:rPr>
        <w:t xml:space="preserve"> </w:t>
      </w:r>
      <w:r>
        <w:rPr>
          <w:color w:val="333333"/>
        </w:rPr>
        <w:t>的氧气储罐与其使用厂房的防火间距不限。</w:t>
      </w:r>
      <w:r>
        <w:rPr>
          <w:b/>
          <w:color w:val="333333"/>
          <w:w w:val="99"/>
        </w:rPr>
        <w:t xml:space="preserve"> </w:t>
      </w:r>
    </w:p>
    <w:p w14:paraId="6286913E" w14:textId="77777777" w:rsidR="00A71EEF" w:rsidRDefault="00A71EEF">
      <w:pPr>
        <w:pStyle w:val="a3"/>
        <w:spacing w:before="5"/>
        <w:rPr>
          <w:b/>
          <w:sz w:val="17"/>
        </w:rPr>
      </w:pPr>
    </w:p>
    <w:p w14:paraId="5F7EE19F" w14:textId="77777777" w:rsidR="00A71EEF" w:rsidRDefault="0081115D">
      <w:pPr>
        <w:pStyle w:val="a3"/>
        <w:ind w:left="838"/>
      </w:pPr>
      <w:r>
        <w:rPr>
          <w:color w:val="333333"/>
        </w:rPr>
        <w:t>注：</w:t>
      </w:r>
      <w:r>
        <w:rPr>
          <w:color w:val="333333"/>
        </w:rPr>
        <w:t>1m</w:t>
      </w:r>
      <w:r>
        <w:rPr>
          <w:color w:val="333333"/>
          <w:position w:val="11"/>
          <w:sz w:val="11"/>
        </w:rPr>
        <w:t>3</w:t>
      </w:r>
      <w:r>
        <w:rPr>
          <w:color w:val="333333"/>
          <w:sz w:val="11"/>
        </w:rPr>
        <w:t xml:space="preserve"> </w:t>
      </w:r>
      <w:r>
        <w:rPr>
          <w:color w:val="333333"/>
          <w:spacing w:val="-8"/>
        </w:rPr>
        <w:t>液氧折合标准状态下</w:t>
      </w:r>
      <w:r>
        <w:rPr>
          <w:color w:val="333333"/>
          <w:spacing w:val="-8"/>
        </w:rPr>
        <w:t xml:space="preserve"> </w:t>
      </w:r>
      <w:r>
        <w:rPr>
          <w:color w:val="333333"/>
        </w:rPr>
        <w:t>800m</w:t>
      </w:r>
      <w:r>
        <w:rPr>
          <w:color w:val="333333"/>
          <w:position w:val="11"/>
          <w:sz w:val="11"/>
        </w:rPr>
        <w:t>3</w:t>
      </w:r>
      <w:r>
        <w:rPr>
          <w:color w:val="333333"/>
          <w:sz w:val="11"/>
        </w:rPr>
        <w:t xml:space="preserve"> </w:t>
      </w:r>
      <w:r>
        <w:rPr>
          <w:color w:val="333333"/>
          <w:spacing w:val="-3"/>
        </w:rPr>
        <w:t>气态氧。</w:t>
      </w:r>
      <w:r>
        <w:rPr>
          <w:color w:val="333333"/>
        </w:rPr>
        <w:t xml:space="preserve"> </w:t>
      </w:r>
    </w:p>
    <w:p w14:paraId="21A27265" w14:textId="77777777" w:rsidR="00A71EEF" w:rsidRDefault="00A71EEF">
      <w:pPr>
        <w:sectPr w:rsidR="00A71EEF">
          <w:pgSz w:w="11910" w:h="16850"/>
          <w:pgMar w:top="1220" w:right="0" w:bottom="1420" w:left="1260" w:header="0" w:footer="1239" w:gutter="0"/>
          <w:cols w:space="720"/>
        </w:sectPr>
      </w:pPr>
    </w:p>
    <w:p w14:paraId="700B5A2A" w14:textId="77777777" w:rsidR="00A71EEF" w:rsidRDefault="0081115D">
      <w:pPr>
        <w:pStyle w:val="a4"/>
        <w:numPr>
          <w:ilvl w:val="2"/>
          <w:numId w:val="733"/>
        </w:numPr>
        <w:tabs>
          <w:tab w:val="left" w:pos="1370"/>
        </w:tabs>
        <w:spacing w:before="47" w:line="441" w:lineRule="auto"/>
        <w:ind w:left="418" w:right="1450" w:firstLine="422"/>
        <w:rPr>
          <w:color w:val="333333"/>
          <w:sz w:val="19"/>
        </w:rPr>
      </w:pPr>
      <w:r>
        <w:rPr>
          <w:color w:val="333333"/>
          <w:spacing w:val="-5"/>
          <w:sz w:val="21"/>
        </w:rPr>
        <w:lastRenderedPageBreak/>
        <w:t>液氧储罐与建筑物、储罐、堆场等的防火间距应符合本规范第</w:t>
      </w:r>
      <w:r>
        <w:rPr>
          <w:color w:val="333333"/>
          <w:spacing w:val="-5"/>
          <w:sz w:val="21"/>
        </w:rPr>
        <w:t xml:space="preserve"> </w:t>
      </w:r>
      <w:r>
        <w:rPr>
          <w:color w:val="333333"/>
          <w:sz w:val="21"/>
        </w:rPr>
        <w:t xml:space="preserve">4.3.3 </w:t>
      </w:r>
      <w:r>
        <w:rPr>
          <w:color w:val="333333"/>
          <w:sz w:val="21"/>
        </w:rPr>
        <w:t>条相应容积湿式</w:t>
      </w:r>
      <w:r>
        <w:rPr>
          <w:color w:val="333333"/>
          <w:spacing w:val="-5"/>
          <w:sz w:val="21"/>
        </w:rPr>
        <w:t>氧气储罐防火间距的规定。液氧储罐与其泵房的间距不宜小于</w:t>
      </w:r>
      <w:r>
        <w:rPr>
          <w:color w:val="333333"/>
          <w:spacing w:val="-5"/>
          <w:sz w:val="21"/>
        </w:rPr>
        <w:t xml:space="preserve"> </w:t>
      </w:r>
      <w:r>
        <w:rPr>
          <w:color w:val="333333"/>
          <w:sz w:val="21"/>
        </w:rPr>
        <w:t>3m</w:t>
      </w:r>
      <w:r>
        <w:rPr>
          <w:color w:val="333333"/>
          <w:spacing w:val="-8"/>
          <w:sz w:val="21"/>
        </w:rPr>
        <w:t>。总容积小于等于</w:t>
      </w:r>
      <w:r>
        <w:rPr>
          <w:color w:val="333333"/>
          <w:spacing w:val="-8"/>
          <w:sz w:val="21"/>
        </w:rPr>
        <w:t xml:space="preserve"> </w:t>
      </w:r>
      <w:r>
        <w:rPr>
          <w:color w:val="333333"/>
          <w:sz w:val="21"/>
        </w:rPr>
        <w:t>3m</w:t>
      </w:r>
      <w:r>
        <w:rPr>
          <w:color w:val="333333"/>
          <w:position w:val="11"/>
          <w:sz w:val="11"/>
        </w:rPr>
        <w:t>3</w:t>
      </w:r>
      <w:r>
        <w:rPr>
          <w:color w:val="333333"/>
          <w:spacing w:val="15"/>
          <w:sz w:val="11"/>
        </w:rPr>
        <w:t xml:space="preserve"> </w:t>
      </w:r>
      <w:r>
        <w:rPr>
          <w:color w:val="333333"/>
          <w:sz w:val="21"/>
        </w:rPr>
        <w:t>的液氧</w:t>
      </w:r>
      <w:r>
        <w:rPr>
          <w:color w:val="333333"/>
          <w:spacing w:val="-3"/>
          <w:sz w:val="21"/>
        </w:rPr>
        <w:t>储罐与其使用建筑的防火间距应符合下列规定：</w:t>
      </w:r>
      <w:r>
        <w:rPr>
          <w:color w:val="333333"/>
          <w:sz w:val="21"/>
        </w:rPr>
        <w:t xml:space="preserve"> </w:t>
      </w:r>
    </w:p>
    <w:p w14:paraId="7E8EF66A" w14:textId="77777777" w:rsidR="00A71EEF" w:rsidRDefault="0081115D">
      <w:pPr>
        <w:pStyle w:val="a3"/>
        <w:spacing w:before="5"/>
        <w:ind w:left="838"/>
      </w:pPr>
      <w:r>
        <w:rPr>
          <w:color w:val="333333"/>
        </w:rPr>
        <w:t xml:space="preserve"> </w:t>
      </w:r>
      <w:r>
        <w:rPr>
          <w:color w:val="333333"/>
        </w:rPr>
        <w:t>当设置在独立的一、二级耐火等级的专用建筑物内时，其防火间距不应小于</w:t>
      </w:r>
      <w:r>
        <w:rPr>
          <w:color w:val="333333"/>
        </w:rPr>
        <w:t xml:space="preserve"> 10m</w:t>
      </w:r>
      <w:r>
        <w:rPr>
          <w:color w:val="333333"/>
        </w:rPr>
        <w:t>；</w:t>
      </w:r>
      <w:r>
        <w:rPr>
          <w:color w:val="333333"/>
        </w:rPr>
        <w:t xml:space="preserve"> </w:t>
      </w:r>
    </w:p>
    <w:p w14:paraId="4D9035C5" w14:textId="77777777" w:rsidR="00A71EEF" w:rsidRDefault="00A71EEF">
      <w:pPr>
        <w:pStyle w:val="a3"/>
        <w:rPr>
          <w:sz w:val="18"/>
        </w:rPr>
      </w:pPr>
    </w:p>
    <w:p w14:paraId="306BAABF" w14:textId="77777777" w:rsidR="00A71EEF" w:rsidRDefault="0081115D">
      <w:pPr>
        <w:pStyle w:val="a3"/>
        <w:spacing w:line="446" w:lineRule="auto"/>
        <w:ind w:left="418" w:right="1505" w:firstLine="419"/>
      </w:pPr>
      <w:r>
        <w:rPr>
          <w:color w:val="333333"/>
        </w:rPr>
        <w:t xml:space="preserve"> </w:t>
      </w:r>
      <w:r>
        <w:rPr>
          <w:color w:val="333333"/>
        </w:rPr>
        <w:t>当设置在独立的一、二级耐火等级的专用建筑物内，且面向使用建筑物一侧采用无门窗洞口的防火墙隔开时，其防火间距不限；</w:t>
      </w:r>
      <w:r>
        <w:rPr>
          <w:color w:val="333333"/>
        </w:rPr>
        <w:t xml:space="preserve"> </w:t>
      </w:r>
    </w:p>
    <w:p w14:paraId="2D82359C" w14:textId="77777777" w:rsidR="00A71EEF" w:rsidRDefault="0081115D">
      <w:pPr>
        <w:pStyle w:val="a3"/>
        <w:spacing w:line="441" w:lineRule="auto"/>
        <w:ind w:left="838" w:right="3344"/>
        <w:jc w:val="both"/>
      </w:pPr>
      <w:r>
        <w:rPr>
          <w:color w:val="333333"/>
          <w:spacing w:val="-5"/>
        </w:rPr>
        <w:t>当低温储存的液氧储罐采取了防火措施时，其防火间距不应小于</w:t>
      </w:r>
      <w:r>
        <w:rPr>
          <w:color w:val="333333"/>
          <w:spacing w:val="-5"/>
        </w:rPr>
        <w:t xml:space="preserve"> </w:t>
      </w:r>
      <w:r>
        <w:rPr>
          <w:color w:val="333333"/>
        </w:rPr>
        <w:t>5m</w:t>
      </w:r>
      <w:r>
        <w:rPr>
          <w:color w:val="333333"/>
          <w:spacing w:val="-3"/>
        </w:rPr>
        <w:t>。医疗卫生机构中的医用液氧储罐气源站的液氧储罐应符合下列规定：</w:t>
      </w:r>
      <w:r>
        <w:rPr>
          <w:color w:val="333333"/>
          <w:spacing w:val="-3"/>
        </w:rPr>
        <w:t xml:space="preserve"> </w:t>
      </w:r>
      <w:r>
        <w:rPr>
          <w:color w:val="333333"/>
          <w:spacing w:val="-9"/>
        </w:rPr>
        <w:t>单罐容积不应大于</w:t>
      </w:r>
      <w:r>
        <w:rPr>
          <w:color w:val="333333"/>
          <w:spacing w:val="-9"/>
        </w:rPr>
        <w:t xml:space="preserve"> </w:t>
      </w:r>
      <w:r>
        <w:rPr>
          <w:color w:val="333333"/>
        </w:rPr>
        <w:t>5m</w:t>
      </w:r>
      <w:r>
        <w:rPr>
          <w:color w:val="333333"/>
          <w:position w:val="11"/>
          <w:sz w:val="11"/>
        </w:rPr>
        <w:t>3</w:t>
      </w:r>
      <w:r>
        <w:rPr>
          <w:color w:val="333333"/>
          <w:spacing w:val="-9"/>
        </w:rPr>
        <w:t>，总容积不宜大于</w:t>
      </w:r>
      <w:r>
        <w:rPr>
          <w:color w:val="333333"/>
          <w:spacing w:val="-9"/>
        </w:rPr>
        <w:t xml:space="preserve"> </w:t>
      </w:r>
      <w:r>
        <w:rPr>
          <w:color w:val="333333"/>
        </w:rPr>
        <w:t>20m</w:t>
      </w:r>
      <w:r>
        <w:rPr>
          <w:color w:val="333333"/>
          <w:position w:val="11"/>
          <w:sz w:val="11"/>
        </w:rPr>
        <w:t>3</w:t>
      </w:r>
      <w:r>
        <w:rPr>
          <w:color w:val="333333"/>
        </w:rPr>
        <w:t>；</w:t>
      </w:r>
      <w:r>
        <w:rPr>
          <w:color w:val="333333"/>
        </w:rPr>
        <w:t xml:space="preserve"> </w:t>
      </w:r>
    </w:p>
    <w:p w14:paraId="774F5B70" w14:textId="77777777" w:rsidR="00A71EEF" w:rsidRDefault="0081115D">
      <w:pPr>
        <w:pStyle w:val="a3"/>
        <w:spacing w:before="5"/>
        <w:ind w:left="838"/>
        <w:jc w:val="both"/>
      </w:pPr>
      <w:r>
        <w:rPr>
          <w:color w:val="333333"/>
        </w:rPr>
        <w:t>相邻储罐之间的距离不应小于最大储罐直径的</w:t>
      </w:r>
      <w:r>
        <w:rPr>
          <w:color w:val="333333"/>
        </w:rPr>
        <w:t xml:space="preserve"> 0.75 </w:t>
      </w:r>
      <w:r>
        <w:rPr>
          <w:color w:val="333333"/>
        </w:rPr>
        <w:t>倍；</w:t>
      </w:r>
      <w:r>
        <w:rPr>
          <w:color w:val="333333"/>
        </w:rPr>
        <w:t xml:space="preserve"> </w:t>
      </w:r>
    </w:p>
    <w:p w14:paraId="3A73D99D" w14:textId="77777777" w:rsidR="00A71EEF" w:rsidRDefault="00A71EEF">
      <w:pPr>
        <w:pStyle w:val="a3"/>
        <w:rPr>
          <w:sz w:val="18"/>
        </w:rPr>
      </w:pPr>
    </w:p>
    <w:p w14:paraId="097034AE" w14:textId="77777777" w:rsidR="00A71EEF" w:rsidRDefault="0081115D">
      <w:pPr>
        <w:pStyle w:val="a3"/>
        <w:spacing w:line="446" w:lineRule="auto"/>
        <w:ind w:left="418" w:right="1402" w:firstLine="419"/>
        <w:jc w:val="both"/>
      </w:pPr>
      <w:r>
        <w:rPr>
          <w:color w:val="333333"/>
          <w:spacing w:val="-5"/>
        </w:rPr>
        <w:t>医用液氧储罐与医疗卫生机构外建筑的防火间距应符合本规范第</w:t>
      </w:r>
      <w:r>
        <w:rPr>
          <w:color w:val="333333"/>
          <w:spacing w:val="-5"/>
        </w:rPr>
        <w:t xml:space="preserve"> </w:t>
      </w:r>
      <w:r>
        <w:rPr>
          <w:color w:val="333333"/>
        </w:rPr>
        <w:t>4.3.3</w:t>
      </w:r>
      <w:r>
        <w:rPr>
          <w:color w:val="333333"/>
          <w:spacing w:val="-2"/>
        </w:rPr>
        <w:t xml:space="preserve"> </w:t>
      </w:r>
      <w:r>
        <w:rPr>
          <w:color w:val="333333"/>
          <w:spacing w:val="-2"/>
        </w:rPr>
        <w:t>条的规定，与医疗</w:t>
      </w:r>
      <w:r>
        <w:rPr>
          <w:color w:val="333333"/>
          <w:spacing w:val="-3"/>
        </w:rPr>
        <w:t>卫生机构内建筑的防火间距应符合现行国家标准《医用气体工程技术规范》</w:t>
      </w:r>
      <w:r>
        <w:rPr>
          <w:color w:val="333333"/>
        </w:rPr>
        <w:t xml:space="preserve">GB 50751 </w:t>
      </w:r>
      <w:r>
        <w:rPr>
          <w:color w:val="333333"/>
        </w:rPr>
        <w:t>的规定。</w:t>
      </w:r>
      <w:r>
        <w:rPr>
          <w:color w:val="333333"/>
        </w:rPr>
        <w:t xml:space="preserve"> </w:t>
      </w:r>
    </w:p>
    <w:p w14:paraId="30A1A61E" w14:textId="77777777" w:rsidR="00A71EEF" w:rsidRDefault="0081115D">
      <w:pPr>
        <w:pStyle w:val="a4"/>
        <w:numPr>
          <w:ilvl w:val="2"/>
          <w:numId w:val="733"/>
        </w:numPr>
        <w:tabs>
          <w:tab w:val="left" w:pos="1371"/>
        </w:tabs>
        <w:jc w:val="both"/>
        <w:rPr>
          <w:color w:val="333333"/>
          <w:sz w:val="19"/>
        </w:rPr>
      </w:pPr>
      <w:r>
        <w:rPr>
          <w:color w:val="333333"/>
          <w:spacing w:val="-10"/>
          <w:sz w:val="21"/>
        </w:rPr>
        <w:t>液氧储罐周围</w:t>
      </w:r>
      <w:r>
        <w:rPr>
          <w:color w:val="333333"/>
          <w:spacing w:val="-10"/>
          <w:sz w:val="21"/>
        </w:rPr>
        <w:t xml:space="preserve"> </w:t>
      </w:r>
      <w:r>
        <w:rPr>
          <w:color w:val="333333"/>
          <w:sz w:val="21"/>
        </w:rPr>
        <w:t>5m</w:t>
      </w:r>
      <w:r>
        <w:rPr>
          <w:color w:val="333333"/>
          <w:spacing w:val="-3"/>
          <w:sz w:val="21"/>
        </w:rPr>
        <w:t xml:space="preserve"> </w:t>
      </w:r>
      <w:r>
        <w:rPr>
          <w:color w:val="333333"/>
          <w:spacing w:val="-3"/>
          <w:sz w:val="21"/>
        </w:rPr>
        <w:t>范围内不应有可燃物和沥青路面。</w:t>
      </w:r>
      <w:r>
        <w:rPr>
          <w:color w:val="333333"/>
          <w:sz w:val="21"/>
        </w:rPr>
        <w:t xml:space="preserve"> </w:t>
      </w:r>
    </w:p>
    <w:p w14:paraId="446E9B80" w14:textId="77777777" w:rsidR="00A71EEF" w:rsidRDefault="00A71EEF">
      <w:pPr>
        <w:pStyle w:val="a3"/>
        <w:spacing w:before="12"/>
        <w:rPr>
          <w:sz w:val="17"/>
        </w:rPr>
      </w:pPr>
    </w:p>
    <w:p w14:paraId="625045BB" w14:textId="77777777" w:rsidR="00A71EEF" w:rsidRDefault="0081115D">
      <w:pPr>
        <w:pStyle w:val="a4"/>
        <w:numPr>
          <w:ilvl w:val="2"/>
          <w:numId w:val="733"/>
        </w:numPr>
        <w:tabs>
          <w:tab w:val="left" w:pos="1370"/>
        </w:tabs>
        <w:ind w:left="1369" w:hanging="530"/>
        <w:rPr>
          <w:color w:val="333333"/>
          <w:sz w:val="19"/>
        </w:rPr>
      </w:pPr>
      <w:r>
        <w:rPr>
          <w:color w:val="333333"/>
          <w:spacing w:val="-5"/>
          <w:sz w:val="21"/>
        </w:rPr>
        <w:t>可燃、助燃气体储罐与铁路、道路的防火间距不应小于表</w:t>
      </w:r>
      <w:r>
        <w:rPr>
          <w:color w:val="333333"/>
          <w:spacing w:val="-5"/>
          <w:sz w:val="21"/>
        </w:rPr>
        <w:t xml:space="preserve"> </w:t>
      </w:r>
      <w:r>
        <w:rPr>
          <w:color w:val="333333"/>
          <w:sz w:val="21"/>
        </w:rPr>
        <w:t>4.3.6</w:t>
      </w:r>
      <w:r>
        <w:rPr>
          <w:color w:val="333333"/>
          <w:spacing w:val="-2"/>
          <w:sz w:val="21"/>
        </w:rPr>
        <w:t xml:space="preserve"> </w:t>
      </w:r>
      <w:r>
        <w:rPr>
          <w:color w:val="333333"/>
          <w:spacing w:val="-2"/>
          <w:sz w:val="21"/>
        </w:rPr>
        <w:t>的规定。</w:t>
      </w:r>
      <w:r>
        <w:rPr>
          <w:color w:val="333333"/>
          <w:spacing w:val="-2"/>
          <w:sz w:val="21"/>
        </w:rPr>
        <w:t xml:space="preserve"> </w:t>
      </w:r>
    </w:p>
    <w:p w14:paraId="3C8FF4AB" w14:textId="77777777" w:rsidR="00A71EEF" w:rsidRDefault="00A71EEF">
      <w:pPr>
        <w:pStyle w:val="a3"/>
        <w:rPr>
          <w:sz w:val="18"/>
        </w:rPr>
      </w:pPr>
    </w:p>
    <w:p w14:paraId="79AA26E0" w14:textId="77777777" w:rsidR="00A71EEF" w:rsidRDefault="0081115D">
      <w:pPr>
        <w:pStyle w:val="6"/>
        <w:ind w:left="2203"/>
      </w:pPr>
      <w:r>
        <w:t>表</w:t>
      </w:r>
      <w:r>
        <w:t xml:space="preserve"> 4.3.6 </w:t>
      </w:r>
      <w:r>
        <w:t>可燃、助燃气体储罐与铁路、道路的防火间距（</w:t>
      </w:r>
      <w:r>
        <w:t>m</w:t>
      </w:r>
      <w:r>
        <w:t>）</w:t>
      </w:r>
      <w:r>
        <w:rPr>
          <w:w w:val="99"/>
        </w:rPr>
        <w:t xml:space="preserve"> </w:t>
      </w:r>
    </w:p>
    <w:p w14:paraId="0FA248A7" w14:textId="77777777" w:rsidR="00A71EEF" w:rsidRDefault="0081115D">
      <w:pPr>
        <w:pStyle w:val="a3"/>
        <w:spacing w:before="4"/>
        <w:rPr>
          <w:b/>
          <w:sz w:val="13"/>
        </w:rPr>
      </w:pPr>
      <w:r>
        <w:rPr>
          <w:noProof/>
        </w:rPr>
        <w:drawing>
          <wp:anchor distT="0" distB="0" distL="0" distR="0" simplePos="0" relativeHeight="251530752" behindDoc="0" locked="0" layoutInCell="1" allowOverlap="1" wp14:anchorId="209F97B8" wp14:editId="258C1E66">
            <wp:simplePos x="0" y="0"/>
            <wp:positionH relativeFrom="page">
              <wp:posOffset>1227455</wp:posOffset>
            </wp:positionH>
            <wp:positionV relativeFrom="paragraph">
              <wp:posOffset>133302</wp:posOffset>
            </wp:positionV>
            <wp:extent cx="5001757" cy="1100137"/>
            <wp:effectExtent l="0" t="0" r="0" b="0"/>
            <wp:wrapTopAndBottom/>
            <wp:docPr id="193" name="image1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24.jpeg"/>
                    <pic:cNvPicPr/>
                  </pic:nvPicPr>
                  <pic:blipFill>
                    <a:blip r:embed="rId122" cstate="print"/>
                    <a:stretch>
                      <a:fillRect/>
                    </a:stretch>
                  </pic:blipFill>
                  <pic:spPr>
                    <a:xfrm>
                      <a:off x="0" y="0"/>
                      <a:ext cx="5001757" cy="1100137"/>
                    </a:xfrm>
                    <a:prstGeom prst="rect">
                      <a:avLst/>
                    </a:prstGeom>
                  </pic:spPr>
                </pic:pic>
              </a:graphicData>
            </a:graphic>
          </wp:anchor>
        </w:drawing>
      </w:r>
    </w:p>
    <w:p w14:paraId="5FC9EA16" w14:textId="77777777" w:rsidR="00A71EEF" w:rsidRDefault="0081115D">
      <w:pPr>
        <w:pStyle w:val="a4"/>
        <w:numPr>
          <w:ilvl w:val="2"/>
          <w:numId w:val="733"/>
        </w:numPr>
        <w:tabs>
          <w:tab w:val="left" w:pos="1370"/>
        </w:tabs>
        <w:spacing w:before="172" w:line="446" w:lineRule="auto"/>
        <w:ind w:left="418" w:right="1553" w:firstLine="422"/>
        <w:rPr>
          <w:b/>
          <w:color w:val="333333"/>
          <w:sz w:val="19"/>
        </w:rPr>
      </w:pPr>
      <w:r>
        <w:rPr>
          <w:color w:val="333333"/>
          <w:spacing w:val="-5"/>
          <w:sz w:val="21"/>
        </w:rPr>
        <w:t>液氢、液氨储罐与建筑物、储罐、堆场等的防火间距可按本规范</w:t>
      </w:r>
      <w:r>
        <w:rPr>
          <w:color w:val="333333"/>
          <w:spacing w:val="-5"/>
          <w:sz w:val="21"/>
        </w:rPr>
        <w:t xml:space="preserve"> </w:t>
      </w:r>
      <w:r>
        <w:rPr>
          <w:color w:val="333333"/>
          <w:sz w:val="21"/>
        </w:rPr>
        <w:t xml:space="preserve">4.4.1 </w:t>
      </w:r>
      <w:r>
        <w:rPr>
          <w:color w:val="333333"/>
          <w:sz w:val="21"/>
        </w:rPr>
        <w:t>条相应容积</w:t>
      </w:r>
      <w:r>
        <w:rPr>
          <w:color w:val="333333"/>
          <w:spacing w:val="-6"/>
          <w:sz w:val="21"/>
        </w:rPr>
        <w:t>液化石油气储罐防火间距的规定减少</w:t>
      </w:r>
      <w:r>
        <w:rPr>
          <w:color w:val="333333"/>
          <w:spacing w:val="-6"/>
          <w:sz w:val="21"/>
        </w:rPr>
        <w:t xml:space="preserve"> </w:t>
      </w:r>
      <w:r>
        <w:rPr>
          <w:color w:val="333333"/>
          <w:sz w:val="21"/>
        </w:rPr>
        <w:t>25</w:t>
      </w:r>
      <w:r>
        <w:rPr>
          <w:color w:val="333333"/>
          <w:spacing w:val="-2"/>
          <w:sz w:val="21"/>
        </w:rPr>
        <w:t>%</w:t>
      </w:r>
      <w:r>
        <w:rPr>
          <w:color w:val="333333"/>
          <w:spacing w:val="-2"/>
          <w:sz w:val="21"/>
        </w:rPr>
        <w:t>确定。</w:t>
      </w:r>
      <w:r>
        <w:rPr>
          <w:b/>
          <w:color w:val="333333"/>
          <w:w w:val="99"/>
          <w:sz w:val="21"/>
        </w:rPr>
        <w:t xml:space="preserve"> </w:t>
      </w:r>
    </w:p>
    <w:p w14:paraId="60262967" w14:textId="77777777" w:rsidR="00A71EEF" w:rsidRDefault="0081115D">
      <w:pPr>
        <w:pStyle w:val="a4"/>
        <w:numPr>
          <w:ilvl w:val="2"/>
          <w:numId w:val="733"/>
        </w:numPr>
        <w:tabs>
          <w:tab w:val="left" w:pos="1370"/>
        </w:tabs>
        <w:spacing w:line="267" w:lineRule="exact"/>
        <w:ind w:left="1369" w:hanging="530"/>
        <w:rPr>
          <w:color w:val="333333"/>
          <w:sz w:val="19"/>
        </w:rPr>
      </w:pPr>
      <w:r>
        <w:rPr>
          <w:color w:val="333333"/>
          <w:spacing w:val="-3"/>
          <w:sz w:val="21"/>
        </w:rPr>
        <w:t>液化天然气气化站的液化天然气储罐（</w:t>
      </w:r>
      <w:r>
        <w:rPr>
          <w:color w:val="333333"/>
          <w:sz w:val="21"/>
        </w:rPr>
        <w:t>区</w:t>
      </w:r>
      <w:r>
        <w:rPr>
          <w:color w:val="333333"/>
          <w:spacing w:val="-3"/>
          <w:sz w:val="21"/>
        </w:rPr>
        <w:t>）与站外建筑等的防火间距不应小于表</w:t>
      </w:r>
    </w:p>
    <w:p w14:paraId="330F4556" w14:textId="77777777" w:rsidR="00A71EEF" w:rsidRDefault="00A71EEF">
      <w:pPr>
        <w:pStyle w:val="a3"/>
        <w:spacing w:before="2"/>
        <w:rPr>
          <w:sz w:val="18"/>
        </w:rPr>
      </w:pPr>
    </w:p>
    <w:p w14:paraId="6BE3C3D0" w14:textId="77777777" w:rsidR="00A71EEF" w:rsidRDefault="0081115D">
      <w:pPr>
        <w:pStyle w:val="a3"/>
        <w:spacing w:line="446" w:lineRule="auto"/>
        <w:ind w:left="418" w:right="1497"/>
        <w:rPr>
          <w:b/>
        </w:rPr>
      </w:pPr>
      <w:r>
        <w:rPr>
          <w:color w:val="333333"/>
        </w:rPr>
        <w:t xml:space="preserve">4.3.8 </w:t>
      </w:r>
      <w:r>
        <w:rPr>
          <w:color w:val="333333"/>
        </w:rPr>
        <w:t>的规定，与表</w:t>
      </w:r>
      <w:r>
        <w:rPr>
          <w:color w:val="333333"/>
        </w:rPr>
        <w:t xml:space="preserve"> 4.3.8 </w:t>
      </w:r>
      <w:r>
        <w:rPr>
          <w:color w:val="333333"/>
        </w:rPr>
        <w:t>未规定的其他建筑的防火间距，应符合现行国家标准《城镇燃气设计规范》</w:t>
      </w:r>
      <w:r>
        <w:rPr>
          <w:color w:val="333333"/>
        </w:rPr>
        <w:t xml:space="preserve">GB 50028 </w:t>
      </w:r>
      <w:r>
        <w:rPr>
          <w:color w:val="333333"/>
        </w:rPr>
        <w:t>的规定。</w:t>
      </w:r>
      <w:r>
        <w:rPr>
          <w:b/>
          <w:color w:val="333333"/>
          <w:w w:val="99"/>
        </w:rPr>
        <w:t xml:space="preserve"> </w:t>
      </w:r>
    </w:p>
    <w:p w14:paraId="1BDBFF05" w14:textId="77777777" w:rsidR="00A71EEF" w:rsidRDefault="00A71EEF">
      <w:pPr>
        <w:spacing w:line="446" w:lineRule="auto"/>
        <w:sectPr w:rsidR="00A71EEF">
          <w:pgSz w:w="11910" w:h="16850"/>
          <w:pgMar w:top="1220" w:right="0" w:bottom="1420" w:left="1260" w:header="0" w:footer="1239" w:gutter="0"/>
          <w:cols w:space="720"/>
        </w:sectPr>
      </w:pPr>
    </w:p>
    <w:p w14:paraId="61D3316A" w14:textId="77777777" w:rsidR="00A71EEF" w:rsidRDefault="0081115D">
      <w:pPr>
        <w:pStyle w:val="6"/>
        <w:spacing w:before="47"/>
        <w:ind w:left="838"/>
      </w:pPr>
      <w:r>
        <w:rPr>
          <w:noProof/>
        </w:rPr>
        <w:lastRenderedPageBreak/>
        <w:drawing>
          <wp:anchor distT="0" distB="0" distL="0" distR="0" simplePos="0" relativeHeight="251531776" behindDoc="0" locked="0" layoutInCell="1" allowOverlap="1" wp14:anchorId="0B76FD82" wp14:editId="6EE81E85">
            <wp:simplePos x="0" y="0"/>
            <wp:positionH relativeFrom="page">
              <wp:posOffset>1082039</wp:posOffset>
            </wp:positionH>
            <wp:positionV relativeFrom="paragraph">
              <wp:posOffset>253745</wp:posOffset>
            </wp:positionV>
            <wp:extent cx="5476090" cy="6419850"/>
            <wp:effectExtent l="0" t="0" r="0" b="0"/>
            <wp:wrapTopAndBottom/>
            <wp:docPr id="195" name="image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125.jpeg"/>
                    <pic:cNvPicPr/>
                  </pic:nvPicPr>
                  <pic:blipFill>
                    <a:blip r:embed="rId123" cstate="print"/>
                    <a:stretch>
                      <a:fillRect/>
                    </a:stretch>
                  </pic:blipFill>
                  <pic:spPr>
                    <a:xfrm>
                      <a:off x="0" y="0"/>
                      <a:ext cx="5476090" cy="6419850"/>
                    </a:xfrm>
                    <a:prstGeom prst="rect">
                      <a:avLst/>
                    </a:prstGeom>
                  </pic:spPr>
                </pic:pic>
              </a:graphicData>
            </a:graphic>
          </wp:anchor>
        </w:drawing>
      </w:r>
      <w:r>
        <w:t>表</w:t>
      </w:r>
      <w:r>
        <w:t xml:space="preserve"> 4.3.8 </w:t>
      </w:r>
      <w:r>
        <w:t>液化天然气气化站的液化天然气储罐（区）与站外建筑等的防火间距（</w:t>
      </w:r>
      <w:r>
        <w:t>m</w:t>
      </w:r>
      <w:r>
        <w:t>）</w:t>
      </w:r>
      <w:r>
        <w:rPr>
          <w:w w:val="99"/>
        </w:rPr>
        <w:t xml:space="preserve"> </w:t>
      </w:r>
    </w:p>
    <w:p w14:paraId="7E1B9E19" w14:textId="77777777" w:rsidR="00A71EEF" w:rsidRDefault="0081115D">
      <w:pPr>
        <w:pStyle w:val="a3"/>
        <w:spacing w:before="176" w:line="446" w:lineRule="auto"/>
        <w:ind w:left="418" w:right="1611" w:firstLine="419"/>
      </w:pPr>
      <w:r>
        <w:rPr>
          <w:color w:val="333333"/>
          <w:spacing w:val="-8"/>
        </w:rPr>
        <w:t>注：居住区、村镇指</w:t>
      </w:r>
      <w:r>
        <w:rPr>
          <w:color w:val="333333"/>
          <w:spacing w:val="-8"/>
        </w:rPr>
        <w:t xml:space="preserve"> </w:t>
      </w:r>
      <w:r>
        <w:rPr>
          <w:color w:val="333333"/>
        </w:rPr>
        <w:t>1000</w:t>
      </w:r>
      <w:r>
        <w:rPr>
          <w:color w:val="333333"/>
          <w:spacing w:val="-13"/>
        </w:rPr>
        <w:t xml:space="preserve"> </w:t>
      </w:r>
      <w:r>
        <w:rPr>
          <w:color w:val="333333"/>
          <w:spacing w:val="-13"/>
        </w:rPr>
        <w:t>人或</w:t>
      </w:r>
      <w:r>
        <w:rPr>
          <w:color w:val="333333"/>
          <w:spacing w:val="-13"/>
        </w:rPr>
        <w:t xml:space="preserve"> </w:t>
      </w:r>
      <w:r>
        <w:rPr>
          <w:color w:val="333333"/>
        </w:rPr>
        <w:t>300</w:t>
      </w:r>
      <w:r>
        <w:rPr>
          <w:color w:val="333333"/>
          <w:spacing w:val="-8"/>
        </w:rPr>
        <w:t xml:space="preserve"> </w:t>
      </w:r>
      <w:r>
        <w:rPr>
          <w:color w:val="333333"/>
          <w:spacing w:val="-8"/>
        </w:rPr>
        <w:t>户及以上者；当少于</w:t>
      </w:r>
      <w:r>
        <w:rPr>
          <w:color w:val="333333"/>
          <w:spacing w:val="-8"/>
        </w:rPr>
        <w:t xml:space="preserve"> </w:t>
      </w:r>
      <w:r>
        <w:rPr>
          <w:color w:val="333333"/>
        </w:rPr>
        <w:t>1000</w:t>
      </w:r>
      <w:r>
        <w:rPr>
          <w:color w:val="333333"/>
          <w:spacing w:val="-13"/>
        </w:rPr>
        <w:t xml:space="preserve"> </w:t>
      </w:r>
      <w:r>
        <w:rPr>
          <w:color w:val="333333"/>
          <w:spacing w:val="-13"/>
        </w:rPr>
        <w:t>人或</w:t>
      </w:r>
      <w:r>
        <w:rPr>
          <w:color w:val="333333"/>
          <w:spacing w:val="-13"/>
        </w:rPr>
        <w:t xml:space="preserve"> </w:t>
      </w:r>
      <w:r>
        <w:rPr>
          <w:color w:val="333333"/>
        </w:rPr>
        <w:t>300</w:t>
      </w:r>
      <w:r>
        <w:rPr>
          <w:color w:val="333333"/>
          <w:spacing w:val="-2"/>
        </w:rPr>
        <w:t xml:space="preserve"> </w:t>
      </w:r>
      <w:r>
        <w:rPr>
          <w:color w:val="333333"/>
          <w:spacing w:val="-2"/>
        </w:rPr>
        <w:t>户时，相应防火</w:t>
      </w:r>
      <w:r>
        <w:rPr>
          <w:color w:val="333333"/>
          <w:spacing w:val="-3"/>
        </w:rPr>
        <w:t>间距应按本表有关其他民用建筑的要求确定。</w:t>
      </w:r>
      <w:r>
        <w:rPr>
          <w:color w:val="333333"/>
        </w:rPr>
        <w:t xml:space="preserve"> </w:t>
      </w:r>
    </w:p>
    <w:p w14:paraId="048D292F" w14:textId="77777777" w:rsidR="00A71EEF" w:rsidRDefault="0081115D">
      <w:pPr>
        <w:pStyle w:val="a4"/>
        <w:numPr>
          <w:ilvl w:val="1"/>
          <w:numId w:val="738"/>
        </w:numPr>
        <w:tabs>
          <w:tab w:val="left" w:pos="1159"/>
        </w:tabs>
        <w:ind w:hanging="319"/>
        <w:rPr>
          <w:sz w:val="21"/>
        </w:rPr>
      </w:pPr>
      <w:r>
        <w:rPr>
          <w:spacing w:val="-3"/>
          <w:sz w:val="21"/>
        </w:rPr>
        <w:t>液化石油气储罐</w:t>
      </w:r>
      <w:r>
        <w:rPr>
          <w:sz w:val="21"/>
        </w:rPr>
        <w:t>（</w:t>
      </w:r>
      <w:r>
        <w:rPr>
          <w:spacing w:val="-3"/>
          <w:sz w:val="21"/>
        </w:rPr>
        <w:t>区</w:t>
      </w:r>
      <w:r>
        <w:rPr>
          <w:sz w:val="21"/>
        </w:rPr>
        <w:t>）</w:t>
      </w:r>
      <w:r>
        <w:rPr>
          <w:spacing w:val="-3"/>
          <w:sz w:val="21"/>
        </w:rPr>
        <w:t>的防火间距</w:t>
      </w:r>
      <w:r>
        <w:rPr>
          <w:sz w:val="21"/>
        </w:rPr>
        <w:t xml:space="preserve"> </w:t>
      </w:r>
    </w:p>
    <w:p w14:paraId="3671AC8B" w14:textId="77777777" w:rsidR="00A71EEF" w:rsidRDefault="00A71EEF">
      <w:pPr>
        <w:pStyle w:val="a3"/>
        <w:spacing w:before="12"/>
        <w:rPr>
          <w:sz w:val="17"/>
        </w:rPr>
      </w:pPr>
    </w:p>
    <w:p w14:paraId="41F51A60" w14:textId="77777777" w:rsidR="00A71EEF" w:rsidRDefault="0081115D">
      <w:pPr>
        <w:pStyle w:val="a4"/>
        <w:numPr>
          <w:ilvl w:val="2"/>
          <w:numId w:val="738"/>
        </w:numPr>
        <w:tabs>
          <w:tab w:val="left" w:pos="1370"/>
        </w:tabs>
        <w:spacing w:line="446" w:lineRule="auto"/>
        <w:ind w:right="1508" w:firstLine="422"/>
        <w:rPr>
          <w:sz w:val="21"/>
        </w:rPr>
      </w:pPr>
      <w:r>
        <w:rPr>
          <w:color w:val="333333"/>
          <w:spacing w:val="-3"/>
          <w:sz w:val="21"/>
        </w:rPr>
        <w:t>液化石油气供应基地的全压式和半冷冻式储罐</w:t>
      </w:r>
      <w:r>
        <w:rPr>
          <w:color w:val="333333"/>
          <w:sz w:val="21"/>
        </w:rPr>
        <w:t>（</w:t>
      </w:r>
      <w:r>
        <w:rPr>
          <w:color w:val="333333"/>
          <w:spacing w:val="-3"/>
          <w:sz w:val="21"/>
        </w:rPr>
        <w:t>区</w:t>
      </w:r>
      <w:r>
        <w:rPr>
          <w:color w:val="333333"/>
          <w:sz w:val="21"/>
        </w:rPr>
        <w:t>）</w:t>
      </w:r>
      <w:r>
        <w:rPr>
          <w:color w:val="333333"/>
          <w:spacing w:val="-3"/>
          <w:sz w:val="21"/>
        </w:rPr>
        <w:t>，与明火或散发火花地点和基地</w:t>
      </w:r>
      <w:r>
        <w:rPr>
          <w:color w:val="333333"/>
          <w:spacing w:val="-6"/>
          <w:sz w:val="21"/>
        </w:rPr>
        <w:t>外建筑等的防火间距不应小于表</w:t>
      </w:r>
      <w:r>
        <w:rPr>
          <w:color w:val="333333"/>
          <w:spacing w:val="-6"/>
          <w:sz w:val="21"/>
        </w:rPr>
        <w:t xml:space="preserve"> </w:t>
      </w:r>
      <w:r>
        <w:rPr>
          <w:color w:val="333333"/>
          <w:sz w:val="21"/>
        </w:rPr>
        <w:t>4.4.1</w:t>
      </w:r>
      <w:r>
        <w:rPr>
          <w:color w:val="333333"/>
          <w:spacing w:val="-7"/>
          <w:sz w:val="21"/>
        </w:rPr>
        <w:t xml:space="preserve"> </w:t>
      </w:r>
      <w:r>
        <w:rPr>
          <w:color w:val="333333"/>
          <w:spacing w:val="-7"/>
          <w:sz w:val="21"/>
        </w:rPr>
        <w:t>的规定，与表</w:t>
      </w:r>
      <w:r>
        <w:rPr>
          <w:color w:val="333333"/>
          <w:spacing w:val="-7"/>
          <w:sz w:val="21"/>
        </w:rPr>
        <w:t xml:space="preserve"> </w:t>
      </w:r>
      <w:r>
        <w:rPr>
          <w:color w:val="333333"/>
          <w:sz w:val="21"/>
        </w:rPr>
        <w:t>4.4.1</w:t>
      </w:r>
      <w:r>
        <w:rPr>
          <w:color w:val="333333"/>
          <w:spacing w:val="-3"/>
          <w:sz w:val="21"/>
        </w:rPr>
        <w:t xml:space="preserve"> </w:t>
      </w:r>
      <w:r>
        <w:rPr>
          <w:color w:val="333333"/>
          <w:spacing w:val="-3"/>
          <w:sz w:val="21"/>
        </w:rPr>
        <w:t>未规定的其他建筑的防火间距应符合现行国家标准《城镇燃气设计规范》</w:t>
      </w:r>
      <w:r>
        <w:rPr>
          <w:color w:val="333333"/>
          <w:sz w:val="21"/>
        </w:rPr>
        <w:t>GB</w:t>
      </w:r>
      <w:r>
        <w:rPr>
          <w:color w:val="333333"/>
          <w:spacing w:val="1"/>
          <w:sz w:val="21"/>
        </w:rPr>
        <w:t xml:space="preserve"> </w:t>
      </w:r>
      <w:r>
        <w:rPr>
          <w:color w:val="333333"/>
          <w:sz w:val="21"/>
        </w:rPr>
        <w:t>50028</w:t>
      </w:r>
      <w:r>
        <w:rPr>
          <w:color w:val="333333"/>
          <w:spacing w:val="-3"/>
          <w:sz w:val="21"/>
        </w:rPr>
        <w:t xml:space="preserve"> </w:t>
      </w:r>
      <w:r>
        <w:rPr>
          <w:color w:val="333333"/>
          <w:spacing w:val="-3"/>
          <w:sz w:val="21"/>
        </w:rPr>
        <w:t>的规定。</w:t>
      </w:r>
      <w:r>
        <w:rPr>
          <w:color w:val="333333"/>
          <w:sz w:val="21"/>
        </w:rPr>
        <w:t xml:space="preserve"> </w:t>
      </w:r>
    </w:p>
    <w:p w14:paraId="7301B275" w14:textId="77777777" w:rsidR="00A71EEF" w:rsidRDefault="00A71EEF">
      <w:pPr>
        <w:spacing w:line="446" w:lineRule="auto"/>
        <w:rPr>
          <w:sz w:val="21"/>
        </w:rPr>
        <w:sectPr w:rsidR="00A71EEF">
          <w:pgSz w:w="11910" w:h="16850"/>
          <w:pgMar w:top="1220" w:right="0" w:bottom="1420" w:left="1260" w:header="0" w:footer="1239" w:gutter="0"/>
          <w:cols w:space="720"/>
        </w:sectPr>
      </w:pPr>
    </w:p>
    <w:p w14:paraId="23282DB0" w14:textId="77777777" w:rsidR="00A71EEF" w:rsidRDefault="0081115D">
      <w:pPr>
        <w:pStyle w:val="6"/>
        <w:spacing w:before="47"/>
        <w:ind w:left="886"/>
      </w:pPr>
      <w:r>
        <w:lastRenderedPageBreak/>
        <w:t>表</w:t>
      </w:r>
      <w:r>
        <w:t xml:space="preserve"> 4.4.1 </w:t>
      </w:r>
      <w:r>
        <w:t>液化石油气供应基地的全压式和半冷冻式储罐（区）与明火或散发火花地点和基</w:t>
      </w:r>
    </w:p>
    <w:p w14:paraId="576D8417" w14:textId="77777777" w:rsidR="00A71EEF" w:rsidRDefault="00A71EEF">
      <w:pPr>
        <w:pStyle w:val="a3"/>
        <w:rPr>
          <w:b/>
          <w:sz w:val="18"/>
        </w:rPr>
      </w:pPr>
    </w:p>
    <w:p w14:paraId="1F714751" w14:textId="77777777" w:rsidR="00A71EEF" w:rsidRDefault="0081115D">
      <w:pPr>
        <w:ind w:left="3495"/>
        <w:rPr>
          <w:b/>
          <w:sz w:val="21"/>
        </w:rPr>
      </w:pPr>
      <w:r>
        <w:rPr>
          <w:noProof/>
        </w:rPr>
        <w:drawing>
          <wp:anchor distT="0" distB="0" distL="0" distR="0" simplePos="0" relativeHeight="251532800" behindDoc="0" locked="0" layoutInCell="1" allowOverlap="1" wp14:anchorId="59E7BA4B" wp14:editId="29E2B154">
            <wp:simplePos x="0" y="0"/>
            <wp:positionH relativeFrom="page">
              <wp:posOffset>1265555</wp:posOffset>
            </wp:positionH>
            <wp:positionV relativeFrom="paragraph">
              <wp:posOffset>239395</wp:posOffset>
            </wp:positionV>
            <wp:extent cx="4951657" cy="6677025"/>
            <wp:effectExtent l="0" t="0" r="0" b="0"/>
            <wp:wrapTopAndBottom/>
            <wp:docPr id="197" name="image1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26.jpeg"/>
                    <pic:cNvPicPr/>
                  </pic:nvPicPr>
                  <pic:blipFill>
                    <a:blip r:embed="rId124" cstate="print"/>
                    <a:stretch>
                      <a:fillRect/>
                    </a:stretch>
                  </pic:blipFill>
                  <pic:spPr>
                    <a:xfrm>
                      <a:off x="0" y="0"/>
                      <a:ext cx="4951657" cy="6677025"/>
                    </a:xfrm>
                    <a:prstGeom prst="rect">
                      <a:avLst/>
                    </a:prstGeom>
                  </pic:spPr>
                </pic:pic>
              </a:graphicData>
            </a:graphic>
          </wp:anchor>
        </w:drawing>
      </w:r>
      <w:r>
        <w:rPr>
          <w:b/>
          <w:sz w:val="21"/>
        </w:rPr>
        <w:t>地外建筑等的防火间距（</w:t>
      </w:r>
      <w:r>
        <w:rPr>
          <w:b/>
          <w:sz w:val="21"/>
        </w:rPr>
        <w:t>m</w:t>
      </w:r>
      <w:r>
        <w:rPr>
          <w:b/>
          <w:sz w:val="21"/>
        </w:rPr>
        <w:t>）</w:t>
      </w:r>
      <w:r>
        <w:rPr>
          <w:b/>
          <w:w w:val="99"/>
          <w:sz w:val="21"/>
        </w:rPr>
        <w:t xml:space="preserve"> </w:t>
      </w:r>
    </w:p>
    <w:p w14:paraId="57C9A38C" w14:textId="77777777" w:rsidR="00A71EEF" w:rsidRDefault="00A71EEF">
      <w:pPr>
        <w:pStyle w:val="a3"/>
        <w:spacing w:before="7"/>
        <w:rPr>
          <w:b/>
          <w:sz w:val="18"/>
        </w:rPr>
      </w:pPr>
    </w:p>
    <w:p w14:paraId="6D9429BE" w14:textId="77777777" w:rsidR="00A71EEF" w:rsidRDefault="0081115D">
      <w:pPr>
        <w:pStyle w:val="a3"/>
        <w:ind w:left="838"/>
      </w:pPr>
      <w:r>
        <w:rPr>
          <w:color w:val="333333"/>
        </w:rPr>
        <w:t>注：</w:t>
      </w:r>
      <w:r>
        <w:rPr>
          <w:color w:val="333333"/>
        </w:rPr>
        <w:t>1.</w:t>
      </w:r>
      <w:r>
        <w:rPr>
          <w:color w:val="333333"/>
        </w:rPr>
        <w:t>防火间距应按本表储罐区的总容积或单罐容积的较大者确定。</w:t>
      </w:r>
      <w:r>
        <w:rPr>
          <w:color w:val="333333"/>
        </w:rPr>
        <w:t xml:space="preserve"> </w:t>
      </w:r>
    </w:p>
    <w:p w14:paraId="68124FD6" w14:textId="77777777" w:rsidR="00A71EEF" w:rsidRDefault="00A71EEF">
      <w:pPr>
        <w:pStyle w:val="a3"/>
        <w:spacing w:before="5"/>
        <w:rPr>
          <w:sz w:val="17"/>
        </w:rPr>
      </w:pPr>
    </w:p>
    <w:p w14:paraId="218DC1A6" w14:textId="77777777" w:rsidR="00A71EEF" w:rsidRDefault="0081115D">
      <w:pPr>
        <w:pStyle w:val="a3"/>
        <w:spacing w:line="446" w:lineRule="auto"/>
        <w:ind w:left="418" w:right="1606" w:firstLine="419"/>
      </w:pPr>
      <w:r>
        <w:rPr>
          <w:color w:val="333333"/>
        </w:rPr>
        <w:t xml:space="preserve"> </w:t>
      </w:r>
      <w:r>
        <w:rPr>
          <w:color w:val="333333"/>
        </w:rPr>
        <w:t xml:space="preserve"> 2.</w:t>
      </w:r>
      <w:r>
        <w:rPr>
          <w:color w:val="333333"/>
          <w:spacing w:val="-6"/>
        </w:rPr>
        <w:t xml:space="preserve"> </w:t>
      </w:r>
      <w:r>
        <w:rPr>
          <w:color w:val="333333"/>
          <w:spacing w:val="-6"/>
        </w:rPr>
        <w:t>当地下液化石油气储罐的单罐容积不大于</w:t>
      </w:r>
      <w:r>
        <w:rPr>
          <w:color w:val="333333"/>
          <w:spacing w:val="-6"/>
        </w:rPr>
        <w:t xml:space="preserve"> </w:t>
      </w:r>
      <w:r>
        <w:rPr>
          <w:color w:val="333333"/>
        </w:rPr>
        <w:t>50m</w:t>
      </w:r>
      <w:r>
        <w:rPr>
          <w:color w:val="333333"/>
          <w:position w:val="11"/>
          <w:sz w:val="11"/>
        </w:rPr>
        <w:t>3</w:t>
      </w:r>
      <w:r>
        <w:rPr>
          <w:color w:val="333333"/>
          <w:spacing w:val="-9"/>
        </w:rPr>
        <w:t>，总容积不大于</w:t>
      </w:r>
      <w:r>
        <w:rPr>
          <w:color w:val="333333"/>
          <w:spacing w:val="-9"/>
        </w:rPr>
        <w:t xml:space="preserve"> </w:t>
      </w:r>
      <w:r>
        <w:rPr>
          <w:color w:val="333333"/>
        </w:rPr>
        <w:t>400m</w:t>
      </w:r>
      <w:r>
        <w:rPr>
          <w:color w:val="333333"/>
          <w:position w:val="11"/>
          <w:sz w:val="11"/>
        </w:rPr>
        <w:t>3</w:t>
      </w:r>
      <w:r>
        <w:rPr>
          <w:color w:val="333333"/>
          <w:sz w:val="11"/>
        </w:rPr>
        <w:t xml:space="preserve"> </w:t>
      </w:r>
      <w:r>
        <w:rPr>
          <w:color w:val="333333"/>
          <w:spacing w:val="-3"/>
        </w:rPr>
        <w:t>时，其防火间</w:t>
      </w:r>
      <w:r>
        <w:rPr>
          <w:color w:val="333333"/>
          <w:spacing w:val="-8"/>
        </w:rPr>
        <w:t>距可按本表的规定减少</w:t>
      </w:r>
      <w:r>
        <w:rPr>
          <w:color w:val="333333"/>
          <w:spacing w:val="-8"/>
        </w:rPr>
        <w:t xml:space="preserve"> </w:t>
      </w:r>
      <w:r>
        <w:rPr>
          <w:color w:val="333333"/>
        </w:rPr>
        <w:t>50</w:t>
      </w:r>
      <w:r>
        <w:rPr>
          <w:color w:val="333333"/>
          <w:spacing w:val="-2"/>
        </w:rPr>
        <w:t>%</w:t>
      </w:r>
      <w:r>
        <w:rPr>
          <w:color w:val="333333"/>
          <w:spacing w:val="-2"/>
        </w:rPr>
        <w:t>。</w:t>
      </w:r>
      <w:r>
        <w:rPr>
          <w:color w:val="333333"/>
        </w:rPr>
        <w:t xml:space="preserve"> </w:t>
      </w:r>
    </w:p>
    <w:p w14:paraId="564ACF46" w14:textId="77777777" w:rsidR="00A71EEF" w:rsidRDefault="0081115D">
      <w:pPr>
        <w:pStyle w:val="a3"/>
        <w:spacing w:line="446" w:lineRule="auto"/>
        <w:ind w:left="418" w:right="1611" w:firstLine="419"/>
      </w:pPr>
      <w:r>
        <w:rPr>
          <w:color w:val="333333"/>
        </w:rPr>
        <w:t xml:space="preserve"> </w:t>
      </w:r>
      <w:r>
        <w:rPr>
          <w:color w:val="333333"/>
        </w:rPr>
        <w:t xml:space="preserve"> 3.</w:t>
      </w:r>
      <w:r>
        <w:rPr>
          <w:color w:val="333333"/>
          <w:spacing w:val="-9"/>
        </w:rPr>
        <w:t>居住区、村镇指</w:t>
      </w:r>
      <w:r>
        <w:rPr>
          <w:color w:val="333333"/>
          <w:spacing w:val="-9"/>
        </w:rPr>
        <w:t xml:space="preserve"> </w:t>
      </w:r>
      <w:r>
        <w:rPr>
          <w:color w:val="333333"/>
        </w:rPr>
        <w:t>1000</w:t>
      </w:r>
      <w:r>
        <w:rPr>
          <w:color w:val="333333"/>
          <w:spacing w:val="-13"/>
        </w:rPr>
        <w:t xml:space="preserve"> </w:t>
      </w:r>
      <w:r>
        <w:rPr>
          <w:color w:val="333333"/>
          <w:spacing w:val="-13"/>
        </w:rPr>
        <w:t>人或</w:t>
      </w:r>
      <w:r>
        <w:rPr>
          <w:color w:val="333333"/>
          <w:spacing w:val="-13"/>
        </w:rPr>
        <w:t xml:space="preserve"> </w:t>
      </w:r>
      <w:r>
        <w:rPr>
          <w:color w:val="333333"/>
        </w:rPr>
        <w:t>300</w:t>
      </w:r>
      <w:r>
        <w:rPr>
          <w:color w:val="333333"/>
          <w:spacing w:val="-8"/>
        </w:rPr>
        <w:t xml:space="preserve"> </w:t>
      </w:r>
      <w:r>
        <w:rPr>
          <w:color w:val="333333"/>
          <w:spacing w:val="-8"/>
        </w:rPr>
        <w:t>户及以上者；当少于</w:t>
      </w:r>
      <w:r>
        <w:rPr>
          <w:color w:val="333333"/>
          <w:spacing w:val="-8"/>
        </w:rPr>
        <w:t xml:space="preserve"> </w:t>
      </w:r>
      <w:r>
        <w:rPr>
          <w:color w:val="333333"/>
        </w:rPr>
        <w:t>1000</w:t>
      </w:r>
      <w:r>
        <w:rPr>
          <w:color w:val="333333"/>
          <w:spacing w:val="-13"/>
        </w:rPr>
        <w:t xml:space="preserve"> </w:t>
      </w:r>
      <w:r>
        <w:rPr>
          <w:color w:val="333333"/>
          <w:spacing w:val="-13"/>
        </w:rPr>
        <w:t>人或</w:t>
      </w:r>
      <w:r>
        <w:rPr>
          <w:color w:val="333333"/>
          <w:spacing w:val="-13"/>
        </w:rPr>
        <w:t xml:space="preserve"> </w:t>
      </w:r>
      <w:r>
        <w:rPr>
          <w:color w:val="333333"/>
        </w:rPr>
        <w:t>300</w:t>
      </w:r>
      <w:r>
        <w:rPr>
          <w:color w:val="333333"/>
          <w:spacing w:val="-2"/>
        </w:rPr>
        <w:t xml:space="preserve"> </w:t>
      </w:r>
      <w:r>
        <w:rPr>
          <w:color w:val="333333"/>
          <w:spacing w:val="-2"/>
        </w:rPr>
        <w:t>户时，相应防火</w:t>
      </w:r>
      <w:r>
        <w:rPr>
          <w:color w:val="333333"/>
          <w:spacing w:val="-3"/>
        </w:rPr>
        <w:t>间距应按本表有关其他民用建筑的要求确定。</w:t>
      </w:r>
      <w:r>
        <w:rPr>
          <w:color w:val="333333"/>
        </w:rPr>
        <w:t xml:space="preserve"> </w:t>
      </w:r>
    </w:p>
    <w:p w14:paraId="0EFEA5B2" w14:textId="77777777" w:rsidR="00A71EEF" w:rsidRDefault="00A71EEF">
      <w:pPr>
        <w:spacing w:line="446" w:lineRule="auto"/>
        <w:sectPr w:rsidR="00A71EEF">
          <w:pgSz w:w="11910" w:h="16850"/>
          <w:pgMar w:top="1220" w:right="0" w:bottom="1420" w:left="1260" w:header="0" w:footer="1239" w:gutter="0"/>
          <w:cols w:space="720"/>
        </w:sectPr>
      </w:pPr>
    </w:p>
    <w:p w14:paraId="5A275B67" w14:textId="77777777" w:rsidR="00A71EEF" w:rsidRDefault="0081115D">
      <w:pPr>
        <w:pStyle w:val="a4"/>
        <w:numPr>
          <w:ilvl w:val="2"/>
          <w:numId w:val="738"/>
        </w:numPr>
        <w:tabs>
          <w:tab w:val="left" w:pos="1370"/>
        </w:tabs>
        <w:spacing w:before="47"/>
        <w:ind w:left="1369" w:hanging="530"/>
        <w:rPr>
          <w:b/>
          <w:sz w:val="21"/>
        </w:rPr>
      </w:pPr>
      <w:r>
        <w:rPr>
          <w:color w:val="333333"/>
          <w:spacing w:val="-3"/>
          <w:sz w:val="21"/>
        </w:rPr>
        <w:lastRenderedPageBreak/>
        <w:t>液化石油气储罐之间的防火间距不应小于相邻较大罐的直径。</w:t>
      </w:r>
      <w:r>
        <w:rPr>
          <w:b/>
          <w:color w:val="333333"/>
          <w:w w:val="99"/>
          <w:sz w:val="21"/>
        </w:rPr>
        <w:t xml:space="preserve"> </w:t>
      </w:r>
    </w:p>
    <w:p w14:paraId="32EA7209" w14:textId="77777777" w:rsidR="00A71EEF" w:rsidRDefault="00A71EEF">
      <w:pPr>
        <w:pStyle w:val="a3"/>
        <w:spacing w:before="3"/>
        <w:rPr>
          <w:b/>
          <w:sz w:val="17"/>
        </w:rPr>
      </w:pPr>
    </w:p>
    <w:p w14:paraId="67258129" w14:textId="77777777" w:rsidR="00A71EEF" w:rsidRDefault="0081115D">
      <w:pPr>
        <w:pStyle w:val="a3"/>
        <w:spacing w:line="446" w:lineRule="auto"/>
        <w:ind w:left="418" w:right="1608" w:firstLine="419"/>
        <w:rPr>
          <w:b/>
        </w:rPr>
      </w:pPr>
      <w:r>
        <w:rPr>
          <w:color w:val="333333"/>
          <w:spacing w:val="-7"/>
        </w:rPr>
        <w:t>数个储罐的总容积大于</w:t>
      </w:r>
      <w:r>
        <w:rPr>
          <w:color w:val="333333"/>
          <w:spacing w:val="-7"/>
        </w:rPr>
        <w:t xml:space="preserve"> </w:t>
      </w:r>
      <w:r>
        <w:rPr>
          <w:color w:val="333333"/>
        </w:rPr>
        <w:t>3000m</w:t>
      </w:r>
      <w:r>
        <w:rPr>
          <w:color w:val="333333"/>
          <w:position w:val="11"/>
          <w:sz w:val="11"/>
        </w:rPr>
        <w:t>3</w:t>
      </w:r>
      <w:r>
        <w:rPr>
          <w:color w:val="333333"/>
          <w:sz w:val="11"/>
        </w:rPr>
        <w:t xml:space="preserve"> </w:t>
      </w:r>
      <w:r>
        <w:rPr>
          <w:color w:val="333333"/>
          <w:spacing w:val="-3"/>
        </w:rPr>
        <w:t>时，应分组布置，组内储罐宜采用单排布置。组与组相邻</w:t>
      </w:r>
      <w:r>
        <w:rPr>
          <w:color w:val="333333"/>
          <w:spacing w:val="-7"/>
        </w:rPr>
        <w:t>储罐之间的防火间距不应小于</w:t>
      </w:r>
      <w:r>
        <w:rPr>
          <w:color w:val="333333"/>
          <w:spacing w:val="-7"/>
        </w:rPr>
        <w:t xml:space="preserve"> </w:t>
      </w:r>
      <w:r>
        <w:rPr>
          <w:color w:val="333333"/>
        </w:rPr>
        <w:t>20m</w:t>
      </w:r>
      <w:r>
        <w:rPr>
          <w:color w:val="333333"/>
          <w:spacing w:val="-3"/>
        </w:rPr>
        <w:t>。</w:t>
      </w:r>
      <w:r>
        <w:rPr>
          <w:b/>
          <w:color w:val="333333"/>
          <w:w w:val="99"/>
        </w:rPr>
        <w:t xml:space="preserve"> </w:t>
      </w:r>
    </w:p>
    <w:p w14:paraId="24D8DD16" w14:textId="77777777" w:rsidR="00A71EEF" w:rsidRDefault="0081115D">
      <w:pPr>
        <w:pStyle w:val="a4"/>
        <w:numPr>
          <w:ilvl w:val="2"/>
          <w:numId w:val="738"/>
        </w:numPr>
        <w:tabs>
          <w:tab w:val="left" w:pos="1370"/>
        </w:tabs>
        <w:spacing w:line="446" w:lineRule="auto"/>
        <w:ind w:right="1445" w:firstLine="422"/>
        <w:rPr>
          <w:sz w:val="21"/>
        </w:rPr>
      </w:pPr>
      <w:r>
        <w:rPr>
          <w:color w:val="333333"/>
          <w:spacing w:val="-5"/>
          <w:sz w:val="21"/>
        </w:rPr>
        <w:t>液化石油气储罐与所属泵房的防火间距不应小于</w:t>
      </w:r>
      <w:r>
        <w:rPr>
          <w:color w:val="333333"/>
          <w:spacing w:val="-5"/>
          <w:sz w:val="21"/>
        </w:rPr>
        <w:t xml:space="preserve"> </w:t>
      </w:r>
      <w:r>
        <w:rPr>
          <w:color w:val="333333"/>
          <w:sz w:val="21"/>
        </w:rPr>
        <w:t>15m</w:t>
      </w:r>
      <w:r>
        <w:rPr>
          <w:color w:val="333333"/>
          <w:spacing w:val="-3"/>
          <w:sz w:val="21"/>
        </w:rPr>
        <w:t>。当泵房面向储罐一侧的外墙采</w:t>
      </w:r>
      <w:r>
        <w:rPr>
          <w:color w:val="333333"/>
          <w:spacing w:val="-5"/>
          <w:sz w:val="21"/>
        </w:rPr>
        <w:t>用无门、窗、洞口的防火墙时，防火间距可减至</w:t>
      </w:r>
      <w:r>
        <w:rPr>
          <w:color w:val="333333"/>
          <w:spacing w:val="-5"/>
          <w:sz w:val="21"/>
        </w:rPr>
        <w:t xml:space="preserve"> </w:t>
      </w:r>
      <w:r>
        <w:rPr>
          <w:color w:val="333333"/>
          <w:spacing w:val="-3"/>
          <w:sz w:val="21"/>
        </w:rPr>
        <w:t>6m</w:t>
      </w:r>
      <w:r>
        <w:rPr>
          <w:color w:val="333333"/>
          <w:spacing w:val="-3"/>
          <w:sz w:val="21"/>
        </w:rPr>
        <w:t>。液化石油气泵露天设置在储罐区内时，储罐与泵的防火间距不限。</w:t>
      </w:r>
      <w:r>
        <w:rPr>
          <w:color w:val="333333"/>
          <w:sz w:val="21"/>
        </w:rPr>
        <w:t xml:space="preserve"> </w:t>
      </w:r>
    </w:p>
    <w:p w14:paraId="2EA64AA4" w14:textId="77777777" w:rsidR="00A71EEF" w:rsidRDefault="0081115D">
      <w:pPr>
        <w:pStyle w:val="a4"/>
        <w:numPr>
          <w:ilvl w:val="2"/>
          <w:numId w:val="738"/>
        </w:numPr>
        <w:tabs>
          <w:tab w:val="left" w:pos="1371"/>
        </w:tabs>
        <w:spacing w:line="446" w:lineRule="auto"/>
        <w:ind w:right="1604" w:firstLine="422"/>
        <w:rPr>
          <w:sz w:val="21"/>
        </w:rPr>
      </w:pPr>
      <w:r>
        <w:rPr>
          <w:color w:val="333333"/>
          <w:spacing w:val="-3"/>
          <w:sz w:val="21"/>
        </w:rPr>
        <w:t>全冷冻式液化石油气储罐、液化石油气气化站、混气站的储罐与周围建筑的防火间距，应符合现行国家标准《城镇燃气设计规范》</w:t>
      </w:r>
      <w:r>
        <w:rPr>
          <w:color w:val="333333"/>
          <w:sz w:val="21"/>
        </w:rPr>
        <w:t>GB</w:t>
      </w:r>
      <w:r>
        <w:rPr>
          <w:color w:val="333333"/>
          <w:spacing w:val="-2"/>
          <w:sz w:val="21"/>
        </w:rPr>
        <w:t xml:space="preserve"> </w:t>
      </w:r>
      <w:r>
        <w:rPr>
          <w:color w:val="333333"/>
          <w:sz w:val="21"/>
        </w:rPr>
        <w:t>50028</w:t>
      </w:r>
      <w:r>
        <w:rPr>
          <w:color w:val="333333"/>
          <w:spacing w:val="-3"/>
          <w:sz w:val="21"/>
        </w:rPr>
        <w:t xml:space="preserve"> </w:t>
      </w:r>
      <w:r>
        <w:rPr>
          <w:color w:val="333333"/>
          <w:spacing w:val="-3"/>
          <w:sz w:val="21"/>
        </w:rPr>
        <w:t>的规定。</w:t>
      </w:r>
      <w:r>
        <w:rPr>
          <w:color w:val="333333"/>
          <w:sz w:val="21"/>
        </w:rPr>
        <w:t xml:space="preserve"> </w:t>
      </w:r>
    </w:p>
    <w:p w14:paraId="3C8A5184" w14:textId="77777777" w:rsidR="00A71EEF" w:rsidRDefault="0081115D">
      <w:pPr>
        <w:pStyle w:val="a3"/>
        <w:spacing w:line="446" w:lineRule="auto"/>
        <w:ind w:left="418" w:right="1608" w:firstLine="419"/>
        <w:jc w:val="both"/>
      </w:pPr>
      <w:r>
        <w:rPr>
          <w:color w:val="333333"/>
          <w:spacing w:val="-7"/>
        </w:rPr>
        <w:t>工业企业内总容积不大于</w:t>
      </w:r>
      <w:r>
        <w:rPr>
          <w:color w:val="333333"/>
          <w:spacing w:val="-7"/>
        </w:rPr>
        <w:t xml:space="preserve"> </w:t>
      </w:r>
      <w:r>
        <w:rPr>
          <w:color w:val="333333"/>
        </w:rPr>
        <w:t>10m</w:t>
      </w:r>
      <w:r>
        <w:rPr>
          <w:color w:val="333333"/>
          <w:position w:val="11"/>
          <w:sz w:val="11"/>
        </w:rPr>
        <w:t>3</w:t>
      </w:r>
      <w:r>
        <w:rPr>
          <w:color w:val="333333"/>
          <w:sz w:val="11"/>
        </w:rPr>
        <w:t xml:space="preserve"> </w:t>
      </w:r>
      <w:r>
        <w:rPr>
          <w:color w:val="333333"/>
          <w:spacing w:val="-3"/>
        </w:rPr>
        <w:t>的液化石油气气化站、混气站的储罐，当设置在专用的独立建筑内时，建筑外墙与相邻厂房及其附属设备的防火间距可按甲类厂房有关防火间距的规定确定。当露天设置时，与建筑物、储罐、堆场等的防火间距应符合现行国家标准《城镇燃气设计规范》</w:t>
      </w:r>
      <w:r>
        <w:rPr>
          <w:color w:val="333333"/>
        </w:rPr>
        <w:t>GB 50028</w:t>
      </w:r>
      <w:r>
        <w:rPr>
          <w:color w:val="333333"/>
          <w:spacing w:val="-3"/>
        </w:rPr>
        <w:t xml:space="preserve"> </w:t>
      </w:r>
      <w:r>
        <w:rPr>
          <w:color w:val="333333"/>
          <w:spacing w:val="-3"/>
        </w:rPr>
        <w:t>的规定。</w:t>
      </w:r>
      <w:r>
        <w:rPr>
          <w:color w:val="333333"/>
          <w:spacing w:val="-3"/>
        </w:rPr>
        <w:t xml:space="preserve"> </w:t>
      </w:r>
    </w:p>
    <w:p w14:paraId="216609ED" w14:textId="77777777" w:rsidR="00A71EEF" w:rsidRDefault="0081115D">
      <w:pPr>
        <w:pStyle w:val="a4"/>
        <w:numPr>
          <w:ilvl w:val="2"/>
          <w:numId w:val="738"/>
        </w:numPr>
        <w:tabs>
          <w:tab w:val="left" w:pos="1370"/>
        </w:tabs>
        <w:spacing w:line="441" w:lineRule="auto"/>
        <w:ind w:right="1474" w:firstLine="422"/>
        <w:rPr>
          <w:sz w:val="21"/>
        </w:rPr>
      </w:pPr>
      <w:r>
        <w:rPr>
          <w:color w:val="333333"/>
          <w:spacing w:val="-5"/>
          <w:sz w:val="21"/>
        </w:rPr>
        <w:t>Ⅰ</w:t>
      </w:r>
      <w:r>
        <w:rPr>
          <w:color w:val="333333"/>
          <w:spacing w:val="-5"/>
          <w:sz w:val="21"/>
        </w:rPr>
        <w:t>、</w:t>
      </w:r>
      <w:r>
        <w:rPr>
          <w:color w:val="333333"/>
          <w:spacing w:val="-5"/>
          <w:sz w:val="21"/>
        </w:rPr>
        <w:t>Ⅱ</w:t>
      </w:r>
      <w:r>
        <w:rPr>
          <w:color w:val="333333"/>
          <w:spacing w:val="-5"/>
          <w:sz w:val="21"/>
        </w:rPr>
        <w:t>级瓶装液化石油气供应站瓶库与站外建筑等的防火间距不应小于表</w:t>
      </w:r>
      <w:r>
        <w:rPr>
          <w:color w:val="333333"/>
          <w:spacing w:val="-5"/>
          <w:sz w:val="21"/>
        </w:rPr>
        <w:t xml:space="preserve"> </w:t>
      </w:r>
      <w:r>
        <w:rPr>
          <w:color w:val="333333"/>
          <w:sz w:val="21"/>
        </w:rPr>
        <w:t>4.4.5</w:t>
      </w:r>
      <w:r>
        <w:rPr>
          <w:color w:val="333333"/>
          <w:spacing w:val="9"/>
          <w:sz w:val="21"/>
        </w:rPr>
        <w:t xml:space="preserve"> </w:t>
      </w:r>
      <w:r>
        <w:rPr>
          <w:color w:val="333333"/>
          <w:spacing w:val="9"/>
          <w:sz w:val="21"/>
        </w:rPr>
        <w:t>的</w:t>
      </w:r>
      <w:r>
        <w:rPr>
          <w:color w:val="333333"/>
          <w:spacing w:val="-4"/>
          <w:sz w:val="21"/>
        </w:rPr>
        <w:t>规定。瓶装液化石油气供应站的分级及总存瓶容积不大于</w:t>
      </w:r>
      <w:r>
        <w:rPr>
          <w:color w:val="333333"/>
          <w:spacing w:val="-4"/>
          <w:sz w:val="21"/>
        </w:rPr>
        <w:t xml:space="preserve"> </w:t>
      </w:r>
      <w:r>
        <w:rPr>
          <w:color w:val="333333"/>
          <w:sz w:val="21"/>
        </w:rPr>
        <w:t>1m</w:t>
      </w:r>
      <w:r>
        <w:rPr>
          <w:color w:val="333333"/>
          <w:position w:val="11"/>
          <w:sz w:val="11"/>
        </w:rPr>
        <w:t>3</w:t>
      </w:r>
      <w:r>
        <w:rPr>
          <w:color w:val="333333"/>
          <w:spacing w:val="-16"/>
          <w:position w:val="11"/>
          <w:sz w:val="11"/>
        </w:rPr>
        <w:t xml:space="preserve"> </w:t>
      </w:r>
      <w:r>
        <w:rPr>
          <w:color w:val="333333"/>
          <w:spacing w:val="-3"/>
          <w:sz w:val="21"/>
        </w:rPr>
        <w:t>的瓶装供应站瓶库的设置，应符合现行国家标准《城镇燃气设计规范》</w:t>
      </w:r>
      <w:r>
        <w:rPr>
          <w:color w:val="333333"/>
          <w:sz w:val="21"/>
        </w:rPr>
        <w:t>GB</w:t>
      </w:r>
      <w:r>
        <w:rPr>
          <w:color w:val="333333"/>
          <w:spacing w:val="1"/>
          <w:sz w:val="21"/>
        </w:rPr>
        <w:t xml:space="preserve"> </w:t>
      </w:r>
      <w:r>
        <w:rPr>
          <w:color w:val="333333"/>
          <w:sz w:val="21"/>
        </w:rPr>
        <w:t>50028</w:t>
      </w:r>
      <w:r>
        <w:rPr>
          <w:color w:val="333333"/>
          <w:spacing w:val="-3"/>
          <w:sz w:val="21"/>
        </w:rPr>
        <w:t xml:space="preserve"> </w:t>
      </w:r>
      <w:r>
        <w:rPr>
          <w:color w:val="333333"/>
          <w:spacing w:val="-3"/>
          <w:sz w:val="21"/>
        </w:rPr>
        <w:t>的规定。</w:t>
      </w:r>
      <w:r>
        <w:rPr>
          <w:color w:val="333333"/>
          <w:sz w:val="21"/>
        </w:rPr>
        <w:t xml:space="preserve"> </w:t>
      </w:r>
    </w:p>
    <w:p w14:paraId="62977BD3" w14:textId="77777777" w:rsidR="00A71EEF" w:rsidRDefault="0081115D">
      <w:pPr>
        <w:pStyle w:val="6"/>
        <w:ind w:left="1464"/>
      </w:pPr>
      <w:r>
        <w:rPr>
          <w:noProof/>
        </w:rPr>
        <w:drawing>
          <wp:anchor distT="0" distB="0" distL="0" distR="0" simplePos="0" relativeHeight="251533824" behindDoc="0" locked="0" layoutInCell="1" allowOverlap="1" wp14:anchorId="78B9B46F" wp14:editId="074C0D20">
            <wp:simplePos x="0" y="0"/>
            <wp:positionH relativeFrom="page">
              <wp:posOffset>1056005</wp:posOffset>
            </wp:positionH>
            <wp:positionV relativeFrom="paragraph">
              <wp:posOffset>220471</wp:posOffset>
            </wp:positionV>
            <wp:extent cx="5334000" cy="2038350"/>
            <wp:effectExtent l="0" t="0" r="0" b="0"/>
            <wp:wrapTopAndBottom/>
            <wp:docPr id="199" name="image1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27.jpeg"/>
                    <pic:cNvPicPr/>
                  </pic:nvPicPr>
                  <pic:blipFill>
                    <a:blip r:embed="rId125" cstate="print"/>
                    <a:stretch>
                      <a:fillRect/>
                    </a:stretch>
                  </pic:blipFill>
                  <pic:spPr>
                    <a:xfrm>
                      <a:off x="0" y="0"/>
                      <a:ext cx="5334000" cy="2038350"/>
                    </a:xfrm>
                    <a:prstGeom prst="rect">
                      <a:avLst/>
                    </a:prstGeom>
                  </pic:spPr>
                </pic:pic>
              </a:graphicData>
            </a:graphic>
          </wp:anchor>
        </w:drawing>
      </w:r>
      <w:r>
        <w:t>表</w:t>
      </w:r>
      <w:r>
        <w:t xml:space="preserve"> 4.4.5 Ⅰ</w:t>
      </w:r>
      <w:r>
        <w:t>、</w:t>
      </w:r>
      <w:r>
        <w:t>Ⅱ</w:t>
      </w:r>
      <w:r>
        <w:t>级瓶</w:t>
      </w:r>
      <w:r>
        <w:t>装液化石油气供应站瓶库与站外建筑等的防火间距（</w:t>
      </w:r>
      <w:r>
        <w:t>m</w:t>
      </w:r>
      <w:r>
        <w:t>）</w:t>
      </w:r>
      <w:r>
        <w:rPr>
          <w:w w:val="99"/>
        </w:rPr>
        <w:t xml:space="preserve"> </w:t>
      </w:r>
    </w:p>
    <w:p w14:paraId="6876265E" w14:textId="77777777" w:rsidR="00A71EEF" w:rsidRDefault="0081115D">
      <w:pPr>
        <w:pStyle w:val="a3"/>
        <w:spacing w:before="163"/>
        <w:ind w:left="838"/>
      </w:pPr>
      <w:r>
        <w:rPr>
          <w:color w:val="333333"/>
        </w:rPr>
        <w:t>注：总存瓶容积应按实瓶个数与单瓶几何容积的乘积计算。</w:t>
      </w:r>
      <w:r>
        <w:rPr>
          <w:color w:val="333333"/>
        </w:rPr>
        <w:t xml:space="preserve"> </w:t>
      </w:r>
    </w:p>
    <w:p w14:paraId="17AAC063" w14:textId="77777777" w:rsidR="00A71EEF" w:rsidRDefault="00A71EEF">
      <w:pPr>
        <w:pStyle w:val="a3"/>
        <w:spacing w:before="2"/>
        <w:rPr>
          <w:sz w:val="18"/>
        </w:rPr>
      </w:pPr>
    </w:p>
    <w:p w14:paraId="0CA36072" w14:textId="77777777" w:rsidR="00A71EEF" w:rsidRDefault="0081115D">
      <w:pPr>
        <w:pStyle w:val="a4"/>
        <w:numPr>
          <w:ilvl w:val="2"/>
          <w:numId w:val="738"/>
        </w:numPr>
        <w:tabs>
          <w:tab w:val="left" w:pos="1370"/>
        </w:tabs>
        <w:spacing w:line="446" w:lineRule="auto"/>
        <w:ind w:right="1604" w:firstLine="422"/>
        <w:rPr>
          <w:sz w:val="21"/>
        </w:rPr>
      </w:pPr>
      <w:r>
        <w:rPr>
          <w:color w:val="333333"/>
          <w:spacing w:val="-3"/>
          <w:sz w:val="21"/>
        </w:rPr>
        <w:t>Ⅰ</w:t>
      </w:r>
      <w:r>
        <w:rPr>
          <w:color w:val="333333"/>
          <w:spacing w:val="-3"/>
          <w:sz w:val="21"/>
        </w:rPr>
        <w:t>级瓶装液化石油气供应站的四周宜设置不燃性实体围墙，但面向出入口一侧可设置不燃性非实体围墙。</w:t>
      </w:r>
      <w:r>
        <w:rPr>
          <w:color w:val="333333"/>
          <w:sz w:val="21"/>
        </w:rPr>
        <w:t xml:space="preserve"> </w:t>
      </w:r>
    </w:p>
    <w:p w14:paraId="72B7BE04" w14:textId="77777777" w:rsidR="00A71EEF" w:rsidRDefault="0081115D">
      <w:pPr>
        <w:pStyle w:val="a3"/>
        <w:spacing w:line="267" w:lineRule="exact"/>
        <w:ind w:left="838"/>
      </w:pPr>
      <w:r>
        <w:rPr>
          <w:color w:val="333333"/>
        </w:rPr>
        <w:t>Ⅱ</w:t>
      </w:r>
      <w:r>
        <w:rPr>
          <w:color w:val="333333"/>
        </w:rPr>
        <w:t>级瓶装液化石油气供应站的四周宜设置不燃性实体围墙，或下部实体部分高度不低于</w:t>
      </w:r>
    </w:p>
    <w:p w14:paraId="0E01A009" w14:textId="77777777" w:rsidR="00A71EEF" w:rsidRDefault="00A71EEF">
      <w:pPr>
        <w:pStyle w:val="a3"/>
        <w:spacing w:before="2"/>
        <w:rPr>
          <w:sz w:val="18"/>
        </w:rPr>
      </w:pPr>
    </w:p>
    <w:p w14:paraId="6F65210E" w14:textId="77777777" w:rsidR="00A71EEF" w:rsidRDefault="0081115D">
      <w:pPr>
        <w:pStyle w:val="a3"/>
        <w:ind w:left="418"/>
      </w:pPr>
      <w:r>
        <w:rPr>
          <w:color w:val="333333"/>
        </w:rPr>
        <w:t xml:space="preserve">0.6m </w:t>
      </w:r>
      <w:r>
        <w:rPr>
          <w:color w:val="333333"/>
        </w:rPr>
        <w:t>的围墙。</w:t>
      </w:r>
      <w:r>
        <w:rPr>
          <w:color w:val="333333"/>
        </w:rPr>
        <w:t xml:space="preserve"> </w:t>
      </w:r>
    </w:p>
    <w:p w14:paraId="15B2013C" w14:textId="77777777" w:rsidR="00A71EEF" w:rsidRDefault="00A71EEF">
      <w:pPr>
        <w:pStyle w:val="a3"/>
        <w:spacing w:before="12"/>
        <w:rPr>
          <w:sz w:val="17"/>
        </w:rPr>
      </w:pPr>
    </w:p>
    <w:p w14:paraId="68E62B0B" w14:textId="77777777" w:rsidR="00A71EEF" w:rsidRDefault="0081115D">
      <w:pPr>
        <w:pStyle w:val="a4"/>
        <w:numPr>
          <w:ilvl w:val="1"/>
          <w:numId w:val="732"/>
        </w:numPr>
        <w:tabs>
          <w:tab w:val="left" w:pos="1159"/>
        </w:tabs>
        <w:ind w:hanging="319"/>
        <w:rPr>
          <w:b/>
          <w:sz w:val="21"/>
        </w:rPr>
      </w:pPr>
      <w:r>
        <w:rPr>
          <w:spacing w:val="-3"/>
          <w:sz w:val="21"/>
        </w:rPr>
        <w:t>可燃材料堆场的防火间距</w:t>
      </w:r>
      <w:r>
        <w:rPr>
          <w:b/>
          <w:w w:val="99"/>
          <w:sz w:val="21"/>
        </w:rPr>
        <w:t xml:space="preserve"> </w:t>
      </w:r>
    </w:p>
    <w:p w14:paraId="610E3370" w14:textId="77777777" w:rsidR="00A71EEF" w:rsidRDefault="00A71EEF">
      <w:pPr>
        <w:rPr>
          <w:sz w:val="21"/>
        </w:rPr>
        <w:sectPr w:rsidR="00A71EEF">
          <w:pgSz w:w="11910" w:h="16850"/>
          <w:pgMar w:top="1220" w:right="0" w:bottom="1420" w:left="1260" w:header="0" w:footer="1239" w:gutter="0"/>
          <w:cols w:space="720"/>
        </w:sectPr>
      </w:pPr>
    </w:p>
    <w:p w14:paraId="78D845D9" w14:textId="77777777" w:rsidR="00A71EEF" w:rsidRDefault="0081115D">
      <w:pPr>
        <w:pStyle w:val="a4"/>
        <w:numPr>
          <w:ilvl w:val="2"/>
          <w:numId w:val="732"/>
        </w:numPr>
        <w:tabs>
          <w:tab w:val="left" w:pos="1371"/>
        </w:tabs>
        <w:spacing w:before="47"/>
        <w:rPr>
          <w:sz w:val="21"/>
        </w:rPr>
      </w:pPr>
      <w:r>
        <w:rPr>
          <w:color w:val="333333"/>
          <w:spacing w:val="-5"/>
          <w:sz w:val="21"/>
        </w:rPr>
        <w:lastRenderedPageBreak/>
        <w:t>露天、半露天可燃材料堆场与建筑物的防火间距不应小于表</w:t>
      </w:r>
      <w:r>
        <w:rPr>
          <w:color w:val="333333"/>
          <w:spacing w:val="-5"/>
          <w:sz w:val="21"/>
        </w:rPr>
        <w:t xml:space="preserve"> </w:t>
      </w:r>
      <w:r>
        <w:rPr>
          <w:color w:val="333333"/>
          <w:sz w:val="21"/>
        </w:rPr>
        <w:t>4.5.1</w:t>
      </w:r>
      <w:r>
        <w:rPr>
          <w:color w:val="333333"/>
          <w:spacing w:val="-3"/>
          <w:sz w:val="21"/>
        </w:rPr>
        <w:t xml:space="preserve"> </w:t>
      </w:r>
      <w:r>
        <w:rPr>
          <w:color w:val="333333"/>
          <w:spacing w:val="-3"/>
          <w:sz w:val="21"/>
        </w:rPr>
        <w:t>的规定。</w:t>
      </w:r>
      <w:r>
        <w:rPr>
          <w:color w:val="333333"/>
          <w:sz w:val="21"/>
        </w:rPr>
        <w:t xml:space="preserve"> </w:t>
      </w:r>
    </w:p>
    <w:p w14:paraId="1BFC80D5" w14:textId="77777777" w:rsidR="00A71EEF" w:rsidRDefault="00A71EEF">
      <w:pPr>
        <w:pStyle w:val="a3"/>
        <w:rPr>
          <w:sz w:val="18"/>
        </w:rPr>
      </w:pPr>
    </w:p>
    <w:p w14:paraId="40E72D8A" w14:textId="77777777" w:rsidR="00A71EEF" w:rsidRDefault="0081115D">
      <w:pPr>
        <w:pStyle w:val="6"/>
        <w:ind w:left="2098"/>
      </w:pPr>
      <w:r>
        <w:t>表</w:t>
      </w:r>
      <w:r>
        <w:t xml:space="preserve"> 4.5.1 </w:t>
      </w:r>
      <w:r>
        <w:t>露天、半露天可燃材料堆场与建筑物的防火间距（</w:t>
      </w:r>
      <w:r>
        <w:t>m</w:t>
      </w:r>
      <w:r>
        <w:t>）</w:t>
      </w:r>
      <w:r>
        <w:rPr>
          <w:w w:val="99"/>
        </w:rPr>
        <w:t xml:space="preserve"> </w:t>
      </w:r>
    </w:p>
    <w:p w14:paraId="7FCAEFE1" w14:textId="77777777" w:rsidR="00A71EEF" w:rsidRDefault="0081115D">
      <w:pPr>
        <w:pStyle w:val="a3"/>
        <w:spacing w:before="3"/>
        <w:rPr>
          <w:b/>
          <w:sz w:val="19"/>
        </w:rPr>
      </w:pPr>
      <w:r>
        <w:rPr>
          <w:noProof/>
        </w:rPr>
        <w:drawing>
          <wp:anchor distT="0" distB="0" distL="0" distR="0" simplePos="0" relativeHeight="251534848" behindDoc="0" locked="0" layoutInCell="1" allowOverlap="1" wp14:anchorId="0BA02F6A" wp14:editId="1B479E1F">
            <wp:simplePos x="0" y="0"/>
            <wp:positionH relativeFrom="page">
              <wp:posOffset>1184275</wp:posOffset>
            </wp:positionH>
            <wp:positionV relativeFrom="paragraph">
              <wp:posOffset>181260</wp:posOffset>
            </wp:positionV>
            <wp:extent cx="5388998" cy="4838700"/>
            <wp:effectExtent l="0" t="0" r="0" b="0"/>
            <wp:wrapTopAndBottom/>
            <wp:docPr id="201" name="image1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28.jpeg"/>
                    <pic:cNvPicPr/>
                  </pic:nvPicPr>
                  <pic:blipFill>
                    <a:blip r:embed="rId126" cstate="print"/>
                    <a:stretch>
                      <a:fillRect/>
                    </a:stretch>
                  </pic:blipFill>
                  <pic:spPr>
                    <a:xfrm>
                      <a:off x="0" y="0"/>
                      <a:ext cx="5388998" cy="4838700"/>
                    </a:xfrm>
                    <a:prstGeom prst="rect">
                      <a:avLst/>
                    </a:prstGeom>
                  </pic:spPr>
                </pic:pic>
              </a:graphicData>
            </a:graphic>
          </wp:anchor>
        </w:drawing>
      </w:r>
    </w:p>
    <w:p w14:paraId="27618865" w14:textId="77777777" w:rsidR="00A71EEF" w:rsidRDefault="00A71EEF">
      <w:pPr>
        <w:pStyle w:val="a3"/>
        <w:spacing w:before="4"/>
        <w:rPr>
          <w:b/>
          <w:sz w:val="14"/>
        </w:rPr>
      </w:pPr>
    </w:p>
    <w:p w14:paraId="63BA55B1" w14:textId="77777777" w:rsidR="00A71EEF" w:rsidRDefault="0081115D">
      <w:pPr>
        <w:pStyle w:val="a3"/>
        <w:spacing w:line="446" w:lineRule="auto"/>
        <w:ind w:left="418" w:right="1455" w:firstLine="419"/>
      </w:pPr>
      <w:r>
        <w:rPr>
          <w:color w:val="333333"/>
          <w:spacing w:val="-3"/>
        </w:rPr>
        <w:t>注：</w:t>
      </w:r>
      <w:r>
        <w:rPr>
          <w:color w:val="333333"/>
          <w:spacing w:val="-3"/>
        </w:rPr>
        <w:t xml:space="preserve">  </w:t>
      </w:r>
      <w:r>
        <w:rPr>
          <w:color w:val="333333"/>
          <w:spacing w:val="-3"/>
        </w:rPr>
        <w:t>露天、半露天秸杆、芦苇、打包废纸等材料堆场，与甲类厂房（</w:t>
      </w:r>
      <w:r>
        <w:rPr>
          <w:color w:val="333333"/>
          <w:spacing w:val="-2"/>
        </w:rPr>
        <w:t>仓库</w:t>
      </w:r>
      <w:r>
        <w:rPr>
          <w:color w:val="333333"/>
        </w:rPr>
        <w:t>）</w:t>
      </w:r>
      <w:r>
        <w:rPr>
          <w:color w:val="333333"/>
          <w:spacing w:val="-3"/>
        </w:rPr>
        <w:t>、民用建筑</w:t>
      </w:r>
      <w:r>
        <w:rPr>
          <w:color w:val="333333"/>
          <w:spacing w:val="-5"/>
        </w:rPr>
        <w:t>的防火间距应根据建筑物的耐火等级分别按本表的规定增加</w:t>
      </w:r>
      <w:r>
        <w:rPr>
          <w:color w:val="333333"/>
          <w:spacing w:val="-5"/>
        </w:rPr>
        <w:t xml:space="preserve"> </w:t>
      </w:r>
      <w:r>
        <w:rPr>
          <w:color w:val="333333"/>
        </w:rPr>
        <w:t>25</w:t>
      </w:r>
      <w:r>
        <w:rPr>
          <w:color w:val="333333"/>
          <w:spacing w:val="-9"/>
        </w:rPr>
        <w:t>%</w:t>
      </w:r>
      <w:r>
        <w:rPr>
          <w:color w:val="333333"/>
          <w:spacing w:val="-9"/>
        </w:rPr>
        <w:t>且不应小于</w:t>
      </w:r>
      <w:r>
        <w:rPr>
          <w:color w:val="333333"/>
          <w:spacing w:val="-9"/>
        </w:rPr>
        <w:t xml:space="preserve"> </w:t>
      </w:r>
      <w:r>
        <w:rPr>
          <w:color w:val="333333"/>
        </w:rPr>
        <w:t>25m</w:t>
      </w:r>
      <w:r>
        <w:rPr>
          <w:color w:val="333333"/>
        </w:rPr>
        <w:t>，</w:t>
      </w:r>
      <w:r>
        <w:rPr>
          <w:color w:val="333333"/>
          <w:spacing w:val="-3"/>
        </w:rPr>
        <w:t>与室外变、配</w:t>
      </w:r>
      <w:r>
        <w:rPr>
          <w:color w:val="333333"/>
          <w:spacing w:val="-5"/>
        </w:rPr>
        <w:t>电站的防火间距不应小于</w:t>
      </w:r>
      <w:r>
        <w:rPr>
          <w:color w:val="333333"/>
          <w:spacing w:val="-5"/>
        </w:rPr>
        <w:t xml:space="preserve"> </w:t>
      </w:r>
      <w:r>
        <w:rPr>
          <w:color w:val="333333"/>
        </w:rPr>
        <w:t>50m</w:t>
      </w:r>
      <w:r>
        <w:rPr>
          <w:color w:val="333333"/>
          <w:spacing w:val="-3"/>
        </w:rPr>
        <w:t>，与明火或散发火花地点的防火间距应按本表四级耐火等级建筑物</w:t>
      </w:r>
      <w:r>
        <w:rPr>
          <w:color w:val="333333"/>
          <w:spacing w:val="-10"/>
        </w:rPr>
        <w:t>的相应规定增加</w:t>
      </w:r>
      <w:r>
        <w:rPr>
          <w:color w:val="333333"/>
          <w:spacing w:val="-10"/>
        </w:rPr>
        <w:t xml:space="preserve"> </w:t>
      </w:r>
      <w:r>
        <w:rPr>
          <w:color w:val="333333"/>
        </w:rPr>
        <w:t>25</w:t>
      </w:r>
      <w:r>
        <w:rPr>
          <w:color w:val="333333"/>
          <w:spacing w:val="-2"/>
        </w:rPr>
        <w:t>%</w:t>
      </w:r>
      <w:r>
        <w:rPr>
          <w:color w:val="333333"/>
          <w:spacing w:val="-2"/>
        </w:rPr>
        <w:t>。</w:t>
      </w:r>
      <w:r>
        <w:rPr>
          <w:color w:val="333333"/>
        </w:rPr>
        <w:t xml:space="preserve"> </w:t>
      </w:r>
    </w:p>
    <w:p w14:paraId="7E7660AE" w14:textId="77777777" w:rsidR="00A71EEF" w:rsidRDefault="0081115D">
      <w:pPr>
        <w:pStyle w:val="a3"/>
        <w:spacing w:line="446" w:lineRule="auto"/>
        <w:ind w:left="418" w:right="1474" w:firstLine="419"/>
        <w:jc w:val="both"/>
      </w:pPr>
      <w:r>
        <w:rPr>
          <w:color w:val="333333"/>
          <w:spacing w:val="-5"/>
        </w:rPr>
        <w:t>当一个木材堆场的总储量大于</w:t>
      </w:r>
      <w:r>
        <w:rPr>
          <w:color w:val="333333"/>
          <w:spacing w:val="-5"/>
        </w:rPr>
        <w:t xml:space="preserve"> </w:t>
      </w:r>
      <w:r>
        <w:rPr>
          <w:color w:val="333333"/>
        </w:rPr>
        <w:t>25000m</w:t>
      </w:r>
      <w:r>
        <w:rPr>
          <w:color w:val="333333"/>
          <w:position w:val="11"/>
          <w:sz w:val="11"/>
        </w:rPr>
        <w:t xml:space="preserve">3 </w:t>
      </w:r>
      <w:r>
        <w:rPr>
          <w:color w:val="333333"/>
          <w:spacing w:val="-3"/>
        </w:rPr>
        <w:t>或一个秸杆、芦苇、打包废纸等材料堆场的总储量大</w:t>
      </w:r>
      <w:r>
        <w:rPr>
          <w:color w:val="333333"/>
          <w:spacing w:val="-21"/>
        </w:rPr>
        <w:t>于</w:t>
      </w:r>
      <w:r>
        <w:rPr>
          <w:color w:val="333333"/>
          <w:spacing w:val="-21"/>
        </w:rPr>
        <w:t xml:space="preserve"> </w:t>
      </w:r>
      <w:r>
        <w:rPr>
          <w:color w:val="333333"/>
        </w:rPr>
        <w:t>20000t</w:t>
      </w:r>
      <w:r>
        <w:rPr>
          <w:color w:val="333333"/>
          <w:spacing w:val="-8"/>
        </w:rPr>
        <w:t xml:space="preserve"> </w:t>
      </w:r>
      <w:r>
        <w:rPr>
          <w:color w:val="333333"/>
          <w:spacing w:val="-8"/>
        </w:rPr>
        <w:t>时，宜分设堆场。各堆场之间的防火间距不应小</w:t>
      </w:r>
      <w:r>
        <w:rPr>
          <w:color w:val="333333"/>
          <w:spacing w:val="-8"/>
        </w:rPr>
        <w:t>于相邻较大堆场与四级耐火等级建筑</w:t>
      </w:r>
      <w:r>
        <w:rPr>
          <w:color w:val="333333"/>
          <w:spacing w:val="-5"/>
        </w:rPr>
        <w:t>物的防火间距。</w:t>
      </w:r>
      <w:r>
        <w:rPr>
          <w:color w:val="333333"/>
        </w:rPr>
        <w:t xml:space="preserve"> </w:t>
      </w:r>
    </w:p>
    <w:p w14:paraId="1E67FD4E" w14:textId="77777777" w:rsidR="00A71EEF" w:rsidRDefault="0081115D">
      <w:pPr>
        <w:pStyle w:val="a3"/>
        <w:spacing w:line="446" w:lineRule="auto"/>
        <w:ind w:left="418" w:right="1609" w:firstLine="419"/>
      </w:pPr>
      <w:r>
        <w:rPr>
          <w:color w:val="333333"/>
        </w:rPr>
        <w:t>不同性质物品堆场之间的防火间距，不应小于本表相应储量堆场与四级耐火等级建筑物防火间距的较大值。</w:t>
      </w:r>
      <w:r>
        <w:rPr>
          <w:color w:val="333333"/>
        </w:rPr>
        <w:t xml:space="preserve"> </w:t>
      </w:r>
    </w:p>
    <w:p w14:paraId="166D6A30" w14:textId="77777777" w:rsidR="00A71EEF" w:rsidRDefault="00A71EEF">
      <w:pPr>
        <w:spacing w:line="446" w:lineRule="auto"/>
        <w:sectPr w:rsidR="00A71EEF">
          <w:pgSz w:w="11910" w:h="16850"/>
          <w:pgMar w:top="1220" w:right="0" w:bottom="1420" w:left="1260" w:header="0" w:footer="1239" w:gutter="0"/>
          <w:cols w:space="720"/>
        </w:sectPr>
      </w:pPr>
    </w:p>
    <w:p w14:paraId="7E8F6689" w14:textId="77777777" w:rsidR="00A71EEF" w:rsidRDefault="0081115D">
      <w:pPr>
        <w:pStyle w:val="a4"/>
        <w:numPr>
          <w:ilvl w:val="2"/>
          <w:numId w:val="732"/>
        </w:numPr>
        <w:tabs>
          <w:tab w:val="left" w:pos="1370"/>
        </w:tabs>
        <w:spacing w:before="47" w:line="446" w:lineRule="auto"/>
        <w:ind w:left="418" w:right="1604" w:firstLine="422"/>
        <w:jc w:val="both"/>
        <w:rPr>
          <w:sz w:val="21"/>
        </w:rPr>
      </w:pPr>
      <w:r>
        <w:rPr>
          <w:color w:val="333333"/>
          <w:spacing w:val="-3"/>
          <w:sz w:val="21"/>
        </w:rPr>
        <w:lastRenderedPageBreak/>
        <w:t>露天、半露天可燃材料堆场与甲、乙、丙类液体储罐的防火间距，不应小于本规范</w:t>
      </w:r>
      <w:r>
        <w:rPr>
          <w:color w:val="333333"/>
          <w:spacing w:val="-28"/>
          <w:sz w:val="21"/>
        </w:rPr>
        <w:t>表</w:t>
      </w:r>
      <w:r>
        <w:rPr>
          <w:color w:val="333333"/>
          <w:spacing w:val="-28"/>
          <w:sz w:val="21"/>
        </w:rPr>
        <w:t xml:space="preserve"> </w:t>
      </w:r>
      <w:r>
        <w:rPr>
          <w:color w:val="333333"/>
          <w:sz w:val="21"/>
        </w:rPr>
        <w:t>4.2.1</w:t>
      </w:r>
      <w:r>
        <w:rPr>
          <w:color w:val="333333"/>
          <w:spacing w:val="-28"/>
          <w:sz w:val="21"/>
        </w:rPr>
        <w:t xml:space="preserve"> </w:t>
      </w:r>
      <w:r>
        <w:rPr>
          <w:color w:val="333333"/>
          <w:spacing w:val="-28"/>
          <w:sz w:val="21"/>
        </w:rPr>
        <w:t>和表</w:t>
      </w:r>
      <w:r>
        <w:rPr>
          <w:color w:val="333333"/>
          <w:spacing w:val="-28"/>
          <w:sz w:val="21"/>
        </w:rPr>
        <w:t xml:space="preserve"> </w:t>
      </w:r>
      <w:r>
        <w:rPr>
          <w:color w:val="333333"/>
          <w:sz w:val="21"/>
        </w:rPr>
        <w:t>4.5.1</w:t>
      </w:r>
      <w:r>
        <w:rPr>
          <w:color w:val="333333"/>
          <w:spacing w:val="-9"/>
          <w:sz w:val="21"/>
        </w:rPr>
        <w:t xml:space="preserve"> </w:t>
      </w:r>
      <w:r>
        <w:rPr>
          <w:color w:val="333333"/>
          <w:spacing w:val="-9"/>
          <w:sz w:val="21"/>
        </w:rPr>
        <w:t>中相应储量堆场与四级耐火等级建筑物防火间距的较大值。</w:t>
      </w:r>
      <w:r>
        <w:rPr>
          <w:color w:val="333333"/>
          <w:spacing w:val="-9"/>
          <w:sz w:val="21"/>
        </w:rPr>
        <w:t xml:space="preserve"> </w:t>
      </w:r>
    </w:p>
    <w:p w14:paraId="5E5D9153" w14:textId="77777777" w:rsidR="00A71EEF" w:rsidRDefault="0081115D">
      <w:pPr>
        <w:pStyle w:val="a4"/>
        <w:numPr>
          <w:ilvl w:val="2"/>
          <w:numId w:val="732"/>
        </w:numPr>
        <w:tabs>
          <w:tab w:val="left" w:pos="1371"/>
        </w:tabs>
        <w:spacing w:line="446" w:lineRule="auto"/>
        <w:ind w:left="418" w:right="1558" w:firstLine="422"/>
        <w:jc w:val="both"/>
        <w:rPr>
          <w:sz w:val="21"/>
        </w:rPr>
      </w:pPr>
      <w:r>
        <w:rPr>
          <w:color w:val="333333"/>
          <w:spacing w:val="-3"/>
          <w:sz w:val="21"/>
        </w:rPr>
        <w:t>露天、半露天秸杆、芦苇、打包废纸等材料堆场与铁路、道路的防火间距不应小于</w:t>
      </w:r>
      <w:r>
        <w:rPr>
          <w:color w:val="333333"/>
          <w:spacing w:val="-3"/>
          <w:sz w:val="21"/>
        </w:rPr>
        <w:t xml:space="preserve"> </w:t>
      </w:r>
      <w:r>
        <w:rPr>
          <w:color w:val="333333"/>
          <w:spacing w:val="-22"/>
          <w:sz w:val="21"/>
        </w:rPr>
        <w:t>表</w:t>
      </w:r>
      <w:r>
        <w:rPr>
          <w:color w:val="333333"/>
          <w:spacing w:val="-22"/>
          <w:sz w:val="21"/>
        </w:rPr>
        <w:t xml:space="preserve"> </w:t>
      </w:r>
      <w:r>
        <w:rPr>
          <w:color w:val="333333"/>
          <w:sz w:val="21"/>
        </w:rPr>
        <w:t>4.5.3</w:t>
      </w:r>
      <w:r>
        <w:rPr>
          <w:color w:val="333333"/>
          <w:spacing w:val="-3"/>
          <w:sz w:val="21"/>
        </w:rPr>
        <w:t xml:space="preserve"> </w:t>
      </w:r>
      <w:r>
        <w:rPr>
          <w:color w:val="333333"/>
          <w:spacing w:val="-3"/>
          <w:sz w:val="21"/>
        </w:rPr>
        <w:t>的规定，其他可燃材料堆场与铁路、道路的防火间距可根据材料的火灾危险性按类比原则确定。</w:t>
      </w:r>
      <w:r>
        <w:rPr>
          <w:color w:val="333333"/>
          <w:sz w:val="21"/>
        </w:rPr>
        <w:t xml:space="preserve"> </w:t>
      </w:r>
    </w:p>
    <w:p w14:paraId="469D0B39" w14:textId="77777777" w:rsidR="00A71EEF" w:rsidRDefault="0081115D">
      <w:pPr>
        <w:pStyle w:val="6"/>
        <w:spacing w:line="268" w:lineRule="exact"/>
        <w:ind w:left="840"/>
        <w:jc w:val="both"/>
      </w:pPr>
      <w:r>
        <w:rPr>
          <w:noProof/>
        </w:rPr>
        <w:drawing>
          <wp:anchor distT="0" distB="0" distL="0" distR="0" simplePos="0" relativeHeight="251535872" behindDoc="0" locked="0" layoutInCell="1" allowOverlap="1" wp14:anchorId="2589CFF9" wp14:editId="32FC4C97">
            <wp:simplePos x="0" y="0"/>
            <wp:positionH relativeFrom="page">
              <wp:posOffset>1065530</wp:posOffset>
            </wp:positionH>
            <wp:positionV relativeFrom="paragraph">
              <wp:posOffset>249828</wp:posOffset>
            </wp:positionV>
            <wp:extent cx="5330069" cy="1688973"/>
            <wp:effectExtent l="0" t="0" r="0" b="0"/>
            <wp:wrapTopAndBottom/>
            <wp:docPr id="203"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29.jpeg"/>
                    <pic:cNvPicPr/>
                  </pic:nvPicPr>
                  <pic:blipFill>
                    <a:blip r:embed="rId127" cstate="print"/>
                    <a:stretch>
                      <a:fillRect/>
                    </a:stretch>
                  </pic:blipFill>
                  <pic:spPr>
                    <a:xfrm>
                      <a:off x="0" y="0"/>
                      <a:ext cx="5330069" cy="1688973"/>
                    </a:xfrm>
                    <a:prstGeom prst="rect">
                      <a:avLst/>
                    </a:prstGeom>
                  </pic:spPr>
                </pic:pic>
              </a:graphicData>
            </a:graphic>
          </wp:anchor>
        </w:drawing>
      </w:r>
      <w:r>
        <w:t>表</w:t>
      </w:r>
      <w:r>
        <w:t xml:space="preserve"> 4.5.3 </w:t>
      </w:r>
      <w:r>
        <w:t>露天、半露天可燃材料堆场与铁路、道路的防火间距（</w:t>
      </w:r>
      <w:r>
        <w:t>m</w:t>
      </w:r>
      <w:r>
        <w:t>）</w:t>
      </w:r>
      <w:r>
        <w:rPr>
          <w:w w:val="99"/>
        </w:rPr>
        <w:t xml:space="preserve"> </w:t>
      </w:r>
    </w:p>
    <w:p w14:paraId="11C45D08" w14:textId="77777777" w:rsidR="00A71EEF" w:rsidRDefault="0081115D">
      <w:pPr>
        <w:spacing w:before="144"/>
        <w:ind w:left="418"/>
        <w:rPr>
          <w:b/>
          <w:sz w:val="24"/>
        </w:rPr>
      </w:pPr>
      <w:r>
        <w:rPr>
          <w:b/>
          <w:sz w:val="24"/>
        </w:rPr>
        <w:t xml:space="preserve">5 </w:t>
      </w:r>
      <w:r>
        <w:rPr>
          <w:b/>
          <w:sz w:val="24"/>
        </w:rPr>
        <w:t>民用建筑</w:t>
      </w:r>
      <w:r>
        <w:rPr>
          <w:b/>
          <w:w w:val="99"/>
          <w:sz w:val="24"/>
        </w:rPr>
        <w:t xml:space="preserve"> </w:t>
      </w:r>
    </w:p>
    <w:p w14:paraId="3531AEC9" w14:textId="77777777" w:rsidR="00A71EEF" w:rsidRDefault="00A71EEF">
      <w:pPr>
        <w:pStyle w:val="a3"/>
        <w:spacing w:before="3"/>
        <w:rPr>
          <w:b/>
          <w:sz w:val="17"/>
        </w:rPr>
      </w:pPr>
    </w:p>
    <w:p w14:paraId="4E0B154F" w14:textId="77777777" w:rsidR="00A71EEF" w:rsidRDefault="0081115D">
      <w:pPr>
        <w:pStyle w:val="a4"/>
        <w:numPr>
          <w:ilvl w:val="1"/>
          <w:numId w:val="731"/>
        </w:numPr>
        <w:tabs>
          <w:tab w:val="left" w:pos="1159"/>
        </w:tabs>
        <w:ind w:hanging="319"/>
        <w:rPr>
          <w:sz w:val="21"/>
        </w:rPr>
      </w:pPr>
      <w:r>
        <w:rPr>
          <w:spacing w:val="-3"/>
          <w:sz w:val="21"/>
        </w:rPr>
        <w:t>建筑分类和耐火等级</w:t>
      </w:r>
      <w:r>
        <w:rPr>
          <w:sz w:val="21"/>
        </w:rPr>
        <w:t xml:space="preserve"> </w:t>
      </w:r>
    </w:p>
    <w:p w14:paraId="1A3D4BB2" w14:textId="77777777" w:rsidR="00A71EEF" w:rsidRDefault="00A71EEF">
      <w:pPr>
        <w:pStyle w:val="a3"/>
        <w:rPr>
          <w:sz w:val="20"/>
        </w:rPr>
      </w:pPr>
    </w:p>
    <w:p w14:paraId="3C8DB6E5" w14:textId="77777777" w:rsidR="00A71EEF" w:rsidRDefault="00A71EEF">
      <w:pPr>
        <w:pStyle w:val="a3"/>
        <w:rPr>
          <w:sz w:val="20"/>
        </w:rPr>
      </w:pPr>
    </w:p>
    <w:p w14:paraId="23AE30C1" w14:textId="77777777" w:rsidR="00A71EEF" w:rsidRDefault="00A71EEF">
      <w:pPr>
        <w:pStyle w:val="a3"/>
        <w:rPr>
          <w:sz w:val="20"/>
        </w:rPr>
      </w:pPr>
    </w:p>
    <w:p w14:paraId="6C91337A" w14:textId="77777777" w:rsidR="00A71EEF" w:rsidRDefault="00A71EEF">
      <w:pPr>
        <w:pStyle w:val="a3"/>
        <w:rPr>
          <w:sz w:val="20"/>
        </w:rPr>
      </w:pPr>
    </w:p>
    <w:p w14:paraId="1970C795" w14:textId="77777777" w:rsidR="00A71EEF" w:rsidRDefault="00A71EEF">
      <w:pPr>
        <w:pStyle w:val="a3"/>
        <w:rPr>
          <w:sz w:val="20"/>
        </w:rPr>
      </w:pPr>
    </w:p>
    <w:p w14:paraId="16A56723" w14:textId="77777777" w:rsidR="00A71EEF" w:rsidRDefault="00A71EEF">
      <w:pPr>
        <w:pStyle w:val="a3"/>
        <w:rPr>
          <w:sz w:val="20"/>
        </w:rPr>
      </w:pPr>
    </w:p>
    <w:p w14:paraId="6272728B" w14:textId="77777777" w:rsidR="00A71EEF" w:rsidRDefault="00A71EEF">
      <w:pPr>
        <w:pStyle w:val="a3"/>
        <w:rPr>
          <w:sz w:val="20"/>
        </w:rPr>
      </w:pPr>
    </w:p>
    <w:p w14:paraId="5BA12D9D" w14:textId="77777777" w:rsidR="00A71EEF" w:rsidRDefault="00A71EEF">
      <w:pPr>
        <w:pStyle w:val="a3"/>
        <w:rPr>
          <w:sz w:val="20"/>
        </w:rPr>
      </w:pPr>
    </w:p>
    <w:p w14:paraId="515FC82F" w14:textId="77777777" w:rsidR="00A71EEF" w:rsidRDefault="00A71EEF">
      <w:pPr>
        <w:pStyle w:val="a3"/>
        <w:rPr>
          <w:sz w:val="20"/>
        </w:rPr>
      </w:pPr>
    </w:p>
    <w:p w14:paraId="628F9F58" w14:textId="77777777" w:rsidR="00A71EEF" w:rsidRDefault="00A71EEF">
      <w:pPr>
        <w:pStyle w:val="a3"/>
        <w:rPr>
          <w:sz w:val="20"/>
        </w:rPr>
      </w:pPr>
    </w:p>
    <w:p w14:paraId="3AE0DEDE" w14:textId="77777777" w:rsidR="00A71EEF" w:rsidRDefault="00A71EEF">
      <w:pPr>
        <w:pStyle w:val="a3"/>
        <w:rPr>
          <w:sz w:val="20"/>
        </w:rPr>
      </w:pPr>
    </w:p>
    <w:p w14:paraId="5FD2B3B4" w14:textId="77777777" w:rsidR="00A71EEF" w:rsidRDefault="00A71EEF">
      <w:pPr>
        <w:pStyle w:val="a3"/>
        <w:rPr>
          <w:sz w:val="20"/>
        </w:rPr>
      </w:pPr>
    </w:p>
    <w:p w14:paraId="3144DE0D" w14:textId="77777777" w:rsidR="00A71EEF" w:rsidRDefault="00A71EEF">
      <w:pPr>
        <w:pStyle w:val="a3"/>
        <w:rPr>
          <w:sz w:val="20"/>
        </w:rPr>
      </w:pPr>
    </w:p>
    <w:p w14:paraId="3A077483" w14:textId="77777777" w:rsidR="00A71EEF" w:rsidRDefault="00A71EEF">
      <w:pPr>
        <w:pStyle w:val="a3"/>
        <w:rPr>
          <w:sz w:val="20"/>
        </w:rPr>
      </w:pPr>
    </w:p>
    <w:p w14:paraId="4B0D8C9F" w14:textId="77777777" w:rsidR="00A71EEF" w:rsidRDefault="00A71EEF">
      <w:pPr>
        <w:pStyle w:val="a3"/>
        <w:rPr>
          <w:sz w:val="20"/>
        </w:rPr>
      </w:pPr>
    </w:p>
    <w:p w14:paraId="61D89118" w14:textId="77777777" w:rsidR="00A71EEF" w:rsidRDefault="00A71EEF">
      <w:pPr>
        <w:pStyle w:val="a3"/>
        <w:rPr>
          <w:sz w:val="20"/>
        </w:rPr>
      </w:pPr>
    </w:p>
    <w:p w14:paraId="4C431DAF" w14:textId="77777777" w:rsidR="00A71EEF" w:rsidRDefault="00A71EEF">
      <w:pPr>
        <w:pStyle w:val="a3"/>
        <w:rPr>
          <w:sz w:val="20"/>
        </w:rPr>
      </w:pPr>
    </w:p>
    <w:p w14:paraId="45D6A5DB" w14:textId="77777777" w:rsidR="00A71EEF" w:rsidRDefault="00A71EEF">
      <w:pPr>
        <w:pStyle w:val="a3"/>
        <w:rPr>
          <w:sz w:val="20"/>
        </w:rPr>
      </w:pPr>
    </w:p>
    <w:p w14:paraId="56A58FE2" w14:textId="77777777" w:rsidR="00A71EEF" w:rsidRDefault="00A71EEF">
      <w:pPr>
        <w:pStyle w:val="a3"/>
        <w:rPr>
          <w:sz w:val="20"/>
        </w:rPr>
      </w:pPr>
    </w:p>
    <w:p w14:paraId="288DBC53" w14:textId="77777777" w:rsidR="00A71EEF" w:rsidRDefault="00A71EEF">
      <w:pPr>
        <w:pStyle w:val="a3"/>
        <w:rPr>
          <w:sz w:val="20"/>
        </w:rPr>
      </w:pPr>
    </w:p>
    <w:p w14:paraId="607E9338" w14:textId="77777777" w:rsidR="00A71EEF" w:rsidRDefault="00A71EEF">
      <w:pPr>
        <w:pStyle w:val="a3"/>
        <w:rPr>
          <w:sz w:val="20"/>
        </w:rPr>
      </w:pPr>
    </w:p>
    <w:p w14:paraId="72E2A7BA" w14:textId="77777777" w:rsidR="00A71EEF" w:rsidRDefault="00A71EEF">
      <w:pPr>
        <w:pStyle w:val="a3"/>
        <w:rPr>
          <w:sz w:val="20"/>
        </w:rPr>
      </w:pPr>
    </w:p>
    <w:p w14:paraId="7C498958" w14:textId="77777777" w:rsidR="00A71EEF" w:rsidRDefault="00A71EEF">
      <w:pPr>
        <w:pStyle w:val="a3"/>
        <w:rPr>
          <w:sz w:val="20"/>
        </w:rPr>
      </w:pPr>
    </w:p>
    <w:p w14:paraId="2C27020F" w14:textId="77777777" w:rsidR="00A71EEF" w:rsidRDefault="00A71EEF">
      <w:pPr>
        <w:pStyle w:val="a3"/>
        <w:rPr>
          <w:sz w:val="20"/>
        </w:rPr>
      </w:pPr>
    </w:p>
    <w:p w14:paraId="6F86D47C" w14:textId="77777777" w:rsidR="00A71EEF" w:rsidRDefault="00A71EEF">
      <w:pPr>
        <w:pStyle w:val="a3"/>
        <w:rPr>
          <w:sz w:val="20"/>
        </w:rPr>
      </w:pPr>
    </w:p>
    <w:p w14:paraId="22928D7D" w14:textId="77777777" w:rsidR="00A71EEF" w:rsidRDefault="00A71EEF">
      <w:pPr>
        <w:pStyle w:val="a3"/>
        <w:rPr>
          <w:sz w:val="20"/>
        </w:rPr>
      </w:pPr>
    </w:p>
    <w:p w14:paraId="6B4AB260" w14:textId="77777777" w:rsidR="00A71EEF" w:rsidRDefault="00A71EEF">
      <w:pPr>
        <w:pStyle w:val="a3"/>
        <w:rPr>
          <w:sz w:val="20"/>
        </w:rPr>
      </w:pPr>
    </w:p>
    <w:p w14:paraId="2BA9EF08" w14:textId="77777777" w:rsidR="00A71EEF" w:rsidRDefault="00A71EEF">
      <w:pPr>
        <w:pStyle w:val="a3"/>
        <w:spacing w:before="12"/>
        <w:rPr>
          <w:sz w:val="18"/>
        </w:rPr>
      </w:pPr>
    </w:p>
    <w:p w14:paraId="3143DDF3" w14:textId="77777777" w:rsidR="00A71EEF" w:rsidRDefault="0081115D">
      <w:pPr>
        <w:pStyle w:val="a3"/>
        <w:spacing w:before="71"/>
        <w:ind w:left="838"/>
      </w:pPr>
      <w:r>
        <w:t xml:space="preserve"> </w:t>
      </w:r>
    </w:p>
    <w:p w14:paraId="13A6772A" w14:textId="77777777" w:rsidR="00A71EEF" w:rsidRDefault="00A71EEF">
      <w:pPr>
        <w:sectPr w:rsidR="00A71EEF">
          <w:pgSz w:w="11910" w:h="16850"/>
          <w:pgMar w:top="1220" w:right="0" w:bottom="1420" w:left="1260" w:header="0" w:footer="1239" w:gutter="0"/>
          <w:cols w:space="720"/>
        </w:sectPr>
      </w:pPr>
    </w:p>
    <w:p w14:paraId="74364F76" w14:textId="77777777" w:rsidR="00A71EEF" w:rsidRDefault="0081115D">
      <w:pPr>
        <w:pStyle w:val="a4"/>
        <w:numPr>
          <w:ilvl w:val="2"/>
          <w:numId w:val="731"/>
        </w:numPr>
        <w:tabs>
          <w:tab w:val="left" w:pos="1369"/>
        </w:tabs>
        <w:spacing w:before="47"/>
        <w:ind w:left="1368"/>
        <w:rPr>
          <w:color w:val="333333"/>
          <w:sz w:val="19"/>
        </w:rPr>
      </w:pPr>
      <w:r>
        <w:rPr>
          <w:noProof/>
        </w:rPr>
        <w:lastRenderedPageBreak/>
        <w:drawing>
          <wp:anchor distT="0" distB="0" distL="0" distR="0" simplePos="0" relativeHeight="251536896" behindDoc="0" locked="0" layoutInCell="1" allowOverlap="1" wp14:anchorId="1412FB20" wp14:editId="3738ABEE">
            <wp:simplePos x="0" y="0"/>
            <wp:positionH relativeFrom="page">
              <wp:posOffset>1141730</wp:posOffset>
            </wp:positionH>
            <wp:positionV relativeFrom="paragraph">
              <wp:posOffset>244855</wp:posOffset>
            </wp:positionV>
            <wp:extent cx="5592762" cy="5162550"/>
            <wp:effectExtent l="0" t="0" r="0" b="0"/>
            <wp:wrapTopAndBottom/>
            <wp:docPr id="205" name="image1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130.jpeg"/>
                    <pic:cNvPicPr/>
                  </pic:nvPicPr>
                  <pic:blipFill>
                    <a:blip r:embed="rId128" cstate="print"/>
                    <a:stretch>
                      <a:fillRect/>
                    </a:stretch>
                  </pic:blipFill>
                  <pic:spPr>
                    <a:xfrm>
                      <a:off x="0" y="0"/>
                      <a:ext cx="5592762" cy="5162550"/>
                    </a:xfrm>
                    <a:prstGeom prst="rect">
                      <a:avLst/>
                    </a:prstGeom>
                  </pic:spPr>
                </pic:pic>
              </a:graphicData>
            </a:graphic>
          </wp:anchor>
        </w:drawing>
      </w:r>
      <w:r>
        <w:rPr>
          <w:color w:val="333333"/>
          <w:spacing w:val="-3"/>
          <w:sz w:val="21"/>
        </w:rPr>
        <w:t>民用建筑根据其建筑高度和层数可分为单、多层民用建筑和高层民用建筑。</w:t>
      </w:r>
      <w:r>
        <w:rPr>
          <w:color w:val="333333"/>
          <w:spacing w:val="-3"/>
          <w:sz w:val="21"/>
        </w:rPr>
        <w:t xml:space="preserve"> </w:t>
      </w:r>
    </w:p>
    <w:p w14:paraId="62934D76" w14:textId="77777777" w:rsidR="00A71EEF" w:rsidRDefault="0081115D">
      <w:pPr>
        <w:pStyle w:val="a3"/>
        <w:spacing w:before="134" w:line="446" w:lineRule="auto"/>
        <w:ind w:left="418" w:right="1609" w:firstLine="419"/>
      </w:pPr>
      <w:r>
        <w:rPr>
          <w:color w:val="333333"/>
        </w:rPr>
        <w:t>高层民用建筑根据其建筑高度、使用功能和楼层的建筑面积可分为一类和二类。民用建筑的分类应符合表</w:t>
      </w:r>
      <w:r>
        <w:rPr>
          <w:color w:val="333333"/>
        </w:rPr>
        <w:t xml:space="preserve"> 5.1.1 </w:t>
      </w:r>
      <w:r>
        <w:rPr>
          <w:color w:val="333333"/>
        </w:rPr>
        <w:t>的规定。</w:t>
      </w:r>
      <w:r>
        <w:rPr>
          <w:color w:val="333333"/>
        </w:rPr>
        <w:t xml:space="preserve"> </w:t>
      </w:r>
    </w:p>
    <w:p w14:paraId="480FA1C6" w14:textId="77777777" w:rsidR="00A71EEF" w:rsidRDefault="0081115D">
      <w:pPr>
        <w:pStyle w:val="a3"/>
        <w:spacing w:line="267" w:lineRule="exact"/>
        <w:ind w:left="418"/>
      </w:pPr>
      <w:r>
        <w:rPr>
          <w:color w:val="333333"/>
        </w:rPr>
        <w:t>注：</w:t>
      </w:r>
      <w:r>
        <w:rPr>
          <w:color w:val="333333"/>
        </w:rPr>
        <w:t xml:space="preserve">1. </w:t>
      </w:r>
      <w:r>
        <w:rPr>
          <w:color w:val="333333"/>
        </w:rPr>
        <w:t>表中未列入的建筑，其类别应根据本表类比确定。</w:t>
      </w:r>
      <w:r>
        <w:rPr>
          <w:color w:val="333333"/>
        </w:rPr>
        <w:t xml:space="preserve"> </w:t>
      </w:r>
    </w:p>
    <w:p w14:paraId="1ABE1714" w14:textId="77777777" w:rsidR="00A71EEF" w:rsidRDefault="00A71EEF">
      <w:pPr>
        <w:pStyle w:val="a3"/>
        <w:spacing w:before="2"/>
        <w:rPr>
          <w:sz w:val="18"/>
        </w:rPr>
      </w:pPr>
    </w:p>
    <w:p w14:paraId="09880E32" w14:textId="77777777" w:rsidR="00A71EEF" w:rsidRDefault="0081115D">
      <w:pPr>
        <w:pStyle w:val="a4"/>
        <w:numPr>
          <w:ilvl w:val="0"/>
          <w:numId w:val="730"/>
        </w:numPr>
        <w:tabs>
          <w:tab w:val="left" w:pos="1051"/>
        </w:tabs>
        <w:spacing w:line="446" w:lineRule="auto"/>
        <w:ind w:right="1505" w:firstLine="419"/>
        <w:rPr>
          <w:sz w:val="21"/>
        </w:rPr>
      </w:pPr>
      <w:r>
        <w:rPr>
          <w:color w:val="333333"/>
          <w:spacing w:val="-3"/>
          <w:sz w:val="21"/>
        </w:rPr>
        <w:t>除本规范另有规定外，宿舍、公寓等非住宅类居住建筑的防火要求，应符合本规范有关公共建筑的规定。</w:t>
      </w:r>
      <w:r>
        <w:rPr>
          <w:color w:val="333333"/>
          <w:sz w:val="21"/>
        </w:rPr>
        <w:t xml:space="preserve"> </w:t>
      </w:r>
    </w:p>
    <w:p w14:paraId="439542EB" w14:textId="77777777" w:rsidR="00A71EEF" w:rsidRDefault="0081115D">
      <w:pPr>
        <w:pStyle w:val="a4"/>
        <w:numPr>
          <w:ilvl w:val="0"/>
          <w:numId w:val="730"/>
        </w:numPr>
        <w:tabs>
          <w:tab w:val="left" w:pos="1051"/>
        </w:tabs>
        <w:spacing w:line="267" w:lineRule="exact"/>
        <w:ind w:left="1050"/>
        <w:rPr>
          <w:sz w:val="21"/>
        </w:rPr>
      </w:pPr>
      <w:r>
        <w:rPr>
          <w:color w:val="333333"/>
          <w:spacing w:val="-3"/>
          <w:sz w:val="21"/>
        </w:rPr>
        <w:t>除本规范另有规定外，裙房的防火要求应符合本规范有关高层民用建筑的规定。</w:t>
      </w:r>
      <w:r>
        <w:rPr>
          <w:color w:val="333333"/>
          <w:sz w:val="21"/>
        </w:rPr>
        <w:t xml:space="preserve"> </w:t>
      </w:r>
    </w:p>
    <w:p w14:paraId="50351866" w14:textId="77777777" w:rsidR="00A71EEF" w:rsidRDefault="00A71EEF">
      <w:pPr>
        <w:pStyle w:val="a3"/>
        <w:spacing w:before="2"/>
        <w:rPr>
          <w:sz w:val="18"/>
        </w:rPr>
      </w:pPr>
    </w:p>
    <w:p w14:paraId="1FF5D188" w14:textId="77777777" w:rsidR="00A71EEF" w:rsidRDefault="0081115D">
      <w:pPr>
        <w:pStyle w:val="a4"/>
        <w:numPr>
          <w:ilvl w:val="2"/>
          <w:numId w:val="731"/>
        </w:numPr>
        <w:tabs>
          <w:tab w:val="left" w:pos="1370"/>
        </w:tabs>
        <w:spacing w:line="446" w:lineRule="auto"/>
        <w:ind w:right="1604" w:firstLine="422"/>
        <w:rPr>
          <w:color w:val="333333"/>
          <w:sz w:val="19"/>
        </w:rPr>
      </w:pPr>
      <w:r>
        <w:rPr>
          <w:color w:val="333333"/>
          <w:spacing w:val="-3"/>
          <w:sz w:val="21"/>
        </w:rPr>
        <w:t>民用建筑的耐火等级可分为一、二、三、四级。除本规范另有规定外，不同耐火等</w:t>
      </w:r>
      <w:r>
        <w:rPr>
          <w:color w:val="333333"/>
          <w:spacing w:val="-6"/>
          <w:sz w:val="21"/>
        </w:rPr>
        <w:t>级建筑相应构件的燃烧性能和耐火极限不应低于表</w:t>
      </w:r>
      <w:r>
        <w:rPr>
          <w:color w:val="333333"/>
          <w:spacing w:val="-6"/>
          <w:sz w:val="21"/>
        </w:rPr>
        <w:t xml:space="preserve"> </w:t>
      </w:r>
      <w:r>
        <w:rPr>
          <w:color w:val="333333"/>
          <w:sz w:val="21"/>
        </w:rPr>
        <w:t>5.1.2</w:t>
      </w:r>
      <w:r>
        <w:rPr>
          <w:color w:val="333333"/>
          <w:spacing w:val="-3"/>
          <w:sz w:val="21"/>
        </w:rPr>
        <w:t xml:space="preserve"> </w:t>
      </w:r>
      <w:r>
        <w:rPr>
          <w:color w:val="333333"/>
          <w:spacing w:val="-3"/>
          <w:sz w:val="21"/>
        </w:rPr>
        <w:t>的规定。</w:t>
      </w:r>
      <w:r>
        <w:rPr>
          <w:color w:val="333333"/>
          <w:sz w:val="21"/>
        </w:rPr>
        <w:t xml:space="preserve"> </w:t>
      </w:r>
    </w:p>
    <w:p w14:paraId="34740508" w14:textId="77777777" w:rsidR="00A71EEF" w:rsidRDefault="0081115D">
      <w:pPr>
        <w:pStyle w:val="6"/>
        <w:spacing w:line="267" w:lineRule="exact"/>
        <w:ind w:left="1992"/>
      </w:pPr>
      <w:r>
        <w:t>表</w:t>
      </w:r>
      <w:r>
        <w:t xml:space="preserve"> 5.1.2 </w:t>
      </w:r>
      <w:r>
        <w:t>不同耐火等级建筑相应构件的燃烧性能和耐火极限（</w:t>
      </w:r>
      <w:r>
        <w:t>h</w:t>
      </w:r>
      <w:r>
        <w:t>）</w:t>
      </w:r>
      <w:r>
        <w:rPr>
          <w:w w:val="99"/>
        </w:rPr>
        <w:t xml:space="preserve"> </w:t>
      </w:r>
    </w:p>
    <w:p w14:paraId="61F1C757" w14:textId="77777777" w:rsidR="00A71EEF" w:rsidRDefault="00A71EEF">
      <w:pPr>
        <w:spacing w:line="267" w:lineRule="exact"/>
        <w:sectPr w:rsidR="00A71EEF">
          <w:footerReference w:type="default" r:id="rId129"/>
          <w:pgSz w:w="11910" w:h="16850"/>
          <w:pgMar w:top="1220" w:right="0" w:bottom="1420" w:left="1260" w:header="0" w:footer="1239" w:gutter="0"/>
          <w:pgNumType w:start="1000"/>
          <w:cols w:space="720"/>
        </w:sectPr>
      </w:pPr>
    </w:p>
    <w:p w14:paraId="137940BB" w14:textId="77777777" w:rsidR="00A71EEF" w:rsidRDefault="00A71EEF">
      <w:pPr>
        <w:pStyle w:val="a3"/>
        <w:spacing w:before="9"/>
        <w:rPr>
          <w:b/>
          <w:sz w:val="4"/>
        </w:rPr>
      </w:pPr>
    </w:p>
    <w:p w14:paraId="2DB4FD88" w14:textId="77777777" w:rsidR="00A71EEF" w:rsidRDefault="0081115D">
      <w:pPr>
        <w:pStyle w:val="a3"/>
        <w:ind w:left="553"/>
        <w:rPr>
          <w:sz w:val="20"/>
        </w:rPr>
      </w:pPr>
      <w:r>
        <w:rPr>
          <w:noProof/>
          <w:sz w:val="20"/>
        </w:rPr>
        <w:drawing>
          <wp:inline distT="0" distB="0" distL="0" distR="0" wp14:anchorId="142890DF" wp14:editId="734A7275">
            <wp:extent cx="5151703" cy="5981700"/>
            <wp:effectExtent l="0" t="0" r="0" b="0"/>
            <wp:docPr id="207" name="image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131.jpeg"/>
                    <pic:cNvPicPr/>
                  </pic:nvPicPr>
                  <pic:blipFill>
                    <a:blip r:embed="rId130" cstate="print"/>
                    <a:stretch>
                      <a:fillRect/>
                    </a:stretch>
                  </pic:blipFill>
                  <pic:spPr>
                    <a:xfrm>
                      <a:off x="0" y="0"/>
                      <a:ext cx="5151703" cy="5981700"/>
                    </a:xfrm>
                    <a:prstGeom prst="rect">
                      <a:avLst/>
                    </a:prstGeom>
                  </pic:spPr>
                </pic:pic>
              </a:graphicData>
            </a:graphic>
          </wp:inline>
        </w:drawing>
      </w:r>
    </w:p>
    <w:p w14:paraId="136F1BB5" w14:textId="77777777" w:rsidR="00A71EEF" w:rsidRDefault="00A71EEF">
      <w:pPr>
        <w:pStyle w:val="a3"/>
        <w:spacing w:before="8"/>
        <w:rPr>
          <w:b/>
          <w:sz w:val="9"/>
        </w:rPr>
      </w:pPr>
    </w:p>
    <w:p w14:paraId="2886A54E" w14:textId="77777777" w:rsidR="00A71EEF" w:rsidRDefault="0081115D">
      <w:pPr>
        <w:pStyle w:val="a3"/>
        <w:spacing w:before="71" w:line="446" w:lineRule="auto"/>
        <w:ind w:left="418" w:right="1609" w:firstLine="419"/>
      </w:pPr>
      <w:r>
        <w:rPr>
          <w:color w:val="333333"/>
        </w:rPr>
        <w:t>注：</w:t>
      </w:r>
      <w:r>
        <w:rPr>
          <w:color w:val="333333"/>
        </w:rPr>
        <w:t>1</w:t>
      </w:r>
      <w:r>
        <w:rPr>
          <w:color w:val="333333"/>
          <w:spacing w:val="-3"/>
        </w:rPr>
        <w:t>.</w:t>
      </w:r>
      <w:r>
        <w:rPr>
          <w:color w:val="333333"/>
          <w:spacing w:val="-3"/>
        </w:rPr>
        <w:t>除本规范另有规定外，以木柱承重且墙体采用不燃材料的建筑，其耐火等级应按四级确定。</w:t>
      </w:r>
      <w:r>
        <w:rPr>
          <w:color w:val="333333"/>
        </w:rPr>
        <w:t xml:space="preserve"> </w:t>
      </w:r>
    </w:p>
    <w:p w14:paraId="50805DCD" w14:textId="77777777" w:rsidR="00A71EEF" w:rsidRDefault="0081115D">
      <w:pPr>
        <w:pStyle w:val="a3"/>
        <w:spacing w:line="446" w:lineRule="auto"/>
        <w:ind w:left="418" w:right="1560" w:firstLine="419"/>
      </w:pPr>
      <w:r>
        <w:rPr>
          <w:color w:val="333333"/>
        </w:rPr>
        <w:t>2.</w:t>
      </w:r>
      <w:r>
        <w:rPr>
          <w:color w:val="333333"/>
          <w:spacing w:val="-3"/>
        </w:rPr>
        <w:t>住宅建筑构件的耐火极限和燃烧性能可按现行国家标准《住宅建筑规范》</w:t>
      </w:r>
      <w:r>
        <w:rPr>
          <w:color w:val="333333"/>
        </w:rPr>
        <w:t>GB</w:t>
      </w:r>
      <w:r>
        <w:rPr>
          <w:color w:val="333333"/>
          <w:spacing w:val="23"/>
        </w:rPr>
        <w:t xml:space="preserve"> </w:t>
      </w:r>
      <w:r>
        <w:rPr>
          <w:color w:val="333333"/>
        </w:rPr>
        <w:t>50368</w:t>
      </w:r>
      <w:r>
        <w:rPr>
          <w:color w:val="333333"/>
          <w:spacing w:val="-17"/>
        </w:rPr>
        <w:t xml:space="preserve"> </w:t>
      </w:r>
      <w:r>
        <w:rPr>
          <w:color w:val="333333"/>
          <w:spacing w:val="-17"/>
        </w:rPr>
        <w:t>的规</w:t>
      </w:r>
      <w:r>
        <w:rPr>
          <w:color w:val="333333"/>
          <w:spacing w:val="-2"/>
        </w:rPr>
        <w:t>定执行。</w:t>
      </w:r>
      <w:r>
        <w:rPr>
          <w:color w:val="333333"/>
        </w:rPr>
        <w:t xml:space="preserve"> </w:t>
      </w:r>
    </w:p>
    <w:p w14:paraId="679B71B7" w14:textId="77777777" w:rsidR="00A71EEF" w:rsidRDefault="0081115D">
      <w:pPr>
        <w:pStyle w:val="a4"/>
        <w:numPr>
          <w:ilvl w:val="2"/>
          <w:numId w:val="731"/>
        </w:numPr>
        <w:tabs>
          <w:tab w:val="left" w:pos="1424"/>
        </w:tabs>
        <w:spacing w:line="446" w:lineRule="auto"/>
        <w:ind w:right="1445" w:firstLine="422"/>
        <w:rPr>
          <w:color w:val="333333"/>
          <w:sz w:val="21"/>
        </w:rPr>
      </w:pPr>
      <w:r>
        <w:rPr>
          <w:color w:val="333333"/>
          <w:spacing w:val="-3"/>
          <w:sz w:val="21"/>
        </w:rPr>
        <w:t>民用建筑的耐火等级应根据其建筑高度、使用功能、重要性和火灾扑救难度等确定，</w:t>
      </w:r>
      <w:r>
        <w:rPr>
          <w:color w:val="333333"/>
          <w:spacing w:val="-3"/>
          <w:sz w:val="21"/>
        </w:rPr>
        <w:t xml:space="preserve"> </w:t>
      </w:r>
      <w:r>
        <w:rPr>
          <w:color w:val="333333"/>
          <w:spacing w:val="-3"/>
          <w:sz w:val="21"/>
        </w:rPr>
        <w:t>并应符合下列规定：</w:t>
      </w:r>
      <w:r>
        <w:rPr>
          <w:color w:val="333333"/>
          <w:sz w:val="21"/>
        </w:rPr>
        <w:t xml:space="preserve"> </w:t>
      </w:r>
    </w:p>
    <w:p w14:paraId="51665711" w14:textId="77777777" w:rsidR="00A71EEF" w:rsidRDefault="0081115D">
      <w:pPr>
        <w:pStyle w:val="a3"/>
        <w:spacing w:line="446" w:lineRule="auto"/>
        <w:ind w:left="838" w:right="3397"/>
      </w:pPr>
      <w:r>
        <w:rPr>
          <w:color w:val="333333"/>
        </w:rPr>
        <w:t>地下或半地下建筑（室）和一类高层建筑的耐火等级不应低于一级；</w:t>
      </w:r>
      <w:r>
        <w:rPr>
          <w:color w:val="333333"/>
        </w:rPr>
        <w:t xml:space="preserve"> </w:t>
      </w:r>
      <w:r>
        <w:rPr>
          <w:color w:val="333333"/>
        </w:rPr>
        <w:t>单、多层重要公共建筑和二类高层建筑的耐火等级不应低于二级。</w:t>
      </w:r>
      <w:r>
        <w:rPr>
          <w:color w:val="333333"/>
        </w:rPr>
        <w:t xml:space="preserve"> </w:t>
      </w:r>
    </w:p>
    <w:p w14:paraId="5E26FBFE" w14:textId="77777777" w:rsidR="00A71EEF" w:rsidRDefault="00A71EEF">
      <w:pPr>
        <w:spacing w:line="446" w:lineRule="auto"/>
        <w:sectPr w:rsidR="00A71EEF">
          <w:pgSz w:w="11910" w:h="16850"/>
          <w:pgMar w:top="1600" w:right="0" w:bottom="1420" w:left="1260" w:header="0" w:footer="1239" w:gutter="0"/>
          <w:cols w:space="720"/>
        </w:sectPr>
      </w:pPr>
    </w:p>
    <w:p w14:paraId="189E30CB" w14:textId="77777777" w:rsidR="00A71EEF" w:rsidRDefault="0081115D">
      <w:pPr>
        <w:pStyle w:val="a3"/>
        <w:spacing w:before="47"/>
        <w:ind w:left="838"/>
      </w:pPr>
      <w:r>
        <w:rPr>
          <w:color w:val="333333"/>
        </w:rPr>
        <w:lastRenderedPageBreak/>
        <w:t>除木结构建筑外，老年人照料设施的耐火等级不应低于三级。</w:t>
      </w:r>
      <w:r>
        <w:rPr>
          <w:color w:val="333333"/>
        </w:rPr>
        <w:t xml:space="preserve"> </w:t>
      </w:r>
    </w:p>
    <w:p w14:paraId="07C29658" w14:textId="77777777" w:rsidR="00A71EEF" w:rsidRDefault="00A71EEF">
      <w:pPr>
        <w:pStyle w:val="a3"/>
        <w:rPr>
          <w:sz w:val="18"/>
        </w:rPr>
      </w:pPr>
    </w:p>
    <w:p w14:paraId="4F0E6318" w14:textId="77777777" w:rsidR="00A71EEF" w:rsidRDefault="0081115D">
      <w:pPr>
        <w:pStyle w:val="a4"/>
        <w:numPr>
          <w:ilvl w:val="2"/>
          <w:numId w:val="731"/>
        </w:numPr>
        <w:tabs>
          <w:tab w:val="left" w:pos="1370"/>
        </w:tabs>
        <w:ind w:left="1369" w:hanging="530"/>
        <w:rPr>
          <w:color w:val="333333"/>
          <w:sz w:val="19"/>
        </w:rPr>
      </w:pPr>
      <w:r>
        <w:rPr>
          <w:color w:val="333333"/>
          <w:spacing w:val="-10"/>
          <w:sz w:val="21"/>
        </w:rPr>
        <w:t>建筑高度大于</w:t>
      </w:r>
      <w:r>
        <w:rPr>
          <w:color w:val="333333"/>
          <w:spacing w:val="-10"/>
          <w:sz w:val="21"/>
        </w:rPr>
        <w:t xml:space="preserve"> </w:t>
      </w:r>
      <w:r>
        <w:rPr>
          <w:color w:val="333333"/>
          <w:sz w:val="21"/>
        </w:rPr>
        <w:t>100m</w:t>
      </w:r>
      <w:r>
        <w:rPr>
          <w:color w:val="333333"/>
          <w:spacing w:val="-6"/>
          <w:sz w:val="21"/>
        </w:rPr>
        <w:t xml:space="preserve"> </w:t>
      </w:r>
      <w:r>
        <w:rPr>
          <w:color w:val="333333"/>
          <w:spacing w:val="-6"/>
          <w:sz w:val="21"/>
        </w:rPr>
        <w:t>的民用建筑，其楼板的耐火极限不应低于</w:t>
      </w:r>
      <w:r>
        <w:rPr>
          <w:color w:val="333333"/>
          <w:spacing w:val="-6"/>
          <w:sz w:val="21"/>
        </w:rPr>
        <w:t xml:space="preserve"> </w:t>
      </w:r>
      <w:r>
        <w:rPr>
          <w:color w:val="333333"/>
          <w:sz w:val="21"/>
        </w:rPr>
        <w:t>2.00h</w:t>
      </w:r>
      <w:r>
        <w:rPr>
          <w:color w:val="333333"/>
          <w:spacing w:val="-3"/>
          <w:sz w:val="21"/>
        </w:rPr>
        <w:t>。</w:t>
      </w:r>
      <w:r>
        <w:rPr>
          <w:color w:val="333333"/>
          <w:sz w:val="21"/>
        </w:rPr>
        <w:t xml:space="preserve">  </w:t>
      </w:r>
      <w:r>
        <w:rPr>
          <w:color w:val="333333"/>
          <w:sz w:val="21"/>
        </w:rPr>
        <w:t xml:space="preserve"> </w:t>
      </w:r>
    </w:p>
    <w:p w14:paraId="75FC613D" w14:textId="77777777" w:rsidR="00A71EEF" w:rsidRDefault="00A71EEF">
      <w:pPr>
        <w:pStyle w:val="a3"/>
        <w:rPr>
          <w:sz w:val="18"/>
        </w:rPr>
      </w:pPr>
    </w:p>
    <w:p w14:paraId="6E2B52F9" w14:textId="77777777" w:rsidR="00A71EEF" w:rsidRDefault="0081115D">
      <w:pPr>
        <w:pStyle w:val="a3"/>
        <w:ind w:left="838"/>
      </w:pPr>
      <w:r>
        <w:rPr>
          <w:color w:val="333333"/>
        </w:rPr>
        <w:t>一、二级耐火等级建筑的上人平屋顶，其屋面板的耐火极限分别不应低于</w:t>
      </w:r>
      <w:r>
        <w:rPr>
          <w:color w:val="333333"/>
        </w:rPr>
        <w:t xml:space="preserve"> 1.50h </w:t>
      </w:r>
      <w:r>
        <w:rPr>
          <w:color w:val="333333"/>
        </w:rPr>
        <w:t>和</w:t>
      </w:r>
    </w:p>
    <w:p w14:paraId="0F1B175E" w14:textId="77777777" w:rsidR="00A71EEF" w:rsidRDefault="00A71EEF">
      <w:pPr>
        <w:pStyle w:val="a3"/>
        <w:spacing w:before="1"/>
        <w:rPr>
          <w:sz w:val="18"/>
        </w:rPr>
      </w:pPr>
    </w:p>
    <w:p w14:paraId="1D5C1CD6" w14:textId="77777777" w:rsidR="00A71EEF" w:rsidRDefault="0081115D">
      <w:pPr>
        <w:pStyle w:val="a3"/>
        <w:spacing w:before="1"/>
        <w:ind w:left="418"/>
      </w:pPr>
      <w:r>
        <w:rPr>
          <w:color w:val="333333"/>
        </w:rPr>
        <w:t>1.00h</w:t>
      </w:r>
      <w:r>
        <w:rPr>
          <w:color w:val="333333"/>
        </w:rPr>
        <w:t>。</w:t>
      </w:r>
      <w:r>
        <w:rPr>
          <w:color w:val="333333"/>
        </w:rPr>
        <w:t xml:space="preserve">  </w:t>
      </w:r>
      <w:r>
        <w:rPr>
          <w:color w:val="333333"/>
        </w:rPr>
        <w:t xml:space="preserve"> </w:t>
      </w:r>
    </w:p>
    <w:p w14:paraId="71CAED3E" w14:textId="77777777" w:rsidR="00A71EEF" w:rsidRDefault="00A71EEF">
      <w:pPr>
        <w:pStyle w:val="a3"/>
        <w:spacing w:before="12"/>
        <w:rPr>
          <w:sz w:val="17"/>
        </w:rPr>
      </w:pPr>
    </w:p>
    <w:p w14:paraId="10FC69E0" w14:textId="77777777" w:rsidR="00A71EEF" w:rsidRDefault="0081115D">
      <w:pPr>
        <w:pStyle w:val="a4"/>
        <w:numPr>
          <w:ilvl w:val="2"/>
          <w:numId w:val="731"/>
        </w:numPr>
        <w:tabs>
          <w:tab w:val="left" w:pos="1371"/>
        </w:tabs>
        <w:ind w:left="1370"/>
        <w:rPr>
          <w:color w:val="333333"/>
          <w:sz w:val="19"/>
        </w:rPr>
      </w:pPr>
      <w:r>
        <w:rPr>
          <w:color w:val="333333"/>
          <w:spacing w:val="-3"/>
          <w:sz w:val="21"/>
        </w:rPr>
        <w:t>一、二级耐火等级建筑的屋面板应采用不燃材料。</w:t>
      </w:r>
      <w:r>
        <w:rPr>
          <w:color w:val="333333"/>
          <w:sz w:val="21"/>
        </w:rPr>
        <w:t xml:space="preserve"> </w:t>
      </w:r>
    </w:p>
    <w:p w14:paraId="3E765DB6" w14:textId="77777777" w:rsidR="00A71EEF" w:rsidRDefault="00A71EEF">
      <w:pPr>
        <w:pStyle w:val="a3"/>
        <w:spacing w:before="12"/>
        <w:rPr>
          <w:sz w:val="17"/>
        </w:rPr>
      </w:pPr>
    </w:p>
    <w:p w14:paraId="5DF5F6D1" w14:textId="77777777" w:rsidR="00A71EEF" w:rsidRDefault="0081115D">
      <w:pPr>
        <w:pStyle w:val="a3"/>
        <w:spacing w:line="446" w:lineRule="auto"/>
        <w:ind w:left="418" w:right="1609" w:firstLine="419"/>
      </w:pPr>
      <w:r>
        <w:rPr>
          <w:color w:val="333333"/>
        </w:rPr>
        <w:t>屋面防水层宜采用不燃、难燃材料，当采用可燃防水材料且铺设在可燃、难燃保温材料上时，防水材料或可燃、难燃保温材料应采用不燃材料作防护层。</w:t>
      </w:r>
      <w:r>
        <w:rPr>
          <w:color w:val="333333"/>
        </w:rPr>
        <w:t xml:space="preserve"> </w:t>
      </w:r>
    </w:p>
    <w:p w14:paraId="400A98C0" w14:textId="77777777" w:rsidR="00A71EEF" w:rsidRDefault="0081115D">
      <w:pPr>
        <w:pStyle w:val="a4"/>
        <w:numPr>
          <w:ilvl w:val="2"/>
          <w:numId w:val="731"/>
        </w:numPr>
        <w:tabs>
          <w:tab w:val="left" w:pos="1370"/>
        </w:tabs>
        <w:spacing w:before="1" w:line="441" w:lineRule="auto"/>
        <w:ind w:right="1445" w:firstLine="422"/>
        <w:jc w:val="both"/>
        <w:rPr>
          <w:color w:val="333333"/>
          <w:sz w:val="19"/>
        </w:rPr>
      </w:pPr>
      <w:r>
        <w:rPr>
          <w:color w:val="333333"/>
          <w:spacing w:val="-5"/>
          <w:sz w:val="21"/>
        </w:rPr>
        <w:t>二级耐火等级建筑内采用难燃性墙体的房间隔墙，其耐火极限不应低于</w:t>
      </w:r>
      <w:r>
        <w:rPr>
          <w:color w:val="333333"/>
          <w:spacing w:val="-5"/>
          <w:sz w:val="21"/>
        </w:rPr>
        <w:t xml:space="preserve"> </w:t>
      </w:r>
      <w:r>
        <w:rPr>
          <w:color w:val="333333"/>
          <w:sz w:val="21"/>
        </w:rPr>
        <w:t>0.75h</w:t>
      </w:r>
      <w:r>
        <w:rPr>
          <w:color w:val="333333"/>
          <w:sz w:val="21"/>
        </w:rPr>
        <w:t>；当房</w:t>
      </w:r>
      <w:r>
        <w:rPr>
          <w:color w:val="333333"/>
          <w:spacing w:val="-8"/>
          <w:sz w:val="21"/>
        </w:rPr>
        <w:t>间的建筑面积不大于</w:t>
      </w:r>
      <w:r>
        <w:rPr>
          <w:color w:val="333333"/>
          <w:spacing w:val="-8"/>
          <w:sz w:val="21"/>
        </w:rPr>
        <w:t xml:space="preserve"> </w:t>
      </w:r>
      <w:r>
        <w:rPr>
          <w:color w:val="333333"/>
          <w:sz w:val="21"/>
        </w:rPr>
        <w:t>l00m</w:t>
      </w:r>
      <w:r>
        <w:rPr>
          <w:color w:val="333333"/>
          <w:position w:val="11"/>
          <w:sz w:val="11"/>
        </w:rPr>
        <w:t>2</w:t>
      </w:r>
      <w:r>
        <w:rPr>
          <w:color w:val="333333"/>
          <w:spacing w:val="-24"/>
          <w:position w:val="11"/>
          <w:sz w:val="11"/>
        </w:rPr>
        <w:t xml:space="preserve"> </w:t>
      </w:r>
      <w:r>
        <w:rPr>
          <w:color w:val="333333"/>
          <w:spacing w:val="-6"/>
          <w:sz w:val="21"/>
        </w:rPr>
        <w:t>时，房间隔墙可采用耐火极限不低于</w:t>
      </w:r>
      <w:r>
        <w:rPr>
          <w:color w:val="333333"/>
          <w:spacing w:val="-6"/>
          <w:sz w:val="21"/>
        </w:rPr>
        <w:t xml:space="preserve"> </w:t>
      </w:r>
      <w:r>
        <w:rPr>
          <w:color w:val="333333"/>
          <w:sz w:val="21"/>
        </w:rPr>
        <w:t>0.50h</w:t>
      </w:r>
      <w:r>
        <w:rPr>
          <w:color w:val="333333"/>
          <w:spacing w:val="-8"/>
          <w:sz w:val="21"/>
        </w:rPr>
        <w:t xml:space="preserve"> </w:t>
      </w:r>
      <w:r>
        <w:rPr>
          <w:color w:val="333333"/>
          <w:spacing w:val="-8"/>
          <w:sz w:val="21"/>
        </w:rPr>
        <w:t>的难燃性墙体或耐火极限</w:t>
      </w:r>
      <w:r>
        <w:rPr>
          <w:color w:val="333333"/>
          <w:spacing w:val="-17"/>
          <w:sz w:val="21"/>
        </w:rPr>
        <w:t>不低于</w:t>
      </w:r>
      <w:r>
        <w:rPr>
          <w:color w:val="333333"/>
          <w:spacing w:val="-17"/>
          <w:sz w:val="21"/>
        </w:rPr>
        <w:t xml:space="preserve"> </w:t>
      </w:r>
      <w:r>
        <w:rPr>
          <w:color w:val="333333"/>
          <w:sz w:val="21"/>
        </w:rPr>
        <w:t>0.30h</w:t>
      </w:r>
      <w:r>
        <w:rPr>
          <w:color w:val="333333"/>
          <w:spacing w:val="-10"/>
          <w:sz w:val="21"/>
        </w:rPr>
        <w:t xml:space="preserve"> </w:t>
      </w:r>
      <w:r>
        <w:rPr>
          <w:color w:val="333333"/>
          <w:spacing w:val="-10"/>
          <w:sz w:val="21"/>
        </w:rPr>
        <w:t>的不燃性墙体。</w:t>
      </w:r>
      <w:r>
        <w:rPr>
          <w:color w:val="333333"/>
          <w:sz w:val="21"/>
        </w:rPr>
        <w:t xml:space="preserve"> </w:t>
      </w:r>
    </w:p>
    <w:p w14:paraId="7192DC02" w14:textId="77777777" w:rsidR="00A71EEF" w:rsidRDefault="0081115D">
      <w:pPr>
        <w:pStyle w:val="a3"/>
        <w:spacing w:before="5" w:line="446" w:lineRule="auto"/>
        <w:ind w:left="840" w:right="1347" w:hanging="3"/>
        <w:jc w:val="both"/>
      </w:pPr>
      <w:r>
        <w:rPr>
          <w:color w:val="333333"/>
        </w:rPr>
        <w:t>二级耐火等级多层住宅建筑内采用预应力钢筋混凝土的楼板，其耐火极限不应低于</w:t>
      </w:r>
      <w:r>
        <w:rPr>
          <w:color w:val="333333"/>
        </w:rPr>
        <w:t xml:space="preserve"> 0.75h</w:t>
      </w:r>
      <w:r>
        <w:rPr>
          <w:color w:val="333333"/>
        </w:rPr>
        <w:t>。</w:t>
      </w:r>
      <w:r>
        <w:rPr>
          <w:b/>
          <w:color w:val="333333"/>
        </w:rPr>
        <w:t xml:space="preserve">5.1.7 </w:t>
      </w:r>
      <w:r>
        <w:rPr>
          <w:color w:val="333333"/>
        </w:rPr>
        <w:t>建筑中的非承重外墙、房间隔墙和屋面板，当确需要采用金属夹芯板材时，其芯材</w:t>
      </w:r>
    </w:p>
    <w:p w14:paraId="2A0F25E6" w14:textId="77777777" w:rsidR="00A71EEF" w:rsidRDefault="0081115D">
      <w:pPr>
        <w:pStyle w:val="a3"/>
        <w:ind w:left="418"/>
      </w:pPr>
      <w:r>
        <w:rPr>
          <w:color w:val="333333"/>
        </w:rPr>
        <w:t>应为不燃材料，且耐火极限应符合本规范有关规定。</w:t>
      </w:r>
      <w:r>
        <w:rPr>
          <w:color w:val="333333"/>
        </w:rPr>
        <w:t xml:space="preserve"> </w:t>
      </w:r>
    </w:p>
    <w:p w14:paraId="222DB50F" w14:textId="77777777" w:rsidR="00A71EEF" w:rsidRDefault="00A71EEF">
      <w:pPr>
        <w:pStyle w:val="a3"/>
        <w:spacing w:before="12"/>
        <w:rPr>
          <w:sz w:val="17"/>
        </w:rPr>
      </w:pPr>
    </w:p>
    <w:p w14:paraId="4E87C562" w14:textId="77777777" w:rsidR="00A71EEF" w:rsidRDefault="0081115D">
      <w:pPr>
        <w:pStyle w:val="a4"/>
        <w:numPr>
          <w:ilvl w:val="2"/>
          <w:numId w:val="729"/>
        </w:numPr>
        <w:tabs>
          <w:tab w:val="left" w:pos="1371"/>
        </w:tabs>
        <w:rPr>
          <w:sz w:val="21"/>
        </w:rPr>
      </w:pPr>
      <w:r>
        <w:rPr>
          <w:color w:val="333333"/>
          <w:spacing w:val="-3"/>
          <w:sz w:val="21"/>
        </w:rPr>
        <w:t>二级耐火等级建筑内采用不燃材料的吊顶，其耐火极限不限。</w:t>
      </w:r>
      <w:r>
        <w:rPr>
          <w:color w:val="333333"/>
          <w:sz w:val="21"/>
        </w:rPr>
        <w:t xml:space="preserve"> </w:t>
      </w:r>
    </w:p>
    <w:p w14:paraId="49AC1EA3" w14:textId="77777777" w:rsidR="00A71EEF" w:rsidRDefault="00A71EEF">
      <w:pPr>
        <w:pStyle w:val="a3"/>
        <w:spacing w:before="12"/>
        <w:rPr>
          <w:sz w:val="17"/>
        </w:rPr>
      </w:pPr>
    </w:p>
    <w:p w14:paraId="6B202B7A" w14:textId="77777777" w:rsidR="00A71EEF" w:rsidRDefault="0081115D">
      <w:pPr>
        <w:pStyle w:val="a3"/>
        <w:spacing w:line="446" w:lineRule="auto"/>
        <w:ind w:left="418" w:right="1608" w:firstLine="419"/>
        <w:jc w:val="both"/>
      </w:pPr>
      <w:r>
        <w:rPr>
          <w:color w:val="333333"/>
        </w:rPr>
        <w:t>三级耐火等级的医疗建筑、中小学校的教学建筑、老年人照料设施及托儿所、幼儿园的儿童用房和儿童游乐厅等儿童活动场所的吊顶，应采用不燃材料；当采用难燃材料时，其耐火极限不应低于</w:t>
      </w:r>
      <w:r>
        <w:rPr>
          <w:color w:val="333333"/>
        </w:rPr>
        <w:t xml:space="preserve"> 0.25h</w:t>
      </w:r>
      <w:r>
        <w:rPr>
          <w:color w:val="333333"/>
        </w:rPr>
        <w:t>。</w:t>
      </w:r>
      <w:r>
        <w:rPr>
          <w:color w:val="333333"/>
        </w:rPr>
        <w:t xml:space="preserve"> </w:t>
      </w:r>
    </w:p>
    <w:p w14:paraId="4C30E679" w14:textId="77777777" w:rsidR="00A71EEF" w:rsidRDefault="0081115D">
      <w:pPr>
        <w:pStyle w:val="a3"/>
        <w:spacing w:line="268" w:lineRule="exact"/>
        <w:ind w:left="838"/>
      </w:pPr>
      <w:r>
        <w:rPr>
          <w:color w:val="333333"/>
        </w:rPr>
        <w:t>二、三级耐火等级建筑内门厅、走道的吊顶应采用不燃材料。</w:t>
      </w:r>
      <w:r>
        <w:rPr>
          <w:color w:val="333333"/>
        </w:rPr>
        <w:t xml:space="preserve"> </w:t>
      </w:r>
    </w:p>
    <w:p w14:paraId="0B06933E" w14:textId="77777777" w:rsidR="00A71EEF" w:rsidRDefault="00A71EEF">
      <w:pPr>
        <w:pStyle w:val="a3"/>
        <w:spacing w:before="2"/>
        <w:rPr>
          <w:sz w:val="18"/>
        </w:rPr>
      </w:pPr>
    </w:p>
    <w:p w14:paraId="164B587D" w14:textId="77777777" w:rsidR="00A71EEF" w:rsidRDefault="0081115D">
      <w:pPr>
        <w:pStyle w:val="a4"/>
        <w:numPr>
          <w:ilvl w:val="2"/>
          <w:numId w:val="729"/>
        </w:numPr>
        <w:tabs>
          <w:tab w:val="left" w:pos="1371"/>
        </w:tabs>
        <w:spacing w:line="446" w:lineRule="auto"/>
        <w:ind w:left="418" w:right="1604" w:firstLine="422"/>
        <w:rPr>
          <w:sz w:val="21"/>
        </w:rPr>
      </w:pPr>
      <w:r>
        <w:rPr>
          <w:color w:val="333333"/>
          <w:spacing w:val="-3"/>
          <w:sz w:val="21"/>
        </w:rPr>
        <w:t>建筑内预制钢筋混凝土构件的节点外露部位，应采取防火保护措施，且节点的耐火极限不应低于相应构件的耐火极限。</w:t>
      </w:r>
      <w:r>
        <w:rPr>
          <w:color w:val="333333"/>
          <w:sz w:val="21"/>
        </w:rPr>
        <w:t xml:space="preserve"> </w:t>
      </w:r>
    </w:p>
    <w:p w14:paraId="638E7844" w14:textId="77777777" w:rsidR="00A71EEF" w:rsidRDefault="0081115D">
      <w:pPr>
        <w:pStyle w:val="a4"/>
        <w:numPr>
          <w:ilvl w:val="1"/>
          <w:numId w:val="731"/>
        </w:numPr>
        <w:tabs>
          <w:tab w:val="left" w:pos="1159"/>
        </w:tabs>
        <w:spacing w:line="267" w:lineRule="exact"/>
        <w:ind w:hanging="319"/>
        <w:rPr>
          <w:b/>
          <w:sz w:val="21"/>
        </w:rPr>
      </w:pPr>
      <w:r>
        <w:rPr>
          <w:spacing w:val="-3"/>
          <w:sz w:val="21"/>
        </w:rPr>
        <w:t>总平面布局</w:t>
      </w:r>
      <w:r>
        <w:rPr>
          <w:b/>
          <w:w w:val="99"/>
          <w:sz w:val="21"/>
        </w:rPr>
        <w:t xml:space="preserve"> </w:t>
      </w:r>
    </w:p>
    <w:p w14:paraId="6BA8C621" w14:textId="77777777" w:rsidR="00A71EEF" w:rsidRDefault="00A71EEF">
      <w:pPr>
        <w:pStyle w:val="a3"/>
        <w:spacing w:before="2"/>
        <w:rPr>
          <w:b/>
          <w:sz w:val="18"/>
        </w:rPr>
      </w:pPr>
    </w:p>
    <w:p w14:paraId="44C5E2BD" w14:textId="77777777" w:rsidR="00A71EEF" w:rsidRDefault="0081115D">
      <w:pPr>
        <w:pStyle w:val="a4"/>
        <w:numPr>
          <w:ilvl w:val="2"/>
          <w:numId w:val="731"/>
        </w:numPr>
        <w:tabs>
          <w:tab w:val="left" w:pos="1371"/>
        </w:tabs>
        <w:spacing w:line="446" w:lineRule="auto"/>
        <w:ind w:right="1604" w:firstLine="422"/>
        <w:jc w:val="both"/>
        <w:rPr>
          <w:color w:val="333333"/>
          <w:sz w:val="19"/>
        </w:rPr>
      </w:pPr>
      <w:r>
        <w:rPr>
          <w:color w:val="333333"/>
          <w:spacing w:val="-3"/>
          <w:sz w:val="21"/>
        </w:rPr>
        <w:t>在总平面布局中，应合理确定建筑的位置、防火间距、消防车道和消防水源等，不宜将民用建筑布置在甲、乙类厂</w:t>
      </w:r>
      <w:r>
        <w:rPr>
          <w:color w:val="333333"/>
          <w:sz w:val="21"/>
        </w:rPr>
        <w:t>（</w:t>
      </w:r>
      <w:r>
        <w:rPr>
          <w:color w:val="333333"/>
          <w:spacing w:val="-3"/>
          <w:sz w:val="21"/>
        </w:rPr>
        <w:t>库</w:t>
      </w:r>
      <w:r>
        <w:rPr>
          <w:color w:val="333333"/>
          <w:sz w:val="21"/>
        </w:rPr>
        <w:t>）</w:t>
      </w:r>
      <w:r>
        <w:rPr>
          <w:color w:val="333333"/>
          <w:spacing w:val="-3"/>
          <w:sz w:val="21"/>
        </w:rPr>
        <w:t>房，甲、乙、丙类液体储罐，可燃气体储罐和可燃材料堆场的附近。</w:t>
      </w:r>
      <w:r>
        <w:rPr>
          <w:color w:val="333333"/>
          <w:sz w:val="21"/>
        </w:rPr>
        <w:t xml:space="preserve"> </w:t>
      </w:r>
    </w:p>
    <w:p w14:paraId="76984526" w14:textId="77777777" w:rsidR="00A71EEF" w:rsidRDefault="0081115D">
      <w:pPr>
        <w:pStyle w:val="a4"/>
        <w:numPr>
          <w:ilvl w:val="2"/>
          <w:numId w:val="731"/>
        </w:numPr>
        <w:tabs>
          <w:tab w:val="left" w:pos="1371"/>
        </w:tabs>
        <w:spacing w:line="268" w:lineRule="exact"/>
        <w:ind w:left="1370"/>
        <w:jc w:val="both"/>
        <w:rPr>
          <w:sz w:val="19"/>
        </w:rPr>
      </w:pPr>
      <w:r>
        <w:rPr>
          <w:spacing w:val="-6"/>
          <w:sz w:val="21"/>
        </w:rPr>
        <w:t>民用建筑之间的防火间距不应小于表</w:t>
      </w:r>
      <w:r>
        <w:rPr>
          <w:spacing w:val="-6"/>
          <w:sz w:val="21"/>
        </w:rPr>
        <w:t xml:space="preserve"> </w:t>
      </w:r>
      <w:r>
        <w:rPr>
          <w:sz w:val="21"/>
        </w:rPr>
        <w:t>5.2.2</w:t>
      </w:r>
      <w:r>
        <w:rPr>
          <w:spacing w:val="-3"/>
          <w:sz w:val="21"/>
        </w:rPr>
        <w:t xml:space="preserve"> </w:t>
      </w:r>
      <w:r>
        <w:rPr>
          <w:spacing w:val="-3"/>
          <w:sz w:val="21"/>
        </w:rPr>
        <w:t>的规定，与其他建筑的防火间距，</w:t>
      </w:r>
      <w:r>
        <w:rPr>
          <w:sz w:val="21"/>
        </w:rPr>
        <w:t xml:space="preserve"> </w:t>
      </w:r>
    </w:p>
    <w:p w14:paraId="4AA1B080" w14:textId="77777777" w:rsidR="00A71EEF" w:rsidRDefault="00A71EEF">
      <w:pPr>
        <w:pStyle w:val="a3"/>
        <w:rPr>
          <w:sz w:val="18"/>
        </w:rPr>
      </w:pPr>
    </w:p>
    <w:p w14:paraId="37FCF558" w14:textId="77777777" w:rsidR="00A71EEF" w:rsidRDefault="0081115D">
      <w:pPr>
        <w:pStyle w:val="a3"/>
        <w:ind w:left="838"/>
      </w:pPr>
      <w:r>
        <w:t>除应符合本规范第</w:t>
      </w:r>
      <w:r>
        <w:t xml:space="preserve"> 5.2 </w:t>
      </w:r>
      <w:r>
        <w:t>节的规定外，尚应符合本规范其他章的有关规定。</w:t>
      </w:r>
      <w:r>
        <w:t xml:space="preserve"> </w:t>
      </w:r>
    </w:p>
    <w:p w14:paraId="7E5CF872" w14:textId="77777777" w:rsidR="00A71EEF" w:rsidRDefault="00A71EEF">
      <w:pPr>
        <w:sectPr w:rsidR="00A71EEF">
          <w:pgSz w:w="11910" w:h="16850"/>
          <w:pgMar w:top="1220" w:right="0" w:bottom="1420" w:left="1260" w:header="0" w:footer="1239" w:gutter="0"/>
          <w:cols w:space="720"/>
        </w:sectPr>
      </w:pPr>
    </w:p>
    <w:p w14:paraId="4FB4388E" w14:textId="77777777" w:rsidR="00A71EEF" w:rsidRDefault="0081115D">
      <w:pPr>
        <w:pStyle w:val="6"/>
        <w:spacing w:before="47"/>
        <w:ind w:left="3152"/>
      </w:pPr>
      <w:r>
        <w:lastRenderedPageBreak/>
        <w:t>表</w:t>
      </w:r>
      <w:r>
        <w:t xml:space="preserve"> 5.2.2 </w:t>
      </w:r>
      <w:r>
        <w:t>民用建筑之间的防火间距（</w:t>
      </w:r>
      <w:r>
        <w:t>m</w:t>
      </w:r>
      <w:r>
        <w:t>）</w:t>
      </w:r>
      <w:r>
        <w:rPr>
          <w:w w:val="99"/>
        </w:rPr>
        <w:t xml:space="preserve"> </w:t>
      </w:r>
    </w:p>
    <w:p w14:paraId="4FEA8543" w14:textId="77777777" w:rsidR="00A71EEF" w:rsidRDefault="0081115D">
      <w:pPr>
        <w:pStyle w:val="a3"/>
        <w:spacing w:before="12"/>
        <w:rPr>
          <w:b/>
          <w:sz w:val="27"/>
        </w:rPr>
      </w:pPr>
      <w:r>
        <w:rPr>
          <w:noProof/>
        </w:rPr>
        <w:drawing>
          <wp:anchor distT="0" distB="0" distL="0" distR="0" simplePos="0" relativeHeight="251537920" behindDoc="0" locked="0" layoutInCell="1" allowOverlap="1" wp14:anchorId="0A15DC3B" wp14:editId="03AE824D">
            <wp:simplePos x="0" y="0"/>
            <wp:positionH relativeFrom="page">
              <wp:posOffset>1229994</wp:posOffset>
            </wp:positionH>
            <wp:positionV relativeFrom="paragraph">
              <wp:posOffset>252182</wp:posOffset>
            </wp:positionV>
            <wp:extent cx="5327676" cy="1676400"/>
            <wp:effectExtent l="0" t="0" r="0" b="0"/>
            <wp:wrapTopAndBottom/>
            <wp:docPr id="209" name="image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132.jpeg"/>
                    <pic:cNvPicPr/>
                  </pic:nvPicPr>
                  <pic:blipFill>
                    <a:blip r:embed="rId131" cstate="print"/>
                    <a:stretch>
                      <a:fillRect/>
                    </a:stretch>
                  </pic:blipFill>
                  <pic:spPr>
                    <a:xfrm>
                      <a:off x="0" y="0"/>
                      <a:ext cx="5327676" cy="1676400"/>
                    </a:xfrm>
                    <a:prstGeom prst="rect">
                      <a:avLst/>
                    </a:prstGeom>
                  </pic:spPr>
                </pic:pic>
              </a:graphicData>
            </a:graphic>
          </wp:anchor>
        </w:drawing>
      </w:r>
    </w:p>
    <w:p w14:paraId="730747D5" w14:textId="77777777" w:rsidR="00A71EEF" w:rsidRDefault="0081115D">
      <w:pPr>
        <w:pStyle w:val="a3"/>
        <w:spacing w:before="172" w:line="446" w:lineRule="auto"/>
        <w:ind w:left="418" w:right="1556" w:firstLine="419"/>
        <w:jc w:val="both"/>
      </w:pPr>
      <w:r>
        <w:rPr>
          <w:color w:val="333333"/>
        </w:rPr>
        <w:t>注：</w:t>
      </w:r>
      <w:r>
        <w:rPr>
          <w:color w:val="333333"/>
        </w:rPr>
        <w:t>1</w:t>
      </w:r>
      <w:r>
        <w:rPr>
          <w:color w:val="333333"/>
          <w:spacing w:val="-3"/>
        </w:rPr>
        <w:t>.</w:t>
      </w:r>
      <w:r>
        <w:rPr>
          <w:color w:val="333333"/>
          <w:spacing w:val="-3"/>
        </w:rPr>
        <w:t>相邻两座单、多层建筑，当相邻外墙为不燃性墙体且无外露的可燃性屋檐，每面外</w:t>
      </w:r>
      <w:r>
        <w:rPr>
          <w:color w:val="333333"/>
          <w:spacing w:val="-4"/>
        </w:rPr>
        <w:t>墙上无防火保护的门</w:t>
      </w:r>
      <w:r>
        <w:rPr>
          <w:color w:val="333333"/>
          <w:spacing w:val="-4"/>
        </w:rPr>
        <w:t>、窗、洞口不正对开设且该门、窗、洞口的面积之和不大于外墙面积的</w:t>
      </w:r>
      <w:r>
        <w:rPr>
          <w:color w:val="333333"/>
          <w:spacing w:val="-4"/>
        </w:rPr>
        <w:t xml:space="preserve"> </w:t>
      </w:r>
      <w:r>
        <w:rPr>
          <w:color w:val="333333"/>
        </w:rPr>
        <w:t xml:space="preserve">5% </w:t>
      </w:r>
      <w:r>
        <w:rPr>
          <w:color w:val="333333"/>
          <w:spacing w:val="-6"/>
        </w:rPr>
        <w:t>时，其防火间距可按本表的规定减少</w:t>
      </w:r>
      <w:r>
        <w:rPr>
          <w:color w:val="333333"/>
          <w:spacing w:val="-6"/>
        </w:rPr>
        <w:t xml:space="preserve"> </w:t>
      </w:r>
      <w:r>
        <w:rPr>
          <w:color w:val="333333"/>
        </w:rPr>
        <w:t>25%</w:t>
      </w:r>
      <w:r>
        <w:rPr>
          <w:color w:val="333333"/>
        </w:rPr>
        <w:t>。</w:t>
      </w:r>
      <w:r>
        <w:rPr>
          <w:color w:val="333333"/>
        </w:rPr>
        <w:t xml:space="preserve"> </w:t>
      </w:r>
      <w:r>
        <w:rPr>
          <w:color w:val="333333"/>
          <w:spacing w:val="-2"/>
        </w:rPr>
        <w:t xml:space="preserve"> </w:t>
      </w:r>
      <w:r>
        <w:rPr>
          <w:color w:val="333333"/>
        </w:rPr>
        <w:t xml:space="preserve"> </w:t>
      </w:r>
      <w:r>
        <w:rPr>
          <w:color w:val="333333"/>
          <w:spacing w:val="-2"/>
        </w:rPr>
        <w:t xml:space="preserve"> </w:t>
      </w:r>
      <w:r>
        <w:rPr>
          <w:color w:val="333333"/>
        </w:rPr>
        <w:t xml:space="preserve"> </w:t>
      </w:r>
    </w:p>
    <w:p w14:paraId="795BB72D" w14:textId="77777777" w:rsidR="00A71EEF" w:rsidRDefault="0081115D">
      <w:pPr>
        <w:pStyle w:val="a4"/>
        <w:numPr>
          <w:ilvl w:val="0"/>
          <w:numId w:val="728"/>
        </w:numPr>
        <w:tabs>
          <w:tab w:val="left" w:pos="1051"/>
        </w:tabs>
        <w:spacing w:line="446" w:lineRule="auto"/>
        <w:ind w:right="1609" w:firstLine="419"/>
        <w:jc w:val="both"/>
        <w:rPr>
          <w:b/>
          <w:sz w:val="21"/>
        </w:rPr>
      </w:pPr>
      <w:r>
        <w:rPr>
          <w:color w:val="333333"/>
          <w:spacing w:val="-3"/>
          <w:sz w:val="21"/>
        </w:rPr>
        <w:t>两座建筑相邻较高一面外墙为防火墙，或高出相邻较低一座一、二级耐火等级建筑的屋</w:t>
      </w:r>
      <w:r>
        <w:rPr>
          <w:color w:val="333333"/>
          <w:spacing w:val="-28"/>
          <w:sz w:val="21"/>
        </w:rPr>
        <w:t>面</w:t>
      </w:r>
      <w:r>
        <w:rPr>
          <w:color w:val="333333"/>
          <w:spacing w:val="-28"/>
          <w:sz w:val="21"/>
        </w:rPr>
        <w:t xml:space="preserve"> </w:t>
      </w:r>
      <w:r>
        <w:rPr>
          <w:color w:val="333333"/>
          <w:sz w:val="21"/>
        </w:rPr>
        <w:t>15m</w:t>
      </w:r>
      <w:r>
        <w:rPr>
          <w:color w:val="333333"/>
          <w:spacing w:val="-3"/>
          <w:sz w:val="21"/>
        </w:rPr>
        <w:t xml:space="preserve"> </w:t>
      </w:r>
      <w:r>
        <w:rPr>
          <w:color w:val="333333"/>
          <w:spacing w:val="-3"/>
          <w:sz w:val="21"/>
        </w:rPr>
        <w:t>及以下范围内的外墙为防火墙时，其防火间距不限。</w:t>
      </w:r>
      <w:r>
        <w:rPr>
          <w:color w:val="333333"/>
          <w:spacing w:val="-3"/>
          <w:sz w:val="21"/>
        </w:rPr>
        <w:t xml:space="preserve"> </w:t>
      </w:r>
      <w:r>
        <w:rPr>
          <w:color w:val="333333"/>
          <w:spacing w:val="-2"/>
          <w:sz w:val="21"/>
        </w:rPr>
        <w:t xml:space="preserve"> </w:t>
      </w:r>
      <w:r>
        <w:rPr>
          <w:color w:val="333333"/>
          <w:sz w:val="21"/>
        </w:rPr>
        <w:t xml:space="preserve"> </w:t>
      </w:r>
      <w:r>
        <w:rPr>
          <w:color w:val="333333"/>
          <w:spacing w:val="-2"/>
          <w:sz w:val="21"/>
        </w:rPr>
        <w:t xml:space="preserve"> </w:t>
      </w:r>
      <w:r>
        <w:rPr>
          <w:b/>
          <w:color w:val="FF0000"/>
          <w:w w:val="99"/>
          <w:sz w:val="21"/>
        </w:rPr>
        <w:t xml:space="preserve"> </w:t>
      </w:r>
    </w:p>
    <w:p w14:paraId="4E8F42D7" w14:textId="77777777" w:rsidR="00A71EEF" w:rsidRDefault="0081115D">
      <w:pPr>
        <w:pStyle w:val="a4"/>
        <w:numPr>
          <w:ilvl w:val="0"/>
          <w:numId w:val="728"/>
        </w:numPr>
        <w:tabs>
          <w:tab w:val="left" w:pos="1051"/>
        </w:tabs>
        <w:spacing w:line="446" w:lineRule="auto"/>
        <w:ind w:right="1609" w:firstLine="419"/>
        <w:jc w:val="both"/>
        <w:rPr>
          <w:b/>
          <w:sz w:val="21"/>
        </w:rPr>
      </w:pPr>
      <w:r>
        <w:rPr>
          <w:color w:val="333333"/>
          <w:spacing w:val="-3"/>
          <w:sz w:val="21"/>
        </w:rPr>
        <w:t>相邻两座高度相同的一、二级耐火等级建筑中相邻任一侧外墙为防火墙，屋顶的耐火极</w:t>
      </w:r>
      <w:r>
        <w:rPr>
          <w:color w:val="333333"/>
          <w:spacing w:val="-13"/>
          <w:sz w:val="21"/>
        </w:rPr>
        <w:t>限不低于</w:t>
      </w:r>
      <w:r>
        <w:rPr>
          <w:color w:val="333333"/>
          <w:spacing w:val="-13"/>
          <w:sz w:val="21"/>
        </w:rPr>
        <w:t xml:space="preserve"> </w:t>
      </w:r>
      <w:r>
        <w:rPr>
          <w:color w:val="333333"/>
          <w:sz w:val="21"/>
        </w:rPr>
        <w:t>1.00h</w:t>
      </w:r>
      <w:r>
        <w:rPr>
          <w:color w:val="333333"/>
          <w:spacing w:val="-3"/>
          <w:sz w:val="21"/>
        </w:rPr>
        <w:t xml:space="preserve"> </w:t>
      </w:r>
      <w:r>
        <w:rPr>
          <w:color w:val="333333"/>
          <w:spacing w:val="-3"/>
          <w:sz w:val="21"/>
        </w:rPr>
        <w:t>时，其防火间距不限。</w:t>
      </w:r>
      <w:r>
        <w:rPr>
          <w:color w:val="333333"/>
          <w:spacing w:val="-3"/>
          <w:sz w:val="21"/>
        </w:rPr>
        <w:t xml:space="preserve"> </w:t>
      </w:r>
      <w:r>
        <w:rPr>
          <w:color w:val="333333"/>
          <w:spacing w:val="-2"/>
          <w:sz w:val="21"/>
        </w:rPr>
        <w:t xml:space="preserve"> </w:t>
      </w:r>
      <w:r>
        <w:rPr>
          <w:color w:val="333333"/>
          <w:sz w:val="21"/>
        </w:rPr>
        <w:t xml:space="preserve"> </w:t>
      </w:r>
      <w:r>
        <w:rPr>
          <w:color w:val="333333"/>
          <w:sz w:val="21"/>
        </w:rPr>
        <w:t xml:space="preserve"> </w:t>
      </w:r>
      <w:r>
        <w:rPr>
          <w:color w:val="333333"/>
          <w:spacing w:val="-3"/>
          <w:sz w:val="21"/>
        </w:rPr>
        <w:t xml:space="preserve"> </w:t>
      </w:r>
      <w:r>
        <w:rPr>
          <w:color w:val="333333"/>
          <w:sz w:val="21"/>
        </w:rPr>
        <w:t xml:space="preserve"> </w:t>
      </w:r>
      <w:r>
        <w:rPr>
          <w:color w:val="333333"/>
          <w:spacing w:val="-2"/>
          <w:sz w:val="21"/>
        </w:rPr>
        <w:t xml:space="preserve"> </w:t>
      </w:r>
      <w:r>
        <w:rPr>
          <w:b/>
          <w:color w:val="FF0000"/>
          <w:w w:val="99"/>
          <w:sz w:val="21"/>
        </w:rPr>
        <w:t xml:space="preserve"> </w:t>
      </w:r>
    </w:p>
    <w:p w14:paraId="690417EE" w14:textId="77777777" w:rsidR="00A71EEF" w:rsidRDefault="0081115D">
      <w:pPr>
        <w:pStyle w:val="a4"/>
        <w:numPr>
          <w:ilvl w:val="0"/>
          <w:numId w:val="728"/>
        </w:numPr>
        <w:tabs>
          <w:tab w:val="left" w:pos="1051"/>
        </w:tabs>
        <w:spacing w:line="446" w:lineRule="auto"/>
        <w:ind w:right="1508" w:firstLine="419"/>
        <w:rPr>
          <w:sz w:val="21"/>
        </w:rPr>
      </w:pPr>
      <w:r>
        <w:rPr>
          <w:color w:val="333333"/>
          <w:spacing w:val="-3"/>
          <w:sz w:val="21"/>
        </w:rPr>
        <w:t>相邻两座建筑中较低一座建筑的耐火等级不低于二级，相邻较低一面外墙为防火墙且屋</w:t>
      </w:r>
      <w:r>
        <w:rPr>
          <w:color w:val="333333"/>
          <w:spacing w:val="-6"/>
          <w:sz w:val="21"/>
        </w:rPr>
        <w:t>顶无天窗，屋顶的耐火极限不低于</w:t>
      </w:r>
      <w:r>
        <w:rPr>
          <w:color w:val="333333"/>
          <w:spacing w:val="-6"/>
          <w:sz w:val="21"/>
        </w:rPr>
        <w:t xml:space="preserve"> </w:t>
      </w:r>
      <w:r>
        <w:rPr>
          <w:color w:val="333333"/>
          <w:sz w:val="21"/>
        </w:rPr>
        <w:t>1.00h</w:t>
      </w:r>
      <w:r>
        <w:rPr>
          <w:color w:val="333333"/>
          <w:spacing w:val="-7"/>
          <w:sz w:val="21"/>
        </w:rPr>
        <w:t xml:space="preserve"> </w:t>
      </w:r>
      <w:r>
        <w:rPr>
          <w:color w:val="333333"/>
          <w:spacing w:val="-7"/>
          <w:sz w:val="21"/>
        </w:rPr>
        <w:t>时，其防火间距不应小于</w:t>
      </w:r>
      <w:r>
        <w:rPr>
          <w:color w:val="333333"/>
          <w:spacing w:val="-7"/>
          <w:sz w:val="21"/>
        </w:rPr>
        <w:t xml:space="preserve"> </w:t>
      </w:r>
      <w:r>
        <w:rPr>
          <w:color w:val="333333"/>
          <w:sz w:val="21"/>
        </w:rPr>
        <w:t>3.5m</w:t>
      </w:r>
      <w:r>
        <w:rPr>
          <w:color w:val="333333"/>
          <w:spacing w:val="-3"/>
          <w:sz w:val="21"/>
        </w:rPr>
        <w:t>；对于高层建筑，不应</w:t>
      </w:r>
      <w:r>
        <w:rPr>
          <w:color w:val="333333"/>
          <w:spacing w:val="-20"/>
          <w:sz w:val="21"/>
        </w:rPr>
        <w:t>小于</w:t>
      </w:r>
      <w:r>
        <w:rPr>
          <w:color w:val="333333"/>
          <w:spacing w:val="-20"/>
          <w:sz w:val="21"/>
        </w:rPr>
        <w:t xml:space="preserve"> </w:t>
      </w:r>
      <w:r>
        <w:rPr>
          <w:color w:val="333333"/>
          <w:sz w:val="21"/>
        </w:rPr>
        <w:t>4m</w:t>
      </w:r>
      <w:r>
        <w:rPr>
          <w:color w:val="333333"/>
          <w:spacing w:val="-3"/>
          <w:sz w:val="21"/>
        </w:rPr>
        <w:t>。</w:t>
      </w:r>
      <w:r>
        <w:rPr>
          <w:color w:val="333333"/>
          <w:sz w:val="21"/>
        </w:rPr>
        <w:t xml:space="preserve">  </w:t>
      </w:r>
      <w:r>
        <w:rPr>
          <w:color w:val="333333"/>
          <w:sz w:val="21"/>
        </w:rPr>
        <w:t xml:space="preserve"> </w:t>
      </w:r>
      <w:r>
        <w:rPr>
          <w:color w:val="333333"/>
          <w:spacing w:val="-2"/>
          <w:sz w:val="21"/>
        </w:rPr>
        <w:t xml:space="preserve"> </w:t>
      </w:r>
      <w:r>
        <w:rPr>
          <w:color w:val="333333"/>
          <w:sz w:val="21"/>
        </w:rPr>
        <w:t xml:space="preserve"> </w:t>
      </w:r>
    </w:p>
    <w:p w14:paraId="5D16FFE4" w14:textId="77777777" w:rsidR="00A71EEF" w:rsidRDefault="0081115D">
      <w:pPr>
        <w:pStyle w:val="a4"/>
        <w:numPr>
          <w:ilvl w:val="0"/>
          <w:numId w:val="728"/>
        </w:numPr>
        <w:tabs>
          <w:tab w:val="left" w:pos="1051"/>
        </w:tabs>
        <w:spacing w:line="446" w:lineRule="auto"/>
        <w:ind w:right="1452" w:firstLine="419"/>
        <w:rPr>
          <w:sz w:val="21"/>
        </w:rPr>
      </w:pPr>
      <w:r>
        <w:rPr>
          <w:color w:val="333333"/>
          <w:spacing w:val="-3"/>
          <w:sz w:val="21"/>
        </w:rPr>
        <w:t>相邻两座建筑中较低一座建筑的耐火等级不低于二级且屋顶无天窗，相邻较高一面外墙</w:t>
      </w:r>
      <w:r>
        <w:rPr>
          <w:color w:val="333333"/>
          <w:spacing w:val="-3"/>
          <w:sz w:val="21"/>
        </w:rPr>
        <w:t xml:space="preserve"> </w:t>
      </w:r>
      <w:r>
        <w:rPr>
          <w:color w:val="333333"/>
          <w:spacing w:val="-7"/>
          <w:sz w:val="21"/>
        </w:rPr>
        <w:t>高出较低一座建筑的屋面</w:t>
      </w:r>
      <w:r>
        <w:rPr>
          <w:color w:val="333333"/>
          <w:spacing w:val="-7"/>
          <w:sz w:val="21"/>
        </w:rPr>
        <w:t xml:space="preserve"> </w:t>
      </w:r>
      <w:r>
        <w:rPr>
          <w:color w:val="333333"/>
          <w:sz w:val="21"/>
        </w:rPr>
        <w:t>15m</w:t>
      </w:r>
      <w:r>
        <w:rPr>
          <w:color w:val="333333"/>
          <w:spacing w:val="-3"/>
          <w:sz w:val="21"/>
        </w:rPr>
        <w:t xml:space="preserve"> </w:t>
      </w:r>
      <w:r>
        <w:rPr>
          <w:color w:val="333333"/>
          <w:spacing w:val="-3"/>
          <w:sz w:val="21"/>
        </w:rPr>
        <w:t>及以下范围内的开口部位设置甲级防火门、窗，或设置符合现行国家标准《自动喷水灭火系统设计规范》</w:t>
      </w:r>
      <w:r>
        <w:rPr>
          <w:color w:val="333333"/>
          <w:sz w:val="21"/>
        </w:rPr>
        <w:t>GB</w:t>
      </w:r>
      <w:r>
        <w:rPr>
          <w:color w:val="333333"/>
          <w:spacing w:val="11"/>
          <w:sz w:val="21"/>
        </w:rPr>
        <w:t xml:space="preserve"> </w:t>
      </w:r>
      <w:r>
        <w:rPr>
          <w:color w:val="333333"/>
          <w:sz w:val="21"/>
        </w:rPr>
        <w:t>50084</w:t>
      </w:r>
      <w:r>
        <w:rPr>
          <w:color w:val="333333"/>
          <w:spacing w:val="-6"/>
          <w:sz w:val="21"/>
        </w:rPr>
        <w:t xml:space="preserve"> </w:t>
      </w:r>
      <w:r>
        <w:rPr>
          <w:color w:val="333333"/>
          <w:spacing w:val="-6"/>
          <w:sz w:val="21"/>
        </w:rPr>
        <w:t>规定的防火分隔水幕或本规范第</w:t>
      </w:r>
      <w:r>
        <w:rPr>
          <w:color w:val="333333"/>
          <w:spacing w:val="-6"/>
          <w:sz w:val="21"/>
        </w:rPr>
        <w:t xml:space="preserve"> </w:t>
      </w:r>
      <w:r>
        <w:rPr>
          <w:color w:val="333333"/>
          <w:sz w:val="21"/>
        </w:rPr>
        <w:t>6.5.3</w:t>
      </w:r>
      <w:r>
        <w:rPr>
          <w:color w:val="333333"/>
          <w:spacing w:val="2"/>
          <w:sz w:val="21"/>
        </w:rPr>
        <w:t xml:space="preserve"> </w:t>
      </w:r>
      <w:r>
        <w:rPr>
          <w:color w:val="333333"/>
          <w:spacing w:val="2"/>
          <w:sz w:val="21"/>
        </w:rPr>
        <w:t>条规</w:t>
      </w:r>
      <w:r>
        <w:rPr>
          <w:color w:val="333333"/>
          <w:spacing w:val="-6"/>
          <w:sz w:val="21"/>
        </w:rPr>
        <w:t>定的防火卷帘时，其防火间距不应小于</w:t>
      </w:r>
      <w:r>
        <w:rPr>
          <w:color w:val="333333"/>
          <w:spacing w:val="-6"/>
          <w:sz w:val="21"/>
        </w:rPr>
        <w:t xml:space="preserve"> </w:t>
      </w:r>
      <w:r>
        <w:rPr>
          <w:color w:val="333333"/>
          <w:sz w:val="21"/>
        </w:rPr>
        <w:t>3.5m</w:t>
      </w:r>
      <w:r>
        <w:rPr>
          <w:color w:val="333333"/>
          <w:spacing w:val="-7"/>
          <w:sz w:val="21"/>
        </w:rPr>
        <w:t>；对于高层建筑，不应小于</w:t>
      </w:r>
      <w:r>
        <w:rPr>
          <w:color w:val="333333"/>
          <w:spacing w:val="-7"/>
          <w:sz w:val="21"/>
        </w:rPr>
        <w:t xml:space="preserve"> </w:t>
      </w:r>
      <w:r>
        <w:rPr>
          <w:color w:val="333333"/>
          <w:sz w:val="21"/>
        </w:rPr>
        <w:t>4m</w:t>
      </w:r>
      <w:r>
        <w:rPr>
          <w:color w:val="333333"/>
          <w:spacing w:val="-3"/>
          <w:sz w:val="21"/>
        </w:rPr>
        <w:t>。</w:t>
      </w:r>
      <w:r>
        <w:rPr>
          <w:color w:val="333333"/>
          <w:sz w:val="21"/>
        </w:rPr>
        <w:t xml:space="preserve"> </w:t>
      </w:r>
      <w:r>
        <w:rPr>
          <w:color w:val="333333"/>
          <w:spacing w:val="1"/>
          <w:sz w:val="21"/>
        </w:rPr>
        <w:t xml:space="preserve"> </w:t>
      </w:r>
      <w:r>
        <w:rPr>
          <w:color w:val="333333"/>
          <w:sz w:val="21"/>
        </w:rPr>
        <w:t xml:space="preserve"> </w:t>
      </w:r>
      <w:r>
        <w:rPr>
          <w:color w:val="333333"/>
          <w:sz w:val="21"/>
        </w:rPr>
        <w:t xml:space="preserve"> </w:t>
      </w:r>
      <w:r>
        <w:rPr>
          <w:color w:val="333333"/>
          <w:sz w:val="21"/>
        </w:rPr>
        <w:t xml:space="preserve"> </w:t>
      </w:r>
      <w:r>
        <w:rPr>
          <w:color w:val="333333"/>
          <w:spacing w:val="-2"/>
          <w:sz w:val="21"/>
        </w:rPr>
        <w:t xml:space="preserve"> </w:t>
      </w:r>
      <w:r>
        <w:rPr>
          <w:color w:val="333333"/>
          <w:sz w:val="21"/>
        </w:rPr>
        <w:t xml:space="preserve">  </w:t>
      </w:r>
      <w:r>
        <w:rPr>
          <w:color w:val="333333"/>
          <w:spacing w:val="-2"/>
          <w:sz w:val="21"/>
        </w:rPr>
        <w:t xml:space="preserve"> </w:t>
      </w:r>
      <w:r>
        <w:rPr>
          <w:color w:val="333333"/>
          <w:sz w:val="21"/>
        </w:rPr>
        <w:t xml:space="preserve"> </w:t>
      </w:r>
    </w:p>
    <w:p w14:paraId="5663C663" w14:textId="77777777" w:rsidR="00A71EEF" w:rsidRDefault="0081115D">
      <w:pPr>
        <w:pStyle w:val="a4"/>
        <w:numPr>
          <w:ilvl w:val="0"/>
          <w:numId w:val="728"/>
        </w:numPr>
        <w:tabs>
          <w:tab w:val="left" w:pos="1051"/>
        </w:tabs>
        <w:spacing w:line="446" w:lineRule="auto"/>
        <w:ind w:right="2449" w:firstLine="419"/>
        <w:rPr>
          <w:sz w:val="21"/>
        </w:rPr>
      </w:pPr>
      <w:r>
        <w:rPr>
          <w:color w:val="333333"/>
          <w:spacing w:val="-3"/>
          <w:sz w:val="21"/>
        </w:rPr>
        <w:t>相邻建筑通过连廊、天桥或底部的建筑物等连接时，其间距不应小于本表的规定。</w:t>
      </w:r>
      <w:r>
        <w:rPr>
          <w:color w:val="333333"/>
          <w:spacing w:val="-3"/>
          <w:sz w:val="21"/>
        </w:rPr>
        <w:t xml:space="preserve"> </w:t>
      </w:r>
      <w:r>
        <w:rPr>
          <w:color w:val="333333"/>
          <w:spacing w:val="-2"/>
          <w:sz w:val="21"/>
        </w:rPr>
        <w:t xml:space="preserve"> </w:t>
      </w:r>
      <w:r>
        <w:rPr>
          <w:color w:val="333333"/>
          <w:sz w:val="21"/>
        </w:rPr>
        <w:t xml:space="preserve"> </w:t>
      </w:r>
      <w:r>
        <w:rPr>
          <w:color w:val="333333"/>
          <w:sz w:val="21"/>
        </w:rPr>
        <w:t xml:space="preserve"> </w:t>
      </w:r>
      <w:r>
        <w:rPr>
          <w:color w:val="333333"/>
          <w:sz w:val="21"/>
        </w:rPr>
        <w:t xml:space="preserve"> </w:t>
      </w:r>
      <w:r>
        <w:rPr>
          <w:color w:val="333333"/>
          <w:spacing w:val="-2"/>
          <w:sz w:val="21"/>
        </w:rPr>
        <w:t xml:space="preserve"> </w:t>
      </w:r>
      <w:r>
        <w:rPr>
          <w:color w:val="333333"/>
          <w:sz w:val="21"/>
        </w:rPr>
        <w:t xml:space="preserve">  </w:t>
      </w:r>
      <w:r>
        <w:rPr>
          <w:color w:val="333333"/>
          <w:spacing w:val="-2"/>
          <w:sz w:val="21"/>
        </w:rPr>
        <w:t xml:space="preserve"> </w:t>
      </w:r>
      <w:r>
        <w:rPr>
          <w:color w:val="333333"/>
          <w:sz w:val="21"/>
        </w:rPr>
        <w:t xml:space="preserve"> </w:t>
      </w:r>
    </w:p>
    <w:p w14:paraId="4CBEA7C5" w14:textId="77777777" w:rsidR="00A71EEF" w:rsidRDefault="0081115D">
      <w:pPr>
        <w:pStyle w:val="a4"/>
        <w:numPr>
          <w:ilvl w:val="0"/>
          <w:numId w:val="728"/>
        </w:numPr>
        <w:tabs>
          <w:tab w:val="left" w:pos="1051"/>
        </w:tabs>
        <w:ind w:left="1050"/>
        <w:rPr>
          <w:sz w:val="21"/>
        </w:rPr>
      </w:pPr>
      <w:r>
        <w:rPr>
          <w:color w:val="333333"/>
          <w:spacing w:val="-3"/>
          <w:sz w:val="21"/>
        </w:rPr>
        <w:t>耐火等级低于四级的既有建筑，其耐火等级可按四级确定。</w:t>
      </w:r>
      <w:r>
        <w:rPr>
          <w:color w:val="333333"/>
          <w:sz w:val="21"/>
        </w:rPr>
        <w:t xml:space="preserve"> </w:t>
      </w:r>
    </w:p>
    <w:p w14:paraId="4937084F" w14:textId="77777777" w:rsidR="00A71EEF" w:rsidRDefault="00A71EEF">
      <w:pPr>
        <w:pStyle w:val="a3"/>
        <w:spacing w:before="8"/>
        <w:rPr>
          <w:sz w:val="17"/>
        </w:rPr>
      </w:pPr>
    </w:p>
    <w:p w14:paraId="5F468D13" w14:textId="77777777" w:rsidR="00A71EEF" w:rsidRDefault="0081115D">
      <w:pPr>
        <w:pStyle w:val="a4"/>
        <w:numPr>
          <w:ilvl w:val="2"/>
          <w:numId w:val="731"/>
        </w:numPr>
        <w:tabs>
          <w:tab w:val="left" w:pos="1370"/>
        </w:tabs>
        <w:spacing w:line="446" w:lineRule="auto"/>
        <w:ind w:right="1553" w:firstLine="422"/>
        <w:rPr>
          <w:color w:val="333333"/>
          <w:sz w:val="19"/>
        </w:rPr>
      </w:pPr>
      <w:r>
        <w:rPr>
          <w:color w:val="333333"/>
          <w:spacing w:val="-5"/>
          <w:sz w:val="21"/>
        </w:rPr>
        <w:t>民用建筑与单独建造的变电站的防火间距应符合本规范第</w:t>
      </w:r>
      <w:r>
        <w:rPr>
          <w:color w:val="333333"/>
          <w:spacing w:val="-5"/>
          <w:sz w:val="21"/>
        </w:rPr>
        <w:t xml:space="preserve"> </w:t>
      </w:r>
      <w:r>
        <w:rPr>
          <w:color w:val="333333"/>
          <w:sz w:val="21"/>
        </w:rPr>
        <w:t>3.4.1</w:t>
      </w:r>
      <w:r>
        <w:rPr>
          <w:color w:val="333333"/>
          <w:spacing w:val="-2"/>
          <w:sz w:val="21"/>
        </w:rPr>
        <w:t xml:space="preserve"> </w:t>
      </w:r>
      <w:r>
        <w:rPr>
          <w:color w:val="333333"/>
          <w:spacing w:val="-2"/>
          <w:sz w:val="21"/>
        </w:rPr>
        <w:t>条有关室外变、配</w:t>
      </w:r>
      <w:r>
        <w:rPr>
          <w:color w:val="333333"/>
          <w:spacing w:val="-3"/>
          <w:sz w:val="21"/>
        </w:rPr>
        <w:t>电站的规定，但与单独建造的终端变电站的防火间距，可根据变电站的耐火等级按本规范第</w:t>
      </w:r>
      <w:r>
        <w:rPr>
          <w:color w:val="333333"/>
          <w:spacing w:val="-3"/>
          <w:sz w:val="21"/>
        </w:rPr>
        <w:t xml:space="preserve">5.2.2 </w:t>
      </w:r>
      <w:r>
        <w:rPr>
          <w:color w:val="333333"/>
          <w:spacing w:val="-3"/>
          <w:sz w:val="21"/>
        </w:rPr>
        <w:t>条有关民用建筑的规定确定。</w:t>
      </w:r>
      <w:r>
        <w:rPr>
          <w:color w:val="333333"/>
          <w:sz w:val="21"/>
        </w:rPr>
        <w:t xml:space="preserve"> </w:t>
      </w:r>
    </w:p>
    <w:p w14:paraId="309EEB98" w14:textId="77777777" w:rsidR="00A71EEF" w:rsidRDefault="0081115D">
      <w:pPr>
        <w:pStyle w:val="a3"/>
        <w:spacing w:line="268" w:lineRule="exact"/>
        <w:ind w:left="838"/>
      </w:pPr>
      <w:r>
        <w:rPr>
          <w:color w:val="333333"/>
        </w:rPr>
        <w:t>民用建筑与</w:t>
      </w:r>
      <w:r>
        <w:rPr>
          <w:color w:val="333333"/>
        </w:rPr>
        <w:t xml:space="preserve"> 10kV </w:t>
      </w:r>
      <w:r>
        <w:rPr>
          <w:color w:val="333333"/>
        </w:rPr>
        <w:t>及以下的预装式变电站的防火间距不应小于</w:t>
      </w:r>
      <w:r>
        <w:rPr>
          <w:color w:val="333333"/>
        </w:rPr>
        <w:t xml:space="preserve"> 3m</w:t>
      </w:r>
      <w:r>
        <w:rPr>
          <w:color w:val="333333"/>
        </w:rPr>
        <w:t>。</w:t>
      </w:r>
      <w:r>
        <w:rPr>
          <w:color w:val="333333"/>
        </w:rPr>
        <w:t xml:space="preserve"> </w:t>
      </w:r>
    </w:p>
    <w:p w14:paraId="5BC0E9F4" w14:textId="77777777" w:rsidR="00A71EEF" w:rsidRDefault="00A71EEF">
      <w:pPr>
        <w:spacing w:line="268" w:lineRule="exact"/>
        <w:sectPr w:rsidR="00A71EEF">
          <w:pgSz w:w="11910" w:h="16850"/>
          <w:pgMar w:top="1220" w:right="0" w:bottom="1420" w:left="1260" w:header="0" w:footer="1239" w:gutter="0"/>
          <w:cols w:space="720"/>
        </w:sectPr>
      </w:pPr>
    </w:p>
    <w:p w14:paraId="12DC1746" w14:textId="77777777" w:rsidR="00A71EEF" w:rsidRDefault="0081115D">
      <w:pPr>
        <w:pStyle w:val="a3"/>
        <w:spacing w:before="47" w:line="446" w:lineRule="auto"/>
        <w:ind w:left="418" w:right="1558" w:firstLine="419"/>
        <w:jc w:val="both"/>
      </w:pPr>
      <w:r>
        <w:rPr>
          <w:color w:val="333333"/>
          <w:spacing w:val="-5"/>
        </w:rPr>
        <w:lastRenderedPageBreak/>
        <w:t>民用建筑与燃油、燃气或燃煤锅炉房的防火间距应符合本规范第</w:t>
      </w:r>
      <w:r>
        <w:rPr>
          <w:color w:val="333333"/>
          <w:spacing w:val="-5"/>
        </w:rPr>
        <w:t xml:space="preserve"> </w:t>
      </w:r>
      <w:r>
        <w:rPr>
          <w:color w:val="333333"/>
        </w:rPr>
        <w:t>3.4.1</w:t>
      </w:r>
      <w:r>
        <w:rPr>
          <w:color w:val="333333"/>
          <w:spacing w:val="-1"/>
        </w:rPr>
        <w:t xml:space="preserve"> </w:t>
      </w:r>
      <w:r>
        <w:rPr>
          <w:color w:val="333333"/>
          <w:spacing w:val="-1"/>
        </w:rPr>
        <w:t>条有关丁类厂房的</w:t>
      </w:r>
      <w:r>
        <w:rPr>
          <w:color w:val="333333"/>
          <w:spacing w:val="-6"/>
        </w:rPr>
        <w:t>规定，但与单台蒸汽锅炉的蒸发量不大于</w:t>
      </w:r>
      <w:r>
        <w:rPr>
          <w:color w:val="333333"/>
          <w:spacing w:val="-6"/>
        </w:rPr>
        <w:t xml:space="preserve"> </w:t>
      </w:r>
      <w:r>
        <w:rPr>
          <w:color w:val="333333"/>
        </w:rPr>
        <w:t>4t/h</w:t>
      </w:r>
      <w:r>
        <w:rPr>
          <w:color w:val="333333"/>
          <w:spacing w:val="-6"/>
        </w:rPr>
        <w:t xml:space="preserve"> </w:t>
      </w:r>
      <w:r>
        <w:rPr>
          <w:color w:val="333333"/>
          <w:spacing w:val="-6"/>
        </w:rPr>
        <w:t>或单台热水锅炉的额定热功率不大于</w:t>
      </w:r>
      <w:r>
        <w:rPr>
          <w:color w:val="333333"/>
          <w:spacing w:val="-6"/>
        </w:rPr>
        <w:t xml:space="preserve"> </w:t>
      </w:r>
      <w:r>
        <w:rPr>
          <w:color w:val="333333"/>
        </w:rPr>
        <w:t>2.8MW</w:t>
      </w:r>
      <w:r>
        <w:rPr>
          <w:color w:val="333333"/>
          <w:spacing w:val="5"/>
        </w:rPr>
        <w:t xml:space="preserve"> </w:t>
      </w:r>
      <w:r>
        <w:rPr>
          <w:color w:val="333333"/>
          <w:spacing w:val="5"/>
        </w:rPr>
        <w:t>的</w:t>
      </w:r>
      <w:r>
        <w:rPr>
          <w:color w:val="333333"/>
          <w:spacing w:val="-5"/>
        </w:rPr>
        <w:t>燃煤锅炉房的防火间距，可根据锅炉房的耐火等级按本规范第</w:t>
      </w:r>
      <w:r>
        <w:rPr>
          <w:color w:val="333333"/>
          <w:spacing w:val="-5"/>
        </w:rPr>
        <w:t xml:space="preserve"> </w:t>
      </w:r>
      <w:r>
        <w:rPr>
          <w:color w:val="333333"/>
        </w:rPr>
        <w:t>5.2.2</w:t>
      </w:r>
      <w:r>
        <w:rPr>
          <w:color w:val="333333"/>
          <w:spacing w:val="-2"/>
        </w:rPr>
        <w:t xml:space="preserve"> </w:t>
      </w:r>
      <w:r>
        <w:rPr>
          <w:color w:val="333333"/>
          <w:spacing w:val="-2"/>
        </w:rPr>
        <w:t>条有关民用建筑的规定确</w:t>
      </w:r>
      <w:r>
        <w:rPr>
          <w:color w:val="333333"/>
          <w:spacing w:val="-3"/>
        </w:rPr>
        <w:t>定。</w:t>
      </w:r>
      <w:r>
        <w:rPr>
          <w:color w:val="333333"/>
        </w:rPr>
        <w:t xml:space="preserve"> </w:t>
      </w:r>
    </w:p>
    <w:p w14:paraId="2075A5E8" w14:textId="77777777" w:rsidR="00A71EEF" w:rsidRDefault="0081115D">
      <w:pPr>
        <w:pStyle w:val="a4"/>
        <w:numPr>
          <w:ilvl w:val="2"/>
          <w:numId w:val="731"/>
        </w:numPr>
        <w:tabs>
          <w:tab w:val="left" w:pos="1370"/>
        </w:tabs>
        <w:spacing w:line="441" w:lineRule="auto"/>
        <w:ind w:right="1553" w:firstLine="422"/>
        <w:jc w:val="both"/>
        <w:rPr>
          <w:b/>
          <w:color w:val="333333"/>
          <w:sz w:val="19"/>
        </w:rPr>
      </w:pPr>
      <w:r>
        <w:rPr>
          <w:color w:val="333333"/>
          <w:spacing w:val="-3"/>
          <w:sz w:val="21"/>
        </w:rPr>
        <w:t>除高层民用建筑外，数座一、二级耐火等级的住宅建筑或办公建筑，当建筑物的占</w:t>
      </w:r>
      <w:r>
        <w:rPr>
          <w:color w:val="333333"/>
          <w:spacing w:val="-3"/>
          <w:sz w:val="21"/>
        </w:rPr>
        <w:t xml:space="preserve"> </w:t>
      </w:r>
      <w:r>
        <w:rPr>
          <w:color w:val="333333"/>
          <w:spacing w:val="-8"/>
          <w:sz w:val="21"/>
        </w:rPr>
        <w:t>地面积总和不大于</w:t>
      </w:r>
      <w:r>
        <w:rPr>
          <w:color w:val="333333"/>
          <w:spacing w:val="-8"/>
          <w:sz w:val="21"/>
        </w:rPr>
        <w:t xml:space="preserve"> </w:t>
      </w:r>
      <w:r>
        <w:rPr>
          <w:color w:val="333333"/>
          <w:sz w:val="21"/>
        </w:rPr>
        <w:t>2500m</w:t>
      </w:r>
      <w:r>
        <w:rPr>
          <w:color w:val="333333"/>
          <w:position w:val="11"/>
          <w:sz w:val="11"/>
        </w:rPr>
        <w:t>2</w:t>
      </w:r>
      <w:r>
        <w:rPr>
          <w:color w:val="333333"/>
          <w:spacing w:val="15"/>
          <w:sz w:val="11"/>
        </w:rPr>
        <w:t xml:space="preserve"> </w:t>
      </w:r>
      <w:r>
        <w:rPr>
          <w:color w:val="333333"/>
          <w:spacing w:val="-5"/>
          <w:sz w:val="21"/>
        </w:rPr>
        <w:t>时，可成组布置，但组内建筑物之间的间距不宜小于</w:t>
      </w:r>
      <w:r>
        <w:rPr>
          <w:color w:val="333333"/>
          <w:spacing w:val="-5"/>
          <w:sz w:val="21"/>
        </w:rPr>
        <w:t xml:space="preserve"> </w:t>
      </w:r>
      <w:r>
        <w:rPr>
          <w:color w:val="333333"/>
          <w:sz w:val="21"/>
        </w:rPr>
        <w:t>4m</w:t>
      </w:r>
      <w:r>
        <w:rPr>
          <w:color w:val="333333"/>
          <w:spacing w:val="-3"/>
          <w:sz w:val="21"/>
        </w:rPr>
        <w:t>。组与组或</w:t>
      </w:r>
      <w:r>
        <w:rPr>
          <w:color w:val="333333"/>
          <w:spacing w:val="-6"/>
          <w:sz w:val="21"/>
        </w:rPr>
        <w:t>组与相邻建筑物的防火间距不应小于本规范第</w:t>
      </w:r>
      <w:r>
        <w:rPr>
          <w:color w:val="333333"/>
          <w:spacing w:val="-6"/>
          <w:sz w:val="21"/>
        </w:rPr>
        <w:t xml:space="preserve"> </w:t>
      </w:r>
      <w:r>
        <w:rPr>
          <w:color w:val="333333"/>
          <w:sz w:val="21"/>
        </w:rPr>
        <w:t>5.2.2</w:t>
      </w:r>
      <w:r>
        <w:rPr>
          <w:color w:val="333333"/>
          <w:spacing w:val="-2"/>
          <w:sz w:val="21"/>
        </w:rPr>
        <w:t xml:space="preserve"> </w:t>
      </w:r>
      <w:r>
        <w:rPr>
          <w:color w:val="333333"/>
          <w:spacing w:val="-2"/>
          <w:sz w:val="21"/>
        </w:rPr>
        <w:t>条的规定。</w:t>
      </w:r>
      <w:r>
        <w:rPr>
          <w:color w:val="333333"/>
          <w:spacing w:val="-2"/>
          <w:sz w:val="21"/>
        </w:rPr>
        <w:t xml:space="preserve">  </w:t>
      </w:r>
      <w:r>
        <w:rPr>
          <w:color w:val="333333"/>
          <w:sz w:val="21"/>
        </w:rPr>
        <w:t xml:space="preserve"> </w:t>
      </w:r>
      <w:r>
        <w:rPr>
          <w:color w:val="333333"/>
          <w:sz w:val="21"/>
        </w:rPr>
        <w:t xml:space="preserve"> </w:t>
      </w:r>
      <w:r>
        <w:rPr>
          <w:color w:val="333333"/>
          <w:spacing w:val="-3"/>
          <w:sz w:val="21"/>
        </w:rPr>
        <w:t xml:space="preserve"> </w:t>
      </w:r>
      <w:r>
        <w:rPr>
          <w:color w:val="333333"/>
          <w:sz w:val="21"/>
        </w:rPr>
        <w:t xml:space="preserve"> </w:t>
      </w:r>
      <w:r>
        <w:rPr>
          <w:color w:val="333333"/>
          <w:spacing w:val="-2"/>
          <w:sz w:val="21"/>
        </w:rPr>
        <w:t xml:space="preserve"> </w:t>
      </w:r>
      <w:r>
        <w:rPr>
          <w:b/>
          <w:color w:val="FF0000"/>
          <w:w w:val="99"/>
          <w:sz w:val="21"/>
        </w:rPr>
        <w:t xml:space="preserve"> </w:t>
      </w:r>
    </w:p>
    <w:p w14:paraId="5C6A8813" w14:textId="77777777" w:rsidR="00A71EEF" w:rsidRDefault="0081115D">
      <w:pPr>
        <w:pStyle w:val="a4"/>
        <w:numPr>
          <w:ilvl w:val="2"/>
          <w:numId w:val="731"/>
        </w:numPr>
        <w:tabs>
          <w:tab w:val="left" w:pos="1370"/>
        </w:tabs>
        <w:spacing w:before="3" w:line="446" w:lineRule="auto"/>
        <w:ind w:right="1604" w:firstLine="422"/>
        <w:jc w:val="both"/>
        <w:rPr>
          <w:color w:val="333333"/>
          <w:sz w:val="19"/>
        </w:rPr>
      </w:pPr>
      <w:r>
        <w:rPr>
          <w:color w:val="333333"/>
          <w:spacing w:val="-3"/>
          <w:sz w:val="21"/>
        </w:rPr>
        <w:t>民用建筑与燃气调压站、液化石油气气化站或混气站、城市液化石油气供应站瓶库等的防火间距，应符合现行国家标准《城镇燃气设计规范》</w:t>
      </w:r>
      <w:r>
        <w:rPr>
          <w:color w:val="333333"/>
          <w:sz w:val="21"/>
        </w:rPr>
        <w:t>GB</w:t>
      </w:r>
      <w:r>
        <w:rPr>
          <w:color w:val="333333"/>
          <w:spacing w:val="2"/>
          <w:sz w:val="21"/>
        </w:rPr>
        <w:t xml:space="preserve"> </w:t>
      </w:r>
      <w:r>
        <w:rPr>
          <w:color w:val="333333"/>
          <w:sz w:val="21"/>
        </w:rPr>
        <w:t>50028</w:t>
      </w:r>
      <w:r>
        <w:rPr>
          <w:color w:val="333333"/>
          <w:spacing w:val="-12"/>
          <w:sz w:val="21"/>
        </w:rPr>
        <w:t xml:space="preserve"> </w:t>
      </w:r>
      <w:r>
        <w:rPr>
          <w:color w:val="333333"/>
          <w:spacing w:val="-12"/>
          <w:sz w:val="21"/>
        </w:rPr>
        <w:t>的规定。</w:t>
      </w:r>
      <w:r>
        <w:rPr>
          <w:color w:val="333333"/>
          <w:spacing w:val="-12"/>
          <w:sz w:val="21"/>
        </w:rPr>
        <w:t xml:space="preserve"> </w:t>
      </w:r>
    </w:p>
    <w:p w14:paraId="7DF33616" w14:textId="77777777" w:rsidR="00A71EEF" w:rsidRDefault="0081115D">
      <w:pPr>
        <w:pStyle w:val="a4"/>
        <w:numPr>
          <w:ilvl w:val="2"/>
          <w:numId w:val="731"/>
        </w:numPr>
        <w:tabs>
          <w:tab w:val="left" w:pos="1370"/>
        </w:tabs>
        <w:ind w:left="1369" w:hanging="530"/>
        <w:jc w:val="both"/>
        <w:rPr>
          <w:color w:val="333333"/>
          <w:sz w:val="19"/>
        </w:rPr>
      </w:pPr>
      <w:r>
        <w:rPr>
          <w:color w:val="333333"/>
          <w:spacing w:val="-10"/>
          <w:sz w:val="21"/>
        </w:rPr>
        <w:t>建筑高度大于</w:t>
      </w:r>
      <w:r>
        <w:rPr>
          <w:color w:val="333333"/>
          <w:spacing w:val="-10"/>
          <w:sz w:val="21"/>
        </w:rPr>
        <w:t xml:space="preserve"> </w:t>
      </w:r>
      <w:r>
        <w:rPr>
          <w:color w:val="333333"/>
          <w:sz w:val="21"/>
        </w:rPr>
        <w:t>100m</w:t>
      </w:r>
      <w:r>
        <w:rPr>
          <w:color w:val="333333"/>
          <w:spacing w:val="-5"/>
          <w:sz w:val="21"/>
        </w:rPr>
        <w:t xml:space="preserve"> </w:t>
      </w:r>
      <w:r>
        <w:rPr>
          <w:color w:val="333333"/>
          <w:spacing w:val="-5"/>
          <w:sz w:val="21"/>
        </w:rPr>
        <w:t>的民用建筑与相邻建筑的防火间距，当符合本规范第</w:t>
      </w:r>
      <w:r>
        <w:rPr>
          <w:color w:val="333333"/>
          <w:spacing w:val="-5"/>
          <w:sz w:val="21"/>
        </w:rPr>
        <w:t xml:space="preserve"> </w:t>
      </w:r>
      <w:r>
        <w:rPr>
          <w:color w:val="333333"/>
          <w:sz w:val="21"/>
        </w:rPr>
        <w:t xml:space="preserve">3.4.5 </w:t>
      </w:r>
    </w:p>
    <w:p w14:paraId="766EED7D" w14:textId="77777777" w:rsidR="00A71EEF" w:rsidRDefault="00A71EEF">
      <w:pPr>
        <w:pStyle w:val="a3"/>
        <w:rPr>
          <w:sz w:val="18"/>
        </w:rPr>
      </w:pPr>
    </w:p>
    <w:p w14:paraId="1899CC39" w14:textId="77777777" w:rsidR="00A71EEF" w:rsidRDefault="0081115D">
      <w:pPr>
        <w:pStyle w:val="a3"/>
        <w:spacing w:line="446" w:lineRule="auto"/>
        <w:ind w:left="840" w:right="2820" w:hanging="423"/>
        <w:jc w:val="both"/>
        <w:rPr>
          <w:b/>
        </w:rPr>
      </w:pPr>
      <w:r>
        <w:rPr>
          <w:color w:val="333333"/>
          <w:spacing w:val="-15"/>
        </w:rPr>
        <w:t>条、第</w:t>
      </w:r>
      <w:r>
        <w:rPr>
          <w:color w:val="333333"/>
          <w:spacing w:val="-15"/>
        </w:rPr>
        <w:t xml:space="preserve"> </w:t>
      </w:r>
      <w:r>
        <w:rPr>
          <w:color w:val="333333"/>
        </w:rPr>
        <w:t>3.5.3</w:t>
      </w:r>
      <w:r>
        <w:rPr>
          <w:color w:val="333333"/>
          <w:spacing w:val="-11"/>
        </w:rPr>
        <w:t xml:space="preserve"> </w:t>
      </w:r>
      <w:r>
        <w:rPr>
          <w:color w:val="333333"/>
          <w:spacing w:val="-11"/>
        </w:rPr>
        <w:t>条、第</w:t>
      </w:r>
      <w:r>
        <w:rPr>
          <w:color w:val="333333"/>
          <w:spacing w:val="-11"/>
        </w:rPr>
        <w:t xml:space="preserve"> </w:t>
      </w:r>
      <w:r>
        <w:rPr>
          <w:color w:val="333333"/>
        </w:rPr>
        <w:t>4.2.1</w:t>
      </w:r>
      <w:r>
        <w:rPr>
          <w:color w:val="333333"/>
          <w:spacing w:val="-11"/>
        </w:rPr>
        <w:t xml:space="preserve"> </w:t>
      </w:r>
      <w:r>
        <w:rPr>
          <w:color w:val="333333"/>
          <w:spacing w:val="-11"/>
        </w:rPr>
        <w:t>条和第</w:t>
      </w:r>
      <w:r>
        <w:rPr>
          <w:color w:val="333333"/>
          <w:spacing w:val="-11"/>
        </w:rPr>
        <w:t xml:space="preserve"> </w:t>
      </w:r>
      <w:r>
        <w:rPr>
          <w:color w:val="333333"/>
        </w:rPr>
        <w:t>5.2.2</w:t>
      </w:r>
      <w:r>
        <w:rPr>
          <w:color w:val="333333"/>
          <w:spacing w:val="-3"/>
        </w:rPr>
        <w:t xml:space="preserve"> </w:t>
      </w:r>
      <w:r>
        <w:rPr>
          <w:color w:val="333333"/>
          <w:spacing w:val="-3"/>
        </w:rPr>
        <w:t>条允许减小的条件时，仍不应减小。</w:t>
      </w:r>
      <w:r>
        <w:rPr>
          <w:b/>
          <w:spacing w:val="-3"/>
        </w:rPr>
        <w:t xml:space="preserve">5.3 </w:t>
      </w:r>
      <w:r>
        <w:rPr>
          <w:spacing w:val="-3"/>
        </w:rPr>
        <w:t>防火分区和层数</w:t>
      </w:r>
      <w:r>
        <w:rPr>
          <w:b/>
          <w:w w:val="99"/>
        </w:rPr>
        <w:t xml:space="preserve"> </w:t>
      </w:r>
    </w:p>
    <w:p w14:paraId="5F3C6B44" w14:textId="77777777" w:rsidR="00A71EEF" w:rsidRDefault="0081115D">
      <w:pPr>
        <w:pStyle w:val="a3"/>
        <w:spacing w:line="446" w:lineRule="auto"/>
        <w:ind w:left="418" w:right="1604" w:firstLine="422"/>
        <w:jc w:val="both"/>
      </w:pPr>
      <w:r>
        <w:rPr>
          <w:b/>
          <w:color w:val="333333"/>
        </w:rPr>
        <w:t xml:space="preserve">5.3.1 </w:t>
      </w:r>
      <w:r>
        <w:rPr>
          <w:color w:val="333333"/>
        </w:rPr>
        <w:t>除本规范另有规定外，不同耐火等级建筑的允许建筑高度或层数、防火分区最大允许建筑面积应符合表</w:t>
      </w:r>
      <w:r>
        <w:rPr>
          <w:color w:val="333333"/>
        </w:rPr>
        <w:t xml:space="preserve"> 5.3.1 </w:t>
      </w:r>
      <w:r>
        <w:rPr>
          <w:color w:val="333333"/>
        </w:rPr>
        <w:t>的规定。</w:t>
      </w:r>
      <w:r>
        <w:rPr>
          <w:color w:val="333333"/>
        </w:rPr>
        <w:t xml:space="preserve"> </w:t>
      </w:r>
    </w:p>
    <w:p w14:paraId="2BEBF143" w14:textId="77777777" w:rsidR="00A71EEF" w:rsidRDefault="0081115D">
      <w:pPr>
        <w:pStyle w:val="6"/>
        <w:spacing w:line="267" w:lineRule="exact"/>
        <w:ind w:left="840"/>
        <w:jc w:val="both"/>
      </w:pPr>
      <w:r>
        <w:t>表</w:t>
      </w:r>
      <w:r>
        <w:t xml:space="preserve"> 5.3.1 </w:t>
      </w:r>
      <w:r>
        <w:t>不同耐火等级建筑的允许建筑高度或层数、防火分区最大允许建筑面积</w:t>
      </w:r>
      <w:r>
        <w:rPr>
          <w:w w:val="99"/>
        </w:rPr>
        <w:t xml:space="preserve"> </w:t>
      </w:r>
    </w:p>
    <w:p w14:paraId="15935DDA" w14:textId="77777777" w:rsidR="00A71EEF" w:rsidRDefault="00A71EEF">
      <w:pPr>
        <w:pStyle w:val="a3"/>
        <w:rPr>
          <w:b/>
          <w:sz w:val="20"/>
        </w:rPr>
      </w:pPr>
    </w:p>
    <w:p w14:paraId="518424C0" w14:textId="77777777" w:rsidR="00A71EEF" w:rsidRDefault="0081115D">
      <w:pPr>
        <w:pStyle w:val="a3"/>
        <w:spacing w:before="4"/>
        <w:rPr>
          <w:b/>
          <w:sz w:val="16"/>
        </w:rPr>
      </w:pPr>
      <w:r>
        <w:rPr>
          <w:noProof/>
        </w:rPr>
        <w:drawing>
          <wp:anchor distT="0" distB="0" distL="0" distR="0" simplePos="0" relativeHeight="251538944" behindDoc="0" locked="0" layoutInCell="1" allowOverlap="1" wp14:anchorId="58C986A8" wp14:editId="463FCE32">
            <wp:simplePos x="0" y="0"/>
            <wp:positionH relativeFrom="page">
              <wp:posOffset>1179830</wp:posOffset>
            </wp:positionH>
            <wp:positionV relativeFrom="paragraph">
              <wp:posOffset>157813</wp:posOffset>
            </wp:positionV>
            <wp:extent cx="5524500" cy="2486025"/>
            <wp:effectExtent l="0" t="0" r="0" b="0"/>
            <wp:wrapTopAndBottom/>
            <wp:docPr id="211" name="image1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33.jpeg"/>
                    <pic:cNvPicPr/>
                  </pic:nvPicPr>
                  <pic:blipFill>
                    <a:blip r:embed="rId132" cstate="print"/>
                    <a:stretch>
                      <a:fillRect/>
                    </a:stretch>
                  </pic:blipFill>
                  <pic:spPr>
                    <a:xfrm>
                      <a:off x="0" y="0"/>
                      <a:ext cx="5524500" cy="2486025"/>
                    </a:xfrm>
                    <a:prstGeom prst="rect">
                      <a:avLst/>
                    </a:prstGeom>
                  </pic:spPr>
                </pic:pic>
              </a:graphicData>
            </a:graphic>
          </wp:anchor>
        </w:drawing>
      </w:r>
    </w:p>
    <w:p w14:paraId="5582A833" w14:textId="77777777" w:rsidR="00A71EEF" w:rsidRDefault="0081115D">
      <w:pPr>
        <w:pStyle w:val="a3"/>
        <w:spacing w:before="164" w:line="446" w:lineRule="auto"/>
        <w:ind w:left="418" w:right="1609" w:firstLine="419"/>
      </w:pPr>
      <w:r>
        <w:rPr>
          <w:color w:val="333333"/>
        </w:rPr>
        <w:t>注：</w:t>
      </w:r>
      <w:r>
        <w:rPr>
          <w:color w:val="333333"/>
        </w:rPr>
        <w:t>1.</w:t>
      </w:r>
      <w:r>
        <w:rPr>
          <w:color w:val="333333"/>
        </w:rPr>
        <w:t>表中规定的防火分区最大允许建筑面积，当建筑内设置自动灭火系统时，可按本表的规定增加</w:t>
      </w:r>
      <w:r>
        <w:rPr>
          <w:color w:val="333333"/>
        </w:rPr>
        <w:t xml:space="preserve"> 1.0 </w:t>
      </w:r>
      <w:r>
        <w:rPr>
          <w:color w:val="333333"/>
        </w:rPr>
        <w:t>倍；局部设置时，防火分区的增加面积可按该局部面积的</w:t>
      </w:r>
      <w:r>
        <w:rPr>
          <w:color w:val="333333"/>
        </w:rPr>
        <w:t xml:space="preserve"> 1.0 </w:t>
      </w:r>
      <w:r>
        <w:rPr>
          <w:color w:val="333333"/>
        </w:rPr>
        <w:t>倍计算。</w:t>
      </w:r>
      <w:r>
        <w:rPr>
          <w:color w:val="333333"/>
        </w:rPr>
        <w:t xml:space="preserve"> </w:t>
      </w:r>
    </w:p>
    <w:p w14:paraId="107B8D30" w14:textId="77777777" w:rsidR="00A71EEF" w:rsidRDefault="0081115D">
      <w:pPr>
        <w:pStyle w:val="a3"/>
        <w:spacing w:line="446" w:lineRule="auto"/>
        <w:ind w:left="418" w:right="1817" w:firstLine="419"/>
      </w:pPr>
      <w:r>
        <w:rPr>
          <w:color w:val="333333"/>
        </w:rPr>
        <w:t>2.</w:t>
      </w:r>
      <w:r>
        <w:rPr>
          <w:color w:val="333333"/>
        </w:rPr>
        <w:t>裙房与高层建筑主体之间设置防火墙时，裙房的防火分区可按单、多层建筑的要求确定。</w:t>
      </w:r>
      <w:r>
        <w:rPr>
          <w:color w:val="333333"/>
        </w:rPr>
        <w:t xml:space="preserve"> </w:t>
      </w:r>
    </w:p>
    <w:p w14:paraId="6EE42A0D" w14:textId="77777777" w:rsidR="00A71EEF" w:rsidRDefault="00A71EEF">
      <w:pPr>
        <w:spacing w:line="446" w:lineRule="auto"/>
        <w:sectPr w:rsidR="00A71EEF">
          <w:pgSz w:w="11910" w:h="16850"/>
          <w:pgMar w:top="1220" w:right="0" w:bottom="1420" w:left="1260" w:header="0" w:footer="1239" w:gutter="0"/>
          <w:cols w:space="720"/>
        </w:sectPr>
      </w:pPr>
    </w:p>
    <w:p w14:paraId="422E16BB" w14:textId="77777777" w:rsidR="00A71EEF" w:rsidRDefault="0081115D">
      <w:pPr>
        <w:pStyle w:val="a3"/>
        <w:spacing w:before="47"/>
        <w:ind w:left="840"/>
      </w:pPr>
      <w:r>
        <w:rPr>
          <w:b/>
          <w:color w:val="333333"/>
        </w:rPr>
        <w:lastRenderedPageBreak/>
        <w:t xml:space="preserve">5.3.1 </w:t>
      </w:r>
      <w:r>
        <w:rPr>
          <w:color w:val="333333"/>
        </w:rPr>
        <w:t>独立建造的一、二级耐火等级老年人照料设施的建筑高度不宜大于</w:t>
      </w:r>
      <w:r>
        <w:rPr>
          <w:color w:val="333333"/>
        </w:rPr>
        <w:t xml:space="preserve"> 32m</w:t>
      </w:r>
      <w:r>
        <w:rPr>
          <w:color w:val="333333"/>
        </w:rPr>
        <w:t>，不应大于</w:t>
      </w:r>
    </w:p>
    <w:p w14:paraId="7D2ACDE2" w14:textId="77777777" w:rsidR="00A71EEF" w:rsidRDefault="00A71EEF">
      <w:pPr>
        <w:pStyle w:val="a3"/>
        <w:rPr>
          <w:sz w:val="18"/>
        </w:rPr>
      </w:pPr>
    </w:p>
    <w:p w14:paraId="6E296204" w14:textId="77777777" w:rsidR="00A71EEF" w:rsidRDefault="0081115D">
      <w:pPr>
        <w:pStyle w:val="a3"/>
        <w:ind w:left="418"/>
      </w:pPr>
      <w:r>
        <w:rPr>
          <w:color w:val="333333"/>
        </w:rPr>
        <w:t>54m</w:t>
      </w:r>
      <w:r>
        <w:rPr>
          <w:color w:val="333333"/>
        </w:rPr>
        <w:t>；独立建造的三级耐火等级老年人照料设施，不应超过</w:t>
      </w:r>
      <w:r>
        <w:rPr>
          <w:color w:val="333333"/>
        </w:rPr>
        <w:t xml:space="preserve"> 2 </w:t>
      </w:r>
      <w:r>
        <w:rPr>
          <w:color w:val="333333"/>
        </w:rPr>
        <w:t>层。</w:t>
      </w:r>
      <w:r>
        <w:rPr>
          <w:color w:val="333333"/>
        </w:rPr>
        <w:t xml:space="preserve"> </w:t>
      </w:r>
    </w:p>
    <w:p w14:paraId="44A22AAA" w14:textId="77777777" w:rsidR="00A71EEF" w:rsidRDefault="00A71EEF">
      <w:pPr>
        <w:pStyle w:val="a3"/>
        <w:rPr>
          <w:sz w:val="18"/>
        </w:rPr>
      </w:pPr>
    </w:p>
    <w:p w14:paraId="1C4B954D" w14:textId="77777777" w:rsidR="00A71EEF" w:rsidRDefault="0081115D">
      <w:pPr>
        <w:pStyle w:val="a3"/>
        <w:spacing w:line="446" w:lineRule="auto"/>
        <w:ind w:left="418" w:right="1604" w:firstLine="419"/>
      </w:pPr>
      <w:r>
        <w:rPr>
          <w:color w:val="333333"/>
        </w:rPr>
        <w:t xml:space="preserve"> </w:t>
      </w:r>
      <w:r>
        <w:rPr>
          <w:color w:val="333333"/>
        </w:rPr>
        <w:t xml:space="preserve"> </w:t>
      </w:r>
      <w:r>
        <w:rPr>
          <w:color w:val="333333"/>
        </w:rPr>
        <w:t xml:space="preserve"> </w:t>
      </w:r>
      <w:r>
        <w:rPr>
          <w:b/>
          <w:color w:val="333333"/>
          <w:w w:val="99"/>
        </w:rPr>
        <w:t xml:space="preserve"> </w:t>
      </w:r>
      <w:r>
        <w:rPr>
          <w:b/>
          <w:color w:val="333333"/>
        </w:rPr>
        <w:t xml:space="preserve"> 5.3.2 </w:t>
      </w:r>
      <w:r>
        <w:rPr>
          <w:color w:val="333333"/>
        </w:rPr>
        <w:t>建筑内设置自动扶梯、敞开楼梯等上、下层相连通的开口时，其防火分区的建筑面积应按上、下层相连通的建筑面积叠加计算；当叠加计算后的建筑面积大于本规范第</w:t>
      </w:r>
      <w:r>
        <w:rPr>
          <w:color w:val="333333"/>
        </w:rPr>
        <w:t xml:space="preserve">5.3.1 </w:t>
      </w:r>
      <w:r>
        <w:rPr>
          <w:color w:val="333333"/>
        </w:rPr>
        <w:t>条的规定时，应划分防火分区。</w:t>
      </w:r>
      <w:r>
        <w:rPr>
          <w:color w:val="333333"/>
        </w:rPr>
        <w:t xml:space="preserve"> </w:t>
      </w:r>
    </w:p>
    <w:p w14:paraId="1AAB60C6" w14:textId="77777777" w:rsidR="00A71EEF" w:rsidRDefault="0081115D">
      <w:pPr>
        <w:pStyle w:val="a3"/>
        <w:spacing w:line="446" w:lineRule="auto"/>
        <w:ind w:left="418" w:right="1611" w:firstLine="419"/>
      </w:pPr>
      <w:r>
        <w:rPr>
          <w:color w:val="333333"/>
        </w:rPr>
        <w:t>建筑内设置中庭时，其防火分区的建筑面积应按上、下层相连通的建筑面积叠加计算；当叠加计算后的建筑面积大于本规范第</w:t>
      </w:r>
      <w:r>
        <w:rPr>
          <w:color w:val="333333"/>
        </w:rPr>
        <w:t xml:space="preserve"> 5.3.1 </w:t>
      </w:r>
      <w:r>
        <w:rPr>
          <w:color w:val="333333"/>
        </w:rPr>
        <w:t>条的规定时，应符合下列规定：</w:t>
      </w:r>
      <w:r>
        <w:rPr>
          <w:color w:val="333333"/>
        </w:rPr>
        <w:t xml:space="preserve"> </w:t>
      </w:r>
    </w:p>
    <w:p w14:paraId="3BAC4F71" w14:textId="77777777" w:rsidR="00A71EEF" w:rsidRDefault="0081115D">
      <w:pPr>
        <w:pStyle w:val="a3"/>
        <w:spacing w:line="446" w:lineRule="auto"/>
        <w:ind w:left="418" w:right="1452" w:firstLine="419"/>
      </w:pPr>
      <w:r>
        <w:rPr>
          <w:color w:val="333333"/>
          <w:spacing w:val="-4"/>
        </w:rPr>
        <w:t>与周围连通空间应进行防火分隔：采用防火隔墙时，其耐火极限不应低于</w:t>
      </w:r>
      <w:r>
        <w:rPr>
          <w:color w:val="333333"/>
          <w:spacing w:val="-4"/>
        </w:rPr>
        <w:t xml:space="preserve"> </w:t>
      </w:r>
      <w:r>
        <w:rPr>
          <w:color w:val="333333"/>
        </w:rPr>
        <w:t>1.00h</w:t>
      </w:r>
      <w:r>
        <w:rPr>
          <w:color w:val="333333"/>
          <w:spacing w:val="-1"/>
        </w:rPr>
        <w:t>；采用防火</w:t>
      </w:r>
      <w:r>
        <w:rPr>
          <w:color w:val="333333"/>
          <w:spacing w:val="-6"/>
        </w:rPr>
        <w:t>玻璃墙时，其耐火隔热性和耐火完整性不应低于</w:t>
      </w:r>
      <w:r>
        <w:rPr>
          <w:color w:val="333333"/>
          <w:spacing w:val="-6"/>
        </w:rPr>
        <w:t xml:space="preserve"> </w:t>
      </w:r>
      <w:r>
        <w:rPr>
          <w:color w:val="333333"/>
        </w:rPr>
        <w:t>1.00h</w:t>
      </w:r>
      <w:r>
        <w:rPr>
          <w:color w:val="333333"/>
          <w:spacing w:val="-7"/>
        </w:rPr>
        <w:t>，采用耐火完整性不低于</w:t>
      </w:r>
      <w:r>
        <w:rPr>
          <w:color w:val="333333"/>
          <w:spacing w:val="-7"/>
        </w:rPr>
        <w:t xml:space="preserve"> </w:t>
      </w:r>
      <w:r>
        <w:rPr>
          <w:color w:val="333333"/>
        </w:rPr>
        <w:t xml:space="preserve">1.00h </w:t>
      </w:r>
      <w:r>
        <w:rPr>
          <w:color w:val="333333"/>
        </w:rPr>
        <w:t>的非隔</w:t>
      </w:r>
      <w:r>
        <w:rPr>
          <w:color w:val="333333"/>
          <w:spacing w:val="-3"/>
        </w:rPr>
        <w:t>热性防火玻璃墙时，应设置自动喷水灭火系统进行保护；采用防火卷帘时，其耐火极限不应低</w:t>
      </w:r>
      <w:r>
        <w:rPr>
          <w:color w:val="333333"/>
          <w:spacing w:val="-3"/>
        </w:rPr>
        <w:t xml:space="preserve"> </w:t>
      </w:r>
      <w:r>
        <w:rPr>
          <w:color w:val="333333"/>
          <w:spacing w:val="-26"/>
        </w:rPr>
        <w:t>于</w:t>
      </w:r>
      <w:r>
        <w:rPr>
          <w:color w:val="333333"/>
          <w:spacing w:val="-26"/>
        </w:rPr>
        <w:t xml:space="preserve"> </w:t>
      </w:r>
      <w:r>
        <w:rPr>
          <w:color w:val="333333"/>
        </w:rPr>
        <w:t>3.00h</w:t>
      </w:r>
      <w:r>
        <w:rPr>
          <w:color w:val="333333"/>
          <w:spacing w:val="-8"/>
        </w:rPr>
        <w:t>，并应符合本规范第</w:t>
      </w:r>
      <w:r>
        <w:rPr>
          <w:color w:val="333333"/>
          <w:spacing w:val="-8"/>
        </w:rPr>
        <w:t xml:space="preserve"> </w:t>
      </w:r>
      <w:r>
        <w:rPr>
          <w:color w:val="333333"/>
        </w:rPr>
        <w:t>6.5.3</w:t>
      </w:r>
      <w:r>
        <w:rPr>
          <w:color w:val="333333"/>
          <w:spacing w:val="-3"/>
        </w:rPr>
        <w:t xml:space="preserve"> </w:t>
      </w:r>
      <w:r>
        <w:rPr>
          <w:color w:val="333333"/>
          <w:spacing w:val="-3"/>
        </w:rPr>
        <w:t>条的规定；与中庭相连通的门、窗，应采用火灾时能自行关闭的甲级防火门、窗；</w:t>
      </w:r>
      <w:r>
        <w:rPr>
          <w:color w:val="333333"/>
        </w:rPr>
        <w:t xml:space="preserve">  </w:t>
      </w:r>
      <w:r>
        <w:rPr>
          <w:color w:val="333333"/>
        </w:rPr>
        <w:t xml:space="preserve"> </w:t>
      </w:r>
      <w:r>
        <w:rPr>
          <w:color w:val="333333"/>
          <w:spacing w:val="-2"/>
        </w:rPr>
        <w:t xml:space="preserve"> </w:t>
      </w:r>
      <w:r>
        <w:rPr>
          <w:color w:val="333333"/>
        </w:rPr>
        <w:t xml:space="preserve"> </w:t>
      </w:r>
    </w:p>
    <w:p w14:paraId="5C706EC7" w14:textId="77777777" w:rsidR="00A71EEF" w:rsidRDefault="0081115D">
      <w:pPr>
        <w:pStyle w:val="a3"/>
        <w:spacing w:line="446" w:lineRule="auto"/>
        <w:ind w:left="838" w:right="3186"/>
      </w:pPr>
      <w:r>
        <w:rPr>
          <w:color w:val="333333"/>
          <w:spacing w:val="-3"/>
        </w:rPr>
        <w:t>高层建筑内的中庭回廊应设置自动喷水灭火系统和火灾自动报警系统；</w:t>
      </w:r>
      <w:r>
        <w:rPr>
          <w:color w:val="333333"/>
          <w:spacing w:val="-3"/>
        </w:rPr>
        <w:t xml:space="preserve"> </w:t>
      </w:r>
      <w:r>
        <w:rPr>
          <w:color w:val="333333"/>
          <w:spacing w:val="-3"/>
        </w:rPr>
        <w:t>中庭应设置排烟设施；</w:t>
      </w:r>
      <w:r>
        <w:rPr>
          <w:color w:val="333333"/>
        </w:rPr>
        <w:t xml:space="preserve"> </w:t>
      </w:r>
    </w:p>
    <w:p w14:paraId="6056A221" w14:textId="77777777" w:rsidR="00A71EEF" w:rsidRDefault="0081115D">
      <w:pPr>
        <w:pStyle w:val="a3"/>
        <w:spacing w:line="267" w:lineRule="exact"/>
        <w:ind w:left="838"/>
      </w:pPr>
      <w:r>
        <w:rPr>
          <w:color w:val="333333"/>
        </w:rPr>
        <w:t>中庭内不应布置可燃物。</w:t>
      </w:r>
      <w:r>
        <w:rPr>
          <w:color w:val="333333"/>
        </w:rPr>
        <w:t xml:space="preserve"> </w:t>
      </w:r>
    </w:p>
    <w:p w14:paraId="7696C405" w14:textId="77777777" w:rsidR="00A71EEF" w:rsidRDefault="00A71EEF">
      <w:pPr>
        <w:pStyle w:val="a3"/>
        <w:spacing w:before="12"/>
        <w:rPr>
          <w:sz w:val="17"/>
        </w:rPr>
      </w:pPr>
    </w:p>
    <w:p w14:paraId="10EAF393" w14:textId="77777777" w:rsidR="00A71EEF" w:rsidRDefault="0081115D">
      <w:pPr>
        <w:pStyle w:val="a4"/>
        <w:numPr>
          <w:ilvl w:val="2"/>
          <w:numId w:val="727"/>
        </w:numPr>
        <w:tabs>
          <w:tab w:val="left" w:pos="1371"/>
        </w:tabs>
        <w:spacing w:line="446" w:lineRule="auto"/>
        <w:ind w:right="1604" w:firstLine="422"/>
        <w:rPr>
          <w:sz w:val="21"/>
        </w:rPr>
      </w:pPr>
      <w:r>
        <w:rPr>
          <w:color w:val="333333"/>
          <w:spacing w:val="-3"/>
          <w:sz w:val="21"/>
        </w:rPr>
        <w:t>防火分区之间应采用防火墙分隔，确有困难时，可采用防火卷帘等防火分隔设施分</w:t>
      </w:r>
      <w:r>
        <w:rPr>
          <w:color w:val="333333"/>
          <w:spacing w:val="-6"/>
          <w:sz w:val="21"/>
        </w:rPr>
        <w:t>隔。采用防火卷</w:t>
      </w:r>
      <w:r>
        <w:rPr>
          <w:color w:val="333333"/>
          <w:spacing w:val="-6"/>
          <w:sz w:val="21"/>
        </w:rPr>
        <w:t>帘分隔时，应符合本规范第</w:t>
      </w:r>
      <w:r>
        <w:rPr>
          <w:color w:val="333333"/>
          <w:spacing w:val="-6"/>
          <w:sz w:val="21"/>
        </w:rPr>
        <w:t xml:space="preserve"> </w:t>
      </w:r>
      <w:r>
        <w:rPr>
          <w:color w:val="333333"/>
          <w:sz w:val="21"/>
        </w:rPr>
        <w:t>6.5.3</w:t>
      </w:r>
      <w:r>
        <w:rPr>
          <w:color w:val="333333"/>
          <w:spacing w:val="-3"/>
          <w:sz w:val="21"/>
        </w:rPr>
        <w:t xml:space="preserve"> </w:t>
      </w:r>
      <w:r>
        <w:rPr>
          <w:color w:val="333333"/>
          <w:spacing w:val="-3"/>
          <w:sz w:val="21"/>
        </w:rPr>
        <w:t>条的规定。</w:t>
      </w:r>
      <w:r>
        <w:rPr>
          <w:color w:val="333333"/>
          <w:sz w:val="21"/>
        </w:rPr>
        <w:t xml:space="preserve"> </w:t>
      </w:r>
    </w:p>
    <w:p w14:paraId="208EF657" w14:textId="77777777" w:rsidR="00A71EEF" w:rsidRDefault="0081115D">
      <w:pPr>
        <w:pStyle w:val="a4"/>
        <w:numPr>
          <w:ilvl w:val="2"/>
          <w:numId w:val="727"/>
        </w:numPr>
        <w:tabs>
          <w:tab w:val="left" w:pos="1370"/>
        </w:tabs>
        <w:spacing w:line="446" w:lineRule="auto"/>
        <w:ind w:right="1604" w:firstLine="422"/>
        <w:rPr>
          <w:sz w:val="21"/>
        </w:rPr>
      </w:pPr>
      <w:r>
        <w:rPr>
          <w:color w:val="333333"/>
          <w:spacing w:val="-3"/>
          <w:sz w:val="21"/>
        </w:rPr>
        <w:t>一、二级耐火等级建筑内的商店营业厅、展览厅，当设置自动灭火系统和火灾自动报警系统并采用不燃或难燃装修材料时，其每个防火分区的最大允许建筑面积应符合下列规</w:t>
      </w:r>
      <w:r>
        <w:rPr>
          <w:color w:val="333333"/>
          <w:spacing w:val="-3"/>
          <w:sz w:val="21"/>
        </w:rPr>
        <w:t xml:space="preserve"> </w:t>
      </w:r>
      <w:r>
        <w:rPr>
          <w:color w:val="333333"/>
          <w:spacing w:val="-3"/>
          <w:sz w:val="21"/>
        </w:rPr>
        <w:t>定：</w:t>
      </w:r>
      <w:r>
        <w:rPr>
          <w:color w:val="333333"/>
          <w:sz w:val="21"/>
        </w:rPr>
        <w:t xml:space="preserve"> </w:t>
      </w:r>
    </w:p>
    <w:p w14:paraId="278D3A54" w14:textId="77777777" w:rsidR="00A71EEF" w:rsidRDefault="0081115D">
      <w:pPr>
        <w:pStyle w:val="a3"/>
        <w:spacing w:line="268" w:lineRule="exact"/>
        <w:ind w:left="838"/>
      </w:pPr>
      <w:r>
        <w:rPr>
          <w:color w:val="333333"/>
        </w:rPr>
        <w:t>设置在高层建筑内时，不应大于</w:t>
      </w:r>
      <w:r>
        <w:rPr>
          <w:color w:val="333333"/>
        </w:rPr>
        <w:t xml:space="preserve"> 4000m</w:t>
      </w:r>
      <w:r>
        <w:rPr>
          <w:color w:val="333333"/>
          <w:position w:val="11"/>
          <w:sz w:val="11"/>
        </w:rPr>
        <w:t>2</w:t>
      </w:r>
      <w:r>
        <w:rPr>
          <w:color w:val="333333"/>
        </w:rPr>
        <w:t>；</w:t>
      </w:r>
      <w:r>
        <w:rPr>
          <w:color w:val="333333"/>
        </w:rPr>
        <w:t xml:space="preserve"> </w:t>
      </w:r>
    </w:p>
    <w:p w14:paraId="7003705F" w14:textId="77777777" w:rsidR="00A71EEF" w:rsidRDefault="00A71EEF">
      <w:pPr>
        <w:pStyle w:val="a3"/>
        <w:spacing w:before="2"/>
        <w:rPr>
          <w:sz w:val="17"/>
        </w:rPr>
      </w:pPr>
    </w:p>
    <w:p w14:paraId="4EFACDC5" w14:textId="77777777" w:rsidR="00A71EEF" w:rsidRDefault="0081115D">
      <w:pPr>
        <w:pStyle w:val="a3"/>
        <w:ind w:left="838"/>
      </w:pPr>
      <w:r>
        <w:rPr>
          <w:color w:val="333333"/>
        </w:rPr>
        <w:t>设置在单层建筑或仅设置在多层建筑的首层内时，不应大于</w:t>
      </w:r>
      <w:r>
        <w:rPr>
          <w:color w:val="333333"/>
        </w:rPr>
        <w:t xml:space="preserve"> 10000m</w:t>
      </w:r>
      <w:r>
        <w:rPr>
          <w:color w:val="333333"/>
          <w:position w:val="11"/>
          <w:sz w:val="11"/>
        </w:rPr>
        <w:t>2</w:t>
      </w:r>
      <w:r>
        <w:rPr>
          <w:color w:val="333333"/>
        </w:rPr>
        <w:t>；</w:t>
      </w:r>
      <w:r>
        <w:rPr>
          <w:color w:val="333333"/>
        </w:rPr>
        <w:t xml:space="preserve"> </w:t>
      </w:r>
    </w:p>
    <w:p w14:paraId="06B4CFB8" w14:textId="77777777" w:rsidR="00A71EEF" w:rsidRDefault="00A71EEF">
      <w:pPr>
        <w:pStyle w:val="a3"/>
        <w:spacing w:before="2"/>
        <w:rPr>
          <w:sz w:val="17"/>
        </w:rPr>
      </w:pPr>
    </w:p>
    <w:p w14:paraId="61916E74" w14:textId="77777777" w:rsidR="00A71EEF" w:rsidRDefault="0081115D">
      <w:pPr>
        <w:pStyle w:val="a3"/>
        <w:spacing w:before="1"/>
        <w:ind w:left="838"/>
      </w:pPr>
      <w:r>
        <w:rPr>
          <w:color w:val="333333"/>
        </w:rPr>
        <w:t>设置在地下或半地下时，不应大于</w:t>
      </w:r>
      <w:r>
        <w:rPr>
          <w:color w:val="333333"/>
        </w:rPr>
        <w:t xml:space="preserve"> 2000m</w:t>
      </w:r>
      <w:r>
        <w:rPr>
          <w:color w:val="333333"/>
          <w:position w:val="11"/>
          <w:sz w:val="11"/>
        </w:rPr>
        <w:t>2</w:t>
      </w:r>
      <w:r>
        <w:rPr>
          <w:color w:val="333333"/>
        </w:rPr>
        <w:t>。</w:t>
      </w:r>
      <w:r>
        <w:rPr>
          <w:color w:val="333333"/>
        </w:rPr>
        <w:t xml:space="preserve"> </w:t>
      </w:r>
    </w:p>
    <w:p w14:paraId="23474337" w14:textId="77777777" w:rsidR="00A71EEF" w:rsidRDefault="00A71EEF">
      <w:pPr>
        <w:pStyle w:val="a3"/>
        <w:spacing w:before="2"/>
        <w:rPr>
          <w:sz w:val="17"/>
        </w:rPr>
      </w:pPr>
    </w:p>
    <w:p w14:paraId="7FEA5E1B" w14:textId="77777777" w:rsidR="00A71EEF" w:rsidRDefault="0081115D">
      <w:pPr>
        <w:pStyle w:val="a4"/>
        <w:numPr>
          <w:ilvl w:val="2"/>
          <w:numId w:val="727"/>
        </w:numPr>
        <w:tabs>
          <w:tab w:val="left" w:pos="1370"/>
        </w:tabs>
        <w:spacing w:line="444" w:lineRule="auto"/>
        <w:ind w:right="1469" w:firstLine="422"/>
        <w:rPr>
          <w:sz w:val="21"/>
        </w:rPr>
      </w:pPr>
      <w:r>
        <w:rPr>
          <w:color w:val="333333"/>
          <w:spacing w:val="-8"/>
          <w:sz w:val="21"/>
        </w:rPr>
        <w:t>总建筑面积大于</w:t>
      </w:r>
      <w:r>
        <w:rPr>
          <w:color w:val="333333"/>
          <w:spacing w:val="-8"/>
          <w:sz w:val="21"/>
        </w:rPr>
        <w:t xml:space="preserve"> </w:t>
      </w:r>
      <w:r>
        <w:rPr>
          <w:color w:val="333333"/>
          <w:sz w:val="21"/>
        </w:rPr>
        <w:t>20000m</w:t>
      </w:r>
      <w:r>
        <w:rPr>
          <w:color w:val="333333"/>
          <w:position w:val="11"/>
          <w:sz w:val="11"/>
        </w:rPr>
        <w:t>2</w:t>
      </w:r>
      <w:r>
        <w:rPr>
          <w:color w:val="333333"/>
          <w:spacing w:val="-25"/>
          <w:position w:val="11"/>
          <w:sz w:val="11"/>
        </w:rPr>
        <w:t xml:space="preserve"> </w:t>
      </w:r>
      <w:r>
        <w:rPr>
          <w:color w:val="333333"/>
          <w:spacing w:val="-3"/>
          <w:sz w:val="21"/>
        </w:rPr>
        <w:t>的地下或半地下商店，应采用无门、窗、洞口的防火墙、耐</w:t>
      </w:r>
      <w:r>
        <w:rPr>
          <w:color w:val="333333"/>
          <w:spacing w:val="-9"/>
          <w:sz w:val="21"/>
        </w:rPr>
        <w:t>火极限不低于</w:t>
      </w:r>
      <w:r>
        <w:rPr>
          <w:color w:val="333333"/>
          <w:spacing w:val="-9"/>
          <w:sz w:val="21"/>
        </w:rPr>
        <w:t xml:space="preserve"> </w:t>
      </w:r>
      <w:r>
        <w:rPr>
          <w:color w:val="333333"/>
          <w:sz w:val="21"/>
        </w:rPr>
        <w:t>2.00h</w:t>
      </w:r>
      <w:r>
        <w:rPr>
          <w:color w:val="333333"/>
          <w:spacing w:val="-10"/>
          <w:sz w:val="21"/>
        </w:rPr>
        <w:t xml:space="preserve"> </w:t>
      </w:r>
      <w:r>
        <w:rPr>
          <w:color w:val="333333"/>
          <w:spacing w:val="-10"/>
          <w:sz w:val="21"/>
        </w:rPr>
        <w:t>的楼板分隔为多个建筑面积不大于</w:t>
      </w:r>
      <w:r>
        <w:rPr>
          <w:color w:val="333333"/>
          <w:spacing w:val="-10"/>
          <w:sz w:val="21"/>
        </w:rPr>
        <w:t xml:space="preserve"> </w:t>
      </w:r>
      <w:r>
        <w:rPr>
          <w:color w:val="333333"/>
          <w:sz w:val="21"/>
        </w:rPr>
        <w:t>20000m</w:t>
      </w:r>
      <w:r>
        <w:rPr>
          <w:color w:val="333333"/>
          <w:position w:val="11"/>
          <w:sz w:val="11"/>
        </w:rPr>
        <w:t>2</w:t>
      </w:r>
      <w:r>
        <w:rPr>
          <w:color w:val="333333"/>
          <w:spacing w:val="-24"/>
          <w:position w:val="11"/>
          <w:sz w:val="11"/>
        </w:rPr>
        <w:t xml:space="preserve"> </w:t>
      </w:r>
      <w:r>
        <w:rPr>
          <w:color w:val="333333"/>
          <w:spacing w:val="-3"/>
          <w:sz w:val="21"/>
        </w:rPr>
        <w:t>的区域。相邻区域确需局部连通时，应采用下沉式广场等室外开敞空间、防火隔间、避难走道、防烟楼梯间等方式进行连通，</w:t>
      </w:r>
      <w:r>
        <w:rPr>
          <w:color w:val="333333"/>
          <w:spacing w:val="-3"/>
          <w:sz w:val="21"/>
        </w:rPr>
        <w:t xml:space="preserve"> </w:t>
      </w:r>
      <w:r>
        <w:rPr>
          <w:color w:val="333333"/>
          <w:spacing w:val="-3"/>
          <w:sz w:val="21"/>
        </w:rPr>
        <w:t>并应符合下列规定：</w:t>
      </w:r>
      <w:r>
        <w:rPr>
          <w:color w:val="333333"/>
          <w:sz w:val="21"/>
        </w:rPr>
        <w:t xml:space="preserve"> </w:t>
      </w:r>
    </w:p>
    <w:p w14:paraId="5D293CCD" w14:textId="77777777" w:rsidR="00A71EEF" w:rsidRDefault="00A71EEF">
      <w:pPr>
        <w:spacing w:line="444" w:lineRule="auto"/>
        <w:rPr>
          <w:sz w:val="21"/>
        </w:rPr>
        <w:sectPr w:rsidR="00A71EEF">
          <w:pgSz w:w="11910" w:h="16850"/>
          <w:pgMar w:top="1220" w:right="0" w:bottom="1420" w:left="1260" w:header="0" w:footer="1239" w:gutter="0"/>
          <w:cols w:space="720"/>
        </w:sectPr>
      </w:pPr>
    </w:p>
    <w:p w14:paraId="120E5C38" w14:textId="77777777" w:rsidR="00A71EEF" w:rsidRDefault="0081115D">
      <w:pPr>
        <w:pStyle w:val="a3"/>
        <w:spacing w:before="47" w:line="446" w:lineRule="auto"/>
        <w:ind w:left="418" w:right="1609" w:firstLine="419"/>
      </w:pPr>
      <w:r>
        <w:rPr>
          <w:color w:val="333333"/>
        </w:rPr>
        <w:lastRenderedPageBreak/>
        <w:t>下沉式广场等室外开敞空间应能防止相邻区域的火灾蔓延和便于安全疏散，并应符合本规范第</w:t>
      </w:r>
      <w:r>
        <w:rPr>
          <w:color w:val="333333"/>
        </w:rPr>
        <w:t xml:space="preserve"> 6.4.12 </w:t>
      </w:r>
      <w:r>
        <w:rPr>
          <w:color w:val="333333"/>
        </w:rPr>
        <w:t>条的规定；</w:t>
      </w:r>
      <w:r>
        <w:rPr>
          <w:color w:val="333333"/>
        </w:rPr>
        <w:t xml:space="preserve">   </w:t>
      </w:r>
      <w:r>
        <w:rPr>
          <w:color w:val="333333"/>
        </w:rPr>
        <w:t xml:space="preserve"> </w:t>
      </w:r>
    </w:p>
    <w:p w14:paraId="4BF4785B" w14:textId="77777777" w:rsidR="00A71EEF" w:rsidRDefault="0081115D">
      <w:pPr>
        <w:pStyle w:val="a3"/>
        <w:spacing w:line="446" w:lineRule="auto"/>
        <w:ind w:left="418" w:right="1613" w:firstLine="419"/>
      </w:pPr>
      <w:r>
        <w:rPr>
          <w:color w:val="333333"/>
          <w:spacing w:val="-6"/>
        </w:rPr>
        <w:t>防火隔间的墙应为耐火极限不低于</w:t>
      </w:r>
      <w:r>
        <w:rPr>
          <w:color w:val="333333"/>
          <w:spacing w:val="-6"/>
        </w:rPr>
        <w:t xml:space="preserve"> </w:t>
      </w:r>
      <w:r>
        <w:rPr>
          <w:color w:val="333333"/>
        </w:rPr>
        <w:t>3.00h</w:t>
      </w:r>
      <w:r>
        <w:rPr>
          <w:color w:val="333333"/>
          <w:spacing w:val="-6"/>
        </w:rPr>
        <w:t xml:space="preserve"> </w:t>
      </w:r>
      <w:r>
        <w:rPr>
          <w:color w:val="333333"/>
          <w:spacing w:val="-6"/>
        </w:rPr>
        <w:t>的防火隔墙，并应符合本规范第</w:t>
      </w:r>
      <w:r>
        <w:rPr>
          <w:color w:val="333333"/>
          <w:spacing w:val="-6"/>
        </w:rPr>
        <w:t xml:space="preserve"> </w:t>
      </w:r>
      <w:r>
        <w:rPr>
          <w:color w:val="333333"/>
        </w:rPr>
        <w:t xml:space="preserve">6.4.13 </w:t>
      </w:r>
      <w:r>
        <w:rPr>
          <w:color w:val="333333"/>
        </w:rPr>
        <w:t>条的规定；</w:t>
      </w:r>
      <w:r>
        <w:rPr>
          <w:color w:val="333333"/>
        </w:rPr>
        <w:t xml:space="preserve"> </w:t>
      </w:r>
      <w:r>
        <w:rPr>
          <w:color w:val="333333"/>
          <w:spacing w:val="-2"/>
        </w:rPr>
        <w:t xml:space="preserve"> </w:t>
      </w:r>
      <w:r>
        <w:rPr>
          <w:color w:val="333333"/>
        </w:rPr>
        <w:t xml:space="preserve"> </w:t>
      </w:r>
    </w:p>
    <w:p w14:paraId="7CBA14BF" w14:textId="77777777" w:rsidR="00A71EEF" w:rsidRDefault="0081115D">
      <w:pPr>
        <w:pStyle w:val="a3"/>
        <w:ind w:left="838"/>
      </w:pPr>
      <w:r>
        <w:rPr>
          <w:color w:val="333333"/>
        </w:rPr>
        <w:t>避难走道应符合本规范第</w:t>
      </w:r>
      <w:r>
        <w:rPr>
          <w:color w:val="333333"/>
        </w:rPr>
        <w:t xml:space="preserve"> 6.4.14 </w:t>
      </w:r>
      <w:r>
        <w:rPr>
          <w:color w:val="333333"/>
        </w:rPr>
        <w:t>条的规定；</w:t>
      </w:r>
      <w:r>
        <w:rPr>
          <w:color w:val="333333"/>
        </w:rPr>
        <w:t xml:space="preserve"> </w:t>
      </w:r>
    </w:p>
    <w:p w14:paraId="09BACD7D" w14:textId="77777777" w:rsidR="00A71EEF" w:rsidRDefault="00A71EEF">
      <w:pPr>
        <w:pStyle w:val="a3"/>
        <w:spacing w:before="10"/>
        <w:rPr>
          <w:sz w:val="17"/>
        </w:rPr>
      </w:pPr>
    </w:p>
    <w:p w14:paraId="5E69EFAD" w14:textId="77777777" w:rsidR="00A71EEF" w:rsidRDefault="0081115D">
      <w:pPr>
        <w:pStyle w:val="a3"/>
        <w:ind w:left="838"/>
      </w:pPr>
      <w:r>
        <w:rPr>
          <w:color w:val="333333"/>
        </w:rPr>
        <w:t>防烟楼梯间的门应采用甲级防火门。</w:t>
      </w:r>
      <w:r>
        <w:rPr>
          <w:color w:val="333333"/>
        </w:rPr>
        <w:t xml:space="preserve"> </w:t>
      </w:r>
    </w:p>
    <w:p w14:paraId="211CB3B0" w14:textId="77777777" w:rsidR="00A71EEF" w:rsidRDefault="00A71EEF">
      <w:pPr>
        <w:pStyle w:val="a3"/>
        <w:spacing w:before="2"/>
        <w:rPr>
          <w:sz w:val="18"/>
        </w:rPr>
      </w:pPr>
    </w:p>
    <w:p w14:paraId="652639BB" w14:textId="77777777" w:rsidR="00A71EEF" w:rsidRDefault="0081115D">
      <w:pPr>
        <w:pStyle w:val="a4"/>
        <w:numPr>
          <w:ilvl w:val="2"/>
          <w:numId w:val="727"/>
        </w:numPr>
        <w:tabs>
          <w:tab w:val="left" w:pos="1371"/>
        </w:tabs>
        <w:spacing w:line="446" w:lineRule="auto"/>
        <w:ind w:right="1604" w:firstLine="422"/>
        <w:rPr>
          <w:sz w:val="21"/>
        </w:rPr>
      </w:pPr>
      <w:r>
        <w:rPr>
          <w:color w:val="333333"/>
          <w:spacing w:val="-3"/>
          <w:sz w:val="21"/>
        </w:rPr>
        <w:t>餐饮、商店等商业设施通过有顶棚的步行街连接，且步行街两侧的建筑需利用步行街进行安全疏散时，应符合下列规定：</w:t>
      </w:r>
      <w:r>
        <w:rPr>
          <w:color w:val="333333"/>
          <w:sz w:val="21"/>
        </w:rPr>
        <w:t xml:space="preserve"> </w:t>
      </w:r>
    </w:p>
    <w:p w14:paraId="0681B020" w14:textId="77777777" w:rsidR="00A71EEF" w:rsidRDefault="0081115D">
      <w:pPr>
        <w:pStyle w:val="a3"/>
        <w:spacing w:line="267" w:lineRule="exact"/>
        <w:ind w:left="838"/>
      </w:pPr>
      <w:r>
        <w:rPr>
          <w:color w:val="333333"/>
        </w:rPr>
        <w:t>步行街两侧建筑的耐火等级不应低于二级；</w:t>
      </w:r>
      <w:r>
        <w:rPr>
          <w:color w:val="333333"/>
        </w:rPr>
        <w:t xml:space="preserve"> </w:t>
      </w:r>
    </w:p>
    <w:p w14:paraId="384E7266" w14:textId="77777777" w:rsidR="00A71EEF" w:rsidRDefault="00A71EEF">
      <w:pPr>
        <w:pStyle w:val="a3"/>
        <w:spacing w:before="2"/>
        <w:rPr>
          <w:sz w:val="18"/>
        </w:rPr>
      </w:pPr>
    </w:p>
    <w:p w14:paraId="3487846E" w14:textId="77777777" w:rsidR="00A71EEF" w:rsidRDefault="0081115D">
      <w:pPr>
        <w:pStyle w:val="a3"/>
        <w:spacing w:line="446" w:lineRule="auto"/>
        <w:ind w:left="418" w:right="1558" w:firstLine="419"/>
        <w:jc w:val="both"/>
      </w:pPr>
      <w:r>
        <w:rPr>
          <w:color w:val="333333"/>
          <w:spacing w:val="-3"/>
        </w:rPr>
        <w:t>步行街两侧建筑相对面的最近距离均不应小于本规范对相应高度建筑的防火间距要求且不</w:t>
      </w:r>
      <w:r>
        <w:rPr>
          <w:color w:val="333333"/>
          <w:spacing w:val="-7"/>
        </w:rPr>
        <w:t>应小于</w:t>
      </w:r>
      <w:r>
        <w:rPr>
          <w:color w:val="333333"/>
          <w:spacing w:val="-7"/>
        </w:rPr>
        <w:t xml:space="preserve"> </w:t>
      </w:r>
      <w:r>
        <w:rPr>
          <w:color w:val="333333"/>
        </w:rPr>
        <w:t>9m</w:t>
      </w:r>
      <w:r>
        <w:rPr>
          <w:color w:val="333333"/>
          <w:spacing w:val="-3"/>
        </w:rPr>
        <w:t>。步行街的端部在各层均不宜封闭，确需封闭时，应在外墙上设置可开启的门窗，且</w:t>
      </w:r>
      <w:r>
        <w:rPr>
          <w:color w:val="333333"/>
          <w:spacing w:val="-5"/>
        </w:rPr>
        <w:t>可开启门窗的面积不应小于该部位外墙面积的一半。步行街的长度不宜大于</w:t>
      </w:r>
      <w:r>
        <w:rPr>
          <w:color w:val="333333"/>
          <w:spacing w:val="-5"/>
        </w:rPr>
        <w:t xml:space="preserve"> </w:t>
      </w:r>
      <w:r>
        <w:rPr>
          <w:color w:val="333333"/>
        </w:rPr>
        <w:t>300m</w:t>
      </w:r>
      <w:r>
        <w:rPr>
          <w:color w:val="333333"/>
        </w:rPr>
        <w:t>；</w:t>
      </w:r>
      <w:r>
        <w:rPr>
          <w:color w:val="333333"/>
        </w:rPr>
        <w:t xml:space="preserve"> </w:t>
      </w:r>
      <w:r>
        <w:rPr>
          <w:color w:val="333333"/>
          <w:spacing w:val="-2"/>
        </w:rPr>
        <w:t xml:space="preserve"> </w:t>
      </w:r>
      <w:r>
        <w:rPr>
          <w:color w:val="333333"/>
        </w:rPr>
        <w:t xml:space="preserve"> </w:t>
      </w:r>
    </w:p>
    <w:p w14:paraId="4DF02D7A" w14:textId="77777777" w:rsidR="00A71EEF" w:rsidRDefault="0081115D">
      <w:pPr>
        <w:pStyle w:val="a3"/>
        <w:spacing w:line="436" w:lineRule="auto"/>
        <w:ind w:left="418" w:right="1611" w:firstLine="419"/>
        <w:jc w:val="both"/>
      </w:pPr>
      <w:r>
        <w:rPr>
          <w:color w:val="333333"/>
          <w:spacing w:val="-5"/>
        </w:rPr>
        <w:t>步行街两侧建筑的商铺之间应设置耐火极限不低于</w:t>
      </w:r>
      <w:r>
        <w:rPr>
          <w:color w:val="333333"/>
          <w:spacing w:val="-5"/>
        </w:rPr>
        <w:t xml:space="preserve"> </w:t>
      </w:r>
      <w:r>
        <w:rPr>
          <w:color w:val="333333"/>
        </w:rPr>
        <w:t>2.00h</w:t>
      </w:r>
      <w:r>
        <w:rPr>
          <w:color w:val="333333"/>
          <w:spacing w:val="-7"/>
        </w:rPr>
        <w:t xml:space="preserve"> </w:t>
      </w:r>
      <w:r>
        <w:rPr>
          <w:color w:val="333333"/>
          <w:spacing w:val="-7"/>
        </w:rPr>
        <w:t>的防火隔墙，每间商铺的建筑面</w:t>
      </w:r>
      <w:r>
        <w:rPr>
          <w:color w:val="333333"/>
          <w:spacing w:val="-13"/>
        </w:rPr>
        <w:t>积不宜大于</w:t>
      </w:r>
      <w:r>
        <w:rPr>
          <w:color w:val="333333"/>
          <w:spacing w:val="-13"/>
        </w:rPr>
        <w:t xml:space="preserve"> </w:t>
      </w:r>
      <w:r>
        <w:rPr>
          <w:color w:val="333333"/>
        </w:rPr>
        <w:t>300m</w:t>
      </w:r>
      <w:r>
        <w:rPr>
          <w:color w:val="333333"/>
          <w:position w:val="11"/>
          <w:sz w:val="11"/>
        </w:rPr>
        <w:t>2</w:t>
      </w:r>
      <w:r>
        <w:rPr>
          <w:color w:val="333333"/>
        </w:rPr>
        <w:t>；</w:t>
      </w:r>
      <w:r>
        <w:rPr>
          <w:color w:val="333333"/>
        </w:rPr>
        <w:t xml:space="preserve"> </w:t>
      </w:r>
      <w:r>
        <w:rPr>
          <w:color w:val="333333"/>
          <w:spacing w:val="-2"/>
        </w:rPr>
        <w:t xml:space="preserve"> </w:t>
      </w:r>
      <w:r>
        <w:rPr>
          <w:color w:val="333333"/>
        </w:rPr>
        <w:t xml:space="preserve"> </w:t>
      </w:r>
    </w:p>
    <w:p w14:paraId="120D8008" w14:textId="77777777" w:rsidR="00A71EEF" w:rsidRDefault="0081115D">
      <w:pPr>
        <w:pStyle w:val="a3"/>
        <w:spacing w:before="8" w:line="446" w:lineRule="auto"/>
        <w:ind w:left="418" w:right="1450" w:firstLine="419"/>
      </w:pPr>
      <w:r>
        <w:rPr>
          <w:color w:val="333333"/>
          <w:spacing w:val="-4"/>
        </w:rPr>
        <w:t>步行街两侧建筑的商铺，其面向步行街一侧的围护构件的耐火极限不应低于</w:t>
      </w:r>
      <w:r>
        <w:rPr>
          <w:color w:val="333333"/>
          <w:spacing w:val="-4"/>
        </w:rPr>
        <w:t xml:space="preserve"> </w:t>
      </w:r>
      <w:r>
        <w:rPr>
          <w:color w:val="333333"/>
        </w:rPr>
        <w:t>1.00h</w:t>
      </w:r>
      <w:r>
        <w:rPr>
          <w:color w:val="333333"/>
          <w:spacing w:val="-2"/>
        </w:rPr>
        <w:t>，并宜采</w:t>
      </w:r>
      <w:r>
        <w:rPr>
          <w:color w:val="333333"/>
          <w:spacing w:val="-3"/>
        </w:rPr>
        <w:t>用实体墙，其门、窗应采用乙级防火门、窗；当采用防火玻璃墙（包括门、窗</w:t>
      </w:r>
      <w:r>
        <w:rPr>
          <w:color w:val="333333"/>
        </w:rPr>
        <w:t>）</w:t>
      </w:r>
      <w:r>
        <w:rPr>
          <w:color w:val="333333"/>
          <w:spacing w:val="-3"/>
        </w:rPr>
        <w:t>时，其耐火隔</w:t>
      </w:r>
      <w:r>
        <w:rPr>
          <w:color w:val="333333"/>
          <w:spacing w:val="-3"/>
        </w:rPr>
        <w:t xml:space="preserve"> </w:t>
      </w:r>
      <w:r>
        <w:rPr>
          <w:color w:val="333333"/>
          <w:spacing w:val="-6"/>
        </w:rPr>
        <w:t>热性和耐火完整性不应低于</w:t>
      </w:r>
      <w:r>
        <w:rPr>
          <w:color w:val="333333"/>
          <w:spacing w:val="-6"/>
        </w:rPr>
        <w:t xml:space="preserve"> </w:t>
      </w:r>
      <w:r>
        <w:rPr>
          <w:color w:val="333333"/>
        </w:rPr>
        <w:t>1.00h</w:t>
      </w:r>
      <w:r>
        <w:rPr>
          <w:color w:val="333333"/>
          <w:spacing w:val="-7"/>
        </w:rPr>
        <w:t>；采用耐火完整性不低于</w:t>
      </w:r>
      <w:r>
        <w:rPr>
          <w:color w:val="333333"/>
          <w:spacing w:val="-7"/>
        </w:rPr>
        <w:t xml:space="preserve"> </w:t>
      </w:r>
      <w:r>
        <w:rPr>
          <w:color w:val="333333"/>
        </w:rPr>
        <w:t>1.00h</w:t>
      </w:r>
      <w:r>
        <w:rPr>
          <w:color w:val="333333"/>
          <w:spacing w:val="-8"/>
        </w:rPr>
        <w:t xml:space="preserve"> </w:t>
      </w:r>
      <w:r>
        <w:rPr>
          <w:color w:val="333333"/>
          <w:spacing w:val="-8"/>
        </w:rPr>
        <w:t>的非隔热性防火玻璃墙</w:t>
      </w:r>
      <w:r>
        <w:rPr>
          <w:color w:val="333333"/>
          <w:spacing w:val="-3"/>
        </w:rPr>
        <w:t>（</w:t>
      </w:r>
      <w:r>
        <w:rPr>
          <w:color w:val="333333"/>
        </w:rPr>
        <w:t>包括</w:t>
      </w:r>
      <w:r>
        <w:rPr>
          <w:color w:val="333333"/>
          <w:spacing w:val="-1"/>
        </w:rPr>
        <w:t>门、窗</w:t>
      </w:r>
      <w:r>
        <w:rPr>
          <w:color w:val="333333"/>
        </w:rPr>
        <w:t>）</w:t>
      </w:r>
      <w:r>
        <w:rPr>
          <w:color w:val="333333"/>
          <w:spacing w:val="-3"/>
        </w:rPr>
        <w:t>时，应设置闭式自动喷水灭火系统进行保护。相邻商铺之间面向步行街一侧应设置宽</w:t>
      </w:r>
      <w:r>
        <w:rPr>
          <w:color w:val="333333"/>
          <w:spacing w:val="-3"/>
        </w:rPr>
        <w:t xml:space="preserve"> </w:t>
      </w:r>
      <w:r>
        <w:rPr>
          <w:color w:val="333333"/>
          <w:spacing w:val="-13"/>
        </w:rPr>
        <w:t>度不小于</w:t>
      </w:r>
      <w:r>
        <w:rPr>
          <w:color w:val="333333"/>
          <w:spacing w:val="-13"/>
        </w:rPr>
        <w:t xml:space="preserve"> </w:t>
      </w:r>
      <w:r>
        <w:rPr>
          <w:color w:val="333333"/>
        </w:rPr>
        <w:t>1.0m</w:t>
      </w:r>
      <w:r>
        <w:rPr>
          <w:color w:val="333333"/>
          <w:spacing w:val="-9"/>
        </w:rPr>
        <w:t>、耐火极限不低于</w:t>
      </w:r>
      <w:r>
        <w:rPr>
          <w:color w:val="333333"/>
          <w:spacing w:val="-9"/>
        </w:rPr>
        <w:t xml:space="preserve"> </w:t>
      </w:r>
      <w:r>
        <w:rPr>
          <w:color w:val="333333"/>
        </w:rPr>
        <w:t>1.00h</w:t>
      </w:r>
      <w:r>
        <w:rPr>
          <w:color w:val="333333"/>
          <w:spacing w:val="-11"/>
        </w:rPr>
        <w:t xml:space="preserve"> </w:t>
      </w:r>
      <w:r>
        <w:rPr>
          <w:color w:val="333333"/>
          <w:spacing w:val="-11"/>
        </w:rPr>
        <w:t>的实体墙。</w:t>
      </w:r>
      <w:r>
        <w:rPr>
          <w:color w:val="333333"/>
        </w:rPr>
        <w:t xml:space="preserve"> </w:t>
      </w:r>
    </w:p>
    <w:p w14:paraId="2AF57D29" w14:textId="77777777" w:rsidR="00A71EEF" w:rsidRDefault="0081115D">
      <w:pPr>
        <w:pStyle w:val="a3"/>
        <w:spacing w:line="446" w:lineRule="auto"/>
        <w:ind w:left="418" w:right="1609" w:firstLine="419"/>
      </w:pPr>
      <w:r>
        <w:rPr>
          <w:color w:val="333333"/>
          <w:spacing w:val="-3"/>
        </w:rPr>
        <w:t>当步行街两侧的建筑为多个楼层时，每层面向步行街一侧的商铺均应设置防止火灾竖向蔓</w:t>
      </w:r>
      <w:r>
        <w:rPr>
          <w:color w:val="333333"/>
          <w:spacing w:val="-7"/>
        </w:rPr>
        <w:t>延的措施，并应符合本规范第</w:t>
      </w:r>
      <w:r>
        <w:rPr>
          <w:color w:val="333333"/>
          <w:spacing w:val="-7"/>
        </w:rPr>
        <w:t xml:space="preserve"> </w:t>
      </w:r>
      <w:r>
        <w:rPr>
          <w:color w:val="333333"/>
        </w:rPr>
        <w:t>6.2.5</w:t>
      </w:r>
      <w:r>
        <w:rPr>
          <w:color w:val="333333"/>
          <w:spacing w:val="-8"/>
        </w:rPr>
        <w:t xml:space="preserve"> </w:t>
      </w:r>
      <w:r>
        <w:rPr>
          <w:color w:val="333333"/>
          <w:spacing w:val="-8"/>
        </w:rPr>
        <w:t>条的规定；设置回廊或挑檐时，其出挑宽度不应小于</w:t>
      </w:r>
      <w:r>
        <w:rPr>
          <w:color w:val="333333"/>
          <w:spacing w:val="-8"/>
        </w:rPr>
        <w:t>1.2m</w:t>
      </w:r>
      <w:r>
        <w:rPr>
          <w:color w:val="333333"/>
          <w:spacing w:val="-5"/>
        </w:rPr>
        <w:t>；步行街两侧的商铺在上部各层需设置回廊和连接天桥时，应保证步行街上部各层的开口</w:t>
      </w:r>
      <w:r>
        <w:rPr>
          <w:color w:val="333333"/>
          <w:spacing w:val="-8"/>
        </w:rPr>
        <w:t>面积不应小于步行街地面面积的</w:t>
      </w:r>
      <w:r>
        <w:rPr>
          <w:color w:val="333333"/>
          <w:spacing w:val="-8"/>
        </w:rPr>
        <w:t xml:space="preserve"> </w:t>
      </w:r>
      <w:r>
        <w:rPr>
          <w:color w:val="333333"/>
        </w:rPr>
        <w:t>37</w:t>
      </w:r>
      <w:r>
        <w:rPr>
          <w:color w:val="333333"/>
          <w:spacing w:val="-3"/>
        </w:rPr>
        <w:t>%</w:t>
      </w:r>
      <w:r>
        <w:rPr>
          <w:color w:val="333333"/>
          <w:spacing w:val="-3"/>
        </w:rPr>
        <w:t>，且开口宜均匀布置；</w:t>
      </w:r>
      <w:r>
        <w:rPr>
          <w:color w:val="333333"/>
          <w:spacing w:val="-3"/>
        </w:rPr>
        <w:t xml:space="preserve"> </w:t>
      </w:r>
      <w:r>
        <w:rPr>
          <w:color w:val="333333"/>
          <w:spacing w:val="-2"/>
        </w:rPr>
        <w:t xml:space="preserve"> </w:t>
      </w:r>
      <w:r>
        <w:rPr>
          <w:color w:val="333333"/>
        </w:rPr>
        <w:t xml:space="preserve"> </w:t>
      </w:r>
      <w:r>
        <w:rPr>
          <w:color w:val="333333"/>
        </w:rPr>
        <w:t xml:space="preserve"> </w:t>
      </w:r>
      <w:r>
        <w:rPr>
          <w:color w:val="333333"/>
          <w:spacing w:val="-3"/>
        </w:rPr>
        <w:t xml:space="preserve"> </w:t>
      </w:r>
      <w:r>
        <w:rPr>
          <w:color w:val="333333"/>
        </w:rPr>
        <w:t xml:space="preserve"> </w:t>
      </w:r>
      <w:r>
        <w:rPr>
          <w:color w:val="333333"/>
        </w:rPr>
        <w:t xml:space="preserve"> </w:t>
      </w:r>
      <w:r>
        <w:rPr>
          <w:color w:val="333333"/>
        </w:rPr>
        <w:t xml:space="preserve"> </w:t>
      </w:r>
      <w:r>
        <w:rPr>
          <w:color w:val="333333"/>
          <w:spacing w:val="-2"/>
        </w:rPr>
        <w:t xml:space="preserve"> </w:t>
      </w:r>
      <w:r>
        <w:rPr>
          <w:color w:val="333333"/>
        </w:rPr>
        <w:t xml:space="preserve"> </w:t>
      </w:r>
    </w:p>
    <w:p w14:paraId="26CF67F6" w14:textId="77777777" w:rsidR="00A71EEF" w:rsidRDefault="0081115D">
      <w:pPr>
        <w:pStyle w:val="a3"/>
        <w:spacing w:line="446" w:lineRule="auto"/>
        <w:ind w:left="418" w:right="1450" w:firstLine="419"/>
        <w:rPr>
          <w:b/>
        </w:rPr>
      </w:pPr>
      <w:r>
        <w:rPr>
          <w:color w:val="333333"/>
          <w:spacing w:val="-3"/>
        </w:rPr>
        <w:t>步行街两侧建筑内的疏散楼梯应靠外墙设置并宜直通</w:t>
      </w:r>
      <w:r>
        <w:rPr>
          <w:color w:val="333333"/>
          <w:spacing w:val="-3"/>
        </w:rPr>
        <w:t>室外，确有困难时，可在首层直接通</w:t>
      </w:r>
      <w:r>
        <w:rPr>
          <w:color w:val="333333"/>
          <w:spacing w:val="-3"/>
        </w:rPr>
        <w:t xml:space="preserve"> </w:t>
      </w:r>
      <w:r>
        <w:rPr>
          <w:color w:val="333333"/>
          <w:spacing w:val="-3"/>
        </w:rPr>
        <w:t>至步行街；首层商铺的疏散门可直接通至步行街，步行街内任一点到达最近室外安全地点的步</w:t>
      </w:r>
      <w:r>
        <w:rPr>
          <w:color w:val="333333"/>
          <w:spacing w:val="-3"/>
        </w:rPr>
        <w:t xml:space="preserve"> </w:t>
      </w:r>
      <w:r>
        <w:rPr>
          <w:color w:val="333333"/>
          <w:spacing w:val="-5"/>
        </w:rPr>
        <w:t>行距离不应大于</w:t>
      </w:r>
      <w:r>
        <w:rPr>
          <w:color w:val="333333"/>
          <w:spacing w:val="-5"/>
        </w:rPr>
        <w:t xml:space="preserve"> </w:t>
      </w:r>
      <w:r>
        <w:rPr>
          <w:color w:val="333333"/>
        </w:rPr>
        <w:t>60m</w:t>
      </w:r>
      <w:r>
        <w:rPr>
          <w:color w:val="333333"/>
          <w:spacing w:val="-3"/>
        </w:rPr>
        <w:t>。步行街两侧建筑二层及以上各层商铺的疏散门至该层最近疏散楼梯口或其</w:t>
      </w:r>
      <w:r>
        <w:rPr>
          <w:color w:val="333333"/>
          <w:spacing w:val="-7"/>
        </w:rPr>
        <w:t>他安全出口的直线距离不应大于</w:t>
      </w:r>
      <w:r>
        <w:rPr>
          <w:color w:val="333333"/>
          <w:spacing w:val="-7"/>
        </w:rPr>
        <w:t xml:space="preserve"> </w:t>
      </w:r>
      <w:r>
        <w:rPr>
          <w:color w:val="333333"/>
        </w:rPr>
        <w:t>37.5m</w:t>
      </w:r>
      <w:r>
        <w:rPr>
          <w:color w:val="333333"/>
        </w:rPr>
        <w:t>；</w:t>
      </w:r>
      <w:r>
        <w:rPr>
          <w:color w:val="333333"/>
        </w:rPr>
        <w:t xml:space="preserve">  </w:t>
      </w:r>
      <w:r>
        <w:rPr>
          <w:color w:val="333333"/>
        </w:rPr>
        <w:t xml:space="preserve"> </w:t>
      </w:r>
      <w:r>
        <w:rPr>
          <w:color w:val="333333"/>
          <w:spacing w:val="-2"/>
        </w:rPr>
        <w:t xml:space="preserve"> </w:t>
      </w:r>
      <w:r>
        <w:rPr>
          <w:b/>
          <w:color w:val="FF0000"/>
          <w:w w:val="99"/>
        </w:rPr>
        <w:t xml:space="preserve"> </w:t>
      </w:r>
    </w:p>
    <w:p w14:paraId="7DD40894" w14:textId="77777777" w:rsidR="00A71EEF" w:rsidRDefault="00A71EEF">
      <w:pPr>
        <w:spacing w:line="446" w:lineRule="auto"/>
        <w:sectPr w:rsidR="00A71EEF">
          <w:pgSz w:w="11910" w:h="16850"/>
          <w:pgMar w:top="1220" w:right="0" w:bottom="1420" w:left="1260" w:header="0" w:footer="1239" w:gutter="0"/>
          <w:cols w:space="720"/>
        </w:sectPr>
      </w:pPr>
    </w:p>
    <w:p w14:paraId="4A5A0928" w14:textId="77777777" w:rsidR="00A71EEF" w:rsidRDefault="0081115D">
      <w:pPr>
        <w:pStyle w:val="a3"/>
        <w:spacing w:before="47" w:line="446" w:lineRule="auto"/>
        <w:ind w:left="418" w:right="1498" w:firstLine="419"/>
      </w:pPr>
      <w:r>
        <w:rPr>
          <w:color w:val="333333"/>
        </w:rPr>
        <w:lastRenderedPageBreak/>
        <w:t xml:space="preserve"> </w:t>
      </w:r>
      <w:r>
        <w:rPr>
          <w:color w:val="333333"/>
        </w:rPr>
        <w:t>步行街的顶棚材料应采用不燃或难燃材料，其承重结构的耐火极限不应低于</w:t>
      </w:r>
      <w:r>
        <w:rPr>
          <w:color w:val="333333"/>
        </w:rPr>
        <w:t xml:space="preserve"> 1.00h</w:t>
      </w:r>
      <w:r>
        <w:rPr>
          <w:color w:val="333333"/>
        </w:rPr>
        <w:t>。步行街内不应布置可燃物；</w:t>
      </w:r>
      <w:r>
        <w:rPr>
          <w:color w:val="333333"/>
        </w:rPr>
        <w:t xml:space="preserve"> </w:t>
      </w:r>
    </w:p>
    <w:p w14:paraId="7B1E12E1" w14:textId="77777777" w:rsidR="00A71EEF" w:rsidRDefault="0081115D">
      <w:pPr>
        <w:pStyle w:val="a3"/>
        <w:spacing w:line="446" w:lineRule="auto"/>
        <w:ind w:left="418" w:right="1450" w:firstLine="419"/>
      </w:pPr>
      <w:r>
        <w:rPr>
          <w:color w:val="333333"/>
          <w:spacing w:val="-6"/>
        </w:rPr>
        <w:t>步行街的顶棚下檐距地面的高度不应小于</w:t>
      </w:r>
      <w:r>
        <w:rPr>
          <w:color w:val="333333"/>
          <w:spacing w:val="-6"/>
        </w:rPr>
        <w:t xml:space="preserve"> </w:t>
      </w:r>
      <w:r>
        <w:rPr>
          <w:color w:val="333333"/>
        </w:rPr>
        <w:t>6.0m</w:t>
      </w:r>
      <w:r>
        <w:rPr>
          <w:color w:val="333333"/>
          <w:spacing w:val="-3"/>
        </w:rPr>
        <w:t>，顶棚应设置自然排烟设施并宜采用常开式</w:t>
      </w:r>
      <w:r>
        <w:rPr>
          <w:color w:val="333333"/>
          <w:spacing w:val="-4"/>
        </w:rPr>
        <w:t>的排烟口，且自然排烟口的有效面积不应小于步行街地面面积的</w:t>
      </w:r>
      <w:r>
        <w:rPr>
          <w:color w:val="333333"/>
          <w:spacing w:val="-4"/>
        </w:rPr>
        <w:t xml:space="preserve"> </w:t>
      </w:r>
      <w:r>
        <w:rPr>
          <w:color w:val="333333"/>
        </w:rPr>
        <w:t>25</w:t>
      </w:r>
      <w:r>
        <w:rPr>
          <w:color w:val="333333"/>
          <w:spacing w:val="-3"/>
        </w:rPr>
        <w:t>%</w:t>
      </w:r>
      <w:r>
        <w:rPr>
          <w:color w:val="333333"/>
          <w:spacing w:val="-3"/>
        </w:rPr>
        <w:t>。常闭式自然排烟设施应能在火灾时手动和自动开启；</w:t>
      </w:r>
      <w:r>
        <w:rPr>
          <w:color w:val="333333"/>
          <w:spacing w:val="-3"/>
        </w:rPr>
        <w:t xml:space="preserve">  </w:t>
      </w:r>
      <w:r>
        <w:rPr>
          <w:color w:val="333333"/>
          <w:spacing w:val="-3"/>
        </w:rPr>
        <w:t xml:space="preserve"> </w:t>
      </w:r>
      <w:r>
        <w:rPr>
          <w:color w:val="333333"/>
          <w:spacing w:val="-2"/>
        </w:rPr>
        <w:t xml:space="preserve"> </w:t>
      </w:r>
      <w:r>
        <w:rPr>
          <w:color w:val="333333"/>
        </w:rPr>
        <w:t xml:space="preserve"> </w:t>
      </w:r>
      <w:r>
        <w:rPr>
          <w:color w:val="333333"/>
        </w:rPr>
        <w:t xml:space="preserve"> </w:t>
      </w:r>
      <w:r>
        <w:rPr>
          <w:color w:val="333333"/>
        </w:rPr>
        <w:t xml:space="preserve"> </w:t>
      </w:r>
      <w:r>
        <w:rPr>
          <w:color w:val="333333"/>
          <w:spacing w:val="-2"/>
        </w:rPr>
        <w:t xml:space="preserve"> </w:t>
      </w:r>
      <w:r>
        <w:rPr>
          <w:color w:val="333333"/>
        </w:rPr>
        <w:t xml:space="preserve">  </w:t>
      </w:r>
      <w:r>
        <w:rPr>
          <w:color w:val="333333"/>
        </w:rPr>
        <w:t xml:space="preserve"> </w:t>
      </w:r>
      <w:r>
        <w:rPr>
          <w:color w:val="333333"/>
          <w:spacing w:val="-3"/>
        </w:rPr>
        <w:t xml:space="preserve"> </w:t>
      </w:r>
      <w:r>
        <w:rPr>
          <w:color w:val="333333"/>
        </w:rPr>
        <w:t xml:space="preserve"> </w:t>
      </w:r>
      <w:r>
        <w:rPr>
          <w:color w:val="333333"/>
          <w:spacing w:val="-2"/>
        </w:rPr>
        <w:t xml:space="preserve"> </w:t>
      </w:r>
      <w:r>
        <w:rPr>
          <w:color w:val="333333"/>
        </w:rPr>
        <w:t xml:space="preserve"> </w:t>
      </w:r>
    </w:p>
    <w:p w14:paraId="4BC7294A" w14:textId="77777777" w:rsidR="00A71EEF" w:rsidRDefault="0081115D">
      <w:pPr>
        <w:pStyle w:val="a3"/>
        <w:spacing w:line="446" w:lineRule="auto"/>
        <w:ind w:left="418" w:right="1505" w:firstLine="419"/>
      </w:pPr>
      <w:r>
        <w:rPr>
          <w:color w:val="333333"/>
          <w:spacing w:val="-6"/>
        </w:rPr>
        <w:t>步行街两侧建筑的商铺外应每隔</w:t>
      </w:r>
      <w:r>
        <w:rPr>
          <w:color w:val="333333"/>
          <w:spacing w:val="-6"/>
        </w:rPr>
        <w:t xml:space="preserve"> </w:t>
      </w:r>
      <w:r>
        <w:rPr>
          <w:color w:val="333333"/>
        </w:rPr>
        <w:t>30m</w:t>
      </w:r>
      <w:r>
        <w:rPr>
          <w:color w:val="333333"/>
          <w:spacing w:val="-23"/>
        </w:rPr>
        <w:t xml:space="preserve"> </w:t>
      </w:r>
      <w:r>
        <w:rPr>
          <w:color w:val="333333"/>
          <w:spacing w:val="-23"/>
        </w:rPr>
        <w:t>设置</w:t>
      </w:r>
      <w:r>
        <w:rPr>
          <w:color w:val="333333"/>
          <w:spacing w:val="-23"/>
        </w:rPr>
        <w:t xml:space="preserve"> </w:t>
      </w:r>
      <w:r>
        <w:rPr>
          <w:color w:val="333333"/>
        </w:rPr>
        <w:t>DN65</w:t>
      </w:r>
      <w:r>
        <w:rPr>
          <w:color w:val="333333"/>
          <w:spacing w:val="-8"/>
        </w:rPr>
        <w:t xml:space="preserve"> </w:t>
      </w:r>
      <w:r>
        <w:rPr>
          <w:color w:val="333333"/>
          <w:spacing w:val="-8"/>
        </w:rPr>
        <w:t>的消火栓，并应配备消防软管卷盘或消防水</w:t>
      </w:r>
      <w:r>
        <w:rPr>
          <w:color w:val="333333"/>
          <w:spacing w:val="-5"/>
        </w:rPr>
        <w:t>龙，商铺内应设置自动喷水灭火系统和火灾自动报警系统；每层回廊均应设置自动喷水灭火系</w:t>
      </w:r>
      <w:r>
        <w:rPr>
          <w:color w:val="333333"/>
          <w:spacing w:val="-4"/>
        </w:rPr>
        <w:t>统。步行街内宜设置自动跟踪定位射流灭火系统；</w:t>
      </w:r>
      <w:r>
        <w:rPr>
          <w:color w:val="333333"/>
        </w:rPr>
        <w:t xml:space="preserve"> </w:t>
      </w:r>
    </w:p>
    <w:p w14:paraId="3287D6EC" w14:textId="77777777" w:rsidR="00A71EEF" w:rsidRDefault="0081115D">
      <w:pPr>
        <w:pStyle w:val="a3"/>
        <w:spacing w:line="446" w:lineRule="auto"/>
        <w:ind w:left="840" w:right="1505" w:hanging="3"/>
        <w:rPr>
          <w:b/>
        </w:rPr>
      </w:pPr>
      <w:r>
        <w:rPr>
          <w:color w:val="333333"/>
        </w:rPr>
        <w:t>步行街两侧建筑的商铺内外均应设置疏散照明、灯光疏散指示标志和消防应急广播系统。</w:t>
      </w:r>
      <w:r>
        <w:rPr>
          <w:b/>
        </w:rPr>
        <w:t xml:space="preserve">5.4 </w:t>
      </w:r>
      <w:r>
        <w:t>平面布置</w:t>
      </w:r>
      <w:r>
        <w:rPr>
          <w:b/>
          <w:w w:val="99"/>
        </w:rPr>
        <w:t xml:space="preserve"> </w:t>
      </w:r>
    </w:p>
    <w:p w14:paraId="204CE9D0" w14:textId="77777777" w:rsidR="00A71EEF" w:rsidRDefault="0081115D">
      <w:pPr>
        <w:pStyle w:val="a4"/>
        <w:numPr>
          <w:ilvl w:val="2"/>
          <w:numId w:val="726"/>
        </w:numPr>
        <w:tabs>
          <w:tab w:val="left" w:pos="1371"/>
        </w:tabs>
        <w:spacing w:line="446" w:lineRule="auto"/>
        <w:ind w:right="1604" w:firstLine="422"/>
        <w:rPr>
          <w:color w:val="333333"/>
          <w:sz w:val="19"/>
        </w:rPr>
      </w:pPr>
      <w:r>
        <w:rPr>
          <w:color w:val="333333"/>
          <w:spacing w:val="-3"/>
          <w:sz w:val="21"/>
        </w:rPr>
        <w:t>民用建筑的平面布置应结合建筑的耐火等级、火灾危险性、使用功能和安全疏散等因素合理布置。</w:t>
      </w:r>
      <w:r>
        <w:rPr>
          <w:color w:val="333333"/>
          <w:sz w:val="21"/>
        </w:rPr>
        <w:t xml:space="preserve"> </w:t>
      </w:r>
    </w:p>
    <w:p w14:paraId="41B28E61" w14:textId="77777777" w:rsidR="00A71EEF" w:rsidRDefault="0081115D">
      <w:pPr>
        <w:pStyle w:val="a4"/>
        <w:numPr>
          <w:ilvl w:val="2"/>
          <w:numId w:val="726"/>
        </w:numPr>
        <w:tabs>
          <w:tab w:val="left" w:pos="1508"/>
        </w:tabs>
        <w:spacing w:line="277" w:lineRule="exact"/>
        <w:ind w:left="1507" w:hanging="608"/>
      </w:pPr>
      <w:r>
        <w:rPr>
          <w:color w:val="333333"/>
          <w:spacing w:val="-3"/>
          <w:sz w:val="21"/>
        </w:rPr>
        <w:t>除为满足民用建筑使用功能所设置的附属库房外，民用建筑内不应设置生产车间和</w:t>
      </w:r>
    </w:p>
    <w:p w14:paraId="7A0CF374" w14:textId="77777777" w:rsidR="00A71EEF" w:rsidRDefault="00A71EEF">
      <w:pPr>
        <w:pStyle w:val="a3"/>
        <w:rPr>
          <w:sz w:val="17"/>
        </w:rPr>
      </w:pPr>
    </w:p>
    <w:p w14:paraId="5DE4AFA3" w14:textId="77777777" w:rsidR="00A71EEF" w:rsidRDefault="0081115D">
      <w:pPr>
        <w:pStyle w:val="a3"/>
        <w:ind w:left="418"/>
      </w:pPr>
      <w:r>
        <w:rPr>
          <w:color w:val="333333"/>
        </w:rPr>
        <w:t>其他库房。</w:t>
      </w:r>
      <w:r>
        <w:rPr>
          <w:color w:val="333333"/>
        </w:rPr>
        <w:t xml:space="preserve"> </w:t>
      </w:r>
    </w:p>
    <w:p w14:paraId="2932DBDB" w14:textId="77777777" w:rsidR="00A71EEF" w:rsidRDefault="00A71EEF">
      <w:pPr>
        <w:pStyle w:val="a3"/>
        <w:rPr>
          <w:sz w:val="18"/>
        </w:rPr>
      </w:pPr>
    </w:p>
    <w:p w14:paraId="1F2919A8" w14:textId="77777777" w:rsidR="00A71EEF" w:rsidRDefault="0081115D">
      <w:pPr>
        <w:pStyle w:val="a3"/>
        <w:spacing w:line="446" w:lineRule="auto"/>
        <w:ind w:left="418" w:right="1609" w:firstLine="419"/>
      </w:pPr>
      <w:r>
        <w:rPr>
          <w:color w:val="333333"/>
        </w:rPr>
        <w:t>经营、存放和使用甲、乙类火灾危险性物品的商店、作坊和储藏间，严禁附设在民用建筑内。</w:t>
      </w:r>
      <w:r>
        <w:rPr>
          <w:color w:val="333333"/>
        </w:rPr>
        <w:t xml:space="preserve"> </w:t>
      </w:r>
    </w:p>
    <w:p w14:paraId="06CA053F" w14:textId="77777777" w:rsidR="00A71EEF" w:rsidRDefault="0081115D">
      <w:pPr>
        <w:pStyle w:val="a4"/>
        <w:numPr>
          <w:ilvl w:val="2"/>
          <w:numId w:val="726"/>
        </w:numPr>
        <w:tabs>
          <w:tab w:val="left" w:pos="1508"/>
        </w:tabs>
        <w:spacing w:line="277" w:lineRule="exact"/>
        <w:ind w:left="1507" w:hanging="608"/>
      </w:pPr>
      <w:r>
        <w:rPr>
          <w:color w:val="333333"/>
          <w:spacing w:val="-5"/>
          <w:sz w:val="21"/>
        </w:rPr>
        <w:t>商店建筑、展览建筑采用三级耐火等级建筑时，不应超过</w:t>
      </w:r>
      <w:r>
        <w:rPr>
          <w:color w:val="333333"/>
          <w:spacing w:val="-5"/>
          <w:sz w:val="21"/>
        </w:rPr>
        <w:t xml:space="preserve"> </w:t>
      </w:r>
      <w:r>
        <w:rPr>
          <w:color w:val="333333"/>
          <w:spacing w:val="-3"/>
          <w:sz w:val="21"/>
        </w:rPr>
        <w:t xml:space="preserve">2 </w:t>
      </w:r>
      <w:r>
        <w:rPr>
          <w:color w:val="333333"/>
          <w:spacing w:val="-3"/>
          <w:sz w:val="21"/>
        </w:rPr>
        <w:t>层；采用四级耐火等</w:t>
      </w:r>
    </w:p>
    <w:p w14:paraId="0F37F2BE" w14:textId="77777777" w:rsidR="00A71EEF" w:rsidRDefault="00A71EEF">
      <w:pPr>
        <w:pStyle w:val="a3"/>
        <w:spacing w:before="3"/>
        <w:rPr>
          <w:sz w:val="17"/>
        </w:rPr>
      </w:pPr>
    </w:p>
    <w:p w14:paraId="706826FB" w14:textId="77777777" w:rsidR="00A71EEF" w:rsidRDefault="0081115D">
      <w:pPr>
        <w:pStyle w:val="a3"/>
        <w:spacing w:before="1" w:line="446" w:lineRule="auto"/>
        <w:ind w:left="418" w:right="1817"/>
      </w:pPr>
      <w:r>
        <w:rPr>
          <w:color w:val="333333"/>
        </w:rPr>
        <w:t>级建筑时，应为单层。营业厅、展览厅设置在三级耐火等级的建筑内时，应布置在首层或二层；设置在四级耐火等级的建筑内时，应布置在首层。</w:t>
      </w:r>
      <w:r>
        <w:rPr>
          <w:color w:val="333333"/>
        </w:rPr>
        <w:t xml:space="preserve"> </w:t>
      </w:r>
    </w:p>
    <w:p w14:paraId="66AC61B8" w14:textId="77777777" w:rsidR="00A71EEF" w:rsidRDefault="0081115D">
      <w:pPr>
        <w:pStyle w:val="a3"/>
        <w:spacing w:line="446" w:lineRule="auto"/>
        <w:ind w:left="418" w:right="1817" w:firstLine="419"/>
      </w:pPr>
      <w:r>
        <w:rPr>
          <w:color w:val="333333"/>
        </w:rPr>
        <w:t>营业厅、展览厅不应设置在地下三层及以下楼层。地下或半地下营业厅、展览厅不应经营、储存和展示甲、乙类火灾危险性物品。</w:t>
      </w:r>
      <w:r>
        <w:rPr>
          <w:color w:val="333333"/>
        </w:rPr>
        <w:t xml:space="preserve"> </w:t>
      </w:r>
    </w:p>
    <w:p w14:paraId="7E2DB777" w14:textId="77777777" w:rsidR="00A71EEF" w:rsidRDefault="0081115D">
      <w:pPr>
        <w:pStyle w:val="a4"/>
        <w:numPr>
          <w:ilvl w:val="2"/>
          <w:numId w:val="726"/>
        </w:numPr>
        <w:tabs>
          <w:tab w:val="left" w:pos="1370"/>
        </w:tabs>
        <w:spacing w:line="446" w:lineRule="auto"/>
        <w:ind w:right="1558" w:firstLine="422"/>
        <w:jc w:val="both"/>
        <w:rPr>
          <w:color w:val="333333"/>
          <w:sz w:val="19"/>
        </w:rPr>
      </w:pPr>
      <w:r>
        <w:rPr>
          <w:color w:val="333333"/>
          <w:spacing w:val="-3"/>
          <w:sz w:val="21"/>
        </w:rPr>
        <w:t>托儿所、幼儿园的儿童用房和儿童游乐厅等儿童活动场所宜设置在独立的建筑内，</w:t>
      </w:r>
      <w:r>
        <w:rPr>
          <w:color w:val="333333"/>
          <w:spacing w:val="-3"/>
          <w:sz w:val="21"/>
        </w:rPr>
        <w:t xml:space="preserve"> </w:t>
      </w:r>
      <w:r>
        <w:rPr>
          <w:color w:val="333333"/>
          <w:spacing w:val="-5"/>
          <w:sz w:val="21"/>
        </w:rPr>
        <w:t>且不应设置在地下或半地下；当采用一、二级耐火等级的建筑时，不应超过</w:t>
      </w:r>
      <w:r>
        <w:rPr>
          <w:color w:val="333333"/>
          <w:spacing w:val="-5"/>
          <w:sz w:val="21"/>
        </w:rPr>
        <w:t xml:space="preserve"> </w:t>
      </w:r>
      <w:r>
        <w:rPr>
          <w:color w:val="333333"/>
          <w:sz w:val="21"/>
        </w:rPr>
        <w:t>3</w:t>
      </w:r>
      <w:r>
        <w:rPr>
          <w:color w:val="333333"/>
          <w:spacing w:val="1"/>
          <w:sz w:val="21"/>
        </w:rPr>
        <w:t xml:space="preserve"> </w:t>
      </w:r>
      <w:r>
        <w:rPr>
          <w:color w:val="333333"/>
          <w:spacing w:val="1"/>
          <w:sz w:val="21"/>
        </w:rPr>
        <w:t>层；采用三级耐</w:t>
      </w:r>
      <w:r>
        <w:rPr>
          <w:color w:val="333333"/>
          <w:spacing w:val="-6"/>
          <w:sz w:val="21"/>
        </w:rPr>
        <w:t>火等级的建筑时，不应超过</w:t>
      </w:r>
      <w:r>
        <w:rPr>
          <w:color w:val="333333"/>
          <w:spacing w:val="-6"/>
          <w:sz w:val="21"/>
        </w:rPr>
        <w:t xml:space="preserve"> </w:t>
      </w:r>
      <w:r>
        <w:rPr>
          <w:color w:val="333333"/>
          <w:sz w:val="21"/>
        </w:rPr>
        <w:t>2</w:t>
      </w:r>
      <w:r>
        <w:rPr>
          <w:color w:val="333333"/>
          <w:spacing w:val="-3"/>
          <w:sz w:val="21"/>
        </w:rPr>
        <w:t xml:space="preserve"> </w:t>
      </w:r>
      <w:r>
        <w:rPr>
          <w:color w:val="333333"/>
          <w:spacing w:val="-3"/>
          <w:sz w:val="21"/>
        </w:rPr>
        <w:t>层；采用四级耐火等级的建筑时，应为单层；确需设置在其他民用建筑内时，应符</w:t>
      </w:r>
      <w:r>
        <w:rPr>
          <w:color w:val="333333"/>
          <w:spacing w:val="-3"/>
          <w:sz w:val="21"/>
        </w:rPr>
        <w:t>合下列规定：</w:t>
      </w:r>
      <w:r>
        <w:rPr>
          <w:color w:val="333333"/>
          <w:sz w:val="21"/>
        </w:rPr>
        <w:t xml:space="preserve"> </w:t>
      </w:r>
    </w:p>
    <w:p w14:paraId="3AE45873" w14:textId="77777777" w:rsidR="00A71EEF" w:rsidRDefault="0081115D">
      <w:pPr>
        <w:pStyle w:val="a3"/>
        <w:spacing w:line="446" w:lineRule="auto"/>
        <w:ind w:left="838" w:right="3397"/>
      </w:pPr>
      <w:r>
        <w:rPr>
          <w:color w:val="333333"/>
        </w:rPr>
        <w:t>设置在一、二级耐火等级的建筑内时，应布置在首层、二层或三层；</w:t>
      </w:r>
      <w:r>
        <w:rPr>
          <w:color w:val="333333"/>
        </w:rPr>
        <w:t xml:space="preserve"> </w:t>
      </w:r>
      <w:r>
        <w:rPr>
          <w:color w:val="333333"/>
        </w:rPr>
        <w:t>设置在三级耐火等级的建筑内时，应布置在首层或二层；</w:t>
      </w:r>
      <w:r>
        <w:rPr>
          <w:color w:val="333333"/>
        </w:rPr>
        <w:t xml:space="preserve"> </w:t>
      </w:r>
    </w:p>
    <w:p w14:paraId="6522164E" w14:textId="77777777" w:rsidR="00A71EEF" w:rsidRDefault="0081115D">
      <w:pPr>
        <w:pStyle w:val="a3"/>
        <w:ind w:left="838"/>
      </w:pPr>
      <w:r>
        <w:rPr>
          <w:color w:val="333333"/>
        </w:rPr>
        <w:t>设置在四级耐火等级的建筑内时，应布置在首层；</w:t>
      </w:r>
      <w:r>
        <w:rPr>
          <w:color w:val="333333"/>
        </w:rPr>
        <w:t xml:space="preserve"> </w:t>
      </w:r>
    </w:p>
    <w:p w14:paraId="67BEA911" w14:textId="77777777" w:rsidR="00A71EEF" w:rsidRDefault="00A71EEF">
      <w:pPr>
        <w:sectPr w:rsidR="00A71EEF">
          <w:pgSz w:w="11910" w:h="16850"/>
          <w:pgMar w:top="1220" w:right="0" w:bottom="1420" w:left="1260" w:header="0" w:footer="1239" w:gutter="0"/>
          <w:cols w:space="720"/>
        </w:sectPr>
      </w:pPr>
    </w:p>
    <w:p w14:paraId="1868DF40" w14:textId="77777777" w:rsidR="00A71EEF" w:rsidRDefault="0081115D">
      <w:pPr>
        <w:pStyle w:val="a3"/>
        <w:spacing w:before="47"/>
        <w:ind w:left="838"/>
      </w:pPr>
      <w:r>
        <w:rPr>
          <w:color w:val="333333"/>
        </w:rPr>
        <w:lastRenderedPageBreak/>
        <w:t>设置在高层建筑内时，应设置独立的安全出口和疏散楼梯；</w:t>
      </w:r>
      <w:r>
        <w:rPr>
          <w:color w:val="333333"/>
        </w:rPr>
        <w:t xml:space="preserve"> </w:t>
      </w:r>
    </w:p>
    <w:p w14:paraId="0A494736" w14:textId="77777777" w:rsidR="00A71EEF" w:rsidRDefault="00A71EEF">
      <w:pPr>
        <w:pStyle w:val="a3"/>
        <w:rPr>
          <w:sz w:val="18"/>
        </w:rPr>
      </w:pPr>
    </w:p>
    <w:p w14:paraId="383D957F" w14:textId="77777777" w:rsidR="00A71EEF" w:rsidRDefault="0081115D">
      <w:pPr>
        <w:pStyle w:val="a3"/>
        <w:ind w:left="838"/>
      </w:pPr>
      <w:r>
        <w:rPr>
          <w:color w:val="333333"/>
        </w:rPr>
        <w:t>设置在单、多层建筑内时，宜设置独立的安全出口和疏散楼梯。</w:t>
      </w:r>
      <w:r>
        <w:rPr>
          <w:color w:val="333333"/>
        </w:rPr>
        <w:t xml:space="preserve"> </w:t>
      </w:r>
    </w:p>
    <w:p w14:paraId="2D9CE96D" w14:textId="77777777" w:rsidR="00A71EEF" w:rsidRDefault="00A71EEF">
      <w:pPr>
        <w:pStyle w:val="a3"/>
        <w:rPr>
          <w:sz w:val="18"/>
        </w:rPr>
      </w:pPr>
    </w:p>
    <w:p w14:paraId="77B3CE97" w14:textId="77777777" w:rsidR="00A71EEF" w:rsidRDefault="0081115D">
      <w:pPr>
        <w:pStyle w:val="a3"/>
        <w:spacing w:line="446" w:lineRule="auto"/>
        <w:ind w:left="418" w:right="1385" w:firstLine="422"/>
      </w:pPr>
      <w:r>
        <w:rPr>
          <w:b/>
          <w:color w:val="333333"/>
        </w:rPr>
        <w:t xml:space="preserve">5.4.4 </w:t>
      </w:r>
      <w:r>
        <w:rPr>
          <w:color w:val="333333"/>
        </w:rPr>
        <w:t>老年人照料设施宜独立设置。当老年人照料设施与其他建筑上、下组合时，老年人照料设施宜设置在建筑的下部，并应符合下列规定：</w:t>
      </w:r>
      <w:r>
        <w:rPr>
          <w:color w:val="333333"/>
        </w:rPr>
        <w:t xml:space="preserve"> </w:t>
      </w:r>
    </w:p>
    <w:p w14:paraId="48096872" w14:textId="77777777" w:rsidR="00A71EEF" w:rsidRDefault="0081115D">
      <w:pPr>
        <w:pStyle w:val="a3"/>
        <w:spacing w:line="446" w:lineRule="auto"/>
        <w:ind w:left="418" w:right="1397" w:firstLine="419"/>
      </w:pPr>
      <w:r>
        <w:rPr>
          <w:color w:val="333333"/>
          <w:spacing w:val="-3"/>
        </w:rPr>
        <w:t>老年人照料设施部分的建筑层数、建筑高度或所在楼层位置的高度应符合本规范第</w:t>
      </w:r>
      <w:r>
        <w:rPr>
          <w:color w:val="333333"/>
          <w:spacing w:val="-3"/>
        </w:rPr>
        <w:t xml:space="preserve"> </w:t>
      </w:r>
      <w:r>
        <w:rPr>
          <w:color w:val="333333"/>
        </w:rPr>
        <w:t xml:space="preserve">5.3.1A </w:t>
      </w:r>
      <w:r>
        <w:rPr>
          <w:color w:val="333333"/>
          <w:spacing w:val="-2"/>
        </w:rPr>
        <w:t>条的规定；</w:t>
      </w:r>
      <w:r>
        <w:rPr>
          <w:color w:val="333333"/>
        </w:rPr>
        <w:t xml:space="preserve"> </w:t>
      </w:r>
    </w:p>
    <w:p w14:paraId="2BF8C557" w14:textId="77777777" w:rsidR="00A71EEF" w:rsidRDefault="0081115D">
      <w:pPr>
        <w:pStyle w:val="a3"/>
        <w:spacing w:line="446" w:lineRule="auto"/>
        <w:ind w:left="418" w:right="1498" w:firstLine="419"/>
      </w:pPr>
      <w:r>
        <w:rPr>
          <w:color w:val="333333"/>
        </w:rPr>
        <w:t>老年人照料设施部分应与其他场所进行防火分隔，防火分隔应符合本规范第</w:t>
      </w:r>
      <w:r>
        <w:rPr>
          <w:color w:val="333333"/>
        </w:rPr>
        <w:t xml:space="preserve"> 6.2.2 </w:t>
      </w:r>
      <w:r>
        <w:rPr>
          <w:color w:val="333333"/>
        </w:rPr>
        <w:t>条的规定。</w:t>
      </w:r>
      <w:r>
        <w:rPr>
          <w:color w:val="333333"/>
        </w:rPr>
        <w:t xml:space="preserve"> </w:t>
      </w:r>
    </w:p>
    <w:p w14:paraId="01B771FA" w14:textId="77777777" w:rsidR="00A71EEF" w:rsidRDefault="0081115D">
      <w:pPr>
        <w:pStyle w:val="a4"/>
        <w:numPr>
          <w:ilvl w:val="2"/>
          <w:numId w:val="725"/>
        </w:numPr>
        <w:tabs>
          <w:tab w:val="left" w:pos="1371"/>
        </w:tabs>
        <w:spacing w:line="439" w:lineRule="auto"/>
        <w:ind w:right="1604" w:firstLine="422"/>
        <w:rPr>
          <w:b/>
          <w:sz w:val="21"/>
        </w:rPr>
      </w:pPr>
      <w:r>
        <w:rPr>
          <w:color w:val="333333"/>
          <w:spacing w:val="-3"/>
          <w:sz w:val="21"/>
        </w:rPr>
        <w:t>当老年人照料设施中的老年人公共活动用房、康复与医疗用房设置在地下、半地下</w:t>
      </w:r>
      <w:r>
        <w:rPr>
          <w:color w:val="333333"/>
          <w:spacing w:val="-5"/>
          <w:sz w:val="21"/>
        </w:rPr>
        <w:t>时，应设置在地下一层，每间用房的建筑面积不应大于</w:t>
      </w:r>
      <w:r>
        <w:rPr>
          <w:color w:val="333333"/>
          <w:spacing w:val="-5"/>
          <w:sz w:val="21"/>
        </w:rPr>
        <w:t xml:space="preserve"> </w:t>
      </w:r>
      <w:r>
        <w:rPr>
          <w:color w:val="333333"/>
          <w:sz w:val="21"/>
        </w:rPr>
        <w:t>200m</w:t>
      </w:r>
      <w:r>
        <w:rPr>
          <w:color w:val="333333"/>
          <w:position w:val="11"/>
          <w:sz w:val="11"/>
        </w:rPr>
        <w:t>2</w:t>
      </w:r>
      <w:r>
        <w:rPr>
          <w:color w:val="333333"/>
          <w:spacing w:val="-27"/>
          <w:position w:val="11"/>
          <w:sz w:val="11"/>
        </w:rPr>
        <w:t xml:space="preserve"> </w:t>
      </w:r>
      <w:r>
        <w:rPr>
          <w:color w:val="333333"/>
          <w:spacing w:val="-8"/>
          <w:sz w:val="21"/>
        </w:rPr>
        <w:t>且使用人数不应大于</w:t>
      </w:r>
      <w:r>
        <w:rPr>
          <w:color w:val="333333"/>
          <w:spacing w:val="-8"/>
          <w:sz w:val="21"/>
        </w:rPr>
        <w:t xml:space="preserve"> </w:t>
      </w:r>
      <w:r>
        <w:rPr>
          <w:color w:val="333333"/>
          <w:sz w:val="21"/>
        </w:rPr>
        <w:t>30</w:t>
      </w:r>
      <w:r>
        <w:rPr>
          <w:color w:val="333333"/>
          <w:spacing w:val="-19"/>
          <w:sz w:val="21"/>
        </w:rPr>
        <w:t xml:space="preserve"> </w:t>
      </w:r>
      <w:r>
        <w:rPr>
          <w:color w:val="333333"/>
          <w:spacing w:val="-19"/>
          <w:sz w:val="21"/>
        </w:rPr>
        <w:t>人。</w:t>
      </w:r>
      <w:r>
        <w:rPr>
          <w:b/>
          <w:color w:val="333333"/>
          <w:w w:val="99"/>
          <w:sz w:val="21"/>
        </w:rPr>
        <w:t xml:space="preserve"> </w:t>
      </w:r>
    </w:p>
    <w:p w14:paraId="759C2F5A" w14:textId="77777777" w:rsidR="00A71EEF" w:rsidRDefault="0081115D">
      <w:pPr>
        <w:pStyle w:val="a3"/>
        <w:spacing w:before="4" w:line="436" w:lineRule="auto"/>
        <w:ind w:left="418" w:right="1609" w:firstLine="419"/>
        <w:rPr>
          <w:b/>
        </w:rPr>
      </w:pPr>
      <w:r>
        <w:rPr>
          <w:color w:val="333333"/>
        </w:rPr>
        <w:t>老年人照料设施中的老年人公共活动用房、康复与医疗用房设置在地上四层及以上时，每间用房的建筑面积不应大于</w:t>
      </w:r>
      <w:r>
        <w:rPr>
          <w:color w:val="333333"/>
        </w:rPr>
        <w:t xml:space="preserve"> 200m</w:t>
      </w:r>
      <w:r>
        <w:rPr>
          <w:color w:val="333333"/>
          <w:position w:val="11"/>
          <w:sz w:val="11"/>
        </w:rPr>
        <w:t xml:space="preserve">2 </w:t>
      </w:r>
      <w:r>
        <w:rPr>
          <w:color w:val="333333"/>
        </w:rPr>
        <w:t>且使用人数不应大于</w:t>
      </w:r>
      <w:r>
        <w:rPr>
          <w:color w:val="333333"/>
        </w:rPr>
        <w:t xml:space="preserve"> 30 </w:t>
      </w:r>
      <w:r>
        <w:rPr>
          <w:color w:val="333333"/>
        </w:rPr>
        <w:t>人。</w:t>
      </w:r>
      <w:r>
        <w:rPr>
          <w:color w:val="333333"/>
        </w:rPr>
        <w:t xml:space="preserve">  </w:t>
      </w:r>
      <w:r>
        <w:rPr>
          <w:b/>
          <w:color w:val="333333"/>
          <w:w w:val="99"/>
        </w:rPr>
        <w:t xml:space="preserve"> </w:t>
      </w:r>
    </w:p>
    <w:p w14:paraId="03D17DFF" w14:textId="77777777" w:rsidR="00A71EEF" w:rsidRDefault="0081115D">
      <w:pPr>
        <w:pStyle w:val="a4"/>
        <w:numPr>
          <w:ilvl w:val="2"/>
          <w:numId w:val="725"/>
        </w:numPr>
        <w:tabs>
          <w:tab w:val="left" w:pos="1371"/>
        </w:tabs>
        <w:spacing w:before="11"/>
        <w:ind w:left="1370"/>
        <w:rPr>
          <w:b/>
          <w:sz w:val="21"/>
        </w:rPr>
      </w:pPr>
      <w:r>
        <w:rPr>
          <w:color w:val="333333"/>
          <w:spacing w:val="-3"/>
          <w:sz w:val="21"/>
        </w:rPr>
        <w:t>医院和疗养院的住院部分不应设置在地下或半地下。</w:t>
      </w:r>
      <w:r>
        <w:rPr>
          <w:b/>
          <w:color w:val="333333"/>
          <w:w w:val="99"/>
          <w:sz w:val="21"/>
        </w:rPr>
        <w:t xml:space="preserve"> </w:t>
      </w:r>
    </w:p>
    <w:p w14:paraId="16DB5237" w14:textId="77777777" w:rsidR="00A71EEF" w:rsidRDefault="00A71EEF">
      <w:pPr>
        <w:pStyle w:val="a3"/>
        <w:rPr>
          <w:b/>
          <w:sz w:val="18"/>
        </w:rPr>
      </w:pPr>
    </w:p>
    <w:p w14:paraId="76EDD2C2" w14:textId="77777777" w:rsidR="00A71EEF" w:rsidRDefault="0081115D">
      <w:pPr>
        <w:pStyle w:val="a3"/>
        <w:spacing w:line="446" w:lineRule="auto"/>
        <w:ind w:left="418" w:right="1558" w:firstLine="419"/>
        <w:jc w:val="both"/>
        <w:rPr>
          <w:b/>
        </w:rPr>
      </w:pPr>
      <w:r>
        <w:rPr>
          <w:color w:val="333333"/>
          <w:spacing w:val="-5"/>
        </w:rPr>
        <w:t>医院和疗养院的住院部分采用三级耐火等级建筑时，不应超过</w:t>
      </w:r>
      <w:r>
        <w:rPr>
          <w:color w:val="333333"/>
          <w:spacing w:val="-5"/>
        </w:rPr>
        <w:t xml:space="preserve"> </w:t>
      </w:r>
      <w:r>
        <w:rPr>
          <w:color w:val="333333"/>
        </w:rPr>
        <w:t>2</w:t>
      </w:r>
      <w:r>
        <w:rPr>
          <w:color w:val="333333"/>
          <w:spacing w:val="-2"/>
        </w:rPr>
        <w:t xml:space="preserve"> </w:t>
      </w:r>
      <w:r>
        <w:rPr>
          <w:color w:val="333333"/>
          <w:spacing w:val="-2"/>
        </w:rPr>
        <w:t>层；采用四级耐火等级建</w:t>
      </w:r>
      <w:r>
        <w:rPr>
          <w:color w:val="333333"/>
          <w:spacing w:val="-3"/>
        </w:rPr>
        <w:t>筑时，应为单层；设置在三级耐火等级的建筑内时，应布置在首层或二层；设置在四级耐火等级的建筑内时，应布置在首层。</w:t>
      </w:r>
      <w:r>
        <w:rPr>
          <w:b/>
          <w:color w:val="333333"/>
          <w:w w:val="99"/>
        </w:rPr>
        <w:t xml:space="preserve"> </w:t>
      </w:r>
    </w:p>
    <w:p w14:paraId="1CBB40F5" w14:textId="77777777" w:rsidR="00A71EEF" w:rsidRDefault="0081115D">
      <w:pPr>
        <w:pStyle w:val="a3"/>
        <w:spacing w:line="446" w:lineRule="auto"/>
        <w:ind w:left="418" w:right="1767" w:firstLine="419"/>
        <w:jc w:val="both"/>
        <w:rPr>
          <w:b/>
        </w:rPr>
      </w:pPr>
      <w:r>
        <w:rPr>
          <w:color w:val="333333"/>
          <w:spacing w:val="-5"/>
        </w:rPr>
        <w:t>医院和疗养院的病房楼内相邻护理单元之间应采用耐火极限不低于</w:t>
      </w:r>
      <w:r>
        <w:rPr>
          <w:color w:val="333333"/>
          <w:spacing w:val="-5"/>
        </w:rPr>
        <w:t xml:space="preserve"> </w:t>
      </w:r>
      <w:r>
        <w:rPr>
          <w:color w:val="333333"/>
        </w:rPr>
        <w:t xml:space="preserve">2.00h </w:t>
      </w:r>
      <w:r>
        <w:rPr>
          <w:color w:val="333333"/>
        </w:rPr>
        <w:t>的防火隔墙分</w:t>
      </w:r>
      <w:r>
        <w:rPr>
          <w:color w:val="333333"/>
          <w:spacing w:val="-3"/>
        </w:rPr>
        <w:t>隔，隔墙上的门应采用乙级防火门，设置在走道上的防火门应采用常开防火门。</w:t>
      </w:r>
      <w:r>
        <w:rPr>
          <w:b/>
          <w:color w:val="333333"/>
          <w:w w:val="99"/>
        </w:rPr>
        <w:t xml:space="preserve"> </w:t>
      </w:r>
    </w:p>
    <w:p w14:paraId="56B7C0CF" w14:textId="77777777" w:rsidR="00A71EEF" w:rsidRDefault="0081115D">
      <w:pPr>
        <w:pStyle w:val="a4"/>
        <w:numPr>
          <w:ilvl w:val="2"/>
          <w:numId w:val="725"/>
        </w:numPr>
        <w:tabs>
          <w:tab w:val="left" w:pos="1370"/>
        </w:tabs>
        <w:spacing w:line="446" w:lineRule="auto"/>
        <w:ind w:right="1553" w:firstLine="422"/>
        <w:jc w:val="both"/>
        <w:rPr>
          <w:b/>
          <w:sz w:val="21"/>
        </w:rPr>
      </w:pPr>
      <w:r>
        <w:rPr>
          <w:color w:val="333333"/>
          <w:spacing w:val="-5"/>
          <w:sz w:val="21"/>
        </w:rPr>
        <w:t>教学建筑、食堂、菜市场采用三级耐火等级建筑时，不应超过</w:t>
      </w:r>
      <w:r>
        <w:rPr>
          <w:color w:val="333333"/>
          <w:spacing w:val="-5"/>
          <w:sz w:val="21"/>
        </w:rPr>
        <w:t xml:space="preserve"> </w:t>
      </w:r>
      <w:r>
        <w:rPr>
          <w:color w:val="333333"/>
          <w:spacing w:val="-3"/>
          <w:sz w:val="21"/>
        </w:rPr>
        <w:t>2</w:t>
      </w:r>
      <w:r>
        <w:rPr>
          <w:color w:val="333333"/>
          <w:spacing w:val="-1"/>
          <w:sz w:val="21"/>
        </w:rPr>
        <w:t xml:space="preserve"> </w:t>
      </w:r>
      <w:r>
        <w:rPr>
          <w:color w:val="333333"/>
          <w:spacing w:val="-1"/>
          <w:sz w:val="21"/>
        </w:rPr>
        <w:t>层；采用四级耐火</w:t>
      </w:r>
      <w:r>
        <w:rPr>
          <w:color w:val="333333"/>
          <w:spacing w:val="-3"/>
          <w:sz w:val="21"/>
        </w:rPr>
        <w:t>等级建筑时，应为单层；设置在三级耐火等级的建筑内时，应布置在首层或二层；设置在四级耐火等级的建筑内时，应布置在首层。</w:t>
      </w:r>
      <w:r>
        <w:rPr>
          <w:b/>
          <w:color w:val="333333"/>
          <w:w w:val="99"/>
          <w:sz w:val="21"/>
        </w:rPr>
        <w:t xml:space="preserve"> </w:t>
      </w:r>
    </w:p>
    <w:p w14:paraId="626C9BD1" w14:textId="77777777" w:rsidR="00A71EEF" w:rsidRDefault="0081115D">
      <w:pPr>
        <w:pStyle w:val="a4"/>
        <w:numPr>
          <w:ilvl w:val="2"/>
          <w:numId w:val="725"/>
        </w:numPr>
        <w:tabs>
          <w:tab w:val="left" w:pos="1370"/>
        </w:tabs>
        <w:spacing w:line="446" w:lineRule="auto"/>
        <w:ind w:right="1344" w:firstLine="422"/>
        <w:rPr>
          <w:sz w:val="21"/>
        </w:rPr>
      </w:pPr>
      <w:r>
        <w:rPr>
          <w:color w:val="333333"/>
          <w:spacing w:val="-3"/>
          <w:sz w:val="21"/>
        </w:rPr>
        <w:t>剧场、电影院、礼堂宜设置在独立的建筑内；采用三级耐火等级建筑时，不应超过</w:t>
      </w:r>
      <w:r>
        <w:rPr>
          <w:color w:val="333333"/>
          <w:spacing w:val="-3"/>
          <w:sz w:val="21"/>
        </w:rPr>
        <w:t xml:space="preserve"> 2 </w:t>
      </w:r>
      <w:r>
        <w:rPr>
          <w:color w:val="333333"/>
          <w:spacing w:val="-4"/>
          <w:sz w:val="21"/>
        </w:rPr>
        <w:t>层；确需设置在其他民用建筑内时，至少应设置</w:t>
      </w:r>
      <w:r>
        <w:rPr>
          <w:color w:val="333333"/>
          <w:spacing w:val="-4"/>
          <w:sz w:val="21"/>
        </w:rPr>
        <w:t xml:space="preserve"> </w:t>
      </w:r>
      <w:r>
        <w:rPr>
          <w:color w:val="333333"/>
          <w:spacing w:val="-3"/>
          <w:sz w:val="21"/>
        </w:rPr>
        <w:t xml:space="preserve">1 </w:t>
      </w:r>
      <w:r>
        <w:rPr>
          <w:color w:val="333333"/>
          <w:spacing w:val="-3"/>
          <w:sz w:val="21"/>
        </w:rPr>
        <w:t>个独立的安全出口和疏散楼梯，并应</w:t>
      </w:r>
      <w:r>
        <w:rPr>
          <w:color w:val="333333"/>
          <w:spacing w:val="-3"/>
          <w:sz w:val="21"/>
        </w:rPr>
        <w:t>符合下列规定：</w:t>
      </w:r>
      <w:r>
        <w:rPr>
          <w:color w:val="333333"/>
          <w:sz w:val="21"/>
        </w:rPr>
        <w:t xml:space="preserve"> </w:t>
      </w:r>
    </w:p>
    <w:p w14:paraId="7BA279DD" w14:textId="77777777" w:rsidR="00A71EEF" w:rsidRDefault="0081115D">
      <w:pPr>
        <w:pStyle w:val="a3"/>
        <w:spacing w:line="268" w:lineRule="exact"/>
        <w:ind w:left="838"/>
      </w:pPr>
      <w:r>
        <w:rPr>
          <w:color w:val="333333"/>
        </w:rPr>
        <w:t>应采用耐火极限不低于</w:t>
      </w:r>
      <w:r>
        <w:rPr>
          <w:color w:val="333333"/>
        </w:rPr>
        <w:t xml:space="preserve"> 2.00h </w:t>
      </w:r>
      <w:r>
        <w:rPr>
          <w:color w:val="333333"/>
        </w:rPr>
        <w:t>的防火隔墙和甲级防火门与其他区域分隔；</w:t>
      </w:r>
      <w:r>
        <w:rPr>
          <w:color w:val="333333"/>
        </w:rPr>
        <w:t xml:space="preserve"> </w:t>
      </w:r>
    </w:p>
    <w:p w14:paraId="232A046E" w14:textId="77777777" w:rsidR="00A71EEF" w:rsidRDefault="00A71EEF">
      <w:pPr>
        <w:pStyle w:val="a3"/>
        <w:spacing w:before="10"/>
        <w:rPr>
          <w:sz w:val="17"/>
        </w:rPr>
      </w:pPr>
    </w:p>
    <w:p w14:paraId="1DF8AE3B" w14:textId="77777777" w:rsidR="00A71EEF" w:rsidRDefault="0081115D">
      <w:pPr>
        <w:pStyle w:val="a3"/>
        <w:spacing w:line="441" w:lineRule="auto"/>
        <w:ind w:left="418" w:right="1609" w:firstLine="419"/>
      </w:pPr>
      <w:r>
        <w:rPr>
          <w:color w:val="333333"/>
        </w:rPr>
        <w:t>设置在一、二级耐火等级的建筑内时，观众厅宜布置在首层、二层或三层；确需布置在四层及以上楼层时，一个厅、室的疏散门不应少于</w:t>
      </w:r>
      <w:r>
        <w:rPr>
          <w:color w:val="333333"/>
        </w:rPr>
        <w:t xml:space="preserve"> 2 </w:t>
      </w:r>
      <w:r>
        <w:rPr>
          <w:color w:val="333333"/>
        </w:rPr>
        <w:t>个，且每个观众厅的建筑面积不宜大于</w:t>
      </w:r>
      <w:r>
        <w:rPr>
          <w:color w:val="333333"/>
        </w:rPr>
        <w:t>400m</w:t>
      </w:r>
      <w:r>
        <w:rPr>
          <w:color w:val="333333"/>
          <w:position w:val="11"/>
          <w:sz w:val="11"/>
        </w:rPr>
        <w:t>2</w:t>
      </w:r>
      <w:r>
        <w:rPr>
          <w:color w:val="333333"/>
        </w:rPr>
        <w:t>；</w:t>
      </w:r>
      <w:r>
        <w:rPr>
          <w:color w:val="333333"/>
        </w:rPr>
        <w:t xml:space="preserve"> </w:t>
      </w:r>
    </w:p>
    <w:p w14:paraId="6840BEBC" w14:textId="77777777" w:rsidR="00A71EEF" w:rsidRDefault="00A71EEF">
      <w:pPr>
        <w:spacing w:line="441" w:lineRule="auto"/>
        <w:sectPr w:rsidR="00A71EEF">
          <w:pgSz w:w="11910" w:h="16850"/>
          <w:pgMar w:top="1220" w:right="0" w:bottom="1420" w:left="1260" w:header="0" w:footer="1239" w:gutter="0"/>
          <w:cols w:space="720"/>
        </w:sectPr>
      </w:pPr>
    </w:p>
    <w:p w14:paraId="16E22012" w14:textId="77777777" w:rsidR="00A71EEF" w:rsidRDefault="0081115D">
      <w:pPr>
        <w:pStyle w:val="a3"/>
        <w:spacing w:before="47"/>
        <w:ind w:left="838"/>
      </w:pPr>
      <w:r>
        <w:rPr>
          <w:color w:val="333333"/>
        </w:rPr>
        <w:lastRenderedPageBreak/>
        <w:t>设置在三级耐火等级的建筑内时，不应布置在三层及以上楼层；</w:t>
      </w:r>
      <w:r>
        <w:rPr>
          <w:color w:val="333333"/>
        </w:rPr>
        <w:t xml:space="preserve"> </w:t>
      </w:r>
    </w:p>
    <w:p w14:paraId="7BF509FC" w14:textId="77777777" w:rsidR="00A71EEF" w:rsidRDefault="00A71EEF">
      <w:pPr>
        <w:pStyle w:val="a3"/>
        <w:rPr>
          <w:sz w:val="18"/>
        </w:rPr>
      </w:pPr>
    </w:p>
    <w:p w14:paraId="028CF246" w14:textId="77777777" w:rsidR="00A71EEF" w:rsidRDefault="0081115D">
      <w:pPr>
        <w:pStyle w:val="a3"/>
        <w:ind w:left="838"/>
      </w:pPr>
      <w:r>
        <w:rPr>
          <w:color w:val="333333"/>
        </w:rPr>
        <w:t>设置在地下或半地下时，宜设置在地下一层，不应设置在地下三层及以下楼层。</w:t>
      </w:r>
      <w:r>
        <w:rPr>
          <w:color w:val="333333"/>
        </w:rPr>
        <w:t xml:space="preserve"> </w:t>
      </w:r>
    </w:p>
    <w:p w14:paraId="7437264B" w14:textId="77777777" w:rsidR="00A71EEF" w:rsidRDefault="00A71EEF">
      <w:pPr>
        <w:pStyle w:val="a3"/>
        <w:rPr>
          <w:sz w:val="18"/>
        </w:rPr>
      </w:pPr>
    </w:p>
    <w:p w14:paraId="02C4F44D" w14:textId="77777777" w:rsidR="00A71EEF" w:rsidRDefault="0081115D">
      <w:pPr>
        <w:pStyle w:val="a3"/>
        <w:spacing w:line="446" w:lineRule="auto"/>
        <w:ind w:left="840" w:right="1604" w:hanging="3"/>
      </w:pPr>
      <w:r>
        <w:rPr>
          <w:color w:val="333333"/>
        </w:rPr>
        <w:t>设置在高层建筑内时，应设置火灾自动报警系统及自动喷水灭火系统等自动灭火系统。</w:t>
      </w:r>
      <w:r>
        <w:rPr>
          <w:b/>
          <w:color w:val="333333"/>
        </w:rPr>
        <w:t xml:space="preserve">5.4.8 </w:t>
      </w:r>
      <w:r>
        <w:rPr>
          <w:color w:val="333333"/>
        </w:rPr>
        <w:t>建筑内的会议厅、多功能厅等人员密集的场所，宜布置在首层、二层或三层。设置</w:t>
      </w:r>
    </w:p>
    <w:p w14:paraId="58DCEB7D" w14:textId="77777777" w:rsidR="00A71EEF" w:rsidRDefault="0081115D">
      <w:pPr>
        <w:pStyle w:val="a3"/>
        <w:spacing w:line="446" w:lineRule="auto"/>
        <w:ind w:left="418" w:right="1608"/>
      </w:pPr>
      <w:r>
        <w:rPr>
          <w:color w:val="333333"/>
        </w:rPr>
        <w:t>在三级耐火等级的建筑内时，不应布置在三层及以上楼层。确需布置在一、二级耐火等级建筑的其他楼层时，应符合下列规定：</w:t>
      </w:r>
      <w:r>
        <w:rPr>
          <w:color w:val="333333"/>
        </w:rPr>
        <w:t xml:space="preserve"> </w:t>
      </w:r>
    </w:p>
    <w:p w14:paraId="2E42F920" w14:textId="77777777" w:rsidR="00A71EEF" w:rsidRDefault="0081115D">
      <w:pPr>
        <w:pStyle w:val="a3"/>
        <w:spacing w:line="269" w:lineRule="exact"/>
        <w:ind w:left="838"/>
      </w:pPr>
      <w:r>
        <w:rPr>
          <w:color w:val="333333"/>
        </w:rPr>
        <w:t>一个厅、室的疏散门不应少于</w:t>
      </w:r>
      <w:r>
        <w:rPr>
          <w:color w:val="333333"/>
        </w:rPr>
        <w:t xml:space="preserve"> 2 </w:t>
      </w:r>
      <w:r>
        <w:rPr>
          <w:color w:val="333333"/>
        </w:rPr>
        <w:t>个，且建筑面积不宜大于</w:t>
      </w:r>
      <w:r>
        <w:rPr>
          <w:color w:val="333333"/>
        </w:rPr>
        <w:t xml:space="preserve"> 400m</w:t>
      </w:r>
      <w:r>
        <w:rPr>
          <w:color w:val="333333"/>
          <w:position w:val="11"/>
          <w:sz w:val="11"/>
        </w:rPr>
        <w:t>2</w:t>
      </w:r>
      <w:r>
        <w:rPr>
          <w:color w:val="333333"/>
        </w:rPr>
        <w:t>；</w:t>
      </w:r>
      <w:r>
        <w:rPr>
          <w:color w:val="333333"/>
        </w:rPr>
        <w:t xml:space="preserve"> </w:t>
      </w:r>
    </w:p>
    <w:p w14:paraId="5A5BFB84" w14:textId="77777777" w:rsidR="00A71EEF" w:rsidRDefault="00A71EEF">
      <w:pPr>
        <w:pStyle w:val="a3"/>
        <w:rPr>
          <w:sz w:val="18"/>
        </w:rPr>
      </w:pPr>
    </w:p>
    <w:p w14:paraId="15CCEE51" w14:textId="77777777" w:rsidR="00A71EEF" w:rsidRDefault="0081115D">
      <w:pPr>
        <w:pStyle w:val="a3"/>
        <w:ind w:left="838"/>
      </w:pPr>
      <w:r>
        <w:rPr>
          <w:color w:val="333333"/>
        </w:rPr>
        <w:t>设置在地下或半地下时，宜设置在地下一层，不应设置在地下三层及以下楼层；</w:t>
      </w:r>
      <w:r>
        <w:rPr>
          <w:color w:val="333333"/>
        </w:rPr>
        <w:t xml:space="preserve"> </w:t>
      </w:r>
    </w:p>
    <w:p w14:paraId="71DF5A76" w14:textId="77777777" w:rsidR="00A71EEF" w:rsidRDefault="00A71EEF">
      <w:pPr>
        <w:pStyle w:val="a3"/>
        <w:spacing w:before="12"/>
        <w:rPr>
          <w:sz w:val="17"/>
        </w:rPr>
      </w:pPr>
    </w:p>
    <w:p w14:paraId="209E542F" w14:textId="77777777" w:rsidR="00A71EEF" w:rsidRDefault="0081115D">
      <w:pPr>
        <w:pStyle w:val="a3"/>
        <w:spacing w:line="446" w:lineRule="auto"/>
        <w:ind w:left="840" w:right="1498" w:hanging="3"/>
      </w:pPr>
      <w:r>
        <w:rPr>
          <w:color w:val="333333"/>
          <w:spacing w:val="-3"/>
        </w:rPr>
        <w:t>设置在高层建筑内时，应设置火灾自动报警系统及自动喷水灭火系统等自动灭火系统。</w:t>
      </w:r>
      <w:r>
        <w:rPr>
          <w:b/>
          <w:color w:val="333333"/>
        </w:rPr>
        <w:t xml:space="preserve">5.4.9 </w:t>
      </w:r>
      <w:r>
        <w:rPr>
          <w:color w:val="333333"/>
          <w:spacing w:val="-6"/>
        </w:rPr>
        <w:t>歌舞厅、录像厅、夜总会、卡拉</w:t>
      </w:r>
      <w:r>
        <w:rPr>
          <w:color w:val="333333"/>
          <w:spacing w:val="-6"/>
        </w:rPr>
        <w:t xml:space="preserve"> </w:t>
      </w:r>
      <w:r>
        <w:rPr>
          <w:color w:val="333333"/>
        </w:rPr>
        <w:t>OK</w:t>
      </w:r>
      <w:r>
        <w:rPr>
          <w:color w:val="333333"/>
          <w:spacing w:val="2"/>
        </w:rPr>
        <w:t xml:space="preserve"> </w:t>
      </w:r>
      <w:r>
        <w:rPr>
          <w:color w:val="333333"/>
          <w:spacing w:val="2"/>
        </w:rPr>
        <w:t>厅</w:t>
      </w:r>
      <w:r>
        <w:rPr>
          <w:color w:val="333333"/>
        </w:rPr>
        <w:t>（</w:t>
      </w:r>
      <w:r>
        <w:rPr>
          <w:color w:val="333333"/>
          <w:spacing w:val="-11"/>
        </w:rPr>
        <w:t>含具有卡拉</w:t>
      </w:r>
      <w:r>
        <w:rPr>
          <w:color w:val="333333"/>
          <w:spacing w:val="-11"/>
        </w:rPr>
        <w:t xml:space="preserve"> </w:t>
      </w:r>
      <w:r>
        <w:rPr>
          <w:color w:val="333333"/>
        </w:rPr>
        <w:t>OK</w:t>
      </w:r>
      <w:r>
        <w:rPr>
          <w:color w:val="333333"/>
          <w:spacing w:val="-1"/>
        </w:rPr>
        <w:t xml:space="preserve"> </w:t>
      </w:r>
      <w:r>
        <w:rPr>
          <w:color w:val="333333"/>
          <w:spacing w:val="-1"/>
        </w:rPr>
        <w:t>功能的餐厅</w:t>
      </w:r>
      <w:r>
        <w:rPr>
          <w:color w:val="333333"/>
        </w:rPr>
        <w:t>）</w:t>
      </w:r>
      <w:r>
        <w:rPr>
          <w:color w:val="333333"/>
          <w:spacing w:val="-3"/>
        </w:rPr>
        <w:t>、游艺厅</w:t>
      </w:r>
      <w:r>
        <w:rPr>
          <w:color w:val="333333"/>
        </w:rPr>
        <w:t>（含</w:t>
      </w:r>
    </w:p>
    <w:p w14:paraId="75105787" w14:textId="77777777" w:rsidR="00A71EEF" w:rsidRDefault="0081115D">
      <w:pPr>
        <w:pStyle w:val="a3"/>
        <w:spacing w:line="446" w:lineRule="auto"/>
        <w:ind w:left="418" w:right="1608"/>
      </w:pPr>
      <w:r>
        <w:rPr>
          <w:color w:val="333333"/>
        </w:rPr>
        <w:t>电子游艺厅）、桑拿浴室（不包括洗浴部分）、网吧等歌舞娱乐放映游艺场所（不含剧场、电影院）的布置应符合下列规定：</w:t>
      </w:r>
      <w:r>
        <w:rPr>
          <w:color w:val="333333"/>
        </w:rPr>
        <w:t xml:space="preserve"> </w:t>
      </w:r>
    </w:p>
    <w:p w14:paraId="0EFAC8B0" w14:textId="77777777" w:rsidR="00A71EEF" w:rsidRDefault="0081115D">
      <w:pPr>
        <w:pStyle w:val="a3"/>
        <w:ind w:left="838"/>
        <w:rPr>
          <w:b/>
        </w:rPr>
      </w:pPr>
      <w:r>
        <w:rPr>
          <w:color w:val="333333"/>
        </w:rPr>
        <w:t>不应布置在地下二层及以下楼层；</w:t>
      </w:r>
      <w:r>
        <w:rPr>
          <w:b/>
          <w:color w:val="333333"/>
          <w:w w:val="99"/>
        </w:rPr>
        <w:t xml:space="preserve"> </w:t>
      </w:r>
    </w:p>
    <w:p w14:paraId="45F1B81E" w14:textId="77777777" w:rsidR="00A71EEF" w:rsidRDefault="00A71EEF">
      <w:pPr>
        <w:pStyle w:val="a3"/>
        <w:rPr>
          <w:b/>
          <w:sz w:val="18"/>
        </w:rPr>
      </w:pPr>
    </w:p>
    <w:p w14:paraId="653128DE" w14:textId="77777777" w:rsidR="00A71EEF" w:rsidRDefault="0081115D">
      <w:pPr>
        <w:pStyle w:val="a3"/>
        <w:spacing w:line="446" w:lineRule="auto"/>
        <w:ind w:left="838" w:right="3186"/>
      </w:pPr>
      <w:r>
        <w:rPr>
          <w:color w:val="333333"/>
          <w:spacing w:val="-3"/>
        </w:rPr>
        <w:t>宜布置在一、二级耐火等级建筑内的首层、二层或三层的靠外墙部位；</w:t>
      </w:r>
      <w:r>
        <w:rPr>
          <w:color w:val="333333"/>
          <w:spacing w:val="-3"/>
        </w:rPr>
        <w:t xml:space="preserve"> </w:t>
      </w:r>
      <w:r>
        <w:rPr>
          <w:color w:val="333333"/>
          <w:spacing w:val="-3"/>
        </w:rPr>
        <w:t>不宜布置在袋形走道的两侧或尽端；</w:t>
      </w:r>
      <w:r>
        <w:rPr>
          <w:color w:val="333333"/>
        </w:rPr>
        <w:t xml:space="preserve"> </w:t>
      </w:r>
    </w:p>
    <w:p w14:paraId="29F9C1EA" w14:textId="77777777" w:rsidR="00A71EEF" w:rsidRDefault="0081115D">
      <w:pPr>
        <w:pStyle w:val="a3"/>
        <w:ind w:left="838"/>
      </w:pPr>
      <w:r>
        <w:rPr>
          <w:color w:val="333333"/>
        </w:rPr>
        <w:t>确需布置在地下</w:t>
      </w:r>
      <w:r>
        <w:rPr>
          <w:color w:val="333333"/>
        </w:rPr>
        <w:t>一层时，地下一层的地面与室外出入口地坪的高差不应大于</w:t>
      </w:r>
      <w:r>
        <w:rPr>
          <w:color w:val="333333"/>
        </w:rPr>
        <w:t xml:space="preserve"> 10m</w:t>
      </w:r>
      <w:r>
        <w:rPr>
          <w:color w:val="333333"/>
        </w:rPr>
        <w:t>；</w:t>
      </w:r>
      <w:r>
        <w:rPr>
          <w:color w:val="333333"/>
        </w:rPr>
        <w:t xml:space="preserve"> </w:t>
      </w:r>
    </w:p>
    <w:p w14:paraId="6D90EBBF" w14:textId="77777777" w:rsidR="00A71EEF" w:rsidRDefault="00A71EEF">
      <w:pPr>
        <w:pStyle w:val="a3"/>
        <w:spacing w:before="2"/>
        <w:rPr>
          <w:sz w:val="17"/>
        </w:rPr>
      </w:pPr>
    </w:p>
    <w:p w14:paraId="6BB0F200" w14:textId="77777777" w:rsidR="00A71EEF" w:rsidRDefault="0081115D">
      <w:pPr>
        <w:pStyle w:val="a3"/>
        <w:ind w:left="838"/>
      </w:pPr>
      <w:r>
        <w:rPr>
          <w:color w:val="333333"/>
        </w:rPr>
        <w:t>确需布置在地下或四层及以上楼层时，一个厅、室的建筑面积不</w:t>
      </w:r>
      <w:r>
        <w:rPr>
          <w:color w:val="333333"/>
        </w:rPr>
        <w:t xml:space="preserve"> </w:t>
      </w:r>
      <w:r>
        <w:rPr>
          <w:color w:val="333333"/>
        </w:rPr>
        <w:t>应大于</w:t>
      </w:r>
      <w:r>
        <w:rPr>
          <w:color w:val="333333"/>
        </w:rPr>
        <w:t xml:space="preserve"> 200m</w:t>
      </w:r>
      <w:r>
        <w:rPr>
          <w:color w:val="333333"/>
          <w:position w:val="11"/>
          <w:sz w:val="11"/>
        </w:rPr>
        <w:t>2</w:t>
      </w:r>
      <w:r>
        <w:rPr>
          <w:color w:val="333333"/>
        </w:rPr>
        <w:t>；</w:t>
      </w:r>
      <w:r>
        <w:rPr>
          <w:color w:val="333333"/>
        </w:rPr>
        <w:t xml:space="preserve"> </w:t>
      </w:r>
    </w:p>
    <w:p w14:paraId="7E40CE53" w14:textId="77777777" w:rsidR="00A71EEF" w:rsidRDefault="00A71EEF">
      <w:pPr>
        <w:pStyle w:val="a3"/>
        <w:spacing w:before="12"/>
        <w:rPr>
          <w:sz w:val="17"/>
        </w:rPr>
      </w:pPr>
    </w:p>
    <w:p w14:paraId="17384EC0" w14:textId="77777777" w:rsidR="00A71EEF" w:rsidRDefault="0081115D">
      <w:pPr>
        <w:pStyle w:val="a3"/>
        <w:spacing w:line="446" w:lineRule="auto"/>
        <w:ind w:left="418" w:right="1505" w:firstLine="419"/>
      </w:pPr>
      <w:r>
        <w:rPr>
          <w:color w:val="333333"/>
          <w:spacing w:val="-5"/>
        </w:rPr>
        <w:t>厅、室之间及与建筑的其他部位之间，应采用耐火极限不低于</w:t>
      </w:r>
      <w:r>
        <w:rPr>
          <w:color w:val="333333"/>
          <w:spacing w:val="-5"/>
        </w:rPr>
        <w:t xml:space="preserve"> </w:t>
      </w:r>
      <w:r>
        <w:rPr>
          <w:color w:val="333333"/>
        </w:rPr>
        <w:t>2.00h</w:t>
      </w:r>
      <w:r>
        <w:rPr>
          <w:color w:val="333333"/>
          <w:spacing w:val="-7"/>
        </w:rPr>
        <w:t xml:space="preserve"> </w:t>
      </w:r>
      <w:r>
        <w:rPr>
          <w:color w:val="333333"/>
          <w:spacing w:val="-7"/>
        </w:rPr>
        <w:t>的防火隔墙和</w:t>
      </w:r>
      <w:r>
        <w:rPr>
          <w:color w:val="333333"/>
          <w:spacing w:val="-7"/>
        </w:rPr>
        <w:t xml:space="preserve"> </w:t>
      </w:r>
      <w:r>
        <w:rPr>
          <w:color w:val="333333"/>
        </w:rPr>
        <w:t xml:space="preserve">1.00h </w:t>
      </w:r>
      <w:r>
        <w:rPr>
          <w:color w:val="333333"/>
          <w:spacing w:val="-3"/>
        </w:rPr>
        <w:t>的不燃性楼板分隔，设置在厅、室墙上的门和该场所与建筑内其他部位相通的门均应采用乙级防火门。</w:t>
      </w:r>
      <w:r>
        <w:rPr>
          <w:color w:val="333333"/>
        </w:rPr>
        <w:t xml:space="preserve"> </w:t>
      </w:r>
    </w:p>
    <w:p w14:paraId="6631D452" w14:textId="77777777" w:rsidR="00A71EEF" w:rsidRDefault="0081115D">
      <w:pPr>
        <w:pStyle w:val="a4"/>
        <w:numPr>
          <w:ilvl w:val="2"/>
          <w:numId w:val="724"/>
        </w:numPr>
        <w:tabs>
          <w:tab w:val="left" w:pos="1478"/>
        </w:tabs>
        <w:spacing w:line="268" w:lineRule="exact"/>
        <w:ind w:hanging="638"/>
        <w:rPr>
          <w:sz w:val="21"/>
        </w:rPr>
      </w:pPr>
      <w:r>
        <w:rPr>
          <w:color w:val="333333"/>
          <w:spacing w:val="-3"/>
          <w:sz w:val="21"/>
        </w:rPr>
        <w:t>除商业服务网点外，住宅建筑与其他使用功能的建筑合建时，应符合下列规定：</w:t>
      </w:r>
      <w:r>
        <w:rPr>
          <w:color w:val="333333"/>
          <w:sz w:val="21"/>
        </w:rPr>
        <w:t xml:space="preserve"> </w:t>
      </w:r>
    </w:p>
    <w:p w14:paraId="20AB2CF3" w14:textId="77777777" w:rsidR="00A71EEF" w:rsidRDefault="00A71EEF">
      <w:pPr>
        <w:pStyle w:val="a3"/>
        <w:spacing w:before="2"/>
        <w:rPr>
          <w:sz w:val="18"/>
        </w:rPr>
      </w:pPr>
    </w:p>
    <w:p w14:paraId="61E833FA" w14:textId="77777777" w:rsidR="00A71EEF" w:rsidRDefault="0081115D">
      <w:pPr>
        <w:pStyle w:val="a3"/>
        <w:spacing w:line="446" w:lineRule="auto"/>
        <w:ind w:left="418" w:right="1558" w:firstLine="419"/>
        <w:jc w:val="both"/>
      </w:pPr>
      <w:r>
        <w:rPr>
          <w:color w:val="333333"/>
          <w:spacing w:val="-5"/>
        </w:rPr>
        <w:t>住宅部分与非住宅部分之间，应采用耐火极限不低于</w:t>
      </w:r>
      <w:r>
        <w:rPr>
          <w:color w:val="333333"/>
          <w:spacing w:val="-5"/>
        </w:rPr>
        <w:t xml:space="preserve"> </w:t>
      </w:r>
      <w:r>
        <w:rPr>
          <w:color w:val="333333"/>
        </w:rPr>
        <w:t>2.00h</w:t>
      </w:r>
      <w:r>
        <w:rPr>
          <w:color w:val="333333"/>
          <w:spacing w:val="-3"/>
        </w:rPr>
        <w:t xml:space="preserve"> </w:t>
      </w:r>
      <w:r>
        <w:rPr>
          <w:color w:val="333333"/>
          <w:spacing w:val="-3"/>
        </w:rPr>
        <w:t>且无门、窗、洞口的防火隔墙</w:t>
      </w:r>
      <w:r>
        <w:rPr>
          <w:color w:val="333333"/>
          <w:spacing w:val="-22"/>
        </w:rPr>
        <w:t>和</w:t>
      </w:r>
      <w:r>
        <w:rPr>
          <w:color w:val="333333"/>
          <w:spacing w:val="-22"/>
        </w:rPr>
        <w:t xml:space="preserve"> </w:t>
      </w:r>
      <w:r>
        <w:rPr>
          <w:color w:val="333333"/>
        </w:rPr>
        <w:t>1.50h</w:t>
      </w:r>
      <w:r>
        <w:rPr>
          <w:color w:val="333333"/>
          <w:spacing w:val="-3"/>
        </w:rPr>
        <w:t xml:space="preserve"> </w:t>
      </w:r>
      <w:r>
        <w:rPr>
          <w:color w:val="333333"/>
          <w:spacing w:val="-3"/>
        </w:rPr>
        <w:t>的不燃性楼板完全分隔；当为高层建筑时，应采用无门、窗、洞口的防火墙和耐火极</w:t>
      </w:r>
      <w:r>
        <w:rPr>
          <w:color w:val="333333"/>
          <w:spacing w:val="-11"/>
        </w:rPr>
        <w:t>限不低于</w:t>
      </w:r>
      <w:r>
        <w:rPr>
          <w:color w:val="333333"/>
          <w:spacing w:val="-11"/>
        </w:rPr>
        <w:t xml:space="preserve"> </w:t>
      </w:r>
      <w:r>
        <w:rPr>
          <w:color w:val="333333"/>
        </w:rPr>
        <w:t>2.00h</w:t>
      </w:r>
      <w:r>
        <w:rPr>
          <w:color w:val="333333"/>
          <w:spacing w:val="-3"/>
        </w:rPr>
        <w:t xml:space="preserve"> </w:t>
      </w:r>
      <w:r>
        <w:rPr>
          <w:color w:val="333333"/>
          <w:spacing w:val="-3"/>
        </w:rPr>
        <w:t>的不燃性楼板完全分隔。建筑外墙上、下层开口之间的防火措施应符合本规范</w:t>
      </w:r>
      <w:r>
        <w:rPr>
          <w:color w:val="333333"/>
          <w:spacing w:val="-28"/>
        </w:rPr>
        <w:t>第</w:t>
      </w:r>
      <w:r>
        <w:rPr>
          <w:color w:val="333333"/>
          <w:spacing w:val="-28"/>
        </w:rPr>
        <w:t xml:space="preserve"> </w:t>
      </w:r>
      <w:r>
        <w:rPr>
          <w:color w:val="333333"/>
        </w:rPr>
        <w:t>6.2.5</w:t>
      </w:r>
      <w:r>
        <w:rPr>
          <w:color w:val="333333"/>
          <w:spacing w:val="-3"/>
        </w:rPr>
        <w:t xml:space="preserve"> </w:t>
      </w:r>
      <w:r>
        <w:rPr>
          <w:color w:val="333333"/>
          <w:spacing w:val="-3"/>
        </w:rPr>
        <w:t>条的规定；</w:t>
      </w:r>
      <w:r>
        <w:rPr>
          <w:color w:val="333333"/>
        </w:rPr>
        <w:t xml:space="preserve"> </w:t>
      </w:r>
    </w:p>
    <w:p w14:paraId="241EE586" w14:textId="77777777" w:rsidR="00A71EEF" w:rsidRDefault="0081115D">
      <w:pPr>
        <w:pStyle w:val="a3"/>
        <w:spacing w:line="446" w:lineRule="auto"/>
        <w:ind w:left="418" w:right="1558" w:firstLine="419"/>
        <w:jc w:val="both"/>
      </w:pPr>
      <w:r>
        <w:rPr>
          <w:color w:val="333333"/>
          <w:spacing w:val="-3"/>
        </w:rPr>
        <w:t>住宅部分与非住宅部分的安全出口和疏散楼梯应分别独立设置；为住宅部分服务的地上车</w:t>
      </w:r>
      <w:r>
        <w:rPr>
          <w:color w:val="333333"/>
          <w:spacing w:val="-5"/>
        </w:rPr>
        <w:t>库应设置独立的疏散楼梯或安全出口，地下车库的疏散楼梯应按本规范第</w:t>
      </w:r>
      <w:r>
        <w:rPr>
          <w:color w:val="333333"/>
          <w:spacing w:val="-5"/>
        </w:rPr>
        <w:t xml:space="preserve"> </w:t>
      </w:r>
      <w:r>
        <w:rPr>
          <w:color w:val="333333"/>
        </w:rPr>
        <w:t>6.4.4</w:t>
      </w:r>
      <w:r>
        <w:rPr>
          <w:color w:val="333333"/>
          <w:spacing w:val="1"/>
        </w:rPr>
        <w:t xml:space="preserve"> </w:t>
      </w:r>
      <w:r>
        <w:rPr>
          <w:color w:val="333333"/>
          <w:spacing w:val="1"/>
        </w:rPr>
        <w:t>条的规定进行</w:t>
      </w:r>
      <w:r>
        <w:rPr>
          <w:color w:val="333333"/>
          <w:spacing w:val="-1"/>
        </w:rPr>
        <w:t>分隔；</w:t>
      </w:r>
      <w:r>
        <w:rPr>
          <w:color w:val="333333"/>
        </w:rPr>
        <w:t xml:space="preserve"> </w:t>
      </w:r>
    </w:p>
    <w:p w14:paraId="50580824" w14:textId="77777777" w:rsidR="00A71EEF" w:rsidRDefault="00A71EEF">
      <w:pPr>
        <w:spacing w:line="446" w:lineRule="auto"/>
        <w:jc w:val="both"/>
        <w:sectPr w:rsidR="00A71EEF">
          <w:pgSz w:w="11910" w:h="16850"/>
          <w:pgMar w:top="1220" w:right="0" w:bottom="1420" w:left="1260" w:header="0" w:footer="1239" w:gutter="0"/>
          <w:cols w:space="720"/>
        </w:sectPr>
      </w:pPr>
    </w:p>
    <w:p w14:paraId="5C3D2B56" w14:textId="77777777" w:rsidR="00A71EEF" w:rsidRDefault="0081115D">
      <w:pPr>
        <w:pStyle w:val="a3"/>
        <w:spacing w:before="47" w:line="446" w:lineRule="auto"/>
        <w:ind w:left="418" w:right="1608" w:firstLine="419"/>
        <w:jc w:val="both"/>
      </w:pPr>
      <w:r>
        <w:rPr>
          <w:color w:val="333333"/>
        </w:rPr>
        <w:lastRenderedPageBreak/>
        <w:t>住宅部分和非住宅部分的安全疏散、防火分区和室内消防设施配置，</w:t>
      </w:r>
      <w:r>
        <w:rPr>
          <w:color w:val="333333"/>
        </w:rPr>
        <w:t>可根据各自的建筑高度分别按照本规范有关住宅建筑和公共建筑的规定执行；该建筑的其他防火设计应根据建筑的总高度和建筑规模按本规范有关公共建筑的规定执行。</w:t>
      </w:r>
      <w:r>
        <w:rPr>
          <w:color w:val="333333"/>
        </w:rPr>
        <w:t xml:space="preserve">  </w:t>
      </w:r>
      <w:r>
        <w:rPr>
          <w:color w:val="333333"/>
        </w:rPr>
        <w:t xml:space="preserve"> </w:t>
      </w:r>
      <w:r>
        <w:rPr>
          <w:color w:val="333333"/>
        </w:rPr>
        <w:t xml:space="preserve"> </w:t>
      </w:r>
      <w:r>
        <w:rPr>
          <w:color w:val="333333"/>
        </w:rPr>
        <w:t xml:space="preserve"> </w:t>
      </w:r>
      <w:r>
        <w:rPr>
          <w:color w:val="333333"/>
        </w:rPr>
        <w:t xml:space="preserve"> </w:t>
      </w:r>
      <w:r>
        <w:rPr>
          <w:color w:val="333333"/>
        </w:rPr>
        <w:t xml:space="preserve"> </w:t>
      </w:r>
    </w:p>
    <w:p w14:paraId="31B46F6A" w14:textId="77777777" w:rsidR="00A71EEF" w:rsidRDefault="0081115D">
      <w:pPr>
        <w:pStyle w:val="a4"/>
        <w:numPr>
          <w:ilvl w:val="2"/>
          <w:numId w:val="724"/>
        </w:numPr>
        <w:tabs>
          <w:tab w:val="left" w:pos="1478"/>
        </w:tabs>
        <w:spacing w:line="446" w:lineRule="auto"/>
        <w:ind w:left="418" w:right="1496" w:firstLine="422"/>
        <w:jc w:val="both"/>
        <w:rPr>
          <w:b/>
          <w:sz w:val="21"/>
        </w:rPr>
      </w:pPr>
      <w:r>
        <w:rPr>
          <w:color w:val="333333"/>
          <w:spacing w:val="-3"/>
          <w:sz w:val="21"/>
        </w:rPr>
        <w:t>设置商业服务网点的住宅建筑，其居住部分与商业服务网点之间应采用耐火极限不</w:t>
      </w:r>
      <w:r>
        <w:rPr>
          <w:color w:val="333333"/>
          <w:spacing w:val="-18"/>
          <w:sz w:val="21"/>
        </w:rPr>
        <w:t>低于</w:t>
      </w:r>
      <w:r>
        <w:rPr>
          <w:color w:val="333333"/>
          <w:spacing w:val="-18"/>
          <w:sz w:val="21"/>
        </w:rPr>
        <w:t xml:space="preserve"> </w:t>
      </w:r>
      <w:r>
        <w:rPr>
          <w:color w:val="333333"/>
          <w:sz w:val="21"/>
        </w:rPr>
        <w:t>2.00h</w:t>
      </w:r>
      <w:r>
        <w:rPr>
          <w:color w:val="333333"/>
          <w:spacing w:val="-6"/>
          <w:sz w:val="21"/>
        </w:rPr>
        <w:t xml:space="preserve"> </w:t>
      </w:r>
      <w:r>
        <w:rPr>
          <w:color w:val="333333"/>
          <w:spacing w:val="-6"/>
          <w:sz w:val="21"/>
        </w:rPr>
        <w:t>且无门、窗、洞口的防火隔墙和</w:t>
      </w:r>
      <w:r>
        <w:rPr>
          <w:color w:val="333333"/>
          <w:spacing w:val="-6"/>
          <w:sz w:val="21"/>
        </w:rPr>
        <w:t xml:space="preserve"> </w:t>
      </w:r>
      <w:r>
        <w:rPr>
          <w:color w:val="333333"/>
          <w:sz w:val="21"/>
        </w:rPr>
        <w:t>1.50h</w:t>
      </w:r>
      <w:r>
        <w:rPr>
          <w:color w:val="333333"/>
          <w:spacing w:val="-3"/>
          <w:sz w:val="21"/>
        </w:rPr>
        <w:t xml:space="preserve"> </w:t>
      </w:r>
      <w:r>
        <w:rPr>
          <w:color w:val="333333"/>
          <w:spacing w:val="-3"/>
          <w:sz w:val="21"/>
        </w:rPr>
        <w:t>的不燃性楼板完全分隔，住宅部分和商业服务网点部分的安全出口和疏散楼梯应分别独立设置。</w:t>
      </w:r>
      <w:r>
        <w:rPr>
          <w:b/>
          <w:color w:val="333333"/>
          <w:spacing w:val="-3"/>
          <w:w w:val="99"/>
          <w:sz w:val="21"/>
        </w:rPr>
        <w:t xml:space="preserve"> </w:t>
      </w:r>
    </w:p>
    <w:p w14:paraId="722301EF" w14:textId="77777777" w:rsidR="00A71EEF" w:rsidRDefault="0081115D">
      <w:pPr>
        <w:pStyle w:val="a3"/>
        <w:spacing w:line="444" w:lineRule="auto"/>
        <w:ind w:left="418" w:right="1450" w:firstLine="419"/>
        <w:rPr>
          <w:b/>
        </w:rPr>
      </w:pPr>
      <w:r>
        <w:rPr>
          <w:color w:val="333333"/>
          <w:spacing w:val="-5"/>
        </w:rPr>
        <w:t>商业服务网点中每个分隔单元之间应采用耐火极限不低于</w:t>
      </w:r>
      <w:r>
        <w:rPr>
          <w:color w:val="333333"/>
          <w:spacing w:val="-5"/>
        </w:rPr>
        <w:t xml:space="preserve"> </w:t>
      </w:r>
      <w:r>
        <w:rPr>
          <w:color w:val="333333"/>
        </w:rPr>
        <w:t>2.00h</w:t>
      </w:r>
      <w:r>
        <w:rPr>
          <w:color w:val="333333"/>
          <w:spacing w:val="-2"/>
        </w:rPr>
        <w:t xml:space="preserve"> </w:t>
      </w:r>
      <w:r>
        <w:rPr>
          <w:color w:val="333333"/>
          <w:spacing w:val="-2"/>
        </w:rPr>
        <w:t>且无门、窗、洞口的防火</w:t>
      </w:r>
      <w:r>
        <w:rPr>
          <w:color w:val="333333"/>
          <w:spacing w:val="-5"/>
        </w:rPr>
        <w:t>隔墙相互分隔，当每个分隔单元任一层建筑面积</w:t>
      </w:r>
      <w:r>
        <w:rPr>
          <w:color w:val="333333"/>
          <w:spacing w:val="-5"/>
        </w:rPr>
        <w:t>大于</w:t>
      </w:r>
      <w:r>
        <w:rPr>
          <w:color w:val="333333"/>
          <w:spacing w:val="-5"/>
        </w:rPr>
        <w:t xml:space="preserve"> </w:t>
      </w:r>
      <w:r>
        <w:rPr>
          <w:color w:val="333333"/>
        </w:rPr>
        <w:t>200m</w:t>
      </w:r>
      <w:r>
        <w:rPr>
          <w:color w:val="333333"/>
          <w:position w:val="11"/>
          <w:sz w:val="11"/>
        </w:rPr>
        <w:t>2</w:t>
      </w:r>
      <w:r>
        <w:rPr>
          <w:color w:val="333333"/>
          <w:sz w:val="11"/>
        </w:rPr>
        <w:t xml:space="preserve"> </w:t>
      </w:r>
      <w:r>
        <w:rPr>
          <w:color w:val="333333"/>
          <w:spacing w:val="-9"/>
        </w:rPr>
        <w:t>时，该层应设置</w:t>
      </w:r>
      <w:r>
        <w:rPr>
          <w:color w:val="333333"/>
          <w:spacing w:val="-9"/>
        </w:rPr>
        <w:t xml:space="preserve"> </w:t>
      </w:r>
      <w:r>
        <w:rPr>
          <w:color w:val="333333"/>
        </w:rPr>
        <w:t>2</w:t>
      </w:r>
      <w:r>
        <w:rPr>
          <w:color w:val="333333"/>
          <w:spacing w:val="-2"/>
        </w:rPr>
        <w:t xml:space="preserve"> </w:t>
      </w:r>
      <w:r>
        <w:rPr>
          <w:color w:val="333333"/>
          <w:spacing w:val="-2"/>
        </w:rPr>
        <w:t>个安全出口或疏</w:t>
      </w:r>
      <w:r>
        <w:rPr>
          <w:color w:val="333333"/>
          <w:spacing w:val="-4"/>
        </w:rPr>
        <w:t>散门。每个分隔单元内的任一点至最近直通室外的出口的直线距离不应大于本规范表</w:t>
      </w:r>
      <w:r>
        <w:rPr>
          <w:color w:val="333333"/>
          <w:spacing w:val="-4"/>
        </w:rPr>
        <w:t xml:space="preserve"> </w:t>
      </w:r>
      <w:r>
        <w:rPr>
          <w:color w:val="333333"/>
        </w:rPr>
        <w:t>5.5.17</w:t>
      </w:r>
      <w:r>
        <w:rPr>
          <w:color w:val="333333"/>
          <w:spacing w:val="13"/>
        </w:rPr>
        <w:t xml:space="preserve"> </w:t>
      </w:r>
      <w:r>
        <w:rPr>
          <w:color w:val="333333"/>
          <w:spacing w:val="13"/>
        </w:rPr>
        <w:t>中</w:t>
      </w:r>
      <w:r>
        <w:rPr>
          <w:color w:val="333333"/>
          <w:spacing w:val="-3"/>
        </w:rPr>
        <w:t>有关多层其他建筑位于袋形走道两侧或尽端的疏散门至最近安全出口的最大直线距离。</w:t>
      </w:r>
      <w:r>
        <w:rPr>
          <w:b/>
          <w:color w:val="333333"/>
          <w:w w:val="99"/>
        </w:rPr>
        <w:t xml:space="preserve"> </w:t>
      </w:r>
      <w:r>
        <w:rPr>
          <w:b/>
          <w:color w:val="333333"/>
          <w:spacing w:val="-1"/>
        </w:rPr>
        <w:t xml:space="preserve"> </w:t>
      </w:r>
      <w:r>
        <w:rPr>
          <w:b/>
          <w:color w:val="333333"/>
          <w:w w:val="99"/>
        </w:rPr>
        <w:t xml:space="preserve"> </w:t>
      </w:r>
      <w:r>
        <w:rPr>
          <w:b/>
          <w:color w:val="333333"/>
          <w:spacing w:val="-3"/>
        </w:rPr>
        <w:t xml:space="preserve"> </w:t>
      </w:r>
      <w:r>
        <w:rPr>
          <w:b/>
          <w:color w:val="333333"/>
          <w:w w:val="99"/>
        </w:rPr>
        <w:t xml:space="preserve"> </w:t>
      </w:r>
    </w:p>
    <w:p w14:paraId="440E1227" w14:textId="77777777" w:rsidR="00A71EEF" w:rsidRDefault="0081115D">
      <w:pPr>
        <w:pStyle w:val="a3"/>
        <w:spacing w:line="268" w:lineRule="exact"/>
        <w:ind w:left="838"/>
      </w:pPr>
      <w:r>
        <w:rPr>
          <w:color w:val="333333"/>
        </w:rPr>
        <w:t>注：室内楼梯的距离可按其水平投影长度的</w:t>
      </w:r>
      <w:r>
        <w:rPr>
          <w:color w:val="333333"/>
        </w:rPr>
        <w:t xml:space="preserve"> 1.50 </w:t>
      </w:r>
      <w:r>
        <w:rPr>
          <w:color w:val="333333"/>
        </w:rPr>
        <w:t>倍计算。</w:t>
      </w:r>
      <w:r>
        <w:rPr>
          <w:color w:val="333333"/>
        </w:rPr>
        <w:t xml:space="preserve"> </w:t>
      </w:r>
    </w:p>
    <w:p w14:paraId="6ADB4466" w14:textId="77777777" w:rsidR="00A71EEF" w:rsidRDefault="00A71EEF">
      <w:pPr>
        <w:pStyle w:val="a3"/>
        <w:spacing w:before="10"/>
        <w:rPr>
          <w:sz w:val="17"/>
        </w:rPr>
      </w:pPr>
    </w:p>
    <w:p w14:paraId="78DBDBE9" w14:textId="77777777" w:rsidR="00A71EEF" w:rsidRDefault="0081115D">
      <w:pPr>
        <w:pStyle w:val="a4"/>
        <w:numPr>
          <w:ilvl w:val="2"/>
          <w:numId w:val="724"/>
        </w:numPr>
        <w:tabs>
          <w:tab w:val="left" w:pos="1478"/>
        </w:tabs>
        <w:spacing w:line="446" w:lineRule="auto"/>
        <w:ind w:left="418" w:right="1498" w:firstLine="422"/>
        <w:rPr>
          <w:sz w:val="21"/>
        </w:rPr>
      </w:pPr>
      <w:r>
        <w:rPr>
          <w:color w:val="333333"/>
          <w:spacing w:val="-3"/>
          <w:sz w:val="21"/>
        </w:rPr>
        <w:t>燃油或燃气锅炉、油浸变压器、充有可燃油的高压电容器和多油开关等，宜设置在建筑外的专用房间内；确需贴邻民用建筑布置时，应采用防火墙与所贴邻的建筑分隔，且不应贴邻人员密集场所，该专用房间的耐火等级不应低于二级；确需布置在民用建筑内时，不应布置在人员密集场所的上一层、下一层或贴邻，并应符合下列规定：</w:t>
      </w:r>
      <w:r>
        <w:rPr>
          <w:color w:val="333333"/>
          <w:sz w:val="21"/>
        </w:rPr>
        <w:t xml:space="preserve"> </w:t>
      </w:r>
    </w:p>
    <w:p w14:paraId="2590785A" w14:textId="77777777" w:rsidR="00A71EEF" w:rsidRDefault="0081115D">
      <w:pPr>
        <w:pStyle w:val="a3"/>
        <w:spacing w:line="446" w:lineRule="auto"/>
        <w:ind w:left="418" w:right="1608" w:firstLine="419"/>
        <w:jc w:val="both"/>
      </w:pPr>
      <w:r>
        <w:rPr>
          <w:color w:val="333333"/>
          <w:spacing w:val="-3"/>
        </w:rPr>
        <w:t>燃油或燃气锅炉房、变压器室应设置在首层或地下一层的靠外墙部位，但常</w:t>
      </w:r>
      <w:r>
        <w:rPr>
          <w:color w:val="333333"/>
        </w:rPr>
        <w:t>（负</w:t>
      </w:r>
      <w:r>
        <w:rPr>
          <w:color w:val="333333"/>
          <w:spacing w:val="-3"/>
        </w:rPr>
        <w:t>）</w:t>
      </w:r>
      <w:r>
        <w:rPr>
          <w:color w:val="333333"/>
          <w:spacing w:val="-2"/>
        </w:rPr>
        <w:t>压燃油</w:t>
      </w:r>
      <w:r>
        <w:rPr>
          <w:color w:val="333333"/>
          <w:spacing w:val="-3"/>
        </w:rPr>
        <w:t>或燃气锅炉可设置在地下二层或屋顶上。设置在屋顶上的常（</w:t>
      </w:r>
      <w:r>
        <w:rPr>
          <w:color w:val="333333"/>
        </w:rPr>
        <w:t>负</w:t>
      </w:r>
      <w:r>
        <w:rPr>
          <w:color w:val="333333"/>
          <w:spacing w:val="-3"/>
        </w:rPr>
        <w:t>）压燃气锅炉，距离通向屋面</w:t>
      </w:r>
      <w:r>
        <w:rPr>
          <w:color w:val="333333"/>
          <w:spacing w:val="-8"/>
        </w:rPr>
        <w:t>的安全出口不应小于</w:t>
      </w:r>
      <w:r>
        <w:rPr>
          <w:color w:val="333333"/>
          <w:spacing w:val="-8"/>
        </w:rPr>
        <w:t xml:space="preserve"> </w:t>
      </w:r>
      <w:r>
        <w:rPr>
          <w:color w:val="333333"/>
        </w:rPr>
        <w:t>6m</w:t>
      </w:r>
      <w:r>
        <w:rPr>
          <w:color w:val="333333"/>
          <w:spacing w:val="-3"/>
        </w:rPr>
        <w:t>。采用相对密度（与空气密度的比值）</w:t>
      </w:r>
      <w:r>
        <w:rPr>
          <w:color w:val="333333"/>
          <w:spacing w:val="-13"/>
        </w:rPr>
        <w:t>不小于</w:t>
      </w:r>
      <w:r>
        <w:rPr>
          <w:color w:val="333333"/>
          <w:spacing w:val="-13"/>
        </w:rPr>
        <w:t xml:space="preserve"> </w:t>
      </w:r>
      <w:r>
        <w:rPr>
          <w:color w:val="333333"/>
        </w:rPr>
        <w:t>0.75</w:t>
      </w:r>
      <w:r>
        <w:rPr>
          <w:color w:val="333333"/>
          <w:spacing w:val="-1"/>
        </w:rPr>
        <w:t xml:space="preserve"> </w:t>
      </w:r>
      <w:r>
        <w:rPr>
          <w:color w:val="333333"/>
          <w:spacing w:val="-1"/>
        </w:rPr>
        <w:t>的可燃气体为燃料</w:t>
      </w:r>
      <w:r>
        <w:rPr>
          <w:color w:val="333333"/>
          <w:spacing w:val="-3"/>
        </w:rPr>
        <w:t>的锅炉，不得设置在地下或半地下；</w:t>
      </w:r>
      <w:r>
        <w:rPr>
          <w:color w:val="333333"/>
        </w:rPr>
        <w:t xml:space="preserve"> </w:t>
      </w:r>
    </w:p>
    <w:p w14:paraId="3265CE2B" w14:textId="77777777" w:rsidR="00A71EEF" w:rsidRDefault="0081115D">
      <w:pPr>
        <w:pStyle w:val="a3"/>
        <w:spacing w:line="267" w:lineRule="exact"/>
        <w:ind w:left="838"/>
      </w:pPr>
      <w:r>
        <w:rPr>
          <w:color w:val="333333"/>
        </w:rPr>
        <w:t>锅炉房、变压器室的疏散门均应直通室外或安全出口；</w:t>
      </w:r>
      <w:r>
        <w:rPr>
          <w:color w:val="333333"/>
        </w:rPr>
        <w:t xml:space="preserve"> </w:t>
      </w:r>
    </w:p>
    <w:p w14:paraId="06A30750" w14:textId="77777777" w:rsidR="00A71EEF" w:rsidRDefault="00A71EEF">
      <w:pPr>
        <w:pStyle w:val="a3"/>
        <w:rPr>
          <w:sz w:val="18"/>
        </w:rPr>
      </w:pPr>
    </w:p>
    <w:p w14:paraId="375C4AAD" w14:textId="77777777" w:rsidR="00A71EEF" w:rsidRDefault="0081115D">
      <w:pPr>
        <w:pStyle w:val="a3"/>
        <w:spacing w:line="446" w:lineRule="auto"/>
        <w:ind w:left="418" w:right="1505" w:firstLine="419"/>
      </w:pPr>
      <w:r>
        <w:rPr>
          <w:color w:val="333333"/>
          <w:spacing w:val="-5"/>
        </w:rPr>
        <w:t>锅炉房、变压器室等与其他部位之间应采用耐火极限不低于</w:t>
      </w:r>
      <w:r>
        <w:rPr>
          <w:color w:val="333333"/>
          <w:spacing w:val="-5"/>
        </w:rPr>
        <w:t xml:space="preserve"> </w:t>
      </w:r>
      <w:r>
        <w:rPr>
          <w:color w:val="333333"/>
        </w:rPr>
        <w:t>2.00h</w:t>
      </w:r>
      <w:r>
        <w:rPr>
          <w:color w:val="333333"/>
          <w:spacing w:val="-7"/>
        </w:rPr>
        <w:t xml:space="preserve"> </w:t>
      </w:r>
      <w:r>
        <w:rPr>
          <w:color w:val="333333"/>
          <w:spacing w:val="-7"/>
        </w:rPr>
        <w:t>的防火隔墙和</w:t>
      </w:r>
      <w:r>
        <w:rPr>
          <w:color w:val="333333"/>
          <w:spacing w:val="-7"/>
        </w:rPr>
        <w:t xml:space="preserve"> </w:t>
      </w:r>
      <w:r>
        <w:rPr>
          <w:color w:val="333333"/>
        </w:rPr>
        <w:t>1.50h</w:t>
      </w:r>
      <w:r>
        <w:rPr>
          <w:color w:val="333333"/>
          <w:spacing w:val="5"/>
        </w:rPr>
        <w:t xml:space="preserve"> </w:t>
      </w:r>
      <w:r>
        <w:rPr>
          <w:color w:val="333333"/>
          <w:spacing w:val="5"/>
        </w:rPr>
        <w:t>的</w:t>
      </w:r>
      <w:r>
        <w:rPr>
          <w:color w:val="333333"/>
          <w:spacing w:val="-3"/>
        </w:rPr>
        <w:t>不燃性楼板分隔。在隔墙和楼板上不应开设洞口，确需在隔墙上设置门、窗时，应采用甲级防火门、窗；</w:t>
      </w:r>
      <w:r>
        <w:rPr>
          <w:color w:val="333333"/>
        </w:rPr>
        <w:t xml:space="preserve"> </w:t>
      </w:r>
    </w:p>
    <w:p w14:paraId="6AA994AE" w14:textId="77777777" w:rsidR="00A71EEF" w:rsidRDefault="0081115D">
      <w:pPr>
        <w:pStyle w:val="a3"/>
        <w:spacing w:line="268" w:lineRule="exact"/>
        <w:ind w:left="838"/>
      </w:pPr>
      <w:r>
        <w:rPr>
          <w:color w:val="333333"/>
        </w:rPr>
        <w:t>锅炉房内设置储油间时，其总储存量不应大于</w:t>
      </w:r>
      <w:r>
        <w:rPr>
          <w:color w:val="333333"/>
        </w:rPr>
        <w:t xml:space="preserve"> 1m</w:t>
      </w:r>
      <w:r>
        <w:rPr>
          <w:color w:val="333333"/>
          <w:position w:val="11"/>
          <w:sz w:val="11"/>
        </w:rPr>
        <w:t>3</w:t>
      </w:r>
      <w:r>
        <w:rPr>
          <w:color w:val="333333"/>
        </w:rPr>
        <w:t>，且储油间应采用耐火极限不低于</w:t>
      </w:r>
      <w:r>
        <w:rPr>
          <w:color w:val="333333"/>
        </w:rPr>
        <w:t xml:space="preserve"> 3.00h </w:t>
      </w:r>
    </w:p>
    <w:p w14:paraId="06B9BC25" w14:textId="77777777" w:rsidR="00A71EEF" w:rsidRDefault="00A71EEF">
      <w:pPr>
        <w:pStyle w:val="a3"/>
        <w:spacing w:before="2"/>
        <w:rPr>
          <w:sz w:val="18"/>
        </w:rPr>
      </w:pPr>
    </w:p>
    <w:p w14:paraId="1E737E42" w14:textId="77777777" w:rsidR="00A71EEF" w:rsidRDefault="0081115D">
      <w:pPr>
        <w:pStyle w:val="a3"/>
        <w:ind w:left="418"/>
      </w:pPr>
      <w:r>
        <w:rPr>
          <w:color w:val="333333"/>
        </w:rPr>
        <w:t>的防火隔墙与锅炉间分隔；确需在防火隔墙上设置门时，应采用甲级防火门；</w:t>
      </w:r>
      <w:r>
        <w:rPr>
          <w:color w:val="333333"/>
        </w:rPr>
        <w:t xml:space="preserve"> </w:t>
      </w:r>
    </w:p>
    <w:p w14:paraId="4FBF60E6" w14:textId="77777777" w:rsidR="00A71EEF" w:rsidRDefault="00A71EEF">
      <w:pPr>
        <w:pStyle w:val="a3"/>
        <w:rPr>
          <w:sz w:val="18"/>
        </w:rPr>
      </w:pPr>
    </w:p>
    <w:p w14:paraId="7BF536DC" w14:textId="77777777" w:rsidR="00A71EEF" w:rsidRDefault="0081115D">
      <w:pPr>
        <w:pStyle w:val="a3"/>
        <w:ind w:left="838"/>
      </w:pPr>
      <w:r>
        <w:rPr>
          <w:color w:val="333333"/>
        </w:rPr>
        <w:t>变压器室之间、变压器室与配电室之间，应设置耐火极限不低于</w:t>
      </w:r>
      <w:r>
        <w:rPr>
          <w:color w:val="333333"/>
        </w:rPr>
        <w:t xml:space="preserve"> 2.00h </w:t>
      </w:r>
      <w:r>
        <w:rPr>
          <w:color w:val="333333"/>
        </w:rPr>
        <w:t>的防火隔墙；</w:t>
      </w:r>
      <w:r>
        <w:rPr>
          <w:color w:val="333333"/>
        </w:rPr>
        <w:t xml:space="preserve"> </w:t>
      </w:r>
    </w:p>
    <w:p w14:paraId="094697ED" w14:textId="77777777" w:rsidR="00A71EEF" w:rsidRDefault="00A71EEF">
      <w:pPr>
        <w:pStyle w:val="a3"/>
        <w:spacing w:before="12"/>
        <w:rPr>
          <w:sz w:val="17"/>
        </w:rPr>
      </w:pPr>
    </w:p>
    <w:p w14:paraId="743F1844" w14:textId="77777777" w:rsidR="00A71EEF" w:rsidRDefault="0081115D">
      <w:pPr>
        <w:pStyle w:val="a3"/>
        <w:spacing w:line="446" w:lineRule="auto"/>
        <w:ind w:left="418" w:right="1609" w:firstLine="419"/>
      </w:pPr>
      <w:r>
        <w:rPr>
          <w:color w:val="333333"/>
        </w:rPr>
        <w:t>油浸变压器、多油开关室、高压电容器室，应设置防止油品流散的设施。油浸变压器下面应设置能储存变压器全部油量的事故储油设施；</w:t>
      </w:r>
      <w:r>
        <w:rPr>
          <w:color w:val="333333"/>
        </w:rPr>
        <w:t xml:space="preserve"> </w:t>
      </w:r>
    </w:p>
    <w:p w14:paraId="3392D93F" w14:textId="77777777" w:rsidR="00A71EEF" w:rsidRDefault="00A71EEF">
      <w:pPr>
        <w:spacing w:line="446" w:lineRule="auto"/>
        <w:sectPr w:rsidR="00A71EEF">
          <w:footerReference w:type="default" r:id="rId133"/>
          <w:pgSz w:w="11910" w:h="16850"/>
          <w:pgMar w:top="1220" w:right="0" w:bottom="1420" w:left="1260" w:header="0" w:footer="1239" w:gutter="0"/>
          <w:pgNumType w:start="1010"/>
          <w:cols w:space="720"/>
        </w:sectPr>
      </w:pPr>
    </w:p>
    <w:p w14:paraId="23A51922" w14:textId="77777777" w:rsidR="00A71EEF" w:rsidRDefault="0081115D">
      <w:pPr>
        <w:pStyle w:val="a3"/>
        <w:spacing w:before="47"/>
        <w:ind w:left="838"/>
      </w:pPr>
      <w:r>
        <w:rPr>
          <w:color w:val="333333"/>
        </w:rPr>
        <w:lastRenderedPageBreak/>
        <w:t>应设置火灾报警装置；</w:t>
      </w:r>
      <w:r>
        <w:rPr>
          <w:color w:val="333333"/>
        </w:rPr>
        <w:t xml:space="preserve"> </w:t>
      </w:r>
    </w:p>
    <w:p w14:paraId="0FC1FFA0" w14:textId="77777777" w:rsidR="00A71EEF" w:rsidRDefault="00A71EEF">
      <w:pPr>
        <w:pStyle w:val="a3"/>
        <w:rPr>
          <w:sz w:val="18"/>
        </w:rPr>
      </w:pPr>
    </w:p>
    <w:p w14:paraId="20786189" w14:textId="77777777" w:rsidR="00A71EEF" w:rsidRDefault="0081115D">
      <w:pPr>
        <w:pStyle w:val="a3"/>
        <w:spacing w:line="446" w:lineRule="auto"/>
        <w:ind w:left="418" w:right="1609" w:firstLine="419"/>
      </w:pPr>
      <w:r>
        <w:rPr>
          <w:color w:val="333333"/>
        </w:rPr>
        <w:t>应设置与锅炉、变压器、电容器和多油开关等的容量及建筑规模相适应的灭火设施，当建筑内其他部位设置自动喷水灭火系统时，应设置自动喷水灭火系统；</w:t>
      </w:r>
      <w:r>
        <w:rPr>
          <w:color w:val="333333"/>
        </w:rPr>
        <w:t xml:space="preserve"> </w:t>
      </w:r>
    </w:p>
    <w:p w14:paraId="45429864" w14:textId="77777777" w:rsidR="00A71EEF" w:rsidRDefault="0081115D">
      <w:pPr>
        <w:pStyle w:val="a3"/>
        <w:spacing w:line="446" w:lineRule="auto"/>
        <w:ind w:left="418" w:right="1505" w:firstLine="419"/>
      </w:pPr>
      <w:r>
        <w:rPr>
          <w:color w:val="333333"/>
        </w:rPr>
        <w:t>锅炉的容量应符合现行国家标准《锅炉房设计规范》</w:t>
      </w:r>
      <w:r>
        <w:rPr>
          <w:color w:val="333333"/>
        </w:rPr>
        <w:t xml:space="preserve">GB 50041 </w:t>
      </w:r>
      <w:r>
        <w:rPr>
          <w:color w:val="333333"/>
        </w:rPr>
        <w:t>的规定。油浸变压器的总容量不应大于</w:t>
      </w:r>
      <w:r>
        <w:rPr>
          <w:color w:val="333333"/>
        </w:rPr>
        <w:t xml:space="preserve"> 1260kVA</w:t>
      </w:r>
      <w:r>
        <w:rPr>
          <w:color w:val="333333"/>
        </w:rPr>
        <w:t>，单台容量不应大于</w:t>
      </w:r>
      <w:r>
        <w:rPr>
          <w:color w:val="333333"/>
        </w:rPr>
        <w:t xml:space="preserve"> 630kVA</w:t>
      </w:r>
      <w:r>
        <w:rPr>
          <w:color w:val="333333"/>
        </w:rPr>
        <w:t>；</w:t>
      </w:r>
      <w:r>
        <w:rPr>
          <w:color w:val="333333"/>
        </w:rPr>
        <w:t xml:space="preserve"> </w:t>
      </w:r>
    </w:p>
    <w:p w14:paraId="26DD0314" w14:textId="77777777" w:rsidR="00A71EEF" w:rsidRDefault="0081115D">
      <w:pPr>
        <w:pStyle w:val="a3"/>
        <w:spacing w:line="446" w:lineRule="auto"/>
        <w:ind w:left="418" w:right="1505" w:firstLine="419"/>
      </w:pPr>
      <w:r>
        <w:rPr>
          <w:color w:val="333333"/>
        </w:rPr>
        <w:t xml:space="preserve"> </w:t>
      </w:r>
      <w:r>
        <w:rPr>
          <w:color w:val="333333"/>
        </w:rPr>
        <w:t>燃气锅炉房应设置爆炸泄压设施。燃油或燃气锅炉房应设置独立的通风系统，并应符合本规范第</w:t>
      </w:r>
      <w:r>
        <w:rPr>
          <w:color w:val="333333"/>
        </w:rPr>
        <w:t xml:space="preserve"> 9 </w:t>
      </w:r>
      <w:r>
        <w:rPr>
          <w:color w:val="333333"/>
        </w:rPr>
        <w:t>章的规定。</w:t>
      </w:r>
      <w:r>
        <w:rPr>
          <w:color w:val="333333"/>
        </w:rPr>
        <w:t xml:space="preserve"> </w:t>
      </w:r>
    </w:p>
    <w:p w14:paraId="07CBEC70" w14:textId="77777777" w:rsidR="00A71EEF" w:rsidRDefault="0081115D">
      <w:pPr>
        <w:pStyle w:val="a4"/>
        <w:numPr>
          <w:ilvl w:val="2"/>
          <w:numId w:val="724"/>
        </w:numPr>
        <w:tabs>
          <w:tab w:val="left" w:pos="1478"/>
        </w:tabs>
        <w:ind w:hanging="638"/>
        <w:rPr>
          <w:sz w:val="21"/>
        </w:rPr>
      </w:pPr>
      <w:r>
        <w:rPr>
          <w:color w:val="333333"/>
          <w:spacing w:val="-3"/>
          <w:sz w:val="21"/>
        </w:rPr>
        <w:t>布置在民用建筑内的柴油发电机房应符合下列规定：</w:t>
      </w:r>
      <w:r>
        <w:rPr>
          <w:color w:val="333333"/>
          <w:sz w:val="21"/>
        </w:rPr>
        <w:t xml:space="preserve"> </w:t>
      </w:r>
    </w:p>
    <w:p w14:paraId="353A33D2" w14:textId="77777777" w:rsidR="00A71EEF" w:rsidRDefault="00A71EEF">
      <w:pPr>
        <w:pStyle w:val="a3"/>
        <w:spacing w:before="10"/>
        <w:rPr>
          <w:sz w:val="17"/>
        </w:rPr>
      </w:pPr>
    </w:p>
    <w:p w14:paraId="14E2BC6F" w14:textId="77777777" w:rsidR="00A71EEF" w:rsidRDefault="0081115D">
      <w:pPr>
        <w:pStyle w:val="a3"/>
        <w:ind w:left="838"/>
      </w:pPr>
      <w:r>
        <w:rPr>
          <w:color w:val="333333"/>
        </w:rPr>
        <w:t>宜布置在首层或地下一、二层；</w:t>
      </w:r>
      <w:r>
        <w:rPr>
          <w:color w:val="333333"/>
        </w:rPr>
        <w:t xml:space="preserve"> </w:t>
      </w:r>
    </w:p>
    <w:p w14:paraId="5963AA31" w14:textId="77777777" w:rsidR="00A71EEF" w:rsidRDefault="00A71EEF">
      <w:pPr>
        <w:pStyle w:val="a3"/>
        <w:spacing w:before="2"/>
        <w:rPr>
          <w:sz w:val="18"/>
        </w:rPr>
      </w:pPr>
    </w:p>
    <w:p w14:paraId="5F84F8A9" w14:textId="77777777" w:rsidR="00A71EEF" w:rsidRDefault="0081115D">
      <w:pPr>
        <w:pStyle w:val="a3"/>
        <w:ind w:left="838"/>
      </w:pPr>
      <w:r>
        <w:rPr>
          <w:color w:val="333333"/>
        </w:rPr>
        <w:t>不应布置在人员密集场所的上</w:t>
      </w:r>
      <w:r>
        <w:rPr>
          <w:color w:val="333333"/>
        </w:rPr>
        <w:t>一层、下一层或贴邻；</w:t>
      </w:r>
      <w:r>
        <w:rPr>
          <w:color w:val="333333"/>
        </w:rPr>
        <w:t xml:space="preserve"> </w:t>
      </w:r>
    </w:p>
    <w:p w14:paraId="0B444397" w14:textId="77777777" w:rsidR="00A71EEF" w:rsidRDefault="00A71EEF">
      <w:pPr>
        <w:pStyle w:val="a3"/>
        <w:rPr>
          <w:sz w:val="18"/>
        </w:rPr>
      </w:pPr>
    </w:p>
    <w:p w14:paraId="54E1A350" w14:textId="77777777" w:rsidR="00A71EEF" w:rsidRDefault="0081115D">
      <w:pPr>
        <w:pStyle w:val="a3"/>
        <w:spacing w:line="446" w:lineRule="auto"/>
        <w:ind w:left="418" w:right="1508" w:firstLine="419"/>
      </w:pPr>
      <w:r>
        <w:rPr>
          <w:color w:val="333333"/>
          <w:spacing w:val="-7"/>
        </w:rPr>
        <w:t>应采用耐火极限不低于</w:t>
      </w:r>
      <w:r>
        <w:rPr>
          <w:color w:val="333333"/>
          <w:spacing w:val="-7"/>
        </w:rPr>
        <w:t xml:space="preserve"> </w:t>
      </w:r>
      <w:r>
        <w:rPr>
          <w:color w:val="333333"/>
        </w:rPr>
        <w:t>2.00h</w:t>
      </w:r>
      <w:r>
        <w:rPr>
          <w:color w:val="333333"/>
          <w:spacing w:val="-7"/>
        </w:rPr>
        <w:t xml:space="preserve"> </w:t>
      </w:r>
      <w:r>
        <w:rPr>
          <w:color w:val="333333"/>
          <w:spacing w:val="-7"/>
        </w:rPr>
        <w:t>的防火隔墙和</w:t>
      </w:r>
      <w:r>
        <w:rPr>
          <w:color w:val="333333"/>
          <w:spacing w:val="-7"/>
        </w:rPr>
        <w:t xml:space="preserve"> </w:t>
      </w:r>
      <w:r>
        <w:rPr>
          <w:color w:val="333333"/>
        </w:rPr>
        <w:t>1.50h</w:t>
      </w:r>
      <w:r>
        <w:rPr>
          <w:color w:val="333333"/>
          <w:spacing w:val="-3"/>
        </w:rPr>
        <w:t xml:space="preserve"> </w:t>
      </w:r>
      <w:r>
        <w:rPr>
          <w:color w:val="333333"/>
          <w:spacing w:val="-3"/>
        </w:rPr>
        <w:t>的不燃性楼板与其他部位分隔，门应采用甲级防火门；</w:t>
      </w:r>
      <w:r>
        <w:rPr>
          <w:color w:val="333333"/>
        </w:rPr>
        <w:t xml:space="preserve"> </w:t>
      </w:r>
    </w:p>
    <w:p w14:paraId="6F431B63" w14:textId="77777777" w:rsidR="00A71EEF" w:rsidRDefault="0081115D">
      <w:pPr>
        <w:pStyle w:val="a3"/>
        <w:spacing w:line="446" w:lineRule="auto"/>
        <w:ind w:left="418" w:right="1450" w:firstLine="419"/>
      </w:pPr>
      <w:r>
        <w:rPr>
          <w:color w:val="333333"/>
          <w:spacing w:val="-6"/>
        </w:rPr>
        <w:t>机房内设置储油间时，其总储存量不应大于</w:t>
      </w:r>
      <w:r>
        <w:rPr>
          <w:color w:val="333333"/>
          <w:spacing w:val="-6"/>
        </w:rPr>
        <w:t xml:space="preserve"> </w:t>
      </w:r>
      <w:r>
        <w:rPr>
          <w:color w:val="333333"/>
        </w:rPr>
        <w:t>1m</w:t>
      </w:r>
      <w:r>
        <w:rPr>
          <w:color w:val="333333"/>
          <w:position w:val="11"/>
          <w:sz w:val="11"/>
        </w:rPr>
        <w:t>3</w:t>
      </w:r>
      <w:r>
        <w:rPr>
          <w:color w:val="333333"/>
          <w:spacing w:val="-6"/>
        </w:rPr>
        <w:t>，储油间应采用耐火极限不低于</w:t>
      </w:r>
      <w:r>
        <w:rPr>
          <w:color w:val="333333"/>
          <w:spacing w:val="-6"/>
        </w:rPr>
        <w:t xml:space="preserve"> </w:t>
      </w:r>
      <w:r>
        <w:rPr>
          <w:color w:val="333333"/>
        </w:rPr>
        <w:t>3.00h</w:t>
      </w:r>
      <w:r>
        <w:rPr>
          <w:color w:val="333333"/>
          <w:spacing w:val="4"/>
        </w:rPr>
        <w:t xml:space="preserve"> </w:t>
      </w:r>
      <w:r>
        <w:rPr>
          <w:color w:val="333333"/>
          <w:spacing w:val="4"/>
        </w:rPr>
        <w:t>的防</w:t>
      </w:r>
      <w:r>
        <w:rPr>
          <w:color w:val="333333"/>
          <w:spacing w:val="-3"/>
        </w:rPr>
        <w:t>火隔墙与发电机间分隔；确需在防火隔墙上开门时，应设置甲级防火门；</w:t>
      </w:r>
      <w:r>
        <w:rPr>
          <w:color w:val="333333"/>
        </w:rPr>
        <w:t xml:space="preserve"> </w:t>
      </w:r>
    </w:p>
    <w:p w14:paraId="7C7E914F" w14:textId="77777777" w:rsidR="00A71EEF" w:rsidRDefault="0081115D">
      <w:pPr>
        <w:pStyle w:val="a3"/>
        <w:spacing w:line="267" w:lineRule="exact"/>
        <w:ind w:left="838"/>
      </w:pPr>
      <w:r>
        <w:rPr>
          <w:color w:val="333333"/>
        </w:rPr>
        <w:t>应设置火灾报警装置；</w:t>
      </w:r>
      <w:r>
        <w:rPr>
          <w:color w:val="333333"/>
        </w:rPr>
        <w:t xml:space="preserve"> </w:t>
      </w:r>
    </w:p>
    <w:p w14:paraId="1E9976B7" w14:textId="77777777" w:rsidR="00A71EEF" w:rsidRDefault="00A71EEF">
      <w:pPr>
        <w:pStyle w:val="a3"/>
        <w:spacing w:before="4"/>
        <w:rPr>
          <w:sz w:val="17"/>
        </w:rPr>
      </w:pPr>
    </w:p>
    <w:p w14:paraId="006C1D6E" w14:textId="77777777" w:rsidR="00A71EEF" w:rsidRDefault="0081115D">
      <w:pPr>
        <w:pStyle w:val="a3"/>
        <w:spacing w:line="446" w:lineRule="auto"/>
        <w:ind w:left="418" w:right="1609" w:firstLine="419"/>
      </w:pPr>
      <w:r>
        <w:rPr>
          <w:color w:val="333333"/>
        </w:rPr>
        <w:t>应设置与柴油发电机容量和建筑规模相适应的灭火设施，当建筑内其他部位设置自动喷水灭火系统时，机房内应设置自动喷水灭火系统。</w:t>
      </w:r>
      <w:r>
        <w:rPr>
          <w:color w:val="333333"/>
        </w:rPr>
        <w:t xml:space="preserve"> </w:t>
      </w:r>
    </w:p>
    <w:p w14:paraId="4EB1BB5C" w14:textId="77777777" w:rsidR="00A71EEF" w:rsidRDefault="0081115D">
      <w:pPr>
        <w:pStyle w:val="a4"/>
        <w:numPr>
          <w:ilvl w:val="2"/>
          <w:numId w:val="724"/>
        </w:numPr>
        <w:tabs>
          <w:tab w:val="left" w:pos="1478"/>
        </w:tabs>
        <w:spacing w:line="267" w:lineRule="exact"/>
        <w:ind w:hanging="638"/>
        <w:rPr>
          <w:sz w:val="21"/>
        </w:rPr>
      </w:pPr>
      <w:r>
        <w:rPr>
          <w:color w:val="333333"/>
          <w:spacing w:val="-3"/>
          <w:sz w:val="21"/>
        </w:rPr>
        <w:t>供建筑内使用的丙类液体燃料，其储罐应布置在建筑外，并应符合下列规定：</w:t>
      </w:r>
      <w:r>
        <w:rPr>
          <w:color w:val="333333"/>
          <w:sz w:val="21"/>
        </w:rPr>
        <w:t xml:space="preserve"> </w:t>
      </w:r>
    </w:p>
    <w:p w14:paraId="136D8D52" w14:textId="77777777" w:rsidR="00A71EEF" w:rsidRDefault="00A71EEF">
      <w:pPr>
        <w:pStyle w:val="a3"/>
        <w:spacing w:before="5"/>
        <w:rPr>
          <w:sz w:val="17"/>
        </w:rPr>
      </w:pPr>
    </w:p>
    <w:p w14:paraId="6CD33A02" w14:textId="77777777" w:rsidR="00A71EEF" w:rsidRDefault="0081115D">
      <w:pPr>
        <w:pStyle w:val="a3"/>
        <w:spacing w:line="446" w:lineRule="auto"/>
        <w:ind w:left="418" w:right="1503" w:firstLine="419"/>
      </w:pPr>
      <w:r>
        <w:rPr>
          <w:color w:val="333333"/>
          <w:spacing w:val="-8"/>
        </w:rPr>
        <w:t>当总容量不大于</w:t>
      </w:r>
      <w:r>
        <w:rPr>
          <w:color w:val="333333"/>
          <w:spacing w:val="-8"/>
        </w:rPr>
        <w:t xml:space="preserve"> </w:t>
      </w:r>
      <w:r>
        <w:rPr>
          <w:color w:val="333333"/>
        </w:rPr>
        <w:t>15m</w:t>
      </w:r>
      <w:r>
        <w:rPr>
          <w:color w:val="333333"/>
          <w:position w:val="11"/>
          <w:sz w:val="11"/>
        </w:rPr>
        <w:t>3</w:t>
      </w:r>
      <w:r>
        <w:rPr>
          <w:color w:val="333333"/>
          <w:spacing w:val="-6"/>
        </w:rPr>
        <w:t>，且直埋于建筑附近、面向油罐一面</w:t>
      </w:r>
      <w:r>
        <w:rPr>
          <w:color w:val="333333"/>
          <w:spacing w:val="-6"/>
        </w:rPr>
        <w:t xml:space="preserve"> </w:t>
      </w:r>
      <w:r>
        <w:rPr>
          <w:color w:val="333333"/>
        </w:rPr>
        <w:t>4.0m</w:t>
      </w:r>
      <w:r>
        <w:rPr>
          <w:color w:val="333333"/>
          <w:spacing w:val="-8"/>
        </w:rPr>
        <w:t xml:space="preserve"> </w:t>
      </w:r>
      <w:r>
        <w:rPr>
          <w:color w:val="333333"/>
          <w:spacing w:val="-8"/>
        </w:rPr>
        <w:t>范围内的建筑外墙为防火墙</w:t>
      </w:r>
      <w:r>
        <w:rPr>
          <w:color w:val="333333"/>
          <w:spacing w:val="-5"/>
        </w:rPr>
        <w:t>时，储罐与建筑的防火间距不限；</w:t>
      </w:r>
      <w:r>
        <w:rPr>
          <w:color w:val="333333"/>
        </w:rPr>
        <w:t xml:space="preserve"> </w:t>
      </w:r>
    </w:p>
    <w:p w14:paraId="7E6559E8" w14:textId="77777777" w:rsidR="00A71EEF" w:rsidRDefault="0081115D">
      <w:pPr>
        <w:pStyle w:val="a3"/>
        <w:spacing w:line="267" w:lineRule="exact"/>
        <w:ind w:left="838"/>
      </w:pPr>
      <w:r>
        <w:rPr>
          <w:color w:val="333333"/>
        </w:rPr>
        <w:t>当总容量大于</w:t>
      </w:r>
      <w:r>
        <w:rPr>
          <w:color w:val="333333"/>
        </w:rPr>
        <w:t xml:space="preserve"> 15m</w:t>
      </w:r>
      <w:r>
        <w:rPr>
          <w:color w:val="333333"/>
          <w:position w:val="11"/>
          <w:sz w:val="11"/>
        </w:rPr>
        <w:t xml:space="preserve">3 </w:t>
      </w:r>
      <w:r>
        <w:rPr>
          <w:color w:val="333333"/>
        </w:rPr>
        <w:t>时，储罐的布置应符合本规范第</w:t>
      </w:r>
      <w:r>
        <w:rPr>
          <w:color w:val="333333"/>
        </w:rPr>
        <w:t xml:space="preserve"> 4.2 </w:t>
      </w:r>
      <w:r>
        <w:rPr>
          <w:color w:val="333333"/>
        </w:rPr>
        <w:t>节的规定；</w:t>
      </w:r>
      <w:r>
        <w:rPr>
          <w:color w:val="333333"/>
        </w:rPr>
        <w:t xml:space="preserve"> </w:t>
      </w:r>
    </w:p>
    <w:p w14:paraId="11370ACD" w14:textId="77777777" w:rsidR="00A71EEF" w:rsidRDefault="00A71EEF">
      <w:pPr>
        <w:pStyle w:val="a3"/>
        <w:spacing w:before="5"/>
        <w:rPr>
          <w:sz w:val="17"/>
        </w:rPr>
      </w:pPr>
    </w:p>
    <w:p w14:paraId="07A61525" w14:textId="77777777" w:rsidR="00A71EEF" w:rsidRDefault="0081115D">
      <w:pPr>
        <w:pStyle w:val="a3"/>
        <w:spacing w:line="446" w:lineRule="auto"/>
        <w:ind w:left="418" w:right="1652" w:firstLine="419"/>
      </w:pPr>
      <w:r>
        <w:rPr>
          <w:color w:val="333333"/>
        </w:rPr>
        <w:t>当设置中间罐时，中间罐的容量不应大于</w:t>
      </w:r>
      <w:r>
        <w:rPr>
          <w:color w:val="333333"/>
        </w:rPr>
        <w:t xml:space="preserve"> 1m</w:t>
      </w:r>
      <w:r>
        <w:rPr>
          <w:color w:val="333333"/>
          <w:position w:val="11"/>
          <w:sz w:val="11"/>
        </w:rPr>
        <w:t>3</w:t>
      </w:r>
      <w:r>
        <w:rPr>
          <w:color w:val="333333"/>
        </w:rPr>
        <w:t>，并应设置在一、二级耐火等级的单独房间内，房间门应采用甲级防火门。</w:t>
      </w:r>
      <w:r>
        <w:rPr>
          <w:color w:val="333333"/>
        </w:rPr>
        <w:t xml:space="preserve"> </w:t>
      </w:r>
    </w:p>
    <w:p w14:paraId="0985E88A" w14:textId="77777777" w:rsidR="00A71EEF" w:rsidRDefault="0081115D">
      <w:pPr>
        <w:pStyle w:val="a4"/>
        <w:numPr>
          <w:ilvl w:val="2"/>
          <w:numId w:val="724"/>
        </w:numPr>
        <w:tabs>
          <w:tab w:val="left" w:pos="1478"/>
        </w:tabs>
        <w:spacing w:line="267" w:lineRule="exact"/>
        <w:ind w:hanging="638"/>
        <w:rPr>
          <w:sz w:val="21"/>
        </w:rPr>
      </w:pPr>
      <w:r>
        <w:rPr>
          <w:color w:val="333333"/>
          <w:spacing w:val="-3"/>
          <w:sz w:val="21"/>
        </w:rPr>
        <w:t>设置在建筑内的锅炉、柴油发电机，其燃料供给管道应符合下列规定：</w:t>
      </w:r>
      <w:r>
        <w:rPr>
          <w:color w:val="333333"/>
          <w:spacing w:val="-3"/>
          <w:sz w:val="21"/>
        </w:rPr>
        <w:t xml:space="preserve"> </w:t>
      </w:r>
    </w:p>
    <w:p w14:paraId="71369D2B" w14:textId="77777777" w:rsidR="00A71EEF" w:rsidRDefault="00A71EEF">
      <w:pPr>
        <w:pStyle w:val="a3"/>
        <w:spacing w:before="2"/>
        <w:rPr>
          <w:sz w:val="18"/>
        </w:rPr>
      </w:pPr>
    </w:p>
    <w:p w14:paraId="57386CD0" w14:textId="77777777" w:rsidR="00A71EEF" w:rsidRDefault="0081115D">
      <w:pPr>
        <w:pStyle w:val="a3"/>
        <w:ind w:left="838"/>
        <w:rPr>
          <w:b/>
        </w:rPr>
      </w:pPr>
      <w:r>
        <w:rPr>
          <w:color w:val="333333"/>
        </w:rPr>
        <w:t>在进入建筑物前和设备间内的管道上均应设置自动和手动切断阀；</w:t>
      </w:r>
      <w:r>
        <w:rPr>
          <w:b/>
          <w:color w:val="333333"/>
          <w:w w:val="99"/>
        </w:rPr>
        <w:t xml:space="preserve"> </w:t>
      </w:r>
    </w:p>
    <w:p w14:paraId="2AB33A82" w14:textId="77777777" w:rsidR="00A71EEF" w:rsidRDefault="00A71EEF">
      <w:pPr>
        <w:pStyle w:val="a3"/>
        <w:rPr>
          <w:b/>
          <w:sz w:val="18"/>
        </w:rPr>
      </w:pPr>
    </w:p>
    <w:p w14:paraId="38D869FD" w14:textId="77777777" w:rsidR="00A71EEF" w:rsidRDefault="0081115D">
      <w:pPr>
        <w:pStyle w:val="a3"/>
        <w:spacing w:line="446" w:lineRule="auto"/>
        <w:ind w:left="418" w:right="1609" w:firstLine="419"/>
        <w:rPr>
          <w:b/>
        </w:rPr>
      </w:pPr>
      <w:r>
        <w:rPr>
          <w:color w:val="333333"/>
        </w:rPr>
        <w:t>储油间的油箱应密闭且应设置通向室外的通气管，通气管应设置带阻火器的呼吸阀，油箱的下部应设置防止油品流散的设施；</w:t>
      </w:r>
      <w:r>
        <w:rPr>
          <w:b/>
          <w:color w:val="333333"/>
          <w:w w:val="99"/>
        </w:rPr>
        <w:t xml:space="preserve"> </w:t>
      </w:r>
    </w:p>
    <w:p w14:paraId="6166E3CD" w14:textId="77777777" w:rsidR="00A71EEF" w:rsidRDefault="0081115D">
      <w:pPr>
        <w:pStyle w:val="a3"/>
        <w:ind w:left="838"/>
      </w:pPr>
      <w:r>
        <w:rPr>
          <w:color w:val="333333"/>
        </w:rPr>
        <w:t>燃气供给管道的敷设应符合现行国家标准《城镇燃气设计规范》</w:t>
      </w:r>
      <w:r>
        <w:rPr>
          <w:color w:val="333333"/>
        </w:rPr>
        <w:t xml:space="preserve">GB 50028 </w:t>
      </w:r>
      <w:r>
        <w:rPr>
          <w:color w:val="333333"/>
        </w:rPr>
        <w:t>的规定。</w:t>
      </w:r>
      <w:r>
        <w:rPr>
          <w:color w:val="333333"/>
        </w:rPr>
        <w:t xml:space="preserve"> </w:t>
      </w:r>
    </w:p>
    <w:p w14:paraId="433E27F5" w14:textId="77777777" w:rsidR="00A71EEF" w:rsidRDefault="00A71EEF">
      <w:pPr>
        <w:sectPr w:rsidR="00A71EEF">
          <w:pgSz w:w="11910" w:h="16850"/>
          <w:pgMar w:top="1220" w:right="0" w:bottom="1420" w:left="1260" w:header="0" w:footer="1239" w:gutter="0"/>
          <w:cols w:space="720"/>
        </w:sectPr>
      </w:pPr>
    </w:p>
    <w:p w14:paraId="428FBED7" w14:textId="77777777" w:rsidR="00A71EEF" w:rsidRDefault="0081115D">
      <w:pPr>
        <w:pStyle w:val="a4"/>
        <w:numPr>
          <w:ilvl w:val="2"/>
          <w:numId w:val="724"/>
        </w:numPr>
        <w:tabs>
          <w:tab w:val="left" w:pos="1478"/>
        </w:tabs>
        <w:spacing w:before="47" w:line="446" w:lineRule="auto"/>
        <w:ind w:left="418" w:right="1496" w:firstLine="422"/>
        <w:rPr>
          <w:sz w:val="21"/>
        </w:rPr>
      </w:pPr>
      <w:r>
        <w:rPr>
          <w:color w:val="333333"/>
          <w:spacing w:val="-3"/>
          <w:sz w:val="21"/>
        </w:rPr>
        <w:lastRenderedPageBreak/>
        <w:t>高层民用建筑内使用可燃气体燃料时，应采用管道供气。使用可燃气体的房间或部位宜靠外墙设置，并应符合现行国家标准《城镇燃气设计规范》</w:t>
      </w:r>
      <w:r>
        <w:rPr>
          <w:color w:val="333333"/>
          <w:sz w:val="21"/>
        </w:rPr>
        <w:t>GB</w:t>
      </w:r>
      <w:r>
        <w:rPr>
          <w:color w:val="333333"/>
          <w:spacing w:val="3"/>
          <w:sz w:val="21"/>
        </w:rPr>
        <w:t xml:space="preserve"> </w:t>
      </w:r>
      <w:r>
        <w:rPr>
          <w:color w:val="333333"/>
          <w:sz w:val="21"/>
        </w:rPr>
        <w:t>50028</w:t>
      </w:r>
      <w:r>
        <w:rPr>
          <w:color w:val="333333"/>
          <w:spacing w:val="-2"/>
          <w:sz w:val="21"/>
        </w:rPr>
        <w:t xml:space="preserve"> </w:t>
      </w:r>
      <w:r>
        <w:rPr>
          <w:color w:val="333333"/>
          <w:spacing w:val="-2"/>
          <w:sz w:val="21"/>
        </w:rPr>
        <w:t>的规定。</w:t>
      </w:r>
      <w:r>
        <w:rPr>
          <w:color w:val="333333"/>
          <w:spacing w:val="-2"/>
          <w:sz w:val="21"/>
        </w:rPr>
        <w:t xml:space="preserve"> </w:t>
      </w:r>
    </w:p>
    <w:p w14:paraId="1F9919F8" w14:textId="77777777" w:rsidR="00A71EEF" w:rsidRDefault="0081115D">
      <w:pPr>
        <w:pStyle w:val="a4"/>
        <w:numPr>
          <w:ilvl w:val="2"/>
          <w:numId w:val="724"/>
        </w:numPr>
        <w:tabs>
          <w:tab w:val="left" w:pos="1478"/>
        </w:tabs>
        <w:spacing w:line="267" w:lineRule="exact"/>
        <w:ind w:hanging="638"/>
        <w:rPr>
          <w:b/>
          <w:sz w:val="21"/>
        </w:rPr>
      </w:pPr>
      <w:r>
        <w:rPr>
          <w:color w:val="333333"/>
          <w:spacing w:val="-3"/>
          <w:sz w:val="21"/>
        </w:rPr>
        <w:t>建筑采用瓶装液化石油气瓶组供气时，应符合下列规定：</w:t>
      </w:r>
      <w:r>
        <w:rPr>
          <w:b/>
          <w:color w:val="333333"/>
          <w:w w:val="99"/>
          <w:sz w:val="21"/>
        </w:rPr>
        <w:t xml:space="preserve"> </w:t>
      </w:r>
    </w:p>
    <w:p w14:paraId="4F860D18" w14:textId="77777777" w:rsidR="00A71EEF" w:rsidRDefault="00A71EEF">
      <w:pPr>
        <w:pStyle w:val="a3"/>
        <w:spacing w:before="2"/>
        <w:rPr>
          <w:b/>
          <w:sz w:val="18"/>
        </w:rPr>
      </w:pPr>
    </w:p>
    <w:p w14:paraId="64B12EED" w14:textId="77777777" w:rsidR="00A71EEF" w:rsidRDefault="0081115D">
      <w:pPr>
        <w:pStyle w:val="a3"/>
        <w:ind w:left="838"/>
        <w:rPr>
          <w:b/>
        </w:rPr>
      </w:pPr>
      <w:r>
        <w:rPr>
          <w:color w:val="333333"/>
        </w:rPr>
        <w:t>应设置独立的瓶组间；</w:t>
      </w:r>
      <w:r>
        <w:rPr>
          <w:b/>
          <w:color w:val="333333"/>
          <w:w w:val="99"/>
        </w:rPr>
        <w:t xml:space="preserve"> </w:t>
      </w:r>
    </w:p>
    <w:p w14:paraId="7C6238CC" w14:textId="77777777" w:rsidR="00A71EEF" w:rsidRDefault="00A71EEF">
      <w:pPr>
        <w:pStyle w:val="a3"/>
        <w:rPr>
          <w:b/>
          <w:sz w:val="18"/>
        </w:rPr>
      </w:pPr>
    </w:p>
    <w:p w14:paraId="5F29F03B" w14:textId="77777777" w:rsidR="00A71EEF" w:rsidRDefault="0081115D">
      <w:pPr>
        <w:pStyle w:val="a3"/>
        <w:spacing w:line="436" w:lineRule="auto"/>
        <w:ind w:left="418" w:right="1609" w:firstLine="419"/>
        <w:rPr>
          <w:b/>
        </w:rPr>
      </w:pPr>
      <w:r>
        <w:rPr>
          <w:color w:val="333333"/>
          <w:spacing w:val="-3"/>
        </w:rPr>
        <w:t>瓶组间不应与住宅建筑、重要公共建筑和其他高层公共建筑贴邻，液化石油气气瓶的总容</w:t>
      </w:r>
      <w:r>
        <w:rPr>
          <w:color w:val="333333"/>
          <w:spacing w:val="-13"/>
        </w:rPr>
        <w:t>积不大于</w:t>
      </w:r>
      <w:r>
        <w:rPr>
          <w:color w:val="333333"/>
          <w:spacing w:val="-13"/>
        </w:rPr>
        <w:t xml:space="preserve"> </w:t>
      </w:r>
      <w:r>
        <w:rPr>
          <w:color w:val="333333"/>
        </w:rPr>
        <w:t>1m</w:t>
      </w:r>
      <w:r>
        <w:rPr>
          <w:color w:val="333333"/>
          <w:position w:val="11"/>
          <w:sz w:val="11"/>
        </w:rPr>
        <w:t>3</w:t>
      </w:r>
      <w:r>
        <w:rPr>
          <w:color w:val="333333"/>
          <w:spacing w:val="53"/>
          <w:sz w:val="11"/>
        </w:rPr>
        <w:t xml:space="preserve"> </w:t>
      </w:r>
      <w:r>
        <w:rPr>
          <w:color w:val="333333"/>
          <w:spacing w:val="-3"/>
        </w:rPr>
        <w:t>的瓶组间与所服务的其他建筑贴邻时，应采用自然气化方式供气；</w:t>
      </w:r>
      <w:r>
        <w:rPr>
          <w:b/>
          <w:color w:val="333333"/>
          <w:spacing w:val="-3"/>
          <w:w w:val="99"/>
        </w:rPr>
        <w:t xml:space="preserve"> </w:t>
      </w:r>
    </w:p>
    <w:p w14:paraId="66F1E6AA" w14:textId="77777777" w:rsidR="00A71EEF" w:rsidRDefault="0081115D">
      <w:pPr>
        <w:pStyle w:val="a3"/>
        <w:spacing w:before="1" w:line="446" w:lineRule="auto"/>
        <w:ind w:left="418" w:right="1606" w:firstLine="419"/>
      </w:pPr>
      <w:r>
        <w:rPr>
          <w:color w:val="333333"/>
          <w:spacing w:val="-7"/>
        </w:rPr>
        <w:t>液化石油气气瓶的总容积大于</w:t>
      </w:r>
      <w:r>
        <w:rPr>
          <w:color w:val="333333"/>
          <w:spacing w:val="-7"/>
        </w:rPr>
        <w:t xml:space="preserve"> </w:t>
      </w:r>
      <w:r>
        <w:rPr>
          <w:color w:val="333333"/>
        </w:rPr>
        <w:t>1m</w:t>
      </w:r>
      <w:r>
        <w:rPr>
          <w:color w:val="333333"/>
          <w:position w:val="11"/>
          <w:sz w:val="11"/>
        </w:rPr>
        <w:t>3</w:t>
      </w:r>
      <w:r>
        <w:rPr>
          <w:color w:val="333333"/>
          <w:spacing w:val="-12"/>
        </w:rPr>
        <w:t>、不大于</w:t>
      </w:r>
      <w:r>
        <w:rPr>
          <w:color w:val="333333"/>
          <w:spacing w:val="-12"/>
        </w:rPr>
        <w:t xml:space="preserve"> </w:t>
      </w:r>
      <w:r>
        <w:rPr>
          <w:color w:val="333333"/>
        </w:rPr>
        <w:t>4m</w:t>
      </w:r>
      <w:r>
        <w:rPr>
          <w:color w:val="333333"/>
          <w:position w:val="11"/>
          <w:sz w:val="11"/>
        </w:rPr>
        <w:t>3</w:t>
      </w:r>
      <w:r>
        <w:rPr>
          <w:color w:val="333333"/>
          <w:sz w:val="11"/>
        </w:rPr>
        <w:t xml:space="preserve"> </w:t>
      </w:r>
      <w:r>
        <w:rPr>
          <w:color w:val="333333"/>
          <w:spacing w:val="-3"/>
        </w:rPr>
        <w:t>的独立瓶组间，与所服务建筑的防火</w:t>
      </w:r>
      <w:r>
        <w:rPr>
          <w:spacing w:val="-3"/>
        </w:rPr>
        <w:t>间距</w:t>
      </w:r>
      <w:r>
        <w:rPr>
          <w:spacing w:val="-10"/>
        </w:rPr>
        <w:t>应符合本规范表</w:t>
      </w:r>
      <w:r>
        <w:rPr>
          <w:spacing w:val="-10"/>
        </w:rPr>
        <w:t xml:space="preserve"> </w:t>
      </w:r>
      <w:r>
        <w:t>5.4.17</w:t>
      </w:r>
      <w:r>
        <w:rPr>
          <w:spacing w:val="-3"/>
        </w:rPr>
        <w:t xml:space="preserve"> </w:t>
      </w:r>
      <w:r>
        <w:rPr>
          <w:spacing w:val="-3"/>
        </w:rPr>
        <w:t>的规定；</w:t>
      </w:r>
      <w:r>
        <w:t xml:space="preserve"> </w:t>
      </w:r>
    </w:p>
    <w:p w14:paraId="692B02CA" w14:textId="77777777" w:rsidR="00A71EEF" w:rsidRDefault="0081115D">
      <w:pPr>
        <w:pStyle w:val="6"/>
        <w:spacing w:line="267" w:lineRule="exact"/>
        <w:ind w:left="1728"/>
      </w:pPr>
      <w:r>
        <w:t>表</w:t>
      </w:r>
      <w:r>
        <w:t xml:space="preserve"> 5.4.17 </w:t>
      </w:r>
      <w:r>
        <w:t>液化石油气气瓶的独立瓶组间与所服务建筑的防火间距（</w:t>
      </w:r>
      <w:r>
        <w:t>m</w:t>
      </w:r>
      <w:r>
        <w:t>）</w:t>
      </w:r>
      <w:r>
        <w:rPr>
          <w:w w:val="99"/>
        </w:rPr>
        <w:t xml:space="preserve"> </w:t>
      </w:r>
    </w:p>
    <w:p w14:paraId="3216E2F7" w14:textId="77777777" w:rsidR="00A71EEF" w:rsidRDefault="00A71EEF">
      <w:pPr>
        <w:pStyle w:val="a3"/>
        <w:rPr>
          <w:b/>
          <w:sz w:val="20"/>
        </w:rPr>
      </w:pPr>
    </w:p>
    <w:p w14:paraId="330DE091" w14:textId="77777777" w:rsidR="00A71EEF" w:rsidRDefault="0081115D">
      <w:pPr>
        <w:pStyle w:val="a3"/>
        <w:rPr>
          <w:b/>
          <w:sz w:val="25"/>
        </w:rPr>
      </w:pPr>
      <w:r>
        <w:rPr>
          <w:noProof/>
        </w:rPr>
        <w:drawing>
          <wp:anchor distT="0" distB="0" distL="0" distR="0" simplePos="0" relativeHeight="251539968" behindDoc="0" locked="0" layoutInCell="1" allowOverlap="1" wp14:anchorId="18D634F9" wp14:editId="6CBB0201">
            <wp:simplePos x="0" y="0"/>
            <wp:positionH relativeFrom="page">
              <wp:posOffset>1141730</wp:posOffset>
            </wp:positionH>
            <wp:positionV relativeFrom="paragraph">
              <wp:posOffset>228171</wp:posOffset>
            </wp:positionV>
            <wp:extent cx="5534024" cy="1447800"/>
            <wp:effectExtent l="0" t="0" r="0" b="0"/>
            <wp:wrapTopAndBottom/>
            <wp:docPr id="213" name="image1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134.jpeg"/>
                    <pic:cNvPicPr/>
                  </pic:nvPicPr>
                  <pic:blipFill>
                    <a:blip r:embed="rId134" cstate="print"/>
                    <a:stretch>
                      <a:fillRect/>
                    </a:stretch>
                  </pic:blipFill>
                  <pic:spPr>
                    <a:xfrm>
                      <a:off x="0" y="0"/>
                      <a:ext cx="5534024" cy="1447800"/>
                    </a:xfrm>
                    <a:prstGeom prst="rect">
                      <a:avLst/>
                    </a:prstGeom>
                  </pic:spPr>
                </pic:pic>
              </a:graphicData>
            </a:graphic>
          </wp:anchor>
        </w:drawing>
      </w:r>
    </w:p>
    <w:p w14:paraId="366CF56A" w14:textId="77777777" w:rsidR="00A71EEF" w:rsidRDefault="00A71EEF">
      <w:pPr>
        <w:pStyle w:val="a3"/>
        <w:spacing w:before="1"/>
        <w:rPr>
          <w:b/>
          <w:sz w:val="7"/>
        </w:rPr>
      </w:pPr>
    </w:p>
    <w:p w14:paraId="0D0FBC14" w14:textId="77777777" w:rsidR="00A71EEF" w:rsidRDefault="0081115D">
      <w:pPr>
        <w:pStyle w:val="a3"/>
        <w:spacing w:before="71" w:line="446" w:lineRule="auto"/>
        <w:ind w:left="838" w:right="3606"/>
        <w:rPr>
          <w:b/>
        </w:rPr>
      </w:pPr>
      <w:r>
        <w:rPr>
          <w:color w:val="333333"/>
        </w:rPr>
        <w:t>注：</w:t>
      </w:r>
      <w:r>
        <w:rPr>
          <w:color w:val="333333"/>
        </w:rPr>
        <w:t xml:space="preserve">  </w:t>
      </w:r>
      <w:r>
        <w:rPr>
          <w:color w:val="333333"/>
        </w:rPr>
        <w:t>气瓶总容积应按配置气瓶个数与单瓶几何容积的乘积计算。在瓶组间的总出气管道上应设置紧急事故自动切断阀；</w:t>
      </w:r>
      <w:r>
        <w:rPr>
          <w:b/>
          <w:color w:val="333333"/>
          <w:w w:val="99"/>
        </w:rPr>
        <w:t xml:space="preserve"> </w:t>
      </w:r>
    </w:p>
    <w:p w14:paraId="2FAEF334" w14:textId="77777777" w:rsidR="00A71EEF" w:rsidRDefault="0081115D">
      <w:pPr>
        <w:pStyle w:val="a3"/>
        <w:ind w:left="838"/>
        <w:rPr>
          <w:b/>
        </w:rPr>
      </w:pPr>
      <w:r>
        <w:rPr>
          <w:color w:val="333333"/>
        </w:rPr>
        <w:t>瓶组间应设置可燃气体浓度报警装置；</w:t>
      </w:r>
      <w:r>
        <w:rPr>
          <w:b/>
          <w:color w:val="333333"/>
          <w:w w:val="99"/>
        </w:rPr>
        <w:t xml:space="preserve"> </w:t>
      </w:r>
    </w:p>
    <w:p w14:paraId="65B4E49C" w14:textId="77777777" w:rsidR="00A71EEF" w:rsidRDefault="00A71EEF">
      <w:pPr>
        <w:pStyle w:val="a3"/>
        <w:rPr>
          <w:b/>
          <w:sz w:val="18"/>
        </w:rPr>
      </w:pPr>
    </w:p>
    <w:p w14:paraId="67B322E4" w14:textId="77777777" w:rsidR="00A71EEF" w:rsidRDefault="0081115D">
      <w:pPr>
        <w:pStyle w:val="a3"/>
        <w:spacing w:line="446" w:lineRule="auto"/>
        <w:ind w:left="840" w:right="2662" w:hanging="3"/>
        <w:rPr>
          <w:b/>
        </w:rPr>
      </w:pPr>
      <w:r>
        <w:rPr>
          <w:color w:val="333333"/>
        </w:rPr>
        <w:t>其他防火要求应符合现行国家标准《城镇燃气设计规范》</w:t>
      </w:r>
      <w:r>
        <w:rPr>
          <w:color w:val="333333"/>
        </w:rPr>
        <w:t xml:space="preserve">GB 50028 </w:t>
      </w:r>
      <w:r>
        <w:rPr>
          <w:color w:val="333333"/>
        </w:rPr>
        <w:t>的规定。</w:t>
      </w:r>
      <w:r>
        <w:rPr>
          <w:b/>
        </w:rPr>
        <w:t xml:space="preserve">5.5 </w:t>
      </w:r>
      <w:r>
        <w:t>安全疏散和避难</w:t>
      </w:r>
      <w:r>
        <w:rPr>
          <w:b/>
          <w:w w:val="99"/>
        </w:rPr>
        <w:t xml:space="preserve"> </w:t>
      </w:r>
    </w:p>
    <w:p w14:paraId="5E4E6615" w14:textId="77777777" w:rsidR="00A71EEF" w:rsidRDefault="0081115D">
      <w:pPr>
        <w:pStyle w:val="a3"/>
        <w:ind w:left="838"/>
      </w:pPr>
      <w:r>
        <w:rPr>
          <w:color w:val="333333"/>
        </w:rPr>
        <w:t xml:space="preserve">Ⅰ </w:t>
      </w:r>
      <w:r>
        <w:rPr>
          <w:color w:val="333333"/>
        </w:rPr>
        <w:t>一般要求</w:t>
      </w:r>
      <w:r>
        <w:rPr>
          <w:color w:val="333333"/>
        </w:rPr>
        <w:t xml:space="preserve"> </w:t>
      </w:r>
    </w:p>
    <w:p w14:paraId="00AF2AFE" w14:textId="77777777" w:rsidR="00A71EEF" w:rsidRDefault="00A71EEF">
      <w:pPr>
        <w:pStyle w:val="a3"/>
        <w:rPr>
          <w:sz w:val="18"/>
        </w:rPr>
      </w:pPr>
    </w:p>
    <w:p w14:paraId="5B11134F" w14:textId="77777777" w:rsidR="00A71EEF" w:rsidRDefault="0081115D">
      <w:pPr>
        <w:pStyle w:val="a4"/>
        <w:numPr>
          <w:ilvl w:val="2"/>
          <w:numId w:val="723"/>
        </w:numPr>
        <w:tabs>
          <w:tab w:val="left" w:pos="1371"/>
        </w:tabs>
        <w:spacing w:line="446" w:lineRule="auto"/>
        <w:ind w:right="1604" w:firstLine="422"/>
        <w:jc w:val="both"/>
        <w:rPr>
          <w:sz w:val="21"/>
        </w:rPr>
      </w:pPr>
      <w:r>
        <w:rPr>
          <w:color w:val="333333"/>
          <w:spacing w:val="-3"/>
          <w:sz w:val="21"/>
        </w:rPr>
        <w:t>民用建筑应根据其建筑高度、规模、使用功能和耐火等级等因素合理设置安全疏散和避难设施。安全出口和疏散门的位置、数量、宽度及疏散楼梯间的形式，应满足人员安全疏散的要求。</w:t>
      </w:r>
      <w:r>
        <w:rPr>
          <w:color w:val="333333"/>
          <w:sz w:val="21"/>
        </w:rPr>
        <w:t xml:space="preserve"> </w:t>
      </w:r>
    </w:p>
    <w:p w14:paraId="391EB104" w14:textId="77777777" w:rsidR="00A71EEF" w:rsidRDefault="0081115D">
      <w:pPr>
        <w:pStyle w:val="a4"/>
        <w:numPr>
          <w:ilvl w:val="2"/>
          <w:numId w:val="723"/>
        </w:numPr>
        <w:tabs>
          <w:tab w:val="left" w:pos="1370"/>
        </w:tabs>
        <w:spacing w:line="446" w:lineRule="auto"/>
        <w:ind w:right="1604" w:firstLine="422"/>
        <w:jc w:val="both"/>
        <w:rPr>
          <w:sz w:val="21"/>
        </w:rPr>
      </w:pPr>
      <w:r>
        <w:rPr>
          <w:color w:val="333333"/>
          <w:spacing w:val="-3"/>
          <w:sz w:val="21"/>
        </w:rPr>
        <w:t>建筑内的安全出口和疏散门应分散布置，且建筑内每个防火分区或一个防火分区的每个楼层、每个住宅单元每层相邻两个安全出口以及每个房间相邻两个疏散门最近边缘之间的</w:t>
      </w:r>
      <w:r>
        <w:rPr>
          <w:color w:val="333333"/>
          <w:spacing w:val="-9"/>
          <w:sz w:val="21"/>
        </w:rPr>
        <w:t>水平距离不应小于</w:t>
      </w:r>
      <w:r>
        <w:rPr>
          <w:color w:val="333333"/>
          <w:spacing w:val="-9"/>
          <w:sz w:val="21"/>
        </w:rPr>
        <w:t xml:space="preserve"> </w:t>
      </w:r>
      <w:r>
        <w:rPr>
          <w:color w:val="333333"/>
          <w:sz w:val="21"/>
        </w:rPr>
        <w:t>5m</w:t>
      </w:r>
      <w:r>
        <w:rPr>
          <w:color w:val="333333"/>
          <w:sz w:val="21"/>
        </w:rPr>
        <w:t>。</w:t>
      </w:r>
      <w:r>
        <w:rPr>
          <w:color w:val="333333"/>
          <w:sz w:val="21"/>
        </w:rPr>
        <w:t xml:space="preserve"> </w:t>
      </w:r>
    </w:p>
    <w:p w14:paraId="6979BA4C" w14:textId="77777777" w:rsidR="00A71EEF" w:rsidRDefault="0081115D">
      <w:pPr>
        <w:pStyle w:val="a4"/>
        <w:numPr>
          <w:ilvl w:val="2"/>
          <w:numId w:val="723"/>
        </w:numPr>
        <w:tabs>
          <w:tab w:val="left" w:pos="1371"/>
        </w:tabs>
        <w:spacing w:line="268" w:lineRule="exact"/>
        <w:ind w:left="1370"/>
        <w:rPr>
          <w:sz w:val="21"/>
        </w:rPr>
      </w:pPr>
      <w:r>
        <w:rPr>
          <w:color w:val="333333"/>
          <w:spacing w:val="-3"/>
          <w:sz w:val="21"/>
        </w:rPr>
        <w:t>建筑的楼梯间宜通至屋面，通向屋面的门或窗应向外开启。</w:t>
      </w:r>
      <w:r>
        <w:rPr>
          <w:color w:val="333333"/>
          <w:sz w:val="21"/>
        </w:rPr>
        <w:t xml:space="preserve"> </w:t>
      </w:r>
    </w:p>
    <w:p w14:paraId="7DECD943" w14:textId="77777777" w:rsidR="00A71EEF" w:rsidRDefault="00A71EEF">
      <w:pPr>
        <w:spacing w:line="268" w:lineRule="exact"/>
        <w:rPr>
          <w:sz w:val="21"/>
        </w:rPr>
        <w:sectPr w:rsidR="00A71EEF">
          <w:pgSz w:w="11910" w:h="16850"/>
          <w:pgMar w:top="1220" w:right="0" w:bottom="1420" w:left="1260" w:header="0" w:footer="1239" w:gutter="0"/>
          <w:cols w:space="720"/>
        </w:sectPr>
      </w:pPr>
    </w:p>
    <w:p w14:paraId="0257CF83" w14:textId="77777777" w:rsidR="00A71EEF" w:rsidRDefault="0081115D">
      <w:pPr>
        <w:pStyle w:val="a4"/>
        <w:numPr>
          <w:ilvl w:val="2"/>
          <w:numId w:val="723"/>
        </w:numPr>
        <w:tabs>
          <w:tab w:val="left" w:pos="1371"/>
        </w:tabs>
        <w:spacing w:before="47"/>
        <w:ind w:left="1370"/>
        <w:rPr>
          <w:sz w:val="21"/>
        </w:rPr>
      </w:pPr>
      <w:r>
        <w:rPr>
          <w:color w:val="333333"/>
          <w:spacing w:val="-3"/>
          <w:sz w:val="21"/>
        </w:rPr>
        <w:lastRenderedPageBreak/>
        <w:t>自动扶梯和电梯不应计作安全疏散设施。</w:t>
      </w:r>
      <w:r>
        <w:rPr>
          <w:color w:val="333333"/>
          <w:sz w:val="21"/>
        </w:rPr>
        <w:t xml:space="preserve"> </w:t>
      </w:r>
    </w:p>
    <w:p w14:paraId="7DC084EA" w14:textId="77777777" w:rsidR="00A71EEF" w:rsidRDefault="00A71EEF">
      <w:pPr>
        <w:pStyle w:val="a3"/>
        <w:spacing w:before="3"/>
        <w:rPr>
          <w:sz w:val="17"/>
        </w:rPr>
      </w:pPr>
    </w:p>
    <w:p w14:paraId="5DB80B48" w14:textId="77777777" w:rsidR="00A71EEF" w:rsidRDefault="0081115D">
      <w:pPr>
        <w:pStyle w:val="a4"/>
        <w:numPr>
          <w:ilvl w:val="2"/>
          <w:numId w:val="723"/>
        </w:numPr>
        <w:tabs>
          <w:tab w:val="left" w:pos="1371"/>
        </w:tabs>
        <w:ind w:left="1370"/>
        <w:rPr>
          <w:sz w:val="21"/>
        </w:rPr>
      </w:pPr>
      <w:r>
        <w:rPr>
          <w:color w:val="333333"/>
          <w:spacing w:val="-6"/>
          <w:sz w:val="21"/>
        </w:rPr>
        <w:t>除人员密集场所外，建筑面积不</w:t>
      </w:r>
      <w:r>
        <w:rPr>
          <w:color w:val="333333"/>
          <w:spacing w:val="-6"/>
          <w:sz w:val="21"/>
        </w:rPr>
        <w:t>大于</w:t>
      </w:r>
      <w:r>
        <w:rPr>
          <w:color w:val="333333"/>
          <w:spacing w:val="-6"/>
          <w:sz w:val="21"/>
        </w:rPr>
        <w:t xml:space="preserve"> </w:t>
      </w:r>
      <w:r>
        <w:rPr>
          <w:color w:val="333333"/>
          <w:sz w:val="21"/>
        </w:rPr>
        <w:t>500m</w:t>
      </w:r>
      <w:r>
        <w:rPr>
          <w:color w:val="333333"/>
          <w:position w:val="11"/>
          <w:sz w:val="11"/>
        </w:rPr>
        <w:t>2</w:t>
      </w:r>
      <w:r>
        <w:rPr>
          <w:color w:val="333333"/>
          <w:spacing w:val="-9"/>
          <w:sz w:val="21"/>
        </w:rPr>
        <w:t>、使用人数不超过</w:t>
      </w:r>
      <w:r>
        <w:rPr>
          <w:color w:val="333333"/>
          <w:spacing w:val="-9"/>
          <w:sz w:val="21"/>
        </w:rPr>
        <w:t xml:space="preserve"> </w:t>
      </w:r>
      <w:r>
        <w:rPr>
          <w:color w:val="333333"/>
          <w:sz w:val="21"/>
        </w:rPr>
        <w:t>30</w:t>
      </w:r>
      <w:r>
        <w:rPr>
          <w:color w:val="333333"/>
          <w:spacing w:val="-2"/>
          <w:sz w:val="21"/>
        </w:rPr>
        <w:t xml:space="preserve"> </w:t>
      </w:r>
      <w:r>
        <w:rPr>
          <w:color w:val="333333"/>
          <w:spacing w:val="-2"/>
          <w:sz w:val="21"/>
        </w:rPr>
        <w:t>人且埋深不大于</w:t>
      </w:r>
    </w:p>
    <w:p w14:paraId="7895A6E3" w14:textId="77777777" w:rsidR="00A71EEF" w:rsidRDefault="00A71EEF">
      <w:pPr>
        <w:pStyle w:val="a3"/>
        <w:spacing w:before="12"/>
        <w:rPr>
          <w:sz w:val="17"/>
        </w:rPr>
      </w:pPr>
    </w:p>
    <w:p w14:paraId="20305B96" w14:textId="77777777" w:rsidR="00A71EEF" w:rsidRDefault="0081115D">
      <w:pPr>
        <w:pStyle w:val="a3"/>
        <w:spacing w:line="446" w:lineRule="auto"/>
        <w:ind w:left="418" w:right="1609"/>
      </w:pPr>
      <w:r>
        <w:rPr>
          <w:color w:val="333333"/>
        </w:rPr>
        <w:t>10m</w:t>
      </w:r>
      <w:r>
        <w:rPr>
          <w:color w:val="333333"/>
          <w:spacing w:val="-2"/>
        </w:rPr>
        <w:t xml:space="preserve"> </w:t>
      </w:r>
      <w:r>
        <w:rPr>
          <w:color w:val="333333"/>
          <w:spacing w:val="-2"/>
        </w:rPr>
        <w:t>的地下或半地下建筑</w:t>
      </w:r>
      <w:r>
        <w:rPr>
          <w:color w:val="333333"/>
        </w:rPr>
        <w:t>（室）</w:t>
      </w:r>
      <w:r>
        <w:rPr>
          <w:color w:val="333333"/>
          <w:spacing w:val="-9"/>
        </w:rPr>
        <w:t>，当需要设置</w:t>
      </w:r>
      <w:r>
        <w:rPr>
          <w:color w:val="333333"/>
          <w:spacing w:val="-9"/>
        </w:rPr>
        <w:t xml:space="preserve"> </w:t>
      </w:r>
      <w:r>
        <w:rPr>
          <w:color w:val="333333"/>
        </w:rPr>
        <w:t>2</w:t>
      </w:r>
      <w:r>
        <w:rPr>
          <w:color w:val="333333"/>
          <w:spacing w:val="-8"/>
        </w:rPr>
        <w:t xml:space="preserve"> </w:t>
      </w:r>
      <w:r>
        <w:rPr>
          <w:color w:val="333333"/>
          <w:spacing w:val="-8"/>
        </w:rPr>
        <w:t>个安全出口时，其中一个安全出口可利用直通</w:t>
      </w:r>
      <w:r>
        <w:rPr>
          <w:color w:val="333333"/>
          <w:spacing w:val="-5"/>
        </w:rPr>
        <w:t>室外的金属竖向梯。</w:t>
      </w:r>
      <w:r>
        <w:rPr>
          <w:color w:val="333333"/>
        </w:rPr>
        <w:t xml:space="preserve"> </w:t>
      </w:r>
    </w:p>
    <w:p w14:paraId="7A364C8D" w14:textId="77777777" w:rsidR="00A71EEF" w:rsidRDefault="0081115D">
      <w:pPr>
        <w:pStyle w:val="a3"/>
        <w:spacing w:line="441" w:lineRule="auto"/>
        <w:ind w:left="418" w:right="1503" w:firstLine="419"/>
      </w:pPr>
      <w:r>
        <w:rPr>
          <w:color w:val="333333"/>
          <w:spacing w:val="-5"/>
        </w:rPr>
        <w:t>除歌舞娱乐放映游艺场所外，防火分区建筑面积不大于</w:t>
      </w:r>
      <w:r>
        <w:rPr>
          <w:color w:val="333333"/>
          <w:spacing w:val="-5"/>
        </w:rPr>
        <w:t xml:space="preserve"> </w:t>
      </w:r>
      <w:r>
        <w:rPr>
          <w:color w:val="333333"/>
        </w:rPr>
        <w:t>200m</w:t>
      </w:r>
      <w:r>
        <w:rPr>
          <w:color w:val="333333"/>
          <w:position w:val="11"/>
          <w:sz w:val="11"/>
        </w:rPr>
        <w:t>2</w:t>
      </w:r>
      <w:r>
        <w:rPr>
          <w:color w:val="333333"/>
          <w:sz w:val="11"/>
        </w:rPr>
        <w:t xml:space="preserve"> </w:t>
      </w:r>
      <w:r>
        <w:rPr>
          <w:color w:val="333333"/>
          <w:spacing w:val="-3"/>
        </w:rPr>
        <w:t>的地下或半地下设备间、防</w:t>
      </w:r>
      <w:r>
        <w:rPr>
          <w:color w:val="333333"/>
          <w:spacing w:val="-8"/>
        </w:rPr>
        <w:t>火分区建筑面积不大于</w:t>
      </w:r>
      <w:r>
        <w:rPr>
          <w:color w:val="333333"/>
          <w:spacing w:val="-8"/>
        </w:rPr>
        <w:t xml:space="preserve"> </w:t>
      </w:r>
      <w:r>
        <w:rPr>
          <w:color w:val="333333"/>
        </w:rPr>
        <w:t>50m</w:t>
      </w:r>
      <w:r>
        <w:rPr>
          <w:color w:val="333333"/>
          <w:position w:val="11"/>
          <w:sz w:val="11"/>
        </w:rPr>
        <w:t xml:space="preserve">2 </w:t>
      </w:r>
      <w:r>
        <w:rPr>
          <w:color w:val="333333"/>
          <w:spacing w:val="-8"/>
        </w:rPr>
        <w:t>且经常停留人数不超过</w:t>
      </w:r>
      <w:r>
        <w:rPr>
          <w:color w:val="333333"/>
          <w:spacing w:val="-8"/>
        </w:rPr>
        <w:t xml:space="preserve"> </w:t>
      </w:r>
      <w:r>
        <w:rPr>
          <w:color w:val="333333"/>
        </w:rPr>
        <w:t>15</w:t>
      </w:r>
      <w:r>
        <w:rPr>
          <w:color w:val="333333"/>
          <w:spacing w:val="-3"/>
        </w:rPr>
        <w:t xml:space="preserve"> </w:t>
      </w:r>
      <w:r>
        <w:rPr>
          <w:color w:val="333333"/>
          <w:spacing w:val="-3"/>
        </w:rPr>
        <w:t>人的其他地下或半地下建筑（</w:t>
      </w:r>
      <w:r>
        <w:rPr>
          <w:color w:val="333333"/>
        </w:rPr>
        <w:t>室），可</w:t>
      </w:r>
      <w:r>
        <w:rPr>
          <w:color w:val="333333"/>
          <w:spacing w:val="-18"/>
        </w:rPr>
        <w:t>设置</w:t>
      </w:r>
      <w:r>
        <w:rPr>
          <w:color w:val="333333"/>
          <w:spacing w:val="-18"/>
        </w:rPr>
        <w:t xml:space="preserve"> </w:t>
      </w:r>
      <w:r>
        <w:rPr>
          <w:color w:val="333333"/>
        </w:rPr>
        <w:t>1</w:t>
      </w:r>
      <w:r>
        <w:rPr>
          <w:color w:val="333333"/>
          <w:spacing w:val="-17"/>
        </w:rPr>
        <w:t xml:space="preserve"> </w:t>
      </w:r>
      <w:r>
        <w:rPr>
          <w:color w:val="333333"/>
          <w:spacing w:val="-17"/>
        </w:rPr>
        <w:t>个安全出口或</w:t>
      </w:r>
      <w:r>
        <w:rPr>
          <w:color w:val="333333"/>
          <w:spacing w:val="-17"/>
        </w:rPr>
        <w:t xml:space="preserve"> </w:t>
      </w:r>
      <w:r>
        <w:rPr>
          <w:color w:val="333333"/>
        </w:rPr>
        <w:t>1</w:t>
      </w:r>
      <w:r>
        <w:rPr>
          <w:color w:val="333333"/>
          <w:spacing w:val="-10"/>
        </w:rPr>
        <w:t xml:space="preserve"> </w:t>
      </w:r>
      <w:r>
        <w:rPr>
          <w:color w:val="333333"/>
          <w:spacing w:val="-10"/>
        </w:rPr>
        <w:t>部疏散楼梯。</w:t>
      </w:r>
      <w:r>
        <w:rPr>
          <w:color w:val="333333"/>
          <w:spacing w:val="-10"/>
        </w:rPr>
        <w:t xml:space="preserve"> </w:t>
      </w:r>
    </w:p>
    <w:p w14:paraId="1023ACDE" w14:textId="77777777" w:rsidR="00A71EEF" w:rsidRDefault="0081115D">
      <w:pPr>
        <w:pStyle w:val="a3"/>
        <w:spacing w:line="274" w:lineRule="exact"/>
        <w:ind w:left="838"/>
        <w:rPr>
          <w:sz w:val="11"/>
        </w:rPr>
      </w:pPr>
      <w:r>
        <w:rPr>
          <w:color w:val="333333"/>
        </w:rPr>
        <w:t>除本规范另有规定外，建筑面积不大于</w:t>
      </w:r>
      <w:r>
        <w:rPr>
          <w:color w:val="333333"/>
        </w:rPr>
        <w:t xml:space="preserve"> 200m</w:t>
      </w:r>
      <w:r>
        <w:rPr>
          <w:color w:val="333333"/>
          <w:position w:val="11"/>
          <w:sz w:val="11"/>
        </w:rPr>
        <w:t xml:space="preserve">2 </w:t>
      </w:r>
      <w:r>
        <w:rPr>
          <w:color w:val="333333"/>
        </w:rPr>
        <w:t>的地下或半地下设备间、建筑面积不大于</w:t>
      </w:r>
      <w:r>
        <w:rPr>
          <w:color w:val="333333"/>
        </w:rPr>
        <w:t xml:space="preserve"> 50m</w:t>
      </w:r>
      <w:r>
        <w:rPr>
          <w:color w:val="333333"/>
          <w:position w:val="11"/>
          <w:sz w:val="11"/>
        </w:rPr>
        <w:t>2</w:t>
      </w:r>
    </w:p>
    <w:p w14:paraId="43AB8D00" w14:textId="77777777" w:rsidR="00A71EEF" w:rsidRDefault="00A71EEF">
      <w:pPr>
        <w:pStyle w:val="a3"/>
        <w:spacing w:before="2"/>
        <w:rPr>
          <w:sz w:val="17"/>
        </w:rPr>
      </w:pPr>
    </w:p>
    <w:p w14:paraId="274D165D" w14:textId="77777777" w:rsidR="00A71EEF" w:rsidRDefault="0081115D">
      <w:pPr>
        <w:pStyle w:val="a3"/>
        <w:spacing w:before="1"/>
        <w:ind w:left="418"/>
      </w:pPr>
      <w:r>
        <w:rPr>
          <w:color w:val="333333"/>
        </w:rPr>
        <w:t>且经常停留人数不超过</w:t>
      </w:r>
      <w:r>
        <w:rPr>
          <w:color w:val="333333"/>
        </w:rPr>
        <w:t xml:space="preserve"> 15 </w:t>
      </w:r>
      <w:r>
        <w:rPr>
          <w:color w:val="333333"/>
        </w:rPr>
        <w:t>人的其他地下或半地下房间，可设置</w:t>
      </w:r>
      <w:r>
        <w:rPr>
          <w:color w:val="333333"/>
        </w:rPr>
        <w:t xml:space="preserve"> 1 </w:t>
      </w:r>
      <w:r>
        <w:rPr>
          <w:color w:val="333333"/>
        </w:rPr>
        <w:t>个疏散门。</w:t>
      </w:r>
      <w:r>
        <w:rPr>
          <w:color w:val="333333"/>
        </w:rPr>
        <w:t xml:space="preserve"> </w:t>
      </w:r>
    </w:p>
    <w:p w14:paraId="535FADB3" w14:textId="77777777" w:rsidR="00A71EEF" w:rsidRDefault="00A71EEF">
      <w:pPr>
        <w:pStyle w:val="a3"/>
        <w:spacing w:before="1"/>
        <w:rPr>
          <w:sz w:val="18"/>
        </w:rPr>
      </w:pPr>
    </w:p>
    <w:p w14:paraId="1897838C" w14:textId="77777777" w:rsidR="00A71EEF" w:rsidRDefault="0081115D">
      <w:pPr>
        <w:pStyle w:val="a4"/>
        <w:numPr>
          <w:ilvl w:val="2"/>
          <w:numId w:val="723"/>
        </w:numPr>
        <w:tabs>
          <w:tab w:val="left" w:pos="1370"/>
        </w:tabs>
        <w:spacing w:line="446" w:lineRule="auto"/>
        <w:ind w:right="1604" w:firstLine="422"/>
        <w:rPr>
          <w:sz w:val="21"/>
        </w:rPr>
      </w:pPr>
      <w:r>
        <w:rPr>
          <w:color w:val="333333"/>
          <w:spacing w:val="-3"/>
          <w:sz w:val="21"/>
        </w:rPr>
        <w:t>直通建筑内附设汽车库的电梯，应在汽车库部分设置电梯候梯厅，并应采用耐火极</w:t>
      </w:r>
      <w:r>
        <w:rPr>
          <w:color w:val="333333"/>
          <w:spacing w:val="-13"/>
          <w:sz w:val="21"/>
        </w:rPr>
        <w:t>限不低于</w:t>
      </w:r>
      <w:r>
        <w:rPr>
          <w:color w:val="333333"/>
          <w:spacing w:val="-13"/>
          <w:sz w:val="21"/>
        </w:rPr>
        <w:t xml:space="preserve"> </w:t>
      </w:r>
      <w:r>
        <w:rPr>
          <w:color w:val="333333"/>
          <w:sz w:val="21"/>
        </w:rPr>
        <w:t>2.00h</w:t>
      </w:r>
      <w:r>
        <w:rPr>
          <w:color w:val="333333"/>
          <w:spacing w:val="-3"/>
          <w:sz w:val="21"/>
        </w:rPr>
        <w:t xml:space="preserve"> </w:t>
      </w:r>
      <w:r>
        <w:rPr>
          <w:color w:val="333333"/>
          <w:spacing w:val="-3"/>
          <w:sz w:val="21"/>
        </w:rPr>
        <w:t>的防火隔墙和乙级防火门与汽车库分隔。</w:t>
      </w:r>
      <w:r>
        <w:rPr>
          <w:color w:val="333333"/>
          <w:sz w:val="21"/>
        </w:rPr>
        <w:t xml:space="preserve"> </w:t>
      </w:r>
    </w:p>
    <w:p w14:paraId="079E4B55" w14:textId="77777777" w:rsidR="00A71EEF" w:rsidRDefault="0081115D">
      <w:pPr>
        <w:pStyle w:val="a4"/>
        <w:numPr>
          <w:ilvl w:val="2"/>
          <w:numId w:val="723"/>
        </w:numPr>
        <w:tabs>
          <w:tab w:val="left" w:pos="1370"/>
        </w:tabs>
        <w:spacing w:line="446" w:lineRule="auto"/>
        <w:ind w:left="838" w:right="1817" w:firstLine="2"/>
        <w:rPr>
          <w:sz w:val="21"/>
        </w:rPr>
      </w:pPr>
      <w:r>
        <w:rPr>
          <w:color w:val="333333"/>
          <w:spacing w:val="-4"/>
          <w:sz w:val="21"/>
        </w:rPr>
        <w:t>高层建筑直通室外的安全出口上方，应设置挑出宽度不小于</w:t>
      </w:r>
      <w:r>
        <w:rPr>
          <w:color w:val="333333"/>
          <w:spacing w:val="-4"/>
          <w:sz w:val="21"/>
        </w:rPr>
        <w:t xml:space="preserve"> </w:t>
      </w:r>
      <w:r>
        <w:rPr>
          <w:color w:val="333333"/>
          <w:sz w:val="21"/>
        </w:rPr>
        <w:t>1.0m</w:t>
      </w:r>
      <w:r>
        <w:rPr>
          <w:color w:val="333333"/>
          <w:spacing w:val="-7"/>
          <w:sz w:val="21"/>
        </w:rPr>
        <w:t xml:space="preserve"> </w:t>
      </w:r>
      <w:r>
        <w:rPr>
          <w:color w:val="333333"/>
          <w:spacing w:val="-7"/>
          <w:sz w:val="21"/>
        </w:rPr>
        <w:t>的防护挑檐。</w:t>
      </w:r>
      <w:r>
        <w:rPr>
          <w:color w:val="333333"/>
          <w:spacing w:val="-3"/>
          <w:sz w:val="21"/>
        </w:rPr>
        <w:t xml:space="preserve">Ⅱ </w:t>
      </w:r>
      <w:r>
        <w:rPr>
          <w:color w:val="333333"/>
          <w:spacing w:val="-3"/>
          <w:sz w:val="21"/>
        </w:rPr>
        <w:t>公共建筑</w:t>
      </w:r>
      <w:r>
        <w:rPr>
          <w:color w:val="333333"/>
          <w:sz w:val="21"/>
        </w:rPr>
        <w:t xml:space="preserve"> </w:t>
      </w:r>
    </w:p>
    <w:p w14:paraId="5EBCBB91" w14:textId="77777777" w:rsidR="00A71EEF" w:rsidRDefault="0081115D">
      <w:pPr>
        <w:pStyle w:val="a4"/>
        <w:numPr>
          <w:ilvl w:val="2"/>
          <w:numId w:val="723"/>
        </w:numPr>
        <w:tabs>
          <w:tab w:val="left" w:pos="1370"/>
        </w:tabs>
        <w:ind w:left="1369" w:hanging="530"/>
        <w:rPr>
          <w:sz w:val="21"/>
        </w:rPr>
      </w:pPr>
      <w:r>
        <w:rPr>
          <w:color w:val="333333"/>
          <w:spacing w:val="-3"/>
          <w:sz w:val="21"/>
        </w:rPr>
        <w:t>公共建筑内每个防火分区或一个防火分区的每个楼层，其安全出口的数量应</w:t>
      </w:r>
      <w:r>
        <w:rPr>
          <w:color w:val="333333"/>
          <w:spacing w:val="-3"/>
          <w:sz w:val="21"/>
        </w:rPr>
        <w:t xml:space="preserve"> </w:t>
      </w:r>
    </w:p>
    <w:p w14:paraId="097492A7" w14:textId="77777777" w:rsidR="00A71EEF" w:rsidRDefault="00A71EEF">
      <w:pPr>
        <w:pStyle w:val="a3"/>
        <w:spacing w:before="10"/>
        <w:rPr>
          <w:sz w:val="17"/>
        </w:rPr>
      </w:pPr>
    </w:p>
    <w:p w14:paraId="582AD680" w14:textId="77777777" w:rsidR="00A71EEF" w:rsidRDefault="0081115D">
      <w:pPr>
        <w:pStyle w:val="a3"/>
        <w:spacing w:before="1" w:line="446" w:lineRule="auto"/>
        <w:ind w:left="418" w:right="1558" w:firstLine="419"/>
      </w:pPr>
      <w:r>
        <w:rPr>
          <w:color w:val="333333"/>
          <w:spacing w:val="-7"/>
        </w:rPr>
        <w:t>经计算确定，且不应少于</w:t>
      </w:r>
      <w:r>
        <w:rPr>
          <w:color w:val="333333"/>
          <w:spacing w:val="-7"/>
        </w:rPr>
        <w:t xml:space="preserve"> </w:t>
      </w:r>
      <w:r>
        <w:rPr>
          <w:color w:val="333333"/>
        </w:rPr>
        <w:t>2</w:t>
      </w:r>
      <w:r>
        <w:rPr>
          <w:color w:val="333333"/>
          <w:spacing w:val="-8"/>
        </w:rPr>
        <w:t xml:space="preserve"> </w:t>
      </w:r>
      <w:r>
        <w:rPr>
          <w:color w:val="333333"/>
          <w:spacing w:val="-8"/>
        </w:rPr>
        <w:t>个。设置</w:t>
      </w:r>
      <w:r>
        <w:rPr>
          <w:color w:val="333333"/>
          <w:spacing w:val="-8"/>
        </w:rPr>
        <w:t xml:space="preserve"> </w:t>
      </w:r>
      <w:r>
        <w:rPr>
          <w:color w:val="333333"/>
        </w:rPr>
        <w:t>1</w:t>
      </w:r>
      <w:r>
        <w:rPr>
          <w:color w:val="333333"/>
          <w:spacing w:val="-15"/>
        </w:rPr>
        <w:t xml:space="preserve"> </w:t>
      </w:r>
      <w:r>
        <w:rPr>
          <w:color w:val="333333"/>
          <w:spacing w:val="-15"/>
        </w:rPr>
        <w:t>个安全出口或</w:t>
      </w:r>
      <w:r>
        <w:rPr>
          <w:color w:val="333333"/>
          <w:spacing w:val="-15"/>
        </w:rPr>
        <w:t xml:space="preserve"> </w:t>
      </w:r>
      <w:r>
        <w:rPr>
          <w:color w:val="333333"/>
        </w:rPr>
        <w:t>1</w:t>
      </w:r>
      <w:r>
        <w:rPr>
          <w:color w:val="333333"/>
          <w:spacing w:val="-9"/>
        </w:rPr>
        <w:t xml:space="preserve"> </w:t>
      </w:r>
      <w:r>
        <w:rPr>
          <w:color w:val="333333"/>
          <w:spacing w:val="-9"/>
        </w:rPr>
        <w:t>部疏散楼梯的公共建筑应符合下列</w:t>
      </w:r>
      <w:r>
        <w:rPr>
          <w:color w:val="333333"/>
          <w:spacing w:val="-6"/>
        </w:rPr>
        <w:t>条件之一：</w:t>
      </w:r>
      <w:r>
        <w:rPr>
          <w:color w:val="333333"/>
        </w:rPr>
        <w:t xml:space="preserve"> </w:t>
      </w:r>
    </w:p>
    <w:p w14:paraId="7E73D16D" w14:textId="77777777" w:rsidR="00A71EEF" w:rsidRDefault="0081115D">
      <w:pPr>
        <w:pStyle w:val="a4"/>
        <w:numPr>
          <w:ilvl w:val="0"/>
          <w:numId w:val="722"/>
        </w:numPr>
        <w:tabs>
          <w:tab w:val="left" w:pos="1367"/>
        </w:tabs>
        <w:spacing w:line="446" w:lineRule="auto"/>
        <w:ind w:right="1453" w:firstLine="419"/>
        <w:rPr>
          <w:sz w:val="21"/>
        </w:rPr>
      </w:pPr>
      <w:r>
        <w:rPr>
          <w:color w:val="333333"/>
          <w:spacing w:val="-6"/>
          <w:sz w:val="21"/>
        </w:rPr>
        <w:t>除托儿所、幼儿园外，建筑面积不大于</w:t>
      </w:r>
      <w:r>
        <w:rPr>
          <w:color w:val="333333"/>
          <w:spacing w:val="-6"/>
          <w:sz w:val="21"/>
        </w:rPr>
        <w:t xml:space="preserve"> </w:t>
      </w:r>
      <w:r>
        <w:rPr>
          <w:color w:val="333333"/>
          <w:sz w:val="21"/>
        </w:rPr>
        <w:t>200m</w:t>
      </w:r>
      <w:r>
        <w:rPr>
          <w:color w:val="333333"/>
          <w:position w:val="11"/>
          <w:sz w:val="11"/>
        </w:rPr>
        <w:t>2</w:t>
      </w:r>
      <w:r>
        <w:rPr>
          <w:color w:val="333333"/>
          <w:spacing w:val="5"/>
          <w:sz w:val="11"/>
        </w:rPr>
        <w:t xml:space="preserve"> </w:t>
      </w:r>
      <w:r>
        <w:rPr>
          <w:color w:val="333333"/>
          <w:spacing w:val="-9"/>
          <w:sz w:val="21"/>
        </w:rPr>
        <w:t>且人数不超过</w:t>
      </w:r>
      <w:r>
        <w:rPr>
          <w:color w:val="333333"/>
          <w:spacing w:val="-9"/>
          <w:sz w:val="21"/>
        </w:rPr>
        <w:t xml:space="preserve"> </w:t>
      </w:r>
      <w:r>
        <w:rPr>
          <w:color w:val="333333"/>
          <w:sz w:val="21"/>
        </w:rPr>
        <w:t>50</w:t>
      </w:r>
      <w:r>
        <w:rPr>
          <w:color w:val="333333"/>
          <w:spacing w:val="-2"/>
          <w:sz w:val="21"/>
        </w:rPr>
        <w:t xml:space="preserve"> </w:t>
      </w:r>
      <w:r>
        <w:rPr>
          <w:color w:val="333333"/>
          <w:spacing w:val="-2"/>
          <w:sz w:val="21"/>
        </w:rPr>
        <w:t>人的单层公共建筑或</w:t>
      </w:r>
      <w:r>
        <w:rPr>
          <w:color w:val="333333"/>
          <w:spacing w:val="-3"/>
          <w:sz w:val="21"/>
        </w:rPr>
        <w:t>多层公共建筑的首层；</w:t>
      </w:r>
      <w:r>
        <w:rPr>
          <w:color w:val="333333"/>
          <w:sz w:val="21"/>
        </w:rPr>
        <w:t xml:space="preserve"> </w:t>
      </w:r>
    </w:p>
    <w:p w14:paraId="3C363623" w14:textId="77777777" w:rsidR="00A71EEF" w:rsidRDefault="0081115D">
      <w:pPr>
        <w:pStyle w:val="a4"/>
        <w:numPr>
          <w:ilvl w:val="0"/>
          <w:numId w:val="722"/>
        </w:numPr>
        <w:tabs>
          <w:tab w:val="left" w:pos="1367"/>
        </w:tabs>
        <w:spacing w:line="446" w:lineRule="auto"/>
        <w:ind w:right="1505" w:firstLine="419"/>
        <w:rPr>
          <w:sz w:val="21"/>
        </w:rPr>
      </w:pPr>
      <w:r>
        <w:rPr>
          <w:color w:val="333333"/>
          <w:spacing w:val="-3"/>
          <w:sz w:val="21"/>
        </w:rPr>
        <w:t>除医疗建筑，老年人照料设施，托儿所、幼儿园的儿童用房，儿童游乐厅等儿童活动</w:t>
      </w:r>
      <w:r>
        <w:rPr>
          <w:color w:val="333333"/>
          <w:spacing w:val="-6"/>
          <w:sz w:val="21"/>
        </w:rPr>
        <w:t>场所和歌舞娱乐放映游艺场所等外，符合表</w:t>
      </w:r>
      <w:r>
        <w:rPr>
          <w:color w:val="333333"/>
          <w:spacing w:val="-6"/>
          <w:sz w:val="21"/>
        </w:rPr>
        <w:t xml:space="preserve"> </w:t>
      </w:r>
      <w:r>
        <w:rPr>
          <w:color w:val="333333"/>
          <w:sz w:val="21"/>
        </w:rPr>
        <w:t>5.5.8</w:t>
      </w:r>
      <w:r>
        <w:rPr>
          <w:color w:val="333333"/>
          <w:spacing w:val="-3"/>
          <w:sz w:val="21"/>
        </w:rPr>
        <w:t xml:space="preserve"> </w:t>
      </w:r>
      <w:r>
        <w:rPr>
          <w:color w:val="333333"/>
          <w:spacing w:val="-3"/>
          <w:sz w:val="21"/>
        </w:rPr>
        <w:t>规定的公共建筑。</w:t>
      </w:r>
      <w:r>
        <w:rPr>
          <w:color w:val="333333"/>
          <w:sz w:val="21"/>
        </w:rPr>
        <w:t xml:space="preserve"> </w:t>
      </w:r>
    </w:p>
    <w:p w14:paraId="06C7BA27" w14:textId="77777777" w:rsidR="00A71EEF" w:rsidRDefault="0081115D">
      <w:pPr>
        <w:pStyle w:val="6"/>
        <w:spacing w:line="267" w:lineRule="exact"/>
        <w:ind w:left="3178"/>
      </w:pPr>
      <w:r>
        <w:t>表</w:t>
      </w:r>
      <w:r>
        <w:t xml:space="preserve"> 5.5.8 </w:t>
      </w:r>
      <w:r>
        <w:t>设置</w:t>
      </w:r>
      <w:r>
        <w:t xml:space="preserve"> 1 </w:t>
      </w:r>
      <w:r>
        <w:t>部疏散楼梯的公共建筑</w:t>
      </w:r>
      <w:r>
        <w:rPr>
          <w:w w:val="99"/>
        </w:rPr>
        <w:t xml:space="preserve"> </w:t>
      </w:r>
    </w:p>
    <w:p w14:paraId="373D310D" w14:textId="77777777" w:rsidR="00A71EEF" w:rsidRDefault="0081115D">
      <w:pPr>
        <w:pStyle w:val="a3"/>
        <w:spacing w:before="3"/>
        <w:rPr>
          <w:b/>
          <w:sz w:val="16"/>
        </w:rPr>
      </w:pPr>
      <w:r>
        <w:rPr>
          <w:noProof/>
        </w:rPr>
        <w:drawing>
          <wp:anchor distT="0" distB="0" distL="0" distR="0" simplePos="0" relativeHeight="251540992" behindDoc="0" locked="0" layoutInCell="1" allowOverlap="1" wp14:anchorId="5D48E07D" wp14:editId="4FD90CA0">
            <wp:simplePos x="0" y="0"/>
            <wp:positionH relativeFrom="page">
              <wp:posOffset>1194435</wp:posOffset>
            </wp:positionH>
            <wp:positionV relativeFrom="paragraph">
              <wp:posOffset>157344</wp:posOffset>
            </wp:positionV>
            <wp:extent cx="5362856" cy="1125569"/>
            <wp:effectExtent l="0" t="0" r="0" b="0"/>
            <wp:wrapTopAndBottom/>
            <wp:docPr id="215" name="image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135.jpeg"/>
                    <pic:cNvPicPr/>
                  </pic:nvPicPr>
                  <pic:blipFill>
                    <a:blip r:embed="rId135" cstate="print"/>
                    <a:stretch>
                      <a:fillRect/>
                    </a:stretch>
                  </pic:blipFill>
                  <pic:spPr>
                    <a:xfrm>
                      <a:off x="0" y="0"/>
                      <a:ext cx="5362856" cy="1125569"/>
                    </a:xfrm>
                    <a:prstGeom prst="rect">
                      <a:avLst/>
                    </a:prstGeom>
                  </pic:spPr>
                </pic:pic>
              </a:graphicData>
            </a:graphic>
          </wp:anchor>
        </w:drawing>
      </w:r>
    </w:p>
    <w:p w14:paraId="418F931E" w14:textId="77777777" w:rsidR="00A71EEF" w:rsidRDefault="0081115D">
      <w:pPr>
        <w:pStyle w:val="a4"/>
        <w:numPr>
          <w:ilvl w:val="2"/>
          <w:numId w:val="723"/>
        </w:numPr>
        <w:tabs>
          <w:tab w:val="left" w:pos="1371"/>
        </w:tabs>
        <w:spacing w:before="158" w:line="446" w:lineRule="auto"/>
        <w:ind w:right="1604" w:firstLine="422"/>
        <w:rPr>
          <w:sz w:val="21"/>
        </w:rPr>
      </w:pPr>
      <w:r>
        <w:rPr>
          <w:color w:val="333333"/>
          <w:spacing w:val="-3"/>
          <w:sz w:val="21"/>
        </w:rPr>
        <w:t>一、二级耐火等级公共建筑内的安全出口全部直通室外确有困难的防火分区，可利用通向相邻防火分区的甲级防火门作为安全出口，但应符合下列要求：</w:t>
      </w:r>
      <w:r>
        <w:rPr>
          <w:color w:val="333333"/>
          <w:sz w:val="21"/>
        </w:rPr>
        <w:t xml:space="preserve"> </w:t>
      </w:r>
    </w:p>
    <w:p w14:paraId="3C0BC61B" w14:textId="77777777" w:rsidR="00A71EEF" w:rsidRDefault="00A71EEF">
      <w:pPr>
        <w:spacing w:line="446" w:lineRule="auto"/>
        <w:rPr>
          <w:sz w:val="21"/>
        </w:rPr>
        <w:sectPr w:rsidR="00A71EEF">
          <w:pgSz w:w="11910" w:h="16850"/>
          <w:pgMar w:top="1220" w:right="0" w:bottom="1420" w:left="1260" w:header="0" w:footer="1239" w:gutter="0"/>
          <w:cols w:space="720"/>
        </w:sectPr>
      </w:pPr>
    </w:p>
    <w:p w14:paraId="2ABBDC57" w14:textId="77777777" w:rsidR="00A71EEF" w:rsidRDefault="0081115D">
      <w:pPr>
        <w:pStyle w:val="a3"/>
        <w:spacing w:before="47" w:line="446" w:lineRule="auto"/>
        <w:ind w:left="418" w:right="1609" w:firstLine="419"/>
      </w:pPr>
      <w:r>
        <w:rPr>
          <w:color w:val="333333"/>
        </w:rPr>
        <w:lastRenderedPageBreak/>
        <w:t>利用通向相邻防火分区的甲级防火门作为安全出口时，应采用防火墙与相邻防火分区进行分隔；</w:t>
      </w:r>
      <w:r>
        <w:rPr>
          <w:color w:val="333333"/>
        </w:rPr>
        <w:t xml:space="preserve"> </w:t>
      </w:r>
    </w:p>
    <w:p w14:paraId="0400C9FB" w14:textId="77777777" w:rsidR="00A71EEF" w:rsidRDefault="0081115D">
      <w:pPr>
        <w:pStyle w:val="a3"/>
        <w:spacing w:line="439" w:lineRule="auto"/>
        <w:ind w:left="418" w:right="1453" w:firstLine="419"/>
      </w:pPr>
      <w:r>
        <w:rPr>
          <w:color w:val="333333"/>
        </w:rPr>
        <w:t xml:space="preserve"> </w:t>
      </w:r>
      <w:r>
        <w:rPr>
          <w:color w:val="333333"/>
          <w:spacing w:val="-10"/>
        </w:rPr>
        <w:t>建筑面积大于</w:t>
      </w:r>
      <w:r>
        <w:rPr>
          <w:color w:val="333333"/>
          <w:spacing w:val="-10"/>
        </w:rPr>
        <w:t xml:space="preserve"> </w:t>
      </w:r>
      <w:r>
        <w:rPr>
          <w:color w:val="333333"/>
        </w:rPr>
        <w:t>1000m</w:t>
      </w:r>
      <w:r>
        <w:rPr>
          <w:color w:val="333333"/>
          <w:position w:val="11"/>
          <w:sz w:val="11"/>
        </w:rPr>
        <w:t>2</w:t>
      </w:r>
      <w:r>
        <w:rPr>
          <w:color w:val="333333"/>
          <w:sz w:val="11"/>
        </w:rPr>
        <w:t xml:space="preserve"> </w:t>
      </w:r>
      <w:r>
        <w:rPr>
          <w:color w:val="333333"/>
          <w:spacing w:val="-6"/>
        </w:rPr>
        <w:t>的防火分区，直通室外的安全出口不应少于</w:t>
      </w:r>
      <w:r>
        <w:rPr>
          <w:color w:val="333333"/>
          <w:spacing w:val="-6"/>
        </w:rPr>
        <w:t xml:space="preserve"> </w:t>
      </w:r>
      <w:r>
        <w:rPr>
          <w:color w:val="333333"/>
        </w:rPr>
        <w:t>2</w:t>
      </w:r>
      <w:r>
        <w:rPr>
          <w:color w:val="333333"/>
          <w:spacing w:val="-2"/>
        </w:rPr>
        <w:t xml:space="preserve"> </w:t>
      </w:r>
      <w:r>
        <w:rPr>
          <w:color w:val="333333"/>
          <w:spacing w:val="-2"/>
        </w:rPr>
        <w:t>个；建筑面积不大于</w:t>
      </w:r>
      <w:r>
        <w:rPr>
          <w:color w:val="333333"/>
          <w:spacing w:val="-2"/>
        </w:rPr>
        <w:t>1000m</w:t>
      </w:r>
      <w:r>
        <w:rPr>
          <w:color w:val="333333"/>
          <w:spacing w:val="-2"/>
          <w:position w:val="11"/>
          <w:sz w:val="11"/>
        </w:rPr>
        <w:t>2</w:t>
      </w:r>
      <w:r>
        <w:rPr>
          <w:color w:val="333333"/>
          <w:spacing w:val="-2"/>
          <w:sz w:val="11"/>
        </w:rPr>
        <w:t xml:space="preserve"> </w:t>
      </w:r>
      <w:r>
        <w:rPr>
          <w:color w:val="333333"/>
          <w:spacing w:val="-6"/>
        </w:rPr>
        <w:t>的防火分区，直通室外的安全出口不应少于</w:t>
      </w:r>
      <w:r>
        <w:rPr>
          <w:color w:val="333333"/>
          <w:spacing w:val="-6"/>
        </w:rPr>
        <w:t xml:space="preserve"> </w:t>
      </w:r>
      <w:r>
        <w:rPr>
          <w:color w:val="333333"/>
        </w:rPr>
        <w:t>1</w:t>
      </w:r>
      <w:r>
        <w:rPr>
          <w:color w:val="333333"/>
          <w:spacing w:val="-2"/>
        </w:rPr>
        <w:t xml:space="preserve"> </w:t>
      </w:r>
      <w:r>
        <w:rPr>
          <w:color w:val="333333"/>
          <w:spacing w:val="-2"/>
        </w:rPr>
        <w:t>个；</w:t>
      </w:r>
      <w:r>
        <w:rPr>
          <w:color w:val="333333"/>
        </w:rPr>
        <w:t xml:space="preserve"> </w:t>
      </w:r>
    </w:p>
    <w:p w14:paraId="2D514387" w14:textId="77777777" w:rsidR="00A71EEF" w:rsidRDefault="0081115D">
      <w:pPr>
        <w:pStyle w:val="a3"/>
        <w:spacing w:line="446" w:lineRule="auto"/>
        <w:ind w:left="418" w:right="1503" w:firstLine="419"/>
        <w:jc w:val="both"/>
      </w:pPr>
      <w:r>
        <w:rPr>
          <w:color w:val="333333"/>
          <w:spacing w:val="-5"/>
        </w:rPr>
        <w:t>该防火分区通向相邻防火分区的疏散净宽度不应大于其按本规范第</w:t>
      </w:r>
      <w:r>
        <w:rPr>
          <w:color w:val="333333"/>
          <w:spacing w:val="-5"/>
        </w:rPr>
        <w:t xml:space="preserve"> </w:t>
      </w:r>
      <w:r>
        <w:rPr>
          <w:color w:val="333333"/>
        </w:rPr>
        <w:t>5.5.21</w:t>
      </w:r>
      <w:r>
        <w:rPr>
          <w:color w:val="333333"/>
          <w:spacing w:val="-8"/>
        </w:rPr>
        <w:t xml:space="preserve"> </w:t>
      </w:r>
      <w:r>
        <w:rPr>
          <w:color w:val="333333"/>
          <w:spacing w:val="-8"/>
        </w:rPr>
        <w:t>条规定计算所需</w:t>
      </w:r>
      <w:r>
        <w:rPr>
          <w:color w:val="333333"/>
          <w:spacing w:val="-11"/>
        </w:rPr>
        <w:t>疏散总净宽度的</w:t>
      </w:r>
      <w:r>
        <w:rPr>
          <w:color w:val="333333"/>
          <w:spacing w:val="-11"/>
        </w:rPr>
        <w:t xml:space="preserve"> </w:t>
      </w:r>
      <w:r>
        <w:rPr>
          <w:color w:val="333333"/>
        </w:rPr>
        <w:t>30</w:t>
      </w:r>
      <w:r>
        <w:rPr>
          <w:color w:val="333333"/>
          <w:spacing w:val="-5"/>
        </w:rPr>
        <w:t>%</w:t>
      </w:r>
      <w:r>
        <w:rPr>
          <w:color w:val="333333"/>
          <w:spacing w:val="-5"/>
        </w:rPr>
        <w:t>，建筑各层直通室外的安全出口总净宽度不应小于按照本规范第</w:t>
      </w:r>
      <w:r>
        <w:rPr>
          <w:color w:val="333333"/>
          <w:spacing w:val="-5"/>
        </w:rPr>
        <w:t xml:space="preserve"> </w:t>
      </w:r>
      <w:r>
        <w:rPr>
          <w:color w:val="333333"/>
        </w:rPr>
        <w:t>5.5.21</w:t>
      </w:r>
      <w:r>
        <w:rPr>
          <w:color w:val="333333"/>
          <w:spacing w:val="8"/>
        </w:rPr>
        <w:t xml:space="preserve"> </w:t>
      </w:r>
      <w:r>
        <w:rPr>
          <w:color w:val="333333"/>
          <w:spacing w:val="8"/>
        </w:rPr>
        <w:t>条</w:t>
      </w:r>
      <w:r>
        <w:rPr>
          <w:color w:val="333333"/>
          <w:spacing w:val="-3"/>
        </w:rPr>
        <w:t>规定计算所需疏散总净宽度。</w:t>
      </w:r>
      <w:r>
        <w:rPr>
          <w:color w:val="333333"/>
        </w:rPr>
        <w:t xml:space="preserve"> </w:t>
      </w:r>
    </w:p>
    <w:p w14:paraId="2198655E" w14:textId="77777777" w:rsidR="00A71EEF" w:rsidRDefault="0081115D">
      <w:pPr>
        <w:pStyle w:val="a4"/>
        <w:numPr>
          <w:ilvl w:val="2"/>
          <w:numId w:val="723"/>
        </w:numPr>
        <w:tabs>
          <w:tab w:val="left" w:pos="1478"/>
        </w:tabs>
        <w:spacing w:line="446" w:lineRule="auto"/>
        <w:ind w:right="1498" w:firstLine="422"/>
        <w:jc w:val="both"/>
        <w:rPr>
          <w:sz w:val="21"/>
        </w:rPr>
      </w:pPr>
      <w:r>
        <w:rPr>
          <w:color w:val="333333"/>
          <w:spacing w:val="-3"/>
          <w:sz w:val="21"/>
        </w:rPr>
        <w:t>高层公共建筑的疏散楼梯，当分散设置确有困难且从任一疏散门至最近疏散楼梯间</w:t>
      </w:r>
      <w:r>
        <w:rPr>
          <w:color w:val="333333"/>
          <w:spacing w:val="-9"/>
          <w:sz w:val="21"/>
        </w:rPr>
        <w:t>入口的距离不大于</w:t>
      </w:r>
      <w:r>
        <w:rPr>
          <w:color w:val="333333"/>
          <w:spacing w:val="-9"/>
          <w:sz w:val="21"/>
        </w:rPr>
        <w:t xml:space="preserve"> </w:t>
      </w:r>
      <w:r>
        <w:rPr>
          <w:color w:val="333333"/>
          <w:sz w:val="21"/>
        </w:rPr>
        <w:t>10m</w:t>
      </w:r>
      <w:r>
        <w:rPr>
          <w:color w:val="333333"/>
          <w:spacing w:val="-3"/>
          <w:sz w:val="21"/>
        </w:rPr>
        <w:t xml:space="preserve"> </w:t>
      </w:r>
      <w:r>
        <w:rPr>
          <w:color w:val="333333"/>
          <w:spacing w:val="-3"/>
          <w:sz w:val="21"/>
        </w:rPr>
        <w:t>时，可采用剪刀楼梯间，但应符合下列规定：</w:t>
      </w:r>
      <w:r>
        <w:rPr>
          <w:color w:val="333333"/>
          <w:spacing w:val="-3"/>
          <w:sz w:val="21"/>
        </w:rPr>
        <w:t xml:space="preserve"> </w:t>
      </w:r>
      <w:r>
        <w:rPr>
          <w:color w:val="333333"/>
          <w:spacing w:val="-2"/>
          <w:sz w:val="21"/>
        </w:rPr>
        <w:t xml:space="preserve"> </w:t>
      </w:r>
      <w:r>
        <w:rPr>
          <w:color w:val="333333"/>
          <w:sz w:val="21"/>
        </w:rPr>
        <w:t xml:space="preserve"> </w:t>
      </w:r>
      <w:r>
        <w:rPr>
          <w:color w:val="333333"/>
          <w:sz w:val="21"/>
        </w:rPr>
        <w:t xml:space="preserve"> </w:t>
      </w:r>
      <w:r>
        <w:rPr>
          <w:color w:val="333333"/>
          <w:spacing w:val="-3"/>
          <w:sz w:val="21"/>
        </w:rPr>
        <w:t xml:space="preserve"> </w:t>
      </w:r>
      <w:r>
        <w:rPr>
          <w:color w:val="333333"/>
          <w:sz w:val="21"/>
        </w:rPr>
        <w:t xml:space="preserve"> </w:t>
      </w:r>
    </w:p>
    <w:p w14:paraId="6E757A06" w14:textId="77777777" w:rsidR="00A71EEF" w:rsidRDefault="0081115D">
      <w:pPr>
        <w:pStyle w:val="a3"/>
        <w:ind w:left="838"/>
      </w:pPr>
      <w:r>
        <w:rPr>
          <w:color w:val="333333"/>
        </w:rPr>
        <w:t xml:space="preserve"> </w:t>
      </w:r>
      <w:r>
        <w:rPr>
          <w:color w:val="333333"/>
        </w:rPr>
        <w:t>楼梯间应为防烟楼梯间；</w:t>
      </w:r>
      <w:r>
        <w:rPr>
          <w:color w:val="333333"/>
        </w:rPr>
        <w:t xml:space="preserve"> </w:t>
      </w:r>
    </w:p>
    <w:p w14:paraId="2BD71ED5" w14:textId="77777777" w:rsidR="00A71EEF" w:rsidRDefault="00A71EEF">
      <w:pPr>
        <w:pStyle w:val="a3"/>
        <w:spacing w:before="5"/>
        <w:rPr>
          <w:sz w:val="17"/>
        </w:rPr>
      </w:pPr>
    </w:p>
    <w:p w14:paraId="76C6A585" w14:textId="77777777" w:rsidR="00A71EEF" w:rsidRDefault="0081115D">
      <w:pPr>
        <w:pStyle w:val="a3"/>
        <w:spacing w:before="1"/>
        <w:ind w:left="838"/>
      </w:pPr>
      <w:r>
        <w:rPr>
          <w:color w:val="333333"/>
        </w:rPr>
        <w:t>梯段之间应设置耐火极限不低于</w:t>
      </w:r>
      <w:r>
        <w:rPr>
          <w:color w:val="333333"/>
        </w:rPr>
        <w:t xml:space="preserve"> l.00h </w:t>
      </w:r>
      <w:r>
        <w:rPr>
          <w:color w:val="333333"/>
        </w:rPr>
        <w:t>的防火隔墙；</w:t>
      </w:r>
      <w:r>
        <w:rPr>
          <w:color w:val="333333"/>
        </w:rPr>
        <w:t xml:space="preserve"> </w:t>
      </w:r>
    </w:p>
    <w:p w14:paraId="3DC8DED8" w14:textId="77777777" w:rsidR="00A71EEF" w:rsidRDefault="00A71EEF">
      <w:pPr>
        <w:pStyle w:val="a3"/>
        <w:spacing w:before="12"/>
        <w:rPr>
          <w:sz w:val="17"/>
        </w:rPr>
      </w:pPr>
    </w:p>
    <w:p w14:paraId="5E19E44D" w14:textId="77777777" w:rsidR="00A71EEF" w:rsidRDefault="0081115D">
      <w:pPr>
        <w:pStyle w:val="a3"/>
        <w:ind w:left="838"/>
      </w:pPr>
      <w:r>
        <w:rPr>
          <w:color w:val="333333"/>
        </w:rPr>
        <w:t>楼梯间的前室应分别设置。</w:t>
      </w:r>
      <w:r>
        <w:rPr>
          <w:color w:val="333333"/>
        </w:rPr>
        <w:t xml:space="preserve"> </w:t>
      </w:r>
    </w:p>
    <w:p w14:paraId="22584407" w14:textId="77777777" w:rsidR="00A71EEF" w:rsidRDefault="00A71EEF">
      <w:pPr>
        <w:pStyle w:val="a3"/>
        <w:spacing w:before="2"/>
        <w:rPr>
          <w:sz w:val="18"/>
        </w:rPr>
      </w:pPr>
    </w:p>
    <w:p w14:paraId="2F368328" w14:textId="77777777" w:rsidR="00A71EEF" w:rsidRDefault="0081115D">
      <w:pPr>
        <w:pStyle w:val="a4"/>
        <w:numPr>
          <w:ilvl w:val="2"/>
          <w:numId w:val="723"/>
        </w:numPr>
        <w:tabs>
          <w:tab w:val="left" w:pos="1478"/>
        </w:tabs>
        <w:spacing w:line="444" w:lineRule="auto"/>
        <w:ind w:right="1443" w:firstLine="422"/>
        <w:rPr>
          <w:sz w:val="21"/>
        </w:rPr>
      </w:pPr>
      <w:r>
        <w:rPr>
          <w:color w:val="333333"/>
          <w:spacing w:val="-11"/>
          <w:sz w:val="21"/>
        </w:rPr>
        <w:t>设置不少于</w:t>
      </w:r>
      <w:r>
        <w:rPr>
          <w:color w:val="333333"/>
          <w:spacing w:val="-11"/>
          <w:sz w:val="21"/>
        </w:rPr>
        <w:t xml:space="preserve"> </w:t>
      </w:r>
      <w:r>
        <w:rPr>
          <w:color w:val="333333"/>
          <w:sz w:val="21"/>
        </w:rPr>
        <w:t>2</w:t>
      </w:r>
      <w:r>
        <w:rPr>
          <w:color w:val="333333"/>
          <w:spacing w:val="-3"/>
          <w:sz w:val="21"/>
        </w:rPr>
        <w:t xml:space="preserve"> </w:t>
      </w:r>
      <w:r>
        <w:rPr>
          <w:color w:val="333333"/>
          <w:spacing w:val="-3"/>
          <w:sz w:val="21"/>
        </w:rPr>
        <w:t>部疏散楼梯的一、二级耐火等级多层公共建筑，如顶层局部升高，当</w:t>
      </w:r>
      <w:r>
        <w:rPr>
          <w:color w:val="333333"/>
          <w:spacing w:val="-8"/>
          <w:sz w:val="21"/>
        </w:rPr>
        <w:t>高出部分的层数不超过</w:t>
      </w:r>
      <w:r>
        <w:rPr>
          <w:color w:val="333333"/>
          <w:spacing w:val="-8"/>
          <w:sz w:val="21"/>
        </w:rPr>
        <w:t xml:space="preserve"> </w:t>
      </w:r>
      <w:r>
        <w:rPr>
          <w:color w:val="333333"/>
          <w:spacing w:val="-3"/>
          <w:sz w:val="21"/>
        </w:rPr>
        <w:t>2</w:t>
      </w:r>
      <w:r>
        <w:rPr>
          <w:color w:val="333333"/>
          <w:spacing w:val="-8"/>
          <w:sz w:val="21"/>
        </w:rPr>
        <w:t xml:space="preserve"> </w:t>
      </w:r>
      <w:r>
        <w:rPr>
          <w:color w:val="333333"/>
          <w:spacing w:val="-8"/>
          <w:sz w:val="21"/>
        </w:rPr>
        <w:t>层、人数之和不超过</w:t>
      </w:r>
      <w:r>
        <w:rPr>
          <w:color w:val="333333"/>
          <w:spacing w:val="-8"/>
          <w:sz w:val="21"/>
        </w:rPr>
        <w:t xml:space="preserve"> </w:t>
      </w:r>
      <w:r>
        <w:rPr>
          <w:color w:val="333333"/>
          <w:sz w:val="21"/>
        </w:rPr>
        <w:t>50</w:t>
      </w:r>
      <w:r>
        <w:rPr>
          <w:color w:val="333333"/>
          <w:spacing w:val="-7"/>
          <w:sz w:val="21"/>
        </w:rPr>
        <w:t xml:space="preserve"> </w:t>
      </w:r>
      <w:r>
        <w:rPr>
          <w:color w:val="333333"/>
          <w:spacing w:val="-7"/>
          <w:sz w:val="21"/>
        </w:rPr>
        <w:t>人且每层建筑面积不大于</w:t>
      </w:r>
      <w:r>
        <w:rPr>
          <w:color w:val="333333"/>
          <w:spacing w:val="-7"/>
          <w:sz w:val="21"/>
        </w:rPr>
        <w:t xml:space="preserve"> </w:t>
      </w:r>
      <w:r>
        <w:rPr>
          <w:color w:val="333333"/>
          <w:sz w:val="21"/>
        </w:rPr>
        <w:t>200m</w:t>
      </w:r>
      <w:r>
        <w:rPr>
          <w:color w:val="333333"/>
          <w:position w:val="11"/>
          <w:sz w:val="11"/>
        </w:rPr>
        <w:t>2</w:t>
      </w:r>
      <w:r>
        <w:rPr>
          <w:color w:val="333333"/>
          <w:spacing w:val="2"/>
          <w:sz w:val="11"/>
        </w:rPr>
        <w:t xml:space="preserve">  </w:t>
      </w:r>
      <w:r>
        <w:rPr>
          <w:color w:val="333333"/>
          <w:spacing w:val="-3"/>
          <w:sz w:val="21"/>
        </w:rPr>
        <w:t>时，高出部</w:t>
      </w:r>
      <w:r>
        <w:rPr>
          <w:color w:val="333333"/>
          <w:spacing w:val="-12"/>
          <w:sz w:val="21"/>
        </w:rPr>
        <w:t>分可设置</w:t>
      </w:r>
      <w:r>
        <w:rPr>
          <w:color w:val="333333"/>
          <w:spacing w:val="-12"/>
          <w:sz w:val="21"/>
        </w:rPr>
        <w:t xml:space="preserve"> </w:t>
      </w:r>
      <w:r>
        <w:rPr>
          <w:color w:val="333333"/>
          <w:spacing w:val="-3"/>
          <w:sz w:val="21"/>
        </w:rPr>
        <w:t>1</w:t>
      </w:r>
      <w:r>
        <w:rPr>
          <w:color w:val="333333"/>
          <w:spacing w:val="-6"/>
          <w:sz w:val="21"/>
        </w:rPr>
        <w:t xml:space="preserve"> </w:t>
      </w:r>
      <w:r>
        <w:rPr>
          <w:color w:val="333333"/>
          <w:spacing w:val="-6"/>
          <w:sz w:val="21"/>
        </w:rPr>
        <w:t>部疏散楼梯，但至少应另外设置</w:t>
      </w:r>
      <w:r>
        <w:rPr>
          <w:color w:val="333333"/>
          <w:spacing w:val="-6"/>
          <w:sz w:val="21"/>
        </w:rPr>
        <w:t xml:space="preserve"> </w:t>
      </w:r>
      <w:r>
        <w:rPr>
          <w:color w:val="333333"/>
          <w:sz w:val="21"/>
        </w:rPr>
        <w:t>1</w:t>
      </w:r>
      <w:r>
        <w:rPr>
          <w:color w:val="333333"/>
          <w:spacing w:val="-9"/>
          <w:sz w:val="21"/>
        </w:rPr>
        <w:t xml:space="preserve"> </w:t>
      </w:r>
      <w:r>
        <w:rPr>
          <w:color w:val="333333"/>
          <w:spacing w:val="-9"/>
          <w:sz w:val="21"/>
        </w:rPr>
        <w:t>个直通建筑主体上人平屋面的安全出口，且上人</w:t>
      </w:r>
      <w:r>
        <w:rPr>
          <w:color w:val="333333"/>
          <w:spacing w:val="-5"/>
          <w:sz w:val="21"/>
        </w:rPr>
        <w:t>屋面应符合人员安全疏散的要求。</w:t>
      </w:r>
      <w:r>
        <w:rPr>
          <w:color w:val="333333"/>
          <w:spacing w:val="-3"/>
          <w:sz w:val="21"/>
        </w:rPr>
        <w:t xml:space="preserve"> </w:t>
      </w:r>
      <w:r>
        <w:rPr>
          <w:color w:val="333333"/>
          <w:sz w:val="21"/>
        </w:rPr>
        <w:t xml:space="preserve">  </w:t>
      </w:r>
      <w:r>
        <w:rPr>
          <w:color w:val="333333"/>
          <w:sz w:val="21"/>
        </w:rPr>
        <w:t xml:space="preserve"> </w:t>
      </w:r>
      <w:r>
        <w:rPr>
          <w:color w:val="333333"/>
          <w:sz w:val="21"/>
        </w:rPr>
        <w:t xml:space="preserve"> </w:t>
      </w:r>
      <w:r>
        <w:rPr>
          <w:color w:val="333333"/>
          <w:spacing w:val="-3"/>
          <w:sz w:val="21"/>
        </w:rPr>
        <w:t xml:space="preserve"> </w:t>
      </w:r>
      <w:r>
        <w:rPr>
          <w:color w:val="333333"/>
          <w:sz w:val="21"/>
        </w:rPr>
        <w:t xml:space="preserve"> </w:t>
      </w:r>
      <w:r>
        <w:rPr>
          <w:color w:val="333333"/>
          <w:spacing w:val="-2"/>
          <w:sz w:val="21"/>
        </w:rPr>
        <w:t xml:space="preserve"> </w:t>
      </w:r>
      <w:r>
        <w:rPr>
          <w:color w:val="333333"/>
          <w:sz w:val="21"/>
        </w:rPr>
        <w:t xml:space="preserve"> </w:t>
      </w:r>
    </w:p>
    <w:p w14:paraId="59525B5D" w14:textId="77777777" w:rsidR="00A71EEF" w:rsidRDefault="0081115D">
      <w:pPr>
        <w:pStyle w:val="a4"/>
        <w:numPr>
          <w:ilvl w:val="2"/>
          <w:numId w:val="723"/>
        </w:numPr>
        <w:tabs>
          <w:tab w:val="left" w:pos="1478"/>
        </w:tabs>
        <w:spacing w:line="446" w:lineRule="auto"/>
        <w:ind w:right="1447" w:firstLine="422"/>
        <w:rPr>
          <w:sz w:val="21"/>
        </w:rPr>
      </w:pPr>
      <w:r>
        <w:rPr>
          <w:color w:val="333333"/>
          <w:spacing w:val="-6"/>
          <w:sz w:val="21"/>
        </w:rPr>
        <w:t>一类高层公共建筑和建筑高度大于</w:t>
      </w:r>
      <w:r>
        <w:rPr>
          <w:color w:val="333333"/>
          <w:spacing w:val="-6"/>
          <w:sz w:val="21"/>
        </w:rPr>
        <w:t xml:space="preserve"> </w:t>
      </w:r>
      <w:r>
        <w:rPr>
          <w:color w:val="333333"/>
          <w:sz w:val="21"/>
        </w:rPr>
        <w:t>32m</w:t>
      </w:r>
      <w:r>
        <w:rPr>
          <w:color w:val="333333"/>
          <w:spacing w:val="-3"/>
          <w:sz w:val="21"/>
        </w:rPr>
        <w:t xml:space="preserve"> </w:t>
      </w:r>
      <w:r>
        <w:rPr>
          <w:color w:val="333333"/>
          <w:spacing w:val="-3"/>
          <w:sz w:val="21"/>
        </w:rPr>
        <w:t>的二类高层公共建筑，其疏散楼梯应采用防烟楼梯间。</w:t>
      </w:r>
      <w:r>
        <w:rPr>
          <w:color w:val="333333"/>
          <w:sz w:val="21"/>
        </w:rPr>
        <w:t xml:space="preserve"> </w:t>
      </w:r>
    </w:p>
    <w:p w14:paraId="4787E3B7" w14:textId="77777777" w:rsidR="00A71EEF" w:rsidRDefault="0081115D">
      <w:pPr>
        <w:pStyle w:val="a3"/>
        <w:ind w:left="838"/>
      </w:pPr>
      <w:r>
        <w:rPr>
          <w:color w:val="333333"/>
        </w:rPr>
        <w:t>裙房和建筑高度不大于</w:t>
      </w:r>
      <w:r>
        <w:rPr>
          <w:color w:val="333333"/>
        </w:rPr>
        <w:t xml:space="preserve"> 32m </w:t>
      </w:r>
      <w:r>
        <w:rPr>
          <w:color w:val="333333"/>
        </w:rPr>
        <w:t>的二类高层公共建筑，其疏散楼梯应采用封闭楼梯间。</w:t>
      </w:r>
      <w:r>
        <w:rPr>
          <w:color w:val="333333"/>
        </w:rPr>
        <w:t xml:space="preserve"> </w:t>
      </w:r>
    </w:p>
    <w:p w14:paraId="4337B0A8" w14:textId="77777777" w:rsidR="00A71EEF" w:rsidRDefault="00A71EEF">
      <w:pPr>
        <w:pStyle w:val="a3"/>
        <w:spacing w:before="11"/>
        <w:rPr>
          <w:sz w:val="17"/>
        </w:rPr>
      </w:pPr>
    </w:p>
    <w:p w14:paraId="4A80FA51" w14:textId="77777777" w:rsidR="00A71EEF" w:rsidRDefault="0081115D">
      <w:pPr>
        <w:pStyle w:val="a3"/>
        <w:spacing w:line="446" w:lineRule="auto"/>
        <w:ind w:left="418" w:right="1609" w:firstLine="419"/>
      </w:pPr>
      <w:r>
        <w:rPr>
          <w:color w:val="333333"/>
        </w:rPr>
        <w:t>注：当裙房与高层建筑主体之间设置防火墙时，裙房的疏散楼梯可按本规范有关单、多层建筑的要求确定。</w:t>
      </w:r>
      <w:r>
        <w:rPr>
          <w:color w:val="333333"/>
        </w:rPr>
        <w:t xml:space="preserve"> </w:t>
      </w:r>
    </w:p>
    <w:p w14:paraId="510FD4BC" w14:textId="77777777" w:rsidR="00A71EEF" w:rsidRDefault="0081115D">
      <w:pPr>
        <w:pStyle w:val="a4"/>
        <w:numPr>
          <w:ilvl w:val="2"/>
          <w:numId w:val="723"/>
        </w:numPr>
        <w:tabs>
          <w:tab w:val="left" w:pos="1478"/>
        </w:tabs>
        <w:spacing w:line="446" w:lineRule="auto"/>
        <w:ind w:right="1496" w:firstLine="422"/>
        <w:rPr>
          <w:sz w:val="21"/>
        </w:rPr>
      </w:pPr>
      <w:r>
        <w:rPr>
          <w:color w:val="333333"/>
          <w:spacing w:val="-3"/>
          <w:sz w:val="21"/>
        </w:rPr>
        <w:t>下列多层公共建筑的疏散楼梯，除与敞开式外廊直接相连的楼梯间外，均应采用封闭楼梯间：</w:t>
      </w:r>
      <w:r>
        <w:rPr>
          <w:color w:val="333333"/>
          <w:sz w:val="21"/>
        </w:rPr>
        <w:t xml:space="preserve"> </w:t>
      </w:r>
    </w:p>
    <w:p w14:paraId="67610BEF" w14:textId="77777777" w:rsidR="00A71EEF" w:rsidRDefault="0081115D">
      <w:pPr>
        <w:pStyle w:val="a3"/>
        <w:spacing w:line="446" w:lineRule="auto"/>
        <w:ind w:left="838" w:right="5917"/>
      </w:pPr>
      <w:r>
        <w:rPr>
          <w:color w:val="333333"/>
        </w:rPr>
        <w:t>医疗建筑、旅馆及类似使用功能的建筑；</w:t>
      </w:r>
      <w:r>
        <w:rPr>
          <w:color w:val="333333"/>
        </w:rPr>
        <w:t xml:space="preserve"> </w:t>
      </w:r>
      <w:r>
        <w:rPr>
          <w:color w:val="333333"/>
        </w:rPr>
        <w:t>设置歌舞娱乐放映游艺场所的建筑；</w:t>
      </w:r>
      <w:r>
        <w:rPr>
          <w:color w:val="333333"/>
        </w:rPr>
        <w:t xml:space="preserve"> </w:t>
      </w:r>
    </w:p>
    <w:p w14:paraId="1113AF49" w14:textId="77777777" w:rsidR="00A71EEF" w:rsidRDefault="0081115D">
      <w:pPr>
        <w:pStyle w:val="a3"/>
        <w:spacing w:line="446" w:lineRule="auto"/>
        <w:ind w:left="838" w:right="3923"/>
      </w:pPr>
      <w:r>
        <w:rPr>
          <w:color w:val="333333"/>
        </w:rPr>
        <w:t xml:space="preserve"> </w:t>
      </w:r>
      <w:r>
        <w:rPr>
          <w:color w:val="333333"/>
          <w:spacing w:val="-3"/>
        </w:rPr>
        <w:t>商店、图书馆、展览建筑、会议中心及类似使用功能的建筑；</w:t>
      </w:r>
      <w:r>
        <w:rPr>
          <w:color w:val="333333"/>
          <w:spacing w:val="-3"/>
        </w:rPr>
        <w:t xml:space="preserve"> </w:t>
      </w:r>
      <w:r>
        <w:rPr>
          <w:color w:val="333333"/>
        </w:rPr>
        <w:t>6</w:t>
      </w:r>
      <w:r>
        <w:rPr>
          <w:color w:val="333333"/>
          <w:spacing w:val="-3"/>
        </w:rPr>
        <w:t xml:space="preserve"> </w:t>
      </w:r>
      <w:r>
        <w:rPr>
          <w:color w:val="333333"/>
          <w:spacing w:val="-3"/>
        </w:rPr>
        <w:t>层及以上的其他建筑。</w:t>
      </w:r>
      <w:r>
        <w:rPr>
          <w:color w:val="333333"/>
        </w:rPr>
        <w:t xml:space="preserve"> </w:t>
      </w:r>
    </w:p>
    <w:p w14:paraId="3B3846BB" w14:textId="77777777" w:rsidR="00A71EEF" w:rsidRDefault="00A71EEF">
      <w:pPr>
        <w:spacing w:line="446" w:lineRule="auto"/>
        <w:sectPr w:rsidR="00A71EEF">
          <w:pgSz w:w="11910" w:h="16850"/>
          <w:pgMar w:top="1220" w:right="0" w:bottom="1420" w:left="1260" w:header="0" w:footer="1239" w:gutter="0"/>
          <w:cols w:space="720"/>
        </w:sectPr>
      </w:pPr>
    </w:p>
    <w:p w14:paraId="78FE4B26" w14:textId="77777777" w:rsidR="00A71EEF" w:rsidRDefault="0081115D">
      <w:pPr>
        <w:pStyle w:val="a4"/>
        <w:numPr>
          <w:ilvl w:val="2"/>
          <w:numId w:val="721"/>
        </w:numPr>
        <w:tabs>
          <w:tab w:val="left" w:pos="1478"/>
        </w:tabs>
        <w:spacing w:before="47" w:line="446" w:lineRule="auto"/>
        <w:ind w:right="1601" w:firstLine="422"/>
        <w:jc w:val="both"/>
        <w:rPr>
          <w:sz w:val="21"/>
        </w:rPr>
      </w:pPr>
      <w:r>
        <w:rPr>
          <w:b/>
          <w:color w:val="333333"/>
          <w:sz w:val="21"/>
        </w:rPr>
        <w:lastRenderedPageBreak/>
        <w:t>A</w:t>
      </w:r>
      <w:r>
        <w:rPr>
          <w:b/>
          <w:color w:val="333333"/>
          <w:spacing w:val="35"/>
          <w:sz w:val="21"/>
        </w:rPr>
        <w:t xml:space="preserve"> </w:t>
      </w:r>
      <w:r>
        <w:rPr>
          <w:color w:val="333333"/>
          <w:spacing w:val="-3"/>
          <w:sz w:val="21"/>
        </w:rPr>
        <w:t>老年人照料设施的疏散楼梯或疏散楼梯间宜与敞开式外廊直接连通，不能与敞开</w:t>
      </w:r>
      <w:r>
        <w:rPr>
          <w:color w:val="333333"/>
          <w:spacing w:val="-5"/>
          <w:sz w:val="21"/>
        </w:rPr>
        <w:t>式外廊直接连通的室内疏散楼梯应采用封闭楼梯间。建筑高度大于</w:t>
      </w:r>
      <w:r>
        <w:rPr>
          <w:color w:val="333333"/>
          <w:spacing w:val="-5"/>
          <w:sz w:val="21"/>
        </w:rPr>
        <w:t xml:space="preserve"> </w:t>
      </w:r>
      <w:r>
        <w:rPr>
          <w:color w:val="333333"/>
          <w:sz w:val="21"/>
        </w:rPr>
        <w:t>24m</w:t>
      </w:r>
      <w:r>
        <w:rPr>
          <w:color w:val="333333"/>
          <w:spacing w:val="-7"/>
          <w:sz w:val="21"/>
        </w:rPr>
        <w:t xml:space="preserve"> </w:t>
      </w:r>
      <w:r>
        <w:rPr>
          <w:color w:val="333333"/>
          <w:spacing w:val="-7"/>
          <w:sz w:val="21"/>
        </w:rPr>
        <w:t>的老年人照料设施，其</w:t>
      </w:r>
      <w:r>
        <w:rPr>
          <w:color w:val="333333"/>
          <w:spacing w:val="-5"/>
          <w:sz w:val="21"/>
        </w:rPr>
        <w:t>室内疏散楼梯应采用防烟楼梯间。</w:t>
      </w:r>
      <w:r>
        <w:rPr>
          <w:color w:val="333333"/>
          <w:sz w:val="21"/>
        </w:rPr>
        <w:t xml:space="preserve"> </w:t>
      </w:r>
    </w:p>
    <w:p w14:paraId="4E95DB21" w14:textId="77777777" w:rsidR="00A71EEF" w:rsidRDefault="0081115D">
      <w:pPr>
        <w:pStyle w:val="a3"/>
        <w:spacing w:line="446" w:lineRule="auto"/>
        <w:ind w:left="418" w:right="1608" w:firstLine="419"/>
        <w:jc w:val="both"/>
      </w:pPr>
      <w:r>
        <w:rPr>
          <w:color w:val="333333"/>
          <w:spacing w:val="-9"/>
        </w:rPr>
        <w:t>建筑高度大于</w:t>
      </w:r>
      <w:r>
        <w:rPr>
          <w:color w:val="333333"/>
          <w:spacing w:val="-9"/>
        </w:rPr>
        <w:t xml:space="preserve"> </w:t>
      </w:r>
      <w:r>
        <w:rPr>
          <w:color w:val="333333"/>
        </w:rPr>
        <w:t>32m</w:t>
      </w:r>
      <w:r>
        <w:rPr>
          <w:color w:val="333333"/>
          <w:spacing w:val="-11"/>
        </w:rPr>
        <w:t xml:space="preserve"> </w:t>
      </w:r>
      <w:r>
        <w:rPr>
          <w:color w:val="333333"/>
          <w:spacing w:val="-11"/>
        </w:rPr>
        <w:t>的老年人照料设施，宜在</w:t>
      </w:r>
      <w:r>
        <w:rPr>
          <w:color w:val="333333"/>
          <w:spacing w:val="-11"/>
        </w:rPr>
        <w:t xml:space="preserve"> </w:t>
      </w:r>
      <w:r>
        <w:rPr>
          <w:color w:val="333333"/>
        </w:rPr>
        <w:t>32m</w:t>
      </w:r>
      <w:r>
        <w:rPr>
          <w:color w:val="333333"/>
          <w:spacing w:val="-8"/>
        </w:rPr>
        <w:t xml:space="preserve"> </w:t>
      </w:r>
      <w:r>
        <w:rPr>
          <w:color w:val="333333"/>
          <w:spacing w:val="-8"/>
        </w:rPr>
        <w:t>以上部分增设能连通老年人居室和公共活</w:t>
      </w:r>
      <w:r>
        <w:rPr>
          <w:color w:val="333333"/>
          <w:spacing w:val="-5"/>
        </w:rPr>
        <w:t>动场所的连廊，各层连廊应直接与疏散楼梯、安全出口或室外避难场地连通。</w:t>
      </w:r>
      <w:r>
        <w:rPr>
          <w:color w:val="333333"/>
          <w:spacing w:val="-5"/>
        </w:rPr>
        <w:t xml:space="preserve"> </w:t>
      </w:r>
    </w:p>
    <w:p w14:paraId="6604513C" w14:textId="77777777" w:rsidR="00A71EEF" w:rsidRDefault="0081115D">
      <w:pPr>
        <w:pStyle w:val="a4"/>
        <w:numPr>
          <w:ilvl w:val="2"/>
          <w:numId w:val="721"/>
        </w:numPr>
        <w:tabs>
          <w:tab w:val="left" w:pos="1478"/>
        </w:tabs>
        <w:spacing w:line="446" w:lineRule="auto"/>
        <w:ind w:right="1496" w:firstLine="422"/>
        <w:rPr>
          <w:sz w:val="21"/>
        </w:rPr>
      </w:pPr>
      <w:r>
        <w:rPr>
          <w:color w:val="333333"/>
          <w:spacing w:val="-3"/>
          <w:sz w:val="21"/>
        </w:rPr>
        <w:t>公共建筑内的客、货电梯宜设置电梯候梯厅，不宜直接设置在营业厅、展览厅、多功能厅等场所内。老年人照料设施内的非消防电梯应采取防烟措施，当火灾情况下需用于辅助人员</w:t>
      </w:r>
      <w:r>
        <w:rPr>
          <w:color w:val="333333"/>
          <w:spacing w:val="-3"/>
          <w:sz w:val="21"/>
        </w:rPr>
        <w:t>疏散时，该电梯及其设置应符合本规范有关消防电梯及其设置的要求。</w:t>
      </w:r>
      <w:r>
        <w:rPr>
          <w:color w:val="333333"/>
          <w:sz w:val="21"/>
        </w:rPr>
        <w:t xml:space="preserve"> </w:t>
      </w:r>
    </w:p>
    <w:p w14:paraId="4EAD593E" w14:textId="77777777" w:rsidR="00A71EEF" w:rsidRDefault="0081115D">
      <w:pPr>
        <w:pStyle w:val="a4"/>
        <w:numPr>
          <w:ilvl w:val="2"/>
          <w:numId w:val="721"/>
        </w:numPr>
        <w:tabs>
          <w:tab w:val="left" w:pos="1478"/>
        </w:tabs>
        <w:spacing w:line="446" w:lineRule="auto"/>
        <w:ind w:right="1448" w:firstLine="422"/>
        <w:rPr>
          <w:sz w:val="21"/>
        </w:rPr>
      </w:pPr>
      <w:r>
        <w:rPr>
          <w:color w:val="333333"/>
          <w:spacing w:val="-5"/>
          <w:sz w:val="21"/>
        </w:rPr>
        <w:t>公共建筑内房间的疏散门数量应经计算确定且不应少于</w:t>
      </w:r>
      <w:r>
        <w:rPr>
          <w:color w:val="333333"/>
          <w:spacing w:val="-5"/>
          <w:sz w:val="21"/>
        </w:rPr>
        <w:t xml:space="preserve"> </w:t>
      </w:r>
      <w:r>
        <w:rPr>
          <w:color w:val="333333"/>
          <w:sz w:val="21"/>
        </w:rPr>
        <w:t>2</w:t>
      </w:r>
      <w:r>
        <w:rPr>
          <w:color w:val="333333"/>
          <w:spacing w:val="-2"/>
          <w:sz w:val="21"/>
        </w:rPr>
        <w:t xml:space="preserve"> </w:t>
      </w:r>
      <w:r>
        <w:rPr>
          <w:color w:val="333333"/>
          <w:spacing w:val="-2"/>
          <w:sz w:val="21"/>
        </w:rPr>
        <w:t>个。除托儿所、幼儿园、</w:t>
      </w:r>
      <w:r>
        <w:rPr>
          <w:color w:val="333333"/>
          <w:spacing w:val="-3"/>
          <w:sz w:val="21"/>
        </w:rPr>
        <w:t>老年人照料设施、医疗建筑、教学建筑内位于走道尽端的房间外，符合下列条件之一的房间可</w:t>
      </w:r>
      <w:r>
        <w:rPr>
          <w:color w:val="333333"/>
          <w:spacing w:val="-3"/>
          <w:sz w:val="21"/>
        </w:rPr>
        <w:t xml:space="preserve"> </w:t>
      </w:r>
      <w:r>
        <w:rPr>
          <w:color w:val="333333"/>
          <w:spacing w:val="-20"/>
          <w:sz w:val="21"/>
        </w:rPr>
        <w:t>设置</w:t>
      </w:r>
      <w:r>
        <w:rPr>
          <w:color w:val="333333"/>
          <w:spacing w:val="-20"/>
          <w:sz w:val="21"/>
        </w:rPr>
        <w:t xml:space="preserve"> </w:t>
      </w:r>
      <w:r>
        <w:rPr>
          <w:color w:val="333333"/>
          <w:spacing w:val="-3"/>
          <w:sz w:val="21"/>
        </w:rPr>
        <w:t xml:space="preserve">1 </w:t>
      </w:r>
      <w:r>
        <w:rPr>
          <w:color w:val="333333"/>
          <w:spacing w:val="-3"/>
          <w:sz w:val="21"/>
        </w:rPr>
        <w:t>个疏散门：</w:t>
      </w:r>
      <w:r>
        <w:rPr>
          <w:color w:val="333333"/>
          <w:sz w:val="21"/>
        </w:rPr>
        <w:t xml:space="preserve"> </w:t>
      </w:r>
    </w:p>
    <w:p w14:paraId="6B456F52" w14:textId="77777777" w:rsidR="00A71EEF" w:rsidRDefault="00A71EEF">
      <w:pPr>
        <w:pStyle w:val="a3"/>
        <w:rPr>
          <w:sz w:val="20"/>
        </w:rPr>
      </w:pPr>
    </w:p>
    <w:p w14:paraId="61CC87C9" w14:textId="77777777" w:rsidR="00A71EEF" w:rsidRDefault="00A71EEF">
      <w:pPr>
        <w:pStyle w:val="a3"/>
        <w:rPr>
          <w:sz w:val="20"/>
        </w:rPr>
      </w:pPr>
    </w:p>
    <w:p w14:paraId="7E82128A" w14:textId="77777777" w:rsidR="00A71EEF" w:rsidRDefault="00A71EEF">
      <w:pPr>
        <w:pStyle w:val="a3"/>
        <w:rPr>
          <w:sz w:val="20"/>
        </w:rPr>
      </w:pPr>
    </w:p>
    <w:p w14:paraId="5F0E473F" w14:textId="77777777" w:rsidR="00A71EEF" w:rsidRDefault="00A71EEF">
      <w:pPr>
        <w:pStyle w:val="a3"/>
        <w:spacing w:before="9"/>
        <w:rPr>
          <w:sz w:val="17"/>
        </w:rPr>
      </w:pPr>
    </w:p>
    <w:p w14:paraId="41D01354" w14:textId="77777777" w:rsidR="00A71EEF" w:rsidRDefault="0081115D">
      <w:pPr>
        <w:pStyle w:val="a3"/>
        <w:spacing w:line="436" w:lineRule="auto"/>
        <w:ind w:left="418" w:right="1609" w:firstLine="419"/>
      </w:pPr>
      <w:r>
        <w:rPr>
          <w:color w:val="333333"/>
          <w:spacing w:val="-3"/>
        </w:rPr>
        <w:t>位于两个安全出口之间或袋形走道两侧的房间，对于托儿所、幼儿园、老年人照料设施，</w:t>
      </w:r>
      <w:r>
        <w:rPr>
          <w:color w:val="333333"/>
          <w:spacing w:val="-3"/>
        </w:rPr>
        <w:t xml:space="preserve"> </w:t>
      </w:r>
      <w:r>
        <w:rPr>
          <w:color w:val="333333"/>
          <w:spacing w:val="-6"/>
        </w:rPr>
        <w:t>建筑面积不大于</w:t>
      </w:r>
      <w:r>
        <w:rPr>
          <w:color w:val="333333"/>
          <w:spacing w:val="-6"/>
        </w:rPr>
        <w:t xml:space="preserve"> </w:t>
      </w:r>
      <w:r>
        <w:rPr>
          <w:color w:val="333333"/>
        </w:rPr>
        <w:t>50m</w:t>
      </w:r>
      <w:r>
        <w:rPr>
          <w:color w:val="333333"/>
          <w:position w:val="11"/>
          <w:sz w:val="11"/>
        </w:rPr>
        <w:t>2</w:t>
      </w:r>
      <w:r>
        <w:rPr>
          <w:color w:val="333333"/>
          <w:spacing w:val="-5"/>
        </w:rPr>
        <w:t>；对于医疗建筑、教学建筑，建筑面积不大于</w:t>
      </w:r>
      <w:r>
        <w:rPr>
          <w:color w:val="333333"/>
          <w:spacing w:val="-5"/>
        </w:rPr>
        <w:t xml:space="preserve"> </w:t>
      </w:r>
      <w:r>
        <w:rPr>
          <w:color w:val="333333"/>
        </w:rPr>
        <w:t>75m</w:t>
      </w:r>
      <w:r>
        <w:rPr>
          <w:color w:val="333333"/>
          <w:position w:val="11"/>
          <w:sz w:val="11"/>
        </w:rPr>
        <w:t>2</w:t>
      </w:r>
      <w:r>
        <w:rPr>
          <w:color w:val="333333"/>
          <w:spacing w:val="-3"/>
        </w:rPr>
        <w:t>；对于其他建筑或场</w:t>
      </w:r>
      <w:r>
        <w:rPr>
          <w:color w:val="333333"/>
          <w:spacing w:val="-8"/>
        </w:rPr>
        <w:t>所，建筑面积不大于</w:t>
      </w:r>
      <w:r>
        <w:rPr>
          <w:color w:val="333333"/>
          <w:spacing w:val="-8"/>
        </w:rPr>
        <w:t xml:space="preserve"> </w:t>
      </w:r>
      <w:r>
        <w:rPr>
          <w:color w:val="333333"/>
        </w:rPr>
        <w:t>120m</w:t>
      </w:r>
      <w:r>
        <w:rPr>
          <w:color w:val="333333"/>
          <w:position w:val="11"/>
          <w:sz w:val="11"/>
        </w:rPr>
        <w:t>2</w:t>
      </w:r>
      <w:r>
        <w:rPr>
          <w:color w:val="333333"/>
        </w:rPr>
        <w:t>；</w:t>
      </w:r>
      <w:r>
        <w:rPr>
          <w:color w:val="333333"/>
        </w:rPr>
        <w:t xml:space="preserve">  </w:t>
      </w:r>
      <w:r>
        <w:rPr>
          <w:color w:val="333333"/>
        </w:rPr>
        <w:t xml:space="preserve"> </w:t>
      </w:r>
      <w:r>
        <w:rPr>
          <w:color w:val="333333"/>
          <w:spacing w:val="-2"/>
        </w:rPr>
        <w:t xml:space="preserve"> </w:t>
      </w:r>
      <w:r>
        <w:rPr>
          <w:color w:val="333333"/>
          <w:spacing w:val="-3"/>
        </w:rPr>
        <w:t xml:space="preserve"> </w:t>
      </w:r>
      <w:r>
        <w:rPr>
          <w:color w:val="333333"/>
        </w:rPr>
        <w:t xml:space="preserve"> </w:t>
      </w:r>
    </w:p>
    <w:p w14:paraId="66825661" w14:textId="77777777" w:rsidR="00A71EEF" w:rsidRDefault="0081115D">
      <w:pPr>
        <w:pStyle w:val="a3"/>
        <w:spacing w:before="1" w:line="441" w:lineRule="auto"/>
        <w:ind w:left="418" w:right="1447" w:firstLine="419"/>
      </w:pPr>
      <w:r>
        <w:rPr>
          <w:color w:val="333333"/>
          <w:spacing w:val="-6"/>
        </w:rPr>
        <w:t>位于走道尽端的房间，建筑面积小于</w:t>
      </w:r>
      <w:r>
        <w:rPr>
          <w:color w:val="333333"/>
          <w:spacing w:val="-6"/>
        </w:rPr>
        <w:t xml:space="preserve"> </w:t>
      </w:r>
      <w:r>
        <w:rPr>
          <w:color w:val="333333"/>
        </w:rPr>
        <w:t>50m</w:t>
      </w:r>
      <w:r>
        <w:rPr>
          <w:color w:val="333333"/>
          <w:position w:val="11"/>
          <w:sz w:val="11"/>
        </w:rPr>
        <w:t>2</w:t>
      </w:r>
      <w:r>
        <w:rPr>
          <w:color w:val="333333"/>
          <w:sz w:val="11"/>
        </w:rPr>
        <w:t xml:space="preserve"> </w:t>
      </w:r>
      <w:r>
        <w:rPr>
          <w:color w:val="333333"/>
          <w:spacing w:val="-7"/>
        </w:rPr>
        <w:t>且疏散门的净宽度不小于</w:t>
      </w:r>
      <w:r>
        <w:rPr>
          <w:color w:val="333333"/>
          <w:spacing w:val="-7"/>
        </w:rPr>
        <w:t xml:space="preserve"> </w:t>
      </w:r>
      <w:r>
        <w:rPr>
          <w:color w:val="333333"/>
        </w:rPr>
        <w:t>0.90m</w:t>
      </w:r>
      <w:r>
        <w:rPr>
          <w:color w:val="333333"/>
          <w:spacing w:val="-2"/>
        </w:rPr>
        <w:t>，或由房间内任</w:t>
      </w:r>
      <w:r>
        <w:rPr>
          <w:color w:val="333333"/>
          <w:spacing w:val="-6"/>
        </w:rPr>
        <w:t>一点至疏散门的直线距离不大于</w:t>
      </w:r>
      <w:r>
        <w:rPr>
          <w:color w:val="333333"/>
          <w:spacing w:val="-6"/>
        </w:rPr>
        <w:t xml:space="preserve"> </w:t>
      </w:r>
      <w:r>
        <w:rPr>
          <w:color w:val="333333"/>
        </w:rPr>
        <w:t>15m</w:t>
      </w:r>
      <w:r>
        <w:rPr>
          <w:color w:val="333333"/>
          <w:spacing w:val="-7"/>
        </w:rPr>
        <w:t>、建筑面积不大于</w:t>
      </w:r>
      <w:r>
        <w:rPr>
          <w:color w:val="333333"/>
          <w:spacing w:val="-7"/>
        </w:rPr>
        <w:t xml:space="preserve"> </w:t>
      </w:r>
      <w:r>
        <w:rPr>
          <w:color w:val="333333"/>
        </w:rPr>
        <w:t>200m</w:t>
      </w:r>
      <w:r>
        <w:rPr>
          <w:color w:val="333333"/>
          <w:position w:val="11"/>
          <w:sz w:val="11"/>
        </w:rPr>
        <w:t>2</w:t>
      </w:r>
      <w:r>
        <w:rPr>
          <w:color w:val="333333"/>
          <w:spacing w:val="4"/>
          <w:sz w:val="11"/>
        </w:rPr>
        <w:t xml:space="preserve">   </w:t>
      </w:r>
      <w:r>
        <w:rPr>
          <w:color w:val="333333"/>
          <w:spacing w:val="-3"/>
        </w:rPr>
        <w:t>且疏散门的净宽度不小于</w:t>
      </w:r>
      <w:r>
        <w:rPr>
          <w:color w:val="333333"/>
          <w:spacing w:val="-3"/>
        </w:rPr>
        <w:t xml:space="preserve"> 1.40m</w:t>
      </w:r>
      <w:r>
        <w:rPr>
          <w:color w:val="333333"/>
          <w:spacing w:val="-3"/>
        </w:rPr>
        <w:t>；</w:t>
      </w:r>
      <w:r>
        <w:rPr>
          <w:color w:val="333333"/>
          <w:spacing w:val="-3"/>
        </w:rPr>
        <w:t xml:space="preserve"> </w:t>
      </w:r>
      <w:r>
        <w:rPr>
          <w:color w:val="333333"/>
          <w:spacing w:val="-2"/>
        </w:rPr>
        <w:t xml:space="preserve"> </w:t>
      </w:r>
      <w:r>
        <w:rPr>
          <w:color w:val="333333"/>
        </w:rPr>
        <w:t xml:space="preserve"> </w:t>
      </w:r>
    </w:p>
    <w:p w14:paraId="3138B16A" w14:textId="77777777" w:rsidR="00A71EEF" w:rsidRDefault="0081115D">
      <w:pPr>
        <w:pStyle w:val="a3"/>
        <w:spacing w:line="446" w:lineRule="auto"/>
        <w:ind w:left="840" w:right="1498" w:hanging="3"/>
      </w:pPr>
      <w:r>
        <w:rPr>
          <w:color w:val="333333"/>
        </w:rPr>
        <w:t xml:space="preserve"> </w:t>
      </w:r>
      <w:r>
        <w:rPr>
          <w:color w:val="333333"/>
        </w:rPr>
        <w:t>歌舞娱乐放映游艺场所内建筑面积不大于</w:t>
      </w:r>
      <w:r>
        <w:rPr>
          <w:color w:val="333333"/>
        </w:rPr>
        <w:t xml:space="preserve"> 50m</w:t>
      </w:r>
      <w:r>
        <w:rPr>
          <w:color w:val="333333"/>
          <w:position w:val="11"/>
          <w:sz w:val="11"/>
        </w:rPr>
        <w:t>2</w:t>
      </w:r>
      <w:r>
        <w:rPr>
          <w:color w:val="333333"/>
          <w:sz w:val="11"/>
        </w:rPr>
        <w:t xml:space="preserve"> </w:t>
      </w:r>
      <w:r>
        <w:rPr>
          <w:color w:val="333333"/>
        </w:rPr>
        <w:t>且经常停留人数不超过</w:t>
      </w:r>
      <w:r>
        <w:rPr>
          <w:color w:val="333333"/>
        </w:rPr>
        <w:t xml:space="preserve"> 15 </w:t>
      </w:r>
      <w:r>
        <w:rPr>
          <w:color w:val="333333"/>
        </w:rPr>
        <w:t>人的厅、室。</w:t>
      </w:r>
      <w:r>
        <w:rPr>
          <w:b/>
          <w:color w:val="333333"/>
        </w:rPr>
        <w:t xml:space="preserve">5.5.16 </w:t>
      </w:r>
      <w:r>
        <w:rPr>
          <w:color w:val="333333"/>
        </w:rPr>
        <w:t>剧场、电影院、礼堂和体育馆的观众厅或多功能厅，其疏散门的数量应经计算确定</w:t>
      </w:r>
    </w:p>
    <w:p w14:paraId="66FAF1BE" w14:textId="77777777" w:rsidR="00A71EEF" w:rsidRDefault="0081115D">
      <w:pPr>
        <w:pStyle w:val="a3"/>
        <w:ind w:left="418"/>
      </w:pPr>
      <w:r>
        <w:rPr>
          <w:color w:val="333333"/>
        </w:rPr>
        <w:t>且不应少于</w:t>
      </w:r>
      <w:r>
        <w:rPr>
          <w:color w:val="333333"/>
        </w:rPr>
        <w:t xml:space="preserve"> 2 </w:t>
      </w:r>
      <w:r>
        <w:rPr>
          <w:color w:val="333333"/>
        </w:rPr>
        <w:t>个，并应符合下列规定：</w:t>
      </w:r>
      <w:r>
        <w:rPr>
          <w:color w:val="333333"/>
        </w:rPr>
        <w:t xml:space="preserve"> </w:t>
      </w:r>
    </w:p>
    <w:p w14:paraId="4418F5BE" w14:textId="77777777" w:rsidR="00A71EEF" w:rsidRDefault="00A71EEF">
      <w:pPr>
        <w:pStyle w:val="a3"/>
        <w:spacing w:before="8"/>
        <w:rPr>
          <w:sz w:val="17"/>
        </w:rPr>
      </w:pPr>
    </w:p>
    <w:p w14:paraId="0C984D33" w14:textId="77777777" w:rsidR="00A71EEF" w:rsidRDefault="0081115D">
      <w:pPr>
        <w:pStyle w:val="a3"/>
        <w:ind w:right="1661"/>
        <w:jc w:val="right"/>
      </w:pPr>
      <w:r>
        <w:rPr>
          <w:color w:val="333333"/>
        </w:rPr>
        <w:t>对于剧场、电影院、礼堂的观众厅或多功能厅，每个疏散门的平均疏散人数不应超过</w:t>
      </w:r>
      <w:r>
        <w:rPr>
          <w:color w:val="333333"/>
        </w:rPr>
        <w:t xml:space="preserve"> 250</w:t>
      </w:r>
    </w:p>
    <w:p w14:paraId="49D64277" w14:textId="77777777" w:rsidR="00A71EEF" w:rsidRDefault="00A71EEF">
      <w:pPr>
        <w:pStyle w:val="a3"/>
        <w:spacing w:before="12"/>
        <w:rPr>
          <w:sz w:val="17"/>
        </w:rPr>
      </w:pPr>
    </w:p>
    <w:p w14:paraId="3BC0BE20" w14:textId="77777777" w:rsidR="00A71EEF" w:rsidRDefault="0081115D">
      <w:pPr>
        <w:pStyle w:val="a3"/>
        <w:ind w:right="1611"/>
        <w:jc w:val="right"/>
      </w:pPr>
      <w:r>
        <w:rPr>
          <w:color w:val="333333"/>
        </w:rPr>
        <w:t>人；当容纳人数超过</w:t>
      </w:r>
      <w:r>
        <w:rPr>
          <w:color w:val="333333"/>
        </w:rPr>
        <w:t xml:space="preserve"> 2000 </w:t>
      </w:r>
      <w:r>
        <w:rPr>
          <w:color w:val="333333"/>
        </w:rPr>
        <w:t>人时，其超过</w:t>
      </w:r>
      <w:r>
        <w:rPr>
          <w:color w:val="333333"/>
        </w:rPr>
        <w:t xml:space="preserve"> 2000 </w:t>
      </w:r>
      <w:r>
        <w:rPr>
          <w:color w:val="333333"/>
        </w:rPr>
        <w:t>人的部分，每个疏散门的平均疏散人数不应超过</w:t>
      </w:r>
    </w:p>
    <w:p w14:paraId="6C4AA4DE" w14:textId="77777777" w:rsidR="00A71EEF" w:rsidRDefault="00A71EEF">
      <w:pPr>
        <w:pStyle w:val="a3"/>
        <w:spacing w:before="2"/>
        <w:rPr>
          <w:sz w:val="18"/>
        </w:rPr>
      </w:pPr>
    </w:p>
    <w:p w14:paraId="06A3D149" w14:textId="77777777" w:rsidR="00A71EEF" w:rsidRDefault="0081115D">
      <w:pPr>
        <w:pStyle w:val="a3"/>
        <w:ind w:left="418"/>
      </w:pPr>
      <w:r>
        <w:rPr>
          <w:color w:val="333333"/>
        </w:rPr>
        <w:t xml:space="preserve">400 </w:t>
      </w:r>
      <w:r>
        <w:rPr>
          <w:color w:val="333333"/>
        </w:rPr>
        <w:t>人；</w:t>
      </w:r>
      <w:r>
        <w:rPr>
          <w:color w:val="333333"/>
        </w:rPr>
        <w:t xml:space="preserve"> </w:t>
      </w:r>
    </w:p>
    <w:p w14:paraId="55A0A214" w14:textId="77777777" w:rsidR="00A71EEF" w:rsidRDefault="00A71EEF">
      <w:pPr>
        <w:pStyle w:val="a3"/>
        <w:rPr>
          <w:sz w:val="18"/>
        </w:rPr>
      </w:pPr>
    </w:p>
    <w:p w14:paraId="0E76BAD3" w14:textId="77777777" w:rsidR="00A71EEF" w:rsidRDefault="0081115D">
      <w:pPr>
        <w:pStyle w:val="a3"/>
        <w:spacing w:line="446" w:lineRule="auto"/>
        <w:ind w:left="840" w:right="2554" w:hanging="3"/>
      </w:pPr>
      <w:r>
        <w:rPr>
          <w:color w:val="333333"/>
        </w:rPr>
        <w:t>对于体育馆的观众厅，每个疏散门的平均疏散人数不宜超过</w:t>
      </w:r>
      <w:r>
        <w:rPr>
          <w:color w:val="333333"/>
        </w:rPr>
        <w:t xml:space="preserve"> 400 </w:t>
      </w:r>
      <w:r>
        <w:rPr>
          <w:color w:val="333333"/>
        </w:rPr>
        <w:t>人～</w:t>
      </w:r>
      <w:r>
        <w:rPr>
          <w:color w:val="333333"/>
        </w:rPr>
        <w:t xml:space="preserve">700 </w:t>
      </w:r>
      <w:r>
        <w:rPr>
          <w:color w:val="333333"/>
        </w:rPr>
        <w:t>人。</w:t>
      </w:r>
      <w:r>
        <w:rPr>
          <w:b/>
          <w:color w:val="333333"/>
        </w:rPr>
        <w:t xml:space="preserve">5.5.17 </w:t>
      </w:r>
      <w:r>
        <w:rPr>
          <w:color w:val="333333"/>
        </w:rPr>
        <w:t>公共建筑的安全疏散距离应符合下列规定：</w:t>
      </w:r>
      <w:r>
        <w:rPr>
          <w:color w:val="333333"/>
        </w:rPr>
        <w:t xml:space="preserve"> </w:t>
      </w:r>
    </w:p>
    <w:p w14:paraId="7BE9F728" w14:textId="77777777" w:rsidR="00A71EEF" w:rsidRDefault="00A71EEF">
      <w:pPr>
        <w:spacing w:line="446" w:lineRule="auto"/>
        <w:sectPr w:rsidR="00A71EEF">
          <w:pgSz w:w="11910" w:h="16850"/>
          <w:pgMar w:top="1220" w:right="0" w:bottom="1420" w:left="1260" w:header="0" w:footer="1239" w:gutter="0"/>
          <w:cols w:space="720"/>
        </w:sectPr>
      </w:pPr>
    </w:p>
    <w:p w14:paraId="59BBB6CF" w14:textId="77777777" w:rsidR="00A71EEF" w:rsidRDefault="0081115D">
      <w:pPr>
        <w:pStyle w:val="a3"/>
        <w:spacing w:before="47"/>
        <w:ind w:left="838"/>
      </w:pPr>
      <w:r>
        <w:rPr>
          <w:color w:val="333333"/>
        </w:rPr>
        <w:lastRenderedPageBreak/>
        <w:t>直通疏散走道的房间疏散门至最近安全出口的直线距离不应大于表</w:t>
      </w:r>
      <w:r>
        <w:rPr>
          <w:color w:val="333333"/>
        </w:rPr>
        <w:t xml:space="preserve"> 5.5.17 </w:t>
      </w:r>
      <w:r>
        <w:rPr>
          <w:color w:val="333333"/>
        </w:rPr>
        <w:t>的规定；</w:t>
      </w:r>
      <w:r>
        <w:rPr>
          <w:color w:val="333333"/>
        </w:rPr>
        <w:t xml:space="preserve">  </w:t>
      </w:r>
    </w:p>
    <w:p w14:paraId="11611804" w14:textId="77777777" w:rsidR="00A71EEF" w:rsidRDefault="0081115D">
      <w:pPr>
        <w:pStyle w:val="a3"/>
        <w:spacing w:before="9"/>
        <w:rPr>
          <w:sz w:val="20"/>
        </w:rPr>
      </w:pPr>
      <w:r>
        <w:rPr>
          <w:noProof/>
        </w:rPr>
        <w:drawing>
          <wp:anchor distT="0" distB="0" distL="0" distR="0" simplePos="0" relativeHeight="251542016" behindDoc="0" locked="0" layoutInCell="1" allowOverlap="1" wp14:anchorId="54C64192" wp14:editId="54CE6A03">
            <wp:simplePos x="0" y="0"/>
            <wp:positionH relativeFrom="page">
              <wp:posOffset>894080</wp:posOffset>
            </wp:positionH>
            <wp:positionV relativeFrom="paragraph">
              <wp:posOffset>193762</wp:posOffset>
            </wp:positionV>
            <wp:extent cx="5487030" cy="3638550"/>
            <wp:effectExtent l="0" t="0" r="0" b="0"/>
            <wp:wrapTopAndBottom/>
            <wp:docPr id="217" name="image1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136.jpeg"/>
                    <pic:cNvPicPr/>
                  </pic:nvPicPr>
                  <pic:blipFill>
                    <a:blip r:embed="rId136" cstate="print"/>
                    <a:stretch>
                      <a:fillRect/>
                    </a:stretch>
                  </pic:blipFill>
                  <pic:spPr>
                    <a:xfrm>
                      <a:off x="0" y="0"/>
                      <a:ext cx="5487030" cy="3638550"/>
                    </a:xfrm>
                    <a:prstGeom prst="rect">
                      <a:avLst/>
                    </a:prstGeom>
                  </pic:spPr>
                </pic:pic>
              </a:graphicData>
            </a:graphic>
          </wp:anchor>
        </w:drawing>
      </w:r>
    </w:p>
    <w:p w14:paraId="54E30BBF" w14:textId="77777777" w:rsidR="00A71EEF" w:rsidRDefault="00A71EEF">
      <w:pPr>
        <w:pStyle w:val="a3"/>
        <w:rPr>
          <w:sz w:val="20"/>
        </w:rPr>
      </w:pPr>
    </w:p>
    <w:p w14:paraId="2546845E" w14:textId="77777777" w:rsidR="00A71EEF" w:rsidRDefault="00A71EEF">
      <w:pPr>
        <w:pStyle w:val="a3"/>
        <w:rPr>
          <w:sz w:val="20"/>
        </w:rPr>
      </w:pPr>
    </w:p>
    <w:p w14:paraId="1D50C5CB" w14:textId="77777777" w:rsidR="00A71EEF" w:rsidRDefault="00A71EEF">
      <w:pPr>
        <w:pStyle w:val="a3"/>
        <w:spacing w:before="11"/>
        <w:rPr>
          <w:sz w:val="28"/>
        </w:rPr>
      </w:pPr>
    </w:p>
    <w:p w14:paraId="3EC0C6B3" w14:textId="77777777" w:rsidR="00A71EEF" w:rsidRDefault="0081115D">
      <w:pPr>
        <w:pStyle w:val="a3"/>
        <w:spacing w:before="1" w:line="446" w:lineRule="auto"/>
        <w:ind w:left="418" w:right="1609" w:firstLine="419"/>
      </w:pPr>
      <w:r>
        <w:rPr>
          <w:color w:val="333333"/>
        </w:rPr>
        <w:t>注：</w:t>
      </w:r>
      <w:r>
        <w:rPr>
          <w:color w:val="333333"/>
        </w:rPr>
        <w:t xml:space="preserve"> 1.</w:t>
      </w:r>
      <w:r>
        <w:rPr>
          <w:color w:val="333333"/>
        </w:rPr>
        <w:t>建筑内开向敞开式外廊的房间疏散</w:t>
      </w:r>
      <w:r>
        <w:rPr>
          <w:color w:val="333333"/>
        </w:rPr>
        <w:t>门至最近安全出口的直线距离可按本表的规定增加</w:t>
      </w:r>
      <w:r>
        <w:rPr>
          <w:color w:val="333333"/>
        </w:rPr>
        <w:t xml:space="preserve"> 5m</w:t>
      </w:r>
      <w:r>
        <w:rPr>
          <w:color w:val="333333"/>
        </w:rPr>
        <w:t>。</w:t>
      </w:r>
      <w:r>
        <w:rPr>
          <w:color w:val="333333"/>
        </w:rPr>
        <w:t xml:space="preserve">  </w:t>
      </w:r>
      <w:r>
        <w:rPr>
          <w:color w:val="333333"/>
        </w:rPr>
        <w:t xml:space="preserve"> </w:t>
      </w:r>
      <w:r>
        <w:rPr>
          <w:color w:val="333333"/>
        </w:rPr>
        <w:t xml:space="preserve"> </w:t>
      </w:r>
      <w:r>
        <w:rPr>
          <w:color w:val="FF0000"/>
        </w:rPr>
        <w:t xml:space="preserve"> </w:t>
      </w:r>
    </w:p>
    <w:p w14:paraId="0493A596" w14:textId="77777777" w:rsidR="00A71EEF" w:rsidRDefault="0081115D">
      <w:pPr>
        <w:pStyle w:val="a4"/>
        <w:numPr>
          <w:ilvl w:val="0"/>
          <w:numId w:val="720"/>
        </w:numPr>
        <w:tabs>
          <w:tab w:val="left" w:pos="1051"/>
        </w:tabs>
        <w:spacing w:line="446" w:lineRule="auto"/>
        <w:ind w:right="1402" w:firstLine="419"/>
        <w:rPr>
          <w:sz w:val="21"/>
        </w:rPr>
      </w:pPr>
      <w:r>
        <w:rPr>
          <w:color w:val="333333"/>
          <w:spacing w:val="-3"/>
          <w:sz w:val="21"/>
        </w:rPr>
        <w:t>直通疏散走道的房间疏散门至最近敞开楼梯间的直线距离，当房间位于两个楼梯间之间</w:t>
      </w:r>
      <w:r>
        <w:rPr>
          <w:color w:val="333333"/>
          <w:spacing w:val="-3"/>
          <w:sz w:val="21"/>
        </w:rPr>
        <w:t xml:space="preserve"> </w:t>
      </w:r>
      <w:r>
        <w:rPr>
          <w:color w:val="333333"/>
          <w:spacing w:val="-7"/>
          <w:sz w:val="21"/>
        </w:rPr>
        <w:t>时，应按本表的规定减少</w:t>
      </w:r>
      <w:r>
        <w:rPr>
          <w:color w:val="333333"/>
          <w:spacing w:val="-7"/>
          <w:sz w:val="21"/>
        </w:rPr>
        <w:t xml:space="preserve"> </w:t>
      </w:r>
      <w:r>
        <w:rPr>
          <w:color w:val="333333"/>
          <w:sz w:val="21"/>
        </w:rPr>
        <w:t>5m</w:t>
      </w:r>
      <w:r>
        <w:rPr>
          <w:color w:val="333333"/>
          <w:sz w:val="21"/>
        </w:rPr>
        <w:t>；</w:t>
      </w:r>
      <w:r>
        <w:rPr>
          <w:color w:val="333333"/>
          <w:spacing w:val="-5"/>
          <w:sz w:val="21"/>
        </w:rPr>
        <w:t>当房间位于袋形走道两侧或尽端时，应按本表的规定减少</w:t>
      </w:r>
      <w:r>
        <w:rPr>
          <w:color w:val="333333"/>
          <w:spacing w:val="-5"/>
          <w:sz w:val="21"/>
        </w:rPr>
        <w:t xml:space="preserve"> </w:t>
      </w:r>
      <w:r>
        <w:rPr>
          <w:color w:val="333333"/>
          <w:sz w:val="21"/>
        </w:rPr>
        <w:t>2m</w:t>
      </w:r>
      <w:r>
        <w:rPr>
          <w:color w:val="333333"/>
          <w:sz w:val="21"/>
        </w:rPr>
        <w:t>。</w:t>
      </w:r>
      <w:r>
        <w:rPr>
          <w:color w:val="333333"/>
          <w:sz w:val="21"/>
        </w:rPr>
        <w:t xml:space="preserve"> </w:t>
      </w:r>
      <w:r>
        <w:rPr>
          <w:color w:val="333333"/>
          <w:spacing w:val="-2"/>
          <w:sz w:val="21"/>
        </w:rPr>
        <w:t xml:space="preserve"> </w:t>
      </w:r>
      <w:r>
        <w:rPr>
          <w:color w:val="333333"/>
          <w:sz w:val="21"/>
        </w:rPr>
        <w:t xml:space="preserve"> </w:t>
      </w:r>
    </w:p>
    <w:p w14:paraId="2F4415D4" w14:textId="77777777" w:rsidR="00A71EEF" w:rsidRDefault="0081115D">
      <w:pPr>
        <w:pStyle w:val="a4"/>
        <w:numPr>
          <w:ilvl w:val="0"/>
          <w:numId w:val="720"/>
        </w:numPr>
        <w:tabs>
          <w:tab w:val="left" w:pos="1051"/>
        </w:tabs>
        <w:spacing w:line="267" w:lineRule="exact"/>
        <w:ind w:left="1050"/>
        <w:rPr>
          <w:sz w:val="21"/>
        </w:rPr>
      </w:pPr>
      <w:r>
        <w:rPr>
          <w:color w:val="333333"/>
          <w:spacing w:val="-5"/>
          <w:sz w:val="21"/>
        </w:rPr>
        <w:t>建筑物内全部设置自动喷水灭火系统时，其安全疏散距离可按本表的规定增加</w:t>
      </w:r>
      <w:r>
        <w:rPr>
          <w:color w:val="333333"/>
          <w:spacing w:val="-5"/>
          <w:sz w:val="21"/>
        </w:rPr>
        <w:t xml:space="preserve"> </w:t>
      </w:r>
      <w:r>
        <w:rPr>
          <w:color w:val="333333"/>
          <w:sz w:val="21"/>
        </w:rPr>
        <w:t>25</w:t>
      </w:r>
      <w:r>
        <w:rPr>
          <w:color w:val="333333"/>
          <w:spacing w:val="-2"/>
          <w:sz w:val="21"/>
        </w:rPr>
        <w:t>%</w:t>
      </w:r>
      <w:r>
        <w:rPr>
          <w:color w:val="333333"/>
          <w:spacing w:val="-2"/>
          <w:sz w:val="21"/>
        </w:rPr>
        <w:t>。</w:t>
      </w:r>
      <w:r>
        <w:rPr>
          <w:color w:val="333333"/>
          <w:sz w:val="21"/>
        </w:rPr>
        <w:t xml:space="preserve"> </w:t>
      </w:r>
      <w:r>
        <w:rPr>
          <w:color w:val="333333"/>
          <w:spacing w:val="-2"/>
          <w:sz w:val="21"/>
        </w:rPr>
        <w:t xml:space="preserve"> </w:t>
      </w:r>
      <w:r>
        <w:rPr>
          <w:color w:val="FF0000"/>
          <w:sz w:val="21"/>
        </w:rPr>
        <w:t xml:space="preserve"> </w:t>
      </w:r>
    </w:p>
    <w:p w14:paraId="6206318B" w14:textId="77777777" w:rsidR="00A71EEF" w:rsidRDefault="00A71EEF">
      <w:pPr>
        <w:pStyle w:val="a3"/>
        <w:spacing w:before="2"/>
        <w:rPr>
          <w:sz w:val="18"/>
        </w:rPr>
      </w:pPr>
    </w:p>
    <w:p w14:paraId="22A77EEF" w14:textId="77777777" w:rsidR="00A71EEF" w:rsidRDefault="0081115D">
      <w:pPr>
        <w:pStyle w:val="a3"/>
        <w:spacing w:line="446" w:lineRule="auto"/>
        <w:ind w:left="418" w:right="1558" w:firstLine="419"/>
        <w:jc w:val="both"/>
      </w:pPr>
      <w:r>
        <w:rPr>
          <w:color w:val="333333"/>
          <w:spacing w:val="-3"/>
        </w:rPr>
        <w:t>楼梯间应在首层直通室外，确有困难时，可在首层采用扩大的封闭楼梯间或防烟楼梯间前</w:t>
      </w:r>
      <w:r>
        <w:rPr>
          <w:color w:val="333333"/>
          <w:spacing w:val="-7"/>
        </w:rPr>
        <w:t>室。当层数不超过</w:t>
      </w:r>
      <w:r>
        <w:rPr>
          <w:color w:val="333333"/>
          <w:spacing w:val="-7"/>
        </w:rPr>
        <w:t xml:space="preserve"> </w:t>
      </w:r>
      <w:r>
        <w:rPr>
          <w:color w:val="333333"/>
          <w:spacing w:val="-3"/>
        </w:rPr>
        <w:t xml:space="preserve">4 </w:t>
      </w:r>
      <w:r>
        <w:rPr>
          <w:color w:val="333333"/>
          <w:spacing w:val="-3"/>
        </w:rPr>
        <w:t>层且未采用扩大的封闭楼梯间或防烟楼梯间前室时，可将直通室外的门设</w:t>
      </w:r>
      <w:r>
        <w:rPr>
          <w:color w:val="333333"/>
          <w:spacing w:val="-8"/>
        </w:rPr>
        <w:t>置在离楼梯间不大于</w:t>
      </w:r>
      <w:r>
        <w:rPr>
          <w:color w:val="333333"/>
          <w:spacing w:val="-8"/>
        </w:rPr>
        <w:t xml:space="preserve"> </w:t>
      </w:r>
      <w:r>
        <w:rPr>
          <w:color w:val="333333"/>
        </w:rPr>
        <w:t>15m</w:t>
      </w:r>
      <w:r>
        <w:rPr>
          <w:color w:val="333333"/>
          <w:spacing w:val="-1"/>
        </w:rPr>
        <w:t xml:space="preserve"> </w:t>
      </w:r>
      <w:r>
        <w:rPr>
          <w:color w:val="333333"/>
          <w:spacing w:val="-1"/>
        </w:rPr>
        <w:t>处；</w:t>
      </w:r>
      <w:r>
        <w:rPr>
          <w:color w:val="333333"/>
          <w:spacing w:val="-1"/>
        </w:rPr>
        <w:t xml:space="preserve"> </w:t>
      </w:r>
      <w:r>
        <w:rPr>
          <w:color w:val="333333"/>
          <w:spacing w:val="-2"/>
        </w:rPr>
        <w:t xml:space="preserve"> </w:t>
      </w:r>
      <w:r>
        <w:rPr>
          <w:color w:val="FF0000"/>
        </w:rPr>
        <w:t xml:space="preserve"> </w:t>
      </w:r>
    </w:p>
    <w:p w14:paraId="0EBD5DB6" w14:textId="77777777" w:rsidR="00A71EEF" w:rsidRDefault="0081115D">
      <w:pPr>
        <w:pStyle w:val="a3"/>
        <w:spacing w:line="446" w:lineRule="auto"/>
        <w:ind w:left="418" w:right="1505" w:firstLine="419"/>
        <w:jc w:val="both"/>
      </w:pPr>
      <w:r>
        <w:rPr>
          <w:color w:val="333333"/>
          <w:spacing w:val="-5"/>
        </w:rPr>
        <w:t>房间内任一点至房间直通疏散走道的疏散门的直线距离，不应大于表</w:t>
      </w:r>
      <w:r>
        <w:rPr>
          <w:color w:val="333333"/>
          <w:spacing w:val="-5"/>
        </w:rPr>
        <w:t xml:space="preserve"> </w:t>
      </w:r>
      <w:r>
        <w:rPr>
          <w:color w:val="333333"/>
        </w:rPr>
        <w:t>5.5.17</w:t>
      </w:r>
      <w:r>
        <w:rPr>
          <w:color w:val="333333"/>
          <w:spacing w:val="-7"/>
        </w:rPr>
        <w:t xml:space="preserve"> </w:t>
      </w:r>
      <w:r>
        <w:rPr>
          <w:color w:val="333333"/>
          <w:spacing w:val="-7"/>
        </w:rPr>
        <w:t>规定的袋形走</w:t>
      </w:r>
      <w:r>
        <w:rPr>
          <w:color w:val="333333"/>
          <w:spacing w:val="-5"/>
        </w:rPr>
        <w:t>道两侧或尽端的疏散门至最近安全出口的直线距离；</w:t>
      </w:r>
      <w:r>
        <w:rPr>
          <w:color w:val="333333"/>
          <w:spacing w:val="-5"/>
        </w:rPr>
        <w:t xml:space="preserve"> </w:t>
      </w:r>
    </w:p>
    <w:p w14:paraId="11C0BC27" w14:textId="77777777" w:rsidR="00A71EEF" w:rsidRDefault="0081115D">
      <w:pPr>
        <w:pStyle w:val="a3"/>
        <w:spacing w:line="446" w:lineRule="auto"/>
        <w:ind w:left="418" w:right="1452" w:firstLine="419"/>
      </w:pPr>
      <w:r>
        <w:rPr>
          <w:color w:val="333333"/>
          <w:spacing w:val="-5"/>
        </w:rPr>
        <w:t>一、二级耐火等级建筑内疏散门或安全出口不少于</w:t>
      </w:r>
      <w:r>
        <w:rPr>
          <w:color w:val="333333"/>
          <w:spacing w:val="-5"/>
        </w:rPr>
        <w:t xml:space="preserve"> </w:t>
      </w:r>
      <w:r>
        <w:rPr>
          <w:color w:val="333333"/>
        </w:rPr>
        <w:t>2</w:t>
      </w:r>
      <w:r>
        <w:rPr>
          <w:color w:val="333333"/>
          <w:spacing w:val="-3"/>
        </w:rPr>
        <w:t xml:space="preserve"> </w:t>
      </w:r>
      <w:r>
        <w:rPr>
          <w:color w:val="333333"/>
          <w:spacing w:val="-3"/>
        </w:rPr>
        <w:t>个的观众厅、展览厅、多功能厅、餐</w:t>
      </w:r>
      <w:r>
        <w:rPr>
          <w:color w:val="333333"/>
          <w:spacing w:val="-4"/>
        </w:rPr>
        <w:t>厅、营业厅等，其室内任一点至最近疏散门或安全出口的直线距离不应大于</w:t>
      </w:r>
      <w:r>
        <w:rPr>
          <w:color w:val="333333"/>
          <w:spacing w:val="-4"/>
        </w:rPr>
        <w:t xml:space="preserve"> </w:t>
      </w:r>
      <w:r>
        <w:rPr>
          <w:color w:val="333333"/>
        </w:rPr>
        <w:t>30m</w:t>
      </w:r>
      <w:r>
        <w:rPr>
          <w:color w:val="333333"/>
          <w:spacing w:val="-2"/>
        </w:rPr>
        <w:t>；当疏散门不能</w:t>
      </w:r>
      <w:r>
        <w:rPr>
          <w:color w:val="333333"/>
          <w:spacing w:val="-5"/>
        </w:rPr>
        <w:t>直通室外地面或疏散楼梯间时，应采用长度不大于</w:t>
      </w:r>
      <w:r>
        <w:rPr>
          <w:color w:val="333333"/>
          <w:spacing w:val="-5"/>
        </w:rPr>
        <w:t xml:space="preserve"> </w:t>
      </w:r>
      <w:r>
        <w:rPr>
          <w:color w:val="333333"/>
        </w:rPr>
        <w:t>10m</w:t>
      </w:r>
      <w:r>
        <w:rPr>
          <w:color w:val="333333"/>
          <w:spacing w:val="-3"/>
        </w:rPr>
        <w:t xml:space="preserve"> </w:t>
      </w:r>
      <w:r>
        <w:rPr>
          <w:color w:val="333333"/>
          <w:spacing w:val="-3"/>
        </w:rPr>
        <w:t>的疏散走道通至最近的安全出口。当该</w:t>
      </w:r>
    </w:p>
    <w:p w14:paraId="29FEDE04" w14:textId="77777777" w:rsidR="00A71EEF" w:rsidRDefault="0081115D">
      <w:pPr>
        <w:pStyle w:val="a3"/>
        <w:spacing w:line="268" w:lineRule="exact"/>
        <w:ind w:left="418"/>
      </w:pPr>
      <w:r>
        <w:rPr>
          <w:color w:val="333333"/>
        </w:rPr>
        <w:t>场所设</w:t>
      </w:r>
      <w:r>
        <w:rPr>
          <w:color w:val="333333"/>
        </w:rPr>
        <w:t>置自动喷水灭火系统时，室内任一点至最近安全出口的安全疏散距离可分别增加</w:t>
      </w:r>
      <w:r>
        <w:rPr>
          <w:color w:val="333333"/>
        </w:rPr>
        <w:t xml:space="preserve"> 25%</w:t>
      </w:r>
      <w:r>
        <w:rPr>
          <w:color w:val="333333"/>
        </w:rPr>
        <w:t>。</w:t>
      </w:r>
      <w:r>
        <w:rPr>
          <w:color w:val="333333"/>
        </w:rPr>
        <w:t xml:space="preserve">  </w:t>
      </w:r>
      <w:r>
        <w:rPr>
          <w:color w:val="FF0000"/>
        </w:rPr>
        <w:t xml:space="preserve"> </w:t>
      </w:r>
    </w:p>
    <w:p w14:paraId="3197FB9F" w14:textId="77777777" w:rsidR="00A71EEF" w:rsidRDefault="00A71EEF">
      <w:pPr>
        <w:spacing w:line="268" w:lineRule="exact"/>
        <w:sectPr w:rsidR="00A71EEF">
          <w:pgSz w:w="11910" w:h="16850"/>
          <w:pgMar w:top="1220" w:right="0" w:bottom="1420" w:left="1260" w:header="0" w:footer="1239" w:gutter="0"/>
          <w:cols w:space="720"/>
        </w:sectPr>
      </w:pPr>
    </w:p>
    <w:p w14:paraId="2E9CD722" w14:textId="77777777" w:rsidR="00A71EEF" w:rsidRDefault="0081115D">
      <w:pPr>
        <w:pStyle w:val="a4"/>
        <w:numPr>
          <w:ilvl w:val="2"/>
          <w:numId w:val="719"/>
        </w:numPr>
        <w:tabs>
          <w:tab w:val="left" w:pos="1478"/>
        </w:tabs>
        <w:spacing w:before="47" w:line="446" w:lineRule="auto"/>
        <w:ind w:right="1553" w:firstLine="422"/>
        <w:rPr>
          <w:sz w:val="21"/>
        </w:rPr>
      </w:pPr>
      <w:r>
        <w:rPr>
          <w:color w:val="333333"/>
          <w:spacing w:val="-5"/>
          <w:sz w:val="21"/>
        </w:rPr>
        <w:lastRenderedPageBreak/>
        <w:t>除本规范另有规定外，公共建筑内疏散门和安全出口的净宽度不应小于</w:t>
      </w:r>
      <w:r>
        <w:rPr>
          <w:color w:val="333333"/>
          <w:spacing w:val="-5"/>
          <w:sz w:val="21"/>
        </w:rPr>
        <w:t xml:space="preserve"> </w:t>
      </w:r>
      <w:r>
        <w:rPr>
          <w:color w:val="333333"/>
          <w:sz w:val="21"/>
        </w:rPr>
        <w:t>0.90m</w:t>
      </w:r>
      <w:r>
        <w:rPr>
          <w:color w:val="333333"/>
          <w:spacing w:val="-2"/>
          <w:sz w:val="21"/>
        </w:rPr>
        <w:t>，疏</w:t>
      </w:r>
      <w:r>
        <w:rPr>
          <w:color w:val="333333"/>
          <w:spacing w:val="-6"/>
          <w:sz w:val="21"/>
        </w:rPr>
        <w:t>散走道和疏散楼梯的净宽度不应小于</w:t>
      </w:r>
      <w:r>
        <w:rPr>
          <w:color w:val="333333"/>
          <w:spacing w:val="-6"/>
          <w:sz w:val="21"/>
        </w:rPr>
        <w:t xml:space="preserve"> </w:t>
      </w:r>
      <w:r>
        <w:rPr>
          <w:color w:val="333333"/>
          <w:sz w:val="21"/>
        </w:rPr>
        <w:t>1.10m</w:t>
      </w:r>
      <w:r>
        <w:rPr>
          <w:color w:val="333333"/>
          <w:spacing w:val="-3"/>
          <w:sz w:val="21"/>
        </w:rPr>
        <w:t>。</w:t>
      </w:r>
      <w:r>
        <w:rPr>
          <w:color w:val="333333"/>
          <w:sz w:val="21"/>
        </w:rPr>
        <w:t xml:space="preserve"> </w:t>
      </w:r>
    </w:p>
    <w:p w14:paraId="51F5FB0F" w14:textId="77777777" w:rsidR="00A71EEF" w:rsidRDefault="0081115D">
      <w:pPr>
        <w:pStyle w:val="a3"/>
        <w:spacing w:line="446" w:lineRule="auto"/>
        <w:ind w:left="418" w:right="1609" w:firstLine="419"/>
      </w:pPr>
      <w:r>
        <w:rPr>
          <w:color w:val="333333"/>
          <w:spacing w:val="-3"/>
        </w:rPr>
        <w:t>高层公共建筑内楼梯间的首层疏散门、首层疏散外门、疏散走道和疏散楼梯的最小净宽度</w:t>
      </w:r>
      <w:r>
        <w:rPr>
          <w:color w:val="333333"/>
          <w:spacing w:val="-13"/>
        </w:rPr>
        <w:t>应符合表</w:t>
      </w:r>
      <w:r>
        <w:rPr>
          <w:color w:val="333333"/>
          <w:spacing w:val="-13"/>
        </w:rPr>
        <w:t xml:space="preserve"> </w:t>
      </w:r>
      <w:r>
        <w:rPr>
          <w:color w:val="333333"/>
        </w:rPr>
        <w:t>5.5.18</w:t>
      </w:r>
      <w:r>
        <w:rPr>
          <w:color w:val="333333"/>
          <w:spacing w:val="-3"/>
        </w:rPr>
        <w:t xml:space="preserve"> </w:t>
      </w:r>
      <w:r>
        <w:rPr>
          <w:color w:val="333333"/>
          <w:spacing w:val="-3"/>
        </w:rPr>
        <w:t>的规定。</w:t>
      </w:r>
      <w:r>
        <w:rPr>
          <w:color w:val="333333"/>
          <w:spacing w:val="-3"/>
        </w:rPr>
        <w:t xml:space="preserve"> </w:t>
      </w:r>
    </w:p>
    <w:p w14:paraId="64AD41C4" w14:textId="77777777" w:rsidR="00A71EEF" w:rsidRDefault="0081115D">
      <w:pPr>
        <w:pStyle w:val="6"/>
        <w:spacing w:line="446" w:lineRule="auto"/>
        <w:ind w:left="4232" w:right="1481" w:hanging="3716"/>
      </w:pPr>
      <w:r>
        <w:t>表</w:t>
      </w:r>
      <w:r>
        <w:t xml:space="preserve"> 5.5.18 </w:t>
      </w:r>
      <w:r>
        <w:t>高层公共建筑内楼梯间的首层疏散门、首层疏散外门、疏散走道和疏散楼梯的最小净宽度（</w:t>
      </w:r>
      <w:r>
        <w:t>m</w:t>
      </w:r>
      <w:r>
        <w:t>）</w:t>
      </w:r>
      <w:r>
        <w:rPr>
          <w:w w:val="99"/>
        </w:rPr>
        <w:t xml:space="preserve"> </w:t>
      </w:r>
    </w:p>
    <w:p w14:paraId="65C0FBCE" w14:textId="77777777" w:rsidR="00A71EEF" w:rsidRDefault="0081115D">
      <w:pPr>
        <w:pStyle w:val="a3"/>
        <w:spacing w:before="3"/>
        <w:rPr>
          <w:b/>
          <w:sz w:val="14"/>
        </w:rPr>
      </w:pPr>
      <w:r>
        <w:rPr>
          <w:noProof/>
        </w:rPr>
        <w:drawing>
          <wp:anchor distT="0" distB="0" distL="0" distR="0" simplePos="0" relativeHeight="251543040" behindDoc="0" locked="0" layoutInCell="1" allowOverlap="1" wp14:anchorId="0DC5C51E" wp14:editId="7727C312">
            <wp:simplePos x="0" y="0"/>
            <wp:positionH relativeFrom="page">
              <wp:posOffset>1113155</wp:posOffset>
            </wp:positionH>
            <wp:positionV relativeFrom="paragraph">
              <wp:posOffset>140628</wp:posOffset>
            </wp:positionV>
            <wp:extent cx="5502274" cy="1638300"/>
            <wp:effectExtent l="0" t="0" r="0" b="0"/>
            <wp:wrapTopAndBottom/>
            <wp:docPr id="219" name="image1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137.jpeg"/>
                    <pic:cNvPicPr/>
                  </pic:nvPicPr>
                  <pic:blipFill>
                    <a:blip r:embed="rId137" cstate="print"/>
                    <a:stretch>
                      <a:fillRect/>
                    </a:stretch>
                  </pic:blipFill>
                  <pic:spPr>
                    <a:xfrm>
                      <a:off x="0" y="0"/>
                      <a:ext cx="5502274" cy="1638300"/>
                    </a:xfrm>
                    <a:prstGeom prst="rect">
                      <a:avLst/>
                    </a:prstGeom>
                  </pic:spPr>
                </pic:pic>
              </a:graphicData>
            </a:graphic>
          </wp:anchor>
        </w:drawing>
      </w:r>
    </w:p>
    <w:p w14:paraId="3788F47D" w14:textId="77777777" w:rsidR="00A71EEF" w:rsidRDefault="0081115D">
      <w:pPr>
        <w:pStyle w:val="a4"/>
        <w:numPr>
          <w:ilvl w:val="2"/>
          <w:numId w:val="719"/>
        </w:numPr>
        <w:tabs>
          <w:tab w:val="left" w:pos="1478"/>
        </w:tabs>
        <w:spacing w:before="163" w:line="446" w:lineRule="auto"/>
        <w:ind w:right="1548" w:firstLine="422"/>
        <w:rPr>
          <w:sz w:val="21"/>
        </w:rPr>
      </w:pPr>
      <w:r>
        <w:rPr>
          <w:color w:val="333333"/>
          <w:spacing w:val="-5"/>
          <w:sz w:val="21"/>
        </w:rPr>
        <w:t>人员密集的公共场所、观众厅的疏散门不应设置门槛，其净宽度不应小于</w:t>
      </w:r>
      <w:r>
        <w:rPr>
          <w:color w:val="333333"/>
          <w:spacing w:val="-5"/>
          <w:sz w:val="21"/>
        </w:rPr>
        <w:t xml:space="preserve"> </w:t>
      </w:r>
      <w:r>
        <w:rPr>
          <w:color w:val="333333"/>
          <w:sz w:val="21"/>
        </w:rPr>
        <w:t>1.40m</w:t>
      </w:r>
      <w:r>
        <w:rPr>
          <w:color w:val="333333"/>
          <w:sz w:val="21"/>
        </w:rPr>
        <w:t>，</w:t>
      </w:r>
      <w:r>
        <w:rPr>
          <w:color w:val="333333"/>
          <w:sz w:val="21"/>
        </w:rPr>
        <w:t xml:space="preserve"> </w:t>
      </w:r>
      <w:r>
        <w:rPr>
          <w:color w:val="333333"/>
          <w:spacing w:val="-9"/>
          <w:sz w:val="21"/>
        </w:rPr>
        <w:t>且紧靠门口内外各</w:t>
      </w:r>
      <w:r>
        <w:rPr>
          <w:color w:val="333333"/>
          <w:spacing w:val="-9"/>
          <w:sz w:val="21"/>
        </w:rPr>
        <w:t xml:space="preserve"> </w:t>
      </w:r>
      <w:r>
        <w:rPr>
          <w:color w:val="333333"/>
          <w:sz w:val="21"/>
        </w:rPr>
        <w:t>1.40m</w:t>
      </w:r>
      <w:r>
        <w:rPr>
          <w:color w:val="333333"/>
          <w:spacing w:val="-3"/>
          <w:sz w:val="21"/>
        </w:rPr>
        <w:t xml:space="preserve"> </w:t>
      </w:r>
      <w:r>
        <w:rPr>
          <w:color w:val="333333"/>
          <w:spacing w:val="-3"/>
          <w:sz w:val="21"/>
        </w:rPr>
        <w:t>范围内不应设置踏步。</w:t>
      </w:r>
      <w:r>
        <w:rPr>
          <w:color w:val="333333"/>
          <w:spacing w:val="-3"/>
          <w:sz w:val="21"/>
        </w:rPr>
        <w:t xml:space="preserve"> </w:t>
      </w:r>
      <w:r>
        <w:rPr>
          <w:color w:val="333333"/>
          <w:spacing w:val="-2"/>
          <w:sz w:val="21"/>
        </w:rPr>
        <w:t xml:space="preserve"> </w:t>
      </w:r>
      <w:r>
        <w:rPr>
          <w:color w:val="333333"/>
          <w:spacing w:val="-3"/>
          <w:sz w:val="21"/>
        </w:rPr>
        <w:t xml:space="preserve"> </w:t>
      </w:r>
      <w:r>
        <w:rPr>
          <w:color w:val="333333"/>
          <w:sz w:val="21"/>
        </w:rPr>
        <w:t xml:space="preserve"> </w:t>
      </w:r>
      <w:r>
        <w:rPr>
          <w:color w:val="333333"/>
          <w:sz w:val="21"/>
        </w:rPr>
        <w:t xml:space="preserve"> </w:t>
      </w:r>
      <w:r>
        <w:rPr>
          <w:color w:val="333333"/>
          <w:sz w:val="21"/>
        </w:rPr>
        <w:t xml:space="preserve"> </w:t>
      </w:r>
    </w:p>
    <w:p w14:paraId="1C183368" w14:textId="77777777" w:rsidR="00A71EEF" w:rsidRDefault="0081115D">
      <w:pPr>
        <w:pStyle w:val="a3"/>
        <w:spacing w:line="446" w:lineRule="auto"/>
        <w:ind w:left="840" w:right="1496" w:hanging="3"/>
      </w:pPr>
      <w:r>
        <w:rPr>
          <w:color w:val="333333"/>
        </w:rPr>
        <w:t>人员密集的公共场所的室外疏散通道的净宽度不应小于</w:t>
      </w:r>
      <w:r>
        <w:rPr>
          <w:color w:val="333333"/>
        </w:rPr>
        <w:t xml:space="preserve"> 3.00m</w:t>
      </w:r>
      <w:r>
        <w:rPr>
          <w:color w:val="333333"/>
        </w:rPr>
        <w:t>，并应直接通向宽敞地带。</w:t>
      </w:r>
      <w:r>
        <w:rPr>
          <w:b/>
          <w:color w:val="333333"/>
        </w:rPr>
        <w:t xml:space="preserve">5.5.20 </w:t>
      </w:r>
      <w:r>
        <w:rPr>
          <w:color w:val="333333"/>
        </w:rPr>
        <w:t>剧场、电影院、礼堂、体育馆等场所的疏散走道、疏散楼梯、疏散门、安全出口的</w:t>
      </w:r>
    </w:p>
    <w:p w14:paraId="6778E802" w14:textId="77777777" w:rsidR="00A71EEF" w:rsidRDefault="0081115D">
      <w:pPr>
        <w:pStyle w:val="a3"/>
        <w:ind w:left="418"/>
      </w:pPr>
      <w:r>
        <w:rPr>
          <w:color w:val="333333"/>
        </w:rPr>
        <w:t>各自总净宽度，应符合下列规定：</w:t>
      </w:r>
      <w:r>
        <w:rPr>
          <w:color w:val="333333"/>
        </w:rPr>
        <w:t xml:space="preserve"> </w:t>
      </w:r>
    </w:p>
    <w:p w14:paraId="24697CA7" w14:textId="77777777" w:rsidR="00A71EEF" w:rsidRDefault="00A71EEF">
      <w:pPr>
        <w:pStyle w:val="a3"/>
        <w:spacing w:before="10"/>
        <w:rPr>
          <w:sz w:val="17"/>
        </w:rPr>
      </w:pPr>
    </w:p>
    <w:p w14:paraId="7DDFEA08" w14:textId="77777777" w:rsidR="00A71EEF" w:rsidRDefault="0081115D">
      <w:pPr>
        <w:pStyle w:val="a3"/>
        <w:spacing w:line="446" w:lineRule="auto"/>
        <w:ind w:left="418" w:right="1457" w:firstLine="419"/>
        <w:jc w:val="both"/>
      </w:pPr>
      <w:r>
        <w:rPr>
          <w:color w:val="333333"/>
        </w:rPr>
        <w:t xml:space="preserve"> </w:t>
      </w:r>
      <w:r>
        <w:rPr>
          <w:color w:val="333333"/>
          <w:spacing w:val="-6"/>
        </w:rPr>
        <w:t>观众厅内疏散走道的净宽度应按每</w:t>
      </w:r>
      <w:r>
        <w:rPr>
          <w:color w:val="333333"/>
          <w:spacing w:val="-6"/>
        </w:rPr>
        <w:t xml:space="preserve"> </w:t>
      </w:r>
      <w:r>
        <w:rPr>
          <w:color w:val="333333"/>
        </w:rPr>
        <w:t>100</w:t>
      </w:r>
      <w:r>
        <w:rPr>
          <w:color w:val="333333"/>
          <w:spacing w:val="-8"/>
        </w:rPr>
        <w:t xml:space="preserve"> </w:t>
      </w:r>
      <w:r>
        <w:rPr>
          <w:color w:val="333333"/>
          <w:spacing w:val="-8"/>
        </w:rPr>
        <w:t>人不小于</w:t>
      </w:r>
      <w:r>
        <w:rPr>
          <w:color w:val="333333"/>
          <w:spacing w:val="-8"/>
        </w:rPr>
        <w:t xml:space="preserve"> </w:t>
      </w:r>
      <w:r>
        <w:rPr>
          <w:color w:val="333333"/>
        </w:rPr>
        <w:t>0.60m</w:t>
      </w:r>
      <w:r>
        <w:rPr>
          <w:color w:val="333333"/>
          <w:spacing w:val="-7"/>
        </w:rPr>
        <w:t xml:space="preserve"> </w:t>
      </w:r>
      <w:r>
        <w:rPr>
          <w:color w:val="333333"/>
          <w:spacing w:val="-7"/>
        </w:rPr>
        <w:t>计算，且不应小于</w:t>
      </w:r>
      <w:r>
        <w:rPr>
          <w:color w:val="333333"/>
          <w:spacing w:val="-7"/>
        </w:rPr>
        <w:t xml:space="preserve"> </w:t>
      </w:r>
      <w:r>
        <w:rPr>
          <w:color w:val="333333"/>
        </w:rPr>
        <w:t>1.00m</w:t>
      </w:r>
      <w:r>
        <w:rPr>
          <w:color w:val="333333"/>
          <w:spacing w:val="-1"/>
        </w:rPr>
        <w:t>；边走道</w:t>
      </w:r>
      <w:r>
        <w:rPr>
          <w:color w:val="333333"/>
          <w:spacing w:val="-9"/>
        </w:rPr>
        <w:t>的净宽度不宜小于</w:t>
      </w:r>
      <w:r>
        <w:rPr>
          <w:color w:val="333333"/>
          <w:spacing w:val="-9"/>
        </w:rPr>
        <w:t xml:space="preserve"> </w:t>
      </w:r>
      <w:r>
        <w:rPr>
          <w:color w:val="333333"/>
        </w:rPr>
        <w:t>0.80m</w:t>
      </w:r>
      <w:r>
        <w:rPr>
          <w:color w:val="333333"/>
        </w:rPr>
        <w:t>。</w:t>
      </w:r>
      <w:r>
        <w:rPr>
          <w:color w:val="333333"/>
        </w:rPr>
        <w:t xml:space="preserve"> </w:t>
      </w:r>
    </w:p>
    <w:p w14:paraId="12222D2B" w14:textId="77777777" w:rsidR="00A71EEF" w:rsidRDefault="0081115D">
      <w:pPr>
        <w:pStyle w:val="a3"/>
        <w:spacing w:before="1" w:line="446" w:lineRule="auto"/>
        <w:ind w:left="418" w:right="1455" w:firstLine="419"/>
        <w:jc w:val="both"/>
      </w:pPr>
      <w:r>
        <w:rPr>
          <w:color w:val="333333"/>
          <w:spacing w:val="-5"/>
        </w:rPr>
        <w:t>布置疏散走道时，横走道之间的座位排数不宜超过</w:t>
      </w:r>
      <w:r>
        <w:rPr>
          <w:color w:val="333333"/>
          <w:spacing w:val="-5"/>
        </w:rPr>
        <w:t xml:space="preserve"> </w:t>
      </w:r>
      <w:r>
        <w:rPr>
          <w:color w:val="333333"/>
        </w:rPr>
        <w:t>20</w:t>
      </w:r>
      <w:r>
        <w:rPr>
          <w:color w:val="333333"/>
          <w:spacing w:val="-3"/>
        </w:rPr>
        <w:t xml:space="preserve"> </w:t>
      </w:r>
      <w:r>
        <w:rPr>
          <w:color w:val="333333"/>
          <w:spacing w:val="-3"/>
        </w:rPr>
        <w:t>排；纵走道之间的座位数：剧场、电</w:t>
      </w:r>
      <w:r>
        <w:rPr>
          <w:color w:val="333333"/>
          <w:spacing w:val="-7"/>
        </w:rPr>
        <w:t>影院、礼堂等，每排不宜超过</w:t>
      </w:r>
      <w:r>
        <w:rPr>
          <w:color w:val="333333"/>
          <w:spacing w:val="-7"/>
        </w:rPr>
        <w:t xml:space="preserve"> </w:t>
      </w:r>
      <w:r>
        <w:rPr>
          <w:color w:val="333333"/>
        </w:rPr>
        <w:t>22</w:t>
      </w:r>
      <w:r>
        <w:rPr>
          <w:color w:val="333333"/>
          <w:spacing w:val="-7"/>
        </w:rPr>
        <w:t xml:space="preserve"> </w:t>
      </w:r>
      <w:r>
        <w:rPr>
          <w:color w:val="333333"/>
          <w:spacing w:val="-7"/>
        </w:rPr>
        <w:t>个；体育馆，每排不宜超过</w:t>
      </w:r>
      <w:r>
        <w:rPr>
          <w:color w:val="333333"/>
          <w:spacing w:val="-7"/>
        </w:rPr>
        <w:t xml:space="preserve"> </w:t>
      </w:r>
      <w:r>
        <w:rPr>
          <w:color w:val="333333"/>
        </w:rPr>
        <w:t>26</w:t>
      </w:r>
      <w:r>
        <w:rPr>
          <w:color w:val="333333"/>
          <w:spacing w:val="-3"/>
        </w:rPr>
        <w:t xml:space="preserve"> </w:t>
      </w:r>
      <w:r>
        <w:rPr>
          <w:color w:val="333333"/>
          <w:spacing w:val="-3"/>
        </w:rPr>
        <w:t>个；前后排座椅的排距不小于</w:t>
      </w:r>
      <w:r>
        <w:rPr>
          <w:color w:val="333333"/>
          <w:spacing w:val="-3"/>
        </w:rPr>
        <w:t>0.90m</w:t>
      </w:r>
      <w:r>
        <w:rPr>
          <w:color w:val="333333"/>
          <w:spacing w:val="-9"/>
        </w:rPr>
        <w:t xml:space="preserve"> </w:t>
      </w:r>
      <w:r>
        <w:rPr>
          <w:color w:val="333333"/>
          <w:spacing w:val="-9"/>
        </w:rPr>
        <w:t>时，可增加</w:t>
      </w:r>
      <w:r>
        <w:rPr>
          <w:color w:val="333333"/>
          <w:spacing w:val="-9"/>
        </w:rPr>
        <w:t xml:space="preserve"> </w:t>
      </w:r>
      <w:r>
        <w:rPr>
          <w:color w:val="333333"/>
        </w:rPr>
        <w:t>1.0</w:t>
      </w:r>
      <w:r>
        <w:rPr>
          <w:color w:val="333333"/>
          <w:spacing w:val="-8"/>
        </w:rPr>
        <w:t xml:space="preserve"> </w:t>
      </w:r>
      <w:r>
        <w:rPr>
          <w:color w:val="333333"/>
          <w:spacing w:val="-8"/>
        </w:rPr>
        <w:t>倍，但不得超过</w:t>
      </w:r>
      <w:r>
        <w:rPr>
          <w:color w:val="333333"/>
          <w:spacing w:val="-8"/>
        </w:rPr>
        <w:t xml:space="preserve"> </w:t>
      </w:r>
      <w:r>
        <w:rPr>
          <w:color w:val="333333"/>
        </w:rPr>
        <w:t>50</w:t>
      </w:r>
      <w:r>
        <w:rPr>
          <w:color w:val="333333"/>
          <w:spacing w:val="-3"/>
        </w:rPr>
        <w:t xml:space="preserve"> </w:t>
      </w:r>
      <w:r>
        <w:rPr>
          <w:color w:val="333333"/>
          <w:spacing w:val="-3"/>
        </w:rPr>
        <w:t>个；仅一侧有纵走道时，座位数应减少一半；</w:t>
      </w:r>
      <w:r>
        <w:rPr>
          <w:color w:val="333333"/>
          <w:spacing w:val="-3"/>
        </w:rPr>
        <w:t xml:space="preserve"> </w:t>
      </w:r>
      <w:r>
        <w:rPr>
          <w:color w:val="333333"/>
        </w:rPr>
        <w:t xml:space="preserve"> </w:t>
      </w:r>
    </w:p>
    <w:p w14:paraId="442B92A1" w14:textId="77777777" w:rsidR="00A71EEF" w:rsidRDefault="0081115D">
      <w:pPr>
        <w:pStyle w:val="a3"/>
        <w:spacing w:line="268" w:lineRule="exact"/>
        <w:ind w:left="838"/>
      </w:pPr>
      <w:r>
        <w:rPr>
          <w:color w:val="333333"/>
        </w:rPr>
        <w:t>剧场、电影院、礼堂等场所供观众疏散的所有内门、外门、楼梯和走道的各自总净宽度，</w:t>
      </w:r>
    </w:p>
    <w:p w14:paraId="56A4F351" w14:textId="77777777" w:rsidR="00A71EEF" w:rsidRDefault="00A71EEF">
      <w:pPr>
        <w:pStyle w:val="a3"/>
        <w:spacing w:before="12"/>
        <w:rPr>
          <w:sz w:val="17"/>
        </w:rPr>
      </w:pPr>
    </w:p>
    <w:p w14:paraId="1117598C" w14:textId="77777777" w:rsidR="00A71EEF" w:rsidRDefault="0081115D">
      <w:pPr>
        <w:pStyle w:val="a3"/>
        <w:ind w:left="418"/>
      </w:pPr>
      <w:r>
        <w:rPr>
          <w:color w:val="333333"/>
        </w:rPr>
        <w:t>应根据疏散人数按每</w:t>
      </w:r>
      <w:r>
        <w:rPr>
          <w:color w:val="333333"/>
        </w:rPr>
        <w:t xml:space="preserve"> 100 </w:t>
      </w:r>
      <w:r>
        <w:rPr>
          <w:color w:val="333333"/>
        </w:rPr>
        <w:t>人的最小疏散净宽度不小于表</w:t>
      </w:r>
      <w:r>
        <w:rPr>
          <w:color w:val="333333"/>
        </w:rPr>
        <w:t xml:space="preserve"> 5.5.20-1 </w:t>
      </w:r>
      <w:r>
        <w:rPr>
          <w:color w:val="333333"/>
        </w:rPr>
        <w:t>的规定计算确定；</w:t>
      </w:r>
      <w:r>
        <w:rPr>
          <w:color w:val="333333"/>
        </w:rPr>
        <w:t xml:space="preserve">  </w:t>
      </w:r>
      <w:r>
        <w:rPr>
          <w:color w:val="333333"/>
        </w:rPr>
        <w:t xml:space="preserve">  </w:t>
      </w:r>
      <w:r>
        <w:rPr>
          <w:color w:val="333333"/>
        </w:rPr>
        <w:t xml:space="preserve"> </w:t>
      </w:r>
      <w:r>
        <w:rPr>
          <w:color w:val="333333"/>
        </w:rPr>
        <w:t xml:space="preserve"> </w:t>
      </w:r>
    </w:p>
    <w:p w14:paraId="47D311A5" w14:textId="77777777" w:rsidR="00A71EEF" w:rsidRDefault="0081115D">
      <w:pPr>
        <w:pStyle w:val="6"/>
        <w:spacing w:before="132"/>
        <w:ind w:left="1253"/>
      </w:pPr>
      <w:r>
        <w:t>表</w:t>
      </w:r>
      <w:r>
        <w:t xml:space="preserve"> 5.5.20-1 </w:t>
      </w:r>
      <w:r>
        <w:t>剧场、电影院、礼堂等场所每</w:t>
      </w:r>
      <w:r>
        <w:t xml:space="preserve"> 100 </w:t>
      </w:r>
      <w:r>
        <w:t>人所需最小疏散净宽度（</w:t>
      </w:r>
      <w:r>
        <w:t>m/</w:t>
      </w:r>
      <w:r>
        <w:t>百人）</w:t>
      </w:r>
      <w:r>
        <w:rPr>
          <w:w w:val="99"/>
        </w:rPr>
        <w:t xml:space="preserve"> </w:t>
      </w:r>
    </w:p>
    <w:p w14:paraId="0758D337" w14:textId="77777777" w:rsidR="00A71EEF" w:rsidRDefault="00A71EEF">
      <w:pPr>
        <w:sectPr w:rsidR="00A71EEF">
          <w:pgSz w:w="11910" w:h="16850"/>
          <w:pgMar w:top="1220" w:right="0" w:bottom="1420" w:left="1260" w:header="0" w:footer="1239" w:gutter="0"/>
          <w:cols w:space="720"/>
        </w:sectPr>
      </w:pPr>
    </w:p>
    <w:p w14:paraId="75ABAA83" w14:textId="77777777" w:rsidR="00A71EEF" w:rsidRDefault="0081115D">
      <w:pPr>
        <w:pStyle w:val="a3"/>
        <w:ind w:left="691"/>
        <w:rPr>
          <w:sz w:val="20"/>
        </w:rPr>
      </w:pPr>
      <w:r>
        <w:rPr>
          <w:noProof/>
          <w:sz w:val="20"/>
        </w:rPr>
        <w:lastRenderedPageBreak/>
        <w:drawing>
          <wp:inline distT="0" distB="0" distL="0" distR="0" wp14:anchorId="4B738C10" wp14:editId="2AD12BD6">
            <wp:extent cx="5273197" cy="1491138"/>
            <wp:effectExtent l="0" t="0" r="0" b="0"/>
            <wp:docPr id="221" name="image1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138.jpeg"/>
                    <pic:cNvPicPr/>
                  </pic:nvPicPr>
                  <pic:blipFill>
                    <a:blip r:embed="rId138" cstate="print"/>
                    <a:stretch>
                      <a:fillRect/>
                    </a:stretch>
                  </pic:blipFill>
                  <pic:spPr>
                    <a:xfrm>
                      <a:off x="0" y="0"/>
                      <a:ext cx="5273197" cy="1491138"/>
                    </a:xfrm>
                    <a:prstGeom prst="rect">
                      <a:avLst/>
                    </a:prstGeom>
                  </pic:spPr>
                </pic:pic>
              </a:graphicData>
            </a:graphic>
          </wp:inline>
        </w:drawing>
      </w:r>
    </w:p>
    <w:p w14:paraId="55B95302" w14:textId="77777777" w:rsidR="00A71EEF" w:rsidRDefault="00A71EEF">
      <w:pPr>
        <w:pStyle w:val="a3"/>
        <w:spacing w:before="2"/>
        <w:rPr>
          <w:b/>
          <w:sz w:val="8"/>
        </w:rPr>
      </w:pPr>
    </w:p>
    <w:p w14:paraId="41B25176" w14:textId="77777777" w:rsidR="00A71EEF" w:rsidRDefault="0081115D">
      <w:pPr>
        <w:pStyle w:val="a3"/>
        <w:spacing w:before="72"/>
        <w:ind w:left="838"/>
      </w:pPr>
      <w:r>
        <w:rPr>
          <w:color w:val="333333"/>
        </w:rPr>
        <w:t>体育馆供观众疏散的所有内门、外门、楼梯和走道的各自总净宽度，应根据疏散人数按每</w:t>
      </w:r>
    </w:p>
    <w:p w14:paraId="70EBFE9F" w14:textId="77777777" w:rsidR="00A71EEF" w:rsidRDefault="00A71EEF">
      <w:pPr>
        <w:pStyle w:val="a3"/>
        <w:spacing w:before="12"/>
        <w:rPr>
          <w:sz w:val="17"/>
        </w:rPr>
      </w:pPr>
    </w:p>
    <w:p w14:paraId="2894030A" w14:textId="77777777" w:rsidR="00A71EEF" w:rsidRDefault="0081115D">
      <w:pPr>
        <w:pStyle w:val="a3"/>
        <w:ind w:left="418"/>
      </w:pPr>
      <w:r>
        <w:rPr>
          <w:color w:val="333333"/>
        </w:rPr>
        <w:t xml:space="preserve">100 </w:t>
      </w:r>
      <w:r>
        <w:rPr>
          <w:color w:val="333333"/>
        </w:rPr>
        <w:t>人的最小疏散净宽度不小于表</w:t>
      </w:r>
      <w:r>
        <w:rPr>
          <w:color w:val="333333"/>
        </w:rPr>
        <w:t xml:space="preserve"> 5.5.20-2 </w:t>
      </w:r>
      <w:r>
        <w:rPr>
          <w:color w:val="333333"/>
        </w:rPr>
        <w:t>的规定计算确定；</w:t>
      </w:r>
      <w:r>
        <w:rPr>
          <w:color w:val="333333"/>
        </w:rPr>
        <w:t xml:space="preserve">  </w:t>
      </w:r>
    </w:p>
    <w:p w14:paraId="5145520D" w14:textId="77777777" w:rsidR="00A71EEF" w:rsidRDefault="00A71EEF">
      <w:pPr>
        <w:pStyle w:val="a3"/>
        <w:spacing w:before="2"/>
        <w:rPr>
          <w:sz w:val="18"/>
        </w:rPr>
      </w:pPr>
    </w:p>
    <w:p w14:paraId="6B699822" w14:textId="77777777" w:rsidR="00A71EEF" w:rsidRDefault="0081115D">
      <w:pPr>
        <w:pStyle w:val="6"/>
        <w:spacing w:before="1"/>
        <w:ind w:left="1963"/>
      </w:pPr>
      <w:r>
        <w:t>表</w:t>
      </w:r>
      <w:r>
        <w:t xml:space="preserve"> 5.5.20-2 </w:t>
      </w:r>
      <w:r>
        <w:t>体育馆每</w:t>
      </w:r>
      <w:r>
        <w:t xml:space="preserve"> 100 </w:t>
      </w:r>
      <w:r>
        <w:t>人所需最小疏散净宽度（</w:t>
      </w:r>
      <w:r>
        <w:t>m/</w:t>
      </w:r>
      <w:r>
        <w:t>百人）</w:t>
      </w:r>
      <w:r>
        <w:rPr>
          <w:w w:val="99"/>
        </w:rPr>
        <w:t xml:space="preserve"> </w:t>
      </w:r>
    </w:p>
    <w:p w14:paraId="4CFE4145" w14:textId="77777777" w:rsidR="00A71EEF" w:rsidRDefault="0081115D">
      <w:pPr>
        <w:pStyle w:val="a3"/>
        <w:spacing w:before="2"/>
        <w:rPr>
          <w:b/>
          <w:sz w:val="17"/>
        </w:rPr>
      </w:pPr>
      <w:r>
        <w:rPr>
          <w:noProof/>
        </w:rPr>
        <w:drawing>
          <wp:anchor distT="0" distB="0" distL="0" distR="0" simplePos="0" relativeHeight="251544064" behindDoc="0" locked="0" layoutInCell="1" allowOverlap="1" wp14:anchorId="358B8B68" wp14:editId="456FE661">
            <wp:simplePos x="0" y="0"/>
            <wp:positionH relativeFrom="page">
              <wp:posOffset>1236980</wp:posOffset>
            </wp:positionH>
            <wp:positionV relativeFrom="paragraph">
              <wp:posOffset>164512</wp:posOffset>
            </wp:positionV>
            <wp:extent cx="5201285" cy="1143000"/>
            <wp:effectExtent l="0" t="0" r="0" b="0"/>
            <wp:wrapTopAndBottom/>
            <wp:docPr id="223" name="image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139.jpeg"/>
                    <pic:cNvPicPr/>
                  </pic:nvPicPr>
                  <pic:blipFill>
                    <a:blip r:embed="rId139" cstate="print"/>
                    <a:stretch>
                      <a:fillRect/>
                    </a:stretch>
                  </pic:blipFill>
                  <pic:spPr>
                    <a:xfrm>
                      <a:off x="0" y="0"/>
                      <a:ext cx="5201285" cy="1143000"/>
                    </a:xfrm>
                    <a:prstGeom prst="rect">
                      <a:avLst/>
                    </a:prstGeom>
                  </pic:spPr>
                </pic:pic>
              </a:graphicData>
            </a:graphic>
          </wp:anchor>
        </w:drawing>
      </w:r>
    </w:p>
    <w:p w14:paraId="511AC3B7" w14:textId="77777777" w:rsidR="00A71EEF" w:rsidRDefault="00A71EEF">
      <w:pPr>
        <w:pStyle w:val="a3"/>
        <w:rPr>
          <w:b/>
          <w:sz w:val="20"/>
        </w:rPr>
      </w:pPr>
    </w:p>
    <w:p w14:paraId="0AD3208C" w14:textId="77777777" w:rsidR="00A71EEF" w:rsidRDefault="00A71EEF">
      <w:pPr>
        <w:pStyle w:val="a3"/>
        <w:spacing w:before="10"/>
        <w:rPr>
          <w:b/>
          <w:sz w:val="20"/>
        </w:rPr>
      </w:pPr>
    </w:p>
    <w:p w14:paraId="60943EE6" w14:textId="77777777" w:rsidR="00A71EEF" w:rsidRDefault="0081115D">
      <w:pPr>
        <w:pStyle w:val="a3"/>
        <w:spacing w:line="446" w:lineRule="auto"/>
        <w:ind w:left="418" w:right="1505" w:firstLine="419"/>
      </w:pPr>
      <w:r>
        <w:rPr>
          <w:color w:val="333333"/>
        </w:rPr>
        <w:t xml:space="preserve"> </w:t>
      </w:r>
      <w:r>
        <w:rPr>
          <w:color w:val="333333"/>
        </w:rPr>
        <w:t xml:space="preserve"> </w:t>
      </w:r>
      <w:r>
        <w:rPr>
          <w:color w:val="333333"/>
          <w:spacing w:val="-3"/>
        </w:rPr>
        <w:t>注：本表中应较大座位数范围按规定计算的疏散总净宽度，不应小于对应相邻较小座位</w:t>
      </w:r>
      <w:r>
        <w:rPr>
          <w:color w:val="333333"/>
          <w:spacing w:val="-4"/>
        </w:rPr>
        <w:t>数范围按其最多座位数计算的疏散总净宽度。对于观众厅座位数少于</w:t>
      </w:r>
      <w:r>
        <w:rPr>
          <w:color w:val="333333"/>
          <w:spacing w:val="-4"/>
        </w:rPr>
        <w:t xml:space="preserve"> </w:t>
      </w:r>
      <w:r>
        <w:rPr>
          <w:color w:val="333333"/>
        </w:rPr>
        <w:t>3000</w:t>
      </w:r>
      <w:r>
        <w:rPr>
          <w:color w:val="333333"/>
          <w:spacing w:val="-8"/>
        </w:rPr>
        <w:t xml:space="preserve"> </w:t>
      </w:r>
      <w:r>
        <w:rPr>
          <w:color w:val="333333"/>
          <w:spacing w:val="-8"/>
        </w:rPr>
        <w:t>个的体育馆，计算供</w:t>
      </w:r>
    </w:p>
    <w:p w14:paraId="323DE58E" w14:textId="77777777" w:rsidR="00A71EEF" w:rsidRDefault="0081115D">
      <w:pPr>
        <w:pStyle w:val="a3"/>
        <w:spacing w:line="446" w:lineRule="auto"/>
        <w:ind w:left="418" w:right="1609"/>
      </w:pPr>
      <w:r>
        <w:rPr>
          <w:color w:val="333333"/>
          <w:spacing w:val="-5"/>
        </w:rPr>
        <w:t>观众疏散的所有内门、外门、楼梯和走道的各自总净宽度时，每</w:t>
      </w:r>
      <w:r>
        <w:rPr>
          <w:color w:val="333333"/>
          <w:spacing w:val="-5"/>
        </w:rPr>
        <w:t xml:space="preserve"> </w:t>
      </w:r>
      <w:r>
        <w:rPr>
          <w:color w:val="333333"/>
        </w:rPr>
        <w:t>100</w:t>
      </w:r>
      <w:r>
        <w:rPr>
          <w:color w:val="333333"/>
          <w:spacing w:val="-7"/>
        </w:rPr>
        <w:t xml:space="preserve"> </w:t>
      </w:r>
      <w:r>
        <w:rPr>
          <w:color w:val="333333"/>
          <w:spacing w:val="-7"/>
        </w:rPr>
        <w:t>人的最小疏散净宽度不应</w:t>
      </w:r>
      <w:r>
        <w:rPr>
          <w:color w:val="333333"/>
          <w:spacing w:val="-17"/>
        </w:rPr>
        <w:t>小于表</w:t>
      </w:r>
      <w:r>
        <w:rPr>
          <w:color w:val="333333"/>
          <w:spacing w:val="-17"/>
        </w:rPr>
        <w:t xml:space="preserve"> </w:t>
      </w:r>
      <w:r>
        <w:rPr>
          <w:color w:val="333333"/>
        </w:rPr>
        <w:t>5.5.20-1</w:t>
      </w:r>
      <w:r>
        <w:rPr>
          <w:color w:val="333333"/>
          <w:spacing w:val="-3"/>
        </w:rPr>
        <w:t xml:space="preserve"> </w:t>
      </w:r>
      <w:r>
        <w:rPr>
          <w:color w:val="333333"/>
          <w:spacing w:val="-3"/>
        </w:rPr>
        <w:t>的规定。</w:t>
      </w:r>
      <w:r>
        <w:rPr>
          <w:color w:val="333333"/>
          <w:spacing w:val="-3"/>
        </w:rPr>
        <w:t xml:space="preserve"> </w:t>
      </w:r>
    </w:p>
    <w:p w14:paraId="0B9C56ED" w14:textId="77777777" w:rsidR="00A71EEF" w:rsidRDefault="0081115D">
      <w:pPr>
        <w:pStyle w:val="a3"/>
        <w:spacing w:line="267" w:lineRule="exact"/>
        <w:ind w:left="838"/>
      </w:pPr>
      <w:r>
        <w:rPr>
          <w:color w:val="333333"/>
        </w:rPr>
        <w:t>有等场需要的入场门不应作为观众厅的疏散门。</w:t>
      </w:r>
      <w:r>
        <w:rPr>
          <w:color w:val="333333"/>
        </w:rPr>
        <w:t xml:space="preserve"> </w:t>
      </w:r>
    </w:p>
    <w:p w14:paraId="07BF6984" w14:textId="77777777" w:rsidR="00A71EEF" w:rsidRDefault="00A71EEF">
      <w:pPr>
        <w:pStyle w:val="a3"/>
        <w:spacing w:before="2"/>
        <w:rPr>
          <w:sz w:val="18"/>
        </w:rPr>
      </w:pPr>
    </w:p>
    <w:p w14:paraId="553F8EE5" w14:textId="77777777" w:rsidR="00A71EEF" w:rsidRDefault="0081115D">
      <w:pPr>
        <w:pStyle w:val="a4"/>
        <w:numPr>
          <w:ilvl w:val="2"/>
          <w:numId w:val="718"/>
        </w:numPr>
        <w:tabs>
          <w:tab w:val="left" w:pos="1478"/>
        </w:tabs>
        <w:spacing w:line="446" w:lineRule="auto"/>
        <w:ind w:right="1496" w:firstLine="422"/>
        <w:rPr>
          <w:sz w:val="21"/>
        </w:rPr>
      </w:pPr>
      <w:r>
        <w:rPr>
          <w:color w:val="333333"/>
          <w:spacing w:val="-3"/>
          <w:sz w:val="21"/>
        </w:rPr>
        <w:t>除剧场、电影院、礼堂、体育馆外的其他公共建筑，其房间疏散门、安全出口、疏散走道和疏散楼梯的各自总净宽度，应符合下列规定：</w:t>
      </w:r>
      <w:r>
        <w:rPr>
          <w:color w:val="333333"/>
          <w:spacing w:val="-3"/>
          <w:sz w:val="21"/>
        </w:rPr>
        <w:t xml:space="preserve"> </w:t>
      </w:r>
      <w:r>
        <w:rPr>
          <w:color w:val="333333"/>
          <w:spacing w:val="-2"/>
          <w:sz w:val="21"/>
        </w:rPr>
        <w:t xml:space="preserve"> </w:t>
      </w:r>
      <w:r>
        <w:rPr>
          <w:color w:val="333333"/>
          <w:sz w:val="21"/>
        </w:rPr>
        <w:t xml:space="preserve"> </w:t>
      </w:r>
    </w:p>
    <w:p w14:paraId="0259CBE6" w14:textId="77777777" w:rsidR="00A71EEF" w:rsidRDefault="0081115D">
      <w:pPr>
        <w:pStyle w:val="a3"/>
        <w:spacing w:line="446" w:lineRule="auto"/>
        <w:ind w:left="418" w:right="1608" w:firstLine="419"/>
        <w:jc w:val="both"/>
      </w:pPr>
      <w:r>
        <w:rPr>
          <w:color w:val="333333"/>
          <w:spacing w:val="-3"/>
        </w:rPr>
        <w:t>每层的房间疏散门、安全出口、疏散走道和疏散楼梯的各自总净宽度，应根据疏散人数按</w:t>
      </w:r>
      <w:r>
        <w:rPr>
          <w:color w:val="333333"/>
          <w:spacing w:val="-26"/>
        </w:rPr>
        <w:t>每</w:t>
      </w:r>
      <w:r>
        <w:rPr>
          <w:color w:val="333333"/>
          <w:spacing w:val="-26"/>
        </w:rPr>
        <w:t xml:space="preserve"> </w:t>
      </w:r>
      <w:r>
        <w:rPr>
          <w:color w:val="333333"/>
        </w:rPr>
        <w:t>100</w:t>
      </w:r>
      <w:r>
        <w:rPr>
          <w:color w:val="333333"/>
          <w:spacing w:val="-6"/>
        </w:rPr>
        <w:t xml:space="preserve"> </w:t>
      </w:r>
      <w:r>
        <w:rPr>
          <w:color w:val="333333"/>
          <w:spacing w:val="-6"/>
        </w:rPr>
        <w:t>人的最小疏散净宽度不小于表</w:t>
      </w:r>
      <w:r>
        <w:rPr>
          <w:color w:val="333333"/>
          <w:spacing w:val="-6"/>
        </w:rPr>
        <w:t xml:space="preserve"> </w:t>
      </w:r>
      <w:r>
        <w:rPr>
          <w:color w:val="333333"/>
        </w:rPr>
        <w:t>5.5.21-1</w:t>
      </w:r>
      <w:r>
        <w:rPr>
          <w:color w:val="333333"/>
          <w:spacing w:val="-3"/>
        </w:rPr>
        <w:t xml:space="preserve"> </w:t>
      </w:r>
      <w:r>
        <w:rPr>
          <w:color w:val="333333"/>
          <w:spacing w:val="-3"/>
        </w:rPr>
        <w:t>的规定计算确定。当每层疏散人数不等时，疏散楼梯的总净宽度可分层计算，地上建筑内下层楼梯的总净宽度应按该层及以上疏散人数最多一层的人数计算；地下建筑内上层楼梯的总净宽度应按该层及以下疏散人数最多一层的人</w:t>
      </w:r>
      <w:r>
        <w:rPr>
          <w:color w:val="333333"/>
          <w:spacing w:val="-3"/>
        </w:rPr>
        <w:t>数计算；</w:t>
      </w:r>
      <w:r>
        <w:rPr>
          <w:color w:val="333333"/>
        </w:rPr>
        <w:t xml:space="preserve"> </w:t>
      </w:r>
    </w:p>
    <w:p w14:paraId="49EFEED3" w14:textId="77777777" w:rsidR="00A71EEF" w:rsidRDefault="00A71EEF">
      <w:pPr>
        <w:spacing w:line="446" w:lineRule="auto"/>
        <w:jc w:val="both"/>
        <w:sectPr w:rsidR="00A71EEF">
          <w:pgSz w:w="11910" w:h="16850"/>
          <w:pgMar w:top="1080" w:right="0" w:bottom="1420" w:left="1260" w:header="0" w:footer="1239" w:gutter="0"/>
          <w:cols w:space="720"/>
        </w:sectPr>
      </w:pPr>
    </w:p>
    <w:p w14:paraId="14A9FE4E" w14:textId="77777777" w:rsidR="00A71EEF" w:rsidRDefault="0081115D">
      <w:pPr>
        <w:pStyle w:val="6"/>
        <w:spacing w:before="47"/>
        <w:ind w:left="487"/>
      </w:pPr>
      <w:r>
        <w:lastRenderedPageBreak/>
        <w:t>表</w:t>
      </w:r>
      <w:r>
        <w:t xml:space="preserve"> 5.5.21-1 </w:t>
      </w:r>
      <w:r>
        <w:t>每层的房间疏散门、安全出口、疏散走道和疏散楼梯的每</w:t>
      </w:r>
      <w:r>
        <w:t xml:space="preserve"> 100 </w:t>
      </w:r>
      <w:r>
        <w:t>人最小疏散净宽度</w:t>
      </w:r>
    </w:p>
    <w:p w14:paraId="588DC529" w14:textId="77777777" w:rsidR="00A71EEF" w:rsidRDefault="00A71EEF">
      <w:pPr>
        <w:pStyle w:val="a3"/>
        <w:rPr>
          <w:b/>
          <w:sz w:val="18"/>
        </w:rPr>
      </w:pPr>
    </w:p>
    <w:p w14:paraId="51D19308" w14:textId="77777777" w:rsidR="00A71EEF" w:rsidRDefault="0081115D">
      <w:pPr>
        <w:ind w:right="912"/>
        <w:jc w:val="center"/>
        <w:rPr>
          <w:b/>
          <w:sz w:val="21"/>
        </w:rPr>
      </w:pPr>
      <w:r>
        <w:rPr>
          <w:noProof/>
        </w:rPr>
        <w:drawing>
          <wp:anchor distT="0" distB="0" distL="0" distR="0" simplePos="0" relativeHeight="251545088" behindDoc="0" locked="0" layoutInCell="1" allowOverlap="1" wp14:anchorId="70E5E9A8" wp14:editId="3F41CABE">
            <wp:simplePos x="0" y="0"/>
            <wp:positionH relativeFrom="page">
              <wp:posOffset>1065530</wp:posOffset>
            </wp:positionH>
            <wp:positionV relativeFrom="paragraph">
              <wp:posOffset>217805</wp:posOffset>
            </wp:positionV>
            <wp:extent cx="5286375" cy="1171575"/>
            <wp:effectExtent l="0" t="0" r="0" b="0"/>
            <wp:wrapTopAndBottom/>
            <wp:docPr id="225" name="image1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140.jpeg"/>
                    <pic:cNvPicPr/>
                  </pic:nvPicPr>
                  <pic:blipFill>
                    <a:blip r:embed="rId140" cstate="print"/>
                    <a:stretch>
                      <a:fillRect/>
                    </a:stretch>
                  </pic:blipFill>
                  <pic:spPr>
                    <a:xfrm>
                      <a:off x="0" y="0"/>
                      <a:ext cx="5286375" cy="1171575"/>
                    </a:xfrm>
                    <a:prstGeom prst="rect">
                      <a:avLst/>
                    </a:prstGeom>
                  </pic:spPr>
                </pic:pic>
              </a:graphicData>
            </a:graphic>
          </wp:anchor>
        </w:drawing>
      </w:r>
      <w:r>
        <w:rPr>
          <w:b/>
          <w:sz w:val="21"/>
        </w:rPr>
        <w:t>（</w:t>
      </w:r>
      <w:r>
        <w:rPr>
          <w:b/>
          <w:sz w:val="21"/>
        </w:rPr>
        <w:t>m/</w:t>
      </w:r>
      <w:r>
        <w:rPr>
          <w:b/>
          <w:sz w:val="21"/>
        </w:rPr>
        <w:t>百人）</w:t>
      </w:r>
      <w:r>
        <w:rPr>
          <w:b/>
          <w:w w:val="99"/>
          <w:sz w:val="21"/>
        </w:rPr>
        <w:t xml:space="preserve"> </w:t>
      </w:r>
    </w:p>
    <w:p w14:paraId="70026B47" w14:textId="77777777" w:rsidR="00A71EEF" w:rsidRDefault="0081115D">
      <w:pPr>
        <w:pStyle w:val="a3"/>
        <w:spacing w:before="178" w:line="446" w:lineRule="auto"/>
        <w:ind w:left="418" w:right="1609" w:firstLine="419"/>
      </w:pPr>
      <w:r>
        <w:rPr>
          <w:color w:val="333333"/>
        </w:rPr>
        <w:t>地下或半地下人员密集的厅、室和歌舞娱乐放映游艺场所，其房间疏散门、安全出口、疏散走道和疏散楼梯的各自总净宽度，应根据疏散人数按每</w:t>
      </w:r>
      <w:r>
        <w:rPr>
          <w:color w:val="333333"/>
        </w:rPr>
        <w:t xml:space="preserve"> 100 </w:t>
      </w:r>
      <w:r>
        <w:rPr>
          <w:color w:val="333333"/>
        </w:rPr>
        <w:t>人不小于</w:t>
      </w:r>
      <w:r>
        <w:rPr>
          <w:color w:val="333333"/>
        </w:rPr>
        <w:t xml:space="preserve"> 1.00m </w:t>
      </w:r>
      <w:r>
        <w:rPr>
          <w:color w:val="333333"/>
        </w:rPr>
        <w:t>计算确定；</w:t>
      </w:r>
      <w:r>
        <w:rPr>
          <w:color w:val="333333"/>
        </w:rPr>
        <w:t xml:space="preserve"> </w:t>
      </w:r>
    </w:p>
    <w:p w14:paraId="27DA66AD" w14:textId="77777777" w:rsidR="00A71EEF" w:rsidRDefault="0081115D">
      <w:pPr>
        <w:pStyle w:val="a3"/>
        <w:spacing w:line="446" w:lineRule="auto"/>
        <w:ind w:left="418" w:right="1609" w:firstLine="419"/>
      </w:pPr>
      <w:r>
        <w:rPr>
          <w:color w:val="333333"/>
        </w:rPr>
        <w:t>首层外门的总净宽度应按该建筑疏散人数最多一层的人数计算确定，不供其他楼层人员疏散的外门，可按本层的疏散人数计算确定；</w:t>
      </w:r>
      <w:r>
        <w:rPr>
          <w:color w:val="333333"/>
        </w:rPr>
        <w:t xml:space="preserve"> </w:t>
      </w:r>
    </w:p>
    <w:p w14:paraId="00A1B346" w14:textId="77777777" w:rsidR="00A71EEF" w:rsidRDefault="0081115D">
      <w:pPr>
        <w:pStyle w:val="a3"/>
        <w:ind w:left="838"/>
      </w:pPr>
      <w:r>
        <w:rPr>
          <w:color w:val="333333"/>
        </w:rPr>
        <w:t>歌舞娱乐放映游艺场所中录像厅的疏散人数，应根据厅、室的建筑面积按不小于</w:t>
      </w:r>
      <w:r>
        <w:rPr>
          <w:color w:val="333333"/>
        </w:rPr>
        <w:t xml:space="preserve"> 1.0 </w:t>
      </w:r>
      <w:r>
        <w:rPr>
          <w:color w:val="333333"/>
        </w:rPr>
        <w:t>人</w:t>
      </w:r>
    </w:p>
    <w:p w14:paraId="56672F4A" w14:textId="77777777" w:rsidR="00A71EEF" w:rsidRDefault="00A71EEF">
      <w:pPr>
        <w:pStyle w:val="a3"/>
        <w:rPr>
          <w:sz w:val="17"/>
        </w:rPr>
      </w:pPr>
    </w:p>
    <w:p w14:paraId="4F8DFFD3" w14:textId="77777777" w:rsidR="00A71EEF" w:rsidRDefault="0081115D">
      <w:pPr>
        <w:pStyle w:val="a3"/>
        <w:ind w:left="418"/>
      </w:pPr>
      <w:r>
        <w:rPr>
          <w:color w:val="333333"/>
        </w:rPr>
        <w:t>/m</w:t>
      </w:r>
      <w:r>
        <w:rPr>
          <w:color w:val="333333"/>
          <w:position w:val="11"/>
          <w:sz w:val="11"/>
        </w:rPr>
        <w:t>2</w:t>
      </w:r>
      <w:r>
        <w:rPr>
          <w:color w:val="333333"/>
          <w:sz w:val="11"/>
        </w:rPr>
        <w:t xml:space="preserve"> </w:t>
      </w:r>
      <w:r>
        <w:rPr>
          <w:color w:val="333333"/>
          <w:spacing w:val="-5"/>
        </w:rPr>
        <w:t>计算；其他歌舞娱乐放映游艺场所的疏散人数，应根据厅、室的建筑面积按不小于</w:t>
      </w:r>
      <w:r>
        <w:rPr>
          <w:color w:val="333333"/>
          <w:spacing w:val="-5"/>
        </w:rPr>
        <w:t xml:space="preserve"> </w:t>
      </w:r>
      <w:r>
        <w:rPr>
          <w:color w:val="333333"/>
        </w:rPr>
        <w:t>0.5</w:t>
      </w:r>
      <w:r>
        <w:rPr>
          <w:color w:val="333333"/>
          <w:spacing w:val="1"/>
        </w:rPr>
        <w:t xml:space="preserve"> </w:t>
      </w:r>
      <w:r>
        <w:rPr>
          <w:color w:val="333333"/>
          <w:spacing w:val="1"/>
        </w:rPr>
        <w:t>人</w:t>
      </w:r>
    </w:p>
    <w:p w14:paraId="159C3412" w14:textId="77777777" w:rsidR="00A71EEF" w:rsidRDefault="00A71EEF">
      <w:pPr>
        <w:pStyle w:val="a3"/>
        <w:spacing w:before="5"/>
        <w:rPr>
          <w:sz w:val="17"/>
        </w:rPr>
      </w:pPr>
    </w:p>
    <w:p w14:paraId="24865807" w14:textId="77777777" w:rsidR="00A71EEF" w:rsidRDefault="0081115D">
      <w:pPr>
        <w:ind w:left="418"/>
        <w:rPr>
          <w:sz w:val="21"/>
        </w:rPr>
      </w:pPr>
      <w:r>
        <w:rPr>
          <w:color w:val="333333"/>
          <w:sz w:val="21"/>
        </w:rPr>
        <w:t>/m</w:t>
      </w:r>
      <w:r>
        <w:rPr>
          <w:color w:val="333333"/>
          <w:position w:val="11"/>
          <w:sz w:val="11"/>
        </w:rPr>
        <w:t>2</w:t>
      </w:r>
      <w:r>
        <w:rPr>
          <w:color w:val="333333"/>
          <w:sz w:val="11"/>
        </w:rPr>
        <w:t xml:space="preserve"> </w:t>
      </w:r>
      <w:r>
        <w:rPr>
          <w:color w:val="333333"/>
          <w:sz w:val="21"/>
        </w:rPr>
        <w:t>计算；</w:t>
      </w:r>
      <w:r>
        <w:rPr>
          <w:color w:val="333333"/>
          <w:sz w:val="21"/>
        </w:rPr>
        <w:t xml:space="preserve"> </w:t>
      </w:r>
    </w:p>
    <w:p w14:paraId="50EBD4F1" w14:textId="77777777" w:rsidR="00A71EEF" w:rsidRDefault="00A71EEF">
      <w:pPr>
        <w:pStyle w:val="a3"/>
        <w:rPr>
          <w:sz w:val="18"/>
        </w:rPr>
      </w:pPr>
    </w:p>
    <w:p w14:paraId="0254F793" w14:textId="77777777" w:rsidR="00A71EEF" w:rsidRDefault="0081115D">
      <w:pPr>
        <w:pStyle w:val="a3"/>
        <w:ind w:left="838"/>
      </w:pPr>
      <w:r>
        <w:rPr>
          <w:color w:val="333333"/>
        </w:rPr>
        <w:t>有固定座位的场所，其疏散人数可按实际座位数的</w:t>
      </w:r>
      <w:r>
        <w:rPr>
          <w:color w:val="333333"/>
        </w:rPr>
        <w:t xml:space="preserve"> 1.1 </w:t>
      </w:r>
      <w:r>
        <w:rPr>
          <w:color w:val="333333"/>
        </w:rPr>
        <w:t>倍计算；</w:t>
      </w:r>
      <w:r>
        <w:rPr>
          <w:color w:val="333333"/>
        </w:rPr>
        <w:t xml:space="preserve"> </w:t>
      </w:r>
    </w:p>
    <w:p w14:paraId="10AA6399" w14:textId="77777777" w:rsidR="00A71EEF" w:rsidRDefault="00A71EEF">
      <w:pPr>
        <w:pStyle w:val="a3"/>
        <w:spacing w:before="12"/>
        <w:rPr>
          <w:sz w:val="17"/>
        </w:rPr>
      </w:pPr>
    </w:p>
    <w:p w14:paraId="73BBA9F7" w14:textId="77777777" w:rsidR="00A71EEF" w:rsidRDefault="0081115D">
      <w:pPr>
        <w:pStyle w:val="a3"/>
        <w:spacing w:line="439" w:lineRule="auto"/>
        <w:ind w:left="418" w:right="1609" w:firstLine="419"/>
      </w:pPr>
      <w:r>
        <w:rPr>
          <w:color w:val="333333"/>
        </w:rPr>
        <w:t>展览厅的疏散人数应根据展览厅的建筑面积和人员密度计算，展览厅内的人员密度不宜小于</w:t>
      </w:r>
      <w:r>
        <w:rPr>
          <w:color w:val="333333"/>
        </w:rPr>
        <w:t xml:space="preserve"> 0.75 </w:t>
      </w:r>
      <w:r>
        <w:rPr>
          <w:color w:val="333333"/>
        </w:rPr>
        <w:t>人</w:t>
      </w:r>
      <w:r>
        <w:rPr>
          <w:color w:val="333333"/>
        </w:rPr>
        <w:t>/m</w:t>
      </w:r>
      <w:r>
        <w:rPr>
          <w:color w:val="333333"/>
          <w:position w:val="11"/>
          <w:sz w:val="11"/>
        </w:rPr>
        <w:t>2</w:t>
      </w:r>
      <w:r>
        <w:rPr>
          <w:color w:val="333333"/>
        </w:rPr>
        <w:t>；</w:t>
      </w:r>
      <w:r>
        <w:rPr>
          <w:color w:val="333333"/>
        </w:rPr>
        <w:t xml:space="preserve"> </w:t>
      </w:r>
    </w:p>
    <w:p w14:paraId="01746138" w14:textId="77777777" w:rsidR="00A71EEF" w:rsidRDefault="0081115D">
      <w:pPr>
        <w:pStyle w:val="a3"/>
        <w:spacing w:before="6"/>
        <w:ind w:left="838"/>
      </w:pPr>
      <w:r>
        <w:rPr>
          <w:color w:val="333333"/>
        </w:rPr>
        <w:t>商店的疏散人数应按每层营业厅的建筑面积乘以表</w:t>
      </w:r>
      <w:r>
        <w:rPr>
          <w:color w:val="333333"/>
        </w:rPr>
        <w:t xml:space="preserve"> 5.5.21-2 </w:t>
      </w:r>
      <w:r>
        <w:rPr>
          <w:color w:val="333333"/>
        </w:rPr>
        <w:t>规定的人员密度计算。对于建</w:t>
      </w:r>
    </w:p>
    <w:p w14:paraId="68C257D1" w14:textId="77777777" w:rsidR="00A71EEF" w:rsidRDefault="00A71EEF">
      <w:pPr>
        <w:pStyle w:val="a3"/>
        <w:rPr>
          <w:sz w:val="18"/>
        </w:rPr>
      </w:pPr>
    </w:p>
    <w:p w14:paraId="02AFC8CB" w14:textId="77777777" w:rsidR="00A71EEF" w:rsidRDefault="0081115D">
      <w:pPr>
        <w:pStyle w:val="a3"/>
        <w:ind w:left="418"/>
      </w:pPr>
      <w:r>
        <w:rPr>
          <w:color w:val="333333"/>
        </w:rPr>
        <w:t>材商店、家具和灯饰展示建筑，其人员密度可按表</w:t>
      </w:r>
      <w:r>
        <w:rPr>
          <w:color w:val="333333"/>
        </w:rPr>
        <w:t xml:space="preserve"> 5.5.21-2 </w:t>
      </w:r>
      <w:r>
        <w:rPr>
          <w:color w:val="333333"/>
        </w:rPr>
        <w:t>规定值</w:t>
      </w:r>
      <w:r>
        <w:rPr>
          <w:color w:val="333333"/>
        </w:rPr>
        <w:t xml:space="preserve"> 30%</w:t>
      </w:r>
      <w:r>
        <w:rPr>
          <w:color w:val="333333"/>
        </w:rPr>
        <w:t>确定。</w:t>
      </w:r>
      <w:r>
        <w:rPr>
          <w:color w:val="333333"/>
        </w:rPr>
        <w:t xml:space="preserve"> </w:t>
      </w:r>
    </w:p>
    <w:p w14:paraId="2CB6C6D9" w14:textId="77777777" w:rsidR="00A71EEF" w:rsidRDefault="0081115D">
      <w:pPr>
        <w:pStyle w:val="6"/>
        <w:spacing w:before="121"/>
        <w:ind w:right="432"/>
        <w:jc w:val="center"/>
      </w:pPr>
      <w:r>
        <w:t>表</w:t>
      </w:r>
      <w:r>
        <w:t xml:space="preserve"> 5.5.21-2 </w:t>
      </w:r>
      <w:r>
        <w:t>商店营业厅内的人员密度（人</w:t>
      </w:r>
      <w:r>
        <w:t>/m</w:t>
      </w:r>
      <w:r>
        <w:rPr>
          <w:position w:val="11"/>
          <w:sz w:val="11"/>
        </w:rPr>
        <w:t>2</w:t>
      </w:r>
      <w:r>
        <w:t>）</w:t>
      </w:r>
      <w:r>
        <w:rPr>
          <w:w w:val="99"/>
        </w:rPr>
        <w:t xml:space="preserve"> </w:t>
      </w:r>
    </w:p>
    <w:p w14:paraId="7AF74806" w14:textId="77777777" w:rsidR="00A71EEF" w:rsidRDefault="0081115D">
      <w:pPr>
        <w:pStyle w:val="a3"/>
        <w:spacing w:before="6"/>
        <w:rPr>
          <w:b/>
        </w:rPr>
      </w:pPr>
      <w:r>
        <w:rPr>
          <w:noProof/>
        </w:rPr>
        <w:drawing>
          <wp:anchor distT="0" distB="0" distL="0" distR="0" simplePos="0" relativeHeight="251546112" behindDoc="0" locked="0" layoutInCell="1" allowOverlap="1" wp14:anchorId="5A0BA67A" wp14:editId="0BFE6CCB">
            <wp:simplePos x="0" y="0"/>
            <wp:positionH relativeFrom="page">
              <wp:posOffset>1341119</wp:posOffset>
            </wp:positionH>
            <wp:positionV relativeFrom="paragraph">
              <wp:posOffset>199568</wp:posOffset>
            </wp:positionV>
            <wp:extent cx="5010784" cy="876300"/>
            <wp:effectExtent l="0" t="0" r="0" b="0"/>
            <wp:wrapTopAndBottom/>
            <wp:docPr id="227" name="image1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141.jpeg"/>
                    <pic:cNvPicPr/>
                  </pic:nvPicPr>
                  <pic:blipFill>
                    <a:blip r:embed="rId141" cstate="print"/>
                    <a:stretch>
                      <a:fillRect/>
                    </a:stretch>
                  </pic:blipFill>
                  <pic:spPr>
                    <a:xfrm>
                      <a:off x="0" y="0"/>
                      <a:ext cx="5010784" cy="876300"/>
                    </a:xfrm>
                    <a:prstGeom prst="rect">
                      <a:avLst/>
                    </a:prstGeom>
                  </pic:spPr>
                </pic:pic>
              </a:graphicData>
            </a:graphic>
          </wp:anchor>
        </w:drawing>
      </w:r>
    </w:p>
    <w:p w14:paraId="7B93132D" w14:textId="77777777" w:rsidR="00A71EEF" w:rsidRDefault="0081115D">
      <w:pPr>
        <w:pStyle w:val="a4"/>
        <w:numPr>
          <w:ilvl w:val="2"/>
          <w:numId w:val="718"/>
        </w:numPr>
        <w:tabs>
          <w:tab w:val="left" w:pos="1478"/>
        </w:tabs>
        <w:spacing w:before="164" w:line="446" w:lineRule="auto"/>
        <w:ind w:right="1498" w:firstLine="422"/>
        <w:rPr>
          <w:sz w:val="21"/>
        </w:rPr>
      </w:pPr>
      <w:r>
        <w:rPr>
          <w:color w:val="333333"/>
          <w:spacing w:val="-3"/>
          <w:sz w:val="21"/>
        </w:rPr>
        <w:t>人员密集的公共建筑不宜在窗口、阳台等部位设置封闭的金属栅栏，确需设置时，</w:t>
      </w:r>
      <w:r>
        <w:rPr>
          <w:color w:val="333333"/>
          <w:spacing w:val="-3"/>
          <w:sz w:val="21"/>
        </w:rPr>
        <w:t xml:space="preserve"> </w:t>
      </w:r>
      <w:r>
        <w:rPr>
          <w:color w:val="333333"/>
          <w:spacing w:val="-3"/>
          <w:sz w:val="21"/>
        </w:rPr>
        <w:t>应能从内部易于开启；窗口、阳台等部位宜根据其高度设置适用的辅助疏散逃生设施。</w:t>
      </w:r>
      <w:r>
        <w:rPr>
          <w:color w:val="333333"/>
          <w:sz w:val="21"/>
        </w:rPr>
        <w:t xml:space="preserve"> </w:t>
      </w:r>
    </w:p>
    <w:p w14:paraId="54538F12" w14:textId="77777777" w:rsidR="00A71EEF" w:rsidRDefault="0081115D">
      <w:pPr>
        <w:pStyle w:val="a4"/>
        <w:numPr>
          <w:ilvl w:val="2"/>
          <w:numId w:val="718"/>
        </w:numPr>
        <w:tabs>
          <w:tab w:val="left" w:pos="1478"/>
        </w:tabs>
        <w:spacing w:line="446" w:lineRule="auto"/>
        <w:ind w:right="1548" w:firstLine="422"/>
        <w:rPr>
          <w:sz w:val="21"/>
        </w:rPr>
      </w:pPr>
      <w:r>
        <w:rPr>
          <w:color w:val="333333"/>
          <w:spacing w:val="-9"/>
          <w:sz w:val="21"/>
        </w:rPr>
        <w:t>建筑高度大于</w:t>
      </w:r>
      <w:r>
        <w:rPr>
          <w:color w:val="333333"/>
          <w:spacing w:val="-9"/>
          <w:sz w:val="21"/>
        </w:rPr>
        <w:t xml:space="preserve"> </w:t>
      </w:r>
      <w:r>
        <w:rPr>
          <w:color w:val="333333"/>
          <w:sz w:val="21"/>
        </w:rPr>
        <w:t>100m</w:t>
      </w:r>
      <w:r>
        <w:rPr>
          <w:color w:val="333333"/>
          <w:spacing w:val="-3"/>
          <w:sz w:val="21"/>
        </w:rPr>
        <w:t xml:space="preserve"> </w:t>
      </w:r>
      <w:r>
        <w:rPr>
          <w:color w:val="333333"/>
          <w:spacing w:val="-3"/>
          <w:sz w:val="21"/>
        </w:rPr>
        <w:t>的公共建筑，应设置避难层（</w:t>
      </w:r>
      <w:r>
        <w:rPr>
          <w:color w:val="333333"/>
          <w:sz w:val="21"/>
        </w:rPr>
        <w:t>间</w:t>
      </w:r>
      <w:r>
        <w:rPr>
          <w:color w:val="333333"/>
          <w:spacing w:val="-3"/>
          <w:sz w:val="21"/>
        </w:rPr>
        <w:t>）。避难层</w:t>
      </w:r>
      <w:r>
        <w:rPr>
          <w:color w:val="333333"/>
          <w:sz w:val="21"/>
        </w:rPr>
        <w:t>（</w:t>
      </w:r>
      <w:r>
        <w:rPr>
          <w:color w:val="333333"/>
          <w:spacing w:val="-3"/>
          <w:sz w:val="21"/>
        </w:rPr>
        <w:t>间</w:t>
      </w:r>
      <w:r>
        <w:rPr>
          <w:color w:val="333333"/>
          <w:sz w:val="21"/>
        </w:rPr>
        <w:t>）</w:t>
      </w:r>
      <w:r>
        <w:rPr>
          <w:color w:val="333333"/>
          <w:spacing w:val="-3"/>
          <w:sz w:val="21"/>
        </w:rPr>
        <w:t>应符合下列规定：</w:t>
      </w:r>
      <w:r>
        <w:rPr>
          <w:color w:val="333333"/>
          <w:sz w:val="21"/>
        </w:rPr>
        <w:t xml:space="preserve"> </w:t>
      </w:r>
    </w:p>
    <w:p w14:paraId="24A48AC5" w14:textId="77777777" w:rsidR="00A71EEF" w:rsidRDefault="0081115D">
      <w:pPr>
        <w:pStyle w:val="a3"/>
        <w:spacing w:line="446" w:lineRule="auto"/>
        <w:ind w:left="418" w:right="1391" w:firstLine="419"/>
      </w:pPr>
      <w:r>
        <w:rPr>
          <w:color w:val="333333"/>
        </w:rPr>
        <w:t>第一个避难层（间）的楼地面至灭火救援场地地面的高度不应大于</w:t>
      </w:r>
      <w:r>
        <w:rPr>
          <w:color w:val="333333"/>
        </w:rPr>
        <w:t xml:space="preserve"> 50m</w:t>
      </w:r>
      <w:r>
        <w:rPr>
          <w:color w:val="333333"/>
        </w:rPr>
        <w:t>，两个避难层（间）</w:t>
      </w:r>
      <w:r>
        <w:rPr>
          <w:color w:val="333333"/>
        </w:rPr>
        <w:t xml:space="preserve"> </w:t>
      </w:r>
      <w:r>
        <w:rPr>
          <w:color w:val="333333"/>
        </w:rPr>
        <w:t>之间的高度不宜大于</w:t>
      </w:r>
      <w:r>
        <w:rPr>
          <w:color w:val="333333"/>
        </w:rPr>
        <w:t xml:space="preserve"> 50m</w:t>
      </w:r>
      <w:r>
        <w:rPr>
          <w:color w:val="333333"/>
        </w:rPr>
        <w:t>；</w:t>
      </w:r>
      <w:r>
        <w:rPr>
          <w:color w:val="333333"/>
        </w:rPr>
        <w:t xml:space="preserve"> </w:t>
      </w:r>
    </w:p>
    <w:p w14:paraId="576C6A40" w14:textId="77777777" w:rsidR="00A71EEF" w:rsidRDefault="00A71EEF">
      <w:pPr>
        <w:spacing w:line="446" w:lineRule="auto"/>
        <w:sectPr w:rsidR="00A71EEF">
          <w:pgSz w:w="11910" w:h="16850"/>
          <w:pgMar w:top="1220" w:right="0" w:bottom="1420" w:left="1260" w:header="0" w:footer="1239" w:gutter="0"/>
          <w:cols w:space="720"/>
        </w:sectPr>
      </w:pPr>
    </w:p>
    <w:p w14:paraId="75350C69" w14:textId="77777777" w:rsidR="00A71EEF" w:rsidRDefault="0081115D">
      <w:pPr>
        <w:pStyle w:val="a3"/>
        <w:spacing w:before="47"/>
        <w:ind w:left="838"/>
      </w:pPr>
      <w:r>
        <w:rPr>
          <w:color w:val="333333"/>
        </w:rPr>
        <w:lastRenderedPageBreak/>
        <w:t>通向避难层的疏散楼梯应在避难层分隔、同层错位或上下层断开；</w:t>
      </w:r>
      <w:r>
        <w:rPr>
          <w:color w:val="333333"/>
        </w:rPr>
        <w:t xml:space="preserve"> </w:t>
      </w:r>
    </w:p>
    <w:p w14:paraId="0F2A1F52" w14:textId="77777777" w:rsidR="00A71EEF" w:rsidRDefault="00A71EEF">
      <w:pPr>
        <w:pStyle w:val="a3"/>
        <w:spacing w:before="3"/>
        <w:rPr>
          <w:sz w:val="17"/>
        </w:rPr>
      </w:pPr>
    </w:p>
    <w:p w14:paraId="5E0033FA" w14:textId="77777777" w:rsidR="00A71EEF" w:rsidRDefault="0081115D">
      <w:pPr>
        <w:pStyle w:val="a3"/>
        <w:ind w:left="838"/>
      </w:pPr>
      <w:r>
        <w:rPr>
          <w:color w:val="333333"/>
        </w:rPr>
        <w:t>避难层（间）的净面积应能满足设计避难人数避难的要求，</w:t>
      </w:r>
      <w:r>
        <w:rPr>
          <w:color w:val="333333"/>
        </w:rPr>
        <w:t>并宜按</w:t>
      </w:r>
      <w:r>
        <w:rPr>
          <w:color w:val="333333"/>
        </w:rPr>
        <w:t xml:space="preserve"> 5.0 </w:t>
      </w:r>
      <w:r>
        <w:rPr>
          <w:color w:val="333333"/>
        </w:rPr>
        <w:t>人</w:t>
      </w:r>
      <w:r>
        <w:rPr>
          <w:color w:val="333333"/>
        </w:rPr>
        <w:t>/m</w:t>
      </w:r>
      <w:r>
        <w:rPr>
          <w:color w:val="333333"/>
          <w:position w:val="11"/>
          <w:sz w:val="11"/>
        </w:rPr>
        <w:t xml:space="preserve">2 </w:t>
      </w:r>
      <w:r>
        <w:rPr>
          <w:color w:val="333333"/>
        </w:rPr>
        <w:t>计算；</w:t>
      </w:r>
      <w:r>
        <w:rPr>
          <w:color w:val="333333"/>
        </w:rPr>
        <w:t xml:space="preserve"> </w:t>
      </w:r>
    </w:p>
    <w:p w14:paraId="48D6D796" w14:textId="77777777" w:rsidR="00A71EEF" w:rsidRDefault="00A71EEF">
      <w:pPr>
        <w:pStyle w:val="a3"/>
        <w:spacing w:before="12"/>
        <w:rPr>
          <w:sz w:val="17"/>
        </w:rPr>
      </w:pPr>
    </w:p>
    <w:p w14:paraId="75196031" w14:textId="77777777" w:rsidR="00A71EEF" w:rsidRDefault="0081115D">
      <w:pPr>
        <w:pStyle w:val="a3"/>
        <w:spacing w:line="446" w:lineRule="auto"/>
        <w:ind w:left="418" w:right="1558" w:firstLine="419"/>
      </w:pPr>
      <w:r>
        <w:rPr>
          <w:color w:val="333333"/>
          <w:spacing w:val="-3"/>
        </w:rPr>
        <w:t>避难层可兼作设备层。设备管道宜集中布置，其中的易燃、可燃液体或气体管道应集中布</w:t>
      </w:r>
      <w:r>
        <w:rPr>
          <w:color w:val="333333"/>
          <w:spacing w:val="-6"/>
        </w:rPr>
        <w:t>置，设备管道区应采用耐火极限不低于</w:t>
      </w:r>
      <w:r>
        <w:rPr>
          <w:color w:val="333333"/>
          <w:spacing w:val="-6"/>
        </w:rPr>
        <w:t xml:space="preserve"> </w:t>
      </w:r>
      <w:r>
        <w:rPr>
          <w:color w:val="333333"/>
        </w:rPr>
        <w:t>3.00h</w:t>
      </w:r>
      <w:r>
        <w:rPr>
          <w:color w:val="333333"/>
          <w:spacing w:val="-3"/>
        </w:rPr>
        <w:t xml:space="preserve"> </w:t>
      </w:r>
      <w:r>
        <w:rPr>
          <w:color w:val="333333"/>
          <w:spacing w:val="-3"/>
        </w:rPr>
        <w:t>的防火隔墙与避难区分隔。管道井和设备间应采</w:t>
      </w:r>
      <w:r>
        <w:rPr>
          <w:color w:val="333333"/>
          <w:spacing w:val="-6"/>
        </w:rPr>
        <w:t>用耐火极限不低于</w:t>
      </w:r>
      <w:r>
        <w:rPr>
          <w:color w:val="333333"/>
          <w:spacing w:val="-6"/>
        </w:rPr>
        <w:t xml:space="preserve"> </w:t>
      </w:r>
      <w:r>
        <w:rPr>
          <w:color w:val="333333"/>
        </w:rPr>
        <w:t>2.00h</w:t>
      </w:r>
      <w:r>
        <w:rPr>
          <w:color w:val="333333"/>
          <w:spacing w:val="-3"/>
        </w:rPr>
        <w:t xml:space="preserve"> </w:t>
      </w:r>
      <w:r>
        <w:rPr>
          <w:color w:val="333333"/>
          <w:spacing w:val="-3"/>
        </w:rPr>
        <w:t>的防火隔墙与避难区分隔，管道井和设备间的门不应直接开向避难</w:t>
      </w:r>
      <w:r>
        <w:rPr>
          <w:color w:val="333333"/>
          <w:spacing w:val="-5"/>
        </w:rPr>
        <w:t>区；确需直接开向避难区时，与避难层区出入口的距离不应小于</w:t>
      </w:r>
      <w:r>
        <w:rPr>
          <w:color w:val="333333"/>
          <w:spacing w:val="-5"/>
        </w:rPr>
        <w:t xml:space="preserve"> </w:t>
      </w:r>
      <w:r>
        <w:rPr>
          <w:color w:val="333333"/>
        </w:rPr>
        <w:t>5m</w:t>
      </w:r>
      <w:r>
        <w:rPr>
          <w:color w:val="333333"/>
          <w:spacing w:val="-3"/>
        </w:rPr>
        <w:t>，且应采用甲级防火门。</w:t>
      </w:r>
      <w:r>
        <w:rPr>
          <w:color w:val="333333"/>
        </w:rPr>
        <w:t xml:space="preserve"> </w:t>
      </w:r>
    </w:p>
    <w:p w14:paraId="698C3BAC" w14:textId="77777777" w:rsidR="00A71EEF" w:rsidRDefault="0081115D">
      <w:pPr>
        <w:pStyle w:val="a3"/>
        <w:spacing w:line="446" w:lineRule="auto"/>
        <w:ind w:left="418" w:right="1817" w:firstLine="419"/>
      </w:pPr>
      <w:r>
        <w:rPr>
          <w:color w:val="333333"/>
        </w:rPr>
        <w:t>避难间内不应设置易燃、可燃液体或气体管道，不应开设除外窗、疏散门之外的其他开口；</w:t>
      </w:r>
      <w:r>
        <w:rPr>
          <w:color w:val="333333"/>
        </w:rPr>
        <w:t xml:space="preserve"> </w:t>
      </w:r>
    </w:p>
    <w:p w14:paraId="43DA29B3" w14:textId="77777777" w:rsidR="00A71EEF" w:rsidRDefault="0081115D">
      <w:pPr>
        <w:pStyle w:val="a3"/>
        <w:spacing w:line="446" w:lineRule="auto"/>
        <w:ind w:left="838" w:right="6757"/>
      </w:pPr>
      <w:r>
        <w:rPr>
          <w:color w:val="333333"/>
          <w:spacing w:val="-3"/>
        </w:rPr>
        <w:t>避难层应设置消防电梯出口；</w:t>
      </w:r>
      <w:r>
        <w:rPr>
          <w:color w:val="333333"/>
          <w:spacing w:val="-3"/>
        </w:rPr>
        <w:t xml:space="preserve">  </w:t>
      </w:r>
      <w:r>
        <w:rPr>
          <w:color w:val="333333"/>
          <w:spacing w:val="-3"/>
        </w:rPr>
        <w:t>应设置消火栓和消防软管卷盘；</w:t>
      </w:r>
      <w:r>
        <w:rPr>
          <w:color w:val="333333"/>
        </w:rPr>
        <w:t xml:space="preserve"> </w:t>
      </w:r>
    </w:p>
    <w:p w14:paraId="237E874E" w14:textId="77777777" w:rsidR="00A71EEF" w:rsidRDefault="0081115D">
      <w:pPr>
        <w:pStyle w:val="a3"/>
        <w:ind w:left="838"/>
      </w:pPr>
      <w:r>
        <w:rPr>
          <w:color w:val="333333"/>
        </w:rPr>
        <w:t>应设置消防专线电话和应急广播；</w:t>
      </w:r>
      <w:r>
        <w:rPr>
          <w:color w:val="333333"/>
        </w:rPr>
        <w:t xml:space="preserve"> </w:t>
      </w:r>
    </w:p>
    <w:p w14:paraId="4819758E" w14:textId="77777777" w:rsidR="00A71EEF" w:rsidRDefault="00A71EEF">
      <w:pPr>
        <w:pStyle w:val="a3"/>
        <w:spacing w:before="10"/>
        <w:rPr>
          <w:sz w:val="17"/>
        </w:rPr>
      </w:pPr>
    </w:p>
    <w:p w14:paraId="13BFA799" w14:textId="77777777" w:rsidR="00A71EEF" w:rsidRDefault="0081115D">
      <w:pPr>
        <w:pStyle w:val="a3"/>
        <w:spacing w:line="446" w:lineRule="auto"/>
        <w:ind w:left="418" w:right="1609" w:firstLine="419"/>
      </w:pPr>
      <w:r>
        <w:rPr>
          <w:color w:val="333333"/>
        </w:rPr>
        <w:t>在避难层（间）进入楼梯间的入口处和疏散楼梯通向避难层（间）的出口处，应设置明显的指示标志；</w:t>
      </w:r>
      <w:r>
        <w:rPr>
          <w:color w:val="333333"/>
        </w:rPr>
        <w:t xml:space="preserve"> </w:t>
      </w:r>
    </w:p>
    <w:p w14:paraId="3A8D5859" w14:textId="77777777" w:rsidR="00A71EEF" w:rsidRDefault="0081115D">
      <w:pPr>
        <w:pStyle w:val="a3"/>
        <w:spacing w:before="1"/>
        <w:ind w:left="838"/>
      </w:pPr>
      <w:r>
        <w:rPr>
          <w:color w:val="333333"/>
          <w:spacing w:val="-3"/>
        </w:rPr>
        <w:t>应设置直接对外的可开启窗口或独立的机械防烟设施，外窗应采用乙级防火窗。</w:t>
      </w:r>
      <w:r>
        <w:rPr>
          <w:color w:val="333333"/>
          <w:spacing w:val="-3"/>
        </w:rPr>
        <w:t xml:space="preserve"> </w:t>
      </w:r>
    </w:p>
    <w:p w14:paraId="5B8317E9" w14:textId="77777777" w:rsidR="00A71EEF" w:rsidRDefault="00A71EEF">
      <w:pPr>
        <w:pStyle w:val="a3"/>
        <w:spacing w:before="12"/>
        <w:rPr>
          <w:sz w:val="17"/>
        </w:rPr>
      </w:pPr>
    </w:p>
    <w:p w14:paraId="4F392DB8" w14:textId="77777777" w:rsidR="00A71EEF" w:rsidRDefault="0081115D">
      <w:pPr>
        <w:pStyle w:val="a4"/>
        <w:numPr>
          <w:ilvl w:val="2"/>
          <w:numId w:val="718"/>
        </w:numPr>
        <w:tabs>
          <w:tab w:val="left" w:pos="1478"/>
        </w:tabs>
        <w:spacing w:line="446" w:lineRule="auto"/>
        <w:ind w:right="1496" w:firstLine="422"/>
        <w:rPr>
          <w:sz w:val="21"/>
        </w:rPr>
      </w:pPr>
      <w:r>
        <w:rPr>
          <w:color w:val="333333"/>
          <w:spacing w:val="-3"/>
          <w:sz w:val="21"/>
        </w:rPr>
        <w:t>高层病房楼应在二层及以上的病房楼层和洁净手术部设置避难间。避难间应符合下列规定：</w:t>
      </w:r>
      <w:r>
        <w:rPr>
          <w:color w:val="333333"/>
          <w:sz w:val="21"/>
        </w:rPr>
        <w:t xml:space="preserve"> </w:t>
      </w:r>
    </w:p>
    <w:p w14:paraId="5F9BD125" w14:textId="77777777" w:rsidR="00A71EEF" w:rsidRDefault="0081115D">
      <w:pPr>
        <w:pStyle w:val="a3"/>
        <w:spacing w:line="446" w:lineRule="auto"/>
        <w:ind w:left="838" w:right="1664"/>
      </w:pPr>
      <w:r>
        <w:rPr>
          <w:color w:val="333333"/>
          <w:spacing w:val="-7"/>
        </w:rPr>
        <w:t>避难间服务的护理单元不应超过</w:t>
      </w:r>
      <w:r>
        <w:rPr>
          <w:color w:val="333333"/>
          <w:spacing w:val="-7"/>
        </w:rPr>
        <w:t xml:space="preserve"> </w:t>
      </w:r>
      <w:r>
        <w:rPr>
          <w:color w:val="333333"/>
        </w:rPr>
        <w:t>2</w:t>
      </w:r>
      <w:r>
        <w:rPr>
          <w:color w:val="333333"/>
          <w:spacing w:val="-6"/>
        </w:rPr>
        <w:t xml:space="preserve"> </w:t>
      </w:r>
      <w:r>
        <w:rPr>
          <w:color w:val="333333"/>
          <w:spacing w:val="-6"/>
        </w:rPr>
        <w:t>个，其净面积应按每个护理单元不小</w:t>
      </w:r>
      <w:r>
        <w:rPr>
          <w:color w:val="333333"/>
          <w:spacing w:val="-6"/>
        </w:rPr>
        <w:t xml:space="preserve"> </w:t>
      </w:r>
      <w:r>
        <w:rPr>
          <w:color w:val="333333"/>
        </w:rPr>
        <w:t>25.0m</w:t>
      </w:r>
      <w:r>
        <w:rPr>
          <w:color w:val="333333"/>
          <w:position w:val="11"/>
          <w:sz w:val="11"/>
        </w:rPr>
        <w:t>2</w:t>
      </w:r>
      <w:r>
        <w:rPr>
          <w:color w:val="333333"/>
          <w:sz w:val="11"/>
        </w:rPr>
        <w:t xml:space="preserve"> </w:t>
      </w:r>
      <w:r>
        <w:rPr>
          <w:color w:val="333333"/>
          <w:spacing w:val="-3"/>
        </w:rPr>
        <w:t>确定；</w:t>
      </w:r>
      <w:r>
        <w:rPr>
          <w:color w:val="333333"/>
          <w:spacing w:val="-3"/>
        </w:rPr>
        <w:t xml:space="preserve"> </w:t>
      </w:r>
      <w:r>
        <w:rPr>
          <w:color w:val="333333"/>
          <w:spacing w:val="-3"/>
        </w:rPr>
        <w:t>避难间兼作其他用途时，应保证人员的避难安全，且不得减少可供避难的净面积；</w:t>
      </w:r>
      <w:r>
        <w:rPr>
          <w:color w:val="333333"/>
          <w:spacing w:val="-3"/>
        </w:rPr>
        <w:t xml:space="preserve"> </w:t>
      </w:r>
    </w:p>
    <w:p w14:paraId="77B36875" w14:textId="77777777" w:rsidR="00A71EEF" w:rsidRDefault="0081115D">
      <w:pPr>
        <w:pStyle w:val="a3"/>
        <w:spacing w:line="446" w:lineRule="auto"/>
        <w:ind w:left="418" w:right="1707" w:firstLine="419"/>
      </w:pPr>
      <w:r>
        <w:rPr>
          <w:color w:val="333333"/>
        </w:rPr>
        <w:t>应靠近楼梯间，并应采用耐火极限不低于</w:t>
      </w:r>
      <w:r>
        <w:rPr>
          <w:color w:val="333333"/>
        </w:rPr>
        <w:t xml:space="preserve"> 2.00h </w:t>
      </w:r>
      <w:r>
        <w:rPr>
          <w:color w:val="333333"/>
        </w:rPr>
        <w:t>的防火隔墙和甲级防火门与其他部位分隔；</w:t>
      </w:r>
      <w:r>
        <w:rPr>
          <w:color w:val="333333"/>
        </w:rPr>
        <w:t xml:space="preserve"> </w:t>
      </w:r>
    </w:p>
    <w:p w14:paraId="38BB3F8C" w14:textId="77777777" w:rsidR="00A71EEF" w:rsidRDefault="0081115D">
      <w:pPr>
        <w:pStyle w:val="a3"/>
        <w:spacing w:line="446" w:lineRule="auto"/>
        <w:ind w:left="838" w:right="5917"/>
      </w:pPr>
      <w:r>
        <w:rPr>
          <w:color w:val="333333"/>
          <w:spacing w:val="-3"/>
        </w:rPr>
        <w:t>应设置消防专线电话和消防应急广播；</w:t>
      </w:r>
      <w:r>
        <w:rPr>
          <w:color w:val="333333"/>
          <w:spacing w:val="-3"/>
        </w:rPr>
        <w:t xml:space="preserve">  </w:t>
      </w:r>
      <w:r>
        <w:rPr>
          <w:color w:val="333333"/>
          <w:spacing w:val="-3"/>
        </w:rPr>
        <w:t>避难间的入口处应设置明显的指示标志；</w:t>
      </w:r>
      <w:r>
        <w:rPr>
          <w:color w:val="333333"/>
        </w:rPr>
        <w:t xml:space="preserve"> </w:t>
      </w:r>
    </w:p>
    <w:p w14:paraId="0281BF32" w14:textId="77777777" w:rsidR="00A71EEF" w:rsidRDefault="0081115D">
      <w:pPr>
        <w:pStyle w:val="a3"/>
        <w:ind w:left="838"/>
      </w:pPr>
      <w:r>
        <w:rPr>
          <w:color w:val="333333"/>
        </w:rPr>
        <w:t>应设置直接对外的可开启窗口或独立的机械防烟设施，外窗应采用乙级防火窗。</w:t>
      </w:r>
      <w:r>
        <w:rPr>
          <w:color w:val="333333"/>
        </w:rPr>
        <w:t xml:space="preserve"> </w:t>
      </w:r>
    </w:p>
    <w:p w14:paraId="469092C4" w14:textId="77777777" w:rsidR="00A71EEF" w:rsidRDefault="00A71EEF">
      <w:pPr>
        <w:pStyle w:val="a3"/>
        <w:spacing w:before="3"/>
        <w:rPr>
          <w:sz w:val="16"/>
        </w:rPr>
      </w:pPr>
    </w:p>
    <w:p w14:paraId="335B4C7D" w14:textId="77777777" w:rsidR="00A71EEF" w:rsidRDefault="0081115D">
      <w:pPr>
        <w:pStyle w:val="a4"/>
        <w:numPr>
          <w:ilvl w:val="2"/>
          <w:numId w:val="717"/>
        </w:numPr>
        <w:tabs>
          <w:tab w:val="left" w:pos="1478"/>
        </w:tabs>
        <w:spacing w:line="446" w:lineRule="auto"/>
        <w:ind w:right="1440" w:firstLine="422"/>
        <w:rPr>
          <w:sz w:val="21"/>
        </w:rPr>
      </w:pPr>
      <w:r>
        <w:rPr>
          <w:b/>
          <w:color w:val="333333"/>
          <w:sz w:val="21"/>
        </w:rPr>
        <w:t>A</w:t>
      </w:r>
      <w:r>
        <w:rPr>
          <w:b/>
          <w:color w:val="333333"/>
          <w:spacing w:val="11"/>
          <w:sz w:val="21"/>
        </w:rPr>
        <w:t xml:space="preserve"> </w:t>
      </w:r>
      <w:r>
        <w:rPr>
          <w:color w:val="333333"/>
          <w:sz w:val="21"/>
        </w:rPr>
        <w:t>3</w:t>
      </w:r>
      <w:r>
        <w:rPr>
          <w:color w:val="333333"/>
          <w:spacing w:val="-26"/>
          <w:sz w:val="21"/>
        </w:rPr>
        <w:t xml:space="preserve"> </w:t>
      </w:r>
      <w:r>
        <w:rPr>
          <w:color w:val="333333"/>
          <w:spacing w:val="-26"/>
          <w:sz w:val="21"/>
        </w:rPr>
        <w:t>层及</w:t>
      </w:r>
      <w:r>
        <w:rPr>
          <w:color w:val="333333"/>
          <w:spacing w:val="-26"/>
          <w:sz w:val="21"/>
        </w:rPr>
        <w:t xml:space="preserve"> </w:t>
      </w:r>
      <w:r>
        <w:rPr>
          <w:color w:val="333333"/>
          <w:sz w:val="21"/>
        </w:rPr>
        <w:t>3</w:t>
      </w:r>
      <w:r>
        <w:rPr>
          <w:color w:val="333333"/>
          <w:spacing w:val="-12"/>
          <w:sz w:val="21"/>
        </w:rPr>
        <w:t xml:space="preserve"> </w:t>
      </w:r>
      <w:r>
        <w:rPr>
          <w:color w:val="333333"/>
          <w:spacing w:val="-12"/>
          <w:sz w:val="21"/>
        </w:rPr>
        <w:t>层以上总建筑面积大于</w:t>
      </w:r>
      <w:r>
        <w:rPr>
          <w:color w:val="333333"/>
          <w:spacing w:val="-12"/>
          <w:sz w:val="21"/>
        </w:rPr>
        <w:t xml:space="preserve"> </w:t>
      </w:r>
      <w:r>
        <w:rPr>
          <w:color w:val="333333"/>
          <w:sz w:val="21"/>
        </w:rPr>
        <w:t>3000m</w:t>
      </w:r>
      <w:r>
        <w:rPr>
          <w:color w:val="333333"/>
          <w:position w:val="11"/>
          <w:sz w:val="11"/>
        </w:rPr>
        <w:t>2</w:t>
      </w:r>
      <w:r>
        <w:rPr>
          <w:color w:val="333333"/>
          <w:sz w:val="21"/>
        </w:rPr>
        <w:t>（</w:t>
      </w:r>
      <w:r>
        <w:rPr>
          <w:color w:val="333333"/>
          <w:spacing w:val="-3"/>
          <w:sz w:val="21"/>
        </w:rPr>
        <w:t>包括设置在其他建筑内三层及以上楼层</w:t>
      </w:r>
      <w:r>
        <w:rPr>
          <w:color w:val="333333"/>
          <w:sz w:val="21"/>
        </w:rPr>
        <w:t>）</w:t>
      </w:r>
      <w:r>
        <w:rPr>
          <w:color w:val="333333"/>
          <w:sz w:val="21"/>
        </w:rPr>
        <w:t xml:space="preserve"> </w:t>
      </w:r>
      <w:r>
        <w:rPr>
          <w:color w:val="333333"/>
          <w:spacing w:val="-3"/>
          <w:sz w:val="21"/>
        </w:rPr>
        <w:t>的老年人照料设施，应在二层及以上各层老年人照料设施部分的每座疏散楼梯间的相邻部位设</w:t>
      </w:r>
      <w:r>
        <w:rPr>
          <w:color w:val="333333"/>
          <w:spacing w:val="-3"/>
          <w:sz w:val="21"/>
        </w:rPr>
        <w:t xml:space="preserve"> </w:t>
      </w:r>
      <w:r>
        <w:rPr>
          <w:color w:val="333333"/>
          <w:spacing w:val="-22"/>
          <w:sz w:val="21"/>
        </w:rPr>
        <w:t>置</w:t>
      </w:r>
      <w:r>
        <w:rPr>
          <w:color w:val="333333"/>
          <w:spacing w:val="-22"/>
          <w:sz w:val="21"/>
        </w:rPr>
        <w:t xml:space="preserve"> </w:t>
      </w:r>
      <w:r>
        <w:rPr>
          <w:color w:val="333333"/>
          <w:sz w:val="21"/>
        </w:rPr>
        <w:t>1</w:t>
      </w:r>
      <w:r>
        <w:rPr>
          <w:color w:val="333333"/>
          <w:spacing w:val="-8"/>
          <w:sz w:val="21"/>
        </w:rPr>
        <w:t xml:space="preserve"> </w:t>
      </w:r>
      <w:r>
        <w:rPr>
          <w:color w:val="333333"/>
          <w:spacing w:val="-8"/>
          <w:sz w:val="21"/>
        </w:rPr>
        <w:t>间避难间；当老年人照料设施设置与疏散楼梯或安全出口直接连通的开敞式外廊、与疏散</w:t>
      </w:r>
      <w:r>
        <w:rPr>
          <w:color w:val="333333"/>
          <w:spacing w:val="-5"/>
          <w:sz w:val="21"/>
        </w:rPr>
        <w:t>走道直接连通且符合人员避难要求的室外平台等时，可不设置避难间。避难间内可供避难的净</w:t>
      </w:r>
    </w:p>
    <w:p w14:paraId="50921560" w14:textId="77777777" w:rsidR="00A71EEF" w:rsidRDefault="00A71EEF">
      <w:pPr>
        <w:spacing w:line="446" w:lineRule="auto"/>
        <w:rPr>
          <w:sz w:val="21"/>
        </w:rPr>
        <w:sectPr w:rsidR="00A71EEF">
          <w:footerReference w:type="default" r:id="rId142"/>
          <w:pgSz w:w="11910" w:h="16850"/>
          <w:pgMar w:top="1220" w:right="0" w:bottom="1420" w:left="1260" w:header="0" w:footer="1239" w:gutter="0"/>
          <w:pgNumType w:start="1020"/>
          <w:cols w:space="720"/>
        </w:sectPr>
      </w:pPr>
    </w:p>
    <w:p w14:paraId="0F4AE609" w14:textId="77777777" w:rsidR="00A71EEF" w:rsidRDefault="0081115D">
      <w:pPr>
        <w:pStyle w:val="a3"/>
        <w:spacing w:before="57" w:line="446" w:lineRule="auto"/>
        <w:ind w:left="418" w:right="1606"/>
      </w:pPr>
      <w:r>
        <w:rPr>
          <w:color w:val="333333"/>
          <w:spacing w:val="-9"/>
        </w:rPr>
        <w:lastRenderedPageBreak/>
        <w:t>面积不应小于</w:t>
      </w:r>
      <w:r>
        <w:rPr>
          <w:color w:val="333333"/>
          <w:spacing w:val="-9"/>
        </w:rPr>
        <w:t xml:space="preserve"> </w:t>
      </w:r>
      <w:r>
        <w:rPr>
          <w:color w:val="333333"/>
        </w:rPr>
        <w:t>12m</w:t>
      </w:r>
      <w:r>
        <w:rPr>
          <w:color w:val="333333"/>
          <w:position w:val="11"/>
          <w:sz w:val="11"/>
        </w:rPr>
        <w:t>2</w:t>
      </w:r>
      <w:r>
        <w:rPr>
          <w:color w:val="333333"/>
          <w:sz w:val="11"/>
        </w:rPr>
        <w:t xml:space="preserve"> </w:t>
      </w:r>
      <w:r>
        <w:rPr>
          <w:color w:val="333333"/>
          <w:spacing w:val="-3"/>
        </w:rPr>
        <w:t>，避难间可利用疏散楼梯间的前室或消防电梯的前室，其他要求应符合本</w:t>
      </w:r>
      <w:r>
        <w:rPr>
          <w:color w:val="333333"/>
          <w:spacing w:val="-15"/>
        </w:rPr>
        <w:t>规范第</w:t>
      </w:r>
      <w:r>
        <w:rPr>
          <w:color w:val="333333"/>
          <w:spacing w:val="-15"/>
        </w:rPr>
        <w:t xml:space="preserve"> </w:t>
      </w:r>
      <w:r>
        <w:rPr>
          <w:color w:val="333333"/>
        </w:rPr>
        <w:t>5.5.24</w:t>
      </w:r>
      <w:r>
        <w:rPr>
          <w:color w:val="333333"/>
          <w:spacing w:val="-11"/>
        </w:rPr>
        <w:t xml:space="preserve"> </w:t>
      </w:r>
      <w:r>
        <w:rPr>
          <w:color w:val="333333"/>
          <w:spacing w:val="-11"/>
        </w:rPr>
        <w:t>条的规定。</w:t>
      </w:r>
      <w:r>
        <w:rPr>
          <w:color w:val="333333"/>
          <w:spacing w:val="-11"/>
        </w:rPr>
        <w:t xml:space="preserve"> </w:t>
      </w:r>
    </w:p>
    <w:p w14:paraId="476798CC" w14:textId="77777777" w:rsidR="00A71EEF" w:rsidRDefault="0081115D">
      <w:pPr>
        <w:pStyle w:val="a3"/>
        <w:spacing w:line="446" w:lineRule="auto"/>
        <w:ind w:left="418" w:right="1608" w:firstLine="419"/>
      </w:pPr>
      <w:r>
        <w:rPr>
          <w:color w:val="333333"/>
          <w:spacing w:val="-6"/>
        </w:rPr>
        <w:t>供失能老年人使用且层数大于</w:t>
      </w:r>
      <w:r>
        <w:rPr>
          <w:color w:val="333333"/>
          <w:spacing w:val="-6"/>
        </w:rPr>
        <w:t xml:space="preserve"> </w:t>
      </w:r>
      <w:r>
        <w:rPr>
          <w:color w:val="333333"/>
        </w:rPr>
        <w:t>2</w:t>
      </w:r>
      <w:r>
        <w:rPr>
          <w:color w:val="333333"/>
          <w:spacing w:val="-7"/>
        </w:rPr>
        <w:t xml:space="preserve"> </w:t>
      </w:r>
      <w:r>
        <w:rPr>
          <w:color w:val="333333"/>
          <w:spacing w:val="-7"/>
        </w:rPr>
        <w:t>层的老年人照料设施，应按核定使用人数配备简易防毒面</w:t>
      </w:r>
      <w:r>
        <w:rPr>
          <w:color w:val="333333"/>
          <w:spacing w:val="-5"/>
        </w:rPr>
        <w:t>具。</w:t>
      </w:r>
      <w:r>
        <w:rPr>
          <w:color w:val="333333"/>
        </w:rPr>
        <w:t xml:space="preserve"> </w:t>
      </w:r>
    </w:p>
    <w:p w14:paraId="6C5DA66B" w14:textId="77777777" w:rsidR="00A71EEF" w:rsidRDefault="0081115D">
      <w:pPr>
        <w:pStyle w:val="a3"/>
        <w:ind w:left="838"/>
      </w:pPr>
      <w:r>
        <w:rPr>
          <w:color w:val="333333"/>
        </w:rPr>
        <w:t xml:space="preserve">Ⅲ </w:t>
      </w:r>
      <w:r>
        <w:rPr>
          <w:color w:val="333333"/>
        </w:rPr>
        <w:t>住宅建筑</w:t>
      </w:r>
      <w:r>
        <w:rPr>
          <w:color w:val="333333"/>
        </w:rPr>
        <w:t xml:space="preserve"> </w:t>
      </w:r>
    </w:p>
    <w:p w14:paraId="5FC64EAE" w14:textId="77777777" w:rsidR="00A71EEF" w:rsidRDefault="00A71EEF">
      <w:pPr>
        <w:pStyle w:val="a3"/>
        <w:spacing w:before="10"/>
        <w:rPr>
          <w:sz w:val="17"/>
        </w:rPr>
      </w:pPr>
    </w:p>
    <w:p w14:paraId="55C55422" w14:textId="77777777" w:rsidR="00A71EEF" w:rsidRDefault="0081115D">
      <w:pPr>
        <w:pStyle w:val="a4"/>
        <w:numPr>
          <w:ilvl w:val="2"/>
          <w:numId w:val="717"/>
        </w:numPr>
        <w:tabs>
          <w:tab w:val="left" w:pos="1478"/>
        </w:tabs>
        <w:ind w:left="1477" w:hanging="638"/>
        <w:rPr>
          <w:sz w:val="21"/>
        </w:rPr>
      </w:pPr>
      <w:r>
        <w:rPr>
          <w:color w:val="333333"/>
          <w:spacing w:val="-3"/>
          <w:sz w:val="21"/>
        </w:rPr>
        <w:t>住宅建筑安全出口的设置应符合下列规定：</w:t>
      </w:r>
      <w:r>
        <w:rPr>
          <w:color w:val="333333"/>
          <w:sz w:val="21"/>
        </w:rPr>
        <w:t xml:space="preserve"> </w:t>
      </w:r>
    </w:p>
    <w:p w14:paraId="0E397DE9" w14:textId="77777777" w:rsidR="00A71EEF" w:rsidRDefault="00A71EEF">
      <w:pPr>
        <w:pStyle w:val="a3"/>
        <w:spacing w:before="5"/>
        <w:rPr>
          <w:sz w:val="17"/>
        </w:rPr>
      </w:pPr>
    </w:p>
    <w:p w14:paraId="4EA01A27" w14:textId="77777777" w:rsidR="00A71EEF" w:rsidRDefault="0081115D">
      <w:pPr>
        <w:pStyle w:val="a3"/>
        <w:spacing w:line="446" w:lineRule="auto"/>
        <w:ind w:left="418" w:right="1503" w:firstLine="419"/>
      </w:pPr>
      <w:r>
        <w:rPr>
          <w:color w:val="333333"/>
          <w:spacing w:val="-8"/>
        </w:rPr>
        <w:t>建筑高度不大于</w:t>
      </w:r>
      <w:r>
        <w:rPr>
          <w:color w:val="333333"/>
          <w:spacing w:val="-8"/>
        </w:rPr>
        <w:t xml:space="preserve"> </w:t>
      </w:r>
      <w:r>
        <w:rPr>
          <w:color w:val="333333"/>
        </w:rPr>
        <w:t>27m</w:t>
      </w:r>
      <w:r>
        <w:rPr>
          <w:color w:val="333333"/>
          <w:spacing w:val="-10"/>
        </w:rPr>
        <w:t xml:space="preserve"> </w:t>
      </w:r>
      <w:r>
        <w:rPr>
          <w:color w:val="333333"/>
          <w:spacing w:val="-10"/>
        </w:rPr>
        <w:t>的建筑，当每个单元任一层的建筑面积大于</w:t>
      </w:r>
      <w:r>
        <w:rPr>
          <w:color w:val="333333"/>
          <w:spacing w:val="-10"/>
        </w:rPr>
        <w:t xml:space="preserve"> </w:t>
      </w:r>
      <w:r>
        <w:rPr>
          <w:color w:val="333333"/>
        </w:rPr>
        <w:t>650m</w:t>
      </w:r>
      <w:r>
        <w:rPr>
          <w:color w:val="333333"/>
          <w:position w:val="11"/>
          <w:sz w:val="11"/>
        </w:rPr>
        <w:t>2</w:t>
      </w:r>
      <w:r>
        <w:rPr>
          <w:color w:val="333333"/>
          <w:spacing w:val="-3"/>
        </w:rPr>
        <w:t>，或任一户门至最近</w:t>
      </w:r>
      <w:r>
        <w:rPr>
          <w:color w:val="333333"/>
          <w:spacing w:val="-8"/>
        </w:rPr>
        <w:t>安全出口的距离大于</w:t>
      </w:r>
      <w:r>
        <w:rPr>
          <w:color w:val="333333"/>
          <w:spacing w:val="-8"/>
        </w:rPr>
        <w:t xml:space="preserve"> </w:t>
      </w:r>
      <w:r>
        <w:rPr>
          <w:color w:val="333333"/>
        </w:rPr>
        <w:t>15m</w:t>
      </w:r>
      <w:r>
        <w:rPr>
          <w:color w:val="333333"/>
          <w:spacing w:val="-6"/>
        </w:rPr>
        <w:t xml:space="preserve"> </w:t>
      </w:r>
      <w:r>
        <w:rPr>
          <w:color w:val="333333"/>
          <w:spacing w:val="-6"/>
        </w:rPr>
        <w:t>时，每个单元每层的安全出口不应少于</w:t>
      </w:r>
      <w:r>
        <w:rPr>
          <w:color w:val="333333"/>
          <w:spacing w:val="-6"/>
        </w:rPr>
        <w:t xml:space="preserve"> </w:t>
      </w:r>
      <w:r>
        <w:rPr>
          <w:color w:val="333333"/>
          <w:spacing w:val="-3"/>
        </w:rPr>
        <w:t>2</w:t>
      </w:r>
      <w:r>
        <w:rPr>
          <w:color w:val="333333"/>
          <w:spacing w:val="-2"/>
        </w:rPr>
        <w:t xml:space="preserve"> </w:t>
      </w:r>
      <w:r>
        <w:rPr>
          <w:color w:val="333333"/>
          <w:spacing w:val="-2"/>
        </w:rPr>
        <w:t>个；</w:t>
      </w:r>
      <w:r>
        <w:rPr>
          <w:color w:val="333333"/>
        </w:rPr>
        <w:t xml:space="preserve"> </w:t>
      </w:r>
    </w:p>
    <w:p w14:paraId="6F182115" w14:textId="77777777" w:rsidR="00A71EEF" w:rsidRDefault="0081115D">
      <w:pPr>
        <w:pStyle w:val="a3"/>
        <w:spacing w:line="446" w:lineRule="auto"/>
        <w:ind w:left="418" w:right="1505" w:firstLine="419"/>
      </w:pPr>
      <w:r>
        <w:rPr>
          <w:color w:val="333333"/>
          <w:spacing w:val="-9"/>
        </w:rPr>
        <w:t>建筑高度大于</w:t>
      </w:r>
      <w:r>
        <w:rPr>
          <w:color w:val="333333"/>
          <w:spacing w:val="-9"/>
        </w:rPr>
        <w:t xml:space="preserve"> </w:t>
      </w:r>
      <w:r>
        <w:rPr>
          <w:color w:val="333333"/>
        </w:rPr>
        <w:t>27m</w:t>
      </w:r>
      <w:r>
        <w:rPr>
          <w:color w:val="333333"/>
          <w:spacing w:val="-12"/>
        </w:rPr>
        <w:t>、不大于</w:t>
      </w:r>
      <w:r>
        <w:rPr>
          <w:color w:val="333333"/>
          <w:spacing w:val="-12"/>
        </w:rPr>
        <w:t xml:space="preserve"> </w:t>
      </w:r>
      <w:r>
        <w:rPr>
          <w:color w:val="333333"/>
        </w:rPr>
        <w:t>54m</w:t>
      </w:r>
      <w:r>
        <w:rPr>
          <w:color w:val="333333"/>
          <w:spacing w:val="-6"/>
        </w:rPr>
        <w:t xml:space="preserve"> </w:t>
      </w:r>
      <w:r>
        <w:rPr>
          <w:color w:val="333333"/>
          <w:spacing w:val="-6"/>
        </w:rPr>
        <w:t>的建筑，当每个单元任一层的建筑面积大于</w:t>
      </w:r>
      <w:r>
        <w:rPr>
          <w:color w:val="333333"/>
          <w:spacing w:val="-6"/>
        </w:rPr>
        <w:t xml:space="preserve"> </w:t>
      </w:r>
      <w:r>
        <w:rPr>
          <w:color w:val="333333"/>
        </w:rPr>
        <w:t>650m</w:t>
      </w:r>
      <w:r>
        <w:rPr>
          <w:color w:val="333333"/>
          <w:position w:val="11"/>
          <w:sz w:val="11"/>
        </w:rPr>
        <w:t>2</w:t>
      </w:r>
      <w:r>
        <w:rPr>
          <w:color w:val="333333"/>
          <w:spacing w:val="-2"/>
        </w:rPr>
        <w:t>，或任一</w:t>
      </w:r>
      <w:r>
        <w:rPr>
          <w:color w:val="333333"/>
          <w:spacing w:val="-7"/>
        </w:rPr>
        <w:t>户门至最近安全出口的距离大于</w:t>
      </w:r>
      <w:r>
        <w:rPr>
          <w:color w:val="333333"/>
          <w:spacing w:val="-7"/>
        </w:rPr>
        <w:t xml:space="preserve"> </w:t>
      </w:r>
      <w:r>
        <w:rPr>
          <w:color w:val="333333"/>
        </w:rPr>
        <w:t>10m</w:t>
      </w:r>
      <w:r>
        <w:rPr>
          <w:color w:val="333333"/>
          <w:spacing w:val="-6"/>
        </w:rPr>
        <w:t xml:space="preserve"> </w:t>
      </w:r>
      <w:r>
        <w:rPr>
          <w:color w:val="333333"/>
          <w:spacing w:val="-6"/>
        </w:rPr>
        <w:t>时，每个单元每层的安全出口不应少于</w:t>
      </w:r>
      <w:r>
        <w:rPr>
          <w:color w:val="333333"/>
          <w:spacing w:val="-6"/>
        </w:rPr>
        <w:t xml:space="preserve"> </w:t>
      </w:r>
      <w:r>
        <w:rPr>
          <w:color w:val="333333"/>
        </w:rPr>
        <w:t>2</w:t>
      </w:r>
      <w:r>
        <w:rPr>
          <w:color w:val="333333"/>
          <w:spacing w:val="-1"/>
        </w:rPr>
        <w:t xml:space="preserve"> </w:t>
      </w:r>
      <w:r>
        <w:rPr>
          <w:color w:val="333333"/>
          <w:spacing w:val="-1"/>
        </w:rPr>
        <w:t>个；</w:t>
      </w:r>
      <w:r>
        <w:rPr>
          <w:color w:val="333333"/>
        </w:rPr>
        <w:t xml:space="preserve"> </w:t>
      </w:r>
    </w:p>
    <w:p w14:paraId="0BBA1772" w14:textId="77777777" w:rsidR="00A71EEF" w:rsidRDefault="0081115D">
      <w:pPr>
        <w:pStyle w:val="a3"/>
        <w:ind w:left="838"/>
      </w:pPr>
      <w:r>
        <w:rPr>
          <w:color w:val="333333"/>
        </w:rPr>
        <w:t>建筑高度大于</w:t>
      </w:r>
      <w:r>
        <w:rPr>
          <w:color w:val="333333"/>
        </w:rPr>
        <w:t xml:space="preserve"> 54m </w:t>
      </w:r>
      <w:r>
        <w:rPr>
          <w:color w:val="333333"/>
        </w:rPr>
        <w:t>的建筑，每个单元每层的安全出口不应少于</w:t>
      </w:r>
      <w:r>
        <w:rPr>
          <w:color w:val="333333"/>
        </w:rPr>
        <w:t xml:space="preserve"> 2 </w:t>
      </w:r>
      <w:r>
        <w:rPr>
          <w:color w:val="333333"/>
        </w:rPr>
        <w:t>个。</w:t>
      </w:r>
      <w:r>
        <w:rPr>
          <w:color w:val="333333"/>
        </w:rPr>
        <w:t xml:space="preserve"> </w:t>
      </w:r>
    </w:p>
    <w:p w14:paraId="7D222AC8" w14:textId="77777777" w:rsidR="00A71EEF" w:rsidRDefault="00A71EEF">
      <w:pPr>
        <w:pStyle w:val="a3"/>
        <w:rPr>
          <w:sz w:val="17"/>
        </w:rPr>
      </w:pPr>
    </w:p>
    <w:p w14:paraId="22D0279B" w14:textId="77777777" w:rsidR="00A71EEF" w:rsidRDefault="0081115D">
      <w:pPr>
        <w:pStyle w:val="a4"/>
        <w:numPr>
          <w:ilvl w:val="2"/>
          <w:numId w:val="717"/>
        </w:numPr>
        <w:tabs>
          <w:tab w:val="left" w:pos="1478"/>
        </w:tabs>
        <w:spacing w:line="446" w:lineRule="auto"/>
        <w:ind w:right="1549" w:firstLine="422"/>
        <w:jc w:val="both"/>
        <w:rPr>
          <w:sz w:val="21"/>
        </w:rPr>
      </w:pPr>
      <w:r>
        <w:rPr>
          <w:color w:val="333333"/>
          <w:spacing w:val="-9"/>
          <w:sz w:val="21"/>
        </w:rPr>
        <w:t>建筑高度大于</w:t>
      </w:r>
      <w:r>
        <w:rPr>
          <w:color w:val="333333"/>
          <w:spacing w:val="-9"/>
          <w:sz w:val="21"/>
        </w:rPr>
        <w:t xml:space="preserve"> </w:t>
      </w:r>
      <w:r>
        <w:rPr>
          <w:color w:val="333333"/>
          <w:sz w:val="21"/>
        </w:rPr>
        <w:t>27m</w:t>
      </w:r>
      <w:r>
        <w:rPr>
          <w:color w:val="333333"/>
          <w:spacing w:val="-10"/>
          <w:sz w:val="21"/>
        </w:rPr>
        <w:t>，但不大于</w:t>
      </w:r>
      <w:r>
        <w:rPr>
          <w:color w:val="333333"/>
          <w:spacing w:val="-10"/>
          <w:sz w:val="21"/>
        </w:rPr>
        <w:t xml:space="preserve"> </w:t>
      </w:r>
      <w:r>
        <w:rPr>
          <w:color w:val="333333"/>
          <w:sz w:val="21"/>
        </w:rPr>
        <w:t>54m</w:t>
      </w:r>
      <w:r>
        <w:rPr>
          <w:color w:val="333333"/>
          <w:spacing w:val="-8"/>
          <w:sz w:val="21"/>
        </w:rPr>
        <w:t xml:space="preserve"> </w:t>
      </w:r>
      <w:r>
        <w:rPr>
          <w:color w:val="333333"/>
          <w:spacing w:val="-8"/>
          <w:sz w:val="21"/>
        </w:rPr>
        <w:t>的住宅建筑，每个单元设置一座疏散楼梯时，疏</w:t>
      </w:r>
      <w:r>
        <w:rPr>
          <w:color w:val="333333"/>
          <w:spacing w:val="-5"/>
          <w:sz w:val="21"/>
        </w:rPr>
        <w:t>散楼梯应通至屋面，且单元之间的疏散楼梯应能通过屋面连通，户门应采用乙级防火门。当不</w:t>
      </w:r>
      <w:r>
        <w:rPr>
          <w:color w:val="333333"/>
          <w:spacing w:val="-7"/>
          <w:sz w:val="21"/>
        </w:rPr>
        <w:t>能通至屋面或不能通过屋面连通时，应设置</w:t>
      </w:r>
      <w:r>
        <w:rPr>
          <w:color w:val="333333"/>
          <w:spacing w:val="-7"/>
          <w:sz w:val="21"/>
        </w:rPr>
        <w:t xml:space="preserve"> </w:t>
      </w:r>
      <w:r>
        <w:rPr>
          <w:color w:val="333333"/>
          <w:sz w:val="21"/>
        </w:rPr>
        <w:t>2</w:t>
      </w:r>
      <w:r>
        <w:rPr>
          <w:color w:val="333333"/>
          <w:spacing w:val="-10"/>
          <w:sz w:val="21"/>
        </w:rPr>
        <w:t xml:space="preserve"> </w:t>
      </w:r>
      <w:r>
        <w:rPr>
          <w:color w:val="333333"/>
          <w:spacing w:val="-10"/>
          <w:sz w:val="21"/>
        </w:rPr>
        <w:t>个安全出口。</w:t>
      </w:r>
      <w:r>
        <w:rPr>
          <w:color w:val="333333"/>
          <w:sz w:val="21"/>
        </w:rPr>
        <w:t xml:space="preserve"> </w:t>
      </w:r>
    </w:p>
    <w:p w14:paraId="268C1CFB" w14:textId="77777777" w:rsidR="00A71EEF" w:rsidRDefault="0081115D">
      <w:pPr>
        <w:pStyle w:val="a4"/>
        <w:numPr>
          <w:ilvl w:val="2"/>
          <w:numId w:val="717"/>
        </w:numPr>
        <w:tabs>
          <w:tab w:val="left" w:pos="1478"/>
        </w:tabs>
        <w:spacing w:line="268" w:lineRule="exact"/>
        <w:ind w:left="1477" w:hanging="638"/>
        <w:rPr>
          <w:sz w:val="21"/>
        </w:rPr>
      </w:pPr>
      <w:r>
        <w:rPr>
          <w:color w:val="333333"/>
          <w:spacing w:val="-3"/>
          <w:sz w:val="21"/>
        </w:rPr>
        <w:t>住宅建筑的疏散楼梯设置应符合下列规定：</w:t>
      </w:r>
      <w:r>
        <w:rPr>
          <w:color w:val="333333"/>
          <w:sz w:val="21"/>
        </w:rPr>
        <w:t xml:space="preserve"> </w:t>
      </w:r>
    </w:p>
    <w:p w14:paraId="6840A172" w14:textId="77777777" w:rsidR="00A71EEF" w:rsidRDefault="00A71EEF">
      <w:pPr>
        <w:pStyle w:val="a3"/>
        <w:spacing w:before="2"/>
        <w:rPr>
          <w:sz w:val="18"/>
        </w:rPr>
      </w:pPr>
    </w:p>
    <w:p w14:paraId="127E9192" w14:textId="77777777" w:rsidR="00A71EEF" w:rsidRDefault="0081115D">
      <w:pPr>
        <w:pStyle w:val="a3"/>
        <w:spacing w:line="446" w:lineRule="auto"/>
        <w:ind w:left="418" w:right="1498" w:firstLine="419"/>
      </w:pPr>
      <w:r>
        <w:rPr>
          <w:color w:val="333333"/>
        </w:rPr>
        <w:t>建筑高度不大于</w:t>
      </w:r>
      <w:r>
        <w:rPr>
          <w:color w:val="333333"/>
        </w:rPr>
        <w:t xml:space="preserve"> 21m </w:t>
      </w:r>
      <w:r>
        <w:rPr>
          <w:color w:val="333333"/>
        </w:rPr>
        <w:t>的住宅建筑可采用敞开楼梯间；与电梯井相邻布置的疏散楼梯应采用封闭楼梯间，当户门采用乙级防火门时，仍可采用敞开楼梯间；</w:t>
      </w:r>
      <w:r>
        <w:rPr>
          <w:color w:val="333333"/>
        </w:rPr>
        <w:t xml:space="preserve"> </w:t>
      </w:r>
    </w:p>
    <w:p w14:paraId="1CA34AE2" w14:textId="77777777" w:rsidR="00A71EEF" w:rsidRDefault="0081115D">
      <w:pPr>
        <w:pStyle w:val="a3"/>
        <w:spacing w:line="446" w:lineRule="auto"/>
        <w:ind w:left="418" w:right="1820" w:firstLine="419"/>
      </w:pPr>
      <w:r>
        <w:rPr>
          <w:color w:val="333333"/>
          <w:spacing w:val="-9"/>
        </w:rPr>
        <w:t>建筑高度大于</w:t>
      </w:r>
      <w:r>
        <w:rPr>
          <w:color w:val="333333"/>
          <w:spacing w:val="-9"/>
        </w:rPr>
        <w:t xml:space="preserve"> </w:t>
      </w:r>
      <w:r>
        <w:rPr>
          <w:color w:val="333333"/>
        </w:rPr>
        <w:t>21m</w:t>
      </w:r>
      <w:r>
        <w:rPr>
          <w:color w:val="333333"/>
          <w:spacing w:val="-11"/>
        </w:rPr>
        <w:t>、不大于</w:t>
      </w:r>
      <w:r>
        <w:rPr>
          <w:color w:val="333333"/>
          <w:spacing w:val="-11"/>
        </w:rPr>
        <w:t xml:space="preserve"> </w:t>
      </w:r>
      <w:r>
        <w:rPr>
          <w:color w:val="333333"/>
        </w:rPr>
        <w:t>33m</w:t>
      </w:r>
      <w:r>
        <w:rPr>
          <w:color w:val="333333"/>
          <w:spacing w:val="-3"/>
        </w:rPr>
        <w:t xml:space="preserve"> </w:t>
      </w:r>
      <w:r>
        <w:rPr>
          <w:color w:val="333333"/>
          <w:spacing w:val="-3"/>
        </w:rPr>
        <w:t>的住宅建筑应采用封闭楼梯间；当户门采用乙级防火门时，可采用敞开楼梯间；</w:t>
      </w:r>
      <w:r>
        <w:rPr>
          <w:color w:val="333333"/>
        </w:rPr>
        <w:t xml:space="preserve"> </w:t>
      </w:r>
    </w:p>
    <w:p w14:paraId="3F7C8676" w14:textId="77777777" w:rsidR="00A71EEF" w:rsidRDefault="0081115D">
      <w:pPr>
        <w:pStyle w:val="a3"/>
        <w:spacing w:line="446" w:lineRule="auto"/>
        <w:ind w:left="418" w:right="1498" w:firstLine="419"/>
      </w:pPr>
      <w:r>
        <w:rPr>
          <w:color w:val="333333"/>
        </w:rPr>
        <w:t>建筑高度大于</w:t>
      </w:r>
      <w:r>
        <w:rPr>
          <w:color w:val="333333"/>
        </w:rPr>
        <w:t xml:space="preserve"> 33m </w:t>
      </w:r>
      <w:r>
        <w:rPr>
          <w:color w:val="333333"/>
        </w:rPr>
        <w:t>的住宅建筑应采用防烟楼梯间。户门不宜直接开向前室，确有困难时，</w:t>
      </w:r>
      <w:r>
        <w:rPr>
          <w:color w:val="333333"/>
        </w:rPr>
        <w:t xml:space="preserve"> </w:t>
      </w:r>
      <w:r>
        <w:rPr>
          <w:color w:val="333333"/>
        </w:rPr>
        <w:t>每层开向同一前室的户门不应大于</w:t>
      </w:r>
      <w:r>
        <w:rPr>
          <w:color w:val="333333"/>
        </w:rPr>
        <w:t xml:space="preserve"> 3 </w:t>
      </w:r>
      <w:r>
        <w:rPr>
          <w:color w:val="333333"/>
        </w:rPr>
        <w:t>樘且应采用乙级防火门。</w:t>
      </w:r>
      <w:r>
        <w:rPr>
          <w:color w:val="333333"/>
        </w:rPr>
        <w:t xml:space="preserve"> </w:t>
      </w:r>
    </w:p>
    <w:p w14:paraId="273F25D9" w14:textId="77777777" w:rsidR="00A71EEF" w:rsidRDefault="0081115D">
      <w:pPr>
        <w:pStyle w:val="a4"/>
        <w:numPr>
          <w:ilvl w:val="2"/>
          <w:numId w:val="717"/>
        </w:numPr>
        <w:tabs>
          <w:tab w:val="left" w:pos="1478"/>
        </w:tabs>
        <w:spacing w:line="446" w:lineRule="auto"/>
        <w:ind w:right="1496" w:firstLine="422"/>
        <w:rPr>
          <w:sz w:val="21"/>
        </w:rPr>
      </w:pPr>
      <w:r>
        <w:rPr>
          <w:color w:val="333333"/>
          <w:spacing w:val="-3"/>
          <w:sz w:val="21"/>
        </w:rPr>
        <w:t>住宅单元的疏散楼梯，当分散设置确有困难且任一户门至最近疏散楼梯间入口的距</w:t>
      </w:r>
      <w:r>
        <w:rPr>
          <w:color w:val="333333"/>
          <w:spacing w:val="-13"/>
          <w:sz w:val="21"/>
        </w:rPr>
        <w:t>离不大于</w:t>
      </w:r>
      <w:r>
        <w:rPr>
          <w:color w:val="333333"/>
          <w:spacing w:val="-13"/>
          <w:sz w:val="21"/>
        </w:rPr>
        <w:t xml:space="preserve"> </w:t>
      </w:r>
      <w:r>
        <w:rPr>
          <w:color w:val="333333"/>
          <w:sz w:val="21"/>
        </w:rPr>
        <w:t>10m</w:t>
      </w:r>
      <w:r>
        <w:rPr>
          <w:color w:val="333333"/>
          <w:spacing w:val="-3"/>
          <w:sz w:val="21"/>
        </w:rPr>
        <w:t xml:space="preserve"> </w:t>
      </w:r>
      <w:r>
        <w:rPr>
          <w:color w:val="333333"/>
          <w:spacing w:val="-3"/>
          <w:sz w:val="21"/>
        </w:rPr>
        <w:t>时，可采用剪刀楼梯</w:t>
      </w:r>
      <w:r>
        <w:rPr>
          <w:color w:val="333333"/>
          <w:spacing w:val="-3"/>
          <w:sz w:val="21"/>
        </w:rPr>
        <w:t>间，但应符合下列规定：</w:t>
      </w:r>
      <w:r>
        <w:rPr>
          <w:color w:val="333333"/>
          <w:sz w:val="21"/>
        </w:rPr>
        <w:t xml:space="preserve"> </w:t>
      </w:r>
    </w:p>
    <w:p w14:paraId="3C9BCC86" w14:textId="77777777" w:rsidR="00A71EEF" w:rsidRDefault="0081115D">
      <w:pPr>
        <w:pStyle w:val="a3"/>
        <w:spacing w:line="267" w:lineRule="exact"/>
        <w:ind w:left="838"/>
      </w:pPr>
      <w:r>
        <w:rPr>
          <w:color w:val="333333"/>
        </w:rPr>
        <w:t>应采用防烟楼梯间；</w:t>
      </w:r>
      <w:r>
        <w:rPr>
          <w:color w:val="333333"/>
        </w:rPr>
        <w:t xml:space="preserve"> </w:t>
      </w:r>
    </w:p>
    <w:p w14:paraId="40021097" w14:textId="77777777" w:rsidR="00A71EEF" w:rsidRDefault="00A71EEF">
      <w:pPr>
        <w:pStyle w:val="a3"/>
        <w:rPr>
          <w:sz w:val="18"/>
        </w:rPr>
      </w:pPr>
    </w:p>
    <w:p w14:paraId="2A433784" w14:textId="77777777" w:rsidR="00A71EEF" w:rsidRDefault="0081115D">
      <w:pPr>
        <w:pStyle w:val="a3"/>
        <w:ind w:left="838"/>
      </w:pPr>
      <w:r>
        <w:rPr>
          <w:color w:val="333333"/>
        </w:rPr>
        <w:t>梯段之间应设置耐火极限不低于</w:t>
      </w:r>
      <w:r>
        <w:rPr>
          <w:color w:val="333333"/>
        </w:rPr>
        <w:t xml:space="preserve"> 1.00h </w:t>
      </w:r>
      <w:r>
        <w:rPr>
          <w:color w:val="333333"/>
        </w:rPr>
        <w:t>的防火隔墙；</w:t>
      </w:r>
      <w:r>
        <w:rPr>
          <w:color w:val="333333"/>
        </w:rPr>
        <w:t xml:space="preserve"> </w:t>
      </w:r>
    </w:p>
    <w:p w14:paraId="6FB58171" w14:textId="77777777" w:rsidR="00A71EEF" w:rsidRDefault="00A71EEF">
      <w:pPr>
        <w:pStyle w:val="a3"/>
        <w:spacing w:before="3"/>
        <w:rPr>
          <w:sz w:val="17"/>
        </w:rPr>
      </w:pPr>
    </w:p>
    <w:p w14:paraId="2133B8A0" w14:textId="77777777" w:rsidR="00A71EEF" w:rsidRDefault="0081115D">
      <w:pPr>
        <w:pStyle w:val="a3"/>
        <w:ind w:left="838"/>
      </w:pPr>
      <w:r>
        <w:rPr>
          <w:color w:val="333333"/>
        </w:rPr>
        <w:t>楼梯间的前室不宜共用；共用时，前室的使用面积不应小于</w:t>
      </w:r>
      <w:r>
        <w:rPr>
          <w:color w:val="333333"/>
        </w:rPr>
        <w:t xml:space="preserve"> 6.0m</w:t>
      </w:r>
      <w:r>
        <w:rPr>
          <w:color w:val="333333"/>
          <w:position w:val="11"/>
          <w:sz w:val="11"/>
        </w:rPr>
        <w:t>2</w:t>
      </w:r>
      <w:r>
        <w:rPr>
          <w:color w:val="333333"/>
        </w:rPr>
        <w:t>；</w:t>
      </w:r>
      <w:r>
        <w:rPr>
          <w:color w:val="333333"/>
        </w:rPr>
        <w:t xml:space="preserve"> </w:t>
      </w:r>
    </w:p>
    <w:p w14:paraId="583E8D3E" w14:textId="77777777" w:rsidR="00A71EEF" w:rsidRDefault="00A71EEF">
      <w:pPr>
        <w:pStyle w:val="a3"/>
        <w:spacing w:before="12"/>
        <w:rPr>
          <w:sz w:val="17"/>
        </w:rPr>
      </w:pPr>
    </w:p>
    <w:p w14:paraId="72BD696C" w14:textId="77777777" w:rsidR="00A71EEF" w:rsidRDefault="0081115D">
      <w:pPr>
        <w:pStyle w:val="a3"/>
        <w:spacing w:line="439" w:lineRule="auto"/>
        <w:ind w:left="418" w:right="1609" w:firstLine="419"/>
        <w:jc w:val="both"/>
      </w:pPr>
      <w:r>
        <w:rPr>
          <w:color w:val="333333"/>
        </w:rPr>
        <w:t>楼梯间的前室或共用前室不宜与消防电梯的前室合用；楼梯间的共用前室与消防电梯的前室合用时，合用前室的使用面积不应小于</w:t>
      </w:r>
      <w:r>
        <w:rPr>
          <w:color w:val="333333"/>
        </w:rPr>
        <w:t xml:space="preserve"> 12.0m</w:t>
      </w:r>
      <w:r>
        <w:rPr>
          <w:color w:val="333333"/>
          <w:position w:val="11"/>
          <w:sz w:val="11"/>
        </w:rPr>
        <w:t>2</w:t>
      </w:r>
      <w:r>
        <w:rPr>
          <w:color w:val="333333"/>
        </w:rPr>
        <w:t>，且短边不应小于</w:t>
      </w:r>
      <w:r>
        <w:rPr>
          <w:color w:val="333333"/>
        </w:rPr>
        <w:t xml:space="preserve"> 2.4m</w:t>
      </w:r>
      <w:r>
        <w:rPr>
          <w:color w:val="333333"/>
        </w:rPr>
        <w:t>。</w:t>
      </w:r>
      <w:r>
        <w:rPr>
          <w:color w:val="333333"/>
        </w:rPr>
        <w:t xml:space="preserve"> </w:t>
      </w:r>
    </w:p>
    <w:p w14:paraId="678255A2" w14:textId="77777777" w:rsidR="00A71EEF" w:rsidRDefault="00A71EEF">
      <w:pPr>
        <w:spacing w:line="439" w:lineRule="auto"/>
        <w:jc w:val="both"/>
        <w:sectPr w:rsidR="00A71EEF">
          <w:pgSz w:w="11910" w:h="16850"/>
          <w:pgMar w:top="1200" w:right="0" w:bottom="1420" w:left="1260" w:header="0" w:footer="1239" w:gutter="0"/>
          <w:cols w:space="720"/>
        </w:sectPr>
      </w:pPr>
    </w:p>
    <w:p w14:paraId="0E1C1C5E" w14:textId="77777777" w:rsidR="00A71EEF" w:rsidRDefault="0081115D">
      <w:pPr>
        <w:pStyle w:val="a4"/>
        <w:numPr>
          <w:ilvl w:val="2"/>
          <w:numId w:val="717"/>
        </w:numPr>
        <w:tabs>
          <w:tab w:val="left" w:pos="1478"/>
        </w:tabs>
        <w:spacing w:before="47"/>
        <w:ind w:left="1477" w:hanging="638"/>
        <w:rPr>
          <w:sz w:val="21"/>
        </w:rPr>
      </w:pPr>
      <w:r>
        <w:rPr>
          <w:color w:val="333333"/>
          <w:spacing w:val="-3"/>
          <w:sz w:val="21"/>
        </w:rPr>
        <w:lastRenderedPageBreak/>
        <w:t>住宅建筑的安全疏散距离应符合下列规定：</w:t>
      </w:r>
      <w:r>
        <w:rPr>
          <w:color w:val="333333"/>
          <w:sz w:val="21"/>
        </w:rPr>
        <w:t xml:space="preserve"> </w:t>
      </w:r>
    </w:p>
    <w:p w14:paraId="677906EE" w14:textId="77777777" w:rsidR="00A71EEF" w:rsidRDefault="00A71EEF">
      <w:pPr>
        <w:pStyle w:val="a3"/>
        <w:rPr>
          <w:sz w:val="18"/>
        </w:rPr>
      </w:pPr>
    </w:p>
    <w:p w14:paraId="290BCEED" w14:textId="77777777" w:rsidR="00A71EEF" w:rsidRDefault="0081115D">
      <w:pPr>
        <w:pStyle w:val="a3"/>
        <w:ind w:left="838"/>
      </w:pPr>
      <w:r>
        <w:rPr>
          <w:color w:val="333333"/>
        </w:rPr>
        <w:t>直通疏散走道的户门至最近安全出口的直线距离不应大于表</w:t>
      </w:r>
      <w:r>
        <w:rPr>
          <w:color w:val="333333"/>
        </w:rPr>
        <w:t xml:space="preserve"> 5.5.29 </w:t>
      </w:r>
      <w:r>
        <w:rPr>
          <w:color w:val="333333"/>
        </w:rPr>
        <w:t>的规定；</w:t>
      </w:r>
      <w:r>
        <w:rPr>
          <w:color w:val="333333"/>
        </w:rPr>
        <w:t xml:space="preserve"> </w:t>
      </w:r>
    </w:p>
    <w:p w14:paraId="450E143E" w14:textId="77777777" w:rsidR="00A71EEF" w:rsidRDefault="0081115D">
      <w:pPr>
        <w:pStyle w:val="6"/>
        <w:spacing w:before="130"/>
        <w:ind w:left="1651"/>
      </w:pPr>
      <w:r>
        <w:pict w14:anchorId="3AA04C63">
          <v:group id="_x0000_s1171" style="position:absolute;left:0;text-align:left;margin-left:82.45pt;margin-top:26.05pt;width:442.4pt;height:130.8pt;z-index:-251497984;mso-wrap-distance-left:0;mso-wrap-distance-right:0;mso-position-horizontal-relative:page" coordorigin="1649,521" coordsize="8848,2616">
            <v:rect id="_x0000_s1174" style="position:absolute;left:1649;top:2637;width:8848;height:500" stroked="f"/>
            <v:shape id="_x0000_s1173" type="#_x0000_t75" style="position:absolute;left:2300;top:520;width:7841;height:2115">
              <v:imagedata r:id="rId143" o:title=""/>
            </v:shape>
            <v:shape id="_x0000_s1172" type="#_x0000_t202" style="position:absolute;left:1649;top:520;width:8848;height:2616" filled="f" stroked="f">
              <v:textbox inset="0,0,0,0">
                <w:txbxContent>
                  <w:p w14:paraId="2B004998" w14:textId="77777777" w:rsidR="00A71EEF" w:rsidRDefault="00A71EEF">
                    <w:pPr>
                      <w:rPr>
                        <w:b/>
                        <w:sz w:val="20"/>
                      </w:rPr>
                    </w:pPr>
                  </w:p>
                  <w:p w14:paraId="451408FC" w14:textId="77777777" w:rsidR="00A71EEF" w:rsidRDefault="00A71EEF">
                    <w:pPr>
                      <w:rPr>
                        <w:b/>
                        <w:sz w:val="20"/>
                      </w:rPr>
                    </w:pPr>
                  </w:p>
                  <w:p w14:paraId="2CA9914D" w14:textId="77777777" w:rsidR="00A71EEF" w:rsidRDefault="00A71EEF">
                    <w:pPr>
                      <w:rPr>
                        <w:b/>
                        <w:sz w:val="20"/>
                      </w:rPr>
                    </w:pPr>
                  </w:p>
                  <w:p w14:paraId="00380414" w14:textId="77777777" w:rsidR="00A71EEF" w:rsidRDefault="00A71EEF">
                    <w:pPr>
                      <w:rPr>
                        <w:b/>
                        <w:sz w:val="20"/>
                      </w:rPr>
                    </w:pPr>
                  </w:p>
                  <w:p w14:paraId="00012339" w14:textId="77777777" w:rsidR="00A71EEF" w:rsidRDefault="00A71EEF">
                    <w:pPr>
                      <w:rPr>
                        <w:b/>
                        <w:sz w:val="20"/>
                      </w:rPr>
                    </w:pPr>
                  </w:p>
                  <w:p w14:paraId="46B0FEC6" w14:textId="77777777" w:rsidR="00A71EEF" w:rsidRDefault="00A71EEF">
                    <w:pPr>
                      <w:rPr>
                        <w:b/>
                        <w:sz w:val="20"/>
                      </w:rPr>
                    </w:pPr>
                  </w:p>
                  <w:p w14:paraId="0F2ADB92" w14:textId="77777777" w:rsidR="00A71EEF" w:rsidRDefault="00A71EEF">
                    <w:pPr>
                      <w:spacing w:before="8"/>
                      <w:rPr>
                        <w:b/>
                        <w:sz w:val="28"/>
                      </w:rPr>
                    </w:pPr>
                  </w:p>
                  <w:p w14:paraId="7A3621B7" w14:textId="77777777" w:rsidR="00A71EEF" w:rsidRDefault="0081115D">
                    <w:pPr>
                      <w:ind w:right="189"/>
                      <w:jc w:val="right"/>
                      <w:rPr>
                        <w:sz w:val="21"/>
                      </w:rPr>
                    </w:pPr>
                    <w:r>
                      <w:rPr>
                        <w:color w:val="333333"/>
                        <w:sz w:val="21"/>
                      </w:rPr>
                      <w:t xml:space="preserve"> </w:t>
                    </w:r>
                  </w:p>
                  <w:p w14:paraId="09B853BC" w14:textId="77777777" w:rsidR="00A71EEF" w:rsidRDefault="0081115D">
                    <w:pPr>
                      <w:spacing w:before="134"/>
                      <w:ind w:right="254"/>
                      <w:jc w:val="right"/>
                      <w:rPr>
                        <w:sz w:val="21"/>
                      </w:rPr>
                    </w:pPr>
                    <w:r>
                      <w:rPr>
                        <w:color w:val="333333"/>
                        <w:sz w:val="21"/>
                      </w:rPr>
                      <w:t>注：</w:t>
                    </w:r>
                    <w:r>
                      <w:rPr>
                        <w:color w:val="333333"/>
                        <w:sz w:val="21"/>
                      </w:rPr>
                      <w:t>1.</w:t>
                    </w:r>
                    <w:r>
                      <w:rPr>
                        <w:color w:val="333333"/>
                        <w:sz w:val="21"/>
                      </w:rPr>
                      <w:t>开向敞开式外廊的户门至最近安全出口的最大直线距离可按本表的规定增加</w:t>
                    </w:r>
                    <w:r>
                      <w:rPr>
                        <w:color w:val="333333"/>
                        <w:sz w:val="21"/>
                      </w:rPr>
                      <w:t xml:space="preserve"> 5m</w:t>
                    </w:r>
                    <w:r>
                      <w:rPr>
                        <w:color w:val="333333"/>
                        <w:sz w:val="21"/>
                      </w:rPr>
                      <w:t>。</w:t>
                    </w:r>
                    <w:r>
                      <w:rPr>
                        <w:color w:val="333333"/>
                        <w:sz w:val="21"/>
                      </w:rPr>
                      <w:t xml:space="preserve"> </w:t>
                    </w:r>
                  </w:p>
                </w:txbxContent>
              </v:textbox>
            </v:shape>
            <w10:wrap type="topAndBottom" anchorx="page"/>
          </v:group>
        </w:pict>
      </w:r>
      <w:r>
        <w:t>表</w:t>
      </w:r>
      <w:r>
        <w:t xml:space="preserve"> 5.5.29 </w:t>
      </w:r>
      <w:r>
        <w:t>住宅建筑直通疏散走道的户门至最近安全出口的直线距离（</w:t>
      </w:r>
      <w:r>
        <w:t>m</w:t>
      </w:r>
      <w:r>
        <w:t>）</w:t>
      </w:r>
      <w:r>
        <w:rPr>
          <w:w w:val="99"/>
        </w:rPr>
        <w:t xml:space="preserve"> </w:t>
      </w:r>
    </w:p>
    <w:p w14:paraId="482B6690" w14:textId="77777777" w:rsidR="00A71EEF" w:rsidRDefault="00A71EEF">
      <w:pPr>
        <w:pStyle w:val="a3"/>
        <w:rPr>
          <w:b/>
          <w:sz w:val="7"/>
        </w:rPr>
      </w:pPr>
    </w:p>
    <w:p w14:paraId="440A8C90" w14:textId="77777777" w:rsidR="00A71EEF" w:rsidRDefault="0081115D">
      <w:pPr>
        <w:pStyle w:val="a4"/>
        <w:numPr>
          <w:ilvl w:val="0"/>
          <w:numId w:val="716"/>
        </w:numPr>
        <w:tabs>
          <w:tab w:val="left" w:pos="1051"/>
        </w:tabs>
        <w:spacing w:before="72" w:line="446" w:lineRule="auto"/>
        <w:ind w:right="1609" w:firstLine="419"/>
        <w:rPr>
          <w:sz w:val="21"/>
        </w:rPr>
      </w:pPr>
      <w:r>
        <w:rPr>
          <w:color w:val="333333"/>
          <w:spacing w:val="-3"/>
          <w:sz w:val="21"/>
        </w:rPr>
        <w:t>直通疏散走道的户门至最近敞开楼梯间的直线距离，当户门位于两个楼梯间之间时，应</w:t>
      </w:r>
      <w:r>
        <w:rPr>
          <w:color w:val="333333"/>
          <w:spacing w:val="-9"/>
          <w:sz w:val="21"/>
        </w:rPr>
        <w:t>按本表的规定减少</w:t>
      </w:r>
      <w:r>
        <w:rPr>
          <w:color w:val="333333"/>
          <w:spacing w:val="-9"/>
          <w:sz w:val="21"/>
        </w:rPr>
        <w:t xml:space="preserve"> </w:t>
      </w:r>
      <w:r>
        <w:rPr>
          <w:color w:val="333333"/>
          <w:sz w:val="21"/>
        </w:rPr>
        <w:t>5m</w:t>
      </w:r>
      <w:r>
        <w:rPr>
          <w:color w:val="333333"/>
          <w:spacing w:val="-5"/>
          <w:sz w:val="21"/>
        </w:rPr>
        <w:t>；当户门位于袋形走道两侧或尽端时，应按本表的规定减少</w:t>
      </w:r>
      <w:r>
        <w:rPr>
          <w:color w:val="333333"/>
          <w:spacing w:val="-5"/>
          <w:sz w:val="21"/>
        </w:rPr>
        <w:t xml:space="preserve"> </w:t>
      </w:r>
      <w:r>
        <w:rPr>
          <w:color w:val="333333"/>
          <w:sz w:val="21"/>
        </w:rPr>
        <w:t>2m</w:t>
      </w:r>
      <w:r>
        <w:rPr>
          <w:color w:val="333333"/>
          <w:spacing w:val="-3"/>
          <w:sz w:val="21"/>
        </w:rPr>
        <w:t>。</w:t>
      </w:r>
      <w:r>
        <w:rPr>
          <w:color w:val="333333"/>
          <w:sz w:val="21"/>
        </w:rPr>
        <w:t xml:space="preserve"> </w:t>
      </w:r>
    </w:p>
    <w:p w14:paraId="63BF3984" w14:textId="77777777" w:rsidR="00A71EEF" w:rsidRDefault="0081115D">
      <w:pPr>
        <w:pStyle w:val="a4"/>
        <w:numPr>
          <w:ilvl w:val="0"/>
          <w:numId w:val="716"/>
        </w:numPr>
        <w:tabs>
          <w:tab w:val="left" w:pos="1051"/>
        </w:tabs>
        <w:ind w:left="1050"/>
        <w:rPr>
          <w:sz w:val="21"/>
        </w:rPr>
      </w:pPr>
      <w:r>
        <w:rPr>
          <w:color w:val="333333"/>
          <w:spacing w:val="-5"/>
          <w:sz w:val="21"/>
        </w:rPr>
        <w:t>住宅建筑内全部设置自动喷水灭火系统时，其安全疏散距离可按本表的规定增加</w:t>
      </w:r>
      <w:r>
        <w:rPr>
          <w:color w:val="333333"/>
          <w:spacing w:val="-5"/>
          <w:sz w:val="21"/>
        </w:rPr>
        <w:t xml:space="preserve"> </w:t>
      </w:r>
      <w:r>
        <w:rPr>
          <w:color w:val="333333"/>
          <w:sz w:val="21"/>
        </w:rPr>
        <w:t>25</w:t>
      </w:r>
      <w:r>
        <w:rPr>
          <w:color w:val="333333"/>
          <w:spacing w:val="-2"/>
          <w:sz w:val="21"/>
        </w:rPr>
        <w:t>%</w:t>
      </w:r>
      <w:r>
        <w:rPr>
          <w:color w:val="333333"/>
          <w:spacing w:val="-2"/>
          <w:sz w:val="21"/>
        </w:rPr>
        <w:t>。</w:t>
      </w:r>
      <w:r>
        <w:rPr>
          <w:color w:val="333333"/>
          <w:sz w:val="21"/>
        </w:rPr>
        <w:t xml:space="preserve"> </w:t>
      </w:r>
    </w:p>
    <w:p w14:paraId="3A0E688D" w14:textId="77777777" w:rsidR="00A71EEF" w:rsidRDefault="00A71EEF">
      <w:pPr>
        <w:pStyle w:val="a3"/>
        <w:spacing w:before="12"/>
        <w:rPr>
          <w:sz w:val="17"/>
        </w:rPr>
      </w:pPr>
    </w:p>
    <w:p w14:paraId="55CDBCC4" w14:textId="77777777" w:rsidR="00A71EEF" w:rsidRDefault="0081115D">
      <w:pPr>
        <w:pStyle w:val="a4"/>
        <w:numPr>
          <w:ilvl w:val="0"/>
          <w:numId w:val="716"/>
        </w:numPr>
        <w:tabs>
          <w:tab w:val="left" w:pos="1051"/>
        </w:tabs>
        <w:spacing w:line="446" w:lineRule="auto"/>
        <w:ind w:right="1609" w:firstLine="419"/>
        <w:rPr>
          <w:sz w:val="21"/>
        </w:rPr>
      </w:pPr>
      <w:r>
        <w:rPr>
          <w:color w:val="333333"/>
          <w:spacing w:val="-3"/>
          <w:sz w:val="21"/>
        </w:rPr>
        <w:t>跃廊式住宅的户门至最近安全出口的距离，应从户门算起，小楼梯的一段距离可按其水</w:t>
      </w:r>
      <w:r>
        <w:rPr>
          <w:color w:val="333333"/>
          <w:spacing w:val="-11"/>
          <w:sz w:val="21"/>
        </w:rPr>
        <w:t>平投影长度的</w:t>
      </w:r>
      <w:r>
        <w:rPr>
          <w:color w:val="333333"/>
          <w:spacing w:val="-11"/>
          <w:sz w:val="21"/>
        </w:rPr>
        <w:t xml:space="preserve"> </w:t>
      </w:r>
      <w:r>
        <w:rPr>
          <w:color w:val="333333"/>
          <w:sz w:val="21"/>
        </w:rPr>
        <w:t>1.50</w:t>
      </w:r>
      <w:r>
        <w:rPr>
          <w:color w:val="333333"/>
          <w:spacing w:val="-3"/>
          <w:sz w:val="21"/>
        </w:rPr>
        <w:t xml:space="preserve"> </w:t>
      </w:r>
      <w:r>
        <w:rPr>
          <w:color w:val="333333"/>
          <w:spacing w:val="-3"/>
          <w:sz w:val="21"/>
        </w:rPr>
        <w:t>倍计算。</w:t>
      </w:r>
      <w:r>
        <w:rPr>
          <w:color w:val="333333"/>
          <w:spacing w:val="-3"/>
          <w:sz w:val="21"/>
        </w:rPr>
        <w:t xml:space="preserve"> </w:t>
      </w:r>
    </w:p>
    <w:p w14:paraId="50CF9959" w14:textId="77777777" w:rsidR="00A71EEF" w:rsidRDefault="0081115D">
      <w:pPr>
        <w:pStyle w:val="a3"/>
        <w:spacing w:line="446" w:lineRule="auto"/>
        <w:ind w:left="418" w:right="1609" w:firstLine="419"/>
      </w:pPr>
      <w:r>
        <w:rPr>
          <w:color w:val="333333"/>
        </w:rPr>
        <w:t>楼梯间应在首层直通室外，或在首层采用扩大的封闭楼梯间或防烟楼梯间前室。层数不超过</w:t>
      </w:r>
      <w:r>
        <w:rPr>
          <w:color w:val="333333"/>
        </w:rPr>
        <w:t xml:space="preserve"> 4 </w:t>
      </w:r>
      <w:r>
        <w:rPr>
          <w:color w:val="333333"/>
        </w:rPr>
        <w:t>层时，可将直通室外的门设置在离楼梯间不大于</w:t>
      </w:r>
      <w:r>
        <w:rPr>
          <w:color w:val="333333"/>
        </w:rPr>
        <w:t xml:space="preserve"> 15m </w:t>
      </w:r>
      <w:r>
        <w:rPr>
          <w:color w:val="333333"/>
        </w:rPr>
        <w:t>处；</w:t>
      </w:r>
      <w:r>
        <w:rPr>
          <w:color w:val="333333"/>
        </w:rPr>
        <w:t xml:space="preserve"> </w:t>
      </w:r>
    </w:p>
    <w:p w14:paraId="473AC59F" w14:textId="77777777" w:rsidR="00A71EEF" w:rsidRDefault="0081115D">
      <w:pPr>
        <w:pStyle w:val="a3"/>
        <w:spacing w:line="446" w:lineRule="auto"/>
        <w:ind w:left="418" w:right="1391" w:firstLine="419"/>
      </w:pPr>
      <w:r>
        <w:rPr>
          <w:color w:val="333333"/>
        </w:rPr>
        <w:t>户内任一点至直通疏散走道的户门的直线距离不应大于表</w:t>
      </w:r>
      <w:r>
        <w:rPr>
          <w:color w:val="333333"/>
        </w:rPr>
        <w:t xml:space="preserve"> 5.5.29 </w:t>
      </w:r>
      <w:r>
        <w:rPr>
          <w:color w:val="333333"/>
        </w:rPr>
        <w:t>规定的袋形走道两侧或尽端的疏散门至最近安全出口的最大直线距离。</w:t>
      </w:r>
      <w:r>
        <w:rPr>
          <w:color w:val="333333"/>
        </w:rPr>
        <w:t xml:space="preserve"> </w:t>
      </w:r>
    </w:p>
    <w:p w14:paraId="34BC39E2" w14:textId="77777777" w:rsidR="00A71EEF" w:rsidRDefault="0081115D">
      <w:pPr>
        <w:pStyle w:val="a3"/>
        <w:ind w:left="838"/>
      </w:pPr>
      <w:r>
        <w:rPr>
          <w:color w:val="333333"/>
        </w:rPr>
        <w:t>注：跃层式住宅，户内楼梯的距离可按其</w:t>
      </w:r>
      <w:r>
        <w:rPr>
          <w:color w:val="333333"/>
        </w:rPr>
        <w:t>梯段水平投影长度的</w:t>
      </w:r>
      <w:r>
        <w:rPr>
          <w:color w:val="333333"/>
        </w:rPr>
        <w:t xml:space="preserve"> 1.50 </w:t>
      </w:r>
      <w:r>
        <w:rPr>
          <w:color w:val="333333"/>
        </w:rPr>
        <w:t>倍计算。</w:t>
      </w:r>
      <w:r>
        <w:rPr>
          <w:color w:val="333333"/>
        </w:rPr>
        <w:t xml:space="preserve"> </w:t>
      </w:r>
    </w:p>
    <w:p w14:paraId="340553C4" w14:textId="77777777" w:rsidR="00A71EEF" w:rsidRDefault="00A71EEF">
      <w:pPr>
        <w:pStyle w:val="a3"/>
        <w:spacing w:before="10"/>
        <w:rPr>
          <w:sz w:val="17"/>
        </w:rPr>
      </w:pPr>
    </w:p>
    <w:p w14:paraId="4B6B56AD" w14:textId="77777777" w:rsidR="00A71EEF" w:rsidRDefault="0081115D">
      <w:pPr>
        <w:pStyle w:val="a4"/>
        <w:numPr>
          <w:ilvl w:val="2"/>
          <w:numId w:val="717"/>
        </w:numPr>
        <w:tabs>
          <w:tab w:val="left" w:pos="1478"/>
        </w:tabs>
        <w:spacing w:line="446" w:lineRule="auto"/>
        <w:ind w:right="1450" w:firstLine="422"/>
        <w:jc w:val="both"/>
        <w:rPr>
          <w:sz w:val="21"/>
        </w:rPr>
      </w:pPr>
      <w:r>
        <w:rPr>
          <w:color w:val="333333"/>
          <w:spacing w:val="-3"/>
          <w:sz w:val="21"/>
        </w:rPr>
        <w:t>住宅建筑的户门、安全出口、疏散走道和疏散楼梯的各自总净宽度应经计算确定，</w:t>
      </w:r>
      <w:r>
        <w:rPr>
          <w:color w:val="333333"/>
          <w:spacing w:val="-3"/>
          <w:sz w:val="21"/>
        </w:rPr>
        <w:t xml:space="preserve"> </w:t>
      </w:r>
      <w:r>
        <w:rPr>
          <w:color w:val="333333"/>
          <w:spacing w:val="-5"/>
          <w:sz w:val="21"/>
        </w:rPr>
        <w:t>且户门和安全出口的净宽度不应小于</w:t>
      </w:r>
      <w:r>
        <w:rPr>
          <w:color w:val="333333"/>
          <w:spacing w:val="-5"/>
          <w:sz w:val="21"/>
        </w:rPr>
        <w:t xml:space="preserve"> </w:t>
      </w:r>
      <w:r>
        <w:rPr>
          <w:color w:val="333333"/>
          <w:sz w:val="21"/>
        </w:rPr>
        <w:t>0.90m</w:t>
      </w:r>
      <w:r>
        <w:rPr>
          <w:color w:val="333333"/>
          <w:spacing w:val="-3"/>
          <w:sz w:val="21"/>
        </w:rPr>
        <w:t>，疏散走道、疏散楼梯和首层疏散外门的净宽度不应</w:t>
      </w:r>
      <w:r>
        <w:rPr>
          <w:color w:val="333333"/>
          <w:spacing w:val="-19"/>
          <w:sz w:val="21"/>
        </w:rPr>
        <w:t>小于</w:t>
      </w:r>
      <w:r>
        <w:rPr>
          <w:color w:val="333333"/>
          <w:spacing w:val="-19"/>
          <w:sz w:val="21"/>
        </w:rPr>
        <w:t xml:space="preserve"> </w:t>
      </w:r>
      <w:r>
        <w:rPr>
          <w:color w:val="333333"/>
          <w:sz w:val="21"/>
        </w:rPr>
        <w:t>1.10m</w:t>
      </w:r>
      <w:r>
        <w:rPr>
          <w:color w:val="333333"/>
          <w:spacing w:val="-9"/>
          <w:sz w:val="21"/>
        </w:rPr>
        <w:t>。建筑高度不大于</w:t>
      </w:r>
      <w:r>
        <w:rPr>
          <w:color w:val="333333"/>
          <w:spacing w:val="-9"/>
          <w:sz w:val="21"/>
        </w:rPr>
        <w:t xml:space="preserve"> </w:t>
      </w:r>
      <w:r>
        <w:rPr>
          <w:color w:val="333333"/>
          <w:sz w:val="21"/>
        </w:rPr>
        <w:t>18m</w:t>
      </w:r>
      <w:r>
        <w:rPr>
          <w:color w:val="333333"/>
          <w:spacing w:val="-3"/>
          <w:sz w:val="21"/>
        </w:rPr>
        <w:t xml:space="preserve"> </w:t>
      </w:r>
      <w:r>
        <w:rPr>
          <w:color w:val="333333"/>
          <w:spacing w:val="-3"/>
          <w:sz w:val="21"/>
        </w:rPr>
        <w:t>的住宅中一边设置栏杆的疏散楼梯，其净宽度不应小于</w:t>
      </w:r>
    </w:p>
    <w:p w14:paraId="6FE907D5" w14:textId="77777777" w:rsidR="00A71EEF" w:rsidRDefault="0081115D">
      <w:pPr>
        <w:pStyle w:val="a3"/>
        <w:spacing w:line="268" w:lineRule="exact"/>
        <w:ind w:left="418"/>
      </w:pPr>
      <w:r>
        <w:rPr>
          <w:color w:val="333333"/>
        </w:rPr>
        <w:t>1.0m</w:t>
      </w:r>
      <w:r>
        <w:rPr>
          <w:color w:val="333333"/>
        </w:rPr>
        <w:t>。</w:t>
      </w:r>
      <w:r>
        <w:rPr>
          <w:color w:val="333333"/>
        </w:rPr>
        <w:t xml:space="preserve"> </w:t>
      </w:r>
    </w:p>
    <w:p w14:paraId="59DE602D" w14:textId="77777777" w:rsidR="00A71EEF" w:rsidRDefault="00A71EEF">
      <w:pPr>
        <w:pStyle w:val="a3"/>
        <w:spacing w:before="2"/>
        <w:rPr>
          <w:sz w:val="18"/>
        </w:rPr>
      </w:pPr>
    </w:p>
    <w:p w14:paraId="431C8A78" w14:textId="77777777" w:rsidR="00A71EEF" w:rsidRDefault="0081115D">
      <w:pPr>
        <w:pStyle w:val="a4"/>
        <w:numPr>
          <w:ilvl w:val="2"/>
          <w:numId w:val="717"/>
        </w:numPr>
        <w:tabs>
          <w:tab w:val="left" w:pos="1478"/>
        </w:tabs>
        <w:ind w:left="1477" w:hanging="638"/>
        <w:rPr>
          <w:sz w:val="21"/>
        </w:rPr>
      </w:pPr>
      <w:r>
        <w:rPr>
          <w:color w:val="333333"/>
          <w:spacing w:val="-10"/>
          <w:sz w:val="21"/>
        </w:rPr>
        <w:t>建筑高度大于</w:t>
      </w:r>
      <w:r>
        <w:rPr>
          <w:color w:val="333333"/>
          <w:spacing w:val="-10"/>
          <w:sz w:val="21"/>
        </w:rPr>
        <w:t xml:space="preserve"> </w:t>
      </w:r>
      <w:r>
        <w:rPr>
          <w:color w:val="333333"/>
          <w:sz w:val="21"/>
        </w:rPr>
        <w:t>100m</w:t>
      </w:r>
      <w:r>
        <w:rPr>
          <w:color w:val="333333"/>
          <w:spacing w:val="-3"/>
          <w:sz w:val="21"/>
        </w:rPr>
        <w:t xml:space="preserve"> </w:t>
      </w:r>
      <w:r>
        <w:rPr>
          <w:color w:val="333333"/>
          <w:spacing w:val="-3"/>
          <w:sz w:val="21"/>
        </w:rPr>
        <w:t>的住宅建筑应设置避难层，避难层的设置应符合本规范第</w:t>
      </w:r>
    </w:p>
    <w:p w14:paraId="38F8FB8E" w14:textId="77777777" w:rsidR="00A71EEF" w:rsidRDefault="00A71EEF">
      <w:pPr>
        <w:pStyle w:val="a3"/>
        <w:spacing w:before="12"/>
        <w:rPr>
          <w:sz w:val="17"/>
        </w:rPr>
      </w:pPr>
    </w:p>
    <w:p w14:paraId="42D747E2" w14:textId="77777777" w:rsidR="00A71EEF" w:rsidRDefault="0081115D">
      <w:pPr>
        <w:pStyle w:val="a3"/>
        <w:ind w:left="418"/>
      </w:pPr>
      <w:r>
        <w:rPr>
          <w:color w:val="333333"/>
        </w:rPr>
        <w:t xml:space="preserve">5.5.23 </w:t>
      </w:r>
      <w:r>
        <w:rPr>
          <w:color w:val="333333"/>
        </w:rPr>
        <w:t>条有关避难层的要求。</w:t>
      </w:r>
      <w:r>
        <w:rPr>
          <w:color w:val="333333"/>
        </w:rPr>
        <w:t xml:space="preserve"> </w:t>
      </w:r>
    </w:p>
    <w:p w14:paraId="57ED8603" w14:textId="77777777" w:rsidR="00A71EEF" w:rsidRDefault="00A71EEF">
      <w:pPr>
        <w:pStyle w:val="a3"/>
        <w:rPr>
          <w:sz w:val="18"/>
        </w:rPr>
      </w:pPr>
    </w:p>
    <w:p w14:paraId="4E3B03EB" w14:textId="77777777" w:rsidR="00A71EEF" w:rsidRDefault="0081115D">
      <w:pPr>
        <w:pStyle w:val="a3"/>
        <w:spacing w:line="448" w:lineRule="auto"/>
        <w:ind w:left="838" w:right="2866" w:firstLine="2"/>
      </w:pPr>
      <w:r>
        <w:rPr>
          <w:b/>
          <w:color w:val="333333"/>
        </w:rPr>
        <w:t>5.5.32</w:t>
      </w:r>
      <w:r>
        <w:rPr>
          <w:b/>
          <w:color w:val="333333"/>
          <w:spacing w:val="9"/>
        </w:rPr>
        <w:t xml:space="preserve"> </w:t>
      </w:r>
      <w:r>
        <w:rPr>
          <w:color w:val="333333"/>
          <w:spacing w:val="-10"/>
        </w:rPr>
        <w:t>建筑高度大于</w:t>
      </w:r>
      <w:r>
        <w:rPr>
          <w:color w:val="333333"/>
          <w:spacing w:val="-10"/>
        </w:rPr>
        <w:t xml:space="preserve"> </w:t>
      </w:r>
      <w:r>
        <w:rPr>
          <w:color w:val="333333"/>
        </w:rPr>
        <w:t>54m</w:t>
      </w:r>
      <w:r>
        <w:rPr>
          <w:color w:val="333333"/>
          <w:spacing w:val="-9"/>
        </w:rPr>
        <w:t xml:space="preserve"> </w:t>
      </w:r>
      <w:r>
        <w:rPr>
          <w:color w:val="333333"/>
          <w:spacing w:val="-9"/>
        </w:rPr>
        <w:t>的住宅建筑，每户应有一间房间符合下列规定：</w:t>
      </w:r>
      <w:r>
        <w:rPr>
          <w:color w:val="333333"/>
          <w:spacing w:val="-9"/>
        </w:rPr>
        <w:t xml:space="preserve"> </w:t>
      </w:r>
      <w:r>
        <w:rPr>
          <w:color w:val="333333"/>
          <w:spacing w:val="-3"/>
        </w:rPr>
        <w:t>应靠外墙设置，并应设置可开启外窗；</w:t>
      </w:r>
      <w:r>
        <w:rPr>
          <w:color w:val="333333"/>
        </w:rPr>
        <w:t xml:space="preserve"> </w:t>
      </w:r>
    </w:p>
    <w:p w14:paraId="49123E9D" w14:textId="77777777" w:rsidR="00A71EEF" w:rsidRDefault="0081115D">
      <w:pPr>
        <w:pStyle w:val="a3"/>
        <w:spacing w:line="446" w:lineRule="auto"/>
        <w:ind w:left="418" w:right="1391" w:firstLine="419"/>
      </w:pPr>
      <w:r>
        <w:rPr>
          <w:color w:val="333333"/>
        </w:rPr>
        <w:t>内、外墙体的耐火极限不应低于</w:t>
      </w:r>
      <w:r>
        <w:rPr>
          <w:color w:val="333333"/>
        </w:rPr>
        <w:t xml:space="preserve"> 1.00h</w:t>
      </w:r>
      <w:r>
        <w:rPr>
          <w:color w:val="333333"/>
        </w:rPr>
        <w:t>，该房间的门宜采用乙级防火门，外窗的耐火完整性不宜低于</w:t>
      </w:r>
      <w:r>
        <w:rPr>
          <w:color w:val="333333"/>
        </w:rPr>
        <w:t xml:space="preserve"> 1.00h</w:t>
      </w:r>
      <w:r>
        <w:rPr>
          <w:color w:val="333333"/>
        </w:rPr>
        <w:t>。</w:t>
      </w:r>
      <w:r>
        <w:rPr>
          <w:color w:val="333333"/>
        </w:rPr>
        <w:t xml:space="preserve"> </w:t>
      </w:r>
    </w:p>
    <w:p w14:paraId="5BF8EA9F" w14:textId="77777777" w:rsidR="00A71EEF" w:rsidRDefault="00A71EEF">
      <w:pPr>
        <w:spacing w:line="446" w:lineRule="auto"/>
        <w:sectPr w:rsidR="00A71EEF">
          <w:pgSz w:w="11910" w:h="16850"/>
          <w:pgMar w:top="1220" w:right="0" w:bottom="1420" w:left="1260" w:header="0" w:footer="1239" w:gutter="0"/>
          <w:cols w:space="720"/>
        </w:sectPr>
      </w:pPr>
    </w:p>
    <w:p w14:paraId="774DAA94" w14:textId="77777777" w:rsidR="00A71EEF" w:rsidRDefault="0081115D">
      <w:pPr>
        <w:pStyle w:val="4"/>
        <w:spacing w:before="37"/>
      </w:pPr>
      <w:r>
        <w:lastRenderedPageBreak/>
        <w:t xml:space="preserve">6 </w:t>
      </w:r>
      <w:r>
        <w:t>建筑构造</w:t>
      </w:r>
      <w:r>
        <w:rPr>
          <w:w w:val="99"/>
        </w:rPr>
        <w:t xml:space="preserve"> </w:t>
      </w:r>
    </w:p>
    <w:p w14:paraId="7995E147" w14:textId="77777777" w:rsidR="00A71EEF" w:rsidRDefault="00A71EEF">
      <w:pPr>
        <w:pStyle w:val="a3"/>
        <w:spacing w:before="4"/>
        <w:rPr>
          <w:b/>
          <w:sz w:val="17"/>
        </w:rPr>
      </w:pPr>
    </w:p>
    <w:p w14:paraId="05F06831" w14:textId="77777777" w:rsidR="00A71EEF" w:rsidRDefault="0081115D">
      <w:pPr>
        <w:pStyle w:val="a4"/>
        <w:numPr>
          <w:ilvl w:val="1"/>
          <w:numId w:val="715"/>
        </w:numPr>
        <w:tabs>
          <w:tab w:val="left" w:pos="1213"/>
        </w:tabs>
        <w:spacing w:before="1"/>
        <w:ind w:hanging="373"/>
        <w:rPr>
          <w:b/>
          <w:sz w:val="21"/>
        </w:rPr>
      </w:pPr>
      <w:r>
        <w:rPr>
          <w:spacing w:val="-3"/>
          <w:sz w:val="21"/>
        </w:rPr>
        <w:t>防火墙</w:t>
      </w:r>
      <w:r>
        <w:rPr>
          <w:b/>
          <w:w w:val="99"/>
          <w:sz w:val="21"/>
        </w:rPr>
        <w:t xml:space="preserve"> </w:t>
      </w:r>
    </w:p>
    <w:p w14:paraId="72D9DBF7" w14:textId="77777777" w:rsidR="00A71EEF" w:rsidRDefault="00A71EEF">
      <w:pPr>
        <w:pStyle w:val="a3"/>
        <w:spacing w:before="12"/>
        <w:rPr>
          <w:b/>
          <w:sz w:val="17"/>
        </w:rPr>
      </w:pPr>
    </w:p>
    <w:p w14:paraId="2AD88D77" w14:textId="77777777" w:rsidR="00A71EEF" w:rsidRDefault="0081115D">
      <w:pPr>
        <w:pStyle w:val="a4"/>
        <w:numPr>
          <w:ilvl w:val="2"/>
          <w:numId w:val="715"/>
        </w:numPr>
        <w:tabs>
          <w:tab w:val="left" w:pos="1371"/>
        </w:tabs>
        <w:spacing w:line="446" w:lineRule="auto"/>
        <w:ind w:right="1604" w:firstLine="422"/>
        <w:rPr>
          <w:sz w:val="21"/>
        </w:rPr>
      </w:pPr>
      <w:r>
        <w:rPr>
          <w:color w:val="333333"/>
          <w:spacing w:val="-3"/>
          <w:sz w:val="21"/>
        </w:rPr>
        <w:t>防火墙应直接设置在建筑的基础或框架、梁等承重结构上，框架、梁等承重结构的耐火极限不应低于防火墙的耐火极限。</w:t>
      </w:r>
      <w:r>
        <w:rPr>
          <w:color w:val="333333"/>
          <w:sz w:val="21"/>
        </w:rPr>
        <w:t xml:space="preserve"> </w:t>
      </w:r>
    </w:p>
    <w:p w14:paraId="50B7D616" w14:textId="77777777" w:rsidR="00A71EEF" w:rsidRDefault="0081115D">
      <w:pPr>
        <w:pStyle w:val="a3"/>
        <w:spacing w:line="446" w:lineRule="auto"/>
        <w:ind w:left="418" w:right="1503" w:firstLine="419"/>
      </w:pPr>
      <w:r>
        <w:rPr>
          <w:color w:val="333333"/>
          <w:spacing w:val="-3"/>
        </w:rPr>
        <w:t>防火墙应从楼地面基层隔断至梁、楼板或屋面板的底面基层。当高层厂房（</w:t>
      </w:r>
      <w:r>
        <w:rPr>
          <w:color w:val="333333"/>
        </w:rPr>
        <w:t>仓库</w:t>
      </w:r>
      <w:r>
        <w:rPr>
          <w:color w:val="333333"/>
          <w:spacing w:val="-3"/>
        </w:rPr>
        <w:t>）</w:t>
      </w:r>
      <w:r>
        <w:rPr>
          <w:color w:val="333333"/>
          <w:spacing w:val="-2"/>
        </w:rPr>
        <w:t>屋顶承</w:t>
      </w:r>
      <w:r>
        <w:rPr>
          <w:color w:val="333333"/>
          <w:spacing w:val="-6"/>
        </w:rPr>
        <w:t>重结构和屋面板的耐火极限低于</w:t>
      </w:r>
      <w:r>
        <w:rPr>
          <w:color w:val="333333"/>
          <w:spacing w:val="-6"/>
        </w:rPr>
        <w:t xml:space="preserve"> </w:t>
      </w:r>
      <w:r>
        <w:rPr>
          <w:color w:val="333333"/>
        </w:rPr>
        <w:t>1.00h</w:t>
      </w:r>
      <w:r>
        <w:rPr>
          <w:color w:val="333333"/>
          <w:spacing w:val="-5"/>
        </w:rPr>
        <w:t>，其他建筑屋顶承重结构</w:t>
      </w:r>
      <w:r>
        <w:rPr>
          <w:color w:val="333333"/>
          <w:spacing w:val="-5"/>
        </w:rPr>
        <w:t>和屋面板的耐火极限低于</w:t>
      </w:r>
      <w:r>
        <w:rPr>
          <w:color w:val="333333"/>
          <w:spacing w:val="-5"/>
        </w:rPr>
        <w:t xml:space="preserve"> </w:t>
      </w:r>
      <w:r>
        <w:rPr>
          <w:color w:val="333333"/>
        </w:rPr>
        <w:t xml:space="preserve">0.50h </w:t>
      </w:r>
      <w:r>
        <w:rPr>
          <w:color w:val="333333"/>
          <w:spacing w:val="-8"/>
        </w:rPr>
        <w:t>时，防火墙应高出屋面</w:t>
      </w:r>
      <w:r>
        <w:rPr>
          <w:color w:val="333333"/>
          <w:spacing w:val="-8"/>
        </w:rPr>
        <w:t xml:space="preserve"> </w:t>
      </w:r>
      <w:r>
        <w:rPr>
          <w:color w:val="333333"/>
        </w:rPr>
        <w:t>0.5m</w:t>
      </w:r>
      <w:r>
        <w:rPr>
          <w:color w:val="333333"/>
          <w:spacing w:val="-15"/>
        </w:rPr>
        <w:t xml:space="preserve"> </w:t>
      </w:r>
      <w:r>
        <w:rPr>
          <w:color w:val="333333"/>
          <w:spacing w:val="-15"/>
        </w:rPr>
        <w:t>以上。</w:t>
      </w:r>
      <w:r>
        <w:rPr>
          <w:color w:val="333333"/>
        </w:rPr>
        <w:t xml:space="preserve"> </w:t>
      </w:r>
    </w:p>
    <w:p w14:paraId="379CEB40" w14:textId="77777777" w:rsidR="00A71EEF" w:rsidRDefault="0081115D">
      <w:pPr>
        <w:pStyle w:val="a4"/>
        <w:numPr>
          <w:ilvl w:val="2"/>
          <w:numId w:val="715"/>
        </w:numPr>
        <w:tabs>
          <w:tab w:val="left" w:pos="1371"/>
        </w:tabs>
        <w:spacing w:line="446" w:lineRule="auto"/>
        <w:ind w:right="1553" w:firstLine="422"/>
        <w:rPr>
          <w:sz w:val="21"/>
        </w:rPr>
      </w:pPr>
      <w:r>
        <w:rPr>
          <w:color w:val="333333"/>
          <w:spacing w:val="-6"/>
          <w:sz w:val="21"/>
        </w:rPr>
        <w:t>防火墙横截面中心线水平距离天窗端面小于</w:t>
      </w:r>
      <w:r>
        <w:rPr>
          <w:color w:val="333333"/>
          <w:spacing w:val="-6"/>
          <w:sz w:val="21"/>
        </w:rPr>
        <w:t xml:space="preserve"> </w:t>
      </w:r>
      <w:r>
        <w:rPr>
          <w:color w:val="333333"/>
          <w:sz w:val="21"/>
        </w:rPr>
        <w:t>4.0m</w:t>
      </w:r>
      <w:r>
        <w:rPr>
          <w:color w:val="333333"/>
          <w:spacing w:val="-3"/>
          <w:sz w:val="21"/>
        </w:rPr>
        <w:t>，且天窗端面为可燃性墙体时，应采取防止火势蔓延的措施。</w:t>
      </w:r>
      <w:r>
        <w:rPr>
          <w:color w:val="333333"/>
          <w:spacing w:val="-3"/>
          <w:sz w:val="21"/>
        </w:rPr>
        <w:t xml:space="preserve"> </w:t>
      </w:r>
    </w:p>
    <w:p w14:paraId="19F9C740" w14:textId="77777777" w:rsidR="00A71EEF" w:rsidRDefault="0081115D">
      <w:pPr>
        <w:pStyle w:val="a4"/>
        <w:numPr>
          <w:ilvl w:val="2"/>
          <w:numId w:val="715"/>
        </w:numPr>
        <w:tabs>
          <w:tab w:val="left" w:pos="1370"/>
        </w:tabs>
        <w:spacing w:line="446" w:lineRule="auto"/>
        <w:ind w:right="1445" w:firstLine="422"/>
        <w:rPr>
          <w:sz w:val="21"/>
        </w:rPr>
      </w:pPr>
      <w:r>
        <w:rPr>
          <w:color w:val="333333"/>
          <w:spacing w:val="-5"/>
          <w:sz w:val="21"/>
        </w:rPr>
        <w:t>建筑外墙为难燃性或可燃性墙体时，防火墙应凸出墙的外表面</w:t>
      </w:r>
      <w:r>
        <w:rPr>
          <w:color w:val="333333"/>
          <w:spacing w:val="-5"/>
          <w:sz w:val="21"/>
        </w:rPr>
        <w:t xml:space="preserve"> </w:t>
      </w:r>
      <w:r>
        <w:rPr>
          <w:color w:val="333333"/>
          <w:sz w:val="21"/>
        </w:rPr>
        <w:t xml:space="preserve">0.4m </w:t>
      </w:r>
      <w:r>
        <w:rPr>
          <w:color w:val="333333"/>
          <w:sz w:val="21"/>
        </w:rPr>
        <w:t>以上，且防火墙</w:t>
      </w:r>
      <w:r>
        <w:rPr>
          <w:color w:val="333333"/>
          <w:spacing w:val="-6"/>
          <w:sz w:val="21"/>
        </w:rPr>
        <w:t>两侧的外墙均应为宽度均不小于</w:t>
      </w:r>
      <w:r>
        <w:rPr>
          <w:color w:val="333333"/>
          <w:spacing w:val="-6"/>
          <w:sz w:val="21"/>
        </w:rPr>
        <w:t xml:space="preserve"> </w:t>
      </w:r>
      <w:r>
        <w:rPr>
          <w:color w:val="333333"/>
          <w:sz w:val="21"/>
        </w:rPr>
        <w:t>2.0m</w:t>
      </w:r>
      <w:r>
        <w:rPr>
          <w:color w:val="333333"/>
          <w:spacing w:val="-3"/>
          <w:sz w:val="21"/>
        </w:rPr>
        <w:t xml:space="preserve"> </w:t>
      </w:r>
      <w:r>
        <w:rPr>
          <w:color w:val="333333"/>
          <w:spacing w:val="-3"/>
          <w:sz w:val="21"/>
        </w:rPr>
        <w:t>的不燃性墙体，其耐火极限不应低于外墙的耐火极限。</w:t>
      </w:r>
      <w:r>
        <w:rPr>
          <w:color w:val="333333"/>
          <w:sz w:val="21"/>
        </w:rPr>
        <w:t xml:space="preserve"> </w:t>
      </w:r>
    </w:p>
    <w:p w14:paraId="1E5DA34A" w14:textId="77777777" w:rsidR="00A71EEF" w:rsidRDefault="0081115D">
      <w:pPr>
        <w:pStyle w:val="a3"/>
        <w:spacing w:line="446" w:lineRule="auto"/>
        <w:ind w:left="418" w:right="1558" w:firstLine="419"/>
        <w:jc w:val="both"/>
      </w:pPr>
      <w:r>
        <w:rPr>
          <w:color w:val="333333"/>
          <w:spacing w:val="-3"/>
        </w:rPr>
        <w:t>建筑外墙为不燃性墙体时，防火墙可不凸出墙的外表面，紧靠防火墙两侧的门、窗、洞口</w:t>
      </w:r>
      <w:r>
        <w:rPr>
          <w:color w:val="333333"/>
          <w:spacing w:val="-5"/>
        </w:rPr>
        <w:t>之间最近边缘的水平距离不应小于</w:t>
      </w:r>
      <w:r>
        <w:rPr>
          <w:color w:val="333333"/>
          <w:spacing w:val="-5"/>
        </w:rPr>
        <w:t xml:space="preserve"> </w:t>
      </w:r>
      <w:r>
        <w:rPr>
          <w:color w:val="333333"/>
        </w:rPr>
        <w:t>2.0m</w:t>
      </w:r>
      <w:r>
        <w:rPr>
          <w:color w:val="333333"/>
          <w:spacing w:val="-3"/>
        </w:rPr>
        <w:t>；采取设置乙级防火窗等防止火灾水平蔓延的措施时，</w:t>
      </w:r>
      <w:r>
        <w:rPr>
          <w:color w:val="333333"/>
          <w:spacing w:val="-3"/>
        </w:rPr>
        <w:t xml:space="preserve"> </w:t>
      </w:r>
      <w:r>
        <w:rPr>
          <w:color w:val="333333"/>
          <w:spacing w:val="-3"/>
        </w:rPr>
        <w:t>该距离不限。</w:t>
      </w:r>
      <w:r>
        <w:rPr>
          <w:color w:val="333333"/>
        </w:rPr>
        <w:t xml:space="preserve"> </w:t>
      </w:r>
    </w:p>
    <w:p w14:paraId="094E1AD6" w14:textId="77777777" w:rsidR="00A71EEF" w:rsidRDefault="0081115D">
      <w:pPr>
        <w:pStyle w:val="a4"/>
        <w:numPr>
          <w:ilvl w:val="2"/>
          <w:numId w:val="715"/>
        </w:numPr>
        <w:tabs>
          <w:tab w:val="left" w:pos="1370"/>
        </w:tabs>
        <w:spacing w:line="446" w:lineRule="auto"/>
        <w:ind w:right="1558" w:firstLine="422"/>
        <w:jc w:val="both"/>
        <w:rPr>
          <w:sz w:val="21"/>
        </w:rPr>
      </w:pPr>
      <w:r>
        <w:rPr>
          <w:color w:val="333333"/>
          <w:spacing w:val="-3"/>
          <w:sz w:val="21"/>
        </w:rPr>
        <w:t>建筑内的防火墙不宜设置在转角处，确需设置时，内转角两侧墙上的门、窗、洞口</w:t>
      </w:r>
      <w:r>
        <w:rPr>
          <w:color w:val="333333"/>
          <w:spacing w:val="-3"/>
          <w:sz w:val="21"/>
        </w:rPr>
        <w:t xml:space="preserve"> </w:t>
      </w:r>
      <w:r>
        <w:rPr>
          <w:color w:val="333333"/>
          <w:spacing w:val="-5"/>
          <w:sz w:val="21"/>
        </w:rPr>
        <w:t>之间最近边缘的水平距离不应小于</w:t>
      </w:r>
      <w:r>
        <w:rPr>
          <w:color w:val="333333"/>
          <w:spacing w:val="-5"/>
          <w:sz w:val="21"/>
        </w:rPr>
        <w:t xml:space="preserve"> </w:t>
      </w:r>
      <w:r>
        <w:rPr>
          <w:color w:val="333333"/>
          <w:sz w:val="21"/>
        </w:rPr>
        <w:t>4.0m</w:t>
      </w:r>
      <w:r>
        <w:rPr>
          <w:color w:val="333333"/>
          <w:spacing w:val="-3"/>
          <w:sz w:val="21"/>
        </w:rPr>
        <w:t>；采取设置乙级防火窗等防止火灾水平蔓延的措施时，</w:t>
      </w:r>
      <w:r>
        <w:rPr>
          <w:color w:val="333333"/>
          <w:spacing w:val="-3"/>
          <w:sz w:val="21"/>
        </w:rPr>
        <w:t xml:space="preserve"> </w:t>
      </w:r>
      <w:r>
        <w:rPr>
          <w:color w:val="333333"/>
          <w:spacing w:val="-3"/>
          <w:sz w:val="21"/>
        </w:rPr>
        <w:t>该距离不限。</w:t>
      </w:r>
      <w:r>
        <w:rPr>
          <w:color w:val="333333"/>
          <w:sz w:val="21"/>
        </w:rPr>
        <w:t xml:space="preserve"> </w:t>
      </w:r>
    </w:p>
    <w:p w14:paraId="14684C20" w14:textId="77777777" w:rsidR="00A71EEF" w:rsidRDefault="0081115D">
      <w:pPr>
        <w:pStyle w:val="a4"/>
        <w:numPr>
          <w:ilvl w:val="2"/>
          <w:numId w:val="715"/>
        </w:numPr>
        <w:tabs>
          <w:tab w:val="left" w:pos="1370"/>
        </w:tabs>
        <w:spacing w:line="446" w:lineRule="auto"/>
        <w:ind w:right="1604" w:firstLine="422"/>
        <w:rPr>
          <w:sz w:val="21"/>
        </w:rPr>
      </w:pPr>
      <w:r>
        <w:rPr>
          <w:color w:val="333333"/>
          <w:spacing w:val="-3"/>
          <w:sz w:val="21"/>
        </w:rPr>
        <w:t>防火墙上不应开设门、窗、洞口，确需开设时，应设置不可开启或火灾时能自动关闭的甲级防火门、窗。</w:t>
      </w:r>
      <w:r>
        <w:rPr>
          <w:color w:val="333333"/>
          <w:sz w:val="21"/>
        </w:rPr>
        <w:t xml:space="preserve"> </w:t>
      </w:r>
    </w:p>
    <w:p w14:paraId="003D2CF0" w14:textId="77777777" w:rsidR="00A71EEF" w:rsidRDefault="0081115D">
      <w:pPr>
        <w:pStyle w:val="a3"/>
        <w:spacing w:line="446" w:lineRule="auto"/>
        <w:ind w:left="840" w:right="1551" w:hanging="3"/>
      </w:pPr>
      <w:r>
        <w:rPr>
          <w:color w:val="333333"/>
          <w:spacing w:val="-3"/>
        </w:rPr>
        <w:t>可燃气体和甲、乙、丙类液体的管道严禁穿过防火墙。防火墙内不应设置排气道。</w:t>
      </w:r>
      <w:r>
        <w:rPr>
          <w:color w:val="333333"/>
          <w:spacing w:val="-3"/>
        </w:rPr>
        <w:t xml:space="preserve">   </w:t>
      </w:r>
      <w:r>
        <w:rPr>
          <w:b/>
          <w:color w:val="333333"/>
          <w:spacing w:val="-3"/>
        </w:rPr>
        <w:t>6.1.6</w:t>
      </w:r>
      <w:r>
        <w:rPr>
          <w:b/>
          <w:color w:val="333333"/>
          <w:spacing w:val="15"/>
        </w:rPr>
        <w:t xml:space="preserve"> </w:t>
      </w:r>
      <w:r>
        <w:rPr>
          <w:color w:val="333333"/>
          <w:spacing w:val="-10"/>
        </w:rPr>
        <w:t>除本规范第</w:t>
      </w:r>
      <w:r>
        <w:rPr>
          <w:color w:val="333333"/>
          <w:spacing w:val="-10"/>
        </w:rPr>
        <w:t xml:space="preserve"> </w:t>
      </w:r>
      <w:r>
        <w:rPr>
          <w:color w:val="333333"/>
        </w:rPr>
        <w:t>6.1.5</w:t>
      </w:r>
      <w:r>
        <w:rPr>
          <w:color w:val="333333"/>
          <w:spacing w:val="-3"/>
        </w:rPr>
        <w:t xml:space="preserve"> </w:t>
      </w:r>
      <w:r>
        <w:rPr>
          <w:color w:val="333333"/>
          <w:spacing w:val="-3"/>
        </w:rPr>
        <w:t>条规定外的其他管道不宜穿过防火墙，确需穿过时，应采用防火</w:t>
      </w:r>
    </w:p>
    <w:p w14:paraId="45F1A756" w14:textId="77777777" w:rsidR="00A71EEF" w:rsidRDefault="0081115D">
      <w:pPr>
        <w:pStyle w:val="a3"/>
        <w:spacing w:line="446" w:lineRule="auto"/>
        <w:ind w:left="418" w:right="1608"/>
      </w:pPr>
      <w:r>
        <w:rPr>
          <w:color w:val="333333"/>
        </w:rPr>
        <w:t>封堵材料将墙与管道之间的空隙紧密填实，穿过防火墙处的管道保温材料，应采用不燃材料；</w:t>
      </w:r>
      <w:r>
        <w:rPr>
          <w:color w:val="333333"/>
        </w:rPr>
        <w:t xml:space="preserve"> </w:t>
      </w:r>
      <w:r>
        <w:rPr>
          <w:color w:val="333333"/>
        </w:rPr>
        <w:t>当管道为难燃及可燃材料时，应在防火墙两侧的管道上采取防火措施。</w:t>
      </w:r>
      <w:r>
        <w:rPr>
          <w:color w:val="333333"/>
        </w:rPr>
        <w:t xml:space="preserve"> </w:t>
      </w:r>
    </w:p>
    <w:p w14:paraId="62AD7844" w14:textId="77777777" w:rsidR="00A71EEF" w:rsidRDefault="0081115D">
      <w:pPr>
        <w:pStyle w:val="a3"/>
        <w:spacing w:line="446" w:lineRule="auto"/>
        <w:ind w:left="418" w:right="1813" w:firstLine="422"/>
      </w:pPr>
      <w:r>
        <w:rPr>
          <w:b/>
          <w:color w:val="333333"/>
        </w:rPr>
        <w:t xml:space="preserve">6.1.7 </w:t>
      </w:r>
      <w:r>
        <w:rPr>
          <w:color w:val="333333"/>
        </w:rPr>
        <w:t>防火墙的构造应能在防火墙任意一侧的屋架、梁、楼板等受到火灾的影响而破坏时，不会导致防火墙倒塌。</w:t>
      </w:r>
      <w:r>
        <w:rPr>
          <w:color w:val="333333"/>
        </w:rPr>
        <w:t xml:space="preserve"> </w:t>
      </w:r>
    </w:p>
    <w:p w14:paraId="33EBB1C1" w14:textId="77777777" w:rsidR="00A71EEF" w:rsidRDefault="0081115D">
      <w:pPr>
        <w:pStyle w:val="a4"/>
        <w:numPr>
          <w:ilvl w:val="1"/>
          <w:numId w:val="715"/>
        </w:numPr>
        <w:tabs>
          <w:tab w:val="left" w:pos="1160"/>
        </w:tabs>
        <w:ind w:left="1159" w:hanging="320"/>
        <w:rPr>
          <w:b/>
          <w:sz w:val="21"/>
        </w:rPr>
      </w:pPr>
      <w:r>
        <w:rPr>
          <w:spacing w:val="-3"/>
          <w:sz w:val="21"/>
        </w:rPr>
        <w:t>建筑构件和管道井</w:t>
      </w:r>
      <w:r>
        <w:rPr>
          <w:b/>
          <w:w w:val="99"/>
          <w:sz w:val="21"/>
        </w:rPr>
        <w:t xml:space="preserve"> </w:t>
      </w:r>
    </w:p>
    <w:p w14:paraId="740F05E9" w14:textId="77777777" w:rsidR="00A71EEF" w:rsidRDefault="00A71EEF">
      <w:pPr>
        <w:pStyle w:val="a3"/>
        <w:spacing w:before="4"/>
        <w:rPr>
          <w:b/>
          <w:sz w:val="17"/>
        </w:rPr>
      </w:pPr>
    </w:p>
    <w:p w14:paraId="7F62C2D0" w14:textId="77777777" w:rsidR="00A71EEF" w:rsidRDefault="0081115D">
      <w:pPr>
        <w:pStyle w:val="a4"/>
        <w:numPr>
          <w:ilvl w:val="2"/>
          <w:numId w:val="715"/>
        </w:numPr>
        <w:tabs>
          <w:tab w:val="left" w:pos="1370"/>
        </w:tabs>
        <w:spacing w:before="1"/>
        <w:ind w:left="1369" w:hanging="530"/>
        <w:rPr>
          <w:sz w:val="21"/>
        </w:rPr>
      </w:pPr>
      <w:r>
        <w:rPr>
          <w:color w:val="333333"/>
          <w:spacing w:val="-5"/>
          <w:sz w:val="21"/>
        </w:rPr>
        <w:t>剧场等建筑的舞台与观众厅之间的隔墙应采用耐火极限不低于</w:t>
      </w:r>
      <w:r>
        <w:rPr>
          <w:color w:val="333333"/>
          <w:spacing w:val="-5"/>
          <w:sz w:val="21"/>
        </w:rPr>
        <w:t xml:space="preserve"> </w:t>
      </w:r>
      <w:r>
        <w:rPr>
          <w:color w:val="333333"/>
          <w:sz w:val="21"/>
        </w:rPr>
        <w:t>3.00h</w:t>
      </w:r>
      <w:r>
        <w:rPr>
          <w:color w:val="333333"/>
          <w:spacing w:val="-3"/>
          <w:sz w:val="21"/>
        </w:rPr>
        <w:t xml:space="preserve"> </w:t>
      </w:r>
      <w:r>
        <w:rPr>
          <w:color w:val="333333"/>
          <w:spacing w:val="-3"/>
          <w:sz w:val="21"/>
        </w:rPr>
        <w:t>的防火隔墙。</w:t>
      </w:r>
      <w:r>
        <w:rPr>
          <w:color w:val="333333"/>
          <w:sz w:val="21"/>
        </w:rPr>
        <w:t xml:space="preserve"> </w:t>
      </w:r>
    </w:p>
    <w:p w14:paraId="0AD8997B" w14:textId="77777777" w:rsidR="00A71EEF" w:rsidRDefault="00A71EEF">
      <w:pPr>
        <w:rPr>
          <w:sz w:val="21"/>
        </w:rPr>
        <w:sectPr w:rsidR="00A71EEF">
          <w:pgSz w:w="11910" w:h="16850"/>
          <w:pgMar w:top="1200" w:right="0" w:bottom="1420" w:left="1260" w:header="0" w:footer="1239" w:gutter="0"/>
          <w:cols w:space="720"/>
        </w:sectPr>
      </w:pPr>
    </w:p>
    <w:p w14:paraId="3284B729" w14:textId="77777777" w:rsidR="00A71EEF" w:rsidRDefault="0081115D">
      <w:pPr>
        <w:pStyle w:val="a3"/>
        <w:spacing w:before="47" w:line="446" w:lineRule="auto"/>
        <w:ind w:left="418" w:right="1558" w:firstLine="419"/>
        <w:jc w:val="both"/>
      </w:pPr>
      <w:r>
        <w:rPr>
          <w:color w:val="333333"/>
          <w:spacing w:val="-5"/>
        </w:rPr>
        <w:lastRenderedPageBreak/>
        <w:t>舞台上部与观众厅闷顶之间的隔墙可采用耐火极限不低于</w:t>
      </w:r>
      <w:r>
        <w:rPr>
          <w:color w:val="333333"/>
          <w:spacing w:val="-5"/>
        </w:rPr>
        <w:t xml:space="preserve"> </w:t>
      </w:r>
      <w:r>
        <w:rPr>
          <w:color w:val="333333"/>
        </w:rPr>
        <w:t>1.50h</w:t>
      </w:r>
      <w:r>
        <w:rPr>
          <w:color w:val="333333"/>
          <w:spacing w:val="-2"/>
        </w:rPr>
        <w:t xml:space="preserve"> </w:t>
      </w:r>
      <w:r>
        <w:rPr>
          <w:color w:val="333333"/>
          <w:spacing w:val="-2"/>
        </w:rPr>
        <w:t>的防火隔墙，隔墙上的门</w:t>
      </w:r>
      <w:r>
        <w:rPr>
          <w:color w:val="333333"/>
          <w:spacing w:val="-3"/>
        </w:rPr>
        <w:t>应采用乙级防火门。</w:t>
      </w:r>
      <w:r>
        <w:rPr>
          <w:color w:val="333333"/>
        </w:rPr>
        <w:t xml:space="preserve"> </w:t>
      </w:r>
    </w:p>
    <w:p w14:paraId="28737191" w14:textId="77777777" w:rsidR="00A71EEF" w:rsidRDefault="0081115D">
      <w:pPr>
        <w:pStyle w:val="a3"/>
        <w:spacing w:line="446" w:lineRule="auto"/>
        <w:ind w:left="418" w:right="1558" w:firstLine="419"/>
        <w:jc w:val="both"/>
      </w:pPr>
      <w:r>
        <w:rPr>
          <w:color w:val="333333"/>
          <w:spacing w:val="-5"/>
        </w:rPr>
        <w:t>舞台下部的灯光操作室和可燃物储藏室应采用耐火极限不低于</w:t>
      </w:r>
      <w:r>
        <w:rPr>
          <w:color w:val="333333"/>
          <w:spacing w:val="-5"/>
        </w:rPr>
        <w:t xml:space="preserve"> </w:t>
      </w:r>
      <w:r>
        <w:rPr>
          <w:color w:val="333333"/>
        </w:rPr>
        <w:t>2.00h</w:t>
      </w:r>
      <w:r>
        <w:rPr>
          <w:color w:val="333333"/>
          <w:spacing w:val="-1"/>
        </w:rPr>
        <w:t xml:space="preserve"> </w:t>
      </w:r>
      <w:r>
        <w:rPr>
          <w:color w:val="333333"/>
          <w:spacing w:val="-1"/>
        </w:rPr>
        <w:t>的防火隔墙与其他部</w:t>
      </w:r>
      <w:r>
        <w:rPr>
          <w:color w:val="333333"/>
          <w:spacing w:val="-3"/>
        </w:rPr>
        <w:t>位分隔。</w:t>
      </w:r>
      <w:r>
        <w:rPr>
          <w:color w:val="333333"/>
        </w:rPr>
        <w:t xml:space="preserve"> </w:t>
      </w:r>
    </w:p>
    <w:p w14:paraId="6FD8A110" w14:textId="77777777" w:rsidR="00A71EEF" w:rsidRDefault="0081115D">
      <w:pPr>
        <w:pStyle w:val="a3"/>
        <w:spacing w:line="446" w:lineRule="auto"/>
        <w:ind w:left="418" w:right="1558" w:firstLine="419"/>
        <w:jc w:val="both"/>
      </w:pPr>
      <w:r>
        <w:rPr>
          <w:color w:val="333333"/>
          <w:spacing w:val="-5"/>
        </w:rPr>
        <w:t>电影放映室、卷片室应采用耐火极限不低于</w:t>
      </w:r>
      <w:r>
        <w:rPr>
          <w:color w:val="333333"/>
          <w:spacing w:val="-5"/>
        </w:rPr>
        <w:t xml:space="preserve"> </w:t>
      </w:r>
      <w:r>
        <w:rPr>
          <w:color w:val="333333"/>
        </w:rPr>
        <w:t>1.50h</w:t>
      </w:r>
      <w:r>
        <w:rPr>
          <w:color w:val="333333"/>
          <w:spacing w:val="-3"/>
        </w:rPr>
        <w:t xml:space="preserve"> </w:t>
      </w:r>
      <w:r>
        <w:rPr>
          <w:color w:val="333333"/>
          <w:spacing w:val="-3"/>
        </w:rPr>
        <w:t>的防火隔墙与其他部位分隔，观察孔和放映孔应采取防火分隔措施。</w:t>
      </w:r>
      <w:r>
        <w:rPr>
          <w:color w:val="333333"/>
        </w:rPr>
        <w:t xml:space="preserve"> </w:t>
      </w:r>
    </w:p>
    <w:p w14:paraId="64A7D766" w14:textId="77777777" w:rsidR="00A71EEF" w:rsidRDefault="0081115D">
      <w:pPr>
        <w:pStyle w:val="a4"/>
        <w:numPr>
          <w:ilvl w:val="2"/>
          <w:numId w:val="715"/>
        </w:numPr>
        <w:tabs>
          <w:tab w:val="left" w:pos="1370"/>
        </w:tabs>
        <w:spacing w:line="446" w:lineRule="auto"/>
        <w:ind w:right="1604" w:firstLine="422"/>
        <w:jc w:val="both"/>
        <w:rPr>
          <w:sz w:val="21"/>
        </w:rPr>
      </w:pPr>
      <w:r>
        <w:rPr>
          <w:color w:val="333333"/>
          <w:spacing w:val="-3"/>
          <w:sz w:val="21"/>
        </w:rPr>
        <w:t>医疗建筑内的手术室或手术部、产房、重症监护室、贵重精密医疗装备用房、储藏间、实验室、胶片室等，附设在建筑内的托儿所、幼儿园的儿童用房和儿童游乐厅等儿童活动</w:t>
      </w:r>
      <w:r>
        <w:rPr>
          <w:color w:val="333333"/>
          <w:spacing w:val="-5"/>
          <w:sz w:val="21"/>
        </w:rPr>
        <w:t>场所、老年人照料设施，应采用耐火极限不低于</w:t>
      </w:r>
      <w:r>
        <w:rPr>
          <w:color w:val="333333"/>
          <w:spacing w:val="-5"/>
          <w:sz w:val="21"/>
        </w:rPr>
        <w:t xml:space="preserve"> </w:t>
      </w:r>
      <w:r>
        <w:rPr>
          <w:color w:val="333333"/>
          <w:sz w:val="21"/>
        </w:rPr>
        <w:t>2.00h</w:t>
      </w:r>
      <w:r>
        <w:rPr>
          <w:color w:val="333333"/>
          <w:spacing w:val="-14"/>
          <w:sz w:val="21"/>
        </w:rPr>
        <w:t xml:space="preserve"> </w:t>
      </w:r>
      <w:r>
        <w:rPr>
          <w:color w:val="333333"/>
          <w:spacing w:val="-14"/>
          <w:sz w:val="21"/>
        </w:rPr>
        <w:t>的防火隔墙和</w:t>
      </w:r>
      <w:r>
        <w:rPr>
          <w:color w:val="333333"/>
          <w:spacing w:val="-14"/>
          <w:sz w:val="21"/>
        </w:rPr>
        <w:t xml:space="preserve"> </w:t>
      </w:r>
      <w:r>
        <w:rPr>
          <w:color w:val="333333"/>
          <w:sz w:val="21"/>
        </w:rPr>
        <w:t>1.00h</w:t>
      </w:r>
      <w:r>
        <w:rPr>
          <w:color w:val="333333"/>
          <w:spacing w:val="-8"/>
          <w:sz w:val="21"/>
        </w:rPr>
        <w:t xml:space="preserve"> </w:t>
      </w:r>
      <w:r>
        <w:rPr>
          <w:color w:val="333333"/>
          <w:spacing w:val="-8"/>
          <w:sz w:val="21"/>
        </w:rPr>
        <w:t>的楼板与其他场所</w:t>
      </w:r>
      <w:r>
        <w:rPr>
          <w:color w:val="333333"/>
          <w:spacing w:val="-5"/>
          <w:sz w:val="21"/>
        </w:rPr>
        <w:t>或部位分隔，墙上必须设置的门、窗应采用乙级防火门、窗。</w:t>
      </w:r>
      <w:r>
        <w:rPr>
          <w:color w:val="333333"/>
          <w:sz w:val="21"/>
        </w:rPr>
        <w:t xml:space="preserve"> </w:t>
      </w:r>
    </w:p>
    <w:p w14:paraId="15FF562C" w14:textId="77777777" w:rsidR="00A71EEF" w:rsidRDefault="0081115D">
      <w:pPr>
        <w:pStyle w:val="a4"/>
        <w:numPr>
          <w:ilvl w:val="2"/>
          <w:numId w:val="715"/>
        </w:numPr>
        <w:tabs>
          <w:tab w:val="left" w:pos="1371"/>
        </w:tabs>
        <w:spacing w:line="446" w:lineRule="auto"/>
        <w:ind w:right="1553" w:firstLine="422"/>
        <w:jc w:val="both"/>
        <w:rPr>
          <w:sz w:val="21"/>
        </w:rPr>
      </w:pPr>
      <w:r>
        <w:rPr>
          <w:color w:val="333333"/>
          <w:spacing w:val="-6"/>
          <w:sz w:val="21"/>
        </w:rPr>
        <w:t>建筑内的下列部位应采用耐火极限不低于</w:t>
      </w:r>
      <w:r>
        <w:rPr>
          <w:color w:val="333333"/>
          <w:spacing w:val="-6"/>
          <w:sz w:val="21"/>
        </w:rPr>
        <w:t xml:space="preserve"> </w:t>
      </w:r>
      <w:r>
        <w:rPr>
          <w:color w:val="333333"/>
          <w:sz w:val="21"/>
        </w:rPr>
        <w:t>2.00h</w:t>
      </w:r>
      <w:r>
        <w:rPr>
          <w:color w:val="333333"/>
          <w:spacing w:val="-3"/>
          <w:sz w:val="21"/>
        </w:rPr>
        <w:t xml:space="preserve"> </w:t>
      </w:r>
      <w:r>
        <w:rPr>
          <w:color w:val="333333"/>
          <w:spacing w:val="-3"/>
          <w:sz w:val="21"/>
        </w:rPr>
        <w:t>的防火隔墙与其他部位分隔，墙上</w:t>
      </w:r>
      <w:r>
        <w:rPr>
          <w:color w:val="333333"/>
          <w:spacing w:val="-4"/>
          <w:sz w:val="21"/>
        </w:rPr>
        <w:t>的门、窗应采用乙级防火门、窗，确有困难时，可采用防火卷帘，但应符合本规范第</w:t>
      </w:r>
      <w:r>
        <w:rPr>
          <w:color w:val="333333"/>
          <w:spacing w:val="-4"/>
          <w:sz w:val="21"/>
        </w:rPr>
        <w:t xml:space="preserve"> </w:t>
      </w:r>
      <w:r>
        <w:rPr>
          <w:color w:val="333333"/>
          <w:sz w:val="21"/>
        </w:rPr>
        <w:t>6.5.3</w:t>
      </w:r>
      <w:r>
        <w:rPr>
          <w:color w:val="333333"/>
          <w:spacing w:val="12"/>
          <w:sz w:val="21"/>
        </w:rPr>
        <w:t xml:space="preserve"> </w:t>
      </w:r>
      <w:r>
        <w:rPr>
          <w:color w:val="333333"/>
          <w:spacing w:val="12"/>
          <w:sz w:val="21"/>
        </w:rPr>
        <w:t>条</w:t>
      </w:r>
      <w:r>
        <w:rPr>
          <w:color w:val="333333"/>
          <w:spacing w:val="4"/>
          <w:sz w:val="21"/>
        </w:rPr>
        <w:t>的规定：</w:t>
      </w:r>
      <w:r>
        <w:rPr>
          <w:color w:val="333333"/>
          <w:sz w:val="21"/>
        </w:rPr>
        <w:t xml:space="preserve"> </w:t>
      </w:r>
    </w:p>
    <w:p w14:paraId="7F99A1F5" w14:textId="77777777" w:rsidR="00A71EEF" w:rsidRDefault="0081115D">
      <w:pPr>
        <w:pStyle w:val="a3"/>
        <w:spacing w:line="446" w:lineRule="auto"/>
        <w:ind w:left="838" w:right="5077"/>
      </w:pPr>
      <w:r>
        <w:rPr>
          <w:color w:val="333333"/>
        </w:rPr>
        <w:t>甲、乙类生产部位和建筑内使用丙类液体的部位；</w:t>
      </w:r>
      <w:r>
        <w:rPr>
          <w:color w:val="333333"/>
        </w:rPr>
        <w:t xml:space="preserve"> </w:t>
      </w:r>
      <w:r>
        <w:rPr>
          <w:color w:val="333333"/>
        </w:rPr>
        <w:t>厂房内有明火和高温的部位；</w:t>
      </w:r>
      <w:r>
        <w:rPr>
          <w:color w:val="333333"/>
        </w:rPr>
        <w:t xml:space="preserve"> </w:t>
      </w:r>
    </w:p>
    <w:p w14:paraId="43E73B40" w14:textId="77777777" w:rsidR="00A71EEF" w:rsidRDefault="0081115D">
      <w:pPr>
        <w:pStyle w:val="a3"/>
        <w:ind w:left="838"/>
      </w:pPr>
      <w:r>
        <w:rPr>
          <w:color w:val="333333"/>
        </w:rPr>
        <w:t>甲、乙、丙类厂房（仓库）内布置有不同火灾危险性类别的房间；</w:t>
      </w:r>
      <w:r>
        <w:rPr>
          <w:color w:val="333333"/>
        </w:rPr>
        <w:t xml:space="preserve"> </w:t>
      </w:r>
    </w:p>
    <w:p w14:paraId="18D8DAD9" w14:textId="77777777" w:rsidR="00A71EEF" w:rsidRDefault="00A71EEF">
      <w:pPr>
        <w:pStyle w:val="a3"/>
        <w:spacing w:before="7"/>
        <w:rPr>
          <w:sz w:val="17"/>
        </w:rPr>
      </w:pPr>
    </w:p>
    <w:p w14:paraId="52506D14" w14:textId="77777777" w:rsidR="00A71EEF" w:rsidRDefault="0081115D">
      <w:pPr>
        <w:pStyle w:val="a3"/>
        <w:ind w:left="838"/>
      </w:pPr>
      <w:r>
        <w:rPr>
          <w:color w:val="333333"/>
        </w:rPr>
        <w:t xml:space="preserve"> </w:t>
      </w:r>
      <w:r>
        <w:rPr>
          <w:color w:val="333333"/>
        </w:rPr>
        <w:t>民用建筑内的附属库房，剧场后台的辅助用房；</w:t>
      </w:r>
      <w:r>
        <w:rPr>
          <w:color w:val="333333"/>
        </w:rPr>
        <w:t xml:space="preserve"> </w:t>
      </w:r>
    </w:p>
    <w:p w14:paraId="72758595" w14:textId="77777777" w:rsidR="00A71EEF" w:rsidRDefault="00A71EEF">
      <w:pPr>
        <w:pStyle w:val="a3"/>
        <w:spacing w:before="12"/>
        <w:rPr>
          <w:sz w:val="17"/>
        </w:rPr>
      </w:pPr>
    </w:p>
    <w:p w14:paraId="2192A5DC" w14:textId="77777777" w:rsidR="00A71EEF" w:rsidRDefault="0081115D">
      <w:pPr>
        <w:pStyle w:val="a3"/>
        <w:spacing w:before="1" w:line="446" w:lineRule="auto"/>
        <w:ind w:left="838" w:right="2134"/>
      </w:pPr>
      <w:r>
        <w:rPr>
          <w:color w:val="333333"/>
          <w:spacing w:val="-3"/>
        </w:rPr>
        <w:t>除居住建筑中套内的厨房外，宿舍、公寓建筑中的公共厨房和其他建筑内的厨房；</w:t>
      </w:r>
      <w:r>
        <w:rPr>
          <w:color w:val="333333"/>
          <w:spacing w:val="-3"/>
        </w:rPr>
        <w:t xml:space="preserve"> </w:t>
      </w:r>
      <w:r>
        <w:rPr>
          <w:color w:val="333333"/>
          <w:spacing w:val="-3"/>
        </w:rPr>
        <w:t>附设在住宅建筑内的机动车库。</w:t>
      </w:r>
      <w:r>
        <w:rPr>
          <w:color w:val="333333"/>
        </w:rPr>
        <w:t xml:space="preserve"> </w:t>
      </w:r>
    </w:p>
    <w:p w14:paraId="11F19ECC" w14:textId="77777777" w:rsidR="00A71EEF" w:rsidRDefault="0081115D">
      <w:pPr>
        <w:pStyle w:val="a4"/>
        <w:numPr>
          <w:ilvl w:val="2"/>
          <w:numId w:val="715"/>
        </w:numPr>
        <w:tabs>
          <w:tab w:val="left" w:pos="1370"/>
        </w:tabs>
        <w:spacing w:line="446" w:lineRule="auto"/>
        <w:ind w:right="1604" w:firstLine="422"/>
        <w:rPr>
          <w:sz w:val="21"/>
        </w:rPr>
      </w:pPr>
      <w:r>
        <w:rPr>
          <w:color w:val="333333"/>
          <w:spacing w:val="-3"/>
          <w:sz w:val="21"/>
        </w:rPr>
        <w:t>建筑内的防火隔墙应从楼地面基层隔断至梁、楼板或屋面板的底面基层。住宅分户墙和单元之间的墙应隔断至梁、楼板或屋面板的底面基层，屋面板的的耐火极限不应低于</w:t>
      </w:r>
      <w:r>
        <w:rPr>
          <w:color w:val="333333"/>
          <w:spacing w:val="-3"/>
          <w:sz w:val="21"/>
        </w:rPr>
        <w:t>0.50h</w:t>
      </w:r>
      <w:r>
        <w:rPr>
          <w:color w:val="333333"/>
          <w:spacing w:val="-3"/>
          <w:sz w:val="21"/>
        </w:rPr>
        <w:t>。</w:t>
      </w:r>
      <w:r>
        <w:rPr>
          <w:color w:val="333333"/>
          <w:sz w:val="21"/>
        </w:rPr>
        <w:t xml:space="preserve"> </w:t>
      </w:r>
    </w:p>
    <w:p w14:paraId="7D65C296" w14:textId="77777777" w:rsidR="00A71EEF" w:rsidRDefault="0081115D">
      <w:pPr>
        <w:pStyle w:val="a4"/>
        <w:numPr>
          <w:ilvl w:val="2"/>
          <w:numId w:val="715"/>
        </w:numPr>
        <w:tabs>
          <w:tab w:val="left" w:pos="1371"/>
        </w:tabs>
        <w:spacing w:line="446" w:lineRule="auto"/>
        <w:ind w:right="1347" w:firstLine="422"/>
        <w:jc w:val="both"/>
        <w:rPr>
          <w:sz w:val="21"/>
        </w:rPr>
      </w:pPr>
      <w:r>
        <w:rPr>
          <w:color w:val="333333"/>
          <w:spacing w:val="-5"/>
          <w:sz w:val="21"/>
        </w:rPr>
        <w:t>除本规范另有规定外，建筑外墙上、下层开口之间应设置高度不小于</w:t>
      </w:r>
      <w:r>
        <w:rPr>
          <w:color w:val="333333"/>
          <w:spacing w:val="-5"/>
          <w:sz w:val="21"/>
        </w:rPr>
        <w:t xml:space="preserve"> </w:t>
      </w:r>
      <w:r>
        <w:rPr>
          <w:color w:val="333333"/>
          <w:sz w:val="21"/>
        </w:rPr>
        <w:t>1.2m</w:t>
      </w:r>
      <w:r>
        <w:rPr>
          <w:color w:val="333333"/>
          <w:spacing w:val="-9"/>
          <w:sz w:val="21"/>
        </w:rPr>
        <w:t xml:space="preserve"> </w:t>
      </w:r>
      <w:r>
        <w:rPr>
          <w:color w:val="333333"/>
          <w:spacing w:val="-9"/>
          <w:sz w:val="21"/>
        </w:rPr>
        <w:t>的实体墙或</w:t>
      </w:r>
      <w:r>
        <w:rPr>
          <w:color w:val="333333"/>
          <w:spacing w:val="-10"/>
          <w:sz w:val="21"/>
        </w:rPr>
        <w:t>挑出宽度不小于</w:t>
      </w:r>
      <w:r>
        <w:rPr>
          <w:color w:val="333333"/>
          <w:spacing w:val="-10"/>
          <w:sz w:val="21"/>
        </w:rPr>
        <w:t xml:space="preserve"> </w:t>
      </w:r>
      <w:r>
        <w:rPr>
          <w:color w:val="333333"/>
          <w:sz w:val="21"/>
        </w:rPr>
        <w:t>1.0m</w:t>
      </w:r>
      <w:r>
        <w:rPr>
          <w:color w:val="333333"/>
          <w:spacing w:val="-3"/>
          <w:sz w:val="21"/>
        </w:rPr>
        <w:t>、长度不小于开口宽度的防火挑檐；当室内设置自动喷水灭火系统时，</w:t>
      </w:r>
      <w:r>
        <w:rPr>
          <w:color w:val="333333"/>
          <w:spacing w:val="-3"/>
          <w:sz w:val="21"/>
        </w:rPr>
        <w:t xml:space="preserve"> </w:t>
      </w:r>
      <w:r>
        <w:rPr>
          <w:color w:val="333333"/>
          <w:spacing w:val="-3"/>
          <w:sz w:val="21"/>
        </w:rPr>
        <w:t>上</w:t>
      </w:r>
      <w:r>
        <w:rPr>
          <w:color w:val="333333"/>
          <w:spacing w:val="-6"/>
          <w:sz w:val="21"/>
        </w:rPr>
        <w:t>、下层开口之间的实体墙高度不应小于</w:t>
      </w:r>
      <w:r>
        <w:rPr>
          <w:color w:val="333333"/>
          <w:spacing w:val="-6"/>
          <w:sz w:val="21"/>
        </w:rPr>
        <w:t xml:space="preserve"> </w:t>
      </w:r>
      <w:r>
        <w:rPr>
          <w:color w:val="333333"/>
          <w:sz w:val="21"/>
        </w:rPr>
        <w:t>0.8m</w:t>
      </w:r>
      <w:r>
        <w:rPr>
          <w:color w:val="333333"/>
          <w:spacing w:val="-3"/>
          <w:sz w:val="21"/>
        </w:rPr>
        <w:t>。当上、下层开口之间设置实体墙确有困难时，</w:t>
      </w:r>
      <w:r>
        <w:rPr>
          <w:color w:val="333333"/>
          <w:spacing w:val="-3"/>
          <w:sz w:val="21"/>
        </w:rPr>
        <w:t xml:space="preserve"> </w:t>
      </w:r>
      <w:r>
        <w:rPr>
          <w:color w:val="333333"/>
          <w:spacing w:val="-3"/>
          <w:sz w:val="21"/>
        </w:rPr>
        <w:t>可</w:t>
      </w:r>
      <w:r>
        <w:rPr>
          <w:color w:val="333333"/>
          <w:spacing w:val="-5"/>
          <w:sz w:val="21"/>
        </w:rPr>
        <w:t>设置防火玻璃墙，但高层建筑的防火玻璃墙的耐火完整性不应低于</w:t>
      </w:r>
      <w:r>
        <w:rPr>
          <w:color w:val="333333"/>
          <w:spacing w:val="-5"/>
          <w:sz w:val="21"/>
        </w:rPr>
        <w:t xml:space="preserve"> </w:t>
      </w:r>
      <w:r>
        <w:rPr>
          <w:color w:val="333333"/>
          <w:sz w:val="21"/>
        </w:rPr>
        <w:t>1.00h</w:t>
      </w:r>
      <w:r>
        <w:rPr>
          <w:color w:val="333333"/>
          <w:spacing w:val="-3"/>
          <w:sz w:val="21"/>
        </w:rPr>
        <w:t>，多层建筑的防火玻璃</w:t>
      </w:r>
      <w:r>
        <w:rPr>
          <w:color w:val="333333"/>
          <w:spacing w:val="-7"/>
          <w:sz w:val="21"/>
        </w:rPr>
        <w:t>墙的耐火完整性不应低于</w:t>
      </w:r>
      <w:r>
        <w:rPr>
          <w:color w:val="333333"/>
          <w:spacing w:val="-7"/>
          <w:sz w:val="21"/>
        </w:rPr>
        <w:t xml:space="preserve"> </w:t>
      </w:r>
      <w:r>
        <w:rPr>
          <w:color w:val="333333"/>
          <w:sz w:val="21"/>
        </w:rPr>
        <w:t>0.50h</w:t>
      </w:r>
      <w:r>
        <w:rPr>
          <w:color w:val="333333"/>
          <w:spacing w:val="-3"/>
          <w:sz w:val="21"/>
        </w:rPr>
        <w:t>。外窗的耐火完整性不应低于防火玻璃墙的耐火完整性要求。</w:t>
      </w:r>
      <w:r>
        <w:rPr>
          <w:color w:val="333333"/>
          <w:sz w:val="21"/>
        </w:rPr>
        <w:t xml:space="preserve"> </w:t>
      </w:r>
    </w:p>
    <w:p w14:paraId="43E6E376" w14:textId="77777777" w:rsidR="00A71EEF" w:rsidRDefault="0081115D">
      <w:pPr>
        <w:pStyle w:val="a3"/>
        <w:spacing w:line="268" w:lineRule="exact"/>
        <w:ind w:left="838"/>
        <w:jc w:val="both"/>
      </w:pPr>
      <w:r>
        <w:rPr>
          <w:color w:val="333333"/>
        </w:rPr>
        <w:t>住宅建筑外墙上相邻户开口之间的墙体宽度不应小于</w:t>
      </w:r>
      <w:r>
        <w:rPr>
          <w:color w:val="333333"/>
        </w:rPr>
        <w:t xml:space="preserve"> 1.0m</w:t>
      </w:r>
      <w:r>
        <w:rPr>
          <w:color w:val="333333"/>
        </w:rPr>
        <w:t>；小于</w:t>
      </w:r>
      <w:r>
        <w:rPr>
          <w:color w:val="333333"/>
        </w:rPr>
        <w:t xml:space="preserve"> 1.0m </w:t>
      </w:r>
      <w:r>
        <w:rPr>
          <w:color w:val="333333"/>
        </w:rPr>
        <w:t>时，应在开口之间</w:t>
      </w:r>
    </w:p>
    <w:p w14:paraId="0BB10029" w14:textId="77777777" w:rsidR="00A71EEF" w:rsidRDefault="00A71EEF">
      <w:pPr>
        <w:spacing w:line="268" w:lineRule="exact"/>
        <w:jc w:val="both"/>
        <w:sectPr w:rsidR="00A71EEF">
          <w:pgSz w:w="11910" w:h="16850"/>
          <w:pgMar w:top="1220" w:right="0" w:bottom="1420" w:left="1260" w:header="0" w:footer="1239" w:gutter="0"/>
          <w:cols w:space="720"/>
        </w:sectPr>
      </w:pPr>
    </w:p>
    <w:p w14:paraId="205FD3A7" w14:textId="77777777" w:rsidR="00A71EEF" w:rsidRDefault="0081115D">
      <w:pPr>
        <w:pStyle w:val="a3"/>
        <w:spacing w:before="47"/>
        <w:ind w:left="418"/>
      </w:pPr>
      <w:r>
        <w:rPr>
          <w:color w:val="333333"/>
        </w:rPr>
        <w:lastRenderedPageBreak/>
        <w:t>设置突出外墙不小于</w:t>
      </w:r>
      <w:r>
        <w:rPr>
          <w:color w:val="333333"/>
        </w:rPr>
        <w:t xml:space="preserve"> 0.6m </w:t>
      </w:r>
      <w:r>
        <w:rPr>
          <w:color w:val="333333"/>
        </w:rPr>
        <w:t>的隔板。</w:t>
      </w:r>
      <w:r>
        <w:rPr>
          <w:color w:val="333333"/>
        </w:rPr>
        <w:t xml:space="preserve"> </w:t>
      </w:r>
    </w:p>
    <w:p w14:paraId="17476E55" w14:textId="77777777" w:rsidR="00A71EEF" w:rsidRDefault="00A71EEF">
      <w:pPr>
        <w:pStyle w:val="a3"/>
        <w:rPr>
          <w:sz w:val="18"/>
        </w:rPr>
      </w:pPr>
    </w:p>
    <w:p w14:paraId="2A60835B" w14:textId="77777777" w:rsidR="00A71EEF" w:rsidRDefault="0081115D">
      <w:pPr>
        <w:pStyle w:val="a3"/>
        <w:spacing w:line="446" w:lineRule="auto"/>
        <w:ind w:left="418" w:right="1609" w:firstLine="419"/>
      </w:pPr>
      <w:r>
        <w:rPr>
          <w:color w:val="333333"/>
        </w:rPr>
        <w:t>实体墙、防火挑檐和隔板的耐火极限和燃烧性能，均不应低于相应耐火等级建</w:t>
      </w:r>
      <w:r>
        <w:rPr>
          <w:color w:val="333333"/>
        </w:rPr>
        <w:t>筑外墙的要求。</w:t>
      </w:r>
      <w:r>
        <w:rPr>
          <w:color w:val="333333"/>
        </w:rPr>
        <w:t xml:space="preserve"> </w:t>
      </w:r>
    </w:p>
    <w:p w14:paraId="539BF0AE" w14:textId="77777777" w:rsidR="00A71EEF" w:rsidRDefault="0081115D">
      <w:pPr>
        <w:pStyle w:val="a4"/>
        <w:numPr>
          <w:ilvl w:val="2"/>
          <w:numId w:val="715"/>
        </w:numPr>
        <w:tabs>
          <w:tab w:val="left" w:pos="1370"/>
        </w:tabs>
        <w:spacing w:line="446" w:lineRule="auto"/>
        <w:ind w:right="1553" w:firstLine="422"/>
        <w:rPr>
          <w:sz w:val="21"/>
        </w:rPr>
      </w:pPr>
      <w:r>
        <w:rPr>
          <w:color w:val="333333"/>
          <w:spacing w:val="-5"/>
          <w:sz w:val="21"/>
        </w:rPr>
        <w:t>建筑幕墙应在每层楼板外沿处采取符合本规范第</w:t>
      </w:r>
      <w:r>
        <w:rPr>
          <w:color w:val="333333"/>
          <w:spacing w:val="-5"/>
          <w:sz w:val="21"/>
        </w:rPr>
        <w:t xml:space="preserve"> </w:t>
      </w:r>
      <w:r>
        <w:rPr>
          <w:color w:val="333333"/>
          <w:sz w:val="21"/>
        </w:rPr>
        <w:t>6.2.5</w:t>
      </w:r>
      <w:r>
        <w:rPr>
          <w:color w:val="333333"/>
          <w:spacing w:val="-3"/>
          <w:sz w:val="21"/>
        </w:rPr>
        <w:t xml:space="preserve"> </w:t>
      </w:r>
      <w:r>
        <w:rPr>
          <w:color w:val="333333"/>
          <w:spacing w:val="-3"/>
          <w:sz w:val="21"/>
        </w:rPr>
        <w:t>条规定的防火措施，幕墙与每层楼板、隔墙处的缝隙应采用防火封堵材料封堵。</w:t>
      </w:r>
      <w:r>
        <w:rPr>
          <w:color w:val="333333"/>
          <w:spacing w:val="-3"/>
          <w:sz w:val="21"/>
        </w:rPr>
        <w:t xml:space="preserve"> </w:t>
      </w:r>
    </w:p>
    <w:p w14:paraId="206D2D03" w14:textId="77777777" w:rsidR="00A71EEF" w:rsidRDefault="0081115D">
      <w:pPr>
        <w:pStyle w:val="a4"/>
        <w:numPr>
          <w:ilvl w:val="2"/>
          <w:numId w:val="715"/>
        </w:numPr>
        <w:tabs>
          <w:tab w:val="left" w:pos="1370"/>
        </w:tabs>
        <w:spacing w:line="446" w:lineRule="auto"/>
        <w:ind w:right="1604" w:firstLine="422"/>
        <w:rPr>
          <w:sz w:val="21"/>
        </w:rPr>
      </w:pPr>
      <w:r>
        <w:rPr>
          <w:color w:val="333333"/>
          <w:spacing w:val="-3"/>
          <w:sz w:val="21"/>
        </w:rPr>
        <w:t>附设在建筑内的消防控制室、灭火设备室、消防水泵房和通风空气调节机房、变配</w:t>
      </w:r>
      <w:r>
        <w:rPr>
          <w:color w:val="333333"/>
          <w:spacing w:val="-7"/>
          <w:sz w:val="21"/>
        </w:rPr>
        <w:t>电室等，应采用耐火极限不低于</w:t>
      </w:r>
      <w:r>
        <w:rPr>
          <w:color w:val="333333"/>
          <w:spacing w:val="-7"/>
          <w:sz w:val="21"/>
        </w:rPr>
        <w:t xml:space="preserve"> </w:t>
      </w:r>
      <w:r>
        <w:rPr>
          <w:color w:val="333333"/>
          <w:sz w:val="21"/>
        </w:rPr>
        <w:t>2.00h</w:t>
      </w:r>
      <w:r>
        <w:rPr>
          <w:color w:val="333333"/>
          <w:spacing w:val="-9"/>
          <w:sz w:val="21"/>
        </w:rPr>
        <w:t xml:space="preserve"> </w:t>
      </w:r>
      <w:r>
        <w:rPr>
          <w:color w:val="333333"/>
          <w:spacing w:val="-9"/>
          <w:sz w:val="21"/>
        </w:rPr>
        <w:t>的防火隔墙和</w:t>
      </w:r>
      <w:r>
        <w:rPr>
          <w:color w:val="333333"/>
          <w:spacing w:val="-9"/>
          <w:sz w:val="21"/>
        </w:rPr>
        <w:t xml:space="preserve"> </w:t>
      </w:r>
      <w:r>
        <w:rPr>
          <w:color w:val="333333"/>
          <w:sz w:val="21"/>
        </w:rPr>
        <w:t>1.50h</w:t>
      </w:r>
      <w:r>
        <w:rPr>
          <w:color w:val="333333"/>
          <w:spacing w:val="-3"/>
          <w:sz w:val="21"/>
        </w:rPr>
        <w:t xml:space="preserve"> </w:t>
      </w:r>
      <w:r>
        <w:rPr>
          <w:color w:val="333333"/>
          <w:spacing w:val="-3"/>
          <w:sz w:val="21"/>
        </w:rPr>
        <w:t>的楼板与其他部位分隔。</w:t>
      </w:r>
      <w:r>
        <w:rPr>
          <w:color w:val="333333"/>
          <w:sz w:val="21"/>
        </w:rPr>
        <w:t xml:space="preserve"> </w:t>
      </w:r>
    </w:p>
    <w:p w14:paraId="176491DA" w14:textId="77777777" w:rsidR="00A71EEF" w:rsidRDefault="0081115D">
      <w:pPr>
        <w:pStyle w:val="a3"/>
        <w:spacing w:line="446" w:lineRule="auto"/>
        <w:ind w:left="418" w:right="1505" w:firstLine="419"/>
      </w:pPr>
      <w:r>
        <w:rPr>
          <w:color w:val="333333"/>
          <w:spacing w:val="-5"/>
        </w:rPr>
        <w:t>设置在丁、戊类厂房内的通风机房，应采用耐火极限不低于</w:t>
      </w:r>
      <w:r>
        <w:rPr>
          <w:color w:val="333333"/>
          <w:spacing w:val="-5"/>
        </w:rPr>
        <w:t xml:space="preserve"> </w:t>
      </w:r>
      <w:r>
        <w:rPr>
          <w:color w:val="333333"/>
        </w:rPr>
        <w:t>1.00h</w:t>
      </w:r>
      <w:r>
        <w:rPr>
          <w:color w:val="333333"/>
          <w:spacing w:val="-7"/>
        </w:rPr>
        <w:t xml:space="preserve"> </w:t>
      </w:r>
      <w:r>
        <w:rPr>
          <w:color w:val="333333"/>
          <w:spacing w:val="-7"/>
        </w:rPr>
        <w:t>的防火隔墙和</w:t>
      </w:r>
      <w:r>
        <w:rPr>
          <w:color w:val="333333"/>
          <w:spacing w:val="-7"/>
        </w:rPr>
        <w:t xml:space="preserve"> </w:t>
      </w:r>
      <w:r>
        <w:rPr>
          <w:color w:val="333333"/>
        </w:rPr>
        <w:t>0.50h</w:t>
      </w:r>
      <w:r>
        <w:rPr>
          <w:color w:val="333333"/>
          <w:spacing w:val="5"/>
        </w:rPr>
        <w:t xml:space="preserve"> </w:t>
      </w:r>
      <w:r>
        <w:rPr>
          <w:color w:val="333333"/>
          <w:spacing w:val="5"/>
        </w:rPr>
        <w:t>的</w:t>
      </w:r>
      <w:r>
        <w:rPr>
          <w:color w:val="333333"/>
          <w:spacing w:val="-3"/>
        </w:rPr>
        <w:t>楼板与其他部位分隔。</w:t>
      </w:r>
      <w:r>
        <w:rPr>
          <w:color w:val="333333"/>
        </w:rPr>
        <w:t xml:space="preserve"> </w:t>
      </w:r>
    </w:p>
    <w:p w14:paraId="083C0FCC" w14:textId="77777777" w:rsidR="00A71EEF" w:rsidRDefault="0081115D">
      <w:pPr>
        <w:pStyle w:val="a3"/>
        <w:spacing w:line="446" w:lineRule="auto"/>
        <w:ind w:left="418" w:right="1609" w:firstLine="419"/>
      </w:pPr>
      <w:r>
        <w:rPr>
          <w:color w:val="333333"/>
        </w:rPr>
        <w:t>通风、空气调节机房和变配电室开向建筑内的门应采用甲级防火门，消防控制室和其他设备</w:t>
      </w:r>
      <w:r>
        <w:rPr>
          <w:color w:val="333333"/>
        </w:rPr>
        <w:t>房开向建筑内的门应采用乙级防火门。</w:t>
      </w:r>
      <w:r>
        <w:rPr>
          <w:color w:val="333333"/>
        </w:rPr>
        <w:t xml:space="preserve"> </w:t>
      </w:r>
    </w:p>
    <w:p w14:paraId="0336B00C" w14:textId="77777777" w:rsidR="00A71EEF" w:rsidRDefault="0081115D">
      <w:pPr>
        <w:pStyle w:val="a4"/>
        <w:numPr>
          <w:ilvl w:val="2"/>
          <w:numId w:val="715"/>
        </w:numPr>
        <w:tabs>
          <w:tab w:val="left" w:pos="1370"/>
        </w:tabs>
        <w:spacing w:line="446" w:lineRule="auto"/>
        <w:ind w:right="1604" w:firstLine="422"/>
        <w:rPr>
          <w:sz w:val="21"/>
        </w:rPr>
      </w:pPr>
      <w:r>
        <w:rPr>
          <w:color w:val="333333"/>
          <w:spacing w:val="-3"/>
          <w:sz w:val="21"/>
        </w:rPr>
        <w:t>冷库、低温环境生产场所采用泡沫塑料等可燃材料作墙体内的绝热层时，宜采用不燃绝热材料在每层楼板处做水平防火分隔。防火分隔部位的耐火极限不应低于楼板的耐火极</w:t>
      </w:r>
      <w:r>
        <w:rPr>
          <w:color w:val="333333"/>
          <w:spacing w:val="-3"/>
          <w:sz w:val="21"/>
        </w:rPr>
        <w:t xml:space="preserve"> </w:t>
      </w:r>
      <w:r>
        <w:rPr>
          <w:color w:val="333333"/>
          <w:spacing w:val="-3"/>
          <w:sz w:val="21"/>
        </w:rPr>
        <w:t>限。冷库阁楼层和墙体的可燃绝热层宜采用不燃性墙体分隔。</w:t>
      </w:r>
      <w:r>
        <w:rPr>
          <w:color w:val="333333"/>
          <w:sz w:val="21"/>
        </w:rPr>
        <w:t xml:space="preserve"> </w:t>
      </w:r>
    </w:p>
    <w:p w14:paraId="640C72E8" w14:textId="77777777" w:rsidR="00A71EEF" w:rsidRDefault="0081115D">
      <w:pPr>
        <w:pStyle w:val="a3"/>
        <w:spacing w:line="446" w:lineRule="auto"/>
        <w:ind w:left="418" w:right="1503" w:firstLine="419"/>
      </w:pPr>
      <w:r>
        <w:rPr>
          <w:color w:val="333333"/>
          <w:spacing w:val="-4"/>
        </w:rPr>
        <w:t>冷库、低温环境生产场所采用泡沫塑料作内绝热层时，绝热层的燃烧性能不应低于</w:t>
      </w:r>
      <w:r>
        <w:rPr>
          <w:color w:val="333333"/>
          <w:spacing w:val="-4"/>
        </w:rPr>
        <w:t xml:space="preserve"> </w:t>
      </w:r>
      <w:r>
        <w:rPr>
          <w:color w:val="333333"/>
        </w:rPr>
        <w:t>B1</w:t>
      </w:r>
      <w:r>
        <w:rPr>
          <w:color w:val="333333"/>
          <w:spacing w:val="-12"/>
        </w:rPr>
        <w:t xml:space="preserve"> </w:t>
      </w:r>
      <w:r>
        <w:rPr>
          <w:color w:val="333333"/>
          <w:spacing w:val="-12"/>
        </w:rPr>
        <w:t>级，</w:t>
      </w:r>
      <w:r>
        <w:rPr>
          <w:color w:val="333333"/>
          <w:spacing w:val="-12"/>
        </w:rPr>
        <w:t xml:space="preserve"> </w:t>
      </w:r>
      <w:r>
        <w:rPr>
          <w:color w:val="333333"/>
          <w:spacing w:val="-6"/>
        </w:rPr>
        <w:t>且绝热层的表面应采用不燃材料做防护层。</w:t>
      </w:r>
      <w:r>
        <w:rPr>
          <w:color w:val="333333"/>
        </w:rPr>
        <w:t xml:space="preserve"> </w:t>
      </w:r>
    </w:p>
    <w:p w14:paraId="4CA1111D" w14:textId="77777777" w:rsidR="00A71EEF" w:rsidRDefault="0081115D">
      <w:pPr>
        <w:pStyle w:val="a3"/>
        <w:spacing w:line="446" w:lineRule="auto"/>
        <w:ind w:left="418" w:right="1608" w:firstLine="419"/>
        <w:jc w:val="both"/>
      </w:pPr>
      <w:r>
        <w:rPr>
          <w:color w:val="333333"/>
        </w:rPr>
        <w:t>冷库的库房与加工车间贴邻建造时，应采用防火墙分隔，当确需开设相互连通的开口时，</w:t>
      </w:r>
      <w:r>
        <w:rPr>
          <w:color w:val="333333"/>
        </w:rPr>
        <w:t xml:space="preserve"> </w:t>
      </w:r>
      <w:r>
        <w:rPr>
          <w:color w:val="333333"/>
        </w:rPr>
        <w:t>应采取防火间隔等措施进行分隔，间隔两侧的门应为甲级防火门。当冷库的氨压缩机房与工车间贴邻时，应采用不开门窗洞口的防火墙分隔。</w:t>
      </w:r>
      <w:r>
        <w:rPr>
          <w:color w:val="333333"/>
        </w:rPr>
        <w:t xml:space="preserve"> </w:t>
      </w:r>
    </w:p>
    <w:p w14:paraId="5A1A666B" w14:textId="77777777" w:rsidR="00A71EEF" w:rsidRDefault="0081115D">
      <w:pPr>
        <w:pStyle w:val="a4"/>
        <w:numPr>
          <w:ilvl w:val="2"/>
          <w:numId w:val="715"/>
        </w:numPr>
        <w:tabs>
          <w:tab w:val="left" w:pos="1370"/>
        </w:tabs>
        <w:spacing w:line="268" w:lineRule="exact"/>
        <w:ind w:left="1369" w:hanging="530"/>
        <w:rPr>
          <w:sz w:val="21"/>
        </w:rPr>
      </w:pPr>
      <w:r>
        <w:rPr>
          <w:color w:val="333333"/>
          <w:spacing w:val="-3"/>
          <w:sz w:val="21"/>
        </w:rPr>
        <w:t>建筑内的电梯井等竖井应符合下列规定：</w:t>
      </w:r>
      <w:r>
        <w:rPr>
          <w:color w:val="333333"/>
          <w:sz w:val="21"/>
        </w:rPr>
        <w:t xml:space="preserve"> </w:t>
      </w:r>
    </w:p>
    <w:p w14:paraId="41D7EB64" w14:textId="77777777" w:rsidR="00A71EEF" w:rsidRDefault="00A71EEF">
      <w:pPr>
        <w:pStyle w:val="a3"/>
        <w:spacing w:before="7"/>
        <w:rPr>
          <w:sz w:val="17"/>
        </w:rPr>
      </w:pPr>
    </w:p>
    <w:p w14:paraId="136E30F9" w14:textId="77777777" w:rsidR="00A71EEF" w:rsidRDefault="0081115D">
      <w:pPr>
        <w:pStyle w:val="a3"/>
        <w:spacing w:line="446" w:lineRule="auto"/>
        <w:ind w:left="418" w:right="1608" w:firstLine="419"/>
        <w:jc w:val="both"/>
      </w:pPr>
      <w:r>
        <w:rPr>
          <w:color w:val="333333"/>
        </w:rPr>
        <w:t>电梯井应独立设置，井内严禁敷设可燃气体和甲、乙、丙类液体管道，不应敷设与电梯无关的电缆、电线等。电梯井的井壁除设置电梯门、安全逃生门和通气孔洞外，不应设置其他开口；</w:t>
      </w:r>
      <w:r>
        <w:rPr>
          <w:color w:val="333333"/>
        </w:rPr>
        <w:t xml:space="preserve"> </w:t>
      </w:r>
    </w:p>
    <w:p w14:paraId="05598B8A" w14:textId="77777777" w:rsidR="00A71EEF" w:rsidRDefault="0081115D">
      <w:pPr>
        <w:pStyle w:val="a3"/>
        <w:spacing w:line="446" w:lineRule="auto"/>
        <w:ind w:left="418" w:right="1609" w:firstLine="419"/>
        <w:jc w:val="both"/>
      </w:pPr>
      <w:r>
        <w:rPr>
          <w:color w:val="333333"/>
        </w:rPr>
        <w:t>电缆井、管道井、排烟道、排气道、垃圾道等竖向井道，应分别独立设置。井壁的耐火极限不应低于</w:t>
      </w:r>
      <w:r>
        <w:rPr>
          <w:color w:val="333333"/>
        </w:rPr>
        <w:t xml:space="preserve"> 1.</w:t>
      </w:r>
      <w:r>
        <w:rPr>
          <w:color w:val="333333"/>
        </w:rPr>
        <w:t>00h</w:t>
      </w:r>
      <w:r>
        <w:rPr>
          <w:color w:val="333333"/>
        </w:rPr>
        <w:t>，井壁上的检查门应采用丙级防火门；</w:t>
      </w:r>
      <w:r>
        <w:rPr>
          <w:color w:val="333333"/>
        </w:rPr>
        <w:t xml:space="preserve"> </w:t>
      </w:r>
    </w:p>
    <w:p w14:paraId="574AE0C2" w14:textId="77777777" w:rsidR="00A71EEF" w:rsidRDefault="0081115D">
      <w:pPr>
        <w:pStyle w:val="a3"/>
        <w:spacing w:line="446" w:lineRule="auto"/>
        <w:ind w:left="418" w:right="1609" w:firstLine="419"/>
      </w:pPr>
      <w:r>
        <w:rPr>
          <w:color w:val="333333"/>
        </w:rPr>
        <w:t>建筑内的电缆井、管道井应在每层楼板处采用不低于楼板耐火极限的不燃材料或防火封堵材料封堵。</w:t>
      </w:r>
      <w:r>
        <w:rPr>
          <w:color w:val="333333"/>
        </w:rPr>
        <w:t xml:space="preserve"> </w:t>
      </w:r>
    </w:p>
    <w:p w14:paraId="6E9D5215" w14:textId="77777777" w:rsidR="00A71EEF" w:rsidRDefault="0081115D">
      <w:pPr>
        <w:pStyle w:val="a3"/>
        <w:ind w:left="838"/>
      </w:pPr>
      <w:r>
        <w:rPr>
          <w:color w:val="333333"/>
        </w:rPr>
        <w:t>建筑内的电缆井、管道井与房间、走道等相连通的孔隙应采用防火封堵材料封堵；</w:t>
      </w:r>
      <w:r>
        <w:rPr>
          <w:color w:val="333333"/>
        </w:rPr>
        <w:t xml:space="preserve"> </w:t>
      </w:r>
    </w:p>
    <w:p w14:paraId="2462E724" w14:textId="77777777" w:rsidR="00A71EEF" w:rsidRDefault="00A71EEF">
      <w:pPr>
        <w:sectPr w:rsidR="00A71EEF">
          <w:pgSz w:w="11910" w:h="16850"/>
          <w:pgMar w:top="1220" w:right="0" w:bottom="1420" w:left="1260" w:header="0" w:footer="1239" w:gutter="0"/>
          <w:cols w:space="720"/>
        </w:sectPr>
      </w:pPr>
    </w:p>
    <w:p w14:paraId="014A1F22" w14:textId="77777777" w:rsidR="00A71EEF" w:rsidRDefault="0081115D">
      <w:pPr>
        <w:pStyle w:val="a3"/>
        <w:spacing w:before="47" w:line="446" w:lineRule="auto"/>
        <w:ind w:left="418" w:right="1609" w:firstLine="419"/>
      </w:pPr>
      <w:r>
        <w:rPr>
          <w:color w:val="333333"/>
        </w:rPr>
        <w:lastRenderedPageBreak/>
        <w:t>建筑内的垃圾道宜靠外墙设置，垃圾道的排气口应直接开向室外，垃圾斗应采用不燃材料制作，并应能自行关闭；</w:t>
      </w:r>
      <w:r>
        <w:rPr>
          <w:color w:val="333333"/>
        </w:rPr>
        <w:t xml:space="preserve"> </w:t>
      </w:r>
    </w:p>
    <w:p w14:paraId="139900AB" w14:textId="77777777" w:rsidR="00A71EEF" w:rsidRDefault="0081115D">
      <w:pPr>
        <w:pStyle w:val="a3"/>
        <w:spacing w:line="446" w:lineRule="auto"/>
        <w:ind w:left="418" w:right="1708" w:firstLine="419"/>
      </w:pPr>
      <w:r>
        <w:rPr>
          <w:color w:val="333333"/>
        </w:rPr>
        <w:t>电梯层门的耐火极限不应低于</w:t>
      </w:r>
      <w:r>
        <w:rPr>
          <w:color w:val="333333"/>
        </w:rPr>
        <w:t xml:space="preserve"> 1.00h</w:t>
      </w:r>
      <w:r>
        <w:rPr>
          <w:color w:val="333333"/>
        </w:rPr>
        <w:t>，并应符合现行国家标准《电梯层门耐火试验</w:t>
      </w:r>
      <w:r>
        <w:rPr>
          <w:color w:val="333333"/>
        </w:rPr>
        <w:t xml:space="preserve"> </w:t>
      </w:r>
      <w:r>
        <w:rPr>
          <w:color w:val="333333"/>
        </w:rPr>
        <w:t>完整性、隔热性和热通量测定法》</w:t>
      </w:r>
      <w:r>
        <w:rPr>
          <w:color w:val="333333"/>
        </w:rPr>
        <w:t xml:space="preserve">GB/T 27903 </w:t>
      </w:r>
      <w:r>
        <w:rPr>
          <w:color w:val="333333"/>
        </w:rPr>
        <w:t>规定的完整性和隔热性要求。</w:t>
      </w:r>
      <w:r>
        <w:rPr>
          <w:color w:val="333333"/>
        </w:rPr>
        <w:t xml:space="preserve"> </w:t>
      </w:r>
    </w:p>
    <w:p w14:paraId="6FBB6521" w14:textId="77777777" w:rsidR="00A71EEF" w:rsidRDefault="0081115D">
      <w:pPr>
        <w:pStyle w:val="a4"/>
        <w:numPr>
          <w:ilvl w:val="2"/>
          <w:numId w:val="715"/>
        </w:numPr>
        <w:tabs>
          <w:tab w:val="left" w:pos="1478"/>
        </w:tabs>
        <w:spacing w:line="446" w:lineRule="auto"/>
        <w:ind w:left="838" w:right="2864" w:firstLine="2"/>
        <w:rPr>
          <w:b/>
          <w:sz w:val="21"/>
        </w:rPr>
      </w:pPr>
      <w:r>
        <w:rPr>
          <w:color w:val="333333"/>
          <w:spacing w:val="-3"/>
          <w:sz w:val="21"/>
        </w:rPr>
        <w:t>户外电致发光广告牌不应直接设置在有可燃、难燃材料的墙体上。</w:t>
      </w:r>
      <w:r>
        <w:rPr>
          <w:color w:val="333333"/>
          <w:spacing w:val="-3"/>
          <w:sz w:val="21"/>
        </w:rPr>
        <w:t xml:space="preserve"> </w:t>
      </w:r>
      <w:r>
        <w:rPr>
          <w:color w:val="333333"/>
          <w:spacing w:val="-3"/>
          <w:sz w:val="21"/>
        </w:rPr>
        <w:t>户外广告牌的设置不应遮挡建筑的外窗，不应影响外部灭火救援行动。</w:t>
      </w:r>
      <w:r>
        <w:rPr>
          <w:color w:val="333333"/>
          <w:spacing w:val="-3"/>
          <w:sz w:val="21"/>
        </w:rPr>
        <w:t xml:space="preserve"> </w:t>
      </w:r>
      <w:r>
        <w:rPr>
          <w:spacing w:val="-3"/>
          <w:sz w:val="21"/>
        </w:rPr>
        <w:t xml:space="preserve"> </w:t>
      </w:r>
      <w:r>
        <w:rPr>
          <w:b/>
          <w:sz w:val="21"/>
        </w:rPr>
        <w:t>6.3</w:t>
      </w:r>
      <w:r>
        <w:rPr>
          <w:b/>
          <w:spacing w:val="2"/>
          <w:sz w:val="21"/>
        </w:rPr>
        <w:t xml:space="preserve"> </w:t>
      </w:r>
      <w:r>
        <w:rPr>
          <w:spacing w:val="-3"/>
          <w:sz w:val="21"/>
        </w:rPr>
        <w:t>屋顶、闷顶和建筑缝隙</w:t>
      </w:r>
      <w:r>
        <w:rPr>
          <w:b/>
          <w:spacing w:val="-3"/>
          <w:w w:val="99"/>
          <w:sz w:val="21"/>
        </w:rPr>
        <w:t xml:space="preserve"> </w:t>
      </w:r>
    </w:p>
    <w:p w14:paraId="0323937F" w14:textId="77777777" w:rsidR="00A71EEF" w:rsidRDefault="0081115D">
      <w:pPr>
        <w:pStyle w:val="a3"/>
        <w:spacing w:line="446" w:lineRule="auto"/>
        <w:ind w:left="418" w:right="1813" w:firstLine="422"/>
      </w:pPr>
      <w:r>
        <w:rPr>
          <w:b/>
          <w:color w:val="333333"/>
        </w:rPr>
        <w:t xml:space="preserve">6.3.1 </w:t>
      </w:r>
      <w:r>
        <w:rPr>
          <w:color w:val="333333"/>
        </w:rPr>
        <w:t>在三、四级耐火等级建筑的闷顶内采用可燃材料作绝热层时，屋顶不应采用冷摊瓦。</w:t>
      </w:r>
      <w:r>
        <w:rPr>
          <w:color w:val="333333"/>
        </w:rPr>
        <w:t xml:space="preserve"> </w:t>
      </w:r>
    </w:p>
    <w:p w14:paraId="06DE2B9C" w14:textId="77777777" w:rsidR="00A71EEF" w:rsidRDefault="0081115D">
      <w:pPr>
        <w:pStyle w:val="a3"/>
        <w:spacing w:line="446" w:lineRule="auto"/>
        <w:ind w:left="840" w:right="1715" w:hanging="3"/>
      </w:pPr>
      <w:r>
        <w:rPr>
          <w:color w:val="333333"/>
        </w:rPr>
        <w:t>闷顶内的非金属烟囱周围</w:t>
      </w:r>
      <w:r>
        <w:rPr>
          <w:color w:val="333333"/>
        </w:rPr>
        <w:t xml:space="preserve"> 0.5m</w:t>
      </w:r>
      <w:r>
        <w:rPr>
          <w:color w:val="333333"/>
        </w:rPr>
        <w:t>、金属烟囱</w:t>
      </w:r>
      <w:r>
        <w:rPr>
          <w:color w:val="333333"/>
        </w:rPr>
        <w:t xml:space="preserve"> 0.7m </w:t>
      </w:r>
      <w:r>
        <w:rPr>
          <w:color w:val="333333"/>
        </w:rPr>
        <w:t>范围内，应采用不燃材料作绝热层。</w:t>
      </w:r>
      <w:r>
        <w:rPr>
          <w:b/>
          <w:color w:val="333333"/>
        </w:rPr>
        <w:t xml:space="preserve">6.3.2 </w:t>
      </w:r>
      <w:r>
        <w:rPr>
          <w:color w:val="333333"/>
        </w:rPr>
        <w:t>层数超过</w:t>
      </w:r>
      <w:r>
        <w:rPr>
          <w:color w:val="333333"/>
        </w:rPr>
        <w:t xml:space="preserve"> 2 </w:t>
      </w:r>
      <w:r>
        <w:rPr>
          <w:color w:val="333333"/>
        </w:rPr>
        <w:t>层的三级耐火等级建筑内的闷顶，应在每个防火隔断范围内设置老虎</w:t>
      </w:r>
    </w:p>
    <w:p w14:paraId="143BA331" w14:textId="77777777" w:rsidR="00A71EEF" w:rsidRDefault="0081115D">
      <w:pPr>
        <w:pStyle w:val="a3"/>
        <w:spacing w:line="267" w:lineRule="exact"/>
        <w:ind w:left="418"/>
      </w:pPr>
      <w:r>
        <w:rPr>
          <w:color w:val="333333"/>
        </w:rPr>
        <w:t>窗，且老虎窗的间距不宜大于</w:t>
      </w:r>
      <w:r>
        <w:rPr>
          <w:color w:val="333333"/>
        </w:rPr>
        <w:t xml:space="preserve"> 50m</w:t>
      </w:r>
      <w:r>
        <w:rPr>
          <w:color w:val="333333"/>
        </w:rPr>
        <w:t>。</w:t>
      </w:r>
      <w:r>
        <w:rPr>
          <w:color w:val="333333"/>
        </w:rPr>
        <w:t xml:space="preserve"> </w:t>
      </w:r>
    </w:p>
    <w:p w14:paraId="4EF05D04" w14:textId="77777777" w:rsidR="00A71EEF" w:rsidRDefault="00A71EEF">
      <w:pPr>
        <w:pStyle w:val="a3"/>
        <w:spacing w:before="12"/>
        <w:rPr>
          <w:sz w:val="17"/>
        </w:rPr>
      </w:pPr>
    </w:p>
    <w:p w14:paraId="762D4551" w14:textId="77777777" w:rsidR="00A71EEF" w:rsidRDefault="0081115D">
      <w:pPr>
        <w:pStyle w:val="a4"/>
        <w:numPr>
          <w:ilvl w:val="2"/>
          <w:numId w:val="714"/>
        </w:numPr>
        <w:tabs>
          <w:tab w:val="left" w:pos="1370"/>
        </w:tabs>
        <w:spacing w:line="446" w:lineRule="auto"/>
        <w:ind w:right="1445" w:firstLine="422"/>
        <w:rPr>
          <w:sz w:val="21"/>
        </w:rPr>
      </w:pPr>
      <w:r>
        <w:rPr>
          <w:color w:val="333333"/>
          <w:spacing w:val="-5"/>
          <w:sz w:val="21"/>
        </w:rPr>
        <w:t>内有可燃物的闷顶，应在每个防火隔断范围内设置净宽度和净高度均不小于</w:t>
      </w:r>
      <w:r>
        <w:rPr>
          <w:color w:val="333333"/>
          <w:spacing w:val="-5"/>
          <w:sz w:val="21"/>
        </w:rPr>
        <w:t xml:space="preserve"> </w:t>
      </w:r>
      <w:r>
        <w:rPr>
          <w:color w:val="333333"/>
          <w:sz w:val="21"/>
        </w:rPr>
        <w:t>0.7m</w:t>
      </w:r>
      <w:r>
        <w:rPr>
          <w:color w:val="333333"/>
          <w:spacing w:val="7"/>
          <w:sz w:val="21"/>
        </w:rPr>
        <w:t xml:space="preserve"> </w:t>
      </w:r>
      <w:r>
        <w:rPr>
          <w:color w:val="333333"/>
          <w:spacing w:val="7"/>
          <w:sz w:val="21"/>
        </w:rPr>
        <w:t>的</w:t>
      </w:r>
      <w:r>
        <w:rPr>
          <w:color w:val="333333"/>
          <w:spacing w:val="-5"/>
          <w:sz w:val="21"/>
        </w:rPr>
        <w:t>闷顶入口；对于公共建筑，每个防火隔断范围内的闷顶入口不宜少于</w:t>
      </w:r>
      <w:r>
        <w:rPr>
          <w:color w:val="333333"/>
          <w:spacing w:val="-5"/>
          <w:sz w:val="21"/>
        </w:rPr>
        <w:t xml:space="preserve"> </w:t>
      </w:r>
      <w:r>
        <w:rPr>
          <w:color w:val="333333"/>
          <w:spacing w:val="-3"/>
          <w:sz w:val="21"/>
        </w:rPr>
        <w:t>2</w:t>
      </w:r>
      <w:r>
        <w:rPr>
          <w:color w:val="333333"/>
          <w:spacing w:val="-2"/>
          <w:sz w:val="21"/>
        </w:rPr>
        <w:t xml:space="preserve"> </w:t>
      </w:r>
      <w:r>
        <w:rPr>
          <w:color w:val="333333"/>
          <w:spacing w:val="-2"/>
          <w:sz w:val="21"/>
        </w:rPr>
        <w:t>个。闷顶入口宜布置在</w:t>
      </w:r>
      <w:r>
        <w:rPr>
          <w:color w:val="333333"/>
          <w:spacing w:val="-3"/>
          <w:sz w:val="21"/>
        </w:rPr>
        <w:t>走廊中靠近楼梯间的部位。</w:t>
      </w:r>
      <w:r>
        <w:rPr>
          <w:color w:val="333333"/>
          <w:spacing w:val="-3"/>
          <w:sz w:val="21"/>
        </w:rPr>
        <w:t xml:space="preserve"> </w:t>
      </w:r>
    </w:p>
    <w:p w14:paraId="41C93B4C" w14:textId="77777777" w:rsidR="00A71EEF" w:rsidRDefault="0081115D">
      <w:pPr>
        <w:pStyle w:val="a4"/>
        <w:numPr>
          <w:ilvl w:val="2"/>
          <w:numId w:val="714"/>
        </w:numPr>
        <w:tabs>
          <w:tab w:val="left" w:pos="1370"/>
        </w:tabs>
        <w:spacing w:line="268" w:lineRule="exact"/>
        <w:ind w:left="1369" w:hanging="530"/>
        <w:rPr>
          <w:sz w:val="21"/>
        </w:rPr>
      </w:pPr>
      <w:r>
        <w:rPr>
          <w:color w:val="333333"/>
          <w:spacing w:val="-3"/>
          <w:sz w:val="21"/>
        </w:rPr>
        <w:t>变形缝内的填充材料和变形缝的构造基层应采用不燃材料。</w:t>
      </w:r>
      <w:r>
        <w:rPr>
          <w:color w:val="333333"/>
          <w:sz w:val="21"/>
        </w:rPr>
        <w:t xml:space="preserve"> </w:t>
      </w:r>
    </w:p>
    <w:p w14:paraId="5FF4AAA6" w14:textId="77777777" w:rsidR="00A71EEF" w:rsidRDefault="00A71EEF">
      <w:pPr>
        <w:pStyle w:val="a3"/>
        <w:spacing w:before="12"/>
        <w:rPr>
          <w:sz w:val="17"/>
        </w:rPr>
      </w:pPr>
    </w:p>
    <w:p w14:paraId="48438C8E" w14:textId="77777777" w:rsidR="00A71EEF" w:rsidRDefault="0081115D">
      <w:pPr>
        <w:pStyle w:val="a3"/>
        <w:spacing w:line="446" w:lineRule="auto"/>
        <w:ind w:left="418" w:right="1817" w:firstLine="419"/>
        <w:jc w:val="both"/>
      </w:pPr>
      <w:r>
        <w:rPr>
          <w:color w:val="333333"/>
        </w:rPr>
        <w:t>电线、电缆、可燃气体和甲、乙、丙类液体的管道不宜穿过建筑内的变形缝，确需穿过时，应在穿过处加设不燃材料制作的套管或采取其他防变形措施，并应采用防火封堵材料封堵。</w:t>
      </w:r>
      <w:r>
        <w:rPr>
          <w:color w:val="333333"/>
        </w:rPr>
        <w:t xml:space="preserve"> </w:t>
      </w:r>
    </w:p>
    <w:p w14:paraId="6273ECCA" w14:textId="77777777" w:rsidR="00A71EEF" w:rsidRDefault="0081115D">
      <w:pPr>
        <w:pStyle w:val="a4"/>
        <w:numPr>
          <w:ilvl w:val="2"/>
          <w:numId w:val="714"/>
        </w:numPr>
        <w:tabs>
          <w:tab w:val="left" w:pos="1371"/>
        </w:tabs>
        <w:spacing w:line="268" w:lineRule="exact"/>
        <w:ind w:left="1370" w:hanging="531"/>
        <w:rPr>
          <w:sz w:val="21"/>
        </w:rPr>
      </w:pPr>
      <w:r>
        <w:rPr>
          <w:color w:val="333333"/>
          <w:spacing w:val="-3"/>
          <w:sz w:val="21"/>
        </w:rPr>
        <w:t>防烟、排烟、供暖、通风和空气调节系统中的管道及建筑内的其他管道，在</w:t>
      </w:r>
      <w:r>
        <w:rPr>
          <w:color w:val="333333"/>
          <w:spacing w:val="-3"/>
          <w:sz w:val="21"/>
        </w:rPr>
        <w:t xml:space="preserve"> </w:t>
      </w:r>
    </w:p>
    <w:p w14:paraId="144FECFC" w14:textId="77777777" w:rsidR="00A71EEF" w:rsidRDefault="00A71EEF">
      <w:pPr>
        <w:pStyle w:val="a3"/>
        <w:rPr>
          <w:sz w:val="18"/>
        </w:rPr>
      </w:pPr>
    </w:p>
    <w:p w14:paraId="59432CBA" w14:textId="77777777" w:rsidR="00A71EEF" w:rsidRDefault="0081115D">
      <w:pPr>
        <w:pStyle w:val="a3"/>
        <w:ind w:left="838"/>
      </w:pPr>
      <w:r>
        <w:rPr>
          <w:color w:val="333333"/>
        </w:rPr>
        <w:t>穿越防火隔墙、楼板和防火墙处的孔隙应采用防火封堵材料封堵。</w:t>
      </w:r>
      <w:r>
        <w:rPr>
          <w:color w:val="333333"/>
        </w:rPr>
        <w:t xml:space="preserve"> </w:t>
      </w:r>
    </w:p>
    <w:p w14:paraId="0117C9B8" w14:textId="77777777" w:rsidR="00A71EEF" w:rsidRDefault="00A71EEF">
      <w:pPr>
        <w:pStyle w:val="a3"/>
        <w:spacing w:before="1"/>
        <w:rPr>
          <w:sz w:val="18"/>
        </w:rPr>
      </w:pPr>
    </w:p>
    <w:p w14:paraId="08A24BC6" w14:textId="77777777" w:rsidR="00A71EEF" w:rsidRDefault="0081115D">
      <w:pPr>
        <w:pStyle w:val="a3"/>
        <w:spacing w:before="1" w:line="446" w:lineRule="auto"/>
        <w:ind w:left="418" w:right="1450" w:firstLine="419"/>
      </w:pPr>
      <w:r>
        <w:rPr>
          <w:color w:val="333333"/>
          <w:spacing w:val="-4"/>
        </w:rPr>
        <w:t>风管穿过防火隔墙、楼板和防火墙时，穿越处风管上的防火阀、排烟防火阀两侧各</w:t>
      </w:r>
      <w:r>
        <w:rPr>
          <w:color w:val="333333"/>
          <w:spacing w:val="-4"/>
        </w:rPr>
        <w:t xml:space="preserve"> </w:t>
      </w:r>
      <w:r>
        <w:rPr>
          <w:color w:val="333333"/>
        </w:rPr>
        <w:t>2.0m</w:t>
      </w:r>
      <w:r>
        <w:rPr>
          <w:color w:val="333333"/>
          <w:spacing w:val="12"/>
        </w:rPr>
        <w:t xml:space="preserve"> </w:t>
      </w:r>
      <w:r>
        <w:rPr>
          <w:color w:val="333333"/>
          <w:spacing w:val="12"/>
        </w:rPr>
        <w:t>范</w:t>
      </w:r>
      <w:r>
        <w:rPr>
          <w:color w:val="333333"/>
          <w:spacing w:val="-3"/>
        </w:rPr>
        <w:t>围内的风管应采用耐火风管或风管外壁应采取防火保护措施，且耐火极限不应低于该防火分隔</w:t>
      </w:r>
      <w:r>
        <w:rPr>
          <w:color w:val="333333"/>
          <w:spacing w:val="-3"/>
        </w:rPr>
        <w:t xml:space="preserve"> </w:t>
      </w:r>
      <w:r>
        <w:rPr>
          <w:color w:val="333333"/>
          <w:spacing w:val="-3"/>
        </w:rPr>
        <w:t>体的耐火极限。</w:t>
      </w:r>
      <w:r>
        <w:rPr>
          <w:color w:val="333333"/>
        </w:rPr>
        <w:t xml:space="preserve"> </w:t>
      </w:r>
    </w:p>
    <w:p w14:paraId="554199AF" w14:textId="77777777" w:rsidR="00A71EEF" w:rsidRDefault="0081115D">
      <w:pPr>
        <w:pStyle w:val="a4"/>
        <w:numPr>
          <w:ilvl w:val="2"/>
          <w:numId w:val="714"/>
        </w:numPr>
        <w:tabs>
          <w:tab w:val="left" w:pos="1371"/>
        </w:tabs>
        <w:spacing w:line="446" w:lineRule="auto"/>
        <w:ind w:right="1604" w:firstLine="422"/>
        <w:rPr>
          <w:sz w:val="21"/>
        </w:rPr>
      </w:pPr>
      <w:r>
        <w:rPr>
          <w:color w:val="333333"/>
          <w:spacing w:val="-3"/>
          <w:sz w:val="21"/>
        </w:rPr>
        <w:t>建筑内受高温或火焰作用易变形的管道，在贯穿楼板部位和穿越防火隔墙的两侧宜采取阻火措施。</w:t>
      </w:r>
      <w:r>
        <w:rPr>
          <w:color w:val="333333"/>
          <w:sz w:val="21"/>
        </w:rPr>
        <w:t xml:space="preserve"> </w:t>
      </w:r>
    </w:p>
    <w:p w14:paraId="50B1C11A" w14:textId="77777777" w:rsidR="00A71EEF" w:rsidRDefault="0081115D">
      <w:pPr>
        <w:pStyle w:val="a4"/>
        <w:numPr>
          <w:ilvl w:val="2"/>
          <w:numId w:val="714"/>
        </w:numPr>
        <w:tabs>
          <w:tab w:val="left" w:pos="1371"/>
        </w:tabs>
        <w:spacing w:line="267" w:lineRule="exact"/>
        <w:ind w:left="1370" w:hanging="531"/>
        <w:rPr>
          <w:sz w:val="21"/>
        </w:rPr>
      </w:pPr>
      <w:r>
        <w:rPr>
          <w:color w:val="333333"/>
          <w:spacing w:val="-3"/>
          <w:sz w:val="21"/>
        </w:rPr>
        <w:t>建筑屋顶上的开口与邻近建筑或设施之间，应采取防止火灾蔓延的措施。</w:t>
      </w:r>
      <w:r>
        <w:rPr>
          <w:color w:val="333333"/>
          <w:spacing w:val="-3"/>
          <w:sz w:val="21"/>
        </w:rPr>
        <w:t xml:space="preserve"> </w:t>
      </w:r>
    </w:p>
    <w:p w14:paraId="4E49E19B" w14:textId="77777777" w:rsidR="00A71EEF" w:rsidRDefault="00A71EEF">
      <w:pPr>
        <w:pStyle w:val="a3"/>
        <w:rPr>
          <w:sz w:val="18"/>
        </w:rPr>
      </w:pPr>
    </w:p>
    <w:p w14:paraId="0360C503" w14:textId="77777777" w:rsidR="00A71EEF" w:rsidRDefault="0081115D">
      <w:pPr>
        <w:pStyle w:val="a4"/>
        <w:numPr>
          <w:ilvl w:val="1"/>
          <w:numId w:val="713"/>
        </w:numPr>
        <w:tabs>
          <w:tab w:val="left" w:pos="1160"/>
        </w:tabs>
        <w:rPr>
          <w:b/>
          <w:sz w:val="21"/>
        </w:rPr>
      </w:pPr>
      <w:r>
        <w:rPr>
          <w:spacing w:val="-3"/>
          <w:sz w:val="21"/>
        </w:rPr>
        <w:t>疏散楼梯间和疏散楼梯等</w:t>
      </w:r>
      <w:r>
        <w:rPr>
          <w:b/>
          <w:w w:val="99"/>
          <w:sz w:val="21"/>
        </w:rPr>
        <w:t xml:space="preserve"> </w:t>
      </w:r>
    </w:p>
    <w:p w14:paraId="3272C56E" w14:textId="77777777" w:rsidR="00A71EEF" w:rsidRDefault="00A71EEF">
      <w:pPr>
        <w:rPr>
          <w:sz w:val="21"/>
        </w:rPr>
        <w:sectPr w:rsidR="00A71EEF">
          <w:pgSz w:w="11910" w:h="16850"/>
          <w:pgMar w:top="1220" w:right="0" w:bottom="1420" w:left="1260" w:header="0" w:footer="1239" w:gutter="0"/>
          <w:cols w:space="720"/>
        </w:sectPr>
      </w:pPr>
    </w:p>
    <w:p w14:paraId="780CCF6B" w14:textId="77777777" w:rsidR="00A71EEF" w:rsidRDefault="0081115D">
      <w:pPr>
        <w:pStyle w:val="a4"/>
        <w:numPr>
          <w:ilvl w:val="2"/>
          <w:numId w:val="713"/>
        </w:numPr>
        <w:tabs>
          <w:tab w:val="left" w:pos="1370"/>
        </w:tabs>
        <w:spacing w:before="47"/>
        <w:ind w:hanging="530"/>
        <w:rPr>
          <w:sz w:val="21"/>
        </w:rPr>
      </w:pPr>
      <w:r>
        <w:rPr>
          <w:color w:val="333333"/>
          <w:spacing w:val="-3"/>
          <w:sz w:val="21"/>
        </w:rPr>
        <w:lastRenderedPageBreak/>
        <w:t>疏散楼梯间应符合下列规定：</w:t>
      </w:r>
      <w:r>
        <w:rPr>
          <w:color w:val="333333"/>
          <w:sz w:val="21"/>
        </w:rPr>
        <w:t xml:space="preserve"> </w:t>
      </w:r>
    </w:p>
    <w:p w14:paraId="1E7E407F" w14:textId="77777777" w:rsidR="00A71EEF" w:rsidRDefault="00A71EEF">
      <w:pPr>
        <w:pStyle w:val="a3"/>
        <w:rPr>
          <w:sz w:val="18"/>
        </w:rPr>
      </w:pPr>
    </w:p>
    <w:p w14:paraId="6C7D0F17" w14:textId="77777777" w:rsidR="00A71EEF" w:rsidRDefault="0081115D">
      <w:pPr>
        <w:pStyle w:val="a3"/>
        <w:spacing w:line="446" w:lineRule="auto"/>
        <w:ind w:left="418" w:right="1609" w:firstLine="419"/>
      </w:pPr>
      <w:r>
        <w:rPr>
          <w:color w:val="333333"/>
        </w:rPr>
        <w:t>楼梯间</w:t>
      </w:r>
      <w:r>
        <w:rPr>
          <w:color w:val="333333"/>
        </w:rPr>
        <w:t>应能天然采光和自然通风，并宜靠外墙设置。靠外墙设置时，楼梯间、前室及合用前室外墙上的窗口与两侧门、窗、洞口最近边缘的水平距离不应小于</w:t>
      </w:r>
      <w:r>
        <w:rPr>
          <w:color w:val="333333"/>
        </w:rPr>
        <w:t xml:space="preserve"> 1.0m</w:t>
      </w:r>
      <w:r>
        <w:rPr>
          <w:color w:val="333333"/>
        </w:rPr>
        <w:t>；</w:t>
      </w:r>
      <w:r>
        <w:rPr>
          <w:color w:val="333333"/>
        </w:rPr>
        <w:t xml:space="preserve"> </w:t>
      </w:r>
    </w:p>
    <w:p w14:paraId="14B8E616" w14:textId="77777777" w:rsidR="00A71EEF" w:rsidRDefault="0081115D">
      <w:pPr>
        <w:pStyle w:val="a3"/>
        <w:spacing w:line="446" w:lineRule="auto"/>
        <w:ind w:left="838" w:right="4657"/>
      </w:pPr>
      <w:r>
        <w:rPr>
          <w:color w:val="333333"/>
        </w:rPr>
        <w:t>楼梯间内不应设置烧水间、可燃材料储藏室、垃圾道；</w:t>
      </w:r>
      <w:r>
        <w:rPr>
          <w:color w:val="333333"/>
        </w:rPr>
        <w:t xml:space="preserve"> </w:t>
      </w:r>
      <w:r>
        <w:rPr>
          <w:color w:val="333333"/>
        </w:rPr>
        <w:t>楼梯间内不应有影响疏散的凸出物或其他障碍物；</w:t>
      </w:r>
      <w:r>
        <w:rPr>
          <w:color w:val="333333"/>
        </w:rPr>
        <w:t xml:space="preserve"> </w:t>
      </w:r>
    </w:p>
    <w:p w14:paraId="145F8FDE" w14:textId="77777777" w:rsidR="00A71EEF" w:rsidRDefault="0081115D">
      <w:pPr>
        <w:pStyle w:val="a3"/>
        <w:spacing w:line="267" w:lineRule="exact"/>
        <w:ind w:left="838"/>
      </w:pPr>
      <w:r>
        <w:rPr>
          <w:color w:val="333333"/>
        </w:rPr>
        <w:t>封闭楼梯间、防烟楼梯间及其前室，不应设置卷帘；</w:t>
      </w:r>
      <w:r>
        <w:rPr>
          <w:color w:val="333333"/>
        </w:rPr>
        <w:t xml:space="preserve"> </w:t>
      </w:r>
    </w:p>
    <w:p w14:paraId="311F0221" w14:textId="77777777" w:rsidR="00A71EEF" w:rsidRDefault="00A71EEF">
      <w:pPr>
        <w:pStyle w:val="a3"/>
        <w:spacing w:before="2"/>
        <w:rPr>
          <w:sz w:val="18"/>
        </w:rPr>
      </w:pPr>
    </w:p>
    <w:p w14:paraId="0DA17499" w14:textId="77777777" w:rsidR="00A71EEF" w:rsidRDefault="0081115D">
      <w:pPr>
        <w:pStyle w:val="a3"/>
        <w:ind w:left="838"/>
      </w:pPr>
      <w:r>
        <w:rPr>
          <w:color w:val="333333"/>
        </w:rPr>
        <w:t xml:space="preserve"> </w:t>
      </w:r>
      <w:r>
        <w:rPr>
          <w:color w:val="333333"/>
        </w:rPr>
        <w:t>楼梯间内不应设置甲、乙、丙类液体管道；</w:t>
      </w:r>
      <w:r>
        <w:rPr>
          <w:color w:val="333333"/>
        </w:rPr>
        <w:t xml:space="preserve"> </w:t>
      </w:r>
    </w:p>
    <w:p w14:paraId="0602C570" w14:textId="77777777" w:rsidR="00A71EEF" w:rsidRDefault="00A71EEF">
      <w:pPr>
        <w:pStyle w:val="a3"/>
        <w:rPr>
          <w:sz w:val="18"/>
        </w:rPr>
      </w:pPr>
    </w:p>
    <w:p w14:paraId="335D017A" w14:textId="77777777" w:rsidR="00A71EEF" w:rsidRDefault="0081115D">
      <w:pPr>
        <w:pStyle w:val="a3"/>
        <w:spacing w:line="446" w:lineRule="auto"/>
        <w:ind w:left="418" w:right="1608" w:firstLine="419"/>
        <w:jc w:val="both"/>
      </w:pPr>
      <w:r>
        <w:rPr>
          <w:color w:val="333333"/>
        </w:rPr>
        <w:t>封闭楼梯间、防烟楼梯间及其前室内禁止穿过或设置可燃气体管道。敞开楼梯间内不应设置可燃气体管道，当住宅建筑的敞开楼梯间内确需设置可燃气体管道和可燃气体计量表时，应采用金属管和设置切断气源的阀门。</w:t>
      </w:r>
      <w:r>
        <w:rPr>
          <w:color w:val="333333"/>
        </w:rPr>
        <w:t xml:space="preserve"> </w:t>
      </w:r>
    </w:p>
    <w:p w14:paraId="120E6A1C" w14:textId="77777777" w:rsidR="00A71EEF" w:rsidRDefault="0081115D">
      <w:pPr>
        <w:pStyle w:val="a4"/>
        <w:numPr>
          <w:ilvl w:val="2"/>
          <w:numId w:val="713"/>
        </w:numPr>
        <w:tabs>
          <w:tab w:val="left" w:pos="1371"/>
        </w:tabs>
        <w:spacing w:line="268" w:lineRule="exact"/>
        <w:ind w:left="1370" w:hanging="531"/>
        <w:jc w:val="both"/>
        <w:rPr>
          <w:sz w:val="21"/>
        </w:rPr>
      </w:pPr>
      <w:r>
        <w:rPr>
          <w:color w:val="333333"/>
          <w:spacing w:val="-7"/>
          <w:sz w:val="21"/>
        </w:rPr>
        <w:t>封闭楼梯间除应符合本规范第</w:t>
      </w:r>
      <w:r>
        <w:rPr>
          <w:color w:val="333333"/>
          <w:spacing w:val="-7"/>
          <w:sz w:val="21"/>
        </w:rPr>
        <w:t xml:space="preserve"> </w:t>
      </w:r>
      <w:r>
        <w:rPr>
          <w:color w:val="333333"/>
          <w:sz w:val="21"/>
        </w:rPr>
        <w:t>6.4.1</w:t>
      </w:r>
      <w:r>
        <w:rPr>
          <w:color w:val="333333"/>
          <w:spacing w:val="-3"/>
          <w:sz w:val="21"/>
        </w:rPr>
        <w:t xml:space="preserve"> </w:t>
      </w:r>
      <w:r>
        <w:rPr>
          <w:color w:val="333333"/>
          <w:spacing w:val="-3"/>
          <w:sz w:val="21"/>
        </w:rPr>
        <w:t>条的规定外，尚应符合下列规定：</w:t>
      </w:r>
      <w:r>
        <w:rPr>
          <w:color w:val="333333"/>
          <w:spacing w:val="-3"/>
          <w:sz w:val="21"/>
        </w:rPr>
        <w:t xml:space="preserve"> </w:t>
      </w:r>
    </w:p>
    <w:p w14:paraId="4E095DE8" w14:textId="77777777" w:rsidR="00A71EEF" w:rsidRDefault="00A71EEF">
      <w:pPr>
        <w:pStyle w:val="a3"/>
        <w:spacing w:before="12"/>
        <w:rPr>
          <w:sz w:val="17"/>
        </w:rPr>
      </w:pPr>
    </w:p>
    <w:p w14:paraId="58646DCA" w14:textId="77777777" w:rsidR="00A71EEF" w:rsidRDefault="0081115D">
      <w:pPr>
        <w:pStyle w:val="a3"/>
        <w:spacing w:line="446" w:lineRule="auto"/>
        <w:ind w:left="838" w:right="1505"/>
      </w:pPr>
      <w:r>
        <w:rPr>
          <w:color w:val="333333"/>
          <w:spacing w:val="-3"/>
        </w:rPr>
        <w:t>不能自然通风或自然通风不能满足要求时，应设置机械加压送风系统或采用防烟楼梯间；</w:t>
      </w:r>
      <w:r>
        <w:rPr>
          <w:color w:val="333333"/>
          <w:spacing w:val="-3"/>
        </w:rPr>
        <w:t xml:space="preserve"> </w:t>
      </w:r>
      <w:r>
        <w:rPr>
          <w:color w:val="333333"/>
          <w:spacing w:val="-3"/>
        </w:rPr>
        <w:t>除楼梯间的出入口和外窗外，楼梯间的墙上不应开设其他门、窗、洞口；</w:t>
      </w:r>
      <w:r>
        <w:rPr>
          <w:color w:val="333333"/>
        </w:rPr>
        <w:t xml:space="preserve"> </w:t>
      </w:r>
    </w:p>
    <w:p w14:paraId="1FD4B66D" w14:textId="77777777" w:rsidR="00A71EEF" w:rsidRDefault="0081115D">
      <w:pPr>
        <w:pStyle w:val="a3"/>
        <w:spacing w:before="1" w:line="446" w:lineRule="auto"/>
        <w:ind w:left="418" w:right="1609" w:firstLine="419"/>
      </w:pPr>
      <w:r>
        <w:rPr>
          <w:color w:val="333333"/>
        </w:rPr>
        <w:t>高层建筑、人员密集的公共建筑、人员密集的多层丙类厂房、甲、乙类厂房，其封闭楼梯间的门应采用乙</w:t>
      </w:r>
      <w:r>
        <w:rPr>
          <w:color w:val="333333"/>
        </w:rPr>
        <w:t>级防火门，并应向疏散方向开启；其他建筑，可采用双向弹簧门；</w:t>
      </w:r>
      <w:r>
        <w:rPr>
          <w:color w:val="333333"/>
        </w:rPr>
        <w:t xml:space="preserve"> </w:t>
      </w:r>
    </w:p>
    <w:p w14:paraId="3E67377C" w14:textId="77777777" w:rsidR="00A71EEF" w:rsidRDefault="0081115D">
      <w:pPr>
        <w:pStyle w:val="a3"/>
        <w:spacing w:line="446" w:lineRule="auto"/>
        <w:ind w:left="418" w:right="1609" w:firstLine="419"/>
      </w:pPr>
      <w:r>
        <w:rPr>
          <w:color w:val="333333"/>
        </w:rPr>
        <w:t>楼梯间的首层可将走道和门厅等包括在楼梯间内形成扩大的封闭楼梯间，但应采用乙级防火门等与其他走道和房间分隔。</w:t>
      </w:r>
      <w:r>
        <w:rPr>
          <w:color w:val="333333"/>
        </w:rPr>
        <w:t xml:space="preserve"> </w:t>
      </w:r>
    </w:p>
    <w:p w14:paraId="18C85941" w14:textId="77777777" w:rsidR="00A71EEF" w:rsidRDefault="0081115D">
      <w:pPr>
        <w:pStyle w:val="a4"/>
        <w:numPr>
          <w:ilvl w:val="2"/>
          <w:numId w:val="713"/>
        </w:numPr>
        <w:tabs>
          <w:tab w:val="left" w:pos="1370"/>
        </w:tabs>
        <w:spacing w:line="267" w:lineRule="exact"/>
        <w:ind w:hanging="530"/>
        <w:rPr>
          <w:sz w:val="21"/>
        </w:rPr>
      </w:pPr>
      <w:r>
        <w:rPr>
          <w:color w:val="333333"/>
          <w:spacing w:val="-7"/>
          <w:sz w:val="21"/>
        </w:rPr>
        <w:t>防烟楼梯间除应符合本规范第</w:t>
      </w:r>
      <w:r>
        <w:rPr>
          <w:color w:val="333333"/>
          <w:spacing w:val="-7"/>
          <w:sz w:val="21"/>
        </w:rPr>
        <w:t xml:space="preserve"> </w:t>
      </w:r>
      <w:r>
        <w:rPr>
          <w:color w:val="333333"/>
          <w:sz w:val="21"/>
        </w:rPr>
        <w:t>6.4.1</w:t>
      </w:r>
      <w:r>
        <w:rPr>
          <w:color w:val="333333"/>
          <w:spacing w:val="-3"/>
          <w:sz w:val="21"/>
        </w:rPr>
        <w:t xml:space="preserve"> </w:t>
      </w:r>
      <w:r>
        <w:rPr>
          <w:color w:val="333333"/>
          <w:spacing w:val="-3"/>
          <w:sz w:val="21"/>
        </w:rPr>
        <w:t>条的规定外，尚应符合下列规定：</w:t>
      </w:r>
      <w:r>
        <w:rPr>
          <w:color w:val="333333"/>
          <w:spacing w:val="-3"/>
          <w:sz w:val="21"/>
        </w:rPr>
        <w:t xml:space="preserve"> </w:t>
      </w:r>
    </w:p>
    <w:p w14:paraId="5914D7D9" w14:textId="77777777" w:rsidR="00A71EEF" w:rsidRDefault="00A71EEF">
      <w:pPr>
        <w:pStyle w:val="a3"/>
        <w:spacing w:before="1"/>
        <w:rPr>
          <w:sz w:val="18"/>
        </w:rPr>
      </w:pPr>
    </w:p>
    <w:p w14:paraId="0FA97361" w14:textId="77777777" w:rsidR="00A71EEF" w:rsidRDefault="0081115D">
      <w:pPr>
        <w:pStyle w:val="a3"/>
        <w:spacing w:before="1"/>
        <w:ind w:left="838"/>
      </w:pPr>
      <w:r>
        <w:rPr>
          <w:color w:val="333333"/>
        </w:rPr>
        <w:t>应设置防烟设施；</w:t>
      </w:r>
      <w:r>
        <w:rPr>
          <w:color w:val="333333"/>
        </w:rPr>
        <w:t xml:space="preserve"> </w:t>
      </w:r>
    </w:p>
    <w:p w14:paraId="72BC1804" w14:textId="77777777" w:rsidR="00A71EEF" w:rsidRDefault="00A71EEF">
      <w:pPr>
        <w:pStyle w:val="a3"/>
        <w:spacing w:before="12"/>
        <w:rPr>
          <w:sz w:val="17"/>
        </w:rPr>
      </w:pPr>
    </w:p>
    <w:p w14:paraId="34F2521B" w14:textId="77777777" w:rsidR="00A71EEF" w:rsidRDefault="0081115D">
      <w:pPr>
        <w:pStyle w:val="a3"/>
        <w:ind w:left="838"/>
      </w:pPr>
      <w:r>
        <w:rPr>
          <w:color w:val="333333"/>
        </w:rPr>
        <w:t>前室可与消防电梯间前室合用；</w:t>
      </w:r>
      <w:r>
        <w:rPr>
          <w:color w:val="333333"/>
        </w:rPr>
        <w:t xml:space="preserve"> </w:t>
      </w:r>
    </w:p>
    <w:p w14:paraId="4F44AB00" w14:textId="77777777" w:rsidR="00A71EEF" w:rsidRDefault="00A71EEF">
      <w:pPr>
        <w:pStyle w:val="a3"/>
        <w:spacing w:before="3"/>
        <w:rPr>
          <w:sz w:val="17"/>
        </w:rPr>
      </w:pPr>
    </w:p>
    <w:p w14:paraId="18610CFF" w14:textId="77777777" w:rsidR="00A71EEF" w:rsidRDefault="0081115D">
      <w:pPr>
        <w:pStyle w:val="a3"/>
        <w:spacing w:line="439" w:lineRule="auto"/>
        <w:ind w:left="418" w:right="1547" w:firstLine="419"/>
      </w:pPr>
      <w:r>
        <w:rPr>
          <w:color w:val="333333"/>
        </w:rPr>
        <w:t>前室的使用面积：公共建筑、高层厂房（仓库），不应小于</w:t>
      </w:r>
      <w:r>
        <w:rPr>
          <w:color w:val="333333"/>
        </w:rPr>
        <w:t xml:space="preserve"> 6.0 m</w:t>
      </w:r>
      <w:r>
        <w:rPr>
          <w:color w:val="333333"/>
          <w:position w:val="11"/>
          <w:sz w:val="11"/>
        </w:rPr>
        <w:t>2</w:t>
      </w:r>
      <w:r>
        <w:rPr>
          <w:color w:val="333333"/>
        </w:rPr>
        <w:t>；住宅建筑，不应小于</w:t>
      </w:r>
      <w:r>
        <w:rPr>
          <w:color w:val="333333"/>
        </w:rPr>
        <w:t>4.5m</w:t>
      </w:r>
      <w:r>
        <w:rPr>
          <w:color w:val="333333"/>
          <w:position w:val="11"/>
          <w:sz w:val="11"/>
        </w:rPr>
        <w:t>2</w:t>
      </w:r>
      <w:r>
        <w:rPr>
          <w:color w:val="333333"/>
        </w:rPr>
        <w:t>。</w:t>
      </w:r>
      <w:r>
        <w:rPr>
          <w:color w:val="333333"/>
        </w:rPr>
        <w:t xml:space="preserve"> </w:t>
      </w:r>
    </w:p>
    <w:p w14:paraId="5E3C5EFD" w14:textId="77777777" w:rsidR="00A71EEF" w:rsidRDefault="0081115D">
      <w:pPr>
        <w:pStyle w:val="a3"/>
        <w:spacing w:before="6" w:line="436" w:lineRule="auto"/>
        <w:ind w:left="418" w:right="1609" w:firstLine="419"/>
      </w:pPr>
      <w:r>
        <w:rPr>
          <w:color w:val="333333"/>
        </w:rPr>
        <w:t>与消防电梯间前室合用时，合用前室的使用面积：公共建筑、高层厂房（仓库），不应小于</w:t>
      </w:r>
      <w:r>
        <w:rPr>
          <w:color w:val="333333"/>
        </w:rPr>
        <w:t xml:space="preserve"> 10.0m</w:t>
      </w:r>
      <w:r>
        <w:rPr>
          <w:color w:val="333333"/>
          <w:position w:val="11"/>
          <w:sz w:val="11"/>
        </w:rPr>
        <w:t>2</w:t>
      </w:r>
      <w:r>
        <w:rPr>
          <w:color w:val="333333"/>
        </w:rPr>
        <w:t>；住宅建筑，不应小于</w:t>
      </w:r>
      <w:r>
        <w:rPr>
          <w:color w:val="333333"/>
        </w:rPr>
        <w:t xml:space="preserve"> 6.0m</w:t>
      </w:r>
      <w:r>
        <w:rPr>
          <w:color w:val="333333"/>
          <w:position w:val="11"/>
          <w:sz w:val="11"/>
        </w:rPr>
        <w:t>2</w:t>
      </w:r>
      <w:r>
        <w:rPr>
          <w:color w:val="333333"/>
        </w:rPr>
        <w:t>；</w:t>
      </w:r>
      <w:r>
        <w:rPr>
          <w:color w:val="333333"/>
        </w:rPr>
        <w:t xml:space="preserve"> </w:t>
      </w:r>
    </w:p>
    <w:p w14:paraId="4D14ED45" w14:textId="77777777" w:rsidR="00A71EEF" w:rsidRDefault="0081115D">
      <w:pPr>
        <w:pStyle w:val="a3"/>
        <w:spacing w:before="11"/>
        <w:ind w:left="838"/>
      </w:pPr>
      <w:r>
        <w:rPr>
          <w:color w:val="333333"/>
        </w:rPr>
        <w:t>疏散走道通向前室以及前室通向楼梯间的门应采用乙级防火门；</w:t>
      </w:r>
      <w:r>
        <w:rPr>
          <w:color w:val="333333"/>
        </w:rPr>
        <w:t xml:space="preserve"> </w:t>
      </w:r>
    </w:p>
    <w:p w14:paraId="36DF5658" w14:textId="77777777" w:rsidR="00A71EEF" w:rsidRDefault="00A71EEF">
      <w:pPr>
        <w:pStyle w:val="a3"/>
        <w:rPr>
          <w:sz w:val="18"/>
        </w:rPr>
      </w:pPr>
    </w:p>
    <w:p w14:paraId="3100457C" w14:textId="77777777" w:rsidR="00A71EEF" w:rsidRDefault="0081115D">
      <w:pPr>
        <w:pStyle w:val="a3"/>
        <w:spacing w:line="446" w:lineRule="auto"/>
        <w:ind w:left="418" w:right="1609" w:firstLine="419"/>
      </w:pPr>
      <w:r>
        <w:rPr>
          <w:color w:val="333333"/>
        </w:rPr>
        <w:t>除住宅建筑的楼梯间前室外，防烟楼梯间和前室内的墙上不应开设除疏散门和送风口外的其他门、窗、洞口；</w:t>
      </w:r>
      <w:r>
        <w:rPr>
          <w:color w:val="333333"/>
        </w:rPr>
        <w:t xml:space="preserve"> </w:t>
      </w:r>
    </w:p>
    <w:p w14:paraId="727685E1" w14:textId="77777777" w:rsidR="00A71EEF" w:rsidRDefault="00A71EEF">
      <w:pPr>
        <w:spacing w:line="446" w:lineRule="auto"/>
        <w:sectPr w:rsidR="00A71EEF">
          <w:pgSz w:w="11910" w:h="16850"/>
          <w:pgMar w:top="1220" w:right="0" w:bottom="1420" w:left="1260" w:header="0" w:footer="1239" w:gutter="0"/>
          <w:cols w:space="720"/>
        </w:sectPr>
      </w:pPr>
    </w:p>
    <w:p w14:paraId="47FAEECA" w14:textId="77777777" w:rsidR="00A71EEF" w:rsidRDefault="0081115D">
      <w:pPr>
        <w:pStyle w:val="a3"/>
        <w:spacing w:before="47" w:line="446" w:lineRule="auto"/>
        <w:ind w:left="418" w:right="1609" w:firstLine="419"/>
      </w:pPr>
      <w:r>
        <w:rPr>
          <w:color w:val="333333"/>
        </w:rPr>
        <w:lastRenderedPageBreak/>
        <w:t>楼梯间的首层可将走道和门厅等包括在楼梯间前室内形成扩大的前室，但应采用乙级防火门等与其他走道和房间分隔。</w:t>
      </w:r>
      <w:r>
        <w:rPr>
          <w:color w:val="333333"/>
        </w:rPr>
        <w:t xml:space="preserve"> </w:t>
      </w:r>
    </w:p>
    <w:p w14:paraId="00A7A483" w14:textId="77777777" w:rsidR="00A71EEF" w:rsidRDefault="0081115D">
      <w:pPr>
        <w:pStyle w:val="a4"/>
        <w:numPr>
          <w:ilvl w:val="2"/>
          <w:numId w:val="713"/>
        </w:numPr>
        <w:tabs>
          <w:tab w:val="left" w:pos="1371"/>
        </w:tabs>
        <w:spacing w:line="446" w:lineRule="auto"/>
        <w:ind w:left="418" w:right="1813" w:firstLine="422"/>
        <w:rPr>
          <w:sz w:val="21"/>
        </w:rPr>
      </w:pPr>
      <w:r>
        <w:rPr>
          <w:color w:val="333333"/>
          <w:spacing w:val="-3"/>
          <w:sz w:val="21"/>
        </w:rPr>
        <w:t>除通向避难层错位的疏散楼梯外，建筑内的疏散楼梯间在各层的平面位置不应改变。</w:t>
      </w:r>
      <w:r>
        <w:rPr>
          <w:color w:val="333333"/>
          <w:sz w:val="21"/>
        </w:rPr>
        <w:t xml:space="preserve"> </w:t>
      </w:r>
    </w:p>
    <w:p w14:paraId="3A5EE2FF" w14:textId="77777777" w:rsidR="00A71EEF" w:rsidRDefault="0081115D">
      <w:pPr>
        <w:pStyle w:val="a3"/>
        <w:spacing w:line="446" w:lineRule="auto"/>
        <w:ind w:left="418" w:right="1817" w:firstLine="419"/>
      </w:pPr>
      <w:r>
        <w:rPr>
          <w:color w:val="333333"/>
        </w:rPr>
        <w:t>除住宅建筑套内的自用楼梯外，地下或半地下建筑（室）的疏散楼梯间，应符合下列规定：</w:t>
      </w:r>
      <w:r>
        <w:rPr>
          <w:color w:val="333333"/>
        </w:rPr>
        <w:t xml:space="preserve"> </w:t>
      </w:r>
    </w:p>
    <w:p w14:paraId="65372D52" w14:textId="77777777" w:rsidR="00A71EEF" w:rsidRDefault="0081115D">
      <w:pPr>
        <w:pStyle w:val="a3"/>
        <w:spacing w:line="446" w:lineRule="auto"/>
        <w:ind w:left="418" w:right="1505" w:firstLine="419"/>
      </w:pPr>
      <w:r>
        <w:rPr>
          <w:color w:val="333333"/>
          <w:spacing w:val="-6"/>
        </w:rPr>
        <w:t>室内地面与室外出入口地坪高差大于</w:t>
      </w:r>
      <w:r>
        <w:rPr>
          <w:color w:val="333333"/>
          <w:spacing w:val="-6"/>
        </w:rPr>
        <w:t xml:space="preserve"> </w:t>
      </w:r>
      <w:r>
        <w:rPr>
          <w:color w:val="333333"/>
        </w:rPr>
        <w:t>10m</w:t>
      </w:r>
      <w:r>
        <w:rPr>
          <w:color w:val="333333"/>
          <w:spacing w:val="-12"/>
        </w:rPr>
        <w:t xml:space="preserve"> </w:t>
      </w:r>
      <w:r>
        <w:rPr>
          <w:color w:val="333333"/>
          <w:spacing w:val="-12"/>
        </w:rPr>
        <w:t>或</w:t>
      </w:r>
      <w:r>
        <w:rPr>
          <w:color w:val="333333"/>
          <w:spacing w:val="-12"/>
        </w:rPr>
        <w:t xml:space="preserve"> </w:t>
      </w:r>
      <w:r>
        <w:rPr>
          <w:color w:val="333333"/>
          <w:spacing w:val="-3"/>
        </w:rPr>
        <w:t xml:space="preserve">3 </w:t>
      </w:r>
      <w:r>
        <w:rPr>
          <w:color w:val="333333"/>
          <w:spacing w:val="-3"/>
        </w:rPr>
        <w:t>层及以上的地下、半地下建筑</w:t>
      </w:r>
      <w:r>
        <w:rPr>
          <w:color w:val="333333"/>
        </w:rPr>
        <w:t>（室）</w:t>
      </w:r>
      <w:r>
        <w:rPr>
          <w:color w:val="333333"/>
          <w:spacing w:val="-2"/>
        </w:rPr>
        <w:t>，其疏</w:t>
      </w:r>
      <w:r>
        <w:rPr>
          <w:color w:val="333333"/>
          <w:spacing w:val="-3"/>
        </w:rPr>
        <w:t>散楼梯应采用防烟楼梯间；其他地下或半地下建筑</w:t>
      </w:r>
      <w:r>
        <w:rPr>
          <w:color w:val="333333"/>
        </w:rPr>
        <w:t>（室）</w:t>
      </w:r>
      <w:r>
        <w:rPr>
          <w:color w:val="333333"/>
          <w:spacing w:val="-3"/>
        </w:rPr>
        <w:t>，其疏散楼梯应采用封闭楼梯间；</w:t>
      </w:r>
      <w:r>
        <w:rPr>
          <w:color w:val="333333"/>
        </w:rPr>
        <w:t xml:space="preserve"> </w:t>
      </w:r>
    </w:p>
    <w:p w14:paraId="10D2A28C" w14:textId="77777777" w:rsidR="00A71EEF" w:rsidRDefault="0081115D">
      <w:pPr>
        <w:pStyle w:val="a3"/>
        <w:spacing w:line="446" w:lineRule="auto"/>
        <w:ind w:left="418" w:right="1498" w:firstLine="419"/>
      </w:pPr>
      <w:r>
        <w:rPr>
          <w:color w:val="333333"/>
        </w:rPr>
        <w:t>应在首层采用耐火极限不低于</w:t>
      </w:r>
      <w:r>
        <w:rPr>
          <w:color w:val="333333"/>
        </w:rPr>
        <w:t xml:space="preserve"> 2.00h </w:t>
      </w:r>
      <w:r>
        <w:rPr>
          <w:color w:val="333333"/>
        </w:rPr>
        <w:t>的防火隔墙与其他部位分隔并应直通室外，确需在隔墙上开门时，应采用乙级防火门；</w:t>
      </w:r>
      <w:r>
        <w:rPr>
          <w:color w:val="333333"/>
        </w:rPr>
        <w:t xml:space="preserve"> </w:t>
      </w:r>
    </w:p>
    <w:p w14:paraId="7BB27CB8" w14:textId="77777777" w:rsidR="00A71EEF" w:rsidRDefault="0081115D">
      <w:pPr>
        <w:pStyle w:val="a3"/>
        <w:spacing w:line="446" w:lineRule="auto"/>
        <w:ind w:left="418" w:right="1558" w:firstLine="419"/>
        <w:jc w:val="both"/>
      </w:pPr>
      <w:r>
        <w:rPr>
          <w:color w:val="333333"/>
          <w:spacing w:val="-3"/>
        </w:rPr>
        <w:t>建筑的地下或半地下部分与地上部分不应共用楼梯间，确需共用楼梯间时，应在首层采用</w:t>
      </w:r>
      <w:r>
        <w:rPr>
          <w:color w:val="333333"/>
          <w:spacing w:val="-8"/>
        </w:rPr>
        <w:t>耐火极限不低于</w:t>
      </w:r>
      <w:r>
        <w:rPr>
          <w:color w:val="333333"/>
          <w:spacing w:val="-8"/>
        </w:rPr>
        <w:t xml:space="preserve"> </w:t>
      </w:r>
      <w:r>
        <w:rPr>
          <w:color w:val="333333"/>
        </w:rPr>
        <w:t>2.00h</w:t>
      </w:r>
      <w:r>
        <w:rPr>
          <w:color w:val="333333"/>
          <w:spacing w:val="-3"/>
        </w:rPr>
        <w:t xml:space="preserve"> </w:t>
      </w:r>
      <w:r>
        <w:rPr>
          <w:color w:val="333333"/>
          <w:spacing w:val="-3"/>
        </w:rPr>
        <w:t>的防火隔墙和乙级防火门将地下或半地下部分与地上部分的连通部位完全分隔，并应设置明显的标志。</w:t>
      </w:r>
      <w:r>
        <w:rPr>
          <w:color w:val="333333"/>
        </w:rPr>
        <w:t xml:space="preserve"> </w:t>
      </w:r>
    </w:p>
    <w:p w14:paraId="096790F7" w14:textId="77777777" w:rsidR="00A71EEF" w:rsidRDefault="0081115D">
      <w:pPr>
        <w:pStyle w:val="a4"/>
        <w:numPr>
          <w:ilvl w:val="2"/>
          <w:numId w:val="713"/>
        </w:numPr>
        <w:tabs>
          <w:tab w:val="left" w:pos="1371"/>
        </w:tabs>
        <w:spacing w:line="268" w:lineRule="exact"/>
        <w:ind w:left="1370" w:hanging="531"/>
        <w:rPr>
          <w:sz w:val="21"/>
        </w:rPr>
      </w:pPr>
      <w:r>
        <w:rPr>
          <w:color w:val="333333"/>
          <w:spacing w:val="-3"/>
          <w:sz w:val="21"/>
        </w:rPr>
        <w:t>室外疏散楼梯应符合下列规定：</w:t>
      </w:r>
      <w:r>
        <w:rPr>
          <w:color w:val="333333"/>
          <w:sz w:val="21"/>
        </w:rPr>
        <w:t xml:space="preserve"> </w:t>
      </w:r>
    </w:p>
    <w:p w14:paraId="6530F96B" w14:textId="77777777" w:rsidR="00A71EEF" w:rsidRDefault="00A71EEF">
      <w:pPr>
        <w:pStyle w:val="a3"/>
        <w:spacing w:before="8"/>
        <w:rPr>
          <w:sz w:val="17"/>
        </w:rPr>
      </w:pPr>
    </w:p>
    <w:p w14:paraId="22DD65B9" w14:textId="77777777" w:rsidR="00A71EEF" w:rsidRDefault="0081115D">
      <w:pPr>
        <w:pStyle w:val="a3"/>
        <w:ind w:left="838"/>
      </w:pPr>
      <w:r>
        <w:rPr>
          <w:color w:val="333333"/>
        </w:rPr>
        <w:t>栏杆扶手的高度不应小于</w:t>
      </w:r>
      <w:r>
        <w:rPr>
          <w:color w:val="333333"/>
        </w:rPr>
        <w:t xml:space="preserve"> 1.10m</w:t>
      </w:r>
      <w:r>
        <w:rPr>
          <w:color w:val="333333"/>
        </w:rPr>
        <w:t>，楼梯的净宽度不应小于</w:t>
      </w:r>
      <w:r>
        <w:rPr>
          <w:color w:val="333333"/>
        </w:rPr>
        <w:t xml:space="preserve"> 0.90m</w:t>
      </w:r>
      <w:r>
        <w:rPr>
          <w:color w:val="333333"/>
        </w:rPr>
        <w:t>；</w:t>
      </w:r>
      <w:r>
        <w:rPr>
          <w:color w:val="333333"/>
        </w:rPr>
        <w:t xml:space="preserve"> </w:t>
      </w:r>
    </w:p>
    <w:p w14:paraId="22943A9B" w14:textId="77777777" w:rsidR="00A71EEF" w:rsidRDefault="00A71EEF">
      <w:pPr>
        <w:pStyle w:val="a3"/>
        <w:spacing w:before="2"/>
        <w:rPr>
          <w:sz w:val="18"/>
        </w:rPr>
      </w:pPr>
    </w:p>
    <w:p w14:paraId="2B992254" w14:textId="77777777" w:rsidR="00A71EEF" w:rsidRDefault="0081115D">
      <w:pPr>
        <w:pStyle w:val="a3"/>
        <w:ind w:left="838"/>
      </w:pPr>
      <w:r>
        <w:rPr>
          <w:color w:val="333333"/>
        </w:rPr>
        <w:t>倾斜角度不应大于</w:t>
      </w:r>
      <w:r>
        <w:rPr>
          <w:color w:val="333333"/>
        </w:rPr>
        <w:t xml:space="preserve"> 45°</w:t>
      </w:r>
      <w:r>
        <w:rPr>
          <w:color w:val="333333"/>
        </w:rPr>
        <w:t>；</w:t>
      </w:r>
      <w:r>
        <w:rPr>
          <w:color w:val="333333"/>
        </w:rPr>
        <w:t xml:space="preserve"> </w:t>
      </w:r>
    </w:p>
    <w:p w14:paraId="2CC6B813" w14:textId="77777777" w:rsidR="00A71EEF" w:rsidRDefault="00A71EEF">
      <w:pPr>
        <w:pStyle w:val="a3"/>
        <w:spacing w:before="12"/>
        <w:rPr>
          <w:sz w:val="17"/>
        </w:rPr>
      </w:pPr>
    </w:p>
    <w:p w14:paraId="5E907649" w14:textId="77777777" w:rsidR="00A71EEF" w:rsidRDefault="0081115D">
      <w:pPr>
        <w:pStyle w:val="a3"/>
        <w:spacing w:before="1" w:line="446" w:lineRule="auto"/>
        <w:ind w:left="418" w:right="1391" w:firstLine="419"/>
      </w:pPr>
      <w:r>
        <w:rPr>
          <w:color w:val="333333"/>
        </w:rPr>
        <w:t>梯段和平台均应采用不燃材料制作。平台的耐火极限不应低于</w:t>
      </w:r>
      <w:r>
        <w:rPr>
          <w:color w:val="333333"/>
        </w:rPr>
        <w:t xml:space="preserve"> 1.00h</w:t>
      </w:r>
      <w:r>
        <w:rPr>
          <w:color w:val="333333"/>
        </w:rPr>
        <w:t>，梯段的耐火极限不应低于</w:t>
      </w:r>
      <w:r>
        <w:rPr>
          <w:color w:val="333333"/>
        </w:rPr>
        <w:t xml:space="preserve"> 0.25h</w:t>
      </w:r>
      <w:r>
        <w:rPr>
          <w:color w:val="333333"/>
        </w:rPr>
        <w:t>；</w:t>
      </w:r>
      <w:r>
        <w:rPr>
          <w:color w:val="333333"/>
        </w:rPr>
        <w:t xml:space="preserve"> </w:t>
      </w:r>
    </w:p>
    <w:p w14:paraId="6716B000" w14:textId="77777777" w:rsidR="00A71EEF" w:rsidRDefault="0081115D">
      <w:pPr>
        <w:pStyle w:val="a3"/>
        <w:ind w:left="838"/>
      </w:pPr>
      <w:r>
        <w:rPr>
          <w:color w:val="333333"/>
        </w:rPr>
        <w:t>通向室外楼梯的门应采用乙级防火门，并应向外开启；</w:t>
      </w:r>
      <w:r>
        <w:rPr>
          <w:color w:val="333333"/>
        </w:rPr>
        <w:t xml:space="preserve"> </w:t>
      </w:r>
    </w:p>
    <w:p w14:paraId="6C6AD5E6" w14:textId="77777777" w:rsidR="00A71EEF" w:rsidRDefault="00A71EEF">
      <w:pPr>
        <w:pStyle w:val="a3"/>
        <w:spacing w:before="12"/>
        <w:rPr>
          <w:sz w:val="17"/>
        </w:rPr>
      </w:pPr>
    </w:p>
    <w:p w14:paraId="599CD9F4" w14:textId="77777777" w:rsidR="00A71EEF" w:rsidRDefault="0081115D">
      <w:pPr>
        <w:pStyle w:val="a3"/>
        <w:spacing w:line="446" w:lineRule="auto"/>
        <w:ind w:left="840" w:right="1664" w:hanging="3"/>
      </w:pPr>
      <w:r>
        <w:rPr>
          <w:color w:val="333333"/>
        </w:rPr>
        <w:t xml:space="preserve"> </w:t>
      </w:r>
      <w:r>
        <w:rPr>
          <w:color w:val="333333"/>
        </w:rPr>
        <w:t>除疏散</w:t>
      </w:r>
      <w:r>
        <w:rPr>
          <w:color w:val="333333"/>
        </w:rPr>
        <w:t>门外，楼梯周围</w:t>
      </w:r>
      <w:r>
        <w:rPr>
          <w:color w:val="333333"/>
        </w:rPr>
        <w:t xml:space="preserve"> 2m </w:t>
      </w:r>
      <w:r>
        <w:rPr>
          <w:color w:val="333333"/>
        </w:rPr>
        <w:t>内的墙面上不应设置门、窗、洞口。疏散门不应正对梯段。</w:t>
      </w:r>
      <w:r>
        <w:rPr>
          <w:b/>
          <w:color w:val="333333"/>
        </w:rPr>
        <w:t xml:space="preserve">6.4.6 </w:t>
      </w:r>
      <w:r>
        <w:rPr>
          <w:color w:val="333333"/>
        </w:rPr>
        <w:t>用作丁、戊类厂房内第二安全出口的楼梯可采用金属梯，但其净宽度不应小于</w:t>
      </w:r>
    </w:p>
    <w:p w14:paraId="71625A27" w14:textId="77777777" w:rsidR="00A71EEF" w:rsidRDefault="0081115D">
      <w:pPr>
        <w:pStyle w:val="a3"/>
        <w:ind w:left="418"/>
      </w:pPr>
      <w:r>
        <w:rPr>
          <w:color w:val="333333"/>
        </w:rPr>
        <w:t>0.90m</w:t>
      </w:r>
      <w:r>
        <w:rPr>
          <w:color w:val="333333"/>
        </w:rPr>
        <w:t>，倾斜角度不应大于</w:t>
      </w:r>
      <w:r>
        <w:rPr>
          <w:color w:val="333333"/>
        </w:rPr>
        <w:t xml:space="preserve"> 45°</w:t>
      </w:r>
      <w:r>
        <w:rPr>
          <w:color w:val="333333"/>
        </w:rPr>
        <w:t>。</w:t>
      </w:r>
      <w:r>
        <w:rPr>
          <w:color w:val="333333"/>
        </w:rPr>
        <w:t xml:space="preserve"> </w:t>
      </w:r>
    </w:p>
    <w:p w14:paraId="65297550" w14:textId="77777777" w:rsidR="00A71EEF" w:rsidRDefault="00A71EEF">
      <w:pPr>
        <w:pStyle w:val="a3"/>
        <w:rPr>
          <w:sz w:val="18"/>
        </w:rPr>
      </w:pPr>
    </w:p>
    <w:p w14:paraId="028674AE" w14:textId="77777777" w:rsidR="00A71EEF" w:rsidRDefault="0081115D">
      <w:pPr>
        <w:pStyle w:val="a3"/>
        <w:spacing w:line="446" w:lineRule="auto"/>
        <w:ind w:left="418" w:right="1505" w:firstLine="419"/>
        <w:jc w:val="both"/>
      </w:pPr>
      <w:r>
        <w:rPr>
          <w:color w:val="333333"/>
          <w:spacing w:val="-5"/>
        </w:rPr>
        <w:t>丁、戊类高层厂房，当每层工作平台上的人数不超过</w:t>
      </w:r>
      <w:r>
        <w:rPr>
          <w:color w:val="333333"/>
          <w:spacing w:val="-5"/>
        </w:rPr>
        <w:t xml:space="preserve"> </w:t>
      </w:r>
      <w:r>
        <w:rPr>
          <w:color w:val="333333"/>
        </w:rPr>
        <w:t>2</w:t>
      </w:r>
      <w:r>
        <w:rPr>
          <w:color w:val="333333"/>
          <w:spacing w:val="-3"/>
        </w:rPr>
        <w:t xml:space="preserve"> </w:t>
      </w:r>
      <w:r>
        <w:rPr>
          <w:color w:val="333333"/>
          <w:spacing w:val="-3"/>
        </w:rPr>
        <w:t>人且各层工作平台上同时工作的人</w:t>
      </w:r>
      <w:r>
        <w:rPr>
          <w:color w:val="333333"/>
          <w:spacing w:val="-9"/>
        </w:rPr>
        <w:t>数总和不超过</w:t>
      </w:r>
      <w:r>
        <w:rPr>
          <w:color w:val="333333"/>
          <w:spacing w:val="-9"/>
        </w:rPr>
        <w:t xml:space="preserve"> </w:t>
      </w:r>
      <w:r>
        <w:rPr>
          <w:color w:val="333333"/>
        </w:rPr>
        <w:t>10</w:t>
      </w:r>
      <w:r>
        <w:rPr>
          <w:color w:val="333333"/>
          <w:spacing w:val="-5"/>
        </w:rPr>
        <w:t xml:space="preserve"> </w:t>
      </w:r>
      <w:r>
        <w:rPr>
          <w:color w:val="333333"/>
          <w:spacing w:val="-5"/>
        </w:rPr>
        <w:t>人时，其疏散楼梯可采用敞开楼梯或利用净宽度不小于</w:t>
      </w:r>
      <w:r>
        <w:rPr>
          <w:color w:val="333333"/>
          <w:spacing w:val="-5"/>
        </w:rPr>
        <w:t xml:space="preserve"> </w:t>
      </w:r>
      <w:r>
        <w:rPr>
          <w:color w:val="333333"/>
        </w:rPr>
        <w:t>0.90m</w:t>
      </w:r>
      <w:r>
        <w:rPr>
          <w:color w:val="333333"/>
          <w:spacing w:val="-3"/>
        </w:rPr>
        <w:t>、倾斜角度不大</w:t>
      </w:r>
      <w:r>
        <w:rPr>
          <w:color w:val="333333"/>
          <w:spacing w:val="-28"/>
        </w:rPr>
        <w:t>于</w:t>
      </w:r>
      <w:r>
        <w:rPr>
          <w:color w:val="333333"/>
          <w:spacing w:val="-28"/>
        </w:rPr>
        <w:t xml:space="preserve"> </w:t>
      </w:r>
      <w:r>
        <w:rPr>
          <w:color w:val="333333"/>
        </w:rPr>
        <w:t>60</w:t>
      </w:r>
      <w:r>
        <w:rPr>
          <w:color w:val="333333"/>
          <w:spacing w:val="-3"/>
        </w:rPr>
        <w:t>°</w:t>
      </w:r>
      <w:r>
        <w:rPr>
          <w:color w:val="333333"/>
          <w:spacing w:val="-3"/>
        </w:rPr>
        <w:t>的金属梯。</w:t>
      </w:r>
      <w:r>
        <w:rPr>
          <w:color w:val="333333"/>
        </w:rPr>
        <w:t xml:space="preserve"> </w:t>
      </w:r>
    </w:p>
    <w:p w14:paraId="7B36D8ED" w14:textId="77777777" w:rsidR="00A71EEF" w:rsidRDefault="0081115D">
      <w:pPr>
        <w:pStyle w:val="a4"/>
        <w:numPr>
          <w:ilvl w:val="2"/>
          <w:numId w:val="712"/>
        </w:numPr>
        <w:tabs>
          <w:tab w:val="left" w:pos="1371"/>
        </w:tabs>
        <w:spacing w:line="446" w:lineRule="auto"/>
        <w:ind w:right="1604" w:firstLine="422"/>
        <w:rPr>
          <w:sz w:val="21"/>
        </w:rPr>
      </w:pPr>
      <w:r>
        <w:rPr>
          <w:color w:val="333333"/>
          <w:spacing w:val="-3"/>
          <w:sz w:val="21"/>
        </w:rPr>
        <w:t>疏散用楼梯和疏散通道上的阶梯不宜采用螺旋楼梯和扇形踏步；确需采用时，踏步</w:t>
      </w:r>
      <w:r>
        <w:rPr>
          <w:color w:val="333333"/>
          <w:spacing w:val="-6"/>
          <w:sz w:val="21"/>
        </w:rPr>
        <w:t>上、下两级所形成的平面角度不应大于</w:t>
      </w:r>
      <w:r>
        <w:rPr>
          <w:color w:val="333333"/>
          <w:spacing w:val="-6"/>
          <w:sz w:val="21"/>
        </w:rPr>
        <w:t xml:space="preserve"> </w:t>
      </w:r>
      <w:r>
        <w:rPr>
          <w:color w:val="333333"/>
          <w:sz w:val="21"/>
        </w:rPr>
        <w:t>10</w:t>
      </w:r>
      <w:r>
        <w:rPr>
          <w:color w:val="333333"/>
          <w:spacing w:val="-9"/>
          <w:sz w:val="21"/>
        </w:rPr>
        <w:t>°</w:t>
      </w:r>
      <w:r>
        <w:rPr>
          <w:color w:val="333333"/>
          <w:spacing w:val="-9"/>
          <w:sz w:val="21"/>
        </w:rPr>
        <w:t>，且每级离扶手</w:t>
      </w:r>
      <w:r>
        <w:rPr>
          <w:color w:val="333333"/>
          <w:spacing w:val="-9"/>
          <w:sz w:val="21"/>
        </w:rPr>
        <w:t xml:space="preserve"> </w:t>
      </w:r>
      <w:r>
        <w:rPr>
          <w:color w:val="333333"/>
          <w:sz w:val="21"/>
        </w:rPr>
        <w:t>250mm</w:t>
      </w:r>
      <w:r>
        <w:rPr>
          <w:color w:val="333333"/>
          <w:spacing w:val="-3"/>
          <w:sz w:val="21"/>
        </w:rPr>
        <w:t xml:space="preserve"> </w:t>
      </w:r>
      <w:r>
        <w:rPr>
          <w:color w:val="333333"/>
          <w:spacing w:val="-3"/>
          <w:sz w:val="21"/>
        </w:rPr>
        <w:t>处的踏步深度不应小于</w:t>
      </w:r>
      <w:r>
        <w:rPr>
          <w:color w:val="333333"/>
          <w:spacing w:val="-3"/>
          <w:sz w:val="21"/>
        </w:rPr>
        <w:t>220mm</w:t>
      </w:r>
      <w:r>
        <w:rPr>
          <w:color w:val="333333"/>
          <w:spacing w:val="-3"/>
          <w:sz w:val="21"/>
        </w:rPr>
        <w:t>。</w:t>
      </w:r>
      <w:r>
        <w:rPr>
          <w:color w:val="333333"/>
          <w:sz w:val="21"/>
        </w:rPr>
        <w:t xml:space="preserve"> </w:t>
      </w:r>
    </w:p>
    <w:p w14:paraId="022CF244" w14:textId="77777777" w:rsidR="00A71EEF" w:rsidRDefault="00A71EEF">
      <w:pPr>
        <w:spacing w:line="446" w:lineRule="auto"/>
        <w:rPr>
          <w:sz w:val="21"/>
        </w:rPr>
        <w:sectPr w:rsidR="00A71EEF">
          <w:pgSz w:w="11910" w:h="16850"/>
          <w:pgMar w:top="1220" w:right="0" w:bottom="1420" w:left="1260" w:header="0" w:footer="1239" w:gutter="0"/>
          <w:cols w:space="720"/>
        </w:sectPr>
      </w:pPr>
    </w:p>
    <w:p w14:paraId="1156CFFB" w14:textId="77777777" w:rsidR="00A71EEF" w:rsidRDefault="0081115D">
      <w:pPr>
        <w:pStyle w:val="a4"/>
        <w:numPr>
          <w:ilvl w:val="2"/>
          <w:numId w:val="712"/>
        </w:numPr>
        <w:tabs>
          <w:tab w:val="left" w:pos="1371"/>
        </w:tabs>
        <w:spacing w:before="47"/>
        <w:ind w:left="1370"/>
        <w:rPr>
          <w:sz w:val="21"/>
        </w:rPr>
      </w:pPr>
      <w:r>
        <w:rPr>
          <w:color w:val="333333"/>
          <w:spacing w:val="-5"/>
          <w:sz w:val="21"/>
        </w:rPr>
        <w:lastRenderedPageBreak/>
        <w:t>建筑内的公共疏散楼梯，其两梯段及扶手间的水平净距不宜小于</w:t>
      </w:r>
      <w:r>
        <w:rPr>
          <w:color w:val="333333"/>
          <w:spacing w:val="-5"/>
          <w:sz w:val="21"/>
        </w:rPr>
        <w:t xml:space="preserve"> </w:t>
      </w:r>
      <w:r>
        <w:rPr>
          <w:color w:val="333333"/>
          <w:sz w:val="21"/>
        </w:rPr>
        <w:t>150mm</w:t>
      </w:r>
      <w:r>
        <w:rPr>
          <w:color w:val="333333"/>
          <w:spacing w:val="-3"/>
          <w:sz w:val="21"/>
        </w:rPr>
        <w:t>。</w:t>
      </w:r>
      <w:r>
        <w:rPr>
          <w:color w:val="333333"/>
          <w:sz w:val="21"/>
        </w:rPr>
        <w:t xml:space="preserve"> </w:t>
      </w:r>
    </w:p>
    <w:p w14:paraId="4A758948" w14:textId="77777777" w:rsidR="00A71EEF" w:rsidRDefault="00A71EEF">
      <w:pPr>
        <w:pStyle w:val="a3"/>
        <w:rPr>
          <w:sz w:val="18"/>
        </w:rPr>
      </w:pPr>
    </w:p>
    <w:p w14:paraId="1A20695F" w14:textId="77777777" w:rsidR="00A71EEF" w:rsidRDefault="0081115D">
      <w:pPr>
        <w:pStyle w:val="a4"/>
        <w:numPr>
          <w:ilvl w:val="2"/>
          <w:numId w:val="712"/>
        </w:numPr>
        <w:tabs>
          <w:tab w:val="left" w:pos="1370"/>
        </w:tabs>
        <w:spacing w:line="446" w:lineRule="auto"/>
        <w:ind w:right="1551" w:firstLine="422"/>
        <w:rPr>
          <w:sz w:val="21"/>
        </w:rPr>
      </w:pPr>
      <w:r>
        <w:rPr>
          <w:color w:val="333333"/>
          <w:spacing w:val="-12"/>
          <w:sz w:val="21"/>
        </w:rPr>
        <w:t>高度大于</w:t>
      </w:r>
      <w:r>
        <w:rPr>
          <w:color w:val="333333"/>
          <w:spacing w:val="-12"/>
          <w:sz w:val="21"/>
        </w:rPr>
        <w:t xml:space="preserve"> </w:t>
      </w:r>
      <w:r>
        <w:rPr>
          <w:color w:val="333333"/>
          <w:sz w:val="21"/>
        </w:rPr>
        <w:t>10m</w:t>
      </w:r>
      <w:r>
        <w:rPr>
          <w:color w:val="333333"/>
          <w:spacing w:val="-3"/>
          <w:sz w:val="21"/>
        </w:rPr>
        <w:t xml:space="preserve"> </w:t>
      </w:r>
      <w:r>
        <w:rPr>
          <w:color w:val="333333"/>
          <w:spacing w:val="-3"/>
          <w:sz w:val="21"/>
        </w:rPr>
        <w:t>的三级耐火等级建筑应设置通至屋顶的室外消防梯。室外消防梯不应</w:t>
      </w:r>
      <w:r>
        <w:rPr>
          <w:color w:val="333333"/>
          <w:spacing w:val="-7"/>
          <w:sz w:val="21"/>
        </w:rPr>
        <w:t>面对老虎窗，宽度不应小于</w:t>
      </w:r>
      <w:r>
        <w:rPr>
          <w:color w:val="333333"/>
          <w:spacing w:val="-7"/>
          <w:sz w:val="21"/>
        </w:rPr>
        <w:t xml:space="preserve"> </w:t>
      </w:r>
      <w:r>
        <w:rPr>
          <w:color w:val="333333"/>
          <w:sz w:val="21"/>
        </w:rPr>
        <w:t>0.6m</w:t>
      </w:r>
      <w:r>
        <w:rPr>
          <w:color w:val="333333"/>
          <w:spacing w:val="-9"/>
          <w:sz w:val="21"/>
        </w:rPr>
        <w:t>，且宜从离地面</w:t>
      </w:r>
      <w:r>
        <w:rPr>
          <w:color w:val="333333"/>
          <w:spacing w:val="-9"/>
          <w:sz w:val="21"/>
        </w:rPr>
        <w:t xml:space="preserve"> </w:t>
      </w:r>
      <w:r>
        <w:rPr>
          <w:color w:val="333333"/>
          <w:sz w:val="21"/>
        </w:rPr>
        <w:t>3.0m</w:t>
      </w:r>
      <w:r>
        <w:rPr>
          <w:color w:val="333333"/>
          <w:spacing w:val="-3"/>
          <w:sz w:val="21"/>
        </w:rPr>
        <w:t xml:space="preserve"> </w:t>
      </w:r>
      <w:r>
        <w:rPr>
          <w:color w:val="333333"/>
          <w:spacing w:val="-3"/>
          <w:sz w:val="21"/>
        </w:rPr>
        <w:t>高处设置。</w:t>
      </w:r>
      <w:r>
        <w:rPr>
          <w:color w:val="333333"/>
          <w:sz w:val="21"/>
        </w:rPr>
        <w:t xml:space="preserve"> </w:t>
      </w:r>
    </w:p>
    <w:p w14:paraId="68772FA9" w14:textId="77777777" w:rsidR="00A71EEF" w:rsidRDefault="0081115D">
      <w:pPr>
        <w:pStyle w:val="a4"/>
        <w:numPr>
          <w:ilvl w:val="2"/>
          <w:numId w:val="712"/>
        </w:numPr>
        <w:tabs>
          <w:tab w:val="left" w:pos="1478"/>
        </w:tabs>
        <w:ind w:left="1477" w:hanging="638"/>
        <w:rPr>
          <w:sz w:val="21"/>
        </w:rPr>
      </w:pPr>
      <w:r>
        <w:rPr>
          <w:color w:val="333333"/>
          <w:spacing w:val="-3"/>
          <w:sz w:val="21"/>
        </w:rPr>
        <w:t>疏散走道在防火分区处应设置常开甲级防火门。</w:t>
      </w:r>
      <w:r>
        <w:rPr>
          <w:color w:val="333333"/>
          <w:sz w:val="21"/>
        </w:rPr>
        <w:t xml:space="preserve"> </w:t>
      </w:r>
    </w:p>
    <w:p w14:paraId="3F6C518B" w14:textId="77777777" w:rsidR="00A71EEF" w:rsidRDefault="00A71EEF">
      <w:pPr>
        <w:pStyle w:val="a3"/>
        <w:spacing w:before="12"/>
        <w:rPr>
          <w:sz w:val="17"/>
        </w:rPr>
      </w:pPr>
    </w:p>
    <w:p w14:paraId="39811198" w14:textId="77777777" w:rsidR="00A71EEF" w:rsidRDefault="0081115D">
      <w:pPr>
        <w:pStyle w:val="a4"/>
        <w:numPr>
          <w:ilvl w:val="2"/>
          <w:numId w:val="712"/>
        </w:numPr>
        <w:tabs>
          <w:tab w:val="left" w:pos="1478"/>
        </w:tabs>
        <w:ind w:left="1477" w:hanging="638"/>
        <w:rPr>
          <w:sz w:val="21"/>
        </w:rPr>
      </w:pPr>
      <w:r>
        <w:rPr>
          <w:color w:val="333333"/>
          <w:spacing w:val="-3"/>
          <w:sz w:val="21"/>
        </w:rPr>
        <w:t>建筑内的疏散门应符合下</w:t>
      </w:r>
      <w:r>
        <w:rPr>
          <w:color w:val="333333"/>
          <w:spacing w:val="-3"/>
          <w:sz w:val="21"/>
        </w:rPr>
        <w:t>列规定：</w:t>
      </w:r>
      <w:r>
        <w:rPr>
          <w:color w:val="333333"/>
          <w:sz w:val="21"/>
        </w:rPr>
        <w:t xml:space="preserve"> </w:t>
      </w:r>
    </w:p>
    <w:p w14:paraId="278CD4BA" w14:textId="77777777" w:rsidR="00A71EEF" w:rsidRDefault="00A71EEF">
      <w:pPr>
        <w:pStyle w:val="a3"/>
        <w:rPr>
          <w:sz w:val="18"/>
        </w:rPr>
      </w:pPr>
    </w:p>
    <w:p w14:paraId="60C9BB9C" w14:textId="77777777" w:rsidR="00A71EEF" w:rsidRDefault="0081115D">
      <w:pPr>
        <w:pStyle w:val="a3"/>
        <w:spacing w:line="446" w:lineRule="auto"/>
        <w:ind w:left="418" w:right="1450" w:firstLine="419"/>
      </w:pPr>
      <w:r>
        <w:rPr>
          <w:color w:val="333333"/>
          <w:spacing w:val="-3"/>
        </w:rPr>
        <w:t>民用建筑和厂房的疏散门，应采用向疏散方向开启的平开门，不应采用推拉门、卷帘门、</w:t>
      </w:r>
      <w:r>
        <w:rPr>
          <w:color w:val="333333"/>
          <w:spacing w:val="-3"/>
        </w:rPr>
        <w:t xml:space="preserve"> </w:t>
      </w:r>
      <w:r>
        <w:rPr>
          <w:color w:val="333333"/>
          <w:spacing w:val="-5"/>
        </w:rPr>
        <w:t>吊门、转门和折叠门。除甲、乙类生产车间外，人数不超过</w:t>
      </w:r>
      <w:r>
        <w:rPr>
          <w:color w:val="333333"/>
          <w:spacing w:val="-5"/>
        </w:rPr>
        <w:t xml:space="preserve"> </w:t>
      </w:r>
      <w:r>
        <w:rPr>
          <w:color w:val="333333"/>
        </w:rPr>
        <w:t>60</w:t>
      </w:r>
      <w:r>
        <w:rPr>
          <w:color w:val="333333"/>
          <w:spacing w:val="-3"/>
        </w:rPr>
        <w:t xml:space="preserve"> </w:t>
      </w:r>
      <w:r>
        <w:rPr>
          <w:color w:val="333333"/>
          <w:spacing w:val="-3"/>
        </w:rPr>
        <w:t>人且每樘门的平均疏散人数不超</w:t>
      </w:r>
      <w:r>
        <w:rPr>
          <w:color w:val="333333"/>
          <w:spacing w:val="-28"/>
        </w:rPr>
        <w:t>过</w:t>
      </w:r>
      <w:r>
        <w:rPr>
          <w:color w:val="333333"/>
          <w:spacing w:val="-28"/>
        </w:rPr>
        <w:t xml:space="preserve"> </w:t>
      </w:r>
      <w:r>
        <w:rPr>
          <w:color w:val="333333"/>
        </w:rPr>
        <w:t>30</w:t>
      </w:r>
      <w:r>
        <w:rPr>
          <w:color w:val="333333"/>
          <w:spacing w:val="-3"/>
        </w:rPr>
        <w:t xml:space="preserve"> </w:t>
      </w:r>
      <w:r>
        <w:rPr>
          <w:color w:val="333333"/>
          <w:spacing w:val="-3"/>
        </w:rPr>
        <w:t>人的房间，其疏散门的开启方向不限；</w:t>
      </w:r>
      <w:r>
        <w:rPr>
          <w:color w:val="333333"/>
        </w:rPr>
        <w:t xml:space="preserve"> </w:t>
      </w:r>
    </w:p>
    <w:p w14:paraId="362F39EC" w14:textId="77777777" w:rsidR="00A71EEF" w:rsidRDefault="0081115D">
      <w:pPr>
        <w:pStyle w:val="a3"/>
        <w:spacing w:line="446" w:lineRule="auto"/>
        <w:ind w:left="418" w:right="1609" w:firstLine="419"/>
      </w:pPr>
      <w:r>
        <w:rPr>
          <w:color w:val="333333"/>
        </w:rPr>
        <w:t>仓库的疏散门应采用向疏散方向开启的平开门，但丙、丁、戊类仓库首层靠墙的外侧可采用推拉门或卷帘门；</w:t>
      </w:r>
      <w:r>
        <w:rPr>
          <w:color w:val="333333"/>
        </w:rPr>
        <w:t xml:space="preserve"> </w:t>
      </w:r>
    </w:p>
    <w:p w14:paraId="4CCDDBF0" w14:textId="77777777" w:rsidR="00A71EEF" w:rsidRDefault="0081115D">
      <w:pPr>
        <w:pStyle w:val="a3"/>
        <w:spacing w:line="446" w:lineRule="auto"/>
        <w:ind w:left="838" w:right="1609"/>
      </w:pPr>
      <w:r>
        <w:rPr>
          <w:color w:val="333333"/>
          <w:spacing w:val="-3"/>
        </w:rPr>
        <w:t>开向疏散楼梯或疏散楼梯间的门，当其完全开启时，不应减少楼梯平台的有效宽度；</w:t>
      </w:r>
      <w:r>
        <w:rPr>
          <w:color w:val="333333"/>
          <w:spacing w:val="-3"/>
        </w:rPr>
        <w:t xml:space="preserve">   </w:t>
      </w:r>
      <w:r>
        <w:rPr>
          <w:color w:val="333333"/>
          <w:spacing w:val="-3"/>
        </w:rPr>
        <w:t>人员密集场所内平时需要控制人员随意出入的疏散门和设置门禁系统的住宅、宿舍、公寓</w:t>
      </w:r>
    </w:p>
    <w:p w14:paraId="107B71CA" w14:textId="77777777" w:rsidR="00A71EEF" w:rsidRDefault="0081115D">
      <w:pPr>
        <w:pStyle w:val="a3"/>
        <w:spacing w:line="446" w:lineRule="auto"/>
        <w:ind w:left="418" w:right="1608"/>
      </w:pPr>
      <w:r>
        <w:rPr>
          <w:color w:val="333333"/>
        </w:rPr>
        <w:t>建筑的外门，应保证火灾时不需使用钥匙等任何工具即能从内部易于打开，并应在显著位置设置具有使用提示的标识。</w:t>
      </w:r>
      <w:r>
        <w:rPr>
          <w:color w:val="333333"/>
        </w:rPr>
        <w:t xml:space="preserve"> </w:t>
      </w:r>
    </w:p>
    <w:p w14:paraId="6AC8FF90" w14:textId="77777777" w:rsidR="00A71EEF" w:rsidRDefault="0081115D">
      <w:pPr>
        <w:pStyle w:val="a4"/>
        <w:numPr>
          <w:ilvl w:val="2"/>
          <w:numId w:val="712"/>
        </w:numPr>
        <w:tabs>
          <w:tab w:val="left" w:pos="1478"/>
        </w:tabs>
        <w:spacing w:line="267" w:lineRule="exact"/>
        <w:ind w:left="1477" w:hanging="638"/>
        <w:rPr>
          <w:sz w:val="21"/>
        </w:rPr>
      </w:pPr>
      <w:r>
        <w:rPr>
          <w:color w:val="333333"/>
          <w:spacing w:val="-3"/>
          <w:sz w:val="21"/>
        </w:rPr>
        <w:t>用于防火分隔的下沉式广场等室外开敞空间，应符合下列规定：</w:t>
      </w:r>
      <w:r>
        <w:rPr>
          <w:color w:val="333333"/>
          <w:sz w:val="21"/>
        </w:rPr>
        <w:t xml:space="preserve"> </w:t>
      </w:r>
    </w:p>
    <w:p w14:paraId="3C012575" w14:textId="77777777" w:rsidR="00A71EEF" w:rsidRDefault="00A71EEF">
      <w:pPr>
        <w:pStyle w:val="a3"/>
        <w:spacing w:before="1"/>
        <w:rPr>
          <w:sz w:val="18"/>
        </w:rPr>
      </w:pPr>
    </w:p>
    <w:p w14:paraId="1306D3F2" w14:textId="77777777" w:rsidR="00A71EEF" w:rsidRDefault="0081115D">
      <w:pPr>
        <w:pStyle w:val="a3"/>
        <w:spacing w:line="441" w:lineRule="auto"/>
        <w:ind w:left="418" w:right="1450" w:firstLine="419"/>
      </w:pPr>
      <w:r>
        <w:rPr>
          <w:color w:val="333333"/>
          <w:spacing w:val="-3"/>
        </w:rPr>
        <w:t>分隔后的不同区域通向下沉式广场等室外开敞空间的开口最近边缘之间的水平距离不应小</w:t>
      </w:r>
      <w:r>
        <w:rPr>
          <w:color w:val="333333"/>
          <w:spacing w:val="-3"/>
        </w:rPr>
        <w:t xml:space="preserve"> </w:t>
      </w:r>
      <w:r>
        <w:rPr>
          <w:color w:val="333333"/>
          <w:spacing w:val="-12"/>
        </w:rPr>
        <w:t>于</w:t>
      </w:r>
      <w:r>
        <w:rPr>
          <w:color w:val="333333"/>
          <w:spacing w:val="-12"/>
        </w:rPr>
        <w:t xml:space="preserve"> </w:t>
      </w:r>
      <w:r>
        <w:rPr>
          <w:color w:val="333333"/>
        </w:rPr>
        <w:t>13m</w:t>
      </w:r>
      <w:r>
        <w:rPr>
          <w:color w:val="333333"/>
          <w:spacing w:val="-3"/>
        </w:rPr>
        <w:t>。室外开敞空间除用于人员疏散外不得用于其他商业或可能导致火灾蔓延的用途，其中用</w:t>
      </w:r>
      <w:r>
        <w:rPr>
          <w:color w:val="333333"/>
          <w:spacing w:val="-8"/>
        </w:rPr>
        <w:t>于疏散的净面积</w:t>
      </w:r>
      <w:r>
        <w:rPr>
          <w:color w:val="333333"/>
          <w:spacing w:val="-8"/>
        </w:rPr>
        <w:t>不应小于</w:t>
      </w:r>
      <w:r>
        <w:rPr>
          <w:color w:val="333333"/>
          <w:spacing w:val="-8"/>
        </w:rPr>
        <w:t xml:space="preserve"> </w:t>
      </w:r>
      <w:r>
        <w:rPr>
          <w:color w:val="333333"/>
        </w:rPr>
        <w:t>169m</w:t>
      </w:r>
      <w:r>
        <w:rPr>
          <w:color w:val="333333"/>
          <w:position w:val="11"/>
          <w:sz w:val="11"/>
        </w:rPr>
        <w:t>2</w:t>
      </w:r>
      <w:r>
        <w:rPr>
          <w:color w:val="333333"/>
        </w:rPr>
        <w:t>；</w:t>
      </w:r>
      <w:r>
        <w:rPr>
          <w:color w:val="333333"/>
        </w:rPr>
        <w:t xml:space="preserve"> </w:t>
      </w:r>
    </w:p>
    <w:p w14:paraId="07FDA79C" w14:textId="77777777" w:rsidR="00A71EEF" w:rsidRDefault="0081115D">
      <w:pPr>
        <w:pStyle w:val="a3"/>
        <w:spacing w:before="5" w:line="446" w:lineRule="auto"/>
        <w:ind w:left="418" w:right="1558" w:firstLine="419"/>
        <w:jc w:val="both"/>
      </w:pPr>
      <w:r>
        <w:rPr>
          <w:color w:val="333333"/>
          <w:spacing w:val="-5"/>
        </w:rPr>
        <w:t>下沉式广场等室外开敞空间内应设置不少于</w:t>
      </w:r>
      <w:r>
        <w:rPr>
          <w:color w:val="333333"/>
          <w:spacing w:val="-5"/>
        </w:rPr>
        <w:t xml:space="preserve"> </w:t>
      </w:r>
      <w:r>
        <w:rPr>
          <w:color w:val="333333"/>
          <w:spacing w:val="-3"/>
        </w:rPr>
        <w:t xml:space="preserve">1 </w:t>
      </w:r>
      <w:r>
        <w:rPr>
          <w:color w:val="333333"/>
          <w:spacing w:val="-3"/>
        </w:rPr>
        <w:t>部直通地面的疏散楼梯。当连接下沉广场的防火分区需利用下沉广场进行疏散时，疏散楼梯的总净宽度不应小于任一防火分区通向室外开敞空间的设计疏散总净宽度；</w:t>
      </w:r>
      <w:r>
        <w:rPr>
          <w:color w:val="333333"/>
        </w:rPr>
        <w:t xml:space="preserve"> </w:t>
      </w:r>
    </w:p>
    <w:p w14:paraId="2913C418" w14:textId="77777777" w:rsidR="00A71EEF" w:rsidRDefault="0081115D">
      <w:pPr>
        <w:pStyle w:val="a3"/>
        <w:spacing w:line="446" w:lineRule="auto"/>
        <w:ind w:left="418" w:right="1609" w:firstLine="419"/>
        <w:jc w:val="both"/>
      </w:pPr>
      <w:r>
        <w:rPr>
          <w:color w:val="333333"/>
          <w:spacing w:val="-3"/>
        </w:rPr>
        <w:t>确需设置防风雨篷时，防风雨篷不应完全封闭，四周开口部位应均匀布置，开口的面积不</w:t>
      </w:r>
      <w:r>
        <w:rPr>
          <w:color w:val="333333"/>
          <w:spacing w:val="-6"/>
        </w:rPr>
        <w:t>应小于该空间地面面积的</w:t>
      </w:r>
      <w:r>
        <w:rPr>
          <w:color w:val="333333"/>
          <w:spacing w:val="-6"/>
        </w:rPr>
        <w:t xml:space="preserve"> </w:t>
      </w:r>
      <w:r>
        <w:rPr>
          <w:color w:val="333333"/>
        </w:rPr>
        <w:t>25%</w:t>
      </w:r>
      <w:r>
        <w:rPr>
          <w:color w:val="333333"/>
          <w:spacing w:val="-7"/>
        </w:rPr>
        <w:t>，开口高度不应小于</w:t>
      </w:r>
      <w:r>
        <w:rPr>
          <w:color w:val="333333"/>
          <w:spacing w:val="-7"/>
        </w:rPr>
        <w:t xml:space="preserve"> </w:t>
      </w:r>
      <w:r>
        <w:rPr>
          <w:color w:val="333333"/>
        </w:rPr>
        <w:t>1.0m</w:t>
      </w:r>
      <w:r>
        <w:rPr>
          <w:color w:val="333333"/>
          <w:spacing w:val="-3"/>
        </w:rPr>
        <w:t>；开口设置百叶时，百叶的有效排烟面</w:t>
      </w:r>
      <w:r>
        <w:rPr>
          <w:color w:val="333333"/>
          <w:spacing w:val="-8"/>
        </w:rPr>
        <w:t>积可按百叶通风口面积的</w:t>
      </w:r>
      <w:r>
        <w:rPr>
          <w:color w:val="333333"/>
          <w:spacing w:val="-8"/>
        </w:rPr>
        <w:t xml:space="preserve"> </w:t>
      </w:r>
      <w:r>
        <w:rPr>
          <w:color w:val="333333"/>
        </w:rPr>
        <w:t>60%</w:t>
      </w:r>
      <w:r>
        <w:rPr>
          <w:color w:val="333333"/>
          <w:spacing w:val="-3"/>
        </w:rPr>
        <w:t>计算。</w:t>
      </w:r>
      <w:r>
        <w:rPr>
          <w:color w:val="333333"/>
        </w:rPr>
        <w:t xml:space="preserve"> </w:t>
      </w:r>
    </w:p>
    <w:p w14:paraId="76569DF0" w14:textId="77777777" w:rsidR="00A71EEF" w:rsidRDefault="0081115D">
      <w:pPr>
        <w:pStyle w:val="a4"/>
        <w:numPr>
          <w:ilvl w:val="2"/>
          <w:numId w:val="712"/>
        </w:numPr>
        <w:tabs>
          <w:tab w:val="left" w:pos="1478"/>
        </w:tabs>
        <w:spacing w:line="268" w:lineRule="exact"/>
        <w:ind w:left="1477" w:hanging="638"/>
        <w:rPr>
          <w:sz w:val="21"/>
        </w:rPr>
      </w:pPr>
      <w:r>
        <w:rPr>
          <w:color w:val="333333"/>
          <w:spacing w:val="-3"/>
          <w:sz w:val="21"/>
        </w:rPr>
        <w:t>防火隔间的设置应符合下列规定：</w:t>
      </w:r>
      <w:r>
        <w:rPr>
          <w:color w:val="333333"/>
          <w:sz w:val="21"/>
        </w:rPr>
        <w:t xml:space="preserve"> </w:t>
      </w:r>
    </w:p>
    <w:p w14:paraId="73F5FC7E" w14:textId="77777777" w:rsidR="00A71EEF" w:rsidRDefault="00A71EEF">
      <w:pPr>
        <w:pStyle w:val="a3"/>
        <w:spacing w:before="1"/>
        <w:rPr>
          <w:sz w:val="17"/>
        </w:rPr>
      </w:pPr>
    </w:p>
    <w:p w14:paraId="3EE454CD" w14:textId="77777777" w:rsidR="00A71EEF" w:rsidRDefault="0081115D">
      <w:pPr>
        <w:pStyle w:val="a3"/>
        <w:spacing w:before="1"/>
        <w:ind w:left="838"/>
      </w:pPr>
      <w:r>
        <w:rPr>
          <w:color w:val="333333"/>
        </w:rPr>
        <w:t>防火隔间的建筑面积不应小于</w:t>
      </w:r>
      <w:r>
        <w:rPr>
          <w:color w:val="333333"/>
        </w:rPr>
        <w:t xml:space="preserve"> 6.0m</w:t>
      </w:r>
      <w:r>
        <w:rPr>
          <w:color w:val="333333"/>
          <w:position w:val="11"/>
          <w:sz w:val="11"/>
        </w:rPr>
        <w:t>2</w:t>
      </w:r>
      <w:r>
        <w:rPr>
          <w:color w:val="333333"/>
        </w:rPr>
        <w:t>；</w:t>
      </w:r>
      <w:r>
        <w:rPr>
          <w:color w:val="333333"/>
        </w:rPr>
        <w:t xml:space="preserve"> </w:t>
      </w:r>
    </w:p>
    <w:p w14:paraId="58960D05" w14:textId="77777777" w:rsidR="00A71EEF" w:rsidRDefault="00A71EEF">
      <w:pPr>
        <w:pStyle w:val="a3"/>
        <w:spacing w:before="12"/>
        <w:rPr>
          <w:sz w:val="17"/>
        </w:rPr>
      </w:pPr>
    </w:p>
    <w:p w14:paraId="0F7E5CC6" w14:textId="77777777" w:rsidR="00A71EEF" w:rsidRDefault="0081115D">
      <w:pPr>
        <w:pStyle w:val="a3"/>
        <w:ind w:left="838"/>
      </w:pPr>
      <w:r>
        <w:rPr>
          <w:color w:val="333333"/>
        </w:rPr>
        <w:t>防火隔间的门应采用甲级防火门；</w:t>
      </w:r>
      <w:r>
        <w:rPr>
          <w:color w:val="333333"/>
        </w:rPr>
        <w:t xml:space="preserve"> </w:t>
      </w:r>
    </w:p>
    <w:p w14:paraId="7DB9D73E" w14:textId="77777777" w:rsidR="00A71EEF" w:rsidRDefault="00A71EEF">
      <w:pPr>
        <w:pStyle w:val="a3"/>
        <w:spacing w:before="2"/>
        <w:rPr>
          <w:sz w:val="18"/>
        </w:rPr>
      </w:pPr>
    </w:p>
    <w:p w14:paraId="5D835205" w14:textId="77777777" w:rsidR="00A71EEF" w:rsidRDefault="0081115D">
      <w:pPr>
        <w:pStyle w:val="a3"/>
        <w:ind w:left="838"/>
      </w:pPr>
      <w:r>
        <w:rPr>
          <w:color w:val="333333"/>
        </w:rPr>
        <w:t>不同防火分区通向防火隔间的门不应计入安全出口，门的最小间距不应小于</w:t>
      </w:r>
      <w:r>
        <w:rPr>
          <w:color w:val="333333"/>
        </w:rPr>
        <w:t xml:space="preserve"> 4m</w:t>
      </w:r>
      <w:r>
        <w:rPr>
          <w:color w:val="333333"/>
        </w:rPr>
        <w:t>；</w:t>
      </w:r>
      <w:r>
        <w:rPr>
          <w:color w:val="333333"/>
        </w:rPr>
        <w:t xml:space="preserve"> </w:t>
      </w:r>
    </w:p>
    <w:p w14:paraId="11EE6442" w14:textId="77777777" w:rsidR="00A71EEF" w:rsidRDefault="00A71EEF">
      <w:pPr>
        <w:sectPr w:rsidR="00A71EEF">
          <w:pgSz w:w="11910" w:h="16850"/>
          <w:pgMar w:top="1220" w:right="0" w:bottom="1420" w:left="1260" w:header="0" w:footer="1239" w:gutter="0"/>
          <w:cols w:space="720"/>
        </w:sectPr>
      </w:pPr>
    </w:p>
    <w:p w14:paraId="0188F4AC" w14:textId="77777777" w:rsidR="00A71EEF" w:rsidRDefault="0081115D">
      <w:pPr>
        <w:pStyle w:val="a3"/>
        <w:spacing w:before="47"/>
        <w:ind w:left="838"/>
      </w:pPr>
      <w:r>
        <w:rPr>
          <w:color w:val="333333"/>
        </w:rPr>
        <w:lastRenderedPageBreak/>
        <w:t>防火隔间内部装修材料的燃烧性能应为</w:t>
      </w:r>
      <w:r>
        <w:rPr>
          <w:color w:val="333333"/>
        </w:rPr>
        <w:t xml:space="preserve"> A </w:t>
      </w:r>
      <w:r>
        <w:rPr>
          <w:color w:val="333333"/>
        </w:rPr>
        <w:t>级；</w:t>
      </w:r>
      <w:r>
        <w:rPr>
          <w:color w:val="333333"/>
        </w:rPr>
        <w:t xml:space="preserve"> </w:t>
      </w:r>
    </w:p>
    <w:p w14:paraId="7E1F22E7" w14:textId="77777777" w:rsidR="00A71EEF" w:rsidRDefault="00A71EEF">
      <w:pPr>
        <w:pStyle w:val="a3"/>
        <w:rPr>
          <w:sz w:val="18"/>
        </w:rPr>
      </w:pPr>
    </w:p>
    <w:p w14:paraId="0B8AEF82" w14:textId="77777777" w:rsidR="00A71EEF" w:rsidRDefault="0081115D">
      <w:pPr>
        <w:pStyle w:val="a3"/>
        <w:spacing w:line="446" w:lineRule="auto"/>
        <w:ind w:left="840" w:right="5805" w:hanging="3"/>
      </w:pPr>
      <w:r>
        <w:rPr>
          <w:color w:val="333333"/>
          <w:spacing w:val="-3"/>
        </w:rPr>
        <w:t>不应用于除人员通行外的其他用途。</w:t>
      </w:r>
      <w:r>
        <w:rPr>
          <w:color w:val="333333"/>
          <w:spacing w:val="-3"/>
        </w:rPr>
        <w:t xml:space="preserve"> </w:t>
      </w:r>
      <w:r>
        <w:rPr>
          <w:b/>
          <w:color w:val="333333"/>
        </w:rPr>
        <w:t>6.4.14</w:t>
      </w:r>
      <w:r>
        <w:rPr>
          <w:b/>
          <w:color w:val="333333"/>
          <w:spacing w:val="8"/>
        </w:rPr>
        <w:t xml:space="preserve"> </w:t>
      </w:r>
      <w:r>
        <w:rPr>
          <w:color w:val="333333"/>
          <w:spacing w:val="-3"/>
        </w:rPr>
        <w:t>避难走道的设置应符合下列规定：</w:t>
      </w:r>
      <w:r>
        <w:rPr>
          <w:color w:val="333333"/>
        </w:rPr>
        <w:t xml:space="preserve"> </w:t>
      </w:r>
    </w:p>
    <w:p w14:paraId="6C130958" w14:textId="77777777" w:rsidR="00A71EEF" w:rsidRDefault="0081115D">
      <w:pPr>
        <w:pStyle w:val="a3"/>
        <w:ind w:left="838"/>
      </w:pPr>
      <w:r>
        <w:rPr>
          <w:color w:val="333333"/>
        </w:rPr>
        <w:t>避难走道防火隔墙的耐火极限不应低于</w:t>
      </w:r>
      <w:r>
        <w:rPr>
          <w:color w:val="333333"/>
        </w:rPr>
        <w:t xml:space="preserve"> 3.00h</w:t>
      </w:r>
      <w:r>
        <w:rPr>
          <w:color w:val="333333"/>
        </w:rPr>
        <w:t>，楼板的耐火极限不应低于</w:t>
      </w:r>
      <w:r>
        <w:rPr>
          <w:color w:val="333333"/>
        </w:rPr>
        <w:t xml:space="preserve"> 1.50h</w:t>
      </w:r>
      <w:r>
        <w:rPr>
          <w:color w:val="333333"/>
        </w:rPr>
        <w:t>；</w:t>
      </w:r>
      <w:r>
        <w:rPr>
          <w:color w:val="333333"/>
        </w:rPr>
        <w:t xml:space="preserve"> </w:t>
      </w:r>
    </w:p>
    <w:p w14:paraId="315A5ADF" w14:textId="77777777" w:rsidR="00A71EEF" w:rsidRDefault="00A71EEF">
      <w:pPr>
        <w:pStyle w:val="a3"/>
        <w:spacing w:before="12"/>
        <w:rPr>
          <w:sz w:val="17"/>
        </w:rPr>
      </w:pPr>
    </w:p>
    <w:p w14:paraId="725CF80C" w14:textId="77777777" w:rsidR="00A71EEF" w:rsidRDefault="0081115D">
      <w:pPr>
        <w:pStyle w:val="a3"/>
        <w:spacing w:line="446" w:lineRule="auto"/>
        <w:ind w:left="418" w:right="1558" w:firstLine="419"/>
        <w:jc w:val="both"/>
      </w:pPr>
      <w:r>
        <w:rPr>
          <w:color w:val="333333"/>
          <w:spacing w:val="-6"/>
        </w:rPr>
        <w:t>避难走道直通地面的出口不应少于</w:t>
      </w:r>
      <w:r>
        <w:rPr>
          <w:color w:val="333333"/>
          <w:spacing w:val="-6"/>
        </w:rPr>
        <w:t xml:space="preserve"> </w:t>
      </w:r>
      <w:r>
        <w:rPr>
          <w:color w:val="333333"/>
          <w:spacing w:val="-3"/>
        </w:rPr>
        <w:t xml:space="preserve">2 </w:t>
      </w:r>
      <w:r>
        <w:rPr>
          <w:color w:val="333333"/>
          <w:spacing w:val="-3"/>
        </w:rPr>
        <w:t>个，并应设置在不同方向；当避难走道仅与一个防火</w:t>
      </w:r>
      <w:r>
        <w:rPr>
          <w:color w:val="333333"/>
          <w:spacing w:val="-6"/>
        </w:rPr>
        <w:t>分区相通且该防火分区至少有</w:t>
      </w:r>
      <w:r>
        <w:rPr>
          <w:color w:val="333333"/>
          <w:spacing w:val="-6"/>
        </w:rPr>
        <w:t xml:space="preserve"> </w:t>
      </w:r>
      <w:r>
        <w:rPr>
          <w:color w:val="333333"/>
          <w:spacing w:val="-3"/>
        </w:rPr>
        <w:t>1</w:t>
      </w:r>
      <w:r>
        <w:rPr>
          <w:color w:val="333333"/>
          <w:spacing w:val="-6"/>
        </w:rPr>
        <w:t xml:space="preserve"> </w:t>
      </w:r>
      <w:r>
        <w:rPr>
          <w:color w:val="333333"/>
          <w:spacing w:val="-6"/>
        </w:rPr>
        <w:t>个直通室外的安全出口时，可设置</w:t>
      </w:r>
      <w:r>
        <w:rPr>
          <w:color w:val="333333"/>
          <w:spacing w:val="-6"/>
        </w:rPr>
        <w:t xml:space="preserve"> </w:t>
      </w:r>
      <w:r>
        <w:rPr>
          <w:color w:val="333333"/>
        </w:rPr>
        <w:t>1</w:t>
      </w:r>
      <w:r>
        <w:rPr>
          <w:color w:val="333333"/>
          <w:spacing w:val="-8"/>
        </w:rPr>
        <w:t xml:space="preserve"> </w:t>
      </w:r>
      <w:r>
        <w:rPr>
          <w:color w:val="333333"/>
          <w:spacing w:val="-8"/>
        </w:rPr>
        <w:t>个直通地面的出口。任一</w:t>
      </w:r>
      <w:r>
        <w:rPr>
          <w:color w:val="333333"/>
          <w:spacing w:val="-7"/>
        </w:rPr>
        <w:t>防火分区通向避难走道的门至该避难走道最近直通地面的出口的距离不应大于</w:t>
      </w:r>
      <w:r>
        <w:rPr>
          <w:color w:val="333333"/>
          <w:spacing w:val="-7"/>
        </w:rPr>
        <w:t xml:space="preserve"> </w:t>
      </w:r>
      <w:r>
        <w:rPr>
          <w:color w:val="333333"/>
        </w:rPr>
        <w:t>60m</w:t>
      </w:r>
      <w:r>
        <w:rPr>
          <w:color w:val="333333"/>
        </w:rPr>
        <w:t>；</w:t>
      </w:r>
      <w:r>
        <w:rPr>
          <w:color w:val="333333"/>
        </w:rPr>
        <w:t xml:space="preserve"> </w:t>
      </w:r>
    </w:p>
    <w:p w14:paraId="73A4D8CC" w14:textId="77777777" w:rsidR="00A71EEF" w:rsidRDefault="0081115D">
      <w:pPr>
        <w:pStyle w:val="a3"/>
        <w:spacing w:line="446" w:lineRule="auto"/>
        <w:ind w:left="838" w:right="2345"/>
        <w:jc w:val="both"/>
      </w:pPr>
      <w:r>
        <w:rPr>
          <w:color w:val="333333"/>
          <w:spacing w:val="-3"/>
        </w:rPr>
        <w:t>避难走道的净宽度不应小于任一防火分区通向该避难走道的设计疏散总净宽度；</w:t>
      </w:r>
      <w:r>
        <w:rPr>
          <w:color w:val="333333"/>
          <w:spacing w:val="-3"/>
        </w:rPr>
        <w:t xml:space="preserve"> </w:t>
      </w:r>
      <w:r>
        <w:rPr>
          <w:color w:val="333333"/>
          <w:spacing w:val="-6"/>
        </w:rPr>
        <w:t>避难走道内部装修材料的燃烧性能应为</w:t>
      </w:r>
      <w:r>
        <w:rPr>
          <w:color w:val="333333"/>
          <w:spacing w:val="-6"/>
        </w:rPr>
        <w:t xml:space="preserve"> </w:t>
      </w:r>
      <w:r>
        <w:rPr>
          <w:color w:val="333333"/>
          <w:spacing w:val="-3"/>
        </w:rPr>
        <w:t>A</w:t>
      </w:r>
      <w:r>
        <w:rPr>
          <w:color w:val="333333"/>
          <w:spacing w:val="-1"/>
        </w:rPr>
        <w:t xml:space="preserve"> </w:t>
      </w:r>
      <w:r>
        <w:rPr>
          <w:color w:val="333333"/>
          <w:spacing w:val="-1"/>
        </w:rPr>
        <w:t>级；</w:t>
      </w:r>
      <w:r>
        <w:rPr>
          <w:color w:val="333333"/>
          <w:spacing w:val="-1"/>
        </w:rPr>
        <w:t xml:space="preserve"> </w:t>
      </w:r>
    </w:p>
    <w:p w14:paraId="161DEE71" w14:textId="77777777" w:rsidR="00A71EEF" w:rsidRDefault="0081115D">
      <w:pPr>
        <w:pStyle w:val="a3"/>
        <w:spacing w:line="446" w:lineRule="auto"/>
        <w:ind w:left="418" w:right="1503" w:firstLine="419"/>
        <w:jc w:val="both"/>
      </w:pPr>
      <w:r>
        <w:rPr>
          <w:color w:val="333333"/>
          <w:spacing w:val="-4"/>
        </w:rPr>
        <w:t>防火分区至避难走道入口处应设置防烟前室，前室的使用面积不应小于</w:t>
      </w:r>
      <w:r>
        <w:rPr>
          <w:color w:val="333333"/>
          <w:spacing w:val="-4"/>
        </w:rPr>
        <w:t xml:space="preserve"> </w:t>
      </w:r>
      <w:r>
        <w:rPr>
          <w:color w:val="333333"/>
        </w:rPr>
        <w:t>6.0m</w:t>
      </w:r>
      <w:r>
        <w:rPr>
          <w:color w:val="333333"/>
          <w:position w:val="11"/>
          <w:sz w:val="11"/>
        </w:rPr>
        <w:t>2</w:t>
      </w:r>
      <w:r>
        <w:rPr>
          <w:color w:val="333333"/>
          <w:spacing w:val="-2"/>
        </w:rPr>
        <w:t>，开向前室的</w:t>
      </w:r>
      <w:r>
        <w:rPr>
          <w:color w:val="333333"/>
          <w:spacing w:val="-3"/>
        </w:rPr>
        <w:t>门应采用甲级防火门，前室开向避难走道的门应采用乙级防火门；</w:t>
      </w:r>
      <w:r>
        <w:rPr>
          <w:color w:val="333333"/>
        </w:rPr>
        <w:t xml:space="preserve"> </w:t>
      </w:r>
    </w:p>
    <w:p w14:paraId="155120EC" w14:textId="77777777" w:rsidR="00A71EEF" w:rsidRDefault="0081115D">
      <w:pPr>
        <w:pStyle w:val="a3"/>
        <w:spacing w:line="446" w:lineRule="auto"/>
        <w:ind w:left="840" w:right="3186" w:hanging="3"/>
        <w:rPr>
          <w:b/>
        </w:rPr>
      </w:pPr>
      <w:r>
        <w:rPr>
          <w:color w:val="333333"/>
        </w:rPr>
        <w:t>避难走道内应设置消火栓、消防应急照明、应急广播和消防专线电话。</w:t>
      </w:r>
      <w:r>
        <w:rPr>
          <w:b/>
        </w:rPr>
        <w:t xml:space="preserve">6.5 </w:t>
      </w:r>
      <w:r>
        <w:t>防火门、窗和防火卷帘</w:t>
      </w:r>
      <w:r>
        <w:rPr>
          <w:b/>
          <w:w w:val="99"/>
        </w:rPr>
        <w:t xml:space="preserve"> </w:t>
      </w:r>
    </w:p>
    <w:p w14:paraId="6468B63A" w14:textId="77777777" w:rsidR="00A71EEF" w:rsidRDefault="0081115D">
      <w:pPr>
        <w:pStyle w:val="a4"/>
        <w:numPr>
          <w:ilvl w:val="2"/>
          <w:numId w:val="711"/>
        </w:numPr>
        <w:tabs>
          <w:tab w:val="left" w:pos="1371"/>
        </w:tabs>
        <w:rPr>
          <w:sz w:val="21"/>
        </w:rPr>
      </w:pPr>
      <w:r>
        <w:rPr>
          <w:color w:val="333333"/>
          <w:spacing w:val="-3"/>
          <w:sz w:val="21"/>
        </w:rPr>
        <w:t>防火门的</w:t>
      </w:r>
      <w:r>
        <w:rPr>
          <w:color w:val="333333"/>
          <w:spacing w:val="-3"/>
          <w:sz w:val="21"/>
        </w:rPr>
        <w:t>设置应符合下列规定：</w:t>
      </w:r>
      <w:r>
        <w:rPr>
          <w:color w:val="333333"/>
          <w:sz w:val="21"/>
        </w:rPr>
        <w:t xml:space="preserve"> </w:t>
      </w:r>
    </w:p>
    <w:p w14:paraId="2023CDA0" w14:textId="77777777" w:rsidR="00A71EEF" w:rsidRDefault="00A71EEF">
      <w:pPr>
        <w:pStyle w:val="a3"/>
        <w:spacing w:before="12"/>
        <w:rPr>
          <w:sz w:val="16"/>
        </w:rPr>
      </w:pPr>
    </w:p>
    <w:p w14:paraId="189444F3" w14:textId="77777777" w:rsidR="00A71EEF" w:rsidRDefault="0081115D">
      <w:pPr>
        <w:pStyle w:val="a3"/>
        <w:spacing w:line="446" w:lineRule="auto"/>
        <w:ind w:left="418" w:right="1609" w:firstLine="419"/>
      </w:pPr>
      <w:r>
        <w:rPr>
          <w:color w:val="333333"/>
        </w:rPr>
        <w:t>设置在建筑内经常有人通行处的防火门宜采用常开防火门。常开防火门应能在火灾时自行关闭，并应具有信号反馈的功能；</w:t>
      </w:r>
      <w:r>
        <w:rPr>
          <w:color w:val="333333"/>
        </w:rPr>
        <w:t xml:space="preserve"> </w:t>
      </w:r>
    </w:p>
    <w:p w14:paraId="0B25DF3E" w14:textId="77777777" w:rsidR="00A71EEF" w:rsidRDefault="0081115D">
      <w:pPr>
        <w:pStyle w:val="a3"/>
        <w:spacing w:line="446" w:lineRule="auto"/>
        <w:ind w:left="418" w:right="1609" w:firstLine="419"/>
      </w:pPr>
      <w:r>
        <w:rPr>
          <w:color w:val="333333"/>
        </w:rPr>
        <w:t>除允许设置常开防火门的位置外，其他位置的防火门均应采用常闭防火门。常闭防火门应在其明显位置设置</w:t>
      </w:r>
      <w:r>
        <w:rPr>
          <w:color w:val="333333"/>
        </w:rPr>
        <w:t>“</w:t>
      </w:r>
      <w:r>
        <w:rPr>
          <w:color w:val="333333"/>
        </w:rPr>
        <w:t>保持防火门关闭</w:t>
      </w:r>
      <w:r>
        <w:rPr>
          <w:color w:val="333333"/>
        </w:rPr>
        <w:t>”</w:t>
      </w:r>
      <w:r>
        <w:rPr>
          <w:color w:val="333333"/>
        </w:rPr>
        <w:t>等提示标识；</w:t>
      </w:r>
      <w:r>
        <w:rPr>
          <w:color w:val="333333"/>
        </w:rPr>
        <w:t xml:space="preserve"> </w:t>
      </w:r>
    </w:p>
    <w:p w14:paraId="46F21382" w14:textId="77777777" w:rsidR="00A71EEF" w:rsidRDefault="0081115D">
      <w:pPr>
        <w:pStyle w:val="a3"/>
        <w:spacing w:line="446" w:lineRule="auto"/>
        <w:ind w:left="418" w:right="1609" w:firstLine="419"/>
      </w:pPr>
      <w:r>
        <w:rPr>
          <w:color w:val="333333"/>
        </w:rPr>
        <w:t>除管井检修门和住宅的户门外，防火门应具有自行关闭功能。双扇防火门应具有按顺序自行关闭的功能；</w:t>
      </w:r>
      <w:r>
        <w:rPr>
          <w:color w:val="333333"/>
        </w:rPr>
        <w:t xml:space="preserve"> </w:t>
      </w:r>
    </w:p>
    <w:p w14:paraId="4FE32EBA" w14:textId="77777777" w:rsidR="00A71EEF" w:rsidRDefault="0081115D">
      <w:pPr>
        <w:pStyle w:val="a3"/>
        <w:spacing w:line="267" w:lineRule="exact"/>
        <w:ind w:left="838"/>
      </w:pPr>
      <w:r>
        <w:rPr>
          <w:color w:val="333333"/>
        </w:rPr>
        <w:t>除本规范第</w:t>
      </w:r>
      <w:r>
        <w:rPr>
          <w:color w:val="333333"/>
        </w:rPr>
        <w:t xml:space="preserve"> 6.4.11 </w:t>
      </w:r>
      <w:r>
        <w:rPr>
          <w:color w:val="333333"/>
        </w:rPr>
        <w:t>条第</w:t>
      </w:r>
      <w:r>
        <w:rPr>
          <w:color w:val="333333"/>
        </w:rPr>
        <w:t xml:space="preserve"> 4 </w:t>
      </w:r>
      <w:r>
        <w:rPr>
          <w:color w:val="333333"/>
        </w:rPr>
        <w:t>款的规定外，防火门应能在其内外两侧手动开启；</w:t>
      </w:r>
      <w:r>
        <w:rPr>
          <w:color w:val="333333"/>
        </w:rPr>
        <w:t xml:space="preserve"> </w:t>
      </w:r>
    </w:p>
    <w:p w14:paraId="598480DE" w14:textId="77777777" w:rsidR="00A71EEF" w:rsidRDefault="00A71EEF">
      <w:pPr>
        <w:pStyle w:val="a3"/>
        <w:spacing w:before="2"/>
        <w:rPr>
          <w:sz w:val="18"/>
        </w:rPr>
      </w:pPr>
    </w:p>
    <w:p w14:paraId="4B50A2AF" w14:textId="77777777" w:rsidR="00A71EEF" w:rsidRDefault="0081115D">
      <w:pPr>
        <w:pStyle w:val="a3"/>
        <w:spacing w:line="446" w:lineRule="auto"/>
        <w:ind w:left="418" w:right="1609" w:firstLine="419"/>
      </w:pPr>
      <w:r>
        <w:rPr>
          <w:color w:val="333333"/>
        </w:rPr>
        <w:t>设置在建筑变形缝附近时，防火门应设置在楼层较多的一侧，并应保证防火门开启时门扇不跨越变形缝；</w:t>
      </w:r>
      <w:r>
        <w:rPr>
          <w:color w:val="333333"/>
        </w:rPr>
        <w:t xml:space="preserve"> </w:t>
      </w:r>
    </w:p>
    <w:p w14:paraId="6F7DEBD6" w14:textId="77777777" w:rsidR="00A71EEF" w:rsidRDefault="0081115D">
      <w:pPr>
        <w:pStyle w:val="a3"/>
        <w:spacing w:line="267" w:lineRule="exact"/>
        <w:ind w:left="838"/>
      </w:pPr>
      <w:r>
        <w:rPr>
          <w:color w:val="333333"/>
        </w:rPr>
        <w:t>防火门关闭后应具有防烟性能；</w:t>
      </w:r>
      <w:r>
        <w:rPr>
          <w:color w:val="333333"/>
        </w:rPr>
        <w:t xml:space="preserve"> </w:t>
      </w:r>
    </w:p>
    <w:p w14:paraId="4CCD6FE5" w14:textId="77777777" w:rsidR="00A71EEF" w:rsidRDefault="00A71EEF">
      <w:pPr>
        <w:pStyle w:val="a3"/>
        <w:spacing w:before="2"/>
        <w:rPr>
          <w:sz w:val="18"/>
        </w:rPr>
      </w:pPr>
    </w:p>
    <w:p w14:paraId="004A877A" w14:textId="77777777" w:rsidR="00A71EEF" w:rsidRDefault="0081115D">
      <w:pPr>
        <w:pStyle w:val="a3"/>
        <w:ind w:left="838"/>
      </w:pPr>
      <w:r>
        <w:rPr>
          <w:color w:val="333333"/>
        </w:rPr>
        <w:t>甲、乙、丙级防火门应符合现行国家标准《防火门》</w:t>
      </w:r>
      <w:r>
        <w:rPr>
          <w:color w:val="333333"/>
        </w:rPr>
        <w:t xml:space="preserve">GB 12955 </w:t>
      </w:r>
      <w:r>
        <w:rPr>
          <w:color w:val="333333"/>
        </w:rPr>
        <w:t>的规定。</w:t>
      </w:r>
      <w:r>
        <w:rPr>
          <w:color w:val="333333"/>
        </w:rPr>
        <w:t xml:space="preserve"> </w:t>
      </w:r>
    </w:p>
    <w:p w14:paraId="463BFA48" w14:textId="77777777" w:rsidR="00A71EEF" w:rsidRDefault="00A71EEF">
      <w:pPr>
        <w:pStyle w:val="a3"/>
        <w:rPr>
          <w:sz w:val="18"/>
        </w:rPr>
      </w:pPr>
    </w:p>
    <w:p w14:paraId="05FD8762" w14:textId="77777777" w:rsidR="00A71EEF" w:rsidRDefault="0081115D">
      <w:pPr>
        <w:pStyle w:val="a4"/>
        <w:numPr>
          <w:ilvl w:val="2"/>
          <w:numId w:val="711"/>
        </w:numPr>
        <w:tabs>
          <w:tab w:val="left" w:pos="1370"/>
        </w:tabs>
        <w:spacing w:line="446" w:lineRule="auto"/>
        <w:ind w:left="418" w:right="1604" w:firstLine="422"/>
        <w:rPr>
          <w:sz w:val="21"/>
        </w:rPr>
      </w:pPr>
      <w:r>
        <w:rPr>
          <w:color w:val="333333"/>
          <w:spacing w:val="-3"/>
          <w:sz w:val="21"/>
        </w:rPr>
        <w:t>设置在防火墙、防火隔墙上的防火窗，应采用不可开启的窗扇或具有火灾时能自行关闭的功能。</w:t>
      </w:r>
      <w:r>
        <w:rPr>
          <w:color w:val="333333"/>
          <w:sz w:val="21"/>
        </w:rPr>
        <w:t xml:space="preserve"> </w:t>
      </w:r>
    </w:p>
    <w:p w14:paraId="6A3F79B0" w14:textId="77777777" w:rsidR="00A71EEF" w:rsidRDefault="0081115D">
      <w:pPr>
        <w:pStyle w:val="a3"/>
        <w:ind w:left="838"/>
      </w:pPr>
      <w:r>
        <w:rPr>
          <w:color w:val="333333"/>
        </w:rPr>
        <w:t>防火窗应符合现行国家标准《防火窗》</w:t>
      </w:r>
      <w:r>
        <w:rPr>
          <w:color w:val="333333"/>
        </w:rPr>
        <w:t xml:space="preserve">GB 16809 </w:t>
      </w:r>
      <w:r>
        <w:rPr>
          <w:color w:val="333333"/>
        </w:rPr>
        <w:t>的有关规定。</w:t>
      </w:r>
      <w:r>
        <w:rPr>
          <w:color w:val="333333"/>
        </w:rPr>
        <w:t xml:space="preserve"> </w:t>
      </w:r>
    </w:p>
    <w:p w14:paraId="202C52E5" w14:textId="77777777" w:rsidR="00A71EEF" w:rsidRDefault="00A71EEF">
      <w:pPr>
        <w:sectPr w:rsidR="00A71EEF">
          <w:footerReference w:type="default" r:id="rId144"/>
          <w:pgSz w:w="11910" w:h="16850"/>
          <w:pgMar w:top="1220" w:right="0" w:bottom="1420" w:left="1260" w:header="0" w:footer="1239" w:gutter="0"/>
          <w:pgNumType w:start="1030"/>
          <w:cols w:space="720"/>
        </w:sectPr>
      </w:pPr>
    </w:p>
    <w:p w14:paraId="5F74DBA1" w14:textId="77777777" w:rsidR="00A71EEF" w:rsidRDefault="0081115D">
      <w:pPr>
        <w:pStyle w:val="a4"/>
        <w:numPr>
          <w:ilvl w:val="2"/>
          <w:numId w:val="711"/>
        </w:numPr>
        <w:tabs>
          <w:tab w:val="left" w:pos="1371"/>
        </w:tabs>
        <w:spacing w:before="47"/>
        <w:rPr>
          <w:sz w:val="21"/>
        </w:rPr>
      </w:pPr>
      <w:r>
        <w:rPr>
          <w:color w:val="333333"/>
          <w:spacing w:val="-3"/>
          <w:sz w:val="21"/>
        </w:rPr>
        <w:lastRenderedPageBreak/>
        <w:t>防火分隔部位设置防火卷帘时，应符合下列规定：</w:t>
      </w:r>
      <w:r>
        <w:rPr>
          <w:color w:val="333333"/>
          <w:sz w:val="21"/>
        </w:rPr>
        <w:t xml:space="preserve"> </w:t>
      </w:r>
    </w:p>
    <w:p w14:paraId="211A916C" w14:textId="77777777" w:rsidR="00A71EEF" w:rsidRDefault="00A71EEF">
      <w:pPr>
        <w:pStyle w:val="a3"/>
        <w:rPr>
          <w:sz w:val="18"/>
        </w:rPr>
      </w:pPr>
    </w:p>
    <w:p w14:paraId="13499F39" w14:textId="77777777" w:rsidR="00A71EEF" w:rsidRDefault="0081115D">
      <w:pPr>
        <w:pStyle w:val="a3"/>
        <w:spacing w:line="446" w:lineRule="auto"/>
        <w:ind w:left="418" w:right="1560" w:firstLine="419"/>
      </w:pPr>
      <w:r>
        <w:rPr>
          <w:color w:val="333333"/>
          <w:spacing w:val="-6"/>
        </w:rPr>
        <w:t>除中庭外，当防火分隔部位的宽度不大于</w:t>
      </w:r>
      <w:r>
        <w:rPr>
          <w:color w:val="333333"/>
          <w:spacing w:val="-6"/>
        </w:rPr>
        <w:t xml:space="preserve"> </w:t>
      </w:r>
      <w:r>
        <w:rPr>
          <w:color w:val="333333"/>
        </w:rPr>
        <w:t>30m</w:t>
      </w:r>
      <w:r>
        <w:rPr>
          <w:color w:val="333333"/>
          <w:spacing w:val="-6"/>
        </w:rPr>
        <w:t xml:space="preserve"> </w:t>
      </w:r>
      <w:r>
        <w:rPr>
          <w:color w:val="333333"/>
          <w:spacing w:val="-6"/>
        </w:rPr>
        <w:t>时，防火卷帘的宽度不应大于</w:t>
      </w:r>
      <w:r>
        <w:rPr>
          <w:color w:val="333333"/>
          <w:spacing w:val="-6"/>
        </w:rPr>
        <w:t xml:space="preserve"> </w:t>
      </w:r>
      <w:r>
        <w:rPr>
          <w:color w:val="333333"/>
        </w:rPr>
        <w:t>10m</w:t>
      </w:r>
      <w:r>
        <w:rPr>
          <w:color w:val="333333"/>
          <w:spacing w:val="-1"/>
        </w:rPr>
        <w:t>；当防火</w:t>
      </w:r>
      <w:r>
        <w:rPr>
          <w:color w:val="333333"/>
          <w:spacing w:val="-8"/>
        </w:rPr>
        <w:t>分隔部位的宽度大于</w:t>
      </w:r>
      <w:r>
        <w:rPr>
          <w:color w:val="333333"/>
          <w:spacing w:val="-8"/>
        </w:rPr>
        <w:t xml:space="preserve"> </w:t>
      </w:r>
      <w:r>
        <w:rPr>
          <w:color w:val="333333"/>
        </w:rPr>
        <w:t>30m</w:t>
      </w:r>
      <w:r>
        <w:rPr>
          <w:color w:val="333333"/>
          <w:spacing w:val="-6"/>
        </w:rPr>
        <w:t xml:space="preserve"> </w:t>
      </w:r>
      <w:r>
        <w:rPr>
          <w:color w:val="333333"/>
          <w:spacing w:val="-6"/>
        </w:rPr>
        <w:t>时，防火卷帘的宽度不应大于该部位宽度的</w:t>
      </w:r>
      <w:r>
        <w:rPr>
          <w:color w:val="333333"/>
          <w:spacing w:val="-6"/>
        </w:rPr>
        <w:t xml:space="preserve"> </w:t>
      </w:r>
      <w:r>
        <w:rPr>
          <w:color w:val="333333"/>
        </w:rPr>
        <w:t>1/3</w:t>
      </w:r>
      <w:r>
        <w:rPr>
          <w:color w:val="333333"/>
          <w:spacing w:val="-9"/>
        </w:rPr>
        <w:t>，且不应大于</w:t>
      </w:r>
      <w:r>
        <w:rPr>
          <w:color w:val="333333"/>
          <w:spacing w:val="-9"/>
        </w:rPr>
        <w:t xml:space="preserve"> </w:t>
      </w:r>
      <w:r>
        <w:rPr>
          <w:color w:val="333333"/>
        </w:rPr>
        <w:t>20m</w:t>
      </w:r>
      <w:r>
        <w:rPr>
          <w:color w:val="333333"/>
        </w:rPr>
        <w:t>；</w:t>
      </w:r>
      <w:r>
        <w:rPr>
          <w:color w:val="333333"/>
        </w:rPr>
        <w:t xml:space="preserve"> </w:t>
      </w:r>
    </w:p>
    <w:p w14:paraId="0A6E1006" w14:textId="77777777" w:rsidR="00A71EEF" w:rsidRDefault="0081115D">
      <w:pPr>
        <w:pStyle w:val="a3"/>
        <w:ind w:left="838"/>
      </w:pPr>
      <w:r>
        <w:rPr>
          <w:color w:val="333333"/>
        </w:rPr>
        <w:t>防火卷帘应具有火灾时靠自重自动关闭功能；</w:t>
      </w:r>
      <w:r>
        <w:rPr>
          <w:color w:val="333333"/>
        </w:rPr>
        <w:t xml:space="preserve"> </w:t>
      </w:r>
    </w:p>
    <w:p w14:paraId="3B696024" w14:textId="77777777" w:rsidR="00A71EEF" w:rsidRDefault="00A71EEF">
      <w:pPr>
        <w:pStyle w:val="a3"/>
        <w:spacing w:before="12"/>
        <w:rPr>
          <w:sz w:val="17"/>
        </w:rPr>
      </w:pPr>
    </w:p>
    <w:p w14:paraId="549A1420" w14:textId="77777777" w:rsidR="00A71EEF" w:rsidRDefault="0081115D">
      <w:pPr>
        <w:pStyle w:val="a3"/>
        <w:spacing w:line="446" w:lineRule="auto"/>
        <w:ind w:left="418" w:right="1609" w:firstLine="419"/>
      </w:pPr>
      <w:r>
        <w:rPr>
          <w:color w:val="333333"/>
        </w:rPr>
        <w:t>除本规范另有规定外，防火卷帘的耐火极限不应低于本规范对所设置部位墙体的耐火极限要求。</w:t>
      </w:r>
      <w:r>
        <w:rPr>
          <w:color w:val="333333"/>
        </w:rPr>
        <w:t xml:space="preserve"> </w:t>
      </w:r>
    </w:p>
    <w:p w14:paraId="360301AB" w14:textId="77777777" w:rsidR="00A71EEF" w:rsidRDefault="0081115D">
      <w:pPr>
        <w:pStyle w:val="a3"/>
        <w:spacing w:line="446" w:lineRule="auto"/>
        <w:ind w:left="418" w:right="1392" w:firstLine="419"/>
      </w:pPr>
      <w:r>
        <w:rPr>
          <w:color w:val="333333"/>
        </w:rPr>
        <w:t>当防火卷帘的耐火极限符合现行国家标准《门和卷帘耐火试验方法》</w:t>
      </w:r>
      <w:r>
        <w:rPr>
          <w:color w:val="333333"/>
        </w:rPr>
        <w:t xml:space="preserve">GB/T 7633 </w:t>
      </w:r>
      <w:r>
        <w:rPr>
          <w:color w:val="333333"/>
        </w:rPr>
        <w:t>有关耐火完整性和耐火隔热性的判定条件时，可不设置自动喷水灭火系统保护。</w:t>
      </w:r>
      <w:r>
        <w:rPr>
          <w:color w:val="333333"/>
        </w:rPr>
        <w:t xml:space="preserve"> </w:t>
      </w:r>
    </w:p>
    <w:p w14:paraId="2C63C222" w14:textId="77777777" w:rsidR="00A71EEF" w:rsidRDefault="0081115D">
      <w:pPr>
        <w:pStyle w:val="a3"/>
        <w:spacing w:line="446" w:lineRule="auto"/>
        <w:ind w:left="418" w:right="1452" w:firstLine="419"/>
      </w:pPr>
      <w:r>
        <w:rPr>
          <w:color w:val="333333"/>
          <w:spacing w:val="-3"/>
        </w:rPr>
        <w:t>当防火卷帘的耐火极限仅符合现行国家标准《门和卷帘耐火试验方法》</w:t>
      </w:r>
      <w:r>
        <w:rPr>
          <w:color w:val="333333"/>
        </w:rPr>
        <w:t>GB/T 7633</w:t>
      </w:r>
      <w:r>
        <w:rPr>
          <w:color w:val="333333"/>
          <w:spacing w:val="-10"/>
        </w:rPr>
        <w:t xml:space="preserve"> </w:t>
      </w:r>
      <w:r>
        <w:rPr>
          <w:color w:val="333333"/>
          <w:spacing w:val="-10"/>
        </w:rPr>
        <w:t>有关耐火</w:t>
      </w:r>
      <w:r>
        <w:rPr>
          <w:color w:val="333333"/>
          <w:spacing w:val="-5"/>
        </w:rPr>
        <w:t>完整性的判定条件时，应设置自动喷水灭火系统保护。自动喷水灭火系统的设计应符合现行国</w:t>
      </w:r>
      <w:r>
        <w:rPr>
          <w:color w:val="333333"/>
          <w:spacing w:val="-5"/>
        </w:rPr>
        <w:t xml:space="preserve"> </w:t>
      </w:r>
      <w:r>
        <w:rPr>
          <w:color w:val="333333"/>
          <w:spacing w:val="-4"/>
        </w:rPr>
        <w:t>家标准《自动喷水灭火系统设计规范》</w:t>
      </w:r>
      <w:r>
        <w:rPr>
          <w:color w:val="333333"/>
        </w:rPr>
        <w:t>GB50084</w:t>
      </w:r>
      <w:r>
        <w:rPr>
          <w:color w:val="333333"/>
          <w:spacing w:val="-3"/>
        </w:rPr>
        <w:t xml:space="preserve"> </w:t>
      </w:r>
      <w:r>
        <w:rPr>
          <w:color w:val="333333"/>
          <w:spacing w:val="-3"/>
        </w:rPr>
        <w:t>的规定，但火灾延续时间不应小于该防火卷帘的耐火极限；</w:t>
      </w:r>
      <w:r>
        <w:rPr>
          <w:color w:val="333333"/>
        </w:rPr>
        <w:t xml:space="preserve"> </w:t>
      </w:r>
    </w:p>
    <w:p w14:paraId="0A1B50FF" w14:textId="77777777" w:rsidR="00A71EEF" w:rsidRDefault="0081115D">
      <w:pPr>
        <w:pStyle w:val="a3"/>
        <w:spacing w:line="446" w:lineRule="auto"/>
        <w:ind w:left="838" w:right="1714"/>
      </w:pPr>
      <w:r>
        <w:rPr>
          <w:color w:val="333333"/>
          <w:spacing w:val="-3"/>
        </w:rPr>
        <w:t>防火卷帘应具有防烟性能，与楼板、梁、墙、柱之间的空隙应采用防火封堵材料封堵；</w:t>
      </w:r>
      <w:r>
        <w:rPr>
          <w:color w:val="333333"/>
          <w:spacing w:val="-3"/>
        </w:rPr>
        <w:t xml:space="preserve"> </w:t>
      </w:r>
      <w:r>
        <w:rPr>
          <w:color w:val="333333"/>
          <w:spacing w:val="-3"/>
        </w:rPr>
        <w:t>需在火灾时自动降落的防火卷帘，应具有信号反馈的功能；</w:t>
      </w:r>
      <w:r>
        <w:rPr>
          <w:color w:val="333333"/>
        </w:rPr>
        <w:t xml:space="preserve"> </w:t>
      </w:r>
    </w:p>
    <w:p w14:paraId="54FEF46B" w14:textId="77777777" w:rsidR="00A71EEF" w:rsidRDefault="0081115D">
      <w:pPr>
        <w:pStyle w:val="a3"/>
        <w:spacing w:line="446" w:lineRule="auto"/>
        <w:ind w:left="840" w:right="3714" w:hanging="3"/>
      </w:pPr>
      <w:r>
        <w:rPr>
          <w:color w:val="333333"/>
        </w:rPr>
        <w:t>其他要求，应符合现行国家标准《防火卷帘》</w:t>
      </w:r>
      <w:r>
        <w:rPr>
          <w:color w:val="333333"/>
        </w:rPr>
        <w:t xml:space="preserve">GB 14102 </w:t>
      </w:r>
      <w:r>
        <w:rPr>
          <w:color w:val="333333"/>
        </w:rPr>
        <w:t>的规定。</w:t>
      </w:r>
      <w:r>
        <w:rPr>
          <w:b/>
          <w:color w:val="333333"/>
        </w:rPr>
        <w:t xml:space="preserve">6.6 </w:t>
      </w:r>
      <w:r>
        <w:rPr>
          <w:color w:val="333333"/>
        </w:rPr>
        <w:t>天桥、栈桥和管沟</w:t>
      </w:r>
      <w:r>
        <w:rPr>
          <w:color w:val="333333"/>
        </w:rPr>
        <w:t xml:space="preserve"> </w:t>
      </w:r>
    </w:p>
    <w:p w14:paraId="53F38609" w14:textId="77777777" w:rsidR="00A71EEF" w:rsidRDefault="0081115D">
      <w:pPr>
        <w:pStyle w:val="a4"/>
        <w:numPr>
          <w:ilvl w:val="2"/>
          <w:numId w:val="710"/>
        </w:numPr>
        <w:tabs>
          <w:tab w:val="left" w:pos="1371"/>
        </w:tabs>
        <w:spacing w:line="446" w:lineRule="auto"/>
        <w:ind w:right="1813" w:firstLine="422"/>
        <w:rPr>
          <w:sz w:val="21"/>
        </w:rPr>
      </w:pPr>
      <w:r>
        <w:rPr>
          <w:color w:val="333333"/>
          <w:spacing w:val="-3"/>
          <w:sz w:val="21"/>
        </w:rPr>
        <w:t>天桥、跨越房屋的栈桥以及供输送可燃材料、可燃气体和甲、乙、丙类液体的栈桥，均应采用不燃材料。</w:t>
      </w:r>
      <w:r>
        <w:rPr>
          <w:color w:val="333333"/>
          <w:sz w:val="21"/>
        </w:rPr>
        <w:t xml:space="preserve"> </w:t>
      </w:r>
    </w:p>
    <w:p w14:paraId="4069E6F4" w14:textId="77777777" w:rsidR="00A71EEF" w:rsidRDefault="0081115D">
      <w:pPr>
        <w:pStyle w:val="a4"/>
        <w:numPr>
          <w:ilvl w:val="2"/>
          <w:numId w:val="710"/>
        </w:numPr>
        <w:tabs>
          <w:tab w:val="left" w:pos="1371"/>
        </w:tabs>
        <w:ind w:left="1370"/>
        <w:rPr>
          <w:sz w:val="21"/>
        </w:rPr>
      </w:pPr>
      <w:r>
        <w:rPr>
          <w:color w:val="333333"/>
          <w:spacing w:val="-3"/>
          <w:sz w:val="21"/>
        </w:rPr>
        <w:t>输送有火灾、爆炸危险物质的栈桥不应兼作疏散通道。</w:t>
      </w:r>
      <w:r>
        <w:rPr>
          <w:color w:val="333333"/>
          <w:sz w:val="21"/>
        </w:rPr>
        <w:t xml:space="preserve"> </w:t>
      </w:r>
    </w:p>
    <w:p w14:paraId="39CDF6C2" w14:textId="77777777" w:rsidR="00A71EEF" w:rsidRDefault="00A71EEF">
      <w:pPr>
        <w:pStyle w:val="a3"/>
        <w:spacing w:before="9"/>
        <w:rPr>
          <w:sz w:val="17"/>
        </w:rPr>
      </w:pPr>
    </w:p>
    <w:p w14:paraId="2D803B55" w14:textId="77777777" w:rsidR="00A71EEF" w:rsidRDefault="0081115D">
      <w:pPr>
        <w:pStyle w:val="a4"/>
        <w:numPr>
          <w:ilvl w:val="2"/>
          <w:numId w:val="710"/>
        </w:numPr>
        <w:tabs>
          <w:tab w:val="left" w:pos="1371"/>
        </w:tabs>
        <w:ind w:left="1370"/>
        <w:rPr>
          <w:sz w:val="21"/>
        </w:rPr>
      </w:pPr>
      <w:r>
        <w:rPr>
          <w:color w:val="333333"/>
          <w:spacing w:val="-3"/>
          <w:sz w:val="21"/>
        </w:rPr>
        <w:t>封闭天桥、栈桥与建筑物连接处的门洞以及敷设甲、乙、丙类液体管道的封闭管沟</w:t>
      </w:r>
    </w:p>
    <w:p w14:paraId="2B70F0F7" w14:textId="77777777" w:rsidR="00A71EEF" w:rsidRDefault="00A71EEF">
      <w:pPr>
        <w:pStyle w:val="a3"/>
        <w:spacing w:before="12"/>
        <w:rPr>
          <w:sz w:val="17"/>
        </w:rPr>
      </w:pPr>
    </w:p>
    <w:p w14:paraId="26D8F957" w14:textId="77777777" w:rsidR="00A71EEF" w:rsidRDefault="0081115D">
      <w:pPr>
        <w:pStyle w:val="a3"/>
        <w:ind w:left="418"/>
      </w:pPr>
      <w:r>
        <w:rPr>
          <w:color w:val="333333"/>
        </w:rPr>
        <w:t>（廊），均宜采取防止火灾蔓延的措施。</w:t>
      </w:r>
      <w:r>
        <w:rPr>
          <w:color w:val="333333"/>
        </w:rPr>
        <w:t xml:space="preserve"> </w:t>
      </w:r>
    </w:p>
    <w:p w14:paraId="6CE24EA0" w14:textId="77777777" w:rsidR="00A71EEF" w:rsidRDefault="00A71EEF">
      <w:pPr>
        <w:pStyle w:val="a3"/>
        <w:spacing w:before="2"/>
        <w:rPr>
          <w:sz w:val="18"/>
        </w:rPr>
      </w:pPr>
    </w:p>
    <w:p w14:paraId="40EF5007" w14:textId="77777777" w:rsidR="00A71EEF" w:rsidRDefault="0081115D">
      <w:pPr>
        <w:pStyle w:val="a4"/>
        <w:numPr>
          <w:ilvl w:val="2"/>
          <w:numId w:val="710"/>
        </w:numPr>
        <w:tabs>
          <w:tab w:val="left" w:pos="1371"/>
        </w:tabs>
        <w:spacing w:line="446" w:lineRule="auto"/>
        <w:ind w:right="1604" w:firstLine="422"/>
        <w:jc w:val="both"/>
        <w:rPr>
          <w:sz w:val="21"/>
        </w:rPr>
      </w:pPr>
      <w:r>
        <w:rPr>
          <w:color w:val="333333"/>
          <w:spacing w:val="-3"/>
          <w:sz w:val="21"/>
        </w:rPr>
        <w:t>连接两座建筑物的天桥、连廊，应采取防止火灾在两座建筑间蔓延的措施。当仅供通行的天桥、连廊采用不燃材料，且建筑物通向天桥、连廊的出口符合安全出口的要求时，该出口可作为安全出口。</w:t>
      </w:r>
      <w:r>
        <w:rPr>
          <w:color w:val="333333"/>
          <w:sz w:val="21"/>
        </w:rPr>
        <w:t xml:space="preserve"> </w:t>
      </w:r>
    </w:p>
    <w:p w14:paraId="37DDF8C8" w14:textId="77777777" w:rsidR="00A71EEF" w:rsidRDefault="0081115D">
      <w:pPr>
        <w:pStyle w:val="a4"/>
        <w:numPr>
          <w:ilvl w:val="1"/>
          <w:numId w:val="709"/>
        </w:numPr>
        <w:tabs>
          <w:tab w:val="left" w:pos="1159"/>
        </w:tabs>
        <w:spacing w:line="268" w:lineRule="exact"/>
        <w:ind w:hanging="319"/>
        <w:rPr>
          <w:b/>
          <w:sz w:val="21"/>
        </w:rPr>
      </w:pPr>
      <w:r>
        <w:rPr>
          <w:spacing w:val="-3"/>
          <w:sz w:val="21"/>
        </w:rPr>
        <w:t>建筑保温和外墙装饰</w:t>
      </w:r>
      <w:r>
        <w:rPr>
          <w:b/>
          <w:w w:val="99"/>
          <w:sz w:val="21"/>
        </w:rPr>
        <w:t xml:space="preserve"> </w:t>
      </w:r>
    </w:p>
    <w:p w14:paraId="599DDB22" w14:textId="77777777" w:rsidR="00A71EEF" w:rsidRDefault="00A71EEF">
      <w:pPr>
        <w:pStyle w:val="a3"/>
        <w:rPr>
          <w:b/>
          <w:sz w:val="18"/>
        </w:rPr>
      </w:pPr>
    </w:p>
    <w:p w14:paraId="17EC9653" w14:textId="77777777" w:rsidR="00A71EEF" w:rsidRDefault="0081115D">
      <w:pPr>
        <w:pStyle w:val="a4"/>
        <w:numPr>
          <w:ilvl w:val="2"/>
          <w:numId w:val="709"/>
        </w:numPr>
        <w:tabs>
          <w:tab w:val="left" w:pos="1371"/>
        </w:tabs>
        <w:spacing w:line="446" w:lineRule="auto"/>
        <w:ind w:right="1450" w:firstLine="422"/>
        <w:rPr>
          <w:sz w:val="21"/>
        </w:rPr>
      </w:pPr>
      <w:r>
        <w:rPr>
          <w:color w:val="333333"/>
          <w:spacing w:val="-6"/>
          <w:sz w:val="21"/>
        </w:rPr>
        <w:t>建筑的内、外保温系统，宜采用燃烧性能为</w:t>
      </w:r>
      <w:r>
        <w:rPr>
          <w:color w:val="333333"/>
          <w:spacing w:val="-6"/>
          <w:sz w:val="21"/>
        </w:rPr>
        <w:t xml:space="preserve"> </w:t>
      </w:r>
      <w:r>
        <w:rPr>
          <w:color w:val="333333"/>
          <w:sz w:val="21"/>
        </w:rPr>
        <w:t>A</w:t>
      </w:r>
      <w:r>
        <w:rPr>
          <w:color w:val="333333"/>
          <w:spacing w:val="-7"/>
          <w:sz w:val="21"/>
        </w:rPr>
        <w:t xml:space="preserve"> </w:t>
      </w:r>
      <w:r>
        <w:rPr>
          <w:color w:val="333333"/>
          <w:spacing w:val="-7"/>
          <w:sz w:val="21"/>
        </w:rPr>
        <w:t>级的保温材料，不宜采用</w:t>
      </w:r>
      <w:r>
        <w:rPr>
          <w:color w:val="333333"/>
          <w:spacing w:val="-7"/>
          <w:sz w:val="21"/>
        </w:rPr>
        <w:t xml:space="preserve"> </w:t>
      </w:r>
      <w:r>
        <w:rPr>
          <w:color w:val="333333"/>
          <w:sz w:val="21"/>
        </w:rPr>
        <w:t xml:space="preserve">B2 </w:t>
      </w:r>
      <w:r>
        <w:rPr>
          <w:color w:val="333333"/>
          <w:sz w:val="21"/>
        </w:rPr>
        <w:t>级保温材</w:t>
      </w:r>
      <w:r>
        <w:rPr>
          <w:color w:val="333333"/>
          <w:spacing w:val="-9"/>
          <w:sz w:val="21"/>
        </w:rPr>
        <w:t>料，严禁采用</w:t>
      </w:r>
      <w:r>
        <w:rPr>
          <w:color w:val="333333"/>
          <w:spacing w:val="-9"/>
          <w:sz w:val="21"/>
        </w:rPr>
        <w:t xml:space="preserve"> </w:t>
      </w:r>
      <w:r>
        <w:rPr>
          <w:color w:val="333333"/>
          <w:sz w:val="21"/>
        </w:rPr>
        <w:t>B3</w:t>
      </w:r>
      <w:r>
        <w:rPr>
          <w:color w:val="333333"/>
          <w:spacing w:val="-3"/>
          <w:sz w:val="21"/>
        </w:rPr>
        <w:t xml:space="preserve"> </w:t>
      </w:r>
      <w:r>
        <w:rPr>
          <w:color w:val="333333"/>
          <w:spacing w:val="-3"/>
          <w:sz w:val="21"/>
        </w:rPr>
        <w:t>级保温材料；设置保温系统的基层墙体或屋面板的耐火极限应符合本规范的有关规定。</w:t>
      </w:r>
      <w:r>
        <w:rPr>
          <w:color w:val="333333"/>
          <w:sz w:val="21"/>
        </w:rPr>
        <w:t xml:space="preserve"> </w:t>
      </w:r>
    </w:p>
    <w:p w14:paraId="6A4FA200" w14:textId="77777777" w:rsidR="00A71EEF" w:rsidRDefault="00A71EEF">
      <w:pPr>
        <w:spacing w:line="446" w:lineRule="auto"/>
        <w:rPr>
          <w:sz w:val="21"/>
        </w:rPr>
        <w:sectPr w:rsidR="00A71EEF">
          <w:pgSz w:w="11910" w:h="16850"/>
          <w:pgMar w:top="1220" w:right="0" w:bottom="1420" w:left="1260" w:header="0" w:footer="1239" w:gutter="0"/>
          <w:cols w:space="720"/>
        </w:sectPr>
      </w:pPr>
    </w:p>
    <w:p w14:paraId="0C06CE84" w14:textId="77777777" w:rsidR="00A71EEF" w:rsidRDefault="0081115D">
      <w:pPr>
        <w:pStyle w:val="a4"/>
        <w:numPr>
          <w:ilvl w:val="2"/>
          <w:numId w:val="709"/>
        </w:numPr>
        <w:tabs>
          <w:tab w:val="left" w:pos="1371"/>
        </w:tabs>
        <w:spacing w:before="47"/>
        <w:ind w:left="1370"/>
        <w:rPr>
          <w:sz w:val="21"/>
        </w:rPr>
      </w:pPr>
      <w:r>
        <w:rPr>
          <w:color w:val="333333"/>
          <w:spacing w:val="-3"/>
          <w:sz w:val="21"/>
        </w:rPr>
        <w:lastRenderedPageBreak/>
        <w:t>建筑外墙采用内保温系统时，保温系统应符合下列规定：</w:t>
      </w:r>
      <w:r>
        <w:rPr>
          <w:color w:val="333333"/>
          <w:sz w:val="21"/>
        </w:rPr>
        <w:t xml:space="preserve"> </w:t>
      </w:r>
    </w:p>
    <w:p w14:paraId="7C2D62BC" w14:textId="77777777" w:rsidR="00A71EEF" w:rsidRDefault="00A71EEF">
      <w:pPr>
        <w:pStyle w:val="a3"/>
        <w:rPr>
          <w:sz w:val="18"/>
        </w:rPr>
      </w:pPr>
    </w:p>
    <w:p w14:paraId="7431BCC1" w14:textId="77777777" w:rsidR="00A71EEF" w:rsidRDefault="0081115D">
      <w:pPr>
        <w:pStyle w:val="a3"/>
        <w:spacing w:line="446" w:lineRule="auto"/>
        <w:ind w:left="418" w:right="1609" w:firstLine="419"/>
      </w:pPr>
      <w:r>
        <w:rPr>
          <w:color w:val="333333"/>
        </w:rPr>
        <w:t>对于人员密集场所，用火、燃油、燃气等具有火灾危险性的场所以及各类建筑内的疏散楼梯间、避难走道、避难间、避难层等场所或部位，应采用燃烧性能为</w:t>
      </w:r>
      <w:r>
        <w:rPr>
          <w:color w:val="333333"/>
        </w:rPr>
        <w:t xml:space="preserve"> A </w:t>
      </w:r>
      <w:r>
        <w:rPr>
          <w:color w:val="333333"/>
        </w:rPr>
        <w:t>级的保温材料；</w:t>
      </w:r>
      <w:r>
        <w:rPr>
          <w:color w:val="333333"/>
        </w:rPr>
        <w:t xml:space="preserve"> </w:t>
      </w:r>
    </w:p>
    <w:p w14:paraId="33233F0F" w14:textId="77777777" w:rsidR="00A71EEF" w:rsidRDefault="0081115D">
      <w:pPr>
        <w:pStyle w:val="a3"/>
        <w:ind w:left="838"/>
      </w:pPr>
      <w:r>
        <w:rPr>
          <w:color w:val="333333"/>
        </w:rPr>
        <w:t>对于其他场所，应采用低烟、低毒且燃烧性能不低于</w:t>
      </w:r>
      <w:r>
        <w:rPr>
          <w:color w:val="333333"/>
        </w:rPr>
        <w:t xml:space="preserve"> B1 </w:t>
      </w:r>
      <w:r>
        <w:rPr>
          <w:color w:val="333333"/>
        </w:rPr>
        <w:t>级的保温材料；</w:t>
      </w:r>
      <w:r>
        <w:rPr>
          <w:color w:val="333333"/>
        </w:rPr>
        <w:t xml:space="preserve"> </w:t>
      </w:r>
    </w:p>
    <w:p w14:paraId="6A370188" w14:textId="77777777" w:rsidR="00A71EEF" w:rsidRDefault="00A71EEF">
      <w:pPr>
        <w:pStyle w:val="a3"/>
        <w:spacing w:before="12"/>
        <w:rPr>
          <w:sz w:val="17"/>
        </w:rPr>
      </w:pPr>
    </w:p>
    <w:p w14:paraId="5B42AB80" w14:textId="77777777" w:rsidR="00A71EEF" w:rsidRDefault="0081115D">
      <w:pPr>
        <w:pStyle w:val="a3"/>
        <w:spacing w:line="446" w:lineRule="auto"/>
        <w:ind w:left="418" w:right="1399" w:firstLine="419"/>
      </w:pPr>
      <w:r>
        <w:rPr>
          <w:color w:val="333333"/>
        </w:rPr>
        <w:t>保温系统应采用不燃材料做防护层。采用燃烧性能为</w:t>
      </w:r>
      <w:r>
        <w:rPr>
          <w:color w:val="333333"/>
        </w:rPr>
        <w:t xml:space="preserve"> B1 </w:t>
      </w:r>
      <w:r>
        <w:rPr>
          <w:color w:val="333333"/>
        </w:rPr>
        <w:t>级的保温材料时，防护层的厚度不应小于</w:t>
      </w:r>
      <w:r>
        <w:rPr>
          <w:color w:val="333333"/>
        </w:rPr>
        <w:t xml:space="preserve"> 10mm</w:t>
      </w:r>
      <w:r>
        <w:rPr>
          <w:color w:val="333333"/>
        </w:rPr>
        <w:t>。</w:t>
      </w:r>
      <w:r>
        <w:rPr>
          <w:color w:val="333333"/>
        </w:rPr>
        <w:t xml:space="preserve"> </w:t>
      </w:r>
    </w:p>
    <w:p w14:paraId="27BA3953" w14:textId="77777777" w:rsidR="00A71EEF" w:rsidRDefault="0081115D">
      <w:pPr>
        <w:pStyle w:val="a4"/>
        <w:numPr>
          <w:ilvl w:val="2"/>
          <w:numId w:val="709"/>
        </w:numPr>
        <w:tabs>
          <w:tab w:val="left" w:pos="1370"/>
        </w:tabs>
        <w:spacing w:line="446" w:lineRule="auto"/>
        <w:ind w:right="1450" w:firstLine="422"/>
        <w:rPr>
          <w:sz w:val="21"/>
        </w:rPr>
      </w:pPr>
      <w:r>
        <w:rPr>
          <w:color w:val="333333"/>
          <w:spacing w:val="-3"/>
          <w:sz w:val="21"/>
        </w:rPr>
        <w:t>建筑外墙采用保温材料与两侧墙体构成无空腔复合保温结构体时，该结构体的耐火极</w:t>
      </w:r>
      <w:r>
        <w:rPr>
          <w:color w:val="333333"/>
          <w:spacing w:val="-5"/>
          <w:sz w:val="21"/>
        </w:rPr>
        <w:t>限应符合本规范的有关规定；当保温材料的燃烧性能为</w:t>
      </w:r>
      <w:r>
        <w:rPr>
          <w:color w:val="333333"/>
          <w:spacing w:val="-5"/>
          <w:sz w:val="21"/>
        </w:rPr>
        <w:t xml:space="preserve"> </w:t>
      </w:r>
      <w:r>
        <w:rPr>
          <w:color w:val="333333"/>
          <w:sz w:val="21"/>
        </w:rPr>
        <w:t>B1</w:t>
      </w:r>
      <w:r>
        <w:rPr>
          <w:color w:val="333333"/>
          <w:sz w:val="21"/>
        </w:rPr>
        <w:t>、</w:t>
      </w:r>
      <w:r>
        <w:rPr>
          <w:color w:val="333333"/>
          <w:sz w:val="21"/>
        </w:rPr>
        <w:t>B2</w:t>
      </w:r>
      <w:r>
        <w:rPr>
          <w:color w:val="333333"/>
          <w:spacing w:val="-2"/>
          <w:sz w:val="21"/>
        </w:rPr>
        <w:t xml:space="preserve"> </w:t>
      </w:r>
      <w:r>
        <w:rPr>
          <w:color w:val="333333"/>
          <w:spacing w:val="-2"/>
          <w:sz w:val="21"/>
        </w:rPr>
        <w:t>级时，保温材料两侧的墙体应采</w:t>
      </w:r>
      <w:r>
        <w:rPr>
          <w:color w:val="333333"/>
          <w:spacing w:val="-7"/>
          <w:sz w:val="21"/>
        </w:rPr>
        <w:t>用不燃材料且厚度均不应小于</w:t>
      </w:r>
      <w:r>
        <w:rPr>
          <w:color w:val="333333"/>
          <w:spacing w:val="-7"/>
          <w:sz w:val="21"/>
        </w:rPr>
        <w:t xml:space="preserve"> </w:t>
      </w:r>
      <w:r>
        <w:rPr>
          <w:color w:val="333333"/>
          <w:sz w:val="21"/>
        </w:rPr>
        <w:t>50mm</w:t>
      </w:r>
      <w:r>
        <w:rPr>
          <w:color w:val="333333"/>
          <w:spacing w:val="-3"/>
          <w:sz w:val="21"/>
        </w:rPr>
        <w:t>。</w:t>
      </w:r>
      <w:r>
        <w:rPr>
          <w:color w:val="333333"/>
          <w:sz w:val="21"/>
        </w:rPr>
        <w:t xml:space="preserve"> </w:t>
      </w:r>
    </w:p>
    <w:p w14:paraId="2E35E73E" w14:textId="77777777" w:rsidR="00A71EEF" w:rsidRDefault="0081115D">
      <w:pPr>
        <w:pStyle w:val="a4"/>
        <w:numPr>
          <w:ilvl w:val="2"/>
          <w:numId w:val="709"/>
        </w:numPr>
        <w:tabs>
          <w:tab w:val="left" w:pos="1370"/>
        </w:tabs>
        <w:spacing w:line="268" w:lineRule="exact"/>
        <w:ind w:left="1369" w:hanging="530"/>
        <w:rPr>
          <w:sz w:val="21"/>
        </w:rPr>
      </w:pPr>
      <w:r>
        <w:rPr>
          <w:color w:val="333333"/>
          <w:spacing w:val="-5"/>
          <w:sz w:val="21"/>
        </w:rPr>
        <w:t>设置人员密集场所的建筑，其外墙外保温材料的燃烧性能应为</w:t>
      </w:r>
      <w:r>
        <w:rPr>
          <w:color w:val="333333"/>
          <w:spacing w:val="-5"/>
          <w:sz w:val="21"/>
        </w:rPr>
        <w:t xml:space="preserve"> </w:t>
      </w:r>
      <w:r>
        <w:rPr>
          <w:color w:val="333333"/>
          <w:spacing w:val="-3"/>
          <w:sz w:val="21"/>
        </w:rPr>
        <w:t>A</w:t>
      </w:r>
      <w:r>
        <w:rPr>
          <w:color w:val="333333"/>
          <w:spacing w:val="-1"/>
          <w:sz w:val="21"/>
        </w:rPr>
        <w:t xml:space="preserve"> </w:t>
      </w:r>
      <w:r>
        <w:rPr>
          <w:color w:val="333333"/>
          <w:spacing w:val="-1"/>
          <w:sz w:val="21"/>
        </w:rPr>
        <w:t>级。</w:t>
      </w:r>
      <w:r>
        <w:rPr>
          <w:color w:val="333333"/>
          <w:spacing w:val="-1"/>
          <w:sz w:val="21"/>
        </w:rPr>
        <w:t xml:space="preserve"> </w:t>
      </w:r>
    </w:p>
    <w:p w14:paraId="64F4F0F1" w14:textId="77777777" w:rsidR="00A71EEF" w:rsidRDefault="00A71EEF">
      <w:pPr>
        <w:pStyle w:val="a3"/>
        <w:rPr>
          <w:sz w:val="18"/>
        </w:rPr>
      </w:pPr>
    </w:p>
    <w:p w14:paraId="23CC28F7" w14:textId="77777777" w:rsidR="00A71EEF" w:rsidRDefault="0081115D">
      <w:pPr>
        <w:pStyle w:val="a3"/>
        <w:spacing w:line="446" w:lineRule="auto"/>
        <w:ind w:left="418" w:right="1604" w:firstLine="422"/>
      </w:pPr>
      <w:r>
        <w:rPr>
          <w:b/>
          <w:color w:val="333333"/>
        </w:rPr>
        <w:t xml:space="preserve">6.7.4A </w:t>
      </w:r>
      <w:r>
        <w:rPr>
          <w:color w:val="333333"/>
        </w:rPr>
        <w:t>除本规范第</w:t>
      </w:r>
      <w:r>
        <w:rPr>
          <w:color w:val="333333"/>
        </w:rPr>
        <w:t xml:space="preserve"> 6.7.3 </w:t>
      </w:r>
      <w:r>
        <w:rPr>
          <w:color w:val="333333"/>
        </w:rPr>
        <w:t>条规定的情况外，下列老年人照料设施的内、外墙体和屋面保温材料应采用燃烧性能为</w:t>
      </w:r>
      <w:r>
        <w:rPr>
          <w:color w:val="333333"/>
        </w:rPr>
        <w:t xml:space="preserve"> A </w:t>
      </w:r>
      <w:r>
        <w:rPr>
          <w:color w:val="333333"/>
        </w:rPr>
        <w:t>级的保温材料：</w:t>
      </w:r>
      <w:r>
        <w:rPr>
          <w:color w:val="333333"/>
        </w:rPr>
        <w:t xml:space="preserve"> </w:t>
      </w:r>
    </w:p>
    <w:p w14:paraId="6A4C5648" w14:textId="77777777" w:rsidR="00A71EEF" w:rsidRDefault="0081115D">
      <w:pPr>
        <w:pStyle w:val="a3"/>
        <w:ind w:left="838"/>
      </w:pPr>
      <w:r>
        <w:rPr>
          <w:color w:val="333333"/>
        </w:rPr>
        <w:t>独立建造的老年人照料设施；</w:t>
      </w:r>
      <w:r>
        <w:rPr>
          <w:color w:val="333333"/>
        </w:rPr>
        <w:t xml:space="preserve"> </w:t>
      </w:r>
    </w:p>
    <w:p w14:paraId="0D96FE19" w14:textId="77777777" w:rsidR="00A71EEF" w:rsidRDefault="00A71EEF">
      <w:pPr>
        <w:pStyle w:val="a3"/>
        <w:spacing w:before="2"/>
        <w:rPr>
          <w:sz w:val="17"/>
        </w:rPr>
      </w:pPr>
    </w:p>
    <w:p w14:paraId="749EB4CF" w14:textId="77777777" w:rsidR="00A71EEF" w:rsidRDefault="0081115D">
      <w:pPr>
        <w:pStyle w:val="a3"/>
        <w:spacing w:line="446" w:lineRule="auto"/>
        <w:ind w:left="840" w:right="1580" w:hanging="3"/>
      </w:pPr>
      <w:r>
        <w:rPr>
          <w:color w:val="333333"/>
        </w:rPr>
        <w:t>与其他建筑组合建造且老年人照料设施部分的总建筑面积大于</w:t>
      </w:r>
      <w:r>
        <w:rPr>
          <w:color w:val="333333"/>
        </w:rPr>
        <w:t xml:space="preserve"> 500m</w:t>
      </w:r>
      <w:r>
        <w:rPr>
          <w:color w:val="333333"/>
          <w:position w:val="11"/>
          <w:sz w:val="11"/>
        </w:rPr>
        <w:t xml:space="preserve">2 </w:t>
      </w:r>
      <w:r>
        <w:rPr>
          <w:color w:val="333333"/>
        </w:rPr>
        <w:t>的老年人照料设施。</w:t>
      </w:r>
      <w:r>
        <w:rPr>
          <w:b/>
          <w:color w:val="333333"/>
        </w:rPr>
        <w:t xml:space="preserve">6.7.5 </w:t>
      </w:r>
      <w:r>
        <w:rPr>
          <w:color w:val="333333"/>
        </w:rPr>
        <w:t>与基层墙体、装饰层之间无空腔的建筑外墙外保温系统，其保温材料应符合下列规</w:t>
      </w:r>
    </w:p>
    <w:p w14:paraId="078B5E17" w14:textId="77777777" w:rsidR="00A71EEF" w:rsidRDefault="0081115D">
      <w:pPr>
        <w:pStyle w:val="a3"/>
        <w:ind w:left="418"/>
      </w:pPr>
      <w:r>
        <w:rPr>
          <w:color w:val="333333"/>
        </w:rPr>
        <w:t>定：</w:t>
      </w:r>
      <w:r>
        <w:rPr>
          <w:color w:val="333333"/>
        </w:rPr>
        <w:t xml:space="preserve"> </w:t>
      </w:r>
    </w:p>
    <w:p w14:paraId="08A5599F" w14:textId="77777777" w:rsidR="00A71EEF" w:rsidRDefault="00A71EEF">
      <w:pPr>
        <w:pStyle w:val="a3"/>
        <w:rPr>
          <w:sz w:val="18"/>
        </w:rPr>
      </w:pPr>
    </w:p>
    <w:p w14:paraId="4A6BE441" w14:textId="77777777" w:rsidR="00A71EEF" w:rsidRDefault="0081115D">
      <w:pPr>
        <w:pStyle w:val="a3"/>
        <w:ind w:left="838"/>
      </w:pPr>
      <w:r>
        <w:rPr>
          <w:color w:val="333333"/>
        </w:rPr>
        <w:t>住宅建筑：</w:t>
      </w:r>
      <w:r>
        <w:rPr>
          <w:color w:val="333333"/>
        </w:rPr>
        <w:t xml:space="preserve"> </w:t>
      </w:r>
    </w:p>
    <w:p w14:paraId="282073FF" w14:textId="77777777" w:rsidR="00A71EEF" w:rsidRDefault="00A71EEF">
      <w:pPr>
        <w:pStyle w:val="a3"/>
        <w:spacing w:before="12"/>
        <w:rPr>
          <w:sz w:val="17"/>
        </w:rPr>
      </w:pPr>
    </w:p>
    <w:p w14:paraId="000EC413" w14:textId="77777777" w:rsidR="00A71EEF" w:rsidRDefault="0081115D">
      <w:pPr>
        <w:pStyle w:val="a4"/>
        <w:numPr>
          <w:ilvl w:val="0"/>
          <w:numId w:val="708"/>
        </w:numPr>
        <w:tabs>
          <w:tab w:val="left" w:pos="1156"/>
        </w:tabs>
        <w:rPr>
          <w:sz w:val="21"/>
        </w:rPr>
      </w:pPr>
      <w:r>
        <w:rPr>
          <w:color w:val="333333"/>
          <w:spacing w:val="-11"/>
          <w:sz w:val="21"/>
        </w:rPr>
        <w:t>建筑高度大于</w:t>
      </w:r>
      <w:r>
        <w:rPr>
          <w:color w:val="333333"/>
          <w:spacing w:val="-11"/>
          <w:sz w:val="21"/>
        </w:rPr>
        <w:t xml:space="preserve"> </w:t>
      </w:r>
      <w:r>
        <w:rPr>
          <w:color w:val="333333"/>
          <w:sz w:val="21"/>
        </w:rPr>
        <w:t>100m</w:t>
      </w:r>
      <w:r>
        <w:rPr>
          <w:color w:val="333333"/>
          <w:spacing w:val="-7"/>
          <w:sz w:val="21"/>
        </w:rPr>
        <w:t xml:space="preserve"> </w:t>
      </w:r>
      <w:r>
        <w:rPr>
          <w:color w:val="333333"/>
          <w:spacing w:val="-7"/>
          <w:sz w:val="21"/>
        </w:rPr>
        <w:t>时，保温材料的燃烧性能应为</w:t>
      </w:r>
      <w:r>
        <w:rPr>
          <w:color w:val="333333"/>
          <w:spacing w:val="-7"/>
          <w:sz w:val="21"/>
        </w:rPr>
        <w:t xml:space="preserve"> </w:t>
      </w:r>
      <w:r>
        <w:rPr>
          <w:color w:val="333333"/>
          <w:sz w:val="21"/>
        </w:rPr>
        <w:t>A</w:t>
      </w:r>
      <w:r>
        <w:rPr>
          <w:color w:val="333333"/>
          <w:spacing w:val="-2"/>
          <w:sz w:val="21"/>
        </w:rPr>
        <w:t xml:space="preserve"> </w:t>
      </w:r>
      <w:r>
        <w:rPr>
          <w:color w:val="333333"/>
          <w:spacing w:val="-2"/>
          <w:sz w:val="21"/>
        </w:rPr>
        <w:t>级；</w:t>
      </w:r>
      <w:r>
        <w:rPr>
          <w:color w:val="333333"/>
          <w:sz w:val="21"/>
        </w:rPr>
        <w:t xml:space="preserve"> </w:t>
      </w:r>
    </w:p>
    <w:p w14:paraId="5184B67D" w14:textId="77777777" w:rsidR="00A71EEF" w:rsidRDefault="00A71EEF">
      <w:pPr>
        <w:pStyle w:val="a3"/>
        <w:spacing w:before="2"/>
        <w:rPr>
          <w:sz w:val="18"/>
        </w:rPr>
      </w:pPr>
    </w:p>
    <w:p w14:paraId="6B59ABFB" w14:textId="77777777" w:rsidR="00A71EEF" w:rsidRDefault="0081115D">
      <w:pPr>
        <w:pStyle w:val="a4"/>
        <w:numPr>
          <w:ilvl w:val="0"/>
          <w:numId w:val="708"/>
        </w:numPr>
        <w:tabs>
          <w:tab w:val="left" w:pos="1156"/>
        </w:tabs>
        <w:rPr>
          <w:sz w:val="21"/>
        </w:rPr>
      </w:pPr>
      <w:r>
        <w:rPr>
          <w:color w:val="333333"/>
          <w:spacing w:val="-11"/>
          <w:sz w:val="21"/>
        </w:rPr>
        <w:t>建筑高度大于</w:t>
      </w:r>
      <w:r>
        <w:rPr>
          <w:color w:val="333333"/>
          <w:spacing w:val="-11"/>
          <w:sz w:val="21"/>
        </w:rPr>
        <w:t xml:space="preserve"> </w:t>
      </w:r>
      <w:r>
        <w:rPr>
          <w:color w:val="333333"/>
          <w:sz w:val="21"/>
        </w:rPr>
        <w:t>27m</w:t>
      </w:r>
      <w:r>
        <w:rPr>
          <w:color w:val="333333"/>
          <w:spacing w:val="-12"/>
          <w:sz w:val="21"/>
        </w:rPr>
        <w:t>，但不大于</w:t>
      </w:r>
      <w:r>
        <w:rPr>
          <w:color w:val="333333"/>
          <w:spacing w:val="-12"/>
          <w:sz w:val="21"/>
        </w:rPr>
        <w:t xml:space="preserve"> </w:t>
      </w:r>
      <w:r>
        <w:rPr>
          <w:color w:val="333333"/>
          <w:sz w:val="21"/>
        </w:rPr>
        <w:t>100m</w:t>
      </w:r>
      <w:r>
        <w:rPr>
          <w:color w:val="333333"/>
          <w:spacing w:val="-6"/>
          <w:sz w:val="21"/>
        </w:rPr>
        <w:t xml:space="preserve"> </w:t>
      </w:r>
      <w:r>
        <w:rPr>
          <w:color w:val="333333"/>
          <w:spacing w:val="-6"/>
          <w:sz w:val="21"/>
        </w:rPr>
        <w:t>时，保温材料的燃烧性能不应低于</w:t>
      </w:r>
      <w:r>
        <w:rPr>
          <w:color w:val="333333"/>
          <w:spacing w:val="-6"/>
          <w:sz w:val="21"/>
        </w:rPr>
        <w:t xml:space="preserve"> </w:t>
      </w:r>
      <w:r>
        <w:rPr>
          <w:color w:val="333333"/>
          <w:sz w:val="21"/>
        </w:rPr>
        <w:t>B1</w:t>
      </w:r>
      <w:r>
        <w:rPr>
          <w:color w:val="333333"/>
          <w:spacing w:val="-19"/>
          <w:sz w:val="21"/>
        </w:rPr>
        <w:t xml:space="preserve"> </w:t>
      </w:r>
      <w:r>
        <w:rPr>
          <w:color w:val="333333"/>
          <w:spacing w:val="-19"/>
          <w:sz w:val="21"/>
        </w:rPr>
        <w:t>级；</w:t>
      </w:r>
      <w:r>
        <w:rPr>
          <w:color w:val="333333"/>
          <w:sz w:val="21"/>
        </w:rPr>
        <w:t xml:space="preserve"> </w:t>
      </w:r>
    </w:p>
    <w:p w14:paraId="6A27AA1A" w14:textId="77777777" w:rsidR="00A71EEF" w:rsidRDefault="00A71EEF">
      <w:pPr>
        <w:pStyle w:val="a3"/>
        <w:rPr>
          <w:sz w:val="18"/>
        </w:rPr>
      </w:pPr>
    </w:p>
    <w:p w14:paraId="0EB59345" w14:textId="77777777" w:rsidR="00A71EEF" w:rsidRDefault="0081115D">
      <w:pPr>
        <w:pStyle w:val="a4"/>
        <w:numPr>
          <w:ilvl w:val="0"/>
          <w:numId w:val="708"/>
        </w:numPr>
        <w:tabs>
          <w:tab w:val="left" w:pos="1156"/>
        </w:tabs>
        <w:rPr>
          <w:sz w:val="21"/>
        </w:rPr>
      </w:pPr>
      <w:r>
        <w:rPr>
          <w:color w:val="333333"/>
          <w:spacing w:val="-10"/>
          <w:sz w:val="21"/>
        </w:rPr>
        <w:t>建筑高度不大于</w:t>
      </w:r>
      <w:r>
        <w:rPr>
          <w:color w:val="333333"/>
          <w:spacing w:val="-10"/>
          <w:sz w:val="21"/>
        </w:rPr>
        <w:t xml:space="preserve"> </w:t>
      </w:r>
      <w:r>
        <w:rPr>
          <w:color w:val="333333"/>
          <w:sz w:val="21"/>
        </w:rPr>
        <w:t>27m</w:t>
      </w:r>
      <w:r>
        <w:rPr>
          <w:color w:val="333333"/>
          <w:spacing w:val="-6"/>
          <w:sz w:val="21"/>
        </w:rPr>
        <w:t xml:space="preserve"> </w:t>
      </w:r>
      <w:r>
        <w:rPr>
          <w:color w:val="333333"/>
          <w:spacing w:val="-6"/>
          <w:sz w:val="21"/>
        </w:rPr>
        <w:t>时，保温材料的燃烧性能不应低于</w:t>
      </w:r>
      <w:r>
        <w:rPr>
          <w:color w:val="333333"/>
          <w:spacing w:val="-6"/>
          <w:sz w:val="21"/>
        </w:rPr>
        <w:t xml:space="preserve"> </w:t>
      </w:r>
      <w:r>
        <w:rPr>
          <w:color w:val="333333"/>
          <w:sz w:val="21"/>
        </w:rPr>
        <w:t>B2</w:t>
      </w:r>
      <w:r>
        <w:rPr>
          <w:color w:val="333333"/>
          <w:spacing w:val="-3"/>
          <w:sz w:val="21"/>
        </w:rPr>
        <w:t xml:space="preserve"> </w:t>
      </w:r>
      <w:r>
        <w:rPr>
          <w:color w:val="333333"/>
          <w:spacing w:val="-3"/>
          <w:sz w:val="21"/>
        </w:rPr>
        <w:t>级；</w:t>
      </w:r>
      <w:r>
        <w:rPr>
          <w:color w:val="333333"/>
          <w:sz w:val="21"/>
        </w:rPr>
        <w:t xml:space="preserve"> </w:t>
      </w:r>
    </w:p>
    <w:p w14:paraId="66DF8027" w14:textId="77777777" w:rsidR="00A71EEF" w:rsidRDefault="00A71EEF">
      <w:pPr>
        <w:pStyle w:val="a3"/>
        <w:rPr>
          <w:sz w:val="18"/>
        </w:rPr>
      </w:pPr>
    </w:p>
    <w:p w14:paraId="274439F4" w14:textId="77777777" w:rsidR="00A71EEF" w:rsidRDefault="0081115D">
      <w:pPr>
        <w:pStyle w:val="a3"/>
        <w:spacing w:line="446" w:lineRule="auto"/>
        <w:ind w:left="838" w:right="4237"/>
      </w:pPr>
      <w:r>
        <w:rPr>
          <w:color w:val="333333"/>
          <w:spacing w:val="-3"/>
        </w:rPr>
        <w:t>除住宅建筑和设置人员密集场所的建筑外，其他建筑：</w:t>
      </w:r>
      <w:r>
        <w:rPr>
          <w:color w:val="333333"/>
          <w:spacing w:val="-3"/>
        </w:rPr>
        <w:t xml:space="preserve">   </w:t>
      </w:r>
      <w:r>
        <w:rPr>
          <w:color w:val="333333"/>
        </w:rPr>
        <w:t>1</w:t>
      </w:r>
      <w:r>
        <w:rPr>
          <w:color w:val="333333"/>
        </w:rPr>
        <w:t>）</w:t>
      </w:r>
      <w:r>
        <w:rPr>
          <w:color w:val="333333"/>
          <w:spacing w:val="-10"/>
        </w:rPr>
        <w:t>建筑高度大于</w:t>
      </w:r>
      <w:r>
        <w:rPr>
          <w:color w:val="333333"/>
          <w:spacing w:val="-10"/>
        </w:rPr>
        <w:t xml:space="preserve"> </w:t>
      </w:r>
      <w:r>
        <w:rPr>
          <w:color w:val="333333"/>
        </w:rPr>
        <w:t>50m</w:t>
      </w:r>
      <w:r>
        <w:rPr>
          <w:color w:val="333333"/>
          <w:spacing w:val="-7"/>
        </w:rPr>
        <w:t xml:space="preserve"> </w:t>
      </w:r>
      <w:r>
        <w:rPr>
          <w:color w:val="333333"/>
          <w:spacing w:val="-7"/>
        </w:rPr>
        <w:t>时，保温材料的燃烧性能应为</w:t>
      </w:r>
      <w:r>
        <w:rPr>
          <w:color w:val="333333"/>
          <w:spacing w:val="-7"/>
        </w:rPr>
        <w:t xml:space="preserve"> </w:t>
      </w:r>
      <w:r>
        <w:rPr>
          <w:color w:val="333333"/>
        </w:rPr>
        <w:t xml:space="preserve">A </w:t>
      </w:r>
      <w:r>
        <w:rPr>
          <w:color w:val="333333"/>
        </w:rPr>
        <w:t>级；</w:t>
      </w:r>
      <w:r>
        <w:rPr>
          <w:color w:val="333333"/>
        </w:rPr>
        <w:t xml:space="preserve"> </w:t>
      </w:r>
    </w:p>
    <w:p w14:paraId="7F6FFAB0" w14:textId="77777777" w:rsidR="00A71EEF" w:rsidRDefault="0081115D">
      <w:pPr>
        <w:pStyle w:val="a4"/>
        <w:numPr>
          <w:ilvl w:val="0"/>
          <w:numId w:val="707"/>
        </w:numPr>
        <w:tabs>
          <w:tab w:val="left" w:pos="1156"/>
        </w:tabs>
        <w:rPr>
          <w:sz w:val="21"/>
        </w:rPr>
      </w:pPr>
      <w:r>
        <w:rPr>
          <w:color w:val="333333"/>
          <w:spacing w:val="-11"/>
          <w:sz w:val="21"/>
        </w:rPr>
        <w:t>建筑高度大于</w:t>
      </w:r>
      <w:r>
        <w:rPr>
          <w:color w:val="333333"/>
          <w:spacing w:val="-11"/>
          <w:sz w:val="21"/>
        </w:rPr>
        <w:t xml:space="preserve"> </w:t>
      </w:r>
      <w:r>
        <w:rPr>
          <w:color w:val="333333"/>
          <w:sz w:val="21"/>
        </w:rPr>
        <w:t>24m</w:t>
      </w:r>
      <w:r>
        <w:rPr>
          <w:color w:val="333333"/>
          <w:spacing w:val="-12"/>
          <w:sz w:val="21"/>
        </w:rPr>
        <w:t>，但不大于</w:t>
      </w:r>
      <w:r>
        <w:rPr>
          <w:color w:val="333333"/>
          <w:spacing w:val="-12"/>
          <w:sz w:val="21"/>
        </w:rPr>
        <w:t xml:space="preserve"> </w:t>
      </w:r>
      <w:r>
        <w:rPr>
          <w:color w:val="333333"/>
          <w:sz w:val="21"/>
        </w:rPr>
        <w:t>50m</w:t>
      </w:r>
      <w:r>
        <w:rPr>
          <w:color w:val="333333"/>
          <w:spacing w:val="-6"/>
          <w:sz w:val="21"/>
        </w:rPr>
        <w:t xml:space="preserve"> </w:t>
      </w:r>
      <w:r>
        <w:rPr>
          <w:color w:val="333333"/>
          <w:spacing w:val="-6"/>
          <w:sz w:val="21"/>
        </w:rPr>
        <w:t>时，保温材料的燃烧性能不应低于</w:t>
      </w:r>
      <w:r>
        <w:rPr>
          <w:color w:val="333333"/>
          <w:spacing w:val="-6"/>
          <w:sz w:val="21"/>
        </w:rPr>
        <w:t xml:space="preserve"> </w:t>
      </w:r>
      <w:r>
        <w:rPr>
          <w:color w:val="333333"/>
          <w:sz w:val="21"/>
        </w:rPr>
        <w:t>B1</w:t>
      </w:r>
      <w:r>
        <w:rPr>
          <w:color w:val="333333"/>
          <w:spacing w:val="-1"/>
          <w:sz w:val="21"/>
        </w:rPr>
        <w:t xml:space="preserve"> </w:t>
      </w:r>
      <w:r>
        <w:rPr>
          <w:color w:val="333333"/>
          <w:spacing w:val="-1"/>
          <w:sz w:val="21"/>
        </w:rPr>
        <w:t>级；</w:t>
      </w:r>
      <w:r>
        <w:rPr>
          <w:color w:val="333333"/>
          <w:sz w:val="21"/>
        </w:rPr>
        <w:t xml:space="preserve"> </w:t>
      </w:r>
    </w:p>
    <w:p w14:paraId="05F122DC" w14:textId="77777777" w:rsidR="00A71EEF" w:rsidRDefault="00A71EEF">
      <w:pPr>
        <w:pStyle w:val="a3"/>
        <w:spacing w:before="12"/>
        <w:rPr>
          <w:sz w:val="17"/>
        </w:rPr>
      </w:pPr>
    </w:p>
    <w:p w14:paraId="0ED2FB36" w14:textId="77777777" w:rsidR="00A71EEF" w:rsidRDefault="0081115D">
      <w:pPr>
        <w:pStyle w:val="a4"/>
        <w:numPr>
          <w:ilvl w:val="0"/>
          <w:numId w:val="707"/>
        </w:numPr>
        <w:tabs>
          <w:tab w:val="left" w:pos="1156"/>
        </w:tabs>
        <w:rPr>
          <w:sz w:val="21"/>
        </w:rPr>
      </w:pPr>
      <w:r>
        <w:rPr>
          <w:color w:val="333333"/>
          <w:spacing w:val="-10"/>
          <w:sz w:val="21"/>
        </w:rPr>
        <w:t>建筑高度不大于</w:t>
      </w:r>
      <w:r>
        <w:rPr>
          <w:color w:val="333333"/>
          <w:spacing w:val="-10"/>
          <w:sz w:val="21"/>
        </w:rPr>
        <w:t xml:space="preserve"> </w:t>
      </w:r>
      <w:r>
        <w:rPr>
          <w:color w:val="333333"/>
          <w:sz w:val="21"/>
        </w:rPr>
        <w:t>24m</w:t>
      </w:r>
      <w:r>
        <w:rPr>
          <w:color w:val="333333"/>
          <w:spacing w:val="-6"/>
          <w:sz w:val="21"/>
        </w:rPr>
        <w:t xml:space="preserve"> </w:t>
      </w:r>
      <w:r>
        <w:rPr>
          <w:color w:val="333333"/>
          <w:spacing w:val="-6"/>
          <w:sz w:val="21"/>
        </w:rPr>
        <w:t>时，保温材料的燃烧性能不应低于</w:t>
      </w:r>
      <w:r>
        <w:rPr>
          <w:color w:val="333333"/>
          <w:spacing w:val="-6"/>
          <w:sz w:val="21"/>
        </w:rPr>
        <w:t xml:space="preserve"> </w:t>
      </w:r>
      <w:r>
        <w:rPr>
          <w:color w:val="333333"/>
          <w:sz w:val="21"/>
        </w:rPr>
        <w:t>B2</w:t>
      </w:r>
      <w:r>
        <w:rPr>
          <w:color w:val="333333"/>
          <w:spacing w:val="-3"/>
          <w:sz w:val="21"/>
        </w:rPr>
        <w:t xml:space="preserve"> </w:t>
      </w:r>
      <w:r>
        <w:rPr>
          <w:color w:val="333333"/>
          <w:spacing w:val="-3"/>
          <w:sz w:val="21"/>
        </w:rPr>
        <w:t>级。</w:t>
      </w:r>
      <w:r>
        <w:rPr>
          <w:color w:val="333333"/>
          <w:sz w:val="21"/>
        </w:rPr>
        <w:t xml:space="preserve"> </w:t>
      </w:r>
    </w:p>
    <w:p w14:paraId="4EFBFD50" w14:textId="77777777" w:rsidR="00A71EEF" w:rsidRDefault="00A71EEF">
      <w:pPr>
        <w:pStyle w:val="a3"/>
        <w:spacing w:before="2"/>
        <w:rPr>
          <w:sz w:val="18"/>
        </w:rPr>
      </w:pPr>
    </w:p>
    <w:p w14:paraId="3431D6D5" w14:textId="77777777" w:rsidR="00A71EEF" w:rsidRDefault="0081115D">
      <w:pPr>
        <w:pStyle w:val="a4"/>
        <w:numPr>
          <w:ilvl w:val="2"/>
          <w:numId w:val="706"/>
        </w:numPr>
        <w:tabs>
          <w:tab w:val="left" w:pos="1370"/>
        </w:tabs>
        <w:spacing w:line="446" w:lineRule="auto"/>
        <w:ind w:right="1604" w:firstLine="422"/>
        <w:rPr>
          <w:sz w:val="21"/>
        </w:rPr>
      </w:pPr>
      <w:r>
        <w:rPr>
          <w:color w:val="333333"/>
          <w:spacing w:val="-3"/>
          <w:sz w:val="21"/>
        </w:rPr>
        <w:t>除设置人员密集场所的建筑外，与基层墙体、装饰层之间有空腔的建筑外墙外保温系统，其保温材料应符合下列规定：</w:t>
      </w:r>
      <w:r>
        <w:rPr>
          <w:color w:val="333333"/>
          <w:sz w:val="21"/>
        </w:rPr>
        <w:t xml:space="preserve"> </w:t>
      </w:r>
    </w:p>
    <w:p w14:paraId="770B6B03" w14:textId="77777777" w:rsidR="00A71EEF" w:rsidRDefault="0081115D">
      <w:pPr>
        <w:pStyle w:val="a3"/>
        <w:spacing w:line="267" w:lineRule="exact"/>
        <w:ind w:left="838"/>
      </w:pPr>
      <w:r>
        <w:rPr>
          <w:color w:val="333333"/>
        </w:rPr>
        <w:t>建筑高度大于</w:t>
      </w:r>
      <w:r>
        <w:rPr>
          <w:color w:val="333333"/>
        </w:rPr>
        <w:t xml:space="preserve"> 24m </w:t>
      </w:r>
      <w:r>
        <w:rPr>
          <w:color w:val="333333"/>
        </w:rPr>
        <w:t>时，保温材料的燃烧性能应为</w:t>
      </w:r>
      <w:r>
        <w:rPr>
          <w:color w:val="333333"/>
        </w:rPr>
        <w:t xml:space="preserve"> A</w:t>
      </w:r>
      <w:r>
        <w:rPr>
          <w:color w:val="333333"/>
        </w:rPr>
        <w:t xml:space="preserve"> </w:t>
      </w:r>
      <w:r>
        <w:rPr>
          <w:color w:val="333333"/>
        </w:rPr>
        <w:t>级；</w:t>
      </w:r>
      <w:r>
        <w:rPr>
          <w:color w:val="333333"/>
        </w:rPr>
        <w:t xml:space="preserve"> </w:t>
      </w:r>
    </w:p>
    <w:p w14:paraId="0C1556CB" w14:textId="77777777" w:rsidR="00A71EEF" w:rsidRDefault="00A71EEF">
      <w:pPr>
        <w:pStyle w:val="a3"/>
        <w:spacing w:before="2"/>
        <w:rPr>
          <w:sz w:val="18"/>
        </w:rPr>
      </w:pPr>
    </w:p>
    <w:p w14:paraId="29AF513C" w14:textId="77777777" w:rsidR="00A71EEF" w:rsidRDefault="0081115D">
      <w:pPr>
        <w:pStyle w:val="a3"/>
        <w:ind w:left="838"/>
      </w:pPr>
      <w:r>
        <w:rPr>
          <w:color w:val="333333"/>
        </w:rPr>
        <w:t>建筑高度不大于</w:t>
      </w:r>
      <w:r>
        <w:rPr>
          <w:color w:val="333333"/>
        </w:rPr>
        <w:t xml:space="preserve"> 24m </w:t>
      </w:r>
      <w:r>
        <w:rPr>
          <w:color w:val="333333"/>
        </w:rPr>
        <w:t>时，保温材料的燃烧性能不应低于</w:t>
      </w:r>
      <w:r>
        <w:rPr>
          <w:color w:val="333333"/>
        </w:rPr>
        <w:t xml:space="preserve"> B1 </w:t>
      </w:r>
      <w:r>
        <w:rPr>
          <w:color w:val="333333"/>
        </w:rPr>
        <w:t>级。</w:t>
      </w:r>
      <w:r>
        <w:rPr>
          <w:color w:val="333333"/>
        </w:rPr>
        <w:t xml:space="preserve"> </w:t>
      </w:r>
    </w:p>
    <w:p w14:paraId="45CC3A12" w14:textId="77777777" w:rsidR="00A71EEF" w:rsidRDefault="00A71EEF">
      <w:pPr>
        <w:sectPr w:rsidR="00A71EEF">
          <w:pgSz w:w="11910" w:h="16850"/>
          <w:pgMar w:top="1220" w:right="0" w:bottom="1420" w:left="1260" w:header="0" w:footer="1239" w:gutter="0"/>
          <w:cols w:space="720"/>
        </w:sectPr>
      </w:pPr>
    </w:p>
    <w:p w14:paraId="46DCA51F" w14:textId="77777777" w:rsidR="00A71EEF" w:rsidRDefault="0081115D">
      <w:pPr>
        <w:pStyle w:val="a4"/>
        <w:numPr>
          <w:ilvl w:val="2"/>
          <w:numId w:val="706"/>
        </w:numPr>
        <w:tabs>
          <w:tab w:val="left" w:pos="1370"/>
        </w:tabs>
        <w:spacing w:before="47" w:line="446" w:lineRule="auto"/>
        <w:ind w:right="1551" w:firstLine="422"/>
        <w:rPr>
          <w:sz w:val="21"/>
        </w:rPr>
      </w:pPr>
      <w:r>
        <w:rPr>
          <w:color w:val="333333"/>
          <w:spacing w:val="-11"/>
          <w:sz w:val="21"/>
        </w:rPr>
        <w:lastRenderedPageBreak/>
        <w:t>除本规范第</w:t>
      </w:r>
      <w:r>
        <w:rPr>
          <w:color w:val="333333"/>
          <w:spacing w:val="-11"/>
          <w:sz w:val="21"/>
        </w:rPr>
        <w:t xml:space="preserve"> </w:t>
      </w:r>
      <w:r>
        <w:rPr>
          <w:color w:val="333333"/>
          <w:sz w:val="21"/>
        </w:rPr>
        <w:t>6.7.3</w:t>
      </w:r>
      <w:r>
        <w:rPr>
          <w:color w:val="333333"/>
          <w:spacing w:val="-3"/>
          <w:sz w:val="21"/>
        </w:rPr>
        <w:t xml:space="preserve"> </w:t>
      </w:r>
      <w:r>
        <w:rPr>
          <w:color w:val="333333"/>
          <w:spacing w:val="-3"/>
          <w:sz w:val="21"/>
        </w:rPr>
        <w:t>条规定的情况外，当建筑的外墙外保温系统按本节规定采用燃烧</w:t>
      </w:r>
      <w:r>
        <w:rPr>
          <w:color w:val="333333"/>
          <w:spacing w:val="-15"/>
          <w:sz w:val="21"/>
        </w:rPr>
        <w:t>性能为</w:t>
      </w:r>
      <w:r>
        <w:rPr>
          <w:color w:val="333333"/>
          <w:spacing w:val="-15"/>
          <w:sz w:val="21"/>
        </w:rPr>
        <w:t xml:space="preserve"> </w:t>
      </w:r>
      <w:r>
        <w:rPr>
          <w:color w:val="333333"/>
          <w:sz w:val="21"/>
        </w:rPr>
        <w:t>B1</w:t>
      </w:r>
      <w:r>
        <w:rPr>
          <w:color w:val="333333"/>
          <w:sz w:val="21"/>
        </w:rPr>
        <w:t>、</w:t>
      </w:r>
      <w:r>
        <w:rPr>
          <w:color w:val="333333"/>
          <w:sz w:val="21"/>
        </w:rPr>
        <w:t>B2</w:t>
      </w:r>
      <w:r>
        <w:rPr>
          <w:color w:val="333333"/>
          <w:spacing w:val="-3"/>
          <w:sz w:val="21"/>
        </w:rPr>
        <w:t xml:space="preserve"> </w:t>
      </w:r>
      <w:r>
        <w:rPr>
          <w:color w:val="333333"/>
          <w:spacing w:val="-3"/>
          <w:sz w:val="21"/>
        </w:rPr>
        <w:t>级的保温材料时，应符合下列规定：</w:t>
      </w:r>
      <w:r>
        <w:rPr>
          <w:color w:val="333333"/>
          <w:spacing w:val="-3"/>
          <w:sz w:val="21"/>
        </w:rPr>
        <w:t xml:space="preserve"> </w:t>
      </w:r>
    </w:p>
    <w:p w14:paraId="19B77546" w14:textId="77777777" w:rsidR="00A71EEF" w:rsidRDefault="0081115D">
      <w:pPr>
        <w:pStyle w:val="a3"/>
        <w:spacing w:line="446" w:lineRule="auto"/>
        <w:ind w:left="418" w:right="1499" w:firstLine="419"/>
      </w:pPr>
      <w:r>
        <w:rPr>
          <w:color w:val="333333"/>
        </w:rPr>
        <w:t xml:space="preserve"> </w:t>
      </w:r>
      <w:r>
        <w:rPr>
          <w:color w:val="333333"/>
        </w:rPr>
        <w:t>除采用</w:t>
      </w:r>
      <w:r>
        <w:rPr>
          <w:color w:val="333333"/>
        </w:rPr>
        <w:t xml:space="preserve"> B1 </w:t>
      </w:r>
      <w:r>
        <w:rPr>
          <w:color w:val="333333"/>
        </w:rPr>
        <w:t>级保温材料且建筑高度不大于</w:t>
      </w:r>
      <w:r>
        <w:rPr>
          <w:color w:val="333333"/>
        </w:rPr>
        <w:t xml:space="preserve"> 24m </w:t>
      </w:r>
      <w:r>
        <w:rPr>
          <w:color w:val="333333"/>
        </w:rPr>
        <w:t>的公共建筑或采用</w:t>
      </w:r>
      <w:r>
        <w:rPr>
          <w:color w:val="333333"/>
        </w:rPr>
        <w:t xml:space="preserve">B1 </w:t>
      </w:r>
      <w:r>
        <w:rPr>
          <w:color w:val="333333"/>
        </w:rPr>
        <w:t>级保温材料且建筑高度不大于</w:t>
      </w:r>
      <w:r>
        <w:rPr>
          <w:color w:val="333333"/>
        </w:rPr>
        <w:t xml:space="preserve"> 27m </w:t>
      </w:r>
      <w:r>
        <w:rPr>
          <w:color w:val="333333"/>
        </w:rPr>
        <w:t>的住宅建筑外，建筑外墙上门、窗的耐火完整性不应低于</w:t>
      </w:r>
      <w:r>
        <w:rPr>
          <w:color w:val="333333"/>
        </w:rPr>
        <w:t xml:space="preserve"> 0.50h</w:t>
      </w:r>
      <w:r>
        <w:rPr>
          <w:color w:val="333333"/>
        </w:rPr>
        <w:t>；</w:t>
      </w:r>
      <w:r>
        <w:rPr>
          <w:color w:val="333333"/>
        </w:rPr>
        <w:t xml:space="preserve"> </w:t>
      </w:r>
    </w:p>
    <w:p w14:paraId="2E1ABE32" w14:textId="77777777" w:rsidR="00A71EEF" w:rsidRDefault="00A71EEF">
      <w:pPr>
        <w:pStyle w:val="a3"/>
        <w:rPr>
          <w:sz w:val="20"/>
        </w:rPr>
      </w:pPr>
    </w:p>
    <w:p w14:paraId="52FF4DBE" w14:textId="77777777" w:rsidR="00A71EEF" w:rsidRDefault="00A71EEF">
      <w:pPr>
        <w:pStyle w:val="a3"/>
        <w:spacing w:before="10"/>
        <w:rPr>
          <w:sz w:val="18"/>
        </w:rPr>
      </w:pPr>
    </w:p>
    <w:p w14:paraId="27565A1A" w14:textId="77777777" w:rsidR="00A71EEF" w:rsidRDefault="0081115D">
      <w:pPr>
        <w:pStyle w:val="a3"/>
        <w:spacing w:line="446" w:lineRule="auto"/>
        <w:ind w:left="418" w:right="1608" w:firstLine="419"/>
      </w:pPr>
      <w:r>
        <w:rPr>
          <w:color w:val="333333"/>
          <w:spacing w:val="-4"/>
        </w:rPr>
        <w:t>应在保温系统中每层设置水平防火隔离带。防火隔离带应采用燃烧性能为</w:t>
      </w:r>
      <w:r>
        <w:rPr>
          <w:color w:val="333333"/>
          <w:spacing w:val="-4"/>
        </w:rPr>
        <w:t xml:space="preserve"> </w:t>
      </w:r>
      <w:r>
        <w:rPr>
          <w:color w:val="333333"/>
        </w:rPr>
        <w:t>A</w:t>
      </w:r>
      <w:r>
        <w:rPr>
          <w:color w:val="333333"/>
          <w:spacing w:val="-7"/>
        </w:rPr>
        <w:t xml:space="preserve"> </w:t>
      </w:r>
      <w:r>
        <w:rPr>
          <w:color w:val="333333"/>
          <w:spacing w:val="-7"/>
        </w:rPr>
        <w:t>级的材料，防</w:t>
      </w:r>
      <w:r>
        <w:rPr>
          <w:color w:val="333333"/>
          <w:spacing w:val="-10"/>
        </w:rPr>
        <w:t>火隔离带的高度不应小于</w:t>
      </w:r>
      <w:r>
        <w:rPr>
          <w:color w:val="333333"/>
          <w:spacing w:val="-10"/>
        </w:rPr>
        <w:t xml:space="preserve"> </w:t>
      </w:r>
      <w:r>
        <w:rPr>
          <w:color w:val="333333"/>
        </w:rPr>
        <w:t>300mm</w:t>
      </w:r>
      <w:r>
        <w:rPr>
          <w:color w:val="333333"/>
          <w:spacing w:val="-3"/>
        </w:rPr>
        <w:t>。</w:t>
      </w:r>
      <w:r>
        <w:rPr>
          <w:color w:val="333333"/>
        </w:rPr>
        <w:t xml:space="preserve"> </w:t>
      </w:r>
    </w:p>
    <w:p w14:paraId="36CB5663" w14:textId="77777777" w:rsidR="00A71EEF" w:rsidRDefault="0081115D">
      <w:pPr>
        <w:pStyle w:val="a4"/>
        <w:numPr>
          <w:ilvl w:val="2"/>
          <w:numId w:val="706"/>
        </w:numPr>
        <w:tabs>
          <w:tab w:val="left" w:pos="1371"/>
        </w:tabs>
        <w:spacing w:before="1" w:line="446" w:lineRule="auto"/>
        <w:ind w:right="1508" w:firstLine="422"/>
        <w:rPr>
          <w:sz w:val="21"/>
        </w:rPr>
      </w:pPr>
      <w:r>
        <w:rPr>
          <w:color w:val="333333"/>
          <w:spacing w:val="-3"/>
          <w:sz w:val="21"/>
        </w:rPr>
        <w:t>建筑的外墙外保温系统应采用不燃材料在其表面设置防护层，防护层应将保温材料完</w:t>
      </w:r>
      <w:r>
        <w:rPr>
          <w:color w:val="333333"/>
          <w:spacing w:val="-8"/>
          <w:sz w:val="21"/>
        </w:rPr>
        <w:t>全包覆。除本规范第</w:t>
      </w:r>
      <w:r>
        <w:rPr>
          <w:color w:val="333333"/>
          <w:spacing w:val="-8"/>
          <w:sz w:val="21"/>
        </w:rPr>
        <w:t xml:space="preserve"> </w:t>
      </w:r>
      <w:r>
        <w:rPr>
          <w:color w:val="333333"/>
          <w:sz w:val="21"/>
        </w:rPr>
        <w:t>6.7.3</w:t>
      </w:r>
      <w:r>
        <w:rPr>
          <w:color w:val="333333"/>
          <w:spacing w:val="-6"/>
          <w:sz w:val="21"/>
        </w:rPr>
        <w:t xml:space="preserve"> </w:t>
      </w:r>
      <w:r>
        <w:rPr>
          <w:color w:val="333333"/>
          <w:spacing w:val="-6"/>
          <w:sz w:val="21"/>
        </w:rPr>
        <w:t>条规定的情况外，当按本节规定采用</w:t>
      </w:r>
      <w:r>
        <w:rPr>
          <w:color w:val="333333"/>
          <w:spacing w:val="-6"/>
          <w:sz w:val="21"/>
        </w:rPr>
        <w:t xml:space="preserve"> </w:t>
      </w:r>
      <w:r>
        <w:rPr>
          <w:color w:val="333333"/>
          <w:sz w:val="21"/>
        </w:rPr>
        <w:t>B1</w:t>
      </w:r>
      <w:r>
        <w:rPr>
          <w:color w:val="333333"/>
          <w:spacing w:val="3"/>
          <w:sz w:val="21"/>
        </w:rPr>
        <w:t xml:space="preserve"> </w:t>
      </w:r>
      <w:r>
        <w:rPr>
          <w:color w:val="333333"/>
          <w:spacing w:val="3"/>
          <w:sz w:val="21"/>
        </w:rPr>
        <w:t>、</w:t>
      </w:r>
      <w:r>
        <w:rPr>
          <w:color w:val="333333"/>
          <w:sz w:val="21"/>
        </w:rPr>
        <w:t>B2</w:t>
      </w:r>
      <w:r>
        <w:rPr>
          <w:color w:val="333333"/>
          <w:spacing w:val="-2"/>
          <w:sz w:val="21"/>
        </w:rPr>
        <w:t xml:space="preserve"> </w:t>
      </w:r>
      <w:r>
        <w:rPr>
          <w:color w:val="333333"/>
          <w:spacing w:val="-2"/>
          <w:sz w:val="21"/>
        </w:rPr>
        <w:t>保温材料时，防护层</w:t>
      </w:r>
      <w:r>
        <w:rPr>
          <w:color w:val="333333"/>
          <w:spacing w:val="-9"/>
          <w:sz w:val="21"/>
        </w:rPr>
        <w:t>厚度首层不应小于</w:t>
      </w:r>
      <w:r>
        <w:rPr>
          <w:color w:val="333333"/>
          <w:spacing w:val="-9"/>
          <w:sz w:val="21"/>
        </w:rPr>
        <w:t xml:space="preserve"> </w:t>
      </w:r>
      <w:r>
        <w:rPr>
          <w:color w:val="333333"/>
          <w:sz w:val="21"/>
        </w:rPr>
        <w:t>15mm</w:t>
      </w:r>
      <w:r>
        <w:rPr>
          <w:color w:val="333333"/>
          <w:spacing w:val="-9"/>
          <w:sz w:val="21"/>
        </w:rPr>
        <w:t>，其他层不应小于</w:t>
      </w:r>
      <w:r>
        <w:rPr>
          <w:color w:val="333333"/>
          <w:spacing w:val="-9"/>
          <w:sz w:val="21"/>
        </w:rPr>
        <w:t xml:space="preserve"> </w:t>
      </w:r>
      <w:r>
        <w:rPr>
          <w:color w:val="333333"/>
          <w:sz w:val="21"/>
        </w:rPr>
        <w:t>5mm</w:t>
      </w:r>
      <w:r>
        <w:rPr>
          <w:color w:val="333333"/>
          <w:spacing w:val="-3"/>
          <w:sz w:val="21"/>
        </w:rPr>
        <w:t>。</w:t>
      </w:r>
      <w:r>
        <w:rPr>
          <w:color w:val="333333"/>
          <w:sz w:val="21"/>
        </w:rPr>
        <w:t xml:space="preserve"> </w:t>
      </w:r>
    </w:p>
    <w:p w14:paraId="31BDDD9F" w14:textId="77777777" w:rsidR="00A71EEF" w:rsidRDefault="0081115D">
      <w:pPr>
        <w:pStyle w:val="a4"/>
        <w:numPr>
          <w:ilvl w:val="2"/>
          <w:numId w:val="706"/>
        </w:numPr>
        <w:tabs>
          <w:tab w:val="left" w:pos="1371"/>
        </w:tabs>
        <w:spacing w:line="446" w:lineRule="auto"/>
        <w:ind w:right="1604" w:firstLine="422"/>
        <w:rPr>
          <w:sz w:val="21"/>
        </w:rPr>
      </w:pPr>
      <w:r>
        <w:rPr>
          <w:color w:val="333333"/>
          <w:spacing w:val="-3"/>
          <w:sz w:val="21"/>
        </w:rPr>
        <w:t>建筑外墙外保温系统与基层墙体、装饰层之间的空腔，应在每层楼板处采用防火封堵材料封堵。</w:t>
      </w:r>
      <w:r>
        <w:rPr>
          <w:color w:val="333333"/>
          <w:sz w:val="21"/>
        </w:rPr>
        <w:t xml:space="preserve"> </w:t>
      </w:r>
    </w:p>
    <w:p w14:paraId="5BEBE571" w14:textId="77777777" w:rsidR="00A71EEF" w:rsidRDefault="0081115D">
      <w:pPr>
        <w:pStyle w:val="a4"/>
        <w:numPr>
          <w:ilvl w:val="2"/>
          <w:numId w:val="706"/>
        </w:numPr>
        <w:tabs>
          <w:tab w:val="left" w:pos="1478"/>
        </w:tabs>
        <w:spacing w:line="446" w:lineRule="auto"/>
        <w:ind w:right="1445" w:firstLine="422"/>
        <w:jc w:val="both"/>
        <w:rPr>
          <w:sz w:val="21"/>
        </w:rPr>
      </w:pPr>
      <w:r>
        <w:rPr>
          <w:color w:val="333333"/>
          <w:spacing w:val="-5"/>
          <w:sz w:val="21"/>
        </w:rPr>
        <w:t>建筑的屋面外保温系统，当屋面板的耐火极限不低于</w:t>
      </w:r>
      <w:r>
        <w:rPr>
          <w:color w:val="333333"/>
          <w:spacing w:val="-5"/>
          <w:sz w:val="21"/>
        </w:rPr>
        <w:t xml:space="preserve"> </w:t>
      </w:r>
      <w:r>
        <w:rPr>
          <w:color w:val="333333"/>
          <w:sz w:val="21"/>
        </w:rPr>
        <w:t>1.00h</w:t>
      </w:r>
      <w:r>
        <w:rPr>
          <w:color w:val="333333"/>
          <w:spacing w:val="-2"/>
          <w:sz w:val="21"/>
        </w:rPr>
        <w:t xml:space="preserve"> </w:t>
      </w:r>
      <w:r>
        <w:rPr>
          <w:color w:val="333333"/>
          <w:spacing w:val="-2"/>
          <w:sz w:val="21"/>
        </w:rPr>
        <w:t>时，保温材料的</w:t>
      </w:r>
      <w:r>
        <w:rPr>
          <w:color w:val="333333"/>
          <w:spacing w:val="-2"/>
          <w:sz w:val="21"/>
        </w:rPr>
        <w:t>燃烧性</w:t>
      </w:r>
      <w:r>
        <w:rPr>
          <w:color w:val="333333"/>
          <w:spacing w:val="-11"/>
          <w:sz w:val="21"/>
        </w:rPr>
        <w:t>能不应低于</w:t>
      </w:r>
      <w:r>
        <w:rPr>
          <w:color w:val="333333"/>
          <w:spacing w:val="-11"/>
          <w:sz w:val="21"/>
        </w:rPr>
        <w:t xml:space="preserve"> </w:t>
      </w:r>
      <w:r>
        <w:rPr>
          <w:color w:val="333333"/>
          <w:sz w:val="21"/>
        </w:rPr>
        <w:t>B2</w:t>
      </w:r>
      <w:r>
        <w:rPr>
          <w:color w:val="333333"/>
          <w:spacing w:val="-7"/>
          <w:sz w:val="21"/>
        </w:rPr>
        <w:t xml:space="preserve"> </w:t>
      </w:r>
      <w:r>
        <w:rPr>
          <w:color w:val="333333"/>
          <w:spacing w:val="-7"/>
          <w:sz w:val="21"/>
        </w:rPr>
        <w:t>级；当屋面板的耐火极限低于</w:t>
      </w:r>
      <w:r>
        <w:rPr>
          <w:color w:val="333333"/>
          <w:spacing w:val="-7"/>
          <w:sz w:val="21"/>
        </w:rPr>
        <w:t xml:space="preserve"> </w:t>
      </w:r>
      <w:r>
        <w:rPr>
          <w:color w:val="333333"/>
          <w:sz w:val="21"/>
        </w:rPr>
        <w:t>1.00h</w:t>
      </w:r>
      <w:r>
        <w:rPr>
          <w:color w:val="333333"/>
          <w:spacing w:val="-9"/>
          <w:sz w:val="21"/>
        </w:rPr>
        <w:t xml:space="preserve"> </w:t>
      </w:r>
      <w:r>
        <w:rPr>
          <w:color w:val="333333"/>
          <w:spacing w:val="-9"/>
          <w:sz w:val="21"/>
        </w:rPr>
        <w:t>时，不应低于</w:t>
      </w:r>
      <w:r>
        <w:rPr>
          <w:color w:val="333333"/>
          <w:spacing w:val="-9"/>
          <w:sz w:val="21"/>
        </w:rPr>
        <w:t xml:space="preserve"> </w:t>
      </w:r>
      <w:r>
        <w:rPr>
          <w:color w:val="333333"/>
          <w:sz w:val="21"/>
        </w:rPr>
        <w:t>B1</w:t>
      </w:r>
      <w:r>
        <w:rPr>
          <w:color w:val="333333"/>
          <w:spacing w:val="-10"/>
          <w:sz w:val="21"/>
        </w:rPr>
        <w:t xml:space="preserve"> </w:t>
      </w:r>
      <w:r>
        <w:rPr>
          <w:color w:val="333333"/>
          <w:spacing w:val="-10"/>
          <w:sz w:val="21"/>
        </w:rPr>
        <w:t>级。采用</w:t>
      </w:r>
      <w:r>
        <w:rPr>
          <w:color w:val="333333"/>
          <w:spacing w:val="-10"/>
          <w:sz w:val="21"/>
        </w:rPr>
        <w:t xml:space="preserve"> </w:t>
      </w:r>
      <w:r>
        <w:rPr>
          <w:color w:val="333333"/>
          <w:sz w:val="21"/>
        </w:rPr>
        <w:t>B1</w:t>
      </w:r>
      <w:r>
        <w:rPr>
          <w:color w:val="333333"/>
          <w:sz w:val="21"/>
        </w:rPr>
        <w:t>、</w:t>
      </w:r>
      <w:r>
        <w:rPr>
          <w:color w:val="333333"/>
          <w:sz w:val="21"/>
        </w:rPr>
        <w:t xml:space="preserve">B2 </w:t>
      </w:r>
      <w:r>
        <w:rPr>
          <w:color w:val="333333"/>
          <w:sz w:val="21"/>
        </w:rPr>
        <w:t>级保温</w:t>
      </w:r>
      <w:r>
        <w:rPr>
          <w:color w:val="333333"/>
          <w:spacing w:val="-5"/>
          <w:sz w:val="21"/>
        </w:rPr>
        <w:t>材料的外保温系统应采用不燃材料作防护层，防护层的厚度不应小于</w:t>
      </w:r>
      <w:r>
        <w:rPr>
          <w:color w:val="333333"/>
          <w:spacing w:val="-5"/>
          <w:sz w:val="21"/>
        </w:rPr>
        <w:t xml:space="preserve"> </w:t>
      </w:r>
      <w:r>
        <w:rPr>
          <w:color w:val="333333"/>
          <w:sz w:val="21"/>
        </w:rPr>
        <w:t>10mm</w:t>
      </w:r>
      <w:r>
        <w:rPr>
          <w:color w:val="333333"/>
          <w:spacing w:val="-3"/>
          <w:sz w:val="21"/>
        </w:rPr>
        <w:t>。</w:t>
      </w:r>
      <w:r>
        <w:rPr>
          <w:color w:val="333333"/>
          <w:sz w:val="21"/>
        </w:rPr>
        <w:t xml:space="preserve"> </w:t>
      </w:r>
    </w:p>
    <w:p w14:paraId="03CE013D" w14:textId="77777777" w:rsidR="00A71EEF" w:rsidRDefault="0081115D">
      <w:pPr>
        <w:pStyle w:val="a3"/>
        <w:spacing w:line="446" w:lineRule="auto"/>
        <w:ind w:left="418" w:right="1450" w:firstLine="419"/>
        <w:jc w:val="both"/>
      </w:pPr>
      <w:r>
        <w:rPr>
          <w:color w:val="333333"/>
          <w:spacing w:val="-6"/>
        </w:rPr>
        <w:t>当建筑的屋面和外墙外保温系统均采用</w:t>
      </w:r>
      <w:r>
        <w:rPr>
          <w:color w:val="333333"/>
          <w:spacing w:val="-6"/>
        </w:rPr>
        <w:t xml:space="preserve"> </w:t>
      </w:r>
      <w:r>
        <w:rPr>
          <w:color w:val="333333"/>
        </w:rPr>
        <w:t>B1</w:t>
      </w:r>
      <w:r>
        <w:rPr>
          <w:color w:val="333333"/>
        </w:rPr>
        <w:t>、</w:t>
      </w:r>
      <w:r>
        <w:rPr>
          <w:color w:val="333333"/>
        </w:rPr>
        <w:t>B2</w:t>
      </w:r>
      <w:r>
        <w:rPr>
          <w:color w:val="333333"/>
          <w:spacing w:val="-3"/>
        </w:rPr>
        <w:t xml:space="preserve"> </w:t>
      </w:r>
      <w:r>
        <w:rPr>
          <w:color w:val="333333"/>
          <w:spacing w:val="-3"/>
        </w:rPr>
        <w:t>级保温材料时，屋面与外墙之间应采用宽度</w:t>
      </w:r>
      <w:r>
        <w:rPr>
          <w:color w:val="333333"/>
          <w:spacing w:val="-15"/>
        </w:rPr>
        <w:t>不小于</w:t>
      </w:r>
      <w:r>
        <w:rPr>
          <w:color w:val="333333"/>
          <w:spacing w:val="-15"/>
        </w:rPr>
        <w:t xml:space="preserve"> </w:t>
      </w:r>
      <w:r>
        <w:rPr>
          <w:color w:val="333333"/>
        </w:rPr>
        <w:t>500mm</w:t>
      </w:r>
      <w:r>
        <w:rPr>
          <w:color w:val="333333"/>
          <w:spacing w:val="-3"/>
        </w:rPr>
        <w:t xml:space="preserve"> </w:t>
      </w:r>
      <w:r>
        <w:rPr>
          <w:color w:val="333333"/>
          <w:spacing w:val="-3"/>
        </w:rPr>
        <w:t>的不燃材料设置防火隔离带进行分隔。</w:t>
      </w:r>
      <w:r>
        <w:rPr>
          <w:color w:val="333333"/>
          <w:spacing w:val="-3"/>
        </w:rPr>
        <w:t xml:space="preserve"> </w:t>
      </w:r>
    </w:p>
    <w:p w14:paraId="111224D4" w14:textId="77777777" w:rsidR="00A71EEF" w:rsidRDefault="0081115D">
      <w:pPr>
        <w:pStyle w:val="a4"/>
        <w:numPr>
          <w:ilvl w:val="2"/>
          <w:numId w:val="706"/>
        </w:numPr>
        <w:tabs>
          <w:tab w:val="left" w:pos="1478"/>
        </w:tabs>
        <w:spacing w:line="446" w:lineRule="auto"/>
        <w:ind w:right="1604" w:firstLine="422"/>
        <w:jc w:val="both"/>
        <w:rPr>
          <w:sz w:val="21"/>
        </w:rPr>
      </w:pPr>
      <w:r>
        <w:rPr>
          <w:color w:val="333333"/>
          <w:spacing w:val="-6"/>
          <w:sz w:val="21"/>
        </w:rPr>
        <w:t>电气线路不应穿越或敷设在燃烧性能为</w:t>
      </w:r>
      <w:r>
        <w:rPr>
          <w:color w:val="333333"/>
          <w:spacing w:val="-6"/>
          <w:sz w:val="21"/>
        </w:rPr>
        <w:t xml:space="preserve"> </w:t>
      </w:r>
      <w:r>
        <w:rPr>
          <w:color w:val="333333"/>
          <w:sz w:val="21"/>
        </w:rPr>
        <w:t>B1</w:t>
      </w:r>
      <w:r>
        <w:rPr>
          <w:color w:val="333333"/>
          <w:spacing w:val="-14"/>
          <w:sz w:val="21"/>
        </w:rPr>
        <w:t xml:space="preserve"> </w:t>
      </w:r>
      <w:r>
        <w:rPr>
          <w:color w:val="333333"/>
          <w:spacing w:val="-14"/>
          <w:sz w:val="21"/>
        </w:rPr>
        <w:t>或</w:t>
      </w:r>
      <w:r>
        <w:rPr>
          <w:color w:val="333333"/>
          <w:spacing w:val="-14"/>
          <w:sz w:val="21"/>
        </w:rPr>
        <w:t xml:space="preserve"> </w:t>
      </w:r>
      <w:r>
        <w:rPr>
          <w:color w:val="333333"/>
          <w:sz w:val="21"/>
        </w:rPr>
        <w:t>B2</w:t>
      </w:r>
      <w:r>
        <w:rPr>
          <w:color w:val="333333"/>
          <w:spacing w:val="-3"/>
          <w:sz w:val="21"/>
        </w:rPr>
        <w:t xml:space="preserve"> </w:t>
      </w:r>
      <w:r>
        <w:rPr>
          <w:color w:val="333333"/>
          <w:spacing w:val="-3"/>
          <w:sz w:val="21"/>
        </w:rPr>
        <w:t>级的保温材料中；确需穿越或敷设时，应采取穿金属管并在金属管周围采用不燃隔热材料进行防火隔离等防火保护措施。设置开关、插座等电器配件的部位周围应采取不燃隔热材料进行防火隔离等防火保护措施。设置开关、插座等电器配件的部位周围应采取不燃隔热材料进行防火隔离等防火保护措施。</w:t>
      </w:r>
      <w:r>
        <w:rPr>
          <w:color w:val="333333"/>
          <w:sz w:val="21"/>
        </w:rPr>
        <w:t xml:space="preserve"> </w:t>
      </w:r>
    </w:p>
    <w:p w14:paraId="001B9E2E" w14:textId="77777777" w:rsidR="00A71EEF" w:rsidRDefault="0081115D">
      <w:pPr>
        <w:pStyle w:val="a4"/>
        <w:numPr>
          <w:ilvl w:val="2"/>
          <w:numId w:val="706"/>
        </w:numPr>
        <w:tabs>
          <w:tab w:val="left" w:pos="1478"/>
        </w:tabs>
        <w:spacing w:line="446" w:lineRule="auto"/>
        <w:ind w:right="1500" w:firstLine="422"/>
        <w:jc w:val="both"/>
        <w:rPr>
          <w:sz w:val="21"/>
        </w:rPr>
      </w:pPr>
      <w:r>
        <w:rPr>
          <w:color w:val="333333"/>
          <w:spacing w:val="-6"/>
          <w:sz w:val="21"/>
        </w:rPr>
        <w:t>建筑外墙的装饰层应采用燃烧性能为</w:t>
      </w:r>
      <w:r>
        <w:rPr>
          <w:color w:val="333333"/>
          <w:spacing w:val="-6"/>
          <w:sz w:val="21"/>
        </w:rPr>
        <w:t xml:space="preserve"> </w:t>
      </w:r>
      <w:r>
        <w:rPr>
          <w:color w:val="333333"/>
          <w:sz w:val="21"/>
        </w:rPr>
        <w:t>A</w:t>
      </w:r>
      <w:r>
        <w:rPr>
          <w:color w:val="333333"/>
          <w:spacing w:val="-11"/>
          <w:sz w:val="21"/>
        </w:rPr>
        <w:t xml:space="preserve"> </w:t>
      </w:r>
      <w:r>
        <w:rPr>
          <w:color w:val="333333"/>
          <w:spacing w:val="-11"/>
          <w:sz w:val="21"/>
        </w:rPr>
        <w:t>级的材料，但建筑高度不大于</w:t>
      </w:r>
      <w:r>
        <w:rPr>
          <w:color w:val="333333"/>
          <w:spacing w:val="-11"/>
          <w:sz w:val="21"/>
        </w:rPr>
        <w:t xml:space="preserve"> </w:t>
      </w:r>
      <w:r>
        <w:rPr>
          <w:color w:val="333333"/>
          <w:sz w:val="21"/>
        </w:rPr>
        <w:t>50m</w:t>
      </w:r>
      <w:r>
        <w:rPr>
          <w:color w:val="333333"/>
          <w:spacing w:val="-12"/>
          <w:sz w:val="21"/>
        </w:rPr>
        <w:t xml:space="preserve"> </w:t>
      </w:r>
      <w:r>
        <w:rPr>
          <w:color w:val="333333"/>
          <w:spacing w:val="-12"/>
          <w:sz w:val="21"/>
        </w:rPr>
        <w:t>时，可采</w:t>
      </w:r>
      <w:r>
        <w:rPr>
          <w:color w:val="333333"/>
          <w:spacing w:val="-33"/>
          <w:sz w:val="21"/>
        </w:rPr>
        <w:t>用</w:t>
      </w:r>
      <w:r>
        <w:rPr>
          <w:color w:val="333333"/>
          <w:spacing w:val="-33"/>
          <w:sz w:val="21"/>
        </w:rPr>
        <w:t xml:space="preserve"> </w:t>
      </w:r>
      <w:r>
        <w:rPr>
          <w:color w:val="333333"/>
          <w:sz w:val="21"/>
        </w:rPr>
        <w:t>B1</w:t>
      </w:r>
      <w:r>
        <w:rPr>
          <w:color w:val="333333"/>
          <w:spacing w:val="-3"/>
          <w:sz w:val="21"/>
        </w:rPr>
        <w:t xml:space="preserve"> </w:t>
      </w:r>
      <w:r>
        <w:rPr>
          <w:color w:val="333333"/>
          <w:spacing w:val="-3"/>
          <w:sz w:val="21"/>
        </w:rPr>
        <w:t>级材料。</w:t>
      </w:r>
      <w:r>
        <w:rPr>
          <w:color w:val="333333"/>
          <w:sz w:val="21"/>
        </w:rPr>
        <w:t xml:space="preserve"> </w:t>
      </w:r>
    </w:p>
    <w:p w14:paraId="3E8FF0ED" w14:textId="77777777" w:rsidR="00A71EEF" w:rsidRDefault="0081115D">
      <w:pPr>
        <w:pStyle w:val="4"/>
        <w:spacing w:line="275" w:lineRule="exact"/>
      </w:pPr>
      <w:r>
        <w:t xml:space="preserve">7 </w:t>
      </w:r>
      <w:r>
        <w:t>灭火救援救援设施</w:t>
      </w:r>
      <w:r>
        <w:rPr>
          <w:w w:val="99"/>
        </w:rPr>
        <w:t xml:space="preserve"> </w:t>
      </w:r>
    </w:p>
    <w:p w14:paraId="331A8001" w14:textId="77777777" w:rsidR="00A71EEF" w:rsidRDefault="00A71EEF">
      <w:pPr>
        <w:pStyle w:val="a3"/>
        <w:spacing w:before="1"/>
        <w:rPr>
          <w:b/>
          <w:sz w:val="17"/>
        </w:rPr>
      </w:pPr>
    </w:p>
    <w:p w14:paraId="1AAD684E" w14:textId="77777777" w:rsidR="00A71EEF" w:rsidRDefault="0081115D">
      <w:pPr>
        <w:pStyle w:val="a4"/>
        <w:numPr>
          <w:ilvl w:val="1"/>
          <w:numId w:val="705"/>
        </w:numPr>
        <w:tabs>
          <w:tab w:val="left" w:pos="1159"/>
        </w:tabs>
        <w:spacing w:before="1"/>
        <w:ind w:hanging="319"/>
        <w:rPr>
          <w:sz w:val="21"/>
        </w:rPr>
      </w:pPr>
      <w:r>
        <w:rPr>
          <w:spacing w:val="-3"/>
          <w:sz w:val="21"/>
        </w:rPr>
        <w:t>消防车道</w:t>
      </w:r>
      <w:r>
        <w:rPr>
          <w:sz w:val="21"/>
        </w:rPr>
        <w:t xml:space="preserve"> </w:t>
      </w:r>
    </w:p>
    <w:p w14:paraId="098725D2" w14:textId="77777777" w:rsidR="00A71EEF" w:rsidRDefault="00A71EEF">
      <w:pPr>
        <w:pStyle w:val="a3"/>
        <w:spacing w:before="12"/>
        <w:rPr>
          <w:sz w:val="17"/>
        </w:rPr>
      </w:pPr>
    </w:p>
    <w:p w14:paraId="20C2A695" w14:textId="77777777" w:rsidR="00A71EEF" w:rsidRDefault="0081115D">
      <w:pPr>
        <w:pStyle w:val="a4"/>
        <w:numPr>
          <w:ilvl w:val="2"/>
          <w:numId w:val="705"/>
        </w:numPr>
        <w:tabs>
          <w:tab w:val="left" w:pos="1370"/>
        </w:tabs>
        <w:ind w:hanging="530"/>
        <w:rPr>
          <w:sz w:val="21"/>
        </w:rPr>
      </w:pPr>
      <w:r>
        <w:rPr>
          <w:color w:val="333333"/>
          <w:spacing w:val="-5"/>
          <w:sz w:val="21"/>
        </w:rPr>
        <w:t>街区内的道路应考虑消防车的通行，道路中心线间的距离不宜大于</w:t>
      </w:r>
      <w:r>
        <w:rPr>
          <w:color w:val="333333"/>
          <w:spacing w:val="-5"/>
          <w:sz w:val="21"/>
        </w:rPr>
        <w:t xml:space="preserve"> </w:t>
      </w:r>
      <w:r>
        <w:rPr>
          <w:color w:val="333333"/>
          <w:sz w:val="21"/>
        </w:rPr>
        <w:t>160m</w:t>
      </w:r>
      <w:r>
        <w:rPr>
          <w:color w:val="333333"/>
          <w:spacing w:val="-3"/>
          <w:sz w:val="21"/>
        </w:rPr>
        <w:t>。</w:t>
      </w:r>
      <w:r>
        <w:rPr>
          <w:color w:val="333333"/>
          <w:sz w:val="21"/>
        </w:rPr>
        <w:t xml:space="preserve"> </w:t>
      </w:r>
    </w:p>
    <w:p w14:paraId="667D6BEE" w14:textId="77777777" w:rsidR="00A71EEF" w:rsidRDefault="00A71EEF">
      <w:pPr>
        <w:pStyle w:val="a3"/>
        <w:rPr>
          <w:sz w:val="18"/>
        </w:rPr>
      </w:pPr>
    </w:p>
    <w:p w14:paraId="74A28670" w14:textId="77777777" w:rsidR="00A71EEF" w:rsidRDefault="0081115D">
      <w:pPr>
        <w:pStyle w:val="a3"/>
        <w:spacing w:line="446" w:lineRule="auto"/>
        <w:ind w:left="418" w:right="1503" w:firstLine="419"/>
        <w:jc w:val="both"/>
      </w:pPr>
      <w:r>
        <w:rPr>
          <w:color w:val="333333"/>
          <w:spacing w:val="-6"/>
        </w:rPr>
        <w:t>当建筑物沿街道部分的长度大于</w:t>
      </w:r>
      <w:r>
        <w:rPr>
          <w:color w:val="333333"/>
          <w:spacing w:val="-6"/>
        </w:rPr>
        <w:t xml:space="preserve"> </w:t>
      </w:r>
      <w:r>
        <w:rPr>
          <w:color w:val="333333"/>
        </w:rPr>
        <w:t>150m</w:t>
      </w:r>
      <w:r>
        <w:rPr>
          <w:color w:val="333333"/>
          <w:spacing w:val="-7"/>
        </w:rPr>
        <w:t xml:space="preserve"> </w:t>
      </w:r>
      <w:r>
        <w:rPr>
          <w:color w:val="333333"/>
          <w:spacing w:val="-7"/>
        </w:rPr>
        <w:t>或总长度大于</w:t>
      </w:r>
      <w:r>
        <w:rPr>
          <w:color w:val="333333"/>
          <w:spacing w:val="-7"/>
        </w:rPr>
        <w:t xml:space="preserve"> </w:t>
      </w:r>
      <w:r>
        <w:rPr>
          <w:color w:val="333333"/>
        </w:rPr>
        <w:t>220m</w:t>
      </w:r>
      <w:r>
        <w:rPr>
          <w:color w:val="333333"/>
          <w:spacing w:val="-3"/>
        </w:rPr>
        <w:t xml:space="preserve"> </w:t>
      </w:r>
      <w:r>
        <w:rPr>
          <w:color w:val="333333"/>
          <w:spacing w:val="-3"/>
        </w:rPr>
        <w:t>时，应设置穿过建筑物的消防车道。确有困难时，应设置环形消防车道。</w:t>
      </w:r>
      <w:r>
        <w:rPr>
          <w:color w:val="333333"/>
        </w:rPr>
        <w:t xml:space="preserve"> </w:t>
      </w:r>
    </w:p>
    <w:p w14:paraId="1A0C75FE" w14:textId="77777777" w:rsidR="00A71EEF" w:rsidRDefault="00A71EEF">
      <w:pPr>
        <w:spacing w:line="446" w:lineRule="auto"/>
        <w:jc w:val="both"/>
        <w:sectPr w:rsidR="00A71EEF">
          <w:pgSz w:w="11910" w:h="16850"/>
          <w:pgMar w:top="1220" w:right="0" w:bottom="1420" w:left="1260" w:header="0" w:footer="1239" w:gutter="0"/>
          <w:cols w:space="720"/>
        </w:sectPr>
      </w:pPr>
    </w:p>
    <w:p w14:paraId="6B175C20" w14:textId="77777777" w:rsidR="00A71EEF" w:rsidRDefault="0081115D">
      <w:pPr>
        <w:pStyle w:val="a4"/>
        <w:numPr>
          <w:ilvl w:val="2"/>
          <w:numId w:val="705"/>
        </w:numPr>
        <w:tabs>
          <w:tab w:val="left" w:pos="1370"/>
        </w:tabs>
        <w:spacing w:before="47" w:line="441" w:lineRule="auto"/>
        <w:ind w:left="418" w:right="1498" w:firstLine="422"/>
        <w:rPr>
          <w:sz w:val="21"/>
        </w:rPr>
      </w:pPr>
      <w:r>
        <w:rPr>
          <w:color w:val="333333"/>
          <w:spacing w:val="-8"/>
          <w:sz w:val="21"/>
        </w:rPr>
        <w:lastRenderedPageBreak/>
        <w:t>高层民用建筑，超过</w:t>
      </w:r>
      <w:r>
        <w:rPr>
          <w:color w:val="333333"/>
          <w:spacing w:val="-8"/>
          <w:sz w:val="21"/>
        </w:rPr>
        <w:t xml:space="preserve"> </w:t>
      </w:r>
      <w:r>
        <w:rPr>
          <w:color w:val="333333"/>
          <w:sz w:val="21"/>
        </w:rPr>
        <w:t>3000</w:t>
      </w:r>
      <w:r>
        <w:rPr>
          <w:color w:val="333333"/>
          <w:spacing w:val="-12"/>
          <w:sz w:val="21"/>
        </w:rPr>
        <w:t xml:space="preserve"> </w:t>
      </w:r>
      <w:r>
        <w:rPr>
          <w:color w:val="333333"/>
          <w:spacing w:val="-12"/>
          <w:sz w:val="21"/>
        </w:rPr>
        <w:t>个座位的体育馆，超过</w:t>
      </w:r>
      <w:r>
        <w:rPr>
          <w:color w:val="333333"/>
          <w:spacing w:val="-12"/>
          <w:sz w:val="21"/>
        </w:rPr>
        <w:t xml:space="preserve"> </w:t>
      </w:r>
      <w:r>
        <w:rPr>
          <w:color w:val="333333"/>
          <w:sz w:val="21"/>
        </w:rPr>
        <w:t>2000</w:t>
      </w:r>
      <w:r>
        <w:rPr>
          <w:color w:val="333333"/>
          <w:spacing w:val="-8"/>
          <w:sz w:val="21"/>
        </w:rPr>
        <w:t xml:space="preserve"> </w:t>
      </w:r>
      <w:r>
        <w:rPr>
          <w:color w:val="333333"/>
          <w:spacing w:val="-8"/>
          <w:sz w:val="21"/>
        </w:rPr>
        <w:t>个座位的会堂，占地面积大于</w:t>
      </w:r>
      <w:r>
        <w:rPr>
          <w:color w:val="333333"/>
          <w:spacing w:val="-8"/>
          <w:sz w:val="21"/>
        </w:rPr>
        <w:t>3000m</w:t>
      </w:r>
      <w:r>
        <w:rPr>
          <w:color w:val="333333"/>
          <w:spacing w:val="-8"/>
          <w:position w:val="11"/>
          <w:sz w:val="11"/>
        </w:rPr>
        <w:t>2</w:t>
      </w:r>
      <w:r>
        <w:rPr>
          <w:color w:val="333333"/>
          <w:spacing w:val="23"/>
          <w:position w:val="11"/>
          <w:sz w:val="11"/>
        </w:rPr>
        <w:t xml:space="preserve"> </w:t>
      </w:r>
      <w:r>
        <w:rPr>
          <w:color w:val="333333"/>
          <w:spacing w:val="-3"/>
          <w:sz w:val="21"/>
        </w:rPr>
        <w:t>的商店建筑、展览建筑等单、多层公共建筑应设置环形消防车道，确有困难时，可沿建筑的两个长边设置消防车道；对于高层住宅建筑和山坡地或河道边临空建造的高层民用建</w:t>
      </w:r>
    </w:p>
    <w:p w14:paraId="7A362312" w14:textId="77777777" w:rsidR="00A71EEF" w:rsidRDefault="0081115D">
      <w:pPr>
        <w:pStyle w:val="a3"/>
        <w:spacing w:before="5" w:line="446" w:lineRule="auto"/>
        <w:ind w:left="840" w:right="1925" w:hanging="423"/>
      </w:pPr>
      <w:r>
        <w:rPr>
          <w:color w:val="333333"/>
        </w:rPr>
        <w:t>筑，可沿建筑的一个长边设置消防车道，但该长边所在建筑立面应为消防车登高操作面。</w:t>
      </w:r>
      <w:r>
        <w:rPr>
          <w:b/>
          <w:color w:val="333333"/>
        </w:rPr>
        <w:t xml:space="preserve">7.1.3 </w:t>
      </w:r>
      <w:r>
        <w:rPr>
          <w:color w:val="333333"/>
        </w:rPr>
        <w:t>工厂、仓库区内应设置消防车道。</w:t>
      </w:r>
      <w:r>
        <w:rPr>
          <w:color w:val="333333"/>
        </w:rPr>
        <w:t xml:space="preserve"> </w:t>
      </w:r>
    </w:p>
    <w:p w14:paraId="09EC55AA" w14:textId="77777777" w:rsidR="00A71EEF" w:rsidRDefault="0081115D">
      <w:pPr>
        <w:pStyle w:val="a3"/>
        <w:spacing w:line="446" w:lineRule="auto"/>
        <w:ind w:left="418" w:right="1608" w:firstLine="419"/>
      </w:pPr>
      <w:r>
        <w:rPr>
          <w:color w:val="333333"/>
          <w:spacing w:val="-8"/>
        </w:rPr>
        <w:t>高层厂房，占地面积大于</w:t>
      </w:r>
      <w:r>
        <w:rPr>
          <w:color w:val="333333"/>
          <w:spacing w:val="-8"/>
        </w:rPr>
        <w:t xml:space="preserve"> </w:t>
      </w:r>
      <w:r>
        <w:rPr>
          <w:color w:val="333333"/>
        </w:rPr>
        <w:t>3000m</w:t>
      </w:r>
      <w:r>
        <w:rPr>
          <w:color w:val="333333"/>
          <w:position w:val="11"/>
          <w:sz w:val="11"/>
        </w:rPr>
        <w:t>2</w:t>
      </w:r>
      <w:r>
        <w:rPr>
          <w:color w:val="333333"/>
          <w:spacing w:val="2"/>
          <w:sz w:val="11"/>
        </w:rPr>
        <w:t xml:space="preserve">  </w:t>
      </w:r>
      <w:r>
        <w:rPr>
          <w:color w:val="333333"/>
          <w:spacing w:val="-6"/>
        </w:rPr>
        <w:t>的甲、乙、丙类厂房和占地面积大于</w:t>
      </w:r>
      <w:r>
        <w:rPr>
          <w:color w:val="333333"/>
          <w:spacing w:val="-6"/>
        </w:rPr>
        <w:t xml:space="preserve"> </w:t>
      </w:r>
      <w:r>
        <w:rPr>
          <w:color w:val="333333"/>
        </w:rPr>
        <w:t>1500m</w:t>
      </w:r>
      <w:r>
        <w:rPr>
          <w:color w:val="333333"/>
          <w:position w:val="11"/>
          <w:sz w:val="11"/>
        </w:rPr>
        <w:t>2</w:t>
      </w:r>
      <w:r>
        <w:rPr>
          <w:color w:val="333333"/>
          <w:spacing w:val="1"/>
          <w:sz w:val="11"/>
        </w:rPr>
        <w:t xml:space="preserve">   </w:t>
      </w:r>
      <w:r>
        <w:rPr>
          <w:color w:val="333333"/>
          <w:spacing w:val="-3"/>
        </w:rPr>
        <w:t>的乙、丙类仓库，应设置环形消防车道，确有困难时，应沿建筑物的两个长边设置消防车道。</w:t>
      </w:r>
      <w:r>
        <w:rPr>
          <w:color w:val="333333"/>
        </w:rPr>
        <w:t xml:space="preserve"> </w:t>
      </w:r>
    </w:p>
    <w:p w14:paraId="4A9F126E" w14:textId="77777777" w:rsidR="00A71EEF" w:rsidRDefault="0081115D">
      <w:pPr>
        <w:pStyle w:val="a4"/>
        <w:numPr>
          <w:ilvl w:val="2"/>
          <w:numId w:val="704"/>
        </w:numPr>
        <w:tabs>
          <w:tab w:val="left" w:pos="1370"/>
        </w:tabs>
        <w:spacing w:line="446" w:lineRule="auto"/>
        <w:ind w:right="1553" w:firstLine="422"/>
        <w:rPr>
          <w:sz w:val="21"/>
        </w:rPr>
      </w:pPr>
      <w:r>
        <w:rPr>
          <w:color w:val="333333"/>
          <w:spacing w:val="-5"/>
          <w:sz w:val="21"/>
        </w:rPr>
        <w:t>有封闭内院或天井的建筑物，当内院或天井的短边长度大于</w:t>
      </w:r>
      <w:r>
        <w:rPr>
          <w:color w:val="333333"/>
          <w:spacing w:val="-5"/>
          <w:sz w:val="21"/>
        </w:rPr>
        <w:t xml:space="preserve"> </w:t>
      </w:r>
      <w:r>
        <w:rPr>
          <w:color w:val="333333"/>
          <w:sz w:val="21"/>
        </w:rPr>
        <w:t>24m</w:t>
      </w:r>
      <w:r>
        <w:rPr>
          <w:color w:val="333333"/>
          <w:spacing w:val="-2"/>
          <w:sz w:val="21"/>
        </w:rPr>
        <w:t xml:space="preserve"> </w:t>
      </w:r>
      <w:r>
        <w:rPr>
          <w:color w:val="333333"/>
          <w:spacing w:val="-2"/>
          <w:sz w:val="21"/>
        </w:rPr>
        <w:t>时，宜设置进入内</w:t>
      </w:r>
      <w:r>
        <w:rPr>
          <w:color w:val="333333"/>
          <w:spacing w:val="-3"/>
          <w:sz w:val="21"/>
        </w:rPr>
        <w:t>院或天井的消防车道；当该建筑物沿街时，应设置连通街道和内院的人行通道</w:t>
      </w:r>
      <w:r>
        <w:rPr>
          <w:color w:val="333333"/>
          <w:sz w:val="21"/>
        </w:rPr>
        <w:t>（</w:t>
      </w:r>
      <w:r>
        <w:rPr>
          <w:color w:val="333333"/>
          <w:spacing w:val="-3"/>
          <w:sz w:val="21"/>
        </w:rPr>
        <w:t>可利用楼梯</w:t>
      </w:r>
      <w:r>
        <w:rPr>
          <w:color w:val="333333"/>
          <w:spacing w:val="-3"/>
          <w:sz w:val="21"/>
        </w:rPr>
        <w:t xml:space="preserve">  </w:t>
      </w:r>
      <w:r>
        <w:rPr>
          <w:color w:val="333333"/>
          <w:spacing w:val="-3"/>
          <w:sz w:val="21"/>
        </w:rPr>
        <w:t>间）</w:t>
      </w:r>
      <w:r>
        <w:rPr>
          <w:color w:val="333333"/>
          <w:spacing w:val="-9"/>
          <w:sz w:val="21"/>
        </w:rPr>
        <w:t>，其间距不宜大于</w:t>
      </w:r>
      <w:r>
        <w:rPr>
          <w:color w:val="333333"/>
          <w:spacing w:val="-9"/>
          <w:sz w:val="21"/>
        </w:rPr>
        <w:t xml:space="preserve"> </w:t>
      </w:r>
      <w:r>
        <w:rPr>
          <w:color w:val="333333"/>
          <w:sz w:val="21"/>
        </w:rPr>
        <w:t>80m</w:t>
      </w:r>
      <w:r>
        <w:rPr>
          <w:color w:val="333333"/>
          <w:spacing w:val="-3"/>
          <w:sz w:val="21"/>
        </w:rPr>
        <w:t>。</w:t>
      </w:r>
      <w:r>
        <w:rPr>
          <w:color w:val="333333"/>
          <w:sz w:val="21"/>
        </w:rPr>
        <w:t xml:space="preserve"> </w:t>
      </w:r>
    </w:p>
    <w:p w14:paraId="5392DE3A" w14:textId="77777777" w:rsidR="00A71EEF" w:rsidRDefault="0081115D">
      <w:pPr>
        <w:pStyle w:val="a4"/>
        <w:numPr>
          <w:ilvl w:val="2"/>
          <w:numId w:val="704"/>
        </w:numPr>
        <w:tabs>
          <w:tab w:val="left" w:pos="1370"/>
        </w:tabs>
        <w:spacing w:line="446" w:lineRule="auto"/>
        <w:ind w:right="1604" w:firstLine="422"/>
        <w:rPr>
          <w:sz w:val="21"/>
        </w:rPr>
      </w:pPr>
      <w:r>
        <w:rPr>
          <w:color w:val="333333"/>
          <w:spacing w:val="-3"/>
          <w:sz w:val="21"/>
        </w:rPr>
        <w:t>在穿过建筑物或进入建筑物内院的消防车道两侧，不应设置影响消防车通行或人员安全疏散的设施。</w:t>
      </w:r>
      <w:r>
        <w:rPr>
          <w:color w:val="333333"/>
          <w:sz w:val="21"/>
        </w:rPr>
        <w:t xml:space="preserve"> </w:t>
      </w:r>
    </w:p>
    <w:p w14:paraId="44642FDC" w14:textId="77777777" w:rsidR="00A71EEF" w:rsidRDefault="0081115D">
      <w:pPr>
        <w:pStyle w:val="a4"/>
        <w:numPr>
          <w:ilvl w:val="2"/>
          <w:numId w:val="704"/>
        </w:numPr>
        <w:tabs>
          <w:tab w:val="left" w:pos="1371"/>
        </w:tabs>
        <w:spacing w:line="446" w:lineRule="auto"/>
        <w:ind w:right="1604" w:firstLine="422"/>
        <w:rPr>
          <w:sz w:val="21"/>
        </w:rPr>
      </w:pPr>
      <w:r>
        <w:rPr>
          <w:color w:val="333333"/>
          <w:spacing w:val="-3"/>
          <w:sz w:val="21"/>
        </w:rPr>
        <w:t>可燃材料露天堆场区，液化石油气储罐区，甲、乙、丙类液体储罐区和可燃气体储罐区，应设置消防车道。消防车道的设置应符合下列规定：</w:t>
      </w:r>
      <w:r>
        <w:rPr>
          <w:color w:val="333333"/>
          <w:sz w:val="21"/>
        </w:rPr>
        <w:t xml:space="preserve"> </w:t>
      </w:r>
    </w:p>
    <w:p w14:paraId="528CEE20" w14:textId="77777777" w:rsidR="00A71EEF" w:rsidRDefault="0081115D">
      <w:pPr>
        <w:pStyle w:val="a3"/>
        <w:spacing w:line="267" w:lineRule="exact"/>
        <w:ind w:left="838"/>
      </w:pPr>
      <w:r>
        <w:rPr>
          <w:color w:val="333333"/>
        </w:rPr>
        <w:t>储量大于表</w:t>
      </w:r>
      <w:r>
        <w:rPr>
          <w:color w:val="333333"/>
        </w:rPr>
        <w:t xml:space="preserve"> 7.1.6 </w:t>
      </w:r>
      <w:r>
        <w:rPr>
          <w:color w:val="333333"/>
        </w:rPr>
        <w:t>规定的堆场、储罐区，宜设置环形消防车道；</w:t>
      </w:r>
      <w:r>
        <w:rPr>
          <w:color w:val="333333"/>
        </w:rPr>
        <w:t xml:space="preserve"> </w:t>
      </w:r>
    </w:p>
    <w:p w14:paraId="03982E5A" w14:textId="77777777" w:rsidR="00A71EEF" w:rsidRDefault="0081115D">
      <w:pPr>
        <w:pStyle w:val="6"/>
        <w:spacing w:before="119" w:after="12"/>
        <w:ind w:left="3653"/>
      </w:pPr>
      <w:r>
        <w:t>表</w:t>
      </w:r>
      <w:r>
        <w:t xml:space="preserve"> 7.1.6 </w:t>
      </w:r>
      <w:r>
        <w:t>堆场或储罐区的储量</w:t>
      </w:r>
      <w:r>
        <w:rPr>
          <w:w w:val="99"/>
        </w:rPr>
        <w:t xml:space="preserve"> </w:t>
      </w:r>
    </w:p>
    <w:p w14:paraId="0036D551" w14:textId="77777777" w:rsidR="00A71EEF" w:rsidRDefault="0081115D">
      <w:pPr>
        <w:pStyle w:val="a3"/>
        <w:ind w:left="949"/>
        <w:rPr>
          <w:sz w:val="20"/>
        </w:rPr>
      </w:pPr>
      <w:r>
        <w:rPr>
          <w:noProof/>
          <w:sz w:val="20"/>
        </w:rPr>
        <w:drawing>
          <wp:inline distT="0" distB="0" distL="0" distR="0" wp14:anchorId="329F44FD" wp14:editId="23265B47">
            <wp:extent cx="5259070" cy="904875"/>
            <wp:effectExtent l="0" t="0" r="0" b="0"/>
            <wp:docPr id="229" name="image1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143.jpeg"/>
                    <pic:cNvPicPr/>
                  </pic:nvPicPr>
                  <pic:blipFill>
                    <a:blip r:embed="rId145" cstate="print"/>
                    <a:stretch>
                      <a:fillRect/>
                    </a:stretch>
                  </pic:blipFill>
                  <pic:spPr>
                    <a:xfrm>
                      <a:off x="0" y="0"/>
                      <a:ext cx="5259070" cy="904875"/>
                    </a:xfrm>
                    <a:prstGeom prst="rect">
                      <a:avLst/>
                    </a:prstGeom>
                  </pic:spPr>
                </pic:pic>
              </a:graphicData>
            </a:graphic>
          </wp:inline>
        </w:drawing>
      </w:r>
    </w:p>
    <w:p w14:paraId="52A234C1" w14:textId="77777777" w:rsidR="00A71EEF" w:rsidRDefault="00A71EEF">
      <w:pPr>
        <w:pStyle w:val="a3"/>
        <w:spacing w:before="3"/>
        <w:rPr>
          <w:b/>
          <w:sz w:val="14"/>
        </w:rPr>
      </w:pPr>
    </w:p>
    <w:p w14:paraId="33CEB006" w14:textId="77777777" w:rsidR="00A71EEF" w:rsidRDefault="0081115D">
      <w:pPr>
        <w:pStyle w:val="a3"/>
        <w:spacing w:line="446" w:lineRule="auto"/>
        <w:ind w:left="418" w:right="1503" w:firstLine="419"/>
        <w:jc w:val="both"/>
      </w:pPr>
      <w:r>
        <w:rPr>
          <w:color w:val="333333"/>
          <w:spacing w:val="-9"/>
        </w:rPr>
        <w:t>占地面积大于</w:t>
      </w:r>
      <w:r>
        <w:rPr>
          <w:color w:val="333333"/>
          <w:spacing w:val="-9"/>
        </w:rPr>
        <w:t xml:space="preserve"> </w:t>
      </w:r>
      <w:r>
        <w:rPr>
          <w:color w:val="333333"/>
        </w:rPr>
        <w:t>30000m</w:t>
      </w:r>
      <w:r>
        <w:rPr>
          <w:color w:val="333333"/>
          <w:position w:val="11"/>
          <w:sz w:val="11"/>
        </w:rPr>
        <w:t>2</w:t>
      </w:r>
      <w:r>
        <w:rPr>
          <w:color w:val="333333"/>
          <w:sz w:val="11"/>
        </w:rPr>
        <w:t xml:space="preserve"> </w:t>
      </w:r>
      <w:r>
        <w:rPr>
          <w:color w:val="333333"/>
          <w:spacing w:val="-3"/>
        </w:rPr>
        <w:t>的可燃材料堆场，应设置与环形消防车道相通的中间消防车道，消</w:t>
      </w:r>
      <w:r>
        <w:rPr>
          <w:color w:val="333333"/>
          <w:spacing w:val="-6"/>
        </w:rPr>
        <w:t>防车道的间距不宜大于</w:t>
      </w:r>
      <w:r>
        <w:rPr>
          <w:color w:val="333333"/>
          <w:spacing w:val="-6"/>
        </w:rPr>
        <w:t xml:space="preserve"> </w:t>
      </w:r>
      <w:r>
        <w:rPr>
          <w:color w:val="333333"/>
        </w:rPr>
        <w:t>150m</w:t>
      </w:r>
      <w:r>
        <w:rPr>
          <w:color w:val="333333"/>
          <w:spacing w:val="-3"/>
        </w:rPr>
        <w:t>。液化石油气储罐区，甲、乙、丙类液体储罐区和可燃气体储罐区内的环形消防车道之间宜设置连通的消防车道；</w:t>
      </w:r>
      <w:r>
        <w:rPr>
          <w:color w:val="333333"/>
        </w:rPr>
        <w:t xml:space="preserve"> </w:t>
      </w:r>
    </w:p>
    <w:p w14:paraId="1B43AB3A" w14:textId="77777777" w:rsidR="00A71EEF" w:rsidRDefault="0081115D">
      <w:pPr>
        <w:pStyle w:val="a3"/>
        <w:spacing w:line="268" w:lineRule="exact"/>
        <w:ind w:left="838"/>
        <w:jc w:val="both"/>
      </w:pPr>
      <w:r>
        <w:rPr>
          <w:color w:val="333333"/>
        </w:rPr>
        <w:t>消防车道的边缘距离可燃材料堆垛不应小于</w:t>
      </w:r>
      <w:r>
        <w:rPr>
          <w:color w:val="333333"/>
        </w:rPr>
        <w:t xml:space="preserve"> 5m</w:t>
      </w:r>
      <w:r>
        <w:rPr>
          <w:color w:val="333333"/>
        </w:rPr>
        <w:t>。</w:t>
      </w:r>
      <w:r>
        <w:rPr>
          <w:color w:val="333333"/>
        </w:rPr>
        <w:t xml:space="preserve"> </w:t>
      </w:r>
    </w:p>
    <w:p w14:paraId="0E0C89C5" w14:textId="77777777" w:rsidR="00A71EEF" w:rsidRDefault="00A71EEF">
      <w:pPr>
        <w:pStyle w:val="a3"/>
        <w:spacing w:before="12"/>
        <w:rPr>
          <w:sz w:val="17"/>
        </w:rPr>
      </w:pPr>
    </w:p>
    <w:p w14:paraId="120DF8CD" w14:textId="77777777" w:rsidR="00A71EEF" w:rsidRDefault="0081115D">
      <w:pPr>
        <w:pStyle w:val="a4"/>
        <w:numPr>
          <w:ilvl w:val="2"/>
          <w:numId w:val="704"/>
        </w:numPr>
        <w:tabs>
          <w:tab w:val="left" w:pos="1370"/>
        </w:tabs>
        <w:spacing w:line="446" w:lineRule="auto"/>
        <w:ind w:right="1604" w:firstLine="422"/>
        <w:jc w:val="both"/>
        <w:rPr>
          <w:sz w:val="21"/>
        </w:rPr>
      </w:pPr>
      <w:r>
        <w:rPr>
          <w:color w:val="333333"/>
          <w:spacing w:val="-3"/>
          <w:sz w:val="21"/>
        </w:rPr>
        <w:t>供消防车取水的天然水源和消防水池应设置消防车道。消防车道的边缘距离取水点</w:t>
      </w:r>
      <w:r>
        <w:rPr>
          <w:color w:val="333333"/>
          <w:spacing w:val="-13"/>
          <w:sz w:val="21"/>
        </w:rPr>
        <w:t>不宜大于</w:t>
      </w:r>
      <w:r>
        <w:rPr>
          <w:color w:val="333333"/>
          <w:spacing w:val="-13"/>
          <w:sz w:val="21"/>
        </w:rPr>
        <w:t xml:space="preserve"> </w:t>
      </w:r>
      <w:r>
        <w:rPr>
          <w:color w:val="333333"/>
          <w:sz w:val="21"/>
        </w:rPr>
        <w:t>2m</w:t>
      </w:r>
      <w:r>
        <w:rPr>
          <w:color w:val="333333"/>
          <w:spacing w:val="-3"/>
          <w:sz w:val="21"/>
        </w:rPr>
        <w:t>。</w:t>
      </w:r>
      <w:r>
        <w:rPr>
          <w:color w:val="333333"/>
          <w:sz w:val="21"/>
        </w:rPr>
        <w:t xml:space="preserve"> </w:t>
      </w:r>
    </w:p>
    <w:p w14:paraId="3D0E86B9" w14:textId="77777777" w:rsidR="00A71EEF" w:rsidRDefault="0081115D">
      <w:pPr>
        <w:pStyle w:val="a4"/>
        <w:numPr>
          <w:ilvl w:val="2"/>
          <w:numId w:val="704"/>
        </w:numPr>
        <w:tabs>
          <w:tab w:val="left" w:pos="1370"/>
        </w:tabs>
        <w:ind w:left="1369" w:hanging="530"/>
        <w:rPr>
          <w:sz w:val="21"/>
        </w:rPr>
      </w:pPr>
      <w:r>
        <w:rPr>
          <w:color w:val="333333"/>
          <w:spacing w:val="-3"/>
          <w:sz w:val="21"/>
        </w:rPr>
        <w:t>消防车道应符合下列要求：</w:t>
      </w:r>
      <w:r>
        <w:rPr>
          <w:color w:val="333333"/>
          <w:sz w:val="21"/>
        </w:rPr>
        <w:t xml:space="preserve"> </w:t>
      </w:r>
    </w:p>
    <w:p w14:paraId="71532E29" w14:textId="77777777" w:rsidR="00A71EEF" w:rsidRDefault="00A71EEF">
      <w:pPr>
        <w:pStyle w:val="a3"/>
        <w:rPr>
          <w:sz w:val="18"/>
        </w:rPr>
      </w:pPr>
    </w:p>
    <w:p w14:paraId="1F1EDBA0" w14:textId="77777777" w:rsidR="00A71EEF" w:rsidRDefault="0081115D">
      <w:pPr>
        <w:pStyle w:val="a3"/>
        <w:ind w:left="838"/>
      </w:pPr>
      <w:r>
        <w:rPr>
          <w:color w:val="333333"/>
        </w:rPr>
        <w:t>车道的净宽度和净空高度均不应小于</w:t>
      </w:r>
      <w:r>
        <w:rPr>
          <w:color w:val="333333"/>
        </w:rPr>
        <w:t xml:space="preserve"> 4.0m</w:t>
      </w:r>
      <w:r>
        <w:rPr>
          <w:color w:val="333333"/>
        </w:rPr>
        <w:t>；</w:t>
      </w:r>
      <w:r>
        <w:rPr>
          <w:color w:val="333333"/>
        </w:rPr>
        <w:t xml:space="preserve"> </w:t>
      </w:r>
    </w:p>
    <w:p w14:paraId="7DDC3EFF" w14:textId="77777777" w:rsidR="00A71EEF" w:rsidRDefault="00A71EEF">
      <w:pPr>
        <w:pStyle w:val="a3"/>
        <w:spacing w:before="2"/>
        <w:rPr>
          <w:sz w:val="18"/>
        </w:rPr>
      </w:pPr>
    </w:p>
    <w:p w14:paraId="0569AD7C" w14:textId="77777777" w:rsidR="00A71EEF" w:rsidRDefault="0081115D">
      <w:pPr>
        <w:pStyle w:val="a3"/>
        <w:ind w:left="838"/>
      </w:pPr>
      <w:r>
        <w:rPr>
          <w:color w:val="333333"/>
        </w:rPr>
        <w:t>转弯半径应满足消防车转弯的要求；</w:t>
      </w:r>
      <w:r>
        <w:rPr>
          <w:color w:val="333333"/>
        </w:rPr>
        <w:t xml:space="preserve"> </w:t>
      </w:r>
    </w:p>
    <w:p w14:paraId="42311070" w14:textId="77777777" w:rsidR="00A71EEF" w:rsidRDefault="00A71EEF">
      <w:pPr>
        <w:sectPr w:rsidR="00A71EEF">
          <w:pgSz w:w="11910" w:h="16850"/>
          <w:pgMar w:top="1220" w:right="0" w:bottom="1420" w:left="1260" w:header="0" w:footer="1239" w:gutter="0"/>
          <w:cols w:space="720"/>
        </w:sectPr>
      </w:pPr>
    </w:p>
    <w:p w14:paraId="6F5080D6" w14:textId="77777777" w:rsidR="00A71EEF" w:rsidRDefault="0081115D">
      <w:pPr>
        <w:pStyle w:val="a3"/>
        <w:spacing w:before="47" w:line="446" w:lineRule="auto"/>
        <w:ind w:left="838" w:right="2765"/>
      </w:pPr>
      <w:r>
        <w:rPr>
          <w:color w:val="333333"/>
          <w:spacing w:val="-3"/>
        </w:rPr>
        <w:lastRenderedPageBreak/>
        <w:t>消防车道与建筑之间不应设置妨碍消防车操作的树木、架空管线等障碍物；</w:t>
      </w:r>
      <w:r>
        <w:rPr>
          <w:color w:val="333333"/>
          <w:spacing w:val="-3"/>
        </w:rPr>
        <w:t xml:space="preserve"> </w:t>
      </w:r>
      <w:r>
        <w:rPr>
          <w:color w:val="333333"/>
          <w:spacing w:val="-5"/>
        </w:rPr>
        <w:t>消防车道靠建筑外墙一侧的边缘距离建筑外墙不宜小于</w:t>
      </w:r>
      <w:r>
        <w:rPr>
          <w:color w:val="333333"/>
          <w:spacing w:val="-5"/>
        </w:rPr>
        <w:t xml:space="preserve"> </w:t>
      </w:r>
      <w:r>
        <w:rPr>
          <w:color w:val="333333"/>
        </w:rPr>
        <w:t>5m</w:t>
      </w:r>
      <w:r>
        <w:rPr>
          <w:color w:val="333333"/>
        </w:rPr>
        <w:t>；</w:t>
      </w:r>
      <w:r>
        <w:rPr>
          <w:color w:val="333333"/>
        </w:rPr>
        <w:t xml:space="preserve"> </w:t>
      </w:r>
    </w:p>
    <w:p w14:paraId="7E6B7E03" w14:textId="77777777" w:rsidR="00A71EEF" w:rsidRDefault="0081115D">
      <w:pPr>
        <w:pStyle w:val="a3"/>
        <w:spacing w:line="267" w:lineRule="exact"/>
        <w:ind w:left="838"/>
      </w:pPr>
      <w:r>
        <w:rPr>
          <w:color w:val="333333"/>
        </w:rPr>
        <w:t>消防车道的坡度不宜大于</w:t>
      </w:r>
      <w:r>
        <w:rPr>
          <w:color w:val="333333"/>
        </w:rPr>
        <w:t xml:space="preserve"> 8%</w:t>
      </w:r>
      <w:r>
        <w:rPr>
          <w:color w:val="333333"/>
        </w:rPr>
        <w:t>。</w:t>
      </w:r>
      <w:r>
        <w:rPr>
          <w:color w:val="333333"/>
        </w:rPr>
        <w:t xml:space="preserve"> </w:t>
      </w:r>
    </w:p>
    <w:p w14:paraId="7CCE250F" w14:textId="77777777" w:rsidR="00A71EEF" w:rsidRDefault="00A71EEF">
      <w:pPr>
        <w:pStyle w:val="a3"/>
        <w:spacing w:before="2"/>
        <w:rPr>
          <w:sz w:val="18"/>
        </w:rPr>
      </w:pPr>
    </w:p>
    <w:p w14:paraId="0B70A6EA" w14:textId="77777777" w:rsidR="00A71EEF" w:rsidRDefault="0081115D">
      <w:pPr>
        <w:pStyle w:val="a4"/>
        <w:numPr>
          <w:ilvl w:val="2"/>
          <w:numId w:val="704"/>
        </w:numPr>
        <w:tabs>
          <w:tab w:val="left" w:pos="1370"/>
        </w:tabs>
        <w:spacing w:line="446" w:lineRule="auto"/>
        <w:ind w:right="1508" w:firstLine="422"/>
        <w:rPr>
          <w:sz w:val="21"/>
        </w:rPr>
      </w:pPr>
      <w:r>
        <w:rPr>
          <w:color w:val="333333"/>
          <w:spacing w:val="-3"/>
          <w:sz w:val="21"/>
        </w:rPr>
        <w:t>环形消防车道至少应有两处与其他车道连通。尽头式消防车道应设置回车道或回车场</w:t>
      </w:r>
      <w:r>
        <w:rPr>
          <w:color w:val="333333"/>
          <w:spacing w:val="-7"/>
          <w:sz w:val="21"/>
        </w:rPr>
        <w:t>，回车场的面积不应小于</w:t>
      </w:r>
      <w:r>
        <w:rPr>
          <w:color w:val="333333"/>
          <w:spacing w:val="-7"/>
          <w:sz w:val="21"/>
        </w:rPr>
        <w:t xml:space="preserve"> </w:t>
      </w:r>
      <w:r>
        <w:rPr>
          <w:color w:val="333333"/>
          <w:sz w:val="21"/>
        </w:rPr>
        <w:t>12m×12m</w:t>
      </w:r>
      <w:r>
        <w:rPr>
          <w:color w:val="333333"/>
          <w:spacing w:val="-6"/>
          <w:sz w:val="21"/>
        </w:rPr>
        <w:t>；对于高层建筑，不宜小于</w:t>
      </w:r>
      <w:r>
        <w:rPr>
          <w:color w:val="333333"/>
          <w:spacing w:val="-6"/>
          <w:sz w:val="21"/>
        </w:rPr>
        <w:t xml:space="preserve"> </w:t>
      </w:r>
      <w:r>
        <w:rPr>
          <w:color w:val="333333"/>
          <w:sz w:val="21"/>
        </w:rPr>
        <w:t>15m×15m</w:t>
      </w:r>
      <w:r>
        <w:rPr>
          <w:color w:val="333333"/>
          <w:spacing w:val="-3"/>
          <w:sz w:val="21"/>
        </w:rPr>
        <w:t>；供重型消防车使用时</w:t>
      </w:r>
      <w:r>
        <w:rPr>
          <w:color w:val="333333"/>
          <w:spacing w:val="-12"/>
          <w:sz w:val="21"/>
        </w:rPr>
        <w:t>，不宜小于</w:t>
      </w:r>
      <w:r>
        <w:rPr>
          <w:color w:val="333333"/>
          <w:spacing w:val="-12"/>
          <w:sz w:val="21"/>
        </w:rPr>
        <w:t xml:space="preserve"> </w:t>
      </w:r>
      <w:r>
        <w:rPr>
          <w:color w:val="333333"/>
          <w:sz w:val="21"/>
        </w:rPr>
        <w:t>18m×18m</w:t>
      </w:r>
      <w:r>
        <w:rPr>
          <w:color w:val="333333"/>
          <w:spacing w:val="-3"/>
          <w:sz w:val="21"/>
        </w:rPr>
        <w:t>。</w:t>
      </w:r>
      <w:r>
        <w:rPr>
          <w:color w:val="333333"/>
          <w:sz w:val="21"/>
        </w:rPr>
        <w:t xml:space="preserve"> </w:t>
      </w:r>
    </w:p>
    <w:p w14:paraId="7BC01939" w14:textId="77777777" w:rsidR="00A71EEF" w:rsidRDefault="0081115D">
      <w:pPr>
        <w:pStyle w:val="a3"/>
        <w:spacing w:line="446" w:lineRule="auto"/>
        <w:ind w:left="418" w:right="1609" w:firstLine="419"/>
      </w:pPr>
      <w:r>
        <w:rPr>
          <w:color w:val="333333"/>
        </w:rPr>
        <w:t>消防车道的路面、救援操作场地、消防车道和救援操作场地下面的管道和暗沟等，应能承受重型消防车的压力。</w:t>
      </w:r>
      <w:r>
        <w:rPr>
          <w:color w:val="333333"/>
        </w:rPr>
        <w:t xml:space="preserve"> </w:t>
      </w:r>
    </w:p>
    <w:p w14:paraId="1394A515" w14:textId="77777777" w:rsidR="00A71EEF" w:rsidRDefault="0081115D">
      <w:pPr>
        <w:pStyle w:val="a3"/>
        <w:spacing w:line="446" w:lineRule="auto"/>
        <w:ind w:left="840" w:right="1496" w:hanging="3"/>
      </w:pPr>
      <w:r>
        <w:rPr>
          <w:color w:val="333333"/>
        </w:rPr>
        <w:t>消防车道可利用城乡、厂区道路等，但该道路应满足消防车通行、转弯和停靠的要求。</w:t>
      </w:r>
      <w:r>
        <w:rPr>
          <w:b/>
          <w:color w:val="333333"/>
        </w:rPr>
        <w:t xml:space="preserve">7.1.10 </w:t>
      </w:r>
      <w:r>
        <w:rPr>
          <w:color w:val="333333"/>
        </w:rPr>
        <w:t>消防车道不宜与铁路正线平交，确需平交时，应设置备用车道，且两车道的间距不</w:t>
      </w:r>
    </w:p>
    <w:p w14:paraId="488DD665" w14:textId="77777777" w:rsidR="00A71EEF" w:rsidRDefault="0081115D">
      <w:pPr>
        <w:pStyle w:val="a3"/>
        <w:spacing w:line="446" w:lineRule="auto"/>
        <w:ind w:left="840" w:right="7804" w:hanging="423"/>
      </w:pPr>
      <w:r>
        <w:rPr>
          <w:color w:val="333333"/>
        </w:rPr>
        <w:t>应小于一列火车的长度。</w:t>
      </w:r>
      <w:r>
        <w:rPr>
          <w:b/>
        </w:rPr>
        <w:t xml:space="preserve">7.2 </w:t>
      </w:r>
      <w:r>
        <w:t>救援场地和入口</w:t>
      </w:r>
      <w:r>
        <w:t xml:space="preserve"> </w:t>
      </w:r>
    </w:p>
    <w:p w14:paraId="0466AA46" w14:textId="77777777" w:rsidR="00A71EEF" w:rsidRDefault="0081115D">
      <w:pPr>
        <w:pStyle w:val="a4"/>
        <w:numPr>
          <w:ilvl w:val="2"/>
          <w:numId w:val="703"/>
        </w:numPr>
        <w:tabs>
          <w:tab w:val="left" w:pos="1370"/>
        </w:tabs>
        <w:spacing w:line="446" w:lineRule="auto"/>
        <w:ind w:right="1553" w:firstLine="422"/>
        <w:rPr>
          <w:sz w:val="21"/>
        </w:rPr>
      </w:pPr>
      <w:r>
        <w:rPr>
          <w:color w:val="333333"/>
          <w:spacing w:val="-6"/>
          <w:sz w:val="21"/>
        </w:rPr>
        <w:t>高层建筑应至少沿一个长边或周边长度的</w:t>
      </w:r>
      <w:r>
        <w:rPr>
          <w:color w:val="333333"/>
          <w:spacing w:val="-6"/>
          <w:sz w:val="21"/>
        </w:rPr>
        <w:t xml:space="preserve"> </w:t>
      </w:r>
      <w:r>
        <w:rPr>
          <w:color w:val="333333"/>
          <w:sz w:val="21"/>
        </w:rPr>
        <w:t>l/4</w:t>
      </w:r>
      <w:r>
        <w:rPr>
          <w:color w:val="333333"/>
          <w:spacing w:val="-3"/>
          <w:sz w:val="21"/>
        </w:rPr>
        <w:t xml:space="preserve"> </w:t>
      </w:r>
      <w:r>
        <w:rPr>
          <w:color w:val="333333"/>
          <w:spacing w:val="-3"/>
          <w:sz w:val="21"/>
        </w:rPr>
        <w:t>且不小于一个长边长度的底边连续布</w:t>
      </w:r>
      <w:r>
        <w:rPr>
          <w:color w:val="333333"/>
          <w:spacing w:val="-5"/>
          <w:sz w:val="21"/>
        </w:rPr>
        <w:t>置消防车登高操作场地，该范围内的裙房进深不应大于</w:t>
      </w:r>
      <w:r>
        <w:rPr>
          <w:color w:val="333333"/>
          <w:spacing w:val="-5"/>
          <w:sz w:val="21"/>
        </w:rPr>
        <w:t xml:space="preserve"> </w:t>
      </w:r>
      <w:r>
        <w:rPr>
          <w:color w:val="333333"/>
          <w:sz w:val="21"/>
        </w:rPr>
        <w:t>4m</w:t>
      </w:r>
      <w:r>
        <w:rPr>
          <w:color w:val="333333"/>
          <w:spacing w:val="-3"/>
          <w:sz w:val="21"/>
        </w:rPr>
        <w:t>。</w:t>
      </w:r>
      <w:r>
        <w:rPr>
          <w:color w:val="333333"/>
          <w:sz w:val="21"/>
        </w:rPr>
        <w:t xml:space="preserve"> </w:t>
      </w:r>
    </w:p>
    <w:p w14:paraId="719F0124" w14:textId="77777777" w:rsidR="00A71EEF" w:rsidRDefault="0081115D">
      <w:pPr>
        <w:pStyle w:val="a3"/>
        <w:spacing w:line="446" w:lineRule="auto"/>
        <w:ind w:left="418" w:right="1498" w:firstLine="419"/>
      </w:pPr>
      <w:r>
        <w:rPr>
          <w:color w:val="333333"/>
        </w:rPr>
        <w:t>建筑高度不大于</w:t>
      </w:r>
      <w:r>
        <w:rPr>
          <w:color w:val="333333"/>
        </w:rPr>
        <w:t xml:space="preserve"> 50m </w:t>
      </w:r>
      <w:r>
        <w:rPr>
          <w:color w:val="333333"/>
        </w:rPr>
        <w:t>的建筑，连续布置消防车登高操作场地确有困难时，可间隔布置，但间隔距离不宜大于</w:t>
      </w:r>
      <w:r>
        <w:rPr>
          <w:color w:val="333333"/>
        </w:rPr>
        <w:t xml:space="preserve"> 30m</w:t>
      </w:r>
      <w:r>
        <w:rPr>
          <w:color w:val="333333"/>
        </w:rPr>
        <w:t>，且消防车登高操作场地的总长度仍应符合上述规定。</w:t>
      </w:r>
      <w:r>
        <w:rPr>
          <w:color w:val="333333"/>
        </w:rPr>
        <w:t xml:space="preserve"> </w:t>
      </w:r>
    </w:p>
    <w:p w14:paraId="7BFBA761" w14:textId="77777777" w:rsidR="00A71EEF" w:rsidRDefault="0081115D">
      <w:pPr>
        <w:pStyle w:val="a4"/>
        <w:numPr>
          <w:ilvl w:val="2"/>
          <w:numId w:val="703"/>
        </w:numPr>
        <w:tabs>
          <w:tab w:val="left" w:pos="1370"/>
        </w:tabs>
        <w:ind w:left="1369" w:hanging="530"/>
        <w:rPr>
          <w:sz w:val="21"/>
        </w:rPr>
      </w:pPr>
      <w:r>
        <w:rPr>
          <w:color w:val="333333"/>
          <w:spacing w:val="-3"/>
          <w:sz w:val="21"/>
        </w:rPr>
        <w:t>消防车登高操作场地应符合下列规定：</w:t>
      </w:r>
      <w:r>
        <w:rPr>
          <w:color w:val="333333"/>
          <w:sz w:val="21"/>
        </w:rPr>
        <w:t xml:space="preserve"> </w:t>
      </w:r>
    </w:p>
    <w:p w14:paraId="00512443" w14:textId="77777777" w:rsidR="00A71EEF" w:rsidRDefault="00A71EEF">
      <w:pPr>
        <w:pStyle w:val="a3"/>
        <w:spacing w:before="7"/>
        <w:rPr>
          <w:sz w:val="17"/>
        </w:rPr>
      </w:pPr>
    </w:p>
    <w:p w14:paraId="43E8C0BB" w14:textId="77777777" w:rsidR="00A71EEF" w:rsidRDefault="0081115D">
      <w:pPr>
        <w:pStyle w:val="a3"/>
        <w:spacing w:line="446" w:lineRule="auto"/>
        <w:ind w:left="418" w:right="1609" w:firstLine="419"/>
      </w:pPr>
      <w:r>
        <w:rPr>
          <w:color w:val="333333"/>
        </w:rPr>
        <w:t>场地与厂房、仓库、民用建筑之间不应设置妨碍消防车操作的树木、架空管线等障碍物和车库出入口；</w:t>
      </w:r>
      <w:r>
        <w:rPr>
          <w:color w:val="333333"/>
        </w:rPr>
        <w:t xml:space="preserve"> </w:t>
      </w:r>
    </w:p>
    <w:p w14:paraId="5336AE16" w14:textId="77777777" w:rsidR="00A71EEF" w:rsidRDefault="0081115D">
      <w:pPr>
        <w:pStyle w:val="a3"/>
        <w:spacing w:line="446" w:lineRule="auto"/>
        <w:ind w:left="418" w:right="1558" w:firstLine="419"/>
      </w:pPr>
      <w:r>
        <w:rPr>
          <w:color w:val="333333"/>
          <w:spacing w:val="-7"/>
        </w:rPr>
        <w:t>场地的长度和宽度分别不应小于</w:t>
      </w:r>
      <w:r>
        <w:rPr>
          <w:color w:val="333333"/>
          <w:spacing w:val="-7"/>
        </w:rPr>
        <w:t xml:space="preserve"> </w:t>
      </w:r>
      <w:r>
        <w:rPr>
          <w:color w:val="333333"/>
        </w:rPr>
        <w:t>15m</w:t>
      </w:r>
      <w:r>
        <w:rPr>
          <w:color w:val="333333"/>
          <w:spacing w:val="-14"/>
        </w:rPr>
        <w:t xml:space="preserve"> </w:t>
      </w:r>
      <w:r>
        <w:rPr>
          <w:color w:val="333333"/>
          <w:spacing w:val="-14"/>
        </w:rPr>
        <w:t>和</w:t>
      </w:r>
      <w:r>
        <w:rPr>
          <w:color w:val="333333"/>
          <w:spacing w:val="-14"/>
        </w:rPr>
        <w:t xml:space="preserve"> </w:t>
      </w:r>
      <w:r>
        <w:rPr>
          <w:color w:val="333333"/>
        </w:rPr>
        <w:t>10m</w:t>
      </w:r>
      <w:r>
        <w:rPr>
          <w:color w:val="333333"/>
          <w:spacing w:val="-8"/>
        </w:rPr>
        <w:t>。对于建筑高度大于</w:t>
      </w:r>
      <w:r>
        <w:rPr>
          <w:color w:val="333333"/>
          <w:spacing w:val="-8"/>
        </w:rPr>
        <w:t xml:space="preserve"> </w:t>
      </w:r>
      <w:r>
        <w:rPr>
          <w:color w:val="333333"/>
        </w:rPr>
        <w:t>50m</w:t>
      </w:r>
      <w:r>
        <w:rPr>
          <w:color w:val="333333"/>
          <w:spacing w:val="-2"/>
        </w:rPr>
        <w:t xml:space="preserve"> </w:t>
      </w:r>
      <w:r>
        <w:rPr>
          <w:color w:val="333333"/>
          <w:spacing w:val="-2"/>
        </w:rPr>
        <w:t>的建筑，场地的长度</w:t>
      </w:r>
      <w:r>
        <w:rPr>
          <w:color w:val="333333"/>
          <w:spacing w:val="-8"/>
        </w:rPr>
        <w:t>和宽度分别不应小于</w:t>
      </w:r>
      <w:r>
        <w:rPr>
          <w:color w:val="333333"/>
          <w:spacing w:val="-8"/>
        </w:rPr>
        <w:t xml:space="preserve"> </w:t>
      </w:r>
      <w:r>
        <w:rPr>
          <w:color w:val="333333"/>
        </w:rPr>
        <w:t>20m</w:t>
      </w:r>
      <w:r>
        <w:rPr>
          <w:color w:val="333333"/>
          <w:spacing w:val="-19"/>
        </w:rPr>
        <w:t xml:space="preserve"> </w:t>
      </w:r>
      <w:r>
        <w:rPr>
          <w:color w:val="333333"/>
          <w:spacing w:val="-19"/>
        </w:rPr>
        <w:t>和</w:t>
      </w:r>
      <w:r>
        <w:rPr>
          <w:color w:val="333333"/>
          <w:spacing w:val="-19"/>
        </w:rPr>
        <w:t xml:space="preserve"> </w:t>
      </w:r>
      <w:r>
        <w:rPr>
          <w:color w:val="333333"/>
        </w:rPr>
        <w:t>10m</w:t>
      </w:r>
      <w:r>
        <w:rPr>
          <w:color w:val="333333"/>
        </w:rPr>
        <w:t>；</w:t>
      </w:r>
      <w:r>
        <w:rPr>
          <w:color w:val="333333"/>
        </w:rPr>
        <w:t xml:space="preserve"> </w:t>
      </w:r>
    </w:p>
    <w:p w14:paraId="73C15649" w14:textId="77777777" w:rsidR="00A71EEF" w:rsidRDefault="0081115D">
      <w:pPr>
        <w:pStyle w:val="a3"/>
        <w:ind w:left="838"/>
        <w:rPr>
          <w:b/>
        </w:rPr>
      </w:pPr>
      <w:r>
        <w:rPr>
          <w:color w:val="333333"/>
        </w:rPr>
        <w:t>场地及其下面的建筑结构、管道和暗沟等，应能承受重型消防车的压力；</w:t>
      </w:r>
      <w:r>
        <w:rPr>
          <w:b/>
          <w:color w:val="333333"/>
          <w:w w:val="99"/>
        </w:rPr>
        <w:t xml:space="preserve"> </w:t>
      </w:r>
    </w:p>
    <w:p w14:paraId="5B18159F" w14:textId="77777777" w:rsidR="00A71EEF" w:rsidRDefault="00A71EEF">
      <w:pPr>
        <w:pStyle w:val="a3"/>
        <w:spacing w:before="12"/>
        <w:rPr>
          <w:b/>
          <w:sz w:val="17"/>
        </w:rPr>
      </w:pPr>
    </w:p>
    <w:p w14:paraId="46024C34" w14:textId="77777777" w:rsidR="00A71EEF" w:rsidRDefault="0081115D">
      <w:pPr>
        <w:pStyle w:val="a3"/>
        <w:spacing w:before="1" w:line="446" w:lineRule="auto"/>
        <w:ind w:left="418" w:right="1501" w:firstLine="419"/>
      </w:pPr>
      <w:r>
        <w:rPr>
          <w:color w:val="333333"/>
        </w:rPr>
        <w:t>场地应与消防车道连通，场地靠建筑外墙一侧的边缘距离建筑外墙不宜小于</w:t>
      </w:r>
      <w:r>
        <w:rPr>
          <w:color w:val="333333"/>
        </w:rPr>
        <w:t xml:space="preserve"> 5m</w:t>
      </w:r>
      <w:r>
        <w:rPr>
          <w:color w:val="333333"/>
        </w:rPr>
        <w:t>，且不应大于</w:t>
      </w:r>
      <w:r>
        <w:rPr>
          <w:color w:val="333333"/>
        </w:rPr>
        <w:t xml:space="preserve"> 10m</w:t>
      </w:r>
      <w:r>
        <w:rPr>
          <w:color w:val="333333"/>
        </w:rPr>
        <w:t>，场地的坡度不宜大于</w:t>
      </w:r>
      <w:r>
        <w:rPr>
          <w:color w:val="333333"/>
        </w:rPr>
        <w:t xml:space="preserve"> 3%</w:t>
      </w:r>
      <w:r>
        <w:rPr>
          <w:color w:val="333333"/>
        </w:rPr>
        <w:t>。</w:t>
      </w:r>
      <w:r>
        <w:rPr>
          <w:color w:val="333333"/>
        </w:rPr>
        <w:t xml:space="preserve"> </w:t>
      </w:r>
    </w:p>
    <w:p w14:paraId="61323FC1" w14:textId="77777777" w:rsidR="00A71EEF" w:rsidRDefault="0081115D">
      <w:pPr>
        <w:pStyle w:val="a4"/>
        <w:numPr>
          <w:ilvl w:val="2"/>
          <w:numId w:val="703"/>
        </w:numPr>
        <w:tabs>
          <w:tab w:val="left" w:pos="1370"/>
        </w:tabs>
        <w:spacing w:line="446" w:lineRule="auto"/>
        <w:ind w:right="1604" w:firstLine="422"/>
        <w:rPr>
          <w:sz w:val="21"/>
        </w:rPr>
      </w:pPr>
      <w:r>
        <w:rPr>
          <w:color w:val="333333"/>
          <w:spacing w:val="-3"/>
          <w:sz w:val="21"/>
        </w:rPr>
        <w:t>建筑物与消防车登高操作场地相对应的范围内，应设置直通室外的楼梯或直通楼梯间的入口。</w:t>
      </w:r>
      <w:r>
        <w:rPr>
          <w:color w:val="333333"/>
          <w:sz w:val="21"/>
        </w:rPr>
        <w:t xml:space="preserve"> </w:t>
      </w:r>
    </w:p>
    <w:p w14:paraId="5FC4B949" w14:textId="77777777" w:rsidR="00A71EEF" w:rsidRDefault="0081115D">
      <w:pPr>
        <w:pStyle w:val="a4"/>
        <w:numPr>
          <w:ilvl w:val="2"/>
          <w:numId w:val="703"/>
        </w:numPr>
        <w:tabs>
          <w:tab w:val="left" w:pos="1370"/>
        </w:tabs>
        <w:spacing w:line="446" w:lineRule="auto"/>
        <w:ind w:right="1604" w:firstLine="422"/>
        <w:rPr>
          <w:sz w:val="21"/>
        </w:rPr>
      </w:pPr>
      <w:r>
        <w:rPr>
          <w:color w:val="333333"/>
          <w:spacing w:val="-3"/>
          <w:sz w:val="21"/>
        </w:rPr>
        <w:t>厂房、仓库、公共建筑的外墙应在每层的适当位置设置可供消防救援人员进入的窗口。</w:t>
      </w:r>
      <w:r>
        <w:rPr>
          <w:color w:val="333333"/>
          <w:sz w:val="21"/>
        </w:rPr>
        <w:t xml:space="preserve"> </w:t>
      </w:r>
    </w:p>
    <w:p w14:paraId="19050E1F" w14:textId="77777777" w:rsidR="00A71EEF" w:rsidRDefault="00A71EEF">
      <w:pPr>
        <w:spacing w:line="446" w:lineRule="auto"/>
        <w:rPr>
          <w:sz w:val="21"/>
        </w:rPr>
        <w:sectPr w:rsidR="00A71EEF">
          <w:pgSz w:w="11910" w:h="16850"/>
          <w:pgMar w:top="1220" w:right="0" w:bottom="1420" w:left="1260" w:header="0" w:footer="1239" w:gutter="0"/>
          <w:cols w:space="720"/>
        </w:sectPr>
      </w:pPr>
    </w:p>
    <w:p w14:paraId="71FB849D" w14:textId="77777777" w:rsidR="00A71EEF" w:rsidRDefault="0081115D">
      <w:pPr>
        <w:pStyle w:val="a4"/>
        <w:numPr>
          <w:ilvl w:val="2"/>
          <w:numId w:val="703"/>
        </w:numPr>
        <w:tabs>
          <w:tab w:val="left" w:pos="1371"/>
        </w:tabs>
        <w:spacing w:before="47" w:line="446" w:lineRule="auto"/>
        <w:ind w:right="1457" w:firstLine="422"/>
        <w:rPr>
          <w:sz w:val="21"/>
        </w:rPr>
      </w:pPr>
      <w:r>
        <w:rPr>
          <w:color w:val="333333"/>
          <w:spacing w:val="-4"/>
          <w:sz w:val="21"/>
        </w:rPr>
        <w:lastRenderedPageBreak/>
        <w:t>供消防救援人员进入的窗口的净高度和净宽度均不应小于</w:t>
      </w:r>
      <w:r>
        <w:rPr>
          <w:color w:val="333333"/>
          <w:spacing w:val="-4"/>
          <w:sz w:val="21"/>
        </w:rPr>
        <w:t xml:space="preserve"> </w:t>
      </w:r>
      <w:r>
        <w:rPr>
          <w:color w:val="333333"/>
          <w:sz w:val="21"/>
        </w:rPr>
        <w:t>1.0m</w:t>
      </w:r>
      <w:r>
        <w:rPr>
          <w:color w:val="333333"/>
          <w:spacing w:val="-3"/>
          <w:sz w:val="21"/>
        </w:rPr>
        <w:t>，下沿距室内地面不宜</w:t>
      </w:r>
      <w:r>
        <w:rPr>
          <w:color w:val="333333"/>
          <w:spacing w:val="-18"/>
          <w:sz w:val="21"/>
        </w:rPr>
        <w:t>大于</w:t>
      </w:r>
      <w:r>
        <w:rPr>
          <w:color w:val="333333"/>
          <w:spacing w:val="-18"/>
          <w:sz w:val="21"/>
        </w:rPr>
        <w:t xml:space="preserve"> </w:t>
      </w:r>
      <w:r>
        <w:rPr>
          <w:color w:val="333333"/>
          <w:sz w:val="21"/>
        </w:rPr>
        <w:t>1.2m</w:t>
      </w:r>
      <w:r>
        <w:rPr>
          <w:color w:val="333333"/>
          <w:spacing w:val="-9"/>
          <w:sz w:val="21"/>
        </w:rPr>
        <w:t>，间距不宜大于</w:t>
      </w:r>
      <w:r>
        <w:rPr>
          <w:color w:val="333333"/>
          <w:spacing w:val="-9"/>
          <w:sz w:val="21"/>
        </w:rPr>
        <w:t xml:space="preserve"> </w:t>
      </w:r>
      <w:r>
        <w:rPr>
          <w:color w:val="333333"/>
          <w:sz w:val="21"/>
        </w:rPr>
        <w:t>20m</w:t>
      </w:r>
      <w:r>
        <w:rPr>
          <w:color w:val="333333"/>
          <w:spacing w:val="-7"/>
          <w:sz w:val="21"/>
        </w:rPr>
        <w:t xml:space="preserve"> </w:t>
      </w:r>
      <w:r>
        <w:rPr>
          <w:color w:val="333333"/>
          <w:spacing w:val="-7"/>
          <w:sz w:val="21"/>
        </w:rPr>
        <w:t>且每个防火分区不应少于</w:t>
      </w:r>
      <w:r>
        <w:rPr>
          <w:color w:val="333333"/>
          <w:spacing w:val="-7"/>
          <w:sz w:val="21"/>
        </w:rPr>
        <w:t xml:space="preserve"> </w:t>
      </w:r>
      <w:r>
        <w:rPr>
          <w:color w:val="333333"/>
          <w:sz w:val="21"/>
        </w:rPr>
        <w:t>2</w:t>
      </w:r>
      <w:r>
        <w:rPr>
          <w:color w:val="333333"/>
          <w:spacing w:val="-3"/>
          <w:sz w:val="21"/>
        </w:rPr>
        <w:t xml:space="preserve"> </w:t>
      </w:r>
      <w:r>
        <w:rPr>
          <w:color w:val="333333"/>
          <w:spacing w:val="-3"/>
          <w:sz w:val="21"/>
        </w:rPr>
        <w:t>个，设置位置应与消防车登高操作场地相对应。窗口的玻璃应易于破碎，并应设置可在室外易于识别的明显标志。</w:t>
      </w:r>
      <w:r>
        <w:rPr>
          <w:color w:val="333333"/>
          <w:sz w:val="21"/>
        </w:rPr>
        <w:t xml:space="preserve"> </w:t>
      </w:r>
    </w:p>
    <w:p w14:paraId="591B7491" w14:textId="77777777" w:rsidR="00A71EEF" w:rsidRDefault="0081115D">
      <w:pPr>
        <w:pStyle w:val="a4"/>
        <w:numPr>
          <w:ilvl w:val="1"/>
          <w:numId w:val="702"/>
        </w:numPr>
        <w:tabs>
          <w:tab w:val="left" w:pos="1213"/>
        </w:tabs>
        <w:spacing w:line="268" w:lineRule="exact"/>
        <w:ind w:hanging="373"/>
        <w:rPr>
          <w:b/>
          <w:sz w:val="21"/>
        </w:rPr>
      </w:pPr>
      <w:r>
        <w:rPr>
          <w:spacing w:val="-3"/>
          <w:sz w:val="21"/>
        </w:rPr>
        <w:t>消防电梯</w:t>
      </w:r>
      <w:r>
        <w:rPr>
          <w:b/>
          <w:w w:val="99"/>
          <w:sz w:val="21"/>
        </w:rPr>
        <w:t xml:space="preserve"> </w:t>
      </w:r>
    </w:p>
    <w:p w14:paraId="0D53D07F" w14:textId="77777777" w:rsidR="00A71EEF" w:rsidRDefault="00A71EEF">
      <w:pPr>
        <w:pStyle w:val="a3"/>
        <w:rPr>
          <w:b/>
          <w:sz w:val="18"/>
        </w:rPr>
      </w:pPr>
    </w:p>
    <w:p w14:paraId="6372483D" w14:textId="77777777" w:rsidR="00A71EEF" w:rsidRDefault="0081115D">
      <w:pPr>
        <w:pStyle w:val="a4"/>
        <w:numPr>
          <w:ilvl w:val="2"/>
          <w:numId w:val="702"/>
        </w:numPr>
        <w:tabs>
          <w:tab w:val="left" w:pos="1370"/>
        </w:tabs>
        <w:ind w:hanging="530"/>
        <w:rPr>
          <w:sz w:val="21"/>
        </w:rPr>
      </w:pPr>
      <w:r>
        <w:rPr>
          <w:color w:val="333333"/>
          <w:spacing w:val="-3"/>
          <w:sz w:val="21"/>
        </w:rPr>
        <w:t>下列建筑应设置消防电梯：</w:t>
      </w:r>
      <w:r>
        <w:rPr>
          <w:color w:val="333333"/>
          <w:sz w:val="21"/>
        </w:rPr>
        <w:t xml:space="preserve"> </w:t>
      </w:r>
    </w:p>
    <w:p w14:paraId="324A3D87" w14:textId="77777777" w:rsidR="00A71EEF" w:rsidRDefault="00A71EEF">
      <w:pPr>
        <w:pStyle w:val="a3"/>
        <w:spacing w:before="12"/>
        <w:rPr>
          <w:sz w:val="17"/>
        </w:rPr>
      </w:pPr>
    </w:p>
    <w:p w14:paraId="65273710" w14:textId="77777777" w:rsidR="00A71EEF" w:rsidRDefault="0081115D">
      <w:pPr>
        <w:pStyle w:val="a3"/>
        <w:ind w:left="838"/>
      </w:pPr>
      <w:r>
        <w:rPr>
          <w:color w:val="333333"/>
        </w:rPr>
        <w:t>建筑高度大于</w:t>
      </w:r>
      <w:r>
        <w:rPr>
          <w:color w:val="333333"/>
        </w:rPr>
        <w:t xml:space="preserve"> 33m </w:t>
      </w:r>
      <w:r>
        <w:rPr>
          <w:color w:val="333333"/>
        </w:rPr>
        <w:t>的住宅建筑；</w:t>
      </w:r>
      <w:r>
        <w:rPr>
          <w:color w:val="333333"/>
        </w:rPr>
        <w:t xml:space="preserve"> </w:t>
      </w:r>
    </w:p>
    <w:p w14:paraId="2C78448B" w14:textId="77777777" w:rsidR="00A71EEF" w:rsidRDefault="00A71EEF">
      <w:pPr>
        <w:pStyle w:val="a3"/>
        <w:spacing w:before="2"/>
        <w:rPr>
          <w:sz w:val="18"/>
        </w:rPr>
      </w:pPr>
    </w:p>
    <w:p w14:paraId="1CEA5945" w14:textId="77777777" w:rsidR="00A71EEF" w:rsidRDefault="0081115D">
      <w:pPr>
        <w:pStyle w:val="a3"/>
        <w:spacing w:line="436" w:lineRule="auto"/>
        <w:ind w:left="418" w:right="1611" w:firstLine="419"/>
      </w:pPr>
      <w:r>
        <w:rPr>
          <w:color w:val="333333"/>
          <w:spacing w:val="-6"/>
        </w:rPr>
        <w:t>一类高层公共建筑和建筑高度大于</w:t>
      </w:r>
      <w:r>
        <w:rPr>
          <w:color w:val="333333"/>
          <w:spacing w:val="-6"/>
        </w:rPr>
        <w:t xml:space="preserve"> </w:t>
      </w:r>
      <w:r>
        <w:rPr>
          <w:color w:val="333333"/>
        </w:rPr>
        <w:t>32m</w:t>
      </w:r>
      <w:r>
        <w:rPr>
          <w:color w:val="333333"/>
          <w:spacing w:val="-2"/>
        </w:rPr>
        <w:t xml:space="preserve"> </w:t>
      </w:r>
      <w:r>
        <w:rPr>
          <w:color w:val="333333"/>
          <w:spacing w:val="-2"/>
        </w:rPr>
        <w:t>的二类高层公共建筑、</w:t>
      </w:r>
      <w:r>
        <w:rPr>
          <w:color w:val="333333"/>
        </w:rPr>
        <w:t>5</w:t>
      </w:r>
      <w:r>
        <w:rPr>
          <w:color w:val="333333"/>
          <w:spacing w:val="-8"/>
        </w:rPr>
        <w:t xml:space="preserve"> </w:t>
      </w:r>
      <w:r>
        <w:rPr>
          <w:color w:val="333333"/>
          <w:spacing w:val="-8"/>
        </w:rPr>
        <w:t>层及以上且总建筑面积大</w:t>
      </w:r>
      <w:r>
        <w:rPr>
          <w:color w:val="333333"/>
          <w:spacing w:val="-31"/>
        </w:rPr>
        <w:t>于</w:t>
      </w:r>
      <w:r>
        <w:rPr>
          <w:color w:val="333333"/>
          <w:spacing w:val="-31"/>
        </w:rPr>
        <w:t xml:space="preserve"> </w:t>
      </w:r>
      <w:r>
        <w:rPr>
          <w:color w:val="333333"/>
        </w:rPr>
        <w:t>3000m</w:t>
      </w:r>
      <w:r>
        <w:rPr>
          <w:color w:val="333333"/>
          <w:position w:val="11"/>
          <w:sz w:val="11"/>
        </w:rPr>
        <w:t>2</w:t>
      </w:r>
      <w:r>
        <w:rPr>
          <w:color w:val="333333"/>
        </w:rPr>
        <w:t>（</w:t>
      </w:r>
      <w:r>
        <w:rPr>
          <w:color w:val="333333"/>
          <w:spacing w:val="-3"/>
        </w:rPr>
        <w:t>包括设置在其他建筑内五层及以上楼层</w:t>
      </w:r>
      <w:r>
        <w:rPr>
          <w:color w:val="333333"/>
        </w:rPr>
        <w:t>）</w:t>
      </w:r>
      <w:r>
        <w:rPr>
          <w:color w:val="333333"/>
          <w:spacing w:val="-3"/>
        </w:rPr>
        <w:t>的老年人照料设施；</w:t>
      </w:r>
      <w:r>
        <w:rPr>
          <w:color w:val="333333"/>
        </w:rPr>
        <w:t xml:space="preserve"> </w:t>
      </w:r>
    </w:p>
    <w:p w14:paraId="656F7E8F" w14:textId="77777777" w:rsidR="00A71EEF" w:rsidRDefault="0081115D">
      <w:pPr>
        <w:pStyle w:val="a3"/>
        <w:spacing w:line="446" w:lineRule="auto"/>
        <w:ind w:left="418" w:right="1558" w:firstLine="419"/>
      </w:pPr>
      <w:r>
        <w:rPr>
          <w:color w:val="333333"/>
          <w:spacing w:val="-6"/>
        </w:rPr>
        <w:t>设置消防电梯的建筑的地下或半地下室，埋深大于</w:t>
      </w:r>
      <w:r>
        <w:rPr>
          <w:color w:val="333333"/>
          <w:spacing w:val="-6"/>
        </w:rPr>
        <w:t xml:space="preserve"> </w:t>
      </w:r>
      <w:r>
        <w:rPr>
          <w:color w:val="333333"/>
        </w:rPr>
        <w:t>10m</w:t>
      </w:r>
      <w:r>
        <w:rPr>
          <w:color w:val="333333"/>
          <w:spacing w:val="-7"/>
        </w:rPr>
        <w:t xml:space="preserve"> </w:t>
      </w:r>
      <w:r>
        <w:rPr>
          <w:color w:val="333333"/>
          <w:spacing w:val="-7"/>
        </w:rPr>
        <w:t>且总建筑面积大于</w:t>
      </w:r>
      <w:r>
        <w:rPr>
          <w:color w:val="333333"/>
          <w:spacing w:val="-7"/>
        </w:rPr>
        <w:t xml:space="preserve"> </w:t>
      </w:r>
      <w:r>
        <w:rPr>
          <w:color w:val="333333"/>
        </w:rPr>
        <w:t>3000m</w:t>
      </w:r>
      <w:r>
        <w:rPr>
          <w:color w:val="333333"/>
          <w:position w:val="11"/>
          <w:sz w:val="11"/>
        </w:rPr>
        <w:t>2</w:t>
      </w:r>
      <w:r>
        <w:rPr>
          <w:color w:val="333333"/>
          <w:sz w:val="11"/>
        </w:rPr>
        <w:t xml:space="preserve"> </w:t>
      </w:r>
      <w:r>
        <w:rPr>
          <w:color w:val="333333"/>
          <w:spacing w:val="-2"/>
        </w:rPr>
        <w:t>的其他</w:t>
      </w:r>
      <w:r>
        <w:rPr>
          <w:color w:val="333333"/>
          <w:spacing w:val="-3"/>
        </w:rPr>
        <w:t>地下或半地下建筑（</w:t>
      </w:r>
      <w:r>
        <w:rPr>
          <w:color w:val="333333"/>
        </w:rPr>
        <w:t>室</w:t>
      </w:r>
      <w:r>
        <w:rPr>
          <w:color w:val="333333"/>
          <w:spacing w:val="-3"/>
        </w:rPr>
        <w:t>）</w:t>
      </w:r>
      <w:r>
        <w:rPr>
          <w:color w:val="333333"/>
        </w:rPr>
        <w:t>。</w:t>
      </w:r>
      <w:r>
        <w:rPr>
          <w:color w:val="333333"/>
        </w:rPr>
        <w:t xml:space="preserve"> </w:t>
      </w:r>
    </w:p>
    <w:p w14:paraId="015733A2" w14:textId="77777777" w:rsidR="00A71EEF" w:rsidRDefault="0081115D">
      <w:pPr>
        <w:pStyle w:val="a4"/>
        <w:numPr>
          <w:ilvl w:val="2"/>
          <w:numId w:val="702"/>
        </w:numPr>
        <w:tabs>
          <w:tab w:val="left" w:pos="1371"/>
        </w:tabs>
        <w:ind w:left="1370" w:hanging="531"/>
        <w:rPr>
          <w:sz w:val="21"/>
        </w:rPr>
      </w:pPr>
      <w:r>
        <w:rPr>
          <w:color w:val="333333"/>
          <w:spacing w:val="-5"/>
          <w:sz w:val="21"/>
        </w:rPr>
        <w:t>消防电梯应分别设置在不同防火分区内，且每个防火分区不应少于</w:t>
      </w:r>
      <w:r>
        <w:rPr>
          <w:color w:val="333333"/>
          <w:spacing w:val="-5"/>
          <w:sz w:val="21"/>
        </w:rPr>
        <w:t xml:space="preserve"> </w:t>
      </w:r>
      <w:r>
        <w:rPr>
          <w:color w:val="333333"/>
          <w:spacing w:val="-3"/>
          <w:sz w:val="21"/>
        </w:rPr>
        <w:t>1</w:t>
      </w:r>
      <w:r>
        <w:rPr>
          <w:color w:val="333333"/>
          <w:spacing w:val="-2"/>
          <w:sz w:val="21"/>
        </w:rPr>
        <w:t xml:space="preserve"> </w:t>
      </w:r>
      <w:r>
        <w:rPr>
          <w:color w:val="333333"/>
          <w:spacing w:val="-2"/>
          <w:sz w:val="21"/>
        </w:rPr>
        <w:t>台。</w:t>
      </w:r>
      <w:r>
        <w:rPr>
          <w:color w:val="333333"/>
          <w:sz w:val="21"/>
        </w:rPr>
        <w:t xml:space="preserve"> </w:t>
      </w:r>
    </w:p>
    <w:p w14:paraId="09646EC0" w14:textId="77777777" w:rsidR="00A71EEF" w:rsidRDefault="00A71EEF">
      <w:pPr>
        <w:pStyle w:val="a3"/>
        <w:spacing w:before="12"/>
        <w:rPr>
          <w:sz w:val="17"/>
        </w:rPr>
      </w:pPr>
    </w:p>
    <w:p w14:paraId="6CF96542" w14:textId="77777777" w:rsidR="00A71EEF" w:rsidRDefault="0081115D">
      <w:pPr>
        <w:pStyle w:val="a4"/>
        <w:numPr>
          <w:ilvl w:val="2"/>
          <w:numId w:val="702"/>
        </w:numPr>
        <w:tabs>
          <w:tab w:val="left" w:pos="1371"/>
        </w:tabs>
        <w:spacing w:line="446" w:lineRule="auto"/>
        <w:ind w:left="418" w:right="1553" w:firstLine="422"/>
        <w:rPr>
          <w:sz w:val="21"/>
        </w:rPr>
      </w:pPr>
      <w:r>
        <w:rPr>
          <w:color w:val="333333"/>
          <w:spacing w:val="-10"/>
          <w:sz w:val="21"/>
        </w:rPr>
        <w:t>建筑高度大于</w:t>
      </w:r>
      <w:r>
        <w:rPr>
          <w:color w:val="333333"/>
          <w:spacing w:val="-10"/>
          <w:sz w:val="21"/>
        </w:rPr>
        <w:t xml:space="preserve"> </w:t>
      </w:r>
      <w:r>
        <w:rPr>
          <w:color w:val="333333"/>
          <w:sz w:val="21"/>
        </w:rPr>
        <w:t>32m</w:t>
      </w:r>
      <w:r>
        <w:rPr>
          <w:color w:val="333333"/>
          <w:spacing w:val="-3"/>
          <w:sz w:val="21"/>
        </w:rPr>
        <w:t xml:space="preserve"> </w:t>
      </w:r>
      <w:r>
        <w:rPr>
          <w:color w:val="333333"/>
          <w:spacing w:val="-3"/>
          <w:sz w:val="21"/>
        </w:rPr>
        <w:t>且设置电梯的高层厂房（</w:t>
      </w:r>
      <w:r>
        <w:rPr>
          <w:color w:val="333333"/>
          <w:sz w:val="21"/>
        </w:rPr>
        <w:t>仓库）</w:t>
      </w:r>
      <w:r>
        <w:rPr>
          <w:color w:val="333333"/>
          <w:spacing w:val="-7"/>
          <w:sz w:val="21"/>
        </w:rPr>
        <w:t>，每个防火分区内宜设置</w:t>
      </w:r>
      <w:r>
        <w:rPr>
          <w:color w:val="333333"/>
          <w:spacing w:val="-7"/>
          <w:sz w:val="21"/>
        </w:rPr>
        <w:t xml:space="preserve"> </w:t>
      </w:r>
      <w:r>
        <w:rPr>
          <w:color w:val="333333"/>
          <w:sz w:val="21"/>
        </w:rPr>
        <w:t>1</w:t>
      </w:r>
      <w:r>
        <w:rPr>
          <w:color w:val="333333"/>
          <w:spacing w:val="-19"/>
          <w:sz w:val="21"/>
        </w:rPr>
        <w:t xml:space="preserve"> </w:t>
      </w:r>
      <w:r>
        <w:rPr>
          <w:color w:val="333333"/>
          <w:spacing w:val="-19"/>
          <w:sz w:val="21"/>
        </w:rPr>
        <w:t>台消</w:t>
      </w:r>
      <w:r>
        <w:rPr>
          <w:color w:val="333333"/>
          <w:spacing w:val="-3"/>
          <w:sz w:val="21"/>
        </w:rPr>
        <w:t>防电梯，但符合下列条件的建筑可不设置消防电梯：</w:t>
      </w:r>
      <w:r>
        <w:rPr>
          <w:color w:val="333333"/>
          <w:spacing w:val="-3"/>
          <w:sz w:val="21"/>
        </w:rPr>
        <w:t xml:space="preserve"> </w:t>
      </w:r>
    </w:p>
    <w:p w14:paraId="36AE9272" w14:textId="77777777" w:rsidR="00A71EEF" w:rsidRDefault="0081115D">
      <w:pPr>
        <w:pStyle w:val="a3"/>
        <w:ind w:left="838"/>
      </w:pPr>
      <w:r>
        <w:rPr>
          <w:color w:val="333333"/>
        </w:rPr>
        <w:t>建筑高度大于</w:t>
      </w:r>
      <w:r>
        <w:rPr>
          <w:color w:val="333333"/>
        </w:rPr>
        <w:t xml:space="preserve"> 32m </w:t>
      </w:r>
      <w:r>
        <w:rPr>
          <w:color w:val="333333"/>
        </w:rPr>
        <w:t>且设置电梯，任一层工作平台上的人数不超过</w:t>
      </w:r>
      <w:r>
        <w:rPr>
          <w:color w:val="333333"/>
        </w:rPr>
        <w:t xml:space="preserve"> 2 </w:t>
      </w:r>
      <w:r>
        <w:rPr>
          <w:color w:val="333333"/>
        </w:rPr>
        <w:t>人的高层塔架；</w:t>
      </w:r>
      <w:r>
        <w:rPr>
          <w:color w:val="333333"/>
        </w:rPr>
        <w:t xml:space="preserve"> </w:t>
      </w:r>
    </w:p>
    <w:p w14:paraId="6234EC37" w14:textId="77777777" w:rsidR="00A71EEF" w:rsidRDefault="00A71EEF">
      <w:pPr>
        <w:pStyle w:val="a3"/>
        <w:spacing w:before="2"/>
        <w:rPr>
          <w:sz w:val="17"/>
        </w:rPr>
      </w:pPr>
    </w:p>
    <w:p w14:paraId="2356DACA" w14:textId="77777777" w:rsidR="00A71EEF" w:rsidRDefault="0081115D">
      <w:pPr>
        <w:pStyle w:val="a3"/>
        <w:spacing w:line="446" w:lineRule="auto"/>
        <w:ind w:left="840" w:right="1556" w:hanging="3"/>
      </w:pPr>
      <w:r>
        <w:rPr>
          <w:color w:val="333333"/>
        </w:rPr>
        <w:t>局部建筑高度大于</w:t>
      </w:r>
      <w:r>
        <w:rPr>
          <w:color w:val="333333"/>
        </w:rPr>
        <w:t xml:space="preserve"> 32m</w:t>
      </w:r>
      <w:r>
        <w:rPr>
          <w:color w:val="333333"/>
        </w:rPr>
        <w:t>，且局部高出部分的每层建筑面积不大于</w:t>
      </w:r>
      <w:r>
        <w:rPr>
          <w:color w:val="333333"/>
        </w:rPr>
        <w:t xml:space="preserve"> 50m</w:t>
      </w:r>
      <w:r>
        <w:rPr>
          <w:color w:val="333333"/>
          <w:position w:val="11"/>
          <w:sz w:val="11"/>
        </w:rPr>
        <w:t>2</w:t>
      </w:r>
      <w:r>
        <w:rPr>
          <w:color w:val="333333"/>
          <w:sz w:val="11"/>
        </w:rPr>
        <w:t xml:space="preserve"> </w:t>
      </w:r>
      <w:r>
        <w:rPr>
          <w:color w:val="333333"/>
        </w:rPr>
        <w:t>的丁、戊类厂房。</w:t>
      </w:r>
      <w:r>
        <w:rPr>
          <w:b/>
          <w:color w:val="333333"/>
        </w:rPr>
        <w:t xml:space="preserve">7.3.4 </w:t>
      </w:r>
      <w:r>
        <w:rPr>
          <w:color w:val="333333"/>
        </w:rPr>
        <w:t>符合消防电梯要求的客梯或货梯可兼作消防电梯。</w:t>
      </w:r>
      <w:r>
        <w:rPr>
          <w:color w:val="333333"/>
        </w:rPr>
        <w:t xml:space="preserve"> </w:t>
      </w:r>
    </w:p>
    <w:p w14:paraId="561444EF" w14:textId="77777777" w:rsidR="00A71EEF" w:rsidRDefault="0081115D">
      <w:pPr>
        <w:pStyle w:val="a4"/>
        <w:numPr>
          <w:ilvl w:val="2"/>
          <w:numId w:val="701"/>
        </w:numPr>
        <w:tabs>
          <w:tab w:val="left" w:pos="1371"/>
        </w:tabs>
        <w:spacing w:line="446" w:lineRule="auto"/>
        <w:ind w:right="1604" w:firstLine="422"/>
        <w:rPr>
          <w:sz w:val="21"/>
        </w:rPr>
      </w:pPr>
      <w:r>
        <w:rPr>
          <w:color w:val="333333"/>
          <w:spacing w:val="-3"/>
          <w:sz w:val="21"/>
        </w:rPr>
        <w:t>除设置在仓库连廊、冷库穿堂或谷物筒仓工作塔内的消防电梯外，消防电梯应设置前室，并应符合下列规定：</w:t>
      </w:r>
      <w:r>
        <w:rPr>
          <w:color w:val="333333"/>
          <w:spacing w:val="-3"/>
          <w:sz w:val="21"/>
        </w:rPr>
        <w:t xml:space="preserve"> </w:t>
      </w:r>
    </w:p>
    <w:p w14:paraId="62A55E96" w14:textId="77777777" w:rsidR="00A71EEF" w:rsidRDefault="0081115D">
      <w:pPr>
        <w:pStyle w:val="a3"/>
        <w:ind w:left="838"/>
      </w:pPr>
      <w:r>
        <w:rPr>
          <w:color w:val="333333"/>
        </w:rPr>
        <w:t>前室宜靠外墙设置，并应在首层直通室外或经过长度不大于</w:t>
      </w:r>
      <w:r>
        <w:rPr>
          <w:color w:val="333333"/>
        </w:rPr>
        <w:t xml:space="preserve"> 30m </w:t>
      </w:r>
      <w:r>
        <w:rPr>
          <w:color w:val="333333"/>
        </w:rPr>
        <w:t>的通道通向室外；</w:t>
      </w:r>
      <w:r>
        <w:rPr>
          <w:color w:val="333333"/>
        </w:rPr>
        <w:t xml:space="preserve"> </w:t>
      </w:r>
    </w:p>
    <w:p w14:paraId="7D2A918E" w14:textId="77777777" w:rsidR="00A71EEF" w:rsidRDefault="00A71EEF">
      <w:pPr>
        <w:pStyle w:val="a3"/>
        <w:rPr>
          <w:sz w:val="18"/>
        </w:rPr>
      </w:pPr>
    </w:p>
    <w:p w14:paraId="651EF875" w14:textId="77777777" w:rsidR="00A71EEF" w:rsidRDefault="0081115D">
      <w:pPr>
        <w:pStyle w:val="a3"/>
        <w:spacing w:line="446" w:lineRule="auto"/>
        <w:ind w:left="418" w:right="1613" w:firstLine="419"/>
      </w:pPr>
      <w:r>
        <w:rPr>
          <w:color w:val="333333"/>
          <w:spacing w:val="-7"/>
        </w:rPr>
        <w:t>前室的使用面积不应小于</w:t>
      </w:r>
      <w:r>
        <w:rPr>
          <w:color w:val="333333"/>
          <w:spacing w:val="-7"/>
        </w:rPr>
        <w:t xml:space="preserve"> </w:t>
      </w:r>
      <w:r>
        <w:rPr>
          <w:color w:val="333333"/>
        </w:rPr>
        <w:t>6.0m2</w:t>
      </w:r>
      <w:r>
        <w:rPr>
          <w:color w:val="333333"/>
          <w:spacing w:val="-7"/>
        </w:rPr>
        <w:t>，前室的短边不应小于</w:t>
      </w:r>
      <w:r>
        <w:rPr>
          <w:color w:val="333333"/>
          <w:spacing w:val="-7"/>
        </w:rPr>
        <w:t xml:space="preserve"> </w:t>
      </w:r>
      <w:r>
        <w:rPr>
          <w:color w:val="333333"/>
        </w:rPr>
        <w:t>2.4m</w:t>
      </w:r>
      <w:r>
        <w:rPr>
          <w:color w:val="333333"/>
          <w:spacing w:val="-3"/>
        </w:rPr>
        <w:t>；与防烟楼梯间合用的前室，</w:t>
      </w:r>
      <w:r>
        <w:rPr>
          <w:color w:val="333333"/>
          <w:spacing w:val="-3"/>
        </w:rPr>
        <w:t xml:space="preserve"> </w:t>
      </w:r>
      <w:r>
        <w:rPr>
          <w:color w:val="333333"/>
          <w:spacing w:val="-7"/>
        </w:rPr>
        <w:t>其使用面积尚应符合本规范第</w:t>
      </w:r>
      <w:r>
        <w:rPr>
          <w:color w:val="333333"/>
          <w:spacing w:val="-7"/>
        </w:rPr>
        <w:t xml:space="preserve"> </w:t>
      </w:r>
      <w:r>
        <w:rPr>
          <w:color w:val="333333"/>
        </w:rPr>
        <w:t>5.5.28</w:t>
      </w:r>
      <w:r>
        <w:rPr>
          <w:color w:val="333333"/>
          <w:spacing w:val="-13"/>
        </w:rPr>
        <w:t xml:space="preserve"> </w:t>
      </w:r>
      <w:r>
        <w:rPr>
          <w:color w:val="333333"/>
          <w:spacing w:val="-13"/>
        </w:rPr>
        <w:t>条和第</w:t>
      </w:r>
      <w:r>
        <w:rPr>
          <w:color w:val="333333"/>
          <w:spacing w:val="-13"/>
        </w:rPr>
        <w:t xml:space="preserve"> </w:t>
      </w:r>
      <w:r>
        <w:rPr>
          <w:color w:val="333333"/>
        </w:rPr>
        <w:t>6.4.3</w:t>
      </w:r>
      <w:r>
        <w:rPr>
          <w:color w:val="333333"/>
          <w:spacing w:val="-3"/>
        </w:rPr>
        <w:t xml:space="preserve"> </w:t>
      </w:r>
      <w:r>
        <w:rPr>
          <w:color w:val="333333"/>
          <w:spacing w:val="-3"/>
        </w:rPr>
        <w:t>条的规定；</w:t>
      </w:r>
      <w:r>
        <w:rPr>
          <w:color w:val="333333"/>
        </w:rPr>
        <w:t xml:space="preserve"> </w:t>
      </w:r>
    </w:p>
    <w:p w14:paraId="702E94B7" w14:textId="77777777" w:rsidR="00A71EEF" w:rsidRDefault="0081115D">
      <w:pPr>
        <w:pStyle w:val="a3"/>
        <w:spacing w:line="446" w:lineRule="auto"/>
        <w:ind w:left="418" w:right="1391" w:firstLine="419"/>
      </w:pPr>
      <w:r>
        <w:rPr>
          <w:color w:val="333333"/>
        </w:rPr>
        <w:t>除前室的出入口、前室内设置的正压送风口和本规范第</w:t>
      </w:r>
      <w:r>
        <w:rPr>
          <w:color w:val="333333"/>
        </w:rPr>
        <w:t xml:space="preserve"> 5.5.27 </w:t>
      </w:r>
      <w:r>
        <w:rPr>
          <w:color w:val="333333"/>
        </w:rPr>
        <w:t>条规定的户门外，前室内不应开设其他门、窗、洞口；</w:t>
      </w:r>
      <w:r>
        <w:rPr>
          <w:color w:val="333333"/>
        </w:rPr>
        <w:t xml:space="preserve"> </w:t>
      </w:r>
    </w:p>
    <w:p w14:paraId="460C261E" w14:textId="77777777" w:rsidR="00A71EEF" w:rsidRDefault="0081115D">
      <w:pPr>
        <w:pStyle w:val="a3"/>
        <w:spacing w:line="267" w:lineRule="exact"/>
        <w:ind w:left="838"/>
      </w:pPr>
      <w:r>
        <w:rPr>
          <w:color w:val="333333"/>
        </w:rPr>
        <w:t>前室或合用前室的门应采用乙级防火门，不应设置</w:t>
      </w:r>
      <w:r>
        <w:rPr>
          <w:color w:val="333333"/>
        </w:rPr>
        <w:t>卷帘。</w:t>
      </w:r>
      <w:r>
        <w:rPr>
          <w:color w:val="333333"/>
        </w:rPr>
        <w:t xml:space="preserve"> </w:t>
      </w:r>
    </w:p>
    <w:p w14:paraId="5B1F2DA1" w14:textId="77777777" w:rsidR="00A71EEF" w:rsidRDefault="00A71EEF">
      <w:pPr>
        <w:pStyle w:val="a3"/>
        <w:spacing w:before="2"/>
        <w:rPr>
          <w:sz w:val="18"/>
        </w:rPr>
      </w:pPr>
    </w:p>
    <w:p w14:paraId="5626666F" w14:textId="77777777" w:rsidR="00A71EEF" w:rsidRDefault="0081115D">
      <w:pPr>
        <w:pStyle w:val="a4"/>
        <w:numPr>
          <w:ilvl w:val="2"/>
          <w:numId w:val="701"/>
        </w:numPr>
        <w:tabs>
          <w:tab w:val="left" w:pos="1371"/>
        </w:tabs>
        <w:spacing w:line="446" w:lineRule="auto"/>
        <w:ind w:right="1553" w:firstLine="422"/>
        <w:rPr>
          <w:sz w:val="21"/>
        </w:rPr>
      </w:pPr>
      <w:r>
        <w:rPr>
          <w:color w:val="333333"/>
          <w:spacing w:val="-5"/>
          <w:sz w:val="21"/>
        </w:rPr>
        <w:t>消防电梯井、机房与相邻电梯井、机房之间应设置耐火极限不低于</w:t>
      </w:r>
      <w:r>
        <w:rPr>
          <w:color w:val="333333"/>
          <w:spacing w:val="-5"/>
          <w:sz w:val="21"/>
        </w:rPr>
        <w:t xml:space="preserve"> </w:t>
      </w:r>
      <w:r>
        <w:rPr>
          <w:color w:val="333333"/>
          <w:sz w:val="21"/>
        </w:rPr>
        <w:t xml:space="preserve">2.00h </w:t>
      </w:r>
      <w:r>
        <w:rPr>
          <w:color w:val="333333"/>
          <w:sz w:val="21"/>
        </w:rPr>
        <w:t>的防火隔</w:t>
      </w:r>
      <w:r>
        <w:rPr>
          <w:color w:val="333333"/>
          <w:spacing w:val="-3"/>
          <w:sz w:val="21"/>
        </w:rPr>
        <w:t>墙，隔墙上的门应采用甲级防火门。</w:t>
      </w:r>
      <w:r>
        <w:rPr>
          <w:color w:val="333333"/>
          <w:sz w:val="21"/>
        </w:rPr>
        <w:t xml:space="preserve"> </w:t>
      </w:r>
    </w:p>
    <w:p w14:paraId="1A348E36" w14:textId="77777777" w:rsidR="00A71EEF" w:rsidRDefault="0081115D">
      <w:pPr>
        <w:pStyle w:val="a4"/>
        <w:numPr>
          <w:ilvl w:val="2"/>
          <w:numId w:val="701"/>
        </w:numPr>
        <w:tabs>
          <w:tab w:val="left" w:pos="1370"/>
        </w:tabs>
        <w:spacing w:line="446" w:lineRule="auto"/>
        <w:ind w:right="1498" w:firstLine="422"/>
        <w:rPr>
          <w:sz w:val="21"/>
        </w:rPr>
      </w:pPr>
      <w:r>
        <w:rPr>
          <w:color w:val="333333"/>
          <w:spacing w:val="-5"/>
          <w:sz w:val="21"/>
        </w:rPr>
        <w:t>消防电梯的井底应设置排水设施，排水井的容量不应小于</w:t>
      </w:r>
      <w:r>
        <w:rPr>
          <w:color w:val="333333"/>
          <w:spacing w:val="-5"/>
          <w:sz w:val="21"/>
        </w:rPr>
        <w:t xml:space="preserve"> </w:t>
      </w:r>
      <w:r>
        <w:rPr>
          <w:color w:val="333333"/>
          <w:sz w:val="21"/>
        </w:rPr>
        <w:t>2m</w:t>
      </w:r>
      <w:r>
        <w:rPr>
          <w:color w:val="333333"/>
          <w:position w:val="11"/>
          <w:sz w:val="11"/>
        </w:rPr>
        <w:t>3</w:t>
      </w:r>
      <w:r>
        <w:rPr>
          <w:color w:val="333333"/>
          <w:spacing w:val="-3"/>
          <w:sz w:val="21"/>
        </w:rPr>
        <w:t>，排水泵的排水量不应</w:t>
      </w:r>
      <w:r>
        <w:rPr>
          <w:color w:val="333333"/>
          <w:spacing w:val="-20"/>
          <w:sz w:val="21"/>
        </w:rPr>
        <w:t>小于</w:t>
      </w:r>
      <w:r>
        <w:rPr>
          <w:color w:val="333333"/>
          <w:spacing w:val="-20"/>
          <w:sz w:val="21"/>
        </w:rPr>
        <w:t xml:space="preserve"> </w:t>
      </w:r>
      <w:r>
        <w:rPr>
          <w:color w:val="333333"/>
          <w:sz w:val="21"/>
        </w:rPr>
        <w:t>10L/s</w:t>
      </w:r>
      <w:r>
        <w:rPr>
          <w:color w:val="333333"/>
          <w:spacing w:val="-3"/>
          <w:sz w:val="21"/>
        </w:rPr>
        <w:t>。消防电梯间前室的门口宜设置挡水设施。</w:t>
      </w:r>
      <w:r>
        <w:rPr>
          <w:color w:val="333333"/>
          <w:sz w:val="21"/>
        </w:rPr>
        <w:t xml:space="preserve"> </w:t>
      </w:r>
    </w:p>
    <w:p w14:paraId="6D4077F2" w14:textId="77777777" w:rsidR="00A71EEF" w:rsidRDefault="00A71EEF">
      <w:pPr>
        <w:spacing w:line="446" w:lineRule="auto"/>
        <w:rPr>
          <w:sz w:val="21"/>
        </w:rPr>
        <w:sectPr w:rsidR="00A71EEF">
          <w:pgSz w:w="11910" w:h="16850"/>
          <w:pgMar w:top="1220" w:right="0" w:bottom="1420" w:left="1260" w:header="0" w:footer="1239" w:gutter="0"/>
          <w:cols w:space="720"/>
        </w:sectPr>
      </w:pPr>
    </w:p>
    <w:p w14:paraId="5D465FF2" w14:textId="77777777" w:rsidR="00A71EEF" w:rsidRDefault="0081115D">
      <w:pPr>
        <w:pStyle w:val="a4"/>
        <w:numPr>
          <w:ilvl w:val="2"/>
          <w:numId w:val="701"/>
        </w:numPr>
        <w:tabs>
          <w:tab w:val="left" w:pos="1424"/>
        </w:tabs>
        <w:spacing w:before="47" w:line="446" w:lineRule="auto"/>
        <w:ind w:left="838" w:right="6597" w:firstLine="2"/>
        <w:rPr>
          <w:sz w:val="21"/>
        </w:rPr>
      </w:pPr>
      <w:r>
        <w:rPr>
          <w:color w:val="333333"/>
          <w:spacing w:val="-3"/>
          <w:sz w:val="21"/>
        </w:rPr>
        <w:lastRenderedPageBreak/>
        <w:t>消防电梯应符合下列规定：</w:t>
      </w:r>
      <w:r>
        <w:rPr>
          <w:color w:val="333333"/>
          <w:spacing w:val="-3"/>
          <w:sz w:val="21"/>
        </w:rPr>
        <w:t xml:space="preserve"> </w:t>
      </w:r>
      <w:r>
        <w:rPr>
          <w:color w:val="333333"/>
          <w:spacing w:val="-3"/>
          <w:sz w:val="21"/>
        </w:rPr>
        <w:t>应能每层停靠；</w:t>
      </w:r>
      <w:r>
        <w:rPr>
          <w:color w:val="333333"/>
          <w:sz w:val="21"/>
        </w:rPr>
        <w:t xml:space="preserve"> </w:t>
      </w:r>
    </w:p>
    <w:p w14:paraId="6FDBA971" w14:textId="77777777" w:rsidR="00A71EEF" w:rsidRDefault="0081115D">
      <w:pPr>
        <w:pStyle w:val="a3"/>
        <w:spacing w:line="267" w:lineRule="exact"/>
        <w:ind w:left="838"/>
      </w:pPr>
      <w:r>
        <w:rPr>
          <w:color w:val="333333"/>
        </w:rPr>
        <w:t>电梯的载重量不应小于</w:t>
      </w:r>
      <w:r>
        <w:rPr>
          <w:color w:val="333333"/>
        </w:rPr>
        <w:t xml:space="preserve"> 800kg</w:t>
      </w:r>
      <w:r>
        <w:rPr>
          <w:color w:val="333333"/>
        </w:rPr>
        <w:t>；</w:t>
      </w:r>
      <w:r>
        <w:rPr>
          <w:color w:val="333333"/>
        </w:rPr>
        <w:t xml:space="preserve"> </w:t>
      </w:r>
    </w:p>
    <w:p w14:paraId="59004EC8" w14:textId="77777777" w:rsidR="00A71EEF" w:rsidRDefault="00A71EEF">
      <w:pPr>
        <w:pStyle w:val="a3"/>
        <w:spacing w:before="2"/>
        <w:rPr>
          <w:sz w:val="18"/>
        </w:rPr>
      </w:pPr>
    </w:p>
    <w:p w14:paraId="7BDB3CDF" w14:textId="77777777" w:rsidR="00A71EEF" w:rsidRDefault="0081115D">
      <w:pPr>
        <w:pStyle w:val="a3"/>
        <w:ind w:left="838"/>
      </w:pPr>
      <w:r>
        <w:rPr>
          <w:color w:val="333333"/>
        </w:rPr>
        <w:t>电梯从首层至顶层的运行时间不宜大于</w:t>
      </w:r>
      <w:r>
        <w:rPr>
          <w:color w:val="333333"/>
        </w:rPr>
        <w:t xml:space="preserve"> 60s</w:t>
      </w:r>
      <w:r>
        <w:rPr>
          <w:color w:val="333333"/>
        </w:rPr>
        <w:t>；</w:t>
      </w:r>
      <w:r>
        <w:rPr>
          <w:color w:val="333333"/>
        </w:rPr>
        <w:t xml:space="preserve"> </w:t>
      </w:r>
    </w:p>
    <w:p w14:paraId="24BB3EA2" w14:textId="77777777" w:rsidR="00A71EEF" w:rsidRDefault="00A71EEF">
      <w:pPr>
        <w:pStyle w:val="a3"/>
        <w:rPr>
          <w:sz w:val="18"/>
        </w:rPr>
      </w:pPr>
    </w:p>
    <w:p w14:paraId="3E5E9E00" w14:textId="77777777" w:rsidR="00A71EEF" w:rsidRDefault="0081115D">
      <w:pPr>
        <w:pStyle w:val="a3"/>
        <w:spacing w:line="446" w:lineRule="auto"/>
        <w:ind w:left="838" w:right="4026"/>
      </w:pPr>
      <w:r>
        <w:rPr>
          <w:color w:val="333333"/>
          <w:spacing w:val="-3"/>
        </w:rPr>
        <w:t>电梯的动力与控制电缆、电线、控制面板应采取防水措施；</w:t>
      </w:r>
      <w:r>
        <w:rPr>
          <w:color w:val="333333"/>
          <w:spacing w:val="-3"/>
        </w:rPr>
        <w:t xml:space="preserve">  </w:t>
      </w:r>
      <w:r>
        <w:rPr>
          <w:color w:val="333333"/>
          <w:spacing w:val="-3"/>
        </w:rPr>
        <w:t>在首层的消防电梯入口处应设置供消防队员专用的操作按钮；</w:t>
      </w:r>
      <w:r>
        <w:rPr>
          <w:color w:val="333333"/>
          <w:spacing w:val="-3"/>
        </w:rPr>
        <w:t xml:space="preserve"> </w:t>
      </w:r>
      <w:r>
        <w:rPr>
          <w:color w:val="333333"/>
          <w:spacing w:val="-3"/>
        </w:rPr>
        <w:t>电梯轿厢的内部装修应采用不燃材料；</w:t>
      </w:r>
      <w:r>
        <w:rPr>
          <w:color w:val="333333"/>
        </w:rPr>
        <w:t xml:space="preserve"> </w:t>
      </w:r>
    </w:p>
    <w:p w14:paraId="4EE034F9" w14:textId="77777777" w:rsidR="00A71EEF" w:rsidRDefault="0081115D">
      <w:pPr>
        <w:pStyle w:val="a3"/>
        <w:spacing w:line="446" w:lineRule="auto"/>
        <w:ind w:left="840" w:right="5917" w:hanging="3"/>
        <w:rPr>
          <w:b/>
        </w:rPr>
      </w:pPr>
      <w:r>
        <w:rPr>
          <w:color w:val="333333"/>
        </w:rPr>
        <w:t>电梯轿厢内部应设置专用消防对讲电话。</w:t>
      </w:r>
      <w:r>
        <w:rPr>
          <w:b/>
        </w:rPr>
        <w:t xml:space="preserve">7.4 </w:t>
      </w:r>
      <w:r>
        <w:t>直升机停机坪</w:t>
      </w:r>
      <w:r>
        <w:rPr>
          <w:b/>
          <w:w w:val="99"/>
        </w:rPr>
        <w:t xml:space="preserve"> </w:t>
      </w:r>
    </w:p>
    <w:p w14:paraId="0A5D1F88" w14:textId="77777777" w:rsidR="00A71EEF" w:rsidRDefault="0081115D">
      <w:pPr>
        <w:pStyle w:val="a4"/>
        <w:numPr>
          <w:ilvl w:val="2"/>
          <w:numId w:val="700"/>
        </w:numPr>
        <w:tabs>
          <w:tab w:val="left" w:pos="1370"/>
        </w:tabs>
        <w:spacing w:line="446" w:lineRule="auto"/>
        <w:ind w:right="1448" w:firstLine="422"/>
        <w:rPr>
          <w:sz w:val="21"/>
        </w:rPr>
      </w:pPr>
      <w:r>
        <w:rPr>
          <w:color w:val="333333"/>
          <w:spacing w:val="-10"/>
          <w:sz w:val="21"/>
        </w:rPr>
        <w:t>建筑高度大于</w:t>
      </w:r>
      <w:r>
        <w:rPr>
          <w:color w:val="333333"/>
          <w:spacing w:val="-10"/>
          <w:sz w:val="21"/>
        </w:rPr>
        <w:t xml:space="preserve"> </w:t>
      </w:r>
      <w:r>
        <w:rPr>
          <w:color w:val="333333"/>
          <w:sz w:val="21"/>
        </w:rPr>
        <w:t>l00m</w:t>
      </w:r>
      <w:r>
        <w:rPr>
          <w:color w:val="333333"/>
          <w:spacing w:val="-8"/>
          <w:sz w:val="21"/>
        </w:rPr>
        <w:t xml:space="preserve"> </w:t>
      </w:r>
      <w:r>
        <w:rPr>
          <w:color w:val="333333"/>
          <w:spacing w:val="-8"/>
          <w:sz w:val="21"/>
        </w:rPr>
        <w:t>且标准层建筑面积大于</w:t>
      </w:r>
      <w:r>
        <w:rPr>
          <w:color w:val="333333"/>
          <w:spacing w:val="-8"/>
          <w:sz w:val="21"/>
        </w:rPr>
        <w:t xml:space="preserve"> </w:t>
      </w:r>
      <w:r>
        <w:rPr>
          <w:color w:val="333333"/>
          <w:sz w:val="21"/>
        </w:rPr>
        <w:t>2000m</w:t>
      </w:r>
      <w:r>
        <w:rPr>
          <w:color w:val="333333"/>
          <w:position w:val="11"/>
          <w:sz w:val="11"/>
        </w:rPr>
        <w:t>2</w:t>
      </w:r>
      <w:r>
        <w:rPr>
          <w:color w:val="333333"/>
          <w:sz w:val="11"/>
        </w:rPr>
        <w:t xml:space="preserve">   </w:t>
      </w:r>
      <w:r>
        <w:rPr>
          <w:color w:val="333333"/>
          <w:spacing w:val="-3"/>
          <w:sz w:val="21"/>
        </w:rPr>
        <w:t>的公共建筑，宜在屋顶设置直升机停机坪或供直升机救助的设施。</w:t>
      </w:r>
      <w:r>
        <w:rPr>
          <w:color w:val="333333"/>
          <w:sz w:val="21"/>
        </w:rPr>
        <w:t xml:space="preserve"> </w:t>
      </w:r>
    </w:p>
    <w:p w14:paraId="318F6D8A" w14:textId="77777777" w:rsidR="00A71EEF" w:rsidRDefault="0081115D">
      <w:pPr>
        <w:pStyle w:val="a4"/>
        <w:numPr>
          <w:ilvl w:val="2"/>
          <w:numId w:val="700"/>
        </w:numPr>
        <w:tabs>
          <w:tab w:val="left" w:pos="1370"/>
        </w:tabs>
        <w:spacing w:line="267" w:lineRule="exact"/>
        <w:ind w:left="1369" w:hanging="530"/>
        <w:rPr>
          <w:sz w:val="21"/>
        </w:rPr>
      </w:pPr>
      <w:r>
        <w:rPr>
          <w:color w:val="333333"/>
          <w:spacing w:val="-3"/>
          <w:sz w:val="21"/>
        </w:rPr>
        <w:t>直升机停机坪应符合下列规定：</w:t>
      </w:r>
      <w:r>
        <w:rPr>
          <w:color w:val="333333"/>
          <w:sz w:val="21"/>
        </w:rPr>
        <w:t xml:space="preserve"> </w:t>
      </w:r>
    </w:p>
    <w:p w14:paraId="666A0565" w14:textId="77777777" w:rsidR="00A71EEF" w:rsidRDefault="00A71EEF">
      <w:pPr>
        <w:pStyle w:val="a3"/>
        <w:spacing w:before="3"/>
        <w:rPr>
          <w:sz w:val="17"/>
        </w:rPr>
      </w:pPr>
    </w:p>
    <w:p w14:paraId="0C5DF1B9" w14:textId="77777777" w:rsidR="00A71EEF" w:rsidRDefault="0081115D">
      <w:pPr>
        <w:pStyle w:val="a3"/>
        <w:spacing w:before="1"/>
        <w:ind w:left="838"/>
      </w:pPr>
      <w:r>
        <w:rPr>
          <w:color w:val="333333"/>
        </w:rPr>
        <w:t>设置在屋顶平台上时，距离设备机房、电梯机房、水箱间、共用天线等突出物不应小于</w:t>
      </w:r>
    </w:p>
    <w:p w14:paraId="0B0F0D9E" w14:textId="77777777" w:rsidR="00A71EEF" w:rsidRDefault="00A71EEF">
      <w:pPr>
        <w:pStyle w:val="a3"/>
        <w:spacing w:before="12"/>
        <w:rPr>
          <w:sz w:val="17"/>
        </w:rPr>
      </w:pPr>
    </w:p>
    <w:p w14:paraId="5B8A1DD8" w14:textId="77777777" w:rsidR="00A71EEF" w:rsidRDefault="0081115D">
      <w:pPr>
        <w:pStyle w:val="a3"/>
        <w:ind w:left="418"/>
      </w:pPr>
      <w:r>
        <w:rPr>
          <w:color w:val="333333"/>
        </w:rPr>
        <w:t>5m</w:t>
      </w:r>
      <w:r>
        <w:rPr>
          <w:color w:val="333333"/>
        </w:rPr>
        <w:t>；</w:t>
      </w:r>
      <w:r>
        <w:rPr>
          <w:color w:val="333333"/>
        </w:rPr>
        <w:t xml:space="preserve"> </w:t>
      </w:r>
    </w:p>
    <w:p w14:paraId="5CA7D131" w14:textId="77777777" w:rsidR="00A71EEF" w:rsidRDefault="00A71EEF">
      <w:pPr>
        <w:pStyle w:val="a3"/>
        <w:rPr>
          <w:sz w:val="18"/>
        </w:rPr>
      </w:pPr>
    </w:p>
    <w:p w14:paraId="2D1129F5" w14:textId="77777777" w:rsidR="00A71EEF" w:rsidRDefault="0081115D">
      <w:pPr>
        <w:pStyle w:val="a3"/>
        <w:ind w:left="838"/>
      </w:pPr>
      <w:r>
        <w:rPr>
          <w:color w:val="333333"/>
        </w:rPr>
        <w:t>建筑通向停机坪的出口不应少于</w:t>
      </w:r>
      <w:r>
        <w:rPr>
          <w:color w:val="333333"/>
        </w:rPr>
        <w:t xml:space="preserve"> 2 </w:t>
      </w:r>
      <w:r>
        <w:rPr>
          <w:color w:val="333333"/>
        </w:rPr>
        <w:t>个，每个出口的宽度不宜小于</w:t>
      </w:r>
      <w:r>
        <w:rPr>
          <w:color w:val="333333"/>
        </w:rPr>
        <w:t xml:space="preserve"> 0.90m</w:t>
      </w:r>
      <w:r>
        <w:rPr>
          <w:color w:val="333333"/>
        </w:rPr>
        <w:t>；</w:t>
      </w:r>
      <w:r>
        <w:rPr>
          <w:color w:val="333333"/>
        </w:rPr>
        <w:t xml:space="preserve"> </w:t>
      </w:r>
    </w:p>
    <w:p w14:paraId="068357BA" w14:textId="77777777" w:rsidR="00A71EEF" w:rsidRDefault="00A71EEF">
      <w:pPr>
        <w:pStyle w:val="a3"/>
        <w:spacing w:before="2"/>
        <w:rPr>
          <w:sz w:val="18"/>
        </w:rPr>
      </w:pPr>
    </w:p>
    <w:p w14:paraId="77C92520" w14:textId="77777777" w:rsidR="00A71EEF" w:rsidRDefault="0081115D">
      <w:pPr>
        <w:pStyle w:val="a3"/>
        <w:spacing w:line="446" w:lineRule="auto"/>
        <w:ind w:left="838" w:right="5497"/>
      </w:pPr>
      <w:r>
        <w:rPr>
          <w:color w:val="333333"/>
        </w:rPr>
        <w:t>四周应设置航空障碍灯，并应设置应急照明；</w:t>
      </w:r>
      <w:r>
        <w:rPr>
          <w:color w:val="333333"/>
        </w:rPr>
        <w:t xml:space="preserve"> </w:t>
      </w:r>
      <w:r>
        <w:rPr>
          <w:color w:val="333333"/>
        </w:rPr>
        <w:t>在停机坪的适当位置应设置消火栓；</w:t>
      </w:r>
      <w:r>
        <w:rPr>
          <w:color w:val="333333"/>
        </w:rPr>
        <w:t xml:space="preserve"> </w:t>
      </w:r>
    </w:p>
    <w:p w14:paraId="7AA2436B" w14:textId="77777777" w:rsidR="00A71EEF" w:rsidRDefault="0081115D">
      <w:pPr>
        <w:pStyle w:val="a3"/>
        <w:spacing w:line="267" w:lineRule="exact"/>
        <w:ind w:left="838"/>
      </w:pPr>
      <w:r>
        <w:rPr>
          <w:color w:val="333333"/>
        </w:rPr>
        <w:t>其他要求应符合国家现行航空管理有关标准的规定。</w:t>
      </w:r>
      <w:r>
        <w:rPr>
          <w:color w:val="333333"/>
        </w:rPr>
        <w:t xml:space="preserve"> </w:t>
      </w:r>
    </w:p>
    <w:p w14:paraId="3E015762" w14:textId="77777777" w:rsidR="00A71EEF" w:rsidRDefault="00A71EEF">
      <w:pPr>
        <w:pStyle w:val="a3"/>
        <w:spacing w:before="10"/>
        <w:rPr>
          <w:sz w:val="15"/>
        </w:rPr>
      </w:pPr>
    </w:p>
    <w:p w14:paraId="548219A6" w14:textId="77777777" w:rsidR="00A71EEF" w:rsidRDefault="0081115D">
      <w:pPr>
        <w:pStyle w:val="4"/>
      </w:pPr>
      <w:r>
        <w:t xml:space="preserve">8 </w:t>
      </w:r>
      <w:r>
        <w:t>消防设施的设置</w:t>
      </w:r>
      <w:r>
        <w:rPr>
          <w:w w:val="99"/>
        </w:rPr>
        <w:t xml:space="preserve"> </w:t>
      </w:r>
    </w:p>
    <w:p w14:paraId="1E1EE759" w14:textId="77777777" w:rsidR="00A71EEF" w:rsidRDefault="00A71EEF">
      <w:pPr>
        <w:pStyle w:val="a3"/>
        <w:spacing w:before="4"/>
        <w:rPr>
          <w:b/>
          <w:sz w:val="17"/>
        </w:rPr>
      </w:pPr>
    </w:p>
    <w:p w14:paraId="229E0658" w14:textId="77777777" w:rsidR="00A71EEF" w:rsidRDefault="0081115D">
      <w:pPr>
        <w:pStyle w:val="a4"/>
        <w:numPr>
          <w:ilvl w:val="1"/>
          <w:numId w:val="699"/>
        </w:numPr>
        <w:tabs>
          <w:tab w:val="left" w:pos="1159"/>
        </w:tabs>
        <w:spacing w:before="1"/>
        <w:ind w:hanging="319"/>
        <w:rPr>
          <w:b/>
          <w:sz w:val="21"/>
        </w:rPr>
      </w:pPr>
      <w:r>
        <w:rPr>
          <w:spacing w:val="-3"/>
          <w:sz w:val="21"/>
        </w:rPr>
        <w:t>一般规定</w:t>
      </w:r>
      <w:r>
        <w:rPr>
          <w:b/>
          <w:w w:val="99"/>
          <w:sz w:val="21"/>
        </w:rPr>
        <w:t xml:space="preserve"> </w:t>
      </w:r>
    </w:p>
    <w:p w14:paraId="23661C9C" w14:textId="77777777" w:rsidR="00A71EEF" w:rsidRDefault="00A71EEF">
      <w:pPr>
        <w:pStyle w:val="a3"/>
        <w:spacing w:before="12"/>
        <w:rPr>
          <w:b/>
          <w:sz w:val="17"/>
        </w:rPr>
      </w:pPr>
    </w:p>
    <w:p w14:paraId="1F6460D2" w14:textId="77777777" w:rsidR="00A71EEF" w:rsidRDefault="0081115D">
      <w:pPr>
        <w:pStyle w:val="a4"/>
        <w:numPr>
          <w:ilvl w:val="2"/>
          <w:numId w:val="699"/>
        </w:numPr>
        <w:tabs>
          <w:tab w:val="left" w:pos="1370"/>
        </w:tabs>
        <w:spacing w:line="446" w:lineRule="auto"/>
        <w:ind w:right="1604" w:firstLine="422"/>
        <w:rPr>
          <w:sz w:val="21"/>
        </w:rPr>
      </w:pPr>
      <w:r>
        <w:rPr>
          <w:color w:val="333333"/>
          <w:spacing w:val="-3"/>
          <w:sz w:val="21"/>
        </w:rPr>
        <w:t>消防给水和消防设施的设置应根据建筑的用途及其重要性、火灾危险性、火灾特性和环境条件等因素综合确定。</w:t>
      </w:r>
      <w:r>
        <w:rPr>
          <w:color w:val="333333"/>
          <w:sz w:val="21"/>
        </w:rPr>
        <w:t xml:space="preserve"> </w:t>
      </w:r>
    </w:p>
    <w:p w14:paraId="68E30B17" w14:textId="77777777" w:rsidR="00A71EEF" w:rsidRDefault="0081115D">
      <w:pPr>
        <w:pStyle w:val="a4"/>
        <w:numPr>
          <w:ilvl w:val="2"/>
          <w:numId w:val="699"/>
        </w:numPr>
        <w:tabs>
          <w:tab w:val="left" w:pos="1370"/>
        </w:tabs>
        <w:spacing w:line="446" w:lineRule="auto"/>
        <w:ind w:right="1604" w:firstLine="422"/>
        <w:rPr>
          <w:sz w:val="21"/>
        </w:rPr>
      </w:pPr>
      <w:r>
        <w:rPr>
          <w:color w:val="333333"/>
          <w:spacing w:val="-2"/>
          <w:sz w:val="21"/>
        </w:rPr>
        <w:t>城镇</w:t>
      </w:r>
      <w:r>
        <w:rPr>
          <w:color w:val="333333"/>
          <w:spacing w:val="-3"/>
          <w:sz w:val="21"/>
        </w:rPr>
        <w:t>（包括居住区、商业区、开发区、工业区等）应沿可通行消防车的街道设置市政消火栓系统。</w:t>
      </w:r>
      <w:r>
        <w:rPr>
          <w:color w:val="333333"/>
          <w:sz w:val="21"/>
        </w:rPr>
        <w:t xml:space="preserve"> </w:t>
      </w:r>
    </w:p>
    <w:p w14:paraId="692D5109" w14:textId="77777777" w:rsidR="00A71EEF" w:rsidRDefault="0081115D">
      <w:pPr>
        <w:pStyle w:val="a3"/>
        <w:spacing w:line="446" w:lineRule="auto"/>
        <w:ind w:left="838" w:right="2977"/>
      </w:pPr>
      <w:r>
        <w:rPr>
          <w:color w:val="333333"/>
          <w:spacing w:val="-3"/>
        </w:rPr>
        <w:t>民用建筑、厂房、仓库、储罐（</w:t>
      </w:r>
      <w:r>
        <w:rPr>
          <w:color w:val="333333"/>
        </w:rPr>
        <w:t>区</w:t>
      </w:r>
      <w:r>
        <w:rPr>
          <w:color w:val="333333"/>
          <w:spacing w:val="-3"/>
        </w:rPr>
        <w:t>）和堆场周围应设置室外消火栓系统。用于消防救援和消防车停靠的屋面上，应设置室外消火栓系统。</w:t>
      </w:r>
      <w:r>
        <w:rPr>
          <w:color w:val="333333"/>
        </w:rPr>
        <w:t xml:space="preserve"> </w:t>
      </w:r>
    </w:p>
    <w:p w14:paraId="0A8AC4C1" w14:textId="77777777" w:rsidR="00A71EEF" w:rsidRDefault="0081115D">
      <w:pPr>
        <w:pStyle w:val="a3"/>
        <w:spacing w:line="446" w:lineRule="auto"/>
        <w:ind w:left="418" w:right="1400" w:firstLine="419"/>
      </w:pPr>
      <w:r>
        <w:rPr>
          <w:color w:val="333333"/>
        </w:rPr>
        <w:t>注：耐火等级不低于二级且建筑体积不大于</w:t>
      </w:r>
      <w:r>
        <w:rPr>
          <w:color w:val="333333"/>
        </w:rPr>
        <w:t xml:space="preserve"> 3000m</w:t>
      </w:r>
      <w:r>
        <w:rPr>
          <w:color w:val="333333"/>
          <w:position w:val="11"/>
          <w:sz w:val="11"/>
        </w:rPr>
        <w:t xml:space="preserve">3 </w:t>
      </w:r>
      <w:r>
        <w:rPr>
          <w:color w:val="333333"/>
        </w:rPr>
        <w:t>的戊类厂房，居住区人数不超过</w:t>
      </w:r>
      <w:r>
        <w:rPr>
          <w:color w:val="333333"/>
        </w:rPr>
        <w:t xml:space="preserve"> 500 </w:t>
      </w:r>
      <w:r>
        <w:rPr>
          <w:color w:val="333333"/>
        </w:rPr>
        <w:t>人且建筑层数不超过两层的居住区，可不设置室外消火栓系统。</w:t>
      </w:r>
      <w:r>
        <w:rPr>
          <w:color w:val="333333"/>
        </w:rPr>
        <w:t xml:space="preserve"> </w:t>
      </w:r>
    </w:p>
    <w:p w14:paraId="08AAC49B" w14:textId="77777777" w:rsidR="00A71EEF" w:rsidRDefault="00A71EEF">
      <w:pPr>
        <w:spacing w:line="446" w:lineRule="auto"/>
        <w:sectPr w:rsidR="00A71EEF">
          <w:pgSz w:w="11910" w:h="16850"/>
          <w:pgMar w:top="1220" w:right="0" w:bottom="1420" w:left="1260" w:header="0" w:footer="1239" w:gutter="0"/>
          <w:cols w:space="720"/>
        </w:sectPr>
      </w:pPr>
    </w:p>
    <w:p w14:paraId="1A453365" w14:textId="77777777" w:rsidR="00A71EEF" w:rsidRDefault="0081115D">
      <w:pPr>
        <w:pStyle w:val="a4"/>
        <w:numPr>
          <w:ilvl w:val="2"/>
          <w:numId w:val="699"/>
        </w:numPr>
        <w:tabs>
          <w:tab w:val="left" w:pos="1370"/>
        </w:tabs>
        <w:spacing w:before="47" w:line="446" w:lineRule="auto"/>
        <w:ind w:right="1604" w:firstLine="422"/>
        <w:rPr>
          <w:sz w:val="21"/>
        </w:rPr>
      </w:pPr>
      <w:r>
        <w:rPr>
          <w:color w:val="333333"/>
          <w:spacing w:val="-3"/>
          <w:sz w:val="21"/>
        </w:rPr>
        <w:lastRenderedPageBreak/>
        <w:t>自动喷水灭火系统、水喷雾灭火系统、泡沫灭火系统和固定消防炮灭火系统等系统以及下列建筑的室内消火栓给水系统应设置消防水泵接合器：</w:t>
      </w:r>
      <w:r>
        <w:rPr>
          <w:color w:val="333333"/>
          <w:sz w:val="21"/>
        </w:rPr>
        <w:t xml:space="preserve"> </w:t>
      </w:r>
    </w:p>
    <w:p w14:paraId="6BD16F4C" w14:textId="77777777" w:rsidR="00A71EEF" w:rsidRDefault="0081115D">
      <w:pPr>
        <w:pStyle w:val="a3"/>
        <w:spacing w:line="446" w:lineRule="auto"/>
        <w:ind w:left="838" w:right="7338"/>
      </w:pPr>
      <w:r>
        <w:rPr>
          <w:color w:val="333333"/>
          <w:spacing w:val="3"/>
        </w:rPr>
        <w:t>超过</w:t>
      </w:r>
      <w:r>
        <w:rPr>
          <w:color w:val="333333"/>
          <w:spacing w:val="3"/>
        </w:rPr>
        <w:t xml:space="preserve"> </w:t>
      </w:r>
      <w:r>
        <w:rPr>
          <w:color w:val="333333"/>
          <w:spacing w:val="-3"/>
        </w:rPr>
        <w:t>5</w:t>
      </w:r>
      <w:r>
        <w:rPr>
          <w:color w:val="333333"/>
          <w:spacing w:val="4"/>
        </w:rPr>
        <w:t xml:space="preserve"> </w:t>
      </w:r>
      <w:r>
        <w:rPr>
          <w:color w:val="333333"/>
          <w:spacing w:val="4"/>
        </w:rPr>
        <w:t>层的公共建筑；</w:t>
      </w:r>
      <w:r>
        <w:rPr>
          <w:color w:val="333333"/>
          <w:spacing w:val="4"/>
        </w:rPr>
        <w:t xml:space="preserve"> </w:t>
      </w:r>
      <w:r>
        <w:rPr>
          <w:color w:val="333333"/>
          <w:spacing w:val="-17"/>
        </w:rPr>
        <w:t>超过</w:t>
      </w:r>
      <w:r>
        <w:rPr>
          <w:color w:val="333333"/>
          <w:spacing w:val="-17"/>
        </w:rPr>
        <w:t xml:space="preserve"> </w:t>
      </w:r>
      <w:r>
        <w:rPr>
          <w:color w:val="333333"/>
          <w:spacing w:val="-3"/>
        </w:rPr>
        <w:t xml:space="preserve">4 </w:t>
      </w:r>
      <w:r>
        <w:rPr>
          <w:color w:val="333333"/>
          <w:spacing w:val="-3"/>
        </w:rPr>
        <w:t>层的厂房或仓库；</w:t>
      </w:r>
      <w:r>
        <w:rPr>
          <w:color w:val="333333"/>
          <w:spacing w:val="-3"/>
        </w:rPr>
        <w:t xml:space="preserve"> </w:t>
      </w:r>
      <w:r>
        <w:rPr>
          <w:color w:val="333333"/>
          <w:spacing w:val="-3"/>
        </w:rPr>
        <w:t>其他高层建筑；</w:t>
      </w:r>
      <w:r>
        <w:rPr>
          <w:color w:val="333333"/>
        </w:rPr>
        <w:t xml:space="preserve"> </w:t>
      </w:r>
    </w:p>
    <w:p w14:paraId="5CA7ACFF" w14:textId="77777777" w:rsidR="00A71EEF" w:rsidRDefault="0081115D">
      <w:pPr>
        <w:pStyle w:val="a3"/>
        <w:spacing w:line="268" w:lineRule="exact"/>
        <w:ind w:left="838"/>
      </w:pPr>
      <w:r>
        <w:rPr>
          <w:color w:val="333333"/>
        </w:rPr>
        <w:t>超过</w:t>
      </w:r>
      <w:r>
        <w:rPr>
          <w:color w:val="333333"/>
        </w:rPr>
        <w:t xml:space="preserve"> 2 </w:t>
      </w:r>
      <w:r>
        <w:rPr>
          <w:color w:val="333333"/>
        </w:rPr>
        <w:t>层或建筑面积大于</w:t>
      </w:r>
      <w:r>
        <w:rPr>
          <w:color w:val="333333"/>
        </w:rPr>
        <w:t xml:space="preserve"> 10000m</w:t>
      </w:r>
      <w:r>
        <w:rPr>
          <w:color w:val="333333"/>
          <w:position w:val="11"/>
          <w:sz w:val="11"/>
        </w:rPr>
        <w:t xml:space="preserve">2 </w:t>
      </w:r>
      <w:r>
        <w:rPr>
          <w:color w:val="333333"/>
        </w:rPr>
        <w:t>的地下建筑</w:t>
      </w:r>
      <w:r>
        <w:rPr>
          <w:color w:val="333333"/>
        </w:rPr>
        <w:t>(</w:t>
      </w:r>
      <w:r>
        <w:rPr>
          <w:color w:val="333333"/>
        </w:rPr>
        <w:t>地下室</w:t>
      </w:r>
      <w:r>
        <w:rPr>
          <w:color w:val="333333"/>
        </w:rPr>
        <w:t>)</w:t>
      </w:r>
      <w:r>
        <w:rPr>
          <w:color w:val="333333"/>
        </w:rPr>
        <w:t>。</w:t>
      </w:r>
      <w:r>
        <w:rPr>
          <w:color w:val="333333"/>
        </w:rPr>
        <w:t xml:space="preserve"> </w:t>
      </w:r>
    </w:p>
    <w:p w14:paraId="27A48C2E" w14:textId="77777777" w:rsidR="00A71EEF" w:rsidRDefault="00A71EEF">
      <w:pPr>
        <w:pStyle w:val="a3"/>
        <w:rPr>
          <w:sz w:val="18"/>
        </w:rPr>
      </w:pPr>
    </w:p>
    <w:p w14:paraId="6EA27682" w14:textId="77777777" w:rsidR="00A71EEF" w:rsidRDefault="0081115D">
      <w:pPr>
        <w:pStyle w:val="a4"/>
        <w:numPr>
          <w:ilvl w:val="2"/>
          <w:numId w:val="699"/>
        </w:numPr>
        <w:tabs>
          <w:tab w:val="left" w:pos="1371"/>
        </w:tabs>
        <w:spacing w:line="436" w:lineRule="auto"/>
        <w:ind w:right="1604" w:firstLine="422"/>
        <w:rPr>
          <w:sz w:val="21"/>
        </w:rPr>
      </w:pPr>
      <w:r>
        <w:rPr>
          <w:color w:val="333333"/>
          <w:spacing w:val="-3"/>
          <w:sz w:val="21"/>
        </w:rPr>
        <w:t>甲、乙、丙类液体储罐（</w:t>
      </w:r>
      <w:r>
        <w:rPr>
          <w:color w:val="333333"/>
          <w:sz w:val="21"/>
        </w:rPr>
        <w:t>区</w:t>
      </w:r>
      <w:r>
        <w:rPr>
          <w:color w:val="333333"/>
          <w:spacing w:val="-3"/>
          <w:sz w:val="21"/>
        </w:rPr>
        <w:t>）内的储罐应设置移动水枪或固定水冷却设施。高度大</w:t>
      </w:r>
      <w:r>
        <w:rPr>
          <w:color w:val="333333"/>
          <w:spacing w:val="-27"/>
          <w:sz w:val="21"/>
        </w:rPr>
        <w:t>于</w:t>
      </w:r>
      <w:r>
        <w:rPr>
          <w:color w:val="333333"/>
          <w:spacing w:val="-27"/>
          <w:sz w:val="21"/>
        </w:rPr>
        <w:t xml:space="preserve"> </w:t>
      </w:r>
      <w:r>
        <w:rPr>
          <w:color w:val="333333"/>
          <w:sz w:val="21"/>
        </w:rPr>
        <w:t>15m</w:t>
      </w:r>
      <w:r>
        <w:rPr>
          <w:color w:val="333333"/>
          <w:spacing w:val="-14"/>
          <w:sz w:val="21"/>
        </w:rPr>
        <w:t xml:space="preserve"> </w:t>
      </w:r>
      <w:r>
        <w:rPr>
          <w:color w:val="333333"/>
          <w:spacing w:val="-14"/>
          <w:sz w:val="21"/>
        </w:rPr>
        <w:t>或单罐容量大于</w:t>
      </w:r>
      <w:r>
        <w:rPr>
          <w:color w:val="333333"/>
          <w:spacing w:val="-14"/>
          <w:sz w:val="21"/>
        </w:rPr>
        <w:t xml:space="preserve"> </w:t>
      </w:r>
      <w:r>
        <w:rPr>
          <w:color w:val="333333"/>
          <w:sz w:val="21"/>
        </w:rPr>
        <w:t>2000m</w:t>
      </w:r>
      <w:r>
        <w:rPr>
          <w:color w:val="333333"/>
          <w:position w:val="11"/>
          <w:sz w:val="11"/>
        </w:rPr>
        <w:t>3</w:t>
      </w:r>
      <w:r>
        <w:rPr>
          <w:color w:val="333333"/>
          <w:spacing w:val="-28"/>
          <w:position w:val="11"/>
          <w:sz w:val="11"/>
        </w:rPr>
        <w:t xml:space="preserve"> </w:t>
      </w:r>
      <w:r>
        <w:rPr>
          <w:color w:val="333333"/>
          <w:spacing w:val="-3"/>
          <w:sz w:val="21"/>
        </w:rPr>
        <w:t>的甲、乙、丙类液体地上储罐，宜采用固定水冷却设施。</w:t>
      </w:r>
      <w:r>
        <w:rPr>
          <w:color w:val="333333"/>
          <w:sz w:val="21"/>
        </w:rPr>
        <w:t xml:space="preserve"> </w:t>
      </w:r>
    </w:p>
    <w:p w14:paraId="69A94319" w14:textId="77777777" w:rsidR="00A71EEF" w:rsidRDefault="00A71EEF">
      <w:pPr>
        <w:pStyle w:val="a3"/>
        <w:rPr>
          <w:sz w:val="20"/>
        </w:rPr>
      </w:pPr>
    </w:p>
    <w:p w14:paraId="1D800940" w14:textId="77777777" w:rsidR="00A71EEF" w:rsidRDefault="00A71EEF">
      <w:pPr>
        <w:pStyle w:val="a3"/>
        <w:rPr>
          <w:sz w:val="20"/>
        </w:rPr>
      </w:pPr>
    </w:p>
    <w:p w14:paraId="53EF96B1" w14:textId="77777777" w:rsidR="00A71EEF" w:rsidRDefault="00A71EEF">
      <w:pPr>
        <w:pStyle w:val="a3"/>
        <w:rPr>
          <w:sz w:val="20"/>
        </w:rPr>
      </w:pPr>
    </w:p>
    <w:p w14:paraId="2974F837" w14:textId="77777777" w:rsidR="00A71EEF" w:rsidRDefault="00A71EEF">
      <w:pPr>
        <w:pStyle w:val="a3"/>
        <w:spacing w:before="1"/>
        <w:rPr>
          <w:sz w:val="18"/>
        </w:rPr>
      </w:pPr>
    </w:p>
    <w:p w14:paraId="07632FC0" w14:textId="77777777" w:rsidR="00A71EEF" w:rsidRDefault="0081115D">
      <w:pPr>
        <w:pStyle w:val="a4"/>
        <w:numPr>
          <w:ilvl w:val="2"/>
          <w:numId w:val="699"/>
        </w:numPr>
        <w:tabs>
          <w:tab w:val="left" w:pos="1371"/>
        </w:tabs>
        <w:spacing w:line="436" w:lineRule="auto"/>
        <w:ind w:right="1544" w:firstLine="422"/>
        <w:jc w:val="both"/>
        <w:rPr>
          <w:sz w:val="21"/>
        </w:rPr>
      </w:pPr>
      <w:r>
        <w:rPr>
          <w:color w:val="333333"/>
          <w:spacing w:val="-11"/>
          <w:sz w:val="21"/>
        </w:rPr>
        <w:t>总容积大于</w:t>
      </w:r>
      <w:r>
        <w:rPr>
          <w:color w:val="333333"/>
          <w:spacing w:val="-11"/>
          <w:sz w:val="21"/>
        </w:rPr>
        <w:t xml:space="preserve"> </w:t>
      </w:r>
      <w:r>
        <w:rPr>
          <w:color w:val="333333"/>
          <w:sz w:val="21"/>
        </w:rPr>
        <w:t>50m</w:t>
      </w:r>
      <w:r>
        <w:rPr>
          <w:color w:val="333333"/>
          <w:position w:val="11"/>
          <w:sz w:val="11"/>
        </w:rPr>
        <w:t>3</w:t>
      </w:r>
      <w:r>
        <w:rPr>
          <w:color w:val="333333"/>
          <w:spacing w:val="-25"/>
          <w:position w:val="11"/>
          <w:sz w:val="11"/>
        </w:rPr>
        <w:t xml:space="preserve"> </w:t>
      </w:r>
      <w:r>
        <w:rPr>
          <w:color w:val="333333"/>
          <w:spacing w:val="-9"/>
          <w:sz w:val="21"/>
        </w:rPr>
        <w:t>或单罐容积大于</w:t>
      </w:r>
      <w:r>
        <w:rPr>
          <w:color w:val="333333"/>
          <w:spacing w:val="-9"/>
          <w:sz w:val="21"/>
        </w:rPr>
        <w:t xml:space="preserve"> </w:t>
      </w:r>
      <w:r>
        <w:rPr>
          <w:color w:val="333333"/>
          <w:sz w:val="21"/>
        </w:rPr>
        <w:t>20m</w:t>
      </w:r>
      <w:r>
        <w:rPr>
          <w:color w:val="333333"/>
          <w:position w:val="11"/>
          <w:sz w:val="11"/>
        </w:rPr>
        <w:t>3</w:t>
      </w:r>
      <w:r>
        <w:rPr>
          <w:color w:val="333333"/>
          <w:spacing w:val="-25"/>
          <w:position w:val="11"/>
          <w:sz w:val="11"/>
        </w:rPr>
        <w:t xml:space="preserve"> </w:t>
      </w:r>
      <w:r>
        <w:rPr>
          <w:color w:val="333333"/>
          <w:spacing w:val="-3"/>
          <w:sz w:val="21"/>
        </w:rPr>
        <w:t>的液化石油气储</w:t>
      </w:r>
      <w:r>
        <w:rPr>
          <w:color w:val="333333"/>
          <w:spacing w:val="-3"/>
          <w:sz w:val="21"/>
        </w:rPr>
        <w:t>罐</w:t>
      </w:r>
      <w:r>
        <w:rPr>
          <w:color w:val="333333"/>
          <w:sz w:val="21"/>
        </w:rPr>
        <w:t>（</w:t>
      </w:r>
      <w:r>
        <w:rPr>
          <w:color w:val="333333"/>
          <w:spacing w:val="-3"/>
          <w:sz w:val="21"/>
        </w:rPr>
        <w:t>区</w:t>
      </w:r>
      <w:r>
        <w:rPr>
          <w:color w:val="333333"/>
          <w:sz w:val="21"/>
        </w:rPr>
        <w:t>）</w:t>
      </w:r>
      <w:r>
        <w:rPr>
          <w:color w:val="333333"/>
          <w:spacing w:val="-3"/>
          <w:sz w:val="21"/>
        </w:rPr>
        <w:t>应设置固定水冷却设</w:t>
      </w:r>
      <w:r>
        <w:rPr>
          <w:color w:val="333333"/>
          <w:spacing w:val="-4"/>
          <w:sz w:val="21"/>
        </w:rPr>
        <w:t>施，埋地的液化石油气储罐可不设置固定喷水冷却装置。总容积不大于</w:t>
      </w:r>
      <w:r>
        <w:rPr>
          <w:color w:val="333333"/>
          <w:spacing w:val="-4"/>
          <w:sz w:val="21"/>
        </w:rPr>
        <w:t xml:space="preserve"> </w:t>
      </w:r>
      <w:r>
        <w:rPr>
          <w:color w:val="333333"/>
          <w:sz w:val="21"/>
        </w:rPr>
        <w:t>50m</w:t>
      </w:r>
      <w:r>
        <w:rPr>
          <w:color w:val="333333"/>
          <w:position w:val="11"/>
          <w:sz w:val="11"/>
        </w:rPr>
        <w:t>3</w:t>
      </w:r>
      <w:r>
        <w:rPr>
          <w:color w:val="333333"/>
          <w:spacing w:val="-22"/>
          <w:position w:val="11"/>
          <w:sz w:val="11"/>
        </w:rPr>
        <w:t xml:space="preserve"> </w:t>
      </w:r>
      <w:r>
        <w:rPr>
          <w:color w:val="333333"/>
          <w:spacing w:val="-3"/>
          <w:sz w:val="21"/>
        </w:rPr>
        <w:t>或单罐容积不大于</w:t>
      </w:r>
      <w:r>
        <w:rPr>
          <w:color w:val="333333"/>
          <w:spacing w:val="-3"/>
          <w:sz w:val="21"/>
        </w:rPr>
        <w:t>20m</w:t>
      </w:r>
      <w:r>
        <w:rPr>
          <w:color w:val="333333"/>
          <w:spacing w:val="-3"/>
          <w:position w:val="11"/>
          <w:sz w:val="11"/>
        </w:rPr>
        <w:t>3</w:t>
      </w:r>
      <w:r>
        <w:rPr>
          <w:color w:val="333333"/>
          <w:spacing w:val="-29"/>
          <w:position w:val="11"/>
          <w:sz w:val="11"/>
        </w:rPr>
        <w:t xml:space="preserve"> </w:t>
      </w:r>
      <w:r>
        <w:rPr>
          <w:color w:val="333333"/>
          <w:spacing w:val="-3"/>
          <w:sz w:val="21"/>
        </w:rPr>
        <w:t>的液化石油气储罐（</w:t>
      </w:r>
      <w:r>
        <w:rPr>
          <w:color w:val="333333"/>
          <w:sz w:val="21"/>
        </w:rPr>
        <w:t>区）</w:t>
      </w:r>
      <w:r>
        <w:rPr>
          <w:color w:val="333333"/>
          <w:spacing w:val="-3"/>
          <w:sz w:val="21"/>
        </w:rPr>
        <w:t>，应设置移动式水枪。</w:t>
      </w:r>
      <w:r>
        <w:rPr>
          <w:color w:val="333333"/>
          <w:spacing w:val="-3"/>
          <w:sz w:val="21"/>
        </w:rPr>
        <w:t xml:space="preserve"> </w:t>
      </w:r>
    </w:p>
    <w:p w14:paraId="032B7D18" w14:textId="77777777" w:rsidR="00A71EEF" w:rsidRDefault="0081115D">
      <w:pPr>
        <w:pStyle w:val="a4"/>
        <w:numPr>
          <w:ilvl w:val="2"/>
          <w:numId w:val="699"/>
        </w:numPr>
        <w:tabs>
          <w:tab w:val="left" w:pos="1371"/>
        </w:tabs>
        <w:spacing w:before="11"/>
        <w:ind w:left="1370" w:hanging="531"/>
        <w:rPr>
          <w:sz w:val="21"/>
        </w:rPr>
      </w:pPr>
      <w:r>
        <w:rPr>
          <w:color w:val="333333"/>
          <w:spacing w:val="-3"/>
          <w:sz w:val="21"/>
        </w:rPr>
        <w:t>消防水泵房的设置应符合下列规定：</w:t>
      </w:r>
      <w:r>
        <w:rPr>
          <w:color w:val="333333"/>
          <w:sz w:val="21"/>
        </w:rPr>
        <w:t xml:space="preserve"> </w:t>
      </w:r>
    </w:p>
    <w:p w14:paraId="366AB8DE" w14:textId="77777777" w:rsidR="00A71EEF" w:rsidRDefault="00A71EEF">
      <w:pPr>
        <w:pStyle w:val="a3"/>
        <w:rPr>
          <w:sz w:val="18"/>
        </w:rPr>
      </w:pPr>
    </w:p>
    <w:p w14:paraId="3742EA81" w14:textId="77777777" w:rsidR="00A71EEF" w:rsidRDefault="0081115D">
      <w:pPr>
        <w:pStyle w:val="a3"/>
        <w:ind w:left="838"/>
      </w:pPr>
      <w:r>
        <w:rPr>
          <w:color w:val="333333"/>
        </w:rPr>
        <w:t>单独建造的消防水泵房，其耐火等级不应低于二级；</w:t>
      </w:r>
      <w:r>
        <w:rPr>
          <w:color w:val="333333"/>
        </w:rPr>
        <w:t xml:space="preserve"> </w:t>
      </w:r>
    </w:p>
    <w:p w14:paraId="1D2B16C8" w14:textId="77777777" w:rsidR="00A71EEF" w:rsidRDefault="00A71EEF">
      <w:pPr>
        <w:pStyle w:val="a3"/>
        <w:spacing w:before="2"/>
        <w:rPr>
          <w:sz w:val="18"/>
        </w:rPr>
      </w:pPr>
    </w:p>
    <w:p w14:paraId="1915A7D0" w14:textId="77777777" w:rsidR="00A71EEF" w:rsidRDefault="0081115D">
      <w:pPr>
        <w:pStyle w:val="a3"/>
        <w:spacing w:line="446" w:lineRule="auto"/>
        <w:ind w:left="418" w:right="1608" w:firstLine="419"/>
      </w:pPr>
      <w:r>
        <w:rPr>
          <w:color w:val="333333"/>
        </w:rPr>
        <w:t>附设在建筑内的消防水泵房，不应设置在地下三层及以下或室内地面与室外出入口地坪高差大于</w:t>
      </w:r>
      <w:r>
        <w:rPr>
          <w:color w:val="333333"/>
        </w:rPr>
        <w:t xml:space="preserve"> 10m </w:t>
      </w:r>
      <w:r>
        <w:rPr>
          <w:color w:val="333333"/>
        </w:rPr>
        <w:t>的地下楼层；</w:t>
      </w:r>
      <w:r>
        <w:rPr>
          <w:color w:val="333333"/>
        </w:rPr>
        <w:t xml:space="preserve"> </w:t>
      </w:r>
    </w:p>
    <w:p w14:paraId="6ED39008" w14:textId="77777777" w:rsidR="00A71EEF" w:rsidRDefault="0081115D">
      <w:pPr>
        <w:pStyle w:val="a3"/>
        <w:spacing w:line="267" w:lineRule="exact"/>
        <w:ind w:left="838"/>
      </w:pPr>
      <w:r>
        <w:rPr>
          <w:color w:val="333333"/>
        </w:rPr>
        <w:t>疏散门应直通室外或安全出口。</w:t>
      </w:r>
      <w:r>
        <w:rPr>
          <w:color w:val="333333"/>
        </w:rPr>
        <w:t xml:space="preserve"> </w:t>
      </w:r>
    </w:p>
    <w:p w14:paraId="454968F5" w14:textId="77777777" w:rsidR="00A71EEF" w:rsidRDefault="00A71EEF">
      <w:pPr>
        <w:pStyle w:val="a3"/>
        <w:spacing w:before="2"/>
        <w:rPr>
          <w:sz w:val="18"/>
        </w:rPr>
      </w:pPr>
    </w:p>
    <w:p w14:paraId="2C4C6821" w14:textId="77777777" w:rsidR="00A71EEF" w:rsidRDefault="0081115D">
      <w:pPr>
        <w:pStyle w:val="a4"/>
        <w:numPr>
          <w:ilvl w:val="2"/>
          <w:numId w:val="699"/>
        </w:numPr>
        <w:tabs>
          <w:tab w:val="left" w:pos="1371"/>
        </w:tabs>
        <w:spacing w:line="446" w:lineRule="auto"/>
        <w:ind w:right="1813" w:firstLine="422"/>
        <w:rPr>
          <w:sz w:val="21"/>
        </w:rPr>
      </w:pPr>
      <w:r>
        <w:rPr>
          <w:color w:val="333333"/>
          <w:spacing w:val="-3"/>
          <w:sz w:val="21"/>
        </w:rPr>
        <w:t>设置火灾自动报警系统和需要联动控制的消防设备的建筑（</w:t>
      </w:r>
      <w:r>
        <w:rPr>
          <w:color w:val="333333"/>
          <w:sz w:val="21"/>
        </w:rPr>
        <w:t>群</w:t>
      </w:r>
      <w:r>
        <w:rPr>
          <w:color w:val="333333"/>
          <w:spacing w:val="-3"/>
          <w:sz w:val="21"/>
        </w:rPr>
        <w:t>）应设置消防控制室。消防控制室的设置应符合下列规定：</w:t>
      </w:r>
      <w:r>
        <w:rPr>
          <w:color w:val="333333"/>
          <w:sz w:val="21"/>
        </w:rPr>
        <w:t xml:space="preserve"> </w:t>
      </w:r>
    </w:p>
    <w:p w14:paraId="0A438DC3" w14:textId="77777777" w:rsidR="00A71EEF" w:rsidRDefault="0081115D">
      <w:pPr>
        <w:pStyle w:val="a3"/>
        <w:spacing w:line="267" w:lineRule="exact"/>
        <w:ind w:left="838"/>
      </w:pPr>
      <w:r>
        <w:rPr>
          <w:color w:val="333333"/>
        </w:rPr>
        <w:t>单独建造的消防控制室，其耐火等级不应低于二级；</w:t>
      </w:r>
      <w:r>
        <w:rPr>
          <w:color w:val="333333"/>
        </w:rPr>
        <w:t xml:space="preserve"> </w:t>
      </w:r>
    </w:p>
    <w:p w14:paraId="5CA22829" w14:textId="77777777" w:rsidR="00A71EEF" w:rsidRDefault="00A71EEF">
      <w:pPr>
        <w:pStyle w:val="a3"/>
        <w:spacing w:before="2"/>
        <w:rPr>
          <w:sz w:val="18"/>
        </w:rPr>
      </w:pPr>
    </w:p>
    <w:p w14:paraId="53EBA12F" w14:textId="77777777" w:rsidR="00A71EEF" w:rsidRDefault="0081115D">
      <w:pPr>
        <w:pStyle w:val="a3"/>
        <w:spacing w:line="446" w:lineRule="auto"/>
        <w:ind w:left="838" w:right="1505"/>
      </w:pPr>
      <w:r>
        <w:rPr>
          <w:color w:val="333333"/>
          <w:spacing w:val="-3"/>
        </w:rPr>
        <w:t>附设在建筑内的消防控制室，宜设置在建筑内首层或地下一层，并宜布置在靠外墙部位；</w:t>
      </w:r>
      <w:r>
        <w:rPr>
          <w:color w:val="333333"/>
          <w:spacing w:val="-3"/>
        </w:rPr>
        <w:t xml:space="preserve"> </w:t>
      </w:r>
      <w:r>
        <w:rPr>
          <w:color w:val="333333"/>
          <w:spacing w:val="-3"/>
        </w:rPr>
        <w:t>不应设置在电磁场干扰较强及其他可能影响消防控制设备正常工作的房间附近；</w:t>
      </w:r>
      <w:r>
        <w:rPr>
          <w:color w:val="333333"/>
          <w:spacing w:val="-3"/>
        </w:rPr>
        <w:t xml:space="preserve"> </w:t>
      </w:r>
    </w:p>
    <w:p w14:paraId="11935E52" w14:textId="77777777" w:rsidR="00A71EEF" w:rsidRDefault="0081115D">
      <w:pPr>
        <w:pStyle w:val="a3"/>
        <w:spacing w:line="267" w:lineRule="exact"/>
        <w:ind w:left="838"/>
      </w:pPr>
      <w:r>
        <w:rPr>
          <w:color w:val="333333"/>
        </w:rPr>
        <w:t>疏散门应直通室外或安全出口。</w:t>
      </w:r>
      <w:r>
        <w:rPr>
          <w:color w:val="333333"/>
        </w:rPr>
        <w:t xml:space="preserve"> </w:t>
      </w:r>
    </w:p>
    <w:p w14:paraId="5D9625E3" w14:textId="77777777" w:rsidR="00A71EEF" w:rsidRDefault="00A71EEF">
      <w:pPr>
        <w:pStyle w:val="a3"/>
        <w:spacing w:before="1"/>
        <w:rPr>
          <w:sz w:val="18"/>
        </w:rPr>
      </w:pPr>
    </w:p>
    <w:p w14:paraId="643854D9" w14:textId="77777777" w:rsidR="00A71EEF" w:rsidRDefault="0081115D">
      <w:pPr>
        <w:pStyle w:val="a3"/>
        <w:spacing w:before="1" w:line="446" w:lineRule="auto"/>
        <w:ind w:left="418" w:right="1558" w:firstLine="419"/>
        <w:jc w:val="both"/>
      </w:pPr>
      <w:r>
        <w:rPr>
          <w:color w:val="333333"/>
          <w:spacing w:val="-3"/>
        </w:rPr>
        <w:t>消防控制室内的设备构成及其对建筑消防设施的控制与显示功能以及向远程监控系统传输相关信息的功能，应符合现行国家标准《火灾自动报警系统设计规范》</w:t>
      </w:r>
      <w:r>
        <w:rPr>
          <w:color w:val="333333"/>
        </w:rPr>
        <w:t>GB 50116</w:t>
      </w:r>
      <w:r>
        <w:rPr>
          <w:color w:val="333333"/>
          <w:spacing w:val="-8"/>
        </w:rPr>
        <w:t xml:space="preserve"> </w:t>
      </w:r>
      <w:r>
        <w:rPr>
          <w:color w:val="333333"/>
          <w:spacing w:val="-8"/>
        </w:rPr>
        <w:t>和《消防控制</w:t>
      </w:r>
      <w:r>
        <w:rPr>
          <w:color w:val="333333"/>
          <w:spacing w:val="-5"/>
        </w:rPr>
        <w:t>室通用技术要求》</w:t>
      </w:r>
      <w:r>
        <w:rPr>
          <w:color w:val="333333"/>
        </w:rPr>
        <w:t>GB 25506</w:t>
      </w:r>
      <w:r>
        <w:rPr>
          <w:color w:val="333333"/>
          <w:spacing w:val="-13"/>
        </w:rPr>
        <w:t xml:space="preserve"> </w:t>
      </w:r>
      <w:r>
        <w:rPr>
          <w:color w:val="333333"/>
          <w:spacing w:val="-13"/>
        </w:rPr>
        <w:t>的规定。</w:t>
      </w:r>
      <w:r>
        <w:rPr>
          <w:color w:val="333333"/>
        </w:rPr>
        <w:t xml:space="preserve"> </w:t>
      </w:r>
    </w:p>
    <w:p w14:paraId="601BEB70" w14:textId="77777777" w:rsidR="00A71EEF" w:rsidRDefault="0081115D">
      <w:pPr>
        <w:pStyle w:val="a4"/>
        <w:numPr>
          <w:ilvl w:val="2"/>
          <w:numId w:val="699"/>
        </w:numPr>
        <w:tabs>
          <w:tab w:val="left" w:pos="1371"/>
        </w:tabs>
        <w:spacing w:line="268" w:lineRule="exact"/>
        <w:ind w:left="1370" w:hanging="531"/>
        <w:rPr>
          <w:sz w:val="21"/>
        </w:rPr>
      </w:pPr>
      <w:r>
        <w:rPr>
          <w:color w:val="333333"/>
          <w:spacing w:val="-3"/>
          <w:sz w:val="21"/>
        </w:rPr>
        <w:t>消防水泵房和消防控制室应采取防水淹的技术措施。</w:t>
      </w:r>
      <w:r>
        <w:rPr>
          <w:color w:val="333333"/>
          <w:sz w:val="21"/>
        </w:rPr>
        <w:t xml:space="preserve"> </w:t>
      </w:r>
    </w:p>
    <w:p w14:paraId="2A240307" w14:textId="77777777" w:rsidR="00A71EEF" w:rsidRDefault="00A71EEF">
      <w:pPr>
        <w:spacing w:line="268" w:lineRule="exact"/>
        <w:rPr>
          <w:sz w:val="21"/>
        </w:rPr>
        <w:sectPr w:rsidR="00A71EEF">
          <w:pgSz w:w="11910" w:h="16850"/>
          <w:pgMar w:top="1220" w:right="0" w:bottom="1420" w:left="1260" w:header="0" w:footer="1239" w:gutter="0"/>
          <w:cols w:space="720"/>
        </w:sectPr>
      </w:pPr>
    </w:p>
    <w:p w14:paraId="4294E721" w14:textId="77777777" w:rsidR="00A71EEF" w:rsidRDefault="0081115D">
      <w:pPr>
        <w:pStyle w:val="a4"/>
        <w:numPr>
          <w:ilvl w:val="2"/>
          <w:numId w:val="699"/>
        </w:numPr>
        <w:tabs>
          <w:tab w:val="left" w:pos="1371"/>
        </w:tabs>
        <w:spacing w:before="47" w:line="446" w:lineRule="auto"/>
        <w:ind w:right="1604" w:firstLine="422"/>
        <w:rPr>
          <w:sz w:val="21"/>
        </w:rPr>
      </w:pPr>
      <w:r>
        <w:rPr>
          <w:color w:val="333333"/>
          <w:spacing w:val="-3"/>
          <w:sz w:val="21"/>
        </w:rPr>
        <w:lastRenderedPageBreak/>
        <w:t>设置在建筑内的防排烟风机应设置在不同的专用机房内，有关防火分隔措施应符合</w:t>
      </w:r>
      <w:r>
        <w:rPr>
          <w:color w:val="333333"/>
          <w:spacing w:val="-13"/>
          <w:sz w:val="21"/>
        </w:rPr>
        <w:t>本规范第</w:t>
      </w:r>
      <w:r>
        <w:rPr>
          <w:color w:val="333333"/>
          <w:spacing w:val="-13"/>
          <w:sz w:val="21"/>
        </w:rPr>
        <w:t xml:space="preserve"> </w:t>
      </w:r>
      <w:r>
        <w:rPr>
          <w:color w:val="333333"/>
          <w:sz w:val="21"/>
        </w:rPr>
        <w:t>6.2.7</w:t>
      </w:r>
      <w:r>
        <w:rPr>
          <w:color w:val="333333"/>
          <w:spacing w:val="-11"/>
          <w:sz w:val="21"/>
        </w:rPr>
        <w:t xml:space="preserve"> </w:t>
      </w:r>
      <w:r>
        <w:rPr>
          <w:color w:val="333333"/>
          <w:spacing w:val="-11"/>
          <w:sz w:val="21"/>
        </w:rPr>
        <w:t>条的规定。</w:t>
      </w:r>
      <w:r>
        <w:rPr>
          <w:color w:val="333333"/>
          <w:spacing w:val="-11"/>
          <w:sz w:val="21"/>
        </w:rPr>
        <w:t xml:space="preserve"> </w:t>
      </w:r>
    </w:p>
    <w:p w14:paraId="6573B0AE" w14:textId="77777777" w:rsidR="00A71EEF" w:rsidRDefault="0081115D">
      <w:pPr>
        <w:pStyle w:val="a4"/>
        <w:numPr>
          <w:ilvl w:val="2"/>
          <w:numId w:val="699"/>
        </w:numPr>
        <w:tabs>
          <w:tab w:val="left" w:pos="1478"/>
        </w:tabs>
        <w:spacing w:line="446" w:lineRule="auto"/>
        <w:ind w:right="1496" w:firstLine="422"/>
        <w:rPr>
          <w:sz w:val="21"/>
        </w:rPr>
      </w:pPr>
      <w:r>
        <w:rPr>
          <w:color w:val="333333"/>
          <w:spacing w:val="-3"/>
          <w:sz w:val="21"/>
        </w:rPr>
        <w:t>高层住宅建筑的公共部位和公共建筑内应设置灭火器，其他住宅建筑的公共部位宜设置灭火器。</w:t>
      </w:r>
      <w:r>
        <w:rPr>
          <w:color w:val="333333"/>
          <w:sz w:val="21"/>
        </w:rPr>
        <w:t xml:space="preserve"> </w:t>
      </w:r>
    </w:p>
    <w:p w14:paraId="224DFF4B" w14:textId="77777777" w:rsidR="00A71EEF" w:rsidRDefault="0081115D">
      <w:pPr>
        <w:pStyle w:val="a3"/>
        <w:ind w:left="838"/>
      </w:pPr>
      <w:r>
        <w:rPr>
          <w:color w:val="333333"/>
        </w:rPr>
        <w:t>厂房、仓库、储罐（区）和堆场，应设置灭火器。</w:t>
      </w:r>
      <w:r>
        <w:rPr>
          <w:color w:val="333333"/>
        </w:rPr>
        <w:t xml:space="preserve"> </w:t>
      </w:r>
    </w:p>
    <w:p w14:paraId="2547B24B" w14:textId="77777777" w:rsidR="00A71EEF" w:rsidRDefault="00A71EEF">
      <w:pPr>
        <w:pStyle w:val="a3"/>
        <w:spacing w:before="10"/>
        <w:rPr>
          <w:sz w:val="17"/>
        </w:rPr>
      </w:pPr>
    </w:p>
    <w:p w14:paraId="4A8FBD1D" w14:textId="77777777" w:rsidR="00A71EEF" w:rsidRDefault="0081115D">
      <w:pPr>
        <w:pStyle w:val="a4"/>
        <w:numPr>
          <w:ilvl w:val="2"/>
          <w:numId w:val="699"/>
        </w:numPr>
        <w:tabs>
          <w:tab w:val="left" w:pos="1478"/>
        </w:tabs>
        <w:spacing w:line="446" w:lineRule="auto"/>
        <w:ind w:right="1498" w:firstLine="422"/>
        <w:rPr>
          <w:sz w:val="21"/>
        </w:rPr>
      </w:pPr>
      <w:r>
        <w:rPr>
          <w:color w:val="333333"/>
          <w:spacing w:val="-3"/>
          <w:sz w:val="21"/>
        </w:rPr>
        <w:t>建筑外墙设置有玻璃幕墙或采用火灾时可能脱落的墙体装饰材料或构造时，供灭火救援用的水泵接合器、室外消火栓等室外消防设施，应设置在距离建筑外墙相对安全的位置或采取安全防护措施。</w:t>
      </w:r>
      <w:r>
        <w:rPr>
          <w:color w:val="333333"/>
          <w:sz w:val="21"/>
        </w:rPr>
        <w:t xml:space="preserve"> </w:t>
      </w:r>
    </w:p>
    <w:p w14:paraId="0756E186" w14:textId="77777777" w:rsidR="00A71EEF" w:rsidRDefault="0081115D">
      <w:pPr>
        <w:pStyle w:val="a4"/>
        <w:numPr>
          <w:ilvl w:val="2"/>
          <w:numId w:val="699"/>
        </w:numPr>
        <w:tabs>
          <w:tab w:val="left" w:pos="1478"/>
        </w:tabs>
        <w:spacing w:line="446" w:lineRule="auto"/>
        <w:ind w:right="1707" w:firstLine="422"/>
        <w:rPr>
          <w:sz w:val="21"/>
        </w:rPr>
      </w:pPr>
      <w:r>
        <w:rPr>
          <w:color w:val="333333"/>
          <w:spacing w:val="-3"/>
          <w:sz w:val="21"/>
        </w:rPr>
        <w:t>设置在建筑室内外供人员操作或使用的消防设施，均应设置区别于环境的明显标志。</w:t>
      </w:r>
      <w:r>
        <w:rPr>
          <w:color w:val="333333"/>
          <w:sz w:val="21"/>
        </w:rPr>
        <w:t xml:space="preserve"> </w:t>
      </w:r>
    </w:p>
    <w:p w14:paraId="2B1678F2" w14:textId="77777777" w:rsidR="00A71EEF" w:rsidRDefault="00A71EEF">
      <w:pPr>
        <w:pStyle w:val="a3"/>
        <w:rPr>
          <w:sz w:val="20"/>
        </w:rPr>
      </w:pPr>
    </w:p>
    <w:p w14:paraId="182A9649" w14:textId="77777777" w:rsidR="00A71EEF" w:rsidRDefault="00A71EEF">
      <w:pPr>
        <w:pStyle w:val="a3"/>
        <w:spacing w:before="12"/>
        <w:rPr>
          <w:sz w:val="18"/>
        </w:rPr>
      </w:pPr>
    </w:p>
    <w:p w14:paraId="34D4351A" w14:textId="77777777" w:rsidR="00A71EEF" w:rsidRDefault="0081115D">
      <w:pPr>
        <w:pStyle w:val="a4"/>
        <w:numPr>
          <w:ilvl w:val="2"/>
          <w:numId w:val="699"/>
        </w:numPr>
        <w:tabs>
          <w:tab w:val="left" w:pos="1478"/>
        </w:tabs>
        <w:spacing w:line="446" w:lineRule="auto"/>
        <w:ind w:right="1496" w:firstLine="422"/>
        <w:jc w:val="both"/>
        <w:rPr>
          <w:sz w:val="21"/>
        </w:rPr>
      </w:pPr>
      <w:r>
        <w:rPr>
          <w:color w:val="333333"/>
          <w:spacing w:val="-3"/>
          <w:sz w:val="21"/>
        </w:rPr>
        <w:t>有关消防系统及设施的设计，应符合现行国家标准《消防给水及消火栓系统技术规范》</w:t>
      </w:r>
      <w:r>
        <w:rPr>
          <w:color w:val="333333"/>
          <w:spacing w:val="-3"/>
          <w:sz w:val="21"/>
        </w:rPr>
        <w:t>GB</w:t>
      </w:r>
      <w:r>
        <w:rPr>
          <w:color w:val="333333"/>
          <w:spacing w:val="9"/>
          <w:sz w:val="21"/>
        </w:rPr>
        <w:t xml:space="preserve"> </w:t>
      </w:r>
      <w:r>
        <w:rPr>
          <w:color w:val="333333"/>
          <w:sz w:val="21"/>
        </w:rPr>
        <w:t>50974</w:t>
      </w:r>
      <w:r>
        <w:rPr>
          <w:color w:val="333333"/>
          <w:spacing w:val="-3"/>
          <w:sz w:val="21"/>
        </w:rPr>
        <w:t>、《自动喷水灭火系统设计规范》</w:t>
      </w:r>
      <w:r>
        <w:rPr>
          <w:color w:val="333333"/>
          <w:sz w:val="21"/>
        </w:rPr>
        <w:t>GB</w:t>
      </w:r>
      <w:r>
        <w:rPr>
          <w:color w:val="333333"/>
          <w:spacing w:val="7"/>
          <w:sz w:val="21"/>
        </w:rPr>
        <w:t xml:space="preserve"> </w:t>
      </w:r>
      <w:r>
        <w:rPr>
          <w:color w:val="333333"/>
          <w:sz w:val="21"/>
        </w:rPr>
        <w:t>50084</w:t>
      </w:r>
      <w:r>
        <w:rPr>
          <w:color w:val="333333"/>
          <w:spacing w:val="-3"/>
          <w:sz w:val="21"/>
        </w:rPr>
        <w:t>、《火灾自动报警系统设计规范》</w:t>
      </w:r>
      <w:r>
        <w:rPr>
          <w:color w:val="333333"/>
          <w:sz w:val="21"/>
        </w:rPr>
        <w:t>GB 50116</w:t>
      </w:r>
      <w:r>
        <w:rPr>
          <w:color w:val="333333"/>
          <w:spacing w:val="-9"/>
          <w:sz w:val="21"/>
        </w:rPr>
        <w:t xml:space="preserve"> </w:t>
      </w:r>
      <w:r>
        <w:rPr>
          <w:color w:val="333333"/>
          <w:spacing w:val="-9"/>
          <w:sz w:val="21"/>
        </w:rPr>
        <w:t>等有关标准的规定。</w:t>
      </w:r>
      <w:r>
        <w:rPr>
          <w:color w:val="333333"/>
          <w:spacing w:val="-9"/>
          <w:sz w:val="21"/>
        </w:rPr>
        <w:t xml:space="preserve"> </w:t>
      </w:r>
    </w:p>
    <w:p w14:paraId="4C060454" w14:textId="77777777" w:rsidR="00A71EEF" w:rsidRDefault="0081115D">
      <w:pPr>
        <w:pStyle w:val="a4"/>
        <w:numPr>
          <w:ilvl w:val="1"/>
          <w:numId w:val="699"/>
        </w:numPr>
        <w:tabs>
          <w:tab w:val="left" w:pos="1160"/>
        </w:tabs>
        <w:spacing w:line="268" w:lineRule="exact"/>
        <w:ind w:left="1159" w:hanging="320"/>
        <w:rPr>
          <w:b/>
          <w:sz w:val="21"/>
        </w:rPr>
      </w:pPr>
      <w:r>
        <w:rPr>
          <w:spacing w:val="-3"/>
          <w:sz w:val="21"/>
        </w:rPr>
        <w:t>室内消火栓系统</w:t>
      </w:r>
      <w:r>
        <w:rPr>
          <w:b/>
          <w:w w:val="99"/>
          <w:sz w:val="21"/>
        </w:rPr>
        <w:t xml:space="preserve"> </w:t>
      </w:r>
    </w:p>
    <w:p w14:paraId="1DE0FB36" w14:textId="77777777" w:rsidR="00A71EEF" w:rsidRDefault="00A71EEF">
      <w:pPr>
        <w:pStyle w:val="a3"/>
        <w:spacing w:before="2"/>
        <w:rPr>
          <w:b/>
          <w:sz w:val="18"/>
        </w:rPr>
      </w:pPr>
    </w:p>
    <w:p w14:paraId="5B120149" w14:textId="77777777" w:rsidR="00A71EEF" w:rsidRDefault="0081115D">
      <w:pPr>
        <w:pStyle w:val="a4"/>
        <w:numPr>
          <w:ilvl w:val="2"/>
          <w:numId w:val="699"/>
        </w:numPr>
        <w:tabs>
          <w:tab w:val="left" w:pos="1370"/>
        </w:tabs>
        <w:ind w:left="1369" w:hanging="530"/>
        <w:rPr>
          <w:sz w:val="21"/>
        </w:rPr>
      </w:pPr>
      <w:r>
        <w:rPr>
          <w:color w:val="333333"/>
          <w:spacing w:val="-3"/>
          <w:sz w:val="21"/>
        </w:rPr>
        <w:t>下列建筑或场所应设置室内消</w:t>
      </w:r>
      <w:r>
        <w:rPr>
          <w:color w:val="333333"/>
          <w:spacing w:val="-3"/>
          <w:sz w:val="21"/>
        </w:rPr>
        <w:t>火栓系统：</w:t>
      </w:r>
      <w:r>
        <w:rPr>
          <w:color w:val="333333"/>
          <w:sz w:val="21"/>
        </w:rPr>
        <w:t xml:space="preserve"> </w:t>
      </w:r>
    </w:p>
    <w:p w14:paraId="5CC82FF9" w14:textId="77777777" w:rsidR="00A71EEF" w:rsidRDefault="00A71EEF">
      <w:pPr>
        <w:pStyle w:val="a3"/>
        <w:spacing w:before="2"/>
        <w:rPr>
          <w:sz w:val="17"/>
        </w:rPr>
      </w:pPr>
    </w:p>
    <w:p w14:paraId="06E5573A" w14:textId="77777777" w:rsidR="00A71EEF" w:rsidRDefault="0081115D">
      <w:pPr>
        <w:pStyle w:val="a3"/>
        <w:ind w:left="838"/>
      </w:pPr>
      <w:r>
        <w:rPr>
          <w:color w:val="333333"/>
          <w:spacing w:val="-9"/>
        </w:rPr>
        <w:t>建筑占地面积大于</w:t>
      </w:r>
      <w:r>
        <w:rPr>
          <w:color w:val="333333"/>
          <w:spacing w:val="-9"/>
        </w:rPr>
        <w:t xml:space="preserve"> </w:t>
      </w:r>
      <w:r>
        <w:rPr>
          <w:color w:val="333333"/>
        </w:rPr>
        <w:t>300m</w:t>
      </w:r>
      <w:r>
        <w:rPr>
          <w:color w:val="333333"/>
          <w:position w:val="11"/>
          <w:sz w:val="11"/>
        </w:rPr>
        <w:t>2</w:t>
      </w:r>
      <w:r>
        <w:rPr>
          <w:color w:val="333333"/>
          <w:spacing w:val="52"/>
          <w:position w:val="11"/>
          <w:sz w:val="11"/>
        </w:rPr>
        <w:t xml:space="preserve"> </w:t>
      </w:r>
      <w:r>
        <w:rPr>
          <w:color w:val="333333"/>
          <w:spacing w:val="-3"/>
        </w:rPr>
        <w:t>的厂房和仓库；</w:t>
      </w:r>
      <w:r>
        <w:rPr>
          <w:color w:val="333333"/>
        </w:rPr>
        <w:t xml:space="preserve"> </w:t>
      </w:r>
    </w:p>
    <w:p w14:paraId="274FF189" w14:textId="77777777" w:rsidR="00A71EEF" w:rsidRDefault="00A71EEF">
      <w:pPr>
        <w:pStyle w:val="a3"/>
        <w:spacing w:before="12"/>
        <w:rPr>
          <w:sz w:val="17"/>
        </w:rPr>
      </w:pPr>
    </w:p>
    <w:p w14:paraId="40F1E7B7" w14:textId="77777777" w:rsidR="00A71EEF" w:rsidRDefault="0081115D">
      <w:pPr>
        <w:pStyle w:val="a3"/>
        <w:ind w:left="838"/>
      </w:pPr>
      <w:r>
        <w:rPr>
          <w:color w:val="333333"/>
        </w:rPr>
        <w:t>高层公共建筑和建筑高度大于</w:t>
      </w:r>
      <w:r>
        <w:rPr>
          <w:color w:val="333333"/>
        </w:rPr>
        <w:t xml:space="preserve"> 21m </w:t>
      </w:r>
      <w:r>
        <w:rPr>
          <w:color w:val="333333"/>
        </w:rPr>
        <w:t>的住宅建筑；</w:t>
      </w:r>
      <w:r>
        <w:rPr>
          <w:color w:val="333333"/>
        </w:rPr>
        <w:t xml:space="preserve"> </w:t>
      </w:r>
    </w:p>
    <w:p w14:paraId="1B53343F" w14:textId="77777777" w:rsidR="00A71EEF" w:rsidRDefault="00A71EEF">
      <w:pPr>
        <w:pStyle w:val="a3"/>
        <w:spacing w:before="2"/>
        <w:rPr>
          <w:sz w:val="18"/>
        </w:rPr>
      </w:pPr>
    </w:p>
    <w:p w14:paraId="6208036A" w14:textId="77777777" w:rsidR="00A71EEF" w:rsidRDefault="0081115D">
      <w:pPr>
        <w:pStyle w:val="a3"/>
        <w:spacing w:line="446" w:lineRule="auto"/>
        <w:ind w:left="418" w:right="1498" w:firstLine="419"/>
      </w:pPr>
      <w:r>
        <w:rPr>
          <w:color w:val="333333"/>
        </w:rPr>
        <w:t>注：建筑高度不大于</w:t>
      </w:r>
      <w:r>
        <w:rPr>
          <w:color w:val="333333"/>
        </w:rPr>
        <w:t xml:space="preserve"> 27m </w:t>
      </w:r>
      <w:r>
        <w:rPr>
          <w:color w:val="333333"/>
        </w:rPr>
        <w:t>的住宅建筑，设置室内消火栓系统确有困难时，可只设置干式消防竖管和不带消火栓箱的</w:t>
      </w:r>
      <w:r>
        <w:rPr>
          <w:color w:val="333333"/>
        </w:rPr>
        <w:t xml:space="preserve"> DN65 </w:t>
      </w:r>
      <w:r>
        <w:rPr>
          <w:color w:val="333333"/>
        </w:rPr>
        <w:t>的室内消火栓。</w:t>
      </w:r>
      <w:r>
        <w:rPr>
          <w:color w:val="333333"/>
        </w:rPr>
        <w:t xml:space="preserve"> </w:t>
      </w:r>
    </w:p>
    <w:p w14:paraId="6877F1FE" w14:textId="77777777" w:rsidR="00A71EEF" w:rsidRDefault="0081115D">
      <w:pPr>
        <w:pStyle w:val="a3"/>
        <w:spacing w:line="446" w:lineRule="auto"/>
        <w:ind w:left="418" w:right="1391" w:firstLine="419"/>
      </w:pPr>
      <w:r>
        <w:rPr>
          <w:color w:val="333333"/>
        </w:rPr>
        <w:t>体积大于</w:t>
      </w:r>
      <w:r>
        <w:rPr>
          <w:color w:val="333333"/>
        </w:rPr>
        <w:t xml:space="preserve"> 5000m3 </w:t>
      </w:r>
      <w:r>
        <w:rPr>
          <w:color w:val="333333"/>
        </w:rPr>
        <w:t>的车站、码头、机场的候车（船、机）建筑、展览建筑、商店建筑、旅馆建筑、医疗建筑、老年人照料设施和图书馆建筑等单、多层建筑；</w:t>
      </w:r>
      <w:r>
        <w:rPr>
          <w:color w:val="333333"/>
        </w:rPr>
        <w:t xml:space="preserve"> </w:t>
      </w:r>
    </w:p>
    <w:p w14:paraId="5C8B7A1C" w14:textId="77777777" w:rsidR="00A71EEF" w:rsidRDefault="0081115D">
      <w:pPr>
        <w:pStyle w:val="a3"/>
        <w:spacing w:line="446" w:lineRule="auto"/>
        <w:ind w:left="418" w:right="1455" w:firstLine="419"/>
      </w:pPr>
      <w:r>
        <w:rPr>
          <w:color w:val="333333"/>
          <w:spacing w:val="-7"/>
        </w:rPr>
        <w:t>特等、甲等剧场，超过</w:t>
      </w:r>
      <w:r>
        <w:rPr>
          <w:color w:val="333333"/>
          <w:spacing w:val="-7"/>
        </w:rPr>
        <w:t xml:space="preserve"> </w:t>
      </w:r>
      <w:r>
        <w:rPr>
          <w:color w:val="333333"/>
        </w:rPr>
        <w:t>800</w:t>
      </w:r>
      <w:r>
        <w:rPr>
          <w:color w:val="333333"/>
          <w:spacing w:val="-5"/>
        </w:rPr>
        <w:t xml:space="preserve"> </w:t>
      </w:r>
      <w:r>
        <w:rPr>
          <w:color w:val="333333"/>
          <w:spacing w:val="-5"/>
        </w:rPr>
        <w:t>个座位的其他等级的剧场和电影院等以及超过</w:t>
      </w:r>
      <w:r>
        <w:rPr>
          <w:color w:val="333333"/>
          <w:spacing w:val="-5"/>
        </w:rPr>
        <w:t xml:space="preserve"> </w:t>
      </w:r>
      <w:r>
        <w:rPr>
          <w:color w:val="333333"/>
        </w:rPr>
        <w:t>1200</w:t>
      </w:r>
      <w:r>
        <w:rPr>
          <w:color w:val="333333"/>
          <w:spacing w:val="-10"/>
        </w:rPr>
        <w:t xml:space="preserve"> </w:t>
      </w:r>
      <w:r>
        <w:rPr>
          <w:color w:val="333333"/>
          <w:spacing w:val="-10"/>
        </w:rPr>
        <w:t>个座位的礼</w:t>
      </w:r>
      <w:r>
        <w:rPr>
          <w:color w:val="333333"/>
          <w:spacing w:val="-5"/>
        </w:rPr>
        <w:t>堂、体育馆等单、多层建筑；</w:t>
      </w:r>
      <w:r>
        <w:rPr>
          <w:color w:val="333333"/>
        </w:rPr>
        <w:t xml:space="preserve"> </w:t>
      </w:r>
    </w:p>
    <w:p w14:paraId="6DD86008" w14:textId="77777777" w:rsidR="00A71EEF" w:rsidRDefault="0081115D">
      <w:pPr>
        <w:pStyle w:val="a3"/>
        <w:spacing w:line="446" w:lineRule="auto"/>
        <w:ind w:left="840" w:right="1349" w:hanging="3"/>
      </w:pPr>
      <w:r>
        <w:rPr>
          <w:color w:val="333333"/>
        </w:rPr>
        <w:t>建筑高度大于</w:t>
      </w:r>
      <w:r>
        <w:rPr>
          <w:color w:val="333333"/>
        </w:rPr>
        <w:t xml:space="preserve"> 15m </w:t>
      </w:r>
      <w:r>
        <w:rPr>
          <w:color w:val="333333"/>
        </w:rPr>
        <w:t>或体积大于</w:t>
      </w:r>
      <w:r>
        <w:rPr>
          <w:color w:val="333333"/>
        </w:rPr>
        <w:t xml:space="preserve"> 10000m</w:t>
      </w:r>
      <w:r>
        <w:rPr>
          <w:color w:val="333333"/>
          <w:position w:val="11"/>
          <w:sz w:val="11"/>
        </w:rPr>
        <w:t>3</w:t>
      </w:r>
      <w:r>
        <w:rPr>
          <w:color w:val="333333"/>
          <w:sz w:val="11"/>
        </w:rPr>
        <w:t xml:space="preserve"> </w:t>
      </w:r>
      <w:r>
        <w:rPr>
          <w:color w:val="333333"/>
        </w:rPr>
        <w:t>的办公建筑、教学建筑和其他单、多层民用建筑。</w:t>
      </w:r>
      <w:r>
        <w:rPr>
          <w:b/>
          <w:color w:val="333333"/>
        </w:rPr>
        <w:t xml:space="preserve">8.2.2 </w:t>
      </w:r>
      <w:r>
        <w:rPr>
          <w:color w:val="333333"/>
        </w:rPr>
        <w:t>本规范第</w:t>
      </w:r>
      <w:r>
        <w:rPr>
          <w:color w:val="333333"/>
        </w:rPr>
        <w:t xml:space="preserve"> 8.2.1 </w:t>
      </w:r>
      <w:r>
        <w:rPr>
          <w:color w:val="333333"/>
        </w:rPr>
        <w:t>条未规定的建筑或场所和符合本规范第</w:t>
      </w:r>
      <w:r>
        <w:rPr>
          <w:color w:val="333333"/>
        </w:rPr>
        <w:t xml:space="preserve"> 8.2.1 </w:t>
      </w:r>
      <w:r>
        <w:rPr>
          <w:color w:val="333333"/>
        </w:rPr>
        <w:t>条规定的下列建筑或</w:t>
      </w:r>
    </w:p>
    <w:p w14:paraId="20E90746" w14:textId="77777777" w:rsidR="00A71EEF" w:rsidRDefault="0081115D">
      <w:pPr>
        <w:pStyle w:val="a3"/>
        <w:spacing w:line="446" w:lineRule="auto"/>
        <w:ind w:left="838" w:right="3186" w:hanging="420"/>
      </w:pPr>
      <w:r>
        <w:rPr>
          <w:color w:val="333333"/>
          <w:spacing w:val="-3"/>
        </w:rPr>
        <w:t>场所，可不设置室内消火栓系统，但宜设置消防软</w:t>
      </w:r>
      <w:r>
        <w:rPr>
          <w:color w:val="333333"/>
          <w:spacing w:val="-3"/>
        </w:rPr>
        <w:t>管卷盘或轻便消防水龙：</w:t>
      </w:r>
      <w:r>
        <w:rPr>
          <w:color w:val="333333"/>
          <w:spacing w:val="-3"/>
        </w:rPr>
        <w:t xml:space="preserve"> </w:t>
      </w:r>
      <w:r>
        <w:rPr>
          <w:color w:val="333333"/>
          <w:spacing w:val="-3"/>
        </w:rPr>
        <w:t>耐火等级为一、二级且可燃物较少的单、多层丁、戊类厂房（</w:t>
      </w:r>
      <w:r>
        <w:rPr>
          <w:color w:val="333333"/>
          <w:spacing w:val="-2"/>
        </w:rPr>
        <w:t>仓库</w:t>
      </w:r>
      <w:r>
        <w:rPr>
          <w:color w:val="333333"/>
        </w:rPr>
        <w:t>）；</w:t>
      </w:r>
      <w:r>
        <w:rPr>
          <w:color w:val="333333"/>
        </w:rPr>
        <w:t xml:space="preserve"> </w:t>
      </w:r>
    </w:p>
    <w:p w14:paraId="26C8BF5B" w14:textId="77777777" w:rsidR="00A71EEF" w:rsidRDefault="00A71EEF">
      <w:pPr>
        <w:spacing w:line="446" w:lineRule="auto"/>
        <w:sectPr w:rsidR="00A71EEF">
          <w:pgSz w:w="11910" w:h="16850"/>
          <w:pgMar w:top="1220" w:right="0" w:bottom="1420" w:left="1260" w:header="0" w:footer="1239" w:gutter="0"/>
          <w:cols w:space="720"/>
        </w:sectPr>
      </w:pPr>
    </w:p>
    <w:p w14:paraId="7E61BF00" w14:textId="77777777" w:rsidR="00A71EEF" w:rsidRDefault="0081115D">
      <w:pPr>
        <w:pStyle w:val="a3"/>
        <w:spacing w:before="57" w:line="436" w:lineRule="auto"/>
        <w:ind w:left="418" w:right="1506" w:firstLine="419"/>
      </w:pPr>
      <w:r>
        <w:rPr>
          <w:color w:val="333333"/>
        </w:rPr>
        <w:lastRenderedPageBreak/>
        <w:t>耐火等级为三、四级且建筑体积不大于</w:t>
      </w:r>
      <w:r>
        <w:rPr>
          <w:color w:val="333333"/>
        </w:rPr>
        <w:t xml:space="preserve"> 3000m</w:t>
      </w:r>
      <w:r>
        <w:rPr>
          <w:color w:val="333333"/>
          <w:position w:val="11"/>
          <w:sz w:val="11"/>
        </w:rPr>
        <w:t xml:space="preserve">3 </w:t>
      </w:r>
      <w:r>
        <w:rPr>
          <w:color w:val="333333"/>
        </w:rPr>
        <w:t>的丁类厂房；耐火等级为三、四级且建筑体积不大于</w:t>
      </w:r>
      <w:r>
        <w:rPr>
          <w:color w:val="333333"/>
        </w:rPr>
        <w:t xml:space="preserve"> 5000m</w:t>
      </w:r>
      <w:r>
        <w:rPr>
          <w:color w:val="333333"/>
          <w:position w:val="11"/>
          <w:sz w:val="11"/>
        </w:rPr>
        <w:t xml:space="preserve">3 </w:t>
      </w:r>
      <w:r>
        <w:rPr>
          <w:color w:val="333333"/>
        </w:rPr>
        <w:t>的戊类厂房（仓库）；</w:t>
      </w:r>
      <w:r>
        <w:rPr>
          <w:color w:val="333333"/>
        </w:rPr>
        <w:t xml:space="preserve"> </w:t>
      </w:r>
    </w:p>
    <w:p w14:paraId="06E96501" w14:textId="77777777" w:rsidR="00A71EEF" w:rsidRDefault="0081115D">
      <w:pPr>
        <w:pStyle w:val="a3"/>
        <w:spacing w:before="10" w:line="446" w:lineRule="auto"/>
        <w:ind w:left="838" w:right="4866"/>
      </w:pPr>
      <w:r>
        <w:rPr>
          <w:color w:val="333333"/>
        </w:rPr>
        <w:t>粮食仓库、金库、远离城镇且无人值班的独立建筑；</w:t>
      </w:r>
      <w:r>
        <w:rPr>
          <w:color w:val="333333"/>
        </w:rPr>
        <w:t xml:space="preserve"> </w:t>
      </w:r>
      <w:r>
        <w:rPr>
          <w:color w:val="333333"/>
        </w:rPr>
        <w:t>存有与水接触能引起燃烧爆炸的物品的建筑；</w:t>
      </w:r>
      <w:r>
        <w:rPr>
          <w:color w:val="333333"/>
        </w:rPr>
        <w:t xml:space="preserve"> </w:t>
      </w:r>
    </w:p>
    <w:p w14:paraId="42D49089" w14:textId="77777777" w:rsidR="00A71EEF" w:rsidRDefault="0081115D">
      <w:pPr>
        <w:pStyle w:val="a3"/>
        <w:spacing w:line="446" w:lineRule="auto"/>
        <w:ind w:left="418" w:right="1608" w:firstLine="419"/>
      </w:pPr>
      <w:r>
        <w:rPr>
          <w:color w:val="333333"/>
          <w:spacing w:val="-5"/>
        </w:rPr>
        <w:t>室内无生产、生活给水管道，室外消防用水取自储水池且建筑体积不大于</w:t>
      </w:r>
      <w:r>
        <w:rPr>
          <w:color w:val="333333"/>
          <w:spacing w:val="-5"/>
        </w:rPr>
        <w:t xml:space="preserve"> </w:t>
      </w:r>
      <w:r>
        <w:rPr>
          <w:color w:val="333333"/>
        </w:rPr>
        <w:t>5000m</w:t>
      </w:r>
      <w:r>
        <w:rPr>
          <w:color w:val="333333"/>
          <w:position w:val="11"/>
          <w:sz w:val="11"/>
        </w:rPr>
        <w:t>3</w:t>
      </w:r>
      <w:r>
        <w:rPr>
          <w:color w:val="333333"/>
          <w:sz w:val="11"/>
        </w:rPr>
        <w:t xml:space="preserve"> </w:t>
      </w:r>
      <w:r>
        <w:rPr>
          <w:color w:val="333333"/>
          <w:spacing w:val="-2"/>
        </w:rPr>
        <w:t>的其他</w:t>
      </w:r>
      <w:r>
        <w:rPr>
          <w:color w:val="333333"/>
          <w:spacing w:val="-3"/>
        </w:rPr>
        <w:t>建筑。</w:t>
      </w:r>
      <w:r>
        <w:rPr>
          <w:color w:val="333333"/>
        </w:rPr>
        <w:t xml:space="preserve"> </w:t>
      </w:r>
    </w:p>
    <w:p w14:paraId="6FB9A1F2" w14:textId="77777777" w:rsidR="00A71EEF" w:rsidRDefault="0081115D">
      <w:pPr>
        <w:pStyle w:val="a4"/>
        <w:numPr>
          <w:ilvl w:val="2"/>
          <w:numId w:val="698"/>
        </w:numPr>
        <w:tabs>
          <w:tab w:val="left" w:pos="1370"/>
        </w:tabs>
        <w:ind w:hanging="530"/>
        <w:rPr>
          <w:sz w:val="21"/>
        </w:rPr>
      </w:pPr>
      <w:r>
        <w:rPr>
          <w:color w:val="333333"/>
          <w:spacing w:val="-3"/>
          <w:sz w:val="21"/>
        </w:rPr>
        <w:t>国家级文物保护单位的重点砖木或木结构的古建筑，宜设置室内消火栓系统。</w:t>
      </w:r>
      <w:r>
        <w:rPr>
          <w:color w:val="333333"/>
          <w:sz w:val="21"/>
        </w:rPr>
        <w:t xml:space="preserve"> </w:t>
      </w:r>
    </w:p>
    <w:p w14:paraId="3F86BA60" w14:textId="77777777" w:rsidR="00A71EEF" w:rsidRDefault="00A71EEF">
      <w:pPr>
        <w:pStyle w:val="a3"/>
        <w:spacing w:before="5"/>
        <w:rPr>
          <w:sz w:val="16"/>
        </w:rPr>
      </w:pPr>
    </w:p>
    <w:p w14:paraId="2EA8B949" w14:textId="77777777" w:rsidR="00A71EEF" w:rsidRDefault="0081115D">
      <w:pPr>
        <w:pStyle w:val="a4"/>
        <w:numPr>
          <w:ilvl w:val="2"/>
          <w:numId w:val="698"/>
        </w:numPr>
        <w:tabs>
          <w:tab w:val="left" w:pos="1370"/>
        </w:tabs>
        <w:spacing w:line="446" w:lineRule="auto"/>
        <w:ind w:left="418" w:right="1575" w:firstLine="422"/>
        <w:rPr>
          <w:sz w:val="21"/>
        </w:rPr>
      </w:pPr>
      <w:r>
        <w:rPr>
          <w:color w:val="333333"/>
          <w:spacing w:val="-6"/>
          <w:sz w:val="21"/>
        </w:rPr>
        <w:t>人员密集的公共建筑、建筑高度大于</w:t>
      </w:r>
      <w:r>
        <w:rPr>
          <w:color w:val="333333"/>
          <w:spacing w:val="-6"/>
          <w:sz w:val="21"/>
        </w:rPr>
        <w:t xml:space="preserve"> </w:t>
      </w:r>
      <w:r>
        <w:rPr>
          <w:color w:val="333333"/>
          <w:sz w:val="21"/>
        </w:rPr>
        <w:t>100m</w:t>
      </w:r>
      <w:r>
        <w:rPr>
          <w:color w:val="333333"/>
          <w:spacing w:val="-12"/>
          <w:sz w:val="21"/>
        </w:rPr>
        <w:t xml:space="preserve"> </w:t>
      </w:r>
      <w:r>
        <w:rPr>
          <w:color w:val="333333"/>
          <w:spacing w:val="-12"/>
          <w:sz w:val="21"/>
        </w:rPr>
        <w:t>的建筑和建筑面积大于</w:t>
      </w:r>
      <w:r>
        <w:rPr>
          <w:color w:val="333333"/>
          <w:spacing w:val="-12"/>
          <w:sz w:val="21"/>
        </w:rPr>
        <w:t xml:space="preserve"> </w:t>
      </w:r>
      <w:r>
        <w:rPr>
          <w:color w:val="333333"/>
          <w:sz w:val="21"/>
        </w:rPr>
        <w:t>200m</w:t>
      </w:r>
      <w:r>
        <w:rPr>
          <w:color w:val="333333"/>
          <w:position w:val="11"/>
          <w:sz w:val="11"/>
        </w:rPr>
        <w:t>2</w:t>
      </w:r>
      <w:r>
        <w:rPr>
          <w:color w:val="333333"/>
          <w:spacing w:val="-26"/>
          <w:position w:val="11"/>
          <w:sz w:val="11"/>
        </w:rPr>
        <w:t xml:space="preserve"> </w:t>
      </w:r>
      <w:r>
        <w:rPr>
          <w:color w:val="333333"/>
          <w:spacing w:val="-1"/>
          <w:sz w:val="21"/>
        </w:rPr>
        <w:t>的商业服务</w:t>
      </w:r>
      <w:r>
        <w:rPr>
          <w:color w:val="333333"/>
          <w:spacing w:val="-3"/>
          <w:sz w:val="21"/>
        </w:rPr>
        <w:t>网点内应设置消防软管卷盘或轻便消防水龙。高层住宅建筑的户内宜配置轻便消防水龙。</w:t>
      </w:r>
      <w:r>
        <w:rPr>
          <w:color w:val="333333"/>
          <w:sz w:val="21"/>
        </w:rPr>
        <w:t xml:space="preserve"> </w:t>
      </w:r>
    </w:p>
    <w:p w14:paraId="19D8F924" w14:textId="77777777" w:rsidR="00A71EEF" w:rsidRDefault="0081115D">
      <w:pPr>
        <w:pStyle w:val="a3"/>
        <w:spacing w:line="446" w:lineRule="auto"/>
        <w:ind w:left="418" w:right="1609" w:firstLine="419"/>
      </w:pPr>
      <w:r>
        <w:rPr>
          <w:color w:val="333333"/>
        </w:rPr>
        <w:t>老年人照料设施内应设置与室内供水系统直接连接的消防软管卷盘，消防软管卷盘的设置间距不应大于</w:t>
      </w:r>
      <w:r>
        <w:rPr>
          <w:color w:val="333333"/>
        </w:rPr>
        <w:t xml:space="preserve"> 30.0m</w:t>
      </w:r>
      <w:r>
        <w:rPr>
          <w:color w:val="333333"/>
        </w:rPr>
        <w:t>。</w:t>
      </w:r>
      <w:r>
        <w:rPr>
          <w:color w:val="333333"/>
        </w:rPr>
        <w:t xml:space="preserve"> </w:t>
      </w:r>
    </w:p>
    <w:p w14:paraId="33DAA8D4" w14:textId="77777777" w:rsidR="00A71EEF" w:rsidRDefault="0081115D">
      <w:pPr>
        <w:pStyle w:val="a4"/>
        <w:numPr>
          <w:ilvl w:val="1"/>
          <w:numId w:val="699"/>
        </w:numPr>
        <w:tabs>
          <w:tab w:val="left" w:pos="1159"/>
        </w:tabs>
        <w:spacing w:line="267" w:lineRule="exact"/>
        <w:ind w:hanging="319"/>
        <w:rPr>
          <w:sz w:val="21"/>
        </w:rPr>
      </w:pPr>
      <w:r>
        <w:rPr>
          <w:spacing w:val="-3"/>
          <w:sz w:val="21"/>
        </w:rPr>
        <w:t>自动灭火系统</w:t>
      </w:r>
      <w:r>
        <w:rPr>
          <w:sz w:val="21"/>
        </w:rPr>
        <w:t xml:space="preserve"> </w:t>
      </w:r>
    </w:p>
    <w:p w14:paraId="668BA32E" w14:textId="77777777" w:rsidR="00A71EEF" w:rsidRDefault="00A71EEF">
      <w:pPr>
        <w:pStyle w:val="a3"/>
        <w:spacing w:before="2"/>
        <w:rPr>
          <w:sz w:val="18"/>
        </w:rPr>
      </w:pPr>
    </w:p>
    <w:p w14:paraId="16001792" w14:textId="77777777" w:rsidR="00A71EEF" w:rsidRDefault="0081115D">
      <w:pPr>
        <w:pStyle w:val="a4"/>
        <w:numPr>
          <w:ilvl w:val="2"/>
          <w:numId w:val="699"/>
        </w:numPr>
        <w:tabs>
          <w:tab w:val="left" w:pos="1370"/>
        </w:tabs>
        <w:spacing w:line="446" w:lineRule="auto"/>
        <w:ind w:right="1604" w:firstLine="422"/>
        <w:rPr>
          <w:sz w:val="21"/>
        </w:rPr>
      </w:pPr>
      <w:r>
        <w:rPr>
          <w:color w:val="333333"/>
          <w:spacing w:val="-3"/>
          <w:sz w:val="21"/>
        </w:rPr>
        <w:t>除本规范另有规定和不宜用水保护或灭火的场所外，下列厂房或生产部位应设置自动灭火系统，并宜采用自动喷水灭火系统：</w:t>
      </w:r>
      <w:r>
        <w:rPr>
          <w:color w:val="333333"/>
          <w:sz w:val="21"/>
        </w:rPr>
        <w:t xml:space="preserve"> </w:t>
      </w:r>
    </w:p>
    <w:p w14:paraId="1C94F92F" w14:textId="77777777" w:rsidR="00A71EEF" w:rsidRDefault="0081115D">
      <w:pPr>
        <w:pStyle w:val="a3"/>
        <w:spacing w:line="446" w:lineRule="auto"/>
        <w:ind w:left="418" w:right="1714" w:firstLine="419"/>
      </w:pPr>
      <w:r>
        <w:rPr>
          <w:color w:val="333333"/>
          <w:spacing w:val="-13"/>
        </w:rPr>
        <w:t>不小于</w:t>
      </w:r>
      <w:r>
        <w:rPr>
          <w:color w:val="333333"/>
          <w:spacing w:val="-13"/>
        </w:rPr>
        <w:t xml:space="preserve"> </w:t>
      </w:r>
      <w:r>
        <w:rPr>
          <w:color w:val="333333"/>
        </w:rPr>
        <w:t>50000</w:t>
      </w:r>
      <w:r>
        <w:rPr>
          <w:color w:val="333333"/>
          <w:spacing w:val="-10"/>
        </w:rPr>
        <w:t xml:space="preserve"> </w:t>
      </w:r>
      <w:r>
        <w:rPr>
          <w:color w:val="333333"/>
          <w:spacing w:val="-10"/>
        </w:rPr>
        <w:t>纱锭的棉纺厂的开包、清花车间，不小于</w:t>
      </w:r>
      <w:r>
        <w:rPr>
          <w:color w:val="333333"/>
          <w:spacing w:val="-10"/>
        </w:rPr>
        <w:t xml:space="preserve"> </w:t>
      </w:r>
      <w:r>
        <w:rPr>
          <w:color w:val="333333"/>
        </w:rPr>
        <w:t>5000</w:t>
      </w:r>
      <w:r>
        <w:rPr>
          <w:color w:val="333333"/>
          <w:spacing w:val="-8"/>
        </w:rPr>
        <w:t xml:space="preserve"> </w:t>
      </w:r>
      <w:r>
        <w:rPr>
          <w:color w:val="333333"/>
          <w:spacing w:val="-8"/>
        </w:rPr>
        <w:t>锭的麻纺厂的分级、梳麻车</w:t>
      </w:r>
      <w:r>
        <w:rPr>
          <w:color w:val="333333"/>
          <w:spacing w:val="-5"/>
        </w:rPr>
        <w:t>间，火柴厂的烤梗、筛选部位；</w:t>
      </w:r>
      <w:r>
        <w:rPr>
          <w:color w:val="333333"/>
        </w:rPr>
        <w:t xml:space="preserve"> </w:t>
      </w:r>
    </w:p>
    <w:p w14:paraId="1A283BF2" w14:textId="77777777" w:rsidR="00A71EEF" w:rsidRDefault="0081115D">
      <w:pPr>
        <w:pStyle w:val="a3"/>
        <w:spacing w:line="446" w:lineRule="auto"/>
        <w:ind w:left="418" w:right="1577" w:firstLine="419"/>
      </w:pPr>
      <w:r>
        <w:rPr>
          <w:color w:val="333333"/>
          <w:spacing w:val="-9"/>
        </w:rPr>
        <w:t>占地面积大于</w:t>
      </w:r>
      <w:r>
        <w:rPr>
          <w:color w:val="333333"/>
          <w:spacing w:val="-9"/>
        </w:rPr>
        <w:t xml:space="preserve"> </w:t>
      </w:r>
      <w:r>
        <w:rPr>
          <w:color w:val="333333"/>
        </w:rPr>
        <w:t>1500m</w:t>
      </w:r>
      <w:r>
        <w:rPr>
          <w:color w:val="333333"/>
          <w:position w:val="11"/>
          <w:sz w:val="11"/>
        </w:rPr>
        <w:t>2</w:t>
      </w:r>
      <w:r>
        <w:rPr>
          <w:color w:val="333333"/>
          <w:sz w:val="11"/>
        </w:rPr>
        <w:t xml:space="preserve"> </w:t>
      </w:r>
      <w:r>
        <w:rPr>
          <w:color w:val="333333"/>
          <w:spacing w:val="-8"/>
        </w:rPr>
        <w:t>或总建筑面积大于</w:t>
      </w:r>
      <w:r>
        <w:rPr>
          <w:color w:val="333333"/>
          <w:spacing w:val="-8"/>
        </w:rPr>
        <w:t xml:space="preserve"> </w:t>
      </w:r>
      <w:r>
        <w:rPr>
          <w:color w:val="333333"/>
        </w:rPr>
        <w:t>3000m</w:t>
      </w:r>
      <w:r>
        <w:rPr>
          <w:color w:val="333333"/>
          <w:position w:val="11"/>
          <w:sz w:val="11"/>
        </w:rPr>
        <w:t xml:space="preserve">2 </w:t>
      </w:r>
      <w:r>
        <w:rPr>
          <w:color w:val="333333"/>
          <w:spacing w:val="-3"/>
        </w:rPr>
        <w:t>的单、多层制鞋、制衣、玩具及电子等类似生产的厂房；</w:t>
      </w:r>
      <w:r>
        <w:rPr>
          <w:color w:val="333333"/>
        </w:rPr>
        <w:t xml:space="preserve"> </w:t>
      </w:r>
    </w:p>
    <w:p w14:paraId="14906B6A" w14:textId="77777777" w:rsidR="00A71EEF" w:rsidRDefault="0081115D">
      <w:pPr>
        <w:pStyle w:val="a3"/>
        <w:spacing w:line="269" w:lineRule="exact"/>
        <w:ind w:left="838"/>
      </w:pPr>
      <w:r>
        <w:rPr>
          <w:color w:val="333333"/>
        </w:rPr>
        <w:t>占地面积大于</w:t>
      </w:r>
      <w:r>
        <w:rPr>
          <w:color w:val="333333"/>
        </w:rPr>
        <w:t xml:space="preserve"> 1500m</w:t>
      </w:r>
      <w:r>
        <w:rPr>
          <w:color w:val="333333"/>
          <w:position w:val="11"/>
          <w:sz w:val="11"/>
        </w:rPr>
        <w:t>2</w:t>
      </w:r>
      <w:r>
        <w:rPr>
          <w:color w:val="333333"/>
          <w:sz w:val="11"/>
        </w:rPr>
        <w:t xml:space="preserve"> </w:t>
      </w:r>
      <w:r>
        <w:rPr>
          <w:color w:val="333333"/>
        </w:rPr>
        <w:t>的木器厂房；</w:t>
      </w:r>
      <w:r>
        <w:rPr>
          <w:color w:val="333333"/>
        </w:rPr>
        <w:t xml:space="preserve"> </w:t>
      </w:r>
    </w:p>
    <w:p w14:paraId="03757357" w14:textId="77777777" w:rsidR="00A71EEF" w:rsidRDefault="00A71EEF">
      <w:pPr>
        <w:pStyle w:val="a3"/>
        <w:spacing w:before="1"/>
        <w:rPr>
          <w:sz w:val="17"/>
        </w:rPr>
      </w:pPr>
    </w:p>
    <w:p w14:paraId="4BD67C10" w14:textId="77777777" w:rsidR="00A71EEF" w:rsidRDefault="0081115D">
      <w:pPr>
        <w:pStyle w:val="a3"/>
        <w:spacing w:line="446" w:lineRule="auto"/>
        <w:ind w:left="838" w:right="5497"/>
      </w:pPr>
      <w:r>
        <w:rPr>
          <w:color w:val="333333"/>
        </w:rPr>
        <w:t>泡沫塑料厂的预发、成型、切片、压花部位；</w:t>
      </w:r>
      <w:r>
        <w:rPr>
          <w:color w:val="333333"/>
        </w:rPr>
        <w:t xml:space="preserve"> </w:t>
      </w:r>
      <w:r>
        <w:rPr>
          <w:color w:val="333333"/>
        </w:rPr>
        <w:t>高层乙、丙类厂房；</w:t>
      </w:r>
      <w:r>
        <w:rPr>
          <w:color w:val="333333"/>
        </w:rPr>
        <w:t xml:space="preserve"> </w:t>
      </w:r>
    </w:p>
    <w:p w14:paraId="7E625923" w14:textId="77777777" w:rsidR="00A71EEF" w:rsidRDefault="0081115D">
      <w:pPr>
        <w:pStyle w:val="a3"/>
        <w:spacing w:line="269" w:lineRule="exact"/>
        <w:ind w:left="838"/>
      </w:pPr>
      <w:r>
        <w:rPr>
          <w:color w:val="333333"/>
        </w:rPr>
        <w:t>建筑面积大于</w:t>
      </w:r>
      <w:r>
        <w:rPr>
          <w:color w:val="333333"/>
        </w:rPr>
        <w:t xml:space="preserve"> 500m</w:t>
      </w:r>
      <w:r>
        <w:rPr>
          <w:color w:val="333333"/>
          <w:position w:val="11"/>
          <w:sz w:val="11"/>
        </w:rPr>
        <w:t>2</w:t>
      </w:r>
      <w:r>
        <w:rPr>
          <w:color w:val="333333"/>
          <w:sz w:val="11"/>
        </w:rPr>
        <w:t xml:space="preserve"> </w:t>
      </w:r>
      <w:r>
        <w:rPr>
          <w:color w:val="333333"/>
        </w:rPr>
        <w:t>的地下或半地下丙类厂房。</w:t>
      </w:r>
      <w:r>
        <w:rPr>
          <w:color w:val="333333"/>
        </w:rPr>
        <w:t xml:space="preserve"> </w:t>
      </w:r>
    </w:p>
    <w:p w14:paraId="1E028010" w14:textId="77777777" w:rsidR="00A71EEF" w:rsidRDefault="00A71EEF">
      <w:pPr>
        <w:pStyle w:val="a3"/>
        <w:spacing w:before="12"/>
        <w:rPr>
          <w:sz w:val="17"/>
        </w:rPr>
      </w:pPr>
    </w:p>
    <w:p w14:paraId="60F7B276" w14:textId="77777777" w:rsidR="00A71EEF" w:rsidRDefault="0081115D">
      <w:pPr>
        <w:pStyle w:val="a4"/>
        <w:numPr>
          <w:ilvl w:val="2"/>
          <w:numId w:val="699"/>
        </w:numPr>
        <w:tabs>
          <w:tab w:val="left" w:pos="1370"/>
        </w:tabs>
        <w:spacing w:line="446" w:lineRule="auto"/>
        <w:ind w:right="1812" w:firstLine="422"/>
        <w:rPr>
          <w:sz w:val="21"/>
        </w:rPr>
      </w:pPr>
      <w:r>
        <w:rPr>
          <w:color w:val="333333"/>
          <w:spacing w:val="-3"/>
          <w:sz w:val="21"/>
        </w:rPr>
        <w:t>除本规范另有规定和不宜用水保护或灭火的仓库外，下列仓库应设置自动灭火系统，并宜采用自动喷水灭火系统：</w:t>
      </w:r>
      <w:r>
        <w:rPr>
          <w:color w:val="333333"/>
          <w:sz w:val="21"/>
        </w:rPr>
        <w:t xml:space="preserve"> </w:t>
      </w:r>
    </w:p>
    <w:p w14:paraId="1986521B" w14:textId="77777777" w:rsidR="00A71EEF" w:rsidRDefault="0081115D">
      <w:pPr>
        <w:pStyle w:val="a3"/>
        <w:spacing w:line="436" w:lineRule="auto"/>
        <w:ind w:left="838" w:right="2552"/>
      </w:pPr>
      <w:r>
        <w:rPr>
          <w:color w:val="333333"/>
          <w:spacing w:val="-8"/>
        </w:rPr>
        <w:t>每座占地面积大于</w:t>
      </w:r>
      <w:r>
        <w:rPr>
          <w:color w:val="333333"/>
          <w:spacing w:val="-8"/>
        </w:rPr>
        <w:t xml:space="preserve"> </w:t>
      </w:r>
      <w:r>
        <w:rPr>
          <w:color w:val="333333"/>
        </w:rPr>
        <w:t>1000m</w:t>
      </w:r>
      <w:r>
        <w:rPr>
          <w:color w:val="333333"/>
          <w:position w:val="11"/>
          <w:sz w:val="11"/>
        </w:rPr>
        <w:t>2</w:t>
      </w:r>
      <w:r>
        <w:rPr>
          <w:color w:val="333333"/>
          <w:sz w:val="11"/>
        </w:rPr>
        <w:t xml:space="preserve"> </w:t>
      </w:r>
      <w:r>
        <w:rPr>
          <w:color w:val="333333"/>
          <w:spacing w:val="-3"/>
        </w:rPr>
        <w:t>的棉、毛、丝、麻、化纤、毛皮及其制品的仓库；</w:t>
      </w:r>
      <w:r>
        <w:rPr>
          <w:color w:val="333333"/>
          <w:spacing w:val="-3"/>
        </w:rPr>
        <w:t xml:space="preserve"> </w:t>
      </w:r>
      <w:r>
        <w:rPr>
          <w:color w:val="333333"/>
          <w:spacing w:val="-6"/>
        </w:rPr>
        <w:t>注：单层占地面积不大于</w:t>
      </w:r>
      <w:r>
        <w:rPr>
          <w:color w:val="333333"/>
          <w:spacing w:val="-6"/>
        </w:rPr>
        <w:t xml:space="preserve"> </w:t>
      </w:r>
      <w:r>
        <w:rPr>
          <w:color w:val="333333"/>
        </w:rPr>
        <w:t>2000m</w:t>
      </w:r>
      <w:r>
        <w:rPr>
          <w:color w:val="333333"/>
          <w:position w:val="11"/>
          <w:sz w:val="11"/>
        </w:rPr>
        <w:t>2</w:t>
      </w:r>
      <w:r>
        <w:rPr>
          <w:color w:val="333333"/>
          <w:spacing w:val="14"/>
          <w:position w:val="11"/>
          <w:sz w:val="11"/>
        </w:rPr>
        <w:t xml:space="preserve">  </w:t>
      </w:r>
      <w:r>
        <w:rPr>
          <w:color w:val="333333"/>
          <w:spacing w:val="-3"/>
        </w:rPr>
        <w:t>的棉花库房，可不设置自动喷水灭火系统。</w:t>
      </w:r>
      <w:r>
        <w:rPr>
          <w:color w:val="333333"/>
          <w:spacing w:val="-9"/>
        </w:rPr>
        <w:t>每座占地面积大于</w:t>
      </w:r>
      <w:r>
        <w:rPr>
          <w:color w:val="333333"/>
          <w:spacing w:val="-9"/>
        </w:rPr>
        <w:t xml:space="preserve"> </w:t>
      </w:r>
      <w:r>
        <w:rPr>
          <w:color w:val="333333"/>
        </w:rPr>
        <w:t>600m</w:t>
      </w:r>
      <w:r>
        <w:rPr>
          <w:color w:val="333333"/>
          <w:position w:val="11"/>
          <w:sz w:val="11"/>
        </w:rPr>
        <w:t>2</w:t>
      </w:r>
      <w:r>
        <w:rPr>
          <w:color w:val="333333"/>
          <w:sz w:val="11"/>
        </w:rPr>
        <w:t xml:space="preserve"> </w:t>
      </w:r>
      <w:r>
        <w:rPr>
          <w:color w:val="333333"/>
          <w:spacing w:val="-3"/>
        </w:rPr>
        <w:t>的火柴仓库；</w:t>
      </w:r>
      <w:r>
        <w:rPr>
          <w:color w:val="333333"/>
        </w:rPr>
        <w:t xml:space="preserve"> </w:t>
      </w:r>
    </w:p>
    <w:p w14:paraId="5108853D" w14:textId="77777777" w:rsidR="00A71EEF" w:rsidRDefault="0081115D">
      <w:pPr>
        <w:pStyle w:val="a3"/>
        <w:ind w:left="838"/>
      </w:pPr>
      <w:r>
        <w:rPr>
          <w:color w:val="333333"/>
        </w:rPr>
        <w:t>邮政建筑内建筑面积大于</w:t>
      </w:r>
      <w:r>
        <w:rPr>
          <w:color w:val="333333"/>
        </w:rPr>
        <w:t xml:space="preserve"> 500m</w:t>
      </w:r>
      <w:r>
        <w:rPr>
          <w:color w:val="333333"/>
          <w:position w:val="11"/>
          <w:sz w:val="11"/>
        </w:rPr>
        <w:t>2</w:t>
      </w:r>
      <w:r>
        <w:rPr>
          <w:color w:val="333333"/>
          <w:sz w:val="11"/>
        </w:rPr>
        <w:t xml:space="preserve"> </w:t>
      </w:r>
      <w:r>
        <w:rPr>
          <w:color w:val="333333"/>
        </w:rPr>
        <w:t>的空邮袋库；</w:t>
      </w:r>
      <w:r>
        <w:rPr>
          <w:color w:val="333333"/>
        </w:rPr>
        <w:t xml:space="preserve"> </w:t>
      </w:r>
    </w:p>
    <w:p w14:paraId="4EEC4E2D" w14:textId="77777777" w:rsidR="00A71EEF" w:rsidRDefault="00A71EEF">
      <w:pPr>
        <w:sectPr w:rsidR="00A71EEF">
          <w:footerReference w:type="default" r:id="rId146"/>
          <w:pgSz w:w="11910" w:h="16850"/>
          <w:pgMar w:top="1200" w:right="0" w:bottom="1420" w:left="1260" w:header="0" w:footer="1239" w:gutter="0"/>
          <w:pgNumType w:start="1040"/>
          <w:cols w:space="720"/>
        </w:sectPr>
      </w:pPr>
    </w:p>
    <w:p w14:paraId="5A7FE618" w14:textId="77777777" w:rsidR="00A71EEF" w:rsidRDefault="0081115D">
      <w:pPr>
        <w:pStyle w:val="a3"/>
        <w:spacing w:before="47"/>
        <w:ind w:left="838"/>
      </w:pPr>
      <w:r>
        <w:rPr>
          <w:color w:val="333333"/>
        </w:rPr>
        <w:lastRenderedPageBreak/>
        <w:t>可燃、难燃物品的高架仓库和高层仓库；</w:t>
      </w:r>
      <w:r>
        <w:rPr>
          <w:color w:val="333333"/>
        </w:rPr>
        <w:t xml:space="preserve"> </w:t>
      </w:r>
    </w:p>
    <w:p w14:paraId="77AB0713" w14:textId="77777777" w:rsidR="00A71EEF" w:rsidRDefault="00A71EEF">
      <w:pPr>
        <w:pStyle w:val="a3"/>
        <w:spacing w:before="3"/>
        <w:rPr>
          <w:sz w:val="17"/>
        </w:rPr>
      </w:pPr>
    </w:p>
    <w:p w14:paraId="773B545E" w14:textId="77777777" w:rsidR="00A71EEF" w:rsidRDefault="0081115D">
      <w:pPr>
        <w:pStyle w:val="a3"/>
        <w:spacing w:line="446" w:lineRule="auto"/>
        <w:ind w:left="418" w:right="1500" w:firstLine="419"/>
      </w:pPr>
      <w:r>
        <w:rPr>
          <w:color w:val="333333"/>
          <w:spacing w:val="-9"/>
        </w:rPr>
        <w:t>设计温度高于</w:t>
      </w:r>
      <w:r>
        <w:rPr>
          <w:color w:val="333333"/>
          <w:spacing w:val="-9"/>
        </w:rPr>
        <w:t xml:space="preserve"> </w:t>
      </w:r>
      <w:r>
        <w:rPr>
          <w:color w:val="333333"/>
        </w:rPr>
        <w:t>0</w:t>
      </w:r>
      <w:r>
        <w:rPr>
          <w:color w:val="333333"/>
          <w:spacing w:val="-7"/>
        </w:rPr>
        <w:t>℃</w:t>
      </w:r>
      <w:r>
        <w:rPr>
          <w:color w:val="333333"/>
          <w:spacing w:val="-7"/>
        </w:rPr>
        <w:t>的高架冷库，设计温度高于</w:t>
      </w:r>
      <w:r>
        <w:rPr>
          <w:color w:val="333333"/>
          <w:spacing w:val="-7"/>
        </w:rPr>
        <w:t xml:space="preserve"> </w:t>
      </w:r>
      <w:r>
        <w:rPr>
          <w:color w:val="333333"/>
        </w:rPr>
        <w:t>0</w:t>
      </w:r>
      <w:r>
        <w:rPr>
          <w:color w:val="333333"/>
          <w:spacing w:val="-7"/>
        </w:rPr>
        <w:t>℃</w:t>
      </w:r>
      <w:r>
        <w:rPr>
          <w:color w:val="333333"/>
          <w:spacing w:val="-7"/>
        </w:rPr>
        <w:t>且每个防火分区建筑面积大于</w:t>
      </w:r>
      <w:r>
        <w:rPr>
          <w:color w:val="333333"/>
          <w:spacing w:val="-7"/>
        </w:rPr>
        <w:t xml:space="preserve"> </w:t>
      </w:r>
      <w:r>
        <w:rPr>
          <w:color w:val="333333"/>
        </w:rPr>
        <w:t>1500m</w:t>
      </w:r>
      <w:r>
        <w:rPr>
          <w:color w:val="333333"/>
          <w:position w:val="11"/>
          <w:sz w:val="11"/>
        </w:rPr>
        <w:t>2</w:t>
      </w:r>
      <w:r>
        <w:rPr>
          <w:color w:val="333333"/>
          <w:sz w:val="11"/>
        </w:rPr>
        <w:t xml:space="preserve"> </w:t>
      </w:r>
      <w:r>
        <w:rPr>
          <w:color w:val="333333"/>
        </w:rPr>
        <w:t>的</w:t>
      </w:r>
      <w:r>
        <w:rPr>
          <w:color w:val="333333"/>
          <w:spacing w:val="-3"/>
        </w:rPr>
        <w:t>非高架冷库；</w:t>
      </w:r>
      <w:r>
        <w:rPr>
          <w:color w:val="333333"/>
        </w:rPr>
        <w:t xml:space="preserve"> </w:t>
      </w:r>
    </w:p>
    <w:p w14:paraId="3A208CB7" w14:textId="77777777" w:rsidR="00A71EEF" w:rsidRDefault="0081115D">
      <w:pPr>
        <w:pStyle w:val="a3"/>
        <w:spacing w:line="269" w:lineRule="exact"/>
        <w:ind w:left="838"/>
      </w:pPr>
      <w:r>
        <w:rPr>
          <w:color w:val="333333"/>
        </w:rPr>
        <w:t xml:space="preserve"> </w:t>
      </w:r>
      <w:r>
        <w:rPr>
          <w:color w:val="333333"/>
        </w:rPr>
        <w:t>总建筑面积大于</w:t>
      </w:r>
      <w:r>
        <w:rPr>
          <w:color w:val="333333"/>
        </w:rPr>
        <w:t xml:space="preserve"> 500m</w:t>
      </w:r>
      <w:r>
        <w:rPr>
          <w:color w:val="333333"/>
          <w:position w:val="11"/>
          <w:sz w:val="11"/>
        </w:rPr>
        <w:t>2</w:t>
      </w:r>
      <w:r>
        <w:rPr>
          <w:color w:val="333333"/>
          <w:sz w:val="11"/>
        </w:rPr>
        <w:t xml:space="preserve"> </w:t>
      </w:r>
      <w:r>
        <w:rPr>
          <w:color w:val="333333"/>
        </w:rPr>
        <w:t>的可燃物品地下仓库；</w:t>
      </w:r>
      <w:r>
        <w:rPr>
          <w:color w:val="333333"/>
        </w:rPr>
        <w:t xml:space="preserve"> </w:t>
      </w:r>
    </w:p>
    <w:p w14:paraId="0DC317FC" w14:textId="77777777" w:rsidR="00A71EEF" w:rsidRDefault="00A71EEF">
      <w:pPr>
        <w:pStyle w:val="a3"/>
        <w:spacing w:before="2"/>
        <w:rPr>
          <w:sz w:val="17"/>
        </w:rPr>
      </w:pPr>
    </w:p>
    <w:p w14:paraId="107BC750" w14:textId="77777777" w:rsidR="00A71EEF" w:rsidRDefault="0081115D">
      <w:pPr>
        <w:pStyle w:val="a3"/>
        <w:spacing w:line="446" w:lineRule="auto"/>
        <w:ind w:left="840" w:right="1604" w:hanging="3"/>
      </w:pPr>
      <w:r>
        <w:rPr>
          <w:color w:val="333333"/>
        </w:rPr>
        <w:t xml:space="preserve"> </w:t>
      </w:r>
      <w:r>
        <w:rPr>
          <w:color w:val="333333"/>
        </w:rPr>
        <w:t>每座占地面积大于</w:t>
      </w:r>
      <w:r>
        <w:rPr>
          <w:color w:val="333333"/>
        </w:rPr>
        <w:t xml:space="preserve"> 1500m</w:t>
      </w:r>
      <w:r>
        <w:rPr>
          <w:color w:val="333333"/>
          <w:position w:val="11"/>
          <w:sz w:val="11"/>
        </w:rPr>
        <w:t xml:space="preserve">2 </w:t>
      </w:r>
      <w:r>
        <w:rPr>
          <w:color w:val="333333"/>
        </w:rPr>
        <w:t>或总建筑面积大于</w:t>
      </w:r>
      <w:r>
        <w:rPr>
          <w:color w:val="333333"/>
        </w:rPr>
        <w:t xml:space="preserve"> 3000m</w:t>
      </w:r>
      <w:r>
        <w:rPr>
          <w:color w:val="333333"/>
          <w:position w:val="11"/>
          <w:sz w:val="11"/>
        </w:rPr>
        <w:t xml:space="preserve">2 </w:t>
      </w:r>
      <w:r>
        <w:rPr>
          <w:color w:val="333333"/>
        </w:rPr>
        <w:t>的其他单层或多层丙类物品仓库。</w:t>
      </w:r>
      <w:r>
        <w:rPr>
          <w:b/>
          <w:color w:val="333333"/>
        </w:rPr>
        <w:t xml:space="preserve">8.3.3 </w:t>
      </w:r>
      <w:r>
        <w:rPr>
          <w:color w:val="333333"/>
        </w:rPr>
        <w:t>除本规范另有规定和不宜用水保护或灭火的场所外，下列高层民用建筑或场所应设</w:t>
      </w:r>
    </w:p>
    <w:p w14:paraId="7799F458" w14:textId="77777777" w:rsidR="00A71EEF" w:rsidRDefault="0081115D">
      <w:pPr>
        <w:pStyle w:val="a3"/>
        <w:ind w:left="418"/>
      </w:pPr>
      <w:r>
        <w:rPr>
          <w:color w:val="333333"/>
        </w:rPr>
        <w:t>置自动灭火系统，并宜采用自动喷水灭火系统：</w:t>
      </w:r>
      <w:r>
        <w:rPr>
          <w:color w:val="333333"/>
        </w:rPr>
        <w:t xml:space="preserve"> </w:t>
      </w:r>
    </w:p>
    <w:p w14:paraId="683FBB38" w14:textId="77777777" w:rsidR="00A71EEF" w:rsidRDefault="00A71EEF">
      <w:pPr>
        <w:pStyle w:val="a3"/>
        <w:rPr>
          <w:sz w:val="18"/>
        </w:rPr>
      </w:pPr>
    </w:p>
    <w:p w14:paraId="6FFE38DE" w14:textId="77777777" w:rsidR="00A71EEF" w:rsidRDefault="0081115D">
      <w:pPr>
        <w:pStyle w:val="a3"/>
        <w:ind w:left="838"/>
      </w:pPr>
      <w:r>
        <w:rPr>
          <w:color w:val="333333"/>
        </w:rPr>
        <w:t>一类高层公共建筑（除游泳池、溜冰场外）及其地下、半地下室；</w:t>
      </w:r>
      <w:r>
        <w:rPr>
          <w:color w:val="333333"/>
        </w:rPr>
        <w:t xml:space="preserve"> </w:t>
      </w:r>
    </w:p>
    <w:p w14:paraId="06D8A193" w14:textId="77777777" w:rsidR="00A71EEF" w:rsidRDefault="00A71EEF">
      <w:pPr>
        <w:pStyle w:val="a3"/>
        <w:rPr>
          <w:sz w:val="18"/>
        </w:rPr>
      </w:pPr>
    </w:p>
    <w:p w14:paraId="3FBB40DF" w14:textId="77777777" w:rsidR="00A71EEF" w:rsidRDefault="0081115D">
      <w:pPr>
        <w:pStyle w:val="a3"/>
        <w:spacing w:line="446" w:lineRule="auto"/>
        <w:ind w:left="418" w:right="1609" w:firstLine="419"/>
      </w:pPr>
      <w:r>
        <w:rPr>
          <w:color w:val="333333"/>
        </w:rPr>
        <w:t>二类高层公共建筑及其地下、半地下室的公共活动用房、走道、办公室和旅馆的客房、可燃物品库房、自动扶梯底部；</w:t>
      </w:r>
      <w:r>
        <w:rPr>
          <w:color w:val="333333"/>
        </w:rPr>
        <w:t xml:space="preserve"> </w:t>
      </w:r>
    </w:p>
    <w:p w14:paraId="0DB474E5" w14:textId="77777777" w:rsidR="00A71EEF" w:rsidRDefault="0081115D">
      <w:pPr>
        <w:pStyle w:val="a3"/>
        <w:spacing w:line="446" w:lineRule="auto"/>
        <w:ind w:left="838" w:right="5709"/>
      </w:pPr>
      <w:r>
        <w:rPr>
          <w:color w:val="333333"/>
        </w:rPr>
        <w:t>高层民用建筑内的歌舞娱乐放映游艺场所；</w:t>
      </w:r>
      <w:r>
        <w:rPr>
          <w:color w:val="333333"/>
        </w:rPr>
        <w:t xml:space="preserve"> </w:t>
      </w:r>
      <w:r>
        <w:rPr>
          <w:color w:val="333333"/>
        </w:rPr>
        <w:t>建筑高度大于</w:t>
      </w:r>
      <w:r>
        <w:rPr>
          <w:color w:val="333333"/>
        </w:rPr>
        <w:t xml:space="preserve"> 100m </w:t>
      </w:r>
      <w:r>
        <w:rPr>
          <w:color w:val="333333"/>
        </w:rPr>
        <w:t>的住宅建筑。</w:t>
      </w:r>
      <w:r>
        <w:rPr>
          <w:color w:val="333333"/>
        </w:rPr>
        <w:t xml:space="preserve"> </w:t>
      </w:r>
    </w:p>
    <w:p w14:paraId="5EF52C69" w14:textId="77777777" w:rsidR="00A71EEF" w:rsidRDefault="00A71EEF">
      <w:pPr>
        <w:pStyle w:val="a3"/>
        <w:rPr>
          <w:sz w:val="20"/>
        </w:rPr>
      </w:pPr>
    </w:p>
    <w:p w14:paraId="7EB5B353" w14:textId="77777777" w:rsidR="00A71EEF" w:rsidRDefault="00A71EEF">
      <w:pPr>
        <w:pStyle w:val="a3"/>
        <w:spacing w:before="12"/>
        <w:rPr>
          <w:sz w:val="18"/>
        </w:rPr>
      </w:pPr>
    </w:p>
    <w:p w14:paraId="1BAD68AC" w14:textId="77777777" w:rsidR="00A71EEF" w:rsidRDefault="0081115D">
      <w:pPr>
        <w:pStyle w:val="a4"/>
        <w:numPr>
          <w:ilvl w:val="2"/>
          <w:numId w:val="697"/>
        </w:numPr>
        <w:tabs>
          <w:tab w:val="left" w:pos="1371"/>
        </w:tabs>
        <w:spacing w:line="446" w:lineRule="auto"/>
        <w:ind w:right="1604" w:firstLine="422"/>
        <w:rPr>
          <w:sz w:val="21"/>
        </w:rPr>
      </w:pPr>
      <w:r>
        <w:rPr>
          <w:color w:val="333333"/>
          <w:spacing w:val="-3"/>
          <w:sz w:val="21"/>
        </w:rPr>
        <w:t>除本规范另有规定和不宜用水保护或灭火的场所外，下列单、多层民用建筑或场所应设置自动灭火系统，并宜采用自动喷水灭火系统：</w:t>
      </w:r>
      <w:r>
        <w:rPr>
          <w:color w:val="333333"/>
          <w:spacing w:val="-3"/>
          <w:sz w:val="21"/>
        </w:rPr>
        <w:t xml:space="preserve"> </w:t>
      </w:r>
    </w:p>
    <w:p w14:paraId="66954927" w14:textId="77777777" w:rsidR="00A71EEF" w:rsidRDefault="0081115D">
      <w:pPr>
        <w:pStyle w:val="a3"/>
        <w:ind w:left="838"/>
      </w:pPr>
      <w:r>
        <w:rPr>
          <w:color w:val="333333"/>
        </w:rPr>
        <w:t xml:space="preserve"> </w:t>
      </w:r>
      <w:r>
        <w:rPr>
          <w:color w:val="333333"/>
        </w:rPr>
        <w:t>特等、甲等</w:t>
      </w:r>
      <w:r>
        <w:rPr>
          <w:color w:val="333333"/>
        </w:rPr>
        <w:t>剧场，超过</w:t>
      </w:r>
      <w:r>
        <w:rPr>
          <w:color w:val="333333"/>
        </w:rPr>
        <w:t xml:space="preserve"> 1500 </w:t>
      </w:r>
      <w:r>
        <w:rPr>
          <w:color w:val="333333"/>
        </w:rPr>
        <w:t>个座位的其他等级的剧场，超过</w:t>
      </w:r>
      <w:r>
        <w:rPr>
          <w:color w:val="333333"/>
        </w:rPr>
        <w:t xml:space="preserve"> 2000 </w:t>
      </w:r>
      <w:r>
        <w:rPr>
          <w:color w:val="333333"/>
        </w:rPr>
        <w:t>个座位的会堂或礼堂，</w:t>
      </w:r>
    </w:p>
    <w:p w14:paraId="08243FA1" w14:textId="77777777" w:rsidR="00A71EEF" w:rsidRDefault="00A71EEF">
      <w:pPr>
        <w:pStyle w:val="a3"/>
        <w:rPr>
          <w:sz w:val="18"/>
        </w:rPr>
      </w:pPr>
    </w:p>
    <w:p w14:paraId="71A9AA86" w14:textId="77777777" w:rsidR="00A71EEF" w:rsidRDefault="0081115D">
      <w:pPr>
        <w:pStyle w:val="a3"/>
        <w:ind w:left="418"/>
      </w:pPr>
      <w:r>
        <w:rPr>
          <w:color w:val="333333"/>
        </w:rPr>
        <w:t>超过</w:t>
      </w:r>
      <w:r>
        <w:rPr>
          <w:color w:val="333333"/>
        </w:rPr>
        <w:t xml:space="preserve"> 3000 </w:t>
      </w:r>
      <w:r>
        <w:rPr>
          <w:color w:val="333333"/>
        </w:rPr>
        <w:t>个座位的体育馆，超过</w:t>
      </w:r>
      <w:r>
        <w:rPr>
          <w:color w:val="333333"/>
        </w:rPr>
        <w:t xml:space="preserve"> 5000 </w:t>
      </w:r>
      <w:r>
        <w:rPr>
          <w:color w:val="333333"/>
        </w:rPr>
        <w:t>人的体育场的室内人员休息室与器材间等；</w:t>
      </w:r>
      <w:r>
        <w:rPr>
          <w:color w:val="333333"/>
        </w:rPr>
        <w:t xml:space="preserve"> </w:t>
      </w:r>
    </w:p>
    <w:p w14:paraId="14FFC8E0" w14:textId="77777777" w:rsidR="00A71EEF" w:rsidRDefault="00A71EEF">
      <w:pPr>
        <w:pStyle w:val="a3"/>
        <w:spacing w:before="2"/>
        <w:rPr>
          <w:sz w:val="17"/>
        </w:rPr>
      </w:pPr>
    </w:p>
    <w:p w14:paraId="33C9E5F5" w14:textId="77777777" w:rsidR="00A71EEF" w:rsidRDefault="0081115D">
      <w:pPr>
        <w:pStyle w:val="a3"/>
        <w:spacing w:line="446" w:lineRule="auto"/>
        <w:ind w:left="418" w:right="1608" w:firstLine="419"/>
      </w:pPr>
      <w:r>
        <w:rPr>
          <w:color w:val="333333"/>
          <w:spacing w:val="-8"/>
        </w:rPr>
        <w:t>任一层建筑面积大于</w:t>
      </w:r>
      <w:r>
        <w:rPr>
          <w:color w:val="333333"/>
          <w:spacing w:val="-8"/>
        </w:rPr>
        <w:t xml:space="preserve"> </w:t>
      </w:r>
      <w:r>
        <w:rPr>
          <w:color w:val="333333"/>
        </w:rPr>
        <w:t>1500m</w:t>
      </w:r>
      <w:r>
        <w:rPr>
          <w:color w:val="333333"/>
          <w:position w:val="11"/>
          <w:sz w:val="11"/>
        </w:rPr>
        <w:t>2</w:t>
      </w:r>
      <w:r>
        <w:rPr>
          <w:color w:val="333333"/>
          <w:spacing w:val="1"/>
          <w:sz w:val="11"/>
        </w:rPr>
        <w:t xml:space="preserve">  </w:t>
      </w:r>
      <w:r>
        <w:rPr>
          <w:color w:val="333333"/>
          <w:spacing w:val="-9"/>
        </w:rPr>
        <w:t>或总建筑面积大于</w:t>
      </w:r>
      <w:r>
        <w:rPr>
          <w:color w:val="333333"/>
          <w:spacing w:val="-9"/>
        </w:rPr>
        <w:t xml:space="preserve"> </w:t>
      </w:r>
      <w:r>
        <w:rPr>
          <w:color w:val="333333"/>
        </w:rPr>
        <w:t>3000m</w:t>
      </w:r>
      <w:r>
        <w:rPr>
          <w:color w:val="333333"/>
          <w:position w:val="11"/>
          <w:sz w:val="11"/>
        </w:rPr>
        <w:t>2</w:t>
      </w:r>
      <w:r>
        <w:rPr>
          <w:color w:val="333333"/>
          <w:sz w:val="11"/>
        </w:rPr>
        <w:t xml:space="preserve">   </w:t>
      </w:r>
      <w:r>
        <w:rPr>
          <w:color w:val="333333"/>
          <w:spacing w:val="-3"/>
        </w:rPr>
        <w:t>的展览、商店、餐饮和旅馆建筑以及医院中同样建筑规模的病房楼、门诊楼和手术部；</w:t>
      </w:r>
      <w:r>
        <w:rPr>
          <w:color w:val="333333"/>
        </w:rPr>
        <w:t xml:space="preserve"> </w:t>
      </w:r>
    </w:p>
    <w:p w14:paraId="6387C4C3" w14:textId="77777777" w:rsidR="00A71EEF" w:rsidRDefault="0081115D">
      <w:pPr>
        <w:pStyle w:val="a3"/>
        <w:spacing w:line="446" w:lineRule="auto"/>
        <w:ind w:left="838" w:right="1923"/>
      </w:pPr>
      <w:r>
        <w:rPr>
          <w:color w:val="333333"/>
          <w:spacing w:val="-2"/>
        </w:rPr>
        <w:t>设置送回风道</w:t>
      </w:r>
      <w:r>
        <w:rPr>
          <w:color w:val="333333"/>
          <w:spacing w:val="-3"/>
        </w:rPr>
        <w:t>（</w:t>
      </w:r>
      <w:r>
        <w:rPr>
          <w:color w:val="333333"/>
        </w:rPr>
        <w:t>管</w:t>
      </w:r>
      <w:r>
        <w:rPr>
          <w:color w:val="333333"/>
          <w:spacing w:val="-3"/>
        </w:rPr>
        <w:t>）</w:t>
      </w:r>
      <w:r>
        <w:rPr>
          <w:color w:val="333333"/>
          <w:spacing w:val="-6"/>
        </w:rPr>
        <w:t>的集中空气调节系统且总建筑面积大于</w:t>
      </w:r>
      <w:r>
        <w:rPr>
          <w:color w:val="333333"/>
          <w:spacing w:val="-6"/>
        </w:rPr>
        <w:t xml:space="preserve"> </w:t>
      </w:r>
      <w:r>
        <w:rPr>
          <w:color w:val="333333"/>
        </w:rPr>
        <w:t>3000m</w:t>
      </w:r>
      <w:r>
        <w:rPr>
          <w:color w:val="333333"/>
          <w:position w:val="11"/>
          <w:sz w:val="11"/>
        </w:rPr>
        <w:t>2</w:t>
      </w:r>
      <w:r>
        <w:rPr>
          <w:color w:val="333333"/>
          <w:sz w:val="11"/>
        </w:rPr>
        <w:t xml:space="preserve"> </w:t>
      </w:r>
      <w:r>
        <w:rPr>
          <w:color w:val="333333"/>
          <w:spacing w:val="-3"/>
        </w:rPr>
        <w:t>的办公建筑等；</w:t>
      </w:r>
      <w:r>
        <w:rPr>
          <w:color w:val="333333"/>
          <w:spacing w:val="-3"/>
        </w:rPr>
        <w:t xml:space="preserve"> </w:t>
      </w:r>
      <w:r>
        <w:rPr>
          <w:color w:val="333333"/>
          <w:spacing w:val="-11"/>
        </w:rPr>
        <w:t>藏书量超过</w:t>
      </w:r>
      <w:r>
        <w:rPr>
          <w:color w:val="333333"/>
          <w:spacing w:val="-11"/>
        </w:rPr>
        <w:t xml:space="preserve"> </w:t>
      </w:r>
      <w:r>
        <w:rPr>
          <w:color w:val="333333"/>
        </w:rPr>
        <w:t>50</w:t>
      </w:r>
      <w:r>
        <w:rPr>
          <w:color w:val="333333"/>
          <w:spacing w:val="-10"/>
        </w:rPr>
        <w:t xml:space="preserve"> </w:t>
      </w:r>
      <w:r>
        <w:rPr>
          <w:color w:val="333333"/>
          <w:spacing w:val="-10"/>
        </w:rPr>
        <w:t>万册的图书馆；</w:t>
      </w:r>
      <w:r>
        <w:rPr>
          <w:color w:val="333333"/>
        </w:rPr>
        <w:t xml:space="preserve"> </w:t>
      </w:r>
    </w:p>
    <w:p w14:paraId="6A946818" w14:textId="77777777" w:rsidR="00A71EEF" w:rsidRDefault="0081115D">
      <w:pPr>
        <w:pStyle w:val="a3"/>
        <w:ind w:left="838"/>
      </w:pPr>
      <w:r>
        <w:rPr>
          <w:color w:val="333333"/>
        </w:rPr>
        <w:t>大、中型幼儿园，老年人照料设施；</w:t>
      </w:r>
      <w:r>
        <w:rPr>
          <w:color w:val="333333"/>
        </w:rPr>
        <w:t xml:space="preserve"> </w:t>
      </w:r>
    </w:p>
    <w:p w14:paraId="5A6A5934" w14:textId="77777777" w:rsidR="00A71EEF" w:rsidRDefault="00A71EEF">
      <w:pPr>
        <w:pStyle w:val="a3"/>
        <w:spacing w:before="5"/>
        <w:rPr>
          <w:sz w:val="16"/>
        </w:rPr>
      </w:pPr>
    </w:p>
    <w:p w14:paraId="3CECFCBA" w14:textId="77777777" w:rsidR="00A71EEF" w:rsidRDefault="0081115D">
      <w:pPr>
        <w:pStyle w:val="a3"/>
        <w:spacing w:before="1"/>
        <w:ind w:left="838"/>
      </w:pPr>
      <w:r>
        <w:rPr>
          <w:color w:val="333333"/>
        </w:rPr>
        <w:t>总建筑面积大于</w:t>
      </w:r>
      <w:r>
        <w:rPr>
          <w:color w:val="333333"/>
        </w:rPr>
        <w:t xml:space="preserve"> 500m</w:t>
      </w:r>
      <w:r>
        <w:rPr>
          <w:color w:val="333333"/>
          <w:position w:val="11"/>
          <w:sz w:val="11"/>
        </w:rPr>
        <w:t xml:space="preserve">2 </w:t>
      </w:r>
      <w:r>
        <w:rPr>
          <w:color w:val="333333"/>
        </w:rPr>
        <w:t>的地下或半地下商店；</w:t>
      </w:r>
      <w:r>
        <w:rPr>
          <w:color w:val="333333"/>
        </w:rPr>
        <w:t xml:space="preserve"> </w:t>
      </w:r>
    </w:p>
    <w:p w14:paraId="6AA8476E" w14:textId="77777777" w:rsidR="00A71EEF" w:rsidRDefault="00A71EEF">
      <w:pPr>
        <w:pStyle w:val="a3"/>
        <w:spacing w:before="12"/>
        <w:rPr>
          <w:sz w:val="17"/>
        </w:rPr>
      </w:pPr>
    </w:p>
    <w:p w14:paraId="54C93B53" w14:textId="77777777" w:rsidR="00A71EEF" w:rsidRDefault="0081115D">
      <w:pPr>
        <w:pStyle w:val="a3"/>
        <w:spacing w:line="441" w:lineRule="auto"/>
        <w:ind w:left="418" w:right="1505" w:firstLine="419"/>
      </w:pPr>
      <w:r>
        <w:rPr>
          <w:color w:val="333333"/>
          <w:spacing w:val="-3"/>
        </w:rPr>
        <w:t>设置在地下或半地下或地上四层及以上楼层的歌舞娱乐放映游艺场所（除游泳场所外</w:t>
      </w:r>
      <w:r>
        <w:rPr>
          <w:color w:val="333333"/>
        </w:rPr>
        <w:t>），</w:t>
      </w:r>
      <w:r>
        <w:rPr>
          <w:color w:val="333333"/>
        </w:rPr>
        <w:t xml:space="preserve"> </w:t>
      </w:r>
      <w:r>
        <w:rPr>
          <w:color w:val="333333"/>
          <w:spacing w:val="-5"/>
        </w:rPr>
        <w:t>设置在首层、二层和三层且任一层建筑面积大于</w:t>
      </w:r>
      <w:r>
        <w:rPr>
          <w:color w:val="333333"/>
          <w:spacing w:val="-5"/>
        </w:rPr>
        <w:t xml:space="preserve"> </w:t>
      </w:r>
      <w:r>
        <w:rPr>
          <w:color w:val="333333"/>
        </w:rPr>
        <w:t>300m</w:t>
      </w:r>
      <w:r>
        <w:rPr>
          <w:color w:val="333333"/>
          <w:position w:val="11"/>
          <w:sz w:val="11"/>
        </w:rPr>
        <w:t>2</w:t>
      </w:r>
      <w:r>
        <w:rPr>
          <w:color w:val="333333"/>
          <w:spacing w:val="20"/>
          <w:sz w:val="11"/>
        </w:rPr>
        <w:t xml:space="preserve"> </w:t>
      </w:r>
      <w:r>
        <w:rPr>
          <w:color w:val="333333"/>
          <w:spacing w:val="-3"/>
        </w:rPr>
        <w:t>的地上歌舞娱乐放映游艺场所（</w:t>
      </w:r>
      <w:r>
        <w:rPr>
          <w:color w:val="333333"/>
          <w:spacing w:val="-2"/>
        </w:rPr>
        <w:t>除游泳</w:t>
      </w:r>
      <w:r>
        <w:rPr>
          <w:color w:val="333333"/>
          <w:spacing w:val="-3"/>
        </w:rPr>
        <w:t>场所外</w:t>
      </w:r>
      <w:r>
        <w:rPr>
          <w:color w:val="333333"/>
        </w:rPr>
        <w:t>）</w:t>
      </w:r>
      <w:r>
        <w:rPr>
          <w:color w:val="333333"/>
          <w:spacing w:val="-3"/>
        </w:rPr>
        <w:t>。</w:t>
      </w:r>
      <w:r>
        <w:rPr>
          <w:color w:val="333333"/>
        </w:rPr>
        <w:t xml:space="preserve"> </w:t>
      </w:r>
    </w:p>
    <w:p w14:paraId="46F5BC5D" w14:textId="77777777" w:rsidR="00A71EEF" w:rsidRDefault="00A71EEF">
      <w:pPr>
        <w:spacing w:line="441" w:lineRule="auto"/>
        <w:sectPr w:rsidR="00A71EEF">
          <w:pgSz w:w="11910" w:h="16850"/>
          <w:pgMar w:top="1220" w:right="0" w:bottom="1420" w:left="1260" w:header="0" w:footer="1239" w:gutter="0"/>
          <w:cols w:space="720"/>
        </w:sectPr>
      </w:pPr>
    </w:p>
    <w:p w14:paraId="5C481420" w14:textId="77777777" w:rsidR="00A71EEF" w:rsidRDefault="0081115D">
      <w:pPr>
        <w:pStyle w:val="a4"/>
        <w:numPr>
          <w:ilvl w:val="2"/>
          <w:numId w:val="697"/>
        </w:numPr>
        <w:tabs>
          <w:tab w:val="left" w:pos="1370"/>
        </w:tabs>
        <w:spacing w:before="47" w:line="446" w:lineRule="auto"/>
        <w:ind w:right="1604" w:firstLine="422"/>
        <w:jc w:val="both"/>
        <w:rPr>
          <w:sz w:val="21"/>
        </w:rPr>
      </w:pPr>
      <w:r>
        <w:rPr>
          <w:color w:val="333333"/>
          <w:spacing w:val="-3"/>
          <w:sz w:val="21"/>
        </w:rPr>
        <w:lastRenderedPageBreak/>
        <w:t>根据本规范要求难以设置自动喷水灭火系统的展览厅、观众厅等人员密集的场所和丙类生产车间、库房等高大空间场所，应设置其他自动灭火系统，并宜采用固定消防炮等灭火系统。</w:t>
      </w:r>
      <w:r>
        <w:rPr>
          <w:color w:val="333333"/>
          <w:sz w:val="21"/>
        </w:rPr>
        <w:t xml:space="preserve"> </w:t>
      </w:r>
    </w:p>
    <w:p w14:paraId="5438EF62" w14:textId="77777777" w:rsidR="00A71EEF" w:rsidRDefault="0081115D">
      <w:pPr>
        <w:pStyle w:val="a4"/>
        <w:numPr>
          <w:ilvl w:val="2"/>
          <w:numId w:val="697"/>
        </w:numPr>
        <w:tabs>
          <w:tab w:val="left" w:pos="1370"/>
        </w:tabs>
        <w:spacing w:line="268" w:lineRule="exact"/>
        <w:ind w:left="1369" w:hanging="530"/>
        <w:rPr>
          <w:sz w:val="21"/>
        </w:rPr>
      </w:pPr>
      <w:r>
        <w:rPr>
          <w:color w:val="333333"/>
          <w:spacing w:val="-3"/>
          <w:sz w:val="21"/>
        </w:rPr>
        <w:t>下列部位宜设置水幕系统：</w:t>
      </w:r>
      <w:r>
        <w:rPr>
          <w:color w:val="333333"/>
          <w:sz w:val="21"/>
        </w:rPr>
        <w:t xml:space="preserve"> </w:t>
      </w:r>
    </w:p>
    <w:p w14:paraId="274461B0" w14:textId="77777777" w:rsidR="00A71EEF" w:rsidRDefault="00A71EEF">
      <w:pPr>
        <w:pStyle w:val="a3"/>
        <w:rPr>
          <w:sz w:val="18"/>
        </w:rPr>
      </w:pPr>
    </w:p>
    <w:p w14:paraId="056463AC" w14:textId="77777777" w:rsidR="00A71EEF" w:rsidRDefault="0081115D">
      <w:pPr>
        <w:pStyle w:val="a3"/>
        <w:ind w:left="838"/>
      </w:pPr>
      <w:r>
        <w:rPr>
          <w:color w:val="333333"/>
        </w:rPr>
        <w:t>特等、</w:t>
      </w:r>
      <w:r>
        <w:rPr>
          <w:color w:val="333333"/>
        </w:rPr>
        <w:t>甲等剧场、超过</w:t>
      </w:r>
      <w:r>
        <w:rPr>
          <w:color w:val="333333"/>
        </w:rPr>
        <w:t xml:space="preserve"> 1500 </w:t>
      </w:r>
      <w:r>
        <w:rPr>
          <w:color w:val="333333"/>
        </w:rPr>
        <w:t>个座位的其他等级的剧场、超过</w:t>
      </w:r>
      <w:r>
        <w:rPr>
          <w:color w:val="333333"/>
        </w:rPr>
        <w:t xml:space="preserve"> 2000 </w:t>
      </w:r>
      <w:r>
        <w:rPr>
          <w:color w:val="333333"/>
        </w:rPr>
        <w:t>个座位的会堂或礼堂和</w:t>
      </w:r>
    </w:p>
    <w:p w14:paraId="775082F1" w14:textId="77777777" w:rsidR="00A71EEF" w:rsidRDefault="00A71EEF">
      <w:pPr>
        <w:pStyle w:val="a3"/>
        <w:spacing w:before="12"/>
        <w:rPr>
          <w:sz w:val="17"/>
        </w:rPr>
      </w:pPr>
    </w:p>
    <w:p w14:paraId="66BC4000" w14:textId="77777777" w:rsidR="00A71EEF" w:rsidRDefault="0081115D">
      <w:pPr>
        <w:pStyle w:val="a3"/>
        <w:spacing w:line="446" w:lineRule="auto"/>
        <w:ind w:left="418" w:right="1608"/>
      </w:pPr>
      <w:r>
        <w:rPr>
          <w:color w:val="333333"/>
          <w:spacing w:val="-6"/>
        </w:rPr>
        <w:t>高层民用建筑内超过</w:t>
      </w:r>
      <w:r>
        <w:rPr>
          <w:color w:val="333333"/>
          <w:spacing w:val="-6"/>
        </w:rPr>
        <w:t xml:space="preserve"> </w:t>
      </w:r>
      <w:r>
        <w:rPr>
          <w:color w:val="333333"/>
        </w:rPr>
        <w:t>800</w:t>
      </w:r>
      <w:r>
        <w:rPr>
          <w:color w:val="333333"/>
          <w:spacing w:val="-7"/>
        </w:rPr>
        <w:t xml:space="preserve"> </w:t>
      </w:r>
      <w:r>
        <w:rPr>
          <w:color w:val="333333"/>
          <w:spacing w:val="-7"/>
        </w:rPr>
        <w:t>个座位的剧场或礼堂的舞台口及上述场所内与舞台相连的侧台、后台</w:t>
      </w:r>
      <w:r>
        <w:rPr>
          <w:color w:val="333333"/>
          <w:spacing w:val="-6"/>
        </w:rPr>
        <w:t>的洞口；</w:t>
      </w:r>
      <w:r>
        <w:rPr>
          <w:color w:val="333333"/>
        </w:rPr>
        <w:t xml:space="preserve"> </w:t>
      </w:r>
    </w:p>
    <w:p w14:paraId="5EF021EE" w14:textId="77777777" w:rsidR="00A71EEF" w:rsidRDefault="0081115D">
      <w:pPr>
        <w:pStyle w:val="a3"/>
        <w:spacing w:before="1" w:line="446" w:lineRule="auto"/>
        <w:ind w:left="838" w:right="4446"/>
      </w:pPr>
      <w:r>
        <w:rPr>
          <w:color w:val="333333"/>
        </w:rPr>
        <w:t>应设置防火墙等防火分隔物而无法设置的局部开口部位；</w:t>
      </w:r>
      <w:r>
        <w:rPr>
          <w:color w:val="333333"/>
        </w:rPr>
        <w:t xml:space="preserve"> </w:t>
      </w:r>
      <w:r>
        <w:rPr>
          <w:color w:val="333333"/>
        </w:rPr>
        <w:t>需要防护冷却的防火卷帘或防火幕的上部。</w:t>
      </w:r>
      <w:r>
        <w:rPr>
          <w:color w:val="333333"/>
        </w:rPr>
        <w:t xml:space="preserve"> </w:t>
      </w:r>
    </w:p>
    <w:p w14:paraId="3D5290D0" w14:textId="77777777" w:rsidR="00A71EEF" w:rsidRDefault="0081115D">
      <w:pPr>
        <w:pStyle w:val="a3"/>
        <w:spacing w:line="446" w:lineRule="auto"/>
        <w:ind w:left="840" w:right="1714" w:hanging="3"/>
      </w:pPr>
      <w:r>
        <w:rPr>
          <w:color w:val="333333"/>
        </w:rPr>
        <w:t>注：舞台口也可采用防火幕进行分隔，侧台、后台的较小洞口宜设置乙级防火门、窗。</w:t>
      </w:r>
      <w:r>
        <w:rPr>
          <w:b/>
          <w:color w:val="333333"/>
        </w:rPr>
        <w:t xml:space="preserve">8.3.7 </w:t>
      </w:r>
      <w:r>
        <w:rPr>
          <w:color w:val="333333"/>
        </w:rPr>
        <w:t>下列建筑或部位应设置雨淋自动喷水灭火系统：</w:t>
      </w:r>
      <w:r>
        <w:rPr>
          <w:color w:val="333333"/>
        </w:rPr>
        <w:t xml:space="preserve"> </w:t>
      </w:r>
    </w:p>
    <w:p w14:paraId="238A3DE0" w14:textId="77777777" w:rsidR="00A71EEF" w:rsidRDefault="0081115D">
      <w:pPr>
        <w:pStyle w:val="a3"/>
        <w:spacing w:line="446" w:lineRule="auto"/>
        <w:ind w:left="418" w:right="1503" w:firstLine="419"/>
      </w:pPr>
      <w:r>
        <w:rPr>
          <w:color w:val="333333"/>
          <w:spacing w:val="-6"/>
        </w:rPr>
        <w:t>火柴厂的氯酸钾压碾厂房，建筑面积大于</w:t>
      </w:r>
      <w:r>
        <w:rPr>
          <w:color w:val="333333"/>
          <w:spacing w:val="-6"/>
        </w:rPr>
        <w:t xml:space="preserve"> </w:t>
      </w:r>
      <w:r>
        <w:rPr>
          <w:color w:val="333333"/>
        </w:rPr>
        <w:t>100m</w:t>
      </w:r>
      <w:r>
        <w:rPr>
          <w:color w:val="333333"/>
          <w:position w:val="11"/>
          <w:sz w:val="11"/>
        </w:rPr>
        <w:t>2</w:t>
      </w:r>
      <w:r>
        <w:rPr>
          <w:color w:val="333333"/>
          <w:sz w:val="11"/>
        </w:rPr>
        <w:t xml:space="preserve"> </w:t>
      </w:r>
      <w:r>
        <w:rPr>
          <w:color w:val="333333"/>
          <w:spacing w:val="-3"/>
        </w:rPr>
        <w:t>且生产或使用硝化棉、喷漆棉、火胶棉、赛璐珞胶片、硝化纤维的厂房；</w:t>
      </w:r>
      <w:r>
        <w:rPr>
          <w:color w:val="333333"/>
        </w:rPr>
        <w:t xml:space="preserve"> </w:t>
      </w:r>
    </w:p>
    <w:p w14:paraId="09748AB4" w14:textId="77777777" w:rsidR="00A71EEF" w:rsidRDefault="0081115D">
      <w:pPr>
        <w:pStyle w:val="a3"/>
        <w:ind w:left="838"/>
      </w:pPr>
      <w:r>
        <w:rPr>
          <w:color w:val="333333"/>
        </w:rPr>
        <w:t>乒乓球厂的轧坯、切片、磨球、分球检验部位；</w:t>
      </w:r>
      <w:r>
        <w:rPr>
          <w:color w:val="333333"/>
        </w:rPr>
        <w:t xml:space="preserve"> </w:t>
      </w:r>
    </w:p>
    <w:p w14:paraId="56F9C413" w14:textId="77777777" w:rsidR="00A71EEF" w:rsidRDefault="00A71EEF">
      <w:pPr>
        <w:pStyle w:val="a3"/>
        <w:spacing w:before="2"/>
        <w:rPr>
          <w:sz w:val="16"/>
        </w:rPr>
      </w:pPr>
    </w:p>
    <w:p w14:paraId="46E3FEF1" w14:textId="77777777" w:rsidR="00A71EEF" w:rsidRDefault="0081115D">
      <w:pPr>
        <w:pStyle w:val="a3"/>
        <w:spacing w:line="446" w:lineRule="auto"/>
        <w:ind w:left="418" w:right="1506" w:firstLine="419"/>
      </w:pPr>
      <w:r>
        <w:rPr>
          <w:color w:val="333333"/>
        </w:rPr>
        <w:t>建筑面积大于</w:t>
      </w:r>
      <w:r>
        <w:rPr>
          <w:color w:val="333333"/>
        </w:rPr>
        <w:t xml:space="preserve"> 60m</w:t>
      </w:r>
      <w:r>
        <w:rPr>
          <w:color w:val="333333"/>
          <w:position w:val="11"/>
          <w:sz w:val="11"/>
        </w:rPr>
        <w:t xml:space="preserve">2 </w:t>
      </w:r>
      <w:r>
        <w:rPr>
          <w:color w:val="333333"/>
        </w:rPr>
        <w:t>或储存量大于</w:t>
      </w:r>
      <w:r>
        <w:rPr>
          <w:color w:val="333333"/>
        </w:rPr>
        <w:t xml:space="preserve"> 2t </w:t>
      </w:r>
      <w:r>
        <w:rPr>
          <w:color w:val="333333"/>
        </w:rPr>
        <w:t>的硝化棉、喷漆棉、火胶棉、赛璐珞胶片、硝化纤维的仓库；</w:t>
      </w:r>
      <w:r>
        <w:rPr>
          <w:color w:val="333333"/>
        </w:rPr>
        <w:t xml:space="preserve">  </w:t>
      </w:r>
      <w:r>
        <w:rPr>
          <w:color w:val="333333"/>
        </w:rPr>
        <w:t xml:space="preserve"> </w:t>
      </w:r>
      <w:r>
        <w:rPr>
          <w:color w:val="333333"/>
        </w:rPr>
        <w:t xml:space="preserve"> </w:t>
      </w:r>
      <w:r>
        <w:rPr>
          <w:color w:val="333333"/>
        </w:rPr>
        <w:t xml:space="preserve"> </w:t>
      </w:r>
    </w:p>
    <w:p w14:paraId="33B84EED" w14:textId="77777777" w:rsidR="00A71EEF" w:rsidRDefault="0081115D">
      <w:pPr>
        <w:pStyle w:val="a3"/>
        <w:ind w:left="838"/>
      </w:pPr>
      <w:r>
        <w:rPr>
          <w:color w:val="333333"/>
        </w:rPr>
        <w:t>日装瓶数量大于</w:t>
      </w:r>
      <w:r>
        <w:rPr>
          <w:color w:val="333333"/>
        </w:rPr>
        <w:t xml:space="preserve"> 3000 </w:t>
      </w:r>
      <w:r>
        <w:rPr>
          <w:color w:val="333333"/>
        </w:rPr>
        <w:t>瓶的液化石油气储配站的灌瓶间、实瓶库；</w:t>
      </w:r>
      <w:r>
        <w:rPr>
          <w:color w:val="333333"/>
        </w:rPr>
        <w:t xml:space="preserve"> </w:t>
      </w:r>
    </w:p>
    <w:p w14:paraId="40B898BD" w14:textId="77777777" w:rsidR="00A71EEF" w:rsidRDefault="00A71EEF">
      <w:pPr>
        <w:pStyle w:val="a3"/>
        <w:rPr>
          <w:sz w:val="18"/>
        </w:rPr>
      </w:pPr>
    </w:p>
    <w:p w14:paraId="04C85ECF" w14:textId="77777777" w:rsidR="00A71EEF" w:rsidRDefault="0081115D">
      <w:pPr>
        <w:pStyle w:val="a3"/>
        <w:spacing w:line="446" w:lineRule="auto"/>
        <w:ind w:left="418" w:right="1508" w:firstLine="419"/>
      </w:pPr>
      <w:r>
        <w:rPr>
          <w:color w:val="333333"/>
          <w:spacing w:val="-7"/>
        </w:rPr>
        <w:t>特等、甲等剧场、超过</w:t>
      </w:r>
      <w:r>
        <w:rPr>
          <w:color w:val="333333"/>
          <w:spacing w:val="-7"/>
        </w:rPr>
        <w:t xml:space="preserve"> </w:t>
      </w:r>
      <w:r>
        <w:rPr>
          <w:color w:val="333333"/>
        </w:rPr>
        <w:t>1500</w:t>
      </w:r>
      <w:r>
        <w:rPr>
          <w:color w:val="333333"/>
          <w:spacing w:val="-6"/>
        </w:rPr>
        <w:t xml:space="preserve"> </w:t>
      </w:r>
      <w:r>
        <w:rPr>
          <w:color w:val="333333"/>
          <w:spacing w:val="-6"/>
        </w:rPr>
        <w:t>个座位的其他等级剧场和超过</w:t>
      </w:r>
      <w:r>
        <w:rPr>
          <w:color w:val="333333"/>
          <w:spacing w:val="-6"/>
        </w:rPr>
        <w:t xml:space="preserve"> </w:t>
      </w:r>
      <w:r>
        <w:rPr>
          <w:color w:val="333333"/>
        </w:rPr>
        <w:t>2000</w:t>
      </w:r>
      <w:r>
        <w:rPr>
          <w:color w:val="333333"/>
          <w:spacing w:val="-3"/>
        </w:rPr>
        <w:t xml:space="preserve"> </w:t>
      </w:r>
      <w:r>
        <w:rPr>
          <w:color w:val="333333"/>
          <w:spacing w:val="-3"/>
        </w:rPr>
        <w:t>个座位的会堂或礼堂的舞台葡萄架下部；</w:t>
      </w:r>
      <w:r>
        <w:rPr>
          <w:color w:val="333333"/>
        </w:rPr>
        <w:t xml:space="preserve"> </w:t>
      </w:r>
    </w:p>
    <w:p w14:paraId="15E9DE01" w14:textId="77777777" w:rsidR="00A71EEF" w:rsidRDefault="0081115D">
      <w:pPr>
        <w:pStyle w:val="a3"/>
        <w:spacing w:line="446" w:lineRule="auto"/>
        <w:ind w:left="840" w:right="2864" w:hanging="3"/>
      </w:pPr>
      <w:r>
        <w:rPr>
          <w:color w:val="333333"/>
        </w:rPr>
        <w:t>建筑面积不小于</w:t>
      </w:r>
      <w:r>
        <w:rPr>
          <w:color w:val="333333"/>
        </w:rPr>
        <w:t xml:space="preserve"> 400m</w:t>
      </w:r>
      <w:r>
        <w:rPr>
          <w:color w:val="333333"/>
          <w:position w:val="11"/>
          <w:sz w:val="11"/>
        </w:rPr>
        <w:t xml:space="preserve">2 </w:t>
      </w:r>
      <w:r>
        <w:rPr>
          <w:color w:val="333333"/>
        </w:rPr>
        <w:t>的演播室，建筑面积不小于</w:t>
      </w:r>
      <w:r>
        <w:rPr>
          <w:color w:val="333333"/>
        </w:rPr>
        <w:t xml:space="preserve"> 500m</w:t>
      </w:r>
      <w:r>
        <w:rPr>
          <w:color w:val="333333"/>
          <w:position w:val="11"/>
          <w:sz w:val="11"/>
        </w:rPr>
        <w:t>2</w:t>
      </w:r>
      <w:r>
        <w:rPr>
          <w:color w:val="333333"/>
          <w:sz w:val="11"/>
        </w:rPr>
        <w:t xml:space="preserve"> </w:t>
      </w:r>
      <w:r>
        <w:rPr>
          <w:color w:val="333333"/>
        </w:rPr>
        <w:t>的电影摄影棚。</w:t>
      </w:r>
      <w:r>
        <w:rPr>
          <w:b/>
          <w:color w:val="333333"/>
        </w:rPr>
        <w:t xml:space="preserve">8.3.8 </w:t>
      </w:r>
      <w:r>
        <w:rPr>
          <w:color w:val="333333"/>
        </w:rPr>
        <w:t>下列场所应设置</w:t>
      </w:r>
      <w:r>
        <w:rPr>
          <w:color w:val="333333"/>
        </w:rPr>
        <w:t>自动灭火系统，并宜采用水喷雾灭火系统：</w:t>
      </w:r>
      <w:r>
        <w:rPr>
          <w:color w:val="333333"/>
        </w:rPr>
        <w:t xml:space="preserve"> </w:t>
      </w:r>
    </w:p>
    <w:p w14:paraId="47F685AF" w14:textId="77777777" w:rsidR="00A71EEF" w:rsidRDefault="0081115D">
      <w:pPr>
        <w:pStyle w:val="a3"/>
        <w:spacing w:line="446" w:lineRule="auto"/>
        <w:ind w:left="418" w:right="1507" w:firstLine="419"/>
      </w:pPr>
      <w:r>
        <w:rPr>
          <w:color w:val="333333"/>
          <w:spacing w:val="-10"/>
        </w:rPr>
        <w:t>单台容量在</w:t>
      </w:r>
      <w:r>
        <w:rPr>
          <w:color w:val="333333"/>
          <w:spacing w:val="-10"/>
        </w:rPr>
        <w:t xml:space="preserve"> </w:t>
      </w:r>
      <w:r>
        <w:rPr>
          <w:color w:val="333333"/>
        </w:rPr>
        <w:t>40MV·A</w:t>
      </w:r>
      <w:r>
        <w:rPr>
          <w:color w:val="333333"/>
          <w:spacing w:val="-6"/>
        </w:rPr>
        <w:t xml:space="preserve"> </w:t>
      </w:r>
      <w:r>
        <w:rPr>
          <w:color w:val="333333"/>
          <w:spacing w:val="-6"/>
        </w:rPr>
        <w:t>及以上的厂矿企业油浸变压器，单台容量在</w:t>
      </w:r>
      <w:r>
        <w:rPr>
          <w:color w:val="333333"/>
          <w:spacing w:val="-6"/>
        </w:rPr>
        <w:t xml:space="preserve"> </w:t>
      </w:r>
      <w:r>
        <w:rPr>
          <w:color w:val="333333"/>
        </w:rPr>
        <w:t>90MV·A</w:t>
      </w:r>
      <w:r>
        <w:rPr>
          <w:color w:val="333333"/>
          <w:spacing w:val="-1"/>
        </w:rPr>
        <w:t xml:space="preserve"> </w:t>
      </w:r>
      <w:r>
        <w:rPr>
          <w:color w:val="333333"/>
          <w:spacing w:val="-1"/>
        </w:rPr>
        <w:t>及以上的电厂油</w:t>
      </w:r>
      <w:r>
        <w:rPr>
          <w:color w:val="333333"/>
          <w:spacing w:val="-8"/>
        </w:rPr>
        <w:t>浸变压器，单台容量在</w:t>
      </w:r>
      <w:r>
        <w:rPr>
          <w:color w:val="333333"/>
          <w:spacing w:val="-8"/>
        </w:rPr>
        <w:t xml:space="preserve"> </w:t>
      </w:r>
      <w:r>
        <w:rPr>
          <w:color w:val="333333"/>
        </w:rPr>
        <w:t>125MV·A</w:t>
      </w:r>
      <w:r>
        <w:rPr>
          <w:color w:val="333333"/>
          <w:spacing w:val="-3"/>
        </w:rPr>
        <w:t xml:space="preserve"> </w:t>
      </w:r>
      <w:r>
        <w:rPr>
          <w:color w:val="333333"/>
          <w:spacing w:val="-3"/>
        </w:rPr>
        <w:t>及以上的独立变电站油浸变压器；</w:t>
      </w:r>
      <w:r>
        <w:rPr>
          <w:color w:val="333333"/>
        </w:rPr>
        <w:t xml:space="preserve"> </w:t>
      </w:r>
    </w:p>
    <w:p w14:paraId="577362B0" w14:textId="77777777" w:rsidR="00A71EEF" w:rsidRDefault="0081115D">
      <w:pPr>
        <w:pStyle w:val="a3"/>
        <w:spacing w:line="267" w:lineRule="exact"/>
        <w:ind w:left="838"/>
      </w:pPr>
      <w:r>
        <w:rPr>
          <w:color w:val="333333"/>
        </w:rPr>
        <w:t>飞机发动机试验台的试车部位；</w:t>
      </w:r>
      <w:r>
        <w:rPr>
          <w:color w:val="333333"/>
        </w:rPr>
        <w:t xml:space="preserve"> </w:t>
      </w:r>
    </w:p>
    <w:p w14:paraId="009DEB29" w14:textId="77777777" w:rsidR="00A71EEF" w:rsidRDefault="00A71EEF">
      <w:pPr>
        <w:pStyle w:val="a3"/>
        <w:spacing w:before="5"/>
        <w:rPr>
          <w:sz w:val="17"/>
        </w:rPr>
      </w:pPr>
    </w:p>
    <w:p w14:paraId="4553229D" w14:textId="77777777" w:rsidR="00A71EEF" w:rsidRDefault="0081115D">
      <w:pPr>
        <w:pStyle w:val="a3"/>
        <w:ind w:left="838"/>
      </w:pPr>
      <w:r>
        <w:rPr>
          <w:color w:val="333333"/>
        </w:rPr>
        <w:t>充可燃油并设置在高层民用建筑内的高压电容器和多油开关室。</w:t>
      </w:r>
      <w:r>
        <w:rPr>
          <w:color w:val="333333"/>
        </w:rPr>
        <w:t xml:space="preserve"> </w:t>
      </w:r>
    </w:p>
    <w:p w14:paraId="2163CD03" w14:textId="77777777" w:rsidR="00A71EEF" w:rsidRDefault="00A71EEF">
      <w:pPr>
        <w:pStyle w:val="a3"/>
        <w:rPr>
          <w:sz w:val="18"/>
        </w:rPr>
      </w:pPr>
    </w:p>
    <w:p w14:paraId="0CBCA138" w14:textId="77777777" w:rsidR="00A71EEF" w:rsidRDefault="0081115D">
      <w:pPr>
        <w:pStyle w:val="a3"/>
        <w:spacing w:line="446" w:lineRule="auto"/>
        <w:ind w:left="418" w:right="1609" w:firstLine="419"/>
      </w:pPr>
      <w:r>
        <w:rPr>
          <w:color w:val="333333"/>
        </w:rPr>
        <w:t>注：设置在室内的油浸变压器、充可燃油的高压电容器和多油开关室，可采用细水雾灭火系统。</w:t>
      </w:r>
      <w:r>
        <w:rPr>
          <w:color w:val="333333"/>
        </w:rPr>
        <w:t xml:space="preserve"> </w:t>
      </w:r>
    </w:p>
    <w:p w14:paraId="3B818C81" w14:textId="77777777" w:rsidR="00A71EEF" w:rsidRDefault="0081115D">
      <w:pPr>
        <w:pStyle w:val="a4"/>
        <w:numPr>
          <w:ilvl w:val="2"/>
          <w:numId w:val="696"/>
        </w:numPr>
        <w:tabs>
          <w:tab w:val="left" w:pos="1370"/>
        </w:tabs>
        <w:ind w:hanging="530"/>
        <w:rPr>
          <w:sz w:val="21"/>
        </w:rPr>
      </w:pPr>
      <w:r>
        <w:rPr>
          <w:color w:val="333333"/>
          <w:spacing w:val="-3"/>
          <w:sz w:val="21"/>
        </w:rPr>
        <w:t>下列场所应设置自动灭火系统，并宜采用气体灭火系统：</w:t>
      </w:r>
      <w:r>
        <w:rPr>
          <w:color w:val="333333"/>
          <w:sz w:val="21"/>
        </w:rPr>
        <w:t xml:space="preserve"> </w:t>
      </w:r>
    </w:p>
    <w:p w14:paraId="73F7FC50" w14:textId="77777777" w:rsidR="00A71EEF" w:rsidRDefault="00A71EEF">
      <w:pPr>
        <w:rPr>
          <w:sz w:val="21"/>
        </w:rPr>
        <w:sectPr w:rsidR="00A71EEF">
          <w:pgSz w:w="11910" w:h="16850"/>
          <w:pgMar w:top="1220" w:right="0" w:bottom="1420" w:left="1260" w:header="0" w:footer="1239" w:gutter="0"/>
          <w:cols w:space="720"/>
        </w:sectPr>
      </w:pPr>
    </w:p>
    <w:p w14:paraId="0B9785E6" w14:textId="77777777" w:rsidR="00A71EEF" w:rsidRDefault="0081115D">
      <w:pPr>
        <w:pStyle w:val="a3"/>
        <w:spacing w:before="47" w:line="446" w:lineRule="auto"/>
        <w:ind w:left="418" w:right="1498" w:firstLine="419"/>
      </w:pPr>
      <w:r>
        <w:rPr>
          <w:color w:val="333333"/>
        </w:rPr>
        <w:lastRenderedPageBreak/>
        <w:t>国家、省级或人口超过</w:t>
      </w:r>
      <w:r>
        <w:rPr>
          <w:color w:val="333333"/>
        </w:rPr>
        <w:t xml:space="preserve"> 100 </w:t>
      </w:r>
      <w:r>
        <w:rPr>
          <w:color w:val="333333"/>
        </w:rPr>
        <w:t>万的城市广播电视发射塔内的微波机房、分米波机房、米波机房、变配电室和不间断电源（</w:t>
      </w:r>
      <w:r>
        <w:rPr>
          <w:color w:val="333333"/>
        </w:rPr>
        <w:t>UPS</w:t>
      </w:r>
      <w:r>
        <w:rPr>
          <w:color w:val="333333"/>
        </w:rPr>
        <w:t>）室；</w:t>
      </w:r>
      <w:r>
        <w:rPr>
          <w:color w:val="333333"/>
        </w:rPr>
        <w:t xml:space="preserve"> </w:t>
      </w:r>
    </w:p>
    <w:p w14:paraId="4EF86D58" w14:textId="77777777" w:rsidR="00A71EEF" w:rsidRDefault="0081115D">
      <w:pPr>
        <w:pStyle w:val="a3"/>
        <w:spacing w:line="446" w:lineRule="auto"/>
        <w:ind w:left="418" w:right="1609" w:firstLine="419"/>
      </w:pPr>
      <w:r>
        <w:rPr>
          <w:color w:val="333333"/>
        </w:rPr>
        <w:t>国际电信局、大区中心、省中心和一万路以上的地区中心内的长途程控交换机房、控制室和信令转接点室；</w:t>
      </w:r>
      <w:r>
        <w:rPr>
          <w:color w:val="333333"/>
        </w:rPr>
        <w:t xml:space="preserve"> </w:t>
      </w:r>
    </w:p>
    <w:p w14:paraId="2B87A9ED" w14:textId="77777777" w:rsidR="00A71EEF" w:rsidRDefault="0081115D">
      <w:pPr>
        <w:pStyle w:val="a3"/>
        <w:spacing w:line="446" w:lineRule="auto"/>
        <w:ind w:left="418" w:right="1609" w:firstLine="419"/>
      </w:pPr>
      <w:r>
        <w:rPr>
          <w:color w:val="333333"/>
        </w:rPr>
        <w:t>两万线以上的市话汇接局和六万门以上的市话端局内的程控交换机房、控制室和信令转接点室；</w:t>
      </w:r>
      <w:r>
        <w:rPr>
          <w:color w:val="333333"/>
        </w:rPr>
        <w:t xml:space="preserve"> </w:t>
      </w:r>
    </w:p>
    <w:p w14:paraId="0E8EC497" w14:textId="77777777" w:rsidR="00A71EEF" w:rsidRDefault="0081115D">
      <w:pPr>
        <w:pStyle w:val="a3"/>
        <w:ind w:left="838"/>
      </w:pPr>
      <w:r>
        <w:rPr>
          <w:color w:val="333333"/>
        </w:rPr>
        <w:t>中央及省级公安、防灾和网局级及以上的电力等调度指挥中心内的通信机房和控制室；</w:t>
      </w:r>
      <w:r>
        <w:rPr>
          <w:color w:val="333333"/>
        </w:rPr>
        <w:t xml:space="preserve"> </w:t>
      </w:r>
    </w:p>
    <w:p w14:paraId="16188004" w14:textId="77777777" w:rsidR="00A71EEF" w:rsidRDefault="00A71EEF">
      <w:pPr>
        <w:pStyle w:val="a3"/>
        <w:spacing w:before="11"/>
        <w:rPr>
          <w:sz w:val="17"/>
        </w:rPr>
      </w:pPr>
    </w:p>
    <w:p w14:paraId="44F3E4E8" w14:textId="77777777" w:rsidR="00A71EEF" w:rsidRDefault="0081115D">
      <w:pPr>
        <w:pStyle w:val="a3"/>
        <w:ind w:left="838"/>
      </w:pPr>
      <w:r>
        <w:rPr>
          <w:color w:val="333333"/>
        </w:rPr>
        <w:t xml:space="preserve"> </w:t>
      </w:r>
      <w:r>
        <w:rPr>
          <w:color w:val="333333"/>
        </w:rPr>
        <w:t>A</w:t>
      </w:r>
      <w:r>
        <w:rPr>
          <w:color w:val="333333"/>
        </w:rPr>
        <w:t>、</w:t>
      </w:r>
      <w:r>
        <w:rPr>
          <w:color w:val="333333"/>
        </w:rPr>
        <w:t xml:space="preserve">B </w:t>
      </w:r>
      <w:r>
        <w:rPr>
          <w:color w:val="333333"/>
        </w:rPr>
        <w:t>级电子信息系统机房内的主机房和基本工作间的已记录磁（纸）介质库；</w:t>
      </w:r>
      <w:r>
        <w:rPr>
          <w:color w:val="333333"/>
        </w:rPr>
        <w:t xml:space="preserve"> </w:t>
      </w:r>
    </w:p>
    <w:p w14:paraId="5BA16EBF" w14:textId="77777777" w:rsidR="00A71EEF" w:rsidRDefault="00A71EEF">
      <w:pPr>
        <w:pStyle w:val="a3"/>
        <w:spacing w:before="2"/>
        <w:rPr>
          <w:sz w:val="17"/>
        </w:rPr>
      </w:pPr>
    </w:p>
    <w:p w14:paraId="5B2286C0" w14:textId="77777777" w:rsidR="00A71EEF" w:rsidRDefault="0081115D">
      <w:pPr>
        <w:pStyle w:val="a3"/>
        <w:ind w:left="838"/>
      </w:pPr>
      <w:r>
        <w:rPr>
          <w:color w:val="333333"/>
        </w:rPr>
        <w:t>中央和省级广播电视中心内建筑面积不小于</w:t>
      </w:r>
      <w:r>
        <w:rPr>
          <w:color w:val="333333"/>
        </w:rPr>
        <w:t xml:space="preserve"> 120m</w:t>
      </w:r>
      <w:r>
        <w:rPr>
          <w:color w:val="333333"/>
          <w:position w:val="11"/>
          <w:sz w:val="11"/>
        </w:rPr>
        <w:t>2</w:t>
      </w:r>
      <w:r>
        <w:rPr>
          <w:color w:val="333333"/>
          <w:sz w:val="11"/>
        </w:rPr>
        <w:t xml:space="preserve"> </w:t>
      </w:r>
      <w:r>
        <w:rPr>
          <w:color w:val="333333"/>
        </w:rPr>
        <w:t>的音像制品库房；</w:t>
      </w:r>
      <w:r>
        <w:rPr>
          <w:color w:val="333333"/>
        </w:rPr>
        <w:t xml:space="preserve"> </w:t>
      </w:r>
    </w:p>
    <w:p w14:paraId="56986D22" w14:textId="77777777" w:rsidR="00A71EEF" w:rsidRDefault="00A71EEF">
      <w:pPr>
        <w:pStyle w:val="a3"/>
        <w:spacing w:before="2"/>
        <w:rPr>
          <w:sz w:val="18"/>
        </w:rPr>
      </w:pPr>
    </w:p>
    <w:p w14:paraId="309F9515" w14:textId="77777777" w:rsidR="00A71EEF" w:rsidRDefault="0081115D">
      <w:pPr>
        <w:pStyle w:val="a3"/>
        <w:spacing w:line="446" w:lineRule="auto"/>
        <w:ind w:left="418" w:right="1392" w:firstLine="419"/>
      </w:pPr>
      <w:r>
        <w:rPr>
          <w:color w:val="333333"/>
        </w:rPr>
        <w:t xml:space="preserve"> </w:t>
      </w:r>
      <w:r>
        <w:rPr>
          <w:color w:val="333333"/>
        </w:rPr>
        <w:t>国家、省级或藏书量超过</w:t>
      </w:r>
      <w:r>
        <w:rPr>
          <w:color w:val="333333"/>
        </w:rPr>
        <w:t xml:space="preserve"> 100 </w:t>
      </w:r>
      <w:r>
        <w:rPr>
          <w:color w:val="333333"/>
        </w:rPr>
        <w:t>万册的图书馆内的特藏库；中央和省级档案馆内的珍藏库和非纸质档案库；大、中型博物馆内的珍品库房；一级纸绢质文物的陈列室；</w:t>
      </w:r>
      <w:r>
        <w:rPr>
          <w:color w:val="333333"/>
        </w:rPr>
        <w:t xml:space="preserve"> </w:t>
      </w:r>
    </w:p>
    <w:p w14:paraId="75271766" w14:textId="77777777" w:rsidR="00A71EEF" w:rsidRDefault="0081115D">
      <w:pPr>
        <w:pStyle w:val="a3"/>
        <w:spacing w:line="267" w:lineRule="exact"/>
        <w:ind w:left="838"/>
      </w:pPr>
      <w:r>
        <w:rPr>
          <w:color w:val="333333"/>
        </w:rPr>
        <w:t>其他特殊重要设备室。</w:t>
      </w:r>
      <w:r>
        <w:rPr>
          <w:color w:val="333333"/>
        </w:rPr>
        <w:t xml:space="preserve"> </w:t>
      </w:r>
    </w:p>
    <w:p w14:paraId="77B99CE9" w14:textId="77777777" w:rsidR="00A71EEF" w:rsidRDefault="00A71EEF">
      <w:pPr>
        <w:pStyle w:val="a3"/>
        <w:spacing w:before="2"/>
        <w:rPr>
          <w:sz w:val="18"/>
        </w:rPr>
      </w:pPr>
    </w:p>
    <w:p w14:paraId="26C59666" w14:textId="77777777" w:rsidR="00A71EEF" w:rsidRDefault="0081115D">
      <w:pPr>
        <w:pStyle w:val="a3"/>
        <w:ind w:left="838"/>
      </w:pPr>
      <w:r>
        <w:rPr>
          <w:color w:val="333333"/>
        </w:rPr>
        <w:t>注：</w:t>
      </w:r>
      <w:r>
        <w:rPr>
          <w:color w:val="333333"/>
        </w:rPr>
        <w:t>1.</w:t>
      </w:r>
      <w:r>
        <w:rPr>
          <w:color w:val="333333"/>
        </w:rPr>
        <w:t>本条第</w:t>
      </w:r>
      <w:r>
        <w:rPr>
          <w:color w:val="333333"/>
        </w:rPr>
        <w:t xml:space="preserve"> 1</w:t>
      </w:r>
      <w:r>
        <w:rPr>
          <w:color w:val="333333"/>
        </w:rPr>
        <w:t>、</w:t>
      </w:r>
      <w:r>
        <w:rPr>
          <w:color w:val="333333"/>
        </w:rPr>
        <w:t>4</w:t>
      </w:r>
      <w:r>
        <w:rPr>
          <w:color w:val="333333"/>
        </w:rPr>
        <w:t>、</w:t>
      </w:r>
      <w:r>
        <w:rPr>
          <w:color w:val="333333"/>
        </w:rPr>
        <w:t>5</w:t>
      </w:r>
      <w:r>
        <w:rPr>
          <w:color w:val="333333"/>
        </w:rPr>
        <w:t>、</w:t>
      </w:r>
      <w:r>
        <w:rPr>
          <w:color w:val="333333"/>
        </w:rPr>
        <w:t xml:space="preserve">8 </w:t>
      </w:r>
      <w:r>
        <w:rPr>
          <w:color w:val="333333"/>
        </w:rPr>
        <w:t>款规定的部位，可采用细水雾灭火系统。</w:t>
      </w:r>
      <w:r>
        <w:rPr>
          <w:color w:val="333333"/>
        </w:rPr>
        <w:t xml:space="preserve"> </w:t>
      </w:r>
    </w:p>
    <w:p w14:paraId="0527955C" w14:textId="77777777" w:rsidR="00A71EEF" w:rsidRDefault="00A71EEF">
      <w:pPr>
        <w:pStyle w:val="a3"/>
        <w:rPr>
          <w:sz w:val="18"/>
        </w:rPr>
      </w:pPr>
    </w:p>
    <w:p w14:paraId="5A9996C7" w14:textId="77777777" w:rsidR="00A71EEF" w:rsidRDefault="0081115D">
      <w:pPr>
        <w:pStyle w:val="a3"/>
        <w:spacing w:line="446" w:lineRule="auto"/>
        <w:ind w:left="418" w:right="1609" w:firstLine="419"/>
      </w:pPr>
      <w:r>
        <w:rPr>
          <w:color w:val="333333"/>
        </w:rPr>
        <w:t>2.</w:t>
      </w:r>
      <w:r>
        <w:rPr>
          <w:color w:val="333333"/>
        </w:rPr>
        <w:t>当有备用主机和备用已记录磁（纸）介质，且设置在不同建筑内或同一建筑内的不同防火分区内时，本条第</w:t>
      </w:r>
      <w:r>
        <w:rPr>
          <w:color w:val="333333"/>
        </w:rPr>
        <w:t xml:space="preserve"> 5 </w:t>
      </w:r>
      <w:r>
        <w:rPr>
          <w:color w:val="333333"/>
        </w:rPr>
        <w:t>款规定的部位可采用预作用自动喷水灭火系统。</w:t>
      </w:r>
      <w:r>
        <w:rPr>
          <w:color w:val="333333"/>
        </w:rPr>
        <w:t xml:space="preserve"> </w:t>
      </w:r>
    </w:p>
    <w:p w14:paraId="513A3E83" w14:textId="77777777" w:rsidR="00A71EEF" w:rsidRDefault="0081115D">
      <w:pPr>
        <w:pStyle w:val="a4"/>
        <w:numPr>
          <w:ilvl w:val="2"/>
          <w:numId w:val="696"/>
        </w:numPr>
        <w:tabs>
          <w:tab w:val="left" w:pos="1478"/>
        </w:tabs>
        <w:ind w:left="1477" w:hanging="638"/>
        <w:rPr>
          <w:sz w:val="21"/>
        </w:rPr>
      </w:pPr>
      <w:r>
        <w:rPr>
          <w:color w:val="333333"/>
          <w:spacing w:val="-3"/>
          <w:sz w:val="21"/>
        </w:rPr>
        <w:t>甲、乙、丙类液体储罐的灭火系统设置应符合下列规定：</w:t>
      </w:r>
      <w:r>
        <w:rPr>
          <w:color w:val="333333"/>
          <w:sz w:val="21"/>
        </w:rPr>
        <w:t xml:space="preserve"> </w:t>
      </w:r>
    </w:p>
    <w:p w14:paraId="427D08D9" w14:textId="77777777" w:rsidR="00A71EEF" w:rsidRDefault="00A71EEF">
      <w:pPr>
        <w:pStyle w:val="a3"/>
        <w:spacing w:before="2"/>
        <w:rPr>
          <w:sz w:val="17"/>
        </w:rPr>
      </w:pPr>
    </w:p>
    <w:p w14:paraId="51C93DD4" w14:textId="77777777" w:rsidR="00A71EEF" w:rsidRDefault="0081115D">
      <w:pPr>
        <w:pStyle w:val="a3"/>
        <w:ind w:left="838"/>
      </w:pPr>
      <w:r>
        <w:rPr>
          <w:color w:val="333333"/>
        </w:rPr>
        <w:t>单罐容量大于</w:t>
      </w:r>
      <w:r>
        <w:rPr>
          <w:color w:val="333333"/>
        </w:rPr>
        <w:t xml:space="preserve"> 1000m</w:t>
      </w:r>
      <w:r>
        <w:rPr>
          <w:color w:val="333333"/>
          <w:position w:val="11"/>
          <w:sz w:val="11"/>
        </w:rPr>
        <w:t>3</w:t>
      </w:r>
      <w:r>
        <w:rPr>
          <w:color w:val="333333"/>
          <w:sz w:val="11"/>
        </w:rPr>
        <w:t xml:space="preserve"> </w:t>
      </w:r>
      <w:r>
        <w:rPr>
          <w:color w:val="333333"/>
        </w:rPr>
        <w:t>的固定顶罐应设置固定式泡沫灭火系统；</w:t>
      </w:r>
      <w:r>
        <w:rPr>
          <w:color w:val="333333"/>
        </w:rPr>
        <w:t xml:space="preserve"> </w:t>
      </w:r>
    </w:p>
    <w:p w14:paraId="3055D56B" w14:textId="77777777" w:rsidR="00A71EEF" w:rsidRDefault="00A71EEF">
      <w:pPr>
        <w:pStyle w:val="a3"/>
        <w:spacing w:before="2"/>
        <w:rPr>
          <w:sz w:val="17"/>
        </w:rPr>
      </w:pPr>
    </w:p>
    <w:p w14:paraId="67E936D2" w14:textId="77777777" w:rsidR="00A71EEF" w:rsidRDefault="0081115D">
      <w:pPr>
        <w:pStyle w:val="a3"/>
        <w:spacing w:line="446" w:lineRule="auto"/>
        <w:ind w:left="838" w:right="2712"/>
      </w:pPr>
      <w:r>
        <w:rPr>
          <w:color w:val="333333"/>
          <w:spacing w:val="-9"/>
        </w:rPr>
        <w:t>罐壁高度小于</w:t>
      </w:r>
      <w:r>
        <w:rPr>
          <w:color w:val="333333"/>
          <w:spacing w:val="-9"/>
        </w:rPr>
        <w:t xml:space="preserve"> </w:t>
      </w:r>
      <w:r>
        <w:rPr>
          <w:color w:val="333333"/>
        </w:rPr>
        <w:t>7m</w:t>
      </w:r>
      <w:r>
        <w:rPr>
          <w:color w:val="333333"/>
          <w:spacing w:val="-8"/>
        </w:rPr>
        <w:t xml:space="preserve"> </w:t>
      </w:r>
      <w:r>
        <w:rPr>
          <w:color w:val="333333"/>
          <w:spacing w:val="-8"/>
        </w:rPr>
        <w:t>或容量不大于</w:t>
      </w:r>
      <w:r>
        <w:rPr>
          <w:color w:val="333333"/>
          <w:spacing w:val="-8"/>
        </w:rPr>
        <w:t xml:space="preserve"> </w:t>
      </w:r>
      <w:r>
        <w:rPr>
          <w:color w:val="333333"/>
        </w:rPr>
        <w:t>200m</w:t>
      </w:r>
      <w:r>
        <w:rPr>
          <w:color w:val="333333"/>
          <w:position w:val="11"/>
          <w:sz w:val="11"/>
        </w:rPr>
        <w:t>3</w:t>
      </w:r>
      <w:r>
        <w:rPr>
          <w:color w:val="333333"/>
          <w:spacing w:val="54"/>
          <w:sz w:val="11"/>
        </w:rPr>
        <w:t xml:space="preserve"> </w:t>
      </w:r>
      <w:r>
        <w:rPr>
          <w:color w:val="333333"/>
          <w:spacing w:val="-3"/>
        </w:rPr>
        <w:t>的储罐可采用移动式泡沫灭火系统；</w:t>
      </w:r>
      <w:r>
        <w:rPr>
          <w:color w:val="333333"/>
          <w:spacing w:val="-3"/>
        </w:rPr>
        <w:t xml:space="preserve"> </w:t>
      </w:r>
      <w:r>
        <w:rPr>
          <w:color w:val="333333"/>
          <w:spacing w:val="-3"/>
        </w:rPr>
        <w:t>其他储罐宜采用半固定式泡沫灭火系统；</w:t>
      </w:r>
      <w:r>
        <w:rPr>
          <w:color w:val="333333"/>
        </w:rPr>
        <w:t xml:space="preserve"> </w:t>
      </w:r>
    </w:p>
    <w:p w14:paraId="78E90508" w14:textId="77777777" w:rsidR="00A71EEF" w:rsidRDefault="0081115D">
      <w:pPr>
        <w:pStyle w:val="a3"/>
        <w:spacing w:before="1" w:line="446" w:lineRule="auto"/>
        <w:ind w:left="418" w:right="1609" w:firstLine="419"/>
      </w:pPr>
      <w:r>
        <w:rPr>
          <w:color w:val="333333"/>
        </w:rPr>
        <w:t>石油库、石油化工、石油天然气工程中甲、乙、丙类液体储罐的灭火系统设置，应符合现行国家标准《石油库设计规范》</w:t>
      </w:r>
      <w:r>
        <w:rPr>
          <w:color w:val="333333"/>
        </w:rPr>
        <w:t>GB 50</w:t>
      </w:r>
      <w:r>
        <w:rPr>
          <w:color w:val="333333"/>
        </w:rPr>
        <w:t xml:space="preserve">074 </w:t>
      </w:r>
      <w:r>
        <w:rPr>
          <w:color w:val="333333"/>
        </w:rPr>
        <w:t>等标准的规定。</w:t>
      </w:r>
      <w:r>
        <w:rPr>
          <w:color w:val="333333"/>
        </w:rPr>
        <w:t xml:space="preserve"> </w:t>
      </w:r>
    </w:p>
    <w:p w14:paraId="1E72EF95" w14:textId="77777777" w:rsidR="00A71EEF" w:rsidRDefault="0081115D">
      <w:pPr>
        <w:pStyle w:val="a4"/>
        <w:numPr>
          <w:ilvl w:val="2"/>
          <w:numId w:val="696"/>
        </w:numPr>
        <w:tabs>
          <w:tab w:val="left" w:pos="1478"/>
        </w:tabs>
        <w:spacing w:line="446" w:lineRule="auto"/>
        <w:ind w:left="418" w:right="1467" w:firstLine="422"/>
        <w:rPr>
          <w:sz w:val="21"/>
        </w:rPr>
      </w:pPr>
      <w:r>
        <w:rPr>
          <w:color w:val="333333"/>
          <w:spacing w:val="-8"/>
          <w:sz w:val="21"/>
        </w:rPr>
        <w:t>餐厅建筑面积大于</w:t>
      </w:r>
      <w:r>
        <w:rPr>
          <w:color w:val="333333"/>
          <w:spacing w:val="-8"/>
          <w:sz w:val="21"/>
        </w:rPr>
        <w:t xml:space="preserve"> </w:t>
      </w:r>
      <w:r>
        <w:rPr>
          <w:color w:val="333333"/>
          <w:sz w:val="21"/>
        </w:rPr>
        <w:t>1000m</w:t>
      </w:r>
      <w:r>
        <w:rPr>
          <w:color w:val="333333"/>
          <w:position w:val="11"/>
          <w:sz w:val="11"/>
        </w:rPr>
        <w:t>2</w:t>
      </w:r>
      <w:r>
        <w:rPr>
          <w:color w:val="333333"/>
          <w:spacing w:val="-24"/>
          <w:position w:val="11"/>
          <w:sz w:val="11"/>
        </w:rPr>
        <w:t xml:space="preserve"> </w:t>
      </w:r>
      <w:r>
        <w:rPr>
          <w:color w:val="333333"/>
          <w:spacing w:val="-3"/>
          <w:sz w:val="21"/>
        </w:rPr>
        <w:t>的餐馆或食堂，其烹饪操作间的排油烟罩及烹饪部位应设置自动灭火装置，并应在燃气或燃油管道上设置与自动灭火装置联动的自动切断装置。</w:t>
      </w:r>
      <w:r>
        <w:rPr>
          <w:color w:val="333333"/>
          <w:sz w:val="21"/>
        </w:rPr>
        <w:t xml:space="preserve"> </w:t>
      </w:r>
    </w:p>
    <w:p w14:paraId="3A5DDB5B" w14:textId="77777777" w:rsidR="00A71EEF" w:rsidRDefault="0081115D">
      <w:pPr>
        <w:pStyle w:val="a3"/>
        <w:spacing w:line="446" w:lineRule="auto"/>
        <w:ind w:left="840" w:right="1925" w:hanging="3"/>
        <w:rPr>
          <w:b/>
        </w:rPr>
      </w:pPr>
      <w:r>
        <w:rPr>
          <w:color w:val="333333"/>
        </w:rPr>
        <w:t>食品工业加工场所内有明火作业或高温食用油的食品加工部位宜设置自动灭火装置。</w:t>
      </w:r>
      <w:r>
        <w:rPr>
          <w:b/>
        </w:rPr>
        <w:t xml:space="preserve">8.4 </w:t>
      </w:r>
      <w:r>
        <w:t>火灾自动报警系统</w:t>
      </w:r>
      <w:r>
        <w:rPr>
          <w:b/>
          <w:w w:val="99"/>
        </w:rPr>
        <w:t xml:space="preserve"> </w:t>
      </w:r>
    </w:p>
    <w:p w14:paraId="3DB4FCB0" w14:textId="77777777" w:rsidR="00A71EEF" w:rsidRDefault="0081115D">
      <w:pPr>
        <w:pStyle w:val="a4"/>
        <w:numPr>
          <w:ilvl w:val="2"/>
          <w:numId w:val="695"/>
        </w:numPr>
        <w:tabs>
          <w:tab w:val="left" w:pos="1370"/>
        </w:tabs>
        <w:ind w:hanging="530"/>
        <w:rPr>
          <w:sz w:val="21"/>
        </w:rPr>
      </w:pPr>
      <w:r>
        <w:rPr>
          <w:color w:val="333333"/>
          <w:spacing w:val="-3"/>
          <w:sz w:val="21"/>
        </w:rPr>
        <w:t>下列建筑或场所应设置火灾自动报警系统：</w:t>
      </w:r>
      <w:r>
        <w:rPr>
          <w:color w:val="333333"/>
          <w:sz w:val="21"/>
        </w:rPr>
        <w:t xml:space="preserve"> </w:t>
      </w:r>
    </w:p>
    <w:p w14:paraId="634EC27A" w14:textId="77777777" w:rsidR="00A71EEF" w:rsidRDefault="00A71EEF">
      <w:pPr>
        <w:pStyle w:val="a3"/>
        <w:spacing w:before="3"/>
        <w:rPr>
          <w:sz w:val="16"/>
        </w:rPr>
      </w:pPr>
    </w:p>
    <w:p w14:paraId="5F87BAA7" w14:textId="77777777" w:rsidR="00A71EEF" w:rsidRDefault="0081115D">
      <w:pPr>
        <w:pStyle w:val="a3"/>
        <w:spacing w:line="446" w:lineRule="auto"/>
        <w:ind w:left="418" w:right="1608" w:firstLine="419"/>
      </w:pPr>
      <w:r>
        <w:rPr>
          <w:color w:val="333333"/>
          <w:spacing w:val="-8"/>
        </w:rPr>
        <w:t>任一层建筑面积大于</w:t>
      </w:r>
      <w:r>
        <w:rPr>
          <w:color w:val="333333"/>
          <w:spacing w:val="-8"/>
        </w:rPr>
        <w:t xml:space="preserve"> </w:t>
      </w:r>
      <w:r>
        <w:rPr>
          <w:color w:val="333333"/>
        </w:rPr>
        <w:t>1500m</w:t>
      </w:r>
      <w:r>
        <w:rPr>
          <w:color w:val="333333"/>
          <w:position w:val="11"/>
          <w:sz w:val="11"/>
        </w:rPr>
        <w:t>2</w:t>
      </w:r>
      <w:r>
        <w:rPr>
          <w:color w:val="333333"/>
          <w:spacing w:val="1"/>
          <w:sz w:val="11"/>
        </w:rPr>
        <w:t xml:space="preserve">  </w:t>
      </w:r>
      <w:r>
        <w:rPr>
          <w:color w:val="333333"/>
          <w:spacing w:val="-9"/>
        </w:rPr>
        <w:t>或总建筑面积大于</w:t>
      </w:r>
      <w:r>
        <w:rPr>
          <w:color w:val="333333"/>
          <w:spacing w:val="-9"/>
        </w:rPr>
        <w:t xml:space="preserve"> </w:t>
      </w:r>
      <w:r>
        <w:rPr>
          <w:color w:val="333333"/>
        </w:rPr>
        <w:t>3000m</w:t>
      </w:r>
      <w:r>
        <w:rPr>
          <w:color w:val="333333"/>
          <w:position w:val="11"/>
          <w:sz w:val="11"/>
        </w:rPr>
        <w:t>2</w:t>
      </w:r>
      <w:r>
        <w:rPr>
          <w:color w:val="333333"/>
          <w:sz w:val="11"/>
        </w:rPr>
        <w:t xml:space="preserve">   </w:t>
      </w:r>
      <w:r>
        <w:rPr>
          <w:color w:val="333333"/>
          <w:spacing w:val="-3"/>
        </w:rPr>
        <w:t>的制鞋、制衣、玩具、电子等类似用途的厂房；</w:t>
      </w:r>
      <w:r>
        <w:rPr>
          <w:color w:val="333333"/>
        </w:rPr>
        <w:t xml:space="preserve"> </w:t>
      </w:r>
    </w:p>
    <w:p w14:paraId="75108DEE" w14:textId="77777777" w:rsidR="00A71EEF" w:rsidRDefault="00A71EEF">
      <w:pPr>
        <w:spacing w:line="446" w:lineRule="auto"/>
        <w:sectPr w:rsidR="00A71EEF">
          <w:pgSz w:w="11910" w:h="16850"/>
          <w:pgMar w:top="1220" w:right="0" w:bottom="1420" w:left="1260" w:header="0" w:footer="1239" w:gutter="0"/>
          <w:cols w:space="720"/>
        </w:sectPr>
      </w:pPr>
    </w:p>
    <w:p w14:paraId="1721C791" w14:textId="77777777" w:rsidR="00A71EEF" w:rsidRDefault="0081115D">
      <w:pPr>
        <w:pStyle w:val="a3"/>
        <w:spacing w:before="57" w:line="436" w:lineRule="auto"/>
        <w:ind w:left="418" w:right="2209" w:firstLine="419"/>
      </w:pPr>
      <w:r>
        <w:rPr>
          <w:color w:val="333333"/>
          <w:spacing w:val="-7"/>
        </w:rPr>
        <w:lastRenderedPageBreak/>
        <w:t>每座占地面积大于</w:t>
      </w:r>
      <w:r>
        <w:rPr>
          <w:color w:val="333333"/>
          <w:spacing w:val="-7"/>
        </w:rPr>
        <w:t xml:space="preserve"> </w:t>
      </w:r>
      <w:r>
        <w:rPr>
          <w:color w:val="333333"/>
        </w:rPr>
        <w:t>1000m</w:t>
      </w:r>
      <w:r>
        <w:rPr>
          <w:color w:val="333333"/>
          <w:position w:val="11"/>
          <w:sz w:val="11"/>
        </w:rPr>
        <w:t xml:space="preserve">2 </w:t>
      </w:r>
      <w:r>
        <w:rPr>
          <w:color w:val="333333"/>
          <w:spacing w:val="-3"/>
        </w:rPr>
        <w:t>的棉、毛、丝、麻、化纤及其制品的仓库，占地面积大于</w:t>
      </w:r>
      <w:r>
        <w:rPr>
          <w:color w:val="333333"/>
          <w:spacing w:val="-3"/>
        </w:rPr>
        <w:t>500m</w:t>
      </w:r>
      <w:r>
        <w:rPr>
          <w:color w:val="333333"/>
          <w:spacing w:val="-3"/>
          <w:position w:val="11"/>
          <w:sz w:val="11"/>
        </w:rPr>
        <w:t>2</w:t>
      </w:r>
      <w:r>
        <w:rPr>
          <w:color w:val="333333"/>
          <w:spacing w:val="-3"/>
          <w:sz w:val="11"/>
        </w:rPr>
        <w:t xml:space="preserve"> </w:t>
      </w:r>
      <w:r>
        <w:rPr>
          <w:color w:val="333333"/>
          <w:spacing w:val="-9"/>
        </w:rPr>
        <w:t>或总建筑面积大于</w:t>
      </w:r>
      <w:r>
        <w:rPr>
          <w:color w:val="333333"/>
          <w:spacing w:val="-9"/>
        </w:rPr>
        <w:t xml:space="preserve"> </w:t>
      </w:r>
      <w:r>
        <w:rPr>
          <w:color w:val="333333"/>
        </w:rPr>
        <w:t>1000m</w:t>
      </w:r>
      <w:r>
        <w:rPr>
          <w:color w:val="333333"/>
          <w:position w:val="11"/>
          <w:sz w:val="11"/>
        </w:rPr>
        <w:t>2</w:t>
      </w:r>
      <w:r>
        <w:rPr>
          <w:color w:val="333333"/>
          <w:sz w:val="11"/>
        </w:rPr>
        <w:t xml:space="preserve"> </w:t>
      </w:r>
      <w:r>
        <w:rPr>
          <w:color w:val="333333"/>
          <w:spacing w:val="-3"/>
        </w:rPr>
        <w:t>的卷烟仓库；</w:t>
      </w:r>
      <w:r>
        <w:rPr>
          <w:color w:val="333333"/>
        </w:rPr>
        <w:t xml:space="preserve"> </w:t>
      </w:r>
    </w:p>
    <w:p w14:paraId="05F1D2EE" w14:textId="77777777" w:rsidR="00A71EEF" w:rsidRDefault="0081115D">
      <w:pPr>
        <w:pStyle w:val="a3"/>
        <w:spacing w:line="439" w:lineRule="auto"/>
        <w:ind w:left="418" w:right="1498" w:firstLine="419"/>
      </w:pPr>
      <w:r>
        <w:rPr>
          <w:color w:val="333333"/>
          <w:spacing w:val="-8"/>
        </w:rPr>
        <w:t>任一层建筑面积大于</w:t>
      </w:r>
      <w:r>
        <w:rPr>
          <w:color w:val="333333"/>
          <w:spacing w:val="-8"/>
        </w:rPr>
        <w:t xml:space="preserve"> </w:t>
      </w:r>
      <w:r>
        <w:rPr>
          <w:color w:val="333333"/>
        </w:rPr>
        <w:t>1500m</w:t>
      </w:r>
      <w:r>
        <w:rPr>
          <w:color w:val="333333"/>
          <w:position w:val="11"/>
          <w:sz w:val="11"/>
        </w:rPr>
        <w:t xml:space="preserve">2 </w:t>
      </w:r>
      <w:r>
        <w:rPr>
          <w:color w:val="333333"/>
          <w:spacing w:val="-9"/>
        </w:rPr>
        <w:t>或总建筑面积大于</w:t>
      </w:r>
      <w:r>
        <w:rPr>
          <w:color w:val="333333"/>
          <w:spacing w:val="-9"/>
        </w:rPr>
        <w:t xml:space="preserve"> </w:t>
      </w:r>
      <w:r>
        <w:rPr>
          <w:color w:val="333333"/>
        </w:rPr>
        <w:t>3000m</w:t>
      </w:r>
      <w:r>
        <w:rPr>
          <w:color w:val="333333"/>
          <w:position w:val="11"/>
          <w:sz w:val="11"/>
        </w:rPr>
        <w:t>2</w:t>
      </w:r>
      <w:r>
        <w:rPr>
          <w:color w:val="333333"/>
          <w:spacing w:val="2"/>
          <w:sz w:val="11"/>
        </w:rPr>
        <w:t xml:space="preserve">  </w:t>
      </w:r>
      <w:r>
        <w:rPr>
          <w:color w:val="333333"/>
          <w:spacing w:val="-3"/>
        </w:rPr>
        <w:t>的商店、展览、财贸金融、客运和</w:t>
      </w:r>
      <w:r>
        <w:rPr>
          <w:color w:val="333333"/>
          <w:spacing w:val="-6"/>
        </w:rPr>
        <w:t>货运等类似用途的建筑，总建筑面积大于</w:t>
      </w:r>
      <w:r>
        <w:rPr>
          <w:color w:val="333333"/>
          <w:spacing w:val="-6"/>
        </w:rPr>
        <w:t xml:space="preserve"> </w:t>
      </w:r>
      <w:r>
        <w:rPr>
          <w:color w:val="333333"/>
        </w:rPr>
        <w:t>500m</w:t>
      </w:r>
      <w:r>
        <w:rPr>
          <w:color w:val="333333"/>
          <w:position w:val="11"/>
          <w:sz w:val="11"/>
        </w:rPr>
        <w:t>2</w:t>
      </w:r>
      <w:r>
        <w:rPr>
          <w:color w:val="333333"/>
          <w:sz w:val="11"/>
        </w:rPr>
        <w:t xml:space="preserve"> </w:t>
      </w:r>
      <w:r>
        <w:rPr>
          <w:color w:val="333333"/>
          <w:spacing w:val="-3"/>
        </w:rPr>
        <w:t>的地下或半地下商店；</w:t>
      </w:r>
      <w:r>
        <w:rPr>
          <w:color w:val="333333"/>
        </w:rPr>
        <w:t xml:space="preserve"> </w:t>
      </w:r>
    </w:p>
    <w:p w14:paraId="2935B25A" w14:textId="77777777" w:rsidR="00A71EEF" w:rsidRDefault="0081115D">
      <w:pPr>
        <w:pStyle w:val="a3"/>
        <w:spacing w:before="6"/>
        <w:ind w:left="838"/>
      </w:pPr>
      <w:r>
        <w:rPr>
          <w:color w:val="333333"/>
        </w:rPr>
        <w:t>图书或文物的珍藏库，每座藏书超过</w:t>
      </w:r>
      <w:r>
        <w:rPr>
          <w:color w:val="333333"/>
        </w:rPr>
        <w:t xml:space="preserve"> 50 </w:t>
      </w:r>
      <w:r>
        <w:rPr>
          <w:color w:val="333333"/>
        </w:rPr>
        <w:t>万册的图书馆，重要的档案馆；</w:t>
      </w:r>
      <w:r>
        <w:rPr>
          <w:color w:val="333333"/>
        </w:rPr>
        <w:t xml:space="preserve"> </w:t>
      </w:r>
    </w:p>
    <w:p w14:paraId="0C0801E3" w14:textId="77777777" w:rsidR="00A71EEF" w:rsidRDefault="00A71EEF">
      <w:pPr>
        <w:pStyle w:val="a3"/>
        <w:spacing w:before="12"/>
        <w:rPr>
          <w:sz w:val="17"/>
        </w:rPr>
      </w:pPr>
    </w:p>
    <w:p w14:paraId="2A3D171D" w14:textId="77777777" w:rsidR="00A71EEF" w:rsidRDefault="0081115D">
      <w:pPr>
        <w:pStyle w:val="a3"/>
        <w:spacing w:line="446" w:lineRule="auto"/>
        <w:ind w:left="418" w:right="1609" w:firstLine="419"/>
      </w:pPr>
      <w:r>
        <w:rPr>
          <w:color w:val="333333"/>
        </w:rPr>
        <w:t>地市级及以上广播电视建筑、邮政建筑、电信建筑，城市或区域性电力、交通和防灾等指挥调度建筑；</w:t>
      </w:r>
      <w:r>
        <w:rPr>
          <w:color w:val="333333"/>
        </w:rPr>
        <w:t xml:space="preserve"> </w:t>
      </w:r>
    </w:p>
    <w:p w14:paraId="04AC8F7A" w14:textId="77777777" w:rsidR="00A71EEF" w:rsidRDefault="0081115D">
      <w:pPr>
        <w:pStyle w:val="a3"/>
        <w:spacing w:before="1" w:line="446" w:lineRule="auto"/>
        <w:ind w:left="418" w:right="1555" w:firstLine="419"/>
      </w:pPr>
      <w:r>
        <w:rPr>
          <w:color w:val="333333"/>
          <w:spacing w:val="-6"/>
        </w:rPr>
        <w:t>特等、甲等剧场，座位数超过</w:t>
      </w:r>
      <w:r>
        <w:rPr>
          <w:color w:val="333333"/>
          <w:spacing w:val="-6"/>
        </w:rPr>
        <w:t xml:space="preserve"> </w:t>
      </w:r>
      <w:r>
        <w:rPr>
          <w:color w:val="333333"/>
        </w:rPr>
        <w:t>1500</w:t>
      </w:r>
      <w:r>
        <w:rPr>
          <w:color w:val="333333"/>
          <w:spacing w:val="-6"/>
        </w:rPr>
        <w:t xml:space="preserve"> </w:t>
      </w:r>
      <w:r>
        <w:rPr>
          <w:color w:val="333333"/>
          <w:spacing w:val="-6"/>
        </w:rPr>
        <w:t>的其他等级的剧场或电影院，座位数超过</w:t>
      </w:r>
      <w:r>
        <w:rPr>
          <w:color w:val="333333"/>
          <w:spacing w:val="-6"/>
        </w:rPr>
        <w:t xml:space="preserve"> </w:t>
      </w:r>
      <w:r>
        <w:rPr>
          <w:color w:val="333333"/>
        </w:rPr>
        <w:t>2000</w:t>
      </w:r>
      <w:r>
        <w:rPr>
          <w:color w:val="333333"/>
          <w:spacing w:val="-13"/>
        </w:rPr>
        <w:t xml:space="preserve"> </w:t>
      </w:r>
      <w:r>
        <w:rPr>
          <w:color w:val="333333"/>
          <w:spacing w:val="-13"/>
        </w:rPr>
        <w:t>个的会</w:t>
      </w:r>
      <w:r>
        <w:rPr>
          <w:color w:val="333333"/>
          <w:spacing w:val="-11"/>
        </w:rPr>
        <w:t>堂或礼堂，座位数超过</w:t>
      </w:r>
      <w:r>
        <w:rPr>
          <w:color w:val="333333"/>
          <w:spacing w:val="-11"/>
        </w:rPr>
        <w:t xml:space="preserve"> </w:t>
      </w:r>
      <w:r>
        <w:rPr>
          <w:color w:val="333333"/>
        </w:rPr>
        <w:t>3000</w:t>
      </w:r>
      <w:r>
        <w:rPr>
          <w:color w:val="333333"/>
          <w:spacing w:val="-10"/>
        </w:rPr>
        <w:t xml:space="preserve"> </w:t>
      </w:r>
      <w:r>
        <w:rPr>
          <w:color w:val="333333"/>
          <w:spacing w:val="-10"/>
        </w:rPr>
        <w:t>个的体育馆；</w:t>
      </w:r>
      <w:r>
        <w:rPr>
          <w:color w:val="333333"/>
        </w:rPr>
        <w:t xml:space="preserve"> </w:t>
      </w:r>
    </w:p>
    <w:p w14:paraId="6B08E9EC" w14:textId="77777777" w:rsidR="00A71EEF" w:rsidRDefault="0081115D">
      <w:pPr>
        <w:pStyle w:val="a3"/>
        <w:spacing w:line="441" w:lineRule="auto"/>
        <w:ind w:left="418" w:right="1579" w:firstLine="419"/>
        <w:jc w:val="both"/>
      </w:pPr>
      <w:r>
        <w:rPr>
          <w:color w:val="333333"/>
          <w:spacing w:val="-4"/>
        </w:rPr>
        <w:t>大、中型幼儿园的儿童用房等场所，老年人照料设施，任一层建筑面积大于</w:t>
      </w:r>
      <w:r>
        <w:rPr>
          <w:color w:val="333333"/>
          <w:spacing w:val="-4"/>
        </w:rPr>
        <w:t xml:space="preserve"> </w:t>
      </w:r>
      <w:r>
        <w:rPr>
          <w:color w:val="333333"/>
        </w:rPr>
        <w:t>1500m</w:t>
      </w:r>
      <w:r>
        <w:rPr>
          <w:color w:val="333333"/>
          <w:position w:val="11"/>
          <w:sz w:val="11"/>
        </w:rPr>
        <w:t xml:space="preserve">2 </w:t>
      </w:r>
      <w:r>
        <w:rPr>
          <w:color w:val="333333"/>
          <w:spacing w:val="-2"/>
        </w:rPr>
        <w:t>或总建</w:t>
      </w:r>
      <w:r>
        <w:rPr>
          <w:color w:val="333333"/>
          <w:spacing w:val="-11"/>
        </w:rPr>
        <w:t>筑面积大于</w:t>
      </w:r>
      <w:r>
        <w:rPr>
          <w:color w:val="333333"/>
          <w:spacing w:val="-11"/>
        </w:rPr>
        <w:t xml:space="preserve"> </w:t>
      </w:r>
      <w:r>
        <w:rPr>
          <w:color w:val="333333"/>
        </w:rPr>
        <w:t>3000m</w:t>
      </w:r>
      <w:r>
        <w:rPr>
          <w:color w:val="333333"/>
          <w:position w:val="11"/>
          <w:sz w:val="11"/>
        </w:rPr>
        <w:t>2</w:t>
      </w:r>
      <w:r>
        <w:rPr>
          <w:color w:val="333333"/>
          <w:spacing w:val="4"/>
          <w:sz w:val="11"/>
        </w:rPr>
        <w:t xml:space="preserve">  </w:t>
      </w:r>
      <w:r>
        <w:rPr>
          <w:color w:val="333333"/>
          <w:spacing w:val="-5"/>
        </w:rPr>
        <w:t>的疗养院的病房楼、旅馆建筑和其他儿童活动场所，不少于</w:t>
      </w:r>
      <w:r>
        <w:rPr>
          <w:color w:val="333333"/>
          <w:spacing w:val="-5"/>
        </w:rPr>
        <w:t xml:space="preserve"> </w:t>
      </w:r>
      <w:r>
        <w:rPr>
          <w:color w:val="333333"/>
        </w:rPr>
        <w:t>200</w:t>
      </w:r>
      <w:r>
        <w:rPr>
          <w:color w:val="333333"/>
          <w:spacing w:val="-12"/>
        </w:rPr>
        <w:t xml:space="preserve"> </w:t>
      </w:r>
      <w:r>
        <w:rPr>
          <w:color w:val="333333"/>
          <w:spacing w:val="-12"/>
        </w:rPr>
        <w:t>床位的医</w:t>
      </w:r>
      <w:r>
        <w:rPr>
          <w:color w:val="333333"/>
          <w:spacing w:val="-6"/>
        </w:rPr>
        <w:t>院门诊楼、病房楼和手术部等；</w:t>
      </w:r>
      <w:r>
        <w:rPr>
          <w:color w:val="333333"/>
        </w:rPr>
        <w:t xml:space="preserve"> </w:t>
      </w:r>
    </w:p>
    <w:p w14:paraId="50030230" w14:textId="77777777" w:rsidR="00A71EEF" w:rsidRDefault="0081115D">
      <w:pPr>
        <w:pStyle w:val="a3"/>
        <w:ind w:left="838"/>
      </w:pPr>
      <w:r>
        <w:rPr>
          <w:color w:val="333333"/>
        </w:rPr>
        <w:t>歌舞娱乐放映游艺场所；</w:t>
      </w:r>
      <w:r>
        <w:rPr>
          <w:color w:val="333333"/>
        </w:rPr>
        <w:t xml:space="preserve"> </w:t>
      </w:r>
    </w:p>
    <w:p w14:paraId="1E77C43B" w14:textId="77777777" w:rsidR="00A71EEF" w:rsidRDefault="00A71EEF">
      <w:pPr>
        <w:pStyle w:val="a3"/>
        <w:spacing w:before="7"/>
        <w:rPr>
          <w:sz w:val="17"/>
        </w:rPr>
      </w:pPr>
    </w:p>
    <w:p w14:paraId="73AFC846" w14:textId="77777777" w:rsidR="00A71EEF" w:rsidRDefault="0081115D">
      <w:pPr>
        <w:pStyle w:val="a3"/>
        <w:spacing w:line="446" w:lineRule="auto"/>
        <w:ind w:left="838" w:right="1721"/>
      </w:pPr>
      <w:r>
        <w:rPr>
          <w:color w:val="333333"/>
          <w:spacing w:val="-11"/>
        </w:rPr>
        <w:t>净高大于</w:t>
      </w:r>
      <w:r>
        <w:rPr>
          <w:color w:val="333333"/>
          <w:spacing w:val="-11"/>
        </w:rPr>
        <w:t xml:space="preserve"> </w:t>
      </w:r>
      <w:r>
        <w:rPr>
          <w:color w:val="333333"/>
        </w:rPr>
        <w:t>2.6m</w:t>
      </w:r>
      <w:r>
        <w:rPr>
          <w:color w:val="333333"/>
          <w:spacing w:val="-12"/>
        </w:rPr>
        <w:t xml:space="preserve"> </w:t>
      </w:r>
      <w:r>
        <w:rPr>
          <w:color w:val="333333"/>
          <w:spacing w:val="-12"/>
        </w:rPr>
        <w:t>且可燃物较多</w:t>
      </w:r>
      <w:r>
        <w:rPr>
          <w:color w:val="333333"/>
          <w:spacing w:val="-12"/>
        </w:rPr>
        <w:t>的技术夹层，净高大于</w:t>
      </w:r>
      <w:r>
        <w:rPr>
          <w:color w:val="333333"/>
          <w:spacing w:val="-12"/>
        </w:rPr>
        <w:t xml:space="preserve"> </w:t>
      </w:r>
      <w:r>
        <w:rPr>
          <w:color w:val="333333"/>
        </w:rPr>
        <w:t>0.8m</w:t>
      </w:r>
      <w:r>
        <w:rPr>
          <w:color w:val="333333"/>
          <w:spacing w:val="-8"/>
        </w:rPr>
        <w:t xml:space="preserve"> </w:t>
      </w:r>
      <w:r>
        <w:rPr>
          <w:color w:val="333333"/>
          <w:spacing w:val="-8"/>
        </w:rPr>
        <w:t>且有可燃物的闷顶或吊顶内；</w:t>
      </w:r>
      <w:r>
        <w:rPr>
          <w:color w:val="333333"/>
          <w:spacing w:val="-8"/>
        </w:rPr>
        <w:t xml:space="preserve"> </w:t>
      </w:r>
      <w:r>
        <w:rPr>
          <w:color w:val="333333"/>
          <w:spacing w:val="-3"/>
        </w:rPr>
        <w:t>电子信息系统的主机房及其控制室、记录介质库，特殊贵重或火灾危险性大的机器、仪</w:t>
      </w:r>
    </w:p>
    <w:p w14:paraId="39A31227" w14:textId="77777777" w:rsidR="00A71EEF" w:rsidRDefault="0081115D">
      <w:pPr>
        <w:pStyle w:val="a3"/>
        <w:ind w:left="418"/>
      </w:pPr>
      <w:r>
        <w:rPr>
          <w:color w:val="333333"/>
        </w:rPr>
        <w:t>表、仪器设备室、贵重物品库房；</w:t>
      </w:r>
      <w:r>
        <w:rPr>
          <w:color w:val="333333"/>
        </w:rPr>
        <w:t xml:space="preserve"> </w:t>
      </w:r>
    </w:p>
    <w:p w14:paraId="3FFC2B39" w14:textId="77777777" w:rsidR="00A71EEF" w:rsidRDefault="00A71EEF">
      <w:pPr>
        <w:pStyle w:val="a3"/>
        <w:spacing w:before="2"/>
        <w:rPr>
          <w:sz w:val="17"/>
        </w:rPr>
      </w:pPr>
    </w:p>
    <w:p w14:paraId="4813075E" w14:textId="77777777" w:rsidR="00A71EEF" w:rsidRDefault="0081115D">
      <w:pPr>
        <w:pStyle w:val="a3"/>
        <w:spacing w:line="446" w:lineRule="auto"/>
        <w:ind w:left="418" w:right="1711" w:firstLine="419"/>
      </w:pPr>
      <w:r>
        <w:rPr>
          <w:color w:val="333333"/>
          <w:spacing w:val="-6"/>
        </w:rPr>
        <w:t>二类高层公共建筑内建筑面积大于</w:t>
      </w:r>
      <w:r>
        <w:rPr>
          <w:color w:val="333333"/>
          <w:spacing w:val="-6"/>
        </w:rPr>
        <w:t xml:space="preserve"> </w:t>
      </w:r>
      <w:r>
        <w:rPr>
          <w:color w:val="333333"/>
        </w:rPr>
        <w:t>50m</w:t>
      </w:r>
      <w:r>
        <w:rPr>
          <w:color w:val="333333"/>
          <w:position w:val="11"/>
          <w:sz w:val="11"/>
        </w:rPr>
        <w:t>2</w:t>
      </w:r>
      <w:r>
        <w:rPr>
          <w:color w:val="333333"/>
          <w:sz w:val="11"/>
        </w:rPr>
        <w:t xml:space="preserve">  </w:t>
      </w:r>
      <w:r>
        <w:rPr>
          <w:color w:val="333333"/>
          <w:spacing w:val="-6"/>
        </w:rPr>
        <w:t>的可燃物品库房和建筑面积大于</w:t>
      </w:r>
      <w:r>
        <w:rPr>
          <w:color w:val="333333"/>
          <w:spacing w:val="-6"/>
        </w:rPr>
        <w:t xml:space="preserve"> </w:t>
      </w:r>
      <w:r>
        <w:rPr>
          <w:color w:val="333333"/>
        </w:rPr>
        <w:t>500m</w:t>
      </w:r>
      <w:r>
        <w:rPr>
          <w:color w:val="333333"/>
          <w:position w:val="11"/>
          <w:sz w:val="11"/>
        </w:rPr>
        <w:t>2</w:t>
      </w:r>
      <w:r>
        <w:rPr>
          <w:color w:val="333333"/>
          <w:sz w:val="11"/>
        </w:rPr>
        <w:t xml:space="preserve">   </w:t>
      </w:r>
      <w:r>
        <w:rPr>
          <w:color w:val="333333"/>
          <w:spacing w:val="-2"/>
        </w:rPr>
        <w:t>的营业</w:t>
      </w:r>
      <w:r>
        <w:rPr>
          <w:color w:val="333333"/>
          <w:spacing w:val="-3"/>
        </w:rPr>
        <w:t>厅；</w:t>
      </w:r>
      <w:r>
        <w:rPr>
          <w:color w:val="333333"/>
        </w:rPr>
        <w:t xml:space="preserve"> </w:t>
      </w:r>
    </w:p>
    <w:p w14:paraId="1D0E7CF0" w14:textId="77777777" w:rsidR="00A71EEF" w:rsidRDefault="0081115D">
      <w:pPr>
        <w:pStyle w:val="a3"/>
        <w:ind w:left="838"/>
      </w:pPr>
      <w:r>
        <w:rPr>
          <w:color w:val="333333"/>
        </w:rPr>
        <w:t>其他一类高层公共建筑；</w:t>
      </w:r>
      <w:r>
        <w:rPr>
          <w:color w:val="333333"/>
        </w:rPr>
        <w:t xml:space="preserve"> </w:t>
      </w:r>
    </w:p>
    <w:p w14:paraId="4FDBCA38" w14:textId="77777777" w:rsidR="00A71EEF" w:rsidRDefault="00A71EEF">
      <w:pPr>
        <w:pStyle w:val="a3"/>
        <w:rPr>
          <w:sz w:val="18"/>
        </w:rPr>
      </w:pPr>
    </w:p>
    <w:p w14:paraId="3DE9A7AD" w14:textId="77777777" w:rsidR="00A71EEF" w:rsidRDefault="0081115D">
      <w:pPr>
        <w:pStyle w:val="a3"/>
        <w:spacing w:line="446" w:lineRule="auto"/>
        <w:ind w:left="418" w:right="1609" w:firstLine="419"/>
      </w:pPr>
      <w:r>
        <w:rPr>
          <w:color w:val="333333"/>
        </w:rPr>
        <w:t>设置机械排烟、防烟系统、雨淋或预作用自动喷水灭火系统、固定消防水炮灭火系统等需与火灾自动报警系统联锁动作的场所或部位。</w:t>
      </w:r>
      <w:r>
        <w:rPr>
          <w:color w:val="333333"/>
        </w:rPr>
        <w:t xml:space="preserve"> </w:t>
      </w:r>
    </w:p>
    <w:p w14:paraId="47D26FD0" w14:textId="77777777" w:rsidR="00A71EEF" w:rsidRDefault="0081115D">
      <w:pPr>
        <w:pStyle w:val="a3"/>
        <w:spacing w:line="446" w:lineRule="auto"/>
        <w:ind w:left="418" w:right="1609" w:firstLine="419"/>
      </w:pPr>
      <w:r>
        <w:rPr>
          <w:color w:val="333333"/>
        </w:rPr>
        <w:t>注：老年人照料设施中的老年人用房及其公共走道，均应设置火灾探测器和声警报装置或消防广播。</w:t>
      </w:r>
      <w:r>
        <w:rPr>
          <w:color w:val="333333"/>
        </w:rPr>
        <w:t xml:space="preserve"> </w:t>
      </w:r>
    </w:p>
    <w:p w14:paraId="6F1861D7" w14:textId="77777777" w:rsidR="00A71EEF" w:rsidRDefault="0081115D">
      <w:pPr>
        <w:pStyle w:val="a4"/>
        <w:numPr>
          <w:ilvl w:val="2"/>
          <w:numId w:val="695"/>
        </w:numPr>
        <w:tabs>
          <w:tab w:val="left" w:pos="1370"/>
        </w:tabs>
        <w:spacing w:line="267" w:lineRule="exact"/>
        <w:ind w:hanging="530"/>
        <w:rPr>
          <w:sz w:val="21"/>
        </w:rPr>
      </w:pPr>
      <w:r>
        <w:rPr>
          <w:color w:val="333333"/>
          <w:spacing w:val="-10"/>
          <w:sz w:val="21"/>
        </w:rPr>
        <w:t>建筑高度大于</w:t>
      </w:r>
      <w:r>
        <w:rPr>
          <w:color w:val="333333"/>
          <w:spacing w:val="-10"/>
          <w:sz w:val="21"/>
        </w:rPr>
        <w:t xml:space="preserve"> </w:t>
      </w:r>
      <w:r>
        <w:rPr>
          <w:color w:val="333333"/>
          <w:sz w:val="21"/>
        </w:rPr>
        <w:t>100m</w:t>
      </w:r>
      <w:r>
        <w:rPr>
          <w:color w:val="333333"/>
          <w:spacing w:val="-3"/>
          <w:sz w:val="21"/>
        </w:rPr>
        <w:t xml:space="preserve"> </w:t>
      </w:r>
      <w:r>
        <w:rPr>
          <w:color w:val="333333"/>
          <w:spacing w:val="-3"/>
          <w:sz w:val="21"/>
        </w:rPr>
        <w:t>的住宅建筑，应设置火灾自动报警系统。</w:t>
      </w:r>
      <w:r>
        <w:rPr>
          <w:color w:val="333333"/>
          <w:sz w:val="21"/>
        </w:rPr>
        <w:t xml:space="preserve"> </w:t>
      </w:r>
    </w:p>
    <w:p w14:paraId="156E68CC" w14:textId="77777777" w:rsidR="00A71EEF" w:rsidRDefault="00A71EEF">
      <w:pPr>
        <w:pStyle w:val="a3"/>
        <w:spacing w:before="2"/>
        <w:rPr>
          <w:sz w:val="18"/>
        </w:rPr>
      </w:pPr>
    </w:p>
    <w:p w14:paraId="47B71EF8" w14:textId="77777777" w:rsidR="00A71EEF" w:rsidRDefault="0081115D">
      <w:pPr>
        <w:pStyle w:val="a3"/>
        <w:spacing w:line="446" w:lineRule="auto"/>
        <w:ind w:left="418" w:right="1611" w:firstLine="419"/>
      </w:pPr>
      <w:r>
        <w:rPr>
          <w:color w:val="333333"/>
          <w:spacing w:val="-9"/>
        </w:rPr>
        <w:t>建筑高度大于</w:t>
      </w:r>
      <w:r>
        <w:rPr>
          <w:color w:val="333333"/>
          <w:spacing w:val="-9"/>
        </w:rPr>
        <w:t xml:space="preserve"> </w:t>
      </w:r>
      <w:r>
        <w:rPr>
          <w:color w:val="333333"/>
        </w:rPr>
        <w:t>54m</w:t>
      </w:r>
      <w:r>
        <w:rPr>
          <w:color w:val="333333"/>
          <w:spacing w:val="-8"/>
        </w:rPr>
        <w:t xml:space="preserve"> </w:t>
      </w:r>
      <w:r>
        <w:rPr>
          <w:color w:val="333333"/>
          <w:spacing w:val="-8"/>
        </w:rPr>
        <w:t>但不大于</w:t>
      </w:r>
      <w:r>
        <w:rPr>
          <w:color w:val="333333"/>
          <w:spacing w:val="-8"/>
        </w:rPr>
        <w:t xml:space="preserve"> </w:t>
      </w:r>
      <w:r>
        <w:rPr>
          <w:color w:val="333333"/>
        </w:rPr>
        <w:t>100m</w:t>
      </w:r>
      <w:r>
        <w:rPr>
          <w:color w:val="333333"/>
          <w:spacing w:val="-3"/>
        </w:rPr>
        <w:t xml:space="preserve"> </w:t>
      </w:r>
      <w:r>
        <w:rPr>
          <w:color w:val="333333"/>
          <w:spacing w:val="-3"/>
        </w:rPr>
        <w:t>的住宅建筑，其公共部位应设置火灾自动报警系统，套内宜设置火灾探测器。</w:t>
      </w:r>
      <w:r>
        <w:rPr>
          <w:color w:val="333333"/>
        </w:rPr>
        <w:t xml:space="preserve"> </w:t>
      </w:r>
    </w:p>
    <w:p w14:paraId="572BE729" w14:textId="77777777" w:rsidR="00A71EEF" w:rsidRDefault="0081115D">
      <w:pPr>
        <w:pStyle w:val="a3"/>
        <w:spacing w:line="446" w:lineRule="auto"/>
        <w:ind w:left="418" w:right="1498" w:firstLine="419"/>
      </w:pPr>
      <w:r>
        <w:rPr>
          <w:color w:val="333333"/>
        </w:rPr>
        <w:t>建筑高度不大于</w:t>
      </w:r>
      <w:r>
        <w:rPr>
          <w:color w:val="333333"/>
        </w:rPr>
        <w:t xml:space="preserve"> 54m </w:t>
      </w:r>
      <w:r>
        <w:rPr>
          <w:color w:val="333333"/>
        </w:rPr>
        <w:t>的高层住宅建筑，其公共部位宜设置火灾自动报警系统。当设置需联动控制的消防设施时，公共部位应设置</w:t>
      </w:r>
      <w:r>
        <w:rPr>
          <w:color w:val="333333"/>
        </w:rPr>
        <w:t>火灾自动报警系统。</w:t>
      </w:r>
      <w:r>
        <w:rPr>
          <w:color w:val="333333"/>
        </w:rPr>
        <w:t xml:space="preserve"> </w:t>
      </w:r>
    </w:p>
    <w:p w14:paraId="4A4FEC48" w14:textId="77777777" w:rsidR="00A71EEF" w:rsidRDefault="00A71EEF">
      <w:pPr>
        <w:spacing w:line="446" w:lineRule="auto"/>
        <w:sectPr w:rsidR="00A71EEF">
          <w:pgSz w:w="11910" w:h="16850"/>
          <w:pgMar w:top="1200" w:right="0" w:bottom="1420" w:left="1260" w:header="0" w:footer="1239" w:gutter="0"/>
          <w:cols w:space="720"/>
        </w:sectPr>
      </w:pPr>
    </w:p>
    <w:p w14:paraId="77285E92" w14:textId="77777777" w:rsidR="00A71EEF" w:rsidRDefault="0081115D">
      <w:pPr>
        <w:pStyle w:val="a3"/>
        <w:spacing w:before="47" w:line="446" w:lineRule="auto"/>
        <w:ind w:left="840" w:right="2549" w:hanging="3"/>
      </w:pPr>
      <w:r>
        <w:rPr>
          <w:color w:val="333333"/>
        </w:rPr>
        <w:lastRenderedPageBreak/>
        <w:t>高层住宅建筑的公共部位应设置具有语音功能的火灾声警报装置或应急广播。</w:t>
      </w:r>
      <w:r>
        <w:rPr>
          <w:b/>
          <w:color w:val="333333"/>
        </w:rPr>
        <w:t xml:space="preserve">8.4.3 </w:t>
      </w:r>
      <w:r>
        <w:rPr>
          <w:color w:val="333333"/>
        </w:rPr>
        <w:t>建筑内可能散发可燃气体、可燃蒸气的场所应设置可燃气体报警装置。</w:t>
      </w:r>
      <w:r>
        <w:rPr>
          <w:color w:val="333333"/>
        </w:rPr>
        <w:t xml:space="preserve"> </w:t>
      </w:r>
    </w:p>
    <w:p w14:paraId="62C0EDC4" w14:textId="77777777" w:rsidR="00A71EEF" w:rsidRDefault="0081115D">
      <w:pPr>
        <w:pStyle w:val="a4"/>
        <w:numPr>
          <w:ilvl w:val="1"/>
          <w:numId w:val="694"/>
        </w:numPr>
        <w:tabs>
          <w:tab w:val="left" w:pos="1160"/>
        </w:tabs>
        <w:spacing w:line="267" w:lineRule="exact"/>
        <w:rPr>
          <w:b/>
          <w:sz w:val="21"/>
        </w:rPr>
      </w:pPr>
      <w:r>
        <w:rPr>
          <w:spacing w:val="-3"/>
          <w:sz w:val="21"/>
        </w:rPr>
        <w:t>防烟和排烟设施</w:t>
      </w:r>
      <w:r>
        <w:rPr>
          <w:b/>
          <w:w w:val="99"/>
          <w:sz w:val="21"/>
        </w:rPr>
        <w:t xml:space="preserve"> </w:t>
      </w:r>
    </w:p>
    <w:p w14:paraId="1E6E533E" w14:textId="77777777" w:rsidR="00A71EEF" w:rsidRDefault="00A71EEF">
      <w:pPr>
        <w:pStyle w:val="a3"/>
        <w:spacing w:before="2"/>
        <w:rPr>
          <w:b/>
          <w:sz w:val="18"/>
        </w:rPr>
      </w:pPr>
    </w:p>
    <w:p w14:paraId="097C3F9A" w14:textId="77777777" w:rsidR="00A71EEF" w:rsidRDefault="0081115D">
      <w:pPr>
        <w:pStyle w:val="a4"/>
        <w:numPr>
          <w:ilvl w:val="2"/>
          <w:numId w:val="694"/>
        </w:numPr>
        <w:tabs>
          <w:tab w:val="left" w:pos="1371"/>
        </w:tabs>
        <w:rPr>
          <w:sz w:val="21"/>
        </w:rPr>
      </w:pPr>
      <w:r>
        <w:rPr>
          <w:color w:val="333333"/>
          <w:spacing w:val="-3"/>
          <w:sz w:val="21"/>
        </w:rPr>
        <w:t>建筑的下列场所或部位应设置防烟设施：</w:t>
      </w:r>
      <w:r>
        <w:rPr>
          <w:color w:val="333333"/>
          <w:sz w:val="21"/>
        </w:rPr>
        <w:t xml:space="preserve"> </w:t>
      </w:r>
    </w:p>
    <w:p w14:paraId="7EA0B4C2" w14:textId="77777777" w:rsidR="00A71EEF" w:rsidRDefault="00A71EEF">
      <w:pPr>
        <w:pStyle w:val="a3"/>
        <w:rPr>
          <w:sz w:val="18"/>
        </w:rPr>
      </w:pPr>
    </w:p>
    <w:p w14:paraId="7643710E" w14:textId="77777777" w:rsidR="00A71EEF" w:rsidRDefault="0081115D">
      <w:pPr>
        <w:pStyle w:val="a3"/>
        <w:ind w:left="838"/>
      </w:pPr>
      <w:r>
        <w:rPr>
          <w:color w:val="333333"/>
        </w:rPr>
        <w:t>防烟楼梯间及其前室；</w:t>
      </w:r>
      <w:r>
        <w:rPr>
          <w:color w:val="333333"/>
        </w:rPr>
        <w:t xml:space="preserve"> </w:t>
      </w:r>
    </w:p>
    <w:p w14:paraId="14552C96" w14:textId="77777777" w:rsidR="00A71EEF" w:rsidRDefault="00A71EEF">
      <w:pPr>
        <w:pStyle w:val="a3"/>
        <w:spacing w:before="12"/>
        <w:rPr>
          <w:sz w:val="17"/>
        </w:rPr>
      </w:pPr>
    </w:p>
    <w:p w14:paraId="229C2BC5" w14:textId="77777777" w:rsidR="00A71EEF" w:rsidRDefault="0081115D">
      <w:pPr>
        <w:pStyle w:val="a3"/>
        <w:ind w:left="838"/>
      </w:pPr>
      <w:r>
        <w:rPr>
          <w:color w:val="333333"/>
        </w:rPr>
        <w:t>消防电梯间前室或合用前室；</w:t>
      </w:r>
      <w:r>
        <w:rPr>
          <w:color w:val="333333"/>
        </w:rPr>
        <w:t xml:space="preserve"> </w:t>
      </w:r>
    </w:p>
    <w:p w14:paraId="5C47DDA9" w14:textId="77777777" w:rsidR="00A71EEF" w:rsidRDefault="00A71EEF">
      <w:pPr>
        <w:pStyle w:val="a3"/>
        <w:spacing w:before="2"/>
        <w:rPr>
          <w:sz w:val="18"/>
        </w:rPr>
      </w:pPr>
    </w:p>
    <w:p w14:paraId="4C0F85F8" w14:textId="77777777" w:rsidR="00A71EEF" w:rsidRDefault="0081115D">
      <w:pPr>
        <w:pStyle w:val="a3"/>
        <w:ind w:left="838"/>
      </w:pPr>
      <w:r>
        <w:rPr>
          <w:color w:val="333333"/>
        </w:rPr>
        <w:t>避难走道的前室、避难层（间）。</w:t>
      </w:r>
      <w:r>
        <w:rPr>
          <w:color w:val="333333"/>
        </w:rPr>
        <w:t xml:space="preserve"> </w:t>
      </w:r>
    </w:p>
    <w:p w14:paraId="0A935250" w14:textId="77777777" w:rsidR="00A71EEF" w:rsidRDefault="00A71EEF">
      <w:pPr>
        <w:pStyle w:val="a3"/>
        <w:rPr>
          <w:sz w:val="18"/>
        </w:rPr>
      </w:pPr>
    </w:p>
    <w:p w14:paraId="50C98B06" w14:textId="77777777" w:rsidR="00A71EEF" w:rsidRDefault="0081115D">
      <w:pPr>
        <w:pStyle w:val="a3"/>
        <w:spacing w:line="446" w:lineRule="auto"/>
        <w:ind w:left="418" w:right="1611" w:firstLine="419"/>
      </w:pPr>
      <w:r>
        <w:rPr>
          <w:color w:val="333333"/>
          <w:spacing w:val="-9"/>
        </w:rPr>
        <w:t>建筑高度不大于</w:t>
      </w:r>
      <w:r>
        <w:rPr>
          <w:color w:val="333333"/>
          <w:spacing w:val="-9"/>
        </w:rPr>
        <w:t xml:space="preserve"> </w:t>
      </w:r>
      <w:r>
        <w:rPr>
          <w:color w:val="333333"/>
        </w:rPr>
        <w:t>50m</w:t>
      </w:r>
      <w:r>
        <w:rPr>
          <w:color w:val="333333"/>
          <w:spacing w:val="-6"/>
        </w:rPr>
        <w:t xml:space="preserve"> </w:t>
      </w:r>
      <w:r>
        <w:rPr>
          <w:color w:val="333333"/>
          <w:spacing w:val="-6"/>
        </w:rPr>
        <w:t>的公共建筑、厂房、仓库和建筑高度不大于</w:t>
      </w:r>
      <w:r>
        <w:rPr>
          <w:color w:val="333333"/>
          <w:spacing w:val="-6"/>
        </w:rPr>
        <w:t xml:space="preserve"> </w:t>
      </w:r>
      <w:r>
        <w:rPr>
          <w:color w:val="333333"/>
        </w:rPr>
        <w:t>100m</w:t>
      </w:r>
      <w:r>
        <w:rPr>
          <w:color w:val="333333"/>
          <w:spacing w:val="-2"/>
        </w:rPr>
        <w:t xml:space="preserve"> </w:t>
      </w:r>
      <w:r>
        <w:rPr>
          <w:color w:val="333333"/>
          <w:spacing w:val="-2"/>
        </w:rPr>
        <w:t>的住宅建筑，当其</w:t>
      </w:r>
      <w:r>
        <w:rPr>
          <w:color w:val="333333"/>
          <w:spacing w:val="-3"/>
        </w:rPr>
        <w:t>防烟楼梯间的前室或合用前室符合下列条件之一时，楼梯间可不设置防烟系统：</w:t>
      </w:r>
      <w:r>
        <w:rPr>
          <w:color w:val="333333"/>
        </w:rPr>
        <w:t xml:space="preserve"> </w:t>
      </w:r>
    </w:p>
    <w:p w14:paraId="5EE7355A" w14:textId="77777777" w:rsidR="00A71EEF" w:rsidRDefault="0081115D">
      <w:pPr>
        <w:pStyle w:val="a3"/>
        <w:ind w:left="838"/>
      </w:pPr>
      <w:r>
        <w:rPr>
          <w:color w:val="333333"/>
        </w:rPr>
        <w:t>前室或合用前室采用敞开的阳台、凹廊；</w:t>
      </w:r>
      <w:r>
        <w:rPr>
          <w:color w:val="333333"/>
        </w:rPr>
        <w:t xml:space="preserve"> </w:t>
      </w:r>
    </w:p>
    <w:p w14:paraId="66F6A52B" w14:textId="77777777" w:rsidR="00A71EEF" w:rsidRDefault="00A71EEF">
      <w:pPr>
        <w:pStyle w:val="a3"/>
        <w:spacing w:before="12"/>
        <w:rPr>
          <w:sz w:val="17"/>
        </w:rPr>
      </w:pPr>
    </w:p>
    <w:p w14:paraId="1F2B5CE8" w14:textId="77777777" w:rsidR="00A71EEF" w:rsidRDefault="0081115D">
      <w:pPr>
        <w:pStyle w:val="a3"/>
        <w:spacing w:line="446" w:lineRule="auto"/>
        <w:ind w:left="418" w:right="1609" w:firstLine="419"/>
      </w:pPr>
      <w:r>
        <w:rPr>
          <w:color w:val="333333"/>
        </w:rPr>
        <w:t>前室或合用前室具有不同朝向的可开启外窗，且可开启外窗的面积满足自然排烟口的面积要求。</w:t>
      </w:r>
      <w:r>
        <w:rPr>
          <w:color w:val="333333"/>
        </w:rPr>
        <w:t xml:space="preserve"> </w:t>
      </w:r>
    </w:p>
    <w:p w14:paraId="5D97F48A" w14:textId="77777777" w:rsidR="00A71EEF" w:rsidRDefault="0081115D">
      <w:pPr>
        <w:pStyle w:val="a4"/>
        <w:numPr>
          <w:ilvl w:val="2"/>
          <w:numId w:val="694"/>
        </w:numPr>
        <w:tabs>
          <w:tab w:val="left" w:pos="1370"/>
        </w:tabs>
        <w:ind w:left="1369" w:hanging="530"/>
        <w:rPr>
          <w:sz w:val="21"/>
        </w:rPr>
      </w:pPr>
      <w:r>
        <w:rPr>
          <w:color w:val="333333"/>
          <w:spacing w:val="-3"/>
          <w:sz w:val="21"/>
        </w:rPr>
        <w:t>厂房或仓库的下列场所或部位应设置排烟设施：</w:t>
      </w:r>
      <w:r>
        <w:rPr>
          <w:color w:val="333333"/>
          <w:sz w:val="21"/>
        </w:rPr>
        <w:t xml:space="preserve"> </w:t>
      </w:r>
    </w:p>
    <w:p w14:paraId="298D3E2E" w14:textId="77777777" w:rsidR="00A71EEF" w:rsidRDefault="00A71EEF">
      <w:pPr>
        <w:pStyle w:val="a3"/>
        <w:spacing w:before="3"/>
        <w:rPr>
          <w:sz w:val="17"/>
        </w:rPr>
      </w:pPr>
    </w:p>
    <w:p w14:paraId="2A9741B4" w14:textId="77777777" w:rsidR="00A71EEF" w:rsidRDefault="0081115D">
      <w:pPr>
        <w:pStyle w:val="a3"/>
        <w:spacing w:line="446" w:lineRule="auto"/>
        <w:ind w:left="418" w:right="1503" w:firstLine="419"/>
      </w:pPr>
      <w:r>
        <w:rPr>
          <w:color w:val="333333"/>
          <w:spacing w:val="-5"/>
        </w:rPr>
        <w:t>人员或可燃物较多的丙类生产场所，丙类厂房内建筑面积大于</w:t>
      </w:r>
      <w:r>
        <w:rPr>
          <w:color w:val="333333"/>
          <w:spacing w:val="-5"/>
        </w:rPr>
        <w:t xml:space="preserve"> </w:t>
      </w:r>
      <w:r>
        <w:rPr>
          <w:color w:val="333333"/>
        </w:rPr>
        <w:t>300m</w:t>
      </w:r>
      <w:r>
        <w:rPr>
          <w:color w:val="333333"/>
          <w:position w:val="11"/>
          <w:sz w:val="11"/>
        </w:rPr>
        <w:t>2</w:t>
      </w:r>
      <w:r>
        <w:rPr>
          <w:color w:val="333333"/>
          <w:sz w:val="11"/>
        </w:rPr>
        <w:t xml:space="preserve"> </w:t>
      </w:r>
      <w:r>
        <w:rPr>
          <w:color w:val="333333"/>
          <w:spacing w:val="-3"/>
        </w:rPr>
        <w:t>且经常有人停留或可燃物较多的地上房间；</w:t>
      </w:r>
      <w:r>
        <w:rPr>
          <w:color w:val="333333"/>
        </w:rPr>
        <w:t xml:space="preserve"> </w:t>
      </w:r>
    </w:p>
    <w:p w14:paraId="07C06BD0" w14:textId="77777777" w:rsidR="00A71EEF" w:rsidRDefault="0081115D">
      <w:pPr>
        <w:pStyle w:val="a3"/>
        <w:spacing w:line="436" w:lineRule="auto"/>
        <w:ind w:left="838" w:right="5915"/>
      </w:pPr>
      <w:r>
        <w:rPr>
          <w:color w:val="333333"/>
          <w:spacing w:val="-10"/>
        </w:rPr>
        <w:t>建筑面积大于</w:t>
      </w:r>
      <w:r>
        <w:rPr>
          <w:color w:val="333333"/>
          <w:spacing w:val="-10"/>
        </w:rPr>
        <w:t xml:space="preserve"> </w:t>
      </w:r>
      <w:r>
        <w:rPr>
          <w:color w:val="333333"/>
        </w:rPr>
        <w:t>5000m</w:t>
      </w:r>
      <w:r>
        <w:rPr>
          <w:color w:val="333333"/>
          <w:position w:val="11"/>
          <w:sz w:val="11"/>
        </w:rPr>
        <w:t>2</w:t>
      </w:r>
      <w:r>
        <w:rPr>
          <w:color w:val="333333"/>
          <w:spacing w:val="53"/>
          <w:sz w:val="11"/>
        </w:rPr>
        <w:t xml:space="preserve"> </w:t>
      </w:r>
      <w:r>
        <w:rPr>
          <w:color w:val="333333"/>
          <w:spacing w:val="-3"/>
        </w:rPr>
        <w:t>的丁类生产车间；</w:t>
      </w:r>
      <w:r>
        <w:rPr>
          <w:color w:val="333333"/>
          <w:spacing w:val="-3"/>
        </w:rPr>
        <w:t xml:space="preserve"> </w:t>
      </w:r>
      <w:r>
        <w:rPr>
          <w:color w:val="333333"/>
          <w:spacing w:val="-10"/>
        </w:rPr>
        <w:t>占地面积大于</w:t>
      </w:r>
      <w:r>
        <w:rPr>
          <w:color w:val="333333"/>
          <w:spacing w:val="-10"/>
        </w:rPr>
        <w:t xml:space="preserve"> </w:t>
      </w:r>
      <w:r>
        <w:rPr>
          <w:color w:val="333333"/>
        </w:rPr>
        <w:t>1000m</w:t>
      </w:r>
      <w:r>
        <w:rPr>
          <w:color w:val="333333"/>
          <w:position w:val="11"/>
          <w:sz w:val="11"/>
        </w:rPr>
        <w:t>2</w:t>
      </w:r>
      <w:r>
        <w:rPr>
          <w:color w:val="333333"/>
          <w:spacing w:val="49"/>
          <w:sz w:val="11"/>
        </w:rPr>
        <w:t xml:space="preserve"> </w:t>
      </w:r>
      <w:r>
        <w:rPr>
          <w:color w:val="333333"/>
          <w:spacing w:val="-3"/>
        </w:rPr>
        <w:t>的丙类仓库；</w:t>
      </w:r>
      <w:r>
        <w:rPr>
          <w:color w:val="333333"/>
        </w:rPr>
        <w:t xml:space="preserve"> </w:t>
      </w:r>
    </w:p>
    <w:p w14:paraId="7BF4C0BB" w14:textId="77777777" w:rsidR="00A71EEF" w:rsidRDefault="0081115D">
      <w:pPr>
        <w:pStyle w:val="a3"/>
        <w:spacing w:line="446" w:lineRule="auto"/>
        <w:ind w:left="418" w:right="1508" w:firstLine="419"/>
      </w:pPr>
      <w:r>
        <w:rPr>
          <w:color w:val="333333"/>
          <w:spacing w:val="-11"/>
        </w:rPr>
        <w:t>高度大于</w:t>
      </w:r>
      <w:r>
        <w:rPr>
          <w:color w:val="333333"/>
          <w:spacing w:val="-11"/>
        </w:rPr>
        <w:t xml:space="preserve"> </w:t>
      </w:r>
      <w:r>
        <w:rPr>
          <w:color w:val="333333"/>
        </w:rPr>
        <w:t>32m</w:t>
      </w:r>
      <w:r>
        <w:rPr>
          <w:color w:val="333333"/>
          <w:spacing w:val="-1"/>
        </w:rPr>
        <w:t xml:space="preserve"> </w:t>
      </w:r>
      <w:r>
        <w:rPr>
          <w:color w:val="333333"/>
          <w:spacing w:val="-1"/>
        </w:rPr>
        <w:t>的高层厂房</w:t>
      </w:r>
      <w:r>
        <w:rPr>
          <w:color w:val="333333"/>
        </w:rPr>
        <w:t>（</w:t>
      </w:r>
      <w:r>
        <w:rPr>
          <w:color w:val="333333"/>
          <w:spacing w:val="-2"/>
        </w:rPr>
        <w:t>仓库</w:t>
      </w:r>
      <w:r>
        <w:rPr>
          <w:color w:val="333333"/>
        </w:rPr>
        <w:t>）</w:t>
      </w:r>
      <w:r>
        <w:rPr>
          <w:color w:val="333333"/>
          <w:spacing w:val="-11"/>
        </w:rPr>
        <w:t>内长度大于</w:t>
      </w:r>
      <w:r>
        <w:rPr>
          <w:color w:val="333333"/>
          <w:spacing w:val="-11"/>
        </w:rPr>
        <w:t xml:space="preserve"> </w:t>
      </w:r>
      <w:r>
        <w:rPr>
          <w:color w:val="333333"/>
        </w:rPr>
        <w:t>20m</w:t>
      </w:r>
      <w:r>
        <w:rPr>
          <w:color w:val="333333"/>
          <w:spacing w:val="-3"/>
        </w:rPr>
        <w:t xml:space="preserve"> </w:t>
      </w:r>
      <w:r>
        <w:rPr>
          <w:color w:val="333333"/>
          <w:spacing w:val="-3"/>
        </w:rPr>
        <w:t>的疏散走道，其他厂房（</w:t>
      </w:r>
      <w:r>
        <w:rPr>
          <w:color w:val="333333"/>
        </w:rPr>
        <w:t>仓库</w:t>
      </w:r>
      <w:r>
        <w:rPr>
          <w:color w:val="333333"/>
          <w:spacing w:val="-3"/>
        </w:rPr>
        <w:t>）</w:t>
      </w:r>
      <w:r>
        <w:rPr>
          <w:color w:val="333333"/>
          <w:spacing w:val="-2"/>
        </w:rPr>
        <w:t>内长度</w:t>
      </w:r>
      <w:r>
        <w:rPr>
          <w:color w:val="333333"/>
          <w:spacing w:val="-20"/>
        </w:rPr>
        <w:t>大于</w:t>
      </w:r>
      <w:r>
        <w:rPr>
          <w:color w:val="333333"/>
          <w:spacing w:val="-20"/>
        </w:rPr>
        <w:t xml:space="preserve"> </w:t>
      </w:r>
      <w:r>
        <w:rPr>
          <w:color w:val="333333"/>
        </w:rPr>
        <w:t>40m</w:t>
      </w:r>
      <w:r>
        <w:rPr>
          <w:color w:val="333333"/>
          <w:spacing w:val="-3"/>
        </w:rPr>
        <w:t xml:space="preserve"> </w:t>
      </w:r>
      <w:r>
        <w:rPr>
          <w:color w:val="333333"/>
          <w:spacing w:val="-3"/>
        </w:rPr>
        <w:t>的疏散走道。</w:t>
      </w:r>
      <w:r>
        <w:rPr>
          <w:color w:val="333333"/>
          <w:spacing w:val="-3"/>
        </w:rPr>
        <w:t xml:space="preserve"> </w:t>
      </w:r>
    </w:p>
    <w:p w14:paraId="7792D2A5" w14:textId="77777777" w:rsidR="00A71EEF" w:rsidRDefault="0081115D">
      <w:pPr>
        <w:pStyle w:val="a4"/>
        <w:numPr>
          <w:ilvl w:val="2"/>
          <w:numId w:val="694"/>
        </w:numPr>
        <w:tabs>
          <w:tab w:val="left" w:pos="1371"/>
        </w:tabs>
        <w:rPr>
          <w:sz w:val="21"/>
        </w:rPr>
      </w:pPr>
      <w:r>
        <w:rPr>
          <w:color w:val="333333"/>
          <w:spacing w:val="-3"/>
          <w:sz w:val="21"/>
        </w:rPr>
        <w:t>民用建筑的下列场所或部位应设置排烟设施：</w:t>
      </w:r>
      <w:r>
        <w:rPr>
          <w:color w:val="333333"/>
          <w:spacing w:val="-3"/>
          <w:sz w:val="21"/>
        </w:rPr>
        <w:t xml:space="preserve"> </w:t>
      </w:r>
    </w:p>
    <w:p w14:paraId="56A808F0" w14:textId="77777777" w:rsidR="00A71EEF" w:rsidRDefault="00A71EEF">
      <w:pPr>
        <w:pStyle w:val="a3"/>
        <w:spacing w:before="1"/>
        <w:rPr>
          <w:sz w:val="17"/>
        </w:rPr>
      </w:pPr>
    </w:p>
    <w:p w14:paraId="076BC8EA" w14:textId="77777777" w:rsidR="00A71EEF" w:rsidRDefault="0081115D">
      <w:pPr>
        <w:pStyle w:val="a3"/>
        <w:spacing w:before="1" w:line="446" w:lineRule="auto"/>
        <w:ind w:left="418" w:right="1503" w:firstLine="419"/>
      </w:pPr>
      <w:r>
        <w:rPr>
          <w:color w:val="333333"/>
          <w:spacing w:val="-6"/>
        </w:rPr>
        <w:t>设置在一、二、三层且房间建筑面积大于</w:t>
      </w:r>
      <w:r>
        <w:rPr>
          <w:color w:val="333333"/>
          <w:spacing w:val="-6"/>
        </w:rPr>
        <w:t xml:space="preserve"> </w:t>
      </w:r>
      <w:r>
        <w:rPr>
          <w:color w:val="333333"/>
        </w:rPr>
        <w:t>100m</w:t>
      </w:r>
      <w:r>
        <w:rPr>
          <w:color w:val="333333"/>
          <w:position w:val="11"/>
          <w:sz w:val="11"/>
        </w:rPr>
        <w:t>2</w:t>
      </w:r>
      <w:r>
        <w:rPr>
          <w:color w:val="333333"/>
          <w:sz w:val="11"/>
        </w:rPr>
        <w:t xml:space="preserve"> </w:t>
      </w:r>
      <w:r>
        <w:rPr>
          <w:color w:val="333333"/>
          <w:spacing w:val="-3"/>
        </w:rPr>
        <w:t>的歌舞娱乐放映游艺场所，设置在四层及以上楼层、地下或半地下的歌舞娱乐放映游艺场所；</w:t>
      </w:r>
      <w:r>
        <w:rPr>
          <w:color w:val="333333"/>
          <w:spacing w:val="-3"/>
        </w:rPr>
        <w:t xml:space="preserve"> </w:t>
      </w:r>
    </w:p>
    <w:p w14:paraId="4D0777CC" w14:textId="77777777" w:rsidR="00A71EEF" w:rsidRDefault="0081115D">
      <w:pPr>
        <w:pStyle w:val="a3"/>
        <w:ind w:left="838"/>
      </w:pPr>
      <w:r>
        <w:rPr>
          <w:color w:val="333333"/>
        </w:rPr>
        <w:t>中庭；</w:t>
      </w:r>
      <w:r>
        <w:rPr>
          <w:color w:val="333333"/>
        </w:rPr>
        <w:t xml:space="preserve"> </w:t>
      </w:r>
    </w:p>
    <w:p w14:paraId="328BAF31" w14:textId="77777777" w:rsidR="00A71EEF" w:rsidRDefault="00A71EEF">
      <w:pPr>
        <w:pStyle w:val="a3"/>
        <w:spacing w:before="2"/>
        <w:rPr>
          <w:sz w:val="17"/>
        </w:rPr>
      </w:pPr>
    </w:p>
    <w:p w14:paraId="33CCBBB9" w14:textId="77777777" w:rsidR="00A71EEF" w:rsidRDefault="0081115D">
      <w:pPr>
        <w:pStyle w:val="a3"/>
        <w:spacing w:line="441" w:lineRule="auto"/>
        <w:ind w:left="838" w:right="3923"/>
      </w:pPr>
      <w:r>
        <w:rPr>
          <w:color w:val="333333"/>
          <w:spacing w:val="-8"/>
        </w:rPr>
        <w:t>公共建筑内建筑面积大于</w:t>
      </w:r>
      <w:r>
        <w:rPr>
          <w:color w:val="333333"/>
          <w:spacing w:val="-8"/>
        </w:rPr>
        <w:t xml:space="preserve"> </w:t>
      </w:r>
      <w:r>
        <w:rPr>
          <w:color w:val="333333"/>
        </w:rPr>
        <w:t>100m</w:t>
      </w:r>
      <w:r>
        <w:rPr>
          <w:color w:val="333333"/>
          <w:position w:val="11"/>
          <w:sz w:val="11"/>
        </w:rPr>
        <w:t>2</w:t>
      </w:r>
      <w:r>
        <w:rPr>
          <w:color w:val="333333"/>
          <w:sz w:val="11"/>
        </w:rPr>
        <w:t xml:space="preserve"> </w:t>
      </w:r>
      <w:r>
        <w:rPr>
          <w:color w:val="333333"/>
          <w:spacing w:val="-3"/>
        </w:rPr>
        <w:t>且经常有人停留的地上房间；</w:t>
      </w:r>
      <w:r>
        <w:rPr>
          <w:color w:val="333333"/>
          <w:spacing w:val="-3"/>
        </w:rPr>
        <w:t xml:space="preserve"> </w:t>
      </w:r>
      <w:r>
        <w:rPr>
          <w:color w:val="333333"/>
          <w:spacing w:val="-2"/>
        </w:rPr>
        <w:t>公共建筑内建筑面积大于</w:t>
      </w:r>
      <w:r>
        <w:rPr>
          <w:color w:val="333333"/>
          <w:spacing w:val="-2"/>
        </w:rPr>
        <w:t xml:space="preserve"> </w:t>
      </w:r>
      <w:r>
        <w:rPr>
          <w:color w:val="333333"/>
        </w:rPr>
        <w:t>300m</w:t>
      </w:r>
      <w:r>
        <w:rPr>
          <w:color w:val="333333"/>
          <w:position w:val="11"/>
          <w:sz w:val="11"/>
        </w:rPr>
        <w:t>2</w:t>
      </w:r>
      <w:r>
        <w:rPr>
          <w:color w:val="333333"/>
          <w:spacing w:val="3"/>
          <w:sz w:val="11"/>
        </w:rPr>
        <w:t xml:space="preserve">    </w:t>
      </w:r>
      <w:r>
        <w:rPr>
          <w:color w:val="333333"/>
          <w:spacing w:val="-3"/>
        </w:rPr>
        <w:t>且可燃物较多的地上房间；</w:t>
      </w:r>
      <w:r>
        <w:rPr>
          <w:color w:val="333333"/>
          <w:spacing w:val="-3"/>
        </w:rPr>
        <w:t xml:space="preserve"> </w:t>
      </w:r>
      <w:r>
        <w:rPr>
          <w:color w:val="333333"/>
          <w:spacing w:val="-10"/>
        </w:rPr>
        <w:t>建筑内长度大于</w:t>
      </w:r>
      <w:r>
        <w:rPr>
          <w:color w:val="333333"/>
          <w:spacing w:val="-10"/>
        </w:rPr>
        <w:t xml:space="preserve"> </w:t>
      </w:r>
      <w:r>
        <w:rPr>
          <w:color w:val="333333"/>
        </w:rPr>
        <w:t>20m</w:t>
      </w:r>
      <w:r>
        <w:rPr>
          <w:color w:val="333333"/>
          <w:spacing w:val="-3"/>
        </w:rPr>
        <w:t xml:space="preserve"> </w:t>
      </w:r>
      <w:r>
        <w:rPr>
          <w:color w:val="333333"/>
          <w:spacing w:val="-3"/>
        </w:rPr>
        <w:t>的疏散走道。</w:t>
      </w:r>
      <w:r>
        <w:rPr>
          <w:color w:val="333333"/>
        </w:rPr>
        <w:t xml:space="preserve"> </w:t>
      </w:r>
    </w:p>
    <w:p w14:paraId="504A88A4" w14:textId="77777777" w:rsidR="00A71EEF" w:rsidRDefault="0081115D">
      <w:pPr>
        <w:pStyle w:val="a4"/>
        <w:numPr>
          <w:ilvl w:val="2"/>
          <w:numId w:val="694"/>
        </w:numPr>
        <w:tabs>
          <w:tab w:val="left" w:pos="1371"/>
        </w:tabs>
        <w:spacing w:line="439" w:lineRule="auto"/>
        <w:ind w:left="418" w:right="1469" w:firstLine="422"/>
        <w:rPr>
          <w:sz w:val="21"/>
        </w:rPr>
      </w:pPr>
      <w:r>
        <w:rPr>
          <w:color w:val="333333"/>
          <w:spacing w:val="-3"/>
          <w:sz w:val="21"/>
        </w:rPr>
        <w:t>地下或半地下建筑</w:t>
      </w:r>
      <w:r>
        <w:rPr>
          <w:color w:val="333333"/>
          <w:sz w:val="21"/>
        </w:rPr>
        <w:t>（室</w:t>
      </w:r>
      <w:r>
        <w:rPr>
          <w:color w:val="333333"/>
          <w:spacing w:val="-3"/>
          <w:sz w:val="21"/>
        </w:rPr>
        <w:t>）</w:t>
      </w:r>
      <w:r>
        <w:rPr>
          <w:color w:val="333333"/>
          <w:spacing w:val="-5"/>
          <w:sz w:val="21"/>
        </w:rPr>
        <w:t>、地上建筑内的无窗房间，当总建筑面积大于</w:t>
      </w:r>
      <w:r>
        <w:rPr>
          <w:color w:val="333333"/>
          <w:spacing w:val="-5"/>
          <w:sz w:val="21"/>
        </w:rPr>
        <w:t xml:space="preserve"> </w:t>
      </w:r>
      <w:r>
        <w:rPr>
          <w:color w:val="333333"/>
          <w:sz w:val="21"/>
        </w:rPr>
        <w:t>200m</w:t>
      </w:r>
      <w:r>
        <w:rPr>
          <w:color w:val="333333"/>
          <w:position w:val="11"/>
          <w:sz w:val="11"/>
        </w:rPr>
        <w:t>2</w:t>
      </w:r>
      <w:r>
        <w:rPr>
          <w:color w:val="333333"/>
          <w:spacing w:val="-24"/>
          <w:position w:val="11"/>
          <w:sz w:val="11"/>
        </w:rPr>
        <w:t xml:space="preserve"> </w:t>
      </w:r>
      <w:r>
        <w:rPr>
          <w:color w:val="333333"/>
          <w:spacing w:val="-2"/>
          <w:sz w:val="21"/>
        </w:rPr>
        <w:t>或一个</w:t>
      </w:r>
      <w:r>
        <w:rPr>
          <w:color w:val="333333"/>
          <w:spacing w:val="-9"/>
          <w:sz w:val="21"/>
        </w:rPr>
        <w:t>房间建筑面积大于</w:t>
      </w:r>
      <w:r>
        <w:rPr>
          <w:color w:val="333333"/>
          <w:spacing w:val="-9"/>
          <w:sz w:val="21"/>
        </w:rPr>
        <w:t xml:space="preserve"> </w:t>
      </w:r>
      <w:r>
        <w:rPr>
          <w:color w:val="333333"/>
          <w:sz w:val="21"/>
        </w:rPr>
        <w:t>50m</w:t>
      </w:r>
      <w:r>
        <w:rPr>
          <w:color w:val="333333"/>
          <w:position w:val="11"/>
          <w:sz w:val="11"/>
        </w:rPr>
        <w:t>2</w:t>
      </w:r>
      <w:r>
        <w:rPr>
          <w:color w:val="333333"/>
          <w:spacing w:val="-3"/>
          <w:sz w:val="21"/>
        </w:rPr>
        <w:t>，且经常有人停留或可燃物较多时，应设置排烟设施。</w:t>
      </w:r>
      <w:r>
        <w:rPr>
          <w:color w:val="333333"/>
          <w:spacing w:val="-3"/>
          <w:sz w:val="21"/>
        </w:rPr>
        <w:t xml:space="preserve"> </w:t>
      </w:r>
    </w:p>
    <w:p w14:paraId="5668CCA6" w14:textId="77777777" w:rsidR="00A71EEF" w:rsidRDefault="00A71EEF">
      <w:pPr>
        <w:spacing w:line="439" w:lineRule="auto"/>
        <w:rPr>
          <w:sz w:val="21"/>
        </w:rPr>
        <w:sectPr w:rsidR="00A71EEF">
          <w:pgSz w:w="11910" w:h="16850"/>
          <w:pgMar w:top="1220" w:right="0" w:bottom="1420" w:left="1260" w:header="0" w:footer="1239" w:gutter="0"/>
          <w:cols w:space="720"/>
        </w:sectPr>
      </w:pPr>
    </w:p>
    <w:p w14:paraId="0D7FEAAD" w14:textId="77777777" w:rsidR="00A71EEF" w:rsidRDefault="0081115D">
      <w:pPr>
        <w:pStyle w:val="4"/>
        <w:spacing w:before="37"/>
      </w:pPr>
      <w:r>
        <w:lastRenderedPageBreak/>
        <w:t xml:space="preserve">9 </w:t>
      </w:r>
      <w:r>
        <w:t>供暖、通风和空气调节</w:t>
      </w:r>
      <w:r>
        <w:rPr>
          <w:w w:val="99"/>
        </w:rPr>
        <w:t xml:space="preserve"> </w:t>
      </w:r>
    </w:p>
    <w:p w14:paraId="7F5AB7AD" w14:textId="77777777" w:rsidR="00A71EEF" w:rsidRDefault="00A71EEF">
      <w:pPr>
        <w:pStyle w:val="a3"/>
        <w:spacing w:before="4"/>
        <w:rPr>
          <w:b/>
          <w:sz w:val="17"/>
        </w:rPr>
      </w:pPr>
    </w:p>
    <w:p w14:paraId="564556F7" w14:textId="77777777" w:rsidR="00A71EEF" w:rsidRDefault="0081115D">
      <w:pPr>
        <w:pStyle w:val="a4"/>
        <w:numPr>
          <w:ilvl w:val="1"/>
          <w:numId w:val="693"/>
        </w:numPr>
        <w:tabs>
          <w:tab w:val="left" w:pos="1159"/>
        </w:tabs>
        <w:spacing w:before="1"/>
        <w:ind w:hanging="319"/>
        <w:rPr>
          <w:sz w:val="21"/>
        </w:rPr>
      </w:pPr>
      <w:r>
        <w:rPr>
          <w:spacing w:val="-3"/>
          <w:sz w:val="21"/>
        </w:rPr>
        <w:t>一般规定</w:t>
      </w:r>
      <w:r>
        <w:rPr>
          <w:sz w:val="21"/>
        </w:rPr>
        <w:t xml:space="preserve"> </w:t>
      </w:r>
    </w:p>
    <w:p w14:paraId="3D2629F5" w14:textId="77777777" w:rsidR="00A71EEF" w:rsidRDefault="00A71EEF">
      <w:pPr>
        <w:pStyle w:val="a3"/>
        <w:spacing w:before="12"/>
        <w:rPr>
          <w:sz w:val="17"/>
        </w:rPr>
      </w:pPr>
    </w:p>
    <w:p w14:paraId="7C2468E1" w14:textId="77777777" w:rsidR="00A71EEF" w:rsidRDefault="0081115D">
      <w:pPr>
        <w:pStyle w:val="a4"/>
        <w:numPr>
          <w:ilvl w:val="2"/>
          <w:numId w:val="693"/>
        </w:numPr>
        <w:tabs>
          <w:tab w:val="left" w:pos="1370"/>
        </w:tabs>
        <w:ind w:hanging="530"/>
        <w:rPr>
          <w:sz w:val="21"/>
        </w:rPr>
      </w:pPr>
      <w:r>
        <w:rPr>
          <w:color w:val="333333"/>
          <w:spacing w:val="-3"/>
          <w:sz w:val="21"/>
        </w:rPr>
        <w:t>供暖、通风和空气调节系统应采取防火措施。</w:t>
      </w:r>
      <w:r>
        <w:rPr>
          <w:color w:val="333333"/>
          <w:spacing w:val="-3"/>
          <w:sz w:val="21"/>
        </w:rPr>
        <w:t xml:space="preserve"> </w:t>
      </w:r>
    </w:p>
    <w:p w14:paraId="1BD86784" w14:textId="77777777" w:rsidR="00A71EEF" w:rsidRDefault="00A71EEF">
      <w:pPr>
        <w:pStyle w:val="a3"/>
        <w:spacing w:before="2"/>
        <w:rPr>
          <w:sz w:val="18"/>
        </w:rPr>
      </w:pPr>
    </w:p>
    <w:p w14:paraId="5807FC75" w14:textId="77777777" w:rsidR="00A71EEF" w:rsidRDefault="0081115D">
      <w:pPr>
        <w:pStyle w:val="a4"/>
        <w:numPr>
          <w:ilvl w:val="2"/>
          <w:numId w:val="693"/>
        </w:numPr>
        <w:tabs>
          <w:tab w:val="left" w:pos="1370"/>
        </w:tabs>
        <w:ind w:hanging="530"/>
        <w:rPr>
          <w:sz w:val="21"/>
        </w:rPr>
      </w:pPr>
      <w:r>
        <w:rPr>
          <w:color w:val="333333"/>
          <w:spacing w:val="-3"/>
          <w:sz w:val="21"/>
        </w:rPr>
        <w:t>甲、乙类厂房内的空气不应循环使用。</w:t>
      </w:r>
      <w:r>
        <w:rPr>
          <w:color w:val="333333"/>
          <w:sz w:val="21"/>
        </w:rPr>
        <w:t xml:space="preserve"> </w:t>
      </w:r>
    </w:p>
    <w:p w14:paraId="456CF59C" w14:textId="77777777" w:rsidR="00A71EEF" w:rsidRDefault="00A71EEF">
      <w:pPr>
        <w:pStyle w:val="a3"/>
        <w:spacing w:before="12"/>
        <w:rPr>
          <w:sz w:val="17"/>
        </w:rPr>
      </w:pPr>
    </w:p>
    <w:p w14:paraId="00174B1A" w14:textId="77777777" w:rsidR="00A71EEF" w:rsidRDefault="0081115D">
      <w:pPr>
        <w:pStyle w:val="a3"/>
        <w:spacing w:line="446" w:lineRule="auto"/>
        <w:ind w:left="418" w:right="1609" w:firstLine="419"/>
      </w:pPr>
      <w:r>
        <w:rPr>
          <w:color w:val="333333"/>
        </w:rPr>
        <w:t>丙类厂房内含有燃烧或爆炸危险粉尘、纤维的空气，在循环使用前应经净化处理，并应使空气中的含尘浓度低于其爆炸下限的</w:t>
      </w:r>
      <w:r>
        <w:rPr>
          <w:color w:val="333333"/>
        </w:rPr>
        <w:t xml:space="preserve"> 25%</w:t>
      </w:r>
      <w:r>
        <w:rPr>
          <w:color w:val="333333"/>
        </w:rPr>
        <w:t>。</w:t>
      </w:r>
      <w:r>
        <w:rPr>
          <w:color w:val="333333"/>
        </w:rPr>
        <w:t xml:space="preserve"> </w:t>
      </w:r>
    </w:p>
    <w:p w14:paraId="18A8C75D" w14:textId="77777777" w:rsidR="00A71EEF" w:rsidRDefault="0081115D">
      <w:pPr>
        <w:pStyle w:val="a4"/>
        <w:numPr>
          <w:ilvl w:val="2"/>
          <w:numId w:val="693"/>
        </w:numPr>
        <w:tabs>
          <w:tab w:val="left" w:pos="1370"/>
        </w:tabs>
        <w:spacing w:line="446" w:lineRule="auto"/>
        <w:ind w:left="418" w:right="1604" w:firstLine="422"/>
        <w:rPr>
          <w:sz w:val="21"/>
        </w:rPr>
      </w:pPr>
      <w:r>
        <w:rPr>
          <w:color w:val="333333"/>
          <w:spacing w:val="-3"/>
          <w:sz w:val="21"/>
        </w:rPr>
        <w:t>为甲、乙类厂房服务的送风设备与排风设备应分别布置在不同通风机房内，且排风设备不应和其他房间的送、排风设备布置在同一通风机房内。</w:t>
      </w:r>
      <w:r>
        <w:rPr>
          <w:color w:val="333333"/>
          <w:sz w:val="21"/>
        </w:rPr>
        <w:t xml:space="preserve"> </w:t>
      </w:r>
    </w:p>
    <w:p w14:paraId="1DF506FE" w14:textId="77777777" w:rsidR="00A71EEF" w:rsidRDefault="0081115D">
      <w:pPr>
        <w:pStyle w:val="a4"/>
        <w:numPr>
          <w:ilvl w:val="2"/>
          <w:numId w:val="693"/>
        </w:numPr>
        <w:tabs>
          <w:tab w:val="left" w:pos="1371"/>
        </w:tabs>
        <w:spacing w:line="446" w:lineRule="auto"/>
        <w:ind w:left="418" w:right="1604" w:firstLine="422"/>
        <w:rPr>
          <w:sz w:val="21"/>
        </w:rPr>
      </w:pPr>
      <w:r>
        <w:rPr>
          <w:color w:val="333333"/>
          <w:spacing w:val="-3"/>
          <w:sz w:val="21"/>
        </w:rPr>
        <w:t>民用建筑内空气中含有容易起火或爆炸危险物质的房间，应设置自然通风或独立的机械通风设施，且其空气不应循环使用。</w:t>
      </w:r>
      <w:r>
        <w:rPr>
          <w:color w:val="333333"/>
          <w:sz w:val="21"/>
        </w:rPr>
        <w:t xml:space="preserve"> </w:t>
      </w:r>
    </w:p>
    <w:p w14:paraId="5C19F4FD" w14:textId="77777777" w:rsidR="00A71EEF" w:rsidRDefault="0081115D">
      <w:pPr>
        <w:pStyle w:val="a4"/>
        <w:numPr>
          <w:ilvl w:val="2"/>
          <w:numId w:val="693"/>
        </w:numPr>
        <w:tabs>
          <w:tab w:val="left" w:pos="1370"/>
        </w:tabs>
        <w:spacing w:line="446" w:lineRule="auto"/>
        <w:ind w:left="418" w:right="1813" w:firstLine="422"/>
        <w:rPr>
          <w:sz w:val="21"/>
        </w:rPr>
      </w:pPr>
      <w:r>
        <w:rPr>
          <w:color w:val="333333"/>
          <w:spacing w:val="-3"/>
          <w:sz w:val="21"/>
        </w:rPr>
        <w:t>当空气中含有比空气轻的可燃气体时，水平排风管全长应顺气流方向向上坡度敷设。</w:t>
      </w:r>
      <w:r>
        <w:rPr>
          <w:color w:val="333333"/>
          <w:sz w:val="21"/>
        </w:rPr>
        <w:t xml:space="preserve"> </w:t>
      </w:r>
    </w:p>
    <w:p w14:paraId="6AD876CF" w14:textId="77777777" w:rsidR="00A71EEF" w:rsidRDefault="0081115D">
      <w:pPr>
        <w:pStyle w:val="a4"/>
        <w:numPr>
          <w:ilvl w:val="2"/>
          <w:numId w:val="693"/>
        </w:numPr>
        <w:tabs>
          <w:tab w:val="left" w:pos="1370"/>
        </w:tabs>
        <w:spacing w:line="446" w:lineRule="auto"/>
        <w:ind w:left="418" w:right="1604" w:firstLine="422"/>
        <w:rPr>
          <w:sz w:val="21"/>
        </w:rPr>
      </w:pPr>
      <w:r>
        <w:rPr>
          <w:color w:val="333333"/>
          <w:spacing w:val="-3"/>
          <w:sz w:val="21"/>
        </w:rPr>
        <w:t>可燃气体管道和甲、乙、丙类液体管道不应穿过通风机房和通风管道，且不应</w:t>
      </w:r>
      <w:r>
        <w:rPr>
          <w:color w:val="333333"/>
          <w:spacing w:val="-3"/>
          <w:sz w:val="21"/>
        </w:rPr>
        <w:t>紧贴通风管道的外壁敷设。</w:t>
      </w:r>
      <w:r>
        <w:rPr>
          <w:color w:val="333333"/>
          <w:sz w:val="21"/>
        </w:rPr>
        <w:t xml:space="preserve"> </w:t>
      </w:r>
    </w:p>
    <w:p w14:paraId="0D52C86E" w14:textId="77777777" w:rsidR="00A71EEF" w:rsidRDefault="0081115D">
      <w:pPr>
        <w:spacing w:line="267" w:lineRule="exact"/>
        <w:ind w:left="840"/>
        <w:rPr>
          <w:b/>
          <w:sz w:val="21"/>
        </w:rPr>
      </w:pPr>
      <w:r>
        <w:rPr>
          <w:b/>
          <w:sz w:val="21"/>
        </w:rPr>
        <w:t xml:space="preserve">9.2 </w:t>
      </w:r>
      <w:r>
        <w:rPr>
          <w:sz w:val="21"/>
        </w:rPr>
        <w:t>供</w:t>
      </w:r>
      <w:r>
        <w:rPr>
          <w:sz w:val="21"/>
        </w:rPr>
        <w:t xml:space="preserve"> </w:t>
      </w:r>
      <w:r>
        <w:rPr>
          <w:sz w:val="21"/>
        </w:rPr>
        <w:t>暖</w:t>
      </w:r>
      <w:r>
        <w:rPr>
          <w:b/>
          <w:w w:val="99"/>
          <w:sz w:val="21"/>
        </w:rPr>
        <w:t xml:space="preserve"> </w:t>
      </w:r>
    </w:p>
    <w:p w14:paraId="3BDFE6B9" w14:textId="77777777" w:rsidR="00A71EEF" w:rsidRDefault="00A71EEF">
      <w:pPr>
        <w:pStyle w:val="a3"/>
        <w:rPr>
          <w:b/>
          <w:sz w:val="18"/>
        </w:rPr>
      </w:pPr>
    </w:p>
    <w:p w14:paraId="17A31AFB" w14:textId="77777777" w:rsidR="00A71EEF" w:rsidRDefault="0081115D">
      <w:pPr>
        <w:pStyle w:val="a4"/>
        <w:numPr>
          <w:ilvl w:val="2"/>
          <w:numId w:val="692"/>
        </w:numPr>
        <w:tabs>
          <w:tab w:val="left" w:pos="1370"/>
        </w:tabs>
        <w:spacing w:line="446" w:lineRule="auto"/>
        <w:ind w:right="1553" w:firstLine="422"/>
        <w:rPr>
          <w:sz w:val="21"/>
        </w:rPr>
      </w:pPr>
      <w:r>
        <w:rPr>
          <w:color w:val="333333"/>
          <w:spacing w:val="-5"/>
          <w:sz w:val="21"/>
        </w:rPr>
        <w:t>在散发可燃粉尘、纤维的厂房内，散热器表面平均温度不应超过</w:t>
      </w:r>
      <w:r>
        <w:rPr>
          <w:color w:val="333333"/>
          <w:spacing w:val="-5"/>
          <w:sz w:val="21"/>
        </w:rPr>
        <w:t xml:space="preserve"> </w:t>
      </w:r>
      <w:r>
        <w:rPr>
          <w:color w:val="333333"/>
          <w:sz w:val="21"/>
        </w:rPr>
        <w:t>82.5</w:t>
      </w:r>
      <w:r>
        <w:rPr>
          <w:color w:val="333333"/>
          <w:spacing w:val="-2"/>
          <w:sz w:val="21"/>
        </w:rPr>
        <w:t>℃</w:t>
      </w:r>
      <w:r>
        <w:rPr>
          <w:color w:val="333333"/>
          <w:spacing w:val="-2"/>
          <w:sz w:val="21"/>
        </w:rPr>
        <w:t>。输煤廊的</w:t>
      </w:r>
      <w:r>
        <w:rPr>
          <w:color w:val="333333"/>
          <w:spacing w:val="-7"/>
          <w:sz w:val="21"/>
        </w:rPr>
        <w:t>散热器表面平均温度不应超过</w:t>
      </w:r>
      <w:r>
        <w:rPr>
          <w:color w:val="333333"/>
          <w:spacing w:val="-7"/>
          <w:sz w:val="21"/>
        </w:rPr>
        <w:t xml:space="preserve"> </w:t>
      </w:r>
      <w:r>
        <w:rPr>
          <w:color w:val="333333"/>
          <w:sz w:val="21"/>
        </w:rPr>
        <w:t>130</w:t>
      </w:r>
      <w:r>
        <w:rPr>
          <w:color w:val="333333"/>
          <w:spacing w:val="-2"/>
          <w:sz w:val="21"/>
        </w:rPr>
        <w:t>℃</w:t>
      </w:r>
      <w:r>
        <w:rPr>
          <w:color w:val="333333"/>
          <w:spacing w:val="-2"/>
          <w:sz w:val="21"/>
        </w:rPr>
        <w:t>。</w:t>
      </w:r>
      <w:r>
        <w:rPr>
          <w:color w:val="333333"/>
          <w:sz w:val="21"/>
        </w:rPr>
        <w:t xml:space="preserve"> </w:t>
      </w:r>
    </w:p>
    <w:p w14:paraId="674EC581" w14:textId="77777777" w:rsidR="00A71EEF" w:rsidRDefault="0081115D">
      <w:pPr>
        <w:pStyle w:val="a4"/>
        <w:numPr>
          <w:ilvl w:val="2"/>
          <w:numId w:val="692"/>
        </w:numPr>
        <w:tabs>
          <w:tab w:val="left" w:pos="1371"/>
        </w:tabs>
        <w:spacing w:line="267" w:lineRule="exact"/>
        <w:ind w:left="1370" w:hanging="531"/>
        <w:rPr>
          <w:sz w:val="21"/>
        </w:rPr>
      </w:pPr>
      <w:r>
        <w:rPr>
          <w:color w:val="333333"/>
          <w:spacing w:val="-3"/>
          <w:sz w:val="21"/>
        </w:rPr>
        <w:t>甲、乙类厂房（</w:t>
      </w:r>
      <w:r>
        <w:rPr>
          <w:color w:val="333333"/>
          <w:spacing w:val="-2"/>
          <w:sz w:val="21"/>
        </w:rPr>
        <w:t>仓库</w:t>
      </w:r>
      <w:r>
        <w:rPr>
          <w:color w:val="333333"/>
          <w:sz w:val="21"/>
        </w:rPr>
        <w:t>）</w:t>
      </w:r>
      <w:r>
        <w:rPr>
          <w:color w:val="333333"/>
          <w:spacing w:val="-3"/>
          <w:sz w:val="21"/>
        </w:rPr>
        <w:t>内严禁采用明火和电热散热器供暖。</w:t>
      </w:r>
      <w:r>
        <w:rPr>
          <w:color w:val="333333"/>
          <w:sz w:val="21"/>
        </w:rPr>
        <w:t xml:space="preserve"> </w:t>
      </w:r>
    </w:p>
    <w:p w14:paraId="53FBDA27" w14:textId="77777777" w:rsidR="00A71EEF" w:rsidRDefault="00A71EEF">
      <w:pPr>
        <w:pStyle w:val="a3"/>
        <w:spacing w:before="2"/>
        <w:rPr>
          <w:sz w:val="18"/>
        </w:rPr>
      </w:pPr>
    </w:p>
    <w:p w14:paraId="7FECE068" w14:textId="77777777" w:rsidR="00A71EEF" w:rsidRDefault="0081115D">
      <w:pPr>
        <w:pStyle w:val="a4"/>
        <w:numPr>
          <w:ilvl w:val="2"/>
          <w:numId w:val="692"/>
        </w:numPr>
        <w:tabs>
          <w:tab w:val="left" w:pos="1370"/>
        </w:tabs>
        <w:ind w:left="1369" w:hanging="530"/>
        <w:rPr>
          <w:sz w:val="21"/>
        </w:rPr>
      </w:pPr>
      <w:r>
        <w:rPr>
          <w:color w:val="333333"/>
          <w:spacing w:val="-3"/>
          <w:sz w:val="21"/>
        </w:rPr>
        <w:t>下列厂房应采用不循环使用的热风供暖：</w:t>
      </w:r>
      <w:r>
        <w:rPr>
          <w:color w:val="333333"/>
          <w:sz w:val="21"/>
        </w:rPr>
        <w:t xml:space="preserve"> </w:t>
      </w:r>
    </w:p>
    <w:p w14:paraId="3D69F89B" w14:textId="77777777" w:rsidR="00A71EEF" w:rsidRDefault="00A71EEF">
      <w:pPr>
        <w:pStyle w:val="a3"/>
        <w:rPr>
          <w:sz w:val="18"/>
        </w:rPr>
      </w:pPr>
    </w:p>
    <w:p w14:paraId="257331D8" w14:textId="77777777" w:rsidR="00A71EEF" w:rsidRDefault="0081115D">
      <w:pPr>
        <w:pStyle w:val="a3"/>
        <w:spacing w:line="446" w:lineRule="auto"/>
        <w:ind w:left="418" w:right="1609" w:firstLine="419"/>
      </w:pPr>
      <w:r>
        <w:rPr>
          <w:color w:val="333333"/>
        </w:rPr>
        <w:t>生产过程中散发的可燃气体、蒸气、粉尘或纤维与供暖管道、散热器表面接触能引起燃烧的厂房；</w:t>
      </w:r>
      <w:r>
        <w:rPr>
          <w:color w:val="333333"/>
        </w:rPr>
        <w:t xml:space="preserve"> </w:t>
      </w:r>
    </w:p>
    <w:p w14:paraId="4F4BF5A6" w14:textId="77777777" w:rsidR="00A71EEF" w:rsidRDefault="0081115D">
      <w:pPr>
        <w:pStyle w:val="a3"/>
        <w:spacing w:line="446" w:lineRule="auto"/>
        <w:ind w:left="418" w:right="1817" w:firstLine="419"/>
      </w:pPr>
      <w:r>
        <w:rPr>
          <w:color w:val="333333"/>
        </w:rPr>
        <w:t>生产过程中散发的粉尘受到水、水蒸汽的作用能引起自燃、爆炸或产生爆炸性气体的厂房。</w:t>
      </w:r>
      <w:r>
        <w:rPr>
          <w:color w:val="333333"/>
        </w:rPr>
        <w:t xml:space="preserve"> </w:t>
      </w:r>
    </w:p>
    <w:p w14:paraId="301BB467" w14:textId="77777777" w:rsidR="00A71EEF" w:rsidRDefault="0081115D">
      <w:pPr>
        <w:pStyle w:val="a4"/>
        <w:numPr>
          <w:ilvl w:val="2"/>
          <w:numId w:val="692"/>
        </w:numPr>
        <w:tabs>
          <w:tab w:val="left" w:pos="1371"/>
        </w:tabs>
        <w:spacing w:line="446" w:lineRule="auto"/>
        <w:ind w:right="1604" w:firstLine="422"/>
        <w:rPr>
          <w:sz w:val="21"/>
        </w:rPr>
      </w:pPr>
      <w:r>
        <w:rPr>
          <w:color w:val="333333"/>
          <w:spacing w:val="-3"/>
          <w:sz w:val="21"/>
        </w:rPr>
        <w:t>供暖管道不应穿过存在与供暖管道接触能引起燃烧或爆炸的气体、蒸气或粉尘的房间，确需穿过时，应采用不燃材料隔热。</w:t>
      </w:r>
      <w:r>
        <w:rPr>
          <w:color w:val="333333"/>
          <w:sz w:val="21"/>
        </w:rPr>
        <w:t xml:space="preserve"> </w:t>
      </w:r>
    </w:p>
    <w:p w14:paraId="31E497C1" w14:textId="77777777" w:rsidR="00A71EEF" w:rsidRDefault="0081115D">
      <w:pPr>
        <w:pStyle w:val="a4"/>
        <w:numPr>
          <w:ilvl w:val="2"/>
          <w:numId w:val="692"/>
        </w:numPr>
        <w:tabs>
          <w:tab w:val="left" w:pos="1370"/>
        </w:tabs>
        <w:ind w:left="1369" w:hanging="530"/>
        <w:rPr>
          <w:sz w:val="21"/>
        </w:rPr>
      </w:pPr>
      <w:r>
        <w:rPr>
          <w:color w:val="333333"/>
          <w:spacing w:val="-3"/>
          <w:sz w:val="21"/>
        </w:rPr>
        <w:t>供暖管道与可燃物之间应保持一定距离，并应符合下列规定：</w:t>
      </w:r>
      <w:r>
        <w:rPr>
          <w:color w:val="333333"/>
          <w:sz w:val="21"/>
        </w:rPr>
        <w:t xml:space="preserve"> </w:t>
      </w:r>
    </w:p>
    <w:p w14:paraId="299E93C4" w14:textId="77777777" w:rsidR="00A71EEF" w:rsidRDefault="00A71EEF">
      <w:pPr>
        <w:pStyle w:val="a3"/>
        <w:spacing w:before="10"/>
        <w:rPr>
          <w:sz w:val="17"/>
        </w:rPr>
      </w:pPr>
    </w:p>
    <w:p w14:paraId="43979913" w14:textId="77777777" w:rsidR="00A71EEF" w:rsidRDefault="0081115D">
      <w:pPr>
        <w:pStyle w:val="a3"/>
        <w:ind w:left="838"/>
      </w:pPr>
      <w:r>
        <w:rPr>
          <w:color w:val="333333"/>
        </w:rPr>
        <w:t>当供暖管道的表面温度大于</w:t>
      </w:r>
      <w:r>
        <w:rPr>
          <w:color w:val="333333"/>
        </w:rPr>
        <w:t xml:space="preserve"> 100℃</w:t>
      </w:r>
      <w:r>
        <w:rPr>
          <w:color w:val="333333"/>
        </w:rPr>
        <w:t>时，不应小于</w:t>
      </w:r>
      <w:r>
        <w:rPr>
          <w:color w:val="333333"/>
        </w:rPr>
        <w:t xml:space="preserve"> 100mm </w:t>
      </w:r>
      <w:r>
        <w:rPr>
          <w:color w:val="333333"/>
        </w:rPr>
        <w:t>或采用不燃材料隔热；</w:t>
      </w:r>
      <w:r>
        <w:rPr>
          <w:color w:val="333333"/>
        </w:rPr>
        <w:t xml:space="preserve"> </w:t>
      </w:r>
    </w:p>
    <w:p w14:paraId="29D843B2" w14:textId="77777777" w:rsidR="00A71EEF" w:rsidRDefault="00A71EEF">
      <w:pPr>
        <w:pStyle w:val="a3"/>
        <w:spacing w:before="2"/>
        <w:rPr>
          <w:sz w:val="18"/>
        </w:rPr>
      </w:pPr>
    </w:p>
    <w:p w14:paraId="68A9DCAD" w14:textId="77777777" w:rsidR="00A71EEF" w:rsidRDefault="0081115D">
      <w:pPr>
        <w:pStyle w:val="a3"/>
        <w:ind w:left="838"/>
      </w:pPr>
      <w:r>
        <w:rPr>
          <w:color w:val="333333"/>
        </w:rPr>
        <w:t>当供暖管道的表面温度不大于</w:t>
      </w:r>
      <w:r>
        <w:rPr>
          <w:color w:val="333333"/>
        </w:rPr>
        <w:t xml:space="preserve"> 100℃</w:t>
      </w:r>
      <w:r>
        <w:rPr>
          <w:color w:val="333333"/>
        </w:rPr>
        <w:t>时，不应小于</w:t>
      </w:r>
      <w:r>
        <w:rPr>
          <w:color w:val="333333"/>
        </w:rPr>
        <w:t xml:space="preserve"> 50mm </w:t>
      </w:r>
      <w:r>
        <w:rPr>
          <w:color w:val="333333"/>
        </w:rPr>
        <w:t>或采用不燃材料隔热。</w:t>
      </w:r>
      <w:r>
        <w:rPr>
          <w:color w:val="333333"/>
        </w:rPr>
        <w:t xml:space="preserve"> </w:t>
      </w:r>
    </w:p>
    <w:p w14:paraId="5783D0F5" w14:textId="77777777" w:rsidR="00A71EEF" w:rsidRDefault="00A71EEF">
      <w:pPr>
        <w:sectPr w:rsidR="00A71EEF">
          <w:pgSz w:w="11910" w:h="16850"/>
          <w:pgMar w:top="1200" w:right="0" w:bottom="1420" w:left="1260" w:header="0" w:footer="1239" w:gutter="0"/>
          <w:cols w:space="720"/>
        </w:sectPr>
      </w:pPr>
    </w:p>
    <w:p w14:paraId="76F4275C" w14:textId="77777777" w:rsidR="00A71EEF" w:rsidRDefault="0081115D">
      <w:pPr>
        <w:pStyle w:val="a4"/>
        <w:numPr>
          <w:ilvl w:val="2"/>
          <w:numId w:val="692"/>
        </w:numPr>
        <w:tabs>
          <w:tab w:val="left" w:pos="1370"/>
        </w:tabs>
        <w:spacing w:before="47"/>
        <w:ind w:left="1369" w:hanging="530"/>
        <w:rPr>
          <w:sz w:val="21"/>
        </w:rPr>
      </w:pPr>
      <w:r>
        <w:rPr>
          <w:color w:val="333333"/>
          <w:spacing w:val="-3"/>
          <w:sz w:val="21"/>
        </w:rPr>
        <w:lastRenderedPageBreak/>
        <w:t>建筑内供暖管道和设备的绝热材料应符合下列规定：</w:t>
      </w:r>
      <w:r>
        <w:rPr>
          <w:color w:val="333333"/>
          <w:sz w:val="21"/>
        </w:rPr>
        <w:t xml:space="preserve"> </w:t>
      </w:r>
    </w:p>
    <w:p w14:paraId="0F96E4E4" w14:textId="77777777" w:rsidR="00A71EEF" w:rsidRDefault="00A71EEF">
      <w:pPr>
        <w:pStyle w:val="a3"/>
        <w:rPr>
          <w:sz w:val="18"/>
        </w:rPr>
      </w:pPr>
    </w:p>
    <w:p w14:paraId="2AD7CB08" w14:textId="77777777" w:rsidR="00A71EEF" w:rsidRDefault="0081115D">
      <w:pPr>
        <w:pStyle w:val="a3"/>
        <w:ind w:left="838"/>
      </w:pPr>
      <w:r>
        <w:rPr>
          <w:color w:val="333333"/>
        </w:rPr>
        <w:t>对于甲、乙类厂房（仓库），应采用不燃材料；</w:t>
      </w:r>
      <w:r>
        <w:rPr>
          <w:color w:val="333333"/>
        </w:rPr>
        <w:t xml:space="preserve"> </w:t>
      </w:r>
    </w:p>
    <w:p w14:paraId="3394C155" w14:textId="77777777" w:rsidR="00A71EEF" w:rsidRDefault="00A71EEF">
      <w:pPr>
        <w:pStyle w:val="a3"/>
        <w:rPr>
          <w:sz w:val="18"/>
        </w:rPr>
      </w:pPr>
    </w:p>
    <w:p w14:paraId="6CC9A208" w14:textId="77777777" w:rsidR="00A71EEF" w:rsidRDefault="0081115D">
      <w:pPr>
        <w:pStyle w:val="a3"/>
        <w:spacing w:line="446" w:lineRule="auto"/>
        <w:ind w:left="840" w:right="4657" w:hanging="3"/>
        <w:rPr>
          <w:b/>
        </w:rPr>
      </w:pPr>
      <w:r>
        <w:rPr>
          <w:color w:val="333333"/>
        </w:rPr>
        <w:t>对于其他建筑，宜采用不燃材料，不得采用可燃材料。</w:t>
      </w:r>
      <w:r>
        <w:rPr>
          <w:b/>
        </w:rPr>
        <w:t xml:space="preserve">9.3 </w:t>
      </w:r>
      <w:r>
        <w:t>通风和空气调节</w:t>
      </w:r>
      <w:r>
        <w:rPr>
          <w:b/>
          <w:w w:val="99"/>
        </w:rPr>
        <w:t xml:space="preserve"> </w:t>
      </w:r>
    </w:p>
    <w:p w14:paraId="0E5A0A0A" w14:textId="77777777" w:rsidR="00A71EEF" w:rsidRDefault="0081115D">
      <w:pPr>
        <w:pStyle w:val="a4"/>
        <w:numPr>
          <w:ilvl w:val="2"/>
          <w:numId w:val="691"/>
        </w:numPr>
        <w:tabs>
          <w:tab w:val="left" w:pos="1371"/>
        </w:tabs>
        <w:spacing w:line="446" w:lineRule="auto"/>
        <w:ind w:right="1553" w:firstLine="422"/>
        <w:rPr>
          <w:sz w:val="21"/>
        </w:rPr>
      </w:pPr>
      <w:r>
        <w:rPr>
          <w:color w:val="333333"/>
          <w:spacing w:val="-5"/>
          <w:sz w:val="21"/>
        </w:rPr>
        <w:t>通风和空气调节系统，横向宜按防火分区设置，竖向不宜超过</w:t>
      </w:r>
      <w:r>
        <w:rPr>
          <w:color w:val="333333"/>
          <w:spacing w:val="-5"/>
          <w:sz w:val="21"/>
        </w:rPr>
        <w:t xml:space="preserve"> </w:t>
      </w:r>
      <w:r>
        <w:rPr>
          <w:color w:val="333333"/>
          <w:spacing w:val="-3"/>
          <w:sz w:val="21"/>
        </w:rPr>
        <w:t>5</w:t>
      </w:r>
      <w:r>
        <w:rPr>
          <w:color w:val="333333"/>
          <w:spacing w:val="-1"/>
          <w:sz w:val="21"/>
        </w:rPr>
        <w:t xml:space="preserve"> </w:t>
      </w:r>
      <w:r>
        <w:rPr>
          <w:color w:val="333333"/>
          <w:spacing w:val="-1"/>
          <w:sz w:val="21"/>
        </w:rPr>
        <w:t>层。当管道设置防</w:t>
      </w:r>
      <w:r>
        <w:rPr>
          <w:color w:val="333333"/>
          <w:spacing w:val="-3"/>
          <w:sz w:val="21"/>
        </w:rPr>
        <w:t>止回流设施或防火阀时，管道布置可不受此限制。竖向风管应设置在管井内。</w:t>
      </w:r>
      <w:r>
        <w:rPr>
          <w:color w:val="333333"/>
          <w:spacing w:val="-3"/>
          <w:sz w:val="21"/>
        </w:rPr>
        <w:t xml:space="preserve"> </w:t>
      </w:r>
    </w:p>
    <w:p w14:paraId="2F3FE24C" w14:textId="77777777" w:rsidR="00A71EEF" w:rsidRDefault="0081115D">
      <w:pPr>
        <w:pStyle w:val="a4"/>
        <w:numPr>
          <w:ilvl w:val="2"/>
          <w:numId w:val="691"/>
        </w:numPr>
        <w:tabs>
          <w:tab w:val="left" w:pos="1371"/>
        </w:tabs>
        <w:ind w:left="1370"/>
        <w:rPr>
          <w:sz w:val="21"/>
        </w:rPr>
      </w:pPr>
      <w:r>
        <w:rPr>
          <w:color w:val="333333"/>
          <w:spacing w:val="-3"/>
          <w:sz w:val="21"/>
        </w:rPr>
        <w:t>厂房内有爆炸危险场所的排风管道，严禁穿过防火墙和有爆炸危险的房间隔墙。</w:t>
      </w:r>
      <w:r>
        <w:rPr>
          <w:color w:val="333333"/>
          <w:sz w:val="21"/>
        </w:rPr>
        <w:t xml:space="preserve"> </w:t>
      </w:r>
    </w:p>
    <w:p w14:paraId="40D94E15" w14:textId="77777777" w:rsidR="00A71EEF" w:rsidRDefault="00A71EEF">
      <w:pPr>
        <w:pStyle w:val="a3"/>
        <w:spacing w:before="12"/>
        <w:rPr>
          <w:sz w:val="17"/>
        </w:rPr>
      </w:pPr>
    </w:p>
    <w:p w14:paraId="6B95589D" w14:textId="77777777" w:rsidR="00A71EEF" w:rsidRDefault="0081115D">
      <w:pPr>
        <w:pStyle w:val="a4"/>
        <w:numPr>
          <w:ilvl w:val="2"/>
          <w:numId w:val="691"/>
        </w:numPr>
        <w:tabs>
          <w:tab w:val="left" w:pos="1371"/>
        </w:tabs>
        <w:spacing w:line="446" w:lineRule="auto"/>
        <w:ind w:right="1604" w:firstLine="422"/>
        <w:rPr>
          <w:sz w:val="21"/>
        </w:rPr>
      </w:pPr>
      <w:r>
        <w:rPr>
          <w:color w:val="333333"/>
          <w:spacing w:val="-3"/>
          <w:sz w:val="21"/>
        </w:rPr>
        <w:t>甲、乙、丙类厂房内的送、排风管道宜分层设置。当水平或竖向送风管在进入生产车间处设置防火阀时，各层的水平或竖向送风管</w:t>
      </w:r>
      <w:r>
        <w:rPr>
          <w:color w:val="333333"/>
          <w:spacing w:val="-3"/>
          <w:sz w:val="21"/>
        </w:rPr>
        <w:t>可合用一个送风系统。</w:t>
      </w:r>
      <w:r>
        <w:rPr>
          <w:color w:val="333333"/>
          <w:sz w:val="21"/>
        </w:rPr>
        <w:t xml:space="preserve"> </w:t>
      </w:r>
    </w:p>
    <w:p w14:paraId="5B7568D5" w14:textId="77777777" w:rsidR="00A71EEF" w:rsidRDefault="0081115D">
      <w:pPr>
        <w:pStyle w:val="a4"/>
        <w:numPr>
          <w:ilvl w:val="2"/>
          <w:numId w:val="691"/>
        </w:numPr>
        <w:tabs>
          <w:tab w:val="left" w:pos="1371"/>
        </w:tabs>
        <w:spacing w:line="446" w:lineRule="auto"/>
        <w:ind w:right="1608" w:firstLine="422"/>
        <w:rPr>
          <w:sz w:val="21"/>
        </w:rPr>
      </w:pPr>
      <w:r>
        <w:rPr>
          <w:color w:val="333333"/>
          <w:spacing w:val="-2"/>
          <w:sz w:val="21"/>
        </w:rPr>
        <w:t>空气中含有易燃、易爆危险物质的房间，其送、排风系统应采用防爆型的通风设</w:t>
      </w:r>
      <w:r>
        <w:rPr>
          <w:color w:val="333333"/>
          <w:spacing w:val="-2"/>
          <w:sz w:val="21"/>
        </w:rPr>
        <w:t xml:space="preserve"> </w:t>
      </w:r>
      <w:r>
        <w:rPr>
          <w:color w:val="333333"/>
          <w:spacing w:val="-2"/>
          <w:sz w:val="21"/>
        </w:rPr>
        <w:t>备</w:t>
      </w:r>
      <w:r>
        <w:rPr>
          <w:color w:val="333333"/>
          <w:spacing w:val="-3"/>
          <w:sz w:val="21"/>
        </w:rPr>
        <w:t>。当送风机布置在单独分隔的通风机房内且送风干管上设置防止回流设施时，可采用普通型的通风设备。</w:t>
      </w:r>
      <w:r>
        <w:rPr>
          <w:color w:val="333333"/>
          <w:sz w:val="21"/>
        </w:rPr>
        <w:t xml:space="preserve"> </w:t>
      </w:r>
    </w:p>
    <w:p w14:paraId="42439F80" w14:textId="77777777" w:rsidR="00A71EEF" w:rsidRDefault="0081115D">
      <w:pPr>
        <w:pStyle w:val="a4"/>
        <w:numPr>
          <w:ilvl w:val="2"/>
          <w:numId w:val="691"/>
        </w:numPr>
        <w:tabs>
          <w:tab w:val="left" w:pos="1371"/>
        </w:tabs>
        <w:spacing w:line="446" w:lineRule="auto"/>
        <w:ind w:right="1604" w:firstLine="422"/>
        <w:rPr>
          <w:sz w:val="21"/>
        </w:rPr>
      </w:pPr>
      <w:r>
        <w:rPr>
          <w:color w:val="333333"/>
          <w:spacing w:val="-3"/>
          <w:sz w:val="21"/>
        </w:rPr>
        <w:t>含有燃烧和爆炸危险粉尘的空气，在进入排风机前应采用不产生火花的除尘器进行处理。对于遇水可能形成爆炸的粉尘，严禁采用湿式除尘器。</w:t>
      </w:r>
      <w:r>
        <w:rPr>
          <w:color w:val="333333"/>
          <w:sz w:val="21"/>
        </w:rPr>
        <w:t xml:space="preserve"> </w:t>
      </w:r>
    </w:p>
    <w:p w14:paraId="374ACF76" w14:textId="77777777" w:rsidR="00A71EEF" w:rsidRDefault="0081115D">
      <w:pPr>
        <w:pStyle w:val="a4"/>
        <w:numPr>
          <w:ilvl w:val="2"/>
          <w:numId w:val="691"/>
        </w:numPr>
        <w:tabs>
          <w:tab w:val="left" w:pos="1371"/>
        </w:tabs>
        <w:spacing w:line="446" w:lineRule="auto"/>
        <w:ind w:right="1604" w:firstLine="422"/>
        <w:rPr>
          <w:sz w:val="21"/>
        </w:rPr>
      </w:pPr>
      <w:r>
        <w:rPr>
          <w:color w:val="333333"/>
          <w:spacing w:val="-3"/>
          <w:sz w:val="21"/>
        </w:rPr>
        <w:t>处理有爆炸危险粉尘的除尘器、排风机的设置应与其他普通型的风机、除尘器分开设置，并宜按单一粉尘分组布置。</w:t>
      </w:r>
      <w:r>
        <w:rPr>
          <w:color w:val="333333"/>
          <w:sz w:val="21"/>
        </w:rPr>
        <w:t xml:space="preserve"> </w:t>
      </w:r>
    </w:p>
    <w:p w14:paraId="4C05B32A" w14:textId="77777777" w:rsidR="00A71EEF" w:rsidRDefault="0081115D">
      <w:pPr>
        <w:pStyle w:val="a4"/>
        <w:numPr>
          <w:ilvl w:val="2"/>
          <w:numId w:val="691"/>
        </w:numPr>
        <w:tabs>
          <w:tab w:val="left" w:pos="1370"/>
        </w:tabs>
        <w:spacing w:line="446" w:lineRule="auto"/>
        <w:ind w:right="1604" w:firstLine="422"/>
        <w:rPr>
          <w:sz w:val="21"/>
        </w:rPr>
      </w:pPr>
      <w:r>
        <w:rPr>
          <w:color w:val="333333"/>
          <w:spacing w:val="-3"/>
          <w:sz w:val="21"/>
        </w:rPr>
        <w:t>净化有爆炸危险粉尘的干式除尘器和过滤器宜布置在厂房外的独立建筑内，建筑外</w:t>
      </w:r>
      <w:r>
        <w:rPr>
          <w:color w:val="333333"/>
          <w:spacing w:val="-7"/>
          <w:sz w:val="21"/>
        </w:rPr>
        <w:t>墙与所属厂</w:t>
      </w:r>
      <w:r>
        <w:rPr>
          <w:color w:val="333333"/>
          <w:spacing w:val="-7"/>
          <w:sz w:val="21"/>
        </w:rPr>
        <w:t>房的防火间距不应小于</w:t>
      </w:r>
      <w:r>
        <w:rPr>
          <w:color w:val="333333"/>
          <w:spacing w:val="-7"/>
          <w:sz w:val="21"/>
        </w:rPr>
        <w:t xml:space="preserve"> </w:t>
      </w:r>
      <w:r>
        <w:rPr>
          <w:color w:val="333333"/>
          <w:sz w:val="21"/>
        </w:rPr>
        <w:t>10m</w:t>
      </w:r>
      <w:r>
        <w:rPr>
          <w:color w:val="333333"/>
          <w:spacing w:val="-3"/>
          <w:sz w:val="21"/>
        </w:rPr>
        <w:t>。</w:t>
      </w:r>
      <w:r>
        <w:rPr>
          <w:color w:val="333333"/>
          <w:sz w:val="21"/>
        </w:rPr>
        <w:t xml:space="preserve"> </w:t>
      </w:r>
    </w:p>
    <w:p w14:paraId="11B72F2C" w14:textId="77777777" w:rsidR="00A71EEF" w:rsidRDefault="0081115D">
      <w:pPr>
        <w:pStyle w:val="a3"/>
        <w:spacing w:line="446" w:lineRule="auto"/>
        <w:ind w:left="418" w:right="1452" w:firstLine="419"/>
      </w:pPr>
      <w:r>
        <w:rPr>
          <w:color w:val="333333"/>
          <w:spacing w:val="-5"/>
        </w:rPr>
        <w:t>具备连续清灰功能，或具有定期清灰功能且风量不大于</w:t>
      </w:r>
      <w:r>
        <w:rPr>
          <w:color w:val="333333"/>
          <w:spacing w:val="-5"/>
        </w:rPr>
        <w:t xml:space="preserve"> </w:t>
      </w:r>
      <w:r>
        <w:rPr>
          <w:color w:val="333333"/>
        </w:rPr>
        <w:t>15000m3/h</w:t>
      </w:r>
      <w:r>
        <w:rPr>
          <w:color w:val="333333"/>
          <w:spacing w:val="-3"/>
        </w:rPr>
        <w:t>、集尘斗的储尘量小于</w:t>
      </w:r>
      <w:r>
        <w:rPr>
          <w:color w:val="333333"/>
          <w:spacing w:val="-3"/>
        </w:rPr>
        <w:t>60kg</w:t>
      </w:r>
      <w:r>
        <w:rPr>
          <w:color w:val="333333"/>
          <w:spacing w:val="-5"/>
        </w:rPr>
        <w:t xml:space="preserve"> </w:t>
      </w:r>
      <w:r>
        <w:rPr>
          <w:color w:val="333333"/>
          <w:spacing w:val="-5"/>
        </w:rPr>
        <w:t>的干式除尘器和过滤器，可布置在厂房内的单独房间内，但应采用耐火极限不低于</w:t>
      </w:r>
      <w:r>
        <w:rPr>
          <w:color w:val="333333"/>
          <w:spacing w:val="-5"/>
        </w:rPr>
        <w:t xml:space="preserve"> </w:t>
      </w:r>
      <w:r>
        <w:rPr>
          <w:color w:val="333333"/>
        </w:rPr>
        <w:t xml:space="preserve">3.00h </w:t>
      </w:r>
      <w:r>
        <w:rPr>
          <w:color w:val="333333"/>
          <w:spacing w:val="-10"/>
        </w:rPr>
        <w:t>的防火隔墙和</w:t>
      </w:r>
      <w:r>
        <w:rPr>
          <w:color w:val="333333"/>
          <w:spacing w:val="-10"/>
        </w:rPr>
        <w:t xml:space="preserve"> </w:t>
      </w:r>
      <w:r>
        <w:rPr>
          <w:color w:val="333333"/>
        </w:rPr>
        <w:t>1.50h</w:t>
      </w:r>
      <w:r>
        <w:rPr>
          <w:color w:val="333333"/>
          <w:spacing w:val="-3"/>
        </w:rPr>
        <w:t xml:space="preserve"> </w:t>
      </w:r>
      <w:r>
        <w:rPr>
          <w:color w:val="333333"/>
          <w:spacing w:val="-3"/>
        </w:rPr>
        <w:t>的楼板与其他部位分隔。</w:t>
      </w:r>
      <w:r>
        <w:rPr>
          <w:color w:val="333333"/>
        </w:rPr>
        <w:t xml:space="preserve"> </w:t>
      </w:r>
    </w:p>
    <w:p w14:paraId="3B996774" w14:textId="77777777" w:rsidR="00A71EEF" w:rsidRDefault="0081115D">
      <w:pPr>
        <w:pStyle w:val="a4"/>
        <w:numPr>
          <w:ilvl w:val="2"/>
          <w:numId w:val="691"/>
        </w:numPr>
        <w:tabs>
          <w:tab w:val="left" w:pos="1371"/>
        </w:tabs>
        <w:spacing w:line="268" w:lineRule="exact"/>
        <w:ind w:left="1370"/>
        <w:rPr>
          <w:sz w:val="21"/>
        </w:rPr>
      </w:pPr>
      <w:r>
        <w:rPr>
          <w:color w:val="333333"/>
          <w:spacing w:val="-3"/>
          <w:sz w:val="21"/>
        </w:rPr>
        <w:t>净化或输送有爆炸危险粉尘和碎屑的除尘器、过滤器或管道，均应设置泄压装置。</w:t>
      </w:r>
      <w:r>
        <w:rPr>
          <w:color w:val="333333"/>
          <w:sz w:val="21"/>
        </w:rPr>
        <w:t xml:space="preserve"> </w:t>
      </w:r>
    </w:p>
    <w:p w14:paraId="07229706" w14:textId="77777777" w:rsidR="00A71EEF" w:rsidRDefault="00A71EEF">
      <w:pPr>
        <w:pStyle w:val="a3"/>
        <w:spacing w:before="9"/>
        <w:rPr>
          <w:sz w:val="17"/>
        </w:rPr>
      </w:pPr>
    </w:p>
    <w:p w14:paraId="55087867" w14:textId="77777777" w:rsidR="00A71EEF" w:rsidRDefault="0081115D">
      <w:pPr>
        <w:pStyle w:val="a3"/>
        <w:ind w:left="838"/>
      </w:pPr>
      <w:r>
        <w:rPr>
          <w:color w:val="333333"/>
        </w:rPr>
        <w:t>净化有爆炸危险粉尘的干式除尘器和过滤器应布置在系统的负压段上。</w:t>
      </w:r>
      <w:r>
        <w:rPr>
          <w:color w:val="333333"/>
        </w:rPr>
        <w:t xml:space="preserve"> </w:t>
      </w:r>
    </w:p>
    <w:p w14:paraId="40FFDC3D" w14:textId="77777777" w:rsidR="00A71EEF" w:rsidRDefault="00A71EEF">
      <w:pPr>
        <w:pStyle w:val="a3"/>
        <w:spacing w:before="12"/>
        <w:rPr>
          <w:sz w:val="17"/>
        </w:rPr>
      </w:pPr>
    </w:p>
    <w:p w14:paraId="32B0DB50" w14:textId="77777777" w:rsidR="00A71EEF" w:rsidRDefault="0081115D">
      <w:pPr>
        <w:pStyle w:val="a4"/>
        <w:numPr>
          <w:ilvl w:val="2"/>
          <w:numId w:val="691"/>
        </w:numPr>
        <w:tabs>
          <w:tab w:val="left" w:pos="1371"/>
        </w:tabs>
        <w:ind w:left="1370"/>
        <w:rPr>
          <w:sz w:val="21"/>
        </w:rPr>
      </w:pPr>
      <w:r>
        <w:rPr>
          <w:color w:val="333333"/>
          <w:spacing w:val="-3"/>
          <w:sz w:val="21"/>
        </w:rPr>
        <w:t>排除有燃烧或爆炸危险气体、蒸气和粉尘的排风系统，应符合下列规定：</w:t>
      </w:r>
      <w:r>
        <w:rPr>
          <w:color w:val="333333"/>
          <w:spacing w:val="-3"/>
          <w:sz w:val="21"/>
        </w:rPr>
        <w:t xml:space="preserve"> </w:t>
      </w:r>
    </w:p>
    <w:p w14:paraId="45DA6D05" w14:textId="77777777" w:rsidR="00A71EEF" w:rsidRDefault="00A71EEF">
      <w:pPr>
        <w:pStyle w:val="a3"/>
        <w:spacing w:before="2"/>
        <w:rPr>
          <w:sz w:val="18"/>
        </w:rPr>
      </w:pPr>
    </w:p>
    <w:p w14:paraId="6795344D" w14:textId="77777777" w:rsidR="00A71EEF" w:rsidRDefault="0081115D">
      <w:pPr>
        <w:pStyle w:val="a3"/>
        <w:ind w:left="838"/>
      </w:pPr>
      <w:r>
        <w:rPr>
          <w:color w:val="333333"/>
        </w:rPr>
        <w:t>排风系统应设置导除静电的接地装置；</w:t>
      </w:r>
      <w:r>
        <w:rPr>
          <w:color w:val="333333"/>
        </w:rPr>
        <w:t xml:space="preserve"> </w:t>
      </w:r>
    </w:p>
    <w:p w14:paraId="620465DB" w14:textId="77777777" w:rsidR="00A71EEF" w:rsidRDefault="00A71EEF">
      <w:pPr>
        <w:pStyle w:val="a3"/>
        <w:rPr>
          <w:sz w:val="18"/>
        </w:rPr>
      </w:pPr>
    </w:p>
    <w:p w14:paraId="5DC47460" w14:textId="77777777" w:rsidR="00A71EEF" w:rsidRDefault="0081115D">
      <w:pPr>
        <w:pStyle w:val="a3"/>
        <w:ind w:left="838"/>
      </w:pPr>
      <w:r>
        <w:rPr>
          <w:color w:val="333333"/>
        </w:rPr>
        <w:t>排风设备不应布置在地下或半地下建筑（室）内；</w:t>
      </w:r>
      <w:r>
        <w:rPr>
          <w:color w:val="333333"/>
        </w:rPr>
        <w:t xml:space="preserve"> </w:t>
      </w:r>
    </w:p>
    <w:p w14:paraId="54B15D57" w14:textId="77777777" w:rsidR="00A71EEF" w:rsidRDefault="00A71EEF">
      <w:pPr>
        <w:pStyle w:val="a3"/>
        <w:spacing w:before="12"/>
        <w:rPr>
          <w:sz w:val="17"/>
        </w:rPr>
      </w:pPr>
    </w:p>
    <w:p w14:paraId="3356C3F9" w14:textId="77777777" w:rsidR="00A71EEF" w:rsidRDefault="0081115D">
      <w:pPr>
        <w:pStyle w:val="a3"/>
        <w:ind w:left="838"/>
      </w:pPr>
      <w:r>
        <w:rPr>
          <w:color w:val="333333"/>
        </w:rPr>
        <w:t>排风管应采用金属管道，并应直接通向室外安全地点，不应暗设。</w:t>
      </w:r>
      <w:r>
        <w:rPr>
          <w:color w:val="333333"/>
        </w:rPr>
        <w:t xml:space="preserve"> </w:t>
      </w:r>
    </w:p>
    <w:p w14:paraId="22A8FA7B" w14:textId="77777777" w:rsidR="00A71EEF" w:rsidRDefault="00A71EEF">
      <w:pPr>
        <w:sectPr w:rsidR="00A71EEF">
          <w:pgSz w:w="11910" w:h="16850"/>
          <w:pgMar w:top="1220" w:right="0" w:bottom="1420" w:left="1260" w:header="0" w:footer="1239" w:gutter="0"/>
          <w:cols w:space="720"/>
        </w:sectPr>
      </w:pPr>
    </w:p>
    <w:p w14:paraId="479DFE0D" w14:textId="77777777" w:rsidR="00A71EEF" w:rsidRDefault="0081115D">
      <w:pPr>
        <w:pStyle w:val="a4"/>
        <w:numPr>
          <w:ilvl w:val="2"/>
          <w:numId w:val="691"/>
        </w:numPr>
        <w:tabs>
          <w:tab w:val="left" w:pos="1478"/>
        </w:tabs>
        <w:spacing w:before="47" w:line="446" w:lineRule="auto"/>
        <w:ind w:right="1448" w:firstLine="422"/>
        <w:jc w:val="both"/>
        <w:rPr>
          <w:sz w:val="21"/>
        </w:rPr>
      </w:pPr>
      <w:r>
        <w:rPr>
          <w:color w:val="333333"/>
          <w:spacing w:val="-7"/>
          <w:sz w:val="21"/>
        </w:rPr>
        <w:lastRenderedPageBreak/>
        <w:t>排除和输送温度超过</w:t>
      </w:r>
      <w:r>
        <w:rPr>
          <w:color w:val="333333"/>
          <w:spacing w:val="-7"/>
          <w:sz w:val="21"/>
        </w:rPr>
        <w:t xml:space="preserve"> </w:t>
      </w:r>
      <w:r>
        <w:rPr>
          <w:color w:val="333333"/>
          <w:sz w:val="21"/>
        </w:rPr>
        <w:t>80</w:t>
      </w:r>
      <w:r>
        <w:rPr>
          <w:color w:val="333333"/>
          <w:spacing w:val="-3"/>
          <w:sz w:val="21"/>
        </w:rPr>
        <w:t>℃</w:t>
      </w:r>
      <w:r>
        <w:rPr>
          <w:color w:val="333333"/>
          <w:spacing w:val="-3"/>
          <w:sz w:val="21"/>
        </w:rPr>
        <w:t>的空气或其他气体以及易燃碎屑的管道，与可燃或难燃物</w:t>
      </w:r>
      <w:r>
        <w:rPr>
          <w:color w:val="333333"/>
          <w:spacing w:val="-7"/>
          <w:sz w:val="21"/>
        </w:rPr>
        <w:t>体之间的间隙不应小于</w:t>
      </w:r>
      <w:r>
        <w:rPr>
          <w:color w:val="333333"/>
          <w:spacing w:val="-7"/>
          <w:sz w:val="21"/>
        </w:rPr>
        <w:t xml:space="preserve"> </w:t>
      </w:r>
      <w:r>
        <w:rPr>
          <w:color w:val="333333"/>
          <w:sz w:val="21"/>
        </w:rPr>
        <w:t>150mm</w:t>
      </w:r>
      <w:r>
        <w:rPr>
          <w:color w:val="333333"/>
          <w:spacing w:val="-8"/>
          <w:sz w:val="21"/>
        </w:rPr>
        <w:t>，或采用厚度不小于</w:t>
      </w:r>
      <w:r>
        <w:rPr>
          <w:color w:val="333333"/>
          <w:spacing w:val="-8"/>
          <w:sz w:val="21"/>
        </w:rPr>
        <w:t xml:space="preserve"> </w:t>
      </w:r>
      <w:r>
        <w:rPr>
          <w:color w:val="333333"/>
          <w:sz w:val="21"/>
        </w:rPr>
        <w:t>50mm</w:t>
      </w:r>
      <w:r>
        <w:rPr>
          <w:color w:val="333333"/>
          <w:spacing w:val="-3"/>
          <w:sz w:val="21"/>
        </w:rPr>
        <w:t xml:space="preserve"> </w:t>
      </w:r>
      <w:r>
        <w:rPr>
          <w:color w:val="333333"/>
          <w:spacing w:val="-3"/>
          <w:sz w:val="21"/>
        </w:rPr>
        <w:t>的不燃材料隔热；当管道上下布置时，</w:t>
      </w:r>
      <w:r>
        <w:rPr>
          <w:color w:val="333333"/>
          <w:spacing w:val="-3"/>
          <w:sz w:val="21"/>
        </w:rPr>
        <w:t xml:space="preserve"> </w:t>
      </w:r>
      <w:r>
        <w:rPr>
          <w:color w:val="333333"/>
          <w:spacing w:val="-3"/>
          <w:sz w:val="21"/>
        </w:rPr>
        <w:t>表面温度较高者应布置在上面。</w:t>
      </w:r>
      <w:r>
        <w:rPr>
          <w:color w:val="333333"/>
          <w:sz w:val="21"/>
        </w:rPr>
        <w:t xml:space="preserve"> </w:t>
      </w:r>
    </w:p>
    <w:p w14:paraId="13280980" w14:textId="77777777" w:rsidR="00A71EEF" w:rsidRDefault="0081115D">
      <w:pPr>
        <w:pStyle w:val="a4"/>
        <w:numPr>
          <w:ilvl w:val="2"/>
          <w:numId w:val="691"/>
        </w:numPr>
        <w:tabs>
          <w:tab w:val="left" w:pos="1478"/>
        </w:tabs>
        <w:spacing w:line="268" w:lineRule="exact"/>
        <w:ind w:left="1477" w:hanging="638"/>
        <w:jc w:val="both"/>
        <w:rPr>
          <w:sz w:val="21"/>
        </w:rPr>
      </w:pPr>
      <w:r>
        <w:rPr>
          <w:color w:val="333333"/>
          <w:spacing w:val="-5"/>
          <w:sz w:val="21"/>
        </w:rPr>
        <w:t>通风、空气调节系统的风管在下列部位应设置公称动作</w:t>
      </w:r>
      <w:r>
        <w:rPr>
          <w:color w:val="333333"/>
          <w:spacing w:val="-5"/>
          <w:sz w:val="21"/>
        </w:rPr>
        <w:t>温度为</w:t>
      </w:r>
      <w:r>
        <w:rPr>
          <w:color w:val="333333"/>
          <w:spacing w:val="-5"/>
          <w:sz w:val="21"/>
        </w:rPr>
        <w:t xml:space="preserve"> </w:t>
      </w:r>
      <w:r>
        <w:rPr>
          <w:color w:val="333333"/>
          <w:sz w:val="21"/>
        </w:rPr>
        <w:t>70</w:t>
      </w:r>
      <w:r>
        <w:rPr>
          <w:color w:val="333333"/>
          <w:spacing w:val="-3"/>
          <w:sz w:val="21"/>
        </w:rPr>
        <w:t>℃</w:t>
      </w:r>
      <w:r>
        <w:rPr>
          <w:color w:val="333333"/>
          <w:spacing w:val="-3"/>
          <w:sz w:val="21"/>
        </w:rPr>
        <w:t>的防火阀：</w:t>
      </w:r>
      <w:r>
        <w:rPr>
          <w:color w:val="333333"/>
          <w:sz w:val="21"/>
        </w:rPr>
        <w:t xml:space="preserve"> </w:t>
      </w:r>
    </w:p>
    <w:p w14:paraId="02011FA3" w14:textId="77777777" w:rsidR="00A71EEF" w:rsidRDefault="00A71EEF">
      <w:pPr>
        <w:pStyle w:val="a3"/>
        <w:rPr>
          <w:sz w:val="18"/>
        </w:rPr>
      </w:pPr>
    </w:p>
    <w:p w14:paraId="0027632C" w14:textId="77777777" w:rsidR="00A71EEF" w:rsidRDefault="0081115D">
      <w:pPr>
        <w:pStyle w:val="a3"/>
        <w:ind w:left="838"/>
      </w:pPr>
      <w:r>
        <w:rPr>
          <w:color w:val="333333"/>
        </w:rPr>
        <w:t>穿越防火分区处；</w:t>
      </w:r>
      <w:r>
        <w:rPr>
          <w:color w:val="333333"/>
        </w:rPr>
        <w:t xml:space="preserve"> </w:t>
      </w:r>
    </w:p>
    <w:p w14:paraId="02142FE2" w14:textId="77777777" w:rsidR="00A71EEF" w:rsidRDefault="00A71EEF">
      <w:pPr>
        <w:pStyle w:val="a3"/>
        <w:spacing w:before="12"/>
        <w:rPr>
          <w:sz w:val="17"/>
        </w:rPr>
      </w:pPr>
    </w:p>
    <w:p w14:paraId="5B7DB19C" w14:textId="77777777" w:rsidR="00A71EEF" w:rsidRDefault="0081115D">
      <w:pPr>
        <w:pStyle w:val="a3"/>
        <w:ind w:left="838"/>
      </w:pPr>
      <w:r>
        <w:rPr>
          <w:color w:val="333333"/>
        </w:rPr>
        <w:t>穿越通风、空气调节机房的房间隔墙和楼板处；</w:t>
      </w:r>
      <w:r>
        <w:rPr>
          <w:color w:val="333333"/>
        </w:rPr>
        <w:t xml:space="preserve"> </w:t>
      </w:r>
    </w:p>
    <w:p w14:paraId="00138653" w14:textId="77777777" w:rsidR="00A71EEF" w:rsidRDefault="00A71EEF">
      <w:pPr>
        <w:pStyle w:val="a3"/>
        <w:spacing w:before="2"/>
        <w:rPr>
          <w:sz w:val="18"/>
        </w:rPr>
      </w:pPr>
    </w:p>
    <w:p w14:paraId="0814DC59" w14:textId="77777777" w:rsidR="00A71EEF" w:rsidRDefault="0081115D">
      <w:pPr>
        <w:pStyle w:val="a3"/>
        <w:spacing w:line="446" w:lineRule="auto"/>
        <w:ind w:left="838" w:right="4657"/>
      </w:pPr>
      <w:r>
        <w:rPr>
          <w:color w:val="333333"/>
        </w:rPr>
        <w:t>穿越重要或火灾危险性大的场所的房间隔墙和楼板处；</w:t>
      </w:r>
      <w:r>
        <w:rPr>
          <w:color w:val="333333"/>
        </w:rPr>
        <w:t xml:space="preserve"> </w:t>
      </w:r>
      <w:r>
        <w:rPr>
          <w:color w:val="333333"/>
        </w:rPr>
        <w:t>穿越防火分隔处的变形缝两侧；</w:t>
      </w:r>
      <w:r>
        <w:rPr>
          <w:color w:val="333333"/>
        </w:rPr>
        <w:t xml:space="preserve"> </w:t>
      </w:r>
    </w:p>
    <w:p w14:paraId="2355ECAC" w14:textId="77777777" w:rsidR="00A71EEF" w:rsidRDefault="0081115D">
      <w:pPr>
        <w:pStyle w:val="a3"/>
        <w:spacing w:line="267" w:lineRule="exact"/>
        <w:ind w:left="838"/>
      </w:pPr>
      <w:r>
        <w:rPr>
          <w:color w:val="333333"/>
        </w:rPr>
        <w:t>竖向风管与每层水平风管交接处的水平管段上。</w:t>
      </w:r>
      <w:r>
        <w:rPr>
          <w:color w:val="333333"/>
        </w:rPr>
        <w:t xml:space="preserve"> </w:t>
      </w:r>
    </w:p>
    <w:p w14:paraId="3265354E" w14:textId="77777777" w:rsidR="00A71EEF" w:rsidRDefault="00A71EEF">
      <w:pPr>
        <w:pStyle w:val="a3"/>
        <w:spacing w:before="2"/>
        <w:rPr>
          <w:sz w:val="18"/>
        </w:rPr>
      </w:pPr>
    </w:p>
    <w:p w14:paraId="6FBAC926" w14:textId="77777777" w:rsidR="00A71EEF" w:rsidRDefault="0081115D">
      <w:pPr>
        <w:pStyle w:val="a3"/>
        <w:spacing w:line="446" w:lineRule="auto"/>
        <w:ind w:left="418" w:right="1609" w:firstLine="419"/>
      </w:pPr>
      <w:r>
        <w:rPr>
          <w:color w:val="333333"/>
        </w:rPr>
        <w:t>注：当建筑内每个防火分区的通风、空气调节系统均独立设置时，水平风管与竖向总管的交接处可不设置防火阀。</w:t>
      </w:r>
      <w:r>
        <w:rPr>
          <w:color w:val="333333"/>
        </w:rPr>
        <w:t xml:space="preserve"> </w:t>
      </w:r>
    </w:p>
    <w:p w14:paraId="6BC3B282" w14:textId="77777777" w:rsidR="00A71EEF" w:rsidRDefault="0081115D">
      <w:pPr>
        <w:pStyle w:val="a4"/>
        <w:numPr>
          <w:ilvl w:val="2"/>
          <w:numId w:val="691"/>
        </w:numPr>
        <w:tabs>
          <w:tab w:val="left" w:pos="1478"/>
        </w:tabs>
        <w:spacing w:line="446" w:lineRule="auto"/>
        <w:ind w:right="1496" w:firstLine="422"/>
        <w:rPr>
          <w:sz w:val="21"/>
        </w:rPr>
      </w:pPr>
      <w:r>
        <w:rPr>
          <w:color w:val="333333"/>
          <w:spacing w:val="-3"/>
          <w:sz w:val="21"/>
        </w:rPr>
        <w:t>公共建筑的浴室、卫生间和厨房的竖向排风管，应采取防止回流措施并宜在支管上</w:t>
      </w:r>
      <w:r>
        <w:rPr>
          <w:color w:val="333333"/>
          <w:spacing w:val="-8"/>
          <w:sz w:val="21"/>
        </w:rPr>
        <w:t>设置公称动作温度为</w:t>
      </w:r>
      <w:r>
        <w:rPr>
          <w:color w:val="333333"/>
          <w:spacing w:val="-8"/>
          <w:sz w:val="21"/>
        </w:rPr>
        <w:t xml:space="preserve"> </w:t>
      </w:r>
      <w:r>
        <w:rPr>
          <w:color w:val="333333"/>
          <w:sz w:val="21"/>
        </w:rPr>
        <w:t>70</w:t>
      </w:r>
      <w:r>
        <w:rPr>
          <w:color w:val="333333"/>
          <w:spacing w:val="-2"/>
          <w:sz w:val="21"/>
        </w:rPr>
        <w:t>℃</w:t>
      </w:r>
      <w:r>
        <w:rPr>
          <w:color w:val="333333"/>
          <w:spacing w:val="-2"/>
          <w:sz w:val="21"/>
        </w:rPr>
        <w:t>的防火阀。</w:t>
      </w:r>
      <w:r>
        <w:rPr>
          <w:color w:val="333333"/>
          <w:sz w:val="21"/>
        </w:rPr>
        <w:t xml:space="preserve"> </w:t>
      </w:r>
    </w:p>
    <w:p w14:paraId="4DA4213B" w14:textId="77777777" w:rsidR="00A71EEF" w:rsidRDefault="0081115D">
      <w:pPr>
        <w:pStyle w:val="a3"/>
        <w:spacing w:line="446" w:lineRule="auto"/>
        <w:ind w:left="418" w:right="1609" w:firstLine="419"/>
      </w:pPr>
      <w:r>
        <w:rPr>
          <w:color w:val="333333"/>
        </w:rPr>
        <w:t>公共建筑内厨房的排油烟管道宜按防火分区设置，且在与竖向排风管连接的支管处应设置公称动作温度为</w:t>
      </w:r>
      <w:r>
        <w:rPr>
          <w:color w:val="333333"/>
        </w:rPr>
        <w:t xml:space="preserve"> 150℃</w:t>
      </w:r>
      <w:r>
        <w:rPr>
          <w:color w:val="333333"/>
        </w:rPr>
        <w:t>的防火阀。</w:t>
      </w:r>
      <w:r>
        <w:rPr>
          <w:color w:val="333333"/>
        </w:rPr>
        <w:t xml:space="preserve"> </w:t>
      </w:r>
    </w:p>
    <w:p w14:paraId="2C9BC5F4" w14:textId="77777777" w:rsidR="00A71EEF" w:rsidRDefault="0081115D">
      <w:pPr>
        <w:pStyle w:val="a4"/>
        <w:numPr>
          <w:ilvl w:val="2"/>
          <w:numId w:val="691"/>
        </w:numPr>
        <w:tabs>
          <w:tab w:val="left" w:pos="1478"/>
        </w:tabs>
        <w:ind w:left="1477" w:hanging="638"/>
        <w:rPr>
          <w:sz w:val="21"/>
        </w:rPr>
      </w:pPr>
      <w:r>
        <w:rPr>
          <w:color w:val="333333"/>
          <w:spacing w:val="-3"/>
          <w:sz w:val="21"/>
        </w:rPr>
        <w:t>防火阀的设置应符合下列规定：</w:t>
      </w:r>
      <w:r>
        <w:rPr>
          <w:color w:val="333333"/>
          <w:sz w:val="21"/>
        </w:rPr>
        <w:t xml:space="preserve"> </w:t>
      </w:r>
    </w:p>
    <w:p w14:paraId="6F05DC3B" w14:textId="77777777" w:rsidR="00A71EEF" w:rsidRDefault="00A71EEF">
      <w:pPr>
        <w:pStyle w:val="a3"/>
        <w:spacing w:before="10"/>
        <w:rPr>
          <w:sz w:val="17"/>
        </w:rPr>
      </w:pPr>
    </w:p>
    <w:p w14:paraId="4EDEC549" w14:textId="77777777" w:rsidR="00A71EEF" w:rsidRDefault="0081115D">
      <w:pPr>
        <w:pStyle w:val="a3"/>
        <w:ind w:left="838"/>
      </w:pPr>
      <w:r>
        <w:rPr>
          <w:color w:val="333333"/>
        </w:rPr>
        <w:t>防火阀宜靠近防火分隔处设置；</w:t>
      </w:r>
      <w:r>
        <w:rPr>
          <w:color w:val="333333"/>
        </w:rPr>
        <w:t xml:space="preserve"> </w:t>
      </w:r>
    </w:p>
    <w:p w14:paraId="5343531E" w14:textId="77777777" w:rsidR="00A71EEF" w:rsidRDefault="00A71EEF">
      <w:pPr>
        <w:pStyle w:val="a3"/>
        <w:spacing w:before="12"/>
        <w:rPr>
          <w:sz w:val="17"/>
        </w:rPr>
      </w:pPr>
    </w:p>
    <w:p w14:paraId="58D87852" w14:textId="77777777" w:rsidR="00A71EEF" w:rsidRDefault="0081115D">
      <w:pPr>
        <w:pStyle w:val="a3"/>
        <w:ind w:left="838"/>
      </w:pPr>
      <w:r>
        <w:rPr>
          <w:color w:val="333333"/>
        </w:rPr>
        <w:t>防火阀暗装时，应在安装部位设置方便维护的检修口；</w:t>
      </w:r>
      <w:r>
        <w:rPr>
          <w:color w:val="333333"/>
        </w:rPr>
        <w:t xml:space="preserve"> </w:t>
      </w:r>
    </w:p>
    <w:p w14:paraId="038CB424" w14:textId="77777777" w:rsidR="00A71EEF" w:rsidRDefault="00A71EEF">
      <w:pPr>
        <w:pStyle w:val="a3"/>
        <w:spacing w:before="2"/>
        <w:rPr>
          <w:sz w:val="18"/>
        </w:rPr>
      </w:pPr>
    </w:p>
    <w:p w14:paraId="47E76E18" w14:textId="77777777" w:rsidR="00A71EEF" w:rsidRDefault="0081115D">
      <w:pPr>
        <w:pStyle w:val="a3"/>
        <w:ind w:left="838"/>
      </w:pPr>
      <w:r>
        <w:rPr>
          <w:color w:val="333333"/>
        </w:rPr>
        <w:t>在防火阀两侧各</w:t>
      </w:r>
      <w:r>
        <w:rPr>
          <w:color w:val="333333"/>
        </w:rPr>
        <w:t xml:space="preserve"> 2.0m </w:t>
      </w:r>
      <w:r>
        <w:rPr>
          <w:color w:val="333333"/>
        </w:rPr>
        <w:t>范围内的风管及其绝热材料应采用不燃材料；</w:t>
      </w:r>
      <w:r>
        <w:rPr>
          <w:color w:val="333333"/>
        </w:rPr>
        <w:t xml:space="preserve"> </w:t>
      </w:r>
    </w:p>
    <w:p w14:paraId="14775E38" w14:textId="77777777" w:rsidR="00A71EEF" w:rsidRDefault="00A71EEF">
      <w:pPr>
        <w:pStyle w:val="a3"/>
        <w:rPr>
          <w:sz w:val="18"/>
        </w:rPr>
      </w:pPr>
    </w:p>
    <w:p w14:paraId="42665978" w14:textId="77777777" w:rsidR="00A71EEF" w:rsidRDefault="0081115D">
      <w:pPr>
        <w:pStyle w:val="a3"/>
        <w:spacing w:line="446" w:lineRule="auto"/>
        <w:ind w:left="840" w:right="2031" w:hanging="3"/>
      </w:pPr>
      <w:r>
        <w:rPr>
          <w:color w:val="333333"/>
        </w:rPr>
        <w:t>防火阀应符合现行国家标准《建筑通风和排烟系统用防火阀门》</w:t>
      </w:r>
      <w:r>
        <w:rPr>
          <w:color w:val="333333"/>
        </w:rPr>
        <w:t xml:space="preserve">GB 15930 </w:t>
      </w:r>
      <w:r>
        <w:rPr>
          <w:color w:val="333333"/>
        </w:rPr>
        <w:t>的规定。</w:t>
      </w:r>
      <w:r>
        <w:rPr>
          <w:b/>
          <w:color w:val="333333"/>
        </w:rPr>
        <w:t xml:space="preserve">9.3.14 </w:t>
      </w:r>
      <w:r>
        <w:rPr>
          <w:color w:val="333333"/>
        </w:rPr>
        <w:t>除下列情况外，通风、空气调节系统的风管应采用不燃材料：</w:t>
      </w:r>
      <w:r>
        <w:rPr>
          <w:color w:val="333333"/>
        </w:rPr>
        <w:t xml:space="preserve"> </w:t>
      </w:r>
    </w:p>
    <w:p w14:paraId="6B83233D" w14:textId="77777777" w:rsidR="00A71EEF" w:rsidRDefault="0081115D">
      <w:pPr>
        <w:pStyle w:val="a3"/>
        <w:ind w:left="838"/>
      </w:pPr>
      <w:r>
        <w:rPr>
          <w:color w:val="333333"/>
        </w:rPr>
        <w:t>接触腐蚀性介质的风管和柔性接头可采用难燃材料；</w:t>
      </w:r>
      <w:r>
        <w:rPr>
          <w:color w:val="333333"/>
        </w:rPr>
        <w:t xml:space="preserve"> </w:t>
      </w:r>
    </w:p>
    <w:p w14:paraId="20EBC26A" w14:textId="77777777" w:rsidR="00A71EEF" w:rsidRDefault="00A71EEF">
      <w:pPr>
        <w:pStyle w:val="a3"/>
        <w:rPr>
          <w:sz w:val="18"/>
        </w:rPr>
      </w:pPr>
    </w:p>
    <w:p w14:paraId="0F8E1BAD" w14:textId="77777777" w:rsidR="00A71EEF" w:rsidRDefault="0081115D">
      <w:pPr>
        <w:pStyle w:val="a3"/>
        <w:spacing w:line="446" w:lineRule="auto"/>
        <w:ind w:left="418" w:right="1608" w:firstLine="419"/>
      </w:pPr>
      <w:r>
        <w:rPr>
          <w:color w:val="333333"/>
          <w:spacing w:val="-3"/>
        </w:rPr>
        <w:t>体育馆、展览馆、候机（</w:t>
      </w:r>
      <w:r>
        <w:rPr>
          <w:color w:val="333333"/>
          <w:spacing w:val="-1"/>
        </w:rPr>
        <w:t>车、船</w:t>
      </w:r>
      <w:r>
        <w:rPr>
          <w:color w:val="333333"/>
        </w:rPr>
        <w:t>）</w:t>
      </w:r>
      <w:r>
        <w:rPr>
          <w:color w:val="333333"/>
          <w:spacing w:val="-2"/>
        </w:rPr>
        <w:t>建筑</w:t>
      </w:r>
      <w:r>
        <w:rPr>
          <w:color w:val="333333"/>
          <w:spacing w:val="-3"/>
        </w:rPr>
        <w:t>（</w:t>
      </w:r>
      <w:r>
        <w:rPr>
          <w:color w:val="333333"/>
        </w:rPr>
        <w:t>厅</w:t>
      </w:r>
      <w:r>
        <w:rPr>
          <w:color w:val="333333"/>
          <w:spacing w:val="-3"/>
        </w:rPr>
        <w:t>）等大空间建筑，单、多层办公建筑和丙、</w:t>
      </w:r>
      <w:r>
        <w:rPr>
          <w:color w:val="333333"/>
          <w:spacing w:val="-3"/>
        </w:rPr>
        <w:t xml:space="preserve"> </w:t>
      </w:r>
      <w:r>
        <w:rPr>
          <w:color w:val="333333"/>
          <w:spacing w:val="-3"/>
        </w:rPr>
        <w:t>丁、戊类厂房内通风、空气调节系统的风管，当不跨越防火分区且在穿越房间隔墙处设置防火阀时，可采用难燃材料。</w:t>
      </w:r>
      <w:r>
        <w:rPr>
          <w:color w:val="333333"/>
        </w:rPr>
        <w:t xml:space="preserve"> </w:t>
      </w:r>
    </w:p>
    <w:p w14:paraId="59C8740B" w14:textId="77777777" w:rsidR="00A71EEF" w:rsidRDefault="0081115D">
      <w:pPr>
        <w:pStyle w:val="a4"/>
        <w:numPr>
          <w:ilvl w:val="2"/>
          <w:numId w:val="690"/>
        </w:numPr>
        <w:tabs>
          <w:tab w:val="left" w:pos="1478"/>
        </w:tabs>
        <w:spacing w:line="446" w:lineRule="auto"/>
        <w:ind w:right="1498" w:firstLine="422"/>
        <w:rPr>
          <w:sz w:val="21"/>
        </w:rPr>
      </w:pPr>
      <w:r>
        <w:rPr>
          <w:color w:val="333333"/>
          <w:spacing w:val="-3"/>
          <w:sz w:val="21"/>
        </w:rPr>
        <w:t>设备和风管的绝热材料、用于加湿器的加湿材料、消声材料及其粘结剂，宜采用不燃材料，确有困难时，可采用难燃材料。</w:t>
      </w:r>
      <w:r>
        <w:rPr>
          <w:color w:val="333333"/>
          <w:sz w:val="21"/>
        </w:rPr>
        <w:t xml:space="preserve"> </w:t>
      </w:r>
    </w:p>
    <w:p w14:paraId="7A18ACAC" w14:textId="77777777" w:rsidR="00A71EEF" w:rsidRDefault="00A71EEF">
      <w:pPr>
        <w:spacing w:line="446" w:lineRule="auto"/>
        <w:rPr>
          <w:sz w:val="21"/>
        </w:rPr>
        <w:sectPr w:rsidR="00A71EEF">
          <w:pgSz w:w="11910" w:h="16850"/>
          <w:pgMar w:top="1220" w:right="0" w:bottom="1420" w:left="1260" w:header="0" w:footer="1239" w:gutter="0"/>
          <w:cols w:space="720"/>
        </w:sectPr>
      </w:pPr>
    </w:p>
    <w:p w14:paraId="1FA54B28" w14:textId="77777777" w:rsidR="00A71EEF" w:rsidRDefault="0081115D">
      <w:pPr>
        <w:pStyle w:val="a3"/>
        <w:spacing w:before="47"/>
        <w:ind w:left="838"/>
      </w:pPr>
      <w:r>
        <w:rPr>
          <w:color w:val="333333"/>
        </w:rPr>
        <w:lastRenderedPageBreak/>
        <w:t>风管内设置电加热器时，电加热器的开关应与风机的启停联锁控制。电加热器</w:t>
      </w:r>
      <w:r>
        <w:rPr>
          <w:color w:val="333333"/>
        </w:rPr>
        <w:t>前后各</w:t>
      </w:r>
      <w:r>
        <w:rPr>
          <w:color w:val="333333"/>
        </w:rPr>
        <w:t xml:space="preserve"> 0.8m </w:t>
      </w:r>
    </w:p>
    <w:p w14:paraId="2340FCFF" w14:textId="77777777" w:rsidR="00A71EEF" w:rsidRDefault="00A71EEF">
      <w:pPr>
        <w:pStyle w:val="a3"/>
        <w:rPr>
          <w:sz w:val="18"/>
        </w:rPr>
      </w:pPr>
    </w:p>
    <w:p w14:paraId="0F3696B6" w14:textId="77777777" w:rsidR="00A71EEF" w:rsidRDefault="0081115D">
      <w:pPr>
        <w:pStyle w:val="a3"/>
        <w:ind w:left="418"/>
      </w:pPr>
      <w:r>
        <w:rPr>
          <w:color w:val="333333"/>
        </w:rPr>
        <w:t>范围内的风管和穿过有高温、火源等容易起火房间的风管，均应采用不燃材料。</w:t>
      </w:r>
      <w:r>
        <w:rPr>
          <w:color w:val="333333"/>
        </w:rPr>
        <w:t xml:space="preserve"> </w:t>
      </w:r>
    </w:p>
    <w:p w14:paraId="3C406FF3" w14:textId="77777777" w:rsidR="00A71EEF" w:rsidRDefault="00A71EEF">
      <w:pPr>
        <w:pStyle w:val="a3"/>
        <w:rPr>
          <w:sz w:val="18"/>
        </w:rPr>
      </w:pPr>
    </w:p>
    <w:p w14:paraId="0F13A116" w14:textId="77777777" w:rsidR="00A71EEF" w:rsidRDefault="0081115D">
      <w:pPr>
        <w:pStyle w:val="a4"/>
        <w:numPr>
          <w:ilvl w:val="2"/>
          <w:numId w:val="690"/>
        </w:numPr>
        <w:tabs>
          <w:tab w:val="left" w:pos="1478"/>
        </w:tabs>
        <w:spacing w:line="446" w:lineRule="auto"/>
        <w:ind w:right="1498" w:firstLine="422"/>
        <w:rPr>
          <w:b/>
          <w:sz w:val="21"/>
        </w:rPr>
      </w:pPr>
      <w:r>
        <w:rPr>
          <w:color w:val="333333"/>
          <w:spacing w:val="-3"/>
          <w:sz w:val="21"/>
        </w:rPr>
        <w:t>燃油或燃气锅炉房应设置自然通风或机械通风设施。燃气锅炉房应选用防爆型的事故排风机。当采取机械通风时，机械通风设施应设置导除静电的接地装置，通风量应符合下列规定：</w:t>
      </w:r>
      <w:r>
        <w:rPr>
          <w:b/>
          <w:color w:val="333333"/>
          <w:w w:val="99"/>
          <w:sz w:val="21"/>
        </w:rPr>
        <w:t xml:space="preserve"> </w:t>
      </w:r>
    </w:p>
    <w:p w14:paraId="7F177A5E" w14:textId="77777777" w:rsidR="00A71EEF" w:rsidRDefault="0081115D">
      <w:pPr>
        <w:pStyle w:val="a3"/>
        <w:spacing w:line="446" w:lineRule="auto"/>
        <w:ind w:left="418" w:right="1395" w:firstLine="419"/>
        <w:rPr>
          <w:b/>
        </w:rPr>
      </w:pPr>
      <w:r>
        <w:rPr>
          <w:color w:val="333333"/>
        </w:rPr>
        <w:t>燃油锅炉房的正常通风量应按换气次数不少于</w:t>
      </w:r>
      <w:r>
        <w:rPr>
          <w:color w:val="333333"/>
        </w:rPr>
        <w:t xml:space="preserve"> 3 </w:t>
      </w:r>
      <w:r>
        <w:rPr>
          <w:color w:val="333333"/>
        </w:rPr>
        <w:t>次</w:t>
      </w:r>
      <w:r>
        <w:rPr>
          <w:color w:val="333333"/>
        </w:rPr>
        <w:t xml:space="preserve">/h </w:t>
      </w:r>
      <w:r>
        <w:rPr>
          <w:color w:val="333333"/>
        </w:rPr>
        <w:t>确定，事故排风量应按换气次数不少于</w:t>
      </w:r>
      <w:r>
        <w:rPr>
          <w:color w:val="333333"/>
        </w:rPr>
        <w:t xml:space="preserve"> 6 </w:t>
      </w:r>
      <w:r>
        <w:rPr>
          <w:color w:val="333333"/>
        </w:rPr>
        <w:t>次</w:t>
      </w:r>
      <w:r>
        <w:rPr>
          <w:color w:val="333333"/>
        </w:rPr>
        <w:t xml:space="preserve">/h </w:t>
      </w:r>
      <w:r>
        <w:rPr>
          <w:color w:val="333333"/>
        </w:rPr>
        <w:t>确定；</w:t>
      </w:r>
      <w:r>
        <w:rPr>
          <w:b/>
          <w:color w:val="333333"/>
          <w:w w:val="99"/>
        </w:rPr>
        <w:t xml:space="preserve"> </w:t>
      </w:r>
    </w:p>
    <w:p w14:paraId="42BE5CE3" w14:textId="77777777" w:rsidR="00A71EEF" w:rsidRDefault="0081115D">
      <w:pPr>
        <w:pStyle w:val="a3"/>
        <w:spacing w:line="446" w:lineRule="auto"/>
        <w:ind w:left="418" w:right="1394" w:firstLine="419"/>
        <w:rPr>
          <w:b/>
        </w:rPr>
      </w:pPr>
      <w:r>
        <w:rPr>
          <w:color w:val="333333"/>
        </w:rPr>
        <w:t>燃气锅炉房的正常通风量应按换气次数不少于</w:t>
      </w:r>
      <w:r>
        <w:rPr>
          <w:color w:val="333333"/>
        </w:rPr>
        <w:t xml:space="preserve"> 6 </w:t>
      </w:r>
      <w:r>
        <w:rPr>
          <w:color w:val="333333"/>
        </w:rPr>
        <w:t>次</w:t>
      </w:r>
      <w:r>
        <w:rPr>
          <w:color w:val="333333"/>
        </w:rPr>
        <w:t xml:space="preserve">/h </w:t>
      </w:r>
      <w:r>
        <w:rPr>
          <w:color w:val="333333"/>
        </w:rPr>
        <w:t>确定，事故排风量应按换气次数不少于</w:t>
      </w:r>
      <w:r>
        <w:rPr>
          <w:color w:val="333333"/>
        </w:rPr>
        <w:t xml:space="preserve"> 12 </w:t>
      </w:r>
      <w:r>
        <w:rPr>
          <w:color w:val="333333"/>
        </w:rPr>
        <w:t>次</w:t>
      </w:r>
      <w:r>
        <w:rPr>
          <w:color w:val="333333"/>
        </w:rPr>
        <w:t xml:space="preserve">/h </w:t>
      </w:r>
      <w:r>
        <w:rPr>
          <w:color w:val="333333"/>
        </w:rPr>
        <w:t>确定。</w:t>
      </w:r>
      <w:r>
        <w:rPr>
          <w:b/>
          <w:color w:val="333333"/>
          <w:w w:val="99"/>
        </w:rPr>
        <w:t xml:space="preserve"> </w:t>
      </w:r>
    </w:p>
    <w:p w14:paraId="1BFE4A4E" w14:textId="77777777" w:rsidR="00A71EEF" w:rsidRDefault="0081115D">
      <w:pPr>
        <w:pStyle w:val="4"/>
        <w:spacing w:line="277" w:lineRule="exact"/>
      </w:pPr>
      <w:r>
        <w:t xml:space="preserve">10 </w:t>
      </w:r>
      <w:r>
        <w:t>电气</w:t>
      </w:r>
      <w:r>
        <w:rPr>
          <w:w w:val="99"/>
        </w:rPr>
        <w:t xml:space="preserve"> </w:t>
      </w:r>
    </w:p>
    <w:p w14:paraId="05756403" w14:textId="77777777" w:rsidR="00A71EEF" w:rsidRDefault="00A71EEF">
      <w:pPr>
        <w:pStyle w:val="a3"/>
        <w:spacing w:before="3"/>
        <w:rPr>
          <w:b/>
          <w:sz w:val="17"/>
        </w:rPr>
      </w:pPr>
    </w:p>
    <w:p w14:paraId="038A7A1F" w14:textId="77777777" w:rsidR="00A71EEF" w:rsidRDefault="0081115D">
      <w:pPr>
        <w:pStyle w:val="a4"/>
        <w:numPr>
          <w:ilvl w:val="1"/>
          <w:numId w:val="689"/>
        </w:numPr>
        <w:tabs>
          <w:tab w:val="left" w:pos="1264"/>
        </w:tabs>
        <w:rPr>
          <w:b/>
          <w:sz w:val="21"/>
        </w:rPr>
      </w:pPr>
      <w:r>
        <w:rPr>
          <w:spacing w:val="-3"/>
          <w:sz w:val="21"/>
        </w:rPr>
        <w:t>消防电源及其配电</w:t>
      </w:r>
      <w:r>
        <w:rPr>
          <w:b/>
          <w:w w:val="99"/>
          <w:sz w:val="21"/>
        </w:rPr>
        <w:t xml:space="preserve"> </w:t>
      </w:r>
    </w:p>
    <w:p w14:paraId="727B9F1F" w14:textId="77777777" w:rsidR="00A71EEF" w:rsidRDefault="00A71EEF">
      <w:pPr>
        <w:pStyle w:val="a3"/>
        <w:spacing w:before="12"/>
        <w:rPr>
          <w:b/>
          <w:sz w:val="17"/>
        </w:rPr>
      </w:pPr>
    </w:p>
    <w:p w14:paraId="0B945A62" w14:textId="77777777" w:rsidR="00A71EEF" w:rsidRDefault="0081115D">
      <w:pPr>
        <w:pStyle w:val="a4"/>
        <w:numPr>
          <w:ilvl w:val="2"/>
          <w:numId w:val="689"/>
        </w:numPr>
        <w:tabs>
          <w:tab w:val="left" w:pos="1478"/>
        </w:tabs>
        <w:ind w:left="1477" w:hanging="638"/>
        <w:rPr>
          <w:b/>
          <w:color w:val="333333"/>
          <w:sz w:val="19"/>
        </w:rPr>
      </w:pPr>
      <w:r>
        <w:rPr>
          <w:color w:val="333333"/>
          <w:spacing w:val="-3"/>
          <w:sz w:val="21"/>
        </w:rPr>
        <w:t>下列建筑物、储罐</w:t>
      </w:r>
      <w:r>
        <w:rPr>
          <w:color w:val="333333"/>
          <w:sz w:val="21"/>
        </w:rPr>
        <w:t>（区</w:t>
      </w:r>
      <w:r>
        <w:rPr>
          <w:color w:val="333333"/>
          <w:spacing w:val="-3"/>
          <w:sz w:val="21"/>
        </w:rPr>
        <w:t>）和堆场的消防用电应按一级负荷供电：</w:t>
      </w:r>
      <w:r>
        <w:rPr>
          <w:b/>
          <w:color w:val="333333"/>
          <w:w w:val="99"/>
          <w:sz w:val="21"/>
        </w:rPr>
        <w:t xml:space="preserve"> </w:t>
      </w:r>
    </w:p>
    <w:p w14:paraId="555C074A" w14:textId="77777777" w:rsidR="00A71EEF" w:rsidRDefault="00A71EEF">
      <w:pPr>
        <w:pStyle w:val="a3"/>
        <w:spacing w:before="2"/>
        <w:rPr>
          <w:b/>
          <w:sz w:val="18"/>
        </w:rPr>
      </w:pPr>
    </w:p>
    <w:p w14:paraId="469089BC" w14:textId="77777777" w:rsidR="00A71EEF" w:rsidRDefault="0081115D">
      <w:pPr>
        <w:pStyle w:val="a3"/>
        <w:ind w:left="838"/>
        <w:rPr>
          <w:b/>
        </w:rPr>
      </w:pPr>
      <w:r>
        <w:rPr>
          <w:color w:val="333333"/>
        </w:rPr>
        <w:t>建筑高度大于</w:t>
      </w:r>
      <w:r>
        <w:rPr>
          <w:color w:val="333333"/>
        </w:rPr>
        <w:t xml:space="preserve"> 50m </w:t>
      </w:r>
      <w:r>
        <w:rPr>
          <w:color w:val="333333"/>
        </w:rPr>
        <w:t>的乙、丙类厂房和丙类仓库；</w:t>
      </w:r>
      <w:r>
        <w:rPr>
          <w:b/>
          <w:color w:val="333333"/>
          <w:w w:val="99"/>
        </w:rPr>
        <w:t xml:space="preserve"> </w:t>
      </w:r>
    </w:p>
    <w:p w14:paraId="3200C1B2" w14:textId="77777777" w:rsidR="00A71EEF" w:rsidRDefault="00A71EEF">
      <w:pPr>
        <w:pStyle w:val="a3"/>
        <w:rPr>
          <w:b/>
          <w:sz w:val="18"/>
        </w:rPr>
      </w:pPr>
    </w:p>
    <w:p w14:paraId="62139FAE" w14:textId="77777777" w:rsidR="00A71EEF" w:rsidRDefault="0081115D">
      <w:pPr>
        <w:pStyle w:val="a3"/>
        <w:ind w:left="838"/>
        <w:rPr>
          <w:b/>
        </w:rPr>
      </w:pPr>
      <w:r>
        <w:rPr>
          <w:color w:val="333333"/>
        </w:rPr>
        <w:t>一类高层民用建筑。</w:t>
      </w:r>
      <w:r>
        <w:rPr>
          <w:b/>
          <w:color w:val="333333"/>
          <w:w w:val="99"/>
        </w:rPr>
        <w:t xml:space="preserve"> </w:t>
      </w:r>
    </w:p>
    <w:p w14:paraId="25E1C422" w14:textId="77777777" w:rsidR="00A71EEF" w:rsidRDefault="00A71EEF">
      <w:pPr>
        <w:pStyle w:val="a3"/>
        <w:spacing w:before="12"/>
        <w:rPr>
          <w:b/>
          <w:sz w:val="17"/>
        </w:rPr>
      </w:pPr>
    </w:p>
    <w:p w14:paraId="612E11BC" w14:textId="77777777" w:rsidR="00A71EEF" w:rsidRDefault="0081115D">
      <w:pPr>
        <w:pStyle w:val="a4"/>
        <w:numPr>
          <w:ilvl w:val="2"/>
          <w:numId w:val="689"/>
        </w:numPr>
        <w:tabs>
          <w:tab w:val="left" w:pos="1478"/>
        </w:tabs>
        <w:ind w:left="1477" w:hanging="638"/>
        <w:rPr>
          <w:b/>
          <w:color w:val="333333"/>
          <w:sz w:val="19"/>
        </w:rPr>
      </w:pPr>
      <w:r>
        <w:rPr>
          <w:color w:val="333333"/>
          <w:spacing w:val="-3"/>
          <w:sz w:val="21"/>
        </w:rPr>
        <w:t>下列建筑物、储罐</w:t>
      </w:r>
      <w:r>
        <w:rPr>
          <w:color w:val="333333"/>
          <w:sz w:val="21"/>
        </w:rPr>
        <w:t>（区</w:t>
      </w:r>
      <w:r>
        <w:rPr>
          <w:color w:val="333333"/>
          <w:spacing w:val="-3"/>
          <w:sz w:val="21"/>
        </w:rPr>
        <w:t>）和堆场的消防用电应按二级负荷供电：</w:t>
      </w:r>
      <w:r>
        <w:rPr>
          <w:b/>
          <w:color w:val="333333"/>
          <w:w w:val="99"/>
          <w:sz w:val="21"/>
        </w:rPr>
        <w:t xml:space="preserve"> </w:t>
      </w:r>
    </w:p>
    <w:p w14:paraId="3F6B3AC7" w14:textId="77777777" w:rsidR="00A71EEF" w:rsidRDefault="00A71EEF">
      <w:pPr>
        <w:pStyle w:val="a3"/>
        <w:spacing w:before="2"/>
        <w:rPr>
          <w:b/>
          <w:sz w:val="18"/>
        </w:rPr>
      </w:pPr>
    </w:p>
    <w:p w14:paraId="0FBACA33" w14:textId="77777777" w:rsidR="00A71EEF" w:rsidRDefault="0081115D">
      <w:pPr>
        <w:pStyle w:val="a3"/>
        <w:ind w:left="838"/>
        <w:rPr>
          <w:b/>
        </w:rPr>
      </w:pPr>
      <w:r>
        <w:rPr>
          <w:color w:val="333333"/>
        </w:rPr>
        <w:t>室外消防用水量大于</w:t>
      </w:r>
      <w:r>
        <w:rPr>
          <w:color w:val="333333"/>
        </w:rPr>
        <w:t xml:space="preserve"> 30L/s </w:t>
      </w:r>
      <w:r>
        <w:rPr>
          <w:color w:val="333333"/>
        </w:rPr>
        <w:t>的厂房（仓库）；</w:t>
      </w:r>
      <w:r>
        <w:rPr>
          <w:b/>
          <w:color w:val="333333"/>
          <w:w w:val="99"/>
        </w:rPr>
        <w:t xml:space="preserve"> </w:t>
      </w:r>
    </w:p>
    <w:p w14:paraId="0BEBBB35" w14:textId="77777777" w:rsidR="00A71EEF" w:rsidRDefault="00A71EEF">
      <w:pPr>
        <w:pStyle w:val="a3"/>
        <w:spacing w:before="12"/>
        <w:rPr>
          <w:b/>
          <w:sz w:val="17"/>
        </w:rPr>
      </w:pPr>
    </w:p>
    <w:p w14:paraId="6D7987F7" w14:textId="77777777" w:rsidR="00A71EEF" w:rsidRDefault="0081115D">
      <w:pPr>
        <w:pStyle w:val="a3"/>
        <w:ind w:left="838"/>
      </w:pPr>
      <w:r>
        <w:rPr>
          <w:color w:val="333333"/>
        </w:rPr>
        <w:t>室外消防用水量大于</w:t>
      </w:r>
      <w:r>
        <w:rPr>
          <w:color w:val="333333"/>
        </w:rPr>
        <w:t xml:space="preserve"> 35L/s </w:t>
      </w:r>
      <w:r>
        <w:rPr>
          <w:color w:val="333333"/>
        </w:rPr>
        <w:t>的可燃材料堆场、可燃气体储罐（区）和甲、乙类液体储罐</w:t>
      </w:r>
    </w:p>
    <w:p w14:paraId="6A61F2E8" w14:textId="77777777" w:rsidR="00A71EEF" w:rsidRDefault="00A71EEF">
      <w:pPr>
        <w:pStyle w:val="a3"/>
        <w:rPr>
          <w:sz w:val="18"/>
        </w:rPr>
      </w:pPr>
    </w:p>
    <w:p w14:paraId="4AB0A8F0" w14:textId="77777777" w:rsidR="00A71EEF" w:rsidRDefault="0081115D">
      <w:pPr>
        <w:pStyle w:val="a3"/>
        <w:ind w:left="418"/>
        <w:rPr>
          <w:b/>
        </w:rPr>
      </w:pPr>
      <w:r>
        <w:rPr>
          <w:color w:val="333333"/>
        </w:rPr>
        <w:t>（区）；</w:t>
      </w:r>
      <w:r>
        <w:rPr>
          <w:b/>
          <w:color w:val="333333"/>
          <w:w w:val="99"/>
        </w:rPr>
        <w:t xml:space="preserve"> </w:t>
      </w:r>
    </w:p>
    <w:p w14:paraId="764DE649" w14:textId="77777777" w:rsidR="00A71EEF" w:rsidRDefault="00A71EEF">
      <w:pPr>
        <w:pStyle w:val="a3"/>
        <w:spacing w:before="2"/>
        <w:rPr>
          <w:b/>
          <w:sz w:val="18"/>
        </w:rPr>
      </w:pPr>
    </w:p>
    <w:p w14:paraId="25887C53" w14:textId="77777777" w:rsidR="00A71EEF" w:rsidRDefault="0081115D">
      <w:pPr>
        <w:pStyle w:val="a3"/>
        <w:spacing w:line="446" w:lineRule="auto"/>
        <w:ind w:left="838" w:right="7600"/>
        <w:rPr>
          <w:b/>
        </w:rPr>
      </w:pPr>
      <w:r>
        <w:rPr>
          <w:color w:val="333333"/>
        </w:rPr>
        <w:t>粮食仓库及粮食筒仓；</w:t>
      </w:r>
      <w:r>
        <w:rPr>
          <w:color w:val="333333"/>
        </w:rPr>
        <w:t xml:space="preserve"> </w:t>
      </w:r>
      <w:r>
        <w:rPr>
          <w:color w:val="333333"/>
        </w:rPr>
        <w:t>二类高层民用建筑；</w:t>
      </w:r>
      <w:r>
        <w:rPr>
          <w:b/>
          <w:color w:val="333333"/>
          <w:w w:val="99"/>
        </w:rPr>
        <w:t xml:space="preserve"> </w:t>
      </w:r>
    </w:p>
    <w:p w14:paraId="00165519" w14:textId="77777777" w:rsidR="00A71EEF" w:rsidRDefault="0081115D">
      <w:pPr>
        <w:pStyle w:val="a3"/>
        <w:spacing w:line="446" w:lineRule="auto"/>
        <w:ind w:left="418" w:right="1508" w:firstLine="419"/>
      </w:pPr>
      <w:r>
        <w:rPr>
          <w:color w:val="333333"/>
          <w:spacing w:val="-10"/>
        </w:rPr>
        <w:t>座位数超过</w:t>
      </w:r>
      <w:r>
        <w:rPr>
          <w:color w:val="333333"/>
          <w:spacing w:val="-10"/>
        </w:rPr>
        <w:t xml:space="preserve"> </w:t>
      </w:r>
      <w:r>
        <w:rPr>
          <w:color w:val="333333"/>
        </w:rPr>
        <w:t>1500</w:t>
      </w:r>
      <w:r>
        <w:rPr>
          <w:color w:val="333333"/>
          <w:spacing w:val="-6"/>
        </w:rPr>
        <w:t xml:space="preserve"> </w:t>
      </w:r>
      <w:r>
        <w:rPr>
          <w:color w:val="333333"/>
          <w:spacing w:val="-6"/>
        </w:rPr>
        <w:t>个的电影院、剧场，座位数超过</w:t>
      </w:r>
      <w:r>
        <w:rPr>
          <w:color w:val="333333"/>
          <w:spacing w:val="-6"/>
        </w:rPr>
        <w:t xml:space="preserve"> </w:t>
      </w:r>
      <w:r>
        <w:rPr>
          <w:color w:val="333333"/>
        </w:rPr>
        <w:t>3000</w:t>
      </w:r>
      <w:r>
        <w:rPr>
          <w:color w:val="333333"/>
          <w:spacing w:val="-3"/>
        </w:rPr>
        <w:t xml:space="preserve"> </w:t>
      </w:r>
      <w:r>
        <w:rPr>
          <w:color w:val="333333"/>
          <w:spacing w:val="-3"/>
        </w:rPr>
        <w:t>个的体育馆，任一层建筑面积大于</w:t>
      </w:r>
      <w:r>
        <w:rPr>
          <w:color w:val="333333"/>
          <w:spacing w:val="-3"/>
        </w:rPr>
        <w:t>3000m2</w:t>
      </w:r>
      <w:r>
        <w:rPr>
          <w:spacing w:val="13"/>
        </w:rPr>
        <w:t xml:space="preserve">  </w:t>
      </w:r>
      <w:r>
        <w:rPr>
          <w:color w:val="333333"/>
          <w:spacing w:val="-3"/>
        </w:rPr>
        <w:t>的商店和展览建筑，省</w:t>
      </w:r>
      <w:r>
        <w:rPr>
          <w:color w:val="333333"/>
        </w:rPr>
        <w:t>（</w:t>
      </w:r>
      <w:r>
        <w:rPr>
          <w:color w:val="333333"/>
          <w:spacing w:val="-3"/>
        </w:rPr>
        <w:t>市</w:t>
      </w:r>
      <w:r>
        <w:rPr>
          <w:color w:val="333333"/>
        </w:rPr>
        <w:t>）</w:t>
      </w:r>
      <w:r>
        <w:rPr>
          <w:color w:val="333333"/>
          <w:spacing w:val="-3"/>
        </w:rPr>
        <w:t>级及以上的广播电视、电信和财贸金融建筑，室外消防</w:t>
      </w:r>
      <w:r>
        <w:rPr>
          <w:color w:val="333333"/>
          <w:spacing w:val="-12"/>
        </w:rPr>
        <w:t>用水量大于</w:t>
      </w:r>
      <w:r>
        <w:rPr>
          <w:color w:val="333333"/>
          <w:spacing w:val="-12"/>
        </w:rPr>
        <w:t xml:space="preserve"> </w:t>
      </w:r>
      <w:r>
        <w:rPr>
          <w:color w:val="333333"/>
        </w:rPr>
        <w:t>25L/s</w:t>
      </w:r>
      <w:r>
        <w:rPr>
          <w:color w:val="333333"/>
          <w:spacing w:val="-3"/>
        </w:rPr>
        <w:t xml:space="preserve"> </w:t>
      </w:r>
      <w:r>
        <w:rPr>
          <w:color w:val="333333"/>
          <w:spacing w:val="-3"/>
        </w:rPr>
        <w:t>的其他公共建筑。</w:t>
      </w:r>
      <w:r>
        <w:rPr>
          <w:color w:val="333333"/>
        </w:rPr>
        <w:t xml:space="preserve"> </w:t>
      </w:r>
    </w:p>
    <w:p w14:paraId="73CB447F" w14:textId="77777777" w:rsidR="00A71EEF" w:rsidRDefault="00A71EEF">
      <w:pPr>
        <w:pStyle w:val="a3"/>
        <w:rPr>
          <w:sz w:val="20"/>
        </w:rPr>
      </w:pPr>
    </w:p>
    <w:p w14:paraId="580FA09E" w14:textId="77777777" w:rsidR="00A71EEF" w:rsidRDefault="00A71EEF">
      <w:pPr>
        <w:pStyle w:val="a3"/>
        <w:spacing w:before="11"/>
        <w:rPr>
          <w:sz w:val="18"/>
        </w:rPr>
      </w:pPr>
    </w:p>
    <w:p w14:paraId="6A91A4D6" w14:textId="77777777" w:rsidR="00A71EEF" w:rsidRDefault="0081115D">
      <w:pPr>
        <w:pStyle w:val="a4"/>
        <w:numPr>
          <w:ilvl w:val="2"/>
          <w:numId w:val="689"/>
        </w:numPr>
        <w:tabs>
          <w:tab w:val="left" w:pos="1478"/>
        </w:tabs>
        <w:spacing w:line="446" w:lineRule="auto"/>
        <w:ind w:right="1601" w:firstLine="422"/>
        <w:rPr>
          <w:sz w:val="19"/>
        </w:rPr>
      </w:pPr>
      <w:r>
        <w:rPr>
          <w:spacing w:val="-11"/>
          <w:sz w:val="21"/>
        </w:rPr>
        <w:t>除本规范第</w:t>
      </w:r>
      <w:r>
        <w:rPr>
          <w:spacing w:val="-11"/>
          <w:sz w:val="21"/>
        </w:rPr>
        <w:t xml:space="preserve"> </w:t>
      </w:r>
      <w:r>
        <w:rPr>
          <w:sz w:val="21"/>
        </w:rPr>
        <w:t>10.1.1</w:t>
      </w:r>
      <w:r>
        <w:rPr>
          <w:spacing w:val="-15"/>
          <w:sz w:val="21"/>
        </w:rPr>
        <w:t xml:space="preserve"> </w:t>
      </w:r>
      <w:r>
        <w:rPr>
          <w:spacing w:val="-15"/>
          <w:sz w:val="21"/>
        </w:rPr>
        <w:t>和</w:t>
      </w:r>
      <w:r>
        <w:rPr>
          <w:spacing w:val="-15"/>
          <w:sz w:val="21"/>
        </w:rPr>
        <w:t xml:space="preserve"> </w:t>
      </w:r>
      <w:r>
        <w:rPr>
          <w:sz w:val="21"/>
        </w:rPr>
        <w:t>10.1.2</w:t>
      </w:r>
      <w:r>
        <w:rPr>
          <w:spacing w:val="-3"/>
          <w:sz w:val="21"/>
        </w:rPr>
        <w:t xml:space="preserve"> </w:t>
      </w:r>
      <w:r>
        <w:rPr>
          <w:spacing w:val="-3"/>
          <w:sz w:val="21"/>
        </w:rPr>
        <w:t>条外的建筑物、储罐（</w:t>
      </w:r>
      <w:r>
        <w:rPr>
          <w:sz w:val="21"/>
        </w:rPr>
        <w:t>区</w:t>
      </w:r>
      <w:r>
        <w:rPr>
          <w:spacing w:val="-3"/>
          <w:sz w:val="21"/>
        </w:rPr>
        <w:t>）和堆场等的消防用电，</w:t>
      </w:r>
      <w:r>
        <w:rPr>
          <w:spacing w:val="-3"/>
          <w:sz w:val="21"/>
        </w:rPr>
        <w:t xml:space="preserve"> </w:t>
      </w:r>
      <w:r>
        <w:rPr>
          <w:spacing w:val="-3"/>
          <w:sz w:val="21"/>
        </w:rPr>
        <w:t>可按三级负荷供电。</w:t>
      </w:r>
      <w:r>
        <w:rPr>
          <w:sz w:val="21"/>
        </w:rPr>
        <w:t xml:space="preserve"> </w:t>
      </w:r>
    </w:p>
    <w:p w14:paraId="706DA4F8" w14:textId="77777777" w:rsidR="00A71EEF" w:rsidRDefault="0081115D">
      <w:pPr>
        <w:pStyle w:val="a4"/>
        <w:numPr>
          <w:ilvl w:val="2"/>
          <w:numId w:val="689"/>
        </w:numPr>
        <w:tabs>
          <w:tab w:val="left" w:pos="1478"/>
        </w:tabs>
        <w:spacing w:line="446" w:lineRule="auto"/>
        <w:ind w:right="1496" w:firstLine="422"/>
        <w:rPr>
          <w:sz w:val="19"/>
        </w:rPr>
      </w:pPr>
      <w:r>
        <w:rPr>
          <w:spacing w:val="-3"/>
          <w:sz w:val="21"/>
        </w:rPr>
        <w:t>消防用电按一、二级负荷供电的建筑，当采用自备发电设备作备用电源时，自备发</w:t>
      </w:r>
      <w:r>
        <w:rPr>
          <w:spacing w:val="-5"/>
          <w:sz w:val="21"/>
        </w:rPr>
        <w:t>电设备应设置自动和手动启动装置。当采用自动启动方式时，应能保证在</w:t>
      </w:r>
      <w:r>
        <w:rPr>
          <w:spacing w:val="-5"/>
          <w:sz w:val="21"/>
        </w:rPr>
        <w:t xml:space="preserve"> </w:t>
      </w:r>
      <w:r>
        <w:rPr>
          <w:sz w:val="21"/>
        </w:rPr>
        <w:t>30s</w:t>
      </w:r>
      <w:r>
        <w:rPr>
          <w:spacing w:val="-12"/>
          <w:sz w:val="21"/>
        </w:rPr>
        <w:t xml:space="preserve"> </w:t>
      </w:r>
      <w:r>
        <w:rPr>
          <w:spacing w:val="-12"/>
          <w:sz w:val="21"/>
        </w:rPr>
        <w:t>内供电。</w:t>
      </w:r>
      <w:r>
        <w:rPr>
          <w:spacing w:val="-12"/>
          <w:sz w:val="21"/>
        </w:rPr>
        <w:t xml:space="preserve"> </w:t>
      </w:r>
    </w:p>
    <w:p w14:paraId="395EA845" w14:textId="77777777" w:rsidR="00A71EEF" w:rsidRDefault="00A71EEF">
      <w:pPr>
        <w:spacing w:line="446" w:lineRule="auto"/>
        <w:rPr>
          <w:sz w:val="19"/>
        </w:rPr>
        <w:sectPr w:rsidR="00A71EEF">
          <w:pgSz w:w="11910" w:h="16850"/>
          <w:pgMar w:top="1220" w:right="0" w:bottom="1420" w:left="1260" w:header="0" w:footer="1239" w:gutter="0"/>
          <w:cols w:space="720"/>
        </w:sectPr>
      </w:pPr>
    </w:p>
    <w:p w14:paraId="7F6A2160" w14:textId="77777777" w:rsidR="00A71EEF" w:rsidRDefault="0081115D">
      <w:pPr>
        <w:pStyle w:val="a3"/>
        <w:spacing w:before="47" w:line="446" w:lineRule="auto"/>
        <w:ind w:left="840" w:right="1455" w:hanging="3"/>
      </w:pPr>
      <w:r>
        <w:lastRenderedPageBreak/>
        <w:t>不同级别负荷的供电电源应符合现行国家标准《供配电系统设计规范》</w:t>
      </w:r>
      <w:r>
        <w:t xml:space="preserve">GB 50052 </w:t>
      </w:r>
      <w:r>
        <w:t>的规定。</w:t>
      </w:r>
      <w:r>
        <w:rPr>
          <w:b/>
          <w:color w:val="333333"/>
        </w:rPr>
        <w:t xml:space="preserve">10.1.5 </w:t>
      </w:r>
      <w:r>
        <w:rPr>
          <w:color w:val="333333"/>
        </w:rPr>
        <w:t>建筑内消防应急照明和灯光疏散指示标志的备用电源的连续供电时间应符合下列规</w:t>
      </w:r>
    </w:p>
    <w:p w14:paraId="258F5690" w14:textId="77777777" w:rsidR="00A71EEF" w:rsidRDefault="0081115D">
      <w:pPr>
        <w:pStyle w:val="a3"/>
        <w:spacing w:line="267" w:lineRule="exact"/>
        <w:ind w:left="418"/>
      </w:pPr>
      <w:r>
        <w:rPr>
          <w:color w:val="333333"/>
        </w:rPr>
        <w:t>定：</w:t>
      </w:r>
      <w:r>
        <w:t xml:space="preserve"> </w:t>
      </w:r>
    </w:p>
    <w:p w14:paraId="06F8A15E" w14:textId="77777777" w:rsidR="00A71EEF" w:rsidRDefault="00A71EEF">
      <w:pPr>
        <w:pStyle w:val="a3"/>
        <w:spacing w:before="2"/>
        <w:rPr>
          <w:sz w:val="18"/>
        </w:rPr>
      </w:pPr>
    </w:p>
    <w:p w14:paraId="0B533877" w14:textId="77777777" w:rsidR="00A71EEF" w:rsidRDefault="0081115D">
      <w:pPr>
        <w:pStyle w:val="a3"/>
        <w:ind w:left="838"/>
      </w:pPr>
      <w:r>
        <w:rPr>
          <w:color w:val="333333"/>
        </w:rPr>
        <w:t>建筑高度大于</w:t>
      </w:r>
      <w:r>
        <w:rPr>
          <w:color w:val="333333"/>
        </w:rPr>
        <w:t xml:space="preserve"> 100m </w:t>
      </w:r>
      <w:r>
        <w:rPr>
          <w:color w:val="333333"/>
        </w:rPr>
        <w:t>的民用建筑，不应小于</w:t>
      </w:r>
      <w:r>
        <w:rPr>
          <w:color w:val="333333"/>
        </w:rPr>
        <w:t xml:space="preserve"> 1.5h</w:t>
      </w:r>
      <w:r>
        <w:rPr>
          <w:color w:val="333333"/>
        </w:rPr>
        <w:t>；</w:t>
      </w:r>
      <w:r>
        <w:t xml:space="preserve"> </w:t>
      </w:r>
    </w:p>
    <w:p w14:paraId="12A9F23E" w14:textId="77777777" w:rsidR="00A71EEF" w:rsidRDefault="00A71EEF">
      <w:pPr>
        <w:pStyle w:val="a3"/>
        <w:rPr>
          <w:sz w:val="18"/>
        </w:rPr>
      </w:pPr>
    </w:p>
    <w:p w14:paraId="1CBEF32A" w14:textId="77777777" w:rsidR="00A71EEF" w:rsidRDefault="0081115D">
      <w:pPr>
        <w:pStyle w:val="a3"/>
        <w:ind w:left="838"/>
      </w:pPr>
      <w:r>
        <w:rPr>
          <w:color w:val="333333"/>
        </w:rPr>
        <w:t>医疗建筑、老年人照料设施、总建筑面积大于</w:t>
      </w:r>
      <w:r>
        <w:rPr>
          <w:color w:val="333333"/>
        </w:rPr>
        <w:t xml:space="preserve"> 100000m2</w:t>
      </w:r>
      <w:r>
        <w:t xml:space="preserve"> </w:t>
      </w:r>
      <w:r>
        <w:rPr>
          <w:color w:val="333333"/>
        </w:rPr>
        <w:t>的公共建筑和总建筑面积大于</w:t>
      </w:r>
    </w:p>
    <w:p w14:paraId="64836666" w14:textId="77777777" w:rsidR="00A71EEF" w:rsidRDefault="00A71EEF">
      <w:pPr>
        <w:pStyle w:val="a3"/>
        <w:spacing w:before="12"/>
        <w:rPr>
          <w:sz w:val="17"/>
        </w:rPr>
      </w:pPr>
    </w:p>
    <w:p w14:paraId="1FFC5696" w14:textId="77777777" w:rsidR="00A71EEF" w:rsidRDefault="0081115D">
      <w:pPr>
        <w:pStyle w:val="a3"/>
        <w:ind w:left="418"/>
      </w:pPr>
      <w:r>
        <w:rPr>
          <w:color w:val="333333"/>
        </w:rPr>
        <w:t>20000m2</w:t>
      </w:r>
      <w:r>
        <w:rPr>
          <w:spacing w:val="104"/>
        </w:rPr>
        <w:t xml:space="preserve"> </w:t>
      </w:r>
      <w:r>
        <w:rPr>
          <w:color w:val="333333"/>
          <w:spacing w:val="-7"/>
        </w:rPr>
        <w:t>的地下、半地下建筑，不应少于</w:t>
      </w:r>
      <w:r>
        <w:rPr>
          <w:color w:val="333333"/>
          <w:spacing w:val="-7"/>
        </w:rPr>
        <w:t xml:space="preserve"> </w:t>
      </w:r>
      <w:r>
        <w:rPr>
          <w:color w:val="333333"/>
        </w:rPr>
        <w:t>1.0h</w:t>
      </w:r>
      <w:r>
        <w:rPr>
          <w:color w:val="333333"/>
        </w:rPr>
        <w:t>；</w:t>
      </w:r>
      <w:r>
        <w:t xml:space="preserve"> </w:t>
      </w:r>
    </w:p>
    <w:p w14:paraId="2E9271D0" w14:textId="77777777" w:rsidR="00A71EEF" w:rsidRDefault="00A71EEF">
      <w:pPr>
        <w:pStyle w:val="a3"/>
        <w:spacing w:before="2"/>
        <w:rPr>
          <w:sz w:val="18"/>
        </w:rPr>
      </w:pPr>
    </w:p>
    <w:p w14:paraId="432510AE" w14:textId="77777777" w:rsidR="00A71EEF" w:rsidRDefault="0081115D">
      <w:pPr>
        <w:pStyle w:val="a3"/>
        <w:ind w:left="838"/>
      </w:pPr>
      <w:r>
        <w:rPr>
          <w:color w:val="333333"/>
        </w:rPr>
        <w:t>其他建筑，不应少于</w:t>
      </w:r>
      <w:r>
        <w:rPr>
          <w:color w:val="333333"/>
        </w:rPr>
        <w:t xml:space="preserve"> 0.5h</w:t>
      </w:r>
      <w:r>
        <w:rPr>
          <w:color w:val="333333"/>
        </w:rPr>
        <w:t>。</w:t>
      </w:r>
      <w:r>
        <w:t xml:space="preserve"> </w:t>
      </w:r>
    </w:p>
    <w:p w14:paraId="7FFDAE10" w14:textId="77777777" w:rsidR="00A71EEF" w:rsidRDefault="00A71EEF">
      <w:pPr>
        <w:pStyle w:val="a3"/>
        <w:rPr>
          <w:sz w:val="18"/>
        </w:rPr>
      </w:pPr>
    </w:p>
    <w:p w14:paraId="420B8743" w14:textId="77777777" w:rsidR="00A71EEF" w:rsidRDefault="0081115D">
      <w:pPr>
        <w:pStyle w:val="a3"/>
        <w:spacing w:line="446" w:lineRule="auto"/>
        <w:ind w:left="418" w:right="1498" w:firstLine="422"/>
      </w:pPr>
      <w:r>
        <w:rPr>
          <w:b/>
          <w:color w:val="333333"/>
        </w:rPr>
        <w:t xml:space="preserve">10.1.6 </w:t>
      </w:r>
      <w:r>
        <w:rPr>
          <w:color w:val="333333"/>
        </w:rPr>
        <w:t>消防用电设备应采用专用的供电回路，当建筑内的生产、生活用电被切</w:t>
      </w:r>
      <w:r>
        <w:rPr>
          <w:color w:val="333333"/>
        </w:rPr>
        <w:t>断时，应仍能保证消防用电。</w:t>
      </w:r>
      <w:r>
        <w:t xml:space="preserve"> </w:t>
      </w:r>
    </w:p>
    <w:p w14:paraId="4F50DB19" w14:textId="77777777" w:rsidR="00A71EEF" w:rsidRDefault="0081115D">
      <w:pPr>
        <w:pStyle w:val="a3"/>
        <w:spacing w:line="446" w:lineRule="auto"/>
        <w:ind w:left="840" w:right="1505" w:hanging="3"/>
      </w:pPr>
      <w:r>
        <w:rPr>
          <w:color w:val="333333"/>
        </w:rPr>
        <w:t>备用消防电源的供电时间和容量，应满足该建筑火灾延续时间内各消防用电设备的要求。</w:t>
      </w:r>
      <w:r>
        <w:rPr>
          <w:b/>
        </w:rPr>
        <w:t xml:space="preserve">10.1.7 </w:t>
      </w:r>
      <w:r>
        <w:t>消防配电干线宜按防火分区划分，消防配电支线不宜穿越防火分区。</w:t>
      </w:r>
      <w:r>
        <w:t xml:space="preserve"> </w:t>
      </w:r>
    </w:p>
    <w:p w14:paraId="6BF22C0A" w14:textId="77777777" w:rsidR="00A71EEF" w:rsidRDefault="0081115D">
      <w:pPr>
        <w:pStyle w:val="a4"/>
        <w:numPr>
          <w:ilvl w:val="2"/>
          <w:numId w:val="688"/>
        </w:numPr>
        <w:tabs>
          <w:tab w:val="left" w:pos="1478"/>
        </w:tabs>
        <w:spacing w:line="446" w:lineRule="auto"/>
        <w:ind w:right="1705" w:firstLine="422"/>
        <w:rPr>
          <w:color w:val="333333"/>
          <w:sz w:val="19"/>
        </w:rPr>
      </w:pPr>
      <w:r>
        <w:rPr>
          <w:color w:val="333333"/>
          <w:spacing w:val="-3"/>
          <w:sz w:val="21"/>
        </w:rPr>
        <w:t>消防控制室、消防水泵房、防烟和排烟风机房的消防用电设备及消防电梯等的供电，应在其配电线路的最末一级配电箱处设置自动切换装置。</w:t>
      </w:r>
      <w:r>
        <w:rPr>
          <w:sz w:val="21"/>
        </w:rPr>
        <w:t xml:space="preserve"> </w:t>
      </w:r>
    </w:p>
    <w:p w14:paraId="4490734B" w14:textId="77777777" w:rsidR="00A71EEF" w:rsidRDefault="0081115D">
      <w:pPr>
        <w:pStyle w:val="a4"/>
        <w:numPr>
          <w:ilvl w:val="2"/>
          <w:numId w:val="688"/>
        </w:numPr>
        <w:tabs>
          <w:tab w:val="left" w:pos="1478"/>
        </w:tabs>
        <w:spacing w:line="446" w:lineRule="auto"/>
        <w:ind w:right="1496" w:firstLine="422"/>
        <w:rPr>
          <w:sz w:val="19"/>
        </w:rPr>
      </w:pPr>
      <w:r>
        <w:rPr>
          <w:spacing w:val="-3"/>
          <w:sz w:val="21"/>
        </w:rPr>
        <w:t>按一、二级负荷供电的消防设备，其配电箱应独立设置；按三级负荷供电的消防设备，其配电箱宜独立设置。消防配电设备应设置明显标志。</w:t>
      </w:r>
      <w:r>
        <w:rPr>
          <w:sz w:val="21"/>
        </w:rPr>
        <w:t xml:space="preserve"> </w:t>
      </w:r>
    </w:p>
    <w:p w14:paraId="74A3E13B" w14:textId="77777777" w:rsidR="00A71EEF" w:rsidRDefault="0081115D">
      <w:pPr>
        <w:pStyle w:val="a4"/>
        <w:numPr>
          <w:ilvl w:val="2"/>
          <w:numId w:val="688"/>
        </w:numPr>
        <w:tabs>
          <w:tab w:val="left" w:pos="1583"/>
        </w:tabs>
        <w:ind w:left="1582" w:hanging="743"/>
        <w:rPr>
          <w:color w:val="333333"/>
          <w:sz w:val="19"/>
        </w:rPr>
      </w:pPr>
      <w:r>
        <w:rPr>
          <w:color w:val="333333"/>
          <w:spacing w:val="-3"/>
          <w:sz w:val="21"/>
        </w:rPr>
        <w:t>消防配电线路应满足火灾时连续供电的需要，其敷设应符合下列规定：</w:t>
      </w:r>
      <w:r>
        <w:rPr>
          <w:spacing w:val="-3"/>
          <w:sz w:val="21"/>
        </w:rPr>
        <w:t xml:space="preserve"> </w:t>
      </w:r>
    </w:p>
    <w:p w14:paraId="4E047E3B" w14:textId="77777777" w:rsidR="00A71EEF" w:rsidRDefault="00A71EEF">
      <w:pPr>
        <w:pStyle w:val="a3"/>
        <w:spacing w:before="10"/>
        <w:rPr>
          <w:sz w:val="17"/>
        </w:rPr>
      </w:pPr>
    </w:p>
    <w:p w14:paraId="1D6B898F" w14:textId="77777777" w:rsidR="00A71EEF" w:rsidRDefault="0081115D">
      <w:pPr>
        <w:pStyle w:val="a3"/>
        <w:spacing w:line="446" w:lineRule="auto"/>
        <w:ind w:left="418" w:right="1505" w:firstLine="419"/>
      </w:pPr>
      <w:r>
        <w:rPr>
          <w:color w:val="333333"/>
        </w:rPr>
        <w:t xml:space="preserve"> </w:t>
      </w:r>
      <w:r>
        <w:rPr>
          <w:color w:val="333333"/>
          <w:spacing w:val="-2"/>
        </w:rPr>
        <w:t>明敷时</w:t>
      </w:r>
      <w:r>
        <w:rPr>
          <w:color w:val="333333"/>
          <w:spacing w:val="-3"/>
        </w:rPr>
        <w:t>（包括敷设在吊顶内</w:t>
      </w:r>
      <w:r>
        <w:rPr>
          <w:color w:val="333333"/>
        </w:rPr>
        <w:t>）</w:t>
      </w:r>
      <w:r>
        <w:rPr>
          <w:color w:val="333333"/>
          <w:spacing w:val="-3"/>
        </w:rPr>
        <w:t>，应穿金属导管或采用封闭式金属槽盒保护，金属导管或封闭式金属槽盒应采取防火保护措施；当采用阻燃或耐火电缆并敷设在电缆井、沟内时，可不穿金属导管或采用封闭式金属槽盒保护；当采用矿物绝缘类不燃性电缆时，可直接明敷；</w:t>
      </w:r>
      <w:r>
        <w:t xml:space="preserve"> </w:t>
      </w:r>
    </w:p>
    <w:p w14:paraId="4188EA8C" w14:textId="77777777" w:rsidR="00A71EEF" w:rsidRDefault="0081115D">
      <w:pPr>
        <w:pStyle w:val="a3"/>
        <w:spacing w:line="268" w:lineRule="exact"/>
        <w:ind w:left="838"/>
      </w:pPr>
      <w:r>
        <w:rPr>
          <w:color w:val="333333"/>
        </w:rPr>
        <w:t>暗敷时，应穿管并应敷设在不燃性结构内且保护层厚度不应小于</w:t>
      </w:r>
      <w:r>
        <w:rPr>
          <w:color w:val="333333"/>
        </w:rPr>
        <w:t xml:space="preserve"> 30mm</w:t>
      </w:r>
      <w:r>
        <w:rPr>
          <w:color w:val="333333"/>
        </w:rPr>
        <w:t>；</w:t>
      </w:r>
      <w:r>
        <w:t xml:space="preserve"> </w:t>
      </w:r>
    </w:p>
    <w:p w14:paraId="3C9ACE28" w14:textId="77777777" w:rsidR="00A71EEF" w:rsidRDefault="00A71EEF">
      <w:pPr>
        <w:pStyle w:val="a3"/>
        <w:spacing w:before="12"/>
        <w:rPr>
          <w:sz w:val="17"/>
        </w:rPr>
      </w:pPr>
    </w:p>
    <w:p w14:paraId="19E3B172" w14:textId="77777777" w:rsidR="00A71EEF" w:rsidRDefault="0081115D">
      <w:pPr>
        <w:pStyle w:val="a3"/>
        <w:spacing w:line="446" w:lineRule="auto"/>
        <w:ind w:left="418" w:right="1608" w:firstLine="419"/>
        <w:jc w:val="both"/>
      </w:pPr>
      <w:r>
        <w:t>消防配电线路宜与其他配电线路分开敷设在不同的电缆井、沟内；确有困难需敷设在同一电缆井、沟内时，应分别布置在电缆井、沟的两侧，且消防配电线路应采用矿物绝缘类不燃性电缆。</w:t>
      </w:r>
      <w:r>
        <w:t xml:space="preserve"> </w:t>
      </w:r>
    </w:p>
    <w:p w14:paraId="4F1B1EE1" w14:textId="77777777" w:rsidR="00A71EEF" w:rsidRDefault="0081115D">
      <w:pPr>
        <w:pStyle w:val="a4"/>
        <w:numPr>
          <w:ilvl w:val="1"/>
          <w:numId w:val="689"/>
        </w:numPr>
        <w:tabs>
          <w:tab w:val="left" w:pos="1266"/>
        </w:tabs>
        <w:spacing w:line="268" w:lineRule="exact"/>
        <w:ind w:left="1265" w:hanging="426"/>
        <w:rPr>
          <w:b/>
          <w:sz w:val="21"/>
        </w:rPr>
      </w:pPr>
      <w:r>
        <w:rPr>
          <w:spacing w:val="-3"/>
          <w:sz w:val="21"/>
        </w:rPr>
        <w:t>电力线路及电器装置</w:t>
      </w:r>
      <w:r>
        <w:rPr>
          <w:b/>
          <w:w w:val="99"/>
          <w:sz w:val="21"/>
        </w:rPr>
        <w:t xml:space="preserve"> </w:t>
      </w:r>
    </w:p>
    <w:p w14:paraId="5E7C8DFB" w14:textId="77777777" w:rsidR="00A71EEF" w:rsidRDefault="00A71EEF">
      <w:pPr>
        <w:pStyle w:val="a3"/>
        <w:spacing w:before="2"/>
        <w:rPr>
          <w:b/>
          <w:sz w:val="18"/>
        </w:rPr>
      </w:pPr>
    </w:p>
    <w:p w14:paraId="6B5FB3C4" w14:textId="77777777" w:rsidR="00A71EEF" w:rsidRDefault="0081115D">
      <w:pPr>
        <w:pStyle w:val="a4"/>
        <w:numPr>
          <w:ilvl w:val="2"/>
          <w:numId w:val="689"/>
        </w:numPr>
        <w:tabs>
          <w:tab w:val="left" w:pos="1478"/>
        </w:tabs>
        <w:spacing w:line="446" w:lineRule="auto"/>
        <w:ind w:right="1496" w:firstLine="422"/>
        <w:rPr>
          <w:color w:val="333333"/>
          <w:sz w:val="19"/>
        </w:rPr>
      </w:pPr>
      <w:r>
        <w:rPr>
          <w:color w:val="333333"/>
          <w:spacing w:val="-3"/>
          <w:sz w:val="21"/>
        </w:rPr>
        <w:t>架空电力线与甲、乙类厂房（</w:t>
      </w:r>
      <w:r>
        <w:rPr>
          <w:color w:val="333333"/>
          <w:spacing w:val="-2"/>
          <w:sz w:val="21"/>
        </w:rPr>
        <w:t>仓库</w:t>
      </w:r>
      <w:r>
        <w:rPr>
          <w:color w:val="333333"/>
          <w:sz w:val="21"/>
        </w:rPr>
        <w:t>）</w:t>
      </w:r>
      <w:r>
        <w:rPr>
          <w:color w:val="333333"/>
          <w:spacing w:val="-3"/>
          <w:sz w:val="21"/>
        </w:rPr>
        <w:t>，可燃材料堆垛，甲、乙、丙类液体储罐，液</w:t>
      </w:r>
      <w:r>
        <w:rPr>
          <w:color w:val="333333"/>
          <w:spacing w:val="-5"/>
          <w:sz w:val="21"/>
        </w:rPr>
        <w:t>化石油气储罐，可燃、助燃气体储罐的最近水平距离应符合表</w:t>
      </w:r>
      <w:r>
        <w:rPr>
          <w:color w:val="333333"/>
          <w:spacing w:val="-5"/>
          <w:sz w:val="21"/>
        </w:rPr>
        <w:t xml:space="preserve"> </w:t>
      </w:r>
      <w:r>
        <w:rPr>
          <w:color w:val="333333"/>
          <w:sz w:val="21"/>
        </w:rPr>
        <w:t>10.2.1</w:t>
      </w:r>
      <w:r>
        <w:rPr>
          <w:color w:val="333333"/>
          <w:spacing w:val="-1"/>
          <w:sz w:val="21"/>
        </w:rPr>
        <w:t xml:space="preserve"> </w:t>
      </w:r>
      <w:r>
        <w:rPr>
          <w:color w:val="333333"/>
          <w:spacing w:val="-1"/>
          <w:sz w:val="21"/>
        </w:rPr>
        <w:t>的规定。</w:t>
      </w:r>
      <w:r>
        <w:rPr>
          <w:spacing w:val="-1"/>
          <w:sz w:val="21"/>
        </w:rPr>
        <w:t xml:space="preserve"> </w:t>
      </w:r>
    </w:p>
    <w:p w14:paraId="51806162" w14:textId="77777777" w:rsidR="00A71EEF" w:rsidRDefault="0081115D">
      <w:pPr>
        <w:pStyle w:val="a3"/>
        <w:spacing w:line="267" w:lineRule="exact"/>
        <w:ind w:left="838"/>
      </w:pPr>
      <w:r>
        <w:rPr>
          <w:color w:val="333333"/>
        </w:rPr>
        <w:t xml:space="preserve">35kV </w:t>
      </w:r>
      <w:r>
        <w:rPr>
          <w:color w:val="333333"/>
        </w:rPr>
        <w:t>及以上架空电力线与单罐容积大于</w:t>
      </w:r>
      <w:r>
        <w:rPr>
          <w:color w:val="333333"/>
        </w:rPr>
        <w:t xml:space="preserve"> 200m3</w:t>
      </w:r>
      <w:r>
        <w:t xml:space="preserve"> </w:t>
      </w:r>
      <w:r>
        <w:rPr>
          <w:color w:val="333333"/>
        </w:rPr>
        <w:t>或总容积大于</w:t>
      </w:r>
      <w:r>
        <w:rPr>
          <w:color w:val="333333"/>
        </w:rPr>
        <w:t xml:space="preserve"> 1000m3 </w:t>
      </w:r>
      <w:r>
        <w:rPr>
          <w:color w:val="333333"/>
        </w:rPr>
        <w:t>液化石油气储罐</w:t>
      </w:r>
    </w:p>
    <w:p w14:paraId="4524DE1E" w14:textId="77777777" w:rsidR="00A71EEF" w:rsidRDefault="00A71EEF">
      <w:pPr>
        <w:pStyle w:val="a3"/>
        <w:spacing w:before="2"/>
        <w:rPr>
          <w:sz w:val="18"/>
        </w:rPr>
      </w:pPr>
    </w:p>
    <w:p w14:paraId="326A05DB" w14:textId="77777777" w:rsidR="00A71EEF" w:rsidRDefault="0081115D">
      <w:pPr>
        <w:pStyle w:val="a3"/>
        <w:ind w:left="418"/>
      </w:pPr>
      <w:r>
        <w:rPr>
          <w:color w:val="333333"/>
        </w:rPr>
        <w:t>（区）的最近水平距离不应小于</w:t>
      </w:r>
      <w:r>
        <w:rPr>
          <w:color w:val="333333"/>
        </w:rPr>
        <w:t xml:space="preserve"> 40m</w:t>
      </w:r>
      <w:r>
        <w:rPr>
          <w:color w:val="333333"/>
        </w:rPr>
        <w:t>。</w:t>
      </w:r>
      <w:r>
        <w:t xml:space="preserve"> </w:t>
      </w:r>
    </w:p>
    <w:p w14:paraId="286F7E0C" w14:textId="77777777" w:rsidR="00A71EEF" w:rsidRDefault="00A71EEF">
      <w:pPr>
        <w:sectPr w:rsidR="00A71EEF">
          <w:footerReference w:type="default" r:id="rId147"/>
          <w:pgSz w:w="11910" w:h="16850"/>
          <w:pgMar w:top="1220" w:right="0" w:bottom="1420" w:left="1260" w:header="0" w:footer="1239" w:gutter="0"/>
          <w:pgNumType w:start="1050"/>
          <w:cols w:space="720"/>
        </w:sectPr>
      </w:pPr>
    </w:p>
    <w:p w14:paraId="584363E1" w14:textId="77777777" w:rsidR="00A71EEF" w:rsidRDefault="0081115D">
      <w:pPr>
        <w:spacing w:before="47"/>
        <w:ind w:left="840"/>
        <w:rPr>
          <w:b/>
          <w:sz w:val="21"/>
        </w:rPr>
      </w:pPr>
      <w:r>
        <w:rPr>
          <w:b/>
          <w:color w:val="333333"/>
          <w:sz w:val="21"/>
        </w:rPr>
        <w:lastRenderedPageBreak/>
        <w:t>表</w:t>
      </w:r>
      <w:r>
        <w:rPr>
          <w:b/>
          <w:color w:val="333333"/>
          <w:sz w:val="21"/>
        </w:rPr>
        <w:t xml:space="preserve"> 10.2.1 </w:t>
      </w:r>
      <w:r>
        <w:rPr>
          <w:b/>
          <w:color w:val="333333"/>
          <w:sz w:val="21"/>
        </w:rPr>
        <w:t>架空电力线与甲、乙类厂房（仓库）、可燃材料堆垛等的最近水平距离（</w:t>
      </w:r>
      <w:r>
        <w:rPr>
          <w:b/>
          <w:color w:val="333333"/>
          <w:sz w:val="21"/>
        </w:rPr>
        <w:t>m</w:t>
      </w:r>
      <w:r>
        <w:rPr>
          <w:b/>
          <w:color w:val="333333"/>
          <w:sz w:val="21"/>
        </w:rPr>
        <w:t>）</w:t>
      </w:r>
      <w:r>
        <w:rPr>
          <w:b/>
          <w:w w:val="99"/>
          <w:sz w:val="21"/>
        </w:rPr>
        <w:t xml:space="preserve"> </w:t>
      </w:r>
    </w:p>
    <w:p w14:paraId="2C5BA08E" w14:textId="77777777" w:rsidR="00A71EEF" w:rsidRDefault="0081115D">
      <w:pPr>
        <w:pStyle w:val="a3"/>
        <w:spacing w:before="4"/>
        <w:rPr>
          <w:b/>
          <w:sz w:val="26"/>
        </w:rPr>
      </w:pPr>
      <w:r>
        <w:rPr>
          <w:noProof/>
        </w:rPr>
        <w:drawing>
          <wp:anchor distT="0" distB="0" distL="0" distR="0" simplePos="0" relativeHeight="251547136" behindDoc="0" locked="0" layoutInCell="1" allowOverlap="1" wp14:anchorId="11888392" wp14:editId="3D2C242C">
            <wp:simplePos x="0" y="0"/>
            <wp:positionH relativeFrom="page">
              <wp:posOffset>1157605</wp:posOffset>
            </wp:positionH>
            <wp:positionV relativeFrom="paragraph">
              <wp:posOffset>238847</wp:posOffset>
            </wp:positionV>
            <wp:extent cx="5509162" cy="1790700"/>
            <wp:effectExtent l="0" t="0" r="0" b="0"/>
            <wp:wrapTopAndBottom/>
            <wp:docPr id="231" name="image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144.jpeg"/>
                    <pic:cNvPicPr/>
                  </pic:nvPicPr>
                  <pic:blipFill>
                    <a:blip r:embed="rId148" cstate="print"/>
                    <a:stretch>
                      <a:fillRect/>
                    </a:stretch>
                  </pic:blipFill>
                  <pic:spPr>
                    <a:xfrm>
                      <a:off x="0" y="0"/>
                      <a:ext cx="5509162" cy="1790700"/>
                    </a:xfrm>
                    <a:prstGeom prst="rect">
                      <a:avLst/>
                    </a:prstGeom>
                  </pic:spPr>
                </pic:pic>
              </a:graphicData>
            </a:graphic>
          </wp:anchor>
        </w:drawing>
      </w:r>
    </w:p>
    <w:p w14:paraId="522B3E0D" w14:textId="77777777" w:rsidR="00A71EEF" w:rsidRDefault="00A71EEF">
      <w:pPr>
        <w:pStyle w:val="a3"/>
        <w:rPr>
          <w:b/>
          <w:sz w:val="20"/>
        </w:rPr>
      </w:pPr>
    </w:p>
    <w:p w14:paraId="5FF86A16" w14:textId="77777777" w:rsidR="00A71EEF" w:rsidRDefault="00A71EEF">
      <w:pPr>
        <w:pStyle w:val="a3"/>
        <w:spacing w:before="5"/>
        <w:rPr>
          <w:b/>
          <w:sz w:val="15"/>
        </w:rPr>
      </w:pPr>
    </w:p>
    <w:p w14:paraId="580AC760" w14:textId="77777777" w:rsidR="00A71EEF" w:rsidRDefault="0081115D">
      <w:pPr>
        <w:pStyle w:val="a4"/>
        <w:numPr>
          <w:ilvl w:val="2"/>
          <w:numId w:val="689"/>
        </w:numPr>
        <w:tabs>
          <w:tab w:val="left" w:pos="1478"/>
        </w:tabs>
        <w:spacing w:before="71" w:line="446" w:lineRule="auto"/>
        <w:ind w:right="1496" w:firstLine="422"/>
        <w:rPr>
          <w:sz w:val="19"/>
        </w:rPr>
      </w:pPr>
      <w:r>
        <w:rPr>
          <w:spacing w:val="-3"/>
          <w:sz w:val="21"/>
        </w:rPr>
        <w:t>电力电缆不应和输送甲、乙、丙类液体管道、可燃气体管道、热力管道敷设在同一管沟内。</w:t>
      </w:r>
      <w:r>
        <w:rPr>
          <w:sz w:val="21"/>
        </w:rPr>
        <w:t xml:space="preserve"> </w:t>
      </w:r>
    </w:p>
    <w:p w14:paraId="308F919B" w14:textId="77777777" w:rsidR="00A71EEF" w:rsidRDefault="0081115D">
      <w:pPr>
        <w:pStyle w:val="a4"/>
        <w:numPr>
          <w:ilvl w:val="2"/>
          <w:numId w:val="689"/>
        </w:numPr>
        <w:tabs>
          <w:tab w:val="left" w:pos="1478"/>
        </w:tabs>
        <w:spacing w:line="446" w:lineRule="auto"/>
        <w:ind w:right="1496" w:firstLine="422"/>
        <w:rPr>
          <w:sz w:val="19"/>
        </w:rPr>
      </w:pPr>
      <w:r>
        <w:rPr>
          <w:spacing w:val="-3"/>
          <w:sz w:val="21"/>
        </w:rPr>
        <w:t>配电线路不得穿越通风管道内腔或直接敷设在通风管道外壁上，穿金属导管保护的配电线路可紧贴通风管道外壁敷设。</w:t>
      </w:r>
      <w:r>
        <w:rPr>
          <w:sz w:val="21"/>
        </w:rPr>
        <w:t xml:space="preserve"> </w:t>
      </w:r>
    </w:p>
    <w:p w14:paraId="0ED1B816" w14:textId="77777777" w:rsidR="00A71EEF" w:rsidRDefault="0081115D">
      <w:pPr>
        <w:pStyle w:val="a3"/>
        <w:spacing w:line="448" w:lineRule="auto"/>
        <w:ind w:left="418" w:right="1609" w:firstLine="419"/>
      </w:pPr>
      <w:r>
        <w:t>配电线路敷设在有可燃物的闷顶、吊顶内时，应采取穿金属导管、采用封闭式金属槽盒等防火保护措施。</w:t>
      </w:r>
      <w:r>
        <w:t xml:space="preserve"> </w:t>
      </w:r>
    </w:p>
    <w:p w14:paraId="1E8FD021" w14:textId="77777777" w:rsidR="00A71EEF" w:rsidRDefault="0081115D">
      <w:pPr>
        <w:pStyle w:val="a4"/>
        <w:numPr>
          <w:ilvl w:val="2"/>
          <w:numId w:val="689"/>
        </w:numPr>
        <w:tabs>
          <w:tab w:val="left" w:pos="1478"/>
        </w:tabs>
        <w:spacing w:line="264" w:lineRule="exact"/>
        <w:ind w:left="1477" w:hanging="638"/>
        <w:rPr>
          <w:color w:val="333333"/>
          <w:sz w:val="19"/>
        </w:rPr>
      </w:pPr>
      <w:r>
        <w:rPr>
          <w:color w:val="333333"/>
          <w:spacing w:val="-3"/>
          <w:sz w:val="21"/>
        </w:rPr>
        <w:t>开关、插座和照明灯具靠近可燃物时，应采取隔热、散热等防火措施。</w:t>
      </w:r>
      <w:r>
        <w:rPr>
          <w:spacing w:val="-3"/>
          <w:sz w:val="21"/>
        </w:rPr>
        <w:t xml:space="preserve"> </w:t>
      </w:r>
    </w:p>
    <w:p w14:paraId="0E3034F1" w14:textId="77777777" w:rsidR="00A71EEF" w:rsidRDefault="00A71EEF">
      <w:pPr>
        <w:pStyle w:val="a3"/>
        <w:spacing w:before="10"/>
        <w:rPr>
          <w:sz w:val="17"/>
        </w:rPr>
      </w:pPr>
    </w:p>
    <w:p w14:paraId="6A6BC8CE" w14:textId="77777777" w:rsidR="00A71EEF" w:rsidRDefault="0081115D">
      <w:pPr>
        <w:pStyle w:val="a3"/>
        <w:spacing w:line="446" w:lineRule="auto"/>
        <w:ind w:left="418" w:right="1394" w:firstLine="419"/>
      </w:pPr>
      <w:r>
        <w:rPr>
          <w:color w:val="333333"/>
        </w:rPr>
        <w:t>卤钨灯和额定功率不小于</w:t>
      </w:r>
      <w:r>
        <w:rPr>
          <w:color w:val="333333"/>
        </w:rPr>
        <w:t xml:space="preserve"> 100W </w:t>
      </w:r>
      <w:r>
        <w:rPr>
          <w:color w:val="333333"/>
        </w:rPr>
        <w:t>的白炽灯泡的吸顶灯、槽灯、嵌入式灯，其引入线应采用瓷管、矿棉等不燃材料作隔热保护。</w:t>
      </w:r>
      <w:r>
        <w:t xml:space="preserve"> </w:t>
      </w:r>
    </w:p>
    <w:p w14:paraId="44037D13" w14:textId="77777777" w:rsidR="00A71EEF" w:rsidRDefault="0081115D">
      <w:pPr>
        <w:pStyle w:val="a3"/>
        <w:spacing w:line="446" w:lineRule="auto"/>
        <w:ind w:left="418" w:right="1498" w:firstLine="419"/>
      </w:pPr>
      <w:r>
        <w:rPr>
          <w:color w:val="333333"/>
        </w:rPr>
        <w:t>额定功率不小于</w:t>
      </w:r>
      <w:r>
        <w:rPr>
          <w:color w:val="333333"/>
        </w:rPr>
        <w:t xml:space="preserve"> 60W </w:t>
      </w:r>
      <w:r>
        <w:rPr>
          <w:color w:val="333333"/>
        </w:rPr>
        <w:t>的白炽灯、卤钨灯、高压钠灯、金属卤化物灯、荧光高压汞灯（包括电感镇流器）等，不应直接安装在可燃物体上或采取其他防火措施。</w:t>
      </w:r>
      <w:r>
        <w:t xml:space="preserve"> </w:t>
      </w:r>
    </w:p>
    <w:p w14:paraId="54E20D81" w14:textId="77777777" w:rsidR="00A71EEF" w:rsidRDefault="0081115D">
      <w:pPr>
        <w:pStyle w:val="a4"/>
        <w:numPr>
          <w:ilvl w:val="2"/>
          <w:numId w:val="689"/>
        </w:numPr>
        <w:tabs>
          <w:tab w:val="left" w:pos="1478"/>
        </w:tabs>
        <w:spacing w:line="446" w:lineRule="auto"/>
        <w:ind w:right="1705" w:firstLine="422"/>
        <w:rPr>
          <w:sz w:val="19"/>
        </w:rPr>
      </w:pPr>
      <w:r>
        <w:rPr>
          <w:spacing w:val="-3"/>
          <w:sz w:val="21"/>
        </w:rPr>
        <w:t>可燃材料仓库内宜使用低温照明灯具，并应对灯具的发热部件采取隔热等防火措施，不应使用卤钨灯等高温照明灯具。</w:t>
      </w:r>
      <w:r>
        <w:rPr>
          <w:sz w:val="21"/>
        </w:rPr>
        <w:t xml:space="preserve"> </w:t>
      </w:r>
    </w:p>
    <w:p w14:paraId="7F2CF243" w14:textId="77777777" w:rsidR="00A71EEF" w:rsidRDefault="0081115D">
      <w:pPr>
        <w:pStyle w:val="a3"/>
        <w:spacing w:line="267" w:lineRule="exact"/>
        <w:ind w:left="838"/>
      </w:pPr>
      <w:r>
        <w:t>配电箱及开关应设置在仓库外。</w:t>
      </w:r>
      <w:r>
        <w:t xml:space="preserve"> </w:t>
      </w:r>
    </w:p>
    <w:p w14:paraId="7A5703D3" w14:textId="77777777" w:rsidR="00A71EEF" w:rsidRDefault="00A71EEF">
      <w:pPr>
        <w:pStyle w:val="a3"/>
        <w:spacing w:before="2"/>
        <w:rPr>
          <w:sz w:val="18"/>
        </w:rPr>
      </w:pPr>
    </w:p>
    <w:p w14:paraId="773AAFDB" w14:textId="77777777" w:rsidR="00A71EEF" w:rsidRDefault="0081115D">
      <w:pPr>
        <w:pStyle w:val="a4"/>
        <w:numPr>
          <w:ilvl w:val="2"/>
          <w:numId w:val="689"/>
        </w:numPr>
        <w:tabs>
          <w:tab w:val="left" w:pos="1478"/>
        </w:tabs>
        <w:spacing w:line="446" w:lineRule="auto"/>
        <w:ind w:right="1496" w:firstLine="422"/>
        <w:rPr>
          <w:sz w:val="19"/>
        </w:rPr>
      </w:pPr>
      <w:r>
        <w:rPr>
          <w:spacing w:val="-3"/>
          <w:sz w:val="21"/>
        </w:rPr>
        <w:t>爆炸危险环境电力装置的设计应符合现行国家标准《爆炸危险环境电力装置设计规范》</w:t>
      </w:r>
      <w:r>
        <w:rPr>
          <w:spacing w:val="-3"/>
          <w:sz w:val="21"/>
        </w:rPr>
        <w:t>GB 50058</w:t>
      </w:r>
      <w:r>
        <w:rPr>
          <w:spacing w:val="-2"/>
          <w:sz w:val="21"/>
        </w:rPr>
        <w:t xml:space="preserve"> </w:t>
      </w:r>
      <w:r>
        <w:rPr>
          <w:spacing w:val="-2"/>
          <w:sz w:val="21"/>
        </w:rPr>
        <w:t>的规定。</w:t>
      </w:r>
      <w:r>
        <w:rPr>
          <w:spacing w:val="-2"/>
          <w:sz w:val="21"/>
        </w:rPr>
        <w:t xml:space="preserve"> </w:t>
      </w:r>
    </w:p>
    <w:p w14:paraId="21796EA7" w14:textId="77777777" w:rsidR="00A71EEF" w:rsidRDefault="00A71EEF">
      <w:pPr>
        <w:pStyle w:val="a3"/>
        <w:rPr>
          <w:sz w:val="20"/>
        </w:rPr>
      </w:pPr>
    </w:p>
    <w:p w14:paraId="4A96CD84" w14:textId="77777777" w:rsidR="00A71EEF" w:rsidRDefault="00A71EEF">
      <w:pPr>
        <w:pStyle w:val="a3"/>
        <w:rPr>
          <w:sz w:val="19"/>
        </w:rPr>
      </w:pPr>
    </w:p>
    <w:p w14:paraId="16571A6C" w14:textId="77777777" w:rsidR="00A71EEF" w:rsidRDefault="0081115D">
      <w:pPr>
        <w:pStyle w:val="a4"/>
        <w:numPr>
          <w:ilvl w:val="2"/>
          <w:numId w:val="689"/>
        </w:numPr>
        <w:tabs>
          <w:tab w:val="left" w:pos="1478"/>
        </w:tabs>
        <w:spacing w:line="446" w:lineRule="auto"/>
        <w:ind w:right="1496" w:firstLine="422"/>
        <w:rPr>
          <w:sz w:val="19"/>
        </w:rPr>
      </w:pPr>
      <w:r>
        <w:rPr>
          <w:spacing w:val="-3"/>
          <w:sz w:val="21"/>
        </w:rPr>
        <w:t>老年人照料设施的非消防用电负荷应设置电气火灾监控系统。下列建筑或场所的非消防用电负荷宜设置电气火灾监控系统：</w:t>
      </w:r>
      <w:r>
        <w:rPr>
          <w:sz w:val="21"/>
        </w:rPr>
        <w:t xml:space="preserve"> </w:t>
      </w:r>
    </w:p>
    <w:p w14:paraId="269D5011" w14:textId="77777777" w:rsidR="00A71EEF" w:rsidRDefault="00A71EEF">
      <w:pPr>
        <w:spacing w:line="446" w:lineRule="auto"/>
        <w:rPr>
          <w:sz w:val="19"/>
        </w:rPr>
        <w:sectPr w:rsidR="00A71EEF">
          <w:pgSz w:w="11910" w:h="16850"/>
          <w:pgMar w:top="1220" w:right="0" w:bottom="1420" w:left="1260" w:header="0" w:footer="1239" w:gutter="0"/>
          <w:cols w:space="720"/>
        </w:sectPr>
      </w:pPr>
    </w:p>
    <w:p w14:paraId="7C1563CE" w14:textId="77777777" w:rsidR="00A71EEF" w:rsidRDefault="0081115D">
      <w:pPr>
        <w:pStyle w:val="a3"/>
        <w:spacing w:before="47" w:line="446" w:lineRule="auto"/>
        <w:ind w:left="418" w:right="1767" w:firstLine="419"/>
      </w:pPr>
      <w:r>
        <w:rPr>
          <w:spacing w:val="-9"/>
        </w:rPr>
        <w:lastRenderedPageBreak/>
        <w:t>建筑高度大于</w:t>
      </w:r>
      <w:r>
        <w:rPr>
          <w:spacing w:val="-9"/>
        </w:rPr>
        <w:t xml:space="preserve"> </w:t>
      </w:r>
      <w:r>
        <w:t>50m</w:t>
      </w:r>
      <w:r>
        <w:rPr>
          <w:spacing w:val="-5"/>
        </w:rPr>
        <w:t xml:space="preserve"> </w:t>
      </w:r>
      <w:r>
        <w:rPr>
          <w:spacing w:val="-5"/>
        </w:rPr>
        <w:t>的乙、丙类厂房和丙类仓库，室外消防用水量大于</w:t>
      </w:r>
      <w:r>
        <w:rPr>
          <w:spacing w:val="-5"/>
        </w:rPr>
        <w:t xml:space="preserve"> </w:t>
      </w:r>
      <w:r>
        <w:t>30L/s</w:t>
      </w:r>
      <w:r>
        <w:rPr>
          <w:spacing w:val="-13"/>
        </w:rPr>
        <w:t xml:space="preserve"> </w:t>
      </w:r>
      <w:r>
        <w:rPr>
          <w:spacing w:val="-13"/>
        </w:rPr>
        <w:t>的厂房</w:t>
      </w:r>
      <w:r>
        <w:t>（仓库）；</w:t>
      </w:r>
      <w:r>
        <w:t xml:space="preserve"> </w:t>
      </w:r>
    </w:p>
    <w:p w14:paraId="5BA2C88D" w14:textId="77777777" w:rsidR="00A71EEF" w:rsidRDefault="0081115D">
      <w:pPr>
        <w:pStyle w:val="a3"/>
        <w:spacing w:line="267" w:lineRule="exact"/>
        <w:ind w:left="838"/>
      </w:pPr>
      <w:r>
        <w:t>一类高层民用建筑；</w:t>
      </w:r>
      <w:r>
        <w:t xml:space="preserve"> </w:t>
      </w:r>
    </w:p>
    <w:p w14:paraId="0EF4A6A9" w14:textId="77777777" w:rsidR="00A71EEF" w:rsidRDefault="00A71EEF">
      <w:pPr>
        <w:pStyle w:val="a3"/>
        <w:spacing w:before="2"/>
        <w:rPr>
          <w:sz w:val="18"/>
        </w:rPr>
      </w:pPr>
    </w:p>
    <w:p w14:paraId="5AAA6847" w14:textId="77777777" w:rsidR="00A71EEF" w:rsidRDefault="0081115D">
      <w:pPr>
        <w:pStyle w:val="a3"/>
        <w:spacing w:line="441" w:lineRule="auto"/>
        <w:ind w:left="418" w:right="1508" w:firstLine="419"/>
        <w:jc w:val="both"/>
      </w:pPr>
      <w:r>
        <w:rPr>
          <w:spacing w:val="-10"/>
        </w:rPr>
        <w:t>座位数超过</w:t>
      </w:r>
      <w:r>
        <w:rPr>
          <w:spacing w:val="-10"/>
        </w:rPr>
        <w:t xml:space="preserve"> </w:t>
      </w:r>
      <w:r>
        <w:t>1500</w:t>
      </w:r>
      <w:r>
        <w:rPr>
          <w:spacing w:val="-6"/>
        </w:rPr>
        <w:t xml:space="preserve"> </w:t>
      </w:r>
      <w:r>
        <w:rPr>
          <w:spacing w:val="-6"/>
        </w:rPr>
        <w:t>个的电影院、剧场，座位数超过</w:t>
      </w:r>
      <w:r>
        <w:rPr>
          <w:spacing w:val="-6"/>
        </w:rPr>
        <w:t xml:space="preserve"> </w:t>
      </w:r>
      <w:r>
        <w:t>3000</w:t>
      </w:r>
      <w:r>
        <w:rPr>
          <w:spacing w:val="-3"/>
        </w:rPr>
        <w:t xml:space="preserve"> </w:t>
      </w:r>
      <w:r>
        <w:rPr>
          <w:spacing w:val="-3"/>
        </w:rPr>
        <w:t>个的体育馆，任一层建筑面积大于</w:t>
      </w:r>
      <w:r>
        <w:rPr>
          <w:spacing w:val="-3"/>
        </w:rPr>
        <w:t>3000m</w:t>
      </w:r>
      <w:r>
        <w:rPr>
          <w:spacing w:val="-3"/>
          <w:position w:val="11"/>
          <w:sz w:val="11"/>
        </w:rPr>
        <w:t>2</w:t>
      </w:r>
      <w:r>
        <w:rPr>
          <w:spacing w:val="-3"/>
          <w:sz w:val="11"/>
        </w:rPr>
        <w:t xml:space="preserve"> </w:t>
      </w:r>
      <w:r>
        <w:rPr>
          <w:spacing w:val="-3"/>
        </w:rPr>
        <w:t>的商店和展览建筑，省（</w:t>
      </w:r>
      <w:r>
        <w:t>市</w:t>
      </w:r>
      <w:r>
        <w:rPr>
          <w:spacing w:val="-3"/>
        </w:rPr>
        <w:t>）级及以上的广播电视、电信和财贸金融建筑，室外消防用</w:t>
      </w:r>
      <w:r>
        <w:rPr>
          <w:spacing w:val="-13"/>
        </w:rPr>
        <w:t>水量大于</w:t>
      </w:r>
      <w:r>
        <w:rPr>
          <w:spacing w:val="-13"/>
        </w:rPr>
        <w:t xml:space="preserve"> </w:t>
      </w:r>
      <w:r>
        <w:t>25L/s</w:t>
      </w:r>
      <w:r>
        <w:rPr>
          <w:spacing w:val="-3"/>
        </w:rPr>
        <w:t xml:space="preserve"> </w:t>
      </w:r>
      <w:r>
        <w:rPr>
          <w:spacing w:val="-3"/>
        </w:rPr>
        <w:t>的其他公共建筑；</w:t>
      </w:r>
      <w:r>
        <w:t xml:space="preserve"> </w:t>
      </w:r>
    </w:p>
    <w:p w14:paraId="566F3F30" w14:textId="77777777" w:rsidR="00A71EEF" w:rsidRDefault="0081115D">
      <w:pPr>
        <w:pStyle w:val="a3"/>
        <w:spacing w:before="5"/>
        <w:ind w:left="838"/>
      </w:pPr>
      <w:r>
        <w:t xml:space="preserve">4 </w:t>
      </w:r>
      <w:r>
        <w:t>国家级文物保护单位的重点砖木或木结构的古建筑。</w:t>
      </w:r>
      <w:r>
        <w:t xml:space="preserve"> </w:t>
      </w:r>
    </w:p>
    <w:p w14:paraId="04D7F4A6" w14:textId="77777777" w:rsidR="00A71EEF" w:rsidRDefault="00A71EEF">
      <w:pPr>
        <w:pStyle w:val="a3"/>
        <w:rPr>
          <w:sz w:val="18"/>
        </w:rPr>
      </w:pPr>
    </w:p>
    <w:p w14:paraId="6BD14078" w14:textId="77777777" w:rsidR="00A71EEF" w:rsidRDefault="0081115D">
      <w:pPr>
        <w:pStyle w:val="a4"/>
        <w:numPr>
          <w:ilvl w:val="1"/>
          <w:numId w:val="689"/>
        </w:numPr>
        <w:tabs>
          <w:tab w:val="left" w:pos="1264"/>
        </w:tabs>
        <w:rPr>
          <w:sz w:val="21"/>
        </w:rPr>
      </w:pPr>
      <w:r>
        <w:rPr>
          <w:spacing w:val="-3"/>
          <w:sz w:val="21"/>
        </w:rPr>
        <w:t>消防应急照明和疏散指示标志</w:t>
      </w:r>
      <w:r>
        <w:rPr>
          <w:sz w:val="21"/>
        </w:rPr>
        <w:t xml:space="preserve"> </w:t>
      </w:r>
    </w:p>
    <w:p w14:paraId="55A33653" w14:textId="77777777" w:rsidR="00A71EEF" w:rsidRDefault="00A71EEF">
      <w:pPr>
        <w:pStyle w:val="a3"/>
        <w:spacing w:before="12"/>
        <w:rPr>
          <w:sz w:val="17"/>
        </w:rPr>
      </w:pPr>
    </w:p>
    <w:p w14:paraId="7167FC5F" w14:textId="77777777" w:rsidR="00A71EEF" w:rsidRDefault="0081115D">
      <w:pPr>
        <w:pStyle w:val="a4"/>
        <w:numPr>
          <w:ilvl w:val="2"/>
          <w:numId w:val="689"/>
        </w:numPr>
        <w:tabs>
          <w:tab w:val="left" w:pos="1478"/>
        </w:tabs>
        <w:spacing w:line="446" w:lineRule="auto"/>
        <w:ind w:right="1445" w:firstLine="422"/>
        <w:rPr>
          <w:color w:val="333333"/>
          <w:sz w:val="19"/>
        </w:rPr>
      </w:pPr>
      <w:r>
        <w:rPr>
          <w:color w:val="333333"/>
          <w:spacing w:val="-9"/>
          <w:sz w:val="21"/>
        </w:rPr>
        <w:t>除建筑高度小于</w:t>
      </w:r>
      <w:r>
        <w:rPr>
          <w:color w:val="333333"/>
          <w:spacing w:val="-9"/>
          <w:sz w:val="21"/>
        </w:rPr>
        <w:t xml:space="preserve"> </w:t>
      </w:r>
      <w:r>
        <w:rPr>
          <w:color w:val="333333"/>
          <w:sz w:val="21"/>
        </w:rPr>
        <w:t>27m</w:t>
      </w:r>
      <w:r>
        <w:rPr>
          <w:color w:val="333333"/>
          <w:spacing w:val="-3"/>
          <w:sz w:val="21"/>
        </w:rPr>
        <w:t xml:space="preserve"> </w:t>
      </w:r>
      <w:r>
        <w:rPr>
          <w:color w:val="333333"/>
          <w:spacing w:val="-3"/>
          <w:sz w:val="21"/>
        </w:rPr>
        <w:t>的住宅建筑外，民用建筑、厂房和丙类仓库的下列部位应设置疏散照明：</w:t>
      </w:r>
      <w:r>
        <w:rPr>
          <w:sz w:val="21"/>
        </w:rPr>
        <w:t xml:space="preserve"> </w:t>
      </w:r>
    </w:p>
    <w:p w14:paraId="3D49A9C5" w14:textId="77777777" w:rsidR="00A71EEF" w:rsidRDefault="0081115D">
      <w:pPr>
        <w:pStyle w:val="a3"/>
        <w:ind w:left="838"/>
      </w:pPr>
      <w:r>
        <w:rPr>
          <w:color w:val="333333"/>
        </w:rPr>
        <w:t>封闭楼梯间、防烟楼梯间及其前室、消防电梯间的前室或合用前室、避难走道、避难层</w:t>
      </w:r>
    </w:p>
    <w:p w14:paraId="4E02BBB7" w14:textId="77777777" w:rsidR="00A71EEF" w:rsidRDefault="00A71EEF">
      <w:pPr>
        <w:pStyle w:val="a3"/>
        <w:rPr>
          <w:sz w:val="18"/>
        </w:rPr>
      </w:pPr>
    </w:p>
    <w:p w14:paraId="59E82A74" w14:textId="77777777" w:rsidR="00A71EEF" w:rsidRDefault="0081115D">
      <w:pPr>
        <w:pStyle w:val="a3"/>
        <w:ind w:left="418"/>
      </w:pPr>
      <w:r>
        <w:rPr>
          <w:color w:val="333333"/>
        </w:rPr>
        <w:t>（间）；</w:t>
      </w:r>
      <w:r>
        <w:t xml:space="preserve"> </w:t>
      </w:r>
    </w:p>
    <w:p w14:paraId="3AB18F37" w14:textId="77777777" w:rsidR="00A71EEF" w:rsidRDefault="00A71EEF">
      <w:pPr>
        <w:pStyle w:val="a3"/>
        <w:spacing w:before="4"/>
        <w:rPr>
          <w:sz w:val="17"/>
        </w:rPr>
      </w:pPr>
    </w:p>
    <w:p w14:paraId="48CFFA1C" w14:textId="77777777" w:rsidR="00A71EEF" w:rsidRDefault="0081115D">
      <w:pPr>
        <w:pStyle w:val="a3"/>
        <w:spacing w:before="1" w:line="446" w:lineRule="auto"/>
        <w:ind w:left="418" w:right="1503" w:firstLine="419"/>
      </w:pPr>
      <w:r>
        <w:rPr>
          <w:color w:val="333333"/>
          <w:spacing w:val="-6"/>
        </w:rPr>
        <w:t>观众厅、展览厅、多功能厅和建筑面积大于</w:t>
      </w:r>
      <w:r>
        <w:rPr>
          <w:color w:val="333333"/>
          <w:spacing w:val="-6"/>
        </w:rPr>
        <w:t xml:space="preserve"> </w:t>
      </w:r>
      <w:r>
        <w:rPr>
          <w:color w:val="333333"/>
        </w:rPr>
        <w:t>200m</w:t>
      </w:r>
      <w:r>
        <w:rPr>
          <w:color w:val="333333"/>
          <w:position w:val="11"/>
          <w:sz w:val="11"/>
        </w:rPr>
        <w:t>2</w:t>
      </w:r>
      <w:r>
        <w:rPr>
          <w:sz w:val="11"/>
        </w:rPr>
        <w:t xml:space="preserve"> </w:t>
      </w:r>
      <w:r>
        <w:rPr>
          <w:color w:val="333333"/>
          <w:spacing w:val="-3"/>
        </w:rPr>
        <w:t>的营业厅、餐厅、演播室等人员密集的场所；</w:t>
      </w:r>
      <w:r>
        <w:rPr>
          <w:color w:val="333333"/>
        </w:rPr>
        <w:t xml:space="preserve"> </w:t>
      </w:r>
    </w:p>
    <w:p w14:paraId="6DBAE8CC" w14:textId="77777777" w:rsidR="00A71EEF" w:rsidRDefault="0081115D">
      <w:pPr>
        <w:pStyle w:val="a3"/>
        <w:spacing w:line="446" w:lineRule="auto"/>
        <w:ind w:left="838" w:right="4760"/>
      </w:pPr>
      <w:r>
        <w:rPr>
          <w:color w:val="333333"/>
          <w:spacing w:val="-9"/>
        </w:rPr>
        <w:t>建筑面积大于</w:t>
      </w:r>
      <w:r>
        <w:rPr>
          <w:color w:val="333333"/>
          <w:spacing w:val="-9"/>
        </w:rPr>
        <w:t xml:space="preserve"> </w:t>
      </w:r>
      <w:r>
        <w:rPr>
          <w:color w:val="333333"/>
        </w:rPr>
        <w:t>100m</w:t>
      </w:r>
      <w:r>
        <w:rPr>
          <w:color w:val="333333"/>
          <w:position w:val="11"/>
          <w:sz w:val="11"/>
        </w:rPr>
        <w:t>2</w:t>
      </w:r>
      <w:r>
        <w:rPr>
          <w:sz w:val="11"/>
        </w:rPr>
        <w:t xml:space="preserve"> </w:t>
      </w:r>
      <w:r>
        <w:rPr>
          <w:color w:val="333333"/>
          <w:spacing w:val="-3"/>
        </w:rPr>
        <w:t>的地下或半地下公共活动场所；</w:t>
      </w:r>
      <w:r>
        <w:rPr>
          <w:spacing w:val="-3"/>
        </w:rPr>
        <w:t xml:space="preserve"> </w:t>
      </w:r>
      <w:r>
        <w:rPr>
          <w:color w:val="333333"/>
          <w:spacing w:val="-3"/>
        </w:rPr>
        <w:t>公共建筑内的疏散走道；</w:t>
      </w:r>
      <w:r>
        <w:t xml:space="preserve"> </w:t>
      </w:r>
    </w:p>
    <w:p w14:paraId="3681D824" w14:textId="77777777" w:rsidR="00A71EEF" w:rsidRDefault="0081115D">
      <w:pPr>
        <w:pStyle w:val="a3"/>
        <w:ind w:left="838"/>
      </w:pPr>
      <w:r>
        <w:rPr>
          <w:color w:val="333333"/>
        </w:rPr>
        <w:t>人员密集的厂房内的生产场所及疏散走道。</w:t>
      </w:r>
      <w:r>
        <w:t xml:space="preserve"> </w:t>
      </w:r>
    </w:p>
    <w:p w14:paraId="2E4DA4A3" w14:textId="77777777" w:rsidR="00A71EEF" w:rsidRDefault="00A71EEF">
      <w:pPr>
        <w:pStyle w:val="a3"/>
        <w:spacing w:before="12"/>
        <w:rPr>
          <w:sz w:val="16"/>
        </w:rPr>
      </w:pPr>
    </w:p>
    <w:p w14:paraId="73B1C698" w14:textId="77777777" w:rsidR="00A71EEF" w:rsidRDefault="0081115D">
      <w:pPr>
        <w:pStyle w:val="a4"/>
        <w:numPr>
          <w:ilvl w:val="2"/>
          <w:numId w:val="689"/>
        </w:numPr>
        <w:tabs>
          <w:tab w:val="left" w:pos="1478"/>
        </w:tabs>
        <w:ind w:left="1477" w:hanging="638"/>
        <w:rPr>
          <w:color w:val="333333"/>
          <w:sz w:val="19"/>
        </w:rPr>
      </w:pPr>
      <w:r>
        <w:rPr>
          <w:color w:val="333333"/>
          <w:spacing w:val="-3"/>
          <w:sz w:val="21"/>
        </w:rPr>
        <w:t>建筑内疏散照明的地面最低水平照度应符合下列规定：</w:t>
      </w:r>
      <w:r>
        <w:rPr>
          <w:sz w:val="21"/>
        </w:rPr>
        <w:t xml:space="preserve"> </w:t>
      </w:r>
    </w:p>
    <w:p w14:paraId="061CBD11" w14:textId="77777777" w:rsidR="00A71EEF" w:rsidRDefault="00A71EEF">
      <w:pPr>
        <w:pStyle w:val="a3"/>
        <w:spacing w:before="2"/>
        <w:rPr>
          <w:sz w:val="18"/>
        </w:rPr>
      </w:pPr>
    </w:p>
    <w:p w14:paraId="178DF4CB" w14:textId="77777777" w:rsidR="00A71EEF" w:rsidRDefault="0081115D">
      <w:pPr>
        <w:pStyle w:val="a3"/>
        <w:ind w:left="838"/>
      </w:pPr>
      <w:r>
        <w:rPr>
          <w:color w:val="333333"/>
        </w:rPr>
        <w:t>对于疏散走道，不应低于</w:t>
      </w:r>
      <w:r>
        <w:rPr>
          <w:color w:val="333333"/>
        </w:rPr>
        <w:t xml:space="preserve"> 1.0 lx</w:t>
      </w:r>
      <w:r>
        <w:rPr>
          <w:color w:val="333333"/>
        </w:rPr>
        <w:t>；</w:t>
      </w:r>
      <w:r>
        <w:t xml:space="preserve"> </w:t>
      </w:r>
    </w:p>
    <w:p w14:paraId="3BF4CB64" w14:textId="77777777" w:rsidR="00A71EEF" w:rsidRDefault="00A71EEF">
      <w:pPr>
        <w:pStyle w:val="a3"/>
        <w:rPr>
          <w:sz w:val="18"/>
        </w:rPr>
      </w:pPr>
    </w:p>
    <w:p w14:paraId="392B8548" w14:textId="77777777" w:rsidR="00A71EEF" w:rsidRDefault="0081115D">
      <w:pPr>
        <w:pStyle w:val="a3"/>
        <w:spacing w:line="446" w:lineRule="auto"/>
        <w:ind w:left="418" w:right="1498" w:firstLine="419"/>
      </w:pPr>
      <w:r>
        <w:rPr>
          <w:color w:val="333333"/>
        </w:rPr>
        <w:t>对于人员密集场所、避难层（间），不应低于</w:t>
      </w:r>
      <w:r>
        <w:rPr>
          <w:color w:val="333333"/>
        </w:rPr>
        <w:t xml:space="preserve"> 3.0 lx</w:t>
      </w:r>
      <w:r>
        <w:rPr>
          <w:color w:val="333333"/>
        </w:rPr>
        <w:t>；对于老年人照料设施、病房楼或手术部的避难间，不应低于</w:t>
      </w:r>
      <w:r>
        <w:rPr>
          <w:color w:val="333333"/>
        </w:rPr>
        <w:t xml:space="preserve"> 10.0 lx</w:t>
      </w:r>
      <w:r>
        <w:rPr>
          <w:color w:val="333333"/>
        </w:rPr>
        <w:t>；</w:t>
      </w:r>
      <w:r>
        <w:t xml:space="preserve"> </w:t>
      </w:r>
    </w:p>
    <w:p w14:paraId="55A4FFB6" w14:textId="77777777" w:rsidR="00A71EEF" w:rsidRDefault="0081115D">
      <w:pPr>
        <w:pStyle w:val="a3"/>
        <w:spacing w:line="446" w:lineRule="auto"/>
        <w:ind w:left="418" w:right="1391" w:firstLine="419"/>
      </w:pPr>
      <w:r>
        <w:rPr>
          <w:color w:val="333333"/>
        </w:rPr>
        <w:t>对于楼梯间、前室或合用前室、避难走道，不应低于</w:t>
      </w:r>
      <w:r>
        <w:rPr>
          <w:color w:val="333333"/>
        </w:rPr>
        <w:t xml:space="preserve"> 5.0lx</w:t>
      </w:r>
      <w:r>
        <w:rPr>
          <w:color w:val="333333"/>
        </w:rPr>
        <w:t>；对于人员密集场所、老年人照料设施、病房楼或手术部内的楼梯间、前室或合用前室、避难走道，不应低于</w:t>
      </w:r>
      <w:r>
        <w:rPr>
          <w:color w:val="333333"/>
        </w:rPr>
        <w:t xml:space="preserve"> 10.0lx</w:t>
      </w:r>
      <w:r>
        <w:rPr>
          <w:color w:val="333333"/>
        </w:rPr>
        <w:t>。</w:t>
      </w:r>
      <w:r>
        <w:t xml:space="preserve"> </w:t>
      </w:r>
    </w:p>
    <w:p w14:paraId="35F2B9D1" w14:textId="77777777" w:rsidR="00A71EEF" w:rsidRDefault="0081115D">
      <w:pPr>
        <w:pStyle w:val="a4"/>
        <w:numPr>
          <w:ilvl w:val="2"/>
          <w:numId w:val="689"/>
        </w:numPr>
        <w:tabs>
          <w:tab w:val="left" w:pos="1478"/>
        </w:tabs>
        <w:spacing w:line="446" w:lineRule="auto"/>
        <w:ind w:right="1496" w:firstLine="422"/>
        <w:rPr>
          <w:color w:val="333333"/>
          <w:sz w:val="19"/>
        </w:rPr>
      </w:pPr>
      <w:r>
        <w:rPr>
          <w:color w:val="333333"/>
          <w:spacing w:val="-3"/>
          <w:sz w:val="21"/>
        </w:rPr>
        <w:t>消防控制室</w:t>
      </w:r>
      <w:r>
        <w:rPr>
          <w:color w:val="333333"/>
          <w:spacing w:val="-3"/>
          <w:sz w:val="21"/>
        </w:rPr>
        <w:t>、消防水泵房、自备发电机房、配电室、防排烟机房以及发生火灾时仍需正常工作的消防设备房应设置备用照明，其作业面的最低照度不应低于正常照明的照度。</w:t>
      </w:r>
      <w:r>
        <w:rPr>
          <w:sz w:val="21"/>
        </w:rPr>
        <w:t xml:space="preserve"> </w:t>
      </w:r>
    </w:p>
    <w:p w14:paraId="3BCF5274" w14:textId="77777777" w:rsidR="00A71EEF" w:rsidRDefault="0081115D">
      <w:pPr>
        <w:pStyle w:val="a4"/>
        <w:numPr>
          <w:ilvl w:val="2"/>
          <w:numId w:val="689"/>
        </w:numPr>
        <w:tabs>
          <w:tab w:val="left" w:pos="1478"/>
        </w:tabs>
        <w:spacing w:line="446" w:lineRule="auto"/>
        <w:ind w:right="1498" w:firstLine="422"/>
        <w:rPr>
          <w:sz w:val="19"/>
        </w:rPr>
      </w:pPr>
      <w:r>
        <w:rPr>
          <w:spacing w:val="-3"/>
          <w:sz w:val="21"/>
        </w:rPr>
        <w:t>疏散照明灯具应设置在出口的顶部、墙面的上部或顶棚上；备用照明灯具应设置在墙面的上部或顶棚上。</w:t>
      </w:r>
      <w:r>
        <w:rPr>
          <w:sz w:val="21"/>
        </w:rPr>
        <w:t xml:space="preserve"> </w:t>
      </w:r>
    </w:p>
    <w:p w14:paraId="1B9B0994" w14:textId="77777777" w:rsidR="00A71EEF" w:rsidRDefault="00A71EEF">
      <w:pPr>
        <w:spacing w:line="446" w:lineRule="auto"/>
        <w:rPr>
          <w:sz w:val="19"/>
        </w:rPr>
        <w:sectPr w:rsidR="00A71EEF">
          <w:pgSz w:w="11910" w:h="16850"/>
          <w:pgMar w:top="1220" w:right="0" w:bottom="1420" w:left="1260" w:header="0" w:footer="1239" w:gutter="0"/>
          <w:cols w:space="720"/>
        </w:sectPr>
      </w:pPr>
    </w:p>
    <w:p w14:paraId="25CB39A6" w14:textId="77777777" w:rsidR="00A71EEF" w:rsidRDefault="0081115D">
      <w:pPr>
        <w:pStyle w:val="a4"/>
        <w:numPr>
          <w:ilvl w:val="2"/>
          <w:numId w:val="689"/>
        </w:numPr>
        <w:tabs>
          <w:tab w:val="left" w:pos="1478"/>
        </w:tabs>
        <w:spacing w:before="47" w:line="446" w:lineRule="auto"/>
        <w:ind w:right="1445" w:firstLine="422"/>
        <w:rPr>
          <w:sz w:val="19"/>
        </w:rPr>
      </w:pPr>
      <w:r>
        <w:rPr>
          <w:spacing w:val="-7"/>
          <w:sz w:val="21"/>
        </w:rPr>
        <w:lastRenderedPageBreak/>
        <w:t>公共建筑、建筑高度大于</w:t>
      </w:r>
      <w:r>
        <w:rPr>
          <w:spacing w:val="-7"/>
          <w:sz w:val="21"/>
        </w:rPr>
        <w:t xml:space="preserve"> </w:t>
      </w:r>
      <w:r>
        <w:rPr>
          <w:sz w:val="21"/>
        </w:rPr>
        <w:t>54m</w:t>
      </w:r>
      <w:r>
        <w:rPr>
          <w:spacing w:val="-3"/>
          <w:sz w:val="21"/>
        </w:rPr>
        <w:t xml:space="preserve"> </w:t>
      </w:r>
      <w:r>
        <w:rPr>
          <w:spacing w:val="-3"/>
          <w:sz w:val="21"/>
        </w:rPr>
        <w:t>的住宅建筑、高层厂房（</w:t>
      </w:r>
      <w:r>
        <w:rPr>
          <w:spacing w:val="-2"/>
          <w:sz w:val="21"/>
        </w:rPr>
        <w:t>库房</w:t>
      </w:r>
      <w:r>
        <w:rPr>
          <w:sz w:val="21"/>
        </w:rPr>
        <w:t>）</w:t>
      </w:r>
      <w:r>
        <w:rPr>
          <w:spacing w:val="-3"/>
          <w:sz w:val="21"/>
        </w:rPr>
        <w:t>和甲、乙、丙类单、多层厂房，应设置灯光疏散指示标志，并应符合下列规定：</w:t>
      </w:r>
      <w:r>
        <w:rPr>
          <w:sz w:val="21"/>
        </w:rPr>
        <w:t xml:space="preserve"> </w:t>
      </w:r>
    </w:p>
    <w:p w14:paraId="006F68B4" w14:textId="77777777" w:rsidR="00A71EEF" w:rsidRDefault="0081115D">
      <w:pPr>
        <w:pStyle w:val="a3"/>
        <w:spacing w:line="267" w:lineRule="exact"/>
        <w:ind w:left="838"/>
      </w:pPr>
      <w:r>
        <w:t>应设置在安全出口和人员密集的场所的疏散门的正上方；</w:t>
      </w:r>
      <w:r>
        <w:t xml:space="preserve"> </w:t>
      </w:r>
    </w:p>
    <w:p w14:paraId="4D107B3C" w14:textId="77777777" w:rsidR="00A71EEF" w:rsidRDefault="00A71EEF">
      <w:pPr>
        <w:pStyle w:val="a3"/>
        <w:spacing w:before="2"/>
        <w:rPr>
          <w:sz w:val="18"/>
        </w:rPr>
      </w:pPr>
    </w:p>
    <w:p w14:paraId="0C548F55" w14:textId="77777777" w:rsidR="00A71EEF" w:rsidRDefault="0081115D">
      <w:pPr>
        <w:pStyle w:val="a3"/>
        <w:spacing w:line="446" w:lineRule="auto"/>
        <w:ind w:left="418" w:right="1391" w:firstLine="419"/>
      </w:pPr>
      <w:r>
        <w:t>应设置在疏散走道及其转角处距地面高度</w:t>
      </w:r>
      <w:r>
        <w:t xml:space="preserve"> 1.0m </w:t>
      </w:r>
      <w:r>
        <w:t>以下的墙面或地面上。灯光疏散指示标志的间距不应大于</w:t>
      </w:r>
      <w:r>
        <w:t xml:space="preserve"> 20m</w:t>
      </w:r>
      <w:r>
        <w:t>；对于袋形走道，不应大于</w:t>
      </w:r>
      <w:r>
        <w:t xml:space="preserve"> 10m</w:t>
      </w:r>
      <w:r>
        <w:t>；在走道转角区，不应大于</w:t>
      </w:r>
      <w:r>
        <w:t xml:space="preserve"> 1.0m</w:t>
      </w:r>
      <w:r>
        <w:t>。</w:t>
      </w:r>
      <w:r>
        <w:t xml:space="preserve"> </w:t>
      </w:r>
    </w:p>
    <w:p w14:paraId="230B695A" w14:textId="77777777" w:rsidR="00A71EEF" w:rsidRDefault="0081115D">
      <w:pPr>
        <w:pStyle w:val="a4"/>
        <w:numPr>
          <w:ilvl w:val="2"/>
          <w:numId w:val="689"/>
        </w:numPr>
        <w:tabs>
          <w:tab w:val="left" w:pos="1478"/>
        </w:tabs>
        <w:spacing w:line="446" w:lineRule="auto"/>
        <w:ind w:right="1496" w:firstLine="422"/>
        <w:rPr>
          <w:sz w:val="19"/>
        </w:rPr>
      </w:pPr>
      <w:r>
        <w:rPr>
          <w:spacing w:val="-3"/>
          <w:sz w:val="21"/>
        </w:rPr>
        <w:t>下列建筑或场所应在疏散走道和主要疏散路径的地面上增设能保持视觉连续的灯光疏散指示标志或蓄光疏散指示标志：</w:t>
      </w:r>
      <w:r>
        <w:rPr>
          <w:sz w:val="21"/>
        </w:rPr>
        <w:t xml:space="preserve"> </w:t>
      </w:r>
    </w:p>
    <w:p w14:paraId="07D56163" w14:textId="77777777" w:rsidR="00A71EEF" w:rsidRDefault="0081115D">
      <w:pPr>
        <w:pStyle w:val="a3"/>
        <w:spacing w:line="436" w:lineRule="auto"/>
        <w:ind w:left="838" w:right="6078"/>
      </w:pPr>
      <w:r>
        <w:rPr>
          <w:spacing w:val="-10"/>
        </w:rPr>
        <w:t>总建筑面积大于</w:t>
      </w:r>
      <w:r>
        <w:rPr>
          <w:spacing w:val="-10"/>
        </w:rPr>
        <w:t xml:space="preserve"> </w:t>
      </w:r>
      <w:r>
        <w:t>8000m2</w:t>
      </w:r>
      <w:r>
        <w:rPr>
          <w:spacing w:val="-2"/>
        </w:rPr>
        <w:t xml:space="preserve"> </w:t>
      </w:r>
      <w:r>
        <w:rPr>
          <w:spacing w:val="-2"/>
        </w:rPr>
        <w:t>的展览建筑；</w:t>
      </w:r>
      <w:r>
        <w:rPr>
          <w:spacing w:val="-2"/>
        </w:rPr>
        <w:t xml:space="preserve"> </w:t>
      </w:r>
      <w:r>
        <w:rPr>
          <w:spacing w:val="-10"/>
        </w:rPr>
        <w:t>总建筑面积大于</w:t>
      </w:r>
      <w:r>
        <w:rPr>
          <w:spacing w:val="-10"/>
        </w:rPr>
        <w:t xml:space="preserve"> </w:t>
      </w:r>
      <w:r>
        <w:t>5000m</w:t>
      </w:r>
      <w:r>
        <w:rPr>
          <w:position w:val="11"/>
          <w:sz w:val="11"/>
        </w:rPr>
        <w:t>2</w:t>
      </w:r>
      <w:r>
        <w:rPr>
          <w:spacing w:val="52"/>
          <w:sz w:val="11"/>
        </w:rPr>
        <w:t xml:space="preserve"> </w:t>
      </w:r>
      <w:r>
        <w:rPr>
          <w:spacing w:val="-3"/>
        </w:rPr>
        <w:t>的地上商店；</w:t>
      </w:r>
      <w:r>
        <w:t xml:space="preserve"> </w:t>
      </w:r>
    </w:p>
    <w:p w14:paraId="2005D594" w14:textId="77777777" w:rsidR="00A71EEF" w:rsidRDefault="0081115D">
      <w:pPr>
        <w:pStyle w:val="a3"/>
        <w:spacing w:line="446" w:lineRule="auto"/>
        <w:ind w:left="838" w:right="5391"/>
      </w:pPr>
      <w:r>
        <w:rPr>
          <w:spacing w:val="-9"/>
        </w:rPr>
        <w:t>总建筑面积大于</w:t>
      </w:r>
      <w:r>
        <w:rPr>
          <w:spacing w:val="-9"/>
        </w:rPr>
        <w:t xml:space="preserve"> </w:t>
      </w:r>
      <w:r>
        <w:t>500m</w:t>
      </w:r>
      <w:r>
        <w:rPr>
          <w:position w:val="11"/>
          <w:sz w:val="11"/>
        </w:rPr>
        <w:t>2</w:t>
      </w:r>
      <w:r>
        <w:rPr>
          <w:sz w:val="11"/>
        </w:rPr>
        <w:t xml:space="preserve">  </w:t>
      </w:r>
      <w:r>
        <w:rPr>
          <w:spacing w:val="-3"/>
        </w:rPr>
        <w:t>的地下或半地下商店；</w:t>
      </w:r>
      <w:r>
        <w:rPr>
          <w:spacing w:val="-3"/>
        </w:rPr>
        <w:t xml:space="preserve"> </w:t>
      </w:r>
      <w:r>
        <w:rPr>
          <w:spacing w:val="-3"/>
        </w:rPr>
        <w:t>歌舞娱乐放映游艺场所；</w:t>
      </w:r>
      <w:r>
        <w:t xml:space="preserve"> </w:t>
      </w:r>
    </w:p>
    <w:p w14:paraId="1ADF549A" w14:textId="77777777" w:rsidR="00A71EEF" w:rsidRDefault="0081115D">
      <w:pPr>
        <w:pStyle w:val="a3"/>
        <w:spacing w:line="267" w:lineRule="exact"/>
        <w:ind w:left="838"/>
      </w:pPr>
      <w:r>
        <w:t>座位数超过</w:t>
      </w:r>
      <w:r>
        <w:t xml:space="preserve"> 1500 </w:t>
      </w:r>
      <w:r>
        <w:t>个的电影院、剧场，座位数超过</w:t>
      </w:r>
      <w:r>
        <w:t xml:space="preserve"> 3000 </w:t>
      </w:r>
      <w:r>
        <w:t>个的体育馆、会堂或礼堂；</w:t>
      </w:r>
      <w:r>
        <w:t xml:space="preserve"> </w:t>
      </w:r>
    </w:p>
    <w:p w14:paraId="04BD5684" w14:textId="77777777" w:rsidR="00A71EEF" w:rsidRDefault="00A71EEF">
      <w:pPr>
        <w:pStyle w:val="a3"/>
        <w:spacing w:before="1"/>
        <w:rPr>
          <w:sz w:val="18"/>
        </w:rPr>
      </w:pPr>
    </w:p>
    <w:p w14:paraId="6EACACC3" w14:textId="77777777" w:rsidR="00A71EEF" w:rsidRDefault="0081115D">
      <w:pPr>
        <w:pStyle w:val="a3"/>
        <w:spacing w:line="446" w:lineRule="auto"/>
        <w:ind w:left="418" w:right="1608" w:firstLine="419"/>
      </w:pPr>
      <w:r>
        <w:rPr>
          <w:spacing w:val="-5"/>
          <w:position w:val="1"/>
        </w:rPr>
        <w:t>车站、码头建筑和民用机场航站楼中建筑面积大于</w:t>
      </w:r>
      <w:r>
        <w:rPr>
          <w:spacing w:val="-5"/>
          <w:position w:val="1"/>
        </w:rPr>
        <w:t xml:space="preserve"> </w:t>
      </w:r>
      <w:r>
        <w:rPr>
          <w:position w:val="1"/>
        </w:rPr>
        <w:t>3000m</w:t>
      </w:r>
      <w:r>
        <w:rPr>
          <w:sz w:val="11"/>
        </w:rPr>
        <w:t>2</w:t>
      </w:r>
      <w:r>
        <w:rPr>
          <w:position w:val="1"/>
          <w:sz w:val="11"/>
        </w:rPr>
        <w:t xml:space="preserve"> </w:t>
      </w:r>
      <w:r>
        <w:rPr>
          <w:spacing w:val="-3"/>
          <w:position w:val="1"/>
        </w:rPr>
        <w:t>的候车、候船厅和航站楼的公</w:t>
      </w:r>
      <w:r>
        <w:rPr>
          <w:spacing w:val="-3"/>
        </w:rPr>
        <w:t>共区。</w:t>
      </w:r>
      <w:r>
        <w:t xml:space="preserve"> </w:t>
      </w:r>
    </w:p>
    <w:p w14:paraId="716CB87C" w14:textId="77777777" w:rsidR="00A71EEF" w:rsidRDefault="0081115D">
      <w:pPr>
        <w:pStyle w:val="a4"/>
        <w:numPr>
          <w:ilvl w:val="2"/>
          <w:numId w:val="689"/>
        </w:numPr>
        <w:tabs>
          <w:tab w:val="left" w:pos="1478"/>
        </w:tabs>
        <w:spacing w:line="446" w:lineRule="auto"/>
        <w:ind w:right="1496" w:firstLine="422"/>
        <w:rPr>
          <w:sz w:val="19"/>
        </w:rPr>
      </w:pPr>
      <w:r>
        <w:rPr>
          <w:spacing w:val="-3"/>
          <w:sz w:val="21"/>
        </w:rPr>
        <w:t>建筑内设置的消防疏散指示标志和消防应急照明灯具，除应符合本规范的规定外，</w:t>
      </w:r>
      <w:r>
        <w:rPr>
          <w:spacing w:val="-3"/>
          <w:sz w:val="21"/>
        </w:rPr>
        <w:t xml:space="preserve"> </w:t>
      </w:r>
      <w:r>
        <w:rPr>
          <w:spacing w:val="-3"/>
          <w:sz w:val="21"/>
        </w:rPr>
        <w:t>还应符合现行国家标准《消防安全标志》</w:t>
      </w:r>
      <w:r>
        <w:rPr>
          <w:sz w:val="21"/>
        </w:rPr>
        <w:t>GB</w:t>
      </w:r>
      <w:r>
        <w:rPr>
          <w:spacing w:val="7"/>
          <w:sz w:val="21"/>
        </w:rPr>
        <w:t xml:space="preserve"> </w:t>
      </w:r>
      <w:r>
        <w:rPr>
          <w:sz w:val="21"/>
        </w:rPr>
        <w:t>13495</w:t>
      </w:r>
      <w:r>
        <w:rPr>
          <w:spacing w:val="-3"/>
          <w:sz w:val="21"/>
        </w:rPr>
        <w:t xml:space="preserve"> </w:t>
      </w:r>
      <w:r>
        <w:rPr>
          <w:spacing w:val="-3"/>
          <w:sz w:val="21"/>
        </w:rPr>
        <w:t>和《消防应急照明和疏散指示系统》</w:t>
      </w:r>
      <w:r>
        <w:rPr>
          <w:sz w:val="21"/>
        </w:rPr>
        <w:t>GB 17945</w:t>
      </w:r>
      <w:r>
        <w:rPr>
          <w:spacing w:val="-3"/>
          <w:sz w:val="21"/>
        </w:rPr>
        <w:t xml:space="preserve"> </w:t>
      </w:r>
      <w:r>
        <w:rPr>
          <w:spacing w:val="-3"/>
          <w:sz w:val="21"/>
        </w:rPr>
        <w:t>的规定。</w:t>
      </w:r>
      <w:r>
        <w:rPr>
          <w:sz w:val="21"/>
        </w:rPr>
        <w:t xml:space="preserve"> </w:t>
      </w:r>
    </w:p>
    <w:p w14:paraId="72EE72CB" w14:textId="77777777" w:rsidR="00A71EEF" w:rsidRDefault="0081115D">
      <w:pPr>
        <w:pStyle w:val="4"/>
        <w:spacing w:line="276" w:lineRule="exact"/>
      </w:pPr>
      <w:r>
        <w:t xml:space="preserve">11 </w:t>
      </w:r>
      <w:r>
        <w:t>木结构建筑</w:t>
      </w:r>
      <w:r>
        <w:rPr>
          <w:w w:val="99"/>
        </w:rPr>
        <w:t xml:space="preserve"> </w:t>
      </w:r>
    </w:p>
    <w:p w14:paraId="40B6B86D" w14:textId="77777777" w:rsidR="00A71EEF" w:rsidRDefault="00A71EEF">
      <w:pPr>
        <w:pStyle w:val="a3"/>
        <w:spacing w:before="4"/>
        <w:rPr>
          <w:b/>
          <w:sz w:val="17"/>
        </w:rPr>
      </w:pPr>
    </w:p>
    <w:p w14:paraId="3CCE0FFB" w14:textId="77777777" w:rsidR="00A71EEF" w:rsidRDefault="0081115D">
      <w:pPr>
        <w:pStyle w:val="a4"/>
        <w:numPr>
          <w:ilvl w:val="1"/>
          <w:numId w:val="687"/>
        </w:numPr>
        <w:tabs>
          <w:tab w:val="left" w:pos="1264"/>
        </w:tabs>
        <w:spacing w:before="1"/>
        <w:rPr>
          <w:sz w:val="19"/>
        </w:rPr>
      </w:pPr>
      <w:r>
        <w:rPr>
          <w:spacing w:val="-3"/>
          <w:sz w:val="21"/>
        </w:rPr>
        <w:t>木结构建筑的防火设计应符合本章的规定，建筑构件的燃烧性能和耐火极限应符合表</w:t>
      </w:r>
    </w:p>
    <w:p w14:paraId="4847D69E" w14:textId="77777777" w:rsidR="00A71EEF" w:rsidRDefault="00A71EEF">
      <w:pPr>
        <w:pStyle w:val="a3"/>
        <w:rPr>
          <w:sz w:val="18"/>
        </w:rPr>
      </w:pPr>
    </w:p>
    <w:p w14:paraId="07013B5A" w14:textId="77777777" w:rsidR="00A71EEF" w:rsidRDefault="0081115D">
      <w:pPr>
        <w:pStyle w:val="a3"/>
        <w:ind w:left="418"/>
      </w:pPr>
      <w:r>
        <w:t xml:space="preserve">11.0.1 </w:t>
      </w:r>
      <w:r>
        <w:t>的规定。</w:t>
      </w:r>
      <w:r>
        <w:t xml:space="preserve"> </w:t>
      </w:r>
    </w:p>
    <w:p w14:paraId="554E97E7" w14:textId="77777777" w:rsidR="00A71EEF" w:rsidRDefault="00A71EEF">
      <w:pPr>
        <w:pStyle w:val="a3"/>
        <w:rPr>
          <w:sz w:val="20"/>
        </w:rPr>
      </w:pPr>
    </w:p>
    <w:p w14:paraId="43265933" w14:textId="77777777" w:rsidR="00A71EEF" w:rsidRDefault="00A71EEF">
      <w:pPr>
        <w:pStyle w:val="a3"/>
        <w:rPr>
          <w:sz w:val="20"/>
        </w:rPr>
      </w:pPr>
    </w:p>
    <w:p w14:paraId="3138E307" w14:textId="77777777" w:rsidR="00A71EEF" w:rsidRDefault="00A71EEF">
      <w:pPr>
        <w:pStyle w:val="a3"/>
        <w:rPr>
          <w:sz w:val="20"/>
        </w:rPr>
      </w:pPr>
    </w:p>
    <w:p w14:paraId="6E6A53CA" w14:textId="77777777" w:rsidR="00A71EEF" w:rsidRDefault="00A71EEF">
      <w:pPr>
        <w:pStyle w:val="a3"/>
        <w:rPr>
          <w:sz w:val="20"/>
        </w:rPr>
      </w:pPr>
    </w:p>
    <w:p w14:paraId="001D5AD5" w14:textId="77777777" w:rsidR="00A71EEF" w:rsidRDefault="00A71EEF">
      <w:pPr>
        <w:pStyle w:val="a3"/>
        <w:rPr>
          <w:sz w:val="20"/>
        </w:rPr>
      </w:pPr>
    </w:p>
    <w:p w14:paraId="013246F8" w14:textId="77777777" w:rsidR="00A71EEF" w:rsidRDefault="00A71EEF">
      <w:pPr>
        <w:pStyle w:val="a3"/>
        <w:rPr>
          <w:sz w:val="20"/>
        </w:rPr>
      </w:pPr>
    </w:p>
    <w:p w14:paraId="00D9444F" w14:textId="77777777" w:rsidR="00A71EEF" w:rsidRDefault="00A71EEF">
      <w:pPr>
        <w:pStyle w:val="a3"/>
        <w:rPr>
          <w:sz w:val="20"/>
        </w:rPr>
      </w:pPr>
    </w:p>
    <w:p w14:paraId="2A1E2CA1" w14:textId="77777777" w:rsidR="00A71EEF" w:rsidRDefault="00A71EEF">
      <w:pPr>
        <w:pStyle w:val="a3"/>
        <w:rPr>
          <w:sz w:val="20"/>
        </w:rPr>
      </w:pPr>
    </w:p>
    <w:p w14:paraId="62A2F5CE" w14:textId="77777777" w:rsidR="00A71EEF" w:rsidRDefault="00A71EEF">
      <w:pPr>
        <w:pStyle w:val="a3"/>
        <w:rPr>
          <w:sz w:val="20"/>
        </w:rPr>
      </w:pPr>
    </w:p>
    <w:p w14:paraId="20BCBE19" w14:textId="77777777" w:rsidR="00A71EEF" w:rsidRDefault="00A71EEF">
      <w:pPr>
        <w:pStyle w:val="a3"/>
        <w:rPr>
          <w:sz w:val="20"/>
        </w:rPr>
      </w:pPr>
    </w:p>
    <w:p w14:paraId="03D58BE5" w14:textId="77777777" w:rsidR="00A71EEF" w:rsidRDefault="00A71EEF">
      <w:pPr>
        <w:pStyle w:val="a3"/>
        <w:rPr>
          <w:sz w:val="20"/>
        </w:rPr>
      </w:pPr>
    </w:p>
    <w:p w14:paraId="32647642" w14:textId="77777777" w:rsidR="00A71EEF" w:rsidRDefault="00A71EEF">
      <w:pPr>
        <w:pStyle w:val="a3"/>
        <w:rPr>
          <w:sz w:val="20"/>
        </w:rPr>
      </w:pPr>
    </w:p>
    <w:p w14:paraId="53197FF1" w14:textId="77777777" w:rsidR="00A71EEF" w:rsidRDefault="00A71EEF">
      <w:pPr>
        <w:pStyle w:val="a3"/>
        <w:rPr>
          <w:sz w:val="20"/>
        </w:rPr>
      </w:pPr>
    </w:p>
    <w:p w14:paraId="144E22B6" w14:textId="77777777" w:rsidR="00A71EEF" w:rsidRDefault="00A71EEF">
      <w:pPr>
        <w:pStyle w:val="a3"/>
        <w:spacing w:before="9"/>
        <w:rPr>
          <w:sz w:val="25"/>
        </w:rPr>
      </w:pPr>
    </w:p>
    <w:p w14:paraId="149651A6" w14:textId="77777777" w:rsidR="00A71EEF" w:rsidRDefault="0081115D">
      <w:pPr>
        <w:spacing w:before="71"/>
        <w:ind w:right="490"/>
        <w:jc w:val="center"/>
        <w:rPr>
          <w:b/>
          <w:sz w:val="21"/>
        </w:rPr>
      </w:pPr>
      <w:r>
        <w:rPr>
          <w:b/>
          <w:color w:val="333333"/>
          <w:w w:val="99"/>
          <w:sz w:val="21"/>
        </w:rPr>
        <w:t xml:space="preserve"> </w:t>
      </w:r>
    </w:p>
    <w:p w14:paraId="65C70340" w14:textId="77777777" w:rsidR="00A71EEF" w:rsidRDefault="00A71EEF">
      <w:pPr>
        <w:jc w:val="center"/>
        <w:rPr>
          <w:sz w:val="21"/>
        </w:rPr>
        <w:sectPr w:rsidR="00A71EEF">
          <w:pgSz w:w="11910" w:h="16850"/>
          <w:pgMar w:top="1220" w:right="0" w:bottom="1420" w:left="1260" w:header="0" w:footer="1239" w:gutter="0"/>
          <w:cols w:space="720"/>
        </w:sectPr>
      </w:pPr>
    </w:p>
    <w:p w14:paraId="1ED4A610" w14:textId="77777777" w:rsidR="00A71EEF" w:rsidRDefault="0081115D">
      <w:pPr>
        <w:spacing w:before="167"/>
        <w:ind w:left="2729"/>
        <w:rPr>
          <w:b/>
          <w:sz w:val="21"/>
        </w:rPr>
      </w:pPr>
      <w:r>
        <w:rPr>
          <w:b/>
          <w:color w:val="333333"/>
          <w:sz w:val="21"/>
        </w:rPr>
        <w:lastRenderedPageBreak/>
        <w:t>表</w:t>
      </w:r>
      <w:r>
        <w:rPr>
          <w:b/>
          <w:color w:val="333333"/>
          <w:sz w:val="21"/>
        </w:rPr>
        <w:t xml:space="preserve"> 11.0.1 </w:t>
      </w:r>
      <w:r>
        <w:rPr>
          <w:b/>
          <w:color w:val="333333"/>
          <w:sz w:val="21"/>
        </w:rPr>
        <w:t>木结构建筑构件的燃烧性能和耐火极限</w:t>
      </w:r>
      <w:r>
        <w:rPr>
          <w:b/>
          <w:w w:val="99"/>
          <w:sz w:val="21"/>
        </w:rPr>
        <w:t xml:space="preserve"> </w:t>
      </w:r>
    </w:p>
    <w:p w14:paraId="5EF3784C" w14:textId="77777777" w:rsidR="00A71EEF" w:rsidRDefault="00A71EEF">
      <w:pPr>
        <w:pStyle w:val="a3"/>
        <w:rPr>
          <w:b/>
          <w:sz w:val="20"/>
        </w:rPr>
      </w:pPr>
    </w:p>
    <w:p w14:paraId="3D5AD633" w14:textId="77777777" w:rsidR="00A71EEF" w:rsidRDefault="0081115D">
      <w:pPr>
        <w:pStyle w:val="a3"/>
        <w:spacing w:before="8"/>
        <w:rPr>
          <w:b/>
          <w:sz w:val="11"/>
        </w:rPr>
      </w:pPr>
      <w:r>
        <w:rPr>
          <w:noProof/>
        </w:rPr>
        <w:drawing>
          <wp:anchor distT="0" distB="0" distL="0" distR="0" simplePos="0" relativeHeight="251548160" behindDoc="0" locked="0" layoutInCell="1" allowOverlap="1" wp14:anchorId="6174854C" wp14:editId="4E2AA23B">
            <wp:simplePos x="0" y="0"/>
            <wp:positionH relativeFrom="page">
              <wp:posOffset>1056005</wp:posOffset>
            </wp:positionH>
            <wp:positionV relativeFrom="paragraph">
              <wp:posOffset>119943</wp:posOffset>
            </wp:positionV>
            <wp:extent cx="5657849" cy="4152900"/>
            <wp:effectExtent l="0" t="0" r="0" b="0"/>
            <wp:wrapTopAndBottom/>
            <wp:docPr id="233" name="image1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145.jpeg"/>
                    <pic:cNvPicPr/>
                  </pic:nvPicPr>
                  <pic:blipFill>
                    <a:blip r:embed="rId149" cstate="print"/>
                    <a:stretch>
                      <a:fillRect/>
                    </a:stretch>
                  </pic:blipFill>
                  <pic:spPr>
                    <a:xfrm>
                      <a:off x="0" y="0"/>
                      <a:ext cx="5657849" cy="4152900"/>
                    </a:xfrm>
                    <a:prstGeom prst="rect">
                      <a:avLst/>
                    </a:prstGeom>
                  </pic:spPr>
                </pic:pic>
              </a:graphicData>
            </a:graphic>
          </wp:anchor>
        </w:drawing>
      </w:r>
    </w:p>
    <w:p w14:paraId="60D82D27" w14:textId="77777777" w:rsidR="00A71EEF" w:rsidRDefault="0081115D">
      <w:pPr>
        <w:pStyle w:val="a3"/>
        <w:spacing w:before="162" w:line="446" w:lineRule="auto"/>
        <w:ind w:left="418" w:right="1609" w:firstLine="419"/>
      </w:pPr>
      <w:r>
        <w:rPr>
          <w:color w:val="333333"/>
        </w:rPr>
        <w:t>注：</w:t>
      </w:r>
      <w:r>
        <w:rPr>
          <w:color w:val="333333"/>
        </w:rPr>
        <w:t>1.</w:t>
      </w:r>
      <w:r>
        <w:rPr>
          <w:color w:val="333333"/>
        </w:rPr>
        <w:t>除本规范另有规定外，当同一座木结构建筑存在不同高度的屋顶时，较低部分的屋顶承重构件和屋面不应采用可燃性构件，采用难燃性屋顶承重构件时，其耐火极限不应低于</w:t>
      </w:r>
      <w:r>
        <w:rPr>
          <w:color w:val="333333"/>
        </w:rPr>
        <w:t>0.75h</w:t>
      </w:r>
      <w:r>
        <w:rPr>
          <w:color w:val="333333"/>
        </w:rPr>
        <w:t>。</w:t>
      </w:r>
      <w:r>
        <w:rPr>
          <w:color w:val="333333"/>
        </w:rPr>
        <w:t xml:space="preserve"> </w:t>
      </w:r>
    </w:p>
    <w:p w14:paraId="60492E12" w14:textId="77777777" w:rsidR="00A71EEF" w:rsidRDefault="0081115D">
      <w:pPr>
        <w:pStyle w:val="a4"/>
        <w:numPr>
          <w:ilvl w:val="0"/>
          <w:numId w:val="686"/>
        </w:numPr>
        <w:tabs>
          <w:tab w:val="left" w:pos="1051"/>
        </w:tabs>
        <w:spacing w:line="446" w:lineRule="auto"/>
        <w:ind w:right="1609" w:firstLine="419"/>
        <w:rPr>
          <w:sz w:val="21"/>
        </w:rPr>
      </w:pPr>
      <w:r>
        <w:rPr>
          <w:color w:val="333333"/>
          <w:spacing w:val="-3"/>
          <w:sz w:val="21"/>
        </w:rPr>
        <w:t>轻型木结构建筑的屋顶，除防水层、保温层及屋面板外，其他部分均应视为屋顶承重构</w:t>
      </w:r>
      <w:r>
        <w:rPr>
          <w:color w:val="333333"/>
          <w:spacing w:val="-6"/>
          <w:sz w:val="21"/>
        </w:rPr>
        <w:t>件，且不应采用可燃性构件，耐火极限不应低于</w:t>
      </w:r>
      <w:r>
        <w:rPr>
          <w:color w:val="333333"/>
          <w:spacing w:val="-6"/>
          <w:sz w:val="21"/>
        </w:rPr>
        <w:t xml:space="preserve"> </w:t>
      </w:r>
      <w:r>
        <w:rPr>
          <w:color w:val="333333"/>
          <w:sz w:val="21"/>
        </w:rPr>
        <w:t>0.50h</w:t>
      </w:r>
      <w:r>
        <w:rPr>
          <w:color w:val="333333"/>
          <w:spacing w:val="-3"/>
          <w:sz w:val="21"/>
        </w:rPr>
        <w:t>。</w:t>
      </w:r>
      <w:r>
        <w:rPr>
          <w:color w:val="333333"/>
          <w:sz w:val="21"/>
        </w:rPr>
        <w:t xml:space="preserve"> </w:t>
      </w:r>
    </w:p>
    <w:p w14:paraId="727960DF" w14:textId="77777777" w:rsidR="00A71EEF" w:rsidRDefault="0081115D">
      <w:pPr>
        <w:pStyle w:val="a4"/>
        <w:numPr>
          <w:ilvl w:val="0"/>
          <w:numId w:val="686"/>
        </w:numPr>
        <w:tabs>
          <w:tab w:val="left" w:pos="1051"/>
        </w:tabs>
        <w:spacing w:line="446" w:lineRule="auto"/>
        <w:ind w:right="1558" w:firstLine="419"/>
        <w:rPr>
          <w:sz w:val="21"/>
        </w:rPr>
      </w:pPr>
      <w:r>
        <w:rPr>
          <w:color w:val="333333"/>
          <w:spacing w:val="-8"/>
          <w:sz w:val="21"/>
        </w:rPr>
        <w:t>当建筑的层数不超过</w:t>
      </w:r>
      <w:r>
        <w:rPr>
          <w:color w:val="333333"/>
          <w:spacing w:val="-8"/>
          <w:sz w:val="21"/>
        </w:rPr>
        <w:t xml:space="preserve"> </w:t>
      </w:r>
      <w:r>
        <w:rPr>
          <w:color w:val="333333"/>
          <w:spacing w:val="-3"/>
          <w:sz w:val="21"/>
        </w:rPr>
        <w:t>2</w:t>
      </w:r>
      <w:r>
        <w:rPr>
          <w:color w:val="333333"/>
          <w:spacing w:val="-7"/>
          <w:sz w:val="21"/>
        </w:rPr>
        <w:t xml:space="preserve"> </w:t>
      </w:r>
      <w:r>
        <w:rPr>
          <w:color w:val="333333"/>
          <w:spacing w:val="-7"/>
          <w:sz w:val="21"/>
        </w:rPr>
        <w:t>层、防火墙间的建筑面积小于</w:t>
      </w:r>
      <w:r>
        <w:rPr>
          <w:color w:val="333333"/>
          <w:spacing w:val="-7"/>
          <w:sz w:val="21"/>
        </w:rPr>
        <w:t xml:space="preserve"> </w:t>
      </w:r>
      <w:r>
        <w:rPr>
          <w:color w:val="333333"/>
          <w:sz w:val="21"/>
        </w:rPr>
        <w:t>600m</w:t>
      </w:r>
      <w:r>
        <w:rPr>
          <w:color w:val="333333"/>
          <w:position w:val="11"/>
          <w:sz w:val="11"/>
        </w:rPr>
        <w:t>2</w:t>
      </w:r>
      <w:r>
        <w:rPr>
          <w:color w:val="333333"/>
          <w:spacing w:val="1"/>
          <w:sz w:val="11"/>
        </w:rPr>
        <w:t xml:space="preserve">   </w:t>
      </w:r>
      <w:r>
        <w:rPr>
          <w:color w:val="333333"/>
          <w:spacing w:val="-3"/>
          <w:sz w:val="21"/>
        </w:rPr>
        <w:t>且防火墙间的建筑长度小</w:t>
      </w:r>
      <w:r>
        <w:rPr>
          <w:color w:val="333333"/>
          <w:spacing w:val="-26"/>
          <w:sz w:val="21"/>
        </w:rPr>
        <w:t>于</w:t>
      </w:r>
      <w:r>
        <w:rPr>
          <w:color w:val="333333"/>
          <w:spacing w:val="-26"/>
          <w:sz w:val="21"/>
        </w:rPr>
        <w:t xml:space="preserve"> </w:t>
      </w:r>
      <w:r>
        <w:rPr>
          <w:color w:val="333333"/>
          <w:sz w:val="21"/>
        </w:rPr>
        <w:t>60m</w:t>
      </w:r>
      <w:r>
        <w:rPr>
          <w:color w:val="333333"/>
          <w:spacing w:val="-3"/>
          <w:sz w:val="21"/>
        </w:rPr>
        <w:t xml:space="preserve"> </w:t>
      </w:r>
      <w:r>
        <w:rPr>
          <w:color w:val="333333"/>
          <w:spacing w:val="-3"/>
          <w:sz w:val="21"/>
        </w:rPr>
        <w:t>时，建筑构件的燃烧性能和耐火极限可按本规范有关四级耐火等级建筑的要求确定。</w:t>
      </w:r>
      <w:r>
        <w:rPr>
          <w:color w:val="333333"/>
          <w:sz w:val="21"/>
        </w:rPr>
        <w:t xml:space="preserve"> </w:t>
      </w:r>
    </w:p>
    <w:p w14:paraId="35864047" w14:textId="77777777" w:rsidR="00A71EEF" w:rsidRDefault="0081115D">
      <w:pPr>
        <w:pStyle w:val="a4"/>
        <w:numPr>
          <w:ilvl w:val="1"/>
          <w:numId w:val="687"/>
        </w:numPr>
        <w:tabs>
          <w:tab w:val="left" w:pos="1266"/>
        </w:tabs>
        <w:ind w:left="1265" w:hanging="426"/>
        <w:rPr>
          <w:color w:val="333333"/>
          <w:sz w:val="19"/>
        </w:rPr>
      </w:pPr>
      <w:r>
        <w:rPr>
          <w:color w:val="333333"/>
          <w:spacing w:val="-3"/>
          <w:sz w:val="21"/>
        </w:rPr>
        <w:t>建筑采用木骨架组合墙</w:t>
      </w:r>
      <w:r>
        <w:rPr>
          <w:color w:val="333333"/>
          <w:spacing w:val="-3"/>
          <w:sz w:val="21"/>
        </w:rPr>
        <w:t>体时，应符合下列规定：</w:t>
      </w:r>
      <w:r>
        <w:rPr>
          <w:color w:val="333333"/>
          <w:spacing w:val="-3"/>
          <w:sz w:val="21"/>
        </w:rPr>
        <w:t xml:space="preserve"> </w:t>
      </w:r>
    </w:p>
    <w:p w14:paraId="7A5CA19B" w14:textId="77777777" w:rsidR="00A71EEF" w:rsidRDefault="00A71EEF">
      <w:pPr>
        <w:pStyle w:val="a3"/>
        <w:spacing w:before="2"/>
        <w:rPr>
          <w:sz w:val="17"/>
        </w:rPr>
      </w:pPr>
    </w:p>
    <w:p w14:paraId="4EB0B1E4" w14:textId="77777777" w:rsidR="00A71EEF" w:rsidRDefault="0081115D">
      <w:pPr>
        <w:pStyle w:val="a3"/>
        <w:spacing w:line="446" w:lineRule="auto"/>
        <w:ind w:left="418" w:right="1608" w:firstLine="419"/>
      </w:pPr>
      <w:r>
        <w:rPr>
          <w:color w:val="333333"/>
          <w:spacing w:val="-9"/>
        </w:rPr>
        <w:t>建筑高度不大于</w:t>
      </w:r>
      <w:r>
        <w:rPr>
          <w:color w:val="333333"/>
          <w:spacing w:val="-9"/>
        </w:rPr>
        <w:t xml:space="preserve"> </w:t>
      </w:r>
      <w:r>
        <w:rPr>
          <w:color w:val="333333"/>
        </w:rPr>
        <w:t>18m</w:t>
      </w:r>
      <w:r>
        <w:rPr>
          <w:color w:val="333333"/>
          <w:spacing w:val="-7"/>
        </w:rPr>
        <w:t xml:space="preserve"> </w:t>
      </w:r>
      <w:r>
        <w:rPr>
          <w:color w:val="333333"/>
          <w:spacing w:val="-7"/>
        </w:rPr>
        <w:t>的住宅建筑、建筑高度不大于</w:t>
      </w:r>
      <w:r>
        <w:rPr>
          <w:color w:val="333333"/>
          <w:spacing w:val="-7"/>
        </w:rPr>
        <w:t xml:space="preserve"> </w:t>
      </w:r>
      <w:r>
        <w:rPr>
          <w:color w:val="333333"/>
        </w:rPr>
        <w:t>24m</w:t>
      </w:r>
      <w:r>
        <w:rPr>
          <w:color w:val="333333"/>
          <w:spacing w:val="-3"/>
        </w:rPr>
        <w:t xml:space="preserve"> </w:t>
      </w:r>
      <w:r>
        <w:rPr>
          <w:color w:val="333333"/>
          <w:spacing w:val="-3"/>
        </w:rPr>
        <w:t>的办公建筑和丁、戊类厂房</w:t>
      </w:r>
      <w:r>
        <w:rPr>
          <w:color w:val="333333"/>
        </w:rPr>
        <w:t>（库房）</w:t>
      </w:r>
      <w:r>
        <w:rPr>
          <w:color w:val="333333"/>
          <w:spacing w:val="-3"/>
        </w:rPr>
        <w:t>的房间隔墙和非承重外墙可采用木骨架组合墙体，其他建筑的非承重外墙不得采用木骨架组合墙体；</w:t>
      </w:r>
      <w:r>
        <w:rPr>
          <w:color w:val="333333"/>
        </w:rPr>
        <w:t xml:space="preserve"> </w:t>
      </w:r>
    </w:p>
    <w:p w14:paraId="6BA557F5" w14:textId="77777777" w:rsidR="00A71EEF" w:rsidRDefault="0081115D">
      <w:pPr>
        <w:pStyle w:val="a3"/>
        <w:spacing w:line="268" w:lineRule="exact"/>
        <w:ind w:left="838"/>
      </w:pPr>
      <w:r>
        <w:rPr>
          <w:color w:val="333333"/>
        </w:rPr>
        <w:t>墙体填充材料的燃烧性能应为</w:t>
      </w:r>
      <w:r>
        <w:rPr>
          <w:color w:val="333333"/>
        </w:rPr>
        <w:t xml:space="preserve"> A </w:t>
      </w:r>
      <w:r>
        <w:rPr>
          <w:color w:val="333333"/>
        </w:rPr>
        <w:t>级；</w:t>
      </w:r>
      <w:r>
        <w:rPr>
          <w:color w:val="333333"/>
        </w:rPr>
        <w:t xml:space="preserve"> </w:t>
      </w:r>
    </w:p>
    <w:p w14:paraId="412C53EE" w14:textId="77777777" w:rsidR="00A71EEF" w:rsidRDefault="00A71EEF">
      <w:pPr>
        <w:spacing w:line="268" w:lineRule="exact"/>
        <w:sectPr w:rsidR="00A71EEF">
          <w:pgSz w:w="11910" w:h="16850"/>
          <w:pgMar w:top="1600" w:right="0" w:bottom="1420" w:left="1260" w:header="0" w:footer="1239" w:gutter="0"/>
          <w:cols w:space="720"/>
        </w:sectPr>
      </w:pPr>
    </w:p>
    <w:p w14:paraId="5C9CAA1A" w14:textId="77777777" w:rsidR="00A71EEF" w:rsidRDefault="0081115D">
      <w:pPr>
        <w:pStyle w:val="a3"/>
        <w:spacing w:before="47" w:line="446" w:lineRule="auto"/>
        <w:ind w:left="418" w:right="1394" w:firstLine="419"/>
      </w:pPr>
      <w:r>
        <w:rPr>
          <w:color w:val="333333"/>
        </w:rPr>
        <w:lastRenderedPageBreak/>
        <w:t>木骨架组合墙体的燃烧性能和耐火极限应符合表</w:t>
      </w:r>
      <w:r>
        <w:rPr>
          <w:color w:val="333333"/>
        </w:rPr>
        <w:t xml:space="preserve"> 11.0.2 </w:t>
      </w:r>
      <w:r>
        <w:rPr>
          <w:color w:val="333333"/>
        </w:rPr>
        <w:t>的规定，其他要求应符合现行国家标准《木骨架组合墙体技术规范》</w:t>
      </w:r>
      <w:r>
        <w:rPr>
          <w:color w:val="333333"/>
        </w:rPr>
        <w:t xml:space="preserve">GB/T 50361 </w:t>
      </w:r>
      <w:r>
        <w:rPr>
          <w:color w:val="333333"/>
        </w:rPr>
        <w:t>的规定。</w:t>
      </w:r>
      <w:r>
        <w:rPr>
          <w:color w:val="333333"/>
        </w:rPr>
        <w:t xml:space="preserve"> </w:t>
      </w:r>
    </w:p>
    <w:p w14:paraId="01367CB8" w14:textId="77777777" w:rsidR="00A71EEF" w:rsidRDefault="0081115D">
      <w:pPr>
        <w:spacing w:line="267" w:lineRule="exact"/>
        <w:ind w:left="2465"/>
        <w:rPr>
          <w:b/>
          <w:sz w:val="21"/>
        </w:rPr>
      </w:pPr>
      <w:r>
        <w:rPr>
          <w:b/>
          <w:color w:val="333333"/>
          <w:sz w:val="21"/>
        </w:rPr>
        <w:t>表</w:t>
      </w:r>
      <w:r>
        <w:rPr>
          <w:b/>
          <w:color w:val="333333"/>
          <w:sz w:val="21"/>
        </w:rPr>
        <w:t xml:space="preserve"> 11.0.2 </w:t>
      </w:r>
      <w:r>
        <w:rPr>
          <w:b/>
          <w:color w:val="333333"/>
          <w:sz w:val="21"/>
        </w:rPr>
        <w:t>木骨架组合墙体的燃烧性能和耐火极限（</w:t>
      </w:r>
      <w:r>
        <w:rPr>
          <w:b/>
          <w:color w:val="333333"/>
          <w:sz w:val="21"/>
        </w:rPr>
        <w:t>h</w:t>
      </w:r>
      <w:r>
        <w:rPr>
          <w:b/>
          <w:color w:val="333333"/>
          <w:sz w:val="21"/>
        </w:rPr>
        <w:t>）</w:t>
      </w:r>
      <w:r>
        <w:rPr>
          <w:b/>
          <w:color w:val="333333"/>
          <w:w w:val="99"/>
          <w:sz w:val="21"/>
        </w:rPr>
        <w:t xml:space="preserve"> </w:t>
      </w:r>
    </w:p>
    <w:p w14:paraId="225B4715" w14:textId="77777777" w:rsidR="00A71EEF" w:rsidRDefault="00A71EEF">
      <w:pPr>
        <w:pStyle w:val="a3"/>
        <w:rPr>
          <w:b/>
          <w:sz w:val="20"/>
        </w:rPr>
      </w:pPr>
    </w:p>
    <w:p w14:paraId="22C2B8DD" w14:textId="77777777" w:rsidR="00A71EEF" w:rsidRDefault="0081115D">
      <w:pPr>
        <w:pStyle w:val="a3"/>
        <w:spacing w:before="7"/>
        <w:rPr>
          <w:b/>
          <w:sz w:val="10"/>
        </w:rPr>
      </w:pPr>
      <w:r>
        <w:rPr>
          <w:noProof/>
        </w:rPr>
        <w:drawing>
          <wp:anchor distT="0" distB="0" distL="0" distR="0" simplePos="0" relativeHeight="251549184" behindDoc="0" locked="0" layoutInCell="1" allowOverlap="1" wp14:anchorId="549E814E" wp14:editId="5FD37F4D">
            <wp:simplePos x="0" y="0"/>
            <wp:positionH relativeFrom="page">
              <wp:posOffset>1176655</wp:posOffset>
            </wp:positionH>
            <wp:positionV relativeFrom="paragraph">
              <wp:posOffset>111180</wp:posOffset>
            </wp:positionV>
            <wp:extent cx="5257800" cy="1266825"/>
            <wp:effectExtent l="0" t="0" r="0" b="0"/>
            <wp:wrapTopAndBottom/>
            <wp:docPr id="235" name="image1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146.jpeg"/>
                    <pic:cNvPicPr/>
                  </pic:nvPicPr>
                  <pic:blipFill>
                    <a:blip r:embed="rId150" cstate="print"/>
                    <a:stretch>
                      <a:fillRect/>
                    </a:stretch>
                  </pic:blipFill>
                  <pic:spPr>
                    <a:xfrm>
                      <a:off x="0" y="0"/>
                      <a:ext cx="5257800" cy="1266825"/>
                    </a:xfrm>
                    <a:prstGeom prst="rect">
                      <a:avLst/>
                    </a:prstGeom>
                  </pic:spPr>
                </pic:pic>
              </a:graphicData>
            </a:graphic>
          </wp:anchor>
        </w:drawing>
      </w:r>
    </w:p>
    <w:p w14:paraId="233AB929" w14:textId="77777777" w:rsidR="00A71EEF" w:rsidRDefault="0081115D">
      <w:pPr>
        <w:pStyle w:val="a4"/>
        <w:numPr>
          <w:ilvl w:val="1"/>
          <w:numId w:val="687"/>
        </w:numPr>
        <w:tabs>
          <w:tab w:val="left" w:pos="1264"/>
        </w:tabs>
        <w:spacing w:before="164"/>
        <w:rPr>
          <w:color w:val="333333"/>
          <w:sz w:val="19"/>
        </w:rPr>
      </w:pPr>
      <w:r>
        <w:rPr>
          <w:color w:val="333333"/>
          <w:spacing w:val="-3"/>
          <w:sz w:val="21"/>
        </w:rPr>
        <w:t>甲、乙、丙类厂房（</w:t>
      </w:r>
      <w:r>
        <w:rPr>
          <w:color w:val="333333"/>
          <w:sz w:val="21"/>
        </w:rPr>
        <w:t>库房</w:t>
      </w:r>
      <w:r>
        <w:rPr>
          <w:color w:val="333333"/>
          <w:spacing w:val="-3"/>
          <w:sz w:val="21"/>
        </w:rPr>
        <w:t>）不应采用木结构建筑或木结构组合建筑。丁、戊类厂房</w:t>
      </w:r>
    </w:p>
    <w:p w14:paraId="1EDE24F0" w14:textId="77777777" w:rsidR="00A71EEF" w:rsidRDefault="00A71EEF">
      <w:pPr>
        <w:pStyle w:val="a3"/>
        <w:spacing w:before="12"/>
        <w:rPr>
          <w:sz w:val="17"/>
        </w:rPr>
      </w:pPr>
    </w:p>
    <w:p w14:paraId="4B3BCE83" w14:textId="77777777" w:rsidR="00A71EEF" w:rsidRDefault="0081115D">
      <w:pPr>
        <w:pStyle w:val="a3"/>
        <w:spacing w:line="446" w:lineRule="auto"/>
        <w:ind w:left="418" w:right="1450"/>
      </w:pPr>
      <w:r>
        <w:rPr>
          <w:color w:val="333333"/>
        </w:rPr>
        <w:t>（</w:t>
      </w:r>
      <w:r>
        <w:rPr>
          <w:color w:val="333333"/>
          <w:spacing w:val="-2"/>
        </w:rPr>
        <w:t>库房</w:t>
      </w:r>
      <w:r>
        <w:rPr>
          <w:color w:val="333333"/>
        </w:rPr>
        <w:t>）</w:t>
      </w:r>
      <w:r>
        <w:rPr>
          <w:color w:val="333333"/>
          <w:spacing w:val="-3"/>
        </w:rPr>
        <w:t>和民用建筑，当采用木结构建筑或木结构组合建筑，其允许层数和允许建筑高度应符</w:t>
      </w:r>
      <w:r>
        <w:rPr>
          <w:color w:val="333333"/>
          <w:spacing w:val="-3"/>
        </w:rPr>
        <w:t xml:space="preserve"> </w:t>
      </w:r>
      <w:r>
        <w:rPr>
          <w:color w:val="333333"/>
          <w:spacing w:val="-16"/>
        </w:rPr>
        <w:t>合表</w:t>
      </w:r>
      <w:r>
        <w:rPr>
          <w:color w:val="333333"/>
          <w:spacing w:val="-16"/>
        </w:rPr>
        <w:t xml:space="preserve"> </w:t>
      </w:r>
      <w:r>
        <w:rPr>
          <w:color w:val="333333"/>
        </w:rPr>
        <w:t>11.0.3-1</w:t>
      </w:r>
      <w:r>
        <w:rPr>
          <w:color w:val="333333"/>
          <w:spacing w:val="-3"/>
        </w:rPr>
        <w:t xml:space="preserve"> </w:t>
      </w:r>
      <w:r>
        <w:rPr>
          <w:color w:val="333333"/>
          <w:spacing w:val="-3"/>
        </w:rPr>
        <w:t>的规定，木结构建筑中防火墙间的允许建筑长度和每层最大允许建筑面积应符合</w:t>
      </w:r>
    </w:p>
    <w:p w14:paraId="506E4614" w14:textId="77777777" w:rsidR="00A71EEF" w:rsidRDefault="0081115D">
      <w:pPr>
        <w:pStyle w:val="a3"/>
        <w:ind w:left="418"/>
        <w:rPr>
          <w:sz w:val="24"/>
        </w:rPr>
      </w:pPr>
      <w:r>
        <w:rPr>
          <w:color w:val="333333"/>
        </w:rPr>
        <w:t>表</w:t>
      </w:r>
      <w:r>
        <w:rPr>
          <w:color w:val="333333"/>
        </w:rPr>
        <w:t xml:space="preserve"> 11.0.3-2 </w:t>
      </w:r>
      <w:r>
        <w:rPr>
          <w:color w:val="333333"/>
        </w:rPr>
        <w:t>的规定。</w:t>
      </w:r>
      <w:r>
        <w:rPr>
          <w:sz w:val="24"/>
        </w:rPr>
        <w:t xml:space="preserve"> </w:t>
      </w:r>
    </w:p>
    <w:p w14:paraId="31833E30" w14:textId="77777777" w:rsidR="00A71EEF" w:rsidRDefault="0081115D">
      <w:pPr>
        <w:spacing w:before="129"/>
        <w:ind w:left="1915"/>
        <w:rPr>
          <w:b/>
          <w:sz w:val="24"/>
        </w:rPr>
      </w:pPr>
      <w:r>
        <w:rPr>
          <w:noProof/>
        </w:rPr>
        <w:drawing>
          <wp:anchor distT="0" distB="0" distL="0" distR="0" simplePos="0" relativeHeight="251550208" behindDoc="0" locked="0" layoutInCell="1" allowOverlap="1" wp14:anchorId="4FC79160" wp14:editId="3620F900">
            <wp:simplePos x="0" y="0"/>
            <wp:positionH relativeFrom="page">
              <wp:posOffset>1084580</wp:posOffset>
            </wp:positionH>
            <wp:positionV relativeFrom="paragraph">
              <wp:posOffset>303275</wp:posOffset>
            </wp:positionV>
            <wp:extent cx="5353050" cy="1095375"/>
            <wp:effectExtent l="0" t="0" r="0" b="0"/>
            <wp:wrapTopAndBottom/>
            <wp:docPr id="237" name="image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147.jpeg"/>
                    <pic:cNvPicPr/>
                  </pic:nvPicPr>
                  <pic:blipFill>
                    <a:blip r:embed="rId151" cstate="print"/>
                    <a:stretch>
                      <a:fillRect/>
                    </a:stretch>
                  </pic:blipFill>
                  <pic:spPr>
                    <a:xfrm>
                      <a:off x="0" y="0"/>
                      <a:ext cx="5353050" cy="1095375"/>
                    </a:xfrm>
                    <a:prstGeom prst="rect">
                      <a:avLst/>
                    </a:prstGeom>
                  </pic:spPr>
                </pic:pic>
              </a:graphicData>
            </a:graphic>
          </wp:anchor>
        </w:drawing>
      </w:r>
      <w:r>
        <w:rPr>
          <w:b/>
          <w:color w:val="333333"/>
          <w:sz w:val="21"/>
        </w:rPr>
        <w:t>表</w:t>
      </w:r>
      <w:r>
        <w:rPr>
          <w:b/>
          <w:color w:val="333333"/>
          <w:sz w:val="21"/>
        </w:rPr>
        <w:t xml:space="preserve"> 11.3-1 </w:t>
      </w:r>
      <w:r>
        <w:rPr>
          <w:b/>
          <w:color w:val="333333"/>
          <w:sz w:val="21"/>
        </w:rPr>
        <w:t>木结构建筑或木结构组合建筑的允许层数和允许建筑高度</w:t>
      </w:r>
      <w:r>
        <w:rPr>
          <w:b/>
          <w:w w:val="99"/>
          <w:sz w:val="24"/>
        </w:rPr>
        <w:t xml:space="preserve"> </w:t>
      </w:r>
    </w:p>
    <w:p w14:paraId="12F597E0" w14:textId="77777777" w:rsidR="00A71EEF" w:rsidRDefault="00A71EEF">
      <w:pPr>
        <w:pStyle w:val="a3"/>
        <w:spacing w:before="12"/>
        <w:rPr>
          <w:b/>
          <w:sz w:val="32"/>
        </w:rPr>
      </w:pPr>
    </w:p>
    <w:p w14:paraId="72D01715" w14:textId="77777777" w:rsidR="00A71EEF" w:rsidRDefault="0081115D">
      <w:pPr>
        <w:ind w:left="898"/>
        <w:rPr>
          <w:b/>
          <w:sz w:val="24"/>
        </w:rPr>
      </w:pPr>
      <w:r>
        <w:rPr>
          <w:b/>
          <w:color w:val="333333"/>
          <w:sz w:val="21"/>
        </w:rPr>
        <w:t>表</w:t>
      </w:r>
      <w:r>
        <w:rPr>
          <w:b/>
          <w:color w:val="333333"/>
          <w:sz w:val="21"/>
        </w:rPr>
        <w:t xml:space="preserve"> 11.3-2 </w:t>
      </w:r>
      <w:r>
        <w:rPr>
          <w:b/>
          <w:color w:val="333333"/>
          <w:sz w:val="21"/>
        </w:rPr>
        <w:t>木结构建筑中防火墙间的允许建筑长度和每层最大允许建筑面积</w:t>
      </w:r>
      <w:r>
        <w:rPr>
          <w:b/>
          <w:w w:val="99"/>
          <w:sz w:val="24"/>
        </w:rPr>
        <w:t xml:space="preserve"> </w:t>
      </w:r>
    </w:p>
    <w:p w14:paraId="34126F00" w14:textId="77777777" w:rsidR="00A71EEF" w:rsidRDefault="0081115D">
      <w:pPr>
        <w:spacing w:before="52"/>
        <w:ind w:left="898"/>
        <w:rPr>
          <w:sz w:val="24"/>
        </w:rPr>
      </w:pPr>
      <w:r>
        <w:rPr>
          <w:noProof/>
        </w:rPr>
        <w:drawing>
          <wp:anchor distT="0" distB="0" distL="0" distR="0" simplePos="0" relativeHeight="251551232" behindDoc="0" locked="0" layoutInCell="1" allowOverlap="1" wp14:anchorId="29FD48C6" wp14:editId="74DD8A40">
            <wp:simplePos x="0" y="0"/>
            <wp:positionH relativeFrom="page">
              <wp:posOffset>1084580</wp:posOffset>
            </wp:positionH>
            <wp:positionV relativeFrom="paragraph">
              <wp:posOffset>276859</wp:posOffset>
            </wp:positionV>
            <wp:extent cx="5355754" cy="1257300"/>
            <wp:effectExtent l="0" t="0" r="0" b="0"/>
            <wp:wrapTopAndBottom/>
            <wp:docPr id="239" name="image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148.jpeg"/>
                    <pic:cNvPicPr/>
                  </pic:nvPicPr>
                  <pic:blipFill>
                    <a:blip r:embed="rId152" cstate="print"/>
                    <a:stretch>
                      <a:fillRect/>
                    </a:stretch>
                  </pic:blipFill>
                  <pic:spPr>
                    <a:xfrm>
                      <a:off x="0" y="0"/>
                      <a:ext cx="5355754" cy="1257300"/>
                    </a:xfrm>
                    <a:prstGeom prst="rect">
                      <a:avLst/>
                    </a:prstGeom>
                  </pic:spPr>
                </pic:pic>
              </a:graphicData>
            </a:graphic>
          </wp:anchor>
        </w:drawing>
      </w:r>
      <w:r>
        <w:rPr>
          <w:sz w:val="24"/>
        </w:rPr>
        <w:t xml:space="preserve"> </w:t>
      </w:r>
    </w:p>
    <w:p w14:paraId="42391BE8" w14:textId="77777777" w:rsidR="00A71EEF" w:rsidRDefault="0081115D">
      <w:pPr>
        <w:pStyle w:val="a3"/>
        <w:spacing w:before="162" w:line="446" w:lineRule="auto"/>
        <w:ind w:left="418" w:right="1455" w:firstLine="419"/>
      </w:pPr>
      <w:r>
        <w:t>注：</w:t>
      </w:r>
      <w:r>
        <w:t>1</w:t>
      </w:r>
      <w:r>
        <w:rPr>
          <w:spacing w:val="-3"/>
        </w:rPr>
        <w:t>.</w:t>
      </w:r>
      <w:r>
        <w:rPr>
          <w:spacing w:val="-3"/>
        </w:rPr>
        <w:t>当设置自动喷水灭火系统时，防火墙间的允许建筑长度和每层</w:t>
      </w:r>
      <w:r>
        <w:rPr>
          <w:spacing w:val="-3"/>
        </w:rPr>
        <w:t>最大允许建筑面积可</w:t>
      </w:r>
      <w:r>
        <w:rPr>
          <w:spacing w:val="-3"/>
        </w:rPr>
        <w:t xml:space="preserve"> </w:t>
      </w:r>
      <w:r>
        <w:rPr>
          <w:spacing w:val="-8"/>
        </w:rPr>
        <w:t>按本表的规定增加</w:t>
      </w:r>
      <w:r>
        <w:rPr>
          <w:spacing w:val="-8"/>
        </w:rPr>
        <w:t xml:space="preserve"> </w:t>
      </w:r>
      <w:r>
        <w:t>1.0</w:t>
      </w:r>
      <w:r>
        <w:rPr>
          <w:spacing w:val="-3"/>
        </w:rPr>
        <w:t xml:space="preserve"> </w:t>
      </w:r>
      <w:r>
        <w:rPr>
          <w:spacing w:val="-3"/>
        </w:rPr>
        <w:t>倍，对于丁、戊类地上厂房，防火墙间的每层最大允许建筑面积不限。</w:t>
      </w:r>
      <w:r>
        <w:t xml:space="preserve"> </w:t>
      </w:r>
    </w:p>
    <w:p w14:paraId="23F06302" w14:textId="77777777" w:rsidR="00A71EEF" w:rsidRDefault="0081115D">
      <w:pPr>
        <w:pStyle w:val="a3"/>
        <w:ind w:left="838"/>
      </w:pPr>
      <w:r>
        <w:t>2.</w:t>
      </w:r>
      <w:r>
        <w:t>体育场馆等高大空间建筑，其建筑高度和建筑面积可适当增加。</w:t>
      </w:r>
      <w:r>
        <w:t xml:space="preserve"> </w:t>
      </w:r>
    </w:p>
    <w:p w14:paraId="58130164" w14:textId="77777777" w:rsidR="00A71EEF" w:rsidRDefault="00A71EEF">
      <w:pPr>
        <w:pStyle w:val="a3"/>
        <w:rPr>
          <w:sz w:val="18"/>
        </w:rPr>
      </w:pPr>
    </w:p>
    <w:p w14:paraId="6C2945F9" w14:textId="77777777" w:rsidR="00A71EEF" w:rsidRDefault="0081115D">
      <w:pPr>
        <w:pStyle w:val="a4"/>
        <w:numPr>
          <w:ilvl w:val="1"/>
          <w:numId w:val="687"/>
        </w:numPr>
        <w:tabs>
          <w:tab w:val="left" w:pos="1264"/>
        </w:tabs>
        <w:spacing w:line="446" w:lineRule="auto"/>
        <w:ind w:left="418" w:right="1498" w:firstLine="422"/>
        <w:rPr>
          <w:color w:val="333333"/>
          <w:sz w:val="19"/>
        </w:rPr>
      </w:pPr>
      <w:r>
        <w:rPr>
          <w:color w:val="333333"/>
          <w:spacing w:val="-3"/>
          <w:sz w:val="21"/>
        </w:rPr>
        <w:t>老年人照料设施，托儿所、幼儿园的儿童用房和活动场所设置在木结构建筑内时，应布置在首层或二层。</w:t>
      </w:r>
      <w:r>
        <w:rPr>
          <w:sz w:val="21"/>
        </w:rPr>
        <w:t xml:space="preserve"> </w:t>
      </w:r>
    </w:p>
    <w:p w14:paraId="066E49D6" w14:textId="77777777" w:rsidR="00A71EEF" w:rsidRDefault="0081115D">
      <w:pPr>
        <w:pStyle w:val="a3"/>
        <w:ind w:left="838"/>
      </w:pPr>
      <w:r>
        <w:rPr>
          <w:color w:val="333333"/>
        </w:rPr>
        <w:t>商店、体育馆和丁、戊类厂房（库房）应采用单层木结构建筑。</w:t>
      </w:r>
      <w:r>
        <w:t xml:space="preserve"> </w:t>
      </w:r>
    </w:p>
    <w:p w14:paraId="50134B44" w14:textId="77777777" w:rsidR="00A71EEF" w:rsidRDefault="00A71EEF">
      <w:pPr>
        <w:sectPr w:rsidR="00A71EEF">
          <w:pgSz w:w="11910" w:h="16850"/>
          <w:pgMar w:top="1220" w:right="0" w:bottom="1420" w:left="1260" w:header="0" w:footer="1239" w:gutter="0"/>
          <w:cols w:space="720"/>
        </w:sectPr>
      </w:pPr>
    </w:p>
    <w:p w14:paraId="0F3B5635" w14:textId="77777777" w:rsidR="00A71EEF" w:rsidRDefault="0081115D">
      <w:pPr>
        <w:pStyle w:val="a4"/>
        <w:numPr>
          <w:ilvl w:val="1"/>
          <w:numId w:val="687"/>
        </w:numPr>
        <w:tabs>
          <w:tab w:val="left" w:pos="1266"/>
        </w:tabs>
        <w:spacing w:before="47" w:line="446" w:lineRule="auto"/>
        <w:ind w:left="418" w:right="1498" w:firstLine="422"/>
        <w:rPr>
          <w:sz w:val="19"/>
        </w:rPr>
      </w:pPr>
      <w:r>
        <w:rPr>
          <w:spacing w:val="-3"/>
          <w:sz w:val="21"/>
        </w:rPr>
        <w:lastRenderedPageBreak/>
        <w:t>除住宅建筑外，建筑内发电机间、配电间、锅炉间的设置及其防火要求，应符合本规</w:t>
      </w:r>
      <w:r>
        <w:rPr>
          <w:spacing w:val="-20"/>
          <w:sz w:val="21"/>
        </w:rPr>
        <w:t>范第</w:t>
      </w:r>
      <w:r>
        <w:rPr>
          <w:spacing w:val="-20"/>
          <w:sz w:val="21"/>
        </w:rPr>
        <w:t xml:space="preserve"> </w:t>
      </w:r>
      <w:r>
        <w:rPr>
          <w:sz w:val="21"/>
        </w:rPr>
        <w:t>5.4.12</w:t>
      </w:r>
      <w:r>
        <w:rPr>
          <w:spacing w:val="-2"/>
          <w:sz w:val="21"/>
        </w:rPr>
        <w:t xml:space="preserve"> </w:t>
      </w:r>
      <w:r>
        <w:rPr>
          <w:spacing w:val="-2"/>
          <w:sz w:val="21"/>
        </w:rPr>
        <w:t>条</w:t>
      </w:r>
      <w:r>
        <w:rPr>
          <w:sz w:val="21"/>
        </w:rPr>
        <w:t>～</w:t>
      </w:r>
      <w:r>
        <w:rPr>
          <w:spacing w:val="-28"/>
          <w:sz w:val="21"/>
        </w:rPr>
        <w:t>第</w:t>
      </w:r>
      <w:r>
        <w:rPr>
          <w:spacing w:val="-28"/>
          <w:sz w:val="21"/>
        </w:rPr>
        <w:t xml:space="preserve"> </w:t>
      </w:r>
      <w:r>
        <w:rPr>
          <w:sz w:val="21"/>
        </w:rPr>
        <w:t>5.4.15</w:t>
      </w:r>
      <w:r>
        <w:rPr>
          <w:spacing w:val="-12"/>
          <w:sz w:val="21"/>
        </w:rPr>
        <w:t xml:space="preserve"> </w:t>
      </w:r>
      <w:r>
        <w:rPr>
          <w:spacing w:val="-12"/>
          <w:sz w:val="21"/>
        </w:rPr>
        <w:t>条和第</w:t>
      </w:r>
      <w:r>
        <w:rPr>
          <w:spacing w:val="-12"/>
          <w:sz w:val="21"/>
        </w:rPr>
        <w:t xml:space="preserve"> </w:t>
      </w:r>
      <w:r>
        <w:rPr>
          <w:sz w:val="21"/>
        </w:rPr>
        <w:t>6.2.3</w:t>
      </w:r>
      <w:r>
        <w:rPr>
          <w:spacing w:val="-2"/>
          <w:sz w:val="21"/>
        </w:rPr>
        <w:t xml:space="preserve"> </w:t>
      </w:r>
      <w:r>
        <w:rPr>
          <w:spacing w:val="-2"/>
          <w:sz w:val="21"/>
        </w:rPr>
        <w:t>条</w:t>
      </w:r>
      <w:r>
        <w:rPr>
          <w:sz w:val="21"/>
        </w:rPr>
        <w:t>～</w:t>
      </w:r>
      <w:r>
        <w:rPr>
          <w:spacing w:val="-27"/>
          <w:sz w:val="21"/>
        </w:rPr>
        <w:t>第</w:t>
      </w:r>
      <w:r>
        <w:rPr>
          <w:spacing w:val="-27"/>
          <w:sz w:val="21"/>
        </w:rPr>
        <w:t xml:space="preserve"> </w:t>
      </w:r>
      <w:r>
        <w:rPr>
          <w:sz w:val="21"/>
        </w:rPr>
        <w:t>6.2.6</w:t>
      </w:r>
      <w:r>
        <w:rPr>
          <w:spacing w:val="-3"/>
          <w:sz w:val="21"/>
        </w:rPr>
        <w:t xml:space="preserve"> </w:t>
      </w:r>
      <w:r>
        <w:rPr>
          <w:spacing w:val="-3"/>
          <w:sz w:val="21"/>
        </w:rPr>
        <w:t>条的规定。</w:t>
      </w:r>
      <w:r>
        <w:rPr>
          <w:sz w:val="21"/>
        </w:rPr>
        <w:t xml:space="preserve"> </w:t>
      </w:r>
    </w:p>
    <w:p w14:paraId="7266F54F" w14:textId="77777777" w:rsidR="00A71EEF" w:rsidRDefault="0081115D">
      <w:pPr>
        <w:pStyle w:val="a4"/>
        <w:numPr>
          <w:ilvl w:val="1"/>
          <w:numId w:val="687"/>
        </w:numPr>
        <w:tabs>
          <w:tab w:val="left" w:pos="1264"/>
        </w:tabs>
        <w:spacing w:line="444" w:lineRule="auto"/>
        <w:ind w:left="418" w:right="1498" w:firstLine="422"/>
        <w:rPr>
          <w:sz w:val="19"/>
        </w:rPr>
      </w:pPr>
      <w:r>
        <w:rPr>
          <w:spacing w:val="-3"/>
          <w:sz w:val="21"/>
        </w:rPr>
        <w:t>设置在木结构住宅建筑内的机动车库、发电机间、配电间、锅炉间，应采用耐火极限</w:t>
      </w:r>
      <w:r>
        <w:rPr>
          <w:spacing w:val="-14"/>
          <w:sz w:val="21"/>
        </w:rPr>
        <w:t>不低于</w:t>
      </w:r>
      <w:r>
        <w:rPr>
          <w:spacing w:val="-14"/>
          <w:sz w:val="21"/>
        </w:rPr>
        <w:t xml:space="preserve"> </w:t>
      </w:r>
      <w:r>
        <w:rPr>
          <w:sz w:val="21"/>
        </w:rPr>
        <w:t>2.00h</w:t>
      </w:r>
      <w:r>
        <w:rPr>
          <w:spacing w:val="-7"/>
          <w:sz w:val="21"/>
        </w:rPr>
        <w:t xml:space="preserve"> </w:t>
      </w:r>
      <w:r>
        <w:rPr>
          <w:spacing w:val="-7"/>
          <w:sz w:val="21"/>
        </w:rPr>
        <w:t>的防火隔墙和</w:t>
      </w:r>
      <w:r>
        <w:rPr>
          <w:spacing w:val="-7"/>
          <w:sz w:val="21"/>
        </w:rPr>
        <w:t xml:space="preserve"> </w:t>
      </w:r>
      <w:r>
        <w:rPr>
          <w:sz w:val="21"/>
        </w:rPr>
        <w:t>1.00h</w:t>
      </w:r>
      <w:r>
        <w:rPr>
          <w:spacing w:val="-3"/>
          <w:sz w:val="21"/>
        </w:rPr>
        <w:t xml:space="preserve"> </w:t>
      </w:r>
      <w:r>
        <w:rPr>
          <w:spacing w:val="-3"/>
          <w:sz w:val="21"/>
        </w:rPr>
        <w:t>的不燃性楼板与其他部位分隔，不宜开设与室内相通的门、窗、洞口，确需开设时，可开设一樘不直通卧室的单扇乙级防火门。机动车库的建筑面积不宜</w:t>
      </w:r>
      <w:r>
        <w:rPr>
          <w:spacing w:val="-20"/>
          <w:sz w:val="21"/>
        </w:rPr>
        <w:t>大于</w:t>
      </w:r>
      <w:r>
        <w:rPr>
          <w:spacing w:val="-20"/>
          <w:sz w:val="21"/>
        </w:rPr>
        <w:t xml:space="preserve"> </w:t>
      </w:r>
      <w:r>
        <w:rPr>
          <w:sz w:val="21"/>
        </w:rPr>
        <w:t>60m</w:t>
      </w:r>
      <w:r>
        <w:rPr>
          <w:position w:val="11"/>
          <w:sz w:val="11"/>
        </w:rPr>
        <w:t>2</w:t>
      </w:r>
      <w:r>
        <w:rPr>
          <w:spacing w:val="-3"/>
          <w:sz w:val="21"/>
        </w:rPr>
        <w:t>。</w:t>
      </w:r>
      <w:r>
        <w:rPr>
          <w:sz w:val="21"/>
        </w:rPr>
        <w:t xml:space="preserve"> </w:t>
      </w:r>
    </w:p>
    <w:p w14:paraId="72DDD188" w14:textId="77777777" w:rsidR="00A71EEF" w:rsidRDefault="0081115D">
      <w:pPr>
        <w:pStyle w:val="a4"/>
        <w:numPr>
          <w:ilvl w:val="1"/>
          <w:numId w:val="687"/>
        </w:numPr>
        <w:tabs>
          <w:tab w:val="left" w:pos="1264"/>
        </w:tabs>
        <w:rPr>
          <w:color w:val="333333"/>
          <w:sz w:val="19"/>
        </w:rPr>
      </w:pPr>
      <w:r>
        <w:rPr>
          <w:color w:val="333333"/>
          <w:spacing w:val="-3"/>
          <w:sz w:val="21"/>
        </w:rPr>
        <w:t>民用木结构建筑的安全疏散设计应符合下列规定：</w:t>
      </w:r>
      <w:r>
        <w:rPr>
          <w:sz w:val="21"/>
        </w:rPr>
        <w:t xml:space="preserve"> </w:t>
      </w:r>
    </w:p>
    <w:p w14:paraId="42BC35BC" w14:textId="77777777" w:rsidR="00A71EEF" w:rsidRDefault="00A71EEF">
      <w:pPr>
        <w:pStyle w:val="a3"/>
        <w:spacing w:before="11"/>
        <w:rPr>
          <w:sz w:val="17"/>
        </w:rPr>
      </w:pPr>
    </w:p>
    <w:p w14:paraId="4966335B" w14:textId="77777777" w:rsidR="00A71EEF" w:rsidRDefault="0081115D">
      <w:pPr>
        <w:pStyle w:val="a3"/>
        <w:spacing w:before="1" w:line="436" w:lineRule="auto"/>
        <w:ind w:left="418" w:right="1503" w:firstLine="419"/>
      </w:pPr>
      <w:r>
        <w:t>建筑的安全出口和房</w:t>
      </w:r>
      <w:r>
        <w:t>间疏散门的设置，应符合本规范第</w:t>
      </w:r>
      <w:r>
        <w:t xml:space="preserve"> 5.5 </w:t>
      </w:r>
      <w:r>
        <w:t>节的规定。当木结构建筑的每层建筑面积小于</w:t>
      </w:r>
      <w:r>
        <w:t xml:space="preserve"> 200m</w:t>
      </w:r>
      <w:r>
        <w:rPr>
          <w:position w:val="11"/>
          <w:sz w:val="11"/>
        </w:rPr>
        <w:t>2</w:t>
      </w:r>
      <w:r>
        <w:rPr>
          <w:sz w:val="11"/>
        </w:rPr>
        <w:t xml:space="preserve"> </w:t>
      </w:r>
      <w:r>
        <w:t>且第二层和第三层的人数之和不超过</w:t>
      </w:r>
      <w:r>
        <w:t xml:space="preserve"> 25 </w:t>
      </w:r>
      <w:r>
        <w:t>人时，可设置</w:t>
      </w:r>
      <w:r>
        <w:t xml:space="preserve"> 1 </w:t>
      </w:r>
      <w:r>
        <w:t>部疏散楼梯；</w:t>
      </w:r>
      <w:r>
        <w:t xml:space="preserve"> </w:t>
      </w:r>
    </w:p>
    <w:p w14:paraId="70CCFD87" w14:textId="77777777" w:rsidR="00A71EEF" w:rsidRDefault="0081115D">
      <w:pPr>
        <w:spacing w:before="11" w:line="355" w:lineRule="auto"/>
        <w:ind w:left="898" w:right="1719" w:hanging="60"/>
        <w:rPr>
          <w:b/>
          <w:sz w:val="21"/>
        </w:rPr>
      </w:pPr>
      <w:r>
        <w:rPr>
          <w:noProof/>
        </w:rPr>
        <w:drawing>
          <wp:anchor distT="0" distB="0" distL="0" distR="0" simplePos="0" relativeHeight="251552256" behindDoc="0" locked="0" layoutInCell="1" allowOverlap="1" wp14:anchorId="720DAD89" wp14:editId="11C75D61">
            <wp:simplePos x="0" y="0"/>
            <wp:positionH relativeFrom="page">
              <wp:posOffset>1102994</wp:posOffset>
            </wp:positionH>
            <wp:positionV relativeFrom="paragraph">
              <wp:posOffset>557911</wp:posOffset>
            </wp:positionV>
            <wp:extent cx="5494558" cy="2486025"/>
            <wp:effectExtent l="0" t="0" r="0" b="0"/>
            <wp:wrapTopAndBottom/>
            <wp:docPr id="241" name="image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149.jpeg"/>
                    <pic:cNvPicPr/>
                  </pic:nvPicPr>
                  <pic:blipFill>
                    <a:blip r:embed="rId153" cstate="print"/>
                    <a:stretch>
                      <a:fillRect/>
                    </a:stretch>
                  </pic:blipFill>
                  <pic:spPr>
                    <a:xfrm>
                      <a:off x="0" y="0"/>
                      <a:ext cx="5494558" cy="2486025"/>
                    </a:xfrm>
                    <a:prstGeom prst="rect">
                      <a:avLst/>
                    </a:prstGeom>
                  </pic:spPr>
                </pic:pic>
              </a:graphicData>
            </a:graphic>
          </wp:anchor>
        </w:drawing>
      </w:r>
      <w:r>
        <w:rPr>
          <w:color w:val="333333"/>
          <w:sz w:val="21"/>
        </w:rPr>
        <w:t xml:space="preserve"> </w:t>
      </w:r>
      <w:r>
        <w:rPr>
          <w:color w:val="333333"/>
          <w:spacing w:val="-5"/>
          <w:sz w:val="21"/>
        </w:rPr>
        <w:t>房间直通疏散走道的疏散门至最近安全出口的直线距离不应大于表</w:t>
      </w:r>
      <w:r>
        <w:rPr>
          <w:color w:val="333333"/>
          <w:spacing w:val="-5"/>
          <w:sz w:val="21"/>
        </w:rPr>
        <w:t xml:space="preserve"> </w:t>
      </w:r>
      <w:r>
        <w:rPr>
          <w:color w:val="333333"/>
          <w:sz w:val="21"/>
        </w:rPr>
        <w:t>11.0.7-1</w:t>
      </w:r>
      <w:r>
        <w:rPr>
          <w:color w:val="333333"/>
          <w:spacing w:val="-11"/>
          <w:sz w:val="21"/>
        </w:rPr>
        <w:t xml:space="preserve"> </w:t>
      </w:r>
      <w:r>
        <w:rPr>
          <w:color w:val="333333"/>
          <w:spacing w:val="-11"/>
          <w:sz w:val="21"/>
        </w:rPr>
        <w:t>的规定；</w:t>
      </w:r>
      <w:r>
        <w:rPr>
          <w:spacing w:val="-11"/>
          <w:sz w:val="21"/>
        </w:rPr>
        <w:t xml:space="preserve"> </w:t>
      </w:r>
      <w:r>
        <w:rPr>
          <w:b/>
          <w:spacing w:val="-27"/>
          <w:sz w:val="21"/>
        </w:rPr>
        <w:t>表</w:t>
      </w:r>
      <w:r>
        <w:rPr>
          <w:b/>
          <w:spacing w:val="-27"/>
          <w:sz w:val="21"/>
        </w:rPr>
        <w:t xml:space="preserve"> </w:t>
      </w:r>
      <w:r>
        <w:rPr>
          <w:b/>
          <w:sz w:val="21"/>
        </w:rPr>
        <w:t>11.7-1</w:t>
      </w:r>
      <w:r>
        <w:rPr>
          <w:b/>
          <w:spacing w:val="-3"/>
          <w:sz w:val="21"/>
        </w:rPr>
        <w:t xml:space="preserve"> </w:t>
      </w:r>
      <w:r>
        <w:rPr>
          <w:b/>
          <w:spacing w:val="-3"/>
          <w:sz w:val="21"/>
        </w:rPr>
        <w:t>房间直通疏散走道的疏散门至最近安全出口的直线距离</w:t>
      </w:r>
      <w:r>
        <w:rPr>
          <w:b/>
          <w:sz w:val="21"/>
        </w:rPr>
        <w:t>（</w:t>
      </w:r>
      <w:r>
        <w:rPr>
          <w:b/>
          <w:sz w:val="21"/>
        </w:rPr>
        <w:t>m</w:t>
      </w:r>
      <w:r>
        <w:rPr>
          <w:b/>
          <w:sz w:val="21"/>
        </w:rPr>
        <w:t>）</w:t>
      </w:r>
      <w:r>
        <w:rPr>
          <w:b/>
          <w:w w:val="99"/>
          <w:sz w:val="21"/>
        </w:rPr>
        <w:t xml:space="preserve"> </w:t>
      </w:r>
    </w:p>
    <w:p w14:paraId="03270B39" w14:textId="77777777" w:rsidR="00A71EEF" w:rsidRDefault="0081115D">
      <w:pPr>
        <w:pStyle w:val="a3"/>
        <w:spacing w:before="179" w:line="446" w:lineRule="auto"/>
        <w:ind w:left="418" w:right="1540" w:firstLine="482"/>
        <w:rPr>
          <w:b/>
        </w:rPr>
      </w:pPr>
      <w:r>
        <w:rPr>
          <w:color w:val="333333"/>
        </w:rPr>
        <w:t>房间内任一点至该房间直通疏散走道的疏散门的直线距离，不应大于表</w:t>
      </w:r>
      <w:r>
        <w:rPr>
          <w:color w:val="333333"/>
        </w:rPr>
        <w:t xml:space="preserve"> 11.0.7-1 </w:t>
      </w:r>
      <w:r>
        <w:rPr>
          <w:color w:val="333333"/>
        </w:rPr>
        <w:t>中有关袋形走道两侧或尽端的疏散门至最近安全出口的直线距离；</w:t>
      </w:r>
      <w:r>
        <w:rPr>
          <w:b/>
          <w:w w:val="99"/>
        </w:rPr>
        <w:t xml:space="preserve"> </w:t>
      </w:r>
    </w:p>
    <w:p w14:paraId="0BE641D5" w14:textId="77777777" w:rsidR="00A71EEF" w:rsidRDefault="0081115D">
      <w:pPr>
        <w:pStyle w:val="a3"/>
        <w:ind w:left="900"/>
      </w:pPr>
      <w:r>
        <w:rPr>
          <w:color w:val="333333"/>
        </w:rPr>
        <w:t>建筑内疏散走道、安全出口、疏散楼梯和房间疏散门的净宽度，应根据疏散人数按每</w:t>
      </w:r>
      <w:r>
        <w:rPr>
          <w:color w:val="333333"/>
        </w:rPr>
        <w:t xml:space="preserve"> 100 </w:t>
      </w:r>
    </w:p>
    <w:p w14:paraId="1B783DBC" w14:textId="77777777" w:rsidR="00A71EEF" w:rsidRDefault="00A71EEF">
      <w:pPr>
        <w:pStyle w:val="a3"/>
        <w:spacing w:before="12"/>
        <w:rPr>
          <w:sz w:val="17"/>
        </w:rPr>
      </w:pPr>
    </w:p>
    <w:p w14:paraId="6EE505FD" w14:textId="77777777" w:rsidR="00A71EEF" w:rsidRDefault="0081115D">
      <w:pPr>
        <w:pStyle w:val="a3"/>
        <w:ind w:left="418"/>
        <w:rPr>
          <w:b/>
        </w:rPr>
      </w:pPr>
      <w:r>
        <w:rPr>
          <w:color w:val="333333"/>
        </w:rPr>
        <w:t>人的最小疏散净宽度不小于表</w:t>
      </w:r>
      <w:r>
        <w:rPr>
          <w:color w:val="333333"/>
        </w:rPr>
        <w:t xml:space="preserve"> 11.0.7-2 </w:t>
      </w:r>
      <w:r>
        <w:rPr>
          <w:color w:val="333333"/>
        </w:rPr>
        <w:t>的规定计算确定；</w:t>
      </w:r>
      <w:r>
        <w:rPr>
          <w:b/>
          <w:w w:val="99"/>
        </w:rPr>
        <w:t xml:space="preserve"> </w:t>
      </w:r>
    </w:p>
    <w:p w14:paraId="6323AE69" w14:textId="77777777" w:rsidR="00A71EEF" w:rsidRDefault="0081115D">
      <w:pPr>
        <w:pStyle w:val="6"/>
        <w:spacing w:before="129"/>
        <w:ind w:left="2441"/>
      </w:pPr>
      <w:r>
        <w:t>表</w:t>
      </w:r>
      <w:r>
        <w:t xml:space="preserve"> 11.7-2 </w:t>
      </w:r>
      <w:r>
        <w:t>疏散走道、安全出口、疏散楼梯和房间疏散门</w:t>
      </w:r>
      <w:r>
        <w:rPr>
          <w:w w:val="99"/>
        </w:rPr>
        <w:t xml:space="preserve"> </w:t>
      </w:r>
    </w:p>
    <w:p w14:paraId="6AE6DF2A" w14:textId="77777777" w:rsidR="00A71EEF" w:rsidRDefault="0081115D">
      <w:pPr>
        <w:pStyle w:val="a3"/>
        <w:spacing w:before="12"/>
        <w:rPr>
          <w:b/>
          <w:sz w:val="12"/>
        </w:rPr>
      </w:pPr>
      <w:r>
        <w:rPr>
          <w:noProof/>
        </w:rPr>
        <w:drawing>
          <wp:anchor distT="0" distB="0" distL="0" distR="0" simplePos="0" relativeHeight="251553280" behindDoc="0" locked="0" layoutInCell="1" allowOverlap="1" wp14:anchorId="2856086A" wp14:editId="078D8A80">
            <wp:simplePos x="0" y="0"/>
            <wp:positionH relativeFrom="page">
              <wp:posOffset>1103630</wp:posOffset>
            </wp:positionH>
            <wp:positionV relativeFrom="paragraph">
              <wp:posOffset>130230</wp:posOffset>
            </wp:positionV>
            <wp:extent cx="5514975" cy="619125"/>
            <wp:effectExtent l="0" t="0" r="0" b="0"/>
            <wp:wrapTopAndBottom/>
            <wp:docPr id="243" name="image1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150.jpeg"/>
                    <pic:cNvPicPr/>
                  </pic:nvPicPr>
                  <pic:blipFill>
                    <a:blip r:embed="rId154" cstate="print"/>
                    <a:stretch>
                      <a:fillRect/>
                    </a:stretch>
                  </pic:blipFill>
                  <pic:spPr>
                    <a:xfrm>
                      <a:off x="0" y="0"/>
                      <a:ext cx="5514975" cy="619125"/>
                    </a:xfrm>
                    <a:prstGeom prst="rect">
                      <a:avLst/>
                    </a:prstGeom>
                  </pic:spPr>
                </pic:pic>
              </a:graphicData>
            </a:graphic>
          </wp:anchor>
        </w:drawing>
      </w:r>
    </w:p>
    <w:p w14:paraId="360C331D" w14:textId="77777777" w:rsidR="00A71EEF" w:rsidRDefault="0081115D">
      <w:pPr>
        <w:pStyle w:val="a4"/>
        <w:numPr>
          <w:ilvl w:val="1"/>
          <w:numId w:val="687"/>
        </w:numPr>
        <w:tabs>
          <w:tab w:val="left" w:pos="1266"/>
        </w:tabs>
        <w:spacing w:before="164"/>
        <w:ind w:left="1265" w:hanging="426"/>
        <w:rPr>
          <w:color w:val="333333"/>
          <w:sz w:val="19"/>
        </w:rPr>
      </w:pPr>
      <w:r>
        <w:rPr>
          <w:color w:val="333333"/>
          <w:spacing w:val="-5"/>
          <w:sz w:val="21"/>
        </w:rPr>
        <w:t>丁、戊类木结构厂房内任意一点至最近安全出口的疏散距离分别不应大于</w:t>
      </w:r>
      <w:r>
        <w:rPr>
          <w:color w:val="333333"/>
          <w:spacing w:val="-5"/>
          <w:sz w:val="21"/>
        </w:rPr>
        <w:t xml:space="preserve"> </w:t>
      </w:r>
      <w:r>
        <w:rPr>
          <w:color w:val="333333"/>
          <w:sz w:val="21"/>
        </w:rPr>
        <w:t>50m</w:t>
      </w:r>
      <w:r>
        <w:rPr>
          <w:color w:val="333333"/>
          <w:spacing w:val="1"/>
          <w:sz w:val="21"/>
        </w:rPr>
        <w:t xml:space="preserve"> </w:t>
      </w:r>
      <w:r>
        <w:rPr>
          <w:color w:val="333333"/>
          <w:spacing w:val="1"/>
          <w:sz w:val="21"/>
        </w:rPr>
        <w:t>和</w:t>
      </w:r>
    </w:p>
    <w:p w14:paraId="0D11A5E5" w14:textId="77777777" w:rsidR="00A71EEF" w:rsidRDefault="00A71EEF">
      <w:pPr>
        <w:pStyle w:val="a3"/>
        <w:spacing w:before="12"/>
        <w:rPr>
          <w:sz w:val="17"/>
        </w:rPr>
      </w:pPr>
    </w:p>
    <w:p w14:paraId="79160B2B" w14:textId="77777777" w:rsidR="00A71EEF" w:rsidRDefault="0081115D">
      <w:pPr>
        <w:pStyle w:val="a3"/>
        <w:ind w:left="418"/>
      </w:pPr>
      <w:r>
        <w:rPr>
          <w:color w:val="333333"/>
        </w:rPr>
        <w:t>60m</w:t>
      </w:r>
      <w:r>
        <w:rPr>
          <w:color w:val="333333"/>
        </w:rPr>
        <w:t>，其他安全疏散要求应符合本规范第</w:t>
      </w:r>
      <w:r>
        <w:rPr>
          <w:color w:val="333333"/>
        </w:rPr>
        <w:t xml:space="preserve"> 3.7 </w:t>
      </w:r>
      <w:r>
        <w:rPr>
          <w:color w:val="333333"/>
        </w:rPr>
        <w:t>节的规定。</w:t>
      </w:r>
      <w:r>
        <w:rPr>
          <w:color w:val="333333"/>
        </w:rPr>
        <w:t xml:space="preserve"> </w:t>
      </w:r>
    </w:p>
    <w:p w14:paraId="5DB76DAD" w14:textId="77777777" w:rsidR="00A71EEF" w:rsidRDefault="00A71EEF">
      <w:pPr>
        <w:sectPr w:rsidR="00A71EEF">
          <w:pgSz w:w="11910" w:h="16850"/>
          <w:pgMar w:top="1220" w:right="0" w:bottom="1420" w:left="1260" w:header="0" w:footer="1239" w:gutter="0"/>
          <w:cols w:space="720"/>
        </w:sectPr>
      </w:pPr>
    </w:p>
    <w:p w14:paraId="60F765D4" w14:textId="77777777" w:rsidR="00A71EEF" w:rsidRDefault="0081115D">
      <w:pPr>
        <w:pStyle w:val="a4"/>
        <w:numPr>
          <w:ilvl w:val="1"/>
          <w:numId w:val="687"/>
        </w:numPr>
        <w:tabs>
          <w:tab w:val="left" w:pos="1264"/>
        </w:tabs>
        <w:spacing w:before="47" w:line="446" w:lineRule="auto"/>
        <w:ind w:left="418" w:right="1498" w:firstLine="422"/>
        <w:rPr>
          <w:sz w:val="19"/>
        </w:rPr>
      </w:pPr>
      <w:r>
        <w:rPr>
          <w:spacing w:val="-3"/>
          <w:sz w:val="21"/>
        </w:rPr>
        <w:t>管道、电气线路敷设在墙体内或穿过楼板、墙体时，应采取防火保护措施，与墙体、楼板之间的缝隙应采用防火封堵材料填塞密实。</w:t>
      </w:r>
      <w:r>
        <w:rPr>
          <w:color w:val="333333"/>
          <w:sz w:val="21"/>
        </w:rPr>
        <w:t xml:space="preserve"> </w:t>
      </w:r>
    </w:p>
    <w:p w14:paraId="0E0A6A02" w14:textId="77777777" w:rsidR="00A71EEF" w:rsidRDefault="0081115D">
      <w:pPr>
        <w:pStyle w:val="a3"/>
        <w:spacing w:line="267" w:lineRule="exact"/>
        <w:ind w:left="838"/>
      </w:pPr>
      <w:r>
        <w:t>住宅建筑内厨房的明火或高温部位及排油烟管道等，应采用防火隔热措施。</w:t>
      </w:r>
      <w:r>
        <w:rPr>
          <w:color w:val="333333"/>
        </w:rPr>
        <w:t xml:space="preserve"> </w:t>
      </w:r>
    </w:p>
    <w:p w14:paraId="40918919" w14:textId="77777777" w:rsidR="00A71EEF" w:rsidRDefault="00A71EEF">
      <w:pPr>
        <w:pStyle w:val="a3"/>
        <w:spacing w:before="2"/>
        <w:rPr>
          <w:sz w:val="18"/>
        </w:rPr>
      </w:pPr>
    </w:p>
    <w:p w14:paraId="2A454AAB" w14:textId="77777777" w:rsidR="00A71EEF" w:rsidRDefault="0081115D">
      <w:pPr>
        <w:pStyle w:val="a4"/>
        <w:numPr>
          <w:ilvl w:val="1"/>
          <w:numId w:val="687"/>
        </w:numPr>
        <w:tabs>
          <w:tab w:val="left" w:pos="1371"/>
        </w:tabs>
        <w:spacing w:line="446" w:lineRule="auto"/>
        <w:ind w:left="838" w:right="1503" w:firstLine="2"/>
        <w:rPr>
          <w:sz w:val="19"/>
        </w:rPr>
      </w:pPr>
      <w:r>
        <w:rPr>
          <w:spacing w:val="-4"/>
          <w:sz w:val="21"/>
        </w:rPr>
        <w:t>民用木结构建筑之间及其与其他民用建筑的防火间距不应小于表</w:t>
      </w:r>
      <w:r>
        <w:rPr>
          <w:spacing w:val="-4"/>
          <w:sz w:val="21"/>
        </w:rPr>
        <w:t xml:space="preserve"> </w:t>
      </w:r>
      <w:r>
        <w:rPr>
          <w:sz w:val="21"/>
        </w:rPr>
        <w:t>11.0.10</w:t>
      </w:r>
      <w:r>
        <w:rPr>
          <w:spacing w:val="-7"/>
          <w:sz w:val="21"/>
        </w:rPr>
        <w:t xml:space="preserve"> </w:t>
      </w:r>
      <w:r>
        <w:rPr>
          <w:spacing w:val="-7"/>
          <w:sz w:val="21"/>
        </w:rPr>
        <w:t>的规定。</w:t>
      </w:r>
      <w:r>
        <w:rPr>
          <w:sz w:val="21"/>
        </w:rPr>
        <w:t>民</w:t>
      </w:r>
      <w:r>
        <w:rPr>
          <w:spacing w:val="-3"/>
          <w:sz w:val="21"/>
        </w:rPr>
        <w:t>用木结构建筑与厂房（</w:t>
      </w:r>
      <w:r>
        <w:rPr>
          <w:sz w:val="21"/>
        </w:rPr>
        <w:t>仓库</w:t>
      </w:r>
      <w:r>
        <w:rPr>
          <w:spacing w:val="-3"/>
          <w:sz w:val="21"/>
        </w:rPr>
        <w:t>）等建筑的防火间距、木结构厂房（</w:t>
      </w:r>
      <w:r>
        <w:rPr>
          <w:spacing w:val="-2"/>
          <w:sz w:val="21"/>
        </w:rPr>
        <w:t>仓库</w:t>
      </w:r>
      <w:r>
        <w:rPr>
          <w:sz w:val="21"/>
        </w:rPr>
        <w:t>）</w:t>
      </w:r>
      <w:r>
        <w:rPr>
          <w:spacing w:val="-3"/>
          <w:sz w:val="21"/>
        </w:rPr>
        <w:t>之间及其与其他</w:t>
      </w:r>
    </w:p>
    <w:p w14:paraId="3F4E39A5" w14:textId="77777777" w:rsidR="00A71EEF" w:rsidRDefault="0081115D">
      <w:pPr>
        <w:pStyle w:val="a3"/>
        <w:spacing w:line="267" w:lineRule="exact"/>
        <w:ind w:left="418"/>
      </w:pPr>
      <w:r>
        <w:t>民用建筑的防火间距，应符合本规范第</w:t>
      </w:r>
      <w:r>
        <w:t xml:space="preserve"> 3</w:t>
      </w:r>
      <w:r>
        <w:t>、</w:t>
      </w:r>
      <w:r>
        <w:t xml:space="preserve">4 </w:t>
      </w:r>
      <w:r>
        <w:t>章有关四级耐火等级建筑的规定。</w:t>
      </w:r>
      <w:r>
        <w:rPr>
          <w:color w:val="333333"/>
        </w:rPr>
        <w:t xml:space="preserve"> </w:t>
      </w:r>
    </w:p>
    <w:p w14:paraId="37063945" w14:textId="77777777" w:rsidR="00A71EEF" w:rsidRDefault="0081115D">
      <w:pPr>
        <w:pStyle w:val="6"/>
        <w:spacing w:before="132"/>
        <w:ind w:left="1810"/>
      </w:pPr>
      <w:r>
        <w:t>表</w:t>
      </w:r>
      <w:r>
        <w:t xml:space="preserve"> 11.0.10 </w:t>
      </w:r>
      <w:r>
        <w:t>民用木结构建筑之间及其与其他民用建筑的防火间距（</w:t>
      </w:r>
      <w:r>
        <w:t>m</w:t>
      </w:r>
      <w:r>
        <w:t>）</w:t>
      </w:r>
      <w:r>
        <w:rPr>
          <w:w w:val="99"/>
        </w:rPr>
        <w:t xml:space="preserve"> </w:t>
      </w:r>
    </w:p>
    <w:p w14:paraId="04CFED1A" w14:textId="77777777" w:rsidR="00A71EEF" w:rsidRDefault="0081115D">
      <w:pPr>
        <w:pStyle w:val="a3"/>
        <w:spacing w:before="7"/>
        <w:rPr>
          <w:b/>
        </w:rPr>
      </w:pPr>
      <w:r>
        <w:rPr>
          <w:noProof/>
        </w:rPr>
        <w:drawing>
          <wp:anchor distT="0" distB="0" distL="0" distR="0" simplePos="0" relativeHeight="251554304" behindDoc="0" locked="0" layoutInCell="1" allowOverlap="1" wp14:anchorId="5C07089F" wp14:editId="14E2977A">
            <wp:simplePos x="0" y="0"/>
            <wp:positionH relativeFrom="page">
              <wp:posOffset>1189355</wp:posOffset>
            </wp:positionH>
            <wp:positionV relativeFrom="paragraph">
              <wp:posOffset>200144</wp:posOffset>
            </wp:positionV>
            <wp:extent cx="5291139" cy="846963"/>
            <wp:effectExtent l="0" t="0" r="0" b="0"/>
            <wp:wrapTopAndBottom/>
            <wp:docPr id="245" name="image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151.jpeg"/>
                    <pic:cNvPicPr/>
                  </pic:nvPicPr>
                  <pic:blipFill>
                    <a:blip r:embed="rId155" cstate="print"/>
                    <a:stretch>
                      <a:fillRect/>
                    </a:stretch>
                  </pic:blipFill>
                  <pic:spPr>
                    <a:xfrm>
                      <a:off x="0" y="0"/>
                      <a:ext cx="5291139" cy="846963"/>
                    </a:xfrm>
                    <a:prstGeom prst="rect">
                      <a:avLst/>
                    </a:prstGeom>
                  </pic:spPr>
                </pic:pic>
              </a:graphicData>
            </a:graphic>
          </wp:anchor>
        </w:drawing>
      </w:r>
    </w:p>
    <w:p w14:paraId="37C7BA8A" w14:textId="77777777" w:rsidR="00A71EEF" w:rsidRDefault="00A71EEF">
      <w:pPr>
        <w:pStyle w:val="a3"/>
        <w:rPr>
          <w:b/>
          <w:sz w:val="20"/>
        </w:rPr>
      </w:pPr>
    </w:p>
    <w:p w14:paraId="044C0D8A" w14:textId="77777777" w:rsidR="00A71EEF" w:rsidRDefault="00A71EEF">
      <w:pPr>
        <w:pStyle w:val="a3"/>
        <w:spacing w:before="10"/>
        <w:rPr>
          <w:b/>
          <w:sz w:val="20"/>
        </w:rPr>
      </w:pPr>
    </w:p>
    <w:p w14:paraId="74B00C98" w14:textId="77777777" w:rsidR="00A71EEF" w:rsidRDefault="0081115D">
      <w:pPr>
        <w:pStyle w:val="a3"/>
        <w:spacing w:before="1" w:line="446" w:lineRule="auto"/>
        <w:ind w:left="418" w:right="1505" w:firstLine="419"/>
      </w:pPr>
      <w:r>
        <w:t>注：</w:t>
      </w:r>
      <w:r>
        <w:t>1</w:t>
      </w:r>
      <w:r>
        <w:rPr>
          <w:spacing w:val="-3"/>
        </w:rPr>
        <w:t>.</w:t>
      </w:r>
      <w:r>
        <w:rPr>
          <w:spacing w:val="-3"/>
        </w:rPr>
        <w:t>两座木结构建筑之间或木结构建筑与其他民用建筑之间，外墙均无任何门、窗、洞</w:t>
      </w:r>
      <w:r>
        <w:rPr>
          <w:spacing w:val="-7"/>
        </w:rPr>
        <w:t>口时，防火间距可为</w:t>
      </w:r>
      <w:r>
        <w:rPr>
          <w:spacing w:val="-7"/>
        </w:rPr>
        <w:t xml:space="preserve"> </w:t>
      </w:r>
      <w:r>
        <w:t>4m</w:t>
      </w:r>
      <w:r>
        <w:rPr>
          <w:spacing w:val="-5"/>
        </w:rPr>
        <w:t>；外墙上的门、窗、洞口不正对且开口面积之和不大于外墙面积的</w:t>
      </w:r>
      <w:r>
        <w:rPr>
          <w:spacing w:val="-5"/>
        </w:rPr>
        <w:t xml:space="preserve"> </w:t>
      </w:r>
      <w:r>
        <w:t>10</w:t>
      </w:r>
      <w:r>
        <w:t>％</w:t>
      </w:r>
      <w:r>
        <w:t xml:space="preserve"> </w:t>
      </w:r>
      <w:r>
        <w:rPr>
          <w:spacing w:val="-7"/>
        </w:rPr>
        <w:t>时，防火间距可按本表的规定减少</w:t>
      </w:r>
      <w:r>
        <w:rPr>
          <w:spacing w:val="-7"/>
        </w:rPr>
        <w:t xml:space="preserve"> </w:t>
      </w:r>
      <w:r>
        <w:t>25</w:t>
      </w:r>
      <w:r>
        <w:rPr>
          <w:spacing w:val="-2"/>
        </w:rPr>
        <w:t>％。</w:t>
      </w:r>
      <w:r>
        <w:t xml:space="preserve"> </w:t>
      </w:r>
    </w:p>
    <w:p w14:paraId="20E01C88" w14:textId="77777777" w:rsidR="00A71EEF" w:rsidRDefault="0081115D">
      <w:pPr>
        <w:pStyle w:val="a4"/>
        <w:numPr>
          <w:ilvl w:val="0"/>
          <w:numId w:val="685"/>
        </w:numPr>
        <w:tabs>
          <w:tab w:val="left" w:pos="1051"/>
        </w:tabs>
        <w:spacing w:line="446" w:lineRule="auto"/>
        <w:ind w:right="1608" w:firstLine="419"/>
        <w:rPr>
          <w:sz w:val="19"/>
        </w:rPr>
      </w:pPr>
      <w:r>
        <w:rPr>
          <w:spacing w:val="-3"/>
          <w:sz w:val="21"/>
        </w:rPr>
        <w:t>当相邻建筑外墙有一面为防火墙，或建筑物之间设置防火墙且墙体截断不燃性屋面或高</w:t>
      </w:r>
      <w:r>
        <w:rPr>
          <w:spacing w:val="-7"/>
          <w:sz w:val="21"/>
        </w:rPr>
        <w:t>出难燃性、可燃性屋面不低于</w:t>
      </w:r>
      <w:r>
        <w:rPr>
          <w:spacing w:val="-7"/>
          <w:sz w:val="21"/>
        </w:rPr>
        <w:t xml:space="preserve"> </w:t>
      </w:r>
      <w:r>
        <w:rPr>
          <w:sz w:val="21"/>
        </w:rPr>
        <w:t>0.5m</w:t>
      </w:r>
      <w:r>
        <w:rPr>
          <w:spacing w:val="-3"/>
          <w:sz w:val="21"/>
        </w:rPr>
        <w:t xml:space="preserve"> </w:t>
      </w:r>
      <w:r>
        <w:rPr>
          <w:spacing w:val="-3"/>
          <w:sz w:val="21"/>
        </w:rPr>
        <w:t>时，防火间距不限。</w:t>
      </w:r>
      <w:r>
        <w:rPr>
          <w:sz w:val="21"/>
        </w:rPr>
        <w:t xml:space="preserve"> </w:t>
      </w:r>
    </w:p>
    <w:p w14:paraId="50B343E1" w14:textId="77777777" w:rsidR="00A71EEF" w:rsidRDefault="0081115D">
      <w:pPr>
        <w:pStyle w:val="a4"/>
        <w:numPr>
          <w:ilvl w:val="1"/>
          <w:numId w:val="687"/>
        </w:numPr>
        <w:tabs>
          <w:tab w:val="left" w:pos="1371"/>
        </w:tabs>
        <w:spacing w:line="441" w:lineRule="auto"/>
        <w:ind w:left="418" w:right="1503" w:firstLine="422"/>
        <w:rPr>
          <w:sz w:val="19"/>
        </w:rPr>
      </w:pPr>
      <w:r>
        <w:rPr>
          <w:spacing w:val="-3"/>
          <w:sz w:val="21"/>
        </w:rPr>
        <w:t>木结构墙体、楼板及封闭吊顶或屋顶下的密闭空间内应采取防火分隔措施，且水平分</w:t>
      </w:r>
      <w:r>
        <w:rPr>
          <w:spacing w:val="-7"/>
          <w:sz w:val="21"/>
        </w:rPr>
        <w:t>隔长度或宽度均不应大于</w:t>
      </w:r>
      <w:r>
        <w:rPr>
          <w:spacing w:val="-7"/>
          <w:sz w:val="21"/>
        </w:rPr>
        <w:t xml:space="preserve"> </w:t>
      </w:r>
      <w:r>
        <w:rPr>
          <w:sz w:val="21"/>
        </w:rPr>
        <w:t>20m</w:t>
      </w:r>
      <w:r>
        <w:rPr>
          <w:spacing w:val="-7"/>
          <w:sz w:val="21"/>
        </w:rPr>
        <w:t>，建筑面积不应大于</w:t>
      </w:r>
      <w:r>
        <w:rPr>
          <w:spacing w:val="-7"/>
          <w:sz w:val="21"/>
        </w:rPr>
        <w:t xml:space="preserve"> </w:t>
      </w:r>
      <w:r>
        <w:rPr>
          <w:sz w:val="21"/>
        </w:rPr>
        <w:t>300m</w:t>
      </w:r>
      <w:r>
        <w:rPr>
          <w:position w:val="11"/>
          <w:sz w:val="11"/>
        </w:rPr>
        <w:t>2</w:t>
      </w:r>
      <w:r>
        <w:rPr>
          <w:spacing w:val="-6"/>
          <w:sz w:val="21"/>
        </w:rPr>
        <w:t>，墙体的竖向分隔高度不应大于</w:t>
      </w:r>
      <w:r>
        <w:rPr>
          <w:spacing w:val="-6"/>
          <w:sz w:val="21"/>
        </w:rPr>
        <w:t xml:space="preserve"> </w:t>
      </w:r>
      <w:r>
        <w:rPr>
          <w:sz w:val="21"/>
        </w:rPr>
        <w:t>3m</w:t>
      </w:r>
      <w:r>
        <w:rPr>
          <w:sz w:val="21"/>
        </w:rPr>
        <w:t>。轻</w:t>
      </w:r>
      <w:r>
        <w:rPr>
          <w:spacing w:val="-3"/>
          <w:sz w:val="21"/>
        </w:rPr>
        <w:t>型木结构建筑的每层楼梯梁处应采取防火分隔措施。</w:t>
      </w:r>
      <w:r>
        <w:rPr>
          <w:sz w:val="21"/>
        </w:rPr>
        <w:t xml:space="preserve"> </w:t>
      </w:r>
    </w:p>
    <w:p w14:paraId="083FEA9B" w14:textId="77777777" w:rsidR="00A71EEF" w:rsidRDefault="0081115D">
      <w:pPr>
        <w:pStyle w:val="a4"/>
        <w:numPr>
          <w:ilvl w:val="1"/>
          <w:numId w:val="687"/>
        </w:numPr>
        <w:tabs>
          <w:tab w:val="left" w:pos="1371"/>
        </w:tabs>
        <w:spacing w:before="4" w:line="446" w:lineRule="auto"/>
        <w:ind w:left="418" w:right="1604" w:firstLine="422"/>
        <w:rPr>
          <w:sz w:val="19"/>
        </w:rPr>
      </w:pPr>
      <w:r>
        <w:rPr>
          <w:spacing w:val="-3"/>
          <w:sz w:val="21"/>
        </w:rPr>
        <w:t>木结构建筑与钢结构、钢筋混凝土结构或砌体结构等其他结构类型组合建造时，应符合下列规定：</w:t>
      </w:r>
      <w:r>
        <w:rPr>
          <w:sz w:val="21"/>
        </w:rPr>
        <w:t xml:space="preserve"> </w:t>
      </w:r>
    </w:p>
    <w:p w14:paraId="1717E3F3" w14:textId="77777777" w:rsidR="00A71EEF" w:rsidRDefault="0081115D">
      <w:pPr>
        <w:pStyle w:val="a3"/>
        <w:spacing w:line="446" w:lineRule="auto"/>
        <w:ind w:left="418" w:right="1498" w:firstLine="419"/>
      </w:pPr>
      <w:r>
        <w:t>竖向组合建造时，木结构部分的层数不应超过</w:t>
      </w:r>
      <w:r>
        <w:t xml:space="preserve"> 3 </w:t>
      </w:r>
      <w:r>
        <w:t>层并应设置在建筑的</w:t>
      </w:r>
      <w:r>
        <w:t>上部，木结构部分与其他结构部分宜采用耐火极限不低于</w:t>
      </w:r>
      <w:r>
        <w:t xml:space="preserve"> 1.00h </w:t>
      </w:r>
      <w:r>
        <w:t>的不燃性楼板分隔。</w:t>
      </w:r>
      <w:r>
        <w:t xml:space="preserve"> </w:t>
      </w:r>
    </w:p>
    <w:p w14:paraId="0A909821" w14:textId="77777777" w:rsidR="00A71EEF" w:rsidRDefault="0081115D">
      <w:pPr>
        <w:pStyle w:val="a3"/>
        <w:spacing w:line="267" w:lineRule="exact"/>
        <w:ind w:left="838"/>
      </w:pPr>
      <w:r>
        <w:t>水平组合建造时，木结构部分与其他结构部分宜采用防火墙分隔；</w:t>
      </w:r>
      <w:r>
        <w:t xml:space="preserve"> </w:t>
      </w:r>
    </w:p>
    <w:p w14:paraId="6828DBF7" w14:textId="77777777" w:rsidR="00A71EEF" w:rsidRDefault="00A71EEF">
      <w:pPr>
        <w:pStyle w:val="a3"/>
        <w:spacing w:before="2"/>
        <w:rPr>
          <w:sz w:val="18"/>
        </w:rPr>
      </w:pPr>
    </w:p>
    <w:p w14:paraId="028B727E" w14:textId="77777777" w:rsidR="00A71EEF" w:rsidRDefault="0081115D">
      <w:pPr>
        <w:pStyle w:val="a3"/>
        <w:spacing w:line="446" w:lineRule="auto"/>
        <w:ind w:left="418" w:right="1608" w:firstLine="419"/>
        <w:jc w:val="both"/>
      </w:pPr>
      <w:r>
        <w:t>当木结构部分与其他结构部分之间按上款规定进行了防火分隔时，木结构部分和其他部分的防火设计，可分别执行本规范对木结构建筑和其他结构建筑的规定；其他情况，建筑的防火设计应执行本规范有关木结构建筑的规定；</w:t>
      </w:r>
      <w:r>
        <w:t xml:space="preserve"> </w:t>
      </w:r>
    </w:p>
    <w:p w14:paraId="3AB4047F" w14:textId="77777777" w:rsidR="00A71EEF" w:rsidRDefault="0081115D">
      <w:pPr>
        <w:pStyle w:val="a3"/>
        <w:spacing w:line="268" w:lineRule="exact"/>
        <w:ind w:left="838"/>
        <w:jc w:val="both"/>
      </w:pPr>
      <w:r>
        <w:t>室内消防给水应根据建筑的总高度、体积或层数和用途按本规范第</w:t>
      </w:r>
      <w:r>
        <w:t xml:space="preserve"> 8 </w:t>
      </w:r>
      <w:r>
        <w:t>章和国家现行有关标</w:t>
      </w:r>
    </w:p>
    <w:p w14:paraId="271D42E0" w14:textId="77777777" w:rsidR="00A71EEF" w:rsidRDefault="00A71EEF">
      <w:pPr>
        <w:spacing w:line="268" w:lineRule="exact"/>
        <w:jc w:val="both"/>
        <w:sectPr w:rsidR="00A71EEF">
          <w:pgSz w:w="11910" w:h="16850"/>
          <w:pgMar w:top="1220" w:right="0" w:bottom="1420" w:left="1260" w:header="0" w:footer="1239" w:gutter="0"/>
          <w:cols w:space="720"/>
        </w:sectPr>
      </w:pPr>
    </w:p>
    <w:p w14:paraId="289B417A" w14:textId="77777777" w:rsidR="00A71EEF" w:rsidRDefault="0081115D">
      <w:pPr>
        <w:pStyle w:val="a3"/>
        <w:spacing w:before="47"/>
        <w:ind w:left="418"/>
      </w:pPr>
      <w:r>
        <w:t>准的规定确定，室外消防给水应按本规范有关四级耐火等级建筑的规定确定。</w:t>
      </w:r>
      <w:r>
        <w:t xml:space="preserve"> </w:t>
      </w:r>
    </w:p>
    <w:p w14:paraId="672B9E57" w14:textId="77777777" w:rsidR="00A71EEF" w:rsidRDefault="00A71EEF">
      <w:pPr>
        <w:pStyle w:val="a3"/>
        <w:spacing w:before="3"/>
        <w:rPr>
          <w:sz w:val="17"/>
        </w:rPr>
      </w:pPr>
    </w:p>
    <w:p w14:paraId="0F665237" w14:textId="77777777" w:rsidR="00A71EEF" w:rsidRDefault="0081115D">
      <w:pPr>
        <w:pStyle w:val="a4"/>
        <w:numPr>
          <w:ilvl w:val="1"/>
          <w:numId w:val="687"/>
        </w:numPr>
        <w:tabs>
          <w:tab w:val="left" w:pos="1370"/>
        </w:tabs>
        <w:spacing w:line="446" w:lineRule="auto"/>
        <w:ind w:left="418" w:right="1601" w:firstLine="422"/>
        <w:rPr>
          <w:sz w:val="19"/>
        </w:rPr>
      </w:pPr>
      <w:r>
        <w:rPr>
          <w:spacing w:val="-9"/>
          <w:sz w:val="21"/>
        </w:rPr>
        <w:t>总建筑面积大于</w:t>
      </w:r>
      <w:r>
        <w:rPr>
          <w:spacing w:val="-9"/>
          <w:sz w:val="21"/>
        </w:rPr>
        <w:t xml:space="preserve"> </w:t>
      </w:r>
      <w:r>
        <w:rPr>
          <w:sz w:val="21"/>
        </w:rPr>
        <w:t>1500m</w:t>
      </w:r>
      <w:r>
        <w:rPr>
          <w:position w:val="11"/>
          <w:sz w:val="11"/>
        </w:rPr>
        <w:t>2</w:t>
      </w:r>
      <w:r>
        <w:rPr>
          <w:spacing w:val="2"/>
          <w:sz w:val="11"/>
        </w:rPr>
        <w:t xml:space="preserve">   </w:t>
      </w:r>
      <w:r>
        <w:rPr>
          <w:spacing w:val="-3"/>
          <w:sz w:val="21"/>
        </w:rPr>
        <w:t>的木结构公共建筑应设置火灾自动报警系统，木结构住宅建筑内应设置火灾探测与报警装置。</w:t>
      </w:r>
      <w:r>
        <w:rPr>
          <w:sz w:val="21"/>
        </w:rPr>
        <w:t xml:space="preserve"> </w:t>
      </w:r>
    </w:p>
    <w:p w14:paraId="636CBCF4" w14:textId="77777777" w:rsidR="00A71EEF" w:rsidRDefault="0081115D">
      <w:pPr>
        <w:pStyle w:val="a4"/>
        <w:numPr>
          <w:ilvl w:val="1"/>
          <w:numId w:val="687"/>
        </w:numPr>
        <w:tabs>
          <w:tab w:val="left" w:pos="1371"/>
        </w:tabs>
        <w:spacing w:line="446" w:lineRule="auto"/>
        <w:ind w:left="418" w:right="1505" w:firstLine="422"/>
        <w:rPr>
          <w:sz w:val="19"/>
        </w:rPr>
      </w:pPr>
      <w:r>
        <w:rPr>
          <w:spacing w:val="-3"/>
          <w:sz w:val="21"/>
        </w:rPr>
        <w:t>木结构建筑的其他防火设计应执行本规范有关四级耐火等级建筑的规定，防火构造要求除应符合本规范的规定外，尚应符合现行国家标准《木结构设计规范》</w:t>
      </w:r>
      <w:r>
        <w:rPr>
          <w:sz w:val="21"/>
        </w:rPr>
        <w:t>GB</w:t>
      </w:r>
      <w:r>
        <w:rPr>
          <w:spacing w:val="20"/>
          <w:sz w:val="21"/>
        </w:rPr>
        <w:t xml:space="preserve"> </w:t>
      </w:r>
      <w:r>
        <w:rPr>
          <w:sz w:val="21"/>
        </w:rPr>
        <w:t>50005</w:t>
      </w:r>
      <w:r>
        <w:rPr>
          <w:spacing w:val="1"/>
          <w:sz w:val="21"/>
        </w:rPr>
        <w:t xml:space="preserve"> </w:t>
      </w:r>
      <w:r>
        <w:rPr>
          <w:spacing w:val="1"/>
          <w:sz w:val="21"/>
        </w:rPr>
        <w:t>等标准的规</w:t>
      </w:r>
      <w:r>
        <w:rPr>
          <w:spacing w:val="-1"/>
          <w:sz w:val="21"/>
        </w:rPr>
        <w:t>定。</w:t>
      </w:r>
      <w:r>
        <w:rPr>
          <w:sz w:val="21"/>
        </w:rPr>
        <w:t xml:space="preserve"> </w:t>
      </w:r>
    </w:p>
    <w:p w14:paraId="5D99C696" w14:textId="77777777" w:rsidR="00A71EEF" w:rsidRDefault="0081115D">
      <w:pPr>
        <w:pStyle w:val="4"/>
        <w:spacing w:line="276" w:lineRule="exact"/>
      </w:pPr>
      <w:r>
        <w:t xml:space="preserve">12 </w:t>
      </w:r>
      <w:r>
        <w:t>城市交通隧道</w:t>
      </w:r>
      <w:r>
        <w:rPr>
          <w:w w:val="99"/>
        </w:rPr>
        <w:t xml:space="preserve"> </w:t>
      </w:r>
    </w:p>
    <w:p w14:paraId="6F64628C" w14:textId="77777777" w:rsidR="00A71EEF" w:rsidRDefault="00A71EEF">
      <w:pPr>
        <w:pStyle w:val="a3"/>
        <w:spacing w:before="4"/>
        <w:rPr>
          <w:b/>
          <w:sz w:val="17"/>
        </w:rPr>
      </w:pPr>
    </w:p>
    <w:p w14:paraId="792590F0" w14:textId="77777777" w:rsidR="00A71EEF" w:rsidRDefault="0081115D">
      <w:pPr>
        <w:pStyle w:val="a4"/>
        <w:numPr>
          <w:ilvl w:val="1"/>
          <w:numId w:val="684"/>
        </w:numPr>
        <w:tabs>
          <w:tab w:val="left" w:pos="1264"/>
        </w:tabs>
        <w:rPr>
          <w:b/>
          <w:sz w:val="21"/>
        </w:rPr>
      </w:pPr>
      <w:r>
        <w:rPr>
          <w:spacing w:val="-3"/>
          <w:sz w:val="21"/>
        </w:rPr>
        <w:t>一般规定</w:t>
      </w:r>
      <w:r>
        <w:rPr>
          <w:b/>
          <w:w w:val="99"/>
          <w:sz w:val="21"/>
        </w:rPr>
        <w:t xml:space="preserve"> </w:t>
      </w:r>
    </w:p>
    <w:p w14:paraId="31363F99" w14:textId="77777777" w:rsidR="00A71EEF" w:rsidRDefault="00A71EEF">
      <w:pPr>
        <w:pStyle w:val="a3"/>
        <w:rPr>
          <w:b/>
          <w:sz w:val="18"/>
        </w:rPr>
      </w:pPr>
    </w:p>
    <w:p w14:paraId="0932A687" w14:textId="77777777" w:rsidR="00A71EEF" w:rsidRDefault="0081115D">
      <w:pPr>
        <w:pStyle w:val="a4"/>
        <w:numPr>
          <w:ilvl w:val="2"/>
          <w:numId w:val="684"/>
        </w:numPr>
        <w:tabs>
          <w:tab w:val="left" w:pos="1478"/>
        </w:tabs>
        <w:spacing w:line="446" w:lineRule="auto"/>
        <w:ind w:right="1496" w:firstLine="422"/>
        <w:rPr>
          <w:sz w:val="21"/>
        </w:rPr>
      </w:pPr>
      <w:r>
        <w:rPr>
          <w:spacing w:val="-3"/>
          <w:sz w:val="21"/>
        </w:rPr>
        <w:t>城市交通隧道</w:t>
      </w:r>
      <w:r>
        <w:rPr>
          <w:sz w:val="21"/>
        </w:rPr>
        <w:t>（</w:t>
      </w:r>
      <w:r>
        <w:rPr>
          <w:spacing w:val="-3"/>
          <w:sz w:val="21"/>
        </w:rPr>
        <w:t>以下简称隧道</w:t>
      </w:r>
      <w:r>
        <w:rPr>
          <w:sz w:val="21"/>
        </w:rPr>
        <w:t>）</w:t>
      </w:r>
      <w:r>
        <w:rPr>
          <w:spacing w:val="-3"/>
          <w:sz w:val="21"/>
        </w:rPr>
        <w:t>的防火设计应综合考虑隧道内的交通组成、隧道的用途、自然条件、长度等因素。</w:t>
      </w:r>
      <w:r>
        <w:rPr>
          <w:sz w:val="21"/>
        </w:rPr>
        <w:t xml:space="preserve"> </w:t>
      </w:r>
    </w:p>
    <w:p w14:paraId="772B49A1" w14:textId="77777777" w:rsidR="00A71EEF" w:rsidRDefault="0081115D">
      <w:pPr>
        <w:pStyle w:val="a4"/>
        <w:numPr>
          <w:ilvl w:val="2"/>
          <w:numId w:val="684"/>
        </w:numPr>
        <w:tabs>
          <w:tab w:val="left" w:pos="1478"/>
        </w:tabs>
        <w:ind w:left="1477" w:hanging="638"/>
        <w:rPr>
          <w:sz w:val="21"/>
        </w:rPr>
      </w:pPr>
      <w:r>
        <w:rPr>
          <w:spacing w:val="-3"/>
          <w:sz w:val="21"/>
        </w:rPr>
        <w:t>单孔和双孔隧道应按其封闭段长度和交通情况分为一、二、三、四类，并应符合表</w:t>
      </w:r>
    </w:p>
    <w:p w14:paraId="52B4955B" w14:textId="77777777" w:rsidR="00A71EEF" w:rsidRDefault="00A71EEF">
      <w:pPr>
        <w:pStyle w:val="a3"/>
        <w:spacing w:before="4"/>
        <w:rPr>
          <w:sz w:val="12"/>
        </w:rPr>
      </w:pPr>
    </w:p>
    <w:p w14:paraId="74D2A53D" w14:textId="77777777" w:rsidR="00A71EEF" w:rsidRDefault="0081115D">
      <w:pPr>
        <w:pStyle w:val="a4"/>
        <w:numPr>
          <w:ilvl w:val="2"/>
          <w:numId w:val="683"/>
        </w:numPr>
        <w:tabs>
          <w:tab w:val="left" w:pos="1053"/>
        </w:tabs>
        <w:spacing w:before="72"/>
        <w:jc w:val="left"/>
        <w:rPr>
          <w:sz w:val="19"/>
        </w:rPr>
      </w:pPr>
      <w:r>
        <w:rPr>
          <w:spacing w:val="-3"/>
          <w:sz w:val="21"/>
        </w:rPr>
        <w:t>的规定。</w:t>
      </w:r>
      <w:r>
        <w:rPr>
          <w:sz w:val="21"/>
        </w:rPr>
        <w:t xml:space="preserve"> </w:t>
      </w:r>
    </w:p>
    <w:p w14:paraId="501A058D" w14:textId="77777777" w:rsidR="00A71EEF" w:rsidRDefault="0081115D">
      <w:pPr>
        <w:pStyle w:val="6"/>
        <w:spacing w:before="132"/>
        <w:ind w:left="3601"/>
      </w:pPr>
      <w:r>
        <w:rPr>
          <w:noProof/>
        </w:rPr>
        <w:drawing>
          <wp:anchor distT="0" distB="0" distL="0" distR="0" simplePos="0" relativeHeight="251555328" behindDoc="0" locked="0" layoutInCell="1" allowOverlap="1" wp14:anchorId="53D9E362" wp14:editId="68F50C0D">
            <wp:simplePos x="0" y="0"/>
            <wp:positionH relativeFrom="page">
              <wp:posOffset>1256030</wp:posOffset>
            </wp:positionH>
            <wp:positionV relativeFrom="paragraph">
              <wp:posOffset>282828</wp:posOffset>
            </wp:positionV>
            <wp:extent cx="5201285" cy="1571625"/>
            <wp:effectExtent l="0" t="0" r="0" b="0"/>
            <wp:wrapTopAndBottom/>
            <wp:docPr id="247" name="image1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152.jpeg"/>
                    <pic:cNvPicPr/>
                  </pic:nvPicPr>
                  <pic:blipFill>
                    <a:blip r:embed="rId156" cstate="print"/>
                    <a:stretch>
                      <a:fillRect/>
                    </a:stretch>
                  </pic:blipFill>
                  <pic:spPr>
                    <a:xfrm>
                      <a:off x="0" y="0"/>
                      <a:ext cx="5201285" cy="1571625"/>
                    </a:xfrm>
                    <a:prstGeom prst="rect">
                      <a:avLst/>
                    </a:prstGeom>
                  </pic:spPr>
                </pic:pic>
              </a:graphicData>
            </a:graphic>
          </wp:anchor>
        </w:drawing>
      </w:r>
      <w:r>
        <w:t>表</w:t>
      </w:r>
      <w:r>
        <w:t xml:space="preserve"> 12.1.2 </w:t>
      </w:r>
      <w:r>
        <w:t>单孔和双孔隧道分类</w:t>
      </w:r>
      <w:r>
        <w:rPr>
          <w:w w:val="99"/>
        </w:rPr>
        <w:t xml:space="preserve"> </w:t>
      </w:r>
    </w:p>
    <w:p w14:paraId="1153DDBF" w14:textId="77777777" w:rsidR="00A71EEF" w:rsidRDefault="00A71EEF">
      <w:pPr>
        <w:pStyle w:val="a3"/>
        <w:spacing w:before="2"/>
        <w:rPr>
          <w:b/>
          <w:sz w:val="7"/>
        </w:rPr>
      </w:pPr>
    </w:p>
    <w:p w14:paraId="596EB4F6" w14:textId="77777777" w:rsidR="00A71EEF" w:rsidRDefault="0081115D">
      <w:pPr>
        <w:pStyle w:val="a4"/>
        <w:numPr>
          <w:ilvl w:val="2"/>
          <w:numId w:val="683"/>
        </w:numPr>
        <w:tabs>
          <w:tab w:val="left" w:pos="1478"/>
        </w:tabs>
        <w:spacing w:before="72"/>
        <w:ind w:left="1477" w:hanging="638"/>
        <w:jc w:val="left"/>
        <w:rPr>
          <w:sz w:val="19"/>
        </w:rPr>
      </w:pPr>
      <w:r>
        <w:rPr>
          <w:spacing w:val="-3"/>
          <w:sz w:val="21"/>
        </w:rPr>
        <w:t>隧道承重结构体的耐火极限应符合下列规定：</w:t>
      </w:r>
      <w:r>
        <w:rPr>
          <w:spacing w:val="-3"/>
          <w:sz w:val="21"/>
        </w:rPr>
        <w:t xml:space="preserve"> </w:t>
      </w:r>
    </w:p>
    <w:p w14:paraId="072133A3" w14:textId="77777777" w:rsidR="00A71EEF" w:rsidRDefault="00A71EEF">
      <w:pPr>
        <w:pStyle w:val="a3"/>
        <w:rPr>
          <w:sz w:val="18"/>
        </w:rPr>
      </w:pPr>
    </w:p>
    <w:p w14:paraId="1FC6A7C5" w14:textId="77777777" w:rsidR="00A71EEF" w:rsidRDefault="0081115D">
      <w:pPr>
        <w:pStyle w:val="a3"/>
        <w:spacing w:line="446" w:lineRule="auto"/>
        <w:ind w:left="418" w:right="1349" w:firstLine="419"/>
      </w:pPr>
      <w:r>
        <w:rPr>
          <w:spacing w:val="-4"/>
        </w:rPr>
        <w:t>一、二类隧道和通行机动车的三类隧道，其承重结构体耐火极限的测定应符合本规范附录</w:t>
      </w:r>
      <w:r>
        <w:rPr>
          <w:spacing w:val="-4"/>
        </w:rPr>
        <w:t xml:space="preserve"> </w:t>
      </w:r>
      <w:r>
        <w:rPr>
          <w:spacing w:val="-3"/>
        </w:rPr>
        <w:t xml:space="preserve">C </w:t>
      </w:r>
      <w:r>
        <w:rPr>
          <w:spacing w:val="-5"/>
        </w:rPr>
        <w:t>的规定；对于一、二类隧道，火灾升温曲线应采用本规范附录</w:t>
      </w:r>
      <w:r>
        <w:rPr>
          <w:spacing w:val="-5"/>
        </w:rPr>
        <w:t xml:space="preserve"> </w:t>
      </w:r>
      <w:r>
        <w:t>C</w:t>
      </w:r>
      <w:r>
        <w:rPr>
          <w:spacing w:val="-12"/>
        </w:rPr>
        <w:t xml:space="preserve"> </w:t>
      </w:r>
      <w:r>
        <w:rPr>
          <w:spacing w:val="-12"/>
        </w:rPr>
        <w:t>第</w:t>
      </w:r>
      <w:r>
        <w:rPr>
          <w:spacing w:val="-12"/>
        </w:rPr>
        <w:t xml:space="preserve"> </w:t>
      </w:r>
      <w:r>
        <w:t>C.0.1</w:t>
      </w:r>
      <w:r>
        <w:rPr>
          <w:spacing w:val="-7"/>
        </w:rPr>
        <w:t xml:space="preserve"> </w:t>
      </w:r>
      <w:r>
        <w:rPr>
          <w:spacing w:val="-7"/>
        </w:rPr>
        <w:t>条规定的</w:t>
      </w:r>
      <w:r>
        <w:rPr>
          <w:spacing w:val="-7"/>
        </w:rPr>
        <w:t xml:space="preserve"> </w:t>
      </w:r>
      <w:r>
        <w:t>RABT</w:t>
      </w:r>
      <w:r>
        <w:rPr>
          <w:spacing w:val="1"/>
        </w:rPr>
        <w:t xml:space="preserve"> </w:t>
      </w:r>
      <w:r>
        <w:rPr>
          <w:spacing w:val="1"/>
        </w:rPr>
        <w:t>标准</w:t>
      </w:r>
      <w:r>
        <w:rPr>
          <w:spacing w:val="-4"/>
        </w:rPr>
        <w:t>升温曲线，耐火极限分别不应低于</w:t>
      </w:r>
      <w:r>
        <w:rPr>
          <w:spacing w:val="-4"/>
        </w:rPr>
        <w:t xml:space="preserve"> </w:t>
      </w:r>
      <w:r>
        <w:t>2.00h</w:t>
      </w:r>
      <w:r>
        <w:rPr>
          <w:spacing w:val="6"/>
        </w:rPr>
        <w:t xml:space="preserve"> </w:t>
      </w:r>
      <w:r>
        <w:rPr>
          <w:spacing w:val="6"/>
        </w:rPr>
        <w:t>和</w:t>
      </w:r>
      <w:r>
        <w:rPr>
          <w:spacing w:val="6"/>
        </w:rPr>
        <w:t xml:space="preserve"> </w:t>
      </w:r>
      <w:r>
        <w:t>1.50h</w:t>
      </w:r>
      <w:r>
        <w:rPr>
          <w:spacing w:val="-3"/>
        </w:rPr>
        <w:t>；对于通行机动车的三类隧道，火灾升温曲</w:t>
      </w:r>
      <w:r>
        <w:rPr>
          <w:spacing w:val="-8"/>
        </w:rPr>
        <w:t>线应采用本规范附录</w:t>
      </w:r>
      <w:r>
        <w:rPr>
          <w:spacing w:val="-8"/>
        </w:rPr>
        <w:t xml:space="preserve"> </w:t>
      </w:r>
      <w:r>
        <w:t>C</w:t>
      </w:r>
      <w:r>
        <w:rPr>
          <w:spacing w:val="-18"/>
        </w:rPr>
        <w:t xml:space="preserve"> </w:t>
      </w:r>
      <w:r>
        <w:rPr>
          <w:spacing w:val="-18"/>
        </w:rPr>
        <w:t>第</w:t>
      </w:r>
      <w:r>
        <w:rPr>
          <w:spacing w:val="-18"/>
        </w:rPr>
        <w:t xml:space="preserve"> </w:t>
      </w:r>
      <w:r>
        <w:t>C.0.1</w:t>
      </w:r>
      <w:r>
        <w:rPr>
          <w:spacing w:val="-11"/>
        </w:rPr>
        <w:t xml:space="preserve"> </w:t>
      </w:r>
      <w:r>
        <w:rPr>
          <w:spacing w:val="-11"/>
        </w:rPr>
        <w:t>条规定的</w:t>
      </w:r>
      <w:r>
        <w:rPr>
          <w:spacing w:val="-11"/>
        </w:rPr>
        <w:t xml:space="preserve"> </w:t>
      </w:r>
      <w:r>
        <w:t>HC</w:t>
      </w:r>
      <w:r>
        <w:rPr>
          <w:spacing w:val="-6"/>
        </w:rPr>
        <w:t xml:space="preserve"> </w:t>
      </w:r>
      <w:r>
        <w:rPr>
          <w:spacing w:val="-6"/>
        </w:rPr>
        <w:t>标准升温曲线，耐火极限不应低于</w:t>
      </w:r>
      <w:r>
        <w:rPr>
          <w:spacing w:val="-6"/>
        </w:rPr>
        <w:t xml:space="preserve"> </w:t>
      </w:r>
      <w:r>
        <w:t>2.00h</w:t>
      </w:r>
      <w:r>
        <w:t>；</w:t>
      </w:r>
      <w:r>
        <w:t xml:space="preserve"> </w:t>
      </w:r>
    </w:p>
    <w:p w14:paraId="231EE2D8" w14:textId="77777777" w:rsidR="00A71EEF" w:rsidRDefault="0081115D">
      <w:pPr>
        <w:pStyle w:val="a3"/>
        <w:spacing w:line="446" w:lineRule="auto"/>
        <w:ind w:left="418" w:right="1397" w:firstLine="419"/>
      </w:pPr>
      <w:r>
        <w:rPr>
          <w:spacing w:val="-2"/>
        </w:rPr>
        <w:t>其他类别隧道承重结构体耐火极限的测定应符合现行国家标准《建筑构件耐火试验方法</w:t>
      </w:r>
      <w:r>
        <w:rPr>
          <w:spacing w:val="-2"/>
        </w:rPr>
        <w:t xml:space="preserve"> </w:t>
      </w:r>
      <w:r>
        <w:rPr>
          <w:spacing w:val="-2"/>
        </w:rPr>
        <w:t>第</w:t>
      </w:r>
      <w:r>
        <w:rPr>
          <w:spacing w:val="-2"/>
        </w:rPr>
        <w:t xml:space="preserve">1 </w:t>
      </w:r>
      <w:r>
        <w:rPr>
          <w:spacing w:val="-2"/>
        </w:rPr>
        <w:t>部分：通用要求》</w:t>
      </w:r>
      <w:r>
        <w:t>GB/T9978.1</w:t>
      </w:r>
      <w:r>
        <w:rPr>
          <w:spacing w:val="-6"/>
        </w:rPr>
        <w:t xml:space="preserve"> </w:t>
      </w:r>
      <w:r>
        <w:rPr>
          <w:spacing w:val="-6"/>
        </w:rPr>
        <w:t>的规定；对于三类隧道，耐火极限不应低于</w:t>
      </w:r>
      <w:r>
        <w:rPr>
          <w:spacing w:val="-6"/>
        </w:rPr>
        <w:t xml:space="preserve"> </w:t>
      </w:r>
      <w:r>
        <w:t>2.00h</w:t>
      </w:r>
      <w:r>
        <w:rPr>
          <w:spacing w:val="-3"/>
        </w:rPr>
        <w:t>；对于四类隧道，耐火极限不限。</w:t>
      </w:r>
      <w:r>
        <w:t xml:space="preserve"> </w:t>
      </w:r>
    </w:p>
    <w:p w14:paraId="72F14DBC" w14:textId="77777777" w:rsidR="00A71EEF" w:rsidRDefault="0081115D">
      <w:pPr>
        <w:pStyle w:val="a4"/>
        <w:numPr>
          <w:ilvl w:val="2"/>
          <w:numId w:val="683"/>
        </w:numPr>
        <w:tabs>
          <w:tab w:val="left" w:pos="1478"/>
        </w:tabs>
        <w:spacing w:line="446" w:lineRule="auto"/>
        <w:ind w:left="418" w:right="1496" w:firstLine="422"/>
        <w:jc w:val="left"/>
        <w:rPr>
          <w:sz w:val="19"/>
        </w:rPr>
      </w:pPr>
      <w:r>
        <w:rPr>
          <w:spacing w:val="-3"/>
          <w:sz w:val="21"/>
        </w:rPr>
        <w:t>隧道内的地下设备用房、风井和消防救援出入口的耐火等级应为一级，地面的重要设备用房、运营管理中心及其他地面附属用房的耐火等级不应低于二级。</w:t>
      </w:r>
      <w:r>
        <w:rPr>
          <w:sz w:val="21"/>
        </w:rPr>
        <w:t xml:space="preserve"> </w:t>
      </w:r>
    </w:p>
    <w:p w14:paraId="2E401A43" w14:textId="77777777" w:rsidR="00A71EEF" w:rsidRDefault="00A71EEF">
      <w:pPr>
        <w:spacing w:line="446" w:lineRule="auto"/>
        <w:rPr>
          <w:sz w:val="19"/>
        </w:rPr>
        <w:sectPr w:rsidR="00A71EEF">
          <w:pgSz w:w="11910" w:h="16850"/>
          <w:pgMar w:top="1220" w:right="0" w:bottom="1420" w:left="1260" w:header="0" w:footer="1239" w:gutter="0"/>
          <w:cols w:space="720"/>
        </w:sectPr>
      </w:pPr>
    </w:p>
    <w:p w14:paraId="6C3C44A5" w14:textId="77777777" w:rsidR="00A71EEF" w:rsidRDefault="0081115D">
      <w:pPr>
        <w:pStyle w:val="a4"/>
        <w:numPr>
          <w:ilvl w:val="2"/>
          <w:numId w:val="683"/>
        </w:numPr>
        <w:tabs>
          <w:tab w:val="left" w:pos="1478"/>
        </w:tabs>
        <w:spacing w:before="47"/>
        <w:ind w:left="1477" w:hanging="638"/>
        <w:jc w:val="left"/>
        <w:rPr>
          <w:sz w:val="19"/>
        </w:rPr>
      </w:pPr>
      <w:r>
        <w:rPr>
          <w:spacing w:val="-3"/>
          <w:sz w:val="21"/>
        </w:rPr>
        <w:t>除嵌缝材料外，隧道的内部装修应采用不燃材料。</w:t>
      </w:r>
      <w:r>
        <w:rPr>
          <w:sz w:val="21"/>
        </w:rPr>
        <w:t xml:space="preserve"> </w:t>
      </w:r>
    </w:p>
    <w:p w14:paraId="5F2252A5" w14:textId="77777777" w:rsidR="00A71EEF" w:rsidRDefault="00A71EEF">
      <w:pPr>
        <w:pStyle w:val="a3"/>
        <w:rPr>
          <w:sz w:val="18"/>
        </w:rPr>
      </w:pPr>
    </w:p>
    <w:p w14:paraId="42C96293" w14:textId="77777777" w:rsidR="00A71EEF" w:rsidRDefault="0081115D">
      <w:pPr>
        <w:pStyle w:val="a4"/>
        <w:numPr>
          <w:ilvl w:val="2"/>
          <w:numId w:val="683"/>
        </w:numPr>
        <w:tabs>
          <w:tab w:val="left" w:pos="1478"/>
        </w:tabs>
        <w:ind w:left="1477" w:hanging="638"/>
        <w:jc w:val="left"/>
        <w:rPr>
          <w:sz w:val="19"/>
        </w:rPr>
      </w:pPr>
      <w:r>
        <w:rPr>
          <w:spacing w:val="-3"/>
          <w:sz w:val="21"/>
        </w:rPr>
        <w:t>通行机动车的双孔隧道，其车行横通道或车行疏散通道的设置应符合下列规定：</w:t>
      </w:r>
      <w:r>
        <w:rPr>
          <w:sz w:val="21"/>
        </w:rPr>
        <w:t xml:space="preserve"> </w:t>
      </w:r>
    </w:p>
    <w:p w14:paraId="42D78B0D" w14:textId="77777777" w:rsidR="00A71EEF" w:rsidRDefault="00A71EEF">
      <w:pPr>
        <w:pStyle w:val="a3"/>
        <w:rPr>
          <w:sz w:val="18"/>
        </w:rPr>
      </w:pPr>
    </w:p>
    <w:p w14:paraId="61FE4FE8" w14:textId="77777777" w:rsidR="00A71EEF" w:rsidRDefault="0081115D">
      <w:pPr>
        <w:pStyle w:val="a3"/>
        <w:spacing w:line="446" w:lineRule="auto"/>
        <w:ind w:left="418" w:right="1609" w:firstLine="419"/>
      </w:pPr>
      <w:r>
        <w:t>水底隧道宜设置车行横通道或车行疏散通道。车行横通道的间隔和隧道通向车行疏散通道入口的间隔宜为</w:t>
      </w:r>
      <w:r>
        <w:t xml:space="preserve"> 1000m</w:t>
      </w:r>
      <w:r>
        <w:t>～</w:t>
      </w:r>
      <w:r>
        <w:t>1500m</w:t>
      </w:r>
      <w:r>
        <w:t>；</w:t>
      </w:r>
      <w:r>
        <w:t xml:space="preserve"> </w:t>
      </w:r>
    </w:p>
    <w:p w14:paraId="744C5D7B" w14:textId="77777777" w:rsidR="00A71EEF" w:rsidRDefault="0081115D">
      <w:pPr>
        <w:pStyle w:val="a3"/>
        <w:spacing w:line="446" w:lineRule="auto"/>
        <w:ind w:left="418" w:right="1609" w:firstLine="419"/>
      </w:pPr>
      <w:r>
        <w:t>非水底隧道应设置车行横通道或车行疏散通道。车行横通道的间隔和隧道通向车行疏散通道入口的间隔不宜大于</w:t>
      </w:r>
      <w:r>
        <w:t xml:space="preserve"> 1000m</w:t>
      </w:r>
      <w:r>
        <w:t>；</w:t>
      </w:r>
      <w:r>
        <w:t xml:space="preserve"> </w:t>
      </w:r>
    </w:p>
    <w:p w14:paraId="30AB2E99" w14:textId="77777777" w:rsidR="00A71EEF" w:rsidRDefault="0081115D">
      <w:pPr>
        <w:pStyle w:val="a3"/>
        <w:spacing w:line="446" w:lineRule="auto"/>
        <w:ind w:left="418" w:right="1609" w:firstLine="419"/>
      </w:pPr>
      <w:r>
        <w:t>车行横通道应沿垂直隧道长度方向布置，并应通向相邻隧道；车行疏散通道应沿隧道长度方向布置在双孔中间，并应直通隧道外；</w:t>
      </w:r>
      <w:r>
        <w:t xml:space="preserve"> </w:t>
      </w:r>
    </w:p>
    <w:p w14:paraId="32276140" w14:textId="77777777" w:rsidR="00A71EEF" w:rsidRDefault="0081115D">
      <w:pPr>
        <w:pStyle w:val="a3"/>
        <w:spacing w:line="446" w:lineRule="auto"/>
        <w:ind w:left="838" w:right="2664"/>
      </w:pPr>
      <w:r>
        <w:rPr>
          <w:spacing w:val="-6"/>
        </w:rPr>
        <w:t>车行横通道和车行疏散通道的净宽度不应小于</w:t>
      </w:r>
      <w:r>
        <w:rPr>
          <w:spacing w:val="-6"/>
        </w:rPr>
        <w:t xml:space="preserve"> </w:t>
      </w:r>
      <w:r>
        <w:t>4.0m</w:t>
      </w:r>
      <w:r>
        <w:rPr>
          <w:spacing w:val="-8"/>
        </w:rPr>
        <w:t>，净高度不应小于</w:t>
      </w:r>
      <w:r>
        <w:rPr>
          <w:spacing w:val="-8"/>
        </w:rPr>
        <w:t xml:space="preserve"> </w:t>
      </w:r>
      <w:r>
        <w:t>4.5m</w:t>
      </w:r>
      <w:r>
        <w:t>；</w:t>
      </w:r>
      <w:r>
        <w:t xml:space="preserve"> </w:t>
      </w:r>
      <w:r>
        <w:rPr>
          <w:spacing w:val="-3"/>
        </w:rPr>
        <w:t>隧道与车行横通道或车行疏散通道的连通处，应采取防火分隔措施。</w:t>
      </w:r>
      <w:r>
        <w:rPr>
          <w:spacing w:val="-3"/>
        </w:rPr>
        <w:t xml:space="preserve">   </w:t>
      </w:r>
      <w:r>
        <w:rPr>
          <w:b/>
        </w:rPr>
        <w:t>12.1.7</w:t>
      </w:r>
      <w:r>
        <w:rPr>
          <w:b/>
          <w:spacing w:val="20"/>
        </w:rPr>
        <w:t xml:space="preserve">  </w:t>
      </w:r>
      <w:r>
        <w:rPr>
          <w:spacing w:val="-3"/>
        </w:rPr>
        <w:t>双孔隧道应设置人行横通道或人行疏散通道，并应符合下列规定：</w:t>
      </w:r>
      <w:r>
        <w:rPr>
          <w:spacing w:val="-3"/>
        </w:rPr>
        <w:t xml:space="preserve"> </w:t>
      </w:r>
      <w:r>
        <w:rPr>
          <w:spacing w:val="-5"/>
        </w:rPr>
        <w:t>人行横通道的间隔和隧道通向人行疏散通道入口的间隔，宜为</w:t>
      </w:r>
      <w:r>
        <w:rPr>
          <w:spacing w:val="-5"/>
        </w:rPr>
        <w:t xml:space="preserve"> </w:t>
      </w:r>
      <w:r>
        <w:t>250m</w:t>
      </w:r>
      <w:r>
        <w:t>～</w:t>
      </w:r>
      <w:r>
        <w:t>300m</w:t>
      </w:r>
      <w:r>
        <w:t>；</w:t>
      </w:r>
      <w:r>
        <w:t xml:space="preserve"> </w:t>
      </w:r>
    </w:p>
    <w:p w14:paraId="2BCA9A89" w14:textId="77777777" w:rsidR="00A71EEF" w:rsidRDefault="0081115D">
      <w:pPr>
        <w:pStyle w:val="a3"/>
        <w:spacing w:line="446" w:lineRule="auto"/>
        <w:ind w:left="418" w:right="1609" w:firstLine="419"/>
      </w:pPr>
      <w:r>
        <w:t>人行疏散横通道应沿垂直双孔隧道长度方向布置，并应通向相邻隧道。人行疏散通道应沿隧道长度方向布</w:t>
      </w:r>
      <w:r>
        <w:t>置在双孔中间，并应直通隧道外；</w:t>
      </w:r>
      <w:r>
        <w:t xml:space="preserve"> </w:t>
      </w:r>
    </w:p>
    <w:p w14:paraId="16973BC9" w14:textId="77777777" w:rsidR="00A71EEF" w:rsidRDefault="0081115D">
      <w:pPr>
        <w:pStyle w:val="a3"/>
        <w:spacing w:line="267" w:lineRule="exact"/>
        <w:ind w:left="838"/>
      </w:pPr>
      <w:r>
        <w:t>人行横通道可利用车行横通道；</w:t>
      </w:r>
      <w:r>
        <w:t xml:space="preserve"> </w:t>
      </w:r>
    </w:p>
    <w:p w14:paraId="42DD4278" w14:textId="77777777" w:rsidR="00A71EEF" w:rsidRDefault="00A71EEF">
      <w:pPr>
        <w:pStyle w:val="a3"/>
        <w:spacing w:before="12"/>
        <w:rPr>
          <w:sz w:val="17"/>
        </w:rPr>
      </w:pPr>
    </w:p>
    <w:p w14:paraId="3D4BD521" w14:textId="77777777" w:rsidR="00A71EEF" w:rsidRDefault="0081115D">
      <w:pPr>
        <w:pStyle w:val="a3"/>
        <w:ind w:left="838"/>
      </w:pPr>
      <w:r>
        <w:t>人行横通道或人行疏散通道的净宽度不应小于</w:t>
      </w:r>
      <w:r>
        <w:t xml:space="preserve"> 1.2m</w:t>
      </w:r>
      <w:r>
        <w:t>，净高度不应小于</w:t>
      </w:r>
      <w:r>
        <w:t xml:space="preserve"> 2.1m</w:t>
      </w:r>
      <w:r>
        <w:t>；</w:t>
      </w:r>
      <w:r>
        <w:t xml:space="preserve"> </w:t>
      </w:r>
    </w:p>
    <w:p w14:paraId="213C1D2B" w14:textId="77777777" w:rsidR="00A71EEF" w:rsidRDefault="00A71EEF">
      <w:pPr>
        <w:pStyle w:val="a3"/>
        <w:spacing w:before="12"/>
        <w:rPr>
          <w:sz w:val="17"/>
        </w:rPr>
      </w:pPr>
    </w:p>
    <w:p w14:paraId="1A37CDB8" w14:textId="77777777" w:rsidR="00A71EEF" w:rsidRDefault="0081115D">
      <w:pPr>
        <w:pStyle w:val="a3"/>
        <w:spacing w:line="446" w:lineRule="auto"/>
        <w:ind w:left="418" w:right="1817" w:firstLine="419"/>
      </w:pPr>
      <w:r>
        <w:t>隧道与人行横通道或人行疏散通道的连通处，应采取防火分隔措施，门应采用乙级防火门。</w:t>
      </w:r>
      <w:r>
        <w:t xml:space="preserve"> </w:t>
      </w:r>
    </w:p>
    <w:p w14:paraId="69DBD02D" w14:textId="77777777" w:rsidR="00A71EEF" w:rsidRDefault="0081115D">
      <w:pPr>
        <w:pStyle w:val="a4"/>
        <w:numPr>
          <w:ilvl w:val="2"/>
          <w:numId w:val="682"/>
        </w:numPr>
        <w:tabs>
          <w:tab w:val="left" w:pos="1478"/>
        </w:tabs>
        <w:ind w:hanging="638"/>
        <w:rPr>
          <w:sz w:val="21"/>
        </w:rPr>
      </w:pPr>
      <w:r>
        <w:rPr>
          <w:spacing w:val="-3"/>
          <w:sz w:val="21"/>
        </w:rPr>
        <w:t>单孔隧道宜设置直通室外的人员疏散出口或独立避难所等避难设施。</w:t>
      </w:r>
      <w:r>
        <w:rPr>
          <w:spacing w:val="-3"/>
          <w:sz w:val="21"/>
        </w:rPr>
        <w:t xml:space="preserve"> </w:t>
      </w:r>
    </w:p>
    <w:p w14:paraId="30CE415D" w14:textId="77777777" w:rsidR="00A71EEF" w:rsidRDefault="00A71EEF">
      <w:pPr>
        <w:pStyle w:val="a3"/>
        <w:rPr>
          <w:sz w:val="18"/>
        </w:rPr>
      </w:pPr>
    </w:p>
    <w:p w14:paraId="73AE5FA7" w14:textId="77777777" w:rsidR="00A71EEF" w:rsidRDefault="0081115D">
      <w:pPr>
        <w:pStyle w:val="a4"/>
        <w:numPr>
          <w:ilvl w:val="2"/>
          <w:numId w:val="682"/>
        </w:numPr>
        <w:tabs>
          <w:tab w:val="left" w:pos="1478"/>
        </w:tabs>
        <w:spacing w:line="446" w:lineRule="auto"/>
        <w:ind w:left="418" w:right="1498" w:firstLine="422"/>
        <w:rPr>
          <w:sz w:val="21"/>
        </w:rPr>
      </w:pPr>
      <w:r>
        <w:rPr>
          <w:spacing w:val="-3"/>
          <w:sz w:val="21"/>
        </w:rPr>
        <w:t>隧道内的变电站、管廊、专用疏散通道、通风机房及其他辅助用房等，应采取耐火</w:t>
      </w:r>
      <w:r>
        <w:rPr>
          <w:spacing w:val="-12"/>
          <w:sz w:val="21"/>
        </w:rPr>
        <w:t>极限不低于</w:t>
      </w:r>
      <w:r>
        <w:rPr>
          <w:spacing w:val="-12"/>
          <w:sz w:val="21"/>
        </w:rPr>
        <w:t xml:space="preserve"> </w:t>
      </w:r>
      <w:r>
        <w:rPr>
          <w:sz w:val="21"/>
        </w:rPr>
        <w:t>2.00h</w:t>
      </w:r>
      <w:r>
        <w:rPr>
          <w:spacing w:val="-3"/>
          <w:sz w:val="21"/>
        </w:rPr>
        <w:t xml:space="preserve"> </w:t>
      </w:r>
      <w:r>
        <w:rPr>
          <w:spacing w:val="-3"/>
          <w:sz w:val="21"/>
        </w:rPr>
        <w:t>的防火隔墙和乙级防火门等分隔措施与车行隧道分隔。</w:t>
      </w:r>
      <w:r>
        <w:rPr>
          <w:sz w:val="21"/>
        </w:rPr>
        <w:t xml:space="preserve"> </w:t>
      </w:r>
    </w:p>
    <w:p w14:paraId="039885D4" w14:textId="77777777" w:rsidR="00A71EEF" w:rsidRDefault="0081115D">
      <w:pPr>
        <w:pStyle w:val="a4"/>
        <w:numPr>
          <w:ilvl w:val="2"/>
          <w:numId w:val="682"/>
        </w:numPr>
        <w:tabs>
          <w:tab w:val="left" w:pos="1583"/>
        </w:tabs>
        <w:ind w:left="1582" w:hanging="743"/>
        <w:rPr>
          <w:sz w:val="21"/>
        </w:rPr>
      </w:pPr>
      <w:r>
        <w:rPr>
          <w:spacing w:val="-3"/>
          <w:sz w:val="21"/>
        </w:rPr>
        <w:t>隧道内地下设备用房的每个防火分区的最大允许建筑面积不应大于</w:t>
      </w:r>
      <w:r>
        <w:rPr>
          <w:spacing w:val="-3"/>
          <w:sz w:val="21"/>
        </w:rPr>
        <w:t xml:space="preserve"> </w:t>
      </w:r>
    </w:p>
    <w:p w14:paraId="0D52C8BF" w14:textId="77777777" w:rsidR="00A71EEF" w:rsidRDefault="00A71EEF">
      <w:pPr>
        <w:pStyle w:val="a3"/>
        <w:spacing w:before="2"/>
        <w:rPr>
          <w:sz w:val="17"/>
        </w:rPr>
      </w:pPr>
    </w:p>
    <w:p w14:paraId="3BEBF9BD" w14:textId="77777777" w:rsidR="00A71EEF" w:rsidRDefault="0081115D">
      <w:pPr>
        <w:pStyle w:val="a3"/>
        <w:spacing w:before="1" w:line="441" w:lineRule="auto"/>
        <w:ind w:left="418" w:right="1553" w:firstLine="419"/>
        <w:jc w:val="both"/>
      </w:pPr>
      <w:r>
        <w:t>1500m</w:t>
      </w:r>
      <w:r>
        <w:rPr>
          <w:position w:val="11"/>
          <w:sz w:val="11"/>
        </w:rPr>
        <w:t>2</w:t>
      </w:r>
      <w:r>
        <w:rPr>
          <w:spacing w:val="-6"/>
        </w:rPr>
        <w:t>，每个防火分区的安全出口数量不应少于</w:t>
      </w:r>
      <w:r>
        <w:rPr>
          <w:spacing w:val="-6"/>
        </w:rPr>
        <w:t xml:space="preserve"> </w:t>
      </w:r>
      <w:r>
        <w:rPr>
          <w:spacing w:val="-3"/>
        </w:rPr>
        <w:t xml:space="preserve">2 </w:t>
      </w:r>
      <w:r>
        <w:rPr>
          <w:spacing w:val="-3"/>
        </w:rPr>
        <w:t>个，与车道或其他防火分区相通的出口</w:t>
      </w:r>
      <w:r>
        <w:rPr>
          <w:spacing w:val="-6"/>
        </w:rPr>
        <w:t>可作为第二安全出口，但必须至少设置</w:t>
      </w:r>
      <w:r>
        <w:rPr>
          <w:spacing w:val="-6"/>
        </w:rPr>
        <w:t xml:space="preserve"> </w:t>
      </w:r>
      <w:r>
        <w:rPr>
          <w:spacing w:val="-3"/>
        </w:rPr>
        <w:t>1</w:t>
      </w:r>
      <w:r>
        <w:rPr>
          <w:spacing w:val="-6"/>
        </w:rPr>
        <w:t xml:space="preserve"> </w:t>
      </w:r>
      <w:r>
        <w:rPr>
          <w:spacing w:val="-6"/>
        </w:rPr>
        <w:t>个直通室外的安全出口；建筑面积不大于</w:t>
      </w:r>
      <w:r>
        <w:rPr>
          <w:spacing w:val="-6"/>
        </w:rPr>
        <w:t xml:space="preserve"> </w:t>
      </w:r>
      <w:r>
        <w:t>500m</w:t>
      </w:r>
      <w:r>
        <w:rPr>
          <w:position w:val="11"/>
          <w:sz w:val="11"/>
        </w:rPr>
        <w:t xml:space="preserve">2 </w:t>
      </w:r>
      <w:r>
        <w:rPr>
          <w:spacing w:val="-3"/>
        </w:rPr>
        <w:t>且无</w:t>
      </w:r>
      <w:r>
        <w:rPr>
          <w:spacing w:val="-8"/>
        </w:rPr>
        <w:t>人值守的设备用房可设置</w:t>
      </w:r>
      <w:r>
        <w:rPr>
          <w:spacing w:val="-8"/>
        </w:rPr>
        <w:t xml:space="preserve"> </w:t>
      </w:r>
      <w:r>
        <w:t>1</w:t>
      </w:r>
      <w:r>
        <w:rPr>
          <w:spacing w:val="-3"/>
        </w:rPr>
        <w:t xml:space="preserve"> </w:t>
      </w:r>
      <w:r>
        <w:rPr>
          <w:spacing w:val="-3"/>
        </w:rPr>
        <w:t>个直通室外的安全出口。</w:t>
      </w:r>
      <w:r>
        <w:rPr>
          <w:spacing w:val="-3"/>
        </w:rPr>
        <w:t xml:space="preserve"> </w:t>
      </w:r>
    </w:p>
    <w:p w14:paraId="66D8A3E5" w14:textId="77777777" w:rsidR="00A71EEF" w:rsidRDefault="0081115D">
      <w:pPr>
        <w:pStyle w:val="a4"/>
        <w:numPr>
          <w:ilvl w:val="1"/>
          <w:numId w:val="684"/>
        </w:numPr>
        <w:tabs>
          <w:tab w:val="left" w:pos="1266"/>
        </w:tabs>
        <w:spacing w:before="5"/>
        <w:ind w:left="1265" w:hanging="426"/>
        <w:rPr>
          <w:b/>
          <w:sz w:val="21"/>
        </w:rPr>
      </w:pPr>
      <w:r>
        <w:rPr>
          <w:spacing w:val="-3"/>
          <w:sz w:val="21"/>
        </w:rPr>
        <w:t>消防给水和灭火设施</w:t>
      </w:r>
      <w:r>
        <w:rPr>
          <w:b/>
          <w:w w:val="99"/>
          <w:sz w:val="21"/>
        </w:rPr>
        <w:t xml:space="preserve"> </w:t>
      </w:r>
    </w:p>
    <w:p w14:paraId="20147909" w14:textId="77777777" w:rsidR="00A71EEF" w:rsidRDefault="00A71EEF">
      <w:pPr>
        <w:pStyle w:val="a3"/>
        <w:spacing w:before="12"/>
        <w:rPr>
          <w:b/>
          <w:sz w:val="17"/>
        </w:rPr>
      </w:pPr>
    </w:p>
    <w:p w14:paraId="4C7416E0" w14:textId="77777777" w:rsidR="00A71EEF" w:rsidRDefault="0081115D">
      <w:pPr>
        <w:pStyle w:val="a4"/>
        <w:numPr>
          <w:ilvl w:val="2"/>
          <w:numId w:val="684"/>
        </w:numPr>
        <w:tabs>
          <w:tab w:val="left" w:pos="1478"/>
        </w:tabs>
        <w:spacing w:line="446" w:lineRule="auto"/>
        <w:ind w:right="1496" w:firstLine="422"/>
        <w:rPr>
          <w:sz w:val="21"/>
        </w:rPr>
      </w:pPr>
      <w:r>
        <w:rPr>
          <w:spacing w:val="-3"/>
          <w:sz w:val="21"/>
        </w:rPr>
        <w:t>在进行城市交通的规划和设计时，应同时设计消防给水系统。四类隧道和行人或通行非机动车辆的三类隧道，可不设置消防给水系统。</w:t>
      </w:r>
      <w:r>
        <w:rPr>
          <w:spacing w:val="-3"/>
          <w:sz w:val="21"/>
        </w:rPr>
        <w:t xml:space="preserve"> </w:t>
      </w:r>
    </w:p>
    <w:p w14:paraId="1C9E6997" w14:textId="77777777" w:rsidR="00A71EEF" w:rsidRDefault="00A71EEF">
      <w:pPr>
        <w:spacing w:line="446" w:lineRule="auto"/>
        <w:rPr>
          <w:sz w:val="21"/>
        </w:rPr>
        <w:sectPr w:rsidR="00A71EEF">
          <w:pgSz w:w="11910" w:h="16850"/>
          <w:pgMar w:top="1220" w:right="0" w:bottom="1420" w:left="1260" w:header="0" w:footer="1239" w:gutter="0"/>
          <w:cols w:space="720"/>
        </w:sectPr>
      </w:pPr>
    </w:p>
    <w:p w14:paraId="04459402" w14:textId="77777777" w:rsidR="00A71EEF" w:rsidRDefault="0081115D">
      <w:pPr>
        <w:pStyle w:val="a4"/>
        <w:numPr>
          <w:ilvl w:val="2"/>
          <w:numId w:val="684"/>
        </w:numPr>
        <w:tabs>
          <w:tab w:val="left" w:pos="1478"/>
        </w:tabs>
        <w:spacing w:before="47"/>
        <w:ind w:left="1477" w:hanging="638"/>
        <w:rPr>
          <w:sz w:val="21"/>
        </w:rPr>
      </w:pPr>
      <w:r>
        <w:rPr>
          <w:spacing w:val="-3"/>
          <w:sz w:val="21"/>
        </w:rPr>
        <w:t>消防给水系统的设置应符合下列规定：</w:t>
      </w:r>
      <w:r>
        <w:rPr>
          <w:sz w:val="21"/>
        </w:rPr>
        <w:t xml:space="preserve"> </w:t>
      </w:r>
    </w:p>
    <w:p w14:paraId="7C4BD582" w14:textId="77777777" w:rsidR="00A71EEF" w:rsidRDefault="00A71EEF">
      <w:pPr>
        <w:pStyle w:val="a3"/>
        <w:rPr>
          <w:sz w:val="18"/>
        </w:rPr>
      </w:pPr>
    </w:p>
    <w:p w14:paraId="044AD2B1" w14:textId="77777777" w:rsidR="00A71EEF" w:rsidRDefault="0081115D">
      <w:pPr>
        <w:pStyle w:val="a3"/>
        <w:ind w:left="838"/>
      </w:pPr>
      <w:r>
        <w:t>消防水源和供水管网应符合国家现行有关标准的规定；</w:t>
      </w:r>
      <w:r>
        <w:t xml:space="preserve"> </w:t>
      </w:r>
    </w:p>
    <w:p w14:paraId="45818A85" w14:textId="77777777" w:rsidR="00A71EEF" w:rsidRDefault="00A71EEF">
      <w:pPr>
        <w:pStyle w:val="a3"/>
        <w:rPr>
          <w:sz w:val="18"/>
        </w:rPr>
      </w:pPr>
    </w:p>
    <w:p w14:paraId="15ABEF54" w14:textId="77777777" w:rsidR="00A71EEF" w:rsidRDefault="0081115D">
      <w:pPr>
        <w:pStyle w:val="a3"/>
        <w:spacing w:line="446" w:lineRule="auto"/>
        <w:ind w:left="418" w:right="1609" w:firstLine="419"/>
      </w:pPr>
      <w:r>
        <w:t>消防用水量应按隧道的火灾延续时间和隧道全线同一时间发生一次火灾计算确定。一、二类隧道的火灾延续时间不应小于</w:t>
      </w:r>
      <w:r>
        <w:t xml:space="preserve"> 3.0h</w:t>
      </w:r>
      <w:r>
        <w:t>；三类隧道，不应小于</w:t>
      </w:r>
      <w:r>
        <w:t xml:space="preserve"> 2.0h</w:t>
      </w:r>
      <w:r>
        <w:t>；</w:t>
      </w:r>
      <w:r>
        <w:t xml:space="preserve"> </w:t>
      </w:r>
    </w:p>
    <w:p w14:paraId="00092949" w14:textId="77777777" w:rsidR="00A71EEF" w:rsidRDefault="0081115D">
      <w:pPr>
        <w:pStyle w:val="a3"/>
        <w:ind w:left="838"/>
      </w:pPr>
      <w:r>
        <w:t>隧道内的消防用水量应按需要同时开启所有灭火设施的用水量之和计算；</w:t>
      </w:r>
      <w:r>
        <w:t xml:space="preserve"> </w:t>
      </w:r>
    </w:p>
    <w:p w14:paraId="7A8178BC" w14:textId="77777777" w:rsidR="00A71EEF" w:rsidRDefault="00A71EEF">
      <w:pPr>
        <w:pStyle w:val="a3"/>
        <w:rPr>
          <w:sz w:val="20"/>
        </w:rPr>
      </w:pPr>
    </w:p>
    <w:p w14:paraId="5401AC5F" w14:textId="77777777" w:rsidR="00A71EEF" w:rsidRDefault="00A71EEF">
      <w:pPr>
        <w:pStyle w:val="a3"/>
        <w:rPr>
          <w:sz w:val="20"/>
        </w:rPr>
      </w:pPr>
    </w:p>
    <w:p w14:paraId="5F3EAB86" w14:textId="77777777" w:rsidR="00A71EEF" w:rsidRDefault="00A71EEF">
      <w:pPr>
        <w:pStyle w:val="a3"/>
        <w:spacing w:before="1"/>
        <w:rPr>
          <w:sz w:val="17"/>
        </w:rPr>
      </w:pPr>
    </w:p>
    <w:p w14:paraId="02472CEB" w14:textId="77777777" w:rsidR="00A71EEF" w:rsidRDefault="0081115D">
      <w:pPr>
        <w:pStyle w:val="a3"/>
        <w:spacing w:line="446" w:lineRule="auto"/>
        <w:ind w:left="418" w:right="1505" w:firstLine="419"/>
      </w:pPr>
      <w:r>
        <w:t xml:space="preserve"> </w:t>
      </w:r>
      <w:r>
        <w:rPr>
          <w:spacing w:val="-3"/>
        </w:rPr>
        <w:t>隧道内宜设置独立的消防给水系统。严寒和寒冷地区的消防给水管道及室外消火栓应采取防冻措施；当采用干式给水系统时，应在管网的最高部位设置自动排气阀，管道的充水时间不</w:t>
      </w:r>
      <w:r>
        <w:rPr>
          <w:spacing w:val="-15"/>
        </w:rPr>
        <w:t>宜大于</w:t>
      </w:r>
      <w:r>
        <w:rPr>
          <w:spacing w:val="-15"/>
        </w:rPr>
        <w:t xml:space="preserve"> </w:t>
      </w:r>
      <w:r>
        <w:t>90s</w:t>
      </w:r>
      <w:r>
        <w:t>；</w:t>
      </w:r>
      <w:r>
        <w:t xml:space="preserve"> </w:t>
      </w:r>
    </w:p>
    <w:p w14:paraId="7F92E2CC" w14:textId="77777777" w:rsidR="00A71EEF" w:rsidRDefault="0081115D">
      <w:pPr>
        <w:pStyle w:val="a3"/>
        <w:spacing w:line="446" w:lineRule="auto"/>
        <w:ind w:left="418" w:right="1505" w:firstLine="419"/>
      </w:pPr>
      <w:r>
        <w:rPr>
          <w:spacing w:val="-6"/>
        </w:rPr>
        <w:t>隧道内的消火栓用水量不应小于</w:t>
      </w:r>
      <w:r>
        <w:rPr>
          <w:spacing w:val="-6"/>
        </w:rPr>
        <w:t xml:space="preserve"> </w:t>
      </w:r>
      <w:r>
        <w:t>20L/s</w:t>
      </w:r>
      <w:r>
        <w:rPr>
          <w:spacing w:val="-6"/>
        </w:rPr>
        <w:t>，隧道外的消火栓用水量不应小于</w:t>
      </w:r>
      <w:r>
        <w:rPr>
          <w:spacing w:val="-6"/>
        </w:rPr>
        <w:t xml:space="preserve"> </w:t>
      </w:r>
      <w:r>
        <w:t>30L/s</w:t>
      </w:r>
      <w:r>
        <w:rPr>
          <w:spacing w:val="-3"/>
        </w:rPr>
        <w:t>。对于长度</w:t>
      </w:r>
      <w:r>
        <w:rPr>
          <w:spacing w:val="-20"/>
        </w:rPr>
        <w:t>小于</w:t>
      </w:r>
      <w:r>
        <w:rPr>
          <w:spacing w:val="-20"/>
        </w:rPr>
        <w:t xml:space="preserve"> </w:t>
      </w:r>
      <w:r>
        <w:t>1000m</w:t>
      </w:r>
      <w:r>
        <w:rPr>
          <w:spacing w:val="-6"/>
        </w:rPr>
        <w:t xml:space="preserve"> </w:t>
      </w:r>
      <w:r>
        <w:rPr>
          <w:spacing w:val="-6"/>
        </w:rPr>
        <w:t>的三类隧道，隧道内、外的消火栓用水量可分别为</w:t>
      </w:r>
      <w:r>
        <w:rPr>
          <w:spacing w:val="-6"/>
        </w:rPr>
        <w:t xml:space="preserve"> </w:t>
      </w:r>
      <w:r>
        <w:t>10L/s</w:t>
      </w:r>
      <w:r>
        <w:rPr>
          <w:spacing w:val="-36"/>
        </w:rPr>
        <w:t xml:space="preserve"> </w:t>
      </w:r>
      <w:r>
        <w:rPr>
          <w:spacing w:val="-36"/>
        </w:rPr>
        <w:t>和</w:t>
      </w:r>
      <w:r>
        <w:rPr>
          <w:spacing w:val="-36"/>
        </w:rPr>
        <w:t xml:space="preserve"> </w:t>
      </w:r>
      <w:r>
        <w:t>20L/s</w:t>
      </w:r>
      <w:r>
        <w:t>；</w:t>
      </w:r>
      <w:r>
        <w:t xml:space="preserve"> </w:t>
      </w:r>
    </w:p>
    <w:p w14:paraId="4113AB7D" w14:textId="77777777" w:rsidR="00A71EEF" w:rsidRDefault="0081115D">
      <w:pPr>
        <w:pStyle w:val="a3"/>
        <w:spacing w:line="267" w:lineRule="exact"/>
        <w:ind w:left="838"/>
      </w:pPr>
      <w:r>
        <w:t>管道内的消防供水压力应保证用水量达到最大时，最不利点处的水枪充实水柱不小于</w:t>
      </w:r>
    </w:p>
    <w:p w14:paraId="2AA6C33D" w14:textId="77777777" w:rsidR="00A71EEF" w:rsidRDefault="00A71EEF">
      <w:pPr>
        <w:pStyle w:val="a3"/>
        <w:spacing w:before="1"/>
        <w:rPr>
          <w:sz w:val="18"/>
        </w:rPr>
      </w:pPr>
    </w:p>
    <w:p w14:paraId="5A9CB30E" w14:textId="77777777" w:rsidR="00A71EEF" w:rsidRDefault="0081115D">
      <w:pPr>
        <w:pStyle w:val="a3"/>
        <w:ind w:left="418"/>
      </w:pPr>
      <w:r>
        <w:t>10.0m</w:t>
      </w:r>
      <w:r>
        <w:t>。消火栓栓口处的出水压力大于</w:t>
      </w:r>
      <w:r>
        <w:t xml:space="preserve"> 0.5MPa </w:t>
      </w:r>
      <w:r>
        <w:t>时，应设置减</w:t>
      </w:r>
      <w:r>
        <w:t>压设施；</w:t>
      </w:r>
      <w:r>
        <w:t xml:space="preserve"> </w:t>
      </w:r>
    </w:p>
    <w:p w14:paraId="488E0D42" w14:textId="77777777" w:rsidR="00A71EEF" w:rsidRDefault="00A71EEF">
      <w:pPr>
        <w:pStyle w:val="a3"/>
        <w:rPr>
          <w:sz w:val="18"/>
        </w:rPr>
      </w:pPr>
    </w:p>
    <w:p w14:paraId="0C9F6968" w14:textId="77777777" w:rsidR="00A71EEF" w:rsidRDefault="0081115D">
      <w:pPr>
        <w:pStyle w:val="a3"/>
        <w:ind w:left="838"/>
      </w:pPr>
      <w:r>
        <w:t>在隧道出入口处应设置消防水泵接合器和室外消火栓；</w:t>
      </w:r>
      <w:r>
        <w:t xml:space="preserve"> </w:t>
      </w:r>
    </w:p>
    <w:p w14:paraId="5A9B78BF" w14:textId="77777777" w:rsidR="00A71EEF" w:rsidRDefault="00A71EEF">
      <w:pPr>
        <w:pStyle w:val="a3"/>
        <w:spacing w:before="12"/>
        <w:rPr>
          <w:sz w:val="17"/>
        </w:rPr>
      </w:pPr>
    </w:p>
    <w:p w14:paraId="1974198C" w14:textId="77777777" w:rsidR="00A71EEF" w:rsidRDefault="0081115D">
      <w:pPr>
        <w:pStyle w:val="a3"/>
        <w:ind w:left="838"/>
      </w:pPr>
      <w:r>
        <w:rPr>
          <w:spacing w:val="-6"/>
        </w:rPr>
        <w:t>隧道内消火栓的间距不应大于</w:t>
      </w:r>
      <w:r>
        <w:rPr>
          <w:spacing w:val="-6"/>
        </w:rPr>
        <w:t xml:space="preserve"> </w:t>
      </w:r>
      <w:r>
        <w:t>50m</w:t>
      </w:r>
      <w:r>
        <w:rPr>
          <w:spacing w:val="-6"/>
        </w:rPr>
        <w:t>，消火栓的栓口距地面高度宜为</w:t>
      </w:r>
      <w:r>
        <w:rPr>
          <w:spacing w:val="-6"/>
        </w:rPr>
        <w:t xml:space="preserve"> </w:t>
      </w:r>
      <w:r>
        <w:t>1.1m</w:t>
      </w:r>
      <w:r>
        <w:t>；</w:t>
      </w:r>
      <w:r>
        <w:t xml:space="preserve"> </w:t>
      </w:r>
    </w:p>
    <w:p w14:paraId="1604C164" w14:textId="77777777" w:rsidR="00A71EEF" w:rsidRDefault="00A71EEF">
      <w:pPr>
        <w:pStyle w:val="a3"/>
        <w:spacing w:before="2"/>
        <w:rPr>
          <w:sz w:val="18"/>
        </w:rPr>
      </w:pPr>
    </w:p>
    <w:p w14:paraId="4F7BCF47" w14:textId="77777777" w:rsidR="00A71EEF" w:rsidRDefault="0081115D">
      <w:pPr>
        <w:pStyle w:val="a3"/>
        <w:ind w:left="838"/>
      </w:pPr>
      <w:r>
        <w:rPr>
          <w:spacing w:val="-3"/>
        </w:rPr>
        <w:t>设置消防水泵供水设施的隧道，应在消火栓箱内设置消防水泵启动按钮；</w:t>
      </w:r>
      <w:r>
        <w:t xml:space="preserve"> </w:t>
      </w:r>
    </w:p>
    <w:p w14:paraId="5BCBA83D" w14:textId="77777777" w:rsidR="00A71EEF" w:rsidRDefault="00A71EEF">
      <w:pPr>
        <w:pStyle w:val="a3"/>
        <w:rPr>
          <w:sz w:val="18"/>
        </w:rPr>
      </w:pPr>
    </w:p>
    <w:p w14:paraId="2F021702" w14:textId="77777777" w:rsidR="00A71EEF" w:rsidRDefault="0081115D">
      <w:pPr>
        <w:pStyle w:val="a3"/>
        <w:ind w:left="838"/>
      </w:pPr>
      <w:r>
        <w:t>应在隧道单侧设置室内消火栓箱，消火栓箱内应配置</w:t>
      </w:r>
      <w:r>
        <w:t xml:space="preserve"> 1 </w:t>
      </w:r>
      <w:r>
        <w:t>支喷嘴口径</w:t>
      </w:r>
      <w:r>
        <w:t xml:space="preserve"> 19mm </w:t>
      </w:r>
      <w:r>
        <w:t>的水枪、</w:t>
      </w:r>
      <w:r>
        <w:t xml:space="preserve">1 </w:t>
      </w:r>
      <w:r>
        <w:t>盘长</w:t>
      </w:r>
    </w:p>
    <w:p w14:paraId="7E398250" w14:textId="77777777" w:rsidR="00A71EEF" w:rsidRDefault="00A71EEF">
      <w:pPr>
        <w:pStyle w:val="a3"/>
        <w:spacing w:before="12"/>
        <w:rPr>
          <w:sz w:val="17"/>
        </w:rPr>
      </w:pPr>
    </w:p>
    <w:p w14:paraId="7F49280D" w14:textId="77777777" w:rsidR="00A71EEF" w:rsidRDefault="0081115D">
      <w:pPr>
        <w:pStyle w:val="a3"/>
        <w:ind w:left="418"/>
      </w:pPr>
      <w:r>
        <w:t>25m</w:t>
      </w:r>
      <w:r>
        <w:t>、直径</w:t>
      </w:r>
      <w:r>
        <w:t xml:space="preserve"> 65mm </w:t>
      </w:r>
      <w:r>
        <w:t>的水带，并宜配置消防软管卷盘。</w:t>
      </w:r>
      <w:r>
        <w:t xml:space="preserve"> </w:t>
      </w:r>
    </w:p>
    <w:p w14:paraId="349277A1" w14:textId="77777777" w:rsidR="00A71EEF" w:rsidRDefault="00A71EEF">
      <w:pPr>
        <w:pStyle w:val="a3"/>
        <w:spacing w:before="2"/>
        <w:rPr>
          <w:sz w:val="18"/>
        </w:rPr>
      </w:pPr>
    </w:p>
    <w:p w14:paraId="72042D88" w14:textId="77777777" w:rsidR="00A71EEF" w:rsidRDefault="0081115D">
      <w:pPr>
        <w:pStyle w:val="a4"/>
        <w:numPr>
          <w:ilvl w:val="2"/>
          <w:numId w:val="684"/>
        </w:numPr>
        <w:tabs>
          <w:tab w:val="left" w:pos="1478"/>
        </w:tabs>
        <w:spacing w:line="446" w:lineRule="auto"/>
        <w:ind w:right="1496" w:firstLine="422"/>
        <w:rPr>
          <w:sz w:val="21"/>
        </w:rPr>
      </w:pPr>
      <w:r>
        <w:rPr>
          <w:spacing w:val="-3"/>
          <w:sz w:val="21"/>
        </w:rPr>
        <w:t>隧道内应设置排水设施。排水设施应考虑排除渗水、雨水、隧道清洗等水量和灭火时的消防用水量，并应采取防止事故时可燃液体或有害液体沿隧道漫流的措施。</w:t>
      </w:r>
      <w:r>
        <w:rPr>
          <w:sz w:val="21"/>
        </w:rPr>
        <w:t xml:space="preserve"> </w:t>
      </w:r>
    </w:p>
    <w:p w14:paraId="2553B6A4" w14:textId="77777777" w:rsidR="00A71EEF" w:rsidRDefault="0081115D">
      <w:pPr>
        <w:pStyle w:val="a4"/>
        <w:numPr>
          <w:ilvl w:val="2"/>
          <w:numId w:val="684"/>
        </w:numPr>
        <w:tabs>
          <w:tab w:val="left" w:pos="1478"/>
        </w:tabs>
        <w:spacing w:line="267" w:lineRule="exact"/>
        <w:ind w:left="1477" w:hanging="638"/>
        <w:rPr>
          <w:sz w:val="21"/>
        </w:rPr>
      </w:pPr>
      <w:r>
        <w:rPr>
          <w:spacing w:val="-10"/>
          <w:sz w:val="21"/>
        </w:rPr>
        <w:t>隧道内应设置</w:t>
      </w:r>
      <w:r>
        <w:rPr>
          <w:spacing w:val="-10"/>
          <w:sz w:val="21"/>
        </w:rPr>
        <w:t xml:space="preserve"> </w:t>
      </w:r>
      <w:r>
        <w:rPr>
          <w:sz w:val="21"/>
        </w:rPr>
        <w:t>ABC</w:t>
      </w:r>
      <w:r>
        <w:rPr>
          <w:spacing w:val="-3"/>
          <w:sz w:val="21"/>
        </w:rPr>
        <w:t xml:space="preserve"> </w:t>
      </w:r>
      <w:r>
        <w:rPr>
          <w:spacing w:val="-3"/>
          <w:sz w:val="21"/>
        </w:rPr>
        <w:t>类灭火器，并应符合下列规定：</w:t>
      </w:r>
      <w:r>
        <w:rPr>
          <w:sz w:val="21"/>
        </w:rPr>
        <w:t xml:space="preserve"> </w:t>
      </w:r>
    </w:p>
    <w:p w14:paraId="17926B5A" w14:textId="77777777" w:rsidR="00A71EEF" w:rsidRDefault="00A71EEF">
      <w:pPr>
        <w:pStyle w:val="a3"/>
        <w:spacing w:before="2"/>
        <w:rPr>
          <w:sz w:val="18"/>
        </w:rPr>
      </w:pPr>
    </w:p>
    <w:p w14:paraId="672D10E4" w14:textId="77777777" w:rsidR="00A71EEF" w:rsidRDefault="0081115D">
      <w:pPr>
        <w:pStyle w:val="a3"/>
        <w:spacing w:line="446" w:lineRule="auto"/>
        <w:ind w:left="418" w:right="1498" w:firstLine="419"/>
      </w:pPr>
      <w:r>
        <w:t>通行机动车的一、二隧道和通行机动车并设置</w:t>
      </w:r>
      <w:r>
        <w:t xml:space="preserve"> 3 </w:t>
      </w:r>
      <w:r>
        <w:t>条及以上车道的三类隧道，在隧道两侧均应设置灭火器；每个设置点不应少于</w:t>
      </w:r>
      <w:r>
        <w:t xml:space="preserve"> 4 </w:t>
      </w:r>
      <w:r>
        <w:t>具；</w:t>
      </w:r>
      <w:r>
        <w:t xml:space="preserve"> </w:t>
      </w:r>
    </w:p>
    <w:p w14:paraId="46EDF9AE" w14:textId="77777777" w:rsidR="00A71EEF" w:rsidRDefault="0081115D">
      <w:pPr>
        <w:pStyle w:val="a3"/>
        <w:spacing w:line="267" w:lineRule="exact"/>
        <w:ind w:left="838"/>
      </w:pPr>
      <w:r>
        <w:t>其他隧道，可在隧道一侧设置灭火器；每个设置点不应少于</w:t>
      </w:r>
      <w:r>
        <w:t xml:space="preserve"> 2 </w:t>
      </w:r>
      <w:r>
        <w:t>具；</w:t>
      </w:r>
      <w:r>
        <w:t xml:space="preserve"> </w:t>
      </w:r>
    </w:p>
    <w:p w14:paraId="329075E8" w14:textId="77777777" w:rsidR="00A71EEF" w:rsidRDefault="00A71EEF">
      <w:pPr>
        <w:pStyle w:val="a3"/>
        <w:spacing w:before="2"/>
        <w:rPr>
          <w:sz w:val="18"/>
        </w:rPr>
      </w:pPr>
    </w:p>
    <w:p w14:paraId="6B081C1F" w14:textId="77777777" w:rsidR="00A71EEF" w:rsidRDefault="0081115D">
      <w:pPr>
        <w:pStyle w:val="a3"/>
        <w:spacing w:line="446" w:lineRule="auto"/>
        <w:ind w:left="840" w:right="6287" w:hanging="3"/>
        <w:rPr>
          <w:b/>
        </w:rPr>
      </w:pPr>
      <w:r>
        <w:t>灭火器设置点的间距不应大于</w:t>
      </w:r>
      <w:r>
        <w:t xml:space="preserve"> 100m</w:t>
      </w:r>
      <w:r>
        <w:t>。</w:t>
      </w:r>
      <w:r>
        <w:rPr>
          <w:b/>
        </w:rPr>
        <w:t xml:space="preserve">12.3 </w:t>
      </w:r>
      <w:r>
        <w:t>通风和排烟系统</w:t>
      </w:r>
      <w:r>
        <w:rPr>
          <w:b/>
          <w:w w:val="99"/>
        </w:rPr>
        <w:t xml:space="preserve"> </w:t>
      </w:r>
    </w:p>
    <w:p w14:paraId="312BBF1C" w14:textId="77777777" w:rsidR="00A71EEF" w:rsidRDefault="0081115D">
      <w:pPr>
        <w:pStyle w:val="a4"/>
        <w:numPr>
          <w:ilvl w:val="2"/>
          <w:numId w:val="681"/>
        </w:numPr>
        <w:tabs>
          <w:tab w:val="left" w:pos="1478"/>
        </w:tabs>
        <w:spacing w:line="267" w:lineRule="exact"/>
        <w:ind w:hanging="638"/>
        <w:rPr>
          <w:sz w:val="21"/>
        </w:rPr>
      </w:pPr>
      <w:r>
        <w:rPr>
          <w:spacing w:val="-3"/>
          <w:sz w:val="21"/>
        </w:rPr>
        <w:t>通行机动车的一、二、三类隧道应设置排烟设施。</w:t>
      </w:r>
      <w:r>
        <w:rPr>
          <w:sz w:val="21"/>
        </w:rPr>
        <w:t xml:space="preserve"> </w:t>
      </w:r>
    </w:p>
    <w:p w14:paraId="764F53BC" w14:textId="77777777" w:rsidR="00A71EEF" w:rsidRDefault="00A71EEF">
      <w:pPr>
        <w:pStyle w:val="a3"/>
        <w:spacing w:before="2"/>
        <w:rPr>
          <w:sz w:val="18"/>
        </w:rPr>
      </w:pPr>
    </w:p>
    <w:p w14:paraId="5C4C46D6" w14:textId="77777777" w:rsidR="00A71EEF" w:rsidRDefault="0081115D">
      <w:pPr>
        <w:pStyle w:val="a4"/>
        <w:numPr>
          <w:ilvl w:val="2"/>
          <w:numId w:val="681"/>
        </w:numPr>
        <w:tabs>
          <w:tab w:val="left" w:pos="1478"/>
        </w:tabs>
        <w:ind w:hanging="638"/>
        <w:rPr>
          <w:sz w:val="21"/>
        </w:rPr>
      </w:pPr>
      <w:r>
        <w:rPr>
          <w:spacing w:val="-3"/>
          <w:sz w:val="21"/>
        </w:rPr>
        <w:t>隧道内机械排烟系统的设置应符合下列规定：</w:t>
      </w:r>
      <w:r>
        <w:rPr>
          <w:spacing w:val="-3"/>
          <w:sz w:val="21"/>
        </w:rPr>
        <w:t xml:space="preserve"> </w:t>
      </w:r>
    </w:p>
    <w:p w14:paraId="75465D2D" w14:textId="77777777" w:rsidR="00A71EEF" w:rsidRDefault="00A71EEF">
      <w:pPr>
        <w:rPr>
          <w:sz w:val="21"/>
        </w:rPr>
        <w:sectPr w:rsidR="00A71EEF">
          <w:footerReference w:type="default" r:id="rId157"/>
          <w:pgSz w:w="11910" w:h="16850"/>
          <w:pgMar w:top="1220" w:right="0" w:bottom="1420" w:left="1260" w:header="0" w:footer="1239" w:gutter="0"/>
          <w:pgNumType w:start="1060"/>
          <w:cols w:space="720"/>
        </w:sectPr>
      </w:pPr>
    </w:p>
    <w:p w14:paraId="27717498" w14:textId="77777777" w:rsidR="00A71EEF" w:rsidRDefault="0081115D">
      <w:pPr>
        <w:pStyle w:val="a3"/>
        <w:spacing w:before="47"/>
        <w:ind w:left="838"/>
      </w:pPr>
      <w:r>
        <w:t>长度大于</w:t>
      </w:r>
      <w:r>
        <w:t xml:space="preserve"> 3000m </w:t>
      </w:r>
      <w:r>
        <w:t>的隧道，宜采用纵向分段排烟方式或重点排烟方式；</w:t>
      </w:r>
      <w:r>
        <w:t xml:space="preserve"> </w:t>
      </w:r>
    </w:p>
    <w:p w14:paraId="4692BEC4" w14:textId="77777777" w:rsidR="00A71EEF" w:rsidRDefault="00A71EEF">
      <w:pPr>
        <w:pStyle w:val="a3"/>
        <w:rPr>
          <w:sz w:val="18"/>
        </w:rPr>
      </w:pPr>
    </w:p>
    <w:p w14:paraId="06AD2CFD" w14:textId="77777777" w:rsidR="00A71EEF" w:rsidRDefault="0081115D">
      <w:pPr>
        <w:pStyle w:val="a3"/>
        <w:ind w:left="838"/>
      </w:pPr>
      <w:r>
        <w:t>长度不大于</w:t>
      </w:r>
      <w:r>
        <w:t xml:space="preserve"> 3000m </w:t>
      </w:r>
      <w:r>
        <w:t>的单洞单向交通隧道，宜采用纵向排烟方式；</w:t>
      </w:r>
      <w:r>
        <w:t xml:space="preserve"> </w:t>
      </w:r>
    </w:p>
    <w:p w14:paraId="3CA399D6" w14:textId="77777777" w:rsidR="00A71EEF" w:rsidRDefault="00A71EEF">
      <w:pPr>
        <w:pStyle w:val="a3"/>
        <w:rPr>
          <w:sz w:val="18"/>
        </w:rPr>
      </w:pPr>
    </w:p>
    <w:p w14:paraId="6B517BDC" w14:textId="77777777" w:rsidR="00A71EEF" w:rsidRDefault="0081115D">
      <w:pPr>
        <w:pStyle w:val="a3"/>
        <w:ind w:left="838"/>
      </w:pPr>
      <w:r>
        <w:rPr>
          <w:spacing w:val="-3"/>
        </w:rPr>
        <w:t>单洞双向交通隧道，宜采用重点排烟方式。</w:t>
      </w:r>
      <w:r>
        <w:t xml:space="preserve"> </w:t>
      </w:r>
    </w:p>
    <w:p w14:paraId="30098DF3" w14:textId="77777777" w:rsidR="00A71EEF" w:rsidRDefault="00A71EEF">
      <w:pPr>
        <w:pStyle w:val="a3"/>
        <w:spacing w:before="1"/>
        <w:rPr>
          <w:sz w:val="18"/>
        </w:rPr>
      </w:pPr>
    </w:p>
    <w:p w14:paraId="799773D2" w14:textId="77777777" w:rsidR="00A71EEF" w:rsidRDefault="0081115D">
      <w:pPr>
        <w:pStyle w:val="a4"/>
        <w:numPr>
          <w:ilvl w:val="2"/>
          <w:numId w:val="681"/>
        </w:numPr>
        <w:tabs>
          <w:tab w:val="left" w:pos="1478"/>
        </w:tabs>
        <w:spacing w:before="1" w:line="446" w:lineRule="auto"/>
        <w:ind w:left="418" w:right="1496" w:firstLine="422"/>
        <w:rPr>
          <w:sz w:val="21"/>
        </w:rPr>
      </w:pPr>
      <w:r>
        <w:rPr>
          <w:spacing w:val="-3"/>
          <w:sz w:val="21"/>
        </w:rPr>
        <w:t>机械排烟系统与隧道的通风系统宜分开设置。合用时，合用的通风系统应具备在火灾时快速转换的功能，并应符合机械排烟系统的要求。</w:t>
      </w:r>
      <w:r>
        <w:rPr>
          <w:sz w:val="21"/>
        </w:rPr>
        <w:t xml:space="preserve"> </w:t>
      </w:r>
    </w:p>
    <w:p w14:paraId="4243499B" w14:textId="77777777" w:rsidR="00A71EEF" w:rsidRDefault="0081115D">
      <w:pPr>
        <w:pStyle w:val="a4"/>
        <w:numPr>
          <w:ilvl w:val="2"/>
          <w:numId w:val="681"/>
        </w:numPr>
        <w:tabs>
          <w:tab w:val="left" w:pos="1478"/>
        </w:tabs>
        <w:spacing w:line="267" w:lineRule="exact"/>
        <w:ind w:hanging="638"/>
        <w:rPr>
          <w:sz w:val="21"/>
        </w:rPr>
      </w:pPr>
      <w:r>
        <w:rPr>
          <w:spacing w:val="-3"/>
          <w:sz w:val="21"/>
        </w:rPr>
        <w:t>隧道内设置的机械排烟系统应符合下列规定：</w:t>
      </w:r>
      <w:r>
        <w:rPr>
          <w:spacing w:val="-3"/>
          <w:sz w:val="21"/>
        </w:rPr>
        <w:t xml:space="preserve"> </w:t>
      </w:r>
    </w:p>
    <w:p w14:paraId="2A6BA523" w14:textId="77777777" w:rsidR="00A71EEF" w:rsidRDefault="00A71EEF">
      <w:pPr>
        <w:pStyle w:val="a3"/>
        <w:spacing w:before="1"/>
        <w:rPr>
          <w:sz w:val="18"/>
        </w:rPr>
      </w:pPr>
    </w:p>
    <w:p w14:paraId="7EAB03C8" w14:textId="77777777" w:rsidR="00A71EEF" w:rsidRDefault="0081115D">
      <w:pPr>
        <w:pStyle w:val="a3"/>
        <w:spacing w:before="1"/>
        <w:ind w:left="838"/>
      </w:pPr>
      <w:r>
        <w:t>采用全横向和半横向通风方式时，可通过排风管道排烟；</w:t>
      </w:r>
      <w:r>
        <w:t xml:space="preserve"> </w:t>
      </w:r>
    </w:p>
    <w:p w14:paraId="01BD0838" w14:textId="77777777" w:rsidR="00A71EEF" w:rsidRDefault="00A71EEF">
      <w:pPr>
        <w:pStyle w:val="a3"/>
        <w:spacing w:before="12"/>
        <w:rPr>
          <w:sz w:val="17"/>
        </w:rPr>
      </w:pPr>
    </w:p>
    <w:p w14:paraId="4BF109DC" w14:textId="77777777" w:rsidR="00A71EEF" w:rsidRDefault="0081115D">
      <w:pPr>
        <w:pStyle w:val="a3"/>
        <w:spacing w:line="446" w:lineRule="auto"/>
        <w:ind w:left="418" w:right="1609" w:firstLine="419"/>
      </w:pPr>
      <w:r>
        <w:t>采用纵向排烟方式时，应能迅速组织气流、有效排烟，其排烟风速应根据隧道内的最不利火灾规模确定，且纵向气流的速度不应小于</w:t>
      </w:r>
      <w:r>
        <w:t xml:space="preserve"> 2m/s</w:t>
      </w:r>
      <w:r>
        <w:t>，并应大于临界风速；</w:t>
      </w:r>
      <w:r>
        <w:t xml:space="preserve"> </w:t>
      </w:r>
    </w:p>
    <w:p w14:paraId="79141BA1" w14:textId="77777777" w:rsidR="00A71EEF" w:rsidRDefault="0081115D">
      <w:pPr>
        <w:pStyle w:val="a3"/>
        <w:spacing w:line="446" w:lineRule="auto"/>
        <w:ind w:left="418" w:right="1560" w:firstLine="419"/>
      </w:pPr>
      <w:r>
        <w:rPr>
          <w:spacing w:val="-3"/>
        </w:rPr>
        <w:t>排烟风机和烟气流经的风阀、消声器、软接等辅助设备，应能承受设计的隧道火灾烟气排</w:t>
      </w:r>
      <w:r>
        <w:rPr>
          <w:spacing w:val="-8"/>
        </w:rPr>
        <w:t>放温度，并应能在</w:t>
      </w:r>
      <w:r>
        <w:rPr>
          <w:spacing w:val="-8"/>
        </w:rPr>
        <w:t xml:space="preserve"> </w:t>
      </w:r>
      <w:r>
        <w:t>250</w:t>
      </w:r>
      <w:r>
        <w:rPr>
          <w:spacing w:val="-7"/>
        </w:rPr>
        <w:t>℃</w:t>
      </w:r>
      <w:r>
        <w:rPr>
          <w:spacing w:val="-7"/>
        </w:rPr>
        <w:t>下连续正常运行不小于</w:t>
      </w:r>
      <w:r>
        <w:rPr>
          <w:spacing w:val="-7"/>
        </w:rPr>
        <w:t xml:space="preserve"> </w:t>
      </w:r>
      <w:r>
        <w:t>1.0h</w:t>
      </w:r>
      <w:r>
        <w:rPr>
          <w:spacing w:val="-6"/>
        </w:rPr>
        <w:t>。排烟管道的耐火极限不应低于</w:t>
      </w:r>
      <w:r>
        <w:rPr>
          <w:spacing w:val="-6"/>
        </w:rPr>
        <w:t xml:space="preserve"> </w:t>
      </w:r>
      <w:r>
        <w:t>1.00h</w:t>
      </w:r>
      <w:r>
        <w:rPr>
          <w:spacing w:val="-3"/>
        </w:rPr>
        <w:t>。</w:t>
      </w:r>
      <w:r>
        <w:t xml:space="preserve"> </w:t>
      </w:r>
    </w:p>
    <w:p w14:paraId="1374F71D" w14:textId="77777777" w:rsidR="00A71EEF" w:rsidRDefault="0081115D">
      <w:pPr>
        <w:pStyle w:val="a4"/>
        <w:numPr>
          <w:ilvl w:val="2"/>
          <w:numId w:val="681"/>
        </w:numPr>
        <w:tabs>
          <w:tab w:val="left" w:pos="1478"/>
        </w:tabs>
        <w:spacing w:line="267" w:lineRule="exact"/>
        <w:ind w:hanging="638"/>
        <w:rPr>
          <w:sz w:val="21"/>
        </w:rPr>
      </w:pPr>
      <w:r>
        <w:rPr>
          <w:spacing w:val="-5"/>
          <w:sz w:val="21"/>
        </w:rPr>
        <w:t>隧道的避难设施内应设置独立的机械加压送风系统，其送风的余压值应为</w:t>
      </w:r>
      <w:r>
        <w:rPr>
          <w:spacing w:val="-5"/>
          <w:sz w:val="21"/>
        </w:rPr>
        <w:t xml:space="preserve"> </w:t>
      </w:r>
      <w:r>
        <w:rPr>
          <w:sz w:val="21"/>
        </w:rPr>
        <w:t>30Pa</w:t>
      </w:r>
      <w:r>
        <w:rPr>
          <w:sz w:val="21"/>
        </w:rPr>
        <w:t>～</w:t>
      </w:r>
    </w:p>
    <w:p w14:paraId="0938BE53" w14:textId="77777777" w:rsidR="00A71EEF" w:rsidRDefault="00A71EEF">
      <w:pPr>
        <w:pStyle w:val="a3"/>
        <w:spacing w:before="2"/>
        <w:rPr>
          <w:sz w:val="18"/>
        </w:rPr>
      </w:pPr>
    </w:p>
    <w:p w14:paraId="60EA1EC3" w14:textId="77777777" w:rsidR="00A71EEF" w:rsidRDefault="0081115D">
      <w:pPr>
        <w:pStyle w:val="a3"/>
        <w:ind w:left="418"/>
      </w:pPr>
      <w:r>
        <w:t>50Pa</w:t>
      </w:r>
      <w:r>
        <w:t>。</w:t>
      </w:r>
      <w:r>
        <w:t xml:space="preserve"> </w:t>
      </w:r>
    </w:p>
    <w:p w14:paraId="10AB09EA" w14:textId="77777777" w:rsidR="00A71EEF" w:rsidRDefault="00A71EEF">
      <w:pPr>
        <w:pStyle w:val="a3"/>
        <w:rPr>
          <w:sz w:val="18"/>
        </w:rPr>
      </w:pPr>
    </w:p>
    <w:p w14:paraId="0CA81F24" w14:textId="77777777" w:rsidR="00A71EEF" w:rsidRDefault="0081115D">
      <w:pPr>
        <w:pStyle w:val="a4"/>
        <w:numPr>
          <w:ilvl w:val="2"/>
          <w:numId w:val="681"/>
        </w:numPr>
        <w:tabs>
          <w:tab w:val="left" w:pos="1478"/>
        </w:tabs>
        <w:ind w:hanging="638"/>
        <w:rPr>
          <w:sz w:val="21"/>
        </w:rPr>
      </w:pPr>
      <w:r>
        <w:rPr>
          <w:spacing w:val="-3"/>
          <w:sz w:val="21"/>
        </w:rPr>
        <w:t>隧道内用于火灾排烟的射流风机，应至少备用一组。</w:t>
      </w:r>
      <w:r>
        <w:rPr>
          <w:sz w:val="21"/>
        </w:rPr>
        <w:t xml:space="preserve"> </w:t>
      </w:r>
    </w:p>
    <w:p w14:paraId="28BF6658" w14:textId="77777777" w:rsidR="00A71EEF" w:rsidRDefault="00A71EEF">
      <w:pPr>
        <w:pStyle w:val="a3"/>
        <w:spacing w:before="12"/>
        <w:rPr>
          <w:sz w:val="17"/>
        </w:rPr>
      </w:pPr>
    </w:p>
    <w:p w14:paraId="51C615A2" w14:textId="77777777" w:rsidR="00A71EEF" w:rsidRDefault="0081115D">
      <w:pPr>
        <w:pStyle w:val="a4"/>
        <w:numPr>
          <w:ilvl w:val="1"/>
          <w:numId w:val="680"/>
        </w:numPr>
        <w:tabs>
          <w:tab w:val="left" w:pos="1264"/>
        </w:tabs>
        <w:spacing w:before="1"/>
        <w:rPr>
          <w:b/>
          <w:sz w:val="21"/>
        </w:rPr>
      </w:pPr>
      <w:r>
        <w:rPr>
          <w:spacing w:val="-3"/>
          <w:sz w:val="21"/>
        </w:rPr>
        <w:t>火灾自动报警系统</w:t>
      </w:r>
      <w:r>
        <w:rPr>
          <w:b/>
          <w:w w:val="99"/>
          <w:sz w:val="21"/>
        </w:rPr>
        <w:t xml:space="preserve"> </w:t>
      </w:r>
    </w:p>
    <w:p w14:paraId="3738D59F" w14:textId="77777777" w:rsidR="00A71EEF" w:rsidRDefault="00A71EEF">
      <w:pPr>
        <w:pStyle w:val="a3"/>
        <w:spacing w:before="1"/>
        <w:rPr>
          <w:b/>
          <w:sz w:val="18"/>
        </w:rPr>
      </w:pPr>
    </w:p>
    <w:p w14:paraId="1A681293" w14:textId="77777777" w:rsidR="00A71EEF" w:rsidRDefault="0081115D">
      <w:pPr>
        <w:pStyle w:val="a4"/>
        <w:numPr>
          <w:ilvl w:val="2"/>
          <w:numId w:val="680"/>
        </w:numPr>
        <w:tabs>
          <w:tab w:val="left" w:pos="1478"/>
        </w:tabs>
        <w:spacing w:line="446" w:lineRule="auto"/>
        <w:ind w:right="1445" w:firstLine="422"/>
        <w:rPr>
          <w:sz w:val="21"/>
        </w:rPr>
      </w:pPr>
      <w:r>
        <w:rPr>
          <w:spacing w:val="-11"/>
          <w:sz w:val="21"/>
        </w:rPr>
        <w:t>隧道入口外</w:t>
      </w:r>
      <w:r>
        <w:rPr>
          <w:spacing w:val="-11"/>
          <w:sz w:val="21"/>
        </w:rPr>
        <w:t xml:space="preserve"> </w:t>
      </w:r>
      <w:r>
        <w:rPr>
          <w:sz w:val="21"/>
        </w:rPr>
        <w:t>100</w:t>
      </w:r>
      <w:r>
        <w:rPr>
          <w:sz w:val="21"/>
        </w:rPr>
        <w:t>～</w:t>
      </w:r>
      <w:r>
        <w:rPr>
          <w:sz w:val="21"/>
        </w:rPr>
        <w:t>150m</w:t>
      </w:r>
      <w:r>
        <w:rPr>
          <w:spacing w:val="-3"/>
          <w:sz w:val="21"/>
        </w:rPr>
        <w:t xml:space="preserve"> </w:t>
      </w:r>
      <w:r>
        <w:rPr>
          <w:spacing w:val="-3"/>
          <w:sz w:val="21"/>
        </w:rPr>
        <w:t>处，应设置隧道内发生火灾时能提示车辆禁入隧道的警报信号装置。</w:t>
      </w:r>
      <w:r>
        <w:rPr>
          <w:sz w:val="21"/>
        </w:rPr>
        <w:t xml:space="preserve"> </w:t>
      </w:r>
    </w:p>
    <w:p w14:paraId="259D54C4" w14:textId="77777777" w:rsidR="00A71EEF" w:rsidRDefault="0081115D">
      <w:pPr>
        <w:pStyle w:val="a4"/>
        <w:numPr>
          <w:ilvl w:val="2"/>
          <w:numId w:val="680"/>
        </w:numPr>
        <w:tabs>
          <w:tab w:val="left" w:pos="1478"/>
        </w:tabs>
        <w:spacing w:line="446" w:lineRule="auto"/>
        <w:ind w:right="1496" w:firstLine="422"/>
        <w:rPr>
          <w:sz w:val="21"/>
        </w:rPr>
      </w:pPr>
      <w:r>
        <w:rPr>
          <w:spacing w:val="-3"/>
          <w:sz w:val="21"/>
        </w:rPr>
        <w:t>一、二类隧道应设置火灾自动报警系统，通行机动车的三类隧道宜设置火灾自动报警系统。火灾自动报警系统的设置应符合下列规定：</w:t>
      </w:r>
      <w:r>
        <w:rPr>
          <w:spacing w:val="-3"/>
          <w:sz w:val="21"/>
        </w:rPr>
        <w:t xml:space="preserve"> </w:t>
      </w:r>
    </w:p>
    <w:p w14:paraId="1FC9A1FF" w14:textId="77777777" w:rsidR="00A71EEF" w:rsidRDefault="0081115D">
      <w:pPr>
        <w:pStyle w:val="a3"/>
        <w:ind w:left="838"/>
      </w:pPr>
      <w:r>
        <w:t>应设置火灾自动探测装置；</w:t>
      </w:r>
      <w:r>
        <w:t xml:space="preserve"> </w:t>
      </w:r>
    </w:p>
    <w:p w14:paraId="15586F5C" w14:textId="77777777" w:rsidR="00A71EEF" w:rsidRDefault="00A71EEF">
      <w:pPr>
        <w:pStyle w:val="a3"/>
        <w:spacing w:before="11"/>
        <w:rPr>
          <w:sz w:val="17"/>
        </w:rPr>
      </w:pPr>
    </w:p>
    <w:p w14:paraId="7CB4C6FA" w14:textId="77777777" w:rsidR="00A71EEF" w:rsidRDefault="0081115D">
      <w:pPr>
        <w:pStyle w:val="a3"/>
        <w:spacing w:line="446" w:lineRule="auto"/>
        <w:ind w:left="838" w:right="3032"/>
      </w:pPr>
      <w:r>
        <w:t xml:space="preserve"> </w:t>
      </w:r>
      <w:r>
        <w:t>隧道出入口和隧道内每隔</w:t>
      </w:r>
      <w:r>
        <w:t xml:space="preserve"> 100</w:t>
      </w:r>
      <w:r>
        <w:t>～</w:t>
      </w:r>
      <w:r>
        <w:t xml:space="preserve">150m </w:t>
      </w:r>
      <w:r>
        <w:t>处，应设置报警电话和报警按钮；</w:t>
      </w:r>
      <w:r>
        <w:t xml:space="preserve"> </w:t>
      </w:r>
      <w:r>
        <w:t>应设置火灾应急广播或应每隔</w:t>
      </w:r>
      <w:r>
        <w:t xml:space="preserve"> 100</w:t>
      </w:r>
      <w:r>
        <w:t>～</w:t>
      </w:r>
      <w:r>
        <w:t xml:space="preserve">150m  </w:t>
      </w:r>
      <w:r>
        <w:t>处设置发光警报装置。</w:t>
      </w:r>
      <w:r>
        <w:rPr>
          <w:b/>
        </w:rPr>
        <w:t xml:space="preserve">12.4.3 </w:t>
      </w:r>
      <w:r>
        <w:t>隧道用电缆通道和主要设备用房内应设置火灾自动报警系统。</w:t>
      </w:r>
      <w:r>
        <w:t xml:space="preserve"> </w:t>
      </w:r>
    </w:p>
    <w:p w14:paraId="3E426B9E" w14:textId="77777777" w:rsidR="00A71EEF" w:rsidRDefault="0081115D">
      <w:pPr>
        <w:pStyle w:val="a4"/>
        <w:numPr>
          <w:ilvl w:val="2"/>
          <w:numId w:val="679"/>
        </w:numPr>
        <w:tabs>
          <w:tab w:val="left" w:pos="1478"/>
        </w:tabs>
        <w:spacing w:line="268" w:lineRule="exact"/>
        <w:ind w:hanging="638"/>
        <w:rPr>
          <w:sz w:val="21"/>
        </w:rPr>
      </w:pPr>
      <w:r>
        <w:rPr>
          <w:spacing w:val="-3"/>
          <w:sz w:val="21"/>
        </w:rPr>
        <w:t>对于可能产生屏蔽的隧道，应设置无线通信等保证灭火时通信联络畅通的设施。</w:t>
      </w:r>
      <w:r>
        <w:rPr>
          <w:sz w:val="21"/>
        </w:rPr>
        <w:t xml:space="preserve"> </w:t>
      </w:r>
    </w:p>
    <w:p w14:paraId="15275D8C" w14:textId="77777777" w:rsidR="00A71EEF" w:rsidRDefault="00A71EEF">
      <w:pPr>
        <w:pStyle w:val="a3"/>
        <w:spacing w:before="1"/>
        <w:rPr>
          <w:sz w:val="18"/>
        </w:rPr>
      </w:pPr>
    </w:p>
    <w:p w14:paraId="223C92D6" w14:textId="77777777" w:rsidR="00A71EEF" w:rsidRDefault="0081115D">
      <w:pPr>
        <w:pStyle w:val="a4"/>
        <w:numPr>
          <w:ilvl w:val="2"/>
          <w:numId w:val="679"/>
        </w:numPr>
        <w:tabs>
          <w:tab w:val="left" w:pos="1478"/>
        </w:tabs>
        <w:spacing w:before="1" w:line="446" w:lineRule="auto"/>
        <w:ind w:left="418" w:right="1445" w:firstLine="422"/>
        <w:jc w:val="both"/>
        <w:rPr>
          <w:sz w:val="21"/>
        </w:rPr>
      </w:pPr>
      <w:r>
        <w:rPr>
          <w:spacing w:val="-9"/>
          <w:sz w:val="21"/>
        </w:rPr>
        <w:t>封闭段长度超过</w:t>
      </w:r>
      <w:r>
        <w:rPr>
          <w:spacing w:val="-9"/>
          <w:sz w:val="21"/>
        </w:rPr>
        <w:t xml:space="preserve"> </w:t>
      </w:r>
      <w:r>
        <w:rPr>
          <w:sz w:val="21"/>
        </w:rPr>
        <w:t>1000m</w:t>
      </w:r>
      <w:r>
        <w:rPr>
          <w:spacing w:val="-3"/>
          <w:sz w:val="21"/>
        </w:rPr>
        <w:t xml:space="preserve"> </w:t>
      </w:r>
      <w:r>
        <w:rPr>
          <w:spacing w:val="-3"/>
          <w:sz w:val="21"/>
        </w:rPr>
        <w:t>的隧道宜设置消防控制室，消防控制室的建筑</w:t>
      </w:r>
      <w:r>
        <w:rPr>
          <w:spacing w:val="-3"/>
          <w:sz w:val="21"/>
        </w:rPr>
        <w:t>防火要求应符</w:t>
      </w:r>
      <w:r>
        <w:rPr>
          <w:spacing w:val="-11"/>
          <w:sz w:val="21"/>
        </w:rPr>
        <w:t>合本规范第</w:t>
      </w:r>
      <w:r>
        <w:rPr>
          <w:spacing w:val="-11"/>
          <w:sz w:val="21"/>
        </w:rPr>
        <w:t xml:space="preserve"> </w:t>
      </w:r>
      <w:r>
        <w:rPr>
          <w:sz w:val="21"/>
        </w:rPr>
        <w:t>8.1.7</w:t>
      </w:r>
      <w:r>
        <w:rPr>
          <w:spacing w:val="-10"/>
          <w:sz w:val="21"/>
        </w:rPr>
        <w:t xml:space="preserve"> </w:t>
      </w:r>
      <w:r>
        <w:rPr>
          <w:spacing w:val="-10"/>
          <w:sz w:val="21"/>
        </w:rPr>
        <w:t>条和第</w:t>
      </w:r>
      <w:r>
        <w:rPr>
          <w:spacing w:val="-10"/>
          <w:sz w:val="21"/>
        </w:rPr>
        <w:t xml:space="preserve"> </w:t>
      </w:r>
      <w:r>
        <w:rPr>
          <w:sz w:val="21"/>
        </w:rPr>
        <w:t>8.1.8</w:t>
      </w:r>
      <w:r>
        <w:rPr>
          <w:spacing w:val="-3"/>
          <w:sz w:val="21"/>
        </w:rPr>
        <w:t xml:space="preserve"> </w:t>
      </w:r>
      <w:r>
        <w:rPr>
          <w:spacing w:val="-3"/>
          <w:sz w:val="21"/>
        </w:rPr>
        <w:t>条的规定。隧道内火灾自动报警系统的设计应符合现行国家标准《火灾自动报警系统设计规范》</w:t>
      </w:r>
      <w:r>
        <w:rPr>
          <w:sz w:val="21"/>
        </w:rPr>
        <w:t>GB</w:t>
      </w:r>
      <w:r>
        <w:rPr>
          <w:spacing w:val="1"/>
          <w:sz w:val="21"/>
        </w:rPr>
        <w:t xml:space="preserve"> </w:t>
      </w:r>
      <w:r>
        <w:rPr>
          <w:sz w:val="21"/>
        </w:rPr>
        <w:t>50116</w:t>
      </w:r>
      <w:r>
        <w:rPr>
          <w:spacing w:val="-3"/>
          <w:sz w:val="21"/>
        </w:rPr>
        <w:t xml:space="preserve"> </w:t>
      </w:r>
      <w:r>
        <w:rPr>
          <w:spacing w:val="-3"/>
          <w:sz w:val="21"/>
        </w:rPr>
        <w:t>的规定。</w:t>
      </w:r>
      <w:r>
        <w:rPr>
          <w:spacing w:val="-3"/>
          <w:sz w:val="21"/>
        </w:rPr>
        <w:t xml:space="preserve"> </w:t>
      </w:r>
    </w:p>
    <w:p w14:paraId="08D9E075" w14:textId="77777777" w:rsidR="00A71EEF" w:rsidRDefault="0081115D">
      <w:pPr>
        <w:pStyle w:val="a4"/>
        <w:numPr>
          <w:ilvl w:val="1"/>
          <w:numId w:val="680"/>
        </w:numPr>
        <w:tabs>
          <w:tab w:val="left" w:pos="1264"/>
        </w:tabs>
        <w:spacing w:line="268" w:lineRule="exact"/>
        <w:rPr>
          <w:b/>
          <w:sz w:val="21"/>
        </w:rPr>
      </w:pPr>
      <w:r>
        <w:rPr>
          <w:spacing w:val="-3"/>
          <w:sz w:val="21"/>
        </w:rPr>
        <w:t>供电及其他</w:t>
      </w:r>
      <w:r>
        <w:rPr>
          <w:b/>
          <w:w w:val="99"/>
          <w:sz w:val="21"/>
        </w:rPr>
        <w:t xml:space="preserve"> </w:t>
      </w:r>
    </w:p>
    <w:p w14:paraId="29848B46" w14:textId="77777777" w:rsidR="00A71EEF" w:rsidRDefault="00A71EEF">
      <w:pPr>
        <w:spacing w:line="268" w:lineRule="exact"/>
        <w:rPr>
          <w:sz w:val="21"/>
        </w:rPr>
        <w:sectPr w:rsidR="00A71EEF">
          <w:pgSz w:w="11910" w:h="16850"/>
          <w:pgMar w:top="1220" w:right="0" w:bottom="1420" w:left="1260" w:header="0" w:footer="1239" w:gutter="0"/>
          <w:cols w:space="720"/>
        </w:sectPr>
      </w:pPr>
    </w:p>
    <w:p w14:paraId="5CDFBAB2" w14:textId="77777777" w:rsidR="00A71EEF" w:rsidRDefault="0081115D">
      <w:pPr>
        <w:pStyle w:val="a4"/>
        <w:numPr>
          <w:ilvl w:val="2"/>
          <w:numId w:val="680"/>
        </w:numPr>
        <w:tabs>
          <w:tab w:val="left" w:pos="1478"/>
        </w:tabs>
        <w:spacing w:before="47" w:line="446" w:lineRule="auto"/>
        <w:ind w:right="1496" w:firstLine="422"/>
        <w:rPr>
          <w:sz w:val="21"/>
        </w:rPr>
      </w:pPr>
      <w:r>
        <w:rPr>
          <w:spacing w:val="-3"/>
          <w:sz w:val="21"/>
        </w:rPr>
        <w:t>一、二类隧道的消防用电应按一级负荷要求供电；三类隧道的消防用电应按二级负荷要求供电。</w:t>
      </w:r>
      <w:r>
        <w:rPr>
          <w:sz w:val="21"/>
        </w:rPr>
        <w:t xml:space="preserve"> </w:t>
      </w:r>
    </w:p>
    <w:p w14:paraId="0E0A1655" w14:textId="77777777" w:rsidR="00A71EEF" w:rsidRDefault="0081115D">
      <w:pPr>
        <w:pStyle w:val="a4"/>
        <w:numPr>
          <w:ilvl w:val="2"/>
          <w:numId w:val="680"/>
        </w:numPr>
        <w:tabs>
          <w:tab w:val="left" w:pos="1478"/>
        </w:tabs>
        <w:spacing w:line="446" w:lineRule="auto"/>
        <w:ind w:right="1759" w:firstLine="422"/>
        <w:rPr>
          <w:sz w:val="21"/>
        </w:rPr>
      </w:pPr>
      <w:r>
        <w:rPr>
          <w:spacing w:val="-5"/>
          <w:sz w:val="21"/>
        </w:rPr>
        <w:t>隧道的消防电源及其供电、配电线路等的其他要求应符合本规范第</w:t>
      </w:r>
      <w:r>
        <w:rPr>
          <w:spacing w:val="-5"/>
          <w:sz w:val="21"/>
        </w:rPr>
        <w:t xml:space="preserve"> </w:t>
      </w:r>
      <w:r>
        <w:rPr>
          <w:sz w:val="21"/>
        </w:rPr>
        <w:t>10.1</w:t>
      </w:r>
      <w:r>
        <w:rPr>
          <w:spacing w:val="2"/>
          <w:sz w:val="21"/>
        </w:rPr>
        <w:t xml:space="preserve"> </w:t>
      </w:r>
      <w:r>
        <w:rPr>
          <w:spacing w:val="2"/>
          <w:sz w:val="21"/>
        </w:rPr>
        <w:t>节的规</w:t>
      </w:r>
      <w:r>
        <w:rPr>
          <w:spacing w:val="-1"/>
          <w:sz w:val="21"/>
        </w:rPr>
        <w:t>定。</w:t>
      </w:r>
      <w:r>
        <w:rPr>
          <w:sz w:val="21"/>
        </w:rPr>
        <w:t xml:space="preserve"> </w:t>
      </w:r>
    </w:p>
    <w:p w14:paraId="34078249" w14:textId="77777777" w:rsidR="00A71EEF" w:rsidRDefault="0081115D">
      <w:pPr>
        <w:pStyle w:val="a4"/>
        <w:numPr>
          <w:ilvl w:val="2"/>
          <w:numId w:val="680"/>
        </w:numPr>
        <w:tabs>
          <w:tab w:val="left" w:pos="1478"/>
        </w:tabs>
        <w:spacing w:line="446" w:lineRule="auto"/>
        <w:ind w:right="1496" w:firstLine="422"/>
        <w:rPr>
          <w:sz w:val="21"/>
        </w:rPr>
      </w:pPr>
      <w:r>
        <w:rPr>
          <w:spacing w:val="-3"/>
          <w:sz w:val="21"/>
        </w:rPr>
        <w:t>隧道两侧、人行横通道和人行疏散通道上应设置疏散照明和疏散指示标志，其设置</w:t>
      </w:r>
      <w:r>
        <w:rPr>
          <w:spacing w:val="-11"/>
          <w:sz w:val="21"/>
        </w:rPr>
        <w:t>高度不宜大于</w:t>
      </w:r>
      <w:r>
        <w:rPr>
          <w:spacing w:val="-11"/>
          <w:sz w:val="21"/>
        </w:rPr>
        <w:t xml:space="preserve"> </w:t>
      </w:r>
      <w:r>
        <w:rPr>
          <w:sz w:val="21"/>
        </w:rPr>
        <w:t>1.5m</w:t>
      </w:r>
      <w:r>
        <w:rPr>
          <w:spacing w:val="-3"/>
          <w:sz w:val="21"/>
        </w:rPr>
        <w:t>。</w:t>
      </w:r>
      <w:r>
        <w:rPr>
          <w:sz w:val="21"/>
        </w:rPr>
        <w:t xml:space="preserve"> </w:t>
      </w:r>
    </w:p>
    <w:p w14:paraId="1F1E0855" w14:textId="77777777" w:rsidR="00A71EEF" w:rsidRDefault="0081115D">
      <w:pPr>
        <w:pStyle w:val="a3"/>
        <w:spacing w:line="446" w:lineRule="auto"/>
        <w:ind w:left="418" w:right="1498" w:firstLine="419"/>
      </w:pPr>
      <w:r>
        <w:t>一、二类隧道内疏散照明和疏散指示标志的连续供电时间不应小于</w:t>
      </w:r>
      <w:r>
        <w:t xml:space="preserve"> 1.5h</w:t>
      </w:r>
      <w:r>
        <w:t>；其他隧道，不应小于</w:t>
      </w:r>
      <w:r>
        <w:t xml:space="preserve"> 1.0 h</w:t>
      </w:r>
      <w:r>
        <w:t>。其他要求可按本规范第</w:t>
      </w:r>
      <w:r>
        <w:t xml:space="preserve"> 10 </w:t>
      </w:r>
      <w:r>
        <w:t>章的规定确定。</w:t>
      </w:r>
      <w:r>
        <w:t xml:space="preserve"> </w:t>
      </w:r>
    </w:p>
    <w:p w14:paraId="5E32683D" w14:textId="77777777" w:rsidR="00A71EEF" w:rsidRDefault="0081115D">
      <w:pPr>
        <w:pStyle w:val="a4"/>
        <w:numPr>
          <w:ilvl w:val="2"/>
          <w:numId w:val="680"/>
        </w:numPr>
        <w:tabs>
          <w:tab w:val="left" w:pos="1478"/>
        </w:tabs>
        <w:spacing w:line="446" w:lineRule="auto"/>
        <w:ind w:right="1551" w:firstLine="422"/>
        <w:rPr>
          <w:sz w:val="21"/>
        </w:rPr>
      </w:pPr>
      <w:r>
        <w:rPr>
          <w:spacing w:val="-5"/>
          <w:sz w:val="21"/>
        </w:rPr>
        <w:t>隧道内严禁设置可燃气体管道；电缆线槽应与其他管道分开敷设。当设置</w:t>
      </w:r>
      <w:r>
        <w:rPr>
          <w:spacing w:val="-5"/>
          <w:sz w:val="21"/>
        </w:rPr>
        <w:t xml:space="preserve"> </w:t>
      </w:r>
      <w:r>
        <w:rPr>
          <w:sz w:val="21"/>
        </w:rPr>
        <w:t>10kV</w:t>
      </w:r>
      <w:r>
        <w:rPr>
          <w:spacing w:val="6"/>
          <w:sz w:val="21"/>
        </w:rPr>
        <w:t xml:space="preserve"> </w:t>
      </w:r>
      <w:r>
        <w:rPr>
          <w:spacing w:val="6"/>
          <w:sz w:val="21"/>
        </w:rPr>
        <w:t>及</w:t>
      </w:r>
      <w:r>
        <w:rPr>
          <w:spacing w:val="-6"/>
          <w:sz w:val="21"/>
        </w:rPr>
        <w:t>以上的高压电缆时，应采用耐火极限不低于</w:t>
      </w:r>
      <w:r>
        <w:rPr>
          <w:spacing w:val="-6"/>
          <w:sz w:val="21"/>
        </w:rPr>
        <w:t xml:space="preserve"> </w:t>
      </w:r>
      <w:r>
        <w:rPr>
          <w:sz w:val="21"/>
        </w:rPr>
        <w:t>2.00h</w:t>
      </w:r>
      <w:r>
        <w:rPr>
          <w:spacing w:val="-3"/>
          <w:sz w:val="21"/>
        </w:rPr>
        <w:t xml:space="preserve"> </w:t>
      </w:r>
      <w:r>
        <w:rPr>
          <w:spacing w:val="-3"/>
          <w:sz w:val="21"/>
        </w:rPr>
        <w:t>的防火分隔体与其他区域分隔。</w:t>
      </w:r>
      <w:r>
        <w:rPr>
          <w:sz w:val="21"/>
        </w:rPr>
        <w:t xml:space="preserve"> </w:t>
      </w:r>
    </w:p>
    <w:p w14:paraId="4ED5D150" w14:textId="77777777" w:rsidR="00A71EEF" w:rsidRDefault="0081115D">
      <w:pPr>
        <w:pStyle w:val="a4"/>
        <w:numPr>
          <w:ilvl w:val="2"/>
          <w:numId w:val="680"/>
        </w:numPr>
        <w:tabs>
          <w:tab w:val="left" w:pos="1478"/>
        </w:tabs>
        <w:spacing w:line="446" w:lineRule="auto"/>
        <w:ind w:right="1498" w:firstLine="422"/>
        <w:rPr>
          <w:sz w:val="21"/>
        </w:rPr>
      </w:pPr>
      <w:r>
        <w:rPr>
          <w:spacing w:val="-3"/>
          <w:sz w:val="21"/>
        </w:rPr>
        <w:t>隧道内设置的各类消防设施均应采取与隧道内环境条件相适应的保护措施，并应设置明显的发光指示标志。</w:t>
      </w:r>
      <w:r>
        <w:rPr>
          <w:sz w:val="21"/>
        </w:rPr>
        <w:t xml:space="preserve"> </w:t>
      </w:r>
    </w:p>
    <w:p w14:paraId="7BCBCC24" w14:textId="77777777" w:rsidR="00A71EEF" w:rsidRDefault="00A71EEF">
      <w:pPr>
        <w:pStyle w:val="a3"/>
        <w:rPr>
          <w:sz w:val="20"/>
        </w:rPr>
      </w:pPr>
    </w:p>
    <w:p w14:paraId="5463785D" w14:textId="77777777" w:rsidR="00A71EEF" w:rsidRDefault="00A71EEF">
      <w:pPr>
        <w:pStyle w:val="a3"/>
        <w:rPr>
          <w:sz w:val="20"/>
        </w:rPr>
      </w:pPr>
    </w:p>
    <w:p w14:paraId="070D6839" w14:textId="77777777" w:rsidR="00A71EEF" w:rsidRDefault="00A71EEF">
      <w:pPr>
        <w:pStyle w:val="a3"/>
        <w:rPr>
          <w:sz w:val="20"/>
        </w:rPr>
      </w:pPr>
    </w:p>
    <w:p w14:paraId="2863FD6B" w14:textId="77777777" w:rsidR="00A71EEF" w:rsidRDefault="00A71EEF">
      <w:pPr>
        <w:pStyle w:val="a3"/>
        <w:rPr>
          <w:sz w:val="20"/>
        </w:rPr>
      </w:pPr>
    </w:p>
    <w:p w14:paraId="1EFDB9E1" w14:textId="77777777" w:rsidR="00A71EEF" w:rsidRDefault="00A71EEF">
      <w:pPr>
        <w:pStyle w:val="a3"/>
        <w:rPr>
          <w:sz w:val="20"/>
        </w:rPr>
      </w:pPr>
    </w:p>
    <w:p w14:paraId="06D0B593" w14:textId="77777777" w:rsidR="00A71EEF" w:rsidRDefault="00A71EEF">
      <w:pPr>
        <w:pStyle w:val="a3"/>
        <w:rPr>
          <w:sz w:val="20"/>
        </w:rPr>
      </w:pPr>
    </w:p>
    <w:p w14:paraId="0FD26ACC" w14:textId="77777777" w:rsidR="00A71EEF" w:rsidRDefault="00A71EEF">
      <w:pPr>
        <w:pStyle w:val="a3"/>
        <w:rPr>
          <w:sz w:val="20"/>
        </w:rPr>
      </w:pPr>
    </w:p>
    <w:p w14:paraId="1657D5E6" w14:textId="77777777" w:rsidR="00A71EEF" w:rsidRDefault="00A71EEF">
      <w:pPr>
        <w:pStyle w:val="a3"/>
        <w:rPr>
          <w:sz w:val="20"/>
        </w:rPr>
      </w:pPr>
    </w:p>
    <w:p w14:paraId="42B59E77" w14:textId="77777777" w:rsidR="00A71EEF" w:rsidRDefault="00A71EEF">
      <w:pPr>
        <w:pStyle w:val="a3"/>
        <w:rPr>
          <w:sz w:val="20"/>
        </w:rPr>
      </w:pPr>
    </w:p>
    <w:p w14:paraId="4C8D00C3" w14:textId="77777777" w:rsidR="00A71EEF" w:rsidRDefault="00A71EEF">
      <w:pPr>
        <w:pStyle w:val="a3"/>
        <w:rPr>
          <w:sz w:val="20"/>
        </w:rPr>
      </w:pPr>
    </w:p>
    <w:p w14:paraId="58632842" w14:textId="77777777" w:rsidR="00A71EEF" w:rsidRDefault="00A71EEF">
      <w:pPr>
        <w:pStyle w:val="a3"/>
        <w:rPr>
          <w:sz w:val="20"/>
        </w:rPr>
      </w:pPr>
    </w:p>
    <w:p w14:paraId="6F0C49A2" w14:textId="77777777" w:rsidR="00A71EEF" w:rsidRDefault="00A71EEF">
      <w:pPr>
        <w:pStyle w:val="a3"/>
        <w:rPr>
          <w:sz w:val="20"/>
        </w:rPr>
      </w:pPr>
    </w:p>
    <w:p w14:paraId="4571CE01" w14:textId="77777777" w:rsidR="00A71EEF" w:rsidRDefault="00A71EEF">
      <w:pPr>
        <w:pStyle w:val="a3"/>
        <w:rPr>
          <w:sz w:val="20"/>
        </w:rPr>
      </w:pPr>
    </w:p>
    <w:p w14:paraId="39F8C379" w14:textId="77777777" w:rsidR="00A71EEF" w:rsidRDefault="00A71EEF">
      <w:pPr>
        <w:pStyle w:val="a3"/>
        <w:rPr>
          <w:sz w:val="20"/>
        </w:rPr>
      </w:pPr>
    </w:p>
    <w:p w14:paraId="176FBAE6" w14:textId="77777777" w:rsidR="00A71EEF" w:rsidRDefault="00A71EEF">
      <w:pPr>
        <w:pStyle w:val="a3"/>
        <w:rPr>
          <w:sz w:val="20"/>
        </w:rPr>
      </w:pPr>
    </w:p>
    <w:p w14:paraId="3461B70A" w14:textId="77777777" w:rsidR="00A71EEF" w:rsidRDefault="00A71EEF">
      <w:pPr>
        <w:pStyle w:val="a3"/>
        <w:rPr>
          <w:sz w:val="20"/>
        </w:rPr>
      </w:pPr>
    </w:p>
    <w:p w14:paraId="23B7B7ED" w14:textId="77777777" w:rsidR="00A71EEF" w:rsidRDefault="00A71EEF">
      <w:pPr>
        <w:pStyle w:val="a3"/>
        <w:rPr>
          <w:sz w:val="20"/>
        </w:rPr>
      </w:pPr>
    </w:p>
    <w:p w14:paraId="5A17C8E7" w14:textId="77777777" w:rsidR="00A71EEF" w:rsidRDefault="00A71EEF">
      <w:pPr>
        <w:pStyle w:val="a3"/>
        <w:rPr>
          <w:sz w:val="20"/>
        </w:rPr>
      </w:pPr>
    </w:p>
    <w:p w14:paraId="5D831C89" w14:textId="77777777" w:rsidR="00A71EEF" w:rsidRDefault="00A71EEF">
      <w:pPr>
        <w:pStyle w:val="a3"/>
        <w:rPr>
          <w:sz w:val="20"/>
        </w:rPr>
      </w:pPr>
    </w:p>
    <w:p w14:paraId="09EA8CB7" w14:textId="77777777" w:rsidR="00A71EEF" w:rsidRDefault="00A71EEF">
      <w:pPr>
        <w:pStyle w:val="a3"/>
        <w:rPr>
          <w:sz w:val="20"/>
        </w:rPr>
      </w:pPr>
    </w:p>
    <w:p w14:paraId="0624ECE6" w14:textId="77777777" w:rsidR="00A71EEF" w:rsidRDefault="00A71EEF">
      <w:pPr>
        <w:pStyle w:val="a3"/>
        <w:rPr>
          <w:sz w:val="20"/>
        </w:rPr>
      </w:pPr>
    </w:p>
    <w:p w14:paraId="51A0F1AB" w14:textId="77777777" w:rsidR="00A71EEF" w:rsidRDefault="00A71EEF">
      <w:pPr>
        <w:pStyle w:val="a3"/>
        <w:rPr>
          <w:sz w:val="20"/>
        </w:rPr>
      </w:pPr>
    </w:p>
    <w:p w14:paraId="26641D37" w14:textId="77777777" w:rsidR="00A71EEF" w:rsidRDefault="00A71EEF">
      <w:pPr>
        <w:pStyle w:val="a3"/>
        <w:rPr>
          <w:sz w:val="20"/>
        </w:rPr>
      </w:pPr>
    </w:p>
    <w:p w14:paraId="69C196A1" w14:textId="77777777" w:rsidR="00A71EEF" w:rsidRDefault="00A71EEF">
      <w:pPr>
        <w:pStyle w:val="a3"/>
        <w:rPr>
          <w:sz w:val="20"/>
        </w:rPr>
      </w:pPr>
    </w:p>
    <w:p w14:paraId="42BC7B8D" w14:textId="77777777" w:rsidR="00A71EEF" w:rsidRDefault="00A71EEF">
      <w:pPr>
        <w:pStyle w:val="a3"/>
        <w:rPr>
          <w:sz w:val="20"/>
        </w:rPr>
      </w:pPr>
    </w:p>
    <w:p w14:paraId="53DC9AA0" w14:textId="77777777" w:rsidR="00A71EEF" w:rsidRDefault="00A71EEF">
      <w:pPr>
        <w:pStyle w:val="a3"/>
        <w:rPr>
          <w:sz w:val="20"/>
        </w:rPr>
      </w:pPr>
    </w:p>
    <w:p w14:paraId="5124D420" w14:textId="77777777" w:rsidR="00A71EEF" w:rsidRDefault="00A71EEF">
      <w:pPr>
        <w:pStyle w:val="a3"/>
        <w:rPr>
          <w:sz w:val="20"/>
        </w:rPr>
      </w:pPr>
    </w:p>
    <w:p w14:paraId="0CEAADF7" w14:textId="77777777" w:rsidR="00A71EEF" w:rsidRDefault="00A71EEF">
      <w:pPr>
        <w:pStyle w:val="a3"/>
        <w:rPr>
          <w:sz w:val="20"/>
        </w:rPr>
      </w:pPr>
    </w:p>
    <w:p w14:paraId="22208425" w14:textId="77777777" w:rsidR="00A71EEF" w:rsidRDefault="00A71EEF">
      <w:pPr>
        <w:pStyle w:val="a3"/>
        <w:spacing w:before="7"/>
        <w:rPr>
          <w:sz w:val="19"/>
        </w:rPr>
      </w:pPr>
    </w:p>
    <w:p w14:paraId="547A47BF" w14:textId="77777777" w:rsidR="00A71EEF" w:rsidRDefault="0081115D">
      <w:pPr>
        <w:pStyle w:val="a3"/>
        <w:spacing w:before="72"/>
        <w:ind w:left="3298"/>
      </w:pPr>
      <w:r>
        <w:t xml:space="preserve"> </w:t>
      </w:r>
    </w:p>
    <w:p w14:paraId="721F4F16" w14:textId="77777777" w:rsidR="00A71EEF" w:rsidRDefault="00A71EEF">
      <w:pPr>
        <w:sectPr w:rsidR="00A71EEF">
          <w:pgSz w:w="11910" w:h="16850"/>
          <w:pgMar w:top="1220" w:right="0" w:bottom="1420" w:left="1260" w:header="0" w:footer="1239" w:gutter="0"/>
          <w:cols w:space="720"/>
        </w:sectPr>
      </w:pPr>
    </w:p>
    <w:p w14:paraId="362A03FE" w14:textId="77777777" w:rsidR="00A71EEF" w:rsidRDefault="0081115D">
      <w:pPr>
        <w:pStyle w:val="4"/>
        <w:spacing w:before="55"/>
        <w:ind w:left="2734"/>
      </w:pPr>
      <w:r>
        <w:t>附录</w:t>
      </w:r>
      <w:r>
        <w:t xml:space="preserve"> A </w:t>
      </w:r>
      <w:r>
        <w:t>建筑高度和建筑层数的计算方法</w:t>
      </w:r>
      <w:r>
        <w:rPr>
          <w:w w:val="99"/>
        </w:rPr>
        <w:t xml:space="preserve"> </w:t>
      </w:r>
    </w:p>
    <w:p w14:paraId="04E7EAA3" w14:textId="77777777" w:rsidR="00A71EEF" w:rsidRDefault="00A71EEF">
      <w:pPr>
        <w:pStyle w:val="a3"/>
        <w:rPr>
          <w:b/>
          <w:sz w:val="24"/>
        </w:rPr>
      </w:pPr>
    </w:p>
    <w:p w14:paraId="50212E01" w14:textId="77777777" w:rsidR="00A71EEF" w:rsidRDefault="0081115D">
      <w:pPr>
        <w:pStyle w:val="a3"/>
        <w:spacing w:before="176"/>
        <w:ind w:left="840"/>
      </w:pPr>
      <w:r>
        <w:rPr>
          <w:b/>
        </w:rPr>
        <w:t xml:space="preserve">A.1 </w:t>
      </w:r>
      <w:r>
        <w:t>建筑高度的计算应符合下列规定：</w:t>
      </w:r>
      <w:r>
        <w:t xml:space="preserve"> </w:t>
      </w:r>
    </w:p>
    <w:p w14:paraId="23EEBE72" w14:textId="77777777" w:rsidR="00A71EEF" w:rsidRDefault="00A71EEF">
      <w:pPr>
        <w:pStyle w:val="a3"/>
        <w:spacing w:before="2"/>
        <w:rPr>
          <w:sz w:val="18"/>
        </w:rPr>
      </w:pPr>
    </w:p>
    <w:p w14:paraId="190CEC57" w14:textId="77777777" w:rsidR="00A71EEF" w:rsidRDefault="0081115D">
      <w:pPr>
        <w:pStyle w:val="a3"/>
        <w:ind w:left="838"/>
      </w:pPr>
      <w:r>
        <w:t xml:space="preserve">1 </w:t>
      </w:r>
      <w:r>
        <w:t>建筑屋面为坡屋面时，建筑高度应为建筑室外设计地面至其檐口与屋脊的平均高度；</w:t>
      </w:r>
      <w:r>
        <w:t xml:space="preserve"> </w:t>
      </w:r>
    </w:p>
    <w:p w14:paraId="1FD37FAD" w14:textId="77777777" w:rsidR="00A71EEF" w:rsidRDefault="00A71EEF">
      <w:pPr>
        <w:pStyle w:val="a3"/>
        <w:spacing w:before="12"/>
        <w:rPr>
          <w:sz w:val="17"/>
        </w:rPr>
      </w:pPr>
    </w:p>
    <w:p w14:paraId="0FD5E0EC" w14:textId="77777777" w:rsidR="00A71EEF" w:rsidRDefault="0081115D">
      <w:pPr>
        <w:pStyle w:val="a3"/>
        <w:spacing w:line="446" w:lineRule="auto"/>
        <w:ind w:left="418" w:right="1609" w:firstLine="419"/>
      </w:pPr>
      <w:r>
        <w:t xml:space="preserve">2 </w:t>
      </w:r>
      <w:r>
        <w:t>建筑屋面为平屋面（包括有女儿墙的平屋面）时，建筑高度应为建筑室外设计地面至其屋面面层的高度；</w:t>
      </w:r>
      <w:r>
        <w:t xml:space="preserve"> </w:t>
      </w:r>
    </w:p>
    <w:p w14:paraId="1B2285BE" w14:textId="77777777" w:rsidR="00A71EEF" w:rsidRDefault="0081115D">
      <w:pPr>
        <w:pStyle w:val="a3"/>
        <w:ind w:left="838"/>
      </w:pPr>
      <w:r>
        <w:t xml:space="preserve">3 </w:t>
      </w:r>
      <w:r>
        <w:t>同一座建筑有多种形式的屋面时，建筑高度应按上述方法分别计算后，取其中最大值；</w:t>
      </w:r>
      <w:r>
        <w:t xml:space="preserve"> </w:t>
      </w:r>
    </w:p>
    <w:p w14:paraId="167192DB" w14:textId="77777777" w:rsidR="00A71EEF" w:rsidRDefault="00A71EEF">
      <w:pPr>
        <w:pStyle w:val="a3"/>
        <w:rPr>
          <w:sz w:val="18"/>
        </w:rPr>
      </w:pPr>
    </w:p>
    <w:p w14:paraId="1E1BA451" w14:textId="77777777" w:rsidR="00A71EEF" w:rsidRDefault="0081115D">
      <w:pPr>
        <w:pStyle w:val="a3"/>
        <w:spacing w:line="446" w:lineRule="auto"/>
        <w:ind w:left="418" w:right="1608" w:firstLine="419"/>
        <w:jc w:val="both"/>
      </w:pPr>
      <w:r>
        <w:t xml:space="preserve">4 </w:t>
      </w:r>
      <w:r>
        <w:t>对于台阶式地坪，当位于不同高程地坪上的同一建筑之间有防火墙分隔，各自有符合规范规定的安全出口，且可沿建筑的两个长边设置贯通式或尽头式消防车道时，可分别计算各自的建筑高度。否则，应按其中建筑高度最大者确定该建筑的建筑高度；</w:t>
      </w:r>
      <w:r>
        <w:t xml:space="preserve"> </w:t>
      </w:r>
    </w:p>
    <w:p w14:paraId="257B7937" w14:textId="77777777" w:rsidR="00A71EEF" w:rsidRDefault="0081115D">
      <w:pPr>
        <w:pStyle w:val="a3"/>
        <w:spacing w:line="446" w:lineRule="auto"/>
        <w:ind w:left="418" w:right="1608" w:firstLine="419"/>
        <w:jc w:val="both"/>
      </w:pPr>
      <w:r>
        <w:t xml:space="preserve">5 </w:t>
      </w:r>
      <w:r>
        <w:t>局部突出屋顶的瞭望塔、冷却塔、水箱间、微波天线间或设施、电梯机房、排风和排烟机房以及楼梯出口小间等辅助用房占屋面面积不大于</w:t>
      </w:r>
      <w:r>
        <w:t xml:space="preserve"> 1/4 </w:t>
      </w:r>
      <w:r>
        <w:t>者，可不计入建筑高度；</w:t>
      </w:r>
      <w:r>
        <w:t xml:space="preserve"> </w:t>
      </w:r>
    </w:p>
    <w:p w14:paraId="0CE5F8E4" w14:textId="77777777" w:rsidR="00A71EEF" w:rsidRDefault="0081115D">
      <w:pPr>
        <w:pStyle w:val="a3"/>
        <w:spacing w:line="446" w:lineRule="auto"/>
        <w:ind w:left="418" w:right="1452" w:firstLine="419"/>
        <w:jc w:val="both"/>
      </w:pPr>
      <w:r>
        <w:t>6</w:t>
      </w:r>
      <w:r>
        <w:rPr>
          <w:spacing w:val="-5"/>
        </w:rPr>
        <w:t xml:space="preserve"> </w:t>
      </w:r>
      <w:r>
        <w:rPr>
          <w:spacing w:val="-5"/>
        </w:rPr>
        <w:t>对于住宅建筑，设置在底部且室内高</w:t>
      </w:r>
      <w:r>
        <w:rPr>
          <w:spacing w:val="-5"/>
        </w:rPr>
        <w:t>度不大于</w:t>
      </w:r>
      <w:r>
        <w:rPr>
          <w:spacing w:val="-5"/>
        </w:rPr>
        <w:t xml:space="preserve"> </w:t>
      </w:r>
      <w:r>
        <w:t>2.2m</w:t>
      </w:r>
      <w:r>
        <w:rPr>
          <w:spacing w:val="-3"/>
        </w:rPr>
        <w:t xml:space="preserve"> </w:t>
      </w:r>
      <w:r>
        <w:rPr>
          <w:spacing w:val="-3"/>
        </w:rPr>
        <w:t>的自行车库、储藏室、敞开空间，室</w:t>
      </w:r>
      <w:r>
        <w:rPr>
          <w:spacing w:val="-5"/>
        </w:rPr>
        <w:t>内外高差或建筑的地下或半地下室的顶板面高出室外设计地面的高度不大于</w:t>
      </w:r>
      <w:r>
        <w:rPr>
          <w:spacing w:val="-5"/>
        </w:rPr>
        <w:t xml:space="preserve"> </w:t>
      </w:r>
      <w:r>
        <w:t>1.5m</w:t>
      </w:r>
      <w:r>
        <w:rPr>
          <w:spacing w:val="2"/>
        </w:rPr>
        <w:t xml:space="preserve"> </w:t>
      </w:r>
      <w:r>
        <w:rPr>
          <w:spacing w:val="2"/>
        </w:rPr>
        <w:t>的部分，可不</w:t>
      </w:r>
      <w:r>
        <w:rPr>
          <w:spacing w:val="-2"/>
        </w:rPr>
        <w:t>计入建筑高度。</w:t>
      </w:r>
      <w:r>
        <w:t xml:space="preserve"> </w:t>
      </w:r>
    </w:p>
    <w:p w14:paraId="6D8A085C" w14:textId="77777777" w:rsidR="00A71EEF" w:rsidRDefault="0081115D">
      <w:pPr>
        <w:pStyle w:val="a4"/>
        <w:numPr>
          <w:ilvl w:val="0"/>
          <w:numId w:val="678"/>
        </w:numPr>
        <w:tabs>
          <w:tab w:val="left" w:pos="1053"/>
        </w:tabs>
        <w:spacing w:line="446" w:lineRule="auto"/>
        <w:ind w:right="3032" w:firstLine="2"/>
        <w:rPr>
          <w:sz w:val="21"/>
        </w:rPr>
      </w:pPr>
      <w:r>
        <w:rPr>
          <w:b/>
          <w:sz w:val="21"/>
        </w:rPr>
        <w:t>2</w:t>
      </w:r>
      <w:r>
        <w:rPr>
          <w:b/>
          <w:spacing w:val="47"/>
          <w:sz w:val="21"/>
        </w:rPr>
        <w:t xml:space="preserve">  </w:t>
      </w:r>
      <w:r>
        <w:rPr>
          <w:spacing w:val="-3"/>
          <w:sz w:val="21"/>
        </w:rPr>
        <w:t>建筑层数应按建筑的自然层数计算，下列空间可不计入建筑层数：</w:t>
      </w:r>
      <w:r>
        <w:rPr>
          <w:spacing w:val="-3"/>
          <w:sz w:val="21"/>
        </w:rPr>
        <w:t xml:space="preserve"> </w:t>
      </w:r>
      <w:r>
        <w:rPr>
          <w:sz w:val="21"/>
        </w:rPr>
        <w:t>1</w:t>
      </w:r>
      <w:r>
        <w:rPr>
          <w:spacing w:val="-6"/>
          <w:sz w:val="21"/>
        </w:rPr>
        <w:t xml:space="preserve"> </w:t>
      </w:r>
      <w:r>
        <w:rPr>
          <w:spacing w:val="-6"/>
          <w:sz w:val="21"/>
        </w:rPr>
        <w:t>室内顶板面高出室外设计地面的高度不大于</w:t>
      </w:r>
      <w:r>
        <w:rPr>
          <w:spacing w:val="-6"/>
          <w:sz w:val="21"/>
        </w:rPr>
        <w:t xml:space="preserve"> </w:t>
      </w:r>
      <w:r>
        <w:rPr>
          <w:sz w:val="21"/>
        </w:rPr>
        <w:t>1.5m</w:t>
      </w:r>
      <w:r>
        <w:rPr>
          <w:spacing w:val="-3"/>
          <w:sz w:val="21"/>
        </w:rPr>
        <w:t xml:space="preserve"> </w:t>
      </w:r>
      <w:r>
        <w:rPr>
          <w:spacing w:val="-3"/>
          <w:sz w:val="21"/>
        </w:rPr>
        <w:t>的地下或半地下室；</w:t>
      </w:r>
      <w:r>
        <w:rPr>
          <w:sz w:val="21"/>
        </w:rPr>
        <w:t xml:space="preserve"> </w:t>
      </w:r>
    </w:p>
    <w:p w14:paraId="636FA0D7" w14:textId="77777777" w:rsidR="00A71EEF" w:rsidRDefault="0081115D">
      <w:pPr>
        <w:pStyle w:val="a3"/>
        <w:spacing w:line="267" w:lineRule="exact"/>
        <w:ind w:left="838"/>
      </w:pPr>
      <w:r>
        <w:t xml:space="preserve">2 </w:t>
      </w:r>
      <w:r>
        <w:t>设置在建筑底部且室内高度不大于</w:t>
      </w:r>
      <w:r>
        <w:t xml:space="preserve"> 2.2m </w:t>
      </w:r>
      <w:r>
        <w:t>的自行车库、储藏室、敞开空间；</w:t>
      </w:r>
      <w:r>
        <w:t xml:space="preserve"> </w:t>
      </w:r>
    </w:p>
    <w:p w14:paraId="4C7A35D7" w14:textId="77777777" w:rsidR="00A71EEF" w:rsidRDefault="00A71EEF">
      <w:pPr>
        <w:pStyle w:val="a3"/>
        <w:rPr>
          <w:sz w:val="18"/>
        </w:rPr>
      </w:pPr>
    </w:p>
    <w:p w14:paraId="07705BDD" w14:textId="77777777" w:rsidR="00A71EEF" w:rsidRDefault="0081115D">
      <w:pPr>
        <w:pStyle w:val="a3"/>
        <w:ind w:left="838"/>
      </w:pPr>
      <w:r>
        <w:t xml:space="preserve">3 </w:t>
      </w:r>
      <w:r>
        <w:t>建筑屋顶上突出的局部设备用房、出屋面的楼梯间等。</w:t>
      </w:r>
      <w:r>
        <w:t xml:space="preserve"> </w:t>
      </w:r>
    </w:p>
    <w:p w14:paraId="7C80F031" w14:textId="77777777" w:rsidR="00A71EEF" w:rsidRDefault="00A71EEF">
      <w:pPr>
        <w:pStyle w:val="a3"/>
        <w:rPr>
          <w:sz w:val="20"/>
        </w:rPr>
      </w:pPr>
    </w:p>
    <w:p w14:paraId="798B8FDE" w14:textId="77777777" w:rsidR="00A71EEF" w:rsidRDefault="00A71EEF">
      <w:pPr>
        <w:pStyle w:val="a3"/>
        <w:rPr>
          <w:sz w:val="20"/>
        </w:rPr>
      </w:pPr>
    </w:p>
    <w:p w14:paraId="7A1B3274" w14:textId="77777777" w:rsidR="00A71EEF" w:rsidRDefault="00A71EEF">
      <w:pPr>
        <w:pStyle w:val="a3"/>
        <w:rPr>
          <w:sz w:val="20"/>
        </w:rPr>
      </w:pPr>
    </w:p>
    <w:p w14:paraId="006B8142" w14:textId="77777777" w:rsidR="00A71EEF" w:rsidRDefault="00A71EEF">
      <w:pPr>
        <w:pStyle w:val="a3"/>
        <w:rPr>
          <w:sz w:val="20"/>
        </w:rPr>
      </w:pPr>
    </w:p>
    <w:p w14:paraId="374A70DB" w14:textId="77777777" w:rsidR="00A71EEF" w:rsidRDefault="00A71EEF">
      <w:pPr>
        <w:pStyle w:val="a3"/>
        <w:rPr>
          <w:sz w:val="20"/>
        </w:rPr>
      </w:pPr>
    </w:p>
    <w:p w14:paraId="3DD85E06" w14:textId="77777777" w:rsidR="00A71EEF" w:rsidRDefault="00A71EEF">
      <w:pPr>
        <w:pStyle w:val="a3"/>
        <w:rPr>
          <w:sz w:val="20"/>
        </w:rPr>
      </w:pPr>
    </w:p>
    <w:p w14:paraId="309BD0AA" w14:textId="77777777" w:rsidR="00A71EEF" w:rsidRDefault="00A71EEF">
      <w:pPr>
        <w:pStyle w:val="a3"/>
        <w:rPr>
          <w:sz w:val="20"/>
        </w:rPr>
      </w:pPr>
    </w:p>
    <w:p w14:paraId="64A0E458" w14:textId="77777777" w:rsidR="00A71EEF" w:rsidRDefault="00A71EEF">
      <w:pPr>
        <w:pStyle w:val="a3"/>
        <w:rPr>
          <w:sz w:val="20"/>
        </w:rPr>
      </w:pPr>
    </w:p>
    <w:p w14:paraId="0B64F4F7" w14:textId="77777777" w:rsidR="00A71EEF" w:rsidRDefault="00A71EEF">
      <w:pPr>
        <w:pStyle w:val="a3"/>
        <w:rPr>
          <w:sz w:val="20"/>
        </w:rPr>
      </w:pPr>
    </w:p>
    <w:p w14:paraId="3B1657E9" w14:textId="77777777" w:rsidR="00A71EEF" w:rsidRDefault="00A71EEF">
      <w:pPr>
        <w:pStyle w:val="a3"/>
        <w:rPr>
          <w:sz w:val="20"/>
        </w:rPr>
      </w:pPr>
    </w:p>
    <w:p w14:paraId="6337579D" w14:textId="77777777" w:rsidR="00A71EEF" w:rsidRDefault="00A71EEF">
      <w:pPr>
        <w:pStyle w:val="a3"/>
        <w:rPr>
          <w:sz w:val="20"/>
        </w:rPr>
      </w:pPr>
    </w:p>
    <w:p w14:paraId="5D29174C" w14:textId="77777777" w:rsidR="00A71EEF" w:rsidRDefault="00A71EEF">
      <w:pPr>
        <w:pStyle w:val="a3"/>
        <w:rPr>
          <w:sz w:val="20"/>
        </w:rPr>
      </w:pPr>
    </w:p>
    <w:p w14:paraId="0C6FA2B8" w14:textId="77777777" w:rsidR="00A71EEF" w:rsidRDefault="00A71EEF">
      <w:pPr>
        <w:pStyle w:val="a3"/>
        <w:rPr>
          <w:sz w:val="20"/>
        </w:rPr>
      </w:pPr>
    </w:p>
    <w:p w14:paraId="31C213BC" w14:textId="77777777" w:rsidR="00A71EEF" w:rsidRDefault="00A71EEF">
      <w:pPr>
        <w:pStyle w:val="a3"/>
        <w:rPr>
          <w:sz w:val="20"/>
        </w:rPr>
      </w:pPr>
    </w:p>
    <w:p w14:paraId="7D7BD12F" w14:textId="77777777" w:rsidR="00A71EEF" w:rsidRDefault="00A71EEF">
      <w:pPr>
        <w:pStyle w:val="a3"/>
        <w:rPr>
          <w:sz w:val="20"/>
        </w:rPr>
      </w:pPr>
    </w:p>
    <w:p w14:paraId="1214F9A1" w14:textId="77777777" w:rsidR="00A71EEF" w:rsidRDefault="00A71EEF">
      <w:pPr>
        <w:pStyle w:val="a3"/>
        <w:rPr>
          <w:sz w:val="20"/>
        </w:rPr>
      </w:pPr>
    </w:p>
    <w:p w14:paraId="49B94B36" w14:textId="77777777" w:rsidR="00A71EEF" w:rsidRDefault="00A71EEF">
      <w:pPr>
        <w:pStyle w:val="a3"/>
        <w:rPr>
          <w:sz w:val="20"/>
        </w:rPr>
      </w:pPr>
    </w:p>
    <w:p w14:paraId="64873985" w14:textId="77777777" w:rsidR="00A71EEF" w:rsidRDefault="00A71EEF">
      <w:pPr>
        <w:pStyle w:val="a3"/>
        <w:spacing w:before="8"/>
        <w:rPr>
          <w:sz w:val="23"/>
        </w:rPr>
      </w:pPr>
    </w:p>
    <w:p w14:paraId="32B69A87" w14:textId="77777777" w:rsidR="00A71EEF" w:rsidRDefault="0081115D">
      <w:pPr>
        <w:pStyle w:val="a3"/>
        <w:spacing w:before="72"/>
        <w:ind w:left="3298"/>
      </w:pPr>
      <w:r>
        <w:t xml:space="preserve"> </w:t>
      </w:r>
    </w:p>
    <w:p w14:paraId="22530682" w14:textId="77777777" w:rsidR="00A71EEF" w:rsidRDefault="00A71EEF">
      <w:pPr>
        <w:sectPr w:rsidR="00A71EEF">
          <w:pgSz w:w="11910" w:h="16850"/>
          <w:pgMar w:top="1180" w:right="0" w:bottom="1420" w:left="1260" w:header="0" w:footer="1239" w:gutter="0"/>
          <w:cols w:space="720"/>
        </w:sectPr>
      </w:pPr>
    </w:p>
    <w:p w14:paraId="662D7E6B" w14:textId="77777777" w:rsidR="00A71EEF" w:rsidRDefault="0081115D">
      <w:pPr>
        <w:pStyle w:val="4"/>
        <w:spacing w:before="55"/>
        <w:ind w:left="3337"/>
      </w:pPr>
      <w:r>
        <w:t>附录</w:t>
      </w:r>
      <w:r>
        <w:t xml:space="preserve"> B </w:t>
      </w:r>
      <w:r>
        <w:t>防火间距的计算方法</w:t>
      </w:r>
      <w:r>
        <w:rPr>
          <w:w w:val="99"/>
        </w:rPr>
        <w:t xml:space="preserve"> </w:t>
      </w:r>
    </w:p>
    <w:p w14:paraId="7A57BCDD" w14:textId="77777777" w:rsidR="00A71EEF" w:rsidRDefault="00A71EEF">
      <w:pPr>
        <w:pStyle w:val="a3"/>
        <w:rPr>
          <w:b/>
          <w:sz w:val="24"/>
        </w:rPr>
      </w:pPr>
    </w:p>
    <w:p w14:paraId="12F55D01" w14:textId="77777777" w:rsidR="00A71EEF" w:rsidRDefault="0081115D">
      <w:pPr>
        <w:pStyle w:val="a4"/>
        <w:numPr>
          <w:ilvl w:val="0"/>
          <w:numId w:val="678"/>
        </w:numPr>
        <w:tabs>
          <w:tab w:val="left" w:pos="1053"/>
        </w:tabs>
        <w:spacing w:before="176" w:line="446" w:lineRule="auto"/>
        <w:ind w:left="418" w:right="1604" w:firstLine="422"/>
        <w:rPr>
          <w:sz w:val="21"/>
        </w:rPr>
      </w:pPr>
      <w:r>
        <w:rPr>
          <w:b/>
          <w:sz w:val="21"/>
        </w:rPr>
        <w:t>1</w:t>
      </w:r>
      <w:r>
        <w:rPr>
          <w:b/>
          <w:spacing w:val="39"/>
          <w:sz w:val="21"/>
        </w:rPr>
        <w:t xml:space="preserve"> </w:t>
      </w:r>
      <w:r>
        <w:rPr>
          <w:spacing w:val="-3"/>
          <w:sz w:val="21"/>
        </w:rPr>
        <w:t>建筑物之间的防火间距应按相邻建筑外墙的最近水平距离计算，当外墙有凸出的可燃或难燃构件时，应从其凸出部分外缘算起。</w:t>
      </w:r>
      <w:r>
        <w:rPr>
          <w:sz w:val="21"/>
        </w:rPr>
        <w:t xml:space="preserve"> </w:t>
      </w:r>
    </w:p>
    <w:p w14:paraId="69FDA66F" w14:textId="77777777" w:rsidR="00A71EEF" w:rsidRDefault="0081115D">
      <w:pPr>
        <w:pStyle w:val="a3"/>
        <w:spacing w:line="446" w:lineRule="auto"/>
        <w:ind w:left="418" w:right="1609" w:firstLine="419"/>
      </w:pPr>
      <w:r>
        <w:t>建筑物与储罐、堆场的防火间距，应为建筑外墙至储罐外壁或堆场中相邻堆垛外缘的最近水平距离。</w:t>
      </w:r>
      <w:r>
        <w:t xml:space="preserve"> </w:t>
      </w:r>
    </w:p>
    <w:p w14:paraId="42E6DD92" w14:textId="77777777" w:rsidR="00A71EEF" w:rsidRDefault="0081115D">
      <w:pPr>
        <w:pStyle w:val="a3"/>
        <w:ind w:left="840"/>
      </w:pPr>
      <w:r>
        <w:rPr>
          <w:b/>
        </w:rPr>
        <w:t xml:space="preserve">B.2 </w:t>
      </w:r>
      <w:r>
        <w:t>储罐之间的防火间距应为相邻两储罐外壁的最近水平距离。</w:t>
      </w:r>
      <w:r>
        <w:t xml:space="preserve"> </w:t>
      </w:r>
    </w:p>
    <w:p w14:paraId="2DCEFD70" w14:textId="77777777" w:rsidR="00A71EEF" w:rsidRDefault="00A71EEF">
      <w:pPr>
        <w:pStyle w:val="a3"/>
        <w:rPr>
          <w:sz w:val="18"/>
        </w:rPr>
      </w:pPr>
    </w:p>
    <w:p w14:paraId="78DD6B87" w14:textId="77777777" w:rsidR="00A71EEF" w:rsidRDefault="0081115D">
      <w:pPr>
        <w:pStyle w:val="a3"/>
        <w:spacing w:line="446" w:lineRule="auto"/>
        <w:ind w:left="840" w:right="2554" w:hanging="3"/>
      </w:pPr>
      <w:r>
        <w:t>储罐与堆场的防火间距应为储罐外壁至堆场中相邻堆垛外缘的最近水平距离。</w:t>
      </w:r>
      <w:r>
        <w:rPr>
          <w:b/>
        </w:rPr>
        <w:t xml:space="preserve">B.3 </w:t>
      </w:r>
      <w:r>
        <w:t>堆场之间的防火间距应为两堆场中相邻堆垛外缘的最近水平距离。</w:t>
      </w:r>
      <w:r>
        <w:t xml:space="preserve"> </w:t>
      </w:r>
    </w:p>
    <w:p w14:paraId="617322EF" w14:textId="77777777" w:rsidR="00A71EEF" w:rsidRDefault="0081115D">
      <w:pPr>
        <w:pStyle w:val="a3"/>
        <w:ind w:left="840"/>
      </w:pPr>
      <w:r>
        <w:rPr>
          <w:b/>
        </w:rPr>
        <w:t xml:space="preserve">B.4 </w:t>
      </w:r>
      <w:r>
        <w:t>变压器之间的防火间距应为相邻变压器外壁的最近水平距离。</w:t>
      </w:r>
      <w:r>
        <w:t xml:space="preserve"> </w:t>
      </w:r>
    </w:p>
    <w:p w14:paraId="191025A2" w14:textId="77777777" w:rsidR="00A71EEF" w:rsidRDefault="00A71EEF">
      <w:pPr>
        <w:pStyle w:val="a3"/>
        <w:spacing w:before="12"/>
        <w:rPr>
          <w:sz w:val="17"/>
        </w:rPr>
      </w:pPr>
    </w:p>
    <w:p w14:paraId="1B808687" w14:textId="77777777" w:rsidR="00A71EEF" w:rsidRDefault="0081115D">
      <w:pPr>
        <w:pStyle w:val="a3"/>
        <w:spacing w:line="446" w:lineRule="auto"/>
        <w:ind w:left="418" w:right="1609" w:firstLine="419"/>
      </w:pPr>
      <w:r>
        <w:t>变压器与建筑物、储罐或堆场的防火间距，应为变压器外壁至建筑外墙、储罐外壁或相邻堆垛外缘的最近水平距离。</w:t>
      </w:r>
      <w:r>
        <w:t xml:space="preserve"> </w:t>
      </w:r>
    </w:p>
    <w:p w14:paraId="2CB5B83E" w14:textId="77777777" w:rsidR="00A71EEF" w:rsidRDefault="0081115D">
      <w:pPr>
        <w:pStyle w:val="a4"/>
        <w:numPr>
          <w:ilvl w:val="0"/>
          <w:numId w:val="677"/>
        </w:numPr>
        <w:tabs>
          <w:tab w:val="left" w:pos="1053"/>
        </w:tabs>
        <w:spacing w:line="446" w:lineRule="auto"/>
        <w:ind w:right="1604" w:firstLine="422"/>
        <w:rPr>
          <w:sz w:val="21"/>
        </w:rPr>
      </w:pPr>
      <w:r>
        <w:rPr>
          <w:b/>
          <w:sz w:val="21"/>
        </w:rPr>
        <w:t>5</w:t>
      </w:r>
      <w:r>
        <w:rPr>
          <w:b/>
          <w:spacing w:val="39"/>
          <w:sz w:val="21"/>
        </w:rPr>
        <w:t xml:space="preserve"> </w:t>
      </w:r>
      <w:r>
        <w:rPr>
          <w:spacing w:val="-3"/>
          <w:sz w:val="21"/>
        </w:rPr>
        <w:t>建筑物、储罐或堆场与道路、铁路的防火间距，应为建筑外墙、储罐外壁或相邻堆垛外缘距道路最近一侧路边或铁路中心线的最小水平距离。</w:t>
      </w:r>
      <w:r>
        <w:rPr>
          <w:sz w:val="21"/>
        </w:rPr>
        <w:t xml:space="preserve"> </w:t>
      </w:r>
    </w:p>
    <w:p w14:paraId="5269FC23" w14:textId="77777777" w:rsidR="00A71EEF" w:rsidRDefault="00A71EEF">
      <w:pPr>
        <w:pStyle w:val="a3"/>
        <w:rPr>
          <w:sz w:val="20"/>
        </w:rPr>
      </w:pPr>
    </w:p>
    <w:p w14:paraId="46FAADD8" w14:textId="77777777" w:rsidR="00A71EEF" w:rsidRDefault="00A71EEF">
      <w:pPr>
        <w:pStyle w:val="a3"/>
        <w:rPr>
          <w:sz w:val="20"/>
        </w:rPr>
      </w:pPr>
    </w:p>
    <w:p w14:paraId="19EC1D39" w14:textId="77777777" w:rsidR="00A71EEF" w:rsidRDefault="00A71EEF">
      <w:pPr>
        <w:pStyle w:val="a3"/>
        <w:rPr>
          <w:sz w:val="20"/>
        </w:rPr>
      </w:pPr>
    </w:p>
    <w:p w14:paraId="1229E0D0" w14:textId="77777777" w:rsidR="00A71EEF" w:rsidRDefault="00A71EEF">
      <w:pPr>
        <w:pStyle w:val="a3"/>
        <w:rPr>
          <w:sz w:val="20"/>
        </w:rPr>
      </w:pPr>
    </w:p>
    <w:p w14:paraId="6BA23B84" w14:textId="77777777" w:rsidR="00A71EEF" w:rsidRDefault="00A71EEF">
      <w:pPr>
        <w:pStyle w:val="a3"/>
        <w:rPr>
          <w:sz w:val="20"/>
        </w:rPr>
      </w:pPr>
    </w:p>
    <w:p w14:paraId="49D21A62" w14:textId="77777777" w:rsidR="00A71EEF" w:rsidRDefault="00A71EEF">
      <w:pPr>
        <w:pStyle w:val="a3"/>
        <w:rPr>
          <w:sz w:val="20"/>
        </w:rPr>
      </w:pPr>
    </w:p>
    <w:p w14:paraId="1C4AFCF1" w14:textId="77777777" w:rsidR="00A71EEF" w:rsidRDefault="00A71EEF">
      <w:pPr>
        <w:pStyle w:val="a3"/>
        <w:rPr>
          <w:sz w:val="20"/>
        </w:rPr>
      </w:pPr>
    </w:p>
    <w:p w14:paraId="03D66D24" w14:textId="77777777" w:rsidR="00A71EEF" w:rsidRDefault="00A71EEF">
      <w:pPr>
        <w:pStyle w:val="a3"/>
        <w:rPr>
          <w:sz w:val="20"/>
        </w:rPr>
      </w:pPr>
    </w:p>
    <w:p w14:paraId="5425AB69" w14:textId="77777777" w:rsidR="00A71EEF" w:rsidRDefault="00A71EEF">
      <w:pPr>
        <w:pStyle w:val="a3"/>
        <w:rPr>
          <w:sz w:val="20"/>
        </w:rPr>
      </w:pPr>
    </w:p>
    <w:p w14:paraId="442DB0DD" w14:textId="77777777" w:rsidR="00A71EEF" w:rsidRDefault="00A71EEF">
      <w:pPr>
        <w:pStyle w:val="a3"/>
        <w:rPr>
          <w:sz w:val="20"/>
        </w:rPr>
      </w:pPr>
    </w:p>
    <w:p w14:paraId="27E6E055" w14:textId="77777777" w:rsidR="00A71EEF" w:rsidRDefault="00A71EEF">
      <w:pPr>
        <w:pStyle w:val="a3"/>
        <w:rPr>
          <w:sz w:val="20"/>
        </w:rPr>
      </w:pPr>
    </w:p>
    <w:p w14:paraId="5F38F2BF" w14:textId="77777777" w:rsidR="00A71EEF" w:rsidRDefault="00A71EEF">
      <w:pPr>
        <w:pStyle w:val="a3"/>
        <w:rPr>
          <w:sz w:val="20"/>
        </w:rPr>
      </w:pPr>
    </w:p>
    <w:p w14:paraId="26C5695F" w14:textId="77777777" w:rsidR="00A71EEF" w:rsidRDefault="00A71EEF">
      <w:pPr>
        <w:pStyle w:val="a3"/>
        <w:rPr>
          <w:sz w:val="20"/>
        </w:rPr>
      </w:pPr>
    </w:p>
    <w:p w14:paraId="7E682F22" w14:textId="77777777" w:rsidR="00A71EEF" w:rsidRDefault="00A71EEF">
      <w:pPr>
        <w:pStyle w:val="a3"/>
        <w:rPr>
          <w:sz w:val="20"/>
        </w:rPr>
      </w:pPr>
    </w:p>
    <w:p w14:paraId="7DE53272" w14:textId="77777777" w:rsidR="00A71EEF" w:rsidRDefault="00A71EEF">
      <w:pPr>
        <w:pStyle w:val="a3"/>
        <w:rPr>
          <w:sz w:val="20"/>
        </w:rPr>
      </w:pPr>
    </w:p>
    <w:p w14:paraId="5CCD2C6F" w14:textId="77777777" w:rsidR="00A71EEF" w:rsidRDefault="00A71EEF">
      <w:pPr>
        <w:pStyle w:val="a3"/>
        <w:rPr>
          <w:sz w:val="20"/>
        </w:rPr>
      </w:pPr>
    </w:p>
    <w:p w14:paraId="462E8341" w14:textId="77777777" w:rsidR="00A71EEF" w:rsidRDefault="00A71EEF">
      <w:pPr>
        <w:pStyle w:val="a3"/>
        <w:rPr>
          <w:sz w:val="20"/>
        </w:rPr>
      </w:pPr>
    </w:p>
    <w:p w14:paraId="016E21CB" w14:textId="77777777" w:rsidR="00A71EEF" w:rsidRDefault="00A71EEF">
      <w:pPr>
        <w:pStyle w:val="a3"/>
        <w:rPr>
          <w:sz w:val="20"/>
        </w:rPr>
      </w:pPr>
    </w:p>
    <w:p w14:paraId="79131FAA" w14:textId="77777777" w:rsidR="00A71EEF" w:rsidRDefault="00A71EEF">
      <w:pPr>
        <w:pStyle w:val="a3"/>
        <w:rPr>
          <w:sz w:val="20"/>
        </w:rPr>
      </w:pPr>
    </w:p>
    <w:p w14:paraId="6DB2C26E" w14:textId="77777777" w:rsidR="00A71EEF" w:rsidRDefault="00A71EEF">
      <w:pPr>
        <w:pStyle w:val="a3"/>
        <w:rPr>
          <w:sz w:val="20"/>
        </w:rPr>
      </w:pPr>
    </w:p>
    <w:p w14:paraId="7DD9DD22" w14:textId="77777777" w:rsidR="00A71EEF" w:rsidRDefault="00A71EEF">
      <w:pPr>
        <w:pStyle w:val="a3"/>
        <w:rPr>
          <w:sz w:val="20"/>
        </w:rPr>
      </w:pPr>
    </w:p>
    <w:p w14:paraId="2A056633" w14:textId="77777777" w:rsidR="00A71EEF" w:rsidRDefault="00A71EEF">
      <w:pPr>
        <w:pStyle w:val="a3"/>
        <w:rPr>
          <w:sz w:val="20"/>
        </w:rPr>
      </w:pPr>
    </w:p>
    <w:p w14:paraId="2C2E8E51" w14:textId="77777777" w:rsidR="00A71EEF" w:rsidRDefault="00A71EEF">
      <w:pPr>
        <w:pStyle w:val="a3"/>
        <w:rPr>
          <w:sz w:val="20"/>
        </w:rPr>
      </w:pPr>
    </w:p>
    <w:p w14:paraId="11168076" w14:textId="77777777" w:rsidR="00A71EEF" w:rsidRDefault="00A71EEF">
      <w:pPr>
        <w:pStyle w:val="a3"/>
        <w:rPr>
          <w:sz w:val="20"/>
        </w:rPr>
      </w:pPr>
    </w:p>
    <w:p w14:paraId="274AE9D6" w14:textId="77777777" w:rsidR="00A71EEF" w:rsidRDefault="00A71EEF">
      <w:pPr>
        <w:pStyle w:val="a3"/>
        <w:spacing w:before="10"/>
      </w:pPr>
    </w:p>
    <w:p w14:paraId="7FF98EB4" w14:textId="77777777" w:rsidR="00A71EEF" w:rsidRDefault="0081115D">
      <w:pPr>
        <w:pStyle w:val="a3"/>
        <w:spacing w:before="72"/>
        <w:ind w:left="3298"/>
      </w:pPr>
      <w:r>
        <w:t xml:space="preserve"> </w:t>
      </w:r>
    </w:p>
    <w:p w14:paraId="23E49909" w14:textId="77777777" w:rsidR="00A71EEF" w:rsidRDefault="00A71EEF">
      <w:pPr>
        <w:sectPr w:rsidR="00A71EEF">
          <w:pgSz w:w="11910" w:h="16850"/>
          <w:pgMar w:top="1180" w:right="0" w:bottom="1420" w:left="1260" w:header="0" w:footer="1239" w:gutter="0"/>
          <w:cols w:space="720"/>
        </w:sectPr>
      </w:pPr>
    </w:p>
    <w:p w14:paraId="13CFBBAC" w14:textId="77777777" w:rsidR="00A71EEF" w:rsidRDefault="0081115D">
      <w:pPr>
        <w:pStyle w:val="4"/>
        <w:spacing w:before="115"/>
        <w:ind w:left="1166"/>
        <w:rPr>
          <w:sz w:val="32"/>
        </w:rPr>
      </w:pPr>
      <w:r>
        <w:t>附录</w:t>
      </w:r>
      <w:r>
        <w:t xml:space="preserve"> C </w:t>
      </w:r>
      <w:r>
        <w:t>隧道内承重结构体的耐火极限试验升温曲线和相应的判定标准</w:t>
      </w:r>
      <w:r>
        <w:rPr>
          <w:w w:val="98"/>
          <w:sz w:val="32"/>
        </w:rPr>
        <w:t xml:space="preserve"> </w:t>
      </w:r>
    </w:p>
    <w:p w14:paraId="235F8150" w14:textId="77777777" w:rsidR="00A71EEF" w:rsidRDefault="00A71EEF">
      <w:pPr>
        <w:pStyle w:val="a3"/>
        <w:spacing w:before="9"/>
        <w:rPr>
          <w:b/>
          <w:sz w:val="37"/>
        </w:rPr>
      </w:pPr>
    </w:p>
    <w:p w14:paraId="21F0AD03" w14:textId="77777777" w:rsidR="00A71EEF" w:rsidRDefault="0081115D">
      <w:pPr>
        <w:pStyle w:val="a4"/>
        <w:numPr>
          <w:ilvl w:val="0"/>
          <w:numId w:val="677"/>
        </w:numPr>
        <w:tabs>
          <w:tab w:val="left" w:pos="1053"/>
        </w:tabs>
        <w:spacing w:before="1" w:line="446" w:lineRule="auto"/>
        <w:ind w:right="1554" w:firstLine="422"/>
        <w:rPr>
          <w:sz w:val="21"/>
        </w:rPr>
      </w:pPr>
      <w:r>
        <w:rPr>
          <w:b/>
          <w:sz w:val="21"/>
        </w:rPr>
        <w:t>1</w:t>
      </w:r>
      <w:r>
        <w:rPr>
          <w:b/>
          <w:spacing w:val="10"/>
          <w:sz w:val="21"/>
        </w:rPr>
        <w:t xml:space="preserve"> </w:t>
      </w:r>
      <w:r>
        <w:rPr>
          <w:sz w:val="21"/>
        </w:rPr>
        <w:t>RABT</w:t>
      </w:r>
      <w:r>
        <w:rPr>
          <w:spacing w:val="-14"/>
          <w:sz w:val="21"/>
        </w:rPr>
        <w:t xml:space="preserve"> </w:t>
      </w:r>
      <w:r>
        <w:rPr>
          <w:spacing w:val="-14"/>
          <w:sz w:val="21"/>
        </w:rPr>
        <w:t>和</w:t>
      </w:r>
      <w:r>
        <w:rPr>
          <w:spacing w:val="-14"/>
          <w:sz w:val="21"/>
        </w:rPr>
        <w:t xml:space="preserve"> </w:t>
      </w:r>
      <w:r>
        <w:rPr>
          <w:sz w:val="21"/>
        </w:rPr>
        <w:t>HC</w:t>
      </w:r>
      <w:r>
        <w:rPr>
          <w:spacing w:val="-3"/>
          <w:sz w:val="21"/>
        </w:rPr>
        <w:t xml:space="preserve"> </w:t>
      </w:r>
      <w:r>
        <w:rPr>
          <w:spacing w:val="-3"/>
          <w:sz w:val="21"/>
        </w:rPr>
        <w:t>标准升温曲线应符合现行国家标准《建筑构件耐火试验可供选择和附加的试验程序》</w:t>
      </w:r>
      <w:r>
        <w:rPr>
          <w:sz w:val="21"/>
        </w:rPr>
        <w:t>GB/T 26784</w:t>
      </w:r>
      <w:r>
        <w:rPr>
          <w:spacing w:val="-3"/>
          <w:sz w:val="21"/>
        </w:rPr>
        <w:t xml:space="preserve"> </w:t>
      </w:r>
      <w:r>
        <w:rPr>
          <w:spacing w:val="-3"/>
          <w:sz w:val="21"/>
        </w:rPr>
        <w:t>的规定。</w:t>
      </w:r>
      <w:r>
        <w:rPr>
          <w:sz w:val="21"/>
        </w:rPr>
        <w:t xml:space="preserve"> </w:t>
      </w:r>
    </w:p>
    <w:p w14:paraId="292A027D" w14:textId="77777777" w:rsidR="00A71EEF" w:rsidRDefault="0081115D">
      <w:pPr>
        <w:pStyle w:val="a3"/>
        <w:ind w:left="840"/>
      </w:pPr>
      <w:r>
        <w:rPr>
          <w:b/>
        </w:rPr>
        <w:t xml:space="preserve">C.2 </w:t>
      </w:r>
      <w:r>
        <w:t>耐火极限判定标准应符合下列规定：</w:t>
      </w:r>
      <w:r>
        <w:t xml:space="preserve"> </w:t>
      </w:r>
    </w:p>
    <w:p w14:paraId="4BAE4A4E" w14:textId="77777777" w:rsidR="00A71EEF" w:rsidRDefault="00A71EEF">
      <w:pPr>
        <w:pStyle w:val="a3"/>
        <w:spacing w:before="12"/>
        <w:rPr>
          <w:sz w:val="17"/>
        </w:rPr>
      </w:pPr>
    </w:p>
    <w:p w14:paraId="78656474" w14:textId="77777777" w:rsidR="00A71EEF" w:rsidRDefault="0081115D">
      <w:pPr>
        <w:pStyle w:val="a3"/>
        <w:ind w:left="838"/>
        <w:jc w:val="both"/>
      </w:pPr>
      <w:r>
        <w:t xml:space="preserve">1 </w:t>
      </w:r>
      <w:r>
        <w:t>当采用</w:t>
      </w:r>
      <w:r>
        <w:t xml:space="preserve"> HC </w:t>
      </w:r>
      <w:r>
        <w:t>标准升温曲线测试时，耐火极限的判定标准为：受火后，当距离混凝土底表面</w:t>
      </w:r>
    </w:p>
    <w:p w14:paraId="64CBB957" w14:textId="77777777" w:rsidR="00A71EEF" w:rsidRDefault="00A71EEF">
      <w:pPr>
        <w:pStyle w:val="a3"/>
        <w:spacing w:before="1"/>
        <w:rPr>
          <w:sz w:val="18"/>
        </w:rPr>
      </w:pPr>
    </w:p>
    <w:p w14:paraId="76921A8A" w14:textId="77777777" w:rsidR="00A71EEF" w:rsidRDefault="0081115D">
      <w:pPr>
        <w:pStyle w:val="a3"/>
        <w:spacing w:before="1" w:line="446" w:lineRule="auto"/>
        <w:ind w:left="418" w:right="1820"/>
        <w:jc w:val="both"/>
      </w:pPr>
      <w:r>
        <w:t>25mm</w:t>
      </w:r>
      <w:r>
        <w:rPr>
          <w:spacing w:val="-6"/>
        </w:rPr>
        <w:t xml:space="preserve"> </w:t>
      </w:r>
      <w:r>
        <w:rPr>
          <w:spacing w:val="-6"/>
        </w:rPr>
        <w:t>处钢筋的温度超过</w:t>
      </w:r>
      <w:r>
        <w:rPr>
          <w:spacing w:val="-6"/>
        </w:rPr>
        <w:t xml:space="preserve"> </w:t>
      </w:r>
      <w:r>
        <w:t>250</w:t>
      </w:r>
      <w:r>
        <w:rPr>
          <w:spacing w:val="-6"/>
        </w:rPr>
        <w:t>℃</w:t>
      </w:r>
      <w:r>
        <w:rPr>
          <w:spacing w:val="-6"/>
        </w:rPr>
        <w:t>，或者混凝土表面的温度超过</w:t>
      </w:r>
      <w:r>
        <w:rPr>
          <w:spacing w:val="-6"/>
        </w:rPr>
        <w:t xml:space="preserve"> </w:t>
      </w:r>
      <w:r>
        <w:t>380</w:t>
      </w:r>
      <w:r>
        <w:rPr>
          <w:spacing w:val="-3"/>
        </w:rPr>
        <w:t>℃</w:t>
      </w:r>
      <w:r>
        <w:rPr>
          <w:spacing w:val="-3"/>
        </w:rPr>
        <w:t>时，则判定为达到耐火极限。</w:t>
      </w:r>
      <w:r>
        <w:t xml:space="preserve"> </w:t>
      </w:r>
    </w:p>
    <w:p w14:paraId="5E111B77" w14:textId="77777777" w:rsidR="00A71EEF" w:rsidRDefault="0081115D">
      <w:pPr>
        <w:pStyle w:val="a3"/>
        <w:spacing w:line="446" w:lineRule="auto"/>
        <w:ind w:left="418" w:right="1431" w:firstLine="419"/>
        <w:jc w:val="both"/>
      </w:pPr>
      <w:r>
        <w:t>2</w:t>
      </w:r>
      <w:r>
        <w:rPr>
          <w:spacing w:val="-5"/>
        </w:rPr>
        <w:t xml:space="preserve"> </w:t>
      </w:r>
      <w:r>
        <w:rPr>
          <w:spacing w:val="-5"/>
        </w:rPr>
        <w:t>当采用</w:t>
      </w:r>
      <w:r>
        <w:rPr>
          <w:spacing w:val="-5"/>
        </w:rPr>
        <w:t xml:space="preserve"> </w:t>
      </w:r>
      <w:r>
        <w:t>RABT</w:t>
      </w:r>
      <w:r>
        <w:rPr>
          <w:spacing w:val="-3"/>
        </w:rPr>
        <w:t xml:space="preserve"> </w:t>
      </w:r>
      <w:r>
        <w:rPr>
          <w:spacing w:val="-3"/>
        </w:rPr>
        <w:t>标准升温曲线测试时，耐火极限的判定标准为：受火后，当距离混凝土底表</w:t>
      </w:r>
      <w:r>
        <w:rPr>
          <w:spacing w:val="-14"/>
        </w:rPr>
        <w:t>面</w:t>
      </w:r>
      <w:r>
        <w:rPr>
          <w:spacing w:val="-14"/>
        </w:rPr>
        <w:t xml:space="preserve"> </w:t>
      </w:r>
      <w:r>
        <w:t xml:space="preserve">25mm </w:t>
      </w:r>
      <w:r>
        <w:t>处钢筋的温度超过</w:t>
      </w:r>
      <w:r>
        <w:t xml:space="preserve"> 300</w:t>
      </w:r>
      <w:r>
        <w:rPr>
          <w:spacing w:val="-5"/>
        </w:rPr>
        <w:t>℃</w:t>
      </w:r>
      <w:r>
        <w:rPr>
          <w:spacing w:val="-5"/>
        </w:rPr>
        <w:t>，或者混凝土表面的温度超过</w:t>
      </w:r>
      <w:r>
        <w:rPr>
          <w:spacing w:val="-5"/>
        </w:rPr>
        <w:t xml:space="preserve"> </w:t>
      </w:r>
      <w:r>
        <w:t>380</w:t>
      </w:r>
      <w:r>
        <w:rPr>
          <w:spacing w:val="-3"/>
        </w:rPr>
        <w:t>℃</w:t>
      </w:r>
      <w:r>
        <w:rPr>
          <w:spacing w:val="-3"/>
        </w:rPr>
        <w:t>时，则判定为达到耐火极限。</w:t>
      </w:r>
      <w:r>
        <w:t xml:space="preserve"> </w:t>
      </w:r>
    </w:p>
    <w:p w14:paraId="51577D78" w14:textId="77777777" w:rsidR="00A71EEF" w:rsidRDefault="00A71EEF">
      <w:pPr>
        <w:pStyle w:val="a3"/>
        <w:rPr>
          <w:sz w:val="20"/>
        </w:rPr>
      </w:pPr>
    </w:p>
    <w:p w14:paraId="24754B3F" w14:textId="77777777" w:rsidR="00A71EEF" w:rsidRDefault="00A71EEF">
      <w:pPr>
        <w:pStyle w:val="a3"/>
        <w:rPr>
          <w:sz w:val="20"/>
        </w:rPr>
      </w:pPr>
    </w:p>
    <w:p w14:paraId="42D483E2" w14:textId="77777777" w:rsidR="00A71EEF" w:rsidRDefault="00A71EEF">
      <w:pPr>
        <w:pStyle w:val="a3"/>
        <w:rPr>
          <w:sz w:val="20"/>
        </w:rPr>
      </w:pPr>
    </w:p>
    <w:p w14:paraId="6DD44054" w14:textId="77777777" w:rsidR="00A71EEF" w:rsidRDefault="00A71EEF">
      <w:pPr>
        <w:pStyle w:val="a3"/>
        <w:rPr>
          <w:sz w:val="20"/>
        </w:rPr>
      </w:pPr>
    </w:p>
    <w:p w14:paraId="02B4BE72" w14:textId="77777777" w:rsidR="00A71EEF" w:rsidRDefault="00A71EEF">
      <w:pPr>
        <w:pStyle w:val="a3"/>
        <w:rPr>
          <w:sz w:val="20"/>
        </w:rPr>
      </w:pPr>
    </w:p>
    <w:p w14:paraId="6AFACC7D" w14:textId="77777777" w:rsidR="00A71EEF" w:rsidRDefault="00A71EEF">
      <w:pPr>
        <w:pStyle w:val="a3"/>
        <w:rPr>
          <w:sz w:val="20"/>
        </w:rPr>
      </w:pPr>
    </w:p>
    <w:p w14:paraId="3283D6A4" w14:textId="77777777" w:rsidR="00A71EEF" w:rsidRDefault="00A71EEF">
      <w:pPr>
        <w:pStyle w:val="a3"/>
        <w:rPr>
          <w:sz w:val="20"/>
        </w:rPr>
      </w:pPr>
    </w:p>
    <w:p w14:paraId="06CE2C78" w14:textId="77777777" w:rsidR="00A71EEF" w:rsidRDefault="00A71EEF">
      <w:pPr>
        <w:pStyle w:val="a3"/>
        <w:rPr>
          <w:sz w:val="20"/>
        </w:rPr>
      </w:pPr>
    </w:p>
    <w:p w14:paraId="2E8CB7BC" w14:textId="77777777" w:rsidR="00A71EEF" w:rsidRDefault="00A71EEF">
      <w:pPr>
        <w:pStyle w:val="a3"/>
        <w:rPr>
          <w:sz w:val="20"/>
        </w:rPr>
      </w:pPr>
    </w:p>
    <w:p w14:paraId="67716D5A" w14:textId="77777777" w:rsidR="00A71EEF" w:rsidRDefault="00A71EEF">
      <w:pPr>
        <w:pStyle w:val="a3"/>
        <w:rPr>
          <w:sz w:val="20"/>
        </w:rPr>
      </w:pPr>
    </w:p>
    <w:p w14:paraId="057D0F88" w14:textId="77777777" w:rsidR="00A71EEF" w:rsidRDefault="00A71EEF">
      <w:pPr>
        <w:pStyle w:val="a3"/>
        <w:rPr>
          <w:sz w:val="20"/>
        </w:rPr>
      </w:pPr>
    </w:p>
    <w:p w14:paraId="29C99539" w14:textId="77777777" w:rsidR="00A71EEF" w:rsidRDefault="00A71EEF">
      <w:pPr>
        <w:pStyle w:val="a3"/>
        <w:rPr>
          <w:sz w:val="20"/>
        </w:rPr>
      </w:pPr>
    </w:p>
    <w:p w14:paraId="356E63C1" w14:textId="77777777" w:rsidR="00A71EEF" w:rsidRDefault="00A71EEF">
      <w:pPr>
        <w:pStyle w:val="a3"/>
        <w:rPr>
          <w:sz w:val="20"/>
        </w:rPr>
      </w:pPr>
    </w:p>
    <w:p w14:paraId="66F5B7DB" w14:textId="77777777" w:rsidR="00A71EEF" w:rsidRDefault="00A71EEF">
      <w:pPr>
        <w:pStyle w:val="a3"/>
        <w:rPr>
          <w:sz w:val="20"/>
        </w:rPr>
      </w:pPr>
    </w:p>
    <w:p w14:paraId="7B9B371A" w14:textId="77777777" w:rsidR="00A71EEF" w:rsidRDefault="00A71EEF">
      <w:pPr>
        <w:pStyle w:val="a3"/>
        <w:rPr>
          <w:sz w:val="20"/>
        </w:rPr>
      </w:pPr>
    </w:p>
    <w:p w14:paraId="0C9DEBE4" w14:textId="77777777" w:rsidR="00A71EEF" w:rsidRDefault="00A71EEF">
      <w:pPr>
        <w:pStyle w:val="a3"/>
        <w:rPr>
          <w:sz w:val="20"/>
        </w:rPr>
      </w:pPr>
    </w:p>
    <w:p w14:paraId="216F3EA8" w14:textId="77777777" w:rsidR="00A71EEF" w:rsidRDefault="00A71EEF">
      <w:pPr>
        <w:pStyle w:val="a3"/>
        <w:rPr>
          <w:sz w:val="20"/>
        </w:rPr>
      </w:pPr>
    </w:p>
    <w:p w14:paraId="43C368AE" w14:textId="77777777" w:rsidR="00A71EEF" w:rsidRDefault="00A71EEF">
      <w:pPr>
        <w:pStyle w:val="a3"/>
        <w:rPr>
          <w:sz w:val="20"/>
        </w:rPr>
      </w:pPr>
    </w:p>
    <w:p w14:paraId="3A93B726" w14:textId="77777777" w:rsidR="00A71EEF" w:rsidRDefault="00A71EEF">
      <w:pPr>
        <w:pStyle w:val="a3"/>
        <w:rPr>
          <w:sz w:val="20"/>
        </w:rPr>
      </w:pPr>
    </w:p>
    <w:p w14:paraId="4FE601C6" w14:textId="77777777" w:rsidR="00A71EEF" w:rsidRDefault="00A71EEF">
      <w:pPr>
        <w:pStyle w:val="a3"/>
        <w:rPr>
          <w:sz w:val="20"/>
        </w:rPr>
      </w:pPr>
    </w:p>
    <w:p w14:paraId="45DEE205" w14:textId="77777777" w:rsidR="00A71EEF" w:rsidRDefault="00A71EEF">
      <w:pPr>
        <w:pStyle w:val="a3"/>
        <w:rPr>
          <w:sz w:val="20"/>
        </w:rPr>
      </w:pPr>
    </w:p>
    <w:p w14:paraId="1291B289" w14:textId="77777777" w:rsidR="00A71EEF" w:rsidRDefault="00A71EEF">
      <w:pPr>
        <w:pStyle w:val="a3"/>
        <w:rPr>
          <w:sz w:val="20"/>
        </w:rPr>
      </w:pPr>
    </w:p>
    <w:p w14:paraId="7A7AE7A4" w14:textId="77777777" w:rsidR="00A71EEF" w:rsidRDefault="00A71EEF">
      <w:pPr>
        <w:pStyle w:val="a3"/>
        <w:rPr>
          <w:sz w:val="20"/>
        </w:rPr>
      </w:pPr>
    </w:p>
    <w:p w14:paraId="58156F6B" w14:textId="77777777" w:rsidR="00A71EEF" w:rsidRDefault="00A71EEF">
      <w:pPr>
        <w:pStyle w:val="a3"/>
        <w:rPr>
          <w:sz w:val="20"/>
        </w:rPr>
      </w:pPr>
    </w:p>
    <w:p w14:paraId="49604AFD" w14:textId="77777777" w:rsidR="00A71EEF" w:rsidRDefault="00A71EEF">
      <w:pPr>
        <w:pStyle w:val="a3"/>
        <w:rPr>
          <w:sz w:val="20"/>
        </w:rPr>
      </w:pPr>
    </w:p>
    <w:p w14:paraId="0E29B410" w14:textId="77777777" w:rsidR="00A71EEF" w:rsidRDefault="00A71EEF">
      <w:pPr>
        <w:pStyle w:val="a3"/>
        <w:rPr>
          <w:sz w:val="20"/>
        </w:rPr>
      </w:pPr>
    </w:p>
    <w:p w14:paraId="70ED8FB8" w14:textId="77777777" w:rsidR="00A71EEF" w:rsidRDefault="00A71EEF">
      <w:pPr>
        <w:pStyle w:val="a3"/>
        <w:rPr>
          <w:sz w:val="20"/>
        </w:rPr>
      </w:pPr>
    </w:p>
    <w:p w14:paraId="64AF71BD" w14:textId="77777777" w:rsidR="00A71EEF" w:rsidRDefault="00A71EEF">
      <w:pPr>
        <w:pStyle w:val="a3"/>
        <w:rPr>
          <w:sz w:val="20"/>
        </w:rPr>
      </w:pPr>
    </w:p>
    <w:p w14:paraId="39AB4F14" w14:textId="77777777" w:rsidR="00A71EEF" w:rsidRDefault="00A71EEF">
      <w:pPr>
        <w:pStyle w:val="a3"/>
        <w:rPr>
          <w:sz w:val="20"/>
        </w:rPr>
      </w:pPr>
    </w:p>
    <w:p w14:paraId="7C058FEC" w14:textId="77777777" w:rsidR="00A71EEF" w:rsidRDefault="00A71EEF">
      <w:pPr>
        <w:pStyle w:val="a3"/>
        <w:rPr>
          <w:sz w:val="20"/>
        </w:rPr>
      </w:pPr>
    </w:p>
    <w:p w14:paraId="7C6F52E2" w14:textId="77777777" w:rsidR="00A71EEF" w:rsidRDefault="00A71EEF">
      <w:pPr>
        <w:pStyle w:val="a3"/>
        <w:rPr>
          <w:sz w:val="20"/>
        </w:rPr>
      </w:pPr>
    </w:p>
    <w:p w14:paraId="55CB9592" w14:textId="77777777" w:rsidR="00A71EEF" w:rsidRDefault="00A71EEF">
      <w:pPr>
        <w:pStyle w:val="a3"/>
        <w:rPr>
          <w:sz w:val="20"/>
        </w:rPr>
      </w:pPr>
    </w:p>
    <w:p w14:paraId="7E35EA69" w14:textId="77777777" w:rsidR="00A71EEF" w:rsidRDefault="00A71EEF">
      <w:pPr>
        <w:pStyle w:val="a3"/>
        <w:spacing w:before="9"/>
        <w:rPr>
          <w:sz w:val="17"/>
        </w:rPr>
      </w:pPr>
    </w:p>
    <w:p w14:paraId="756EBF51" w14:textId="77777777" w:rsidR="00A71EEF" w:rsidRDefault="0081115D">
      <w:pPr>
        <w:pStyle w:val="a3"/>
        <w:spacing w:before="72"/>
        <w:ind w:left="838"/>
      </w:pPr>
      <w:r>
        <w:t xml:space="preserve"> </w:t>
      </w:r>
    </w:p>
    <w:p w14:paraId="34AE8C53" w14:textId="77777777" w:rsidR="00A71EEF" w:rsidRDefault="00A71EEF">
      <w:pPr>
        <w:sectPr w:rsidR="00A71EEF">
          <w:pgSz w:w="11910" w:h="16850"/>
          <w:pgMar w:top="1120" w:right="0" w:bottom="1420" w:left="1260" w:header="0" w:footer="1239" w:gutter="0"/>
          <w:cols w:space="720"/>
        </w:sectPr>
      </w:pPr>
    </w:p>
    <w:p w14:paraId="274A1668" w14:textId="77777777" w:rsidR="00A71EEF" w:rsidRDefault="0081115D">
      <w:pPr>
        <w:pStyle w:val="2"/>
        <w:ind w:right="868"/>
      </w:pPr>
      <w:bookmarkStart w:id="12" w:name="_bookmark12"/>
      <w:bookmarkEnd w:id="12"/>
      <w:r>
        <w:t>消火栓箱</w:t>
      </w:r>
      <w:r>
        <w:rPr>
          <w:w w:val="99"/>
        </w:rPr>
        <w:t xml:space="preserve"> </w:t>
      </w:r>
    </w:p>
    <w:p w14:paraId="604A6DD8" w14:textId="77777777" w:rsidR="00A71EEF" w:rsidRDefault="00A71EEF">
      <w:pPr>
        <w:pStyle w:val="a3"/>
        <w:rPr>
          <w:b/>
          <w:sz w:val="20"/>
        </w:rPr>
      </w:pPr>
    </w:p>
    <w:p w14:paraId="2264DE0C" w14:textId="77777777" w:rsidR="00A71EEF" w:rsidRDefault="00A71EEF">
      <w:pPr>
        <w:pStyle w:val="a3"/>
        <w:spacing w:before="5"/>
        <w:rPr>
          <w:b/>
          <w:sz w:val="14"/>
        </w:rPr>
      </w:pPr>
    </w:p>
    <w:p w14:paraId="12A73F64" w14:textId="77777777" w:rsidR="00A71EEF" w:rsidRDefault="0081115D">
      <w:pPr>
        <w:pStyle w:val="4"/>
        <w:spacing w:before="66"/>
      </w:pPr>
      <w:r>
        <w:t xml:space="preserve">1 </w:t>
      </w:r>
      <w:r>
        <w:t>范围</w:t>
      </w:r>
      <w:r>
        <w:rPr>
          <w:w w:val="99"/>
        </w:rPr>
        <w:t xml:space="preserve"> </w:t>
      </w:r>
    </w:p>
    <w:p w14:paraId="35378851" w14:textId="77777777" w:rsidR="00A71EEF" w:rsidRDefault="00A71EEF">
      <w:pPr>
        <w:pStyle w:val="a3"/>
        <w:spacing w:before="4"/>
        <w:rPr>
          <w:b/>
          <w:sz w:val="17"/>
        </w:rPr>
      </w:pPr>
    </w:p>
    <w:p w14:paraId="2E754C9D" w14:textId="77777777" w:rsidR="00A71EEF" w:rsidRDefault="0081115D">
      <w:pPr>
        <w:pStyle w:val="a3"/>
        <w:spacing w:line="446" w:lineRule="auto"/>
        <w:ind w:left="418" w:right="1609" w:firstLine="419"/>
      </w:pPr>
      <w:r>
        <w:t>本标准规定了消火栓箱（以下简称栓箱）的分类、要求、试验方法、检验规则、标志、使用说明书、包装、运输和贮存等。</w:t>
      </w:r>
      <w:r>
        <w:t xml:space="preserve"> </w:t>
      </w:r>
    </w:p>
    <w:p w14:paraId="6508FDEC" w14:textId="77777777" w:rsidR="00A71EEF" w:rsidRDefault="0081115D">
      <w:pPr>
        <w:pStyle w:val="a3"/>
        <w:ind w:left="838"/>
      </w:pPr>
      <w:r>
        <w:t>本标准适用于建筑物内室内消火栓给水系统用栓箱。</w:t>
      </w:r>
      <w:r>
        <w:t xml:space="preserve"> </w:t>
      </w:r>
    </w:p>
    <w:p w14:paraId="25022D3D" w14:textId="77777777" w:rsidR="00A71EEF" w:rsidRDefault="00A71EEF">
      <w:pPr>
        <w:pStyle w:val="a3"/>
        <w:spacing w:before="8"/>
        <w:rPr>
          <w:sz w:val="15"/>
        </w:rPr>
      </w:pPr>
    </w:p>
    <w:p w14:paraId="5F8E4337" w14:textId="77777777" w:rsidR="00A71EEF" w:rsidRDefault="0081115D">
      <w:pPr>
        <w:pStyle w:val="4"/>
      </w:pPr>
      <w:r>
        <w:t xml:space="preserve">2 </w:t>
      </w:r>
      <w:r>
        <w:t>规范性引用文件</w:t>
      </w:r>
      <w:r>
        <w:rPr>
          <w:w w:val="99"/>
        </w:rPr>
        <w:t xml:space="preserve"> </w:t>
      </w:r>
    </w:p>
    <w:p w14:paraId="6FB58ED0" w14:textId="77777777" w:rsidR="00A71EEF" w:rsidRDefault="00A71EEF">
      <w:pPr>
        <w:pStyle w:val="a3"/>
        <w:spacing w:before="4"/>
        <w:rPr>
          <w:b/>
          <w:sz w:val="17"/>
        </w:rPr>
      </w:pPr>
    </w:p>
    <w:p w14:paraId="2334A8BE" w14:textId="77777777" w:rsidR="00A71EEF" w:rsidRDefault="0081115D">
      <w:pPr>
        <w:pStyle w:val="a3"/>
        <w:spacing w:line="446" w:lineRule="auto"/>
        <w:ind w:left="418" w:right="1608" w:firstLine="419"/>
        <w:jc w:val="both"/>
      </w:pPr>
      <w:r>
        <w:t>下列文件中的条款通过本标准的引用而成为本标准的条款。凡是注日期的引用文件，其随后所有的修改单</w:t>
      </w:r>
      <w:r>
        <w:t>(</w:t>
      </w:r>
      <w:r>
        <w:t>不包括勘误的内容</w:t>
      </w:r>
      <w:r>
        <w:t>)</w:t>
      </w:r>
      <w:r>
        <w:t>或修订版均不适用于本标准，然而，鼓励根据本标准达成协议的各方研究是否可使用这些文件的最新版本。凡是不注日期的引用文件，其最新版本适用于本标准。</w:t>
      </w:r>
      <w:r>
        <w:t xml:space="preserve"> </w:t>
      </w:r>
    </w:p>
    <w:p w14:paraId="363A3925" w14:textId="77777777" w:rsidR="00A71EEF" w:rsidRDefault="0081115D">
      <w:pPr>
        <w:pStyle w:val="a3"/>
        <w:spacing w:line="269" w:lineRule="exact"/>
        <w:ind w:left="838"/>
        <w:jc w:val="both"/>
      </w:pPr>
      <w:r>
        <w:t xml:space="preserve">GB/T1173 </w:t>
      </w:r>
      <w:r>
        <w:t>铸造铝合金</w:t>
      </w:r>
      <w:r>
        <w:t xml:space="preserve"> </w:t>
      </w:r>
    </w:p>
    <w:p w14:paraId="72AF1C27" w14:textId="77777777" w:rsidR="00A71EEF" w:rsidRDefault="00A71EEF">
      <w:pPr>
        <w:pStyle w:val="a3"/>
        <w:rPr>
          <w:sz w:val="18"/>
        </w:rPr>
      </w:pPr>
    </w:p>
    <w:p w14:paraId="42D7EA98" w14:textId="77777777" w:rsidR="00A71EEF" w:rsidRDefault="0081115D">
      <w:pPr>
        <w:pStyle w:val="a3"/>
        <w:spacing w:line="446" w:lineRule="auto"/>
        <w:ind w:left="838" w:right="3452"/>
      </w:pPr>
      <w:r>
        <w:t xml:space="preserve">GB/T1176 </w:t>
      </w:r>
      <w:r>
        <w:t>铸造铜合金技术条件</w:t>
      </w:r>
      <w:r>
        <w:t>(GB 1176—1987</w:t>
      </w:r>
      <w:r>
        <w:t>，</w:t>
      </w:r>
      <w:r>
        <w:t xml:space="preserve">neq ISO 1338—77) GB 3265 </w:t>
      </w:r>
      <w:r>
        <w:t>内扣式消防接口</w:t>
      </w:r>
      <w:r>
        <w:t xml:space="preserve"> </w:t>
      </w:r>
    </w:p>
    <w:p w14:paraId="704FAEBE" w14:textId="77777777" w:rsidR="00A71EEF" w:rsidRDefault="0081115D">
      <w:pPr>
        <w:pStyle w:val="a3"/>
        <w:ind w:left="838"/>
      </w:pPr>
      <w:r>
        <w:t xml:space="preserve">GB 3445—1993 </w:t>
      </w:r>
      <w:r>
        <w:t>室内消火栓</w:t>
      </w:r>
      <w:r>
        <w:t xml:space="preserve"> </w:t>
      </w:r>
    </w:p>
    <w:p w14:paraId="3BEFB3F2" w14:textId="77777777" w:rsidR="00A71EEF" w:rsidRDefault="00A71EEF">
      <w:pPr>
        <w:pStyle w:val="a3"/>
        <w:spacing w:before="12"/>
        <w:rPr>
          <w:sz w:val="17"/>
        </w:rPr>
      </w:pPr>
    </w:p>
    <w:p w14:paraId="75D72DBE" w14:textId="77777777" w:rsidR="00A71EEF" w:rsidRDefault="0081115D">
      <w:pPr>
        <w:pStyle w:val="a3"/>
        <w:spacing w:line="446" w:lineRule="auto"/>
        <w:ind w:left="838" w:right="3608"/>
      </w:pPr>
      <w:r>
        <w:t xml:space="preserve">GB/T 4942.2—1993 </w:t>
      </w:r>
      <w:r>
        <w:t>低压电器外壳</w:t>
      </w:r>
      <w:r>
        <w:t>防护等级</w:t>
      </w:r>
      <w:r>
        <w:t xml:space="preserve">(eqv IEC 947-1:1988) GB 6246 </w:t>
      </w:r>
      <w:r>
        <w:t>有衬里消防水带性能要求和试验方法</w:t>
      </w:r>
      <w:r>
        <w:t xml:space="preserve"> </w:t>
      </w:r>
    </w:p>
    <w:p w14:paraId="5B02C244" w14:textId="77777777" w:rsidR="00A71EEF" w:rsidRDefault="0081115D">
      <w:pPr>
        <w:pStyle w:val="a3"/>
        <w:spacing w:line="446" w:lineRule="auto"/>
        <w:ind w:left="838" w:right="6181"/>
      </w:pPr>
      <w:r>
        <w:t>GB 8181</w:t>
      </w:r>
      <w:r>
        <w:rPr>
          <w:spacing w:val="-9"/>
        </w:rPr>
        <w:t xml:space="preserve"> </w:t>
      </w:r>
      <w:r>
        <w:rPr>
          <w:spacing w:val="-9"/>
        </w:rPr>
        <w:t>消防水枪性能要求和试验方法</w:t>
      </w:r>
      <w:r>
        <w:t>GB 9969. 1</w:t>
      </w:r>
      <w:r>
        <w:rPr>
          <w:spacing w:val="-8"/>
        </w:rPr>
        <w:t xml:space="preserve"> </w:t>
      </w:r>
      <w:r>
        <w:rPr>
          <w:spacing w:val="-8"/>
        </w:rPr>
        <w:t>工业产品使用说明书总则</w:t>
      </w:r>
      <w:r>
        <w:t>HG</w:t>
      </w:r>
      <w:r>
        <w:rPr>
          <w:spacing w:val="1"/>
        </w:rPr>
        <w:t xml:space="preserve"> </w:t>
      </w:r>
      <w:r>
        <w:t>2184</w:t>
      </w:r>
      <w:r>
        <w:rPr>
          <w:spacing w:val="-9"/>
        </w:rPr>
        <w:t xml:space="preserve"> </w:t>
      </w:r>
      <w:r>
        <w:rPr>
          <w:spacing w:val="-9"/>
        </w:rPr>
        <w:t>输水、通用橡胶软管</w:t>
      </w:r>
      <w:r>
        <w:t xml:space="preserve"> </w:t>
      </w:r>
    </w:p>
    <w:p w14:paraId="13E38871" w14:textId="77777777" w:rsidR="00A71EEF" w:rsidRDefault="0081115D">
      <w:pPr>
        <w:pStyle w:val="4"/>
        <w:spacing w:line="277" w:lineRule="exact"/>
      </w:pPr>
      <w:r>
        <w:t xml:space="preserve">3 </w:t>
      </w:r>
      <w:r>
        <w:t>术语和定义</w:t>
      </w:r>
      <w:r>
        <w:rPr>
          <w:w w:val="99"/>
        </w:rPr>
        <w:t xml:space="preserve"> </w:t>
      </w:r>
    </w:p>
    <w:p w14:paraId="1AF61372" w14:textId="77777777" w:rsidR="00A71EEF" w:rsidRDefault="00A71EEF">
      <w:pPr>
        <w:pStyle w:val="a3"/>
        <w:spacing w:before="4"/>
        <w:rPr>
          <w:b/>
          <w:sz w:val="17"/>
        </w:rPr>
      </w:pPr>
    </w:p>
    <w:p w14:paraId="6D54BF53" w14:textId="77777777" w:rsidR="00A71EEF" w:rsidRDefault="0081115D">
      <w:pPr>
        <w:pStyle w:val="a3"/>
        <w:ind w:left="838"/>
      </w:pPr>
      <w:r>
        <w:t>下列术语和定义适用于本标准。</w:t>
      </w:r>
      <w:r>
        <w:t xml:space="preserve"> </w:t>
      </w:r>
    </w:p>
    <w:p w14:paraId="673CB4DB" w14:textId="77777777" w:rsidR="00A71EEF" w:rsidRDefault="00A71EEF">
      <w:pPr>
        <w:pStyle w:val="a3"/>
        <w:rPr>
          <w:sz w:val="18"/>
        </w:rPr>
      </w:pPr>
    </w:p>
    <w:p w14:paraId="1EF3305E" w14:textId="77777777" w:rsidR="00A71EEF" w:rsidRDefault="0081115D">
      <w:pPr>
        <w:pStyle w:val="a3"/>
        <w:ind w:left="840"/>
        <w:jc w:val="both"/>
      </w:pPr>
      <w:r>
        <w:rPr>
          <w:b/>
        </w:rPr>
        <w:t>3.1</w:t>
      </w:r>
      <w:r>
        <w:rPr>
          <w:b/>
          <w:spacing w:val="-51"/>
        </w:rPr>
        <w:t xml:space="preserve"> </w:t>
      </w:r>
      <w:r>
        <w:rPr>
          <w:spacing w:val="-3"/>
        </w:rPr>
        <w:t>消火栓箱</w:t>
      </w:r>
      <w:r>
        <w:rPr>
          <w:spacing w:val="-3"/>
        </w:rPr>
        <w:t xml:space="preserve"> </w:t>
      </w:r>
      <w:r>
        <w:t xml:space="preserve">Fire hydrant box </w:t>
      </w:r>
    </w:p>
    <w:p w14:paraId="729354D2" w14:textId="77777777" w:rsidR="00A71EEF" w:rsidRDefault="00A71EEF">
      <w:pPr>
        <w:pStyle w:val="a3"/>
        <w:spacing w:before="1"/>
        <w:rPr>
          <w:sz w:val="18"/>
        </w:rPr>
      </w:pPr>
    </w:p>
    <w:p w14:paraId="1929F1DB" w14:textId="77777777" w:rsidR="00A71EEF" w:rsidRDefault="0081115D">
      <w:pPr>
        <w:pStyle w:val="a3"/>
        <w:spacing w:before="1" w:line="446" w:lineRule="auto"/>
        <w:ind w:left="418" w:right="1608" w:firstLine="419"/>
        <w:jc w:val="both"/>
      </w:pPr>
      <w:r>
        <w:t>指安装在建筑物内的消防给水管路上，由箱体、室内消火栓、消防接口、水带、水枪、消防软管卷盘及电器设备等消防器材组成的具有给水、灭火、控制、报警等功能的箱状固定式消防装置。</w:t>
      </w:r>
      <w:r>
        <w:t xml:space="preserve"> </w:t>
      </w:r>
    </w:p>
    <w:p w14:paraId="793011E2" w14:textId="77777777" w:rsidR="00A71EEF" w:rsidRDefault="0081115D">
      <w:pPr>
        <w:pStyle w:val="4"/>
        <w:spacing w:line="277" w:lineRule="exact"/>
      </w:pPr>
      <w:r>
        <w:t xml:space="preserve">4 </w:t>
      </w:r>
      <w:r>
        <w:t>分类</w:t>
      </w:r>
      <w:r>
        <w:rPr>
          <w:w w:val="99"/>
        </w:rPr>
        <w:t xml:space="preserve"> </w:t>
      </w:r>
    </w:p>
    <w:p w14:paraId="442AF533" w14:textId="77777777" w:rsidR="00A71EEF" w:rsidRDefault="00A71EEF">
      <w:pPr>
        <w:pStyle w:val="a3"/>
        <w:spacing w:before="3"/>
        <w:rPr>
          <w:b/>
          <w:sz w:val="17"/>
        </w:rPr>
      </w:pPr>
    </w:p>
    <w:p w14:paraId="3F0D8729" w14:textId="77777777" w:rsidR="00A71EEF" w:rsidRDefault="0081115D">
      <w:pPr>
        <w:pStyle w:val="a4"/>
        <w:numPr>
          <w:ilvl w:val="1"/>
          <w:numId w:val="676"/>
        </w:numPr>
        <w:tabs>
          <w:tab w:val="left" w:pos="1159"/>
        </w:tabs>
        <w:spacing w:before="1"/>
        <w:ind w:hanging="319"/>
        <w:rPr>
          <w:b/>
          <w:sz w:val="21"/>
        </w:rPr>
      </w:pPr>
      <w:r>
        <w:rPr>
          <w:spacing w:val="-3"/>
          <w:sz w:val="21"/>
        </w:rPr>
        <w:t>形式</w:t>
      </w:r>
      <w:r>
        <w:rPr>
          <w:b/>
          <w:w w:val="99"/>
          <w:sz w:val="21"/>
        </w:rPr>
        <w:t xml:space="preserve"> </w:t>
      </w:r>
    </w:p>
    <w:p w14:paraId="0506FD60" w14:textId="77777777" w:rsidR="00A71EEF" w:rsidRDefault="00A71EEF">
      <w:pPr>
        <w:rPr>
          <w:sz w:val="21"/>
        </w:rPr>
        <w:sectPr w:rsidR="00A71EEF">
          <w:pgSz w:w="11910" w:h="16850"/>
          <w:pgMar w:top="1140" w:right="0" w:bottom="1420" w:left="1260" w:header="0" w:footer="1239" w:gutter="0"/>
          <w:cols w:space="720"/>
        </w:sectPr>
      </w:pPr>
    </w:p>
    <w:p w14:paraId="7832F84E" w14:textId="77777777" w:rsidR="00A71EEF" w:rsidRDefault="0081115D">
      <w:pPr>
        <w:pStyle w:val="a4"/>
        <w:numPr>
          <w:ilvl w:val="2"/>
          <w:numId w:val="676"/>
        </w:numPr>
        <w:tabs>
          <w:tab w:val="left" w:pos="1371"/>
        </w:tabs>
        <w:spacing w:before="47" w:line="446" w:lineRule="auto"/>
        <w:ind w:right="6753" w:firstLine="2"/>
        <w:rPr>
          <w:sz w:val="21"/>
        </w:rPr>
      </w:pPr>
      <w:r>
        <w:rPr>
          <w:spacing w:val="-3"/>
          <w:sz w:val="21"/>
        </w:rPr>
        <w:t>栓箱按安装方式可分为：</w:t>
      </w:r>
      <w:r>
        <w:rPr>
          <w:spacing w:val="-3"/>
          <w:sz w:val="21"/>
        </w:rPr>
        <w:t xml:space="preserve"> </w:t>
      </w:r>
      <w:r>
        <w:rPr>
          <w:sz w:val="21"/>
        </w:rPr>
        <w:t>a)</w:t>
      </w:r>
      <w:r>
        <w:rPr>
          <w:spacing w:val="-3"/>
          <w:sz w:val="21"/>
        </w:rPr>
        <w:t xml:space="preserve"> </w:t>
      </w:r>
      <w:r>
        <w:rPr>
          <w:spacing w:val="-3"/>
          <w:sz w:val="21"/>
        </w:rPr>
        <w:t>明装式；</w:t>
      </w:r>
      <w:r>
        <w:rPr>
          <w:sz w:val="21"/>
        </w:rPr>
        <w:t xml:space="preserve"> </w:t>
      </w:r>
    </w:p>
    <w:p w14:paraId="566CBD86" w14:textId="77777777" w:rsidR="00A71EEF" w:rsidRDefault="0081115D">
      <w:pPr>
        <w:pStyle w:val="a3"/>
        <w:spacing w:line="446" w:lineRule="auto"/>
        <w:ind w:left="838" w:right="8335"/>
      </w:pPr>
      <w:r>
        <w:t xml:space="preserve">b)  </w:t>
      </w:r>
      <w:r>
        <w:t>暗装式；</w:t>
      </w:r>
      <w:r>
        <w:t xml:space="preserve"> c)</w:t>
      </w:r>
      <w:r>
        <w:rPr>
          <w:spacing w:val="-2"/>
        </w:rPr>
        <w:t xml:space="preserve"> </w:t>
      </w:r>
      <w:r>
        <w:rPr>
          <w:spacing w:val="-2"/>
        </w:rPr>
        <w:t>半暗装式。</w:t>
      </w:r>
      <w:r>
        <w:t xml:space="preserve"> </w:t>
      </w:r>
    </w:p>
    <w:p w14:paraId="24AF9AD1" w14:textId="77777777" w:rsidR="00A71EEF" w:rsidRDefault="0081115D">
      <w:pPr>
        <w:pStyle w:val="a4"/>
        <w:numPr>
          <w:ilvl w:val="2"/>
          <w:numId w:val="676"/>
        </w:numPr>
        <w:tabs>
          <w:tab w:val="left" w:pos="1370"/>
        </w:tabs>
        <w:spacing w:line="446" w:lineRule="auto"/>
        <w:ind w:right="6753" w:firstLine="2"/>
        <w:rPr>
          <w:sz w:val="21"/>
        </w:rPr>
      </w:pPr>
      <w:r>
        <w:rPr>
          <w:spacing w:val="-3"/>
          <w:sz w:val="21"/>
        </w:rPr>
        <w:t>栓箱按箱门形式可分为：</w:t>
      </w:r>
      <w:r>
        <w:rPr>
          <w:spacing w:val="-3"/>
          <w:sz w:val="21"/>
        </w:rPr>
        <w:t xml:space="preserve"> </w:t>
      </w:r>
      <w:r>
        <w:rPr>
          <w:sz w:val="21"/>
        </w:rPr>
        <w:t>a)</w:t>
      </w:r>
      <w:r>
        <w:rPr>
          <w:spacing w:val="-3"/>
          <w:sz w:val="21"/>
        </w:rPr>
        <w:t xml:space="preserve"> </w:t>
      </w:r>
      <w:r>
        <w:rPr>
          <w:spacing w:val="-3"/>
          <w:sz w:val="21"/>
        </w:rPr>
        <w:t>左开门式；</w:t>
      </w:r>
      <w:r>
        <w:rPr>
          <w:sz w:val="21"/>
        </w:rPr>
        <w:t xml:space="preserve"> </w:t>
      </w:r>
    </w:p>
    <w:p w14:paraId="7FD3154B" w14:textId="77777777" w:rsidR="00A71EEF" w:rsidRDefault="0081115D">
      <w:pPr>
        <w:pStyle w:val="a3"/>
        <w:spacing w:line="446" w:lineRule="auto"/>
        <w:ind w:left="838" w:right="8229"/>
        <w:jc w:val="both"/>
      </w:pPr>
      <w:r>
        <w:t xml:space="preserve">b) </w:t>
      </w:r>
      <w:r>
        <w:t>右开门式；</w:t>
      </w:r>
      <w:r>
        <w:t xml:space="preserve"> c) </w:t>
      </w:r>
      <w:r>
        <w:t>双开门式；</w:t>
      </w:r>
      <w:r>
        <w:t xml:space="preserve"> d)</w:t>
      </w:r>
      <w:r>
        <w:rPr>
          <w:spacing w:val="-3"/>
        </w:rPr>
        <w:t>前后开门式；</w:t>
      </w:r>
      <w:r>
        <w:t xml:space="preserve"> </w:t>
      </w:r>
    </w:p>
    <w:p w14:paraId="5FE4E87D" w14:textId="77777777" w:rsidR="00A71EEF" w:rsidRDefault="0081115D">
      <w:pPr>
        <w:pStyle w:val="a4"/>
        <w:numPr>
          <w:ilvl w:val="2"/>
          <w:numId w:val="676"/>
        </w:numPr>
        <w:tabs>
          <w:tab w:val="left" w:pos="1371"/>
        </w:tabs>
        <w:spacing w:line="446" w:lineRule="auto"/>
        <w:ind w:right="6753" w:firstLine="2"/>
        <w:rPr>
          <w:sz w:val="21"/>
        </w:rPr>
      </w:pPr>
      <w:r>
        <w:rPr>
          <w:spacing w:val="-3"/>
          <w:sz w:val="21"/>
        </w:rPr>
        <w:t>栓箱按箱门材料可分为：</w:t>
      </w:r>
      <w:r>
        <w:rPr>
          <w:spacing w:val="-3"/>
          <w:sz w:val="21"/>
        </w:rPr>
        <w:t xml:space="preserve"> </w:t>
      </w:r>
      <w:r>
        <w:rPr>
          <w:sz w:val="21"/>
        </w:rPr>
        <w:t>a)</w:t>
      </w:r>
      <w:r>
        <w:rPr>
          <w:spacing w:val="-3"/>
          <w:sz w:val="21"/>
        </w:rPr>
        <w:t xml:space="preserve"> </w:t>
      </w:r>
      <w:r>
        <w:rPr>
          <w:spacing w:val="-3"/>
          <w:sz w:val="21"/>
        </w:rPr>
        <w:t>全钢型；</w:t>
      </w:r>
      <w:r>
        <w:rPr>
          <w:sz w:val="21"/>
        </w:rPr>
        <w:t xml:space="preserve"> </w:t>
      </w:r>
    </w:p>
    <w:p w14:paraId="6BB7E231" w14:textId="77777777" w:rsidR="00A71EEF" w:rsidRDefault="0081115D">
      <w:pPr>
        <w:pStyle w:val="a4"/>
        <w:numPr>
          <w:ilvl w:val="0"/>
          <w:numId w:val="675"/>
        </w:numPr>
        <w:tabs>
          <w:tab w:val="left" w:pos="1051"/>
        </w:tabs>
        <w:spacing w:line="267" w:lineRule="exact"/>
        <w:rPr>
          <w:sz w:val="21"/>
        </w:rPr>
      </w:pPr>
      <w:r>
        <w:rPr>
          <w:spacing w:val="-3"/>
          <w:sz w:val="21"/>
        </w:rPr>
        <w:t>钢框镶玻璃型；</w:t>
      </w:r>
      <w:r>
        <w:rPr>
          <w:sz w:val="21"/>
        </w:rPr>
        <w:t xml:space="preserve"> </w:t>
      </w:r>
    </w:p>
    <w:p w14:paraId="086D6964" w14:textId="77777777" w:rsidR="00A71EEF" w:rsidRDefault="00A71EEF">
      <w:pPr>
        <w:pStyle w:val="a3"/>
        <w:spacing w:before="12"/>
        <w:rPr>
          <w:sz w:val="17"/>
        </w:rPr>
      </w:pPr>
    </w:p>
    <w:p w14:paraId="6870D0E8" w14:textId="77777777" w:rsidR="00A71EEF" w:rsidRDefault="0081115D">
      <w:pPr>
        <w:pStyle w:val="a4"/>
        <w:numPr>
          <w:ilvl w:val="0"/>
          <w:numId w:val="675"/>
        </w:numPr>
        <w:tabs>
          <w:tab w:val="left" w:pos="1051"/>
        </w:tabs>
        <w:spacing w:line="446" w:lineRule="auto"/>
        <w:ind w:left="838" w:right="7494" w:firstLine="0"/>
        <w:rPr>
          <w:sz w:val="21"/>
        </w:rPr>
      </w:pPr>
      <w:r>
        <w:rPr>
          <w:spacing w:val="-3"/>
          <w:sz w:val="21"/>
        </w:rPr>
        <w:t>铝合金框镶玻璃型；</w:t>
      </w:r>
      <w:r>
        <w:rPr>
          <w:spacing w:val="-3"/>
          <w:sz w:val="21"/>
        </w:rPr>
        <w:t xml:space="preserve"> </w:t>
      </w:r>
      <w:r>
        <w:rPr>
          <w:sz w:val="21"/>
        </w:rPr>
        <w:t>d)</w:t>
      </w:r>
      <w:r>
        <w:rPr>
          <w:spacing w:val="-3"/>
          <w:sz w:val="21"/>
        </w:rPr>
        <w:t xml:space="preserve"> </w:t>
      </w:r>
      <w:r>
        <w:rPr>
          <w:spacing w:val="-3"/>
          <w:sz w:val="21"/>
        </w:rPr>
        <w:t>其他材料型。</w:t>
      </w:r>
      <w:r>
        <w:rPr>
          <w:sz w:val="21"/>
        </w:rPr>
        <w:t xml:space="preserve"> </w:t>
      </w:r>
    </w:p>
    <w:p w14:paraId="4B0B3B3B" w14:textId="77777777" w:rsidR="00A71EEF" w:rsidRDefault="0081115D">
      <w:pPr>
        <w:pStyle w:val="a4"/>
        <w:numPr>
          <w:ilvl w:val="2"/>
          <w:numId w:val="676"/>
        </w:numPr>
        <w:tabs>
          <w:tab w:val="left" w:pos="1370"/>
        </w:tabs>
        <w:spacing w:line="446" w:lineRule="auto"/>
        <w:ind w:right="6333" w:firstLine="2"/>
        <w:rPr>
          <w:sz w:val="21"/>
        </w:rPr>
      </w:pPr>
      <w:r>
        <w:rPr>
          <w:spacing w:val="-3"/>
          <w:sz w:val="21"/>
        </w:rPr>
        <w:t>栓箱按水带安置方式可分为：</w:t>
      </w:r>
      <w:r>
        <w:rPr>
          <w:spacing w:val="-3"/>
          <w:sz w:val="21"/>
        </w:rPr>
        <w:t xml:space="preserve"> </w:t>
      </w:r>
      <w:r>
        <w:rPr>
          <w:sz w:val="21"/>
        </w:rPr>
        <w:t>a)</w:t>
      </w:r>
      <w:r>
        <w:rPr>
          <w:spacing w:val="-3"/>
          <w:sz w:val="21"/>
        </w:rPr>
        <w:t xml:space="preserve"> </w:t>
      </w:r>
      <w:r>
        <w:rPr>
          <w:spacing w:val="-3"/>
          <w:sz w:val="21"/>
        </w:rPr>
        <w:t>挂置式</w:t>
      </w:r>
      <w:r>
        <w:rPr>
          <w:sz w:val="21"/>
        </w:rPr>
        <w:t>（</w:t>
      </w:r>
      <w:r>
        <w:rPr>
          <w:spacing w:val="-19"/>
          <w:sz w:val="21"/>
        </w:rPr>
        <w:t>见图</w:t>
      </w:r>
      <w:r>
        <w:rPr>
          <w:spacing w:val="-19"/>
          <w:sz w:val="21"/>
        </w:rPr>
        <w:t xml:space="preserve"> </w:t>
      </w:r>
      <w:r>
        <w:rPr>
          <w:sz w:val="21"/>
        </w:rPr>
        <w:t>1)</w:t>
      </w:r>
      <w:r>
        <w:rPr>
          <w:sz w:val="21"/>
        </w:rPr>
        <w:t>；</w:t>
      </w:r>
      <w:r>
        <w:rPr>
          <w:sz w:val="21"/>
        </w:rPr>
        <w:t xml:space="preserve"> </w:t>
      </w:r>
    </w:p>
    <w:p w14:paraId="08EC364E" w14:textId="77777777" w:rsidR="00A71EEF" w:rsidRDefault="0081115D">
      <w:pPr>
        <w:pStyle w:val="a3"/>
        <w:spacing w:line="446" w:lineRule="auto"/>
        <w:ind w:left="838" w:right="7384"/>
      </w:pPr>
      <w:r>
        <w:t>b)</w:t>
      </w:r>
      <w:r>
        <w:rPr>
          <w:spacing w:val="20"/>
        </w:rPr>
        <w:t xml:space="preserve"> </w:t>
      </w:r>
      <w:r>
        <w:rPr>
          <w:spacing w:val="20"/>
        </w:rPr>
        <w:t>盘卷式</w:t>
      </w:r>
      <w:r>
        <w:t>（</w:t>
      </w:r>
      <w:r>
        <w:rPr>
          <w:spacing w:val="11"/>
        </w:rPr>
        <w:t>见图</w:t>
      </w:r>
      <w:r>
        <w:rPr>
          <w:spacing w:val="11"/>
        </w:rPr>
        <w:t xml:space="preserve"> </w:t>
      </w:r>
      <w:r>
        <w:t>2)</w:t>
      </w:r>
      <w:r>
        <w:t>；</w:t>
      </w:r>
      <w:r>
        <w:t xml:space="preserve"> C)</w:t>
      </w:r>
      <w:r>
        <w:rPr>
          <w:spacing w:val="20"/>
        </w:rPr>
        <w:t xml:space="preserve"> </w:t>
      </w:r>
      <w:r>
        <w:rPr>
          <w:spacing w:val="20"/>
        </w:rPr>
        <w:t>卷置式</w:t>
      </w:r>
      <w:r>
        <w:t>（</w:t>
      </w:r>
      <w:r>
        <w:rPr>
          <w:spacing w:val="11"/>
        </w:rPr>
        <w:t>见图</w:t>
      </w:r>
      <w:r>
        <w:rPr>
          <w:spacing w:val="11"/>
        </w:rPr>
        <w:t xml:space="preserve"> </w:t>
      </w:r>
      <w:r>
        <w:t>3)</w:t>
      </w:r>
      <w:r>
        <w:t>；</w:t>
      </w:r>
      <w:r>
        <w:t xml:space="preserve"> d)</w:t>
      </w:r>
      <w:r>
        <w:rPr>
          <w:spacing w:val="7"/>
        </w:rPr>
        <w:t xml:space="preserve"> </w:t>
      </w:r>
      <w:r>
        <w:rPr>
          <w:spacing w:val="7"/>
        </w:rPr>
        <w:t>托架式</w:t>
      </w:r>
      <w:r>
        <w:t>（</w:t>
      </w:r>
      <w:r>
        <w:rPr>
          <w:spacing w:val="-7"/>
        </w:rPr>
        <w:t>见图</w:t>
      </w:r>
      <w:r>
        <w:rPr>
          <w:spacing w:val="-7"/>
        </w:rPr>
        <w:t xml:space="preserve"> </w:t>
      </w:r>
      <w:r>
        <w:t>4</w:t>
      </w:r>
      <w:r>
        <w:rPr>
          <w:spacing w:val="-2"/>
        </w:rPr>
        <w:t>)</w:t>
      </w:r>
      <w:r>
        <w:rPr>
          <w:spacing w:val="-2"/>
        </w:rPr>
        <w:t>。</w:t>
      </w:r>
      <w:r>
        <w:rPr>
          <w:b/>
        </w:rPr>
        <w:t>4.2</w:t>
      </w:r>
      <w:r>
        <w:rPr>
          <w:b/>
          <w:spacing w:val="6"/>
        </w:rPr>
        <w:t xml:space="preserve"> </w:t>
      </w:r>
      <w:r>
        <w:rPr>
          <w:spacing w:val="-3"/>
        </w:rPr>
        <w:t>基本参数及基本型号</w:t>
      </w:r>
      <w:r>
        <w:t xml:space="preserve"> </w:t>
      </w:r>
    </w:p>
    <w:p w14:paraId="68EC0914" w14:textId="77777777" w:rsidR="00A71EEF" w:rsidRDefault="0081115D">
      <w:pPr>
        <w:spacing w:line="267" w:lineRule="exact"/>
        <w:ind w:left="840"/>
        <w:rPr>
          <w:b/>
          <w:sz w:val="21"/>
        </w:rPr>
      </w:pPr>
      <w:r>
        <w:rPr>
          <w:b/>
          <w:sz w:val="21"/>
        </w:rPr>
        <w:t>4.2.1</w:t>
      </w:r>
      <w:r>
        <w:rPr>
          <w:b/>
          <w:spacing w:val="5"/>
          <w:sz w:val="21"/>
        </w:rPr>
        <w:t xml:space="preserve"> </w:t>
      </w:r>
      <w:r>
        <w:rPr>
          <w:spacing w:val="-3"/>
          <w:sz w:val="21"/>
        </w:rPr>
        <w:t>基本参数</w:t>
      </w:r>
      <w:r>
        <w:rPr>
          <w:b/>
          <w:w w:val="99"/>
          <w:sz w:val="21"/>
        </w:rPr>
        <w:t xml:space="preserve"> </w:t>
      </w:r>
    </w:p>
    <w:p w14:paraId="42252DB1" w14:textId="77777777" w:rsidR="00A71EEF" w:rsidRDefault="00A71EEF">
      <w:pPr>
        <w:pStyle w:val="a3"/>
        <w:spacing w:before="12"/>
        <w:rPr>
          <w:b/>
          <w:sz w:val="17"/>
        </w:rPr>
      </w:pPr>
    </w:p>
    <w:p w14:paraId="2756A895" w14:textId="77777777" w:rsidR="00A71EEF" w:rsidRDefault="0081115D">
      <w:pPr>
        <w:pStyle w:val="a3"/>
        <w:spacing w:line="446" w:lineRule="auto"/>
        <w:ind w:left="840" w:right="3764" w:hanging="3"/>
        <w:rPr>
          <w:b/>
        </w:rPr>
      </w:pPr>
      <w:r>
        <w:rPr>
          <w:spacing w:val="-3"/>
        </w:rPr>
        <w:t>栓箱的基本参数以箱体的长边、短边和厚度尺寸表示</w:t>
      </w:r>
      <w:r>
        <w:t>（</w:t>
      </w:r>
      <w:r>
        <w:rPr>
          <w:spacing w:val="-16"/>
        </w:rPr>
        <w:t>见表</w:t>
      </w:r>
      <w:r>
        <w:rPr>
          <w:spacing w:val="-16"/>
        </w:rPr>
        <w:t xml:space="preserve"> </w:t>
      </w:r>
      <w:r>
        <w:t>1</w:t>
      </w:r>
      <w:r>
        <w:rPr>
          <w:spacing w:val="-2"/>
        </w:rPr>
        <w:t>)</w:t>
      </w:r>
      <w:r>
        <w:rPr>
          <w:spacing w:val="-2"/>
        </w:rPr>
        <w:t>。</w:t>
      </w:r>
      <w:r>
        <w:rPr>
          <w:b/>
        </w:rPr>
        <w:t>4.2.2</w:t>
      </w:r>
      <w:r>
        <w:rPr>
          <w:b/>
          <w:spacing w:val="1"/>
        </w:rPr>
        <w:t xml:space="preserve"> </w:t>
      </w:r>
      <w:r>
        <w:rPr>
          <w:spacing w:val="-3"/>
        </w:rPr>
        <w:t>基本型号</w:t>
      </w:r>
      <w:r>
        <w:rPr>
          <w:b/>
          <w:w w:val="99"/>
        </w:rPr>
        <w:t xml:space="preserve"> </w:t>
      </w:r>
    </w:p>
    <w:p w14:paraId="428E2855" w14:textId="77777777" w:rsidR="00A71EEF" w:rsidRDefault="0081115D">
      <w:pPr>
        <w:pStyle w:val="a3"/>
        <w:spacing w:line="446" w:lineRule="auto"/>
        <w:ind w:left="840" w:right="1978" w:hanging="3"/>
      </w:pPr>
      <w:r>
        <w:t>栓箱的基本型号表示箱体的基本参数以及箱内主要消防器材的配置情况（见表</w:t>
      </w:r>
      <w:r>
        <w:t xml:space="preserve"> 1</w:t>
      </w:r>
      <w:r>
        <w:t>）。</w:t>
      </w:r>
      <w:r>
        <w:rPr>
          <w:b/>
        </w:rPr>
        <w:t xml:space="preserve">4.3 </w:t>
      </w:r>
      <w:r>
        <w:t>栓箱型号表示方法</w:t>
      </w:r>
      <w:r>
        <w:t xml:space="preserve"> </w:t>
      </w:r>
    </w:p>
    <w:p w14:paraId="62AE144D" w14:textId="77777777" w:rsidR="00A71EEF" w:rsidRDefault="0081115D">
      <w:pPr>
        <w:pStyle w:val="a3"/>
        <w:ind w:left="838"/>
      </w:pPr>
      <w:r>
        <w:t>栓箱型号由</w:t>
      </w:r>
      <w:r>
        <w:t>“</w:t>
      </w:r>
      <w:r>
        <w:t>基本型号</w:t>
      </w:r>
      <w:r>
        <w:t>”</w:t>
      </w:r>
      <w:r>
        <w:t>和</w:t>
      </w:r>
      <w:r>
        <w:t>“</w:t>
      </w:r>
      <w:r>
        <w:t>形式代号</w:t>
      </w:r>
      <w:r>
        <w:t>”</w:t>
      </w:r>
      <w:r>
        <w:t>两部分组成。其形式如下：</w:t>
      </w:r>
      <w:r>
        <w:t xml:space="preserve"> </w:t>
      </w:r>
    </w:p>
    <w:p w14:paraId="4B4DBC7E" w14:textId="77777777" w:rsidR="00A71EEF" w:rsidRDefault="00A71EEF">
      <w:pPr>
        <w:pStyle w:val="a3"/>
        <w:rPr>
          <w:sz w:val="20"/>
        </w:rPr>
      </w:pPr>
    </w:p>
    <w:p w14:paraId="0045048B" w14:textId="77777777" w:rsidR="00A71EEF" w:rsidRDefault="00A71EEF">
      <w:pPr>
        <w:pStyle w:val="a3"/>
        <w:rPr>
          <w:sz w:val="20"/>
        </w:rPr>
      </w:pPr>
    </w:p>
    <w:p w14:paraId="72CC0902" w14:textId="77777777" w:rsidR="00A71EEF" w:rsidRDefault="00A71EEF">
      <w:pPr>
        <w:pStyle w:val="a3"/>
        <w:spacing w:before="12"/>
        <w:rPr>
          <w:sz w:val="16"/>
        </w:rPr>
      </w:pPr>
    </w:p>
    <w:p w14:paraId="18827AA1" w14:textId="77777777" w:rsidR="00A71EEF" w:rsidRDefault="0081115D">
      <w:pPr>
        <w:pStyle w:val="a3"/>
        <w:ind w:left="838"/>
      </w:pPr>
      <w:r>
        <w:t xml:space="preserve"> </w:t>
      </w:r>
    </w:p>
    <w:p w14:paraId="60A73FBD" w14:textId="77777777" w:rsidR="00A71EEF" w:rsidRDefault="00A71EEF">
      <w:pPr>
        <w:sectPr w:rsidR="00A71EEF">
          <w:pgSz w:w="11910" w:h="16850"/>
          <w:pgMar w:top="1220" w:right="0" w:bottom="1420" w:left="1260" w:header="0" w:footer="1239" w:gutter="0"/>
          <w:cols w:space="720"/>
        </w:sectPr>
      </w:pPr>
    </w:p>
    <w:p w14:paraId="0B4519EB" w14:textId="77777777" w:rsidR="00A71EEF" w:rsidRDefault="00A71EEF">
      <w:pPr>
        <w:pStyle w:val="a3"/>
        <w:spacing w:before="7"/>
      </w:pPr>
    </w:p>
    <w:p w14:paraId="75000131" w14:textId="77777777" w:rsidR="00A71EEF" w:rsidRDefault="0081115D">
      <w:pPr>
        <w:pStyle w:val="a3"/>
        <w:ind w:left="748"/>
        <w:rPr>
          <w:sz w:val="20"/>
        </w:rPr>
      </w:pPr>
      <w:r>
        <w:rPr>
          <w:noProof/>
          <w:sz w:val="20"/>
        </w:rPr>
        <w:drawing>
          <wp:inline distT="0" distB="0" distL="0" distR="0" wp14:anchorId="1BDC4CAE" wp14:editId="6D766FA6">
            <wp:extent cx="4681854" cy="3133725"/>
            <wp:effectExtent l="0" t="0" r="0" b="0"/>
            <wp:docPr id="249" name="image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153.jpeg"/>
                    <pic:cNvPicPr/>
                  </pic:nvPicPr>
                  <pic:blipFill>
                    <a:blip r:embed="rId158" cstate="print"/>
                    <a:stretch>
                      <a:fillRect/>
                    </a:stretch>
                  </pic:blipFill>
                  <pic:spPr>
                    <a:xfrm>
                      <a:off x="0" y="0"/>
                      <a:ext cx="4681854" cy="3133725"/>
                    </a:xfrm>
                    <a:prstGeom prst="rect">
                      <a:avLst/>
                    </a:prstGeom>
                  </pic:spPr>
                </pic:pic>
              </a:graphicData>
            </a:graphic>
          </wp:inline>
        </w:drawing>
      </w:r>
    </w:p>
    <w:p w14:paraId="1C3AB72E" w14:textId="77777777" w:rsidR="00A71EEF" w:rsidRDefault="00A71EEF">
      <w:pPr>
        <w:pStyle w:val="a3"/>
        <w:rPr>
          <w:sz w:val="20"/>
        </w:rPr>
      </w:pPr>
    </w:p>
    <w:p w14:paraId="1392154A" w14:textId="77777777" w:rsidR="00A71EEF" w:rsidRDefault="00A71EEF">
      <w:pPr>
        <w:pStyle w:val="a3"/>
        <w:spacing w:before="6"/>
        <w:rPr>
          <w:sz w:val="28"/>
        </w:rPr>
      </w:pPr>
    </w:p>
    <w:p w14:paraId="6647667C" w14:textId="77777777" w:rsidR="00A71EEF" w:rsidRDefault="0081115D">
      <w:pPr>
        <w:spacing w:before="71"/>
        <w:ind w:left="840"/>
        <w:rPr>
          <w:b/>
          <w:sz w:val="21"/>
        </w:rPr>
      </w:pPr>
      <w:r>
        <w:rPr>
          <w:b/>
          <w:sz w:val="21"/>
        </w:rPr>
        <w:t xml:space="preserve">4.3.1 </w:t>
      </w:r>
      <w:r>
        <w:rPr>
          <w:sz w:val="21"/>
        </w:rPr>
        <w:t>基本型号</w:t>
      </w:r>
      <w:r>
        <w:rPr>
          <w:b/>
          <w:w w:val="99"/>
          <w:sz w:val="21"/>
        </w:rPr>
        <w:t xml:space="preserve"> </w:t>
      </w:r>
    </w:p>
    <w:p w14:paraId="5C33A280" w14:textId="77777777" w:rsidR="00A71EEF" w:rsidRDefault="00A71EEF">
      <w:pPr>
        <w:pStyle w:val="a3"/>
        <w:rPr>
          <w:b/>
          <w:sz w:val="18"/>
        </w:rPr>
      </w:pPr>
    </w:p>
    <w:p w14:paraId="43EDE137" w14:textId="77777777" w:rsidR="00A71EEF" w:rsidRDefault="0081115D">
      <w:pPr>
        <w:pStyle w:val="a3"/>
        <w:ind w:left="838"/>
      </w:pPr>
      <w:r>
        <w:t>箱体的长短边尺寸代号按表</w:t>
      </w:r>
      <w:r>
        <w:t xml:space="preserve"> 1 </w:t>
      </w:r>
      <w:r>
        <w:t>规定。</w:t>
      </w:r>
      <w:r>
        <w:t xml:space="preserve"> </w:t>
      </w:r>
    </w:p>
    <w:p w14:paraId="17E5D738" w14:textId="77777777" w:rsidR="00A71EEF" w:rsidRDefault="00A71EEF">
      <w:pPr>
        <w:pStyle w:val="a3"/>
        <w:rPr>
          <w:sz w:val="18"/>
        </w:rPr>
      </w:pPr>
    </w:p>
    <w:p w14:paraId="677E49D2" w14:textId="77777777" w:rsidR="00A71EEF" w:rsidRDefault="0081115D">
      <w:pPr>
        <w:pStyle w:val="a3"/>
        <w:spacing w:line="446" w:lineRule="auto"/>
        <w:ind w:left="840" w:right="3294" w:hanging="3"/>
        <w:rPr>
          <w:b/>
        </w:rPr>
      </w:pPr>
      <w:r>
        <w:t>栓箱内配置消防软管卷盘时用代号</w:t>
      </w:r>
      <w:r>
        <w:t>“Z”</w:t>
      </w:r>
      <w:r>
        <w:t>表示，不配置者不标注代号。</w:t>
      </w:r>
      <w:r>
        <w:rPr>
          <w:b/>
        </w:rPr>
        <w:t xml:space="preserve">4.3.2 </w:t>
      </w:r>
      <w:r>
        <w:t>形式代号</w:t>
      </w:r>
      <w:r>
        <w:rPr>
          <w:b/>
          <w:w w:val="99"/>
        </w:rPr>
        <w:t xml:space="preserve"> </w:t>
      </w:r>
    </w:p>
    <w:p w14:paraId="72E2EC41" w14:textId="77777777" w:rsidR="00A71EEF" w:rsidRDefault="0081115D">
      <w:pPr>
        <w:ind w:left="840"/>
        <w:rPr>
          <w:sz w:val="21"/>
        </w:rPr>
      </w:pPr>
      <w:r>
        <w:rPr>
          <w:b/>
          <w:sz w:val="21"/>
        </w:rPr>
        <w:t xml:space="preserve">4.3.2.1 </w:t>
      </w:r>
      <w:r>
        <w:rPr>
          <w:sz w:val="21"/>
        </w:rPr>
        <w:t>水带安置方式代号</w:t>
      </w:r>
      <w:r>
        <w:rPr>
          <w:sz w:val="21"/>
        </w:rPr>
        <w:t xml:space="preserve"> </w:t>
      </w:r>
    </w:p>
    <w:p w14:paraId="068E7A32" w14:textId="77777777" w:rsidR="00A71EEF" w:rsidRDefault="00A71EEF">
      <w:pPr>
        <w:pStyle w:val="a3"/>
        <w:spacing w:before="12"/>
        <w:rPr>
          <w:sz w:val="17"/>
        </w:rPr>
      </w:pPr>
    </w:p>
    <w:p w14:paraId="22F277F4" w14:textId="77777777" w:rsidR="00A71EEF" w:rsidRDefault="0081115D">
      <w:pPr>
        <w:pStyle w:val="a3"/>
        <w:ind w:left="838"/>
      </w:pPr>
      <w:r>
        <w:t>水带为挂置式不用代号表示，其余方式分别用下述代号表示：</w:t>
      </w:r>
      <w:r>
        <w:t xml:space="preserve"> </w:t>
      </w:r>
    </w:p>
    <w:p w14:paraId="4AF0906D" w14:textId="77777777" w:rsidR="00A71EEF" w:rsidRDefault="00A71EEF">
      <w:pPr>
        <w:pStyle w:val="a3"/>
        <w:spacing w:before="2"/>
        <w:rPr>
          <w:sz w:val="18"/>
        </w:rPr>
      </w:pPr>
    </w:p>
    <w:p w14:paraId="09E175B3" w14:textId="77777777" w:rsidR="00A71EEF" w:rsidRDefault="0081115D">
      <w:pPr>
        <w:pStyle w:val="a3"/>
        <w:ind w:left="838"/>
      </w:pPr>
      <w:r>
        <w:t xml:space="preserve"> </w:t>
      </w:r>
      <w:r>
        <w:t>“P”</w:t>
      </w:r>
      <w:r>
        <w:t>（盘</w:t>
      </w:r>
      <w:r>
        <w:t>)——</w:t>
      </w:r>
      <w:r>
        <w:t>盘卷式；</w:t>
      </w:r>
      <w:r>
        <w:t xml:space="preserve"> </w:t>
      </w:r>
    </w:p>
    <w:p w14:paraId="296D0E2C" w14:textId="77777777" w:rsidR="00A71EEF" w:rsidRDefault="00A71EEF">
      <w:pPr>
        <w:pStyle w:val="a3"/>
        <w:rPr>
          <w:sz w:val="18"/>
        </w:rPr>
      </w:pPr>
    </w:p>
    <w:p w14:paraId="57C58606" w14:textId="77777777" w:rsidR="00A71EEF" w:rsidRDefault="0081115D">
      <w:pPr>
        <w:pStyle w:val="a3"/>
        <w:ind w:left="838"/>
      </w:pPr>
      <w:r>
        <w:t xml:space="preserve"> </w:t>
      </w:r>
      <w:r>
        <w:rPr>
          <w:spacing w:val="-1"/>
        </w:rPr>
        <w:t>“J</w:t>
      </w:r>
      <w:r>
        <w:rPr>
          <w:spacing w:val="-3"/>
        </w:rPr>
        <w:t>”(</w:t>
      </w:r>
      <w:r>
        <w:rPr>
          <w:spacing w:val="-3"/>
        </w:rPr>
        <w:t>卷</w:t>
      </w:r>
      <w:r>
        <w:rPr>
          <w:spacing w:val="-3"/>
        </w:rPr>
        <w:t>)</w:t>
      </w:r>
      <w:r>
        <w:rPr>
          <w:spacing w:val="-3"/>
        </w:rPr>
        <w:t>一卷置式；</w:t>
      </w:r>
      <w:r>
        <w:rPr>
          <w:spacing w:val="-3"/>
        </w:rPr>
        <w:t xml:space="preserve"> </w:t>
      </w:r>
    </w:p>
    <w:p w14:paraId="4FB37E6D" w14:textId="77777777" w:rsidR="00A71EEF" w:rsidRDefault="00A71EEF">
      <w:pPr>
        <w:pStyle w:val="a3"/>
        <w:spacing w:before="12"/>
        <w:rPr>
          <w:sz w:val="17"/>
        </w:rPr>
      </w:pPr>
    </w:p>
    <w:p w14:paraId="34060B2B" w14:textId="77777777" w:rsidR="00A71EEF" w:rsidRDefault="0081115D">
      <w:pPr>
        <w:spacing w:line="446" w:lineRule="auto"/>
        <w:ind w:left="840" w:right="7389" w:hanging="3"/>
        <w:rPr>
          <w:sz w:val="21"/>
        </w:rPr>
      </w:pPr>
      <w:r>
        <w:rPr>
          <w:sz w:val="21"/>
        </w:rPr>
        <w:t xml:space="preserve"> </w:t>
      </w:r>
      <w:r>
        <w:rPr>
          <w:sz w:val="21"/>
        </w:rPr>
        <w:t>“T</w:t>
      </w:r>
      <w:r>
        <w:rPr>
          <w:spacing w:val="-1"/>
          <w:sz w:val="21"/>
        </w:rPr>
        <w:t>”(</w:t>
      </w:r>
      <w:r>
        <w:rPr>
          <w:spacing w:val="-1"/>
          <w:sz w:val="21"/>
        </w:rPr>
        <w:t>托</w:t>
      </w:r>
      <w:r>
        <w:rPr>
          <w:spacing w:val="-1"/>
          <w:sz w:val="21"/>
        </w:rPr>
        <w:t>)——</w:t>
      </w:r>
      <w:r>
        <w:rPr>
          <w:spacing w:val="-1"/>
          <w:sz w:val="21"/>
        </w:rPr>
        <w:t>托架式。</w:t>
      </w:r>
      <w:r>
        <w:rPr>
          <w:b/>
          <w:spacing w:val="-1"/>
          <w:sz w:val="21"/>
        </w:rPr>
        <w:t>4.3.2.2</w:t>
      </w:r>
      <w:r>
        <w:rPr>
          <w:b/>
          <w:spacing w:val="1"/>
          <w:sz w:val="21"/>
        </w:rPr>
        <w:t xml:space="preserve"> </w:t>
      </w:r>
      <w:r>
        <w:rPr>
          <w:spacing w:val="-3"/>
          <w:sz w:val="21"/>
        </w:rPr>
        <w:t>箱门形式代号</w:t>
      </w:r>
      <w:r>
        <w:rPr>
          <w:sz w:val="21"/>
        </w:rPr>
        <w:t xml:space="preserve"> </w:t>
      </w:r>
    </w:p>
    <w:p w14:paraId="66E735DA" w14:textId="77777777" w:rsidR="00A71EEF" w:rsidRDefault="0081115D">
      <w:pPr>
        <w:pStyle w:val="a3"/>
        <w:ind w:left="838"/>
      </w:pPr>
      <w:r>
        <w:t>箱门为单开门形式不用代号表示，其余形式分别用下述代号表示：</w:t>
      </w:r>
      <w:r>
        <w:t xml:space="preserve"> </w:t>
      </w:r>
    </w:p>
    <w:p w14:paraId="4F09E61A" w14:textId="77777777" w:rsidR="00A71EEF" w:rsidRDefault="00A71EEF">
      <w:pPr>
        <w:pStyle w:val="a3"/>
        <w:spacing w:before="12"/>
        <w:rPr>
          <w:sz w:val="17"/>
        </w:rPr>
      </w:pPr>
    </w:p>
    <w:p w14:paraId="49CD6197" w14:textId="77777777" w:rsidR="00A71EEF" w:rsidRDefault="0081115D">
      <w:pPr>
        <w:pStyle w:val="a3"/>
        <w:spacing w:before="1"/>
        <w:ind w:left="838"/>
      </w:pPr>
      <w:r>
        <w:t xml:space="preserve"> </w:t>
      </w:r>
      <w:r>
        <w:t>“S”</w:t>
      </w:r>
      <w:r>
        <w:t>（双</w:t>
      </w:r>
      <w:r>
        <w:t>)——</w:t>
      </w:r>
      <w:r>
        <w:t>双开门式；</w:t>
      </w:r>
      <w:r>
        <w:t xml:space="preserve"> </w:t>
      </w:r>
    </w:p>
    <w:p w14:paraId="6725B824" w14:textId="77777777" w:rsidR="00A71EEF" w:rsidRDefault="00A71EEF">
      <w:pPr>
        <w:pStyle w:val="a3"/>
        <w:spacing w:before="1"/>
        <w:rPr>
          <w:sz w:val="18"/>
        </w:rPr>
      </w:pPr>
    </w:p>
    <w:p w14:paraId="2D163890" w14:textId="77777777" w:rsidR="00A71EEF" w:rsidRDefault="0081115D">
      <w:pPr>
        <w:spacing w:line="446" w:lineRule="auto"/>
        <w:ind w:left="840" w:right="6969" w:hanging="3"/>
        <w:rPr>
          <w:b/>
          <w:sz w:val="21"/>
        </w:rPr>
      </w:pPr>
      <w:r>
        <w:rPr>
          <w:sz w:val="21"/>
        </w:rPr>
        <w:t xml:space="preserve"> </w:t>
      </w:r>
      <w:r>
        <w:rPr>
          <w:sz w:val="21"/>
        </w:rPr>
        <w:t>“H”(</w:t>
      </w:r>
      <w:r>
        <w:rPr>
          <w:sz w:val="21"/>
        </w:rPr>
        <w:t>后</w:t>
      </w:r>
      <w:r>
        <w:rPr>
          <w:sz w:val="21"/>
        </w:rPr>
        <w:t>)——</w:t>
      </w:r>
      <w:r>
        <w:rPr>
          <w:sz w:val="21"/>
        </w:rPr>
        <w:t>前后开门式。</w:t>
      </w:r>
      <w:r>
        <w:rPr>
          <w:b/>
          <w:sz w:val="21"/>
        </w:rPr>
        <w:t xml:space="preserve">4.3.3 </w:t>
      </w:r>
      <w:r>
        <w:rPr>
          <w:sz w:val="21"/>
        </w:rPr>
        <w:t>标记示例</w:t>
      </w:r>
      <w:r>
        <w:rPr>
          <w:b/>
          <w:w w:val="99"/>
          <w:sz w:val="21"/>
        </w:rPr>
        <w:t xml:space="preserve"> </w:t>
      </w:r>
    </w:p>
    <w:p w14:paraId="4884ACFA" w14:textId="77777777" w:rsidR="00A71EEF" w:rsidRDefault="0081115D">
      <w:pPr>
        <w:pStyle w:val="a3"/>
        <w:spacing w:line="267" w:lineRule="exact"/>
        <w:ind w:left="838"/>
      </w:pPr>
      <w:r>
        <w:t>箱门为双开门式，水带为盘卷式安置，内配消防软管卷盘及公称通径为</w:t>
      </w:r>
      <w:r>
        <w:t xml:space="preserve"> 65mm </w:t>
      </w:r>
      <w:r>
        <w:t>室内消火栓，</w:t>
      </w:r>
    </w:p>
    <w:p w14:paraId="24ECC34C" w14:textId="77777777" w:rsidR="00A71EEF" w:rsidRDefault="00A71EEF">
      <w:pPr>
        <w:pStyle w:val="a3"/>
        <w:spacing w:before="2"/>
        <w:rPr>
          <w:sz w:val="18"/>
        </w:rPr>
      </w:pPr>
    </w:p>
    <w:p w14:paraId="2A0CF13C" w14:textId="77777777" w:rsidR="00A71EEF" w:rsidRDefault="0081115D">
      <w:pPr>
        <w:pStyle w:val="a3"/>
        <w:ind w:left="418"/>
      </w:pPr>
      <w:r>
        <w:t>箱体外形尺寸为</w:t>
      </w:r>
      <w:r>
        <w:t xml:space="preserve"> 1000mm×700mm×240mm </w:t>
      </w:r>
      <w:r>
        <w:t>的栓箱：</w:t>
      </w:r>
      <w:r>
        <w:t xml:space="preserve"> </w:t>
      </w:r>
    </w:p>
    <w:p w14:paraId="4D8F4E3B" w14:textId="77777777" w:rsidR="00A71EEF" w:rsidRDefault="00A71EEF">
      <w:pPr>
        <w:sectPr w:rsidR="00A71EEF">
          <w:pgSz w:w="11910" w:h="16850"/>
          <w:pgMar w:top="1600" w:right="0" w:bottom="1420" w:left="1260" w:header="0" w:footer="1239" w:gutter="0"/>
          <w:cols w:space="720"/>
        </w:sectPr>
      </w:pPr>
    </w:p>
    <w:p w14:paraId="0DB9198F" w14:textId="77777777" w:rsidR="00A71EEF" w:rsidRDefault="0081115D">
      <w:pPr>
        <w:pStyle w:val="a3"/>
        <w:spacing w:before="47"/>
        <w:ind w:left="838"/>
      </w:pPr>
      <w:r>
        <w:t>栓箱</w:t>
      </w:r>
      <w:r>
        <w:t xml:space="preserve"> SG24B65Z — PS </w:t>
      </w:r>
    </w:p>
    <w:p w14:paraId="11163A8D" w14:textId="77777777" w:rsidR="00A71EEF" w:rsidRDefault="0081115D">
      <w:pPr>
        <w:pStyle w:val="a3"/>
        <w:spacing w:before="12"/>
        <w:rPr>
          <w:sz w:val="12"/>
        </w:rPr>
      </w:pPr>
      <w:r>
        <w:pict w14:anchorId="73A6153C">
          <v:group id="_x0000_s1168" style="position:absolute;margin-left:146.15pt;margin-top:10.25pt;width:314.85pt;height:283.45pt;z-index:-251496960;mso-wrap-distance-left:0;mso-wrap-distance-right:0;mso-position-horizontal-relative:page" coordorigin="2923,205" coordsize="6297,5669">
            <v:shape id="_x0000_s1170" type="#_x0000_t75" style="position:absolute;left:4859;top:205;width:3136;height:4950">
              <v:imagedata r:id="rId159" o:title=""/>
            </v:shape>
            <v:shape id="_x0000_s1169" type="#_x0000_t75" style="position:absolute;left:2923;top:489;width:6297;height:5385">
              <v:imagedata r:id="rId160" o:title=""/>
            </v:shape>
            <w10:wrap type="topAndBottom" anchorx="page"/>
          </v:group>
        </w:pict>
      </w:r>
    </w:p>
    <w:p w14:paraId="1CD0DE29" w14:textId="77777777" w:rsidR="00A71EEF" w:rsidRDefault="00A71EEF">
      <w:pPr>
        <w:pStyle w:val="a3"/>
        <w:rPr>
          <w:sz w:val="20"/>
        </w:rPr>
      </w:pPr>
    </w:p>
    <w:p w14:paraId="13E78172" w14:textId="77777777" w:rsidR="00A71EEF" w:rsidRDefault="0081115D">
      <w:pPr>
        <w:pStyle w:val="a3"/>
        <w:spacing w:before="1"/>
        <w:rPr>
          <w:sz w:val="22"/>
        </w:rPr>
      </w:pPr>
      <w:r>
        <w:rPr>
          <w:noProof/>
        </w:rPr>
        <w:drawing>
          <wp:anchor distT="0" distB="0" distL="0" distR="0" simplePos="0" relativeHeight="251556352" behindDoc="0" locked="0" layoutInCell="1" allowOverlap="1" wp14:anchorId="45898839" wp14:editId="483BBC10">
            <wp:simplePos x="0" y="0"/>
            <wp:positionH relativeFrom="page">
              <wp:posOffset>2265679</wp:posOffset>
            </wp:positionH>
            <wp:positionV relativeFrom="paragraph">
              <wp:posOffset>204406</wp:posOffset>
            </wp:positionV>
            <wp:extent cx="2825389" cy="2777109"/>
            <wp:effectExtent l="0" t="0" r="0" b="0"/>
            <wp:wrapTopAndBottom/>
            <wp:docPr id="251" name="image1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156.jpeg"/>
                    <pic:cNvPicPr/>
                  </pic:nvPicPr>
                  <pic:blipFill>
                    <a:blip r:embed="rId161" cstate="print"/>
                    <a:stretch>
                      <a:fillRect/>
                    </a:stretch>
                  </pic:blipFill>
                  <pic:spPr>
                    <a:xfrm>
                      <a:off x="0" y="0"/>
                      <a:ext cx="2825389" cy="2777109"/>
                    </a:xfrm>
                    <a:prstGeom prst="rect">
                      <a:avLst/>
                    </a:prstGeom>
                  </pic:spPr>
                </pic:pic>
              </a:graphicData>
            </a:graphic>
          </wp:anchor>
        </w:drawing>
      </w:r>
    </w:p>
    <w:p w14:paraId="335DAEE2" w14:textId="77777777" w:rsidR="00A71EEF" w:rsidRDefault="00A71EEF">
      <w:pPr>
        <w:pStyle w:val="a3"/>
        <w:rPr>
          <w:sz w:val="20"/>
        </w:rPr>
      </w:pPr>
    </w:p>
    <w:p w14:paraId="2C0ADDFB" w14:textId="77777777" w:rsidR="00A71EEF" w:rsidRDefault="00A71EEF">
      <w:pPr>
        <w:pStyle w:val="a3"/>
        <w:spacing w:before="11"/>
        <w:rPr>
          <w:sz w:val="23"/>
        </w:rPr>
      </w:pPr>
    </w:p>
    <w:p w14:paraId="37F2C3C5" w14:textId="77777777" w:rsidR="00A71EEF" w:rsidRDefault="0081115D">
      <w:pPr>
        <w:pStyle w:val="a3"/>
        <w:spacing w:before="72"/>
        <w:ind w:right="912"/>
        <w:jc w:val="center"/>
      </w:pPr>
      <w:r>
        <w:t xml:space="preserve"> </w:t>
      </w:r>
    </w:p>
    <w:p w14:paraId="774D3162" w14:textId="77777777" w:rsidR="00A71EEF" w:rsidRDefault="00A71EEF">
      <w:pPr>
        <w:jc w:val="center"/>
        <w:sectPr w:rsidR="00A71EEF">
          <w:pgSz w:w="11910" w:h="16850"/>
          <w:pgMar w:top="1220" w:right="0" w:bottom="1420" w:left="1260" w:header="0" w:footer="1239" w:gutter="0"/>
          <w:cols w:space="720"/>
        </w:sectPr>
      </w:pPr>
    </w:p>
    <w:p w14:paraId="676C6E1E" w14:textId="77777777" w:rsidR="00A71EEF" w:rsidRDefault="00A71EEF">
      <w:pPr>
        <w:pStyle w:val="a3"/>
        <w:rPr>
          <w:sz w:val="20"/>
        </w:rPr>
      </w:pPr>
    </w:p>
    <w:p w14:paraId="45C955EE" w14:textId="77777777" w:rsidR="00A71EEF" w:rsidRDefault="00A71EEF">
      <w:pPr>
        <w:pStyle w:val="a3"/>
        <w:spacing w:before="5"/>
        <w:rPr>
          <w:sz w:val="22"/>
        </w:rPr>
      </w:pPr>
    </w:p>
    <w:p w14:paraId="57F26DEA" w14:textId="77777777" w:rsidR="00A71EEF" w:rsidRDefault="0081115D">
      <w:pPr>
        <w:pStyle w:val="a3"/>
        <w:ind w:left="2069"/>
        <w:rPr>
          <w:sz w:val="20"/>
        </w:rPr>
      </w:pPr>
      <w:r>
        <w:rPr>
          <w:noProof/>
          <w:sz w:val="20"/>
        </w:rPr>
        <w:drawing>
          <wp:inline distT="0" distB="0" distL="0" distR="0" wp14:anchorId="36AA84FC" wp14:editId="46BC82DA">
            <wp:extent cx="2742907" cy="3619500"/>
            <wp:effectExtent l="0" t="0" r="0" b="0"/>
            <wp:docPr id="253" name="image1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157.jpeg"/>
                    <pic:cNvPicPr/>
                  </pic:nvPicPr>
                  <pic:blipFill>
                    <a:blip r:embed="rId162" cstate="print"/>
                    <a:stretch>
                      <a:fillRect/>
                    </a:stretch>
                  </pic:blipFill>
                  <pic:spPr>
                    <a:xfrm>
                      <a:off x="0" y="0"/>
                      <a:ext cx="2742907" cy="3619500"/>
                    </a:xfrm>
                    <a:prstGeom prst="rect">
                      <a:avLst/>
                    </a:prstGeom>
                  </pic:spPr>
                </pic:pic>
              </a:graphicData>
            </a:graphic>
          </wp:inline>
        </w:drawing>
      </w:r>
    </w:p>
    <w:p w14:paraId="0A6F9DC7" w14:textId="77777777" w:rsidR="00A71EEF" w:rsidRDefault="00A71EEF">
      <w:pPr>
        <w:pStyle w:val="a3"/>
        <w:rPr>
          <w:sz w:val="15"/>
        </w:rPr>
      </w:pPr>
    </w:p>
    <w:p w14:paraId="770480C1" w14:textId="77777777" w:rsidR="00A71EEF" w:rsidRDefault="0081115D">
      <w:pPr>
        <w:pStyle w:val="4"/>
        <w:spacing w:before="67"/>
      </w:pPr>
      <w:r>
        <w:t xml:space="preserve">5 </w:t>
      </w:r>
      <w:r>
        <w:t>要求</w:t>
      </w:r>
      <w:r>
        <w:rPr>
          <w:w w:val="99"/>
        </w:rPr>
        <w:t xml:space="preserve"> </w:t>
      </w:r>
    </w:p>
    <w:p w14:paraId="02CC656D" w14:textId="77777777" w:rsidR="00A71EEF" w:rsidRDefault="00A71EEF">
      <w:pPr>
        <w:pStyle w:val="a3"/>
        <w:spacing w:before="3"/>
        <w:rPr>
          <w:b/>
          <w:sz w:val="17"/>
        </w:rPr>
      </w:pPr>
    </w:p>
    <w:p w14:paraId="765BBD11" w14:textId="77777777" w:rsidR="00A71EEF" w:rsidRDefault="0081115D">
      <w:pPr>
        <w:pStyle w:val="a4"/>
        <w:numPr>
          <w:ilvl w:val="1"/>
          <w:numId w:val="674"/>
        </w:numPr>
        <w:tabs>
          <w:tab w:val="left" w:pos="1159"/>
        </w:tabs>
        <w:spacing w:before="1"/>
        <w:ind w:hanging="319"/>
        <w:rPr>
          <w:sz w:val="21"/>
        </w:rPr>
      </w:pPr>
      <w:r>
        <w:rPr>
          <w:spacing w:val="-3"/>
          <w:sz w:val="21"/>
        </w:rPr>
        <w:t>箱内消防器材的配置</w:t>
      </w:r>
      <w:r>
        <w:rPr>
          <w:sz w:val="21"/>
        </w:rPr>
        <w:t xml:space="preserve"> </w:t>
      </w:r>
    </w:p>
    <w:p w14:paraId="38713767" w14:textId="77777777" w:rsidR="00A71EEF" w:rsidRDefault="00A71EEF">
      <w:pPr>
        <w:pStyle w:val="a3"/>
        <w:spacing w:before="12"/>
        <w:rPr>
          <w:sz w:val="17"/>
        </w:rPr>
      </w:pPr>
    </w:p>
    <w:p w14:paraId="6A674F7E" w14:textId="77777777" w:rsidR="00A71EEF" w:rsidRDefault="0081115D">
      <w:pPr>
        <w:pStyle w:val="a3"/>
        <w:ind w:left="838"/>
      </w:pPr>
      <w:r>
        <w:t>箱内消防器材的配置应符合表</w:t>
      </w:r>
      <w:r>
        <w:t xml:space="preserve"> 1 </w:t>
      </w:r>
      <w:r>
        <w:t>的规定。</w:t>
      </w:r>
      <w:r>
        <w:t xml:space="preserve"> </w:t>
      </w:r>
    </w:p>
    <w:p w14:paraId="18619641" w14:textId="77777777" w:rsidR="00A71EEF" w:rsidRDefault="00A71EEF">
      <w:pPr>
        <w:pStyle w:val="a3"/>
        <w:rPr>
          <w:sz w:val="20"/>
        </w:rPr>
      </w:pPr>
    </w:p>
    <w:p w14:paraId="72CDEA4A" w14:textId="77777777" w:rsidR="00A71EEF" w:rsidRDefault="00A71EEF">
      <w:pPr>
        <w:pStyle w:val="a3"/>
        <w:rPr>
          <w:sz w:val="20"/>
        </w:rPr>
      </w:pPr>
    </w:p>
    <w:p w14:paraId="60A21F4D" w14:textId="77777777" w:rsidR="00A71EEF" w:rsidRDefault="00A71EEF">
      <w:pPr>
        <w:pStyle w:val="a3"/>
        <w:rPr>
          <w:sz w:val="20"/>
        </w:rPr>
      </w:pPr>
    </w:p>
    <w:p w14:paraId="4697C814" w14:textId="77777777" w:rsidR="00A71EEF" w:rsidRDefault="00A71EEF">
      <w:pPr>
        <w:pStyle w:val="a3"/>
        <w:rPr>
          <w:sz w:val="20"/>
        </w:rPr>
      </w:pPr>
    </w:p>
    <w:p w14:paraId="47E391D0" w14:textId="77777777" w:rsidR="00A71EEF" w:rsidRDefault="00A71EEF">
      <w:pPr>
        <w:pStyle w:val="a3"/>
        <w:rPr>
          <w:sz w:val="20"/>
        </w:rPr>
      </w:pPr>
    </w:p>
    <w:p w14:paraId="005DBDA5" w14:textId="77777777" w:rsidR="00A71EEF" w:rsidRDefault="00A71EEF">
      <w:pPr>
        <w:pStyle w:val="a3"/>
        <w:rPr>
          <w:sz w:val="20"/>
        </w:rPr>
      </w:pPr>
    </w:p>
    <w:p w14:paraId="274117B1" w14:textId="77777777" w:rsidR="00A71EEF" w:rsidRDefault="00A71EEF">
      <w:pPr>
        <w:pStyle w:val="a3"/>
        <w:rPr>
          <w:sz w:val="20"/>
        </w:rPr>
      </w:pPr>
    </w:p>
    <w:p w14:paraId="0736B65A" w14:textId="77777777" w:rsidR="00A71EEF" w:rsidRDefault="00A71EEF">
      <w:pPr>
        <w:pStyle w:val="a3"/>
        <w:rPr>
          <w:sz w:val="20"/>
        </w:rPr>
      </w:pPr>
    </w:p>
    <w:p w14:paraId="58FE3C69" w14:textId="77777777" w:rsidR="00A71EEF" w:rsidRDefault="00A71EEF">
      <w:pPr>
        <w:pStyle w:val="a3"/>
        <w:rPr>
          <w:sz w:val="20"/>
        </w:rPr>
      </w:pPr>
    </w:p>
    <w:p w14:paraId="2C607E4F" w14:textId="77777777" w:rsidR="00A71EEF" w:rsidRDefault="00A71EEF">
      <w:pPr>
        <w:pStyle w:val="a3"/>
        <w:rPr>
          <w:sz w:val="20"/>
        </w:rPr>
      </w:pPr>
    </w:p>
    <w:p w14:paraId="0CDA6156" w14:textId="77777777" w:rsidR="00A71EEF" w:rsidRDefault="00A71EEF">
      <w:pPr>
        <w:pStyle w:val="a3"/>
        <w:rPr>
          <w:sz w:val="20"/>
        </w:rPr>
      </w:pPr>
    </w:p>
    <w:p w14:paraId="30D4E268" w14:textId="77777777" w:rsidR="00A71EEF" w:rsidRDefault="00A71EEF">
      <w:pPr>
        <w:pStyle w:val="a3"/>
        <w:spacing w:before="10"/>
        <w:rPr>
          <w:sz w:val="26"/>
        </w:rPr>
      </w:pPr>
    </w:p>
    <w:p w14:paraId="71FE722A" w14:textId="77777777" w:rsidR="00A71EEF" w:rsidRDefault="0081115D">
      <w:pPr>
        <w:pStyle w:val="6"/>
        <w:spacing w:before="71"/>
        <w:ind w:left="840"/>
      </w:pPr>
      <w:r>
        <w:rPr>
          <w:w w:val="99"/>
        </w:rPr>
        <w:t xml:space="preserve"> </w:t>
      </w:r>
    </w:p>
    <w:p w14:paraId="496EB2EA" w14:textId="77777777" w:rsidR="00A71EEF" w:rsidRDefault="00A71EEF">
      <w:pPr>
        <w:sectPr w:rsidR="00A71EEF">
          <w:footerReference w:type="default" r:id="rId163"/>
          <w:pgSz w:w="11910" w:h="16850"/>
          <w:pgMar w:top="1600" w:right="0" w:bottom="1420" w:left="1260" w:header="0" w:footer="1239" w:gutter="0"/>
          <w:pgNumType w:start="1070"/>
          <w:cols w:space="720"/>
        </w:sectPr>
      </w:pPr>
    </w:p>
    <w:p w14:paraId="36D28603" w14:textId="77777777" w:rsidR="00A71EEF" w:rsidRDefault="0081115D">
      <w:pPr>
        <w:pStyle w:val="a3"/>
        <w:ind w:left="1049"/>
        <w:rPr>
          <w:sz w:val="20"/>
        </w:rPr>
      </w:pPr>
      <w:r>
        <w:rPr>
          <w:noProof/>
          <w:sz w:val="20"/>
        </w:rPr>
        <w:drawing>
          <wp:inline distT="0" distB="0" distL="0" distR="0" wp14:anchorId="48F4ADBA" wp14:editId="6DB98BD0">
            <wp:extent cx="4789991" cy="6581775"/>
            <wp:effectExtent l="0" t="0" r="0" b="0"/>
            <wp:docPr id="255" name="image1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158.jpeg"/>
                    <pic:cNvPicPr/>
                  </pic:nvPicPr>
                  <pic:blipFill>
                    <a:blip r:embed="rId164" cstate="print"/>
                    <a:stretch>
                      <a:fillRect/>
                    </a:stretch>
                  </pic:blipFill>
                  <pic:spPr>
                    <a:xfrm>
                      <a:off x="0" y="0"/>
                      <a:ext cx="4789991" cy="6581775"/>
                    </a:xfrm>
                    <a:prstGeom prst="rect">
                      <a:avLst/>
                    </a:prstGeom>
                  </pic:spPr>
                </pic:pic>
              </a:graphicData>
            </a:graphic>
          </wp:inline>
        </w:drawing>
      </w:r>
    </w:p>
    <w:p w14:paraId="456BF41C" w14:textId="77777777" w:rsidR="00A71EEF" w:rsidRDefault="00A71EEF">
      <w:pPr>
        <w:pStyle w:val="a3"/>
        <w:spacing w:before="11"/>
        <w:rPr>
          <w:b/>
          <w:sz w:val="6"/>
        </w:rPr>
      </w:pPr>
    </w:p>
    <w:p w14:paraId="5980B9E6" w14:textId="77777777" w:rsidR="00A71EEF" w:rsidRDefault="0081115D">
      <w:pPr>
        <w:pStyle w:val="a4"/>
        <w:numPr>
          <w:ilvl w:val="1"/>
          <w:numId w:val="674"/>
        </w:numPr>
        <w:tabs>
          <w:tab w:val="left" w:pos="1159"/>
        </w:tabs>
        <w:spacing w:before="72"/>
        <w:ind w:hanging="319"/>
        <w:rPr>
          <w:b/>
          <w:sz w:val="21"/>
        </w:rPr>
      </w:pPr>
      <w:r>
        <w:rPr>
          <w:spacing w:val="-3"/>
          <w:sz w:val="21"/>
        </w:rPr>
        <w:t>室内消火栓</w:t>
      </w:r>
      <w:r>
        <w:rPr>
          <w:b/>
          <w:w w:val="99"/>
          <w:sz w:val="21"/>
        </w:rPr>
        <w:t xml:space="preserve"> </w:t>
      </w:r>
    </w:p>
    <w:p w14:paraId="3A68A3B1" w14:textId="77777777" w:rsidR="00A71EEF" w:rsidRDefault="00A71EEF">
      <w:pPr>
        <w:pStyle w:val="a3"/>
        <w:spacing w:before="12"/>
        <w:rPr>
          <w:b/>
          <w:sz w:val="17"/>
        </w:rPr>
      </w:pPr>
    </w:p>
    <w:p w14:paraId="5B5C8FCC" w14:textId="77777777" w:rsidR="00A71EEF" w:rsidRDefault="0081115D">
      <w:pPr>
        <w:pStyle w:val="a3"/>
        <w:spacing w:line="446" w:lineRule="auto"/>
        <w:ind w:left="840" w:right="5396" w:hanging="3"/>
        <w:rPr>
          <w:b/>
        </w:rPr>
      </w:pPr>
      <w:r>
        <w:rPr>
          <w:spacing w:val="-8"/>
        </w:rPr>
        <w:t>室内消火栓应是符合</w:t>
      </w:r>
      <w:r>
        <w:rPr>
          <w:spacing w:val="-8"/>
        </w:rPr>
        <w:t xml:space="preserve"> </w:t>
      </w:r>
      <w:r>
        <w:t>GB3445</w:t>
      </w:r>
      <w:r>
        <w:rPr>
          <w:spacing w:val="-10"/>
        </w:rPr>
        <w:t xml:space="preserve"> </w:t>
      </w:r>
      <w:r>
        <w:rPr>
          <w:spacing w:val="-10"/>
        </w:rPr>
        <w:t>规定的合格产品。</w:t>
      </w:r>
      <w:r>
        <w:rPr>
          <w:b/>
        </w:rPr>
        <w:t>5.2.1</w:t>
      </w:r>
      <w:r>
        <w:rPr>
          <w:b/>
          <w:spacing w:val="-1"/>
        </w:rPr>
        <w:t xml:space="preserve"> </w:t>
      </w:r>
      <w:r>
        <w:rPr>
          <w:spacing w:val="-3"/>
        </w:rPr>
        <w:t>密封性能</w:t>
      </w:r>
      <w:r>
        <w:rPr>
          <w:b/>
          <w:w w:val="99"/>
        </w:rPr>
        <w:t xml:space="preserve"> </w:t>
      </w:r>
    </w:p>
    <w:p w14:paraId="09055E6D" w14:textId="77777777" w:rsidR="00A71EEF" w:rsidRDefault="0081115D">
      <w:pPr>
        <w:pStyle w:val="a3"/>
        <w:spacing w:line="446" w:lineRule="auto"/>
        <w:ind w:left="840" w:right="2612" w:hanging="3"/>
        <w:rPr>
          <w:b/>
        </w:rPr>
      </w:pPr>
      <w:r>
        <w:rPr>
          <w:spacing w:val="-6"/>
        </w:rPr>
        <w:t>室内消火栓各密封部位应能承受</w:t>
      </w:r>
      <w:r>
        <w:rPr>
          <w:spacing w:val="-6"/>
        </w:rPr>
        <w:t xml:space="preserve"> </w:t>
      </w:r>
      <w:r>
        <w:t>1.6MPa</w:t>
      </w:r>
      <w:r>
        <w:rPr>
          <w:spacing w:val="-15"/>
        </w:rPr>
        <w:t xml:space="preserve"> </w:t>
      </w:r>
      <w:r>
        <w:rPr>
          <w:spacing w:val="-15"/>
        </w:rPr>
        <w:t>的水压，保压</w:t>
      </w:r>
      <w:r>
        <w:rPr>
          <w:spacing w:val="-15"/>
        </w:rPr>
        <w:t xml:space="preserve"> </w:t>
      </w:r>
      <w:r>
        <w:t>2min</w:t>
      </w:r>
      <w:r>
        <w:rPr>
          <w:spacing w:val="-3"/>
        </w:rPr>
        <w:t>，应无渗漏现象。</w:t>
      </w:r>
      <w:r>
        <w:rPr>
          <w:b/>
        </w:rPr>
        <w:t>5.2.2</w:t>
      </w:r>
      <w:r>
        <w:rPr>
          <w:b/>
          <w:spacing w:val="-1"/>
        </w:rPr>
        <w:t xml:space="preserve"> </w:t>
      </w:r>
      <w:r>
        <w:rPr>
          <w:spacing w:val="-3"/>
        </w:rPr>
        <w:t>水压强度</w:t>
      </w:r>
      <w:r>
        <w:rPr>
          <w:b/>
          <w:w w:val="99"/>
        </w:rPr>
        <w:t xml:space="preserve"> </w:t>
      </w:r>
    </w:p>
    <w:p w14:paraId="2E0442DB" w14:textId="77777777" w:rsidR="00A71EEF" w:rsidRDefault="0081115D">
      <w:pPr>
        <w:pStyle w:val="a3"/>
        <w:spacing w:line="446" w:lineRule="auto"/>
        <w:ind w:left="840" w:right="1719" w:hanging="3"/>
      </w:pPr>
      <w:r>
        <w:rPr>
          <w:spacing w:val="-6"/>
        </w:rPr>
        <w:t>室内消火栓的阀体和阀盖应能承受</w:t>
      </w:r>
      <w:r>
        <w:rPr>
          <w:spacing w:val="-6"/>
        </w:rPr>
        <w:t xml:space="preserve"> </w:t>
      </w:r>
      <w:r>
        <w:t>2.4MPa</w:t>
      </w:r>
      <w:r>
        <w:rPr>
          <w:spacing w:val="-14"/>
        </w:rPr>
        <w:t xml:space="preserve"> </w:t>
      </w:r>
      <w:r>
        <w:rPr>
          <w:spacing w:val="-14"/>
        </w:rPr>
        <w:t>的水压，保压</w:t>
      </w:r>
      <w:r>
        <w:rPr>
          <w:spacing w:val="-14"/>
        </w:rPr>
        <w:t xml:space="preserve"> </w:t>
      </w:r>
      <w:r>
        <w:t>2min</w:t>
      </w:r>
      <w:r>
        <w:rPr>
          <w:spacing w:val="-8"/>
        </w:rPr>
        <w:t xml:space="preserve"> </w:t>
      </w:r>
      <w:r>
        <w:rPr>
          <w:spacing w:val="-8"/>
        </w:rPr>
        <w:t>不得有破裂和渗漏现象。</w:t>
      </w:r>
      <w:r>
        <w:rPr>
          <w:b/>
        </w:rPr>
        <w:t xml:space="preserve">5.3 </w:t>
      </w:r>
      <w:r>
        <w:rPr>
          <w:spacing w:val="-3"/>
        </w:rPr>
        <w:t>消防接口</w:t>
      </w:r>
      <w:r>
        <w:t xml:space="preserve"> </w:t>
      </w:r>
    </w:p>
    <w:p w14:paraId="74859B6E" w14:textId="77777777" w:rsidR="00A71EEF" w:rsidRDefault="00A71EEF">
      <w:pPr>
        <w:spacing w:line="446" w:lineRule="auto"/>
        <w:sectPr w:rsidR="00A71EEF">
          <w:pgSz w:w="11910" w:h="16850"/>
          <w:pgMar w:top="1300" w:right="0" w:bottom="1420" w:left="1260" w:header="0" w:footer="1239" w:gutter="0"/>
          <w:cols w:space="720"/>
        </w:sectPr>
      </w:pPr>
    </w:p>
    <w:p w14:paraId="44A8BCED" w14:textId="77777777" w:rsidR="00A71EEF" w:rsidRDefault="0081115D">
      <w:pPr>
        <w:pStyle w:val="a3"/>
        <w:spacing w:before="47" w:line="446" w:lineRule="auto"/>
        <w:ind w:left="840" w:right="5605" w:hanging="3"/>
        <w:rPr>
          <w:b/>
        </w:rPr>
      </w:pPr>
      <w:r>
        <w:t>消防接口应是符合</w:t>
      </w:r>
      <w:r>
        <w:t xml:space="preserve"> GB3265 </w:t>
      </w:r>
      <w:r>
        <w:t>规定的合格产品。</w:t>
      </w:r>
      <w:r>
        <w:rPr>
          <w:b/>
        </w:rPr>
        <w:t xml:space="preserve">5.3.1 </w:t>
      </w:r>
      <w:r>
        <w:t>密封性能</w:t>
      </w:r>
      <w:r>
        <w:rPr>
          <w:b/>
          <w:w w:val="99"/>
        </w:rPr>
        <w:t xml:space="preserve"> </w:t>
      </w:r>
    </w:p>
    <w:p w14:paraId="1864B494" w14:textId="77777777" w:rsidR="00A71EEF" w:rsidRDefault="0081115D">
      <w:pPr>
        <w:pStyle w:val="a3"/>
        <w:spacing w:line="446" w:lineRule="auto"/>
        <w:ind w:left="418" w:right="1611" w:firstLine="419"/>
      </w:pPr>
      <w:r>
        <w:t>KN</w:t>
      </w:r>
      <w:r>
        <w:rPr>
          <w:spacing w:val="-13"/>
        </w:rPr>
        <w:t xml:space="preserve"> </w:t>
      </w:r>
      <w:r>
        <w:rPr>
          <w:spacing w:val="-13"/>
        </w:rPr>
        <w:t>型内螺纹固定接口在</w:t>
      </w:r>
      <w:r>
        <w:rPr>
          <w:spacing w:val="-13"/>
        </w:rPr>
        <w:t xml:space="preserve"> </w:t>
      </w:r>
      <w:r>
        <w:t>1.6MPa</w:t>
      </w:r>
      <w:r>
        <w:rPr>
          <w:spacing w:val="-14"/>
        </w:rPr>
        <w:t xml:space="preserve"> </w:t>
      </w:r>
      <w:r>
        <w:rPr>
          <w:spacing w:val="-14"/>
        </w:rPr>
        <w:t>水压下，保压</w:t>
      </w:r>
      <w:r>
        <w:rPr>
          <w:spacing w:val="-14"/>
        </w:rPr>
        <w:t xml:space="preserve"> </w:t>
      </w:r>
      <w:r>
        <w:t>2min</w:t>
      </w:r>
      <w:r>
        <w:t>，</w:t>
      </w:r>
      <w:r>
        <w:rPr>
          <w:spacing w:val="-3"/>
        </w:rPr>
        <w:t>接口与相应规格的接口闷盖间应无渗漏现象。</w:t>
      </w:r>
      <w:r>
        <w:t xml:space="preserve"> </w:t>
      </w:r>
    </w:p>
    <w:p w14:paraId="6A705B7E" w14:textId="77777777" w:rsidR="00A71EEF" w:rsidRDefault="0081115D">
      <w:pPr>
        <w:pStyle w:val="a3"/>
        <w:spacing w:line="446" w:lineRule="auto"/>
        <w:ind w:left="840" w:right="3180" w:hanging="3"/>
        <w:rPr>
          <w:b/>
        </w:rPr>
      </w:pPr>
      <w:r>
        <w:t>水带接口成对连接后，在</w:t>
      </w:r>
      <w:r>
        <w:t xml:space="preserve"> 1.6MPa </w:t>
      </w:r>
      <w:r>
        <w:t>水压下，保压</w:t>
      </w:r>
      <w:r>
        <w:t xml:space="preserve"> 2min</w:t>
      </w:r>
      <w:r>
        <w:t>，应无渗漏现象。</w:t>
      </w:r>
      <w:r>
        <w:rPr>
          <w:b/>
        </w:rPr>
        <w:t xml:space="preserve">5.3.2 </w:t>
      </w:r>
      <w:r>
        <w:t>水压强度</w:t>
      </w:r>
      <w:r>
        <w:rPr>
          <w:b/>
          <w:w w:val="99"/>
        </w:rPr>
        <w:t xml:space="preserve"> </w:t>
      </w:r>
    </w:p>
    <w:p w14:paraId="7372E6C8" w14:textId="77777777" w:rsidR="00A71EEF" w:rsidRDefault="0081115D">
      <w:pPr>
        <w:pStyle w:val="a3"/>
        <w:spacing w:line="446" w:lineRule="auto"/>
        <w:ind w:left="418" w:right="1455" w:firstLine="419"/>
      </w:pPr>
      <w:r>
        <w:rPr>
          <w:spacing w:val="-7"/>
        </w:rPr>
        <w:t>成对连接的固定接口在</w:t>
      </w:r>
      <w:r>
        <w:rPr>
          <w:spacing w:val="-7"/>
        </w:rPr>
        <w:t xml:space="preserve"> </w:t>
      </w:r>
      <w:r>
        <w:t>2.4MPa</w:t>
      </w:r>
      <w:r>
        <w:rPr>
          <w:spacing w:val="-14"/>
        </w:rPr>
        <w:t xml:space="preserve"> </w:t>
      </w:r>
      <w:r>
        <w:rPr>
          <w:spacing w:val="-14"/>
        </w:rPr>
        <w:t>水压下，保压</w:t>
      </w:r>
      <w:r>
        <w:rPr>
          <w:spacing w:val="-14"/>
        </w:rPr>
        <w:t xml:space="preserve"> </w:t>
      </w:r>
      <w:r>
        <w:t>2min</w:t>
      </w:r>
      <w:r>
        <w:t>，</w:t>
      </w:r>
      <w:r>
        <w:rPr>
          <w:spacing w:val="-3"/>
        </w:rPr>
        <w:t>不应出现裂纹或断裂现象。试验后应能正常操作。</w:t>
      </w:r>
      <w:r>
        <w:t xml:space="preserve"> </w:t>
      </w:r>
    </w:p>
    <w:p w14:paraId="1A0C8A15" w14:textId="77777777" w:rsidR="00A71EEF" w:rsidRDefault="0081115D">
      <w:pPr>
        <w:spacing w:line="267" w:lineRule="exact"/>
        <w:ind w:left="840"/>
        <w:rPr>
          <w:b/>
          <w:sz w:val="21"/>
        </w:rPr>
      </w:pPr>
      <w:r>
        <w:rPr>
          <w:b/>
          <w:sz w:val="21"/>
        </w:rPr>
        <w:t xml:space="preserve">5.3.3 </w:t>
      </w:r>
      <w:r>
        <w:rPr>
          <w:sz w:val="21"/>
        </w:rPr>
        <w:t>水带接口抗跌落性</w:t>
      </w:r>
      <w:r>
        <w:rPr>
          <w:b/>
          <w:w w:val="99"/>
          <w:sz w:val="21"/>
        </w:rPr>
        <w:t xml:space="preserve"> </w:t>
      </w:r>
    </w:p>
    <w:p w14:paraId="6E1A122E" w14:textId="77777777" w:rsidR="00A71EEF" w:rsidRDefault="00A71EEF">
      <w:pPr>
        <w:pStyle w:val="a3"/>
        <w:rPr>
          <w:b/>
          <w:sz w:val="18"/>
        </w:rPr>
      </w:pPr>
    </w:p>
    <w:p w14:paraId="793864A5" w14:textId="77777777" w:rsidR="00A71EEF" w:rsidRDefault="0081115D">
      <w:pPr>
        <w:pStyle w:val="a3"/>
        <w:spacing w:line="446" w:lineRule="auto"/>
        <w:ind w:left="840" w:right="3817" w:hanging="3"/>
        <w:rPr>
          <w:b/>
        </w:rPr>
      </w:pPr>
      <w:r>
        <w:t>水带接口从</w:t>
      </w:r>
      <w:r>
        <w:t xml:space="preserve"> 1.50m </w:t>
      </w:r>
      <w:r>
        <w:t>高处自由跌落五次，应无损坏并能正常操作。</w:t>
      </w:r>
      <w:r>
        <w:rPr>
          <w:b/>
        </w:rPr>
        <w:t xml:space="preserve">5.4 </w:t>
      </w:r>
      <w:r>
        <w:t>消防水带</w:t>
      </w:r>
      <w:r>
        <w:rPr>
          <w:b/>
          <w:w w:val="99"/>
        </w:rPr>
        <w:t xml:space="preserve"> </w:t>
      </w:r>
    </w:p>
    <w:p w14:paraId="037A0A8D" w14:textId="77777777" w:rsidR="00A71EEF" w:rsidRDefault="0081115D">
      <w:pPr>
        <w:pStyle w:val="a3"/>
        <w:spacing w:line="446" w:lineRule="auto"/>
        <w:ind w:left="840" w:right="5605" w:hanging="3"/>
        <w:rPr>
          <w:b/>
        </w:rPr>
      </w:pPr>
      <w:r>
        <w:rPr>
          <w:noProof/>
        </w:rPr>
        <w:drawing>
          <wp:anchor distT="0" distB="0" distL="0" distR="0" simplePos="0" relativeHeight="251557376" behindDoc="0" locked="0" layoutInCell="1" allowOverlap="1" wp14:anchorId="0235A333" wp14:editId="5EC2A016">
            <wp:simplePos x="0" y="0"/>
            <wp:positionH relativeFrom="page">
              <wp:posOffset>1808479</wp:posOffset>
            </wp:positionH>
            <wp:positionV relativeFrom="paragraph">
              <wp:posOffset>653541</wp:posOffset>
            </wp:positionV>
            <wp:extent cx="2895599" cy="295275"/>
            <wp:effectExtent l="0" t="0" r="0" b="0"/>
            <wp:wrapTopAndBottom/>
            <wp:docPr id="257" name="image1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159.jpeg"/>
                    <pic:cNvPicPr/>
                  </pic:nvPicPr>
                  <pic:blipFill>
                    <a:blip r:embed="rId165" cstate="print"/>
                    <a:stretch>
                      <a:fillRect/>
                    </a:stretch>
                  </pic:blipFill>
                  <pic:spPr>
                    <a:xfrm>
                      <a:off x="0" y="0"/>
                      <a:ext cx="2895599" cy="295275"/>
                    </a:xfrm>
                    <a:prstGeom prst="rect">
                      <a:avLst/>
                    </a:prstGeom>
                  </pic:spPr>
                </pic:pic>
              </a:graphicData>
            </a:graphic>
          </wp:anchor>
        </w:drawing>
      </w:r>
      <w:r>
        <w:t>消防水带应是符合</w:t>
      </w:r>
      <w:r>
        <w:t xml:space="preserve"> GB6246 </w:t>
      </w:r>
      <w:r>
        <w:t>规定的合格产品。</w:t>
      </w:r>
      <w:r>
        <w:rPr>
          <w:b/>
        </w:rPr>
        <w:t xml:space="preserve">5.4.1 </w:t>
      </w:r>
      <w:r>
        <w:t>长度及公差</w:t>
      </w:r>
      <w:r>
        <w:t xml:space="preserve">  </w:t>
      </w:r>
      <w:r>
        <w:rPr>
          <w:b/>
          <w:w w:val="99"/>
        </w:rPr>
        <w:t xml:space="preserve"> </w:t>
      </w:r>
    </w:p>
    <w:p w14:paraId="7BF37964" w14:textId="77777777" w:rsidR="00A71EEF" w:rsidRDefault="0081115D">
      <w:pPr>
        <w:spacing w:before="179"/>
        <w:ind w:left="840"/>
        <w:rPr>
          <w:b/>
          <w:sz w:val="21"/>
        </w:rPr>
      </w:pPr>
      <w:r>
        <w:rPr>
          <w:b/>
          <w:sz w:val="21"/>
        </w:rPr>
        <w:t>5.4.2</w:t>
      </w:r>
      <w:r>
        <w:rPr>
          <w:b/>
          <w:spacing w:val="5"/>
          <w:sz w:val="21"/>
        </w:rPr>
        <w:t xml:space="preserve"> </w:t>
      </w:r>
      <w:r>
        <w:rPr>
          <w:spacing w:val="-3"/>
          <w:sz w:val="21"/>
        </w:rPr>
        <w:t>密封性能</w:t>
      </w:r>
      <w:r>
        <w:rPr>
          <w:b/>
          <w:w w:val="99"/>
          <w:sz w:val="21"/>
        </w:rPr>
        <w:t xml:space="preserve"> </w:t>
      </w:r>
    </w:p>
    <w:p w14:paraId="4684FE0B" w14:textId="77777777" w:rsidR="00A71EEF" w:rsidRDefault="00A71EEF">
      <w:pPr>
        <w:pStyle w:val="a3"/>
        <w:spacing w:before="12"/>
        <w:rPr>
          <w:b/>
          <w:sz w:val="17"/>
        </w:rPr>
      </w:pPr>
    </w:p>
    <w:p w14:paraId="7712CAA1" w14:textId="77777777" w:rsidR="00A71EEF" w:rsidRDefault="0081115D">
      <w:pPr>
        <w:pStyle w:val="a3"/>
        <w:spacing w:line="446" w:lineRule="auto"/>
        <w:ind w:left="840" w:right="3767" w:hanging="3"/>
        <w:rPr>
          <w:b/>
        </w:rPr>
      </w:pPr>
      <w:r>
        <w:rPr>
          <w:spacing w:val="-10"/>
        </w:rPr>
        <w:t>消防水带在</w:t>
      </w:r>
      <w:r>
        <w:rPr>
          <w:spacing w:val="-10"/>
        </w:rPr>
        <w:t xml:space="preserve"> </w:t>
      </w:r>
      <w:r>
        <w:t>0.8MPa</w:t>
      </w:r>
      <w:r>
        <w:rPr>
          <w:spacing w:val="-15"/>
        </w:rPr>
        <w:t xml:space="preserve"> </w:t>
      </w:r>
      <w:r>
        <w:rPr>
          <w:spacing w:val="-15"/>
        </w:rPr>
        <w:t>水压下，保压</w:t>
      </w:r>
      <w:r>
        <w:rPr>
          <w:spacing w:val="-15"/>
        </w:rPr>
        <w:t xml:space="preserve"> </w:t>
      </w:r>
      <w:r>
        <w:t>5min</w:t>
      </w:r>
      <w:r>
        <w:rPr>
          <w:spacing w:val="-3"/>
        </w:rPr>
        <w:t>,</w:t>
      </w:r>
      <w:r>
        <w:rPr>
          <w:spacing w:val="-3"/>
        </w:rPr>
        <w:t>水带全长应无泄漏现象。</w:t>
      </w:r>
      <w:r>
        <w:rPr>
          <w:b/>
        </w:rPr>
        <w:t>5.4.3</w:t>
      </w:r>
      <w:r>
        <w:rPr>
          <w:b/>
          <w:spacing w:val="1"/>
        </w:rPr>
        <w:t xml:space="preserve"> </w:t>
      </w:r>
      <w:r>
        <w:rPr>
          <w:spacing w:val="-3"/>
        </w:rPr>
        <w:t>耐压性能</w:t>
      </w:r>
      <w:r>
        <w:rPr>
          <w:b/>
          <w:w w:val="99"/>
        </w:rPr>
        <w:t xml:space="preserve"> </w:t>
      </w:r>
    </w:p>
    <w:p w14:paraId="26F46C24" w14:textId="77777777" w:rsidR="00A71EEF" w:rsidRDefault="0081115D">
      <w:pPr>
        <w:pStyle w:val="a3"/>
        <w:spacing w:line="446" w:lineRule="auto"/>
        <w:ind w:left="418" w:right="1510" w:firstLine="419"/>
      </w:pPr>
      <w:r>
        <w:rPr>
          <w:spacing w:val="-10"/>
        </w:rPr>
        <w:t>消防水带在</w:t>
      </w:r>
      <w:r>
        <w:rPr>
          <w:spacing w:val="-10"/>
        </w:rPr>
        <w:t xml:space="preserve"> </w:t>
      </w:r>
      <w:r>
        <w:t>1.2MPa</w:t>
      </w:r>
      <w:r>
        <w:rPr>
          <w:spacing w:val="-15"/>
        </w:rPr>
        <w:t xml:space="preserve"> </w:t>
      </w:r>
      <w:r>
        <w:rPr>
          <w:spacing w:val="-15"/>
        </w:rPr>
        <w:t>水压下，保持</w:t>
      </w:r>
      <w:r>
        <w:rPr>
          <w:spacing w:val="-15"/>
        </w:rPr>
        <w:t xml:space="preserve"> </w:t>
      </w:r>
      <w:r>
        <w:t>5min</w:t>
      </w:r>
      <w:r>
        <w:rPr>
          <w:spacing w:val="-8"/>
        </w:rPr>
        <w:t>,</w:t>
      </w:r>
      <w:r>
        <w:rPr>
          <w:spacing w:val="-8"/>
        </w:rPr>
        <w:t>应无渗漏现象。在</w:t>
      </w:r>
      <w:r>
        <w:rPr>
          <w:spacing w:val="-8"/>
        </w:rPr>
        <w:t xml:space="preserve"> </w:t>
      </w:r>
      <w:r>
        <w:t>2.4MPa</w:t>
      </w:r>
      <w:r>
        <w:rPr>
          <w:spacing w:val="-15"/>
        </w:rPr>
        <w:t xml:space="preserve"> </w:t>
      </w:r>
      <w:r>
        <w:rPr>
          <w:spacing w:val="-15"/>
        </w:rPr>
        <w:t>水压下，保压</w:t>
      </w:r>
      <w:r>
        <w:rPr>
          <w:spacing w:val="-15"/>
        </w:rPr>
        <w:t xml:space="preserve"> </w:t>
      </w:r>
      <w:r>
        <w:t>5min</w:t>
      </w:r>
      <w:r>
        <w:rPr>
          <w:spacing w:val="-3"/>
        </w:rPr>
        <w:t>,</w:t>
      </w:r>
      <w:r>
        <w:rPr>
          <w:spacing w:val="-3"/>
        </w:rPr>
        <w:t>不应</w:t>
      </w:r>
      <w:r>
        <w:rPr>
          <w:spacing w:val="-1"/>
        </w:rPr>
        <w:t>爆破。</w:t>
      </w:r>
      <w:r>
        <w:t xml:space="preserve"> </w:t>
      </w:r>
    </w:p>
    <w:p w14:paraId="09E5590E" w14:textId="77777777" w:rsidR="00A71EEF" w:rsidRDefault="0081115D">
      <w:pPr>
        <w:spacing w:line="267" w:lineRule="exact"/>
        <w:ind w:left="840"/>
        <w:rPr>
          <w:b/>
          <w:sz w:val="21"/>
        </w:rPr>
      </w:pPr>
      <w:r>
        <w:rPr>
          <w:b/>
          <w:sz w:val="21"/>
        </w:rPr>
        <w:t xml:space="preserve">5.4.4 </w:t>
      </w:r>
      <w:r>
        <w:rPr>
          <w:sz w:val="21"/>
        </w:rPr>
        <w:t>扭转方向</w:t>
      </w:r>
      <w:r>
        <w:rPr>
          <w:b/>
          <w:w w:val="99"/>
          <w:sz w:val="21"/>
        </w:rPr>
        <w:t xml:space="preserve"> </w:t>
      </w:r>
    </w:p>
    <w:p w14:paraId="3E961580" w14:textId="77777777" w:rsidR="00A71EEF" w:rsidRDefault="00A71EEF">
      <w:pPr>
        <w:pStyle w:val="a3"/>
        <w:spacing w:before="1"/>
        <w:rPr>
          <w:b/>
          <w:sz w:val="18"/>
        </w:rPr>
      </w:pPr>
    </w:p>
    <w:p w14:paraId="1EC397CF" w14:textId="77777777" w:rsidR="00A71EEF" w:rsidRDefault="0081115D">
      <w:pPr>
        <w:pStyle w:val="a3"/>
        <w:spacing w:before="1" w:line="446" w:lineRule="auto"/>
        <w:ind w:left="840" w:right="3817" w:hanging="3"/>
        <w:rPr>
          <w:b/>
        </w:rPr>
      </w:pPr>
      <w:r>
        <w:t>在水压作用下，沿水流方向看，消防水带不得产生逆时针扭转。</w:t>
      </w:r>
      <w:r>
        <w:rPr>
          <w:b/>
        </w:rPr>
        <w:t xml:space="preserve">5.5 </w:t>
      </w:r>
      <w:r>
        <w:t>消防水枪</w:t>
      </w:r>
      <w:r>
        <w:rPr>
          <w:b/>
          <w:w w:val="99"/>
        </w:rPr>
        <w:t xml:space="preserve"> </w:t>
      </w:r>
    </w:p>
    <w:p w14:paraId="50A39E8A" w14:textId="77777777" w:rsidR="00A71EEF" w:rsidRDefault="0081115D">
      <w:pPr>
        <w:pStyle w:val="a3"/>
        <w:spacing w:line="446" w:lineRule="auto"/>
        <w:ind w:left="840" w:right="5605" w:hanging="3"/>
        <w:rPr>
          <w:b/>
        </w:rPr>
      </w:pPr>
      <w:r>
        <w:rPr>
          <w:spacing w:val="-8"/>
        </w:rPr>
        <w:t>消防水枪应是符合</w:t>
      </w:r>
      <w:r>
        <w:rPr>
          <w:spacing w:val="-8"/>
        </w:rPr>
        <w:t xml:space="preserve"> </w:t>
      </w:r>
      <w:r>
        <w:t>GB8181</w:t>
      </w:r>
      <w:r>
        <w:rPr>
          <w:spacing w:val="-10"/>
        </w:rPr>
        <w:t xml:space="preserve"> </w:t>
      </w:r>
      <w:r>
        <w:rPr>
          <w:spacing w:val="-10"/>
        </w:rPr>
        <w:t>规定的合格产品。</w:t>
      </w:r>
      <w:r>
        <w:rPr>
          <w:b/>
        </w:rPr>
        <w:t xml:space="preserve">5.5.1 </w:t>
      </w:r>
      <w:r>
        <w:rPr>
          <w:spacing w:val="-3"/>
        </w:rPr>
        <w:t>密封性能</w:t>
      </w:r>
      <w:r>
        <w:rPr>
          <w:b/>
          <w:w w:val="99"/>
        </w:rPr>
        <w:t xml:space="preserve"> </w:t>
      </w:r>
    </w:p>
    <w:p w14:paraId="3005F2C5" w14:textId="77777777" w:rsidR="00A71EEF" w:rsidRDefault="0081115D">
      <w:pPr>
        <w:pStyle w:val="a3"/>
        <w:spacing w:line="446" w:lineRule="auto"/>
        <w:ind w:left="840" w:right="4763" w:hanging="3"/>
        <w:rPr>
          <w:b/>
        </w:rPr>
      </w:pPr>
      <w:r>
        <w:rPr>
          <w:spacing w:val="-14"/>
        </w:rPr>
        <w:t>水枪在</w:t>
      </w:r>
      <w:r>
        <w:rPr>
          <w:spacing w:val="-14"/>
        </w:rPr>
        <w:t xml:space="preserve"> </w:t>
      </w:r>
      <w:r>
        <w:t>0.9MPa</w:t>
      </w:r>
      <w:r>
        <w:rPr>
          <w:spacing w:val="-9"/>
        </w:rPr>
        <w:t xml:space="preserve"> </w:t>
      </w:r>
      <w:r>
        <w:rPr>
          <w:spacing w:val="-9"/>
        </w:rPr>
        <w:t>水压下，枪体及各密封部位应无泄漏。</w:t>
      </w:r>
      <w:r>
        <w:rPr>
          <w:b/>
          <w:spacing w:val="-9"/>
        </w:rPr>
        <w:t>5.5.2</w:t>
      </w:r>
      <w:r>
        <w:rPr>
          <w:b/>
          <w:spacing w:val="1"/>
        </w:rPr>
        <w:t xml:space="preserve"> </w:t>
      </w:r>
      <w:r>
        <w:rPr>
          <w:spacing w:val="-3"/>
        </w:rPr>
        <w:t>水压强度</w:t>
      </w:r>
      <w:r>
        <w:rPr>
          <w:b/>
          <w:w w:val="99"/>
        </w:rPr>
        <w:t xml:space="preserve"> </w:t>
      </w:r>
    </w:p>
    <w:p w14:paraId="6F3F32D9" w14:textId="77777777" w:rsidR="00A71EEF" w:rsidRDefault="0081115D">
      <w:pPr>
        <w:pStyle w:val="a3"/>
        <w:ind w:left="838"/>
      </w:pPr>
      <w:r>
        <w:t>水枪在</w:t>
      </w:r>
      <w:r>
        <w:t xml:space="preserve"> 1.6MPa </w:t>
      </w:r>
      <w:r>
        <w:t>水压下，水枪应无破裂和影响正常使用的残余变形。</w:t>
      </w:r>
      <w:r>
        <w:t xml:space="preserve"> </w:t>
      </w:r>
    </w:p>
    <w:p w14:paraId="668EB361" w14:textId="77777777" w:rsidR="00A71EEF" w:rsidRDefault="00A71EEF">
      <w:pPr>
        <w:pStyle w:val="a3"/>
        <w:spacing w:before="9"/>
        <w:rPr>
          <w:sz w:val="17"/>
        </w:rPr>
      </w:pPr>
    </w:p>
    <w:p w14:paraId="0B847685" w14:textId="77777777" w:rsidR="00A71EEF" w:rsidRDefault="0081115D">
      <w:pPr>
        <w:pStyle w:val="a4"/>
        <w:numPr>
          <w:ilvl w:val="1"/>
          <w:numId w:val="673"/>
        </w:numPr>
        <w:tabs>
          <w:tab w:val="left" w:pos="1159"/>
        </w:tabs>
        <w:spacing w:before="1"/>
        <w:ind w:hanging="319"/>
        <w:rPr>
          <w:sz w:val="21"/>
        </w:rPr>
      </w:pPr>
      <w:r>
        <w:rPr>
          <w:spacing w:val="-3"/>
          <w:sz w:val="21"/>
        </w:rPr>
        <w:t>消防软管卷盘</w:t>
      </w:r>
      <w:r>
        <w:rPr>
          <w:sz w:val="21"/>
        </w:rPr>
        <w:t xml:space="preserve"> </w:t>
      </w:r>
    </w:p>
    <w:p w14:paraId="73C37D77" w14:textId="77777777" w:rsidR="00A71EEF" w:rsidRDefault="00A71EEF">
      <w:pPr>
        <w:rPr>
          <w:sz w:val="21"/>
        </w:rPr>
        <w:sectPr w:rsidR="00A71EEF">
          <w:pgSz w:w="11910" w:h="16850"/>
          <w:pgMar w:top="1220" w:right="0" w:bottom="1420" w:left="1260" w:header="0" w:footer="1239" w:gutter="0"/>
          <w:cols w:space="720"/>
        </w:sectPr>
      </w:pPr>
    </w:p>
    <w:p w14:paraId="2DB1446E" w14:textId="77777777" w:rsidR="00A71EEF" w:rsidRDefault="0081115D">
      <w:pPr>
        <w:pStyle w:val="a4"/>
        <w:numPr>
          <w:ilvl w:val="2"/>
          <w:numId w:val="673"/>
        </w:numPr>
        <w:tabs>
          <w:tab w:val="left" w:pos="1371"/>
        </w:tabs>
        <w:spacing w:before="47"/>
        <w:rPr>
          <w:b/>
          <w:sz w:val="21"/>
        </w:rPr>
      </w:pPr>
      <w:r>
        <w:rPr>
          <w:spacing w:val="-3"/>
          <w:sz w:val="21"/>
        </w:rPr>
        <w:t>性能参数</w:t>
      </w:r>
      <w:r>
        <w:rPr>
          <w:b/>
          <w:w w:val="99"/>
          <w:sz w:val="21"/>
        </w:rPr>
        <w:t xml:space="preserve"> </w:t>
      </w:r>
    </w:p>
    <w:p w14:paraId="049AEFBB" w14:textId="77777777" w:rsidR="00A71EEF" w:rsidRDefault="00A71EEF">
      <w:pPr>
        <w:pStyle w:val="a3"/>
        <w:rPr>
          <w:b/>
          <w:sz w:val="18"/>
        </w:rPr>
      </w:pPr>
    </w:p>
    <w:p w14:paraId="46EB7C26" w14:textId="77777777" w:rsidR="00A71EEF" w:rsidRDefault="0081115D">
      <w:pPr>
        <w:pStyle w:val="a3"/>
        <w:ind w:left="838"/>
      </w:pPr>
      <w:r>
        <w:t>消防软管卷盘的主要性能参数应符合表</w:t>
      </w:r>
      <w:r>
        <w:t xml:space="preserve"> 2 </w:t>
      </w:r>
      <w:r>
        <w:t>的规定。</w:t>
      </w:r>
      <w:r>
        <w:t xml:space="preserve"> </w:t>
      </w:r>
    </w:p>
    <w:p w14:paraId="5306A5E1" w14:textId="77777777" w:rsidR="00A71EEF" w:rsidRDefault="00A71EEF">
      <w:pPr>
        <w:pStyle w:val="a3"/>
        <w:rPr>
          <w:sz w:val="18"/>
        </w:rPr>
      </w:pPr>
    </w:p>
    <w:p w14:paraId="41168E0B" w14:textId="77777777" w:rsidR="00A71EEF" w:rsidRDefault="0081115D">
      <w:pPr>
        <w:pStyle w:val="6"/>
        <w:ind w:left="2677"/>
      </w:pPr>
      <w:r>
        <w:t>表</w:t>
      </w:r>
      <w:r>
        <w:t xml:space="preserve"> 2 </w:t>
      </w:r>
      <w:r>
        <w:t>消防软管卷盘的主要性能参数及喷射性能</w:t>
      </w:r>
      <w:r>
        <w:rPr>
          <w:w w:val="99"/>
        </w:rPr>
        <w:t xml:space="preserve"> </w:t>
      </w:r>
    </w:p>
    <w:p w14:paraId="195405A7" w14:textId="77777777" w:rsidR="00A71EEF" w:rsidRDefault="0081115D">
      <w:pPr>
        <w:pStyle w:val="a3"/>
        <w:spacing w:before="4"/>
        <w:rPr>
          <w:b/>
          <w:sz w:val="12"/>
        </w:rPr>
      </w:pPr>
      <w:r>
        <w:rPr>
          <w:noProof/>
        </w:rPr>
        <w:drawing>
          <wp:anchor distT="0" distB="0" distL="0" distR="0" simplePos="0" relativeHeight="251558400" behindDoc="0" locked="0" layoutInCell="1" allowOverlap="1" wp14:anchorId="6B844D8D" wp14:editId="4D9FF7BC">
            <wp:simplePos x="0" y="0"/>
            <wp:positionH relativeFrom="page">
              <wp:posOffset>1664335</wp:posOffset>
            </wp:positionH>
            <wp:positionV relativeFrom="paragraph">
              <wp:posOffset>124944</wp:posOffset>
            </wp:positionV>
            <wp:extent cx="4113636" cy="1221771"/>
            <wp:effectExtent l="0" t="0" r="0" b="0"/>
            <wp:wrapTopAndBottom/>
            <wp:docPr id="259" name="image1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160.jpeg"/>
                    <pic:cNvPicPr/>
                  </pic:nvPicPr>
                  <pic:blipFill>
                    <a:blip r:embed="rId166" cstate="print"/>
                    <a:stretch>
                      <a:fillRect/>
                    </a:stretch>
                  </pic:blipFill>
                  <pic:spPr>
                    <a:xfrm>
                      <a:off x="0" y="0"/>
                      <a:ext cx="4113636" cy="1221771"/>
                    </a:xfrm>
                    <a:prstGeom prst="rect">
                      <a:avLst/>
                    </a:prstGeom>
                  </pic:spPr>
                </pic:pic>
              </a:graphicData>
            </a:graphic>
          </wp:anchor>
        </w:drawing>
      </w:r>
    </w:p>
    <w:p w14:paraId="4769A059" w14:textId="77777777" w:rsidR="00A71EEF" w:rsidRDefault="0081115D">
      <w:pPr>
        <w:pStyle w:val="a4"/>
        <w:numPr>
          <w:ilvl w:val="2"/>
          <w:numId w:val="673"/>
        </w:numPr>
        <w:tabs>
          <w:tab w:val="left" w:pos="1371"/>
        </w:tabs>
        <w:spacing w:before="161"/>
        <w:rPr>
          <w:b/>
          <w:sz w:val="21"/>
        </w:rPr>
      </w:pPr>
      <w:r>
        <w:rPr>
          <w:spacing w:val="-3"/>
          <w:sz w:val="21"/>
        </w:rPr>
        <w:t>操作性能</w:t>
      </w:r>
      <w:r>
        <w:rPr>
          <w:b/>
          <w:w w:val="99"/>
          <w:sz w:val="21"/>
        </w:rPr>
        <w:t xml:space="preserve"> </w:t>
      </w:r>
    </w:p>
    <w:p w14:paraId="3A395784" w14:textId="77777777" w:rsidR="00A71EEF" w:rsidRDefault="00A71EEF">
      <w:pPr>
        <w:pStyle w:val="a3"/>
        <w:spacing w:before="2"/>
        <w:rPr>
          <w:b/>
          <w:sz w:val="18"/>
        </w:rPr>
      </w:pPr>
    </w:p>
    <w:p w14:paraId="44DF2CFB" w14:textId="77777777" w:rsidR="00A71EEF" w:rsidRDefault="0081115D">
      <w:pPr>
        <w:pStyle w:val="a3"/>
        <w:spacing w:line="446" w:lineRule="auto"/>
        <w:ind w:left="418" w:right="1505" w:firstLine="419"/>
      </w:pPr>
      <w:r>
        <w:t>摇臂应能从箱体内向外作水平摆动，摆动角</w:t>
      </w:r>
      <w:r>
        <w:t>≥90%</w:t>
      </w:r>
      <w:r>
        <w:t>，摆动时应无卡阻和松动，驱使摆动的力不得大于</w:t>
      </w:r>
      <w:r>
        <w:t xml:space="preserve"> 50N</w:t>
      </w:r>
      <w:r>
        <w:t>。消防软管卷盘转动的启动力矩不得大于</w:t>
      </w:r>
      <w:r>
        <w:t xml:space="preserve"> 20 N·m</w:t>
      </w:r>
      <w:r>
        <w:t>。</w:t>
      </w:r>
      <w:r>
        <w:t xml:space="preserve"> </w:t>
      </w:r>
    </w:p>
    <w:p w14:paraId="40CD84B5" w14:textId="77777777" w:rsidR="00A71EEF" w:rsidRDefault="0081115D">
      <w:pPr>
        <w:pStyle w:val="a4"/>
        <w:numPr>
          <w:ilvl w:val="2"/>
          <w:numId w:val="673"/>
        </w:numPr>
        <w:tabs>
          <w:tab w:val="left" w:pos="1370"/>
        </w:tabs>
        <w:spacing w:line="267" w:lineRule="exact"/>
        <w:ind w:left="1369" w:hanging="530"/>
        <w:rPr>
          <w:b/>
          <w:sz w:val="21"/>
        </w:rPr>
      </w:pPr>
      <w:r>
        <w:rPr>
          <w:spacing w:val="-3"/>
          <w:sz w:val="21"/>
        </w:rPr>
        <w:t>抗冲击性能</w:t>
      </w:r>
      <w:r>
        <w:rPr>
          <w:b/>
          <w:w w:val="99"/>
          <w:sz w:val="21"/>
        </w:rPr>
        <w:t xml:space="preserve"> </w:t>
      </w:r>
    </w:p>
    <w:p w14:paraId="2768E055" w14:textId="77777777" w:rsidR="00A71EEF" w:rsidRDefault="00A71EEF">
      <w:pPr>
        <w:pStyle w:val="a3"/>
        <w:spacing w:before="2"/>
        <w:rPr>
          <w:b/>
          <w:sz w:val="18"/>
        </w:rPr>
      </w:pPr>
    </w:p>
    <w:p w14:paraId="7D72E8C7" w14:textId="77777777" w:rsidR="00A71EEF" w:rsidRDefault="0081115D">
      <w:pPr>
        <w:pStyle w:val="a3"/>
        <w:spacing w:line="446" w:lineRule="auto"/>
        <w:ind w:left="418" w:right="1611" w:firstLine="419"/>
      </w:pPr>
      <w:r>
        <w:rPr>
          <w:spacing w:val="-24"/>
        </w:rPr>
        <w:t>按</w:t>
      </w:r>
      <w:r>
        <w:rPr>
          <w:spacing w:val="-24"/>
        </w:rPr>
        <w:t xml:space="preserve"> </w:t>
      </w:r>
      <w:r>
        <w:t>6.6.3</w:t>
      </w:r>
      <w:r>
        <w:rPr>
          <w:spacing w:val="-11"/>
        </w:rPr>
        <w:t xml:space="preserve"> </w:t>
      </w:r>
      <w:r>
        <w:rPr>
          <w:spacing w:val="-11"/>
        </w:rPr>
        <w:t>方法试验后，消防软管卷盘不得产生影响正常使用的变形；在</w:t>
      </w:r>
      <w:r>
        <w:rPr>
          <w:spacing w:val="-11"/>
        </w:rPr>
        <w:t xml:space="preserve"> </w:t>
      </w:r>
      <w:r>
        <w:t>0.8 MPa</w:t>
      </w:r>
      <w:r>
        <w:rPr>
          <w:spacing w:val="-11"/>
        </w:rPr>
        <w:t xml:space="preserve"> </w:t>
      </w:r>
      <w:r>
        <w:rPr>
          <w:spacing w:val="-11"/>
        </w:rPr>
        <w:t>水压条件</w:t>
      </w:r>
      <w:r>
        <w:rPr>
          <w:spacing w:val="-6"/>
        </w:rPr>
        <w:t>下各连接部位不得有渗漏现象。</w:t>
      </w:r>
      <w:r>
        <w:t xml:space="preserve"> </w:t>
      </w:r>
    </w:p>
    <w:p w14:paraId="3C591A92" w14:textId="77777777" w:rsidR="00A71EEF" w:rsidRDefault="0081115D">
      <w:pPr>
        <w:pStyle w:val="a4"/>
        <w:numPr>
          <w:ilvl w:val="2"/>
          <w:numId w:val="673"/>
        </w:numPr>
        <w:tabs>
          <w:tab w:val="left" w:pos="1371"/>
        </w:tabs>
        <w:spacing w:line="267" w:lineRule="exact"/>
        <w:rPr>
          <w:b/>
          <w:sz w:val="21"/>
        </w:rPr>
      </w:pPr>
      <w:r>
        <w:rPr>
          <w:spacing w:val="-3"/>
          <w:sz w:val="21"/>
        </w:rPr>
        <w:t>负荷性能</w:t>
      </w:r>
      <w:r>
        <w:rPr>
          <w:b/>
          <w:w w:val="99"/>
          <w:sz w:val="21"/>
        </w:rPr>
        <w:t xml:space="preserve"> </w:t>
      </w:r>
    </w:p>
    <w:p w14:paraId="415D2BAE" w14:textId="77777777" w:rsidR="00A71EEF" w:rsidRDefault="00A71EEF">
      <w:pPr>
        <w:pStyle w:val="a3"/>
        <w:spacing w:before="2"/>
        <w:rPr>
          <w:b/>
          <w:sz w:val="18"/>
        </w:rPr>
      </w:pPr>
    </w:p>
    <w:p w14:paraId="2E61877B" w14:textId="77777777" w:rsidR="00A71EEF" w:rsidRDefault="0081115D">
      <w:pPr>
        <w:pStyle w:val="a3"/>
        <w:spacing w:line="446" w:lineRule="auto"/>
        <w:ind w:left="418" w:right="1611" w:firstLine="419"/>
      </w:pPr>
      <w:r>
        <w:rPr>
          <w:spacing w:val="-24"/>
        </w:rPr>
        <w:t>按</w:t>
      </w:r>
      <w:r>
        <w:rPr>
          <w:spacing w:val="-24"/>
        </w:rPr>
        <w:t xml:space="preserve"> </w:t>
      </w:r>
      <w:r>
        <w:t>6.6.4</w:t>
      </w:r>
      <w:r>
        <w:rPr>
          <w:spacing w:val="-11"/>
        </w:rPr>
        <w:t xml:space="preserve"> </w:t>
      </w:r>
      <w:r>
        <w:rPr>
          <w:spacing w:val="-11"/>
        </w:rPr>
        <w:t>方法试验后，消防软管卷盘不得产生影响正常使用的变形；在</w:t>
      </w:r>
      <w:r>
        <w:rPr>
          <w:spacing w:val="-11"/>
        </w:rPr>
        <w:t xml:space="preserve"> </w:t>
      </w:r>
      <w:r>
        <w:t>0.8 MPa</w:t>
      </w:r>
      <w:r>
        <w:rPr>
          <w:spacing w:val="-11"/>
        </w:rPr>
        <w:t xml:space="preserve"> </w:t>
      </w:r>
      <w:r>
        <w:rPr>
          <w:spacing w:val="-11"/>
        </w:rPr>
        <w:t>水压条件</w:t>
      </w:r>
      <w:r>
        <w:rPr>
          <w:spacing w:val="-6"/>
        </w:rPr>
        <w:t>下各连接部位不得有渗漏现象。</w:t>
      </w:r>
      <w:r>
        <w:t xml:space="preserve"> </w:t>
      </w:r>
    </w:p>
    <w:p w14:paraId="6E974848" w14:textId="77777777" w:rsidR="00A71EEF" w:rsidRDefault="0081115D">
      <w:pPr>
        <w:pStyle w:val="a4"/>
        <w:numPr>
          <w:ilvl w:val="2"/>
          <w:numId w:val="673"/>
        </w:numPr>
        <w:tabs>
          <w:tab w:val="left" w:pos="1371"/>
        </w:tabs>
        <w:spacing w:line="267" w:lineRule="exact"/>
        <w:rPr>
          <w:b/>
          <w:sz w:val="21"/>
        </w:rPr>
      </w:pPr>
      <w:r>
        <w:rPr>
          <w:spacing w:val="-3"/>
          <w:sz w:val="21"/>
        </w:rPr>
        <w:t>连接性能</w:t>
      </w:r>
      <w:r>
        <w:rPr>
          <w:b/>
          <w:w w:val="99"/>
          <w:sz w:val="21"/>
        </w:rPr>
        <w:t xml:space="preserve"> </w:t>
      </w:r>
    </w:p>
    <w:p w14:paraId="3CBCE0C0" w14:textId="77777777" w:rsidR="00A71EEF" w:rsidRDefault="00A71EEF">
      <w:pPr>
        <w:pStyle w:val="a3"/>
        <w:spacing w:before="2"/>
        <w:rPr>
          <w:b/>
          <w:sz w:val="18"/>
        </w:rPr>
      </w:pPr>
    </w:p>
    <w:p w14:paraId="3507037C" w14:textId="77777777" w:rsidR="00A71EEF" w:rsidRDefault="0081115D">
      <w:pPr>
        <w:pStyle w:val="a3"/>
        <w:spacing w:line="446" w:lineRule="auto"/>
        <w:ind w:left="418" w:right="1508" w:firstLine="419"/>
      </w:pPr>
      <w:r>
        <w:rPr>
          <w:spacing w:val="-3"/>
        </w:rPr>
        <w:t>消防软管卷盘的卷盘轴与弯管、软管与软管盘进出口、软管与进水控制阀、软管与喷枪的</w:t>
      </w:r>
      <w:r>
        <w:rPr>
          <w:spacing w:val="-8"/>
        </w:rPr>
        <w:t>连接应牢固可靠，在</w:t>
      </w:r>
      <w:r>
        <w:rPr>
          <w:spacing w:val="-8"/>
        </w:rPr>
        <w:t xml:space="preserve"> </w:t>
      </w:r>
      <w:r>
        <w:t>0.8MPa</w:t>
      </w:r>
      <w:r>
        <w:rPr>
          <w:spacing w:val="-12"/>
        </w:rPr>
        <w:t xml:space="preserve"> </w:t>
      </w:r>
      <w:r>
        <w:rPr>
          <w:spacing w:val="-12"/>
        </w:rPr>
        <w:t>水压下不得有脱离及渗漏现象。在</w:t>
      </w:r>
      <w:r>
        <w:rPr>
          <w:spacing w:val="-12"/>
        </w:rPr>
        <w:t xml:space="preserve"> </w:t>
      </w:r>
      <w:r>
        <w:t>1.2 MPa</w:t>
      </w:r>
      <w:r>
        <w:rPr>
          <w:spacing w:val="-9"/>
        </w:rPr>
        <w:t xml:space="preserve"> </w:t>
      </w:r>
      <w:r>
        <w:rPr>
          <w:spacing w:val="-9"/>
        </w:rPr>
        <w:t>水压下，各零件不得产</w:t>
      </w:r>
      <w:r>
        <w:rPr>
          <w:spacing w:val="-5"/>
        </w:rPr>
        <w:t>生影响正常使用的变形和损坏。</w:t>
      </w:r>
      <w:r>
        <w:t xml:space="preserve"> </w:t>
      </w:r>
    </w:p>
    <w:p w14:paraId="691D8ECD" w14:textId="77777777" w:rsidR="00A71EEF" w:rsidRDefault="0081115D">
      <w:pPr>
        <w:pStyle w:val="a4"/>
        <w:numPr>
          <w:ilvl w:val="2"/>
          <w:numId w:val="673"/>
        </w:numPr>
        <w:tabs>
          <w:tab w:val="left" w:pos="1371"/>
        </w:tabs>
        <w:spacing w:line="268" w:lineRule="exact"/>
        <w:rPr>
          <w:b/>
          <w:sz w:val="21"/>
        </w:rPr>
      </w:pPr>
      <w:r>
        <w:rPr>
          <w:spacing w:val="-3"/>
          <w:sz w:val="21"/>
        </w:rPr>
        <w:t>软管性能</w:t>
      </w:r>
      <w:r>
        <w:rPr>
          <w:b/>
          <w:w w:val="99"/>
          <w:sz w:val="21"/>
        </w:rPr>
        <w:t xml:space="preserve"> </w:t>
      </w:r>
    </w:p>
    <w:p w14:paraId="2DFC37C0" w14:textId="77777777" w:rsidR="00A71EEF" w:rsidRDefault="00A71EEF">
      <w:pPr>
        <w:pStyle w:val="a3"/>
        <w:spacing w:before="12"/>
        <w:rPr>
          <w:b/>
          <w:sz w:val="17"/>
        </w:rPr>
      </w:pPr>
    </w:p>
    <w:p w14:paraId="3FF37C18" w14:textId="77777777" w:rsidR="00A71EEF" w:rsidRDefault="0081115D">
      <w:pPr>
        <w:pStyle w:val="a3"/>
        <w:spacing w:line="446" w:lineRule="auto"/>
        <w:ind w:left="838" w:right="4019"/>
      </w:pPr>
      <w:r>
        <w:t>消防软管卷盘的软管应是符合</w:t>
      </w:r>
      <w:r>
        <w:t xml:space="preserve"> HG 2184 </w:t>
      </w:r>
      <w:r>
        <w:t>规定的合格产品。</w:t>
      </w:r>
      <w:r>
        <w:t xml:space="preserve">5.6.6.1 </w:t>
      </w:r>
      <w:r>
        <w:t>软管在</w:t>
      </w:r>
      <w:r>
        <w:t xml:space="preserve"> 0.8MPa </w:t>
      </w:r>
      <w:r>
        <w:t>压力下，外径的膨胀率应不大于</w:t>
      </w:r>
      <w:r>
        <w:t xml:space="preserve"> 4%</w:t>
      </w:r>
      <w:r>
        <w:t>。</w:t>
      </w:r>
      <w:r>
        <w:t xml:space="preserve"> </w:t>
      </w:r>
    </w:p>
    <w:p w14:paraId="7AEC7929" w14:textId="77777777" w:rsidR="00A71EEF" w:rsidRDefault="0081115D">
      <w:pPr>
        <w:pStyle w:val="a3"/>
        <w:spacing w:line="446" w:lineRule="auto"/>
        <w:ind w:left="418" w:right="1611" w:firstLine="419"/>
      </w:pPr>
      <w:r>
        <w:t>5.6.6.2</w:t>
      </w:r>
      <w:r>
        <w:rPr>
          <w:spacing w:val="-10"/>
        </w:rPr>
        <w:t xml:space="preserve"> </w:t>
      </w:r>
      <w:r>
        <w:rPr>
          <w:spacing w:val="-10"/>
        </w:rPr>
        <w:t>软管在</w:t>
      </w:r>
      <w:r>
        <w:rPr>
          <w:spacing w:val="-10"/>
        </w:rPr>
        <w:t xml:space="preserve"> </w:t>
      </w:r>
      <w:r>
        <w:t>1.2MPa</w:t>
      </w:r>
      <w:r>
        <w:rPr>
          <w:spacing w:val="-11"/>
        </w:rPr>
        <w:t xml:space="preserve"> </w:t>
      </w:r>
      <w:r>
        <w:rPr>
          <w:spacing w:val="-11"/>
        </w:rPr>
        <w:t>压力下，不得有渗漏现象；在</w:t>
      </w:r>
      <w:r>
        <w:rPr>
          <w:spacing w:val="-11"/>
        </w:rPr>
        <w:t xml:space="preserve"> </w:t>
      </w:r>
      <w:r>
        <w:t>2.4MPa</w:t>
      </w:r>
      <w:r>
        <w:rPr>
          <w:spacing w:val="-8"/>
        </w:rPr>
        <w:t xml:space="preserve"> </w:t>
      </w:r>
      <w:r>
        <w:rPr>
          <w:spacing w:val="-8"/>
        </w:rPr>
        <w:t>压力下，软管不应爆破，膨</w:t>
      </w:r>
      <w:r>
        <w:rPr>
          <w:spacing w:val="-5"/>
        </w:rPr>
        <w:t>胀应均匀、</w:t>
      </w:r>
      <w:r>
        <w:rPr>
          <w:spacing w:val="-5"/>
        </w:rPr>
        <w:t xml:space="preserve"> </w:t>
      </w:r>
      <w:r>
        <w:rPr>
          <w:spacing w:val="-5"/>
        </w:rPr>
        <w:t>无局部凸起现象。</w:t>
      </w:r>
      <w:r>
        <w:t xml:space="preserve"> </w:t>
      </w:r>
    </w:p>
    <w:p w14:paraId="5CF10EEE" w14:textId="77777777" w:rsidR="00A71EEF" w:rsidRDefault="0081115D">
      <w:pPr>
        <w:pStyle w:val="a4"/>
        <w:numPr>
          <w:ilvl w:val="2"/>
          <w:numId w:val="673"/>
        </w:numPr>
        <w:tabs>
          <w:tab w:val="left" w:pos="1371"/>
        </w:tabs>
        <w:spacing w:line="267" w:lineRule="exact"/>
        <w:rPr>
          <w:b/>
          <w:sz w:val="21"/>
        </w:rPr>
      </w:pPr>
      <w:r>
        <w:rPr>
          <w:spacing w:val="-3"/>
          <w:sz w:val="21"/>
        </w:rPr>
        <w:t>进水控制阀的水压强度性能</w:t>
      </w:r>
      <w:r>
        <w:rPr>
          <w:b/>
          <w:w w:val="99"/>
          <w:sz w:val="21"/>
        </w:rPr>
        <w:t xml:space="preserve"> </w:t>
      </w:r>
    </w:p>
    <w:p w14:paraId="26D6B62D" w14:textId="77777777" w:rsidR="00A71EEF" w:rsidRDefault="00A71EEF">
      <w:pPr>
        <w:pStyle w:val="a3"/>
        <w:spacing w:before="2"/>
        <w:rPr>
          <w:b/>
          <w:sz w:val="18"/>
        </w:rPr>
      </w:pPr>
    </w:p>
    <w:p w14:paraId="16179D8A" w14:textId="77777777" w:rsidR="00A71EEF" w:rsidRDefault="0081115D">
      <w:pPr>
        <w:pStyle w:val="a3"/>
        <w:spacing w:line="446" w:lineRule="auto"/>
        <w:ind w:left="418" w:right="1817" w:firstLine="419"/>
      </w:pPr>
      <w:r>
        <w:rPr>
          <w:spacing w:val="-6"/>
        </w:rPr>
        <w:t>消防水喉进水控制阀选用公称通径</w:t>
      </w:r>
      <w:r>
        <w:rPr>
          <w:spacing w:val="-6"/>
        </w:rPr>
        <w:t xml:space="preserve"> </w:t>
      </w:r>
      <w:r>
        <w:t>20mm</w:t>
      </w:r>
      <w:r>
        <w:rPr>
          <w:spacing w:val="-30"/>
        </w:rPr>
        <w:t xml:space="preserve"> </w:t>
      </w:r>
      <w:r>
        <w:rPr>
          <w:spacing w:val="-30"/>
        </w:rPr>
        <w:t>或</w:t>
      </w:r>
      <w:r>
        <w:rPr>
          <w:spacing w:val="-30"/>
        </w:rPr>
        <w:t xml:space="preserve"> </w:t>
      </w:r>
      <w:r>
        <w:t>25mm</w:t>
      </w:r>
      <w:r>
        <w:rPr>
          <w:spacing w:val="-8"/>
        </w:rPr>
        <w:t xml:space="preserve"> </w:t>
      </w:r>
      <w:r>
        <w:rPr>
          <w:spacing w:val="-8"/>
        </w:rPr>
        <w:t>的球阀和闸阀时，必须通过水压强度试</w:t>
      </w:r>
      <w:r>
        <w:rPr>
          <w:spacing w:val="-17"/>
        </w:rPr>
        <w:t>验。在</w:t>
      </w:r>
      <w:r>
        <w:rPr>
          <w:spacing w:val="-17"/>
        </w:rPr>
        <w:t xml:space="preserve"> </w:t>
      </w:r>
      <w:r>
        <w:t>2.4MPa</w:t>
      </w:r>
      <w:r>
        <w:rPr>
          <w:spacing w:val="-16"/>
        </w:rPr>
        <w:t xml:space="preserve"> </w:t>
      </w:r>
      <w:r>
        <w:rPr>
          <w:spacing w:val="-16"/>
        </w:rPr>
        <w:t>水压下，保压</w:t>
      </w:r>
      <w:r>
        <w:rPr>
          <w:spacing w:val="-16"/>
        </w:rPr>
        <w:t xml:space="preserve"> </w:t>
      </w:r>
      <w:r>
        <w:t>2min</w:t>
      </w:r>
      <w:r>
        <w:rPr>
          <w:spacing w:val="-3"/>
        </w:rPr>
        <w:t>，阀体不得有破裂和渗漏现象。</w:t>
      </w:r>
      <w:r>
        <w:t xml:space="preserve"> </w:t>
      </w:r>
    </w:p>
    <w:p w14:paraId="23036BA9" w14:textId="77777777" w:rsidR="00A71EEF" w:rsidRDefault="00A71EEF">
      <w:pPr>
        <w:spacing w:line="446" w:lineRule="auto"/>
        <w:sectPr w:rsidR="00A71EEF">
          <w:pgSz w:w="11910" w:h="16850"/>
          <w:pgMar w:top="1220" w:right="0" w:bottom="1420" w:left="1260" w:header="0" w:footer="1239" w:gutter="0"/>
          <w:cols w:space="720"/>
        </w:sectPr>
      </w:pPr>
    </w:p>
    <w:p w14:paraId="5545F288" w14:textId="77777777" w:rsidR="00A71EEF" w:rsidRDefault="0081115D">
      <w:pPr>
        <w:pStyle w:val="a4"/>
        <w:numPr>
          <w:ilvl w:val="1"/>
          <w:numId w:val="673"/>
        </w:numPr>
        <w:tabs>
          <w:tab w:val="left" w:pos="1159"/>
        </w:tabs>
        <w:spacing w:before="47"/>
        <w:ind w:hanging="319"/>
        <w:rPr>
          <w:sz w:val="21"/>
        </w:rPr>
      </w:pPr>
      <w:r>
        <w:rPr>
          <w:spacing w:val="-3"/>
          <w:sz w:val="21"/>
        </w:rPr>
        <w:t>电器设备</w:t>
      </w:r>
      <w:r>
        <w:rPr>
          <w:sz w:val="21"/>
        </w:rPr>
        <w:t xml:space="preserve"> </w:t>
      </w:r>
    </w:p>
    <w:p w14:paraId="777637D3" w14:textId="77777777" w:rsidR="00A71EEF" w:rsidRDefault="00A71EEF">
      <w:pPr>
        <w:pStyle w:val="a3"/>
        <w:rPr>
          <w:sz w:val="18"/>
        </w:rPr>
      </w:pPr>
    </w:p>
    <w:p w14:paraId="0D48937D" w14:textId="77777777" w:rsidR="00A71EEF" w:rsidRDefault="0081115D">
      <w:pPr>
        <w:pStyle w:val="a4"/>
        <w:numPr>
          <w:ilvl w:val="2"/>
          <w:numId w:val="673"/>
        </w:numPr>
        <w:tabs>
          <w:tab w:val="left" w:pos="1371"/>
        </w:tabs>
        <w:spacing w:line="446" w:lineRule="auto"/>
        <w:ind w:left="418" w:right="1604" w:firstLine="422"/>
        <w:rPr>
          <w:sz w:val="21"/>
        </w:rPr>
      </w:pPr>
      <w:r>
        <w:rPr>
          <w:spacing w:val="-3"/>
          <w:sz w:val="21"/>
        </w:rPr>
        <w:t>控制按钮应有防止误动作措施，且至少应有一对常开和一对常闭触点，触点间的接</w:t>
      </w:r>
      <w:r>
        <w:rPr>
          <w:spacing w:val="-6"/>
          <w:sz w:val="21"/>
        </w:rPr>
        <w:t>触电阻在正常的大气条件下不得大于</w:t>
      </w:r>
      <w:r>
        <w:rPr>
          <w:spacing w:val="-6"/>
          <w:sz w:val="21"/>
        </w:rPr>
        <w:t xml:space="preserve"> </w:t>
      </w:r>
      <w:r>
        <w:rPr>
          <w:sz w:val="21"/>
        </w:rPr>
        <w:t>0.1Ω</w:t>
      </w:r>
      <w:r>
        <w:rPr>
          <w:spacing w:val="-3"/>
          <w:sz w:val="21"/>
        </w:rPr>
        <w:t>。</w:t>
      </w:r>
      <w:r>
        <w:rPr>
          <w:sz w:val="21"/>
        </w:rPr>
        <w:t xml:space="preserve"> </w:t>
      </w:r>
    </w:p>
    <w:p w14:paraId="344EE360" w14:textId="77777777" w:rsidR="00A71EEF" w:rsidRDefault="0081115D">
      <w:pPr>
        <w:pStyle w:val="a4"/>
        <w:numPr>
          <w:ilvl w:val="2"/>
          <w:numId w:val="673"/>
        </w:numPr>
        <w:tabs>
          <w:tab w:val="left" w:pos="1370"/>
        </w:tabs>
        <w:ind w:left="1369" w:hanging="530"/>
        <w:rPr>
          <w:sz w:val="21"/>
        </w:rPr>
      </w:pPr>
      <w:r>
        <w:rPr>
          <w:spacing w:val="-5"/>
          <w:sz w:val="21"/>
        </w:rPr>
        <w:t>指示灯应具有防水、防尘能力，其指示灯光为红色，在光照度</w:t>
      </w:r>
      <w:r>
        <w:rPr>
          <w:spacing w:val="-5"/>
          <w:sz w:val="21"/>
        </w:rPr>
        <w:t xml:space="preserve"> </w:t>
      </w:r>
      <w:r>
        <w:rPr>
          <w:sz w:val="21"/>
        </w:rPr>
        <w:t>1000lx</w:t>
      </w:r>
      <w:r>
        <w:rPr>
          <w:spacing w:val="-17"/>
          <w:sz w:val="21"/>
        </w:rPr>
        <w:t xml:space="preserve"> </w:t>
      </w:r>
      <w:r>
        <w:rPr>
          <w:spacing w:val="-17"/>
          <w:sz w:val="21"/>
        </w:rPr>
        <w:t>环境下，距</w:t>
      </w:r>
      <w:r>
        <w:rPr>
          <w:spacing w:val="-17"/>
          <w:sz w:val="21"/>
        </w:rPr>
        <w:t xml:space="preserve"> </w:t>
      </w:r>
      <w:r>
        <w:rPr>
          <w:sz w:val="21"/>
        </w:rPr>
        <w:t>3m</w:t>
      </w:r>
    </w:p>
    <w:p w14:paraId="51759FDB" w14:textId="77777777" w:rsidR="00A71EEF" w:rsidRDefault="00A71EEF">
      <w:pPr>
        <w:pStyle w:val="a3"/>
        <w:spacing w:before="12"/>
        <w:rPr>
          <w:sz w:val="17"/>
        </w:rPr>
      </w:pPr>
    </w:p>
    <w:p w14:paraId="2882876D" w14:textId="77777777" w:rsidR="00A71EEF" w:rsidRDefault="0081115D">
      <w:pPr>
        <w:pStyle w:val="a3"/>
        <w:ind w:left="418"/>
      </w:pPr>
      <w:r>
        <w:t>远处应清晰可见。</w:t>
      </w:r>
      <w:r>
        <w:t xml:space="preserve"> </w:t>
      </w:r>
    </w:p>
    <w:p w14:paraId="32922588" w14:textId="77777777" w:rsidR="00A71EEF" w:rsidRDefault="00A71EEF">
      <w:pPr>
        <w:pStyle w:val="a3"/>
        <w:rPr>
          <w:sz w:val="18"/>
        </w:rPr>
      </w:pPr>
    </w:p>
    <w:p w14:paraId="2BB6B071" w14:textId="77777777" w:rsidR="00A71EEF" w:rsidRDefault="0081115D">
      <w:pPr>
        <w:pStyle w:val="a4"/>
        <w:numPr>
          <w:ilvl w:val="2"/>
          <w:numId w:val="673"/>
        </w:numPr>
        <w:tabs>
          <w:tab w:val="left" w:pos="1370"/>
        </w:tabs>
        <w:spacing w:line="446" w:lineRule="auto"/>
        <w:ind w:left="418" w:right="1500" w:firstLine="422"/>
        <w:rPr>
          <w:sz w:val="21"/>
        </w:rPr>
      </w:pPr>
      <w:r>
        <w:rPr>
          <w:spacing w:val="-5"/>
          <w:sz w:val="21"/>
        </w:rPr>
        <w:t>配置音响警报器件的栓箱，其警报音响在额定工作电压下，距离</w:t>
      </w:r>
      <w:r>
        <w:rPr>
          <w:spacing w:val="-5"/>
          <w:sz w:val="21"/>
        </w:rPr>
        <w:t xml:space="preserve"> </w:t>
      </w:r>
      <w:r>
        <w:rPr>
          <w:sz w:val="21"/>
        </w:rPr>
        <w:t>1m</w:t>
      </w:r>
      <w:r>
        <w:rPr>
          <w:spacing w:val="-8"/>
          <w:sz w:val="21"/>
        </w:rPr>
        <w:t xml:space="preserve"> </w:t>
      </w:r>
      <w:r>
        <w:rPr>
          <w:spacing w:val="-8"/>
          <w:sz w:val="21"/>
        </w:rPr>
        <w:t>远处的声压级应</w:t>
      </w:r>
      <w:r>
        <w:rPr>
          <w:spacing w:val="-17"/>
          <w:sz w:val="21"/>
        </w:rPr>
        <w:t>不低于</w:t>
      </w:r>
      <w:r>
        <w:rPr>
          <w:spacing w:val="-17"/>
          <w:sz w:val="21"/>
        </w:rPr>
        <w:t xml:space="preserve"> </w:t>
      </w:r>
      <w:r>
        <w:rPr>
          <w:sz w:val="21"/>
        </w:rPr>
        <w:t>65dB(A</w:t>
      </w:r>
      <w:r>
        <w:rPr>
          <w:spacing w:val="-14"/>
          <w:sz w:val="21"/>
        </w:rPr>
        <w:t>)</w:t>
      </w:r>
      <w:r>
        <w:rPr>
          <w:spacing w:val="-14"/>
          <w:sz w:val="21"/>
        </w:rPr>
        <w:t>。在</w:t>
      </w:r>
      <w:r>
        <w:rPr>
          <w:spacing w:val="-14"/>
          <w:sz w:val="21"/>
        </w:rPr>
        <w:t xml:space="preserve"> </w:t>
      </w:r>
      <w:r>
        <w:rPr>
          <w:sz w:val="21"/>
        </w:rPr>
        <w:t>85</w:t>
      </w:r>
      <w:r>
        <w:rPr>
          <w:spacing w:val="-3"/>
          <w:sz w:val="21"/>
        </w:rPr>
        <w:t>%</w:t>
      </w:r>
      <w:r>
        <w:rPr>
          <w:spacing w:val="-3"/>
          <w:sz w:val="21"/>
        </w:rPr>
        <w:t>额定工作电压条件下能发出音响。</w:t>
      </w:r>
      <w:r>
        <w:rPr>
          <w:sz w:val="21"/>
        </w:rPr>
        <w:t xml:space="preserve"> </w:t>
      </w:r>
    </w:p>
    <w:p w14:paraId="1A9BB752" w14:textId="77777777" w:rsidR="00A71EEF" w:rsidRDefault="0081115D">
      <w:pPr>
        <w:pStyle w:val="a4"/>
        <w:numPr>
          <w:ilvl w:val="2"/>
          <w:numId w:val="673"/>
        </w:numPr>
        <w:tabs>
          <w:tab w:val="left" w:pos="1371"/>
        </w:tabs>
        <w:rPr>
          <w:sz w:val="21"/>
        </w:rPr>
      </w:pPr>
      <w:r>
        <w:rPr>
          <w:spacing w:val="-6"/>
          <w:sz w:val="21"/>
        </w:rPr>
        <w:t>栓箱内各电器设备的额定工作电压应为</w:t>
      </w:r>
      <w:r>
        <w:rPr>
          <w:spacing w:val="-6"/>
          <w:sz w:val="21"/>
        </w:rPr>
        <w:t xml:space="preserve"> </w:t>
      </w:r>
      <w:r>
        <w:rPr>
          <w:sz w:val="21"/>
        </w:rPr>
        <w:t>220</w:t>
      </w:r>
      <w:r>
        <w:rPr>
          <w:spacing w:val="-2"/>
          <w:sz w:val="21"/>
        </w:rPr>
        <w:t xml:space="preserve"> </w:t>
      </w:r>
      <w:r>
        <w:rPr>
          <w:sz w:val="21"/>
        </w:rPr>
        <w:t>Va.</w:t>
      </w:r>
      <w:r>
        <w:rPr>
          <w:spacing w:val="1"/>
          <w:sz w:val="21"/>
        </w:rPr>
        <w:t xml:space="preserve"> </w:t>
      </w:r>
      <w:r>
        <w:rPr>
          <w:sz w:val="21"/>
        </w:rPr>
        <w:t>c</w:t>
      </w:r>
      <w:r>
        <w:rPr>
          <w:spacing w:val="-18"/>
          <w:sz w:val="21"/>
        </w:rPr>
        <w:t>.</w:t>
      </w:r>
      <w:r>
        <w:rPr>
          <w:spacing w:val="-18"/>
          <w:sz w:val="21"/>
        </w:rPr>
        <w:t>或</w:t>
      </w:r>
      <w:r>
        <w:rPr>
          <w:spacing w:val="-18"/>
          <w:sz w:val="21"/>
        </w:rPr>
        <w:t xml:space="preserve"> </w:t>
      </w:r>
      <w:r>
        <w:rPr>
          <w:sz w:val="21"/>
        </w:rPr>
        <w:t>24</w:t>
      </w:r>
      <w:r>
        <w:rPr>
          <w:spacing w:val="1"/>
          <w:sz w:val="21"/>
        </w:rPr>
        <w:t xml:space="preserve"> </w:t>
      </w:r>
      <w:r>
        <w:rPr>
          <w:sz w:val="21"/>
        </w:rPr>
        <w:t>Vd.c</w:t>
      </w:r>
      <w:r>
        <w:rPr>
          <w:spacing w:val="-3"/>
          <w:sz w:val="21"/>
        </w:rPr>
        <w:t>。</w:t>
      </w:r>
      <w:r>
        <w:rPr>
          <w:sz w:val="21"/>
        </w:rPr>
        <w:t xml:space="preserve"> </w:t>
      </w:r>
    </w:p>
    <w:p w14:paraId="62D47737" w14:textId="77777777" w:rsidR="00A71EEF" w:rsidRDefault="00A71EEF">
      <w:pPr>
        <w:pStyle w:val="a3"/>
        <w:rPr>
          <w:sz w:val="18"/>
        </w:rPr>
      </w:pPr>
    </w:p>
    <w:p w14:paraId="0BEE5C30" w14:textId="77777777" w:rsidR="00A71EEF" w:rsidRDefault="0081115D">
      <w:pPr>
        <w:pStyle w:val="a4"/>
        <w:numPr>
          <w:ilvl w:val="2"/>
          <w:numId w:val="673"/>
        </w:numPr>
        <w:tabs>
          <w:tab w:val="left" w:pos="1370"/>
        </w:tabs>
        <w:spacing w:line="446" w:lineRule="auto"/>
        <w:ind w:left="418" w:right="1604" w:firstLine="422"/>
        <w:rPr>
          <w:sz w:val="21"/>
        </w:rPr>
      </w:pPr>
      <w:r>
        <w:rPr>
          <w:spacing w:val="-3"/>
          <w:sz w:val="21"/>
        </w:rPr>
        <w:t>栓箱内各电器设备的接线端子均不得裸露，各接线端子与箱体之间的绝缘电阻，在</w:t>
      </w:r>
      <w:r>
        <w:rPr>
          <w:spacing w:val="-8"/>
          <w:sz w:val="21"/>
        </w:rPr>
        <w:t>正常大气条件下不得小于</w:t>
      </w:r>
      <w:r>
        <w:rPr>
          <w:spacing w:val="-8"/>
          <w:sz w:val="21"/>
        </w:rPr>
        <w:t xml:space="preserve"> </w:t>
      </w:r>
      <w:r>
        <w:rPr>
          <w:sz w:val="21"/>
        </w:rPr>
        <w:t>50MΩ</w:t>
      </w:r>
      <w:r>
        <w:rPr>
          <w:spacing w:val="-3"/>
          <w:sz w:val="21"/>
        </w:rPr>
        <w:t>。</w:t>
      </w:r>
      <w:r>
        <w:rPr>
          <w:sz w:val="21"/>
        </w:rPr>
        <w:t xml:space="preserve"> </w:t>
      </w:r>
    </w:p>
    <w:p w14:paraId="525363CB" w14:textId="77777777" w:rsidR="00A71EEF" w:rsidRDefault="0081115D">
      <w:pPr>
        <w:pStyle w:val="a4"/>
        <w:numPr>
          <w:ilvl w:val="2"/>
          <w:numId w:val="673"/>
        </w:numPr>
        <w:tabs>
          <w:tab w:val="left" w:pos="1370"/>
        </w:tabs>
        <w:ind w:left="1369" w:hanging="530"/>
        <w:rPr>
          <w:sz w:val="21"/>
        </w:rPr>
      </w:pPr>
      <w:r>
        <w:rPr>
          <w:spacing w:val="-6"/>
          <w:sz w:val="21"/>
        </w:rPr>
        <w:t>栓箱内各电器设备的外壳防护等级应为</w:t>
      </w:r>
      <w:r>
        <w:rPr>
          <w:spacing w:val="-6"/>
          <w:sz w:val="21"/>
        </w:rPr>
        <w:t xml:space="preserve"> </w:t>
      </w:r>
      <w:r>
        <w:rPr>
          <w:sz w:val="21"/>
        </w:rPr>
        <w:t>IPX5</w:t>
      </w:r>
      <w:r>
        <w:rPr>
          <w:sz w:val="21"/>
        </w:rPr>
        <w:t>。</w:t>
      </w:r>
      <w:r>
        <w:rPr>
          <w:sz w:val="21"/>
        </w:rPr>
        <w:t xml:space="preserve"> </w:t>
      </w:r>
    </w:p>
    <w:p w14:paraId="64285216" w14:textId="77777777" w:rsidR="00A71EEF" w:rsidRDefault="00A71EEF">
      <w:pPr>
        <w:pStyle w:val="a3"/>
        <w:spacing w:before="12"/>
        <w:rPr>
          <w:sz w:val="17"/>
        </w:rPr>
      </w:pPr>
    </w:p>
    <w:p w14:paraId="79E2130B" w14:textId="77777777" w:rsidR="00A71EEF" w:rsidRDefault="0081115D">
      <w:pPr>
        <w:pStyle w:val="a4"/>
        <w:numPr>
          <w:ilvl w:val="1"/>
          <w:numId w:val="673"/>
        </w:numPr>
        <w:tabs>
          <w:tab w:val="left" w:pos="1159"/>
        </w:tabs>
        <w:ind w:hanging="319"/>
        <w:rPr>
          <w:b/>
          <w:sz w:val="21"/>
        </w:rPr>
      </w:pPr>
      <w:r>
        <w:rPr>
          <w:spacing w:val="-3"/>
          <w:sz w:val="21"/>
        </w:rPr>
        <w:t>连接性能</w:t>
      </w:r>
      <w:r>
        <w:rPr>
          <w:b/>
          <w:w w:val="99"/>
          <w:sz w:val="21"/>
        </w:rPr>
        <w:t xml:space="preserve"> </w:t>
      </w:r>
    </w:p>
    <w:p w14:paraId="71019344" w14:textId="77777777" w:rsidR="00A71EEF" w:rsidRDefault="00A71EEF">
      <w:pPr>
        <w:pStyle w:val="a3"/>
        <w:spacing w:before="2"/>
        <w:rPr>
          <w:b/>
          <w:sz w:val="18"/>
        </w:rPr>
      </w:pPr>
    </w:p>
    <w:p w14:paraId="647B84B9" w14:textId="77777777" w:rsidR="00A71EEF" w:rsidRDefault="0081115D">
      <w:pPr>
        <w:pStyle w:val="a4"/>
        <w:numPr>
          <w:ilvl w:val="2"/>
          <w:numId w:val="673"/>
        </w:numPr>
        <w:tabs>
          <w:tab w:val="left" w:pos="1371"/>
        </w:tabs>
        <w:rPr>
          <w:sz w:val="21"/>
        </w:rPr>
      </w:pPr>
      <w:r>
        <w:rPr>
          <w:spacing w:val="-6"/>
          <w:sz w:val="21"/>
        </w:rPr>
        <w:t>消防水带与接口的连接应牢固可靠，在</w:t>
      </w:r>
      <w:r>
        <w:rPr>
          <w:spacing w:val="-6"/>
          <w:sz w:val="21"/>
        </w:rPr>
        <w:t xml:space="preserve"> </w:t>
      </w:r>
      <w:r>
        <w:rPr>
          <w:sz w:val="21"/>
        </w:rPr>
        <w:t>0.8MPa</w:t>
      </w:r>
      <w:r>
        <w:rPr>
          <w:spacing w:val="-9"/>
          <w:sz w:val="21"/>
        </w:rPr>
        <w:t xml:space="preserve"> </w:t>
      </w:r>
      <w:r>
        <w:rPr>
          <w:spacing w:val="-9"/>
          <w:sz w:val="21"/>
        </w:rPr>
        <w:t>水压下不得有脱离及泄漏现象。</w:t>
      </w:r>
      <w:r>
        <w:rPr>
          <w:sz w:val="21"/>
        </w:rPr>
        <w:t xml:space="preserve"> </w:t>
      </w:r>
    </w:p>
    <w:p w14:paraId="719F9222" w14:textId="77777777" w:rsidR="00A71EEF" w:rsidRDefault="00A71EEF">
      <w:pPr>
        <w:pStyle w:val="a3"/>
        <w:rPr>
          <w:sz w:val="18"/>
        </w:rPr>
      </w:pPr>
    </w:p>
    <w:p w14:paraId="11B615E5" w14:textId="77777777" w:rsidR="00A71EEF" w:rsidRDefault="0081115D">
      <w:pPr>
        <w:pStyle w:val="a4"/>
        <w:numPr>
          <w:ilvl w:val="2"/>
          <w:numId w:val="673"/>
        </w:numPr>
        <w:tabs>
          <w:tab w:val="left" w:pos="1370"/>
        </w:tabs>
        <w:ind w:left="1369" w:hanging="530"/>
        <w:rPr>
          <w:sz w:val="21"/>
        </w:rPr>
      </w:pPr>
      <w:r>
        <w:rPr>
          <w:spacing w:val="-5"/>
          <w:sz w:val="21"/>
        </w:rPr>
        <w:t>室内消火栓与消防水带之间、消防水带与消防水枪之间通过接口连接后，在</w:t>
      </w:r>
      <w:r>
        <w:rPr>
          <w:spacing w:val="-5"/>
          <w:sz w:val="21"/>
        </w:rPr>
        <w:t xml:space="preserve"> </w:t>
      </w:r>
      <w:r>
        <w:rPr>
          <w:sz w:val="21"/>
        </w:rPr>
        <w:t>0.8MPa</w:t>
      </w:r>
    </w:p>
    <w:p w14:paraId="1172A944" w14:textId="77777777" w:rsidR="00A71EEF" w:rsidRDefault="00A71EEF">
      <w:pPr>
        <w:pStyle w:val="a3"/>
        <w:spacing w:before="12"/>
        <w:rPr>
          <w:sz w:val="17"/>
        </w:rPr>
      </w:pPr>
    </w:p>
    <w:p w14:paraId="76D45C95" w14:textId="77777777" w:rsidR="00A71EEF" w:rsidRDefault="0081115D">
      <w:pPr>
        <w:pStyle w:val="a3"/>
        <w:spacing w:line="446" w:lineRule="auto"/>
        <w:ind w:left="840" w:right="6337" w:hanging="423"/>
        <w:rPr>
          <w:b/>
        </w:rPr>
      </w:pPr>
      <w:r>
        <w:t>水压下，其各连接部位不得有泄漏现象。</w:t>
      </w:r>
      <w:r>
        <w:rPr>
          <w:b/>
        </w:rPr>
        <w:t xml:space="preserve">5.9 </w:t>
      </w:r>
      <w:r>
        <w:t>喷射性能</w:t>
      </w:r>
      <w:r>
        <w:rPr>
          <w:b/>
          <w:w w:val="99"/>
        </w:rPr>
        <w:t xml:space="preserve"> </w:t>
      </w:r>
    </w:p>
    <w:p w14:paraId="4BF0B9E3" w14:textId="77777777" w:rsidR="00A71EEF" w:rsidRDefault="0081115D">
      <w:pPr>
        <w:pStyle w:val="a3"/>
        <w:ind w:left="838"/>
      </w:pPr>
      <w:r>
        <w:t>室内消火栓、消防水带、消防水枪连接后，在</w:t>
      </w:r>
      <w:r>
        <w:t xml:space="preserve"> 0.35MPa </w:t>
      </w:r>
      <w:r>
        <w:t>水压下，其流量不应小于</w:t>
      </w:r>
    </w:p>
    <w:p w14:paraId="6D1819BF" w14:textId="77777777" w:rsidR="00A71EEF" w:rsidRDefault="00A71EEF">
      <w:pPr>
        <w:pStyle w:val="a3"/>
        <w:spacing w:before="12"/>
        <w:rPr>
          <w:sz w:val="17"/>
        </w:rPr>
      </w:pPr>
    </w:p>
    <w:p w14:paraId="50A09DE3" w14:textId="77777777" w:rsidR="00A71EEF" w:rsidRDefault="0081115D">
      <w:pPr>
        <w:pStyle w:val="a3"/>
        <w:spacing w:before="1"/>
        <w:ind w:left="418"/>
      </w:pPr>
      <w:r>
        <w:t>300L/min</w:t>
      </w:r>
      <w:r>
        <w:t>，水枪的充实水柱不应小于</w:t>
      </w:r>
      <w:r>
        <w:t xml:space="preserve"> 13m</w:t>
      </w:r>
      <w:r>
        <w:t>。</w:t>
      </w:r>
      <w:r>
        <w:t xml:space="preserve"> </w:t>
      </w:r>
    </w:p>
    <w:p w14:paraId="3CD5DDB7" w14:textId="77777777" w:rsidR="00A71EEF" w:rsidRDefault="00A71EEF">
      <w:pPr>
        <w:pStyle w:val="a3"/>
        <w:spacing w:before="1"/>
        <w:rPr>
          <w:sz w:val="18"/>
        </w:rPr>
      </w:pPr>
    </w:p>
    <w:p w14:paraId="73A77D8F" w14:textId="77777777" w:rsidR="00A71EEF" w:rsidRDefault="0081115D">
      <w:pPr>
        <w:pStyle w:val="a4"/>
        <w:numPr>
          <w:ilvl w:val="1"/>
          <w:numId w:val="672"/>
        </w:numPr>
        <w:tabs>
          <w:tab w:val="left" w:pos="1266"/>
        </w:tabs>
        <w:ind w:hanging="426"/>
        <w:jc w:val="left"/>
        <w:rPr>
          <w:sz w:val="19"/>
        </w:rPr>
      </w:pPr>
      <w:r>
        <w:rPr>
          <w:spacing w:val="-3"/>
          <w:sz w:val="21"/>
        </w:rPr>
        <w:t>外观</w:t>
      </w:r>
      <w:r>
        <w:rPr>
          <w:sz w:val="21"/>
        </w:rPr>
        <w:t xml:space="preserve"> </w:t>
      </w:r>
    </w:p>
    <w:p w14:paraId="7B88CD1C" w14:textId="77777777" w:rsidR="00A71EEF" w:rsidRDefault="00A71EEF">
      <w:pPr>
        <w:pStyle w:val="a3"/>
        <w:rPr>
          <w:sz w:val="18"/>
        </w:rPr>
      </w:pPr>
    </w:p>
    <w:p w14:paraId="4A31963E" w14:textId="77777777" w:rsidR="00A71EEF" w:rsidRDefault="0081115D">
      <w:pPr>
        <w:pStyle w:val="a4"/>
        <w:numPr>
          <w:ilvl w:val="2"/>
          <w:numId w:val="672"/>
        </w:numPr>
        <w:tabs>
          <w:tab w:val="left" w:pos="1478"/>
        </w:tabs>
        <w:spacing w:before="1"/>
        <w:ind w:hanging="638"/>
        <w:rPr>
          <w:b/>
          <w:sz w:val="21"/>
        </w:rPr>
      </w:pPr>
      <w:r>
        <w:rPr>
          <w:spacing w:val="-3"/>
          <w:sz w:val="21"/>
        </w:rPr>
        <w:t>外观质量</w:t>
      </w:r>
      <w:r>
        <w:rPr>
          <w:b/>
          <w:w w:val="99"/>
          <w:sz w:val="21"/>
        </w:rPr>
        <w:t xml:space="preserve"> </w:t>
      </w:r>
    </w:p>
    <w:p w14:paraId="6B5DB817" w14:textId="77777777" w:rsidR="00A71EEF" w:rsidRDefault="00A71EEF">
      <w:pPr>
        <w:pStyle w:val="a3"/>
        <w:spacing w:before="12"/>
        <w:rPr>
          <w:b/>
          <w:sz w:val="17"/>
        </w:rPr>
      </w:pPr>
    </w:p>
    <w:p w14:paraId="056C35F5" w14:textId="77777777" w:rsidR="00A71EEF" w:rsidRDefault="0081115D">
      <w:pPr>
        <w:pStyle w:val="a4"/>
        <w:numPr>
          <w:ilvl w:val="3"/>
          <w:numId w:val="672"/>
        </w:numPr>
        <w:tabs>
          <w:tab w:val="left" w:pos="1682"/>
        </w:tabs>
        <w:spacing w:line="446" w:lineRule="auto"/>
        <w:ind w:right="1714" w:firstLine="419"/>
        <w:rPr>
          <w:sz w:val="21"/>
        </w:rPr>
      </w:pPr>
      <w:r>
        <w:rPr>
          <w:spacing w:val="-3"/>
          <w:sz w:val="21"/>
        </w:rPr>
        <w:t>栓箱内配置的消防器材按规定装配完毕后，箱体应端正，不得有歪斜翘曲等现象。各表面应无凹凸不平等加工缺陷及磕碰痕迹。</w:t>
      </w:r>
      <w:r>
        <w:rPr>
          <w:sz w:val="21"/>
        </w:rPr>
        <w:t xml:space="preserve"> </w:t>
      </w:r>
    </w:p>
    <w:p w14:paraId="235EA530" w14:textId="77777777" w:rsidR="00A71EEF" w:rsidRDefault="0081115D">
      <w:pPr>
        <w:pStyle w:val="a4"/>
        <w:numPr>
          <w:ilvl w:val="3"/>
          <w:numId w:val="672"/>
        </w:numPr>
        <w:tabs>
          <w:tab w:val="left" w:pos="1682"/>
        </w:tabs>
        <w:spacing w:line="446" w:lineRule="auto"/>
        <w:ind w:right="1505" w:firstLine="419"/>
        <w:rPr>
          <w:sz w:val="21"/>
        </w:rPr>
      </w:pPr>
      <w:r>
        <w:rPr>
          <w:spacing w:val="-3"/>
          <w:sz w:val="21"/>
        </w:rPr>
        <w:t>箱体内外表面应作防腐处理。进行涂漆防腐处理的箱体，其涂层应均匀一致、平整光亮。明装式栓箱的箱体外表及其他形式栓箱的外露部位涂层应色泽美观，不得有流痕、气泡、剥落等缺陷。</w:t>
      </w:r>
      <w:r>
        <w:rPr>
          <w:sz w:val="21"/>
        </w:rPr>
        <w:t xml:space="preserve"> </w:t>
      </w:r>
    </w:p>
    <w:p w14:paraId="00F3EA39" w14:textId="77777777" w:rsidR="00A71EEF" w:rsidRDefault="0081115D">
      <w:pPr>
        <w:pStyle w:val="a4"/>
        <w:numPr>
          <w:ilvl w:val="3"/>
          <w:numId w:val="672"/>
        </w:numPr>
        <w:tabs>
          <w:tab w:val="left" w:pos="1682"/>
        </w:tabs>
        <w:spacing w:line="446" w:lineRule="auto"/>
        <w:ind w:left="838" w:right="2662" w:firstLine="0"/>
        <w:rPr>
          <w:b/>
          <w:sz w:val="21"/>
        </w:rPr>
      </w:pPr>
      <w:r>
        <w:rPr>
          <w:spacing w:val="-3"/>
          <w:sz w:val="21"/>
        </w:rPr>
        <w:t>焊缝或焊点应平整均匀、焊接牢固，应无烧穿、疤瘤等焊接缺陷。</w:t>
      </w:r>
      <w:r>
        <w:rPr>
          <w:spacing w:val="-3"/>
          <w:sz w:val="21"/>
        </w:rPr>
        <w:t xml:space="preserve"> </w:t>
      </w:r>
      <w:r>
        <w:rPr>
          <w:spacing w:val="-3"/>
          <w:sz w:val="21"/>
        </w:rPr>
        <w:t>铆接应严实美观。铆钉排列应整齐，铆接后铆钉连接应紧固无歪斜。</w:t>
      </w:r>
      <w:r>
        <w:rPr>
          <w:spacing w:val="-3"/>
          <w:sz w:val="21"/>
        </w:rPr>
        <w:t xml:space="preserve">   </w:t>
      </w:r>
      <w:r>
        <w:rPr>
          <w:b/>
          <w:sz w:val="21"/>
        </w:rPr>
        <w:t>5.10.2</w:t>
      </w:r>
      <w:r>
        <w:rPr>
          <w:b/>
          <w:spacing w:val="-1"/>
          <w:sz w:val="21"/>
        </w:rPr>
        <w:t xml:space="preserve"> </w:t>
      </w:r>
      <w:r>
        <w:rPr>
          <w:spacing w:val="-3"/>
          <w:sz w:val="21"/>
        </w:rPr>
        <w:t>外形尺寸</w:t>
      </w:r>
      <w:r>
        <w:rPr>
          <w:b/>
          <w:w w:val="99"/>
          <w:sz w:val="21"/>
        </w:rPr>
        <w:t xml:space="preserve"> </w:t>
      </w:r>
    </w:p>
    <w:p w14:paraId="286D40A2" w14:textId="77777777" w:rsidR="00A71EEF" w:rsidRDefault="00A71EEF">
      <w:pPr>
        <w:spacing w:line="446" w:lineRule="auto"/>
        <w:rPr>
          <w:sz w:val="21"/>
        </w:rPr>
        <w:sectPr w:rsidR="00A71EEF">
          <w:pgSz w:w="11910" w:h="16850"/>
          <w:pgMar w:top="1220" w:right="0" w:bottom="1420" w:left="1260" w:header="0" w:footer="1239" w:gutter="0"/>
          <w:cols w:space="720"/>
        </w:sectPr>
      </w:pPr>
    </w:p>
    <w:p w14:paraId="02555BFA" w14:textId="77777777" w:rsidR="00A71EEF" w:rsidRDefault="0081115D">
      <w:pPr>
        <w:pStyle w:val="a4"/>
        <w:numPr>
          <w:ilvl w:val="3"/>
          <w:numId w:val="671"/>
        </w:numPr>
        <w:tabs>
          <w:tab w:val="left" w:pos="1682"/>
        </w:tabs>
        <w:spacing w:before="47"/>
        <w:rPr>
          <w:sz w:val="21"/>
        </w:rPr>
      </w:pPr>
      <w:r>
        <w:rPr>
          <w:spacing w:val="-6"/>
          <w:sz w:val="21"/>
        </w:rPr>
        <w:t>箱体的长边、短边及厚度尺寸应符合表</w:t>
      </w:r>
      <w:r>
        <w:rPr>
          <w:spacing w:val="-6"/>
          <w:sz w:val="21"/>
        </w:rPr>
        <w:t xml:space="preserve"> </w:t>
      </w:r>
      <w:r>
        <w:rPr>
          <w:sz w:val="21"/>
        </w:rPr>
        <w:t>1</w:t>
      </w:r>
      <w:r>
        <w:rPr>
          <w:spacing w:val="-15"/>
          <w:sz w:val="21"/>
        </w:rPr>
        <w:t xml:space="preserve"> </w:t>
      </w:r>
      <w:r>
        <w:rPr>
          <w:spacing w:val="-15"/>
          <w:sz w:val="21"/>
        </w:rPr>
        <w:t>要求。</w:t>
      </w:r>
      <w:r>
        <w:rPr>
          <w:sz w:val="21"/>
        </w:rPr>
        <w:t xml:space="preserve"> </w:t>
      </w:r>
    </w:p>
    <w:p w14:paraId="1FB62BA0" w14:textId="77777777" w:rsidR="00A71EEF" w:rsidRDefault="00A71EEF">
      <w:pPr>
        <w:pStyle w:val="a3"/>
        <w:rPr>
          <w:sz w:val="18"/>
        </w:rPr>
      </w:pPr>
    </w:p>
    <w:p w14:paraId="2AB451E3" w14:textId="77777777" w:rsidR="00A71EEF" w:rsidRDefault="0081115D">
      <w:pPr>
        <w:pStyle w:val="a4"/>
        <w:numPr>
          <w:ilvl w:val="3"/>
          <w:numId w:val="671"/>
        </w:numPr>
        <w:tabs>
          <w:tab w:val="left" w:pos="1682"/>
        </w:tabs>
        <w:rPr>
          <w:sz w:val="21"/>
        </w:rPr>
      </w:pPr>
      <w:r>
        <w:rPr>
          <w:spacing w:val="-5"/>
          <w:sz w:val="21"/>
        </w:rPr>
        <w:t>箱门关闭到位后，应与四周框面平齐，其不平的最大允差为</w:t>
      </w:r>
      <w:r>
        <w:rPr>
          <w:spacing w:val="-5"/>
          <w:sz w:val="21"/>
        </w:rPr>
        <w:t xml:space="preserve"> </w:t>
      </w:r>
      <w:r>
        <w:rPr>
          <w:sz w:val="21"/>
        </w:rPr>
        <w:t>2.0mm</w:t>
      </w:r>
      <w:r>
        <w:rPr>
          <w:sz w:val="21"/>
        </w:rPr>
        <w:t>。</w:t>
      </w:r>
      <w:r>
        <w:rPr>
          <w:sz w:val="21"/>
        </w:rPr>
        <w:t xml:space="preserve"> </w:t>
      </w:r>
    </w:p>
    <w:p w14:paraId="62B63F80" w14:textId="77777777" w:rsidR="00A71EEF" w:rsidRDefault="00A71EEF">
      <w:pPr>
        <w:pStyle w:val="a3"/>
        <w:rPr>
          <w:sz w:val="18"/>
        </w:rPr>
      </w:pPr>
    </w:p>
    <w:p w14:paraId="04AF0561" w14:textId="77777777" w:rsidR="00A71EEF" w:rsidRDefault="0081115D">
      <w:pPr>
        <w:pStyle w:val="a4"/>
        <w:numPr>
          <w:ilvl w:val="3"/>
          <w:numId w:val="671"/>
        </w:numPr>
        <w:tabs>
          <w:tab w:val="left" w:pos="1682"/>
        </w:tabs>
        <w:rPr>
          <w:sz w:val="21"/>
        </w:rPr>
      </w:pPr>
      <w:r>
        <w:rPr>
          <w:spacing w:val="-6"/>
          <w:sz w:val="21"/>
        </w:rPr>
        <w:t>箱门与框之间的间隙应均匀平直，最大间隙不超过</w:t>
      </w:r>
      <w:r>
        <w:rPr>
          <w:spacing w:val="-6"/>
          <w:sz w:val="21"/>
        </w:rPr>
        <w:t xml:space="preserve"> </w:t>
      </w:r>
      <w:r>
        <w:rPr>
          <w:sz w:val="21"/>
        </w:rPr>
        <w:t>2.5mm</w:t>
      </w:r>
      <w:r>
        <w:rPr>
          <w:spacing w:val="-3"/>
          <w:sz w:val="21"/>
        </w:rPr>
        <w:t>。</w:t>
      </w:r>
      <w:r>
        <w:rPr>
          <w:sz w:val="21"/>
        </w:rPr>
        <w:t xml:space="preserve"> </w:t>
      </w:r>
    </w:p>
    <w:p w14:paraId="496E1D60" w14:textId="77777777" w:rsidR="00A71EEF" w:rsidRDefault="00A71EEF">
      <w:pPr>
        <w:pStyle w:val="a3"/>
        <w:spacing w:before="1"/>
        <w:rPr>
          <w:sz w:val="18"/>
        </w:rPr>
      </w:pPr>
    </w:p>
    <w:p w14:paraId="2069BC20" w14:textId="77777777" w:rsidR="00A71EEF" w:rsidRDefault="0081115D">
      <w:pPr>
        <w:pStyle w:val="a4"/>
        <w:numPr>
          <w:ilvl w:val="3"/>
          <w:numId w:val="671"/>
        </w:numPr>
        <w:tabs>
          <w:tab w:val="left" w:pos="1682"/>
        </w:tabs>
        <w:spacing w:before="1" w:line="446" w:lineRule="auto"/>
        <w:ind w:left="418" w:right="1454" w:firstLine="419"/>
        <w:rPr>
          <w:sz w:val="21"/>
        </w:rPr>
      </w:pPr>
      <w:r>
        <w:rPr>
          <w:spacing w:val="-5"/>
          <w:sz w:val="21"/>
        </w:rPr>
        <w:t>栓箱正面上的零部件，凸出箱门外表平面的高度不得大于</w:t>
      </w:r>
      <w:r>
        <w:rPr>
          <w:spacing w:val="-5"/>
          <w:sz w:val="21"/>
        </w:rPr>
        <w:t xml:space="preserve"> </w:t>
      </w:r>
      <w:r>
        <w:rPr>
          <w:sz w:val="21"/>
        </w:rPr>
        <w:t>15.0mm</w:t>
      </w:r>
      <w:r>
        <w:rPr>
          <w:spacing w:val="-2"/>
          <w:sz w:val="21"/>
        </w:rPr>
        <w:t>；其余各面的零</w:t>
      </w:r>
      <w:r>
        <w:rPr>
          <w:spacing w:val="-6"/>
          <w:sz w:val="21"/>
        </w:rPr>
        <w:t>部件，凸出该面外表平面的高度不得超过</w:t>
      </w:r>
      <w:r>
        <w:rPr>
          <w:spacing w:val="-6"/>
          <w:sz w:val="21"/>
        </w:rPr>
        <w:t xml:space="preserve"> </w:t>
      </w:r>
      <w:r>
        <w:rPr>
          <w:sz w:val="21"/>
        </w:rPr>
        <w:t>10.0mm</w:t>
      </w:r>
      <w:r>
        <w:rPr>
          <w:sz w:val="21"/>
        </w:rPr>
        <w:t>。</w:t>
      </w:r>
      <w:r>
        <w:rPr>
          <w:sz w:val="21"/>
        </w:rPr>
        <w:t xml:space="preserve"> </w:t>
      </w:r>
    </w:p>
    <w:p w14:paraId="1362DFB6" w14:textId="77777777" w:rsidR="00A71EEF" w:rsidRDefault="0081115D">
      <w:pPr>
        <w:pStyle w:val="a4"/>
        <w:numPr>
          <w:ilvl w:val="1"/>
          <w:numId w:val="672"/>
        </w:numPr>
        <w:tabs>
          <w:tab w:val="left" w:pos="1264"/>
        </w:tabs>
        <w:spacing w:line="267" w:lineRule="exact"/>
        <w:ind w:left="1263" w:hanging="424"/>
        <w:jc w:val="left"/>
        <w:rPr>
          <w:sz w:val="19"/>
        </w:rPr>
      </w:pPr>
      <w:r>
        <w:rPr>
          <w:spacing w:val="-3"/>
          <w:sz w:val="21"/>
        </w:rPr>
        <w:t>材料</w:t>
      </w:r>
      <w:r>
        <w:rPr>
          <w:sz w:val="21"/>
        </w:rPr>
        <w:t xml:space="preserve"> </w:t>
      </w:r>
    </w:p>
    <w:p w14:paraId="532CF28D" w14:textId="77777777" w:rsidR="00A71EEF" w:rsidRDefault="00A71EEF">
      <w:pPr>
        <w:pStyle w:val="a3"/>
        <w:spacing w:before="1"/>
        <w:rPr>
          <w:sz w:val="18"/>
        </w:rPr>
      </w:pPr>
    </w:p>
    <w:p w14:paraId="7E61F637" w14:textId="77777777" w:rsidR="00A71EEF" w:rsidRDefault="0081115D">
      <w:pPr>
        <w:pStyle w:val="a4"/>
        <w:numPr>
          <w:ilvl w:val="2"/>
          <w:numId w:val="672"/>
        </w:numPr>
        <w:tabs>
          <w:tab w:val="left" w:pos="1478"/>
        </w:tabs>
        <w:spacing w:before="1"/>
        <w:ind w:hanging="638"/>
        <w:rPr>
          <w:sz w:val="21"/>
        </w:rPr>
      </w:pPr>
      <w:r>
        <w:rPr>
          <w:spacing w:val="-8"/>
          <w:sz w:val="21"/>
        </w:rPr>
        <w:t>箱体应使用厚度不小于</w:t>
      </w:r>
      <w:r>
        <w:rPr>
          <w:spacing w:val="-8"/>
          <w:sz w:val="21"/>
        </w:rPr>
        <w:t xml:space="preserve"> </w:t>
      </w:r>
      <w:r>
        <w:rPr>
          <w:sz w:val="21"/>
        </w:rPr>
        <w:t>1.2mm</w:t>
      </w:r>
      <w:r>
        <w:rPr>
          <w:spacing w:val="-8"/>
          <w:sz w:val="21"/>
        </w:rPr>
        <w:t xml:space="preserve"> </w:t>
      </w:r>
      <w:r>
        <w:rPr>
          <w:spacing w:val="-8"/>
          <w:sz w:val="21"/>
        </w:rPr>
        <w:t>的薄钢板或铝合金材料制造，也可使用符合本标准</w:t>
      </w:r>
    </w:p>
    <w:p w14:paraId="0F2FAADF" w14:textId="77777777" w:rsidR="00A71EEF" w:rsidRDefault="00A71EEF">
      <w:pPr>
        <w:pStyle w:val="a3"/>
        <w:spacing w:before="12"/>
        <w:rPr>
          <w:sz w:val="17"/>
        </w:rPr>
      </w:pPr>
    </w:p>
    <w:p w14:paraId="32BAEF79" w14:textId="77777777" w:rsidR="00A71EEF" w:rsidRDefault="0081115D">
      <w:pPr>
        <w:pStyle w:val="a4"/>
        <w:numPr>
          <w:ilvl w:val="1"/>
          <w:numId w:val="672"/>
        </w:numPr>
        <w:tabs>
          <w:tab w:val="left" w:pos="891"/>
        </w:tabs>
        <w:ind w:left="890" w:hanging="473"/>
        <w:jc w:val="left"/>
        <w:rPr>
          <w:sz w:val="21"/>
        </w:rPr>
      </w:pPr>
      <w:r>
        <w:rPr>
          <w:spacing w:val="-3"/>
          <w:sz w:val="21"/>
        </w:rPr>
        <w:t>要求的其他材料。</w:t>
      </w:r>
      <w:r>
        <w:rPr>
          <w:sz w:val="21"/>
        </w:rPr>
        <w:t xml:space="preserve"> </w:t>
      </w:r>
    </w:p>
    <w:p w14:paraId="4881D337" w14:textId="77777777" w:rsidR="00A71EEF" w:rsidRDefault="00A71EEF">
      <w:pPr>
        <w:pStyle w:val="a3"/>
        <w:rPr>
          <w:sz w:val="18"/>
        </w:rPr>
      </w:pPr>
    </w:p>
    <w:p w14:paraId="3790D227" w14:textId="77777777" w:rsidR="00A71EEF" w:rsidRDefault="0081115D">
      <w:pPr>
        <w:pStyle w:val="a4"/>
        <w:numPr>
          <w:ilvl w:val="2"/>
          <w:numId w:val="670"/>
        </w:numPr>
        <w:tabs>
          <w:tab w:val="left" w:pos="1478"/>
        </w:tabs>
        <w:spacing w:line="446" w:lineRule="auto"/>
        <w:ind w:right="1496" w:firstLine="422"/>
        <w:rPr>
          <w:sz w:val="21"/>
        </w:rPr>
      </w:pPr>
      <w:r>
        <w:rPr>
          <w:spacing w:val="-3"/>
          <w:sz w:val="21"/>
        </w:rPr>
        <w:t>栓箱箱门材料可根据消防工程特点，结合室内建筑装饰要求确定，镶玻璃的箱门玻</w:t>
      </w:r>
      <w:r>
        <w:rPr>
          <w:spacing w:val="-10"/>
          <w:sz w:val="21"/>
        </w:rPr>
        <w:t>璃厚度不得小于</w:t>
      </w:r>
      <w:r>
        <w:rPr>
          <w:spacing w:val="-10"/>
          <w:sz w:val="21"/>
        </w:rPr>
        <w:t xml:space="preserve"> </w:t>
      </w:r>
      <w:r>
        <w:rPr>
          <w:sz w:val="21"/>
        </w:rPr>
        <w:t>4mm</w:t>
      </w:r>
      <w:r>
        <w:rPr>
          <w:spacing w:val="-3"/>
          <w:sz w:val="21"/>
        </w:rPr>
        <w:t>。</w:t>
      </w:r>
      <w:r>
        <w:rPr>
          <w:sz w:val="21"/>
        </w:rPr>
        <w:t xml:space="preserve"> </w:t>
      </w:r>
    </w:p>
    <w:p w14:paraId="49DAEE98" w14:textId="77777777" w:rsidR="00A71EEF" w:rsidRDefault="0081115D">
      <w:pPr>
        <w:pStyle w:val="a4"/>
        <w:numPr>
          <w:ilvl w:val="2"/>
          <w:numId w:val="670"/>
        </w:numPr>
        <w:tabs>
          <w:tab w:val="left" w:pos="1478"/>
        </w:tabs>
        <w:spacing w:line="446" w:lineRule="auto"/>
        <w:ind w:right="1705" w:firstLine="422"/>
        <w:rPr>
          <w:sz w:val="21"/>
        </w:rPr>
      </w:pPr>
      <w:r>
        <w:rPr>
          <w:spacing w:val="-3"/>
          <w:sz w:val="21"/>
        </w:rPr>
        <w:t>水带挂架、托架和水带盘应用耐腐蚀材料制成，若用其他材料必须进行耐腐蚀处理。</w:t>
      </w:r>
      <w:r>
        <w:rPr>
          <w:sz w:val="21"/>
        </w:rPr>
        <w:t xml:space="preserve"> </w:t>
      </w:r>
    </w:p>
    <w:p w14:paraId="6F00218C" w14:textId="77777777" w:rsidR="00A71EEF" w:rsidRDefault="0081115D">
      <w:pPr>
        <w:pStyle w:val="a4"/>
        <w:numPr>
          <w:ilvl w:val="2"/>
          <w:numId w:val="670"/>
        </w:numPr>
        <w:tabs>
          <w:tab w:val="left" w:pos="1478"/>
        </w:tabs>
        <w:spacing w:line="446" w:lineRule="auto"/>
        <w:ind w:right="1498" w:firstLine="422"/>
        <w:jc w:val="both"/>
        <w:rPr>
          <w:sz w:val="21"/>
        </w:rPr>
      </w:pPr>
      <w:r>
        <w:rPr>
          <w:spacing w:val="-3"/>
          <w:sz w:val="21"/>
        </w:rPr>
        <w:t>箱内配置的消防软管卷盘的开关喷嘴、卷盘轴、弯管及水路系统零部件，应用铜合金或铝合金材料制造，也可用强度和耐腐蚀性能（或经过耐腐蚀处理</w:t>
      </w:r>
      <w:r>
        <w:rPr>
          <w:spacing w:val="-3"/>
          <w:sz w:val="21"/>
        </w:rPr>
        <w:t>)</w:t>
      </w:r>
      <w:r>
        <w:rPr>
          <w:spacing w:val="-3"/>
          <w:sz w:val="21"/>
        </w:rPr>
        <w:t>符合设计要求的其他材料代用。</w:t>
      </w:r>
      <w:r>
        <w:rPr>
          <w:sz w:val="21"/>
        </w:rPr>
        <w:t xml:space="preserve"> </w:t>
      </w:r>
    </w:p>
    <w:p w14:paraId="7313DA03" w14:textId="77777777" w:rsidR="00A71EEF" w:rsidRDefault="0081115D">
      <w:pPr>
        <w:pStyle w:val="a4"/>
        <w:numPr>
          <w:ilvl w:val="2"/>
          <w:numId w:val="670"/>
        </w:numPr>
        <w:tabs>
          <w:tab w:val="left" w:pos="1478"/>
        </w:tabs>
        <w:spacing w:line="268" w:lineRule="exact"/>
        <w:ind w:left="1477" w:hanging="638"/>
        <w:jc w:val="both"/>
        <w:rPr>
          <w:sz w:val="21"/>
        </w:rPr>
      </w:pPr>
      <w:r>
        <w:rPr>
          <w:spacing w:val="-10"/>
          <w:sz w:val="21"/>
        </w:rPr>
        <w:t>铜合金应符合</w:t>
      </w:r>
      <w:r>
        <w:rPr>
          <w:spacing w:val="-10"/>
          <w:sz w:val="21"/>
        </w:rPr>
        <w:t xml:space="preserve"> </w:t>
      </w:r>
      <w:r>
        <w:rPr>
          <w:sz w:val="21"/>
        </w:rPr>
        <w:t>GB/T</w:t>
      </w:r>
      <w:r>
        <w:rPr>
          <w:spacing w:val="6"/>
          <w:sz w:val="21"/>
        </w:rPr>
        <w:t xml:space="preserve"> </w:t>
      </w:r>
      <w:r>
        <w:rPr>
          <w:sz w:val="21"/>
        </w:rPr>
        <w:t>1176</w:t>
      </w:r>
      <w:r>
        <w:rPr>
          <w:spacing w:val="-13"/>
          <w:sz w:val="21"/>
        </w:rPr>
        <w:t xml:space="preserve"> </w:t>
      </w:r>
      <w:r>
        <w:rPr>
          <w:spacing w:val="-13"/>
          <w:sz w:val="21"/>
        </w:rPr>
        <w:t>的规定。</w:t>
      </w:r>
      <w:r>
        <w:rPr>
          <w:sz w:val="21"/>
        </w:rPr>
        <w:t xml:space="preserve"> </w:t>
      </w:r>
    </w:p>
    <w:p w14:paraId="5B9FA37E" w14:textId="77777777" w:rsidR="00A71EEF" w:rsidRDefault="00A71EEF">
      <w:pPr>
        <w:pStyle w:val="a3"/>
        <w:spacing w:before="12"/>
        <w:rPr>
          <w:sz w:val="17"/>
        </w:rPr>
      </w:pPr>
    </w:p>
    <w:p w14:paraId="16500319" w14:textId="77777777" w:rsidR="00A71EEF" w:rsidRDefault="0081115D">
      <w:pPr>
        <w:pStyle w:val="a4"/>
        <w:numPr>
          <w:ilvl w:val="2"/>
          <w:numId w:val="670"/>
        </w:numPr>
        <w:tabs>
          <w:tab w:val="left" w:pos="1478"/>
        </w:tabs>
        <w:ind w:left="1477" w:hanging="638"/>
        <w:rPr>
          <w:sz w:val="21"/>
        </w:rPr>
      </w:pPr>
      <w:r>
        <w:rPr>
          <w:spacing w:val="-10"/>
          <w:sz w:val="21"/>
        </w:rPr>
        <w:t>铝合金应符合</w:t>
      </w:r>
      <w:r>
        <w:rPr>
          <w:spacing w:val="-10"/>
          <w:sz w:val="21"/>
        </w:rPr>
        <w:t xml:space="preserve"> </w:t>
      </w:r>
      <w:r>
        <w:rPr>
          <w:sz w:val="21"/>
        </w:rPr>
        <w:t>GB/T</w:t>
      </w:r>
      <w:r>
        <w:rPr>
          <w:spacing w:val="6"/>
          <w:sz w:val="21"/>
        </w:rPr>
        <w:t xml:space="preserve"> </w:t>
      </w:r>
      <w:r>
        <w:rPr>
          <w:sz w:val="21"/>
        </w:rPr>
        <w:t>1173</w:t>
      </w:r>
      <w:r>
        <w:rPr>
          <w:spacing w:val="-13"/>
          <w:sz w:val="21"/>
        </w:rPr>
        <w:t xml:space="preserve"> </w:t>
      </w:r>
      <w:r>
        <w:rPr>
          <w:spacing w:val="-13"/>
          <w:sz w:val="21"/>
        </w:rPr>
        <w:t>的规定。</w:t>
      </w:r>
      <w:r>
        <w:rPr>
          <w:sz w:val="21"/>
        </w:rPr>
        <w:t xml:space="preserve"> </w:t>
      </w:r>
    </w:p>
    <w:p w14:paraId="1693A642" w14:textId="77777777" w:rsidR="00A71EEF" w:rsidRDefault="00A71EEF">
      <w:pPr>
        <w:pStyle w:val="a3"/>
        <w:spacing w:before="12"/>
        <w:rPr>
          <w:sz w:val="17"/>
        </w:rPr>
      </w:pPr>
    </w:p>
    <w:p w14:paraId="395DF317" w14:textId="77777777" w:rsidR="00A71EEF" w:rsidRDefault="0081115D">
      <w:pPr>
        <w:pStyle w:val="a4"/>
        <w:numPr>
          <w:ilvl w:val="1"/>
          <w:numId w:val="669"/>
        </w:numPr>
        <w:tabs>
          <w:tab w:val="left" w:pos="1264"/>
        </w:tabs>
        <w:rPr>
          <w:sz w:val="21"/>
        </w:rPr>
      </w:pPr>
      <w:r>
        <w:rPr>
          <w:spacing w:val="-3"/>
          <w:sz w:val="21"/>
        </w:rPr>
        <w:t>箱体刚度</w:t>
      </w:r>
      <w:r>
        <w:rPr>
          <w:sz w:val="21"/>
        </w:rPr>
        <w:t xml:space="preserve"> </w:t>
      </w:r>
    </w:p>
    <w:p w14:paraId="64438D46" w14:textId="77777777" w:rsidR="00A71EEF" w:rsidRDefault="00A71EEF">
      <w:pPr>
        <w:pStyle w:val="a3"/>
        <w:spacing w:before="2"/>
        <w:rPr>
          <w:sz w:val="18"/>
        </w:rPr>
      </w:pPr>
    </w:p>
    <w:p w14:paraId="0E8FA10E" w14:textId="77777777" w:rsidR="00A71EEF" w:rsidRDefault="0081115D">
      <w:pPr>
        <w:pStyle w:val="a4"/>
        <w:numPr>
          <w:ilvl w:val="2"/>
          <w:numId w:val="669"/>
        </w:numPr>
        <w:tabs>
          <w:tab w:val="left" w:pos="1478"/>
        </w:tabs>
        <w:spacing w:line="446" w:lineRule="auto"/>
        <w:ind w:right="1447" w:firstLine="422"/>
        <w:rPr>
          <w:sz w:val="21"/>
        </w:rPr>
      </w:pPr>
      <w:r>
        <w:rPr>
          <w:spacing w:val="-7"/>
          <w:sz w:val="21"/>
        </w:rPr>
        <w:t>安装消防水喉的箱体侧面，在</w:t>
      </w:r>
      <w:r>
        <w:rPr>
          <w:spacing w:val="-7"/>
          <w:sz w:val="21"/>
        </w:rPr>
        <w:t xml:space="preserve"> </w:t>
      </w:r>
      <w:r>
        <w:rPr>
          <w:sz w:val="21"/>
        </w:rPr>
        <w:t>150N•m</w:t>
      </w:r>
      <w:r>
        <w:rPr>
          <w:spacing w:val="-11"/>
          <w:sz w:val="21"/>
        </w:rPr>
        <w:t xml:space="preserve"> </w:t>
      </w:r>
      <w:r>
        <w:rPr>
          <w:spacing w:val="-11"/>
          <w:sz w:val="21"/>
        </w:rPr>
        <w:t>的力矩下的最大凹陷变形不得超过</w:t>
      </w:r>
      <w:r>
        <w:rPr>
          <w:spacing w:val="-11"/>
          <w:sz w:val="21"/>
        </w:rPr>
        <w:t xml:space="preserve"> </w:t>
      </w:r>
      <w:r>
        <w:rPr>
          <w:sz w:val="21"/>
        </w:rPr>
        <w:t>2mm</w:t>
      </w:r>
      <w:r>
        <w:rPr>
          <w:spacing w:val="-2"/>
          <w:sz w:val="21"/>
        </w:rPr>
        <w:t>，消防</w:t>
      </w:r>
      <w:r>
        <w:rPr>
          <w:spacing w:val="-3"/>
          <w:sz w:val="21"/>
        </w:rPr>
        <w:t>水喉固定座不得出现变形、开焊等缺陷。</w:t>
      </w:r>
      <w:r>
        <w:rPr>
          <w:sz w:val="21"/>
        </w:rPr>
        <w:t xml:space="preserve"> </w:t>
      </w:r>
    </w:p>
    <w:p w14:paraId="37225BC5" w14:textId="77777777" w:rsidR="00A71EEF" w:rsidRDefault="0081115D">
      <w:pPr>
        <w:pStyle w:val="a4"/>
        <w:numPr>
          <w:ilvl w:val="2"/>
          <w:numId w:val="669"/>
        </w:numPr>
        <w:tabs>
          <w:tab w:val="left" w:pos="1478"/>
        </w:tabs>
        <w:spacing w:line="267" w:lineRule="exact"/>
        <w:ind w:left="1477" w:hanging="638"/>
        <w:rPr>
          <w:sz w:val="21"/>
        </w:rPr>
      </w:pPr>
      <w:r>
        <w:rPr>
          <w:spacing w:val="-6"/>
          <w:sz w:val="21"/>
        </w:rPr>
        <w:t>挂置式栓箱其固定水带挂架的箱面，在</w:t>
      </w:r>
      <w:r>
        <w:rPr>
          <w:spacing w:val="-6"/>
          <w:sz w:val="21"/>
        </w:rPr>
        <w:t xml:space="preserve"> </w:t>
      </w:r>
      <w:r>
        <w:rPr>
          <w:sz w:val="21"/>
        </w:rPr>
        <w:t>40N•m</w:t>
      </w:r>
      <w:r>
        <w:rPr>
          <w:spacing w:val="-9"/>
          <w:sz w:val="21"/>
        </w:rPr>
        <w:t xml:space="preserve"> </w:t>
      </w:r>
      <w:r>
        <w:rPr>
          <w:spacing w:val="-9"/>
          <w:sz w:val="21"/>
        </w:rPr>
        <w:t>的力矩下最大凹陷变形不得超过</w:t>
      </w:r>
    </w:p>
    <w:p w14:paraId="3C276B8F" w14:textId="77777777" w:rsidR="00A71EEF" w:rsidRDefault="00A71EEF">
      <w:pPr>
        <w:pStyle w:val="a3"/>
        <w:spacing w:before="2"/>
        <w:rPr>
          <w:sz w:val="18"/>
        </w:rPr>
      </w:pPr>
    </w:p>
    <w:p w14:paraId="4F56225E" w14:textId="77777777" w:rsidR="00A71EEF" w:rsidRDefault="0081115D">
      <w:pPr>
        <w:pStyle w:val="a3"/>
        <w:ind w:left="418"/>
      </w:pPr>
      <w:r>
        <w:t>2mm</w:t>
      </w:r>
      <w:r>
        <w:t>，水带托架不得出现变形、开焊等缺陷。</w:t>
      </w:r>
      <w:r>
        <w:t xml:space="preserve"> </w:t>
      </w:r>
    </w:p>
    <w:p w14:paraId="36714CB0" w14:textId="77777777" w:rsidR="00A71EEF" w:rsidRDefault="00A71EEF">
      <w:pPr>
        <w:pStyle w:val="a3"/>
        <w:rPr>
          <w:sz w:val="18"/>
        </w:rPr>
      </w:pPr>
    </w:p>
    <w:p w14:paraId="3397BBED" w14:textId="77777777" w:rsidR="00A71EEF" w:rsidRDefault="0081115D">
      <w:pPr>
        <w:pStyle w:val="a4"/>
        <w:numPr>
          <w:ilvl w:val="2"/>
          <w:numId w:val="669"/>
        </w:numPr>
        <w:tabs>
          <w:tab w:val="left" w:pos="1478"/>
        </w:tabs>
        <w:ind w:left="1477" w:hanging="638"/>
        <w:rPr>
          <w:sz w:val="21"/>
        </w:rPr>
      </w:pPr>
      <w:r>
        <w:rPr>
          <w:spacing w:val="-6"/>
          <w:sz w:val="21"/>
        </w:rPr>
        <w:t>托架式栓箱其固定水带托架的箱面，在</w:t>
      </w:r>
      <w:r>
        <w:rPr>
          <w:spacing w:val="-6"/>
          <w:sz w:val="21"/>
        </w:rPr>
        <w:t xml:space="preserve"> </w:t>
      </w:r>
      <w:r>
        <w:rPr>
          <w:sz w:val="21"/>
        </w:rPr>
        <w:t>40N•m</w:t>
      </w:r>
      <w:r>
        <w:rPr>
          <w:spacing w:val="-9"/>
          <w:sz w:val="21"/>
        </w:rPr>
        <w:t xml:space="preserve"> </w:t>
      </w:r>
      <w:r>
        <w:rPr>
          <w:spacing w:val="-9"/>
          <w:sz w:val="21"/>
        </w:rPr>
        <w:t>的力矩下最大凹陷变形不得超过</w:t>
      </w:r>
    </w:p>
    <w:p w14:paraId="5F115195" w14:textId="77777777" w:rsidR="00A71EEF" w:rsidRDefault="00A71EEF">
      <w:pPr>
        <w:pStyle w:val="a3"/>
        <w:spacing w:before="12"/>
        <w:rPr>
          <w:sz w:val="17"/>
        </w:rPr>
      </w:pPr>
    </w:p>
    <w:p w14:paraId="36739CD8" w14:textId="77777777" w:rsidR="00A71EEF" w:rsidRDefault="0081115D">
      <w:pPr>
        <w:pStyle w:val="a3"/>
        <w:ind w:left="418"/>
      </w:pPr>
      <w:r>
        <w:t>2mm</w:t>
      </w:r>
      <w:r>
        <w:t>，水带托架不得出现变形、开焊等缺陷。</w:t>
      </w:r>
      <w:r>
        <w:t xml:space="preserve"> </w:t>
      </w:r>
    </w:p>
    <w:p w14:paraId="0C54CA89" w14:textId="77777777" w:rsidR="00A71EEF" w:rsidRDefault="00A71EEF">
      <w:pPr>
        <w:pStyle w:val="a3"/>
        <w:spacing w:before="2"/>
        <w:rPr>
          <w:sz w:val="18"/>
        </w:rPr>
      </w:pPr>
    </w:p>
    <w:p w14:paraId="2BEAA8DC" w14:textId="77777777" w:rsidR="00A71EEF" w:rsidRDefault="0081115D">
      <w:pPr>
        <w:pStyle w:val="a4"/>
        <w:numPr>
          <w:ilvl w:val="1"/>
          <w:numId w:val="669"/>
        </w:numPr>
        <w:tabs>
          <w:tab w:val="left" w:pos="1264"/>
        </w:tabs>
        <w:rPr>
          <w:b/>
          <w:sz w:val="21"/>
        </w:rPr>
      </w:pPr>
      <w:r>
        <w:rPr>
          <w:spacing w:val="-3"/>
          <w:sz w:val="21"/>
        </w:rPr>
        <w:t>箱门</w:t>
      </w:r>
      <w:r>
        <w:rPr>
          <w:b/>
          <w:w w:val="99"/>
          <w:sz w:val="21"/>
        </w:rPr>
        <w:t xml:space="preserve"> </w:t>
      </w:r>
    </w:p>
    <w:p w14:paraId="645CD783" w14:textId="77777777" w:rsidR="00A71EEF" w:rsidRDefault="00A71EEF">
      <w:pPr>
        <w:pStyle w:val="a3"/>
        <w:rPr>
          <w:b/>
          <w:sz w:val="18"/>
        </w:rPr>
      </w:pPr>
    </w:p>
    <w:p w14:paraId="58C4A364" w14:textId="77777777" w:rsidR="00A71EEF" w:rsidRDefault="0081115D">
      <w:pPr>
        <w:pStyle w:val="a4"/>
        <w:numPr>
          <w:ilvl w:val="2"/>
          <w:numId w:val="669"/>
        </w:numPr>
        <w:tabs>
          <w:tab w:val="left" w:pos="1478"/>
        </w:tabs>
        <w:ind w:left="1477" w:hanging="638"/>
        <w:rPr>
          <w:sz w:val="21"/>
        </w:rPr>
      </w:pPr>
      <w:r>
        <w:rPr>
          <w:spacing w:val="-3"/>
          <w:sz w:val="21"/>
        </w:rPr>
        <w:t>栓箱应设置门锁或箱门关紧装置。</w:t>
      </w:r>
      <w:r>
        <w:rPr>
          <w:sz w:val="21"/>
        </w:rPr>
        <w:t xml:space="preserve"> </w:t>
      </w:r>
    </w:p>
    <w:p w14:paraId="0ABD1543" w14:textId="77777777" w:rsidR="00A71EEF" w:rsidRDefault="00A71EEF">
      <w:pPr>
        <w:pStyle w:val="a3"/>
        <w:spacing w:before="12"/>
        <w:rPr>
          <w:sz w:val="17"/>
        </w:rPr>
      </w:pPr>
    </w:p>
    <w:p w14:paraId="12E56E54" w14:textId="77777777" w:rsidR="00A71EEF" w:rsidRDefault="0081115D">
      <w:pPr>
        <w:pStyle w:val="a4"/>
        <w:numPr>
          <w:ilvl w:val="2"/>
          <w:numId w:val="669"/>
        </w:numPr>
        <w:tabs>
          <w:tab w:val="left" w:pos="1478"/>
        </w:tabs>
        <w:spacing w:line="446" w:lineRule="auto"/>
        <w:ind w:right="1496" w:firstLine="422"/>
        <w:rPr>
          <w:sz w:val="21"/>
        </w:rPr>
      </w:pPr>
      <w:r>
        <w:rPr>
          <w:spacing w:val="-3"/>
          <w:sz w:val="21"/>
        </w:rPr>
        <w:t>设置门锁的栓箱，除箱门安装玻璃者以及能被击碎的透明材料外，均应设置箱门紧急开启的手动机构，应保证在没有钥匙的情况下开启灵活、</w:t>
      </w:r>
      <w:r>
        <w:rPr>
          <w:spacing w:val="-3"/>
          <w:sz w:val="21"/>
        </w:rPr>
        <w:t>可靠。</w:t>
      </w:r>
      <w:r>
        <w:rPr>
          <w:sz w:val="21"/>
        </w:rPr>
        <w:t xml:space="preserve"> </w:t>
      </w:r>
    </w:p>
    <w:p w14:paraId="06C64ED5" w14:textId="77777777" w:rsidR="00A71EEF" w:rsidRDefault="00A71EEF">
      <w:pPr>
        <w:spacing w:line="446" w:lineRule="auto"/>
        <w:rPr>
          <w:sz w:val="21"/>
        </w:rPr>
        <w:sectPr w:rsidR="00A71EEF">
          <w:pgSz w:w="11910" w:h="16850"/>
          <w:pgMar w:top="1220" w:right="0" w:bottom="1420" w:left="1260" w:header="0" w:footer="1239" w:gutter="0"/>
          <w:cols w:space="720"/>
        </w:sectPr>
      </w:pPr>
    </w:p>
    <w:p w14:paraId="00CAEB58" w14:textId="77777777" w:rsidR="00A71EEF" w:rsidRDefault="0081115D">
      <w:pPr>
        <w:pStyle w:val="a4"/>
        <w:numPr>
          <w:ilvl w:val="2"/>
          <w:numId w:val="669"/>
        </w:numPr>
        <w:tabs>
          <w:tab w:val="left" w:pos="1478"/>
        </w:tabs>
        <w:spacing w:before="47"/>
        <w:ind w:left="1477" w:hanging="638"/>
        <w:rPr>
          <w:sz w:val="21"/>
        </w:rPr>
      </w:pPr>
      <w:r>
        <w:rPr>
          <w:spacing w:val="-8"/>
          <w:sz w:val="21"/>
        </w:rPr>
        <w:t>箱门的开启角度不得小于</w:t>
      </w:r>
      <w:r>
        <w:rPr>
          <w:spacing w:val="-8"/>
          <w:sz w:val="21"/>
        </w:rPr>
        <w:t xml:space="preserve"> </w:t>
      </w:r>
      <w:r>
        <w:rPr>
          <w:sz w:val="21"/>
        </w:rPr>
        <w:t>160</w:t>
      </w:r>
      <w:r>
        <w:rPr>
          <w:spacing w:val="-2"/>
          <w:sz w:val="21"/>
        </w:rPr>
        <w:t>°</w:t>
      </w:r>
      <w:r>
        <w:rPr>
          <w:spacing w:val="-2"/>
          <w:sz w:val="21"/>
        </w:rPr>
        <w:t>。</w:t>
      </w:r>
      <w:r>
        <w:rPr>
          <w:sz w:val="21"/>
        </w:rPr>
        <w:t xml:space="preserve"> </w:t>
      </w:r>
    </w:p>
    <w:p w14:paraId="03B337A9" w14:textId="77777777" w:rsidR="00A71EEF" w:rsidRDefault="00A71EEF">
      <w:pPr>
        <w:pStyle w:val="a3"/>
        <w:rPr>
          <w:sz w:val="18"/>
        </w:rPr>
      </w:pPr>
    </w:p>
    <w:p w14:paraId="0D6AF3B7" w14:textId="77777777" w:rsidR="00A71EEF" w:rsidRDefault="0081115D">
      <w:pPr>
        <w:pStyle w:val="a4"/>
        <w:numPr>
          <w:ilvl w:val="2"/>
          <w:numId w:val="669"/>
        </w:numPr>
        <w:tabs>
          <w:tab w:val="left" w:pos="1478"/>
        </w:tabs>
        <w:ind w:left="1477" w:hanging="638"/>
        <w:rPr>
          <w:sz w:val="21"/>
        </w:rPr>
      </w:pPr>
      <w:r>
        <w:rPr>
          <w:spacing w:val="-5"/>
          <w:sz w:val="21"/>
        </w:rPr>
        <w:t>箱门开启应轻便灵活，无卡阻现象。开启拉力不得大于</w:t>
      </w:r>
      <w:r>
        <w:rPr>
          <w:spacing w:val="-5"/>
          <w:sz w:val="21"/>
        </w:rPr>
        <w:t xml:space="preserve"> </w:t>
      </w:r>
      <w:r>
        <w:rPr>
          <w:sz w:val="21"/>
        </w:rPr>
        <w:t>50N</w:t>
      </w:r>
      <w:r>
        <w:rPr>
          <w:spacing w:val="-3"/>
          <w:sz w:val="21"/>
        </w:rPr>
        <w:t>。</w:t>
      </w:r>
      <w:r>
        <w:rPr>
          <w:sz w:val="21"/>
        </w:rPr>
        <w:t xml:space="preserve"> </w:t>
      </w:r>
    </w:p>
    <w:p w14:paraId="5B145D9F" w14:textId="77777777" w:rsidR="00A71EEF" w:rsidRDefault="00A71EEF">
      <w:pPr>
        <w:pStyle w:val="a3"/>
        <w:rPr>
          <w:sz w:val="18"/>
        </w:rPr>
      </w:pPr>
    </w:p>
    <w:p w14:paraId="375888CA" w14:textId="77777777" w:rsidR="00A71EEF" w:rsidRDefault="0081115D">
      <w:pPr>
        <w:pStyle w:val="a4"/>
        <w:numPr>
          <w:ilvl w:val="1"/>
          <w:numId w:val="669"/>
        </w:numPr>
        <w:tabs>
          <w:tab w:val="left" w:pos="1264"/>
        </w:tabs>
        <w:rPr>
          <w:b/>
          <w:sz w:val="21"/>
        </w:rPr>
      </w:pPr>
      <w:r>
        <w:rPr>
          <w:spacing w:val="-3"/>
          <w:sz w:val="21"/>
        </w:rPr>
        <w:t>水带安置</w:t>
      </w:r>
      <w:r>
        <w:rPr>
          <w:b/>
          <w:w w:val="99"/>
          <w:sz w:val="21"/>
        </w:rPr>
        <w:t xml:space="preserve"> </w:t>
      </w:r>
    </w:p>
    <w:p w14:paraId="5A848C3E" w14:textId="77777777" w:rsidR="00A71EEF" w:rsidRDefault="00A71EEF">
      <w:pPr>
        <w:pStyle w:val="a3"/>
        <w:spacing w:before="1"/>
        <w:rPr>
          <w:b/>
          <w:sz w:val="18"/>
        </w:rPr>
      </w:pPr>
    </w:p>
    <w:p w14:paraId="2A04FEB7" w14:textId="77777777" w:rsidR="00A71EEF" w:rsidRDefault="0081115D">
      <w:pPr>
        <w:pStyle w:val="a4"/>
        <w:numPr>
          <w:ilvl w:val="2"/>
          <w:numId w:val="669"/>
        </w:numPr>
        <w:tabs>
          <w:tab w:val="left" w:pos="1478"/>
        </w:tabs>
        <w:spacing w:before="1" w:line="446" w:lineRule="auto"/>
        <w:ind w:right="1498" w:firstLine="422"/>
        <w:rPr>
          <w:b/>
          <w:sz w:val="21"/>
        </w:rPr>
      </w:pPr>
      <w:r>
        <w:rPr>
          <w:spacing w:val="-3"/>
          <w:sz w:val="21"/>
        </w:rPr>
        <w:t>水带以挂置式、盘卷式、卷置式或托架式置于栓箱内，不得影响其他器材的合理安置和操作使用。</w:t>
      </w:r>
      <w:r>
        <w:rPr>
          <w:b/>
          <w:w w:val="99"/>
          <w:sz w:val="21"/>
        </w:rPr>
        <w:t xml:space="preserve"> </w:t>
      </w:r>
    </w:p>
    <w:p w14:paraId="1CAC844E" w14:textId="77777777" w:rsidR="00A71EEF" w:rsidRDefault="0081115D">
      <w:pPr>
        <w:pStyle w:val="a4"/>
        <w:numPr>
          <w:ilvl w:val="2"/>
          <w:numId w:val="669"/>
        </w:numPr>
        <w:tabs>
          <w:tab w:val="left" w:pos="1478"/>
        </w:tabs>
        <w:spacing w:line="446" w:lineRule="auto"/>
        <w:ind w:right="1448" w:firstLine="422"/>
        <w:rPr>
          <w:sz w:val="21"/>
        </w:rPr>
      </w:pPr>
      <w:r>
        <w:rPr>
          <w:spacing w:val="-5"/>
          <w:sz w:val="21"/>
        </w:rPr>
        <w:t>挂置式栓箱的水带挂架相邻两梳齿的空隙不应小于</w:t>
      </w:r>
      <w:r>
        <w:rPr>
          <w:spacing w:val="-5"/>
          <w:sz w:val="21"/>
        </w:rPr>
        <w:t xml:space="preserve"> </w:t>
      </w:r>
      <w:r>
        <w:rPr>
          <w:sz w:val="21"/>
        </w:rPr>
        <w:t>20mm</w:t>
      </w:r>
      <w:r>
        <w:rPr>
          <w:spacing w:val="-3"/>
          <w:sz w:val="21"/>
        </w:rPr>
        <w:t>，挂置水带后挂架横臂不得变形；盘卷式栓箱的水带盘从挂臂上取出无卡阻；托架式栓箱的水带托架应转动灵活，水带从</w:t>
      </w:r>
      <w:r>
        <w:rPr>
          <w:spacing w:val="-3"/>
          <w:sz w:val="21"/>
        </w:rPr>
        <w:t xml:space="preserve"> </w:t>
      </w:r>
      <w:r>
        <w:rPr>
          <w:spacing w:val="-3"/>
          <w:sz w:val="21"/>
        </w:rPr>
        <w:t>托架中拉出无卡阻。</w:t>
      </w:r>
      <w:r>
        <w:rPr>
          <w:sz w:val="21"/>
        </w:rPr>
        <w:t xml:space="preserve"> </w:t>
      </w:r>
    </w:p>
    <w:p w14:paraId="215C654D" w14:textId="77777777" w:rsidR="00A71EEF" w:rsidRDefault="0081115D">
      <w:pPr>
        <w:pStyle w:val="4"/>
        <w:spacing w:line="277" w:lineRule="exact"/>
      </w:pPr>
      <w:r>
        <w:t xml:space="preserve">6 </w:t>
      </w:r>
      <w:r>
        <w:t>试验方法</w:t>
      </w:r>
      <w:r>
        <w:rPr>
          <w:w w:val="99"/>
        </w:rPr>
        <w:t xml:space="preserve"> </w:t>
      </w:r>
    </w:p>
    <w:p w14:paraId="70A700F4" w14:textId="77777777" w:rsidR="00A71EEF" w:rsidRDefault="00A71EEF">
      <w:pPr>
        <w:pStyle w:val="a3"/>
        <w:spacing w:before="3"/>
        <w:rPr>
          <w:b/>
          <w:sz w:val="17"/>
        </w:rPr>
      </w:pPr>
    </w:p>
    <w:p w14:paraId="51DC8381" w14:textId="77777777" w:rsidR="00A71EEF" w:rsidRDefault="0081115D">
      <w:pPr>
        <w:pStyle w:val="a4"/>
        <w:numPr>
          <w:ilvl w:val="1"/>
          <w:numId w:val="668"/>
        </w:numPr>
        <w:tabs>
          <w:tab w:val="left" w:pos="1159"/>
        </w:tabs>
        <w:ind w:hanging="319"/>
        <w:rPr>
          <w:b/>
          <w:sz w:val="21"/>
        </w:rPr>
      </w:pPr>
      <w:r>
        <w:rPr>
          <w:spacing w:val="-3"/>
          <w:sz w:val="21"/>
        </w:rPr>
        <w:t>栓箱形式、基本参数及基本型号的检验</w:t>
      </w:r>
      <w:r>
        <w:rPr>
          <w:b/>
          <w:w w:val="99"/>
          <w:sz w:val="21"/>
        </w:rPr>
        <w:t xml:space="preserve"> </w:t>
      </w:r>
    </w:p>
    <w:p w14:paraId="13ADD73D" w14:textId="77777777" w:rsidR="00A71EEF" w:rsidRDefault="00A71EEF">
      <w:pPr>
        <w:pStyle w:val="a3"/>
        <w:rPr>
          <w:b/>
          <w:sz w:val="18"/>
        </w:rPr>
      </w:pPr>
    </w:p>
    <w:p w14:paraId="0F26FDCE" w14:textId="77777777" w:rsidR="00A71EEF" w:rsidRDefault="0081115D">
      <w:pPr>
        <w:pStyle w:val="a3"/>
        <w:spacing w:line="446" w:lineRule="auto"/>
        <w:ind w:left="418" w:right="1609" w:firstLine="419"/>
      </w:pPr>
      <w:r>
        <w:t>利用目视对栓箱箱内消防器材的配置情况进行检査，利用通用量具测量箱体外形尺寸，其结果应符合</w:t>
      </w:r>
      <w:r>
        <w:t xml:space="preserve"> 4.1</w:t>
      </w:r>
      <w:r>
        <w:t>、</w:t>
      </w:r>
      <w:r>
        <w:t>4.2</w:t>
      </w:r>
      <w:r>
        <w:t>、</w:t>
      </w:r>
      <w:r>
        <w:t xml:space="preserve">5.1 </w:t>
      </w:r>
      <w:r>
        <w:t>的规定。</w:t>
      </w:r>
      <w:r>
        <w:t xml:space="preserve"> </w:t>
      </w:r>
    </w:p>
    <w:p w14:paraId="65E3759D" w14:textId="77777777" w:rsidR="00A71EEF" w:rsidRDefault="0081115D">
      <w:pPr>
        <w:pStyle w:val="a4"/>
        <w:numPr>
          <w:ilvl w:val="1"/>
          <w:numId w:val="668"/>
        </w:numPr>
        <w:tabs>
          <w:tab w:val="left" w:pos="1159"/>
        </w:tabs>
        <w:ind w:hanging="319"/>
        <w:rPr>
          <w:sz w:val="21"/>
        </w:rPr>
      </w:pPr>
      <w:r>
        <w:rPr>
          <w:spacing w:val="-3"/>
          <w:sz w:val="21"/>
        </w:rPr>
        <w:t>室内消火栓性能检验</w:t>
      </w:r>
      <w:r>
        <w:rPr>
          <w:sz w:val="21"/>
        </w:rPr>
        <w:t xml:space="preserve"> </w:t>
      </w:r>
    </w:p>
    <w:p w14:paraId="62240790" w14:textId="77777777" w:rsidR="00A71EEF" w:rsidRDefault="00A71EEF">
      <w:pPr>
        <w:pStyle w:val="a3"/>
        <w:rPr>
          <w:sz w:val="18"/>
        </w:rPr>
      </w:pPr>
    </w:p>
    <w:p w14:paraId="1B42FF00" w14:textId="77777777" w:rsidR="00A71EEF" w:rsidRDefault="0081115D">
      <w:pPr>
        <w:pStyle w:val="a4"/>
        <w:numPr>
          <w:ilvl w:val="2"/>
          <w:numId w:val="668"/>
        </w:numPr>
        <w:tabs>
          <w:tab w:val="left" w:pos="1371"/>
        </w:tabs>
        <w:rPr>
          <w:sz w:val="21"/>
        </w:rPr>
      </w:pPr>
      <w:r>
        <w:rPr>
          <w:spacing w:val="-7"/>
          <w:sz w:val="21"/>
        </w:rPr>
        <w:t>室内消火栓密封性能的试验方法按</w:t>
      </w:r>
      <w:r>
        <w:rPr>
          <w:spacing w:val="-7"/>
          <w:sz w:val="21"/>
        </w:rPr>
        <w:t xml:space="preserve"> </w:t>
      </w:r>
      <w:r>
        <w:rPr>
          <w:sz w:val="21"/>
        </w:rPr>
        <w:t>GB 3445—1993</w:t>
      </w:r>
      <w:r>
        <w:rPr>
          <w:spacing w:val="-36"/>
          <w:sz w:val="21"/>
        </w:rPr>
        <w:t xml:space="preserve"> </w:t>
      </w:r>
      <w:r>
        <w:rPr>
          <w:spacing w:val="-36"/>
          <w:sz w:val="21"/>
        </w:rPr>
        <w:t>中</w:t>
      </w:r>
      <w:r>
        <w:rPr>
          <w:spacing w:val="-36"/>
          <w:sz w:val="21"/>
        </w:rPr>
        <w:t xml:space="preserve"> </w:t>
      </w:r>
      <w:r>
        <w:rPr>
          <w:sz w:val="21"/>
        </w:rPr>
        <w:t>5.7</w:t>
      </w:r>
      <w:r>
        <w:rPr>
          <w:spacing w:val="-9"/>
          <w:sz w:val="21"/>
        </w:rPr>
        <w:t xml:space="preserve"> </w:t>
      </w:r>
      <w:r>
        <w:rPr>
          <w:spacing w:val="-9"/>
          <w:sz w:val="21"/>
        </w:rPr>
        <w:t>的规定进行。结果应符合</w:t>
      </w:r>
    </w:p>
    <w:p w14:paraId="743D54C0" w14:textId="77777777" w:rsidR="00A71EEF" w:rsidRDefault="00A71EEF">
      <w:pPr>
        <w:pStyle w:val="a3"/>
        <w:spacing w:before="12"/>
        <w:rPr>
          <w:sz w:val="17"/>
        </w:rPr>
      </w:pPr>
    </w:p>
    <w:p w14:paraId="6FE93AF7" w14:textId="77777777" w:rsidR="00A71EEF" w:rsidRDefault="0081115D">
      <w:pPr>
        <w:pStyle w:val="a4"/>
        <w:numPr>
          <w:ilvl w:val="2"/>
          <w:numId w:val="667"/>
        </w:numPr>
        <w:tabs>
          <w:tab w:val="left" w:pos="948"/>
        </w:tabs>
        <w:ind w:hanging="530"/>
        <w:rPr>
          <w:sz w:val="21"/>
        </w:rPr>
      </w:pPr>
      <w:r>
        <w:rPr>
          <w:spacing w:val="-3"/>
          <w:sz w:val="21"/>
        </w:rPr>
        <w:t>规定。</w:t>
      </w:r>
      <w:r>
        <w:rPr>
          <w:sz w:val="21"/>
        </w:rPr>
        <w:t xml:space="preserve"> </w:t>
      </w:r>
    </w:p>
    <w:p w14:paraId="61880140" w14:textId="77777777" w:rsidR="00A71EEF" w:rsidRDefault="00A71EEF">
      <w:pPr>
        <w:pStyle w:val="a3"/>
        <w:spacing w:before="2"/>
        <w:rPr>
          <w:sz w:val="18"/>
        </w:rPr>
      </w:pPr>
    </w:p>
    <w:p w14:paraId="39A4E744" w14:textId="77777777" w:rsidR="00A71EEF" w:rsidRDefault="0081115D">
      <w:pPr>
        <w:pStyle w:val="a3"/>
        <w:ind w:left="840"/>
      </w:pPr>
      <w:r>
        <w:rPr>
          <w:b/>
        </w:rPr>
        <w:t xml:space="preserve">6.2.2 </w:t>
      </w:r>
      <w:r>
        <w:t>室内消火栓水压强度的试验方法按</w:t>
      </w:r>
      <w:r>
        <w:t xml:space="preserve"> GB 3445—1993 </w:t>
      </w:r>
      <w:r>
        <w:t>中</w:t>
      </w:r>
      <w:r>
        <w:t xml:space="preserve"> 5.6 </w:t>
      </w:r>
      <w:r>
        <w:t>的规定进行。结果应符合</w:t>
      </w:r>
    </w:p>
    <w:p w14:paraId="0648EE94" w14:textId="77777777" w:rsidR="00A71EEF" w:rsidRDefault="00A71EEF">
      <w:pPr>
        <w:pStyle w:val="a3"/>
        <w:spacing w:before="12"/>
        <w:rPr>
          <w:sz w:val="17"/>
        </w:rPr>
      </w:pPr>
    </w:p>
    <w:p w14:paraId="36F55332" w14:textId="77777777" w:rsidR="00A71EEF" w:rsidRDefault="0081115D">
      <w:pPr>
        <w:pStyle w:val="a4"/>
        <w:numPr>
          <w:ilvl w:val="2"/>
          <w:numId w:val="667"/>
        </w:numPr>
        <w:tabs>
          <w:tab w:val="left" w:pos="948"/>
        </w:tabs>
        <w:ind w:hanging="530"/>
        <w:rPr>
          <w:sz w:val="21"/>
        </w:rPr>
      </w:pPr>
      <w:r>
        <w:rPr>
          <w:spacing w:val="-3"/>
          <w:sz w:val="21"/>
        </w:rPr>
        <w:t>规定。</w:t>
      </w:r>
      <w:r>
        <w:rPr>
          <w:sz w:val="21"/>
        </w:rPr>
        <w:t xml:space="preserve"> </w:t>
      </w:r>
    </w:p>
    <w:p w14:paraId="7C857E2D" w14:textId="77777777" w:rsidR="00A71EEF" w:rsidRDefault="00A71EEF">
      <w:pPr>
        <w:pStyle w:val="a3"/>
        <w:rPr>
          <w:sz w:val="18"/>
        </w:rPr>
      </w:pPr>
    </w:p>
    <w:p w14:paraId="28467C76" w14:textId="77777777" w:rsidR="00A71EEF" w:rsidRDefault="0081115D">
      <w:pPr>
        <w:pStyle w:val="a4"/>
        <w:numPr>
          <w:ilvl w:val="1"/>
          <w:numId w:val="668"/>
        </w:numPr>
        <w:tabs>
          <w:tab w:val="left" w:pos="1159"/>
        </w:tabs>
        <w:ind w:hanging="319"/>
        <w:rPr>
          <w:b/>
          <w:sz w:val="21"/>
        </w:rPr>
      </w:pPr>
      <w:r>
        <w:rPr>
          <w:spacing w:val="-3"/>
          <w:sz w:val="21"/>
        </w:rPr>
        <w:t>消防接口性能检验</w:t>
      </w:r>
      <w:r>
        <w:rPr>
          <w:b/>
          <w:w w:val="99"/>
          <w:sz w:val="21"/>
        </w:rPr>
        <w:t xml:space="preserve"> </w:t>
      </w:r>
    </w:p>
    <w:p w14:paraId="332174F0" w14:textId="77777777" w:rsidR="00A71EEF" w:rsidRDefault="00A71EEF">
      <w:pPr>
        <w:pStyle w:val="a3"/>
        <w:spacing w:before="2"/>
        <w:rPr>
          <w:b/>
          <w:sz w:val="18"/>
        </w:rPr>
      </w:pPr>
    </w:p>
    <w:p w14:paraId="258FEC43" w14:textId="77777777" w:rsidR="00A71EEF" w:rsidRDefault="0081115D">
      <w:pPr>
        <w:pStyle w:val="a4"/>
        <w:numPr>
          <w:ilvl w:val="2"/>
          <w:numId w:val="668"/>
        </w:numPr>
        <w:tabs>
          <w:tab w:val="left" w:pos="1371"/>
        </w:tabs>
        <w:rPr>
          <w:b/>
          <w:sz w:val="21"/>
        </w:rPr>
      </w:pPr>
      <w:r>
        <w:rPr>
          <w:spacing w:val="-3"/>
          <w:sz w:val="21"/>
        </w:rPr>
        <w:t>接口的密封性能试验</w:t>
      </w:r>
      <w:r>
        <w:rPr>
          <w:b/>
          <w:spacing w:val="-3"/>
          <w:w w:val="99"/>
          <w:sz w:val="21"/>
        </w:rPr>
        <w:t xml:space="preserve"> </w:t>
      </w:r>
    </w:p>
    <w:p w14:paraId="1D678E59" w14:textId="77777777" w:rsidR="00A71EEF" w:rsidRDefault="00A71EEF">
      <w:pPr>
        <w:pStyle w:val="a3"/>
        <w:rPr>
          <w:b/>
          <w:sz w:val="18"/>
        </w:rPr>
      </w:pPr>
    </w:p>
    <w:p w14:paraId="28CCB52A" w14:textId="77777777" w:rsidR="00A71EEF" w:rsidRDefault="0081115D">
      <w:pPr>
        <w:pStyle w:val="a4"/>
        <w:numPr>
          <w:ilvl w:val="3"/>
          <w:numId w:val="668"/>
        </w:numPr>
        <w:tabs>
          <w:tab w:val="left" w:pos="1576"/>
        </w:tabs>
        <w:rPr>
          <w:sz w:val="21"/>
        </w:rPr>
      </w:pPr>
      <w:r>
        <w:rPr>
          <w:spacing w:val="-3"/>
          <w:sz w:val="21"/>
        </w:rPr>
        <w:t>试验装置</w:t>
      </w:r>
      <w:r>
        <w:rPr>
          <w:sz w:val="21"/>
        </w:rPr>
        <w:t xml:space="preserve"> </w:t>
      </w:r>
    </w:p>
    <w:p w14:paraId="504ED503" w14:textId="77777777" w:rsidR="00A71EEF" w:rsidRDefault="00A71EEF">
      <w:pPr>
        <w:pStyle w:val="a3"/>
        <w:spacing w:before="12"/>
        <w:rPr>
          <w:sz w:val="17"/>
        </w:rPr>
      </w:pPr>
    </w:p>
    <w:p w14:paraId="7B4EBC3D" w14:textId="77777777" w:rsidR="00A71EEF" w:rsidRDefault="0081115D">
      <w:pPr>
        <w:pStyle w:val="a4"/>
        <w:numPr>
          <w:ilvl w:val="0"/>
          <w:numId w:val="666"/>
        </w:numPr>
        <w:tabs>
          <w:tab w:val="left" w:pos="1051"/>
        </w:tabs>
        <w:rPr>
          <w:sz w:val="21"/>
        </w:rPr>
      </w:pPr>
      <w:r>
        <w:rPr>
          <w:spacing w:val="-3"/>
          <w:sz w:val="21"/>
        </w:rPr>
        <w:t>试压泵并配置稳压装置；</w:t>
      </w:r>
      <w:r>
        <w:rPr>
          <w:spacing w:val="-3"/>
          <w:sz w:val="21"/>
        </w:rPr>
        <w:t xml:space="preserve"> </w:t>
      </w:r>
    </w:p>
    <w:p w14:paraId="16985C6F" w14:textId="77777777" w:rsidR="00A71EEF" w:rsidRDefault="00A71EEF">
      <w:pPr>
        <w:pStyle w:val="a3"/>
        <w:spacing w:before="2"/>
        <w:rPr>
          <w:sz w:val="18"/>
        </w:rPr>
      </w:pPr>
    </w:p>
    <w:p w14:paraId="6E1ED3EE" w14:textId="77777777" w:rsidR="00A71EEF" w:rsidRDefault="0081115D">
      <w:pPr>
        <w:pStyle w:val="a4"/>
        <w:numPr>
          <w:ilvl w:val="0"/>
          <w:numId w:val="666"/>
        </w:numPr>
        <w:tabs>
          <w:tab w:val="left" w:pos="1051"/>
        </w:tabs>
        <w:spacing w:line="446" w:lineRule="auto"/>
        <w:ind w:left="838" w:right="5027" w:firstLine="0"/>
        <w:rPr>
          <w:sz w:val="21"/>
        </w:rPr>
      </w:pPr>
      <w:r>
        <w:rPr>
          <w:spacing w:val="-8"/>
          <w:sz w:val="21"/>
        </w:rPr>
        <w:t>压力表：精度不低于</w:t>
      </w:r>
      <w:r>
        <w:rPr>
          <w:spacing w:val="-8"/>
          <w:sz w:val="21"/>
        </w:rPr>
        <w:t xml:space="preserve"> </w:t>
      </w:r>
      <w:r>
        <w:rPr>
          <w:sz w:val="21"/>
        </w:rPr>
        <w:t>1.5</w:t>
      </w:r>
      <w:r>
        <w:rPr>
          <w:spacing w:val="-14"/>
          <w:sz w:val="21"/>
        </w:rPr>
        <w:t xml:space="preserve"> </w:t>
      </w:r>
      <w:r>
        <w:rPr>
          <w:spacing w:val="-14"/>
          <w:sz w:val="21"/>
        </w:rPr>
        <w:t>级，量程不超过</w:t>
      </w:r>
      <w:r>
        <w:rPr>
          <w:spacing w:val="-14"/>
          <w:sz w:val="21"/>
        </w:rPr>
        <w:t xml:space="preserve"> </w:t>
      </w:r>
      <w:r>
        <w:rPr>
          <w:sz w:val="21"/>
        </w:rPr>
        <w:t>6MPa</w:t>
      </w:r>
      <w:r>
        <w:rPr>
          <w:sz w:val="21"/>
        </w:rPr>
        <w:t>；</w:t>
      </w:r>
      <w:r>
        <w:rPr>
          <w:sz w:val="21"/>
        </w:rPr>
        <w:t xml:space="preserve"> c)</w:t>
      </w:r>
      <w:r>
        <w:rPr>
          <w:spacing w:val="-3"/>
          <w:sz w:val="21"/>
        </w:rPr>
        <w:t>秒表。</w:t>
      </w:r>
      <w:r>
        <w:rPr>
          <w:sz w:val="21"/>
        </w:rPr>
        <w:t xml:space="preserve"> </w:t>
      </w:r>
    </w:p>
    <w:p w14:paraId="2FB547D9" w14:textId="77777777" w:rsidR="00A71EEF" w:rsidRDefault="0081115D">
      <w:pPr>
        <w:pStyle w:val="a4"/>
        <w:numPr>
          <w:ilvl w:val="3"/>
          <w:numId w:val="668"/>
        </w:numPr>
        <w:tabs>
          <w:tab w:val="left" w:pos="1576"/>
        </w:tabs>
        <w:spacing w:line="267" w:lineRule="exact"/>
        <w:rPr>
          <w:sz w:val="21"/>
        </w:rPr>
      </w:pPr>
      <w:r>
        <w:rPr>
          <w:spacing w:val="-3"/>
          <w:sz w:val="21"/>
        </w:rPr>
        <w:t>试验步骤</w:t>
      </w:r>
      <w:r>
        <w:rPr>
          <w:sz w:val="21"/>
        </w:rPr>
        <w:t xml:space="preserve"> </w:t>
      </w:r>
    </w:p>
    <w:p w14:paraId="5892295F" w14:textId="77777777" w:rsidR="00A71EEF" w:rsidRDefault="00A71EEF">
      <w:pPr>
        <w:pStyle w:val="a3"/>
        <w:spacing w:before="2"/>
        <w:rPr>
          <w:sz w:val="18"/>
        </w:rPr>
      </w:pPr>
    </w:p>
    <w:p w14:paraId="7A49FDAC" w14:textId="77777777" w:rsidR="00A71EEF" w:rsidRDefault="0081115D">
      <w:pPr>
        <w:pStyle w:val="a3"/>
        <w:spacing w:line="446" w:lineRule="auto"/>
        <w:ind w:left="418" w:right="1505" w:firstLine="419"/>
      </w:pPr>
      <w:r>
        <w:rPr>
          <w:spacing w:val="-17"/>
        </w:rPr>
        <w:t>将</w:t>
      </w:r>
      <w:r>
        <w:rPr>
          <w:spacing w:val="-17"/>
        </w:rPr>
        <w:t xml:space="preserve"> </w:t>
      </w:r>
      <w:r>
        <w:t>KN</w:t>
      </w:r>
      <w:r>
        <w:rPr>
          <w:spacing w:val="-7"/>
        </w:rPr>
        <w:t xml:space="preserve"> </w:t>
      </w:r>
      <w:r>
        <w:rPr>
          <w:spacing w:val="-7"/>
        </w:rPr>
        <w:t>型固定接口试样与相应规格的接口闷盖连接后，安装在试验装置上，灌水并排除试样</w:t>
      </w:r>
      <w:r>
        <w:rPr>
          <w:spacing w:val="-8"/>
        </w:rPr>
        <w:t>中空气，缓慢而均匀地升压</w:t>
      </w:r>
      <w:r>
        <w:rPr>
          <w:spacing w:val="-8"/>
        </w:rPr>
        <w:t xml:space="preserve"> </w:t>
      </w:r>
      <w:r>
        <w:t>1.6MPa</w:t>
      </w:r>
      <w:r>
        <w:rPr>
          <w:spacing w:val="-12"/>
        </w:rPr>
        <w:t>,</w:t>
      </w:r>
      <w:r>
        <w:rPr>
          <w:spacing w:val="-12"/>
        </w:rPr>
        <w:t>保压</w:t>
      </w:r>
      <w:r>
        <w:rPr>
          <w:spacing w:val="-12"/>
        </w:rPr>
        <w:t xml:space="preserve"> </w:t>
      </w:r>
      <w:r>
        <w:t>2min</w:t>
      </w:r>
      <w:r>
        <w:rPr>
          <w:spacing w:val="-3"/>
        </w:rPr>
        <w:t>，观察保压过程中试样的状况，测试结果应符合</w:t>
      </w:r>
    </w:p>
    <w:p w14:paraId="0395995D" w14:textId="77777777" w:rsidR="00A71EEF" w:rsidRDefault="0081115D">
      <w:pPr>
        <w:pStyle w:val="a3"/>
        <w:spacing w:line="267" w:lineRule="exact"/>
        <w:ind w:left="418"/>
      </w:pPr>
      <w:r>
        <w:t xml:space="preserve">5.3.1 </w:t>
      </w:r>
      <w:r>
        <w:t>规定。</w:t>
      </w:r>
      <w:r>
        <w:t xml:space="preserve"> </w:t>
      </w:r>
    </w:p>
    <w:p w14:paraId="1D292B3A" w14:textId="77777777" w:rsidR="00A71EEF" w:rsidRDefault="00A71EEF">
      <w:pPr>
        <w:spacing w:line="267" w:lineRule="exact"/>
        <w:sectPr w:rsidR="00A71EEF">
          <w:pgSz w:w="11910" w:h="16850"/>
          <w:pgMar w:top="1220" w:right="0" w:bottom="1420" w:left="1260" w:header="0" w:footer="1239" w:gutter="0"/>
          <w:cols w:space="720"/>
        </w:sectPr>
      </w:pPr>
    </w:p>
    <w:p w14:paraId="4F6C0A84" w14:textId="77777777" w:rsidR="00A71EEF" w:rsidRDefault="0081115D">
      <w:pPr>
        <w:pStyle w:val="a3"/>
        <w:spacing w:before="47"/>
        <w:ind w:left="838"/>
      </w:pPr>
      <w:r>
        <w:t>将水带接口成对连接后，安装在试验装置上，灌水并排除试样中空气，缓慢而均匀地升压</w:t>
      </w:r>
    </w:p>
    <w:p w14:paraId="7EDC3780" w14:textId="77777777" w:rsidR="00A71EEF" w:rsidRDefault="00A71EEF">
      <w:pPr>
        <w:pStyle w:val="a3"/>
        <w:rPr>
          <w:sz w:val="18"/>
        </w:rPr>
      </w:pPr>
    </w:p>
    <w:p w14:paraId="614A29A0" w14:textId="77777777" w:rsidR="00A71EEF" w:rsidRDefault="0081115D">
      <w:pPr>
        <w:pStyle w:val="a3"/>
        <w:ind w:left="418"/>
      </w:pPr>
      <w:r>
        <w:t xml:space="preserve">1.6MPa, </w:t>
      </w:r>
      <w:r>
        <w:t>保压</w:t>
      </w:r>
      <w:r>
        <w:t xml:space="preserve"> 2min,</w:t>
      </w:r>
      <w:r>
        <w:t>观察保压过程中试样的状况，测试结果应符合</w:t>
      </w:r>
      <w:r>
        <w:t xml:space="preserve"> 5.3.1 </w:t>
      </w:r>
      <w:r>
        <w:t>规定。</w:t>
      </w:r>
      <w:r>
        <w:t xml:space="preserve"> </w:t>
      </w:r>
    </w:p>
    <w:p w14:paraId="752BD057" w14:textId="77777777" w:rsidR="00A71EEF" w:rsidRDefault="00A71EEF">
      <w:pPr>
        <w:pStyle w:val="a3"/>
        <w:rPr>
          <w:sz w:val="18"/>
        </w:rPr>
      </w:pPr>
    </w:p>
    <w:p w14:paraId="2CE4850E" w14:textId="77777777" w:rsidR="00A71EEF" w:rsidRDefault="0081115D">
      <w:pPr>
        <w:pStyle w:val="a4"/>
        <w:numPr>
          <w:ilvl w:val="2"/>
          <w:numId w:val="665"/>
        </w:numPr>
        <w:tabs>
          <w:tab w:val="left" w:pos="1370"/>
        </w:tabs>
        <w:ind w:hanging="530"/>
        <w:rPr>
          <w:b/>
          <w:sz w:val="21"/>
        </w:rPr>
      </w:pPr>
      <w:r>
        <w:rPr>
          <w:spacing w:val="-3"/>
          <w:sz w:val="21"/>
        </w:rPr>
        <w:t>固定接口的水压强度试验</w:t>
      </w:r>
      <w:r>
        <w:rPr>
          <w:b/>
          <w:w w:val="99"/>
          <w:sz w:val="21"/>
        </w:rPr>
        <w:t xml:space="preserve"> </w:t>
      </w:r>
    </w:p>
    <w:p w14:paraId="55D12FD8" w14:textId="77777777" w:rsidR="00A71EEF" w:rsidRDefault="00A71EEF">
      <w:pPr>
        <w:pStyle w:val="a3"/>
        <w:spacing w:before="1"/>
        <w:rPr>
          <w:b/>
          <w:sz w:val="18"/>
        </w:rPr>
      </w:pPr>
    </w:p>
    <w:p w14:paraId="55254F6E" w14:textId="77777777" w:rsidR="00A71EEF" w:rsidRDefault="0081115D">
      <w:pPr>
        <w:pStyle w:val="a4"/>
        <w:numPr>
          <w:ilvl w:val="3"/>
          <w:numId w:val="665"/>
        </w:numPr>
        <w:tabs>
          <w:tab w:val="left" w:pos="1576"/>
        </w:tabs>
        <w:spacing w:before="1"/>
        <w:rPr>
          <w:sz w:val="21"/>
        </w:rPr>
      </w:pPr>
      <w:r>
        <w:rPr>
          <w:spacing w:val="-3"/>
          <w:sz w:val="21"/>
        </w:rPr>
        <w:t>试验装置</w:t>
      </w:r>
      <w:r>
        <w:rPr>
          <w:sz w:val="21"/>
        </w:rPr>
        <w:t xml:space="preserve"> </w:t>
      </w:r>
    </w:p>
    <w:p w14:paraId="13650043" w14:textId="77777777" w:rsidR="00A71EEF" w:rsidRDefault="00A71EEF">
      <w:pPr>
        <w:pStyle w:val="a3"/>
        <w:spacing w:before="12"/>
        <w:rPr>
          <w:sz w:val="17"/>
        </w:rPr>
      </w:pPr>
    </w:p>
    <w:p w14:paraId="24C7C0E4" w14:textId="77777777" w:rsidR="00A71EEF" w:rsidRDefault="0081115D">
      <w:pPr>
        <w:pStyle w:val="a3"/>
        <w:spacing w:line="446" w:lineRule="auto"/>
        <w:ind w:left="838" w:right="7653"/>
      </w:pPr>
      <w:r>
        <w:t>试验装置同</w:t>
      </w:r>
      <w:r>
        <w:t xml:space="preserve"> 6.3.1.1</w:t>
      </w:r>
      <w:r>
        <w:t>。</w:t>
      </w:r>
      <w:r>
        <w:t xml:space="preserve">6.3.2.2 </w:t>
      </w:r>
      <w:r>
        <w:t>试验步骤</w:t>
      </w:r>
      <w:r>
        <w:t xml:space="preserve"> </w:t>
      </w:r>
    </w:p>
    <w:p w14:paraId="1E3FA74C" w14:textId="77777777" w:rsidR="00A71EEF" w:rsidRDefault="0081115D">
      <w:pPr>
        <w:pStyle w:val="a3"/>
        <w:spacing w:line="446" w:lineRule="auto"/>
        <w:ind w:left="840" w:right="1928" w:hanging="3"/>
        <w:rPr>
          <w:b/>
        </w:rPr>
      </w:pPr>
      <w:r>
        <w:rPr>
          <w:spacing w:val="-26"/>
        </w:rPr>
        <w:t>用</w:t>
      </w:r>
      <w:r>
        <w:rPr>
          <w:spacing w:val="-26"/>
        </w:rPr>
        <w:t xml:space="preserve"> </w:t>
      </w:r>
      <w:r>
        <w:t>6.3.1.2</w:t>
      </w:r>
      <w:r>
        <w:rPr>
          <w:spacing w:val="-12"/>
        </w:rPr>
        <w:t xml:space="preserve"> </w:t>
      </w:r>
      <w:r>
        <w:rPr>
          <w:spacing w:val="-12"/>
        </w:rPr>
        <w:t>试验方法将水压升压至</w:t>
      </w:r>
      <w:r>
        <w:rPr>
          <w:spacing w:val="-12"/>
        </w:rPr>
        <w:t xml:space="preserve"> </w:t>
      </w:r>
      <w:r>
        <w:t>2.4MPa</w:t>
      </w:r>
      <w:r>
        <w:rPr>
          <w:spacing w:val="-13"/>
        </w:rPr>
        <w:t>，保压</w:t>
      </w:r>
      <w:r>
        <w:rPr>
          <w:spacing w:val="-13"/>
        </w:rPr>
        <w:t xml:space="preserve"> </w:t>
      </w:r>
      <w:r>
        <w:t>2min</w:t>
      </w:r>
      <w:r>
        <w:rPr>
          <w:spacing w:val="-9"/>
        </w:rPr>
        <w:t>,</w:t>
      </w:r>
      <w:r>
        <w:rPr>
          <w:spacing w:val="-9"/>
        </w:rPr>
        <w:t>测试结果应符合</w:t>
      </w:r>
      <w:r>
        <w:rPr>
          <w:spacing w:val="-9"/>
        </w:rPr>
        <w:t xml:space="preserve"> </w:t>
      </w:r>
      <w:r>
        <w:t>5.3.2</w:t>
      </w:r>
      <w:r>
        <w:rPr>
          <w:spacing w:val="-15"/>
        </w:rPr>
        <w:t xml:space="preserve"> </w:t>
      </w:r>
      <w:r>
        <w:rPr>
          <w:spacing w:val="-15"/>
        </w:rPr>
        <w:t>规定。</w:t>
      </w:r>
      <w:r>
        <w:rPr>
          <w:b/>
        </w:rPr>
        <w:t xml:space="preserve">6.3.3 </w:t>
      </w:r>
      <w:r>
        <w:rPr>
          <w:spacing w:val="-3"/>
        </w:rPr>
        <w:t>水带接口的跌落试验</w:t>
      </w:r>
      <w:r>
        <w:rPr>
          <w:b/>
          <w:spacing w:val="-3"/>
          <w:w w:val="99"/>
        </w:rPr>
        <w:t xml:space="preserve"> </w:t>
      </w:r>
    </w:p>
    <w:p w14:paraId="0B01D87E" w14:textId="77777777" w:rsidR="00A71EEF" w:rsidRDefault="0081115D">
      <w:pPr>
        <w:pStyle w:val="a3"/>
        <w:spacing w:line="446" w:lineRule="auto"/>
        <w:ind w:left="418" w:right="1507" w:firstLine="419"/>
        <w:jc w:val="both"/>
      </w:pPr>
      <w:r>
        <w:rPr>
          <w:spacing w:val="-5"/>
        </w:rPr>
        <w:t>将试样的扣爪向下，装夹在试验架上，使试样最低点至底座距离为</w:t>
      </w:r>
      <w:r>
        <w:rPr>
          <w:spacing w:val="-5"/>
        </w:rPr>
        <w:t xml:space="preserve"> </w:t>
      </w:r>
      <w:r>
        <w:t>1.50m±0.05m</w:t>
      </w:r>
      <w:r>
        <w:rPr>
          <w:spacing w:val="-1"/>
        </w:rPr>
        <w:t>，待试样</w:t>
      </w:r>
      <w:r>
        <w:rPr>
          <w:spacing w:val="-5"/>
        </w:rPr>
        <w:t>静止后，让其自由落在底座上。试验架底座为厚</w:t>
      </w:r>
      <w:r>
        <w:rPr>
          <w:spacing w:val="-5"/>
        </w:rPr>
        <w:t xml:space="preserve"> </w:t>
      </w:r>
      <w:r>
        <w:t>10cm</w:t>
      </w:r>
      <w:r>
        <w:rPr>
          <w:spacing w:val="-7"/>
        </w:rPr>
        <w:t xml:space="preserve"> </w:t>
      </w:r>
      <w:r>
        <w:rPr>
          <w:spacing w:val="-7"/>
        </w:rPr>
        <w:t>的钢筋水泥台。每个试样重复试验五次，</w:t>
      </w:r>
      <w:r>
        <w:rPr>
          <w:spacing w:val="-7"/>
        </w:rPr>
        <w:t xml:space="preserve"> </w:t>
      </w:r>
      <w:r>
        <w:rPr>
          <w:spacing w:val="-13"/>
        </w:rPr>
        <w:t>结果应符合</w:t>
      </w:r>
      <w:r>
        <w:rPr>
          <w:spacing w:val="-13"/>
        </w:rPr>
        <w:t xml:space="preserve"> </w:t>
      </w:r>
      <w:r>
        <w:t>5.3.3</w:t>
      </w:r>
      <w:r>
        <w:rPr>
          <w:spacing w:val="-15"/>
        </w:rPr>
        <w:t xml:space="preserve"> </w:t>
      </w:r>
      <w:r>
        <w:rPr>
          <w:spacing w:val="-15"/>
        </w:rPr>
        <w:t>规定。</w:t>
      </w:r>
      <w:r>
        <w:rPr>
          <w:spacing w:val="-15"/>
        </w:rPr>
        <w:t xml:space="preserve"> </w:t>
      </w:r>
    </w:p>
    <w:p w14:paraId="60DB10FE" w14:textId="77777777" w:rsidR="00A71EEF" w:rsidRDefault="0081115D">
      <w:pPr>
        <w:pStyle w:val="a4"/>
        <w:numPr>
          <w:ilvl w:val="1"/>
          <w:numId w:val="664"/>
        </w:numPr>
        <w:tabs>
          <w:tab w:val="left" w:pos="1159"/>
        </w:tabs>
        <w:spacing w:line="268" w:lineRule="exact"/>
        <w:ind w:hanging="319"/>
        <w:rPr>
          <w:sz w:val="21"/>
        </w:rPr>
      </w:pPr>
      <w:r>
        <w:rPr>
          <w:spacing w:val="-3"/>
          <w:sz w:val="21"/>
        </w:rPr>
        <w:t>消防水带性能检验</w:t>
      </w:r>
      <w:r>
        <w:rPr>
          <w:sz w:val="21"/>
        </w:rPr>
        <w:t xml:space="preserve"> </w:t>
      </w:r>
    </w:p>
    <w:p w14:paraId="4F27DB74" w14:textId="77777777" w:rsidR="00A71EEF" w:rsidRDefault="00A71EEF">
      <w:pPr>
        <w:pStyle w:val="a3"/>
        <w:rPr>
          <w:sz w:val="18"/>
        </w:rPr>
      </w:pPr>
    </w:p>
    <w:p w14:paraId="471AE2A8" w14:textId="77777777" w:rsidR="00A71EEF" w:rsidRDefault="0081115D">
      <w:pPr>
        <w:pStyle w:val="a4"/>
        <w:numPr>
          <w:ilvl w:val="2"/>
          <w:numId w:val="664"/>
        </w:numPr>
        <w:tabs>
          <w:tab w:val="left" w:pos="1370"/>
        </w:tabs>
        <w:ind w:hanging="530"/>
        <w:rPr>
          <w:b/>
          <w:sz w:val="21"/>
        </w:rPr>
      </w:pPr>
      <w:r>
        <w:rPr>
          <w:spacing w:val="-3"/>
          <w:sz w:val="21"/>
        </w:rPr>
        <w:t>消防水带的密封性能试验</w:t>
      </w:r>
      <w:r>
        <w:rPr>
          <w:b/>
          <w:w w:val="99"/>
          <w:sz w:val="21"/>
        </w:rPr>
        <w:t xml:space="preserve"> </w:t>
      </w:r>
    </w:p>
    <w:p w14:paraId="6D7627FC" w14:textId="77777777" w:rsidR="00A71EEF" w:rsidRDefault="00A71EEF">
      <w:pPr>
        <w:pStyle w:val="a3"/>
        <w:rPr>
          <w:b/>
          <w:sz w:val="18"/>
        </w:rPr>
      </w:pPr>
    </w:p>
    <w:p w14:paraId="68E8F065" w14:textId="77777777" w:rsidR="00A71EEF" w:rsidRDefault="0081115D">
      <w:pPr>
        <w:pStyle w:val="a3"/>
        <w:spacing w:line="446" w:lineRule="auto"/>
        <w:ind w:left="418" w:right="1505" w:firstLine="419"/>
      </w:pPr>
      <w:r>
        <w:rPr>
          <w:spacing w:val="-3"/>
        </w:rPr>
        <w:t>将消防水带全长平直放置，一端与室内消火栓连接，另一端连接带有开关的水枪，室内消</w:t>
      </w:r>
      <w:r>
        <w:rPr>
          <w:spacing w:val="-5"/>
        </w:rPr>
        <w:t>火栓与水力试验给水管路连接。充水排气后关闭水枪，将压力逐渐上升至</w:t>
      </w:r>
      <w:r>
        <w:rPr>
          <w:spacing w:val="-5"/>
        </w:rPr>
        <w:t xml:space="preserve"> </w:t>
      </w:r>
      <w:r>
        <w:t>0.8MPa</w:t>
      </w:r>
      <w:r>
        <w:rPr>
          <w:spacing w:val="-11"/>
        </w:rPr>
        <w:t>，保压</w:t>
      </w:r>
      <w:r>
        <w:rPr>
          <w:spacing w:val="-11"/>
        </w:rPr>
        <w:t xml:space="preserve"> </w:t>
      </w:r>
      <w:r>
        <w:t>2min</w:t>
      </w:r>
      <w:r>
        <w:t>，</w:t>
      </w:r>
      <w:r>
        <w:t xml:space="preserve"> </w:t>
      </w:r>
      <w:r>
        <w:rPr>
          <w:spacing w:val="-7"/>
        </w:rPr>
        <w:t>检查水带全长。测试结果应符合</w:t>
      </w:r>
      <w:r>
        <w:rPr>
          <w:spacing w:val="-7"/>
        </w:rPr>
        <w:t xml:space="preserve"> </w:t>
      </w:r>
      <w:r>
        <w:t>5.4.2</w:t>
      </w:r>
      <w:r>
        <w:rPr>
          <w:spacing w:val="-15"/>
        </w:rPr>
        <w:t xml:space="preserve"> </w:t>
      </w:r>
      <w:r>
        <w:rPr>
          <w:spacing w:val="-15"/>
        </w:rPr>
        <w:t>规定。</w:t>
      </w:r>
      <w:r>
        <w:t xml:space="preserve"> </w:t>
      </w:r>
    </w:p>
    <w:p w14:paraId="4B5B4AA7" w14:textId="77777777" w:rsidR="00A71EEF" w:rsidRDefault="0081115D">
      <w:pPr>
        <w:pStyle w:val="a4"/>
        <w:numPr>
          <w:ilvl w:val="2"/>
          <w:numId w:val="664"/>
        </w:numPr>
        <w:tabs>
          <w:tab w:val="left" w:pos="1370"/>
        </w:tabs>
        <w:spacing w:line="268" w:lineRule="exact"/>
        <w:ind w:hanging="530"/>
        <w:rPr>
          <w:b/>
          <w:sz w:val="21"/>
        </w:rPr>
      </w:pPr>
      <w:r>
        <w:rPr>
          <w:spacing w:val="-3"/>
          <w:sz w:val="21"/>
        </w:rPr>
        <w:t>消防水带的耐压性能试验</w:t>
      </w:r>
      <w:r>
        <w:rPr>
          <w:b/>
          <w:w w:val="99"/>
          <w:sz w:val="21"/>
        </w:rPr>
        <w:t xml:space="preserve"> </w:t>
      </w:r>
    </w:p>
    <w:p w14:paraId="084BBB18" w14:textId="77777777" w:rsidR="00A71EEF" w:rsidRDefault="00A71EEF">
      <w:pPr>
        <w:pStyle w:val="a3"/>
        <w:spacing w:before="12"/>
        <w:rPr>
          <w:b/>
          <w:sz w:val="17"/>
        </w:rPr>
      </w:pPr>
    </w:p>
    <w:p w14:paraId="5C5533B3" w14:textId="77777777" w:rsidR="00A71EEF" w:rsidRDefault="0081115D">
      <w:pPr>
        <w:pStyle w:val="a4"/>
        <w:numPr>
          <w:ilvl w:val="3"/>
          <w:numId w:val="664"/>
        </w:numPr>
        <w:tabs>
          <w:tab w:val="left" w:pos="1576"/>
        </w:tabs>
        <w:rPr>
          <w:sz w:val="21"/>
        </w:rPr>
      </w:pPr>
      <w:r>
        <w:rPr>
          <w:spacing w:val="-3"/>
          <w:sz w:val="21"/>
        </w:rPr>
        <w:t>试验装置</w:t>
      </w:r>
      <w:r>
        <w:rPr>
          <w:sz w:val="21"/>
        </w:rPr>
        <w:t xml:space="preserve"> </w:t>
      </w:r>
    </w:p>
    <w:p w14:paraId="4BAD4BC5" w14:textId="77777777" w:rsidR="00A71EEF" w:rsidRDefault="00A71EEF">
      <w:pPr>
        <w:pStyle w:val="a3"/>
        <w:spacing w:before="2"/>
        <w:rPr>
          <w:sz w:val="18"/>
        </w:rPr>
      </w:pPr>
    </w:p>
    <w:p w14:paraId="52409411" w14:textId="77777777" w:rsidR="00A71EEF" w:rsidRDefault="0081115D">
      <w:pPr>
        <w:pStyle w:val="a3"/>
        <w:spacing w:line="446" w:lineRule="auto"/>
        <w:ind w:left="838" w:right="7653"/>
      </w:pPr>
      <w:r>
        <w:rPr>
          <w:spacing w:val="-11"/>
        </w:rPr>
        <w:t>试验装置同</w:t>
      </w:r>
      <w:r>
        <w:rPr>
          <w:spacing w:val="-11"/>
        </w:rPr>
        <w:t xml:space="preserve"> </w:t>
      </w:r>
      <w:r>
        <w:t>6.3.1.1</w:t>
      </w:r>
      <w:r>
        <w:rPr>
          <w:spacing w:val="-3"/>
        </w:rPr>
        <w:t>。</w:t>
      </w:r>
      <w:r>
        <w:t>6.4.2.2</w:t>
      </w:r>
      <w:r>
        <w:rPr>
          <w:spacing w:val="-3"/>
        </w:rPr>
        <w:t xml:space="preserve"> </w:t>
      </w:r>
      <w:r>
        <w:rPr>
          <w:spacing w:val="-3"/>
        </w:rPr>
        <w:t>试验准备</w:t>
      </w:r>
      <w:r>
        <w:t xml:space="preserve"> </w:t>
      </w:r>
    </w:p>
    <w:p w14:paraId="127D1F4E" w14:textId="77777777" w:rsidR="00A71EEF" w:rsidRDefault="0081115D">
      <w:pPr>
        <w:pStyle w:val="a3"/>
        <w:spacing w:line="446" w:lineRule="auto"/>
        <w:ind w:left="838" w:right="2765"/>
      </w:pPr>
      <w:r>
        <w:rPr>
          <w:spacing w:val="-9"/>
        </w:rPr>
        <w:t>将消防水带截取</w:t>
      </w:r>
      <w:r>
        <w:rPr>
          <w:spacing w:val="-9"/>
        </w:rPr>
        <w:t xml:space="preserve"> </w:t>
      </w:r>
      <w:r>
        <w:t>1.20m</w:t>
      </w:r>
      <w:r>
        <w:rPr>
          <w:spacing w:val="-8"/>
        </w:rPr>
        <w:t xml:space="preserve"> </w:t>
      </w:r>
      <w:r>
        <w:rPr>
          <w:spacing w:val="-8"/>
        </w:rPr>
        <w:t>长的试样，用专用夹具将试样夹紧，保持试样平直。</w:t>
      </w:r>
      <w:r>
        <w:t>6.4.2.3</w:t>
      </w:r>
      <w:r>
        <w:rPr>
          <w:spacing w:val="-3"/>
        </w:rPr>
        <w:t xml:space="preserve"> </w:t>
      </w:r>
      <w:r>
        <w:rPr>
          <w:spacing w:val="-3"/>
        </w:rPr>
        <w:t>试验步骤</w:t>
      </w:r>
      <w:r>
        <w:t xml:space="preserve"> </w:t>
      </w:r>
    </w:p>
    <w:p w14:paraId="65269F9E" w14:textId="77777777" w:rsidR="00A71EEF" w:rsidRDefault="0081115D">
      <w:pPr>
        <w:pStyle w:val="a3"/>
        <w:spacing w:line="446" w:lineRule="auto"/>
        <w:ind w:left="418" w:right="1609" w:firstLine="419"/>
        <w:jc w:val="both"/>
      </w:pPr>
      <w:r>
        <w:rPr>
          <w:spacing w:val="-3"/>
        </w:rPr>
        <w:t>将试样一端与水压源相接，另一端用带有排气阀的专用夹具封闭。试样灌满水并排尽其中</w:t>
      </w:r>
      <w:r>
        <w:rPr>
          <w:spacing w:val="-6"/>
        </w:rPr>
        <w:t>空气，关闭排气阀，缓慢而均匀地升压至</w:t>
      </w:r>
      <w:r>
        <w:rPr>
          <w:spacing w:val="-6"/>
        </w:rPr>
        <w:t xml:space="preserve"> </w:t>
      </w:r>
      <w:r>
        <w:t>1.2MPa</w:t>
      </w:r>
      <w:r>
        <w:rPr>
          <w:spacing w:val="-12"/>
        </w:rPr>
        <w:t>,</w:t>
      </w:r>
      <w:r>
        <w:rPr>
          <w:spacing w:val="-12"/>
        </w:rPr>
        <w:t>保压</w:t>
      </w:r>
      <w:r>
        <w:rPr>
          <w:spacing w:val="-12"/>
        </w:rPr>
        <w:t xml:space="preserve"> </w:t>
      </w:r>
      <w:r>
        <w:t>5min</w:t>
      </w:r>
      <w:r>
        <w:rPr>
          <w:spacing w:val="-10"/>
        </w:rPr>
        <w:t>，结果应符合</w:t>
      </w:r>
      <w:r>
        <w:rPr>
          <w:spacing w:val="-10"/>
        </w:rPr>
        <w:t xml:space="preserve"> </w:t>
      </w:r>
      <w:r>
        <w:t>5.4.3</w:t>
      </w:r>
      <w:r>
        <w:rPr>
          <w:spacing w:val="-9"/>
        </w:rPr>
        <w:t xml:space="preserve"> </w:t>
      </w:r>
      <w:r>
        <w:rPr>
          <w:spacing w:val="-9"/>
        </w:rPr>
        <w:t>规定。然后继</w:t>
      </w:r>
      <w:r>
        <w:rPr>
          <w:spacing w:val="-16"/>
        </w:rPr>
        <w:t>续升压至</w:t>
      </w:r>
      <w:r>
        <w:rPr>
          <w:spacing w:val="-16"/>
        </w:rPr>
        <w:t xml:space="preserve"> </w:t>
      </w:r>
      <w:r>
        <w:t>2.4MPa</w:t>
      </w:r>
      <w:r>
        <w:rPr>
          <w:spacing w:val="-15"/>
        </w:rPr>
        <w:t>,</w:t>
      </w:r>
      <w:r>
        <w:rPr>
          <w:spacing w:val="-15"/>
        </w:rPr>
        <w:t>保压</w:t>
      </w:r>
      <w:r>
        <w:rPr>
          <w:spacing w:val="-15"/>
        </w:rPr>
        <w:t xml:space="preserve"> </w:t>
      </w:r>
      <w:r>
        <w:t>5min,</w:t>
      </w:r>
      <w:r>
        <w:rPr>
          <w:spacing w:val="-12"/>
        </w:rPr>
        <w:t>结果应符合</w:t>
      </w:r>
      <w:r>
        <w:rPr>
          <w:spacing w:val="-12"/>
        </w:rPr>
        <w:t xml:space="preserve"> </w:t>
      </w:r>
      <w:r>
        <w:t>5.4.3</w:t>
      </w:r>
      <w:r>
        <w:rPr>
          <w:spacing w:val="-13"/>
        </w:rPr>
        <w:t xml:space="preserve"> </w:t>
      </w:r>
      <w:r>
        <w:rPr>
          <w:spacing w:val="-13"/>
        </w:rPr>
        <w:t>的规定。</w:t>
      </w:r>
      <w:r>
        <w:t xml:space="preserve"> </w:t>
      </w:r>
    </w:p>
    <w:p w14:paraId="15C657A7" w14:textId="77777777" w:rsidR="00A71EEF" w:rsidRDefault="0081115D">
      <w:pPr>
        <w:pStyle w:val="a4"/>
        <w:numPr>
          <w:ilvl w:val="2"/>
          <w:numId w:val="664"/>
        </w:numPr>
        <w:tabs>
          <w:tab w:val="left" w:pos="1370"/>
        </w:tabs>
        <w:spacing w:line="268" w:lineRule="exact"/>
        <w:ind w:hanging="530"/>
        <w:rPr>
          <w:b/>
          <w:sz w:val="21"/>
        </w:rPr>
      </w:pPr>
      <w:r>
        <w:rPr>
          <w:spacing w:val="-3"/>
          <w:sz w:val="21"/>
        </w:rPr>
        <w:t>消防水带的扭转方向试验</w:t>
      </w:r>
      <w:r>
        <w:rPr>
          <w:b/>
          <w:w w:val="99"/>
          <w:sz w:val="21"/>
        </w:rPr>
        <w:t xml:space="preserve"> </w:t>
      </w:r>
    </w:p>
    <w:p w14:paraId="751D60AE" w14:textId="77777777" w:rsidR="00A71EEF" w:rsidRDefault="00A71EEF">
      <w:pPr>
        <w:pStyle w:val="a3"/>
        <w:spacing w:before="10"/>
        <w:rPr>
          <w:b/>
          <w:sz w:val="17"/>
        </w:rPr>
      </w:pPr>
    </w:p>
    <w:p w14:paraId="0312EA33" w14:textId="77777777" w:rsidR="00A71EEF" w:rsidRDefault="0081115D">
      <w:pPr>
        <w:pStyle w:val="a3"/>
        <w:spacing w:line="446" w:lineRule="auto"/>
        <w:ind w:left="840" w:right="1919" w:hanging="3"/>
        <w:rPr>
          <w:b/>
        </w:rPr>
      </w:pPr>
      <w:r>
        <w:t>试验方法同</w:t>
      </w:r>
      <w:r>
        <w:t xml:space="preserve"> 6.4.1</w:t>
      </w:r>
      <w:r>
        <w:t>。在水压作用下，沿水流方向看，其扭转方向应符合</w:t>
      </w:r>
      <w:r>
        <w:t xml:space="preserve"> 5.4.4 </w:t>
      </w:r>
      <w:r>
        <w:t>规定。</w:t>
      </w:r>
      <w:r>
        <w:rPr>
          <w:b/>
        </w:rPr>
        <w:t xml:space="preserve">6.5 </w:t>
      </w:r>
      <w:r>
        <w:t>消防水枪性能检验</w:t>
      </w:r>
      <w:r>
        <w:rPr>
          <w:b/>
          <w:w w:val="99"/>
        </w:rPr>
        <w:t xml:space="preserve"> </w:t>
      </w:r>
    </w:p>
    <w:p w14:paraId="07AF6B17" w14:textId="77777777" w:rsidR="00A71EEF" w:rsidRDefault="00A71EEF">
      <w:pPr>
        <w:spacing w:line="446" w:lineRule="auto"/>
        <w:sectPr w:rsidR="00A71EEF">
          <w:pgSz w:w="11910" w:h="16850"/>
          <w:pgMar w:top="1220" w:right="0" w:bottom="1420" w:left="1260" w:header="0" w:footer="1239" w:gutter="0"/>
          <w:cols w:space="720"/>
        </w:sectPr>
      </w:pPr>
    </w:p>
    <w:p w14:paraId="6FAC0C8C" w14:textId="77777777" w:rsidR="00A71EEF" w:rsidRDefault="0081115D">
      <w:pPr>
        <w:pStyle w:val="a4"/>
        <w:numPr>
          <w:ilvl w:val="2"/>
          <w:numId w:val="663"/>
        </w:numPr>
        <w:tabs>
          <w:tab w:val="left" w:pos="1370"/>
        </w:tabs>
        <w:spacing w:before="47"/>
        <w:ind w:hanging="530"/>
        <w:rPr>
          <w:b/>
          <w:sz w:val="21"/>
        </w:rPr>
      </w:pPr>
      <w:r>
        <w:rPr>
          <w:spacing w:val="-3"/>
          <w:sz w:val="21"/>
        </w:rPr>
        <w:t>消防水枪的密封性能试验</w:t>
      </w:r>
      <w:r>
        <w:rPr>
          <w:b/>
          <w:w w:val="99"/>
          <w:sz w:val="21"/>
        </w:rPr>
        <w:t xml:space="preserve"> </w:t>
      </w:r>
    </w:p>
    <w:p w14:paraId="366A5ABA" w14:textId="77777777" w:rsidR="00A71EEF" w:rsidRDefault="00A71EEF">
      <w:pPr>
        <w:pStyle w:val="a3"/>
        <w:rPr>
          <w:b/>
          <w:sz w:val="18"/>
        </w:rPr>
      </w:pPr>
    </w:p>
    <w:p w14:paraId="29275049" w14:textId="77777777" w:rsidR="00A71EEF" w:rsidRDefault="0081115D">
      <w:pPr>
        <w:pStyle w:val="a4"/>
        <w:numPr>
          <w:ilvl w:val="3"/>
          <w:numId w:val="663"/>
        </w:numPr>
        <w:tabs>
          <w:tab w:val="left" w:pos="1576"/>
        </w:tabs>
        <w:rPr>
          <w:sz w:val="21"/>
        </w:rPr>
      </w:pPr>
      <w:r>
        <w:rPr>
          <w:spacing w:val="-3"/>
          <w:sz w:val="21"/>
        </w:rPr>
        <w:t>试验装置</w:t>
      </w:r>
      <w:r>
        <w:rPr>
          <w:sz w:val="21"/>
        </w:rPr>
        <w:t xml:space="preserve"> </w:t>
      </w:r>
    </w:p>
    <w:p w14:paraId="643FDBA1" w14:textId="77777777" w:rsidR="00A71EEF" w:rsidRDefault="00A71EEF">
      <w:pPr>
        <w:pStyle w:val="a3"/>
        <w:rPr>
          <w:sz w:val="18"/>
        </w:rPr>
      </w:pPr>
    </w:p>
    <w:p w14:paraId="00D9AAE6" w14:textId="77777777" w:rsidR="00A71EEF" w:rsidRDefault="0081115D">
      <w:pPr>
        <w:pStyle w:val="a3"/>
        <w:spacing w:line="446" w:lineRule="auto"/>
        <w:ind w:left="838" w:right="7653"/>
      </w:pPr>
      <w:r>
        <w:t>试验装置同</w:t>
      </w:r>
      <w:r>
        <w:t xml:space="preserve"> 6.3.1.1</w:t>
      </w:r>
      <w:r>
        <w:t>。</w:t>
      </w:r>
      <w:r>
        <w:t xml:space="preserve">6.5.1.2 </w:t>
      </w:r>
      <w:r>
        <w:t>试验步骤</w:t>
      </w:r>
      <w:r>
        <w:t xml:space="preserve"> </w:t>
      </w:r>
    </w:p>
    <w:p w14:paraId="397DF340" w14:textId="77777777" w:rsidR="00A71EEF" w:rsidRDefault="0081115D">
      <w:pPr>
        <w:pStyle w:val="a3"/>
        <w:spacing w:line="446" w:lineRule="auto"/>
        <w:ind w:left="418" w:right="1352" w:firstLine="419"/>
      </w:pPr>
      <w:r>
        <w:rPr>
          <w:spacing w:val="-3"/>
        </w:rPr>
        <w:t>将水枪的进口端通过接口与试验装置相连，然后对水枪加压，加压过程中必须先排除枪体</w:t>
      </w:r>
      <w:r>
        <w:rPr>
          <w:spacing w:val="-3"/>
        </w:rPr>
        <w:t xml:space="preserve">  </w:t>
      </w:r>
      <w:r>
        <w:rPr>
          <w:spacing w:val="-6"/>
        </w:rPr>
        <w:t>内的空气，封死水枪的出水端，当压力至</w:t>
      </w:r>
      <w:r>
        <w:rPr>
          <w:spacing w:val="-6"/>
        </w:rPr>
        <w:t xml:space="preserve"> </w:t>
      </w:r>
      <w:r>
        <w:t>0.9MPa</w:t>
      </w:r>
      <w:r>
        <w:rPr>
          <w:spacing w:val="-18"/>
        </w:rPr>
        <w:t xml:space="preserve"> </w:t>
      </w:r>
      <w:r>
        <w:rPr>
          <w:spacing w:val="-18"/>
        </w:rPr>
        <w:t>后，保压</w:t>
      </w:r>
      <w:r>
        <w:rPr>
          <w:spacing w:val="-18"/>
        </w:rPr>
        <w:t xml:space="preserve"> </w:t>
      </w:r>
      <w:r>
        <w:t>2min</w:t>
      </w:r>
      <w:r>
        <w:rPr>
          <w:spacing w:val="-8"/>
        </w:rPr>
        <w:t>，检査结果应符合</w:t>
      </w:r>
      <w:r>
        <w:rPr>
          <w:spacing w:val="-8"/>
        </w:rPr>
        <w:t xml:space="preserve"> </w:t>
      </w:r>
      <w:r>
        <w:t>5.5.1</w:t>
      </w:r>
      <w:r>
        <w:rPr>
          <w:spacing w:val="-15"/>
        </w:rPr>
        <w:t xml:space="preserve"> </w:t>
      </w:r>
      <w:r>
        <w:rPr>
          <w:spacing w:val="-15"/>
        </w:rPr>
        <w:t>规定。</w:t>
      </w:r>
      <w:r>
        <w:t xml:space="preserve"> </w:t>
      </w:r>
    </w:p>
    <w:p w14:paraId="2FE9B2D9" w14:textId="77777777" w:rsidR="00A71EEF" w:rsidRDefault="0081115D">
      <w:pPr>
        <w:pStyle w:val="a4"/>
        <w:numPr>
          <w:ilvl w:val="2"/>
          <w:numId w:val="663"/>
        </w:numPr>
        <w:tabs>
          <w:tab w:val="left" w:pos="1371"/>
        </w:tabs>
        <w:ind w:left="1370" w:hanging="531"/>
        <w:rPr>
          <w:b/>
          <w:sz w:val="21"/>
        </w:rPr>
      </w:pPr>
      <w:r>
        <w:rPr>
          <w:spacing w:val="-3"/>
          <w:sz w:val="21"/>
        </w:rPr>
        <w:t>消防水枪的强度试验</w:t>
      </w:r>
      <w:r>
        <w:rPr>
          <w:b/>
          <w:spacing w:val="-3"/>
          <w:w w:val="99"/>
          <w:sz w:val="21"/>
        </w:rPr>
        <w:t xml:space="preserve"> </w:t>
      </w:r>
    </w:p>
    <w:p w14:paraId="337EF08C" w14:textId="77777777" w:rsidR="00A71EEF" w:rsidRDefault="00A71EEF">
      <w:pPr>
        <w:pStyle w:val="a3"/>
        <w:spacing w:before="12"/>
        <w:rPr>
          <w:b/>
          <w:sz w:val="17"/>
        </w:rPr>
      </w:pPr>
    </w:p>
    <w:p w14:paraId="27DEE9CD" w14:textId="77777777" w:rsidR="00A71EEF" w:rsidRDefault="0081115D">
      <w:pPr>
        <w:pStyle w:val="a3"/>
        <w:ind w:left="838"/>
      </w:pPr>
      <w:r>
        <w:t>试验装置及步骤同</w:t>
      </w:r>
      <w:r>
        <w:t xml:space="preserve"> 6.5.1</w:t>
      </w:r>
      <w:r>
        <w:t>，密封试验后继续加压至</w:t>
      </w:r>
      <w:r>
        <w:t xml:space="preserve"> 1.6MPa,</w:t>
      </w:r>
      <w:r>
        <w:t>保压</w:t>
      </w:r>
      <w:r>
        <w:t xml:space="preserve"> 2min</w:t>
      </w:r>
      <w:r>
        <w:t>，检査结果应符合</w:t>
      </w:r>
    </w:p>
    <w:p w14:paraId="2DBC2721" w14:textId="77777777" w:rsidR="00A71EEF" w:rsidRDefault="00A71EEF">
      <w:pPr>
        <w:pStyle w:val="a3"/>
        <w:rPr>
          <w:sz w:val="18"/>
        </w:rPr>
      </w:pPr>
    </w:p>
    <w:p w14:paraId="2635E5AC" w14:textId="77777777" w:rsidR="00A71EEF" w:rsidRDefault="0081115D">
      <w:pPr>
        <w:pStyle w:val="a3"/>
        <w:ind w:left="418"/>
      </w:pPr>
      <w:r>
        <w:t xml:space="preserve">5.5.2 </w:t>
      </w:r>
      <w:r>
        <w:t>规定。</w:t>
      </w:r>
      <w:r>
        <w:t xml:space="preserve"> </w:t>
      </w:r>
    </w:p>
    <w:p w14:paraId="7CB8B24D" w14:textId="77777777" w:rsidR="00A71EEF" w:rsidRDefault="00A71EEF">
      <w:pPr>
        <w:pStyle w:val="a3"/>
        <w:spacing w:before="2"/>
        <w:rPr>
          <w:sz w:val="18"/>
        </w:rPr>
      </w:pPr>
    </w:p>
    <w:p w14:paraId="549D245D" w14:textId="77777777" w:rsidR="00A71EEF" w:rsidRDefault="0081115D">
      <w:pPr>
        <w:pStyle w:val="a4"/>
        <w:numPr>
          <w:ilvl w:val="1"/>
          <w:numId w:val="662"/>
        </w:numPr>
        <w:tabs>
          <w:tab w:val="left" w:pos="1159"/>
        </w:tabs>
        <w:ind w:hanging="319"/>
        <w:rPr>
          <w:b/>
          <w:sz w:val="21"/>
        </w:rPr>
      </w:pPr>
      <w:r>
        <w:rPr>
          <w:spacing w:val="-3"/>
          <w:sz w:val="21"/>
        </w:rPr>
        <w:t>消防软管卷盘性能检验</w:t>
      </w:r>
      <w:r>
        <w:rPr>
          <w:b/>
          <w:spacing w:val="-3"/>
          <w:w w:val="99"/>
          <w:sz w:val="21"/>
        </w:rPr>
        <w:t xml:space="preserve"> </w:t>
      </w:r>
    </w:p>
    <w:p w14:paraId="2B88EF4F" w14:textId="77777777" w:rsidR="00A71EEF" w:rsidRDefault="00A71EEF">
      <w:pPr>
        <w:pStyle w:val="a3"/>
        <w:spacing w:before="12"/>
        <w:rPr>
          <w:b/>
          <w:sz w:val="17"/>
        </w:rPr>
      </w:pPr>
    </w:p>
    <w:p w14:paraId="3F517647" w14:textId="77777777" w:rsidR="00A71EEF" w:rsidRDefault="0081115D">
      <w:pPr>
        <w:pStyle w:val="a4"/>
        <w:numPr>
          <w:ilvl w:val="2"/>
          <w:numId w:val="662"/>
        </w:numPr>
        <w:tabs>
          <w:tab w:val="left" w:pos="1370"/>
        </w:tabs>
        <w:ind w:hanging="530"/>
        <w:rPr>
          <w:b/>
          <w:sz w:val="21"/>
        </w:rPr>
      </w:pPr>
      <w:r>
        <w:rPr>
          <w:spacing w:val="-3"/>
          <w:sz w:val="21"/>
        </w:rPr>
        <w:t>消防软管卷盘的喷射性能试验</w:t>
      </w:r>
      <w:r>
        <w:rPr>
          <w:b/>
          <w:w w:val="99"/>
          <w:sz w:val="21"/>
        </w:rPr>
        <w:t xml:space="preserve"> </w:t>
      </w:r>
    </w:p>
    <w:p w14:paraId="33334DB2" w14:textId="77777777" w:rsidR="00A71EEF" w:rsidRDefault="00A71EEF">
      <w:pPr>
        <w:pStyle w:val="a3"/>
        <w:spacing w:before="12"/>
        <w:rPr>
          <w:b/>
          <w:sz w:val="17"/>
        </w:rPr>
      </w:pPr>
    </w:p>
    <w:p w14:paraId="52387F94" w14:textId="77777777" w:rsidR="00A71EEF" w:rsidRDefault="0081115D">
      <w:pPr>
        <w:pStyle w:val="a3"/>
        <w:spacing w:before="1" w:line="446" w:lineRule="auto"/>
        <w:ind w:left="418" w:right="1450" w:firstLine="419"/>
      </w:pPr>
      <w:r>
        <w:rPr>
          <w:spacing w:val="-4"/>
        </w:rPr>
        <w:t>将软管从软管盘内全长拉出，开关喷嘴置于喷射架上，调整喷嘴轴线的仰角为</w:t>
      </w:r>
      <w:r>
        <w:rPr>
          <w:spacing w:val="-4"/>
        </w:rPr>
        <w:t xml:space="preserve"> </w:t>
      </w:r>
      <w:r>
        <w:t>30°±1°</w:t>
      </w:r>
      <w:r>
        <w:t>，</w:t>
      </w:r>
      <w:r>
        <w:t xml:space="preserve"> </w:t>
      </w:r>
      <w:r>
        <w:rPr>
          <w:spacing w:val="-7"/>
        </w:rPr>
        <w:t>并使喷嘴出口中心距地面</w:t>
      </w:r>
      <w:r>
        <w:rPr>
          <w:spacing w:val="-7"/>
        </w:rPr>
        <w:t xml:space="preserve"> </w:t>
      </w:r>
      <w:r>
        <w:t>1m</w:t>
      </w:r>
      <w:r>
        <w:rPr>
          <w:spacing w:val="-27"/>
        </w:rPr>
        <w:t xml:space="preserve"> </w:t>
      </w:r>
      <w:r>
        <w:rPr>
          <w:spacing w:val="-27"/>
        </w:rPr>
        <w:t>士</w:t>
      </w:r>
      <w:r>
        <w:rPr>
          <w:spacing w:val="-27"/>
        </w:rPr>
        <w:t xml:space="preserve"> </w:t>
      </w:r>
      <w:r>
        <w:t>0.01m</w:t>
      </w:r>
      <w:r>
        <w:rPr>
          <w:spacing w:val="-7"/>
        </w:rPr>
        <w:t>，从开关喷嘴出口端前方</w:t>
      </w:r>
      <w:r>
        <w:rPr>
          <w:spacing w:val="-7"/>
        </w:rPr>
        <w:t xml:space="preserve"> </w:t>
      </w:r>
      <w:r>
        <w:t>5m</w:t>
      </w:r>
      <w:r>
        <w:rPr>
          <w:spacing w:val="-8"/>
        </w:rPr>
        <w:t xml:space="preserve"> </w:t>
      </w:r>
      <w:r>
        <w:rPr>
          <w:spacing w:val="-8"/>
        </w:rPr>
        <w:t>开始，顺着喷射方向，每隔</w:t>
      </w:r>
      <w:r>
        <w:rPr>
          <w:spacing w:val="-8"/>
        </w:rPr>
        <w:t>1m</w:t>
      </w:r>
      <w:r>
        <w:rPr>
          <w:spacing w:val="-14"/>
        </w:rPr>
        <w:t xml:space="preserve"> </w:t>
      </w:r>
      <w:r>
        <w:rPr>
          <w:spacing w:val="-14"/>
        </w:rPr>
        <w:t>竖立标杆，直至</w:t>
      </w:r>
      <w:r>
        <w:rPr>
          <w:spacing w:val="-14"/>
        </w:rPr>
        <w:t xml:space="preserve"> </w:t>
      </w:r>
      <w:r>
        <w:t>15m</w:t>
      </w:r>
      <w:r>
        <w:t>。</w:t>
      </w:r>
      <w:r>
        <w:t xml:space="preserve"> </w:t>
      </w:r>
    </w:p>
    <w:p w14:paraId="5C832968" w14:textId="77777777" w:rsidR="00A71EEF" w:rsidRDefault="0081115D">
      <w:pPr>
        <w:pStyle w:val="a3"/>
        <w:spacing w:line="268" w:lineRule="exact"/>
        <w:ind w:left="838"/>
      </w:pPr>
      <w:r>
        <w:t>在外界风速小于</w:t>
      </w:r>
      <w:r>
        <w:t xml:space="preserve"> 3m/s </w:t>
      </w:r>
      <w:r>
        <w:t>条件下，作顺风方向喷射试验。</w:t>
      </w:r>
      <w:r>
        <w:t xml:space="preserve"> </w:t>
      </w:r>
    </w:p>
    <w:p w14:paraId="2ED8500D" w14:textId="77777777" w:rsidR="00A71EEF" w:rsidRDefault="00A71EEF">
      <w:pPr>
        <w:pStyle w:val="a3"/>
        <w:spacing w:before="1"/>
        <w:rPr>
          <w:sz w:val="18"/>
        </w:rPr>
      </w:pPr>
    </w:p>
    <w:p w14:paraId="3B83D153" w14:textId="77777777" w:rsidR="00A71EEF" w:rsidRDefault="0081115D">
      <w:pPr>
        <w:pStyle w:val="a3"/>
        <w:ind w:left="838"/>
      </w:pPr>
      <w:r>
        <w:t>开启消防软管卷盘进水阀门，调节开关喷嘴至开启状态，当</w:t>
      </w:r>
      <w:r>
        <w:t>消防水喉进口压力升至</w:t>
      </w:r>
      <w:r>
        <w:t xml:space="preserve"> 0.4MPa</w:t>
      </w:r>
    </w:p>
    <w:p w14:paraId="4B022562" w14:textId="77777777" w:rsidR="00A71EEF" w:rsidRDefault="00A71EEF">
      <w:pPr>
        <w:pStyle w:val="a3"/>
        <w:rPr>
          <w:sz w:val="18"/>
        </w:rPr>
      </w:pPr>
    </w:p>
    <w:p w14:paraId="2C60FE57" w14:textId="77777777" w:rsidR="00A71EEF" w:rsidRDefault="0081115D">
      <w:pPr>
        <w:pStyle w:val="a3"/>
        <w:ind w:left="418"/>
      </w:pPr>
      <w:r>
        <w:t>并稳定后，利用地面标杆目测射流洒落集中区中心至喷嘴口的水平距离，应符合</w:t>
      </w:r>
      <w:r>
        <w:t xml:space="preserve"> 5.6.1 </w:t>
      </w:r>
      <w:r>
        <w:t>规定。</w:t>
      </w:r>
      <w:r>
        <w:t xml:space="preserve"> </w:t>
      </w:r>
    </w:p>
    <w:p w14:paraId="200A0C00" w14:textId="77777777" w:rsidR="00A71EEF" w:rsidRDefault="00A71EEF">
      <w:pPr>
        <w:pStyle w:val="a3"/>
        <w:spacing w:before="12"/>
        <w:rPr>
          <w:sz w:val="17"/>
        </w:rPr>
      </w:pPr>
    </w:p>
    <w:p w14:paraId="3C7B1EE9" w14:textId="77777777" w:rsidR="00A71EEF" w:rsidRDefault="0081115D">
      <w:pPr>
        <w:pStyle w:val="a3"/>
        <w:spacing w:line="446" w:lineRule="auto"/>
        <w:ind w:left="840" w:right="5288" w:hanging="3"/>
        <w:rPr>
          <w:b/>
        </w:rPr>
      </w:pPr>
      <w:r>
        <w:t>流量可从流量计上读取，也应符合</w:t>
      </w:r>
      <w:r>
        <w:t xml:space="preserve"> 5.6.1 </w:t>
      </w:r>
      <w:r>
        <w:t>规定。</w:t>
      </w:r>
      <w:r>
        <w:rPr>
          <w:b/>
        </w:rPr>
        <w:t xml:space="preserve">6.6.2 </w:t>
      </w:r>
      <w:r>
        <w:t>消防软管卷盘的操作性能试验</w:t>
      </w:r>
      <w:r>
        <w:rPr>
          <w:b/>
          <w:w w:val="99"/>
        </w:rPr>
        <w:t xml:space="preserve"> </w:t>
      </w:r>
    </w:p>
    <w:p w14:paraId="5A5DB25A" w14:textId="77777777" w:rsidR="00A71EEF" w:rsidRDefault="0081115D">
      <w:pPr>
        <w:pStyle w:val="a4"/>
        <w:numPr>
          <w:ilvl w:val="3"/>
          <w:numId w:val="661"/>
        </w:numPr>
        <w:tabs>
          <w:tab w:val="left" w:pos="1576"/>
        </w:tabs>
        <w:spacing w:before="1"/>
        <w:jc w:val="left"/>
        <w:rPr>
          <w:sz w:val="19"/>
        </w:rPr>
      </w:pPr>
      <w:r>
        <w:rPr>
          <w:spacing w:val="-3"/>
          <w:sz w:val="21"/>
        </w:rPr>
        <w:t>试验准备</w:t>
      </w:r>
      <w:r>
        <w:rPr>
          <w:sz w:val="21"/>
        </w:rPr>
        <w:t xml:space="preserve"> </w:t>
      </w:r>
    </w:p>
    <w:p w14:paraId="578FFB23" w14:textId="77777777" w:rsidR="00A71EEF" w:rsidRDefault="00A71EEF">
      <w:pPr>
        <w:rPr>
          <w:sz w:val="19"/>
        </w:rPr>
        <w:sectPr w:rsidR="00A71EEF">
          <w:pgSz w:w="11910" w:h="16850"/>
          <w:pgMar w:top="1220" w:right="0" w:bottom="1420" w:left="1260" w:header="0" w:footer="1239" w:gutter="0"/>
          <w:cols w:space="720"/>
        </w:sectPr>
      </w:pPr>
    </w:p>
    <w:p w14:paraId="49A262C1" w14:textId="77777777" w:rsidR="00A71EEF" w:rsidRDefault="0081115D">
      <w:pPr>
        <w:pStyle w:val="a3"/>
        <w:spacing w:before="47" w:line="436" w:lineRule="auto"/>
        <w:ind w:left="418" w:right="1618" w:firstLine="199"/>
      </w:pPr>
      <w:r>
        <w:rPr>
          <w:noProof/>
        </w:rPr>
        <w:drawing>
          <wp:anchor distT="0" distB="0" distL="0" distR="0" simplePos="0" relativeHeight="251763200" behindDoc="1" locked="0" layoutInCell="1" allowOverlap="1" wp14:anchorId="0CEFB527" wp14:editId="63054214">
            <wp:simplePos x="0" y="0"/>
            <wp:positionH relativeFrom="page">
              <wp:posOffset>1389380</wp:posOffset>
            </wp:positionH>
            <wp:positionV relativeFrom="paragraph">
              <wp:posOffset>578230</wp:posOffset>
            </wp:positionV>
            <wp:extent cx="4570730" cy="3486150"/>
            <wp:effectExtent l="0" t="0" r="0" b="0"/>
            <wp:wrapNone/>
            <wp:docPr id="261" name="image1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161.jpeg"/>
                    <pic:cNvPicPr/>
                  </pic:nvPicPr>
                  <pic:blipFill>
                    <a:blip r:embed="rId167" cstate="print"/>
                    <a:stretch>
                      <a:fillRect/>
                    </a:stretch>
                  </pic:blipFill>
                  <pic:spPr>
                    <a:xfrm>
                      <a:off x="0" y="0"/>
                      <a:ext cx="4570730" cy="3486150"/>
                    </a:xfrm>
                    <a:prstGeom prst="rect">
                      <a:avLst/>
                    </a:prstGeom>
                  </pic:spPr>
                </pic:pic>
              </a:graphicData>
            </a:graphic>
          </wp:anchor>
        </w:drawing>
      </w:r>
      <w:r>
        <w:t>将箱体按使用安装位置置于刚度试验台上，在箱体上面及左右侧面的中间处垂直平面方向，</w:t>
      </w:r>
      <w:r>
        <w:t xml:space="preserve"> </w:t>
      </w:r>
      <w:r>
        <w:t>按图</w:t>
      </w:r>
      <w:r>
        <w:t xml:space="preserve"> 5 </w:t>
      </w:r>
      <w:r>
        <w:t>所示的要求用</w:t>
      </w:r>
      <w:r>
        <w:t xml:space="preserve"> 5</w:t>
      </w:r>
      <w:r>
        <w:rPr>
          <w:position w:val="11"/>
          <w:sz w:val="11"/>
        </w:rPr>
        <w:t>#</w:t>
      </w:r>
      <w:r>
        <w:t>槽钢支撑定位。各支点施加于槽钢上的力不超过</w:t>
      </w:r>
      <w:r>
        <w:t xml:space="preserve"> 10N</w:t>
      </w:r>
      <w:r>
        <w:t>。</w:t>
      </w:r>
      <w:r>
        <w:t xml:space="preserve"> </w:t>
      </w:r>
    </w:p>
    <w:p w14:paraId="75B3554F" w14:textId="77777777" w:rsidR="00A71EEF" w:rsidRDefault="00A71EEF">
      <w:pPr>
        <w:pStyle w:val="a3"/>
        <w:rPr>
          <w:sz w:val="22"/>
        </w:rPr>
      </w:pPr>
    </w:p>
    <w:p w14:paraId="7BDCB7AC" w14:textId="77777777" w:rsidR="00A71EEF" w:rsidRDefault="00A71EEF">
      <w:pPr>
        <w:pStyle w:val="a3"/>
        <w:rPr>
          <w:sz w:val="22"/>
        </w:rPr>
      </w:pPr>
    </w:p>
    <w:p w14:paraId="5D7F4AFA" w14:textId="77777777" w:rsidR="00A71EEF" w:rsidRDefault="00A71EEF">
      <w:pPr>
        <w:pStyle w:val="a3"/>
        <w:rPr>
          <w:sz w:val="22"/>
        </w:rPr>
      </w:pPr>
    </w:p>
    <w:p w14:paraId="776C3EA5" w14:textId="77777777" w:rsidR="00A71EEF" w:rsidRDefault="00A71EEF">
      <w:pPr>
        <w:pStyle w:val="a3"/>
        <w:rPr>
          <w:sz w:val="22"/>
        </w:rPr>
      </w:pPr>
    </w:p>
    <w:p w14:paraId="0EAC3A61" w14:textId="77777777" w:rsidR="00A71EEF" w:rsidRDefault="00A71EEF">
      <w:pPr>
        <w:pStyle w:val="a3"/>
        <w:rPr>
          <w:sz w:val="22"/>
        </w:rPr>
      </w:pPr>
    </w:p>
    <w:p w14:paraId="0048473A" w14:textId="77777777" w:rsidR="00A71EEF" w:rsidRDefault="00A71EEF">
      <w:pPr>
        <w:pStyle w:val="a3"/>
        <w:rPr>
          <w:sz w:val="22"/>
        </w:rPr>
      </w:pPr>
    </w:p>
    <w:p w14:paraId="6FE12115" w14:textId="77777777" w:rsidR="00A71EEF" w:rsidRDefault="00A71EEF">
      <w:pPr>
        <w:pStyle w:val="a3"/>
        <w:rPr>
          <w:sz w:val="22"/>
        </w:rPr>
      </w:pPr>
    </w:p>
    <w:p w14:paraId="2ABF187F" w14:textId="77777777" w:rsidR="00A71EEF" w:rsidRDefault="00A71EEF">
      <w:pPr>
        <w:pStyle w:val="a3"/>
        <w:rPr>
          <w:sz w:val="22"/>
        </w:rPr>
      </w:pPr>
    </w:p>
    <w:p w14:paraId="001B775D" w14:textId="77777777" w:rsidR="00A71EEF" w:rsidRDefault="00A71EEF">
      <w:pPr>
        <w:pStyle w:val="a3"/>
        <w:rPr>
          <w:sz w:val="22"/>
        </w:rPr>
      </w:pPr>
    </w:p>
    <w:p w14:paraId="38BED93E" w14:textId="77777777" w:rsidR="00A71EEF" w:rsidRDefault="00A71EEF">
      <w:pPr>
        <w:pStyle w:val="a3"/>
        <w:rPr>
          <w:sz w:val="22"/>
        </w:rPr>
      </w:pPr>
    </w:p>
    <w:p w14:paraId="0CA0EAAE" w14:textId="77777777" w:rsidR="00A71EEF" w:rsidRDefault="00A71EEF">
      <w:pPr>
        <w:pStyle w:val="a3"/>
        <w:rPr>
          <w:sz w:val="22"/>
        </w:rPr>
      </w:pPr>
    </w:p>
    <w:p w14:paraId="1457DE32" w14:textId="77777777" w:rsidR="00A71EEF" w:rsidRDefault="00A71EEF">
      <w:pPr>
        <w:pStyle w:val="a3"/>
        <w:rPr>
          <w:sz w:val="22"/>
        </w:rPr>
      </w:pPr>
    </w:p>
    <w:p w14:paraId="09F3D47F" w14:textId="77777777" w:rsidR="00A71EEF" w:rsidRDefault="00A71EEF">
      <w:pPr>
        <w:pStyle w:val="a3"/>
        <w:rPr>
          <w:sz w:val="22"/>
        </w:rPr>
      </w:pPr>
    </w:p>
    <w:p w14:paraId="6A2BC5AE" w14:textId="77777777" w:rsidR="00A71EEF" w:rsidRDefault="00A71EEF">
      <w:pPr>
        <w:pStyle w:val="a3"/>
        <w:rPr>
          <w:sz w:val="22"/>
        </w:rPr>
      </w:pPr>
    </w:p>
    <w:p w14:paraId="2C4B913C" w14:textId="77777777" w:rsidR="00A71EEF" w:rsidRDefault="00A71EEF">
      <w:pPr>
        <w:pStyle w:val="a3"/>
        <w:rPr>
          <w:sz w:val="22"/>
        </w:rPr>
      </w:pPr>
    </w:p>
    <w:p w14:paraId="6A0F6949" w14:textId="77777777" w:rsidR="00A71EEF" w:rsidRDefault="00A71EEF">
      <w:pPr>
        <w:pStyle w:val="a3"/>
        <w:rPr>
          <w:sz w:val="22"/>
        </w:rPr>
      </w:pPr>
    </w:p>
    <w:p w14:paraId="6C470217" w14:textId="77777777" w:rsidR="00A71EEF" w:rsidRDefault="00A71EEF">
      <w:pPr>
        <w:pStyle w:val="a3"/>
        <w:rPr>
          <w:sz w:val="22"/>
        </w:rPr>
      </w:pPr>
    </w:p>
    <w:p w14:paraId="7B280DC2" w14:textId="77777777" w:rsidR="00A71EEF" w:rsidRDefault="00A71EEF">
      <w:pPr>
        <w:pStyle w:val="a3"/>
        <w:rPr>
          <w:sz w:val="22"/>
        </w:rPr>
      </w:pPr>
    </w:p>
    <w:p w14:paraId="4AA4D0C6" w14:textId="77777777" w:rsidR="00A71EEF" w:rsidRDefault="00A71EEF">
      <w:pPr>
        <w:pStyle w:val="a3"/>
        <w:rPr>
          <w:sz w:val="22"/>
        </w:rPr>
      </w:pPr>
    </w:p>
    <w:p w14:paraId="2FEA1B2A" w14:textId="77777777" w:rsidR="00A71EEF" w:rsidRDefault="00A71EEF">
      <w:pPr>
        <w:pStyle w:val="a3"/>
        <w:rPr>
          <w:sz w:val="22"/>
        </w:rPr>
      </w:pPr>
    </w:p>
    <w:p w14:paraId="4320EEED" w14:textId="77777777" w:rsidR="00A71EEF" w:rsidRDefault="00A71EEF">
      <w:pPr>
        <w:pStyle w:val="a3"/>
        <w:spacing w:before="9"/>
        <w:rPr>
          <w:sz w:val="32"/>
        </w:rPr>
      </w:pPr>
    </w:p>
    <w:p w14:paraId="617ADDAD" w14:textId="77777777" w:rsidR="00A71EEF" w:rsidRDefault="0081115D">
      <w:pPr>
        <w:pStyle w:val="a4"/>
        <w:numPr>
          <w:ilvl w:val="3"/>
          <w:numId w:val="661"/>
        </w:numPr>
        <w:tabs>
          <w:tab w:val="left" w:pos="1360"/>
        </w:tabs>
        <w:ind w:left="1359" w:hanging="743"/>
        <w:jc w:val="left"/>
        <w:rPr>
          <w:sz w:val="19"/>
        </w:rPr>
      </w:pPr>
      <w:r>
        <w:rPr>
          <w:spacing w:val="-3"/>
          <w:sz w:val="21"/>
        </w:rPr>
        <w:t>试验步骤</w:t>
      </w:r>
      <w:r>
        <w:rPr>
          <w:sz w:val="21"/>
        </w:rPr>
        <w:t xml:space="preserve"> </w:t>
      </w:r>
    </w:p>
    <w:p w14:paraId="41971F0C" w14:textId="77777777" w:rsidR="00A71EEF" w:rsidRDefault="00A71EEF">
      <w:pPr>
        <w:pStyle w:val="a3"/>
        <w:spacing w:before="2"/>
        <w:rPr>
          <w:sz w:val="18"/>
        </w:rPr>
      </w:pPr>
    </w:p>
    <w:p w14:paraId="5D8EEA19" w14:textId="77777777" w:rsidR="00A71EEF" w:rsidRDefault="0081115D">
      <w:pPr>
        <w:pStyle w:val="a3"/>
        <w:spacing w:line="446" w:lineRule="auto"/>
        <w:ind w:left="418" w:right="1618" w:firstLine="199"/>
      </w:pPr>
      <w:r>
        <w:t>在软管盘回转中心处垂直于盘轮平面方向，用测力计测出驱使消防水喉作水平摆动的最大拉力，用量角仪测量其摆动角度并观察摆动时的现象，应符合</w:t>
      </w:r>
      <w:r>
        <w:t xml:space="preserve"> 5.6.2 </w:t>
      </w:r>
      <w:r>
        <w:t>规定。</w:t>
      </w:r>
      <w:r>
        <w:t xml:space="preserve"> </w:t>
      </w:r>
    </w:p>
    <w:p w14:paraId="4EB799A6" w14:textId="77777777" w:rsidR="00A71EEF" w:rsidRDefault="0081115D">
      <w:pPr>
        <w:pStyle w:val="a3"/>
        <w:spacing w:line="446" w:lineRule="auto"/>
        <w:ind w:left="418" w:right="1618" w:firstLine="199"/>
      </w:pPr>
      <w:r>
        <w:t>使软管完全缠绕，在软管盘两侧外沿连线中点悬挂重物，逐渐增加悬挂物质量，直至软管盘开始旋转。计算悬挂物所产生的力矩，结果应符合</w:t>
      </w:r>
      <w:r>
        <w:t xml:space="preserve"> 5.6.2 </w:t>
      </w:r>
      <w:r>
        <w:t>规定。</w:t>
      </w:r>
      <w:r>
        <w:t xml:space="preserve"> </w:t>
      </w:r>
    </w:p>
    <w:p w14:paraId="748E439A" w14:textId="77777777" w:rsidR="00A71EEF" w:rsidRDefault="0081115D">
      <w:pPr>
        <w:ind w:left="840"/>
        <w:rPr>
          <w:b/>
          <w:sz w:val="21"/>
        </w:rPr>
      </w:pPr>
      <w:r>
        <w:rPr>
          <w:b/>
          <w:sz w:val="21"/>
        </w:rPr>
        <w:t xml:space="preserve">6.6.3 </w:t>
      </w:r>
      <w:r>
        <w:rPr>
          <w:sz w:val="21"/>
        </w:rPr>
        <w:t>消防软管卷盘的抗冲击性能试验</w:t>
      </w:r>
      <w:r>
        <w:rPr>
          <w:b/>
          <w:w w:val="99"/>
          <w:sz w:val="21"/>
        </w:rPr>
        <w:t xml:space="preserve"> </w:t>
      </w:r>
    </w:p>
    <w:p w14:paraId="10C46408" w14:textId="77777777" w:rsidR="00A71EEF" w:rsidRDefault="00A71EEF">
      <w:pPr>
        <w:pStyle w:val="a3"/>
        <w:spacing w:before="10"/>
        <w:rPr>
          <w:b/>
          <w:sz w:val="17"/>
        </w:rPr>
      </w:pPr>
    </w:p>
    <w:p w14:paraId="593E4EC3" w14:textId="77777777" w:rsidR="00A71EEF" w:rsidRDefault="0081115D">
      <w:pPr>
        <w:pStyle w:val="a3"/>
        <w:spacing w:line="446" w:lineRule="auto"/>
        <w:ind w:left="418" w:right="1505" w:firstLine="199"/>
      </w:pPr>
      <w:r>
        <w:rPr>
          <w:spacing w:val="-15"/>
        </w:rPr>
        <w:t>如图</w:t>
      </w:r>
      <w:r>
        <w:rPr>
          <w:spacing w:val="-15"/>
        </w:rPr>
        <w:t xml:space="preserve"> </w:t>
      </w:r>
      <w:r>
        <w:t>6</w:t>
      </w:r>
      <w:r>
        <w:rPr>
          <w:spacing w:val="-8"/>
        </w:rPr>
        <w:t xml:space="preserve"> </w:t>
      </w:r>
      <w:r>
        <w:rPr>
          <w:spacing w:val="-8"/>
        </w:rPr>
        <w:t>所示，利用摇臂将消防软管卷盘紧固在冲击试验架上，软管盘转轴处于水平位置。用</w:t>
      </w:r>
      <w:r>
        <w:rPr>
          <w:spacing w:val="-15"/>
        </w:rPr>
        <w:t>一截面为</w:t>
      </w:r>
      <w:r>
        <w:rPr>
          <w:spacing w:val="-15"/>
        </w:rPr>
        <w:t xml:space="preserve"> </w:t>
      </w:r>
      <w:r>
        <w:t>100mm×25mm</w:t>
      </w:r>
      <w:r>
        <w:rPr>
          <w:spacing w:val="-11"/>
        </w:rPr>
        <w:t xml:space="preserve"> </w:t>
      </w:r>
      <w:r>
        <w:rPr>
          <w:spacing w:val="-11"/>
        </w:rPr>
        <w:t>的钢梁架于盘轮上方正中位置，质量为</w:t>
      </w:r>
      <w:r>
        <w:rPr>
          <w:spacing w:val="-11"/>
        </w:rPr>
        <w:t xml:space="preserve"> </w:t>
      </w:r>
      <w:r>
        <w:t>25kg</w:t>
      </w:r>
      <w:r>
        <w:rPr>
          <w:spacing w:val="-15"/>
        </w:rPr>
        <w:t xml:space="preserve"> </w:t>
      </w:r>
      <w:r>
        <w:rPr>
          <w:spacing w:val="-15"/>
        </w:rPr>
        <w:t>的圆形重锤从</w:t>
      </w:r>
      <w:r>
        <w:rPr>
          <w:spacing w:val="-15"/>
        </w:rPr>
        <w:t xml:space="preserve"> </w:t>
      </w:r>
      <w:r>
        <w:t>300mm</w:t>
      </w:r>
      <w:r>
        <w:rPr>
          <w:spacing w:val="-14"/>
        </w:rPr>
        <w:t xml:space="preserve"> </w:t>
      </w:r>
      <w:r>
        <w:rPr>
          <w:spacing w:val="-14"/>
        </w:rPr>
        <w:t>高处自</w:t>
      </w:r>
      <w:r>
        <w:rPr>
          <w:spacing w:val="-7"/>
        </w:rPr>
        <w:t>由落下，冲击钢梁中部。</w:t>
      </w:r>
      <w:r>
        <w:t xml:space="preserve"> </w:t>
      </w:r>
    </w:p>
    <w:p w14:paraId="46607019" w14:textId="77777777" w:rsidR="00A71EEF" w:rsidRDefault="0081115D">
      <w:pPr>
        <w:pStyle w:val="a3"/>
        <w:spacing w:line="446" w:lineRule="auto"/>
        <w:ind w:left="418" w:right="1618" w:firstLine="199"/>
      </w:pPr>
      <w:r>
        <w:t>冲击一次后，将软管从软管盘内全长拉出，从入口加压力水，待腔内和管路系统内空气排除后，关闭开关喷嘴，将压力逐渐上升至</w:t>
      </w:r>
      <w:r>
        <w:t xml:space="preserve"> 0.8MPa,</w:t>
      </w:r>
      <w:r>
        <w:t>保压</w:t>
      </w:r>
      <w:r>
        <w:t xml:space="preserve"> 2min</w:t>
      </w:r>
      <w:r>
        <w:t>，结果应符合</w:t>
      </w:r>
      <w:r>
        <w:t xml:space="preserve"> 5.6.3 </w:t>
      </w:r>
      <w:r>
        <w:t>规定。</w:t>
      </w:r>
      <w:r>
        <w:t xml:space="preserve"> </w:t>
      </w:r>
    </w:p>
    <w:p w14:paraId="7CB94013" w14:textId="77777777" w:rsidR="00A71EEF" w:rsidRDefault="00A71EEF">
      <w:pPr>
        <w:spacing w:line="446" w:lineRule="auto"/>
        <w:sectPr w:rsidR="00A71EEF">
          <w:pgSz w:w="11910" w:h="16850"/>
          <w:pgMar w:top="1220" w:right="0" w:bottom="1420" w:left="1260" w:header="0" w:footer="1239" w:gutter="0"/>
          <w:cols w:space="720"/>
        </w:sectPr>
      </w:pPr>
    </w:p>
    <w:p w14:paraId="69DC26AA" w14:textId="77777777" w:rsidR="00A71EEF" w:rsidRDefault="0081115D">
      <w:pPr>
        <w:pStyle w:val="a3"/>
        <w:ind w:left="643"/>
        <w:rPr>
          <w:sz w:val="20"/>
        </w:rPr>
      </w:pPr>
      <w:r>
        <w:rPr>
          <w:noProof/>
          <w:sz w:val="20"/>
        </w:rPr>
        <w:drawing>
          <wp:inline distT="0" distB="0" distL="0" distR="0" wp14:anchorId="5BC4D9D9" wp14:editId="29E638D8">
            <wp:extent cx="5010504" cy="4467225"/>
            <wp:effectExtent l="0" t="0" r="0" b="0"/>
            <wp:docPr id="263" name="image1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162.jpeg"/>
                    <pic:cNvPicPr/>
                  </pic:nvPicPr>
                  <pic:blipFill>
                    <a:blip r:embed="rId168" cstate="print"/>
                    <a:stretch>
                      <a:fillRect/>
                    </a:stretch>
                  </pic:blipFill>
                  <pic:spPr>
                    <a:xfrm>
                      <a:off x="0" y="0"/>
                      <a:ext cx="5010504" cy="4467225"/>
                    </a:xfrm>
                    <a:prstGeom prst="rect">
                      <a:avLst/>
                    </a:prstGeom>
                  </pic:spPr>
                </pic:pic>
              </a:graphicData>
            </a:graphic>
          </wp:inline>
        </w:drawing>
      </w:r>
    </w:p>
    <w:p w14:paraId="3DC43B13" w14:textId="77777777" w:rsidR="00A71EEF" w:rsidRDefault="00A71EEF">
      <w:pPr>
        <w:pStyle w:val="a3"/>
        <w:rPr>
          <w:sz w:val="20"/>
        </w:rPr>
      </w:pPr>
    </w:p>
    <w:p w14:paraId="2C1B1049" w14:textId="77777777" w:rsidR="00A71EEF" w:rsidRDefault="00A71EEF">
      <w:pPr>
        <w:pStyle w:val="a3"/>
        <w:spacing w:before="9"/>
        <w:rPr>
          <w:sz w:val="27"/>
        </w:rPr>
      </w:pPr>
    </w:p>
    <w:p w14:paraId="254C85D5" w14:textId="77777777" w:rsidR="00A71EEF" w:rsidRDefault="0081115D">
      <w:pPr>
        <w:spacing w:before="71" w:line="446" w:lineRule="auto"/>
        <w:ind w:left="840" w:right="4014" w:firstLine="2259"/>
        <w:rPr>
          <w:b/>
          <w:sz w:val="21"/>
        </w:rPr>
      </w:pPr>
      <w:r>
        <w:rPr>
          <w:b/>
          <w:sz w:val="21"/>
        </w:rPr>
        <w:t>图</w:t>
      </w:r>
      <w:r>
        <w:rPr>
          <w:b/>
          <w:sz w:val="21"/>
        </w:rPr>
        <w:t xml:space="preserve"> 6 </w:t>
      </w:r>
      <w:r>
        <w:rPr>
          <w:b/>
          <w:sz w:val="21"/>
        </w:rPr>
        <w:t>消防软管卷盘的抗冲击性能试验</w:t>
      </w:r>
      <w:r>
        <w:rPr>
          <w:b/>
          <w:sz w:val="21"/>
        </w:rPr>
        <w:t xml:space="preserve">6.6.4 </w:t>
      </w:r>
      <w:r>
        <w:rPr>
          <w:sz w:val="21"/>
        </w:rPr>
        <w:t>消防软管卷盘的负荷性能试验</w:t>
      </w:r>
      <w:r>
        <w:rPr>
          <w:b/>
          <w:w w:val="99"/>
          <w:sz w:val="21"/>
        </w:rPr>
        <w:t xml:space="preserve"> </w:t>
      </w:r>
    </w:p>
    <w:p w14:paraId="03B6F088" w14:textId="77777777" w:rsidR="00A71EEF" w:rsidRDefault="0081115D">
      <w:pPr>
        <w:pStyle w:val="a3"/>
        <w:spacing w:line="446" w:lineRule="auto"/>
        <w:ind w:left="418" w:right="1507" w:firstLine="419"/>
      </w:pPr>
      <w:r>
        <w:rPr>
          <w:spacing w:val="-15"/>
        </w:rPr>
        <w:t>如图</w:t>
      </w:r>
      <w:r>
        <w:rPr>
          <w:spacing w:val="-15"/>
        </w:rPr>
        <w:t xml:space="preserve"> </w:t>
      </w:r>
      <w:r>
        <w:t>7</w:t>
      </w:r>
      <w:r>
        <w:rPr>
          <w:spacing w:val="-8"/>
        </w:rPr>
        <w:t xml:space="preserve"> </w:t>
      </w:r>
      <w:r>
        <w:rPr>
          <w:spacing w:val="-8"/>
        </w:rPr>
        <w:t>所示，利用摇臂将消防软管卷盘紧固在试验架上，软管盘转轴处于水平位置。用细</w:t>
      </w:r>
      <w:r>
        <w:rPr>
          <w:spacing w:val="-12"/>
        </w:rPr>
        <w:t>钢丝绳将质量为</w:t>
      </w:r>
      <w:r>
        <w:rPr>
          <w:spacing w:val="-12"/>
        </w:rPr>
        <w:t xml:space="preserve"> </w:t>
      </w:r>
      <w:r>
        <w:t>80kg</w:t>
      </w:r>
      <w:r>
        <w:rPr>
          <w:spacing w:val="-11"/>
        </w:rPr>
        <w:t xml:space="preserve"> </w:t>
      </w:r>
      <w:r>
        <w:rPr>
          <w:spacing w:val="-11"/>
        </w:rPr>
        <w:t>的重锤悬挂于外侧盘轮的轮缘上，静载</w:t>
      </w:r>
      <w:r>
        <w:rPr>
          <w:spacing w:val="-11"/>
        </w:rPr>
        <w:t xml:space="preserve"> </w:t>
      </w:r>
      <w:r>
        <w:t>72h</w:t>
      </w:r>
      <w:r>
        <w:rPr>
          <w:spacing w:val="-21"/>
        </w:rPr>
        <w:t xml:space="preserve"> </w:t>
      </w:r>
      <w:r>
        <w:rPr>
          <w:spacing w:val="-21"/>
        </w:rPr>
        <w:t>后，按</w:t>
      </w:r>
      <w:r>
        <w:rPr>
          <w:spacing w:val="-21"/>
        </w:rPr>
        <w:t xml:space="preserve"> </w:t>
      </w:r>
      <w:r>
        <w:t>6.6.3</w:t>
      </w:r>
      <w:r>
        <w:rPr>
          <w:spacing w:val="-8"/>
        </w:rPr>
        <w:t xml:space="preserve"> </w:t>
      </w:r>
      <w:r>
        <w:rPr>
          <w:spacing w:val="-8"/>
        </w:rPr>
        <w:t>中规定的冲击后的试验方法进行试验，其结果应符合</w:t>
      </w:r>
      <w:r>
        <w:rPr>
          <w:spacing w:val="-8"/>
        </w:rPr>
        <w:t xml:space="preserve"> </w:t>
      </w:r>
      <w:r>
        <w:t>5.6.4</w:t>
      </w:r>
      <w:r>
        <w:rPr>
          <w:spacing w:val="-15"/>
        </w:rPr>
        <w:t xml:space="preserve"> </w:t>
      </w:r>
      <w:r>
        <w:rPr>
          <w:spacing w:val="-15"/>
        </w:rPr>
        <w:t>规定。</w:t>
      </w:r>
      <w:r>
        <w:t xml:space="preserve"> </w:t>
      </w:r>
      <w:r>
        <w:rPr>
          <w:spacing w:val="1"/>
        </w:rPr>
        <w:t xml:space="preserve"> </w:t>
      </w:r>
      <w:r>
        <w:t xml:space="preserve"> </w:t>
      </w:r>
    </w:p>
    <w:p w14:paraId="1C365512" w14:textId="77777777" w:rsidR="00A71EEF" w:rsidRDefault="00A71EEF">
      <w:pPr>
        <w:spacing w:line="446" w:lineRule="auto"/>
        <w:sectPr w:rsidR="00A71EEF">
          <w:footerReference w:type="default" r:id="rId169"/>
          <w:pgSz w:w="11910" w:h="16850"/>
          <w:pgMar w:top="1200" w:right="0" w:bottom="1420" w:left="1260" w:header="0" w:footer="1239" w:gutter="0"/>
          <w:pgNumType w:start="1080"/>
          <w:cols w:space="720"/>
        </w:sectPr>
      </w:pPr>
    </w:p>
    <w:p w14:paraId="6B6A47D6" w14:textId="77777777" w:rsidR="00A71EEF" w:rsidRDefault="00A71EEF">
      <w:pPr>
        <w:pStyle w:val="a3"/>
        <w:spacing w:before="10"/>
        <w:rPr>
          <w:sz w:val="11"/>
        </w:rPr>
      </w:pPr>
    </w:p>
    <w:p w14:paraId="6752D4B3" w14:textId="77777777" w:rsidR="00A71EEF" w:rsidRDefault="0081115D">
      <w:pPr>
        <w:pStyle w:val="a3"/>
        <w:ind w:left="1198"/>
        <w:rPr>
          <w:sz w:val="20"/>
        </w:rPr>
      </w:pPr>
      <w:r>
        <w:rPr>
          <w:noProof/>
          <w:sz w:val="20"/>
        </w:rPr>
        <w:drawing>
          <wp:inline distT="0" distB="0" distL="0" distR="0" wp14:anchorId="001F763D" wp14:editId="5207A560">
            <wp:extent cx="4638674" cy="4419600"/>
            <wp:effectExtent l="0" t="0" r="0" b="0"/>
            <wp:docPr id="265" name="image1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163.jpeg"/>
                    <pic:cNvPicPr/>
                  </pic:nvPicPr>
                  <pic:blipFill>
                    <a:blip r:embed="rId170" cstate="print"/>
                    <a:stretch>
                      <a:fillRect/>
                    </a:stretch>
                  </pic:blipFill>
                  <pic:spPr>
                    <a:xfrm>
                      <a:off x="0" y="0"/>
                      <a:ext cx="4638674" cy="4419600"/>
                    </a:xfrm>
                    <a:prstGeom prst="rect">
                      <a:avLst/>
                    </a:prstGeom>
                  </pic:spPr>
                </pic:pic>
              </a:graphicData>
            </a:graphic>
          </wp:inline>
        </w:drawing>
      </w:r>
    </w:p>
    <w:p w14:paraId="6FB6CFE2" w14:textId="77777777" w:rsidR="00A71EEF" w:rsidRDefault="00A71EEF">
      <w:pPr>
        <w:pStyle w:val="a3"/>
        <w:rPr>
          <w:sz w:val="20"/>
        </w:rPr>
      </w:pPr>
    </w:p>
    <w:p w14:paraId="535210C7" w14:textId="77777777" w:rsidR="00A71EEF" w:rsidRDefault="00A71EEF">
      <w:pPr>
        <w:pStyle w:val="a3"/>
        <w:rPr>
          <w:sz w:val="20"/>
        </w:rPr>
      </w:pPr>
    </w:p>
    <w:p w14:paraId="0E5A8FEB" w14:textId="77777777" w:rsidR="00A71EEF" w:rsidRDefault="00A71EEF">
      <w:pPr>
        <w:pStyle w:val="a3"/>
        <w:spacing w:before="8"/>
        <w:rPr>
          <w:sz w:val="18"/>
        </w:rPr>
      </w:pPr>
    </w:p>
    <w:p w14:paraId="434FD3E2" w14:textId="77777777" w:rsidR="00A71EEF" w:rsidRDefault="0081115D">
      <w:pPr>
        <w:spacing w:line="446" w:lineRule="auto"/>
        <w:ind w:left="840" w:right="4119" w:firstLine="2364"/>
        <w:rPr>
          <w:b/>
          <w:sz w:val="21"/>
        </w:rPr>
      </w:pPr>
      <w:r>
        <w:rPr>
          <w:b/>
          <w:sz w:val="21"/>
        </w:rPr>
        <w:t>图</w:t>
      </w:r>
      <w:r>
        <w:rPr>
          <w:b/>
          <w:sz w:val="21"/>
        </w:rPr>
        <w:t xml:space="preserve"> 7 </w:t>
      </w:r>
      <w:r>
        <w:rPr>
          <w:b/>
          <w:sz w:val="21"/>
        </w:rPr>
        <w:t>消防软管卷盘的负荷性能试验</w:t>
      </w:r>
      <w:r>
        <w:rPr>
          <w:b/>
          <w:sz w:val="21"/>
        </w:rPr>
        <w:t xml:space="preserve">6.6.5 </w:t>
      </w:r>
      <w:r>
        <w:rPr>
          <w:sz w:val="21"/>
        </w:rPr>
        <w:t>消防软管卷盘的连接性能试验</w:t>
      </w:r>
      <w:r>
        <w:rPr>
          <w:b/>
          <w:w w:val="99"/>
          <w:sz w:val="21"/>
        </w:rPr>
        <w:t xml:space="preserve"> </w:t>
      </w:r>
    </w:p>
    <w:p w14:paraId="688050B4" w14:textId="77777777" w:rsidR="00A71EEF" w:rsidRDefault="0081115D">
      <w:pPr>
        <w:pStyle w:val="a3"/>
        <w:spacing w:line="446" w:lineRule="auto"/>
        <w:ind w:left="418" w:right="1507" w:firstLine="419"/>
      </w:pPr>
      <w:r>
        <w:rPr>
          <w:spacing w:val="-3"/>
        </w:rPr>
        <w:t>把软管从软管盘内全长拉出，将进水口与水压试验台相连，待腔内和管路系统内空气排除</w:t>
      </w:r>
      <w:r>
        <w:rPr>
          <w:spacing w:val="-6"/>
        </w:rPr>
        <w:t>后，关闭开关喷嘴，将压力逐渐上升至</w:t>
      </w:r>
      <w:r>
        <w:rPr>
          <w:spacing w:val="-6"/>
        </w:rPr>
        <w:t xml:space="preserve"> </w:t>
      </w:r>
      <w:r>
        <w:t>0.8MPa</w:t>
      </w:r>
      <w:r>
        <w:rPr>
          <w:spacing w:val="-12"/>
        </w:rPr>
        <w:t>，保压</w:t>
      </w:r>
      <w:r>
        <w:rPr>
          <w:spacing w:val="-12"/>
        </w:rPr>
        <w:t xml:space="preserve"> </w:t>
      </w:r>
      <w:r>
        <w:t>2min</w:t>
      </w:r>
      <w:r>
        <w:rPr>
          <w:spacing w:val="-3"/>
        </w:rPr>
        <w:t>，检査软管与软管盘进、出口的连接</w:t>
      </w:r>
      <w:r>
        <w:rPr>
          <w:spacing w:val="-13"/>
        </w:rPr>
        <w:t>应符合</w:t>
      </w:r>
      <w:r>
        <w:rPr>
          <w:spacing w:val="-13"/>
        </w:rPr>
        <w:t xml:space="preserve"> </w:t>
      </w:r>
      <w:r>
        <w:t>5.6.5</w:t>
      </w:r>
      <w:r>
        <w:rPr>
          <w:spacing w:val="-8"/>
        </w:rPr>
        <w:t xml:space="preserve"> </w:t>
      </w:r>
      <w:r>
        <w:rPr>
          <w:spacing w:val="-8"/>
        </w:rPr>
        <w:t>的规定；检査软管盘内各密封部位、软管与软管盘连接部位、软管与开关喷嘴连接部位、软管与进口阀连接部位应符合</w:t>
      </w:r>
      <w:r>
        <w:rPr>
          <w:spacing w:val="-8"/>
        </w:rPr>
        <w:t xml:space="preserve"> </w:t>
      </w:r>
      <w:r>
        <w:t>5.6.5</w:t>
      </w:r>
      <w:r>
        <w:rPr>
          <w:spacing w:val="-12"/>
        </w:rPr>
        <w:t xml:space="preserve"> </w:t>
      </w:r>
      <w:r>
        <w:rPr>
          <w:spacing w:val="-12"/>
        </w:rPr>
        <w:t>规定。然后将压力逐渐上升至</w:t>
      </w:r>
      <w:r>
        <w:rPr>
          <w:spacing w:val="-12"/>
        </w:rPr>
        <w:t xml:space="preserve"> </w:t>
      </w:r>
      <w:r>
        <w:t>1.2MPa</w:t>
      </w:r>
      <w:r>
        <w:rPr>
          <w:spacing w:val="-3"/>
        </w:rPr>
        <w:t>,</w:t>
      </w:r>
      <w:r>
        <w:rPr>
          <w:spacing w:val="-3"/>
        </w:rPr>
        <w:t>保压</w:t>
      </w:r>
      <w:r>
        <w:t>2min</w:t>
      </w:r>
      <w:r>
        <w:rPr>
          <w:spacing w:val="-10"/>
        </w:rPr>
        <w:t>，其结果应符合</w:t>
      </w:r>
      <w:r>
        <w:rPr>
          <w:spacing w:val="-10"/>
        </w:rPr>
        <w:t xml:space="preserve"> </w:t>
      </w:r>
      <w:r>
        <w:t>5.6.5</w:t>
      </w:r>
      <w:r>
        <w:rPr>
          <w:spacing w:val="-13"/>
        </w:rPr>
        <w:t xml:space="preserve"> </w:t>
      </w:r>
      <w:r>
        <w:rPr>
          <w:spacing w:val="-13"/>
        </w:rPr>
        <w:t>的规定。</w:t>
      </w:r>
      <w:r>
        <w:t xml:space="preserve"> </w:t>
      </w:r>
    </w:p>
    <w:p w14:paraId="1DA4EDCC" w14:textId="77777777" w:rsidR="00A71EEF" w:rsidRDefault="0081115D">
      <w:pPr>
        <w:pStyle w:val="a4"/>
        <w:numPr>
          <w:ilvl w:val="2"/>
          <w:numId w:val="660"/>
        </w:numPr>
        <w:tabs>
          <w:tab w:val="left" w:pos="1370"/>
        </w:tabs>
        <w:spacing w:line="268" w:lineRule="exact"/>
        <w:ind w:hanging="530"/>
        <w:rPr>
          <w:b/>
          <w:sz w:val="21"/>
        </w:rPr>
      </w:pPr>
      <w:r>
        <w:rPr>
          <w:spacing w:val="-3"/>
          <w:sz w:val="21"/>
        </w:rPr>
        <w:t>消防软管卷盘的软管性能试验</w:t>
      </w:r>
      <w:r>
        <w:rPr>
          <w:b/>
          <w:w w:val="99"/>
          <w:sz w:val="21"/>
        </w:rPr>
        <w:t xml:space="preserve"> </w:t>
      </w:r>
    </w:p>
    <w:p w14:paraId="5B436DDF" w14:textId="77777777" w:rsidR="00A71EEF" w:rsidRDefault="00A71EEF">
      <w:pPr>
        <w:pStyle w:val="a3"/>
        <w:spacing w:before="12"/>
        <w:rPr>
          <w:b/>
          <w:sz w:val="17"/>
        </w:rPr>
      </w:pPr>
    </w:p>
    <w:p w14:paraId="44DAD7C8" w14:textId="77777777" w:rsidR="00A71EEF" w:rsidRDefault="0081115D">
      <w:pPr>
        <w:pStyle w:val="a4"/>
        <w:numPr>
          <w:ilvl w:val="3"/>
          <w:numId w:val="660"/>
        </w:numPr>
        <w:tabs>
          <w:tab w:val="left" w:pos="1576"/>
        </w:tabs>
        <w:spacing w:line="446" w:lineRule="auto"/>
        <w:ind w:right="1455" w:firstLine="419"/>
        <w:rPr>
          <w:sz w:val="21"/>
        </w:rPr>
      </w:pPr>
      <w:r>
        <w:rPr>
          <w:spacing w:val="-3"/>
          <w:sz w:val="21"/>
        </w:rPr>
        <w:t>把软管从软管盘内全长拉出，将进水口与水压试验台相连，待腔内和管路系统内空</w:t>
      </w:r>
      <w:r>
        <w:rPr>
          <w:spacing w:val="-5"/>
          <w:sz w:val="21"/>
        </w:rPr>
        <w:t>气排除后，</w:t>
      </w:r>
      <w:r>
        <w:rPr>
          <w:spacing w:val="-5"/>
          <w:sz w:val="21"/>
        </w:rPr>
        <w:t xml:space="preserve"> </w:t>
      </w:r>
      <w:r>
        <w:rPr>
          <w:spacing w:val="-5"/>
          <w:sz w:val="21"/>
        </w:rPr>
        <w:t>关闭开关喷嘴，将输入软管的压力逐渐上升至</w:t>
      </w:r>
      <w:r>
        <w:rPr>
          <w:spacing w:val="-5"/>
          <w:sz w:val="21"/>
        </w:rPr>
        <w:t xml:space="preserve"> </w:t>
      </w:r>
      <w:r>
        <w:rPr>
          <w:sz w:val="21"/>
        </w:rPr>
        <w:t>0.8MPa</w:t>
      </w:r>
      <w:r>
        <w:rPr>
          <w:spacing w:val="-10"/>
          <w:sz w:val="21"/>
        </w:rPr>
        <w:t>，在任选的</w:t>
      </w:r>
      <w:r>
        <w:rPr>
          <w:spacing w:val="-10"/>
          <w:sz w:val="21"/>
        </w:rPr>
        <w:t xml:space="preserve"> </w:t>
      </w:r>
      <w:r>
        <w:rPr>
          <w:sz w:val="21"/>
        </w:rPr>
        <w:t>15m</w:t>
      </w:r>
      <w:r>
        <w:rPr>
          <w:spacing w:val="-9"/>
          <w:sz w:val="21"/>
        </w:rPr>
        <w:t xml:space="preserve"> </w:t>
      </w:r>
      <w:r>
        <w:rPr>
          <w:spacing w:val="-9"/>
          <w:sz w:val="21"/>
        </w:rPr>
        <w:t>长度范围内的</w:t>
      </w:r>
      <w:r>
        <w:rPr>
          <w:spacing w:val="-6"/>
          <w:sz w:val="21"/>
        </w:rPr>
        <w:t>两端及中部共三处，分别测出其周长膨胀的算术平均值，应符合</w:t>
      </w:r>
      <w:r>
        <w:rPr>
          <w:spacing w:val="-6"/>
          <w:sz w:val="21"/>
        </w:rPr>
        <w:t xml:space="preserve"> </w:t>
      </w:r>
      <w:r>
        <w:rPr>
          <w:sz w:val="21"/>
        </w:rPr>
        <w:t>5.6.6.1</w:t>
      </w:r>
      <w:r>
        <w:rPr>
          <w:spacing w:val="-13"/>
          <w:sz w:val="21"/>
        </w:rPr>
        <w:t xml:space="preserve"> </w:t>
      </w:r>
      <w:r>
        <w:rPr>
          <w:spacing w:val="-13"/>
          <w:sz w:val="21"/>
        </w:rPr>
        <w:t>规定</w:t>
      </w:r>
      <w:r>
        <w:rPr>
          <w:spacing w:val="-13"/>
          <w:sz w:val="21"/>
        </w:rPr>
        <w:t>.</w:t>
      </w:r>
      <w:r>
        <w:rPr>
          <w:spacing w:val="-13"/>
          <w:sz w:val="21"/>
        </w:rPr>
        <w:t>。</w:t>
      </w:r>
      <w:r>
        <w:rPr>
          <w:sz w:val="21"/>
        </w:rPr>
        <w:t xml:space="preserve"> </w:t>
      </w:r>
    </w:p>
    <w:p w14:paraId="1A94F058" w14:textId="77777777" w:rsidR="00A71EEF" w:rsidRDefault="0081115D">
      <w:pPr>
        <w:pStyle w:val="a4"/>
        <w:numPr>
          <w:ilvl w:val="3"/>
          <w:numId w:val="660"/>
        </w:numPr>
        <w:tabs>
          <w:tab w:val="left" w:pos="1576"/>
        </w:tabs>
        <w:spacing w:line="268" w:lineRule="exact"/>
        <w:ind w:left="1575"/>
        <w:rPr>
          <w:sz w:val="21"/>
        </w:rPr>
      </w:pPr>
      <w:r>
        <w:rPr>
          <w:spacing w:val="-8"/>
          <w:sz w:val="21"/>
        </w:rPr>
        <w:t>在软管全长上任意截取</w:t>
      </w:r>
      <w:r>
        <w:rPr>
          <w:spacing w:val="-8"/>
          <w:sz w:val="21"/>
        </w:rPr>
        <w:t xml:space="preserve"> </w:t>
      </w:r>
      <w:r>
        <w:rPr>
          <w:sz w:val="21"/>
        </w:rPr>
        <w:t>1m</w:t>
      </w:r>
      <w:r>
        <w:rPr>
          <w:spacing w:val="-9"/>
          <w:sz w:val="21"/>
        </w:rPr>
        <w:t xml:space="preserve"> </w:t>
      </w:r>
      <w:r>
        <w:rPr>
          <w:spacing w:val="-9"/>
          <w:sz w:val="21"/>
        </w:rPr>
        <w:t>长试样，一端与水源相接，另一端封闭固定，充水并排</w:t>
      </w:r>
    </w:p>
    <w:p w14:paraId="5ED52DE5" w14:textId="77777777" w:rsidR="00A71EEF" w:rsidRDefault="00A71EEF">
      <w:pPr>
        <w:spacing w:line="268" w:lineRule="exact"/>
        <w:rPr>
          <w:sz w:val="21"/>
        </w:rPr>
        <w:sectPr w:rsidR="00A71EEF">
          <w:pgSz w:w="11910" w:h="16850"/>
          <w:pgMar w:top="1600" w:right="0" w:bottom="1420" w:left="1260" w:header="0" w:footer="1239" w:gutter="0"/>
          <w:cols w:space="720"/>
        </w:sectPr>
      </w:pPr>
    </w:p>
    <w:p w14:paraId="334E806F" w14:textId="77777777" w:rsidR="00A71EEF" w:rsidRDefault="0081115D">
      <w:pPr>
        <w:pStyle w:val="a3"/>
        <w:spacing w:before="47" w:line="446" w:lineRule="auto"/>
        <w:ind w:left="840" w:right="4126" w:hanging="423"/>
        <w:rPr>
          <w:b/>
        </w:rPr>
      </w:pPr>
      <w:r>
        <w:t>尽空气后，逐渐升压至</w:t>
      </w:r>
      <w:r>
        <w:t xml:space="preserve"> 2.4MPa</w:t>
      </w:r>
      <w:r>
        <w:t>，其结果应符合</w:t>
      </w:r>
      <w:r>
        <w:t xml:space="preserve"> 5.6.6.2 </w:t>
      </w:r>
      <w:r>
        <w:t>的规定。</w:t>
      </w:r>
      <w:r>
        <w:rPr>
          <w:b/>
        </w:rPr>
        <w:t xml:space="preserve">6.6.7 </w:t>
      </w:r>
      <w:r>
        <w:t>消防软管卷盘进水控制阀的水压强度试验</w:t>
      </w:r>
      <w:r>
        <w:rPr>
          <w:b/>
          <w:w w:val="99"/>
        </w:rPr>
        <w:t xml:space="preserve"> </w:t>
      </w:r>
    </w:p>
    <w:p w14:paraId="65A1FEC9" w14:textId="77777777" w:rsidR="00A71EEF" w:rsidRDefault="0081115D">
      <w:pPr>
        <w:pStyle w:val="a3"/>
        <w:spacing w:line="446" w:lineRule="auto"/>
        <w:ind w:left="418" w:right="1609" w:firstLine="419"/>
      </w:pPr>
      <w:r>
        <w:t>将消防软管卷盘进水控制阀进水口与水压试验台相连，待腔内空气排除后封住出水口，压力逐渐上升至</w:t>
      </w:r>
      <w:r>
        <w:t xml:space="preserve"> 2.4MPa </w:t>
      </w:r>
      <w:r>
        <w:t>后，保压</w:t>
      </w:r>
      <w:r>
        <w:t xml:space="preserve"> 2min</w:t>
      </w:r>
      <w:r>
        <w:t>，其结果应符合</w:t>
      </w:r>
      <w:r>
        <w:t xml:space="preserve"> 5.6.7 </w:t>
      </w:r>
      <w:r>
        <w:t>规定。</w:t>
      </w:r>
      <w:r>
        <w:t xml:space="preserve"> </w:t>
      </w:r>
    </w:p>
    <w:p w14:paraId="12B84468" w14:textId="77777777" w:rsidR="00A71EEF" w:rsidRDefault="0081115D">
      <w:pPr>
        <w:pStyle w:val="a4"/>
        <w:numPr>
          <w:ilvl w:val="1"/>
          <w:numId w:val="662"/>
        </w:numPr>
        <w:tabs>
          <w:tab w:val="left" w:pos="1159"/>
        </w:tabs>
        <w:ind w:hanging="319"/>
        <w:rPr>
          <w:sz w:val="21"/>
        </w:rPr>
      </w:pPr>
      <w:r>
        <w:rPr>
          <w:spacing w:val="-3"/>
          <w:sz w:val="21"/>
        </w:rPr>
        <w:t>电器设备性能检验</w:t>
      </w:r>
      <w:r>
        <w:rPr>
          <w:sz w:val="21"/>
        </w:rPr>
        <w:t xml:space="preserve"> </w:t>
      </w:r>
    </w:p>
    <w:p w14:paraId="42250606" w14:textId="77777777" w:rsidR="00A71EEF" w:rsidRDefault="00A71EEF">
      <w:pPr>
        <w:pStyle w:val="a3"/>
        <w:spacing w:before="10"/>
        <w:rPr>
          <w:sz w:val="17"/>
        </w:rPr>
      </w:pPr>
    </w:p>
    <w:p w14:paraId="2164EF85" w14:textId="77777777" w:rsidR="00A71EEF" w:rsidRDefault="0081115D">
      <w:pPr>
        <w:pStyle w:val="a4"/>
        <w:numPr>
          <w:ilvl w:val="2"/>
          <w:numId w:val="662"/>
        </w:numPr>
        <w:tabs>
          <w:tab w:val="left" w:pos="1370"/>
        </w:tabs>
        <w:ind w:hanging="530"/>
        <w:rPr>
          <w:b/>
          <w:sz w:val="21"/>
        </w:rPr>
      </w:pPr>
      <w:r>
        <w:rPr>
          <w:spacing w:val="-3"/>
          <w:sz w:val="21"/>
        </w:rPr>
        <w:t>绝缘电阻测定</w:t>
      </w:r>
      <w:r>
        <w:rPr>
          <w:b/>
          <w:w w:val="99"/>
          <w:sz w:val="21"/>
        </w:rPr>
        <w:t xml:space="preserve"> </w:t>
      </w:r>
    </w:p>
    <w:p w14:paraId="384584E7" w14:textId="77777777" w:rsidR="00A71EEF" w:rsidRDefault="00A71EEF">
      <w:pPr>
        <w:pStyle w:val="a3"/>
        <w:spacing w:before="2"/>
        <w:rPr>
          <w:b/>
          <w:sz w:val="18"/>
        </w:rPr>
      </w:pPr>
    </w:p>
    <w:p w14:paraId="5E08659D" w14:textId="77777777" w:rsidR="00A71EEF" w:rsidRDefault="0081115D">
      <w:pPr>
        <w:pStyle w:val="a3"/>
        <w:ind w:left="838"/>
      </w:pPr>
      <w:r>
        <w:t>试验设备应满足下列要求：</w:t>
      </w:r>
      <w:r>
        <w:t xml:space="preserve"> </w:t>
      </w:r>
    </w:p>
    <w:p w14:paraId="032F0DC2" w14:textId="77777777" w:rsidR="00A71EEF" w:rsidRDefault="00A71EEF">
      <w:pPr>
        <w:pStyle w:val="a3"/>
        <w:rPr>
          <w:sz w:val="18"/>
        </w:rPr>
      </w:pPr>
    </w:p>
    <w:p w14:paraId="3F2F7729" w14:textId="77777777" w:rsidR="00A71EEF" w:rsidRDefault="0081115D">
      <w:pPr>
        <w:pStyle w:val="a3"/>
        <w:ind w:left="838"/>
      </w:pPr>
      <w:r>
        <w:t>试验电压：</w:t>
      </w:r>
      <w:r>
        <w:t>500Vd.c.</w:t>
      </w:r>
      <w:r>
        <w:t>士</w:t>
      </w:r>
      <w:r>
        <w:t xml:space="preserve"> 50Vd.</w:t>
      </w:r>
      <w:r>
        <w:t>c.</w:t>
      </w:r>
      <w:r>
        <w:t>；</w:t>
      </w:r>
      <w:r>
        <w:t xml:space="preserve"> </w:t>
      </w:r>
    </w:p>
    <w:p w14:paraId="1AFB35C4" w14:textId="77777777" w:rsidR="00A71EEF" w:rsidRDefault="0081115D">
      <w:pPr>
        <w:pStyle w:val="a3"/>
        <w:spacing w:before="163" w:line="352" w:lineRule="auto"/>
        <w:ind w:left="838" w:right="7389"/>
      </w:pPr>
      <w:r>
        <w:t>测试范围：</w:t>
      </w:r>
      <w:r>
        <w:t>0</w:t>
      </w:r>
      <w:r>
        <w:rPr>
          <w:rFonts w:ascii="微软雅黑" w:eastAsia="微软雅黑" w:hAnsi="微软雅黑" w:hint="eastAsia"/>
        </w:rPr>
        <w:t>〜</w:t>
      </w:r>
      <w:r>
        <w:t>500 MΩ</w:t>
      </w:r>
      <w:r>
        <w:t>；</w:t>
      </w:r>
      <w:r>
        <w:t xml:space="preserve"> </w:t>
      </w:r>
      <w:r>
        <w:t>最小分度：</w:t>
      </w:r>
      <w:r>
        <w:t>0.1MΩ</w:t>
      </w:r>
      <w:r>
        <w:t>；</w:t>
      </w:r>
      <w:r>
        <w:t xml:space="preserve"> </w:t>
      </w:r>
    </w:p>
    <w:p w14:paraId="324A70D4" w14:textId="77777777" w:rsidR="00A71EEF" w:rsidRDefault="0081115D">
      <w:pPr>
        <w:pStyle w:val="a3"/>
        <w:spacing w:before="104"/>
        <w:ind w:left="838"/>
      </w:pPr>
      <w:r>
        <w:t>计时：</w:t>
      </w:r>
      <w:r>
        <w:t xml:space="preserve">60s </w:t>
      </w:r>
      <w:r>
        <w:t>土</w:t>
      </w:r>
      <w:r>
        <w:t xml:space="preserve"> 5s</w:t>
      </w:r>
      <w:r>
        <w:t>。</w:t>
      </w:r>
      <w:r>
        <w:t xml:space="preserve"> </w:t>
      </w:r>
    </w:p>
    <w:p w14:paraId="6CD73993" w14:textId="77777777" w:rsidR="00A71EEF" w:rsidRDefault="00A71EEF">
      <w:pPr>
        <w:pStyle w:val="a3"/>
        <w:spacing w:before="12"/>
        <w:rPr>
          <w:sz w:val="17"/>
        </w:rPr>
      </w:pPr>
    </w:p>
    <w:p w14:paraId="17C89DF6" w14:textId="77777777" w:rsidR="00A71EEF" w:rsidRDefault="0081115D">
      <w:pPr>
        <w:pStyle w:val="a3"/>
        <w:ind w:left="838"/>
      </w:pPr>
      <w:r>
        <w:t>在不具备专用测试装置的条件下，也可用兆欧表或摇表测试。</w:t>
      </w:r>
      <w:r>
        <w:t xml:space="preserve"> </w:t>
      </w:r>
    </w:p>
    <w:p w14:paraId="0660AD07" w14:textId="77777777" w:rsidR="00A71EEF" w:rsidRDefault="00A71EEF">
      <w:pPr>
        <w:pStyle w:val="a3"/>
        <w:spacing w:before="2"/>
        <w:rPr>
          <w:sz w:val="18"/>
        </w:rPr>
      </w:pPr>
    </w:p>
    <w:p w14:paraId="45DAA408" w14:textId="77777777" w:rsidR="00A71EEF" w:rsidRDefault="0081115D">
      <w:pPr>
        <w:pStyle w:val="a3"/>
        <w:spacing w:line="446" w:lineRule="auto"/>
        <w:ind w:left="418" w:right="1506" w:firstLine="419"/>
      </w:pPr>
      <w:r>
        <w:rPr>
          <w:spacing w:val="-5"/>
        </w:rPr>
        <w:t>试验时，通过绝缘电阻试验装置，分别对试样被试的部位施加</w:t>
      </w:r>
      <w:r>
        <w:rPr>
          <w:spacing w:val="-5"/>
        </w:rPr>
        <w:t xml:space="preserve"> </w:t>
      </w:r>
      <w:r>
        <w:t>500Vd.c</w:t>
      </w:r>
      <w:r>
        <w:rPr>
          <w:spacing w:val="-15"/>
        </w:rPr>
        <w:t>.</w:t>
      </w:r>
      <w:r>
        <w:rPr>
          <w:spacing w:val="-15"/>
        </w:rPr>
        <w:t>士</w:t>
      </w:r>
      <w:r>
        <w:rPr>
          <w:spacing w:val="-15"/>
        </w:rPr>
        <w:t xml:space="preserve"> </w:t>
      </w:r>
      <w:r>
        <w:t>50Vd.c</w:t>
      </w:r>
      <w:r>
        <w:rPr>
          <w:spacing w:val="-1"/>
        </w:rPr>
        <w:t>.</w:t>
      </w:r>
      <w:r>
        <w:rPr>
          <w:spacing w:val="-1"/>
        </w:rPr>
        <w:t>直流电</w:t>
      </w:r>
      <w:r>
        <w:rPr>
          <w:spacing w:val="-11"/>
        </w:rPr>
        <w:t>压，持续</w:t>
      </w:r>
      <w:r>
        <w:rPr>
          <w:spacing w:val="-11"/>
        </w:rPr>
        <w:t xml:space="preserve"> </w:t>
      </w:r>
      <w:r>
        <w:t>60s</w:t>
      </w:r>
      <w:r>
        <w:rPr>
          <w:spacing w:val="-30"/>
        </w:rPr>
        <w:t xml:space="preserve"> </w:t>
      </w:r>
      <w:r>
        <w:rPr>
          <w:spacing w:val="-30"/>
        </w:rPr>
        <w:t>士</w:t>
      </w:r>
      <w:r>
        <w:rPr>
          <w:spacing w:val="-30"/>
        </w:rPr>
        <w:t xml:space="preserve"> </w:t>
      </w:r>
      <w:r>
        <w:t>5s</w:t>
      </w:r>
      <w:r>
        <w:rPr>
          <w:spacing w:val="-8"/>
        </w:rPr>
        <w:t xml:space="preserve"> </w:t>
      </w:r>
      <w:r>
        <w:rPr>
          <w:spacing w:val="-8"/>
        </w:rPr>
        <w:t>后，测量其绝缘电阻值。试验时，应保证接触点有可靠的接触，引线间的绝</w:t>
      </w:r>
      <w:r>
        <w:rPr>
          <w:spacing w:val="-5"/>
        </w:rPr>
        <w:t>缘电阻应足够大，以保证读数正确。</w:t>
      </w:r>
      <w:r>
        <w:t xml:space="preserve"> </w:t>
      </w:r>
    </w:p>
    <w:p w14:paraId="6FD3B37A" w14:textId="77777777" w:rsidR="00A71EEF" w:rsidRDefault="0081115D">
      <w:pPr>
        <w:spacing w:line="446" w:lineRule="auto"/>
        <w:ind w:left="840" w:right="6757" w:hanging="3"/>
        <w:rPr>
          <w:b/>
          <w:sz w:val="21"/>
        </w:rPr>
      </w:pPr>
      <w:r>
        <w:rPr>
          <w:sz w:val="21"/>
        </w:rPr>
        <w:t>试验结果应符合</w:t>
      </w:r>
      <w:r>
        <w:rPr>
          <w:sz w:val="21"/>
        </w:rPr>
        <w:t xml:space="preserve"> 5.7.5 </w:t>
      </w:r>
      <w:r>
        <w:rPr>
          <w:sz w:val="21"/>
        </w:rPr>
        <w:t>的要求。</w:t>
      </w:r>
      <w:r>
        <w:rPr>
          <w:b/>
          <w:sz w:val="21"/>
        </w:rPr>
        <w:t xml:space="preserve">6.7.2 </w:t>
      </w:r>
      <w:r>
        <w:rPr>
          <w:sz w:val="21"/>
        </w:rPr>
        <w:t>触点接触电阻测定</w:t>
      </w:r>
      <w:r>
        <w:rPr>
          <w:b/>
          <w:w w:val="99"/>
          <w:sz w:val="21"/>
        </w:rPr>
        <w:t xml:space="preserve"> </w:t>
      </w:r>
    </w:p>
    <w:p w14:paraId="279930BB" w14:textId="77777777" w:rsidR="00A71EEF" w:rsidRDefault="0081115D">
      <w:pPr>
        <w:pStyle w:val="a3"/>
        <w:spacing w:line="446" w:lineRule="auto"/>
        <w:ind w:left="418" w:right="1608" w:firstLine="419"/>
        <w:jc w:val="both"/>
      </w:pPr>
      <w:r>
        <w:t>可用数字毫欧表，直接测量触点的接触电阻，也可用测触点间电压降的方法，换算出触点的接触电阻，同时用两种方法测量时，则选取数值较大者作为测试结果。测试结果取连续测量五次的平均值，并应符合</w:t>
      </w:r>
      <w:r>
        <w:t xml:space="preserve"> 5.7.1 </w:t>
      </w:r>
      <w:r>
        <w:t>的要求。</w:t>
      </w:r>
      <w:r>
        <w:t xml:space="preserve"> </w:t>
      </w:r>
    </w:p>
    <w:p w14:paraId="3AEF2E81" w14:textId="77777777" w:rsidR="00A71EEF" w:rsidRDefault="0081115D">
      <w:pPr>
        <w:spacing w:line="268" w:lineRule="exact"/>
        <w:ind w:left="840"/>
        <w:rPr>
          <w:b/>
          <w:sz w:val="21"/>
        </w:rPr>
      </w:pPr>
      <w:r>
        <w:rPr>
          <w:b/>
          <w:sz w:val="21"/>
        </w:rPr>
        <w:t xml:space="preserve">6.7.3 </w:t>
      </w:r>
      <w:r>
        <w:rPr>
          <w:sz w:val="21"/>
        </w:rPr>
        <w:t>外壳防护等级试验</w:t>
      </w:r>
      <w:r>
        <w:rPr>
          <w:b/>
          <w:w w:val="99"/>
          <w:sz w:val="21"/>
        </w:rPr>
        <w:t xml:space="preserve"> </w:t>
      </w:r>
    </w:p>
    <w:p w14:paraId="04D7EA07" w14:textId="77777777" w:rsidR="00A71EEF" w:rsidRDefault="00A71EEF">
      <w:pPr>
        <w:pStyle w:val="a3"/>
        <w:spacing w:before="11"/>
        <w:rPr>
          <w:b/>
          <w:sz w:val="17"/>
        </w:rPr>
      </w:pPr>
    </w:p>
    <w:p w14:paraId="6A39B5E1" w14:textId="77777777" w:rsidR="00A71EEF" w:rsidRDefault="0081115D">
      <w:pPr>
        <w:pStyle w:val="a3"/>
        <w:spacing w:line="446" w:lineRule="auto"/>
        <w:ind w:left="840" w:right="2768" w:hanging="3"/>
        <w:rPr>
          <w:b/>
        </w:rPr>
      </w:pPr>
      <w:r>
        <w:rPr>
          <w:spacing w:val="-26"/>
        </w:rPr>
        <w:t>按</w:t>
      </w:r>
      <w:r>
        <w:rPr>
          <w:spacing w:val="-26"/>
        </w:rPr>
        <w:t xml:space="preserve"> </w:t>
      </w:r>
      <w:r>
        <w:t>GB/T 4942.2—1993</w:t>
      </w:r>
      <w:r>
        <w:rPr>
          <w:spacing w:val="-36"/>
        </w:rPr>
        <w:t xml:space="preserve"> </w:t>
      </w:r>
      <w:r>
        <w:rPr>
          <w:spacing w:val="-36"/>
        </w:rPr>
        <w:t>中</w:t>
      </w:r>
      <w:r>
        <w:rPr>
          <w:spacing w:val="-36"/>
        </w:rPr>
        <w:t xml:space="preserve"> </w:t>
      </w:r>
      <w:r>
        <w:t>8.2.1</w:t>
      </w:r>
      <w:r>
        <w:rPr>
          <w:spacing w:val="-12"/>
        </w:rPr>
        <w:t xml:space="preserve"> </w:t>
      </w:r>
      <w:r>
        <w:rPr>
          <w:spacing w:val="-12"/>
        </w:rPr>
        <w:t>规定的方法进行。结果应符合</w:t>
      </w:r>
      <w:r>
        <w:rPr>
          <w:spacing w:val="-12"/>
        </w:rPr>
        <w:t xml:space="preserve"> </w:t>
      </w:r>
      <w:r>
        <w:t>5.7.6</w:t>
      </w:r>
      <w:r>
        <w:rPr>
          <w:spacing w:val="-14"/>
        </w:rPr>
        <w:t xml:space="preserve"> </w:t>
      </w:r>
      <w:r>
        <w:rPr>
          <w:spacing w:val="-14"/>
        </w:rPr>
        <w:t>规定。</w:t>
      </w:r>
      <w:r>
        <w:rPr>
          <w:b/>
          <w:spacing w:val="-14"/>
        </w:rPr>
        <w:t xml:space="preserve">6.8 </w:t>
      </w:r>
      <w:r>
        <w:rPr>
          <w:spacing w:val="-3"/>
        </w:rPr>
        <w:t>连接性能检验</w:t>
      </w:r>
      <w:r>
        <w:rPr>
          <w:b/>
          <w:w w:val="99"/>
        </w:rPr>
        <w:t xml:space="preserve"> </w:t>
      </w:r>
    </w:p>
    <w:p w14:paraId="43036070" w14:textId="77777777" w:rsidR="00A71EEF" w:rsidRDefault="0081115D">
      <w:pPr>
        <w:pStyle w:val="a4"/>
        <w:numPr>
          <w:ilvl w:val="2"/>
          <w:numId w:val="659"/>
        </w:numPr>
        <w:tabs>
          <w:tab w:val="left" w:pos="1370"/>
        </w:tabs>
        <w:spacing w:line="446" w:lineRule="auto"/>
        <w:ind w:right="1558" w:firstLine="422"/>
        <w:jc w:val="both"/>
        <w:rPr>
          <w:sz w:val="21"/>
        </w:rPr>
      </w:pPr>
      <w:r>
        <w:rPr>
          <w:spacing w:val="-3"/>
          <w:sz w:val="21"/>
        </w:rPr>
        <w:t>将装好接口的消防水带全长平直放置，一端与室内消火栓连接，另一端连接带有开</w:t>
      </w:r>
      <w:r>
        <w:rPr>
          <w:spacing w:val="-3"/>
          <w:sz w:val="21"/>
        </w:rPr>
        <w:t xml:space="preserve"> </w:t>
      </w:r>
      <w:r>
        <w:rPr>
          <w:spacing w:val="-3"/>
          <w:sz w:val="21"/>
        </w:rPr>
        <w:t>关的水枪，室内消火栓与水力试验用给水管路连接。充水排气后关闭水枪，将压力</w:t>
      </w:r>
      <w:r>
        <w:rPr>
          <w:spacing w:val="-3"/>
          <w:sz w:val="21"/>
        </w:rPr>
        <w:t>逐渐上升至</w:t>
      </w:r>
      <w:r>
        <w:rPr>
          <w:spacing w:val="-3"/>
          <w:sz w:val="21"/>
        </w:rPr>
        <w:t>0.8MPa</w:t>
      </w:r>
      <w:r>
        <w:rPr>
          <w:spacing w:val="-13"/>
          <w:sz w:val="21"/>
        </w:rPr>
        <w:t>,</w:t>
      </w:r>
      <w:r>
        <w:rPr>
          <w:spacing w:val="-13"/>
          <w:sz w:val="21"/>
        </w:rPr>
        <w:t>保压</w:t>
      </w:r>
      <w:r>
        <w:rPr>
          <w:spacing w:val="-13"/>
          <w:sz w:val="21"/>
        </w:rPr>
        <w:t xml:space="preserve"> </w:t>
      </w:r>
      <w:r>
        <w:rPr>
          <w:sz w:val="21"/>
        </w:rPr>
        <w:t>5min,</w:t>
      </w:r>
      <w:r>
        <w:rPr>
          <w:spacing w:val="-6"/>
          <w:sz w:val="21"/>
        </w:rPr>
        <w:t xml:space="preserve"> </w:t>
      </w:r>
      <w:r>
        <w:rPr>
          <w:spacing w:val="-6"/>
          <w:sz w:val="21"/>
        </w:rPr>
        <w:t>然后迅速启闭水枪开关一次，保压</w:t>
      </w:r>
      <w:r>
        <w:rPr>
          <w:spacing w:val="-6"/>
          <w:sz w:val="21"/>
        </w:rPr>
        <w:t xml:space="preserve"> </w:t>
      </w:r>
      <w:r>
        <w:rPr>
          <w:sz w:val="21"/>
        </w:rPr>
        <w:t>2min</w:t>
      </w:r>
      <w:r>
        <w:rPr>
          <w:spacing w:val="-8"/>
          <w:sz w:val="21"/>
        </w:rPr>
        <w:t xml:space="preserve"> </w:t>
      </w:r>
      <w:r>
        <w:rPr>
          <w:spacing w:val="-8"/>
          <w:sz w:val="21"/>
        </w:rPr>
        <w:t>后，再迅速启闭水枪开关一次，检査水带与接口的连接部位，其结果应符合</w:t>
      </w:r>
      <w:r>
        <w:rPr>
          <w:spacing w:val="-8"/>
          <w:sz w:val="21"/>
        </w:rPr>
        <w:t xml:space="preserve"> </w:t>
      </w:r>
      <w:r>
        <w:rPr>
          <w:sz w:val="21"/>
        </w:rPr>
        <w:t>5.8.1</w:t>
      </w:r>
      <w:r>
        <w:rPr>
          <w:spacing w:val="-15"/>
          <w:sz w:val="21"/>
        </w:rPr>
        <w:t xml:space="preserve"> </w:t>
      </w:r>
      <w:r>
        <w:rPr>
          <w:spacing w:val="-15"/>
          <w:sz w:val="21"/>
        </w:rPr>
        <w:t>规定。</w:t>
      </w:r>
      <w:r>
        <w:rPr>
          <w:sz w:val="21"/>
        </w:rPr>
        <w:t xml:space="preserve"> </w:t>
      </w:r>
    </w:p>
    <w:p w14:paraId="73979182" w14:textId="77777777" w:rsidR="00A71EEF" w:rsidRDefault="0081115D">
      <w:pPr>
        <w:pStyle w:val="a4"/>
        <w:numPr>
          <w:ilvl w:val="2"/>
          <w:numId w:val="659"/>
        </w:numPr>
        <w:tabs>
          <w:tab w:val="left" w:pos="1371"/>
        </w:tabs>
        <w:ind w:left="1370" w:hanging="531"/>
        <w:rPr>
          <w:sz w:val="21"/>
        </w:rPr>
      </w:pPr>
      <w:r>
        <w:rPr>
          <w:spacing w:val="-3"/>
          <w:sz w:val="21"/>
        </w:rPr>
        <w:t>将装好接口的消防水带全长平直放置，一端与室内消火栓连接，另一端与箱内配置</w:t>
      </w:r>
    </w:p>
    <w:p w14:paraId="18B62CDA" w14:textId="77777777" w:rsidR="00A71EEF" w:rsidRDefault="00A71EEF">
      <w:pPr>
        <w:rPr>
          <w:sz w:val="21"/>
        </w:rPr>
        <w:sectPr w:rsidR="00A71EEF">
          <w:pgSz w:w="11910" w:h="16850"/>
          <w:pgMar w:top="1220" w:right="0" w:bottom="1420" w:left="1260" w:header="0" w:footer="1239" w:gutter="0"/>
          <w:cols w:space="720"/>
        </w:sectPr>
      </w:pPr>
    </w:p>
    <w:p w14:paraId="1FE36E28" w14:textId="77777777" w:rsidR="00A71EEF" w:rsidRDefault="0081115D">
      <w:pPr>
        <w:pStyle w:val="a3"/>
        <w:spacing w:before="47" w:line="446" w:lineRule="auto"/>
        <w:ind w:left="418" w:right="1608"/>
        <w:jc w:val="both"/>
      </w:pPr>
      <w:r>
        <w:rPr>
          <w:spacing w:val="-3"/>
        </w:rPr>
        <w:t>的消防水枪相连，室内消火栓与水力试验用给水管路连接。充水排气后将水枪封闭，将压力逐</w:t>
      </w:r>
      <w:r>
        <w:rPr>
          <w:spacing w:val="-12"/>
        </w:rPr>
        <w:t>渐上升至</w:t>
      </w:r>
      <w:r>
        <w:rPr>
          <w:spacing w:val="-12"/>
        </w:rPr>
        <w:t xml:space="preserve"> </w:t>
      </w:r>
      <w:r>
        <w:t>0.8MPa</w:t>
      </w:r>
      <w:r>
        <w:rPr>
          <w:spacing w:val="-7"/>
        </w:rPr>
        <w:t>，</w:t>
      </w:r>
      <w:r>
        <w:rPr>
          <w:spacing w:val="-7"/>
        </w:rPr>
        <w:t xml:space="preserve"> </w:t>
      </w:r>
      <w:r>
        <w:rPr>
          <w:spacing w:val="-7"/>
        </w:rPr>
        <w:t>保压</w:t>
      </w:r>
      <w:r>
        <w:rPr>
          <w:spacing w:val="-7"/>
        </w:rPr>
        <w:t xml:space="preserve"> </w:t>
      </w:r>
      <w:r>
        <w:t>5min</w:t>
      </w:r>
      <w:r>
        <w:rPr>
          <w:spacing w:val="-3"/>
        </w:rPr>
        <w:t>，检査消火栓与消防水带接口之间、消防水带接口与消防水枪之</w:t>
      </w:r>
      <w:r>
        <w:rPr>
          <w:spacing w:val="-12"/>
        </w:rPr>
        <w:t>间，应符合</w:t>
      </w:r>
      <w:r>
        <w:rPr>
          <w:spacing w:val="-12"/>
        </w:rPr>
        <w:t xml:space="preserve"> </w:t>
      </w:r>
      <w:r>
        <w:t>5.8.2</w:t>
      </w:r>
      <w:r>
        <w:rPr>
          <w:spacing w:val="-15"/>
        </w:rPr>
        <w:t xml:space="preserve"> </w:t>
      </w:r>
      <w:r>
        <w:rPr>
          <w:spacing w:val="-15"/>
        </w:rPr>
        <w:t>规定。</w:t>
      </w:r>
      <w:r>
        <w:rPr>
          <w:spacing w:val="-15"/>
        </w:rPr>
        <w:t xml:space="preserve"> </w:t>
      </w:r>
    </w:p>
    <w:p w14:paraId="7305A887" w14:textId="77777777" w:rsidR="00A71EEF" w:rsidRDefault="0081115D">
      <w:pPr>
        <w:spacing w:line="268" w:lineRule="exact"/>
        <w:ind w:left="840"/>
        <w:rPr>
          <w:b/>
          <w:sz w:val="21"/>
        </w:rPr>
      </w:pPr>
      <w:r>
        <w:rPr>
          <w:b/>
          <w:sz w:val="21"/>
        </w:rPr>
        <w:t xml:space="preserve">6.9 </w:t>
      </w:r>
      <w:r>
        <w:rPr>
          <w:sz w:val="21"/>
        </w:rPr>
        <w:t>喷射性能检验</w:t>
      </w:r>
      <w:r>
        <w:rPr>
          <w:b/>
          <w:w w:val="99"/>
          <w:sz w:val="21"/>
        </w:rPr>
        <w:t xml:space="preserve"> </w:t>
      </w:r>
    </w:p>
    <w:p w14:paraId="3B1F457E" w14:textId="77777777" w:rsidR="00A71EEF" w:rsidRDefault="00A71EEF">
      <w:pPr>
        <w:pStyle w:val="a3"/>
        <w:rPr>
          <w:b/>
          <w:sz w:val="18"/>
        </w:rPr>
      </w:pPr>
    </w:p>
    <w:p w14:paraId="39B9D5C1" w14:textId="77777777" w:rsidR="00A71EEF" w:rsidRDefault="0081115D">
      <w:pPr>
        <w:pStyle w:val="a3"/>
        <w:spacing w:line="446" w:lineRule="auto"/>
        <w:ind w:left="418" w:right="1558" w:firstLine="419"/>
      </w:pPr>
      <w:r>
        <w:rPr>
          <w:spacing w:val="-3"/>
        </w:rPr>
        <w:t>消火栓、消防水带、消防水枪按实际使用条件安装好，把水带全长平直放置，将水枪置于喷射架上，调整好水枪轴线与水平线的夹角（</w:t>
      </w:r>
      <w:r>
        <w:rPr>
          <w:spacing w:val="-2"/>
        </w:rPr>
        <w:t>仰角</w:t>
      </w:r>
      <w:r>
        <w:t>）</w:t>
      </w:r>
      <w:r>
        <w:rPr>
          <w:spacing w:val="-9"/>
        </w:rPr>
        <w:t>小于</w:t>
      </w:r>
      <w:r>
        <w:rPr>
          <w:spacing w:val="-9"/>
        </w:rPr>
        <w:t xml:space="preserve"> </w:t>
      </w:r>
      <w:r>
        <w:t>30</w:t>
      </w:r>
      <w:r>
        <w:rPr>
          <w:spacing w:val="-3"/>
        </w:rPr>
        <w:t>°</w:t>
      </w:r>
      <w:r>
        <w:rPr>
          <w:spacing w:val="-3"/>
        </w:rPr>
        <w:t>，调整喷嘴出口端中心至地面的</w:t>
      </w:r>
      <w:r>
        <w:rPr>
          <w:spacing w:val="-14"/>
        </w:rPr>
        <w:t>高度到</w:t>
      </w:r>
      <w:r>
        <w:rPr>
          <w:spacing w:val="-14"/>
        </w:rPr>
        <w:t xml:space="preserve"> </w:t>
      </w:r>
      <w:r>
        <w:t>1m</w:t>
      </w:r>
      <w:r>
        <w:rPr>
          <w:spacing w:val="-33"/>
        </w:rPr>
        <w:t xml:space="preserve"> </w:t>
      </w:r>
      <w:r>
        <w:rPr>
          <w:spacing w:val="-33"/>
        </w:rPr>
        <w:t>士</w:t>
      </w:r>
      <w:r>
        <w:rPr>
          <w:spacing w:val="-33"/>
        </w:rPr>
        <w:t xml:space="preserve"> </w:t>
      </w:r>
      <w:r>
        <w:t>0.01m</w:t>
      </w:r>
      <w:r>
        <w:rPr>
          <w:spacing w:val="-6"/>
        </w:rPr>
        <w:t>。</w:t>
      </w:r>
      <w:r>
        <w:rPr>
          <w:spacing w:val="-6"/>
        </w:rPr>
        <w:t xml:space="preserve"> </w:t>
      </w:r>
      <w:r>
        <w:rPr>
          <w:spacing w:val="-6"/>
        </w:rPr>
        <w:t>顺风向布置，要求外界风速小于</w:t>
      </w:r>
      <w:r>
        <w:rPr>
          <w:spacing w:val="-6"/>
        </w:rPr>
        <w:t xml:space="preserve"> </w:t>
      </w:r>
      <w:r>
        <w:t>3m/s</w:t>
      </w:r>
      <w:r>
        <w:rPr>
          <w:spacing w:val="-3"/>
        </w:rPr>
        <w:t>。启动水泵，调整工作压力，当消</w:t>
      </w:r>
      <w:r>
        <w:rPr>
          <w:spacing w:val="-9"/>
        </w:rPr>
        <w:t>火栓进口压力达到</w:t>
      </w:r>
      <w:r>
        <w:rPr>
          <w:spacing w:val="-9"/>
        </w:rPr>
        <w:t xml:space="preserve"> </w:t>
      </w:r>
      <w:r>
        <w:t>0.35MPa</w:t>
      </w:r>
      <w:r>
        <w:rPr>
          <w:spacing w:val="-11"/>
        </w:rPr>
        <w:t xml:space="preserve"> </w:t>
      </w:r>
      <w:r>
        <w:rPr>
          <w:spacing w:val="-11"/>
        </w:rPr>
        <w:t>时，连续喷射，测量由水枪喷嘴起到射流</w:t>
      </w:r>
      <w:r>
        <w:rPr>
          <w:spacing w:val="-11"/>
        </w:rPr>
        <w:t xml:space="preserve"> </w:t>
      </w:r>
      <w:r>
        <w:t>90</w:t>
      </w:r>
      <w:r>
        <w:rPr>
          <w:spacing w:val="-3"/>
        </w:rPr>
        <w:t>%</w:t>
      </w:r>
      <w:r>
        <w:rPr>
          <w:spacing w:val="-3"/>
        </w:rPr>
        <w:t>水柱水量穿过直径</w:t>
      </w:r>
      <w:r>
        <w:rPr>
          <w:spacing w:val="-3"/>
        </w:rPr>
        <w:t>38cm</w:t>
      </w:r>
      <w:r>
        <w:rPr>
          <w:spacing w:val="-9"/>
        </w:rPr>
        <w:t xml:space="preserve"> </w:t>
      </w:r>
      <w:r>
        <w:rPr>
          <w:spacing w:val="-9"/>
        </w:rPr>
        <w:t>圆圈处的一段射流长度</w:t>
      </w:r>
      <w:r>
        <w:t>（</w:t>
      </w:r>
      <w:r>
        <w:rPr>
          <w:spacing w:val="-3"/>
        </w:rPr>
        <w:t>即为充实水柱</w:t>
      </w:r>
      <w:r>
        <w:rPr>
          <w:spacing w:val="-3"/>
        </w:rPr>
        <w:t>)</w:t>
      </w:r>
      <w:r>
        <w:rPr>
          <w:spacing w:val="-3"/>
        </w:rPr>
        <w:t>在地面上的投影距离。</w:t>
      </w:r>
      <w:r>
        <w:t xml:space="preserve"> </w:t>
      </w:r>
    </w:p>
    <w:p w14:paraId="294A24EE" w14:textId="77777777" w:rsidR="00A71EEF" w:rsidRDefault="0081115D">
      <w:pPr>
        <w:pStyle w:val="a3"/>
        <w:spacing w:line="268" w:lineRule="exact"/>
        <w:ind w:left="838"/>
      </w:pPr>
      <w:r>
        <w:t>充实水柱计算公式：</w:t>
      </w:r>
      <w:r>
        <w:t xml:space="preserve"> </w:t>
      </w:r>
    </w:p>
    <w:p w14:paraId="1C7793CF" w14:textId="77777777" w:rsidR="00A71EEF" w:rsidRDefault="0081115D">
      <w:pPr>
        <w:pStyle w:val="a3"/>
        <w:spacing w:before="4"/>
        <w:rPr>
          <w:sz w:val="25"/>
        </w:rPr>
      </w:pPr>
      <w:r>
        <w:rPr>
          <w:noProof/>
        </w:rPr>
        <w:drawing>
          <wp:anchor distT="0" distB="0" distL="0" distR="0" simplePos="0" relativeHeight="251559424" behindDoc="0" locked="0" layoutInCell="1" allowOverlap="1" wp14:anchorId="0A603BF5" wp14:editId="28E8CCF8">
            <wp:simplePos x="0" y="0"/>
            <wp:positionH relativeFrom="page">
              <wp:posOffset>1713229</wp:posOffset>
            </wp:positionH>
            <wp:positionV relativeFrom="paragraph">
              <wp:posOffset>230917</wp:posOffset>
            </wp:positionV>
            <wp:extent cx="3124199" cy="1143000"/>
            <wp:effectExtent l="0" t="0" r="0" b="0"/>
            <wp:wrapTopAndBottom/>
            <wp:docPr id="267" name="image1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164.jpeg"/>
                    <pic:cNvPicPr/>
                  </pic:nvPicPr>
                  <pic:blipFill>
                    <a:blip r:embed="rId171" cstate="print"/>
                    <a:stretch>
                      <a:fillRect/>
                    </a:stretch>
                  </pic:blipFill>
                  <pic:spPr>
                    <a:xfrm>
                      <a:off x="0" y="0"/>
                      <a:ext cx="3124199" cy="1143000"/>
                    </a:xfrm>
                    <a:prstGeom prst="rect">
                      <a:avLst/>
                    </a:prstGeom>
                  </pic:spPr>
                </pic:pic>
              </a:graphicData>
            </a:graphic>
          </wp:anchor>
        </w:drawing>
      </w:r>
    </w:p>
    <w:p w14:paraId="326E1B68" w14:textId="77777777" w:rsidR="00A71EEF" w:rsidRDefault="00A71EEF">
      <w:pPr>
        <w:pStyle w:val="a3"/>
        <w:rPr>
          <w:sz w:val="20"/>
        </w:rPr>
      </w:pPr>
    </w:p>
    <w:p w14:paraId="451E28E4" w14:textId="77777777" w:rsidR="00A71EEF" w:rsidRDefault="00A71EEF">
      <w:pPr>
        <w:pStyle w:val="a3"/>
        <w:rPr>
          <w:sz w:val="20"/>
        </w:rPr>
      </w:pPr>
    </w:p>
    <w:p w14:paraId="311390F0" w14:textId="77777777" w:rsidR="00A71EEF" w:rsidRDefault="00A71EEF">
      <w:pPr>
        <w:pStyle w:val="a3"/>
        <w:spacing w:before="6"/>
        <w:rPr>
          <w:sz w:val="16"/>
        </w:rPr>
      </w:pPr>
    </w:p>
    <w:p w14:paraId="56AC266C" w14:textId="77777777" w:rsidR="00A71EEF" w:rsidRDefault="0081115D">
      <w:pPr>
        <w:pStyle w:val="a3"/>
        <w:ind w:left="838"/>
      </w:pPr>
      <w:r>
        <w:t>流量值可以从流量计上读得。</w:t>
      </w:r>
      <w:r>
        <w:t xml:space="preserve"> </w:t>
      </w:r>
    </w:p>
    <w:p w14:paraId="254AD1E8" w14:textId="77777777" w:rsidR="00A71EEF" w:rsidRDefault="00A71EEF">
      <w:pPr>
        <w:pStyle w:val="a3"/>
        <w:spacing w:before="12"/>
        <w:rPr>
          <w:sz w:val="17"/>
        </w:rPr>
      </w:pPr>
    </w:p>
    <w:p w14:paraId="42636E7F" w14:textId="77777777" w:rsidR="00A71EEF" w:rsidRDefault="0081115D">
      <w:pPr>
        <w:pStyle w:val="a3"/>
        <w:spacing w:line="446" w:lineRule="auto"/>
        <w:ind w:left="840" w:right="5497" w:hanging="3"/>
        <w:rPr>
          <w:b/>
        </w:rPr>
      </w:pPr>
      <w:r>
        <w:t>充实水柱和流量的测量结果应符合</w:t>
      </w:r>
      <w:r>
        <w:t xml:space="preserve"> 5.9 </w:t>
      </w:r>
      <w:r>
        <w:t>规定。</w:t>
      </w:r>
      <w:r>
        <w:rPr>
          <w:b/>
        </w:rPr>
        <w:t xml:space="preserve">6.10 </w:t>
      </w:r>
      <w:r>
        <w:t>外观检验</w:t>
      </w:r>
      <w:r>
        <w:rPr>
          <w:b/>
          <w:w w:val="99"/>
        </w:rPr>
        <w:t xml:space="preserve"> </w:t>
      </w:r>
    </w:p>
    <w:p w14:paraId="7B92E755" w14:textId="77777777" w:rsidR="00A71EEF" w:rsidRDefault="0081115D">
      <w:pPr>
        <w:pStyle w:val="a3"/>
        <w:spacing w:line="446" w:lineRule="auto"/>
        <w:ind w:left="840" w:right="1613" w:hanging="3"/>
        <w:rPr>
          <w:b/>
        </w:rPr>
      </w:pPr>
      <w:r>
        <w:t>利用目视和通用量具，对箱体进行外观质量及外形尺寸检査，其结果应符合</w:t>
      </w:r>
      <w:r>
        <w:t xml:space="preserve"> 5.10 </w:t>
      </w:r>
      <w:r>
        <w:t>规定。</w:t>
      </w:r>
      <w:r>
        <w:rPr>
          <w:b/>
        </w:rPr>
        <w:t xml:space="preserve">6.11 </w:t>
      </w:r>
      <w:r>
        <w:t>箱体刚度检验</w:t>
      </w:r>
      <w:r>
        <w:rPr>
          <w:b/>
          <w:w w:val="99"/>
        </w:rPr>
        <w:t xml:space="preserve"> </w:t>
      </w:r>
    </w:p>
    <w:p w14:paraId="4DC1A8FB" w14:textId="77777777" w:rsidR="00A71EEF" w:rsidRDefault="0081115D">
      <w:pPr>
        <w:spacing w:before="1"/>
        <w:ind w:left="840"/>
        <w:rPr>
          <w:b/>
          <w:sz w:val="21"/>
        </w:rPr>
      </w:pPr>
      <w:r>
        <w:rPr>
          <w:b/>
          <w:sz w:val="21"/>
        </w:rPr>
        <w:t xml:space="preserve">6.11.1 </w:t>
      </w:r>
      <w:r>
        <w:rPr>
          <w:sz w:val="21"/>
        </w:rPr>
        <w:t>试验准备</w:t>
      </w:r>
      <w:r>
        <w:rPr>
          <w:b/>
          <w:w w:val="99"/>
          <w:sz w:val="21"/>
        </w:rPr>
        <w:t xml:space="preserve"> </w:t>
      </w:r>
    </w:p>
    <w:p w14:paraId="197C7DD4" w14:textId="77777777" w:rsidR="00A71EEF" w:rsidRDefault="00A71EEF">
      <w:pPr>
        <w:pStyle w:val="a3"/>
        <w:spacing w:before="12"/>
        <w:rPr>
          <w:b/>
          <w:sz w:val="17"/>
        </w:rPr>
      </w:pPr>
    </w:p>
    <w:p w14:paraId="57F3DCEB" w14:textId="77777777" w:rsidR="00A71EEF" w:rsidRDefault="0081115D">
      <w:pPr>
        <w:pStyle w:val="a3"/>
        <w:spacing w:line="446" w:lineRule="auto"/>
        <w:ind w:left="840" w:right="3923" w:hanging="3"/>
        <w:rPr>
          <w:b/>
        </w:rPr>
      </w:pPr>
      <w:r>
        <w:t>试验准备同</w:t>
      </w:r>
      <w:r>
        <w:t xml:space="preserve"> 6.6.2.1</w:t>
      </w:r>
      <w:r>
        <w:t>。测量质量和长度的器具精度不低于</w:t>
      </w:r>
      <w:r>
        <w:t xml:space="preserve"> 1‰</w:t>
      </w:r>
      <w:r>
        <w:t>。</w:t>
      </w:r>
      <w:r>
        <w:rPr>
          <w:b/>
        </w:rPr>
        <w:t xml:space="preserve">6.11.2 </w:t>
      </w:r>
      <w:r>
        <w:t>配置消防软管卷盘栓箱的试验</w:t>
      </w:r>
      <w:r>
        <w:rPr>
          <w:b/>
          <w:w w:val="99"/>
        </w:rPr>
        <w:t xml:space="preserve"> </w:t>
      </w:r>
    </w:p>
    <w:p w14:paraId="416F1856" w14:textId="77777777" w:rsidR="00A71EEF" w:rsidRDefault="0081115D">
      <w:pPr>
        <w:pStyle w:val="a3"/>
        <w:spacing w:line="446" w:lineRule="auto"/>
        <w:ind w:left="838" w:right="2348"/>
      </w:pPr>
      <w:r>
        <w:rPr>
          <w:spacing w:val="-10"/>
        </w:rPr>
        <w:t>试验时按图</w:t>
      </w:r>
      <w:r>
        <w:rPr>
          <w:spacing w:val="-10"/>
        </w:rPr>
        <w:t xml:space="preserve"> </w:t>
      </w:r>
      <w:r>
        <w:t>8</w:t>
      </w:r>
      <w:r>
        <w:rPr>
          <w:spacing w:val="-14"/>
        </w:rPr>
        <w:t xml:space="preserve"> </w:t>
      </w:r>
      <w:r>
        <w:rPr>
          <w:spacing w:val="-14"/>
        </w:rPr>
        <w:t>所示，重锤静载</w:t>
      </w:r>
      <w:r>
        <w:rPr>
          <w:spacing w:val="-14"/>
        </w:rPr>
        <w:t xml:space="preserve"> </w:t>
      </w:r>
      <w:r>
        <w:t>5min</w:t>
      </w:r>
      <w:r>
        <w:rPr>
          <w:spacing w:val="-12"/>
        </w:rPr>
        <w:t xml:space="preserve"> </w:t>
      </w:r>
      <w:r>
        <w:rPr>
          <w:spacing w:val="-12"/>
        </w:rPr>
        <w:t>后，检査箱体变形情况应符合</w:t>
      </w:r>
      <w:r>
        <w:rPr>
          <w:spacing w:val="-12"/>
        </w:rPr>
        <w:t xml:space="preserve"> </w:t>
      </w:r>
      <w:r>
        <w:t>5.12.1</w:t>
      </w:r>
      <w:r>
        <w:rPr>
          <w:spacing w:val="-15"/>
        </w:rPr>
        <w:t xml:space="preserve"> </w:t>
      </w:r>
      <w:r>
        <w:rPr>
          <w:spacing w:val="-15"/>
        </w:rPr>
        <w:t>规定。</w:t>
      </w:r>
      <w:r>
        <w:rPr>
          <w:spacing w:val="-6"/>
        </w:rPr>
        <w:t>重锤质量按式</w:t>
      </w:r>
      <w:r>
        <w:rPr>
          <w:spacing w:val="-6"/>
        </w:rPr>
        <w:t>(</w:t>
      </w:r>
      <w:r>
        <w:t>1</w:t>
      </w:r>
      <w:r>
        <w:rPr>
          <w:spacing w:val="-2"/>
        </w:rPr>
        <w:t>)</w:t>
      </w:r>
      <w:r>
        <w:rPr>
          <w:spacing w:val="-2"/>
        </w:rPr>
        <w:t>计算：</w:t>
      </w:r>
      <w:r>
        <w:rPr>
          <w:spacing w:val="-2"/>
        </w:rPr>
        <w:t xml:space="preserve"> </w:t>
      </w:r>
    </w:p>
    <w:p w14:paraId="5E056379" w14:textId="77777777" w:rsidR="00A71EEF" w:rsidRDefault="00A71EEF">
      <w:pPr>
        <w:spacing w:line="446" w:lineRule="auto"/>
        <w:sectPr w:rsidR="00A71EEF">
          <w:pgSz w:w="11910" w:h="16850"/>
          <w:pgMar w:top="1220" w:right="0" w:bottom="1420" w:left="1260" w:header="0" w:footer="1239" w:gutter="0"/>
          <w:cols w:space="720"/>
        </w:sectPr>
      </w:pPr>
    </w:p>
    <w:p w14:paraId="0FC5F6B2" w14:textId="77777777" w:rsidR="00A71EEF" w:rsidRDefault="0081115D">
      <w:pPr>
        <w:pStyle w:val="a3"/>
        <w:ind w:left="983"/>
        <w:rPr>
          <w:sz w:val="20"/>
        </w:rPr>
      </w:pPr>
      <w:r>
        <w:rPr>
          <w:noProof/>
          <w:sz w:val="20"/>
        </w:rPr>
        <w:drawing>
          <wp:inline distT="0" distB="0" distL="0" distR="0" wp14:anchorId="060C0AF5" wp14:editId="170D09B6">
            <wp:extent cx="4794567" cy="1139190"/>
            <wp:effectExtent l="0" t="0" r="0" b="0"/>
            <wp:docPr id="269" name="image1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165.jpeg"/>
                    <pic:cNvPicPr/>
                  </pic:nvPicPr>
                  <pic:blipFill>
                    <a:blip r:embed="rId172" cstate="print"/>
                    <a:stretch>
                      <a:fillRect/>
                    </a:stretch>
                  </pic:blipFill>
                  <pic:spPr>
                    <a:xfrm>
                      <a:off x="0" y="0"/>
                      <a:ext cx="4794567" cy="1139190"/>
                    </a:xfrm>
                    <a:prstGeom prst="rect">
                      <a:avLst/>
                    </a:prstGeom>
                  </pic:spPr>
                </pic:pic>
              </a:graphicData>
            </a:graphic>
          </wp:inline>
        </w:drawing>
      </w:r>
    </w:p>
    <w:p w14:paraId="3895C70F" w14:textId="77777777" w:rsidR="00A71EEF" w:rsidRDefault="00A71EEF">
      <w:pPr>
        <w:pStyle w:val="a3"/>
        <w:rPr>
          <w:sz w:val="20"/>
        </w:rPr>
      </w:pPr>
    </w:p>
    <w:p w14:paraId="65024D5C" w14:textId="77777777" w:rsidR="00A71EEF" w:rsidRDefault="00A71EEF">
      <w:pPr>
        <w:pStyle w:val="a3"/>
        <w:rPr>
          <w:sz w:val="20"/>
        </w:rPr>
      </w:pPr>
    </w:p>
    <w:p w14:paraId="245EA421" w14:textId="77777777" w:rsidR="00A71EEF" w:rsidRDefault="00A71EEF">
      <w:pPr>
        <w:pStyle w:val="a3"/>
        <w:rPr>
          <w:sz w:val="20"/>
        </w:rPr>
      </w:pPr>
    </w:p>
    <w:p w14:paraId="5DCB5A6E" w14:textId="77777777" w:rsidR="00A71EEF" w:rsidRDefault="00A71EEF">
      <w:pPr>
        <w:pStyle w:val="a3"/>
        <w:rPr>
          <w:sz w:val="20"/>
        </w:rPr>
      </w:pPr>
    </w:p>
    <w:p w14:paraId="5D5922FF" w14:textId="77777777" w:rsidR="00A71EEF" w:rsidRDefault="00A71EEF">
      <w:pPr>
        <w:pStyle w:val="a3"/>
        <w:rPr>
          <w:sz w:val="20"/>
        </w:rPr>
      </w:pPr>
    </w:p>
    <w:p w14:paraId="3FA08633" w14:textId="77777777" w:rsidR="00A71EEF" w:rsidRDefault="00A71EEF">
      <w:pPr>
        <w:pStyle w:val="a3"/>
        <w:rPr>
          <w:sz w:val="20"/>
        </w:rPr>
      </w:pPr>
    </w:p>
    <w:p w14:paraId="0C492C25" w14:textId="77777777" w:rsidR="00A71EEF" w:rsidRDefault="00A71EEF">
      <w:pPr>
        <w:pStyle w:val="a3"/>
        <w:rPr>
          <w:sz w:val="20"/>
        </w:rPr>
      </w:pPr>
    </w:p>
    <w:p w14:paraId="6E2F4435" w14:textId="77777777" w:rsidR="00A71EEF" w:rsidRDefault="00A71EEF">
      <w:pPr>
        <w:pStyle w:val="a3"/>
        <w:rPr>
          <w:sz w:val="20"/>
        </w:rPr>
      </w:pPr>
    </w:p>
    <w:p w14:paraId="26588B02" w14:textId="77777777" w:rsidR="00A71EEF" w:rsidRDefault="00A71EEF">
      <w:pPr>
        <w:pStyle w:val="a3"/>
        <w:rPr>
          <w:sz w:val="20"/>
        </w:rPr>
      </w:pPr>
    </w:p>
    <w:p w14:paraId="2DD998FB" w14:textId="77777777" w:rsidR="00A71EEF" w:rsidRDefault="00A71EEF">
      <w:pPr>
        <w:pStyle w:val="a3"/>
        <w:rPr>
          <w:sz w:val="20"/>
        </w:rPr>
      </w:pPr>
    </w:p>
    <w:p w14:paraId="0FCE9314" w14:textId="77777777" w:rsidR="00A71EEF" w:rsidRDefault="0081115D">
      <w:pPr>
        <w:pStyle w:val="a3"/>
        <w:spacing w:before="9"/>
        <w:rPr>
          <w:sz w:val="16"/>
        </w:rPr>
      </w:pPr>
      <w:r>
        <w:rPr>
          <w:noProof/>
        </w:rPr>
        <w:drawing>
          <wp:anchor distT="0" distB="0" distL="0" distR="0" simplePos="0" relativeHeight="251560448" behindDoc="0" locked="0" layoutInCell="1" allowOverlap="1" wp14:anchorId="6A3A4123" wp14:editId="57E1DA7E">
            <wp:simplePos x="0" y="0"/>
            <wp:positionH relativeFrom="page">
              <wp:posOffset>1637029</wp:posOffset>
            </wp:positionH>
            <wp:positionV relativeFrom="paragraph">
              <wp:posOffset>160686</wp:posOffset>
            </wp:positionV>
            <wp:extent cx="3962799" cy="3767328"/>
            <wp:effectExtent l="0" t="0" r="0" b="0"/>
            <wp:wrapTopAndBottom/>
            <wp:docPr id="271" name="image1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166.jpeg"/>
                    <pic:cNvPicPr/>
                  </pic:nvPicPr>
                  <pic:blipFill>
                    <a:blip r:embed="rId173" cstate="print"/>
                    <a:stretch>
                      <a:fillRect/>
                    </a:stretch>
                  </pic:blipFill>
                  <pic:spPr>
                    <a:xfrm>
                      <a:off x="0" y="0"/>
                      <a:ext cx="3962799" cy="3767328"/>
                    </a:xfrm>
                    <a:prstGeom prst="rect">
                      <a:avLst/>
                    </a:prstGeom>
                  </pic:spPr>
                </pic:pic>
              </a:graphicData>
            </a:graphic>
          </wp:anchor>
        </w:drawing>
      </w:r>
    </w:p>
    <w:p w14:paraId="02ED1B18" w14:textId="77777777" w:rsidR="00A71EEF" w:rsidRDefault="00A71EEF">
      <w:pPr>
        <w:pStyle w:val="a3"/>
        <w:rPr>
          <w:sz w:val="9"/>
        </w:rPr>
      </w:pPr>
    </w:p>
    <w:p w14:paraId="5D351D5E" w14:textId="77777777" w:rsidR="00A71EEF" w:rsidRDefault="0081115D">
      <w:pPr>
        <w:pStyle w:val="6"/>
        <w:spacing w:before="71"/>
        <w:ind w:left="3205"/>
      </w:pPr>
      <w:r>
        <w:t>图</w:t>
      </w:r>
      <w:r>
        <w:t xml:space="preserve"> 8 </w:t>
      </w:r>
      <w:r>
        <w:t>消防软管卷盘栓箱的刚度试验</w:t>
      </w:r>
      <w:r>
        <w:rPr>
          <w:w w:val="99"/>
        </w:rPr>
        <w:t xml:space="preserve"> </w:t>
      </w:r>
    </w:p>
    <w:p w14:paraId="59B47B16" w14:textId="77777777" w:rsidR="00A71EEF" w:rsidRDefault="00A71EEF">
      <w:pPr>
        <w:pStyle w:val="a3"/>
        <w:rPr>
          <w:b/>
          <w:sz w:val="20"/>
        </w:rPr>
      </w:pPr>
    </w:p>
    <w:p w14:paraId="7BE2E6F6" w14:textId="77777777" w:rsidR="00A71EEF" w:rsidRDefault="00A71EEF">
      <w:pPr>
        <w:pStyle w:val="a3"/>
        <w:rPr>
          <w:b/>
          <w:sz w:val="20"/>
        </w:rPr>
      </w:pPr>
    </w:p>
    <w:p w14:paraId="4AC361C1" w14:textId="77777777" w:rsidR="00A71EEF" w:rsidRDefault="00A71EEF">
      <w:pPr>
        <w:pStyle w:val="a3"/>
        <w:spacing w:before="2"/>
        <w:rPr>
          <w:b/>
          <w:sz w:val="17"/>
        </w:rPr>
      </w:pPr>
    </w:p>
    <w:p w14:paraId="448A02A7" w14:textId="77777777" w:rsidR="00A71EEF" w:rsidRDefault="0081115D">
      <w:pPr>
        <w:pStyle w:val="a4"/>
        <w:numPr>
          <w:ilvl w:val="2"/>
          <w:numId w:val="658"/>
        </w:numPr>
        <w:tabs>
          <w:tab w:val="left" w:pos="1478"/>
        </w:tabs>
        <w:ind w:hanging="638"/>
        <w:rPr>
          <w:b/>
          <w:sz w:val="21"/>
        </w:rPr>
      </w:pPr>
      <w:r>
        <w:rPr>
          <w:spacing w:val="-3"/>
          <w:sz w:val="21"/>
        </w:rPr>
        <w:t>挂置式、托架式栓箱的试验</w:t>
      </w:r>
      <w:r>
        <w:rPr>
          <w:b/>
          <w:w w:val="99"/>
          <w:sz w:val="21"/>
        </w:rPr>
        <w:t xml:space="preserve"> </w:t>
      </w:r>
    </w:p>
    <w:p w14:paraId="7D949CD4" w14:textId="77777777" w:rsidR="00A71EEF" w:rsidRDefault="00A71EEF">
      <w:pPr>
        <w:pStyle w:val="a3"/>
        <w:spacing w:before="12"/>
        <w:rPr>
          <w:b/>
          <w:sz w:val="17"/>
        </w:rPr>
      </w:pPr>
    </w:p>
    <w:p w14:paraId="49515AE4" w14:textId="77777777" w:rsidR="00A71EEF" w:rsidRDefault="0081115D">
      <w:pPr>
        <w:pStyle w:val="a3"/>
        <w:spacing w:line="446" w:lineRule="auto"/>
        <w:ind w:left="418" w:right="1510" w:firstLine="419"/>
      </w:pPr>
      <w:r>
        <w:rPr>
          <w:spacing w:val="-10"/>
        </w:rPr>
        <w:t>试验时按图</w:t>
      </w:r>
      <w:r>
        <w:rPr>
          <w:spacing w:val="-10"/>
        </w:rPr>
        <w:t xml:space="preserve"> </w:t>
      </w:r>
      <w:r>
        <w:t>9</w:t>
      </w:r>
      <w:r>
        <w:rPr>
          <w:spacing w:val="-26"/>
        </w:rPr>
        <w:t xml:space="preserve"> </w:t>
      </w:r>
      <w:r>
        <w:rPr>
          <w:spacing w:val="-26"/>
        </w:rPr>
        <w:t>或图</w:t>
      </w:r>
      <w:r>
        <w:rPr>
          <w:spacing w:val="-26"/>
        </w:rPr>
        <w:t xml:space="preserve"> </w:t>
      </w:r>
      <w:r>
        <w:t>10</w:t>
      </w:r>
      <w:r>
        <w:rPr>
          <w:spacing w:val="-14"/>
        </w:rPr>
        <w:t xml:space="preserve"> </w:t>
      </w:r>
      <w:r>
        <w:rPr>
          <w:spacing w:val="-14"/>
        </w:rPr>
        <w:t>所示，重锤静载</w:t>
      </w:r>
      <w:r>
        <w:rPr>
          <w:spacing w:val="-14"/>
        </w:rPr>
        <w:t xml:space="preserve"> </w:t>
      </w:r>
      <w:r>
        <w:t>5min</w:t>
      </w:r>
      <w:r>
        <w:rPr>
          <w:spacing w:val="-12"/>
        </w:rPr>
        <w:t xml:space="preserve"> </w:t>
      </w:r>
      <w:r>
        <w:rPr>
          <w:spacing w:val="-12"/>
        </w:rPr>
        <w:t>后，检査箱体变形情况应符合</w:t>
      </w:r>
      <w:r>
        <w:rPr>
          <w:spacing w:val="-12"/>
        </w:rPr>
        <w:t xml:space="preserve"> </w:t>
      </w:r>
      <w:r>
        <w:t>5.12.2</w:t>
      </w:r>
      <w:r>
        <w:rPr>
          <w:spacing w:val="-12"/>
        </w:rPr>
        <w:t xml:space="preserve"> </w:t>
      </w:r>
      <w:r>
        <w:rPr>
          <w:spacing w:val="-12"/>
        </w:rPr>
        <w:t>规定。重</w:t>
      </w:r>
      <w:r>
        <w:rPr>
          <w:spacing w:val="-7"/>
        </w:rPr>
        <w:t>锤质量按式</w:t>
      </w:r>
      <w:r>
        <w:t>(2</w:t>
      </w:r>
      <w:r>
        <w:rPr>
          <w:spacing w:val="-2"/>
        </w:rPr>
        <w:t>)</w:t>
      </w:r>
      <w:r>
        <w:rPr>
          <w:spacing w:val="-2"/>
        </w:rPr>
        <w:t>计算：</w:t>
      </w:r>
      <w:r>
        <w:t xml:space="preserve"> </w:t>
      </w:r>
    </w:p>
    <w:p w14:paraId="5118A9A1" w14:textId="77777777" w:rsidR="00A71EEF" w:rsidRDefault="00A71EEF">
      <w:pPr>
        <w:pStyle w:val="a3"/>
        <w:rPr>
          <w:sz w:val="20"/>
        </w:rPr>
      </w:pPr>
    </w:p>
    <w:p w14:paraId="3A30664C" w14:textId="77777777" w:rsidR="00A71EEF" w:rsidRDefault="00A71EEF">
      <w:pPr>
        <w:pStyle w:val="a3"/>
        <w:rPr>
          <w:sz w:val="19"/>
        </w:rPr>
      </w:pPr>
    </w:p>
    <w:p w14:paraId="6DD13F28" w14:textId="77777777" w:rsidR="00A71EEF" w:rsidRDefault="0081115D">
      <w:pPr>
        <w:pStyle w:val="a3"/>
        <w:ind w:left="838"/>
      </w:pPr>
      <w:r>
        <w:t xml:space="preserve"> </w:t>
      </w:r>
    </w:p>
    <w:p w14:paraId="0F70E1A9" w14:textId="77777777" w:rsidR="00A71EEF" w:rsidRDefault="00A71EEF">
      <w:pPr>
        <w:sectPr w:rsidR="00A71EEF">
          <w:pgSz w:w="11910" w:h="16850"/>
          <w:pgMar w:top="1280" w:right="0" w:bottom="1420" w:left="1260" w:header="0" w:footer="1239" w:gutter="0"/>
          <w:cols w:space="720"/>
        </w:sectPr>
      </w:pPr>
    </w:p>
    <w:p w14:paraId="788DDB3F" w14:textId="77777777" w:rsidR="00A71EEF" w:rsidRDefault="0081115D">
      <w:pPr>
        <w:pStyle w:val="a3"/>
        <w:ind w:left="987"/>
        <w:rPr>
          <w:sz w:val="20"/>
        </w:rPr>
      </w:pPr>
      <w:r>
        <w:rPr>
          <w:sz w:val="20"/>
        </w:rPr>
      </w:r>
      <w:r>
        <w:rPr>
          <w:sz w:val="20"/>
        </w:rPr>
        <w:pict w14:anchorId="11A1DB77">
          <v:group id="_x0000_s1165" style="width:359.3pt;height:346.5pt;mso-position-horizontal-relative:char;mso-position-vertical-relative:line" coordsize="7186,6930">
            <v:shape id="_x0000_s1167" type="#_x0000_t75" style="position:absolute;width:7186;height:1315">
              <v:imagedata r:id="rId174" o:title=""/>
            </v:shape>
            <v:shape id="_x0000_s1166" type="#_x0000_t75" style="position:absolute;left:180;top:1210;width:6430;height:5720">
              <v:imagedata r:id="rId175" o:title=""/>
            </v:shape>
            <w10:anchorlock/>
          </v:group>
        </w:pict>
      </w:r>
    </w:p>
    <w:p w14:paraId="7520EB55" w14:textId="77777777" w:rsidR="00A71EEF" w:rsidRDefault="0081115D">
      <w:pPr>
        <w:pStyle w:val="a3"/>
        <w:spacing w:before="6"/>
        <w:rPr>
          <w:sz w:val="18"/>
        </w:rPr>
      </w:pPr>
      <w:r>
        <w:rPr>
          <w:noProof/>
        </w:rPr>
        <w:drawing>
          <wp:anchor distT="0" distB="0" distL="0" distR="0" simplePos="0" relativeHeight="251561472" behindDoc="0" locked="0" layoutInCell="1" allowOverlap="1" wp14:anchorId="096D2B57" wp14:editId="3C246A8B">
            <wp:simplePos x="0" y="0"/>
            <wp:positionH relativeFrom="page">
              <wp:posOffset>1637029</wp:posOffset>
            </wp:positionH>
            <wp:positionV relativeFrom="paragraph">
              <wp:posOffset>175141</wp:posOffset>
            </wp:positionV>
            <wp:extent cx="3378196" cy="2876550"/>
            <wp:effectExtent l="0" t="0" r="0" b="0"/>
            <wp:wrapTopAndBottom/>
            <wp:docPr id="273" name="image1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169.jpeg"/>
                    <pic:cNvPicPr/>
                  </pic:nvPicPr>
                  <pic:blipFill>
                    <a:blip r:embed="rId176" cstate="print"/>
                    <a:stretch>
                      <a:fillRect/>
                    </a:stretch>
                  </pic:blipFill>
                  <pic:spPr>
                    <a:xfrm>
                      <a:off x="0" y="0"/>
                      <a:ext cx="3378196" cy="2876550"/>
                    </a:xfrm>
                    <a:prstGeom prst="rect">
                      <a:avLst/>
                    </a:prstGeom>
                  </pic:spPr>
                </pic:pic>
              </a:graphicData>
            </a:graphic>
          </wp:anchor>
        </w:drawing>
      </w:r>
    </w:p>
    <w:p w14:paraId="0AF10801" w14:textId="77777777" w:rsidR="00A71EEF" w:rsidRDefault="00A71EEF">
      <w:pPr>
        <w:pStyle w:val="a3"/>
        <w:rPr>
          <w:sz w:val="20"/>
        </w:rPr>
      </w:pPr>
    </w:p>
    <w:p w14:paraId="5BCCC609" w14:textId="77777777" w:rsidR="00A71EEF" w:rsidRDefault="00A71EEF">
      <w:pPr>
        <w:pStyle w:val="a3"/>
        <w:rPr>
          <w:sz w:val="20"/>
        </w:rPr>
      </w:pPr>
    </w:p>
    <w:p w14:paraId="59D61F89" w14:textId="77777777" w:rsidR="00A71EEF" w:rsidRDefault="00A71EEF">
      <w:pPr>
        <w:pStyle w:val="a3"/>
        <w:rPr>
          <w:sz w:val="20"/>
        </w:rPr>
      </w:pPr>
    </w:p>
    <w:p w14:paraId="0684A390" w14:textId="77777777" w:rsidR="00A71EEF" w:rsidRDefault="00A71EEF">
      <w:pPr>
        <w:pStyle w:val="a3"/>
        <w:spacing w:before="3"/>
        <w:rPr>
          <w:sz w:val="25"/>
        </w:rPr>
      </w:pPr>
    </w:p>
    <w:p w14:paraId="29838828" w14:textId="77777777" w:rsidR="00A71EEF" w:rsidRDefault="0081115D">
      <w:pPr>
        <w:pStyle w:val="a4"/>
        <w:numPr>
          <w:ilvl w:val="2"/>
          <w:numId w:val="658"/>
        </w:numPr>
        <w:tabs>
          <w:tab w:val="left" w:pos="1478"/>
        </w:tabs>
        <w:spacing w:before="72"/>
        <w:ind w:hanging="638"/>
        <w:rPr>
          <w:b/>
          <w:sz w:val="21"/>
        </w:rPr>
      </w:pPr>
      <w:r>
        <w:rPr>
          <w:spacing w:val="-3"/>
          <w:sz w:val="21"/>
        </w:rPr>
        <w:t>盘卷式栓箱的试验</w:t>
      </w:r>
      <w:r>
        <w:rPr>
          <w:b/>
          <w:w w:val="99"/>
          <w:sz w:val="21"/>
        </w:rPr>
        <w:t xml:space="preserve"> </w:t>
      </w:r>
    </w:p>
    <w:p w14:paraId="360B2CE4" w14:textId="77777777" w:rsidR="00A71EEF" w:rsidRDefault="00A71EEF">
      <w:pPr>
        <w:rPr>
          <w:sz w:val="21"/>
        </w:rPr>
        <w:sectPr w:rsidR="00A71EEF">
          <w:pgSz w:w="11910" w:h="16850"/>
          <w:pgMar w:top="1500" w:right="0" w:bottom="1420" w:left="1260" w:header="0" w:footer="1239" w:gutter="0"/>
          <w:cols w:space="720"/>
        </w:sectPr>
      </w:pPr>
    </w:p>
    <w:p w14:paraId="65C5EFCE" w14:textId="77777777" w:rsidR="00A71EEF" w:rsidRDefault="0081115D">
      <w:pPr>
        <w:pStyle w:val="a3"/>
        <w:spacing w:before="47" w:line="446" w:lineRule="auto"/>
        <w:ind w:left="418" w:right="1507" w:firstLine="419"/>
      </w:pPr>
      <w:r>
        <w:rPr>
          <w:noProof/>
        </w:rPr>
        <w:drawing>
          <wp:anchor distT="0" distB="0" distL="0" distR="0" simplePos="0" relativeHeight="251562496" behindDoc="0" locked="0" layoutInCell="1" allowOverlap="1" wp14:anchorId="5C182A57" wp14:editId="261D2F43">
            <wp:simplePos x="0" y="0"/>
            <wp:positionH relativeFrom="page">
              <wp:posOffset>2237104</wp:posOffset>
            </wp:positionH>
            <wp:positionV relativeFrom="paragraph">
              <wp:posOffset>683005</wp:posOffset>
            </wp:positionV>
            <wp:extent cx="3429000" cy="381000"/>
            <wp:effectExtent l="0" t="0" r="0" b="0"/>
            <wp:wrapTopAndBottom/>
            <wp:docPr id="275" name="image1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170.jpeg"/>
                    <pic:cNvPicPr/>
                  </pic:nvPicPr>
                  <pic:blipFill>
                    <a:blip r:embed="rId177" cstate="print"/>
                    <a:stretch>
                      <a:fillRect/>
                    </a:stretch>
                  </pic:blipFill>
                  <pic:spPr>
                    <a:xfrm>
                      <a:off x="0" y="0"/>
                      <a:ext cx="3429000" cy="381000"/>
                    </a:xfrm>
                    <a:prstGeom prst="rect">
                      <a:avLst/>
                    </a:prstGeom>
                  </pic:spPr>
                </pic:pic>
              </a:graphicData>
            </a:graphic>
          </wp:anchor>
        </w:drawing>
      </w:r>
      <w:r>
        <w:rPr>
          <w:spacing w:val="-10"/>
        </w:rPr>
        <w:t>试验时按图</w:t>
      </w:r>
      <w:r>
        <w:rPr>
          <w:spacing w:val="-10"/>
        </w:rPr>
        <w:t xml:space="preserve"> </w:t>
      </w:r>
      <w:r>
        <w:t>11</w:t>
      </w:r>
      <w:r>
        <w:rPr>
          <w:spacing w:val="-14"/>
        </w:rPr>
        <w:t xml:space="preserve"> </w:t>
      </w:r>
      <w:r>
        <w:rPr>
          <w:spacing w:val="-14"/>
        </w:rPr>
        <w:t>所示，重锤静载</w:t>
      </w:r>
      <w:r>
        <w:rPr>
          <w:spacing w:val="-14"/>
        </w:rPr>
        <w:t xml:space="preserve"> </w:t>
      </w:r>
      <w:r>
        <w:t>5min</w:t>
      </w:r>
      <w:r>
        <w:rPr>
          <w:spacing w:val="-11"/>
        </w:rPr>
        <w:t xml:space="preserve"> </w:t>
      </w:r>
      <w:r>
        <w:rPr>
          <w:spacing w:val="-11"/>
        </w:rPr>
        <w:t>后，检査箱体变形情况应符合</w:t>
      </w:r>
      <w:r>
        <w:rPr>
          <w:spacing w:val="-11"/>
        </w:rPr>
        <w:t xml:space="preserve"> </w:t>
      </w:r>
      <w:r>
        <w:t>5.12.2</w:t>
      </w:r>
      <w:r>
        <w:rPr>
          <w:spacing w:val="-9"/>
        </w:rPr>
        <w:t xml:space="preserve"> </w:t>
      </w:r>
      <w:r>
        <w:rPr>
          <w:spacing w:val="-9"/>
        </w:rPr>
        <w:t>规定。重锤质量按式</w:t>
      </w:r>
      <w:r>
        <w:rPr>
          <w:spacing w:val="-9"/>
        </w:rPr>
        <w:t>(3</w:t>
      </w:r>
      <w:r>
        <w:rPr>
          <w:spacing w:val="-4"/>
        </w:rPr>
        <w:t>)</w:t>
      </w:r>
      <w:r>
        <w:rPr>
          <w:spacing w:val="-4"/>
        </w:rPr>
        <w:t>计算：</w:t>
      </w:r>
      <w:r>
        <w:t xml:space="preserve"> </w:t>
      </w:r>
    </w:p>
    <w:p w14:paraId="758DAEE3" w14:textId="77777777" w:rsidR="00A71EEF" w:rsidRDefault="00A71EEF">
      <w:pPr>
        <w:pStyle w:val="a3"/>
        <w:rPr>
          <w:sz w:val="20"/>
        </w:rPr>
      </w:pPr>
    </w:p>
    <w:p w14:paraId="577B40BC" w14:textId="77777777" w:rsidR="00A71EEF" w:rsidRDefault="0081115D">
      <w:pPr>
        <w:pStyle w:val="a3"/>
        <w:spacing w:before="12"/>
        <w:rPr>
          <w:sz w:val="10"/>
        </w:rPr>
      </w:pPr>
      <w:r>
        <w:rPr>
          <w:noProof/>
        </w:rPr>
        <w:drawing>
          <wp:anchor distT="0" distB="0" distL="0" distR="0" simplePos="0" relativeHeight="251563520" behindDoc="0" locked="0" layoutInCell="1" allowOverlap="1" wp14:anchorId="48AAE725" wp14:editId="5F724D0F">
            <wp:simplePos x="0" y="0"/>
            <wp:positionH relativeFrom="page">
              <wp:posOffset>2475229</wp:posOffset>
            </wp:positionH>
            <wp:positionV relativeFrom="paragraph">
              <wp:posOffset>114141</wp:posOffset>
            </wp:positionV>
            <wp:extent cx="2895599" cy="609600"/>
            <wp:effectExtent l="0" t="0" r="0" b="0"/>
            <wp:wrapTopAndBottom/>
            <wp:docPr id="277" name="image1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171.jpeg"/>
                    <pic:cNvPicPr/>
                  </pic:nvPicPr>
                  <pic:blipFill>
                    <a:blip r:embed="rId178" cstate="print"/>
                    <a:stretch>
                      <a:fillRect/>
                    </a:stretch>
                  </pic:blipFill>
                  <pic:spPr>
                    <a:xfrm>
                      <a:off x="0" y="0"/>
                      <a:ext cx="2895599" cy="609600"/>
                    </a:xfrm>
                    <a:prstGeom prst="rect">
                      <a:avLst/>
                    </a:prstGeom>
                  </pic:spPr>
                </pic:pic>
              </a:graphicData>
            </a:graphic>
          </wp:anchor>
        </w:drawing>
      </w:r>
      <w:r>
        <w:rPr>
          <w:noProof/>
        </w:rPr>
        <w:drawing>
          <wp:anchor distT="0" distB="0" distL="0" distR="0" simplePos="0" relativeHeight="251564544" behindDoc="0" locked="0" layoutInCell="1" allowOverlap="1" wp14:anchorId="3F031164" wp14:editId="73BEF41B">
            <wp:simplePos x="0" y="0"/>
            <wp:positionH relativeFrom="page">
              <wp:posOffset>1646554</wp:posOffset>
            </wp:positionH>
            <wp:positionV relativeFrom="paragraph">
              <wp:posOffset>880586</wp:posOffset>
            </wp:positionV>
            <wp:extent cx="3886200" cy="3581400"/>
            <wp:effectExtent l="0" t="0" r="0" b="0"/>
            <wp:wrapTopAndBottom/>
            <wp:docPr id="279" name="image1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172.jpeg"/>
                    <pic:cNvPicPr/>
                  </pic:nvPicPr>
                  <pic:blipFill>
                    <a:blip r:embed="rId179" cstate="print"/>
                    <a:stretch>
                      <a:fillRect/>
                    </a:stretch>
                  </pic:blipFill>
                  <pic:spPr>
                    <a:xfrm>
                      <a:off x="0" y="0"/>
                      <a:ext cx="3886200" cy="3581400"/>
                    </a:xfrm>
                    <a:prstGeom prst="rect">
                      <a:avLst/>
                    </a:prstGeom>
                  </pic:spPr>
                </pic:pic>
              </a:graphicData>
            </a:graphic>
          </wp:anchor>
        </w:drawing>
      </w:r>
    </w:p>
    <w:p w14:paraId="2E6F5952" w14:textId="77777777" w:rsidR="00A71EEF" w:rsidRDefault="00A71EEF">
      <w:pPr>
        <w:pStyle w:val="a3"/>
        <w:spacing w:before="12"/>
        <w:rPr>
          <w:sz w:val="13"/>
        </w:rPr>
      </w:pPr>
    </w:p>
    <w:p w14:paraId="00C25D49" w14:textId="77777777" w:rsidR="00A71EEF" w:rsidRDefault="00A71EEF">
      <w:pPr>
        <w:pStyle w:val="a3"/>
        <w:rPr>
          <w:sz w:val="20"/>
        </w:rPr>
      </w:pPr>
    </w:p>
    <w:p w14:paraId="3B81595D" w14:textId="77777777" w:rsidR="00A71EEF" w:rsidRDefault="00A71EEF">
      <w:pPr>
        <w:pStyle w:val="a3"/>
        <w:rPr>
          <w:sz w:val="20"/>
        </w:rPr>
      </w:pPr>
    </w:p>
    <w:p w14:paraId="6C4E2631" w14:textId="77777777" w:rsidR="00A71EEF" w:rsidRDefault="00A71EEF">
      <w:pPr>
        <w:pStyle w:val="a3"/>
        <w:spacing w:before="11"/>
        <w:rPr>
          <w:sz w:val="18"/>
        </w:rPr>
      </w:pPr>
    </w:p>
    <w:p w14:paraId="0D1C1034" w14:textId="77777777" w:rsidR="00A71EEF" w:rsidRDefault="0081115D">
      <w:pPr>
        <w:pStyle w:val="a4"/>
        <w:numPr>
          <w:ilvl w:val="1"/>
          <w:numId w:val="657"/>
        </w:numPr>
        <w:tabs>
          <w:tab w:val="left" w:pos="1264"/>
        </w:tabs>
        <w:rPr>
          <w:b/>
          <w:sz w:val="21"/>
        </w:rPr>
      </w:pPr>
      <w:r>
        <w:rPr>
          <w:spacing w:val="-3"/>
          <w:sz w:val="21"/>
        </w:rPr>
        <w:t>箱门检验</w:t>
      </w:r>
      <w:r>
        <w:rPr>
          <w:b/>
          <w:w w:val="99"/>
          <w:sz w:val="21"/>
        </w:rPr>
        <w:t xml:space="preserve"> </w:t>
      </w:r>
    </w:p>
    <w:p w14:paraId="08A64BAC" w14:textId="77777777" w:rsidR="00A71EEF" w:rsidRDefault="00A71EEF">
      <w:pPr>
        <w:pStyle w:val="a3"/>
        <w:rPr>
          <w:b/>
          <w:sz w:val="18"/>
        </w:rPr>
      </w:pPr>
    </w:p>
    <w:p w14:paraId="6EB1C279" w14:textId="77777777" w:rsidR="00A71EEF" w:rsidRDefault="0081115D">
      <w:pPr>
        <w:pStyle w:val="a4"/>
        <w:numPr>
          <w:ilvl w:val="2"/>
          <w:numId w:val="657"/>
        </w:numPr>
        <w:tabs>
          <w:tab w:val="left" w:pos="1478"/>
        </w:tabs>
        <w:ind w:hanging="638"/>
        <w:rPr>
          <w:b/>
          <w:sz w:val="21"/>
        </w:rPr>
      </w:pPr>
      <w:r>
        <w:rPr>
          <w:spacing w:val="-3"/>
          <w:sz w:val="21"/>
        </w:rPr>
        <w:t>试验准备</w:t>
      </w:r>
      <w:r>
        <w:rPr>
          <w:b/>
          <w:w w:val="99"/>
          <w:sz w:val="21"/>
        </w:rPr>
        <w:t xml:space="preserve"> </w:t>
      </w:r>
    </w:p>
    <w:p w14:paraId="347E969E" w14:textId="77777777" w:rsidR="00A71EEF" w:rsidRDefault="00A71EEF">
      <w:pPr>
        <w:pStyle w:val="a3"/>
        <w:spacing w:before="12"/>
        <w:rPr>
          <w:b/>
          <w:sz w:val="17"/>
        </w:rPr>
      </w:pPr>
    </w:p>
    <w:p w14:paraId="7764EC35" w14:textId="77777777" w:rsidR="00A71EEF" w:rsidRDefault="0081115D">
      <w:pPr>
        <w:spacing w:line="446" w:lineRule="auto"/>
        <w:ind w:left="840" w:right="7278" w:hanging="3"/>
        <w:rPr>
          <w:b/>
          <w:sz w:val="21"/>
        </w:rPr>
      </w:pPr>
      <w:r>
        <w:rPr>
          <w:spacing w:val="-11"/>
          <w:sz w:val="21"/>
        </w:rPr>
        <w:t>试验准备同</w:t>
      </w:r>
      <w:r>
        <w:rPr>
          <w:spacing w:val="-11"/>
          <w:sz w:val="21"/>
        </w:rPr>
        <w:t xml:space="preserve"> </w:t>
      </w:r>
      <w:r>
        <w:rPr>
          <w:sz w:val="21"/>
        </w:rPr>
        <w:t>6.6.2.1</w:t>
      </w:r>
      <w:r>
        <w:rPr>
          <w:spacing w:val="-3"/>
          <w:sz w:val="21"/>
        </w:rPr>
        <w:t>。</w:t>
      </w:r>
      <w:r>
        <w:rPr>
          <w:b/>
          <w:sz w:val="21"/>
        </w:rPr>
        <w:t>6.12.2</w:t>
      </w:r>
      <w:r>
        <w:rPr>
          <w:b/>
          <w:spacing w:val="10"/>
          <w:sz w:val="21"/>
        </w:rPr>
        <w:t xml:space="preserve"> </w:t>
      </w:r>
      <w:r>
        <w:rPr>
          <w:spacing w:val="-3"/>
          <w:sz w:val="21"/>
        </w:rPr>
        <w:t>箱门开启角度试验</w:t>
      </w:r>
      <w:r>
        <w:rPr>
          <w:b/>
          <w:w w:val="99"/>
          <w:sz w:val="21"/>
        </w:rPr>
        <w:t xml:space="preserve"> </w:t>
      </w:r>
    </w:p>
    <w:p w14:paraId="75C6B206" w14:textId="77777777" w:rsidR="00A71EEF" w:rsidRDefault="0081115D">
      <w:pPr>
        <w:pStyle w:val="a3"/>
        <w:spacing w:line="446" w:lineRule="auto"/>
        <w:ind w:left="840" w:right="1613" w:hanging="3"/>
        <w:rPr>
          <w:b/>
        </w:rPr>
      </w:pPr>
      <w:r>
        <w:rPr>
          <w:spacing w:val="-5"/>
        </w:rPr>
        <w:t>将箱门开启至最大位置，用量角器测出箱门外表面与门框间的夹角应符合</w:t>
      </w:r>
      <w:r>
        <w:rPr>
          <w:spacing w:val="-5"/>
        </w:rPr>
        <w:t xml:space="preserve"> </w:t>
      </w:r>
      <w:r>
        <w:t>5.13.3</w:t>
      </w:r>
      <w:r>
        <w:rPr>
          <w:spacing w:val="-14"/>
        </w:rPr>
        <w:t xml:space="preserve"> </w:t>
      </w:r>
      <w:r>
        <w:rPr>
          <w:spacing w:val="-14"/>
        </w:rPr>
        <w:t>规定。</w:t>
      </w:r>
      <w:r>
        <w:rPr>
          <w:b/>
        </w:rPr>
        <w:t>6.12.3</w:t>
      </w:r>
      <w:r>
        <w:rPr>
          <w:b/>
          <w:spacing w:val="-1"/>
        </w:rPr>
        <w:t xml:space="preserve"> </w:t>
      </w:r>
      <w:r>
        <w:rPr>
          <w:spacing w:val="-3"/>
        </w:rPr>
        <w:t>箱门开启拉力试验</w:t>
      </w:r>
      <w:r>
        <w:rPr>
          <w:b/>
          <w:w w:val="99"/>
        </w:rPr>
        <w:t xml:space="preserve"> </w:t>
      </w:r>
    </w:p>
    <w:p w14:paraId="62A88B49" w14:textId="77777777" w:rsidR="00A71EEF" w:rsidRDefault="0081115D">
      <w:pPr>
        <w:pStyle w:val="a3"/>
        <w:spacing w:line="446" w:lineRule="auto"/>
        <w:ind w:left="418" w:right="1714" w:firstLine="419"/>
      </w:pPr>
      <w:r>
        <w:rPr>
          <w:spacing w:val="-6"/>
        </w:rPr>
        <w:t>在垂直箱门方向，用精度不低于</w:t>
      </w:r>
      <w:r>
        <w:rPr>
          <w:spacing w:val="-6"/>
        </w:rPr>
        <w:t xml:space="preserve"> </w:t>
      </w:r>
      <w:r>
        <w:t>2</w:t>
      </w:r>
      <w:r>
        <w:rPr>
          <w:spacing w:val="-10"/>
        </w:rPr>
        <w:t xml:space="preserve"> </w:t>
      </w:r>
      <w:r>
        <w:rPr>
          <w:spacing w:val="-10"/>
        </w:rPr>
        <w:t>级的测力计测出箱手把处的开启拉力应符合</w:t>
      </w:r>
      <w:r>
        <w:rPr>
          <w:spacing w:val="-10"/>
        </w:rPr>
        <w:t xml:space="preserve"> </w:t>
      </w:r>
      <w:r>
        <w:t>5.13.4</w:t>
      </w:r>
      <w:r>
        <w:rPr>
          <w:spacing w:val="-23"/>
        </w:rPr>
        <w:t xml:space="preserve"> </w:t>
      </w:r>
      <w:r>
        <w:rPr>
          <w:spacing w:val="-23"/>
        </w:rPr>
        <w:t>规</w:t>
      </w:r>
      <w:r>
        <w:rPr>
          <w:spacing w:val="-13"/>
        </w:rPr>
        <w:t>定。</w:t>
      </w:r>
      <w:r>
        <w:t xml:space="preserve"> </w:t>
      </w:r>
    </w:p>
    <w:p w14:paraId="76F45A24" w14:textId="77777777" w:rsidR="00A71EEF" w:rsidRDefault="0081115D">
      <w:pPr>
        <w:pStyle w:val="a4"/>
        <w:numPr>
          <w:ilvl w:val="1"/>
          <w:numId w:val="657"/>
        </w:numPr>
        <w:tabs>
          <w:tab w:val="left" w:pos="1264"/>
        </w:tabs>
        <w:spacing w:line="267" w:lineRule="exact"/>
        <w:rPr>
          <w:sz w:val="21"/>
        </w:rPr>
      </w:pPr>
      <w:r>
        <w:rPr>
          <w:spacing w:val="-3"/>
          <w:sz w:val="21"/>
        </w:rPr>
        <w:t>水带安置检验</w:t>
      </w:r>
      <w:r>
        <w:rPr>
          <w:sz w:val="21"/>
        </w:rPr>
        <w:t xml:space="preserve"> </w:t>
      </w:r>
    </w:p>
    <w:p w14:paraId="17330321" w14:textId="77777777" w:rsidR="00A71EEF" w:rsidRDefault="00A71EEF">
      <w:pPr>
        <w:spacing w:line="267" w:lineRule="exact"/>
        <w:rPr>
          <w:sz w:val="21"/>
        </w:rPr>
        <w:sectPr w:rsidR="00A71EEF">
          <w:pgSz w:w="11910" w:h="16850"/>
          <w:pgMar w:top="1220" w:right="0" w:bottom="1420" w:left="1260" w:header="0" w:footer="1239" w:gutter="0"/>
          <w:cols w:space="720"/>
        </w:sectPr>
      </w:pPr>
    </w:p>
    <w:p w14:paraId="1B0BB9C5" w14:textId="77777777" w:rsidR="00A71EEF" w:rsidRDefault="0081115D">
      <w:pPr>
        <w:pStyle w:val="a3"/>
        <w:spacing w:before="47"/>
        <w:ind w:left="838"/>
      </w:pPr>
      <w:r>
        <w:t>利用目视和通用量具，检査栓箱水带安置情况，应符合</w:t>
      </w:r>
      <w:r>
        <w:t xml:space="preserve"> 5.14 </w:t>
      </w:r>
      <w:r>
        <w:t>规定。</w:t>
      </w:r>
      <w:r>
        <w:t xml:space="preserve"> </w:t>
      </w:r>
    </w:p>
    <w:p w14:paraId="2BE2778F" w14:textId="77777777" w:rsidR="00A71EEF" w:rsidRDefault="00A71EEF">
      <w:pPr>
        <w:pStyle w:val="a3"/>
        <w:spacing w:before="8"/>
        <w:rPr>
          <w:sz w:val="15"/>
        </w:rPr>
      </w:pPr>
    </w:p>
    <w:p w14:paraId="2A117D3F" w14:textId="77777777" w:rsidR="00A71EEF" w:rsidRDefault="0081115D">
      <w:pPr>
        <w:pStyle w:val="4"/>
        <w:spacing w:before="1"/>
      </w:pPr>
      <w:r>
        <w:t xml:space="preserve">7 </w:t>
      </w:r>
      <w:r>
        <w:t>检验规则</w:t>
      </w:r>
      <w:r>
        <w:rPr>
          <w:w w:val="99"/>
        </w:rPr>
        <w:t xml:space="preserve"> </w:t>
      </w:r>
    </w:p>
    <w:p w14:paraId="7BFE9A9F" w14:textId="77777777" w:rsidR="00A71EEF" w:rsidRDefault="00A71EEF">
      <w:pPr>
        <w:pStyle w:val="a3"/>
        <w:spacing w:before="3"/>
        <w:rPr>
          <w:b/>
          <w:sz w:val="17"/>
        </w:rPr>
      </w:pPr>
    </w:p>
    <w:p w14:paraId="717EC390" w14:textId="77777777" w:rsidR="00A71EEF" w:rsidRDefault="0081115D">
      <w:pPr>
        <w:spacing w:before="1" w:line="446" w:lineRule="auto"/>
        <w:ind w:left="840" w:right="6757" w:hanging="3"/>
        <w:rPr>
          <w:b/>
          <w:sz w:val="21"/>
        </w:rPr>
      </w:pPr>
      <w:r>
        <w:rPr>
          <w:spacing w:val="-3"/>
          <w:sz w:val="21"/>
        </w:rPr>
        <w:t>栓箱分为形式检验和出厂检验。</w:t>
      </w:r>
      <w:r>
        <w:rPr>
          <w:b/>
          <w:sz w:val="21"/>
        </w:rPr>
        <w:t>7.1</w:t>
      </w:r>
      <w:r>
        <w:rPr>
          <w:b/>
          <w:spacing w:val="2"/>
          <w:sz w:val="21"/>
        </w:rPr>
        <w:t xml:space="preserve"> </w:t>
      </w:r>
      <w:r>
        <w:rPr>
          <w:spacing w:val="-3"/>
          <w:sz w:val="21"/>
        </w:rPr>
        <w:t>形式检验</w:t>
      </w:r>
      <w:r>
        <w:rPr>
          <w:b/>
          <w:w w:val="99"/>
          <w:sz w:val="21"/>
        </w:rPr>
        <w:t xml:space="preserve"> </w:t>
      </w:r>
    </w:p>
    <w:p w14:paraId="27216A9E" w14:textId="77777777" w:rsidR="00A71EEF" w:rsidRDefault="0081115D">
      <w:pPr>
        <w:pStyle w:val="a3"/>
        <w:spacing w:line="446" w:lineRule="auto"/>
        <w:ind w:left="840" w:right="5917" w:hanging="3"/>
      </w:pPr>
      <w:r>
        <w:rPr>
          <w:spacing w:val="-9"/>
        </w:rPr>
        <w:t>形式检验应按表</w:t>
      </w:r>
      <w:r>
        <w:rPr>
          <w:spacing w:val="-9"/>
        </w:rPr>
        <w:t xml:space="preserve"> </w:t>
      </w:r>
      <w:r>
        <w:t>3</w:t>
      </w:r>
      <w:r>
        <w:rPr>
          <w:spacing w:val="-8"/>
        </w:rPr>
        <w:t xml:space="preserve"> </w:t>
      </w:r>
      <w:r>
        <w:rPr>
          <w:spacing w:val="-8"/>
        </w:rPr>
        <w:t>进行全部项目的检验。</w:t>
      </w:r>
      <w:r>
        <w:rPr>
          <w:b/>
        </w:rPr>
        <w:t xml:space="preserve">7.2 </w:t>
      </w:r>
      <w:r>
        <w:rPr>
          <w:spacing w:val="-3"/>
        </w:rPr>
        <w:t>出厂检验</w:t>
      </w:r>
      <w:r>
        <w:t xml:space="preserve"> </w:t>
      </w:r>
    </w:p>
    <w:p w14:paraId="4803FA40" w14:textId="77777777" w:rsidR="00A71EEF" w:rsidRDefault="0081115D">
      <w:pPr>
        <w:spacing w:line="446" w:lineRule="auto"/>
        <w:ind w:left="840" w:right="6757" w:hanging="3"/>
        <w:rPr>
          <w:b/>
          <w:sz w:val="21"/>
        </w:rPr>
      </w:pPr>
      <w:r>
        <w:rPr>
          <w:sz w:val="21"/>
        </w:rPr>
        <w:t>出厂检验应按表</w:t>
      </w:r>
      <w:r>
        <w:rPr>
          <w:sz w:val="21"/>
        </w:rPr>
        <w:t xml:space="preserve"> 3 </w:t>
      </w:r>
      <w:r>
        <w:rPr>
          <w:sz w:val="21"/>
        </w:rPr>
        <w:t>的规定进行。</w:t>
      </w:r>
      <w:r>
        <w:rPr>
          <w:b/>
          <w:sz w:val="21"/>
        </w:rPr>
        <w:t xml:space="preserve">7.3 </w:t>
      </w:r>
      <w:r>
        <w:rPr>
          <w:sz w:val="21"/>
        </w:rPr>
        <w:t>抽样</w:t>
      </w:r>
      <w:r>
        <w:rPr>
          <w:b/>
          <w:w w:val="99"/>
          <w:sz w:val="21"/>
        </w:rPr>
        <w:t xml:space="preserve"> </w:t>
      </w:r>
    </w:p>
    <w:p w14:paraId="5BA454B2" w14:textId="77777777" w:rsidR="00A71EEF" w:rsidRDefault="0081115D">
      <w:pPr>
        <w:pStyle w:val="a3"/>
        <w:spacing w:line="267" w:lineRule="exact"/>
        <w:ind w:left="838"/>
      </w:pPr>
      <w:r>
        <w:t>抽样方法采取随机抽样，每</w:t>
      </w:r>
      <w:r>
        <w:t xml:space="preserve"> 50 </w:t>
      </w:r>
      <w:r>
        <w:t>台消火栓箱为一抽样批量，抽检数为</w:t>
      </w:r>
      <w:r>
        <w:t xml:space="preserve"> 2 </w:t>
      </w:r>
      <w:r>
        <w:t>台；不满</w:t>
      </w:r>
      <w:r>
        <w:t xml:space="preserve"> 50 </w:t>
      </w:r>
      <w:r>
        <w:t>台时也</w:t>
      </w:r>
    </w:p>
    <w:p w14:paraId="4A521CA3" w14:textId="77777777" w:rsidR="00A71EEF" w:rsidRDefault="00A71EEF">
      <w:pPr>
        <w:pStyle w:val="a3"/>
        <w:spacing w:before="1"/>
        <w:rPr>
          <w:sz w:val="18"/>
        </w:rPr>
      </w:pPr>
    </w:p>
    <w:p w14:paraId="4B21693D" w14:textId="77777777" w:rsidR="00A71EEF" w:rsidRDefault="0081115D">
      <w:pPr>
        <w:spacing w:line="446" w:lineRule="auto"/>
        <w:ind w:left="840" w:right="8436" w:hanging="423"/>
        <w:rPr>
          <w:b/>
          <w:sz w:val="21"/>
        </w:rPr>
      </w:pPr>
      <w:r>
        <w:rPr>
          <w:spacing w:val="-10"/>
          <w:sz w:val="21"/>
        </w:rPr>
        <w:t>必须抽检</w:t>
      </w:r>
      <w:r>
        <w:rPr>
          <w:spacing w:val="-10"/>
          <w:sz w:val="21"/>
        </w:rPr>
        <w:t xml:space="preserve"> </w:t>
      </w:r>
      <w:r>
        <w:rPr>
          <w:sz w:val="21"/>
        </w:rPr>
        <w:t>2</w:t>
      </w:r>
      <w:r>
        <w:rPr>
          <w:spacing w:val="-17"/>
          <w:sz w:val="21"/>
        </w:rPr>
        <w:t xml:space="preserve"> </w:t>
      </w:r>
      <w:r>
        <w:rPr>
          <w:spacing w:val="-17"/>
          <w:sz w:val="21"/>
        </w:rPr>
        <w:t>台。</w:t>
      </w:r>
      <w:r>
        <w:rPr>
          <w:b/>
          <w:sz w:val="21"/>
        </w:rPr>
        <w:t>7.4</w:t>
      </w:r>
      <w:r>
        <w:rPr>
          <w:b/>
          <w:spacing w:val="3"/>
          <w:sz w:val="21"/>
        </w:rPr>
        <w:t xml:space="preserve"> </w:t>
      </w:r>
      <w:r>
        <w:rPr>
          <w:spacing w:val="-3"/>
          <w:sz w:val="21"/>
        </w:rPr>
        <w:t>判定规则</w:t>
      </w:r>
      <w:r>
        <w:rPr>
          <w:b/>
          <w:w w:val="99"/>
          <w:sz w:val="21"/>
        </w:rPr>
        <w:t xml:space="preserve"> </w:t>
      </w:r>
    </w:p>
    <w:p w14:paraId="5BCF22B3" w14:textId="77777777" w:rsidR="00A71EEF" w:rsidRDefault="0081115D">
      <w:pPr>
        <w:pStyle w:val="a4"/>
        <w:numPr>
          <w:ilvl w:val="2"/>
          <w:numId w:val="656"/>
        </w:numPr>
        <w:tabs>
          <w:tab w:val="left" w:pos="1370"/>
        </w:tabs>
        <w:spacing w:line="267" w:lineRule="exact"/>
        <w:ind w:hanging="530"/>
        <w:rPr>
          <w:b/>
          <w:sz w:val="21"/>
        </w:rPr>
      </w:pPr>
      <w:r>
        <w:rPr>
          <w:spacing w:val="-3"/>
          <w:sz w:val="21"/>
        </w:rPr>
        <w:t>形式检验</w:t>
      </w:r>
      <w:r>
        <w:rPr>
          <w:b/>
          <w:w w:val="99"/>
          <w:sz w:val="21"/>
        </w:rPr>
        <w:t xml:space="preserve"> </w:t>
      </w:r>
    </w:p>
    <w:p w14:paraId="34730931" w14:textId="77777777" w:rsidR="00A71EEF" w:rsidRDefault="00A71EEF">
      <w:pPr>
        <w:pStyle w:val="a3"/>
        <w:spacing w:before="2"/>
        <w:rPr>
          <w:b/>
          <w:sz w:val="18"/>
        </w:rPr>
      </w:pPr>
    </w:p>
    <w:p w14:paraId="3C346050" w14:textId="77777777" w:rsidR="00A71EEF" w:rsidRDefault="0081115D">
      <w:pPr>
        <w:pStyle w:val="a3"/>
        <w:spacing w:line="446" w:lineRule="auto"/>
        <w:ind w:left="418" w:right="1453" w:firstLine="419"/>
      </w:pPr>
      <w:r>
        <w:rPr>
          <w:spacing w:val="-16"/>
        </w:rPr>
        <w:t>按表</w:t>
      </w:r>
      <w:r>
        <w:rPr>
          <w:spacing w:val="-16"/>
        </w:rPr>
        <w:t xml:space="preserve"> </w:t>
      </w:r>
      <w:r>
        <w:t>3</w:t>
      </w:r>
      <w:r>
        <w:rPr>
          <w:spacing w:val="-10"/>
        </w:rPr>
        <w:t xml:space="preserve"> </w:t>
      </w:r>
      <w:r>
        <w:rPr>
          <w:spacing w:val="-10"/>
        </w:rPr>
        <w:t>中规定的全部项目检验合格时，该产品为合格品。若有一项</w:t>
      </w:r>
      <w:r>
        <w:rPr>
          <w:spacing w:val="-10"/>
        </w:rPr>
        <w:t xml:space="preserve"> </w:t>
      </w:r>
      <w:r>
        <w:t>A</w:t>
      </w:r>
      <w:r>
        <w:rPr>
          <w:spacing w:val="-8"/>
        </w:rPr>
        <w:t xml:space="preserve"> </w:t>
      </w:r>
      <w:r>
        <w:rPr>
          <w:spacing w:val="-8"/>
        </w:rPr>
        <w:t>类项目不合格，则该</w:t>
      </w:r>
      <w:r>
        <w:rPr>
          <w:spacing w:val="-9"/>
        </w:rPr>
        <w:t>产品为不合格品。若有</w:t>
      </w:r>
      <w:r>
        <w:rPr>
          <w:spacing w:val="-9"/>
        </w:rPr>
        <w:t xml:space="preserve"> </w:t>
      </w:r>
      <w:r>
        <w:t>B</w:t>
      </w:r>
      <w:r>
        <w:rPr>
          <w:spacing w:val="-8"/>
        </w:rPr>
        <w:t xml:space="preserve"> </w:t>
      </w:r>
      <w:r>
        <w:rPr>
          <w:spacing w:val="-8"/>
        </w:rPr>
        <w:t>类项目不合格，允许加倍抽样检验，仍有两项不合格，则判该产品不</w:t>
      </w:r>
      <w:r>
        <w:rPr>
          <w:spacing w:val="-7"/>
        </w:rPr>
        <w:t>合格。</w:t>
      </w:r>
      <w:r>
        <w:t>C</w:t>
      </w:r>
      <w:r>
        <w:rPr>
          <w:spacing w:val="-6"/>
        </w:rPr>
        <w:t xml:space="preserve"> </w:t>
      </w:r>
      <w:r>
        <w:rPr>
          <w:spacing w:val="-6"/>
        </w:rPr>
        <w:t>类项目不合格数大于或等于四项，即判该产品不合格，若已有一项</w:t>
      </w:r>
      <w:r>
        <w:t>B</w:t>
      </w:r>
      <w:r>
        <w:rPr>
          <w:spacing w:val="-7"/>
        </w:rPr>
        <w:t xml:space="preserve"> </w:t>
      </w:r>
      <w:r>
        <w:rPr>
          <w:spacing w:val="-7"/>
        </w:rPr>
        <w:t>类项目不合格时，</w:t>
      </w:r>
      <w:r>
        <w:rPr>
          <w:spacing w:val="-7"/>
        </w:rPr>
        <w:t xml:space="preserve"> C</w:t>
      </w:r>
      <w:r>
        <w:rPr>
          <w:spacing w:val="-9"/>
        </w:rPr>
        <w:t xml:space="preserve"> </w:t>
      </w:r>
      <w:r>
        <w:rPr>
          <w:spacing w:val="-9"/>
        </w:rPr>
        <w:t>类项目不合格数大于或等于二项，则该产品判为不合格。</w:t>
      </w:r>
      <w:r>
        <w:t xml:space="preserve"> </w:t>
      </w:r>
    </w:p>
    <w:p w14:paraId="405FA9CA" w14:textId="77777777" w:rsidR="00A71EEF" w:rsidRDefault="0081115D">
      <w:pPr>
        <w:pStyle w:val="a4"/>
        <w:numPr>
          <w:ilvl w:val="2"/>
          <w:numId w:val="656"/>
        </w:numPr>
        <w:tabs>
          <w:tab w:val="left" w:pos="1370"/>
        </w:tabs>
        <w:spacing w:line="267" w:lineRule="exact"/>
        <w:ind w:hanging="530"/>
        <w:rPr>
          <w:b/>
          <w:sz w:val="21"/>
        </w:rPr>
      </w:pPr>
      <w:r>
        <w:rPr>
          <w:spacing w:val="-3"/>
          <w:sz w:val="21"/>
        </w:rPr>
        <w:t>出厂检验</w:t>
      </w:r>
      <w:r>
        <w:rPr>
          <w:b/>
          <w:w w:val="99"/>
          <w:sz w:val="21"/>
        </w:rPr>
        <w:t xml:space="preserve"> </w:t>
      </w:r>
    </w:p>
    <w:p w14:paraId="31018439" w14:textId="77777777" w:rsidR="00A71EEF" w:rsidRDefault="00A71EEF">
      <w:pPr>
        <w:pStyle w:val="a3"/>
        <w:spacing w:before="12"/>
        <w:rPr>
          <w:b/>
          <w:sz w:val="17"/>
        </w:rPr>
      </w:pPr>
    </w:p>
    <w:p w14:paraId="223A5062" w14:textId="77777777" w:rsidR="00A71EEF" w:rsidRDefault="0081115D">
      <w:pPr>
        <w:pStyle w:val="a3"/>
        <w:spacing w:line="446" w:lineRule="auto"/>
        <w:ind w:left="418" w:right="1506" w:firstLine="419"/>
      </w:pPr>
      <w:r>
        <w:rPr>
          <w:spacing w:val="-22"/>
        </w:rPr>
        <w:t>表</w:t>
      </w:r>
      <w:r>
        <w:rPr>
          <w:spacing w:val="-22"/>
        </w:rPr>
        <w:t xml:space="preserve"> </w:t>
      </w:r>
      <w:r>
        <w:t>3</w:t>
      </w:r>
      <w:r>
        <w:rPr>
          <w:spacing w:val="-8"/>
        </w:rPr>
        <w:t xml:space="preserve"> </w:t>
      </w:r>
      <w:r>
        <w:rPr>
          <w:spacing w:val="-8"/>
        </w:rPr>
        <w:t>中规定的产品全检项目和抽检项目全部合格，则该产品为合格品。若该批产品的全检</w:t>
      </w:r>
      <w:r>
        <w:rPr>
          <w:spacing w:val="-5"/>
        </w:rPr>
        <w:t>项目中有一项不合格</w:t>
      </w:r>
      <w:r>
        <w:rPr>
          <w:spacing w:val="-5"/>
        </w:rPr>
        <w:t>,</w:t>
      </w:r>
      <w:r>
        <w:rPr>
          <w:spacing w:val="-5"/>
        </w:rPr>
        <w:t>则该批产品被判为不合格；若该批产品的抽检项目中出现不合格，允许加</w:t>
      </w:r>
      <w:r>
        <w:rPr>
          <w:spacing w:val="-4"/>
        </w:rPr>
        <w:t>倍抽样检验，仍不合格时，即判该批产品为不合格产品。</w:t>
      </w:r>
      <w:r>
        <w:t xml:space="preserve"> </w:t>
      </w:r>
    </w:p>
    <w:p w14:paraId="322A72A1" w14:textId="77777777" w:rsidR="00A71EEF" w:rsidRDefault="0081115D">
      <w:pPr>
        <w:pStyle w:val="4"/>
        <w:spacing w:line="277" w:lineRule="exact"/>
      </w:pPr>
      <w:r>
        <w:t xml:space="preserve">8 </w:t>
      </w:r>
      <w:r>
        <w:t>标志</w:t>
      </w:r>
      <w:r>
        <w:rPr>
          <w:w w:val="99"/>
        </w:rPr>
        <w:t xml:space="preserve"> </w:t>
      </w:r>
    </w:p>
    <w:p w14:paraId="217C58B7" w14:textId="77777777" w:rsidR="00A71EEF" w:rsidRDefault="00A71EEF">
      <w:pPr>
        <w:pStyle w:val="a3"/>
        <w:spacing w:before="7"/>
        <w:rPr>
          <w:b/>
          <w:sz w:val="17"/>
        </w:rPr>
      </w:pPr>
    </w:p>
    <w:p w14:paraId="3A64303C" w14:textId="77777777" w:rsidR="00A71EEF" w:rsidRDefault="0081115D">
      <w:pPr>
        <w:pStyle w:val="a4"/>
        <w:numPr>
          <w:ilvl w:val="1"/>
          <w:numId w:val="655"/>
        </w:numPr>
        <w:tabs>
          <w:tab w:val="left" w:pos="1160"/>
        </w:tabs>
        <w:rPr>
          <w:sz w:val="21"/>
        </w:rPr>
      </w:pPr>
      <w:r>
        <w:rPr>
          <w:spacing w:val="-3"/>
          <w:sz w:val="21"/>
        </w:rPr>
        <w:t>栓箱箱门正面应以直观、醒目、匀整的字体标注</w:t>
      </w:r>
      <w:r>
        <w:rPr>
          <w:spacing w:val="-3"/>
          <w:sz w:val="21"/>
        </w:rPr>
        <w:t>“</w:t>
      </w:r>
      <w:r>
        <w:rPr>
          <w:spacing w:val="-3"/>
          <w:sz w:val="21"/>
        </w:rPr>
        <w:t>消火栓</w:t>
      </w:r>
      <w:r>
        <w:rPr>
          <w:spacing w:val="-3"/>
          <w:sz w:val="21"/>
        </w:rPr>
        <w:t>”</w:t>
      </w:r>
      <w:r>
        <w:rPr>
          <w:spacing w:val="-3"/>
          <w:sz w:val="21"/>
        </w:rPr>
        <w:t>字样</w:t>
      </w:r>
      <w:r>
        <w:rPr>
          <w:sz w:val="21"/>
        </w:rPr>
        <w:t xml:space="preserve"> </w:t>
      </w:r>
    </w:p>
    <w:p w14:paraId="309B39C7" w14:textId="77777777" w:rsidR="00A71EEF" w:rsidRDefault="00A71EEF">
      <w:pPr>
        <w:pStyle w:val="a3"/>
        <w:spacing w:before="12"/>
        <w:rPr>
          <w:sz w:val="17"/>
        </w:rPr>
      </w:pPr>
    </w:p>
    <w:p w14:paraId="4E0441D0" w14:textId="77777777" w:rsidR="00A71EEF" w:rsidRDefault="0081115D">
      <w:pPr>
        <w:pStyle w:val="a3"/>
        <w:spacing w:line="446" w:lineRule="auto"/>
        <w:ind w:left="418" w:right="1611" w:firstLine="419"/>
      </w:pPr>
      <w:r>
        <w:rPr>
          <w:spacing w:val="-8"/>
        </w:rPr>
        <w:t>字体不得小于：高</w:t>
      </w:r>
      <w:r>
        <w:rPr>
          <w:spacing w:val="-8"/>
        </w:rPr>
        <w:t xml:space="preserve"> </w:t>
      </w:r>
      <w:r>
        <w:t>100mm</w:t>
      </w:r>
      <w:r>
        <w:rPr>
          <w:spacing w:val="-16"/>
        </w:rPr>
        <w:t>，宽</w:t>
      </w:r>
      <w:r>
        <w:rPr>
          <w:spacing w:val="-16"/>
        </w:rPr>
        <w:t xml:space="preserve"> </w:t>
      </w:r>
      <w:r>
        <w:t>80mm</w:t>
      </w:r>
      <w:r>
        <w:rPr>
          <w:spacing w:val="-3"/>
        </w:rPr>
        <w:t>。如需同时标注英文</w:t>
      </w:r>
      <w:r>
        <w:rPr>
          <w:spacing w:val="-3"/>
        </w:rPr>
        <w:t>“</w:t>
      </w:r>
      <w:r>
        <w:t>FIRE HYDRANT</w:t>
      </w:r>
      <w:r>
        <w:rPr>
          <w:spacing w:val="-3"/>
        </w:rPr>
        <w:t>”</w:t>
      </w:r>
      <w:r>
        <w:rPr>
          <w:spacing w:val="-3"/>
        </w:rPr>
        <w:t>字样者，应在订货时说明。</w:t>
      </w:r>
      <w:r>
        <w:t xml:space="preserve"> </w:t>
      </w:r>
    </w:p>
    <w:p w14:paraId="145D9D16" w14:textId="77777777" w:rsidR="00A71EEF" w:rsidRDefault="0081115D">
      <w:pPr>
        <w:pStyle w:val="a4"/>
        <w:numPr>
          <w:ilvl w:val="1"/>
          <w:numId w:val="655"/>
        </w:numPr>
        <w:tabs>
          <w:tab w:val="left" w:pos="1159"/>
        </w:tabs>
        <w:spacing w:line="446" w:lineRule="auto"/>
        <w:ind w:left="838" w:right="4232" w:firstLine="2"/>
        <w:rPr>
          <w:b/>
          <w:sz w:val="21"/>
        </w:rPr>
      </w:pPr>
      <w:r>
        <w:rPr>
          <w:spacing w:val="-3"/>
          <w:sz w:val="21"/>
        </w:rPr>
        <w:t>箱体表面上应设置耐久性铭牌，铭牌应包括以下内容：</w:t>
      </w:r>
      <w:r>
        <w:rPr>
          <w:spacing w:val="-3"/>
          <w:sz w:val="21"/>
        </w:rPr>
        <w:t xml:space="preserve"> </w:t>
      </w:r>
      <w:r>
        <w:rPr>
          <w:sz w:val="21"/>
        </w:rPr>
        <w:t>a)</w:t>
      </w:r>
      <w:r>
        <w:rPr>
          <w:spacing w:val="-3"/>
          <w:sz w:val="21"/>
        </w:rPr>
        <w:t xml:space="preserve"> </w:t>
      </w:r>
      <w:r>
        <w:rPr>
          <w:spacing w:val="-3"/>
          <w:sz w:val="21"/>
        </w:rPr>
        <w:t>产品名称；</w:t>
      </w:r>
      <w:r>
        <w:rPr>
          <w:b/>
          <w:w w:val="99"/>
          <w:sz w:val="21"/>
        </w:rPr>
        <w:t xml:space="preserve"> </w:t>
      </w:r>
    </w:p>
    <w:p w14:paraId="66600445" w14:textId="77777777" w:rsidR="00A71EEF" w:rsidRDefault="0081115D">
      <w:pPr>
        <w:pStyle w:val="a4"/>
        <w:numPr>
          <w:ilvl w:val="0"/>
          <w:numId w:val="654"/>
        </w:numPr>
        <w:tabs>
          <w:tab w:val="left" w:pos="1051"/>
        </w:tabs>
        <w:spacing w:line="267" w:lineRule="exact"/>
        <w:rPr>
          <w:b/>
          <w:sz w:val="21"/>
        </w:rPr>
      </w:pPr>
      <w:r>
        <w:rPr>
          <w:spacing w:val="-3"/>
          <w:sz w:val="21"/>
        </w:rPr>
        <w:t>产品型号；</w:t>
      </w:r>
      <w:r>
        <w:rPr>
          <w:b/>
          <w:w w:val="99"/>
          <w:sz w:val="21"/>
        </w:rPr>
        <w:t xml:space="preserve"> </w:t>
      </w:r>
    </w:p>
    <w:p w14:paraId="0C90BC83" w14:textId="77777777" w:rsidR="00A71EEF" w:rsidRDefault="00A71EEF">
      <w:pPr>
        <w:pStyle w:val="a3"/>
        <w:spacing w:before="2"/>
        <w:rPr>
          <w:b/>
          <w:sz w:val="18"/>
        </w:rPr>
      </w:pPr>
    </w:p>
    <w:p w14:paraId="279CA138" w14:textId="77777777" w:rsidR="00A71EEF" w:rsidRDefault="0081115D">
      <w:pPr>
        <w:pStyle w:val="a4"/>
        <w:numPr>
          <w:ilvl w:val="0"/>
          <w:numId w:val="654"/>
        </w:numPr>
        <w:tabs>
          <w:tab w:val="left" w:pos="1051"/>
        </w:tabs>
        <w:rPr>
          <w:b/>
          <w:sz w:val="21"/>
        </w:rPr>
      </w:pPr>
      <w:r>
        <w:rPr>
          <w:spacing w:val="-3"/>
          <w:sz w:val="21"/>
        </w:rPr>
        <w:t>批准文件的编号；</w:t>
      </w:r>
      <w:r>
        <w:rPr>
          <w:b/>
          <w:w w:val="99"/>
          <w:sz w:val="21"/>
        </w:rPr>
        <w:t xml:space="preserve"> </w:t>
      </w:r>
    </w:p>
    <w:p w14:paraId="3EE19A97" w14:textId="77777777" w:rsidR="00A71EEF" w:rsidRDefault="00A71EEF">
      <w:pPr>
        <w:rPr>
          <w:sz w:val="21"/>
        </w:rPr>
        <w:sectPr w:rsidR="00A71EEF">
          <w:pgSz w:w="11910" w:h="16850"/>
          <w:pgMar w:top="1220" w:right="0" w:bottom="1420" w:left="1260" w:header="0" w:footer="1239" w:gutter="0"/>
          <w:cols w:space="720"/>
        </w:sectPr>
      </w:pPr>
    </w:p>
    <w:p w14:paraId="6FF46400" w14:textId="77777777" w:rsidR="00A71EEF" w:rsidRDefault="0081115D">
      <w:pPr>
        <w:pStyle w:val="a4"/>
        <w:numPr>
          <w:ilvl w:val="0"/>
          <w:numId w:val="654"/>
        </w:numPr>
        <w:tabs>
          <w:tab w:val="left" w:pos="1051"/>
        </w:tabs>
        <w:spacing w:before="47" w:line="446" w:lineRule="auto"/>
        <w:ind w:left="838" w:right="7705" w:firstLine="0"/>
        <w:rPr>
          <w:b/>
          <w:sz w:val="21"/>
        </w:rPr>
      </w:pPr>
      <w:r>
        <w:rPr>
          <w:spacing w:val="-3"/>
          <w:sz w:val="21"/>
        </w:rPr>
        <w:t>注册商标或厂名；</w:t>
      </w:r>
      <w:r>
        <w:rPr>
          <w:spacing w:val="-3"/>
          <w:sz w:val="21"/>
        </w:rPr>
        <w:t xml:space="preserve"> </w:t>
      </w:r>
      <w:r>
        <w:rPr>
          <w:sz w:val="21"/>
        </w:rPr>
        <w:t>e)</w:t>
      </w:r>
      <w:r>
        <w:rPr>
          <w:spacing w:val="-3"/>
          <w:sz w:val="21"/>
        </w:rPr>
        <w:t xml:space="preserve"> </w:t>
      </w:r>
      <w:r>
        <w:rPr>
          <w:spacing w:val="-3"/>
          <w:sz w:val="21"/>
        </w:rPr>
        <w:t>生产日期；</w:t>
      </w:r>
      <w:r>
        <w:rPr>
          <w:b/>
          <w:w w:val="99"/>
          <w:sz w:val="21"/>
        </w:rPr>
        <w:t xml:space="preserve"> </w:t>
      </w:r>
    </w:p>
    <w:p w14:paraId="0DAD4957" w14:textId="77777777" w:rsidR="00A71EEF" w:rsidRDefault="0081115D">
      <w:pPr>
        <w:pStyle w:val="a3"/>
        <w:spacing w:line="267" w:lineRule="exact"/>
        <w:ind w:left="838"/>
        <w:rPr>
          <w:b/>
        </w:rPr>
      </w:pPr>
      <w:r>
        <w:t>f)</w:t>
      </w:r>
      <w:r>
        <w:t>执行标准。</w:t>
      </w:r>
      <w:r>
        <w:rPr>
          <w:b/>
          <w:w w:val="99"/>
        </w:rPr>
        <w:t xml:space="preserve"> </w:t>
      </w:r>
    </w:p>
    <w:p w14:paraId="4BE35377" w14:textId="77777777" w:rsidR="00A71EEF" w:rsidRDefault="00A71EEF">
      <w:pPr>
        <w:pStyle w:val="a3"/>
        <w:spacing w:before="2"/>
        <w:rPr>
          <w:b/>
          <w:sz w:val="18"/>
        </w:rPr>
      </w:pPr>
    </w:p>
    <w:p w14:paraId="6B05D34B" w14:textId="77777777" w:rsidR="00A71EEF" w:rsidRDefault="0081115D">
      <w:pPr>
        <w:pStyle w:val="a4"/>
        <w:numPr>
          <w:ilvl w:val="1"/>
          <w:numId w:val="655"/>
        </w:numPr>
        <w:tabs>
          <w:tab w:val="left" w:pos="1159"/>
        </w:tabs>
        <w:ind w:left="1158" w:hanging="319"/>
        <w:rPr>
          <w:sz w:val="21"/>
        </w:rPr>
      </w:pPr>
      <w:r>
        <w:rPr>
          <w:spacing w:val="-3"/>
          <w:sz w:val="21"/>
        </w:rPr>
        <w:t>在箱门的背面应标注操作说明。</w:t>
      </w:r>
      <w:r>
        <w:rPr>
          <w:sz w:val="21"/>
        </w:rPr>
        <w:t xml:space="preserve"> </w:t>
      </w:r>
    </w:p>
    <w:p w14:paraId="5987E6FF" w14:textId="77777777" w:rsidR="00A71EEF" w:rsidRDefault="00A71EEF">
      <w:pPr>
        <w:pStyle w:val="a3"/>
        <w:spacing w:before="8"/>
        <w:rPr>
          <w:sz w:val="15"/>
        </w:rPr>
      </w:pPr>
    </w:p>
    <w:p w14:paraId="4DB59D20" w14:textId="77777777" w:rsidR="00A71EEF" w:rsidRDefault="0081115D">
      <w:pPr>
        <w:pStyle w:val="4"/>
      </w:pPr>
      <w:r>
        <w:t xml:space="preserve">9 </w:t>
      </w:r>
      <w:r>
        <w:t>使用说明书</w:t>
      </w:r>
      <w:r>
        <w:rPr>
          <w:w w:val="99"/>
        </w:rPr>
        <w:t xml:space="preserve"> </w:t>
      </w:r>
    </w:p>
    <w:p w14:paraId="4B59C252" w14:textId="77777777" w:rsidR="00A71EEF" w:rsidRDefault="00A71EEF">
      <w:pPr>
        <w:pStyle w:val="a3"/>
        <w:spacing w:before="4"/>
        <w:rPr>
          <w:b/>
          <w:sz w:val="17"/>
        </w:rPr>
      </w:pPr>
    </w:p>
    <w:p w14:paraId="4D809AA1" w14:textId="77777777" w:rsidR="00A71EEF" w:rsidRDefault="0081115D">
      <w:pPr>
        <w:pStyle w:val="a3"/>
        <w:spacing w:line="446" w:lineRule="auto"/>
        <w:ind w:left="838" w:right="3078"/>
        <w:rPr>
          <w:b/>
        </w:rPr>
      </w:pPr>
      <w:r>
        <w:rPr>
          <w:spacing w:val="-9"/>
        </w:rPr>
        <w:t>使用说明书应按</w:t>
      </w:r>
      <w:r>
        <w:rPr>
          <w:spacing w:val="-9"/>
        </w:rPr>
        <w:t xml:space="preserve"> </w:t>
      </w:r>
      <w:r>
        <w:t>GB</w:t>
      </w:r>
      <w:r>
        <w:rPr>
          <w:spacing w:val="9"/>
        </w:rPr>
        <w:t xml:space="preserve"> </w:t>
      </w:r>
      <w:r>
        <w:t>9969.1</w:t>
      </w:r>
      <w:r>
        <w:rPr>
          <w:spacing w:val="-8"/>
        </w:rPr>
        <w:t xml:space="preserve"> </w:t>
      </w:r>
      <w:r>
        <w:rPr>
          <w:spacing w:val="-8"/>
        </w:rPr>
        <w:t>进行编写，使用说明书应至少包括下列内容：</w:t>
      </w:r>
      <w:r>
        <w:rPr>
          <w:spacing w:val="-8"/>
        </w:rPr>
        <w:t xml:space="preserve"> </w:t>
      </w:r>
      <w:r>
        <w:t>a)</w:t>
      </w:r>
      <w:r>
        <w:rPr>
          <w:spacing w:val="-3"/>
        </w:rPr>
        <w:t xml:space="preserve"> </w:t>
      </w:r>
      <w:r>
        <w:rPr>
          <w:spacing w:val="-3"/>
        </w:rPr>
        <w:t>栓箱简介；</w:t>
      </w:r>
      <w:r>
        <w:rPr>
          <w:b/>
          <w:w w:val="99"/>
        </w:rPr>
        <w:t xml:space="preserve"> </w:t>
      </w:r>
    </w:p>
    <w:p w14:paraId="59B90055" w14:textId="77777777" w:rsidR="00A71EEF" w:rsidRDefault="0081115D">
      <w:pPr>
        <w:pStyle w:val="a3"/>
        <w:spacing w:before="1" w:line="446" w:lineRule="auto"/>
        <w:ind w:left="838" w:right="6654"/>
        <w:jc w:val="both"/>
        <w:rPr>
          <w:b/>
        </w:rPr>
      </w:pPr>
      <w:r>
        <w:t xml:space="preserve">b) </w:t>
      </w:r>
      <w:r>
        <w:t>栓箱的技术特性、型号规格；</w:t>
      </w:r>
      <w:r>
        <w:t xml:space="preserve"> c) </w:t>
      </w:r>
      <w:r>
        <w:t>栓箱的结构特征与工作原理；</w:t>
      </w:r>
      <w:r>
        <w:t xml:space="preserve"> d) </w:t>
      </w:r>
      <w:r>
        <w:t>电器设备接线图；</w:t>
      </w:r>
      <w:r>
        <w:rPr>
          <w:b/>
          <w:w w:val="99"/>
        </w:rPr>
        <w:t xml:space="preserve"> </w:t>
      </w:r>
    </w:p>
    <w:p w14:paraId="294EA1A9" w14:textId="77777777" w:rsidR="00A71EEF" w:rsidRDefault="0081115D">
      <w:pPr>
        <w:pStyle w:val="a3"/>
        <w:spacing w:line="446" w:lineRule="auto"/>
        <w:ind w:left="838" w:right="6076"/>
        <w:rPr>
          <w:b/>
        </w:rPr>
      </w:pPr>
      <w:r>
        <w:t xml:space="preserve">e) </w:t>
      </w:r>
      <w:r>
        <w:t>安装、使用及维护说明、注意事项；</w:t>
      </w:r>
      <w:r>
        <w:t xml:space="preserve"> f) </w:t>
      </w:r>
      <w:r>
        <w:t>售后服务；</w:t>
      </w:r>
      <w:r>
        <w:rPr>
          <w:b/>
          <w:w w:val="99"/>
        </w:rPr>
        <w:t xml:space="preserve"> </w:t>
      </w:r>
    </w:p>
    <w:p w14:paraId="489C8FA2" w14:textId="77777777" w:rsidR="00A71EEF" w:rsidRDefault="0081115D">
      <w:pPr>
        <w:pStyle w:val="a3"/>
        <w:ind w:left="838"/>
        <w:rPr>
          <w:b/>
        </w:rPr>
      </w:pPr>
      <w:r>
        <w:t xml:space="preserve">g) </w:t>
      </w:r>
      <w:r>
        <w:t>生产单位名称、详细地址、邮编和电话</w:t>
      </w:r>
      <w:r>
        <w:rPr>
          <w:b/>
          <w:w w:val="99"/>
        </w:rPr>
        <w:t xml:space="preserve"> </w:t>
      </w:r>
    </w:p>
    <w:p w14:paraId="393F1F61" w14:textId="77777777" w:rsidR="00A71EEF" w:rsidRDefault="00A71EEF">
      <w:pPr>
        <w:pStyle w:val="a3"/>
        <w:spacing w:before="6"/>
        <w:rPr>
          <w:b/>
          <w:sz w:val="15"/>
        </w:rPr>
      </w:pPr>
    </w:p>
    <w:p w14:paraId="45A3AACC" w14:textId="77777777" w:rsidR="00A71EEF" w:rsidRDefault="0081115D">
      <w:pPr>
        <w:pStyle w:val="4"/>
      </w:pPr>
      <w:r>
        <w:t xml:space="preserve">10 </w:t>
      </w:r>
      <w:r>
        <w:t>包装、运输和贮存</w:t>
      </w:r>
      <w:r>
        <w:rPr>
          <w:w w:val="99"/>
        </w:rPr>
        <w:t xml:space="preserve"> </w:t>
      </w:r>
    </w:p>
    <w:p w14:paraId="32DC36CB" w14:textId="77777777" w:rsidR="00A71EEF" w:rsidRDefault="00A71EEF">
      <w:pPr>
        <w:pStyle w:val="a3"/>
        <w:spacing w:before="4"/>
        <w:rPr>
          <w:b/>
          <w:sz w:val="17"/>
        </w:rPr>
      </w:pPr>
    </w:p>
    <w:p w14:paraId="452EC5B0" w14:textId="77777777" w:rsidR="00A71EEF" w:rsidRDefault="0081115D">
      <w:pPr>
        <w:pStyle w:val="a4"/>
        <w:numPr>
          <w:ilvl w:val="1"/>
          <w:numId w:val="653"/>
        </w:numPr>
        <w:tabs>
          <w:tab w:val="left" w:pos="1264"/>
        </w:tabs>
        <w:rPr>
          <w:b/>
          <w:sz w:val="21"/>
        </w:rPr>
      </w:pPr>
      <w:r>
        <w:rPr>
          <w:spacing w:val="-3"/>
          <w:sz w:val="21"/>
        </w:rPr>
        <w:t>包装</w:t>
      </w:r>
      <w:r>
        <w:rPr>
          <w:b/>
          <w:w w:val="99"/>
          <w:sz w:val="21"/>
        </w:rPr>
        <w:t xml:space="preserve"> </w:t>
      </w:r>
    </w:p>
    <w:p w14:paraId="2E62D6C4" w14:textId="77777777" w:rsidR="00A71EEF" w:rsidRDefault="00A71EEF">
      <w:pPr>
        <w:pStyle w:val="a3"/>
        <w:spacing w:before="2"/>
        <w:rPr>
          <w:b/>
          <w:sz w:val="18"/>
        </w:rPr>
      </w:pPr>
    </w:p>
    <w:p w14:paraId="20D5F146" w14:textId="77777777" w:rsidR="00A71EEF" w:rsidRDefault="0081115D">
      <w:pPr>
        <w:pStyle w:val="a4"/>
        <w:numPr>
          <w:ilvl w:val="2"/>
          <w:numId w:val="653"/>
        </w:numPr>
        <w:tabs>
          <w:tab w:val="left" w:pos="1478"/>
        </w:tabs>
        <w:spacing w:line="446" w:lineRule="auto"/>
        <w:ind w:right="1604" w:firstLine="422"/>
        <w:rPr>
          <w:sz w:val="21"/>
        </w:rPr>
      </w:pPr>
      <w:r>
        <w:rPr>
          <w:spacing w:val="-3"/>
          <w:sz w:val="21"/>
        </w:rPr>
        <w:t>每套产品均应用防潮物品包裹并装入硬质纸制包装箱内，封口后用打包带作</w:t>
      </w:r>
      <w:r>
        <w:rPr>
          <w:spacing w:val="-3"/>
          <w:sz w:val="21"/>
        </w:rPr>
        <w:t xml:space="preserve">“#” </w:t>
      </w:r>
      <w:r>
        <w:rPr>
          <w:spacing w:val="-3"/>
          <w:sz w:val="21"/>
        </w:rPr>
        <w:t>字形捆扎，捆扎应牢固、可靠。</w:t>
      </w:r>
      <w:r>
        <w:rPr>
          <w:sz w:val="21"/>
        </w:rPr>
        <w:t xml:space="preserve"> </w:t>
      </w:r>
    </w:p>
    <w:p w14:paraId="4A95DCA0" w14:textId="77777777" w:rsidR="00A71EEF" w:rsidRDefault="0081115D">
      <w:pPr>
        <w:pStyle w:val="a4"/>
        <w:numPr>
          <w:ilvl w:val="2"/>
          <w:numId w:val="653"/>
        </w:numPr>
        <w:tabs>
          <w:tab w:val="left" w:pos="1478"/>
        </w:tabs>
        <w:spacing w:line="446" w:lineRule="auto"/>
        <w:ind w:left="838" w:right="6436" w:firstLine="2"/>
        <w:rPr>
          <w:b/>
          <w:sz w:val="21"/>
        </w:rPr>
      </w:pPr>
      <w:r>
        <w:rPr>
          <w:spacing w:val="-3"/>
          <w:sz w:val="21"/>
        </w:rPr>
        <w:t>包装箱上应注明下列内容：</w:t>
      </w:r>
      <w:r>
        <w:rPr>
          <w:spacing w:val="-3"/>
          <w:sz w:val="21"/>
        </w:rPr>
        <w:t xml:space="preserve"> </w:t>
      </w:r>
      <w:r>
        <w:rPr>
          <w:sz w:val="21"/>
        </w:rPr>
        <w:t>a)</w:t>
      </w:r>
      <w:r>
        <w:rPr>
          <w:spacing w:val="-3"/>
          <w:sz w:val="21"/>
        </w:rPr>
        <w:t xml:space="preserve"> </w:t>
      </w:r>
      <w:r>
        <w:rPr>
          <w:spacing w:val="-3"/>
          <w:sz w:val="21"/>
        </w:rPr>
        <w:t>产品名称、型号规格；</w:t>
      </w:r>
      <w:r>
        <w:rPr>
          <w:b/>
          <w:w w:val="99"/>
          <w:sz w:val="21"/>
        </w:rPr>
        <w:t xml:space="preserve"> </w:t>
      </w:r>
    </w:p>
    <w:p w14:paraId="723DC9ED" w14:textId="77777777" w:rsidR="00A71EEF" w:rsidRDefault="0081115D">
      <w:pPr>
        <w:pStyle w:val="a3"/>
        <w:spacing w:line="446" w:lineRule="auto"/>
        <w:ind w:left="838" w:right="6076"/>
        <w:rPr>
          <w:b/>
        </w:rPr>
      </w:pPr>
      <w:r>
        <w:t xml:space="preserve">b) </w:t>
      </w:r>
      <w:r>
        <w:t>包装箱外形尺寸：长</w:t>
      </w:r>
      <w:r>
        <w:t>×</w:t>
      </w:r>
      <w:r>
        <w:t>宽</w:t>
      </w:r>
      <w:r>
        <w:t>×</w:t>
      </w:r>
      <w:r>
        <w:t>高</w:t>
      </w:r>
      <w:r>
        <w:t>(mm)</w:t>
      </w:r>
      <w:r>
        <w:t>；</w:t>
      </w:r>
      <w:r>
        <w:t xml:space="preserve"> c) </w:t>
      </w:r>
      <w:r>
        <w:t>总质量</w:t>
      </w:r>
      <w:r>
        <w:t>(kg)</w:t>
      </w:r>
      <w:r>
        <w:t>；</w:t>
      </w:r>
      <w:r>
        <w:rPr>
          <w:b/>
          <w:w w:val="99"/>
        </w:rPr>
        <w:t xml:space="preserve"> </w:t>
      </w:r>
    </w:p>
    <w:p w14:paraId="47788734" w14:textId="77777777" w:rsidR="00A71EEF" w:rsidRDefault="0081115D">
      <w:pPr>
        <w:pStyle w:val="a4"/>
        <w:numPr>
          <w:ilvl w:val="0"/>
          <w:numId w:val="652"/>
        </w:numPr>
        <w:tabs>
          <w:tab w:val="left" w:pos="1051"/>
        </w:tabs>
        <w:rPr>
          <w:b/>
          <w:sz w:val="21"/>
        </w:rPr>
      </w:pPr>
      <w:r>
        <w:rPr>
          <w:spacing w:val="-3"/>
          <w:sz w:val="21"/>
        </w:rPr>
        <w:t>出厂日期；</w:t>
      </w:r>
      <w:r>
        <w:rPr>
          <w:b/>
          <w:w w:val="99"/>
          <w:sz w:val="21"/>
        </w:rPr>
        <w:t xml:space="preserve"> </w:t>
      </w:r>
    </w:p>
    <w:p w14:paraId="75E7A456" w14:textId="77777777" w:rsidR="00A71EEF" w:rsidRDefault="00A71EEF">
      <w:pPr>
        <w:pStyle w:val="a3"/>
        <w:spacing w:before="10"/>
        <w:rPr>
          <w:b/>
          <w:sz w:val="17"/>
        </w:rPr>
      </w:pPr>
    </w:p>
    <w:p w14:paraId="52987E43" w14:textId="77777777" w:rsidR="00A71EEF" w:rsidRDefault="0081115D">
      <w:pPr>
        <w:pStyle w:val="a4"/>
        <w:numPr>
          <w:ilvl w:val="0"/>
          <w:numId w:val="652"/>
        </w:numPr>
        <w:tabs>
          <w:tab w:val="left" w:pos="1051"/>
        </w:tabs>
        <w:rPr>
          <w:b/>
          <w:sz w:val="21"/>
        </w:rPr>
      </w:pPr>
      <w:r>
        <w:rPr>
          <w:spacing w:val="-3"/>
          <w:sz w:val="21"/>
        </w:rPr>
        <w:t>生产厂名及地址；</w:t>
      </w:r>
      <w:r>
        <w:rPr>
          <w:b/>
          <w:w w:val="99"/>
          <w:sz w:val="21"/>
        </w:rPr>
        <w:t xml:space="preserve"> </w:t>
      </w:r>
    </w:p>
    <w:p w14:paraId="3F30B678" w14:textId="77777777" w:rsidR="00A71EEF" w:rsidRDefault="00A71EEF">
      <w:pPr>
        <w:pStyle w:val="a3"/>
        <w:rPr>
          <w:b/>
          <w:sz w:val="18"/>
        </w:rPr>
      </w:pPr>
    </w:p>
    <w:p w14:paraId="4AD4E32C" w14:textId="77777777" w:rsidR="00A71EEF" w:rsidRDefault="0081115D">
      <w:pPr>
        <w:pStyle w:val="a4"/>
        <w:numPr>
          <w:ilvl w:val="0"/>
          <w:numId w:val="652"/>
        </w:numPr>
        <w:tabs>
          <w:tab w:val="left" w:pos="1051"/>
        </w:tabs>
        <w:rPr>
          <w:b/>
          <w:sz w:val="21"/>
        </w:rPr>
      </w:pPr>
      <w:r>
        <w:rPr>
          <w:spacing w:val="-3"/>
          <w:sz w:val="21"/>
        </w:rPr>
        <w:t>对运输及贮存的要求。</w:t>
      </w:r>
      <w:r>
        <w:rPr>
          <w:b/>
          <w:w w:val="99"/>
          <w:sz w:val="21"/>
        </w:rPr>
        <w:t xml:space="preserve"> </w:t>
      </w:r>
    </w:p>
    <w:p w14:paraId="641BF70F" w14:textId="77777777" w:rsidR="00A71EEF" w:rsidRDefault="00A71EEF">
      <w:pPr>
        <w:pStyle w:val="a3"/>
        <w:spacing w:before="2"/>
        <w:rPr>
          <w:b/>
          <w:sz w:val="18"/>
        </w:rPr>
      </w:pPr>
    </w:p>
    <w:p w14:paraId="1FE1DFC1" w14:textId="77777777" w:rsidR="00A71EEF" w:rsidRDefault="0081115D">
      <w:pPr>
        <w:pStyle w:val="a4"/>
        <w:numPr>
          <w:ilvl w:val="2"/>
          <w:numId w:val="653"/>
        </w:numPr>
        <w:tabs>
          <w:tab w:val="left" w:pos="1478"/>
        </w:tabs>
        <w:ind w:left="1477" w:hanging="638"/>
        <w:rPr>
          <w:sz w:val="21"/>
        </w:rPr>
      </w:pPr>
      <w:r>
        <w:rPr>
          <w:spacing w:val="-3"/>
          <w:sz w:val="21"/>
        </w:rPr>
        <w:t>包装箱内应装有产品合格证、使用说明书、随机附件清单等。</w:t>
      </w:r>
      <w:r>
        <w:rPr>
          <w:sz w:val="21"/>
        </w:rPr>
        <w:t xml:space="preserve"> </w:t>
      </w:r>
    </w:p>
    <w:p w14:paraId="3751B8C5" w14:textId="77777777" w:rsidR="00A71EEF" w:rsidRDefault="00A71EEF">
      <w:pPr>
        <w:pStyle w:val="a3"/>
        <w:rPr>
          <w:sz w:val="18"/>
        </w:rPr>
      </w:pPr>
    </w:p>
    <w:p w14:paraId="552A263F" w14:textId="77777777" w:rsidR="00A71EEF" w:rsidRDefault="0081115D">
      <w:pPr>
        <w:pStyle w:val="a4"/>
        <w:numPr>
          <w:ilvl w:val="1"/>
          <w:numId w:val="653"/>
        </w:numPr>
        <w:tabs>
          <w:tab w:val="left" w:pos="1264"/>
        </w:tabs>
        <w:rPr>
          <w:b/>
          <w:sz w:val="21"/>
        </w:rPr>
      </w:pPr>
      <w:r>
        <w:rPr>
          <w:spacing w:val="-3"/>
          <w:sz w:val="21"/>
        </w:rPr>
        <w:t>运输</w:t>
      </w:r>
      <w:r>
        <w:rPr>
          <w:b/>
          <w:w w:val="99"/>
          <w:sz w:val="21"/>
        </w:rPr>
        <w:t xml:space="preserve"> </w:t>
      </w:r>
    </w:p>
    <w:p w14:paraId="4D0A2011" w14:textId="77777777" w:rsidR="00A71EEF" w:rsidRDefault="00A71EEF">
      <w:pPr>
        <w:pStyle w:val="a3"/>
        <w:spacing w:before="12"/>
        <w:rPr>
          <w:b/>
          <w:sz w:val="17"/>
        </w:rPr>
      </w:pPr>
    </w:p>
    <w:p w14:paraId="187D1C92" w14:textId="77777777" w:rsidR="00A71EEF" w:rsidRDefault="0081115D">
      <w:pPr>
        <w:pStyle w:val="a3"/>
        <w:spacing w:line="446" w:lineRule="auto"/>
        <w:ind w:left="840" w:right="4866" w:hanging="3"/>
        <w:rPr>
          <w:b/>
        </w:rPr>
      </w:pPr>
      <w:r>
        <w:t>在运输及装卸时应防止重压，避免碰撞及雨雪淋袭。</w:t>
      </w:r>
      <w:r>
        <w:rPr>
          <w:b/>
        </w:rPr>
        <w:t xml:space="preserve">10.3 </w:t>
      </w:r>
      <w:r>
        <w:t>贮存</w:t>
      </w:r>
      <w:r>
        <w:rPr>
          <w:b/>
          <w:w w:val="99"/>
        </w:rPr>
        <w:t xml:space="preserve"> </w:t>
      </w:r>
    </w:p>
    <w:p w14:paraId="12BDD233" w14:textId="77777777" w:rsidR="00A71EEF" w:rsidRDefault="00A71EEF">
      <w:pPr>
        <w:spacing w:line="446" w:lineRule="auto"/>
        <w:sectPr w:rsidR="00A71EEF">
          <w:pgSz w:w="11910" w:h="16850"/>
          <w:pgMar w:top="1220" w:right="0" w:bottom="1420" w:left="1260" w:header="0" w:footer="1239" w:gutter="0"/>
          <w:cols w:space="720"/>
        </w:sectPr>
      </w:pPr>
    </w:p>
    <w:p w14:paraId="1735BB1B" w14:textId="77777777" w:rsidR="00A71EEF" w:rsidRDefault="0081115D">
      <w:pPr>
        <w:pStyle w:val="a3"/>
        <w:spacing w:before="47"/>
        <w:ind w:left="838"/>
      </w:pPr>
      <w:r>
        <w:t>产品应贮存在干燥通风处，防止受潮，不允许倒置，应远离有腐蚀性的物体。</w:t>
      </w:r>
      <w:r>
        <w:t xml:space="preserve"> </w:t>
      </w:r>
    </w:p>
    <w:p w14:paraId="0357C6B7" w14:textId="77777777" w:rsidR="00A71EEF" w:rsidRDefault="00A71EEF">
      <w:pPr>
        <w:pStyle w:val="a3"/>
        <w:rPr>
          <w:sz w:val="18"/>
        </w:rPr>
      </w:pPr>
    </w:p>
    <w:p w14:paraId="596F0E08" w14:textId="77777777" w:rsidR="00A71EEF" w:rsidRDefault="0081115D">
      <w:pPr>
        <w:pStyle w:val="a3"/>
        <w:ind w:left="838"/>
      </w:pPr>
      <w:r>
        <w:t xml:space="preserve"> </w:t>
      </w:r>
    </w:p>
    <w:p w14:paraId="147A218D" w14:textId="77777777" w:rsidR="00A71EEF" w:rsidRDefault="00A71EEF">
      <w:pPr>
        <w:sectPr w:rsidR="00A71EEF">
          <w:pgSz w:w="11910" w:h="16850"/>
          <w:pgMar w:top="1220" w:right="0" w:bottom="1420" w:left="1260" w:header="0" w:footer="1239" w:gutter="0"/>
          <w:cols w:space="720"/>
        </w:sectPr>
      </w:pPr>
    </w:p>
    <w:p w14:paraId="2C65CD21" w14:textId="77777777" w:rsidR="00A71EEF" w:rsidRDefault="0081115D">
      <w:pPr>
        <w:pStyle w:val="2"/>
        <w:ind w:left="3157"/>
        <w:jc w:val="left"/>
      </w:pPr>
      <w:bookmarkStart w:id="13" w:name="_bookmark13"/>
      <w:bookmarkEnd w:id="13"/>
      <w:r>
        <w:t>建筑灭火器配置设计规范</w:t>
      </w:r>
      <w:r>
        <w:rPr>
          <w:w w:val="99"/>
        </w:rPr>
        <w:t xml:space="preserve"> </w:t>
      </w:r>
    </w:p>
    <w:p w14:paraId="587B3996" w14:textId="77777777" w:rsidR="00A71EEF" w:rsidRDefault="00A71EEF">
      <w:pPr>
        <w:pStyle w:val="a3"/>
        <w:rPr>
          <w:b/>
          <w:sz w:val="20"/>
        </w:rPr>
      </w:pPr>
    </w:p>
    <w:p w14:paraId="0A5D1E17" w14:textId="77777777" w:rsidR="00A71EEF" w:rsidRDefault="00A71EEF">
      <w:pPr>
        <w:pStyle w:val="a3"/>
        <w:spacing w:before="5"/>
        <w:rPr>
          <w:b/>
          <w:sz w:val="14"/>
        </w:rPr>
      </w:pPr>
    </w:p>
    <w:p w14:paraId="31580FBB" w14:textId="77777777" w:rsidR="00A71EEF" w:rsidRDefault="0081115D">
      <w:pPr>
        <w:pStyle w:val="4"/>
        <w:spacing w:before="66"/>
      </w:pPr>
      <w:r>
        <w:t xml:space="preserve">1 </w:t>
      </w:r>
      <w:r>
        <w:t>总则</w:t>
      </w:r>
      <w:r>
        <w:rPr>
          <w:w w:val="99"/>
        </w:rPr>
        <w:t xml:space="preserve"> </w:t>
      </w:r>
    </w:p>
    <w:p w14:paraId="1A603554" w14:textId="77777777" w:rsidR="00A71EEF" w:rsidRDefault="00A71EEF">
      <w:pPr>
        <w:pStyle w:val="a3"/>
        <w:spacing w:before="4"/>
        <w:rPr>
          <w:b/>
          <w:sz w:val="17"/>
        </w:rPr>
      </w:pPr>
    </w:p>
    <w:p w14:paraId="77EA9A6C" w14:textId="77777777" w:rsidR="00A71EEF" w:rsidRDefault="0081115D">
      <w:pPr>
        <w:pStyle w:val="a4"/>
        <w:numPr>
          <w:ilvl w:val="1"/>
          <w:numId w:val="651"/>
        </w:numPr>
        <w:tabs>
          <w:tab w:val="left" w:pos="1159"/>
        </w:tabs>
        <w:spacing w:line="446" w:lineRule="auto"/>
        <w:ind w:right="1685" w:firstLine="422"/>
        <w:rPr>
          <w:sz w:val="21"/>
        </w:rPr>
      </w:pPr>
      <w:r>
        <w:rPr>
          <w:spacing w:val="-9"/>
          <w:sz w:val="21"/>
        </w:rPr>
        <w:t>为了合理配置建筑灭火器</w:t>
      </w:r>
      <w:r>
        <w:rPr>
          <w:spacing w:val="-5"/>
          <w:sz w:val="21"/>
        </w:rPr>
        <w:t>（</w:t>
      </w:r>
      <w:r>
        <w:rPr>
          <w:spacing w:val="-7"/>
          <w:sz w:val="21"/>
        </w:rPr>
        <w:t>以下可简称灭火器</w:t>
      </w:r>
      <w:r>
        <w:rPr>
          <w:spacing w:val="-27"/>
          <w:sz w:val="21"/>
        </w:rPr>
        <w:t>），</w:t>
      </w:r>
      <w:r>
        <w:rPr>
          <w:spacing w:val="-8"/>
          <w:sz w:val="21"/>
        </w:rPr>
        <w:t>有效地扑救工业与民用建筑初起火灾</w:t>
      </w:r>
      <w:r>
        <w:rPr>
          <w:spacing w:val="-9"/>
          <w:sz w:val="21"/>
        </w:rPr>
        <w:t>，减少火灾损失，保护人身和财产的安全，制定本规范。</w:t>
      </w:r>
      <w:r>
        <w:rPr>
          <w:spacing w:val="-15"/>
          <w:sz w:val="21"/>
        </w:rPr>
        <w:t xml:space="preserve"> </w:t>
      </w:r>
      <w:r>
        <w:rPr>
          <w:sz w:val="21"/>
        </w:rPr>
        <w:t xml:space="preserve"> </w:t>
      </w:r>
    </w:p>
    <w:p w14:paraId="7E33294D" w14:textId="77777777" w:rsidR="00A71EEF" w:rsidRDefault="0081115D">
      <w:pPr>
        <w:pStyle w:val="a4"/>
        <w:numPr>
          <w:ilvl w:val="1"/>
          <w:numId w:val="651"/>
        </w:numPr>
        <w:tabs>
          <w:tab w:val="left" w:pos="1160"/>
        </w:tabs>
        <w:ind w:left="1159" w:hanging="320"/>
        <w:rPr>
          <w:sz w:val="21"/>
        </w:rPr>
      </w:pPr>
      <w:r>
        <w:rPr>
          <w:spacing w:val="-3"/>
          <w:sz w:val="21"/>
        </w:rPr>
        <w:t>本规范适用于生产、使用或储存可燃物的新建、改建、扩建的工业与民用建筑工程。</w:t>
      </w:r>
      <w:r>
        <w:rPr>
          <w:spacing w:val="-3"/>
          <w:sz w:val="21"/>
        </w:rPr>
        <w:t xml:space="preserve"> </w:t>
      </w:r>
    </w:p>
    <w:p w14:paraId="0BC469C9" w14:textId="77777777" w:rsidR="00A71EEF" w:rsidRDefault="00A71EEF">
      <w:pPr>
        <w:pStyle w:val="a3"/>
        <w:spacing w:before="12"/>
        <w:rPr>
          <w:sz w:val="17"/>
        </w:rPr>
      </w:pPr>
    </w:p>
    <w:p w14:paraId="091AEC69" w14:textId="77777777" w:rsidR="00A71EEF" w:rsidRDefault="0081115D">
      <w:pPr>
        <w:pStyle w:val="a3"/>
        <w:ind w:left="418"/>
      </w:pPr>
      <w:r>
        <w:t>本规范不适用于生产或储存炸药、弹药、火工品、花炮的厂房或库房。</w:t>
      </w:r>
      <w:r>
        <w:t xml:space="preserve">  </w:t>
      </w:r>
      <w:r>
        <w:t xml:space="preserve"> </w:t>
      </w:r>
    </w:p>
    <w:p w14:paraId="68EC27F2" w14:textId="77777777" w:rsidR="00A71EEF" w:rsidRDefault="00A71EEF">
      <w:pPr>
        <w:pStyle w:val="a3"/>
        <w:rPr>
          <w:sz w:val="18"/>
        </w:rPr>
      </w:pPr>
    </w:p>
    <w:p w14:paraId="46C56AC5" w14:textId="77777777" w:rsidR="00A71EEF" w:rsidRDefault="0081115D">
      <w:pPr>
        <w:pStyle w:val="a4"/>
        <w:numPr>
          <w:ilvl w:val="1"/>
          <w:numId w:val="651"/>
        </w:numPr>
        <w:tabs>
          <w:tab w:val="left" w:pos="1159"/>
        </w:tabs>
        <w:spacing w:line="446" w:lineRule="auto"/>
        <w:ind w:right="1594" w:firstLine="422"/>
        <w:rPr>
          <w:sz w:val="21"/>
        </w:rPr>
      </w:pPr>
      <w:r>
        <w:rPr>
          <w:spacing w:val="-12"/>
          <w:sz w:val="21"/>
        </w:rPr>
        <w:t>灭火器的配置类型、规格、数量及其设置位置应作为建筑消防工程设计的内容，并应在</w:t>
      </w:r>
      <w:r>
        <w:rPr>
          <w:spacing w:val="-5"/>
          <w:sz w:val="21"/>
        </w:rPr>
        <w:t>工程设计图上标明。</w:t>
      </w:r>
      <w:r>
        <w:rPr>
          <w:sz w:val="21"/>
        </w:rPr>
        <w:t xml:space="preserve"> </w:t>
      </w:r>
      <w:r>
        <w:rPr>
          <w:spacing w:val="15"/>
          <w:sz w:val="21"/>
        </w:rPr>
        <w:t xml:space="preserve"> </w:t>
      </w:r>
      <w:r>
        <w:rPr>
          <w:sz w:val="21"/>
        </w:rPr>
        <w:t xml:space="preserve"> </w:t>
      </w:r>
    </w:p>
    <w:p w14:paraId="1E9DEB13" w14:textId="77777777" w:rsidR="00A71EEF" w:rsidRDefault="0081115D">
      <w:pPr>
        <w:pStyle w:val="a4"/>
        <w:numPr>
          <w:ilvl w:val="1"/>
          <w:numId w:val="651"/>
        </w:numPr>
        <w:tabs>
          <w:tab w:val="left" w:pos="1159"/>
        </w:tabs>
        <w:ind w:left="1158" w:hanging="319"/>
        <w:rPr>
          <w:sz w:val="21"/>
        </w:rPr>
      </w:pPr>
      <w:r>
        <w:rPr>
          <w:spacing w:val="-8"/>
          <w:sz w:val="21"/>
        </w:rPr>
        <w:t>灭火器的配置，除执行本规范外，尚应符合国家现行有关标准、规范的规定。</w:t>
      </w:r>
      <w:r>
        <w:rPr>
          <w:sz w:val="21"/>
        </w:rPr>
        <w:t xml:space="preserve"> </w:t>
      </w:r>
    </w:p>
    <w:p w14:paraId="2B4FF3C6" w14:textId="77777777" w:rsidR="00A71EEF" w:rsidRDefault="00A71EEF">
      <w:pPr>
        <w:pStyle w:val="a3"/>
        <w:spacing w:before="8"/>
        <w:rPr>
          <w:sz w:val="15"/>
        </w:rPr>
      </w:pPr>
    </w:p>
    <w:p w14:paraId="3547AB6D" w14:textId="77777777" w:rsidR="00A71EEF" w:rsidRDefault="0081115D">
      <w:pPr>
        <w:pStyle w:val="4"/>
      </w:pPr>
      <w:r>
        <w:t xml:space="preserve">2 </w:t>
      </w:r>
      <w:r>
        <w:t>术语和符号</w:t>
      </w:r>
      <w:r>
        <w:rPr>
          <w:w w:val="99"/>
        </w:rPr>
        <w:t xml:space="preserve"> </w:t>
      </w:r>
    </w:p>
    <w:p w14:paraId="19884CCA" w14:textId="77777777" w:rsidR="00A71EEF" w:rsidRDefault="00A71EEF">
      <w:pPr>
        <w:pStyle w:val="a3"/>
        <w:spacing w:before="6"/>
        <w:rPr>
          <w:b/>
          <w:sz w:val="17"/>
        </w:rPr>
      </w:pPr>
    </w:p>
    <w:p w14:paraId="1CF6B335" w14:textId="77777777" w:rsidR="00A71EEF" w:rsidRDefault="0081115D">
      <w:pPr>
        <w:pStyle w:val="a4"/>
        <w:numPr>
          <w:ilvl w:val="1"/>
          <w:numId w:val="650"/>
        </w:numPr>
        <w:tabs>
          <w:tab w:val="left" w:pos="1159"/>
        </w:tabs>
        <w:ind w:hanging="319"/>
        <w:rPr>
          <w:b/>
          <w:sz w:val="21"/>
        </w:rPr>
      </w:pPr>
      <w:r>
        <w:rPr>
          <w:spacing w:val="-3"/>
          <w:sz w:val="21"/>
        </w:rPr>
        <w:t>术语</w:t>
      </w:r>
      <w:r>
        <w:rPr>
          <w:b/>
          <w:w w:val="99"/>
          <w:sz w:val="21"/>
        </w:rPr>
        <w:t xml:space="preserve"> </w:t>
      </w:r>
    </w:p>
    <w:p w14:paraId="3F45B938" w14:textId="77777777" w:rsidR="00A71EEF" w:rsidRDefault="00A71EEF">
      <w:pPr>
        <w:pStyle w:val="a3"/>
        <w:rPr>
          <w:b/>
          <w:sz w:val="18"/>
        </w:rPr>
      </w:pPr>
    </w:p>
    <w:p w14:paraId="70DF5F53" w14:textId="77777777" w:rsidR="00A71EEF" w:rsidRDefault="0081115D">
      <w:pPr>
        <w:pStyle w:val="a3"/>
        <w:ind w:left="838"/>
      </w:pPr>
      <w:r>
        <w:t>灭火器配置场所</w:t>
      </w:r>
      <w:r>
        <w:t xml:space="preserve"> distribution place of fire extinguisher </w:t>
      </w:r>
    </w:p>
    <w:p w14:paraId="4458E604" w14:textId="77777777" w:rsidR="00A71EEF" w:rsidRDefault="00A71EEF">
      <w:pPr>
        <w:pStyle w:val="a3"/>
        <w:rPr>
          <w:sz w:val="18"/>
        </w:rPr>
      </w:pPr>
    </w:p>
    <w:p w14:paraId="217D12D4" w14:textId="77777777" w:rsidR="00A71EEF" w:rsidRDefault="0081115D">
      <w:pPr>
        <w:pStyle w:val="a3"/>
        <w:spacing w:line="446" w:lineRule="auto"/>
        <w:ind w:left="418" w:right="1716" w:firstLine="419"/>
      </w:pPr>
      <w:r>
        <w:t>存在可燃的气体、液体、固体等物质，需要配置灭火器的场所。计算单元</w:t>
      </w:r>
      <w:r>
        <w:t xml:space="preserve"> calculation unit </w:t>
      </w:r>
    </w:p>
    <w:p w14:paraId="56480DA8" w14:textId="77777777" w:rsidR="00A71EEF" w:rsidRDefault="0081115D">
      <w:pPr>
        <w:pStyle w:val="a3"/>
        <w:ind w:left="838"/>
      </w:pPr>
      <w:r>
        <w:t>灭火器配置的计算区域。保护距离</w:t>
      </w:r>
      <w:r>
        <w:t xml:space="preserve"> travel distance </w:t>
      </w:r>
    </w:p>
    <w:p w14:paraId="2540BA2D" w14:textId="77777777" w:rsidR="00A71EEF" w:rsidRDefault="00A71EEF">
      <w:pPr>
        <w:pStyle w:val="a3"/>
        <w:spacing w:before="12"/>
        <w:rPr>
          <w:sz w:val="17"/>
        </w:rPr>
      </w:pPr>
    </w:p>
    <w:p w14:paraId="3F332983" w14:textId="77777777" w:rsidR="00A71EEF" w:rsidRDefault="0081115D">
      <w:pPr>
        <w:pStyle w:val="a3"/>
        <w:spacing w:line="446" w:lineRule="auto"/>
        <w:ind w:left="418" w:right="1714" w:firstLine="419"/>
        <w:jc w:val="both"/>
      </w:pPr>
      <w:r>
        <w:rPr>
          <w:spacing w:val="-3"/>
        </w:rPr>
        <w:t>灭火器配置场所内，灭火器设置点到最不利点的直线行走距离。灭火级别</w:t>
      </w:r>
      <w:r>
        <w:rPr>
          <w:spacing w:val="-3"/>
        </w:rPr>
        <w:t xml:space="preserve"> </w:t>
      </w:r>
      <w:r>
        <w:t xml:space="preserve">fire rating </w:t>
      </w:r>
      <w:r>
        <w:rPr>
          <w:spacing w:val="-3"/>
        </w:rPr>
        <w:t>表示灭火器能够扑灭不同种类火灾的效能。由表示灭火效能的数字和灭火种类的字母组成。建筑灭火器配置类型、规格和灭火级别基本参数举例见本规范附录</w:t>
      </w:r>
      <w:r>
        <w:rPr>
          <w:spacing w:val="-3"/>
        </w:rPr>
        <w:t xml:space="preserve"> </w:t>
      </w:r>
      <w:r>
        <w:t>A</w:t>
      </w:r>
      <w:r>
        <w:rPr>
          <w:spacing w:val="-3"/>
        </w:rPr>
        <w:t>。</w:t>
      </w:r>
      <w:r>
        <w:t xml:space="preserve"> </w:t>
      </w:r>
      <w:r>
        <w:rPr>
          <w:spacing w:val="-5"/>
        </w:rPr>
        <w:t xml:space="preserve"> </w:t>
      </w:r>
      <w:r>
        <w:t xml:space="preserve"> </w:t>
      </w:r>
    </w:p>
    <w:p w14:paraId="28CC6646" w14:textId="77777777" w:rsidR="00A71EEF" w:rsidRDefault="0081115D">
      <w:pPr>
        <w:pStyle w:val="a4"/>
        <w:numPr>
          <w:ilvl w:val="1"/>
          <w:numId w:val="650"/>
        </w:numPr>
        <w:tabs>
          <w:tab w:val="left" w:pos="1159"/>
        </w:tabs>
        <w:spacing w:line="268" w:lineRule="exact"/>
        <w:ind w:hanging="319"/>
        <w:rPr>
          <w:b/>
          <w:sz w:val="21"/>
        </w:rPr>
      </w:pPr>
      <w:r>
        <w:rPr>
          <w:spacing w:val="-3"/>
          <w:sz w:val="21"/>
        </w:rPr>
        <w:t>符号</w:t>
      </w:r>
      <w:r>
        <w:rPr>
          <w:b/>
          <w:w w:val="99"/>
          <w:sz w:val="21"/>
        </w:rPr>
        <w:t xml:space="preserve"> </w:t>
      </w:r>
    </w:p>
    <w:p w14:paraId="447C638C" w14:textId="77777777" w:rsidR="00A71EEF" w:rsidRDefault="00A71EEF">
      <w:pPr>
        <w:pStyle w:val="a3"/>
        <w:spacing w:before="2"/>
        <w:rPr>
          <w:b/>
          <w:sz w:val="18"/>
        </w:rPr>
      </w:pPr>
    </w:p>
    <w:p w14:paraId="7303BCB6" w14:textId="77777777" w:rsidR="00A71EEF" w:rsidRDefault="0081115D">
      <w:pPr>
        <w:pStyle w:val="a4"/>
        <w:numPr>
          <w:ilvl w:val="2"/>
          <w:numId w:val="650"/>
        </w:numPr>
        <w:tabs>
          <w:tab w:val="left" w:pos="1370"/>
        </w:tabs>
        <w:spacing w:before="1"/>
        <w:ind w:hanging="530"/>
        <w:rPr>
          <w:b/>
          <w:sz w:val="21"/>
        </w:rPr>
      </w:pPr>
      <w:r>
        <w:rPr>
          <w:spacing w:val="-3"/>
          <w:sz w:val="21"/>
        </w:rPr>
        <w:t>灭火器配置设计计算符号：</w:t>
      </w:r>
      <w:r>
        <w:rPr>
          <w:b/>
          <w:w w:val="99"/>
          <w:sz w:val="21"/>
        </w:rPr>
        <w:t xml:space="preserve"> </w:t>
      </w:r>
    </w:p>
    <w:p w14:paraId="716B7D90" w14:textId="77777777" w:rsidR="00A71EEF" w:rsidRDefault="00A71EEF">
      <w:pPr>
        <w:pStyle w:val="a3"/>
        <w:spacing w:before="2"/>
        <w:rPr>
          <w:b/>
          <w:sz w:val="17"/>
        </w:rPr>
      </w:pPr>
    </w:p>
    <w:p w14:paraId="43BCE96F" w14:textId="77777777" w:rsidR="00A71EEF" w:rsidRDefault="0081115D">
      <w:pPr>
        <w:pStyle w:val="a3"/>
        <w:ind w:left="838"/>
        <w:rPr>
          <w:b/>
        </w:rPr>
      </w:pPr>
      <w:r>
        <w:rPr>
          <w:i/>
          <w:w w:val="96"/>
          <w:sz w:val="22"/>
        </w:rPr>
        <w:t xml:space="preserve">Q </w:t>
      </w:r>
      <w:r>
        <w:rPr>
          <w:spacing w:val="-3"/>
        </w:rPr>
        <w:t xml:space="preserve"> ——</w:t>
      </w:r>
      <w:r>
        <w:rPr>
          <w:spacing w:val="-3"/>
        </w:rPr>
        <w:t>计算单元的最小需配灭火级别</w:t>
      </w:r>
      <w:r>
        <w:t>（</w:t>
      </w:r>
      <w:r>
        <w:t>A</w:t>
      </w:r>
      <w:r>
        <w:rPr>
          <w:spacing w:val="-2"/>
        </w:rPr>
        <w:t xml:space="preserve"> </w:t>
      </w:r>
      <w:r>
        <w:rPr>
          <w:spacing w:val="-2"/>
        </w:rPr>
        <w:t>或</w:t>
      </w:r>
      <w:r>
        <w:rPr>
          <w:spacing w:val="-2"/>
        </w:rPr>
        <w:t xml:space="preserve"> B</w:t>
      </w:r>
      <w:r>
        <w:rPr>
          <w:spacing w:val="-106"/>
        </w:rPr>
        <w:t>）</w:t>
      </w:r>
      <w:r>
        <w:rPr>
          <w:spacing w:val="-3"/>
        </w:rPr>
        <w:t>；</w:t>
      </w:r>
      <w:r>
        <w:rPr>
          <w:b/>
          <w:w w:val="99"/>
        </w:rPr>
        <w:t xml:space="preserve"> </w:t>
      </w:r>
    </w:p>
    <w:p w14:paraId="4154255C" w14:textId="77777777" w:rsidR="00A71EEF" w:rsidRDefault="00A71EEF">
      <w:pPr>
        <w:pStyle w:val="a3"/>
        <w:spacing w:before="12"/>
        <w:rPr>
          <w:b/>
          <w:sz w:val="16"/>
        </w:rPr>
      </w:pPr>
    </w:p>
    <w:p w14:paraId="542A12B0" w14:textId="77777777" w:rsidR="00A71EEF" w:rsidRDefault="0081115D">
      <w:pPr>
        <w:pStyle w:val="a3"/>
        <w:ind w:left="838"/>
        <w:rPr>
          <w:b/>
        </w:rPr>
      </w:pPr>
      <w:r>
        <w:rPr>
          <w:i/>
          <w:w w:val="96"/>
          <w:sz w:val="22"/>
        </w:rPr>
        <w:t>S</w:t>
      </w:r>
      <w:r>
        <w:rPr>
          <w:spacing w:val="-3"/>
        </w:rPr>
        <w:t xml:space="preserve">   ——</w:t>
      </w:r>
      <w:r>
        <w:rPr>
          <w:spacing w:val="-3"/>
        </w:rPr>
        <w:t>计算单元的保护面积（</w:t>
      </w:r>
      <w:r>
        <w:t>㎡</w:t>
      </w:r>
      <w:r>
        <w:rPr>
          <w:spacing w:val="-108"/>
        </w:rPr>
        <w:t>）</w:t>
      </w:r>
      <w:r>
        <w:rPr>
          <w:spacing w:val="-3"/>
        </w:rPr>
        <w:t>；</w:t>
      </w:r>
      <w:r>
        <w:rPr>
          <w:b/>
          <w:w w:val="99"/>
        </w:rPr>
        <w:t xml:space="preserve"> </w:t>
      </w:r>
    </w:p>
    <w:p w14:paraId="6D1BC2BA" w14:textId="77777777" w:rsidR="00A71EEF" w:rsidRDefault="00A71EEF">
      <w:pPr>
        <w:pStyle w:val="a3"/>
        <w:spacing w:before="2"/>
        <w:rPr>
          <w:b/>
          <w:sz w:val="17"/>
        </w:rPr>
      </w:pPr>
    </w:p>
    <w:p w14:paraId="5D0A3CC6" w14:textId="77777777" w:rsidR="00A71EEF" w:rsidRDefault="0081115D">
      <w:pPr>
        <w:pStyle w:val="a3"/>
        <w:ind w:left="838"/>
        <w:rPr>
          <w:b/>
        </w:rPr>
      </w:pPr>
      <w:r>
        <w:rPr>
          <w:i/>
          <w:w w:val="96"/>
          <w:sz w:val="22"/>
        </w:rPr>
        <w:t xml:space="preserve">U </w:t>
      </w:r>
      <w:r>
        <w:rPr>
          <w:spacing w:val="-2"/>
        </w:rPr>
        <w:t xml:space="preserve"> —</w:t>
      </w:r>
      <w:r>
        <w:t>—A</w:t>
      </w:r>
      <w:r>
        <w:rPr>
          <w:spacing w:val="-3"/>
        </w:rPr>
        <w:t xml:space="preserve"> </w:t>
      </w:r>
      <w:r>
        <w:rPr>
          <w:spacing w:val="-3"/>
        </w:rPr>
        <w:t>类或</w:t>
      </w:r>
      <w:r>
        <w:rPr>
          <w:spacing w:val="-3"/>
        </w:rPr>
        <w:t xml:space="preserve"> </w:t>
      </w:r>
      <w:r>
        <w:t>B</w:t>
      </w:r>
      <w:r>
        <w:rPr>
          <w:spacing w:val="-3"/>
        </w:rPr>
        <w:t xml:space="preserve"> </w:t>
      </w:r>
      <w:r>
        <w:rPr>
          <w:spacing w:val="-3"/>
        </w:rPr>
        <w:t>类火灾场所单位灭火级别最大保护面积</w:t>
      </w:r>
      <w:r>
        <w:t>（</w:t>
      </w:r>
      <w:r>
        <w:rPr>
          <w:spacing w:val="-3"/>
        </w:rPr>
        <w:t>㎡</w:t>
      </w:r>
      <w:r>
        <w:t>/A</w:t>
      </w:r>
      <w:r>
        <w:rPr>
          <w:spacing w:val="-3"/>
        </w:rPr>
        <w:t xml:space="preserve"> </w:t>
      </w:r>
      <w:r>
        <w:rPr>
          <w:spacing w:val="-3"/>
        </w:rPr>
        <w:t>或</w:t>
      </w:r>
      <w:r>
        <w:rPr>
          <w:spacing w:val="-3"/>
        </w:rPr>
        <w:t xml:space="preserve"> </w:t>
      </w:r>
      <w:r>
        <w:rPr>
          <w:spacing w:val="-3"/>
        </w:rPr>
        <w:t>㎡</w:t>
      </w:r>
      <w:r>
        <w:t>/B</w:t>
      </w:r>
      <w:r>
        <w:rPr>
          <w:spacing w:val="-108"/>
        </w:rPr>
        <w:t>）</w:t>
      </w:r>
      <w:r>
        <w:rPr>
          <w:spacing w:val="-2"/>
        </w:rPr>
        <w:t>；</w:t>
      </w:r>
      <w:r>
        <w:rPr>
          <w:b/>
          <w:w w:val="99"/>
        </w:rPr>
        <w:t xml:space="preserve"> </w:t>
      </w:r>
    </w:p>
    <w:p w14:paraId="6CCA64A6" w14:textId="77777777" w:rsidR="00A71EEF" w:rsidRDefault="00A71EEF">
      <w:pPr>
        <w:pStyle w:val="a3"/>
        <w:spacing w:before="12"/>
        <w:rPr>
          <w:b/>
          <w:sz w:val="16"/>
        </w:rPr>
      </w:pPr>
    </w:p>
    <w:p w14:paraId="2B8423A6" w14:textId="77777777" w:rsidR="00A71EEF" w:rsidRDefault="0081115D">
      <w:pPr>
        <w:ind w:left="838"/>
        <w:rPr>
          <w:b/>
          <w:sz w:val="21"/>
        </w:rPr>
      </w:pPr>
      <w:r>
        <w:rPr>
          <w:i/>
        </w:rPr>
        <w:t>K</w:t>
      </w:r>
      <w:r>
        <w:rPr>
          <w:i/>
          <w:spacing w:val="96"/>
        </w:rPr>
        <w:t xml:space="preserve"> </w:t>
      </w:r>
      <w:r>
        <w:rPr>
          <w:spacing w:val="-2"/>
          <w:sz w:val="21"/>
        </w:rPr>
        <w:t>——</w:t>
      </w:r>
      <w:r>
        <w:rPr>
          <w:spacing w:val="-2"/>
          <w:sz w:val="21"/>
        </w:rPr>
        <w:t>修正系数；</w:t>
      </w:r>
      <w:r>
        <w:rPr>
          <w:b/>
          <w:spacing w:val="-2"/>
          <w:w w:val="99"/>
          <w:sz w:val="21"/>
        </w:rPr>
        <w:t xml:space="preserve"> </w:t>
      </w:r>
    </w:p>
    <w:p w14:paraId="07586E26" w14:textId="77777777" w:rsidR="00A71EEF" w:rsidRDefault="00A71EEF">
      <w:pPr>
        <w:pStyle w:val="a3"/>
        <w:spacing w:before="12"/>
        <w:rPr>
          <w:b/>
          <w:sz w:val="16"/>
        </w:rPr>
      </w:pPr>
    </w:p>
    <w:p w14:paraId="66866F49" w14:textId="77777777" w:rsidR="00A71EEF" w:rsidRDefault="0081115D">
      <w:pPr>
        <w:pStyle w:val="a3"/>
        <w:spacing w:line="427" w:lineRule="auto"/>
        <w:ind w:left="838" w:right="3133"/>
        <w:rPr>
          <w:b/>
        </w:rPr>
      </w:pPr>
      <w:r>
        <w:rPr>
          <w:i/>
          <w:position w:val="1"/>
          <w:sz w:val="22"/>
        </w:rPr>
        <w:t>Q</w:t>
      </w:r>
      <w:r>
        <w:rPr>
          <w:sz w:val="11"/>
        </w:rPr>
        <w:t>e</w:t>
      </w:r>
      <w:r>
        <w:rPr>
          <w:spacing w:val="8"/>
          <w:position w:val="1"/>
          <w:sz w:val="11"/>
        </w:rPr>
        <w:t xml:space="preserve"> </w:t>
      </w:r>
      <w:r>
        <w:rPr>
          <w:spacing w:val="-3"/>
          <w:position w:val="1"/>
        </w:rPr>
        <w:t>——</w:t>
      </w:r>
      <w:r>
        <w:rPr>
          <w:spacing w:val="-3"/>
          <w:position w:val="1"/>
        </w:rPr>
        <w:t>计算单元中每个灭火器设置点的最小需配灭火级别</w:t>
      </w:r>
      <w:r>
        <w:rPr>
          <w:position w:val="1"/>
        </w:rPr>
        <w:t>（</w:t>
      </w:r>
      <w:r>
        <w:rPr>
          <w:position w:val="1"/>
        </w:rPr>
        <w:t>A</w:t>
      </w:r>
      <w:r>
        <w:rPr>
          <w:spacing w:val="7"/>
          <w:position w:val="1"/>
        </w:rPr>
        <w:t xml:space="preserve"> </w:t>
      </w:r>
      <w:r>
        <w:rPr>
          <w:spacing w:val="7"/>
          <w:position w:val="1"/>
        </w:rPr>
        <w:t>或</w:t>
      </w:r>
      <w:r>
        <w:rPr>
          <w:spacing w:val="7"/>
          <w:position w:val="1"/>
        </w:rPr>
        <w:t xml:space="preserve"> </w:t>
      </w:r>
      <w:r>
        <w:rPr>
          <w:position w:val="1"/>
        </w:rPr>
        <w:t>B</w:t>
      </w:r>
      <w:r>
        <w:rPr>
          <w:position w:val="1"/>
        </w:rPr>
        <w:t>）；</w:t>
      </w:r>
      <w:r>
        <w:rPr>
          <w:position w:val="1"/>
        </w:rPr>
        <w:t xml:space="preserve"> </w:t>
      </w:r>
      <w:r>
        <w:rPr>
          <w:i/>
          <w:sz w:val="22"/>
        </w:rPr>
        <w:t>N</w:t>
      </w:r>
      <w:r>
        <w:rPr>
          <w:i/>
          <w:spacing w:val="98"/>
          <w:sz w:val="22"/>
        </w:rPr>
        <w:t xml:space="preserve"> </w:t>
      </w:r>
      <w:r>
        <w:rPr>
          <w:spacing w:val="-3"/>
        </w:rPr>
        <w:t>——</w:t>
      </w:r>
      <w:r>
        <w:rPr>
          <w:spacing w:val="-3"/>
        </w:rPr>
        <w:t>计算单元中的灭火器设置点数（</w:t>
      </w:r>
      <w:r>
        <w:t>个</w:t>
      </w:r>
      <w:r>
        <w:rPr>
          <w:spacing w:val="-108"/>
        </w:rPr>
        <w:t>）</w:t>
      </w:r>
      <w:r>
        <w:rPr>
          <w:spacing w:val="-3"/>
        </w:rPr>
        <w:t>。</w:t>
      </w:r>
      <w:r>
        <w:rPr>
          <w:b/>
          <w:w w:val="99"/>
        </w:rPr>
        <w:t xml:space="preserve"> </w:t>
      </w:r>
    </w:p>
    <w:p w14:paraId="4E68284C" w14:textId="77777777" w:rsidR="00A71EEF" w:rsidRDefault="0081115D">
      <w:pPr>
        <w:pStyle w:val="a4"/>
        <w:numPr>
          <w:ilvl w:val="2"/>
          <w:numId w:val="650"/>
        </w:numPr>
        <w:tabs>
          <w:tab w:val="left" w:pos="1370"/>
          <w:tab w:val="left" w:pos="5458"/>
        </w:tabs>
        <w:spacing w:before="9"/>
        <w:ind w:hanging="530"/>
        <w:rPr>
          <w:b/>
          <w:sz w:val="21"/>
        </w:rPr>
      </w:pPr>
      <w:r>
        <w:rPr>
          <w:spacing w:val="-3"/>
          <w:sz w:val="21"/>
        </w:rPr>
        <w:t>灭</w:t>
      </w:r>
      <w:r>
        <w:rPr>
          <w:sz w:val="21"/>
        </w:rPr>
        <w:t>火</w:t>
      </w:r>
      <w:r>
        <w:rPr>
          <w:spacing w:val="-3"/>
          <w:sz w:val="21"/>
        </w:rPr>
        <w:t>器</w:t>
      </w:r>
      <w:r>
        <w:rPr>
          <w:sz w:val="21"/>
        </w:rPr>
        <w:t>配</w:t>
      </w:r>
      <w:r>
        <w:rPr>
          <w:spacing w:val="-3"/>
          <w:sz w:val="21"/>
        </w:rPr>
        <w:t>置</w:t>
      </w:r>
      <w:r>
        <w:rPr>
          <w:sz w:val="21"/>
        </w:rPr>
        <w:t>设</w:t>
      </w:r>
      <w:r>
        <w:rPr>
          <w:spacing w:val="-3"/>
          <w:sz w:val="21"/>
        </w:rPr>
        <w:t>计图</w:t>
      </w:r>
      <w:r>
        <w:rPr>
          <w:sz w:val="21"/>
        </w:rPr>
        <w:t>例见</w:t>
      </w:r>
      <w:r>
        <w:rPr>
          <w:spacing w:val="-3"/>
          <w:sz w:val="21"/>
        </w:rPr>
        <w:t>本</w:t>
      </w:r>
      <w:r>
        <w:rPr>
          <w:sz w:val="21"/>
        </w:rPr>
        <w:t>规</w:t>
      </w:r>
      <w:r>
        <w:rPr>
          <w:spacing w:val="-3"/>
          <w:sz w:val="21"/>
        </w:rPr>
        <w:t>范</w:t>
      </w:r>
      <w:r>
        <w:rPr>
          <w:sz w:val="21"/>
        </w:rPr>
        <w:t>附</w:t>
      </w:r>
      <w:r>
        <w:rPr>
          <w:spacing w:val="-3"/>
          <w:sz w:val="21"/>
        </w:rPr>
        <w:t>录</w:t>
      </w:r>
      <w:r>
        <w:rPr>
          <w:spacing w:val="18"/>
          <w:sz w:val="21"/>
        </w:rPr>
        <w:t xml:space="preserve"> </w:t>
      </w:r>
      <w:r>
        <w:rPr>
          <w:sz w:val="21"/>
        </w:rPr>
        <w:t>B</w:t>
      </w:r>
      <w:r>
        <w:rPr>
          <w:sz w:val="21"/>
        </w:rPr>
        <w:t>。</w:t>
      </w:r>
      <w:r>
        <w:rPr>
          <w:sz w:val="21"/>
        </w:rPr>
        <w:t xml:space="preserve"> </w:t>
      </w:r>
      <w:r>
        <w:rPr>
          <w:sz w:val="21"/>
        </w:rPr>
        <w:tab/>
      </w:r>
      <w:r>
        <w:rPr>
          <w:b/>
          <w:w w:val="99"/>
          <w:sz w:val="21"/>
        </w:rPr>
        <w:t xml:space="preserve"> </w:t>
      </w:r>
    </w:p>
    <w:p w14:paraId="0CDED137" w14:textId="77777777" w:rsidR="00A71EEF" w:rsidRDefault="00A71EEF">
      <w:pPr>
        <w:rPr>
          <w:sz w:val="21"/>
        </w:rPr>
        <w:sectPr w:rsidR="00A71EEF">
          <w:footerReference w:type="default" r:id="rId180"/>
          <w:pgSz w:w="11910" w:h="16850"/>
          <w:pgMar w:top="1140" w:right="0" w:bottom="1340" w:left="1260" w:header="0" w:footer="1159" w:gutter="0"/>
          <w:pgNumType w:start="1090"/>
          <w:cols w:space="720"/>
        </w:sectPr>
      </w:pPr>
    </w:p>
    <w:p w14:paraId="5B0CEA25" w14:textId="77777777" w:rsidR="00A71EEF" w:rsidRDefault="0081115D">
      <w:pPr>
        <w:pStyle w:val="4"/>
        <w:spacing w:before="37"/>
      </w:pPr>
      <w:r>
        <w:t xml:space="preserve">3 </w:t>
      </w:r>
      <w:r>
        <w:t>灭火器配置场所的火灾种类和危险等级</w:t>
      </w:r>
      <w:r>
        <w:rPr>
          <w:w w:val="99"/>
        </w:rPr>
        <w:t xml:space="preserve"> </w:t>
      </w:r>
    </w:p>
    <w:p w14:paraId="197F6C01" w14:textId="77777777" w:rsidR="00A71EEF" w:rsidRDefault="00A71EEF">
      <w:pPr>
        <w:pStyle w:val="a3"/>
        <w:spacing w:before="4"/>
        <w:rPr>
          <w:b/>
          <w:sz w:val="17"/>
        </w:rPr>
      </w:pPr>
    </w:p>
    <w:p w14:paraId="485F1EAE" w14:textId="77777777" w:rsidR="00A71EEF" w:rsidRDefault="0081115D">
      <w:pPr>
        <w:pStyle w:val="a4"/>
        <w:numPr>
          <w:ilvl w:val="1"/>
          <w:numId w:val="649"/>
        </w:numPr>
        <w:tabs>
          <w:tab w:val="left" w:pos="1160"/>
        </w:tabs>
        <w:spacing w:before="1"/>
        <w:rPr>
          <w:sz w:val="21"/>
        </w:rPr>
      </w:pPr>
      <w:r>
        <w:rPr>
          <w:spacing w:val="-3"/>
          <w:sz w:val="21"/>
        </w:rPr>
        <w:t>火灾种类</w:t>
      </w:r>
      <w:r>
        <w:rPr>
          <w:sz w:val="21"/>
        </w:rPr>
        <w:t xml:space="preserve"> </w:t>
      </w:r>
    </w:p>
    <w:p w14:paraId="0428DB85" w14:textId="77777777" w:rsidR="00A71EEF" w:rsidRDefault="00A71EEF">
      <w:pPr>
        <w:pStyle w:val="a3"/>
        <w:spacing w:before="12"/>
        <w:rPr>
          <w:sz w:val="17"/>
        </w:rPr>
      </w:pPr>
    </w:p>
    <w:p w14:paraId="2E7A3CC8" w14:textId="77777777" w:rsidR="00A71EEF" w:rsidRDefault="0081115D">
      <w:pPr>
        <w:pStyle w:val="a4"/>
        <w:numPr>
          <w:ilvl w:val="2"/>
          <w:numId w:val="649"/>
        </w:numPr>
        <w:tabs>
          <w:tab w:val="left" w:pos="1371"/>
        </w:tabs>
        <w:rPr>
          <w:sz w:val="21"/>
        </w:rPr>
      </w:pPr>
      <w:r>
        <w:rPr>
          <w:spacing w:val="-3"/>
          <w:sz w:val="21"/>
        </w:rPr>
        <w:t>灭火器配置场所的火灾种类应根据该场所内的物质及其燃烧特性进行分类</w:t>
      </w:r>
      <w:r>
        <w:rPr>
          <w:spacing w:val="-3"/>
          <w:sz w:val="21"/>
        </w:rPr>
        <w:t xml:space="preserve"> </w:t>
      </w:r>
      <w:r>
        <w:rPr>
          <w:spacing w:val="-9"/>
          <w:sz w:val="21"/>
        </w:rPr>
        <w:t xml:space="preserve"> </w:t>
      </w:r>
      <w:r>
        <w:rPr>
          <w:sz w:val="21"/>
        </w:rPr>
        <w:t xml:space="preserve"> </w:t>
      </w:r>
    </w:p>
    <w:p w14:paraId="227A98BA" w14:textId="77777777" w:rsidR="00A71EEF" w:rsidRDefault="00A71EEF">
      <w:pPr>
        <w:pStyle w:val="a3"/>
        <w:spacing w:before="2"/>
        <w:rPr>
          <w:sz w:val="18"/>
        </w:rPr>
      </w:pPr>
    </w:p>
    <w:p w14:paraId="5441E9C4" w14:textId="77777777" w:rsidR="00A71EEF" w:rsidRDefault="0081115D">
      <w:pPr>
        <w:pStyle w:val="a4"/>
        <w:numPr>
          <w:ilvl w:val="2"/>
          <w:numId w:val="649"/>
        </w:numPr>
        <w:tabs>
          <w:tab w:val="left" w:pos="1370"/>
        </w:tabs>
        <w:ind w:left="1369" w:hanging="530"/>
        <w:rPr>
          <w:sz w:val="21"/>
        </w:rPr>
      </w:pPr>
      <w:r>
        <w:rPr>
          <w:spacing w:val="-3"/>
          <w:sz w:val="21"/>
        </w:rPr>
        <w:t>灭火器配置场所的火灾种类可划分为以下五类：</w:t>
      </w:r>
      <w:r>
        <w:rPr>
          <w:sz w:val="21"/>
        </w:rPr>
        <w:t xml:space="preserve"> </w:t>
      </w:r>
    </w:p>
    <w:p w14:paraId="7FB1E801" w14:textId="77777777" w:rsidR="00A71EEF" w:rsidRDefault="00A71EEF">
      <w:pPr>
        <w:pStyle w:val="a3"/>
        <w:spacing w:before="12"/>
        <w:rPr>
          <w:sz w:val="17"/>
        </w:rPr>
      </w:pPr>
    </w:p>
    <w:p w14:paraId="671E6C77" w14:textId="77777777" w:rsidR="00A71EEF" w:rsidRDefault="0081115D">
      <w:pPr>
        <w:pStyle w:val="a4"/>
        <w:numPr>
          <w:ilvl w:val="0"/>
          <w:numId w:val="648"/>
        </w:numPr>
        <w:tabs>
          <w:tab w:val="left" w:pos="1367"/>
        </w:tabs>
        <w:rPr>
          <w:b/>
          <w:sz w:val="21"/>
        </w:rPr>
      </w:pPr>
      <w:r>
        <w:rPr>
          <w:spacing w:val="-3"/>
          <w:sz w:val="21"/>
        </w:rPr>
        <w:t xml:space="preserve">A </w:t>
      </w:r>
      <w:r>
        <w:rPr>
          <w:spacing w:val="-3"/>
          <w:sz w:val="21"/>
        </w:rPr>
        <w:t>类火灾：固体物质火灾。</w:t>
      </w:r>
      <w:r>
        <w:rPr>
          <w:b/>
          <w:w w:val="99"/>
          <w:sz w:val="21"/>
        </w:rPr>
        <w:t xml:space="preserve"> </w:t>
      </w:r>
    </w:p>
    <w:p w14:paraId="1534060C" w14:textId="77777777" w:rsidR="00A71EEF" w:rsidRDefault="00A71EEF">
      <w:pPr>
        <w:pStyle w:val="a3"/>
        <w:spacing w:before="12"/>
        <w:rPr>
          <w:b/>
          <w:sz w:val="17"/>
        </w:rPr>
      </w:pPr>
    </w:p>
    <w:p w14:paraId="07D8B4A8" w14:textId="77777777" w:rsidR="00A71EEF" w:rsidRDefault="0081115D">
      <w:pPr>
        <w:pStyle w:val="a4"/>
        <w:numPr>
          <w:ilvl w:val="0"/>
          <w:numId w:val="648"/>
        </w:numPr>
        <w:tabs>
          <w:tab w:val="left" w:pos="1367"/>
        </w:tabs>
        <w:rPr>
          <w:b/>
          <w:sz w:val="21"/>
        </w:rPr>
      </w:pPr>
      <w:r>
        <w:rPr>
          <w:spacing w:val="-3"/>
          <w:sz w:val="21"/>
        </w:rPr>
        <w:t xml:space="preserve">B </w:t>
      </w:r>
      <w:r>
        <w:rPr>
          <w:spacing w:val="-3"/>
          <w:sz w:val="21"/>
        </w:rPr>
        <w:t>类火灾：液体火灾或可熔化固体物质火灾。</w:t>
      </w:r>
      <w:r>
        <w:rPr>
          <w:b/>
          <w:w w:val="99"/>
          <w:sz w:val="21"/>
        </w:rPr>
        <w:t xml:space="preserve"> </w:t>
      </w:r>
    </w:p>
    <w:p w14:paraId="1F9750A6" w14:textId="77777777" w:rsidR="00A71EEF" w:rsidRDefault="00A71EEF">
      <w:pPr>
        <w:pStyle w:val="a3"/>
        <w:spacing w:before="2"/>
        <w:rPr>
          <w:b/>
          <w:sz w:val="18"/>
        </w:rPr>
      </w:pPr>
    </w:p>
    <w:p w14:paraId="0AFDABF4" w14:textId="77777777" w:rsidR="00A71EEF" w:rsidRDefault="0081115D">
      <w:pPr>
        <w:pStyle w:val="a4"/>
        <w:numPr>
          <w:ilvl w:val="0"/>
          <w:numId w:val="648"/>
        </w:numPr>
        <w:tabs>
          <w:tab w:val="left" w:pos="1367"/>
        </w:tabs>
        <w:rPr>
          <w:b/>
          <w:sz w:val="21"/>
        </w:rPr>
      </w:pPr>
      <w:r>
        <w:rPr>
          <w:spacing w:val="-3"/>
          <w:sz w:val="21"/>
        </w:rPr>
        <w:t xml:space="preserve">C </w:t>
      </w:r>
      <w:r>
        <w:rPr>
          <w:spacing w:val="-3"/>
          <w:sz w:val="21"/>
        </w:rPr>
        <w:t>类火灾：气体火灾。</w:t>
      </w:r>
      <w:r>
        <w:rPr>
          <w:b/>
          <w:spacing w:val="-3"/>
          <w:w w:val="99"/>
          <w:sz w:val="21"/>
        </w:rPr>
        <w:t xml:space="preserve"> </w:t>
      </w:r>
    </w:p>
    <w:p w14:paraId="40BA533B" w14:textId="77777777" w:rsidR="00A71EEF" w:rsidRDefault="00A71EEF">
      <w:pPr>
        <w:pStyle w:val="a3"/>
        <w:rPr>
          <w:b/>
          <w:sz w:val="18"/>
        </w:rPr>
      </w:pPr>
    </w:p>
    <w:p w14:paraId="4717E2FD" w14:textId="77777777" w:rsidR="00A71EEF" w:rsidRDefault="0081115D">
      <w:pPr>
        <w:pStyle w:val="a4"/>
        <w:numPr>
          <w:ilvl w:val="0"/>
          <w:numId w:val="648"/>
        </w:numPr>
        <w:tabs>
          <w:tab w:val="left" w:pos="1367"/>
        </w:tabs>
        <w:spacing w:before="1"/>
        <w:rPr>
          <w:b/>
          <w:sz w:val="21"/>
        </w:rPr>
      </w:pPr>
      <w:r>
        <w:rPr>
          <w:spacing w:val="-3"/>
          <w:sz w:val="21"/>
        </w:rPr>
        <w:t xml:space="preserve">D </w:t>
      </w:r>
      <w:r>
        <w:rPr>
          <w:spacing w:val="-3"/>
          <w:sz w:val="21"/>
        </w:rPr>
        <w:t>类火灾：金属火灾。</w:t>
      </w:r>
      <w:r>
        <w:rPr>
          <w:b/>
          <w:spacing w:val="-3"/>
          <w:w w:val="99"/>
          <w:sz w:val="21"/>
        </w:rPr>
        <w:t xml:space="preserve"> </w:t>
      </w:r>
    </w:p>
    <w:p w14:paraId="7A6BD49B" w14:textId="77777777" w:rsidR="00A71EEF" w:rsidRDefault="00A71EEF">
      <w:pPr>
        <w:pStyle w:val="a3"/>
        <w:spacing w:before="12"/>
        <w:rPr>
          <w:b/>
          <w:sz w:val="17"/>
        </w:rPr>
      </w:pPr>
    </w:p>
    <w:p w14:paraId="15C83034" w14:textId="77777777" w:rsidR="00A71EEF" w:rsidRDefault="0081115D">
      <w:pPr>
        <w:pStyle w:val="a4"/>
        <w:numPr>
          <w:ilvl w:val="0"/>
          <w:numId w:val="648"/>
        </w:numPr>
        <w:tabs>
          <w:tab w:val="left" w:pos="1367"/>
        </w:tabs>
        <w:spacing w:line="446" w:lineRule="auto"/>
        <w:ind w:left="840" w:right="4554" w:hanging="3"/>
        <w:rPr>
          <w:sz w:val="21"/>
        </w:rPr>
      </w:pPr>
      <w:r>
        <w:rPr>
          <w:sz w:val="21"/>
        </w:rPr>
        <w:t>E</w:t>
      </w:r>
      <w:r>
        <w:rPr>
          <w:spacing w:val="-3"/>
          <w:sz w:val="21"/>
        </w:rPr>
        <w:t xml:space="preserve"> </w:t>
      </w:r>
      <w:r>
        <w:rPr>
          <w:spacing w:val="-3"/>
          <w:sz w:val="21"/>
        </w:rPr>
        <w:t>类火灾</w:t>
      </w:r>
      <w:r>
        <w:rPr>
          <w:sz w:val="21"/>
        </w:rPr>
        <w:t>（</w:t>
      </w:r>
      <w:r>
        <w:rPr>
          <w:spacing w:val="-3"/>
          <w:sz w:val="21"/>
        </w:rPr>
        <w:t>带电火灾</w:t>
      </w:r>
      <w:r>
        <w:rPr>
          <w:spacing w:val="-106"/>
          <w:sz w:val="21"/>
        </w:rPr>
        <w:t>）</w:t>
      </w:r>
      <w:r>
        <w:rPr>
          <w:spacing w:val="-3"/>
          <w:sz w:val="21"/>
        </w:rPr>
        <w:t>：物体带电燃烧的火灾。</w:t>
      </w:r>
      <w:r>
        <w:rPr>
          <w:b/>
          <w:spacing w:val="-3"/>
          <w:w w:val="99"/>
          <w:sz w:val="21"/>
        </w:rPr>
        <w:t xml:space="preserve"> </w:t>
      </w:r>
      <w:hyperlink r:id="rId181" w:anchor="312">
        <w:r>
          <w:rPr>
            <w:b/>
            <w:w w:val="99"/>
            <w:sz w:val="21"/>
          </w:rPr>
          <w:t xml:space="preserve"> </w:t>
        </w:r>
      </w:hyperlink>
      <w:r>
        <w:rPr>
          <w:b/>
          <w:w w:val="99"/>
          <w:sz w:val="21"/>
        </w:rPr>
        <w:t xml:space="preserve"> </w:t>
      </w:r>
      <w:r>
        <w:rPr>
          <w:b/>
          <w:sz w:val="21"/>
        </w:rPr>
        <w:t>3.2</w:t>
      </w:r>
      <w:r>
        <w:rPr>
          <w:b/>
          <w:spacing w:val="1"/>
          <w:sz w:val="21"/>
        </w:rPr>
        <w:t xml:space="preserve"> </w:t>
      </w:r>
      <w:r>
        <w:rPr>
          <w:spacing w:val="-3"/>
          <w:sz w:val="21"/>
        </w:rPr>
        <w:t>危险等级</w:t>
      </w:r>
      <w:r>
        <w:rPr>
          <w:sz w:val="21"/>
        </w:rPr>
        <w:t xml:space="preserve"> </w:t>
      </w:r>
    </w:p>
    <w:p w14:paraId="3BEDF1F7" w14:textId="77777777" w:rsidR="00A71EEF" w:rsidRDefault="0081115D">
      <w:pPr>
        <w:pStyle w:val="a4"/>
        <w:numPr>
          <w:ilvl w:val="2"/>
          <w:numId w:val="647"/>
        </w:numPr>
        <w:tabs>
          <w:tab w:val="left" w:pos="1370"/>
        </w:tabs>
        <w:spacing w:line="446" w:lineRule="auto"/>
        <w:ind w:right="1604" w:firstLine="422"/>
        <w:rPr>
          <w:sz w:val="21"/>
        </w:rPr>
      </w:pPr>
      <w:r>
        <w:rPr>
          <w:spacing w:val="-3"/>
          <w:sz w:val="21"/>
        </w:rPr>
        <w:t>工业建筑灭火器配置场所的危险等级，应根据其生产、使用、储存物品的火灾危险性，可燃物</w:t>
      </w:r>
      <w:r>
        <w:rPr>
          <w:spacing w:val="-3"/>
          <w:sz w:val="21"/>
        </w:rPr>
        <w:t xml:space="preserve"> </w:t>
      </w:r>
      <w:r>
        <w:rPr>
          <w:spacing w:val="-3"/>
          <w:sz w:val="21"/>
        </w:rPr>
        <w:t>数量，火灾蔓延速度，扑救难易程度等因素，划分为以下三级：</w:t>
      </w:r>
      <w:r>
        <w:rPr>
          <w:sz w:val="21"/>
        </w:rPr>
        <w:t xml:space="preserve"> </w:t>
      </w:r>
    </w:p>
    <w:p w14:paraId="3268579D" w14:textId="77777777" w:rsidR="00A71EEF" w:rsidRDefault="0081115D">
      <w:pPr>
        <w:pStyle w:val="a4"/>
        <w:numPr>
          <w:ilvl w:val="0"/>
          <w:numId w:val="646"/>
        </w:numPr>
        <w:tabs>
          <w:tab w:val="left" w:pos="1367"/>
        </w:tabs>
        <w:spacing w:line="446" w:lineRule="auto"/>
        <w:ind w:right="1714" w:firstLine="419"/>
        <w:rPr>
          <w:sz w:val="21"/>
        </w:rPr>
      </w:pPr>
      <w:r>
        <w:rPr>
          <w:spacing w:val="-3"/>
          <w:sz w:val="21"/>
        </w:rPr>
        <w:t>严重危险级：火灾危险性大，可燃物多，起火后蔓延迅速，扑救困难，容易造成重大财产损失</w:t>
      </w:r>
      <w:r>
        <w:rPr>
          <w:spacing w:val="-3"/>
          <w:sz w:val="21"/>
        </w:rPr>
        <w:t xml:space="preserve"> </w:t>
      </w:r>
      <w:r>
        <w:rPr>
          <w:spacing w:val="-3"/>
          <w:sz w:val="21"/>
        </w:rPr>
        <w:t>的场所；</w:t>
      </w:r>
      <w:r>
        <w:rPr>
          <w:sz w:val="21"/>
        </w:rPr>
        <w:t xml:space="preserve"> </w:t>
      </w:r>
    </w:p>
    <w:p w14:paraId="67F5F56E" w14:textId="77777777" w:rsidR="00A71EEF" w:rsidRDefault="0081115D">
      <w:pPr>
        <w:pStyle w:val="a4"/>
        <w:numPr>
          <w:ilvl w:val="0"/>
          <w:numId w:val="646"/>
        </w:numPr>
        <w:tabs>
          <w:tab w:val="left" w:pos="1367"/>
        </w:tabs>
        <w:spacing w:line="267" w:lineRule="exact"/>
        <w:ind w:left="1367"/>
        <w:rPr>
          <w:sz w:val="21"/>
        </w:rPr>
      </w:pPr>
      <w:r>
        <w:rPr>
          <w:spacing w:val="-3"/>
          <w:sz w:val="21"/>
        </w:rPr>
        <w:t>中危险级：火灾危险性较大，可燃物较多，起火后蔓延较迅速，扑救较难的场所；</w:t>
      </w:r>
      <w:r>
        <w:rPr>
          <w:sz w:val="21"/>
        </w:rPr>
        <w:t xml:space="preserve"> </w:t>
      </w:r>
    </w:p>
    <w:p w14:paraId="61D55D2B" w14:textId="77777777" w:rsidR="00A71EEF" w:rsidRDefault="00A71EEF">
      <w:pPr>
        <w:pStyle w:val="a3"/>
        <w:spacing w:before="1"/>
        <w:rPr>
          <w:sz w:val="18"/>
        </w:rPr>
      </w:pPr>
    </w:p>
    <w:p w14:paraId="51641D27" w14:textId="77777777" w:rsidR="00A71EEF" w:rsidRDefault="0081115D">
      <w:pPr>
        <w:pStyle w:val="a4"/>
        <w:numPr>
          <w:ilvl w:val="0"/>
          <w:numId w:val="646"/>
        </w:numPr>
        <w:tabs>
          <w:tab w:val="left" w:pos="1367"/>
          <w:tab w:val="left" w:pos="6298"/>
        </w:tabs>
        <w:spacing w:before="1" w:line="446" w:lineRule="auto"/>
        <w:ind w:right="1611" w:firstLine="419"/>
        <w:rPr>
          <w:sz w:val="21"/>
        </w:rPr>
      </w:pPr>
      <w:r>
        <w:rPr>
          <w:sz w:val="21"/>
        </w:rPr>
        <w:t>轻</w:t>
      </w:r>
      <w:r>
        <w:rPr>
          <w:spacing w:val="-3"/>
          <w:sz w:val="21"/>
        </w:rPr>
        <w:t>危</w:t>
      </w:r>
      <w:r>
        <w:rPr>
          <w:sz w:val="21"/>
        </w:rPr>
        <w:t>险</w:t>
      </w:r>
      <w:r>
        <w:rPr>
          <w:spacing w:val="-3"/>
          <w:sz w:val="21"/>
        </w:rPr>
        <w:t>级</w:t>
      </w:r>
      <w:r>
        <w:rPr>
          <w:sz w:val="21"/>
        </w:rPr>
        <w:t>：</w:t>
      </w:r>
      <w:r>
        <w:rPr>
          <w:spacing w:val="-3"/>
          <w:sz w:val="21"/>
        </w:rPr>
        <w:t>火</w:t>
      </w:r>
      <w:r>
        <w:rPr>
          <w:sz w:val="21"/>
        </w:rPr>
        <w:t>灾</w:t>
      </w:r>
      <w:r>
        <w:rPr>
          <w:spacing w:val="-3"/>
          <w:sz w:val="21"/>
        </w:rPr>
        <w:t>危险</w:t>
      </w:r>
      <w:r>
        <w:rPr>
          <w:sz w:val="21"/>
        </w:rPr>
        <w:t>性较</w:t>
      </w:r>
      <w:r>
        <w:rPr>
          <w:spacing w:val="-3"/>
          <w:sz w:val="21"/>
        </w:rPr>
        <w:t>小</w:t>
      </w:r>
      <w:r>
        <w:rPr>
          <w:sz w:val="21"/>
        </w:rPr>
        <w:t>，</w:t>
      </w:r>
      <w:r>
        <w:rPr>
          <w:spacing w:val="-3"/>
          <w:sz w:val="21"/>
        </w:rPr>
        <w:t>可</w:t>
      </w:r>
      <w:r>
        <w:rPr>
          <w:sz w:val="21"/>
        </w:rPr>
        <w:t>燃</w:t>
      </w:r>
      <w:r>
        <w:rPr>
          <w:spacing w:val="-3"/>
          <w:sz w:val="21"/>
        </w:rPr>
        <w:t>物</w:t>
      </w:r>
      <w:r>
        <w:rPr>
          <w:sz w:val="21"/>
        </w:rPr>
        <w:t>较</w:t>
      </w:r>
      <w:r>
        <w:rPr>
          <w:spacing w:val="-3"/>
          <w:sz w:val="21"/>
        </w:rPr>
        <w:t>少</w:t>
      </w:r>
      <w:r>
        <w:rPr>
          <w:sz w:val="21"/>
        </w:rPr>
        <w:t>，</w:t>
      </w:r>
      <w:r>
        <w:rPr>
          <w:spacing w:val="-3"/>
          <w:sz w:val="21"/>
        </w:rPr>
        <w:t>起</w:t>
      </w:r>
      <w:r>
        <w:rPr>
          <w:sz w:val="21"/>
        </w:rPr>
        <w:t>火后</w:t>
      </w:r>
      <w:r>
        <w:rPr>
          <w:spacing w:val="-3"/>
          <w:sz w:val="21"/>
        </w:rPr>
        <w:t>蔓</w:t>
      </w:r>
      <w:r>
        <w:rPr>
          <w:sz w:val="21"/>
        </w:rPr>
        <w:t>延</w:t>
      </w:r>
      <w:r>
        <w:rPr>
          <w:spacing w:val="-3"/>
          <w:sz w:val="21"/>
        </w:rPr>
        <w:t>较</w:t>
      </w:r>
      <w:r>
        <w:rPr>
          <w:sz w:val="21"/>
        </w:rPr>
        <w:t>缓</w:t>
      </w:r>
      <w:r>
        <w:rPr>
          <w:spacing w:val="-3"/>
          <w:sz w:val="21"/>
        </w:rPr>
        <w:t>慢</w:t>
      </w:r>
      <w:r>
        <w:rPr>
          <w:sz w:val="21"/>
        </w:rPr>
        <w:t>，</w:t>
      </w:r>
      <w:r>
        <w:rPr>
          <w:spacing w:val="-3"/>
          <w:sz w:val="21"/>
        </w:rPr>
        <w:t>扑</w:t>
      </w:r>
      <w:r>
        <w:rPr>
          <w:sz w:val="21"/>
        </w:rPr>
        <w:t>救</w:t>
      </w:r>
      <w:r>
        <w:rPr>
          <w:spacing w:val="-3"/>
          <w:sz w:val="21"/>
        </w:rPr>
        <w:t>较</w:t>
      </w:r>
      <w:r>
        <w:rPr>
          <w:sz w:val="21"/>
        </w:rPr>
        <w:t>易的</w:t>
      </w:r>
      <w:r>
        <w:rPr>
          <w:spacing w:val="-3"/>
          <w:sz w:val="21"/>
        </w:rPr>
        <w:t>场</w:t>
      </w:r>
      <w:r>
        <w:rPr>
          <w:sz w:val="21"/>
        </w:rPr>
        <w:t>所</w:t>
      </w:r>
      <w:r>
        <w:rPr>
          <w:spacing w:val="-3"/>
          <w:sz w:val="21"/>
        </w:rPr>
        <w:t>。</w:t>
      </w:r>
      <w:r>
        <w:rPr>
          <w:sz w:val="21"/>
        </w:rPr>
        <w:t>工业</w:t>
      </w:r>
      <w:r>
        <w:rPr>
          <w:spacing w:val="-3"/>
          <w:sz w:val="21"/>
        </w:rPr>
        <w:t>建</w:t>
      </w:r>
      <w:r>
        <w:rPr>
          <w:sz w:val="21"/>
        </w:rPr>
        <w:t>筑</w:t>
      </w:r>
      <w:r>
        <w:rPr>
          <w:spacing w:val="-3"/>
          <w:sz w:val="21"/>
        </w:rPr>
        <w:t>灭</w:t>
      </w:r>
      <w:r>
        <w:rPr>
          <w:sz w:val="21"/>
        </w:rPr>
        <w:t>火</w:t>
      </w:r>
      <w:r>
        <w:rPr>
          <w:spacing w:val="-3"/>
          <w:sz w:val="21"/>
        </w:rPr>
        <w:t>器</w:t>
      </w:r>
      <w:r>
        <w:rPr>
          <w:sz w:val="21"/>
        </w:rPr>
        <w:t>配</w:t>
      </w:r>
      <w:r>
        <w:rPr>
          <w:spacing w:val="-3"/>
          <w:sz w:val="21"/>
        </w:rPr>
        <w:t>置</w:t>
      </w:r>
      <w:r>
        <w:rPr>
          <w:sz w:val="21"/>
        </w:rPr>
        <w:t>场</w:t>
      </w:r>
      <w:r>
        <w:rPr>
          <w:spacing w:val="-3"/>
          <w:sz w:val="21"/>
        </w:rPr>
        <w:t>所</w:t>
      </w:r>
      <w:r>
        <w:rPr>
          <w:sz w:val="21"/>
        </w:rPr>
        <w:t>的危</w:t>
      </w:r>
      <w:r>
        <w:rPr>
          <w:spacing w:val="-3"/>
          <w:sz w:val="21"/>
        </w:rPr>
        <w:t>险</w:t>
      </w:r>
      <w:r>
        <w:rPr>
          <w:sz w:val="21"/>
        </w:rPr>
        <w:t>等</w:t>
      </w:r>
      <w:r>
        <w:rPr>
          <w:spacing w:val="-3"/>
          <w:sz w:val="21"/>
        </w:rPr>
        <w:t>级</w:t>
      </w:r>
      <w:r>
        <w:rPr>
          <w:sz w:val="21"/>
        </w:rPr>
        <w:t>举</w:t>
      </w:r>
      <w:r>
        <w:rPr>
          <w:spacing w:val="-3"/>
          <w:sz w:val="21"/>
        </w:rPr>
        <w:t>例</w:t>
      </w:r>
      <w:r>
        <w:rPr>
          <w:sz w:val="21"/>
        </w:rPr>
        <w:t>见</w:t>
      </w:r>
      <w:r>
        <w:rPr>
          <w:spacing w:val="-3"/>
          <w:sz w:val="21"/>
        </w:rPr>
        <w:t>本</w:t>
      </w:r>
      <w:r>
        <w:rPr>
          <w:sz w:val="21"/>
        </w:rPr>
        <w:t>规</w:t>
      </w:r>
      <w:r>
        <w:rPr>
          <w:spacing w:val="-3"/>
          <w:sz w:val="21"/>
        </w:rPr>
        <w:t>范</w:t>
      </w:r>
      <w:r>
        <w:rPr>
          <w:sz w:val="21"/>
        </w:rPr>
        <w:t>附录</w:t>
      </w:r>
      <w:r>
        <w:rPr>
          <w:spacing w:val="31"/>
          <w:sz w:val="21"/>
        </w:rPr>
        <w:t xml:space="preserve"> </w:t>
      </w:r>
      <w:r>
        <w:rPr>
          <w:spacing w:val="-3"/>
          <w:sz w:val="21"/>
        </w:rPr>
        <w:t>C</w:t>
      </w:r>
      <w:r>
        <w:rPr>
          <w:spacing w:val="-3"/>
          <w:sz w:val="21"/>
        </w:rPr>
        <w:t>。</w:t>
      </w:r>
      <w:r>
        <w:rPr>
          <w:sz w:val="21"/>
        </w:rPr>
        <w:t xml:space="preserve"> </w:t>
      </w:r>
      <w:r>
        <w:rPr>
          <w:sz w:val="21"/>
        </w:rPr>
        <w:tab/>
      </w:r>
      <w:hyperlink r:id="rId182" w:anchor="321">
        <w:r>
          <w:rPr>
            <w:sz w:val="21"/>
          </w:rPr>
          <w:t xml:space="preserve"> </w:t>
        </w:r>
      </w:hyperlink>
      <w:r>
        <w:rPr>
          <w:sz w:val="21"/>
        </w:rPr>
        <w:t xml:space="preserve"> </w:t>
      </w:r>
    </w:p>
    <w:p w14:paraId="08BF358A" w14:textId="77777777" w:rsidR="00A71EEF" w:rsidRDefault="0081115D">
      <w:pPr>
        <w:pStyle w:val="a4"/>
        <w:numPr>
          <w:ilvl w:val="2"/>
          <w:numId w:val="647"/>
        </w:numPr>
        <w:tabs>
          <w:tab w:val="left" w:pos="1370"/>
        </w:tabs>
        <w:spacing w:line="446" w:lineRule="auto"/>
        <w:ind w:right="1604" w:firstLine="422"/>
        <w:rPr>
          <w:sz w:val="21"/>
        </w:rPr>
      </w:pPr>
      <w:r>
        <w:rPr>
          <w:spacing w:val="-3"/>
          <w:sz w:val="21"/>
        </w:rPr>
        <w:t>民用建筑灭火器配置场所的危险等级，应根据其使用性质，人员密集程度，用电用火情况，可燃物数量，火灾蔓延速度，扑救难易程度等因素，划分为以下三级：</w:t>
      </w:r>
      <w:r>
        <w:rPr>
          <w:sz w:val="21"/>
        </w:rPr>
        <w:t xml:space="preserve"> </w:t>
      </w:r>
    </w:p>
    <w:p w14:paraId="2A75B6D7" w14:textId="77777777" w:rsidR="00A71EEF" w:rsidRDefault="0081115D">
      <w:pPr>
        <w:pStyle w:val="a4"/>
        <w:numPr>
          <w:ilvl w:val="0"/>
          <w:numId w:val="645"/>
        </w:numPr>
        <w:tabs>
          <w:tab w:val="left" w:pos="1367"/>
        </w:tabs>
        <w:spacing w:line="446" w:lineRule="auto"/>
        <w:ind w:right="1925" w:firstLine="419"/>
        <w:rPr>
          <w:sz w:val="21"/>
        </w:rPr>
      </w:pPr>
      <w:r>
        <w:rPr>
          <w:spacing w:val="-3"/>
          <w:sz w:val="21"/>
        </w:rPr>
        <w:t>严重危险级：使用性质重要，人员密集，用电用火多，可燃物多，起火后蔓延迅速，扑救困难，容易造成重大财产损失或人员群死群伤的场所；</w:t>
      </w:r>
      <w:r>
        <w:rPr>
          <w:sz w:val="21"/>
        </w:rPr>
        <w:t xml:space="preserve"> </w:t>
      </w:r>
    </w:p>
    <w:p w14:paraId="00F4296E" w14:textId="77777777" w:rsidR="00A71EEF" w:rsidRDefault="0081115D">
      <w:pPr>
        <w:pStyle w:val="a4"/>
        <w:numPr>
          <w:ilvl w:val="0"/>
          <w:numId w:val="645"/>
        </w:numPr>
        <w:tabs>
          <w:tab w:val="left" w:pos="1367"/>
        </w:tabs>
        <w:spacing w:line="446" w:lineRule="auto"/>
        <w:ind w:right="1714" w:firstLine="419"/>
        <w:rPr>
          <w:sz w:val="21"/>
        </w:rPr>
      </w:pPr>
      <w:r>
        <w:rPr>
          <w:spacing w:val="-3"/>
          <w:sz w:val="21"/>
        </w:rPr>
        <w:t>中危险级：使用性质较重要，人员较密集，用电用火较多，可燃物较多，起火后蔓延较迅速，</w:t>
      </w:r>
      <w:r>
        <w:rPr>
          <w:spacing w:val="-3"/>
          <w:sz w:val="21"/>
        </w:rPr>
        <w:t xml:space="preserve"> </w:t>
      </w:r>
      <w:r>
        <w:rPr>
          <w:spacing w:val="-3"/>
          <w:sz w:val="21"/>
        </w:rPr>
        <w:t>扑救较难的场所；</w:t>
      </w:r>
      <w:r>
        <w:rPr>
          <w:sz w:val="21"/>
        </w:rPr>
        <w:t xml:space="preserve"> </w:t>
      </w:r>
    </w:p>
    <w:p w14:paraId="31E613D7" w14:textId="77777777" w:rsidR="00A71EEF" w:rsidRDefault="0081115D">
      <w:pPr>
        <w:pStyle w:val="a4"/>
        <w:numPr>
          <w:ilvl w:val="0"/>
          <w:numId w:val="645"/>
        </w:numPr>
        <w:tabs>
          <w:tab w:val="left" w:pos="1367"/>
        </w:tabs>
        <w:spacing w:line="446" w:lineRule="auto"/>
        <w:ind w:right="1609" w:firstLine="419"/>
        <w:rPr>
          <w:sz w:val="21"/>
        </w:rPr>
      </w:pPr>
      <w:r>
        <w:rPr>
          <w:spacing w:val="-3"/>
          <w:sz w:val="21"/>
        </w:rPr>
        <w:t>轻危险级：使用性质一般，人员不密集，用电用火较少，可燃物较少，起火后蔓延较缓慢，扑救较易的场所。</w:t>
      </w:r>
      <w:r>
        <w:rPr>
          <w:spacing w:val="-3"/>
          <w:sz w:val="21"/>
        </w:rPr>
        <w:t xml:space="preserve"> </w:t>
      </w:r>
    </w:p>
    <w:p w14:paraId="6293DF65" w14:textId="77777777" w:rsidR="00A71EEF" w:rsidRDefault="0081115D">
      <w:pPr>
        <w:pStyle w:val="a3"/>
        <w:tabs>
          <w:tab w:val="left" w:pos="6718"/>
        </w:tabs>
        <w:ind w:left="838"/>
      </w:pPr>
      <w:r>
        <w:t>民用</w:t>
      </w:r>
      <w:r>
        <w:rPr>
          <w:spacing w:val="-3"/>
        </w:rPr>
        <w:t>建</w:t>
      </w:r>
      <w:r>
        <w:t>筑</w:t>
      </w:r>
      <w:r>
        <w:rPr>
          <w:spacing w:val="-3"/>
        </w:rPr>
        <w:t>灭</w:t>
      </w:r>
      <w:r>
        <w:t>火</w:t>
      </w:r>
      <w:r>
        <w:rPr>
          <w:spacing w:val="-3"/>
        </w:rPr>
        <w:t>器</w:t>
      </w:r>
      <w:r>
        <w:t>配</w:t>
      </w:r>
      <w:r>
        <w:rPr>
          <w:spacing w:val="-3"/>
        </w:rPr>
        <w:t>置</w:t>
      </w:r>
      <w:r>
        <w:t>场</w:t>
      </w:r>
      <w:r>
        <w:rPr>
          <w:spacing w:val="-3"/>
        </w:rPr>
        <w:t>所</w:t>
      </w:r>
      <w:r>
        <w:t>的危</w:t>
      </w:r>
      <w:r>
        <w:rPr>
          <w:spacing w:val="-3"/>
        </w:rPr>
        <w:t>险</w:t>
      </w:r>
      <w:r>
        <w:t>等</w:t>
      </w:r>
      <w:r>
        <w:rPr>
          <w:spacing w:val="-3"/>
        </w:rPr>
        <w:t>级</w:t>
      </w:r>
      <w:r>
        <w:t>举</w:t>
      </w:r>
      <w:r>
        <w:rPr>
          <w:spacing w:val="-3"/>
        </w:rPr>
        <w:t>例</w:t>
      </w:r>
      <w:r>
        <w:t>见</w:t>
      </w:r>
      <w:r>
        <w:rPr>
          <w:spacing w:val="-3"/>
        </w:rPr>
        <w:t>本</w:t>
      </w:r>
      <w:r>
        <w:t>规</w:t>
      </w:r>
      <w:r>
        <w:rPr>
          <w:spacing w:val="-3"/>
        </w:rPr>
        <w:t>范</w:t>
      </w:r>
      <w:r>
        <w:t>附录</w:t>
      </w:r>
      <w:r>
        <w:rPr>
          <w:spacing w:val="31"/>
        </w:rPr>
        <w:t xml:space="preserve"> </w:t>
      </w:r>
      <w:r>
        <w:rPr>
          <w:spacing w:val="-3"/>
        </w:rPr>
        <w:t>D</w:t>
      </w:r>
      <w:r>
        <w:rPr>
          <w:spacing w:val="-3"/>
        </w:rPr>
        <w:t>。</w:t>
      </w:r>
      <w:r>
        <w:t xml:space="preserve"> </w:t>
      </w:r>
      <w:r>
        <w:tab/>
      </w:r>
      <w:hyperlink r:id="rId183" w:anchor="322">
        <w:r>
          <w:t xml:space="preserve"> </w:t>
        </w:r>
      </w:hyperlink>
      <w:r>
        <w:t xml:space="preserve"> </w:t>
      </w:r>
    </w:p>
    <w:p w14:paraId="5DEE0530" w14:textId="77777777" w:rsidR="00A71EEF" w:rsidRDefault="00A71EEF">
      <w:pPr>
        <w:pStyle w:val="a3"/>
        <w:spacing w:before="3"/>
        <w:rPr>
          <w:sz w:val="15"/>
        </w:rPr>
      </w:pPr>
    </w:p>
    <w:p w14:paraId="0F49DC5B" w14:textId="77777777" w:rsidR="00A71EEF" w:rsidRDefault="0081115D">
      <w:pPr>
        <w:pStyle w:val="4"/>
      </w:pPr>
      <w:r>
        <w:t xml:space="preserve">4 </w:t>
      </w:r>
      <w:r>
        <w:t>灭火器的选择</w:t>
      </w:r>
      <w:r>
        <w:rPr>
          <w:w w:val="99"/>
        </w:rPr>
        <w:t xml:space="preserve"> </w:t>
      </w:r>
    </w:p>
    <w:p w14:paraId="1F974156" w14:textId="77777777" w:rsidR="00A71EEF" w:rsidRDefault="00A71EEF">
      <w:pPr>
        <w:pStyle w:val="a3"/>
        <w:spacing w:before="6"/>
        <w:rPr>
          <w:b/>
          <w:sz w:val="17"/>
        </w:rPr>
      </w:pPr>
    </w:p>
    <w:p w14:paraId="08B25584" w14:textId="77777777" w:rsidR="00A71EEF" w:rsidRDefault="0081115D">
      <w:pPr>
        <w:pStyle w:val="a4"/>
        <w:numPr>
          <w:ilvl w:val="1"/>
          <w:numId w:val="644"/>
        </w:numPr>
        <w:tabs>
          <w:tab w:val="left" w:pos="1159"/>
        </w:tabs>
        <w:ind w:hanging="319"/>
        <w:rPr>
          <w:sz w:val="21"/>
        </w:rPr>
      </w:pPr>
      <w:r>
        <w:rPr>
          <w:spacing w:val="-3"/>
          <w:sz w:val="21"/>
        </w:rPr>
        <w:t>一般规定</w:t>
      </w:r>
      <w:r>
        <w:rPr>
          <w:sz w:val="21"/>
        </w:rPr>
        <w:t xml:space="preserve"> </w:t>
      </w:r>
    </w:p>
    <w:p w14:paraId="3C875131" w14:textId="77777777" w:rsidR="00A71EEF" w:rsidRDefault="00A71EEF">
      <w:pPr>
        <w:rPr>
          <w:sz w:val="21"/>
        </w:rPr>
        <w:sectPr w:rsidR="00A71EEF">
          <w:pgSz w:w="11910" w:h="16850"/>
          <w:pgMar w:top="1200" w:right="0" w:bottom="1420" w:left="1260" w:header="0" w:footer="1159" w:gutter="0"/>
          <w:cols w:space="720"/>
        </w:sectPr>
      </w:pPr>
    </w:p>
    <w:p w14:paraId="2E428D08" w14:textId="77777777" w:rsidR="00A71EEF" w:rsidRDefault="0081115D">
      <w:pPr>
        <w:pStyle w:val="a4"/>
        <w:numPr>
          <w:ilvl w:val="2"/>
          <w:numId w:val="644"/>
        </w:numPr>
        <w:tabs>
          <w:tab w:val="left" w:pos="1371"/>
        </w:tabs>
        <w:spacing w:before="47"/>
        <w:ind w:left="1370" w:hanging="531"/>
        <w:rPr>
          <w:sz w:val="19"/>
        </w:rPr>
      </w:pPr>
      <w:r>
        <w:rPr>
          <w:spacing w:val="-3"/>
          <w:sz w:val="21"/>
        </w:rPr>
        <w:t>灭火器的选择应考虑下列因素：</w:t>
      </w:r>
      <w:r>
        <w:rPr>
          <w:sz w:val="21"/>
        </w:rPr>
        <w:t xml:space="preserve"> </w:t>
      </w:r>
    </w:p>
    <w:p w14:paraId="4A2949A4" w14:textId="77777777" w:rsidR="00A71EEF" w:rsidRDefault="00A71EEF">
      <w:pPr>
        <w:pStyle w:val="a3"/>
        <w:rPr>
          <w:sz w:val="18"/>
        </w:rPr>
      </w:pPr>
    </w:p>
    <w:p w14:paraId="2CFAFB56" w14:textId="77777777" w:rsidR="00A71EEF" w:rsidRDefault="0081115D">
      <w:pPr>
        <w:pStyle w:val="a4"/>
        <w:numPr>
          <w:ilvl w:val="0"/>
          <w:numId w:val="643"/>
        </w:numPr>
        <w:tabs>
          <w:tab w:val="left" w:pos="1367"/>
        </w:tabs>
        <w:rPr>
          <w:sz w:val="21"/>
        </w:rPr>
      </w:pPr>
      <w:r>
        <w:rPr>
          <w:spacing w:val="-3"/>
          <w:sz w:val="21"/>
        </w:rPr>
        <w:t>灭火器配置场所的火灾种类；</w:t>
      </w:r>
      <w:r>
        <w:rPr>
          <w:sz w:val="21"/>
        </w:rPr>
        <w:t xml:space="preserve"> </w:t>
      </w:r>
    </w:p>
    <w:p w14:paraId="3388D527" w14:textId="77777777" w:rsidR="00A71EEF" w:rsidRDefault="00A71EEF">
      <w:pPr>
        <w:pStyle w:val="a3"/>
        <w:rPr>
          <w:sz w:val="18"/>
        </w:rPr>
      </w:pPr>
    </w:p>
    <w:p w14:paraId="23661AE0" w14:textId="77777777" w:rsidR="00A71EEF" w:rsidRDefault="0081115D">
      <w:pPr>
        <w:pStyle w:val="a4"/>
        <w:numPr>
          <w:ilvl w:val="0"/>
          <w:numId w:val="643"/>
        </w:numPr>
        <w:tabs>
          <w:tab w:val="left" w:pos="1367"/>
        </w:tabs>
        <w:rPr>
          <w:sz w:val="21"/>
        </w:rPr>
      </w:pPr>
      <w:r>
        <w:rPr>
          <w:spacing w:val="-3"/>
          <w:sz w:val="21"/>
        </w:rPr>
        <w:t>灭火器配置场所的危险等级；</w:t>
      </w:r>
      <w:r>
        <w:rPr>
          <w:sz w:val="21"/>
        </w:rPr>
        <w:t xml:space="preserve"> </w:t>
      </w:r>
    </w:p>
    <w:p w14:paraId="1F21D7D2" w14:textId="77777777" w:rsidR="00A71EEF" w:rsidRDefault="00A71EEF">
      <w:pPr>
        <w:pStyle w:val="a3"/>
        <w:spacing w:before="1"/>
        <w:rPr>
          <w:sz w:val="18"/>
        </w:rPr>
      </w:pPr>
    </w:p>
    <w:p w14:paraId="706161F6" w14:textId="77777777" w:rsidR="00A71EEF" w:rsidRDefault="0081115D">
      <w:pPr>
        <w:pStyle w:val="a4"/>
        <w:numPr>
          <w:ilvl w:val="0"/>
          <w:numId w:val="643"/>
        </w:numPr>
        <w:tabs>
          <w:tab w:val="left" w:pos="1367"/>
        </w:tabs>
        <w:spacing w:before="1"/>
        <w:rPr>
          <w:sz w:val="21"/>
        </w:rPr>
      </w:pPr>
      <w:r>
        <w:rPr>
          <w:spacing w:val="-3"/>
          <w:sz w:val="21"/>
        </w:rPr>
        <w:t>灭火器的灭火效能和通用性；</w:t>
      </w:r>
      <w:r>
        <w:rPr>
          <w:sz w:val="21"/>
        </w:rPr>
        <w:t xml:space="preserve"> </w:t>
      </w:r>
    </w:p>
    <w:p w14:paraId="62F80FEE" w14:textId="77777777" w:rsidR="00A71EEF" w:rsidRDefault="00A71EEF">
      <w:pPr>
        <w:pStyle w:val="a3"/>
        <w:spacing w:before="12"/>
        <w:rPr>
          <w:sz w:val="17"/>
        </w:rPr>
      </w:pPr>
    </w:p>
    <w:p w14:paraId="6187F726" w14:textId="77777777" w:rsidR="00A71EEF" w:rsidRDefault="0081115D">
      <w:pPr>
        <w:pStyle w:val="a4"/>
        <w:numPr>
          <w:ilvl w:val="0"/>
          <w:numId w:val="643"/>
        </w:numPr>
        <w:tabs>
          <w:tab w:val="left" w:pos="1367"/>
        </w:tabs>
        <w:rPr>
          <w:sz w:val="21"/>
        </w:rPr>
      </w:pPr>
      <w:r>
        <w:rPr>
          <w:spacing w:val="-3"/>
          <w:sz w:val="21"/>
        </w:rPr>
        <w:t>灭火剂对保护物品的污损程度；</w:t>
      </w:r>
      <w:r>
        <w:rPr>
          <w:sz w:val="21"/>
        </w:rPr>
        <w:t xml:space="preserve"> </w:t>
      </w:r>
    </w:p>
    <w:p w14:paraId="382156E7" w14:textId="77777777" w:rsidR="00A71EEF" w:rsidRDefault="00A71EEF">
      <w:pPr>
        <w:pStyle w:val="a3"/>
        <w:spacing w:before="12"/>
        <w:rPr>
          <w:sz w:val="17"/>
        </w:rPr>
      </w:pPr>
    </w:p>
    <w:p w14:paraId="720FBD8C" w14:textId="77777777" w:rsidR="00A71EEF" w:rsidRDefault="0081115D">
      <w:pPr>
        <w:pStyle w:val="a4"/>
        <w:numPr>
          <w:ilvl w:val="0"/>
          <w:numId w:val="643"/>
        </w:numPr>
        <w:tabs>
          <w:tab w:val="left" w:pos="1367"/>
        </w:tabs>
        <w:rPr>
          <w:sz w:val="21"/>
        </w:rPr>
      </w:pPr>
      <w:r>
        <w:rPr>
          <w:spacing w:val="-3"/>
          <w:sz w:val="21"/>
        </w:rPr>
        <w:t>灭火器设置点的环境温度；</w:t>
      </w:r>
      <w:r>
        <w:rPr>
          <w:sz w:val="21"/>
        </w:rPr>
        <w:t xml:space="preserve"> </w:t>
      </w:r>
    </w:p>
    <w:p w14:paraId="60E797B2" w14:textId="77777777" w:rsidR="00A71EEF" w:rsidRDefault="00A71EEF">
      <w:pPr>
        <w:pStyle w:val="a3"/>
        <w:spacing w:before="2"/>
        <w:rPr>
          <w:sz w:val="18"/>
        </w:rPr>
      </w:pPr>
    </w:p>
    <w:p w14:paraId="2FB380F9" w14:textId="77777777" w:rsidR="00A71EEF" w:rsidRDefault="0081115D">
      <w:pPr>
        <w:pStyle w:val="a4"/>
        <w:numPr>
          <w:ilvl w:val="0"/>
          <w:numId w:val="643"/>
        </w:numPr>
        <w:tabs>
          <w:tab w:val="left" w:pos="1367"/>
          <w:tab w:val="left" w:pos="5367"/>
        </w:tabs>
        <w:rPr>
          <w:b/>
          <w:sz w:val="21"/>
        </w:rPr>
      </w:pPr>
      <w:r>
        <w:rPr>
          <w:sz w:val="21"/>
        </w:rPr>
        <w:t>使</w:t>
      </w:r>
      <w:r>
        <w:rPr>
          <w:spacing w:val="-3"/>
          <w:sz w:val="21"/>
        </w:rPr>
        <w:t>用</w:t>
      </w:r>
      <w:r>
        <w:rPr>
          <w:sz w:val="21"/>
        </w:rPr>
        <w:t>灭</w:t>
      </w:r>
      <w:r>
        <w:rPr>
          <w:spacing w:val="-3"/>
          <w:sz w:val="21"/>
        </w:rPr>
        <w:t>火</w:t>
      </w:r>
      <w:r>
        <w:rPr>
          <w:sz w:val="21"/>
        </w:rPr>
        <w:t>器</w:t>
      </w:r>
      <w:r>
        <w:rPr>
          <w:spacing w:val="-3"/>
          <w:sz w:val="21"/>
        </w:rPr>
        <w:t>人</w:t>
      </w:r>
      <w:r>
        <w:rPr>
          <w:sz w:val="21"/>
        </w:rPr>
        <w:t>员</w:t>
      </w:r>
      <w:r>
        <w:rPr>
          <w:spacing w:val="-3"/>
          <w:sz w:val="21"/>
        </w:rPr>
        <w:t>的体</w:t>
      </w:r>
      <w:r>
        <w:rPr>
          <w:sz w:val="21"/>
        </w:rPr>
        <w:t>能</w:t>
      </w:r>
      <w:r>
        <w:rPr>
          <w:spacing w:val="-3"/>
          <w:sz w:val="21"/>
        </w:rPr>
        <w:t>。</w:t>
      </w:r>
      <w:r>
        <w:rPr>
          <w:b/>
          <w:w w:val="99"/>
          <w:sz w:val="21"/>
        </w:rPr>
        <w:t xml:space="preserve"> </w:t>
      </w:r>
      <w:r>
        <w:rPr>
          <w:b/>
          <w:sz w:val="21"/>
        </w:rPr>
        <w:tab/>
      </w:r>
      <w:hyperlink r:id="rId184" w:anchor="411">
        <w:r>
          <w:rPr>
            <w:b/>
            <w:w w:val="99"/>
            <w:sz w:val="21"/>
          </w:rPr>
          <w:t xml:space="preserve"> </w:t>
        </w:r>
      </w:hyperlink>
      <w:r>
        <w:rPr>
          <w:b/>
          <w:w w:val="99"/>
          <w:sz w:val="21"/>
        </w:rPr>
        <w:t xml:space="preserve"> </w:t>
      </w:r>
    </w:p>
    <w:p w14:paraId="1467AD39" w14:textId="77777777" w:rsidR="00A71EEF" w:rsidRDefault="00A71EEF">
      <w:pPr>
        <w:pStyle w:val="a3"/>
        <w:rPr>
          <w:b/>
          <w:sz w:val="18"/>
        </w:rPr>
      </w:pPr>
    </w:p>
    <w:p w14:paraId="686D123C" w14:textId="77777777" w:rsidR="00A71EEF" w:rsidRDefault="0081115D">
      <w:pPr>
        <w:pStyle w:val="a4"/>
        <w:numPr>
          <w:ilvl w:val="2"/>
          <w:numId w:val="644"/>
        </w:numPr>
        <w:tabs>
          <w:tab w:val="left" w:pos="1371"/>
          <w:tab w:val="left" w:pos="5367"/>
        </w:tabs>
        <w:spacing w:line="446" w:lineRule="auto"/>
        <w:ind w:right="1604" w:firstLine="422"/>
        <w:rPr>
          <w:sz w:val="19"/>
        </w:rPr>
      </w:pPr>
      <w:r>
        <w:rPr>
          <w:spacing w:val="-3"/>
          <w:sz w:val="21"/>
        </w:rPr>
        <w:t>在</w:t>
      </w:r>
      <w:r>
        <w:rPr>
          <w:sz w:val="21"/>
        </w:rPr>
        <w:t>同</w:t>
      </w:r>
      <w:r>
        <w:rPr>
          <w:spacing w:val="-3"/>
          <w:sz w:val="21"/>
        </w:rPr>
        <w:t>一</w:t>
      </w:r>
      <w:r>
        <w:rPr>
          <w:sz w:val="21"/>
        </w:rPr>
        <w:t>灭</w:t>
      </w:r>
      <w:r>
        <w:rPr>
          <w:spacing w:val="-3"/>
          <w:sz w:val="21"/>
        </w:rPr>
        <w:t>火</w:t>
      </w:r>
      <w:r>
        <w:rPr>
          <w:sz w:val="21"/>
        </w:rPr>
        <w:t>器</w:t>
      </w:r>
      <w:r>
        <w:rPr>
          <w:spacing w:val="-3"/>
          <w:sz w:val="21"/>
        </w:rPr>
        <w:t>配置</w:t>
      </w:r>
      <w:r>
        <w:rPr>
          <w:sz w:val="21"/>
        </w:rPr>
        <w:t>场所</w:t>
      </w:r>
      <w:r>
        <w:rPr>
          <w:spacing w:val="-3"/>
          <w:sz w:val="21"/>
        </w:rPr>
        <w:t>，</w:t>
      </w:r>
      <w:r>
        <w:rPr>
          <w:sz w:val="21"/>
        </w:rPr>
        <w:t>宜</w:t>
      </w:r>
      <w:r>
        <w:rPr>
          <w:spacing w:val="-3"/>
          <w:sz w:val="21"/>
        </w:rPr>
        <w:t>选</w:t>
      </w:r>
      <w:r>
        <w:rPr>
          <w:sz w:val="21"/>
        </w:rPr>
        <w:t>用</w:t>
      </w:r>
      <w:r>
        <w:rPr>
          <w:spacing w:val="-3"/>
          <w:sz w:val="21"/>
        </w:rPr>
        <w:t>相</w:t>
      </w:r>
      <w:r>
        <w:rPr>
          <w:sz w:val="21"/>
        </w:rPr>
        <w:t>同</w:t>
      </w:r>
      <w:r>
        <w:rPr>
          <w:spacing w:val="-3"/>
          <w:sz w:val="21"/>
        </w:rPr>
        <w:t>类</w:t>
      </w:r>
      <w:r>
        <w:rPr>
          <w:sz w:val="21"/>
        </w:rPr>
        <w:t>型</w:t>
      </w:r>
      <w:r>
        <w:rPr>
          <w:spacing w:val="-3"/>
          <w:sz w:val="21"/>
        </w:rPr>
        <w:t>和</w:t>
      </w:r>
      <w:r>
        <w:rPr>
          <w:sz w:val="21"/>
        </w:rPr>
        <w:t>操作</w:t>
      </w:r>
      <w:r>
        <w:rPr>
          <w:spacing w:val="-3"/>
          <w:sz w:val="21"/>
        </w:rPr>
        <w:t>方</w:t>
      </w:r>
      <w:r>
        <w:rPr>
          <w:sz w:val="21"/>
        </w:rPr>
        <w:t>法</w:t>
      </w:r>
      <w:r>
        <w:rPr>
          <w:spacing w:val="-3"/>
          <w:sz w:val="21"/>
        </w:rPr>
        <w:t>的</w:t>
      </w:r>
      <w:r>
        <w:rPr>
          <w:sz w:val="21"/>
        </w:rPr>
        <w:t>灭</w:t>
      </w:r>
      <w:r>
        <w:rPr>
          <w:spacing w:val="-3"/>
          <w:sz w:val="21"/>
        </w:rPr>
        <w:t>火</w:t>
      </w:r>
      <w:r>
        <w:rPr>
          <w:sz w:val="21"/>
        </w:rPr>
        <w:t>器</w:t>
      </w:r>
      <w:r>
        <w:rPr>
          <w:spacing w:val="-3"/>
          <w:sz w:val="21"/>
        </w:rPr>
        <w:t>。</w:t>
      </w:r>
      <w:r>
        <w:rPr>
          <w:sz w:val="21"/>
        </w:rPr>
        <w:t>当</w:t>
      </w:r>
      <w:r>
        <w:rPr>
          <w:spacing w:val="-3"/>
          <w:sz w:val="21"/>
        </w:rPr>
        <w:t>同</w:t>
      </w:r>
      <w:r>
        <w:rPr>
          <w:sz w:val="21"/>
        </w:rPr>
        <w:t>一灭</w:t>
      </w:r>
      <w:r>
        <w:rPr>
          <w:spacing w:val="-3"/>
          <w:sz w:val="21"/>
        </w:rPr>
        <w:t>火</w:t>
      </w:r>
      <w:r>
        <w:rPr>
          <w:sz w:val="21"/>
        </w:rPr>
        <w:t>器</w:t>
      </w:r>
      <w:r>
        <w:rPr>
          <w:spacing w:val="-3"/>
          <w:sz w:val="21"/>
        </w:rPr>
        <w:t>配</w:t>
      </w:r>
      <w:r>
        <w:rPr>
          <w:sz w:val="21"/>
        </w:rPr>
        <w:t>置场所</w:t>
      </w:r>
      <w:r>
        <w:rPr>
          <w:spacing w:val="-3"/>
          <w:sz w:val="21"/>
        </w:rPr>
        <w:t>存</w:t>
      </w:r>
      <w:r>
        <w:rPr>
          <w:sz w:val="21"/>
        </w:rPr>
        <w:t>在</w:t>
      </w:r>
      <w:r>
        <w:rPr>
          <w:spacing w:val="-3"/>
          <w:sz w:val="21"/>
        </w:rPr>
        <w:t>不</w:t>
      </w:r>
      <w:r>
        <w:rPr>
          <w:sz w:val="21"/>
        </w:rPr>
        <w:t>同</w:t>
      </w:r>
      <w:r>
        <w:rPr>
          <w:spacing w:val="-3"/>
          <w:sz w:val="21"/>
        </w:rPr>
        <w:t>火</w:t>
      </w:r>
      <w:r>
        <w:rPr>
          <w:sz w:val="21"/>
        </w:rPr>
        <w:t>灾</w:t>
      </w:r>
      <w:r>
        <w:rPr>
          <w:spacing w:val="-3"/>
          <w:sz w:val="21"/>
        </w:rPr>
        <w:t>种</w:t>
      </w:r>
      <w:r>
        <w:rPr>
          <w:sz w:val="21"/>
        </w:rPr>
        <w:t>类</w:t>
      </w:r>
      <w:r>
        <w:rPr>
          <w:spacing w:val="-3"/>
          <w:sz w:val="21"/>
        </w:rPr>
        <w:t>时</w:t>
      </w:r>
      <w:r>
        <w:rPr>
          <w:sz w:val="21"/>
        </w:rPr>
        <w:t>，应</w:t>
      </w:r>
      <w:r>
        <w:rPr>
          <w:spacing w:val="-3"/>
          <w:sz w:val="21"/>
        </w:rPr>
        <w:t>选</w:t>
      </w:r>
      <w:r>
        <w:rPr>
          <w:sz w:val="21"/>
        </w:rPr>
        <w:t>用</w:t>
      </w:r>
      <w:r>
        <w:rPr>
          <w:spacing w:val="-3"/>
          <w:sz w:val="21"/>
        </w:rPr>
        <w:t>通</w:t>
      </w:r>
      <w:r>
        <w:rPr>
          <w:sz w:val="21"/>
        </w:rPr>
        <w:t>用</w:t>
      </w:r>
      <w:r>
        <w:rPr>
          <w:spacing w:val="-3"/>
          <w:sz w:val="21"/>
        </w:rPr>
        <w:t>型</w:t>
      </w:r>
      <w:r>
        <w:rPr>
          <w:sz w:val="21"/>
        </w:rPr>
        <w:t>灭</w:t>
      </w:r>
      <w:r>
        <w:rPr>
          <w:spacing w:val="-3"/>
          <w:sz w:val="21"/>
        </w:rPr>
        <w:t>火</w:t>
      </w:r>
      <w:r>
        <w:rPr>
          <w:sz w:val="21"/>
        </w:rPr>
        <w:t>器</w:t>
      </w:r>
      <w:r>
        <w:rPr>
          <w:spacing w:val="-3"/>
          <w:sz w:val="21"/>
        </w:rPr>
        <w:t>。</w:t>
      </w:r>
      <w:r>
        <w:rPr>
          <w:sz w:val="21"/>
        </w:rPr>
        <w:t xml:space="preserve"> </w:t>
      </w:r>
      <w:r>
        <w:rPr>
          <w:sz w:val="21"/>
        </w:rPr>
        <w:tab/>
      </w:r>
      <w:hyperlink r:id="rId185" w:anchor="412">
        <w:r>
          <w:rPr>
            <w:sz w:val="21"/>
          </w:rPr>
          <w:t xml:space="preserve"> </w:t>
        </w:r>
      </w:hyperlink>
      <w:r>
        <w:rPr>
          <w:sz w:val="21"/>
        </w:rPr>
        <w:t xml:space="preserve"> </w:t>
      </w:r>
    </w:p>
    <w:p w14:paraId="3B618048" w14:textId="77777777" w:rsidR="00A71EEF" w:rsidRDefault="0081115D">
      <w:pPr>
        <w:pStyle w:val="a4"/>
        <w:numPr>
          <w:ilvl w:val="2"/>
          <w:numId w:val="644"/>
        </w:numPr>
        <w:tabs>
          <w:tab w:val="left" w:pos="1370"/>
        </w:tabs>
        <w:spacing w:line="446" w:lineRule="auto"/>
        <w:ind w:right="1604" w:firstLine="422"/>
        <w:rPr>
          <w:sz w:val="19"/>
        </w:rPr>
      </w:pPr>
      <w:r>
        <w:rPr>
          <w:spacing w:val="-3"/>
          <w:sz w:val="21"/>
        </w:rPr>
        <w:t>在同一灭火器配置场所，当选用两种或两种以上类型灭火器时，应采用灭火剂相容的灭火器。</w:t>
      </w:r>
      <w:r>
        <w:rPr>
          <w:sz w:val="21"/>
        </w:rPr>
        <w:t xml:space="preserve"> </w:t>
      </w:r>
    </w:p>
    <w:p w14:paraId="268326FF" w14:textId="77777777" w:rsidR="00A71EEF" w:rsidRDefault="0081115D">
      <w:pPr>
        <w:pStyle w:val="a4"/>
        <w:numPr>
          <w:ilvl w:val="2"/>
          <w:numId w:val="644"/>
        </w:numPr>
        <w:tabs>
          <w:tab w:val="left" w:pos="1370"/>
        </w:tabs>
        <w:spacing w:line="267" w:lineRule="exact"/>
        <w:ind w:left="1369" w:hanging="530"/>
        <w:rPr>
          <w:sz w:val="19"/>
        </w:rPr>
      </w:pPr>
      <w:r>
        <w:rPr>
          <w:spacing w:val="-3"/>
          <w:sz w:val="21"/>
        </w:rPr>
        <w:t>不相容的灭火剂举例见本规范附录</w:t>
      </w:r>
      <w:r>
        <w:rPr>
          <w:spacing w:val="-3"/>
          <w:sz w:val="21"/>
        </w:rPr>
        <w:t xml:space="preserve"> </w:t>
      </w:r>
      <w:r>
        <w:rPr>
          <w:sz w:val="21"/>
        </w:rPr>
        <w:t>E</w:t>
      </w:r>
      <w:r>
        <w:rPr>
          <w:spacing w:val="-3"/>
          <w:sz w:val="21"/>
        </w:rPr>
        <w:t xml:space="preserve"> </w:t>
      </w:r>
      <w:r>
        <w:rPr>
          <w:spacing w:val="-3"/>
          <w:sz w:val="21"/>
        </w:rPr>
        <w:t>的规定。</w:t>
      </w:r>
      <w:r>
        <w:rPr>
          <w:spacing w:val="-3"/>
          <w:sz w:val="21"/>
        </w:rPr>
        <w:t xml:space="preserve"> </w:t>
      </w:r>
    </w:p>
    <w:p w14:paraId="107BBA24" w14:textId="77777777" w:rsidR="00A71EEF" w:rsidRDefault="00A71EEF">
      <w:pPr>
        <w:pStyle w:val="a3"/>
        <w:spacing w:before="2"/>
        <w:rPr>
          <w:sz w:val="18"/>
        </w:rPr>
      </w:pPr>
    </w:p>
    <w:p w14:paraId="75A09EB6" w14:textId="77777777" w:rsidR="00A71EEF" w:rsidRDefault="0081115D">
      <w:pPr>
        <w:pStyle w:val="a4"/>
        <w:numPr>
          <w:ilvl w:val="1"/>
          <w:numId w:val="644"/>
        </w:numPr>
        <w:tabs>
          <w:tab w:val="left" w:pos="1159"/>
        </w:tabs>
        <w:ind w:hanging="319"/>
        <w:rPr>
          <w:sz w:val="21"/>
        </w:rPr>
      </w:pPr>
      <w:r>
        <w:rPr>
          <w:spacing w:val="-3"/>
          <w:sz w:val="21"/>
        </w:rPr>
        <w:t>灭火器的类型选择</w:t>
      </w:r>
      <w:r>
        <w:rPr>
          <w:sz w:val="21"/>
        </w:rPr>
        <w:t xml:space="preserve"> </w:t>
      </w:r>
    </w:p>
    <w:p w14:paraId="2DF5AFB1" w14:textId="77777777" w:rsidR="00A71EEF" w:rsidRDefault="00A71EEF">
      <w:pPr>
        <w:pStyle w:val="a3"/>
        <w:rPr>
          <w:sz w:val="18"/>
        </w:rPr>
      </w:pPr>
    </w:p>
    <w:p w14:paraId="4561F1A4" w14:textId="77777777" w:rsidR="00A71EEF" w:rsidRDefault="0081115D">
      <w:pPr>
        <w:pStyle w:val="a4"/>
        <w:numPr>
          <w:ilvl w:val="2"/>
          <w:numId w:val="644"/>
        </w:numPr>
        <w:tabs>
          <w:tab w:val="left" w:pos="1367"/>
        </w:tabs>
        <w:spacing w:line="446" w:lineRule="auto"/>
        <w:ind w:right="1609" w:firstLine="419"/>
        <w:rPr>
          <w:sz w:val="19"/>
        </w:rPr>
      </w:pPr>
      <w:r>
        <w:rPr>
          <w:sz w:val="21"/>
        </w:rPr>
        <w:t>A</w:t>
      </w:r>
      <w:r>
        <w:rPr>
          <w:spacing w:val="-3"/>
          <w:sz w:val="21"/>
        </w:rPr>
        <w:t xml:space="preserve"> </w:t>
      </w:r>
      <w:r>
        <w:rPr>
          <w:spacing w:val="-3"/>
          <w:sz w:val="21"/>
        </w:rPr>
        <w:t>类火灾场所应选择水型灭火器、磷酸铵盐干粉灭火器、泡沫灭火器或卤代烷灭火器。</w:t>
      </w:r>
      <w:r>
        <w:rPr>
          <w:sz w:val="21"/>
        </w:rPr>
        <w:t xml:space="preserve"> </w:t>
      </w:r>
    </w:p>
    <w:p w14:paraId="59800056" w14:textId="77777777" w:rsidR="00A71EEF" w:rsidRDefault="0081115D">
      <w:pPr>
        <w:pStyle w:val="a4"/>
        <w:numPr>
          <w:ilvl w:val="2"/>
          <w:numId w:val="644"/>
        </w:numPr>
        <w:tabs>
          <w:tab w:val="left" w:pos="1367"/>
          <w:tab w:val="left" w:pos="6298"/>
        </w:tabs>
        <w:spacing w:line="446" w:lineRule="auto"/>
        <w:ind w:right="1609" w:firstLine="419"/>
        <w:rPr>
          <w:sz w:val="19"/>
        </w:rPr>
      </w:pPr>
      <w:r>
        <w:rPr>
          <w:sz w:val="21"/>
        </w:rPr>
        <w:t>B</w:t>
      </w:r>
      <w:r>
        <w:rPr>
          <w:spacing w:val="19"/>
          <w:sz w:val="21"/>
        </w:rPr>
        <w:t xml:space="preserve"> </w:t>
      </w:r>
      <w:r>
        <w:rPr>
          <w:spacing w:val="-3"/>
          <w:sz w:val="21"/>
        </w:rPr>
        <w:t>类</w:t>
      </w:r>
      <w:r>
        <w:rPr>
          <w:sz w:val="21"/>
        </w:rPr>
        <w:t>火</w:t>
      </w:r>
      <w:r>
        <w:rPr>
          <w:spacing w:val="-3"/>
          <w:sz w:val="21"/>
        </w:rPr>
        <w:t>灾</w:t>
      </w:r>
      <w:r>
        <w:rPr>
          <w:sz w:val="21"/>
        </w:rPr>
        <w:t>场</w:t>
      </w:r>
      <w:r>
        <w:rPr>
          <w:spacing w:val="-3"/>
          <w:sz w:val="21"/>
        </w:rPr>
        <w:t>所</w:t>
      </w:r>
      <w:r>
        <w:rPr>
          <w:sz w:val="21"/>
        </w:rPr>
        <w:t>应</w:t>
      </w:r>
      <w:r>
        <w:rPr>
          <w:spacing w:val="-3"/>
          <w:sz w:val="21"/>
        </w:rPr>
        <w:t>选</w:t>
      </w:r>
      <w:r>
        <w:rPr>
          <w:sz w:val="21"/>
        </w:rPr>
        <w:t>择泡</w:t>
      </w:r>
      <w:r>
        <w:rPr>
          <w:spacing w:val="-3"/>
          <w:sz w:val="21"/>
        </w:rPr>
        <w:t>沫</w:t>
      </w:r>
      <w:r>
        <w:rPr>
          <w:sz w:val="21"/>
        </w:rPr>
        <w:t>灭</w:t>
      </w:r>
      <w:r>
        <w:rPr>
          <w:spacing w:val="-3"/>
          <w:sz w:val="21"/>
        </w:rPr>
        <w:t>火</w:t>
      </w:r>
      <w:r>
        <w:rPr>
          <w:sz w:val="21"/>
        </w:rPr>
        <w:t>器</w:t>
      </w:r>
      <w:r>
        <w:rPr>
          <w:spacing w:val="-3"/>
          <w:sz w:val="21"/>
        </w:rPr>
        <w:t>、</w:t>
      </w:r>
      <w:r>
        <w:rPr>
          <w:sz w:val="21"/>
        </w:rPr>
        <w:t>碳</w:t>
      </w:r>
      <w:r>
        <w:rPr>
          <w:spacing w:val="-3"/>
          <w:sz w:val="21"/>
        </w:rPr>
        <w:t>酸</w:t>
      </w:r>
      <w:r>
        <w:rPr>
          <w:sz w:val="21"/>
        </w:rPr>
        <w:t>氢</w:t>
      </w:r>
      <w:r>
        <w:rPr>
          <w:spacing w:val="-3"/>
          <w:sz w:val="21"/>
        </w:rPr>
        <w:t>钠</w:t>
      </w:r>
      <w:r>
        <w:rPr>
          <w:sz w:val="21"/>
        </w:rPr>
        <w:t>干粉</w:t>
      </w:r>
      <w:r>
        <w:rPr>
          <w:spacing w:val="-3"/>
          <w:sz w:val="21"/>
        </w:rPr>
        <w:t>灭</w:t>
      </w:r>
      <w:r>
        <w:rPr>
          <w:sz w:val="21"/>
        </w:rPr>
        <w:t>火</w:t>
      </w:r>
      <w:r>
        <w:rPr>
          <w:spacing w:val="-3"/>
          <w:sz w:val="21"/>
        </w:rPr>
        <w:t>器</w:t>
      </w:r>
      <w:r>
        <w:rPr>
          <w:sz w:val="21"/>
        </w:rPr>
        <w:t>、</w:t>
      </w:r>
      <w:r>
        <w:rPr>
          <w:spacing w:val="-3"/>
          <w:sz w:val="21"/>
        </w:rPr>
        <w:t>磷</w:t>
      </w:r>
      <w:r>
        <w:rPr>
          <w:sz w:val="21"/>
        </w:rPr>
        <w:t>酸</w:t>
      </w:r>
      <w:r>
        <w:rPr>
          <w:spacing w:val="-3"/>
          <w:sz w:val="21"/>
        </w:rPr>
        <w:t>铵</w:t>
      </w:r>
      <w:r>
        <w:rPr>
          <w:sz w:val="21"/>
        </w:rPr>
        <w:t>盐</w:t>
      </w:r>
      <w:r>
        <w:rPr>
          <w:spacing w:val="-3"/>
          <w:sz w:val="21"/>
        </w:rPr>
        <w:t>干</w:t>
      </w:r>
      <w:r>
        <w:rPr>
          <w:sz w:val="21"/>
        </w:rPr>
        <w:t>粉灭</w:t>
      </w:r>
      <w:r>
        <w:rPr>
          <w:spacing w:val="-3"/>
          <w:sz w:val="21"/>
        </w:rPr>
        <w:t>火</w:t>
      </w:r>
      <w:r>
        <w:rPr>
          <w:sz w:val="21"/>
        </w:rPr>
        <w:t>器</w:t>
      </w:r>
      <w:r>
        <w:rPr>
          <w:spacing w:val="-3"/>
          <w:sz w:val="21"/>
        </w:rPr>
        <w:t>、</w:t>
      </w:r>
      <w:r>
        <w:rPr>
          <w:sz w:val="21"/>
        </w:rPr>
        <w:t>二氧化</w:t>
      </w:r>
      <w:r>
        <w:rPr>
          <w:spacing w:val="-3"/>
          <w:sz w:val="21"/>
        </w:rPr>
        <w:t>碳</w:t>
      </w:r>
      <w:r>
        <w:rPr>
          <w:sz w:val="21"/>
        </w:rPr>
        <w:t>灭</w:t>
      </w:r>
      <w:r>
        <w:rPr>
          <w:spacing w:val="-3"/>
          <w:sz w:val="21"/>
        </w:rPr>
        <w:t>火</w:t>
      </w:r>
      <w:r>
        <w:rPr>
          <w:sz w:val="21"/>
        </w:rPr>
        <w:t>器</w:t>
      </w:r>
      <w:r>
        <w:rPr>
          <w:spacing w:val="-3"/>
          <w:sz w:val="21"/>
        </w:rPr>
        <w:t>、</w:t>
      </w:r>
      <w:r>
        <w:rPr>
          <w:sz w:val="21"/>
        </w:rPr>
        <w:t>灭</w:t>
      </w:r>
      <w:r>
        <w:rPr>
          <w:spacing w:val="15"/>
          <w:sz w:val="21"/>
        </w:rPr>
        <w:t xml:space="preserve"> </w:t>
      </w:r>
      <w:r>
        <w:rPr>
          <w:spacing w:val="-3"/>
          <w:sz w:val="21"/>
        </w:rPr>
        <w:t>B</w:t>
      </w:r>
      <w:r>
        <w:rPr>
          <w:spacing w:val="15"/>
          <w:sz w:val="21"/>
        </w:rPr>
        <w:t xml:space="preserve"> </w:t>
      </w:r>
      <w:r>
        <w:rPr>
          <w:spacing w:val="-3"/>
          <w:sz w:val="21"/>
        </w:rPr>
        <w:t>类火</w:t>
      </w:r>
      <w:r>
        <w:rPr>
          <w:sz w:val="21"/>
        </w:rPr>
        <w:t>灾的</w:t>
      </w:r>
      <w:r>
        <w:rPr>
          <w:spacing w:val="-3"/>
          <w:sz w:val="21"/>
        </w:rPr>
        <w:t>水</w:t>
      </w:r>
      <w:r>
        <w:rPr>
          <w:sz w:val="21"/>
        </w:rPr>
        <w:t>型</w:t>
      </w:r>
      <w:r>
        <w:rPr>
          <w:spacing w:val="-3"/>
          <w:sz w:val="21"/>
        </w:rPr>
        <w:t>灭</w:t>
      </w:r>
      <w:r>
        <w:rPr>
          <w:sz w:val="21"/>
        </w:rPr>
        <w:t>火</w:t>
      </w:r>
      <w:r>
        <w:rPr>
          <w:spacing w:val="-3"/>
          <w:sz w:val="21"/>
        </w:rPr>
        <w:t>器</w:t>
      </w:r>
      <w:r>
        <w:rPr>
          <w:sz w:val="21"/>
        </w:rPr>
        <w:t>或</w:t>
      </w:r>
      <w:r>
        <w:rPr>
          <w:spacing w:val="-3"/>
          <w:sz w:val="21"/>
        </w:rPr>
        <w:t>卤</w:t>
      </w:r>
      <w:r>
        <w:rPr>
          <w:sz w:val="21"/>
        </w:rPr>
        <w:t>代</w:t>
      </w:r>
      <w:r>
        <w:rPr>
          <w:spacing w:val="-3"/>
          <w:sz w:val="21"/>
        </w:rPr>
        <w:t>烷</w:t>
      </w:r>
      <w:r>
        <w:rPr>
          <w:sz w:val="21"/>
        </w:rPr>
        <w:t>灭火</w:t>
      </w:r>
      <w:r>
        <w:rPr>
          <w:spacing w:val="-3"/>
          <w:sz w:val="21"/>
        </w:rPr>
        <w:t>器。</w:t>
      </w:r>
      <w:r>
        <w:rPr>
          <w:sz w:val="21"/>
        </w:rPr>
        <w:t xml:space="preserve"> </w:t>
      </w:r>
      <w:r>
        <w:rPr>
          <w:sz w:val="21"/>
        </w:rPr>
        <w:tab/>
      </w:r>
      <w:hyperlink r:id="rId186" w:anchor="421">
        <w:r>
          <w:rPr>
            <w:sz w:val="21"/>
          </w:rPr>
          <w:t xml:space="preserve"> </w:t>
        </w:r>
      </w:hyperlink>
      <w:r>
        <w:rPr>
          <w:sz w:val="21"/>
        </w:rPr>
        <w:t xml:space="preserve"> </w:t>
      </w:r>
    </w:p>
    <w:p w14:paraId="1E99C254" w14:textId="77777777" w:rsidR="00A71EEF" w:rsidRDefault="0081115D">
      <w:pPr>
        <w:pStyle w:val="a3"/>
        <w:spacing w:line="267" w:lineRule="exact"/>
        <w:ind w:left="838"/>
      </w:pPr>
      <w:r>
        <w:t>极性溶剂的</w:t>
      </w:r>
      <w:r>
        <w:t xml:space="preserve"> B </w:t>
      </w:r>
      <w:r>
        <w:t>类火灾场所应选择灭</w:t>
      </w:r>
      <w:r>
        <w:t xml:space="preserve"> B </w:t>
      </w:r>
      <w:r>
        <w:t>类火灾的抗溶性灭火器。</w:t>
      </w:r>
      <w:r>
        <w:t xml:space="preserve"> </w:t>
      </w:r>
    </w:p>
    <w:p w14:paraId="0BC0D740" w14:textId="77777777" w:rsidR="00A71EEF" w:rsidRDefault="00A71EEF">
      <w:pPr>
        <w:pStyle w:val="a3"/>
        <w:spacing w:before="2"/>
        <w:rPr>
          <w:sz w:val="18"/>
        </w:rPr>
      </w:pPr>
    </w:p>
    <w:p w14:paraId="000E77B6" w14:textId="77777777" w:rsidR="00A71EEF" w:rsidRDefault="0081115D">
      <w:pPr>
        <w:pStyle w:val="a4"/>
        <w:numPr>
          <w:ilvl w:val="2"/>
          <w:numId w:val="644"/>
        </w:numPr>
        <w:tabs>
          <w:tab w:val="left" w:pos="1367"/>
          <w:tab w:val="left" w:pos="5367"/>
        </w:tabs>
        <w:spacing w:line="446" w:lineRule="auto"/>
        <w:ind w:right="1609" w:firstLine="419"/>
        <w:rPr>
          <w:sz w:val="19"/>
        </w:rPr>
      </w:pPr>
      <w:r>
        <w:rPr>
          <w:sz w:val="21"/>
        </w:rPr>
        <w:t>C</w:t>
      </w:r>
      <w:r>
        <w:rPr>
          <w:spacing w:val="19"/>
          <w:sz w:val="21"/>
        </w:rPr>
        <w:t xml:space="preserve"> </w:t>
      </w:r>
      <w:r>
        <w:rPr>
          <w:spacing w:val="-3"/>
          <w:sz w:val="21"/>
        </w:rPr>
        <w:t>类</w:t>
      </w:r>
      <w:r>
        <w:rPr>
          <w:sz w:val="21"/>
        </w:rPr>
        <w:t>火</w:t>
      </w:r>
      <w:r>
        <w:rPr>
          <w:spacing w:val="-3"/>
          <w:sz w:val="21"/>
        </w:rPr>
        <w:t>灾</w:t>
      </w:r>
      <w:r>
        <w:rPr>
          <w:sz w:val="21"/>
        </w:rPr>
        <w:t>场</w:t>
      </w:r>
      <w:r>
        <w:rPr>
          <w:spacing w:val="-3"/>
          <w:sz w:val="21"/>
        </w:rPr>
        <w:t>所</w:t>
      </w:r>
      <w:r>
        <w:rPr>
          <w:sz w:val="21"/>
        </w:rPr>
        <w:t>应</w:t>
      </w:r>
      <w:r>
        <w:rPr>
          <w:spacing w:val="-3"/>
          <w:sz w:val="21"/>
        </w:rPr>
        <w:t>选</w:t>
      </w:r>
      <w:r>
        <w:rPr>
          <w:sz w:val="21"/>
        </w:rPr>
        <w:t>择磷</w:t>
      </w:r>
      <w:r>
        <w:rPr>
          <w:spacing w:val="-3"/>
          <w:sz w:val="21"/>
        </w:rPr>
        <w:t>酸</w:t>
      </w:r>
      <w:r>
        <w:rPr>
          <w:sz w:val="21"/>
        </w:rPr>
        <w:t>铵</w:t>
      </w:r>
      <w:r>
        <w:rPr>
          <w:spacing w:val="-3"/>
          <w:sz w:val="21"/>
        </w:rPr>
        <w:t>盐</w:t>
      </w:r>
      <w:r>
        <w:rPr>
          <w:sz w:val="21"/>
        </w:rPr>
        <w:t>干</w:t>
      </w:r>
      <w:r>
        <w:rPr>
          <w:spacing w:val="-3"/>
          <w:sz w:val="21"/>
        </w:rPr>
        <w:t>粉</w:t>
      </w:r>
      <w:r>
        <w:rPr>
          <w:sz w:val="21"/>
        </w:rPr>
        <w:t>灭</w:t>
      </w:r>
      <w:r>
        <w:rPr>
          <w:spacing w:val="-3"/>
          <w:sz w:val="21"/>
        </w:rPr>
        <w:t>火</w:t>
      </w:r>
      <w:r>
        <w:rPr>
          <w:sz w:val="21"/>
        </w:rPr>
        <w:t>器</w:t>
      </w:r>
      <w:r>
        <w:rPr>
          <w:spacing w:val="-3"/>
          <w:sz w:val="21"/>
        </w:rPr>
        <w:t>、</w:t>
      </w:r>
      <w:r>
        <w:rPr>
          <w:sz w:val="21"/>
        </w:rPr>
        <w:t>碳酸</w:t>
      </w:r>
      <w:r>
        <w:rPr>
          <w:spacing w:val="-3"/>
          <w:sz w:val="21"/>
        </w:rPr>
        <w:t>氢</w:t>
      </w:r>
      <w:r>
        <w:rPr>
          <w:sz w:val="21"/>
        </w:rPr>
        <w:t>钠</w:t>
      </w:r>
      <w:r>
        <w:rPr>
          <w:spacing w:val="-3"/>
          <w:sz w:val="21"/>
        </w:rPr>
        <w:t>干</w:t>
      </w:r>
      <w:r>
        <w:rPr>
          <w:sz w:val="21"/>
        </w:rPr>
        <w:t>粉</w:t>
      </w:r>
      <w:r>
        <w:rPr>
          <w:spacing w:val="-3"/>
          <w:sz w:val="21"/>
        </w:rPr>
        <w:t>灭</w:t>
      </w:r>
      <w:r>
        <w:rPr>
          <w:sz w:val="21"/>
        </w:rPr>
        <w:t>火</w:t>
      </w:r>
      <w:r>
        <w:rPr>
          <w:spacing w:val="-3"/>
          <w:sz w:val="21"/>
        </w:rPr>
        <w:t>器</w:t>
      </w:r>
      <w:r>
        <w:rPr>
          <w:sz w:val="21"/>
        </w:rPr>
        <w:t>、</w:t>
      </w:r>
      <w:r>
        <w:rPr>
          <w:spacing w:val="-3"/>
          <w:sz w:val="21"/>
        </w:rPr>
        <w:t>二</w:t>
      </w:r>
      <w:r>
        <w:rPr>
          <w:sz w:val="21"/>
        </w:rPr>
        <w:t>氧化</w:t>
      </w:r>
      <w:r>
        <w:rPr>
          <w:spacing w:val="-3"/>
          <w:sz w:val="21"/>
        </w:rPr>
        <w:t>碳</w:t>
      </w:r>
      <w:r>
        <w:rPr>
          <w:sz w:val="21"/>
        </w:rPr>
        <w:t>灭</w:t>
      </w:r>
      <w:r>
        <w:rPr>
          <w:spacing w:val="-3"/>
          <w:sz w:val="21"/>
        </w:rPr>
        <w:t>火</w:t>
      </w:r>
      <w:r>
        <w:rPr>
          <w:sz w:val="21"/>
        </w:rPr>
        <w:t>器或卤</w:t>
      </w:r>
      <w:r>
        <w:rPr>
          <w:spacing w:val="-3"/>
          <w:sz w:val="21"/>
        </w:rPr>
        <w:t>代</w:t>
      </w:r>
      <w:r>
        <w:rPr>
          <w:sz w:val="21"/>
        </w:rPr>
        <w:t>烷</w:t>
      </w:r>
      <w:r>
        <w:rPr>
          <w:spacing w:val="-3"/>
          <w:sz w:val="21"/>
        </w:rPr>
        <w:t>灭</w:t>
      </w:r>
      <w:r>
        <w:rPr>
          <w:spacing w:val="10"/>
          <w:sz w:val="21"/>
        </w:rPr>
        <w:t xml:space="preserve"> </w:t>
      </w:r>
      <w:r>
        <w:rPr>
          <w:spacing w:val="-3"/>
          <w:sz w:val="21"/>
        </w:rPr>
        <w:t>火</w:t>
      </w:r>
      <w:r>
        <w:rPr>
          <w:sz w:val="21"/>
        </w:rPr>
        <w:t>器</w:t>
      </w:r>
      <w:r>
        <w:rPr>
          <w:spacing w:val="-3"/>
          <w:sz w:val="21"/>
        </w:rPr>
        <w:t>。</w:t>
      </w:r>
      <w:r>
        <w:rPr>
          <w:sz w:val="21"/>
        </w:rPr>
        <w:t xml:space="preserve"> </w:t>
      </w:r>
      <w:r>
        <w:rPr>
          <w:sz w:val="21"/>
        </w:rPr>
        <w:tab/>
      </w:r>
      <w:hyperlink r:id="rId187" w:anchor="421">
        <w:r>
          <w:rPr>
            <w:sz w:val="21"/>
          </w:rPr>
          <w:t xml:space="preserve"> </w:t>
        </w:r>
      </w:hyperlink>
      <w:r>
        <w:rPr>
          <w:sz w:val="21"/>
        </w:rPr>
        <w:t xml:space="preserve"> </w:t>
      </w:r>
    </w:p>
    <w:p w14:paraId="46134334" w14:textId="77777777" w:rsidR="00A71EEF" w:rsidRDefault="0081115D">
      <w:pPr>
        <w:pStyle w:val="a4"/>
        <w:numPr>
          <w:ilvl w:val="2"/>
          <w:numId w:val="644"/>
        </w:numPr>
        <w:tabs>
          <w:tab w:val="left" w:pos="1367"/>
        </w:tabs>
        <w:spacing w:line="267" w:lineRule="exact"/>
        <w:ind w:left="1367"/>
        <w:rPr>
          <w:sz w:val="19"/>
        </w:rPr>
      </w:pPr>
      <w:r>
        <w:rPr>
          <w:sz w:val="21"/>
        </w:rPr>
        <w:t>D</w:t>
      </w:r>
      <w:r>
        <w:rPr>
          <w:spacing w:val="-3"/>
          <w:sz w:val="21"/>
        </w:rPr>
        <w:t xml:space="preserve"> </w:t>
      </w:r>
      <w:r>
        <w:rPr>
          <w:spacing w:val="-3"/>
          <w:sz w:val="21"/>
        </w:rPr>
        <w:t>类火灾场所应选择扑灭金属火灾的专用灭火器。</w:t>
      </w:r>
      <w:r>
        <w:rPr>
          <w:sz w:val="21"/>
        </w:rPr>
        <w:t xml:space="preserve"> </w:t>
      </w:r>
      <w:r>
        <w:rPr>
          <w:spacing w:val="-5"/>
          <w:sz w:val="21"/>
        </w:rPr>
        <w:t xml:space="preserve"> </w:t>
      </w:r>
      <w:hyperlink r:id="rId188" w:anchor="421">
        <w:r>
          <w:rPr>
            <w:sz w:val="21"/>
          </w:rPr>
          <w:t xml:space="preserve"> </w:t>
        </w:r>
      </w:hyperlink>
      <w:r>
        <w:rPr>
          <w:sz w:val="21"/>
        </w:rPr>
        <w:t xml:space="preserve"> </w:t>
      </w:r>
    </w:p>
    <w:p w14:paraId="6C0603AC" w14:textId="77777777" w:rsidR="00A71EEF" w:rsidRDefault="00A71EEF">
      <w:pPr>
        <w:pStyle w:val="a3"/>
        <w:spacing w:before="2"/>
        <w:rPr>
          <w:sz w:val="18"/>
        </w:rPr>
      </w:pPr>
    </w:p>
    <w:p w14:paraId="3DC7C689" w14:textId="77777777" w:rsidR="00A71EEF" w:rsidRDefault="0081115D">
      <w:pPr>
        <w:pStyle w:val="a4"/>
        <w:numPr>
          <w:ilvl w:val="2"/>
          <w:numId w:val="644"/>
        </w:numPr>
        <w:tabs>
          <w:tab w:val="left" w:pos="1367"/>
          <w:tab w:val="left" w:pos="7138"/>
        </w:tabs>
        <w:spacing w:line="446" w:lineRule="auto"/>
        <w:ind w:right="1609" w:firstLine="419"/>
        <w:rPr>
          <w:sz w:val="19"/>
        </w:rPr>
      </w:pPr>
      <w:r>
        <w:rPr>
          <w:sz w:val="21"/>
        </w:rPr>
        <w:t>E</w:t>
      </w:r>
      <w:r>
        <w:rPr>
          <w:spacing w:val="19"/>
          <w:sz w:val="21"/>
        </w:rPr>
        <w:t xml:space="preserve"> </w:t>
      </w:r>
      <w:r>
        <w:rPr>
          <w:spacing w:val="-3"/>
          <w:sz w:val="21"/>
        </w:rPr>
        <w:t>类</w:t>
      </w:r>
      <w:r>
        <w:rPr>
          <w:sz w:val="21"/>
        </w:rPr>
        <w:t>火</w:t>
      </w:r>
      <w:r>
        <w:rPr>
          <w:spacing w:val="-3"/>
          <w:sz w:val="21"/>
        </w:rPr>
        <w:t>灾</w:t>
      </w:r>
      <w:r>
        <w:rPr>
          <w:sz w:val="21"/>
        </w:rPr>
        <w:t>场</w:t>
      </w:r>
      <w:r>
        <w:rPr>
          <w:spacing w:val="-3"/>
          <w:sz w:val="21"/>
        </w:rPr>
        <w:t>所</w:t>
      </w:r>
      <w:r>
        <w:rPr>
          <w:sz w:val="21"/>
        </w:rPr>
        <w:t>应</w:t>
      </w:r>
      <w:r>
        <w:rPr>
          <w:spacing w:val="-3"/>
          <w:sz w:val="21"/>
        </w:rPr>
        <w:t>选</w:t>
      </w:r>
      <w:r>
        <w:rPr>
          <w:sz w:val="21"/>
        </w:rPr>
        <w:t>择磷</w:t>
      </w:r>
      <w:r>
        <w:rPr>
          <w:spacing w:val="-3"/>
          <w:sz w:val="21"/>
        </w:rPr>
        <w:t>酸</w:t>
      </w:r>
      <w:r>
        <w:rPr>
          <w:sz w:val="21"/>
        </w:rPr>
        <w:t>铵</w:t>
      </w:r>
      <w:r>
        <w:rPr>
          <w:spacing w:val="-3"/>
          <w:sz w:val="21"/>
        </w:rPr>
        <w:t>盐</w:t>
      </w:r>
      <w:r>
        <w:rPr>
          <w:sz w:val="21"/>
        </w:rPr>
        <w:t>干</w:t>
      </w:r>
      <w:r>
        <w:rPr>
          <w:spacing w:val="-3"/>
          <w:sz w:val="21"/>
        </w:rPr>
        <w:t>粉</w:t>
      </w:r>
      <w:r>
        <w:rPr>
          <w:sz w:val="21"/>
        </w:rPr>
        <w:t>灭</w:t>
      </w:r>
      <w:r>
        <w:rPr>
          <w:spacing w:val="-3"/>
          <w:sz w:val="21"/>
        </w:rPr>
        <w:t>火</w:t>
      </w:r>
      <w:r>
        <w:rPr>
          <w:sz w:val="21"/>
        </w:rPr>
        <w:t>器</w:t>
      </w:r>
      <w:r>
        <w:rPr>
          <w:spacing w:val="-3"/>
          <w:sz w:val="21"/>
        </w:rPr>
        <w:t>、</w:t>
      </w:r>
      <w:r>
        <w:rPr>
          <w:sz w:val="21"/>
        </w:rPr>
        <w:t>碳酸</w:t>
      </w:r>
      <w:r>
        <w:rPr>
          <w:spacing w:val="-3"/>
          <w:sz w:val="21"/>
        </w:rPr>
        <w:t>氢</w:t>
      </w:r>
      <w:r>
        <w:rPr>
          <w:sz w:val="21"/>
        </w:rPr>
        <w:t>钠</w:t>
      </w:r>
      <w:r>
        <w:rPr>
          <w:spacing w:val="-3"/>
          <w:sz w:val="21"/>
        </w:rPr>
        <w:t>干</w:t>
      </w:r>
      <w:r>
        <w:rPr>
          <w:sz w:val="21"/>
        </w:rPr>
        <w:t>粉</w:t>
      </w:r>
      <w:r>
        <w:rPr>
          <w:spacing w:val="-3"/>
          <w:sz w:val="21"/>
        </w:rPr>
        <w:t>灭</w:t>
      </w:r>
      <w:r>
        <w:rPr>
          <w:sz w:val="21"/>
        </w:rPr>
        <w:t>火</w:t>
      </w:r>
      <w:r>
        <w:rPr>
          <w:spacing w:val="-3"/>
          <w:sz w:val="21"/>
        </w:rPr>
        <w:t>器</w:t>
      </w:r>
      <w:r>
        <w:rPr>
          <w:sz w:val="21"/>
        </w:rPr>
        <w:t>、</w:t>
      </w:r>
      <w:r>
        <w:rPr>
          <w:spacing w:val="-3"/>
          <w:sz w:val="21"/>
        </w:rPr>
        <w:t>卤</w:t>
      </w:r>
      <w:r>
        <w:rPr>
          <w:sz w:val="21"/>
        </w:rPr>
        <w:t>代烷</w:t>
      </w:r>
      <w:r>
        <w:rPr>
          <w:spacing w:val="-3"/>
          <w:sz w:val="21"/>
        </w:rPr>
        <w:t>灭</w:t>
      </w:r>
      <w:r>
        <w:rPr>
          <w:sz w:val="21"/>
        </w:rPr>
        <w:t>火</w:t>
      </w:r>
      <w:r>
        <w:rPr>
          <w:spacing w:val="-3"/>
          <w:sz w:val="21"/>
        </w:rPr>
        <w:t>器</w:t>
      </w:r>
      <w:r>
        <w:rPr>
          <w:sz w:val="21"/>
        </w:rPr>
        <w:t>或二氧</w:t>
      </w:r>
      <w:r>
        <w:rPr>
          <w:spacing w:val="-3"/>
          <w:sz w:val="21"/>
        </w:rPr>
        <w:t>化</w:t>
      </w:r>
      <w:r>
        <w:rPr>
          <w:sz w:val="21"/>
        </w:rPr>
        <w:t>碳</w:t>
      </w:r>
      <w:r>
        <w:rPr>
          <w:spacing w:val="-3"/>
          <w:sz w:val="21"/>
        </w:rPr>
        <w:t>灭</w:t>
      </w:r>
      <w:r>
        <w:rPr>
          <w:sz w:val="21"/>
        </w:rPr>
        <w:t>火</w:t>
      </w:r>
      <w:r>
        <w:rPr>
          <w:spacing w:val="-3"/>
          <w:sz w:val="21"/>
        </w:rPr>
        <w:t>器</w:t>
      </w:r>
      <w:r>
        <w:rPr>
          <w:sz w:val="21"/>
        </w:rPr>
        <w:t>，</w:t>
      </w:r>
      <w:r>
        <w:rPr>
          <w:spacing w:val="-3"/>
          <w:sz w:val="21"/>
        </w:rPr>
        <w:t>但</w:t>
      </w:r>
      <w:r>
        <w:rPr>
          <w:sz w:val="21"/>
        </w:rPr>
        <w:t>不</w:t>
      </w:r>
      <w:r>
        <w:rPr>
          <w:spacing w:val="-3"/>
          <w:sz w:val="21"/>
        </w:rPr>
        <w:t>得</w:t>
      </w:r>
      <w:r>
        <w:rPr>
          <w:sz w:val="21"/>
        </w:rPr>
        <w:t>选用</w:t>
      </w:r>
      <w:r>
        <w:rPr>
          <w:spacing w:val="-3"/>
          <w:sz w:val="21"/>
        </w:rPr>
        <w:t>装</w:t>
      </w:r>
      <w:r>
        <w:rPr>
          <w:sz w:val="21"/>
        </w:rPr>
        <w:t>有</w:t>
      </w:r>
      <w:r>
        <w:rPr>
          <w:spacing w:val="-3"/>
          <w:sz w:val="21"/>
        </w:rPr>
        <w:t>金</w:t>
      </w:r>
      <w:r>
        <w:rPr>
          <w:sz w:val="21"/>
        </w:rPr>
        <w:t>属</w:t>
      </w:r>
      <w:r>
        <w:rPr>
          <w:spacing w:val="-3"/>
          <w:sz w:val="21"/>
        </w:rPr>
        <w:t>喇</w:t>
      </w:r>
      <w:r>
        <w:rPr>
          <w:sz w:val="21"/>
        </w:rPr>
        <w:t>叭</w:t>
      </w:r>
      <w:r>
        <w:rPr>
          <w:spacing w:val="-3"/>
          <w:sz w:val="21"/>
        </w:rPr>
        <w:t>喷</w:t>
      </w:r>
      <w:r>
        <w:rPr>
          <w:sz w:val="21"/>
        </w:rPr>
        <w:t>筒</w:t>
      </w:r>
      <w:r>
        <w:rPr>
          <w:spacing w:val="-3"/>
          <w:sz w:val="21"/>
        </w:rPr>
        <w:t>的</w:t>
      </w:r>
      <w:r>
        <w:rPr>
          <w:sz w:val="21"/>
        </w:rPr>
        <w:t>二氧</w:t>
      </w:r>
      <w:r>
        <w:rPr>
          <w:spacing w:val="-3"/>
          <w:sz w:val="21"/>
        </w:rPr>
        <w:t>化</w:t>
      </w:r>
      <w:r>
        <w:rPr>
          <w:sz w:val="21"/>
        </w:rPr>
        <w:t>碳</w:t>
      </w:r>
      <w:r>
        <w:rPr>
          <w:spacing w:val="-3"/>
          <w:sz w:val="21"/>
        </w:rPr>
        <w:t>灭</w:t>
      </w:r>
      <w:r>
        <w:rPr>
          <w:sz w:val="21"/>
        </w:rPr>
        <w:t>火</w:t>
      </w:r>
      <w:r>
        <w:rPr>
          <w:spacing w:val="-3"/>
          <w:sz w:val="21"/>
        </w:rPr>
        <w:t>器。</w:t>
      </w:r>
      <w:r>
        <w:rPr>
          <w:sz w:val="21"/>
        </w:rPr>
        <w:t xml:space="preserve"> </w:t>
      </w:r>
      <w:r>
        <w:rPr>
          <w:sz w:val="21"/>
        </w:rPr>
        <w:tab/>
      </w:r>
      <w:hyperlink r:id="rId189" w:anchor="421">
        <w:r>
          <w:rPr>
            <w:sz w:val="21"/>
          </w:rPr>
          <w:t xml:space="preserve"> </w:t>
        </w:r>
      </w:hyperlink>
      <w:r>
        <w:rPr>
          <w:sz w:val="21"/>
        </w:rPr>
        <w:t xml:space="preserve"> </w:t>
      </w:r>
    </w:p>
    <w:p w14:paraId="341842B9" w14:textId="77777777" w:rsidR="00A71EEF" w:rsidRDefault="0081115D">
      <w:pPr>
        <w:pStyle w:val="a4"/>
        <w:numPr>
          <w:ilvl w:val="2"/>
          <w:numId w:val="644"/>
        </w:numPr>
        <w:tabs>
          <w:tab w:val="left" w:pos="1371"/>
          <w:tab w:val="left" w:pos="5367"/>
        </w:tabs>
        <w:spacing w:line="446" w:lineRule="auto"/>
        <w:ind w:right="1606" w:firstLine="422"/>
        <w:rPr>
          <w:b/>
          <w:sz w:val="19"/>
        </w:rPr>
      </w:pPr>
      <w:r>
        <w:rPr>
          <w:spacing w:val="-3"/>
          <w:sz w:val="21"/>
        </w:rPr>
        <w:t>非</w:t>
      </w:r>
      <w:r>
        <w:rPr>
          <w:sz w:val="21"/>
        </w:rPr>
        <w:t>必</w:t>
      </w:r>
      <w:r>
        <w:rPr>
          <w:spacing w:val="-3"/>
          <w:sz w:val="21"/>
        </w:rPr>
        <w:t>要</w:t>
      </w:r>
      <w:r>
        <w:rPr>
          <w:sz w:val="21"/>
        </w:rPr>
        <w:t>场</w:t>
      </w:r>
      <w:r>
        <w:rPr>
          <w:spacing w:val="-3"/>
          <w:sz w:val="21"/>
        </w:rPr>
        <w:t>所</w:t>
      </w:r>
      <w:r>
        <w:rPr>
          <w:sz w:val="21"/>
        </w:rPr>
        <w:t>不</w:t>
      </w:r>
      <w:r>
        <w:rPr>
          <w:spacing w:val="-3"/>
          <w:sz w:val="21"/>
        </w:rPr>
        <w:t>应配</w:t>
      </w:r>
      <w:r>
        <w:rPr>
          <w:sz w:val="21"/>
        </w:rPr>
        <w:t>置卤</w:t>
      </w:r>
      <w:r>
        <w:rPr>
          <w:spacing w:val="-3"/>
          <w:sz w:val="21"/>
        </w:rPr>
        <w:t>代</w:t>
      </w:r>
      <w:r>
        <w:rPr>
          <w:sz w:val="21"/>
        </w:rPr>
        <w:t>烷</w:t>
      </w:r>
      <w:r>
        <w:rPr>
          <w:spacing w:val="-3"/>
          <w:sz w:val="21"/>
        </w:rPr>
        <w:t>灭</w:t>
      </w:r>
      <w:r>
        <w:rPr>
          <w:sz w:val="21"/>
        </w:rPr>
        <w:t>火</w:t>
      </w:r>
      <w:r>
        <w:rPr>
          <w:spacing w:val="-3"/>
          <w:sz w:val="21"/>
        </w:rPr>
        <w:t>器</w:t>
      </w:r>
      <w:r>
        <w:rPr>
          <w:sz w:val="21"/>
        </w:rPr>
        <w:t>。</w:t>
      </w:r>
      <w:r>
        <w:rPr>
          <w:spacing w:val="-3"/>
          <w:sz w:val="21"/>
        </w:rPr>
        <w:t>非</w:t>
      </w:r>
      <w:r>
        <w:rPr>
          <w:sz w:val="21"/>
        </w:rPr>
        <w:t>必</w:t>
      </w:r>
      <w:r>
        <w:rPr>
          <w:spacing w:val="-3"/>
          <w:sz w:val="21"/>
        </w:rPr>
        <w:t>要</w:t>
      </w:r>
      <w:r>
        <w:rPr>
          <w:sz w:val="21"/>
        </w:rPr>
        <w:t>场所</w:t>
      </w:r>
      <w:r>
        <w:rPr>
          <w:spacing w:val="-3"/>
          <w:sz w:val="21"/>
        </w:rPr>
        <w:t>的</w:t>
      </w:r>
      <w:r>
        <w:rPr>
          <w:sz w:val="21"/>
        </w:rPr>
        <w:t>举</w:t>
      </w:r>
      <w:r>
        <w:rPr>
          <w:spacing w:val="-3"/>
          <w:sz w:val="21"/>
        </w:rPr>
        <w:t>例</w:t>
      </w:r>
      <w:r>
        <w:rPr>
          <w:sz w:val="21"/>
        </w:rPr>
        <w:t>见</w:t>
      </w:r>
      <w:r>
        <w:rPr>
          <w:spacing w:val="-3"/>
          <w:sz w:val="21"/>
        </w:rPr>
        <w:t>本</w:t>
      </w:r>
      <w:r>
        <w:rPr>
          <w:sz w:val="21"/>
        </w:rPr>
        <w:t>规</w:t>
      </w:r>
      <w:r>
        <w:rPr>
          <w:spacing w:val="-3"/>
          <w:sz w:val="21"/>
        </w:rPr>
        <w:t>范</w:t>
      </w:r>
      <w:r>
        <w:rPr>
          <w:sz w:val="21"/>
        </w:rPr>
        <w:t>附</w:t>
      </w:r>
      <w:r>
        <w:rPr>
          <w:spacing w:val="-3"/>
          <w:sz w:val="21"/>
        </w:rPr>
        <w:t>录</w:t>
      </w:r>
      <w:r>
        <w:rPr>
          <w:spacing w:val="16"/>
          <w:sz w:val="21"/>
        </w:rPr>
        <w:t xml:space="preserve"> </w:t>
      </w:r>
      <w:r>
        <w:rPr>
          <w:sz w:val="21"/>
        </w:rPr>
        <w:t>F</w:t>
      </w:r>
      <w:r>
        <w:rPr>
          <w:sz w:val="21"/>
        </w:rPr>
        <w:t>。</w:t>
      </w:r>
      <w:r>
        <w:rPr>
          <w:spacing w:val="-3"/>
          <w:sz w:val="21"/>
        </w:rPr>
        <w:t>必</w:t>
      </w:r>
      <w:r>
        <w:rPr>
          <w:sz w:val="21"/>
        </w:rPr>
        <w:t>要</w:t>
      </w:r>
      <w:r>
        <w:rPr>
          <w:spacing w:val="-3"/>
          <w:sz w:val="21"/>
        </w:rPr>
        <w:t>场</w:t>
      </w:r>
      <w:r>
        <w:rPr>
          <w:sz w:val="21"/>
        </w:rPr>
        <w:t>所可配</w:t>
      </w:r>
      <w:r>
        <w:rPr>
          <w:spacing w:val="-3"/>
          <w:sz w:val="21"/>
        </w:rPr>
        <w:t>置</w:t>
      </w:r>
      <w:r>
        <w:rPr>
          <w:sz w:val="21"/>
        </w:rPr>
        <w:t>卤</w:t>
      </w:r>
      <w:r>
        <w:rPr>
          <w:spacing w:val="-3"/>
          <w:sz w:val="21"/>
        </w:rPr>
        <w:t>代</w:t>
      </w:r>
      <w:r>
        <w:rPr>
          <w:sz w:val="21"/>
        </w:rPr>
        <w:t>烷</w:t>
      </w:r>
      <w:r>
        <w:rPr>
          <w:spacing w:val="-3"/>
          <w:sz w:val="21"/>
        </w:rPr>
        <w:t>灭</w:t>
      </w:r>
      <w:r>
        <w:rPr>
          <w:sz w:val="21"/>
        </w:rPr>
        <w:t>火</w:t>
      </w:r>
      <w:r>
        <w:rPr>
          <w:spacing w:val="-3"/>
          <w:sz w:val="21"/>
        </w:rPr>
        <w:t>器。</w:t>
      </w:r>
      <w:r>
        <w:rPr>
          <w:b/>
          <w:w w:val="99"/>
          <w:sz w:val="21"/>
        </w:rPr>
        <w:t xml:space="preserve"> </w:t>
      </w:r>
      <w:r>
        <w:rPr>
          <w:b/>
          <w:sz w:val="21"/>
        </w:rPr>
        <w:tab/>
      </w:r>
      <w:hyperlink r:id="rId190" w:anchor="426">
        <w:r>
          <w:rPr>
            <w:b/>
            <w:w w:val="99"/>
            <w:sz w:val="21"/>
          </w:rPr>
          <w:t xml:space="preserve"> </w:t>
        </w:r>
      </w:hyperlink>
      <w:r>
        <w:rPr>
          <w:b/>
          <w:w w:val="99"/>
          <w:sz w:val="21"/>
        </w:rPr>
        <w:t xml:space="preserve"> </w:t>
      </w:r>
    </w:p>
    <w:p w14:paraId="21C47B97" w14:textId="77777777" w:rsidR="00A71EEF" w:rsidRDefault="0081115D">
      <w:pPr>
        <w:pStyle w:val="4"/>
        <w:spacing w:line="278" w:lineRule="exact"/>
      </w:pPr>
      <w:r>
        <w:t xml:space="preserve">5 </w:t>
      </w:r>
      <w:r>
        <w:t>灭火器的设置</w:t>
      </w:r>
      <w:r>
        <w:rPr>
          <w:w w:val="99"/>
        </w:rPr>
        <w:t xml:space="preserve"> </w:t>
      </w:r>
    </w:p>
    <w:p w14:paraId="09C6152B" w14:textId="77777777" w:rsidR="00A71EEF" w:rsidRDefault="00A71EEF">
      <w:pPr>
        <w:pStyle w:val="a3"/>
        <w:spacing w:before="1"/>
        <w:rPr>
          <w:b/>
          <w:sz w:val="17"/>
        </w:rPr>
      </w:pPr>
    </w:p>
    <w:p w14:paraId="0F26C6C6" w14:textId="77777777" w:rsidR="00A71EEF" w:rsidRDefault="0081115D">
      <w:pPr>
        <w:pStyle w:val="a4"/>
        <w:numPr>
          <w:ilvl w:val="1"/>
          <w:numId w:val="642"/>
        </w:numPr>
        <w:tabs>
          <w:tab w:val="left" w:pos="1159"/>
        </w:tabs>
        <w:ind w:hanging="319"/>
        <w:rPr>
          <w:sz w:val="21"/>
        </w:rPr>
      </w:pPr>
      <w:r>
        <w:rPr>
          <w:spacing w:val="-3"/>
          <w:sz w:val="21"/>
        </w:rPr>
        <w:t>一般规定</w:t>
      </w:r>
      <w:r>
        <w:rPr>
          <w:sz w:val="21"/>
        </w:rPr>
        <w:t xml:space="preserve"> </w:t>
      </w:r>
    </w:p>
    <w:p w14:paraId="5DA45D97" w14:textId="77777777" w:rsidR="00A71EEF" w:rsidRDefault="00A71EEF">
      <w:pPr>
        <w:pStyle w:val="a3"/>
        <w:spacing w:before="2"/>
        <w:rPr>
          <w:sz w:val="18"/>
        </w:rPr>
      </w:pPr>
    </w:p>
    <w:p w14:paraId="05A74486" w14:textId="77777777" w:rsidR="00A71EEF" w:rsidRDefault="0081115D">
      <w:pPr>
        <w:pStyle w:val="a4"/>
        <w:numPr>
          <w:ilvl w:val="2"/>
          <w:numId w:val="642"/>
        </w:numPr>
        <w:tabs>
          <w:tab w:val="left" w:pos="1370"/>
        </w:tabs>
        <w:ind w:hanging="530"/>
        <w:rPr>
          <w:sz w:val="21"/>
        </w:rPr>
      </w:pPr>
      <w:r>
        <w:rPr>
          <w:spacing w:val="-3"/>
          <w:sz w:val="21"/>
        </w:rPr>
        <w:t>灭火器应设置在位置明显和便于取用的地点，且不得影响安全疏散。</w:t>
      </w:r>
      <w:r>
        <w:rPr>
          <w:spacing w:val="-3"/>
          <w:sz w:val="21"/>
        </w:rPr>
        <w:t xml:space="preserve"> </w:t>
      </w:r>
      <w:r>
        <w:rPr>
          <w:spacing w:val="-9"/>
          <w:sz w:val="21"/>
        </w:rPr>
        <w:t xml:space="preserve"> </w:t>
      </w:r>
      <w:hyperlink r:id="rId191" w:anchor="511">
        <w:r>
          <w:rPr>
            <w:sz w:val="21"/>
          </w:rPr>
          <w:t xml:space="preserve"> </w:t>
        </w:r>
      </w:hyperlink>
      <w:r>
        <w:rPr>
          <w:sz w:val="21"/>
        </w:rPr>
        <w:t xml:space="preserve"> </w:t>
      </w:r>
    </w:p>
    <w:p w14:paraId="7CFC73E9" w14:textId="77777777" w:rsidR="00A71EEF" w:rsidRDefault="00A71EEF">
      <w:pPr>
        <w:rPr>
          <w:sz w:val="21"/>
        </w:rPr>
        <w:sectPr w:rsidR="00A71EEF">
          <w:pgSz w:w="11910" w:h="16850"/>
          <w:pgMar w:top="1220" w:right="0" w:bottom="1420" w:left="1260" w:header="0" w:footer="1159" w:gutter="0"/>
          <w:cols w:space="720"/>
        </w:sectPr>
      </w:pPr>
    </w:p>
    <w:p w14:paraId="7BF7AA6D" w14:textId="77777777" w:rsidR="00A71EEF" w:rsidRDefault="0081115D">
      <w:pPr>
        <w:pStyle w:val="a4"/>
        <w:numPr>
          <w:ilvl w:val="2"/>
          <w:numId w:val="642"/>
        </w:numPr>
        <w:tabs>
          <w:tab w:val="left" w:pos="1370"/>
        </w:tabs>
        <w:spacing w:before="47"/>
        <w:ind w:hanging="530"/>
        <w:jc w:val="both"/>
        <w:rPr>
          <w:sz w:val="21"/>
        </w:rPr>
      </w:pPr>
      <w:r>
        <w:rPr>
          <w:spacing w:val="-3"/>
          <w:sz w:val="21"/>
        </w:rPr>
        <w:t>对有视线障碍的灭火器设置点，应设置指示其位置的发光标志。</w:t>
      </w:r>
      <w:r>
        <w:rPr>
          <w:sz w:val="21"/>
        </w:rPr>
        <w:t xml:space="preserve"> </w:t>
      </w:r>
      <w:r>
        <w:rPr>
          <w:spacing w:val="-9"/>
          <w:sz w:val="21"/>
        </w:rPr>
        <w:t xml:space="preserve"> </w:t>
      </w:r>
      <w:hyperlink r:id="rId192" w:anchor="512">
        <w:r>
          <w:rPr>
            <w:sz w:val="21"/>
          </w:rPr>
          <w:t xml:space="preserve"> </w:t>
        </w:r>
      </w:hyperlink>
      <w:r>
        <w:rPr>
          <w:sz w:val="21"/>
        </w:rPr>
        <w:t xml:space="preserve"> </w:t>
      </w:r>
    </w:p>
    <w:p w14:paraId="6752104E" w14:textId="77777777" w:rsidR="00A71EEF" w:rsidRDefault="00A71EEF">
      <w:pPr>
        <w:pStyle w:val="a3"/>
        <w:rPr>
          <w:sz w:val="18"/>
        </w:rPr>
      </w:pPr>
    </w:p>
    <w:p w14:paraId="52487227" w14:textId="77777777" w:rsidR="00A71EEF" w:rsidRDefault="0081115D">
      <w:pPr>
        <w:pStyle w:val="a4"/>
        <w:numPr>
          <w:ilvl w:val="2"/>
          <w:numId w:val="642"/>
        </w:numPr>
        <w:tabs>
          <w:tab w:val="left" w:pos="1370"/>
        </w:tabs>
        <w:spacing w:line="446" w:lineRule="auto"/>
        <w:ind w:left="418" w:right="1604" w:firstLine="422"/>
        <w:jc w:val="both"/>
        <w:rPr>
          <w:sz w:val="21"/>
        </w:rPr>
      </w:pPr>
      <w:r>
        <w:rPr>
          <w:spacing w:val="-3"/>
          <w:sz w:val="21"/>
        </w:rPr>
        <w:t>灭火器的摆放应稳固，其铭牌应朝外。手提式灭火器宜设置在灭火器箱内或挂钩、</w:t>
      </w:r>
      <w:r>
        <w:rPr>
          <w:spacing w:val="-2"/>
          <w:sz w:val="21"/>
        </w:rPr>
        <w:t>托架上，其顶部离地面高度不应大于</w:t>
      </w:r>
      <w:r>
        <w:rPr>
          <w:spacing w:val="-2"/>
          <w:sz w:val="21"/>
        </w:rPr>
        <w:t xml:space="preserve"> </w:t>
      </w:r>
      <w:r>
        <w:rPr>
          <w:sz w:val="21"/>
        </w:rPr>
        <w:t>1.50m</w:t>
      </w:r>
      <w:r>
        <w:rPr>
          <w:spacing w:val="-2"/>
          <w:sz w:val="21"/>
        </w:rPr>
        <w:t>；底部离地面高度不宜小于</w:t>
      </w:r>
      <w:r>
        <w:rPr>
          <w:spacing w:val="-2"/>
          <w:sz w:val="21"/>
        </w:rPr>
        <w:t xml:space="preserve"> </w:t>
      </w:r>
      <w:r>
        <w:rPr>
          <w:sz w:val="21"/>
        </w:rPr>
        <w:t>0.08m</w:t>
      </w:r>
      <w:r>
        <w:rPr>
          <w:spacing w:val="-3"/>
          <w:sz w:val="21"/>
        </w:rPr>
        <w:t>。灭火器箱不得</w:t>
      </w:r>
      <w:r>
        <w:rPr>
          <w:spacing w:val="-1"/>
          <w:sz w:val="21"/>
        </w:rPr>
        <w:t>上锁。</w:t>
      </w:r>
      <w:hyperlink r:id="rId193" w:anchor="513">
        <w:r>
          <w:rPr>
            <w:sz w:val="21"/>
          </w:rPr>
          <w:t xml:space="preserve"> </w:t>
        </w:r>
        <w:r>
          <w:rPr>
            <w:spacing w:val="-3"/>
            <w:sz w:val="21"/>
          </w:rPr>
          <w:t xml:space="preserve"> </w:t>
        </w:r>
      </w:hyperlink>
      <w:r>
        <w:rPr>
          <w:sz w:val="21"/>
        </w:rPr>
        <w:t xml:space="preserve"> </w:t>
      </w:r>
    </w:p>
    <w:p w14:paraId="405018A3" w14:textId="77777777" w:rsidR="00A71EEF" w:rsidRDefault="0081115D">
      <w:pPr>
        <w:pStyle w:val="a3"/>
        <w:spacing w:line="446" w:lineRule="auto"/>
        <w:ind w:left="418" w:right="1918" w:firstLine="422"/>
      </w:pPr>
      <w:r>
        <w:rPr>
          <w:b/>
          <w:w w:val="99"/>
        </w:rPr>
        <w:t xml:space="preserve"> </w:t>
      </w:r>
      <w:r>
        <w:rPr>
          <w:b/>
        </w:rPr>
        <w:t xml:space="preserve">5.1.4 </w:t>
      </w:r>
      <w:r>
        <w:t>灭火器不宜设置在潮湿或强腐蚀性的地点。当必须设置时，应有相应的保护措施。</w:t>
      </w:r>
      <w:r>
        <w:t xml:space="preserve"> </w:t>
      </w:r>
    </w:p>
    <w:p w14:paraId="5BCDF037" w14:textId="77777777" w:rsidR="00A71EEF" w:rsidRDefault="0081115D">
      <w:pPr>
        <w:pStyle w:val="a3"/>
        <w:tabs>
          <w:tab w:val="left" w:pos="5367"/>
        </w:tabs>
        <w:ind w:left="838"/>
      </w:pPr>
      <w:r>
        <w:t>灭火</w:t>
      </w:r>
      <w:r>
        <w:rPr>
          <w:spacing w:val="-3"/>
        </w:rPr>
        <w:t>器</w:t>
      </w:r>
      <w:r>
        <w:t>设</w:t>
      </w:r>
      <w:r>
        <w:rPr>
          <w:spacing w:val="-3"/>
        </w:rPr>
        <w:t>置</w:t>
      </w:r>
      <w:r>
        <w:t>在</w:t>
      </w:r>
      <w:r>
        <w:rPr>
          <w:spacing w:val="-3"/>
        </w:rPr>
        <w:t>室</w:t>
      </w:r>
      <w:r>
        <w:t>外</w:t>
      </w:r>
      <w:r>
        <w:rPr>
          <w:spacing w:val="-3"/>
        </w:rPr>
        <w:t>时</w:t>
      </w:r>
      <w:r>
        <w:t>，</w:t>
      </w:r>
      <w:r>
        <w:rPr>
          <w:spacing w:val="-3"/>
        </w:rPr>
        <w:t>应</w:t>
      </w:r>
      <w:r>
        <w:t>有相</w:t>
      </w:r>
      <w:r>
        <w:rPr>
          <w:spacing w:val="-3"/>
        </w:rPr>
        <w:t>应</w:t>
      </w:r>
      <w:r>
        <w:t>的</w:t>
      </w:r>
      <w:r>
        <w:rPr>
          <w:spacing w:val="-3"/>
        </w:rPr>
        <w:t>保</w:t>
      </w:r>
      <w:r>
        <w:t>护</w:t>
      </w:r>
      <w:r>
        <w:rPr>
          <w:spacing w:val="-3"/>
        </w:rPr>
        <w:t>措</w:t>
      </w:r>
      <w:r>
        <w:t>施</w:t>
      </w:r>
      <w:r>
        <w:rPr>
          <w:spacing w:val="-3"/>
        </w:rPr>
        <w:t>。</w:t>
      </w:r>
      <w:r>
        <w:t xml:space="preserve"> </w:t>
      </w:r>
      <w:r>
        <w:tab/>
      </w:r>
      <w:hyperlink r:id="rId194" w:anchor="514">
        <w:r>
          <w:t xml:space="preserve"> </w:t>
        </w:r>
      </w:hyperlink>
      <w:r>
        <w:t xml:space="preserve"> </w:t>
      </w:r>
    </w:p>
    <w:p w14:paraId="0685675E" w14:textId="77777777" w:rsidR="00A71EEF" w:rsidRDefault="00A71EEF">
      <w:pPr>
        <w:pStyle w:val="a3"/>
        <w:spacing w:before="11"/>
        <w:rPr>
          <w:sz w:val="17"/>
        </w:rPr>
      </w:pPr>
    </w:p>
    <w:p w14:paraId="46DB3E84" w14:textId="77777777" w:rsidR="00A71EEF" w:rsidRDefault="0081115D">
      <w:pPr>
        <w:tabs>
          <w:tab w:val="left" w:pos="6298"/>
        </w:tabs>
        <w:spacing w:before="1"/>
        <w:ind w:left="840"/>
        <w:rPr>
          <w:b/>
          <w:sz w:val="21"/>
        </w:rPr>
      </w:pPr>
      <w:r>
        <w:rPr>
          <w:b/>
          <w:sz w:val="21"/>
        </w:rPr>
        <w:t>5.1.5</w:t>
      </w:r>
      <w:r>
        <w:rPr>
          <w:b/>
          <w:spacing w:val="25"/>
          <w:sz w:val="21"/>
        </w:rPr>
        <w:t xml:space="preserve"> </w:t>
      </w:r>
      <w:r>
        <w:rPr>
          <w:spacing w:val="-3"/>
          <w:sz w:val="21"/>
        </w:rPr>
        <w:t>灭</w:t>
      </w:r>
      <w:r>
        <w:rPr>
          <w:sz w:val="21"/>
        </w:rPr>
        <w:t>火</w:t>
      </w:r>
      <w:r>
        <w:rPr>
          <w:spacing w:val="-3"/>
          <w:sz w:val="21"/>
        </w:rPr>
        <w:t>器</w:t>
      </w:r>
      <w:r>
        <w:rPr>
          <w:sz w:val="21"/>
        </w:rPr>
        <w:t>不</w:t>
      </w:r>
      <w:r>
        <w:rPr>
          <w:spacing w:val="-3"/>
          <w:sz w:val="21"/>
        </w:rPr>
        <w:t>得</w:t>
      </w:r>
      <w:r>
        <w:rPr>
          <w:sz w:val="21"/>
        </w:rPr>
        <w:t>设</w:t>
      </w:r>
      <w:r>
        <w:rPr>
          <w:spacing w:val="-3"/>
          <w:sz w:val="21"/>
        </w:rPr>
        <w:t>置在</w:t>
      </w:r>
      <w:r>
        <w:rPr>
          <w:sz w:val="21"/>
        </w:rPr>
        <w:t>超出</w:t>
      </w:r>
      <w:r>
        <w:rPr>
          <w:spacing w:val="-3"/>
          <w:sz w:val="21"/>
        </w:rPr>
        <w:t>其</w:t>
      </w:r>
      <w:r>
        <w:rPr>
          <w:sz w:val="21"/>
        </w:rPr>
        <w:t>使</w:t>
      </w:r>
      <w:r>
        <w:rPr>
          <w:spacing w:val="-3"/>
          <w:sz w:val="21"/>
        </w:rPr>
        <w:t>用</w:t>
      </w:r>
      <w:r>
        <w:rPr>
          <w:sz w:val="21"/>
        </w:rPr>
        <w:t>温</w:t>
      </w:r>
      <w:r>
        <w:rPr>
          <w:spacing w:val="-3"/>
          <w:sz w:val="21"/>
        </w:rPr>
        <w:t>度</w:t>
      </w:r>
      <w:r>
        <w:rPr>
          <w:sz w:val="21"/>
        </w:rPr>
        <w:t>范</w:t>
      </w:r>
      <w:r>
        <w:rPr>
          <w:spacing w:val="-3"/>
          <w:sz w:val="21"/>
        </w:rPr>
        <w:t>围</w:t>
      </w:r>
      <w:r>
        <w:rPr>
          <w:sz w:val="21"/>
        </w:rPr>
        <w:t>的</w:t>
      </w:r>
      <w:r>
        <w:rPr>
          <w:spacing w:val="-3"/>
          <w:sz w:val="21"/>
        </w:rPr>
        <w:t>地</w:t>
      </w:r>
      <w:r>
        <w:rPr>
          <w:sz w:val="21"/>
        </w:rPr>
        <w:t>点</w:t>
      </w:r>
      <w:r>
        <w:rPr>
          <w:spacing w:val="-3"/>
          <w:sz w:val="21"/>
        </w:rPr>
        <w:t>。</w:t>
      </w:r>
      <w:r>
        <w:rPr>
          <w:b/>
          <w:w w:val="99"/>
          <w:sz w:val="21"/>
        </w:rPr>
        <w:t xml:space="preserve"> </w:t>
      </w:r>
      <w:r>
        <w:rPr>
          <w:b/>
          <w:sz w:val="21"/>
        </w:rPr>
        <w:tab/>
      </w:r>
      <w:hyperlink r:id="rId195" w:anchor="515">
        <w:r>
          <w:rPr>
            <w:b/>
            <w:w w:val="99"/>
            <w:sz w:val="21"/>
          </w:rPr>
          <w:t xml:space="preserve"> </w:t>
        </w:r>
      </w:hyperlink>
      <w:r>
        <w:rPr>
          <w:b/>
          <w:w w:val="99"/>
          <w:sz w:val="21"/>
        </w:rPr>
        <w:t xml:space="preserve"> </w:t>
      </w:r>
    </w:p>
    <w:p w14:paraId="63FA1EB9" w14:textId="77777777" w:rsidR="00A71EEF" w:rsidRDefault="00A71EEF">
      <w:pPr>
        <w:pStyle w:val="a3"/>
        <w:spacing w:before="12"/>
        <w:rPr>
          <w:b/>
          <w:sz w:val="17"/>
        </w:rPr>
      </w:pPr>
    </w:p>
    <w:p w14:paraId="0D799812" w14:textId="77777777" w:rsidR="00A71EEF" w:rsidRDefault="0081115D">
      <w:pPr>
        <w:pStyle w:val="a4"/>
        <w:numPr>
          <w:ilvl w:val="1"/>
          <w:numId w:val="642"/>
        </w:numPr>
        <w:tabs>
          <w:tab w:val="left" w:pos="1160"/>
        </w:tabs>
        <w:ind w:left="1159" w:hanging="320"/>
        <w:rPr>
          <w:sz w:val="21"/>
        </w:rPr>
      </w:pPr>
      <w:r>
        <w:rPr>
          <w:spacing w:val="-3"/>
          <w:sz w:val="21"/>
        </w:rPr>
        <w:t>灭火器的最大保护距离</w:t>
      </w:r>
      <w:r>
        <w:rPr>
          <w:spacing w:val="-3"/>
          <w:sz w:val="21"/>
        </w:rPr>
        <w:t xml:space="preserve"> </w:t>
      </w:r>
    </w:p>
    <w:p w14:paraId="0CCB9D7E" w14:textId="77777777" w:rsidR="00A71EEF" w:rsidRDefault="00A71EEF">
      <w:pPr>
        <w:pStyle w:val="a3"/>
        <w:spacing w:before="2"/>
        <w:rPr>
          <w:sz w:val="18"/>
        </w:rPr>
      </w:pPr>
    </w:p>
    <w:p w14:paraId="7A65B207" w14:textId="77777777" w:rsidR="00A71EEF" w:rsidRDefault="0081115D">
      <w:pPr>
        <w:pStyle w:val="a4"/>
        <w:numPr>
          <w:ilvl w:val="2"/>
          <w:numId w:val="642"/>
        </w:numPr>
        <w:tabs>
          <w:tab w:val="left" w:pos="1371"/>
        </w:tabs>
        <w:ind w:left="1370" w:hanging="531"/>
        <w:rPr>
          <w:sz w:val="21"/>
        </w:rPr>
      </w:pPr>
      <w:r>
        <w:rPr>
          <w:spacing w:val="-2"/>
          <w:sz w:val="21"/>
        </w:rPr>
        <w:t>设置在</w:t>
      </w:r>
      <w:r>
        <w:rPr>
          <w:spacing w:val="-2"/>
          <w:sz w:val="21"/>
        </w:rPr>
        <w:t xml:space="preserve"> </w:t>
      </w:r>
      <w:r>
        <w:rPr>
          <w:sz w:val="21"/>
        </w:rPr>
        <w:t>A</w:t>
      </w:r>
      <w:r>
        <w:rPr>
          <w:spacing w:val="-3"/>
          <w:sz w:val="21"/>
        </w:rPr>
        <w:t xml:space="preserve"> </w:t>
      </w:r>
      <w:r>
        <w:rPr>
          <w:spacing w:val="-3"/>
          <w:sz w:val="21"/>
        </w:rPr>
        <w:t>类火灾场所的灭火器，其最大保护距离应符合表</w:t>
      </w:r>
      <w:r>
        <w:rPr>
          <w:spacing w:val="-3"/>
          <w:sz w:val="21"/>
        </w:rPr>
        <w:t xml:space="preserve"> </w:t>
      </w:r>
      <w:r>
        <w:rPr>
          <w:sz w:val="21"/>
        </w:rPr>
        <w:t>5.2.1</w:t>
      </w:r>
      <w:r>
        <w:rPr>
          <w:spacing w:val="-3"/>
          <w:sz w:val="21"/>
        </w:rPr>
        <w:t xml:space="preserve"> </w:t>
      </w:r>
      <w:r>
        <w:rPr>
          <w:spacing w:val="-3"/>
          <w:sz w:val="21"/>
        </w:rPr>
        <w:t>的规</w:t>
      </w:r>
      <w:hyperlink r:id="rId196" w:anchor="521">
        <w:r>
          <w:rPr>
            <w:sz w:val="21"/>
          </w:rPr>
          <w:t>定。</w:t>
        </w:r>
        <w:r>
          <w:rPr>
            <w:sz w:val="21"/>
          </w:rPr>
          <w:t xml:space="preserve"> </w:t>
        </w:r>
        <w:r>
          <w:rPr>
            <w:spacing w:val="-3"/>
            <w:sz w:val="21"/>
          </w:rPr>
          <w:t xml:space="preserve"> </w:t>
        </w:r>
      </w:hyperlink>
      <w:r>
        <w:rPr>
          <w:sz w:val="21"/>
        </w:rPr>
        <w:t xml:space="preserve"> </w:t>
      </w:r>
    </w:p>
    <w:p w14:paraId="2A6BACC8" w14:textId="77777777" w:rsidR="00A71EEF" w:rsidRDefault="0081115D">
      <w:pPr>
        <w:pStyle w:val="4"/>
        <w:spacing w:before="92" w:after="43"/>
        <w:ind w:left="1301"/>
      </w:pPr>
      <w:r>
        <w:rPr>
          <w:spacing w:val="-53"/>
        </w:rPr>
        <w:t>表</w:t>
      </w:r>
      <w:r>
        <w:rPr>
          <w:spacing w:val="-53"/>
        </w:rPr>
        <w:t xml:space="preserve"> </w:t>
      </w:r>
      <w:r>
        <w:t>5.2.1 A</w:t>
      </w:r>
      <w:r>
        <w:rPr>
          <w:spacing w:val="-13"/>
        </w:rPr>
        <w:t xml:space="preserve"> </w:t>
      </w:r>
      <w:r>
        <w:rPr>
          <w:spacing w:val="-13"/>
        </w:rPr>
        <w:t>类火灾场所的灭火器最大保护距离</w:t>
      </w:r>
      <w:r>
        <w:t>（</w:t>
      </w:r>
      <w:r>
        <w:t>m</w:t>
      </w:r>
      <w:r>
        <w:t>）</w:t>
      </w:r>
      <w:r>
        <w:rPr>
          <w:w w:val="99"/>
        </w:rPr>
        <w:t xml:space="preserve"> </w:t>
      </w:r>
    </w:p>
    <w:tbl>
      <w:tblPr>
        <w:tblStyle w:val="TableNormal"/>
        <w:tblW w:w="0" w:type="auto"/>
        <w:tblInd w:w="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32"/>
        <w:gridCol w:w="2780"/>
        <w:gridCol w:w="2665"/>
      </w:tblGrid>
      <w:tr w:rsidR="00A71EEF" w14:paraId="4D39D5C7" w14:textId="77777777">
        <w:trPr>
          <w:trHeight w:val="580"/>
        </w:trPr>
        <w:tc>
          <w:tcPr>
            <w:tcW w:w="3332" w:type="dxa"/>
            <w:tcBorders>
              <w:left w:val="single" w:sz="6" w:space="0" w:color="000000"/>
              <w:bottom w:val="single" w:sz="6" w:space="0" w:color="000000"/>
              <w:right w:val="single" w:sz="6" w:space="0" w:color="000000"/>
            </w:tcBorders>
          </w:tcPr>
          <w:p w14:paraId="7FD04068" w14:textId="77777777" w:rsidR="00A71EEF" w:rsidRDefault="0081115D">
            <w:pPr>
              <w:pStyle w:val="TableParagraph"/>
              <w:spacing w:before="16"/>
              <w:ind w:left="107"/>
              <w:rPr>
                <w:sz w:val="21"/>
              </w:rPr>
            </w:pPr>
            <w:r>
              <w:rPr>
                <w:sz w:val="21"/>
              </w:rPr>
              <w:t>灭火器形式</w:t>
            </w:r>
            <w:r>
              <w:rPr>
                <w:sz w:val="21"/>
              </w:rPr>
              <w:t xml:space="preserve"> </w:t>
            </w:r>
            <w:r>
              <w:rPr>
                <w:sz w:val="21"/>
              </w:rPr>
              <w:t>危险等级</w:t>
            </w:r>
            <w:r>
              <w:rPr>
                <w:sz w:val="21"/>
              </w:rPr>
              <w:t xml:space="preserve"> </w:t>
            </w:r>
          </w:p>
        </w:tc>
        <w:tc>
          <w:tcPr>
            <w:tcW w:w="2780" w:type="dxa"/>
            <w:tcBorders>
              <w:top w:val="single" w:sz="6" w:space="0" w:color="000000"/>
              <w:left w:val="single" w:sz="6" w:space="0" w:color="000000"/>
              <w:bottom w:val="single" w:sz="6" w:space="0" w:color="000000"/>
              <w:right w:val="single" w:sz="6" w:space="0" w:color="000000"/>
            </w:tcBorders>
          </w:tcPr>
          <w:p w14:paraId="7343C81E" w14:textId="77777777" w:rsidR="00A71EEF" w:rsidRDefault="0081115D">
            <w:pPr>
              <w:pStyle w:val="TableParagraph"/>
              <w:spacing w:before="85"/>
              <w:ind w:left="135" w:right="1329"/>
              <w:jc w:val="center"/>
              <w:rPr>
                <w:sz w:val="21"/>
              </w:rPr>
            </w:pPr>
            <w:r>
              <w:rPr>
                <w:sz w:val="21"/>
              </w:rPr>
              <w:t>手提式灭火器</w:t>
            </w:r>
            <w:r>
              <w:rPr>
                <w:sz w:val="21"/>
              </w:rPr>
              <w:t xml:space="preserve"> </w:t>
            </w:r>
          </w:p>
        </w:tc>
        <w:tc>
          <w:tcPr>
            <w:tcW w:w="2665" w:type="dxa"/>
            <w:tcBorders>
              <w:top w:val="single" w:sz="6" w:space="0" w:color="000000"/>
              <w:left w:val="single" w:sz="6" w:space="0" w:color="000000"/>
              <w:bottom w:val="single" w:sz="6" w:space="0" w:color="000000"/>
              <w:right w:val="single" w:sz="6" w:space="0" w:color="000000"/>
            </w:tcBorders>
          </w:tcPr>
          <w:p w14:paraId="0A612E4C" w14:textId="77777777" w:rsidR="00A71EEF" w:rsidRDefault="0081115D">
            <w:pPr>
              <w:pStyle w:val="TableParagraph"/>
              <w:spacing w:before="85"/>
              <w:ind w:left="135" w:right="1214"/>
              <w:jc w:val="center"/>
              <w:rPr>
                <w:sz w:val="21"/>
              </w:rPr>
            </w:pPr>
            <w:r>
              <w:rPr>
                <w:sz w:val="21"/>
              </w:rPr>
              <w:t>推车式灭火器</w:t>
            </w:r>
            <w:r>
              <w:rPr>
                <w:sz w:val="21"/>
              </w:rPr>
              <w:t xml:space="preserve"> </w:t>
            </w:r>
          </w:p>
        </w:tc>
      </w:tr>
      <w:tr w:rsidR="00A71EEF" w14:paraId="2CAA2E77" w14:textId="77777777">
        <w:trPr>
          <w:trHeight w:val="292"/>
        </w:trPr>
        <w:tc>
          <w:tcPr>
            <w:tcW w:w="3332" w:type="dxa"/>
            <w:tcBorders>
              <w:top w:val="single" w:sz="6" w:space="0" w:color="000000"/>
              <w:left w:val="single" w:sz="6" w:space="0" w:color="000000"/>
              <w:bottom w:val="single" w:sz="6" w:space="0" w:color="000000"/>
              <w:right w:val="single" w:sz="6" w:space="0" w:color="000000"/>
            </w:tcBorders>
          </w:tcPr>
          <w:p w14:paraId="3ECB07AA" w14:textId="77777777" w:rsidR="00A71EEF" w:rsidRDefault="0081115D">
            <w:pPr>
              <w:pStyle w:val="TableParagraph"/>
              <w:spacing w:line="258" w:lineRule="exact"/>
              <w:ind w:left="107"/>
              <w:rPr>
                <w:sz w:val="21"/>
              </w:rPr>
            </w:pPr>
            <w:r>
              <w:rPr>
                <w:sz w:val="21"/>
              </w:rPr>
              <w:t>严重危险级</w:t>
            </w:r>
            <w:r>
              <w:rPr>
                <w:sz w:val="21"/>
              </w:rPr>
              <w:t xml:space="preserve"> </w:t>
            </w:r>
          </w:p>
        </w:tc>
        <w:tc>
          <w:tcPr>
            <w:tcW w:w="2780" w:type="dxa"/>
            <w:tcBorders>
              <w:top w:val="single" w:sz="6" w:space="0" w:color="000000"/>
              <w:left w:val="single" w:sz="6" w:space="0" w:color="000000"/>
              <w:bottom w:val="single" w:sz="6" w:space="0" w:color="000000"/>
              <w:right w:val="single" w:sz="6" w:space="0" w:color="000000"/>
            </w:tcBorders>
          </w:tcPr>
          <w:p w14:paraId="0DF1CC78" w14:textId="77777777" w:rsidR="00A71EEF" w:rsidRDefault="0081115D">
            <w:pPr>
              <w:pStyle w:val="TableParagraph"/>
              <w:spacing w:before="20" w:line="252" w:lineRule="exact"/>
              <w:ind w:left="135" w:right="1195"/>
              <w:jc w:val="center"/>
              <w:rPr>
                <w:sz w:val="21"/>
              </w:rPr>
            </w:pPr>
            <w:r>
              <w:rPr>
                <w:sz w:val="21"/>
              </w:rPr>
              <w:t xml:space="preserve">15 </w:t>
            </w:r>
          </w:p>
        </w:tc>
        <w:tc>
          <w:tcPr>
            <w:tcW w:w="2665" w:type="dxa"/>
            <w:tcBorders>
              <w:top w:val="single" w:sz="6" w:space="0" w:color="000000"/>
              <w:left w:val="single" w:sz="6" w:space="0" w:color="000000"/>
              <w:bottom w:val="single" w:sz="6" w:space="0" w:color="000000"/>
              <w:right w:val="single" w:sz="6" w:space="0" w:color="000000"/>
            </w:tcBorders>
          </w:tcPr>
          <w:p w14:paraId="103DC48E" w14:textId="77777777" w:rsidR="00A71EEF" w:rsidRDefault="0081115D">
            <w:pPr>
              <w:pStyle w:val="TableParagraph"/>
              <w:spacing w:before="20" w:line="252" w:lineRule="exact"/>
              <w:ind w:left="135" w:right="1200"/>
              <w:jc w:val="center"/>
              <w:rPr>
                <w:sz w:val="21"/>
              </w:rPr>
            </w:pPr>
            <w:r>
              <w:rPr>
                <w:sz w:val="21"/>
              </w:rPr>
              <w:t xml:space="preserve">30 </w:t>
            </w:r>
          </w:p>
        </w:tc>
      </w:tr>
      <w:tr w:rsidR="00A71EEF" w14:paraId="452D6FCF" w14:textId="77777777">
        <w:trPr>
          <w:trHeight w:val="289"/>
        </w:trPr>
        <w:tc>
          <w:tcPr>
            <w:tcW w:w="3332" w:type="dxa"/>
            <w:tcBorders>
              <w:top w:val="single" w:sz="6" w:space="0" w:color="000000"/>
              <w:left w:val="single" w:sz="6" w:space="0" w:color="000000"/>
              <w:bottom w:val="single" w:sz="6" w:space="0" w:color="000000"/>
              <w:right w:val="single" w:sz="6" w:space="0" w:color="000000"/>
            </w:tcBorders>
          </w:tcPr>
          <w:p w14:paraId="17C54B86" w14:textId="77777777" w:rsidR="00A71EEF" w:rsidRDefault="0081115D">
            <w:pPr>
              <w:pStyle w:val="TableParagraph"/>
              <w:spacing w:line="258" w:lineRule="exact"/>
              <w:ind w:left="741"/>
              <w:rPr>
                <w:sz w:val="21"/>
              </w:rPr>
            </w:pPr>
            <w:r>
              <w:rPr>
                <w:sz w:val="21"/>
              </w:rPr>
              <w:t>中危险级</w:t>
            </w:r>
            <w:r>
              <w:rPr>
                <w:sz w:val="21"/>
              </w:rPr>
              <w:t xml:space="preserve"> </w:t>
            </w:r>
          </w:p>
        </w:tc>
        <w:tc>
          <w:tcPr>
            <w:tcW w:w="2780" w:type="dxa"/>
            <w:tcBorders>
              <w:top w:val="single" w:sz="6" w:space="0" w:color="000000"/>
              <w:left w:val="single" w:sz="6" w:space="0" w:color="000000"/>
              <w:bottom w:val="single" w:sz="6" w:space="0" w:color="000000"/>
              <w:right w:val="single" w:sz="6" w:space="0" w:color="000000"/>
            </w:tcBorders>
          </w:tcPr>
          <w:p w14:paraId="06EF0151" w14:textId="77777777" w:rsidR="00A71EEF" w:rsidRDefault="0081115D">
            <w:pPr>
              <w:pStyle w:val="TableParagraph"/>
              <w:spacing w:before="17" w:line="252" w:lineRule="exact"/>
              <w:ind w:left="135" w:right="1195"/>
              <w:jc w:val="center"/>
              <w:rPr>
                <w:sz w:val="21"/>
              </w:rPr>
            </w:pPr>
            <w:r>
              <w:rPr>
                <w:sz w:val="21"/>
              </w:rPr>
              <w:t xml:space="preserve">20 </w:t>
            </w:r>
          </w:p>
        </w:tc>
        <w:tc>
          <w:tcPr>
            <w:tcW w:w="2665" w:type="dxa"/>
            <w:tcBorders>
              <w:top w:val="single" w:sz="6" w:space="0" w:color="000000"/>
              <w:left w:val="single" w:sz="6" w:space="0" w:color="000000"/>
              <w:bottom w:val="single" w:sz="6" w:space="0" w:color="000000"/>
              <w:right w:val="single" w:sz="6" w:space="0" w:color="000000"/>
            </w:tcBorders>
          </w:tcPr>
          <w:p w14:paraId="1A12254B" w14:textId="77777777" w:rsidR="00A71EEF" w:rsidRDefault="0081115D">
            <w:pPr>
              <w:pStyle w:val="TableParagraph"/>
              <w:spacing w:before="17" w:line="252" w:lineRule="exact"/>
              <w:ind w:left="135" w:right="1200"/>
              <w:jc w:val="center"/>
              <w:rPr>
                <w:sz w:val="21"/>
              </w:rPr>
            </w:pPr>
            <w:r>
              <w:rPr>
                <w:sz w:val="21"/>
              </w:rPr>
              <w:t xml:space="preserve">40 </w:t>
            </w:r>
          </w:p>
        </w:tc>
      </w:tr>
      <w:tr w:rsidR="00A71EEF" w14:paraId="26738EFA" w14:textId="77777777">
        <w:trPr>
          <w:trHeight w:val="299"/>
        </w:trPr>
        <w:tc>
          <w:tcPr>
            <w:tcW w:w="3332" w:type="dxa"/>
            <w:tcBorders>
              <w:top w:val="single" w:sz="6" w:space="0" w:color="000000"/>
              <w:left w:val="single" w:sz="6" w:space="0" w:color="000000"/>
              <w:bottom w:val="single" w:sz="6" w:space="0" w:color="000000"/>
              <w:right w:val="single" w:sz="6" w:space="0" w:color="000000"/>
            </w:tcBorders>
          </w:tcPr>
          <w:p w14:paraId="7B272F90" w14:textId="77777777" w:rsidR="00A71EEF" w:rsidRDefault="0081115D">
            <w:pPr>
              <w:pStyle w:val="TableParagraph"/>
              <w:spacing w:line="263" w:lineRule="exact"/>
              <w:ind w:left="741"/>
              <w:rPr>
                <w:sz w:val="21"/>
              </w:rPr>
            </w:pPr>
            <w:r>
              <w:rPr>
                <w:sz w:val="21"/>
              </w:rPr>
              <w:t>轻危险级</w:t>
            </w:r>
            <w:r>
              <w:rPr>
                <w:sz w:val="21"/>
              </w:rPr>
              <w:t xml:space="preserve"> </w:t>
            </w:r>
          </w:p>
        </w:tc>
        <w:tc>
          <w:tcPr>
            <w:tcW w:w="2780" w:type="dxa"/>
            <w:tcBorders>
              <w:top w:val="single" w:sz="6" w:space="0" w:color="000000"/>
              <w:left w:val="single" w:sz="6" w:space="0" w:color="000000"/>
              <w:bottom w:val="single" w:sz="6" w:space="0" w:color="000000"/>
              <w:right w:val="single" w:sz="6" w:space="0" w:color="000000"/>
            </w:tcBorders>
          </w:tcPr>
          <w:p w14:paraId="29589F93" w14:textId="77777777" w:rsidR="00A71EEF" w:rsidRDefault="0081115D">
            <w:pPr>
              <w:pStyle w:val="TableParagraph"/>
              <w:spacing w:before="23" w:line="257" w:lineRule="exact"/>
              <w:ind w:left="135" w:right="1195"/>
              <w:jc w:val="center"/>
              <w:rPr>
                <w:sz w:val="21"/>
              </w:rPr>
            </w:pPr>
            <w:r>
              <w:rPr>
                <w:sz w:val="21"/>
              </w:rPr>
              <w:t xml:space="preserve">25 </w:t>
            </w:r>
          </w:p>
        </w:tc>
        <w:tc>
          <w:tcPr>
            <w:tcW w:w="2665" w:type="dxa"/>
            <w:tcBorders>
              <w:top w:val="single" w:sz="6" w:space="0" w:color="000000"/>
              <w:left w:val="single" w:sz="6" w:space="0" w:color="000000"/>
              <w:bottom w:val="single" w:sz="6" w:space="0" w:color="000000"/>
              <w:right w:val="single" w:sz="6" w:space="0" w:color="000000"/>
            </w:tcBorders>
          </w:tcPr>
          <w:p w14:paraId="47EE9269" w14:textId="77777777" w:rsidR="00A71EEF" w:rsidRDefault="0081115D">
            <w:pPr>
              <w:pStyle w:val="TableParagraph"/>
              <w:spacing w:before="23" w:line="257" w:lineRule="exact"/>
              <w:ind w:left="135" w:right="1200"/>
              <w:jc w:val="center"/>
              <w:rPr>
                <w:sz w:val="21"/>
              </w:rPr>
            </w:pPr>
            <w:r>
              <w:rPr>
                <w:sz w:val="21"/>
              </w:rPr>
              <w:t xml:space="preserve">50 </w:t>
            </w:r>
          </w:p>
        </w:tc>
      </w:tr>
    </w:tbl>
    <w:p w14:paraId="3A40D594" w14:textId="77777777" w:rsidR="00A71EEF" w:rsidRDefault="00A71EEF">
      <w:pPr>
        <w:pStyle w:val="a3"/>
        <w:spacing w:before="3"/>
        <w:rPr>
          <w:b/>
          <w:sz w:val="9"/>
        </w:rPr>
      </w:pPr>
    </w:p>
    <w:p w14:paraId="644E508D" w14:textId="77777777" w:rsidR="00A71EEF" w:rsidRDefault="0081115D">
      <w:pPr>
        <w:pStyle w:val="a4"/>
        <w:numPr>
          <w:ilvl w:val="2"/>
          <w:numId w:val="642"/>
        </w:numPr>
        <w:tabs>
          <w:tab w:val="left" w:pos="1371"/>
        </w:tabs>
        <w:spacing w:before="72"/>
        <w:ind w:left="1370" w:hanging="531"/>
        <w:rPr>
          <w:sz w:val="21"/>
        </w:rPr>
      </w:pPr>
      <w:r>
        <w:rPr>
          <w:spacing w:val="-30"/>
          <w:sz w:val="21"/>
        </w:rPr>
        <w:t>设置在</w:t>
      </w:r>
      <w:r>
        <w:rPr>
          <w:spacing w:val="-30"/>
          <w:sz w:val="21"/>
        </w:rPr>
        <w:t xml:space="preserve"> </w:t>
      </w:r>
      <w:r>
        <w:rPr>
          <w:spacing w:val="-3"/>
          <w:sz w:val="21"/>
        </w:rPr>
        <w:t>B</w:t>
      </w:r>
      <w:r>
        <w:rPr>
          <w:sz w:val="21"/>
        </w:rPr>
        <w:t>、</w:t>
      </w:r>
      <w:r>
        <w:rPr>
          <w:spacing w:val="-3"/>
          <w:sz w:val="21"/>
        </w:rPr>
        <w:t>C</w:t>
      </w:r>
      <w:r>
        <w:rPr>
          <w:spacing w:val="-106"/>
          <w:sz w:val="21"/>
        </w:rPr>
        <w:t>类</w:t>
      </w:r>
      <w:r>
        <w:rPr>
          <w:spacing w:val="-106"/>
          <w:sz w:val="21"/>
        </w:rPr>
        <w:t xml:space="preserve"> </w:t>
      </w:r>
      <w:r>
        <w:rPr>
          <w:spacing w:val="-2"/>
          <w:sz w:val="21"/>
        </w:rPr>
        <w:t xml:space="preserve"> </w:t>
      </w:r>
      <w:r>
        <w:rPr>
          <w:spacing w:val="-8"/>
          <w:sz w:val="21"/>
        </w:rPr>
        <w:t>火灾场所的灭火器，其最大保护距离应符合表</w:t>
      </w:r>
      <w:r>
        <w:rPr>
          <w:sz w:val="21"/>
        </w:rPr>
        <w:t>5</w:t>
      </w:r>
      <w:r>
        <w:rPr>
          <w:spacing w:val="-106"/>
          <w:sz w:val="21"/>
        </w:rPr>
        <w:t xml:space="preserve">. </w:t>
      </w:r>
      <w:r>
        <w:rPr>
          <w:sz w:val="21"/>
        </w:rPr>
        <w:t xml:space="preserve"> </w:t>
      </w:r>
      <w:r>
        <w:rPr>
          <w:spacing w:val="-3"/>
          <w:sz w:val="21"/>
        </w:rPr>
        <w:t>2</w:t>
      </w:r>
      <w:r>
        <w:rPr>
          <w:sz w:val="21"/>
        </w:rPr>
        <w:t>.</w:t>
      </w:r>
      <w:r>
        <w:rPr>
          <w:spacing w:val="-3"/>
          <w:sz w:val="21"/>
        </w:rPr>
        <w:t>2</w:t>
      </w:r>
      <w:r>
        <w:rPr>
          <w:spacing w:val="-3"/>
          <w:sz w:val="21"/>
        </w:rPr>
        <w:t>的规定。</w:t>
      </w:r>
      <w:r>
        <w:rPr>
          <w:spacing w:val="-942"/>
          <w:sz w:val="21"/>
        </w:rPr>
        <w:t xml:space="preserve"> </w:t>
      </w:r>
      <w:r>
        <w:rPr>
          <w:spacing w:val="-106"/>
          <w:sz w:val="21"/>
        </w:rPr>
        <w:t xml:space="preserve"> </w:t>
      </w:r>
    </w:p>
    <w:p w14:paraId="2B751D7F" w14:textId="77777777" w:rsidR="00A71EEF" w:rsidRDefault="0081115D">
      <w:pPr>
        <w:pStyle w:val="6"/>
        <w:spacing w:before="43" w:after="30"/>
        <w:ind w:left="2569"/>
      </w:pPr>
      <w:r>
        <w:t>表</w:t>
      </w:r>
      <w:r>
        <w:rPr>
          <w:spacing w:val="-106"/>
        </w:rPr>
        <w:t>5</w:t>
      </w:r>
      <w:r>
        <w:rPr>
          <w:spacing w:val="-1"/>
        </w:rPr>
        <w:t xml:space="preserve"> .</w:t>
      </w:r>
      <w:r>
        <w:t xml:space="preserve">2.2 </w:t>
      </w:r>
      <w:r>
        <w:rPr>
          <w:spacing w:val="-3"/>
        </w:rPr>
        <w:t>B</w:t>
      </w:r>
      <w:r>
        <w:t>、</w:t>
      </w:r>
      <w:r>
        <w:t>C</w:t>
      </w:r>
      <w:r>
        <w:rPr>
          <w:spacing w:val="-6"/>
        </w:rPr>
        <w:t>类火灾场所的灭火器最大保护距离</w:t>
      </w:r>
      <w:r>
        <w:rPr>
          <w:spacing w:val="-3"/>
        </w:rPr>
        <w:t>（</w:t>
      </w:r>
      <w:r>
        <w:rPr>
          <w:spacing w:val="-3"/>
        </w:rPr>
        <w:t>m</w:t>
      </w:r>
      <w:r>
        <w:rPr>
          <w:spacing w:val="-3"/>
        </w:rPr>
        <w:t>）</w:t>
      </w:r>
      <w:r>
        <w:rPr>
          <w:spacing w:val="-3"/>
          <w:w w:val="99"/>
        </w:rPr>
        <w:t xml:space="preserve"> </w:t>
      </w:r>
    </w:p>
    <w:tbl>
      <w:tblPr>
        <w:tblStyle w:val="TableNormal"/>
        <w:tblW w:w="0" w:type="auto"/>
        <w:tblInd w:w="4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78"/>
        <w:gridCol w:w="2647"/>
        <w:gridCol w:w="2650"/>
      </w:tblGrid>
      <w:tr w:rsidR="00A71EEF" w14:paraId="35D10BC1" w14:textId="77777777">
        <w:trPr>
          <w:trHeight w:val="623"/>
        </w:trPr>
        <w:tc>
          <w:tcPr>
            <w:tcW w:w="3478" w:type="dxa"/>
          </w:tcPr>
          <w:p w14:paraId="46F956AC" w14:textId="77777777" w:rsidR="00A71EEF" w:rsidRDefault="00A71EEF">
            <w:pPr>
              <w:pStyle w:val="TableParagraph"/>
              <w:spacing w:before="7"/>
              <w:rPr>
                <w:b/>
                <w:sz w:val="2"/>
              </w:rPr>
            </w:pPr>
          </w:p>
          <w:p w14:paraId="667ECD8A" w14:textId="77777777" w:rsidR="00A71EEF" w:rsidRDefault="0081115D">
            <w:pPr>
              <w:pStyle w:val="TableParagraph"/>
              <w:spacing w:line="20" w:lineRule="exact"/>
              <w:ind w:left="268"/>
              <w:rPr>
                <w:sz w:val="2"/>
              </w:rPr>
            </w:pPr>
            <w:r>
              <w:rPr>
                <w:sz w:val="2"/>
              </w:rPr>
            </w:r>
            <w:r>
              <w:rPr>
                <w:sz w:val="2"/>
              </w:rPr>
              <w:pict w14:anchorId="5AF0A4B0">
                <v:group id="_x0000_s1163" style="width:144.25pt;height:.5pt;mso-position-horizontal-relative:char;mso-position-vertical-relative:line" coordsize="2885,10">
                  <v:line id="_x0000_s1164" style="position:absolute" from="0,5" to="2885,5" strokeweight=".48pt"/>
                  <w10:wrap type="none"/>
                  <w10:anchorlock/>
                </v:group>
              </w:pict>
            </w:r>
          </w:p>
          <w:p w14:paraId="29A004CB" w14:textId="77777777" w:rsidR="00A71EEF" w:rsidRDefault="0081115D">
            <w:pPr>
              <w:pStyle w:val="TableParagraph"/>
              <w:spacing w:before="8"/>
              <w:ind w:left="107"/>
              <w:rPr>
                <w:sz w:val="21"/>
              </w:rPr>
            </w:pPr>
            <w:r>
              <w:rPr>
                <w:sz w:val="21"/>
              </w:rPr>
              <w:t>灭火器形式</w:t>
            </w:r>
            <w:r>
              <w:rPr>
                <w:sz w:val="21"/>
              </w:rPr>
              <w:t xml:space="preserve"> </w:t>
            </w:r>
            <w:r>
              <w:rPr>
                <w:sz w:val="21"/>
              </w:rPr>
              <w:t>危险等级</w:t>
            </w:r>
            <w:r>
              <w:rPr>
                <w:sz w:val="21"/>
              </w:rPr>
              <w:t xml:space="preserve"> </w:t>
            </w:r>
          </w:p>
        </w:tc>
        <w:tc>
          <w:tcPr>
            <w:tcW w:w="2647" w:type="dxa"/>
          </w:tcPr>
          <w:p w14:paraId="7AE4BB88" w14:textId="77777777" w:rsidR="00A71EEF" w:rsidRDefault="0081115D">
            <w:pPr>
              <w:pStyle w:val="TableParagraph"/>
              <w:spacing w:line="135" w:lineRule="exact"/>
              <w:ind w:left="107"/>
              <w:rPr>
                <w:sz w:val="12"/>
              </w:rPr>
            </w:pPr>
            <w:r>
              <w:rPr>
                <w:sz w:val="12"/>
              </w:rPr>
              <w:t xml:space="preserve"> </w:t>
            </w:r>
          </w:p>
          <w:p w14:paraId="33FB3DCD" w14:textId="77777777" w:rsidR="00A71EEF" w:rsidRDefault="0081115D">
            <w:pPr>
              <w:pStyle w:val="TableParagraph"/>
              <w:spacing w:line="265" w:lineRule="exact"/>
              <w:ind w:left="107"/>
              <w:rPr>
                <w:sz w:val="21"/>
              </w:rPr>
            </w:pPr>
            <w:r>
              <w:rPr>
                <w:sz w:val="21"/>
              </w:rPr>
              <w:t>手提式灭火器</w:t>
            </w:r>
            <w:r>
              <w:rPr>
                <w:sz w:val="21"/>
              </w:rPr>
              <w:t xml:space="preserve"> </w:t>
            </w:r>
          </w:p>
        </w:tc>
        <w:tc>
          <w:tcPr>
            <w:tcW w:w="2650" w:type="dxa"/>
          </w:tcPr>
          <w:p w14:paraId="487EC2CE" w14:textId="77777777" w:rsidR="00A71EEF" w:rsidRDefault="0081115D">
            <w:pPr>
              <w:pStyle w:val="TableParagraph"/>
              <w:spacing w:line="135" w:lineRule="exact"/>
              <w:ind w:left="110"/>
              <w:rPr>
                <w:sz w:val="12"/>
              </w:rPr>
            </w:pPr>
            <w:r>
              <w:rPr>
                <w:sz w:val="12"/>
              </w:rPr>
              <w:t xml:space="preserve"> </w:t>
            </w:r>
          </w:p>
          <w:p w14:paraId="420430CD" w14:textId="77777777" w:rsidR="00A71EEF" w:rsidRDefault="0081115D">
            <w:pPr>
              <w:pStyle w:val="TableParagraph"/>
              <w:spacing w:line="265" w:lineRule="exact"/>
              <w:ind w:left="110"/>
              <w:rPr>
                <w:sz w:val="21"/>
              </w:rPr>
            </w:pPr>
            <w:r>
              <w:rPr>
                <w:sz w:val="21"/>
              </w:rPr>
              <w:t>推车式灭火器</w:t>
            </w:r>
            <w:r>
              <w:rPr>
                <w:sz w:val="21"/>
              </w:rPr>
              <w:t xml:space="preserve"> </w:t>
            </w:r>
          </w:p>
        </w:tc>
      </w:tr>
      <w:tr w:rsidR="00A71EEF" w14:paraId="5D0F62A7" w14:textId="77777777">
        <w:trPr>
          <w:trHeight w:val="256"/>
        </w:trPr>
        <w:tc>
          <w:tcPr>
            <w:tcW w:w="3478" w:type="dxa"/>
          </w:tcPr>
          <w:p w14:paraId="2FBCB871" w14:textId="77777777" w:rsidR="00A71EEF" w:rsidRDefault="0081115D">
            <w:pPr>
              <w:pStyle w:val="TableParagraph"/>
              <w:spacing w:line="236" w:lineRule="exact"/>
              <w:ind w:left="107"/>
              <w:rPr>
                <w:sz w:val="21"/>
              </w:rPr>
            </w:pPr>
            <w:r>
              <w:rPr>
                <w:sz w:val="21"/>
              </w:rPr>
              <w:t>严重危险级</w:t>
            </w:r>
            <w:r>
              <w:rPr>
                <w:sz w:val="21"/>
              </w:rPr>
              <w:t xml:space="preserve"> </w:t>
            </w:r>
          </w:p>
        </w:tc>
        <w:tc>
          <w:tcPr>
            <w:tcW w:w="2647" w:type="dxa"/>
          </w:tcPr>
          <w:p w14:paraId="75FC8BE8" w14:textId="77777777" w:rsidR="00A71EEF" w:rsidRDefault="0081115D">
            <w:pPr>
              <w:pStyle w:val="TableParagraph"/>
              <w:spacing w:before="13" w:line="223" w:lineRule="exact"/>
              <w:ind w:left="683"/>
              <w:rPr>
                <w:sz w:val="21"/>
              </w:rPr>
            </w:pPr>
            <w:r>
              <w:rPr>
                <w:sz w:val="21"/>
              </w:rPr>
              <w:t xml:space="preserve">9 </w:t>
            </w:r>
          </w:p>
        </w:tc>
        <w:tc>
          <w:tcPr>
            <w:tcW w:w="2650" w:type="dxa"/>
          </w:tcPr>
          <w:p w14:paraId="749040B5" w14:textId="77777777" w:rsidR="00A71EEF" w:rsidRDefault="0081115D">
            <w:pPr>
              <w:pStyle w:val="TableParagraph"/>
              <w:spacing w:before="13" w:line="223" w:lineRule="exact"/>
              <w:ind w:left="634"/>
              <w:rPr>
                <w:sz w:val="21"/>
              </w:rPr>
            </w:pPr>
            <w:r>
              <w:rPr>
                <w:sz w:val="21"/>
              </w:rPr>
              <w:t xml:space="preserve">18 </w:t>
            </w:r>
          </w:p>
        </w:tc>
      </w:tr>
      <w:tr w:rsidR="00A71EEF" w14:paraId="2C87D235" w14:textId="77777777">
        <w:trPr>
          <w:trHeight w:val="263"/>
        </w:trPr>
        <w:tc>
          <w:tcPr>
            <w:tcW w:w="3478" w:type="dxa"/>
          </w:tcPr>
          <w:p w14:paraId="32488719" w14:textId="77777777" w:rsidR="00A71EEF" w:rsidRDefault="0081115D">
            <w:pPr>
              <w:pStyle w:val="TableParagraph"/>
              <w:spacing w:line="243" w:lineRule="exact"/>
              <w:ind w:left="107"/>
              <w:rPr>
                <w:sz w:val="21"/>
              </w:rPr>
            </w:pPr>
            <w:r>
              <w:rPr>
                <w:sz w:val="21"/>
              </w:rPr>
              <w:t>中危险级</w:t>
            </w:r>
            <w:r>
              <w:rPr>
                <w:sz w:val="21"/>
              </w:rPr>
              <w:t xml:space="preserve"> </w:t>
            </w:r>
          </w:p>
        </w:tc>
        <w:tc>
          <w:tcPr>
            <w:tcW w:w="2647" w:type="dxa"/>
          </w:tcPr>
          <w:p w14:paraId="2373892C" w14:textId="77777777" w:rsidR="00A71EEF" w:rsidRDefault="0081115D">
            <w:pPr>
              <w:pStyle w:val="TableParagraph"/>
              <w:spacing w:before="15" w:line="228" w:lineRule="exact"/>
              <w:ind w:left="631"/>
              <w:rPr>
                <w:sz w:val="21"/>
              </w:rPr>
            </w:pPr>
            <w:r>
              <w:rPr>
                <w:sz w:val="21"/>
              </w:rPr>
              <w:t xml:space="preserve">12 </w:t>
            </w:r>
          </w:p>
        </w:tc>
        <w:tc>
          <w:tcPr>
            <w:tcW w:w="2650" w:type="dxa"/>
          </w:tcPr>
          <w:p w14:paraId="22623494" w14:textId="77777777" w:rsidR="00A71EEF" w:rsidRDefault="0081115D">
            <w:pPr>
              <w:pStyle w:val="TableParagraph"/>
              <w:spacing w:before="15" w:line="228" w:lineRule="exact"/>
              <w:ind w:left="634"/>
              <w:rPr>
                <w:sz w:val="21"/>
              </w:rPr>
            </w:pPr>
            <w:r>
              <w:rPr>
                <w:sz w:val="21"/>
              </w:rPr>
              <w:t xml:space="preserve">24 </w:t>
            </w:r>
          </w:p>
        </w:tc>
      </w:tr>
      <w:tr w:rsidR="00A71EEF" w14:paraId="2CFF92F8" w14:textId="77777777">
        <w:trPr>
          <w:trHeight w:val="273"/>
        </w:trPr>
        <w:tc>
          <w:tcPr>
            <w:tcW w:w="3478" w:type="dxa"/>
          </w:tcPr>
          <w:p w14:paraId="7197F6D2" w14:textId="77777777" w:rsidR="00A71EEF" w:rsidRDefault="0081115D">
            <w:pPr>
              <w:pStyle w:val="TableParagraph"/>
              <w:spacing w:line="253" w:lineRule="exact"/>
              <w:ind w:left="107"/>
              <w:rPr>
                <w:sz w:val="21"/>
              </w:rPr>
            </w:pPr>
            <w:r>
              <w:rPr>
                <w:sz w:val="21"/>
              </w:rPr>
              <w:t>轻危险级</w:t>
            </w:r>
            <w:r>
              <w:rPr>
                <w:sz w:val="21"/>
              </w:rPr>
              <w:t xml:space="preserve"> </w:t>
            </w:r>
          </w:p>
        </w:tc>
        <w:tc>
          <w:tcPr>
            <w:tcW w:w="2647" w:type="dxa"/>
          </w:tcPr>
          <w:p w14:paraId="6DE4BFA3" w14:textId="77777777" w:rsidR="00A71EEF" w:rsidRDefault="0081115D">
            <w:pPr>
              <w:pStyle w:val="TableParagraph"/>
              <w:spacing w:before="20" w:line="233" w:lineRule="exact"/>
              <w:ind w:left="631"/>
              <w:rPr>
                <w:sz w:val="21"/>
              </w:rPr>
            </w:pPr>
            <w:r>
              <w:rPr>
                <w:sz w:val="21"/>
              </w:rPr>
              <w:t xml:space="preserve">15 </w:t>
            </w:r>
          </w:p>
        </w:tc>
        <w:tc>
          <w:tcPr>
            <w:tcW w:w="2650" w:type="dxa"/>
          </w:tcPr>
          <w:p w14:paraId="7B98B909" w14:textId="77777777" w:rsidR="00A71EEF" w:rsidRDefault="0081115D">
            <w:pPr>
              <w:pStyle w:val="TableParagraph"/>
              <w:spacing w:before="20" w:line="233" w:lineRule="exact"/>
              <w:ind w:left="634"/>
              <w:rPr>
                <w:sz w:val="21"/>
              </w:rPr>
            </w:pPr>
            <w:r>
              <w:rPr>
                <w:sz w:val="21"/>
              </w:rPr>
              <w:t xml:space="preserve">30 </w:t>
            </w:r>
          </w:p>
        </w:tc>
      </w:tr>
    </w:tbl>
    <w:p w14:paraId="63B601F1" w14:textId="77777777" w:rsidR="00A71EEF" w:rsidRDefault="00A71EEF">
      <w:pPr>
        <w:pStyle w:val="a3"/>
        <w:spacing w:before="11"/>
        <w:rPr>
          <w:b/>
          <w:sz w:val="14"/>
        </w:rPr>
      </w:pPr>
    </w:p>
    <w:p w14:paraId="58757030" w14:textId="77777777" w:rsidR="00A71EEF" w:rsidRDefault="0081115D">
      <w:pPr>
        <w:pStyle w:val="a4"/>
        <w:numPr>
          <w:ilvl w:val="2"/>
          <w:numId w:val="642"/>
        </w:numPr>
        <w:tabs>
          <w:tab w:val="left" w:pos="1371"/>
        </w:tabs>
        <w:ind w:left="1370" w:hanging="531"/>
        <w:rPr>
          <w:sz w:val="21"/>
        </w:rPr>
      </w:pPr>
      <w:r>
        <w:rPr>
          <w:sz w:val="21"/>
        </w:rPr>
        <w:t>D</w:t>
      </w:r>
      <w:r>
        <w:rPr>
          <w:spacing w:val="-9"/>
          <w:sz w:val="21"/>
        </w:rPr>
        <w:t xml:space="preserve"> </w:t>
      </w:r>
      <w:r>
        <w:rPr>
          <w:spacing w:val="-9"/>
          <w:sz w:val="21"/>
        </w:rPr>
        <w:t>类火灾场所的灭火器，其最大保护距离应根据具体情况研究确定。</w:t>
      </w:r>
      <w:r>
        <w:rPr>
          <w:spacing w:val="-9"/>
          <w:sz w:val="21"/>
        </w:rPr>
        <w:t xml:space="preserve"> </w:t>
      </w:r>
      <w:r>
        <w:rPr>
          <w:spacing w:val="41"/>
          <w:sz w:val="21"/>
        </w:rPr>
        <w:t xml:space="preserve"> </w:t>
      </w:r>
      <w:hyperlink r:id="rId197" w:anchor="523">
        <w:r>
          <w:rPr>
            <w:sz w:val="21"/>
          </w:rPr>
          <w:t xml:space="preserve"> </w:t>
        </w:r>
      </w:hyperlink>
      <w:r>
        <w:rPr>
          <w:sz w:val="21"/>
        </w:rPr>
        <w:t xml:space="preserve"> </w:t>
      </w:r>
    </w:p>
    <w:p w14:paraId="2C5DC206" w14:textId="77777777" w:rsidR="00A71EEF" w:rsidRDefault="00A71EEF">
      <w:pPr>
        <w:pStyle w:val="a3"/>
        <w:spacing w:before="2"/>
        <w:rPr>
          <w:sz w:val="18"/>
        </w:rPr>
      </w:pPr>
    </w:p>
    <w:p w14:paraId="23E918D4" w14:textId="77777777" w:rsidR="00A71EEF" w:rsidRDefault="0081115D">
      <w:pPr>
        <w:pStyle w:val="a4"/>
        <w:numPr>
          <w:ilvl w:val="2"/>
          <w:numId w:val="642"/>
        </w:numPr>
        <w:tabs>
          <w:tab w:val="left" w:pos="1371"/>
        </w:tabs>
        <w:spacing w:before="1" w:line="446" w:lineRule="auto"/>
        <w:ind w:left="418" w:right="1656" w:firstLine="422"/>
        <w:rPr>
          <w:sz w:val="21"/>
        </w:rPr>
      </w:pPr>
      <w:r>
        <w:rPr>
          <w:sz w:val="21"/>
        </w:rPr>
        <w:t>E</w:t>
      </w:r>
      <w:r>
        <w:rPr>
          <w:spacing w:val="-9"/>
          <w:sz w:val="21"/>
        </w:rPr>
        <w:t xml:space="preserve"> </w:t>
      </w:r>
      <w:r>
        <w:rPr>
          <w:spacing w:val="-9"/>
          <w:sz w:val="21"/>
        </w:rPr>
        <w:t>类火灾场所的灭火器，其最大保护距离不应低于该场所内</w:t>
      </w:r>
      <w:r>
        <w:rPr>
          <w:spacing w:val="-9"/>
          <w:sz w:val="21"/>
        </w:rPr>
        <w:t xml:space="preserve"> </w:t>
      </w:r>
      <w:r>
        <w:rPr>
          <w:sz w:val="21"/>
        </w:rPr>
        <w:t>A</w:t>
      </w:r>
      <w:r>
        <w:rPr>
          <w:spacing w:val="2"/>
          <w:sz w:val="21"/>
        </w:rPr>
        <w:t xml:space="preserve"> </w:t>
      </w:r>
      <w:r>
        <w:rPr>
          <w:spacing w:val="2"/>
          <w:sz w:val="21"/>
        </w:rPr>
        <w:t>类或</w:t>
      </w:r>
      <w:r>
        <w:rPr>
          <w:spacing w:val="2"/>
          <w:sz w:val="21"/>
        </w:rPr>
        <w:t xml:space="preserve"> </w:t>
      </w:r>
      <w:r>
        <w:rPr>
          <w:spacing w:val="-3"/>
          <w:sz w:val="21"/>
        </w:rPr>
        <w:t>B</w:t>
      </w:r>
      <w:r>
        <w:rPr>
          <w:spacing w:val="-1"/>
          <w:sz w:val="21"/>
        </w:rPr>
        <w:t xml:space="preserve"> </w:t>
      </w:r>
      <w:r>
        <w:rPr>
          <w:spacing w:val="-1"/>
          <w:sz w:val="21"/>
        </w:rPr>
        <w:t>类火灾的规</w:t>
      </w:r>
      <w:r>
        <w:rPr>
          <w:spacing w:val="-2"/>
          <w:sz w:val="21"/>
        </w:rPr>
        <w:t>定。</w:t>
      </w:r>
      <w:r>
        <w:rPr>
          <w:sz w:val="21"/>
        </w:rPr>
        <w:t xml:space="preserve"> </w:t>
      </w:r>
    </w:p>
    <w:p w14:paraId="406A3CC8" w14:textId="77777777" w:rsidR="00A71EEF" w:rsidRDefault="0081115D">
      <w:pPr>
        <w:pStyle w:val="4"/>
        <w:spacing w:line="275" w:lineRule="exact"/>
      </w:pPr>
      <w:r>
        <w:t xml:space="preserve">6 </w:t>
      </w:r>
      <w:r>
        <w:t>灭火器的配置</w:t>
      </w:r>
      <w:r>
        <w:rPr>
          <w:w w:val="99"/>
        </w:rPr>
        <w:t xml:space="preserve"> </w:t>
      </w:r>
    </w:p>
    <w:p w14:paraId="46AA8E3C" w14:textId="77777777" w:rsidR="00A71EEF" w:rsidRDefault="00A71EEF">
      <w:pPr>
        <w:pStyle w:val="a3"/>
        <w:spacing w:before="6"/>
        <w:rPr>
          <w:b/>
          <w:sz w:val="17"/>
        </w:rPr>
      </w:pPr>
    </w:p>
    <w:p w14:paraId="181F7BE0" w14:textId="77777777" w:rsidR="00A71EEF" w:rsidRDefault="0081115D">
      <w:pPr>
        <w:pStyle w:val="a4"/>
        <w:numPr>
          <w:ilvl w:val="1"/>
          <w:numId w:val="641"/>
        </w:numPr>
        <w:tabs>
          <w:tab w:val="left" w:pos="1160"/>
        </w:tabs>
        <w:rPr>
          <w:b/>
          <w:sz w:val="21"/>
        </w:rPr>
      </w:pPr>
      <w:r>
        <w:rPr>
          <w:spacing w:val="-3"/>
          <w:sz w:val="21"/>
        </w:rPr>
        <w:t>一般规定</w:t>
      </w:r>
      <w:r>
        <w:rPr>
          <w:b/>
          <w:w w:val="99"/>
          <w:sz w:val="21"/>
        </w:rPr>
        <w:t xml:space="preserve"> </w:t>
      </w:r>
    </w:p>
    <w:p w14:paraId="0ADFFF51" w14:textId="77777777" w:rsidR="00A71EEF" w:rsidRDefault="00A71EEF">
      <w:pPr>
        <w:pStyle w:val="a3"/>
        <w:spacing w:before="12"/>
        <w:rPr>
          <w:b/>
          <w:sz w:val="17"/>
        </w:rPr>
      </w:pPr>
    </w:p>
    <w:p w14:paraId="4E529014" w14:textId="77777777" w:rsidR="00A71EEF" w:rsidRDefault="0081115D">
      <w:pPr>
        <w:pStyle w:val="a4"/>
        <w:numPr>
          <w:ilvl w:val="2"/>
          <w:numId w:val="641"/>
        </w:numPr>
        <w:tabs>
          <w:tab w:val="left" w:pos="1371"/>
        </w:tabs>
        <w:rPr>
          <w:sz w:val="21"/>
        </w:rPr>
      </w:pPr>
      <w:r>
        <w:rPr>
          <w:spacing w:val="-3"/>
          <w:sz w:val="21"/>
        </w:rPr>
        <w:t>一个计算单元内配置的灭火器数量不得少于</w:t>
      </w:r>
      <w:r>
        <w:rPr>
          <w:spacing w:val="-3"/>
          <w:sz w:val="21"/>
        </w:rPr>
        <w:t xml:space="preserve"> </w:t>
      </w:r>
      <w:r>
        <w:rPr>
          <w:sz w:val="21"/>
        </w:rPr>
        <w:t>2</w:t>
      </w:r>
      <w:r>
        <w:rPr>
          <w:spacing w:val="-1"/>
          <w:sz w:val="21"/>
        </w:rPr>
        <w:t xml:space="preserve"> </w:t>
      </w:r>
      <w:r>
        <w:rPr>
          <w:spacing w:val="-1"/>
          <w:sz w:val="21"/>
        </w:rPr>
        <w:t>具。</w:t>
      </w:r>
      <w:r>
        <w:rPr>
          <w:spacing w:val="-8"/>
          <w:sz w:val="21"/>
        </w:rPr>
        <w:t xml:space="preserve"> </w:t>
      </w:r>
      <w:hyperlink r:id="rId198" w:anchor="611">
        <w:r>
          <w:rPr>
            <w:sz w:val="21"/>
          </w:rPr>
          <w:t xml:space="preserve"> </w:t>
        </w:r>
      </w:hyperlink>
      <w:r>
        <w:rPr>
          <w:sz w:val="21"/>
        </w:rPr>
        <w:t xml:space="preserve"> </w:t>
      </w:r>
    </w:p>
    <w:p w14:paraId="506E3E4F" w14:textId="77777777" w:rsidR="00A71EEF" w:rsidRDefault="00A71EEF">
      <w:pPr>
        <w:pStyle w:val="a3"/>
        <w:rPr>
          <w:sz w:val="18"/>
        </w:rPr>
      </w:pPr>
    </w:p>
    <w:p w14:paraId="30593DE2" w14:textId="77777777" w:rsidR="00A71EEF" w:rsidRDefault="0081115D">
      <w:pPr>
        <w:pStyle w:val="a4"/>
        <w:numPr>
          <w:ilvl w:val="2"/>
          <w:numId w:val="641"/>
        </w:numPr>
        <w:tabs>
          <w:tab w:val="left" w:pos="1370"/>
        </w:tabs>
        <w:ind w:left="1369" w:hanging="530"/>
        <w:rPr>
          <w:sz w:val="21"/>
        </w:rPr>
      </w:pPr>
      <w:r>
        <w:rPr>
          <w:spacing w:val="-3"/>
          <w:sz w:val="21"/>
        </w:rPr>
        <w:t>每个设置点的灭火器数量不宜多于</w:t>
      </w:r>
      <w:r>
        <w:rPr>
          <w:spacing w:val="-3"/>
          <w:sz w:val="21"/>
        </w:rPr>
        <w:t xml:space="preserve"> </w:t>
      </w:r>
      <w:r>
        <w:rPr>
          <w:sz w:val="21"/>
        </w:rPr>
        <w:t xml:space="preserve">5 </w:t>
      </w:r>
      <w:r>
        <w:rPr>
          <w:sz w:val="21"/>
        </w:rPr>
        <w:t>具。</w:t>
      </w:r>
      <w:hyperlink r:id="rId199" w:anchor="612">
        <w:r>
          <w:rPr>
            <w:b/>
            <w:w w:val="99"/>
            <w:sz w:val="21"/>
          </w:rPr>
          <w:t xml:space="preserve"> </w:t>
        </w:r>
      </w:hyperlink>
      <w:r>
        <w:rPr>
          <w:sz w:val="21"/>
        </w:rPr>
        <w:t xml:space="preserve"> </w:t>
      </w:r>
    </w:p>
    <w:p w14:paraId="6AA7D121" w14:textId="77777777" w:rsidR="00A71EEF" w:rsidRDefault="00A71EEF">
      <w:pPr>
        <w:pStyle w:val="a3"/>
        <w:spacing w:before="2"/>
        <w:rPr>
          <w:sz w:val="18"/>
        </w:rPr>
      </w:pPr>
    </w:p>
    <w:p w14:paraId="430ECA83" w14:textId="77777777" w:rsidR="00A71EEF" w:rsidRDefault="0081115D">
      <w:pPr>
        <w:pStyle w:val="a4"/>
        <w:numPr>
          <w:ilvl w:val="2"/>
          <w:numId w:val="641"/>
        </w:numPr>
        <w:tabs>
          <w:tab w:val="left" w:pos="1370"/>
        </w:tabs>
        <w:spacing w:line="446" w:lineRule="auto"/>
        <w:ind w:left="418" w:right="1606" w:firstLine="422"/>
        <w:rPr>
          <w:sz w:val="21"/>
        </w:rPr>
      </w:pPr>
      <w:r>
        <w:rPr>
          <w:spacing w:val="-3"/>
          <w:sz w:val="21"/>
        </w:rPr>
        <w:t>当住宅楼每层的公共部位建筑面积超过</w:t>
      </w:r>
      <w:r>
        <w:rPr>
          <w:spacing w:val="-3"/>
          <w:sz w:val="21"/>
        </w:rPr>
        <w:t xml:space="preserve"> </w:t>
      </w:r>
      <w:r>
        <w:rPr>
          <w:sz w:val="21"/>
        </w:rPr>
        <w:t>100</w:t>
      </w:r>
      <w:r>
        <w:rPr>
          <w:spacing w:val="-2"/>
          <w:sz w:val="21"/>
        </w:rPr>
        <w:t xml:space="preserve"> </w:t>
      </w:r>
      <w:r>
        <w:rPr>
          <w:spacing w:val="-2"/>
          <w:sz w:val="21"/>
        </w:rPr>
        <w:t>㎡时，应配置</w:t>
      </w:r>
      <w:r>
        <w:rPr>
          <w:spacing w:val="-2"/>
          <w:sz w:val="21"/>
        </w:rPr>
        <w:t xml:space="preserve"> </w:t>
      </w:r>
      <w:r>
        <w:rPr>
          <w:spacing w:val="-3"/>
          <w:sz w:val="21"/>
        </w:rPr>
        <w:t>1</w:t>
      </w:r>
      <w:r>
        <w:rPr>
          <w:spacing w:val="2"/>
          <w:sz w:val="21"/>
        </w:rPr>
        <w:t xml:space="preserve"> </w:t>
      </w:r>
      <w:r>
        <w:rPr>
          <w:spacing w:val="2"/>
          <w:sz w:val="21"/>
        </w:rPr>
        <w:t>具</w:t>
      </w:r>
      <w:r>
        <w:rPr>
          <w:spacing w:val="2"/>
          <w:sz w:val="21"/>
        </w:rPr>
        <w:t xml:space="preserve"> </w:t>
      </w:r>
      <w:r>
        <w:rPr>
          <w:sz w:val="21"/>
        </w:rPr>
        <w:t>1A</w:t>
      </w:r>
      <w:r>
        <w:rPr>
          <w:spacing w:val="-1"/>
          <w:sz w:val="21"/>
        </w:rPr>
        <w:t xml:space="preserve"> </w:t>
      </w:r>
      <w:r>
        <w:rPr>
          <w:spacing w:val="-1"/>
          <w:sz w:val="21"/>
        </w:rPr>
        <w:t>的手提式灭火</w:t>
      </w:r>
      <w:r>
        <w:rPr>
          <w:spacing w:val="-3"/>
          <w:sz w:val="21"/>
        </w:rPr>
        <w:t>器；每增加</w:t>
      </w:r>
      <w:r>
        <w:rPr>
          <w:spacing w:val="-3"/>
          <w:sz w:val="21"/>
        </w:rPr>
        <w:t xml:space="preserve"> </w:t>
      </w:r>
      <w:r>
        <w:rPr>
          <w:sz w:val="21"/>
        </w:rPr>
        <w:t>100</w:t>
      </w:r>
      <w:r>
        <w:rPr>
          <w:spacing w:val="-10"/>
          <w:sz w:val="21"/>
        </w:rPr>
        <w:t xml:space="preserve"> </w:t>
      </w:r>
      <w:r>
        <w:rPr>
          <w:spacing w:val="-10"/>
          <w:sz w:val="21"/>
        </w:rPr>
        <w:t>㎡时，增配</w:t>
      </w:r>
      <w:r>
        <w:rPr>
          <w:spacing w:val="-10"/>
          <w:sz w:val="21"/>
        </w:rPr>
        <w:t xml:space="preserve"> </w:t>
      </w:r>
      <w:r>
        <w:rPr>
          <w:sz w:val="21"/>
        </w:rPr>
        <w:t>1</w:t>
      </w:r>
      <w:r>
        <w:rPr>
          <w:spacing w:val="-1"/>
          <w:sz w:val="21"/>
        </w:rPr>
        <w:t xml:space="preserve"> </w:t>
      </w:r>
      <w:r>
        <w:rPr>
          <w:spacing w:val="-1"/>
          <w:sz w:val="21"/>
        </w:rPr>
        <w:t>具</w:t>
      </w:r>
      <w:r>
        <w:rPr>
          <w:spacing w:val="-1"/>
          <w:sz w:val="21"/>
        </w:rPr>
        <w:t xml:space="preserve"> </w:t>
      </w:r>
      <w:r>
        <w:rPr>
          <w:sz w:val="21"/>
        </w:rPr>
        <w:t>1A</w:t>
      </w:r>
      <w:r>
        <w:rPr>
          <w:spacing w:val="-3"/>
          <w:sz w:val="21"/>
        </w:rPr>
        <w:t xml:space="preserve"> </w:t>
      </w:r>
      <w:r>
        <w:rPr>
          <w:spacing w:val="-3"/>
          <w:sz w:val="21"/>
        </w:rPr>
        <w:t>的手提式灭火器。</w:t>
      </w:r>
      <w:r>
        <w:rPr>
          <w:sz w:val="21"/>
        </w:rPr>
        <w:t xml:space="preserve">  </w:t>
      </w:r>
      <w:r>
        <w:rPr>
          <w:spacing w:val="-52"/>
          <w:sz w:val="21"/>
        </w:rPr>
        <w:t xml:space="preserve"> </w:t>
      </w:r>
      <w:hyperlink r:id="rId200" w:anchor="613">
        <w:r>
          <w:rPr>
            <w:b/>
            <w:w w:val="99"/>
            <w:sz w:val="21"/>
          </w:rPr>
          <w:t xml:space="preserve"> </w:t>
        </w:r>
      </w:hyperlink>
      <w:r>
        <w:rPr>
          <w:sz w:val="21"/>
        </w:rPr>
        <w:t xml:space="preserve"> </w:t>
      </w:r>
    </w:p>
    <w:p w14:paraId="297BD02B" w14:textId="77777777" w:rsidR="00A71EEF" w:rsidRDefault="0081115D">
      <w:pPr>
        <w:pStyle w:val="a4"/>
        <w:numPr>
          <w:ilvl w:val="1"/>
          <w:numId w:val="641"/>
        </w:numPr>
        <w:tabs>
          <w:tab w:val="left" w:pos="1159"/>
        </w:tabs>
        <w:spacing w:line="267" w:lineRule="exact"/>
        <w:ind w:left="1158" w:hanging="319"/>
        <w:rPr>
          <w:b/>
          <w:sz w:val="21"/>
        </w:rPr>
      </w:pPr>
      <w:r>
        <w:rPr>
          <w:spacing w:val="-3"/>
          <w:sz w:val="21"/>
        </w:rPr>
        <w:t>灭火器的最低配置基准</w:t>
      </w:r>
      <w:r>
        <w:rPr>
          <w:b/>
          <w:spacing w:val="-3"/>
          <w:w w:val="99"/>
          <w:sz w:val="21"/>
        </w:rPr>
        <w:t xml:space="preserve"> </w:t>
      </w:r>
    </w:p>
    <w:p w14:paraId="0DEDCD87" w14:textId="77777777" w:rsidR="00A71EEF" w:rsidRDefault="00A71EEF">
      <w:pPr>
        <w:spacing w:line="267" w:lineRule="exact"/>
        <w:rPr>
          <w:sz w:val="21"/>
        </w:rPr>
        <w:sectPr w:rsidR="00A71EEF">
          <w:pgSz w:w="11910" w:h="16850"/>
          <w:pgMar w:top="1220" w:right="0" w:bottom="1420" w:left="1260" w:header="0" w:footer="1159" w:gutter="0"/>
          <w:cols w:space="720"/>
        </w:sectPr>
      </w:pPr>
    </w:p>
    <w:p w14:paraId="76F26797" w14:textId="77777777" w:rsidR="00A71EEF" w:rsidRDefault="0081115D">
      <w:pPr>
        <w:pStyle w:val="a4"/>
        <w:numPr>
          <w:ilvl w:val="2"/>
          <w:numId w:val="641"/>
        </w:numPr>
        <w:tabs>
          <w:tab w:val="left" w:pos="1371"/>
        </w:tabs>
        <w:spacing w:before="47" w:line="309" w:lineRule="auto"/>
        <w:ind w:left="2775" w:right="3128" w:hanging="1935"/>
        <w:rPr>
          <w:b/>
          <w:sz w:val="21"/>
        </w:rPr>
      </w:pPr>
      <w:r>
        <w:rPr>
          <w:sz w:val="21"/>
        </w:rPr>
        <w:t>A</w:t>
      </w:r>
      <w:r>
        <w:rPr>
          <w:spacing w:val="1"/>
          <w:sz w:val="21"/>
        </w:rPr>
        <w:t xml:space="preserve"> </w:t>
      </w:r>
      <w:r>
        <w:rPr>
          <w:spacing w:val="1"/>
          <w:sz w:val="21"/>
        </w:rPr>
        <w:t>类火灾场所灭火器的最低配置基准应符合表</w:t>
      </w:r>
      <w:r>
        <w:rPr>
          <w:spacing w:val="1"/>
          <w:sz w:val="21"/>
        </w:rPr>
        <w:t xml:space="preserve"> </w:t>
      </w:r>
      <w:r>
        <w:rPr>
          <w:sz w:val="21"/>
        </w:rPr>
        <w:t>6.2.1</w:t>
      </w:r>
      <w:r>
        <w:rPr>
          <w:spacing w:val="15"/>
          <w:sz w:val="21"/>
        </w:rPr>
        <w:t xml:space="preserve"> </w:t>
      </w:r>
      <w:r>
        <w:rPr>
          <w:spacing w:val="15"/>
          <w:sz w:val="21"/>
        </w:rPr>
        <w:t>的规定。</w:t>
      </w:r>
      <w:r>
        <w:rPr>
          <w:b/>
          <w:sz w:val="21"/>
        </w:rPr>
        <w:t>表</w:t>
      </w:r>
      <w:r>
        <w:rPr>
          <w:b/>
          <w:sz w:val="21"/>
        </w:rPr>
        <w:t>6.2.1 A</w:t>
      </w:r>
      <w:r>
        <w:rPr>
          <w:b/>
          <w:spacing w:val="-6"/>
          <w:sz w:val="21"/>
        </w:rPr>
        <w:t>类火灾场所灭火器的最低配置基准</w:t>
      </w:r>
      <w:r>
        <w:rPr>
          <w:b/>
          <w:w w:val="99"/>
          <w:sz w:val="21"/>
        </w:rPr>
        <w:t xml:space="preserve"> </w:t>
      </w:r>
    </w:p>
    <w:tbl>
      <w:tblPr>
        <w:tblStyle w:val="TableNormal"/>
        <w:tblW w:w="0" w:type="auto"/>
        <w:tblInd w:w="4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92"/>
        <w:gridCol w:w="1695"/>
        <w:gridCol w:w="1695"/>
        <w:gridCol w:w="1696"/>
      </w:tblGrid>
      <w:tr w:rsidR="00A71EEF" w14:paraId="6CE9C9FB" w14:textId="77777777">
        <w:trPr>
          <w:trHeight w:val="277"/>
        </w:trPr>
        <w:tc>
          <w:tcPr>
            <w:tcW w:w="3692" w:type="dxa"/>
          </w:tcPr>
          <w:p w14:paraId="4C7D0ADC" w14:textId="77777777" w:rsidR="00A71EEF" w:rsidRDefault="0081115D">
            <w:pPr>
              <w:pStyle w:val="TableParagraph"/>
              <w:spacing w:line="221" w:lineRule="exact"/>
              <w:ind w:left="1455" w:right="1341"/>
              <w:jc w:val="center"/>
              <w:rPr>
                <w:sz w:val="21"/>
              </w:rPr>
            </w:pPr>
            <w:r>
              <w:rPr>
                <w:sz w:val="21"/>
              </w:rPr>
              <w:t>危险等级</w:t>
            </w:r>
            <w:r>
              <w:rPr>
                <w:sz w:val="21"/>
              </w:rPr>
              <w:t xml:space="preserve"> </w:t>
            </w:r>
          </w:p>
        </w:tc>
        <w:tc>
          <w:tcPr>
            <w:tcW w:w="1695" w:type="dxa"/>
          </w:tcPr>
          <w:p w14:paraId="74166F43" w14:textId="77777777" w:rsidR="00A71EEF" w:rsidRDefault="0081115D">
            <w:pPr>
              <w:pStyle w:val="TableParagraph"/>
              <w:spacing w:line="221" w:lineRule="exact"/>
              <w:ind w:left="107"/>
              <w:rPr>
                <w:sz w:val="21"/>
              </w:rPr>
            </w:pPr>
            <w:r>
              <w:rPr>
                <w:sz w:val="21"/>
              </w:rPr>
              <w:t>严重危险级</w:t>
            </w:r>
            <w:r>
              <w:rPr>
                <w:sz w:val="21"/>
              </w:rPr>
              <w:t xml:space="preserve"> </w:t>
            </w:r>
          </w:p>
        </w:tc>
        <w:tc>
          <w:tcPr>
            <w:tcW w:w="1695" w:type="dxa"/>
          </w:tcPr>
          <w:p w14:paraId="1BB75946" w14:textId="77777777" w:rsidR="00A71EEF" w:rsidRDefault="0081115D">
            <w:pPr>
              <w:pStyle w:val="TableParagraph"/>
              <w:spacing w:line="221" w:lineRule="exact"/>
              <w:ind w:right="629"/>
              <w:jc w:val="right"/>
              <w:rPr>
                <w:sz w:val="21"/>
              </w:rPr>
            </w:pPr>
            <w:r>
              <w:rPr>
                <w:sz w:val="21"/>
              </w:rPr>
              <w:t>中危险级</w:t>
            </w:r>
            <w:r>
              <w:rPr>
                <w:sz w:val="21"/>
              </w:rPr>
              <w:t xml:space="preserve"> </w:t>
            </w:r>
          </w:p>
        </w:tc>
        <w:tc>
          <w:tcPr>
            <w:tcW w:w="1696" w:type="dxa"/>
          </w:tcPr>
          <w:p w14:paraId="63E896B0" w14:textId="77777777" w:rsidR="00A71EEF" w:rsidRDefault="0081115D">
            <w:pPr>
              <w:pStyle w:val="TableParagraph"/>
              <w:spacing w:line="221" w:lineRule="exact"/>
              <w:ind w:right="630"/>
              <w:jc w:val="right"/>
              <w:rPr>
                <w:sz w:val="21"/>
              </w:rPr>
            </w:pPr>
            <w:r>
              <w:rPr>
                <w:sz w:val="21"/>
              </w:rPr>
              <w:t>轻危险级</w:t>
            </w:r>
            <w:r>
              <w:rPr>
                <w:sz w:val="21"/>
              </w:rPr>
              <w:t xml:space="preserve"> </w:t>
            </w:r>
          </w:p>
        </w:tc>
      </w:tr>
      <w:tr w:rsidR="00A71EEF" w14:paraId="01510EC8" w14:textId="77777777">
        <w:trPr>
          <w:trHeight w:val="294"/>
        </w:trPr>
        <w:tc>
          <w:tcPr>
            <w:tcW w:w="3692" w:type="dxa"/>
          </w:tcPr>
          <w:p w14:paraId="5FF69F89" w14:textId="77777777" w:rsidR="00A71EEF" w:rsidRDefault="0081115D">
            <w:pPr>
              <w:pStyle w:val="TableParagraph"/>
              <w:spacing w:line="226" w:lineRule="exact"/>
              <w:ind w:left="107"/>
              <w:rPr>
                <w:sz w:val="21"/>
              </w:rPr>
            </w:pPr>
            <w:r>
              <w:rPr>
                <w:sz w:val="21"/>
              </w:rPr>
              <w:t>单具灭火器最小配置灭火级别</w:t>
            </w:r>
            <w:r>
              <w:rPr>
                <w:sz w:val="21"/>
              </w:rPr>
              <w:t xml:space="preserve"> </w:t>
            </w:r>
          </w:p>
        </w:tc>
        <w:tc>
          <w:tcPr>
            <w:tcW w:w="1695" w:type="dxa"/>
          </w:tcPr>
          <w:p w14:paraId="135346A1" w14:textId="77777777" w:rsidR="00A71EEF" w:rsidRDefault="0081115D">
            <w:pPr>
              <w:pStyle w:val="TableParagraph"/>
              <w:spacing w:line="255" w:lineRule="exact"/>
              <w:ind w:left="772" w:right="654"/>
              <w:jc w:val="center"/>
              <w:rPr>
                <w:sz w:val="21"/>
              </w:rPr>
            </w:pPr>
            <w:r>
              <w:rPr>
                <w:sz w:val="21"/>
              </w:rPr>
              <w:t xml:space="preserve">3A </w:t>
            </w:r>
          </w:p>
        </w:tc>
        <w:tc>
          <w:tcPr>
            <w:tcW w:w="1695" w:type="dxa"/>
          </w:tcPr>
          <w:p w14:paraId="7CC94BA0" w14:textId="77777777" w:rsidR="00A71EEF" w:rsidRDefault="0081115D">
            <w:pPr>
              <w:pStyle w:val="TableParagraph"/>
              <w:spacing w:line="255" w:lineRule="exact"/>
              <w:ind w:right="620"/>
              <w:jc w:val="right"/>
              <w:rPr>
                <w:sz w:val="21"/>
              </w:rPr>
            </w:pPr>
            <w:r>
              <w:rPr>
                <w:sz w:val="21"/>
              </w:rPr>
              <w:t xml:space="preserve">2A </w:t>
            </w:r>
          </w:p>
        </w:tc>
        <w:tc>
          <w:tcPr>
            <w:tcW w:w="1696" w:type="dxa"/>
          </w:tcPr>
          <w:p w14:paraId="516741B8" w14:textId="77777777" w:rsidR="00A71EEF" w:rsidRDefault="0081115D">
            <w:pPr>
              <w:pStyle w:val="TableParagraph"/>
              <w:spacing w:line="255" w:lineRule="exact"/>
              <w:ind w:right="623"/>
              <w:jc w:val="right"/>
              <w:rPr>
                <w:sz w:val="21"/>
              </w:rPr>
            </w:pPr>
            <w:r>
              <w:rPr>
                <w:sz w:val="21"/>
              </w:rPr>
              <w:t xml:space="preserve">1A </w:t>
            </w:r>
          </w:p>
        </w:tc>
      </w:tr>
      <w:tr w:rsidR="00A71EEF" w14:paraId="76D2B3E8" w14:textId="77777777">
        <w:trPr>
          <w:trHeight w:val="285"/>
        </w:trPr>
        <w:tc>
          <w:tcPr>
            <w:tcW w:w="3692" w:type="dxa"/>
          </w:tcPr>
          <w:p w14:paraId="1DB0C774" w14:textId="77777777" w:rsidR="00A71EEF" w:rsidRDefault="0081115D">
            <w:pPr>
              <w:pStyle w:val="TableParagraph"/>
              <w:spacing w:line="236" w:lineRule="exact"/>
              <w:ind w:left="107"/>
              <w:rPr>
                <w:sz w:val="21"/>
              </w:rPr>
            </w:pPr>
            <w:r>
              <w:rPr>
                <w:sz w:val="21"/>
              </w:rPr>
              <w:t>单位灭火级别最大保护面积（㎡</w:t>
            </w:r>
            <w:r>
              <w:rPr>
                <w:sz w:val="21"/>
              </w:rPr>
              <w:t>/A</w:t>
            </w:r>
            <w:r>
              <w:rPr>
                <w:sz w:val="21"/>
              </w:rPr>
              <w:t>）</w:t>
            </w:r>
            <w:r>
              <w:rPr>
                <w:sz w:val="21"/>
              </w:rPr>
              <w:t xml:space="preserve"> </w:t>
            </w:r>
          </w:p>
        </w:tc>
        <w:tc>
          <w:tcPr>
            <w:tcW w:w="1695" w:type="dxa"/>
          </w:tcPr>
          <w:p w14:paraId="21E07AD8" w14:textId="77777777" w:rsidR="00A71EEF" w:rsidRDefault="0081115D">
            <w:pPr>
              <w:pStyle w:val="TableParagraph"/>
              <w:spacing w:line="250" w:lineRule="exact"/>
              <w:ind w:left="770" w:right="656"/>
              <w:jc w:val="center"/>
              <w:rPr>
                <w:sz w:val="21"/>
              </w:rPr>
            </w:pPr>
            <w:r>
              <w:rPr>
                <w:sz w:val="21"/>
              </w:rPr>
              <w:t xml:space="preserve">50 </w:t>
            </w:r>
          </w:p>
        </w:tc>
        <w:tc>
          <w:tcPr>
            <w:tcW w:w="1695" w:type="dxa"/>
          </w:tcPr>
          <w:p w14:paraId="3BD57D4F" w14:textId="77777777" w:rsidR="00A71EEF" w:rsidRDefault="0081115D">
            <w:pPr>
              <w:pStyle w:val="TableParagraph"/>
              <w:spacing w:line="250" w:lineRule="exact"/>
              <w:ind w:left="433"/>
              <w:rPr>
                <w:sz w:val="21"/>
              </w:rPr>
            </w:pPr>
            <w:r>
              <w:rPr>
                <w:sz w:val="21"/>
              </w:rPr>
              <w:t xml:space="preserve">75 </w:t>
            </w:r>
          </w:p>
        </w:tc>
        <w:tc>
          <w:tcPr>
            <w:tcW w:w="1696" w:type="dxa"/>
          </w:tcPr>
          <w:p w14:paraId="083510D0" w14:textId="77777777" w:rsidR="00A71EEF" w:rsidRDefault="0081115D">
            <w:pPr>
              <w:pStyle w:val="TableParagraph"/>
              <w:spacing w:line="250" w:lineRule="exact"/>
              <w:ind w:left="380"/>
              <w:rPr>
                <w:sz w:val="21"/>
              </w:rPr>
            </w:pPr>
            <w:r>
              <w:rPr>
                <w:sz w:val="21"/>
              </w:rPr>
              <w:t xml:space="preserve">100 </w:t>
            </w:r>
          </w:p>
        </w:tc>
      </w:tr>
    </w:tbl>
    <w:p w14:paraId="0C4CBBE7" w14:textId="77777777" w:rsidR="00A71EEF" w:rsidRDefault="0081115D">
      <w:pPr>
        <w:pStyle w:val="a4"/>
        <w:numPr>
          <w:ilvl w:val="2"/>
          <w:numId w:val="641"/>
        </w:numPr>
        <w:tabs>
          <w:tab w:val="left" w:pos="1371"/>
        </w:tabs>
        <w:rPr>
          <w:sz w:val="21"/>
        </w:rPr>
      </w:pPr>
      <w:r>
        <w:rPr>
          <w:spacing w:val="-3"/>
          <w:sz w:val="21"/>
        </w:rPr>
        <w:t>B</w:t>
      </w:r>
      <w:r>
        <w:rPr>
          <w:spacing w:val="-5"/>
          <w:sz w:val="21"/>
        </w:rPr>
        <w:t>、</w:t>
      </w:r>
      <w:r>
        <w:rPr>
          <w:spacing w:val="-3"/>
          <w:sz w:val="21"/>
        </w:rPr>
        <w:t>C</w:t>
      </w:r>
      <w:r>
        <w:rPr>
          <w:spacing w:val="-8"/>
          <w:sz w:val="21"/>
        </w:rPr>
        <w:t>类火灾场所灭火器的最低配置基准应符合表</w:t>
      </w:r>
      <w:r>
        <w:rPr>
          <w:sz w:val="21"/>
        </w:rPr>
        <w:t>6.2.2</w:t>
      </w:r>
      <w:r>
        <w:rPr>
          <w:spacing w:val="-4"/>
          <w:sz w:val="21"/>
        </w:rPr>
        <w:t>的规定。</w:t>
      </w:r>
      <w:r>
        <w:rPr>
          <w:sz w:val="21"/>
        </w:rPr>
        <w:t xml:space="preserve"> </w:t>
      </w:r>
    </w:p>
    <w:p w14:paraId="76D140B1" w14:textId="77777777" w:rsidR="00A71EEF" w:rsidRDefault="0081115D">
      <w:pPr>
        <w:pStyle w:val="a3"/>
        <w:spacing w:before="11"/>
        <w:ind w:left="838"/>
      </w:pPr>
      <w:r>
        <w:t xml:space="preserve"> </w:t>
      </w:r>
    </w:p>
    <w:p w14:paraId="54ABB3D8" w14:textId="77777777" w:rsidR="00A71EEF" w:rsidRDefault="0081115D">
      <w:pPr>
        <w:pStyle w:val="6"/>
        <w:spacing w:before="79" w:after="33"/>
        <w:ind w:left="2621"/>
      </w:pPr>
      <w:r>
        <w:t>表</w:t>
      </w:r>
      <w:r>
        <w:rPr>
          <w:spacing w:val="-106"/>
        </w:rPr>
        <w:t>6</w:t>
      </w:r>
      <w:r>
        <w:rPr>
          <w:spacing w:val="-1"/>
        </w:rPr>
        <w:t xml:space="preserve"> .</w:t>
      </w:r>
      <w:r>
        <w:t xml:space="preserve">2.2 </w:t>
      </w:r>
      <w:r>
        <w:rPr>
          <w:spacing w:val="-3"/>
        </w:rPr>
        <w:t>B</w:t>
      </w:r>
      <w:r>
        <w:t>、</w:t>
      </w:r>
      <w:r>
        <w:t>C</w:t>
      </w:r>
      <w:r>
        <w:rPr>
          <w:spacing w:val="-6"/>
        </w:rPr>
        <w:t>类火灾场所灭火器的最低配置基准</w:t>
      </w:r>
      <w:r>
        <w:rPr>
          <w:w w:val="99"/>
        </w:rPr>
        <w:t xml:space="preserve"> </w:t>
      </w:r>
    </w:p>
    <w:tbl>
      <w:tblPr>
        <w:tblStyle w:val="TableNormal"/>
        <w:tblW w:w="0" w:type="auto"/>
        <w:tblInd w:w="4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56"/>
        <w:gridCol w:w="1709"/>
        <w:gridCol w:w="1706"/>
        <w:gridCol w:w="1704"/>
      </w:tblGrid>
      <w:tr w:rsidR="00A71EEF" w14:paraId="34A4F156" w14:textId="77777777">
        <w:trPr>
          <w:trHeight w:val="272"/>
        </w:trPr>
        <w:tc>
          <w:tcPr>
            <w:tcW w:w="3656" w:type="dxa"/>
          </w:tcPr>
          <w:p w14:paraId="5A1F54E3" w14:textId="77777777" w:rsidR="00A71EEF" w:rsidRDefault="0081115D">
            <w:pPr>
              <w:pStyle w:val="TableParagraph"/>
              <w:spacing w:line="253" w:lineRule="exact"/>
              <w:ind w:left="1439" w:right="1322"/>
              <w:jc w:val="center"/>
              <w:rPr>
                <w:sz w:val="21"/>
              </w:rPr>
            </w:pPr>
            <w:r>
              <w:rPr>
                <w:sz w:val="21"/>
              </w:rPr>
              <w:t>危险等级</w:t>
            </w:r>
            <w:r>
              <w:rPr>
                <w:sz w:val="21"/>
              </w:rPr>
              <w:t xml:space="preserve"> </w:t>
            </w:r>
          </w:p>
        </w:tc>
        <w:tc>
          <w:tcPr>
            <w:tcW w:w="1709" w:type="dxa"/>
          </w:tcPr>
          <w:p w14:paraId="7F08661F" w14:textId="77777777" w:rsidR="00A71EEF" w:rsidRDefault="0081115D">
            <w:pPr>
              <w:pStyle w:val="TableParagraph"/>
              <w:spacing w:line="253" w:lineRule="exact"/>
              <w:ind w:left="107"/>
              <w:rPr>
                <w:sz w:val="21"/>
              </w:rPr>
            </w:pPr>
            <w:r>
              <w:rPr>
                <w:sz w:val="21"/>
              </w:rPr>
              <w:t>严重危险级</w:t>
            </w:r>
            <w:r>
              <w:rPr>
                <w:sz w:val="21"/>
              </w:rPr>
              <w:t xml:space="preserve"> </w:t>
            </w:r>
          </w:p>
        </w:tc>
        <w:tc>
          <w:tcPr>
            <w:tcW w:w="1706" w:type="dxa"/>
          </w:tcPr>
          <w:p w14:paraId="0042B56B" w14:textId="77777777" w:rsidR="00A71EEF" w:rsidRDefault="0081115D">
            <w:pPr>
              <w:pStyle w:val="TableParagraph"/>
              <w:spacing w:line="253" w:lineRule="exact"/>
              <w:ind w:left="107"/>
              <w:rPr>
                <w:sz w:val="21"/>
              </w:rPr>
            </w:pPr>
            <w:r>
              <w:rPr>
                <w:sz w:val="21"/>
              </w:rPr>
              <w:t>中危险级</w:t>
            </w:r>
            <w:r>
              <w:rPr>
                <w:sz w:val="21"/>
              </w:rPr>
              <w:t xml:space="preserve"> </w:t>
            </w:r>
          </w:p>
        </w:tc>
        <w:tc>
          <w:tcPr>
            <w:tcW w:w="1704" w:type="dxa"/>
          </w:tcPr>
          <w:p w14:paraId="1A366A9E" w14:textId="77777777" w:rsidR="00A71EEF" w:rsidRDefault="0081115D">
            <w:pPr>
              <w:pStyle w:val="TableParagraph"/>
              <w:spacing w:line="253" w:lineRule="exact"/>
              <w:ind w:right="637"/>
              <w:jc w:val="right"/>
              <w:rPr>
                <w:sz w:val="21"/>
              </w:rPr>
            </w:pPr>
            <w:r>
              <w:rPr>
                <w:sz w:val="21"/>
              </w:rPr>
              <w:t>轻危险级</w:t>
            </w:r>
            <w:r>
              <w:rPr>
                <w:sz w:val="21"/>
              </w:rPr>
              <w:t xml:space="preserve"> </w:t>
            </w:r>
          </w:p>
        </w:tc>
      </w:tr>
      <w:tr w:rsidR="00A71EEF" w14:paraId="31C35461" w14:textId="77777777">
        <w:trPr>
          <w:trHeight w:val="285"/>
        </w:trPr>
        <w:tc>
          <w:tcPr>
            <w:tcW w:w="3656" w:type="dxa"/>
          </w:tcPr>
          <w:p w14:paraId="36CB5275" w14:textId="77777777" w:rsidR="00A71EEF" w:rsidRDefault="0081115D">
            <w:pPr>
              <w:pStyle w:val="TableParagraph"/>
              <w:spacing w:line="256" w:lineRule="exact"/>
              <w:ind w:left="107"/>
              <w:rPr>
                <w:sz w:val="21"/>
              </w:rPr>
            </w:pPr>
            <w:r>
              <w:rPr>
                <w:sz w:val="21"/>
              </w:rPr>
              <w:t>单具灭火器最小配置灭火级别</w:t>
            </w:r>
            <w:r>
              <w:rPr>
                <w:sz w:val="21"/>
              </w:rPr>
              <w:t xml:space="preserve"> </w:t>
            </w:r>
          </w:p>
        </w:tc>
        <w:tc>
          <w:tcPr>
            <w:tcW w:w="1709" w:type="dxa"/>
          </w:tcPr>
          <w:p w14:paraId="312712DE" w14:textId="77777777" w:rsidR="00A71EEF" w:rsidRDefault="0081115D">
            <w:pPr>
              <w:pStyle w:val="TableParagraph"/>
              <w:spacing w:before="17" w:line="247" w:lineRule="exact"/>
              <w:ind w:left="728" w:right="611"/>
              <w:jc w:val="center"/>
              <w:rPr>
                <w:sz w:val="21"/>
              </w:rPr>
            </w:pPr>
            <w:r>
              <w:rPr>
                <w:sz w:val="21"/>
              </w:rPr>
              <w:t xml:space="preserve">89B </w:t>
            </w:r>
          </w:p>
        </w:tc>
        <w:tc>
          <w:tcPr>
            <w:tcW w:w="1706" w:type="dxa"/>
          </w:tcPr>
          <w:p w14:paraId="430BA99D" w14:textId="77777777" w:rsidR="00A71EEF" w:rsidRDefault="0081115D">
            <w:pPr>
              <w:pStyle w:val="TableParagraph"/>
              <w:spacing w:before="17" w:line="247" w:lineRule="exact"/>
              <w:ind w:right="575"/>
              <w:jc w:val="right"/>
              <w:rPr>
                <w:sz w:val="21"/>
              </w:rPr>
            </w:pPr>
            <w:r>
              <w:rPr>
                <w:sz w:val="21"/>
              </w:rPr>
              <w:t xml:space="preserve">55B </w:t>
            </w:r>
          </w:p>
        </w:tc>
        <w:tc>
          <w:tcPr>
            <w:tcW w:w="1704" w:type="dxa"/>
          </w:tcPr>
          <w:p w14:paraId="3176B325" w14:textId="77777777" w:rsidR="00A71EEF" w:rsidRDefault="0081115D">
            <w:pPr>
              <w:pStyle w:val="TableParagraph"/>
              <w:spacing w:before="17" w:line="247" w:lineRule="exact"/>
              <w:ind w:right="572"/>
              <w:jc w:val="right"/>
              <w:rPr>
                <w:sz w:val="21"/>
              </w:rPr>
            </w:pPr>
            <w:r>
              <w:rPr>
                <w:sz w:val="21"/>
              </w:rPr>
              <w:t xml:space="preserve">21B </w:t>
            </w:r>
          </w:p>
        </w:tc>
      </w:tr>
      <w:tr w:rsidR="00A71EEF" w14:paraId="1C519474" w14:textId="77777777">
        <w:trPr>
          <w:trHeight w:val="273"/>
        </w:trPr>
        <w:tc>
          <w:tcPr>
            <w:tcW w:w="3656" w:type="dxa"/>
          </w:tcPr>
          <w:p w14:paraId="2D88E116" w14:textId="77777777" w:rsidR="00A71EEF" w:rsidRDefault="0081115D">
            <w:pPr>
              <w:pStyle w:val="TableParagraph"/>
              <w:spacing w:line="254" w:lineRule="exact"/>
              <w:ind w:left="107"/>
              <w:rPr>
                <w:sz w:val="21"/>
              </w:rPr>
            </w:pPr>
            <w:r>
              <w:rPr>
                <w:sz w:val="21"/>
              </w:rPr>
              <w:t>单位灭火级别最大保护面积（㎡</w:t>
            </w:r>
            <w:r>
              <w:rPr>
                <w:sz w:val="21"/>
              </w:rPr>
              <w:t>/B</w:t>
            </w:r>
            <w:r>
              <w:rPr>
                <w:sz w:val="21"/>
              </w:rPr>
              <w:t>）</w:t>
            </w:r>
            <w:r>
              <w:rPr>
                <w:sz w:val="21"/>
              </w:rPr>
              <w:t xml:space="preserve"> </w:t>
            </w:r>
          </w:p>
        </w:tc>
        <w:tc>
          <w:tcPr>
            <w:tcW w:w="1709" w:type="dxa"/>
          </w:tcPr>
          <w:p w14:paraId="772FC648" w14:textId="77777777" w:rsidR="00A71EEF" w:rsidRDefault="0081115D">
            <w:pPr>
              <w:pStyle w:val="TableParagraph"/>
              <w:spacing w:before="10" w:line="243" w:lineRule="exact"/>
              <w:ind w:left="728" w:right="611"/>
              <w:jc w:val="center"/>
              <w:rPr>
                <w:sz w:val="21"/>
              </w:rPr>
            </w:pPr>
            <w:r>
              <w:rPr>
                <w:sz w:val="21"/>
              </w:rPr>
              <w:t xml:space="preserve">0.5 </w:t>
            </w:r>
          </w:p>
        </w:tc>
        <w:tc>
          <w:tcPr>
            <w:tcW w:w="1706" w:type="dxa"/>
          </w:tcPr>
          <w:p w14:paraId="7ED6A852" w14:textId="77777777" w:rsidR="00A71EEF" w:rsidRDefault="0081115D">
            <w:pPr>
              <w:pStyle w:val="TableParagraph"/>
              <w:spacing w:before="10" w:line="243" w:lineRule="exact"/>
              <w:ind w:right="573"/>
              <w:jc w:val="right"/>
              <w:rPr>
                <w:sz w:val="21"/>
              </w:rPr>
            </w:pPr>
            <w:r>
              <w:rPr>
                <w:sz w:val="21"/>
              </w:rPr>
              <w:t xml:space="preserve">1.0 </w:t>
            </w:r>
          </w:p>
        </w:tc>
        <w:tc>
          <w:tcPr>
            <w:tcW w:w="1704" w:type="dxa"/>
          </w:tcPr>
          <w:p w14:paraId="0C044ED9" w14:textId="77777777" w:rsidR="00A71EEF" w:rsidRDefault="0081115D">
            <w:pPr>
              <w:pStyle w:val="TableParagraph"/>
              <w:spacing w:before="10" w:line="243" w:lineRule="exact"/>
              <w:ind w:right="572"/>
              <w:jc w:val="right"/>
              <w:rPr>
                <w:sz w:val="21"/>
              </w:rPr>
            </w:pPr>
            <w:r>
              <w:rPr>
                <w:sz w:val="21"/>
              </w:rPr>
              <w:t xml:space="preserve">1.5 </w:t>
            </w:r>
          </w:p>
        </w:tc>
      </w:tr>
    </w:tbl>
    <w:p w14:paraId="00B8F3C5" w14:textId="77777777" w:rsidR="00A71EEF" w:rsidRDefault="00A71EEF">
      <w:pPr>
        <w:pStyle w:val="a3"/>
        <w:spacing w:before="11"/>
        <w:rPr>
          <w:b/>
          <w:sz w:val="14"/>
        </w:rPr>
      </w:pPr>
    </w:p>
    <w:p w14:paraId="526C86EF" w14:textId="77777777" w:rsidR="00A71EEF" w:rsidRDefault="0081115D">
      <w:pPr>
        <w:pStyle w:val="a4"/>
        <w:numPr>
          <w:ilvl w:val="2"/>
          <w:numId w:val="641"/>
        </w:numPr>
        <w:tabs>
          <w:tab w:val="left" w:pos="1371"/>
        </w:tabs>
        <w:spacing w:line="446" w:lineRule="auto"/>
        <w:ind w:left="418" w:right="1863" w:firstLine="422"/>
        <w:rPr>
          <w:sz w:val="21"/>
        </w:rPr>
      </w:pPr>
      <w:r>
        <w:rPr>
          <w:sz w:val="21"/>
        </w:rPr>
        <w:t>D</w:t>
      </w:r>
      <w:r>
        <w:rPr>
          <w:spacing w:val="-8"/>
          <w:sz w:val="21"/>
        </w:rPr>
        <w:t xml:space="preserve"> </w:t>
      </w:r>
      <w:r>
        <w:rPr>
          <w:spacing w:val="-8"/>
          <w:sz w:val="21"/>
        </w:rPr>
        <w:t>类火灾场所的灭火器最低配置基准应根据金属的种类、物态及其特性等研究确</w:t>
      </w:r>
      <w:r>
        <w:rPr>
          <w:spacing w:val="-6"/>
          <w:sz w:val="21"/>
        </w:rPr>
        <w:t>定。</w:t>
      </w:r>
      <w:r>
        <w:rPr>
          <w:sz w:val="21"/>
        </w:rPr>
        <w:t xml:space="preserve"> </w:t>
      </w:r>
    </w:p>
    <w:p w14:paraId="28816BC6" w14:textId="77777777" w:rsidR="00A71EEF" w:rsidRDefault="0081115D">
      <w:pPr>
        <w:pStyle w:val="a4"/>
        <w:numPr>
          <w:ilvl w:val="2"/>
          <w:numId w:val="641"/>
        </w:numPr>
        <w:tabs>
          <w:tab w:val="left" w:pos="1371"/>
        </w:tabs>
        <w:spacing w:line="446" w:lineRule="auto"/>
        <w:ind w:left="418" w:right="1654" w:firstLine="422"/>
        <w:rPr>
          <w:b/>
          <w:sz w:val="21"/>
        </w:rPr>
      </w:pPr>
      <w:r>
        <w:rPr>
          <w:sz w:val="21"/>
        </w:rPr>
        <w:t>E</w:t>
      </w:r>
      <w:r>
        <w:rPr>
          <w:spacing w:val="-9"/>
          <w:sz w:val="21"/>
        </w:rPr>
        <w:t xml:space="preserve"> </w:t>
      </w:r>
      <w:r>
        <w:rPr>
          <w:spacing w:val="-9"/>
          <w:sz w:val="21"/>
        </w:rPr>
        <w:t>类火灾场所的灭火器最低配置基准不应低于该场所内</w:t>
      </w:r>
      <w:r>
        <w:rPr>
          <w:spacing w:val="-9"/>
          <w:sz w:val="21"/>
        </w:rPr>
        <w:t xml:space="preserve"> </w:t>
      </w:r>
      <w:r>
        <w:rPr>
          <w:sz w:val="21"/>
        </w:rPr>
        <w:t>A</w:t>
      </w:r>
      <w:r>
        <w:rPr>
          <w:spacing w:val="2"/>
          <w:sz w:val="21"/>
        </w:rPr>
        <w:t xml:space="preserve"> </w:t>
      </w:r>
      <w:r>
        <w:rPr>
          <w:spacing w:val="2"/>
          <w:sz w:val="21"/>
        </w:rPr>
        <w:t>类</w:t>
      </w:r>
      <w:r>
        <w:rPr>
          <w:spacing w:val="-3"/>
          <w:sz w:val="21"/>
        </w:rPr>
        <w:t>（</w:t>
      </w:r>
      <w:r>
        <w:rPr>
          <w:spacing w:val="3"/>
          <w:sz w:val="21"/>
        </w:rPr>
        <w:t>或</w:t>
      </w:r>
      <w:r>
        <w:rPr>
          <w:spacing w:val="3"/>
          <w:sz w:val="21"/>
        </w:rPr>
        <w:t xml:space="preserve"> </w:t>
      </w:r>
      <w:r>
        <w:rPr>
          <w:sz w:val="21"/>
        </w:rPr>
        <w:t>B</w:t>
      </w:r>
      <w:r>
        <w:rPr>
          <w:spacing w:val="3"/>
          <w:sz w:val="21"/>
        </w:rPr>
        <w:t xml:space="preserve"> </w:t>
      </w:r>
      <w:r>
        <w:rPr>
          <w:spacing w:val="3"/>
          <w:sz w:val="21"/>
        </w:rPr>
        <w:t>类</w:t>
      </w:r>
      <w:r>
        <w:rPr>
          <w:sz w:val="21"/>
        </w:rPr>
        <w:t>）</w:t>
      </w:r>
      <w:r>
        <w:rPr>
          <w:spacing w:val="-3"/>
          <w:sz w:val="21"/>
        </w:rPr>
        <w:t>火灾的规定。</w:t>
      </w:r>
      <w:r>
        <w:rPr>
          <w:b/>
          <w:w w:val="99"/>
          <w:sz w:val="21"/>
        </w:rPr>
        <w:t xml:space="preserve"> </w:t>
      </w:r>
    </w:p>
    <w:p w14:paraId="08104DEB" w14:textId="77777777" w:rsidR="00A71EEF" w:rsidRDefault="0081115D">
      <w:pPr>
        <w:pStyle w:val="4"/>
        <w:spacing w:line="277" w:lineRule="exact"/>
      </w:pPr>
      <w:r>
        <w:t xml:space="preserve">7 </w:t>
      </w:r>
      <w:r>
        <w:t>灭火器配置设计计算</w:t>
      </w:r>
      <w:r>
        <w:rPr>
          <w:w w:val="99"/>
        </w:rPr>
        <w:t xml:space="preserve"> </w:t>
      </w:r>
    </w:p>
    <w:p w14:paraId="7489F2AE" w14:textId="77777777" w:rsidR="00A71EEF" w:rsidRDefault="00A71EEF">
      <w:pPr>
        <w:pStyle w:val="a3"/>
        <w:spacing w:before="1"/>
        <w:rPr>
          <w:b/>
          <w:sz w:val="17"/>
        </w:rPr>
      </w:pPr>
    </w:p>
    <w:p w14:paraId="6B2FF3E5" w14:textId="77777777" w:rsidR="00A71EEF" w:rsidRDefault="0081115D">
      <w:pPr>
        <w:pStyle w:val="a4"/>
        <w:numPr>
          <w:ilvl w:val="1"/>
          <w:numId w:val="640"/>
        </w:numPr>
        <w:tabs>
          <w:tab w:val="left" w:pos="1160"/>
        </w:tabs>
        <w:rPr>
          <w:b/>
          <w:sz w:val="21"/>
        </w:rPr>
      </w:pPr>
      <w:r>
        <w:rPr>
          <w:spacing w:val="-3"/>
          <w:sz w:val="21"/>
        </w:rPr>
        <w:t>一般规定</w:t>
      </w:r>
      <w:r>
        <w:rPr>
          <w:b/>
          <w:w w:val="99"/>
          <w:sz w:val="21"/>
        </w:rPr>
        <w:t xml:space="preserve"> </w:t>
      </w:r>
    </w:p>
    <w:p w14:paraId="29AC8D9B" w14:textId="77777777" w:rsidR="00A71EEF" w:rsidRDefault="00A71EEF">
      <w:pPr>
        <w:pStyle w:val="a3"/>
        <w:spacing w:before="3"/>
        <w:rPr>
          <w:b/>
          <w:sz w:val="18"/>
        </w:rPr>
      </w:pPr>
    </w:p>
    <w:p w14:paraId="5BC13F0F" w14:textId="77777777" w:rsidR="00A71EEF" w:rsidRDefault="0081115D">
      <w:pPr>
        <w:pStyle w:val="a4"/>
        <w:numPr>
          <w:ilvl w:val="2"/>
          <w:numId w:val="640"/>
        </w:numPr>
        <w:tabs>
          <w:tab w:val="left" w:pos="1370"/>
          <w:tab w:val="left" w:pos="5367"/>
        </w:tabs>
        <w:spacing w:line="446" w:lineRule="auto"/>
        <w:ind w:right="1604" w:firstLine="422"/>
        <w:rPr>
          <w:b/>
          <w:sz w:val="21"/>
        </w:rPr>
      </w:pPr>
      <w:r>
        <w:rPr>
          <w:spacing w:val="-3"/>
          <w:sz w:val="21"/>
        </w:rPr>
        <w:t>灭</w:t>
      </w:r>
      <w:r>
        <w:rPr>
          <w:sz w:val="21"/>
        </w:rPr>
        <w:t>火</w:t>
      </w:r>
      <w:r>
        <w:rPr>
          <w:spacing w:val="-3"/>
          <w:sz w:val="21"/>
        </w:rPr>
        <w:t>器</w:t>
      </w:r>
      <w:r>
        <w:rPr>
          <w:sz w:val="21"/>
        </w:rPr>
        <w:t>配</w:t>
      </w:r>
      <w:r>
        <w:rPr>
          <w:spacing w:val="-3"/>
          <w:sz w:val="21"/>
        </w:rPr>
        <w:t>置</w:t>
      </w:r>
      <w:r>
        <w:rPr>
          <w:sz w:val="21"/>
        </w:rPr>
        <w:t>的</w:t>
      </w:r>
      <w:r>
        <w:rPr>
          <w:spacing w:val="-3"/>
          <w:sz w:val="21"/>
        </w:rPr>
        <w:t>设计</w:t>
      </w:r>
      <w:r>
        <w:rPr>
          <w:sz w:val="21"/>
        </w:rPr>
        <w:t>与计</w:t>
      </w:r>
      <w:r>
        <w:rPr>
          <w:spacing w:val="-3"/>
          <w:sz w:val="21"/>
        </w:rPr>
        <w:t>算</w:t>
      </w:r>
      <w:r>
        <w:rPr>
          <w:sz w:val="21"/>
        </w:rPr>
        <w:t>应</w:t>
      </w:r>
      <w:r>
        <w:rPr>
          <w:spacing w:val="-3"/>
          <w:sz w:val="21"/>
        </w:rPr>
        <w:t>按</w:t>
      </w:r>
      <w:r>
        <w:rPr>
          <w:sz w:val="21"/>
        </w:rPr>
        <w:t>计</w:t>
      </w:r>
      <w:r>
        <w:rPr>
          <w:spacing w:val="-3"/>
          <w:sz w:val="21"/>
        </w:rPr>
        <w:t>算</w:t>
      </w:r>
      <w:r>
        <w:rPr>
          <w:sz w:val="21"/>
        </w:rPr>
        <w:t>单</w:t>
      </w:r>
      <w:r>
        <w:rPr>
          <w:spacing w:val="-3"/>
          <w:sz w:val="21"/>
        </w:rPr>
        <w:t>元</w:t>
      </w:r>
      <w:r>
        <w:rPr>
          <w:sz w:val="21"/>
        </w:rPr>
        <w:t>进</w:t>
      </w:r>
      <w:r>
        <w:rPr>
          <w:spacing w:val="-3"/>
          <w:sz w:val="21"/>
        </w:rPr>
        <w:t>行</w:t>
      </w:r>
      <w:r>
        <w:rPr>
          <w:sz w:val="21"/>
        </w:rPr>
        <w:t>。灭</w:t>
      </w:r>
      <w:r>
        <w:rPr>
          <w:spacing w:val="-3"/>
          <w:sz w:val="21"/>
        </w:rPr>
        <w:t>火</w:t>
      </w:r>
      <w:r>
        <w:rPr>
          <w:sz w:val="21"/>
        </w:rPr>
        <w:t>器</w:t>
      </w:r>
      <w:r>
        <w:rPr>
          <w:spacing w:val="-3"/>
          <w:sz w:val="21"/>
        </w:rPr>
        <w:t>最</w:t>
      </w:r>
      <w:r>
        <w:rPr>
          <w:sz w:val="21"/>
        </w:rPr>
        <w:t>小</w:t>
      </w:r>
      <w:r>
        <w:rPr>
          <w:spacing w:val="-3"/>
          <w:sz w:val="21"/>
        </w:rPr>
        <w:t>需</w:t>
      </w:r>
      <w:r>
        <w:rPr>
          <w:sz w:val="21"/>
        </w:rPr>
        <w:t>配</w:t>
      </w:r>
      <w:r>
        <w:rPr>
          <w:spacing w:val="-3"/>
          <w:sz w:val="21"/>
        </w:rPr>
        <w:t>灭</w:t>
      </w:r>
      <w:r>
        <w:rPr>
          <w:sz w:val="21"/>
        </w:rPr>
        <w:t>火</w:t>
      </w:r>
      <w:r>
        <w:rPr>
          <w:spacing w:val="-3"/>
          <w:sz w:val="21"/>
        </w:rPr>
        <w:t>级</w:t>
      </w:r>
      <w:r>
        <w:rPr>
          <w:sz w:val="21"/>
        </w:rPr>
        <w:t>别和</w:t>
      </w:r>
      <w:r>
        <w:rPr>
          <w:spacing w:val="-3"/>
          <w:sz w:val="21"/>
        </w:rPr>
        <w:t>最</w:t>
      </w:r>
      <w:r>
        <w:rPr>
          <w:sz w:val="21"/>
        </w:rPr>
        <w:t>少</w:t>
      </w:r>
      <w:r>
        <w:rPr>
          <w:spacing w:val="-3"/>
          <w:sz w:val="21"/>
        </w:rPr>
        <w:t>需</w:t>
      </w:r>
      <w:r>
        <w:rPr>
          <w:sz w:val="21"/>
        </w:rPr>
        <w:t>配数量</w:t>
      </w:r>
      <w:r>
        <w:rPr>
          <w:spacing w:val="-3"/>
          <w:sz w:val="21"/>
        </w:rPr>
        <w:t>的</w:t>
      </w:r>
      <w:r>
        <w:rPr>
          <w:sz w:val="21"/>
        </w:rPr>
        <w:t>计</w:t>
      </w:r>
      <w:r>
        <w:rPr>
          <w:spacing w:val="-3"/>
          <w:sz w:val="21"/>
        </w:rPr>
        <w:t>算</w:t>
      </w:r>
      <w:r>
        <w:rPr>
          <w:spacing w:val="14"/>
          <w:sz w:val="21"/>
        </w:rPr>
        <w:t xml:space="preserve"> </w:t>
      </w:r>
      <w:r>
        <w:rPr>
          <w:spacing w:val="-3"/>
          <w:sz w:val="21"/>
        </w:rPr>
        <w:t>值</w:t>
      </w:r>
      <w:r>
        <w:rPr>
          <w:sz w:val="21"/>
        </w:rPr>
        <w:t>应</w:t>
      </w:r>
      <w:r>
        <w:rPr>
          <w:spacing w:val="-3"/>
          <w:sz w:val="21"/>
        </w:rPr>
        <w:t>进</w:t>
      </w:r>
      <w:r>
        <w:rPr>
          <w:sz w:val="21"/>
        </w:rPr>
        <w:t>位</w:t>
      </w:r>
      <w:r>
        <w:rPr>
          <w:spacing w:val="-3"/>
          <w:sz w:val="21"/>
        </w:rPr>
        <w:t>取整</w:t>
      </w:r>
      <w:r>
        <w:rPr>
          <w:sz w:val="21"/>
        </w:rPr>
        <w:t>。</w:t>
      </w:r>
      <w:r>
        <w:rPr>
          <w:b/>
          <w:w w:val="99"/>
          <w:sz w:val="21"/>
        </w:rPr>
        <w:t xml:space="preserve"> </w:t>
      </w:r>
      <w:r>
        <w:rPr>
          <w:b/>
          <w:sz w:val="21"/>
        </w:rPr>
        <w:tab/>
      </w:r>
      <w:hyperlink r:id="rId201" w:anchor="711">
        <w:r>
          <w:rPr>
            <w:b/>
            <w:w w:val="99"/>
            <w:sz w:val="21"/>
          </w:rPr>
          <w:t xml:space="preserve"> </w:t>
        </w:r>
      </w:hyperlink>
      <w:r>
        <w:rPr>
          <w:b/>
          <w:w w:val="99"/>
          <w:sz w:val="21"/>
        </w:rPr>
        <w:t xml:space="preserve"> </w:t>
      </w:r>
    </w:p>
    <w:p w14:paraId="1F9D14CB" w14:textId="77777777" w:rsidR="00A71EEF" w:rsidRDefault="0081115D">
      <w:pPr>
        <w:pStyle w:val="a4"/>
        <w:numPr>
          <w:ilvl w:val="2"/>
          <w:numId w:val="640"/>
        </w:numPr>
        <w:tabs>
          <w:tab w:val="left" w:pos="1370"/>
          <w:tab w:val="left" w:pos="5367"/>
        </w:tabs>
        <w:spacing w:line="446" w:lineRule="auto"/>
        <w:ind w:right="1604" w:firstLine="422"/>
        <w:rPr>
          <w:b/>
          <w:sz w:val="21"/>
        </w:rPr>
      </w:pPr>
      <w:r>
        <w:rPr>
          <w:spacing w:val="-3"/>
          <w:sz w:val="21"/>
        </w:rPr>
        <w:t>每</w:t>
      </w:r>
      <w:r>
        <w:rPr>
          <w:sz w:val="21"/>
        </w:rPr>
        <w:t>个</w:t>
      </w:r>
      <w:r>
        <w:rPr>
          <w:spacing w:val="-3"/>
          <w:sz w:val="21"/>
        </w:rPr>
        <w:t>灭</w:t>
      </w:r>
      <w:r>
        <w:rPr>
          <w:sz w:val="21"/>
        </w:rPr>
        <w:t>火</w:t>
      </w:r>
      <w:r>
        <w:rPr>
          <w:spacing w:val="-3"/>
          <w:sz w:val="21"/>
        </w:rPr>
        <w:t>器</w:t>
      </w:r>
      <w:r>
        <w:rPr>
          <w:sz w:val="21"/>
        </w:rPr>
        <w:t>设</w:t>
      </w:r>
      <w:r>
        <w:rPr>
          <w:spacing w:val="-3"/>
          <w:sz w:val="21"/>
        </w:rPr>
        <w:t>置点</w:t>
      </w:r>
      <w:r>
        <w:rPr>
          <w:sz w:val="21"/>
        </w:rPr>
        <w:t>实配</w:t>
      </w:r>
      <w:r>
        <w:rPr>
          <w:spacing w:val="-3"/>
          <w:sz w:val="21"/>
        </w:rPr>
        <w:t>灭</w:t>
      </w:r>
      <w:r>
        <w:rPr>
          <w:sz w:val="21"/>
        </w:rPr>
        <w:t>火</w:t>
      </w:r>
      <w:r>
        <w:rPr>
          <w:spacing w:val="-3"/>
          <w:sz w:val="21"/>
        </w:rPr>
        <w:t>器</w:t>
      </w:r>
      <w:r>
        <w:rPr>
          <w:sz w:val="21"/>
        </w:rPr>
        <w:t>的</w:t>
      </w:r>
      <w:r>
        <w:rPr>
          <w:spacing w:val="-3"/>
          <w:sz w:val="21"/>
        </w:rPr>
        <w:t>灭</w:t>
      </w:r>
      <w:r>
        <w:rPr>
          <w:sz w:val="21"/>
        </w:rPr>
        <w:t>火</w:t>
      </w:r>
      <w:r>
        <w:rPr>
          <w:spacing w:val="-3"/>
          <w:sz w:val="21"/>
        </w:rPr>
        <w:t>级</w:t>
      </w:r>
      <w:r>
        <w:rPr>
          <w:sz w:val="21"/>
        </w:rPr>
        <w:t>别</w:t>
      </w:r>
      <w:r>
        <w:rPr>
          <w:spacing w:val="-3"/>
          <w:sz w:val="21"/>
        </w:rPr>
        <w:t>和</w:t>
      </w:r>
      <w:r>
        <w:rPr>
          <w:sz w:val="21"/>
        </w:rPr>
        <w:t>数量</w:t>
      </w:r>
      <w:r>
        <w:rPr>
          <w:spacing w:val="-3"/>
          <w:sz w:val="21"/>
        </w:rPr>
        <w:t>不</w:t>
      </w:r>
      <w:r>
        <w:rPr>
          <w:sz w:val="21"/>
        </w:rPr>
        <w:t>得</w:t>
      </w:r>
      <w:r>
        <w:rPr>
          <w:spacing w:val="-3"/>
          <w:sz w:val="21"/>
        </w:rPr>
        <w:t>小</w:t>
      </w:r>
      <w:r>
        <w:rPr>
          <w:sz w:val="21"/>
        </w:rPr>
        <w:t>于</w:t>
      </w:r>
      <w:r>
        <w:rPr>
          <w:spacing w:val="-3"/>
          <w:sz w:val="21"/>
        </w:rPr>
        <w:t>最</w:t>
      </w:r>
      <w:r>
        <w:rPr>
          <w:sz w:val="21"/>
        </w:rPr>
        <w:t>小</w:t>
      </w:r>
      <w:r>
        <w:rPr>
          <w:spacing w:val="-3"/>
          <w:sz w:val="21"/>
        </w:rPr>
        <w:t>需</w:t>
      </w:r>
      <w:r>
        <w:rPr>
          <w:sz w:val="21"/>
        </w:rPr>
        <w:t>配</w:t>
      </w:r>
      <w:r>
        <w:rPr>
          <w:spacing w:val="-3"/>
          <w:sz w:val="21"/>
        </w:rPr>
        <w:t>灭</w:t>
      </w:r>
      <w:r>
        <w:rPr>
          <w:sz w:val="21"/>
        </w:rPr>
        <w:t>火级</w:t>
      </w:r>
      <w:r>
        <w:rPr>
          <w:spacing w:val="-3"/>
          <w:sz w:val="21"/>
        </w:rPr>
        <w:t>别</w:t>
      </w:r>
      <w:r>
        <w:rPr>
          <w:sz w:val="21"/>
        </w:rPr>
        <w:t>和</w:t>
      </w:r>
      <w:r>
        <w:rPr>
          <w:spacing w:val="-3"/>
          <w:sz w:val="21"/>
        </w:rPr>
        <w:t>数</w:t>
      </w:r>
      <w:r>
        <w:rPr>
          <w:sz w:val="21"/>
        </w:rPr>
        <w:t>量的计</w:t>
      </w:r>
      <w:r>
        <w:rPr>
          <w:spacing w:val="-3"/>
          <w:sz w:val="21"/>
        </w:rPr>
        <w:t>算</w:t>
      </w:r>
      <w:r>
        <w:rPr>
          <w:spacing w:val="6"/>
          <w:sz w:val="21"/>
        </w:rPr>
        <w:t xml:space="preserve"> </w:t>
      </w:r>
      <w:r>
        <w:rPr>
          <w:spacing w:val="-3"/>
          <w:sz w:val="21"/>
        </w:rPr>
        <w:t>值。</w:t>
      </w:r>
      <w:r>
        <w:rPr>
          <w:b/>
          <w:w w:val="99"/>
          <w:sz w:val="21"/>
        </w:rPr>
        <w:t xml:space="preserve"> </w:t>
      </w:r>
      <w:r>
        <w:rPr>
          <w:b/>
          <w:sz w:val="21"/>
        </w:rPr>
        <w:tab/>
      </w:r>
      <w:hyperlink r:id="rId202" w:anchor="712">
        <w:r>
          <w:rPr>
            <w:b/>
            <w:w w:val="99"/>
            <w:sz w:val="21"/>
          </w:rPr>
          <w:t xml:space="preserve"> </w:t>
        </w:r>
      </w:hyperlink>
      <w:r>
        <w:rPr>
          <w:b/>
          <w:w w:val="99"/>
          <w:sz w:val="21"/>
        </w:rPr>
        <w:t xml:space="preserve"> </w:t>
      </w:r>
    </w:p>
    <w:p w14:paraId="68336A43" w14:textId="77777777" w:rsidR="00A71EEF" w:rsidRDefault="0081115D">
      <w:pPr>
        <w:pStyle w:val="a4"/>
        <w:numPr>
          <w:ilvl w:val="2"/>
          <w:numId w:val="640"/>
        </w:numPr>
        <w:tabs>
          <w:tab w:val="left" w:pos="1371"/>
        </w:tabs>
        <w:spacing w:line="446" w:lineRule="auto"/>
        <w:ind w:right="1604" w:firstLine="422"/>
        <w:rPr>
          <w:sz w:val="21"/>
        </w:rPr>
      </w:pPr>
      <w:r>
        <w:rPr>
          <w:spacing w:val="-3"/>
          <w:sz w:val="21"/>
        </w:rPr>
        <w:t>灭火器设置点的位置和数量应根据灭火器的最大保护距离确定，并应保证最不利点至少在</w:t>
      </w:r>
      <w:r>
        <w:rPr>
          <w:spacing w:val="-3"/>
          <w:sz w:val="21"/>
        </w:rPr>
        <w:t xml:space="preserve"> </w:t>
      </w:r>
      <w:r>
        <w:rPr>
          <w:sz w:val="21"/>
        </w:rPr>
        <w:t>1</w:t>
      </w:r>
      <w:r>
        <w:rPr>
          <w:spacing w:val="-3"/>
          <w:sz w:val="21"/>
        </w:rPr>
        <w:t xml:space="preserve"> </w:t>
      </w:r>
      <w:r>
        <w:rPr>
          <w:spacing w:val="-3"/>
          <w:sz w:val="21"/>
        </w:rPr>
        <w:t>具灭火器的保护范围内。</w:t>
      </w:r>
      <w:r>
        <w:rPr>
          <w:sz w:val="21"/>
        </w:rPr>
        <w:t xml:space="preserve"> </w:t>
      </w:r>
    </w:p>
    <w:p w14:paraId="1780873A" w14:textId="77777777" w:rsidR="00A71EEF" w:rsidRDefault="0081115D">
      <w:pPr>
        <w:pStyle w:val="a4"/>
        <w:numPr>
          <w:ilvl w:val="1"/>
          <w:numId w:val="640"/>
        </w:numPr>
        <w:tabs>
          <w:tab w:val="left" w:pos="1160"/>
        </w:tabs>
        <w:rPr>
          <w:b/>
          <w:sz w:val="21"/>
        </w:rPr>
      </w:pPr>
      <w:r>
        <w:rPr>
          <w:spacing w:val="-3"/>
          <w:sz w:val="21"/>
        </w:rPr>
        <w:t>计算单元</w:t>
      </w:r>
      <w:r>
        <w:rPr>
          <w:b/>
          <w:w w:val="99"/>
          <w:sz w:val="21"/>
        </w:rPr>
        <w:t xml:space="preserve"> </w:t>
      </w:r>
    </w:p>
    <w:p w14:paraId="38D06B5A" w14:textId="77777777" w:rsidR="00A71EEF" w:rsidRDefault="00A71EEF">
      <w:pPr>
        <w:pStyle w:val="a3"/>
        <w:spacing w:before="10"/>
        <w:rPr>
          <w:b/>
          <w:sz w:val="17"/>
        </w:rPr>
      </w:pPr>
    </w:p>
    <w:p w14:paraId="2EB326C6" w14:textId="77777777" w:rsidR="00A71EEF" w:rsidRDefault="0081115D">
      <w:pPr>
        <w:pStyle w:val="a4"/>
        <w:numPr>
          <w:ilvl w:val="2"/>
          <w:numId w:val="640"/>
        </w:numPr>
        <w:tabs>
          <w:tab w:val="left" w:pos="1370"/>
        </w:tabs>
        <w:ind w:left="1369" w:hanging="530"/>
        <w:rPr>
          <w:b/>
          <w:sz w:val="21"/>
        </w:rPr>
      </w:pPr>
      <w:r>
        <w:rPr>
          <w:spacing w:val="-3"/>
          <w:sz w:val="21"/>
        </w:rPr>
        <w:t>灭火器配置设计的计算单元应按下列规定划分：</w:t>
      </w:r>
      <w:r>
        <w:rPr>
          <w:b/>
          <w:w w:val="99"/>
          <w:sz w:val="21"/>
        </w:rPr>
        <w:t xml:space="preserve"> </w:t>
      </w:r>
    </w:p>
    <w:p w14:paraId="29E353EC" w14:textId="77777777" w:rsidR="00A71EEF" w:rsidRDefault="00A71EEF">
      <w:pPr>
        <w:pStyle w:val="a3"/>
        <w:spacing w:before="12"/>
        <w:rPr>
          <w:b/>
          <w:sz w:val="17"/>
        </w:rPr>
      </w:pPr>
    </w:p>
    <w:p w14:paraId="11173DFC" w14:textId="77777777" w:rsidR="00A71EEF" w:rsidRDefault="0081115D">
      <w:pPr>
        <w:pStyle w:val="a4"/>
        <w:numPr>
          <w:ilvl w:val="0"/>
          <w:numId w:val="639"/>
        </w:numPr>
        <w:tabs>
          <w:tab w:val="left" w:pos="1367"/>
          <w:tab w:val="left" w:pos="5367"/>
        </w:tabs>
        <w:spacing w:line="446" w:lineRule="auto"/>
        <w:ind w:right="1714" w:firstLine="419"/>
        <w:rPr>
          <w:sz w:val="21"/>
        </w:rPr>
      </w:pPr>
      <w:r>
        <w:rPr>
          <w:sz w:val="21"/>
        </w:rPr>
        <w:t>当</w:t>
      </w:r>
      <w:r>
        <w:rPr>
          <w:spacing w:val="-3"/>
          <w:sz w:val="21"/>
        </w:rPr>
        <w:t>一</w:t>
      </w:r>
      <w:r>
        <w:rPr>
          <w:sz w:val="21"/>
        </w:rPr>
        <w:t>个</w:t>
      </w:r>
      <w:r>
        <w:rPr>
          <w:spacing w:val="-3"/>
          <w:sz w:val="21"/>
        </w:rPr>
        <w:t>楼</w:t>
      </w:r>
      <w:r>
        <w:rPr>
          <w:sz w:val="21"/>
        </w:rPr>
        <w:t>层</w:t>
      </w:r>
      <w:r>
        <w:rPr>
          <w:spacing w:val="-3"/>
          <w:sz w:val="21"/>
        </w:rPr>
        <w:t>或</w:t>
      </w:r>
      <w:r>
        <w:rPr>
          <w:sz w:val="21"/>
        </w:rPr>
        <w:t>一</w:t>
      </w:r>
      <w:r>
        <w:rPr>
          <w:spacing w:val="-3"/>
          <w:sz w:val="21"/>
        </w:rPr>
        <w:t>个水</w:t>
      </w:r>
      <w:r>
        <w:rPr>
          <w:sz w:val="21"/>
        </w:rPr>
        <w:t>平防</w:t>
      </w:r>
      <w:r>
        <w:rPr>
          <w:spacing w:val="-3"/>
          <w:sz w:val="21"/>
        </w:rPr>
        <w:t>火</w:t>
      </w:r>
      <w:r>
        <w:rPr>
          <w:sz w:val="21"/>
        </w:rPr>
        <w:t>分</w:t>
      </w:r>
      <w:r>
        <w:rPr>
          <w:spacing w:val="-3"/>
          <w:sz w:val="21"/>
        </w:rPr>
        <w:t>区</w:t>
      </w:r>
      <w:r>
        <w:rPr>
          <w:sz w:val="21"/>
        </w:rPr>
        <w:t>内</w:t>
      </w:r>
      <w:r>
        <w:rPr>
          <w:spacing w:val="-3"/>
          <w:sz w:val="21"/>
        </w:rPr>
        <w:t>各</w:t>
      </w:r>
      <w:r>
        <w:rPr>
          <w:sz w:val="21"/>
        </w:rPr>
        <w:t>场</w:t>
      </w:r>
      <w:r>
        <w:rPr>
          <w:spacing w:val="-3"/>
          <w:sz w:val="21"/>
        </w:rPr>
        <w:t>所</w:t>
      </w:r>
      <w:r>
        <w:rPr>
          <w:sz w:val="21"/>
        </w:rPr>
        <w:t>的</w:t>
      </w:r>
      <w:r>
        <w:rPr>
          <w:spacing w:val="-3"/>
          <w:sz w:val="21"/>
        </w:rPr>
        <w:t>危</w:t>
      </w:r>
      <w:r>
        <w:rPr>
          <w:sz w:val="21"/>
        </w:rPr>
        <w:t>险等</w:t>
      </w:r>
      <w:r>
        <w:rPr>
          <w:spacing w:val="-3"/>
          <w:sz w:val="21"/>
        </w:rPr>
        <w:t>级</w:t>
      </w:r>
      <w:r>
        <w:rPr>
          <w:sz w:val="21"/>
        </w:rPr>
        <w:t>和</w:t>
      </w:r>
      <w:r>
        <w:rPr>
          <w:spacing w:val="-3"/>
          <w:sz w:val="21"/>
        </w:rPr>
        <w:t>火</w:t>
      </w:r>
      <w:r>
        <w:rPr>
          <w:sz w:val="21"/>
        </w:rPr>
        <w:t>灾</w:t>
      </w:r>
      <w:r>
        <w:rPr>
          <w:spacing w:val="-3"/>
          <w:sz w:val="21"/>
        </w:rPr>
        <w:t>种</w:t>
      </w:r>
      <w:r>
        <w:rPr>
          <w:sz w:val="21"/>
        </w:rPr>
        <w:t>类</w:t>
      </w:r>
      <w:r>
        <w:rPr>
          <w:spacing w:val="-3"/>
          <w:sz w:val="21"/>
        </w:rPr>
        <w:t>相</w:t>
      </w:r>
      <w:r>
        <w:rPr>
          <w:sz w:val="21"/>
        </w:rPr>
        <w:t>同</w:t>
      </w:r>
      <w:r>
        <w:rPr>
          <w:spacing w:val="-3"/>
          <w:sz w:val="21"/>
        </w:rPr>
        <w:t>时</w:t>
      </w:r>
      <w:r>
        <w:rPr>
          <w:sz w:val="21"/>
        </w:rPr>
        <w:t>，可</w:t>
      </w:r>
      <w:r>
        <w:rPr>
          <w:spacing w:val="-3"/>
          <w:sz w:val="21"/>
        </w:rPr>
        <w:t>将</w:t>
      </w:r>
      <w:r>
        <w:rPr>
          <w:sz w:val="21"/>
        </w:rPr>
        <w:t>其作为一</w:t>
      </w:r>
      <w:r>
        <w:rPr>
          <w:spacing w:val="-3"/>
          <w:sz w:val="21"/>
        </w:rPr>
        <w:t>个</w:t>
      </w:r>
      <w:r>
        <w:rPr>
          <w:sz w:val="21"/>
        </w:rPr>
        <w:t>计</w:t>
      </w:r>
      <w:r>
        <w:rPr>
          <w:spacing w:val="-3"/>
          <w:sz w:val="21"/>
        </w:rPr>
        <w:t>算</w:t>
      </w:r>
      <w:r>
        <w:rPr>
          <w:spacing w:val="10"/>
          <w:sz w:val="21"/>
        </w:rPr>
        <w:t xml:space="preserve"> </w:t>
      </w:r>
      <w:r>
        <w:rPr>
          <w:spacing w:val="-3"/>
          <w:sz w:val="21"/>
        </w:rPr>
        <w:t>单</w:t>
      </w:r>
      <w:r>
        <w:rPr>
          <w:sz w:val="21"/>
        </w:rPr>
        <w:t>元</w:t>
      </w:r>
      <w:r>
        <w:rPr>
          <w:spacing w:val="-3"/>
          <w:sz w:val="21"/>
        </w:rPr>
        <w:t>。</w:t>
      </w:r>
      <w:r>
        <w:rPr>
          <w:sz w:val="21"/>
        </w:rPr>
        <w:t xml:space="preserve"> </w:t>
      </w:r>
      <w:r>
        <w:rPr>
          <w:sz w:val="21"/>
        </w:rPr>
        <w:tab/>
      </w:r>
      <w:hyperlink r:id="rId203" w:anchor="721">
        <w:r>
          <w:rPr>
            <w:sz w:val="21"/>
          </w:rPr>
          <w:t xml:space="preserve"> </w:t>
        </w:r>
      </w:hyperlink>
      <w:r>
        <w:rPr>
          <w:sz w:val="21"/>
        </w:rPr>
        <w:t xml:space="preserve"> </w:t>
      </w:r>
    </w:p>
    <w:p w14:paraId="43B19755" w14:textId="77777777" w:rsidR="00A71EEF" w:rsidRDefault="0081115D">
      <w:pPr>
        <w:pStyle w:val="a4"/>
        <w:numPr>
          <w:ilvl w:val="0"/>
          <w:numId w:val="639"/>
        </w:numPr>
        <w:tabs>
          <w:tab w:val="left" w:pos="1367"/>
        </w:tabs>
        <w:spacing w:line="446" w:lineRule="auto"/>
        <w:ind w:right="1714" w:firstLine="419"/>
        <w:rPr>
          <w:sz w:val="21"/>
        </w:rPr>
      </w:pPr>
      <w:r>
        <w:rPr>
          <w:spacing w:val="-3"/>
          <w:sz w:val="21"/>
        </w:rPr>
        <w:t>当一个楼层或一个水平防火分区内各场所的危险等级和火灾种类不相同时，应将其分别作为不</w:t>
      </w:r>
      <w:r>
        <w:rPr>
          <w:spacing w:val="-3"/>
          <w:sz w:val="21"/>
        </w:rPr>
        <w:t xml:space="preserve"> </w:t>
      </w:r>
      <w:r>
        <w:rPr>
          <w:spacing w:val="-3"/>
          <w:sz w:val="21"/>
        </w:rPr>
        <w:t>同的计算单元。</w:t>
      </w:r>
      <w:r>
        <w:rPr>
          <w:spacing w:val="-3"/>
          <w:sz w:val="21"/>
        </w:rPr>
        <w:t xml:space="preserve"> </w:t>
      </w:r>
    </w:p>
    <w:p w14:paraId="0F0766DB" w14:textId="77777777" w:rsidR="00A71EEF" w:rsidRDefault="0081115D">
      <w:pPr>
        <w:pStyle w:val="a4"/>
        <w:numPr>
          <w:ilvl w:val="0"/>
          <w:numId w:val="639"/>
        </w:numPr>
        <w:tabs>
          <w:tab w:val="left" w:pos="1367"/>
        </w:tabs>
        <w:spacing w:line="446" w:lineRule="auto"/>
        <w:ind w:left="840" w:right="5072" w:hanging="3"/>
        <w:rPr>
          <w:b/>
          <w:sz w:val="21"/>
        </w:rPr>
      </w:pPr>
      <w:r>
        <w:rPr>
          <w:spacing w:val="-3"/>
          <w:sz w:val="21"/>
        </w:rPr>
        <w:t>同一计算单元不得跨越防火分区和楼层。</w:t>
      </w:r>
      <w:r>
        <w:rPr>
          <w:b/>
          <w:sz w:val="21"/>
        </w:rPr>
        <w:t>7.2.2</w:t>
      </w:r>
      <w:r>
        <w:rPr>
          <w:b/>
          <w:spacing w:val="12"/>
          <w:sz w:val="21"/>
        </w:rPr>
        <w:t xml:space="preserve"> </w:t>
      </w:r>
      <w:r>
        <w:rPr>
          <w:spacing w:val="-3"/>
          <w:sz w:val="21"/>
        </w:rPr>
        <w:t>计算单元保护面积的确定应符合下列规定：</w:t>
      </w:r>
      <w:r>
        <w:rPr>
          <w:b/>
          <w:w w:val="99"/>
          <w:sz w:val="21"/>
        </w:rPr>
        <w:t xml:space="preserve"> </w:t>
      </w:r>
    </w:p>
    <w:p w14:paraId="2A01A445" w14:textId="77777777" w:rsidR="00A71EEF" w:rsidRDefault="0081115D">
      <w:pPr>
        <w:pStyle w:val="a4"/>
        <w:numPr>
          <w:ilvl w:val="0"/>
          <w:numId w:val="638"/>
        </w:numPr>
        <w:tabs>
          <w:tab w:val="left" w:pos="1367"/>
        </w:tabs>
        <w:spacing w:line="267" w:lineRule="exact"/>
        <w:rPr>
          <w:sz w:val="21"/>
        </w:rPr>
      </w:pPr>
      <w:r>
        <w:rPr>
          <w:spacing w:val="-3"/>
          <w:sz w:val="21"/>
        </w:rPr>
        <w:t>建筑物应按其建筑面积确定；</w:t>
      </w:r>
      <w:r>
        <w:rPr>
          <w:sz w:val="21"/>
        </w:rPr>
        <w:t xml:space="preserve"> </w:t>
      </w:r>
    </w:p>
    <w:p w14:paraId="1C07B433" w14:textId="77777777" w:rsidR="00A71EEF" w:rsidRDefault="00A71EEF">
      <w:pPr>
        <w:spacing w:line="267" w:lineRule="exact"/>
        <w:rPr>
          <w:sz w:val="21"/>
        </w:rPr>
        <w:sectPr w:rsidR="00A71EEF">
          <w:pgSz w:w="11910" w:h="16850"/>
          <w:pgMar w:top="1220" w:right="0" w:bottom="1420" w:left="1260" w:header="0" w:footer="1159" w:gutter="0"/>
          <w:cols w:space="720"/>
        </w:sectPr>
      </w:pPr>
    </w:p>
    <w:p w14:paraId="6E98C6CA" w14:textId="77777777" w:rsidR="00A71EEF" w:rsidRDefault="0081115D">
      <w:pPr>
        <w:pStyle w:val="a4"/>
        <w:numPr>
          <w:ilvl w:val="0"/>
          <w:numId w:val="638"/>
        </w:numPr>
        <w:tabs>
          <w:tab w:val="left" w:pos="1367"/>
        </w:tabs>
        <w:spacing w:before="47" w:line="446" w:lineRule="auto"/>
        <w:ind w:left="418" w:right="1714" w:firstLine="419"/>
        <w:rPr>
          <w:sz w:val="21"/>
        </w:rPr>
      </w:pPr>
      <w:r>
        <w:rPr>
          <w:spacing w:val="-3"/>
          <w:sz w:val="21"/>
        </w:rPr>
        <w:t>可燃物露天堆场，甲、乙、丙类液体储罐区，可燃气体储罐区应按堆垛、储罐的占地面积确定。</w:t>
      </w:r>
      <w:r>
        <w:rPr>
          <w:sz w:val="21"/>
        </w:rPr>
        <w:t xml:space="preserve"> </w:t>
      </w:r>
    </w:p>
    <w:p w14:paraId="760F3169" w14:textId="77777777" w:rsidR="00A71EEF" w:rsidRDefault="0081115D">
      <w:pPr>
        <w:pStyle w:val="a4"/>
        <w:numPr>
          <w:ilvl w:val="1"/>
          <w:numId w:val="640"/>
        </w:numPr>
        <w:tabs>
          <w:tab w:val="left" w:pos="1159"/>
        </w:tabs>
        <w:spacing w:line="267" w:lineRule="exact"/>
        <w:ind w:left="1158" w:hanging="319"/>
        <w:rPr>
          <w:b/>
          <w:sz w:val="21"/>
        </w:rPr>
      </w:pPr>
      <w:r>
        <w:rPr>
          <w:spacing w:val="-3"/>
          <w:sz w:val="21"/>
        </w:rPr>
        <w:t>配置设计计算</w:t>
      </w:r>
      <w:r>
        <w:rPr>
          <w:b/>
          <w:w w:val="99"/>
          <w:sz w:val="21"/>
        </w:rPr>
        <w:t xml:space="preserve"> </w:t>
      </w:r>
    </w:p>
    <w:p w14:paraId="3FE77711" w14:textId="77777777" w:rsidR="00A71EEF" w:rsidRDefault="00A71EEF">
      <w:pPr>
        <w:pStyle w:val="a3"/>
        <w:spacing w:before="2"/>
        <w:rPr>
          <w:b/>
          <w:sz w:val="18"/>
        </w:rPr>
      </w:pPr>
    </w:p>
    <w:p w14:paraId="2DCF8CA3" w14:textId="77777777" w:rsidR="00A71EEF" w:rsidRDefault="0081115D">
      <w:pPr>
        <w:pStyle w:val="a4"/>
        <w:numPr>
          <w:ilvl w:val="2"/>
          <w:numId w:val="640"/>
        </w:numPr>
        <w:tabs>
          <w:tab w:val="left" w:pos="1370"/>
        </w:tabs>
        <w:ind w:left="1369" w:hanging="530"/>
        <w:rPr>
          <w:sz w:val="21"/>
        </w:rPr>
      </w:pPr>
      <w:r>
        <w:rPr>
          <w:spacing w:val="-3"/>
          <w:sz w:val="21"/>
        </w:rPr>
        <w:t>计算单元的最小需配灭火级别应按下式计算：</w:t>
      </w:r>
      <w:r>
        <w:rPr>
          <w:spacing w:val="-3"/>
          <w:sz w:val="21"/>
        </w:rPr>
        <w:t xml:space="preserve"> </w:t>
      </w:r>
    </w:p>
    <w:p w14:paraId="0E530B4E" w14:textId="77777777" w:rsidR="00A71EEF" w:rsidRDefault="00A71EEF">
      <w:pPr>
        <w:pStyle w:val="a3"/>
        <w:spacing w:before="11"/>
        <w:rPr>
          <w:sz w:val="14"/>
        </w:rPr>
      </w:pPr>
    </w:p>
    <w:p w14:paraId="22E56AC2" w14:textId="77777777" w:rsidR="00A71EEF" w:rsidRDefault="0081115D">
      <w:pPr>
        <w:ind w:left="3372"/>
        <w:rPr>
          <w:sz w:val="24"/>
        </w:rPr>
      </w:pPr>
      <w:r>
        <w:rPr>
          <w:i/>
          <w:sz w:val="25"/>
        </w:rPr>
        <w:t>Q</w:t>
      </w:r>
      <w:r>
        <w:rPr>
          <w:sz w:val="24"/>
        </w:rPr>
        <w:t>＝</w:t>
      </w:r>
      <w:r>
        <w:rPr>
          <w:i/>
          <w:sz w:val="25"/>
        </w:rPr>
        <w:t>KS</w:t>
      </w:r>
      <w:r>
        <w:rPr>
          <w:sz w:val="24"/>
        </w:rPr>
        <w:t>/</w:t>
      </w:r>
      <w:r>
        <w:rPr>
          <w:i/>
          <w:sz w:val="25"/>
        </w:rPr>
        <w:t xml:space="preserve">U </w:t>
      </w:r>
      <w:r>
        <w:rPr>
          <w:sz w:val="24"/>
        </w:rPr>
        <w:t xml:space="preserve">(7.3.1) </w:t>
      </w:r>
    </w:p>
    <w:p w14:paraId="563D4986" w14:textId="77777777" w:rsidR="00A71EEF" w:rsidRDefault="0081115D">
      <w:pPr>
        <w:pStyle w:val="5"/>
        <w:spacing w:before="181"/>
        <w:ind w:left="898"/>
        <w:rPr>
          <w:b/>
          <w:sz w:val="21"/>
        </w:rPr>
      </w:pPr>
      <w:r>
        <w:t>式中</w:t>
      </w:r>
      <w:r>
        <w:t xml:space="preserve"> </w:t>
      </w:r>
      <w:r>
        <w:rPr>
          <w:i/>
          <w:sz w:val="25"/>
        </w:rPr>
        <w:t xml:space="preserve">Q </w:t>
      </w:r>
      <w:r>
        <w:t>——</w:t>
      </w:r>
      <w:r>
        <w:t>计算单元的最小需配灭火级别（</w:t>
      </w:r>
      <w:r>
        <w:t xml:space="preserve">A </w:t>
      </w:r>
      <w:r>
        <w:t>或</w:t>
      </w:r>
      <w:r>
        <w:t xml:space="preserve"> B</w:t>
      </w:r>
      <w:r>
        <w:t>）；</w:t>
      </w:r>
      <w:r>
        <w:rPr>
          <w:b/>
          <w:w w:val="99"/>
          <w:sz w:val="21"/>
        </w:rPr>
        <w:t xml:space="preserve"> </w:t>
      </w:r>
    </w:p>
    <w:p w14:paraId="083A8A9A" w14:textId="77777777" w:rsidR="00A71EEF" w:rsidRDefault="0081115D">
      <w:pPr>
        <w:spacing w:before="179"/>
        <w:ind w:left="1617"/>
        <w:rPr>
          <w:b/>
          <w:sz w:val="21"/>
        </w:rPr>
      </w:pPr>
      <w:r>
        <w:rPr>
          <w:i/>
          <w:sz w:val="25"/>
        </w:rPr>
        <w:t>S</w:t>
      </w:r>
      <w:r>
        <w:rPr>
          <w:i/>
          <w:spacing w:val="-16"/>
          <w:sz w:val="25"/>
        </w:rPr>
        <w:t xml:space="preserve"> </w:t>
      </w:r>
      <w:r>
        <w:rPr>
          <w:spacing w:val="-6"/>
          <w:sz w:val="24"/>
        </w:rPr>
        <w:t>——</w:t>
      </w:r>
      <w:r>
        <w:rPr>
          <w:spacing w:val="-6"/>
          <w:sz w:val="24"/>
        </w:rPr>
        <w:t>计算单元的保护面积</w:t>
      </w:r>
      <w:r>
        <w:rPr>
          <w:sz w:val="24"/>
        </w:rPr>
        <w:t>（</w:t>
      </w:r>
      <w:r>
        <w:rPr>
          <w:spacing w:val="-5"/>
          <w:sz w:val="24"/>
        </w:rPr>
        <w:t>㎡</w:t>
      </w:r>
      <w:r>
        <w:rPr>
          <w:sz w:val="24"/>
        </w:rPr>
        <w:t>）；</w:t>
      </w:r>
      <w:r>
        <w:rPr>
          <w:b/>
          <w:w w:val="99"/>
          <w:sz w:val="21"/>
        </w:rPr>
        <w:t xml:space="preserve"> </w:t>
      </w:r>
    </w:p>
    <w:p w14:paraId="48E3DF28" w14:textId="77777777" w:rsidR="00A71EEF" w:rsidRDefault="0081115D">
      <w:pPr>
        <w:pStyle w:val="a3"/>
        <w:tabs>
          <w:tab w:val="left" w:pos="5367"/>
        </w:tabs>
        <w:spacing w:before="212" w:line="424" w:lineRule="auto"/>
        <w:ind w:left="1469" w:right="2031"/>
      </w:pPr>
      <w:r>
        <w:rPr>
          <w:i/>
          <w:sz w:val="22"/>
        </w:rPr>
        <w:t>U</w:t>
      </w:r>
      <w:r>
        <w:rPr>
          <w:i/>
          <w:spacing w:val="1"/>
          <w:sz w:val="22"/>
        </w:rPr>
        <w:t xml:space="preserve"> </w:t>
      </w:r>
      <w:r>
        <w:t>——A</w:t>
      </w:r>
      <w:r>
        <w:rPr>
          <w:spacing w:val="7"/>
        </w:rPr>
        <w:t xml:space="preserve"> </w:t>
      </w:r>
      <w:r>
        <w:rPr>
          <w:spacing w:val="-3"/>
        </w:rPr>
        <w:t>类</w:t>
      </w:r>
      <w:r>
        <w:t>或</w:t>
      </w:r>
      <w:r>
        <w:rPr>
          <w:spacing w:val="7"/>
        </w:rPr>
        <w:t xml:space="preserve"> </w:t>
      </w:r>
      <w:r>
        <w:rPr>
          <w:spacing w:val="-3"/>
        </w:rPr>
        <w:t>B</w:t>
      </w:r>
      <w:r>
        <w:rPr>
          <w:spacing w:val="6"/>
        </w:rPr>
        <w:t xml:space="preserve"> </w:t>
      </w:r>
      <w:r>
        <w:rPr>
          <w:spacing w:val="-3"/>
        </w:rPr>
        <w:t>类</w:t>
      </w:r>
      <w:r>
        <w:t>火</w:t>
      </w:r>
      <w:r>
        <w:rPr>
          <w:spacing w:val="-3"/>
        </w:rPr>
        <w:t>灾场</w:t>
      </w:r>
      <w:r>
        <w:t>所单</w:t>
      </w:r>
      <w:r>
        <w:rPr>
          <w:spacing w:val="-3"/>
        </w:rPr>
        <w:t>位</w:t>
      </w:r>
      <w:r>
        <w:t>灭</w:t>
      </w:r>
      <w:r>
        <w:rPr>
          <w:spacing w:val="-3"/>
        </w:rPr>
        <w:t>火</w:t>
      </w:r>
      <w:r>
        <w:t>级</w:t>
      </w:r>
      <w:r>
        <w:rPr>
          <w:spacing w:val="-3"/>
        </w:rPr>
        <w:t>别</w:t>
      </w:r>
      <w:r>
        <w:t>最</w:t>
      </w:r>
      <w:r>
        <w:rPr>
          <w:spacing w:val="-3"/>
        </w:rPr>
        <w:t>大</w:t>
      </w:r>
      <w:r>
        <w:t>保</w:t>
      </w:r>
      <w:r>
        <w:rPr>
          <w:spacing w:val="-3"/>
        </w:rPr>
        <w:t>护</w:t>
      </w:r>
      <w:r>
        <w:t>面积</w:t>
      </w:r>
      <w:r>
        <w:rPr>
          <w:spacing w:val="-3"/>
        </w:rPr>
        <w:t>（</w:t>
      </w:r>
      <w:r>
        <w:t>㎡</w:t>
      </w:r>
      <w:r>
        <w:t>/A</w:t>
      </w:r>
      <w:r>
        <w:rPr>
          <w:spacing w:val="6"/>
        </w:rPr>
        <w:t xml:space="preserve"> </w:t>
      </w:r>
      <w:r>
        <w:t>或</w:t>
      </w:r>
      <w:r>
        <w:rPr>
          <w:spacing w:val="5"/>
        </w:rPr>
        <w:t xml:space="preserve"> </w:t>
      </w:r>
      <w:r>
        <w:t>㎡</w:t>
      </w:r>
      <w:r>
        <w:t>/B</w:t>
      </w:r>
      <w:r>
        <w:t>）；</w:t>
      </w:r>
      <w:r>
        <w:t xml:space="preserve"> </w:t>
      </w:r>
      <w:r>
        <w:rPr>
          <w:i/>
          <w:sz w:val="22"/>
        </w:rPr>
        <w:t>K</w:t>
      </w:r>
      <w:r>
        <w:rPr>
          <w:i/>
          <w:spacing w:val="-6"/>
          <w:sz w:val="22"/>
        </w:rPr>
        <w:t xml:space="preserve"> </w:t>
      </w:r>
      <w:r>
        <w:t>——</w:t>
      </w:r>
      <w:r>
        <w:t>修</w:t>
      </w:r>
      <w:r>
        <w:rPr>
          <w:spacing w:val="-3"/>
        </w:rPr>
        <w:t>正</w:t>
      </w:r>
      <w:r>
        <w:t>系</w:t>
      </w:r>
      <w:r>
        <w:rPr>
          <w:spacing w:val="-3"/>
        </w:rPr>
        <w:t>数</w:t>
      </w:r>
      <w:r>
        <w:t>。</w:t>
      </w:r>
      <w:r>
        <w:rPr>
          <w:b/>
          <w:w w:val="99"/>
        </w:rPr>
        <w:t xml:space="preserve"> </w:t>
      </w:r>
      <w:r>
        <w:rPr>
          <w:b/>
        </w:rPr>
        <w:tab/>
      </w:r>
      <w:hyperlink r:id="rId204" w:anchor="731">
        <w:r>
          <w:t xml:space="preserve"> </w:t>
        </w:r>
      </w:hyperlink>
      <w:r>
        <w:t xml:space="preserve"> </w:t>
      </w:r>
    </w:p>
    <w:p w14:paraId="68F4D79F" w14:textId="77777777" w:rsidR="00A71EEF" w:rsidRDefault="0081115D">
      <w:pPr>
        <w:pStyle w:val="a4"/>
        <w:numPr>
          <w:ilvl w:val="2"/>
          <w:numId w:val="640"/>
        </w:numPr>
        <w:tabs>
          <w:tab w:val="left" w:pos="1371"/>
        </w:tabs>
        <w:spacing w:before="11"/>
        <w:ind w:left="1370" w:hanging="531"/>
        <w:rPr>
          <w:b/>
          <w:sz w:val="21"/>
        </w:rPr>
      </w:pPr>
      <w:r>
        <w:rPr>
          <w:spacing w:val="-3"/>
          <w:sz w:val="21"/>
        </w:rPr>
        <w:t>修正系数应按表</w:t>
      </w:r>
      <w:r>
        <w:rPr>
          <w:spacing w:val="-3"/>
          <w:sz w:val="21"/>
        </w:rPr>
        <w:t xml:space="preserve"> </w:t>
      </w:r>
      <w:r>
        <w:rPr>
          <w:sz w:val="21"/>
        </w:rPr>
        <w:t>7.3.2</w:t>
      </w:r>
      <w:r>
        <w:rPr>
          <w:spacing w:val="-3"/>
          <w:sz w:val="21"/>
        </w:rPr>
        <w:t xml:space="preserve"> </w:t>
      </w:r>
      <w:r>
        <w:rPr>
          <w:spacing w:val="-3"/>
          <w:sz w:val="21"/>
        </w:rPr>
        <w:t>的规定取值。</w:t>
      </w:r>
      <w:r>
        <w:rPr>
          <w:b/>
          <w:w w:val="99"/>
          <w:sz w:val="21"/>
        </w:rPr>
        <w:t xml:space="preserve"> </w:t>
      </w:r>
    </w:p>
    <w:p w14:paraId="1400E3A7" w14:textId="77777777" w:rsidR="00A71EEF" w:rsidRDefault="0081115D">
      <w:pPr>
        <w:pStyle w:val="6"/>
        <w:spacing w:before="91" w:after="15"/>
        <w:ind w:left="3867"/>
      </w:pPr>
      <w:r>
        <w:rPr>
          <w:spacing w:val="-51"/>
        </w:rPr>
        <w:t>表</w:t>
      </w:r>
      <w:r>
        <w:rPr>
          <w:spacing w:val="-51"/>
        </w:rPr>
        <w:t xml:space="preserve"> </w:t>
      </w:r>
      <w:r>
        <w:t>7.3.2</w:t>
      </w:r>
      <w:r>
        <w:rPr>
          <w:spacing w:val="19"/>
        </w:rPr>
        <w:t xml:space="preserve"> </w:t>
      </w:r>
      <w:r>
        <w:rPr>
          <w:spacing w:val="19"/>
        </w:rPr>
        <w:t>修正系数</w:t>
      </w:r>
      <w:r>
        <w:rPr>
          <w:spacing w:val="19"/>
          <w:w w:val="99"/>
        </w:rPr>
        <w:t xml:space="preserve"> </w:t>
      </w:r>
    </w:p>
    <w:tbl>
      <w:tblPr>
        <w:tblStyle w:val="TableNormal"/>
        <w:tblW w:w="0" w:type="auto"/>
        <w:tblInd w:w="4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14"/>
        <w:gridCol w:w="3262"/>
      </w:tblGrid>
      <w:tr w:rsidR="00A71EEF" w14:paraId="0C748FD0" w14:textId="77777777">
        <w:trPr>
          <w:trHeight w:val="272"/>
        </w:trPr>
        <w:tc>
          <w:tcPr>
            <w:tcW w:w="5514" w:type="dxa"/>
          </w:tcPr>
          <w:p w14:paraId="012A3EEF" w14:textId="77777777" w:rsidR="00A71EEF" w:rsidRDefault="0081115D">
            <w:pPr>
              <w:pStyle w:val="TableParagraph"/>
              <w:spacing w:line="251" w:lineRule="exact"/>
              <w:ind w:left="2158" w:right="2041"/>
              <w:jc w:val="center"/>
              <w:rPr>
                <w:sz w:val="21"/>
              </w:rPr>
            </w:pPr>
            <w:r>
              <w:rPr>
                <w:sz w:val="21"/>
              </w:rPr>
              <w:t>计算单元</w:t>
            </w:r>
            <w:r>
              <w:rPr>
                <w:sz w:val="21"/>
              </w:rPr>
              <w:t xml:space="preserve"> </w:t>
            </w:r>
          </w:p>
        </w:tc>
        <w:tc>
          <w:tcPr>
            <w:tcW w:w="3262" w:type="dxa"/>
          </w:tcPr>
          <w:p w14:paraId="4CBD1251" w14:textId="77777777" w:rsidR="00A71EEF" w:rsidRDefault="0081115D">
            <w:pPr>
              <w:pStyle w:val="TableParagraph"/>
              <w:spacing w:before="10" w:line="242" w:lineRule="exact"/>
              <w:ind w:left="1609" w:right="1492"/>
              <w:jc w:val="center"/>
              <w:rPr>
                <w:sz w:val="21"/>
              </w:rPr>
            </w:pPr>
            <w:r>
              <w:rPr>
                <w:sz w:val="21"/>
              </w:rPr>
              <w:t xml:space="preserve">K </w:t>
            </w:r>
          </w:p>
        </w:tc>
      </w:tr>
      <w:tr w:rsidR="00A71EEF" w14:paraId="2B3E0051" w14:textId="77777777">
        <w:trPr>
          <w:trHeight w:val="299"/>
        </w:trPr>
        <w:tc>
          <w:tcPr>
            <w:tcW w:w="5514" w:type="dxa"/>
          </w:tcPr>
          <w:p w14:paraId="6EBDCA18" w14:textId="77777777" w:rsidR="00A71EEF" w:rsidRDefault="0081115D">
            <w:pPr>
              <w:pStyle w:val="TableParagraph"/>
              <w:spacing w:line="263" w:lineRule="exact"/>
              <w:ind w:left="107"/>
              <w:rPr>
                <w:sz w:val="21"/>
              </w:rPr>
            </w:pPr>
            <w:r>
              <w:rPr>
                <w:sz w:val="21"/>
              </w:rPr>
              <w:t>未设室内消火栓系统和灭火系统</w:t>
            </w:r>
            <w:r>
              <w:rPr>
                <w:sz w:val="21"/>
              </w:rPr>
              <w:t xml:space="preserve"> </w:t>
            </w:r>
          </w:p>
        </w:tc>
        <w:tc>
          <w:tcPr>
            <w:tcW w:w="3262" w:type="dxa"/>
          </w:tcPr>
          <w:p w14:paraId="01FEE904" w14:textId="77777777" w:rsidR="00A71EEF" w:rsidRDefault="0081115D">
            <w:pPr>
              <w:pStyle w:val="TableParagraph"/>
              <w:spacing w:before="22" w:line="257" w:lineRule="exact"/>
              <w:ind w:left="829"/>
              <w:rPr>
                <w:sz w:val="21"/>
              </w:rPr>
            </w:pPr>
            <w:r>
              <w:rPr>
                <w:sz w:val="21"/>
              </w:rPr>
              <w:t xml:space="preserve">1.0 </w:t>
            </w:r>
          </w:p>
        </w:tc>
      </w:tr>
      <w:tr w:rsidR="00A71EEF" w14:paraId="1F3D847B" w14:textId="77777777">
        <w:trPr>
          <w:trHeight w:val="272"/>
        </w:trPr>
        <w:tc>
          <w:tcPr>
            <w:tcW w:w="5514" w:type="dxa"/>
          </w:tcPr>
          <w:p w14:paraId="049EF04F" w14:textId="77777777" w:rsidR="00A71EEF" w:rsidRDefault="0081115D">
            <w:pPr>
              <w:pStyle w:val="TableParagraph"/>
              <w:spacing w:line="251" w:lineRule="exact"/>
              <w:ind w:left="107"/>
              <w:rPr>
                <w:sz w:val="21"/>
              </w:rPr>
            </w:pPr>
            <w:r>
              <w:rPr>
                <w:sz w:val="21"/>
              </w:rPr>
              <w:t>设有室内消火栓系统</w:t>
            </w:r>
            <w:r>
              <w:rPr>
                <w:sz w:val="21"/>
              </w:rPr>
              <w:t xml:space="preserve"> </w:t>
            </w:r>
          </w:p>
        </w:tc>
        <w:tc>
          <w:tcPr>
            <w:tcW w:w="3262" w:type="dxa"/>
          </w:tcPr>
          <w:p w14:paraId="6075B8C0" w14:textId="77777777" w:rsidR="00A71EEF" w:rsidRDefault="0081115D">
            <w:pPr>
              <w:pStyle w:val="TableParagraph"/>
              <w:spacing w:before="10" w:line="243" w:lineRule="exact"/>
              <w:ind w:left="829"/>
              <w:rPr>
                <w:sz w:val="21"/>
              </w:rPr>
            </w:pPr>
            <w:r>
              <w:rPr>
                <w:sz w:val="21"/>
              </w:rPr>
              <w:t xml:space="preserve">0.9 </w:t>
            </w:r>
          </w:p>
        </w:tc>
      </w:tr>
      <w:tr w:rsidR="00A71EEF" w14:paraId="54896C6D" w14:textId="77777777">
        <w:trPr>
          <w:trHeight w:val="273"/>
        </w:trPr>
        <w:tc>
          <w:tcPr>
            <w:tcW w:w="5514" w:type="dxa"/>
          </w:tcPr>
          <w:p w14:paraId="16101749" w14:textId="77777777" w:rsidR="00A71EEF" w:rsidRDefault="0081115D">
            <w:pPr>
              <w:pStyle w:val="TableParagraph"/>
              <w:spacing w:line="251" w:lineRule="exact"/>
              <w:ind w:left="2158" w:right="2041"/>
              <w:jc w:val="center"/>
              <w:rPr>
                <w:sz w:val="21"/>
              </w:rPr>
            </w:pPr>
            <w:r>
              <w:rPr>
                <w:sz w:val="21"/>
              </w:rPr>
              <w:t>设有灭火系统</w:t>
            </w:r>
            <w:r>
              <w:rPr>
                <w:sz w:val="21"/>
              </w:rPr>
              <w:t xml:space="preserve"> </w:t>
            </w:r>
          </w:p>
        </w:tc>
        <w:tc>
          <w:tcPr>
            <w:tcW w:w="3262" w:type="dxa"/>
          </w:tcPr>
          <w:p w14:paraId="025A12A1" w14:textId="77777777" w:rsidR="00A71EEF" w:rsidRDefault="0081115D">
            <w:pPr>
              <w:pStyle w:val="TableParagraph"/>
              <w:spacing w:before="13" w:line="240" w:lineRule="exact"/>
              <w:ind w:left="829"/>
              <w:rPr>
                <w:sz w:val="21"/>
              </w:rPr>
            </w:pPr>
            <w:r>
              <w:rPr>
                <w:sz w:val="21"/>
              </w:rPr>
              <w:t xml:space="preserve">0.7 </w:t>
            </w:r>
          </w:p>
        </w:tc>
      </w:tr>
      <w:tr w:rsidR="00A71EEF" w14:paraId="54D4F8DB" w14:textId="77777777">
        <w:trPr>
          <w:trHeight w:val="273"/>
        </w:trPr>
        <w:tc>
          <w:tcPr>
            <w:tcW w:w="5514" w:type="dxa"/>
          </w:tcPr>
          <w:p w14:paraId="37116572" w14:textId="77777777" w:rsidR="00A71EEF" w:rsidRDefault="0081115D">
            <w:pPr>
              <w:pStyle w:val="TableParagraph"/>
              <w:spacing w:line="253" w:lineRule="exact"/>
              <w:ind w:left="107"/>
              <w:rPr>
                <w:sz w:val="21"/>
              </w:rPr>
            </w:pPr>
            <w:r>
              <w:rPr>
                <w:sz w:val="21"/>
              </w:rPr>
              <w:t>设有室内消火栓系统和灭火系统</w:t>
            </w:r>
            <w:r>
              <w:rPr>
                <w:sz w:val="21"/>
              </w:rPr>
              <w:t xml:space="preserve"> </w:t>
            </w:r>
          </w:p>
        </w:tc>
        <w:tc>
          <w:tcPr>
            <w:tcW w:w="3262" w:type="dxa"/>
          </w:tcPr>
          <w:p w14:paraId="316D9AB6" w14:textId="77777777" w:rsidR="00A71EEF" w:rsidRDefault="0081115D">
            <w:pPr>
              <w:pStyle w:val="TableParagraph"/>
              <w:spacing w:before="11" w:line="242" w:lineRule="exact"/>
              <w:ind w:left="829"/>
              <w:rPr>
                <w:sz w:val="21"/>
              </w:rPr>
            </w:pPr>
            <w:r>
              <w:rPr>
                <w:sz w:val="21"/>
              </w:rPr>
              <w:t xml:space="preserve">0.5 </w:t>
            </w:r>
          </w:p>
        </w:tc>
      </w:tr>
      <w:tr w:rsidR="00A71EEF" w14:paraId="0B81F32B" w14:textId="77777777">
        <w:trPr>
          <w:trHeight w:val="916"/>
        </w:trPr>
        <w:tc>
          <w:tcPr>
            <w:tcW w:w="5514" w:type="dxa"/>
          </w:tcPr>
          <w:p w14:paraId="095BC101" w14:textId="77777777" w:rsidR="00A71EEF" w:rsidRDefault="0081115D">
            <w:pPr>
              <w:pStyle w:val="TableParagraph"/>
              <w:spacing w:before="12" w:line="213" w:lineRule="auto"/>
              <w:ind w:left="1386" w:right="1349" w:hanging="1198"/>
              <w:rPr>
                <w:sz w:val="21"/>
              </w:rPr>
            </w:pPr>
            <w:r>
              <w:rPr>
                <w:sz w:val="21"/>
              </w:rPr>
              <w:t>可燃物露天堆场</w:t>
            </w:r>
            <w:r>
              <w:rPr>
                <w:sz w:val="21"/>
              </w:rPr>
              <w:t xml:space="preserve"> </w:t>
            </w:r>
            <w:r>
              <w:rPr>
                <w:sz w:val="21"/>
              </w:rPr>
              <w:t>甲、乙、丙类液体储罐区可燃气体储罐区</w:t>
            </w:r>
            <w:r>
              <w:rPr>
                <w:sz w:val="21"/>
              </w:rPr>
              <w:t xml:space="preserve"> </w:t>
            </w:r>
          </w:p>
        </w:tc>
        <w:tc>
          <w:tcPr>
            <w:tcW w:w="3262" w:type="dxa"/>
          </w:tcPr>
          <w:p w14:paraId="2007F5DE" w14:textId="77777777" w:rsidR="00A71EEF" w:rsidRDefault="0081115D">
            <w:pPr>
              <w:pStyle w:val="TableParagraph"/>
              <w:spacing w:line="115" w:lineRule="exact"/>
              <w:ind w:left="107"/>
              <w:rPr>
                <w:sz w:val="13"/>
              </w:rPr>
            </w:pPr>
            <w:r>
              <w:rPr>
                <w:w w:val="99"/>
                <w:sz w:val="13"/>
              </w:rPr>
              <w:t xml:space="preserve"> </w:t>
            </w:r>
          </w:p>
          <w:p w14:paraId="6C700975" w14:textId="77777777" w:rsidR="00A71EEF" w:rsidRDefault="0081115D">
            <w:pPr>
              <w:pStyle w:val="TableParagraph"/>
              <w:spacing w:line="224" w:lineRule="exact"/>
              <w:ind w:left="107"/>
              <w:rPr>
                <w:sz w:val="20"/>
              </w:rPr>
            </w:pPr>
            <w:r>
              <w:rPr>
                <w:w w:val="99"/>
                <w:sz w:val="20"/>
              </w:rPr>
              <w:t xml:space="preserve"> </w:t>
            </w:r>
          </w:p>
          <w:p w14:paraId="2127B61B" w14:textId="77777777" w:rsidR="00A71EEF" w:rsidRDefault="0081115D">
            <w:pPr>
              <w:pStyle w:val="TableParagraph"/>
              <w:spacing w:line="262" w:lineRule="exact"/>
              <w:ind w:left="829"/>
              <w:rPr>
                <w:sz w:val="21"/>
              </w:rPr>
            </w:pPr>
            <w:r>
              <w:rPr>
                <w:sz w:val="21"/>
              </w:rPr>
              <w:t xml:space="preserve">0.3 </w:t>
            </w:r>
          </w:p>
        </w:tc>
      </w:tr>
    </w:tbl>
    <w:p w14:paraId="135A656E" w14:textId="77777777" w:rsidR="00A71EEF" w:rsidRDefault="00A71EEF">
      <w:pPr>
        <w:pStyle w:val="a3"/>
        <w:spacing w:before="12"/>
        <w:rPr>
          <w:b/>
          <w:sz w:val="14"/>
        </w:rPr>
      </w:pPr>
    </w:p>
    <w:p w14:paraId="0DF1F844" w14:textId="77777777" w:rsidR="00A71EEF" w:rsidRDefault="0081115D">
      <w:pPr>
        <w:pStyle w:val="a4"/>
        <w:numPr>
          <w:ilvl w:val="2"/>
          <w:numId w:val="640"/>
        </w:numPr>
        <w:tabs>
          <w:tab w:val="left" w:pos="1371"/>
        </w:tabs>
        <w:spacing w:line="391" w:lineRule="auto"/>
        <w:ind w:right="1788" w:firstLine="422"/>
        <w:rPr>
          <w:sz w:val="24"/>
        </w:rPr>
      </w:pPr>
      <w:r>
        <w:rPr>
          <w:spacing w:val="-12"/>
          <w:sz w:val="24"/>
        </w:rPr>
        <w:t>歌舞娱乐放映游艺场所、网吧、商场、寺庙以及地下场所等的计算单元</w:t>
      </w:r>
      <w:r>
        <w:rPr>
          <w:spacing w:val="-7"/>
          <w:sz w:val="24"/>
        </w:rPr>
        <w:t>的最小需配灭火级别应</w:t>
      </w:r>
      <w:r>
        <w:rPr>
          <w:spacing w:val="-7"/>
          <w:sz w:val="24"/>
        </w:rPr>
        <w:t xml:space="preserve"> </w:t>
      </w:r>
      <w:r>
        <w:rPr>
          <w:spacing w:val="-7"/>
          <w:sz w:val="24"/>
        </w:rPr>
        <w:t>按下式计算：</w:t>
      </w:r>
      <w:r>
        <w:rPr>
          <w:spacing w:val="-7"/>
          <w:sz w:val="24"/>
        </w:rPr>
        <w:t xml:space="preserve"> </w:t>
      </w:r>
      <w:r>
        <w:rPr>
          <w:spacing w:val="26"/>
          <w:sz w:val="24"/>
        </w:rPr>
        <w:t xml:space="preserve"> </w:t>
      </w:r>
      <w:r>
        <w:rPr>
          <w:sz w:val="24"/>
        </w:rPr>
        <w:t xml:space="preserve"> </w:t>
      </w:r>
    </w:p>
    <w:p w14:paraId="16CE113D" w14:textId="77777777" w:rsidR="00A71EEF" w:rsidRDefault="0081115D">
      <w:pPr>
        <w:spacing w:before="20"/>
        <w:ind w:left="1193"/>
        <w:rPr>
          <w:sz w:val="24"/>
        </w:rPr>
      </w:pPr>
      <w:r>
        <w:rPr>
          <w:i/>
          <w:sz w:val="25"/>
        </w:rPr>
        <w:t xml:space="preserve">Q </w:t>
      </w:r>
      <w:r>
        <w:rPr>
          <w:sz w:val="24"/>
        </w:rPr>
        <w:t>＝</w:t>
      </w:r>
      <w:r>
        <w:rPr>
          <w:sz w:val="24"/>
        </w:rPr>
        <w:t xml:space="preserve"> 1.3 </w:t>
      </w:r>
      <w:r>
        <w:rPr>
          <w:i/>
          <w:sz w:val="25"/>
        </w:rPr>
        <w:t xml:space="preserve">KS </w:t>
      </w:r>
      <w:r>
        <w:rPr>
          <w:sz w:val="24"/>
        </w:rPr>
        <w:t xml:space="preserve">/ </w:t>
      </w:r>
      <w:r>
        <w:rPr>
          <w:i/>
          <w:sz w:val="25"/>
        </w:rPr>
        <w:t xml:space="preserve">U </w:t>
      </w:r>
      <w:r>
        <w:rPr>
          <w:sz w:val="24"/>
        </w:rPr>
        <w:t xml:space="preserve">( 7 . 3 . 3 )  </w:t>
      </w:r>
    </w:p>
    <w:p w14:paraId="7A77FE0A" w14:textId="77777777" w:rsidR="00A71EEF" w:rsidRDefault="00A71EEF">
      <w:pPr>
        <w:pStyle w:val="a3"/>
        <w:spacing w:before="9"/>
        <w:rPr>
          <w:sz w:val="19"/>
        </w:rPr>
      </w:pPr>
    </w:p>
    <w:p w14:paraId="6859BE44" w14:textId="77777777" w:rsidR="00A71EEF" w:rsidRDefault="0081115D">
      <w:pPr>
        <w:pStyle w:val="a4"/>
        <w:numPr>
          <w:ilvl w:val="2"/>
          <w:numId w:val="640"/>
        </w:numPr>
        <w:tabs>
          <w:tab w:val="left" w:pos="1528"/>
        </w:tabs>
        <w:ind w:left="1527" w:hanging="530"/>
        <w:rPr>
          <w:sz w:val="21"/>
        </w:rPr>
      </w:pPr>
      <w:r>
        <w:rPr>
          <w:spacing w:val="-3"/>
          <w:sz w:val="21"/>
        </w:rPr>
        <w:t>计算单元中每个灭火器设置点的最小需配灭火级别应按下式计算：</w:t>
      </w:r>
      <w:r>
        <w:rPr>
          <w:sz w:val="21"/>
        </w:rPr>
        <w:t xml:space="preserve"> </w:t>
      </w:r>
    </w:p>
    <w:p w14:paraId="55E521A0" w14:textId="77777777" w:rsidR="00A71EEF" w:rsidRDefault="00A71EEF">
      <w:pPr>
        <w:pStyle w:val="a3"/>
        <w:rPr>
          <w:sz w:val="15"/>
        </w:rPr>
      </w:pPr>
    </w:p>
    <w:p w14:paraId="5247D8AE" w14:textId="77777777" w:rsidR="00A71EEF" w:rsidRDefault="0081115D">
      <w:pPr>
        <w:ind w:left="2981"/>
        <w:rPr>
          <w:sz w:val="24"/>
        </w:rPr>
      </w:pPr>
      <w:r>
        <w:rPr>
          <w:i/>
          <w:w w:val="96"/>
          <w:position w:val="2"/>
          <w:sz w:val="25"/>
        </w:rPr>
        <w:t>Q</w:t>
      </w:r>
      <w:r>
        <w:rPr>
          <w:sz w:val="12"/>
        </w:rPr>
        <w:t>e</w:t>
      </w:r>
      <w:r>
        <w:rPr>
          <w:sz w:val="12"/>
        </w:rPr>
        <w:t>＝</w:t>
      </w:r>
      <w:r>
        <w:rPr>
          <w:position w:val="2"/>
          <w:sz w:val="24"/>
        </w:rPr>
        <w:t>Q/</w:t>
      </w:r>
      <w:r>
        <w:rPr>
          <w:i/>
          <w:w w:val="96"/>
          <w:position w:val="2"/>
          <w:sz w:val="25"/>
        </w:rPr>
        <w:t xml:space="preserve">N                  </w:t>
      </w:r>
      <w:r>
        <w:rPr>
          <w:position w:val="2"/>
          <w:sz w:val="24"/>
        </w:rPr>
        <w:t xml:space="preserve">(7.3.4) </w:t>
      </w:r>
    </w:p>
    <w:p w14:paraId="29507815" w14:textId="77777777" w:rsidR="00A71EEF" w:rsidRDefault="00A71EEF">
      <w:pPr>
        <w:pStyle w:val="a3"/>
        <w:spacing w:before="9"/>
        <w:rPr>
          <w:sz w:val="20"/>
        </w:rPr>
      </w:pPr>
    </w:p>
    <w:p w14:paraId="0F1B948D" w14:textId="77777777" w:rsidR="00A71EEF" w:rsidRDefault="0081115D">
      <w:pPr>
        <w:pStyle w:val="a3"/>
        <w:ind w:left="838"/>
      </w:pPr>
      <w:r>
        <w:t>式中</w:t>
      </w:r>
      <w:r>
        <w:t xml:space="preserve"> </w:t>
      </w:r>
      <w:r>
        <w:rPr>
          <w:i/>
          <w:sz w:val="22"/>
        </w:rPr>
        <w:t>Q</w:t>
      </w:r>
      <w:r>
        <w:rPr>
          <w:position w:val="-2"/>
          <w:sz w:val="11"/>
        </w:rPr>
        <w:t>e</w:t>
      </w:r>
      <w:r>
        <w:t>——</w:t>
      </w:r>
      <w:r>
        <w:t>计算单元中每个灭火器设置点的最小需配灭火级别（</w:t>
      </w:r>
      <w:r>
        <w:t xml:space="preserve">A </w:t>
      </w:r>
      <w:r>
        <w:t>或</w:t>
      </w:r>
      <w:r>
        <w:t xml:space="preserve"> B</w:t>
      </w:r>
      <w:r>
        <w:t>）</w:t>
      </w:r>
      <w:r>
        <w:t xml:space="preserve"> </w:t>
      </w:r>
      <w:r>
        <w:t>；</w:t>
      </w:r>
      <w:r>
        <w:t xml:space="preserve"> </w:t>
      </w:r>
    </w:p>
    <w:p w14:paraId="301E8D50" w14:textId="77777777" w:rsidR="00A71EEF" w:rsidRDefault="00A71EEF">
      <w:pPr>
        <w:pStyle w:val="a3"/>
        <w:spacing w:before="1"/>
        <w:rPr>
          <w:sz w:val="17"/>
        </w:rPr>
      </w:pPr>
    </w:p>
    <w:p w14:paraId="1F1FF05C" w14:textId="77777777" w:rsidR="00A71EEF" w:rsidRDefault="0081115D">
      <w:pPr>
        <w:tabs>
          <w:tab w:val="left" w:pos="5367"/>
          <w:tab w:val="left" w:pos="5878"/>
        </w:tabs>
        <w:spacing w:before="1" w:line="477" w:lineRule="auto"/>
        <w:ind w:left="840" w:right="4554" w:hanging="3"/>
        <w:rPr>
          <w:sz w:val="21"/>
        </w:rPr>
      </w:pPr>
      <w:r>
        <w:rPr>
          <w:i/>
        </w:rPr>
        <w:t>N</w:t>
      </w:r>
      <w:r>
        <w:rPr>
          <w:i/>
          <w:spacing w:val="14"/>
        </w:rPr>
        <w:t xml:space="preserve"> </w:t>
      </w:r>
      <w:r>
        <w:rPr>
          <w:spacing w:val="-6"/>
          <w:sz w:val="21"/>
        </w:rPr>
        <w:t>——</w:t>
      </w:r>
      <w:r>
        <w:rPr>
          <w:spacing w:val="-5"/>
          <w:sz w:val="21"/>
        </w:rPr>
        <w:t>计</w:t>
      </w:r>
      <w:r>
        <w:rPr>
          <w:spacing w:val="-3"/>
          <w:sz w:val="21"/>
        </w:rPr>
        <w:t>算</w:t>
      </w:r>
      <w:r>
        <w:rPr>
          <w:spacing w:val="-8"/>
          <w:sz w:val="21"/>
        </w:rPr>
        <w:t>单</w:t>
      </w:r>
      <w:r>
        <w:rPr>
          <w:spacing w:val="-3"/>
          <w:sz w:val="21"/>
        </w:rPr>
        <w:t>元</w:t>
      </w:r>
      <w:r>
        <w:rPr>
          <w:spacing w:val="-8"/>
          <w:sz w:val="21"/>
        </w:rPr>
        <w:t>中</w:t>
      </w:r>
      <w:r>
        <w:rPr>
          <w:spacing w:val="-5"/>
          <w:sz w:val="21"/>
        </w:rPr>
        <w:t>的</w:t>
      </w:r>
      <w:r>
        <w:rPr>
          <w:spacing w:val="-3"/>
          <w:sz w:val="21"/>
        </w:rPr>
        <w:t>灭火</w:t>
      </w:r>
      <w:r>
        <w:rPr>
          <w:spacing w:val="-5"/>
          <w:sz w:val="21"/>
        </w:rPr>
        <w:t>器</w:t>
      </w:r>
      <w:r>
        <w:rPr>
          <w:spacing w:val="-3"/>
          <w:sz w:val="21"/>
        </w:rPr>
        <w:t>设</w:t>
      </w:r>
      <w:r>
        <w:rPr>
          <w:spacing w:val="-8"/>
          <w:sz w:val="21"/>
        </w:rPr>
        <w:t>置</w:t>
      </w:r>
      <w:r>
        <w:rPr>
          <w:spacing w:val="-3"/>
          <w:sz w:val="21"/>
        </w:rPr>
        <w:t>点</w:t>
      </w:r>
      <w:r>
        <w:rPr>
          <w:spacing w:val="-5"/>
          <w:sz w:val="21"/>
        </w:rPr>
        <w:t>数</w:t>
      </w:r>
      <w:r>
        <w:rPr>
          <w:spacing w:val="-3"/>
          <w:sz w:val="21"/>
        </w:rPr>
        <w:t>（</w:t>
      </w:r>
      <w:r>
        <w:rPr>
          <w:spacing w:val="-8"/>
          <w:sz w:val="21"/>
        </w:rPr>
        <w:t>个</w:t>
      </w:r>
      <w:r>
        <w:rPr>
          <w:sz w:val="21"/>
        </w:rPr>
        <w:t>）</w:t>
      </w:r>
      <w:r>
        <w:rPr>
          <w:spacing w:val="-3"/>
          <w:sz w:val="21"/>
        </w:rPr>
        <w:t>。</w:t>
      </w:r>
      <w:r>
        <w:rPr>
          <w:b/>
          <w:w w:val="99"/>
          <w:sz w:val="21"/>
        </w:rPr>
        <w:t xml:space="preserve"> </w:t>
      </w:r>
      <w:r>
        <w:rPr>
          <w:b/>
          <w:sz w:val="21"/>
        </w:rPr>
        <w:tab/>
      </w:r>
      <w:hyperlink r:id="rId205" w:anchor="734">
        <w:r>
          <w:rPr>
            <w:b/>
            <w:w w:val="99"/>
            <w:sz w:val="21"/>
          </w:rPr>
          <w:t xml:space="preserve"> </w:t>
        </w:r>
      </w:hyperlink>
      <w:r>
        <w:rPr>
          <w:b/>
          <w:w w:val="99"/>
          <w:sz w:val="21"/>
        </w:rPr>
        <w:t xml:space="preserve">  </w:t>
      </w:r>
      <w:r>
        <w:rPr>
          <w:b/>
          <w:sz w:val="21"/>
        </w:rPr>
        <w:t xml:space="preserve">7.3.5 </w:t>
      </w:r>
      <w:r>
        <w:rPr>
          <w:b/>
          <w:spacing w:val="11"/>
          <w:sz w:val="21"/>
        </w:rPr>
        <w:t xml:space="preserve"> </w:t>
      </w:r>
      <w:r>
        <w:rPr>
          <w:spacing w:val="-3"/>
          <w:sz w:val="21"/>
        </w:rPr>
        <w:t>灭</w:t>
      </w:r>
      <w:r>
        <w:rPr>
          <w:spacing w:val="-5"/>
          <w:sz w:val="21"/>
        </w:rPr>
        <w:t>火</w:t>
      </w:r>
      <w:r>
        <w:rPr>
          <w:spacing w:val="-3"/>
          <w:sz w:val="21"/>
        </w:rPr>
        <w:t>器</w:t>
      </w:r>
      <w:r>
        <w:rPr>
          <w:spacing w:val="-8"/>
          <w:sz w:val="21"/>
        </w:rPr>
        <w:t>配</w:t>
      </w:r>
      <w:r>
        <w:rPr>
          <w:sz w:val="21"/>
        </w:rPr>
        <w:t>置</w:t>
      </w:r>
      <w:r>
        <w:rPr>
          <w:spacing w:val="-5"/>
          <w:sz w:val="21"/>
        </w:rPr>
        <w:t>的</w:t>
      </w:r>
      <w:r>
        <w:rPr>
          <w:spacing w:val="-3"/>
          <w:sz w:val="21"/>
        </w:rPr>
        <w:t>设</w:t>
      </w:r>
      <w:r>
        <w:rPr>
          <w:spacing w:val="-8"/>
          <w:sz w:val="21"/>
        </w:rPr>
        <w:t>计</w:t>
      </w:r>
      <w:r>
        <w:rPr>
          <w:spacing w:val="-5"/>
          <w:sz w:val="21"/>
        </w:rPr>
        <w:t>计</w:t>
      </w:r>
      <w:r>
        <w:rPr>
          <w:spacing w:val="-3"/>
          <w:sz w:val="21"/>
        </w:rPr>
        <w:t>算可</w:t>
      </w:r>
      <w:r>
        <w:rPr>
          <w:spacing w:val="-5"/>
          <w:sz w:val="21"/>
        </w:rPr>
        <w:t>按</w:t>
      </w:r>
      <w:r>
        <w:rPr>
          <w:spacing w:val="-3"/>
          <w:sz w:val="21"/>
        </w:rPr>
        <w:t>下</w:t>
      </w:r>
      <w:r>
        <w:rPr>
          <w:spacing w:val="-8"/>
          <w:sz w:val="21"/>
        </w:rPr>
        <w:t>述</w:t>
      </w:r>
      <w:r>
        <w:rPr>
          <w:spacing w:val="-3"/>
          <w:sz w:val="21"/>
        </w:rPr>
        <w:t>程</w:t>
      </w:r>
      <w:r>
        <w:rPr>
          <w:spacing w:val="-5"/>
          <w:sz w:val="21"/>
        </w:rPr>
        <w:t>序</w:t>
      </w:r>
      <w:r>
        <w:rPr>
          <w:sz w:val="21"/>
        </w:rPr>
        <w:t>进</w:t>
      </w:r>
      <w:r>
        <w:rPr>
          <w:spacing w:val="-8"/>
          <w:sz w:val="21"/>
        </w:rPr>
        <w:t>行</w:t>
      </w:r>
      <w:r>
        <w:rPr>
          <w:spacing w:val="-3"/>
          <w:sz w:val="21"/>
        </w:rPr>
        <w:t>：</w:t>
      </w:r>
      <w:r>
        <w:rPr>
          <w:sz w:val="21"/>
        </w:rPr>
        <w:t xml:space="preserve"> </w:t>
      </w:r>
      <w:r>
        <w:rPr>
          <w:sz w:val="21"/>
        </w:rPr>
        <w:tab/>
      </w:r>
      <w:hyperlink r:id="rId206" w:anchor="735">
        <w:r>
          <w:rPr>
            <w:color w:val="D0CECE"/>
            <w:sz w:val="21"/>
            <w:u w:val="single" w:color="D0CECE"/>
          </w:rPr>
          <w:t xml:space="preserve"> </w:t>
        </w:r>
      </w:hyperlink>
      <w:r>
        <w:rPr>
          <w:sz w:val="21"/>
        </w:rPr>
        <w:t xml:space="preserve"> </w:t>
      </w:r>
    </w:p>
    <w:p w14:paraId="2754B90A" w14:textId="77777777" w:rsidR="00A71EEF" w:rsidRDefault="0081115D">
      <w:pPr>
        <w:pStyle w:val="a4"/>
        <w:numPr>
          <w:ilvl w:val="0"/>
          <w:numId w:val="637"/>
        </w:numPr>
        <w:tabs>
          <w:tab w:val="left" w:pos="1367"/>
        </w:tabs>
        <w:spacing w:before="10"/>
        <w:rPr>
          <w:sz w:val="21"/>
        </w:rPr>
      </w:pPr>
      <w:r>
        <w:rPr>
          <w:spacing w:val="-8"/>
          <w:sz w:val="21"/>
        </w:rPr>
        <w:t>确定各灭火器配置场所的火灾种类和危险等级；</w:t>
      </w:r>
      <w:r>
        <w:rPr>
          <w:sz w:val="21"/>
        </w:rPr>
        <w:t xml:space="preserve"> </w:t>
      </w:r>
    </w:p>
    <w:p w14:paraId="784B7046" w14:textId="77777777" w:rsidR="00A71EEF" w:rsidRDefault="00A71EEF">
      <w:pPr>
        <w:pStyle w:val="a3"/>
        <w:spacing w:before="12"/>
      </w:pPr>
    </w:p>
    <w:p w14:paraId="011F1DC0" w14:textId="77777777" w:rsidR="00A71EEF" w:rsidRDefault="0081115D">
      <w:pPr>
        <w:pStyle w:val="a4"/>
        <w:numPr>
          <w:ilvl w:val="0"/>
          <w:numId w:val="637"/>
        </w:numPr>
        <w:tabs>
          <w:tab w:val="left" w:pos="1367"/>
        </w:tabs>
        <w:rPr>
          <w:sz w:val="21"/>
        </w:rPr>
      </w:pPr>
      <w:r>
        <w:rPr>
          <w:spacing w:val="-8"/>
          <w:sz w:val="21"/>
        </w:rPr>
        <w:t>划分计算单元，计算各计算单元的保护面积；</w:t>
      </w:r>
      <w:r>
        <w:rPr>
          <w:sz w:val="21"/>
        </w:rPr>
        <w:t xml:space="preserve"> </w:t>
      </w:r>
    </w:p>
    <w:p w14:paraId="21C50D05" w14:textId="77777777" w:rsidR="00A71EEF" w:rsidRDefault="00A71EEF">
      <w:pPr>
        <w:pStyle w:val="a3"/>
        <w:spacing w:before="9"/>
      </w:pPr>
    </w:p>
    <w:p w14:paraId="1F912A1F" w14:textId="77777777" w:rsidR="00A71EEF" w:rsidRDefault="0081115D">
      <w:pPr>
        <w:pStyle w:val="a4"/>
        <w:numPr>
          <w:ilvl w:val="0"/>
          <w:numId w:val="637"/>
        </w:numPr>
        <w:tabs>
          <w:tab w:val="left" w:pos="1367"/>
        </w:tabs>
        <w:rPr>
          <w:sz w:val="21"/>
        </w:rPr>
      </w:pPr>
      <w:r>
        <w:rPr>
          <w:spacing w:val="-7"/>
          <w:sz w:val="21"/>
        </w:rPr>
        <w:t>计算各计算单元的最小需配灭火级别；</w:t>
      </w:r>
      <w:r>
        <w:rPr>
          <w:sz w:val="21"/>
        </w:rPr>
        <w:t xml:space="preserve"> </w:t>
      </w:r>
    </w:p>
    <w:p w14:paraId="1F09BA2C" w14:textId="77777777" w:rsidR="00A71EEF" w:rsidRDefault="00A71EEF">
      <w:pPr>
        <w:pStyle w:val="a3"/>
        <w:spacing w:before="1"/>
        <w:rPr>
          <w:sz w:val="22"/>
        </w:rPr>
      </w:pPr>
    </w:p>
    <w:p w14:paraId="5337F014" w14:textId="77777777" w:rsidR="00A71EEF" w:rsidRDefault="0081115D">
      <w:pPr>
        <w:pStyle w:val="a4"/>
        <w:numPr>
          <w:ilvl w:val="0"/>
          <w:numId w:val="637"/>
        </w:numPr>
        <w:tabs>
          <w:tab w:val="left" w:pos="1367"/>
        </w:tabs>
        <w:rPr>
          <w:sz w:val="21"/>
        </w:rPr>
      </w:pPr>
      <w:r>
        <w:rPr>
          <w:spacing w:val="-8"/>
          <w:sz w:val="21"/>
        </w:rPr>
        <w:t>确定各计算单元中的灭火器设置点的位置和数量；</w:t>
      </w:r>
      <w:r>
        <w:rPr>
          <w:sz w:val="21"/>
        </w:rPr>
        <w:t xml:space="preserve"> </w:t>
      </w:r>
    </w:p>
    <w:p w14:paraId="24021967" w14:textId="77777777" w:rsidR="00A71EEF" w:rsidRDefault="00A71EEF">
      <w:pPr>
        <w:rPr>
          <w:sz w:val="21"/>
        </w:rPr>
        <w:sectPr w:rsidR="00A71EEF">
          <w:pgSz w:w="11910" w:h="16850"/>
          <w:pgMar w:top="1220" w:right="0" w:bottom="1420" w:left="1260" w:header="0" w:footer="1159" w:gutter="0"/>
          <w:cols w:space="720"/>
        </w:sectPr>
      </w:pPr>
    </w:p>
    <w:p w14:paraId="7F955663" w14:textId="77777777" w:rsidR="00A71EEF" w:rsidRDefault="0081115D">
      <w:pPr>
        <w:pStyle w:val="a4"/>
        <w:numPr>
          <w:ilvl w:val="0"/>
          <w:numId w:val="637"/>
        </w:numPr>
        <w:tabs>
          <w:tab w:val="left" w:pos="1367"/>
        </w:tabs>
        <w:spacing w:before="45"/>
        <w:rPr>
          <w:sz w:val="21"/>
        </w:rPr>
      </w:pPr>
      <w:r>
        <w:rPr>
          <w:spacing w:val="-8"/>
          <w:sz w:val="21"/>
        </w:rPr>
        <w:t>计算每个灭火器设置点的最小需配灭火级别；</w:t>
      </w:r>
      <w:r>
        <w:rPr>
          <w:spacing w:val="-8"/>
          <w:sz w:val="21"/>
        </w:rPr>
        <w:t xml:space="preserve"> </w:t>
      </w:r>
    </w:p>
    <w:p w14:paraId="1F20093B" w14:textId="77777777" w:rsidR="00A71EEF" w:rsidRDefault="00A71EEF">
      <w:pPr>
        <w:pStyle w:val="a3"/>
        <w:spacing w:before="12"/>
      </w:pPr>
    </w:p>
    <w:p w14:paraId="2B0EDA40" w14:textId="77777777" w:rsidR="00A71EEF" w:rsidRDefault="0081115D">
      <w:pPr>
        <w:pStyle w:val="a4"/>
        <w:numPr>
          <w:ilvl w:val="0"/>
          <w:numId w:val="637"/>
        </w:numPr>
        <w:tabs>
          <w:tab w:val="left" w:pos="1367"/>
        </w:tabs>
        <w:rPr>
          <w:sz w:val="21"/>
        </w:rPr>
      </w:pPr>
      <w:r>
        <w:rPr>
          <w:spacing w:val="-8"/>
          <w:sz w:val="21"/>
        </w:rPr>
        <w:t>确定每个设置点灭火器的类型、规格与数量；</w:t>
      </w:r>
      <w:r>
        <w:rPr>
          <w:sz w:val="21"/>
        </w:rPr>
        <w:t xml:space="preserve"> </w:t>
      </w:r>
    </w:p>
    <w:p w14:paraId="73D79D77" w14:textId="77777777" w:rsidR="00A71EEF" w:rsidRDefault="00A71EEF">
      <w:pPr>
        <w:pStyle w:val="a3"/>
        <w:spacing w:before="11"/>
      </w:pPr>
    </w:p>
    <w:p w14:paraId="31C0E4BA" w14:textId="77777777" w:rsidR="00A71EEF" w:rsidRDefault="0081115D">
      <w:pPr>
        <w:pStyle w:val="a4"/>
        <w:numPr>
          <w:ilvl w:val="0"/>
          <w:numId w:val="637"/>
        </w:numPr>
        <w:tabs>
          <w:tab w:val="left" w:pos="1367"/>
        </w:tabs>
        <w:rPr>
          <w:sz w:val="21"/>
        </w:rPr>
      </w:pPr>
      <w:r>
        <w:rPr>
          <w:spacing w:val="-7"/>
          <w:sz w:val="21"/>
        </w:rPr>
        <w:t>确定每具灭火器的设置方式和要求；</w:t>
      </w:r>
      <w:r>
        <w:rPr>
          <w:sz w:val="21"/>
        </w:rPr>
        <w:t xml:space="preserve"> </w:t>
      </w:r>
    </w:p>
    <w:p w14:paraId="50138F35" w14:textId="77777777" w:rsidR="00A71EEF" w:rsidRDefault="00A71EEF">
      <w:pPr>
        <w:pStyle w:val="a3"/>
        <w:spacing w:before="12"/>
      </w:pPr>
    </w:p>
    <w:p w14:paraId="1969C3B7" w14:textId="77777777" w:rsidR="00A71EEF" w:rsidRDefault="0081115D">
      <w:pPr>
        <w:pStyle w:val="a4"/>
        <w:numPr>
          <w:ilvl w:val="0"/>
          <w:numId w:val="637"/>
        </w:numPr>
        <w:tabs>
          <w:tab w:val="left" w:pos="1367"/>
        </w:tabs>
        <w:rPr>
          <w:sz w:val="21"/>
        </w:rPr>
      </w:pPr>
      <w:r>
        <w:rPr>
          <w:spacing w:val="-8"/>
          <w:sz w:val="21"/>
        </w:rPr>
        <w:t>在工程设计图上用灭火器图例和文</w:t>
      </w:r>
      <w:r>
        <w:rPr>
          <w:spacing w:val="-8"/>
          <w:sz w:val="21"/>
        </w:rPr>
        <w:t>字标明灭火器的型号、数量与设置位置。</w:t>
      </w:r>
      <w:r>
        <w:rPr>
          <w:sz w:val="21"/>
        </w:rPr>
        <w:t xml:space="preserve"> </w:t>
      </w:r>
    </w:p>
    <w:p w14:paraId="098606B2" w14:textId="77777777" w:rsidR="00A71EEF" w:rsidRDefault="00A71EEF">
      <w:pPr>
        <w:rPr>
          <w:sz w:val="21"/>
        </w:rPr>
        <w:sectPr w:rsidR="00A71EEF">
          <w:pgSz w:w="11910" w:h="16850"/>
          <w:pgMar w:top="1220" w:right="0" w:bottom="1420" w:left="1260" w:header="0" w:footer="1159" w:gutter="0"/>
          <w:cols w:space="720"/>
        </w:sectPr>
      </w:pPr>
    </w:p>
    <w:p w14:paraId="75BB8B84" w14:textId="77777777" w:rsidR="00A71EEF" w:rsidRDefault="0081115D">
      <w:pPr>
        <w:pStyle w:val="4"/>
        <w:spacing w:before="37"/>
        <w:ind w:left="1858"/>
      </w:pPr>
      <w:r>
        <w:t>附录</w:t>
      </w:r>
      <w:r>
        <w:t xml:space="preserve"> A </w:t>
      </w:r>
      <w:r>
        <w:t>建筑灭火器配置类型、规格和灭火级别基本参数举例</w:t>
      </w:r>
      <w:r>
        <w:rPr>
          <w:w w:val="99"/>
        </w:rPr>
        <w:t xml:space="preserve"> </w:t>
      </w:r>
    </w:p>
    <w:p w14:paraId="36E43147" w14:textId="77777777" w:rsidR="00A71EEF" w:rsidRDefault="0081115D">
      <w:pPr>
        <w:pStyle w:val="6"/>
        <w:spacing w:before="193"/>
        <w:ind w:left="2677"/>
        <w:rPr>
          <w:sz w:val="18"/>
        </w:rPr>
      </w:pPr>
      <w:r>
        <w:t>表</w:t>
      </w:r>
      <w:r>
        <w:t xml:space="preserve"> A.0.1 </w:t>
      </w:r>
      <w:r>
        <w:t>手提式灭火器类型、规格和灭火级别</w:t>
      </w:r>
      <w:r>
        <w:rPr>
          <w:w w:val="99"/>
          <w:sz w:val="18"/>
        </w:rPr>
        <w:t xml:space="preserve"> </w:t>
      </w:r>
    </w:p>
    <w:p w14:paraId="6B43410A" w14:textId="77777777" w:rsidR="00A71EEF" w:rsidRDefault="00A71EEF">
      <w:pPr>
        <w:pStyle w:val="a3"/>
        <w:rPr>
          <w:b/>
          <w:sz w:val="20"/>
        </w:rPr>
      </w:pPr>
    </w:p>
    <w:p w14:paraId="0E230B15" w14:textId="77777777" w:rsidR="00A71EEF" w:rsidRDefault="00A71EEF">
      <w:pPr>
        <w:pStyle w:val="a3"/>
        <w:spacing w:before="6"/>
        <w:rPr>
          <w:b/>
          <w:sz w:val="18"/>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1241"/>
        <w:gridCol w:w="1250"/>
        <w:gridCol w:w="2530"/>
        <w:gridCol w:w="1335"/>
        <w:gridCol w:w="617"/>
      </w:tblGrid>
      <w:tr w:rsidR="00A71EEF" w14:paraId="2B5264A6" w14:textId="77777777">
        <w:trPr>
          <w:trHeight w:val="299"/>
        </w:trPr>
        <w:tc>
          <w:tcPr>
            <w:tcW w:w="1970" w:type="dxa"/>
            <w:vMerge w:val="restart"/>
          </w:tcPr>
          <w:p w14:paraId="716CCE36" w14:textId="77777777" w:rsidR="00A71EEF" w:rsidRDefault="0081115D">
            <w:pPr>
              <w:pStyle w:val="TableParagraph"/>
              <w:spacing w:before="154"/>
              <w:ind w:left="458"/>
              <w:rPr>
                <w:sz w:val="24"/>
              </w:rPr>
            </w:pPr>
            <w:r>
              <w:rPr>
                <w:sz w:val="21"/>
              </w:rPr>
              <w:t>灭火器类型</w:t>
            </w:r>
            <w:r>
              <w:rPr>
                <w:sz w:val="24"/>
              </w:rPr>
              <w:t xml:space="preserve"> </w:t>
            </w:r>
          </w:p>
        </w:tc>
        <w:tc>
          <w:tcPr>
            <w:tcW w:w="2491" w:type="dxa"/>
            <w:gridSpan w:val="2"/>
          </w:tcPr>
          <w:p w14:paraId="762FE68C" w14:textId="77777777" w:rsidR="00A71EEF" w:rsidRDefault="0081115D">
            <w:pPr>
              <w:pStyle w:val="TableParagraph"/>
              <w:spacing w:before="15" w:line="264" w:lineRule="exact"/>
              <w:ind w:left="194"/>
              <w:rPr>
                <w:sz w:val="24"/>
              </w:rPr>
            </w:pPr>
            <w:r>
              <w:rPr>
                <w:sz w:val="21"/>
              </w:rPr>
              <w:t>灭火剂充装量（规格）</w:t>
            </w:r>
            <w:r>
              <w:rPr>
                <w:sz w:val="24"/>
              </w:rPr>
              <w:t xml:space="preserve"> </w:t>
            </w:r>
          </w:p>
        </w:tc>
        <w:tc>
          <w:tcPr>
            <w:tcW w:w="2530" w:type="dxa"/>
            <w:vMerge w:val="restart"/>
          </w:tcPr>
          <w:p w14:paraId="26AC8FA8" w14:textId="77777777" w:rsidR="00A71EEF" w:rsidRDefault="0081115D">
            <w:pPr>
              <w:pStyle w:val="TableParagraph"/>
              <w:spacing w:before="20"/>
              <w:ind w:left="351" w:right="239"/>
              <w:jc w:val="center"/>
              <w:rPr>
                <w:sz w:val="21"/>
              </w:rPr>
            </w:pPr>
            <w:r>
              <w:rPr>
                <w:sz w:val="21"/>
              </w:rPr>
              <w:t>灭火器类型规格代码</w:t>
            </w:r>
            <w:r>
              <w:rPr>
                <w:sz w:val="21"/>
              </w:rPr>
              <w:t xml:space="preserve"> </w:t>
            </w:r>
          </w:p>
          <w:p w14:paraId="450FF12E" w14:textId="77777777" w:rsidR="00A71EEF" w:rsidRDefault="0081115D">
            <w:pPr>
              <w:pStyle w:val="TableParagraph"/>
              <w:spacing w:before="2"/>
              <w:ind w:left="351" w:right="224"/>
              <w:jc w:val="center"/>
              <w:rPr>
                <w:sz w:val="24"/>
              </w:rPr>
            </w:pPr>
            <w:r>
              <w:rPr>
                <w:sz w:val="21"/>
              </w:rPr>
              <w:t>（型号）</w:t>
            </w:r>
            <w:r>
              <w:rPr>
                <w:sz w:val="24"/>
              </w:rPr>
              <w:t xml:space="preserve"> </w:t>
            </w:r>
          </w:p>
        </w:tc>
        <w:tc>
          <w:tcPr>
            <w:tcW w:w="1952" w:type="dxa"/>
            <w:gridSpan w:val="2"/>
          </w:tcPr>
          <w:p w14:paraId="0FA440B0" w14:textId="77777777" w:rsidR="00A71EEF" w:rsidRDefault="0081115D">
            <w:pPr>
              <w:pStyle w:val="TableParagraph"/>
              <w:spacing w:before="15" w:line="264" w:lineRule="exact"/>
              <w:ind w:left="555"/>
              <w:rPr>
                <w:sz w:val="24"/>
              </w:rPr>
            </w:pPr>
            <w:r>
              <w:rPr>
                <w:sz w:val="21"/>
              </w:rPr>
              <w:t>灭火级别</w:t>
            </w:r>
            <w:r>
              <w:rPr>
                <w:sz w:val="24"/>
              </w:rPr>
              <w:t xml:space="preserve"> </w:t>
            </w:r>
          </w:p>
        </w:tc>
      </w:tr>
      <w:tr w:rsidR="00A71EEF" w14:paraId="2CF513DA" w14:textId="77777777">
        <w:trPr>
          <w:trHeight w:val="270"/>
        </w:trPr>
        <w:tc>
          <w:tcPr>
            <w:tcW w:w="1970" w:type="dxa"/>
            <w:vMerge/>
            <w:tcBorders>
              <w:top w:val="nil"/>
            </w:tcBorders>
          </w:tcPr>
          <w:p w14:paraId="12EBFD70" w14:textId="77777777" w:rsidR="00A71EEF" w:rsidRDefault="00A71EEF">
            <w:pPr>
              <w:rPr>
                <w:sz w:val="2"/>
                <w:szCs w:val="2"/>
              </w:rPr>
            </w:pPr>
          </w:p>
        </w:tc>
        <w:tc>
          <w:tcPr>
            <w:tcW w:w="1241" w:type="dxa"/>
          </w:tcPr>
          <w:p w14:paraId="02666FF5" w14:textId="77777777" w:rsidR="00A71EEF" w:rsidRDefault="0081115D">
            <w:pPr>
              <w:pStyle w:val="TableParagraph"/>
              <w:spacing w:before="1" w:line="250" w:lineRule="exact"/>
              <w:ind w:right="436"/>
              <w:jc w:val="right"/>
              <w:rPr>
                <w:sz w:val="24"/>
              </w:rPr>
            </w:pPr>
            <w:r>
              <w:rPr>
                <w:sz w:val="21"/>
              </w:rPr>
              <w:t>L</w:t>
            </w:r>
            <w:r>
              <w:rPr>
                <w:sz w:val="24"/>
              </w:rPr>
              <w:t xml:space="preserve"> </w:t>
            </w:r>
          </w:p>
        </w:tc>
        <w:tc>
          <w:tcPr>
            <w:tcW w:w="1250" w:type="dxa"/>
          </w:tcPr>
          <w:p w14:paraId="2EE1BB4F" w14:textId="77777777" w:rsidR="00A71EEF" w:rsidRDefault="0081115D">
            <w:pPr>
              <w:pStyle w:val="TableParagraph"/>
              <w:spacing w:before="1" w:line="250" w:lineRule="exact"/>
              <w:ind w:right="387"/>
              <w:jc w:val="right"/>
              <w:rPr>
                <w:sz w:val="24"/>
              </w:rPr>
            </w:pPr>
            <w:r>
              <w:rPr>
                <w:sz w:val="21"/>
              </w:rPr>
              <w:t>kg</w:t>
            </w:r>
            <w:r>
              <w:rPr>
                <w:sz w:val="24"/>
              </w:rPr>
              <w:t xml:space="preserve"> </w:t>
            </w:r>
          </w:p>
        </w:tc>
        <w:tc>
          <w:tcPr>
            <w:tcW w:w="2530" w:type="dxa"/>
            <w:vMerge/>
            <w:tcBorders>
              <w:top w:val="nil"/>
            </w:tcBorders>
          </w:tcPr>
          <w:p w14:paraId="24DB8D1C" w14:textId="77777777" w:rsidR="00A71EEF" w:rsidRDefault="00A71EEF">
            <w:pPr>
              <w:rPr>
                <w:sz w:val="2"/>
                <w:szCs w:val="2"/>
              </w:rPr>
            </w:pPr>
          </w:p>
        </w:tc>
        <w:tc>
          <w:tcPr>
            <w:tcW w:w="1335" w:type="dxa"/>
          </w:tcPr>
          <w:p w14:paraId="15C139A0" w14:textId="77777777" w:rsidR="00A71EEF" w:rsidRDefault="0081115D">
            <w:pPr>
              <w:pStyle w:val="TableParagraph"/>
              <w:spacing w:before="1" w:line="250" w:lineRule="exact"/>
              <w:ind w:left="286" w:right="156"/>
              <w:jc w:val="center"/>
              <w:rPr>
                <w:sz w:val="24"/>
              </w:rPr>
            </w:pPr>
            <w:r>
              <w:rPr>
                <w:sz w:val="21"/>
              </w:rPr>
              <w:t xml:space="preserve">A </w:t>
            </w:r>
            <w:r>
              <w:rPr>
                <w:sz w:val="21"/>
              </w:rPr>
              <w:t>类</w:t>
            </w:r>
            <w:r>
              <w:rPr>
                <w:sz w:val="24"/>
              </w:rPr>
              <w:t xml:space="preserve"> </w:t>
            </w:r>
          </w:p>
        </w:tc>
        <w:tc>
          <w:tcPr>
            <w:tcW w:w="617" w:type="dxa"/>
          </w:tcPr>
          <w:p w14:paraId="30CC696C" w14:textId="77777777" w:rsidR="00A71EEF" w:rsidRDefault="0081115D">
            <w:pPr>
              <w:pStyle w:val="TableParagraph"/>
              <w:spacing w:before="1" w:line="250" w:lineRule="exact"/>
              <w:ind w:left="142" w:right="2"/>
              <w:jc w:val="center"/>
              <w:rPr>
                <w:sz w:val="24"/>
              </w:rPr>
            </w:pPr>
            <w:r>
              <w:rPr>
                <w:sz w:val="21"/>
              </w:rPr>
              <w:t>B</w:t>
            </w:r>
            <w:r>
              <w:rPr>
                <w:spacing w:val="-28"/>
                <w:sz w:val="21"/>
              </w:rPr>
              <w:t xml:space="preserve"> </w:t>
            </w:r>
            <w:r>
              <w:rPr>
                <w:spacing w:val="-28"/>
                <w:sz w:val="21"/>
              </w:rPr>
              <w:t>类</w:t>
            </w:r>
            <w:r>
              <w:rPr>
                <w:sz w:val="24"/>
              </w:rPr>
              <w:t xml:space="preserve"> </w:t>
            </w:r>
          </w:p>
        </w:tc>
      </w:tr>
      <w:tr w:rsidR="00A71EEF" w14:paraId="72C08D8F" w14:textId="77777777">
        <w:trPr>
          <w:trHeight w:val="301"/>
        </w:trPr>
        <w:tc>
          <w:tcPr>
            <w:tcW w:w="1970" w:type="dxa"/>
            <w:vMerge w:val="restart"/>
          </w:tcPr>
          <w:p w14:paraId="51074DD6" w14:textId="77777777" w:rsidR="00A71EEF" w:rsidRDefault="00A71EEF">
            <w:pPr>
              <w:pStyle w:val="TableParagraph"/>
              <w:rPr>
                <w:b/>
                <w:sz w:val="24"/>
              </w:rPr>
            </w:pPr>
          </w:p>
          <w:p w14:paraId="2041FB10" w14:textId="77777777" w:rsidR="00A71EEF" w:rsidRDefault="00A71EEF">
            <w:pPr>
              <w:pStyle w:val="TableParagraph"/>
              <w:spacing w:before="5"/>
              <w:rPr>
                <w:b/>
                <w:sz w:val="32"/>
              </w:rPr>
            </w:pPr>
          </w:p>
          <w:p w14:paraId="1E495301" w14:textId="77777777" w:rsidR="00A71EEF" w:rsidRDefault="0081115D">
            <w:pPr>
              <w:pStyle w:val="TableParagraph"/>
              <w:spacing w:before="1"/>
              <w:ind w:left="774"/>
              <w:rPr>
                <w:sz w:val="24"/>
              </w:rPr>
            </w:pPr>
            <w:r>
              <w:rPr>
                <w:sz w:val="21"/>
              </w:rPr>
              <w:t>水型</w:t>
            </w:r>
            <w:r>
              <w:rPr>
                <w:sz w:val="24"/>
              </w:rPr>
              <w:t xml:space="preserve"> </w:t>
            </w:r>
          </w:p>
        </w:tc>
        <w:tc>
          <w:tcPr>
            <w:tcW w:w="1241" w:type="dxa"/>
            <w:vMerge w:val="restart"/>
          </w:tcPr>
          <w:p w14:paraId="7E021E0F" w14:textId="77777777" w:rsidR="00A71EEF" w:rsidRDefault="0081115D">
            <w:pPr>
              <w:pStyle w:val="TableParagraph"/>
              <w:spacing w:before="157"/>
              <w:ind w:left="607" w:right="479"/>
              <w:jc w:val="center"/>
              <w:rPr>
                <w:sz w:val="24"/>
              </w:rPr>
            </w:pPr>
            <w:r>
              <w:rPr>
                <w:sz w:val="21"/>
              </w:rPr>
              <w:t>3</w:t>
            </w:r>
            <w:r>
              <w:rPr>
                <w:sz w:val="24"/>
              </w:rPr>
              <w:t xml:space="preserve"> </w:t>
            </w:r>
          </w:p>
        </w:tc>
        <w:tc>
          <w:tcPr>
            <w:tcW w:w="1250" w:type="dxa"/>
            <w:vMerge w:val="restart"/>
          </w:tcPr>
          <w:p w14:paraId="32481757" w14:textId="77777777" w:rsidR="00A71EEF" w:rsidRDefault="0081115D">
            <w:pPr>
              <w:pStyle w:val="TableParagraph"/>
              <w:spacing w:before="157"/>
              <w:ind w:left="518"/>
              <w:rPr>
                <w:sz w:val="24"/>
              </w:rPr>
            </w:pPr>
            <w:r>
              <w:rPr>
                <w:sz w:val="21"/>
              </w:rPr>
              <w:t>―</w:t>
            </w:r>
            <w:r>
              <w:rPr>
                <w:sz w:val="24"/>
              </w:rPr>
              <w:t xml:space="preserve"> </w:t>
            </w:r>
          </w:p>
        </w:tc>
        <w:tc>
          <w:tcPr>
            <w:tcW w:w="2530" w:type="dxa"/>
          </w:tcPr>
          <w:p w14:paraId="12B4420B" w14:textId="77777777" w:rsidR="00A71EEF" w:rsidRDefault="0081115D">
            <w:pPr>
              <w:pStyle w:val="TableParagraph"/>
              <w:spacing w:before="15" w:line="267" w:lineRule="exact"/>
              <w:ind w:left="351" w:right="222"/>
              <w:jc w:val="center"/>
              <w:rPr>
                <w:sz w:val="24"/>
              </w:rPr>
            </w:pPr>
            <w:r>
              <w:rPr>
                <w:sz w:val="21"/>
              </w:rPr>
              <w:t>MS/Q3</w:t>
            </w:r>
            <w:r>
              <w:rPr>
                <w:sz w:val="24"/>
              </w:rPr>
              <w:t xml:space="preserve"> </w:t>
            </w:r>
          </w:p>
        </w:tc>
        <w:tc>
          <w:tcPr>
            <w:tcW w:w="1335" w:type="dxa"/>
            <w:vMerge w:val="restart"/>
          </w:tcPr>
          <w:p w14:paraId="285666E1" w14:textId="77777777" w:rsidR="00A71EEF" w:rsidRDefault="0081115D">
            <w:pPr>
              <w:pStyle w:val="TableParagraph"/>
              <w:spacing w:before="157"/>
              <w:ind w:left="560"/>
              <w:rPr>
                <w:sz w:val="24"/>
              </w:rPr>
            </w:pPr>
            <w:r>
              <w:rPr>
                <w:sz w:val="21"/>
              </w:rPr>
              <w:t>1A</w:t>
            </w:r>
            <w:r>
              <w:rPr>
                <w:sz w:val="24"/>
              </w:rPr>
              <w:t xml:space="preserve"> </w:t>
            </w:r>
          </w:p>
        </w:tc>
        <w:tc>
          <w:tcPr>
            <w:tcW w:w="617" w:type="dxa"/>
          </w:tcPr>
          <w:p w14:paraId="15B59923" w14:textId="77777777" w:rsidR="00A71EEF" w:rsidRDefault="0081115D">
            <w:pPr>
              <w:pStyle w:val="TableParagraph"/>
              <w:spacing w:before="15" w:line="267" w:lineRule="exact"/>
              <w:ind w:left="131" w:right="2"/>
              <w:jc w:val="center"/>
              <w:rPr>
                <w:sz w:val="24"/>
              </w:rPr>
            </w:pPr>
            <w:r>
              <w:rPr>
                <w:sz w:val="21"/>
              </w:rPr>
              <w:t>-</w:t>
            </w:r>
            <w:r>
              <w:rPr>
                <w:sz w:val="24"/>
              </w:rPr>
              <w:t xml:space="preserve"> </w:t>
            </w:r>
          </w:p>
        </w:tc>
      </w:tr>
      <w:tr w:rsidR="00A71EEF" w14:paraId="1201ED1A" w14:textId="77777777">
        <w:trPr>
          <w:trHeight w:val="270"/>
        </w:trPr>
        <w:tc>
          <w:tcPr>
            <w:tcW w:w="1970" w:type="dxa"/>
            <w:vMerge/>
            <w:tcBorders>
              <w:top w:val="nil"/>
            </w:tcBorders>
          </w:tcPr>
          <w:p w14:paraId="6003897A" w14:textId="77777777" w:rsidR="00A71EEF" w:rsidRDefault="00A71EEF">
            <w:pPr>
              <w:rPr>
                <w:sz w:val="2"/>
                <w:szCs w:val="2"/>
              </w:rPr>
            </w:pPr>
          </w:p>
        </w:tc>
        <w:tc>
          <w:tcPr>
            <w:tcW w:w="1241" w:type="dxa"/>
            <w:vMerge/>
            <w:tcBorders>
              <w:top w:val="nil"/>
            </w:tcBorders>
          </w:tcPr>
          <w:p w14:paraId="02BE0822" w14:textId="77777777" w:rsidR="00A71EEF" w:rsidRDefault="00A71EEF">
            <w:pPr>
              <w:rPr>
                <w:sz w:val="2"/>
                <w:szCs w:val="2"/>
              </w:rPr>
            </w:pPr>
          </w:p>
        </w:tc>
        <w:tc>
          <w:tcPr>
            <w:tcW w:w="1250" w:type="dxa"/>
            <w:vMerge/>
            <w:tcBorders>
              <w:top w:val="nil"/>
            </w:tcBorders>
          </w:tcPr>
          <w:p w14:paraId="4F4AA8AA" w14:textId="77777777" w:rsidR="00A71EEF" w:rsidRDefault="00A71EEF">
            <w:pPr>
              <w:rPr>
                <w:sz w:val="2"/>
                <w:szCs w:val="2"/>
              </w:rPr>
            </w:pPr>
          </w:p>
        </w:tc>
        <w:tc>
          <w:tcPr>
            <w:tcW w:w="2530" w:type="dxa"/>
          </w:tcPr>
          <w:p w14:paraId="7E3550F5" w14:textId="77777777" w:rsidR="00A71EEF" w:rsidRDefault="0081115D">
            <w:pPr>
              <w:pStyle w:val="TableParagraph"/>
              <w:spacing w:before="1" w:line="250" w:lineRule="exact"/>
              <w:ind w:left="351" w:right="222"/>
              <w:jc w:val="center"/>
              <w:rPr>
                <w:sz w:val="24"/>
              </w:rPr>
            </w:pPr>
            <w:r>
              <w:rPr>
                <w:sz w:val="21"/>
              </w:rPr>
              <w:t>MS/T3</w:t>
            </w:r>
            <w:r>
              <w:rPr>
                <w:sz w:val="24"/>
              </w:rPr>
              <w:t xml:space="preserve"> </w:t>
            </w:r>
          </w:p>
        </w:tc>
        <w:tc>
          <w:tcPr>
            <w:tcW w:w="1335" w:type="dxa"/>
            <w:vMerge/>
            <w:tcBorders>
              <w:top w:val="nil"/>
            </w:tcBorders>
          </w:tcPr>
          <w:p w14:paraId="5E6FB79F" w14:textId="77777777" w:rsidR="00A71EEF" w:rsidRDefault="00A71EEF">
            <w:pPr>
              <w:rPr>
                <w:sz w:val="2"/>
                <w:szCs w:val="2"/>
              </w:rPr>
            </w:pPr>
          </w:p>
        </w:tc>
        <w:tc>
          <w:tcPr>
            <w:tcW w:w="617" w:type="dxa"/>
          </w:tcPr>
          <w:p w14:paraId="7EE428E6" w14:textId="77777777" w:rsidR="00A71EEF" w:rsidRDefault="0081115D">
            <w:pPr>
              <w:pStyle w:val="TableParagraph"/>
              <w:spacing w:before="1" w:line="250" w:lineRule="exact"/>
              <w:ind w:left="133" w:right="2"/>
              <w:jc w:val="center"/>
              <w:rPr>
                <w:sz w:val="24"/>
              </w:rPr>
            </w:pPr>
            <w:r>
              <w:rPr>
                <w:sz w:val="21"/>
              </w:rPr>
              <w:t>55B</w:t>
            </w:r>
            <w:r>
              <w:rPr>
                <w:sz w:val="24"/>
              </w:rPr>
              <w:t xml:space="preserve"> </w:t>
            </w:r>
          </w:p>
        </w:tc>
      </w:tr>
      <w:tr w:rsidR="00A71EEF" w14:paraId="66330383" w14:textId="77777777">
        <w:trPr>
          <w:trHeight w:val="273"/>
        </w:trPr>
        <w:tc>
          <w:tcPr>
            <w:tcW w:w="1970" w:type="dxa"/>
            <w:vMerge/>
            <w:tcBorders>
              <w:top w:val="nil"/>
            </w:tcBorders>
          </w:tcPr>
          <w:p w14:paraId="6EF1C77F" w14:textId="77777777" w:rsidR="00A71EEF" w:rsidRDefault="00A71EEF">
            <w:pPr>
              <w:rPr>
                <w:sz w:val="2"/>
                <w:szCs w:val="2"/>
              </w:rPr>
            </w:pPr>
          </w:p>
        </w:tc>
        <w:tc>
          <w:tcPr>
            <w:tcW w:w="1241" w:type="dxa"/>
            <w:vMerge w:val="restart"/>
          </w:tcPr>
          <w:p w14:paraId="4C7F5729" w14:textId="77777777" w:rsidR="00A71EEF" w:rsidRDefault="0081115D">
            <w:pPr>
              <w:pStyle w:val="TableParagraph"/>
              <w:spacing w:before="142"/>
              <w:ind w:left="607" w:right="479"/>
              <w:jc w:val="center"/>
              <w:rPr>
                <w:sz w:val="24"/>
              </w:rPr>
            </w:pPr>
            <w:r>
              <w:rPr>
                <w:sz w:val="21"/>
              </w:rPr>
              <w:t>6</w:t>
            </w:r>
            <w:r>
              <w:rPr>
                <w:sz w:val="24"/>
              </w:rPr>
              <w:t xml:space="preserve"> </w:t>
            </w:r>
          </w:p>
        </w:tc>
        <w:tc>
          <w:tcPr>
            <w:tcW w:w="1250" w:type="dxa"/>
            <w:vMerge w:val="restart"/>
          </w:tcPr>
          <w:p w14:paraId="4C3F9BD5" w14:textId="77777777" w:rsidR="00A71EEF" w:rsidRDefault="0081115D">
            <w:pPr>
              <w:pStyle w:val="TableParagraph"/>
              <w:spacing w:before="142"/>
              <w:ind w:left="518"/>
              <w:rPr>
                <w:sz w:val="24"/>
              </w:rPr>
            </w:pPr>
            <w:r>
              <w:rPr>
                <w:sz w:val="21"/>
              </w:rPr>
              <w:t>―</w:t>
            </w:r>
            <w:r>
              <w:rPr>
                <w:sz w:val="24"/>
              </w:rPr>
              <w:t xml:space="preserve"> </w:t>
            </w:r>
          </w:p>
        </w:tc>
        <w:tc>
          <w:tcPr>
            <w:tcW w:w="2530" w:type="dxa"/>
          </w:tcPr>
          <w:p w14:paraId="3F4A0F59" w14:textId="77777777" w:rsidR="00A71EEF" w:rsidRDefault="0081115D">
            <w:pPr>
              <w:pStyle w:val="TableParagraph"/>
              <w:spacing w:before="1" w:line="252" w:lineRule="exact"/>
              <w:ind w:left="351" w:right="222"/>
              <w:jc w:val="center"/>
              <w:rPr>
                <w:sz w:val="24"/>
              </w:rPr>
            </w:pPr>
            <w:r>
              <w:rPr>
                <w:sz w:val="21"/>
              </w:rPr>
              <w:t>MS/Q6</w:t>
            </w:r>
            <w:r>
              <w:rPr>
                <w:sz w:val="24"/>
              </w:rPr>
              <w:t xml:space="preserve"> </w:t>
            </w:r>
          </w:p>
        </w:tc>
        <w:tc>
          <w:tcPr>
            <w:tcW w:w="1335" w:type="dxa"/>
            <w:vMerge w:val="restart"/>
          </w:tcPr>
          <w:p w14:paraId="173BA26D" w14:textId="77777777" w:rsidR="00A71EEF" w:rsidRDefault="0081115D">
            <w:pPr>
              <w:pStyle w:val="TableParagraph"/>
              <w:spacing w:before="142"/>
              <w:ind w:left="560"/>
              <w:rPr>
                <w:sz w:val="24"/>
              </w:rPr>
            </w:pPr>
            <w:r>
              <w:rPr>
                <w:sz w:val="21"/>
              </w:rPr>
              <w:t>1A</w:t>
            </w:r>
            <w:r>
              <w:rPr>
                <w:sz w:val="24"/>
              </w:rPr>
              <w:t xml:space="preserve"> </w:t>
            </w:r>
          </w:p>
        </w:tc>
        <w:tc>
          <w:tcPr>
            <w:tcW w:w="617" w:type="dxa"/>
          </w:tcPr>
          <w:p w14:paraId="65D2E1F3" w14:textId="77777777" w:rsidR="00A71EEF" w:rsidRDefault="0081115D">
            <w:pPr>
              <w:pStyle w:val="TableParagraph"/>
              <w:spacing w:before="1" w:line="252" w:lineRule="exact"/>
              <w:ind w:left="131" w:right="2"/>
              <w:jc w:val="center"/>
              <w:rPr>
                <w:sz w:val="24"/>
              </w:rPr>
            </w:pPr>
            <w:r>
              <w:rPr>
                <w:sz w:val="21"/>
              </w:rPr>
              <w:t>-</w:t>
            </w:r>
            <w:r>
              <w:rPr>
                <w:sz w:val="24"/>
              </w:rPr>
              <w:t xml:space="preserve"> </w:t>
            </w:r>
          </w:p>
        </w:tc>
      </w:tr>
      <w:tr w:rsidR="00A71EEF" w14:paraId="26B66E2B" w14:textId="77777777">
        <w:trPr>
          <w:trHeight w:val="273"/>
        </w:trPr>
        <w:tc>
          <w:tcPr>
            <w:tcW w:w="1970" w:type="dxa"/>
            <w:vMerge/>
            <w:tcBorders>
              <w:top w:val="nil"/>
            </w:tcBorders>
          </w:tcPr>
          <w:p w14:paraId="4E1AA96E" w14:textId="77777777" w:rsidR="00A71EEF" w:rsidRDefault="00A71EEF">
            <w:pPr>
              <w:rPr>
                <w:sz w:val="2"/>
                <w:szCs w:val="2"/>
              </w:rPr>
            </w:pPr>
          </w:p>
        </w:tc>
        <w:tc>
          <w:tcPr>
            <w:tcW w:w="1241" w:type="dxa"/>
            <w:vMerge/>
            <w:tcBorders>
              <w:top w:val="nil"/>
            </w:tcBorders>
          </w:tcPr>
          <w:p w14:paraId="6FE2CFED" w14:textId="77777777" w:rsidR="00A71EEF" w:rsidRDefault="00A71EEF">
            <w:pPr>
              <w:rPr>
                <w:sz w:val="2"/>
                <w:szCs w:val="2"/>
              </w:rPr>
            </w:pPr>
          </w:p>
        </w:tc>
        <w:tc>
          <w:tcPr>
            <w:tcW w:w="1250" w:type="dxa"/>
            <w:vMerge/>
            <w:tcBorders>
              <w:top w:val="nil"/>
            </w:tcBorders>
          </w:tcPr>
          <w:p w14:paraId="6B4FB7AC" w14:textId="77777777" w:rsidR="00A71EEF" w:rsidRDefault="00A71EEF">
            <w:pPr>
              <w:rPr>
                <w:sz w:val="2"/>
                <w:szCs w:val="2"/>
              </w:rPr>
            </w:pPr>
          </w:p>
        </w:tc>
        <w:tc>
          <w:tcPr>
            <w:tcW w:w="2530" w:type="dxa"/>
          </w:tcPr>
          <w:p w14:paraId="6C4635FF" w14:textId="77777777" w:rsidR="00A71EEF" w:rsidRDefault="0081115D">
            <w:pPr>
              <w:pStyle w:val="TableParagraph"/>
              <w:spacing w:before="1" w:line="252" w:lineRule="exact"/>
              <w:ind w:left="351" w:right="222"/>
              <w:jc w:val="center"/>
              <w:rPr>
                <w:sz w:val="24"/>
              </w:rPr>
            </w:pPr>
            <w:r>
              <w:rPr>
                <w:sz w:val="21"/>
              </w:rPr>
              <w:t>MS/T6</w:t>
            </w:r>
            <w:r>
              <w:rPr>
                <w:sz w:val="24"/>
              </w:rPr>
              <w:t xml:space="preserve"> </w:t>
            </w:r>
          </w:p>
        </w:tc>
        <w:tc>
          <w:tcPr>
            <w:tcW w:w="1335" w:type="dxa"/>
            <w:vMerge/>
            <w:tcBorders>
              <w:top w:val="nil"/>
            </w:tcBorders>
          </w:tcPr>
          <w:p w14:paraId="5C9262DC" w14:textId="77777777" w:rsidR="00A71EEF" w:rsidRDefault="00A71EEF">
            <w:pPr>
              <w:rPr>
                <w:sz w:val="2"/>
                <w:szCs w:val="2"/>
              </w:rPr>
            </w:pPr>
          </w:p>
        </w:tc>
        <w:tc>
          <w:tcPr>
            <w:tcW w:w="617" w:type="dxa"/>
          </w:tcPr>
          <w:p w14:paraId="76E7690F" w14:textId="77777777" w:rsidR="00A71EEF" w:rsidRDefault="0081115D">
            <w:pPr>
              <w:pStyle w:val="TableParagraph"/>
              <w:spacing w:before="1" w:line="252" w:lineRule="exact"/>
              <w:ind w:left="133" w:right="2"/>
              <w:jc w:val="center"/>
              <w:rPr>
                <w:sz w:val="24"/>
              </w:rPr>
            </w:pPr>
            <w:r>
              <w:rPr>
                <w:sz w:val="21"/>
              </w:rPr>
              <w:t>55B</w:t>
            </w:r>
            <w:r>
              <w:rPr>
                <w:sz w:val="24"/>
              </w:rPr>
              <w:t xml:space="preserve"> </w:t>
            </w:r>
          </w:p>
        </w:tc>
      </w:tr>
      <w:tr w:rsidR="00A71EEF" w14:paraId="18B291EE" w14:textId="77777777">
        <w:trPr>
          <w:trHeight w:val="270"/>
        </w:trPr>
        <w:tc>
          <w:tcPr>
            <w:tcW w:w="1970" w:type="dxa"/>
            <w:vMerge/>
            <w:tcBorders>
              <w:top w:val="nil"/>
            </w:tcBorders>
          </w:tcPr>
          <w:p w14:paraId="3FAD3C11" w14:textId="77777777" w:rsidR="00A71EEF" w:rsidRDefault="00A71EEF">
            <w:pPr>
              <w:rPr>
                <w:sz w:val="2"/>
                <w:szCs w:val="2"/>
              </w:rPr>
            </w:pPr>
          </w:p>
        </w:tc>
        <w:tc>
          <w:tcPr>
            <w:tcW w:w="1241" w:type="dxa"/>
            <w:vMerge w:val="restart"/>
          </w:tcPr>
          <w:p w14:paraId="73E626D9" w14:textId="77777777" w:rsidR="00A71EEF" w:rsidRDefault="0081115D">
            <w:pPr>
              <w:pStyle w:val="TableParagraph"/>
              <w:spacing w:before="142"/>
              <w:ind w:left="607" w:right="479"/>
              <w:jc w:val="center"/>
              <w:rPr>
                <w:sz w:val="24"/>
              </w:rPr>
            </w:pPr>
            <w:r>
              <w:rPr>
                <w:sz w:val="21"/>
              </w:rPr>
              <w:t>9</w:t>
            </w:r>
            <w:r>
              <w:rPr>
                <w:sz w:val="24"/>
              </w:rPr>
              <w:t xml:space="preserve"> </w:t>
            </w:r>
          </w:p>
        </w:tc>
        <w:tc>
          <w:tcPr>
            <w:tcW w:w="1250" w:type="dxa"/>
            <w:vMerge w:val="restart"/>
          </w:tcPr>
          <w:p w14:paraId="5F6D4865" w14:textId="77777777" w:rsidR="00A71EEF" w:rsidRDefault="0081115D">
            <w:pPr>
              <w:pStyle w:val="TableParagraph"/>
              <w:spacing w:before="142"/>
              <w:ind w:left="518"/>
              <w:rPr>
                <w:sz w:val="24"/>
              </w:rPr>
            </w:pPr>
            <w:r>
              <w:rPr>
                <w:sz w:val="21"/>
              </w:rPr>
              <w:t>―</w:t>
            </w:r>
            <w:r>
              <w:rPr>
                <w:sz w:val="24"/>
              </w:rPr>
              <w:t xml:space="preserve"> </w:t>
            </w:r>
          </w:p>
        </w:tc>
        <w:tc>
          <w:tcPr>
            <w:tcW w:w="2530" w:type="dxa"/>
          </w:tcPr>
          <w:p w14:paraId="7E7F2461" w14:textId="77777777" w:rsidR="00A71EEF" w:rsidRDefault="0081115D">
            <w:pPr>
              <w:pStyle w:val="TableParagraph"/>
              <w:spacing w:before="1" w:line="250" w:lineRule="exact"/>
              <w:ind w:left="351" w:right="222"/>
              <w:jc w:val="center"/>
              <w:rPr>
                <w:sz w:val="24"/>
              </w:rPr>
            </w:pPr>
            <w:r>
              <w:rPr>
                <w:sz w:val="21"/>
              </w:rPr>
              <w:t>MS/Q9</w:t>
            </w:r>
            <w:r>
              <w:rPr>
                <w:sz w:val="24"/>
              </w:rPr>
              <w:t xml:space="preserve"> </w:t>
            </w:r>
          </w:p>
        </w:tc>
        <w:tc>
          <w:tcPr>
            <w:tcW w:w="1335" w:type="dxa"/>
            <w:vMerge w:val="restart"/>
          </w:tcPr>
          <w:p w14:paraId="6EA38756" w14:textId="77777777" w:rsidR="00A71EEF" w:rsidRDefault="0081115D">
            <w:pPr>
              <w:pStyle w:val="TableParagraph"/>
              <w:spacing w:before="142"/>
              <w:ind w:left="560"/>
              <w:rPr>
                <w:sz w:val="24"/>
              </w:rPr>
            </w:pPr>
            <w:r>
              <w:rPr>
                <w:sz w:val="21"/>
              </w:rPr>
              <w:t>2A</w:t>
            </w:r>
            <w:r>
              <w:rPr>
                <w:sz w:val="24"/>
              </w:rPr>
              <w:t xml:space="preserve"> </w:t>
            </w:r>
          </w:p>
        </w:tc>
        <w:tc>
          <w:tcPr>
            <w:tcW w:w="617" w:type="dxa"/>
          </w:tcPr>
          <w:p w14:paraId="128BCFE0" w14:textId="77777777" w:rsidR="00A71EEF" w:rsidRDefault="0081115D">
            <w:pPr>
              <w:pStyle w:val="TableParagraph"/>
              <w:spacing w:before="1" w:line="250" w:lineRule="exact"/>
              <w:ind w:left="131" w:right="2"/>
              <w:jc w:val="center"/>
              <w:rPr>
                <w:sz w:val="24"/>
              </w:rPr>
            </w:pPr>
            <w:r>
              <w:rPr>
                <w:sz w:val="21"/>
              </w:rPr>
              <w:t>-</w:t>
            </w:r>
            <w:r>
              <w:rPr>
                <w:sz w:val="24"/>
              </w:rPr>
              <w:t xml:space="preserve"> </w:t>
            </w:r>
          </w:p>
        </w:tc>
      </w:tr>
      <w:tr w:rsidR="00A71EEF" w14:paraId="53E51945" w14:textId="77777777">
        <w:trPr>
          <w:trHeight w:val="273"/>
        </w:trPr>
        <w:tc>
          <w:tcPr>
            <w:tcW w:w="1970" w:type="dxa"/>
            <w:vMerge/>
            <w:tcBorders>
              <w:top w:val="nil"/>
            </w:tcBorders>
          </w:tcPr>
          <w:p w14:paraId="15950ADD" w14:textId="77777777" w:rsidR="00A71EEF" w:rsidRDefault="00A71EEF">
            <w:pPr>
              <w:rPr>
                <w:sz w:val="2"/>
                <w:szCs w:val="2"/>
              </w:rPr>
            </w:pPr>
          </w:p>
        </w:tc>
        <w:tc>
          <w:tcPr>
            <w:tcW w:w="1241" w:type="dxa"/>
            <w:vMerge/>
            <w:tcBorders>
              <w:top w:val="nil"/>
            </w:tcBorders>
          </w:tcPr>
          <w:p w14:paraId="11CE8AFE" w14:textId="77777777" w:rsidR="00A71EEF" w:rsidRDefault="00A71EEF">
            <w:pPr>
              <w:rPr>
                <w:sz w:val="2"/>
                <w:szCs w:val="2"/>
              </w:rPr>
            </w:pPr>
          </w:p>
        </w:tc>
        <w:tc>
          <w:tcPr>
            <w:tcW w:w="1250" w:type="dxa"/>
            <w:vMerge/>
            <w:tcBorders>
              <w:top w:val="nil"/>
            </w:tcBorders>
          </w:tcPr>
          <w:p w14:paraId="3BB6E96C" w14:textId="77777777" w:rsidR="00A71EEF" w:rsidRDefault="00A71EEF">
            <w:pPr>
              <w:rPr>
                <w:sz w:val="2"/>
                <w:szCs w:val="2"/>
              </w:rPr>
            </w:pPr>
          </w:p>
        </w:tc>
        <w:tc>
          <w:tcPr>
            <w:tcW w:w="2530" w:type="dxa"/>
          </w:tcPr>
          <w:p w14:paraId="7325A215" w14:textId="77777777" w:rsidR="00A71EEF" w:rsidRDefault="0081115D">
            <w:pPr>
              <w:pStyle w:val="TableParagraph"/>
              <w:spacing w:before="1" w:line="253" w:lineRule="exact"/>
              <w:ind w:left="351" w:right="222"/>
              <w:jc w:val="center"/>
              <w:rPr>
                <w:sz w:val="24"/>
              </w:rPr>
            </w:pPr>
            <w:r>
              <w:rPr>
                <w:sz w:val="21"/>
              </w:rPr>
              <w:t>MS/T9</w:t>
            </w:r>
            <w:r>
              <w:rPr>
                <w:sz w:val="24"/>
              </w:rPr>
              <w:t xml:space="preserve"> </w:t>
            </w:r>
          </w:p>
        </w:tc>
        <w:tc>
          <w:tcPr>
            <w:tcW w:w="1335" w:type="dxa"/>
            <w:vMerge/>
            <w:tcBorders>
              <w:top w:val="nil"/>
            </w:tcBorders>
          </w:tcPr>
          <w:p w14:paraId="05C7F545" w14:textId="77777777" w:rsidR="00A71EEF" w:rsidRDefault="00A71EEF">
            <w:pPr>
              <w:rPr>
                <w:sz w:val="2"/>
                <w:szCs w:val="2"/>
              </w:rPr>
            </w:pPr>
          </w:p>
        </w:tc>
        <w:tc>
          <w:tcPr>
            <w:tcW w:w="617" w:type="dxa"/>
          </w:tcPr>
          <w:p w14:paraId="6319126F" w14:textId="77777777" w:rsidR="00A71EEF" w:rsidRDefault="0081115D">
            <w:pPr>
              <w:pStyle w:val="TableParagraph"/>
              <w:spacing w:before="1" w:line="253" w:lineRule="exact"/>
              <w:ind w:left="133" w:right="2"/>
              <w:jc w:val="center"/>
              <w:rPr>
                <w:sz w:val="24"/>
              </w:rPr>
            </w:pPr>
            <w:r>
              <w:rPr>
                <w:sz w:val="21"/>
              </w:rPr>
              <w:t>89B</w:t>
            </w:r>
            <w:r>
              <w:rPr>
                <w:sz w:val="24"/>
              </w:rPr>
              <w:t xml:space="preserve"> </w:t>
            </w:r>
          </w:p>
        </w:tc>
      </w:tr>
      <w:tr w:rsidR="00A71EEF" w14:paraId="15D9F491" w14:textId="77777777">
        <w:trPr>
          <w:trHeight w:val="359"/>
        </w:trPr>
        <w:tc>
          <w:tcPr>
            <w:tcW w:w="1970" w:type="dxa"/>
            <w:vMerge w:val="restart"/>
          </w:tcPr>
          <w:p w14:paraId="170749F4" w14:textId="77777777" w:rsidR="00A71EEF" w:rsidRDefault="00A71EEF">
            <w:pPr>
              <w:pStyle w:val="TableParagraph"/>
              <w:rPr>
                <w:b/>
                <w:sz w:val="24"/>
              </w:rPr>
            </w:pPr>
          </w:p>
          <w:p w14:paraId="0DACDFF9" w14:textId="77777777" w:rsidR="00A71EEF" w:rsidRDefault="00A71EEF">
            <w:pPr>
              <w:pStyle w:val="TableParagraph"/>
              <w:spacing w:before="11"/>
              <w:rPr>
                <w:b/>
              </w:rPr>
            </w:pPr>
          </w:p>
          <w:p w14:paraId="3C190E20" w14:textId="77777777" w:rsidR="00A71EEF" w:rsidRDefault="0081115D">
            <w:pPr>
              <w:pStyle w:val="TableParagraph"/>
              <w:ind w:left="774"/>
              <w:rPr>
                <w:sz w:val="24"/>
              </w:rPr>
            </w:pPr>
            <w:r>
              <w:rPr>
                <w:sz w:val="21"/>
              </w:rPr>
              <w:t>泡沫</w:t>
            </w:r>
            <w:r>
              <w:rPr>
                <w:sz w:val="24"/>
              </w:rPr>
              <w:t xml:space="preserve"> </w:t>
            </w:r>
          </w:p>
        </w:tc>
        <w:tc>
          <w:tcPr>
            <w:tcW w:w="1241" w:type="dxa"/>
          </w:tcPr>
          <w:p w14:paraId="283FC415" w14:textId="77777777" w:rsidR="00A71EEF" w:rsidRDefault="0081115D">
            <w:pPr>
              <w:pStyle w:val="TableParagraph"/>
              <w:spacing w:before="44"/>
              <w:ind w:right="436"/>
              <w:jc w:val="right"/>
              <w:rPr>
                <w:sz w:val="24"/>
              </w:rPr>
            </w:pPr>
            <w:r>
              <w:rPr>
                <w:sz w:val="21"/>
              </w:rPr>
              <w:t>3</w:t>
            </w:r>
            <w:r>
              <w:rPr>
                <w:sz w:val="24"/>
              </w:rPr>
              <w:t xml:space="preserve"> </w:t>
            </w:r>
          </w:p>
        </w:tc>
        <w:tc>
          <w:tcPr>
            <w:tcW w:w="1250" w:type="dxa"/>
          </w:tcPr>
          <w:p w14:paraId="31522708" w14:textId="77777777" w:rsidR="00A71EEF" w:rsidRDefault="0081115D">
            <w:pPr>
              <w:pStyle w:val="TableParagraph"/>
              <w:spacing w:before="44"/>
              <w:ind w:right="387"/>
              <w:jc w:val="right"/>
              <w:rPr>
                <w:sz w:val="24"/>
              </w:rPr>
            </w:pPr>
            <w:r>
              <w:rPr>
                <w:sz w:val="21"/>
              </w:rPr>
              <w:t>―</w:t>
            </w:r>
            <w:r>
              <w:rPr>
                <w:sz w:val="24"/>
              </w:rPr>
              <w:t xml:space="preserve"> </w:t>
            </w:r>
          </w:p>
        </w:tc>
        <w:tc>
          <w:tcPr>
            <w:tcW w:w="2530" w:type="dxa"/>
          </w:tcPr>
          <w:p w14:paraId="37B029BC" w14:textId="77777777" w:rsidR="00A71EEF" w:rsidRDefault="0081115D">
            <w:pPr>
              <w:pStyle w:val="TableParagraph"/>
              <w:spacing w:before="44"/>
              <w:ind w:left="351" w:right="222"/>
              <w:jc w:val="center"/>
              <w:rPr>
                <w:sz w:val="24"/>
              </w:rPr>
            </w:pPr>
            <w:r>
              <w:rPr>
                <w:sz w:val="21"/>
              </w:rPr>
              <w:t>MP3</w:t>
            </w:r>
            <w:r>
              <w:rPr>
                <w:sz w:val="21"/>
              </w:rPr>
              <w:t>、</w:t>
            </w:r>
            <w:r>
              <w:rPr>
                <w:sz w:val="21"/>
              </w:rPr>
              <w:t>MP/AR3</w:t>
            </w:r>
            <w:r>
              <w:rPr>
                <w:sz w:val="24"/>
              </w:rPr>
              <w:t xml:space="preserve"> </w:t>
            </w:r>
          </w:p>
        </w:tc>
        <w:tc>
          <w:tcPr>
            <w:tcW w:w="1335" w:type="dxa"/>
          </w:tcPr>
          <w:p w14:paraId="7C3DE43D" w14:textId="77777777" w:rsidR="00A71EEF" w:rsidRDefault="0081115D">
            <w:pPr>
              <w:pStyle w:val="TableParagraph"/>
              <w:spacing w:before="44"/>
              <w:ind w:left="286" w:right="159"/>
              <w:jc w:val="center"/>
              <w:rPr>
                <w:sz w:val="24"/>
              </w:rPr>
            </w:pPr>
            <w:r>
              <w:rPr>
                <w:sz w:val="21"/>
              </w:rPr>
              <w:t>1A</w:t>
            </w:r>
            <w:r>
              <w:rPr>
                <w:sz w:val="24"/>
              </w:rPr>
              <w:t xml:space="preserve"> </w:t>
            </w:r>
          </w:p>
        </w:tc>
        <w:tc>
          <w:tcPr>
            <w:tcW w:w="617" w:type="dxa"/>
          </w:tcPr>
          <w:p w14:paraId="6D69FB48" w14:textId="77777777" w:rsidR="00A71EEF" w:rsidRDefault="0081115D">
            <w:pPr>
              <w:pStyle w:val="TableParagraph"/>
              <w:spacing w:before="44"/>
              <w:ind w:left="133" w:right="2"/>
              <w:jc w:val="center"/>
              <w:rPr>
                <w:sz w:val="24"/>
              </w:rPr>
            </w:pPr>
            <w:r>
              <w:rPr>
                <w:sz w:val="21"/>
              </w:rPr>
              <w:t>55B</w:t>
            </w:r>
            <w:r>
              <w:rPr>
                <w:sz w:val="24"/>
              </w:rPr>
              <w:t xml:space="preserve"> </w:t>
            </w:r>
          </w:p>
        </w:tc>
      </w:tr>
      <w:tr w:rsidR="00A71EEF" w14:paraId="0C195226" w14:textId="77777777">
        <w:trPr>
          <w:trHeight w:val="359"/>
        </w:trPr>
        <w:tc>
          <w:tcPr>
            <w:tcW w:w="1970" w:type="dxa"/>
            <w:vMerge/>
            <w:tcBorders>
              <w:top w:val="nil"/>
            </w:tcBorders>
          </w:tcPr>
          <w:p w14:paraId="65881872" w14:textId="77777777" w:rsidR="00A71EEF" w:rsidRDefault="00A71EEF">
            <w:pPr>
              <w:rPr>
                <w:sz w:val="2"/>
                <w:szCs w:val="2"/>
              </w:rPr>
            </w:pPr>
          </w:p>
        </w:tc>
        <w:tc>
          <w:tcPr>
            <w:tcW w:w="1241" w:type="dxa"/>
          </w:tcPr>
          <w:p w14:paraId="311EA8FA" w14:textId="77777777" w:rsidR="00A71EEF" w:rsidRDefault="0081115D">
            <w:pPr>
              <w:pStyle w:val="TableParagraph"/>
              <w:spacing w:before="44"/>
              <w:ind w:right="436"/>
              <w:jc w:val="right"/>
              <w:rPr>
                <w:sz w:val="24"/>
              </w:rPr>
            </w:pPr>
            <w:r>
              <w:rPr>
                <w:sz w:val="21"/>
              </w:rPr>
              <w:t>4</w:t>
            </w:r>
            <w:r>
              <w:rPr>
                <w:sz w:val="24"/>
              </w:rPr>
              <w:t xml:space="preserve"> </w:t>
            </w:r>
          </w:p>
        </w:tc>
        <w:tc>
          <w:tcPr>
            <w:tcW w:w="1250" w:type="dxa"/>
          </w:tcPr>
          <w:p w14:paraId="00455751" w14:textId="77777777" w:rsidR="00A71EEF" w:rsidRDefault="0081115D">
            <w:pPr>
              <w:pStyle w:val="TableParagraph"/>
              <w:spacing w:before="44"/>
              <w:ind w:right="387"/>
              <w:jc w:val="right"/>
              <w:rPr>
                <w:sz w:val="24"/>
              </w:rPr>
            </w:pPr>
            <w:r>
              <w:rPr>
                <w:sz w:val="21"/>
              </w:rPr>
              <w:t>―</w:t>
            </w:r>
            <w:r>
              <w:rPr>
                <w:sz w:val="24"/>
              </w:rPr>
              <w:t xml:space="preserve"> </w:t>
            </w:r>
          </w:p>
        </w:tc>
        <w:tc>
          <w:tcPr>
            <w:tcW w:w="2530" w:type="dxa"/>
          </w:tcPr>
          <w:p w14:paraId="7F335F64" w14:textId="77777777" w:rsidR="00A71EEF" w:rsidRDefault="0081115D">
            <w:pPr>
              <w:pStyle w:val="TableParagraph"/>
              <w:spacing w:before="44"/>
              <w:ind w:left="351" w:right="222"/>
              <w:jc w:val="center"/>
              <w:rPr>
                <w:sz w:val="24"/>
              </w:rPr>
            </w:pPr>
            <w:r>
              <w:rPr>
                <w:sz w:val="21"/>
              </w:rPr>
              <w:t>MP4</w:t>
            </w:r>
            <w:r>
              <w:rPr>
                <w:sz w:val="21"/>
              </w:rPr>
              <w:t>、</w:t>
            </w:r>
            <w:r>
              <w:rPr>
                <w:sz w:val="21"/>
              </w:rPr>
              <w:t>MP/AR4</w:t>
            </w:r>
            <w:r>
              <w:rPr>
                <w:sz w:val="24"/>
              </w:rPr>
              <w:t xml:space="preserve"> </w:t>
            </w:r>
          </w:p>
        </w:tc>
        <w:tc>
          <w:tcPr>
            <w:tcW w:w="1335" w:type="dxa"/>
          </w:tcPr>
          <w:p w14:paraId="70DF7C88" w14:textId="77777777" w:rsidR="00A71EEF" w:rsidRDefault="0081115D">
            <w:pPr>
              <w:pStyle w:val="TableParagraph"/>
              <w:spacing w:before="44"/>
              <w:ind w:left="286" w:right="159"/>
              <w:jc w:val="center"/>
              <w:rPr>
                <w:sz w:val="24"/>
              </w:rPr>
            </w:pPr>
            <w:r>
              <w:rPr>
                <w:sz w:val="21"/>
              </w:rPr>
              <w:t>1A</w:t>
            </w:r>
            <w:r>
              <w:rPr>
                <w:sz w:val="24"/>
              </w:rPr>
              <w:t xml:space="preserve"> </w:t>
            </w:r>
          </w:p>
        </w:tc>
        <w:tc>
          <w:tcPr>
            <w:tcW w:w="617" w:type="dxa"/>
          </w:tcPr>
          <w:p w14:paraId="48B969B6" w14:textId="77777777" w:rsidR="00A71EEF" w:rsidRDefault="0081115D">
            <w:pPr>
              <w:pStyle w:val="TableParagraph"/>
              <w:spacing w:before="44"/>
              <w:ind w:left="133" w:right="2"/>
              <w:jc w:val="center"/>
              <w:rPr>
                <w:sz w:val="24"/>
              </w:rPr>
            </w:pPr>
            <w:r>
              <w:rPr>
                <w:sz w:val="21"/>
              </w:rPr>
              <w:t>55B</w:t>
            </w:r>
            <w:r>
              <w:rPr>
                <w:sz w:val="24"/>
              </w:rPr>
              <w:t xml:space="preserve"> </w:t>
            </w:r>
          </w:p>
        </w:tc>
      </w:tr>
      <w:tr w:rsidR="00A71EEF" w14:paraId="7691530B" w14:textId="77777777">
        <w:trPr>
          <w:trHeight w:val="359"/>
        </w:trPr>
        <w:tc>
          <w:tcPr>
            <w:tcW w:w="1970" w:type="dxa"/>
            <w:vMerge/>
            <w:tcBorders>
              <w:top w:val="nil"/>
            </w:tcBorders>
          </w:tcPr>
          <w:p w14:paraId="427125EA" w14:textId="77777777" w:rsidR="00A71EEF" w:rsidRDefault="00A71EEF">
            <w:pPr>
              <w:rPr>
                <w:sz w:val="2"/>
                <w:szCs w:val="2"/>
              </w:rPr>
            </w:pPr>
          </w:p>
        </w:tc>
        <w:tc>
          <w:tcPr>
            <w:tcW w:w="1241" w:type="dxa"/>
          </w:tcPr>
          <w:p w14:paraId="09C85EFF" w14:textId="77777777" w:rsidR="00A71EEF" w:rsidRDefault="0081115D">
            <w:pPr>
              <w:pStyle w:val="TableParagraph"/>
              <w:spacing w:before="46"/>
              <w:ind w:right="436"/>
              <w:jc w:val="right"/>
              <w:rPr>
                <w:sz w:val="24"/>
              </w:rPr>
            </w:pPr>
            <w:r>
              <w:rPr>
                <w:sz w:val="21"/>
              </w:rPr>
              <w:t>6</w:t>
            </w:r>
            <w:r>
              <w:rPr>
                <w:sz w:val="24"/>
              </w:rPr>
              <w:t xml:space="preserve"> </w:t>
            </w:r>
          </w:p>
        </w:tc>
        <w:tc>
          <w:tcPr>
            <w:tcW w:w="1250" w:type="dxa"/>
          </w:tcPr>
          <w:p w14:paraId="66F12012" w14:textId="77777777" w:rsidR="00A71EEF" w:rsidRDefault="0081115D">
            <w:pPr>
              <w:pStyle w:val="TableParagraph"/>
              <w:spacing w:before="46"/>
              <w:ind w:right="387"/>
              <w:jc w:val="right"/>
              <w:rPr>
                <w:sz w:val="24"/>
              </w:rPr>
            </w:pPr>
            <w:r>
              <w:rPr>
                <w:sz w:val="21"/>
              </w:rPr>
              <w:t>―</w:t>
            </w:r>
            <w:r>
              <w:rPr>
                <w:sz w:val="24"/>
              </w:rPr>
              <w:t xml:space="preserve"> </w:t>
            </w:r>
          </w:p>
        </w:tc>
        <w:tc>
          <w:tcPr>
            <w:tcW w:w="2530" w:type="dxa"/>
          </w:tcPr>
          <w:p w14:paraId="4B683EA9" w14:textId="77777777" w:rsidR="00A71EEF" w:rsidRDefault="0081115D">
            <w:pPr>
              <w:pStyle w:val="TableParagraph"/>
              <w:spacing w:before="46"/>
              <w:ind w:left="351" w:right="222"/>
              <w:jc w:val="center"/>
              <w:rPr>
                <w:sz w:val="24"/>
              </w:rPr>
            </w:pPr>
            <w:r>
              <w:rPr>
                <w:sz w:val="21"/>
              </w:rPr>
              <w:t>MP6</w:t>
            </w:r>
            <w:r>
              <w:rPr>
                <w:sz w:val="21"/>
              </w:rPr>
              <w:t>、</w:t>
            </w:r>
            <w:r>
              <w:rPr>
                <w:sz w:val="21"/>
              </w:rPr>
              <w:t>MP/AR6</w:t>
            </w:r>
            <w:r>
              <w:rPr>
                <w:sz w:val="24"/>
              </w:rPr>
              <w:t xml:space="preserve"> </w:t>
            </w:r>
          </w:p>
        </w:tc>
        <w:tc>
          <w:tcPr>
            <w:tcW w:w="1335" w:type="dxa"/>
          </w:tcPr>
          <w:p w14:paraId="7938B75A" w14:textId="77777777" w:rsidR="00A71EEF" w:rsidRDefault="0081115D">
            <w:pPr>
              <w:pStyle w:val="TableParagraph"/>
              <w:spacing w:before="46"/>
              <w:ind w:left="286" w:right="159"/>
              <w:jc w:val="center"/>
              <w:rPr>
                <w:sz w:val="24"/>
              </w:rPr>
            </w:pPr>
            <w:r>
              <w:rPr>
                <w:sz w:val="21"/>
              </w:rPr>
              <w:t>1A</w:t>
            </w:r>
            <w:r>
              <w:rPr>
                <w:sz w:val="24"/>
              </w:rPr>
              <w:t xml:space="preserve"> </w:t>
            </w:r>
          </w:p>
        </w:tc>
        <w:tc>
          <w:tcPr>
            <w:tcW w:w="617" w:type="dxa"/>
          </w:tcPr>
          <w:p w14:paraId="0FDEEF5C" w14:textId="77777777" w:rsidR="00A71EEF" w:rsidRDefault="0081115D">
            <w:pPr>
              <w:pStyle w:val="TableParagraph"/>
              <w:spacing w:before="46"/>
              <w:ind w:left="133" w:right="2"/>
              <w:jc w:val="center"/>
              <w:rPr>
                <w:sz w:val="24"/>
              </w:rPr>
            </w:pPr>
            <w:r>
              <w:rPr>
                <w:sz w:val="21"/>
              </w:rPr>
              <w:t>55B</w:t>
            </w:r>
            <w:r>
              <w:rPr>
                <w:sz w:val="24"/>
              </w:rPr>
              <w:t xml:space="preserve"> </w:t>
            </w:r>
          </w:p>
        </w:tc>
      </w:tr>
      <w:tr w:rsidR="00A71EEF" w14:paraId="0516141F" w14:textId="77777777">
        <w:trPr>
          <w:trHeight w:val="362"/>
        </w:trPr>
        <w:tc>
          <w:tcPr>
            <w:tcW w:w="1970" w:type="dxa"/>
            <w:vMerge/>
            <w:tcBorders>
              <w:top w:val="nil"/>
            </w:tcBorders>
          </w:tcPr>
          <w:p w14:paraId="402BB6CC" w14:textId="77777777" w:rsidR="00A71EEF" w:rsidRDefault="00A71EEF">
            <w:pPr>
              <w:rPr>
                <w:sz w:val="2"/>
                <w:szCs w:val="2"/>
              </w:rPr>
            </w:pPr>
          </w:p>
        </w:tc>
        <w:tc>
          <w:tcPr>
            <w:tcW w:w="1241" w:type="dxa"/>
          </w:tcPr>
          <w:p w14:paraId="681075DE" w14:textId="77777777" w:rsidR="00A71EEF" w:rsidRDefault="0081115D">
            <w:pPr>
              <w:pStyle w:val="TableParagraph"/>
              <w:spacing w:before="46"/>
              <w:ind w:right="436"/>
              <w:jc w:val="right"/>
              <w:rPr>
                <w:sz w:val="24"/>
              </w:rPr>
            </w:pPr>
            <w:r>
              <w:rPr>
                <w:sz w:val="21"/>
              </w:rPr>
              <w:t>9</w:t>
            </w:r>
            <w:r>
              <w:rPr>
                <w:sz w:val="24"/>
              </w:rPr>
              <w:t xml:space="preserve"> </w:t>
            </w:r>
          </w:p>
        </w:tc>
        <w:tc>
          <w:tcPr>
            <w:tcW w:w="1250" w:type="dxa"/>
          </w:tcPr>
          <w:p w14:paraId="5A86A39B" w14:textId="77777777" w:rsidR="00A71EEF" w:rsidRDefault="0081115D">
            <w:pPr>
              <w:pStyle w:val="TableParagraph"/>
              <w:spacing w:before="46"/>
              <w:ind w:right="387"/>
              <w:jc w:val="right"/>
              <w:rPr>
                <w:sz w:val="24"/>
              </w:rPr>
            </w:pPr>
            <w:r>
              <w:rPr>
                <w:sz w:val="21"/>
              </w:rPr>
              <w:t>―</w:t>
            </w:r>
            <w:r>
              <w:rPr>
                <w:sz w:val="24"/>
              </w:rPr>
              <w:t xml:space="preserve"> </w:t>
            </w:r>
          </w:p>
        </w:tc>
        <w:tc>
          <w:tcPr>
            <w:tcW w:w="2530" w:type="dxa"/>
          </w:tcPr>
          <w:p w14:paraId="7A3F68F7" w14:textId="77777777" w:rsidR="00A71EEF" w:rsidRDefault="0081115D">
            <w:pPr>
              <w:pStyle w:val="TableParagraph"/>
              <w:spacing w:before="46"/>
              <w:ind w:left="351" w:right="222"/>
              <w:jc w:val="center"/>
              <w:rPr>
                <w:sz w:val="24"/>
              </w:rPr>
            </w:pPr>
            <w:r>
              <w:rPr>
                <w:sz w:val="21"/>
              </w:rPr>
              <w:t>MP9</w:t>
            </w:r>
            <w:r>
              <w:rPr>
                <w:sz w:val="21"/>
              </w:rPr>
              <w:t>、</w:t>
            </w:r>
            <w:r>
              <w:rPr>
                <w:sz w:val="21"/>
              </w:rPr>
              <w:t>MP/AR9</w:t>
            </w:r>
            <w:r>
              <w:rPr>
                <w:sz w:val="24"/>
              </w:rPr>
              <w:t xml:space="preserve"> </w:t>
            </w:r>
          </w:p>
        </w:tc>
        <w:tc>
          <w:tcPr>
            <w:tcW w:w="1335" w:type="dxa"/>
          </w:tcPr>
          <w:p w14:paraId="6DAACF01" w14:textId="77777777" w:rsidR="00A71EEF" w:rsidRDefault="0081115D">
            <w:pPr>
              <w:pStyle w:val="TableParagraph"/>
              <w:spacing w:before="46"/>
              <w:ind w:left="286" w:right="159"/>
              <w:jc w:val="center"/>
              <w:rPr>
                <w:sz w:val="24"/>
              </w:rPr>
            </w:pPr>
            <w:r>
              <w:rPr>
                <w:sz w:val="21"/>
              </w:rPr>
              <w:t>2A</w:t>
            </w:r>
            <w:r>
              <w:rPr>
                <w:sz w:val="24"/>
              </w:rPr>
              <w:t xml:space="preserve"> </w:t>
            </w:r>
          </w:p>
        </w:tc>
        <w:tc>
          <w:tcPr>
            <w:tcW w:w="617" w:type="dxa"/>
          </w:tcPr>
          <w:p w14:paraId="4CD43C31" w14:textId="77777777" w:rsidR="00A71EEF" w:rsidRDefault="0081115D">
            <w:pPr>
              <w:pStyle w:val="TableParagraph"/>
              <w:spacing w:before="46"/>
              <w:ind w:left="133" w:right="2"/>
              <w:jc w:val="center"/>
              <w:rPr>
                <w:sz w:val="24"/>
              </w:rPr>
            </w:pPr>
            <w:r>
              <w:rPr>
                <w:sz w:val="21"/>
              </w:rPr>
              <w:t>89B</w:t>
            </w:r>
            <w:r>
              <w:rPr>
                <w:sz w:val="24"/>
              </w:rPr>
              <w:t xml:space="preserve"> </w:t>
            </w:r>
          </w:p>
        </w:tc>
      </w:tr>
      <w:tr w:rsidR="00A71EEF" w14:paraId="3FA1E5EC" w14:textId="77777777">
        <w:trPr>
          <w:trHeight w:val="388"/>
        </w:trPr>
        <w:tc>
          <w:tcPr>
            <w:tcW w:w="1970" w:type="dxa"/>
            <w:vMerge w:val="restart"/>
          </w:tcPr>
          <w:p w14:paraId="3B0EA774" w14:textId="77777777" w:rsidR="00A71EEF" w:rsidRDefault="00A71EEF">
            <w:pPr>
              <w:pStyle w:val="TableParagraph"/>
              <w:rPr>
                <w:b/>
                <w:sz w:val="20"/>
              </w:rPr>
            </w:pPr>
          </w:p>
          <w:p w14:paraId="3C3ADDD7" w14:textId="77777777" w:rsidR="00A71EEF" w:rsidRDefault="00A71EEF">
            <w:pPr>
              <w:pStyle w:val="TableParagraph"/>
              <w:rPr>
                <w:b/>
                <w:sz w:val="20"/>
              </w:rPr>
            </w:pPr>
          </w:p>
          <w:p w14:paraId="395D4CA2" w14:textId="77777777" w:rsidR="00A71EEF" w:rsidRDefault="00A71EEF">
            <w:pPr>
              <w:pStyle w:val="TableParagraph"/>
              <w:rPr>
                <w:b/>
                <w:sz w:val="20"/>
              </w:rPr>
            </w:pPr>
          </w:p>
          <w:p w14:paraId="4B51C049" w14:textId="77777777" w:rsidR="00A71EEF" w:rsidRDefault="00A71EEF">
            <w:pPr>
              <w:pStyle w:val="TableParagraph"/>
              <w:rPr>
                <w:b/>
                <w:sz w:val="20"/>
              </w:rPr>
            </w:pPr>
          </w:p>
          <w:p w14:paraId="1A4A9DC5" w14:textId="77777777" w:rsidR="00A71EEF" w:rsidRDefault="00A71EEF">
            <w:pPr>
              <w:pStyle w:val="TableParagraph"/>
              <w:rPr>
                <w:b/>
                <w:sz w:val="15"/>
              </w:rPr>
            </w:pPr>
          </w:p>
          <w:p w14:paraId="3B933B99" w14:textId="77777777" w:rsidR="00A71EEF" w:rsidRDefault="0081115D">
            <w:pPr>
              <w:pStyle w:val="TableParagraph"/>
              <w:ind w:left="380" w:right="265"/>
              <w:jc w:val="center"/>
              <w:rPr>
                <w:sz w:val="21"/>
              </w:rPr>
            </w:pPr>
            <w:r>
              <w:rPr>
                <w:sz w:val="21"/>
              </w:rPr>
              <w:t>干粉</w:t>
            </w:r>
            <w:r>
              <w:rPr>
                <w:sz w:val="21"/>
              </w:rPr>
              <w:t xml:space="preserve"> </w:t>
            </w:r>
          </w:p>
          <w:p w14:paraId="1A623CCB" w14:textId="77777777" w:rsidR="00A71EEF" w:rsidRDefault="0081115D">
            <w:pPr>
              <w:pStyle w:val="TableParagraph"/>
              <w:spacing w:before="5"/>
              <w:ind w:left="394" w:right="265"/>
              <w:jc w:val="center"/>
              <w:rPr>
                <w:sz w:val="24"/>
              </w:rPr>
            </w:pPr>
            <w:r>
              <w:rPr>
                <w:sz w:val="21"/>
              </w:rPr>
              <w:t>（碳酸氢钠）</w:t>
            </w:r>
            <w:r>
              <w:rPr>
                <w:sz w:val="24"/>
              </w:rPr>
              <w:t xml:space="preserve"> </w:t>
            </w:r>
          </w:p>
        </w:tc>
        <w:tc>
          <w:tcPr>
            <w:tcW w:w="1241" w:type="dxa"/>
          </w:tcPr>
          <w:p w14:paraId="45C2F3EA" w14:textId="77777777" w:rsidR="00A71EEF" w:rsidRDefault="0081115D">
            <w:pPr>
              <w:pStyle w:val="TableParagraph"/>
              <w:spacing w:before="58"/>
              <w:ind w:right="383"/>
              <w:jc w:val="right"/>
              <w:rPr>
                <w:sz w:val="24"/>
              </w:rPr>
            </w:pPr>
            <w:r>
              <w:rPr>
                <w:sz w:val="21"/>
              </w:rPr>
              <w:t>―</w:t>
            </w:r>
            <w:r>
              <w:rPr>
                <w:sz w:val="24"/>
              </w:rPr>
              <w:t xml:space="preserve"> </w:t>
            </w:r>
          </w:p>
        </w:tc>
        <w:tc>
          <w:tcPr>
            <w:tcW w:w="1250" w:type="dxa"/>
          </w:tcPr>
          <w:p w14:paraId="63142C60" w14:textId="77777777" w:rsidR="00A71EEF" w:rsidRDefault="0081115D">
            <w:pPr>
              <w:pStyle w:val="TableParagraph"/>
              <w:spacing w:before="58"/>
              <w:ind w:right="440"/>
              <w:jc w:val="right"/>
              <w:rPr>
                <w:sz w:val="24"/>
              </w:rPr>
            </w:pPr>
            <w:r>
              <w:rPr>
                <w:sz w:val="21"/>
              </w:rPr>
              <w:t>1</w:t>
            </w:r>
            <w:r>
              <w:rPr>
                <w:sz w:val="24"/>
              </w:rPr>
              <w:t xml:space="preserve"> </w:t>
            </w:r>
          </w:p>
        </w:tc>
        <w:tc>
          <w:tcPr>
            <w:tcW w:w="2530" w:type="dxa"/>
          </w:tcPr>
          <w:p w14:paraId="17F74CF3" w14:textId="77777777" w:rsidR="00A71EEF" w:rsidRDefault="0081115D">
            <w:pPr>
              <w:pStyle w:val="TableParagraph"/>
              <w:spacing w:before="58"/>
              <w:ind w:left="351" w:right="222"/>
              <w:jc w:val="center"/>
              <w:rPr>
                <w:sz w:val="24"/>
              </w:rPr>
            </w:pPr>
            <w:r>
              <w:rPr>
                <w:sz w:val="21"/>
              </w:rPr>
              <w:t>MF1</w:t>
            </w:r>
            <w:r>
              <w:rPr>
                <w:sz w:val="24"/>
              </w:rPr>
              <w:t xml:space="preserve"> </w:t>
            </w:r>
          </w:p>
        </w:tc>
        <w:tc>
          <w:tcPr>
            <w:tcW w:w="1335" w:type="dxa"/>
          </w:tcPr>
          <w:p w14:paraId="054FB33D" w14:textId="77777777" w:rsidR="00A71EEF" w:rsidRDefault="0081115D">
            <w:pPr>
              <w:pStyle w:val="TableParagraph"/>
              <w:spacing w:before="58"/>
              <w:ind w:left="286" w:right="159"/>
              <w:jc w:val="center"/>
              <w:rPr>
                <w:sz w:val="24"/>
              </w:rPr>
            </w:pPr>
            <w:r>
              <w:rPr>
                <w:sz w:val="21"/>
              </w:rPr>
              <w:t>―</w:t>
            </w:r>
            <w:r>
              <w:rPr>
                <w:sz w:val="24"/>
              </w:rPr>
              <w:t xml:space="preserve"> </w:t>
            </w:r>
          </w:p>
        </w:tc>
        <w:tc>
          <w:tcPr>
            <w:tcW w:w="617" w:type="dxa"/>
          </w:tcPr>
          <w:p w14:paraId="5D9BDE09" w14:textId="77777777" w:rsidR="00A71EEF" w:rsidRDefault="0081115D">
            <w:pPr>
              <w:pStyle w:val="TableParagraph"/>
              <w:spacing w:before="58"/>
              <w:ind w:left="133" w:right="2"/>
              <w:jc w:val="center"/>
              <w:rPr>
                <w:sz w:val="24"/>
              </w:rPr>
            </w:pPr>
            <w:r>
              <w:rPr>
                <w:sz w:val="21"/>
              </w:rPr>
              <w:t>21B</w:t>
            </w:r>
            <w:r>
              <w:rPr>
                <w:sz w:val="24"/>
              </w:rPr>
              <w:t xml:space="preserve"> </w:t>
            </w:r>
          </w:p>
        </w:tc>
      </w:tr>
      <w:tr w:rsidR="00A71EEF" w14:paraId="2344BC85" w14:textId="77777777">
        <w:trPr>
          <w:trHeight w:val="359"/>
        </w:trPr>
        <w:tc>
          <w:tcPr>
            <w:tcW w:w="1970" w:type="dxa"/>
            <w:vMerge/>
            <w:tcBorders>
              <w:top w:val="nil"/>
            </w:tcBorders>
          </w:tcPr>
          <w:p w14:paraId="40FE62BB" w14:textId="77777777" w:rsidR="00A71EEF" w:rsidRDefault="00A71EEF">
            <w:pPr>
              <w:rPr>
                <w:sz w:val="2"/>
                <w:szCs w:val="2"/>
              </w:rPr>
            </w:pPr>
          </w:p>
        </w:tc>
        <w:tc>
          <w:tcPr>
            <w:tcW w:w="1241" w:type="dxa"/>
          </w:tcPr>
          <w:p w14:paraId="7A1E6B29" w14:textId="77777777" w:rsidR="00A71EEF" w:rsidRDefault="0081115D">
            <w:pPr>
              <w:pStyle w:val="TableParagraph"/>
              <w:spacing w:before="46"/>
              <w:ind w:right="383"/>
              <w:jc w:val="right"/>
              <w:rPr>
                <w:sz w:val="24"/>
              </w:rPr>
            </w:pPr>
            <w:r>
              <w:rPr>
                <w:sz w:val="21"/>
              </w:rPr>
              <w:t>―</w:t>
            </w:r>
            <w:r>
              <w:rPr>
                <w:sz w:val="24"/>
              </w:rPr>
              <w:t xml:space="preserve"> </w:t>
            </w:r>
          </w:p>
        </w:tc>
        <w:tc>
          <w:tcPr>
            <w:tcW w:w="1250" w:type="dxa"/>
          </w:tcPr>
          <w:p w14:paraId="7C01EBD1" w14:textId="77777777" w:rsidR="00A71EEF" w:rsidRDefault="0081115D">
            <w:pPr>
              <w:pStyle w:val="TableParagraph"/>
              <w:spacing w:before="46"/>
              <w:ind w:right="440"/>
              <w:jc w:val="right"/>
              <w:rPr>
                <w:sz w:val="24"/>
              </w:rPr>
            </w:pPr>
            <w:r>
              <w:rPr>
                <w:sz w:val="21"/>
              </w:rPr>
              <w:t>2</w:t>
            </w:r>
            <w:r>
              <w:rPr>
                <w:sz w:val="24"/>
              </w:rPr>
              <w:t xml:space="preserve"> </w:t>
            </w:r>
          </w:p>
        </w:tc>
        <w:tc>
          <w:tcPr>
            <w:tcW w:w="2530" w:type="dxa"/>
          </w:tcPr>
          <w:p w14:paraId="70C0AEBA" w14:textId="77777777" w:rsidR="00A71EEF" w:rsidRDefault="0081115D">
            <w:pPr>
              <w:pStyle w:val="TableParagraph"/>
              <w:spacing w:before="46"/>
              <w:ind w:left="351" w:right="222"/>
              <w:jc w:val="center"/>
              <w:rPr>
                <w:sz w:val="24"/>
              </w:rPr>
            </w:pPr>
            <w:r>
              <w:rPr>
                <w:sz w:val="21"/>
              </w:rPr>
              <w:t>MF2</w:t>
            </w:r>
            <w:r>
              <w:rPr>
                <w:sz w:val="24"/>
              </w:rPr>
              <w:t xml:space="preserve"> </w:t>
            </w:r>
          </w:p>
        </w:tc>
        <w:tc>
          <w:tcPr>
            <w:tcW w:w="1335" w:type="dxa"/>
          </w:tcPr>
          <w:p w14:paraId="2AFC14E0" w14:textId="77777777" w:rsidR="00A71EEF" w:rsidRDefault="0081115D">
            <w:pPr>
              <w:pStyle w:val="TableParagraph"/>
              <w:spacing w:before="46"/>
              <w:ind w:left="286" w:right="159"/>
              <w:jc w:val="center"/>
              <w:rPr>
                <w:sz w:val="24"/>
              </w:rPr>
            </w:pPr>
            <w:r>
              <w:rPr>
                <w:sz w:val="21"/>
              </w:rPr>
              <w:t>―</w:t>
            </w:r>
            <w:r>
              <w:rPr>
                <w:sz w:val="24"/>
              </w:rPr>
              <w:t xml:space="preserve"> </w:t>
            </w:r>
          </w:p>
        </w:tc>
        <w:tc>
          <w:tcPr>
            <w:tcW w:w="617" w:type="dxa"/>
          </w:tcPr>
          <w:p w14:paraId="23B9A03B" w14:textId="77777777" w:rsidR="00A71EEF" w:rsidRDefault="0081115D">
            <w:pPr>
              <w:pStyle w:val="TableParagraph"/>
              <w:spacing w:before="46"/>
              <w:ind w:left="133" w:right="2"/>
              <w:jc w:val="center"/>
              <w:rPr>
                <w:sz w:val="24"/>
              </w:rPr>
            </w:pPr>
            <w:r>
              <w:rPr>
                <w:sz w:val="21"/>
              </w:rPr>
              <w:t>21B</w:t>
            </w:r>
            <w:r>
              <w:rPr>
                <w:sz w:val="24"/>
              </w:rPr>
              <w:t xml:space="preserve"> </w:t>
            </w:r>
          </w:p>
        </w:tc>
      </w:tr>
      <w:tr w:rsidR="00A71EEF" w14:paraId="78C0AA3A" w14:textId="77777777">
        <w:trPr>
          <w:trHeight w:val="361"/>
        </w:trPr>
        <w:tc>
          <w:tcPr>
            <w:tcW w:w="1970" w:type="dxa"/>
            <w:vMerge/>
            <w:tcBorders>
              <w:top w:val="nil"/>
            </w:tcBorders>
          </w:tcPr>
          <w:p w14:paraId="1F00FFED" w14:textId="77777777" w:rsidR="00A71EEF" w:rsidRDefault="00A71EEF">
            <w:pPr>
              <w:rPr>
                <w:sz w:val="2"/>
                <w:szCs w:val="2"/>
              </w:rPr>
            </w:pPr>
          </w:p>
        </w:tc>
        <w:tc>
          <w:tcPr>
            <w:tcW w:w="1241" w:type="dxa"/>
          </w:tcPr>
          <w:p w14:paraId="0466F720" w14:textId="77777777" w:rsidR="00A71EEF" w:rsidRDefault="0081115D">
            <w:pPr>
              <w:pStyle w:val="TableParagraph"/>
              <w:spacing w:before="46"/>
              <w:ind w:right="383"/>
              <w:jc w:val="right"/>
              <w:rPr>
                <w:sz w:val="24"/>
              </w:rPr>
            </w:pPr>
            <w:r>
              <w:rPr>
                <w:sz w:val="21"/>
              </w:rPr>
              <w:t>―</w:t>
            </w:r>
            <w:r>
              <w:rPr>
                <w:sz w:val="24"/>
              </w:rPr>
              <w:t xml:space="preserve"> </w:t>
            </w:r>
          </w:p>
        </w:tc>
        <w:tc>
          <w:tcPr>
            <w:tcW w:w="1250" w:type="dxa"/>
          </w:tcPr>
          <w:p w14:paraId="7D2339CC" w14:textId="77777777" w:rsidR="00A71EEF" w:rsidRDefault="0081115D">
            <w:pPr>
              <w:pStyle w:val="TableParagraph"/>
              <w:spacing w:before="46"/>
              <w:ind w:right="440"/>
              <w:jc w:val="right"/>
              <w:rPr>
                <w:sz w:val="24"/>
              </w:rPr>
            </w:pPr>
            <w:r>
              <w:rPr>
                <w:sz w:val="21"/>
              </w:rPr>
              <w:t>3</w:t>
            </w:r>
            <w:r>
              <w:rPr>
                <w:sz w:val="24"/>
              </w:rPr>
              <w:t xml:space="preserve"> </w:t>
            </w:r>
          </w:p>
        </w:tc>
        <w:tc>
          <w:tcPr>
            <w:tcW w:w="2530" w:type="dxa"/>
          </w:tcPr>
          <w:p w14:paraId="4B6D49A2" w14:textId="77777777" w:rsidR="00A71EEF" w:rsidRDefault="0081115D">
            <w:pPr>
              <w:pStyle w:val="TableParagraph"/>
              <w:spacing w:before="46"/>
              <w:ind w:left="351" w:right="222"/>
              <w:jc w:val="center"/>
              <w:rPr>
                <w:sz w:val="24"/>
              </w:rPr>
            </w:pPr>
            <w:r>
              <w:rPr>
                <w:sz w:val="21"/>
              </w:rPr>
              <w:t>MF3</w:t>
            </w:r>
            <w:r>
              <w:rPr>
                <w:sz w:val="24"/>
              </w:rPr>
              <w:t xml:space="preserve"> </w:t>
            </w:r>
          </w:p>
        </w:tc>
        <w:tc>
          <w:tcPr>
            <w:tcW w:w="1335" w:type="dxa"/>
          </w:tcPr>
          <w:p w14:paraId="3AAEB5E0" w14:textId="77777777" w:rsidR="00A71EEF" w:rsidRDefault="0081115D">
            <w:pPr>
              <w:pStyle w:val="TableParagraph"/>
              <w:spacing w:before="46"/>
              <w:ind w:left="286" w:right="159"/>
              <w:jc w:val="center"/>
              <w:rPr>
                <w:sz w:val="24"/>
              </w:rPr>
            </w:pPr>
            <w:r>
              <w:rPr>
                <w:sz w:val="21"/>
              </w:rPr>
              <w:t>―</w:t>
            </w:r>
            <w:r>
              <w:rPr>
                <w:sz w:val="24"/>
              </w:rPr>
              <w:t xml:space="preserve"> </w:t>
            </w:r>
          </w:p>
        </w:tc>
        <w:tc>
          <w:tcPr>
            <w:tcW w:w="617" w:type="dxa"/>
          </w:tcPr>
          <w:p w14:paraId="5B842D09" w14:textId="77777777" w:rsidR="00A71EEF" w:rsidRDefault="0081115D">
            <w:pPr>
              <w:pStyle w:val="TableParagraph"/>
              <w:spacing w:before="46"/>
              <w:ind w:left="133" w:right="2"/>
              <w:jc w:val="center"/>
              <w:rPr>
                <w:sz w:val="24"/>
              </w:rPr>
            </w:pPr>
            <w:r>
              <w:rPr>
                <w:sz w:val="21"/>
              </w:rPr>
              <w:t>34B</w:t>
            </w:r>
            <w:r>
              <w:rPr>
                <w:sz w:val="24"/>
              </w:rPr>
              <w:t xml:space="preserve"> </w:t>
            </w:r>
          </w:p>
        </w:tc>
      </w:tr>
      <w:tr w:rsidR="00A71EEF" w14:paraId="1595DACB" w14:textId="77777777">
        <w:trPr>
          <w:trHeight w:val="359"/>
        </w:trPr>
        <w:tc>
          <w:tcPr>
            <w:tcW w:w="1970" w:type="dxa"/>
            <w:vMerge/>
            <w:tcBorders>
              <w:top w:val="nil"/>
            </w:tcBorders>
          </w:tcPr>
          <w:p w14:paraId="124F6BDC" w14:textId="77777777" w:rsidR="00A71EEF" w:rsidRDefault="00A71EEF">
            <w:pPr>
              <w:rPr>
                <w:sz w:val="2"/>
                <w:szCs w:val="2"/>
              </w:rPr>
            </w:pPr>
          </w:p>
        </w:tc>
        <w:tc>
          <w:tcPr>
            <w:tcW w:w="1241" w:type="dxa"/>
          </w:tcPr>
          <w:p w14:paraId="0BE982E9" w14:textId="77777777" w:rsidR="00A71EEF" w:rsidRDefault="0081115D">
            <w:pPr>
              <w:pStyle w:val="TableParagraph"/>
              <w:spacing w:before="44"/>
              <w:ind w:right="383"/>
              <w:jc w:val="right"/>
              <w:rPr>
                <w:sz w:val="24"/>
              </w:rPr>
            </w:pPr>
            <w:r>
              <w:rPr>
                <w:sz w:val="21"/>
              </w:rPr>
              <w:t>―</w:t>
            </w:r>
            <w:r>
              <w:rPr>
                <w:sz w:val="24"/>
              </w:rPr>
              <w:t xml:space="preserve"> </w:t>
            </w:r>
          </w:p>
        </w:tc>
        <w:tc>
          <w:tcPr>
            <w:tcW w:w="1250" w:type="dxa"/>
          </w:tcPr>
          <w:p w14:paraId="184FC9A9" w14:textId="77777777" w:rsidR="00A71EEF" w:rsidRDefault="0081115D">
            <w:pPr>
              <w:pStyle w:val="TableParagraph"/>
              <w:spacing w:before="44"/>
              <w:ind w:right="440"/>
              <w:jc w:val="right"/>
              <w:rPr>
                <w:sz w:val="24"/>
              </w:rPr>
            </w:pPr>
            <w:r>
              <w:rPr>
                <w:sz w:val="21"/>
              </w:rPr>
              <w:t>4</w:t>
            </w:r>
            <w:r>
              <w:rPr>
                <w:sz w:val="24"/>
              </w:rPr>
              <w:t xml:space="preserve"> </w:t>
            </w:r>
          </w:p>
        </w:tc>
        <w:tc>
          <w:tcPr>
            <w:tcW w:w="2530" w:type="dxa"/>
          </w:tcPr>
          <w:p w14:paraId="47F827E5" w14:textId="77777777" w:rsidR="00A71EEF" w:rsidRDefault="0081115D">
            <w:pPr>
              <w:pStyle w:val="TableParagraph"/>
              <w:spacing w:before="44"/>
              <w:ind w:left="351" w:right="222"/>
              <w:jc w:val="center"/>
              <w:rPr>
                <w:sz w:val="24"/>
              </w:rPr>
            </w:pPr>
            <w:r>
              <w:rPr>
                <w:sz w:val="21"/>
              </w:rPr>
              <w:t>MF4</w:t>
            </w:r>
            <w:r>
              <w:rPr>
                <w:sz w:val="24"/>
              </w:rPr>
              <w:t xml:space="preserve"> </w:t>
            </w:r>
          </w:p>
        </w:tc>
        <w:tc>
          <w:tcPr>
            <w:tcW w:w="1335" w:type="dxa"/>
          </w:tcPr>
          <w:p w14:paraId="161F4B52" w14:textId="77777777" w:rsidR="00A71EEF" w:rsidRDefault="0081115D">
            <w:pPr>
              <w:pStyle w:val="TableParagraph"/>
              <w:spacing w:before="44"/>
              <w:ind w:left="286" w:right="159"/>
              <w:jc w:val="center"/>
              <w:rPr>
                <w:sz w:val="24"/>
              </w:rPr>
            </w:pPr>
            <w:r>
              <w:rPr>
                <w:sz w:val="21"/>
              </w:rPr>
              <w:t>―</w:t>
            </w:r>
            <w:r>
              <w:rPr>
                <w:sz w:val="24"/>
              </w:rPr>
              <w:t xml:space="preserve"> </w:t>
            </w:r>
          </w:p>
        </w:tc>
        <w:tc>
          <w:tcPr>
            <w:tcW w:w="617" w:type="dxa"/>
          </w:tcPr>
          <w:p w14:paraId="49993512" w14:textId="77777777" w:rsidR="00A71EEF" w:rsidRDefault="0081115D">
            <w:pPr>
              <w:pStyle w:val="TableParagraph"/>
              <w:spacing w:before="44"/>
              <w:ind w:left="133" w:right="2"/>
              <w:jc w:val="center"/>
              <w:rPr>
                <w:sz w:val="24"/>
              </w:rPr>
            </w:pPr>
            <w:r>
              <w:rPr>
                <w:sz w:val="21"/>
              </w:rPr>
              <w:t>55B</w:t>
            </w:r>
            <w:r>
              <w:rPr>
                <w:sz w:val="24"/>
              </w:rPr>
              <w:t xml:space="preserve"> </w:t>
            </w:r>
          </w:p>
        </w:tc>
      </w:tr>
      <w:tr w:rsidR="00A71EEF" w14:paraId="6B9DB261" w14:textId="77777777">
        <w:trPr>
          <w:trHeight w:val="360"/>
        </w:trPr>
        <w:tc>
          <w:tcPr>
            <w:tcW w:w="1970" w:type="dxa"/>
            <w:vMerge/>
            <w:tcBorders>
              <w:top w:val="nil"/>
            </w:tcBorders>
          </w:tcPr>
          <w:p w14:paraId="30F75CC3" w14:textId="77777777" w:rsidR="00A71EEF" w:rsidRDefault="00A71EEF">
            <w:pPr>
              <w:rPr>
                <w:sz w:val="2"/>
                <w:szCs w:val="2"/>
              </w:rPr>
            </w:pPr>
          </w:p>
        </w:tc>
        <w:tc>
          <w:tcPr>
            <w:tcW w:w="1241" w:type="dxa"/>
          </w:tcPr>
          <w:p w14:paraId="1CAE7577" w14:textId="77777777" w:rsidR="00A71EEF" w:rsidRDefault="0081115D">
            <w:pPr>
              <w:pStyle w:val="TableParagraph"/>
              <w:spacing w:before="44"/>
              <w:ind w:right="383"/>
              <w:jc w:val="right"/>
              <w:rPr>
                <w:sz w:val="24"/>
              </w:rPr>
            </w:pPr>
            <w:r>
              <w:rPr>
                <w:sz w:val="21"/>
              </w:rPr>
              <w:t>―</w:t>
            </w:r>
            <w:r>
              <w:rPr>
                <w:sz w:val="24"/>
              </w:rPr>
              <w:t xml:space="preserve"> </w:t>
            </w:r>
          </w:p>
        </w:tc>
        <w:tc>
          <w:tcPr>
            <w:tcW w:w="1250" w:type="dxa"/>
          </w:tcPr>
          <w:p w14:paraId="6BDD1ACA" w14:textId="77777777" w:rsidR="00A71EEF" w:rsidRDefault="0081115D">
            <w:pPr>
              <w:pStyle w:val="TableParagraph"/>
              <w:spacing w:before="44"/>
              <w:ind w:right="440"/>
              <w:jc w:val="right"/>
              <w:rPr>
                <w:sz w:val="24"/>
              </w:rPr>
            </w:pPr>
            <w:r>
              <w:rPr>
                <w:sz w:val="21"/>
              </w:rPr>
              <w:t>5</w:t>
            </w:r>
            <w:r>
              <w:rPr>
                <w:sz w:val="24"/>
              </w:rPr>
              <w:t xml:space="preserve"> </w:t>
            </w:r>
          </w:p>
        </w:tc>
        <w:tc>
          <w:tcPr>
            <w:tcW w:w="2530" w:type="dxa"/>
          </w:tcPr>
          <w:p w14:paraId="1C5998F1" w14:textId="77777777" w:rsidR="00A71EEF" w:rsidRDefault="0081115D">
            <w:pPr>
              <w:pStyle w:val="TableParagraph"/>
              <w:spacing w:before="44"/>
              <w:ind w:left="351" w:right="222"/>
              <w:jc w:val="center"/>
              <w:rPr>
                <w:sz w:val="24"/>
              </w:rPr>
            </w:pPr>
            <w:r>
              <w:rPr>
                <w:sz w:val="21"/>
              </w:rPr>
              <w:t>MF5</w:t>
            </w:r>
            <w:r>
              <w:rPr>
                <w:sz w:val="24"/>
              </w:rPr>
              <w:t xml:space="preserve"> </w:t>
            </w:r>
          </w:p>
        </w:tc>
        <w:tc>
          <w:tcPr>
            <w:tcW w:w="1335" w:type="dxa"/>
          </w:tcPr>
          <w:p w14:paraId="344D1C36" w14:textId="77777777" w:rsidR="00A71EEF" w:rsidRDefault="0081115D">
            <w:pPr>
              <w:pStyle w:val="TableParagraph"/>
              <w:spacing w:before="44"/>
              <w:ind w:left="286" w:right="159"/>
              <w:jc w:val="center"/>
              <w:rPr>
                <w:sz w:val="24"/>
              </w:rPr>
            </w:pPr>
            <w:r>
              <w:rPr>
                <w:sz w:val="21"/>
              </w:rPr>
              <w:t>―</w:t>
            </w:r>
            <w:r>
              <w:rPr>
                <w:sz w:val="24"/>
              </w:rPr>
              <w:t xml:space="preserve"> </w:t>
            </w:r>
          </w:p>
        </w:tc>
        <w:tc>
          <w:tcPr>
            <w:tcW w:w="617" w:type="dxa"/>
          </w:tcPr>
          <w:p w14:paraId="0D40021C" w14:textId="77777777" w:rsidR="00A71EEF" w:rsidRDefault="0081115D">
            <w:pPr>
              <w:pStyle w:val="TableParagraph"/>
              <w:spacing w:before="44"/>
              <w:ind w:left="133" w:right="2"/>
              <w:jc w:val="center"/>
              <w:rPr>
                <w:sz w:val="24"/>
              </w:rPr>
            </w:pPr>
            <w:r>
              <w:rPr>
                <w:sz w:val="21"/>
              </w:rPr>
              <w:t>89B</w:t>
            </w:r>
            <w:r>
              <w:rPr>
                <w:sz w:val="24"/>
              </w:rPr>
              <w:t xml:space="preserve"> </w:t>
            </w:r>
          </w:p>
        </w:tc>
      </w:tr>
      <w:tr w:rsidR="00A71EEF" w14:paraId="08715ECD" w14:textId="77777777">
        <w:trPr>
          <w:trHeight w:val="359"/>
        </w:trPr>
        <w:tc>
          <w:tcPr>
            <w:tcW w:w="1970" w:type="dxa"/>
            <w:vMerge/>
            <w:tcBorders>
              <w:top w:val="nil"/>
            </w:tcBorders>
          </w:tcPr>
          <w:p w14:paraId="1BD114A6" w14:textId="77777777" w:rsidR="00A71EEF" w:rsidRDefault="00A71EEF">
            <w:pPr>
              <w:rPr>
                <w:sz w:val="2"/>
                <w:szCs w:val="2"/>
              </w:rPr>
            </w:pPr>
          </w:p>
        </w:tc>
        <w:tc>
          <w:tcPr>
            <w:tcW w:w="1241" w:type="dxa"/>
          </w:tcPr>
          <w:p w14:paraId="3F11DCE0" w14:textId="77777777" w:rsidR="00A71EEF" w:rsidRDefault="0081115D">
            <w:pPr>
              <w:pStyle w:val="TableParagraph"/>
              <w:spacing w:before="44"/>
              <w:ind w:right="383"/>
              <w:jc w:val="right"/>
              <w:rPr>
                <w:sz w:val="24"/>
              </w:rPr>
            </w:pPr>
            <w:r>
              <w:rPr>
                <w:sz w:val="21"/>
              </w:rPr>
              <w:t>―</w:t>
            </w:r>
            <w:r>
              <w:rPr>
                <w:sz w:val="24"/>
              </w:rPr>
              <w:t xml:space="preserve"> </w:t>
            </w:r>
          </w:p>
        </w:tc>
        <w:tc>
          <w:tcPr>
            <w:tcW w:w="1250" w:type="dxa"/>
          </w:tcPr>
          <w:p w14:paraId="2B535C89" w14:textId="77777777" w:rsidR="00A71EEF" w:rsidRDefault="0081115D">
            <w:pPr>
              <w:pStyle w:val="TableParagraph"/>
              <w:spacing w:before="44"/>
              <w:ind w:right="440"/>
              <w:jc w:val="right"/>
              <w:rPr>
                <w:sz w:val="24"/>
              </w:rPr>
            </w:pPr>
            <w:r>
              <w:rPr>
                <w:sz w:val="21"/>
              </w:rPr>
              <w:t>6</w:t>
            </w:r>
            <w:r>
              <w:rPr>
                <w:sz w:val="24"/>
              </w:rPr>
              <w:t xml:space="preserve"> </w:t>
            </w:r>
          </w:p>
        </w:tc>
        <w:tc>
          <w:tcPr>
            <w:tcW w:w="2530" w:type="dxa"/>
          </w:tcPr>
          <w:p w14:paraId="3811C179" w14:textId="77777777" w:rsidR="00A71EEF" w:rsidRDefault="0081115D">
            <w:pPr>
              <w:pStyle w:val="TableParagraph"/>
              <w:spacing w:before="44"/>
              <w:ind w:left="351" w:right="222"/>
              <w:jc w:val="center"/>
              <w:rPr>
                <w:sz w:val="24"/>
              </w:rPr>
            </w:pPr>
            <w:r>
              <w:rPr>
                <w:sz w:val="21"/>
              </w:rPr>
              <w:t>MF6</w:t>
            </w:r>
            <w:r>
              <w:rPr>
                <w:sz w:val="24"/>
              </w:rPr>
              <w:t xml:space="preserve"> </w:t>
            </w:r>
          </w:p>
        </w:tc>
        <w:tc>
          <w:tcPr>
            <w:tcW w:w="1335" w:type="dxa"/>
          </w:tcPr>
          <w:p w14:paraId="1C38004C" w14:textId="77777777" w:rsidR="00A71EEF" w:rsidRDefault="0081115D">
            <w:pPr>
              <w:pStyle w:val="TableParagraph"/>
              <w:spacing w:before="44"/>
              <w:ind w:left="286" w:right="159"/>
              <w:jc w:val="center"/>
              <w:rPr>
                <w:sz w:val="24"/>
              </w:rPr>
            </w:pPr>
            <w:r>
              <w:rPr>
                <w:sz w:val="21"/>
              </w:rPr>
              <w:t>―</w:t>
            </w:r>
            <w:r>
              <w:rPr>
                <w:sz w:val="24"/>
              </w:rPr>
              <w:t xml:space="preserve"> </w:t>
            </w:r>
          </w:p>
        </w:tc>
        <w:tc>
          <w:tcPr>
            <w:tcW w:w="617" w:type="dxa"/>
          </w:tcPr>
          <w:p w14:paraId="2B702613" w14:textId="77777777" w:rsidR="00A71EEF" w:rsidRDefault="0081115D">
            <w:pPr>
              <w:pStyle w:val="TableParagraph"/>
              <w:spacing w:before="44"/>
              <w:ind w:left="133" w:right="2"/>
              <w:jc w:val="center"/>
              <w:rPr>
                <w:sz w:val="24"/>
              </w:rPr>
            </w:pPr>
            <w:r>
              <w:rPr>
                <w:sz w:val="21"/>
              </w:rPr>
              <w:t>89B</w:t>
            </w:r>
            <w:r>
              <w:rPr>
                <w:sz w:val="24"/>
              </w:rPr>
              <w:t xml:space="preserve"> </w:t>
            </w:r>
          </w:p>
        </w:tc>
      </w:tr>
      <w:tr w:rsidR="00A71EEF" w14:paraId="057987C3" w14:textId="77777777">
        <w:trPr>
          <w:trHeight w:val="359"/>
        </w:trPr>
        <w:tc>
          <w:tcPr>
            <w:tcW w:w="1970" w:type="dxa"/>
            <w:vMerge/>
            <w:tcBorders>
              <w:top w:val="nil"/>
            </w:tcBorders>
          </w:tcPr>
          <w:p w14:paraId="004EA549" w14:textId="77777777" w:rsidR="00A71EEF" w:rsidRDefault="00A71EEF">
            <w:pPr>
              <w:rPr>
                <w:sz w:val="2"/>
                <w:szCs w:val="2"/>
              </w:rPr>
            </w:pPr>
          </w:p>
        </w:tc>
        <w:tc>
          <w:tcPr>
            <w:tcW w:w="1241" w:type="dxa"/>
          </w:tcPr>
          <w:p w14:paraId="64278795" w14:textId="77777777" w:rsidR="00A71EEF" w:rsidRDefault="0081115D">
            <w:pPr>
              <w:pStyle w:val="TableParagraph"/>
              <w:spacing w:before="44"/>
              <w:ind w:right="383"/>
              <w:jc w:val="right"/>
              <w:rPr>
                <w:sz w:val="24"/>
              </w:rPr>
            </w:pPr>
            <w:r>
              <w:rPr>
                <w:sz w:val="21"/>
              </w:rPr>
              <w:t>―</w:t>
            </w:r>
            <w:r>
              <w:rPr>
                <w:sz w:val="24"/>
              </w:rPr>
              <w:t xml:space="preserve"> </w:t>
            </w:r>
          </w:p>
        </w:tc>
        <w:tc>
          <w:tcPr>
            <w:tcW w:w="1250" w:type="dxa"/>
          </w:tcPr>
          <w:p w14:paraId="5B894375" w14:textId="77777777" w:rsidR="00A71EEF" w:rsidRDefault="0081115D">
            <w:pPr>
              <w:pStyle w:val="TableParagraph"/>
              <w:spacing w:before="44"/>
              <w:ind w:right="440"/>
              <w:jc w:val="right"/>
              <w:rPr>
                <w:sz w:val="24"/>
              </w:rPr>
            </w:pPr>
            <w:r>
              <w:rPr>
                <w:sz w:val="21"/>
              </w:rPr>
              <w:t>8</w:t>
            </w:r>
            <w:r>
              <w:rPr>
                <w:sz w:val="24"/>
              </w:rPr>
              <w:t xml:space="preserve"> </w:t>
            </w:r>
          </w:p>
        </w:tc>
        <w:tc>
          <w:tcPr>
            <w:tcW w:w="2530" w:type="dxa"/>
          </w:tcPr>
          <w:p w14:paraId="3BEDD00C" w14:textId="77777777" w:rsidR="00A71EEF" w:rsidRDefault="0081115D">
            <w:pPr>
              <w:pStyle w:val="TableParagraph"/>
              <w:spacing w:before="44"/>
              <w:ind w:left="351" w:right="222"/>
              <w:jc w:val="center"/>
              <w:rPr>
                <w:sz w:val="24"/>
              </w:rPr>
            </w:pPr>
            <w:r>
              <w:rPr>
                <w:sz w:val="21"/>
              </w:rPr>
              <w:t>MF8</w:t>
            </w:r>
            <w:r>
              <w:rPr>
                <w:sz w:val="24"/>
              </w:rPr>
              <w:t xml:space="preserve"> </w:t>
            </w:r>
          </w:p>
        </w:tc>
        <w:tc>
          <w:tcPr>
            <w:tcW w:w="1335" w:type="dxa"/>
          </w:tcPr>
          <w:p w14:paraId="2D532F75" w14:textId="77777777" w:rsidR="00A71EEF" w:rsidRDefault="0081115D">
            <w:pPr>
              <w:pStyle w:val="TableParagraph"/>
              <w:spacing w:before="44"/>
              <w:ind w:left="286" w:right="159"/>
              <w:jc w:val="center"/>
              <w:rPr>
                <w:sz w:val="24"/>
              </w:rPr>
            </w:pPr>
            <w:r>
              <w:rPr>
                <w:sz w:val="21"/>
              </w:rPr>
              <w:t>―</w:t>
            </w:r>
            <w:r>
              <w:rPr>
                <w:sz w:val="24"/>
              </w:rPr>
              <w:t xml:space="preserve"> </w:t>
            </w:r>
          </w:p>
        </w:tc>
        <w:tc>
          <w:tcPr>
            <w:tcW w:w="617" w:type="dxa"/>
          </w:tcPr>
          <w:p w14:paraId="6B505FD6" w14:textId="77777777" w:rsidR="00A71EEF" w:rsidRDefault="0081115D">
            <w:pPr>
              <w:pStyle w:val="TableParagraph"/>
              <w:spacing w:before="44"/>
              <w:ind w:left="145" w:right="2"/>
              <w:jc w:val="center"/>
              <w:rPr>
                <w:sz w:val="24"/>
              </w:rPr>
            </w:pPr>
            <w:r>
              <w:rPr>
                <w:sz w:val="21"/>
              </w:rPr>
              <w:t>144B</w:t>
            </w:r>
            <w:r>
              <w:rPr>
                <w:sz w:val="24"/>
              </w:rPr>
              <w:t xml:space="preserve"> </w:t>
            </w:r>
          </w:p>
        </w:tc>
      </w:tr>
      <w:tr w:rsidR="00A71EEF" w14:paraId="707A4125" w14:textId="77777777">
        <w:trPr>
          <w:trHeight w:val="359"/>
        </w:trPr>
        <w:tc>
          <w:tcPr>
            <w:tcW w:w="1970" w:type="dxa"/>
            <w:vMerge/>
            <w:tcBorders>
              <w:top w:val="nil"/>
            </w:tcBorders>
          </w:tcPr>
          <w:p w14:paraId="2259F06D" w14:textId="77777777" w:rsidR="00A71EEF" w:rsidRDefault="00A71EEF">
            <w:pPr>
              <w:rPr>
                <w:sz w:val="2"/>
                <w:szCs w:val="2"/>
              </w:rPr>
            </w:pPr>
          </w:p>
        </w:tc>
        <w:tc>
          <w:tcPr>
            <w:tcW w:w="1241" w:type="dxa"/>
          </w:tcPr>
          <w:p w14:paraId="6F693BFE" w14:textId="77777777" w:rsidR="00A71EEF" w:rsidRDefault="0081115D">
            <w:pPr>
              <w:pStyle w:val="TableParagraph"/>
              <w:spacing w:before="46"/>
              <w:ind w:right="383"/>
              <w:jc w:val="right"/>
              <w:rPr>
                <w:sz w:val="24"/>
              </w:rPr>
            </w:pPr>
            <w:r>
              <w:rPr>
                <w:sz w:val="21"/>
              </w:rPr>
              <w:t>―</w:t>
            </w:r>
            <w:r>
              <w:rPr>
                <w:sz w:val="24"/>
              </w:rPr>
              <w:t xml:space="preserve"> </w:t>
            </w:r>
          </w:p>
        </w:tc>
        <w:tc>
          <w:tcPr>
            <w:tcW w:w="1250" w:type="dxa"/>
          </w:tcPr>
          <w:p w14:paraId="332F7A88" w14:textId="77777777" w:rsidR="00A71EEF" w:rsidRDefault="0081115D">
            <w:pPr>
              <w:pStyle w:val="TableParagraph"/>
              <w:spacing w:before="46"/>
              <w:ind w:right="387"/>
              <w:jc w:val="right"/>
              <w:rPr>
                <w:sz w:val="24"/>
              </w:rPr>
            </w:pPr>
            <w:r>
              <w:rPr>
                <w:sz w:val="21"/>
              </w:rPr>
              <w:t>10</w:t>
            </w:r>
            <w:r>
              <w:rPr>
                <w:sz w:val="24"/>
              </w:rPr>
              <w:t xml:space="preserve"> </w:t>
            </w:r>
          </w:p>
        </w:tc>
        <w:tc>
          <w:tcPr>
            <w:tcW w:w="2530" w:type="dxa"/>
          </w:tcPr>
          <w:p w14:paraId="3F7C859A" w14:textId="77777777" w:rsidR="00A71EEF" w:rsidRDefault="0081115D">
            <w:pPr>
              <w:pStyle w:val="TableParagraph"/>
              <w:spacing w:before="46"/>
              <w:ind w:left="351" w:right="222"/>
              <w:jc w:val="center"/>
              <w:rPr>
                <w:sz w:val="24"/>
              </w:rPr>
            </w:pPr>
            <w:r>
              <w:rPr>
                <w:sz w:val="21"/>
              </w:rPr>
              <w:t>MF10</w:t>
            </w:r>
            <w:r>
              <w:rPr>
                <w:sz w:val="24"/>
              </w:rPr>
              <w:t xml:space="preserve"> </w:t>
            </w:r>
          </w:p>
        </w:tc>
        <w:tc>
          <w:tcPr>
            <w:tcW w:w="1335" w:type="dxa"/>
          </w:tcPr>
          <w:p w14:paraId="271E48C0" w14:textId="77777777" w:rsidR="00A71EEF" w:rsidRDefault="0081115D">
            <w:pPr>
              <w:pStyle w:val="TableParagraph"/>
              <w:spacing w:before="46"/>
              <w:ind w:left="286" w:right="159"/>
              <w:jc w:val="center"/>
              <w:rPr>
                <w:sz w:val="24"/>
              </w:rPr>
            </w:pPr>
            <w:r>
              <w:rPr>
                <w:sz w:val="21"/>
              </w:rPr>
              <w:t>―</w:t>
            </w:r>
            <w:r>
              <w:rPr>
                <w:sz w:val="24"/>
              </w:rPr>
              <w:t xml:space="preserve"> </w:t>
            </w:r>
          </w:p>
        </w:tc>
        <w:tc>
          <w:tcPr>
            <w:tcW w:w="617" w:type="dxa"/>
          </w:tcPr>
          <w:p w14:paraId="4FD9C57E" w14:textId="77777777" w:rsidR="00A71EEF" w:rsidRDefault="0081115D">
            <w:pPr>
              <w:pStyle w:val="TableParagraph"/>
              <w:spacing w:before="46"/>
              <w:ind w:left="145" w:right="2"/>
              <w:jc w:val="center"/>
              <w:rPr>
                <w:sz w:val="24"/>
              </w:rPr>
            </w:pPr>
            <w:r>
              <w:rPr>
                <w:sz w:val="21"/>
              </w:rPr>
              <w:t>144B</w:t>
            </w:r>
            <w:r>
              <w:rPr>
                <w:sz w:val="24"/>
              </w:rPr>
              <w:t xml:space="preserve"> </w:t>
            </w:r>
          </w:p>
        </w:tc>
      </w:tr>
      <w:tr w:rsidR="00A71EEF" w14:paraId="27E5FF4F" w14:textId="77777777">
        <w:trPr>
          <w:trHeight w:val="361"/>
        </w:trPr>
        <w:tc>
          <w:tcPr>
            <w:tcW w:w="1970" w:type="dxa"/>
            <w:vMerge w:val="restart"/>
          </w:tcPr>
          <w:p w14:paraId="1D22287F" w14:textId="77777777" w:rsidR="00A71EEF" w:rsidRDefault="00A71EEF">
            <w:pPr>
              <w:pStyle w:val="TableParagraph"/>
              <w:rPr>
                <w:b/>
                <w:sz w:val="20"/>
              </w:rPr>
            </w:pPr>
          </w:p>
          <w:p w14:paraId="427853F2" w14:textId="77777777" w:rsidR="00A71EEF" w:rsidRDefault="00A71EEF">
            <w:pPr>
              <w:pStyle w:val="TableParagraph"/>
              <w:rPr>
                <w:b/>
                <w:sz w:val="20"/>
              </w:rPr>
            </w:pPr>
          </w:p>
          <w:p w14:paraId="1D395384" w14:textId="77777777" w:rsidR="00A71EEF" w:rsidRDefault="00A71EEF">
            <w:pPr>
              <w:pStyle w:val="TableParagraph"/>
              <w:rPr>
                <w:b/>
                <w:sz w:val="20"/>
              </w:rPr>
            </w:pPr>
          </w:p>
          <w:p w14:paraId="3B45B84F" w14:textId="77777777" w:rsidR="00A71EEF" w:rsidRDefault="00A71EEF">
            <w:pPr>
              <w:pStyle w:val="TableParagraph"/>
              <w:rPr>
                <w:b/>
                <w:sz w:val="20"/>
              </w:rPr>
            </w:pPr>
          </w:p>
          <w:p w14:paraId="7CBC81DE" w14:textId="77777777" w:rsidR="00A71EEF" w:rsidRDefault="00A71EEF">
            <w:pPr>
              <w:pStyle w:val="TableParagraph"/>
              <w:spacing w:before="1"/>
              <w:rPr>
                <w:b/>
                <w:sz w:val="14"/>
              </w:rPr>
            </w:pPr>
          </w:p>
          <w:p w14:paraId="66CF1350" w14:textId="77777777" w:rsidR="00A71EEF" w:rsidRDefault="0081115D">
            <w:pPr>
              <w:pStyle w:val="TableParagraph"/>
              <w:ind w:left="380" w:right="265"/>
              <w:jc w:val="center"/>
              <w:rPr>
                <w:sz w:val="21"/>
              </w:rPr>
            </w:pPr>
            <w:r>
              <w:rPr>
                <w:sz w:val="21"/>
              </w:rPr>
              <w:t>干粉</w:t>
            </w:r>
            <w:r>
              <w:rPr>
                <w:sz w:val="21"/>
              </w:rPr>
              <w:t xml:space="preserve"> </w:t>
            </w:r>
          </w:p>
          <w:p w14:paraId="3124D308" w14:textId="77777777" w:rsidR="00A71EEF" w:rsidRDefault="0081115D">
            <w:pPr>
              <w:pStyle w:val="TableParagraph"/>
              <w:spacing w:before="2"/>
              <w:ind w:left="394" w:right="265"/>
              <w:jc w:val="center"/>
              <w:rPr>
                <w:sz w:val="24"/>
              </w:rPr>
            </w:pPr>
            <w:r>
              <w:rPr>
                <w:sz w:val="21"/>
              </w:rPr>
              <w:t>（磷酸铵盐）</w:t>
            </w:r>
            <w:r>
              <w:rPr>
                <w:sz w:val="24"/>
              </w:rPr>
              <w:t xml:space="preserve"> </w:t>
            </w:r>
          </w:p>
        </w:tc>
        <w:tc>
          <w:tcPr>
            <w:tcW w:w="1241" w:type="dxa"/>
          </w:tcPr>
          <w:p w14:paraId="6CC0B41E" w14:textId="77777777" w:rsidR="00A71EEF" w:rsidRDefault="0081115D">
            <w:pPr>
              <w:pStyle w:val="TableParagraph"/>
              <w:spacing w:before="46"/>
              <w:ind w:right="383"/>
              <w:jc w:val="right"/>
              <w:rPr>
                <w:sz w:val="24"/>
              </w:rPr>
            </w:pPr>
            <w:r>
              <w:rPr>
                <w:sz w:val="21"/>
              </w:rPr>
              <w:t>―</w:t>
            </w:r>
            <w:r>
              <w:rPr>
                <w:sz w:val="24"/>
              </w:rPr>
              <w:t xml:space="preserve"> </w:t>
            </w:r>
          </w:p>
        </w:tc>
        <w:tc>
          <w:tcPr>
            <w:tcW w:w="1250" w:type="dxa"/>
          </w:tcPr>
          <w:p w14:paraId="37CAD76A" w14:textId="77777777" w:rsidR="00A71EEF" w:rsidRDefault="0081115D">
            <w:pPr>
              <w:pStyle w:val="TableParagraph"/>
              <w:spacing w:before="46"/>
              <w:ind w:right="440"/>
              <w:jc w:val="right"/>
              <w:rPr>
                <w:sz w:val="24"/>
              </w:rPr>
            </w:pPr>
            <w:r>
              <w:rPr>
                <w:sz w:val="21"/>
              </w:rPr>
              <w:t>1</w:t>
            </w:r>
            <w:r>
              <w:rPr>
                <w:sz w:val="24"/>
              </w:rPr>
              <w:t xml:space="preserve"> </w:t>
            </w:r>
          </w:p>
        </w:tc>
        <w:tc>
          <w:tcPr>
            <w:tcW w:w="2530" w:type="dxa"/>
          </w:tcPr>
          <w:p w14:paraId="7BB6C25D" w14:textId="77777777" w:rsidR="00A71EEF" w:rsidRDefault="0081115D">
            <w:pPr>
              <w:pStyle w:val="TableParagraph"/>
              <w:spacing w:before="46"/>
              <w:ind w:left="351" w:right="224"/>
              <w:jc w:val="center"/>
              <w:rPr>
                <w:sz w:val="24"/>
              </w:rPr>
            </w:pPr>
            <w:r>
              <w:rPr>
                <w:sz w:val="21"/>
              </w:rPr>
              <w:t>MF/ABC1</w:t>
            </w:r>
            <w:r>
              <w:rPr>
                <w:sz w:val="24"/>
              </w:rPr>
              <w:t xml:space="preserve"> </w:t>
            </w:r>
          </w:p>
        </w:tc>
        <w:tc>
          <w:tcPr>
            <w:tcW w:w="1335" w:type="dxa"/>
          </w:tcPr>
          <w:p w14:paraId="2D4B6737" w14:textId="77777777" w:rsidR="00A71EEF" w:rsidRDefault="0081115D">
            <w:pPr>
              <w:pStyle w:val="TableParagraph"/>
              <w:spacing w:before="46"/>
              <w:ind w:left="286" w:right="159"/>
              <w:jc w:val="center"/>
              <w:rPr>
                <w:sz w:val="24"/>
              </w:rPr>
            </w:pPr>
            <w:r>
              <w:rPr>
                <w:sz w:val="21"/>
              </w:rPr>
              <w:t>1A</w:t>
            </w:r>
            <w:r>
              <w:rPr>
                <w:sz w:val="24"/>
              </w:rPr>
              <w:t xml:space="preserve"> </w:t>
            </w:r>
          </w:p>
        </w:tc>
        <w:tc>
          <w:tcPr>
            <w:tcW w:w="617" w:type="dxa"/>
          </w:tcPr>
          <w:p w14:paraId="40C38584" w14:textId="77777777" w:rsidR="00A71EEF" w:rsidRDefault="0081115D">
            <w:pPr>
              <w:pStyle w:val="TableParagraph"/>
              <w:spacing w:before="46"/>
              <w:ind w:left="133" w:right="2"/>
              <w:jc w:val="center"/>
              <w:rPr>
                <w:sz w:val="24"/>
              </w:rPr>
            </w:pPr>
            <w:r>
              <w:rPr>
                <w:sz w:val="21"/>
              </w:rPr>
              <w:t>21B</w:t>
            </w:r>
            <w:r>
              <w:rPr>
                <w:sz w:val="24"/>
              </w:rPr>
              <w:t xml:space="preserve"> </w:t>
            </w:r>
          </w:p>
        </w:tc>
      </w:tr>
      <w:tr w:rsidR="00A71EEF" w14:paraId="78BFDB7E" w14:textId="77777777">
        <w:trPr>
          <w:trHeight w:val="359"/>
        </w:trPr>
        <w:tc>
          <w:tcPr>
            <w:tcW w:w="1970" w:type="dxa"/>
            <w:vMerge/>
            <w:tcBorders>
              <w:top w:val="nil"/>
            </w:tcBorders>
          </w:tcPr>
          <w:p w14:paraId="3D8031D2" w14:textId="77777777" w:rsidR="00A71EEF" w:rsidRDefault="00A71EEF">
            <w:pPr>
              <w:rPr>
                <w:sz w:val="2"/>
                <w:szCs w:val="2"/>
              </w:rPr>
            </w:pPr>
          </w:p>
        </w:tc>
        <w:tc>
          <w:tcPr>
            <w:tcW w:w="1241" w:type="dxa"/>
          </w:tcPr>
          <w:p w14:paraId="7A042100" w14:textId="77777777" w:rsidR="00A71EEF" w:rsidRDefault="0081115D">
            <w:pPr>
              <w:pStyle w:val="TableParagraph"/>
              <w:spacing w:before="44"/>
              <w:ind w:right="383"/>
              <w:jc w:val="right"/>
              <w:rPr>
                <w:sz w:val="24"/>
              </w:rPr>
            </w:pPr>
            <w:r>
              <w:rPr>
                <w:sz w:val="21"/>
              </w:rPr>
              <w:t>―</w:t>
            </w:r>
            <w:r>
              <w:rPr>
                <w:sz w:val="24"/>
              </w:rPr>
              <w:t xml:space="preserve"> </w:t>
            </w:r>
          </w:p>
        </w:tc>
        <w:tc>
          <w:tcPr>
            <w:tcW w:w="1250" w:type="dxa"/>
          </w:tcPr>
          <w:p w14:paraId="0B72E36E" w14:textId="77777777" w:rsidR="00A71EEF" w:rsidRDefault="0081115D">
            <w:pPr>
              <w:pStyle w:val="TableParagraph"/>
              <w:spacing w:before="44"/>
              <w:ind w:right="440"/>
              <w:jc w:val="right"/>
              <w:rPr>
                <w:sz w:val="24"/>
              </w:rPr>
            </w:pPr>
            <w:r>
              <w:rPr>
                <w:sz w:val="21"/>
              </w:rPr>
              <w:t>2</w:t>
            </w:r>
            <w:r>
              <w:rPr>
                <w:sz w:val="24"/>
              </w:rPr>
              <w:t xml:space="preserve"> </w:t>
            </w:r>
          </w:p>
        </w:tc>
        <w:tc>
          <w:tcPr>
            <w:tcW w:w="2530" w:type="dxa"/>
          </w:tcPr>
          <w:p w14:paraId="518BB220" w14:textId="77777777" w:rsidR="00A71EEF" w:rsidRDefault="0081115D">
            <w:pPr>
              <w:pStyle w:val="TableParagraph"/>
              <w:spacing w:before="44"/>
              <w:ind w:left="351" w:right="224"/>
              <w:jc w:val="center"/>
              <w:rPr>
                <w:sz w:val="24"/>
              </w:rPr>
            </w:pPr>
            <w:r>
              <w:rPr>
                <w:sz w:val="21"/>
              </w:rPr>
              <w:t>MF/ABC2</w:t>
            </w:r>
            <w:r>
              <w:rPr>
                <w:sz w:val="24"/>
              </w:rPr>
              <w:t xml:space="preserve"> </w:t>
            </w:r>
          </w:p>
        </w:tc>
        <w:tc>
          <w:tcPr>
            <w:tcW w:w="1335" w:type="dxa"/>
          </w:tcPr>
          <w:p w14:paraId="773D542E" w14:textId="77777777" w:rsidR="00A71EEF" w:rsidRDefault="0081115D">
            <w:pPr>
              <w:pStyle w:val="TableParagraph"/>
              <w:spacing w:before="44"/>
              <w:ind w:left="286" w:right="159"/>
              <w:jc w:val="center"/>
              <w:rPr>
                <w:sz w:val="24"/>
              </w:rPr>
            </w:pPr>
            <w:r>
              <w:rPr>
                <w:sz w:val="21"/>
              </w:rPr>
              <w:t>1A</w:t>
            </w:r>
            <w:r>
              <w:rPr>
                <w:sz w:val="24"/>
              </w:rPr>
              <w:t xml:space="preserve"> </w:t>
            </w:r>
          </w:p>
        </w:tc>
        <w:tc>
          <w:tcPr>
            <w:tcW w:w="617" w:type="dxa"/>
          </w:tcPr>
          <w:p w14:paraId="06D371C2" w14:textId="77777777" w:rsidR="00A71EEF" w:rsidRDefault="0081115D">
            <w:pPr>
              <w:pStyle w:val="TableParagraph"/>
              <w:spacing w:before="44"/>
              <w:ind w:left="133" w:right="2"/>
              <w:jc w:val="center"/>
              <w:rPr>
                <w:sz w:val="24"/>
              </w:rPr>
            </w:pPr>
            <w:r>
              <w:rPr>
                <w:sz w:val="21"/>
              </w:rPr>
              <w:t>21B</w:t>
            </w:r>
            <w:r>
              <w:rPr>
                <w:sz w:val="24"/>
              </w:rPr>
              <w:t xml:space="preserve"> </w:t>
            </w:r>
          </w:p>
        </w:tc>
      </w:tr>
      <w:tr w:rsidR="00A71EEF" w14:paraId="7561A005" w14:textId="77777777">
        <w:trPr>
          <w:trHeight w:val="359"/>
        </w:trPr>
        <w:tc>
          <w:tcPr>
            <w:tcW w:w="1970" w:type="dxa"/>
            <w:vMerge/>
            <w:tcBorders>
              <w:top w:val="nil"/>
            </w:tcBorders>
          </w:tcPr>
          <w:p w14:paraId="73545D91" w14:textId="77777777" w:rsidR="00A71EEF" w:rsidRDefault="00A71EEF">
            <w:pPr>
              <w:rPr>
                <w:sz w:val="2"/>
                <w:szCs w:val="2"/>
              </w:rPr>
            </w:pPr>
          </w:p>
        </w:tc>
        <w:tc>
          <w:tcPr>
            <w:tcW w:w="1241" w:type="dxa"/>
          </w:tcPr>
          <w:p w14:paraId="069679FE" w14:textId="77777777" w:rsidR="00A71EEF" w:rsidRDefault="0081115D">
            <w:pPr>
              <w:pStyle w:val="TableParagraph"/>
              <w:spacing w:before="44"/>
              <w:ind w:right="383"/>
              <w:jc w:val="right"/>
              <w:rPr>
                <w:sz w:val="24"/>
              </w:rPr>
            </w:pPr>
            <w:r>
              <w:rPr>
                <w:sz w:val="21"/>
              </w:rPr>
              <w:t>―</w:t>
            </w:r>
            <w:r>
              <w:rPr>
                <w:sz w:val="24"/>
              </w:rPr>
              <w:t xml:space="preserve"> </w:t>
            </w:r>
          </w:p>
        </w:tc>
        <w:tc>
          <w:tcPr>
            <w:tcW w:w="1250" w:type="dxa"/>
          </w:tcPr>
          <w:p w14:paraId="55D2B18E" w14:textId="77777777" w:rsidR="00A71EEF" w:rsidRDefault="0081115D">
            <w:pPr>
              <w:pStyle w:val="TableParagraph"/>
              <w:spacing w:before="44"/>
              <w:ind w:right="440"/>
              <w:jc w:val="right"/>
              <w:rPr>
                <w:sz w:val="24"/>
              </w:rPr>
            </w:pPr>
            <w:r>
              <w:rPr>
                <w:sz w:val="21"/>
              </w:rPr>
              <w:t>3</w:t>
            </w:r>
            <w:r>
              <w:rPr>
                <w:sz w:val="24"/>
              </w:rPr>
              <w:t xml:space="preserve"> </w:t>
            </w:r>
          </w:p>
        </w:tc>
        <w:tc>
          <w:tcPr>
            <w:tcW w:w="2530" w:type="dxa"/>
          </w:tcPr>
          <w:p w14:paraId="0EF27BD7" w14:textId="77777777" w:rsidR="00A71EEF" w:rsidRDefault="0081115D">
            <w:pPr>
              <w:pStyle w:val="TableParagraph"/>
              <w:spacing w:before="44"/>
              <w:ind w:left="351" w:right="224"/>
              <w:jc w:val="center"/>
              <w:rPr>
                <w:sz w:val="24"/>
              </w:rPr>
            </w:pPr>
            <w:r>
              <w:rPr>
                <w:sz w:val="21"/>
              </w:rPr>
              <w:t>MF/ABC3</w:t>
            </w:r>
            <w:r>
              <w:rPr>
                <w:sz w:val="24"/>
              </w:rPr>
              <w:t xml:space="preserve"> </w:t>
            </w:r>
          </w:p>
        </w:tc>
        <w:tc>
          <w:tcPr>
            <w:tcW w:w="1335" w:type="dxa"/>
          </w:tcPr>
          <w:p w14:paraId="0785A620" w14:textId="77777777" w:rsidR="00A71EEF" w:rsidRDefault="0081115D">
            <w:pPr>
              <w:pStyle w:val="TableParagraph"/>
              <w:spacing w:before="44"/>
              <w:ind w:left="286" w:right="159"/>
              <w:jc w:val="center"/>
              <w:rPr>
                <w:sz w:val="24"/>
              </w:rPr>
            </w:pPr>
            <w:r>
              <w:rPr>
                <w:sz w:val="21"/>
              </w:rPr>
              <w:t>2A</w:t>
            </w:r>
            <w:r>
              <w:rPr>
                <w:sz w:val="24"/>
              </w:rPr>
              <w:t xml:space="preserve"> </w:t>
            </w:r>
          </w:p>
        </w:tc>
        <w:tc>
          <w:tcPr>
            <w:tcW w:w="617" w:type="dxa"/>
          </w:tcPr>
          <w:p w14:paraId="2D42C3E3" w14:textId="77777777" w:rsidR="00A71EEF" w:rsidRDefault="0081115D">
            <w:pPr>
              <w:pStyle w:val="TableParagraph"/>
              <w:spacing w:before="44"/>
              <w:ind w:left="133" w:right="2"/>
              <w:jc w:val="center"/>
              <w:rPr>
                <w:sz w:val="24"/>
              </w:rPr>
            </w:pPr>
            <w:r>
              <w:rPr>
                <w:sz w:val="21"/>
              </w:rPr>
              <w:t>34B</w:t>
            </w:r>
            <w:r>
              <w:rPr>
                <w:sz w:val="24"/>
              </w:rPr>
              <w:t xml:space="preserve"> </w:t>
            </w:r>
          </w:p>
        </w:tc>
      </w:tr>
      <w:tr w:rsidR="00A71EEF" w14:paraId="124FCE75" w14:textId="77777777">
        <w:trPr>
          <w:trHeight w:val="359"/>
        </w:trPr>
        <w:tc>
          <w:tcPr>
            <w:tcW w:w="1970" w:type="dxa"/>
            <w:vMerge/>
            <w:tcBorders>
              <w:top w:val="nil"/>
            </w:tcBorders>
          </w:tcPr>
          <w:p w14:paraId="3D44E7BD" w14:textId="77777777" w:rsidR="00A71EEF" w:rsidRDefault="00A71EEF">
            <w:pPr>
              <w:rPr>
                <w:sz w:val="2"/>
                <w:szCs w:val="2"/>
              </w:rPr>
            </w:pPr>
          </w:p>
        </w:tc>
        <w:tc>
          <w:tcPr>
            <w:tcW w:w="1241" w:type="dxa"/>
          </w:tcPr>
          <w:p w14:paraId="177B0452" w14:textId="77777777" w:rsidR="00A71EEF" w:rsidRDefault="0081115D">
            <w:pPr>
              <w:pStyle w:val="TableParagraph"/>
              <w:spacing w:before="44"/>
              <w:ind w:right="383"/>
              <w:jc w:val="right"/>
              <w:rPr>
                <w:sz w:val="24"/>
              </w:rPr>
            </w:pPr>
            <w:r>
              <w:rPr>
                <w:sz w:val="21"/>
              </w:rPr>
              <w:t>―</w:t>
            </w:r>
            <w:r>
              <w:rPr>
                <w:sz w:val="24"/>
              </w:rPr>
              <w:t xml:space="preserve"> </w:t>
            </w:r>
          </w:p>
        </w:tc>
        <w:tc>
          <w:tcPr>
            <w:tcW w:w="1250" w:type="dxa"/>
          </w:tcPr>
          <w:p w14:paraId="65617C47" w14:textId="77777777" w:rsidR="00A71EEF" w:rsidRDefault="0081115D">
            <w:pPr>
              <w:pStyle w:val="TableParagraph"/>
              <w:spacing w:before="44"/>
              <w:ind w:right="440"/>
              <w:jc w:val="right"/>
              <w:rPr>
                <w:sz w:val="24"/>
              </w:rPr>
            </w:pPr>
            <w:r>
              <w:rPr>
                <w:sz w:val="21"/>
              </w:rPr>
              <w:t>4</w:t>
            </w:r>
            <w:r>
              <w:rPr>
                <w:sz w:val="24"/>
              </w:rPr>
              <w:t xml:space="preserve"> </w:t>
            </w:r>
          </w:p>
        </w:tc>
        <w:tc>
          <w:tcPr>
            <w:tcW w:w="2530" w:type="dxa"/>
          </w:tcPr>
          <w:p w14:paraId="67E99C5D" w14:textId="77777777" w:rsidR="00A71EEF" w:rsidRDefault="0081115D">
            <w:pPr>
              <w:pStyle w:val="TableParagraph"/>
              <w:spacing w:before="44"/>
              <w:ind w:left="351" w:right="224"/>
              <w:jc w:val="center"/>
              <w:rPr>
                <w:sz w:val="24"/>
              </w:rPr>
            </w:pPr>
            <w:r>
              <w:rPr>
                <w:sz w:val="21"/>
              </w:rPr>
              <w:t>MF/ABC4</w:t>
            </w:r>
            <w:r>
              <w:rPr>
                <w:sz w:val="24"/>
              </w:rPr>
              <w:t xml:space="preserve"> </w:t>
            </w:r>
          </w:p>
        </w:tc>
        <w:tc>
          <w:tcPr>
            <w:tcW w:w="1335" w:type="dxa"/>
          </w:tcPr>
          <w:p w14:paraId="08207D32" w14:textId="77777777" w:rsidR="00A71EEF" w:rsidRDefault="0081115D">
            <w:pPr>
              <w:pStyle w:val="TableParagraph"/>
              <w:spacing w:before="44"/>
              <w:ind w:left="286" w:right="159"/>
              <w:jc w:val="center"/>
              <w:rPr>
                <w:sz w:val="24"/>
              </w:rPr>
            </w:pPr>
            <w:r>
              <w:rPr>
                <w:sz w:val="21"/>
              </w:rPr>
              <w:t>2A</w:t>
            </w:r>
            <w:r>
              <w:rPr>
                <w:sz w:val="24"/>
              </w:rPr>
              <w:t xml:space="preserve"> </w:t>
            </w:r>
          </w:p>
        </w:tc>
        <w:tc>
          <w:tcPr>
            <w:tcW w:w="617" w:type="dxa"/>
          </w:tcPr>
          <w:p w14:paraId="616F9FBC" w14:textId="77777777" w:rsidR="00A71EEF" w:rsidRDefault="0081115D">
            <w:pPr>
              <w:pStyle w:val="TableParagraph"/>
              <w:spacing w:before="44"/>
              <w:ind w:left="133" w:right="2"/>
              <w:jc w:val="center"/>
              <w:rPr>
                <w:sz w:val="24"/>
              </w:rPr>
            </w:pPr>
            <w:r>
              <w:rPr>
                <w:sz w:val="21"/>
              </w:rPr>
              <w:t>55B</w:t>
            </w:r>
            <w:r>
              <w:rPr>
                <w:sz w:val="24"/>
              </w:rPr>
              <w:t xml:space="preserve"> </w:t>
            </w:r>
          </w:p>
        </w:tc>
      </w:tr>
      <w:tr w:rsidR="00A71EEF" w14:paraId="7AB2D705" w14:textId="77777777">
        <w:trPr>
          <w:trHeight w:val="360"/>
        </w:trPr>
        <w:tc>
          <w:tcPr>
            <w:tcW w:w="1970" w:type="dxa"/>
            <w:vMerge/>
            <w:tcBorders>
              <w:top w:val="nil"/>
            </w:tcBorders>
          </w:tcPr>
          <w:p w14:paraId="1AB02C35" w14:textId="77777777" w:rsidR="00A71EEF" w:rsidRDefault="00A71EEF">
            <w:pPr>
              <w:rPr>
                <w:sz w:val="2"/>
                <w:szCs w:val="2"/>
              </w:rPr>
            </w:pPr>
          </w:p>
        </w:tc>
        <w:tc>
          <w:tcPr>
            <w:tcW w:w="1241" w:type="dxa"/>
          </w:tcPr>
          <w:p w14:paraId="739CAE97" w14:textId="77777777" w:rsidR="00A71EEF" w:rsidRDefault="0081115D">
            <w:pPr>
              <w:pStyle w:val="TableParagraph"/>
              <w:spacing w:before="45"/>
              <w:ind w:right="383"/>
              <w:jc w:val="right"/>
              <w:rPr>
                <w:sz w:val="24"/>
              </w:rPr>
            </w:pPr>
            <w:r>
              <w:rPr>
                <w:sz w:val="21"/>
              </w:rPr>
              <w:t>―</w:t>
            </w:r>
            <w:r>
              <w:rPr>
                <w:sz w:val="24"/>
              </w:rPr>
              <w:t xml:space="preserve"> </w:t>
            </w:r>
          </w:p>
        </w:tc>
        <w:tc>
          <w:tcPr>
            <w:tcW w:w="1250" w:type="dxa"/>
          </w:tcPr>
          <w:p w14:paraId="5CE2BFAE" w14:textId="77777777" w:rsidR="00A71EEF" w:rsidRDefault="0081115D">
            <w:pPr>
              <w:pStyle w:val="TableParagraph"/>
              <w:spacing w:before="45"/>
              <w:ind w:right="440"/>
              <w:jc w:val="right"/>
              <w:rPr>
                <w:sz w:val="24"/>
              </w:rPr>
            </w:pPr>
            <w:r>
              <w:rPr>
                <w:sz w:val="21"/>
              </w:rPr>
              <w:t>5</w:t>
            </w:r>
            <w:r>
              <w:rPr>
                <w:sz w:val="24"/>
              </w:rPr>
              <w:t xml:space="preserve"> </w:t>
            </w:r>
          </w:p>
        </w:tc>
        <w:tc>
          <w:tcPr>
            <w:tcW w:w="2530" w:type="dxa"/>
          </w:tcPr>
          <w:p w14:paraId="01E0548D" w14:textId="77777777" w:rsidR="00A71EEF" w:rsidRDefault="0081115D">
            <w:pPr>
              <w:pStyle w:val="TableParagraph"/>
              <w:spacing w:before="45"/>
              <w:ind w:left="351" w:right="224"/>
              <w:jc w:val="center"/>
              <w:rPr>
                <w:sz w:val="24"/>
              </w:rPr>
            </w:pPr>
            <w:r>
              <w:rPr>
                <w:sz w:val="21"/>
              </w:rPr>
              <w:t>MF/ABC5</w:t>
            </w:r>
            <w:r>
              <w:rPr>
                <w:sz w:val="24"/>
              </w:rPr>
              <w:t xml:space="preserve"> </w:t>
            </w:r>
          </w:p>
        </w:tc>
        <w:tc>
          <w:tcPr>
            <w:tcW w:w="1335" w:type="dxa"/>
          </w:tcPr>
          <w:p w14:paraId="16184CA3" w14:textId="77777777" w:rsidR="00A71EEF" w:rsidRDefault="0081115D">
            <w:pPr>
              <w:pStyle w:val="TableParagraph"/>
              <w:spacing w:before="45"/>
              <w:ind w:left="286" w:right="159"/>
              <w:jc w:val="center"/>
              <w:rPr>
                <w:sz w:val="24"/>
              </w:rPr>
            </w:pPr>
            <w:r>
              <w:rPr>
                <w:sz w:val="21"/>
              </w:rPr>
              <w:t>3A</w:t>
            </w:r>
            <w:r>
              <w:rPr>
                <w:sz w:val="24"/>
              </w:rPr>
              <w:t xml:space="preserve"> </w:t>
            </w:r>
          </w:p>
        </w:tc>
        <w:tc>
          <w:tcPr>
            <w:tcW w:w="617" w:type="dxa"/>
          </w:tcPr>
          <w:p w14:paraId="3D40D186" w14:textId="77777777" w:rsidR="00A71EEF" w:rsidRDefault="0081115D">
            <w:pPr>
              <w:pStyle w:val="TableParagraph"/>
              <w:spacing w:before="45"/>
              <w:ind w:left="133" w:right="2"/>
              <w:jc w:val="center"/>
              <w:rPr>
                <w:sz w:val="24"/>
              </w:rPr>
            </w:pPr>
            <w:r>
              <w:rPr>
                <w:sz w:val="21"/>
              </w:rPr>
              <w:t>89B</w:t>
            </w:r>
            <w:r>
              <w:rPr>
                <w:sz w:val="24"/>
              </w:rPr>
              <w:t xml:space="preserve"> </w:t>
            </w:r>
          </w:p>
        </w:tc>
      </w:tr>
      <w:tr w:rsidR="00A71EEF" w14:paraId="24FA38BF" w14:textId="77777777">
        <w:trPr>
          <w:trHeight w:val="359"/>
        </w:trPr>
        <w:tc>
          <w:tcPr>
            <w:tcW w:w="1970" w:type="dxa"/>
            <w:vMerge/>
            <w:tcBorders>
              <w:top w:val="nil"/>
            </w:tcBorders>
          </w:tcPr>
          <w:p w14:paraId="39EFD6C0" w14:textId="77777777" w:rsidR="00A71EEF" w:rsidRDefault="00A71EEF">
            <w:pPr>
              <w:rPr>
                <w:sz w:val="2"/>
                <w:szCs w:val="2"/>
              </w:rPr>
            </w:pPr>
          </w:p>
        </w:tc>
        <w:tc>
          <w:tcPr>
            <w:tcW w:w="1241" w:type="dxa"/>
          </w:tcPr>
          <w:p w14:paraId="410E4803" w14:textId="77777777" w:rsidR="00A71EEF" w:rsidRDefault="0081115D">
            <w:pPr>
              <w:pStyle w:val="TableParagraph"/>
              <w:spacing w:before="46"/>
              <w:ind w:right="383"/>
              <w:jc w:val="right"/>
              <w:rPr>
                <w:sz w:val="24"/>
              </w:rPr>
            </w:pPr>
            <w:r>
              <w:rPr>
                <w:sz w:val="21"/>
              </w:rPr>
              <w:t>―</w:t>
            </w:r>
            <w:r>
              <w:rPr>
                <w:sz w:val="24"/>
              </w:rPr>
              <w:t xml:space="preserve"> </w:t>
            </w:r>
          </w:p>
        </w:tc>
        <w:tc>
          <w:tcPr>
            <w:tcW w:w="1250" w:type="dxa"/>
          </w:tcPr>
          <w:p w14:paraId="5BED60C6" w14:textId="77777777" w:rsidR="00A71EEF" w:rsidRDefault="0081115D">
            <w:pPr>
              <w:pStyle w:val="TableParagraph"/>
              <w:spacing w:before="46"/>
              <w:ind w:right="440"/>
              <w:jc w:val="right"/>
              <w:rPr>
                <w:sz w:val="24"/>
              </w:rPr>
            </w:pPr>
            <w:r>
              <w:rPr>
                <w:sz w:val="21"/>
              </w:rPr>
              <w:t>6</w:t>
            </w:r>
            <w:r>
              <w:rPr>
                <w:sz w:val="24"/>
              </w:rPr>
              <w:t xml:space="preserve"> </w:t>
            </w:r>
          </w:p>
        </w:tc>
        <w:tc>
          <w:tcPr>
            <w:tcW w:w="2530" w:type="dxa"/>
          </w:tcPr>
          <w:p w14:paraId="3CA662EC" w14:textId="77777777" w:rsidR="00A71EEF" w:rsidRDefault="0081115D">
            <w:pPr>
              <w:pStyle w:val="TableParagraph"/>
              <w:spacing w:before="46"/>
              <w:ind w:left="351" w:right="224"/>
              <w:jc w:val="center"/>
              <w:rPr>
                <w:sz w:val="24"/>
              </w:rPr>
            </w:pPr>
            <w:r>
              <w:rPr>
                <w:sz w:val="21"/>
              </w:rPr>
              <w:t>MF/ABC6</w:t>
            </w:r>
            <w:r>
              <w:rPr>
                <w:sz w:val="24"/>
              </w:rPr>
              <w:t xml:space="preserve"> </w:t>
            </w:r>
          </w:p>
        </w:tc>
        <w:tc>
          <w:tcPr>
            <w:tcW w:w="1335" w:type="dxa"/>
          </w:tcPr>
          <w:p w14:paraId="562DCD27" w14:textId="77777777" w:rsidR="00A71EEF" w:rsidRDefault="0081115D">
            <w:pPr>
              <w:pStyle w:val="TableParagraph"/>
              <w:spacing w:before="46"/>
              <w:ind w:left="286" w:right="159"/>
              <w:jc w:val="center"/>
              <w:rPr>
                <w:sz w:val="24"/>
              </w:rPr>
            </w:pPr>
            <w:r>
              <w:rPr>
                <w:sz w:val="21"/>
              </w:rPr>
              <w:t>3A</w:t>
            </w:r>
            <w:r>
              <w:rPr>
                <w:sz w:val="24"/>
              </w:rPr>
              <w:t xml:space="preserve"> </w:t>
            </w:r>
          </w:p>
        </w:tc>
        <w:tc>
          <w:tcPr>
            <w:tcW w:w="617" w:type="dxa"/>
          </w:tcPr>
          <w:p w14:paraId="36242DB5" w14:textId="77777777" w:rsidR="00A71EEF" w:rsidRDefault="0081115D">
            <w:pPr>
              <w:pStyle w:val="TableParagraph"/>
              <w:spacing w:before="46"/>
              <w:ind w:left="133" w:right="2"/>
              <w:jc w:val="center"/>
              <w:rPr>
                <w:sz w:val="24"/>
              </w:rPr>
            </w:pPr>
            <w:r>
              <w:rPr>
                <w:sz w:val="21"/>
              </w:rPr>
              <w:t>89B</w:t>
            </w:r>
            <w:r>
              <w:rPr>
                <w:sz w:val="24"/>
              </w:rPr>
              <w:t xml:space="preserve"> </w:t>
            </w:r>
          </w:p>
        </w:tc>
      </w:tr>
      <w:tr w:rsidR="00A71EEF" w14:paraId="1DD8B147" w14:textId="77777777">
        <w:trPr>
          <w:trHeight w:val="361"/>
        </w:trPr>
        <w:tc>
          <w:tcPr>
            <w:tcW w:w="1970" w:type="dxa"/>
            <w:vMerge/>
            <w:tcBorders>
              <w:top w:val="nil"/>
            </w:tcBorders>
          </w:tcPr>
          <w:p w14:paraId="2E5FAF82" w14:textId="77777777" w:rsidR="00A71EEF" w:rsidRDefault="00A71EEF">
            <w:pPr>
              <w:rPr>
                <w:sz w:val="2"/>
                <w:szCs w:val="2"/>
              </w:rPr>
            </w:pPr>
          </w:p>
        </w:tc>
        <w:tc>
          <w:tcPr>
            <w:tcW w:w="1241" w:type="dxa"/>
          </w:tcPr>
          <w:p w14:paraId="27DCE9F1" w14:textId="77777777" w:rsidR="00A71EEF" w:rsidRDefault="0081115D">
            <w:pPr>
              <w:pStyle w:val="TableParagraph"/>
              <w:spacing w:before="46"/>
              <w:ind w:right="383"/>
              <w:jc w:val="right"/>
              <w:rPr>
                <w:sz w:val="24"/>
              </w:rPr>
            </w:pPr>
            <w:r>
              <w:rPr>
                <w:sz w:val="21"/>
              </w:rPr>
              <w:t>―</w:t>
            </w:r>
            <w:r>
              <w:rPr>
                <w:sz w:val="24"/>
              </w:rPr>
              <w:t xml:space="preserve"> </w:t>
            </w:r>
          </w:p>
        </w:tc>
        <w:tc>
          <w:tcPr>
            <w:tcW w:w="1250" w:type="dxa"/>
          </w:tcPr>
          <w:p w14:paraId="6107829D" w14:textId="77777777" w:rsidR="00A71EEF" w:rsidRDefault="0081115D">
            <w:pPr>
              <w:pStyle w:val="TableParagraph"/>
              <w:spacing w:before="46"/>
              <w:ind w:right="440"/>
              <w:jc w:val="right"/>
              <w:rPr>
                <w:sz w:val="24"/>
              </w:rPr>
            </w:pPr>
            <w:r>
              <w:rPr>
                <w:sz w:val="21"/>
              </w:rPr>
              <w:t>8</w:t>
            </w:r>
            <w:r>
              <w:rPr>
                <w:sz w:val="24"/>
              </w:rPr>
              <w:t xml:space="preserve"> </w:t>
            </w:r>
          </w:p>
        </w:tc>
        <w:tc>
          <w:tcPr>
            <w:tcW w:w="2530" w:type="dxa"/>
          </w:tcPr>
          <w:p w14:paraId="782AA67C" w14:textId="77777777" w:rsidR="00A71EEF" w:rsidRDefault="0081115D">
            <w:pPr>
              <w:pStyle w:val="TableParagraph"/>
              <w:spacing w:before="46"/>
              <w:ind w:left="351" w:right="224"/>
              <w:jc w:val="center"/>
              <w:rPr>
                <w:sz w:val="24"/>
              </w:rPr>
            </w:pPr>
            <w:r>
              <w:rPr>
                <w:sz w:val="21"/>
              </w:rPr>
              <w:t>MF/ABC8</w:t>
            </w:r>
            <w:r>
              <w:rPr>
                <w:sz w:val="24"/>
              </w:rPr>
              <w:t xml:space="preserve"> </w:t>
            </w:r>
          </w:p>
        </w:tc>
        <w:tc>
          <w:tcPr>
            <w:tcW w:w="1335" w:type="dxa"/>
          </w:tcPr>
          <w:p w14:paraId="1741E101" w14:textId="77777777" w:rsidR="00A71EEF" w:rsidRDefault="0081115D">
            <w:pPr>
              <w:pStyle w:val="TableParagraph"/>
              <w:spacing w:before="46"/>
              <w:ind w:left="286" w:right="159"/>
              <w:jc w:val="center"/>
              <w:rPr>
                <w:sz w:val="24"/>
              </w:rPr>
            </w:pPr>
            <w:r>
              <w:rPr>
                <w:sz w:val="21"/>
              </w:rPr>
              <w:t>4A</w:t>
            </w:r>
            <w:r>
              <w:rPr>
                <w:sz w:val="24"/>
              </w:rPr>
              <w:t xml:space="preserve"> </w:t>
            </w:r>
          </w:p>
        </w:tc>
        <w:tc>
          <w:tcPr>
            <w:tcW w:w="617" w:type="dxa"/>
          </w:tcPr>
          <w:p w14:paraId="5561A3E0" w14:textId="77777777" w:rsidR="00A71EEF" w:rsidRDefault="0081115D">
            <w:pPr>
              <w:pStyle w:val="TableParagraph"/>
              <w:spacing w:before="46"/>
              <w:ind w:left="145" w:right="2"/>
              <w:jc w:val="center"/>
              <w:rPr>
                <w:sz w:val="24"/>
              </w:rPr>
            </w:pPr>
            <w:r>
              <w:rPr>
                <w:sz w:val="21"/>
              </w:rPr>
              <w:t>144B</w:t>
            </w:r>
            <w:r>
              <w:rPr>
                <w:sz w:val="24"/>
              </w:rPr>
              <w:t xml:space="preserve"> </w:t>
            </w:r>
          </w:p>
        </w:tc>
      </w:tr>
      <w:tr w:rsidR="00A71EEF" w14:paraId="00933A77" w14:textId="77777777">
        <w:trPr>
          <w:trHeight w:val="359"/>
        </w:trPr>
        <w:tc>
          <w:tcPr>
            <w:tcW w:w="1970" w:type="dxa"/>
            <w:vMerge/>
            <w:tcBorders>
              <w:top w:val="nil"/>
            </w:tcBorders>
          </w:tcPr>
          <w:p w14:paraId="1D15AFA9" w14:textId="77777777" w:rsidR="00A71EEF" w:rsidRDefault="00A71EEF">
            <w:pPr>
              <w:rPr>
                <w:sz w:val="2"/>
                <w:szCs w:val="2"/>
              </w:rPr>
            </w:pPr>
          </w:p>
        </w:tc>
        <w:tc>
          <w:tcPr>
            <w:tcW w:w="1241" w:type="dxa"/>
          </w:tcPr>
          <w:p w14:paraId="6400A914" w14:textId="77777777" w:rsidR="00A71EEF" w:rsidRDefault="0081115D">
            <w:pPr>
              <w:pStyle w:val="TableParagraph"/>
              <w:spacing w:before="44"/>
              <w:ind w:right="383"/>
              <w:jc w:val="right"/>
              <w:rPr>
                <w:sz w:val="24"/>
              </w:rPr>
            </w:pPr>
            <w:r>
              <w:rPr>
                <w:sz w:val="21"/>
              </w:rPr>
              <w:t>―</w:t>
            </w:r>
            <w:r>
              <w:rPr>
                <w:sz w:val="24"/>
              </w:rPr>
              <w:t xml:space="preserve"> </w:t>
            </w:r>
          </w:p>
        </w:tc>
        <w:tc>
          <w:tcPr>
            <w:tcW w:w="1250" w:type="dxa"/>
          </w:tcPr>
          <w:p w14:paraId="0863576F" w14:textId="77777777" w:rsidR="00A71EEF" w:rsidRDefault="0081115D">
            <w:pPr>
              <w:pStyle w:val="TableParagraph"/>
              <w:spacing w:before="44"/>
              <w:ind w:right="387"/>
              <w:jc w:val="right"/>
              <w:rPr>
                <w:sz w:val="24"/>
              </w:rPr>
            </w:pPr>
            <w:r>
              <w:rPr>
                <w:sz w:val="21"/>
              </w:rPr>
              <w:t>10</w:t>
            </w:r>
            <w:r>
              <w:rPr>
                <w:sz w:val="24"/>
              </w:rPr>
              <w:t xml:space="preserve"> </w:t>
            </w:r>
          </w:p>
        </w:tc>
        <w:tc>
          <w:tcPr>
            <w:tcW w:w="2530" w:type="dxa"/>
          </w:tcPr>
          <w:p w14:paraId="661DF7C4" w14:textId="77777777" w:rsidR="00A71EEF" w:rsidRDefault="0081115D">
            <w:pPr>
              <w:pStyle w:val="TableParagraph"/>
              <w:spacing w:before="44"/>
              <w:ind w:left="351" w:right="224"/>
              <w:jc w:val="center"/>
              <w:rPr>
                <w:sz w:val="24"/>
              </w:rPr>
            </w:pPr>
            <w:r>
              <w:rPr>
                <w:sz w:val="21"/>
              </w:rPr>
              <w:t>MF/ABC10</w:t>
            </w:r>
            <w:r>
              <w:rPr>
                <w:sz w:val="24"/>
              </w:rPr>
              <w:t xml:space="preserve"> </w:t>
            </w:r>
          </w:p>
        </w:tc>
        <w:tc>
          <w:tcPr>
            <w:tcW w:w="1335" w:type="dxa"/>
          </w:tcPr>
          <w:p w14:paraId="26B70E1E" w14:textId="77777777" w:rsidR="00A71EEF" w:rsidRDefault="0081115D">
            <w:pPr>
              <w:pStyle w:val="TableParagraph"/>
              <w:spacing w:before="44"/>
              <w:ind w:left="286" w:right="159"/>
              <w:jc w:val="center"/>
              <w:rPr>
                <w:sz w:val="24"/>
              </w:rPr>
            </w:pPr>
            <w:r>
              <w:rPr>
                <w:sz w:val="21"/>
              </w:rPr>
              <w:t>6A</w:t>
            </w:r>
            <w:r>
              <w:rPr>
                <w:sz w:val="24"/>
              </w:rPr>
              <w:t xml:space="preserve"> </w:t>
            </w:r>
          </w:p>
        </w:tc>
        <w:tc>
          <w:tcPr>
            <w:tcW w:w="617" w:type="dxa"/>
          </w:tcPr>
          <w:p w14:paraId="57A56EA9" w14:textId="77777777" w:rsidR="00A71EEF" w:rsidRDefault="0081115D">
            <w:pPr>
              <w:pStyle w:val="TableParagraph"/>
              <w:spacing w:before="44"/>
              <w:ind w:left="145" w:right="2"/>
              <w:jc w:val="center"/>
              <w:rPr>
                <w:sz w:val="24"/>
              </w:rPr>
            </w:pPr>
            <w:r>
              <w:rPr>
                <w:sz w:val="21"/>
              </w:rPr>
              <w:t>144B</w:t>
            </w:r>
            <w:r>
              <w:rPr>
                <w:sz w:val="24"/>
              </w:rPr>
              <w:t xml:space="preserve"> </w:t>
            </w:r>
          </w:p>
        </w:tc>
      </w:tr>
      <w:tr w:rsidR="00A71EEF" w14:paraId="07CBDB6F" w14:textId="77777777">
        <w:trPr>
          <w:trHeight w:val="357"/>
        </w:trPr>
        <w:tc>
          <w:tcPr>
            <w:tcW w:w="1970" w:type="dxa"/>
            <w:vMerge w:val="restart"/>
            <w:tcBorders>
              <w:bottom w:val="single" w:sz="6" w:space="0" w:color="000000"/>
            </w:tcBorders>
          </w:tcPr>
          <w:p w14:paraId="2B369E61" w14:textId="77777777" w:rsidR="00A71EEF" w:rsidRDefault="00A71EEF">
            <w:pPr>
              <w:pStyle w:val="TableParagraph"/>
              <w:rPr>
                <w:b/>
                <w:sz w:val="20"/>
              </w:rPr>
            </w:pPr>
          </w:p>
          <w:p w14:paraId="6966BD16" w14:textId="77777777" w:rsidR="00A71EEF" w:rsidRDefault="00A71EEF">
            <w:pPr>
              <w:pStyle w:val="TableParagraph"/>
              <w:rPr>
                <w:b/>
                <w:sz w:val="20"/>
              </w:rPr>
            </w:pPr>
          </w:p>
          <w:p w14:paraId="2570F622" w14:textId="77777777" w:rsidR="00A71EEF" w:rsidRDefault="0081115D">
            <w:pPr>
              <w:pStyle w:val="TableParagraph"/>
              <w:spacing w:before="136"/>
              <w:ind w:left="380" w:right="265"/>
              <w:jc w:val="center"/>
              <w:rPr>
                <w:sz w:val="21"/>
              </w:rPr>
            </w:pPr>
            <w:r>
              <w:rPr>
                <w:sz w:val="21"/>
              </w:rPr>
              <w:t>卤代烷</w:t>
            </w:r>
            <w:r>
              <w:rPr>
                <w:sz w:val="21"/>
              </w:rPr>
              <w:t xml:space="preserve"> </w:t>
            </w:r>
          </w:p>
          <w:p w14:paraId="799F3F2E" w14:textId="77777777" w:rsidR="00A71EEF" w:rsidRDefault="0081115D">
            <w:pPr>
              <w:pStyle w:val="TableParagraph"/>
              <w:spacing w:before="2"/>
              <w:ind w:left="392" w:right="265"/>
              <w:jc w:val="center"/>
              <w:rPr>
                <w:sz w:val="24"/>
              </w:rPr>
            </w:pPr>
            <w:r>
              <w:rPr>
                <w:sz w:val="21"/>
              </w:rPr>
              <w:t>（</w:t>
            </w:r>
            <w:r>
              <w:rPr>
                <w:sz w:val="21"/>
              </w:rPr>
              <w:t>1211</w:t>
            </w:r>
            <w:r>
              <w:rPr>
                <w:sz w:val="21"/>
              </w:rPr>
              <w:t>）</w:t>
            </w:r>
            <w:r>
              <w:rPr>
                <w:sz w:val="24"/>
              </w:rPr>
              <w:t xml:space="preserve"> </w:t>
            </w:r>
          </w:p>
        </w:tc>
        <w:tc>
          <w:tcPr>
            <w:tcW w:w="1241" w:type="dxa"/>
          </w:tcPr>
          <w:p w14:paraId="6D47B6D4" w14:textId="77777777" w:rsidR="00A71EEF" w:rsidRDefault="0081115D">
            <w:pPr>
              <w:pStyle w:val="TableParagraph"/>
              <w:spacing w:before="44"/>
              <w:ind w:right="383"/>
              <w:jc w:val="right"/>
              <w:rPr>
                <w:sz w:val="24"/>
              </w:rPr>
            </w:pPr>
            <w:r>
              <w:rPr>
                <w:sz w:val="21"/>
              </w:rPr>
              <w:t>―</w:t>
            </w:r>
            <w:r>
              <w:rPr>
                <w:sz w:val="24"/>
              </w:rPr>
              <w:t xml:space="preserve"> </w:t>
            </w:r>
          </w:p>
        </w:tc>
        <w:tc>
          <w:tcPr>
            <w:tcW w:w="1250" w:type="dxa"/>
          </w:tcPr>
          <w:p w14:paraId="733DCB3D" w14:textId="77777777" w:rsidR="00A71EEF" w:rsidRDefault="0081115D">
            <w:pPr>
              <w:pStyle w:val="TableParagraph"/>
              <w:spacing w:before="44"/>
              <w:ind w:right="440"/>
              <w:jc w:val="right"/>
              <w:rPr>
                <w:sz w:val="24"/>
              </w:rPr>
            </w:pPr>
            <w:r>
              <w:rPr>
                <w:sz w:val="21"/>
              </w:rPr>
              <w:t>1</w:t>
            </w:r>
            <w:r>
              <w:rPr>
                <w:sz w:val="24"/>
              </w:rPr>
              <w:t xml:space="preserve"> </w:t>
            </w:r>
          </w:p>
        </w:tc>
        <w:tc>
          <w:tcPr>
            <w:tcW w:w="2530" w:type="dxa"/>
          </w:tcPr>
          <w:p w14:paraId="24AAD67A" w14:textId="77777777" w:rsidR="00A71EEF" w:rsidRDefault="0081115D">
            <w:pPr>
              <w:pStyle w:val="TableParagraph"/>
              <w:spacing w:before="44"/>
              <w:ind w:left="351" w:right="222"/>
              <w:jc w:val="center"/>
              <w:rPr>
                <w:sz w:val="24"/>
              </w:rPr>
            </w:pPr>
            <w:r>
              <w:rPr>
                <w:sz w:val="21"/>
              </w:rPr>
              <w:t>MY1</w:t>
            </w:r>
            <w:r>
              <w:rPr>
                <w:sz w:val="24"/>
              </w:rPr>
              <w:t xml:space="preserve"> </w:t>
            </w:r>
          </w:p>
        </w:tc>
        <w:tc>
          <w:tcPr>
            <w:tcW w:w="1335" w:type="dxa"/>
          </w:tcPr>
          <w:p w14:paraId="48F2CEC7" w14:textId="77777777" w:rsidR="00A71EEF" w:rsidRDefault="0081115D">
            <w:pPr>
              <w:pStyle w:val="TableParagraph"/>
              <w:spacing w:before="44"/>
              <w:ind w:left="286" w:right="159"/>
              <w:jc w:val="center"/>
              <w:rPr>
                <w:sz w:val="24"/>
              </w:rPr>
            </w:pPr>
            <w:r>
              <w:rPr>
                <w:sz w:val="21"/>
              </w:rPr>
              <w:t>―</w:t>
            </w:r>
            <w:r>
              <w:rPr>
                <w:sz w:val="24"/>
              </w:rPr>
              <w:t xml:space="preserve"> </w:t>
            </w:r>
          </w:p>
        </w:tc>
        <w:tc>
          <w:tcPr>
            <w:tcW w:w="617" w:type="dxa"/>
          </w:tcPr>
          <w:p w14:paraId="25F37492" w14:textId="77777777" w:rsidR="00A71EEF" w:rsidRDefault="0081115D">
            <w:pPr>
              <w:pStyle w:val="TableParagraph"/>
              <w:spacing w:before="44"/>
              <w:ind w:left="133" w:right="2"/>
              <w:jc w:val="center"/>
              <w:rPr>
                <w:sz w:val="24"/>
              </w:rPr>
            </w:pPr>
            <w:r>
              <w:rPr>
                <w:sz w:val="21"/>
              </w:rPr>
              <w:t>21B</w:t>
            </w:r>
            <w:r>
              <w:rPr>
                <w:sz w:val="24"/>
              </w:rPr>
              <w:t xml:space="preserve"> </w:t>
            </w:r>
          </w:p>
        </w:tc>
      </w:tr>
      <w:tr w:rsidR="00A71EEF" w14:paraId="52663C4A" w14:textId="77777777">
        <w:trPr>
          <w:trHeight w:val="354"/>
        </w:trPr>
        <w:tc>
          <w:tcPr>
            <w:tcW w:w="1970" w:type="dxa"/>
            <w:vMerge/>
            <w:tcBorders>
              <w:top w:val="nil"/>
              <w:bottom w:val="single" w:sz="6" w:space="0" w:color="000000"/>
            </w:tcBorders>
          </w:tcPr>
          <w:p w14:paraId="32ADF55C" w14:textId="77777777" w:rsidR="00A71EEF" w:rsidRDefault="00A71EEF">
            <w:pPr>
              <w:rPr>
                <w:sz w:val="2"/>
                <w:szCs w:val="2"/>
              </w:rPr>
            </w:pPr>
          </w:p>
        </w:tc>
        <w:tc>
          <w:tcPr>
            <w:tcW w:w="1241" w:type="dxa"/>
          </w:tcPr>
          <w:p w14:paraId="56AAA190" w14:textId="77777777" w:rsidR="00A71EEF" w:rsidRDefault="0081115D">
            <w:pPr>
              <w:pStyle w:val="TableParagraph"/>
              <w:spacing w:before="41"/>
              <w:ind w:right="383"/>
              <w:jc w:val="right"/>
              <w:rPr>
                <w:sz w:val="24"/>
              </w:rPr>
            </w:pPr>
            <w:r>
              <w:rPr>
                <w:sz w:val="21"/>
              </w:rPr>
              <w:t>―</w:t>
            </w:r>
            <w:r>
              <w:rPr>
                <w:sz w:val="24"/>
              </w:rPr>
              <w:t xml:space="preserve"> </w:t>
            </w:r>
          </w:p>
        </w:tc>
        <w:tc>
          <w:tcPr>
            <w:tcW w:w="1250" w:type="dxa"/>
          </w:tcPr>
          <w:p w14:paraId="6B04F4AA" w14:textId="77777777" w:rsidR="00A71EEF" w:rsidRDefault="0081115D">
            <w:pPr>
              <w:pStyle w:val="TableParagraph"/>
              <w:spacing w:before="41"/>
              <w:ind w:right="440"/>
              <w:jc w:val="right"/>
              <w:rPr>
                <w:sz w:val="24"/>
              </w:rPr>
            </w:pPr>
            <w:r>
              <w:rPr>
                <w:sz w:val="21"/>
              </w:rPr>
              <w:t>2</w:t>
            </w:r>
            <w:r>
              <w:rPr>
                <w:sz w:val="24"/>
              </w:rPr>
              <w:t xml:space="preserve"> </w:t>
            </w:r>
          </w:p>
        </w:tc>
        <w:tc>
          <w:tcPr>
            <w:tcW w:w="2530" w:type="dxa"/>
          </w:tcPr>
          <w:p w14:paraId="382B186B" w14:textId="77777777" w:rsidR="00A71EEF" w:rsidRDefault="0081115D">
            <w:pPr>
              <w:pStyle w:val="TableParagraph"/>
              <w:spacing w:before="41"/>
              <w:ind w:left="351" w:right="222"/>
              <w:jc w:val="center"/>
              <w:rPr>
                <w:sz w:val="24"/>
              </w:rPr>
            </w:pPr>
            <w:r>
              <w:rPr>
                <w:sz w:val="21"/>
              </w:rPr>
              <w:t>MY2</w:t>
            </w:r>
            <w:r>
              <w:rPr>
                <w:sz w:val="24"/>
              </w:rPr>
              <w:t xml:space="preserve"> </w:t>
            </w:r>
          </w:p>
        </w:tc>
        <w:tc>
          <w:tcPr>
            <w:tcW w:w="1335" w:type="dxa"/>
          </w:tcPr>
          <w:p w14:paraId="685481AF" w14:textId="77777777" w:rsidR="00A71EEF" w:rsidRDefault="0081115D">
            <w:pPr>
              <w:pStyle w:val="TableParagraph"/>
              <w:spacing w:before="41"/>
              <w:ind w:left="286" w:right="159"/>
              <w:jc w:val="center"/>
              <w:rPr>
                <w:sz w:val="24"/>
              </w:rPr>
            </w:pPr>
            <w:r>
              <w:rPr>
                <w:sz w:val="21"/>
              </w:rPr>
              <w:t>（</w:t>
            </w:r>
            <w:r>
              <w:rPr>
                <w:sz w:val="21"/>
              </w:rPr>
              <w:t>0.5A</w:t>
            </w:r>
            <w:r>
              <w:rPr>
                <w:sz w:val="21"/>
              </w:rPr>
              <w:t>）</w:t>
            </w:r>
            <w:r>
              <w:rPr>
                <w:sz w:val="24"/>
              </w:rPr>
              <w:t xml:space="preserve"> </w:t>
            </w:r>
          </w:p>
        </w:tc>
        <w:tc>
          <w:tcPr>
            <w:tcW w:w="617" w:type="dxa"/>
          </w:tcPr>
          <w:p w14:paraId="0CFFF4FD" w14:textId="77777777" w:rsidR="00A71EEF" w:rsidRDefault="0081115D">
            <w:pPr>
              <w:pStyle w:val="TableParagraph"/>
              <w:spacing w:before="41"/>
              <w:ind w:left="133" w:right="2"/>
              <w:jc w:val="center"/>
              <w:rPr>
                <w:sz w:val="24"/>
              </w:rPr>
            </w:pPr>
            <w:r>
              <w:rPr>
                <w:sz w:val="21"/>
              </w:rPr>
              <w:t>21B</w:t>
            </w:r>
            <w:r>
              <w:rPr>
                <w:sz w:val="24"/>
              </w:rPr>
              <w:t xml:space="preserve"> </w:t>
            </w:r>
          </w:p>
        </w:tc>
      </w:tr>
      <w:tr w:rsidR="00A71EEF" w14:paraId="35207285" w14:textId="77777777">
        <w:trPr>
          <w:trHeight w:val="354"/>
        </w:trPr>
        <w:tc>
          <w:tcPr>
            <w:tcW w:w="1970" w:type="dxa"/>
            <w:vMerge/>
            <w:tcBorders>
              <w:top w:val="nil"/>
              <w:bottom w:val="single" w:sz="6" w:space="0" w:color="000000"/>
            </w:tcBorders>
          </w:tcPr>
          <w:p w14:paraId="3723CD6F" w14:textId="77777777" w:rsidR="00A71EEF" w:rsidRDefault="00A71EEF">
            <w:pPr>
              <w:rPr>
                <w:sz w:val="2"/>
                <w:szCs w:val="2"/>
              </w:rPr>
            </w:pPr>
          </w:p>
        </w:tc>
        <w:tc>
          <w:tcPr>
            <w:tcW w:w="1241" w:type="dxa"/>
          </w:tcPr>
          <w:p w14:paraId="738CDA09" w14:textId="77777777" w:rsidR="00A71EEF" w:rsidRDefault="0081115D">
            <w:pPr>
              <w:pStyle w:val="TableParagraph"/>
              <w:spacing w:before="41"/>
              <w:ind w:right="383"/>
              <w:jc w:val="right"/>
              <w:rPr>
                <w:sz w:val="24"/>
              </w:rPr>
            </w:pPr>
            <w:r>
              <w:rPr>
                <w:sz w:val="21"/>
              </w:rPr>
              <w:t>―</w:t>
            </w:r>
            <w:r>
              <w:rPr>
                <w:sz w:val="24"/>
              </w:rPr>
              <w:t xml:space="preserve"> </w:t>
            </w:r>
          </w:p>
        </w:tc>
        <w:tc>
          <w:tcPr>
            <w:tcW w:w="1250" w:type="dxa"/>
          </w:tcPr>
          <w:p w14:paraId="7D958CBE" w14:textId="77777777" w:rsidR="00A71EEF" w:rsidRDefault="0081115D">
            <w:pPr>
              <w:pStyle w:val="TableParagraph"/>
              <w:spacing w:before="41"/>
              <w:ind w:right="440"/>
              <w:jc w:val="right"/>
              <w:rPr>
                <w:sz w:val="24"/>
              </w:rPr>
            </w:pPr>
            <w:r>
              <w:rPr>
                <w:sz w:val="21"/>
              </w:rPr>
              <w:t>3</w:t>
            </w:r>
            <w:r>
              <w:rPr>
                <w:sz w:val="24"/>
              </w:rPr>
              <w:t xml:space="preserve"> </w:t>
            </w:r>
          </w:p>
        </w:tc>
        <w:tc>
          <w:tcPr>
            <w:tcW w:w="2530" w:type="dxa"/>
          </w:tcPr>
          <w:p w14:paraId="6D45506E" w14:textId="77777777" w:rsidR="00A71EEF" w:rsidRDefault="0081115D">
            <w:pPr>
              <w:pStyle w:val="TableParagraph"/>
              <w:spacing w:before="41"/>
              <w:ind w:left="351" w:right="222"/>
              <w:jc w:val="center"/>
              <w:rPr>
                <w:sz w:val="24"/>
              </w:rPr>
            </w:pPr>
            <w:r>
              <w:rPr>
                <w:sz w:val="21"/>
              </w:rPr>
              <w:t>MY3</w:t>
            </w:r>
            <w:r>
              <w:rPr>
                <w:sz w:val="24"/>
              </w:rPr>
              <w:t xml:space="preserve"> </w:t>
            </w:r>
          </w:p>
        </w:tc>
        <w:tc>
          <w:tcPr>
            <w:tcW w:w="1335" w:type="dxa"/>
          </w:tcPr>
          <w:p w14:paraId="172B6C19" w14:textId="77777777" w:rsidR="00A71EEF" w:rsidRDefault="0081115D">
            <w:pPr>
              <w:pStyle w:val="TableParagraph"/>
              <w:spacing w:before="41"/>
              <w:ind w:left="286" w:right="159"/>
              <w:jc w:val="center"/>
              <w:rPr>
                <w:sz w:val="24"/>
              </w:rPr>
            </w:pPr>
            <w:r>
              <w:rPr>
                <w:sz w:val="21"/>
              </w:rPr>
              <w:t>（</w:t>
            </w:r>
            <w:r>
              <w:rPr>
                <w:sz w:val="21"/>
              </w:rPr>
              <w:t>0.5A</w:t>
            </w:r>
            <w:r>
              <w:rPr>
                <w:sz w:val="21"/>
              </w:rPr>
              <w:t>）</w:t>
            </w:r>
            <w:r>
              <w:rPr>
                <w:sz w:val="24"/>
              </w:rPr>
              <w:t xml:space="preserve"> </w:t>
            </w:r>
          </w:p>
        </w:tc>
        <w:tc>
          <w:tcPr>
            <w:tcW w:w="617" w:type="dxa"/>
          </w:tcPr>
          <w:p w14:paraId="77DEB05A" w14:textId="77777777" w:rsidR="00A71EEF" w:rsidRDefault="0081115D">
            <w:pPr>
              <w:pStyle w:val="TableParagraph"/>
              <w:spacing w:before="41"/>
              <w:ind w:left="133" w:right="2"/>
              <w:jc w:val="center"/>
              <w:rPr>
                <w:sz w:val="24"/>
              </w:rPr>
            </w:pPr>
            <w:r>
              <w:rPr>
                <w:sz w:val="21"/>
              </w:rPr>
              <w:t>34B</w:t>
            </w:r>
            <w:r>
              <w:rPr>
                <w:sz w:val="24"/>
              </w:rPr>
              <w:t xml:space="preserve"> </w:t>
            </w:r>
          </w:p>
        </w:tc>
      </w:tr>
      <w:tr w:rsidR="00A71EEF" w14:paraId="73F53FD0" w14:textId="77777777">
        <w:trPr>
          <w:trHeight w:val="354"/>
        </w:trPr>
        <w:tc>
          <w:tcPr>
            <w:tcW w:w="1970" w:type="dxa"/>
            <w:vMerge/>
            <w:tcBorders>
              <w:top w:val="nil"/>
              <w:bottom w:val="single" w:sz="6" w:space="0" w:color="000000"/>
            </w:tcBorders>
          </w:tcPr>
          <w:p w14:paraId="38D61BAD" w14:textId="77777777" w:rsidR="00A71EEF" w:rsidRDefault="00A71EEF">
            <w:pPr>
              <w:rPr>
                <w:sz w:val="2"/>
                <w:szCs w:val="2"/>
              </w:rPr>
            </w:pPr>
          </w:p>
        </w:tc>
        <w:tc>
          <w:tcPr>
            <w:tcW w:w="1241" w:type="dxa"/>
          </w:tcPr>
          <w:p w14:paraId="08F0A101" w14:textId="77777777" w:rsidR="00A71EEF" w:rsidRDefault="0081115D">
            <w:pPr>
              <w:pStyle w:val="TableParagraph"/>
              <w:spacing w:before="44"/>
              <w:ind w:right="383"/>
              <w:jc w:val="right"/>
              <w:rPr>
                <w:sz w:val="24"/>
              </w:rPr>
            </w:pPr>
            <w:r>
              <w:rPr>
                <w:sz w:val="21"/>
              </w:rPr>
              <w:t>―</w:t>
            </w:r>
            <w:r>
              <w:rPr>
                <w:sz w:val="24"/>
              </w:rPr>
              <w:t xml:space="preserve"> </w:t>
            </w:r>
          </w:p>
        </w:tc>
        <w:tc>
          <w:tcPr>
            <w:tcW w:w="1250" w:type="dxa"/>
          </w:tcPr>
          <w:p w14:paraId="125D5F16" w14:textId="77777777" w:rsidR="00A71EEF" w:rsidRDefault="0081115D">
            <w:pPr>
              <w:pStyle w:val="TableParagraph"/>
              <w:spacing w:before="44"/>
              <w:ind w:right="440"/>
              <w:jc w:val="right"/>
              <w:rPr>
                <w:sz w:val="24"/>
              </w:rPr>
            </w:pPr>
            <w:r>
              <w:rPr>
                <w:sz w:val="21"/>
              </w:rPr>
              <w:t>4</w:t>
            </w:r>
            <w:r>
              <w:rPr>
                <w:sz w:val="24"/>
              </w:rPr>
              <w:t xml:space="preserve"> </w:t>
            </w:r>
          </w:p>
        </w:tc>
        <w:tc>
          <w:tcPr>
            <w:tcW w:w="2530" w:type="dxa"/>
          </w:tcPr>
          <w:p w14:paraId="2315798E" w14:textId="77777777" w:rsidR="00A71EEF" w:rsidRDefault="0081115D">
            <w:pPr>
              <w:pStyle w:val="TableParagraph"/>
              <w:spacing w:before="44"/>
              <w:ind w:left="351" w:right="222"/>
              <w:jc w:val="center"/>
              <w:rPr>
                <w:sz w:val="24"/>
              </w:rPr>
            </w:pPr>
            <w:r>
              <w:rPr>
                <w:sz w:val="21"/>
              </w:rPr>
              <w:t>MY4</w:t>
            </w:r>
            <w:r>
              <w:rPr>
                <w:sz w:val="24"/>
              </w:rPr>
              <w:t xml:space="preserve"> </w:t>
            </w:r>
          </w:p>
        </w:tc>
        <w:tc>
          <w:tcPr>
            <w:tcW w:w="1335" w:type="dxa"/>
          </w:tcPr>
          <w:p w14:paraId="09E4F6A9" w14:textId="77777777" w:rsidR="00A71EEF" w:rsidRDefault="0081115D">
            <w:pPr>
              <w:pStyle w:val="TableParagraph"/>
              <w:spacing w:before="44"/>
              <w:ind w:left="286" w:right="159"/>
              <w:jc w:val="center"/>
              <w:rPr>
                <w:sz w:val="24"/>
              </w:rPr>
            </w:pPr>
            <w:r>
              <w:rPr>
                <w:sz w:val="21"/>
              </w:rPr>
              <w:t>1A</w:t>
            </w:r>
            <w:r>
              <w:rPr>
                <w:sz w:val="24"/>
              </w:rPr>
              <w:t xml:space="preserve"> </w:t>
            </w:r>
          </w:p>
        </w:tc>
        <w:tc>
          <w:tcPr>
            <w:tcW w:w="617" w:type="dxa"/>
          </w:tcPr>
          <w:p w14:paraId="2FD75C1B" w14:textId="77777777" w:rsidR="00A71EEF" w:rsidRDefault="0081115D">
            <w:pPr>
              <w:pStyle w:val="TableParagraph"/>
              <w:spacing w:before="44"/>
              <w:ind w:left="133" w:right="2"/>
              <w:jc w:val="center"/>
              <w:rPr>
                <w:sz w:val="24"/>
              </w:rPr>
            </w:pPr>
            <w:r>
              <w:rPr>
                <w:sz w:val="21"/>
              </w:rPr>
              <w:t>34B</w:t>
            </w:r>
            <w:r>
              <w:rPr>
                <w:sz w:val="24"/>
              </w:rPr>
              <w:t xml:space="preserve"> </w:t>
            </w:r>
          </w:p>
        </w:tc>
      </w:tr>
      <w:tr w:rsidR="00A71EEF" w14:paraId="31AF5653" w14:textId="77777777">
        <w:trPr>
          <w:trHeight w:val="357"/>
        </w:trPr>
        <w:tc>
          <w:tcPr>
            <w:tcW w:w="1970" w:type="dxa"/>
            <w:vMerge/>
            <w:tcBorders>
              <w:top w:val="nil"/>
              <w:bottom w:val="single" w:sz="6" w:space="0" w:color="000000"/>
            </w:tcBorders>
          </w:tcPr>
          <w:p w14:paraId="229DFDC2" w14:textId="77777777" w:rsidR="00A71EEF" w:rsidRDefault="00A71EEF">
            <w:pPr>
              <w:rPr>
                <w:sz w:val="2"/>
                <w:szCs w:val="2"/>
              </w:rPr>
            </w:pPr>
          </w:p>
        </w:tc>
        <w:tc>
          <w:tcPr>
            <w:tcW w:w="1241" w:type="dxa"/>
            <w:tcBorders>
              <w:bottom w:val="single" w:sz="6" w:space="0" w:color="000000"/>
            </w:tcBorders>
          </w:tcPr>
          <w:p w14:paraId="221CC43C" w14:textId="77777777" w:rsidR="00A71EEF" w:rsidRDefault="0081115D">
            <w:pPr>
              <w:pStyle w:val="TableParagraph"/>
              <w:spacing w:before="44"/>
              <w:ind w:right="383"/>
              <w:jc w:val="right"/>
              <w:rPr>
                <w:sz w:val="24"/>
              </w:rPr>
            </w:pPr>
            <w:r>
              <w:rPr>
                <w:sz w:val="21"/>
              </w:rPr>
              <w:t>―</w:t>
            </w:r>
            <w:r>
              <w:rPr>
                <w:sz w:val="24"/>
              </w:rPr>
              <w:t xml:space="preserve"> </w:t>
            </w:r>
          </w:p>
        </w:tc>
        <w:tc>
          <w:tcPr>
            <w:tcW w:w="1250" w:type="dxa"/>
            <w:tcBorders>
              <w:bottom w:val="single" w:sz="6" w:space="0" w:color="000000"/>
            </w:tcBorders>
          </w:tcPr>
          <w:p w14:paraId="44A0F395" w14:textId="77777777" w:rsidR="00A71EEF" w:rsidRDefault="0081115D">
            <w:pPr>
              <w:pStyle w:val="TableParagraph"/>
              <w:spacing w:before="44"/>
              <w:ind w:right="440"/>
              <w:jc w:val="right"/>
              <w:rPr>
                <w:sz w:val="24"/>
              </w:rPr>
            </w:pPr>
            <w:r>
              <w:rPr>
                <w:sz w:val="21"/>
              </w:rPr>
              <w:t>6</w:t>
            </w:r>
            <w:r>
              <w:rPr>
                <w:sz w:val="24"/>
              </w:rPr>
              <w:t xml:space="preserve"> </w:t>
            </w:r>
          </w:p>
        </w:tc>
        <w:tc>
          <w:tcPr>
            <w:tcW w:w="2530" w:type="dxa"/>
            <w:tcBorders>
              <w:bottom w:val="single" w:sz="6" w:space="0" w:color="000000"/>
            </w:tcBorders>
          </w:tcPr>
          <w:p w14:paraId="6DAD8766" w14:textId="77777777" w:rsidR="00A71EEF" w:rsidRDefault="0081115D">
            <w:pPr>
              <w:pStyle w:val="TableParagraph"/>
              <w:spacing w:before="44"/>
              <w:ind w:left="351" w:right="222"/>
              <w:jc w:val="center"/>
              <w:rPr>
                <w:sz w:val="24"/>
              </w:rPr>
            </w:pPr>
            <w:r>
              <w:rPr>
                <w:sz w:val="21"/>
              </w:rPr>
              <w:t>MY6</w:t>
            </w:r>
            <w:r>
              <w:rPr>
                <w:sz w:val="24"/>
              </w:rPr>
              <w:t xml:space="preserve"> </w:t>
            </w:r>
          </w:p>
        </w:tc>
        <w:tc>
          <w:tcPr>
            <w:tcW w:w="1335" w:type="dxa"/>
            <w:tcBorders>
              <w:bottom w:val="single" w:sz="6" w:space="0" w:color="000000"/>
            </w:tcBorders>
          </w:tcPr>
          <w:p w14:paraId="35303FF4" w14:textId="77777777" w:rsidR="00A71EEF" w:rsidRDefault="0081115D">
            <w:pPr>
              <w:pStyle w:val="TableParagraph"/>
              <w:spacing w:before="44"/>
              <w:ind w:left="286" w:right="159"/>
              <w:jc w:val="center"/>
              <w:rPr>
                <w:sz w:val="24"/>
              </w:rPr>
            </w:pPr>
            <w:r>
              <w:rPr>
                <w:sz w:val="21"/>
              </w:rPr>
              <w:t>1A</w:t>
            </w:r>
            <w:r>
              <w:rPr>
                <w:sz w:val="24"/>
              </w:rPr>
              <w:t xml:space="preserve"> </w:t>
            </w:r>
          </w:p>
        </w:tc>
        <w:tc>
          <w:tcPr>
            <w:tcW w:w="617" w:type="dxa"/>
            <w:tcBorders>
              <w:bottom w:val="single" w:sz="6" w:space="0" w:color="000000"/>
            </w:tcBorders>
          </w:tcPr>
          <w:p w14:paraId="17123CB3" w14:textId="77777777" w:rsidR="00A71EEF" w:rsidRDefault="0081115D">
            <w:pPr>
              <w:pStyle w:val="TableParagraph"/>
              <w:spacing w:before="44"/>
              <w:ind w:left="133" w:right="2"/>
              <w:jc w:val="center"/>
              <w:rPr>
                <w:sz w:val="24"/>
              </w:rPr>
            </w:pPr>
            <w:r>
              <w:rPr>
                <w:sz w:val="21"/>
              </w:rPr>
              <w:t>55B</w:t>
            </w:r>
            <w:r>
              <w:rPr>
                <w:sz w:val="24"/>
              </w:rPr>
              <w:t xml:space="preserve"> </w:t>
            </w:r>
          </w:p>
        </w:tc>
      </w:tr>
      <w:tr w:rsidR="00A71EEF" w14:paraId="49DDE7A6" w14:textId="77777777">
        <w:trPr>
          <w:trHeight w:val="400"/>
        </w:trPr>
        <w:tc>
          <w:tcPr>
            <w:tcW w:w="1970" w:type="dxa"/>
            <w:vMerge w:val="restart"/>
            <w:tcBorders>
              <w:top w:val="single" w:sz="6" w:space="0" w:color="000000"/>
            </w:tcBorders>
          </w:tcPr>
          <w:p w14:paraId="2E8F89F1" w14:textId="77777777" w:rsidR="00A71EEF" w:rsidRDefault="00A71EEF">
            <w:pPr>
              <w:pStyle w:val="TableParagraph"/>
              <w:rPr>
                <w:b/>
                <w:sz w:val="24"/>
              </w:rPr>
            </w:pPr>
          </w:p>
          <w:p w14:paraId="53ABA995" w14:textId="77777777" w:rsidR="00A71EEF" w:rsidRDefault="0081115D">
            <w:pPr>
              <w:pStyle w:val="TableParagraph"/>
              <w:spacing w:before="171"/>
              <w:ind w:left="563"/>
              <w:rPr>
                <w:sz w:val="24"/>
              </w:rPr>
            </w:pPr>
            <w:r>
              <w:rPr>
                <w:sz w:val="21"/>
              </w:rPr>
              <w:t>二氧化碳</w:t>
            </w:r>
            <w:r>
              <w:rPr>
                <w:sz w:val="24"/>
              </w:rPr>
              <w:t xml:space="preserve"> </w:t>
            </w:r>
          </w:p>
        </w:tc>
        <w:tc>
          <w:tcPr>
            <w:tcW w:w="1241" w:type="dxa"/>
            <w:tcBorders>
              <w:top w:val="single" w:sz="6" w:space="0" w:color="000000"/>
            </w:tcBorders>
          </w:tcPr>
          <w:p w14:paraId="7B959A75" w14:textId="77777777" w:rsidR="00A71EEF" w:rsidRDefault="0081115D">
            <w:pPr>
              <w:pStyle w:val="TableParagraph"/>
              <w:spacing w:before="63"/>
              <w:ind w:right="383"/>
              <w:jc w:val="right"/>
              <w:rPr>
                <w:sz w:val="24"/>
              </w:rPr>
            </w:pPr>
            <w:r>
              <w:rPr>
                <w:sz w:val="21"/>
              </w:rPr>
              <w:t>―</w:t>
            </w:r>
            <w:r>
              <w:rPr>
                <w:sz w:val="24"/>
              </w:rPr>
              <w:t xml:space="preserve"> </w:t>
            </w:r>
          </w:p>
        </w:tc>
        <w:tc>
          <w:tcPr>
            <w:tcW w:w="1250" w:type="dxa"/>
            <w:tcBorders>
              <w:top w:val="single" w:sz="6" w:space="0" w:color="000000"/>
            </w:tcBorders>
          </w:tcPr>
          <w:p w14:paraId="355378D6" w14:textId="77777777" w:rsidR="00A71EEF" w:rsidRDefault="0081115D">
            <w:pPr>
              <w:pStyle w:val="TableParagraph"/>
              <w:spacing w:before="63"/>
              <w:ind w:right="440"/>
              <w:jc w:val="right"/>
              <w:rPr>
                <w:sz w:val="24"/>
              </w:rPr>
            </w:pPr>
            <w:r>
              <w:rPr>
                <w:sz w:val="21"/>
              </w:rPr>
              <w:t>2</w:t>
            </w:r>
            <w:r>
              <w:rPr>
                <w:sz w:val="24"/>
              </w:rPr>
              <w:t xml:space="preserve"> </w:t>
            </w:r>
          </w:p>
        </w:tc>
        <w:tc>
          <w:tcPr>
            <w:tcW w:w="2530" w:type="dxa"/>
            <w:tcBorders>
              <w:top w:val="single" w:sz="6" w:space="0" w:color="000000"/>
            </w:tcBorders>
          </w:tcPr>
          <w:p w14:paraId="5E4F66CF" w14:textId="77777777" w:rsidR="00A71EEF" w:rsidRDefault="0081115D">
            <w:pPr>
              <w:pStyle w:val="TableParagraph"/>
              <w:spacing w:before="63"/>
              <w:ind w:left="351" w:right="222"/>
              <w:jc w:val="center"/>
              <w:rPr>
                <w:sz w:val="24"/>
              </w:rPr>
            </w:pPr>
            <w:r>
              <w:rPr>
                <w:sz w:val="21"/>
              </w:rPr>
              <w:t>MT2</w:t>
            </w:r>
            <w:r>
              <w:rPr>
                <w:sz w:val="24"/>
              </w:rPr>
              <w:t xml:space="preserve"> </w:t>
            </w:r>
          </w:p>
        </w:tc>
        <w:tc>
          <w:tcPr>
            <w:tcW w:w="1335" w:type="dxa"/>
            <w:tcBorders>
              <w:top w:val="single" w:sz="6" w:space="0" w:color="000000"/>
            </w:tcBorders>
          </w:tcPr>
          <w:p w14:paraId="2727EE77" w14:textId="77777777" w:rsidR="00A71EEF" w:rsidRDefault="0081115D">
            <w:pPr>
              <w:pStyle w:val="TableParagraph"/>
              <w:spacing w:before="63"/>
              <w:ind w:left="286" w:right="159"/>
              <w:jc w:val="center"/>
              <w:rPr>
                <w:sz w:val="24"/>
              </w:rPr>
            </w:pPr>
            <w:r>
              <w:rPr>
                <w:sz w:val="21"/>
              </w:rPr>
              <w:t>―</w:t>
            </w:r>
            <w:r>
              <w:rPr>
                <w:sz w:val="24"/>
              </w:rPr>
              <w:t xml:space="preserve"> </w:t>
            </w:r>
          </w:p>
        </w:tc>
        <w:tc>
          <w:tcPr>
            <w:tcW w:w="617" w:type="dxa"/>
            <w:tcBorders>
              <w:top w:val="single" w:sz="6" w:space="0" w:color="000000"/>
            </w:tcBorders>
          </w:tcPr>
          <w:p w14:paraId="41F407D9" w14:textId="77777777" w:rsidR="00A71EEF" w:rsidRDefault="0081115D">
            <w:pPr>
              <w:pStyle w:val="TableParagraph"/>
              <w:spacing w:before="63"/>
              <w:ind w:left="133" w:right="2"/>
              <w:jc w:val="center"/>
              <w:rPr>
                <w:sz w:val="24"/>
              </w:rPr>
            </w:pPr>
            <w:r>
              <w:rPr>
                <w:sz w:val="21"/>
              </w:rPr>
              <w:t>21B</w:t>
            </w:r>
            <w:r>
              <w:rPr>
                <w:sz w:val="24"/>
              </w:rPr>
              <w:t xml:space="preserve"> </w:t>
            </w:r>
          </w:p>
        </w:tc>
      </w:tr>
      <w:tr w:rsidR="00A71EEF" w14:paraId="5B992F97" w14:textId="77777777">
        <w:trPr>
          <w:trHeight w:val="405"/>
        </w:trPr>
        <w:tc>
          <w:tcPr>
            <w:tcW w:w="1970" w:type="dxa"/>
            <w:vMerge/>
            <w:tcBorders>
              <w:top w:val="nil"/>
            </w:tcBorders>
          </w:tcPr>
          <w:p w14:paraId="610CA0A5" w14:textId="77777777" w:rsidR="00A71EEF" w:rsidRDefault="00A71EEF">
            <w:pPr>
              <w:rPr>
                <w:sz w:val="2"/>
                <w:szCs w:val="2"/>
              </w:rPr>
            </w:pPr>
          </w:p>
        </w:tc>
        <w:tc>
          <w:tcPr>
            <w:tcW w:w="1241" w:type="dxa"/>
          </w:tcPr>
          <w:p w14:paraId="3C7BD5E0" w14:textId="77777777" w:rsidR="00A71EEF" w:rsidRDefault="0081115D">
            <w:pPr>
              <w:pStyle w:val="TableParagraph"/>
              <w:spacing w:before="68"/>
              <w:ind w:right="383"/>
              <w:jc w:val="right"/>
              <w:rPr>
                <w:sz w:val="24"/>
              </w:rPr>
            </w:pPr>
            <w:r>
              <w:rPr>
                <w:sz w:val="21"/>
              </w:rPr>
              <w:t>―</w:t>
            </w:r>
            <w:r>
              <w:rPr>
                <w:sz w:val="24"/>
              </w:rPr>
              <w:t xml:space="preserve"> </w:t>
            </w:r>
          </w:p>
        </w:tc>
        <w:tc>
          <w:tcPr>
            <w:tcW w:w="1250" w:type="dxa"/>
          </w:tcPr>
          <w:p w14:paraId="75C8B67B" w14:textId="77777777" w:rsidR="00A71EEF" w:rsidRDefault="0081115D">
            <w:pPr>
              <w:pStyle w:val="TableParagraph"/>
              <w:spacing w:before="68"/>
              <w:ind w:right="440"/>
              <w:jc w:val="right"/>
              <w:rPr>
                <w:sz w:val="24"/>
              </w:rPr>
            </w:pPr>
            <w:r>
              <w:rPr>
                <w:sz w:val="21"/>
              </w:rPr>
              <w:t>3</w:t>
            </w:r>
            <w:r>
              <w:rPr>
                <w:sz w:val="24"/>
              </w:rPr>
              <w:t xml:space="preserve"> </w:t>
            </w:r>
          </w:p>
        </w:tc>
        <w:tc>
          <w:tcPr>
            <w:tcW w:w="2530" w:type="dxa"/>
          </w:tcPr>
          <w:p w14:paraId="300D9128" w14:textId="77777777" w:rsidR="00A71EEF" w:rsidRDefault="0081115D">
            <w:pPr>
              <w:pStyle w:val="TableParagraph"/>
              <w:spacing w:before="68"/>
              <w:ind w:left="351" w:right="222"/>
              <w:jc w:val="center"/>
              <w:rPr>
                <w:sz w:val="24"/>
              </w:rPr>
            </w:pPr>
            <w:r>
              <w:rPr>
                <w:sz w:val="21"/>
              </w:rPr>
              <w:t>MT3</w:t>
            </w:r>
            <w:r>
              <w:rPr>
                <w:sz w:val="24"/>
              </w:rPr>
              <w:t xml:space="preserve"> </w:t>
            </w:r>
          </w:p>
        </w:tc>
        <w:tc>
          <w:tcPr>
            <w:tcW w:w="1335" w:type="dxa"/>
          </w:tcPr>
          <w:p w14:paraId="13868AC5" w14:textId="77777777" w:rsidR="00A71EEF" w:rsidRDefault="0081115D">
            <w:pPr>
              <w:pStyle w:val="TableParagraph"/>
              <w:spacing w:before="68"/>
              <w:ind w:left="286" w:right="159"/>
              <w:jc w:val="center"/>
              <w:rPr>
                <w:sz w:val="24"/>
              </w:rPr>
            </w:pPr>
            <w:r>
              <w:rPr>
                <w:sz w:val="21"/>
              </w:rPr>
              <w:t>―</w:t>
            </w:r>
            <w:r>
              <w:rPr>
                <w:sz w:val="24"/>
              </w:rPr>
              <w:t xml:space="preserve"> </w:t>
            </w:r>
          </w:p>
        </w:tc>
        <w:tc>
          <w:tcPr>
            <w:tcW w:w="617" w:type="dxa"/>
          </w:tcPr>
          <w:p w14:paraId="2B8655E0" w14:textId="77777777" w:rsidR="00A71EEF" w:rsidRDefault="0081115D">
            <w:pPr>
              <w:pStyle w:val="TableParagraph"/>
              <w:spacing w:before="68"/>
              <w:ind w:left="133" w:right="2"/>
              <w:jc w:val="center"/>
              <w:rPr>
                <w:sz w:val="24"/>
              </w:rPr>
            </w:pPr>
            <w:r>
              <w:rPr>
                <w:sz w:val="21"/>
              </w:rPr>
              <w:t>21B</w:t>
            </w:r>
            <w:r>
              <w:rPr>
                <w:sz w:val="24"/>
              </w:rPr>
              <w:t xml:space="preserve"> </w:t>
            </w:r>
          </w:p>
        </w:tc>
      </w:tr>
      <w:tr w:rsidR="00A71EEF" w14:paraId="15245E5F" w14:textId="77777777">
        <w:trPr>
          <w:trHeight w:val="405"/>
        </w:trPr>
        <w:tc>
          <w:tcPr>
            <w:tcW w:w="1970" w:type="dxa"/>
            <w:vMerge/>
            <w:tcBorders>
              <w:top w:val="nil"/>
            </w:tcBorders>
          </w:tcPr>
          <w:p w14:paraId="1EC39D0F" w14:textId="77777777" w:rsidR="00A71EEF" w:rsidRDefault="00A71EEF">
            <w:pPr>
              <w:rPr>
                <w:sz w:val="2"/>
                <w:szCs w:val="2"/>
              </w:rPr>
            </w:pPr>
          </w:p>
        </w:tc>
        <w:tc>
          <w:tcPr>
            <w:tcW w:w="1241" w:type="dxa"/>
          </w:tcPr>
          <w:p w14:paraId="516CFCD3" w14:textId="77777777" w:rsidR="00A71EEF" w:rsidRDefault="0081115D">
            <w:pPr>
              <w:pStyle w:val="TableParagraph"/>
              <w:spacing w:before="68"/>
              <w:ind w:right="383"/>
              <w:jc w:val="right"/>
              <w:rPr>
                <w:sz w:val="24"/>
              </w:rPr>
            </w:pPr>
            <w:r>
              <w:rPr>
                <w:sz w:val="21"/>
              </w:rPr>
              <w:t>―</w:t>
            </w:r>
            <w:r>
              <w:rPr>
                <w:sz w:val="24"/>
              </w:rPr>
              <w:t xml:space="preserve"> </w:t>
            </w:r>
          </w:p>
        </w:tc>
        <w:tc>
          <w:tcPr>
            <w:tcW w:w="1250" w:type="dxa"/>
          </w:tcPr>
          <w:p w14:paraId="5D2C0337" w14:textId="77777777" w:rsidR="00A71EEF" w:rsidRDefault="0081115D">
            <w:pPr>
              <w:pStyle w:val="TableParagraph"/>
              <w:spacing w:before="68"/>
              <w:ind w:right="440"/>
              <w:jc w:val="right"/>
              <w:rPr>
                <w:sz w:val="24"/>
              </w:rPr>
            </w:pPr>
            <w:r>
              <w:rPr>
                <w:sz w:val="21"/>
              </w:rPr>
              <w:t>5</w:t>
            </w:r>
            <w:r>
              <w:rPr>
                <w:sz w:val="24"/>
              </w:rPr>
              <w:t xml:space="preserve"> </w:t>
            </w:r>
          </w:p>
        </w:tc>
        <w:tc>
          <w:tcPr>
            <w:tcW w:w="2530" w:type="dxa"/>
          </w:tcPr>
          <w:p w14:paraId="7C8449A4" w14:textId="77777777" w:rsidR="00A71EEF" w:rsidRDefault="0081115D">
            <w:pPr>
              <w:pStyle w:val="TableParagraph"/>
              <w:spacing w:before="68"/>
              <w:ind w:left="351" w:right="222"/>
              <w:jc w:val="center"/>
              <w:rPr>
                <w:sz w:val="24"/>
              </w:rPr>
            </w:pPr>
            <w:r>
              <w:rPr>
                <w:sz w:val="21"/>
              </w:rPr>
              <w:t>MT5</w:t>
            </w:r>
            <w:r>
              <w:rPr>
                <w:sz w:val="24"/>
              </w:rPr>
              <w:t xml:space="preserve"> </w:t>
            </w:r>
          </w:p>
        </w:tc>
        <w:tc>
          <w:tcPr>
            <w:tcW w:w="1335" w:type="dxa"/>
          </w:tcPr>
          <w:p w14:paraId="7A0A11A9" w14:textId="77777777" w:rsidR="00A71EEF" w:rsidRDefault="0081115D">
            <w:pPr>
              <w:pStyle w:val="TableParagraph"/>
              <w:spacing w:before="68"/>
              <w:ind w:left="286" w:right="159"/>
              <w:jc w:val="center"/>
              <w:rPr>
                <w:sz w:val="24"/>
              </w:rPr>
            </w:pPr>
            <w:r>
              <w:rPr>
                <w:sz w:val="21"/>
              </w:rPr>
              <w:t>―</w:t>
            </w:r>
            <w:r>
              <w:rPr>
                <w:sz w:val="24"/>
              </w:rPr>
              <w:t xml:space="preserve"> </w:t>
            </w:r>
          </w:p>
        </w:tc>
        <w:tc>
          <w:tcPr>
            <w:tcW w:w="617" w:type="dxa"/>
          </w:tcPr>
          <w:p w14:paraId="6F546E9D" w14:textId="77777777" w:rsidR="00A71EEF" w:rsidRDefault="0081115D">
            <w:pPr>
              <w:pStyle w:val="TableParagraph"/>
              <w:spacing w:before="68"/>
              <w:ind w:left="133" w:right="2"/>
              <w:jc w:val="center"/>
              <w:rPr>
                <w:sz w:val="24"/>
              </w:rPr>
            </w:pPr>
            <w:r>
              <w:rPr>
                <w:sz w:val="21"/>
              </w:rPr>
              <w:t>34B</w:t>
            </w:r>
            <w:r>
              <w:rPr>
                <w:sz w:val="24"/>
              </w:rPr>
              <w:t xml:space="preserve"> </w:t>
            </w:r>
          </w:p>
        </w:tc>
      </w:tr>
    </w:tbl>
    <w:p w14:paraId="2F451431" w14:textId="77777777" w:rsidR="00A71EEF" w:rsidRDefault="00A71EEF">
      <w:pPr>
        <w:jc w:val="center"/>
        <w:rPr>
          <w:sz w:val="24"/>
        </w:rPr>
        <w:sectPr w:rsidR="00A71EEF">
          <w:pgSz w:w="11910" w:h="16850"/>
          <w:pgMar w:top="1040" w:right="0" w:bottom="1420" w:left="1260" w:header="0" w:footer="1159"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1241"/>
        <w:gridCol w:w="1250"/>
        <w:gridCol w:w="2530"/>
        <w:gridCol w:w="1335"/>
        <w:gridCol w:w="617"/>
      </w:tblGrid>
      <w:tr w:rsidR="00A71EEF" w14:paraId="066BD802" w14:textId="77777777">
        <w:trPr>
          <w:trHeight w:val="405"/>
        </w:trPr>
        <w:tc>
          <w:tcPr>
            <w:tcW w:w="1970" w:type="dxa"/>
          </w:tcPr>
          <w:p w14:paraId="08245FB1" w14:textId="77777777" w:rsidR="00A71EEF" w:rsidRDefault="00A71EEF">
            <w:pPr>
              <w:pStyle w:val="TableParagraph"/>
              <w:rPr>
                <w:rFonts w:ascii="Times New Roman"/>
                <w:sz w:val="20"/>
              </w:rPr>
            </w:pPr>
          </w:p>
        </w:tc>
        <w:tc>
          <w:tcPr>
            <w:tcW w:w="1241" w:type="dxa"/>
          </w:tcPr>
          <w:p w14:paraId="7677AC24" w14:textId="77777777" w:rsidR="00A71EEF" w:rsidRDefault="0081115D">
            <w:pPr>
              <w:pStyle w:val="TableParagraph"/>
              <w:spacing w:before="65"/>
              <w:ind w:left="514"/>
              <w:rPr>
                <w:sz w:val="24"/>
              </w:rPr>
            </w:pPr>
            <w:r>
              <w:rPr>
                <w:sz w:val="21"/>
              </w:rPr>
              <w:t>―</w:t>
            </w:r>
            <w:r>
              <w:rPr>
                <w:sz w:val="24"/>
              </w:rPr>
              <w:t xml:space="preserve"> </w:t>
            </w:r>
          </w:p>
        </w:tc>
        <w:tc>
          <w:tcPr>
            <w:tcW w:w="1250" w:type="dxa"/>
          </w:tcPr>
          <w:p w14:paraId="6813CCAC" w14:textId="77777777" w:rsidR="00A71EEF" w:rsidRDefault="0081115D">
            <w:pPr>
              <w:pStyle w:val="TableParagraph"/>
              <w:spacing w:before="65"/>
              <w:ind w:left="612" w:right="483"/>
              <w:jc w:val="center"/>
              <w:rPr>
                <w:sz w:val="24"/>
              </w:rPr>
            </w:pPr>
            <w:r>
              <w:rPr>
                <w:sz w:val="21"/>
              </w:rPr>
              <w:t>7</w:t>
            </w:r>
            <w:r>
              <w:rPr>
                <w:sz w:val="24"/>
              </w:rPr>
              <w:t xml:space="preserve"> </w:t>
            </w:r>
          </w:p>
        </w:tc>
        <w:tc>
          <w:tcPr>
            <w:tcW w:w="2530" w:type="dxa"/>
          </w:tcPr>
          <w:p w14:paraId="5A9FDC64" w14:textId="77777777" w:rsidR="00A71EEF" w:rsidRDefault="0081115D">
            <w:pPr>
              <w:pStyle w:val="TableParagraph"/>
              <w:spacing w:before="65"/>
              <w:ind w:left="351" w:right="222"/>
              <w:jc w:val="center"/>
              <w:rPr>
                <w:sz w:val="24"/>
              </w:rPr>
            </w:pPr>
            <w:r>
              <w:rPr>
                <w:sz w:val="21"/>
              </w:rPr>
              <w:t>MT7</w:t>
            </w:r>
            <w:r>
              <w:rPr>
                <w:sz w:val="24"/>
              </w:rPr>
              <w:t xml:space="preserve"> </w:t>
            </w:r>
          </w:p>
        </w:tc>
        <w:tc>
          <w:tcPr>
            <w:tcW w:w="1335" w:type="dxa"/>
          </w:tcPr>
          <w:p w14:paraId="41D6D679" w14:textId="77777777" w:rsidR="00A71EEF" w:rsidRDefault="0081115D">
            <w:pPr>
              <w:pStyle w:val="TableParagraph"/>
              <w:spacing w:before="65"/>
              <w:ind w:left="560"/>
              <w:rPr>
                <w:sz w:val="24"/>
              </w:rPr>
            </w:pPr>
            <w:r>
              <w:rPr>
                <w:sz w:val="21"/>
              </w:rPr>
              <w:t>―</w:t>
            </w:r>
            <w:r>
              <w:rPr>
                <w:sz w:val="24"/>
              </w:rPr>
              <w:t xml:space="preserve"> </w:t>
            </w:r>
          </w:p>
        </w:tc>
        <w:tc>
          <w:tcPr>
            <w:tcW w:w="617" w:type="dxa"/>
          </w:tcPr>
          <w:p w14:paraId="69EEBA3E" w14:textId="77777777" w:rsidR="00A71EEF" w:rsidRDefault="0081115D">
            <w:pPr>
              <w:pStyle w:val="TableParagraph"/>
              <w:spacing w:before="65"/>
              <w:ind w:left="152"/>
              <w:rPr>
                <w:sz w:val="24"/>
              </w:rPr>
            </w:pPr>
            <w:r>
              <w:rPr>
                <w:sz w:val="21"/>
              </w:rPr>
              <w:t>55B</w:t>
            </w:r>
            <w:r>
              <w:rPr>
                <w:sz w:val="24"/>
              </w:rPr>
              <w:t xml:space="preserve"> </w:t>
            </w:r>
          </w:p>
        </w:tc>
      </w:tr>
    </w:tbl>
    <w:p w14:paraId="724A8563" w14:textId="77777777" w:rsidR="00A71EEF" w:rsidRDefault="00A71EEF">
      <w:pPr>
        <w:pStyle w:val="a3"/>
        <w:rPr>
          <w:b/>
          <w:sz w:val="20"/>
        </w:rPr>
      </w:pPr>
    </w:p>
    <w:p w14:paraId="2FEC1DCD" w14:textId="77777777" w:rsidR="00A71EEF" w:rsidRDefault="00A71EEF">
      <w:pPr>
        <w:pStyle w:val="a3"/>
        <w:spacing w:before="4"/>
        <w:rPr>
          <w:b/>
          <w:sz w:val="18"/>
        </w:rPr>
      </w:pPr>
    </w:p>
    <w:p w14:paraId="10401E9D" w14:textId="77777777" w:rsidR="00A71EEF" w:rsidRDefault="0081115D">
      <w:pPr>
        <w:spacing w:before="71" w:after="40"/>
        <w:ind w:left="2677"/>
        <w:rPr>
          <w:b/>
          <w:sz w:val="21"/>
        </w:rPr>
      </w:pPr>
      <w:r>
        <w:rPr>
          <w:b/>
          <w:sz w:val="21"/>
        </w:rPr>
        <w:t>表</w:t>
      </w:r>
      <w:r>
        <w:rPr>
          <w:b/>
          <w:sz w:val="21"/>
        </w:rPr>
        <w:t xml:space="preserve"> A.0.2 </w:t>
      </w:r>
      <w:r>
        <w:rPr>
          <w:b/>
          <w:sz w:val="21"/>
        </w:rPr>
        <w:t>推车式灭火器类型、规格和灭火级别</w:t>
      </w:r>
      <w:r>
        <w:rPr>
          <w:b/>
          <w:w w:val="99"/>
          <w:sz w:val="21"/>
        </w:rPr>
        <w:t xml:space="preserve"> </w:t>
      </w:r>
    </w:p>
    <w:tbl>
      <w:tblPr>
        <w:tblStyle w:val="TableNormal"/>
        <w:tblW w:w="0" w:type="auto"/>
        <w:tblInd w:w="5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78"/>
        <w:gridCol w:w="1129"/>
        <w:gridCol w:w="1232"/>
        <w:gridCol w:w="2713"/>
        <w:gridCol w:w="1014"/>
        <w:gridCol w:w="454"/>
      </w:tblGrid>
      <w:tr w:rsidR="00A71EEF" w14:paraId="7067B9DA" w14:textId="77777777">
        <w:trPr>
          <w:trHeight w:val="501"/>
        </w:trPr>
        <w:tc>
          <w:tcPr>
            <w:tcW w:w="1978" w:type="dxa"/>
            <w:vMerge w:val="restart"/>
          </w:tcPr>
          <w:p w14:paraId="06E3180C" w14:textId="77777777" w:rsidR="00A71EEF" w:rsidRDefault="00A71EEF">
            <w:pPr>
              <w:pStyle w:val="TableParagraph"/>
              <w:spacing w:before="1"/>
              <w:rPr>
                <w:b/>
                <w:sz w:val="35"/>
              </w:rPr>
            </w:pPr>
          </w:p>
          <w:p w14:paraId="511E41E0" w14:textId="77777777" w:rsidR="00A71EEF" w:rsidRDefault="0081115D">
            <w:pPr>
              <w:pStyle w:val="TableParagraph"/>
              <w:ind w:left="462"/>
              <w:rPr>
                <w:sz w:val="24"/>
              </w:rPr>
            </w:pPr>
            <w:r>
              <w:rPr>
                <w:sz w:val="21"/>
              </w:rPr>
              <w:t>灭火器类型</w:t>
            </w:r>
            <w:r>
              <w:rPr>
                <w:sz w:val="24"/>
              </w:rPr>
              <w:t xml:space="preserve"> </w:t>
            </w:r>
          </w:p>
        </w:tc>
        <w:tc>
          <w:tcPr>
            <w:tcW w:w="2361" w:type="dxa"/>
            <w:gridSpan w:val="2"/>
          </w:tcPr>
          <w:p w14:paraId="10D20D16" w14:textId="77777777" w:rsidR="00A71EEF" w:rsidRDefault="0081115D">
            <w:pPr>
              <w:pStyle w:val="TableParagraph"/>
              <w:spacing w:before="193"/>
              <w:ind w:left="129" w:right="-15"/>
              <w:rPr>
                <w:sz w:val="24"/>
              </w:rPr>
            </w:pPr>
            <w:r>
              <w:rPr>
                <w:spacing w:val="-2"/>
                <w:sz w:val="21"/>
              </w:rPr>
              <w:t>灭火剂充装量</w:t>
            </w:r>
            <w:r>
              <w:rPr>
                <w:spacing w:val="-3"/>
                <w:sz w:val="21"/>
              </w:rPr>
              <w:t>（</w:t>
            </w:r>
            <w:r>
              <w:rPr>
                <w:spacing w:val="-2"/>
                <w:sz w:val="21"/>
              </w:rPr>
              <w:t>规格</w:t>
            </w:r>
            <w:r>
              <w:rPr>
                <w:spacing w:val="-3"/>
                <w:sz w:val="21"/>
              </w:rPr>
              <w:t>）</w:t>
            </w:r>
            <w:r>
              <w:rPr>
                <w:sz w:val="24"/>
              </w:rPr>
              <w:t xml:space="preserve"> </w:t>
            </w:r>
          </w:p>
        </w:tc>
        <w:tc>
          <w:tcPr>
            <w:tcW w:w="2713" w:type="dxa"/>
            <w:vMerge w:val="restart"/>
          </w:tcPr>
          <w:p w14:paraId="654CCF3F" w14:textId="77777777" w:rsidR="00A71EEF" w:rsidRDefault="0081115D">
            <w:pPr>
              <w:pStyle w:val="TableParagraph"/>
              <w:spacing w:before="10" w:line="500" w:lineRule="exact"/>
              <w:ind w:left="1143" w:right="184" w:hanging="946"/>
              <w:rPr>
                <w:sz w:val="24"/>
              </w:rPr>
            </w:pPr>
            <w:r>
              <w:rPr>
                <w:sz w:val="21"/>
              </w:rPr>
              <w:t>灭火器类型规格代码（型号）</w:t>
            </w:r>
            <w:r>
              <w:rPr>
                <w:sz w:val="24"/>
              </w:rPr>
              <w:t xml:space="preserve"> </w:t>
            </w:r>
          </w:p>
        </w:tc>
        <w:tc>
          <w:tcPr>
            <w:tcW w:w="1468" w:type="dxa"/>
            <w:gridSpan w:val="2"/>
          </w:tcPr>
          <w:p w14:paraId="4EB77DF3" w14:textId="77777777" w:rsidR="00A71EEF" w:rsidRDefault="0081115D">
            <w:pPr>
              <w:pStyle w:val="TableParagraph"/>
              <w:spacing w:before="193"/>
              <w:ind w:left="310"/>
              <w:rPr>
                <w:sz w:val="24"/>
              </w:rPr>
            </w:pPr>
            <w:r>
              <w:rPr>
                <w:sz w:val="21"/>
              </w:rPr>
              <w:t>灭火级别</w:t>
            </w:r>
            <w:r>
              <w:rPr>
                <w:sz w:val="24"/>
              </w:rPr>
              <w:t xml:space="preserve"> </w:t>
            </w:r>
          </w:p>
        </w:tc>
      </w:tr>
      <w:tr w:rsidR="00A71EEF" w14:paraId="18716DDF" w14:textId="77777777">
        <w:trPr>
          <w:trHeight w:val="500"/>
        </w:trPr>
        <w:tc>
          <w:tcPr>
            <w:tcW w:w="1978" w:type="dxa"/>
            <w:vMerge/>
            <w:tcBorders>
              <w:top w:val="nil"/>
            </w:tcBorders>
          </w:tcPr>
          <w:p w14:paraId="5651D395" w14:textId="77777777" w:rsidR="00A71EEF" w:rsidRDefault="00A71EEF">
            <w:pPr>
              <w:rPr>
                <w:sz w:val="2"/>
                <w:szCs w:val="2"/>
              </w:rPr>
            </w:pPr>
          </w:p>
        </w:tc>
        <w:tc>
          <w:tcPr>
            <w:tcW w:w="1129" w:type="dxa"/>
          </w:tcPr>
          <w:p w14:paraId="1C2EF0D8" w14:textId="77777777" w:rsidR="00A71EEF" w:rsidRDefault="0081115D">
            <w:pPr>
              <w:pStyle w:val="TableParagraph"/>
              <w:spacing w:before="190"/>
              <w:ind w:left="548" w:right="420"/>
              <w:jc w:val="center"/>
              <w:rPr>
                <w:sz w:val="24"/>
              </w:rPr>
            </w:pPr>
            <w:r>
              <w:rPr>
                <w:sz w:val="21"/>
              </w:rPr>
              <w:t>L</w:t>
            </w:r>
            <w:r>
              <w:rPr>
                <w:sz w:val="24"/>
              </w:rPr>
              <w:t xml:space="preserve"> </w:t>
            </w:r>
          </w:p>
        </w:tc>
        <w:tc>
          <w:tcPr>
            <w:tcW w:w="1232" w:type="dxa"/>
          </w:tcPr>
          <w:p w14:paraId="4FDA4FA8" w14:textId="77777777" w:rsidR="00A71EEF" w:rsidRDefault="0081115D">
            <w:pPr>
              <w:pStyle w:val="TableParagraph"/>
              <w:spacing w:before="190"/>
              <w:ind w:right="376"/>
              <w:jc w:val="right"/>
              <w:rPr>
                <w:sz w:val="24"/>
              </w:rPr>
            </w:pPr>
            <w:r>
              <w:rPr>
                <w:sz w:val="21"/>
              </w:rPr>
              <w:t>kg</w:t>
            </w:r>
            <w:r>
              <w:rPr>
                <w:sz w:val="24"/>
              </w:rPr>
              <w:t xml:space="preserve"> </w:t>
            </w:r>
          </w:p>
        </w:tc>
        <w:tc>
          <w:tcPr>
            <w:tcW w:w="2713" w:type="dxa"/>
            <w:vMerge/>
            <w:tcBorders>
              <w:top w:val="nil"/>
            </w:tcBorders>
          </w:tcPr>
          <w:p w14:paraId="052EBAEC" w14:textId="77777777" w:rsidR="00A71EEF" w:rsidRDefault="00A71EEF">
            <w:pPr>
              <w:rPr>
                <w:sz w:val="2"/>
                <w:szCs w:val="2"/>
              </w:rPr>
            </w:pPr>
          </w:p>
        </w:tc>
        <w:tc>
          <w:tcPr>
            <w:tcW w:w="1014" w:type="dxa"/>
          </w:tcPr>
          <w:p w14:paraId="6CC5AFDF" w14:textId="77777777" w:rsidR="00A71EEF" w:rsidRDefault="0081115D">
            <w:pPr>
              <w:pStyle w:val="TableParagraph"/>
              <w:spacing w:before="190"/>
              <w:ind w:right="190"/>
              <w:jc w:val="right"/>
              <w:rPr>
                <w:sz w:val="24"/>
              </w:rPr>
            </w:pPr>
            <w:r>
              <w:rPr>
                <w:sz w:val="21"/>
              </w:rPr>
              <w:t xml:space="preserve">A </w:t>
            </w:r>
            <w:r>
              <w:rPr>
                <w:sz w:val="21"/>
              </w:rPr>
              <w:t>类</w:t>
            </w:r>
            <w:r>
              <w:rPr>
                <w:sz w:val="24"/>
              </w:rPr>
              <w:t xml:space="preserve"> </w:t>
            </w:r>
          </w:p>
        </w:tc>
        <w:tc>
          <w:tcPr>
            <w:tcW w:w="454" w:type="dxa"/>
          </w:tcPr>
          <w:p w14:paraId="76F8EA6E" w14:textId="77777777" w:rsidR="00A71EEF" w:rsidRDefault="00A71EEF">
            <w:pPr>
              <w:pStyle w:val="TableParagraph"/>
              <w:spacing w:before="11"/>
              <w:rPr>
                <w:b/>
                <w:sz w:val="14"/>
              </w:rPr>
            </w:pPr>
          </w:p>
          <w:p w14:paraId="464677DF" w14:textId="77777777" w:rsidR="00A71EEF" w:rsidRDefault="0081115D">
            <w:pPr>
              <w:pStyle w:val="TableParagraph"/>
              <w:ind w:left="37"/>
              <w:rPr>
                <w:sz w:val="21"/>
              </w:rPr>
            </w:pPr>
            <w:r>
              <w:rPr>
                <w:sz w:val="21"/>
              </w:rPr>
              <w:t>B</w:t>
            </w:r>
            <w:r>
              <w:rPr>
                <w:spacing w:val="-26"/>
                <w:sz w:val="21"/>
              </w:rPr>
              <w:t xml:space="preserve"> </w:t>
            </w:r>
            <w:r>
              <w:rPr>
                <w:spacing w:val="-26"/>
                <w:sz w:val="21"/>
              </w:rPr>
              <w:t>类</w:t>
            </w:r>
          </w:p>
        </w:tc>
      </w:tr>
      <w:tr w:rsidR="00A71EEF" w14:paraId="673F7AAE" w14:textId="77777777">
        <w:trPr>
          <w:trHeight w:val="498"/>
        </w:trPr>
        <w:tc>
          <w:tcPr>
            <w:tcW w:w="1978" w:type="dxa"/>
            <w:vMerge w:val="restart"/>
          </w:tcPr>
          <w:p w14:paraId="5290BEE8" w14:textId="77777777" w:rsidR="00A71EEF" w:rsidRDefault="00A71EEF">
            <w:pPr>
              <w:pStyle w:val="TableParagraph"/>
              <w:rPr>
                <w:b/>
                <w:sz w:val="24"/>
              </w:rPr>
            </w:pPr>
          </w:p>
          <w:p w14:paraId="15F89B48" w14:textId="77777777" w:rsidR="00A71EEF" w:rsidRDefault="00A71EEF">
            <w:pPr>
              <w:pStyle w:val="TableParagraph"/>
              <w:rPr>
                <w:b/>
                <w:sz w:val="24"/>
              </w:rPr>
            </w:pPr>
          </w:p>
          <w:p w14:paraId="7D69DA31" w14:textId="77777777" w:rsidR="00A71EEF" w:rsidRDefault="00A71EEF">
            <w:pPr>
              <w:pStyle w:val="TableParagraph"/>
              <w:spacing w:before="2"/>
              <w:rPr>
                <w:b/>
                <w:sz w:val="27"/>
              </w:rPr>
            </w:pPr>
          </w:p>
          <w:p w14:paraId="60E47D1D" w14:textId="77777777" w:rsidR="00A71EEF" w:rsidRDefault="0081115D">
            <w:pPr>
              <w:pStyle w:val="TableParagraph"/>
              <w:ind w:left="777"/>
              <w:rPr>
                <w:sz w:val="24"/>
              </w:rPr>
            </w:pPr>
            <w:r>
              <w:rPr>
                <w:sz w:val="21"/>
              </w:rPr>
              <w:t>水型</w:t>
            </w:r>
            <w:r>
              <w:rPr>
                <w:sz w:val="24"/>
              </w:rPr>
              <w:t xml:space="preserve"> </w:t>
            </w:r>
          </w:p>
        </w:tc>
        <w:tc>
          <w:tcPr>
            <w:tcW w:w="1129" w:type="dxa"/>
          </w:tcPr>
          <w:p w14:paraId="38A0B05B" w14:textId="77777777" w:rsidR="00A71EEF" w:rsidRDefault="0081115D">
            <w:pPr>
              <w:pStyle w:val="TableParagraph"/>
              <w:spacing w:before="190"/>
              <w:ind w:left="455"/>
              <w:rPr>
                <w:sz w:val="24"/>
              </w:rPr>
            </w:pPr>
            <w:r>
              <w:rPr>
                <w:sz w:val="21"/>
              </w:rPr>
              <w:t>20</w:t>
            </w:r>
            <w:r>
              <w:rPr>
                <w:sz w:val="24"/>
              </w:rPr>
              <w:t xml:space="preserve"> </w:t>
            </w:r>
          </w:p>
        </w:tc>
        <w:tc>
          <w:tcPr>
            <w:tcW w:w="1232" w:type="dxa"/>
          </w:tcPr>
          <w:p w14:paraId="079A5F57" w14:textId="77777777" w:rsidR="00A71EEF" w:rsidRDefault="0081115D">
            <w:pPr>
              <w:pStyle w:val="TableParagraph"/>
              <w:spacing w:before="160"/>
              <w:ind w:right="376"/>
              <w:jc w:val="right"/>
              <w:rPr>
                <w:sz w:val="24"/>
              </w:rPr>
            </w:pPr>
            <w:r>
              <w:rPr>
                <w:sz w:val="21"/>
              </w:rPr>
              <w:t xml:space="preserve"> </w:t>
            </w:r>
            <w:r>
              <w:rPr>
                <w:sz w:val="21"/>
              </w:rPr>
              <w:t xml:space="preserve"> </w:t>
            </w:r>
            <w:r>
              <w:rPr>
                <w:sz w:val="24"/>
              </w:rPr>
              <w:t xml:space="preserve"> </w:t>
            </w:r>
          </w:p>
        </w:tc>
        <w:tc>
          <w:tcPr>
            <w:tcW w:w="2713" w:type="dxa"/>
          </w:tcPr>
          <w:p w14:paraId="48483CA2" w14:textId="77777777" w:rsidR="00A71EEF" w:rsidRDefault="0081115D">
            <w:pPr>
              <w:pStyle w:val="TableParagraph"/>
              <w:spacing w:before="190"/>
              <w:ind w:left="604" w:right="476"/>
              <w:jc w:val="center"/>
              <w:rPr>
                <w:sz w:val="24"/>
              </w:rPr>
            </w:pPr>
            <w:r>
              <w:rPr>
                <w:sz w:val="21"/>
              </w:rPr>
              <w:t>MST20</w:t>
            </w:r>
            <w:r>
              <w:rPr>
                <w:sz w:val="24"/>
              </w:rPr>
              <w:t xml:space="preserve"> </w:t>
            </w:r>
          </w:p>
        </w:tc>
        <w:tc>
          <w:tcPr>
            <w:tcW w:w="1014" w:type="dxa"/>
          </w:tcPr>
          <w:p w14:paraId="164AFD41" w14:textId="77777777" w:rsidR="00A71EEF" w:rsidRDefault="0081115D">
            <w:pPr>
              <w:pStyle w:val="TableParagraph"/>
              <w:spacing w:before="190"/>
              <w:ind w:right="266"/>
              <w:jc w:val="right"/>
              <w:rPr>
                <w:sz w:val="24"/>
              </w:rPr>
            </w:pPr>
            <w:r>
              <w:rPr>
                <w:sz w:val="21"/>
              </w:rPr>
              <w:t>4A</w:t>
            </w:r>
            <w:r>
              <w:rPr>
                <w:sz w:val="24"/>
              </w:rPr>
              <w:t xml:space="preserve"> </w:t>
            </w:r>
          </w:p>
        </w:tc>
        <w:tc>
          <w:tcPr>
            <w:tcW w:w="454" w:type="dxa"/>
          </w:tcPr>
          <w:p w14:paraId="55E25764" w14:textId="77777777" w:rsidR="00A71EEF" w:rsidRDefault="0081115D">
            <w:pPr>
              <w:pStyle w:val="TableParagraph"/>
              <w:spacing w:before="190"/>
              <w:ind w:right="-15"/>
              <w:jc w:val="right"/>
              <w:rPr>
                <w:sz w:val="24"/>
              </w:rPr>
            </w:pPr>
            <w:r>
              <w:rPr>
                <w:sz w:val="21"/>
              </w:rPr>
              <w:t>―</w:t>
            </w:r>
            <w:r>
              <w:rPr>
                <w:sz w:val="24"/>
              </w:rPr>
              <w:t xml:space="preserve"> </w:t>
            </w:r>
          </w:p>
        </w:tc>
      </w:tr>
      <w:tr w:rsidR="00A71EEF" w14:paraId="1B5A640A" w14:textId="77777777">
        <w:trPr>
          <w:trHeight w:val="501"/>
        </w:trPr>
        <w:tc>
          <w:tcPr>
            <w:tcW w:w="1978" w:type="dxa"/>
            <w:vMerge/>
            <w:tcBorders>
              <w:top w:val="nil"/>
            </w:tcBorders>
          </w:tcPr>
          <w:p w14:paraId="09525FDF" w14:textId="77777777" w:rsidR="00A71EEF" w:rsidRDefault="00A71EEF">
            <w:pPr>
              <w:rPr>
                <w:sz w:val="2"/>
                <w:szCs w:val="2"/>
              </w:rPr>
            </w:pPr>
          </w:p>
        </w:tc>
        <w:tc>
          <w:tcPr>
            <w:tcW w:w="1129" w:type="dxa"/>
          </w:tcPr>
          <w:p w14:paraId="3834AEC0" w14:textId="77777777" w:rsidR="00A71EEF" w:rsidRDefault="0081115D">
            <w:pPr>
              <w:pStyle w:val="TableParagraph"/>
              <w:spacing w:before="190"/>
              <w:ind w:left="455"/>
              <w:rPr>
                <w:sz w:val="24"/>
              </w:rPr>
            </w:pPr>
            <w:r>
              <w:rPr>
                <w:sz w:val="21"/>
              </w:rPr>
              <w:t>45</w:t>
            </w:r>
            <w:r>
              <w:rPr>
                <w:sz w:val="24"/>
              </w:rPr>
              <w:t xml:space="preserve"> </w:t>
            </w:r>
          </w:p>
        </w:tc>
        <w:tc>
          <w:tcPr>
            <w:tcW w:w="1232" w:type="dxa"/>
          </w:tcPr>
          <w:p w14:paraId="5820D331" w14:textId="77777777" w:rsidR="00A71EEF" w:rsidRDefault="0081115D">
            <w:pPr>
              <w:pStyle w:val="TableParagraph"/>
              <w:spacing w:before="160"/>
              <w:ind w:right="376"/>
              <w:jc w:val="right"/>
              <w:rPr>
                <w:sz w:val="24"/>
              </w:rPr>
            </w:pPr>
            <w:r>
              <w:rPr>
                <w:sz w:val="21"/>
              </w:rPr>
              <w:t xml:space="preserve"> </w:t>
            </w:r>
            <w:r>
              <w:rPr>
                <w:sz w:val="21"/>
              </w:rPr>
              <w:t xml:space="preserve"> </w:t>
            </w:r>
            <w:r>
              <w:rPr>
                <w:sz w:val="24"/>
              </w:rPr>
              <w:t xml:space="preserve"> </w:t>
            </w:r>
          </w:p>
        </w:tc>
        <w:tc>
          <w:tcPr>
            <w:tcW w:w="2713" w:type="dxa"/>
          </w:tcPr>
          <w:p w14:paraId="7E52D7AA" w14:textId="77777777" w:rsidR="00A71EEF" w:rsidRDefault="0081115D">
            <w:pPr>
              <w:pStyle w:val="TableParagraph"/>
              <w:spacing w:before="190"/>
              <w:ind w:left="604" w:right="476"/>
              <w:jc w:val="center"/>
              <w:rPr>
                <w:sz w:val="24"/>
              </w:rPr>
            </w:pPr>
            <w:r>
              <w:rPr>
                <w:sz w:val="21"/>
              </w:rPr>
              <w:t>MST40</w:t>
            </w:r>
            <w:r>
              <w:rPr>
                <w:sz w:val="24"/>
              </w:rPr>
              <w:t xml:space="preserve"> </w:t>
            </w:r>
          </w:p>
        </w:tc>
        <w:tc>
          <w:tcPr>
            <w:tcW w:w="1014" w:type="dxa"/>
          </w:tcPr>
          <w:p w14:paraId="4B287EEE" w14:textId="77777777" w:rsidR="00A71EEF" w:rsidRDefault="0081115D">
            <w:pPr>
              <w:pStyle w:val="TableParagraph"/>
              <w:spacing w:before="190"/>
              <w:ind w:right="266"/>
              <w:jc w:val="right"/>
              <w:rPr>
                <w:sz w:val="24"/>
              </w:rPr>
            </w:pPr>
            <w:r>
              <w:rPr>
                <w:sz w:val="21"/>
              </w:rPr>
              <w:t>4A</w:t>
            </w:r>
            <w:r>
              <w:rPr>
                <w:sz w:val="24"/>
              </w:rPr>
              <w:t xml:space="preserve"> </w:t>
            </w:r>
          </w:p>
        </w:tc>
        <w:tc>
          <w:tcPr>
            <w:tcW w:w="454" w:type="dxa"/>
          </w:tcPr>
          <w:p w14:paraId="6B9A5922" w14:textId="77777777" w:rsidR="00A71EEF" w:rsidRDefault="0081115D">
            <w:pPr>
              <w:pStyle w:val="TableParagraph"/>
              <w:spacing w:before="190"/>
              <w:ind w:right="-15"/>
              <w:jc w:val="right"/>
              <w:rPr>
                <w:sz w:val="24"/>
              </w:rPr>
            </w:pPr>
            <w:r>
              <w:rPr>
                <w:sz w:val="21"/>
              </w:rPr>
              <w:t>―</w:t>
            </w:r>
            <w:r>
              <w:rPr>
                <w:sz w:val="24"/>
              </w:rPr>
              <w:t xml:space="preserve"> </w:t>
            </w:r>
          </w:p>
        </w:tc>
      </w:tr>
      <w:tr w:rsidR="00A71EEF" w14:paraId="55A4E18F" w14:textId="77777777">
        <w:trPr>
          <w:trHeight w:val="499"/>
        </w:trPr>
        <w:tc>
          <w:tcPr>
            <w:tcW w:w="1978" w:type="dxa"/>
            <w:vMerge/>
            <w:tcBorders>
              <w:top w:val="nil"/>
            </w:tcBorders>
          </w:tcPr>
          <w:p w14:paraId="75BCA2AE" w14:textId="77777777" w:rsidR="00A71EEF" w:rsidRDefault="00A71EEF">
            <w:pPr>
              <w:rPr>
                <w:sz w:val="2"/>
                <w:szCs w:val="2"/>
              </w:rPr>
            </w:pPr>
          </w:p>
        </w:tc>
        <w:tc>
          <w:tcPr>
            <w:tcW w:w="1129" w:type="dxa"/>
          </w:tcPr>
          <w:p w14:paraId="60B9DF40" w14:textId="77777777" w:rsidR="00A71EEF" w:rsidRDefault="0081115D">
            <w:pPr>
              <w:pStyle w:val="TableParagraph"/>
              <w:spacing w:before="191"/>
              <w:ind w:left="455"/>
              <w:rPr>
                <w:sz w:val="24"/>
              </w:rPr>
            </w:pPr>
            <w:r>
              <w:rPr>
                <w:sz w:val="21"/>
              </w:rPr>
              <w:t>60</w:t>
            </w:r>
            <w:r>
              <w:rPr>
                <w:sz w:val="24"/>
              </w:rPr>
              <w:t xml:space="preserve"> </w:t>
            </w:r>
          </w:p>
        </w:tc>
        <w:tc>
          <w:tcPr>
            <w:tcW w:w="1232" w:type="dxa"/>
          </w:tcPr>
          <w:p w14:paraId="55B685C5" w14:textId="77777777" w:rsidR="00A71EEF" w:rsidRDefault="0081115D">
            <w:pPr>
              <w:pStyle w:val="TableParagraph"/>
              <w:spacing w:before="161"/>
              <w:ind w:right="376"/>
              <w:jc w:val="right"/>
              <w:rPr>
                <w:sz w:val="24"/>
              </w:rPr>
            </w:pPr>
            <w:r>
              <w:rPr>
                <w:sz w:val="21"/>
              </w:rPr>
              <w:t xml:space="preserve"> </w:t>
            </w:r>
            <w:r>
              <w:rPr>
                <w:sz w:val="21"/>
              </w:rPr>
              <w:t xml:space="preserve"> </w:t>
            </w:r>
            <w:r>
              <w:rPr>
                <w:sz w:val="24"/>
              </w:rPr>
              <w:t xml:space="preserve"> </w:t>
            </w:r>
          </w:p>
        </w:tc>
        <w:tc>
          <w:tcPr>
            <w:tcW w:w="2713" w:type="dxa"/>
          </w:tcPr>
          <w:p w14:paraId="5636C981" w14:textId="77777777" w:rsidR="00A71EEF" w:rsidRDefault="0081115D">
            <w:pPr>
              <w:pStyle w:val="TableParagraph"/>
              <w:spacing w:before="191"/>
              <w:ind w:left="604" w:right="476"/>
              <w:jc w:val="center"/>
              <w:rPr>
                <w:sz w:val="24"/>
              </w:rPr>
            </w:pPr>
            <w:r>
              <w:rPr>
                <w:sz w:val="21"/>
              </w:rPr>
              <w:t>MST60</w:t>
            </w:r>
            <w:r>
              <w:rPr>
                <w:sz w:val="24"/>
              </w:rPr>
              <w:t xml:space="preserve"> </w:t>
            </w:r>
          </w:p>
        </w:tc>
        <w:tc>
          <w:tcPr>
            <w:tcW w:w="1014" w:type="dxa"/>
          </w:tcPr>
          <w:p w14:paraId="0EDD4C22" w14:textId="77777777" w:rsidR="00A71EEF" w:rsidRDefault="0081115D">
            <w:pPr>
              <w:pStyle w:val="TableParagraph"/>
              <w:spacing w:before="191"/>
              <w:ind w:right="266"/>
              <w:jc w:val="right"/>
              <w:rPr>
                <w:sz w:val="24"/>
              </w:rPr>
            </w:pPr>
            <w:r>
              <w:rPr>
                <w:sz w:val="21"/>
              </w:rPr>
              <w:t>4A</w:t>
            </w:r>
            <w:r>
              <w:rPr>
                <w:sz w:val="24"/>
              </w:rPr>
              <w:t xml:space="preserve"> </w:t>
            </w:r>
          </w:p>
        </w:tc>
        <w:tc>
          <w:tcPr>
            <w:tcW w:w="454" w:type="dxa"/>
          </w:tcPr>
          <w:p w14:paraId="5ABE67E7" w14:textId="77777777" w:rsidR="00A71EEF" w:rsidRDefault="0081115D">
            <w:pPr>
              <w:pStyle w:val="TableParagraph"/>
              <w:spacing w:before="191"/>
              <w:ind w:right="-15"/>
              <w:jc w:val="right"/>
              <w:rPr>
                <w:sz w:val="24"/>
              </w:rPr>
            </w:pPr>
            <w:r>
              <w:rPr>
                <w:sz w:val="21"/>
              </w:rPr>
              <w:t>―</w:t>
            </w:r>
            <w:r>
              <w:rPr>
                <w:sz w:val="24"/>
              </w:rPr>
              <w:t xml:space="preserve"> </w:t>
            </w:r>
          </w:p>
        </w:tc>
      </w:tr>
      <w:tr w:rsidR="00A71EEF" w14:paraId="0475D68E" w14:textId="77777777">
        <w:trPr>
          <w:trHeight w:val="501"/>
        </w:trPr>
        <w:tc>
          <w:tcPr>
            <w:tcW w:w="1978" w:type="dxa"/>
            <w:vMerge/>
            <w:tcBorders>
              <w:top w:val="nil"/>
            </w:tcBorders>
          </w:tcPr>
          <w:p w14:paraId="316E0038" w14:textId="77777777" w:rsidR="00A71EEF" w:rsidRDefault="00A71EEF">
            <w:pPr>
              <w:rPr>
                <w:sz w:val="2"/>
                <w:szCs w:val="2"/>
              </w:rPr>
            </w:pPr>
          </w:p>
        </w:tc>
        <w:tc>
          <w:tcPr>
            <w:tcW w:w="1129" w:type="dxa"/>
          </w:tcPr>
          <w:p w14:paraId="640B32F1" w14:textId="77777777" w:rsidR="00A71EEF" w:rsidRDefault="0081115D">
            <w:pPr>
              <w:pStyle w:val="TableParagraph"/>
              <w:spacing w:before="193"/>
              <w:ind w:left="405"/>
              <w:rPr>
                <w:sz w:val="24"/>
              </w:rPr>
            </w:pPr>
            <w:r>
              <w:rPr>
                <w:sz w:val="21"/>
              </w:rPr>
              <w:t>125</w:t>
            </w:r>
            <w:r>
              <w:rPr>
                <w:sz w:val="24"/>
              </w:rPr>
              <w:t xml:space="preserve"> </w:t>
            </w:r>
          </w:p>
        </w:tc>
        <w:tc>
          <w:tcPr>
            <w:tcW w:w="1232" w:type="dxa"/>
          </w:tcPr>
          <w:p w14:paraId="1CAE3626" w14:textId="77777777" w:rsidR="00A71EEF" w:rsidRDefault="0081115D">
            <w:pPr>
              <w:pStyle w:val="TableParagraph"/>
              <w:spacing w:before="163"/>
              <w:ind w:right="376"/>
              <w:jc w:val="right"/>
              <w:rPr>
                <w:sz w:val="24"/>
              </w:rPr>
            </w:pPr>
            <w:r>
              <w:rPr>
                <w:sz w:val="21"/>
              </w:rPr>
              <w:t xml:space="preserve"> </w:t>
            </w:r>
            <w:r>
              <w:rPr>
                <w:sz w:val="21"/>
              </w:rPr>
              <w:t xml:space="preserve"> </w:t>
            </w:r>
            <w:r>
              <w:rPr>
                <w:sz w:val="24"/>
              </w:rPr>
              <w:t xml:space="preserve"> </w:t>
            </w:r>
          </w:p>
        </w:tc>
        <w:tc>
          <w:tcPr>
            <w:tcW w:w="2713" w:type="dxa"/>
          </w:tcPr>
          <w:p w14:paraId="6260072D" w14:textId="77777777" w:rsidR="00A71EEF" w:rsidRDefault="0081115D">
            <w:pPr>
              <w:pStyle w:val="TableParagraph"/>
              <w:spacing w:before="193"/>
              <w:ind w:left="604" w:right="476"/>
              <w:jc w:val="center"/>
              <w:rPr>
                <w:sz w:val="24"/>
              </w:rPr>
            </w:pPr>
            <w:r>
              <w:rPr>
                <w:sz w:val="21"/>
              </w:rPr>
              <w:t>MST125</w:t>
            </w:r>
            <w:r>
              <w:rPr>
                <w:sz w:val="24"/>
              </w:rPr>
              <w:t xml:space="preserve"> </w:t>
            </w:r>
          </w:p>
        </w:tc>
        <w:tc>
          <w:tcPr>
            <w:tcW w:w="1014" w:type="dxa"/>
          </w:tcPr>
          <w:p w14:paraId="19002C1B" w14:textId="77777777" w:rsidR="00A71EEF" w:rsidRDefault="0081115D">
            <w:pPr>
              <w:pStyle w:val="TableParagraph"/>
              <w:spacing w:before="193"/>
              <w:ind w:right="266"/>
              <w:jc w:val="right"/>
              <w:rPr>
                <w:sz w:val="24"/>
              </w:rPr>
            </w:pPr>
            <w:r>
              <w:rPr>
                <w:sz w:val="21"/>
              </w:rPr>
              <w:t>6A</w:t>
            </w:r>
            <w:r>
              <w:rPr>
                <w:sz w:val="24"/>
              </w:rPr>
              <w:t xml:space="preserve"> </w:t>
            </w:r>
          </w:p>
        </w:tc>
        <w:tc>
          <w:tcPr>
            <w:tcW w:w="454" w:type="dxa"/>
          </w:tcPr>
          <w:p w14:paraId="36A8CAB8" w14:textId="77777777" w:rsidR="00A71EEF" w:rsidRDefault="0081115D">
            <w:pPr>
              <w:pStyle w:val="TableParagraph"/>
              <w:spacing w:before="193"/>
              <w:ind w:right="-15"/>
              <w:jc w:val="right"/>
              <w:rPr>
                <w:sz w:val="24"/>
              </w:rPr>
            </w:pPr>
            <w:r>
              <w:rPr>
                <w:sz w:val="21"/>
              </w:rPr>
              <w:t>―</w:t>
            </w:r>
            <w:r>
              <w:rPr>
                <w:sz w:val="24"/>
              </w:rPr>
              <w:t xml:space="preserve"> </w:t>
            </w:r>
          </w:p>
        </w:tc>
      </w:tr>
      <w:tr w:rsidR="00A71EEF" w14:paraId="14A8A421" w14:textId="77777777">
        <w:trPr>
          <w:trHeight w:val="500"/>
        </w:trPr>
        <w:tc>
          <w:tcPr>
            <w:tcW w:w="1978" w:type="dxa"/>
            <w:vMerge w:val="restart"/>
          </w:tcPr>
          <w:p w14:paraId="37B4B3AB" w14:textId="77777777" w:rsidR="00A71EEF" w:rsidRDefault="00A71EEF">
            <w:pPr>
              <w:pStyle w:val="TableParagraph"/>
              <w:rPr>
                <w:b/>
                <w:sz w:val="24"/>
              </w:rPr>
            </w:pPr>
          </w:p>
          <w:p w14:paraId="2A5D75CC" w14:textId="77777777" w:rsidR="00A71EEF" w:rsidRDefault="00A71EEF">
            <w:pPr>
              <w:pStyle w:val="TableParagraph"/>
              <w:rPr>
                <w:b/>
                <w:sz w:val="24"/>
              </w:rPr>
            </w:pPr>
          </w:p>
          <w:p w14:paraId="5E7CE24F" w14:textId="77777777" w:rsidR="00A71EEF" w:rsidRDefault="00A71EEF">
            <w:pPr>
              <w:pStyle w:val="TableParagraph"/>
              <w:rPr>
                <w:b/>
                <w:sz w:val="24"/>
              </w:rPr>
            </w:pPr>
          </w:p>
          <w:p w14:paraId="7802CA4F" w14:textId="77777777" w:rsidR="00A71EEF" w:rsidRDefault="00A71EEF">
            <w:pPr>
              <w:pStyle w:val="TableParagraph"/>
              <w:spacing w:before="8"/>
              <w:rPr>
                <w:b/>
              </w:rPr>
            </w:pPr>
          </w:p>
          <w:p w14:paraId="1E184232" w14:textId="77777777" w:rsidR="00A71EEF" w:rsidRDefault="0081115D">
            <w:pPr>
              <w:pStyle w:val="TableParagraph"/>
              <w:ind w:left="777"/>
              <w:rPr>
                <w:sz w:val="24"/>
              </w:rPr>
            </w:pPr>
            <w:r>
              <w:rPr>
                <w:sz w:val="21"/>
              </w:rPr>
              <w:t>泡沫</w:t>
            </w:r>
            <w:r>
              <w:rPr>
                <w:sz w:val="24"/>
              </w:rPr>
              <w:t xml:space="preserve"> </w:t>
            </w:r>
          </w:p>
        </w:tc>
        <w:tc>
          <w:tcPr>
            <w:tcW w:w="1129" w:type="dxa"/>
          </w:tcPr>
          <w:p w14:paraId="23B037A1" w14:textId="77777777" w:rsidR="00A71EEF" w:rsidRDefault="0081115D">
            <w:pPr>
              <w:pStyle w:val="TableParagraph"/>
              <w:spacing w:before="190"/>
              <w:ind w:left="455"/>
              <w:rPr>
                <w:sz w:val="24"/>
              </w:rPr>
            </w:pPr>
            <w:r>
              <w:rPr>
                <w:sz w:val="21"/>
              </w:rPr>
              <w:t>20</w:t>
            </w:r>
            <w:r>
              <w:rPr>
                <w:sz w:val="24"/>
              </w:rPr>
              <w:t xml:space="preserve"> </w:t>
            </w:r>
          </w:p>
        </w:tc>
        <w:tc>
          <w:tcPr>
            <w:tcW w:w="1232" w:type="dxa"/>
          </w:tcPr>
          <w:p w14:paraId="3A52EF8F" w14:textId="77777777" w:rsidR="00A71EEF" w:rsidRDefault="0081115D">
            <w:pPr>
              <w:pStyle w:val="TableParagraph"/>
              <w:spacing w:before="160"/>
              <w:ind w:right="376"/>
              <w:jc w:val="right"/>
              <w:rPr>
                <w:sz w:val="24"/>
              </w:rPr>
            </w:pPr>
            <w:r>
              <w:rPr>
                <w:sz w:val="21"/>
              </w:rPr>
              <w:t xml:space="preserve"> </w:t>
            </w:r>
            <w:r>
              <w:rPr>
                <w:sz w:val="21"/>
              </w:rPr>
              <w:t xml:space="preserve"> </w:t>
            </w:r>
            <w:r>
              <w:rPr>
                <w:sz w:val="24"/>
              </w:rPr>
              <w:t xml:space="preserve"> </w:t>
            </w:r>
          </w:p>
        </w:tc>
        <w:tc>
          <w:tcPr>
            <w:tcW w:w="2713" w:type="dxa"/>
          </w:tcPr>
          <w:p w14:paraId="1ABD1326" w14:textId="77777777" w:rsidR="00A71EEF" w:rsidRDefault="0081115D">
            <w:pPr>
              <w:pStyle w:val="TableParagraph"/>
              <w:spacing w:before="190"/>
              <w:ind w:left="606" w:right="476"/>
              <w:jc w:val="center"/>
              <w:rPr>
                <w:sz w:val="24"/>
              </w:rPr>
            </w:pPr>
            <w:r>
              <w:rPr>
                <w:sz w:val="21"/>
              </w:rPr>
              <w:t>MPT20</w:t>
            </w:r>
            <w:r>
              <w:rPr>
                <w:sz w:val="21"/>
              </w:rPr>
              <w:t>、</w:t>
            </w:r>
            <w:r>
              <w:rPr>
                <w:sz w:val="21"/>
              </w:rPr>
              <w:t>MPT/AR20</w:t>
            </w:r>
            <w:r>
              <w:rPr>
                <w:sz w:val="24"/>
              </w:rPr>
              <w:t xml:space="preserve"> </w:t>
            </w:r>
          </w:p>
        </w:tc>
        <w:tc>
          <w:tcPr>
            <w:tcW w:w="1014" w:type="dxa"/>
          </w:tcPr>
          <w:p w14:paraId="6294563E" w14:textId="77777777" w:rsidR="00A71EEF" w:rsidRDefault="0081115D">
            <w:pPr>
              <w:pStyle w:val="TableParagraph"/>
              <w:spacing w:before="190"/>
              <w:ind w:right="266"/>
              <w:jc w:val="right"/>
              <w:rPr>
                <w:sz w:val="24"/>
              </w:rPr>
            </w:pPr>
            <w:r>
              <w:rPr>
                <w:sz w:val="21"/>
              </w:rPr>
              <w:t>4A</w:t>
            </w:r>
            <w:r>
              <w:rPr>
                <w:sz w:val="24"/>
              </w:rPr>
              <w:t xml:space="preserve"> </w:t>
            </w:r>
          </w:p>
        </w:tc>
        <w:tc>
          <w:tcPr>
            <w:tcW w:w="454" w:type="dxa"/>
          </w:tcPr>
          <w:p w14:paraId="6FBD86A0" w14:textId="77777777" w:rsidR="00A71EEF" w:rsidRDefault="00A71EEF">
            <w:pPr>
              <w:pStyle w:val="TableParagraph"/>
              <w:spacing w:before="11"/>
              <w:rPr>
                <w:b/>
                <w:sz w:val="14"/>
              </w:rPr>
            </w:pPr>
          </w:p>
          <w:p w14:paraId="54E29CDD" w14:textId="77777777" w:rsidR="00A71EEF" w:rsidRDefault="0081115D">
            <w:pPr>
              <w:pStyle w:val="TableParagraph"/>
              <w:ind w:left="11"/>
              <w:rPr>
                <w:sz w:val="21"/>
              </w:rPr>
            </w:pPr>
            <w:r>
              <w:rPr>
                <w:sz w:val="21"/>
              </w:rPr>
              <w:t>113B</w:t>
            </w:r>
          </w:p>
        </w:tc>
      </w:tr>
      <w:tr w:rsidR="00A71EEF" w14:paraId="0241D07C" w14:textId="77777777">
        <w:trPr>
          <w:trHeight w:val="498"/>
        </w:trPr>
        <w:tc>
          <w:tcPr>
            <w:tcW w:w="1978" w:type="dxa"/>
            <w:vMerge/>
            <w:tcBorders>
              <w:top w:val="nil"/>
            </w:tcBorders>
          </w:tcPr>
          <w:p w14:paraId="24AD314D" w14:textId="77777777" w:rsidR="00A71EEF" w:rsidRDefault="00A71EEF">
            <w:pPr>
              <w:rPr>
                <w:sz w:val="2"/>
                <w:szCs w:val="2"/>
              </w:rPr>
            </w:pPr>
          </w:p>
        </w:tc>
        <w:tc>
          <w:tcPr>
            <w:tcW w:w="1129" w:type="dxa"/>
          </w:tcPr>
          <w:p w14:paraId="23490A00" w14:textId="77777777" w:rsidR="00A71EEF" w:rsidRDefault="0081115D">
            <w:pPr>
              <w:pStyle w:val="TableParagraph"/>
              <w:spacing w:before="190"/>
              <w:ind w:left="455"/>
              <w:rPr>
                <w:sz w:val="24"/>
              </w:rPr>
            </w:pPr>
            <w:r>
              <w:rPr>
                <w:sz w:val="21"/>
              </w:rPr>
              <w:t>45</w:t>
            </w:r>
            <w:r>
              <w:rPr>
                <w:sz w:val="24"/>
              </w:rPr>
              <w:t xml:space="preserve"> </w:t>
            </w:r>
          </w:p>
        </w:tc>
        <w:tc>
          <w:tcPr>
            <w:tcW w:w="1232" w:type="dxa"/>
          </w:tcPr>
          <w:p w14:paraId="4411703A" w14:textId="77777777" w:rsidR="00A71EEF" w:rsidRDefault="0081115D">
            <w:pPr>
              <w:pStyle w:val="TableParagraph"/>
              <w:spacing w:before="160"/>
              <w:ind w:right="376"/>
              <w:jc w:val="right"/>
              <w:rPr>
                <w:sz w:val="24"/>
              </w:rPr>
            </w:pPr>
            <w:r>
              <w:rPr>
                <w:sz w:val="21"/>
              </w:rPr>
              <w:t xml:space="preserve"> </w:t>
            </w:r>
            <w:r>
              <w:rPr>
                <w:sz w:val="21"/>
              </w:rPr>
              <w:t xml:space="preserve"> </w:t>
            </w:r>
            <w:r>
              <w:rPr>
                <w:sz w:val="24"/>
              </w:rPr>
              <w:t xml:space="preserve"> </w:t>
            </w:r>
          </w:p>
        </w:tc>
        <w:tc>
          <w:tcPr>
            <w:tcW w:w="2713" w:type="dxa"/>
          </w:tcPr>
          <w:p w14:paraId="6C0B2CD2" w14:textId="77777777" w:rsidR="00A71EEF" w:rsidRDefault="0081115D">
            <w:pPr>
              <w:pStyle w:val="TableParagraph"/>
              <w:spacing w:before="190"/>
              <w:ind w:left="606" w:right="476"/>
              <w:jc w:val="center"/>
              <w:rPr>
                <w:sz w:val="24"/>
              </w:rPr>
            </w:pPr>
            <w:r>
              <w:rPr>
                <w:sz w:val="21"/>
              </w:rPr>
              <w:t>MPT40</w:t>
            </w:r>
            <w:r>
              <w:rPr>
                <w:sz w:val="21"/>
              </w:rPr>
              <w:t>、</w:t>
            </w:r>
            <w:r>
              <w:rPr>
                <w:sz w:val="21"/>
              </w:rPr>
              <w:t>MPT/AR40</w:t>
            </w:r>
            <w:r>
              <w:rPr>
                <w:sz w:val="24"/>
              </w:rPr>
              <w:t xml:space="preserve"> </w:t>
            </w:r>
          </w:p>
        </w:tc>
        <w:tc>
          <w:tcPr>
            <w:tcW w:w="1014" w:type="dxa"/>
          </w:tcPr>
          <w:p w14:paraId="03C366A2" w14:textId="77777777" w:rsidR="00A71EEF" w:rsidRDefault="0081115D">
            <w:pPr>
              <w:pStyle w:val="TableParagraph"/>
              <w:spacing w:before="190"/>
              <w:ind w:right="266"/>
              <w:jc w:val="right"/>
              <w:rPr>
                <w:sz w:val="24"/>
              </w:rPr>
            </w:pPr>
            <w:r>
              <w:rPr>
                <w:sz w:val="21"/>
              </w:rPr>
              <w:t>4A</w:t>
            </w:r>
            <w:r>
              <w:rPr>
                <w:sz w:val="24"/>
              </w:rPr>
              <w:t xml:space="preserve"> </w:t>
            </w:r>
          </w:p>
        </w:tc>
        <w:tc>
          <w:tcPr>
            <w:tcW w:w="454" w:type="dxa"/>
          </w:tcPr>
          <w:p w14:paraId="7A450F84" w14:textId="77777777" w:rsidR="00A71EEF" w:rsidRDefault="00A71EEF">
            <w:pPr>
              <w:pStyle w:val="TableParagraph"/>
              <w:spacing w:before="11"/>
              <w:rPr>
                <w:b/>
                <w:sz w:val="14"/>
              </w:rPr>
            </w:pPr>
          </w:p>
          <w:p w14:paraId="467143C6" w14:textId="77777777" w:rsidR="00A71EEF" w:rsidRDefault="0081115D">
            <w:pPr>
              <w:pStyle w:val="TableParagraph"/>
              <w:ind w:left="11"/>
              <w:rPr>
                <w:sz w:val="21"/>
              </w:rPr>
            </w:pPr>
            <w:r>
              <w:rPr>
                <w:sz w:val="21"/>
              </w:rPr>
              <w:t>144B</w:t>
            </w:r>
          </w:p>
        </w:tc>
      </w:tr>
      <w:tr w:rsidR="00A71EEF" w14:paraId="44F17A28" w14:textId="77777777">
        <w:trPr>
          <w:trHeight w:val="500"/>
        </w:trPr>
        <w:tc>
          <w:tcPr>
            <w:tcW w:w="1978" w:type="dxa"/>
            <w:vMerge/>
            <w:tcBorders>
              <w:top w:val="nil"/>
            </w:tcBorders>
          </w:tcPr>
          <w:p w14:paraId="31E7D873" w14:textId="77777777" w:rsidR="00A71EEF" w:rsidRDefault="00A71EEF">
            <w:pPr>
              <w:rPr>
                <w:sz w:val="2"/>
                <w:szCs w:val="2"/>
              </w:rPr>
            </w:pPr>
          </w:p>
        </w:tc>
        <w:tc>
          <w:tcPr>
            <w:tcW w:w="1129" w:type="dxa"/>
          </w:tcPr>
          <w:p w14:paraId="26677E7C" w14:textId="77777777" w:rsidR="00A71EEF" w:rsidRDefault="0081115D">
            <w:pPr>
              <w:pStyle w:val="TableParagraph"/>
              <w:spacing w:before="190"/>
              <w:ind w:left="455"/>
              <w:rPr>
                <w:sz w:val="24"/>
              </w:rPr>
            </w:pPr>
            <w:r>
              <w:rPr>
                <w:sz w:val="21"/>
              </w:rPr>
              <w:t>60</w:t>
            </w:r>
            <w:r>
              <w:rPr>
                <w:sz w:val="24"/>
              </w:rPr>
              <w:t xml:space="preserve"> </w:t>
            </w:r>
          </w:p>
        </w:tc>
        <w:tc>
          <w:tcPr>
            <w:tcW w:w="1232" w:type="dxa"/>
          </w:tcPr>
          <w:p w14:paraId="6B6C2932" w14:textId="77777777" w:rsidR="00A71EEF" w:rsidRDefault="0081115D">
            <w:pPr>
              <w:pStyle w:val="TableParagraph"/>
              <w:spacing w:before="160"/>
              <w:ind w:right="376"/>
              <w:jc w:val="right"/>
              <w:rPr>
                <w:sz w:val="24"/>
              </w:rPr>
            </w:pPr>
            <w:r>
              <w:rPr>
                <w:sz w:val="21"/>
              </w:rPr>
              <w:t xml:space="preserve"> </w:t>
            </w:r>
            <w:r>
              <w:rPr>
                <w:sz w:val="21"/>
              </w:rPr>
              <w:t xml:space="preserve"> </w:t>
            </w:r>
            <w:r>
              <w:rPr>
                <w:sz w:val="24"/>
              </w:rPr>
              <w:t xml:space="preserve"> </w:t>
            </w:r>
          </w:p>
        </w:tc>
        <w:tc>
          <w:tcPr>
            <w:tcW w:w="2713" w:type="dxa"/>
          </w:tcPr>
          <w:p w14:paraId="2F754E50" w14:textId="77777777" w:rsidR="00A71EEF" w:rsidRDefault="0081115D">
            <w:pPr>
              <w:pStyle w:val="TableParagraph"/>
              <w:spacing w:before="190"/>
              <w:ind w:left="606" w:right="476"/>
              <w:jc w:val="center"/>
              <w:rPr>
                <w:sz w:val="24"/>
              </w:rPr>
            </w:pPr>
            <w:r>
              <w:rPr>
                <w:sz w:val="21"/>
              </w:rPr>
              <w:t>MPT60</w:t>
            </w:r>
            <w:r>
              <w:rPr>
                <w:sz w:val="21"/>
              </w:rPr>
              <w:t>、</w:t>
            </w:r>
            <w:r>
              <w:rPr>
                <w:sz w:val="21"/>
              </w:rPr>
              <w:t>MPT/AR60</w:t>
            </w:r>
            <w:r>
              <w:rPr>
                <w:sz w:val="24"/>
              </w:rPr>
              <w:t xml:space="preserve"> </w:t>
            </w:r>
          </w:p>
        </w:tc>
        <w:tc>
          <w:tcPr>
            <w:tcW w:w="1014" w:type="dxa"/>
          </w:tcPr>
          <w:p w14:paraId="424A2350" w14:textId="77777777" w:rsidR="00A71EEF" w:rsidRDefault="0081115D">
            <w:pPr>
              <w:pStyle w:val="TableParagraph"/>
              <w:spacing w:before="190"/>
              <w:ind w:right="266"/>
              <w:jc w:val="right"/>
              <w:rPr>
                <w:sz w:val="24"/>
              </w:rPr>
            </w:pPr>
            <w:r>
              <w:rPr>
                <w:sz w:val="21"/>
              </w:rPr>
              <w:t>4A</w:t>
            </w:r>
            <w:r>
              <w:rPr>
                <w:sz w:val="24"/>
              </w:rPr>
              <w:t xml:space="preserve"> </w:t>
            </w:r>
          </w:p>
        </w:tc>
        <w:tc>
          <w:tcPr>
            <w:tcW w:w="454" w:type="dxa"/>
          </w:tcPr>
          <w:p w14:paraId="31397C25" w14:textId="77777777" w:rsidR="00A71EEF" w:rsidRDefault="00A71EEF">
            <w:pPr>
              <w:pStyle w:val="TableParagraph"/>
              <w:spacing w:before="11"/>
              <w:rPr>
                <w:b/>
                <w:sz w:val="14"/>
              </w:rPr>
            </w:pPr>
          </w:p>
          <w:p w14:paraId="055C673E" w14:textId="77777777" w:rsidR="00A71EEF" w:rsidRDefault="0081115D">
            <w:pPr>
              <w:pStyle w:val="TableParagraph"/>
              <w:ind w:left="11"/>
              <w:rPr>
                <w:sz w:val="21"/>
              </w:rPr>
            </w:pPr>
            <w:r>
              <w:rPr>
                <w:sz w:val="21"/>
              </w:rPr>
              <w:t>233B</w:t>
            </w:r>
          </w:p>
        </w:tc>
      </w:tr>
      <w:tr w:rsidR="00A71EEF" w14:paraId="40F0EB38" w14:textId="77777777">
        <w:trPr>
          <w:trHeight w:val="1000"/>
        </w:trPr>
        <w:tc>
          <w:tcPr>
            <w:tcW w:w="1978" w:type="dxa"/>
            <w:vMerge/>
            <w:tcBorders>
              <w:top w:val="nil"/>
            </w:tcBorders>
          </w:tcPr>
          <w:p w14:paraId="7EE8390D" w14:textId="77777777" w:rsidR="00A71EEF" w:rsidRDefault="00A71EEF">
            <w:pPr>
              <w:rPr>
                <w:sz w:val="2"/>
                <w:szCs w:val="2"/>
              </w:rPr>
            </w:pPr>
          </w:p>
        </w:tc>
        <w:tc>
          <w:tcPr>
            <w:tcW w:w="1129" w:type="dxa"/>
          </w:tcPr>
          <w:p w14:paraId="2DE1B6D6" w14:textId="77777777" w:rsidR="00A71EEF" w:rsidRDefault="00A71EEF">
            <w:pPr>
              <w:pStyle w:val="TableParagraph"/>
              <w:spacing w:before="4"/>
              <w:rPr>
                <w:b/>
                <w:sz w:val="34"/>
              </w:rPr>
            </w:pPr>
          </w:p>
          <w:p w14:paraId="4730072F" w14:textId="77777777" w:rsidR="00A71EEF" w:rsidRDefault="0081115D">
            <w:pPr>
              <w:pStyle w:val="TableParagraph"/>
              <w:ind w:left="405"/>
              <w:rPr>
                <w:sz w:val="24"/>
              </w:rPr>
            </w:pPr>
            <w:r>
              <w:rPr>
                <w:sz w:val="21"/>
              </w:rPr>
              <w:t>125</w:t>
            </w:r>
            <w:r>
              <w:rPr>
                <w:sz w:val="24"/>
              </w:rPr>
              <w:t xml:space="preserve"> </w:t>
            </w:r>
          </w:p>
        </w:tc>
        <w:tc>
          <w:tcPr>
            <w:tcW w:w="1232" w:type="dxa"/>
          </w:tcPr>
          <w:p w14:paraId="18906EF1" w14:textId="77777777" w:rsidR="00A71EEF" w:rsidRDefault="00A71EEF">
            <w:pPr>
              <w:pStyle w:val="TableParagraph"/>
              <w:rPr>
                <w:b/>
                <w:sz w:val="32"/>
              </w:rPr>
            </w:pPr>
          </w:p>
          <w:p w14:paraId="77FCD75C" w14:textId="77777777" w:rsidR="00A71EEF" w:rsidRDefault="0081115D">
            <w:pPr>
              <w:pStyle w:val="TableParagraph"/>
              <w:ind w:right="376"/>
              <w:jc w:val="right"/>
              <w:rPr>
                <w:sz w:val="24"/>
              </w:rPr>
            </w:pPr>
            <w:r>
              <w:rPr>
                <w:sz w:val="21"/>
              </w:rPr>
              <w:t xml:space="preserve"> </w:t>
            </w:r>
            <w:r>
              <w:rPr>
                <w:sz w:val="21"/>
              </w:rPr>
              <w:t xml:space="preserve"> </w:t>
            </w:r>
            <w:r>
              <w:rPr>
                <w:sz w:val="24"/>
              </w:rPr>
              <w:t xml:space="preserve"> </w:t>
            </w:r>
          </w:p>
        </w:tc>
        <w:tc>
          <w:tcPr>
            <w:tcW w:w="2713" w:type="dxa"/>
          </w:tcPr>
          <w:p w14:paraId="39DECD06" w14:textId="77777777" w:rsidR="00A71EEF" w:rsidRDefault="0081115D">
            <w:pPr>
              <w:pStyle w:val="TableParagraph"/>
              <w:spacing w:line="500" w:lineRule="exact"/>
              <w:ind w:left="881" w:right="184" w:firstLine="156"/>
              <w:rPr>
                <w:sz w:val="24"/>
              </w:rPr>
            </w:pPr>
            <w:r>
              <w:rPr>
                <w:sz w:val="21"/>
              </w:rPr>
              <w:t>MPT125 MPT/AR125</w:t>
            </w:r>
            <w:r>
              <w:rPr>
                <w:sz w:val="24"/>
              </w:rPr>
              <w:t xml:space="preserve"> </w:t>
            </w:r>
          </w:p>
        </w:tc>
        <w:tc>
          <w:tcPr>
            <w:tcW w:w="1014" w:type="dxa"/>
          </w:tcPr>
          <w:p w14:paraId="336C2889" w14:textId="77777777" w:rsidR="00A71EEF" w:rsidRDefault="00A71EEF">
            <w:pPr>
              <w:pStyle w:val="TableParagraph"/>
              <w:spacing w:before="4"/>
              <w:rPr>
                <w:b/>
                <w:sz w:val="34"/>
              </w:rPr>
            </w:pPr>
          </w:p>
          <w:p w14:paraId="575BE2F0" w14:textId="77777777" w:rsidR="00A71EEF" w:rsidRDefault="0081115D">
            <w:pPr>
              <w:pStyle w:val="TableParagraph"/>
              <w:ind w:right="266"/>
              <w:jc w:val="right"/>
              <w:rPr>
                <w:sz w:val="24"/>
              </w:rPr>
            </w:pPr>
            <w:r>
              <w:rPr>
                <w:sz w:val="21"/>
              </w:rPr>
              <w:t>6A</w:t>
            </w:r>
            <w:r>
              <w:rPr>
                <w:sz w:val="24"/>
              </w:rPr>
              <w:t xml:space="preserve"> </w:t>
            </w:r>
          </w:p>
        </w:tc>
        <w:tc>
          <w:tcPr>
            <w:tcW w:w="454" w:type="dxa"/>
          </w:tcPr>
          <w:p w14:paraId="7B1E02DA" w14:textId="77777777" w:rsidR="00A71EEF" w:rsidRDefault="00A71EEF">
            <w:pPr>
              <w:pStyle w:val="TableParagraph"/>
              <w:rPr>
                <w:b/>
                <w:sz w:val="20"/>
              </w:rPr>
            </w:pPr>
          </w:p>
          <w:p w14:paraId="49605417" w14:textId="77777777" w:rsidR="00A71EEF" w:rsidRDefault="00A71EEF">
            <w:pPr>
              <w:pStyle w:val="TableParagraph"/>
              <w:spacing w:before="4"/>
              <w:rPr>
                <w:b/>
                <w:sz w:val="14"/>
              </w:rPr>
            </w:pPr>
          </w:p>
          <w:p w14:paraId="0F86C99B" w14:textId="77777777" w:rsidR="00A71EEF" w:rsidRDefault="0081115D">
            <w:pPr>
              <w:pStyle w:val="TableParagraph"/>
              <w:ind w:left="11"/>
              <w:rPr>
                <w:sz w:val="21"/>
              </w:rPr>
            </w:pPr>
            <w:r>
              <w:rPr>
                <w:sz w:val="21"/>
              </w:rPr>
              <w:t>297B</w:t>
            </w:r>
          </w:p>
        </w:tc>
      </w:tr>
      <w:tr w:rsidR="00A71EEF" w14:paraId="7B4FDC71" w14:textId="77777777">
        <w:trPr>
          <w:trHeight w:val="498"/>
        </w:trPr>
        <w:tc>
          <w:tcPr>
            <w:tcW w:w="1978" w:type="dxa"/>
            <w:vMerge w:val="restart"/>
          </w:tcPr>
          <w:p w14:paraId="757C87C0" w14:textId="77777777" w:rsidR="00A71EEF" w:rsidRDefault="00A71EEF">
            <w:pPr>
              <w:pStyle w:val="TableParagraph"/>
              <w:rPr>
                <w:b/>
                <w:sz w:val="20"/>
              </w:rPr>
            </w:pPr>
          </w:p>
          <w:p w14:paraId="4570CABC" w14:textId="77777777" w:rsidR="00A71EEF" w:rsidRDefault="00A71EEF">
            <w:pPr>
              <w:pStyle w:val="TableParagraph"/>
              <w:rPr>
                <w:b/>
                <w:sz w:val="20"/>
              </w:rPr>
            </w:pPr>
          </w:p>
          <w:p w14:paraId="131E5D0D" w14:textId="77777777" w:rsidR="00A71EEF" w:rsidRDefault="00A71EEF">
            <w:pPr>
              <w:pStyle w:val="TableParagraph"/>
              <w:spacing w:before="9"/>
              <w:rPr>
                <w:b/>
                <w:sz w:val="15"/>
              </w:rPr>
            </w:pPr>
          </w:p>
          <w:p w14:paraId="0EE46B88" w14:textId="77777777" w:rsidR="00A71EEF" w:rsidRDefault="0081115D">
            <w:pPr>
              <w:pStyle w:val="TableParagraph"/>
              <w:ind w:left="383" w:right="266"/>
              <w:jc w:val="center"/>
              <w:rPr>
                <w:sz w:val="21"/>
              </w:rPr>
            </w:pPr>
            <w:r>
              <w:rPr>
                <w:sz w:val="21"/>
              </w:rPr>
              <w:t>干粉</w:t>
            </w:r>
            <w:r>
              <w:rPr>
                <w:sz w:val="21"/>
              </w:rPr>
              <w:t xml:space="preserve"> </w:t>
            </w:r>
          </w:p>
          <w:p w14:paraId="6BFDEF89" w14:textId="77777777" w:rsidR="00A71EEF" w:rsidRDefault="00A71EEF">
            <w:pPr>
              <w:pStyle w:val="TableParagraph"/>
              <w:spacing w:before="12"/>
              <w:rPr>
                <w:b/>
                <w:sz w:val="17"/>
              </w:rPr>
            </w:pPr>
          </w:p>
          <w:p w14:paraId="07DB3E47" w14:textId="77777777" w:rsidR="00A71EEF" w:rsidRDefault="0081115D">
            <w:pPr>
              <w:pStyle w:val="TableParagraph"/>
              <w:ind w:left="397" w:right="266"/>
              <w:jc w:val="center"/>
              <w:rPr>
                <w:sz w:val="24"/>
              </w:rPr>
            </w:pPr>
            <w:r>
              <w:rPr>
                <w:sz w:val="21"/>
              </w:rPr>
              <w:t>（碳酸氢钠）</w:t>
            </w:r>
            <w:r>
              <w:rPr>
                <w:sz w:val="24"/>
              </w:rPr>
              <w:t xml:space="preserve"> </w:t>
            </w:r>
          </w:p>
        </w:tc>
        <w:tc>
          <w:tcPr>
            <w:tcW w:w="1129" w:type="dxa"/>
          </w:tcPr>
          <w:p w14:paraId="00F0E5AA" w14:textId="77777777" w:rsidR="00A71EEF" w:rsidRDefault="0081115D">
            <w:pPr>
              <w:pStyle w:val="TableParagraph"/>
              <w:spacing w:before="190"/>
              <w:ind w:left="455"/>
              <w:rPr>
                <w:sz w:val="24"/>
              </w:rPr>
            </w:pPr>
            <w:r>
              <w:rPr>
                <w:sz w:val="21"/>
              </w:rPr>
              <w:t>―</w:t>
            </w:r>
            <w:r>
              <w:rPr>
                <w:sz w:val="24"/>
              </w:rPr>
              <w:t xml:space="preserve"> </w:t>
            </w:r>
          </w:p>
        </w:tc>
        <w:tc>
          <w:tcPr>
            <w:tcW w:w="1232" w:type="dxa"/>
          </w:tcPr>
          <w:p w14:paraId="34A76341" w14:textId="77777777" w:rsidR="00A71EEF" w:rsidRDefault="0081115D">
            <w:pPr>
              <w:pStyle w:val="TableParagraph"/>
              <w:spacing w:before="190"/>
              <w:ind w:right="376"/>
              <w:jc w:val="right"/>
              <w:rPr>
                <w:sz w:val="24"/>
              </w:rPr>
            </w:pPr>
            <w:r>
              <w:rPr>
                <w:sz w:val="21"/>
              </w:rPr>
              <w:t>20</w:t>
            </w:r>
            <w:r>
              <w:rPr>
                <w:sz w:val="24"/>
              </w:rPr>
              <w:t xml:space="preserve"> </w:t>
            </w:r>
          </w:p>
        </w:tc>
        <w:tc>
          <w:tcPr>
            <w:tcW w:w="2713" w:type="dxa"/>
          </w:tcPr>
          <w:p w14:paraId="14978CCF" w14:textId="77777777" w:rsidR="00A71EEF" w:rsidRDefault="0081115D">
            <w:pPr>
              <w:pStyle w:val="TableParagraph"/>
              <w:spacing w:before="190"/>
              <w:ind w:left="604" w:right="476"/>
              <w:jc w:val="center"/>
              <w:rPr>
                <w:sz w:val="24"/>
              </w:rPr>
            </w:pPr>
            <w:r>
              <w:rPr>
                <w:sz w:val="21"/>
              </w:rPr>
              <w:t>MFT20</w:t>
            </w:r>
            <w:r>
              <w:rPr>
                <w:sz w:val="24"/>
              </w:rPr>
              <w:t xml:space="preserve"> </w:t>
            </w:r>
          </w:p>
        </w:tc>
        <w:tc>
          <w:tcPr>
            <w:tcW w:w="1014" w:type="dxa"/>
          </w:tcPr>
          <w:p w14:paraId="15019829" w14:textId="77777777" w:rsidR="00A71EEF" w:rsidRDefault="0081115D">
            <w:pPr>
              <w:pStyle w:val="TableParagraph"/>
              <w:spacing w:before="190"/>
              <w:ind w:right="266"/>
              <w:jc w:val="right"/>
              <w:rPr>
                <w:sz w:val="24"/>
              </w:rPr>
            </w:pPr>
            <w:r>
              <w:rPr>
                <w:sz w:val="21"/>
              </w:rPr>
              <w:t>―</w:t>
            </w:r>
            <w:r>
              <w:rPr>
                <w:sz w:val="24"/>
              </w:rPr>
              <w:t xml:space="preserve"> </w:t>
            </w:r>
          </w:p>
        </w:tc>
        <w:tc>
          <w:tcPr>
            <w:tcW w:w="454" w:type="dxa"/>
          </w:tcPr>
          <w:p w14:paraId="79372C81" w14:textId="77777777" w:rsidR="00A71EEF" w:rsidRDefault="00A71EEF">
            <w:pPr>
              <w:pStyle w:val="TableParagraph"/>
              <w:spacing w:before="11"/>
              <w:rPr>
                <w:b/>
                <w:sz w:val="14"/>
              </w:rPr>
            </w:pPr>
          </w:p>
          <w:p w14:paraId="54B33D9F" w14:textId="77777777" w:rsidR="00A71EEF" w:rsidRDefault="0081115D">
            <w:pPr>
              <w:pStyle w:val="TableParagraph"/>
              <w:ind w:left="11"/>
              <w:rPr>
                <w:sz w:val="21"/>
              </w:rPr>
            </w:pPr>
            <w:r>
              <w:rPr>
                <w:sz w:val="21"/>
              </w:rPr>
              <w:t>183B</w:t>
            </w:r>
          </w:p>
        </w:tc>
      </w:tr>
      <w:tr w:rsidR="00A71EEF" w14:paraId="07E3EB9F" w14:textId="77777777">
        <w:trPr>
          <w:trHeight w:val="501"/>
        </w:trPr>
        <w:tc>
          <w:tcPr>
            <w:tcW w:w="1978" w:type="dxa"/>
            <w:vMerge/>
            <w:tcBorders>
              <w:top w:val="nil"/>
            </w:tcBorders>
          </w:tcPr>
          <w:p w14:paraId="41C8D988" w14:textId="77777777" w:rsidR="00A71EEF" w:rsidRDefault="00A71EEF">
            <w:pPr>
              <w:rPr>
                <w:sz w:val="2"/>
                <w:szCs w:val="2"/>
              </w:rPr>
            </w:pPr>
          </w:p>
        </w:tc>
        <w:tc>
          <w:tcPr>
            <w:tcW w:w="1129" w:type="dxa"/>
          </w:tcPr>
          <w:p w14:paraId="514E0142" w14:textId="77777777" w:rsidR="00A71EEF" w:rsidRDefault="0081115D">
            <w:pPr>
              <w:pStyle w:val="TableParagraph"/>
              <w:spacing w:before="190"/>
              <w:ind w:left="455"/>
              <w:rPr>
                <w:sz w:val="24"/>
              </w:rPr>
            </w:pPr>
            <w:r>
              <w:rPr>
                <w:sz w:val="21"/>
              </w:rPr>
              <w:t>―</w:t>
            </w:r>
            <w:r>
              <w:rPr>
                <w:sz w:val="24"/>
              </w:rPr>
              <w:t xml:space="preserve"> </w:t>
            </w:r>
          </w:p>
        </w:tc>
        <w:tc>
          <w:tcPr>
            <w:tcW w:w="1232" w:type="dxa"/>
          </w:tcPr>
          <w:p w14:paraId="38932C6D" w14:textId="77777777" w:rsidR="00A71EEF" w:rsidRDefault="0081115D">
            <w:pPr>
              <w:pStyle w:val="TableParagraph"/>
              <w:spacing w:before="190"/>
              <w:ind w:right="376"/>
              <w:jc w:val="right"/>
              <w:rPr>
                <w:sz w:val="24"/>
              </w:rPr>
            </w:pPr>
            <w:r>
              <w:rPr>
                <w:sz w:val="21"/>
              </w:rPr>
              <w:t>50</w:t>
            </w:r>
            <w:r>
              <w:rPr>
                <w:sz w:val="24"/>
              </w:rPr>
              <w:t xml:space="preserve"> </w:t>
            </w:r>
          </w:p>
        </w:tc>
        <w:tc>
          <w:tcPr>
            <w:tcW w:w="2713" w:type="dxa"/>
          </w:tcPr>
          <w:p w14:paraId="011C1736" w14:textId="77777777" w:rsidR="00A71EEF" w:rsidRDefault="0081115D">
            <w:pPr>
              <w:pStyle w:val="TableParagraph"/>
              <w:spacing w:before="190"/>
              <w:ind w:left="604" w:right="476"/>
              <w:jc w:val="center"/>
              <w:rPr>
                <w:sz w:val="24"/>
              </w:rPr>
            </w:pPr>
            <w:r>
              <w:rPr>
                <w:sz w:val="21"/>
              </w:rPr>
              <w:t>MFT50</w:t>
            </w:r>
            <w:r>
              <w:rPr>
                <w:sz w:val="24"/>
              </w:rPr>
              <w:t xml:space="preserve"> </w:t>
            </w:r>
          </w:p>
        </w:tc>
        <w:tc>
          <w:tcPr>
            <w:tcW w:w="1014" w:type="dxa"/>
          </w:tcPr>
          <w:p w14:paraId="2DB31C47" w14:textId="77777777" w:rsidR="00A71EEF" w:rsidRDefault="0081115D">
            <w:pPr>
              <w:pStyle w:val="TableParagraph"/>
              <w:spacing w:before="190"/>
              <w:ind w:right="266"/>
              <w:jc w:val="right"/>
              <w:rPr>
                <w:sz w:val="24"/>
              </w:rPr>
            </w:pPr>
            <w:r>
              <w:rPr>
                <w:sz w:val="21"/>
              </w:rPr>
              <w:t>―</w:t>
            </w:r>
            <w:r>
              <w:rPr>
                <w:sz w:val="24"/>
              </w:rPr>
              <w:t xml:space="preserve"> </w:t>
            </w:r>
          </w:p>
        </w:tc>
        <w:tc>
          <w:tcPr>
            <w:tcW w:w="454" w:type="dxa"/>
          </w:tcPr>
          <w:p w14:paraId="4B50A955" w14:textId="77777777" w:rsidR="00A71EEF" w:rsidRDefault="00A71EEF">
            <w:pPr>
              <w:pStyle w:val="TableParagraph"/>
              <w:spacing w:before="11"/>
              <w:rPr>
                <w:b/>
                <w:sz w:val="14"/>
              </w:rPr>
            </w:pPr>
          </w:p>
          <w:p w14:paraId="707D098A" w14:textId="77777777" w:rsidR="00A71EEF" w:rsidRDefault="0081115D">
            <w:pPr>
              <w:pStyle w:val="TableParagraph"/>
              <w:ind w:left="11"/>
              <w:rPr>
                <w:sz w:val="21"/>
              </w:rPr>
            </w:pPr>
            <w:r>
              <w:rPr>
                <w:sz w:val="21"/>
              </w:rPr>
              <w:t>297B</w:t>
            </w:r>
          </w:p>
        </w:tc>
      </w:tr>
      <w:tr w:rsidR="00A71EEF" w14:paraId="6F3CE855" w14:textId="77777777">
        <w:trPr>
          <w:trHeight w:val="498"/>
        </w:trPr>
        <w:tc>
          <w:tcPr>
            <w:tcW w:w="1978" w:type="dxa"/>
            <w:vMerge/>
            <w:tcBorders>
              <w:top w:val="nil"/>
            </w:tcBorders>
          </w:tcPr>
          <w:p w14:paraId="4DD2E93C" w14:textId="77777777" w:rsidR="00A71EEF" w:rsidRDefault="00A71EEF">
            <w:pPr>
              <w:rPr>
                <w:sz w:val="2"/>
                <w:szCs w:val="2"/>
              </w:rPr>
            </w:pPr>
          </w:p>
        </w:tc>
        <w:tc>
          <w:tcPr>
            <w:tcW w:w="1129" w:type="dxa"/>
          </w:tcPr>
          <w:p w14:paraId="2F4A7EA9" w14:textId="77777777" w:rsidR="00A71EEF" w:rsidRDefault="0081115D">
            <w:pPr>
              <w:pStyle w:val="TableParagraph"/>
              <w:spacing w:before="190"/>
              <w:ind w:left="455"/>
              <w:rPr>
                <w:sz w:val="24"/>
              </w:rPr>
            </w:pPr>
            <w:r>
              <w:rPr>
                <w:sz w:val="21"/>
              </w:rPr>
              <w:t>―</w:t>
            </w:r>
            <w:r>
              <w:rPr>
                <w:sz w:val="24"/>
              </w:rPr>
              <w:t xml:space="preserve"> </w:t>
            </w:r>
          </w:p>
        </w:tc>
        <w:tc>
          <w:tcPr>
            <w:tcW w:w="1232" w:type="dxa"/>
          </w:tcPr>
          <w:p w14:paraId="57E9E765" w14:textId="77777777" w:rsidR="00A71EEF" w:rsidRDefault="0081115D">
            <w:pPr>
              <w:pStyle w:val="TableParagraph"/>
              <w:spacing w:before="190"/>
              <w:ind w:right="323"/>
              <w:jc w:val="right"/>
              <w:rPr>
                <w:sz w:val="24"/>
              </w:rPr>
            </w:pPr>
            <w:r>
              <w:rPr>
                <w:sz w:val="21"/>
              </w:rPr>
              <w:t>100</w:t>
            </w:r>
            <w:r>
              <w:rPr>
                <w:sz w:val="24"/>
              </w:rPr>
              <w:t xml:space="preserve"> </w:t>
            </w:r>
          </w:p>
        </w:tc>
        <w:tc>
          <w:tcPr>
            <w:tcW w:w="2713" w:type="dxa"/>
          </w:tcPr>
          <w:p w14:paraId="435EEAE7" w14:textId="77777777" w:rsidR="00A71EEF" w:rsidRDefault="0081115D">
            <w:pPr>
              <w:pStyle w:val="TableParagraph"/>
              <w:spacing w:before="190"/>
              <w:ind w:left="604" w:right="476"/>
              <w:jc w:val="center"/>
              <w:rPr>
                <w:sz w:val="24"/>
              </w:rPr>
            </w:pPr>
            <w:r>
              <w:rPr>
                <w:sz w:val="21"/>
              </w:rPr>
              <w:t>MFT100</w:t>
            </w:r>
            <w:r>
              <w:rPr>
                <w:sz w:val="24"/>
              </w:rPr>
              <w:t xml:space="preserve"> </w:t>
            </w:r>
          </w:p>
        </w:tc>
        <w:tc>
          <w:tcPr>
            <w:tcW w:w="1014" w:type="dxa"/>
          </w:tcPr>
          <w:p w14:paraId="2B667843" w14:textId="77777777" w:rsidR="00A71EEF" w:rsidRDefault="0081115D">
            <w:pPr>
              <w:pStyle w:val="TableParagraph"/>
              <w:spacing w:before="190"/>
              <w:ind w:right="266"/>
              <w:jc w:val="right"/>
              <w:rPr>
                <w:sz w:val="24"/>
              </w:rPr>
            </w:pPr>
            <w:r>
              <w:rPr>
                <w:sz w:val="21"/>
              </w:rPr>
              <w:t>―</w:t>
            </w:r>
            <w:r>
              <w:rPr>
                <w:sz w:val="24"/>
              </w:rPr>
              <w:t xml:space="preserve"> </w:t>
            </w:r>
          </w:p>
        </w:tc>
        <w:tc>
          <w:tcPr>
            <w:tcW w:w="454" w:type="dxa"/>
          </w:tcPr>
          <w:p w14:paraId="15205BBD" w14:textId="77777777" w:rsidR="00A71EEF" w:rsidRDefault="00A71EEF">
            <w:pPr>
              <w:pStyle w:val="TableParagraph"/>
              <w:spacing w:before="11"/>
              <w:rPr>
                <w:b/>
                <w:sz w:val="14"/>
              </w:rPr>
            </w:pPr>
          </w:p>
          <w:p w14:paraId="156C1A62" w14:textId="77777777" w:rsidR="00A71EEF" w:rsidRDefault="0081115D">
            <w:pPr>
              <w:pStyle w:val="TableParagraph"/>
              <w:ind w:left="11"/>
              <w:rPr>
                <w:sz w:val="21"/>
              </w:rPr>
            </w:pPr>
            <w:r>
              <w:rPr>
                <w:sz w:val="21"/>
              </w:rPr>
              <w:t>297B</w:t>
            </w:r>
          </w:p>
        </w:tc>
      </w:tr>
      <w:tr w:rsidR="00A71EEF" w14:paraId="27611833" w14:textId="77777777">
        <w:trPr>
          <w:trHeight w:val="500"/>
        </w:trPr>
        <w:tc>
          <w:tcPr>
            <w:tcW w:w="1978" w:type="dxa"/>
            <w:vMerge/>
            <w:tcBorders>
              <w:top w:val="nil"/>
            </w:tcBorders>
          </w:tcPr>
          <w:p w14:paraId="0EA9F0B4" w14:textId="77777777" w:rsidR="00A71EEF" w:rsidRDefault="00A71EEF">
            <w:pPr>
              <w:rPr>
                <w:sz w:val="2"/>
                <w:szCs w:val="2"/>
              </w:rPr>
            </w:pPr>
          </w:p>
        </w:tc>
        <w:tc>
          <w:tcPr>
            <w:tcW w:w="1129" w:type="dxa"/>
          </w:tcPr>
          <w:p w14:paraId="2883EB8E" w14:textId="77777777" w:rsidR="00A71EEF" w:rsidRDefault="0081115D">
            <w:pPr>
              <w:pStyle w:val="TableParagraph"/>
              <w:spacing w:before="193"/>
              <w:ind w:left="455"/>
              <w:rPr>
                <w:sz w:val="24"/>
              </w:rPr>
            </w:pPr>
            <w:r>
              <w:rPr>
                <w:sz w:val="21"/>
              </w:rPr>
              <w:t>―</w:t>
            </w:r>
            <w:r>
              <w:rPr>
                <w:sz w:val="24"/>
              </w:rPr>
              <w:t xml:space="preserve"> </w:t>
            </w:r>
          </w:p>
        </w:tc>
        <w:tc>
          <w:tcPr>
            <w:tcW w:w="1232" w:type="dxa"/>
          </w:tcPr>
          <w:p w14:paraId="67F068F8" w14:textId="77777777" w:rsidR="00A71EEF" w:rsidRDefault="0081115D">
            <w:pPr>
              <w:pStyle w:val="TableParagraph"/>
              <w:spacing w:before="193"/>
              <w:ind w:right="323"/>
              <w:jc w:val="right"/>
              <w:rPr>
                <w:sz w:val="24"/>
              </w:rPr>
            </w:pPr>
            <w:r>
              <w:rPr>
                <w:sz w:val="21"/>
              </w:rPr>
              <w:t>125</w:t>
            </w:r>
            <w:r>
              <w:rPr>
                <w:sz w:val="24"/>
              </w:rPr>
              <w:t xml:space="preserve"> </w:t>
            </w:r>
          </w:p>
        </w:tc>
        <w:tc>
          <w:tcPr>
            <w:tcW w:w="2713" w:type="dxa"/>
          </w:tcPr>
          <w:p w14:paraId="0CF7EFC0" w14:textId="77777777" w:rsidR="00A71EEF" w:rsidRDefault="0081115D">
            <w:pPr>
              <w:pStyle w:val="TableParagraph"/>
              <w:spacing w:before="193"/>
              <w:ind w:left="604" w:right="476"/>
              <w:jc w:val="center"/>
              <w:rPr>
                <w:sz w:val="24"/>
              </w:rPr>
            </w:pPr>
            <w:r>
              <w:rPr>
                <w:sz w:val="21"/>
              </w:rPr>
              <w:t>MFT125</w:t>
            </w:r>
            <w:r>
              <w:rPr>
                <w:sz w:val="24"/>
              </w:rPr>
              <w:t xml:space="preserve"> </w:t>
            </w:r>
          </w:p>
        </w:tc>
        <w:tc>
          <w:tcPr>
            <w:tcW w:w="1014" w:type="dxa"/>
          </w:tcPr>
          <w:p w14:paraId="1EB563AE" w14:textId="77777777" w:rsidR="00A71EEF" w:rsidRDefault="0081115D">
            <w:pPr>
              <w:pStyle w:val="TableParagraph"/>
              <w:spacing w:before="193"/>
              <w:ind w:right="266"/>
              <w:jc w:val="right"/>
              <w:rPr>
                <w:sz w:val="24"/>
              </w:rPr>
            </w:pPr>
            <w:r>
              <w:rPr>
                <w:sz w:val="21"/>
              </w:rPr>
              <w:t>―</w:t>
            </w:r>
            <w:r>
              <w:rPr>
                <w:sz w:val="24"/>
              </w:rPr>
              <w:t xml:space="preserve"> </w:t>
            </w:r>
          </w:p>
        </w:tc>
        <w:tc>
          <w:tcPr>
            <w:tcW w:w="454" w:type="dxa"/>
          </w:tcPr>
          <w:p w14:paraId="2FBDD644" w14:textId="77777777" w:rsidR="00A71EEF" w:rsidRDefault="00A71EEF">
            <w:pPr>
              <w:pStyle w:val="TableParagraph"/>
              <w:rPr>
                <w:b/>
                <w:sz w:val="15"/>
              </w:rPr>
            </w:pPr>
          </w:p>
          <w:p w14:paraId="20D1B031" w14:textId="77777777" w:rsidR="00A71EEF" w:rsidRDefault="0081115D">
            <w:pPr>
              <w:pStyle w:val="TableParagraph"/>
              <w:ind w:left="11"/>
              <w:rPr>
                <w:sz w:val="21"/>
              </w:rPr>
            </w:pPr>
            <w:r>
              <w:rPr>
                <w:sz w:val="21"/>
              </w:rPr>
              <w:t>297B</w:t>
            </w:r>
          </w:p>
        </w:tc>
      </w:tr>
      <w:tr w:rsidR="00A71EEF" w14:paraId="52FF2D9B" w14:textId="77777777">
        <w:trPr>
          <w:trHeight w:val="500"/>
        </w:trPr>
        <w:tc>
          <w:tcPr>
            <w:tcW w:w="1978" w:type="dxa"/>
            <w:vMerge w:val="restart"/>
          </w:tcPr>
          <w:p w14:paraId="52EA328B" w14:textId="77777777" w:rsidR="00A71EEF" w:rsidRDefault="00A71EEF">
            <w:pPr>
              <w:pStyle w:val="TableParagraph"/>
              <w:rPr>
                <w:b/>
                <w:sz w:val="20"/>
              </w:rPr>
            </w:pPr>
          </w:p>
          <w:p w14:paraId="7DA1EC6A" w14:textId="77777777" w:rsidR="00A71EEF" w:rsidRDefault="00A71EEF">
            <w:pPr>
              <w:pStyle w:val="TableParagraph"/>
              <w:rPr>
                <w:b/>
                <w:sz w:val="20"/>
              </w:rPr>
            </w:pPr>
          </w:p>
          <w:p w14:paraId="47F78A41" w14:textId="77777777" w:rsidR="00A71EEF" w:rsidRDefault="00A71EEF">
            <w:pPr>
              <w:pStyle w:val="TableParagraph"/>
              <w:spacing w:before="9"/>
              <w:rPr>
                <w:b/>
                <w:sz w:val="15"/>
              </w:rPr>
            </w:pPr>
          </w:p>
          <w:p w14:paraId="7E7FC13E" w14:textId="77777777" w:rsidR="00A71EEF" w:rsidRDefault="0081115D">
            <w:pPr>
              <w:pStyle w:val="TableParagraph"/>
              <w:ind w:left="383" w:right="266"/>
              <w:jc w:val="center"/>
              <w:rPr>
                <w:sz w:val="21"/>
              </w:rPr>
            </w:pPr>
            <w:r>
              <w:rPr>
                <w:sz w:val="21"/>
              </w:rPr>
              <w:t>干粉</w:t>
            </w:r>
            <w:r>
              <w:rPr>
                <w:sz w:val="21"/>
              </w:rPr>
              <w:t xml:space="preserve"> </w:t>
            </w:r>
          </w:p>
          <w:p w14:paraId="06255B5E" w14:textId="77777777" w:rsidR="00A71EEF" w:rsidRDefault="00A71EEF">
            <w:pPr>
              <w:pStyle w:val="TableParagraph"/>
              <w:rPr>
                <w:b/>
                <w:sz w:val="18"/>
              </w:rPr>
            </w:pPr>
          </w:p>
          <w:p w14:paraId="622ED1BB" w14:textId="77777777" w:rsidR="00A71EEF" w:rsidRDefault="0081115D">
            <w:pPr>
              <w:pStyle w:val="TableParagraph"/>
              <w:ind w:left="397" w:right="266"/>
              <w:jc w:val="center"/>
              <w:rPr>
                <w:sz w:val="24"/>
              </w:rPr>
            </w:pPr>
            <w:r>
              <w:rPr>
                <w:sz w:val="21"/>
              </w:rPr>
              <w:t>（磷酸铵盐）</w:t>
            </w:r>
            <w:r>
              <w:rPr>
                <w:sz w:val="24"/>
              </w:rPr>
              <w:t xml:space="preserve"> </w:t>
            </w:r>
          </w:p>
        </w:tc>
        <w:tc>
          <w:tcPr>
            <w:tcW w:w="1129" w:type="dxa"/>
          </w:tcPr>
          <w:p w14:paraId="3930CFB2" w14:textId="77777777" w:rsidR="00A71EEF" w:rsidRDefault="0081115D">
            <w:pPr>
              <w:pStyle w:val="TableParagraph"/>
              <w:spacing w:before="190"/>
              <w:ind w:left="455"/>
              <w:rPr>
                <w:sz w:val="24"/>
              </w:rPr>
            </w:pPr>
            <w:r>
              <w:rPr>
                <w:sz w:val="21"/>
              </w:rPr>
              <w:t>―</w:t>
            </w:r>
            <w:r>
              <w:rPr>
                <w:sz w:val="24"/>
              </w:rPr>
              <w:t xml:space="preserve"> </w:t>
            </w:r>
          </w:p>
        </w:tc>
        <w:tc>
          <w:tcPr>
            <w:tcW w:w="1232" w:type="dxa"/>
          </w:tcPr>
          <w:p w14:paraId="209CB48F" w14:textId="77777777" w:rsidR="00A71EEF" w:rsidRDefault="0081115D">
            <w:pPr>
              <w:pStyle w:val="TableParagraph"/>
              <w:spacing w:before="190"/>
              <w:ind w:right="376"/>
              <w:jc w:val="right"/>
              <w:rPr>
                <w:sz w:val="24"/>
              </w:rPr>
            </w:pPr>
            <w:r>
              <w:rPr>
                <w:sz w:val="21"/>
              </w:rPr>
              <w:t>20</w:t>
            </w:r>
            <w:r>
              <w:rPr>
                <w:sz w:val="24"/>
              </w:rPr>
              <w:t xml:space="preserve"> </w:t>
            </w:r>
          </w:p>
        </w:tc>
        <w:tc>
          <w:tcPr>
            <w:tcW w:w="2713" w:type="dxa"/>
          </w:tcPr>
          <w:p w14:paraId="36C7A412" w14:textId="77777777" w:rsidR="00A71EEF" w:rsidRDefault="0081115D">
            <w:pPr>
              <w:pStyle w:val="TableParagraph"/>
              <w:spacing w:before="190"/>
              <w:ind w:left="606" w:right="476"/>
              <w:jc w:val="center"/>
              <w:rPr>
                <w:sz w:val="24"/>
              </w:rPr>
            </w:pPr>
            <w:r>
              <w:rPr>
                <w:sz w:val="21"/>
              </w:rPr>
              <w:t>MFT/ABC20</w:t>
            </w:r>
            <w:r>
              <w:rPr>
                <w:sz w:val="24"/>
              </w:rPr>
              <w:t xml:space="preserve"> </w:t>
            </w:r>
          </w:p>
        </w:tc>
        <w:tc>
          <w:tcPr>
            <w:tcW w:w="1014" w:type="dxa"/>
          </w:tcPr>
          <w:p w14:paraId="23EE2361" w14:textId="77777777" w:rsidR="00A71EEF" w:rsidRDefault="0081115D">
            <w:pPr>
              <w:pStyle w:val="TableParagraph"/>
              <w:spacing w:before="190"/>
              <w:ind w:right="266"/>
              <w:jc w:val="right"/>
              <w:rPr>
                <w:sz w:val="24"/>
              </w:rPr>
            </w:pPr>
            <w:r>
              <w:rPr>
                <w:sz w:val="21"/>
              </w:rPr>
              <w:t>6A</w:t>
            </w:r>
            <w:r>
              <w:rPr>
                <w:sz w:val="24"/>
              </w:rPr>
              <w:t xml:space="preserve"> </w:t>
            </w:r>
          </w:p>
        </w:tc>
        <w:tc>
          <w:tcPr>
            <w:tcW w:w="454" w:type="dxa"/>
          </w:tcPr>
          <w:p w14:paraId="01CFF5BE" w14:textId="77777777" w:rsidR="00A71EEF" w:rsidRDefault="00A71EEF">
            <w:pPr>
              <w:pStyle w:val="TableParagraph"/>
              <w:spacing w:before="11"/>
              <w:rPr>
                <w:b/>
                <w:sz w:val="14"/>
              </w:rPr>
            </w:pPr>
          </w:p>
          <w:p w14:paraId="221321AA" w14:textId="77777777" w:rsidR="00A71EEF" w:rsidRDefault="0081115D">
            <w:pPr>
              <w:pStyle w:val="TableParagraph"/>
              <w:ind w:left="11"/>
              <w:rPr>
                <w:sz w:val="21"/>
              </w:rPr>
            </w:pPr>
            <w:r>
              <w:rPr>
                <w:sz w:val="21"/>
              </w:rPr>
              <w:t>183B</w:t>
            </w:r>
          </w:p>
        </w:tc>
      </w:tr>
      <w:tr w:rsidR="00A71EEF" w14:paraId="2B23B875" w14:textId="77777777">
        <w:trPr>
          <w:trHeight w:val="499"/>
        </w:trPr>
        <w:tc>
          <w:tcPr>
            <w:tcW w:w="1978" w:type="dxa"/>
            <w:vMerge/>
            <w:tcBorders>
              <w:top w:val="nil"/>
            </w:tcBorders>
          </w:tcPr>
          <w:p w14:paraId="228582A7" w14:textId="77777777" w:rsidR="00A71EEF" w:rsidRDefault="00A71EEF">
            <w:pPr>
              <w:rPr>
                <w:sz w:val="2"/>
                <w:szCs w:val="2"/>
              </w:rPr>
            </w:pPr>
          </w:p>
        </w:tc>
        <w:tc>
          <w:tcPr>
            <w:tcW w:w="1129" w:type="dxa"/>
          </w:tcPr>
          <w:p w14:paraId="76F2175B" w14:textId="77777777" w:rsidR="00A71EEF" w:rsidRDefault="0081115D">
            <w:pPr>
              <w:pStyle w:val="TableParagraph"/>
              <w:spacing w:before="191"/>
              <w:ind w:left="455"/>
              <w:rPr>
                <w:sz w:val="24"/>
              </w:rPr>
            </w:pPr>
            <w:r>
              <w:rPr>
                <w:sz w:val="21"/>
              </w:rPr>
              <w:t>―</w:t>
            </w:r>
            <w:r>
              <w:rPr>
                <w:sz w:val="24"/>
              </w:rPr>
              <w:t xml:space="preserve"> </w:t>
            </w:r>
          </w:p>
        </w:tc>
        <w:tc>
          <w:tcPr>
            <w:tcW w:w="1232" w:type="dxa"/>
          </w:tcPr>
          <w:p w14:paraId="40770455" w14:textId="77777777" w:rsidR="00A71EEF" w:rsidRDefault="0081115D">
            <w:pPr>
              <w:pStyle w:val="TableParagraph"/>
              <w:spacing w:before="191"/>
              <w:ind w:right="376"/>
              <w:jc w:val="right"/>
              <w:rPr>
                <w:sz w:val="24"/>
              </w:rPr>
            </w:pPr>
            <w:r>
              <w:rPr>
                <w:sz w:val="21"/>
              </w:rPr>
              <w:t>50</w:t>
            </w:r>
            <w:r>
              <w:rPr>
                <w:sz w:val="24"/>
              </w:rPr>
              <w:t xml:space="preserve"> </w:t>
            </w:r>
          </w:p>
        </w:tc>
        <w:tc>
          <w:tcPr>
            <w:tcW w:w="2713" w:type="dxa"/>
          </w:tcPr>
          <w:p w14:paraId="30EDF78A" w14:textId="77777777" w:rsidR="00A71EEF" w:rsidRDefault="0081115D">
            <w:pPr>
              <w:pStyle w:val="TableParagraph"/>
              <w:spacing w:before="191"/>
              <w:ind w:left="606" w:right="476"/>
              <w:jc w:val="center"/>
              <w:rPr>
                <w:sz w:val="24"/>
              </w:rPr>
            </w:pPr>
            <w:r>
              <w:rPr>
                <w:sz w:val="21"/>
              </w:rPr>
              <w:t>MFT/ABC50</w:t>
            </w:r>
            <w:r>
              <w:rPr>
                <w:sz w:val="24"/>
              </w:rPr>
              <w:t xml:space="preserve"> </w:t>
            </w:r>
          </w:p>
        </w:tc>
        <w:tc>
          <w:tcPr>
            <w:tcW w:w="1014" w:type="dxa"/>
          </w:tcPr>
          <w:p w14:paraId="343E27A0" w14:textId="77777777" w:rsidR="00A71EEF" w:rsidRDefault="0081115D">
            <w:pPr>
              <w:pStyle w:val="TableParagraph"/>
              <w:spacing w:before="191"/>
              <w:ind w:right="266"/>
              <w:jc w:val="right"/>
              <w:rPr>
                <w:sz w:val="24"/>
              </w:rPr>
            </w:pPr>
            <w:r>
              <w:rPr>
                <w:sz w:val="21"/>
              </w:rPr>
              <w:t>8A</w:t>
            </w:r>
            <w:r>
              <w:rPr>
                <w:sz w:val="24"/>
              </w:rPr>
              <w:t xml:space="preserve"> </w:t>
            </w:r>
          </w:p>
        </w:tc>
        <w:tc>
          <w:tcPr>
            <w:tcW w:w="454" w:type="dxa"/>
          </w:tcPr>
          <w:p w14:paraId="4F82EB55" w14:textId="77777777" w:rsidR="00A71EEF" w:rsidRDefault="00A71EEF">
            <w:pPr>
              <w:pStyle w:val="TableParagraph"/>
              <w:spacing w:before="11"/>
              <w:rPr>
                <w:b/>
                <w:sz w:val="14"/>
              </w:rPr>
            </w:pPr>
          </w:p>
          <w:p w14:paraId="6C8AFD49" w14:textId="77777777" w:rsidR="00A71EEF" w:rsidRDefault="0081115D">
            <w:pPr>
              <w:pStyle w:val="TableParagraph"/>
              <w:ind w:left="11"/>
              <w:rPr>
                <w:sz w:val="21"/>
              </w:rPr>
            </w:pPr>
            <w:r>
              <w:rPr>
                <w:sz w:val="21"/>
              </w:rPr>
              <w:t>297B</w:t>
            </w:r>
          </w:p>
        </w:tc>
      </w:tr>
      <w:tr w:rsidR="00A71EEF" w14:paraId="782DBFD3" w14:textId="77777777">
        <w:trPr>
          <w:trHeight w:val="501"/>
        </w:trPr>
        <w:tc>
          <w:tcPr>
            <w:tcW w:w="1978" w:type="dxa"/>
            <w:vMerge/>
            <w:tcBorders>
              <w:top w:val="nil"/>
            </w:tcBorders>
          </w:tcPr>
          <w:p w14:paraId="14681961" w14:textId="77777777" w:rsidR="00A71EEF" w:rsidRDefault="00A71EEF">
            <w:pPr>
              <w:rPr>
                <w:sz w:val="2"/>
                <w:szCs w:val="2"/>
              </w:rPr>
            </w:pPr>
          </w:p>
        </w:tc>
        <w:tc>
          <w:tcPr>
            <w:tcW w:w="1129" w:type="dxa"/>
          </w:tcPr>
          <w:p w14:paraId="78A24C8A" w14:textId="77777777" w:rsidR="00A71EEF" w:rsidRDefault="0081115D">
            <w:pPr>
              <w:pStyle w:val="TableParagraph"/>
              <w:spacing w:before="190"/>
              <w:ind w:left="455"/>
              <w:rPr>
                <w:sz w:val="24"/>
              </w:rPr>
            </w:pPr>
            <w:r>
              <w:rPr>
                <w:sz w:val="21"/>
              </w:rPr>
              <w:t>―</w:t>
            </w:r>
            <w:r>
              <w:rPr>
                <w:sz w:val="24"/>
              </w:rPr>
              <w:t xml:space="preserve"> </w:t>
            </w:r>
          </w:p>
        </w:tc>
        <w:tc>
          <w:tcPr>
            <w:tcW w:w="1232" w:type="dxa"/>
          </w:tcPr>
          <w:p w14:paraId="055F5414" w14:textId="77777777" w:rsidR="00A71EEF" w:rsidRDefault="0081115D">
            <w:pPr>
              <w:pStyle w:val="TableParagraph"/>
              <w:spacing w:before="190"/>
              <w:ind w:right="323"/>
              <w:jc w:val="right"/>
              <w:rPr>
                <w:sz w:val="24"/>
              </w:rPr>
            </w:pPr>
            <w:r>
              <w:rPr>
                <w:sz w:val="21"/>
              </w:rPr>
              <w:t>100</w:t>
            </w:r>
            <w:r>
              <w:rPr>
                <w:sz w:val="24"/>
              </w:rPr>
              <w:t xml:space="preserve"> </w:t>
            </w:r>
          </w:p>
        </w:tc>
        <w:tc>
          <w:tcPr>
            <w:tcW w:w="2713" w:type="dxa"/>
          </w:tcPr>
          <w:p w14:paraId="3529462D" w14:textId="77777777" w:rsidR="00A71EEF" w:rsidRDefault="0081115D">
            <w:pPr>
              <w:pStyle w:val="TableParagraph"/>
              <w:spacing w:before="190"/>
              <w:ind w:left="606" w:right="476"/>
              <w:jc w:val="center"/>
              <w:rPr>
                <w:sz w:val="24"/>
              </w:rPr>
            </w:pPr>
            <w:r>
              <w:rPr>
                <w:sz w:val="21"/>
              </w:rPr>
              <w:t>MFT/ABC100</w:t>
            </w:r>
            <w:r>
              <w:rPr>
                <w:sz w:val="24"/>
              </w:rPr>
              <w:t xml:space="preserve"> </w:t>
            </w:r>
          </w:p>
        </w:tc>
        <w:tc>
          <w:tcPr>
            <w:tcW w:w="1014" w:type="dxa"/>
          </w:tcPr>
          <w:p w14:paraId="0B760E0F" w14:textId="77777777" w:rsidR="00A71EEF" w:rsidRDefault="0081115D">
            <w:pPr>
              <w:pStyle w:val="TableParagraph"/>
              <w:spacing w:before="190"/>
              <w:ind w:right="216"/>
              <w:jc w:val="right"/>
              <w:rPr>
                <w:sz w:val="24"/>
              </w:rPr>
            </w:pPr>
            <w:r>
              <w:rPr>
                <w:sz w:val="21"/>
              </w:rPr>
              <w:t>10A</w:t>
            </w:r>
            <w:r>
              <w:rPr>
                <w:sz w:val="24"/>
              </w:rPr>
              <w:t xml:space="preserve"> </w:t>
            </w:r>
          </w:p>
        </w:tc>
        <w:tc>
          <w:tcPr>
            <w:tcW w:w="454" w:type="dxa"/>
          </w:tcPr>
          <w:p w14:paraId="4B060388" w14:textId="77777777" w:rsidR="00A71EEF" w:rsidRDefault="00A71EEF">
            <w:pPr>
              <w:pStyle w:val="TableParagraph"/>
              <w:spacing w:before="11"/>
              <w:rPr>
                <w:b/>
                <w:sz w:val="14"/>
              </w:rPr>
            </w:pPr>
          </w:p>
          <w:p w14:paraId="40C24715" w14:textId="77777777" w:rsidR="00A71EEF" w:rsidRDefault="0081115D">
            <w:pPr>
              <w:pStyle w:val="TableParagraph"/>
              <w:ind w:left="11"/>
              <w:rPr>
                <w:sz w:val="21"/>
              </w:rPr>
            </w:pPr>
            <w:r>
              <w:rPr>
                <w:sz w:val="21"/>
              </w:rPr>
              <w:t>297B</w:t>
            </w:r>
          </w:p>
        </w:tc>
      </w:tr>
      <w:tr w:rsidR="00A71EEF" w14:paraId="0DDCE29B" w14:textId="77777777">
        <w:trPr>
          <w:trHeight w:val="498"/>
        </w:trPr>
        <w:tc>
          <w:tcPr>
            <w:tcW w:w="1978" w:type="dxa"/>
            <w:vMerge/>
            <w:tcBorders>
              <w:top w:val="nil"/>
            </w:tcBorders>
          </w:tcPr>
          <w:p w14:paraId="0E2501A2" w14:textId="77777777" w:rsidR="00A71EEF" w:rsidRDefault="00A71EEF">
            <w:pPr>
              <w:rPr>
                <w:sz w:val="2"/>
                <w:szCs w:val="2"/>
              </w:rPr>
            </w:pPr>
          </w:p>
        </w:tc>
        <w:tc>
          <w:tcPr>
            <w:tcW w:w="1129" w:type="dxa"/>
          </w:tcPr>
          <w:p w14:paraId="3CBC609E" w14:textId="77777777" w:rsidR="00A71EEF" w:rsidRDefault="0081115D">
            <w:pPr>
              <w:pStyle w:val="TableParagraph"/>
              <w:spacing w:before="190"/>
              <w:ind w:left="455"/>
              <w:rPr>
                <w:sz w:val="24"/>
              </w:rPr>
            </w:pPr>
            <w:r>
              <w:rPr>
                <w:sz w:val="21"/>
              </w:rPr>
              <w:t>―</w:t>
            </w:r>
            <w:r>
              <w:rPr>
                <w:sz w:val="24"/>
              </w:rPr>
              <w:t xml:space="preserve"> </w:t>
            </w:r>
          </w:p>
        </w:tc>
        <w:tc>
          <w:tcPr>
            <w:tcW w:w="1232" w:type="dxa"/>
          </w:tcPr>
          <w:p w14:paraId="21D37327" w14:textId="77777777" w:rsidR="00A71EEF" w:rsidRDefault="0081115D">
            <w:pPr>
              <w:pStyle w:val="TableParagraph"/>
              <w:spacing w:before="190"/>
              <w:ind w:right="323"/>
              <w:jc w:val="right"/>
              <w:rPr>
                <w:sz w:val="24"/>
              </w:rPr>
            </w:pPr>
            <w:r>
              <w:rPr>
                <w:sz w:val="21"/>
              </w:rPr>
              <w:t>125</w:t>
            </w:r>
            <w:r>
              <w:rPr>
                <w:sz w:val="24"/>
              </w:rPr>
              <w:t xml:space="preserve"> </w:t>
            </w:r>
          </w:p>
        </w:tc>
        <w:tc>
          <w:tcPr>
            <w:tcW w:w="2713" w:type="dxa"/>
          </w:tcPr>
          <w:p w14:paraId="47F56C45" w14:textId="77777777" w:rsidR="00A71EEF" w:rsidRDefault="0081115D">
            <w:pPr>
              <w:pStyle w:val="TableParagraph"/>
              <w:spacing w:before="190"/>
              <w:ind w:left="606" w:right="476"/>
              <w:jc w:val="center"/>
              <w:rPr>
                <w:sz w:val="24"/>
              </w:rPr>
            </w:pPr>
            <w:r>
              <w:rPr>
                <w:sz w:val="21"/>
              </w:rPr>
              <w:t>MFT/ABC125</w:t>
            </w:r>
            <w:r>
              <w:rPr>
                <w:sz w:val="24"/>
              </w:rPr>
              <w:t xml:space="preserve"> </w:t>
            </w:r>
          </w:p>
        </w:tc>
        <w:tc>
          <w:tcPr>
            <w:tcW w:w="1014" w:type="dxa"/>
          </w:tcPr>
          <w:p w14:paraId="2D476963" w14:textId="77777777" w:rsidR="00A71EEF" w:rsidRDefault="0081115D">
            <w:pPr>
              <w:pStyle w:val="TableParagraph"/>
              <w:spacing w:before="190"/>
              <w:ind w:right="216"/>
              <w:jc w:val="right"/>
              <w:rPr>
                <w:sz w:val="24"/>
              </w:rPr>
            </w:pPr>
            <w:r>
              <w:rPr>
                <w:sz w:val="21"/>
              </w:rPr>
              <w:t>10A</w:t>
            </w:r>
            <w:r>
              <w:rPr>
                <w:sz w:val="24"/>
              </w:rPr>
              <w:t xml:space="preserve"> </w:t>
            </w:r>
          </w:p>
        </w:tc>
        <w:tc>
          <w:tcPr>
            <w:tcW w:w="454" w:type="dxa"/>
          </w:tcPr>
          <w:p w14:paraId="27A2B809" w14:textId="77777777" w:rsidR="00A71EEF" w:rsidRDefault="00A71EEF">
            <w:pPr>
              <w:pStyle w:val="TableParagraph"/>
              <w:spacing w:before="11"/>
              <w:rPr>
                <w:b/>
                <w:sz w:val="14"/>
              </w:rPr>
            </w:pPr>
          </w:p>
          <w:p w14:paraId="287AE62C" w14:textId="77777777" w:rsidR="00A71EEF" w:rsidRDefault="0081115D">
            <w:pPr>
              <w:pStyle w:val="TableParagraph"/>
              <w:ind w:left="11"/>
              <w:rPr>
                <w:sz w:val="21"/>
              </w:rPr>
            </w:pPr>
            <w:r>
              <w:rPr>
                <w:sz w:val="21"/>
              </w:rPr>
              <w:t>297B</w:t>
            </w:r>
          </w:p>
        </w:tc>
      </w:tr>
      <w:tr w:rsidR="00A71EEF" w14:paraId="19B93184" w14:textId="77777777">
        <w:trPr>
          <w:trHeight w:val="500"/>
        </w:trPr>
        <w:tc>
          <w:tcPr>
            <w:tcW w:w="1978" w:type="dxa"/>
            <w:vMerge w:val="restart"/>
          </w:tcPr>
          <w:p w14:paraId="6DEE05C2" w14:textId="77777777" w:rsidR="00A71EEF" w:rsidRDefault="00A71EEF">
            <w:pPr>
              <w:pStyle w:val="TableParagraph"/>
              <w:rPr>
                <w:b/>
                <w:sz w:val="20"/>
              </w:rPr>
            </w:pPr>
          </w:p>
          <w:p w14:paraId="5F5FDF2E" w14:textId="77777777" w:rsidR="00A71EEF" w:rsidRDefault="00A71EEF">
            <w:pPr>
              <w:pStyle w:val="TableParagraph"/>
              <w:rPr>
                <w:b/>
                <w:sz w:val="20"/>
              </w:rPr>
            </w:pPr>
          </w:p>
          <w:p w14:paraId="7C01E3B7" w14:textId="77777777" w:rsidR="00A71EEF" w:rsidRDefault="00A71EEF">
            <w:pPr>
              <w:pStyle w:val="TableParagraph"/>
              <w:spacing w:before="9"/>
              <w:rPr>
                <w:b/>
                <w:sz w:val="15"/>
              </w:rPr>
            </w:pPr>
          </w:p>
          <w:p w14:paraId="6F89D4EB" w14:textId="77777777" w:rsidR="00A71EEF" w:rsidRDefault="0081115D">
            <w:pPr>
              <w:pStyle w:val="TableParagraph"/>
              <w:ind w:left="671"/>
              <w:rPr>
                <w:sz w:val="21"/>
              </w:rPr>
            </w:pPr>
            <w:r>
              <w:rPr>
                <w:sz w:val="21"/>
              </w:rPr>
              <w:t>卤代烷</w:t>
            </w:r>
            <w:r>
              <w:rPr>
                <w:sz w:val="21"/>
              </w:rPr>
              <w:t xml:space="preserve"> </w:t>
            </w:r>
          </w:p>
          <w:p w14:paraId="15BA3BE0" w14:textId="77777777" w:rsidR="00A71EEF" w:rsidRDefault="00A71EEF">
            <w:pPr>
              <w:pStyle w:val="TableParagraph"/>
              <w:spacing w:before="1"/>
              <w:rPr>
                <w:b/>
                <w:sz w:val="18"/>
              </w:rPr>
            </w:pPr>
          </w:p>
          <w:p w14:paraId="2497C7A2" w14:textId="77777777" w:rsidR="00A71EEF" w:rsidRDefault="0081115D">
            <w:pPr>
              <w:pStyle w:val="TableParagraph"/>
              <w:spacing w:before="1"/>
              <w:ind w:left="568"/>
              <w:rPr>
                <w:sz w:val="24"/>
              </w:rPr>
            </w:pPr>
            <w:r>
              <w:rPr>
                <w:sz w:val="21"/>
              </w:rPr>
              <w:t>（</w:t>
            </w:r>
            <w:r>
              <w:rPr>
                <w:sz w:val="21"/>
              </w:rPr>
              <w:t>1211</w:t>
            </w:r>
            <w:r>
              <w:rPr>
                <w:sz w:val="21"/>
              </w:rPr>
              <w:t>）</w:t>
            </w:r>
            <w:r>
              <w:rPr>
                <w:sz w:val="24"/>
              </w:rPr>
              <w:t xml:space="preserve"> </w:t>
            </w:r>
          </w:p>
        </w:tc>
        <w:tc>
          <w:tcPr>
            <w:tcW w:w="1129" w:type="dxa"/>
          </w:tcPr>
          <w:p w14:paraId="6DD261B9" w14:textId="77777777" w:rsidR="00A71EEF" w:rsidRDefault="0081115D">
            <w:pPr>
              <w:pStyle w:val="TableParagraph"/>
              <w:spacing w:before="193"/>
              <w:ind w:left="455"/>
              <w:rPr>
                <w:sz w:val="24"/>
              </w:rPr>
            </w:pPr>
            <w:r>
              <w:rPr>
                <w:sz w:val="21"/>
              </w:rPr>
              <w:t>―</w:t>
            </w:r>
            <w:r>
              <w:rPr>
                <w:sz w:val="24"/>
              </w:rPr>
              <w:t xml:space="preserve"> </w:t>
            </w:r>
          </w:p>
        </w:tc>
        <w:tc>
          <w:tcPr>
            <w:tcW w:w="1232" w:type="dxa"/>
          </w:tcPr>
          <w:p w14:paraId="3AFBE82C" w14:textId="77777777" w:rsidR="00A71EEF" w:rsidRDefault="0081115D">
            <w:pPr>
              <w:pStyle w:val="TableParagraph"/>
              <w:spacing w:before="193"/>
              <w:ind w:right="376"/>
              <w:jc w:val="right"/>
              <w:rPr>
                <w:sz w:val="24"/>
              </w:rPr>
            </w:pPr>
            <w:r>
              <w:rPr>
                <w:sz w:val="21"/>
              </w:rPr>
              <w:t>10</w:t>
            </w:r>
            <w:r>
              <w:rPr>
                <w:sz w:val="24"/>
              </w:rPr>
              <w:t xml:space="preserve"> </w:t>
            </w:r>
          </w:p>
        </w:tc>
        <w:tc>
          <w:tcPr>
            <w:tcW w:w="2713" w:type="dxa"/>
          </w:tcPr>
          <w:p w14:paraId="6D06C476" w14:textId="77777777" w:rsidR="00A71EEF" w:rsidRDefault="0081115D">
            <w:pPr>
              <w:pStyle w:val="TableParagraph"/>
              <w:spacing w:before="193"/>
              <w:ind w:left="604" w:right="476"/>
              <w:jc w:val="center"/>
              <w:rPr>
                <w:sz w:val="24"/>
              </w:rPr>
            </w:pPr>
            <w:r>
              <w:rPr>
                <w:sz w:val="21"/>
              </w:rPr>
              <w:t>MYT10</w:t>
            </w:r>
            <w:r>
              <w:rPr>
                <w:sz w:val="24"/>
              </w:rPr>
              <w:t xml:space="preserve"> </w:t>
            </w:r>
          </w:p>
        </w:tc>
        <w:tc>
          <w:tcPr>
            <w:tcW w:w="1014" w:type="dxa"/>
          </w:tcPr>
          <w:p w14:paraId="37ABD2F6" w14:textId="77777777" w:rsidR="00A71EEF" w:rsidRDefault="0081115D">
            <w:pPr>
              <w:pStyle w:val="TableParagraph"/>
              <w:spacing w:before="193"/>
              <w:ind w:right="266"/>
              <w:jc w:val="right"/>
              <w:rPr>
                <w:sz w:val="24"/>
              </w:rPr>
            </w:pPr>
            <w:r>
              <w:rPr>
                <w:sz w:val="21"/>
              </w:rPr>
              <w:t>―</w:t>
            </w:r>
            <w:r>
              <w:rPr>
                <w:sz w:val="24"/>
              </w:rPr>
              <w:t xml:space="preserve"> </w:t>
            </w:r>
          </w:p>
        </w:tc>
        <w:tc>
          <w:tcPr>
            <w:tcW w:w="454" w:type="dxa"/>
          </w:tcPr>
          <w:p w14:paraId="55C8F704" w14:textId="77777777" w:rsidR="00A71EEF" w:rsidRDefault="0081115D">
            <w:pPr>
              <w:pStyle w:val="TableParagraph"/>
              <w:spacing w:before="193"/>
              <w:ind w:left="64" w:right="-72"/>
              <w:rPr>
                <w:sz w:val="24"/>
              </w:rPr>
            </w:pPr>
            <w:r>
              <w:rPr>
                <w:sz w:val="21"/>
              </w:rPr>
              <w:t>70B</w:t>
            </w:r>
            <w:r>
              <w:rPr>
                <w:sz w:val="24"/>
              </w:rPr>
              <w:t xml:space="preserve"> </w:t>
            </w:r>
          </w:p>
        </w:tc>
      </w:tr>
      <w:tr w:rsidR="00A71EEF" w14:paraId="1F3DC2E7" w14:textId="77777777">
        <w:trPr>
          <w:trHeight w:val="498"/>
        </w:trPr>
        <w:tc>
          <w:tcPr>
            <w:tcW w:w="1978" w:type="dxa"/>
            <w:vMerge/>
            <w:tcBorders>
              <w:top w:val="nil"/>
            </w:tcBorders>
          </w:tcPr>
          <w:p w14:paraId="70AD5F5B" w14:textId="77777777" w:rsidR="00A71EEF" w:rsidRDefault="00A71EEF">
            <w:pPr>
              <w:rPr>
                <w:sz w:val="2"/>
                <w:szCs w:val="2"/>
              </w:rPr>
            </w:pPr>
          </w:p>
        </w:tc>
        <w:tc>
          <w:tcPr>
            <w:tcW w:w="1129" w:type="dxa"/>
          </w:tcPr>
          <w:p w14:paraId="46300E0F" w14:textId="77777777" w:rsidR="00A71EEF" w:rsidRDefault="0081115D">
            <w:pPr>
              <w:pStyle w:val="TableParagraph"/>
              <w:spacing w:before="190"/>
              <w:ind w:left="455"/>
              <w:rPr>
                <w:sz w:val="24"/>
              </w:rPr>
            </w:pPr>
            <w:r>
              <w:rPr>
                <w:sz w:val="21"/>
              </w:rPr>
              <w:t>―</w:t>
            </w:r>
            <w:r>
              <w:rPr>
                <w:sz w:val="24"/>
              </w:rPr>
              <w:t xml:space="preserve"> </w:t>
            </w:r>
          </w:p>
        </w:tc>
        <w:tc>
          <w:tcPr>
            <w:tcW w:w="1232" w:type="dxa"/>
          </w:tcPr>
          <w:p w14:paraId="3C9833C9" w14:textId="77777777" w:rsidR="00A71EEF" w:rsidRDefault="0081115D">
            <w:pPr>
              <w:pStyle w:val="TableParagraph"/>
              <w:spacing w:before="190"/>
              <w:ind w:right="376"/>
              <w:jc w:val="right"/>
              <w:rPr>
                <w:sz w:val="24"/>
              </w:rPr>
            </w:pPr>
            <w:r>
              <w:rPr>
                <w:sz w:val="21"/>
              </w:rPr>
              <w:t>20</w:t>
            </w:r>
            <w:r>
              <w:rPr>
                <w:sz w:val="24"/>
              </w:rPr>
              <w:t xml:space="preserve"> </w:t>
            </w:r>
          </w:p>
        </w:tc>
        <w:tc>
          <w:tcPr>
            <w:tcW w:w="2713" w:type="dxa"/>
          </w:tcPr>
          <w:p w14:paraId="360773CC" w14:textId="77777777" w:rsidR="00A71EEF" w:rsidRDefault="0081115D">
            <w:pPr>
              <w:pStyle w:val="TableParagraph"/>
              <w:spacing w:before="190"/>
              <w:ind w:left="604" w:right="476"/>
              <w:jc w:val="center"/>
              <w:rPr>
                <w:sz w:val="24"/>
              </w:rPr>
            </w:pPr>
            <w:r>
              <w:rPr>
                <w:sz w:val="21"/>
              </w:rPr>
              <w:t>MYT20</w:t>
            </w:r>
            <w:r>
              <w:rPr>
                <w:sz w:val="24"/>
              </w:rPr>
              <w:t xml:space="preserve"> </w:t>
            </w:r>
          </w:p>
        </w:tc>
        <w:tc>
          <w:tcPr>
            <w:tcW w:w="1014" w:type="dxa"/>
          </w:tcPr>
          <w:p w14:paraId="56F2216A" w14:textId="77777777" w:rsidR="00A71EEF" w:rsidRDefault="0081115D">
            <w:pPr>
              <w:pStyle w:val="TableParagraph"/>
              <w:spacing w:before="190"/>
              <w:ind w:right="266"/>
              <w:jc w:val="right"/>
              <w:rPr>
                <w:sz w:val="24"/>
              </w:rPr>
            </w:pPr>
            <w:r>
              <w:rPr>
                <w:sz w:val="21"/>
              </w:rPr>
              <w:t>―</w:t>
            </w:r>
            <w:r>
              <w:rPr>
                <w:sz w:val="24"/>
              </w:rPr>
              <w:t xml:space="preserve"> </w:t>
            </w:r>
          </w:p>
        </w:tc>
        <w:tc>
          <w:tcPr>
            <w:tcW w:w="454" w:type="dxa"/>
          </w:tcPr>
          <w:p w14:paraId="21F8C437" w14:textId="77777777" w:rsidR="00A71EEF" w:rsidRDefault="00A71EEF">
            <w:pPr>
              <w:pStyle w:val="TableParagraph"/>
              <w:spacing w:before="11"/>
              <w:rPr>
                <w:b/>
                <w:sz w:val="14"/>
              </w:rPr>
            </w:pPr>
          </w:p>
          <w:p w14:paraId="5F8C2A40" w14:textId="77777777" w:rsidR="00A71EEF" w:rsidRDefault="0081115D">
            <w:pPr>
              <w:pStyle w:val="TableParagraph"/>
              <w:ind w:left="11"/>
              <w:rPr>
                <w:sz w:val="21"/>
              </w:rPr>
            </w:pPr>
            <w:r>
              <w:rPr>
                <w:sz w:val="21"/>
              </w:rPr>
              <w:t>144B</w:t>
            </w:r>
          </w:p>
        </w:tc>
      </w:tr>
      <w:tr w:rsidR="00A71EEF" w14:paraId="46F6AD87" w14:textId="77777777">
        <w:trPr>
          <w:trHeight w:val="500"/>
        </w:trPr>
        <w:tc>
          <w:tcPr>
            <w:tcW w:w="1978" w:type="dxa"/>
            <w:vMerge/>
            <w:tcBorders>
              <w:top w:val="nil"/>
            </w:tcBorders>
          </w:tcPr>
          <w:p w14:paraId="1F6ACFBE" w14:textId="77777777" w:rsidR="00A71EEF" w:rsidRDefault="00A71EEF">
            <w:pPr>
              <w:rPr>
                <w:sz w:val="2"/>
                <w:szCs w:val="2"/>
              </w:rPr>
            </w:pPr>
          </w:p>
        </w:tc>
        <w:tc>
          <w:tcPr>
            <w:tcW w:w="1129" w:type="dxa"/>
          </w:tcPr>
          <w:p w14:paraId="5FB06BDC" w14:textId="77777777" w:rsidR="00A71EEF" w:rsidRDefault="0081115D">
            <w:pPr>
              <w:pStyle w:val="TableParagraph"/>
              <w:spacing w:before="193"/>
              <w:ind w:left="455"/>
              <w:rPr>
                <w:sz w:val="24"/>
              </w:rPr>
            </w:pPr>
            <w:r>
              <w:rPr>
                <w:sz w:val="21"/>
              </w:rPr>
              <w:t>―</w:t>
            </w:r>
            <w:r>
              <w:rPr>
                <w:sz w:val="24"/>
              </w:rPr>
              <w:t xml:space="preserve"> </w:t>
            </w:r>
          </w:p>
        </w:tc>
        <w:tc>
          <w:tcPr>
            <w:tcW w:w="1232" w:type="dxa"/>
          </w:tcPr>
          <w:p w14:paraId="0E26CDD6" w14:textId="77777777" w:rsidR="00A71EEF" w:rsidRDefault="0081115D">
            <w:pPr>
              <w:pStyle w:val="TableParagraph"/>
              <w:spacing w:before="193"/>
              <w:ind w:right="376"/>
              <w:jc w:val="right"/>
              <w:rPr>
                <w:sz w:val="24"/>
              </w:rPr>
            </w:pPr>
            <w:r>
              <w:rPr>
                <w:sz w:val="21"/>
              </w:rPr>
              <w:t>30</w:t>
            </w:r>
            <w:r>
              <w:rPr>
                <w:sz w:val="24"/>
              </w:rPr>
              <w:t xml:space="preserve"> </w:t>
            </w:r>
          </w:p>
        </w:tc>
        <w:tc>
          <w:tcPr>
            <w:tcW w:w="2713" w:type="dxa"/>
          </w:tcPr>
          <w:p w14:paraId="01B34856" w14:textId="77777777" w:rsidR="00A71EEF" w:rsidRDefault="0081115D">
            <w:pPr>
              <w:pStyle w:val="TableParagraph"/>
              <w:spacing w:before="193"/>
              <w:ind w:left="604" w:right="476"/>
              <w:jc w:val="center"/>
              <w:rPr>
                <w:sz w:val="24"/>
              </w:rPr>
            </w:pPr>
            <w:r>
              <w:rPr>
                <w:sz w:val="21"/>
              </w:rPr>
              <w:t>MYT30</w:t>
            </w:r>
            <w:r>
              <w:rPr>
                <w:sz w:val="24"/>
              </w:rPr>
              <w:t xml:space="preserve"> </w:t>
            </w:r>
          </w:p>
        </w:tc>
        <w:tc>
          <w:tcPr>
            <w:tcW w:w="1014" w:type="dxa"/>
          </w:tcPr>
          <w:p w14:paraId="55EACA8E" w14:textId="77777777" w:rsidR="00A71EEF" w:rsidRDefault="0081115D">
            <w:pPr>
              <w:pStyle w:val="TableParagraph"/>
              <w:spacing w:before="193"/>
              <w:ind w:right="266"/>
              <w:jc w:val="right"/>
              <w:rPr>
                <w:sz w:val="24"/>
              </w:rPr>
            </w:pPr>
            <w:r>
              <w:rPr>
                <w:sz w:val="21"/>
              </w:rPr>
              <w:t>―</w:t>
            </w:r>
            <w:r>
              <w:rPr>
                <w:sz w:val="24"/>
              </w:rPr>
              <w:t xml:space="preserve"> </w:t>
            </w:r>
          </w:p>
        </w:tc>
        <w:tc>
          <w:tcPr>
            <w:tcW w:w="454" w:type="dxa"/>
          </w:tcPr>
          <w:p w14:paraId="2B699616" w14:textId="77777777" w:rsidR="00A71EEF" w:rsidRDefault="00A71EEF">
            <w:pPr>
              <w:pStyle w:val="TableParagraph"/>
              <w:rPr>
                <w:b/>
                <w:sz w:val="15"/>
              </w:rPr>
            </w:pPr>
          </w:p>
          <w:p w14:paraId="0CAF9513" w14:textId="77777777" w:rsidR="00A71EEF" w:rsidRDefault="0081115D">
            <w:pPr>
              <w:pStyle w:val="TableParagraph"/>
              <w:ind w:left="11"/>
              <w:rPr>
                <w:sz w:val="21"/>
              </w:rPr>
            </w:pPr>
            <w:r>
              <w:rPr>
                <w:sz w:val="21"/>
              </w:rPr>
              <w:t>183B</w:t>
            </w:r>
          </w:p>
        </w:tc>
      </w:tr>
      <w:tr w:rsidR="00A71EEF" w14:paraId="5E0B297B" w14:textId="77777777">
        <w:trPr>
          <w:trHeight w:val="501"/>
        </w:trPr>
        <w:tc>
          <w:tcPr>
            <w:tcW w:w="1978" w:type="dxa"/>
            <w:vMerge/>
            <w:tcBorders>
              <w:top w:val="nil"/>
            </w:tcBorders>
          </w:tcPr>
          <w:p w14:paraId="006BF3A8" w14:textId="77777777" w:rsidR="00A71EEF" w:rsidRDefault="00A71EEF">
            <w:pPr>
              <w:rPr>
                <w:sz w:val="2"/>
                <w:szCs w:val="2"/>
              </w:rPr>
            </w:pPr>
          </w:p>
        </w:tc>
        <w:tc>
          <w:tcPr>
            <w:tcW w:w="1129" w:type="dxa"/>
          </w:tcPr>
          <w:p w14:paraId="486F1ED1" w14:textId="77777777" w:rsidR="00A71EEF" w:rsidRDefault="0081115D">
            <w:pPr>
              <w:pStyle w:val="TableParagraph"/>
              <w:spacing w:before="191"/>
              <w:ind w:left="455"/>
              <w:rPr>
                <w:sz w:val="24"/>
              </w:rPr>
            </w:pPr>
            <w:r>
              <w:rPr>
                <w:sz w:val="21"/>
              </w:rPr>
              <w:t>―</w:t>
            </w:r>
            <w:r>
              <w:rPr>
                <w:sz w:val="24"/>
              </w:rPr>
              <w:t xml:space="preserve"> </w:t>
            </w:r>
          </w:p>
        </w:tc>
        <w:tc>
          <w:tcPr>
            <w:tcW w:w="1232" w:type="dxa"/>
          </w:tcPr>
          <w:p w14:paraId="69FE06E6" w14:textId="77777777" w:rsidR="00A71EEF" w:rsidRDefault="0081115D">
            <w:pPr>
              <w:pStyle w:val="TableParagraph"/>
              <w:spacing w:before="191"/>
              <w:ind w:right="376"/>
              <w:jc w:val="right"/>
              <w:rPr>
                <w:sz w:val="24"/>
              </w:rPr>
            </w:pPr>
            <w:r>
              <w:rPr>
                <w:sz w:val="21"/>
              </w:rPr>
              <w:t>50</w:t>
            </w:r>
            <w:r>
              <w:rPr>
                <w:sz w:val="24"/>
              </w:rPr>
              <w:t xml:space="preserve"> </w:t>
            </w:r>
          </w:p>
        </w:tc>
        <w:tc>
          <w:tcPr>
            <w:tcW w:w="2713" w:type="dxa"/>
          </w:tcPr>
          <w:p w14:paraId="515B9C17" w14:textId="77777777" w:rsidR="00A71EEF" w:rsidRDefault="0081115D">
            <w:pPr>
              <w:pStyle w:val="TableParagraph"/>
              <w:spacing w:before="191"/>
              <w:ind w:left="604" w:right="476"/>
              <w:jc w:val="center"/>
              <w:rPr>
                <w:sz w:val="24"/>
              </w:rPr>
            </w:pPr>
            <w:r>
              <w:rPr>
                <w:sz w:val="21"/>
              </w:rPr>
              <w:t>MYT50</w:t>
            </w:r>
            <w:r>
              <w:rPr>
                <w:sz w:val="24"/>
              </w:rPr>
              <w:t xml:space="preserve"> </w:t>
            </w:r>
          </w:p>
        </w:tc>
        <w:tc>
          <w:tcPr>
            <w:tcW w:w="1014" w:type="dxa"/>
          </w:tcPr>
          <w:p w14:paraId="428005D5" w14:textId="77777777" w:rsidR="00A71EEF" w:rsidRDefault="0081115D">
            <w:pPr>
              <w:pStyle w:val="TableParagraph"/>
              <w:spacing w:before="191"/>
              <w:ind w:right="266"/>
              <w:jc w:val="right"/>
              <w:rPr>
                <w:sz w:val="24"/>
              </w:rPr>
            </w:pPr>
            <w:r>
              <w:rPr>
                <w:sz w:val="21"/>
              </w:rPr>
              <w:t>―</w:t>
            </w:r>
            <w:r>
              <w:rPr>
                <w:sz w:val="24"/>
              </w:rPr>
              <w:t xml:space="preserve"> </w:t>
            </w:r>
          </w:p>
        </w:tc>
        <w:tc>
          <w:tcPr>
            <w:tcW w:w="454" w:type="dxa"/>
          </w:tcPr>
          <w:p w14:paraId="446C904C" w14:textId="77777777" w:rsidR="00A71EEF" w:rsidRDefault="00A71EEF">
            <w:pPr>
              <w:pStyle w:val="TableParagraph"/>
              <w:spacing w:before="11"/>
              <w:rPr>
                <w:b/>
                <w:sz w:val="14"/>
              </w:rPr>
            </w:pPr>
          </w:p>
          <w:p w14:paraId="13E89E3C" w14:textId="77777777" w:rsidR="00A71EEF" w:rsidRDefault="0081115D">
            <w:pPr>
              <w:pStyle w:val="TableParagraph"/>
              <w:ind w:left="11"/>
              <w:rPr>
                <w:sz w:val="21"/>
              </w:rPr>
            </w:pPr>
            <w:r>
              <w:rPr>
                <w:sz w:val="21"/>
              </w:rPr>
              <w:t>297B</w:t>
            </w:r>
          </w:p>
        </w:tc>
      </w:tr>
      <w:tr w:rsidR="00A71EEF" w14:paraId="26C438BA" w14:textId="77777777">
        <w:trPr>
          <w:trHeight w:val="498"/>
        </w:trPr>
        <w:tc>
          <w:tcPr>
            <w:tcW w:w="1978" w:type="dxa"/>
            <w:vMerge w:val="restart"/>
          </w:tcPr>
          <w:p w14:paraId="6D432AAC" w14:textId="77777777" w:rsidR="00A71EEF" w:rsidRDefault="00A71EEF">
            <w:pPr>
              <w:pStyle w:val="TableParagraph"/>
              <w:spacing w:before="11"/>
              <w:rPr>
                <w:b/>
                <w:sz w:val="34"/>
              </w:rPr>
            </w:pPr>
          </w:p>
          <w:p w14:paraId="44C90444" w14:textId="77777777" w:rsidR="00A71EEF" w:rsidRDefault="0081115D">
            <w:pPr>
              <w:pStyle w:val="TableParagraph"/>
              <w:ind w:left="568"/>
              <w:rPr>
                <w:sz w:val="24"/>
              </w:rPr>
            </w:pPr>
            <w:r>
              <w:rPr>
                <w:sz w:val="21"/>
              </w:rPr>
              <w:t>二氧化碳</w:t>
            </w:r>
            <w:r>
              <w:rPr>
                <w:sz w:val="24"/>
              </w:rPr>
              <w:t xml:space="preserve"> </w:t>
            </w:r>
          </w:p>
        </w:tc>
        <w:tc>
          <w:tcPr>
            <w:tcW w:w="1129" w:type="dxa"/>
          </w:tcPr>
          <w:p w14:paraId="6EB5813D" w14:textId="77777777" w:rsidR="00A71EEF" w:rsidRDefault="0081115D">
            <w:pPr>
              <w:pStyle w:val="TableParagraph"/>
              <w:spacing w:before="190"/>
              <w:ind w:left="455"/>
              <w:rPr>
                <w:sz w:val="24"/>
              </w:rPr>
            </w:pPr>
            <w:r>
              <w:rPr>
                <w:sz w:val="21"/>
              </w:rPr>
              <w:t>―</w:t>
            </w:r>
            <w:r>
              <w:rPr>
                <w:sz w:val="24"/>
              </w:rPr>
              <w:t xml:space="preserve"> </w:t>
            </w:r>
          </w:p>
        </w:tc>
        <w:tc>
          <w:tcPr>
            <w:tcW w:w="1232" w:type="dxa"/>
          </w:tcPr>
          <w:p w14:paraId="442BE783" w14:textId="77777777" w:rsidR="00A71EEF" w:rsidRDefault="0081115D">
            <w:pPr>
              <w:pStyle w:val="TableParagraph"/>
              <w:spacing w:before="190"/>
              <w:ind w:right="376"/>
              <w:jc w:val="right"/>
              <w:rPr>
                <w:sz w:val="24"/>
              </w:rPr>
            </w:pPr>
            <w:r>
              <w:rPr>
                <w:sz w:val="21"/>
              </w:rPr>
              <w:t>10</w:t>
            </w:r>
            <w:r>
              <w:rPr>
                <w:sz w:val="24"/>
              </w:rPr>
              <w:t xml:space="preserve"> </w:t>
            </w:r>
          </w:p>
        </w:tc>
        <w:tc>
          <w:tcPr>
            <w:tcW w:w="2713" w:type="dxa"/>
          </w:tcPr>
          <w:p w14:paraId="635D6B39" w14:textId="77777777" w:rsidR="00A71EEF" w:rsidRDefault="0081115D">
            <w:pPr>
              <w:pStyle w:val="TableParagraph"/>
              <w:spacing w:before="190"/>
              <w:ind w:left="604" w:right="476"/>
              <w:jc w:val="center"/>
              <w:rPr>
                <w:sz w:val="24"/>
              </w:rPr>
            </w:pPr>
            <w:r>
              <w:rPr>
                <w:sz w:val="21"/>
              </w:rPr>
              <w:t>MTT10</w:t>
            </w:r>
            <w:r>
              <w:rPr>
                <w:sz w:val="24"/>
              </w:rPr>
              <w:t xml:space="preserve"> </w:t>
            </w:r>
          </w:p>
        </w:tc>
        <w:tc>
          <w:tcPr>
            <w:tcW w:w="1014" w:type="dxa"/>
          </w:tcPr>
          <w:p w14:paraId="11E7535C" w14:textId="77777777" w:rsidR="00A71EEF" w:rsidRDefault="0081115D">
            <w:pPr>
              <w:pStyle w:val="TableParagraph"/>
              <w:spacing w:before="190"/>
              <w:ind w:right="266"/>
              <w:jc w:val="right"/>
              <w:rPr>
                <w:sz w:val="24"/>
              </w:rPr>
            </w:pPr>
            <w:r>
              <w:rPr>
                <w:sz w:val="21"/>
              </w:rPr>
              <w:t>―</w:t>
            </w:r>
            <w:r>
              <w:rPr>
                <w:sz w:val="24"/>
              </w:rPr>
              <w:t xml:space="preserve"> </w:t>
            </w:r>
          </w:p>
        </w:tc>
        <w:tc>
          <w:tcPr>
            <w:tcW w:w="454" w:type="dxa"/>
          </w:tcPr>
          <w:p w14:paraId="7275A83E" w14:textId="77777777" w:rsidR="00A71EEF" w:rsidRDefault="0081115D">
            <w:pPr>
              <w:pStyle w:val="TableParagraph"/>
              <w:spacing w:before="190"/>
              <w:ind w:left="64" w:right="-72"/>
              <w:rPr>
                <w:sz w:val="24"/>
              </w:rPr>
            </w:pPr>
            <w:r>
              <w:rPr>
                <w:sz w:val="21"/>
              </w:rPr>
              <w:t>55B</w:t>
            </w:r>
            <w:r>
              <w:rPr>
                <w:sz w:val="24"/>
              </w:rPr>
              <w:t xml:space="preserve"> </w:t>
            </w:r>
          </w:p>
        </w:tc>
      </w:tr>
      <w:tr w:rsidR="00A71EEF" w14:paraId="0655D839" w14:textId="77777777">
        <w:trPr>
          <w:trHeight w:val="500"/>
        </w:trPr>
        <w:tc>
          <w:tcPr>
            <w:tcW w:w="1978" w:type="dxa"/>
            <w:vMerge/>
            <w:tcBorders>
              <w:top w:val="nil"/>
            </w:tcBorders>
          </w:tcPr>
          <w:p w14:paraId="50C1081E" w14:textId="77777777" w:rsidR="00A71EEF" w:rsidRDefault="00A71EEF">
            <w:pPr>
              <w:rPr>
                <w:sz w:val="2"/>
                <w:szCs w:val="2"/>
              </w:rPr>
            </w:pPr>
          </w:p>
        </w:tc>
        <w:tc>
          <w:tcPr>
            <w:tcW w:w="1129" w:type="dxa"/>
          </w:tcPr>
          <w:p w14:paraId="18614ADB" w14:textId="77777777" w:rsidR="00A71EEF" w:rsidRDefault="0081115D">
            <w:pPr>
              <w:pStyle w:val="TableParagraph"/>
              <w:spacing w:before="190"/>
              <w:ind w:left="455"/>
              <w:rPr>
                <w:sz w:val="24"/>
              </w:rPr>
            </w:pPr>
            <w:r>
              <w:rPr>
                <w:sz w:val="21"/>
              </w:rPr>
              <w:t>―</w:t>
            </w:r>
            <w:r>
              <w:rPr>
                <w:sz w:val="24"/>
              </w:rPr>
              <w:t xml:space="preserve"> </w:t>
            </w:r>
          </w:p>
        </w:tc>
        <w:tc>
          <w:tcPr>
            <w:tcW w:w="1232" w:type="dxa"/>
          </w:tcPr>
          <w:p w14:paraId="678172DF" w14:textId="77777777" w:rsidR="00A71EEF" w:rsidRDefault="0081115D">
            <w:pPr>
              <w:pStyle w:val="TableParagraph"/>
              <w:spacing w:before="190"/>
              <w:ind w:right="376"/>
              <w:jc w:val="right"/>
              <w:rPr>
                <w:sz w:val="24"/>
              </w:rPr>
            </w:pPr>
            <w:r>
              <w:rPr>
                <w:sz w:val="21"/>
              </w:rPr>
              <w:t>20</w:t>
            </w:r>
            <w:r>
              <w:rPr>
                <w:sz w:val="24"/>
              </w:rPr>
              <w:t xml:space="preserve"> </w:t>
            </w:r>
          </w:p>
        </w:tc>
        <w:tc>
          <w:tcPr>
            <w:tcW w:w="2713" w:type="dxa"/>
          </w:tcPr>
          <w:p w14:paraId="6C20C181" w14:textId="77777777" w:rsidR="00A71EEF" w:rsidRDefault="0081115D">
            <w:pPr>
              <w:pStyle w:val="TableParagraph"/>
              <w:spacing w:before="190"/>
              <w:ind w:left="604" w:right="476"/>
              <w:jc w:val="center"/>
              <w:rPr>
                <w:sz w:val="24"/>
              </w:rPr>
            </w:pPr>
            <w:r>
              <w:rPr>
                <w:sz w:val="21"/>
              </w:rPr>
              <w:t>MTT20</w:t>
            </w:r>
            <w:r>
              <w:rPr>
                <w:sz w:val="24"/>
              </w:rPr>
              <w:t xml:space="preserve"> </w:t>
            </w:r>
          </w:p>
        </w:tc>
        <w:tc>
          <w:tcPr>
            <w:tcW w:w="1014" w:type="dxa"/>
          </w:tcPr>
          <w:p w14:paraId="3FAC72AA" w14:textId="77777777" w:rsidR="00A71EEF" w:rsidRDefault="0081115D">
            <w:pPr>
              <w:pStyle w:val="TableParagraph"/>
              <w:spacing w:before="190"/>
              <w:ind w:right="266"/>
              <w:jc w:val="right"/>
              <w:rPr>
                <w:sz w:val="24"/>
              </w:rPr>
            </w:pPr>
            <w:r>
              <w:rPr>
                <w:sz w:val="21"/>
              </w:rPr>
              <w:t>―</w:t>
            </w:r>
            <w:r>
              <w:rPr>
                <w:sz w:val="24"/>
              </w:rPr>
              <w:t xml:space="preserve"> </w:t>
            </w:r>
          </w:p>
        </w:tc>
        <w:tc>
          <w:tcPr>
            <w:tcW w:w="454" w:type="dxa"/>
          </w:tcPr>
          <w:p w14:paraId="55B7C6E3" w14:textId="77777777" w:rsidR="00A71EEF" w:rsidRDefault="0081115D">
            <w:pPr>
              <w:pStyle w:val="TableParagraph"/>
              <w:spacing w:before="190"/>
              <w:ind w:left="64" w:right="-72"/>
              <w:rPr>
                <w:sz w:val="24"/>
              </w:rPr>
            </w:pPr>
            <w:r>
              <w:rPr>
                <w:sz w:val="21"/>
              </w:rPr>
              <w:t>70B</w:t>
            </w:r>
            <w:r>
              <w:rPr>
                <w:sz w:val="24"/>
              </w:rPr>
              <w:t xml:space="preserve"> </w:t>
            </w:r>
          </w:p>
        </w:tc>
      </w:tr>
    </w:tbl>
    <w:p w14:paraId="2654A972" w14:textId="77777777" w:rsidR="00A71EEF" w:rsidRDefault="00A71EEF">
      <w:pPr>
        <w:rPr>
          <w:sz w:val="24"/>
        </w:rPr>
        <w:sectPr w:rsidR="00A71EEF">
          <w:pgSz w:w="11910" w:h="16850"/>
          <w:pgMar w:top="1080" w:right="0" w:bottom="1420" w:left="1260" w:header="0" w:footer="1159" w:gutter="0"/>
          <w:cols w:space="720"/>
        </w:sectPr>
      </w:pPr>
    </w:p>
    <w:tbl>
      <w:tblPr>
        <w:tblStyle w:val="TableNormal"/>
        <w:tblW w:w="0" w:type="auto"/>
        <w:tblInd w:w="5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78"/>
        <w:gridCol w:w="1129"/>
        <w:gridCol w:w="1232"/>
        <w:gridCol w:w="2713"/>
        <w:gridCol w:w="1014"/>
        <w:gridCol w:w="454"/>
      </w:tblGrid>
      <w:tr w:rsidR="00A71EEF" w14:paraId="5FFBB68E" w14:textId="77777777">
        <w:trPr>
          <w:trHeight w:val="499"/>
        </w:trPr>
        <w:tc>
          <w:tcPr>
            <w:tcW w:w="1978" w:type="dxa"/>
            <w:vMerge w:val="restart"/>
          </w:tcPr>
          <w:p w14:paraId="18F550BC" w14:textId="77777777" w:rsidR="00A71EEF" w:rsidRDefault="00A71EEF">
            <w:pPr>
              <w:pStyle w:val="TableParagraph"/>
              <w:rPr>
                <w:rFonts w:ascii="Times New Roman"/>
                <w:sz w:val="20"/>
              </w:rPr>
            </w:pPr>
          </w:p>
        </w:tc>
        <w:tc>
          <w:tcPr>
            <w:tcW w:w="1129" w:type="dxa"/>
          </w:tcPr>
          <w:p w14:paraId="1626F95E" w14:textId="77777777" w:rsidR="00A71EEF" w:rsidRDefault="0081115D">
            <w:pPr>
              <w:pStyle w:val="TableParagraph"/>
              <w:spacing w:before="187"/>
              <w:ind w:right="324"/>
              <w:jc w:val="right"/>
              <w:rPr>
                <w:sz w:val="24"/>
              </w:rPr>
            </w:pPr>
            <w:r>
              <w:rPr>
                <w:sz w:val="21"/>
              </w:rPr>
              <w:t>―</w:t>
            </w:r>
            <w:r>
              <w:rPr>
                <w:sz w:val="24"/>
              </w:rPr>
              <w:t xml:space="preserve"> </w:t>
            </w:r>
          </w:p>
        </w:tc>
        <w:tc>
          <w:tcPr>
            <w:tcW w:w="1232" w:type="dxa"/>
          </w:tcPr>
          <w:p w14:paraId="7039400C" w14:textId="77777777" w:rsidR="00A71EEF" w:rsidRDefault="0081115D">
            <w:pPr>
              <w:pStyle w:val="TableParagraph"/>
              <w:spacing w:before="187"/>
              <w:ind w:right="376"/>
              <w:jc w:val="right"/>
              <w:rPr>
                <w:sz w:val="24"/>
              </w:rPr>
            </w:pPr>
            <w:r>
              <w:rPr>
                <w:sz w:val="21"/>
              </w:rPr>
              <w:t>30</w:t>
            </w:r>
            <w:r>
              <w:rPr>
                <w:sz w:val="24"/>
              </w:rPr>
              <w:t xml:space="preserve"> </w:t>
            </w:r>
          </w:p>
        </w:tc>
        <w:tc>
          <w:tcPr>
            <w:tcW w:w="2713" w:type="dxa"/>
          </w:tcPr>
          <w:p w14:paraId="5F5AEF57" w14:textId="77777777" w:rsidR="00A71EEF" w:rsidRDefault="0081115D">
            <w:pPr>
              <w:pStyle w:val="TableParagraph"/>
              <w:spacing w:before="187"/>
              <w:ind w:right="959"/>
              <w:jc w:val="right"/>
              <w:rPr>
                <w:sz w:val="24"/>
              </w:rPr>
            </w:pPr>
            <w:r>
              <w:rPr>
                <w:sz w:val="21"/>
              </w:rPr>
              <w:t>MTT30</w:t>
            </w:r>
            <w:r>
              <w:rPr>
                <w:sz w:val="24"/>
              </w:rPr>
              <w:t xml:space="preserve"> </w:t>
            </w:r>
          </w:p>
        </w:tc>
        <w:tc>
          <w:tcPr>
            <w:tcW w:w="1014" w:type="dxa"/>
          </w:tcPr>
          <w:p w14:paraId="3E9CB47F" w14:textId="77777777" w:rsidR="00A71EEF" w:rsidRDefault="0081115D">
            <w:pPr>
              <w:pStyle w:val="TableParagraph"/>
              <w:spacing w:before="187"/>
              <w:ind w:right="266"/>
              <w:jc w:val="right"/>
              <w:rPr>
                <w:sz w:val="24"/>
              </w:rPr>
            </w:pPr>
            <w:r>
              <w:rPr>
                <w:sz w:val="21"/>
              </w:rPr>
              <w:t>―</w:t>
            </w:r>
            <w:r>
              <w:rPr>
                <w:sz w:val="24"/>
              </w:rPr>
              <w:t xml:space="preserve"> </w:t>
            </w:r>
          </w:p>
        </w:tc>
        <w:tc>
          <w:tcPr>
            <w:tcW w:w="454" w:type="dxa"/>
          </w:tcPr>
          <w:p w14:paraId="1CC54873" w14:textId="77777777" w:rsidR="00A71EEF" w:rsidRDefault="00A71EEF">
            <w:pPr>
              <w:pStyle w:val="TableParagraph"/>
              <w:spacing w:before="7"/>
              <w:rPr>
                <w:b/>
                <w:sz w:val="14"/>
              </w:rPr>
            </w:pPr>
          </w:p>
          <w:p w14:paraId="57793539" w14:textId="77777777" w:rsidR="00A71EEF" w:rsidRDefault="0081115D">
            <w:pPr>
              <w:pStyle w:val="TableParagraph"/>
              <w:spacing w:before="1"/>
              <w:ind w:left="5"/>
              <w:jc w:val="center"/>
              <w:rPr>
                <w:sz w:val="21"/>
              </w:rPr>
            </w:pPr>
            <w:r>
              <w:rPr>
                <w:sz w:val="21"/>
              </w:rPr>
              <w:t>113B</w:t>
            </w:r>
          </w:p>
        </w:tc>
      </w:tr>
      <w:tr w:rsidR="00A71EEF" w14:paraId="3B07C594" w14:textId="77777777">
        <w:trPr>
          <w:trHeight w:val="500"/>
        </w:trPr>
        <w:tc>
          <w:tcPr>
            <w:tcW w:w="1978" w:type="dxa"/>
            <w:vMerge/>
            <w:tcBorders>
              <w:top w:val="nil"/>
            </w:tcBorders>
          </w:tcPr>
          <w:p w14:paraId="5697402C" w14:textId="77777777" w:rsidR="00A71EEF" w:rsidRDefault="00A71EEF">
            <w:pPr>
              <w:rPr>
                <w:sz w:val="2"/>
                <w:szCs w:val="2"/>
              </w:rPr>
            </w:pPr>
          </w:p>
        </w:tc>
        <w:tc>
          <w:tcPr>
            <w:tcW w:w="1129" w:type="dxa"/>
          </w:tcPr>
          <w:p w14:paraId="0385C8FB" w14:textId="77777777" w:rsidR="00A71EEF" w:rsidRDefault="0081115D">
            <w:pPr>
              <w:pStyle w:val="TableParagraph"/>
              <w:spacing w:before="189"/>
              <w:ind w:right="324"/>
              <w:jc w:val="right"/>
              <w:rPr>
                <w:sz w:val="24"/>
              </w:rPr>
            </w:pPr>
            <w:r>
              <w:rPr>
                <w:sz w:val="21"/>
              </w:rPr>
              <w:t>―</w:t>
            </w:r>
            <w:r>
              <w:rPr>
                <w:sz w:val="24"/>
              </w:rPr>
              <w:t xml:space="preserve"> </w:t>
            </w:r>
          </w:p>
        </w:tc>
        <w:tc>
          <w:tcPr>
            <w:tcW w:w="1232" w:type="dxa"/>
          </w:tcPr>
          <w:p w14:paraId="3E7BF55D" w14:textId="77777777" w:rsidR="00A71EEF" w:rsidRDefault="0081115D">
            <w:pPr>
              <w:pStyle w:val="TableParagraph"/>
              <w:spacing w:before="189"/>
              <w:ind w:right="376"/>
              <w:jc w:val="right"/>
              <w:rPr>
                <w:sz w:val="24"/>
              </w:rPr>
            </w:pPr>
            <w:r>
              <w:rPr>
                <w:sz w:val="21"/>
              </w:rPr>
              <w:t>50</w:t>
            </w:r>
            <w:r>
              <w:rPr>
                <w:sz w:val="24"/>
              </w:rPr>
              <w:t xml:space="preserve"> </w:t>
            </w:r>
          </w:p>
        </w:tc>
        <w:tc>
          <w:tcPr>
            <w:tcW w:w="2713" w:type="dxa"/>
          </w:tcPr>
          <w:p w14:paraId="3480C2C2" w14:textId="77777777" w:rsidR="00A71EEF" w:rsidRDefault="0081115D">
            <w:pPr>
              <w:pStyle w:val="TableParagraph"/>
              <w:spacing w:before="189"/>
              <w:ind w:right="959"/>
              <w:jc w:val="right"/>
              <w:rPr>
                <w:sz w:val="24"/>
              </w:rPr>
            </w:pPr>
            <w:r>
              <w:rPr>
                <w:sz w:val="21"/>
              </w:rPr>
              <w:t>MTT50</w:t>
            </w:r>
            <w:r>
              <w:rPr>
                <w:sz w:val="24"/>
              </w:rPr>
              <w:t xml:space="preserve"> </w:t>
            </w:r>
          </w:p>
        </w:tc>
        <w:tc>
          <w:tcPr>
            <w:tcW w:w="1014" w:type="dxa"/>
          </w:tcPr>
          <w:p w14:paraId="4ABC5B60" w14:textId="77777777" w:rsidR="00A71EEF" w:rsidRDefault="0081115D">
            <w:pPr>
              <w:pStyle w:val="TableParagraph"/>
              <w:spacing w:before="189"/>
              <w:ind w:right="266"/>
              <w:jc w:val="right"/>
              <w:rPr>
                <w:sz w:val="24"/>
              </w:rPr>
            </w:pPr>
            <w:r>
              <w:rPr>
                <w:sz w:val="21"/>
              </w:rPr>
              <w:t>―</w:t>
            </w:r>
            <w:r>
              <w:rPr>
                <w:sz w:val="24"/>
              </w:rPr>
              <w:t xml:space="preserve"> </w:t>
            </w:r>
          </w:p>
        </w:tc>
        <w:tc>
          <w:tcPr>
            <w:tcW w:w="454" w:type="dxa"/>
          </w:tcPr>
          <w:p w14:paraId="370A55FB" w14:textId="77777777" w:rsidR="00A71EEF" w:rsidRDefault="00A71EEF">
            <w:pPr>
              <w:pStyle w:val="TableParagraph"/>
              <w:spacing w:before="10"/>
              <w:rPr>
                <w:b/>
                <w:sz w:val="14"/>
              </w:rPr>
            </w:pPr>
          </w:p>
          <w:p w14:paraId="22914B70" w14:textId="77777777" w:rsidR="00A71EEF" w:rsidRDefault="0081115D">
            <w:pPr>
              <w:pStyle w:val="TableParagraph"/>
              <w:ind w:left="5"/>
              <w:jc w:val="center"/>
              <w:rPr>
                <w:sz w:val="21"/>
              </w:rPr>
            </w:pPr>
            <w:r>
              <w:rPr>
                <w:sz w:val="21"/>
              </w:rPr>
              <w:t>183B</w:t>
            </w:r>
          </w:p>
        </w:tc>
      </w:tr>
    </w:tbl>
    <w:p w14:paraId="343399F4" w14:textId="77777777" w:rsidR="00A71EEF" w:rsidRDefault="00A71EEF">
      <w:pPr>
        <w:jc w:val="center"/>
        <w:rPr>
          <w:sz w:val="21"/>
        </w:rPr>
        <w:sectPr w:rsidR="00A71EEF">
          <w:pgSz w:w="11910" w:h="16850"/>
          <w:pgMar w:top="1080" w:right="0" w:bottom="1340" w:left="1260" w:header="0" w:footer="1159" w:gutter="0"/>
          <w:cols w:space="720"/>
        </w:sectPr>
      </w:pPr>
    </w:p>
    <w:p w14:paraId="3AA601A7" w14:textId="77777777" w:rsidR="00A71EEF" w:rsidRDefault="0081115D">
      <w:pPr>
        <w:spacing w:before="37"/>
        <w:ind w:left="3094"/>
        <w:rPr>
          <w:b/>
          <w:sz w:val="24"/>
        </w:rPr>
      </w:pPr>
      <w:r>
        <w:pict w14:anchorId="5CEACAA1">
          <v:group id="_x0000_s1158" style="position:absolute;left:0;text-align:left;margin-left:82.45pt;margin-top:94.45pt;width:442.4pt;height:658.6pt;z-index:-251527680;mso-position-horizontal-relative:page;mso-position-vertical-relative:page" coordorigin="1649,1889" coordsize="8848,13172">
            <v:rect id="_x0000_s1162" style="position:absolute;left:1649;top:4889;width:8848;height:375" stroked="f"/>
            <v:shape id="_x0000_s1161" type="#_x0000_t75" style="position:absolute;left:1767;top:1888;width:8599;height:2984">
              <v:imagedata r:id="rId207" o:title=""/>
            </v:shape>
            <v:rect id="_x0000_s1160" style="position:absolute;left:1649;top:14685;width:8848;height:375" stroked="f"/>
            <v:shape id="_x0000_s1159" type="#_x0000_t75" style="position:absolute;left:1797;top:5263;width:8530;height:9412">
              <v:imagedata r:id="rId208" o:title=""/>
            </v:shape>
            <w10:wrap anchorx="page" anchory="page"/>
          </v:group>
        </w:pict>
      </w:r>
      <w:r>
        <w:rPr>
          <w:b/>
          <w:sz w:val="24"/>
        </w:rPr>
        <w:t>附录</w:t>
      </w:r>
      <w:r>
        <w:rPr>
          <w:b/>
          <w:sz w:val="24"/>
        </w:rPr>
        <w:t xml:space="preserve"> B </w:t>
      </w:r>
      <w:r>
        <w:rPr>
          <w:b/>
          <w:sz w:val="24"/>
        </w:rPr>
        <w:t>建筑灭火器配置设计图例</w:t>
      </w:r>
      <w:r>
        <w:rPr>
          <w:b/>
          <w:w w:val="99"/>
          <w:sz w:val="24"/>
        </w:rPr>
        <w:t xml:space="preserve"> </w:t>
      </w:r>
    </w:p>
    <w:p w14:paraId="0D9A3F9C" w14:textId="77777777" w:rsidR="00A71EEF" w:rsidRDefault="0081115D">
      <w:pPr>
        <w:spacing w:before="193"/>
        <w:ind w:left="3046"/>
        <w:rPr>
          <w:b/>
          <w:sz w:val="21"/>
        </w:rPr>
      </w:pPr>
      <w:r>
        <w:rPr>
          <w:b/>
          <w:sz w:val="21"/>
        </w:rPr>
        <w:t>表</w:t>
      </w:r>
      <w:r>
        <w:rPr>
          <w:b/>
          <w:sz w:val="21"/>
        </w:rPr>
        <w:t xml:space="preserve"> B.0.1 </w:t>
      </w:r>
      <w:r>
        <w:rPr>
          <w:b/>
          <w:sz w:val="21"/>
        </w:rPr>
        <w:t>手提式、推车式灭火器图例</w:t>
      </w:r>
      <w:r>
        <w:rPr>
          <w:b/>
          <w:w w:val="99"/>
          <w:sz w:val="21"/>
        </w:rPr>
        <w:t xml:space="preserve"> </w:t>
      </w:r>
    </w:p>
    <w:p w14:paraId="7186F246" w14:textId="77777777" w:rsidR="00A71EEF" w:rsidRDefault="00A71EEF">
      <w:pPr>
        <w:pStyle w:val="a3"/>
        <w:rPr>
          <w:b/>
          <w:sz w:val="20"/>
        </w:rPr>
      </w:pPr>
    </w:p>
    <w:p w14:paraId="610966E2" w14:textId="77777777" w:rsidR="00A71EEF" w:rsidRDefault="00A71EEF">
      <w:pPr>
        <w:pStyle w:val="a3"/>
        <w:rPr>
          <w:b/>
          <w:sz w:val="20"/>
        </w:rPr>
      </w:pPr>
    </w:p>
    <w:p w14:paraId="40BCC4E4" w14:textId="77777777" w:rsidR="00A71EEF" w:rsidRDefault="00A71EEF">
      <w:pPr>
        <w:pStyle w:val="a3"/>
        <w:rPr>
          <w:b/>
          <w:sz w:val="20"/>
        </w:rPr>
      </w:pPr>
    </w:p>
    <w:p w14:paraId="24DA4209" w14:textId="77777777" w:rsidR="00A71EEF" w:rsidRDefault="00A71EEF">
      <w:pPr>
        <w:pStyle w:val="a3"/>
        <w:rPr>
          <w:b/>
          <w:sz w:val="20"/>
        </w:rPr>
      </w:pPr>
    </w:p>
    <w:p w14:paraId="642419A0" w14:textId="77777777" w:rsidR="00A71EEF" w:rsidRDefault="00A71EEF">
      <w:pPr>
        <w:pStyle w:val="a3"/>
        <w:rPr>
          <w:b/>
          <w:sz w:val="20"/>
        </w:rPr>
      </w:pPr>
    </w:p>
    <w:p w14:paraId="57F7FE78" w14:textId="77777777" w:rsidR="00A71EEF" w:rsidRDefault="00A71EEF">
      <w:pPr>
        <w:pStyle w:val="a3"/>
        <w:rPr>
          <w:b/>
          <w:sz w:val="20"/>
        </w:rPr>
      </w:pPr>
    </w:p>
    <w:p w14:paraId="5FEA1849" w14:textId="77777777" w:rsidR="00A71EEF" w:rsidRDefault="00A71EEF">
      <w:pPr>
        <w:pStyle w:val="a3"/>
        <w:rPr>
          <w:b/>
          <w:sz w:val="20"/>
        </w:rPr>
      </w:pPr>
    </w:p>
    <w:p w14:paraId="32B2886E" w14:textId="77777777" w:rsidR="00A71EEF" w:rsidRDefault="00A71EEF">
      <w:pPr>
        <w:pStyle w:val="a3"/>
        <w:rPr>
          <w:b/>
          <w:sz w:val="20"/>
        </w:rPr>
      </w:pPr>
    </w:p>
    <w:p w14:paraId="0628AA9F" w14:textId="77777777" w:rsidR="00A71EEF" w:rsidRDefault="00A71EEF">
      <w:pPr>
        <w:pStyle w:val="a3"/>
        <w:rPr>
          <w:b/>
          <w:sz w:val="20"/>
        </w:rPr>
      </w:pPr>
    </w:p>
    <w:p w14:paraId="61265440" w14:textId="77777777" w:rsidR="00A71EEF" w:rsidRDefault="00A71EEF">
      <w:pPr>
        <w:pStyle w:val="a3"/>
        <w:rPr>
          <w:b/>
          <w:sz w:val="20"/>
        </w:rPr>
      </w:pPr>
    </w:p>
    <w:p w14:paraId="167B07D3" w14:textId="77777777" w:rsidR="00A71EEF" w:rsidRDefault="00A71EEF">
      <w:pPr>
        <w:pStyle w:val="a3"/>
        <w:rPr>
          <w:b/>
          <w:sz w:val="20"/>
        </w:rPr>
      </w:pPr>
    </w:p>
    <w:p w14:paraId="08E7E4B3" w14:textId="77777777" w:rsidR="00A71EEF" w:rsidRDefault="00A71EEF">
      <w:pPr>
        <w:pStyle w:val="a3"/>
        <w:rPr>
          <w:b/>
          <w:sz w:val="20"/>
        </w:rPr>
      </w:pPr>
    </w:p>
    <w:p w14:paraId="433D5F99" w14:textId="77777777" w:rsidR="00A71EEF" w:rsidRDefault="0081115D">
      <w:pPr>
        <w:spacing w:before="72"/>
        <w:ind w:right="914"/>
        <w:jc w:val="center"/>
        <w:rPr>
          <w:b/>
          <w:sz w:val="21"/>
        </w:rPr>
      </w:pPr>
      <w:r>
        <w:rPr>
          <w:b/>
          <w:sz w:val="21"/>
        </w:rPr>
        <w:t>表</w:t>
      </w:r>
      <w:r>
        <w:rPr>
          <w:b/>
          <w:sz w:val="21"/>
        </w:rPr>
        <w:t xml:space="preserve"> B.0.2 </w:t>
      </w:r>
      <w:r>
        <w:rPr>
          <w:b/>
          <w:sz w:val="21"/>
        </w:rPr>
        <w:t>灭火剂种类图例</w:t>
      </w:r>
      <w:r>
        <w:rPr>
          <w:b/>
          <w:w w:val="99"/>
          <w:sz w:val="21"/>
        </w:rPr>
        <w:t xml:space="preserve"> </w:t>
      </w:r>
    </w:p>
    <w:p w14:paraId="24894FBE" w14:textId="77777777" w:rsidR="00A71EEF" w:rsidRDefault="00A71EEF">
      <w:pPr>
        <w:jc w:val="center"/>
        <w:rPr>
          <w:sz w:val="21"/>
        </w:rPr>
        <w:sectPr w:rsidR="00A71EEF">
          <w:footerReference w:type="default" r:id="rId209"/>
          <w:pgSz w:w="11910" w:h="16850"/>
          <w:pgMar w:top="1040" w:right="0" w:bottom="1340" w:left="1260" w:header="0" w:footer="1159" w:gutter="0"/>
          <w:pgNumType w:start="1100"/>
          <w:cols w:space="720"/>
        </w:sectPr>
      </w:pPr>
    </w:p>
    <w:p w14:paraId="42C4F9B9" w14:textId="77777777" w:rsidR="00A71EEF" w:rsidRDefault="0081115D">
      <w:pPr>
        <w:spacing w:before="61"/>
        <w:ind w:right="912"/>
        <w:jc w:val="center"/>
        <w:rPr>
          <w:b/>
          <w:sz w:val="21"/>
        </w:rPr>
      </w:pPr>
      <w:r>
        <w:rPr>
          <w:b/>
          <w:w w:val="99"/>
          <w:sz w:val="21"/>
        </w:rPr>
        <w:t xml:space="preserve"> </w:t>
      </w:r>
    </w:p>
    <w:p w14:paraId="19AD15E9" w14:textId="77777777" w:rsidR="00A71EEF" w:rsidRDefault="0081115D">
      <w:pPr>
        <w:spacing w:before="106"/>
        <w:ind w:right="914"/>
        <w:jc w:val="center"/>
        <w:rPr>
          <w:b/>
          <w:sz w:val="21"/>
        </w:rPr>
      </w:pPr>
      <w:r>
        <w:rPr>
          <w:b/>
          <w:sz w:val="21"/>
        </w:rPr>
        <w:t>表</w:t>
      </w:r>
      <w:r>
        <w:rPr>
          <w:b/>
          <w:sz w:val="21"/>
        </w:rPr>
        <w:t xml:space="preserve"> B.0.3 </w:t>
      </w:r>
      <w:r>
        <w:rPr>
          <w:b/>
          <w:sz w:val="21"/>
        </w:rPr>
        <w:t>灭火器图例举例</w:t>
      </w:r>
      <w:r>
        <w:rPr>
          <w:b/>
          <w:w w:val="99"/>
          <w:sz w:val="21"/>
        </w:rPr>
        <w:t xml:space="preserve"> </w:t>
      </w:r>
    </w:p>
    <w:p w14:paraId="202E4E1C" w14:textId="77777777" w:rsidR="00A71EEF" w:rsidRDefault="0081115D">
      <w:pPr>
        <w:pStyle w:val="a3"/>
        <w:ind w:left="687"/>
        <w:rPr>
          <w:sz w:val="20"/>
        </w:rPr>
      </w:pPr>
      <w:r>
        <w:rPr>
          <w:noProof/>
          <w:sz w:val="20"/>
        </w:rPr>
        <w:drawing>
          <wp:inline distT="0" distB="0" distL="0" distR="0" wp14:anchorId="366C6266" wp14:editId="7707A9B6">
            <wp:extent cx="5218975" cy="4800600"/>
            <wp:effectExtent l="0" t="0" r="0" b="0"/>
            <wp:docPr id="281" name="image1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175.jpeg"/>
                    <pic:cNvPicPr/>
                  </pic:nvPicPr>
                  <pic:blipFill>
                    <a:blip r:embed="rId210" cstate="print"/>
                    <a:stretch>
                      <a:fillRect/>
                    </a:stretch>
                  </pic:blipFill>
                  <pic:spPr>
                    <a:xfrm>
                      <a:off x="0" y="0"/>
                      <a:ext cx="5218975" cy="4800600"/>
                    </a:xfrm>
                    <a:prstGeom prst="rect">
                      <a:avLst/>
                    </a:prstGeom>
                  </pic:spPr>
                </pic:pic>
              </a:graphicData>
            </a:graphic>
          </wp:inline>
        </w:drawing>
      </w:r>
    </w:p>
    <w:p w14:paraId="2B774012" w14:textId="77777777" w:rsidR="00A71EEF" w:rsidRDefault="0081115D">
      <w:pPr>
        <w:pStyle w:val="a3"/>
        <w:spacing w:before="4"/>
        <w:rPr>
          <w:b/>
          <w:sz w:val="6"/>
        </w:rPr>
      </w:pPr>
      <w:r>
        <w:pict w14:anchorId="7C068FF8">
          <v:group id="_x0000_s1155" style="position:absolute;margin-left:82.45pt;margin-top:6.05pt;width:442.4pt;height:18.85pt;z-index:-251495936;mso-wrap-distance-left:0;mso-wrap-distance-right:0;mso-position-horizontal-relative:page" coordorigin="1649,121" coordsize="8848,377">
            <v:rect id="_x0000_s1157" style="position:absolute;left:1649;top:120;width:8848;height:377" stroked="f"/>
            <v:shape id="_x0000_s1156" type="#_x0000_t202" style="position:absolute;left:6073;top:287;width:110;height:180" filled="f" stroked="f">
              <v:textbox inset="0,0,0,0">
                <w:txbxContent>
                  <w:p w14:paraId="2BA5480E" w14:textId="77777777" w:rsidR="00A71EEF" w:rsidRDefault="0081115D">
                    <w:pPr>
                      <w:spacing w:line="180" w:lineRule="exact"/>
                      <w:rPr>
                        <w:sz w:val="18"/>
                      </w:rPr>
                    </w:pPr>
                    <w:r>
                      <w:rPr>
                        <w:sz w:val="18"/>
                      </w:rPr>
                      <w:t xml:space="preserve"> </w:t>
                    </w:r>
                  </w:p>
                </w:txbxContent>
              </v:textbox>
            </v:shape>
            <w10:wrap type="topAndBottom" anchorx="page"/>
          </v:group>
        </w:pict>
      </w:r>
    </w:p>
    <w:p w14:paraId="18E1B959" w14:textId="77777777" w:rsidR="00A71EEF" w:rsidRDefault="00A71EEF">
      <w:pPr>
        <w:rPr>
          <w:sz w:val="6"/>
        </w:rPr>
        <w:sectPr w:rsidR="00A71EEF">
          <w:pgSz w:w="11910" w:h="16850"/>
          <w:pgMar w:top="1120" w:right="0" w:bottom="1420" w:left="1260" w:header="0" w:footer="1159" w:gutter="0"/>
          <w:cols w:space="720"/>
        </w:sectPr>
      </w:pPr>
    </w:p>
    <w:p w14:paraId="269057C3" w14:textId="77777777" w:rsidR="00A71EEF" w:rsidRDefault="0081115D">
      <w:pPr>
        <w:spacing w:before="55"/>
        <w:ind w:right="898"/>
        <w:jc w:val="center"/>
        <w:rPr>
          <w:b/>
          <w:sz w:val="24"/>
        </w:rPr>
      </w:pPr>
      <w:r>
        <w:rPr>
          <w:b/>
          <w:sz w:val="24"/>
        </w:rPr>
        <w:t>附录</w:t>
      </w:r>
      <w:r>
        <w:rPr>
          <w:b/>
          <w:sz w:val="24"/>
        </w:rPr>
        <w:t xml:space="preserve"> C </w:t>
      </w:r>
      <w:r>
        <w:rPr>
          <w:b/>
          <w:sz w:val="24"/>
        </w:rPr>
        <w:t>工业建筑灭火器配置场所的危险等级举例</w:t>
      </w:r>
      <w:r>
        <w:rPr>
          <w:b/>
          <w:w w:val="99"/>
          <w:sz w:val="24"/>
        </w:rPr>
        <w:t xml:space="preserve"> </w:t>
      </w:r>
    </w:p>
    <w:p w14:paraId="0A8391CF" w14:textId="77777777" w:rsidR="00A71EEF" w:rsidRDefault="00A71EEF">
      <w:pPr>
        <w:pStyle w:val="a3"/>
        <w:rPr>
          <w:b/>
          <w:sz w:val="24"/>
        </w:rPr>
      </w:pPr>
    </w:p>
    <w:p w14:paraId="747D6DFD" w14:textId="77777777" w:rsidR="00A71EEF" w:rsidRDefault="0081115D">
      <w:pPr>
        <w:spacing w:before="176" w:after="42"/>
        <w:ind w:right="914"/>
        <w:jc w:val="center"/>
        <w:rPr>
          <w:b/>
          <w:sz w:val="21"/>
        </w:rPr>
      </w:pPr>
      <w:r>
        <w:rPr>
          <w:b/>
          <w:sz w:val="21"/>
        </w:rPr>
        <w:t>表</w:t>
      </w:r>
      <w:r>
        <w:rPr>
          <w:b/>
          <w:sz w:val="21"/>
        </w:rPr>
        <w:t xml:space="preserve"> C </w:t>
      </w:r>
      <w:r>
        <w:rPr>
          <w:b/>
          <w:sz w:val="21"/>
        </w:rPr>
        <w:t>工业建筑灭火器配置场所的危险等级举例</w:t>
      </w:r>
      <w:r>
        <w:rPr>
          <w:b/>
          <w:w w:val="99"/>
          <w:sz w:val="21"/>
        </w:rPr>
        <w:t xml:space="preserve"> </w:t>
      </w: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2"/>
        <w:gridCol w:w="4683"/>
        <w:gridCol w:w="2501"/>
      </w:tblGrid>
      <w:tr w:rsidR="00A71EEF" w14:paraId="40C0B7C9" w14:textId="77777777">
        <w:trPr>
          <w:trHeight w:val="498"/>
        </w:trPr>
        <w:tc>
          <w:tcPr>
            <w:tcW w:w="1212" w:type="dxa"/>
            <w:vMerge w:val="restart"/>
          </w:tcPr>
          <w:p w14:paraId="0AF1812B" w14:textId="77777777" w:rsidR="00A71EEF" w:rsidRDefault="00A71EEF">
            <w:pPr>
              <w:pStyle w:val="TableParagraph"/>
              <w:spacing w:before="9"/>
              <w:rPr>
                <w:b/>
                <w:sz w:val="34"/>
              </w:rPr>
            </w:pPr>
          </w:p>
          <w:p w14:paraId="6DF504A4" w14:textId="77777777" w:rsidR="00A71EEF" w:rsidRDefault="0081115D">
            <w:pPr>
              <w:pStyle w:val="TableParagraph"/>
              <w:ind w:left="184"/>
              <w:rPr>
                <w:sz w:val="24"/>
              </w:rPr>
            </w:pPr>
            <w:r>
              <w:rPr>
                <w:sz w:val="21"/>
              </w:rPr>
              <w:t>危险等级</w:t>
            </w:r>
            <w:r>
              <w:rPr>
                <w:sz w:val="24"/>
              </w:rPr>
              <w:t xml:space="preserve"> </w:t>
            </w:r>
          </w:p>
        </w:tc>
        <w:tc>
          <w:tcPr>
            <w:tcW w:w="7184" w:type="dxa"/>
            <w:gridSpan w:val="2"/>
          </w:tcPr>
          <w:p w14:paraId="6BC0065B" w14:textId="77777777" w:rsidR="00A71EEF" w:rsidRDefault="0081115D">
            <w:pPr>
              <w:pStyle w:val="TableParagraph"/>
              <w:spacing w:before="190"/>
              <w:ind w:left="3317" w:right="3187"/>
              <w:jc w:val="center"/>
              <w:rPr>
                <w:sz w:val="24"/>
              </w:rPr>
            </w:pPr>
            <w:r>
              <w:rPr>
                <w:sz w:val="21"/>
              </w:rPr>
              <w:t>举</w:t>
            </w:r>
            <w:r>
              <w:rPr>
                <w:sz w:val="21"/>
              </w:rPr>
              <w:t xml:space="preserve">  </w:t>
            </w:r>
            <w:r>
              <w:rPr>
                <w:sz w:val="21"/>
              </w:rPr>
              <w:t>例</w:t>
            </w:r>
            <w:r>
              <w:rPr>
                <w:sz w:val="24"/>
              </w:rPr>
              <w:t xml:space="preserve"> </w:t>
            </w:r>
          </w:p>
        </w:tc>
      </w:tr>
      <w:tr w:rsidR="00A71EEF" w14:paraId="597F6224" w14:textId="77777777">
        <w:trPr>
          <w:trHeight w:val="501"/>
        </w:trPr>
        <w:tc>
          <w:tcPr>
            <w:tcW w:w="1212" w:type="dxa"/>
            <w:vMerge/>
            <w:tcBorders>
              <w:top w:val="nil"/>
            </w:tcBorders>
          </w:tcPr>
          <w:p w14:paraId="3C57750F" w14:textId="77777777" w:rsidR="00A71EEF" w:rsidRDefault="00A71EEF">
            <w:pPr>
              <w:rPr>
                <w:sz w:val="2"/>
                <w:szCs w:val="2"/>
              </w:rPr>
            </w:pPr>
          </w:p>
        </w:tc>
        <w:tc>
          <w:tcPr>
            <w:tcW w:w="4683" w:type="dxa"/>
          </w:tcPr>
          <w:p w14:paraId="02328E87" w14:textId="77777777" w:rsidR="00A71EEF" w:rsidRDefault="0081115D">
            <w:pPr>
              <w:pStyle w:val="TableParagraph"/>
              <w:spacing w:before="190"/>
              <w:ind w:left="4"/>
              <w:rPr>
                <w:sz w:val="24"/>
              </w:rPr>
            </w:pPr>
            <w:r>
              <w:rPr>
                <w:sz w:val="21"/>
              </w:rPr>
              <w:t>厂房和露天、半露天生产装置区</w:t>
            </w:r>
            <w:r>
              <w:rPr>
                <w:sz w:val="24"/>
              </w:rPr>
              <w:t xml:space="preserve"> </w:t>
            </w:r>
          </w:p>
        </w:tc>
        <w:tc>
          <w:tcPr>
            <w:tcW w:w="2501" w:type="dxa"/>
          </w:tcPr>
          <w:p w14:paraId="68928EDB" w14:textId="77777777" w:rsidR="00A71EEF" w:rsidRDefault="0081115D">
            <w:pPr>
              <w:pStyle w:val="TableParagraph"/>
              <w:spacing w:before="190"/>
              <w:ind w:left="7"/>
              <w:rPr>
                <w:sz w:val="24"/>
              </w:rPr>
            </w:pPr>
            <w:r>
              <w:rPr>
                <w:sz w:val="21"/>
              </w:rPr>
              <w:t>库房和露天、半露天堆场</w:t>
            </w:r>
            <w:r>
              <w:rPr>
                <w:sz w:val="24"/>
              </w:rPr>
              <w:t xml:space="preserve"> </w:t>
            </w:r>
          </w:p>
        </w:tc>
      </w:tr>
      <w:tr w:rsidR="00A71EEF" w14:paraId="0EF8E4D5" w14:textId="77777777">
        <w:trPr>
          <w:trHeight w:val="437"/>
        </w:trPr>
        <w:tc>
          <w:tcPr>
            <w:tcW w:w="1212" w:type="dxa"/>
            <w:tcBorders>
              <w:bottom w:val="nil"/>
            </w:tcBorders>
          </w:tcPr>
          <w:p w14:paraId="06E4F638" w14:textId="77777777" w:rsidR="00A71EEF" w:rsidRDefault="00A71EEF">
            <w:pPr>
              <w:pStyle w:val="TableParagraph"/>
              <w:rPr>
                <w:rFonts w:ascii="Times New Roman"/>
                <w:sz w:val="20"/>
              </w:rPr>
            </w:pPr>
          </w:p>
        </w:tc>
        <w:tc>
          <w:tcPr>
            <w:tcW w:w="4683" w:type="dxa"/>
            <w:tcBorders>
              <w:bottom w:val="nil"/>
            </w:tcBorders>
          </w:tcPr>
          <w:p w14:paraId="18C66E7B" w14:textId="77777777" w:rsidR="00A71EEF" w:rsidRDefault="00A71EEF">
            <w:pPr>
              <w:pStyle w:val="TableParagraph"/>
              <w:spacing w:before="11"/>
              <w:rPr>
                <w:b/>
                <w:sz w:val="14"/>
              </w:rPr>
            </w:pPr>
          </w:p>
          <w:p w14:paraId="0F8917A3" w14:textId="77777777" w:rsidR="00A71EEF" w:rsidRDefault="0081115D">
            <w:pPr>
              <w:pStyle w:val="TableParagraph"/>
              <w:spacing w:line="227" w:lineRule="exact"/>
              <w:ind w:left="4"/>
              <w:rPr>
                <w:sz w:val="21"/>
              </w:rPr>
            </w:pPr>
            <w:r>
              <w:rPr>
                <w:sz w:val="21"/>
              </w:rPr>
              <w:t xml:space="preserve">1. </w:t>
            </w:r>
            <w:r>
              <w:rPr>
                <w:sz w:val="21"/>
              </w:rPr>
              <w:t>闪点＜</w:t>
            </w:r>
            <w:r>
              <w:rPr>
                <w:sz w:val="21"/>
              </w:rPr>
              <w:t>60℃</w:t>
            </w:r>
            <w:r>
              <w:rPr>
                <w:sz w:val="21"/>
              </w:rPr>
              <w:t>的油品和有机溶剂的提炼、回收、</w:t>
            </w:r>
          </w:p>
        </w:tc>
        <w:tc>
          <w:tcPr>
            <w:tcW w:w="2501" w:type="dxa"/>
            <w:tcBorders>
              <w:bottom w:val="nil"/>
            </w:tcBorders>
          </w:tcPr>
          <w:p w14:paraId="195C8F79" w14:textId="77777777" w:rsidR="00A71EEF" w:rsidRDefault="00A71EEF">
            <w:pPr>
              <w:pStyle w:val="TableParagraph"/>
              <w:rPr>
                <w:rFonts w:ascii="Times New Roman"/>
                <w:sz w:val="20"/>
              </w:rPr>
            </w:pPr>
          </w:p>
        </w:tc>
      </w:tr>
      <w:tr w:rsidR="00A71EEF" w14:paraId="6F93732A" w14:textId="77777777">
        <w:trPr>
          <w:trHeight w:val="251"/>
        </w:trPr>
        <w:tc>
          <w:tcPr>
            <w:tcW w:w="1212" w:type="dxa"/>
            <w:tcBorders>
              <w:top w:val="nil"/>
              <w:bottom w:val="nil"/>
            </w:tcBorders>
          </w:tcPr>
          <w:p w14:paraId="7D6F8AFA" w14:textId="77777777" w:rsidR="00A71EEF" w:rsidRDefault="00A71EEF">
            <w:pPr>
              <w:pStyle w:val="TableParagraph"/>
              <w:rPr>
                <w:rFonts w:ascii="Times New Roman"/>
                <w:sz w:val="18"/>
              </w:rPr>
            </w:pPr>
          </w:p>
        </w:tc>
        <w:tc>
          <w:tcPr>
            <w:tcW w:w="4683" w:type="dxa"/>
            <w:tcBorders>
              <w:top w:val="nil"/>
              <w:bottom w:val="nil"/>
            </w:tcBorders>
          </w:tcPr>
          <w:p w14:paraId="3B33A397" w14:textId="77777777" w:rsidR="00A71EEF" w:rsidRDefault="00A71EEF">
            <w:pPr>
              <w:pStyle w:val="TableParagraph"/>
              <w:rPr>
                <w:rFonts w:ascii="Times New Roman"/>
                <w:sz w:val="18"/>
              </w:rPr>
            </w:pPr>
          </w:p>
        </w:tc>
        <w:tc>
          <w:tcPr>
            <w:tcW w:w="2501" w:type="dxa"/>
            <w:tcBorders>
              <w:top w:val="nil"/>
              <w:bottom w:val="nil"/>
            </w:tcBorders>
          </w:tcPr>
          <w:p w14:paraId="47179A9E" w14:textId="77777777" w:rsidR="00A71EEF" w:rsidRDefault="0081115D">
            <w:pPr>
              <w:pStyle w:val="TableParagraph"/>
              <w:spacing w:before="3" w:line="229" w:lineRule="exact"/>
              <w:ind w:left="7"/>
              <w:rPr>
                <w:sz w:val="24"/>
              </w:rPr>
            </w:pPr>
            <w:r>
              <w:rPr>
                <w:sz w:val="21"/>
              </w:rPr>
              <w:t xml:space="preserve">1. </w:t>
            </w:r>
            <w:r>
              <w:rPr>
                <w:sz w:val="21"/>
              </w:rPr>
              <w:t>化学危险物品库房</w:t>
            </w:r>
            <w:r>
              <w:rPr>
                <w:sz w:val="24"/>
              </w:rPr>
              <w:t xml:space="preserve"> </w:t>
            </w:r>
          </w:p>
        </w:tc>
      </w:tr>
      <w:tr w:rsidR="00A71EEF" w14:paraId="61041980" w14:textId="77777777">
        <w:trPr>
          <w:trHeight w:val="311"/>
        </w:trPr>
        <w:tc>
          <w:tcPr>
            <w:tcW w:w="1212" w:type="dxa"/>
            <w:tcBorders>
              <w:top w:val="nil"/>
              <w:bottom w:val="nil"/>
            </w:tcBorders>
          </w:tcPr>
          <w:p w14:paraId="06B61550" w14:textId="77777777" w:rsidR="00A71EEF" w:rsidRDefault="00A71EEF">
            <w:pPr>
              <w:pStyle w:val="TableParagraph"/>
              <w:rPr>
                <w:rFonts w:ascii="Times New Roman"/>
                <w:sz w:val="20"/>
              </w:rPr>
            </w:pPr>
          </w:p>
        </w:tc>
        <w:tc>
          <w:tcPr>
            <w:tcW w:w="4683" w:type="dxa"/>
            <w:tcBorders>
              <w:top w:val="nil"/>
            </w:tcBorders>
          </w:tcPr>
          <w:p w14:paraId="125C45B4" w14:textId="77777777" w:rsidR="00A71EEF" w:rsidRDefault="0081115D">
            <w:pPr>
              <w:pStyle w:val="TableParagraph"/>
              <w:spacing w:before="1"/>
              <w:ind w:left="4"/>
              <w:rPr>
                <w:sz w:val="24"/>
              </w:rPr>
            </w:pPr>
            <w:r>
              <w:rPr>
                <w:sz w:val="21"/>
              </w:rPr>
              <w:t>洗涤部位及其泵房、灌桶间</w:t>
            </w:r>
            <w:r>
              <w:rPr>
                <w:sz w:val="24"/>
              </w:rPr>
              <w:t xml:space="preserve"> </w:t>
            </w:r>
          </w:p>
        </w:tc>
        <w:tc>
          <w:tcPr>
            <w:tcW w:w="2501" w:type="dxa"/>
            <w:tcBorders>
              <w:top w:val="nil"/>
            </w:tcBorders>
          </w:tcPr>
          <w:p w14:paraId="78EAC13C" w14:textId="77777777" w:rsidR="00A71EEF" w:rsidRDefault="00A71EEF">
            <w:pPr>
              <w:pStyle w:val="TableParagraph"/>
              <w:rPr>
                <w:rFonts w:ascii="Times New Roman"/>
                <w:sz w:val="20"/>
              </w:rPr>
            </w:pPr>
          </w:p>
        </w:tc>
      </w:tr>
      <w:tr w:rsidR="00A71EEF" w14:paraId="472D6507" w14:textId="77777777">
        <w:trPr>
          <w:trHeight w:val="437"/>
        </w:trPr>
        <w:tc>
          <w:tcPr>
            <w:tcW w:w="1212" w:type="dxa"/>
            <w:tcBorders>
              <w:top w:val="nil"/>
              <w:bottom w:val="nil"/>
            </w:tcBorders>
          </w:tcPr>
          <w:p w14:paraId="75532355" w14:textId="77777777" w:rsidR="00A71EEF" w:rsidRDefault="00A71EEF">
            <w:pPr>
              <w:pStyle w:val="TableParagraph"/>
              <w:rPr>
                <w:rFonts w:ascii="Times New Roman"/>
                <w:sz w:val="20"/>
              </w:rPr>
            </w:pPr>
          </w:p>
        </w:tc>
        <w:tc>
          <w:tcPr>
            <w:tcW w:w="4683" w:type="dxa"/>
            <w:tcBorders>
              <w:bottom w:val="nil"/>
            </w:tcBorders>
          </w:tcPr>
          <w:p w14:paraId="117F59EF" w14:textId="77777777" w:rsidR="00A71EEF" w:rsidRDefault="00A71EEF">
            <w:pPr>
              <w:pStyle w:val="TableParagraph"/>
              <w:rPr>
                <w:rFonts w:ascii="Times New Roman"/>
                <w:sz w:val="20"/>
              </w:rPr>
            </w:pPr>
          </w:p>
        </w:tc>
        <w:tc>
          <w:tcPr>
            <w:tcW w:w="2501" w:type="dxa"/>
            <w:tcBorders>
              <w:bottom w:val="nil"/>
            </w:tcBorders>
          </w:tcPr>
          <w:p w14:paraId="5DA9E895" w14:textId="77777777" w:rsidR="00A71EEF" w:rsidRDefault="00A71EEF">
            <w:pPr>
              <w:pStyle w:val="TableParagraph"/>
              <w:spacing w:before="11"/>
              <w:rPr>
                <w:b/>
                <w:sz w:val="14"/>
              </w:rPr>
            </w:pPr>
          </w:p>
          <w:p w14:paraId="5A4C9643" w14:textId="77777777" w:rsidR="00A71EEF" w:rsidRDefault="0081115D">
            <w:pPr>
              <w:pStyle w:val="TableParagraph"/>
              <w:spacing w:before="1" w:line="227" w:lineRule="exact"/>
              <w:ind w:left="7"/>
              <w:rPr>
                <w:sz w:val="21"/>
              </w:rPr>
            </w:pPr>
            <w:r>
              <w:rPr>
                <w:sz w:val="21"/>
              </w:rPr>
              <w:t xml:space="preserve">2. </w:t>
            </w:r>
            <w:r>
              <w:rPr>
                <w:sz w:val="21"/>
              </w:rPr>
              <w:t>装卸原油或化学危险物</w:t>
            </w:r>
          </w:p>
        </w:tc>
      </w:tr>
      <w:tr w:rsidR="00A71EEF" w14:paraId="2781F047" w14:textId="77777777">
        <w:trPr>
          <w:trHeight w:val="251"/>
        </w:trPr>
        <w:tc>
          <w:tcPr>
            <w:tcW w:w="1212" w:type="dxa"/>
            <w:tcBorders>
              <w:top w:val="nil"/>
              <w:bottom w:val="nil"/>
            </w:tcBorders>
          </w:tcPr>
          <w:p w14:paraId="33898B78" w14:textId="77777777" w:rsidR="00A71EEF" w:rsidRDefault="00A71EEF">
            <w:pPr>
              <w:pStyle w:val="TableParagraph"/>
              <w:rPr>
                <w:rFonts w:ascii="Times New Roman"/>
                <w:sz w:val="18"/>
              </w:rPr>
            </w:pPr>
          </w:p>
        </w:tc>
        <w:tc>
          <w:tcPr>
            <w:tcW w:w="4683" w:type="dxa"/>
            <w:tcBorders>
              <w:top w:val="nil"/>
              <w:bottom w:val="nil"/>
            </w:tcBorders>
          </w:tcPr>
          <w:p w14:paraId="3EB850D6" w14:textId="77777777" w:rsidR="00A71EEF" w:rsidRDefault="0081115D">
            <w:pPr>
              <w:pStyle w:val="TableParagraph"/>
              <w:spacing w:before="3" w:line="229" w:lineRule="exact"/>
              <w:ind w:left="4"/>
              <w:rPr>
                <w:sz w:val="24"/>
              </w:rPr>
            </w:pPr>
            <w:r>
              <w:rPr>
                <w:sz w:val="21"/>
              </w:rPr>
              <w:t xml:space="preserve">2. </w:t>
            </w:r>
            <w:r>
              <w:rPr>
                <w:sz w:val="21"/>
              </w:rPr>
              <w:t>橡胶制品的涂胶和胶浆部位</w:t>
            </w:r>
            <w:r>
              <w:rPr>
                <w:sz w:val="24"/>
              </w:rPr>
              <w:t xml:space="preserve"> </w:t>
            </w:r>
          </w:p>
        </w:tc>
        <w:tc>
          <w:tcPr>
            <w:tcW w:w="2501" w:type="dxa"/>
            <w:tcBorders>
              <w:top w:val="nil"/>
              <w:bottom w:val="nil"/>
            </w:tcBorders>
          </w:tcPr>
          <w:p w14:paraId="4001FE34" w14:textId="77777777" w:rsidR="00A71EEF" w:rsidRDefault="00A71EEF">
            <w:pPr>
              <w:pStyle w:val="TableParagraph"/>
              <w:rPr>
                <w:rFonts w:ascii="Times New Roman"/>
                <w:sz w:val="18"/>
              </w:rPr>
            </w:pPr>
          </w:p>
        </w:tc>
      </w:tr>
      <w:tr w:rsidR="00A71EEF" w14:paraId="4E346FD2" w14:textId="77777777">
        <w:trPr>
          <w:trHeight w:val="309"/>
        </w:trPr>
        <w:tc>
          <w:tcPr>
            <w:tcW w:w="1212" w:type="dxa"/>
            <w:tcBorders>
              <w:top w:val="nil"/>
              <w:bottom w:val="nil"/>
            </w:tcBorders>
          </w:tcPr>
          <w:p w14:paraId="3EEB9009" w14:textId="77777777" w:rsidR="00A71EEF" w:rsidRDefault="00A71EEF">
            <w:pPr>
              <w:pStyle w:val="TableParagraph"/>
              <w:rPr>
                <w:rFonts w:ascii="Times New Roman"/>
                <w:sz w:val="20"/>
              </w:rPr>
            </w:pPr>
          </w:p>
        </w:tc>
        <w:tc>
          <w:tcPr>
            <w:tcW w:w="4683" w:type="dxa"/>
            <w:tcBorders>
              <w:top w:val="nil"/>
            </w:tcBorders>
          </w:tcPr>
          <w:p w14:paraId="6E01849B" w14:textId="77777777" w:rsidR="00A71EEF" w:rsidRDefault="00A71EEF">
            <w:pPr>
              <w:pStyle w:val="TableParagraph"/>
              <w:rPr>
                <w:rFonts w:ascii="Times New Roman"/>
                <w:sz w:val="20"/>
              </w:rPr>
            </w:pPr>
          </w:p>
        </w:tc>
        <w:tc>
          <w:tcPr>
            <w:tcW w:w="2501" w:type="dxa"/>
            <w:tcBorders>
              <w:top w:val="nil"/>
            </w:tcBorders>
          </w:tcPr>
          <w:p w14:paraId="4B491842" w14:textId="77777777" w:rsidR="00A71EEF" w:rsidRDefault="0081115D">
            <w:pPr>
              <w:pStyle w:val="TableParagraph"/>
              <w:spacing w:before="1"/>
              <w:ind w:left="7"/>
              <w:rPr>
                <w:sz w:val="24"/>
              </w:rPr>
            </w:pPr>
            <w:r>
              <w:rPr>
                <w:sz w:val="21"/>
              </w:rPr>
              <w:t>品的车站、码头</w:t>
            </w:r>
            <w:r>
              <w:rPr>
                <w:sz w:val="24"/>
              </w:rPr>
              <w:t xml:space="preserve"> </w:t>
            </w:r>
          </w:p>
        </w:tc>
      </w:tr>
      <w:tr w:rsidR="00A71EEF" w14:paraId="4F8B9AFA" w14:textId="77777777">
        <w:trPr>
          <w:trHeight w:val="439"/>
        </w:trPr>
        <w:tc>
          <w:tcPr>
            <w:tcW w:w="1212" w:type="dxa"/>
            <w:tcBorders>
              <w:top w:val="nil"/>
              <w:bottom w:val="nil"/>
            </w:tcBorders>
          </w:tcPr>
          <w:p w14:paraId="4CB2AEF1" w14:textId="77777777" w:rsidR="00A71EEF" w:rsidRDefault="00A71EEF">
            <w:pPr>
              <w:pStyle w:val="TableParagraph"/>
              <w:rPr>
                <w:rFonts w:ascii="Times New Roman"/>
                <w:sz w:val="20"/>
              </w:rPr>
            </w:pPr>
          </w:p>
        </w:tc>
        <w:tc>
          <w:tcPr>
            <w:tcW w:w="4683" w:type="dxa"/>
            <w:tcBorders>
              <w:bottom w:val="nil"/>
            </w:tcBorders>
          </w:tcPr>
          <w:p w14:paraId="7DEE43B7" w14:textId="77777777" w:rsidR="00A71EEF" w:rsidRDefault="00A71EEF">
            <w:pPr>
              <w:pStyle w:val="TableParagraph"/>
              <w:rPr>
                <w:rFonts w:ascii="Times New Roman"/>
                <w:sz w:val="20"/>
              </w:rPr>
            </w:pPr>
          </w:p>
        </w:tc>
        <w:tc>
          <w:tcPr>
            <w:tcW w:w="2501" w:type="dxa"/>
            <w:tcBorders>
              <w:bottom w:val="nil"/>
            </w:tcBorders>
          </w:tcPr>
          <w:p w14:paraId="38A8C076" w14:textId="77777777" w:rsidR="00A71EEF" w:rsidRDefault="00A71EEF">
            <w:pPr>
              <w:pStyle w:val="TableParagraph"/>
              <w:rPr>
                <w:b/>
                <w:sz w:val="15"/>
              </w:rPr>
            </w:pPr>
          </w:p>
          <w:p w14:paraId="3CEC47CF" w14:textId="77777777" w:rsidR="00A71EEF" w:rsidRDefault="0081115D">
            <w:pPr>
              <w:pStyle w:val="TableParagraph"/>
              <w:spacing w:before="1" w:line="227" w:lineRule="exact"/>
              <w:ind w:left="7"/>
              <w:rPr>
                <w:sz w:val="21"/>
              </w:rPr>
            </w:pPr>
            <w:r>
              <w:rPr>
                <w:sz w:val="21"/>
              </w:rPr>
              <w:t xml:space="preserve">3. </w:t>
            </w:r>
            <w:r>
              <w:rPr>
                <w:sz w:val="21"/>
              </w:rPr>
              <w:t>甲、乙类液体储罐区、</w:t>
            </w:r>
          </w:p>
        </w:tc>
      </w:tr>
      <w:tr w:rsidR="00A71EEF" w14:paraId="44BB0DB2" w14:textId="77777777">
        <w:trPr>
          <w:trHeight w:val="251"/>
        </w:trPr>
        <w:tc>
          <w:tcPr>
            <w:tcW w:w="1212" w:type="dxa"/>
            <w:tcBorders>
              <w:top w:val="nil"/>
              <w:bottom w:val="nil"/>
            </w:tcBorders>
          </w:tcPr>
          <w:p w14:paraId="39C54D4D" w14:textId="77777777" w:rsidR="00A71EEF" w:rsidRDefault="00A71EEF">
            <w:pPr>
              <w:pStyle w:val="TableParagraph"/>
              <w:rPr>
                <w:rFonts w:ascii="Times New Roman"/>
                <w:sz w:val="18"/>
              </w:rPr>
            </w:pPr>
          </w:p>
        </w:tc>
        <w:tc>
          <w:tcPr>
            <w:tcW w:w="4683" w:type="dxa"/>
            <w:tcBorders>
              <w:top w:val="nil"/>
              <w:bottom w:val="nil"/>
            </w:tcBorders>
          </w:tcPr>
          <w:p w14:paraId="61334CB3" w14:textId="77777777" w:rsidR="00A71EEF" w:rsidRDefault="0081115D">
            <w:pPr>
              <w:pStyle w:val="TableParagraph"/>
              <w:spacing w:before="3" w:line="229" w:lineRule="exact"/>
              <w:ind w:left="4"/>
              <w:rPr>
                <w:sz w:val="24"/>
              </w:rPr>
            </w:pPr>
            <w:r>
              <w:rPr>
                <w:sz w:val="21"/>
              </w:rPr>
              <w:t xml:space="preserve">3. </w:t>
            </w:r>
            <w:r>
              <w:rPr>
                <w:sz w:val="21"/>
              </w:rPr>
              <w:t>二硫化碳的粗馏、精馏工段及其应用部位</w:t>
            </w:r>
            <w:r>
              <w:rPr>
                <w:sz w:val="24"/>
              </w:rPr>
              <w:t xml:space="preserve"> </w:t>
            </w:r>
          </w:p>
        </w:tc>
        <w:tc>
          <w:tcPr>
            <w:tcW w:w="2501" w:type="dxa"/>
            <w:tcBorders>
              <w:top w:val="nil"/>
              <w:bottom w:val="nil"/>
            </w:tcBorders>
          </w:tcPr>
          <w:p w14:paraId="0812650B" w14:textId="77777777" w:rsidR="00A71EEF" w:rsidRDefault="00A71EEF">
            <w:pPr>
              <w:pStyle w:val="TableParagraph"/>
              <w:rPr>
                <w:rFonts w:ascii="Times New Roman"/>
                <w:sz w:val="18"/>
              </w:rPr>
            </w:pPr>
          </w:p>
        </w:tc>
      </w:tr>
      <w:tr w:rsidR="00A71EEF" w14:paraId="7EE2B759" w14:textId="77777777">
        <w:trPr>
          <w:trHeight w:val="309"/>
        </w:trPr>
        <w:tc>
          <w:tcPr>
            <w:tcW w:w="1212" w:type="dxa"/>
            <w:tcBorders>
              <w:top w:val="nil"/>
              <w:bottom w:val="nil"/>
            </w:tcBorders>
          </w:tcPr>
          <w:p w14:paraId="57093011" w14:textId="77777777" w:rsidR="00A71EEF" w:rsidRDefault="00A71EEF">
            <w:pPr>
              <w:pStyle w:val="TableParagraph"/>
              <w:rPr>
                <w:rFonts w:ascii="Times New Roman"/>
                <w:sz w:val="20"/>
              </w:rPr>
            </w:pPr>
          </w:p>
        </w:tc>
        <w:tc>
          <w:tcPr>
            <w:tcW w:w="4683" w:type="dxa"/>
            <w:tcBorders>
              <w:top w:val="nil"/>
            </w:tcBorders>
          </w:tcPr>
          <w:p w14:paraId="1685E42E" w14:textId="77777777" w:rsidR="00A71EEF" w:rsidRDefault="00A71EEF">
            <w:pPr>
              <w:pStyle w:val="TableParagraph"/>
              <w:rPr>
                <w:rFonts w:ascii="Times New Roman"/>
                <w:sz w:val="20"/>
              </w:rPr>
            </w:pPr>
          </w:p>
        </w:tc>
        <w:tc>
          <w:tcPr>
            <w:tcW w:w="2501" w:type="dxa"/>
            <w:tcBorders>
              <w:top w:val="nil"/>
            </w:tcBorders>
          </w:tcPr>
          <w:p w14:paraId="298F70AF" w14:textId="77777777" w:rsidR="00A71EEF" w:rsidRDefault="0081115D">
            <w:pPr>
              <w:pStyle w:val="TableParagraph"/>
              <w:spacing w:before="1"/>
              <w:ind w:left="7"/>
              <w:rPr>
                <w:sz w:val="24"/>
              </w:rPr>
            </w:pPr>
            <w:r>
              <w:rPr>
                <w:sz w:val="21"/>
              </w:rPr>
              <w:t>桶装库房、堆场</w:t>
            </w:r>
            <w:r>
              <w:rPr>
                <w:sz w:val="24"/>
              </w:rPr>
              <w:t xml:space="preserve"> </w:t>
            </w:r>
          </w:p>
        </w:tc>
      </w:tr>
      <w:tr w:rsidR="00A71EEF" w14:paraId="6B671BF8" w14:textId="77777777">
        <w:trPr>
          <w:trHeight w:val="563"/>
        </w:trPr>
        <w:tc>
          <w:tcPr>
            <w:tcW w:w="1212" w:type="dxa"/>
            <w:tcBorders>
              <w:top w:val="nil"/>
              <w:bottom w:val="nil"/>
            </w:tcBorders>
          </w:tcPr>
          <w:p w14:paraId="5AA0C000" w14:textId="77777777" w:rsidR="00A71EEF" w:rsidRDefault="00A71EEF">
            <w:pPr>
              <w:pStyle w:val="TableParagraph"/>
              <w:rPr>
                <w:rFonts w:ascii="Times New Roman"/>
                <w:sz w:val="20"/>
              </w:rPr>
            </w:pPr>
          </w:p>
        </w:tc>
        <w:tc>
          <w:tcPr>
            <w:tcW w:w="4683" w:type="dxa"/>
            <w:tcBorders>
              <w:bottom w:val="nil"/>
            </w:tcBorders>
          </w:tcPr>
          <w:p w14:paraId="63F2A4C7" w14:textId="77777777" w:rsidR="00A71EEF" w:rsidRDefault="00A71EEF">
            <w:pPr>
              <w:pStyle w:val="TableParagraph"/>
              <w:spacing w:before="11"/>
              <w:rPr>
                <w:b/>
                <w:sz w:val="14"/>
              </w:rPr>
            </w:pPr>
          </w:p>
          <w:p w14:paraId="6EA84BE5" w14:textId="77777777" w:rsidR="00A71EEF" w:rsidRDefault="0081115D">
            <w:pPr>
              <w:pStyle w:val="TableParagraph"/>
              <w:ind w:left="4"/>
              <w:rPr>
                <w:sz w:val="21"/>
              </w:rPr>
            </w:pPr>
            <w:r>
              <w:rPr>
                <w:sz w:val="21"/>
              </w:rPr>
              <w:t xml:space="preserve">4. </w:t>
            </w:r>
            <w:r>
              <w:rPr>
                <w:sz w:val="21"/>
              </w:rPr>
              <w:t>甲醇、乙醇、丙酮、丁酮、异丙醇、醋酸乙</w:t>
            </w:r>
          </w:p>
        </w:tc>
        <w:tc>
          <w:tcPr>
            <w:tcW w:w="2501" w:type="dxa"/>
            <w:tcBorders>
              <w:bottom w:val="nil"/>
            </w:tcBorders>
          </w:tcPr>
          <w:p w14:paraId="497475B8" w14:textId="77777777" w:rsidR="00A71EEF" w:rsidRDefault="00A71EEF">
            <w:pPr>
              <w:pStyle w:val="TableParagraph"/>
              <w:spacing w:before="11"/>
              <w:rPr>
                <w:b/>
                <w:sz w:val="14"/>
              </w:rPr>
            </w:pPr>
          </w:p>
          <w:p w14:paraId="13D4F27B" w14:textId="77777777" w:rsidR="00A71EEF" w:rsidRDefault="0081115D">
            <w:pPr>
              <w:pStyle w:val="TableParagraph"/>
              <w:ind w:left="7"/>
              <w:rPr>
                <w:sz w:val="21"/>
              </w:rPr>
            </w:pPr>
            <w:r>
              <w:rPr>
                <w:sz w:val="21"/>
              </w:rPr>
              <w:t xml:space="preserve">4. </w:t>
            </w:r>
            <w:r>
              <w:rPr>
                <w:sz w:val="21"/>
              </w:rPr>
              <w:t>液化石油气储罐区、桶</w:t>
            </w:r>
          </w:p>
        </w:tc>
      </w:tr>
      <w:tr w:rsidR="00A71EEF" w14:paraId="1BD487CB" w14:textId="77777777">
        <w:trPr>
          <w:trHeight w:val="437"/>
        </w:trPr>
        <w:tc>
          <w:tcPr>
            <w:tcW w:w="1212" w:type="dxa"/>
            <w:tcBorders>
              <w:top w:val="nil"/>
              <w:bottom w:val="nil"/>
            </w:tcBorders>
          </w:tcPr>
          <w:p w14:paraId="6DA8D747" w14:textId="77777777" w:rsidR="00A71EEF" w:rsidRDefault="00A71EEF">
            <w:pPr>
              <w:pStyle w:val="TableParagraph"/>
              <w:rPr>
                <w:rFonts w:ascii="Times New Roman"/>
                <w:sz w:val="20"/>
              </w:rPr>
            </w:pPr>
          </w:p>
        </w:tc>
        <w:tc>
          <w:tcPr>
            <w:tcW w:w="4683" w:type="dxa"/>
            <w:tcBorders>
              <w:top w:val="nil"/>
            </w:tcBorders>
          </w:tcPr>
          <w:p w14:paraId="0157A513" w14:textId="77777777" w:rsidR="00A71EEF" w:rsidRDefault="0081115D">
            <w:pPr>
              <w:pStyle w:val="TableParagraph"/>
              <w:spacing w:before="129"/>
              <w:ind w:left="4"/>
              <w:rPr>
                <w:sz w:val="24"/>
              </w:rPr>
            </w:pPr>
            <w:r>
              <w:rPr>
                <w:sz w:val="21"/>
              </w:rPr>
              <w:t>酯、苯等的合成、精制厂房</w:t>
            </w:r>
            <w:r>
              <w:rPr>
                <w:sz w:val="24"/>
              </w:rPr>
              <w:t xml:space="preserve"> </w:t>
            </w:r>
          </w:p>
        </w:tc>
        <w:tc>
          <w:tcPr>
            <w:tcW w:w="2501" w:type="dxa"/>
            <w:tcBorders>
              <w:top w:val="nil"/>
            </w:tcBorders>
          </w:tcPr>
          <w:p w14:paraId="1A647B22" w14:textId="77777777" w:rsidR="00A71EEF" w:rsidRDefault="0081115D">
            <w:pPr>
              <w:pStyle w:val="TableParagraph"/>
              <w:spacing w:before="129"/>
              <w:ind w:left="7"/>
              <w:rPr>
                <w:sz w:val="24"/>
              </w:rPr>
            </w:pPr>
            <w:r>
              <w:rPr>
                <w:sz w:val="21"/>
              </w:rPr>
              <w:t>装库房、堆场</w:t>
            </w:r>
            <w:r>
              <w:rPr>
                <w:sz w:val="24"/>
              </w:rPr>
              <w:t xml:space="preserve"> </w:t>
            </w:r>
          </w:p>
        </w:tc>
      </w:tr>
      <w:tr w:rsidR="00A71EEF" w14:paraId="2FAA13CE" w14:textId="77777777">
        <w:trPr>
          <w:trHeight w:val="501"/>
        </w:trPr>
        <w:tc>
          <w:tcPr>
            <w:tcW w:w="1212" w:type="dxa"/>
            <w:tcBorders>
              <w:top w:val="nil"/>
              <w:bottom w:val="nil"/>
            </w:tcBorders>
          </w:tcPr>
          <w:p w14:paraId="436A3DD1" w14:textId="77777777" w:rsidR="00A71EEF" w:rsidRDefault="00A71EEF">
            <w:pPr>
              <w:pStyle w:val="TableParagraph"/>
              <w:rPr>
                <w:rFonts w:ascii="Times New Roman"/>
                <w:sz w:val="20"/>
              </w:rPr>
            </w:pPr>
          </w:p>
        </w:tc>
        <w:tc>
          <w:tcPr>
            <w:tcW w:w="4683" w:type="dxa"/>
          </w:tcPr>
          <w:p w14:paraId="5DD24C8F" w14:textId="77777777" w:rsidR="00A71EEF" w:rsidRDefault="0081115D">
            <w:pPr>
              <w:pStyle w:val="TableParagraph"/>
              <w:spacing w:before="191"/>
              <w:ind w:left="4"/>
              <w:rPr>
                <w:sz w:val="24"/>
              </w:rPr>
            </w:pPr>
            <w:r>
              <w:rPr>
                <w:sz w:val="21"/>
              </w:rPr>
              <w:t xml:space="preserve">5. </w:t>
            </w:r>
            <w:r>
              <w:rPr>
                <w:sz w:val="21"/>
              </w:rPr>
              <w:t>植物油加工厂的浸出厂房</w:t>
            </w:r>
            <w:r>
              <w:rPr>
                <w:sz w:val="24"/>
              </w:rPr>
              <w:t xml:space="preserve"> </w:t>
            </w:r>
          </w:p>
        </w:tc>
        <w:tc>
          <w:tcPr>
            <w:tcW w:w="2501" w:type="dxa"/>
          </w:tcPr>
          <w:p w14:paraId="67CFF2FF" w14:textId="77777777" w:rsidR="00A71EEF" w:rsidRDefault="0081115D">
            <w:pPr>
              <w:pStyle w:val="TableParagraph"/>
              <w:spacing w:before="191"/>
              <w:ind w:left="7"/>
              <w:rPr>
                <w:sz w:val="24"/>
              </w:rPr>
            </w:pPr>
            <w:r>
              <w:rPr>
                <w:sz w:val="21"/>
              </w:rPr>
              <w:t xml:space="preserve">5. </w:t>
            </w:r>
            <w:r>
              <w:rPr>
                <w:sz w:val="21"/>
              </w:rPr>
              <w:t>棉花库房及散装堆场</w:t>
            </w:r>
            <w:r>
              <w:rPr>
                <w:sz w:val="24"/>
              </w:rPr>
              <w:t xml:space="preserve"> </w:t>
            </w:r>
          </w:p>
        </w:tc>
      </w:tr>
      <w:tr w:rsidR="00A71EEF" w14:paraId="49B7525E" w14:textId="77777777">
        <w:trPr>
          <w:trHeight w:val="444"/>
        </w:trPr>
        <w:tc>
          <w:tcPr>
            <w:tcW w:w="1212" w:type="dxa"/>
            <w:tcBorders>
              <w:top w:val="nil"/>
              <w:bottom w:val="nil"/>
            </w:tcBorders>
          </w:tcPr>
          <w:p w14:paraId="2AC68048" w14:textId="77777777" w:rsidR="00A71EEF" w:rsidRDefault="00A71EEF">
            <w:pPr>
              <w:pStyle w:val="TableParagraph"/>
              <w:rPr>
                <w:b/>
                <w:sz w:val="16"/>
              </w:rPr>
            </w:pPr>
          </w:p>
          <w:p w14:paraId="1C3417B6" w14:textId="77777777" w:rsidR="00A71EEF" w:rsidRDefault="0081115D">
            <w:pPr>
              <w:pStyle w:val="TableParagraph"/>
              <w:spacing w:line="219" w:lineRule="exact"/>
              <w:ind w:right="384"/>
              <w:jc w:val="right"/>
              <w:rPr>
                <w:sz w:val="21"/>
              </w:rPr>
            </w:pPr>
            <w:r>
              <w:rPr>
                <w:sz w:val="21"/>
              </w:rPr>
              <w:t>严</w:t>
            </w:r>
            <w:r>
              <w:rPr>
                <w:sz w:val="21"/>
              </w:rPr>
              <w:t xml:space="preserve"> </w:t>
            </w:r>
          </w:p>
        </w:tc>
        <w:tc>
          <w:tcPr>
            <w:tcW w:w="4683" w:type="dxa"/>
            <w:tcBorders>
              <w:bottom w:val="nil"/>
            </w:tcBorders>
          </w:tcPr>
          <w:p w14:paraId="157E5485" w14:textId="77777777" w:rsidR="00A71EEF" w:rsidRDefault="00A71EEF">
            <w:pPr>
              <w:pStyle w:val="TableParagraph"/>
              <w:rPr>
                <w:rFonts w:ascii="Times New Roman"/>
                <w:sz w:val="20"/>
              </w:rPr>
            </w:pPr>
          </w:p>
        </w:tc>
        <w:tc>
          <w:tcPr>
            <w:tcW w:w="2501" w:type="dxa"/>
            <w:tcBorders>
              <w:bottom w:val="nil"/>
            </w:tcBorders>
          </w:tcPr>
          <w:p w14:paraId="2A7D3D06" w14:textId="77777777" w:rsidR="00A71EEF" w:rsidRDefault="00A71EEF">
            <w:pPr>
              <w:pStyle w:val="TableParagraph"/>
              <w:spacing w:before="11"/>
              <w:rPr>
                <w:b/>
                <w:sz w:val="14"/>
              </w:rPr>
            </w:pPr>
          </w:p>
          <w:p w14:paraId="219AC654" w14:textId="77777777" w:rsidR="00A71EEF" w:rsidRDefault="0081115D">
            <w:pPr>
              <w:pStyle w:val="TableParagraph"/>
              <w:spacing w:line="234" w:lineRule="exact"/>
              <w:ind w:left="7"/>
              <w:rPr>
                <w:sz w:val="21"/>
              </w:rPr>
            </w:pPr>
            <w:r>
              <w:rPr>
                <w:sz w:val="21"/>
              </w:rPr>
              <w:t xml:space="preserve">6. </w:t>
            </w:r>
            <w:r>
              <w:rPr>
                <w:sz w:val="21"/>
              </w:rPr>
              <w:t>稻草、芦苇、麦秸等堆</w:t>
            </w:r>
          </w:p>
        </w:tc>
      </w:tr>
      <w:tr w:rsidR="00A71EEF" w14:paraId="725858F3" w14:textId="77777777">
        <w:trPr>
          <w:trHeight w:val="244"/>
        </w:trPr>
        <w:tc>
          <w:tcPr>
            <w:tcW w:w="1212" w:type="dxa"/>
            <w:tcBorders>
              <w:top w:val="nil"/>
              <w:bottom w:val="nil"/>
            </w:tcBorders>
          </w:tcPr>
          <w:p w14:paraId="18DFAF6D" w14:textId="77777777" w:rsidR="00A71EEF" w:rsidRDefault="00A71EEF">
            <w:pPr>
              <w:pStyle w:val="TableParagraph"/>
              <w:rPr>
                <w:rFonts w:ascii="Times New Roman"/>
                <w:sz w:val="16"/>
              </w:rPr>
            </w:pPr>
          </w:p>
        </w:tc>
        <w:tc>
          <w:tcPr>
            <w:tcW w:w="4683" w:type="dxa"/>
            <w:tcBorders>
              <w:top w:val="nil"/>
              <w:bottom w:val="nil"/>
            </w:tcBorders>
          </w:tcPr>
          <w:p w14:paraId="5859A2D1" w14:textId="77777777" w:rsidR="00A71EEF" w:rsidRDefault="0081115D">
            <w:pPr>
              <w:pStyle w:val="TableParagraph"/>
              <w:spacing w:line="224" w:lineRule="exact"/>
              <w:ind w:left="4"/>
              <w:rPr>
                <w:sz w:val="24"/>
              </w:rPr>
            </w:pPr>
            <w:r>
              <w:rPr>
                <w:sz w:val="21"/>
              </w:rPr>
              <w:t xml:space="preserve">6. </w:t>
            </w:r>
            <w:r>
              <w:rPr>
                <w:sz w:val="21"/>
              </w:rPr>
              <w:t>洗涤剂厂房石蜡裂解部位、冰醋酸裂解厂房</w:t>
            </w:r>
            <w:r>
              <w:rPr>
                <w:sz w:val="24"/>
              </w:rPr>
              <w:t xml:space="preserve"> </w:t>
            </w:r>
          </w:p>
        </w:tc>
        <w:tc>
          <w:tcPr>
            <w:tcW w:w="2501" w:type="dxa"/>
            <w:tcBorders>
              <w:top w:val="nil"/>
              <w:bottom w:val="nil"/>
            </w:tcBorders>
          </w:tcPr>
          <w:p w14:paraId="01C80AF0" w14:textId="77777777" w:rsidR="00A71EEF" w:rsidRDefault="00A71EEF">
            <w:pPr>
              <w:pStyle w:val="TableParagraph"/>
              <w:rPr>
                <w:rFonts w:ascii="Times New Roman"/>
                <w:sz w:val="16"/>
              </w:rPr>
            </w:pPr>
          </w:p>
        </w:tc>
      </w:tr>
      <w:tr w:rsidR="00A71EEF" w14:paraId="4744AA54" w14:textId="77777777">
        <w:trPr>
          <w:trHeight w:val="309"/>
        </w:trPr>
        <w:tc>
          <w:tcPr>
            <w:tcW w:w="1212" w:type="dxa"/>
            <w:tcBorders>
              <w:top w:val="nil"/>
              <w:bottom w:val="nil"/>
            </w:tcBorders>
          </w:tcPr>
          <w:p w14:paraId="42595239" w14:textId="77777777" w:rsidR="00A71EEF" w:rsidRDefault="0081115D">
            <w:pPr>
              <w:pStyle w:val="TableParagraph"/>
              <w:spacing w:before="15"/>
              <w:ind w:right="384"/>
              <w:jc w:val="right"/>
              <w:rPr>
                <w:sz w:val="21"/>
              </w:rPr>
            </w:pPr>
            <w:r>
              <w:rPr>
                <w:sz w:val="21"/>
              </w:rPr>
              <w:t>重</w:t>
            </w:r>
            <w:r>
              <w:rPr>
                <w:sz w:val="21"/>
              </w:rPr>
              <w:t xml:space="preserve"> </w:t>
            </w:r>
          </w:p>
        </w:tc>
        <w:tc>
          <w:tcPr>
            <w:tcW w:w="4683" w:type="dxa"/>
            <w:tcBorders>
              <w:top w:val="nil"/>
            </w:tcBorders>
          </w:tcPr>
          <w:p w14:paraId="77B42D7E" w14:textId="77777777" w:rsidR="00A71EEF" w:rsidRDefault="00A71EEF">
            <w:pPr>
              <w:pStyle w:val="TableParagraph"/>
              <w:rPr>
                <w:rFonts w:ascii="Times New Roman"/>
                <w:sz w:val="20"/>
              </w:rPr>
            </w:pPr>
          </w:p>
        </w:tc>
        <w:tc>
          <w:tcPr>
            <w:tcW w:w="2501" w:type="dxa"/>
            <w:tcBorders>
              <w:top w:val="nil"/>
            </w:tcBorders>
          </w:tcPr>
          <w:p w14:paraId="56424457" w14:textId="77777777" w:rsidR="00A71EEF" w:rsidRDefault="0081115D">
            <w:pPr>
              <w:pStyle w:val="TableParagraph"/>
              <w:spacing w:before="1"/>
              <w:ind w:left="7"/>
              <w:rPr>
                <w:sz w:val="24"/>
              </w:rPr>
            </w:pPr>
            <w:r>
              <w:rPr>
                <w:sz w:val="21"/>
              </w:rPr>
              <w:t>场</w:t>
            </w:r>
            <w:r>
              <w:rPr>
                <w:sz w:val="24"/>
              </w:rPr>
              <w:t xml:space="preserve"> </w:t>
            </w:r>
          </w:p>
        </w:tc>
      </w:tr>
      <w:tr w:rsidR="00A71EEF" w14:paraId="0B39994E" w14:textId="77777777">
        <w:trPr>
          <w:trHeight w:val="566"/>
        </w:trPr>
        <w:tc>
          <w:tcPr>
            <w:tcW w:w="1212" w:type="dxa"/>
            <w:tcBorders>
              <w:top w:val="nil"/>
              <w:bottom w:val="nil"/>
            </w:tcBorders>
          </w:tcPr>
          <w:p w14:paraId="3047217F" w14:textId="77777777" w:rsidR="00A71EEF" w:rsidRDefault="00A71EEF">
            <w:pPr>
              <w:pStyle w:val="TableParagraph"/>
              <w:spacing w:before="5"/>
              <w:rPr>
                <w:b/>
                <w:sz w:val="15"/>
              </w:rPr>
            </w:pPr>
          </w:p>
          <w:p w14:paraId="33DCDBD4" w14:textId="77777777" w:rsidR="00A71EEF" w:rsidRDefault="0081115D">
            <w:pPr>
              <w:pStyle w:val="TableParagraph"/>
              <w:ind w:right="384"/>
              <w:jc w:val="right"/>
              <w:rPr>
                <w:sz w:val="21"/>
              </w:rPr>
            </w:pPr>
            <w:r>
              <w:rPr>
                <w:sz w:val="21"/>
              </w:rPr>
              <w:t>危</w:t>
            </w:r>
            <w:r>
              <w:rPr>
                <w:sz w:val="21"/>
              </w:rPr>
              <w:t xml:space="preserve"> </w:t>
            </w:r>
          </w:p>
        </w:tc>
        <w:tc>
          <w:tcPr>
            <w:tcW w:w="4683" w:type="dxa"/>
            <w:tcBorders>
              <w:bottom w:val="nil"/>
            </w:tcBorders>
          </w:tcPr>
          <w:p w14:paraId="3AEA33ED" w14:textId="77777777" w:rsidR="00A71EEF" w:rsidRDefault="00A71EEF">
            <w:pPr>
              <w:pStyle w:val="TableParagraph"/>
              <w:rPr>
                <w:rFonts w:ascii="Times New Roman"/>
                <w:sz w:val="20"/>
              </w:rPr>
            </w:pPr>
          </w:p>
        </w:tc>
        <w:tc>
          <w:tcPr>
            <w:tcW w:w="2501" w:type="dxa"/>
            <w:tcBorders>
              <w:bottom w:val="nil"/>
            </w:tcBorders>
          </w:tcPr>
          <w:p w14:paraId="45D6D1C1" w14:textId="77777777" w:rsidR="00A71EEF" w:rsidRDefault="00A71EEF">
            <w:pPr>
              <w:pStyle w:val="TableParagraph"/>
              <w:rPr>
                <w:b/>
                <w:sz w:val="15"/>
              </w:rPr>
            </w:pPr>
          </w:p>
          <w:p w14:paraId="5D39BDF7" w14:textId="77777777" w:rsidR="00A71EEF" w:rsidRDefault="0081115D">
            <w:pPr>
              <w:pStyle w:val="TableParagraph"/>
              <w:spacing w:before="1"/>
              <w:ind w:left="7"/>
              <w:rPr>
                <w:sz w:val="21"/>
              </w:rPr>
            </w:pPr>
            <w:r>
              <w:rPr>
                <w:sz w:val="21"/>
              </w:rPr>
              <w:t xml:space="preserve">7. </w:t>
            </w:r>
            <w:r>
              <w:rPr>
                <w:sz w:val="21"/>
              </w:rPr>
              <w:t>赛璐珞及其制品、漆</w:t>
            </w:r>
          </w:p>
        </w:tc>
      </w:tr>
      <w:tr w:rsidR="00A71EEF" w14:paraId="33C23C25" w14:textId="77777777">
        <w:trPr>
          <w:trHeight w:val="499"/>
        </w:trPr>
        <w:tc>
          <w:tcPr>
            <w:tcW w:w="1212" w:type="dxa"/>
            <w:tcBorders>
              <w:top w:val="nil"/>
              <w:bottom w:val="nil"/>
            </w:tcBorders>
          </w:tcPr>
          <w:p w14:paraId="3BBB0061" w14:textId="77777777" w:rsidR="00A71EEF" w:rsidRDefault="0081115D">
            <w:pPr>
              <w:pStyle w:val="TableParagraph"/>
              <w:spacing w:before="130"/>
              <w:ind w:right="384"/>
              <w:jc w:val="right"/>
              <w:rPr>
                <w:sz w:val="21"/>
              </w:rPr>
            </w:pPr>
            <w:r>
              <w:rPr>
                <w:sz w:val="21"/>
              </w:rPr>
              <w:t>险</w:t>
            </w:r>
            <w:r>
              <w:rPr>
                <w:sz w:val="21"/>
              </w:rPr>
              <w:t xml:space="preserve"> </w:t>
            </w:r>
          </w:p>
        </w:tc>
        <w:tc>
          <w:tcPr>
            <w:tcW w:w="4683" w:type="dxa"/>
            <w:tcBorders>
              <w:top w:val="nil"/>
              <w:bottom w:val="nil"/>
            </w:tcBorders>
          </w:tcPr>
          <w:p w14:paraId="100A682D" w14:textId="77777777" w:rsidR="00A71EEF" w:rsidRDefault="0081115D">
            <w:pPr>
              <w:pStyle w:val="TableParagraph"/>
              <w:spacing w:before="125"/>
              <w:ind w:left="4"/>
              <w:rPr>
                <w:sz w:val="24"/>
              </w:rPr>
            </w:pPr>
            <w:r>
              <w:rPr>
                <w:sz w:val="21"/>
              </w:rPr>
              <w:t xml:space="preserve">7. </w:t>
            </w:r>
            <w:r>
              <w:rPr>
                <w:sz w:val="21"/>
              </w:rPr>
              <w:t>环氧氢丙烷、苯乙烯厂房或装置区</w:t>
            </w:r>
            <w:r>
              <w:rPr>
                <w:sz w:val="24"/>
              </w:rPr>
              <w:t xml:space="preserve"> </w:t>
            </w:r>
          </w:p>
        </w:tc>
        <w:tc>
          <w:tcPr>
            <w:tcW w:w="2501" w:type="dxa"/>
            <w:tcBorders>
              <w:top w:val="nil"/>
              <w:bottom w:val="nil"/>
            </w:tcBorders>
          </w:tcPr>
          <w:p w14:paraId="7A4B3F24" w14:textId="77777777" w:rsidR="00A71EEF" w:rsidRDefault="0081115D">
            <w:pPr>
              <w:pStyle w:val="TableParagraph"/>
              <w:spacing w:before="125"/>
              <w:ind w:left="7"/>
              <w:rPr>
                <w:sz w:val="21"/>
              </w:rPr>
            </w:pPr>
            <w:r>
              <w:rPr>
                <w:sz w:val="21"/>
              </w:rPr>
              <w:t>布、油布、油纸及其制</w:t>
            </w:r>
          </w:p>
        </w:tc>
      </w:tr>
      <w:tr w:rsidR="00A71EEF" w14:paraId="4B8A4FFB" w14:textId="77777777">
        <w:trPr>
          <w:trHeight w:val="436"/>
        </w:trPr>
        <w:tc>
          <w:tcPr>
            <w:tcW w:w="1212" w:type="dxa"/>
            <w:tcBorders>
              <w:top w:val="nil"/>
              <w:bottom w:val="nil"/>
            </w:tcBorders>
          </w:tcPr>
          <w:p w14:paraId="3D8A18DB" w14:textId="77777777" w:rsidR="00A71EEF" w:rsidRDefault="0081115D">
            <w:pPr>
              <w:pStyle w:val="TableParagraph"/>
              <w:spacing w:before="130"/>
              <w:ind w:right="369"/>
              <w:jc w:val="right"/>
              <w:rPr>
                <w:sz w:val="24"/>
              </w:rPr>
            </w:pPr>
            <w:r>
              <w:rPr>
                <w:sz w:val="21"/>
              </w:rPr>
              <w:t>级</w:t>
            </w:r>
            <w:r>
              <w:rPr>
                <w:sz w:val="24"/>
              </w:rPr>
              <w:t xml:space="preserve"> </w:t>
            </w:r>
          </w:p>
        </w:tc>
        <w:tc>
          <w:tcPr>
            <w:tcW w:w="4683" w:type="dxa"/>
            <w:tcBorders>
              <w:top w:val="nil"/>
            </w:tcBorders>
          </w:tcPr>
          <w:p w14:paraId="75E852FC" w14:textId="77777777" w:rsidR="00A71EEF" w:rsidRDefault="00A71EEF">
            <w:pPr>
              <w:pStyle w:val="TableParagraph"/>
              <w:rPr>
                <w:rFonts w:ascii="Times New Roman"/>
                <w:sz w:val="20"/>
              </w:rPr>
            </w:pPr>
          </w:p>
        </w:tc>
        <w:tc>
          <w:tcPr>
            <w:tcW w:w="2501" w:type="dxa"/>
            <w:tcBorders>
              <w:top w:val="nil"/>
            </w:tcBorders>
          </w:tcPr>
          <w:p w14:paraId="6CC48E0C" w14:textId="77777777" w:rsidR="00A71EEF" w:rsidRDefault="0081115D">
            <w:pPr>
              <w:pStyle w:val="TableParagraph"/>
              <w:spacing w:before="125"/>
              <w:ind w:left="7"/>
              <w:rPr>
                <w:sz w:val="24"/>
              </w:rPr>
            </w:pPr>
            <w:r>
              <w:rPr>
                <w:sz w:val="21"/>
              </w:rPr>
              <w:t>品，油绸及其制品库房</w:t>
            </w:r>
            <w:r>
              <w:rPr>
                <w:sz w:val="24"/>
              </w:rPr>
              <w:t xml:space="preserve"> </w:t>
            </w:r>
          </w:p>
        </w:tc>
      </w:tr>
      <w:tr w:rsidR="00A71EEF" w14:paraId="5E4AFAE3" w14:textId="77777777">
        <w:trPr>
          <w:trHeight w:val="437"/>
        </w:trPr>
        <w:tc>
          <w:tcPr>
            <w:tcW w:w="1212" w:type="dxa"/>
            <w:tcBorders>
              <w:top w:val="nil"/>
              <w:bottom w:val="nil"/>
            </w:tcBorders>
          </w:tcPr>
          <w:p w14:paraId="142B2023" w14:textId="77777777" w:rsidR="00A71EEF" w:rsidRDefault="00A71EEF">
            <w:pPr>
              <w:pStyle w:val="TableParagraph"/>
              <w:rPr>
                <w:rFonts w:ascii="Times New Roman"/>
                <w:sz w:val="20"/>
              </w:rPr>
            </w:pPr>
          </w:p>
        </w:tc>
        <w:tc>
          <w:tcPr>
            <w:tcW w:w="4683" w:type="dxa"/>
            <w:tcBorders>
              <w:bottom w:val="nil"/>
            </w:tcBorders>
          </w:tcPr>
          <w:p w14:paraId="557C8AEC" w14:textId="77777777" w:rsidR="00A71EEF" w:rsidRDefault="00A71EEF">
            <w:pPr>
              <w:pStyle w:val="TableParagraph"/>
              <w:rPr>
                <w:rFonts w:ascii="Times New Roman"/>
                <w:sz w:val="20"/>
              </w:rPr>
            </w:pPr>
          </w:p>
        </w:tc>
        <w:tc>
          <w:tcPr>
            <w:tcW w:w="2501" w:type="dxa"/>
            <w:tcBorders>
              <w:bottom w:val="nil"/>
            </w:tcBorders>
          </w:tcPr>
          <w:p w14:paraId="25EA6005" w14:textId="77777777" w:rsidR="00A71EEF" w:rsidRDefault="00A71EEF">
            <w:pPr>
              <w:pStyle w:val="TableParagraph"/>
              <w:spacing w:before="11"/>
              <w:rPr>
                <w:b/>
                <w:sz w:val="14"/>
              </w:rPr>
            </w:pPr>
          </w:p>
          <w:p w14:paraId="2B7262F4" w14:textId="77777777" w:rsidR="00A71EEF" w:rsidRDefault="0081115D">
            <w:pPr>
              <w:pStyle w:val="TableParagraph"/>
              <w:spacing w:line="227" w:lineRule="exact"/>
              <w:ind w:left="7"/>
              <w:rPr>
                <w:sz w:val="21"/>
              </w:rPr>
            </w:pPr>
            <w:r>
              <w:rPr>
                <w:sz w:val="21"/>
              </w:rPr>
              <w:t xml:space="preserve">8. </w:t>
            </w:r>
            <w:r>
              <w:rPr>
                <w:sz w:val="21"/>
              </w:rPr>
              <w:t>酒精度为</w:t>
            </w:r>
            <w:r>
              <w:rPr>
                <w:sz w:val="21"/>
              </w:rPr>
              <w:t xml:space="preserve"> 60 </w:t>
            </w:r>
            <w:r>
              <w:rPr>
                <w:sz w:val="21"/>
              </w:rPr>
              <w:t>度以上的</w:t>
            </w:r>
          </w:p>
        </w:tc>
      </w:tr>
      <w:tr w:rsidR="00A71EEF" w14:paraId="4ED7A4C1" w14:textId="77777777">
        <w:trPr>
          <w:trHeight w:val="251"/>
        </w:trPr>
        <w:tc>
          <w:tcPr>
            <w:tcW w:w="1212" w:type="dxa"/>
            <w:tcBorders>
              <w:top w:val="nil"/>
              <w:bottom w:val="nil"/>
            </w:tcBorders>
          </w:tcPr>
          <w:p w14:paraId="7D87C4E8" w14:textId="77777777" w:rsidR="00A71EEF" w:rsidRDefault="00A71EEF">
            <w:pPr>
              <w:pStyle w:val="TableParagraph"/>
              <w:rPr>
                <w:rFonts w:ascii="Times New Roman"/>
                <w:sz w:val="18"/>
              </w:rPr>
            </w:pPr>
          </w:p>
        </w:tc>
        <w:tc>
          <w:tcPr>
            <w:tcW w:w="4683" w:type="dxa"/>
            <w:tcBorders>
              <w:top w:val="nil"/>
              <w:bottom w:val="nil"/>
            </w:tcBorders>
          </w:tcPr>
          <w:p w14:paraId="5C99EE71" w14:textId="77777777" w:rsidR="00A71EEF" w:rsidRDefault="0081115D">
            <w:pPr>
              <w:pStyle w:val="TableParagraph"/>
              <w:spacing w:before="3" w:line="229" w:lineRule="exact"/>
              <w:ind w:left="4"/>
              <w:rPr>
                <w:sz w:val="24"/>
              </w:rPr>
            </w:pPr>
            <w:r>
              <w:rPr>
                <w:sz w:val="21"/>
              </w:rPr>
              <w:t xml:space="preserve">8. </w:t>
            </w:r>
            <w:r>
              <w:rPr>
                <w:sz w:val="21"/>
              </w:rPr>
              <w:t>液化石油气灌瓶间</w:t>
            </w:r>
            <w:r>
              <w:rPr>
                <w:sz w:val="24"/>
              </w:rPr>
              <w:t xml:space="preserve"> </w:t>
            </w:r>
          </w:p>
        </w:tc>
        <w:tc>
          <w:tcPr>
            <w:tcW w:w="2501" w:type="dxa"/>
            <w:tcBorders>
              <w:top w:val="nil"/>
              <w:bottom w:val="nil"/>
            </w:tcBorders>
          </w:tcPr>
          <w:p w14:paraId="185D5020" w14:textId="77777777" w:rsidR="00A71EEF" w:rsidRDefault="00A71EEF">
            <w:pPr>
              <w:pStyle w:val="TableParagraph"/>
              <w:rPr>
                <w:rFonts w:ascii="Times New Roman"/>
                <w:sz w:val="18"/>
              </w:rPr>
            </w:pPr>
          </w:p>
        </w:tc>
      </w:tr>
      <w:tr w:rsidR="00A71EEF" w14:paraId="14B6BA91" w14:textId="77777777">
        <w:trPr>
          <w:trHeight w:val="309"/>
        </w:trPr>
        <w:tc>
          <w:tcPr>
            <w:tcW w:w="1212" w:type="dxa"/>
            <w:tcBorders>
              <w:top w:val="nil"/>
              <w:bottom w:val="nil"/>
            </w:tcBorders>
          </w:tcPr>
          <w:p w14:paraId="41D864BE" w14:textId="77777777" w:rsidR="00A71EEF" w:rsidRDefault="00A71EEF">
            <w:pPr>
              <w:pStyle w:val="TableParagraph"/>
              <w:rPr>
                <w:rFonts w:ascii="Times New Roman"/>
                <w:sz w:val="20"/>
              </w:rPr>
            </w:pPr>
          </w:p>
        </w:tc>
        <w:tc>
          <w:tcPr>
            <w:tcW w:w="4683" w:type="dxa"/>
            <w:tcBorders>
              <w:top w:val="nil"/>
            </w:tcBorders>
          </w:tcPr>
          <w:p w14:paraId="259DA4B1" w14:textId="77777777" w:rsidR="00A71EEF" w:rsidRDefault="00A71EEF">
            <w:pPr>
              <w:pStyle w:val="TableParagraph"/>
              <w:rPr>
                <w:rFonts w:ascii="Times New Roman"/>
                <w:sz w:val="20"/>
              </w:rPr>
            </w:pPr>
          </w:p>
        </w:tc>
        <w:tc>
          <w:tcPr>
            <w:tcW w:w="2501" w:type="dxa"/>
            <w:tcBorders>
              <w:top w:val="nil"/>
            </w:tcBorders>
          </w:tcPr>
          <w:p w14:paraId="2BC3E1B6" w14:textId="77777777" w:rsidR="00A71EEF" w:rsidRDefault="0081115D">
            <w:pPr>
              <w:pStyle w:val="TableParagraph"/>
              <w:spacing w:before="1"/>
              <w:ind w:left="7"/>
              <w:rPr>
                <w:sz w:val="24"/>
              </w:rPr>
            </w:pPr>
            <w:r>
              <w:rPr>
                <w:sz w:val="21"/>
              </w:rPr>
              <w:t>白酒库房</w:t>
            </w:r>
            <w:r>
              <w:rPr>
                <w:sz w:val="24"/>
              </w:rPr>
              <w:t xml:space="preserve"> </w:t>
            </w:r>
          </w:p>
        </w:tc>
      </w:tr>
      <w:tr w:rsidR="00A71EEF" w14:paraId="691679C3" w14:textId="77777777">
        <w:trPr>
          <w:trHeight w:val="439"/>
        </w:trPr>
        <w:tc>
          <w:tcPr>
            <w:tcW w:w="1212" w:type="dxa"/>
            <w:tcBorders>
              <w:top w:val="nil"/>
              <w:bottom w:val="nil"/>
            </w:tcBorders>
          </w:tcPr>
          <w:p w14:paraId="41201009" w14:textId="77777777" w:rsidR="00A71EEF" w:rsidRDefault="00A71EEF">
            <w:pPr>
              <w:pStyle w:val="TableParagraph"/>
              <w:rPr>
                <w:rFonts w:ascii="Times New Roman"/>
                <w:sz w:val="20"/>
              </w:rPr>
            </w:pPr>
          </w:p>
        </w:tc>
        <w:tc>
          <w:tcPr>
            <w:tcW w:w="4683" w:type="dxa"/>
            <w:tcBorders>
              <w:bottom w:val="nil"/>
            </w:tcBorders>
          </w:tcPr>
          <w:p w14:paraId="06140E6D" w14:textId="77777777" w:rsidR="00A71EEF" w:rsidRDefault="00A71EEF">
            <w:pPr>
              <w:pStyle w:val="TableParagraph"/>
              <w:rPr>
                <w:b/>
                <w:sz w:val="15"/>
              </w:rPr>
            </w:pPr>
          </w:p>
          <w:p w14:paraId="4A7A2751" w14:textId="77777777" w:rsidR="00A71EEF" w:rsidRDefault="0081115D">
            <w:pPr>
              <w:pStyle w:val="TableParagraph"/>
              <w:spacing w:before="1" w:line="227" w:lineRule="exact"/>
              <w:ind w:left="4"/>
              <w:rPr>
                <w:sz w:val="21"/>
              </w:rPr>
            </w:pPr>
            <w:r>
              <w:rPr>
                <w:sz w:val="21"/>
              </w:rPr>
              <w:t xml:space="preserve">9. </w:t>
            </w:r>
            <w:r>
              <w:rPr>
                <w:sz w:val="21"/>
              </w:rPr>
              <w:t>天然气、石油伴生气、水煤气或焦炉煤气的净</w:t>
            </w:r>
          </w:p>
        </w:tc>
        <w:tc>
          <w:tcPr>
            <w:tcW w:w="2501" w:type="dxa"/>
            <w:tcBorders>
              <w:bottom w:val="nil"/>
            </w:tcBorders>
          </w:tcPr>
          <w:p w14:paraId="4B431F59" w14:textId="77777777" w:rsidR="00A71EEF" w:rsidRDefault="00A71EEF">
            <w:pPr>
              <w:pStyle w:val="TableParagraph"/>
              <w:rPr>
                <w:rFonts w:ascii="Times New Roman"/>
                <w:sz w:val="20"/>
              </w:rPr>
            </w:pPr>
          </w:p>
        </w:tc>
      </w:tr>
      <w:tr w:rsidR="00A71EEF" w14:paraId="56C91217" w14:textId="77777777">
        <w:trPr>
          <w:trHeight w:val="251"/>
        </w:trPr>
        <w:tc>
          <w:tcPr>
            <w:tcW w:w="1212" w:type="dxa"/>
            <w:tcBorders>
              <w:top w:val="nil"/>
              <w:bottom w:val="nil"/>
            </w:tcBorders>
          </w:tcPr>
          <w:p w14:paraId="1E4A2547" w14:textId="77777777" w:rsidR="00A71EEF" w:rsidRDefault="00A71EEF">
            <w:pPr>
              <w:pStyle w:val="TableParagraph"/>
              <w:rPr>
                <w:rFonts w:ascii="Times New Roman"/>
                <w:sz w:val="18"/>
              </w:rPr>
            </w:pPr>
          </w:p>
        </w:tc>
        <w:tc>
          <w:tcPr>
            <w:tcW w:w="4683" w:type="dxa"/>
            <w:tcBorders>
              <w:top w:val="nil"/>
              <w:bottom w:val="nil"/>
            </w:tcBorders>
          </w:tcPr>
          <w:p w14:paraId="1D84DCCD" w14:textId="77777777" w:rsidR="00A71EEF" w:rsidRDefault="00A71EEF">
            <w:pPr>
              <w:pStyle w:val="TableParagraph"/>
              <w:rPr>
                <w:rFonts w:ascii="Times New Roman"/>
                <w:sz w:val="18"/>
              </w:rPr>
            </w:pPr>
          </w:p>
        </w:tc>
        <w:tc>
          <w:tcPr>
            <w:tcW w:w="2501" w:type="dxa"/>
            <w:tcBorders>
              <w:top w:val="nil"/>
              <w:bottom w:val="nil"/>
            </w:tcBorders>
          </w:tcPr>
          <w:p w14:paraId="0D176D4E" w14:textId="77777777" w:rsidR="00A71EEF" w:rsidRDefault="0081115D">
            <w:pPr>
              <w:pStyle w:val="TableParagraph"/>
              <w:spacing w:line="232" w:lineRule="exact"/>
              <w:ind w:left="7"/>
              <w:rPr>
                <w:sz w:val="24"/>
              </w:rPr>
            </w:pPr>
            <w:r>
              <w:rPr>
                <w:sz w:val="21"/>
              </w:rPr>
              <w:t xml:space="preserve"> </w:t>
            </w:r>
            <w:r>
              <w:rPr>
                <w:sz w:val="21"/>
              </w:rPr>
              <w:t xml:space="preserve"> </w:t>
            </w:r>
            <w:r>
              <w:rPr>
                <w:sz w:val="24"/>
              </w:rPr>
              <w:t xml:space="preserve"> </w:t>
            </w:r>
          </w:p>
        </w:tc>
      </w:tr>
      <w:tr w:rsidR="00A71EEF" w14:paraId="3494312D" w14:textId="77777777">
        <w:trPr>
          <w:trHeight w:val="309"/>
        </w:trPr>
        <w:tc>
          <w:tcPr>
            <w:tcW w:w="1212" w:type="dxa"/>
            <w:tcBorders>
              <w:top w:val="nil"/>
              <w:bottom w:val="nil"/>
            </w:tcBorders>
          </w:tcPr>
          <w:p w14:paraId="7AC7E481" w14:textId="77777777" w:rsidR="00A71EEF" w:rsidRDefault="00A71EEF">
            <w:pPr>
              <w:pStyle w:val="TableParagraph"/>
              <w:rPr>
                <w:rFonts w:ascii="Times New Roman"/>
                <w:sz w:val="20"/>
              </w:rPr>
            </w:pPr>
          </w:p>
        </w:tc>
        <w:tc>
          <w:tcPr>
            <w:tcW w:w="4683" w:type="dxa"/>
            <w:tcBorders>
              <w:top w:val="nil"/>
            </w:tcBorders>
          </w:tcPr>
          <w:p w14:paraId="61961522" w14:textId="77777777" w:rsidR="00A71EEF" w:rsidRDefault="0081115D">
            <w:pPr>
              <w:pStyle w:val="TableParagraph"/>
              <w:spacing w:before="1"/>
              <w:ind w:left="4"/>
              <w:rPr>
                <w:sz w:val="24"/>
              </w:rPr>
            </w:pPr>
            <w:r>
              <w:rPr>
                <w:sz w:val="21"/>
              </w:rPr>
              <w:t>化（如脱硫）厂房压缩机室及鼓风机室</w:t>
            </w:r>
            <w:r>
              <w:rPr>
                <w:sz w:val="24"/>
              </w:rPr>
              <w:t xml:space="preserve"> </w:t>
            </w:r>
          </w:p>
        </w:tc>
        <w:tc>
          <w:tcPr>
            <w:tcW w:w="2501" w:type="dxa"/>
            <w:tcBorders>
              <w:top w:val="nil"/>
            </w:tcBorders>
          </w:tcPr>
          <w:p w14:paraId="55B5A552" w14:textId="77777777" w:rsidR="00A71EEF" w:rsidRDefault="00A71EEF">
            <w:pPr>
              <w:pStyle w:val="TableParagraph"/>
              <w:rPr>
                <w:rFonts w:ascii="Times New Roman"/>
                <w:sz w:val="20"/>
              </w:rPr>
            </w:pPr>
          </w:p>
        </w:tc>
      </w:tr>
      <w:tr w:rsidR="00A71EEF" w14:paraId="7B8674B9" w14:textId="77777777">
        <w:trPr>
          <w:trHeight w:val="501"/>
        </w:trPr>
        <w:tc>
          <w:tcPr>
            <w:tcW w:w="1212" w:type="dxa"/>
            <w:tcBorders>
              <w:top w:val="nil"/>
              <w:bottom w:val="nil"/>
            </w:tcBorders>
          </w:tcPr>
          <w:p w14:paraId="342F64E3" w14:textId="77777777" w:rsidR="00A71EEF" w:rsidRDefault="00A71EEF">
            <w:pPr>
              <w:pStyle w:val="TableParagraph"/>
              <w:rPr>
                <w:rFonts w:ascii="Times New Roman"/>
                <w:sz w:val="20"/>
              </w:rPr>
            </w:pPr>
          </w:p>
        </w:tc>
        <w:tc>
          <w:tcPr>
            <w:tcW w:w="4683" w:type="dxa"/>
          </w:tcPr>
          <w:p w14:paraId="193E34A1" w14:textId="77777777" w:rsidR="00A71EEF" w:rsidRDefault="0081115D">
            <w:pPr>
              <w:pStyle w:val="TableParagraph"/>
              <w:spacing w:before="190"/>
              <w:ind w:left="4"/>
              <w:rPr>
                <w:sz w:val="24"/>
              </w:rPr>
            </w:pPr>
            <w:r>
              <w:rPr>
                <w:sz w:val="21"/>
              </w:rPr>
              <w:t xml:space="preserve">10. </w:t>
            </w:r>
            <w:r>
              <w:rPr>
                <w:sz w:val="21"/>
              </w:rPr>
              <w:t>乙炔站、氢气站、煤气站、氧气站</w:t>
            </w:r>
            <w:r>
              <w:rPr>
                <w:sz w:val="24"/>
              </w:rPr>
              <w:t xml:space="preserve"> </w:t>
            </w:r>
          </w:p>
        </w:tc>
        <w:tc>
          <w:tcPr>
            <w:tcW w:w="2501" w:type="dxa"/>
          </w:tcPr>
          <w:p w14:paraId="0275C801" w14:textId="77777777" w:rsidR="00A71EEF" w:rsidRDefault="0081115D">
            <w:pPr>
              <w:pStyle w:val="TableParagraph"/>
              <w:spacing w:before="160"/>
              <w:ind w:left="7"/>
              <w:rPr>
                <w:sz w:val="24"/>
              </w:rPr>
            </w:pPr>
            <w:r>
              <w:rPr>
                <w:sz w:val="21"/>
              </w:rPr>
              <w:t xml:space="preserve"> </w:t>
            </w:r>
            <w:r>
              <w:rPr>
                <w:sz w:val="21"/>
              </w:rPr>
              <w:t xml:space="preserve"> </w:t>
            </w:r>
            <w:r>
              <w:rPr>
                <w:sz w:val="24"/>
              </w:rPr>
              <w:t xml:space="preserve"> </w:t>
            </w:r>
          </w:p>
        </w:tc>
      </w:tr>
      <w:tr w:rsidR="00A71EEF" w14:paraId="1C4272F5" w14:textId="77777777">
        <w:trPr>
          <w:trHeight w:val="498"/>
        </w:trPr>
        <w:tc>
          <w:tcPr>
            <w:tcW w:w="1212" w:type="dxa"/>
            <w:tcBorders>
              <w:top w:val="nil"/>
              <w:bottom w:val="nil"/>
            </w:tcBorders>
          </w:tcPr>
          <w:p w14:paraId="7038DD69" w14:textId="77777777" w:rsidR="00A71EEF" w:rsidRDefault="00A71EEF">
            <w:pPr>
              <w:pStyle w:val="TableParagraph"/>
              <w:rPr>
                <w:rFonts w:ascii="Times New Roman"/>
                <w:sz w:val="20"/>
              </w:rPr>
            </w:pPr>
          </w:p>
        </w:tc>
        <w:tc>
          <w:tcPr>
            <w:tcW w:w="4683" w:type="dxa"/>
          </w:tcPr>
          <w:p w14:paraId="5092EDD2" w14:textId="77777777" w:rsidR="00A71EEF" w:rsidRDefault="0081115D">
            <w:pPr>
              <w:pStyle w:val="TableParagraph"/>
              <w:spacing w:before="190"/>
              <w:ind w:left="4"/>
              <w:rPr>
                <w:sz w:val="24"/>
              </w:rPr>
            </w:pPr>
            <w:r>
              <w:rPr>
                <w:sz w:val="21"/>
              </w:rPr>
              <w:t xml:space="preserve">11. </w:t>
            </w:r>
            <w:r>
              <w:rPr>
                <w:sz w:val="21"/>
              </w:rPr>
              <w:t>硝化棉、赛璐珞厂房及其应用部位</w:t>
            </w:r>
            <w:r>
              <w:rPr>
                <w:sz w:val="24"/>
              </w:rPr>
              <w:t xml:space="preserve"> </w:t>
            </w:r>
          </w:p>
        </w:tc>
        <w:tc>
          <w:tcPr>
            <w:tcW w:w="2501" w:type="dxa"/>
          </w:tcPr>
          <w:p w14:paraId="2FBA61B0" w14:textId="77777777" w:rsidR="00A71EEF" w:rsidRDefault="0081115D">
            <w:pPr>
              <w:pStyle w:val="TableParagraph"/>
              <w:spacing w:before="160"/>
              <w:ind w:left="7"/>
              <w:rPr>
                <w:sz w:val="24"/>
              </w:rPr>
            </w:pPr>
            <w:r>
              <w:rPr>
                <w:sz w:val="21"/>
              </w:rPr>
              <w:t xml:space="preserve"> </w:t>
            </w:r>
            <w:r>
              <w:rPr>
                <w:sz w:val="21"/>
              </w:rPr>
              <w:t xml:space="preserve"> </w:t>
            </w:r>
            <w:r>
              <w:rPr>
                <w:sz w:val="24"/>
              </w:rPr>
              <w:t xml:space="preserve"> </w:t>
            </w:r>
          </w:p>
        </w:tc>
      </w:tr>
      <w:tr w:rsidR="00A71EEF" w14:paraId="02B67059" w14:textId="77777777">
        <w:trPr>
          <w:trHeight w:val="501"/>
        </w:trPr>
        <w:tc>
          <w:tcPr>
            <w:tcW w:w="1212" w:type="dxa"/>
            <w:tcBorders>
              <w:top w:val="nil"/>
              <w:bottom w:val="nil"/>
            </w:tcBorders>
          </w:tcPr>
          <w:p w14:paraId="3C40E890" w14:textId="77777777" w:rsidR="00A71EEF" w:rsidRDefault="00A71EEF">
            <w:pPr>
              <w:pStyle w:val="TableParagraph"/>
              <w:rPr>
                <w:rFonts w:ascii="Times New Roman"/>
                <w:sz w:val="20"/>
              </w:rPr>
            </w:pPr>
          </w:p>
        </w:tc>
        <w:tc>
          <w:tcPr>
            <w:tcW w:w="4683" w:type="dxa"/>
          </w:tcPr>
          <w:p w14:paraId="2126A1B3" w14:textId="77777777" w:rsidR="00A71EEF" w:rsidRDefault="0081115D">
            <w:pPr>
              <w:pStyle w:val="TableParagraph"/>
              <w:spacing w:before="190"/>
              <w:ind w:left="4"/>
              <w:rPr>
                <w:sz w:val="24"/>
              </w:rPr>
            </w:pPr>
            <w:r>
              <w:rPr>
                <w:sz w:val="21"/>
              </w:rPr>
              <w:t xml:space="preserve">12. </w:t>
            </w:r>
            <w:r>
              <w:rPr>
                <w:sz w:val="21"/>
              </w:rPr>
              <w:t>黄磷、赤磷制备厂房及其应用部位</w:t>
            </w:r>
            <w:r>
              <w:rPr>
                <w:sz w:val="24"/>
              </w:rPr>
              <w:t xml:space="preserve"> </w:t>
            </w:r>
          </w:p>
        </w:tc>
        <w:tc>
          <w:tcPr>
            <w:tcW w:w="2501" w:type="dxa"/>
          </w:tcPr>
          <w:p w14:paraId="62160B25" w14:textId="77777777" w:rsidR="00A71EEF" w:rsidRDefault="0081115D">
            <w:pPr>
              <w:pStyle w:val="TableParagraph"/>
              <w:spacing w:before="160"/>
              <w:ind w:left="7"/>
              <w:rPr>
                <w:sz w:val="24"/>
              </w:rPr>
            </w:pPr>
            <w:r>
              <w:rPr>
                <w:sz w:val="21"/>
              </w:rPr>
              <w:t xml:space="preserve"> </w:t>
            </w:r>
            <w:r>
              <w:rPr>
                <w:sz w:val="21"/>
              </w:rPr>
              <w:t xml:space="preserve"> </w:t>
            </w:r>
            <w:r>
              <w:rPr>
                <w:sz w:val="24"/>
              </w:rPr>
              <w:t xml:space="preserve"> </w:t>
            </w:r>
          </w:p>
        </w:tc>
      </w:tr>
      <w:tr w:rsidR="00A71EEF" w14:paraId="552F102F" w14:textId="77777777">
        <w:trPr>
          <w:trHeight w:val="498"/>
        </w:trPr>
        <w:tc>
          <w:tcPr>
            <w:tcW w:w="1212" w:type="dxa"/>
            <w:tcBorders>
              <w:top w:val="nil"/>
              <w:bottom w:val="nil"/>
            </w:tcBorders>
          </w:tcPr>
          <w:p w14:paraId="2C00BB02" w14:textId="77777777" w:rsidR="00A71EEF" w:rsidRDefault="00A71EEF">
            <w:pPr>
              <w:pStyle w:val="TableParagraph"/>
              <w:rPr>
                <w:rFonts w:ascii="Times New Roman"/>
                <w:sz w:val="20"/>
              </w:rPr>
            </w:pPr>
          </w:p>
        </w:tc>
        <w:tc>
          <w:tcPr>
            <w:tcW w:w="4683" w:type="dxa"/>
          </w:tcPr>
          <w:p w14:paraId="331309CE" w14:textId="77777777" w:rsidR="00A71EEF" w:rsidRDefault="0081115D">
            <w:pPr>
              <w:pStyle w:val="TableParagraph"/>
              <w:spacing w:before="190"/>
              <w:ind w:left="4"/>
              <w:rPr>
                <w:sz w:val="24"/>
              </w:rPr>
            </w:pPr>
            <w:r>
              <w:rPr>
                <w:sz w:val="21"/>
              </w:rPr>
              <w:t xml:space="preserve">13. </w:t>
            </w:r>
            <w:r>
              <w:rPr>
                <w:sz w:val="21"/>
              </w:rPr>
              <w:t>樟脑或松香提炼厂房，焦化厂精萘厂房</w:t>
            </w:r>
            <w:r>
              <w:rPr>
                <w:sz w:val="24"/>
              </w:rPr>
              <w:t xml:space="preserve"> </w:t>
            </w:r>
          </w:p>
        </w:tc>
        <w:tc>
          <w:tcPr>
            <w:tcW w:w="2501" w:type="dxa"/>
          </w:tcPr>
          <w:p w14:paraId="7C6BF8A7" w14:textId="77777777" w:rsidR="00A71EEF" w:rsidRDefault="0081115D">
            <w:pPr>
              <w:pStyle w:val="TableParagraph"/>
              <w:spacing w:before="160"/>
              <w:ind w:left="7"/>
              <w:rPr>
                <w:sz w:val="24"/>
              </w:rPr>
            </w:pPr>
            <w:r>
              <w:rPr>
                <w:sz w:val="21"/>
              </w:rPr>
              <w:t xml:space="preserve"> </w:t>
            </w:r>
            <w:r>
              <w:rPr>
                <w:sz w:val="21"/>
              </w:rPr>
              <w:t xml:space="preserve"> </w:t>
            </w:r>
            <w:r>
              <w:rPr>
                <w:sz w:val="24"/>
              </w:rPr>
              <w:t xml:space="preserve"> </w:t>
            </w:r>
          </w:p>
        </w:tc>
      </w:tr>
      <w:tr w:rsidR="00A71EEF" w14:paraId="44BFA7B6" w14:textId="77777777">
        <w:trPr>
          <w:trHeight w:val="501"/>
        </w:trPr>
        <w:tc>
          <w:tcPr>
            <w:tcW w:w="1212" w:type="dxa"/>
            <w:tcBorders>
              <w:top w:val="nil"/>
            </w:tcBorders>
          </w:tcPr>
          <w:p w14:paraId="098CBC1C" w14:textId="77777777" w:rsidR="00A71EEF" w:rsidRDefault="00A71EEF">
            <w:pPr>
              <w:pStyle w:val="TableParagraph"/>
              <w:rPr>
                <w:rFonts w:ascii="Times New Roman"/>
                <w:sz w:val="20"/>
              </w:rPr>
            </w:pPr>
          </w:p>
        </w:tc>
        <w:tc>
          <w:tcPr>
            <w:tcW w:w="4683" w:type="dxa"/>
          </w:tcPr>
          <w:p w14:paraId="77193A43" w14:textId="77777777" w:rsidR="00A71EEF" w:rsidRDefault="0081115D">
            <w:pPr>
              <w:pStyle w:val="TableParagraph"/>
              <w:spacing w:before="190"/>
              <w:ind w:left="4"/>
              <w:rPr>
                <w:sz w:val="24"/>
              </w:rPr>
            </w:pPr>
            <w:r>
              <w:rPr>
                <w:sz w:val="21"/>
              </w:rPr>
              <w:t xml:space="preserve">14. </w:t>
            </w:r>
            <w:r>
              <w:rPr>
                <w:sz w:val="21"/>
              </w:rPr>
              <w:t>煤粉厂房和面粉厂房的碾磨部位</w:t>
            </w:r>
            <w:r>
              <w:rPr>
                <w:sz w:val="24"/>
              </w:rPr>
              <w:t xml:space="preserve"> </w:t>
            </w:r>
          </w:p>
        </w:tc>
        <w:tc>
          <w:tcPr>
            <w:tcW w:w="2501" w:type="dxa"/>
          </w:tcPr>
          <w:p w14:paraId="1DDD101B" w14:textId="77777777" w:rsidR="00A71EEF" w:rsidRDefault="0081115D">
            <w:pPr>
              <w:pStyle w:val="TableParagraph"/>
              <w:spacing w:before="160"/>
              <w:ind w:left="7"/>
              <w:rPr>
                <w:sz w:val="24"/>
              </w:rPr>
            </w:pPr>
            <w:r>
              <w:rPr>
                <w:sz w:val="21"/>
              </w:rPr>
              <w:t xml:space="preserve"> </w:t>
            </w:r>
            <w:r>
              <w:rPr>
                <w:sz w:val="21"/>
              </w:rPr>
              <w:t xml:space="preserve"> </w:t>
            </w:r>
            <w:r>
              <w:rPr>
                <w:sz w:val="24"/>
              </w:rPr>
              <w:t xml:space="preserve"> </w:t>
            </w:r>
          </w:p>
        </w:tc>
      </w:tr>
    </w:tbl>
    <w:p w14:paraId="0791CB09" w14:textId="77777777" w:rsidR="00A71EEF" w:rsidRDefault="00A71EEF">
      <w:pPr>
        <w:rPr>
          <w:sz w:val="24"/>
        </w:rPr>
        <w:sectPr w:rsidR="00A71EEF">
          <w:pgSz w:w="11910" w:h="16850"/>
          <w:pgMar w:top="1180" w:right="0" w:bottom="1420" w:left="1260" w:header="0" w:footer="1159" w:gutter="0"/>
          <w:cols w:space="720"/>
        </w:sectPr>
      </w:pP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2"/>
        <w:gridCol w:w="4683"/>
        <w:gridCol w:w="2501"/>
      </w:tblGrid>
      <w:tr w:rsidR="00A71EEF" w14:paraId="3CD9DC82" w14:textId="77777777">
        <w:trPr>
          <w:trHeight w:val="499"/>
        </w:trPr>
        <w:tc>
          <w:tcPr>
            <w:tcW w:w="1212" w:type="dxa"/>
            <w:vMerge w:val="restart"/>
          </w:tcPr>
          <w:p w14:paraId="7F26CA8B" w14:textId="77777777" w:rsidR="00A71EEF" w:rsidRDefault="00A71EEF">
            <w:pPr>
              <w:pStyle w:val="TableParagraph"/>
              <w:rPr>
                <w:rFonts w:ascii="Times New Roman"/>
                <w:sz w:val="20"/>
              </w:rPr>
            </w:pPr>
          </w:p>
        </w:tc>
        <w:tc>
          <w:tcPr>
            <w:tcW w:w="4683" w:type="dxa"/>
          </w:tcPr>
          <w:p w14:paraId="0E353222" w14:textId="77777777" w:rsidR="00A71EEF" w:rsidRDefault="00A71EEF">
            <w:pPr>
              <w:pStyle w:val="TableParagraph"/>
              <w:spacing w:before="8"/>
              <w:rPr>
                <w:b/>
                <w:sz w:val="14"/>
              </w:rPr>
            </w:pPr>
          </w:p>
          <w:p w14:paraId="29D0EABD" w14:textId="77777777" w:rsidR="00A71EEF" w:rsidRDefault="0081115D">
            <w:pPr>
              <w:pStyle w:val="TableParagraph"/>
              <w:ind w:left="4"/>
              <w:rPr>
                <w:sz w:val="21"/>
              </w:rPr>
            </w:pPr>
            <w:r>
              <w:rPr>
                <w:sz w:val="21"/>
              </w:rPr>
              <w:t xml:space="preserve">15. </w:t>
            </w:r>
            <w:r>
              <w:rPr>
                <w:sz w:val="21"/>
              </w:rPr>
              <w:t>谷物筒仓工作塔、亚麻厂的除尘器和过滤器室</w:t>
            </w:r>
          </w:p>
        </w:tc>
        <w:tc>
          <w:tcPr>
            <w:tcW w:w="2501" w:type="dxa"/>
          </w:tcPr>
          <w:p w14:paraId="4ECA2AD4" w14:textId="77777777" w:rsidR="00A71EEF" w:rsidRDefault="0081115D">
            <w:pPr>
              <w:pStyle w:val="TableParagraph"/>
              <w:spacing w:before="157"/>
              <w:ind w:left="7"/>
              <w:rPr>
                <w:sz w:val="24"/>
              </w:rPr>
            </w:pPr>
            <w:r>
              <w:rPr>
                <w:sz w:val="21"/>
              </w:rPr>
              <w:t xml:space="preserve"> </w:t>
            </w:r>
            <w:r>
              <w:rPr>
                <w:sz w:val="21"/>
              </w:rPr>
              <w:t xml:space="preserve"> </w:t>
            </w:r>
            <w:r>
              <w:rPr>
                <w:sz w:val="24"/>
              </w:rPr>
              <w:t xml:space="preserve"> </w:t>
            </w:r>
          </w:p>
        </w:tc>
      </w:tr>
      <w:tr w:rsidR="00A71EEF" w14:paraId="081C3318" w14:textId="77777777">
        <w:trPr>
          <w:trHeight w:val="501"/>
        </w:trPr>
        <w:tc>
          <w:tcPr>
            <w:tcW w:w="1212" w:type="dxa"/>
            <w:vMerge/>
            <w:tcBorders>
              <w:top w:val="nil"/>
            </w:tcBorders>
          </w:tcPr>
          <w:p w14:paraId="0CED4ABC" w14:textId="77777777" w:rsidR="00A71EEF" w:rsidRDefault="00A71EEF">
            <w:pPr>
              <w:rPr>
                <w:sz w:val="2"/>
                <w:szCs w:val="2"/>
              </w:rPr>
            </w:pPr>
          </w:p>
        </w:tc>
        <w:tc>
          <w:tcPr>
            <w:tcW w:w="4683" w:type="dxa"/>
          </w:tcPr>
          <w:p w14:paraId="0658CA2B" w14:textId="77777777" w:rsidR="00A71EEF" w:rsidRDefault="0081115D">
            <w:pPr>
              <w:pStyle w:val="TableParagraph"/>
              <w:spacing w:before="187"/>
              <w:ind w:left="4"/>
              <w:rPr>
                <w:sz w:val="24"/>
              </w:rPr>
            </w:pPr>
            <w:r>
              <w:rPr>
                <w:sz w:val="21"/>
              </w:rPr>
              <w:t xml:space="preserve">16. </w:t>
            </w:r>
            <w:r>
              <w:rPr>
                <w:sz w:val="21"/>
              </w:rPr>
              <w:t>氯酸钾厂房及其应用部位</w:t>
            </w:r>
            <w:r>
              <w:rPr>
                <w:sz w:val="24"/>
              </w:rPr>
              <w:t xml:space="preserve"> </w:t>
            </w:r>
          </w:p>
        </w:tc>
        <w:tc>
          <w:tcPr>
            <w:tcW w:w="2501" w:type="dxa"/>
          </w:tcPr>
          <w:p w14:paraId="17508C1F" w14:textId="77777777" w:rsidR="00A71EEF" w:rsidRDefault="0081115D">
            <w:pPr>
              <w:pStyle w:val="TableParagraph"/>
              <w:spacing w:before="157"/>
              <w:ind w:left="7"/>
              <w:rPr>
                <w:sz w:val="24"/>
              </w:rPr>
            </w:pPr>
            <w:r>
              <w:rPr>
                <w:sz w:val="21"/>
              </w:rPr>
              <w:t xml:space="preserve"> </w:t>
            </w:r>
            <w:r>
              <w:rPr>
                <w:sz w:val="21"/>
              </w:rPr>
              <w:t xml:space="preserve"> </w:t>
            </w:r>
            <w:r>
              <w:rPr>
                <w:sz w:val="24"/>
              </w:rPr>
              <w:t xml:space="preserve"> </w:t>
            </w:r>
          </w:p>
        </w:tc>
      </w:tr>
      <w:tr w:rsidR="00A71EEF" w14:paraId="34E0E5E2" w14:textId="77777777">
        <w:trPr>
          <w:trHeight w:val="498"/>
        </w:trPr>
        <w:tc>
          <w:tcPr>
            <w:tcW w:w="1212" w:type="dxa"/>
            <w:vMerge/>
            <w:tcBorders>
              <w:top w:val="nil"/>
            </w:tcBorders>
          </w:tcPr>
          <w:p w14:paraId="3CE0CB2D" w14:textId="77777777" w:rsidR="00A71EEF" w:rsidRDefault="00A71EEF">
            <w:pPr>
              <w:rPr>
                <w:sz w:val="2"/>
                <w:szCs w:val="2"/>
              </w:rPr>
            </w:pPr>
          </w:p>
        </w:tc>
        <w:tc>
          <w:tcPr>
            <w:tcW w:w="4683" w:type="dxa"/>
          </w:tcPr>
          <w:p w14:paraId="16DF64AD" w14:textId="77777777" w:rsidR="00A71EEF" w:rsidRDefault="0081115D">
            <w:pPr>
              <w:pStyle w:val="TableParagraph"/>
              <w:spacing w:before="187"/>
              <w:ind w:left="4"/>
              <w:rPr>
                <w:sz w:val="24"/>
              </w:rPr>
            </w:pPr>
            <w:r>
              <w:rPr>
                <w:sz w:val="21"/>
              </w:rPr>
              <w:t xml:space="preserve">17. </w:t>
            </w:r>
            <w:r>
              <w:rPr>
                <w:sz w:val="21"/>
              </w:rPr>
              <w:t>发烟硫酸或发烟硝酸浓缩部位</w:t>
            </w:r>
            <w:r>
              <w:rPr>
                <w:sz w:val="24"/>
              </w:rPr>
              <w:t xml:space="preserve"> </w:t>
            </w:r>
          </w:p>
        </w:tc>
        <w:tc>
          <w:tcPr>
            <w:tcW w:w="2501" w:type="dxa"/>
          </w:tcPr>
          <w:p w14:paraId="132606D5" w14:textId="77777777" w:rsidR="00A71EEF" w:rsidRDefault="0081115D">
            <w:pPr>
              <w:pStyle w:val="TableParagraph"/>
              <w:spacing w:before="157"/>
              <w:ind w:left="7"/>
              <w:rPr>
                <w:sz w:val="24"/>
              </w:rPr>
            </w:pPr>
            <w:r>
              <w:rPr>
                <w:sz w:val="21"/>
              </w:rPr>
              <w:t xml:space="preserve"> </w:t>
            </w:r>
            <w:r>
              <w:rPr>
                <w:sz w:val="21"/>
              </w:rPr>
              <w:t xml:space="preserve"> </w:t>
            </w:r>
            <w:r>
              <w:rPr>
                <w:sz w:val="24"/>
              </w:rPr>
              <w:t xml:space="preserve"> </w:t>
            </w:r>
          </w:p>
        </w:tc>
      </w:tr>
      <w:tr w:rsidR="00A71EEF" w14:paraId="7500A7BC" w14:textId="77777777">
        <w:trPr>
          <w:trHeight w:val="501"/>
        </w:trPr>
        <w:tc>
          <w:tcPr>
            <w:tcW w:w="1212" w:type="dxa"/>
            <w:vMerge/>
            <w:tcBorders>
              <w:top w:val="nil"/>
            </w:tcBorders>
          </w:tcPr>
          <w:p w14:paraId="32DFD409" w14:textId="77777777" w:rsidR="00A71EEF" w:rsidRDefault="00A71EEF">
            <w:pPr>
              <w:rPr>
                <w:sz w:val="2"/>
                <w:szCs w:val="2"/>
              </w:rPr>
            </w:pPr>
          </w:p>
        </w:tc>
        <w:tc>
          <w:tcPr>
            <w:tcW w:w="4683" w:type="dxa"/>
          </w:tcPr>
          <w:p w14:paraId="4FD63B4E" w14:textId="77777777" w:rsidR="00A71EEF" w:rsidRDefault="0081115D">
            <w:pPr>
              <w:pStyle w:val="TableParagraph"/>
              <w:spacing w:before="187"/>
              <w:ind w:left="4"/>
              <w:rPr>
                <w:sz w:val="24"/>
              </w:rPr>
            </w:pPr>
            <w:r>
              <w:rPr>
                <w:sz w:val="21"/>
              </w:rPr>
              <w:t xml:space="preserve">18. </w:t>
            </w:r>
            <w:r>
              <w:rPr>
                <w:sz w:val="21"/>
              </w:rPr>
              <w:t>高锰酸钾、重铬酸钠厂房</w:t>
            </w:r>
            <w:r>
              <w:rPr>
                <w:sz w:val="24"/>
              </w:rPr>
              <w:t xml:space="preserve"> </w:t>
            </w:r>
          </w:p>
        </w:tc>
        <w:tc>
          <w:tcPr>
            <w:tcW w:w="2501" w:type="dxa"/>
          </w:tcPr>
          <w:p w14:paraId="68ADF799" w14:textId="77777777" w:rsidR="00A71EEF" w:rsidRDefault="0081115D">
            <w:pPr>
              <w:pStyle w:val="TableParagraph"/>
              <w:spacing w:before="157"/>
              <w:ind w:left="7"/>
              <w:rPr>
                <w:sz w:val="24"/>
              </w:rPr>
            </w:pPr>
            <w:r>
              <w:rPr>
                <w:sz w:val="21"/>
              </w:rPr>
              <w:t xml:space="preserve"> </w:t>
            </w:r>
            <w:r>
              <w:rPr>
                <w:sz w:val="21"/>
              </w:rPr>
              <w:t xml:space="preserve"> </w:t>
            </w:r>
            <w:r>
              <w:rPr>
                <w:sz w:val="24"/>
              </w:rPr>
              <w:t xml:space="preserve"> </w:t>
            </w:r>
          </w:p>
        </w:tc>
      </w:tr>
      <w:tr w:rsidR="00A71EEF" w14:paraId="629B32A1" w14:textId="77777777">
        <w:trPr>
          <w:trHeight w:val="498"/>
        </w:trPr>
        <w:tc>
          <w:tcPr>
            <w:tcW w:w="1212" w:type="dxa"/>
            <w:vMerge/>
            <w:tcBorders>
              <w:top w:val="nil"/>
            </w:tcBorders>
          </w:tcPr>
          <w:p w14:paraId="352FBA81" w14:textId="77777777" w:rsidR="00A71EEF" w:rsidRDefault="00A71EEF">
            <w:pPr>
              <w:rPr>
                <w:sz w:val="2"/>
                <w:szCs w:val="2"/>
              </w:rPr>
            </w:pPr>
          </w:p>
        </w:tc>
        <w:tc>
          <w:tcPr>
            <w:tcW w:w="4683" w:type="dxa"/>
          </w:tcPr>
          <w:p w14:paraId="0312AD3A" w14:textId="77777777" w:rsidR="00A71EEF" w:rsidRDefault="0081115D">
            <w:pPr>
              <w:pStyle w:val="TableParagraph"/>
              <w:spacing w:before="187"/>
              <w:ind w:left="4"/>
              <w:rPr>
                <w:sz w:val="24"/>
              </w:rPr>
            </w:pPr>
            <w:r>
              <w:rPr>
                <w:sz w:val="21"/>
              </w:rPr>
              <w:t xml:space="preserve">19. </w:t>
            </w:r>
            <w:r>
              <w:rPr>
                <w:sz w:val="21"/>
              </w:rPr>
              <w:t>过氧化钠、过氧化钾、次氯酸钙厂房</w:t>
            </w:r>
            <w:r>
              <w:rPr>
                <w:sz w:val="24"/>
              </w:rPr>
              <w:t xml:space="preserve"> </w:t>
            </w:r>
          </w:p>
        </w:tc>
        <w:tc>
          <w:tcPr>
            <w:tcW w:w="2501" w:type="dxa"/>
          </w:tcPr>
          <w:p w14:paraId="7E8C2CAF" w14:textId="77777777" w:rsidR="00A71EEF" w:rsidRDefault="0081115D">
            <w:pPr>
              <w:pStyle w:val="TableParagraph"/>
              <w:spacing w:before="157"/>
              <w:ind w:left="7"/>
              <w:rPr>
                <w:sz w:val="24"/>
              </w:rPr>
            </w:pPr>
            <w:r>
              <w:rPr>
                <w:sz w:val="21"/>
              </w:rPr>
              <w:t xml:space="preserve"> </w:t>
            </w:r>
            <w:r>
              <w:rPr>
                <w:sz w:val="21"/>
              </w:rPr>
              <w:t xml:space="preserve"> </w:t>
            </w:r>
            <w:r>
              <w:rPr>
                <w:sz w:val="24"/>
              </w:rPr>
              <w:t xml:space="preserve"> </w:t>
            </w:r>
          </w:p>
        </w:tc>
      </w:tr>
      <w:tr w:rsidR="00A71EEF" w14:paraId="3634DFA8" w14:textId="77777777">
        <w:trPr>
          <w:trHeight w:val="501"/>
        </w:trPr>
        <w:tc>
          <w:tcPr>
            <w:tcW w:w="1212" w:type="dxa"/>
            <w:vMerge/>
            <w:tcBorders>
              <w:top w:val="nil"/>
            </w:tcBorders>
          </w:tcPr>
          <w:p w14:paraId="76F24165" w14:textId="77777777" w:rsidR="00A71EEF" w:rsidRDefault="00A71EEF">
            <w:pPr>
              <w:rPr>
                <w:sz w:val="2"/>
                <w:szCs w:val="2"/>
              </w:rPr>
            </w:pPr>
          </w:p>
        </w:tc>
        <w:tc>
          <w:tcPr>
            <w:tcW w:w="4683" w:type="dxa"/>
          </w:tcPr>
          <w:p w14:paraId="46C3CA02" w14:textId="77777777" w:rsidR="00A71EEF" w:rsidRDefault="0081115D">
            <w:pPr>
              <w:pStyle w:val="TableParagraph"/>
              <w:spacing w:before="187"/>
              <w:ind w:left="4"/>
              <w:rPr>
                <w:sz w:val="24"/>
              </w:rPr>
            </w:pPr>
            <w:r>
              <w:rPr>
                <w:sz w:val="21"/>
              </w:rPr>
              <w:t xml:space="preserve">20. </w:t>
            </w:r>
            <w:r>
              <w:rPr>
                <w:sz w:val="21"/>
              </w:rPr>
              <w:t>各工厂的总控制室、分控制室</w:t>
            </w:r>
            <w:r>
              <w:rPr>
                <w:sz w:val="24"/>
              </w:rPr>
              <w:t xml:space="preserve"> </w:t>
            </w:r>
          </w:p>
        </w:tc>
        <w:tc>
          <w:tcPr>
            <w:tcW w:w="2501" w:type="dxa"/>
          </w:tcPr>
          <w:p w14:paraId="6029948D" w14:textId="77777777" w:rsidR="00A71EEF" w:rsidRDefault="0081115D">
            <w:pPr>
              <w:pStyle w:val="TableParagraph"/>
              <w:spacing w:before="157"/>
              <w:ind w:left="7"/>
              <w:rPr>
                <w:sz w:val="24"/>
              </w:rPr>
            </w:pPr>
            <w:r>
              <w:rPr>
                <w:sz w:val="21"/>
              </w:rPr>
              <w:t xml:space="preserve"> </w:t>
            </w:r>
            <w:r>
              <w:rPr>
                <w:sz w:val="21"/>
              </w:rPr>
              <w:t xml:space="preserve"> </w:t>
            </w:r>
            <w:r>
              <w:rPr>
                <w:sz w:val="24"/>
              </w:rPr>
              <w:t xml:space="preserve"> </w:t>
            </w:r>
          </w:p>
        </w:tc>
      </w:tr>
      <w:tr w:rsidR="00A71EEF" w14:paraId="4791B046" w14:textId="77777777">
        <w:trPr>
          <w:trHeight w:val="499"/>
        </w:trPr>
        <w:tc>
          <w:tcPr>
            <w:tcW w:w="1212" w:type="dxa"/>
            <w:vMerge/>
            <w:tcBorders>
              <w:top w:val="nil"/>
            </w:tcBorders>
          </w:tcPr>
          <w:p w14:paraId="2575023B" w14:textId="77777777" w:rsidR="00A71EEF" w:rsidRDefault="00A71EEF">
            <w:pPr>
              <w:rPr>
                <w:sz w:val="2"/>
                <w:szCs w:val="2"/>
              </w:rPr>
            </w:pPr>
          </w:p>
        </w:tc>
        <w:tc>
          <w:tcPr>
            <w:tcW w:w="4683" w:type="dxa"/>
          </w:tcPr>
          <w:p w14:paraId="14E34EE1" w14:textId="77777777" w:rsidR="00A71EEF" w:rsidRDefault="0081115D">
            <w:pPr>
              <w:pStyle w:val="TableParagraph"/>
              <w:spacing w:before="187"/>
              <w:ind w:left="4"/>
              <w:rPr>
                <w:sz w:val="24"/>
              </w:rPr>
            </w:pPr>
            <w:r>
              <w:rPr>
                <w:sz w:val="21"/>
              </w:rPr>
              <w:t xml:space="preserve">21. </w:t>
            </w:r>
            <w:r>
              <w:rPr>
                <w:sz w:val="21"/>
              </w:rPr>
              <w:t>国家和省级重点工程的施工现场</w:t>
            </w:r>
            <w:r>
              <w:rPr>
                <w:sz w:val="24"/>
              </w:rPr>
              <w:t xml:space="preserve"> </w:t>
            </w:r>
          </w:p>
        </w:tc>
        <w:tc>
          <w:tcPr>
            <w:tcW w:w="2501" w:type="dxa"/>
          </w:tcPr>
          <w:p w14:paraId="6F55BF1D" w14:textId="77777777" w:rsidR="00A71EEF" w:rsidRDefault="0081115D">
            <w:pPr>
              <w:pStyle w:val="TableParagraph"/>
              <w:spacing w:before="157"/>
              <w:ind w:left="7"/>
              <w:rPr>
                <w:sz w:val="24"/>
              </w:rPr>
            </w:pPr>
            <w:r>
              <w:rPr>
                <w:sz w:val="21"/>
              </w:rPr>
              <w:t xml:space="preserve"> </w:t>
            </w:r>
            <w:r>
              <w:rPr>
                <w:sz w:val="21"/>
              </w:rPr>
              <w:t xml:space="preserve"> </w:t>
            </w:r>
            <w:r>
              <w:rPr>
                <w:sz w:val="24"/>
              </w:rPr>
              <w:t xml:space="preserve"> </w:t>
            </w:r>
          </w:p>
        </w:tc>
      </w:tr>
      <w:tr w:rsidR="00A71EEF" w14:paraId="1C092870" w14:textId="77777777">
        <w:trPr>
          <w:trHeight w:val="1000"/>
        </w:trPr>
        <w:tc>
          <w:tcPr>
            <w:tcW w:w="1212" w:type="dxa"/>
            <w:vMerge/>
            <w:tcBorders>
              <w:top w:val="nil"/>
            </w:tcBorders>
          </w:tcPr>
          <w:p w14:paraId="3B244745" w14:textId="77777777" w:rsidR="00A71EEF" w:rsidRDefault="00A71EEF">
            <w:pPr>
              <w:rPr>
                <w:sz w:val="2"/>
                <w:szCs w:val="2"/>
              </w:rPr>
            </w:pPr>
          </w:p>
        </w:tc>
        <w:tc>
          <w:tcPr>
            <w:tcW w:w="4683" w:type="dxa"/>
          </w:tcPr>
          <w:p w14:paraId="79CEF3BC" w14:textId="77777777" w:rsidR="00A71EEF" w:rsidRDefault="00A71EEF">
            <w:pPr>
              <w:pStyle w:val="TableParagraph"/>
              <w:spacing w:before="8"/>
              <w:rPr>
                <w:b/>
                <w:sz w:val="14"/>
              </w:rPr>
            </w:pPr>
          </w:p>
          <w:p w14:paraId="1369730D" w14:textId="77777777" w:rsidR="00A71EEF" w:rsidRDefault="0081115D">
            <w:pPr>
              <w:pStyle w:val="TableParagraph"/>
              <w:ind w:left="4"/>
              <w:rPr>
                <w:sz w:val="21"/>
              </w:rPr>
            </w:pPr>
            <w:r>
              <w:rPr>
                <w:sz w:val="21"/>
              </w:rPr>
              <w:t xml:space="preserve">22. </w:t>
            </w:r>
            <w:r>
              <w:rPr>
                <w:sz w:val="21"/>
              </w:rPr>
              <w:t>发电厂（站）和电网经营企业的控制室、设备</w:t>
            </w:r>
          </w:p>
          <w:p w14:paraId="4F6F8806" w14:textId="77777777" w:rsidR="00A71EEF" w:rsidRDefault="00A71EEF">
            <w:pPr>
              <w:pStyle w:val="TableParagraph"/>
              <w:spacing w:before="1"/>
              <w:rPr>
                <w:b/>
                <w:sz w:val="18"/>
              </w:rPr>
            </w:pPr>
          </w:p>
          <w:p w14:paraId="04C220E8" w14:textId="77777777" w:rsidR="00A71EEF" w:rsidRDefault="0081115D">
            <w:pPr>
              <w:pStyle w:val="TableParagraph"/>
              <w:spacing w:before="1"/>
              <w:ind w:left="4"/>
              <w:rPr>
                <w:sz w:val="24"/>
              </w:rPr>
            </w:pPr>
            <w:r>
              <w:rPr>
                <w:sz w:val="21"/>
              </w:rPr>
              <w:t>间</w:t>
            </w:r>
            <w:r>
              <w:rPr>
                <w:sz w:val="24"/>
              </w:rPr>
              <w:t xml:space="preserve"> </w:t>
            </w:r>
          </w:p>
        </w:tc>
        <w:tc>
          <w:tcPr>
            <w:tcW w:w="2501" w:type="dxa"/>
          </w:tcPr>
          <w:p w14:paraId="267505C7" w14:textId="77777777" w:rsidR="00A71EEF" w:rsidRDefault="00A71EEF">
            <w:pPr>
              <w:pStyle w:val="TableParagraph"/>
              <w:spacing w:before="12"/>
              <w:rPr>
                <w:b/>
                <w:sz w:val="31"/>
              </w:rPr>
            </w:pPr>
          </w:p>
          <w:p w14:paraId="726B5E2F" w14:textId="77777777" w:rsidR="00A71EEF" w:rsidRDefault="0081115D">
            <w:pPr>
              <w:pStyle w:val="TableParagraph"/>
              <w:ind w:left="7"/>
              <w:rPr>
                <w:sz w:val="24"/>
              </w:rPr>
            </w:pPr>
            <w:r>
              <w:rPr>
                <w:sz w:val="21"/>
              </w:rPr>
              <w:t xml:space="preserve"> </w:t>
            </w:r>
            <w:r>
              <w:rPr>
                <w:sz w:val="21"/>
              </w:rPr>
              <w:t xml:space="preserve"> </w:t>
            </w:r>
            <w:r>
              <w:rPr>
                <w:sz w:val="24"/>
              </w:rPr>
              <w:t xml:space="preserve"> </w:t>
            </w:r>
          </w:p>
        </w:tc>
      </w:tr>
      <w:tr w:rsidR="00A71EEF" w14:paraId="6B2D250F" w14:textId="77777777">
        <w:trPr>
          <w:trHeight w:val="1000"/>
        </w:trPr>
        <w:tc>
          <w:tcPr>
            <w:tcW w:w="1212" w:type="dxa"/>
            <w:vMerge w:val="restart"/>
          </w:tcPr>
          <w:p w14:paraId="266111CD" w14:textId="77777777" w:rsidR="00A71EEF" w:rsidRDefault="00A71EEF">
            <w:pPr>
              <w:pStyle w:val="TableParagraph"/>
              <w:rPr>
                <w:b/>
                <w:sz w:val="24"/>
              </w:rPr>
            </w:pPr>
          </w:p>
          <w:p w14:paraId="74F4B964" w14:textId="77777777" w:rsidR="00A71EEF" w:rsidRDefault="00A71EEF">
            <w:pPr>
              <w:pStyle w:val="TableParagraph"/>
              <w:rPr>
                <w:b/>
                <w:sz w:val="24"/>
              </w:rPr>
            </w:pPr>
          </w:p>
          <w:p w14:paraId="6B791BF3" w14:textId="77777777" w:rsidR="00A71EEF" w:rsidRDefault="00A71EEF">
            <w:pPr>
              <w:pStyle w:val="TableParagraph"/>
              <w:rPr>
                <w:b/>
                <w:sz w:val="24"/>
              </w:rPr>
            </w:pPr>
          </w:p>
          <w:p w14:paraId="20322567" w14:textId="77777777" w:rsidR="00A71EEF" w:rsidRDefault="00A71EEF">
            <w:pPr>
              <w:pStyle w:val="TableParagraph"/>
              <w:rPr>
                <w:b/>
                <w:sz w:val="24"/>
              </w:rPr>
            </w:pPr>
          </w:p>
          <w:p w14:paraId="3ED19817" w14:textId="77777777" w:rsidR="00A71EEF" w:rsidRDefault="00A71EEF">
            <w:pPr>
              <w:pStyle w:val="TableParagraph"/>
              <w:rPr>
                <w:b/>
                <w:sz w:val="24"/>
              </w:rPr>
            </w:pPr>
          </w:p>
          <w:p w14:paraId="09C482A0" w14:textId="77777777" w:rsidR="00A71EEF" w:rsidRDefault="00A71EEF">
            <w:pPr>
              <w:pStyle w:val="TableParagraph"/>
              <w:rPr>
                <w:b/>
                <w:sz w:val="24"/>
              </w:rPr>
            </w:pPr>
          </w:p>
          <w:p w14:paraId="52D3E68D" w14:textId="77777777" w:rsidR="00A71EEF" w:rsidRDefault="00A71EEF">
            <w:pPr>
              <w:pStyle w:val="TableParagraph"/>
              <w:rPr>
                <w:b/>
                <w:sz w:val="24"/>
              </w:rPr>
            </w:pPr>
          </w:p>
          <w:p w14:paraId="2640926E" w14:textId="77777777" w:rsidR="00A71EEF" w:rsidRDefault="00A71EEF">
            <w:pPr>
              <w:pStyle w:val="TableParagraph"/>
              <w:rPr>
                <w:b/>
                <w:sz w:val="24"/>
              </w:rPr>
            </w:pPr>
          </w:p>
          <w:p w14:paraId="163E4C52" w14:textId="77777777" w:rsidR="00A71EEF" w:rsidRDefault="00A71EEF">
            <w:pPr>
              <w:pStyle w:val="TableParagraph"/>
              <w:rPr>
                <w:b/>
                <w:sz w:val="24"/>
              </w:rPr>
            </w:pPr>
          </w:p>
          <w:p w14:paraId="6F02AEC4" w14:textId="77777777" w:rsidR="00A71EEF" w:rsidRDefault="00A71EEF">
            <w:pPr>
              <w:pStyle w:val="TableParagraph"/>
              <w:rPr>
                <w:b/>
                <w:sz w:val="24"/>
              </w:rPr>
            </w:pPr>
          </w:p>
          <w:p w14:paraId="54F79242" w14:textId="77777777" w:rsidR="00A71EEF" w:rsidRDefault="00A71EEF">
            <w:pPr>
              <w:pStyle w:val="TableParagraph"/>
              <w:rPr>
                <w:b/>
                <w:sz w:val="24"/>
              </w:rPr>
            </w:pPr>
          </w:p>
          <w:p w14:paraId="38B2CDF6" w14:textId="77777777" w:rsidR="00A71EEF" w:rsidRDefault="00A71EEF">
            <w:pPr>
              <w:pStyle w:val="TableParagraph"/>
              <w:spacing w:before="12"/>
              <w:rPr>
                <w:b/>
                <w:sz w:val="26"/>
              </w:rPr>
            </w:pPr>
          </w:p>
          <w:p w14:paraId="3E9423FE" w14:textId="77777777" w:rsidR="00A71EEF" w:rsidRDefault="0081115D">
            <w:pPr>
              <w:pStyle w:val="TableParagraph"/>
              <w:spacing w:line="446" w:lineRule="auto"/>
              <w:ind w:left="498" w:right="369"/>
              <w:jc w:val="both"/>
              <w:rPr>
                <w:sz w:val="24"/>
              </w:rPr>
            </w:pPr>
            <w:r>
              <w:rPr>
                <w:sz w:val="21"/>
              </w:rPr>
              <w:t>中危险级</w:t>
            </w:r>
            <w:r>
              <w:rPr>
                <w:sz w:val="24"/>
              </w:rPr>
              <w:t xml:space="preserve"> </w:t>
            </w:r>
          </w:p>
        </w:tc>
        <w:tc>
          <w:tcPr>
            <w:tcW w:w="4683" w:type="dxa"/>
          </w:tcPr>
          <w:p w14:paraId="5435A801" w14:textId="77777777" w:rsidR="00A71EEF" w:rsidRDefault="00A71EEF">
            <w:pPr>
              <w:pStyle w:val="TableParagraph"/>
              <w:spacing w:before="8"/>
              <w:rPr>
                <w:b/>
                <w:sz w:val="14"/>
              </w:rPr>
            </w:pPr>
          </w:p>
          <w:p w14:paraId="297B1B50" w14:textId="77777777" w:rsidR="00A71EEF" w:rsidRDefault="0081115D">
            <w:pPr>
              <w:pStyle w:val="TableParagraph"/>
              <w:ind w:left="4"/>
              <w:rPr>
                <w:sz w:val="21"/>
              </w:rPr>
            </w:pPr>
            <w:r>
              <w:rPr>
                <w:sz w:val="21"/>
              </w:rPr>
              <w:t xml:space="preserve">1. </w:t>
            </w:r>
            <w:r>
              <w:rPr>
                <w:sz w:val="21"/>
              </w:rPr>
              <w:t>闪点</w:t>
            </w:r>
            <w:r>
              <w:rPr>
                <w:sz w:val="21"/>
              </w:rPr>
              <w:t>≥60℃</w:t>
            </w:r>
            <w:r>
              <w:rPr>
                <w:sz w:val="21"/>
              </w:rPr>
              <w:t>的油品和有机溶剂的提炼、回收工</w:t>
            </w:r>
          </w:p>
          <w:p w14:paraId="72D38395" w14:textId="77777777" w:rsidR="00A71EEF" w:rsidRDefault="00A71EEF">
            <w:pPr>
              <w:pStyle w:val="TableParagraph"/>
              <w:spacing w:before="1"/>
              <w:rPr>
                <w:b/>
                <w:sz w:val="18"/>
              </w:rPr>
            </w:pPr>
          </w:p>
          <w:p w14:paraId="376BDBD2" w14:textId="77777777" w:rsidR="00A71EEF" w:rsidRDefault="0081115D">
            <w:pPr>
              <w:pStyle w:val="TableParagraph"/>
              <w:spacing w:before="1"/>
              <w:ind w:left="4"/>
              <w:rPr>
                <w:sz w:val="24"/>
              </w:rPr>
            </w:pPr>
            <w:r>
              <w:rPr>
                <w:sz w:val="21"/>
              </w:rPr>
              <w:t>段及其抽送泵房</w:t>
            </w:r>
            <w:r>
              <w:rPr>
                <w:sz w:val="24"/>
              </w:rPr>
              <w:t xml:space="preserve"> </w:t>
            </w:r>
          </w:p>
        </w:tc>
        <w:tc>
          <w:tcPr>
            <w:tcW w:w="2501" w:type="dxa"/>
          </w:tcPr>
          <w:p w14:paraId="3FDCE852" w14:textId="77777777" w:rsidR="00A71EEF" w:rsidRDefault="00A71EEF">
            <w:pPr>
              <w:pStyle w:val="TableParagraph"/>
              <w:spacing w:before="8"/>
              <w:rPr>
                <w:b/>
                <w:sz w:val="14"/>
              </w:rPr>
            </w:pPr>
          </w:p>
          <w:p w14:paraId="18C9743F" w14:textId="77777777" w:rsidR="00A71EEF" w:rsidRDefault="0081115D">
            <w:pPr>
              <w:pStyle w:val="TableParagraph"/>
              <w:ind w:left="7"/>
              <w:rPr>
                <w:sz w:val="21"/>
              </w:rPr>
            </w:pPr>
            <w:r>
              <w:rPr>
                <w:sz w:val="21"/>
              </w:rPr>
              <w:t xml:space="preserve">1. </w:t>
            </w:r>
            <w:r>
              <w:rPr>
                <w:sz w:val="21"/>
              </w:rPr>
              <w:t>丙类液体储罐区、桶装</w:t>
            </w:r>
          </w:p>
          <w:p w14:paraId="037D624B" w14:textId="77777777" w:rsidR="00A71EEF" w:rsidRDefault="00A71EEF">
            <w:pPr>
              <w:pStyle w:val="TableParagraph"/>
              <w:spacing w:before="1"/>
              <w:rPr>
                <w:b/>
                <w:sz w:val="18"/>
              </w:rPr>
            </w:pPr>
          </w:p>
          <w:p w14:paraId="7C307CB5" w14:textId="77777777" w:rsidR="00A71EEF" w:rsidRDefault="0081115D">
            <w:pPr>
              <w:pStyle w:val="TableParagraph"/>
              <w:spacing w:before="1"/>
              <w:ind w:left="7"/>
              <w:rPr>
                <w:sz w:val="24"/>
              </w:rPr>
            </w:pPr>
            <w:r>
              <w:rPr>
                <w:sz w:val="21"/>
              </w:rPr>
              <w:t>库房、堆场</w:t>
            </w:r>
            <w:r>
              <w:rPr>
                <w:sz w:val="24"/>
              </w:rPr>
              <w:t xml:space="preserve"> </w:t>
            </w:r>
          </w:p>
        </w:tc>
      </w:tr>
      <w:tr w:rsidR="00A71EEF" w14:paraId="6A78F955" w14:textId="77777777">
        <w:trPr>
          <w:trHeight w:val="1500"/>
        </w:trPr>
        <w:tc>
          <w:tcPr>
            <w:tcW w:w="1212" w:type="dxa"/>
            <w:vMerge/>
            <w:tcBorders>
              <w:top w:val="nil"/>
            </w:tcBorders>
          </w:tcPr>
          <w:p w14:paraId="3DF3B3A6" w14:textId="77777777" w:rsidR="00A71EEF" w:rsidRDefault="00A71EEF">
            <w:pPr>
              <w:rPr>
                <w:sz w:val="2"/>
                <w:szCs w:val="2"/>
              </w:rPr>
            </w:pPr>
          </w:p>
        </w:tc>
        <w:tc>
          <w:tcPr>
            <w:tcW w:w="4683" w:type="dxa"/>
          </w:tcPr>
          <w:p w14:paraId="493FC33E" w14:textId="77777777" w:rsidR="00A71EEF" w:rsidRDefault="00A71EEF">
            <w:pPr>
              <w:pStyle w:val="TableParagraph"/>
              <w:rPr>
                <w:b/>
                <w:sz w:val="24"/>
              </w:rPr>
            </w:pPr>
          </w:p>
          <w:p w14:paraId="2E31F67E" w14:textId="77777777" w:rsidR="00A71EEF" w:rsidRDefault="00A71EEF">
            <w:pPr>
              <w:pStyle w:val="TableParagraph"/>
              <w:spacing w:before="7"/>
              <w:rPr>
                <w:b/>
                <w:sz w:val="29"/>
              </w:rPr>
            </w:pPr>
          </w:p>
          <w:p w14:paraId="4DCA18DD" w14:textId="77777777" w:rsidR="00A71EEF" w:rsidRDefault="0081115D">
            <w:pPr>
              <w:pStyle w:val="TableParagraph"/>
              <w:ind w:left="4"/>
              <w:rPr>
                <w:sz w:val="24"/>
              </w:rPr>
            </w:pPr>
            <w:r>
              <w:rPr>
                <w:sz w:val="21"/>
              </w:rPr>
              <w:t xml:space="preserve">2. </w:t>
            </w:r>
            <w:r>
              <w:rPr>
                <w:sz w:val="21"/>
              </w:rPr>
              <w:t>柴油、机器油或变压器油灌桶间</w:t>
            </w:r>
            <w:r>
              <w:rPr>
                <w:sz w:val="24"/>
              </w:rPr>
              <w:t xml:space="preserve"> </w:t>
            </w:r>
          </w:p>
        </w:tc>
        <w:tc>
          <w:tcPr>
            <w:tcW w:w="2501" w:type="dxa"/>
          </w:tcPr>
          <w:p w14:paraId="5D28AF00" w14:textId="77777777" w:rsidR="00A71EEF" w:rsidRDefault="00A71EEF">
            <w:pPr>
              <w:pStyle w:val="TableParagraph"/>
              <w:spacing w:before="8"/>
              <w:rPr>
                <w:b/>
                <w:sz w:val="14"/>
              </w:rPr>
            </w:pPr>
          </w:p>
          <w:p w14:paraId="7CCE6F3C" w14:textId="77777777" w:rsidR="00A71EEF" w:rsidRDefault="0081115D">
            <w:pPr>
              <w:pStyle w:val="TableParagraph"/>
              <w:spacing w:line="446" w:lineRule="auto"/>
              <w:ind w:left="7" w:right="64"/>
              <w:rPr>
                <w:sz w:val="21"/>
              </w:rPr>
            </w:pPr>
            <w:r>
              <w:rPr>
                <w:sz w:val="21"/>
              </w:rPr>
              <w:t xml:space="preserve">2. </w:t>
            </w:r>
            <w:r>
              <w:rPr>
                <w:sz w:val="21"/>
              </w:rPr>
              <w:t>化学、人造纤维及其织物和棉、毛、丝、麻及其</w:t>
            </w:r>
          </w:p>
          <w:p w14:paraId="168E41A4" w14:textId="77777777" w:rsidR="00A71EEF" w:rsidRDefault="0081115D">
            <w:pPr>
              <w:pStyle w:val="TableParagraph"/>
              <w:ind w:left="7"/>
              <w:rPr>
                <w:sz w:val="24"/>
              </w:rPr>
            </w:pPr>
            <w:r>
              <w:rPr>
                <w:sz w:val="21"/>
              </w:rPr>
              <w:t>织物的库房、堆场</w:t>
            </w:r>
            <w:r>
              <w:rPr>
                <w:sz w:val="24"/>
              </w:rPr>
              <w:t xml:space="preserve"> </w:t>
            </w:r>
          </w:p>
        </w:tc>
      </w:tr>
      <w:tr w:rsidR="00A71EEF" w14:paraId="666AEFCF" w14:textId="77777777">
        <w:trPr>
          <w:trHeight w:val="1000"/>
        </w:trPr>
        <w:tc>
          <w:tcPr>
            <w:tcW w:w="1212" w:type="dxa"/>
            <w:vMerge/>
            <w:tcBorders>
              <w:top w:val="nil"/>
            </w:tcBorders>
          </w:tcPr>
          <w:p w14:paraId="3E021A08" w14:textId="77777777" w:rsidR="00A71EEF" w:rsidRDefault="00A71EEF">
            <w:pPr>
              <w:rPr>
                <w:sz w:val="2"/>
                <w:szCs w:val="2"/>
              </w:rPr>
            </w:pPr>
          </w:p>
        </w:tc>
        <w:tc>
          <w:tcPr>
            <w:tcW w:w="4683" w:type="dxa"/>
          </w:tcPr>
          <w:p w14:paraId="71AD6AD0" w14:textId="77777777" w:rsidR="00A71EEF" w:rsidRDefault="00A71EEF">
            <w:pPr>
              <w:pStyle w:val="TableParagraph"/>
              <w:spacing w:before="1"/>
              <w:rPr>
                <w:b/>
                <w:sz w:val="34"/>
              </w:rPr>
            </w:pPr>
          </w:p>
          <w:p w14:paraId="24E79976" w14:textId="77777777" w:rsidR="00A71EEF" w:rsidRDefault="0081115D">
            <w:pPr>
              <w:pStyle w:val="TableParagraph"/>
              <w:ind w:left="4"/>
              <w:rPr>
                <w:sz w:val="24"/>
              </w:rPr>
            </w:pPr>
            <w:r>
              <w:rPr>
                <w:sz w:val="21"/>
              </w:rPr>
              <w:t xml:space="preserve">3. </w:t>
            </w:r>
            <w:r>
              <w:rPr>
                <w:sz w:val="21"/>
              </w:rPr>
              <w:t>润滑油再生部位或沥青加工厂房</w:t>
            </w:r>
            <w:r>
              <w:rPr>
                <w:sz w:val="24"/>
              </w:rPr>
              <w:t xml:space="preserve"> </w:t>
            </w:r>
          </w:p>
        </w:tc>
        <w:tc>
          <w:tcPr>
            <w:tcW w:w="2501" w:type="dxa"/>
          </w:tcPr>
          <w:p w14:paraId="63F70CEC" w14:textId="77777777" w:rsidR="00A71EEF" w:rsidRDefault="00A71EEF">
            <w:pPr>
              <w:pStyle w:val="TableParagraph"/>
              <w:spacing w:before="8"/>
              <w:rPr>
                <w:b/>
                <w:sz w:val="14"/>
              </w:rPr>
            </w:pPr>
          </w:p>
          <w:p w14:paraId="17B79766" w14:textId="77777777" w:rsidR="00A71EEF" w:rsidRDefault="0081115D">
            <w:pPr>
              <w:pStyle w:val="TableParagraph"/>
              <w:ind w:left="7"/>
              <w:rPr>
                <w:sz w:val="21"/>
              </w:rPr>
            </w:pPr>
            <w:r>
              <w:rPr>
                <w:sz w:val="21"/>
              </w:rPr>
              <w:t xml:space="preserve">3. </w:t>
            </w:r>
            <w:r>
              <w:rPr>
                <w:sz w:val="21"/>
              </w:rPr>
              <w:t>纸、竹、木及其制品的</w:t>
            </w:r>
          </w:p>
          <w:p w14:paraId="7937D97A" w14:textId="77777777" w:rsidR="00A71EEF" w:rsidRDefault="00A71EEF">
            <w:pPr>
              <w:pStyle w:val="TableParagraph"/>
              <w:spacing w:before="1"/>
              <w:rPr>
                <w:b/>
                <w:sz w:val="18"/>
              </w:rPr>
            </w:pPr>
          </w:p>
          <w:p w14:paraId="6E9F0AB7" w14:textId="77777777" w:rsidR="00A71EEF" w:rsidRDefault="0081115D">
            <w:pPr>
              <w:pStyle w:val="TableParagraph"/>
              <w:spacing w:before="1"/>
              <w:ind w:left="7"/>
              <w:rPr>
                <w:sz w:val="24"/>
              </w:rPr>
            </w:pPr>
            <w:r>
              <w:rPr>
                <w:sz w:val="21"/>
              </w:rPr>
              <w:t>库房、堆场</w:t>
            </w:r>
            <w:r>
              <w:rPr>
                <w:sz w:val="24"/>
              </w:rPr>
              <w:t xml:space="preserve"> </w:t>
            </w:r>
          </w:p>
        </w:tc>
      </w:tr>
      <w:tr w:rsidR="00A71EEF" w14:paraId="0D2780C7" w14:textId="77777777">
        <w:trPr>
          <w:trHeight w:val="1000"/>
        </w:trPr>
        <w:tc>
          <w:tcPr>
            <w:tcW w:w="1212" w:type="dxa"/>
            <w:vMerge/>
            <w:tcBorders>
              <w:top w:val="nil"/>
            </w:tcBorders>
          </w:tcPr>
          <w:p w14:paraId="2F7ED69B" w14:textId="77777777" w:rsidR="00A71EEF" w:rsidRDefault="00A71EEF">
            <w:pPr>
              <w:rPr>
                <w:sz w:val="2"/>
                <w:szCs w:val="2"/>
              </w:rPr>
            </w:pPr>
          </w:p>
        </w:tc>
        <w:tc>
          <w:tcPr>
            <w:tcW w:w="4683" w:type="dxa"/>
          </w:tcPr>
          <w:p w14:paraId="2FFBBC32" w14:textId="77777777" w:rsidR="00A71EEF" w:rsidRDefault="00A71EEF">
            <w:pPr>
              <w:pStyle w:val="TableParagraph"/>
              <w:spacing w:before="1"/>
              <w:rPr>
                <w:b/>
                <w:sz w:val="34"/>
              </w:rPr>
            </w:pPr>
          </w:p>
          <w:p w14:paraId="676F935E" w14:textId="77777777" w:rsidR="00A71EEF" w:rsidRDefault="0081115D">
            <w:pPr>
              <w:pStyle w:val="TableParagraph"/>
              <w:ind w:left="4"/>
              <w:rPr>
                <w:sz w:val="24"/>
              </w:rPr>
            </w:pPr>
            <w:r>
              <w:rPr>
                <w:sz w:val="21"/>
              </w:rPr>
              <w:t xml:space="preserve">4. </w:t>
            </w:r>
            <w:r>
              <w:rPr>
                <w:sz w:val="21"/>
              </w:rPr>
              <w:t>植物油加工精炼部位</w:t>
            </w:r>
            <w:r>
              <w:rPr>
                <w:sz w:val="24"/>
              </w:rPr>
              <w:t xml:space="preserve"> </w:t>
            </w:r>
          </w:p>
        </w:tc>
        <w:tc>
          <w:tcPr>
            <w:tcW w:w="2501" w:type="dxa"/>
          </w:tcPr>
          <w:p w14:paraId="3E7568BF" w14:textId="77777777" w:rsidR="00A71EEF" w:rsidRDefault="00A71EEF">
            <w:pPr>
              <w:pStyle w:val="TableParagraph"/>
              <w:spacing w:before="8"/>
              <w:rPr>
                <w:b/>
                <w:sz w:val="14"/>
              </w:rPr>
            </w:pPr>
          </w:p>
          <w:p w14:paraId="39403AEF" w14:textId="77777777" w:rsidR="00A71EEF" w:rsidRDefault="0081115D">
            <w:pPr>
              <w:pStyle w:val="TableParagraph"/>
              <w:ind w:left="7"/>
              <w:rPr>
                <w:sz w:val="21"/>
              </w:rPr>
            </w:pPr>
            <w:r>
              <w:rPr>
                <w:sz w:val="21"/>
              </w:rPr>
              <w:t xml:space="preserve">4. </w:t>
            </w:r>
            <w:r>
              <w:rPr>
                <w:sz w:val="21"/>
              </w:rPr>
              <w:t>火柴、香烟、糖、茶叶</w:t>
            </w:r>
          </w:p>
          <w:p w14:paraId="7021AA9A" w14:textId="77777777" w:rsidR="00A71EEF" w:rsidRDefault="00A71EEF">
            <w:pPr>
              <w:pStyle w:val="TableParagraph"/>
              <w:spacing w:before="12"/>
              <w:rPr>
                <w:b/>
                <w:sz w:val="17"/>
              </w:rPr>
            </w:pPr>
          </w:p>
          <w:p w14:paraId="569AD699" w14:textId="77777777" w:rsidR="00A71EEF" w:rsidRDefault="0081115D">
            <w:pPr>
              <w:pStyle w:val="TableParagraph"/>
              <w:ind w:left="7"/>
              <w:rPr>
                <w:sz w:val="24"/>
              </w:rPr>
            </w:pPr>
            <w:r>
              <w:rPr>
                <w:sz w:val="21"/>
              </w:rPr>
              <w:t>库房</w:t>
            </w:r>
            <w:r>
              <w:rPr>
                <w:sz w:val="24"/>
              </w:rPr>
              <w:t xml:space="preserve"> </w:t>
            </w:r>
          </w:p>
        </w:tc>
      </w:tr>
      <w:tr w:rsidR="00A71EEF" w14:paraId="2CD286FE" w14:textId="77777777">
        <w:trPr>
          <w:trHeight w:val="498"/>
        </w:trPr>
        <w:tc>
          <w:tcPr>
            <w:tcW w:w="1212" w:type="dxa"/>
            <w:vMerge/>
            <w:tcBorders>
              <w:top w:val="nil"/>
            </w:tcBorders>
          </w:tcPr>
          <w:p w14:paraId="3F8419ED" w14:textId="77777777" w:rsidR="00A71EEF" w:rsidRDefault="00A71EEF">
            <w:pPr>
              <w:rPr>
                <w:sz w:val="2"/>
                <w:szCs w:val="2"/>
              </w:rPr>
            </w:pPr>
          </w:p>
        </w:tc>
        <w:tc>
          <w:tcPr>
            <w:tcW w:w="4683" w:type="dxa"/>
          </w:tcPr>
          <w:p w14:paraId="49E36573" w14:textId="77777777" w:rsidR="00A71EEF" w:rsidRDefault="0081115D">
            <w:pPr>
              <w:pStyle w:val="TableParagraph"/>
              <w:spacing w:before="187"/>
              <w:ind w:left="4"/>
              <w:rPr>
                <w:sz w:val="24"/>
              </w:rPr>
            </w:pPr>
            <w:r>
              <w:rPr>
                <w:sz w:val="21"/>
              </w:rPr>
              <w:t xml:space="preserve">5. </w:t>
            </w:r>
            <w:r>
              <w:rPr>
                <w:sz w:val="21"/>
              </w:rPr>
              <w:t>油浸变压器室和高、低压配电室</w:t>
            </w:r>
            <w:r>
              <w:rPr>
                <w:sz w:val="24"/>
              </w:rPr>
              <w:t xml:space="preserve"> </w:t>
            </w:r>
          </w:p>
        </w:tc>
        <w:tc>
          <w:tcPr>
            <w:tcW w:w="2501" w:type="dxa"/>
          </w:tcPr>
          <w:p w14:paraId="33B7CA24" w14:textId="77777777" w:rsidR="00A71EEF" w:rsidRDefault="0081115D">
            <w:pPr>
              <w:pStyle w:val="TableParagraph"/>
              <w:spacing w:before="187"/>
              <w:ind w:left="7"/>
              <w:rPr>
                <w:sz w:val="24"/>
              </w:rPr>
            </w:pPr>
            <w:r>
              <w:rPr>
                <w:sz w:val="21"/>
              </w:rPr>
              <w:t xml:space="preserve">5. </w:t>
            </w:r>
            <w:r>
              <w:rPr>
                <w:sz w:val="21"/>
              </w:rPr>
              <w:t>中药材库房</w:t>
            </w:r>
            <w:r>
              <w:rPr>
                <w:sz w:val="24"/>
              </w:rPr>
              <w:t xml:space="preserve"> </w:t>
            </w:r>
          </w:p>
        </w:tc>
      </w:tr>
      <w:tr w:rsidR="00A71EEF" w14:paraId="52B8FA5F" w14:textId="77777777">
        <w:trPr>
          <w:trHeight w:val="1000"/>
        </w:trPr>
        <w:tc>
          <w:tcPr>
            <w:tcW w:w="1212" w:type="dxa"/>
            <w:vMerge/>
            <w:tcBorders>
              <w:top w:val="nil"/>
            </w:tcBorders>
          </w:tcPr>
          <w:p w14:paraId="239195CB" w14:textId="77777777" w:rsidR="00A71EEF" w:rsidRDefault="00A71EEF">
            <w:pPr>
              <w:rPr>
                <w:sz w:val="2"/>
                <w:szCs w:val="2"/>
              </w:rPr>
            </w:pPr>
          </w:p>
        </w:tc>
        <w:tc>
          <w:tcPr>
            <w:tcW w:w="4683" w:type="dxa"/>
          </w:tcPr>
          <w:p w14:paraId="232C4638" w14:textId="77777777" w:rsidR="00A71EEF" w:rsidRDefault="00A71EEF">
            <w:pPr>
              <w:pStyle w:val="TableParagraph"/>
              <w:spacing w:before="4"/>
              <w:rPr>
                <w:b/>
                <w:sz w:val="34"/>
              </w:rPr>
            </w:pPr>
          </w:p>
          <w:p w14:paraId="748E9208" w14:textId="77777777" w:rsidR="00A71EEF" w:rsidRDefault="0081115D">
            <w:pPr>
              <w:pStyle w:val="TableParagraph"/>
              <w:ind w:left="4"/>
              <w:rPr>
                <w:sz w:val="24"/>
              </w:rPr>
            </w:pPr>
            <w:r>
              <w:rPr>
                <w:sz w:val="21"/>
              </w:rPr>
              <w:t xml:space="preserve">6. </w:t>
            </w:r>
            <w:r>
              <w:rPr>
                <w:sz w:val="21"/>
              </w:rPr>
              <w:t>工业用燃油、燃气锅炉房</w:t>
            </w:r>
            <w:r>
              <w:rPr>
                <w:sz w:val="24"/>
              </w:rPr>
              <w:t xml:space="preserve"> </w:t>
            </w:r>
          </w:p>
        </w:tc>
        <w:tc>
          <w:tcPr>
            <w:tcW w:w="2501" w:type="dxa"/>
          </w:tcPr>
          <w:p w14:paraId="1C8525E2" w14:textId="77777777" w:rsidR="00A71EEF" w:rsidRDefault="00A71EEF">
            <w:pPr>
              <w:pStyle w:val="TableParagraph"/>
              <w:spacing w:before="8"/>
              <w:rPr>
                <w:b/>
                <w:sz w:val="14"/>
              </w:rPr>
            </w:pPr>
          </w:p>
          <w:p w14:paraId="3B0B1503" w14:textId="77777777" w:rsidR="00A71EEF" w:rsidRDefault="0081115D">
            <w:pPr>
              <w:pStyle w:val="TableParagraph"/>
              <w:ind w:left="7"/>
              <w:rPr>
                <w:sz w:val="21"/>
              </w:rPr>
            </w:pPr>
            <w:r>
              <w:rPr>
                <w:sz w:val="21"/>
              </w:rPr>
              <w:t xml:space="preserve">6. </w:t>
            </w:r>
            <w:r>
              <w:rPr>
                <w:sz w:val="21"/>
              </w:rPr>
              <w:t>橡胶、塑料及其制品的</w:t>
            </w:r>
          </w:p>
          <w:p w14:paraId="3331D9A0" w14:textId="77777777" w:rsidR="00A71EEF" w:rsidRDefault="00A71EEF">
            <w:pPr>
              <w:pStyle w:val="TableParagraph"/>
              <w:spacing w:before="2"/>
              <w:rPr>
                <w:b/>
                <w:sz w:val="18"/>
              </w:rPr>
            </w:pPr>
          </w:p>
          <w:p w14:paraId="1A76982F" w14:textId="77777777" w:rsidR="00A71EEF" w:rsidRDefault="0081115D">
            <w:pPr>
              <w:pStyle w:val="TableParagraph"/>
              <w:ind w:left="7"/>
              <w:rPr>
                <w:sz w:val="24"/>
              </w:rPr>
            </w:pPr>
            <w:r>
              <w:rPr>
                <w:sz w:val="21"/>
              </w:rPr>
              <w:t>库房</w:t>
            </w:r>
            <w:r>
              <w:rPr>
                <w:sz w:val="24"/>
              </w:rPr>
              <w:t xml:space="preserve"> </w:t>
            </w:r>
          </w:p>
        </w:tc>
      </w:tr>
      <w:tr w:rsidR="00A71EEF" w14:paraId="36B33AA2" w14:textId="77777777">
        <w:trPr>
          <w:trHeight w:val="501"/>
        </w:trPr>
        <w:tc>
          <w:tcPr>
            <w:tcW w:w="1212" w:type="dxa"/>
            <w:vMerge/>
            <w:tcBorders>
              <w:top w:val="nil"/>
            </w:tcBorders>
          </w:tcPr>
          <w:p w14:paraId="1D69EA4D" w14:textId="77777777" w:rsidR="00A71EEF" w:rsidRDefault="00A71EEF">
            <w:pPr>
              <w:rPr>
                <w:sz w:val="2"/>
                <w:szCs w:val="2"/>
              </w:rPr>
            </w:pPr>
          </w:p>
        </w:tc>
        <w:tc>
          <w:tcPr>
            <w:tcW w:w="4683" w:type="dxa"/>
          </w:tcPr>
          <w:p w14:paraId="034E5302" w14:textId="77777777" w:rsidR="00A71EEF" w:rsidRDefault="0081115D">
            <w:pPr>
              <w:pStyle w:val="TableParagraph"/>
              <w:spacing w:before="187"/>
              <w:ind w:left="4"/>
              <w:rPr>
                <w:sz w:val="24"/>
              </w:rPr>
            </w:pPr>
            <w:r>
              <w:rPr>
                <w:sz w:val="21"/>
              </w:rPr>
              <w:t xml:space="preserve">7. </w:t>
            </w:r>
            <w:r>
              <w:rPr>
                <w:sz w:val="21"/>
              </w:rPr>
              <w:t>各种电缆廊道</w:t>
            </w:r>
            <w:r>
              <w:rPr>
                <w:sz w:val="24"/>
              </w:rPr>
              <w:t xml:space="preserve"> </w:t>
            </w:r>
          </w:p>
        </w:tc>
        <w:tc>
          <w:tcPr>
            <w:tcW w:w="2501" w:type="dxa"/>
          </w:tcPr>
          <w:p w14:paraId="6ED32EB1" w14:textId="77777777" w:rsidR="00A71EEF" w:rsidRDefault="0081115D">
            <w:pPr>
              <w:pStyle w:val="TableParagraph"/>
              <w:spacing w:before="187"/>
              <w:ind w:left="7" w:right="-58"/>
              <w:rPr>
                <w:sz w:val="24"/>
              </w:rPr>
            </w:pPr>
            <w:r>
              <w:rPr>
                <w:sz w:val="21"/>
              </w:rPr>
              <w:t>7.</w:t>
            </w:r>
            <w:r>
              <w:rPr>
                <w:spacing w:val="-3"/>
                <w:sz w:val="21"/>
              </w:rPr>
              <w:t xml:space="preserve"> </w:t>
            </w:r>
            <w:r>
              <w:rPr>
                <w:spacing w:val="-3"/>
                <w:sz w:val="21"/>
              </w:rPr>
              <w:t>粮食、食品库房、堆场</w:t>
            </w:r>
            <w:r>
              <w:rPr>
                <w:sz w:val="24"/>
              </w:rPr>
              <w:t xml:space="preserve"> </w:t>
            </w:r>
          </w:p>
        </w:tc>
      </w:tr>
      <w:tr w:rsidR="00A71EEF" w14:paraId="25734500" w14:textId="77777777">
        <w:trPr>
          <w:trHeight w:val="1499"/>
        </w:trPr>
        <w:tc>
          <w:tcPr>
            <w:tcW w:w="1212" w:type="dxa"/>
            <w:vMerge/>
            <w:tcBorders>
              <w:top w:val="nil"/>
            </w:tcBorders>
          </w:tcPr>
          <w:p w14:paraId="14DD2CD9" w14:textId="77777777" w:rsidR="00A71EEF" w:rsidRDefault="00A71EEF">
            <w:pPr>
              <w:rPr>
                <w:sz w:val="2"/>
                <w:szCs w:val="2"/>
              </w:rPr>
            </w:pPr>
          </w:p>
        </w:tc>
        <w:tc>
          <w:tcPr>
            <w:tcW w:w="4683" w:type="dxa"/>
          </w:tcPr>
          <w:p w14:paraId="040E4C10" w14:textId="77777777" w:rsidR="00A71EEF" w:rsidRDefault="00A71EEF">
            <w:pPr>
              <w:pStyle w:val="TableParagraph"/>
              <w:rPr>
                <w:b/>
                <w:sz w:val="24"/>
              </w:rPr>
            </w:pPr>
          </w:p>
          <w:p w14:paraId="3388C360" w14:textId="77777777" w:rsidR="00A71EEF" w:rsidRDefault="00A71EEF">
            <w:pPr>
              <w:pStyle w:val="TableParagraph"/>
              <w:spacing w:before="7"/>
              <w:rPr>
                <w:b/>
                <w:sz w:val="29"/>
              </w:rPr>
            </w:pPr>
          </w:p>
          <w:p w14:paraId="20BC113E" w14:textId="77777777" w:rsidR="00A71EEF" w:rsidRDefault="0081115D">
            <w:pPr>
              <w:pStyle w:val="TableParagraph"/>
              <w:ind w:left="4"/>
              <w:rPr>
                <w:sz w:val="24"/>
              </w:rPr>
            </w:pPr>
            <w:r>
              <w:rPr>
                <w:sz w:val="21"/>
              </w:rPr>
              <w:t xml:space="preserve">8. </w:t>
            </w:r>
            <w:r>
              <w:rPr>
                <w:sz w:val="21"/>
              </w:rPr>
              <w:t>油淬火处理车间</w:t>
            </w:r>
            <w:r>
              <w:rPr>
                <w:sz w:val="24"/>
              </w:rPr>
              <w:t xml:space="preserve"> </w:t>
            </w:r>
          </w:p>
        </w:tc>
        <w:tc>
          <w:tcPr>
            <w:tcW w:w="2501" w:type="dxa"/>
          </w:tcPr>
          <w:p w14:paraId="69EE496B" w14:textId="77777777" w:rsidR="00A71EEF" w:rsidRDefault="00A71EEF">
            <w:pPr>
              <w:pStyle w:val="TableParagraph"/>
              <w:spacing w:before="8"/>
              <w:rPr>
                <w:b/>
                <w:sz w:val="14"/>
              </w:rPr>
            </w:pPr>
          </w:p>
          <w:p w14:paraId="75837C2A" w14:textId="77777777" w:rsidR="00A71EEF" w:rsidRDefault="0081115D">
            <w:pPr>
              <w:pStyle w:val="TableParagraph"/>
              <w:ind w:left="7"/>
              <w:rPr>
                <w:sz w:val="21"/>
              </w:rPr>
            </w:pPr>
            <w:r>
              <w:rPr>
                <w:sz w:val="21"/>
              </w:rPr>
              <w:t xml:space="preserve">8. </w:t>
            </w:r>
            <w:r>
              <w:rPr>
                <w:sz w:val="21"/>
              </w:rPr>
              <w:t>电脑、电视机、收录机</w:t>
            </w:r>
          </w:p>
          <w:p w14:paraId="503F3F7B" w14:textId="77777777" w:rsidR="00A71EEF" w:rsidRDefault="0081115D">
            <w:pPr>
              <w:pStyle w:val="TableParagraph"/>
              <w:spacing w:line="500" w:lineRule="atLeast"/>
              <w:ind w:left="7" w:right="167"/>
              <w:rPr>
                <w:sz w:val="24"/>
              </w:rPr>
            </w:pPr>
            <w:r>
              <w:rPr>
                <w:sz w:val="21"/>
              </w:rPr>
              <w:t>等电子产品及家用电器库房</w:t>
            </w:r>
            <w:r>
              <w:rPr>
                <w:sz w:val="24"/>
              </w:rPr>
              <w:t xml:space="preserve"> </w:t>
            </w:r>
          </w:p>
        </w:tc>
      </w:tr>
      <w:tr w:rsidR="00A71EEF" w14:paraId="5F2966F5" w14:textId="77777777">
        <w:trPr>
          <w:trHeight w:val="1000"/>
        </w:trPr>
        <w:tc>
          <w:tcPr>
            <w:tcW w:w="1212" w:type="dxa"/>
            <w:vMerge/>
            <w:tcBorders>
              <w:top w:val="nil"/>
            </w:tcBorders>
          </w:tcPr>
          <w:p w14:paraId="522AD961" w14:textId="77777777" w:rsidR="00A71EEF" w:rsidRDefault="00A71EEF">
            <w:pPr>
              <w:rPr>
                <w:sz w:val="2"/>
                <w:szCs w:val="2"/>
              </w:rPr>
            </w:pPr>
          </w:p>
        </w:tc>
        <w:tc>
          <w:tcPr>
            <w:tcW w:w="4683" w:type="dxa"/>
          </w:tcPr>
          <w:p w14:paraId="50E249E9" w14:textId="77777777" w:rsidR="00A71EEF" w:rsidRDefault="00A71EEF">
            <w:pPr>
              <w:pStyle w:val="TableParagraph"/>
              <w:spacing w:before="1"/>
              <w:rPr>
                <w:b/>
                <w:sz w:val="34"/>
              </w:rPr>
            </w:pPr>
          </w:p>
          <w:p w14:paraId="143A4A29" w14:textId="77777777" w:rsidR="00A71EEF" w:rsidRDefault="0081115D">
            <w:pPr>
              <w:pStyle w:val="TableParagraph"/>
              <w:ind w:left="4"/>
              <w:rPr>
                <w:sz w:val="24"/>
              </w:rPr>
            </w:pPr>
            <w:r>
              <w:rPr>
                <w:sz w:val="21"/>
              </w:rPr>
              <w:t xml:space="preserve">9. </w:t>
            </w:r>
            <w:r>
              <w:rPr>
                <w:sz w:val="21"/>
              </w:rPr>
              <w:t>橡胶制品压延、成型和硫化厂房</w:t>
            </w:r>
            <w:r>
              <w:rPr>
                <w:sz w:val="24"/>
              </w:rPr>
              <w:t xml:space="preserve"> </w:t>
            </w:r>
          </w:p>
        </w:tc>
        <w:tc>
          <w:tcPr>
            <w:tcW w:w="2501" w:type="dxa"/>
          </w:tcPr>
          <w:p w14:paraId="1B3BCA8F" w14:textId="77777777" w:rsidR="00A71EEF" w:rsidRDefault="00A71EEF">
            <w:pPr>
              <w:pStyle w:val="TableParagraph"/>
              <w:spacing w:before="8"/>
              <w:rPr>
                <w:b/>
                <w:sz w:val="14"/>
              </w:rPr>
            </w:pPr>
          </w:p>
          <w:p w14:paraId="5FD6843F" w14:textId="77777777" w:rsidR="00A71EEF" w:rsidRDefault="0081115D">
            <w:pPr>
              <w:pStyle w:val="TableParagraph"/>
              <w:ind w:left="7"/>
              <w:rPr>
                <w:sz w:val="21"/>
              </w:rPr>
            </w:pPr>
            <w:r>
              <w:rPr>
                <w:sz w:val="21"/>
              </w:rPr>
              <w:t xml:space="preserve">9. </w:t>
            </w:r>
            <w:r>
              <w:rPr>
                <w:sz w:val="21"/>
              </w:rPr>
              <w:t>汽车、大型拖拉机停车</w:t>
            </w:r>
          </w:p>
          <w:p w14:paraId="439C5CD9" w14:textId="77777777" w:rsidR="00A71EEF" w:rsidRDefault="00A71EEF">
            <w:pPr>
              <w:pStyle w:val="TableParagraph"/>
              <w:spacing w:before="12"/>
              <w:rPr>
                <w:b/>
                <w:sz w:val="17"/>
              </w:rPr>
            </w:pPr>
          </w:p>
          <w:p w14:paraId="60A2C340" w14:textId="77777777" w:rsidR="00A71EEF" w:rsidRDefault="0081115D">
            <w:pPr>
              <w:pStyle w:val="TableParagraph"/>
              <w:ind w:left="7"/>
              <w:rPr>
                <w:sz w:val="24"/>
              </w:rPr>
            </w:pPr>
            <w:r>
              <w:rPr>
                <w:sz w:val="21"/>
              </w:rPr>
              <w:t>库</w:t>
            </w:r>
            <w:r>
              <w:rPr>
                <w:sz w:val="24"/>
              </w:rPr>
              <w:t xml:space="preserve"> </w:t>
            </w:r>
          </w:p>
        </w:tc>
      </w:tr>
    </w:tbl>
    <w:p w14:paraId="525FB6BF" w14:textId="77777777" w:rsidR="00A71EEF" w:rsidRDefault="00A71EEF">
      <w:pPr>
        <w:rPr>
          <w:sz w:val="24"/>
        </w:rPr>
        <w:sectPr w:rsidR="00A71EEF">
          <w:pgSz w:w="11910" w:h="16850"/>
          <w:pgMar w:top="1080" w:right="0" w:bottom="1340" w:left="1260" w:header="0" w:footer="1159" w:gutter="0"/>
          <w:cols w:space="720"/>
        </w:sectPr>
      </w:pP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2"/>
        <w:gridCol w:w="4683"/>
        <w:gridCol w:w="2501"/>
      </w:tblGrid>
      <w:tr w:rsidR="00A71EEF" w14:paraId="270E43DA" w14:textId="77777777">
        <w:trPr>
          <w:trHeight w:val="1000"/>
        </w:trPr>
        <w:tc>
          <w:tcPr>
            <w:tcW w:w="1212" w:type="dxa"/>
            <w:vMerge w:val="restart"/>
          </w:tcPr>
          <w:p w14:paraId="3CF28CE3" w14:textId="77777777" w:rsidR="00A71EEF" w:rsidRDefault="00A71EEF">
            <w:pPr>
              <w:pStyle w:val="TableParagraph"/>
              <w:rPr>
                <w:rFonts w:ascii="Times New Roman"/>
                <w:sz w:val="20"/>
              </w:rPr>
            </w:pPr>
          </w:p>
        </w:tc>
        <w:tc>
          <w:tcPr>
            <w:tcW w:w="4683" w:type="dxa"/>
          </w:tcPr>
          <w:p w14:paraId="4013AF97" w14:textId="77777777" w:rsidR="00A71EEF" w:rsidRDefault="00A71EEF">
            <w:pPr>
              <w:pStyle w:val="TableParagraph"/>
              <w:spacing w:before="1"/>
              <w:rPr>
                <w:b/>
                <w:sz w:val="34"/>
              </w:rPr>
            </w:pPr>
          </w:p>
          <w:p w14:paraId="4E440680" w14:textId="77777777" w:rsidR="00A71EEF" w:rsidRDefault="0081115D">
            <w:pPr>
              <w:pStyle w:val="TableParagraph"/>
              <w:ind w:left="4"/>
              <w:rPr>
                <w:sz w:val="24"/>
              </w:rPr>
            </w:pPr>
            <w:r>
              <w:rPr>
                <w:sz w:val="21"/>
              </w:rPr>
              <w:t xml:space="preserve">10. </w:t>
            </w:r>
            <w:r>
              <w:rPr>
                <w:sz w:val="21"/>
              </w:rPr>
              <w:t>木工厂房和竹、藤加工厂房</w:t>
            </w:r>
            <w:r>
              <w:rPr>
                <w:sz w:val="24"/>
              </w:rPr>
              <w:t xml:space="preserve"> </w:t>
            </w:r>
          </w:p>
        </w:tc>
        <w:tc>
          <w:tcPr>
            <w:tcW w:w="2501" w:type="dxa"/>
          </w:tcPr>
          <w:p w14:paraId="22BA43C1" w14:textId="77777777" w:rsidR="00A71EEF" w:rsidRDefault="00A71EEF">
            <w:pPr>
              <w:pStyle w:val="TableParagraph"/>
              <w:spacing w:before="8"/>
              <w:rPr>
                <w:b/>
                <w:sz w:val="14"/>
              </w:rPr>
            </w:pPr>
          </w:p>
          <w:p w14:paraId="5EC60220" w14:textId="77777777" w:rsidR="00A71EEF" w:rsidRDefault="0081115D">
            <w:pPr>
              <w:pStyle w:val="TableParagraph"/>
              <w:ind w:left="7"/>
              <w:rPr>
                <w:sz w:val="21"/>
              </w:rPr>
            </w:pPr>
            <w:r>
              <w:rPr>
                <w:sz w:val="21"/>
              </w:rPr>
              <w:t>10.</w:t>
            </w:r>
            <w:r>
              <w:rPr>
                <w:spacing w:val="-9"/>
                <w:sz w:val="21"/>
              </w:rPr>
              <w:t xml:space="preserve"> </w:t>
            </w:r>
            <w:r>
              <w:rPr>
                <w:spacing w:val="-9"/>
                <w:sz w:val="21"/>
              </w:rPr>
              <w:t>酒精度小于</w:t>
            </w:r>
            <w:r>
              <w:rPr>
                <w:spacing w:val="-9"/>
                <w:sz w:val="21"/>
              </w:rPr>
              <w:t xml:space="preserve"> </w:t>
            </w:r>
            <w:r>
              <w:rPr>
                <w:sz w:val="21"/>
              </w:rPr>
              <w:t>60</w:t>
            </w:r>
            <w:r>
              <w:rPr>
                <w:spacing w:val="-15"/>
                <w:sz w:val="21"/>
              </w:rPr>
              <w:t xml:space="preserve"> </w:t>
            </w:r>
            <w:r>
              <w:rPr>
                <w:spacing w:val="-15"/>
                <w:sz w:val="21"/>
              </w:rPr>
              <w:t>度的白</w:t>
            </w:r>
          </w:p>
          <w:p w14:paraId="6D4C7C9C" w14:textId="77777777" w:rsidR="00A71EEF" w:rsidRDefault="00A71EEF">
            <w:pPr>
              <w:pStyle w:val="TableParagraph"/>
              <w:spacing w:before="12"/>
              <w:rPr>
                <w:b/>
                <w:sz w:val="17"/>
              </w:rPr>
            </w:pPr>
          </w:p>
          <w:p w14:paraId="2A555799" w14:textId="77777777" w:rsidR="00A71EEF" w:rsidRDefault="0081115D">
            <w:pPr>
              <w:pStyle w:val="TableParagraph"/>
              <w:ind w:left="7"/>
              <w:rPr>
                <w:sz w:val="24"/>
              </w:rPr>
            </w:pPr>
            <w:r>
              <w:rPr>
                <w:sz w:val="21"/>
              </w:rPr>
              <w:t>酒库房</w:t>
            </w:r>
            <w:r>
              <w:rPr>
                <w:sz w:val="24"/>
              </w:rPr>
              <w:t xml:space="preserve"> </w:t>
            </w:r>
          </w:p>
        </w:tc>
      </w:tr>
      <w:tr w:rsidR="00A71EEF" w14:paraId="189F8CD6" w14:textId="77777777">
        <w:trPr>
          <w:trHeight w:val="997"/>
        </w:trPr>
        <w:tc>
          <w:tcPr>
            <w:tcW w:w="1212" w:type="dxa"/>
            <w:vMerge/>
            <w:tcBorders>
              <w:top w:val="nil"/>
            </w:tcBorders>
          </w:tcPr>
          <w:p w14:paraId="694DCFAB" w14:textId="77777777" w:rsidR="00A71EEF" w:rsidRDefault="00A71EEF">
            <w:pPr>
              <w:rPr>
                <w:sz w:val="2"/>
                <w:szCs w:val="2"/>
              </w:rPr>
            </w:pPr>
          </w:p>
        </w:tc>
        <w:tc>
          <w:tcPr>
            <w:tcW w:w="4683" w:type="dxa"/>
          </w:tcPr>
          <w:p w14:paraId="6924CC47" w14:textId="77777777" w:rsidR="00A71EEF" w:rsidRDefault="00A71EEF">
            <w:pPr>
              <w:pStyle w:val="TableParagraph"/>
              <w:spacing w:before="8"/>
              <w:rPr>
                <w:b/>
                <w:sz w:val="14"/>
              </w:rPr>
            </w:pPr>
          </w:p>
          <w:p w14:paraId="43BDB4FB" w14:textId="77777777" w:rsidR="00A71EEF" w:rsidRDefault="0081115D">
            <w:pPr>
              <w:pStyle w:val="TableParagraph"/>
              <w:ind w:left="4"/>
              <w:rPr>
                <w:sz w:val="21"/>
              </w:rPr>
            </w:pPr>
            <w:r>
              <w:rPr>
                <w:sz w:val="21"/>
              </w:rPr>
              <w:t xml:space="preserve">11. </w:t>
            </w:r>
            <w:r>
              <w:rPr>
                <w:sz w:val="21"/>
              </w:rPr>
              <w:t>针织品厂房和纺织、印染、化纤生产的干燥部</w:t>
            </w:r>
          </w:p>
          <w:p w14:paraId="5FD4DE51" w14:textId="77777777" w:rsidR="00A71EEF" w:rsidRDefault="00A71EEF">
            <w:pPr>
              <w:pStyle w:val="TableParagraph"/>
              <w:spacing w:before="12"/>
              <w:rPr>
                <w:b/>
                <w:sz w:val="17"/>
              </w:rPr>
            </w:pPr>
          </w:p>
          <w:p w14:paraId="0461C12A" w14:textId="77777777" w:rsidR="00A71EEF" w:rsidRDefault="0081115D">
            <w:pPr>
              <w:pStyle w:val="TableParagraph"/>
              <w:ind w:left="4"/>
              <w:rPr>
                <w:sz w:val="24"/>
              </w:rPr>
            </w:pPr>
            <w:r>
              <w:rPr>
                <w:sz w:val="21"/>
              </w:rPr>
              <w:t>位</w:t>
            </w:r>
            <w:r>
              <w:rPr>
                <w:sz w:val="24"/>
              </w:rPr>
              <w:t xml:space="preserve"> </w:t>
            </w:r>
          </w:p>
        </w:tc>
        <w:tc>
          <w:tcPr>
            <w:tcW w:w="2501" w:type="dxa"/>
          </w:tcPr>
          <w:p w14:paraId="353C25C6" w14:textId="77777777" w:rsidR="00A71EEF" w:rsidRDefault="00A71EEF">
            <w:pPr>
              <w:pStyle w:val="TableParagraph"/>
              <w:spacing w:before="1"/>
              <w:rPr>
                <w:b/>
                <w:sz w:val="34"/>
              </w:rPr>
            </w:pPr>
          </w:p>
          <w:p w14:paraId="5F81FBA3" w14:textId="77777777" w:rsidR="00A71EEF" w:rsidRDefault="0081115D">
            <w:pPr>
              <w:pStyle w:val="TableParagraph"/>
              <w:ind w:left="7"/>
              <w:rPr>
                <w:sz w:val="24"/>
              </w:rPr>
            </w:pPr>
            <w:r>
              <w:rPr>
                <w:sz w:val="21"/>
              </w:rPr>
              <w:t xml:space="preserve">11. </w:t>
            </w:r>
            <w:r>
              <w:rPr>
                <w:sz w:val="21"/>
              </w:rPr>
              <w:t>低温冷库</w:t>
            </w:r>
            <w:r>
              <w:rPr>
                <w:sz w:val="24"/>
              </w:rPr>
              <w:t xml:space="preserve"> </w:t>
            </w:r>
          </w:p>
        </w:tc>
      </w:tr>
      <w:tr w:rsidR="00A71EEF" w14:paraId="5AC3124D" w14:textId="77777777">
        <w:trPr>
          <w:trHeight w:val="501"/>
        </w:trPr>
        <w:tc>
          <w:tcPr>
            <w:tcW w:w="1212" w:type="dxa"/>
            <w:vMerge/>
            <w:tcBorders>
              <w:top w:val="nil"/>
            </w:tcBorders>
          </w:tcPr>
          <w:p w14:paraId="3BEAA171" w14:textId="77777777" w:rsidR="00A71EEF" w:rsidRDefault="00A71EEF">
            <w:pPr>
              <w:rPr>
                <w:sz w:val="2"/>
                <w:szCs w:val="2"/>
              </w:rPr>
            </w:pPr>
          </w:p>
        </w:tc>
        <w:tc>
          <w:tcPr>
            <w:tcW w:w="4683" w:type="dxa"/>
          </w:tcPr>
          <w:p w14:paraId="334052A1" w14:textId="77777777" w:rsidR="00A71EEF" w:rsidRDefault="0081115D">
            <w:pPr>
              <w:pStyle w:val="TableParagraph"/>
              <w:spacing w:before="189"/>
              <w:ind w:left="4"/>
              <w:rPr>
                <w:sz w:val="24"/>
              </w:rPr>
            </w:pPr>
            <w:r>
              <w:rPr>
                <w:sz w:val="21"/>
              </w:rPr>
              <w:t xml:space="preserve">12. </w:t>
            </w:r>
            <w:r>
              <w:rPr>
                <w:sz w:val="21"/>
              </w:rPr>
              <w:t>服装加工厂房、印染厂成品厂房</w:t>
            </w:r>
            <w:r>
              <w:rPr>
                <w:sz w:val="24"/>
              </w:rPr>
              <w:t xml:space="preserve"> </w:t>
            </w:r>
          </w:p>
        </w:tc>
        <w:tc>
          <w:tcPr>
            <w:tcW w:w="2501" w:type="dxa"/>
          </w:tcPr>
          <w:p w14:paraId="45AEB784" w14:textId="77777777" w:rsidR="00A71EEF" w:rsidRDefault="0081115D">
            <w:pPr>
              <w:pStyle w:val="TableParagraph"/>
              <w:spacing w:before="159"/>
              <w:ind w:left="7"/>
              <w:rPr>
                <w:sz w:val="24"/>
              </w:rPr>
            </w:pPr>
            <w:r>
              <w:rPr>
                <w:sz w:val="21"/>
              </w:rPr>
              <w:t xml:space="preserve"> </w:t>
            </w:r>
            <w:r>
              <w:rPr>
                <w:sz w:val="21"/>
              </w:rPr>
              <w:t xml:space="preserve"> </w:t>
            </w:r>
            <w:r>
              <w:rPr>
                <w:sz w:val="24"/>
              </w:rPr>
              <w:t xml:space="preserve"> </w:t>
            </w:r>
          </w:p>
        </w:tc>
      </w:tr>
      <w:tr w:rsidR="00A71EEF" w14:paraId="211EB5C5" w14:textId="77777777">
        <w:trPr>
          <w:trHeight w:val="498"/>
        </w:trPr>
        <w:tc>
          <w:tcPr>
            <w:tcW w:w="1212" w:type="dxa"/>
            <w:vMerge/>
            <w:tcBorders>
              <w:top w:val="nil"/>
            </w:tcBorders>
          </w:tcPr>
          <w:p w14:paraId="08A1FB87" w14:textId="77777777" w:rsidR="00A71EEF" w:rsidRDefault="00A71EEF">
            <w:pPr>
              <w:rPr>
                <w:sz w:val="2"/>
                <w:szCs w:val="2"/>
              </w:rPr>
            </w:pPr>
          </w:p>
        </w:tc>
        <w:tc>
          <w:tcPr>
            <w:tcW w:w="4683" w:type="dxa"/>
          </w:tcPr>
          <w:p w14:paraId="493B1E91" w14:textId="77777777" w:rsidR="00A71EEF" w:rsidRDefault="0081115D">
            <w:pPr>
              <w:pStyle w:val="TableParagraph"/>
              <w:spacing w:before="187"/>
              <w:ind w:left="4"/>
              <w:rPr>
                <w:sz w:val="24"/>
              </w:rPr>
            </w:pPr>
            <w:r>
              <w:rPr>
                <w:sz w:val="21"/>
              </w:rPr>
              <w:t xml:space="preserve">13. </w:t>
            </w:r>
            <w:r>
              <w:rPr>
                <w:sz w:val="21"/>
              </w:rPr>
              <w:t>麻纺厂粗加工厂房、毛涤厂选毛厂房</w:t>
            </w:r>
            <w:r>
              <w:rPr>
                <w:sz w:val="24"/>
              </w:rPr>
              <w:t xml:space="preserve"> </w:t>
            </w:r>
          </w:p>
        </w:tc>
        <w:tc>
          <w:tcPr>
            <w:tcW w:w="2501" w:type="dxa"/>
          </w:tcPr>
          <w:p w14:paraId="7C10872D" w14:textId="77777777" w:rsidR="00A71EEF" w:rsidRDefault="0081115D">
            <w:pPr>
              <w:pStyle w:val="TableParagraph"/>
              <w:spacing w:before="157"/>
              <w:ind w:left="7"/>
              <w:rPr>
                <w:sz w:val="24"/>
              </w:rPr>
            </w:pPr>
            <w:r>
              <w:rPr>
                <w:sz w:val="21"/>
              </w:rPr>
              <w:t xml:space="preserve"> </w:t>
            </w:r>
            <w:r>
              <w:rPr>
                <w:sz w:val="21"/>
              </w:rPr>
              <w:t xml:space="preserve"> </w:t>
            </w:r>
            <w:r>
              <w:rPr>
                <w:sz w:val="24"/>
              </w:rPr>
              <w:t xml:space="preserve"> </w:t>
            </w:r>
          </w:p>
        </w:tc>
      </w:tr>
      <w:tr w:rsidR="00A71EEF" w14:paraId="6B1CCCAC" w14:textId="77777777">
        <w:trPr>
          <w:trHeight w:val="501"/>
        </w:trPr>
        <w:tc>
          <w:tcPr>
            <w:tcW w:w="1212" w:type="dxa"/>
            <w:vMerge/>
            <w:tcBorders>
              <w:top w:val="nil"/>
            </w:tcBorders>
          </w:tcPr>
          <w:p w14:paraId="32301A1D" w14:textId="77777777" w:rsidR="00A71EEF" w:rsidRDefault="00A71EEF">
            <w:pPr>
              <w:rPr>
                <w:sz w:val="2"/>
                <w:szCs w:val="2"/>
              </w:rPr>
            </w:pPr>
          </w:p>
        </w:tc>
        <w:tc>
          <w:tcPr>
            <w:tcW w:w="4683" w:type="dxa"/>
          </w:tcPr>
          <w:p w14:paraId="7A669250" w14:textId="77777777" w:rsidR="00A71EEF" w:rsidRDefault="0081115D">
            <w:pPr>
              <w:pStyle w:val="TableParagraph"/>
              <w:spacing w:before="189"/>
              <w:ind w:left="4"/>
              <w:rPr>
                <w:sz w:val="24"/>
              </w:rPr>
            </w:pPr>
            <w:r>
              <w:rPr>
                <w:sz w:val="21"/>
              </w:rPr>
              <w:t xml:space="preserve">14. </w:t>
            </w:r>
            <w:r>
              <w:rPr>
                <w:sz w:val="21"/>
              </w:rPr>
              <w:t>谷物加工厂房</w:t>
            </w:r>
            <w:r>
              <w:rPr>
                <w:sz w:val="24"/>
              </w:rPr>
              <w:t xml:space="preserve"> </w:t>
            </w:r>
          </w:p>
        </w:tc>
        <w:tc>
          <w:tcPr>
            <w:tcW w:w="2501" w:type="dxa"/>
          </w:tcPr>
          <w:p w14:paraId="4C0807B7" w14:textId="77777777" w:rsidR="00A71EEF" w:rsidRDefault="0081115D">
            <w:pPr>
              <w:pStyle w:val="TableParagraph"/>
              <w:spacing w:before="159"/>
              <w:ind w:left="7"/>
              <w:rPr>
                <w:sz w:val="24"/>
              </w:rPr>
            </w:pPr>
            <w:r>
              <w:rPr>
                <w:sz w:val="21"/>
              </w:rPr>
              <w:t xml:space="preserve"> </w:t>
            </w:r>
            <w:r>
              <w:rPr>
                <w:sz w:val="21"/>
              </w:rPr>
              <w:t xml:space="preserve"> </w:t>
            </w:r>
            <w:r>
              <w:rPr>
                <w:sz w:val="24"/>
              </w:rPr>
              <w:t xml:space="preserve"> </w:t>
            </w:r>
          </w:p>
        </w:tc>
      </w:tr>
      <w:tr w:rsidR="00A71EEF" w14:paraId="135F07C5" w14:textId="77777777">
        <w:trPr>
          <w:trHeight w:val="499"/>
        </w:trPr>
        <w:tc>
          <w:tcPr>
            <w:tcW w:w="1212" w:type="dxa"/>
            <w:vMerge/>
            <w:tcBorders>
              <w:top w:val="nil"/>
            </w:tcBorders>
          </w:tcPr>
          <w:p w14:paraId="4AE4D07B" w14:textId="77777777" w:rsidR="00A71EEF" w:rsidRDefault="00A71EEF">
            <w:pPr>
              <w:rPr>
                <w:sz w:val="2"/>
                <w:szCs w:val="2"/>
              </w:rPr>
            </w:pPr>
          </w:p>
        </w:tc>
        <w:tc>
          <w:tcPr>
            <w:tcW w:w="4683" w:type="dxa"/>
          </w:tcPr>
          <w:p w14:paraId="471ECB09" w14:textId="77777777" w:rsidR="00A71EEF" w:rsidRDefault="0081115D">
            <w:pPr>
              <w:pStyle w:val="TableParagraph"/>
              <w:spacing w:before="188"/>
              <w:ind w:left="4"/>
              <w:rPr>
                <w:sz w:val="24"/>
              </w:rPr>
            </w:pPr>
            <w:r>
              <w:rPr>
                <w:sz w:val="21"/>
              </w:rPr>
              <w:t xml:space="preserve">15. </w:t>
            </w:r>
            <w:r>
              <w:rPr>
                <w:sz w:val="21"/>
              </w:rPr>
              <w:t>卷烟厂的切丝、卷制、包装厂房</w:t>
            </w:r>
            <w:r>
              <w:rPr>
                <w:sz w:val="24"/>
              </w:rPr>
              <w:t xml:space="preserve"> </w:t>
            </w:r>
          </w:p>
        </w:tc>
        <w:tc>
          <w:tcPr>
            <w:tcW w:w="2501" w:type="dxa"/>
          </w:tcPr>
          <w:p w14:paraId="035FF5A2" w14:textId="77777777" w:rsidR="00A71EEF" w:rsidRDefault="0081115D">
            <w:pPr>
              <w:pStyle w:val="TableParagraph"/>
              <w:spacing w:before="158"/>
              <w:ind w:left="7"/>
              <w:rPr>
                <w:sz w:val="24"/>
              </w:rPr>
            </w:pPr>
            <w:r>
              <w:rPr>
                <w:sz w:val="21"/>
              </w:rPr>
              <w:t xml:space="preserve"> </w:t>
            </w:r>
            <w:r>
              <w:rPr>
                <w:sz w:val="21"/>
              </w:rPr>
              <w:t xml:space="preserve"> </w:t>
            </w:r>
            <w:r>
              <w:rPr>
                <w:sz w:val="24"/>
              </w:rPr>
              <w:t xml:space="preserve"> </w:t>
            </w:r>
          </w:p>
        </w:tc>
      </w:tr>
      <w:tr w:rsidR="00A71EEF" w14:paraId="68C9F187" w14:textId="77777777">
        <w:trPr>
          <w:trHeight w:val="501"/>
        </w:trPr>
        <w:tc>
          <w:tcPr>
            <w:tcW w:w="1212" w:type="dxa"/>
            <w:vMerge/>
            <w:tcBorders>
              <w:top w:val="nil"/>
            </w:tcBorders>
          </w:tcPr>
          <w:p w14:paraId="3FB9C1B8" w14:textId="77777777" w:rsidR="00A71EEF" w:rsidRDefault="00A71EEF">
            <w:pPr>
              <w:rPr>
                <w:sz w:val="2"/>
                <w:szCs w:val="2"/>
              </w:rPr>
            </w:pPr>
          </w:p>
        </w:tc>
        <w:tc>
          <w:tcPr>
            <w:tcW w:w="4683" w:type="dxa"/>
          </w:tcPr>
          <w:p w14:paraId="54498FAD" w14:textId="77777777" w:rsidR="00A71EEF" w:rsidRDefault="0081115D">
            <w:pPr>
              <w:pStyle w:val="TableParagraph"/>
              <w:spacing w:before="190"/>
              <w:ind w:left="4"/>
              <w:rPr>
                <w:sz w:val="24"/>
              </w:rPr>
            </w:pPr>
            <w:r>
              <w:rPr>
                <w:sz w:val="21"/>
              </w:rPr>
              <w:t xml:space="preserve">16. </w:t>
            </w:r>
            <w:r>
              <w:rPr>
                <w:sz w:val="21"/>
              </w:rPr>
              <w:t>印刷厂的印刷厂房</w:t>
            </w:r>
            <w:r>
              <w:rPr>
                <w:sz w:val="24"/>
              </w:rPr>
              <w:t xml:space="preserve"> </w:t>
            </w:r>
          </w:p>
        </w:tc>
        <w:tc>
          <w:tcPr>
            <w:tcW w:w="2501" w:type="dxa"/>
          </w:tcPr>
          <w:p w14:paraId="2519C5E7" w14:textId="77777777" w:rsidR="00A71EEF" w:rsidRDefault="0081115D">
            <w:pPr>
              <w:pStyle w:val="TableParagraph"/>
              <w:spacing w:before="160"/>
              <w:ind w:left="7"/>
              <w:rPr>
                <w:sz w:val="24"/>
              </w:rPr>
            </w:pPr>
            <w:r>
              <w:rPr>
                <w:sz w:val="21"/>
              </w:rPr>
              <w:t xml:space="preserve"> </w:t>
            </w:r>
            <w:r>
              <w:rPr>
                <w:sz w:val="21"/>
              </w:rPr>
              <w:t xml:space="preserve"> </w:t>
            </w:r>
            <w:r>
              <w:rPr>
                <w:sz w:val="24"/>
              </w:rPr>
              <w:t xml:space="preserve"> </w:t>
            </w:r>
          </w:p>
        </w:tc>
      </w:tr>
      <w:tr w:rsidR="00A71EEF" w14:paraId="1946B6B2" w14:textId="77777777">
        <w:trPr>
          <w:trHeight w:val="498"/>
        </w:trPr>
        <w:tc>
          <w:tcPr>
            <w:tcW w:w="1212" w:type="dxa"/>
            <w:vMerge/>
            <w:tcBorders>
              <w:top w:val="nil"/>
            </w:tcBorders>
          </w:tcPr>
          <w:p w14:paraId="2643B43E" w14:textId="77777777" w:rsidR="00A71EEF" w:rsidRDefault="00A71EEF">
            <w:pPr>
              <w:rPr>
                <w:sz w:val="2"/>
                <w:szCs w:val="2"/>
              </w:rPr>
            </w:pPr>
          </w:p>
        </w:tc>
        <w:tc>
          <w:tcPr>
            <w:tcW w:w="4683" w:type="dxa"/>
          </w:tcPr>
          <w:p w14:paraId="0E666D18" w14:textId="77777777" w:rsidR="00A71EEF" w:rsidRDefault="0081115D">
            <w:pPr>
              <w:pStyle w:val="TableParagraph"/>
              <w:spacing w:before="187"/>
              <w:ind w:left="4"/>
              <w:rPr>
                <w:sz w:val="24"/>
              </w:rPr>
            </w:pPr>
            <w:r>
              <w:rPr>
                <w:sz w:val="21"/>
              </w:rPr>
              <w:t xml:space="preserve">17. </w:t>
            </w:r>
            <w:r>
              <w:rPr>
                <w:sz w:val="21"/>
              </w:rPr>
              <w:t>电视机、收录机装配厂房</w:t>
            </w:r>
            <w:r>
              <w:rPr>
                <w:sz w:val="24"/>
              </w:rPr>
              <w:t xml:space="preserve"> </w:t>
            </w:r>
          </w:p>
        </w:tc>
        <w:tc>
          <w:tcPr>
            <w:tcW w:w="2501" w:type="dxa"/>
          </w:tcPr>
          <w:p w14:paraId="0A73D889" w14:textId="77777777" w:rsidR="00A71EEF" w:rsidRDefault="0081115D">
            <w:pPr>
              <w:pStyle w:val="TableParagraph"/>
              <w:spacing w:before="157"/>
              <w:ind w:left="7"/>
              <w:rPr>
                <w:sz w:val="24"/>
              </w:rPr>
            </w:pPr>
            <w:r>
              <w:rPr>
                <w:sz w:val="21"/>
              </w:rPr>
              <w:t xml:space="preserve"> </w:t>
            </w:r>
            <w:r>
              <w:rPr>
                <w:sz w:val="21"/>
              </w:rPr>
              <w:t xml:space="preserve"> </w:t>
            </w:r>
            <w:r>
              <w:rPr>
                <w:sz w:val="24"/>
              </w:rPr>
              <w:t xml:space="preserve"> </w:t>
            </w:r>
          </w:p>
        </w:tc>
      </w:tr>
      <w:tr w:rsidR="00A71EEF" w14:paraId="5571B11B" w14:textId="77777777">
        <w:trPr>
          <w:trHeight w:val="501"/>
        </w:trPr>
        <w:tc>
          <w:tcPr>
            <w:tcW w:w="1212" w:type="dxa"/>
            <w:vMerge/>
            <w:tcBorders>
              <w:top w:val="nil"/>
            </w:tcBorders>
          </w:tcPr>
          <w:p w14:paraId="48DB839C" w14:textId="77777777" w:rsidR="00A71EEF" w:rsidRDefault="00A71EEF">
            <w:pPr>
              <w:rPr>
                <w:sz w:val="2"/>
                <w:szCs w:val="2"/>
              </w:rPr>
            </w:pPr>
          </w:p>
        </w:tc>
        <w:tc>
          <w:tcPr>
            <w:tcW w:w="4683" w:type="dxa"/>
          </w:tcPr>
          <w:p w14:paraId="2854D350" w14:textId="77777777" w:rsidR="00A71EEF" w:rsidRDefault="0081115D">
            <w:pPr>
              <w:pStyle w:val="TableParagraph"/>
              <w:spacing w:before="190"/>
              <w:ind w:left="4"/>
              <w:rPr>
                <w:sz w:val="24"/>
              </w:rPr>
            </w:pPr>
            <w:r>
              <w:rPr>
                <w:sz w:val="21"/>
              </w:rPr>
              <w:t xml:space="preserve">18. </w:t>
            </w:r>
            <w:r>
              <w:rPr>
                <w:sz w:val="21"/>
              </w:rPr>
              <w:t>显像管厂装配工煅烧车间</w:t>
            </w:r>
            <w:r>
              <w:rPr>
                <w:sz w:val="24"/>
              </w:rPr>
              <w:t xml:space="preserve"> </w:t>
            </w:r>
          </w:p>
        </w:tc>
        <w:tc>
          <w:tcPr>
            <w:tcW w:w="2501" w:type="dxa"/>
          </w:tcPr>
          <w:p w14:paraId="593B5D28" w14:textId="77777777" w:rsidR="00A71EEF" w:rsidRDefault="0081115D">
            <w:pPr>
              <w:pStyle w:val="TableParagraph"/>
              <w:spacing w:before="160"/>
              <w:ind w:left="7"/>
              <w:rPr>
                <w:sz w:val="24"/>
              </w:rPr>
            </w:pPr>
            <w:r>
              <w:rPr>
                <w:sz w:val="21"/>
              </w:rPr>
              <w:t xml:space="preserve"> </w:t>
            </w:r>
            <w:r>
              <w:rPr>
                <w:sz w:val="21"/>
              </w:rPr>
              <w:t xml:space="preserve"> </w:t>
            </w:r>
            <w:r>
              <w:rPr>
                <w:sz w:val="24"/>
              </w:rPr>
              <w:t xml:space="preserve"> </w:t>
            </w:r>
          </w:p>
        </w:tc>
      </w:tr>
      <w:tr w:rsidR="00A71EEF" w14:paraId="4D56F1BF" w14:textId="77777777">
        <w:trPr>
          <w:trHeight w:val="498"/>
        </w:trPr>
        <w:tc>
          <w:tcPr>
            <w:tcW w:w="1212" w:type="dxa"/>
            <w:vMerge/>
            <w:tcBorders>
              <w:top w:val="nil"/>
            </w:tcBorders>
          </w:tcPr>
          <w:p w14:paraId="05A43007" w14:textId="77777777" w:rsidR="00A71EEF" w:rsidRDefault="00A71EEF">
            <w:pPr>
              <w:rPr>
                <w:sz w:val="2"/>
                <w:szCs w:val="2"/>
              </w:rPr>
            </w:pPr>
          </w:p>
        </w:tc>
        <w:tc>
          <w:tcPr>
            <w:tcW w:w="4683" w:type="dxa"/>
          </w:tcPr>
          <w:p w14:paraId="06D34082" w14:textId="77777777" w:rsidR="00A71EEF" w:rsidRDefault="0081115D">
            <w:pPr>
              <w:pStyle w:val="TableParagraph"/>
              <w:spacing w:before="187"/>
              <w:ind w:left="4"/>
              <w:rPr>
                <w:sz w:val="24"/>
              </w:rPr>
            </w:pPr>
            <w:r>
              <w:rPr>
                <w:sz w:val="21"/>
              </w:rPr>
              <w:t xml:space="preserve">19. </w:t>
            </w:r>
            <w:r>
              <w:rPr>
                <w:sz w:val="21"/>
              </w:rPr>
              <w:t>磁带装配厂房</w:t>
            </w:r>
            <w:r>
              <w:rPr>
                <w:sz w:val="24"/>
              </w:rPr>
              <w:t xml:space="preserve"> </w:t>
            </w:r>
          </w:p>
        </w:tc>
        <w:tc>
          <w:tcPr>
            <w:tcW w:w="2501" w:type="dxa"/>
          </w:tcPr>
          <w:p w14:paraId="715E6509" w14:textId="77777777" w:rsidR="00A71EEF" w:rsidRDefault="0081115D">
            <w:pPr>
              <w:pStyle w:val="TableParagraph"/>
              <w:spacing w:before="157"/>
              <w:ind w:left="7"/>
              <w:rPr>
                <w:sz w:val="24"/>
              </w:rPr>
            </w:pPr>
            <w:r>
              <w:rPr>
                <w:sz w:val="21"/>
              </w:rPr>
              <w:t xml:space="preserve"> </w:t>
            </w:r>
            <w:r>
              <w:rPr>
                <w:sz w:val="21"/>
              </w:rPr>
              <w:t xml:space="preserve"> </w:t>
            </w:r>
            <w:r>
              <w:rPr>
                <w:sz w:val="24"/>
              </w:rPr>
              <w:t xml:space="preserve"> </w:t>
            </w:r>
          </w:p>
        </w:tc>
      </w:tr>
      <w:tr w:rsidR="00A71EEF" w14:paraId="25313AEB" w14:textId="77777777">
        <w:trPr>
          <w:trHeight w:val="501"/>
        </w:trPr>
        <w:tc>
          <w:tcPr>
            <w:tcW w:w="1212" w:type="dxa"/>
            <w:vMerge/>
            <w:tcBorders>
              <w:top w:val="nil"/>
            </w:tcBorders>
          </w:tcPr>
          <w:p w14:paraId="1B850062" w14:textId="77777777" w:rsidR="00A71EEF" w:rsidRDefault="00A71EEF">
            <w:pPr>
              <w:rPr>
                <w:sz w:val="2"/>
                <w:szCs w:val="2"/>
              </w:rPr>
            </w:pPr>
          </w:p>
        </w:tc>
        <w:tc>
          <w:tcPr>
            <w:tcW w:w="4683" w:type="dxa"/>
          </w:tcPr>
          <w:p w14:paraId="586C7AD4" w14:textId="77777777" w:rsidR="00A71EEF" w:rsidRDefault="0081115D">
            <w:pPr>
              <w:pStyle w:val="TableParagraph"/>
              <w:spacing w:before="190"/>
              <w:ind w:left="4"/>
              <w:rPr>
                <w:sz w:val="24"/>
              </w:rPr>
            </w:pPr>
            <w:r>
              <w:rPr>
                <w:sz w:val="21"/>
              </w:rPr>
              <w:t xml:space="preserve">20. </w:t>
            </w:r>
            <w:r>
              <w:rPr>
                <w:sz w:val="21"/>
              </w:rPr>
              <w:t>泡沫塑料厂的发泡、成型、印片、压花部位</w:t>
            </w:r>
            <w:r>
              <w:rPr>
                <w:sz w:val="24"/>
              </w:rPr>
              <w:t xml:space="preserve"> </w:t>
            </w:r>
          </w:p>
        </w:tc>
        <w:tc>
          <w:tcPr>
            <w:tcW w:w="2501" w:type="dxa"/>
          </w:tcPr>
          <w:p w14:paraId="54B0FEF1" w14:textId="77777777" w:rsidR="00A71EEF" w:rsidRDefault="0081115D">
            <w:pPr>
              <w:pStyle w:val="TableParagraph"/>
              <w:spacing w:before="160"/>
              <w:ind w:left="7"/>
              <w:rPr>
                <w:sz w:val="24"/>
              </w:rPr>
            </w:pPr>
            <w:r>
              <w:rPr>
                <w:sz w:val="21"/>
              </w:rPr>
              <w:t xml:space="preserve"> </w:t>
            </w:r>
            <w:r>
              <w:rPr>
                <w:sz w:val="21"/>
              </w:rPr>
              <w:t xml:space="preserve"> </w:t>
            </w:r>
            <w:r>
              <w:rPr>
                <w:sz w:val="24"/>
              </w:rPr>
              <w:t xml:space="preserve"> </w:t>
            </w:r>
          </w:p>
        </w:tc>
      </w:tr>
      <w:tr w:rsidR="00A71EEF" w14:paraId="30FEE63D" w14:textId="77777777">
        <w:trPr>
          <w:trHeight w:val="499"/>
        </w:trPr>
        <w:tc>
          <w:tcPr>
            <w:tcW w:w="1212" w:type="dxa"/>
            <w:vMerge/>
            <w:tcBorders>
              <w:top w:val="nil"/>
            </w:tcBorders>
          </w:tcPr>
          <w:p w14:paraId="6CAE1B44" w14:textId="77777777" w:rsidR="00A71EEF" w:rsidRDefault="00A71EEF">
            <w:pPr>
              <w:rPr>
                <w:sz w:val="2"/>
                <w:szCs w:val="2"/>
              </w:rPr>
            </w:pPr>
          </w:p>
        </w:tc>
        <w:tc>
          <w:tcPr>
            <w:tcW w:w="4683" w:type="dxa"/>
          </w:tcPr>
          <w:p w14:paraId="6E58EDFF" w14:textId="77777777" w:rsidR="00A71EEF" w:rsidRDefault="0081115D">
            <w:pPr>
              <w:pStyle w:val="TableParagraph"/>
              <w:spacing w:before="188"/>
              <w:ind w:left="4"/>
              <w:rPr>
                <w:sz w:val="24"/>
              </w:rPr>
            </w:pPr>
            <w:r>
              <w:rPr>
                <w:sz w:val="21"/>
              </w:rPr>
              <w:t xml:space="preserve">21. </w:t>
            </w:r>
            <w:r>
              <w:rPr>
                <w:sz w:val="21"/>
              </w:rPr>
              <w:t>饲料加工厂房</w:t>
            </w:r>
            <w:r>
              <w:rPr>
                <w:sz w:val="24"/>
              </w:rPr>
              <w:t xml:space="preserve"> </w:t>
            </w:r>
          </w:p>
        </w:tc>
        <w:tc>
          <w:tcPr>
            <w:tcW w:w="2501" w:type="dxa"/>
          </w:tcPr>
          <w:p w14:paraId="64AF37DC" w14:textId="77777777" w:rsidR="00A71EEF" w:rsidRDefault="0081115D">
            <w:pPr>
              <w:pStyle w:val="TableParagraph"/>
              <w:spacing w:before="158"/>
              <w:ind w:left="7"/>
              <w:rPr>
                <w:sz w:val="24"/>
              </w:rPr>
            </w:pPr>
            <w:r>
              <w:rPr>
                <w:sz w:val="21"/>
              </w:rPr>
              <w:t xml:space="preserve"> </w:t>
            </w:r>
            <w:r>
              <w:rPr>
                <w:sz w:val="21"/>
              </w:rPr>
              <w:t xml:space="preserve"> </w:t>
            </w:r>
            <w:r>
              <w:rPr>
                <w:sz w:val="24"/>
              </w:rPr>
              <w:t xml:space="preserve"> </w:t>
            </w:r>
          </w:p>
        </w:tc>
      </w:tr>
      <w:tr w:rsidR="00A71EEF" w14:paraId="3439F85B" w14:textId="77777777">
        <w:trPr>
          <w:trHeight w:val="501"/>
        </w:trPr>
        <w:tc>
          <w:tcPr>
            <w:tcW w:w="1212" w:type="dxa"/>
            <w:vMerge/>
            <w:tcBorders>
              <w:top w:val="nil"/>
            </w:tcBorders>
          </w:tcPr>
          <w:p w14:paraId="3DD37A8B" w14:textId="77777777" w:rsidR="00A71EEF" w:rsidRDefault="00A71EEF">
            <w:pPr>
              <w:rPr>
                <w:sz w:val="2"/>
                <w:szCs w:val="2"/>
              </w:rPr>
            </w:pPr>
          </w:p>
        </w:tc>
        <w:tc>
          <w:tcPr>
            <w:tcW w:w="4683" w:type="dxa"/>
          </w:tcPr>
          <w:p w14:paraId="7510EBCD" w14:textId="77777777" w:rsidR="00A71EEF" w:rsidRDefault="0081115D">
            <w:pPr>
              <w:pStyle w:val="TableParagraph"/>
              <w:spacing w:before="189"/>
              <w:ind w:left="4"/>
              <w:rPr>
                <w:sz w:val="24"/>
              </w:rPr>
            </w:pPr>
            <w:r>
              <w:rPr>
                <w:sz w:val="21"/>
              </w:rPr>
              <w:t xml:space="preserve">22. </w:t>
            </w:r>
            <w:r>
              <w:rPr>
                <w:sz w:val="21"/>
              </w:rPr>
              <w:t>地市级及以下的重点工程的施工现场</w:t>
            </w:r>
            <w:r>
              <w:rPr>
                <w:sz w:val="24"/>
              </w:rPr>
              <w:t xml:space="preserve"> </w:t>
            </w:r>
          </w:p>
        </w:tc>
        <w:tc>
          <w:tcPr>
            <w:tcW w:w="2501" w:type="dxa"/>
          </w:tcPr>
          <w:p w14:paraId="2533185A" w14:textId="77777777" w:rsidR="00A71EEF" w:rsidRDefault="0081115D">
            <w:pPr>
              <w:pStyle w:val="TableParagraph"/>
              <w:spacing w:before="159"/>
              <w:ind w:left="7"/>
              <w:rPr>
                <w:sz w:val="24"/>
              </w:rPr>
            </w:pPr>
            <w:r>
              <w:rPr>
                <w:sz w:val="21"/>
              </w:rPr>
              <w:t xml:space="preserve"> </w:t>
            </w:r>
            <w:r>
              <w:rPr>
                <w:sz w:val="21"/>
              </w:rPr>
              <w:t xml:space="preserve"> </w:t>
            </w:r>
            <w:r>
              <w:rPr>
                <w:sz w:val="24"/>
              </w:rPr>
              <w:t xml:space="preserve"> </w:t>
            </w:r>
          </w:p>
        </w:tc>
      </w:tr>
      <w:tr w:rsidR="00A71EEF" w14:paraId="1DA69AC2" w14:textId="77777777">
        <w:trPr>
          <w:trHeight w:val="1000"/>
        </w:trPr>
        <w:tc>
          <w:tcPr>
            <w:tcW w:w="1212" w:type="dxa"/>
            <w:vMerge w:val="restart"/>
          </w:tcPr>
          <w:p w14:paraId="2EF995B9" w14:textId="77777777" w:rsidR="00A71EEF" w:rsidRDefault="00A71EEF">
            <w:pPr>
              <w:pStyle w:val="TableParagraph"/>
              <w:rPr>
                <w:b/>
                <w:sz w:val="24"/>
              </w:rPr>
            </w:pPr>
          </w:p>
          <w:p w14:paraId="37F1ABCE" w14:textId="77777777" w:rsidR="00A71EEF" w:rsidRDefault="00A71EEF">
            <w:pPr>
              <w:pStyle w:val="TableParagraph"/>
              <w:rPr>
                <w:b/>
                <w:sz w:val="24"/>
              </w:rPr>
            </w:pPr>
          </w:p>
          <w:p w14:paraId="4D58D042" w14:textId="77777777" w:rsidR="00A71EEF" w:rsidRDefault="00A71EEF">
            <w:pPr>
              <w:pStyle w:val="TableParagraph"/>
              <w:rPr>
                <w:b/>
                <w:sz w:val="24"/>
              </w:rPr>
            </w:pPr>
          </w:p>
          <w:p w14:paraId="633A4652" w14:textId="77777777" w:rsidR="00A71EEF" w:rsidRDefault="00A71EEF">
            <w:pPr>
              <w:pStyle w:val="TableParagraph"/>
              <w:rPr>
                <w:b/>
                <w:sz w:val="24"/>
              </w:rPr>
            </w:pPr>
          </w:p>
          <w:p w14:paraId="4DA8A988" w14:textId="77777777" w:rsidR="00A71EEF" w:rsidRDefault="00A71EEF">
            <w:pPr>
              <w:pStyle w:val="TableParagraph"/>
              <w:rPr>
                <w:b/>
                <w:sz w:val="24"/>
              </w:rPr>
            </w:pPr>
          </w:p>
          <w:p w14:paraId="5A7C95E7" w14:textId="77777777" w:rsidR="00A71EEF" w:rsidRDefault="00A71EEF">
            <w:pPr>
              <w:pStyle w:val="TableParagraph"/>
              <w:rPr>
                <w:b/>
                <w:sz w:val="24"/>
              </w:rPr>
            </w:pPr>
          </w:p>
          <w:p w14:paraId="788FB467" w14:textId="77777777" w:rsidR="00A71EEF" w:rsidRDefault="00A71EEF">
            <w:pPr>
              <w:pStyle w:val="TableParagraph"/>
              <w:rPr>
                <w:b/>
                <w:sz w:val="24"/>
              </w:rPr>
            </w:pPr>
          </w:p>
          <w:p w14:paraId="3C08CC6D" w14:textId="77777777" w:rsidR="00A71EEF" w:rsidRDefault="00A71EEF">
            <w:pPr>
              <w:pStyle w:val="TableParagraph"/>
              <w:spacing w:before="4"/>
              <w:rPr>
                <w:b/>
                <w:sz w:val="25"/>
              </w:rPr>
            </w:pPr>
          </w:p>
          <w:p w14:paraId="389758ED" w14:textId="77777777" w:rsidR="00A71EEF" w:rsidRDefault="0081115D">
            <w:pPr>
              <w:pStyle w:val="TableParagraph"/>
              <w:spacing w:line="446" w:lineRule="auto"/>
              <w:ind w:left="498" w:right="369"/>
              <w:jc w:val="both"/>
              <w:rPr>
                <w:sz w:val="24"/>
              </w:rPr>
            </w:pPr>
            <w:r>
              <w:rPr>
                <w:sz w:val="21"/>
              </w:rPr>
              <w:t>轻危险级</w:t>
            </w:r>
            <w:r>
              <w:rPr>
                <w:sz w:val="24"/>
              </w:rPr>
              <w:t xml:space="preserve"> </w:t>
            </w:r>
          </w:p>
        </w:tc>
        <w:tc>
          <w:tcPr>
            <w:tcW w:w="4683" w:type="dxa"/>
          </w:tcPr>
          <w:p w14:paraId="213B4215" w14:textId="77777777" w:rsidR="00A71EEF" w:rsidRDefault="00A71EEF">
            <w:pPr>
              <w:pStyle w:val="TableParagraph"/>
              <w:spacing w:before="8"/>
              <w:rPr>
                <w:b/>
                <w:sz w:val="14"/>
              </w:rPr>
            </w:pPr>
          </w:p>
          <w:p w14:paraId="7962EC21" w14:textId="77777777" w:rsidR="00A71EEF" w:rsidRDefault="0081115D">
            <w:pPr>
              <w:pStyle w:val="TableParagraph"/>
              <w:ind w:left="4"/>
              <w:rPr>
                <w:sz w:val="21"/>
              </w:rPr>
            </w:pPr>
            <w:r>
              <w:rPr>
                <w:sz w:val="21"/>
              </w:rPr>
              <w:t xml:space="preserve">1. </w:t>
            </w:r>
            <w:r>
              <w:rPr>
                <w:sz w:val="21"/>
              </w:rPr>
              <w:t>金属冶炼、铸造、铆焊、热轧、锻造、热处理</w:t>
            </w:r>
          </w:p>
          <w:p w14:paraId="63099949" w14:textId="77777777" w:rsidR="00A71EEF" w:rsidRDefault="00A71EEF">
            <w:pPr>
              <w:pStyle w:val="TableParagraph"/>
              <w:spacing w:before="12"/>
              <w:rPr>
                <w:b/>
                <w:sz w:val="17"/>
              </w:rPr>
            </w:pPr>
          </w:p>
          <w:p w14:paraId="024A638F" w14:textId="77777777" w:rsidR="00A71EEF" w:rsidRDefault="0081115D">
            <w:pPr>
              <w:pStyle w:val="TableParagraph"/>
              <w:ind w:left="4"/>
              <w:rPr>
                <w:sz w:val="24"/>
              </w:rPr>
            </w:pPr>
            <w:r>
              <w:rPr>
                <w:sz w:val="21"/>
              </w:rPr>
              <w:t>厂房</w:t>
            </w:r>
            <w:r>
              <w:rPr>
                <w:sz w:val="24"/>
              </w:rPr>
              <w:t xml:space="preserve"> </w:t>
            </w:r>
          </w:p>
        </w:tc>
        <w:tc>
          <w:tcPr>
            <w:tcW w:w="2501" w:type="dxa"/>
          </w:tcPr>
          <w:p w14:paraId="7ADA16D9" w14:textId="77777777" w:rsidR="00A71EEF" w:rsidRDefault="00A71EEF">
            <w:pPr>
              <w:pStyle w:val="TableParagraph"/>
              <w:spacing w:before="1"/>
              <w:rPr>
                <w:b/>
                <w:sz w:val="34"/>
              </w:rPr>
            </w:pPr>
          </w:p>
          <w:p w14:paraId="1BAB81FD" w14:textId="77777777" w:rsidR="00A71EEF" w:rsidRDefault="0081115D">
            <w:pPr>
              <w:pStyle w:val="TableParagraph"/>
              <w:ind w:left="7"/>
              <w:rPr>
                <w:sz w:val="24"/>
              </w:rPr>
            </w:pPr>
            <w:r>
              <w:rPr>
                <w:sz w:val="21"/>
              </w:rPr>
              <w:t xml:space="preserve">1. </w:t>
            </w:r>
            <w:r>
              <w:rPr>
                <w:sz w:val="21"/>
              </w:rPr>
              <w:t>钢材库房、堆场</w:t>
            </w:r>
            <w:r>
              <w:rPr>
                <w:sz w:val="24"/>
              </w:rPr>
              <w:t xml:space="preserve"> </w:t>
            </w:r>
          </w:p>
        </w:tc>
      </w:tr>
      <w:tr w:rsidR="00A71EEF" w14:paraId="45C77DEE" w14:textId="77777777">
        <w:trPr>
          <w:trHeight w:val="498"/>
        </w:trPr>
        <w:tc>
          <w:tcPr>
            <w:tcW w:w="1212" w:type="dxa"/>
            <w:vMerge/>
            <w:tcBorders>
              <w:top w:val="nil"/>
            </w:tcBorders>
          </w:tcPr>
          <w:p w14:paraId="1B8BC1C5" w14:textId="77777777" w:rsidR="00A71EEF" w:rsidRDefault="00A71EEF">
            <w:pPr>
              <w:rPr>
                <w:sz w:val="2"/>
                <w:szCs w:val="2"/>
              </w:rPr>
            </w:pPr>
          </w:p>
        </w:tc>
        <w:tc>
          <w:tcPr>
            <w:tcW w:w="4683" w:type="dxa"/>
          </w:tcPr>
          <w:p w14:paraId="5B956C5F" w14:textId="77777777" w:rsidR="00A71EEF" w:rsidRDefault="0081115D">
            <w:pPr>
              <w:pStyle w:val="TableParagraph"/>
              <w:spacing w:before="187"/>
              <w:ind w:left="4"/>
              <w:rPr>
                <w:sz w:val="24"/>
              </w:rPr>
            </w:pPr>
            <w:r>
              <w:rPr>
                <w:sz w:val="21"/>
              </w:rPr>
              <w:t xml:space="preserve">2. </w:t>
            </w:r>
            <w:r>
              <w:rPr>
                <w:sz w:val="21"/>
              </w:rPr>
              <w:t>玻璃原料熔化厂房</w:t>
            </w:r>
            <w:r>
              <w:rPr>
                <w:sz w:val="24"/>
              </w:rPr>
              <w:t xml:space="preserve"> </w:t>
            </w:r>
          </w:p>
        </w:tc>
        <w:tc>
          <w:tcPr>
            <w:tcW w:w="2501" w:type="dxa"/>
          </w:tcPr>
          <w:p w14:paraId="0E6B4F22" w14:textId="77777777" w:rsidR="00A71EEF" w:rsidRDefault="0081115D">
            <w:pPr>
              <w:pStyle w:val="TableParagraph"/>
              <w:spacing w:before="187"/>
              <w:ind w:left="7"/>
              <w:rPr>
                <w:sz w:val="24"/>
              </w:rPr>
            </w:pPr>
            <w:r>
              <w:rPr>
                <w:sz w:val="21"/>
              </w:rPr>
              <w:t xml:space="preserve">2. </w:t>
            </w:r>
            <w:r>
              <w:rPr>
                <w:sz w:val="21"/>
              </w:rPr>
              <w:t>水泥库房、堆场</w:t>
            </w:r>
            <w:r>
              <w:rPr>
                <w:sz w:val="24"/>
              </w:rPr>
              <w:t xml:space="preserve"> </w:t>
            </w:r>
          </w:p>
        </w:tc>
      </w:tr>
      <w:tr w:rsidR="00A71EEF" w14:paraId="3B799134" w14:textId="77777777">
        <w:trPr>
          <w:trHeight w:val="1001"/>
        </w:trPr>
        <w:tc>
          <w:tcPr>
            <w:tcW w:w="1212" w:type="dxa"/>
            <w:vMerge/>
            <w:tcBorders>
              <w:top w:val="nil"/>
            </w:tcBorders>
          </w:tcPr>
          <w:p w14:paraId="1136DE3E" w14:textId="77777777" w:rsidR="00A71EEF" w:rsidRDefault="00A71EEF">
            <w:pPr>
              <w:rPr>
                <w:sz w:val="2"/>
                <w:szCs w:val="2"/>
              </w:rPr>
            </w:pPr>
          </w:p>
        </w:tc>
        <w:tc>
          <w:tcPr>
            <w:tcW w:w="4683" w:type="dxa"/>
          </w:tcPr>
          <w:p w14:paraId="00F8AEA5" w14:textId="77777777" w:rsidR="00A71EEF" w:rsidRDefault="00A71EEF">
            <w:pPr>
              <w:pStyle w:val="TableParagraph"/>
              <w:spacing w:before="4"/>
              <w:rPr>
                <w:b/>
                <w:sz w:val="34"/>
              </w:rPr>
            </w:pPr>
          </w:p>
          <w:p w14:paraId="5F50934E" w14:textId="77777777" w:rsidR="00A71EEF" w:rsidRDefault="0081115D">
            <w:pPr>
              <w:pStyle w:val="TableParagraph"/>
              <w:ind w:left="4"/>
              <w:rPr>
                <w:sz w:val="24"/>
              </w:rPr>
            </w:pPr>
            <w:r>
              <w:rPr>
                <w:sz w:val="21"/>
              </w:rPr>
              <w:t xml:space="preserve">3. </w:t>
            </w:r>
            <w:r>
              <w:rPr>
                <w:sz w:val="21"/>
              </w:rPr>
              <w:t>陶瓷制品的烘干、烧成厂房</w:t>
            </w:r>
            <w:r>
              <w:rPr>
                <w:sz w:val="24"/>
              </w:rPr>
              <w:t xml:space="preserve"> </w:t>
            </w:r>
          </w:p>
        </w:tc>
        <w:tc>
          <w:tcPr>
            <w:tcW w:w="2501" w:type="dxa"/>
          </w:tcPr>
          <w:p w14:paraId="31300D5A" w14:textId="77777777" w:rsidR="00A71EEF" w:rsidRDefault="00A71EEF">
            <w:pPr>
              <w:pStyle w:val="TableParagraph"/>
              <w:spacing w:before="8"/>
              <w:rPr>
                <w:b/>
                <w:sz w:val="14"/>
              </w:rPr>
            </w:pPr>
          </w:p>
          <w:p w14:paraId="1B7CF7DC" w14:textId="77777777" w:rsidR="00A71EEF" w:rsidRDefault="0081115D">
            <w:pPr>
              <w:pStyle w:val="TableParagraph"/>
              <w:ind w:left="7"/>
              <w:rPr>
                <w:sz w:val="21"/>
              </w:rPr>
            </w:pPr>
            <w:r>
              <w:rPr>
                <w:sz w:val="21"/>
              </w:rPr>
              <w:t xml:space="preserve">3. </w:t>
            </w:r>
            <w:r>
              <w:rPr>
                <w:sz w:val="21"/>
              </w:rPr>
              <w:t>搪瓷、陶瓷制品库房、</w:t>
            </w:r>
          </w:p>
          <w:p w14:paraId="243D754F" w14:textId="77777777" w:rsidR="00A71EEF" w:rsidRDefault="00A71EEF">
            <w:pPr>
              <w:pStyle w:val="TableParagraph"/>
              <w:spacing w:before="2"/>
              <w:rPr>
                <w:b/>
                <w:sz w:val="18"/>
              </w:rPr>
            </w:pPr>
          </w:p>
          <w:p w14:paraId="64CA2EFD" w14:textId="77777777" w:rsidR="00A71EEF" w:rsidRDefault="0081115D">
            <w:pPr>
              <w:pStyle w:val="TableParagraph"/>
              <w:ind w:left="7"/>
              <w:rPr>
                <w:sz w:val="24"/>
              </w:rPr>
            </w:pPr>
            <w:r>
              <w:rPr>
                <w:sz w:val="21"/>
              </w:rPr>
              <w:t>堆场</w:t>
            </w:r>
            <w:r>
              <w:rPr>
                <w:sz w:val="24"/>
              </w:rPr>
              <w:t xml:space="preserve"> </w:t>
            </w:r>
          </w:p>
        </w:tc>
      </w:tr>
      <w:tr w:rsidR="00A71EEF" w14:paraId="317F4CE5" w14:textId="77777777">
        <w:trPr>
          <w:trHeight w:val="1000"/>
        </w:trPr>
        <w:tc>
          <w:tcPr>
            <w:tcW w:w="1212" w:type="dxa"/>
            <w:vMerge/>
            <w:tcBorders>
              <w:top w:val="nil"/>
            </w:tcBorders>
          </w:tcPr>
          <w:p w14:paraId="41C443F1" w14:textId="77777777" w:rsidR="00A71EEF" w:rsidRDefault="00A71EEF">
            <w:pPr>
              <w:rPr>
                <w:sz w:val="2"/>
                <w:szCs w:val="2"/>
              </w:rPr>
            </w:pPr>
          </w:p>
        </w:tc>
        <w:tc>
          <w:tcPr>
            <w:tcW w:w="4683" w:type="dxa"/>
          </w:tcPr>
          <w:p w14:paraId="216F5C67" w14:textId="77777777" w:rsidR="00A71EEF" w:rsidRDefault="00A71EEF">
            <w:pPr>
              <w:pStyle w:val="TableParagraph"/>
              <w:spacing w:before="1"/>
              <w:rPr>
                <w:b/>
                <w:sz w:val="34"/>
              </w:rPr>
            </w:pPr>
          </w:p>
          <w:p w14:paraId="4838ABD1" w14:textId="77777777" w:rsidR="00A71EEF" w:rsidRDefault="0081115D">
            <w:pPr>
              <w:pStyle w:val="TableParagraph"/>
              <w:ind w:left="4"/>
              <w:rPr>
                <w:sz w:val="24"/>
              </w:rPr>
            </w:pPr>
            <w:r>
              <w:rPr>
                <w:sz w:val="21"/>
              </w:rPr>
              <w:t xml:space="preserve">4. </w:t>
            </w:r>
            <w:r>
              <w:rPr>
                <w:sz w:val="21"/>
              </w:rPr>
              <w:t>酚醛泡沫塑料的加工厂房</w:t>
            </w:r>
            <w:r>
              <w:rPr>
                <w:sz w:val="24"/>
              </w:rPr>
              <w:t xml:space="preserve"> </w:t>
            </w:r>
          </w:p>
        </w:tc>
        <w:tc>
          <w:tcPr>
            <w:tcW w:w="2501" w:type="dxa"/>
          </w:tcPr>
          <w:p w14:paraId="412446F2" w14:textId="77777777" w:rsidR="00A71EEF" w:rsidRDefault="00A71EEF">
            <w:pPr>
              <w:pStyle w:val="TableParagraph"/>
              <w:spacing w:before="8"/>
              <w:rPr>
                <w:b/>
                <w:sz w:val="14"/>
              </w:rPr>
            </w:pPr>
          </w:p>
          <w:p w14:paraId="27C27979" w14:textId="77777777" w:rsidR="00A71EEF" w:rsidRDefault="0081115D">
            <w:pPr>
              <w:pStyle w:val="TableParagraph"/>
              <w:ind w:left="7"/>
              <w:rPr>
                <w:sz w:val="21"/>
              </w:rPr>
            </w:pPr>
            <w:r>
              <w:rPr>
                <w:sz w:val="21"/>
              </w:rPr>
              <w:t xml:space="preserve">4. </w:t>
            </w:r>
            <w:r>
              <w:rPr>
                <w:sz w:val="21"/>
              </w:rPr>
              <w:t>难燃烧或非燃烧的建筑</w:t>
            </w:r>
          </w:p>
          <w:p w14:paraId="6ABADC57" w14:textId="77777777" w:rsidR="00A71EEF" w:rsidRDefault="00A71EEF">
            <w:pPr>
              <w:pStyle w:val="TableParagraph"/>
              <w:spacing w:before="1"/>
              <w:rPr>
                <w:b/>
                <w:sz w:val="18"/>
              </w:rPr>
            </w:pPr>
          </w:p>
          <w:p w14:paraId="1DA3D717" w14:textId="77777777" w:rsidR="00A71EEF" w:rsidRDefault="0081115D">
            <w:pPr>
              <w:pStyle w:val="TableParagraph"/>
              <w:spacing w:before="1"/>
              <w:ind w:left="7"/>
              <w:rPr>
                <w:sz w:val="24"/>
              </w:rPr>
            </w:pPr>
            <w:r>
              <w:rPr>
                <w:sz w:val="21"/>
              </w:rPr>
              <w:t>装饰材料库房、堆场</w:t>
            </w:r>
            <w:r>
              <w:rPr>
                <w:sz w:val="24"/>
              </w:rPr>
              <w:t xml:space="preserve"> </w:t>
            </w:r>
          </w:p>
        </w:tc>
      </w:tr>
      <w:tr w:rsidR="00A71EEF" w14:paraId="649B21BD" w14:textId="77777777">
        <w:trPr>
          <w:trHeight w:val="498"/>
        </w:trPr>
        <w:tc>
          <w:tcPr>
            <w:tcW w:w="1212" w:type="dxa"/>
            <w:vMerge/>
            <w:tcBorders>
              <w:top w:val="nil"/>
            </w:tcBorders>
          </w:tcPr>
          <w:p w14:paraId="7BB5C83A" w14:textId="77777777" w:rsidR="00A71EEF" w:rsidRDefault="00A71EEF">
            <w:pPr>
              <w:rPr>
                <w:sz w:val="2"/>
                <w:szCs w:val="2"/>
              </w:rPr>
            </w:pPr>
          </w:p>
        </w:tc>
        <w:tc>
          <w:tcPr>
            <w:tcW w:w="4683" w:type="dxa"/>
          </w:tcPr>
          <w:p w14:paraId="07CF4D83" w14:textId="77777777" w:rsidR="00A71EEF" w:rsidRDefault="0081115D">
            <w:pPr>
              <w:pStyle w:val="TableParagraph"/>
              <w:spacing w:before="187"/>
              <w:ind w:left="4"/>
              <w:rPr>
                <w:sz w:val="24"/>
              </w:rPr>
            </w:pPr>
            <w:r>
              <w:rPr>
                <w:sz w:val="21"/>
              </w:rPr>
              <w:t xml:space="preserve">5. </w:t>
            </w:r>
            <w:r>
              <w:rPr>
                <w:sz w:val="21"/>
              </w:rPr>
              <w:t>印染厂的漂炼部位</w:t>
            </w:r>
            <w:r>
              <w:rPr>
                <w:sz w:val="24"/>
              </w:rPr>
              <w:t xml:space="preserve"> </w:t>
            </w:r>
          </w:p>
        </w:tc>
        <w:tc>
          <w:tcPr>
            <w:tcW w:w="2501" w:type="dxa"/>
          </w:tcPr>
          <w:p w14:paraId="36DD588E" w14:textId="77777777" w:rsidR="00A71EEF" w:rsidRDefault="0081115D">
            <w:pPr>
              <w:pStyle w:val="TableParagraph"/>
              <w:spacing w:before="187"/>
              <w:ind w:left="7"/>
              <w:rPr>
                <w:sz w:val="24"/>
              </w:rPr>
            </w:pPr>
            <w:r>
              <w:rPr>
                <w:sz w:val="21"/>
              </w:rPr>
              <w:t xml:space="preserve">5. </w:t>
            </w:r>
            <w:r>
              <w:rPr>
                <w:sz w:val="21"/>
              </w:rPr>
              <w:t>原木库房、堆场</w:t>
            </w:r>
            <w:r>
              <w:rPr>
                <w:sz w:val="24"/>
              </w:rPr>
              <w:t xml:space="preserve"> </w:t>
            </w:r>
          </w:p>
        </w:tc>
      </w:tr>
      <w:tr w:rsidR="00A71EEF" w14:paraId="410B8DAE" w14:textId="77777777">
        <w:trPr>
          <w:trHeight w:val="1000"/>
        </w:trPr>
        <w:tc>
          <w:tcPr>
            <w:tcW w:w="1212" w:type="dxa"/>
            <w:vMerge/>
            <w:tcBorders>
              <w:top w:val="nil"/>
            </w:tcBorders>
          </w:tcPr>
          <w:p w14:paraId="2E6A4DEA" w14:textId="77777777" w:rsidR="00A71EEF" w:rsidRDefault="00A71EEF">
            <w:pPr>
              <w:rPr>
                <w:sz w:val="2"/>
                <w:szCs w:val="2"/>
              </w:rPr>
            </w:pPr>
          </w:p>
        </w:tc>
        <w:tc>
          <w:tcPr>
            <w:tcW w:w="4683" w:type="dxa"/>
          </w:tcPr>
          <w:p w14:paraId="3F3BE652" w14:textId="77777777" w:rsidR="00A71EEF" w:rsidRDefault="00A71EEF">
            <w:pPr>
              <w:pStyle w:val="TableParagraph"/>
              <w:spacing w:before="3"/>
              <w:rPr>
                <w:b/>
                <w:sz w:val="34"/>
              </w:rPr>
            </w:pPr>
          </w:p>
          <w:p w14:paraId="77FFA93C" w14:textId="77777777" w:rsidR="00A71EEF" w:rsidRDefault="0081115D">
            <w:pPr>
              <w:pStyle w:val="TableParagraph"/>
              <w:ind w:left="4"/>
              <w:rPr>
                <w:sz w:val="24"/>
              </w:rPr>
            </w:pPr>
            <w:r>
              <w:rPr>
                <w:sz w:val="21"/>
              </w:rPr>
              <w:t xml:space="preserve">6. </w:t>
            </w:r>
            <w:r>
              <w:rPr>
                <w:sz w:val="21"/>
              </w:rPr>
              <w:t>化纤厂后加工润湿部位</w:t>
            </w:r>
            <w:r>
              <w:rPr>
                <w:sz w:val="24"/>
              </w:rPr>
              <w:t xml:space="preserve"> </w:t>
            </w:r>
          </w:p>
        </w:tc>
        <w:tc>
          <w:tcPr>
            <w:tcW w:w="2501" w:type="dxa"/>
          </w:tcPr>
          <w:p w14:paraId="260C4DA6" w14:textId="77777777" w:rsidR="00A71EEF" w:rsidRDefault="0081115D">
            <w:pPr>
              <w:pStyle w:val="TableParagraph"/>
              <w:spacing w:line="500" w:lineRule="exact"/>
              <w:ind w:left="7" w:right="64"/>
              <w:rPr>
                <w:sz w:val="24"/>
              </w:rPr>
            </w:pPr>
            <w:r>
              <w:rPr>
                <w:sz w:val="21"/>
              </w:rPr>
              <w:t xml:space="preserve">6. </w:t>
            </w:r>
            <w:r>
              <w:rPr>
                <w:sz w:val="21"/>
              </w:rPr>
              <w:t>丁、戊类液体储罐区、桶装库房、堆场</w:t>
            </w:r>
            <w:r>
              <w:rPr>
                <w:sz w:val="24"/>
              </w:rPr>
              <w:t xml:space="preserve"> </w:t>
            </w:r>
          </w:p>
        </w:tc>
      </w:tr>
      <w:tr w:rsidR="00A71EEF" w14:paraId="6CF3AE46" w14:textId="77777777">
        <w:trPr>
          <w:trHeight w:val="501"/>
        </w:trPr>
        <w:tc>
          <w:tcPr>
            <w:tcW w:w="1212" w:type="dxa"/>
            <w:vMerge/>
            <w:tcBorders>
              <w:top w:val="nil"/>
            </w:tcBorders>
          </w:tcPr>
          <w:p w14:paraId="734724C6" w14:textId="77777777" w:rsidR="00A71EEF" w:rsidRDefault="00A71EEF">
            <w:pPr>
              <w:rPr>
                <w:sz w:val="2"/>
                <w:szCs w:val="2"/>
              </w:rPr>
            </w:pPr>
          </w:p>
        </w:tc>
        <w:tc>
          <w:tcPr>
            <w:tcW w:w="4683" w:type="dxa"/>
          </w:tcPr>
          <w:p w14:paraId="0B5AB499" w14:textId="77777777" w:rsidR="00A71EEF" w:rsidRDefault="0081115D">
            <w:pPr>
              <w:pStyle w:val="TableParagraph"/>
              <w:spacing w:before="187"/>
              <w:ind w:left="4"/>
              <w:rPr>
                <w:sz w:val="24"/>
              </w:rPr>
            </w:pPr>
            <w:r>
              <w:rPr>
                <w:sz w:val="21"/>
              </w:rPr>
              <w:t xml:space="preserve">7. </w:t>
            </w:r>
            <w:r>
              <w:rPr>
                <w:sz w:val="21"/>
              </w:rPr>
              <w:t>造纸厂或化纤厂的浆粕蒸煮工段</w:t>
            </w:r>
            <w:r>
              <w:rPr>
                <w:sz w:val="24"/>
              </w:rPr>
              <w:t xml:space="preserve"> </w:t>
            </w:r>
          </w:p>
        </w:tc>
        <w:tc>
          <w:tcPr>
            <w:tcW w:w="2501" w:type="dxa"/>
          </w:tcPr>
          <w:p w14:paraId="31CEFE04" w14:textId="77777777" w:rsidR="00A71EEF" w:rsidRDefault="0081115D">
            <w:pPr>
              <w:pStyle w:val="TableParagraph"/>
              <w:spacing w:before="157"/>
              <w:ind w:left="7"/>
              <w:rPr>
                <w:sz w:val="24"/>
              </w:rPr>
            </w:pPr>
            <w:r>
              <w:rPr>
                <w:sz w:val="21"/>
              </w:rPr>
              <w:t xml:space="preserve"> </w:t>
            </w:r>
            <w:r>
              <w:rPr>
                <w:sz w:val="21"/>
              </w:rPr>
              <w:t xml:space="preserve"> </w:t>
            </w:r>
            <w:r>
              <w:rPr>
                <w:sz w:val="24"/>
              </w:rPr>
              <w:t xml:space="preserve"> </w:t>
            </w:r>
          </w:p>
        </w:tc>
      </w:tr>
      <w:tr w:rsidR="00A71EEF" w14:paraId="19A68094" w14:textId="77777777">
        <w:trPr>
          <w:trHeight w:val="498"/>
        </w:trPr>
        <w:tc>
          <w:tcPr>
            <w:tcW w:w="1212" w:type="dxa"/>
            <w:vMerge/>
            <w:tcBorders>
              <w:top w:val="nil"/>
            </w:tcBorders>
          </w:tcPr>
          <w:p w14:paraId="5B71B6ED" w14:textId="77777777" w:rsidR="00A71EEF" w:rsidRDefault="00A71EEF">
            <w:pPr>
              <w:rPr>
                <w:sz w:val="2"/>
                <w:szCs w:val="2"/>
              </w:rPr>
            </w:pPr>
          </w:p>
        </w:tc>
        <w:tc>
          <w:tcPr>
            <w:tcW w:w="4683" w:type="dxa"/>
          </w:tcPr>
          <w:p w14:paraId="348399E9" w14:textId="77777777" w:rsidR="00A71EEF" w:rsidRDefault="0081115D">
            <w:pPr>
              <w:pStyle w:val="TableParagraph"/>
              <w:spacing w:before="187"/>
              <w:ind w:left="4"/>
              <w:rPr>
                <w:sz w:val="24"/>
              </w:rPr>
            </w:pPr>
            <w:r>
              <w:rPr>
                <w:sz w:val="21"/>
              </w:rPr>
              <w:t xml:space="preserve">8. </w:t>
            </w:r>
            <w:r>
              <w:rPr>
                <w:sz w:val="21"/>
              </w:rPr>
              <w:t>仪表、器械或车辆装配车间</w:t>
            </w:r>
            <w:r>
              <w:rPr>
                <w:sz w:val="24"/>
              </w:rPr>
              <w:t xml:space="preserve"> </w:t>
            </w:r>
          </w:p>
        </w:tc>
        <w:tc>
          <w:tcPr>
            <w:tcW w:w="2501" w:type="dxa"/>
          </w:tcPr>
          <w:p w14:paraId="37B44421" w14:textId="77777777" w:rsidR="00A71EEF" w:rsidRDefault="0081115D">
            <w:pPr>
              <w:pStyle w:val="TableParagraph"/>
              <w:spacing w:before="157"/>
              <w:ind w:left="7"/>
              <w:rPr>
                <w:sz w:val="24"/>
              </w:rPr>
            </w:pPr>
            <w:r>
              <w:rPr>
                <w:sz w:val="21"/>
              </w:rPr>
              <w:t xml:space="preserve"> </w:t>
            </w:r>
            <w:r>
              <w:rPr>
                <w:sz w:val="21"/>
              </w:rPr>
              <w:t xml:space="preserve"> </w:t>
            </w:r>
            <w:r>
              <w:rPr>
                <w:sz w:val="24"/>
              </w:rPr>
              <w:t xml:space="preserve"> </w:t>
            </w:r>
          </w:p>
        </w:tc>
      </w:tr>
      <w:tr w:rsidR="00A71EEF" w14:paraId="15796078" w14:textId="77777777">
        <w:trPr>
          <w:trHeight w:val="501"/>
        </w:trPr>
        <w:tc>
          <w:tcPr>
            <w:tcW w:w="1212" w:type="dxa"/>
            <w:vMerge/>
            <w:tcBorders>
              <w:top w:val="nil"/>
            </w:tcBorders>
          </w:tcPr>
          <w:p w14:paraId="239F7865" w14:textId="77777777" w:rsidR="00A71EEF" w:rsidRDefault="00A71EEF">
            <w:pPr>
              <w:rPr>
                <w:sz w:val="2"/>
                <w:szCs w:val="2"/>
              </w:rPr>
            </w:pPr>
          </w:p>
        </w:tc>
        <w:tc>
          <w:tcPr>
            <w:tcW w:w="4683" w:type="dxa"/>
          </w:tcPr>
          <w:p w14:paraId="37DA913C" w14:textId="77777777" w:rsidR="00A71EEF" w:rsidRDefault="0081115D">
            <w:pPr>
              <w:pStyle w:val="TableParagraph"/>
              <w:spacing w:before="187"/>
              <w:ind w:left="4"/>
              <w:rPr>
                <w:sz w:val="24"/>
              </w:rPr>
            </w:pPr>
            <w:r>
              <w:rPr>
                <w:sz w:val="21"/>
              </w:rPr>
              <w:t xml:space="preserve">9. </w:t>
            </w:r>
            <w:r>
              <w:rPr>
                <w:sz w:val="21"/>
              </w:rPr>
              <w:t>不燃液体的泵房和阀门室</w:t>
            </w:r>
            <w:r>
              <w:rPr>
                <w:sz w:val="24"/>
              </w:rPr>
              <w:t xml:space="preserve"> </w:t>
            </w:r>
          </w:p>
        </w:tc>
        <w:tc>
          <w:tcPr>
            <w:tcW w:w="2501" w:type="dxa"/>
          </w:tcPr>
          <w:p w14:paraId="57027CC4" w14:textId="77777777" w:rsidR="00A71EEF" w:rsidRDefault="0081115D">
            <w:pPr>
              <w:pStyle w:val="TableParagraph"/>
              <w:spacing w:before="157"/>
              <w:ind w:left="7"/>
              <w:rPr>
                <w:sz w:val="24"/>
              </w:rPr>
            </w:pPr>
            <w:r>
              <w:rPr>
                <w:sz w:val="21"/>
              </w:rPr>
              <w:t xml:space="preserve"> </w:t>
            </w:r>
            <w:r>
              <w:rPr>
                <w:sz w:val="21"/>
              </w:rPr>
              <w:t xml:space="preserve"> </w:t>
            </w:r>
            <w:r>
              <w:rPr>
                <w:sz w:val="24"/>
              </w:rPr>
              <w:t xml:space="preserve"> </w:t>
            </w:r>
          </w:p>
        </w:tc>
      </w:tr>
    </w:tbl>
    <w:p w14:paraId="6C769955" w14:textId="77777777" w:rsidR="00A71EEF" w:rsidRDefault="00A71EEF">
      <w:pPr>
        <w:rPr>
          <w:sz w:val="24"/>
        </w:rPr>
        <w:sectPr w:rsidR="00A71EEF">
          <w:pgSz w:w="11910" w:h="16850"/>
          <w:pgMar w:top="1080" w:right="0" w:bottom="1340" w:left="1260" w:header="0" w:footer="1159" w:gutter="0"/>
          <w:cols w:space="720"/>
        </w:sectPr>
      </w:pP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2"/>
        <w:gridCol w:w="4683"/>
        <w:gridCol w:w="2501"/>
      </w:tblGrid>
      <w:tr w:rsidR="00A71EEF" w14:paraId="764905D5" w14:textId="77777777">
        <w:trPr>
          <w:trHeight w:val="499"/>
        </w:trPr>
        <w:tc>
          <w:tcPr>
            <w:tcW w:w="1212" w:type="dxa"/>
            <w:vMerge w:val="restart"/>
          </w:tcPr>
          <w:p w14:paraId="1CE5457F" w14:textId="77777777" w:rsidR="00A71EEF" w:rsidRDefault="00A71EEF">
            <w:pPr>
              <w:pStyle w:val="TableParagraph"/>
              <w:rPr>
                <w:rFonts w:ascii="Times New Roman"/>
                <w:sz w:val="20"/>
              </w:rPr>
            </w:pPr>
          </w:p>
        </w:tc>
        <w:tc>
          <w:tcPr>
            <w:tcW w:w="4683" w:type="dxa"/>
          </w:tcPr>
          <w:p w14:paraId="22A7D71B" w14:textId="77777777" w:rsidR="00A71EEF" w:rsidRDefault="0081115D">
            <w:pPr>
              <w:pStyle w:val="TableParagraph"/>
              <w:spacing w:before="187"/>
              <w:ind w:left="4"/>
              <w:rPr>
                <w:sz w:val="24"/>
              </w:rPr>
            </w:pPr>
            <w:r>
              <w:rPr>
                <w:sz w:val="21"/>
              </w:rPr>
              <w:t xml:space="preserve">10. </w:t>
            </w:r>
            <w:r>
              <w:rPr>
                <w:sz w:val="21"/>
              </w:rPr>
              <w:t>金属（镁合金除外）冷加工车间</w:t>
            </w:r>
            <w:r>
              <w:rPr>
                <w:sz w:val="24"/>
              </w:rPr>
              <w:t xml:space="preserve"> </w:t>
            </w:r>
          </w:p>
        </w:tc>
        <w:tc>
          <w:tcPr>
            <w:tcW w:w="2501" w:type="dxa"/>
          </w:tcPr>
          <w:p w14:paraId="1BF3E29B" w14:textId="77777777" w:rsidR="00A71EEF" w:rsidRDefault="0081115D">
            <w:pPr>
              <w:pStyle w:val="TableParagraph"/>
              <w:spacing w:before="157"/>
              <w:ind w:left="7"/>
              <w:rPr>
                <w:sz w:val="24"/>
              </w:rPr>
            </w:pPr>
            <w:r>
              <w:rPr>
                <w:sz w:val="21"/>
              </w:rPr>
              <w:t xml:space="preserve"> </w:t>
            </w:r>
            <w:r>
              <w:rPr>
                <w:sz w:val="21"/>
              </w:rPr>
              <w:t xml:space="preserve"> </w:t>
            </w:r>
            <w:r>
              <w:rPr>
                <w:sz w:val="24"/>
              </w:rPr>
              <w:t xml:space="preserve"> </w:t>
            </w:r>
          </w:p>
        </w:tc>
      </w:tr>
      <w:tr w:rsidR="00A71EEF" w14:paraId="1D5FA934" w14:textId="77777777">
        <w:trPr>
          <w:trHeight w:val="501"/>
        </w:trPr>
        <w:tc>
          <w:tcPr>
            <w:tcW w:w="1212" w:type="dxa"/>
            <w:vMerge/>
            <w:tcBorders>
              <w:top w:val="nil"/>
            </w:tcBorders>
          </w:tcPr>
          <w:p w14:paraId="6A71BF0D" w14:textId="77777777" w:rsidR="00A71EEF" w:rsidRDefault="00A71EEF">
            <w:pPr>
              <w:rPr>
                <w:sz w:val="2"/>
                <w:szCs w:val="2"/>
              </w:rPr>
            </w:pPr>
          </w:p>
        </w:tc>
        <w:tc>
          <w:tcPr>
            <w:tcW w:w="4683" w:type="dxa"/>
          </w:tcPr>
          <w:p w14:paraId="28BB4D89" w14:textId="77777777" w:rsidR="00A71EEF" w:rsidRDefault="0081115D">
            <w:pPr>
              <w:pStyle w:val="TableParagraph"/>
              <w:spacing w:before="187"/>
              <w:ind w:left="4"/>
              <w:rPr>
                <w:sz w:val="24"/>
              </w:rPr>
            </w:pPr>
            <w:r>
              <w:rPr>
                <w:sz w:val="21"/>
              </w:rPr>
              <w:t xml:space="preserve">11. </w:t>
            </w:r>
            <w:r>
              <w:rPr>
                <w:sz w:val="21"/>
              </w:rPr>
              <w:t>氟里昂厂房</w:t>
            </w:r>
            <w:r>
              <w:rPr>
                <w:sz w:val="24"/>
              </w:rPr>
              <w:t xml:space="preserve"> </w:t>
            </w:r>
          </w:p>
        </w:tc>
        <w:tc>
          <w:tcPr>
            <w:tcW w:w="2501" w:type="dxa"/>
          </w:tcPr>
          <w:p w14:paraId="349A4541" w14:textId="77777777" w:rsidR="00A71EEF" w:rsidRDefault="0081115D">
            <w:pPr>
              <w:pStyle w:val="TableParagraph"/>
              <w:spacing w:before="157"/>
              <w:ind w:left="7"/>
              <w:rPr>
                <w:sz w:val="24"/>
              </w:rPr>
            </w:pPr>
            <w:r>
              <w:rPr>
                <w:sz w:val="21"/>
              </w:rPr>
              <w:t xml:space="preserve"> </w:t>
            </w:r>
            <w:r>
              <w:rPr>
                <w:sz w:val="21"/>
              </w:rPr>
              <w:t xml:space="preserve"> </w:t>
            </w:r>
            <w:r>
              <w:rPr>
                <w:sz w:val="24"/>
              </w:rPr>
              <w:t xml:space="preserve"> </w:t>
            </w:r>
          </w:p>
        </w:tc>
      </w:tr>
    </w:tbl>
    <w:p w14:paraId="79EAFA84" w14:textId="77777777" w:rsidR="00A71EEF" w:rsidRDefault="00A71EEF">
      <w:pPr>
        <w:pStyle w:val="a3"/>
        <w:spacing w:before="4"/>
        <w:rPr>
          <w:b/>
          <w:sz w:val="27"/>
        </w:rPr>
      </w:pPr>
    </w:p>
    <w:p w14:paraId="469996DC" w14:textId="77777777" w:rsidR="00A71EEF" w:rsidRDefault="0081115D">
      <w:pPr>
        <w:spacing w:before="67"/>
        <w:ind w:right="898"/>
        <w:jc w:val="center"/>
        <w:rPr>
          <w:b/>
          <w:sz w:val="24"/>
        </w:rPr>
      </w:pPr>
      <w:r>
        <w:rPr>
          <w:b/>
          <w:sz w:val="24"/>
        </w:rPr>
        <w:t>附录</w:t>
      </w:r>
      <w:r>
        <w:rPr>
          <w:b/>
          <w:sz w:val="24"/>
        </w:rPr>
        <w:t xml:space="preserve"> D </w:t>
      </w:r>
      <w:r>
        <w:rPr>
          <w:b/>
          <w:sz w:val="24"/>
        </w:rPr>
        <w:t>民用建筑灭火器配置场所的危险等级举例</w:t>
      </w:r>
      <w:r>
        <w:rPr>
          <w:b/>
          <w:w w:val="99"/>
          <w:sz w:val="24"/>
        </w:rPr>
        <w:t xml:space="preserve"> </w:t>
      </w:r>
    </w:p>
    <w:p w14:paraId="0D3D47F9" w14:textId="77777777" w:rsidR="00A71EEF" w:rsidRDefault="00A71EEF">
      <w:pPr>
        <w:pStyle w:val="a3"/>
        <w:rPr>
          <w:b/>
          <w:sz w:val="24"/>
        </w:rPr>
      </w:pPr>
    </w:p>
    <w:p w14:paraId="02FECAF7" w14:textId="77777777" w:rsidR="00A71EEF" w:rsidRDefault="0081115D">
      <w:pPr>
        <w:spacing w:before="175" w:after="40"/>
        <w:ind w:right="930"/>
        <w:jc w:val="center"/>
        <w:rPr>
          <w:sz w:val="18"/>
        </w:rPr>
      </w:pPr>
      <w:r>
        <w:rPr>
          <w:b/>
          <w:sz w:val="21"/>
        </w:rPr>
        <w:t>表</w:t>
      </w:r>
      <w:r>
        <w:rPr>
          <w:b/>
          <w:sz w:val="21"/>
        </w:rPr>
        <w:t xml:space="preserve"> D </w:t>
      </w:r>
      <w:r>
        <w:rPr>
          <w:b/>
          <w:sz w:val="21"/>
        </w:rPr>
        <w:t>民用建筑灭火器配置场所的危险等级举例</w:t>
      </w:r>
      <w:r>
        <w:rPr>
          <w:sz w:val="18"/>
        </w:rPr>
        <w:t xml:space="preserve"> </w:t>
      </w: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6"/>
        <w:gridCol w:w="7101"/>
      </w:tblGrid>
      <w:tr w:rsidR="00A71EEF" w14:paraId="0B027A85" w14:textId="77777777">
        <w:trPr>
          <w:trHeight w:val="501"/>
        </w:trPr>
        <w:tc>
          <w:tcPr>
            <w:tcW w:w="1296" w:type="dxa"/>
          </w:tcPr>
          <w:p w14:paraId="03BD1F5B" w14:textId="77777777" w:rsidR="00A71EEF" w:rsidRDefault="0081115D">
            <w:pPr>
              <w:pStyle w:val="TableParagraph"/>
              <w:spacing w:before="190"/>
              <w:ind w:left="227"/>
              <w:rPr>
                <w:sz w:val="24"/>
              </w:rPr>
            </w:pPr>
            <w:r>
              <w:rPr>
                <w:sz w:val="21"/>
              </w:rPr>
              <w:t>危险等级</w:t>
            </w:r>
            <w:r>
              <w:rPr>
                <w:sz w:val="24"/>
              </w:rPr>
              <w:t xml:space="preserve"> </w:t>
            </w:r>
          </w:p>
        </w:tc>
        <w:tc>
          <w:tcPr>
            <w:tcW w:w="7101" w:type="dxa"/>
          </w:tcPr>
          <w:p w14:paraId="09688D54" w14:textId="77777777" w:rsidR="00A71EEF" w:rsidRDefault="0081115D">
            <w:pPr>
              <w:pStyle w:val="TableParagraph"/>
              <w:spacing w:before="190"/>
              <w:ind w:left="3170" w:right="3041"/>
              <w:jc w:val="center"/>
              <w:rPr>
                <w:sz w:val="24"/>
              </w:rPr>
            </w:pPr>
            <w:r>
              <w:rPr>
                <w:sz w:val="21"/>
              </w:rPr>
              <w:t>举</w:t>
            </w:r>
            <w:r>
              <w:rPr>
                <w:sz w:val="21"/>
              </w:rPr>
              <w:t xml:space="preserve">    </w:t>
            </w:r>
            <w:r>
              <w:rPr>
                <w:sz w:val="21"/>
              </w:rPr>
              <w:t>例</w:t>
            </w:r>
            <w:r>
              <w:rPr>
                <w:sz w:val="24"/>
              </w:rPr>
              <w:t xml:space="preserve"> </w:t>
            </w:r>
          </w:p>
        </w:tc>
      </w:tr>
      <w:tr w:rsidR="00A71EEF" w14:paraId="3D50B81F" w14:textId="77777777">
        <w:trPr>
          <w:trHeight w:val="499"/>
        </w:trPr>
        <w:tc>
          <w:tcPr>
            <w:tcW w:w="1296" w:type="dxa"/>
            <w:vMerge w:val="restart"/>
          </w:tcPr>
          <w:p w14:paraId="7922EE92" w14:textId="77777777" w:rsidR="00A71EEF" w:rsidRDefault="00A71EEF">
            <w:pPr>
              <w:pStyle w:val="TableParagraph"/>
              <w:rPr>
                <w:sz w:val="24"/>
              </w:rPr>
            </w:pPr>
          </w:p>
          <w:p w14:paraId="4C27616C" w14:textId="77777777" w:rsidR="00A71EEF" w:rsidRDefault="00A71EEF">
            <w:pPr>
              <w:pStyle w:val="TableParagraph"/>
              <w:rPr>
                <w:sz w:val="24"/>
              </w:rPr>
            </w:pPr>
          </w:p>
          <w:p w14:paraId="1DD149AC" w14:textId="77777777" w:rsidR="00A71EEF" w:rsidRDefault="00A71EEF">
            <w:pPr>
              <w:pStyle w:val="TableParagraph"/>
              <w:rPr>
                <w:sz w:val="24"/>
              </w:rPr>
            </w:pPr>
          </w:p>
          <w:p w14:paraId="0104125F" w14:textId="77777777" w:rsidR="00A71EEF" w:rsidRDefault="00A71EEF">
            <w:pPr>
              <w:pStyle w:val="TableParagraph"/>
              <w:rPr>
                <w:sz w:val="24"/>
              </w:rPr>
            </w:pPr>
          </w:p>
          <w:p w14:paraId="1441738C" w14:textId="77777777" w:rsidR="00A71EEF" w:rsidRDefault="00A71EEF">
            <w:pPr>
              <w:pStyle w:val="TableParagraph"/>
              <w:rPr>
                <w:sz w:val="24"/>
              </w:rPr>
            </w:pPr>
          </w:p>
          <w:p w14:paraId="2DFA7BB5" w14:textId="77777777" w:rsidR="00A71EEF" w:rsidRDefault="00A71EEF">
            <w:pPr>
              <w:pStyle w:val="TableParagraph"/>
              <w:rPr>
                <w:sz w:val="24"/>
              </w:rPr>
            </w:pPr>
          </w:p>
          <w:p w14:paraId="7D68966B" w14:textId="77777777" w:rsidR="00A71EEF" w:rsidRDefault="00A71EEF">
            <w:pPr>
              <w:pStyle w:val="TableParagraph"/>
              <w:rPr>
                <w:sz w:val="24"/>
              </w:rPr>
            </w:pPr>
          </w:p>
          <w:p w14:paraId="305F9041" w14:textId="77777777" w:rsidR="00A71EEF" w:rsidRDefault="00A71EEF">
            <w:pPr>
              <w:pStyle w:val="TableParagraph"/>
              <w:rPr>
                <w:sz w:val="24"/>
              </w:rPr>
            </w:pPr>
          </w:p>
          <w:p w14:paraId="5D2DD5C5" w14:textId="77777777" w:rsidR="00A71EEF" w:rsidRDefault="00A71EEF">
            <w:pPr>
              <w:pStyle w:val="TableParagraph"/>
              <w:rPr>
                <w:sz w:val="24"/>
              </w:rPr>
            </w:pPr>
          </w:p>
          <w:p w14:paraId="426EBD55" w14:textId="77777777" w:rsidR="00A71EEF" w:rsidRDefault="00A71EEF">
            <w:pPr>
              <w:pStyle w:val="TableParagraph"/>
              <w:rPr>
                <w:sz w:val="24"/>
              </w:rPr>
            </w:pPr>
          </w:p>
          <w:p w14:paraId="2D624CC2" w14:textId="77777777" w:rsidR="00A71EEF" w:rsidRDefault="00A71EEF">
            <w:pPr>
              <w:pStyle w:val="TableParagraph"/>
              <w:rPr>
                <w:sz w:val="24"/>
              </w:rPr>
            </w:pPr>
          </w:p>
          <w:p w14:paraId="2F277104" w14:textId="77777777" w:rsidR="00A71EEF" w:rsidRDefault="00A71EEF">
            <w:pPr>
              <w:pStyle w:val="TableParagraph"/>
              <w:rPr>
                <w:sz w:val="24"/>
              </w:rPr>
            </w:pPr>
          </w:p>
          <w:p w14:paraId="17276552" w14:textId="77777777" w:rsidR="00A71EEF" w:rsidRDefault="00A71EEF">
            <w:pPr>
              <w:pStyle w:val="TableParagraph"/>
              <w:rPr>
                <w:sz w:val="24"/>
              </w:rPr>
            </w:pPr>
          </w:p>
          <w:p w14:paraId="5D66BD79" w14:textId="77777777" w:rsidR="00A71EEF" w:rsidRDefault="00A71EEF">
            <w:pPr>
              <w:pStyle w:val="TableParagraph"/>
              <w:rPr>
                <w:sz w:val="24"/>
              </w:rPr>
            </w:pPr>
          </w:p>
          <w:p w14:paraId="497FBE1F" w14:textId="77777777" w:rsidR="00A71EEF" w:rsidRDefault="00A71EEF">
            <w:pPr>
              <w:pStyle w:val="TableParagraph"/>
              <w:spacing w:before="7"/>
              <w:rPr>
                <w:sz w:val="17"/>
              </w:rPr>
            </w:pPr>
          </w:p>
          <w:p w14:paraId="44AD8C12" w14:textId="77777777" w:rsidR="00A71EEF" w:rsidRDefault="0081115D">
            <w:pPr>
              <w:pStyle w:val="TableParagraph"/>
              <w:spacing w:before="1" w:line="446" w:lineRule="auto"/>
              <w:ind w:left="542" w:right="410"/>
              <w:jc w:val="both"/>
              <w:rPr>
                <w:sz w:val="24"/>
              </w:rPr>
            </w:pPr>
            <w:r>
              <w:rPr>
                <w:sz w:val="21"/>
              </w:rPr>
              <w:t>严重危险级</w:t>
            </w:r>
            <w:r>
              <w:rPr>
                <w:sz w:val="24"/>
              </w:rPr>
              <w:t xml:space="preserve"> </w:t>
            </w:r>
          </w:p>
        </w:tc>
        <w:tc>
          <w:tcPr>
            <w:tcW w:w="7101" w:type="dxa"/>
          </w:tcPr>
          <w:p w14:paraId="50E35C17" w14:textId="77777777" w:rsidR="00A71EEF" w:rsidRDefault="0081115D">
            <w:pPr>
              <w:pStyle w:val="TableParagraph"/>
              <w:spacing w:before="190"/>
              <w:ind w:left="4"/>
              <w:rPr>
                <w:sz w:val="24"/>
              </w:rPr>
            </w:pPr>
            <w:r>
              <w:rPr>
                <w:sz w:val="21"/>
              </w:rPr>
              <w:t xml:space="preserve">1. </w:t>
            </w:r>
            <w:r>
              <w:rPr>
                <w:sz w:val="21"/>
              </w:rPr>
              <w:t>县级及以上的文物保护单位、档案馆、博物馆的库房、展览室、阅览室</w:t>
            </w:r>
            <w:r>
              <w:rPr>
                <w:sz w:val="24"/>
              </w:rPr>
              <w:t xml:space="preserve"> </w:t>
            </w:r>
          </w:p>
        </w:tc>
      </w:tr>
      <w:tr w:rsidR="00A71EEF" w14:paraId="3E919460" w14:textId="77777777">
        <w:trPr>
          <w:trHeight w:val="501"/>
        </w:trPr>
        <w:tc>
          <w:tcPr>
            <w:tcW w:w="1296" w:type="dxa"/>
            <w:vMerge/>
            <w:tcBorders>
              <w:top w:val="nil"/>
            </w:tcBorders>
          </w:tcPr>
          <w:p w14:paraId="5CB447F7" w14:textId="77777777" w:rsidR="00A71EEF" w:rsidRDefault="00A71EEF">
            <w:pPr>
              <w:rPr>
                <w:sz w:val="2"/>
                <w:szCs w:val="2"/>
              </w:rPr>
            </w:pPr>
          </w:p>
        </w:tc>
        <w:tc>
          <w:tcPr>
            <w:tcW w:w="7101" w:type="dxa"/>
          </w:tcPr>
          <w:p w14:paraId="0B39AC3F" w14:textId="77777777" w:rsidR="00A71EEF" w:rsidRDefault="0081115D">
            <w:pPr>
              <w:pStyle w:val="TableParagraph"/>
              <w:spacing w:before="190"/>
              <w:ind w:left="4"/>
              <w:rPr>
                <w:sz w:val="24"/>
              </w:rPr>
            </w:pPr>
            <w:r>
              <w:rPr>
                <w:sz w:val="21"/>
              </w:rPr>
              <w:t xml:space="preserve">2. </w:t>
            </w:r>
            <w:r>
              <w:rPr>
                <w:sz w:val="21"/>
              </w:rPr>
              <w:t>设备贵重或可燃物多的实验室</w:t>
            </w:r>
            <w:r>
              <w:rPr>
                <w:sz w:val="24"/>
              </w:rPr>
              <w:t xml:space="preserve"> </w:t>
            </w:r>
          </w:p>
        </w:tc>
      </w:tr>
      <w:tr w:rsidR="00A71EEF" w14:paraId="4D42E50C" w14:textId="77777777">
        <w:trPr>
          <w:trHeight w:val="498"/>
        </w:trPr>
        <w:tc>
          <w:tcPr>
            <w:tcW w:w="1296" w:type="dxa"/>
            <w:vMerge/>
            <w:tcBorders>
              <w:top w:val="nil"/>
            </w:tcBorders>
          </w:tcPr>
          <w:p w14:paraId="71F5F625" w14:textId="77777777" w:rsidR="00A71EEF" w:rsidRDefault="00A71EEF">
            <w:pPr>
              <w:rPr>
                <w:sz w:val="2"/>
                <w:szCs w:val="2"/>
              </w:rPr>
            </w:pPr>
          </w:p>
        </w:tc>
        <w:tc>
          <w:tcPr>
            <w:tcW w:w="7101" w:type="dxa"/>
          </w:tcPr>
          <w:p w14:paraId="03F0F064" w14:textId="77777777" w:rsidR="00A71EEF" w:rsidRDefault="0081115D">
            <w:pPr>
              <w:pStyle w:val="TableParagraph"/>
              <w:spacing w:before="190"/>
              <w:ind w:left="4"/>
              <w:rPr>
                <w:sz w:val="24"/>
              </w:rPr>
            </w:pPr>
            <w:r>
              <w:rPr>
                <w:sz w:val="21"/>
              </w:rPr>
              <w:t xml:space="preserve">3. </w:t>
            </w:r>
            <w:r>
              <w:rPr>
                <w:sz w:val="21"/>
              </w:rPr>
              <w:t>广播电台、电视台的演播室、道具间和发射塔楼</w:t>
            </w:r>
            <w:r>
              <w:rPr>
                <w:sz w:val="24"/>
              </w:rPr>
              <w:t xml:space="preserve"> </w:t>
            </w:r>
          </w:p>
        </w:tc>
      </w:tr>
      <w:tr w:rsidR="00A71EEF" w14:paraId="1CFC78D2" w14:textId="77777777">
        <w:trPr>
          <w:trHeight w:val="501"/>
        </w:trPr>
        <w:tc>
          <w:tcPr>
            <w:tcW w:w="1296" w:type="dxa"/>
            <w:vMerge/>
            <w:tcBorders>
              <w:top w:val="nil"/>
            </w:tcBorders>
          </w:tcPr>
          <w:p w14:paraId="1A59EA75" w14:textId="77777777" w:rsidR="00A71EEF" w:rsidRDefault="00A71EEF">
            <w:pPr>
              <w:rPr>
                <w:sz w:val="2"/>
                <w:szCs w:val="2"/>
              </w:rPr>
            </w:pPr>
          </w:p>
        </w:tc>
        <w:tc>
          <w:tcPr>
            <w:tcW w:w="7101" w:type="dxa"/>
          </w:tcPr>
          <w:p w14:paraId="06844FF7" w14:textId="77777777" w:rsidR="00A71EEF" w:rsidRDefault="0081115D">
            <w:pPr>
              <w:pStyle w:val="TableParagraph"/>
              <w:spacing w:before="190"/>
              <w:ind w:left="4"/>
              <w:rPr>
                <w:sz w:val="24"/>
              </w:rPr>
            </w:pPr>
            <w:r>
              <w:rPr>
                <w:sz w:val="21"/>
              </w:rPr>
              <w:t xml:space="preserve">4. </w:t>
            </w:r>
            <w:r>
              <w:rPr>
                <w:sz w:val="21"/>
              </w:rPr>
              <w:t>专用电子计算机房</w:t>
            </w:r>
            <w:r>
              <w:rPr>
                <w:sz w:val="24"/>
              </w:rPr>
              <w:t xml:space="preserve"> </w:t>
            </w:r>
          </w:p>
        </w:tc>
      </w:tr>
      <w:tr w:rsidR="00A71EEF" w14:paraId="22E4CE2D" w14:textId="77777777">
        <w:trPr>
          <w:trHeight w:val="498"/>
        </w:trPr>
        <w:tc>
          <w:tcPr>
            <w:tcW w:w="1296" w:type="dxa"/>
            <w:vMerge/>
            <w:tcBorders>
              <w:top w:val="nil"/>
            </w:tcBorders>
          </w:tcPr>
          <w:p w14:paraId="1CB3CBB6" w14:textId="77777777" w:rsidR="00A71EEF" w:rsidRDefault="00A71EEF">
            <w:pPr>
              <w:rPr>
                <w:sz w:val="2"/>
                <w:szCs w:val="2"/>
              </w:rPr>
            </w:pPr>
          </w:p>
        </w:tc>
        <w:tc>
          <w:tcPr>
            <w:tcW w:w="7101" w:type="dxa"/>
          </w:tcPr>
          <w:p w14:paraId="389ABA2B" w14:textId="77777777" w:rsidR="00A71EEF" w:rsidRDefault="0081115D">
            <w:pPr>
              <w:pStyle w:val="TableParagraph"/>
              <w:spacing w:before="190"/>
              <w:ind w:left="4"/>
              <w:rPr>
                <w:sz w:val="24"/>
              </w:rPr>
            </w:pPr>
            <w:r>
              <w:rPr>
                <w:sz w:val="21"/>
              </w:rPr>
              <w:t xml:space="preserve">5. </w:t>
            </w:r>
            <w:r>
              <w:rPr>
                <w:sz w:val="21"/>
              </w:rPr>
              <w:t>城镇及以上的邮政信函和包裹分检房、邮袋库、通信枢纽及其电信机房</w:t>
            </w:r>
            <w:r>
              <w:rPr>
                <w:sz w:val="24"/>
              </w:rPr>
              <w:t xml:space="preserve"> </w:t>
            </w:r>
          </w:p>
        </w:tc>
      </w:tr>
      <w:tr w:rsidR="00A71EEF" w14:paraId="411BD58A" w14:textId="77777777">
        <w:trPr>
          <w:trHeight w:val="501"/>
        </w:trPr>
        <w:tc>
          <w:tcPr>
            <w:tcW w:w="1296" w:type="dxa"/>
            <w:vMerge/>
            <w:tcBorders>
              <w:top w:val="nil"/>
            </w:tcBorders>
          </w:tcPr>
          <w:p w14:paraId="3EC663EC" w14:textId="77777777" w:rsidR="00A71EEF" w:rsidRDefault="00A71EEF">
            <w:pPr>
              <w:rPr>
                <w:sz w:val="2"/>
                <w:szCs w:val="2"/>
              </w:rPr>
            </w:pPr>
          </w:p>
        </w:tc>
        <w:tc>
          <w:tcPr>
            <w:tcW w:w="7101" w:type="dxa"/>
          </w:tcPr>
          <w:p w14:paraId="5BF42AD3" w14:textId="77777777" w:rsidR="00A71EEF" w:rsidRDefault="0081115D">
            <w:pPr>
              <w:pStyle w:val="TableParagraph"/>
              <w:spacing w:before="190"/>
              <w:ind w:left="4"/>
              <w:rPr>
                <w:sz w:val="24"/>
              </w:rPr>
            </w:pPr>
            <w:r>
              <w:rPr>
                <w:sz w:val="21"/>
              </w:rPr>
              <w:t xml:space="preserve">6. </w:t>
            </w:r>
            <w:r>
              <w:rPr>
                <w:sz w:val="21"/>
              </w:rPr>
              <w:t>客房数在</w:t>
            </w:r>
            <w:r>
              <w:rPr>
                <w:sz w:val="21"/>
              </w:rPr>
              <w:t xml:space="preserve"> 50 </w:t>
            </w:r>
            <w:r>
              <w:rPr>
                <w:sz w:val="21"/>
              </w:rPr>
              <w:t>间以上的旅馆、饭店的公共活动用房、多功能厅、厨房</w:t>
            </w:r>
            <w:r>
              <w:rPr>
                <w:sz w:val="24"/>
              </w:rPr>
              <w:t xml:space="preserve"> </w:t>
            </w:r>
          </w:p>
        </w:tc>
      </w:tr>
      <w:tr w:rsidR="00A71EEF" w14:paraId="09E16943" w14:textId="77777777">
        <w:trPr>
          <w:trHeight w:val="498"/>
        </w:trPr>
        <w:tc>
          <w:tcPr>
            <w:tcW w:w="1296" w:type="dxa"/>
            <w:vMerge/>
            <w:tcBorders>
              <w:top w:val="nil"/>
            </w:tcBorders>
          </w:tcPr>
          <w:p w14:paraId="63DBF6C2" w14:textId="77777777" w:rsidR="00A71EEF" w:rsidRDefault="00A71EEF">
            <w:pPr>
              <w:rPr>
                <w:sz w:val="2"/>
                <w:szCs w:val="2"/>
              </w:rPr>
            </w:pPr>
          </w:p>
        </w:tc>
        <w:tc>
          <w:tcPr>
            <w:tcW w:w="7101" w:type="dxa"/>
          </w:tcPr>
          <w:p w14:paraId="08965256" w14:textId="77777777" w:rsidR="00A71EEF" w:rsidRDefault="0081115D">
            <w:pPr>
              <w:pStyle w:val="TableParagraph"/>
              <w:spacing w:before="190"/>
              <w:ind w:left="4"/>
              <w:rPr>
                <w:sz w:val="24"/>
              </w:rPr>
            </w:pPr>
            <w:r>
              <w:rPr>
                <w:sz w:val="21"/>
              </w:rPr>
              <w:t xml:space="preserve">7. </w:t>
            </w:r>
            <w:r>
              <w:rPr>
                <w:sz w:val="21"/>
              </w:rPr>
              <w:t>体育场（馆）、电影院、剧院、会堂、礼堂的舞台及后台部位</w:t>
            </w:r>
            <w:r>
              <w:rPr>
                <w:sz w:val="24"/>
              </w:rPr>
              <w:t xml:space="preserve"> </w:t>
            </w:r>
          </w:p>
        </w:tc>
      </w:tr>
      <w:tr w:rsidR="00A71EEF" w14:paraId="70436BB1" w14:textId="77777777">
        <w:trPr>
          <w:trHeight w:val="1000"/>
        </w:trPr>
        <w:tc>
          <w:tcPr>
            <w:tcW w:w="1296" w:type="dxa"/>
            <w:vMerge/>
            <w:tcBorders>
              <w:top w:val="nil"/>
            </w:tcBorders>
          </w:tcPr>
          <w:p w14:paraId="278FF5C6" w14:textId="77777777" w:rsidR="00A71EEF" w:rsidRDefault="00A71EEF">
            <w:pPr>
              <w:rPr>
                <w:sz w:val="2"/>
                <w:szCs w:val="2"/>
              </w:rPr>
            </w:pPr>
          </w:p>
        </w:tc>
        <w:tc>
          <w:tcPr>
            <w:tcW w:w="7101" w:type="dxa"/>
          </w:tcPr>
          <w:p w14:paraId="58D47CE1" w14:textId="77777777" w:rsidR="00A71EEF" w:rsidRDefault="00A71EEF">
            <w:pPr>
              <w:pStyle w:val="TableParagraph"/>
              <w:spacing w:before="11"/>
              <w:rPr>
                <w:sz w:val="14"/>
              </w:rPr>
            </w:pPr>
          </w:p>
          <w:p w14:paraId="6AC7964F" w14:textId="77777777" w:rsidR="00A71EEF" w:rsidRDefault="0081115D">
            <w:pPr>
              <w:pStyle w:val="TableParagraph"/>
              <w:ind w:left="4"/>
              <w:rPr>
                <w:sz w:val="21"/>
              </w:rPr>
            </w:pPr>
            <w:r>
              <w:rPr>
                <w:sz w:val="21"/>
              </w:rPr>
              <w:t xml:space="preserve">8. </w:t>
            </w:r>
            <w:r>
              <w:rPr>
                <w:sz w:val="21"/>
              </w:rPr>
              <w:t>住院床位在</w:t>
            </w:r>
            <w:r>
              <w:rPr>
                <w:sz w:val="21"/>
              </w:rPr>
              <w:t xml:space="preserve"> 50 </w:t>
            </w:r>
            <w:r>
              <w:rPr>
                <w:sz w:val="21"/>
              </w:rPr>
              <w:t>张及以上的医院的手术室、理疗室、透视室、心电图室、</w:t>
            </w:r>
          </w:p>
          <w:p w14:paraId="05DE34FC" w14:textId="77777777" w:rsidR="00A71EEF" w:rsidRDefault="00A71EEF">
            <w:pPr>
              <w:pStyle w:val="TableParagraph"/>
              <w:spacing w:before="2"/>
              <w:rPr>
                <w:sz w:val="18"/>
              </w:rPr>
            </w:pPr>
          </w:p>
          <w:p w14:paraId="38A36AC2" w14:textId="77777777" w:rsidR="00A71EEF" w:rsidRDefault="0081115D">
            <w:pPr>
              <w:pStyle w:val="TableParagraph"/>
              <w:ind w:left="4"/>
              <w:rPr>
                <w:sz w:val="24"/>
              </w:rPr>
            </w:pPr>
            <w:r>
              <w:rPr>
                <w:sz w:val="21"/>
              </w:rPr>
              <w:t>药房、住院部、门诊部、病历室</w:t>
            </w:r>
            <w:r>
              <w:rPr>
                <w:sz w:val="24"/>
              </w:rPr>
              <w:t xml:space="preserve"> </w:t>
            </w:r>
          </w:p>
        </w:tc>
      </w:tr>
      <w:tr w:rsidR="00A71EEF" w14:paraId="7AED1010" w14:textId="77777777">
        <w:trPr>
          <w:trHeight w:val="1000"/>
        </w:trPr>
        <w:tc>
          <w:tcPr>
            <w:tcW w:w="1296" w:type="dxa"/>
            <w:vMerge/>
            <w:tcBorders>
              <w:top w:val="nil"/>
            </w:tcBorders>
          </w:tcPr>
          <w:p w14:paraId="65874F9F" w14:textId="77777777" w:rsidR="00A71EEF" w:rsidRDefault="00A71EEF">
            <w:pPr>
              <w:rPr>
                <w:sz w:val="2"/>
                <w:szCs w:val="2"/>
              </w:rPr>
            </w:pPr>
          </w:p>
        </w:tc>
        <w:tc>
          <w:tcPr>
            <w:tcW w:w="7101" w:type="dxa"/>
          </w:tcPr>
          <w:p w14:paraId="13067D60" w14:textId="77777777" w:rsidR="00A71EEF" w:rsidRDefault="00A71EEF">
            <w:pPr>
              <w:pStyle w:val="TableParagraph"/>
              <w:spacing w:before="11"/>
              <w:rPr>
                <w:sz w:val="14"/>
              </w:rPr>
            </w:pPr>
          </w:p>
          <w:p w14:paraId="7B0493F4" w14:textId="77777777" w:rsidR="00A71EEF" w:rsidRDefault="0081115D">
            <w:pPr>
              <w:pStyle w:val="TableParagraph"/>
              <w:ind w:left="4"/>
              <w:rPr>
                <w:sz w:val="21"/>
              </w:rPr>
            </w:pPr>
            <w:r>
              <w:rPr>
                <w:sz w:val="21"/>
              </w:rPr>
              <w:t xml:space="preserve">9. </w:t>
            </w:r>
            <w:r>
              <w:rPr>
                <w:sz w:val="21"/>
              </w:rPr>
              <w:t>建筑面积在</w:t>
            </w:r>
            <w:r>
              <w:rPr>
                <w:sz w:val="21"/>
              </w:rPr>
              <w:t xml:space="preserve"> 2000 </w:t>
            </w:r>
            <w:r>
              <w:rPr>
                <w:sz w:val="21"/>
              </w:rPr>
              <w:t>㎡及以上的图书馆、展览馆的珍藏室、阅览室、书库、</w:t>
            </w:r>
          </w:p>
          <w:p w14:paraId="79ACEDCD" w14:textId="77777777" w:rsidR="00A71EEF" w:rsidRDefault="00A71EEF">
            <w:pPr>
              <w:pStyle w:val="TableParagraph"/>
              <w:spacing w:before="2"/>
              <w:rPr>
                <w:sz w:val="18"/>
              </w:rPr>
            </w:pPr>
          </w:p>
          <w:p w14:paraId="7A2BBC8B" w14:textId="77777777" w:rsidR="00A71EEF" w:rsidRDefault="0081115D">
            <w:pPr>
              <w:pStyle w:val="TableParagraph"/>
              <w:ind w:left="4"/>
              <w:rPr>
                <w:sz w:val="24"/>
              </w:rPr>
            </w:pPr>
            <w:r>
              <w:rPr>
                <w:sz w:val="21"/>
              </w:rPr>
              <w:t>展览厅</w:t>
            </w:r>
            <w:r>
              <w:rPr>
                <w:sz w:val="24"/>
              </w:rPr>
              <w:t xml:space="preserve"> </w:t>
            </w:r>
          </w:p>
        </w:tc>
      </w:tr>
      <w:tr w:rsidR="00A71EEF" w14:paraId="67FF73EB" w14:textId="77777777">
        <w:trPr>
          <w:trHeight w:val="498"/>
        </w:trPr>
        <w:tc>
          <w:tcPr>
            <w:tcW w:w="1296" w:type="dxa"/>
            <w:vMerge/>
            <w:tcBorders>
              <w:top w:val="nil"/>
            </w:tcBorders>
          </w:tcPr>
          <w:p w14:paraId="738E217B" w14:textId="77777777" w:rsidR="00A71EEF" w:rsidRDefault="00A71EEF">
            <w:pPr>
              <w:rPr>
                <w:sz w:val="2"/>
                <w:szCs w:val="2"/>
              </w:rPr>
            </w:pPr>
          </w:p>
        </w:tc>
        <w:tc>
          <w:tcPr>
            <w:tcW w:w="7101" w:type="dxa"/>
          </w:tcPr>
          <w:p w14:paraId="2EA76CA3" w14:textId="77777777" w:rsidR="00A71EEF" w:rsidRDefault="0081115D">
            <w:pPr>
              <w:pStyle w:val="TableParagraph"/>
              <w:spacing w:before="190"/>
              <w:ind w:left="4"/>
              <w:rPr>
                <w:sz w:val="24"/>
              </w:rPr>
            </w:pPr>
            <w:r>
              <w:rPr>
                <w:sz w:val="21"/>
              </w:rPr>
              <w:t xml:space="preserve">10. </w:t>
            </w:r>
            <w:r>
              <w:rPr>
                <w:sz w:val="21"/>
              </w:rPr>
              <w:t>民用机场的候机厅、安检厅及空管中心、雷达机房</w:t>
            </w:r>
            <w:r>
              <w:rPr>
                <w:sz w:val="24"/>
              </w:rPr>
              <w:t xml:space="preserve"> </w:t>
            </w:r>
          </w:p>
        </w:tc>
      </w:tr>
      <w:tr w:rsidR="00A71EEF" w14:paraId="0EE071EB" w14:textId="77777777">
        <w:trPr>
          <w:trHeight w:val="501"/>
        </w:trPr>
        <w:tc>
          <w:tcPr>
            <w:tcW w:w="1296" w:type="dxa"/>
            <w:vMerge/>
            <w:tcBorders>
              <w:top w:val="nil"/>
            </w:tcBorders>
          </w:tcPr>
          <w:p w14:paraId="4E0EDBE2" w14:textId="77777777" w:rsidR="00A71EEF" w:rsidRDefault="00A71EEF">
            <w:pPr>
              <w:rPr>
                <w:sz w:val="2"/>
                <w:szCs w:val="2"/>
              </w:rPr>
            </w:pPr>
          </w:p>
        </w:tc>
        <w:tc>
          <w:tcPr>
            <w:tcW w:w="7101" w:type="dxa"/>
          </w:tcPr>
          <w:p w14:paraId="2B163AF4" w14:textId="77777777" w:rsidR="00A71EEF" w:rsidRDefault="0081115D">
            <w:pPr>
              <w:pStyle w:val="TableParagraph"/>
              <w:spacing w:before="193"/>
              <w:ind w:left="4"/>
              <w:rPr>
                <w:sz w:val="24"/>
              </w:rPr>
            </w:pPr>
            <w:r>
              <w:rPr>
                <w:sz w:val="21"/>
              </w:rPr>
              <w:t xml:space="preserve">11. </w:t>
            </w:r>
            <w:r>
              <w:rPr>
                <w:sz w:val="21"/>
              </w:rPr>
              <w:t>超高层建筑和一类高层建筑的写字楼、公寓楼</w:t>
            </w:r>
            <w:r>
              <w:rPr>
                <w:sz w:val="24"/>
              </w:rPr>
              <w:t xml:space="preserve"> </w:t>
            </w:r>
          </w:p>
        </w:tc>
      </w:tr>
      <w:tr w:rsidR="00A71EEF" w14:paraId="0E28956A" w14:textId="77777777">
        <w:trPr>
          <w:trHeight w:val="499"/>
        </w:trPr>
        <w:tc>
          <w:tcPr>
            <w:tcW w:w="1296" w:type="dxa"/>
            <w:vMerge/>
            <w:tcBorders>
              <w:top w:val="nil"/>
            </w:tcBorders>
          </w:tcPr>
          <w:p w14:paraId="537EFE97" w14:textId="77777777" w:rsidR="00A71EEF" w:rsidRDefault="00A71EEF">
            <w:pPr>
              <w:rPr>
                <w:sz w:val="2"/>
                <w:szCs w:val="2"/>
              </w:rPr>
            </w:pPr>
          </w:p>
        </w:tc>
        <w:tc>
          <w:tcPr>
            <w:tcW w:w="7101" w:type="dxa"/>
          </w:tcPr>
          <w:p w14:paraId="49F9C5DD" w14:textId="77777777" w:rsidR="00A71EEF" w:rsidRDefault="0081115D">
            <w:pPr>
              <w:pStyle w:val="TableParagraph"/>
              <w:spacing w:before="191"/>
              <w:ind w:left="4"/>
              <w:rPr>
                <w:sz w:val="24"/>
              </w:rPr>
            </w:pPr>
            <w:r>
              <w:rPr>
                <w:sz w:val="21"/>
              </w:rPr>
              <w:t xml:space="preserve">12. </w:t>
            </w:r>
            <w:r>
              <w:rPr>
                <w:sz w:val="21"/>
              </w:rPr>
              <w:t>电影、电视摄影棚</w:t>
            </w:r>
            <w:r>
              <w:rPr>
                <w:sz w:val="24"/>
              </w:rPr>
              <w:t xml:space="preserve"> </w:t>
            </w:r>
          </w:p>
        </w:tc>
      </w:tr>
      <w:tr w:rsidR="00A71EEF" w14:paraId="6A5C4A7A" w14:textId="77777777">
        <w:trPr>
          <w:trHeight w:val="1000"/>
        </w:trPr>
        <w:tc>
          <w:tcPr>
            <w:tcW w:w="1296" w:type="dxa"/>
            <w:vMerge/>
            <w:tcBorders>
              <w:top w:val="nil"/>
            </w:tcBorders>
          </w:tcPr>
          <w:p w14:paraId="45F8CD16" w14:textId="77777777" w:rsidR="00A71EEF" w:rsidRDefault="00A71EEF">
            <w:pPr>
              <w:rPr>
                <w:sz w:val="2"/>
                <w:szCs w:val="2"/>
              </w:rPr>
            </w:pPr>
          </w:p>
        </w:tc>
        <w:tc>
          <w:tcPr>
            <w:tcW w:w="7101" w:type="dxa"/>
          </w:tcPr>
          <w:p w14:paraId="74E0AD11" w14:textId="77777777" w:rsidR="00A71EEF" w:rsidRDefault="0081115D">
            <w:pPr>
              <w:pStyle w:val="TableParagraph"/>
              <w:spacing w:before="3" w:line="500" w:lineRule="exact"/>
              <w:ind w:left="4" w:right="43"/>
              <w:rPr>
                <w:sz w:val="24"/>
              </w:rPr>
            </w:pPr>
            <w:r>
              <w:rPr>
                <w:sz w:val="21"/>
              </w:rPr>
              <w:t>13.</w:t>
            </w:r>
            <w:r>
              <w:rPr>
                <w:spacing w:val="-7"/>
                <w:sz w:val="21"/>
              </w:rPr>
              <w:t xml:space="preserve"> </w:t>
            </w:r>
            <w:r>
              <w:rPr>
                <w:spacing w:val="-7"/>
                <w:sz w:val="21"/>
              </w:rPr>
              <w:t>建筑面积在</w:t>
            </w:r>
            <w:r>
              <w:rPr>
                <w:spacing w:val="-7"/>
                <w:sz w:val="21"/>
              </w:rPr>
              <w:t xml:space="preserve"> </w:t>
            </w:r>
            <w:r>
              <w:rPr>
                <w:sz w:val="21"/>
              </w:rPr>
              <w:t>1000</w:t>
            </w:r>
            <w:r>
              <w:rPr>
                <w:spacing w:val="-8"/>
                <w:sz w:val="21"/>
              </w:rPr>
              <w:t xml:space="preserve"> </w:t>
            </w:r>
            <w:r>
              <w:rPr>
                <w:spacing w:val="-8"/>
                <w:sz w:val="21"/>
              </w:rPr>
              <w:t>㎡及以上的经营易燃易爆化学物品的商场、商店的库房</w:t>
            </w:r>
            <w:r>
              <w:rPr>
                <w:spacing w:val="-7"/>
                <w:sz w:val="21"/>
              </w:rPr>
              <w:t>及铺面</w:t>
            </w:r>
            <w:r>
              <w:rPr>
                <w:sz w:val="24"/>
              </w:rPr>
              <w:t xml:space="preserve"> </w:t>
            </w:r>
          </w:p>
        </w:tc>
      </w:tr>
      <w:tr w:rsidR="00A71EEF" w14:paraId="141D85DB" w14:textId="77777777">
        <w:trPr>
          <w:trHeight w:val="498"/>
        </w:trPr>
        <w:tc>
          <w:tcPr>
            <w:tcW w:w="1296" w:type="dxa"/>
            <w:vMerge/>
            <w:tcBorders>
              <w:top w:val="nil"/>
            </w:tcBorders>
          </w:tcPr>
          <w:p w14:paraId="71A21A56" w14:textId="77777777" w:rsidR="00A71EEF" w:rsidRDefault="00A71EEF">
            <w:pPr>
              <w:rPr>
                <w:sz w:val="2"/>
                <w:szCs w:val="2"/>
              </w:rPr>
            </w:pPr>
          </w:p>
        </w:tc>
        <w:tc>
          <w:tcPr>
            <w:tcW w:w="7101" w:type="dxa"/>
          </w:tcPr>
          <w:p w14:paraId="72D94448" w14:textId="77777777" w:rsidR="00A71EEF" w:rsidRDefault="0081115D">
            <w:pPr>
              <w:pStyle w:val="TableParagraph"/>
              <w:spacing w:before="188"/>
              <w:ind w:left="4"/>
              <w:rPr>
                <w:sz w:val="24"/>
              </w:rPr>
            </w:pPr>
            <w:r>
              <w:rPr>
                <w:sz w:val="21"/>
              </w:rPr>
              <w:t xml:space="preserve">14. </w:t>
            </w:r>
            <w:r>
              <w:rPr>
                <w:sz w:val="21"/>
              </w:rPr>
              <w:t>建筑面积在</w:t>
            </w:r>
            <w:r>
              <w:rPr>
                <w:sz w:val="21"/>
              </w:rPr>
              <w:t xml:space="preserve"> 200 </w:t>
            </w:r>
            <w:r>
              <w:rPr>
                <w:sz w:val="21"/>
              </w:rPr>
              <w:t>㎡及以上的公共娱乐场所</w:t>
            </w:r>
            <w:r>
              <w:rPr>
                <w:sz w:val="24"/>
              </w:rPr>
              <w:t xml:space="preserve"> </w:t>
            </w:r>
          </w:p>
        </w:tc>
      </w:tr>
      <w:tr w:rsidR="00A71EEF" w14:paraId="73625190" w14:textId="77777777">
        <w:trPr>
          <w:trHeight w:val="498"/>
        </w:trPr>
        <w:tc>
          <w:tcPr>
            <w:tcW w:w="1296" w:type="dxa"/>
            <w:vMerge/>
            <w:tcBorders>
              <w:top w:val="nil"/>
            </w:tcBorders>
          </w:tcPr>
          <w:p w14:paraId="4BA4D43C" w14:textId="77777777" w:rsidR="00A71EEF" w:rsidRDefault="00A71EEF">
            <w:pPr>
              <w:rPr>
                <w:sz w:val="2"/>
                <w:szCs w:val="2"/>
              </w:rPr>
            </w:pPr>
          </w:p>
        </w:tc>
        <w:tc>
          <w:tcPr>
            <w:tcW w:w="7101" w:type="dxa"/>
          </w:tcPr>
          <w:p w14:paraId="0D6EEC0C" w14:textId="77777777" w:rsidR="00A71EEF" w:rsidRDefault="0081115D">
            <w:pPr>
              <w:pStyle w:val="TableParagraph"/>
              <w:spacing w:before="190"/>
              <w:ind w:left="4"/>
              <w:rPr>
                <w:sz w:val="24"/>
              </w:rPr>
            </w:pPr>
            <w:r>
              <w:rPr>
                <w:sz w:val="21"/>
              </w:rPr>
              <w:t xml:space="preserve">15. </w:t>
            </w:r>
            <w:r>
              <w:rPr>
                <w:sz w:val="21"/>
              </w:rPr>
              <w:t>老人住宿床位在</w:t>
            </w:r>
            <w:r>
              <w:rPr>
                <w:sz w:val="21"/>
              </w:rPr>
              <w:t xml:space="preserve"> 50 </w:t>
            </w:r>
            <w:r>
              <w:rPr>
                <w:sz w:val="21"/>
              </w:rPr>
              <w:t>张及以上的养老院</w:t>
            </w:r>
            <w:r>
              <w:rPr>
                <w:sz w:val="24"/>
              </w:rPr>
              <w:t xml:space="preserve"> </w:t>
            </w:r>
          </w:p>
        </w:tc>
      </w:tr>
      <w:tr w:rsidR="00A71EEF" w14:paraId="6BAC7194" w14:textId="77777777">
        <w:trPr>
          <w:trHeight w:val="501"/>
        </w:trPr>
        <w:tc>
          <w:tcPr>
            <w:tcW w:w="1296" w:type="dxa"/>
            <w:vMerge/>
            <w:tcBorders>
              <w:top w:val="nil"/>
            </w:tcBorders>
          </w:tcPr>
          <w:p w14:paraId="1DDFECE9" w14:textId="77777777" w:rsidR="00A71EEF" w:rsidRDefault="00A71EEF">
            <w:pPr>
              <w:rPr>
                <w:sz w:val="2"/>
                <w:szCs w:val="2"/>
              </w:rPr>
            </w:pPr>
          </w:p>
        </w:tc>
        <w:tc>
          <w:tcPr>
            <w:tcW w:w="7101" w:type="dxa"/>
          </w:tcPr>
          <w:p w14:paraId="32907A31" w14:textId="77777777" w:rsidR="00A71EEF" w:rsidRDefault="0081115D">
            <w:pPr>
              <w:pStyle w:val="TableParagraph"/>
              <w:spacing w:before="190"/>
              <w:ind w:left="4"/>
              <w:rPr>
                <w:sz w:val="24"/>
              </w:rPr>
            </w:pPr>
            <w:r>
              <w:rPr>
                <w:sz w:val="21"/>
              </w:rPr>
              <w:t xml:space="preserve">16. </w:t>
            </w:r>
            <w:r>
              <w:rPr>
                <w:sz w:val="21"/>
              </w:rPr>
              <w:t>幼儿住宿床位在</w:t>
            </w:r>
            <w:r>
              <w:rPr>
                <w:sz w:val="21"/>
              </w:rPr>
              <w:t xml:space="preserve"> 50 </w:t>
            </w:r>
            <w:r>
              <w:rPr>
                <w:sz w:val="21"/>
              </w:rPr>
              <w:t>张及以上的托儿所、幼儿园</w:t>
            </w:r>
            <w:r>
              <w:rPr>
                <w:sz w:val="24"/>
              </w:rPr>
              <w:t xml:space="preserve"> </w:t>
            </w:r>
          </w:p>
        </w:tc>
      </w:tr>
      <w:tr w:rsidR="00A71EEF" w14:paraId="4CBB4CCF" w14:textId="77777777">
        <w:trPr>
          <w:trHeight w:val="499"/>
        </w:trPr>
        <w:tc>
          <w:tcPr>
            <w:tcW w:w="1296" w:type="dxa"/>
            <w:vMerge/>
            <w:tcBorders>
              <w:top w:val="nil"/>
            </w:tcBorders>
          </w:tcPr>
          <w:p w14:paraId="518E3B6B" w14:textId="77777777" w:rsidR="00A71EEF" w:rsidRDefault="00A71EEF">
            <w:pPr>
              <w:rPr>
                <w:sz w:val="2"/>
                <w:szCs w:val="2"/>
              </w:rPr>
            </w:pPr>
          </w:p>
        </w:tc>
        <w:tc>
          <w:tcPr>
            <w:tcW w:w="7101" w:type="dxa"/>
          </w:tcPr>
          <w:p w14:paraId="588A4D10" w14:textId="77777777" w:rsidR="00A71EEF" w:rsidRDefault="0081115D">
            <w:pPr>
              <w:pStyle w:val="TableParagraph"/>
              <w:spacing w:before="191"/>
              <w:ind w:left="4"/>
              <w:rPr>
                <w:sz w:val="24"/>
              </w:rPr>
            </w:pPr>
            <w:r>
              <w:rPr>
                <w:sz w:val="21"/>
              </w:rPr>
              <w:t xml:space="preserve">17. </w:t>
            </w:r>
            <w:r>
              <w:rPr>
                <w:sz w:val="21"/>
              </w:rPr>
              <w:t>学生住宿床位在</w:t>
            </w:r>
            <w:r>
              <w:rPr>
                <w:sz w:val="21"/>
              </w:rPr>
              <w:t xml:space="preserve"> 100 </w:t>
            </w:r>
            <w:r>
              <w:rPr>
                <w:sz w:val="21"/>
              </w:rPr>
              <w:t>张及以上的学校集体宿舍</w:t>
            </w:r>
            <w:r>
              <w:rPr>
                <w:sz w:val="24"/>
              </w:rPr>
              <w:t xml:space="preserve"> </w:t>
            </w:r>
          </w:p>
        </w:tc>
      </w:tr>
      <w:tr w:rsidR="00A71EEF" w14:paraId="16ED1569" w14:textId="77777777">
        <w:trPr>
          <w:trHeight w:val="501"/>
        </w:trPr>
        <w:tc>
          <w:tcPr>
            <w:tcW w:w="1296" w:type="dxa"/>
            <w:vMerge/>
            <w:tcBorders>
              <w:top w:val="nil"/>
            </w:tcBorders>
          </w:tcPr>
          <w:p w14:paraId="487E6D8D" w14:textId="77777777" w:rsidR="00A71EEF" w:rsidRDefault="00A71EEF">
            <w:pPr>
              <w:rPr>
                <w:sz w:val="2"/>
                <w:szCs w:val="2"/>
              </w:rPr>
            </w:pPr>
          </w:p>
        </w:tc>
        <w:tc>
          <w:tcPr>
            <w:tcW w:w="7101" w:type="dxa"/>
          </w:tcPr>
          <w:p w14:paraId="353D9796" w14:textId="77777777" w:rsidR="00A71EEF" w:rsidRDefault="0081115D">
            <w:pPr>
              <w:pStyle w:val="TableParagraph"/>
              <w:spacing w:before="190"/>
              <w:ind w:left="4"/>
              <w:rPr>
                <w:sz w:val="24"/>
              </w:rPr>
            </w:pPr>
            <w:r>
              <w:rPr>
                <w:sz w:val="21"/>
              </w:rPr>
              <w:t xml:space="preserve">18. </w:t>
            </w:r>
            <w:r>
              <w:rPr>
                <w:sz w:val="21"/>
              </w:rPr>
              <w:t>县级及以上的党政机关办公大楼的会议室</w:t>
            </w:r>
            <w:r>
              <w:rPr>
                <w:sz w:val="24"/>
              </w:rPr>
              <w:t xml:space="preserve"> </w:t>
            </w:r>
          </w:p>
        </w:tc>
      </w:tr>
      <w:tr w:rsidR="00A71EEF" w14:paraId="1FB42A1B" w14:textId="77777777">
        <w:trPr>
          <w:trHeight w:val="498"/>
        </w:trPr>
        <w:tc>
          <w:tcPr>
            <w:tcW w:w="1296" w:type="dxa"/>
            <w:vMerge/>
            <w:tcBorders>
              <w:top w:val="nil"/>
            </w:tcBorders>
          </w:tcPr>
          <w:p w14:paraId="205B0E4D" w14:textId="77777777" w:rsidR="00A71EEF" w:rsidRDefault="00A71EEF">
            <w:pPr>
              <w:rPr>
                <w:sz w:val="2"/>
                <w:szCs w:val="2"/>
              </w:rPr>
            </w:pPr>
          </w:p>
        </w:tc>
        <w:tc>
          <w:tcPr>
            <w:tcW w:w="7101" w:type="dxa"/>
          </w:tcPr>
          <w:p w14:paraId="60405971" w14:textId="77777777" w:rsidR="00A71EEF" w:rsidRDefault="0081115D">
            <w:pPr>
              <w:pStyle w:val="TableParagraph"/>
              <w:spacing w:before="190"/>
              <w:ind w:left="4"/>
              <w:rPr>
                <w:sz w:val="24"/>
              </w:rPr>
            </w:pPr>
            <w:r>
              <w:rPr>
                <w:sz w:val="21"/>
              </w:rPr>
              <w:t xml:space="preserve">19. </w:t>
            </w:r>
            <w:r>
              <w:rPr>
                <w:sz w:val="21"/>
              </w:rPr>
              <w:t>建筑面积在</w:t>
            </w:r>
            <w:r>
              <w:rPr>
                <w:sz w:val="21"/>
              </w:rPr>
              <w:t xml:space="preserve"> 500 </w:t>
            </w:r>
            <w:r>
              <w:rPr>
                <w:sz w:val="21"/>
              </w:rPr>
              <w:t>㎡及以上的车站和码头的候车（船）室、行李房</w:t>
            </w:r>
            <w:r>
              <w:rPr>
                <w:sz w:val="24"/>
              </w:rPr>
              <w:t xml:space="preserve"> </w:t>
            </w:r>
          </w:p>
        </w:tc>
      </w:tr>
    </w:tbl>
    <w:p w14:paraId="5DC0106B" w14:textId="77777777" w:rsidR="00A71EEF" w:rsidRDefault="00A71EEF">
      <w:pPr>
        <w:rPr>
          <w:sz w:val="24"/>
        </w:rPr>
        <w:sectPr w:rsidR="00A71EEF">
          <w:pgSz w:w="11910" w:h="16850"/>
          <w:pgMar w:top="1080" w:right="0" w:bottom="1340" w:left="1260" w:header="0" w:footer="1159" w:gutter="0"/>
          <w:cols w:space="720"/>
        </w:sectPr>
      </w:pP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6"/>
        <w:gridCol w:w="7101"/>
      </w:tblGrid>
      <w:tr w:rsidR="00A71EEF" w14:paraId="415092FC" w14:textId="77777777">
        <w:trPr>
          <w:trHeight w:val="499"/>
        </w:trPr>
        <w:tc>
          <w:tcPr>
            <w:tcW w:w="1296" w:type="dxa"/>
            <w:vMerge w:val="restart"/>
          </w:tcPr>
          <w:p w14:paraId="2C42C512" w14:textId="77777777" w:rsidR="00A71EEF" w:rsidRDefault="00A71EEF">
            <w:pPr>
              <w:pStyle w:val="TableParagraph"/>
              <w:rPr>
                <w:rFonts w:ascii="Times New Roman"/>
                <w:sz w:val="20"/>
              </w:rPr>
            </w:pPr>
          </w:p>
        </w:tc>
        <w:tc>
          <w:tcPr>
            <w:tcW w:w="7101" w:type="dxa"/>
          </w:tcPr>
          <w:p w14:paraId="188F021B" w14:textId="77777777" w:rsidR="00A71EEF" w:rsidRDefault="0081115D">
            <w:pPr>
              <w:pStyle w:val="TableParagraph"/>
              <w:spacing w:before="187"/>
              <w:ind w:left="4"/>
              <w:rPr>
                <w:sz w:val="24"/>
              </w:rPr>
            </w:pPr>
            <w:r>
              <w:rPr>
                <w:sz w:val="21"/>
              </w:rPr>
              <w:t xml:space="preserve">20. </w:t>
            </w:r>
            <w:r>
              <w:rPr>
                <w:sz w:val="21"/>
              </w:rPr>
              <w:t>城市地下铁道、地下观光隧道</w:t>
            </w:r>
            <w:r>
              <w:rPr>
                <w:sz w:val="24"/>
              </w:rPr>
              <w:t xml:space="preserve"> </w:t>
            </w:r>
          </w:p>
        </w:tc>
      </w:tr>
      <w:tr w:rsidR="00A71EEF" w14:paraId="49EB1793" w14:textId="77777777">
        <w:trPr>
          <w:trHeight w:val="501"/>
        </w:trPr>
        <w:tc>
          <w:tcPr>
            <w:tcW w:w="1296" w:type="dxa"/>
            <w:vMerge/>
            <w:tcBorders>
              <w:top w:val="nil"/>
            </w:tcBorders>
          </w:tcPr>
          <w:p w14:paraId="4B23AAD5" w14:textId="77777777" w:rsidR="00A71EEF" w:rsidRDefault="00A71EEF">
            <w:pPr>
              <w:rPr>
                <w:sz w:val="2"/>
                <w:szCs w:val="2"/>
              </w:rPr>
            </w:pPr>
          </w:p>
        </w:tc>
        <w:tc>
          <w:tcPr>
            <w:tcW w:w="7101" w:type="dxa"/>
          </w:tcPr>
          <w:p w14:paraId="325D8CB0" w14:textId="77777777" w:rsidR="00A71EEF" w:rsidRDefault="0081115D">
            <w:pPr>
              <w:pStyle w:val="TableParagraph"/>
              <w:spacing w:before="187"/>
              <w:ind w:left="4"/>
              <w:rPr>
                <w:sz w:val="24"/>
              </w:rPr>
            </w:pPr>
            <w:r>
              <w:rPr>
                <w:sz w:val="21"/>
              </w:rPr>
              <w:t xml:space="preserve">21. </w:t>
            </w:r>
            <w:r>
              <w:rPr>
                <w:sz w:val="21"/>
              </w:rPr>
              <w:t>汽车加油站、加气站</w:t>
            </w:r>
            <w:r>
              <w:rPr>
                <w:sz w:val="24"/>
              </w:rPr>
              <w:t xml:space="preserve"> </w:t>
            </w:r>
          </w:p>
        </w:tc>
      </w:tr>
      <w:tr w:rsidR="00A71EEF" w14:paraId="06F4A55B" w14:textId="77777777">
        <w:trPr>
          <w:trHeight w:val="498"/>
        </w:trPr>
        <w:tc>
          <w:tcPr>
            <w:tcW w:w="1296" w:type="dxa"/>
            <w:vMerge/>
            <w:tcBorders>
              <w:top w:val="nil"/>
            </w:tcBorders>
          </w:tcPr>
          <w:p w14:paraId="5AF441DC" w14:textId="77777777" w:rsidR="00A71EEF" w:rsidRDefault="00A71EEF">
            <w:pPr>
              <w:rPr>
                <w:sz w:val="2"/>
                <w:szCs w:val="2"/>
              </w:rPr>
            </w:pPr>
          </w:p>
        </w:tc>
        <w:tc>
          <w:tcPr>
            <w:tcW w:w="7101" w:type="dxa"/>
          </w:tcPr>
          <w:p w14:paraId="678F7E7E" w14:textId="77777777" w:rsidR="00A71EEF" w:rsidRDefault="0081115D">
            <w:pPr>
              <w:pStyle w:val="TableParagraph"/>
              <w:spacing w:before="187"/>
              <w:ind w:left="4"/>
              <w:rPr>
                <w:sz w:val="24"/>
              </w:rPr>
            </w:pPr>
            <w:r>
              <w:rPr>
                <w:sz w:val="21"/>
              </w:rPr>
              <w:t xml:space="preserve">22. </w:t>
            </w:r>
            <w:r>
              <w:rPr>
                <w:sz w:val="21"/>
              </w:rPr>
              <w:t>机动车交易市场（包括旧机动车交易市场）及其展销厅</w:t>
            </w:r>
            <w:r>
              <w:rPr>
                <w:sz w:val="24"/>
              </w:rPr>
              <w:t xml:space="preserve"> </w:t>
            </w:r>
          </w:p>
        </w:tc>
      </w:tr>
      <w:tr w:rsidR="00A71EEF" w14:paraId="53CEDC89" w14:textId="77777777">
        <w:trPr>
          <w:trHeight w:val="501"/>
        </w:trPr>
        <w:tc>
          <w:tcPr>
            <w:tcW w:w="1296" w:type="dxa"/>
            <w:vMerge/>
            <w:tcBorders>
              <w:top w:val="nil"/>
            </w:tcBorders>
          </w:tcPr>
          <w:p w14:paraId="72785804" w14:textId="77777777" w:rsidR="00A71EEF" w:rsidRDefault="00A71EEF">
            <w:pPr>
              <w:rPr>
                <w:sz w:val="2"/>
                <w:szCs w:val="2"/>
              </w:rPr>
            </w:pPr>
          </w:p>
        </w:tc>
        <w:tc>
          <w:tcPr>
            <w:tcW w:w="7101" w:type="dxa"/>
          </w:tcPr>
          <w:p w14:paraId="0DD587FE" w14:textId="77777777" w:rsidR="00A71EEF" w:rsidRDefault="0081115D">
            <w:pPr>
              <w:pStyle w:val="TableParagraph"/>
              <w:spacing w:before="187"/>
              <w:ind w:left="4"/>
              <w:rPr>
                <w:sz w:val="24"/>
              </w:rPr>
            </w:pPr>
            <w:r>
              <w:rPr>
                <w:sz w:val="21"/>
              </w:rPr>
              <w:t xml:space="preserve">23. </w:t>
            </w:r>
            <w:r>
              <w:rPr>
                <w:sz w:val="21"/>
              </w:rPr>
              <w:t>民用液化气、天然气灌装站、换瓶站、调压站</w:t>
            </w:r>
            <w:r>
              <w:rPr>
                <w:sz w:val="24"/>
              </w:rPr>
              <w:t xml:space="preserve"> </w:t>
            </w:r>
          </w:p>
        </w:tc>
      </w:tr>
      <w:tr w:rsidR="00A71EEF" w14:paraId="51D6EAA9" w14:textId="77777777">
        <w:trPr>
          <w:trHeight w:val="498"/>
        </w:trPr>
        <w:tc>
          <w:tcPr>
            <w:tcW w:w="1296" w:type="dxa"/>
            <w:tcBorders>
              <w:bottom w:val="nil"/>
            </w:tcBorders>
          </w:tcPr>
          <w:p w14:paraId="41EF55A0" w14:textId="77777777" w:rsidR="00A71EEF" w:rsidRDefault="00A71EEF">
            <w:pPr>
              <w:pStyle w:val="TableParagraph"/>
              <w:rPr>
                <w:rFonts w:ascii="Times New Roman"/>
                <w:sz w:val="20"/>
              </w:rPr>
            </w:pPr>
          </w:p>
        </w:tc>
        <w:tc>
          <w:tcPr>
            <w:tcW w:w="7101" w:type="dxa"/>
          </w:tcPr>
          <w:p w14:paraId="15B4BD82" w14:textId="77777777" w:rsidR="00A71EEF" w:rsidRDefault="0081115D">
            <w:pPr>
              <w:pStyle w:val="TableParagraph"/>
              <w:spacing w:before="187"/>
              <w:ind w:left="4"/>
              <w:rPr>
                <w:sz w:val="24"/>
              </w:rPr>
            </w:pPr>
            <w:r>
              <w:rPr>
                <w:sz w:val="21"/>
              </w:rPr>
              <w:t xml:space="preserve">1. </w:t>
            </w:r>
            <w:r>
              <w:rPr>
                <w:sz w:val="21"/>
              </w:rPr>
              <w:t>县级以下的文物保护单位、档案馆、博物馆的库房、展览室、阅览室</w:t>
            </w:r>
            <w:r>
              <w:rPr>
                <w:sz w:val="24"/>
              </w:rPr>
              <w:t xml:space="preserve"> </w:t>
            </w:r>
          </w:p>
        </w:tc>
      </w:tr>
      <w:tr w:rsidR="00A71EEF" w14:paraId="43AB556A" w14:textId="77777777">
        <w:trPr>
          <w:trHeight w:val="501"/>
        </w:trPr>
        <w:tc>
          <w:tcPr>
            <w:tcW w:w="1296" w:type="dxa"/>
            <w:tcBorders>
              <w:top w:val="nil"/>
              <w:bottom w:val="nil"/>
            </w:tcBorders>
          </w:tcPr>
          <w:p w14:paraId="3CF52558" w14:textId="77777777" w:rsidR="00A71EEF" w:rsidRDefault="00A71EEF">
            <w:pPr>
              <w:pStyle w:val="TableParagraph"/>
              <w:rPr>
                <w:rFonts w:ascii="Times New Roman"/>
                <w:sz w:val="20"/>
              </w:rPr>
            </w:pPr>
          </w:p>
        </w:tc>
        <w:tc>
          <w:tcPr>
            <w:tcW w:w="7101" w:type="dxa"/>
          </w:tcPr>
          <w:p w14:paraId="23A6738B" w14:textId="77777777" w:rsidR="00A71EEF" w:rsidRDefault="0081115D">
            <w:pPr>
              <w:pStyle w:val="TableParagraph"/>
              <w:spacing w:before="187"/>
              <w:ind w:left="4"/>
              <w:rPr>
                <w:sz w:val="24"/>
              </w:rPr>
            </w:pPr>
            <w:r>
              <w:rPr>
                <w:sz w:val="21"/>
              </w:rPr>
              <w:t xml:space="preserve">2. </w:t>
            </w:r>
            <w:r>
              <w:rPr>
                <w:sz w:val="21"/>
              </w:rPr>
              <w:t>一般的实验室</w:t>
            </w:r>
            <w:r>
              <w:rPr>
                <w:sz w:val="24"/>
              </w:rPr>
              <w:t xml:space="preserve"> </w:t>
            </w:r>
          </w:p>
        </w:tc>
      </w:tr>
      <w:tr w:rsidR="00A71EEF" w14:paraId="5D163FE6" w14:textId="77777777">
        <w:trPr>
          <w:trHeight w:val="499"/>
        </w:trPr>
        <w:tc>
          <w:tcPr>
            <w:tcW w:w="1296" w:type="dxa"/>
            <w:tcBorders>
              <w:top w:val="nil"/>
              <w:bottom w:val="nil"/>
            </w:tcBorders>
          </w:tcPr>
          <w:p w14:paraId="1EF8AD02" w14:textId="77777777" w:rsidR="00A71EEF" w:rsidRDefault="00A71EEF">
            <w:pPr>
              <w:pStyle w:val="TableParagraph"/>
              <w:rPr>
                <w:rFonts w:ascii="Times New Roman"/>
                <w:sz w:val="20"/>
              </w:rPr>
            </w:pPr>
          </w:p>
        </w:tc>
        <w:tc>
          <w:tcPr>
            <w:tcW w:w="7101" w:type="dxa"/>
          </w:tcPr>
          <w:p w14:paraId="4511F5FA" w14:textId="77777777" w:rsidR="00A71EEF" w:rsidRDefault="0081115D">
            <w:pPr>
              <w:pStyle w:val="TableParagraph"/>
              <w:spacing w:before="187"/>
              <w:ind w:left="4"/>
              <w:rPr>
                <w:sz w:val="24"/>
              </w:rPr>
            </w:pPr>
            <w:r>
              <w:rPr>
                <w:sz w:val="21"/>
              </w:rPr>
              <w:t xml:space="preserve">3. </w:t>
            </w:r>
            <w:r>
              <w:rPr>
                <w:sz w:val="21"/>
              </w:rPr>
              <w:t>广播电台电视台的会议室、资料室</w:t>
            </w:r>
            <w:r>
              <w:rPr>
                <w:sz w:val="24"/>
              </w:rPr>
              <w:t xml:space="preserve"> </w:t>
            </w:r>
          </w:p>
        </w:tc>
      </w:tr>
      <w:tr w:rsidR="00A71EEF" w14:paraId="440D9BD8" w14:textId="77777777">
        <w:trPr>
          <w:trHeight w:val="501"/>
        </w:trPr>
        <w:tc>
          <w:tcPr>
            <w:tcW w:w="1296" w:type="dxa"/>
            <w:tcBorders>
              <w:top w:val="nil"/>
              <w:bottom w:val="nil"/>
            </w:tcBorders>
          </w:tcPr>
          <w:p w14:paraId="399E50B8" w14:textId="77777777" w:rsidR="00A71EEF" w:rsidRDefault="00A71EEF">
            <w:pPr>
              <w:pStyle w:val="TableParagraph"/>
              <w:rPr>
                <w:rFonts w:ascii="Times New Roman"/>
                <w:sz w:val="20"/>
              </w:rPr>
            </w:pPr>
          </w:p>
        </w:tc>
        <w:tc>
          <w:tcPr>
            <w:tcW w:w="7101" w:type="dxa"/>
          </w:tcPr>
          <w:p w14:paraId="098B677B" w14:textId="77777777" w:rsidR="00A71EEF" w:rsidRDefault="0081115D">
            <w:pPr>
              <w:pStyle w:val="TableParagraph"/>
              <w:spacing w:before="187"/>
              <w:ind w:left="4"/>
              <w:rPr>
                <w:sz w:val="24"/>
              </w:rPr>
            </w:pPr>
            <w:r>
              <w:rPr>
                <w:sz w:val="21"/>
              </w:rPr>
              <w:t xml:space="preserve">4. </w:t>
            </w:r>
            <w:r>
              <w:rPr>
                <w:sz w:val="21"/>
              </w:rPr>
              <w:t>设有集中空调、电子计算机、复印机等设备的办公室</w:t>
            </w:r>
            <w:r>
              <w:rPr>
                <w:sz w:val="24"/>
              </w:rPr>
              <w:t xml:space="preserve"> </w:t>
            </w:r>
          </w:p>
        </w:tc>
      </w:tr>
      <w:tr w:rsidR="00A71EEF" w14:paraId="0BF16D26" w14:textId="77777777">
        <w:trPr>
          <w:trHeight w:val="498"/>
        </w:trPr>
        <w:tc>
          <w:tcPr>
            <w:tcW w:w="1296" w:type="dxa"/>
            <w:tcBorders>
              <w:top w:val="nil"/>
              <w:bottom w:val="nil"/>
            </w:tcBorders>
          </w:tcPr>
          <w:p w14:paraId="59209638" w14:textId="77777777" w:rsidR="00A71EEF" w:rsidRDefault="00A71EEF">
            <w:pPr>
              <w:pStyle w:val="TableParagraph"/>
              <w:rPr>
                <w:rFonts w:ascii="Times New Roman"/>
                <w:sz w:val="20"/>
              </w:rPr>
            </w:pPr>
          </w:p>
        </w:tc>
        <w:tc>
          <w:tcPr>
            <w:tcW w:w="7101" w:type="dxa"/>
          </w:tcPr>
          <w:p w14:paraId="522FB9A2" w14:textId="77777777" w:rsidR="00A71EEF" w:rsidRDefault="0081115D">
            <w:pPr>
              <w:pStyle w:val="TableParagraph"/>
              <w:spacing w:before="187"/>
              <w:ind w:left="4"/>
              <w:rPr>
                <w:sz w:val="24"/>
              </w:rPr>
            </w:pPr>
            <w:r>
              <w:rPr>
                <w:sz w:val="21"/>
              </w:rPr>
              <w:t xml:space="preserve">5. </w:t>
            </w:r>
            <w:r>
              <w:rPr>
                <w:sz w:val="21"/>
              </w:rPr>
              <w:t>城镇以下的邮政信函和包裹分检房、邮袋库、通信枢纽及其电信机房</w:t>
            </w:r>
            <w:r>
              <w:rPr>
                <w:sz w:val="24"/>
              </w:rPr>
              <w:t xml:space="preserve"> </w:t>
            </w:r>
          </w:p>
        </w:tc>
      </w:tr>
      <w:tr w:rsidR="00A71EEF" w14:paraId="12073F87" w14:textId="77777777">
        <w:trPr>
          <w:trHeight w:val="501"/>
        </w:trPr>
        <w:tc>
          <w:tcPr>
            <w:tcW w:w="1296" w:type="dxa"/>
            <w:tcBorders>
              <w:top w:val="nil"/>
              <w:bottom w:val="nil"/>
            </w:tcBorders>
          </w:tcPr>
          <w:p w14:paraId="47F4F07E" w14:textId="77777777" w:rsidR="00A71EEF" w:rsidRDefault="00A71EEF">
            <w:pPr>
              <w:pStyle w:val="TableParagraph"/>
              <w:rPr>
                <w:rFonts w:ascii="Times New Roman"/>
                <w:sz w:val="20"/>
              </w:rPr>
            </w:pPr>
          </w:p>
        </w:tc>
        <w:tc>
          <w:tcPr>
            <w:tcW w:w="7101" w:type="dxa"/>
          </w:tcPr>
          <w:p w14:paraId="1ABAF9A0" w14:textId="77777777" w:rsidR="00A71EEF" w:rsidRDefault="0081115D">
            <w:pPr>
              <w:pStyle w:val="TableParagraph"/>
              <w:spacing w:before="187"/>
              <w:ind w:left="4"/>
              <w:rPr>
                <w:sz w:val="24"/>
              </w:rPr>
            </w:pPr>
            <w:r>
              <w:rPr>
                <w:sz w:val="21"/>
              </w:rPr>
              <w:t xml:space="preserve">6. </w:t>
            </w:r>
            <w:r>
              <w:rPr>
                <w:sz w:val="21"/>
              </w:rPr>
              <w:t>客房数在</w:t>
            </w:r>
            <w:r>
              <w:rPr>
                <w:sz w:val="21"/>
              </w:rPr>
              <w:t xml:space="preserve"> 50 </w:t>
            </w:r>
            <w:r>
              <w:rPr>
                <w:sz w:val="21"/>
              </w:rPr>
              <w:t>间以下的旅馆、饭店的公共活动用房、多功能厅和厨房</w:t>
            </w:r>
            <w:r>
              <w:rPr>
                <w:sz w:val="24"/>
              </w:rPr>
              <w:t xml:space="preserve"> </w:t>
            </w:r>
          </w:p>
        </w:tc>
      </w:tr>
      <w:tr w:rsidR="00A71EEF" w14:paraId="795826DF" w14:textId="77777777">
        <w:trPr>
          <w:trHeight w:val="498"/>
        </w:trPr>
        <w:tc>
          <w:tcPr>
            <w:tcW w:w="1296" w:type="dxa"/>
            <w:tcBorders>
              <w:top w:val="nil"/>
              <w:bottom w:val="nil"/>
            </w:tcBorders>
          </w:tcPr>
          <w:p w14:paraId="3B1CCDB3" w14:textId="77777777" w:rsidR="00A71EEF" w:rsidRDefault="00A71EEF">
            <w:pPr>
              <w:pStyle w:val="TableParagraph"/>
              <w:rPr>
                <w:rFonts w:ascii="Times New Roman"/>
                <w:sz w:val="20"/>
              </w:rPr>
            </w:pPr>
          </w:p>
        </w:tc>
        <w:tc>
          <w:tcPr>
            <w:tcW w:w="7101" w:type="dxa"/>
          </w:tcPr>
          <w:p w14:paraId="5B0C1395" w14:textId="77777777" w:rsidR="00A71EEF" w:rsidRDefault="0081115D">
            <w:pPr>
              <w:pStyle w:val="TableParagraph"/>
              <w:spacing w:before="187"/>
              <w:ind w:left="4"/>
              <w:rPr>
                <w:sz w:val="24"/>
              </w:rPr>
            </w:pPr>
            <w:r>
              <w:rPr>
                <w:sz w:val="21"/>
              </w:rPr>
              <w:t xml:space="preserve">7. </w:t>
            </w:r>
            <w:r>
              <w:rPr>
                <w:sz w:val="21"/>
              </w:rPr>
              <w:t>体育场（馆）、电影院、剧院、会堂、礼堂的观众厅</w:t>
            </w:r>
            <w:r>
              <w:rPr>
                <w:sz w:val="24"/>
              </w:rPr>
              <w:t xml:space="preserve"> </w:t>
            </w:r>
          </w:p>
        </w:tc>
      </w:tr>
      <w:tr w:rsidR="00A71EEF" w14:paraId="1B1CB040" w14:textId="77777777">
        <w:trPr>
          <w:trHeight w:val="563"/>
        </w:trPr>
        <w:tc>
          <w:tcPr>
            <w:tcW w:w="1296" w:type="dxa"/>
            <w:tcBorders>
              <w:top w:val="nil"/>
              <w:bottom w:val="nil"/>
            </w:tcBorders>
          </w:tcPr>
          <w:p w14:paraId="45D840DB" w14:textId="77777777" w:rsidR="00A71EEF" w:rsidRDefault="00A71EEF">
            <w:pPr>
              <w:pStyle w:val="TableParagraph"/>
              <w:rPr>
                <w:rFonts w:ascii="Times New Roman"/>
                <w:sz w:val="20"/>
              </w:rPr>
            </w:pPr>
          </w:p>
        </w:tc>
        <w:tc>
          <w:tcPr>
            <w:tcW w:w="7101" w:type="dxa"/>
            <w:tcBorders>
              <w:bottom w:val="nil"/>
            </w:tcBorders>
          </w:tcPr>
          <w:p w14:paraId="143CF78A" w14:textId="77777777" w:rsidR="00A71EEF" w:rsidRDefault="00A71EEF">
            <w:pPr>
              <w:pStyle w:val="TableParagraph"/>
              <w:spacing w:before="8"/>
              <w:rPr>
                <w:sz w:val="14"/>
              </w:rPr>
            </w:pPr>
          </w:p>
          <w:p w14:paraId="01F124C8" w14:textId="77777777" w:rsidR="00A71EEF" w:rsidRDefault="0081115D">
            <w:pPr>
              <w:pStyle w:val="TableParagraph"/>
              <w:ind w:left="4"/>
              <w:rPr>
                <w:sz w:val="21"/>
              </w:rPr>
            </w:pPr>
            <w:r>
              <w:rPr>
                <w:sz w:val="21"/>
              </w:rPr>
              <w:t xml:space="preserve">8. </w:t>
            </w:r>
            <w:r>
              <w:rPr>
                <w:sz w:val="21"/>
              </w:rPr>
              <w:t>住院床位在</w:t>
            </w:r>
            <w:r>
              <w:rPr>
                <w:sz w:val="21"/>
              </w:rPr>
              <w:t xml:space="preserve"> 50 </w:t>
            </w:r>
            <w:r>
              <w:rPr>
                <w:sz w:val="21"/>
              </w:rPr>
              <w:t>张以下的医院的手术室、理疗室、透视室、心电图室、药</w:t>
            </w:r>
          </w:p>
        </w:tc>
      </w:tr>
      <w:tr w:rsidR="00A71EEF" w14:paraId="101D9994" w14:textId="77777777">
        <w:trPr>
          <w:trHeight w:val="437"/>
        </w:trPr>
        <w:tc>
          <w:tcPr>
            <w:tcW w:w="1296" w:type="dxa"/>
            <w:tcBorders>
              <w:top w:val="nil"/>
              <w:bottom w:val="nil"/>
            </w:tcBorders>
          </w:tcPr>
          <w:p w14:paraId="36A24572" w14:textId="77777777" w:rsidR="00A71EEF" w:rsidRDefault="00A71EEF">
            <w:pPr>
              <w:pStyle w:val="TableParagraph"/>
              <w:rPr>
                <w:rFonts w:ascii="Times New Roman"/>
                <w:sz w:val="20"/>
              </w:rPr>
            </w:pPr>
          </w:p>
        </w:tc>
        <w:tc>
          <w:tcPr>
            <w:tcW w:w="7101" w:type="dxa"/>
            <w:tcBorders>
              <w:top w:val="nil"/>
            </w:tcBorders>
          </w:tcPr>
          <w:p w14:paraId="0A4EE7C1" w14:textId="77777777" w:rsidR="00A71EEF" w:rsidRDefault="0081115D">
            <w:pPr>
              <w:pStyle w:val="TableParagraph"/>
              <w:spacing w:before="126"/>
              <w:ind w:left="4"/>
              <w:rPr>
                <w:sz w:val="24"/>
              </w:rPr>
            </w:pPr>
            <w:r>
              <w:rPr>
                <w:sz w:val="21"/>
              </w:rPr>
              <w:t>房、住院部、门诊部、病历室</w:t>
            </w:r>
            <w:r>
              <w:rPr>
                <w:sz w:val="24"/>
              </w:rPr>
              <w:t xml:space="preserve"> </w:t>
            </w:r>
          </w:p>
        </w:tc>
      </w:tr>
      <w:tr w:rsidR="00A71EEF" w14:paraId="1F3D76C7" w14:textId="77777777">
        <w:trPr>
          <w:trHeight w:val="563"/>
        </w:trPr>
        <w:tc>
          <w:tcPr>
            <w:tcW w:w="1296" w:type="dxa"/>
            <w:tcBorders>
              <w:top w:val="nil"/>
              <w:bottom w:val="nil"/>
            </w:tcBorders>
          </w:tcPr>
          <w:p w14:paraId="5A997AA9" w14:textId="77777777" w:rsidR="00A71EEF" w:rsidRDefault="00A71EEF">
            <w:pPr>
              <w:pStyle w:val="TableParagraph"/>
              <w:rPr>
                <w:rFonts w:ascii="Times New Roman"/>
                <w:sz w:val="20"/>
              </w:rPr>
            </w:pPr>
          </w:p>
        </w:tc>
        <w:tc>
          <w:tcPr>
            <w:tcW w:w="7101" w:type="dxa"/>
            <w:tcBorders>
              <w:bottom w:val="nil"/>
            </w:tcBorders>
          </w:tcPr>
          <w:p w14:paraId="4D039291" w14:textId="77777777" w:rsidR="00A71EEF" w:rsidRDefault="00A71EEF">
            <w:pPr>
              <w:pStyle w:val="TableParagraph"/>
              <w:spacing w:before="8"/>
              <w:rPr>
                <w:sz w:val="14"/>
              </w:rPr>
            </w:pPr>
          </w:p>
          <w:p w14:paraId="1D1A911B" w14:textId="77777777" w:rsidR="00A71EEF" w:rsidRDefault="0081115D">
            <w:pPr>
              <w:pStyle w:val="TableParagraph"/>
              <w:ind w:left="4"/>
              <w:rPr>
                <w:sz w:val="21"/>
              </w:rPr>
            </w:pPr>
            <w:r>
              <w:rPr>
                <w:sz w:val="21"/>
              </w:rPr>
              <w:t xml:space="preserve">9. </w:t>
            </w:r>
            <w:r>
              <w:rPr>
                <w:sz w:val="21"/>
              </w:rPr>
              <w:t>建筑面积在</w:t>
            </w:r>
            <w:r>
              <w:rPr>
                <w:sz w:val="21"/>
              </w:rPr>
              <w:t xml:space="preserve"> 2000 </w:t>
            </w:r>
            <w:r>
              <w:rPr>
                <w:sz w:val="21"/>
              </w:rPr>
              <w:t>㎡以下的图书馆、展览馆的珍藏室、阅览室、书库、展</w:t>
            </w:r>
          </w:p>
        </w:tc>
      </w:tr>
      <w:tr w:rsidR="00A71EEF" w14:paraId="68E03D69" w14:textId="77777777">
        <w:trPr>
          <w:trHeight w:val="437"/>
        </w:trPr>
        <w:tc>
          <w:tcPr>
            <w:tcW w:w="1296" w:type="dxa"/>
            <w:tcBorders>
              <w:top w:val="nil"/>
              <w:bottom w:val="nil"/>
            </w:tcBorders>
          </w:tcPr>
          <w:p w14:paraId="14026C17" w14:textId="77777777" w:rsidR="00A71EEF" w:rsidRDefault="0081115D">
            <w:pPr>
              <w:pStyle w:val="TableParagraph"/>
              <w:spacing w:before="145"/>
              <w:ind w:right="425"/>
              <w:jc w:val="right"/>
              <w:rPr>
                <w:sz w:val="21"/>
              </w:rPr>
            </w:pPr>
            <w:r>
              <w:rPr>
                <w:sz w:val="21"/>
              </w:rPr>
              <w:t>中</w:t>
            </w:r>
            <w:r>
              <w:rPr>
                <w:sz w:val="21"/>
              </w:rPr>
              <w:t xml:space="preserve"> </w:t>
            </w:r>
          </w:p>
        </w:tc>
        <w:tc>
          <w:tcPr>
            <w:tcW w:w="7101" w:type="dxa"/>
            <w:tcBorders>
              <w:top w:val="nil"/>
            </w:tcBorders>
          </w:tcPr>
          <w:p w14:paraId="3BF95FE2" w14:textId="77777777" w:rsidR="00A71EEF" w:rsidRDefault="0081115D">
            <w:pPr>
              <w:pStyle w:val="TableParagraph"/>
              <w:spacing w:before="126"/>
              <w:ind w:left="4"/>
              <w:rPr>
                <w:sz w:val="24"/>
              </w:rPr>
            </w:pPr>
            <w:r>
              <w:rPr>
                <w:sz w:val="21"/>
              </w:rPr>
              <w:t>览厅</w:t>
            </w:r>
            <w:r>
              <w:rPr>
                <w:sz w:val="24"/>
              </w:rPr>
              <w:t xml:space="preserve"> </w:t>
            </w:r>
          </w:p>
        </w:tc>
      </w:tr>
      <w:tr w:rsidR="00A71EEF" w14:paraId="407CE75F" w14:textId="77777777">
        <w:trPr>
          <w:trHeight w:val="498"/>
        </w:trPr>
        <w:tc>
          <w:tcPr>
            <w:tcW w:w="1296" w:type="dxa"/>
            <w:tcBorders>
              <w:top w:val="nil"/>
              <w:bottom w:val="nil"/>
            </w:tcBorders>
          </w:tcPr>
          <w:p w14:paraId="7DA0DCF4" w14:textId="77777777" w:rsidR="00A71EEF" w:rsidRDefault="00A71EEF">
            <w:pPr>
              <w:pStyle w:val="TableParagraph"/>
              <w:spacing w:before="4"/>
              <w:rPr>
                <w:sz w:val="15"/>
              </w:rPr>
            </w:pPr>
          </w:p>
          <w:p w14:paraId="1F49677E" w14:textId="77777777" w:rsidR="00A71EEF" w:rsidRDefault="0081115D">
            <w:pPr>
              <w:pStyle w:val="TableParagraph"/>
              <w:spacing w:before="1"/>
              <w:ind w:right="425"/>
              <w:jc w:val="right"/>
              <w:rPr>
                <w:sz w:val="21"/>
              </w:rPr>
            </w:pPr>
            <w:r>
              <w:rPr>
                <w:sz w:val="21"/>
              </w:rPr>
              <w:t>危</w:t>
            </w:r>
            <w:r>
              <w:rPr>
                <w:sz w:val="21"/>
              </w:rPr>
              <w:t xml:space="preserve"> </w:t>
            </w:r>
          </w:p>
        </w:tc>
        <w:tc>
          <w:tcPr>
            <w:tcW w:w="7101" w:type="dxa"/>
          </w:tcPr>
          <w:p w14:paraId="5E140126" w14:textId="77777777" w:rsidR="00A71EEF" w:rsidRDefault="0081115D">
            <w:pPr>
              <w:pStyle w:val="TableParagraph"/>
              <w:spacing w:before="187"/>
              <w:ind w:left="4"/>
              <w:rPr>
                <w:sz w:val="24"/>
              </w:rPr>
            </w:pPr>
            <w:r>
              <w:rPr>
                <w:sz w:val="21"/>
              </w:rPr>
              <w:t xml:space="preserve">10. </w:t>
            </w:r>
            <w:r>
              <w:rPr>
                <w:sz w:val="21"/>
              </w:rPr>
              <w:t>民用机场的检票厅、行李厅</w:t>
            </w:r>
            <w:r>
              <w:rPr>
                <w:sz w:val="24"/>
              </w:rPr>
              <w:t xml:space="preserve"> </w:t>
            </w:r>
          </w:p>
        </w:tc>
      </w:tr>
      <w:tr w:rsidR="00A71EEF" w14:paraId="765A5321" w14:textId="77777777">
        <w:trPr>
          <w:trHeight w:val="501"/>
        </w:trPr>
        <w:tc>
          <w:tcPr>
            <w:tcW w:w="1296" w:type="dxa"/>
            <w:tcBorders>
              <w:top w:val="nil"/>
              <w:bottom w:val="nil"/>
            </w:tcBorders>
          </w:tcPr>
          <w:p w14:paraId="12C4F5D1" w14:textId="77777777" w:rsidR="00A71EEF" w:rsidRDefault="00A71EEF">
            <w:pPr>
              <w:pStyle w:val="TableParagraph"/>
              <w:spacing w:before="10"/>
              <w:rPr>
                <w:sz w:val="14"/>
              </w:rPr>
            </w:pPr>
          </w:p>
          <w:p w14:paraId="2916FF49" w14:textId="77777777" w:rsidR="00A71EEF" w:rsidRDefault="0081115D">
            <w:pPr>
              <w:pStyle w:val="TableParagraph"/>
              <w:ind w:right="425"/>
              <w:jc w:val="right"/>
              <w:rPr>
                <w:sz w:val="21"/>
              </w:rPr>
            </w:pPr>
            <w:r>
              <w:rPr>
                <w:sz w:val="21"/>
              </w:rPr>
              <w:t>险</w:t>
            </w:r>
            <w:r>
              <w:rPr>
                <w:sz w:val="21"/>
              </w:rPr>
              <w:t xml:space="preserve"> </w:t>
            </w:r>
          </w:p>
        </w:tc>
        <w:tc>
          <w:tcPr>
            <w:tcW w:w="7101" w:type="dxa"/>
          </w:tcPr>
          <w:p w14:paraId="724C5B5F" w14:textId="77777777" w:rsidR="00A71EEF" w:rsidRDefault="0081115D">
            <w:pPr>
              <w:pStyle w:val="TableParagraph"/>
              <w:spacing w:before="189"/>
              <w:ind w:left="4"/>
              <w:rPr>
                <w:sz w:val="24"/>
              </w:rPr>
            </w:pPr>
            <w:r>
              <w:rPr>
                <w:sz w:val="21"/>
              </w:rPr>
              <w:t xml:space="preserve">11. </w:t>
            </w:r>
            <w:r>
              <w:rPr>
                <w:sz w:val="21"/>
              </w:rPr>
              <w:t>二类高层建筑的写字楼、公寓楼</w:t>
            </w:r>
            <w:r>
              <w:rPr>
                <w:sz w:val="24"/>
              </w:rPr>
              <w:t xml:space="preserve"> </w:t>
            </w:r>
          </w:p>
        </w:tc>
      </w:tr>
      <w:tr w:rsidR="00A71EEF" w14:paraId="4FFF65E7" w14:textId="77777777">
        <w:trPr>
          <w:trHeight w:val="498"/>
        </w:trPr>
        <w:tc>
          <w:tcPr>
            <w:tcW w:w="1296" w:type="dxa"/>
            <w:tcBorders>
              <w:top w:val="nil"/>
              <w:bottom w:val="nil"/>
            </w:tcBorders>
          </w:tcPr>
          <w:p w14:paraId="02341081" w14:textId="77777777" w:rsidR="00A71EEF" w:rsidRDefault="0081115D">
            <w:pPr>
              <w:pStyle w:val="TableParagraph"/>
              <w:spacing w:before="177"/>
              <w:ind w:right="410"/>
              <w:jc w:val="right"/>
              <w:rPr>
                <w:sz w:val="24"/>
              </w:rPr>
            </w:pPr>
            <w:r>
              <w:rPr>
                <w:sz w:val="21"/>
              </w:rPr>
              <w:t>级</w:t>
            </w:r>
            <w:r>
              <w:rPr>
                <w:sz w:val="24"/>
              </w:rPr>
              <w:t xml:space="preserve"> </w:t>
            </w:r>
          </w:p>
        </w:tc>
        <w:tc>
          <w:tcPr>
            <w:tcW w:w="7101" w:type="dxa"/>
          </w:tcPr>
          <w:p w14:paraId="2269CD8D" w14:textId="77777777" w:rsidR="00A71EEF" w:rsidRDefault="0081115D">
            <w:pPr>
              <w:pStyle w:val="TableParagraph"/>
              <w:spacing w:before="187"/>
              <w:ind w:left="4"/>
              <w:rPr>
                <w:sz w:val="24"/>
              </w:rPr>
            </w:pPr>
            <w:r>
              <w:rPr>
                <w:sz w:val="21"/>
              </w:rPr>
              <w:t xml:space="preserve">12. </w:t>
            </w:r>
            <w:r>
              <w:rPr>
                <w:sz w:val="21"/>
              </w:rPr>
              <w:t>高级住宅、别墅</w:t>
            </w:r>
            <w:r>
              <w:rPr>
                <w:sz w:val="24"/>
              </w:rPr>
              <w:t xml:space="preserve"> </w:t>
            </w:r>
          </w:p>
        </w:tc>
      </w:tr>
      <w:tr w:rsidR="00A71EEF" w14:paraId="5159AD45" w14:textId="77777777">
        <w:trPr>
          <w:trHeight w:val="564"/>
        </w:trPr>
        <w:tc>
          <w:tcPr>
            <w:tcW w:w="1296" w:type="dxa"/>
            <w:tcBorders>
              <w:top w:val="nil"/>
              <w:bottom w:val="nil"/>
            </w:tcBorders>
          </w:tcPr>
          <w:p w14:paraId="13F52AEF" w14:textId="77777777" w:rsidR="00A71EEF" w:rsidRDefault="00A71EEF">
            <w:pPr>
              <w:pStyle w:val="TableParagraph"/>
              <w:rPr>
                <w:rFonts w:ascii="Times New Roman"/>
                <w:sz w:val="20"/>
              </w:rPr>
            </w:pPr>
          </w:p>
        </w:tc>
        <w:tc>
          <w:tcPr>
            <w:tcW w:w="7101" w:type="dxa"/>
            <w:tcBorders>
              <w:bottom w:val="nil"/>
            </w:tcBorders>
          </w:tcPr>
          <w:p w14:paraId="3F7CC866" w14:textId="77777777" w:rsidR="00A71EEF" w:rsidRDefault="00A71EEF">
            <w:pPr>
              <w:pStyle w:val="TableParagraph"/>
              <w:spacing w:before="10"/>
              <w:rPr>
                <w:sz w:val="14"/>
              </w:rPr>
            </w:pPr>
          </w:p>
          <w:p w14:paraId="3120C606" w14:textId="77777777" w:rsidR="00A71EEF" w:rsidRDefault="0081115D">
            <w:pPr>
              <w:pStyle w:val="TableParagraph"/>
              <w:ind w:left="4"/>
              <w:rPr>
                <w:sz w:val="21"/>
              </w:rPr>
            </w:pPr>
            <w:r>
              <w:rPr>
                <w:sz w:val="21"/>
              </w:rPr>
              <w:t>13.</w:t>
            </w:r>
            <w:r>
              <w:rPr>
                <w:spacing w:val="-7"/>
                <w:sz w:val="21"/>
              </w:rPr>
              <w:t xml:space="preserve"> </w:t>
            </w:r>
            <w:r>
              <w:rPr>
                <w:spacing w:val="-7"/>
                <w:sz w:val="21"/>
              </w:rPr>
              <w:t>建筑面积在</w:t>
            </w:r>
            <w:r>
              <w:rPr>
                <w:spacing w:val="-7"/>
                <w:sz w:val="21"/>
              </w:rPr>
              <w:t xml:space="preserve"> </w:t>
            </w:r>
            <w:r>
              <w:rPr>
                <w:sz w:val="21"/>
              </w:rPr>
              <w:t>1000</w:t>
            </w:r>
            <w:r>
              <w:rPr>
                <w:spacing w:val="-9"/>
                <w:sz w:val="21"/>
              </w:rPr>
              <w:t xml:space="preserve"> </w:t>
            </w:r>
            <w:r>
              <w:rPr>
                <w:spacing w:val="-9"/>
                <w:sz w:val="21"/>
              </w:rPr>
              <w:t>㎡以下的经营易燃易爆化学物品的商场、商店的库房及</w:t>
            </w:r>
          </w:p>
        </w:tc>
      </w:tr>
      <w:tr w:rsidR="00A71EEF" w14:paraId="060567C0" w14:textId="77777777">
        <w:trPr>
          <w:trHeight w:val="436"/>
        </w:trPr>
        <w:tc>
          <w:tcPr>
            <w:tcW w:w="1296" w:type="dxa"/>
            <w:tcBorders>
              <w:top w:val="nil"/>
              <w:bottom w:val="nil"/>
            </w:tcBorders>
          </w:tcPr>
          <w:p w14:paraId="785908C7" w14:textId="77777777" w:rsidR="00A71EEF" w:rsidRDefault="00A71EEF">
            <w:pPr>
              <w:pStyle w:val="TableParagraph"/>
              <w:rPr>
                <w:rFonts w:ascii="Times New Roman"/>
                <w:sz w:val="20"/>
              </w:rPr>
            </w:pPr>
          </w:p>
        </w:tc>
        <w:tc>
          <w:tcPr>
            <w:tcW w:w="7101" w:type="dxa"/>
            <w:tcBorders>
              <w:top w:val="nil"/>
            </w:tcBorders>
          </w:tcPr>
          <w:p w14:paraId="0AB2BCE6" w14:textId="77777777" w:rsidR="00A71EEF" w:rsidRDefault="0081115D">
            <w:pPr>
              <w:pStyle w:val="TableParagraph"/>
              <w:spacing w:before="125"/>
              <w:ind w:left="4"/>
              <w:rPr>
                <w:sz w:val="24"/>
              </w:rPr>
            </w:pPr>
            <w:r>
              <w:rPr>
                <w:sz w:val="21"/>
              </w:rPr>
              <w:t>铺面</w:t>
            </w:r>
            <w:r>
              <w:rPr>
                <w:sz w:val="24"/>
              </w:rPr>
              <w:t xml:space="preserve"> </w:t>
            </w:r>
          </w:p>
        </w:tc>
      </w:tr>
      <w:tr w:rsidR="00A71EEF" w14:paraId="140EE565" w14:textId="77777777">
        <w:trPr>
          <w:trHeight w:val="501"/>
        </w:trPr>
        <w:tc>
          <w:tcPr>
            <w:tcW w:w="1296" w:type="dxa"/>
            <w:tcBorders>
              <w:top w:val="nil"/>
              <w:bottom w:val="nil"/>
            </w:tcBorders>
          </w:tcPr>
          <w:p w14:paraId="1869D9F7" w14:textId="77777777" w:rsidR="00A71EEF" w:rsidRDefault="00A71EEF">
            <w:pPr>
              <w:pStyle w:val="TableParagraph"/>
              <w:rPr>
                <w:rFonts w:ascii="Times New Roman"/>
                <w:sz w:val="20"/>
              </w:rPr>
            </w:pPr>
          </w:p>
        </w:tc>
        <w:tc>
          <w:tcPr>
            <w:tcW w:w="7101" w:type="dxa"/>
          </w:tcPr>
          <w:p w14:paraId="2FDB8876" w14:textId="77777777" w:rsidR="00A71EEF" w:rsidRDefault="0081115D">
            <w:pPr>
              <w:pStyle w:val="TableParagraph"/>
              <w:spacing w:before="187"/>
              <w:ind w:left="4"/>
              <w:rPr>
                <w:sz w:val="24"/>
              </w:rPr>
            </w:pPr>
            <w:r>
              <w:rPr>
                <w:sz w:val="21"/>
              </w:rPr>
              <w:t xml:space="preserve">14. </w:t>
            </w:r>
            <w:r>
              <w:rPr>
                <w:sz w:val="21"/>
              </w:rPr>
              <w:t>建筑面积在</w:t>
            </w:r>
            <w:r>
              <w:rPr>
                <w:sz w:val="21"/>
              </w:rPr>
              <w:t xml:space="preserve"> 200 </w:t>
            </w:r>
            <w:r>
              <w:rPr>
                <w:sz w:val="21"/>
              </w:rPr>
              <w:t>㎡</w:t>
            </w:r>
            <w:r>
              <w:rPr>
                <w:sz w:val="21"/>
              </w:rPr>
              <w:t xml:space="preserve"> </w:t>
            </w:r>
            <w:r>
              <w:rPr>
                <w:sz w:val="21"/>
              </w:rPr>
              <w:t>以下的公共娱乐场所</w:t>
            </w:r>
            <w:r>
              <w:rPr>
                <w:sz w:val="24"/>
              </w:rPr>
              <w:t xml:space="preserve"> </w:t>
            </w:r>
          </w:p>
        </w:tc>
      </w:tr>
      <w:tr w:rsidR="00A71EEF" w14:paraId="55B10884" w14:textId="77777777">
        <w:trPr>
          <w:trHeight w:val="498"/>
        </w:trPr>
        <w:tc>
          <w:tcPr>
            <w:tcW w:w="1296" w:type="dxa"/>
            <w:tcBorders>
              <w:top w:val="nil"/>
              <w:bottom w:val="nil"/>
            </w:tcBorders>
          </w:tcPr>
          <w:p w14:paraId="1A8314F5" w14:textId="77777777" w:rsidR="00A71EEF" w:rsidRDefault="00A71EEF">
            <w:pPr>
              <w:pStyle w:val="TableParagraph"/>
              <w:rPr>
                <w:rFonts w:ascii="Times New Roman"/>
                <w:sz w:val="20"/>
              </w:rPr>
            </w:pPr>
          </w:p>
        </w:tc>
        <w:tc>
          <w:tcPr>
            <w:tcW w:w="7101" w:type="dxa"/>
          </w:tcPr>
          <w:p w14:paraId="31C7B680" w14:textId="77777777" w:rsidR="00A71EEF" w:rsidRDefault="0081115D">
            <w:pPr>
              <w:pStyle w:val="TableParagraph"/>
              <w:spacing w:before="187"/>
              <w:ind w:left="4"/>
              <w:rPr>
                <w:sz w:val="24"/>
              </w:rPr>
            </w:pPr>
            <w:r>
              <w:rPr>
                <w:sz w:val="21"/>
              </w:rPr>
              <w:t xml:space="preserve">15. </w:t>
            </w:r>
            <w:r>
              <w:rPr>
                <w:sz w:val="21"/>
              </w:rPr>
              <w:t>老人住宿床位在</w:t>
            </w:r>
            <w:r>
              <w:rPr>
                <w:sz w:val="21"/>
              </w:rPr>
              <w:t xml:space="preserve"> 50 </w:t>
            </w:r>
            <w:r>
              <w:rPr>
                <w:sz w:val="21"/>
              </w:rPr>
              <w:t>张以下的养老院</w:t>
            </w:r>
            <w:r>
              <w:rPr>
                <w:sz w:val="24"/>
              </w:rPr>
              <w:t xml:space="preserve"> </w:t>
            </w:r>
          </w:p>
        </w:tc>
      </w:tr>
      <w:tr w:rsidR="00A71EEF" w14:paraId="75A74298" w14:textId="77777777">
        <w:trPr>
          <w:trHeight w:val="501"/>
        </w:trPr>
        <w:tc>
          <w:tcPr>
            <w:tcW w:w="1296" w:type="dxa"/>
            <w:tcBorders>
              <w:top w:val="nil"/>
              <w:bottom w:val="nil"/>
            </w:tcBorders>
          </w:tcPr>
          <w:p w14:paraId="03A09CC1" w14:textId="77777777" w:rsidR="00A71EEF" w:rsidRDefault="00A71EEF">
            <w:pPr>
              <w:pStyle w:val="TableParagraph"/>
              <w:rPr>
                <w:rFonts w:ascii="Times New Roman"/>
                <w:sz w:val="20"/>
              </w:rPr>
            </w:pPr>
          </w:p>
        </w:tc>
        <w:tc>
          <w:tcPr>
            <w:tcW w:w="7101" w:type="dxa"/>
          </w:tcPr>
          <w:p w14:paraId="43AA41B3" w14:textId="77777777" w:rsidR="00A71EEF" w:rsidRDefault="0081115D">
            <w:pPr>
              <w:pStyle w:val="TableParagraph"/>
              <w:spacing w:before="187"/>
              <w:ind w:left="4"/>
              <w:rPr>
                <w:sz w:val="24"/>
              </w:rPr>
            </w:pPr>
            <w:r>
              <w:rPr>
                <w:sz w:val="21"/>
              </w:rPr>
              <w:t xml:space="preserve">16. </w:t>
            </w:r>
            <w:r>
              <w:rPr>
                <w:sz w:val="21"/>
              </w:rPr>
              <w:t>幼儿住宿床位在</w:t>
            </w:r>
            <w:r>
              <w:rPr>
                <w:sz w:val="21"/>
              </w:rPr>
              <w:t xml:space="preserve"> 50 </w:t>
            </w:r>
            <w:r>
              <w:rPr>
                <w:sz w:val="21"/>
              </w:rPr>
              <w:t>张以下的托儿所、幼儿园</w:t>
            </w:r>
            <w:r>
              <w:rPr>
                <w:sz w:val="24"/>
              </w:rPr>
              <w:t xml:space="preserve"> </w:t>
            </w:r>
          </w:p>
        </w:tc>
      </w:tr>
      <w:tr w:rsidR="00A71EEF" w14:paraId="5E399923" w14:textId="77777777">
        <w:trPr>
          <w:trHeight w:val="498"/>
        </w:trPr>
        <w:tc>
          <w:tcPr>
            <w:tcW w:w="1296" w:type="dxa"/>
            <w:tcBorders>
              <w:top w:val="nil"/>
              <w:bottom w:val="nil"/>
            </w:tcBorders>
          </w:tcPr>
          <w:p w14:paraId="2CB2C7DE" w14:textId="77777777" w:rsidR="00A71EEF" w:rsidRDefault="00A71EEF">
            <w:pPr>
              <w:pStyle w:val="TableParagraph"/>
              <w:rPr>
                <w:rFonts w:ascii="Times New Roman"/>
                <w:sz w:val="20"/>
              </w:rPr>
            </w:pPr>
          </w:p>
        </w:tc>
        <w:tc>
          <w:tcPr>
            <w:tcW w:w="7101" w:type="dxa"/>
          </w:tcPr>
          <w:p w14:paraId="61AA52DB" w14:textId="77777777" w:rsidR="00A71EEF" w:rsidRDefault="0081115D">
            <w:pPr>
              <w:pStyle w:val="TableParagraph"/>
              <w:spacing w:before="187"/>
              <w:ind w:left="4"/>
              <w:rPr>
                <w:sz w:val="24"/>
              </w:rPr>
            </w:pPr>
            <w:r>
              <w:rPr>
                <w:sz w:val="21"/>
              </w:rPr>
              <w:t xml:space="preserve">17. </w:t>
            </w:r>
            <w:r>
              <w:rPr>
                <w:sz w:val="21"/>
              </w:rPr>
              <w:t>学生住宿床位在</w:t>
            </w:r>
            <w:r>
              <w:rPr>
                <w:sz w:val="21"/>
              </w:rPr>
              <w:t xml:space="preserve"> 100 </w:t>
            </w:r>
            <w:r>
              <w:rPr>
                <w:sz w:val="21"/>
              </w:rPr>
              <w:t>张以下的学校集体宿舍</w:t>
            </w:r>
            <w:r>
              <w:rPr>
                <w:sz w:val="24"/>
              </w:rPr>
              <w:t xml:space="preserve"> </w:t>
            </w:r>
          </w:p>
        </w:tc>
      </w:tr>
      <w:tr w:rsidR="00A71EEF" w14:paraId="4147A750" w14:textId="77777777">
        <w:trPr>
          <w:trHeight w:val="501"/>
        </w:trPr>
        <w:tc>
          <w:tcPr>
            <w:tcW w:w="1296" w:type="dxa"/>
            <w:tcBorders>
              <w:top w:val="nil"/>
              <w:bottom w:val="nil"/>
            </w:tcBorders>
          </w:tcPr>
          <w:p w14:paraId="62B4BE09" w14:textId="77777777" w:rsidR="00A71EEF" w:rsidRDefault="00A71EEF">
            <w:pPr>
              <w:pStyle w:val="TableParagraph"/>
              <w:rPr>
                <w:rFonts w:ascii="Times New Roman"/>
                <w:sz w:val="20"/>
              </w:rPr>
            </w:pPr>
          </w:p>
        </w:tc>
        <w:tc>
          <w:tcPr>
            <w:tcW w:w="7101" w:type="dxa"/>
          </w:tcPr>
          <w:p w14:paraId="4AEB55CE" w14:textId="77777777" w:rsidR="00A71EEF" w:rsidRDefault="0081115D">
            <w:pPr>
              <w:pStyle w:val="TableParagraph"/>
              <w:spacing w:before="187"/>
              <w:ind w:left="4"/>
              <w:rPr>
                <w:sz w:val="24"/>
              </w:rPr>
            </w:pPr>
            <w:r>
              <w:rPr>
                <w:sz w:val="21"/>
              </w:rPr>
              <w:t xml:space="preserve">18. </w:t>
            </w:r>
            <w:r>
              <w:rPr>
                <w:sz w:val="21"/>
              </w:rPr>
              <w:t>县级以下的党政机关办公大楼的会议室</w:t>
            </w:r>
            <w:r>
              <w:rPr>
                <w:sz w:val="24"/>
              </w:rPr>
              <w:t xml:space="preserve"> </w:t>
            </w:r>
          </w:p>
        </w:tc>
      </w:tr>
      <w:tr w:rsidR="00A71EEF" w14:paraId="2A7A68F6" w14:textId="77777777">
        <w:trPr>
          <w:trHeight w:val="499"/>
        </w:trPr>
        <w:tc>
          <w:tcPr>
            <w:tcW w:w="1296" w:type="dxa"/>
            <w:tcBorders>
              <w:top w:val="nil"/>
              <w:bottom w:val="nil"/>
            </w:tcBorders>
          </w:tcPr>
          <w:p w14:paraId="74EA7BFB" w14:textId="77777777" w:rsidR="00A71EEF" w:rsidRDefault="00A71EEF">
            <w:pPr>
              <w:pStyle w:val="TableParagraph"/>
              <w:rPr>
                <w:rFonts w:ascii="Times New Roman"/>
                <w:sz w:val="20"/>
              </w:rPr>
            </w:pPr>
          </w:p>
        </w:tc>
        <w:tc>
          <w:tcPr>
            <w:tcW w:w="7101" w:type="dxa"/>
          </w:tcPr>
          <w:p w14:paraId="62A336CE" w14:textId="77777777" w:rsidR="00A71EEF" w:rsidRDefault="0081115D">
            <w:pPr>
              <w:pStyle w:val="TableParagraph"/>
              <w:spacing w:before="187"/>
              <w:ind w:left="4"/>
              <w:rPr>
                <w:sz w:val="24"/>
              </w:rPr>
            </w:pPr>
            <w:r>
              <w:rPr>
                <w:sz w:val="21"/>
              </w:rPr>
              <w:t xml:space="preserve">19. </w:t>
            </w:r>
            <w:r>
              <w:rPr>
                <w:sz w:val="21"/>
              </w:rPr>
              <w:t>学校教室、教研室</w:t>
            </w:r>
            <w:r>
              <w:rPr>
                <w:sz w:val="24"/>
              </w:rPr>
              <w:t xml:space="preserve"> </w:t>
            </w:r>
          </w:p>
        </w:tc>
      </w:tr>
      <w:tr w:rsidR="00A71EEF" w14:paraId="6F9B8674" w14:textId="77777777">
        <w:trPr>
          <w:trHeight w:val="501"/>
        </w:trPr>
        <w:tc>
          <w:tcPr>
            <w:tcW w:w="1296" w:type="dxa"/>
            <w:vMerge w:val="restart"/>
            <w:tcBorders>
              <w:top w:val="nil"/>
            </w:tcBorders>
          </w:tcPr>
          <w:p w14:paraId="35195CF7" w14:textId="77777777" w:rsidR="00A71EEF" w:rsidRDefault="00A71EEF">
            <w:pPr>
              <w:pStyle w:val="TableParagraph"/>
              <w:rPr>
                <w:rFonts w:ascii="Times New Roman"/>
                <w:sz w:val="20"/>
              </w:rPr>
            </w:pPr>
          </w:p>
        </w:tc>
        <w:tc>
          <w:tcPr>
            <w:tcW w:w="7101" w:type="dxa"/>
          </w:tcPr>
          <w:p w14:paraId="29104108" w14:textId="77777777" w:rsidR="00A71EEF" w:rsidRDefault="0081115D">
            <w:pPr>
              <w:pStyle w:val="TableParagraph"/>
              <w:spacing w:before="187"/>
              <w:ind w:left="4"/>
              <w:rPr>
                <w:sz w:val="24"/>
              </w:rPr>
            </w:pPr>
            <w:r>
              <w:rPr>
                <w:sz w:val="21"/>
              </w:rPr>
              <w:t xml:space="preserve">20. </w:t>
            </w:r>
            <w:r>
              <w:rPr>
                <w:sz w:val="21"/>
              </w:rPr>
              <w:t>建筑面积在</w:t>
            </w:r>
            <w:r>
              <w:rPr>
                <w:sz w:val="21"/>
              </w:rPr>
              <w:t xml:space="preserve"> 500 </w:t>
            </w:r>
            <w:r>
              <w:rPr>
                <w:sz w:val="21"/>
              </w:rPr>
              <w:t>㎡</w:t>
            </w:r>
            <w:r>
              <w:rPr>
                <w:sz w:val="21"/>
              </w:rPr>
              <w:t xml:space="preserve"> </w:t>
            </w:r>
            <w:r>
              <w:rPr>
                <w:sz w:val="21"/>
              </w:rPr>
              <w:t>以下的车站和码头的候车（船）室、行李房</w:t>
            </w:r>
            <w:r>
              <w:rPr>
                <w:sz w:val="24"/>
              </w:rPr>
              <w:t xml:space="preserve"> </w:t>
            </w:r>
          </w:p>
        </w:tc>
      </w:tr>
      <w:tr w:rsidR="00A71EEF" w14:paraId="6BDD14B2" w14:textId="77777777">
        <w:trPr>
          <w:trHeight w:val="498"/>
        </w:trPr>
        <w:tc>
          <w:tcPr>
            <w:tcW w:w="1296" w:type="dxa"/>
            <w:vMerge/>
            <w:tcBorders>
              <w:top w:val="nil"/>
            </w:tcBorders>
          </w:tcPr>
          <w:p w14:paraId="3C81F2F9" w14:textId="77777777" w:rsidR="00A71EEF" w:rsidRDefault="00A71EEF">
            <w:pPr>
              <w:rPr>
                <w:sz w:val="2"/>
                <w:szCs w:val="2"/>
              </w:rPr>
            </w:pPr>
          </w:p>
        </w:tc>
        <w:tc>
          <w:tcPr>
            <w:tcW w:w="7101" w:type="dxa"/>
          </w:tcPr>
          <w:p w14:paraId="60530469" w14:textId="77777777" w:rsidR="00A71EEF" w:rsidRDefault="0081115D">
            <w:pPr>
              <w:pStyle w:val="TableParagraph"/>
              <w:spacing w:before="187"/>
              <w:ind w:left="4"/>
              <w:rPr>
                <w:sz w:val="24"/>
              </w:rPr>
            </w:pPr>
            <w:r>
              <w:rPr>
                <w:sz w:val="21"/>
              </w:rPr>
              <w:t xml:space="preserve">21. </w:t>
            </w:r>
            <w:r>
              <w:rPr>
                <w:sz w:val="21"/>
              </w:rPr>
              <w:t>百货楼、超市、综合商场的库房、铺面</w:t>
            </w:r>
            <w:r>
              <w:rPr>
                <w:sz w:val="24"/>
              </w:rPr>
              <w:t xml:space="preserve"> </w:t>
            </w:r>
          </w:p>
        </w:tc>
      </w:tr>
    </w:tbl>
    <w:p w14:paraId="1B6FE7BA" w14:textId="77777777" w:rsidR="00A71EEF" w:rsidRDefault="00A71EEF">
      <w:pPr>
        <w:rPr>
          <w:sz w:val="24"/>
        </w:rPr>
        <w:sectPr w:rsidR="00A71EEF">
          <w:pgSz w:w="11910" w:h="16850"/>
          <w:pgMar w:top="1080" w:right="0" w:bottom="1340" w:left="1260" w:header="0" w:footer="1159" w:gutter="0"/>
          <w:cols w:space="720"/>
        </w:sectPr>
      </w:pP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6"/>
        <w:gridCol w:w="7101"/>
      </w:tblGrid>
      <w:tr w:rsidR="00A71EEF" w14:paraId="1E6C9117" w14:textId="77777777">
        <w:trPr>
          <w:trHeight w:val="499"/>
        </w:trPr>
        <w:tc>
          <w:tcPr>
            <w:tcW w:w="1296" w:type="dxa"/>
            <w:vMerge w:val="restart"/>
          </w:tcPr>
          <w:p w14:paraId="2F19962D" w14:textId="77777777" w:rsidR="00A71EEF" w:rsidRDefault="00A71EEF">
            <w:pPr>
              <w:pStyle w:val="TableParagraph"/>
              <w:rPr>
                <w:rFonts w:ascii="Times New Roman"/>
                <w:sz w:val="20"/>
              </w:rPr>
            </w:pPr>
          </w:p>
        </w:tc>
        <w:tc>
          <w:tcPr>
            <w:tcW w:w="7101" w:type="dxa"/>
          </w:tcPr>
          <w:p w14:paraId="03A2FA64" w14:textId="77777777" w:rsidR="00A71EEF" w:rsidRDefault="0081115D">
            <w:pPr>
              <w:pStyle w:val="TableParagraph"/>
              <w:spacing w:before="187"/>
              <w:ind w:left="4"/>
              <w:rPr>
                <w:sz w:val="24"/>
              </w:rPr>
            </w:pPr>
            <w:r>
              <w:rPr>
                <w:sz w:val="21"/>
              </w:rPr>
              <w:t xml:space="preserve">22. </w:t>
            </w:r>
            <w:r>
              <w:rPr>
                <w:sz w:val="21"/>
              </w:rPr>
              <w:t>民用燃油、燃气锅炉房</w:t>
            </w:r>
            <w:r>
              <w:rPr>
                <w:sz w:val="24"/>
              </w:rPr>
              <w:t xml:space="preserve"> </w:t>
            </w:r>
          </w:p>
        </w:tc>
      </w:tr>
      <w:tr w:rsidR="00A71EEF" w14:paraId="794E9DFC" w14:textId="77777777">
        <w:trPr>
          <w:trHeight w:val="501"/>
        </w:trPr>
        <w:tc>
          <w:tcPr>
            <w:tcW w:w="1296" w:type="dxa"/>
            <w:vMerge/>
            <w:tcBorders>
              <w:top w:val="nil"/>
            </w:tcBorders>
          </w:tcPr>
          <w:p w14:paraId="4606F320" w14:textId="77777777" w:rsidR="00A71EEF" w:rsidRDefault="00A71EEF">
            <w:pPr>
              <w:rPr>
                <w:sz w:val="2"/>
                <w:szCs w:val="2"/>
              </w:rPr>
            </w:pPr>
          </w:p>
        </w:tc>
        <w:tc>
          <w:tcPr>
            <w:tcW w:w="7101" w:type="dxa"/>
          </w:tcPr>
          <w:p w14:paraId="13A9EF50" w14:textId="77777777" w:rsidR="00A71EEF" w:rsidRDefault="0081115D">
            <w:pPr>
              <w:pStyle w:val="TableParagraph"/>
              <w:spacing w:before="187"/>
              <w:ind w:left="4"/>
              <w:rPr>
                <w:sz w:val="24"/>
              </w:rPr>
            </w:pPr>
            <w:r>
              <w:rPr>
                <w:sz w:val="21"/>
              </w:rPr>
              <w:t xml:space="preserve">23. </w:t>
            </w:r>
            <w:r>
              <w:rPr>
                <w:sz w:val="21"/>
              </w:rPr>
              <w:t>民用的油浸变压器室和高、低压配电室</w:t>
            </w:r>
            <w:r>
              <w:rPr>
                <w:sz w:val="24"/>
              </w:rPr>
              <w:t xml:space="preserve"> </w:t>
            </w:r>
          </w:p>
        </w:tc>
      </w:tr>
      <w:tr w:rsidR="00A71EEF" w14:paraId="7A7514BD" w14:textId="77777777">
        <w:trPr>
          <w:trHeight w:val="498"/>
        </w:trPr>
        <w:tc>
          <w:tcPr>
            <w:tcW w:w="1296" w:type="dxa"/>
            <w:tcBorders>
              <w:bottom w:val="nil"/>
            </w:tcBorders>
          </w:tcPr>
          <w:p w14:paraId="580FC927" w14:textId="77777777" w:rsidR="00A71EEF" w:rsidRDefault="00A71EEF">
            <w:pPr>
              <w:pStyle w:val="TableParagraph"/>
              <w:rPr>
                <w:rFonts w:ascii="Times New Roman"/>
                <w:sz w:val="20"/>
              </w:rPr>
            </w:pPr>
          </w:p>
        </w:tc>
        <w:tc>
          <w:tcPr>
            <w:tcW w:w="7101" w:type="dxa"/>
          </w:tcPr>
          <w:p w14:paraId="70A4B9B4" w14:textId="77777777" w:rsidR="00A71EEF" w:rsidRDefault="0081115D">
            <w:pPr>
              <w:pStyle w:val="TableParagraph"/>
              <w:spacing w:before="187"/>
              <w:ind w:left="4"/>
              <w:rPr>
                <w:sz w:val="24"/>
              </w:rPr>
            </w:pPr>
            <w:r>
              <w:rPr>
                <w:sz w:val="21"/>
              </w:rPr>
              <w:t xml:space="preserve">1. </w:t>
            </w:r>
            <w:r>
              <w:rPr>
                <w:sz w:val="21"/>
              </w:rPr>
              <w:t>日常用品小卖店及经营难燃烧或非燃烧的建筑装饰材料商店</w:t>
            </w:r>
            <w:r>
              <w:rPr>
                <w:sz w:val="24"/>
              </w:rPr>
              <w:t xml:space="preserve"> </w:t>
            </w:r>
          </w:p>
        </w:tc>
      </w:tr>
      <w:tr w:rsidR="00A71EEF" w14:paraId="24DE2CA8" w14:textId="77777777">
        <w:trPr>
          <w:trHeight w:val="501"/>
        </w:trPr>
        <w:tc>
          <w:tcPr>
            <w:tcW w:w="1296" w:type="dxa"/>
            <w:tcBorders>
              <w:top w:val="nil"/>
              <w:bottom w:val="nil"/>
            </w:tcBorders>
          </w:tcPr>
          <w:p w14:paraId="78A99BA8" w14:textId="77777777" w:rsidR="00A71EEF" w:rsidRDefault="00A71EEF">
            <w:pPr>
              <w:pStyle w:val="TableParagraph"/>
              <w:spacing w:before="7"/>
              <w:rPr>
                <w:sz w:val="15"/>
              </w:rPr>
            </w:pPr>
          </w:p>
          <w:p w14:paraId="1DC565C2" w14:textId="77777777" w:rsidR="00A71EEF" w:rsidRDefault="0081115D">
            <w:pPr>
              <w:pStyle w:val="TableParagraph"/>
              <w:ind w:right="425"/>
              <w:jc w:val="right"/>
              <w:rPr>
                <w:sz w:val="21"/>
              </w:rPr>
            </w:pPr>
            <w:r>
              <w:rPr>
                <w:sz w:val="21"/>
              </w:rPr>
              <w:t>轻</w:t>
            </w:r>
            <w:r>
              <w:rPr>
                <w:sz w:val="21"/>
              </w:rPr>
              <w:t xml:space="preserve"> </w:t>
            </w:r>
          </w:p>
        </w:tc>
        <w:tc>
          <w:tcPr>
            <w:tcW w:w="7101" w:type="dxa"/>
          </w:tcPr>
          <w:p w14:paraId="38DD8258" w14:textId="77777777" w:rsidR="00A71EEF" w:rsidRDefault="0081115D">
            <w:pPr>
              <w:pStyle w:val="TableParagraph"/>
              <w:spacing w:before="187"/>
              <w:ind w:left="4"/>
              <w:rPr>
                <w:sz w:val="24"/>
              </w:rPr>
            </w:pPr>
            <w:r>
              <w:rPr>
                <w:sz w:val="21"/>
              </w:rPr>
              <w:t xml:space="preserve">2. </w:t>
            </w:r>
            <w:r>
              <w:rPr>
                <w:sz w:val="21"/>
              </w:rPr>
              <w:t>未设集中空调、电子计算机、复印机等设备的普通办公室</w:t>
            </w:r>
            <w:r>
              <w:rPr>
                <w:sz w:val="24"/>
              </w:rPr>
              <w:t xml:space="preserve"> </w:t>
            </w:r>
          </w:p>
        </w:tc>
      </w:tr>
      <w:tr w:rsidR="00A71EEF" w14:paraId="704DFEAC" w14:textId="77777777">
        <w:trPr>
          <w:trHeight w:val="498"/>
        </w:trPr>
        <w:tc>
          <w:tcPr>
            <w:tcW w:w="1296" w:type="dxa"/>
            <w:tcBorders>
              <w:top w:val="nil"/>
              <w:bottom w:val="nil"/>
            </w:tcBorders>
          </w:tcPr>
          <w:p w14:paraId="7A63F5D4" w14:textId="77777777" w:rsidR="00A71EEF" w:rsidRDefault="00A71EEF">
            <w:pPr>
              <w:pStyle w:val="TableParagraph"/>
              <w:spacing w:before="8"/>
              <w:rPr>
                <w:sz w:val="14"/>
              </w:rPr>
            </w:pPr>
          </w:p>
          <w:p w14:paraId="67DACD2F" w14:textId="77777777" w:rsidR="00A71EEF" w:rsidRDefault="0081115D">
            <w:pPr>
              <w:pStyle w:val="TableParagraph"/>
              <w:ind w:right="425"/>
              <w:jc w:val="right"/>
              <w:rPr>
                <w:sz w:val="21"/>
              </w:rPr>
            </w:pPr>
            <w:r>
              <w:rPr>
                <w:sz w:val="21"/>
              </w:rPr>
              <w:t>危</w:t>
            </w:r>
            <w:r>
              <w:rPr>
                <w:sz w:val="21"/>
              </w:rPr>
              <w:t xml:space="preserve"> </w:t>
            </w:r>
          </w:p>
        </w:tc>
        <w:tc>
          <w:tcPr>
            <w:tcW w:w="7101" w:type="dxa"/>
          </w:tcPr>
          <w:p w14:paraId="4FFE77FD" w14:textId="77777777" w:rsidR="00A71EEF" w:rsidRDefault="0081115D">
            <w:pPr>
              <w:pStyle w:val="TableParagraph"/>
              <w:spacing w:before="187"/>
              <w:ind w:left="4"/>
              <w:rPr>
                <w:sz w:val="24"/>
              </w:rPr>
            </w:pPr>
            <w:r>
              <w:rPr>
                <w:sz w:val="21"/>
              </w:rPr>
              <w:t xml:space="preserve">3. </w:t>
            </w:r>
            <w:r>
              <w:rPr>
                <w:sz w:val="21"/>
              </w:rPr>
              <w:t>旅馆、饭店的客房</w:t>
            </w:r>
            <w:r>
              <w:rPr>
                <w:sz w:val="24"/>
              </w:rPr>
              <w:t xml:space="preserve"> </w:t>
            </w:r>
          </w:p>
        </w:tc>
      </w:tr>
      <w:tr w:rsidR="00A71EEF" w14:paraId="6BAFC517" w14:textId="77777777">
        <w:trPr>
          <w:trHeight w:val="501"/>
        </w:trPr>
        <w:tc>
          <w:tcPr>
            <w:tcW w:w="1296" w:type="dxa"/>
            <w:tcBorders>
              <w:top w:val="nil"/>
              <w:bottom w:val="nil"/>
            </w:tcBorders>
          </w:tcPr>
          <w:p w14:paraId="7B2FFD8C" w14:textId="77777777" w:rsidR="00A71EEF" w:rsidRDefault="0081115D">
            <w:pPr>
              <w:pStyle w:val="TableParagraph"/>
              <w:spacing w:before="178"/>
              <w:ind w:right="425"/>
              <w:jc w:val="right"/>
              <w:rPr>
                <w:sz w:val="21"/>
              </w:rPr>
            </w:pPr>
            <w:r>
              <w:rPr>
                <w:sz w:val="21"/>
              </w:rPr>
              <w:t>险</w:t>
            </w:r>
            <w:r>
              <w:rPr>
                <w:sz w:val="21"/>
              </w:rPr>
              <w:t xml:space="preserve"> </w:t>
            </w:r>
          </w:p>
        </w:tc>
        <w:tc>
          <w:tcPr>
            <w:tcW w:w="7101" w:type="dxa"/>
          </w:tcPr>
          <w:p w14:paraId="7B1EE7CE" w14:textId="77777777" w:rsidR="00A71EEF" w:rsidRDefault="0081115D">
            <w:pPr>
              <w:pStyle w:val="TableParagraph"/>
              <w:spacing w:before="187"/>
              <w:ind w:left="4"/>
              <w:rPr>
                <w:sz w:val="24"/>
              </w:rPr>
            </w:pPr>
            <w:r>
              <w:rPr>
                <w:sz w:val="21"/>
              </w:rPr>
              <w:t xml:space="preserve">4. </w:t>
            </w:r>
            <w:r>
              <w:rPr>
                <w:sz w:val="21"/>
              </w:rPr>
              <w:t>普通住宅</w:t>
            </w:r>
            <w:r>
              <w:rPr>
                <w:sz w:val="24"/>
              </w:rPr>
              <w:t xml:space="preserve"> </w:t>
            </w:r>
          </w:p>
        </w:tc>
      </w:tr>
      <w:tr w:rsidR="00A71EEF" w14:paraId="377D7A9A" w14:textId="77777777">
        <w:trPr>
          <w:trHeight w:val="562"/>
        </w:trPr>
        <w:tc>
          <w:tcPr>
            <w:tcW w:w="1296" w:type="dxa"/>
            <w:tcBorders>
              <w:top w:val="nil"/>
              <w:bottom w:val="nil"/>
            </w:tcBorders>
          </w:tcPr>
          <w:p w14:paraId="5128FBEA" w14:textId="77777777" w:rsidR="00A71EEF" w:rsidRDefault="0081115D">
            <w:pPr>
              <w:pStyle w:val="TableParagraph"/>
              <w:spacing w:before="168"/>
              <w:ind w:right="410"/>
              <w:jc w:val="right"/>
              <w:rPr>
                <w:sz w:val="24"/>
              </w:rPr>
            </w:pPr>
            <w:r>
              <w:rPr>
                <w:sz w:val="21"/>
              </w:rPr>
              <w:t>级</w:t>
            </w:r>
            <w:r>
              <w:rPr>
                <w:sz w:val="24"/>
              </w:rPr>
              <w:t xml:space="preserve"> </w:t>
            </w:r>
          </w:p>
        </w:tc>
        <w:tc>
          <w:tcPr>
            <w:tcW w:w="7101" w:type="dxa"/>
            <w:tcBorders>
              <w:bottom w:val="nil"/>
            </w:tcBorders>
          </w:tcPr>
          <w:p w14:paraId="2C5523E4" w14:textId="77777777" w:rsidR="00A71EEF" w:rsidRDefault="00A71EEF">
            <w:pPr>
              <w:pStyle w:val="TableParagraph"/>
              <w:spacing w:before="8"/>
              <w:rPr>
                <w:sz w:val="14"/>
              </w:rPr>
            </w:pPr>
          </w:p>
          <w:p w14:paraId="594E9A2C" w14:textId="77777777" w:rsidR="00A71EEF" w:rsidRDefault="0081115D">
            <w:pPr>
              <w:pStyle w:val="TableParagraph"/>
              <w:ind w:left="4"/>
              <w:rPr>
                <w:sz w:val="21"/>
              </w:rPr>
            </w:pPr>
            <w:r>
              <w:rPr>
                <w:sz w:val="21"/>
              </w:rPr>
              <w:t xml:space="preserve">5. </w:t>
            </w:r>
            <w:r>
              <w:rPr>
                <w:sz w:val="21"/>
              </w:rPr>
              <w:t>各类建筑物中以难燃烧或非燃烧的建筑构件分隔的并主要存贮难燃烧或非</w:t>
            </w:r>
          </w:p>
        </w:tc>
      </w:tr>
      <w:tr w:rsidR="00A71EEF" w14:paraId="7725445C" w14:textId="77777777">
        <w:trPr>
          <w:trHeight w:val="438"/>
        </w:trPr>
        <w:tc>
          <w:tcPr>
            <w:tcW w:w="1296" w:type="dxa"/>
            <w:tcBorders>
              <w:top w:val="nil"/>
            </w:tcBorders>
          </w:tcPr>
          <w:p w14:paraId="63D54002" w14:textId="77777777" w:rsidR="00A71EEF" w:rsidRDefault="00A71EEF">
            <w:pPr>
              <w:pStyle w:val="TableParagraph"/>
              <w:rPr>
                <w:rFonts w:ascii="Times New Roman"/>
                <w:sz w:val="20"/>
              </w:rPr>
            </w:pPr>
          </w:p>
        </w:tc>
        <w:tc>
          <w:tcPr>
            <w:tcW w:w="7101" w:type="dxa"/>
            <w:tcBorders>
              <w:top w:val="nil"/>
            </w:tcBorders>
          </w:tcPr>
          <w:p w14:paraId="0705734F" w14:textId="77777777" w:rsidR="00A71EEF" w:rsidRDefault="0081115D">
            <w:pPr>
              <w:pStyle w:val="TableParagraph"/>
              <w:spacing w:before="125"/>
              <w:ind w:left="4"/>
              <w:rPr>
                <w:sz w:val="24"/>
              </w:rPr>
            </w:pPr>
            <w:r>
              <w:rPr>
                <w:sz w:val="21"/>
              </w:rPr>
              <w:t>燃烧材料的辅助房间</w:t>
            </w:r>
            <w:r>
              <w:rPr>
                <w:sz w:val="24"/>
              </w:rPr>
              <w:t xml:space="preserve"> </w:t>
            </w:r>
          </w:p>
        </w:tc>
      </w:tr>
    </w:tbl>
    <w:p w14:paraId="6BBC7322" w14:textId="77777777" w:rsidR="00A71EEF" w:rsidRDefault="00A71EEF">
      <w:pPr>
        <w:pStyle w:val="a3"/>
        <w:spacing w:before="1"/>
        <w:rPr>
          <w:sz w:val="7"/>
        </w:rPr>
      </w:pPr>
    </w:p>
    <w:p w14:paraId="3799C6FA" w14:textId="77777777" w:rsidR="00A71EEF" w:rsidRDefault="0081115D">
      <w:pPr>
        <w:spacing w:before="67"/>
        <w:ind w:left="3298"/>
        <w:rPr>
          <w:b/>
          <w:sz w:val="24"/>
        </w:rPr>
      </w:pPr>
      <w:r>
        <w:rPr>
          <w:b/>
          <w:w w:val="99"/>
          <w:sz w:val="24"/>
        </w:rPr>
        <w:t xml:space="preserve"> </w:t>
      </w:r>
    </w:p>
    <w:p w14:paraId="217346C1" w14:textId="77777777" w:rsidR="00A71EEF" w:rsidRDefault="00A71EEF">
      <w:pPr>
        <w:rPr>
          <w:sz w:val="24"/>
        </w:rPr>
        <w:sectPr w:rsidR="00A71EEF">
          <w:pgSz w:w="11910" w:h="16850"/>
          <w:pgMar w:top="1080" w:right="0" w:bottom="1340" w:left="1260" w:header="0" w:footer="1159" w:gutter="0"/>
          <w:cols w:space="720"/>
        </w:sectPr>
      </w:pPr>
    </w:p>
    <w:p w14:paraId="5E6E1D19" w14:textId="77777777" w:rsidR="00A71EEF" w:rsidRDefault="0081115D">
      <w:pPr>
        <w:spacing w:before="55"/>
        <w:ind w:right="898"/>
        <w:jc w:val="center"/>
        <w:rPr>
          <w:b/>
          <w:sz w:val="24"/>
        </w:rPr>
      </w:pPr>
      <w:r>
        <w:rPr>
          <w:b/>
          <w:sz w:val="24"/>
        </w:rPr>
        <w:t>附录</w:t>
      </w:r>
      <w:r>
        <w:rPr>
          <w:b/>
          <w:sz w:val="24"/>
        </w:rPr>
        <w:t xml:space="preserve"> E </w:t>
      </w:r>
      <w:r>
        <w:rPr>
          <w:b/>
          <w:sz w:val="24"/>
        </w:rPr>
        <w:t>不相容的灭火剂举例</w:t>
      </w:r>
      <w:r>
        <w:rPr>
          <w:b/>
          <w:w w:val="99"/>
          <w:sz w:val="24"/>
        </w:rPr>
        <w:t xml:space="preserve"> </w:t>
      </w:r>
    </w:p>
    <w:p w14:paraId="415F30C2" w14:textId="77777777" w:rsidR="00A71EEF" w:rsidRDefault="00A71EEF">
      <w:pPr>
        <w:pStyle w:val="a3"/>
        <w:rPr>
          <w:b/>
          <w:sz w:val="24"/>
        </w:rPr>
      </w:pPr>
    </w:p>
    <w:p w14:paraId="7BDE52CC" w14:textId="77777777" w:rsidR="00A71EEF" w:rsidRDefault="0081115D">
      <w:pPr>
        <w:spacing w:before="176"/>
        <w:ind w:right="912"/>
        <w:jc w:val="center"/>
        <w:rPr>
          <w:b/>
          <w:sz w:val="21"/>
        </w:rPr>
      </w:pPr>
      <w:r>
        <w:rPr>
          <w:b/>
          <w:sz w:val="21"/>
        </w:rPr>
        <w:t>表</w:t>
      </w:r>
      <w:r>
        <w:rPr>
          <w:b/>
          <w:sz w:val="21"/>
        </w:rPr>
        <w:t xml:space="preserve"> E </w:t>
      </w:r>
      <w:r>
        <w:rPr>
          <w:b/>
          <w:sz w:val="21"/>
        </w:rPr>
        <w:t>不相容的灭火剂举例</w:t>
      </w:r>
      <w:r>
        <w:rPr>
          <w:b/>
          <w:w w:val="99"/>
          <w:sz w:val="21"/>
        </w:rPr>
        <w:t xml:space="preserve"> </w:t>
      </w:r>
    </w:p>
    <w:p w14:paraId="1B1B5186" w14:textId="77777777" w:rsidR="00A71EEF" w:rsidRDefault="00A71EEF">
      <w:pPr>
        <w:pStyle w:val="a3"/>
        <w:rPr>
          <w:b/>
          <w:sz w:val="20"/>
        </w:rPr>
      </w:pPr>
    </w:p>
    <w:p w14:paraId="02134D70" w14:textId="77777777" w:rsidR="00A71EEF" w:rsidRDefault="00A71EEF">
      <w:pPr>
        <w:pStyle w:val="a3"/>
        <w:spacing w:before="3"/>
        <w:rPr>
          <w:b/>
          <w:sz w:val="22"/>
        </w:rPr>
      </w:pPr>
    </w:p>
    <w:tbl>
      <w:tblPr>
        <w:tblStyle w:val="TableNormal"/>
        <w:tblW w:w="0" w:type="auto"/>
        <w:tblInd w:w="4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66"/>
        <w:gridCol w:w="3129"/>
        <w:gridCol w:w="3330"/>
      </w:tblGrid>
      <w:tr w:rsidR="00A71EEF" w14:paraId="3EA21E15" w14:textId="77777777">
        <w:trPr>
          <w:trHeight w:val="501"/>
        </w:trPr>
        <w:tc>
          <w:tcPr>
            <w:tcW w:w="1666" w:type="dxa"/>
          </w:tcPr>
          <w:p w14:paraId="398E674D" w14:textId="77777777" w:rsidR="00A71EEF" w:rsidRDefault="0081115D">
            <w:pPr>
              <w:pStyle w:val="TableParagraph"/>
              <w:spacing w:before="190"/>
              <w:ind w:right="173"/>
              <w:jc w:val="right"/>
              <w:rPr>
                <w:sz w:val="24"/>
              </w:rPr>
            </w:pPr>
            <w:r>
              <w:rPr>
                <w:sz w:val="21"/>
              </w:rPr>
              <w:t>灭火剂类型</w:t>
            </w:r>
            <w:r>
              <w:rPr>
                <w:sz w:val="24"/>
              </w:rPr>
              <w:t xml:space="preserve"> </w:t>
            </w:r>
          </w:p>
        </w:tc>
        <w:tc>
          <w:tcPr>
            <w:tcW w:w="6459" w:type="dxa"/>
            <w:gridSpan w:val="2"/>
          </w:tcPr>
          <w:p w14:paraId="271DD5DC" w14:textId="77777777" w:rsidR="00A71EEF" w:rsidRDefault="0081115D">
            <w:pPr>
              <w:pStyle w:val="TableParagraph"/>
              <w:spacing w:before="190"/>
              <w:ind w:left="2531" w:right="2402"/>
              <w:jc w:val="center"/>
              <w:rPr>
                <w:sz w:val="24"/>
              </w:rPr>
            </w:pPr>
            <w:r>
              <w:rPr>
                <w:sz w:val="21"/>
              </w:rPr>
              <w:t>不相容的灭火剂</w:t>
            </w:r>
            <w:r>
              <w:rPr>
                <w:sz w:val="24"/>
              </w:rPr>
              <w:t xml:space="preserve"> </w:t>
            </w:r>
          </w:p>
        </w:tc>
      </w:tr>
      <w:tr w:rsidR="00A71EEF" w14:paraId="4122ECFF" w14:textId="77777777">
        <w:trPr>
          <w:trHeight w:val="954"/>
        </w:trPr>
        <w:tc>
          <w:tcPr>
            <w:tcW w:w="1666" w:type="dxa"/>
          </w:tcPr>
          <w:p w14:paraId="6C68D834" w14:textId="77777777" w:rsidR="00A71EEF" w:rsidRDefault="00A71EEF">
            <w:pPr>
              <w:pStyle w:val="TableParagraph"/>
              <w:spacing w:before="8"/>
              <w:rPr>
                <w:b/>
                <w:sz w:val="32"/>
              </w:rPr>
            </w:pPr>
          </w:p>
          <w:p w14:paraId="0D3B3529" w14:textId="77777777" w:rsidR="00A71EEF" w:rsidRDefault="0081115D">
            <w:pPr>
              <w:pStyle w:val="TableParagraph"/>
              <w:ind w:right="173"/>
              <w:jc w:val="right"/>
              <w:rPr>
                <w:sz w:val="24"/>
              </w:rPr>
            </w:pPr>
            <w:r>
              <w:rPr>
                <w:sz w:val="21"/>
              </w:rPr>
              <w:t>干粉与干粉</w:t>
            </w:r>
            <w:r>
              <w:rPr>
                <w:sz w:val="24"/>
              </w:rPr>
              <w:t xml:space="preserve"> </w:t>
            </w:r>
          </w:p>
        </w:tc>
        <w:tc>
          <w:tcPr>
            <w:tcW w:w="3129" w:type="dxa"/>
          </w:tcPr>
          <w:p w14:paraId="33731985" w14:textId="77777777" w:rsidR="00A71EEF" w:rsidRDefault="00A71EEF">
            <w:pPr>
              <w:pStyle w:val="TableParagraph"/>
              <w:spacing w:before="8"/>
              <w:rPr>
                <w:b/>
                <w:sz w:val="32"/>
              </w:rPr>
            </w:pPr>
          </w:p>
          <w:p w14:paraId="61A6E2EC" w14:textId="77777777" w:rsidR="00A71EEF" w:rsidRDefault="0081115D">
            <w:pPr>
              <w:pStyle w:val="TableParagraph"/>
              <w:ind w:left="551" w:right="421"/>
              <w:jc w:val="center"/>
              <w:rPr>
                <w:sz w:val="24"/>
              </w:rPr>
            </w:pPr>
            <w:r>
              <w:rPr>
                <w:sz w:val="21"/>
              </w:rPr>
              <w:t>磷酸铵盐</w:t>
            </w:r>
            <w:r>
              <w:rPr>
                <w:sz w:val="24"/>
              </w:rPr>
              <w:t xml:space="preserve"> </w:t>
            </w:r>
          </w:p>
        </w:tc>
        <w:tc>
          <w:tcPr>
            <w:tcW w:w="3330" w:type="dxa"/>
          </w:tcPr>
          <w:p w14:paraId="5A5C6F3E" w14:textId="77777777" w:rsidR="00A71EEF" w:rsidRDefault="00A71EEF">
            <w:pPr>
              <w:pStyle w:val="TableParagraph"/>
              <w:spacing w:before="8"/>
              <w:rPr>
                <w:b/>
                <w:sz w:val="32"/>
              </w:rPr>
            </w:pPr>
          </w:p>
          <w:p w14:paraId="272492DD" w14:textId="77777777" w:rsidR="00A71EEF" w:rsidRDefault="0081115D">
            <w:pPr>
              <w:pStyle w:val="TableParagraph"/>
              <w:ind w:left="759" w:right="626"/>
              <w:jc w:val="center"/>
              <w:rPr>
                <w:sz w:val="24"/>
              </w:rPr>
            </w:pPr>
            <w:r>
              <w:rPr>
                <w:sz w:val="21"/>
              </w:rPr>
              <w:t>碳酸氢钠、碳酸氢钾</w:t>
            </w:r>
            <w:r>
              <w:rPr>
                <w:sz w:val="24"/>
              </w:rPr>
              <w:t xml:space="preserve"> </w:t>
            </w:r>
          </w:p>
        </w:tc>
      </w:tr>
      <w:tr w:rsidR="00A71EEF" w14:paraId="11F54797" w14:textId="77777777">
        <w:trPr>
          <w:trHeight w:val="1173"/>
        </w:trPr>
        <w:tc>
          <w:tcPr>
            <w:tcW w:w="1666" w:type="dxa"/>
          </w:tcPr>
          <w:p w14:paraId="73EABBC4" w14:textId="77777777" w:rsidR="00A71EEF" w:rsidRDefault="00A71EEF">
            <w:pPr>
              <w:pStyle w:val="TableParagraph"/>
              <w:rPr>
                <w:b/>
                <w:sz w:val="24"/>
              </w:rPr>
            </w:pPr>
          </w:p>
          <w:p w14:paraId="0F3232D6" w14:textId="77777777" w:rsidR="00A71EEF" w:rsidRDefault="00A71EEF">
            <w:pPr>
              <w:pStyle w:val="TableParagraph"/>
              <w:spacing w:before="1"/>
              <w:rPr>
                <w:b/>
                <w:sz w:val="17"/>
              </w:rPr>
            </w:pPr>
          </w:p>
          <w:p w14:paraId="13D4ED1F" w14:textId="77777777" w:rsidR="00A71EEF" w:rsidRDefault="0081115D">
            <w:pPr>
              <w:pStyle w:val="TableParagraph"/>
              <w:ind w:right="173"/>
              <w:jc w:val="right"/>
              <w:rPr>
                <w:sz w:val="24"/>
              </w:rPr>
            </w:pPr>
            <w:r>
              <w:rPr>
                <w:sz w:val="21"/>
              </w:rPr>
              <w:t>干粉与泡沫</w:t>
            </w:r>
            <w:r>
              <w:rPr>
                <w:sz w:val="24"/>
              </w:rPr>
              <w:t xml:space="preserve"> </w:t>
            </w:r>
          </w:p>
        </w:tc>
        <w:tc>
          <w:tcPr>
            <w:tcW w:w="3129" w:type="dxa"/>
          </w:tcPr>
          <w:p w14:paraId="6A998CA2" w14:textId="77777777" w:rsidR="00A71EEF" w:rsidRDefault="00A71EEF">
            <w:pPr>
              <w:pStyle w:val="TableParagraph"/>
              <w:rPr>
                <w:b/>
                <w:sz w:val="24"/>
              </w:rPr>
            </w:pPr>
          </w:p>
          <w:p w14:paraId="1FB522E8" w14:textId="77777777" w:rsidR="00A71EEF" w:rsidRDefault="00A71EEF">
            <w:pPr>
              <w:pStyle w:val="TableParagraph"/>
              <w:spacing w:before="1"/>
              <w:rPr>
                <w:b/>
                <w:sz w:val="17"/>
              </w:rPr>
            </w:pPr>
          </w:p>
          <w:p w14:paraId="0308E205" w14:textId="77777777" w:rsidR="00A71EEF" w:rsidRDefault="0081115D">
            <w:pPr>
              <w:pStyle w:val="TableParagraph"/>
              <w:ind w:left="551" w:right="421"/>
              <w:jc w:val="center"/>
              <w:rPr>
                <w:sz w:val="24"/>
              </w:rPr>
            </w:pPr>
            <w:r>
              <w:rPr>
                <w:sz w:val="21"/>
              </w:rPr>
              <w:t>碳酸氢钠、碳酸氢钾</w:t>
            </w:r>
            <w:r>
              <w:rPr>
                <w:sz w:val="24"/>
              </w:rPr>
              <w:t xml:space="preserve"> </w:t>
            </w:r>
          </w:p>
        </w:tc>
        <w:tc>
          <w:tcPr>
            <w:tcW w:w="3330" w:type="dxa"/>
          </w:tcPr>
          <w:p w14:paraId="06D39517" w14:textId="77777777" w:rsidR="00A71EEF" w:rsidRDefault="00A71EEF">
            <w:pPr>
              <w:pStyle w:val="TableParagraph"/>
              <w:rPr>
                <w:b/>
                <w:sz w:val="24"/>
              </w:rPr>
            </w:pPr>
          </w:p>
          <w:p w14:paraId="7E0B3A78" w14:textId="77777777" w:rsidR="00A71EEF" w:rsidRDefault="00A71EEF">
            <w:pPr>
              <w:pStyle w:val="TableParagraph"/>
              <w:spacing w:before="1"/>
              <w:rPr>
                <w:b/>
                <w:sz w:val="17"/>
              </w:rPr>
            </w:pPr>
          </w:p>
          <w:p w14:paraId="0FCEF763" w14:textId="77777777" w:rsidR="00A71EEF" w:rsidRDefault="0081115D">
            <w:pPr>
              <w:pStyle w:val="TableParagraph"/>
              <w:ind w:left="759" w:right="626"/>
              <w:jc w:val="center"/>
              <w:rPr>
                <w:sz w:val="24"/>
              </w:rPr>
            </w:pPr>
            <w:r>
              <w:rPr>
                <w:sz w:val="21"/>
              </w:rPr>
              <w:t>蛋白泡沫</w:t>
            </w:r>
            <w:r>
              <w:rPr>
                <w:sz w:val="24"/>
              </w:rPr>
              <w:t xml:space="preserve"> </w:t>
            </w:r>
          </w:p>
        </w:tc>
      </w:tr>
      <w:tr w:rsidR="00A71EEF" w14:paraId="25400873" w14:textId="77777777">
        <w:trPr>
          <w:trHeight w:val="1139"/>
        </w:trPr>
        <w:tc>
          <w:tcPr>
            <w:tcW w:w="1666" w:type="dxa"/>
          </w:tcPr>
          <w:p w14:paraId="09C82F4B" w14:textId="77777777" w:rsidR="00A71EEF" w:rsidRDefault="00A71EEF">
            <w:pPr>
              <w:pStyle w:val="TableParagraph"/>
              <w:rPr>
                <w:b/>
                <w:sz w:val="24"/>
              </w:rPr>
            </w:pPr>
          </w:p>
          <w:p w14:paraId="5FCB1601" w14:textId="77777777" w:rsidR="00A71EEF" w:rsidRDefault="0081115D">
            <w:pPr>
              <w:pStyle w:val="TableParagraph"/>
              <w:spacing w:before="202"/>
              <w:ind w:right="173"/>
              <w:jc w:val="right"/>
              <w:rPr>
                <w:sz w:val="24"/>
              </w:rPr>
            </w:pPr>
            <w:r>
              <w:rPr>
                <w:sz w:val="21"/>
              </w:rPr>
              <w:t>泡沫与泡沫</w:t>
            </w:r>
            <w:r>
              <w:rPr>
                <w:sz w:val="24"/>
              </w:rPr>
              <w:t xml:space="preserve"> </w:t>
            </w:r>
          </w:p>
        </w:tc>
        <w:tc>
          <w:tcPr>
            <w:tcW w:w="3129" w:type="dxa"/>
          </w:tcPr>
          <w:p w14:paraId="0D180254" w14:textId="77777777" w:rsidR="00A71EEF" w:rsidRDefault="00A71EEF">
            <w:pPr>
              <w:pStyle w:val="TableParagraph"/>
              <w:rPr>
                <w:b/>
                <w:sz w:val="24"/>
              </w:rPr>
            </w:pPr>
          </w:p>
          <w:p w14:paraId="6D1DFB72" w14:textId="77777777" w:rsidR="00A71EEF" w:rsidRDefault="0081115D">
            <w:pPr>
              <w:pStyle w:val="TableParagraph"/>
              <w:spacing w:before="202"/>
              <w:ind w:left="553" w:right="421"/>
              <w:jc w:val="center"/>
              <w:rPr>
                <w:sz w:val="24"/>
              </w:rPr>
            </w:pPr>
            <w:r>
              <w:rPr>
                <w:sz w:val="21"/>
              </w:rPr>
              <w:t>蛋白泡沫、氟蛋白泡沫</w:t>
            </w:r>
            <w:r>
              <w:rPr>
                <w:sz w:val="24"/>
              </w:rPr>
              <w:t xml:space="preserve"> </w:t>
            </w:r>
          </w:p>
        </w:tc>
        <w:tc>
          <w:tcPr>
            <w:tcW w:w="3330" w:type="dxa"/>
          </w:tcPr>
          <w:p w14:paraId="324447B1" w14:textId="77777777" w:rsidR="00A71EEF" w:rsidRDefault="00A71EEF">
            <w:pPr>
              <w:pStyle w:val="TableParagraph"/>
              <w:rPr>
                <w:b/>
                <w:sz w:val="24"/>
              </w:rPr>
            </w:pPr>
          </w:p>
          <w:p w14:paraId="007F0DC6" w14:textId="77777777" w:rsidR="00A71EEF" w:rsidRDefault="0081115D">
            <w:pPr>
              <w:pStyle w:val="TableParagraph"/>
              <w:spacing w:before="202"/>
              <w:ind w:left="759" w:right="626"/>
              <w:jc w:val="center"/>
              <w:rPr>
                <w:sz w:val="24"/>
              </w:rPr>
            </w:pPr>
            <w:r>
              <w:rPr>
                <w:sz w:val="21"/>
              </w:rPr>
              <w:t>水成膜泡沫</w:t>
            </w:r>
            <w:r>
              <w:rPr>
                <w:sz w:val="24"/>
              </w:rPr>
              <w:t xml:space="preserve"> </w:t>
            </w:r>
          </w:p>
        </w:tc>
      </w:tr>
    </w:tbl>
    <w:p w14:paraId="2490DB01" w14:textId="77777777" w:rsidR="00A71EEF" w:rsidRDefault="00A71EEF">
      <w:pPr>
        <w:pStyle w:val="a3"/>
        <w:rPr>
          <w:b/>
          <w:sz w:val="20"/>
        </w:rPr>
      </w:pPr>
    </w:p>
    <w:p w14:paraId="642E6F52" w14:textId="77777777" w:rsidR="00A71EEF" w:rsidRDefault="00A71EEF">
      <w:pPr>
        <w:pStyle w:val="a3"/>
        <w:rPr>
          <w:b/>
          <w:sz w:val="20"/>
        </w:rPr>
      </w:pPr>
    </w:p>
    <w:p w14:paraId="64717697" w14:textId="77777777" w:rsidR="00A71EEF" w:rsidRDefault="00A71EEF">
      <w:pPr>
        <w:pStyle w:val="a3"/>
        <w:rPr>
          <w:b/>
          <w:sz w:val="20"/>
        </w:rPr>
      </w:pPr>
    </w:p>
    <w:p w14:paraId="6FDF6042" w14:textId="77777777" w:rsidR="00A71EEF" w:rsidRDefault="00A71EEF">
      <w:pPr>
        <w:pStyle w:val="a3"/>
        <w:rPr>
          <w:b/>
          <w:sz w:val="20"/>
        </w:rPr>
      </w:pPr>
    </w:p>
    <w:p w14:paraId="677CC946" w14:textId="77777777" w:rsidR="00A71EEF" w:rsidRDefault="00A71EEF">
      <w:pPr>
        <w:pStyle w:val="a3"/>
        <w:rPr>
          <w:b/>
          <w:sz w:val="20"/>
        </w:rPr>
      </w:pPr>
    </w:p>
    <w:p w14:paraId="394261AA" w14:textId="77777777" w:rsidR="00A71EEF" w:rsidRDefault="00A71EEF">
      <w:pPr>
        <w:pStyle w:val="a3"/>
        <w:rPr>
          <w:b/>
          <w:sz w:val="20"/>
        </w:rPr>
      </w:pPr>
    </w:p>
    <w:p w14:paraId="42A98B6D" w14:textId="77777777" w:rsidR="00A71EEF" w:rsidRDefault="00A71EEF">
      <w:pPr>
        <w:pStyle w:val="a3"/>
        <w:rPr>
          <w:b/>
          <w:sz w:val="20"/>
        </w:rPr>
      </w:pPr>
    </w:p>
    <w:p w14:paraId="7D56B82D" w14:textId="77777777" w:rsidR="00A71EEF" w:rsidRDefault="00A71EEF">
      <w:pPr>
        <w:pStyle w:val="a3"/>
        <w:rPr>
          <w:b/>
          <w:sz w:val="20"/>
        </w:rPr>
      </w:pPr>
    </w:p>
    <w:p w14:paraId="02E47F8D" w14:textId="77777777" w:rsidR="00A71EEF" w:rsidRDefault="00A71EEF">
      <w:pPr>
        <w:pStyle w:val="a3"/>
        <w:rPr>
          <w:b/>
          <w:sz w:val="20"/>
        </w:rPr>
      </w:pPr>
    </w:p>
    <w:p w14:paraId="12FDF89A" w14:textId="77777777" w:rsidR="00A71EEF" w:rsidRDefault="00A71EEF">
      <w:pPr>
        <w:pStyle w:val="a3"/>
        <w:rPr>
          <w:b/>
          <w:sz w:val="20"/>
        </w:rPr>
      </w:pPr>
    </w:p>
    <w:p w14:paraId="3436DE27" w14:textId="77777777" w:rsidR="00A71EEF" w:rsidRDefault="00A71EEF">
      <w:pPr>
        <w:pStyle w:val="a3"/>
        <w:rPr>
          <w:b/>
          <w:sz w:val="20"/>
        </w:rPr>
      </w:pPr>
    </w:p>
    <w:p w14:paraId="37F53D1C" w14:textId="77777777" w:rsidR="00A71EEF" w:rsidRDefault="00A71EEF">
      <w:pPr>
        <w:pStyle w:val="a3"/>
        <w:rPr>
          <w:b/>
          <w:sz w:val="20"/>
        </w:rPr>
      </w:pPr>
    </w:p>
    <w:p w14:paraId="563624D3" w14:textId="77777777" w:rsidR="00A71EEF" w:rsidRDefault="00A71EEF">
      <w:pPr>
        <w:pStyle w:val="a3"/>
        <w:rPr>
          <w:b/>
          <w:sz w:val="20"/>
        </w:rPr>
      </w:pPr>
    </w:p>
    <w:p w14:paraId="762FA1B1" w14:textId="77777777" w:rsidR="00A71EEF" w:rsidRDefault="00A71EEF">
      <w:pPr>
        <w:pStyle w:val="a3"/>
        <w:rPr>
          <w:b/>
          <w:sz w:val="20"/>
        </w:rPr>
      </w:pPr>
    </w:p>
    <w:p w14:paraId="1C5B0AD9" w14:textId="77777777" w:rsidR="00A71EEF" w:rsidRDefault="00A71EEF">
      <w:pPr>
        <w:pStyle w:val="a3"/>
        <w:rPr>
          <w:b/>
          <w:sz w:val="20"/>
        </w:rPr>
      </w:pPr>
    </w:p>
    <w:p w14:paraId="6BBBF0EF" w14:textId="77777777" w:rsidR="00A71EEF" w:rsidRDefault="00A71EEF">
      <w:pPr>
        <w:pStyle w:val="a3"/>
        <w:rPr>
          <w:b/>
          <w:sz w:val="20"/>
        </w:rPr>
      </w:pPr>
    </w:p>
    <w:p w14:paraId="2416F351" w14:textId="77777777" w:rsidR="00A71EEF" w:rsidRDefault="00A71EEF">
      <w:pPr>
        <w:pStyle w:val="a3"/>
        <w:rPr>
          <w:b/>
          <w:sz w:val="20"/>
        </w:rPr>
      </w:pPr>
    </w:p>
    <w:p w14:paraId="1F8132E2" w14:textId="77777777" w:rsidR="00A71EEF" w:rsidRDefault="00A71EEF">
      <w:pPr>
        <w:pStyle w:val="a3"/>
        <w:rPr>
          <w:b/>
          <w:sz w:val="20"/>
        </w:rPr>
      </w:pPr>
    </w:p>
    <w:p w14:paraId="3A89D461" w14:textId="77777777" w:rsidR="00A71EEF" w:rsidRDefault="00A71EEF">
      <w:pPr>
        <w:pStyle w:val="a3"/>
        <w:rPr>
          <w:b/>
          <w:sz w:val="20"/>
        </w:rPr>
      </w:pPr>
    </w:p>
    <w:p w14:paraId="54A563A1" w14:textId="77777777" w:rsidR="00A71EEF" w:rsidRDefault="00A71EEF">
      <w:pPr>
        <w:pStyle w:val="a3"/>
        <w:rPr>
          <w:b/>
          <w:sz w:val="20"/>
        </w:rPr>
      </w:pPr>
    </w:p>
    <w:p w14:paraId="67EC01E2" w14:textId="77777777" w:rsidR="00A71EEF" w:rsidRDefault="00A71EEF">
      <w:pPr>
        <w:pStyle w:val="a3"/>
        <w:rPr>
          <w:b/>
          <w:sz w:val="20"/>
        </w:rPr>
      </w:pPr>
    </w:p>
    <w:p w14:paraId="6411389B" w14:textId="77777777" w:rsidR="00A71EEF" w:rsidRDefault="00A71EEF">
      <w:pPr>
        <w:pStyle w:val="a3"/>
        <w:rPr>
          <w:b/>
          <w:sz w:val="20"/>
        </w:rPr>
      </w:pPr>
    </w:p>
    <w:p w14:paraId="03B575AB" w14:textId="77777777" w:rsidR="00A71EEF" w:rsidRDefault="00A71EEF">
      <w:pPr>
        <w:pStyle w:val="a3"/>
        <w:rPr>
          <w:b/>
          <w:sz w:val="20"/>
        </w:rPr>
      </w:pPr>
    </w:p>
    <w:p w14:paraId="636FCF0D" w14:textId="77777777" w:rsidR="00A71EEF" w:rsidRDefault="00A71EEF">
      <w:pPr>
        <w:pStyle w:val="a3"/>
        <w:rPr>
          <w:b/>
          <w:sz w:val="20"/>
        </w:rPr>
      </w:pPr>
    </w:p>
    <w:p w14:paraId="53670CD3" w14:textId="77777777" w:rsidR="00A71EEF" w:rsidRDefault="00A71EEF">
      <w:pPr>
        <w:pStyle w:val="a3"/>
        <w:rPr>
          <w:b/>
          <w:sz w:val="20"/>
        </w:rPr>
      </w:pPr>
    </w:p>
    <w:p w14:paraId="3363D218" w14:textId="77777777" w:rsidR="00A71EEF" w:rsidRDefault="00A71EEF">
      <w:pPr>
        <w:pStyle w:val="a3"/>
        <w:rPr>
          <w:b/>
          <w:sz w:val="20"/>
        </w:rPr>
      </w:pPr>
    </w:p>
    <w:p w14:paraId="177FBB96" w14:textId="77777777" w:rsidR="00A71EEF" w:rsidRDefault="00A71EEF">
      <w:pPr>
        <w:pStyle w:val="a3"/>
        <w:rPr>
          <w:b/>
          <w:sz w:val="20"/>
        </w:rPr>
      </w:pPr>
    </w:p>
    <w:p w14:paraId="1A4C2D4E" w14:textId="77777777" w:rsidR="00A71EEF" w:rsidRDefault="00A71EEF">
      <w:pPr>
        <w:pStyle w:val="a3"/>
        <w:rPr>
          <w:b/>
          <w:sz w:val="19"/>
        </w:rPr>
      </w:pPr>
    </w:p>
    <w:p w14:paraId="7772CB92" w14:textId="77777777" w:rsidR="00A71EEF" w:rsidRDefault="0081115D">
      <w:pPr>
        <w:spacing w:before="1"/>
        <w:ind w:left="3298"/>
        <w:rPr>
          <w:b/>
          <w:sz w:val="24"/>
        </w:rPr>
      </w:pPr>
      <w:r>
        <w:rPr>
          <w:b/>
          <w:w w:val="99"/>
          <w:sz w:val="24"/>
        </w:rPr>
        <w:t xml:space="preserve"> </w:t>
      </w:r>
    </w:p>
    <w:p w14:paraId="09F88FC3" w14:textId="77777777" w:rsidR="00A71EEF" w:rsidRDefault="00A71EEF">
      <w:pPr>
        <w:rPr>
          <w:sz w:val="24"/>
        </w:rPr>
        <w:sectPr w:rsidR="00A71EEF">
          <w:pgSz w:w="11910" w:h="16850"/>
          <w:pgMar w:top="1180" w:right="0" w:bottom="1420" w:left="1260" w:header="0" w:footer="1159" w:gutter="0"/>
          <w:cols w:space="720"/>
        </w:sectPr>
      </w:pPr>
    </w:p>
    <w:p w14:paraId="1FAFD8B9" w14:textId="77777777" w:rsidR="00A71EEF" w:rsidRDefault="0081115D">
      <w:pPr>
        <w:spacing w:before="55"/>
        <w:ind w:right="901"/>
        <w:jc w:val="center"/>
        <w:rPr>
          <w:b/>
          <w:sz w:val="24"/>
        </w:rPr>
      </w:pPr>
      <w:r>
        <w:rPr>
          <w:b/>
          <w:sz w:val="24"/>
        </w:rPr>
        <w:t>附录</w:t>
      </w:r>
      <w:r>
        <w:rPr>
          <w:b/>
          <w:sz w:val="24"/>
        </w:rPr>
        <w:t xml:space="preserve"> F </w:t>
      </w:r>
      <w:r>
        <w:rPr>
          <w:b/>
          <w:sz w:val="24"/>
        </w:rPr>
        <w:t>非必要配置卤代烷灭火器的场所举例</w:t>
      </w:r>
      <w:r>
        <w:rPr>
          <w:b/>
          <w:w w:val="99"/>
          <w:sz w:val="24"/>
        </w:rPr>
        <w:t xml:space="preserve"> </w:t>
      </w:r>
    </w:p>
    <w:p w14:paraId="381A037B" w14:textId="77777777" w:rsidR="00A71EEF" w:rsidRDefault="00A71EEF">
      <w:pPr>
        <w:pStyle w:val="a3"/>
        <w:rPr>
          <w:b/>
          <w:sz w:val="24"/>
        </w:rPr>
      </w:pPr>
    </w:p>
    <w:p w14:paraId="59044A18" w14:textId="77777777" w:rsidR="00A71EEF" w:rsidRDefault="0081115D">
      <w:pPr>
        <w:spacing w:before="176" w:after="42"/>
        <w:ind w:right="915"/>
        <w:jc w:val="center"/>
        <w:rPr>
          <w:b/>
          <w:sz w:val="21"/>
        </w:rPr>
      </w:pPr>
      <w:r>
        <w:rPr>
          <w:b/>
          <w:spacing w:val="-26"/>
          <w:sz w:val="21"/>
        </w:rPr>
        <w:t>表</w:t>
      </w:r>
      <w:r>
        <w:rPr>
          <w:b/>
          <w:spacing w:val="-26"/>
          <w:sz w:val="21"/>
        </w:rPr>
        <w:t xml:space="preserve"> </w:t>
      </w:r>
      <w:r>
        <w:rPr>
          <w:b/>
          <w:sz w:val="21"/>
        </w:rPr>
        <w:t>F.0.1</w:t>
      </w:r>
      <w:r>
        <w:rPr>
          <w:b/>
          <w:spacing w:val="-3"/>
          <w:sz w:val="21"/>
        </w:rPr>
        <w:t xml:space="preserve"> </w:t>
      </w:r>
      <w:r>
        <w:rPr>
          <w:b/>
          <w:spacing w:val="-3"/>
          <w:sz w:val="21"/>
        </w:rPr>
        <w:t>民用建筑类非必要配置卤代烷灭火器的场所举例</w:t>
      </w:r>
      <w:r>
        <w:rPr>
          <w:b/>
          <w:spacing w:val="-3"/>
          <w:w w:val="99"/>
          <w:sz w:val="21"/>
        </w:rPr>
        <w:t xml:space="preserve"> </w:t>
      </w:r>
    </w:p>
    <w:tbl>
      <w:tblPr>
        <w:tblStyle w:val="TableNormal"/>
        <w:tblW w:w="0" w:type="auto"/>
        <w:tblInd w:w="4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21"/>
        <w:gridCol w:w="6758"/>
      </w:tblGrid>
      <w:tr w:rsidR="00A71EEF" w14:paraId="52142F3A" w14:textId="77777777">
        <w:trPr>
          <w:trHeight w:val="498"/>
        </w:trPr>
        <w:tc>
          <w:tcPr>
            <w:tcW w:w="1421" w:type="dxa"/>
          </w:tcPr>
          <w:p w14:paraId="149B4E57" w14:textId="77777777" w:rsidR="00A71EEF" w:rsidRDefault="0081115D">
            <w:pPr>
              <w:pStyle w:val="TableParagraph"/>
              <w:spacing w:before="190"/>
              <w:ind w:left="538" w:right="407"/>
              <w:jc w:val="center"/>
              <w:rPr>
                <w:sz w:val="24"/>
              </w:rPr>
            </w:pPr>
            <w:r>
              <w:rPr>
                <w:sz w:val="21"/>
              </w:rPr>
              <w:t>序号</w:t>
            </w:r>
            <w:r>
              <w:rPr>
                <w:sz w:val="24"/>
              </w:rPr>
              <w:t xml:space="preserve"> </w:t>
            </w:r>
          </w:p>
        </w:tc>
        <w:tc>
          <w:tcPr>
            <w:tcW w:w="6758" w:type="dxa"/>
          </w:tcPr>
          <w:p w14:paraId="25192E5B" w14:textId="77777777" w:rsidR="00A71EEF" w:rsidRDefault="0081115D">
            <w:pPr>
              <w:pStyle w:val="TableParagraph"/>
              <w:spacing w:before="190"/>
              <w:ind w:left="1315" w:right="1187"/>
              <w:jc w:val="center"/>
              <w:rPr>
                <w:sz w:val="24"/>
              </w:rPr>
            </w:pPr>
            <w:r>
              <w:rPr>
                <w:sz w:val="21"/>
              </w:rPr>
              <w:t>名</w:t>
            </w:r>
            <w:r>
              <w:rPr>
                <w:sz w:val="21"/>
              </w:rPr>
              <w:t xml:space="preserve">  </w:t>
            </w:r>
            <w:r>
              <w:rPr>
                <w:sz w:val="21"/>
              </w:rPr>
              <w:t>称</w:t>
            </w:r>
            <w:r>
              <w:rPr>
                <w:sz w:val="24"/>
              </w:rPr>
              <w:t xml:space="preserve"> </w:t>
            </w:r>
          </w:p>
        </w:tc>
      </w:tr>
      <w:tr w:rsidR="00A71EEF" w14:paraId="524C9028" w14:textId="77777777">
        <w:trPr>
          <w:trHeight w:val="500"/>
        </w:trPr>
        <w:tc>
          <w:tcPr>
            <w:tcW w:w="1421" w:type="dxa"/>
          </w:tcPr>
          <w:p w14:paraId="6B649990" w14:textId="77777777" w:rsidR="00A71EEF" w:rsidRDefault="0081115D">
            <w:pPr>
              <w:pStyle w:val="TableParagraph"/>
              <w:spacing w:before="193"/>
              <w:ind w:left="538" w:right="404"/>
              <w:jc w:val="center"/>
              <w:rPr>
                <w:sz w:val="24"/>
              </w:rPr>
            </w:pPr>
            <w:r>
              <w:rPr>
                <w:sz w:val="21"/>
              </w:rPr>
              <w:t>1</w:t>
            </w:r>
            <w:r>
              <w:rPr>
                <w:sz w:val="24"/>
              </w:rPr>
              <w:t xml:space="preserve"> </w:t>
            </w:r>
          </w:p>
        </w:tc>
        <w:tc>
          <w:tcPr>
            <w:tcW w:w="6758" w:type="dxa"/>
          </w:tcPr>
          <w:p w14:paraId="0D640CD2" w14:textId="77777777" w:rsidR="00A71EEF" w:rsidRDefault="0081115D">
            <w:pPr>
              <w:pStyle w:val="TableParagraph"/>
              <w:spacing w:before="193"/>
              <w:ind w:left="1315" w:right="1187"/>
              <w:jc w:val="center"/>
              <w:rPr>
                <w:sz w:val="24"/>
              </w:rPr>
            </w:pPr>
            <w:r>
              <w:rPr>
                <w:sz w:val="21"/>
              </w:rPr>
              <w:t>电影院、剧院、会堂、礼堂、体育馆的观众厅</w:t>
            </w:r>
            <w:r>
              <w:rPr>
                <w:sz w:val="24"/>
              </w:rPr>
              <w:t xml:space="preserve"> </w:t>
            </w:r>
          </w:p>
        </w:tc>
      </w:tr>
      <w:tr w:rsidR="00A71EEF" w14:paraId="43AC1923" w14:textId="77777777">
        <w:trPr>
          <w:trHeight w:val="501"/>
        </w:trPr>
        <w:tc>
          <w:tcPr>
            <w:tcW w:w="1421" w:type="dxa"/>
          </w:tcPr>
          <w:p w14:paraId="5E432D64" w14:textId="77777777" w:rsidR="00A71EEF" w:rsidRDefault="0081115D">
            <w:pPr>
              <w:pStyle w:val="TableParagraph"/>
              <w:spacing w:before="190"/>
              <w:ind w:left="538" w:right="404"/>
              <w:jc w:val="center"/>
              <w:rPr>
                <w:sz w:val="24"/>
              </w:rPr>
            </w:pPr>
            <w:r>
              <w:rPr>
                <w:sz w:val="21"/>
              </w:rPr>
              <w:t>2</w:t>
            </w:r>
            <w:r>
              <w:rPr>
                <w:sz w:val="24"/>
              </w:rPr>
              <w:t xml:space="preserve"> </w:t>
            </w:r>
          </w:p>
        </w:tc>
        <w:tc>
          <w:tcPr>
            <w:tcW w:w="6758" w:type="dxa"/>
          </w:tcPr>
          <w:p w14:paraId="52312D85" w14:textId="77777777" w:rsidR="00A71EEF" w:rsidRDefault="0081115D">
            <w:pPr>
              <w:pStyle w:val="TableParagraph"/>
              <w:spacing w:before="190"/>
              <w:ind w:left="1315" w:right="1184"/>
              <w:jc w:val="center"/>
              <w:rPr>
                <w:sz w:val="24"/>
              </w:rPr>
            </w:pPr>
            <w:r>
              <w:rPr>
                <w:sz w:val="21"/>
              </w:rPr>
              <w:t>医院门诊部、住院部</w:t>
            </w:r>
            <w:r>
              <w:rPr>
                <w:sz w:val="24"/>
              </w:rPr>
              <w:t xml:space="preserve"> </w:t>
            </w:r>
          </w:p>
        </w:tc>
      </w:tr>
      <w:tr w:rsidR="00A71EEF" w14:paraId="75839BAF" w14:textId="77777777">
        <w:trPr>
          <w:trHeight w:val="498"/>
        </w:trPr>
        <w:tc>
          <w:tcPr>
            <w:tcW w:w="1421" w:type="dxa"/>
          </w:tcPr>
          <w:p w14:paraId="3C4D3B0B" w14:textId="77777777" w:rsidR="00A71EEF" w:rsidRDefault="0081115D">
            <w:pPr>
              <w:pStyle w:val="TableParagraph"/>
              <w:spacing w:before="190"/>
              <w:ind w:left="538" w:right="404"/>
              <w:jc w:val="center"/>
              <w:rPr>
                <w:sz w:val="24"/>
              </w:rPr>
            </w:pPr>
            <w:r>
              <w:rPr>
                <w:sz w:val="21"/>
              </w:rPr>
              <w:t>3</w:t>
            </w:r>
            <w:r>
              <w:rPr>
                <w:sz w:val="24"/>
              </w:rPr>
              <w:t xml:space="preserve"> </w:t>
            </w:r>
          </w:p>
        </w:tc>
        <w:tc>
          <w:tcPr>
            <w:tcW w:w="6758" w:type="dxa"/>
          </w:tcPr>
          <w:p w14:paraId="79DEDAFA" w14:textId="77777777" w:rsidR="00A71EEF" w:rsidRDefault="0081115D">
            <w:pPr>
              <w:pStyle w:val="TableParagraph"/>
              <w:spacing w:before="190"/>
              <w:ind w:left="1315" w:right="1184"/>
              <w:jc w:val="center"/>
              <w:rPr>
                <w:sz w:val="24"/>
              </w:rPr>
            </w:pPr>
            <w:r>
              <w:rPr>
                <w:sz w:val="21"/>
              </w:rPr>
              <w:t>学校教学楼、幼儿园与托儿所的活动室</w:t>
            </w:r>
            <w:r>
              <w:rPr>
                <w:sz w:val="24"/>
              </w:rPr>
              <w:t xml:space="preserve"> </w:t>
            </w:r>
          </w:p>
        </w:tc>
      </w:tr>
      <w:tr w:rsidR="00A71EEF" w14:paraId="38F7BE63" w14:textId="77777777">
        <w:trPr>
          <w:trHeight w:val="501"/>
        </w:trPr>
        <w:tc>
          <w:tcPr>
            <w:tcW w:w="1421" w:type="dxa"/>
          </w:tcPr>
          <w:p w14:paraId="54F873F2" w14:textId="77777777" w:rsidR="00A71EEF" w:rsidRDefault="0081115D">
            <w:pPr>
              <w:pStyle w:val="TableParagraph"/>
              <w:spacing w:before="191"/>
              <w:ind w:left="538" w:right="404"/>
              <w:jc w:val="center"/>
              <w:rPr>
                <w:sz w:val="24"/>
              </w:rPr>
            </w:pPr>
            <w:r>
              <w:rPr>
                <w:sz w:val="21"/>
              </w:rPr>
              <w:t>4</w:t>
            </w:r>
            <w:r>
              <w:rPr>
                <w:sz w:val="24"/>
              </w:rPr>
              <w:t xml:space="preserve"> </w:t>
            </w:r>
          </w:p>
        </w:tc>
        <w:tc>
          <w:tcPr>
            <w:tcW w:w="6758" w:type="dxa"/>
          </w:tcPr>
          <w:p w14:paraId="5A84EFFE" w14:textId="77777777" w:rsidR="00A71EEF" w:rsidRDefault="0081115D">
            <w:pPr>
              <w:pStyle w:val="TableParagraph"/>
              <w:spacing w:before="191"/>
              <w:ind w:left="1315" w:right="1187"/>
              <w:jc w:val="center"/>
              <w:rPr>
                <w:sz w:val="24"/>
              </w:rPr>
            </w:pPr>
            <w:r>
              <w:rPr>
                <w:sz w:val="21"/>
              </w:rPr>
              <w:t>办公楼</w:t>
            </w:r>
            <w:r>
              <w:rPr>
                <w:sz w:val="24"/>
              </w:rPr>
              <w:t xml:space="preserve"> </w:t>
            </w:r>
          </w:p>
        </w:tc>
      </w:tr>
      <w:tr w:rsidR="00A71EEF" w14:paraId="71BAE89C" w14:textId="77777777">
        <w:trPr>
          <w:trHeight w:val="498"/>
        </w:trPr>
        <w:tc>
          <w:tcPr>
            <w:tcW w:w="1421" w:type="dxa"/>
          </w:tcPr>
          <w:p w14:paraId="134FB103" w14:textId="77777777" w:rsidR="00A71EEF" w:rsidRDefault="0081115D">
            <w:pPr>
              <w:pStyle w:val="TableParagraph"/>
              <w:spacing w:before="190"/>
              <w:ind w:left="538" w:right="404"/>
              <w:jc w:val="center"/>
              <w:rPr>
                <w:sz w:val="24"/>
              </w:rPr>
            </w:pPr>
            <w:r>
              <w:rPr>
                <w:sz w:val="21"/>
              </w:rPr>
              <w:t>5</w:t>
            </w:r>
            <w:r>
              <w:rPr>
                <w:sz w:val="24"/>
              </w:rPr>
              <w:t xml:space="preserve"> </w:t>
            </w:r>
          </w:p>
        </w:tc>
        <w:tc>
          <w:tcPr>
            <w:tcW w:w="6758" w:type="dxa"/>
          </w:tcPr>
          <w:p w14:paraId="734679C8" w14:textId="77777777" w:rsidR="00A71EEF" w:rsidRDefault="0081115D">
            <w:pPr>
              <w:pStyle w:val="TableParagraph"/>
              <w:spacing w:before="190"/>
              <w:ind w:left="1315" w:right="1184"/>
              <w:jc w:val="center"/>
              <w:rPr>
                <w:sz w:val="24"/>
              </w:rPr>
            </w:pPr>
            <w:r>
              <w:rPr>
                <w:sz w:val="21"/>
              </w:rPr>
              <w:t>车站、码头、机场的候车、候船、候机厅</w:t>
            </w:r>
            <w:r>
              <w:rPr>
                <w:sz w:val="24"/>
              </w:rPr>
              <w:t xml:space="preserve"> </w:t>
            </w:r>
          </w:p>
        </w:tc>
      </w:tr>
      <w:tr w:rsidR="00A71EEF" w14:paraId="7C671C76" w14:textId="77777777">
        <w:trPr>
          <w:trHeight w:val="501"/>
        </w:trPr>
        <w:tc>
          <w:tcPr>
            <w:tcW w:w="1421" w:type="dxa"/>
          </w:tcPr>
          <w:p w14:paraId="2A7AABB9" w14:textId="77777777" w:rsidR="00A71EEF" w:rsidRDefault="0081115D">
            <w:pPr>
              <w:pStyle w:val="TableParagraph"/>
              <w:spacing w:before="193"/>
              <w:ind w:left="538" w:right="404"/>
              <w:jc w:val="center"/>
              <w:rPr>
                <w:sz w:val="24"/>
              </w:rPr>
            </w:pPr>
            <w:r>
              <w:rPr>
                <w:sz w:val="21"/>
              </w:rPr>
              <w:t>6</w:t>
            </w:r>
            <w:r>
              <w:rPr>
                <w:sz w:val="24"/>
              </w:rPr>
              <w:t xml:space="preserve"> </w:t>
            </w:r>
          </w:p>
        </w:tc>
        <w:tc>
          <w:tcPr>
            <w:tcW w:w="6758" w:type="dxa"/>
          </w:tcPr>
          <w:p w14:paraId="3F1AA635" w14:textId="77777777" w:rsidR="00A71EEF" w:rsidRDefault="0081115D">
            <w:pPr>
              <w:pStyle w:val="TableParagraph"/>
              <w:spacing w:before="193"/>
              <w:ind w:left="1315" w:right="1184"/>
              <w:jc w:val="center"/>
              <w:rPr>
                <w:sz w:val="24"/>
              </w:rPr>
            </w:pPr>
            <w:r>
              <w:rPr>
                <w:sz w:val="21"/>
              </w:rPr>
              <w:t>旅馆的公共场所、走廊、客房</w:t>
            </w:r>
            <w:r>
              <w:rPr>
                <w:sz w:val="24"/>
              </w:rPr>
              <w:t xml:space="preserve"> </w:t>
            </w:r>
          </w:p>
        </w:tc>
      </w:tr>
      <w:tr w:rsidR="00A71EEF" w14:paraId="33007211" w14:textId="77777777">
        <w:trPr>
          <w:trHeight w:val="498"/>
        </w:trPr>
        <w:tc>
          <w:tcPr>
            <w:tcW w:w="1421" w:type="dxa"/>
          </w:tcPr>
          <w:p w14:paraId="1ABBD993" w14:textId="77777777" w:rsidR="00A71EEF" w:rsidRDefault="0081115D">
            <w:pPr>
              <w:pStyle w:val="TableParagraph"/>
              <w:spacing w:before="190"/>
              <w:ind w:left="538" w:right="404"/>
              <w:jc w:val="center"/>
              <w:rPr>
                <w:sz w:val="24"/>
              </w:rPr>
            </w:pPr>
            <w:r>
              <w:rPr>
                <w:sz w:val="21"/>
              </w:rPr>
              <w:t>7</w:t>
            </w:r>
            <w:r>
              <w:rPr>
                <w:sz w:val="24"/>
              </w:rPr>
              <w:t xml:space="preserve"> </w:t>
            </w:r>
          </w:p>
        </w:tc>
        <w:tc>
          <w:tcPr>
            <w:tcW w:w="6758" w:type="dxa"/>
          </w:tcPr>
          <w:p w14:paraId="339695E0" w14:textId="77777777" w:rsidR="00A71EEF" w:rsidRDefault="0081115D">
            <w:pPr>
              <w:pStyle w:val="TableParagraph"/>
              <w:spacing w:before="190"/>
              <w:ind w:left="1315" w:right="1187"/>
              <w:jc w:val="center"/>
              <w:rPr>
                <w:sz w:val="24"/>
              </w:rPr>
            </w:pPr>
            <w:r>
              <w:rPr>
                <w:sz w:val="21"/>
              </w:rPr>
              <w:t>商店</w:t>
            </w:r>
            <w:r>
              <w:rPr>
                <w:sz w:val="24"/>
              </w:rPr>
              <w:t xml:space="preserve"> </w:t>
            </w:r>
          </w:p>
        </w:tc>
      </w:tr>
      <w:tr w:rsidR="00A71EEF" w14:paraId="690699E8" w14:textId="77777777">
        <w:trPr>
          <w:trHeight w:val="501"/>
        </w:trPr>
        <w:tc>
          <w:tcPr>
            <w:tcW w:w="1421" w:type="dxa"/>
          </w:tcPr>
          <w:p w14:paraId="3324B8CA" w14:textId="77777777" w:rsidR="00A71EEF" w:rsidRDefault="0081115D">
            <w:pPr>
              <w:pStyle w:val="TableParagraph"/>
              <w:spacing w:before="193"/>
              <w:ind w:left="538" w:right="404"/>
              <w:jc w:val="center"/>
              <w:rPr>
                <w:sz w:val="24"/>
              </w:rPr>
            </w:pPr>
            <w:r>
              <w:rPr>
                <w:sz w:val="21"/>
              </w:rPr>
              <w:t>8</w:t>
            </w:r>
            <w:r>
              <w:rPr>
                <w:sz w:val="24"/>
              </w:rPr>
              <w:t xml:space="preserve"> </w:t>
            </w:r>
          </w:p>
        </w:tc>
        <w:tc>
          <w:tcPr>
            <w:tcW w:w="6758" w:type="dxa"/>
          </w:tcPr>
          <w:p w14:paraId="22D1E338" w14:textId="77777777" w:rsidR="00A71EEF" w:rsidRDefault="0081115D">
            <w:pPr>
              <w:pStyle w:val="TableParagraph"/>
              <w:spacing w:before="193"/>
              <w:ind w:left="1315" w:right="1187"/>
              <w:jc w:val="center"/>
              <w:rPr>
                <w:sz w:val="24"/>
              </w:rPr>
            </w:pPr>
            <w:r>
              <w:rPr>
                <w:sz w:val="21"/>
              </w:rPr>
              <w:t>百货楼、营业厅、综合商场</w:t>
            </w:r>
            <w:r>
              <w:rPr>
                <w:sz w:val="24"/>
              </w:rPr>
              <w:t xml:space="preserve"> </w:t>
            </w:r>
          </w:p>
        </w:tc>
      </w:tr>
      <w:tr w:rsidR="00A71EEF" w14:paraId="7A1673B5" w14:textId="77777777">
        <w:trPr>
          <w:trHeight w:val="501"/>
        </w:trPr>
        <w:tc>
          <w:tcPr>
            <w:tcW w:w="1421" w:type="dxa"/>
          </w:tcPr>
          <w:p w14:paraId="3D4B4CD2" w14:textId="77777777" w:rsidR="00A71EEF" w:rsidRDefault="0081115D">
            <w:pPr>
              <w:pStyle w:val="TableParagraph"/>
              <w:spacing w:before="190"/>
              <w:ind w:left="538" w:right="404"/>
              <w:jc w:val="center"/>
              <w:rPr>
                <w:sz w:val="24"/>
              </w:rPr>
            </w:pPr>
            <w:r>
              <w:rPr>
                <w:sz w:val="21"/>
              </w:rPr>
              <w:t>9</w:t>
            </w:r>
            <w:r>
              <w:rPr>
                <w:sz w:val="24"/>
              </w:rPr>
              <w:t xml:space="preserve"> </w:t>
            </w:r>
          </w:p>
        </w:tc>
        <w:tc>
          <w:tcPr>
            <w:tcW w:w="6758" w:type="dxa"/>
          </w:tcPr>
          <w:p w14:paraId="0CCEF194" w14:textId="77777777" w:rsidR="00A71EEF" w:rsidRDefault="0081115D">
            <w:pPr>
              <w:pStyle w:val="TableParagraph"/>
              <w:spacing w:before="190"/>
              <w:ind w:left="1315" w:right="1187"/>
              <w:jc w:val="center"/>
              <w:rPr>
                <w:sz w:val="24"/>
              </w:rPr>
            </w:pPr>
            <w:r>
              <w:rPr>
                <w:sz w:val="21"/>
              </w:rPr>
              <w:t>图书馆一般书库</w:t>
            </w:r>
            <w:r>
              <w:rPr>
                <w:sz w:val="24"/>
              </w:rPr>
              <w:t xml:space="preserve"> </w:t>
            </w:r>
          </w:p>
        </w:tc>
      </w:tr>
      <w:tr w:rsidR="00A71EEF" w14:paraId="749D917B" w14:textId="77777777">
        <w:trPr>
          <w:trHeight w:val="498"/>
        </w:trPr>
        <w:tc>
          <w:tcPr>
            <w:tcW w:w="1421" w:type="dxa"/>
          </w:tcPr>
          <w:p w14:paraId="4A61E8C1" w14:textId="77777777" w:rsidR="00A71EEF" w:rsidRDefault="0081115D">
            <w:pPr>
              <w:pStyle w:val="TableParagraph"/>
              <w:spacing w:before="191"/>
              <w:ind w:left="538" w:right="404"/>
              <w:jc w:val="center"/>
              <w:rPr>
                <w:sz w:val="24"/>
              </w:rPr>
            </w:pPr>
            <w:r>
              <w:rPr>
                <w:sz w:val="21"/>
              </w:rPr>
              <w:t>10</w:t>
            </w:r>
            <w:r>
              <w:rPr>
                <w:sz w:val="24"/>
              </w:rPr>
              <w:t xml:space="preserve"> </w:t>
            </w:r>
          </w:p>
        </w:tc>
        <w:tc>
          <w:tcPr>
            <w:tcW w:w="6758" w:type="dxa"/>
          </w:tcPr>
          <w:p w14:paraId="292B13A6" w14:textId="77777777" w:rsidR="00A71EEF" w:rsidRDefault="0081115D">
            <w:pPr>
              <w:pStyle w:val="TableParagraph"/>
              <w:spacing w:before="191"/>
              <w:ind w:left="1315" w:right="1187"/>
              <w:jc w:val="center"/>
              <w:rPr>
                <w:sz w:val="24"/>
              </w:rPr>
            </w:pPr>
            <w:r>
              <w:rPr>
                <w:sz w:val="21"/>
              </w:rPr>
              <w:t>展览厅</w:t>
            </w:r>
            <w:r>
              <w:rPr>
                <w:sz w:val="24"/>
              </w:rPr>
              <w:t xml:space="preserve"> </w:t>
            </w:r>
          </w:p>
        </w:tc>
      </w:tr>
      <w:tr w:rsidR="00A71EEF" w14:paraId="1F5AAED1" w14:textId="77777777">
        <w:trPr>
          <w:trHeight w:val="501"/>
        </w:trPr>
        <w:tc>
          <w:tcPr>
            <w:tcW w:w="1421" w:type="dxa"/>
          </w:tcPr>
          <w:p w14:paraId="5BE31524" w14:textId="77777777" w:rsidR="00A71EEF" w:rsidRDefault="0081115D">
            <w:pPr>
              <w:pStyle w:val="TableParagraph"/>
              <w:spacing w:before="190"/>
              <w:ind w:left="538" w:right="404"/>
              <w:jc w:val="center"/>
              <w:rPr>
                <w:sz w:val="24"/>
              </w:rPr>
            </w:pPr>
            <w:r>
              <w:rPr>
                <w:sz w:val="21"/>
              </w:rPr>
              <w:t>11</w:t>
            </w:r>
            <w:r>
              <w:rPr>
                <w:sz w:val="24"/>
              </w:rPr>
              <w:t xml:space="preserve"> </w:t>
            </w:r>
          </w:p>
        </w:tc>
        <w:tc>
          <w:tcPr>
            <w:tcW w:w="6758" w:type="dxa"/>
          </w:tcPr>
          <w:p w14:paraId="31AEF0DA" w14:textId="77777777" w:rsidR="00A71EEF" w:rsidRDefault="0081115D">
            <w:pPr>
              <w:pStyle w:val="TableParagraph"/>
              <w:spacing w:before="190"/>
              <w:ind w:left="1315" w:right="1187"/>
              <w:jc w:val="center"/>
              <w:rPr>
                <w:sz w:val="24"/>
              </w:rPr>
            </w:pPr>
            <w:r>
              <w:rPr>
                <w:sz w:val="21"/>
              </w:rPr>
              <w:t>住宅</w:t>
            </w:r>
            <w:r>
              <w:rPr>
                <w:sz w:val="24"/>
              </w:rPr>
              <w:t xml:space="preserve"> </w:t>
            </w:r>
          </w:p>
        </w:tc>
      </w:tr>
      <w:tr w:rsidR="00A71EEF" w14:paraId="610ECC18" w14:textId="77777777">
        <w:trPr>
          <w:trHeight w:val="501"/>
        </w:trPr>
        <w:tc>
          <w:tcPr>
            <w:tcW w:w="1421" w:type="dxa"/>
          </w:tcPr>
          <w:p w14:paraId="74F156AC" w14:textId="77777777" w:rsidR="00A71EEF" w:rsidRDefault="0081115D">
            <w:pPr>
              <w:pStyle w:val="TableParagraph"/>
              <w:spacing w:before="190"/>
              <w:ind w:left="538" w:right="404"/>
              <w:jc w:val="center"/>
              <w:rPr>
                <w:sz w:val="24"/>
              </w:rPr>
            </w:pPr>
            <w:r>
              <w:rPr>
                <w:sz w:val="21"/>
              </w:rPr>
              <w:t>12</w:t>
            </w:r>
            <w:r>
              <w:rPr>
                <w:sz w:val="24"/>
              </w:rPr>
              <w:t xml:space="preserve"> </w:t>
            </w:r>
          </w:p>
        </w:tc>
        <w:tc>
          <w:tcPr>
            <w:tcW w:w="6758" w:type="dxa"/>
          </w:tcPr>
          <w:p w14:paraId="69970103" w14:textId="77777777" w:rsidR="00A71EEF" w:rsidRDefault="0081115D">
            <w:pPr>
              <w:pStyle w:val="TableParagraph"/>
              <w:spacing w:before="190"/>
              <w:ind w:left="1315" w:right="1187"/>
              <w:jc w:val="center"/>
              <w:rPr>
                <w:sz w:val="24"/>
              </w:rPr>
            </w:pPr>
            <w:r>
              <w:rPr>
                <w:sz w:val="21"/>
              </w:rPr>
              <w:t>民用燃油、燃气锅炉房</w:t>
            </w:r>
            <w:r>
              <w:rPr>
                <w:sz w:val="24"/>
              </w:rPr>
              <w:t xml:space="preserve"> </w:t>
            </w:r>
          </w:p>
        </w:tc>
      </w:tr>
    </w:tbl>
    <w:p w14:paraId="0FB8A62A" w14:textId="77777777" w:rsidR="00A71EEF" w:rsidRDefault="00A71EEF">
      <w:pPr>
        <w:pStyle w:val="a3"/>
        <w:rPr>
          <w:b/>
          <w:sz w:val="20"/>
        </w:rPr>
      </w:pPr>
    </w:p>
    <w:p w14:paraId="39CB4CE2" w14:textId="77777777" w:rsidR="00A71EEF" w:rsidRDefault="00A71EEF">
      <w:pPr>
        <w:pStyle w:val="a3"/>
        <w:rPr>
          <w:b/>
          <w:sz w:val="20"/>
        </w:rPr>
      </w:pPr>
    </w:p>
    <w:p w14:paraId="475159B6" w14:textId="77777777" w:rsidR="00A71EEF" w:rsidRDefault="0081115D">
      <w:pPr>
        <w:spacing w:before="177" w:after="40"/>
        <w:ind w:right="915"/>
        <w:jc w:val="center"/>
        <w:rPr>
          <w:b/>
          <w:sz w:val="21"/>
        </w:rPr>
      </w:pPr>
      <w:r>
        <w:rPr>
          <w:b/>
          <w:spacing w:val="-26"/>
          <w:sz w:val="21"/>
        </w:rPr>
        <w:t>表</w:t>
      </w:r>
      <w:r>
        <w:rPr>
          <w:b/>
          <w:spacing w:val="-26"/>
          <w:sz w:val="21"/>
        </w:rPr>
        <w:t xml:space="preserve"> </w:t>
      </w:r>
      <w:r>
        <w:rPr>
          <w:b/>
          <w:sz w:val="21"/>
        </w:rPr>
        <w:t>F.0.2</w:t>
      </w:r>
      <w:r>
        <w:rPr>
          <w:b/>
          <w:spacing w:val="-3"/>
          <w:sz w:val="21"/>
        </w:rPr>
        <w:t xml:space="preserve"> </w:t>
      </w:r>
      <w:r>
        <w:rPr>
          <w:b/>
          <w:spacing w:val="-3"/>
          <w:sz w:val="21"/>
        </w:rPr>
        <w:t>工业建筑类非必要配置卤代烷灭火器的场所举例</w:t>
      </w:r>
      <w:r>
        <w:rPr>
          <w:b/>
          <w:spacing w:val="-3"/>
          <w:w w:val="99"/>
          <w:sz w:val="21"/>
        </w:rPr>
        <w:t xml:space="preserve"> </w:t>
      </w:r>
    </w:p>
    <w:tbl>
      <w:tblPr>
        <w:tblStyle w:val="TableNormal"/>
        <w:tblW w:w="0" w:type="auto"/>
        <w:tblInd w:w="4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82"/>
        <w:gridCol w:w="6796"/>
      </w:tblGrid>
      <w:tr w:rsidR="00A71EEF" w14:paraId="3DEF46EC" w14:textId="77777777">
        <w:trPr>
          <w:trHeight w:val="501"/>
        </w:trPr>
        <w:tc>
          <w:tcPr>
            <w:tcW w:w="1382" w:type="dxa"/>
          </w:tcPr>
          <w:p w14:paraId="16EB6C44" w14:textId="77777777" w:rsidR="00A71EEF" w:rsidRDefault="0081115D">
            <w:pPr>
              <w:pStyle w:val="TableParagraph"/>
              <w:spacing w:before="193"/>
              <w:ind w:left="519" w:right="387"/>
              <w:jc w:val="center"/>
              <w:rPr>
                <w:sz w:val="24"/>
              </w:rPr>
            </w:pPr>
            <w:r>
              <w:rPr>
                <w:sz w:val="21"/>
              </w:rPr>
              <w:t>序号</w:t>
            </w:r>
            <w:r>
              <w:rPr>
                <w:sz w:val="24"/>
              </w:rPr>
              <w:t xml:space="preserve"> </w:t>
            </w:r>
          </w:p>
        </w:tc>
        <w:tc>
          <w:tcPr>
            <w:tcW w:w="6796" w:type="dxa"/>
          </w:tcPr>
          <w:p w14:paraId="60A53BAD" w14:textId="77777777" w:rsidR="00A71EEF" w:rsidRDefault="0081115D">
            <w:pPr>
              <w:pStyle w:val="TableParagraph"/>
              <w:spacing w:before="193"/>
              <w:ind w:left="706" w:right="571"/>
              <w:jc w:val="center"/>
              <w:rPr>
                <w:sz w:val="24"/>
              </w:rPr>
            </w:pPr>
            <w:r>
              <w:rPr>
                <w:sz w:val="21"/>
              </w:rPr>
              <w:t>名</w:t>
            </w:r>
            <w:r>
              <w:rPr>
                <w:sz w:val="21"/>
              </w:rPr>
              <w:t xml:space="preserve">  </w:t>
            </w:r>
            <w:r>
              <w:rPr>
                <w:sz w:val="21"/>
              </w:rPr>
              <w:t>称</w:t>
            </w:r>
            <w:r>
              <w:rPr>
                <w:sz w:val="24"/>
              </w:rPr>
              <w:t xml:space="preserve"> </w:t>
            </w:r>
          </w:p>
        </w:tc>
      </w:tr>
      <w:tr w:rsidR="00A71EEF" w14:paraId="646AD6AC" w14:textId="77777777">
        <w:trPr>
          <w:trHeight w:val="499"/>
        </w:trPr>
        <w:tc>
          <w:tcPr>
            <w:tcW w:w="1382" w:type="dxa"/>
          </w:tcPr>
          <w:p w14:paraId="1F8094DE" w14:textId="77777777" w:rsidR="00A71EEF" w:rsidRDefault="0081115D">
            <w:pPr>
              <w:pStyle w:val="TableParagraph"/>
              <w:spacing w:before="191"/>
              <w:ind w:left="516" w:right="387"/>
              <w:jc w:val="center"/>
              <w:rPr>
                <w:sz w:val="24"/>
              </w:rPr>
            </w:pPr>
            <w:r>
              <w:rPr>
                <w:sz w:val="21"/>
              </w:rPr>
              <w:t>1</w:t>
            </w:r>
            <w:r>
              <w:rPr>
                <w:sz w:val="24"/>
              </w:rPr>
              <w:t xml:space="preserve"> </w:t>
            </w:r>
          </w:p>
        </w:tc>
        <w:tc>
          <w:tcPr>
            <w:tcW w:w="6796" w:type="dxa"/>
          </w:tcPr>
          <w:p w14:paraId="22DBC6EA" w14:textId="77777777" w:rsidR="00A71EEF" w:rsidRDefault="0081115D">
            <w:pPr>
              <w:pStyle w:val="TableParagraph"/>
              <w:spacing w:before="191"/>
              <w:ind w:left="706" w:right="574"/>
              <w:jc w:val="center"/>
              <w:rPr>
                <w:sz w:val="24"/>
              </w:rPr>
            </w:pPr>
            <w:r>
              <w:rPr>
                <w:sz w:val="21"/>
              </w:rPr>
              <w:t>橡胶制品的涂胶和胶浆部位；压延成型和硫化厂房</w:t>
            </w:r>
            <w:r>
              <w:rPr>
                <w:sz w:val="24"/>
              </w:rPr>
              <w:t xml:space="preserve"> </w:t>
            </w:r>
          </w:p>
        </w:tc>
      </w:tr>
      <w:tr w:rsidR="00A71EEF" w14:paraId="4CE2E9F5" w14:textId="77777777">
        <w:trPr>
          <w:trHeight w:val="501"/>
        </w:trPr>
        <w:tc>
          <w:tcPr>
            <w:tcW w:w="1382" w:type="dxa"/>
          </w:tcPr>
          <w:p w14:paraId="71BA7240" w14:textId="77777777" w:rsidR="00A71EEF" w:rsidRDefault="0081115D">
            <w:pPr>
              <w:pStyle w:val="TableParagraph"/>
              <w:spacing w:before="193"/>
              <w:ind w:left="516" w:right="387"/>
              <w:jc w:val="center"/>
              <w:rPr>
                <w:sz w:val="24"/>
              </w:rPr>
            </w:pPr>
            <w:r>
              <w:rPr>
                <w:sz w:val="21"/>
              </w:rPr>
              <w:t>2</w:t>
            </w:r>
            <w:r>
              <w:rPr>
                <w:sz w:val="24"/>
              </w:rPr>
              <w:t xml:space="preserve"> </w:t>
            </w:r>
          </w:p>
        </w:tc>
        <w:tc>
          <w:tcPr>
            <w:tcW w:w="6796" w:type="dxa"/>
          </w:tcPr>
          <w:p w14:paraId="18BE056D" w14:textId="77777777" w:rsidR="00A71EEF" w:rsidRDefault="0081115D">
            <w:pPr>
              <w:pStyle w:val="TableParagraph"/>
              <w:spacing w:before="193"/>
              <w:ind w:left="706" w:right="571"/>
              <w:jc w:val="center"/>
              <w:rPr>
                <w:sz w:val="24"/>
              </w:rPr>
            </w:pPr>
            <w:r>
              <w:rPr>
                <w:sz w:val="21"/>
              </w:rPr>
              <w:t>橡胶、塑料及其制品库房</w:t>
            </w:r>
            <w:r>
              <w:rPr>
                <w:sz w:val="24"/>
              </w:rPr>
              <w:t xml:space="preserve"> </w:t>
            </w:r>
          </w:p>
        </w:tc>
      </w:tr>
      <w:tr w:rsidR="00A71EEF" w14:paraId="6DD5C0F5" w14:textId="77777777">
        <w:trPr>
          <w:trHeight w:val="501"/>
        </w:trPr>
        <w:tc>
          <w:tcPr>
            <w:tcW w:w="1382" w:type="dxa"/>
          </w:tcPr>
          <w:p w14:paraId="38364128" w14:textId="77777777" w:rsidR="00A71EEF" w:rsidRDefault="0081115D">
            <w:pPr>
              <w:pStyle w:val="TableParagraph"/>
              <w:spacing w:before="190"/>
              <w:ind w:left="516" w:right="387"/>
              <w:jc w:val="center"/>
              <w:rPr>
                <w:sz w:val="24"/>
              </w:rPr>
            </w:pPr>
            <w:r>
              <w:rPr>
                <w:sz w:val="21"/>
              </w:rPr>
              <w:t>3</w:t>
            </w:r>
            <w:r>
              <w:rPr>
                <w:sz w:val="24"/>
              </w:rPr>
              <w:t xml:space="preserve"> </w:t>
            </w:r>
          </w:p>
        </w:tc>
        <w:tc>
          <w:tcPr>
            <w:tcW w:w="6796" w:type="dxa"/>
          </w:tcPr>
          <w:p w14:paraId="146E7D9E" w14:textId="77777777" w:rsidR="00A71EEF" w:rsidRDefault="0081115D">
            <w:pPr>
              <w:pStyle w:val="TableParagraph"/>
              <w:spacing w:before="190"/>
              <w:ind w:left="706" w:right="574"/>
              <w:jc w:val="center"/>
              <w:rPr>
                <w:sz w:val="24"/>
              </w:rPr>
            </w:pPr>
            <w:r>
              <w:rPr>
                <w:sz w:val="21"/>
              </w:rPr>
              <w:t>植物油加工厂的浸出厂房；植物油加工精炼部位</w:t>
            </w:r>
            <w:r>
              <w:rPr>
                <w:sz w:val="24"/>
              </w:rPr>
              <w:t xml:space="preserve"> </w:t>
            </w:r>
          </w:p>
        </w:tc>
      </w:tr>
      <w:tr w:rsidR="00A71EEF" w14:paraId="5C3AC4B7" w14:textId="77777777">
        <w:trPr>
          <w:trHeight w:val="498"/>
        </w:trPr>
        <w:tc>
          <w:tcPr>
            <w:tcW w:w="1382" w:type="dxa"/>
          </w:tcPr>
          <w:p w14:paraId="3C585770" w14:textId="77777777" w:rsidR="00A71EEF" w:rsidRDefault="0081115D">
            <w:pPr>
              <w:pStyle w:val="TableParagraph"/>
              <w:spacing w:before="190"/>
              <w:ind w:left="516" w:right="387"/>
              <w:jc w:val="center"/>
              <w:rPr>
                <w:sz w:val="24"/>
              </w:rPr>
            </w:pPr>
            <w:r>
              <w:rPr>
                <w:sz w:val="21"/>
              </w:rPr>
              <w:t>4</w:t>
            </w:r>
            <w:r>
              <w:rPr>
                <w:sz w:val="24"/>
              </w:rPr>
              <w:t xml:space="preserve"> </w:t>
            </w:r>
          </w:p>
        </w:tc>
        <w:tc>
          <w:tcPr>
            <w:tcW w:w="6796" w:type="dxa"/>
          </w:tcPr>
          <w:p w14:paraId="241F34D6" w14:textId="77777777" w:rsidR="00A71EEF" w:rsidRDefault="0081115D">
            <w:pPr>
              <w:pStyle w:val="TableParagraph"/>
              <w:spacing w:before="190"/>
              <w:ind w:left="706" w:right="571"/>
              <w:jc w:val="center"/>
              <w:rPr>
                <w:sz w:val="24"/>
              </w:rPr>
            </w:pPr>
            <w:r>
              <w:rPr>
                <w:sz w:val="21"/>
              </w:rPr>
              <w:t>黄磷、赤磷制备厂房及其应用部位</w:t>
            </w:r>
            <w:r>
              <w:rPr>
                <w:sz w:val="24"/>
              </w:rPr>
              <w:t xml:space="preserve"> </w:t>
            </w:r>
          </w:p>
        </w:tc>
      </w:tr>
      <w:tr w:rsidR="00A71EEF" w14:paraId="4B15441C" w14:textId="77777777">
        <w:trPr>
          <w:trHeight w:val="500"/>
        </w:trPr>
        <w:tc>
          <w:tcPr>
            <w:tcW w:w="1382" w:type="dxa"/>
          </w:tcPr>
          <w:p w14:paraId="55998B8D" w14:textId="77777777" w:rsidR="00A71EEF" w:rsidRDefault="0081115D">
            <w:pPr>
              <w:pStyle w:val="TableParagraph"/>
              <w:spacing w:before="190"/>
              <w:ind w:left="516" w:right="387"/>
              <w:jc w:val="center"/>
              <w:rPr>
                <w:sz w:val="24"/>
              </w:rPr>
            </w:pPr>
            <w:r>
              <w:rPr>
                <w:sz w:val="21"/>
              </w:rPr>
              <w:t>5</w:t>
            </w:r>
            <w:r>
              <w:rPr>
                <w:sz w:val="24"/>
              </w:rPr>
              <w:t xml:space="preserve"> </w:t>
            </w:r>
          </w:p>
        </w:tc>
        <w:tc>
          <w:tcPr>
            <w:tcW w:w="6796" w:type="dxa"/>
          </w:tcPr>
          <w:p w14:paraId="7E8B8FB6" w14:textId="77777777" w:rsidR="00A71EEF" w:rsidRDefault="0081115D">
            <w:pPr>
              <w:pStyle w:val="TableParagraph"/>
              <w:spacing w:before="190"/>
              <w:ind w:left="706" w:right="574"/>
              <w:jc w:val="center"/>
              <w:rPr>
                <w:sz w:val="24"/>
              </w:rPr>
            </w:pPr>
            <w:r>
              <w:rPr>
                <w:sz w:val="21"/>
              </w:rPr>
              <w:t>樟脑或松香提炼厂房、焦化厂精萘厂房</w:t>
            </w:r>
            <w:r>
              <w:rPr>
                <w:sz w:val="24"/>
              </w:rPr>
              <w:t xml:space="preserve"> </w:t>
            </w:r>
          </w:p>
        </w:tc>
      </w:tr>
      <w:tr w:rsidR="00A71EEF" w14:paraId="4228F14A" w14:textId="77777777">
        <w:trPr>
          <w:trHeight w:val="498"/>
        </w:trPr>
        <w:tc>
          <w:tcPr>
            <w:tcW w:w="1382" w:type="dxa"/>
          </w:tcPr>
          <w:p w14:paraId="09E2BDEB" w14:textId="77777777" w:rsidR="00A71EEF" w:rsidRDefault="0081115D">
            <w:pPr>
              <w:pStyle w:val="TableParagraph"/>
              <w:spacing w:before="190"/>
              <w:ind w:left="516" w:right="387"/>
              <w:jc w:val="center"/>
              <w:rPr>
                <w:sz w:val="24"/>
              </w:rPr>
            </w:pPr>
            <w:r>
              <w:rPr>
                <w:sz w:val="21"/>
              </w:rPr>
              <w:t>6</w:t>
            </w:r>
            <w:r>
              <w:rPr>
                <w:sz w:val="24"/>
              </w:rPr>
              <w:t xml:space="preserve"> </w:t>
            </w:r>
          </w:p>
        </w:tc>
        <w:tc>
          <w:tcPr>
            <w:tcW w:w="6796" w:type="dxa"/>
          </w:tcPr>
          <w:p w14:paraId="5A9C8862" w14:textId="77777777" w:rsidR="00A71EEF" w:rsidRDefault="0081115D">
            <w:pPr>
              <w:pStyle w:val="TableParagraph"/>
              <w:spacing w:before="190"/>
              <w:ind w:left="706" w:right="574"/>
              <w:jc w:val="center"/>
              <w:rPr>
                <w:sz w:val="24"/>
              </w:rPr>
            </w:pPr>
            <w:r>
              <w:rPr>
                <w:sz w:val="21"/>
              </w:rPr>
              <w:t>煤粉厂房和面粉厂房的碾磨部位</w:t>
            </w:r>
            <w:r>
              <w:rPr>
                <w:sz w:val="24"/>
              </w:rPr>
              <w:t xml:space="preserve"> </w:t>
            </w:r>
          </w:p>
        </w:tc>
      </w:tr>
      <w:tr w:rsidR="00A71EEF" w14:paraId="63249A66" w14:textId="77777777">
        <w:trPr>
          <w:trHeight w:val="501"/>
        </w:trPr>
        <w:tc>
          <w:tcPr>
            <w:tcW w:w="1382" w:type="dxa"/>
          </w:tcPr>
          <w:p w14:paraId="37BD8DFB" w14:textId="77777777" w:rsidR="00A71EEF" w:rsidRDefault="0081115D">
            <w:pPr>
              <w:pStyle w:val="TableParagraph"/>
              <w:spacing w:before="193"/>
              <w:ind w:left="516" w:right="387"/>
              <w:jc w:val="center"/>
              <w:rPr>
                <w:sz w:val="24"/>
              </w:rPr>
            </w:pPr>
            <w:r>
              <w:rPr>
                <w:sz w:val="21"/>
              </w:rPr>
              <w:t>7</w:t>
            </w:r>
            <w:r>
              <w:rPr>
                <w:sz w:val="24"/>
              </w:rPr>
              <w:t xml:space="preserve"> </w:t>
            </w:r>
          </w:p>
        </w:tc>
        <w:tc>
          <w:tcPr>
            <w:tcW w:w="6796" w:type="dxa"/>
          </w:tcPr>
          <w:p w14:paraId="7DFCB7D0" w14:textId="77777777" w:rsidR="00A71EEF" w:rsidRDefault="0081115D">
            <w:pPr>
              <w:pStyle w:val="TableParagraph"/>
              <w:spacing w:before="193"/>
              <w:ind w:left="706" w:right="571"/>
              <w:jc w:val="center"/>
              <w:rPr>
                <w:sz w:val="24"/>
              </w:rPr>
            </w:pPr>
            <w:r>
              <w:rPr>
                <w:sz w:val="21"/>
              </w:rPr>
              <w:t>谷物筒仓工作塔、亚麻厂的除尘器和过滤器室</w:t>
            </w:r>
            <w:r>
              <w:rPr>
                <w:sz w:val="24"/>
              </w:rPr>
              <w:t xml:space="preserve"> </w:t>
            </w:r>
          </w:p>
        </w:tc>
      </w:tr>
      <w:tr w:rsidR="00A71EEF" w14:paraId="4816BFC1" w14:textId="77777777">
        <w:trPr>
          <w:trHeight w:val="501"/>
        </w:trPr>
        <w:tc>
          <w:tcPr>
            <w:tcW w:w="1382" w:type="dxa"/>
          </w:tcPr>
          <w:p w14:paraId="0E44345E" w14:textId="77777777" w:rsidR="00A71EEF" w:rsidRDefault="0081115D">
            <w:pPr>
              <w:pStyle w:val="TableParagraph"/>
              <w:spacing w:before="190"/>
              <w:ind w:left="516" w:right="387"/>
              <w:jc w:val="center"/>
              <w:rPr>
                <w:sz w:val="24"/>
              </w:rPr>
            </w:pPr>
            <w:r>
              <w:rPr>
                <w:sz w:val="21"/>
              </w:rPr>
              <w:t>8</w:t>
            </w:r>
            <w:r>
              <w:rPr>
                <w:sz w:val="24"/>
              </w:rPr>
              <w:t xml:space="preserve"> </w:t>
            </w:r>
          </w:p>
        </w:tc>
        <w:tc>
          <w:tcPr>
            <w:tcW w:w="6796" w:type="dxa"/>
          </w:tcPr>
          <w:p w14:paraId="6999B08B" w14:textId="77777777" w:rsidR="00A71EEF" w:rsidRDefault="0081115D">
            <w:pPr>
              <w:pStyle w:val="TableParagraph"/>
              <w:spacing w:before="190"/>
              <w:ind w:left="706" w:right="571"/>
              <w:jc w:val="center"/>
              <w:rPr>
                <w:sz w:val="24"/>
              </w:rPr>
            </w:pPr>
            <w:r>
              <w:rPr>
                <w:sz w:val="21"/>
              </w:rPr>
              <w:t>散装棉花堆场</w:t>
            </w:r>
            <w:r>
              <w:rPr>
                <w:sz w:val="24"/>
              </w:rPr>
              <w:t xml:space="preserve"> </w:t>
            </w:r>
          </w:p>
        </w:tc>
      </w:tr>
      <w:tr w:rsidR="00A71EEF" w14:paraId="32273DB7" w14:textId="77777777">
        <w:trPr>
          <w:trHeight w:val="498"/>
        </w:trPr>
        <w:tc>
          <w:tcPr>
            <w:tcW w:w="1382" w:type="dxa"/>
          </w:tcPr>
          <w:p w14:paraId="2BC7213C" w14:textId="77777777" w:rsidR="00A71EEF" w:rsidRDefault="0081115D">
            <w:pPr>
              <w:pStyle w:val="TableParagraph"/>
              <w:spacing w:before="190"/>
              <w:ind w:left="516" w:right="387"/>
              <w:jc w:val="center"/>
              <w:rPr>
                <w:sz w:val="24"/>
              </w:rPr>
            </w:pPr>
            <w:r>
              <w:rPr>
                <w:sz w:val="21"/>
              </w:rPr>
              <w:t>9</w:t>
            </w:r>
            <w:r>
              <w:rPr>
                <w:sz w:val="24"/>
              </w:rPr>
              <w:t xml:space="preserve"> </w:t>
            </w:r>
          </w:p>
        </w:tc>
        <w:tc>
          <w:tcPr>
            <w:tcW w:w="6796" w:type="dxa"/>
          </w:tcPr>
          <w:p w14:paraId="1152D7A3" w14:textId="77777777" w:rsidR="00A71EEF" w:rsidRDefault="0081115D">
            <w:pPr>
              <w:pStyle w:val="TableParagraph"/>
              <w:spacing w:before="190"/>
              <w:ind w:left="706" w:right="571"/>
              <w:jc w:val="center"/>
              <w:rPr>
                <w:sz w:val="24"/>
              </w:rPr>
            </w:pPr>
            <w:r>
              <w:rPr>
                <w:sz w:val="21"/>
              </w:rPr>
              <w:t>稻草、芦苇、麦秸等堆场</w:t>
            </w:r>
            <w:r>
              <w:rPr>
                <w:sz w:val="24"/>
              </w:rPr>
              <w:t xml:space="preserve"> </w:t>
            </w:r>
          </w:p>
        </w:tc>
      </w:tr>
    </w:tbl>
    <w:p w14:paraId="2677637C" w14:textId="77777777" w:rsidR="00A71EEF" w:rsidRDefault="00A71EEF">
      <w:pPr>
        <w:jc w:val="center"/>
        <w:rPr>
          <w:sz w:val="24"/>
        </w:rPr>
        <w:sectPr w:rsidR="00A71EEF">
          <w:pgSz w:w="11910" w:h="16850"/>
          <w:pgMar w:top="1180" w:right="0" w:bottom="1420" w:left="1260" w:header="0" w:footer="1159" w:gutter="0"/>
          <w:cols w:space="720"/>
        </w:sectPr>
      </w:pPr>
    </w:p>
    <w:tbl>
      <w:tblPr>
        <w:tblStyle w:val="TableNormal"/>
        <w:tblW w:w="0" w:type="auto"/>
        <w:tblInd w:w="4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82"/>
        <w:gridCol w:w="6796"/>
      </w:tblGrid>
      <w:tr w:rsidR="00A71EEF" w14:paraId="74F6F829" w14:textId="77777777">
        <w:trPr>
          <w:trHeight w:val="499"/>
        </w:trPr>
        <w:tc>
          <w:tcPr>
            <w:tcW w:w="1382" w:type="dxa"/>
          </w:tcPr>
          <w:p w14:paraId="4D3042E5" w14:textId="77777777" w:rsidR="00A71EEF" w:rsidRDefault="0081115D">
            <w:pPr>
              <w:pStyle w:val="TableParagraph"/>
              <w:spacing w:before="187"/>
              <w:ind w:right="450"/>
              <w:jc w:val="right"/>
              <w:rPr>
                <w:sz w:val="24"/>
              </w:rPr>
            </w:pPr>
            <w:r>
              <w:rPr>
                <w:sz w:val="21"/>
              </w:rPr>
              <w:t>10</w:t>
            </w:r>
            <w:r>
              <w:rPr>
                <w:sz w:val="24"/>
              </w:rPr>
              <w:t xml:space="preserve"> </w:t>
            </w:r>
          </w:p>
        </w:tc>
        <w:tc>
          <w:tcPr>
            <w:tcW w:w="6796" w:type="dxa"/>
          </w:tcPr>
          <w:p w14:paraId="4F832388" w14:textId="77777777" w:rsidR="00A71EEF" w:rsidRDefault="0081115D">
            <w:pPr>
              <w:pStyle w:val="TableParagraph"/>
              <w:spacing w:before="187"/>
              <w:ind w:left="706" w:right="571"/>
              <w:jc w:val="center"/>
              <w:rPr>
                <w:sz w:val="24"/>
              </w:rPr>
            </w:pPr>
            <w:r>
              <w:rPr>
                <w:sz w:val="21"/>
              </w:rPr>
              <w:t>谷物加工厂房</w:t>
            </w:r>
            <w:r>
              <w:rPr>
                <w:sz w:val="24"/>
              </w:rPr>
              <w:t xml:space="preserve"> </w:t>
            </w:r>
          </w:p>
        </w:tc>
      </w:tr>
      <w:tr w:rsidR="00A71EEF" w14:paraId="2EBDCEB9" w14:textId="77777777">
        <w:trPr>
          <w:trHeight w:val="500"/>
        </w:trPr>
        <w:tc>
          <w:tcPr>
            <w:tcW w:w="1382" w:type="dxa"/>
          </w:tcPr>
          <w:p w14:paraId="419B4258" w14:textId="77777777" w:rsidR="00A71EEF" w:rsidRDefault="0081115D">
            <w:pPr>
              <w:pStyle w:val="TableParagraph"/>
              <w:spacing w:before="189"/>
              <w:ind w:right="450"/>
              <w:jc w:val="right"/>
              <w:rPr>
                <w:sz w:val="24"/>
              </w:rPr>
            </w:pPr>
            <w:r>
              <w:rPr>
                <w:sz w:val="21"/>
              </w:rPr>
              <w:t>11</w:t>
            </w:r>
            <w:r>
              <w:rPr>
                <w:sz w:val="24"/>
              </w:rPr>
              <w:t xml:space="preserve"> </w:t>
            </w:r>
          </w:p>
        </w:tc>
        <w:tc>
          <w:tcPr>
            <w:tcW w:w="6796" w:type="dxa"/>
          </w:tcPr>
          <w:p w14:paraId="7C4CF0C6" w14:textId="77777777" w:rsidR="00A71EEF" w:rsidRDefault="0081115D">
            <w:pPr>
              <w:pStyle w:val="TableParagraph"/>
              <w:spacing w:before="189"/>
              <w:ind w:left="706" w:right="571"/>
              <w:jc w:val="center"/>
              <w:rPr>
                <w:sz w:val="24"/>
              </w:rPr>
            </w:pPr>
            <w:r>
              <w:rPr>
                <w:sz w:val="21"/>
              </w:rPr>
              <w:t>饲料加工厂房</w:t>
            </w:r>
            <w:r>
              <w:rPr>
                <w:sz w:val="24"/>
              </w:rPr>
              <w:t xml:space="preserve"> </w:t>
            </w:r>
          </w:p>
        </w:tc>
      </w:tr>
      <w:tr w:rsidR="00A71EEF" w14:paraId="4D8703F8" w14:textId="77777777">
        <w:trPr>
          <w:trHeight w:val="501"/>
        </w:trPr>
        <w:tc>
          <w:tcPr>
            <w:tcW w:w="1382" w:type="dxa"/>
          </w:tcPr>
          <w:p w14:paraId="42B04D2C" w14:textId="77777777" w:rsidR="00A71EEF" w:rsidRDefault="0081115D">
            <w:pPr>
              <w:pStyle w:val="TableParagraph"/>
              <w:spacing w:before="187"/>
              <w:ind w:right="450"/>
              <w:jc w:val="right"/>
              <w:rPr>
                <w:sz w:val="24"/>
              </w:rPr>
            </w:pPr>
            <w:r>
              <w:rPr>
                <w:sz w:val="21"/>
              </w:rPr>
              <w:t>12</w:t>
            </w:r>
            <w:r>
              <w:rPr>
                <w:sz w:val="24"/>
              </w:rPr>
              <w:t xml:space="preserve"> </w:t>
            </w:r>
          </w:p>
        </w:tc>
        <w:tc>
          <w:tcPr>
            <w:tcW w:w="6796" w:type="dxa"/>
          </w:tcPr>
          <w:p w14:paraId="008D7325" w14:textId="77777777" w:rsidR="00A71EEF" w:rsidRDefault="0081115D">
            <w:pPr>
              <w:pStyle w:val="TableParagraph"/>
              <w:spacing w:before="187"/>
              <w:ind w:left="706" w:right="571"/>
              <w:jc w:val="center"/>
              <w:rPr>
                <w:sz w:val="24"/>
              </w:rPr>
            </w:pPr>
            <w:r>
              <w:rPr>
                <w:sz w:val="21"/>
              </w:rPr>
              <w:t>粮食、食品库房及粮食堆场</w:t>
            </w:r>
            <w:r>
              <w:rPr>
                <w:sz w:val="24"/>
              </w:rPr>
              <w:t xml:space="preserve"> </w:t>
            </w:r>
          </w:p>
        </w:tc>
      </w:tr>
      <w:tr w:rsidR="00A71EEF" w14:paraId="67189821" w14:textId="77777777">
        <w:trPr>
          <w:trHeight w:val="498"/>
        </w:trPr>
        <w:tc>
          <w:tcPr>
            <w:tcW w:w="1382" w:type="dxa"/>
          </w:tcPr>
          <w:p w14:paraId="4FB01D68" w14:textId="77777777" w:rsidR="00A71EEF" w:rsidRDefault="0081115D">
            <w:pPr>
              <w:pStyle w:val="TableParagraph"/>
              <w:spacing w:before="187"/>
              <w:ind w:right="450"/>
              <w:jc w:val="right"/>
              <w:rPr>
                <w:sz w:val="24"/>
              </w:rPr>
            </w:pPr>
            <w:r>
              <w:rPr>
                <w:sz w:val="21"/>
              </w:rPr>
              <w:t>13</w:t>
            </w:r>
            <w:r>
              <w:rPr>
                <w:sz w:val="24"/>
              </w:rPr>
              <w:t xml:space="preserve"> </w:t>
            </w:r>
          </w:p>
        </w:tc>
        <w:tc>
          <w:tcPr>
            <w:tcW w:w="6796" w:type="dxa"/>
          </w:tcPr>
          <w:p w14:paraId="3264FBB2" w14:textId="77777777" w:rsidR="00A71EEF" w:rsidRDefault="0081115D">
            <w:pPr>
              <w:pStyle w:val="TableParagraph"/>
              <w:spacing w:before="187"/>
              <w:ind w:left="706" w:right="571"/>
              <w:jc w:val="center"/>
              <w:rPr>
                <w:sz w:val="24"/>
              </w:rPr>
            </w:pPr>
            <w:r>
              <w:rPr>
                <w:sz w:val="21"/>
              </w:rPr>
              <w:t>高锰酸钾、重铬酸钠厂房</w:t>
            </w:r>
            <w:r>
              <w:rPr>
                <w:sz w:val="24"/>
              </w:rPr>
              <w:t xml:space="preserve"> </w:t>
            </w:r>
          </w:p>
        </w:tc>
      </w:tr>
      <w:tr w:rsidR="00A71EEF" w14:paraId="3FEDBFA3" w14:textId="77777777">
        <w:trPr>
          <w:trHeight w:val="501"/>
        </w:trPr>
        <w:tc>
          <w:tcPr>
            <w:tcW w:w="1382" w:type="dxa"/>
          </w:tcPr>
          <w:p w14:paraId="35911A3B" w14:textId="77777777" w:rsidR="00A71EEF" w:rsidRDefault="0081115D">
            <w:pPr>
              <w:pStyle w:val="TableParagraph"/>
              <w:spacing w:before="187"/>
              <w:ind w:right="450"/>
              <w:jc w:val="right"/>
              <w:rPr>
                <w:sz w:val="24"/>
              </w:rPr>
            </w:pPr>
            <w:r>
              <w:rPr>
                <w:sz w:val="21"/>
              </w:rPr>
              <w:t>14</w:t>
            </w:r>
            <w:r>
              <w:rPr>
                <w:sz w:val="24"/>
              </w:rPr>
              <w:t xml:space="preserve"> </w:t>
            </w:r>
          </w:p>
        </w:tc>
        <w:tc>
          <w:tcPr>
            <w:tcW w:w="6796" w:type="dxa"/>
          </w:tcPr>
          <w:p w14:paraId="1AA82706" w14:textId="77777777" w:rsidR="00A71EEF" w:rsidRDefault="0081115D">
            <w:pPr>
              <w:pStyle w:val="TableParagraph"/>
              <w:spacing w:before="187"/>
              <w:ind w:left="706" w:right="571"/>
              <w:jc w:val="center"/>
              <w:rPr>
                <w:sz w:val="24"/>
              </w:rPr>
            </w:pPr>
            <w:r>
              <w:rPr>
                <w:sz w:val="21"/>
              </w:rPr>
              <w:t>过氧化钠、过氧化钾、次氯酸钙厂房</w:t>
            </w:r>
            <w:r>
              <w:rPr>
                <w:sz w:val="24"/>
              </w:rPr>
              <w:t xml:space="preserve"> </w:t>
            </w:r>
          </w:p>
        </w:tc>
      </w:tr>
      <w:tr w:rsidR="00A71EEF" w14:paraId="70F4554B" w14:textId="77777777">
        <w:trPr>
          <w:trHeight w:val="498"/>
        </w:trPr>
        <w:tc>
          <w:tcPr>
            <w:tcW w:w="1382" w:type="dxa"/>
          </w:tcPr>
          <w:p w14:paraId="1EDD9B5F" w14:textId="77777777" w:rsidR="00A71EEF" w:rsidRDefault="0081115D">
            <w:pPr>
              <w:pStyle w:val="TableParagraph"/>
              <w:spacing w:before="187"/>
              <w:ind w:right="450"/>
              <w:jc w:val="right"/>
              <w:rPr>
                <w:sz w:val="24"/>
              </w:rPr>
            </w:pPr>
            <w:r>
              <w:rPr>
                <w:sz w:val="21"/>
              </w:rPr>
              <w:t>15</w:t>
            </w:r>
            <w:r>
              <w:rPr>
                <w:sz w:val="24"/>
              </w:rPr>
              <w:t xml:space="preserve"> </w:t>
            </w:r>
          </w:p>
        </w:tc>
        <w:tc>
          <w:tcPr>
            <w:tcW w:w="6796" w:type="dxa"/>
          </w:tcPr>
          <w:p w14:paraId="369E461B" w14:textId="77777777" w:rsidR="00A71EEF" w:rsidRDefault="0081115D">
            <w:pPr>
              <w:pStyle w:val="TableParagraph"/>
              <w:spacing w:before="187"/>
              <w:ind w:left="706" w:right="571"/>
              <w:jc w:val="center"/>
              <w:rPr>
                <w:sz w:val="24"/>
              </w:rPr>
            </w:pPr>
            <w:r>
              <w:rPr>
                <w:sz w:val="21"/>
              </w:rPr>
              <w:t>可燃材料工棚</w:t>
            </w:r>
            <w:r>
              <w:rPr>
                <w:sz w:val="24"/>
              </w:rPr>
              <w:t xml:space="preserve"> </w:t>
            </w:r>
          </w:p>
        </w:tc>
      </w:tr>
      <w:tr w:rsidR="00A71EEF" w14:paraId="6EAD724D" w14:textId="77777777">
        <w:trPr>
          <w:trHeight w:val="501"/>
        </w:trPr>
        <w:tc>
          <w:tcPr>
            <w:tcW w:w="1382" w:type="dxa"/>
          </w:tcPr>
          <w:p w14:paraId="68791621" w14:textId="77777777" w:rsidR="00A71EEF" w:rsidRDefault="0081115D">
            <w:pPr>
              <w:pStyle w:val="TableParagraph"/>
              <w:spacing w:before="189"/>
              <w:ind w:right="450"/>
              <w:jc w:val="right"/>
              <w:rPr>
                <w:sz w:val="24"/>
              </w:rPr>
            </w:pPr>
            <w:r>
              <w:rPr>
                <w:sz w:val="21"/>
              </w:rPr>
              <w:t>16</w:t>
            </w:r>
            <w:r>
              <w:rPr>
                <w:sz w:val="24"/>
              </w:rPr>
              <w:t xml:space="preserve"> </w:t>
            </w:r>
          </w:p>
        </w:tc>
        <w:tc>
          <w:tcPr>
            <w:tcW w:w="6796" w:type="dxa"/>
          </w:tcPr>
          <w:p w14:paraId="0852E1CF" w14:textId="77777777" w:rsidR="00A71EEF" w:rsidRDefault="0081115D">
            <w:pPr>
              <w:pStyle w:val="TableParagraph"/>
              <w:spacing w:before="189"/>
              <w:ind w:left="706" w:right="574"/>
              <w:jc w:val="center"/>
              <w:rPr>
                <w:sz w:val="24"/>
              </w:rPr>
            </w:pPr>
            <w:r>
              <w:rPr>
                <w:sz w:val="21"/>
              </w:rPr>
              <w:t>可燃液体贮罐、桶装库房或堆场</w:t>
            </w:r>
            <w:r>
              <w:rPr>
                <w:sz w:val="24"/>
              </w:rPr>
              <w:t xml:space="preserve"> </w:t>
            </w:r>
          </w:p>
        </w:tc>
      </w:tr>
      <w:tr w:rsidR="00A71EEF" w14:paraId="08AF76BB" w14:textId="77777777">
        <w:trPr>
          <w:trHeight w:val="498"/>
        </w:trPr>
        <w:tc>
          <w:tcPr>
            <w:tcW w:w="1382" w:type="dxa"/>
          </w:tcPr>
          <w:p w14:paraId="0F06E558" w14:textId="77777777" w:rsidR="00A71EEF" w:rsidRDefault="0081115D">
            <w:pPr>
              <w:pStyle w:val="TableParagraph"/>
              <w:spacing w:before="187"/>
              <w:ind w:right="450"/>
              <w:jc w:val="right"/>
              <w:rPr>
                <w:sz w:val="24"/>
              </w:rPr>
            </w:pPr>
            <w:r>
              <w:rPr>
                <w:sz w:val="21"/>
              </w:rPr>
              <w:t>17</w:t>
            </w:r>
            <w:r>
              <w:rPr>
                <w:sz w:val="24"/>
              </w:rPr>
              <w:t xml:space="preserve"> </w:t>
            </w:r>
          </w:p>
        </w:tc>
        <w:tc>
          <w:tcPr>
            <w:tcW w:w="6796" w:type="dxa"/>
          </w:tcPr>
          <w:p w14:paraId="16990DB4" w14:textId="77777777" w:rsidR="00A71EEF" w:rsidRDefault="0081115D">
            <w:pPr>
              <w:pStyle w:val="TableParagraph"/>
              <w:spacing w:before="187"/>
              <w:ind w:left="706" w:right="574"/>
              <w:jc w:val="center"/>
              <w:rPr>
                <w:sz w:val="24"/>
              </w:rPr>
            </w:pPr>
            <w:r>
              <w:rPr>
                <w:sz w:val="21"/>
              </w:rPr>
              <w:t>柴油、机器油或变压器油灌桶间</w:t>
            </w:r>
            <w:r>
              <w:rPr>
                <w:sz w:val="24"/>
              </w:rPr>
              <w:t xml:space="preserve"> </w:t>
            </w:r>
          </w:p>
        </w:tc>
      </w:tr>
      <w:tr w:rsidR="00A71EEF" w14:paraId="4D3C268F" w14:textId="77777777">
        <w:trPr>
          <w:trHeight w:val="501"/>
        </w:trPr>
        <w:tc>
          <w:tcPr>
            <w:tcW w:w="1382" w:type="dxa"/>
          </w:tcPr>
          <w:p w14:paraId="4E6A8A39" w14:textId="77777777" w:rsidR="00A71EEF" w:rsidRDefault="0081115D">
            <w:pPr>
              <w:pStyle w:val="TableParagraph"/>
              <w:spacing w:before="189"/>
              <w:ind w:right="450"/>
              <w:jc w:val="right"/>
              <w:rPr>
                <w:sz w:val="24"/>
              </w:rPr>
            </w:pPr>
            <w:r>
              <w:rPr>
                <w:sz w:val="21"/>
              </w:rPr>
              <w:t>18</w:t>
            </w:r>
            <w:r>
              <w:rPr>
                <w:sz w:val="24"/>
              </w:rPr>
              <w:t xml:space="preserve"> </w:t>
            </w:r>
          </w:p>
        </w:tc>
        <w:tc>
          <w:tcPr>
            <w:tcW w:w="6796" w:type="dxa"/>
          </w:tcPr>
          <w:p w14:paraId="68457F93" w14:textId="77777777" w:rsidR="00A71EEF" w:rsidRDefault="0081115D">
            <w:pPr>
              <w:pStyle w:val="TableParagraph"/>
              <w:spacing w:before="189"/>
              <w:ind w:left="706" w:right="574"/>
              <w:jc w:val="center"/>
              <w:rPr>
                <w:sz w:val="24"/>
              </w:rPr>
            </w:pPr>
            <w:r>
              <w:rPr>
                <w:sz w:val="21"/>
              </w:rPr>
              <w:t>润滑油再生部位或沥青加工厂房</w:t>
            </w:r>
            <w:r>
              <w:rPr>
                <w:sz w:val="24"/>
              </w:rPr>
              <w:t xml:space="preserve"> </w:t>
            </w:r>
          </w:p>
        </w:tc>
      </w:tr>
      <w:tr w:rsidR="00A71EEF" w14:paraId="094B3DAF" w14:textId="77777777">
        <w:trPr>
          <w:trHeight w:val="500"/>
        </w:trPr>
        <w:tc>
          <w:tcPr>
            <w:tcW w:w="1382" w:type="dxa"/>
          </w:tcPr>
          <w:p w14:paraId="17A014F8" w14:textId="77777777" w:rsidR="00A71EEF" w:rsidRDefault="0081115D">
            <w:pPr>
              <w:pStyle w:val="TableParagraph"/>
              <w:spacing w:before="187"/>
              <w:ind w:right="450"/>
              <w:jc w:val="right"/>
              <w:rPr>
                <w:sz w:val="24"/>
              </w:rPr>
            </w:pPr>
            <w:r>
              <w:rPr>
                <w:sz w:val="21"/>
              </w:rPr>
              <w:t>19</w:t>
            </w:r>
            <w:r>
              <w:rPr>
                <w:sz w:val="24"/>
              </w:rPr>
              <w:t xml:space="preserve"> </w:t>
            </w:r>
          </w:p>
        </w:tc>
        <w:tc>
          <w:tcPr>
            <w:tcW w:w="6796" w:type="dxa"/>
          </w:tcPr>
          <w:p w14:paraId="73511979" w14:textId="77777777" w:rsidR="00A71EEF" w:rsidRDefault="0081115D">
            <w:pPr>
              <w:pStyle w:val="TableParagraph"/>
              <w:spacing w:before="187"/>
              <w:ind w:left="706" w:right="571"/>
              <w:jc w:val="center"/>
              <w:rPr>
                <w:sz w:val="24"/>
              </w:rPr>
            </w:pPr>
            <w:r>
              <w:rPr>
                <w:sz w:val="21"/>
              </w:rPr>
              <w:t>泡沫塑料厂的发泡、成型、印片、压花部位</w:t>
            </w:r>
            <w:r>
              <w:rPr>
                <w:sz w:val="24"/>
              </w:rPr>
              <w:t xml:space="preserve"> </w:t>
            </w:r>
          </w:p>
        </w:tc>
      </w:tr>
      <w:tr w:rsidR="00A71EEF" w14:paraId="26046CD3" w14:textId="77777777">
        <w:trPr>
          <w:trHeight w:val="498"/>
        </w:trPr>
        <w:tc>
          <w:tcPr>
            <w:tcW w:w="1382" w:type="dxa"/>
          </w:tcPr>
          <w:p w14:paraId="268A0677" w14:textId="77777777" w:rsidR="00A71EEF" w:rsidRDefault="0081115D">
            <w:pPr>
              <w:pStyle w:val="TableParagraph"/>
              <w:spacing w:before="187"/>
              <w:ind w:right="450"/>
              <w:jc w:val="right"/>
              <w:rPr>
                <w:sz w:val="24"/>
              </w:rPr>
            </w:pPr>
            <w:r>
              <w:rPr>
                <w:sz w:val="21"/>
              </w:rPr>
              <w:t>20</w:t>
            </w:r>
            <w:r>
              <w:rPr>
                <w:sz w:val="24"/>
              </w:rPr>
              <w:t xml:space="preserve"> </w:t>
            </w:r>
          </w:p>
        </w:tc>
        <w:tc>
          <w:tcPr>
            <w:tcW w:w="6796" w:type="dxa"/>
          </w:tcPr>
          <w:p w14:paraId="1826DD4C" w14:textId="77777777" w:rsidR="00A71EEF" w:rsidRDefault="0081115D">
            <w:pPr>
              <w:pStyle w:val="TableParagraph"/>
              <w:spacing w:before="187"/>
              <w:ind w:left="706" w:right="574"/>
              <w:jc w:val="center"/>
              <w:rPr>
                <w:sz w:val="24"/>
              </w:rPr>
            </w:pPr>
            <w:r>
              <w:rPr>
                <w:sz w:val="21"/>
              </w:rPr>
              <w:t>化学、人造纤维及其织物和棉、毛、丝、麻及其织物的库房</w:t>
            </w:r>
            <w:r>
              <w:rPr>
                <w:sz w:val="24"/>
              </w:rPr>
              <w:t xml:space="preserve"> </w:t>
            </w:r>
          </w:p>
        </w:tc>
      </w:tr>
      <w:tr w:rsidR="00A71EEF" w14:paraId="6A238E7F" w14:textId="77777777">
        <w:trPr>
          <w:trHeight w:val="501"/>
        </w:trPr>
        <w:tc>
          <w:tcPr>
            <w:tcW w:w="1382" w:type="dxa"/>
          </w:tcPr>
          <w:p w14:paraId="12CFA7AF" w14:textId="77777777" w:rsidR="00A71EEF" w:rsidRDefault="0081115D">
            <w:pPr>
              <w:pStyle w:val="TableParagraph"/>
              <w:spacing w:before="187"/>
              <w:ind w:right="450"/>
              <w:jc w:val="right"/>
              <w:rPr>
                <w:sz w:val="24"/>
              </w:rPr>
            </w:pPr>
            <w:r>
              <w:rPr>
                <w:sz w:val="21"/>
              </w:rPr>
              <w:t>21</w:t>
            </w:r>
            <w:r>
              <w:rPr>
                <w:sz w:val="24"/>
              </w:rPr>
              <w:t xml:space="preserve"> </w:t>
            </w:r>
          </w:p>
        </w:tc>
        <w:tc>
          <w:tcPr>
            <w:tcW w:w="6796" w:type="dxa"/>
          </w:tcPr>
          <w:p w14:paraId="43608D8F" w14:textId="77777777" w:rsidR="00A71EEF" w:rsidRDefault="0081115D">
            <w:pPr>
              <w:pStyle w:val="TableParagraph"/>
              <w:spacing w:before="187"/>
              <w:ind w:left="706" w:right="571"/>
              <w:jc w:val="center"/>
              <w:rPr>
                <w:sz w:val="24"/>
              </w:rPr>
            </w:pPr>
            <w:r>
              <w:rPr>
                <w:sz w:val="21"/>
              </w:rPr>
              <w:t>酚醛泡沫塑料的加工厂房</w:t>
            </w:r>
            <w:r>
              <w:rPr>
                <w:sz w:val="24"/>
              </w:rPr>
              <w:t xml:space="preserve"> </w:t>
            </w:r>
          </w:p>
        </w:tc>
      </w:tr>
      <w:tr w:rsidR="00A71EEF" w14:paraId="1F87E4A7" w14:textId="77777777">
        <w:trPr>
          <w:trHeight w:val="498"/>
        </w:trPr>
        <w:tc>
          <w:tcPr>
            <w:tcW w:w="1382" w:type="dxa"/>
          </w:tcPr>
          <w:p w14:paraId="711E9F63" w14:textId="77777777" w:rsidR="00A71EEF" w:rsidRDefault="0081115D">
            <w:pPr>
              <w:pStyle w:val="TableParagraph"/>
              <w:spacing w:before="187"/>
              <w:ind w:right="450"/>
              <w:jc w:val="right"/>
              <w:rPr>
                <w:sz w:val="24"/>
              </w:rPr>
            </w:pPr>
            <w:r>
              <w:rPr>
                <w:sz w:val="21"/>
              </w:rPr>
              <w:t>22</w:t>
            </w:r>
            <w:r>
              <w:rPr>
                <w:sz w:val="24"/>
              </w:rPr>
              <w:t xml:space="preserve"> </w:t>
            </w:r>
          </w:p>
        </w:tc>
        <w:tc>
          <w:tcPr>
            <w:tcW w:w="6796" w:type="dxa"/>
          </w:tcPr>
          <w:p w14:paraId="3ED57F78" w14:textId="77777777" w:rsidR="00A71EEF" w:rsidRDefault="0081115D">
            <w:pPr>
              <w:pStyle w:val="TableParagraph"/>
              <w:spacing w:before="187"/>
              <w:ind w:left="706" w:right="571"/>
              <w:jc w:val="center"/>
              <w:rPr>
                <w:sz w:val="24"/>
              </w:rPr>
            </w:pPr>
            <w:r>
              <w:rPr>
                <w:sz w:val="21"/>
              </w:rPr>
              <w:t>化纤厂后加工润湿部位；印染厂的漂炼部位</w:t>
            </w:r>
            <w:r>
              <w:rPr>
                <w:sz w:val="24"/>
              </w:rPr>
              <w:t xml:space="preserve"> </w:t>
            </w:r>
          </w:p>
        </w:tc>
      </w:tr>
      <w:tr w:rsidR="00A71EEF" w14:paraId="3EB6183D" w14:textId="77777777">
        <w:trPr>
          <w:trHeight w:val="501"/>
        </w:trPr>
        <w:tc>
          <w:tcPr>
            <w:tcW w:w="1382" w:type="dxa"/>
          </w:tcPr>
          <w:p w14:paraId="3B5BAE24" w14:textId="77777777" w:rsidR="00A71EEF" w:rsidRDefault="0081115D">
            <w:pPr>
              <w:pStyle w:val="TableParagraph"/>
              <w:spacing w:before="189"/>
              <w:ind w:right="450"/>
              <w:jc w:val="right"/>
              <w:rPr>
                <w:sz w:val="24"/>
              </w:rPr>
            </w:pPr>
            <w:r>
              <w:rPr>
                <w:sz w:val="21"/>
              </w:rPr>
              <w:t>23</w:t>
            </w:r>
            <w:r>
              <w:rPr>
                <w:sz w:val="24"/>
              </w:rPr>
              <w:t xml:space="preserve"> </w:t>
            </w:r>
          </w:p>
        </w:tc>
        <w:tc>
          <w:tcPr>
            <w:tcW w:w="6796" w:type="dxa"/>
          </w:tcPr>
          <w:p w14:paraId="47345BE4" w14:textId="77777777" w:rsidR="00A71EEF" w:rsidRDefault="0081115D">
            <w:pPr>
              <w:pStyle w:val="TableParagraph"/>
              <w:spacing w:before="189"/>
              <w:ind w:left="706" w:right="571"/>
              <w:jc w:val="center"/>
              <w:rPr>
                <w:sz w:val="24"/>
              </w:rPr>
            </w:pPr>
            <w:r>
              <w:rPr>
                <w:sz w:val="21"/>
              </w:rPr>
              <w:t>木工厂房和竹、藤加工厂房</w:t>
            </w:r>
            <w:r>
              <w:rPr>
                <w:sz w:val="24"/>
              </w:rPr>
              <w:t xml:space="preserve"> </w:t>
            </w:r>
          </w:p>
        </w:tc>
      </w:tr>
      <w:tr w:rsidR="00A71EEF" w14:paraId="52395275" w14:textId="77777777">
        <w:trPr>
          <w:trHeight w:val="501"/>
        </w:trPr>
        <w:tc>
          <w:tcPr>
            <w:tcW w:w="1382" w:type="dxa"/>
          </w:tcPr>
          <w:p w14:paraId="6ACCB0E7" w14:textId="77777777" w:rsidR="00A71EEF" w:rsidRDefault="0081115D">
            <w:pPr>
              <w:pStyle w:val="TableParagraph"/>
              <w:spacing w:before="187"/>
              <w:ind w:right="450"/>
              <w:jc w:val="right"/>
              <w:rPr>
                <w:sz w:val="24"/>
              </w:rPr>
            </w:pPr>
            <w:r>
              <w:rPr>
                <w:sz w:val="21"/>
              </w:rPr>
              <w:t>24</w:t>
            </w:r>
            <w:r>
              <w:rPr>
                <w:sz w:val="24"/>
              </w:rPr>
              <w:t xml:space="preserve"> </w:t>
            </w:r>
          </w:p>
        </w:tc>
        <w:tc>
          <w:tcPr>
            <w:tcW w:w="6796" w:type="dxa"/>
          </w:tcPr>
          <w:p w14:paraId="49AB7877" w14:textId="77777777" w:rsidR="00A71EEF" w:rsidRDefault="0081115D">
            <w:pPr>
              <w:pStyle w:val="TableParagraph"/>
              <w:spacing w:before="187"/>
              <w:ind w:left="706" w:right="571"/>
              <w:jc w:val="center"/>
              <w:rPr>
                <w:sz w:val="24"/>
              </w:rPr>
            </w:pPr>
            <w:r>
              <w:rPr>
                <w:sz w:val="21"/>
              </w:rPr>
              <w:t>纸张、竹、木及其制品的库房、堆场</w:t>
            </w:r>
            <w:r>
              <w:rPr>
                <w:sz w:val="24"/>
              </w:rPr>
              <w:t xml:space="preserve"> </w:t>
            </w:r>
          </w:p>
        </w:tc>
      </w:tr>
      <w:tr w:rsidR="00A71EEF" w14:paraId="11F74DDA" w14:textId="77777777">
        <w:trPr>
          <w:trHeight w:val="498"/>
        </w:trPr>
        <w:tc>
          <w:tcPr>
            <w:tcW w:w="1382" w:type="dxa"/>
          </w:tcPr>
          <w:p w14:paraId="7C1D3B8D" w14:textId="77777777" w:rsidR="00A71EEF" w:rsidRDefault="0081115D">
            <w:pPr>
              <w:pStyle w:val="TableParagraph"/>
              <w:spacing w:before="187"/>
              <w:ind w:right="450"/>
              <w:jc w:val="right"/>
              <w:rPr>
                <w:sz w:val="24"/>
              </w:rPr>
            </w:pPr>
            <w:r>
              <w:rPr>
                <w:sz w:val="21"/>
              </w:rPr>
              <w:t>25</w:t>
            </w:r>
            <w:r>
              <w:rPr>
                <w:sz w:val="24"/>
              </w:rPr>
              <w:t xml:space="preserve"> </w:t>
            </w:r>
          </w:p>
        </w:tc>
        <w:tc>
          <w:tcPr>
            <w:tcW w:w="6796" w:type="dxa"/>
          </w:tcPr>
          <w:p w14:paraId="08828364" w14:textId="77777777" w:rsidR="00A71EEF" w:rsidRDefault="0081115D">
            <w:pPr>
              <w:pStyle w:val="TableParagraph"/>
              <w:spacing w:before="187"/>
              <w:ind w:left="706" w:right="574"/>
              <w:jc w:val="center"/>
              <w:rPr>
                <w:sz w:val="24"/>
              </w:rPr>
            </w:pPr>
            <w:r>
              <w:rPr>
                <w:sz w:val="21"/>
              </w:rPr>
              <w:t>造纸厂或化纤厂的浆粕蒸煮工段</w:t>
            </w:r>
            <w:r>
              <w:rPr>
                <w:sz w:val="24"/>
              </w:rPr>
              <w:t xml:space="preserve"> </w:t>
            </w:r>
          </w:p>
        </w:tc>
      </w:tr>
      <w:tr w:rsidR="00A71EEF" w14:paraId="192200B0" w14:textId="77777777">
        <w:trPr>
          <w:trHeight w:val="501"/>
        </w:trPr>
        <w:tc>
          <w:tcPr>
            <w:tcW w:w="1382" w:type="dxa"/>
          </w:tcPr>
          <w:p w14:paraId="5772525A" w14:textId="77777777" w:rsidR="00A71EEF" w:rsidRDefault="0081115D">
            <w:pPr>
              <w:pStyle w:val="TableParagraph"/>
              <w:spacing w:before="187"/>
              <w:ind w:right="450"/>
              <w:jc w:val="right"/>
              <w:rPr>
                <w:sz w:val="24"/>
              </w:rPr>
            </w:pPr>
            <w:r>
              <w:rPr>
                <w:sz w:val="21"/>
              </w:rPr>
              <w:t>26</w:t>
            </w:r>
            <w:r>
              <w:rPr>
                <w:sz w:val="24"/>
              </w:rPr>
              <w:t xml:space="preserve"> </w:t>
            </w:r>
          </w:p>
        </w:tc>
        <w:tc>
          <w:tcPr>
            <w:tcW w:w="6796" w:type="dxa"/>
          </w:tcPr>
          <w:p w14:paraId="57CE1C56" w14:textId="77777777" w:rsidR="00A71EEF" w:rsidRDefault="0081115D">
            <w:pPr>
              <w:pStyle w:val="TableParagraph"/>
              <w:spacing w:before="187"/>
              <w:ind w:left="706" w:right="574"/>
              <w:jc w:val="center"/>
              <w:rPr>
                <w:sz w:val="24"/>
              </w:rPr>
            </w:pPr>
            <w:r>
              <w:rPr>
                <w:sz w:val="21"/>
              </w:rPr>
              <w:t>玻璃原料熔化厂房</w:t>
            </w:r>
            <w:r>
              <w:rPr>
                <w:sz w:val="24"/>
              </w:rPr>
              <w:t xml:space="preserve"> </w:t>
            </w:r>
          </w:p>
        </w:tc>
      </w:tr>
      <w:tr w:rsidR="00A71EEF" w14:paraId="7924E0E1" w14:textId="77777777">
        <w:trPr>
          <w:trHeight w:val="498"/>
        </w:trPr>
        <w:tc>
          <w:tcPr>
            <w:tcW w:w="1382" w:type="dxa"/>
          </w:tcPr>
          <w:p w14:paraId="48811390" w14:textId="77777777" w:rsidR="00A71EEF" w:rsidRDefault="0081115D">
            <w:pPr>
              <w:pStyle w:val="TableParagraph"/>
              <w:spacing w:before="187"/>
              <w:ind w:right="450"/>
              <w:jc w:val="right"/>
              <w:rPr>
                <w:sz w:val="24"/>
              </w:rPr>
            </w:pPr>
            <w:r>
              <w:rPr>
                <w:sz w:val="21"/>
              </w:rPr>
              <w:t>27</w:t>
            </w:r>
            <w:r>
              <w:rPr>
                <w:sz w:val="24"/>
              </w:rPr>
              <w:t xml:space="preserve"> </w:t>
            </w:r>
          </w:p>
        </w:tc>
        <w:tc>
          <w:tcPr>
            <w:tcW w:w="6796" w:type="dxa"/>
          </w:tcPr>
          <w:p w14:paraId="1AD85AEC" w14:textId="77777777" w:rsidR="00A71EEF" w:rsidRDefault="0081115D">
            <w:pPr>
              <w:pStyle w:val="TableParagraph"/>
              <w:spacing w:before="187"/>
              <w:ind w:left="706" w:right="571"/>
              <w:jc w:val="center"/>
              <w:rPr>
                <w:sz w:val="24"/>
              </w:rPr>
            </w:pPr>
            <w:r>
              <w:rPr>
                <w:sz w:val="21"/>
              </w:rPr>
              <w:t>陶瓷制品的烘干、烧成厂房</w:t>
            </w:r>
            <w:r>
              <w:rPr>
                <w:sz w:val="24"/>
              </w:rPr>
              <w:t xml:space="preserve"> </w:t>
            </w:r>
          </w:p>
        </w:tc>
      </w:tr>
      <w:tr w:rsidR="00A71EEF" w14:paraId="73FB0BB0" w14:textId="77777777">
        <w:trPr>
          <w:trHeight w:val="501"/>
        </w:trPr>
        <w:tc>
          <w:tcPr>
            <w:tcW w:w="1382" w:type="dxa"/>
          </w:tcPr>
          <w:p w14:paraId="16D40D14" w14:textId="77777777" w:rsidR="00A71EEF" w:rsidRDefault="0081115D">
            <w:pPr>
              <w:pStyle w:val="TableParagraph"/>
              <w:spacing w:before="189"/>
              <w:ind w:right="450"/>
              <w:jc w:val="right"/>
              <w:rPr>
                <w:sz w:val="24"/>
              </w:rPr>
            </w:pPr>
            <w:r>
              <w:rPr>
                <w:sz w:val="21"/>
              </w:rPr>
              <w:t>28</w:t>
            </w:r>
            <w:r>
              <w:rPr>
                <w:sz w:val="24"/>
              </w:rPr>
              <w:t xml:space="preserve"> </w:t>
            </w:r>
          </w:p>
        </w:tc>
        <w:tc>
          <w:tcPr>
            <w:tcW w:w="6796" w:type="dxa"/>
          </w:tcPr>
          <w:p w14:paraId="60067D20" w14:textId="77777777" w:rsidR="00A71EEF" w:rsidRDefault="0081115D">
            <w:pPr>
              <w:pStyle w:val="TableParagraph"/>
              <w:spacing w:before="189"/>
              <w:ind w:left="706" w:right="574"/>
              <w:jc w:val="center"/>
              <w:rPr>
                <w:sz w:val="24"/>
              </w:rPr>
            </w:pPr>
            <w:r>
              <w:rPr>
                <w:sz w:val="21"/>
              </w:rPr>
              <w:t>金属（镁合金除外）冷加工车间</w:t>
            </w:r>
            <w:r>
              <w:rPr>
                <w:sz w:val="24"/>
              </w:rPr>
              <w:t xml:space="preserve"> </w:t>
            </w:r>
          </w:p>
        </w:tc>
      </w:tr>
      <w:tr w:rsidR="00A71EEF" w14:paraId="4371C44B" w14:textId="77777777">
        <w:trPr>
          <w:trHeight w:val="498"/>
        </w:trPr>
        <w:tc>
          <w:tcPr>
            <w:tcW w:w="1382" w:type="dxa"/>
          </w:tcPr>
          <w:p w14:paraId="00FC61B1" w14:textId="77777777" w:rsidR="00A71EEF" w:rsidRDefault="0081115D">
            <w:pPr>
              <w:pStyle w:val="TableParagraph"/>
              <w:spacing w:before="187"/>
              <w:ind w:right="450"/>
              <w:jc w:val="right"/>
              <w:rPr>
                <w:sz w:val="24"/>
              </w:rPr>
            </w:pPr>
            <w:r>
              <w:rPr>
                <w:sz w:val="21"/>
              </w:rPr>
              <w:t>29</w:t>
            </w:r>
            <w:r>
              <w:rPr>
                <w:sz w:val="24"/>
              </w:rPr>
              <w:t xml:space="preserve"> </w:t>
            </w:r>
          </w:p>
        </w:tc>
        <w:tc>
          <w:tcPr>
            <w:tcW w:w="6796" w:type="dxa"/>
          </w:tcPr>
          <w:p w14:paraId="6D3C756D" w14:textId="77777777" w:rsidR="00A71EEF" w:rsidRDefault="0081115D">
            <w:pPr>
              <w:pStyle w:val="TableParagraph"/>
              <w:spacing w:before="187"/>
              <w:ind w:left="706" w:right="571"/>
              <w:jc w:val="center"/>
              <w:rPr>
                <w:sz w:val="24"/>
              </w:rPr>
            </w:pPr>
            <w:r>
              <w:rPr>
                <w:sz w:val="21"/>
              </w:rPr>
              <w:t>钢材库房、堆场</w:t>
            </w:r>
            <w:r>
              <w:rPr>
                <w:sz w:val="24"/>
              </w:rPr>
              <w:t xml:space="preserve"> </w:t>
            </w:r>
          </w:p>
        </w:tc>
      </w:tr>
      <w:tr w:rsidR="00A71EEF" w14:paraId="65E7E6AE" w14:textId="77777777">
        <w:trPr>
          <w:trHeight w:val="501"/>
        </w:trPr>
        <w:tc>
          <w:tcPr>
            <w:tcW w:w="1382" w:type="dxa"/>
          </w:tcPr>
          <w:p w14:paraId="7E8453A0" w14:textId="77777777" w:rsidR="00A71EEF" w:rsidRDefault="0081115D">
            <w:pPr>
              <w:pStyle w:val="TableParagraph"/>
              <w:spacing w:before="189"/>
              <w:ind w:right="450"/>
              <w:jc w:val="right"/>
              <w:rPr>
                <w:sz w:val="24"/>
              </w:rPr>
            </w:pPr>
            <w:r>
              <w:rPr>
                <w:sz w:val="21"/>
              </w:rPr>
              <w:t>30</w:t>
            </w:r>
            <w:r>
              <w:rPr>
                <w:sz w:val="24"/>
              </w:rPr>
              <w:t xml:space="preserve"> </w:t>
            </w:r>
          </w:p>
        </w:tc>
        <w:tc>
          <w:tcPr>
            <w:tcW w:w="6796" w:type="dxa"/>
          </w:tcPr>
          <w:p w14:paraId="35890DEC" w14:textId="77777777" w:rsidR="00A71EEF" w:rsidRDefault="0081115D">
            <w:pPr>
              <w:pStyle w:val="TableParagraph"/>
              <w:spacing w:before="189"/>
              <w:ind w:left="706" w:right="574"/>
              <w:jc w:val="center"/>
              <w:rPr>
                <w:sz w:val="24"/>
              </w:rPr>
            </w:pPr>
            <w:r>
              <w:rPr>
                <w:sz w:val="21"/>
              </w:rPr>
              <w:t>水泥库房</w:t>
            </w:r>
            <w:r>
              <w:rPr>
                <w:sz w:val="24"/>
              </w:rPr>
              <w:t xml:space="preserve"> </w:t>
            </w:r>
          </w:p>
        </w:tc>
      </w:tr>
      <w:tr w:rsidR="00A71EEF" w14:paraId="01776BB6" w14:textId="77777777">
        <w:trPr>
          <w:trHeight w:val="501"/>
        </w:trPr>
        <w:tc>
          <w:tcPr>
            <w:tcW w:w="1382" w:type="dxa"/>
          </w:tcPr>
          <w:p w14:paraId="0C899A26" w14:textId="77777777" w:rsidR="00A71EEF" w:rsidRDefault="0081115D">
            <w:pPr>
              <w:pStyle w:val="TableParagraph"/>
              <w:spacing w:before="187"/>
              <w:ind w:right="450"/>
              <w:jc w:val="right"/>
              <w:rPr>
                <w:sz w:val="24"/>
              </w:rPr>
            </w:pPr>
            <w:r>
              <w:rPr>
                <w:sz w:val="21"/>
              </w:rPr>
              <w:t>31</w:t>
            </w:r>
            <w:r>
              <w:rPr>
                <w:sz w:val="24"/>
              </w:rPr>
              <w:t xml:space="preserve"> </w:t>
            </w:r>
          </w:p>
        </w:tc>
        <w:tc>
          <w:tcPr>
            <w:tcW w:w="6796" w:type="dxa"/>
          </w:tcPr>
          <w:p w14:paraId="15EB5DBA" w14:textId="77777777" w:rsidR="00A71EEF" w:rsidRDefault="0081115D">
            <w:pPr>
              <w:pStyle w:val="TableParagraph"/>
              <w:spacing w:before="187"/>
              <w:ind w:left="706" w:right="574"/>
              <w:jc w:val="center"/>
              <w:rPr>
                <w:sz w:val="24"/>
              </w:rPr>
            </w:pPr>
            <w:r>
              <w:rPr>
                <w:sz w:val="21"/>
              </w:rPr>
              <w:t>搪瓷、陶瓷制品库房</w:t>
            </w:r>
            <w:r>
              <w:rPr>
                <w:sz w:val="24"/>
              </w:rPr>
              <w:t xml:space="preserve"> </w:t>
            </w:r>
          </w:p>
        </w:tc>
      </w:tr>
      <w:tr w:rsidR="00A71EEF" w14:paraId="3C9CEDAD" w14:textId="77777777">
        <w:trPr>
          <w:trHeight w:val="498"/>
        </w:trPr>
        <w:tc>
          <w:tcPr>
            <w:tcW w:w="1382" w:type="dxa"/>
          </w:tcPr>
          <w:p w14:paraId="5D6BCF00" w14:textId="77777777" w:rsidR="00A71EEF" w:rsidRDefault="0081115D">
            <w:pPr>
              <w:pStyle w:val="TableParagraph"/>
              <w:spacing w:before="187"/>
              <w:ind w:right="450"/>
              <w:jc w:val="right"/>
              <w:rPr>
                <w:sz w:val="24"/>
              </w:rPr>
            </w:pPr>
            <w:r>
              <w:rPr>
                <w:sz w:val="21"/>
              </w:rPr>
              <w:t>32</w:t>
            </w:r>
            <w:r>
              <w:rPr>
                <w:sz w:val="24"/>
              </w:rPr>
              <w:t xml:space="preserve"> </w:t>
            </w:r>
          </w:p>
        </w:tc>
        <w:tc>
          <w:tcPr>
            <w:tcW w:w="6796" w:type="dxa"/>
          </w:tcPr>
          <w:p w14:paraId="0BF12173" w14:textId="77777777" w:rsidR="00A71EEF" w:rsidRDefault="0081115D">
            <w:pPr>
              <w:pStyle w:val="TableParagraph"/>
              <w:spacing w:before="187"/>
              <w:ind w:left="706" w:right="571"/>
              <w:jc w:val="center"/>
              <w:rPr>
                <w:sz w:val="24"/>
              </w:rPr>
            </w:pPr>
            <w:r>
              <w:rPr>
                <w:sz w:val="21"/>
              </w:rPr>
              <w:t>难燃烧或非燃烧的建筑装饰材料库房</w:t>
            </w:r>
            <w:r>
              <w:rPr>
                <w:sz w:val="24"/>
              </w:rPr>
              <w:t xml:space="preserve"> </w:t>
            </w:r>
          </w:p>
        </w:tc>
      </w:tr>
      <w:tr w:rsidR="00A71EEF" w14:paraId="220D94B9" w14:textId="77777777">
        <w:trPr>
          <w:trHeight w:val="500"/>
        </w:trPr>
        <w:tc>
          <w:tcPr>
            <w:tcW w:w="1382" w:type="dxa"/>
          </w:tcPr>
          <w:p w14:paraId="6B56E8D3" w14:textId="77777777" w:rsidR="00A71EEF" w:rsidRDefault="0081115D">
            <w:pPr>
              <w:pStyle w:val="TableParagraph"/>
              <w:spacing w:before="187"/>
              <w:ind w:right="450"/>
              <w:jc w:val="right"/>
              <w:rPr>
                <w:sz w:val="24"/>
              </w:rPr>
            </w:pPr>
            <w:r>
              <w:rPr>
                <w:sz w:val="21"/>
              </w:rPr>
              <w:t>33</w:t>
            </w:r>
            <w:r>
              <w:rPr>
                <w:sz w:val="24"/>
              </w:rPr>
              <w:t xml:space="preserve"> </w:t>
            </w:r>
          </w:p>
        </w:tc>
        <w:tc>
          <w:tcPr>
            <w:tcW w:w="6796" w:type="dxa"/>
          </w:tcPr>
          <w:p w14:paraId="002EE4D6" w14:textId="77777777" w:rsidR="00A71EEF" w:rsidRDefault="0081115D">
            <w:pPr>
              <w:pStyle w:val="TableParagraph"/>
              <w:spacing w:before="187"/>
              <w:ind w:left="706" w:right="574"/>
              <w:jc w:val="center"/>
              <w:rPr>
                <w:sz w:val="24"/>
              </w:rPr>
            </w:pPr>
            <w:r>
              <w:rPr>
                <w:sz w:val="21"/>
              </w:rPr>
              <w:t>原木堆场</w:t>
            </w:r>
            <w:r>
              <w:rPr>
                <w:sz w:val="24"/>
              </w:rPr>
              <w:t xml:space="preserve"> </w:t>
            </w:r>
          </w:p>
        </w:tc>
      </w:tr>
    </w:tbl>
    <w:p w14:paraId="7E0F52C6" w14:textId="77777777" w:rsidR="00A71EEF" w:rsidRDefault="0081115D">
      <w:pPr>
        <w:spacing w:before="97"/>
        <w:ind w:left="3298"/>
        <w:rPr>
          <w:b/>
          <w:sz w:val="30"/>
        </w:rPr>
      </w:pPr>
      <w:r>
        <w:rPr>
          <w:b/>
          <w:w w:val="99"/>
          <w:sz w:val="30"/>
        </w:rPr>
        <w:t xml:space="preserve"> </w:t>
      </w:r>
    </w:p>
    <w:p w14:paraId="2CE76ECA" w14:textId="77777777" w:rsidR="00A71EEF" w:rsidRDefault="00A71EEF">
      <w:pPr>
        <w:rPr>
          <w:sz w:val="30"/>
        </w:rPr>
        <w:sectPr w:rsidR="00A71EEF">
          <w:footerReference w:type="default" r:id="rId211"/>
          <w:pgSz w:w="11910" w:h="16850"/>
          <w:pgMar w:top="1080" w:right="0" w:bottom="1420" w:left="1260" w:header="0" w:footer="1239" w:gutter="0"/>
          <w:pgNumType w:start="1110"/>
          <w:cols w:space="720"/>
        </w:sectPr>
      </w:pPr>
    </w:p>
    <w:p w14:paraId="459214C6" w14:textId="77777777" w:rsidR="00A71EEF" w:rsidRDefault="0081115D">
      <w:pPr>
        <w:spacing w:before="37"/>
        <w:ind w:left="3305"/>
        <w:rPr>
          <w:b/>
          <w:sz w:val="30"/>
        </w:rPr>
      </w:pPr>
      <w:bookmarkStart w:id="14" w:name="_bookmark14"/>
      <w:bookmarkEnd w:id="14"/>
      <w:r>
        <w:rPr>
          <w:b/>
          <w:sz w:val="30"/>
        </w:rPr>
        <w:t>气体灭火系统设计规范</w:t>
      </w:r>
      <w:r>
        <w:rPr>
          <w:b/>
          <w:w w:val="99"/>
          <w:sz w:val="30"/>
        </w:rPr>
        <w:t xml:space="preserve"> </w:t>
      </w:r>
    </w:p>
    <w:p w14:paraId="1033BE28" w14:textId="77777777" w:rsidR="00A71EEF" w:rsidRDefault="00A71EEF">
      <w:pPr>
        <w:pStyle w:val="a3"/>
        <w:rPr>
          <w:b/>
          <w:sz w:val="20"/>
        </w:rPr>
      </w:pPr>
    </w:p>
    <w:p w14:paraId="2C12D049" w14:textId="77777777" w:rsidR="00A71EEF" w:rsidRDefault="00A71EEF">
      <w:pPr>
        <w:pStyle w:val="a3"/>
        <w:spacing w:before="5"/>
        <w:rPr>
          <w:b/>
          <w:sz w:val="14"/>
        </w:rPr>
      </w:pPr>
    </w:p>
    <w:p w14:paraId="68CD4C7F" w14:textId="77777777" w:rsidR="00A71EEF" w:rsidRDefault="0081115D">
      <w:pPr>
        <w:spacing w:before="66"/>
        <w:ind w:left="418"/>
        <w:rPr>
          <w:b/>
          <w:sz w:val="24"/>
        </w:rPr>
      </w:pPr>
      <w:r>
        <w:rPr>
          <w:b/>
          <w:sz w:val="24"/>
        </w:rPr>
        <w:t xml:space="preserve">1 </w:t>
      </w:r>
      <w:r>
        <w:rPr>
          <w:b/>
          <w:sz w:val="24"/>
        </w:rPr>
        <w:t>总则</w:t>
      </w:r>
      <w:r>
        <w:rPr>
          <w:b/>
          <w:w w:val="99"/>
          <w:sz w:val="24"/>
        </w:rPr>
        <w:t xml:space="preserve"> </w:t>
      </w:r>
    </w:p>
    <w:p w14:paraId="26FC8505" w14:textId="77777777" w:rsidR="00A71EEF" w:rsidRDefault="00A71EEF">
      <w:pPr>
        <w:pStyle w:val="a3"/>
        <w:spacing w:before="4"/>
        <w:rPr>
          <w:b/>
          <w:sz w:val="17"/>
        </w:rPr>
      </w:pPr>
    </w:p>
    <w:p w14:paraId="4087E556" w14:textId="77777777" w:rsidR="00A71EEF" w:rsidRDefault="0081115D">
      <w:pPr>
        <w:pStyle w:val="a4"/>
        <w:numPr>
          <w:ilvl w:val="1"/>
          <w:numId w:val="636"/>
        </w:numPr>
        <w:tabs>
          <w:tab w:val="left" w:pos="1159"/>
        </w:tabs>
        <w:ind w:hanging="319"/>
        <w:rPr>
          <w:sz w:val="21"/>
        </w:rPr>
      </w:pPr>
      <w:r>
        <w:rPr>
          <w:spacing w:val="-3"/>
          <w:sz w:val="21"/>
        </w:rPr>
        <w:t>为合理设计气体灭火系统，减少火灾危害，保护人身和财产的安全，制定本规范。</w:t>
      </w:r>
      <w:r>
        <w:rPr>
          <w:sz w:val="21"/>
        </w:rPr>
        <w:t xml:space="preserve"> </w:t>
      </w:r>
    </w:p>
    <w:p w14:paraId="3875E9E3" w14:textId="77777777" w:rsidR="00A71EEF" w:rsidRDefault="00A71EEF">
      <w:pPr>
        <w:pStyle w:val="a3"/>
        <w:spacing w:before="12"/>
        <w:rPr>
          <w:sz w:val="17"/>
        </w:rPr>
      </w:pPr>
    </w:p>
    <w:p w14:paraId="1E9A748C" w14:textId="77777777" w:rsidR="00A71EEF" w:rsidRDefault="0081115D">
      <w:pPr>
        <w:pStyle w:val="a4"/>
        <w:numPr>
          <w:ilvl w:val="1"/>
          <w:numId w:val="636"/>
        </w:numPr>
        <w:tabs>
          <w:tab w:val="left" w:pos="1160"/>
        </w:tabs>
        <w:spacing w:line="446" w:lineRule="auto"/>
        <w:ind w:left="418" w:right="1431" w:firstLine="422"/>
        <w:rPr>
          <w:sz w:val="21"/>
        </w:rPr>
      </w:pPr>
      <w:r>
        <w:rPr>
          <w:spacing w:val="-3"/>
          <w:sz w:val="21"/>
        </w:rPr>
        <w:t>本规范适用于新建、改建、扩建的工业和民用建筑中设置的七氟丙烷、</w:t>
      </w:r>
      <w:r>
        <w:rPr>
          <w:sz w:val="21"/>
        </w:rPr>
        <w:t>IG541</w:t>
      </w:r>
      <w:r>
        <w:rPr>
          <w:spacing w:val="-11"/>
          <w:sz w:val="21"/>
        </w:rPr>
        <w:t xml:space="preserve"> </w:t>
      </w:r>
      <w:r>
        <w:rPr>
          <w:spacing w:val="-11"/>
          <w:sz w:val="21"/>
        </w:rPr>
        <w:t>混合气体</w:t>
      </w:r>
      <w:r>
        <w:rPr>
          <w:spacing w:val="-6"/>
          <w:sz w:val="21"/>
        </w:rPr>
        <w:t>和热气溶胶全淹没灭火系统的设计。</w:t>
      </w:r>
      <w:r>
        <w:rPr>
          <w:sz w:val="21"/>
        </w:rPr>
        <w:t xml:space="preserve"> </w:t>
      </w:r>
    </w:p>
    <w:p w14:paraId="2675D27D" w14:textId="77777777" w:rsidR="00A71EEF" w:rsidRDefault="0081115D">
      <w:pPr>
        <w:pStyle w:val="a4"/>
        <w:numPr>
          <w:ilvl w:val="1"/>
          <w:numId w:val="636"/>
        </w:numPr>
        <w:tabs>
          <w:tab w:val="left" w:pos="1159"/>
        </w:tabs>
        <w:spacing w:line="446" w:lineRule="auto"/>
        <w:ind w:left="418" w:right="1431" w:firstLine="422"/>
        <w:rPr>
          <w:sz w:val="21"/>
        </w:rPr>
      </w:pPr>
      <w:r>
        <w:rPr>
          <w:spacing w:val="-7"/>
          <w:sz w:val="21"/>
        </w:rPr>
        <w:t>气体灭火系统的设计，应遵循国家有关方针和政策，做到安全可靠，技术先进，经济合</w:t>
      </w:r>
      <w:r>
        <w:rPr>
          <w:spacing w:val="-5"/>
          <w:sz w:val="21"/>
        </w:rPr>
        <w:t>理。</w:t>
      </w:r>
      <w:r>
        <w:rPr>
          <w:sz w:val="21"/>
        </w:rPr>
        <w:t xml:space="preserve"> </w:t>
      </w:r>
    </w:p>
    <w:p w14:paraId="1118BEA9" w14:textId="77777777" w:rsidR="00A71EEF" w:rsidRDefault="0081115D">
      <w:pPr>
        <w:pStyle w:val="a4"/>
        <w:numPr>
          <w:ilvl w:val="1"/>
          <w:numId w:val="636"/>
        </w:numPr>
        <w:tabs>
          <w:tab w:val="left" w:pos="1160"/>
        </w:tabs>
        <w:spacing w:before="1"/>
        <w:ind w:left="1159" w:hanging="320"/>
        <w:rPr>
          <w:sz w:val="21"/>
        </w:rPr>
      </w:pPr>
      <w:r>
        <w:rPr>
          <w:spacing w:val="-3"/>
          <w:sz w:val="21"/>
        </w:rPr>
        <w:t>设计采用的系统产品及组件，必须符合国家有关标准和规定的要求。</w:t>
      </w:r>
      <w:r>
        <w:rPr>
          <w:sz w:val="21"/>
        </w:rPr>
        <w:t xml:space="preserve"> </w:t>
      </w:r>
    </w:p>
    <w:p w14:paraId="7D57042D" w14:textId="77777777" w:rsidR="00A71EEF" w:rsidRDefault="00A71EEF">
      <w:pPr>
        <w:pStyle w:val="a3"/>
        <w:spacing w:before="12"/>
        <w:rPr>
          <w:sz w:val="17"/>
        </w:rPr>
      </w:pPr>
    </w:p>
    <w:p w14:paraId="0E4827B0" w14:textId="77777777" w:rsidR="00A71EEF" w:rsidRDefault="0081115D">
      <w:pPr>
        <w:pStyle w:val="a4"/>
        <w:numPr>
          <w:ilvl w:val="1"/>
          <w:numId w:val="636"/>
        </w:numPr>
        <w:tabs>
          <w:tab w:val="left" w:pos="1160"/>
        </w:tabs>
        <w:ind w:left="1159" w:hanging="320"/>
        <w:rPr>
          <w:sz w:val="21"/>
        </w:rPr>
      </w:pPr>
      <w:r>
        <w:rPr>
          <w:spacing w:val="-3"/>
          <w:sz w:val="21"/>
        </w:rPr>
        <w:t>气体灭火系统设计，除应符合本规范外，还应符合国家现行有关标准的规定。</w:t>
      </w:r>
      <w:r>
        <w:rPr>
          <w:spacing w:val="-3"/>
          <w:sz w:val="21"/>
        </w:rPr>
        <w:t xml:space="preserve"> </w:t>
      </w:r>
    </w:p>
    <w:p w14:paraId="01274FCD" w14:textId="77777777" w:rsidR="00A71EEF" w:rsidRDefault="00A71EEF">
      <w:pPr>
        <w:pStyle w:val="a3"/>
        <w:spacing w:before="8"/>
        <w:rPr>
          <w:sz w:val="15"/>
        </w:rPr>
      </w:pPr>
    </w:p>
    <w:p w14:paraId="5C2D1C2D" w14:textId="77777777" w:rsidR="00A71EEF" w:rsidRDefault="0081115D">
      <w:pPr>
        <w:pStyle w:val="4"/>
      </w:pPr>
      <w:r>
        <w:t xml:space="preserve">2 </w:t>
      </w:r>
      <w:r>
        <w:t>术语和符号</w:t>
      </w:r>
      <w:r>
        <w:rPr>
          <w:w w:val="99"/>
        </w:rPr>
        <w:t xml:space="preserve"> </w:t>
      </w:r>
    </w:p>
    <w:p w14:paraId="499EC6BC" w14:textId="77777777" w:rsidR="00A71EEF" w:rsidRDefault="00A71EEF">
      <w:pPr>
        <w:pStyle w:val="a3"/>
        <w:spacing w:before="6"/>
        <w:rPr>
          <w:b/>
          <w:sz w:val="17"/>
        </w:rPr>
      </w:pPr>
    </w:p>
    <w:p w14:paraId="6B3AFE2D" w14:textId="77777777" w:rsidR="00A71EEF" w:rsidRDefault="0081115D">
      <w:pPr>
        <w:pStyle w:val="a4"/>
        <w:numPr>
          <w:ilvl w:val="1"/>
          <w:numId w:val="635"/>
        </w:numPr>
        <w:tabs>
          <w:tab w:val="left" w:pos="1159"/>
        </w:tabs>
        <w:ind w:hanging="319"/>
        <w:rPr>
          <w:b/>
          <w:sz w:val="21"/>
        </w:rPr>
      </w:pPr>
      <w:r>
        <w:rPr>
          <w:spacing w:val="-3"/>
          <w:sz w:val="21"/>
        </w:rPr>
        <w:t>术语</w:t>
      </w:r>
      <w:r>
        <w:rPr>
          <w:b/>
          <w:w w:val="99"/>
          <w:sz w:val="21"/>
        </w:rPr>
        <w:t xml:space="preserve"> </w:t>
      </w:r>
    </w:p>
    <w:p w14:paraId="5135E30E" w14:textId="77777777" w:rsidR="00A71EEF" w:rsidRDefault="00A71EEF">
      <w:pPr>
        <w:pStyle w:val="a3"/>
        <w:rPr>
          <w:b/>
          <w:sz w:val="18"/>
        </w:rPr>
      </w:pPr>
    </w:p>
    <w:p w14:paraId="1B5480B5" w14:textId="77777777" w:rsidR="00A71EEF" w:rsidRDefault="0081115D">
      <w:pPr>
        <w:pStyle w:val="a4"/>
        <w:numPr>
          <w:ilvl w:val="2"/>
          <w:numId w:val="635"/>
        </w:numPr>
        <w:tabs>
          <w:tab w:val="left" w:pos="1371"/>
        </w:tabs>
        <w:rPr>
          <w:sz w:val="21"/>
        </w:rPr>
      </w:pPr>
      <w:r>
        <w:rPr>
          <w:spacing w:val="-3"/>
          <w:sz w:val="21"/>
        </w:rPr>
        <w:t>防护区</w:t>
      </w:r>
      <w:r>
        <w:rPr>
          <w:spacing w:val="-3"/>
          <w:sz w:val="21"/>
        </w:rPr>
        <w:t xml:space="preserve"> </w:t>
      </w:r>
      <w:r>
        <w:rPr>
          <w:sz w:val="21"/>
        </w:rPr>
        <w:t>protected</w:t>
      </w:r>
      <w:r>
        <w:rPr>
          <w:spacing w:val="-2"/>
          <w:sz w:val="21"/>
        </w:rPr>
        <w:t xml:space="preserve"> </w:t>
      </w:r>
      <w:r>
        <w:rPr>
          <w:sz w:val="21"/>
        </w:rPr>
        <w:t xml:space="preserve">area </w:t>
      </w:r>
    </w:p>
    <w:p w14:paraId="13DA5375" w14:textId="77777777" w:rsidR="00A71EEF" w:rsidRDefault="00A71EEF">
      <w:pPr>
        <w:pStyle w:val="a3"/>
        <w:spacing w:before="12"/>
        <w:rPr>
          <w:sz w:val="17"/>
        </w:rPr>
      </w:pPr>
    </w:p>
    <w:p w14:paraId="39C06FB8" w14:textId="77777777" w:rsidR="00A71EEF" w:rsidRDefault="0081115D">
      <w:pPr>
        <w:pStyle w:val="a3"/>
        <w:ind w:left="838"/>
      </w:pPr>
      <w:r>
        <w:t>满足全淹没灭火系统要求的有限封闭空间。</w:t>
      </w:r>
      <w:r>
        <w:t xml:space="preserve"> </w:t>
      </w:r>
    </w:p>
    <w:p w14:paraId="268AB2DF" w14:textId="77777777" w:rsidR="00A71EEF" w:rsidRDefault="00A71EEF">
      <w:pPr>
        <w:pStyle w:val="a3"/>
        <w:spacing w:before="2"/>
        <w:rPr>
          <w:sz w:val="18"/>
        </w:rPr>
      </w:pPr>
    </w:p>
    <w:p w14:paraId="31FCE45D" w14:textId="77777777" w:rsidR="00A71EEF" w:rsidRDefault="0081115D">
      <w:pPr>
        <w:pStyle w:val="a4"/>
        <w:numPr>
          <w:ilvl w:val="2"/>
          <w:numId w:val="635"/>
        </w:numPr>
        <w:tabs>
          <w:tab w:val="left" w:pos="1371"/>
        </w:tabs>
        <w:rPr>
          <w:sz w:val="21"/>
        </w:rPr>
      </w:pPr>
      <w:r>
        <w:rPr>
          <w:spacing w:val="-3"/>
          <w:sz w:val="21"/>
        </w:rPr>
        <w:t>全淹没灭火系统</w:t>
      </w:r>
      <w:r>
        <w:rPr>
          <w:spacing w:val="-3"/>
          <w:sz w:val="21"/>
        </w:rPr>
        <w:t xml:space="preserve"> </w:t>
      </w:r>
      <w:r>
        <w:rPr>
          <w:sz w:val="21"/>
        </w:rPr>
        <w:t>total</w:t>
      </w:r>
      <w:r>
        <w:rPr>
          <w:spacing w:val="1"/>
          <w:sz w:val="21"/>
        </w:rPr>
        <w:t xml:space="preserve"> </w:t>
      </w:r>
      <w:r>
        <w:rPr>
          <w:sz w:val="21"/>
        </w:rPr>
        <w:t>flooding extinguishing</w:t>
      </w:r>
      <w:r>
        <w:rPr>
          <w:spacing w:val="1"/>
          <w:sz w:val="21"/>
        </w:rPr>
        <w:t xml:space="preserve"> </w:t>
      </w:r>
      <w:r>
        <w:rPr>
          <w:sz w:val="21"/>
        </w:rPr>
        <w:t xml:space="preserve">system </w:t>
      </w:r>
    </w:p>
    <w:p w14:paraId="4DD184F9" w14:textId="77777777" w:rsidR="00A71EEF" w:rsidRDefault="00A71EEF">
      <w:pPr>
        <w:pStyle w:val="a3"/>
        <w:rPr>
          <w:sz w:val="18"/>
        </w:rPr>
      </w:pPr>
    </w:p>
    <w:p w14:paraId="79E71F58" w14:textId="77777777" w:rsidR="00A71EEF" w:rsidRDefault="0081115D">
      <w:pPr>
        <w:pStyle w:val="a3"/>
        <w:spacing w:line="446" w:lineRule="auto"/>
        <w:ind w:left="418" w:right="1431" w:firstLine="419"/>
      </w:pPr>
      <w:r>
        <w:rPr>
          <w:spacing w:val="-6"/>
        </w:rPr>
        <w:t>在规定的时间内，向防护区喷放设计规定用量的灭火剂，并使其均匀地充满整个防护区的灭</w:t>
      </w:r>
      <w:r>
        <w:rPr>
          <w:spacing w:val="-5"/>
        </w:rPr>
        <w:t>火系统。</w:t>
      </w:r>
      <w:r>
        <w:t xml:space="preserve"> </w:t>
      </w:r>
    </w:p>
    <w:p w14:paraId="32AA5979" w14:textId="77777777" w:rsidR="00A71EEF" w:rsidRDefault="0081115D">
      <w:pPr>
        <w:pStyle w:val="a4"/>
        <w:numPr>
          <w:ilvl w:val="2"/>
          <w:numId w:val="635"/>
        </w:numPr>
        <w:tabs>
          <w:tab w:val="left" w:pos="1370"/>
        </w:tabs>
        <w:ind w:left="1369" w:hanging="530"/>
        <w:rPr>
          <w:sz w:val="21"/>
        </w:rPr>
      </w:pPr>
      <w:r>
        <w:rPr>
          <w:spacing w:val="-3"/>
          <w:sz w:val="21"/>
        </w:rPr>
        <w:t>管网灭火系统</w:t>
      </w:r>
      <w:r>
        <w:rPr>
          <w:spacing w:val="-3"/>
          <w:sz w:val="21"/>
        </w:rPr>
        <w:t xml:space="preserve"> </w:t>
      </w:r>
      <w:r>
        <w:rPr>
          <w:sz w:val="21"/>
        </w:rPr>
        <w:t>piping</w:t>
      </w:r>
      <w:r>
        <w:rPr>
          <w:spacing w:val="1"/>
          <w:sz w:val="21"/>
        </w:rPr>
        <w:t xml:space="preserve"> </w:t>
      </w:r>
      <w:r>
        <w:rPr>
          <w:sz w:val="21"/>
        </w:rPr>
        <w:t xml:space="preserve">extinguishing system </w:t>
      </w:r>
    </w:p>
    <w:p w14:paraId="4C373D04" w14:textId="77777777" w:rsidR="00A71EEF" w:rsidRDefault="00A71EEF">
      <w:pPr>
        <w:pStyle w:val="a3"/>
        <w:spacing w:before="12"/>
        <w:rPr>
          <w:sz w:val="17"/>
        </w:rPr>
      </w:pPr>
    </w:p>
    <w:p w14:paraId="7E2C95EB" w14:textId="77777777" w:rsidR="00A71EEF" w:rsidRDefault="0081115D">
      <w:pPr>
        <w:pStyle w:val="a3"/>
        <w:spacing w:line="446" w:lineRule="auto"/>
        <w:ind w:left="418" w:right="1410" w:firstLine="419"/>
      </w:pPr>
      <w:r>
        <w:t>按一定的应用条件进行设计计算，将灭火剂从储存装置经由干管支管输送至喷放组件实施喷放的灭火系统。</w:t>
      </w:r>
      <w:r>
        <w:t xml:space="preserve"> </w:t>
      </w:r>
    </w:p>
    <w:p w14:paraId="0F8065EA" w14:textId="77777777" w:rsidR="00A71EEF" w:rsidRDefault="0081115D">
      <w:pPr>
        <w:pStyle w:val="a4"/>
        <w:numPr>
          <w:ilvl w:val="2"/>
          <w:numId w:val="635"/>
        </w:numPr>
        <w:tabs>
          <w:tab w:val="left" w:pos="1370"/>
        </w:tabs>
        <w:spacing w:before="1"/>
        <w:ind w:left="1369" w:hanging="530"/>
        <w:rPr>
          <w:sz w:val="21"/>
        </w:rPr>
      </w:pPr>
      <w:r>
        <w:rPr>
          <w:spacing w:val="-3"/>
          <w:sz w:val="21"/>
        </w:rPr>
        <w:t>预制灭火系统</w:t>
      </w:r>
      <w:r>
        <w:rPr>
          <w:spacing w:val="-3"/>
          <w:sz w:val="21"/>
        </w:rPr>
        <w:t xml:space="preserve"> </w:t>
      </w:r>
      <w:r>
        <w:rPr>
          <w:sz w:val="21"/>
        </w:rPr>
        <w:t>pre-engineered</w:t>
      </w:r>
      <w:r>
        <w:rPr>
          <w:spacing w:val="1"/>
          <w:sz w:val="21"/>
        </w:rPr>
        <w:t xml:space="preserve"> </w:t>
      </w:r>
      <w:r>
        <w:rPr>
          <w:sz w:val="21"/>
        </w:rPr>
        <w:t xml:space="preserve">systems </w:t>
      </w:r>
    </w:p>
    <w:p w14:paraId="4BD27A21" w14:textId="77777777" w:rsidR="00A71EEF" w:rsidRDefault="00A71EEF">
      <w:pPr>
        <w:pStyle w:val="a3"/>
        <w:spacing w:before="12"/>
        <w:rPr>
          <w:sz w:val="17"/>
        </w:rPr>
      </w:pPr>
    </w:p>
    <w:p w14:paraId="64A41FB3" w14:textId="77777777" w:rsidR="00A71EEF" w:rsidRDefault="0081115D">
      <w:pPr>
        <w:pStyle w:val="a3"/>
        <w:spacing w:line="446" w:lineRule="auto"/>
        <w:ind w:left="418" w:right="1431" w:firstLine="419"/>
      </w:pPr>
      <w:r>
        <w:rPr>
          <w:spacing w:val="-6"/>
        </w:rPr>
        <w:t>按一定的应用条件，将灭火剂储存装置和喷放组件等预先设计、组装成套且具有联动控制功</w:t>
      </w:r>
      <w:r>
        <w:rPr>
          <w:spacing w:val="-4"/>
        </w:rPr>
        <w:t>能的灭火系统。</w:t>
      </w:r>
      <w:r>
        <w:t xml:space="preserve"> </w:t>
      </w:r>
    </w:p>
    <w:p w14:paraId="0760FC75" w14:textId="77777777" w:rsidR="00A71EEF" w:rsidRDefault="0081115D">
      <w:pPr>
        <w:pStyle w:val="a4"/>
        <w:numPr>
          <w:ilvl w:val="2"/>
          <w:numId w:val="635"/>
        </w:numPr>
        <w:tabs>
          <w:tab w:val="left" w:pos="1371"/>
        </w:tabs>
        <w:rPr>
          <w:sz w:val="21"/>
        </w:rPr>
      </w:pPr>
      <w:r>
        <w:rPr>
          <w:spacing w:val="-3"/>
          <w:sz w:val="21"/>
        </w:rPr>
        <w:t>组合分配系统</w:t>
      </w:r>
      <w:r>
        <w:rPr>
          <w:spacing w:val="-3"/>
          <w:sz w:val="21"/>
        </w:rPr>
        <w:t xml:space="preserve"> </w:t>
      </w:r>
      <w:r>
        <w:rPr>
          <w:sz w:val="21"/>
        </w:rPr>
        <w:t>combined</w:t>
      </w:r>
      <w:r>
        <w:rPr>
          <w:spacing w:val="1"/>
          <w:sz w:val="21"/>
        </w:rPr>
        <w:t xml:space="preserve"> </w:t>
      </w:r>
      <w:r>
        <w:rPr>
          <w:sz w:val="21"/>
        </w:rPr>
        <w:t>distribution</w:t>
      </w:r>
      <w:r>
        <w:rPr>
          <w:spacing w:val="-3"/>
          <w:sz w:val="21"/>
        </w:rPr>
        <w:t xml:space="preserve"> </w:t>
      </w:r>
      <w:r>
        <w:rPr>
          <w:sz w:val="21"/>
        </w:rPr>
        <w:t xml:space="preserve">systems </w:t>
      </w:r>
    </w:p>
    <w:p w14:paraId="2EC1D398" w14:textId="77777777" w:rsidR="00A71EEF" w:rsidRDefault="00A71EEF">
      <w:pPr>
        <w:pStyle w:val="a3"/>
        <w:spacing w:before="12"/>
        <w:rPr>
          <w:sz w:val="17"/>
        </w:rPr>
      </w:pPr>
    </w:p>
    <w:p w14:paraId="5CDF45CF" w14:textId="77777777" w:rsidR="00A71EEF" w:rsidRDefault="0081115D">
      <w:pPr>
        <w:pStyle w:val="a3"/>
        <w:spacing w:line="446" w:lineRule="auto"/>
        <w:ind w:left="840" w:right="1330" w:hanging="3"/>
      </w:pPr>
      <w:r>
        <w:t>用一套气体灭火剂储存装置通过管网的选择分配，保护两个或两个以上防护区的灭火系统。</w:t>
      </w:r>
      <w:r>
        <w:rPr>
          <w:b/>
        </w:rPr>
        <w:t xml:space="preserve">2.1.6 </w:t>
      </w:r>
      <w:r>
        <w:t>灭火浓度</w:t>
      </w:r>
      <w:r>
        <w:t xml:space="preserve"> flame extinguishing concentration </w:t>
      </w:r>
    </w:p>
    <w:p w14:paraId="7C85FCFF" w14:textId="77777777" w:rsidR="00A71EEF" w:rsidRDefault="0081115D">
      <w:pPr>
        <w:pStyle w:val="a3"/>
        <w:spacing w:line="446" w:lineRule="auto"/>
        <w:ind w:left="418" w:right="1431" w:firstLine="419"/>
      </w:pPr>
      <w:r>
        <w:rPr>
          <w:spacing w:val="-21"/>
        </w:rPr>
        <w:t>在</w:t>
      </w:r>
      <w:r>
        <w:rPr>
          <w:spacing w:val="-21"/>
        </w:rPr>
        <w:t xml:space="preserve"> </w:t>
      </w:r>
      <w:r>
        <w:t>101 kPa</w:t>
      </w:r>
      <w:r>
        <w:rPr>
          <w:spacing w:val="-8"/>
        </w:rPr>
        <w:t xml:space="preserve"> </w:t>
      </w:r>
      <w:r>
        <w:rPr>
          <w:spacing w:val="-8"/>
        </w:rPr>
        <w:t>大气压和规定的温度条件下，扑灭某种火灾所需气体灭火剂在空气中的最小体积</w:t>
      </w:r>
      <w:r>
        <w:rPr>
          <w:spacing w:val="-6"/>
        </w:rPr>
        <w:t>百分比。</w:t>
      </w:r>
      <w:r>
        <w:t xml:space="preserve"> </w:t>
      </w:r>
    </w:p>
    <w:p w14:paraId="3B47CAEF" w14:textId="77777777" w:rsidR="00A71EEF" w:rsidRDefault="00A71EEF">
      <w:pPr>
        <w:spacing w:line="446" w:lineRule="auto"/>
        <w:sectPr w:rsidR="00A71EEF">
          <w:pgSz w:w="11910" w:h="16850"/>
          <w:pgMar w:top="1140" w:right="0" w:bottom="1420" w:left="1260" w:header="0" w:footer="1239" w:gutter="0"/>
          <w:cols w:space="720"/>
        </w:sectPr>
      </w:pPr>
    </w:p>
    <w:p w14:paraId="4C40F5E2" w14:textId="77777777" w:rsidR="00A71EEF" w:rsidRDefault="0081115D">
      <w:pPr>
        <w:pStyle w:val="a4"/>
        <w:numPr>
          <w:ilvl w:val="2"/>
          <w:numId w:val="634"/>
        </w:numPr>
        <w:tabs>
          <w:tab w:val="left" w:pos="1370"/>
        </w:tabs>
        <w:spacing w:before="47"/>
        <w:ind w:hanging="530"/>
        <w:rPr>
          <w:sz w:val="21"/>
        </w:rPr>
      </w:pPr>
      <w:r>
        <w:rPr>
          <w:spacing w:val="-3"/>
          <w:sz w:val="21"/>
        </w:rPr>
        <w:t>灭火密度</w:t>
      </w:r>
      <w:r>
        <w:rPr>
          <w:spacing w:val="-3"/>
          <w:sz w:val="21"/>
        </w:rPr>
        <w:t xml:space="preserve"> </w:t>
      </w:r>
      <w:r>
        <w:rPr>
          <w:sz w:val="21"/>
        </w:rPr>
        <w:t>flame</w:t>
      </w:r>
      <w:r>
        <w:rPr>
          <w:spacing w:val="-2"/>
          <w:sz w:val="21"/>
        </w:rPr>
        <w:t xml:space="preserve"> </w:t>
      </w:r>
      <w:r>
        <w:rPr>
          <w:sz w:val="21"/>
        </w:rPr>
        <w:t xml:space="preserve">extinguishing density </w:t>
      </w:r>
    </w:p>
    <w:p w14:paraId="7325CEBE" w14:textId="77777777" w:rsidR="00A71EEF" w:rsidRDefault="00A71EEF">
      <w:pPr>
        <w:pStyle w:val="a3"/>
        <w:rPr>
          <w:sz w:val="18"/>
        </w:rPr>
      </w:pPr>
    </w:p>
    <w:p w14:paraId="0C794198" w14:textId="77777777" w:rsidR="00A71EEF" w:rsidRDefault="0081115D">
      <w:pPr>
        <w:pStyle w:val="a3"/>
        <w:spacing w:line="446" w:lineRule="auto"/>
        <w:ind w:left="418" w:right="1431" w:firstLine="419"/>
      </w:pPr>
      <w:r>
        <w:rPr>
          <w:spacing w:val="-21"/>
        </w:rPr>
        <w:t>在</w:t>
      </w:r>
      <w:r>
        <w:rPr>
          <w:spacing w:val="-21"/>
        </w:rPr>
        <w:t xml:space="preserve"> </w:t>
      </w:r>
      <w:r>
        <w:t>101 kPa</w:t>
      </w:r>
      <w:r>
        <w:rPr>
          <w:spacing w:val="-8"/>
        </w:rPr>
        <w:t xml:space="preserve"> </w:t>
      </w:r>
      <w:r>
        <w:rPr>
          <w:spacing w:val="-8"/>
        </w:rPr>
        <w:t>大气压和规定的温度条件下，扑灭单位容积内某种火灾所需固体热气溶胶发生剂</w:t>
      </w:r>
      <w:r>
        <w:rPr>
          <w:spacing w:val="-6"/>
        </w:rPr>
        <w:t>的质量。</w:t>
      </w:r>
      <w:r>
        <w:t xml:space="preserve"> </w:t>
      </w:r>
    </w:p>
    <w:p w14:paraId="22D60D5B" w14:textId="77777777" w:rsidR="00A71EEF" w:rsidRDefault="0081115D">
      <w:pPr>
        <w:pStyle w:val="a4"/>
        <w:numPr>
          <w:ilvl w:val="2"/>
          <w:numId w:val="634"/>
        </w:numPr>
        <w:tabs>
          <w:tab w:val="left" w:pos="1371"/>
        </w:tabs>
        <w:ind w:left="1370" w:hanging="531"/>
        <w:rPr>
          <w:sz w:val="21"/>
        </w:rPr>
      </w:pPr>
      <w:r>
        <w:rPr>
          <w:spacing w:val="-3"/>
          <w:sz w:val="21"/>
        </w:rPr>
        <w:t>惰化浓度</w:t>
      </w:r>
      <w:r>
        <w:rPr>
          <w:spacing w:val="-3"/>
          <w:sz w:val="21"/>
        </w:rPr>
        <w:t xml:space="preserve"> </w:t>
      </w:r>
      <w:r>
        <w:rPr>
          <w:sz w:val="21"/>
        </w:rPr>
        <w:t>inerting</w:t>
      </w:r>
      <w:r>
        <w:rPr>
          <w:spacing w:val="1"/>
          <w:sz w:val="21"/>
        </w:rPr>
        <w:t xml:space="preserve"> </w:t>
      </w:r>
      <w:r>
        <w:rPr>
          <w:sz w:val="21"/>
        </w:rPr>
        <w:t>c</w:t>
      </w:r>
      <w:r>
        <w:rPr>
          <w:sz w:val="21"/>
        </w:rPr>
        <w:t xml:space="preserve">oncentration </w:t>
      </w:r>
    </w:p>
    <w:p w14:paraId="08CB2B30" w14:textId="77777777" w:rsidR="00A71EEF" w:rsidRDefault="00A71EEF">
      <w:pPr>
        <w:pStyle w:val="a3"/>
        <w:spacing w:before="12"/>
        <w:rPr>
          <w:sz w:val="17"/>
        </w:rPr>
      </w:pPr>
    </w:p>
    <w:p w14:paraId="75447CB8" w14:textId="77777777" w:rsidR="00A71EEF" w:rsidRDefault="0081115D">
      <w:pPr>
        <w:pStyle w:val="a3"/>
        <w:spacing w:line="446" w:lineRule="auto"/>
        <w:ind w:left="418" w:right="1431" w:firstLine="419"/>
      </w:pPr>
      <w:r>
        <w:rPr>
          <w:spacing w:val="-8"/>
        </w:rPr>
        <w:t>有火源引入时，在</w:t>
      </w:r>
      <w:r>
        <w:rPr>
          <w:spacing w:val="-8"/>
        </w:rPr>
        <w:t xml:space="preserve"> </w:t>
      </w:r>
      <w:r>
        <w:t>101 kPa</w:t>
      </w:r>
      <w:r>
        <w:rPr>
          <w:spacing w:val="-8"/>
        </w:rPr>
        <w:t xml:space="preserve"> </w:t>
      </w:r>
      <w:r>
        <w:rPr>
          <w:spacing w:val="-8"/>
        </w:rPr>
        <w:t>大气压和规定的温度条件下，能抑制空气中任意浓度的易燃可燃</w:t>
      </w:r>
      <w:r>
        <w:rPr>
          <w:spacing w:val="-5"/>
        </w:rPr>
        <w:t>气体或易燃可燃液体蒸气的燃烧发生所需的气体灭火剂在空气中的最小体积百分比。</w:t>
      </w:r>
      <w:r>
        <w:t xml:space="preserve"> </w:t>
      </w:r>
    </w:p>
    <w:p w14:paraId="5F718618" w14:textId="77777777" w:rsidR="00A71EEF" w:rsidRDefault="0081115D">
      <w:pPr>
        <w:pStyle w:val="a4"/>
        <w:numPr>
          <w:ilvl w:val="2"/>
          <w:numId w:val="634"/>
        </w:numPr>
        <w:tabs>
          <w:tab w:val="left" w:pos="1371"/>
        </w:tabs>
        <w:ind w:left="1370" w:hanging="531"/>
        <w:rPr>
          <w:sz w:val="21"/>
        </w:rPr>
      </w:pPr>
      <w:r>
        <w:rPr>
          <w:spacing w:val="-3"/>
          <w:sz w:val="21"/>
        </w:rPr>
        <w:t>浸渍时间</w:t>
      </w:r>
      <w:r>
        <w:rPr>
          <w:spacing w:val="-3"/>
          <w:sz w:val="21"/>
        </w:rPr>
        <w:t xml:space="preserve"> </w:t>
      </w:r>
      <w:r>
        <w:rPr>
          <w:sz w:val="21"/>
        </w:rPr>
        <w:t>soaking</w:t>
      </w:r>
      <w:r>
        <w:rPr>
          <w:spacing w:val="-2"/>
          <w:sz w:val="21"/>
        </w:rPr>
        <w:t xml:space="preserve"> </w:t>
      </w:r>
      <w:r>
        <w:rPr>
          <w:sz w:val="21"/>
        </w:rPr>
        <w:t xml:space="preserve">time </w:t>
      </w:r>
    </w:p>
    <w:p w14:paraId="21322C40" w14:textId="77777777" w:rsidR="00A71EEF" w:rsidRDefault="00A71EEF">
      <w:pPr>
        <w:pStyle w:val="a3"/>
        <w:rPr>
          <w:sz w:val="18"/>
        </w:rPr>
      </w:pPr>
    </w:p>
    <w:p w14:paraId="1CD84B73" w14:textId="77777777" w:rsidR="00A71EEF" w:rsidRDefault="0081115D">
      <w:pPr>
        <w:pStyle w:val="a3"/>
        <w:spacing w:line="446" w:lineRule="auto"/>
        <w:ind w:left="840" w:right="3186" w:hanging="3"/>
      </w:pPr>
      <w:r>
        <w:t>在防护区内维持设计规定的灭火剂浓度，使火灾完全熄灭所需的时间。</w:t>
      </w:r>
      <w:r>
        <w:rPr>
          <w:b/>
        </w:rPr>
        <w:t xml:space="preserve">2.1.10 </w:t>
      </w:r>
      <w:r>
        <w:t>泄压口</w:t>
      </w:r>
      <w:r>
        <w:t xml:space="preserve"> pressure relief opening </w:t>
      </w:r>
    </w:p>
    <w:p w14:paraId="30D33719" w14:textId="77777777" w:rsidR="00A71EEF" w:rsidRDefault="0081115D">
      <w:pPr>
        <w:pStyle w:val="a3"/>
        <w:spacing w:line="446" w:lineRule="auto"/>
        <w:ind w:left="840" w:right="3606" w:hanging="3"/>
      </w:pPr>
      <w:r>
        <w:t>灭火剂喷放时，防止防护区内压超过允许压强，泄放压力的开口。</w:t>
      </w:r>
      <w:r>
        <w:rPr>
          <w:b/>
        </w:rPr>
        <w:t xml:space="preserve">2.1.11 </w:t>
      </w:r>
      <w:r>
        <w:t>过程中点</w:t>
      </w:r>
      <w:r>
        <w:t xml:space="preserve"> course middle point </w:t>
      </w:r>
    </w:p>
    <w:p w14:paraId="31F57607" w14:textId="77777777" w:rsidR="00A71EEF" w:rsidRDefault="0081115D">
      <w:pPr>
        <w:pStyle w:val="a3"/>
        <w:spacing w:line="446" w:lineRule="auto"/>
        <w:ind w:left="838" w:right="3968"/>
      </w:pPr>
      <w:r>
        <w:t>喷放过程中，当灭火剂喷出量为设计用量</w:t>
      </w:r>
      <w:r>
        <w:t xml:space="preserve"> 50%</w:t>
      </w:r>
      <w:r>
        <w:t>时的系统状态。</w:t>
      </w:r>
      <w:r>
        <w:rPr>
          <w:b/>
        </w:rPr>
        <w:t xml:space="preserve">2.1.12 </w:t>
      </w:r>
      <w:r>
        <w:t>无毒性反应浓度（</w:t>
      </w:r>
      <w:r>
        <w:t xml:space="preserve">NOAEL </w:t>
      </w:r>
      <w:r>
        <w:t>浓度）</w:t>
      </w:r>
      <w:r>
        <w:t xml:space="preserve"> NOAEL concentration </w:t>
      </w:r>
      <w:r>
        <w:t>观察不到由灭火剂毒性影响产生生理反应的灭火剂最大浓度。</w:t>
      </w:r>
      <w:r>
        <w:rPr>
          <w:b/>
        </w:rPr>
        <w:t xml:space="preserve">2.1.13 </w:t>
      </w:r>
      <w:r>
        <w:t>有毒性反应浓度（</w:t>
      </w:r>
      <w:r>
        <w:t xml:space="preserve">LOAEL </w:t>
      </w:r>
      <w:r>
        <w:t>浓度）</w:t>
      </w:r>
      <w:r>
        <w:t xml:space="preserve"> LOAEL concentration </w:t>
      </w:r>
      <w:r>
        <w:t>能观察到由灭火剂毒性影响产生生理反应的灭火剂最小浓度。</w:t>
      </w:r>
      <w:r>
        <w:rPr>
          <w:b/>
        </w:rPr>
        <w:t xml:space="preserve">2.1.14 </w:t>
      </w:r>
      <w:r>
        <w:t>热气溶胶</w:t>
      </w:r>
      <w:r>
        <w:t xml:space="preserve"> condensed fire extinguishing aerosol </w:t>
      </w:r>
    </w:p>
    <w:p w14:paraId="30BDAA02" w14:textId="77777777" w:rsidR="00A71EEF" w:rsidRDefault="0081115D">
      <w:pPr>
        <w:pStyle w:val="a3"/>
        <w:spacing w:line="446" w:lineRule="auto"/>
        <w:ind w:left="418" w:right="1433" w:firstLine="419"/>
      </w:pPr>
      <w:r>
        <w:rPr>
          <w:spacing w:val="-5"/>
        </w:rPr>
        <w:t>由固体化学混合物</w:t>
      </w:r>
      <w:r>
        <w:t>（</w:t>
      </w:r>
      <w:r>
        <w:rPr>
          <w:spacing w:val="-3"/>
        </w:rPr>
        <w:t>热气溶胶发生剂</w:t>
      </w:r>
      <w:r>
        <w:rPr>
          <w:spacing w:val="-13"/>
        </w:rPr>
        <w:t>）</w:t>
      </w:r>
      <w:r>
        <w:rPr>
          <w:spacing w:val="-6"/>
        </w:rPr>
        <w:t>经化学反应生成的具有灭火性质的气溶胶，包括</w:t>
      </w:r>
      <w:r>
        <w:rPr>
          <w:spacing w:val="-6"/>
        </w:rPr>
        <w:t xml:space="preserve"> </w:t>
      </w:r>
      <w:r>
        <w:t>S</w:t>
      </w:r>
      <w:r>
        <w:rPr>
          <w:spacing w:val="-18"/>
        </w:rPr>
        <w:t xml:space="preserve"> </w:t>
      </w:r>
      <w:r>
        <w:rPr>
          <w:spacing w:val="-18"/>
        </w:rPr>
        <w:t>型</w:t>
      </w:r>
      <w:r>
        <w:rPr>
          <w:spacing w:val="-9"/>
        </w:rPr>
        <w:t>热气溶胶、</w:t>
      </w:r>
      <w:r>
        <w:t>K</w:t>
      </w:r>
      <w:r>
        <w:rPr>
          <w:spacing w:val="-9"/>
        </w:rPr>
        <w:t xml:space="preserve"> </w:t>
      </w:r>
      <w:r>
        <w:rPr>
          <w:spacing w:val="-9"/>
        </w:rPr>
        <w:t>型热气溶胶和其他型热气溶胶。</w:t>
      </w:r>
      <w:r>
        <w:t xml:space="preserve"> </w:t>
      </w:r>
    </w:p>
    <w:p w14:paraId="772FE2CB" w14:textId="77777777" w:rsidR="00A71EEF" w:rsidRDefault="0081115D">
      <w:pPr>
        <w:pStyle w:val="a4"/>
        <w:numPr>
          <w:ilvl w:val="1"/>
          <w:numId w:val="635"/>
        </w:numPr>
        <w:tabs>
          <w:tab w:val="left" w:pos="1160"/>
        </w:tabs>
        <w:ind w:left="1159" w:hanging="320"/>
        <w:rPr>
          <w:sz w:val="21"/>
        </w:rPr>
      </w:pPr>
      <w:r>
        <w:rPr>
          <w:spacing w:val="-3"/>
          <w:sz w:val="21"/>
        </w:rPr>
        <w:t>符号</w:t>
      </w:r>
      <w:r>
        <w:rPr>
          <w:sz w:val="21"/>
        </w:rPr>
        <w:t xml:space="preserve"> </w:t>
      </w:r>
    </w:p>
    <w:p w14:paraId="031C7E4F" w14:textId="77777777" w:rsidR="00A71EEF" w:rsidRDefault="00A71EEF">
      <w:pPr>
        <w:pStyle w:val="a3"/>
        <w:spacing w:before="10"/>
        <w:rPr>
          <w:sz w:val="16"/>
        </w:rPr>
      </w:pPr>
    </w:p>
    <w:p w14:paraId="77265A36" w14:textId="77777777" w:rsidR="00A71EEF" w:rsidRDefault="0081115D">
      <w:pPr>
        <w:pStyle w:val="a3"/>
        <w:spacing w:before="1" w:line="427" w:lineRule="auto"/>
        <w:ind w:left="838" w:right="5917"/>
      </w:pPr>
      <w:r>
        <w:rPr>
          <w:i/>
          <w:position w:val="1"/>
          <w:sz w:val="22"/>
        </w:rPr>
        <w:t>C</w:t>
      </w:r>
      <w:r>
        <w:rPr>
          <w:sz w:val="11"/>
        </w:rPr>
        <w:t>1</w:t>
      </w:r>
      <w:r>
        <w:rPr>
          <w:position w:val="1"/>
        </w:rPr>
        <w:t>——</w:t>
      </w:r>
      <w:r>
        <w:rPr>
          <w:position w:val="1"/>
        </w:rPr>
        <w:t>灭火设计浓度或惰化设计浓度；</w:t>
      </w:r>
      <w:r>
        <w:rPr>
          <w:position w:val="1"/>
        </w:rPr>
        <w:t xml:space="preserve"> </w:t>
      </w:r>
      <w:r>
        <w:rPr>
          <w:i/>
          <w:position w:val="1"/>
          <w:sz w:val="22"/>
        </w:rPr>
        <w:t>C</w:t>
      </w:r>
      <w:r>
        <w:rPr>
          <w:sz w:val="11"/>
        </w:rPr>
        <w:t>2</w:t>
      </w:r>
      <w:r>
        <w:rPr>
          <w:position w:val="1"/>
        </w:rPr>
        <w:t>——</w:t>
      </w:r>
      <w:r>
        <w:rPr>
          <w:position w:val="1"/>
        </w:rPr>
        <w:t>灭火设计灭火密度；</w:t>
      </w:r>
      <w:r>
        <w:rPr>
          <w:position w:val="1"/>
        </w:rPr>
        <w:t xml:space="preserve"> </w:t>
      </w:r>
    </w:p>
    <w:p w14:paraId="155FCEB2" w14:textId="77777777" w:rsidR="00A71EEF" w:rsidRDefault="0081115D">
      <w:pPr>
        <w:pStyle w:val="a3"/>
        <w:spacing w:line="280" w:lineRule="exact"/>
        <w:ind w:left="838"/>
      </w:pPr>
      <w:r>
        <w:rPr>
          <w:i/>
          <w:sz w:val="22"/>
        </w:rPr>
        <w:t xml:space="preserve">D </w:t>
      </w:r>
      <w:r>
        <w:t>——</w:t>
      </w:r>
      <w:r>
        <w:t>管道内径；</w:t>
      </w:r>
      <w:r>
        <w:t xml:space="preserve"> </w:t>
      </w:r>
    </w:p>
    <w:p w14:paraId="17893DA3" w14:textId="77777777" w:rsidR="00A71EEF" w:rsidRDefault="00A71EEF">
      <w:pPr>
        <w:pStyle w:val="a3"/>
        <w:spacing w:before="11"/>
        <w:rPr>
          <w:sz w:val="16"/>
        </w:rPr>
      </w:pPr>
    </w:p>
    <w:p w14:paraId="070E47D2" w14:textId="77777777" w:rsidR="00A71EEF" w:rsidRDefault="0081115D">
      <w:pPr>
        <w:pStyle w:val="a3"/>
        <w:spacing w:before="1" w:line="427" w:lineRule="auto"/>
        <w:ind w:left="838" w:right="7228"/>
        <w:jc w:val="both"/>
      </w:pPr>
      <w:r>
        <w:rPr>
          <w:i/>
          <w:position w:val="1"/>
          <w:sz w:val="22"/>
        </w:rPr>
        <w:t>F</w:t>
      </w:r>
      <w:r>
        <w:rPr>
          <w:sz w:val="11"/>
        </w:rPr>
        <w:t>C</w:t>
      </w:r>
      <w:r>
        <w:rPr>
          <w:position w:val="1"/>
        </w:rPr>
        <w:t>——</w:t>
      </w:r>
      <w:r>
        <w:rPr>
          <w:position w:val="1"/>
        </w:rPr>
        <w:t>喷头等效孔口面积；</w:t>
      </w:r>
      <w:r>
        <w:rPr>
          <w:position w:val="1"/>
        </w:rPr>
        <w:t xml:space="preserve"> </w:t>
      </w:r>
      <w:r>
        <w:rPr>
          <w:i/>
          <w:position w:val="1"/>
          <w:sz w:val="22"/>
        </w:rPr>
        <w:t>F</w:t>
      </w:r>
      <w:r>
        <w:rPr>
          <w:sz w:val="11"/>
        </w:rPr>
        <w:t>K</w:t>
      </w:r>
      <w:r>
        <w:rPr>
          <w:position w:val="1"/>
        </w:rPr>
        <w:t>——</w:t>
      </w:r>
      <w:r>
        <w:rPr>
          <w:position w:val="1"/>
        </w:rPr>
        <w:t>减压孔板孔口面积；</w:t>
      </w:r>
      <w:r>
        <w:rPr>
          <w:position w:val="1"/>
        </w:rPr>
        <w:t xml:space="preserve"> </w:t>
      </w:r>
      <w:r>
        <w:rPr>
          <w:i/>
          <w:position w:val="1"/>
          <w:sz w:val="22"/>
        </w:rPr>
        <w:t>F</w:t>
      </w:r>
      <w:r>
        <w:rPr>
          <w:sz w:val="11"/>
        </w:rPr>
        <w:t>x</w:t>
      </w:r>
      <w:r>
        <w:rPr>
          <w:position w:val="1"/>
        </w:rPr>
        <w:t>——</w:t>
      </w:r>
      <w:r>
        <w:rPr>
          <w:position w:val="1"/>
        </w:rPr>
        <w:t>泄压口面积；</w:t>
      </w:r>
      <w:r>
        <w:rPr>
          <w:position w:val="1"/>
        </w:rPr>
        <w:t xml:space="preserve"> </w:t>
      </w:r>
    </w:p>
    <w:p w14:paraId="49E60035" w14:textId="77777777" w:rsidR="00A71EEF" w:rsidRDefault="0081115D">
      <w:pPr>
        <w:pStyle w:val="a3"/>
        <w:spacing w:line="277" w:lineRule="exact"/>
        <w:ind w:left="838"/>
      </w:pPr>
      <w:r>
        <w:rPr>
          <w:i/>
          <w:sz w:val="22"/>
        </w:rPr>
        <w:t xml:space="preserve">g </w:t>
      </w:r>
      <w:r>
        <w:t>——</w:t>
      </w:r>
      <w:r>
        <w:t>重力加速度；</w:t>
      </w:r>
      <w:r>
        <w:t xml:space="preserve"> </w:t>
      </w:r>
    </w:p>
    <w:p w14:paraId="17A2BE95" w14:textId="77777777" w:rsidR="00A71EEF" w:rsidRDefault="00A71EEF">
      <w:pPr>
        <w:pStyle w:val="a3"/>
        <w:spacing w:before="1"/>
        <w:rPr>
          <w:sz w:val="17"/>
        </w:rPr>
      </w:pPr>
    </w:p>
    <w:p w14:paraId="59761EFD" w14:textId="77777777" w:rsidR="00A71EEF" w:rsidRDefault="0081115D">
      <w:pPr>
        <w:pStyle w:val="a3"/>
        <w:spacing w:before="1"/>
        <w:ind w:left="838"/>
      </w:pPr>
      <w:r>
        <w:rPr>
          <w:i/>
          <w:sz w:val="22"/>
        </w:rPr>
        <w:t xml:space="preserve">H </w:t>
      </w:r>
      <w:r>
        <w:t>——</w:t>
      </w:r>
      <w:r>
        <w:t>过程中点时</w:t>
      </w:r>
      <w:r>
        <w:t>,</w:t>
      </w:r>
      <w:r>
        <w:t>喷头高度相对储存容器内液面的位差；</w:t>
      </w:r>
      <w:r>
        <w:t xml:space="preserve"> </w:t>
      </w:r>
    </w:p>
    <w:p w14:paraId="238FA6FB" w14:textId="77777777" w:rsidR="00A71EEF" w:rsidRDefault="00A71EEF">
      <w:pPr>
        <w:sectPr w:rsidR="00A71EEF">
          <w:pgSz w:w="11910" w:h="16850"/>
          <w:pgMar w:top="1220" w:right="0" w:bottom="1420" w:left="1260" w:header="0" w:footer="1239" w:gutter="0"/>
          <w:cols w:space="720"/>
        </w:sectPr>
      </w:pPr>
    </w:p>
    <w:p w14:paraId="5905A135" w14:textId="77777777" w:rsidR="00A71EEF" w:rsidRDefault="0081115D">
      <w:pPr>
        <w:pStyle w:val="a3"/>
        <w:spacing w:before="57" w:line="424" w:lineRule="auto"/>
        <w:ind w:left="838" w:right="7127"/>
      </w:pPr>
      <w:r>
        <w:rPr>
          <w:i/>
          <w:sz w:val="22"/>
        </w:rPr>
        <w:t xml:space="preserve">K </w:t>
      </w:r>
      <w:r>
        <w:t>——</w:t>
      </w:r>
      <w:r>
        <w:t>海拔高度修正系数；</w:t>
      </w:r>
      <w:r>
        <w:t xml:space="preserve"> </w:t>
      </w:r>
      <w:r>
        <w:rPr>
          <w:i/>
          <w:position w:val="1"/>
          <w:sz w:val="22"/>
        </w:rPr>
        <w:t>K</w:t>
      </w:r>
      <w:r>
        <w:rPr>
          <w:sz w:val="11"/>
        </w:rPr>
        <w:t>v</w:t>
      </w:r>
      <w:r>
        <w:rPr>
          <w:position w:val="1"/>
        </w:rPr>
        <w:t>——</w:t>
      </w:r>
      <w:r>
        <w:rPr>
          <w:position w:val="1"/>
        </w:rPr>
        <w:t>容积修正系数；</w:t>
      </w:r>
      <w:r>
        <w:rPr>
          <w:position w:val="1"/>
        </w:rPr>
        <w:t xml:space="preserve"> </w:t>
      </w:r>
    </w:p>
    <w:p w14:paraId="480646AB" w14:textId="77777777" w:rsidR="00A71EEF" w:rsidRDefault="0081115D">
      <w:pPr>
        <w:pStyle w:val="a3"/>
        <w:spacing w:before="1" w:line="427" w:lineRule="auto"/>
        <w:ind w:left="838" w:right="7427"/>
      </w:pPr>
      <w:r>
        <w:rPr>
          <w:i/>
          <w:sz w:val="22"/>
        </w:rPr>
        <w:t>L</w:t>
      </w:r>
      <w:r>
        <w:rPr>
          <w:i/>
          <w:spacing w:val="54"/>
          <w:sz w:val="22"/>
        </w:rPr>
        <w:t xml:space="preserve">  </w:t>
      </w:r>
      <w:r>
        <w:rPr>
          <w:spacing w:val="-3"/>
        </w:rPr>
        <w:t>——</w:t>
      </w:r>
      <w:r>
        <w:rPr>
          <w:spacing w:val="-3"/>
        </w:rPr>
        <w:t>管道计算长度；</w:t>
      </w:r>
      <w:r>
        <w:rPr>
          <w:spacing w:val="-3"/>
        </w:rPr>
        <w:t xml:space="preserve"> </w:t>
      </w:r>
      <w:r>
        <w:rPr>
          <w:i/>
          <w:sz w:val="22"/>
        </w:rPr>
        <w:t>n</w:t>
      </w:r>
      <w:r>
        <w:rPr>
          <w:i/>
          <w:spacing w:val="-3"/>
          <w:sz w:val="22"/>
        </w:rPr>
        <w:t xml:space="preserve"> </w:t>
      </w:r>
      <w:r>
        <w:rPr>
          <w:spacing w:val="-3"/>
        </w:rPr>
        <w:t>——</w:t>
      </w:r>
      <w:r>
        <w:rPr>
          <w:spacing w:val="-3"/>
        </w:rPr>
        <w:t>储存容器的数量；</w:t>
      </w:r>
      <w:r>
        <w:t xml:space="preserve"> </w:t>
      </w:r>
    </w:p>
    <w:p w14:paraId="33D1F4D9" w14:textId="77777777" w:rsidR="00A71EEF" w:rsidRDefault="0081115D">
      <w:pPr>
        <w:pStyle w:val="a3"/>
        <w:spacing w:line="279" w:lineRule="exact"/>
        <w:ind w:left="838"/>
      </w:pPr>
      <w:r>
        <w:rPr>
          <w:i/>
          <w:position w:val="1"/>
          <w:sz w:val="22"/>
        </w:rPr>
        <w:t>N</w:t>
      </w:r>
      <w:r>
        <w:rPr>
          <w:sz w:val="11"/>
        </w:rPr>
        <w:t>d</w:t>
      </w:r>
      <w:r>
        <w:rPr>
          <w:position w:val="1"/>
        </w:rPr>
        <w:t>——</w:t>
      </w:r>
      <w:r>
        <w:rPr>
          <w:position w:val="1"/>
        </w:rPr>
        <w:t>流程中计算管段的数量；</w:t>
      </w:r>
      <w:r>
        <w:rPr>
          <w:position w:val="1"/>
        </w:rPr>
        <w:t xml:space="preserve"> </w:t>
      </w:r>
    </w:p>
    <w:p w14:paraId="18AB03CC" w14:textId="77777777" w:rsidR="00A71EEF" w:rsidRDefault="00A71EEF">
      <w:pPr>
        <w:pStyle w:val="a3"/>
        <w:rPr>
          <w:sz w:val="17"/>
        </w:rPr>
      </w:pPr>
    </w:p>
    <w:p w14:paraId="73BD7037" w14:textId="77777777" w:rsidR="00A71EEF" w:rsidRDefault="0081115D">
      <w:pPr>
        <w:pStyle w:val="a3"/>
        <w:spacing w:line="427" w:lineRule="auto"/>
        <w:ind w:left="838" w:right="5709"/>
      </w:pPr>
      <w:r>
        <w:rPr>
          <w:i/>
          <w:position w:val="1"/>
          <w:sz w:val="22"/>
        </w:rPr>
        <w:t>N</w:t>
      </w:r>
      <w:r>
        <w:rPr>
          <w:sz w:val="11"/>
        </w:rPr>
        <w:t>g</w:t>
      </w:r>
      <w:r>
        <w:rPr>
          <w:position w:val="1"/>
        </w:rPr>
        <w:t>——</w:t>
      </w:r>
      <w:r>
        <w:rPr>
          <w:position w:val="1"/>
        </w:rPr>
        <w:t>安装在计算支管下游的喷头数量；</w:t>
      </w:r>
      <w:r>
        <w:rPr>
          <w:position w:val="1"/>
        </w:rPr>
        <w:t xml:space="preserve"> </w:t>
      </w:r>
      <w:r>
        <w:rPr>
          <w:i/>
          <w:position w:val="1"/>
          <w:sz w:val="22"/>
        </w:rPr>
        <w:t>P</w:t>
      </w:r>
      <w:r>
        <w:rPr>
          <w:sz w:val="11"/>
        </w:rPr>
        <w:t>o</w:t>
      </w:r>
      <w:r>
        <w:rPr>
          <w:position w:val="1"/>
        </w:rPr>
        <w:t>——</w:t>
      </w:r>
      <w:r>
        <w:rPr>
          <w:position w:val="1"/>
        </w:rPr>
        <w:t>灭火剂储存容器充压</w:t>
      </w:r>
      <w:r>
        <w:rPr>
          <w:position w:val="1"/>
        </w:rPr>
        <w:t>(</w:t>
      </w:r>
      <w:r>
        <w:rPr>
          <w:position w:val="1"/>
        </w:rPr>
        <w:t>或增压</w:t>
      </w:r>
      <w:r>
        <w:rPr>
          <w:position w:val="1"/>
        </w:rPr>
        <w:t>)</w:t>
      </w:r>
      <w:r>
        <w:rPr>
          <w:position w:val="1"/>
        </w:rPr>
        <w:t>压力；</w:t>
      </w:r>
      <w:r>
        <w:rPr>
          <w:position w:val="1"/>
        </w:rPr>
        <w:t xml:space="preserve"> </w:t>
      </w:r>
      <w:r>
        <w:rPr>
          <w:i/>
          <w:position w:val="1"/>
          <w:sz w:val="22"/>
        </w:rPr>
        <w:t>P</w:t>
      </w:r>
      <w:r>
        <w:rPr>
          <w:sz w:val="11"/>
        </w:rPr>
        <w:t>1</w:t>
      </w:r>
      <w:r>
        <w:rPr>
          <w:position w:val="1"/>
        </w:rPr>
        <w:t>——</w:t>
      </w:r>
      <w:r>
        <w:rPr>
          <w:position w:val="1"/>
        </w:rPr>
        <w:t>减压孔板前压力；</w:t>
      </w:r>
      <w:r>
        <w:rPr>
          <w:position w:val="1"/>
        </w:rPr>
        <w:t xml:space="preserve"> </w:t>
      </w:r>
    </w:p>
    <w:p w14:paraId="4586D648" w14:textId="77777777" w:rsidR="00A71EEF" w:rsidRDefault="0081115D">
      <w:pPr>
        <w:pStyle w:val="a3"/>
        <w:spacing w:line="427" w:lineRule="auto"/>
        <w:ind w:left="838" w:right="7127"/>
      </w:pPr>
      <w:r>
        <w:rPr>
          <w:i/>
          <w:position w:val="1"/>
          <w:sz w:val="22"/>
        </w:rPr>
        <w:t>P</w:t>
      </w:r>
      <w:r>
        <w:rPr>
          <w:sz w:val="11"/>
        </w:rPr>
        <w:t>2</w:t>
      </w:r>
      <w:r>
        <w:rPr>
          <w:position w:val="1"/>
        </w:rPr>
        <w:t>——</w:t>
      </w:r>
      <w:r>
        <w:rPr>
          <w:position w:val="1"/>
        </w:rPr>
        <w:t>减压孔板后压力；</w:t>
      </w:r>
      <w:r>
        <w:rPr>
          <w:position w:val="1"/>
        </w:rPr>
        <w:t xml:space="preserve"> </w:t>
      </w:r>
      <w:r>
        <w:rPr>
          <w:i/>
          <w:position w:val="1"/>
          <w:sz w:val="22"/>
        </w:rPr>
        <w:t>P</w:t>
      </w:r>
      <w:r>
        <w:rPr>
          <w:sz w:val="11"/>
        </w:rPr>
        <w:t>c</w:t>
      </w:r>
      <w:r>
        <w:rPr>
          <w:position w:val="1"/>
        </w:rPr>
        <w:t>——</w:t>
      </w:r>
      <w:r>
        <w:rPr>
          <w:position w:val="1"/>
        </w:rPr>
        <w:t>喷头工作压力；</w:t>
      </w:r>
      <w:r>
        <w:rPr>
          <w:position w:val="1"/>
        </w:rPr>
        <w:t xml:space="preserve"> </w:t>
      </w:r>
    </w:p>
    <w:p w14:paraId="60D75C00" w14:textId="77777777" w:rsidR="00A71EEF" w:rsidRDefault="0081115D">
      <w:pPr>
        <w:pStyle w:val="a3"/>
        <w:spacing w:line="424" w:lineRule="auto"/>
        <w:ind w:left="838" w:right="5917"/>
      </w:pPr>
      <w:r>
        <w:rPr>
          <w:i/>
          <w:position w:val="1"/>
          <w:sz w:val="22"/>
        </w:rPr>
        <w:t>P</w:t>
      </w:r>
      <w:r>
        <w:rPr>
          <w:sz w:val="11"/>
        </w:rPr>
        <w:t>f</w:t>
      </w:r>
      <w:r>
        <w:rPr>
          <w:position w:val="1"/>
        </w:rPr>
        <w:t>——</w:t>
      </w:r>
      <w:r>
        <w:rPr>
          <w:position w:val="1"/>
        </w:rPr>
        <w:t>围护结构承受内压的允许压强；</w:t>
      </w:r>
      <w:r>
        <w:rPr>
          <w:position w:val="1"/>
        </w:rPr>
        <w:t xml:space="preserve"> </w:t>
      </w:r>
      <w:r>
        <w:rPr>
          <w:i/>
          <w:position w:val="1"/>
          <w:sz w:val="22"/>
        </w:rPr>
        <w:t>P</w:t>
      </w:r>
      <w:r>
        <w:rPr>
          <w:sz w:val="11"/>
        </w:rPr>
        <w:t>h</w:t>
      </w:r>
      <w:r>
        <w:rPr>
          <w:position w:val="1"/>
        </w:rPr>
        <w:t>——</w:t>
      </w:r>
      <w:r>
        <w:rPr>
          <w:position w:val="1"/>
        </w:rPr>
        <w:t>高程压头；</w:t>
      </w:r>
      <w:r>
        <w:rPr>
          <w:position w:val="1"/>
        </w:rPr>
        <w:t xml:space="preserve"> </w:t>
      </w:r>
    </w:p>
    <w:p w14:paraId="40F14FA8" w14:textId="77777777" w:rsidR="00A71EEF" w:rsidRDefault="0081115D">
      <w:pPr>
        <w:pStyle w:val="a3"/>
        <w:spacing w:line="424" w:lineRule="auto"/>
        <w:ind w:left="838" w:right="6435"/>
      </w:pPr>
      <w:r>
        <w:rPr>
          <w:i/>
          <w:position w:val="1"/>
          <w:sz w:val="22"/>
        </w:rPr>
        <w:t>P</w:t>
      </w:r>
      <w:r>
        <w:rPr>
          <w:sz w:val="11"/>
        </w:rPr>
        <w:t>m</w:t>
      </w:r>
      <w:r>
        <w:rPr>
          <w:spacing w:val="-3"/>
          <w:position w:val="1"/>
        </w:rPr>
        <w:t>——</w:t>
      </w:r>
      <w:r>
        <w:rPr>
          <w:spacing w:val="-3"/>
          <w:position w:val="1"/>
        </w:rPr>
        <w:t>过程中点时储存容器内压力；</w:t>
      </w:r>
      <w:r>
        <w:rPr>
          <w:spacing w:val="-3"/>
          <w:position w:val="1"/>
        </w:rPr>
        <w:t xml:space="preserve"> </w:t>
      </w:r>
      <w:r>
        <w:rPr>
          <w:i/>
          <w:sz w:val="22"/>
        </w:rPr>
        <w:t>Q</w:t>
      </w:r>
      <w:r>
        <w:rPr>
          <w:i/>
          <w:spacing w:val="-5"/>
          <w:sz w:val="22"/>
        </w:rPr>
        <w:t xml:space="preserve"> </w:t>
      </w:r>
      <w:r>
        <w:rPr>
          <w:spacing w:val="-3"/>
        </w:rPr>
        <w:t>——</w:t>
      </w:r>
      <w:r>
        <w:rPr>
          <w:spacing w:val="-3"/>
        </w:rPr>
        <w:t>管道设计流量；</w:t>
      </w:r>
      <w:r>
        <w:t xml:space="preserve"> </w:t>
      </w:r>
    </w:p>
    <w:p w14:paraId="0489A9D7" w14:textId="77777777" w:rsidR="00A71EEF" w:rsidRDefault="0081115D">
      <w:pPr>
        <w:pStyle w:val="a3"/>
        <w:spacing w:line="424" w:lineRule="auto"/>
        <w:ind w:left="838" w:right="6918"/>
      </w:pPr>
      <w:r>
        <w:rPr>
          <w:i/>
          <w:position w:val="1"/>
          <w:sz w:val="22"/>
        </w:rPr>
        <w:t>Q</w:t>
      </w:r>
      <w:r>
        <w:rPr>
          <w:sz w:val="11"/>
        </w:rPr>
        <w:t>c</w:t>
      </w:r>
      <w:r>
        <w:rPr>
          <w:position w:val="1"/>
        </w:rPr>
        <w:t>——</w:t>
      </w:r>
      <w:r>
        <w:rPr>
          <w:position w:val="1"/>
        </w:rPr>
        <w:t>单个喷头的设计流量；</w:t>
      </w:r>
      <w:r>
        <w:rPr>
          <w:position w:val="1"/>
        </w:rPr>
        <w:t xml:space="preserve"> </w:t>
      </w:r>
      <w:r>
        <w:rPr>
          <w:i/>
          <w:position w:val="1"/>
          <w:sz w:val="22"/>
        </w:rPr>
        <w:t>Q</w:t>
      </w:r>
      <w:r>
        <w:rPr>
          <w:sz w:val="11"/>
        </w:rPr>
        <w:t>g</w:t>
      </w:r>
      <w:r>
        <w:rPr>
          <w:position w:val="1"/>
        </w:rPr>
        <w:t>——</w:t>
      </w:r>
      <w:r>
        <w:rPr>
          <w:position w:val="1"/>
        </w:rPr>
        <w:t>支管平均设计流量；</w:t>
      </w:r>
      <w:r>
        <w:rPr>
          <w:position w:val="1"/>
        </w:rPr>
        <w:t xml:space="preserve"> </w:t>
      </w:r>
      <w:r>
        <w:rPr>
          <w:i/>
          <w:position w:val="1"/>
          <w:sz w:val="22"/>
        </w:rPr>
        <w:t>Q</w:t>
      </w:r>
      <w:r>
        <w:rPr>
          <w:sz w:val="11"/>
        </w:rPr>
        <w:t>k</w:t>
      </w:r>
      <w:r>
        <w:rPr>
          <w:position w:val="1"/>
        </w:rPr>
        <w:t>——</w:t>
      </w:r>
      <w:r>
        <w:rPr>
          <w:position w:val="1"/>
        </w:rPr>
        <w:t>减压孔板设计流量；</w:t>
      </w:r>
      <w:r>
        <w:rPr>
          <w:position w:val="1"/>
        </w:rPr>
        <w:t xml:space="preserve"> </w:t>
      </w:r>
      <w:r>
        <w:rPr>
          <w:i/>
          <w:position w:val="1"/>
          <w:sz w:val="22"/>
        </w:rPr>
        <w:t>Q</w:t>
      </w:r>
      <w:r>
        <w:rPr>
          <w:sz w:val="11"/>
        </w:rPr>
        <w:t>w</w:t>
      </w:r>
      <w:r>
        <w:rPr>
          <w:position w:val="1"/>
        </w:rPr>
        <w:t>——</w:t>
      </w:r>
      <w:r>
        <w:rPr>
          <w:position w:val="1"/>
        </w:rPr>
        <w:t>主干管平均设计流量；</w:t>
      </w:r>
      <w:r>
        <w:rPr>
          <w:position w:val="1"/>
        </w:rPr>
        <w:t xml:space="preserve"> </w:t>
      </w:r>
    </w:p>
    <w:p w14:paraId="30454D5C" w14:textId="77777777" w:rsidR="00A71EEF" w:rsidRDefault="0081115D">
      <w:pPr>
        <w:pStyle w:val="a3"/>
        <w:spacing w:before="2" w:line="424" w:lineRule="auto"/>
        <w:ind w:left="838" w:right="5709"/>
      </w:pPr>
      <w:r>
        <w:rPr>
          <w:i/>
          <w:position w:val="1"/>
          <w:sz w:val="22"/>
        </w:rPr>
        <w:t>Q</w:t>
      </w:r>
      <w:r>
        <w:rPr>
          <w:sz w:val="11"/>
        </w:rPr>
        <w:t>x</w:t>
      </w:r>
      <w:r>
        <w:rPr>
          <w:position w:val="1"/>
        </w:rPr>
        <w:t>——</w:t>
      </w:r>
      <w:r>
        <w:rPr>
          <w:position w:val="1"/>
        </w:rPr>
        <w:t>灭火剂在防护区的平均喷放速率；</w:t>
      </w:r>
      <w:r>
        <w:rPr>
          <w:position w:val="1"/>
        </w:rPr>
        <w:t xml:space="preserve"> </w:t>
      </w:r>
      <w:r>
        <w:rPr>
          <w:i/>
          <w:position w:val="1"/>
          <w:sz w:val="22"/>
        </w:rPr>
        <w:t>q</w:t>
      </w:r>
      <w:r>
        <w:rPr>
          <w:sz w:val="11"/>
        </w:rPr>
        <w:t>c</w:t>
      </w:r>
      <w:r>
        <w:rPr>
          <w:position w:val="1"/>
        </w:rPr>
        <w:t>——</w:t>
      </w:r>
      <w:r>
        <w:rPr>
          <w:position w:val="1"/>
        </w:rPr>
        <w:t>等效孔口单位面积喷射率；</w:t>
      </w:r>
      <w:r>
        <w:rPr>
          <w:position w:val="1"/>
        </w:rPr>
        <w:t xml:space="preserve"> </w:t>
      </w:r>
    </w:p>
    <w:p w14:paraId="6DB59B5C" w14:textId="77777777" w:rsidR="00A71EEF" w:rsidRDefault="0081115D">
      <w:pPr>
        <w:pStyle w:val="a3"/>
        <w:spacing w:before="2"/>
        <w:ind w:left="838"/>
      </w:pPr>
      <w:r>
        <w:rPr>
          <w:i/>
          <w:sz w:val="22"/>
        </w:rPr>
        <w:t xml:space="preserve">S </w:t>
      </w:r>
      <w:r>
        <w:t>——</w:t>
      </w:r>
      <w:r>
        <w:t>灭火剂过热蒸气或灭火剂气体在</w:t>
      </w:r>
      <w:r>
        <w:t xml:space="preserve">101kPa </w:t>
      </w:r>
      <w:r>
        <w:t>大气压和防护区最低环境温度下的质量体积；</w:t>
      </w:r>
      <w:r>
        <w:t xml:space="preserve"> </w:t>
      </w:r>
    </w:p>
    <w:p w14:paraId="6B160990" w14:textId="77777777" w:rsidR="00A71EEF" w:rsidRDefault="00A71EEF">
      <w:pPr>
        <w:pStyle w:val="a3"/>
        <w:spacing w:before="2"/>
        <w:rPr>
          <w:sz w:val="17"/>
        </w:rPr>
      </w:pPr>
    </w:p>
    <w:p w14:paraId="4779BDF1" w14:textId="77777777" w:rsidR="00A71EEF" w:rsidRDefault="0081115D">
      <w:pPr>
        <w:pStyle w:val="a3"/>
        <w:spacing w:line="424" w:lineRule="auto"/>
        <w:ind w:left="838" w:right="6969"/>
        <w:jc w:val="both"/>
      </w:pPr>
      <w:r>
        <w:rPr>
          <w:i/>
          <w:sz w:val="22"/>
        </w:rPr>
        <w:t>T</w:t>
      </w:r>
      <w:r>
        <w:rPr>
          <w:i/>
          <w:spacing w:val="12"/>
          <w:sz w:val="22"/>
        </w:rPr>
        <w:t xml:space="preserve"> </w:t>
      </w:r>
      <w:r>
        <w:rPr>
          <w:spacing w:val="-3"/>
        </w:rPr>
        <w:t>——</w:t>
      </w:r>
      <w:r>
        <w:rPr>
          <w:spacing w:val="-3"/>
        </w:rPr>
        <w:t>防护区最低环境温度；</w:t>
      </w:r>
      <w:r>
        <w:rPr>
          <w:spacing w:val="-3"/>
        </w:rPr>
        <w:t xml:space="preserve"> </w:t>
      </w:r>
      <w:r>
        <w:rPr>
          <w:i/>
          <w:sz w:val="22"/>
        </w:rPr>
        <w:t>t</w:t>
      </w:r>
      <w:r>
        <w:rPr>
          <w:i/>
          <w:spacing w:val="12"/>
          <w:sz w:val="22"/>
        </w:rPr>
        <w:t xml:space="preserve"> </w:t>
      </w:r>
      <w:r>
        <w:rPr>
          <w:spacing w:val="-3"/>
        </w:rPr>
        <w:t>——</w:t>
      </w:r>
      <w:r>
        <w:rPr>
          <w:spacing w:val="-3"/>
        </w:rPr>
        <w:t>灭火剂设计喷放时间；</w:t>
      </w:r>
      <w:r>
        <w:rPr>
          <w:spacing w:val="-3"/>
        </w:rPr>
        <w:t xml:space="preserve"> </w:t>
      </w:r>
      <w:r>
        <w:rPr>
          <w:i/>
          <w:sz w:val="22"/>
        </w:rPr>
        <w:t>V</w:t>
      </w:r>
      <w:r>
        <w:rPr>
          <w:i/>
          <w:spacing w:val="-4"/>
          <w:sz w:val="22"/>
        </w:rPr>
        <w:t xml:space="preserve"> </w:t>
      </w:r>
      <w:r>
        <w:rPr>
          <w:spacing w:val="-3"/>
        </w:rPr>
        <w:t>——</w:t>
      </w:r>
      <w:r>
        <w:rPr>
          <w:spacing w:val="-3"/>
        </w:rPr>
        <w:t>防护区的净容积；</w:t>
      </w:r>
      <w:r>
        <w:t xml:space="preserve"> </w:t>
      </w:r>
    </w:p>
    <w:p w14:paraId="24789E4B" w14:textId="77777777" w:rsidR="00A71EEF" w:rsidRDefault="0081115D">
      <w:pPr>
        <w:pStyle w:val="a3"/>
        <w:spacing w:before="3"/>
        <w:ind w:left="838"/>
        <w:jc w:val="both"/>
      </w:pPr>
      <w:r>
        <w:rPr>
          <w:i/>
          <w:w w:val="96"/>
          <w:position w:val="1"/>
          <w:sz w:val="22"/>
        </w:rPr>
        <w:t>V</w:t>
      </w:r>
      <w:r>
        <w:rPr>
          <w:sz w:val="11"/>
        </w:rPr>
        <w:t>o</w:t>
      </w:r>
      <w:r>
        <w:rPr>
          <w:spacing w:val="-3"/>
          <w:position w:val="1"/>
        </w:rPr>
        <w:t>——</w:t>
      </w:r>
      <w:r>
        <w:rPr>
          <w:spacing w:val="-3"/>
          <w:position w:val="1"/>
        </w:rPr>
        <w:t>喷放前，全部储存容器内的气相总容积（</w:t>
      </w:r>
      <w:r>
        <w:rPr>
          <w:position w:val="1"/>
        </w:rPr>
        <w:t>对</w:t>
      </w:r>
      <w:r>
        <w:rPr>
          <w:spacing w:val="-55"/>
          <w:position w:val="1"/>
        </w:rPr>
        <w:t xml:space="preserve"> </w:t>
      </w:r>
      <w:r>
        <w:rPr>
          <w:position w:val="1"/>
        </w:rPr>
        <w:t>IG541</w:t>
      </w:r>
      <w:r>
        <w:rPr>
          <w:spacing w:val="-55"/>
          <w:position w:val="1"/>
        </w:rPr>
        <w:t xml:space="preserve"> </w:t>
      </w:r>
      <w:r>
        <w:rPr>
          <w:spacing w:val="-3"/>
          <w:position w:val="1"/>
        </w:rPr>
        <w:t>系统为全部储存容器的总容积</w:t>
      </w:r>
      <w:r>
        <w:rPr>
          <w:spacing w:val="-106"/>
          <w:position w:val="1"/>
        </w:rPr>
        <w:t>）</w:t>
      </w:r>
      <w:r>
        <w:rPr>
          <w:spacing w:val="-3"/>
          <w:position w:val="1"/>
        </w:rPr>
        <w:t>；</w:t>
      </w:r>
      <w:r>
        <w:rPr>
          <w:position w:val="1"/>
        </w:rPr>
        <w:t xml:space="preserve"> </w:t>
      </w:r>
    </w:p>
    <w:p w14:paraId="425D719F" w14:textId="77777777" w:rsidR="00A71EEF" w:rsidRDefault="00A71EEF">
      <w:pPr>
        <w:pStyle w:val="a3"/>
        <w:spacing w:before="12"/>
        <w:rPr>
          <w:sz w:val="16"/>
        </w:rPr>
      </w:pPr>
    </w:p>
    <w:p w14:paraId="15DCBA74" w14:textId="77777777" w:rsidR="00A71EEF" w:rsidRDefault="0081115D">
      <w:pPr>
        <w:pStyle w:val="a3"/>
        <w:spacing w:line="427" w:lineRule="auto"/>
        <w:ind w:left="838" w:right="6599"/>
        <w:jc w:val="both"/>
      </w:pPr>
      <w:r>
        <w:rPr>
          <w:i/>
          <w:position w:val="1"/>
          <w:sz w:val="22"/>
        </w:rPr>
        <w:t>V</w:t>
      </w:r>
      <w:r>
        <w:rPr>
          <w:sz w:val="11"/>
        </w:rPr>
        <w:t>1</w:t>
      </w:r>
      <w:r>
        <w:rPr>
          <w:position w:val="1"/>
        </w:rPr>
        <w:t>——</w:t>
      </w:r>
      <w:r>
        <w:rPr>
          <w:position w:val="1"/>
        </w:rPr>
        <w:t>减压孔板前管网管道容积；</w:t>
      </w:r>
      <w:r>
        <w:rPr>
          <w:position w:val="1"/>
        </w:rPr>
        <w:t xml:space="preserve"> </w:t>
      </w:r>
      <w:r>
        <w:rPr>
          <w:i/>
          <w:position w:val="1"/>
          <w:sz w:val="22"/>
        </w:rPr>
        <w:t>V</w:t>
      </w:r>
      <w:r>
        <w:rPr>
          <w:sz w:val="11"/>
        </w:rPr>
        <w:t>2</w:t>
      </w:r>
      <w:r>
        <w:rPr>
          <w:position w:val="1"/>
        </w:rPr>
        <w:t>——</w:t>
      </w:r>
      <w:r>
        <w:rPr>
          <w:position w:val="1"/>
        </w:rPr>
        <w:t>减压孔板后管网管道容积；</w:t>
      </w:r>
      <w:r>
        <w:rPr>
          <w:position w:val="1"/>
        </w:rPr>
        <w:t xml:space="preserve"> </w:t>
      </w:r>
      <w:r>
        <w:rPr>
          <w:i/>
          <w:position w:val="1"/>
          <w:sz w:val="22"/>
        </w:rPr>
        <w:t>V</w:t>
      </w:r>
      <w:r>
        <w:rPr>
          <w:sz w:val="11"/>
        </w:rPr>
        <w:t>b</w:t>
      </w:r>
      <w:r>
        <w:rPr>
          <w:position w:val="1"/>
        </w:rPr>
        <w:t>——</w:t>
      </w:r>
      <w:r>
        <w:rPr>
          <w:position w:val="1"/>
        </w:rPr>
        <w:t>储存容器的容量；</w:t>
      </w:r>
      <w:r>
        <w:rPr>
          <w:position w:val="1"/>
        </w:rPr>
        <w:t xml:space="preserve"> </w:t>
      </w:r>
    </w:p>
    <w:p w14:paraId="4FE9B7E0" w14:textId="77777777" w:rsidR="00A71EEF" w:rsidRDefault="00A71EEF">
      <w:pPr>
        <w:spacing w:line="427" w:lineRule="auto"/>
        <w:jc w:val="both"/>
        <w:sectPr w:rsidR="00A71EEF">
          <w:pgSz w:w="11910" w:h="16850"/>
          <w:pgMar w:top="1200" w:right="0" w:bottom="1420" w:left="1260" w:header="0" w:footer="1239" w:gutter="0"/>
          <w:cols w:space="720"/>
        </w:sectPr>
      </w:pPr>
    </w:p>
    <w:p w14:paraId="543FEE01" w14:textId="77777777" w:rsidR="00A71EEF" w:rsidRDefault="0081115D">
      <w:pPr>
        <w:pStyle w:val="a3"/>
        <w:spacing w:before="57"/>
        <w:ind w:left="838"/>
      </w:pPr>
      <w:r>
        <w:rPr>
          <w:i/>
          <w:spacing w:val="-1"/>
          <w:position w:val="1"/>
          <w:sz w:val="22"/>
        </w:rPr>
        <w:t>V</w:t>
      </w:r>
      <w:r>
        <w:rPr>
          <w:spacing w:val="-1"/>
          <w:sz w:val="11"/>
        </w:rPr>
        <w:t>P</w:t>
      </w:r>
      <w:r>
        <w:rPr>
          <w:spacing w:val="-3"/>
          <w:position w:val="1"/>
        </w:rPr>
        <w:t>——</w:t>
      </w:r>
      <w:r>
        <w:rPr>
          <w:spacing w:val="-3"/>
          <w:position w:val="1"/>
        </w:rPr>
        <w:t>管网的管道内容积；</w:t>
      </w:r>
      <w:r>
        <w:rPr>
          <w:spacing w:val="-3"/>
          <w:position w:val="1"/>
        </w:rPr>
        <w:t xml:space="preserve"> </w:t>
      </w:r>
    </w:p>
    <w:p w14:paraId="339A9034" w14:textId="77777777" w:rsidR="00A71EEF" w:rsidRDefault="00A71EEF">
      <w:pPr>
        <w:pStyle w:val="a3"/>
        <w:rPr>
          <w:sz w:val="17"/>
        </w:rPr>
      </w:pPr>
    </w:p>
    <w:p w14:paraId="4B9AEDB0" w14:textId="77777777" w:rsidR="00A71EEF" w:rsidRDefault="0081115D">
      <w:pPr>
        <w:pStyle w:val="a3"/>
        <w:spacing w:line="424" w:lineRule="auto"/>
        <w:ind w:left="838" w:right="5917"/>
      </w:pPr>
      <w:r>
        <w:rPr>
          <w:i/>
          <w:sz w:val="22"/>
        </w:rPr>
        <w:t>W</w:t>
      </w:r>
      <w:r>
        <w:rPr>
          <w:i/>
          <w:spacing w:val="1"/>
          <w:sz w:val="22"/>
        </w:rPr>
        <w:t xml:space="preserve"> </w:t>
      </w:r>
      <w:r>
        <w:rPr>
          <w:spacing w:val="-3"/>
        </w:rPr>
        <w:t>——</w:t>
      </w:r>
      <w:r>
        <w:rPr>
          <w:spacing w:val="-3"/>
        </w:rPr>
        <w:t>灭火设计用量或惰化设计用量；</w:t>
      </w:r>
      <w:r>
        <w:rPr>
          <w:spacing w:val="-3"/>
        </w:rPr>
        <w:t xml:space="preserve"> </w:t>
      </w:r>
      <w:r>
        <w:rPr>
          <w:i/>
          <w:position w:val="1"/>
          <w:sz w:val="22"/>
        </w:rPr>
        <w:t>W</w:t>
      </w:r>
      <w:r>
        <w:rPr>
          <w:sz w:val="11"/>
        </w:rPr>
        <w:t>o</w:t>
      </w:r>
      <w:r>
        <w:rPr>
          <w:spacing w:val="-3"/>
          <w:position w:val="1"/>
        </w:rPr>
        <w:t>——</w:t>
      </w:r>
      <w:r>
        <w:rPr>
          <w:spacing w:val="-3"/>
          <w:position w:val="1"/>
        </w:rPr>
        <w:t>系统灭火剂储存量；</w:t>
      </w:r>
      <w:r>
        <w:rPr>
          <w:spacing w:val="-3"/>
          <w:position w:val="1"/>
        </w:rPr>
        <w:t xml:space="preserve"> </w:t>
      </w:r>
    </w:p>
    <w:p w14:paraId="119D47C4" w14:textId="77777777" w:rsidR="00A71EEF" w:rsidRDefault="0081115D">
      <w:pPr>
        <w:pStyle w:val="a3"/>
        <w:spacing w:before="3" w:line="424" w:lineRule="auto"/>
        <w:ind w:left="838" w:right="6865"/>
      </w:pPr>
      <w:r>
        <w:rPr>
          <w:i/>
          <w:position w:val="1"/>
          <w:sz w:val="22"/>
        </w:rPr>
        <w:t>W</w:t>
      </w:r>
      <w:r>
        <w:rPr>
          <w:sz w:val="11"/>
        </w:rPr>
        <w:t>s</w:t>
      </w:r>
      <w:r>
        <w:rPr>
          <w:spacing w:val="-3"/>
          <w:position w:val="1"/>
        </w:rPr>
        <w:t>——</w:t>
      </w:r>
      <w:r>
        <w:rPr>
          <w:spacing w:val="-3"/>
          <w:position w:val="1"/>
        </w:rPr>
        <w:t>系统灭火剂剩余量；</w:t>
      </w:r>
      <w:r>
        <w:rPr>
          <w:spacing w:val="-3"/>
          <w:position w:val="1"/>
        </w:rPr>
        <w:t xml:space="preserve"> </w:t>
      </w:r>
      <w:r>
        <w:rPr>
          <w:i/>
          <w:spacing w:val="-3"/>
          <w:position w:val="1"/>
          <w:sz w:val="22"/>
        </w:rPr>
        <w:t>Y</w:t>
      </w:r>
      <w:r>
        <w:rPr>
          <w:spacing w:val="-3"/>
          <w:sz w:val="11"/>
        </w:rPr>
        <w:t>1</w:t>
      </w:r>
      <w:r>
        <w:rPr>
          <w:spacing w:val="-3"/>
          <w:position w:val="1"/>
        </w:rPr>
        <w:t>——</w:t>
      </w:r>
      <w:r>
        <w:rPr>
          <w:spacing w:val="-3"/>
          <w:position w:val="1"/>
        </w:rPr>
        <w:t>计算管段始端压力系数；</w:t>
      </w:r>
      <w:r>
        <w:rPr>
          <w:spacing w:val="-3"/>
          <w:position w:val="1"/>
        </w:rPr>
        <w:t xml:space="preserve"> </w:t>
      </w:r>
      <w:r>
        <w:rPr>
          <w:i/>
          <w:position w:val="1"/>
          <w:sz w:val="22"/>
        </w:rPr>
        <w:t>Y</w:t>
      </w:r>
      <w:r>
        <w:rPr>
          <w:sz w:val="11"/>
        </w:rPr>
        <w:t>2</w:t>
      </w:r>
      <w:r>
        <w:rPr>
          <w:spacing w:val="-3"/>
          <w:position w:val="1"/>
        </w:rPr>
        <w:t>——</w:t>
      </w:r>
      <w:r>
        <w:rPr>
          <w:spacing w:val="-3"/>
          <w:position w:val="1"/>
        </w:rPr>
        <w:t>计算管段末端压力系数；</w:t>
      </w:r>
      <w:r>
        <w:rPr>
          <w:spacing w:val="-3"/>
          <w:position w:val="1"/>
        </w:rPr>
        <w:t xml:space="preserve"> </w:t>
      </w:r>
      <w:r>
        <w:rPr>
          <w:i/>
          <w:position w:val="1"/>
          <w:sz w:val="22"/>
        </w:rPr>
        <w:t>Z</w:t>
      </w:r>
      <w:r>
        <w:rPr>
          <w:sz w:val="11"/>
        </w:rPr>
        <w:t>1</w:t>
      </w:r>
      <w:r>
        <w:rPr>
          <w:spacing w:val="-3"/>
          <w:position w:val="1"/>
        </w:rPr>
        <w:t>——</w:t>
      </w:r>
      <w:r>
        <w:rPr>
          <w:spacing w:val="-3"/>
          <w:position w:val="1"/>
        </w:rPr>
        <w:t>计算管段始端密度系数；</w:t>
      </w:r>
      <w:r>
        <w:rPr>
          <w:spacing w:val="-3"/>
          <w:position w:val="1"/>
        </w:rPr>
        <w:t xml:space="preserve"> </w:t>
      </w:r>
      <w:r>
        <w:rPr>
          <w:i/>
          <w:position w:val="1"/>
          <w:sz w:val="22"/>
        </w:rPr>
        <w:t>Z</w:t>
      </w:r>
      <w:r>
        <w:rPr>
          <w:sz w:val="11"/>
        </w:rPr>
        <w:t>2</w:t>
      </w:r>
      <w:r>
        <w:rPr>
          <w:spacing w:val="-3"/>
          <w:position w:val="1"/>
        </w:rPr>
        <w:t>——</w:t>
      </w:r>
      <w:r>
        <w:rPr>
          <w:spacing w:val="-3"/>
          <w:position w:val="1"/>
        </w:rPr>
        <w:t>计算管段末端密度系数；</w:t>
      </w:r>
      <w:r>
        <w:rPr>
          <w:spacing w:val="-3"/>
          <w:position w:val="1"/>
        </w:rPr>
        <w:t xml:space="preserve"> </w:t>
      </w:r>
      <w:r>
        <w:rPr>
          <w:i/>
          <w:sz w:val="22"/>
        </w:rPr>
        <w:t>γ</w:t>
      </w:r>
      <w:r>
        <w:rPr>
          <w:i/>
          <w:spacing w:val="28"/>
          <w:sz w:val="22"/>
        </w:rPr>
        <w:t xml:space="preserve">  </w:t>
      </w:r>
      <w:r>
        <w:rPr>
          <w:spacing w:val="-3"/>
        </w:rPr>
        <w:t>——</w:t>
      </w:r>
      <w:r>
        <w:rPr>
          <w:spacing w:val="-3"/>
        </w:rPr>
        <w:t>七氟丙烷液体密度；</w:t>
      </w:r>
      <w:r>
        <w:rPr>
          <w:spacing w:val="-3"/>
        </w:rPr>
        <w:t xml:space="preserve"> </w:t>
      </w:r>
      <w:r>
        <w:rPr>
          <w:i/>
          <w:sz w:val="22"/>
        </w:rPr>
        <w:t>δ</w:t>
      </w:r>
      <w:r>
        <w:rPr>
          <w:i/>
          <w:spacing w:val="99"/>
          <w:sz w:val="22"/>
        </w:rPr>
        <w:t xml:space="preserve"> </w:t>
      </w:r>
      <w:r>
        <w:rPr>
          <w:spacing w:val="-3"/>
        </w:rPr>
        <w:t>——</w:t>
      </w:r>
      <w:r>
        <w:rPr>
          <w:spacing w:val="-3"/>
        </w:rPr>
        <w:t>落压比；</w:t>
      </w:r>
      <w:r>
        <w:t xml:space="preserve"> </w:t>
      </w:r>
    </w:p>
    <w:p w14:paraId="59D6E0F9" w14:textId="77777777" w:rsidR="00A71EEF" w:rsidRDefault="0081115D">
      <w:pPr>
        <w:spacing w:before="8"/>
        <w:ind w:left="838"/>
        <w:rPr>
          <w:sz w:val="21"/>
        </w:rPr>
      </w:pPr>
      <w:r>
        <w:rPr>
          <w:i/>
        </w:rPr>
        <w:t xml:space="preserve">η </w:t>
      </w:r>
      <w:r>
        <w:rPr>
          <w:sz w:val="21"/>
        </w:rPr>
        <w:t>——</w:t>
      </w:r>
      <w:r>
        <w:rPr>
          <w:sz w:val="21"/>
        </w:rPr>
        <w:t>充装量；</w:t>
      </w:r>
      <w:r>
        <w:rPr>
          <w:sz w:val="21"/>
        </w:rPr>
        <w:t xml:space="preserve"> </w:t>
      </w:r>
    </w:p>
    <w:p w14:paraId="2381A832" w14:textId="77777777" w:rsidR="00A71EEF" w:rsidRDefault="00A71EEF">
      <w:pPr>
        <w:pStyle w:val="a3"/>
        <w:spacing w:before="11"/>
        <w:rPr>
          <w:sz w:val="16"/>
        </w:rPr>
      </w:pPr>
    </w:p>
    <w:p w14:paraId="401E43AE" w14:textId="77777777" w:rsidR="00A71EEF" w:rsidRDefault="0081115D">
      <w:pPr>
        <w:pStyle w:val="a3"/>
        <w:ind w:left="838"/>
      </w:pPr>
      <w:r>
        <w:rPr>
          <w:i/>
          <w:position w:val="1"/>
          <w:sz w:val="22"/>
        </w:rPr>
        <w:t>μ</w:t>
      </w:r>
      <w:r>
        <w:rPr>
          <w:sz w:val="11"/>
        </w:rPr>
        <w:t>k</w:t>
      </w:r>
      <w:r>
        <w:rPr>
          <w:position w:val="1"/>
        </w:rPr>
        <w:t>——</w:t>
      </w:r>
      <w:r>
        <w:rPr>
          <w:position w:val="1"/>
        </w:rPr>
        <w:t>减压孔板流量系数；</w:t>
      </w:r>
      <w:r>
        <w:rPr>
          <w:position w:val="1"/>
        </w:rPr>
        <w:t xml:space="preserve"> </w:t>
      </w:r>
    </w:p>
    <w:p w14:paraId="641748EB" w14:textId="77777777" w:rsidR="00A71EEF" w:rsidRDefault="00A71EEF">
      <w:pPr>
        <w:pStyle w:val="a3"/>
        <w:spacing w:before="3"/>
        <w:rPr>
          <w:sz w:val="17"/>
        </w:rPr>
      </w:pPr>
    </w:p>
    <w:p w14:paraId="6C554FFC" w14:textId="77777777" w:rsidR="00A71EEF" w:rsidRDefault="0081115D">
      <w:pPr>
        <w:pStyle w:val="a3"/>
        <w:ind w:left="838"/>
      </w:pPr>
      <w:r>
        <w:t>Δ</w:t>
      </w:r>
      <w:r>
        <w:rPr>
          <w:i/>
          <w:sz w:val="22"/>
        </w:rPr>
        <w:t>P</w:t>
      </w:r>
      <w:r>
        <w:t>——</w:t>
      </w:r>
      <w:r>
        <w:t>计算管段阻力损失；</w:t>
      </w:r>
      <w:r>
        <w:t xml:space="preserve"> </w:t>
      </w:r>
    </w:p>
    <w:p w14:paraId="1FEA76FA" w14:textId="77777777" w:rsidR="00A71EEF" w:rsidRDefault="00A71EEF">
      <w:pPr>
        <w:pStyle w:val="a3"/>
        <w:spacing w:before="12"/>
        <w:rPr>
          <w:sz w:val="16"/>
        </w:rPr>
      </w:pPr>
    </w:p>
    <w:p w14:paraId="00E31530" w14:textId="77777777" w:rsidR="00A71EEF" w:rsidRDefault="0081115D">
      <w:pPr>
        <w:pStyle w:val="a3"/>
        <w:spacing w:line="424" w:lineRule="auto"/>
        <w:ind w:left="838" w:right="6179"/>
      </w:pPr>
      <w:r>
        <w:rPr>
          <w:position w:val="1"/>
        </w:rPr>
        <w:t>Δ</w:t>
      </w:r>
      <w:r>
        <w:rPr>
          <w:i/>
          <w:position w:val="1"/>
          <w:sz w:val="22"/>
        </w:rPr>
        <w:t>W</w:t>
      </w:r>
      <w:r>
        <w:rPr>
          <w:sz w:val="11"/>
        </w:rPr>
        <w:t>1</w:t>
      </w:r>
      <w:r>
        <w:rPr>
          <w:position w:val="1"/>
        </w:rPr>
        <w:t>——</w:t>
      </w:r>
      <w:r>
        <w:rPr>
          <w:position w:val="1"/>
        </w:rPr>
        <w:t>储存容器内的灭火剂剩余量；</w:t>
      </w:r>
      <w:r>
        <w:rPr>
          <w:position w:val="1"/>
        </w:rPr>
        <w:t xml:space="preserve"> Δ</w:t>
      </w:r>
      <w:r>
        <w:rPr>
          <w:i/>
          <w:position w:val="1"/>
          <w:sz w:val="22"/>
        </w:rPr>
        <w:t>W</w:t>
      </w:r>
      <w:r>
        <w:rPr>
          <w:sz w:val="11"/>
        </w:rPr>
        <w:t>2</w:t>
      </w:r>
      <w:r>
        <w:rPr>
          <w:position w:val="1"/>
        </w:rPr>
        <w:t>——</w:t>
      </w:r>
      <w:r>
        <w:rPr>
          <w:position w:val="1"/>
        </w:rPr>
        <w:t>管道内的灭火剂剩余量。</w:t>
      </w:r>
      <w:r>
        <w:rPr>
          <w:position w:val="1"/>
        </w:rPr>
        <w:t xml:space="preserve"> </w:t>
      </w:r>
    </w:p>
    <w:p w14:paraId="22B0870A" w14:textId="77777777" w:rsidR="00A71EEF" w:rsidRDefault="0081115D">
      <w:pPr>
        <w:pStyle w:val="4"/>
        <w:spacing w:line="291" w:lineRule="exact"/>
      </w:pPr>
      <w:r>
        <w:t xml:space="preserve">3 </w:t>
      </w:r>
      <w:r>
        <w:t>设计要求</w:t>
      </w:r>
      <w:r>
        <w:rPr>
          <w:w w:val="99"/>
        </w:rPr>
        <w:t xml:space="preserve"> </w:t>
      </w:r>
    </w:p>
    <w:p w14:paraId="693951BD" w14:textId="77777777" w:rsidR="00A71EEF" w:rsidRDefault="00A71EEF">
      <w:pPr>
        <w:pStyle w:val="a3"/>
        <w:spacing w:before="4"/>
        <w:rPr>
          <w:b/>
          <w:sz w:val="17"/>
        </w:rPr>
      </w:pPr>
    </w:p>
    <w:p w14:paraId="5701B376" w14:textId="77777777" w:rsidR="00A71EEF" w:rsidRDefault="0081115D">
      <w:pPr>
        <w:pStyle w:val="a4"/>
        <w:numPr>
          <w:ilvl w:val="1"/>
          <w:numId w:val="633"/>
        </w:numPr>
        <w:tabs>
          <w:tab w:val="left" w:pos="1159"/>
        </w:tabs>
        <w:ind w:hanging="319"/>
        <w:rPr>
          <w:b/>
          <w:sz w:val="21"/>
        </w:rPr>
      </w:pPr>
      <w:r>
        <w:rPr>
          <w:spacing w:val="-3"/>
          <w:sz w:val="21"/>
        </w:rPr>
        <w:t>一般规定</w:t>
      </w:r>
      <w:r>
        <w:rPr>
          <w:b/>
          <w:w w:val="99"/>
          <w:sz w:val="21"/>
        </w:rPr>
        <w:t xml:space="preserve"> </w:t>
      </w:r>
    </w:p>
    <w:p w14:paraId="774E9852" w14:textId="77777777" w:rsidR="00A71EEF" w:rsidRDefault="00A71EEF">
      <w:pPr>
        <w:pStyle w:val="a3"/>
        <w:spacing w:before="12"/>
        <w:rPr>
          <w:b/>
          <w:sz w:val="17"/>
        </w:rPr>
      </w:pPr>
    </w:p>
    <w:p w14:paraId="1D36758E" w14:textId="77777777" w:rsidR="00A71EEF" w:rsidRDefault="0081115D">
      <w:pPr>
        <w:pStyle w:val="a4"/>
        <w:numPr>
          <w:ilvl w:val="2"/>
          <w:numId w:val="633"/>
        </w:numPr>
        <w:tabs>
          <w:tab w:val="left" w:pos="1371"/>
        </w:tabs>
        <w:spacing w:line="446" w:lineRule="auto"/>
        <w:ind w:right="1431" w:firstLine="422"/>
        <w:rPr>
          <w:sz w:val="21"/>
        </w:rPr>
      </w:pPr>
      <w:r>
        <w:rPr>
          <w:spacing w:val="-6"/>
          <w:sz w:val="21"/>
        </w:rPr>
        <w:t>采用气体灭火系统保护的防护区，其灭火设计用量或惰化设计用量，应根据防护区内</w:t>
      </w:r>
      <w:r>
        <w:rPr>
          <w:spacing w:val="-4"/>
          <w:sz w:val="21"/>
        </w:rPr>
        <w:t>可燃物相应的灭火设计浓度或惰化设计浓度经计算确定。</w:t>
      </w:r>
      <w:r>
        <w:rPr>
          <w:sz w:val="21"/>
        </w:rPr>
        <w:t xml:space="preserve"> </w:t>
      </w:r>
    </w:p>
    <w:p w14:paraId="4D48947D" w14:textId="77777777" w:rsidR="00A71EEF" w:rsidRDefault="0081115D">
      <w:pPr>
        <w:pStyle w:val="a4"/>
        <w:numPr>
          <w:ilvl w:val="2"/>
          <w:numId w:val="633"/>
        </w:numPr>
        <w:tabs>
          <w:tab w:val="left" w:pos="1370"/>
        </w:tabs>
        <w:spacing w:before="1" w:line="446" w:lineRule="auto"/>
        <w:ind w:right="1431" w:firstLine="422"/>
        <w:rPr>
          <w:sz w:val="21"/>
        </w:rPr>
      </w:pPr>
      <w:r>
        <w:rPr>
          <w:spacing w:val="-18"/>
          <w:sz w:val="21"/>
        </w:rPr>
        <w:t>有爆炸危险的气体、液体类火灾的防护区，应采用惰化设计浓度；无爆炸危险的气体、</w:t>
      </w:r>
      <w:r>
        <w:rPr>
          <w:spacing w:val="-7"/>
          <w:sz w:val="21"/>
        </w:rPr>
        <w:t>液体类火灾和固体类火灾的防护区，应采用灭火设计浓度。</w:t>
      </w:r>
      <w:r>
        <w:rPr>
          <w:sz w:val="21"/>
        </w:rPr>
        <w:t xml:space="preserve"> </w:t>
      </w:r>
    </w:p>
    <w:p w14:paraId="74755952" w14:textId="77777777" w:rsidR="00A71EEF" w:rsidRDefault="0081115D">
      <w:pPr>
        <w:pStyle w:val="a4"/>
        <w:numPr>
          <w:ilvl w:val="2"/>
          <w:numId w:val="633"/>
        </w:numPr>
        <w:tabs>
          <w:tab w:val="left" w:pos="1370"/>
        </w:tabs>
        <w:spacing w:line="446" w:lineRule="auto"/>
        <w:ind w:right="1431" w:firstLine="422"/>
        <w:rPr>
          <w:sz w:val="21"/>
        </w:rPr>
      </w:pPr>
      <w:r>
        <w:rPr>
          <w:spacing w:val="-6"/>
          <w:sz w:val="21"/>
        </w:rPr>
        <w:t>几种可燃物共存或混合时，灭火设计浓度或惰化设计浓度，应按其中最大的灭火设计</w:t>
      </w:r>
      <w:r>
        <w:rPr>
          <w:spacing w:val="-4"/>
          <w:sz w:val="21"/>
        </w:rPr>
        <w:t>浓度或惰化设计浓度确定。</w:t>
      </w:r>
      <w:r>
        <w:rPr>
          <w:spacing w:val="-4"/>
          <w:sz w:val="21"/>
        </w:rPr>
        <w:t xml:space="preserve"> </w:t>
      </w:r>
    </w:p>
    <w:p w14:paraId="54F09DCB" w14:textId="77777777" w:rsidR="00A71EEF" w:rsidRDefault="0081115D">
      <w:pPr>
        <w:pStyle w:val="a4"/>
        <w:numPr>
          <w:ilvl w:val="2"/>
          <w:numId w:val="633"/>
        </w:numPr>
        <w:tabs>
          <w:tab w:val="left" w:pos="1370"/>
        </w:tabs>
        <w:spacing w:line="446" w:lineRule="auto"/>
        <w:ind w:right="1431" w:firstLine="422"/>
        <w:rPr>
          <w:sz w:val="21"/>
        </w:rPr>
      </w:pPr>
      <w:r>
        <w:rPr>
          <w:spacing w:val="-5"/>
          <w:sz w:val="21"/>
        </w:rPr>
        <w:t>两个或两个以上的防护区采用组合分配系统时，一个组合分配系统所保护的防护区不</w:t>
      </w:r>
      <w:r>
        <w:rPr>
          <w:spacing w:val="-16"/>
          <w:sz w:val="21"/>
        </w:rPr>
        <w:t>应超过</w:t>
      </w:r>
      <w:r>
        <w:rPr>
          <w:spacing w:val="-16"/>
          <w:sz w:val="21"/>
        </w:rPr>
        <w:t xml:space="preserve"> </w:t>
      </w:r>
      <w:r>
        <w:rPr>
          <w:sz w:val="21"/>
        </w:rPr>
        <w:t>8</w:t>
      </w:r>
      <w:r>
        <w:rPr>
          <w:spacing w:val="-20"/>
          <w:sz w:val="21"/>
        </w:rPr>
        <w:t xml:space="preserve"> </w:t>
      </w:r>
      <w:r>
        <w:rPr>
          <w:spacing w:val="-20"/>
          <w:sz w:val="21"/>
        </w:rPr>
        <w:t>个。</w:t>
      </w:r>
      <w:r>
        <w:rPr>
          <w:sz w:val="21"/>
        </w:rPr>
        <w:t xml:space="preserve"> </w:t>
      </w:r>
    </w:p>
    <w:p w14:paraId="2DE24A17" w14:textId="77777777" w:rsidR="00A71EEF" w:rsidRDefault="0081115D">
      <w:pPr>
        <w:pStyle w:val="a4"/>
        <w:numPr>
          <w:ilvl w:val="2"/>
          <w:numId w:val="633"/>
        </w:numPr>
        <w:tabs>
          <w:tab w:val="left" w:pos="1370"/>
        </w:tabs>
        <w:ind w:left="1369" w:hanging="530"/>
        <w:rPr>
          <w:sz w:val="21"/>
        </w:rPr>
      </w:pPr>
      <w:r>
        <w:rPr>
          <w:spacing w:val="-3"/>
          <w:sz w:val="21"/>
        </w:rPr>
        <w:t>组合分配系统的灭火剂储存量，应按储存量最大的防护区确定。</w:t>
      </w:r>
      <w:r>
        <w:rPr>
          <w:sz w:val="21"/>
        </w:rPr>
        <w:t xml:space="preserve"> </w:t>
      </w:r>
    </w:p>
    <w:p w14:paraId="5D4129EC" w14:textId="77777777" w:rsidR="00A71EEF" w:rsidRDefault="00A71EEF">
      <w:pPr>
        <w:pStyle w:val="a3"/>
        <w:spacing w:before="10"/>
        <w:rPr>
          <w:sz w:val="17"/>
        </w:rPr>
      </w:pPr>
    </w:p>
    <w:p w14:paraId="27F22D36" w14:textId="77777777" w:rsidR="00A71EEF" w:rsidRDefault="0081115D">
      <w:pPr>
        <w:pStyle w:val="a4"/>
        <w:numPr>
          <w:ilvl w:val="2"/>
          <w:numId w:val="633"/>
        </w:numPr>
        <w:tabs>
          <w:tab w:val="left" w:pos="1371"/>
        </w:tabs>
        <w:spacing w:line="446" w:lineRule="auto"/>
        <w:ind w:right="1431" w:firstLine="422"/>
        <w:rPr>
          <w:sz w:val="21"/>
        </w:rPr>
      </w:pPr>
      <w:r>
        <w:rPr>
          <w:spacing w:val="-6"/>
          <w:sz w:val="21"/>
        </w:rPr>
        <w:t>灭火系统的灭火剂储存量，应为防护区的灭火设计用量、储存容器内的灭火剂剩余量</w:t>
      </w:r>
      <w:r>
        <w:rPr>
          <w:spacing w:val="-4"/>
          <w:sz w:val="21"/>
        </w:rPr>
        <w:t>和管网内的灭火剂剩余量之和。</w:t>
      </w:r>
      <w:r>
        <w:rPr>
          <w:sz w:val="21"/>
        </w:rPr>
        <w:t xml:space="preserve"> </w:t>
      </w:r>
    </w:p>
    <w:p w14:paraId="10BD285E" w14:textId="77777777" w:rsidR="00A71EEF" w:rsidRDefault="00A71EEF">
      <w:pPr>
        <w:spacing w:line="446" w:lineRule="auto"/>
        <w:rPr>
          <w:sz w:val="21"/>
        </w:rPr>
        <w:sectPr w:rsidR="00A71EEF">
          <w:pgSz w:w="11910" w:h="16850"/>
          <w:pgMar w:top="1200" w:right="0" w:bottom="1420" w:left="1260" w:header="0" w:footer="1239" w:gutter="0"/>
          <w:cols w:space="720"/>
        </w:sectPr>
      </w:pPr>
    </w:p>
    <w:p w14:paraId="43C25705" w14:textId="77777777" w:rsidR="00A71EEF" w:rsidRDefault="0081115D">
      <w:pPr>
        <w:pStyle w:val="a4"/>
        <w:numPr>
          <w:ilvl w:val="2"/>
          <w:numId w:val="633"/>
        </w:numPr>
        <w:tabs>
          <w:tab w:val="left" w:pos="1371"/>
        </w:tabs>
        <w:spacing w:before="47"/>
        <w:ind w:left="1370"/>
        <w:rPr>
          <w:sz w:val="21"/>
        </w:rPr>
      </w:pPr>
      <w:r>
        <w:rPr>
          <w:spacing w:val="-8"/>
          <w:sz w:val="21"/>
        </w:rPr>
        <w:t>灭火系统的储存装置</w:t>
      </w:r>
      <w:r>
        <w:rPr>
          <w:spacing w:val="-8"/>
          <w:sz w:val="21"/>
        </w:rPr>
        <w:t xml:space="preserve"> </w:t>
      </w:r>
      <w:r>
        <w:rPr>
          <w:sz w:val="21"/>
        </w:rPr>
        <w:t>72</w:t>
      </w:r>
      <w:r>
        <w:rPr>
          <w:spacing w:val="-11"/>
          <w:sz w:val="21"/>
        </w:rPr>
        <w:t xml:space="preserve"> </w:t>
      </w:r>
      <w:r>
        <w:rPr>
          <w:spacing w:val="-11"/>
          <w:sz w:val="21"/>
        </w:rPr>
        <w:t>小时内不能重新充装恢复工作的，应按系统原储存量的</w:t>
      </w:r>
      <w:r>
        <w:rPr>
          <w:spacing w:val="-11"/>
          <w:sz w:val="21"/>
        </w:rPr>
        <w:t xml:space="preserve"> </w:t>
      </w:r>
      <w:r>
        <w:rPr>
          <w:sz w:val="21"/>
        </w:rPr>
        <w:t>100%</w:t>
      </w:r>
    </w:p>
    <w:p w14:paraId="11912F7D" w14:textId="77777777" w:rsidR="00A71EEF" w:rsidRDefault="00A71EEF">
      <w:pPr>
        <w:pStyle w:val="a3"/>
        <w:rPr>
          <w:sz w:val="18"/>
        </w:rPr>
      </w:pPr>
    </w:p>
    <w:p w14:paraId="09D78BA1" w14:textId="77777777" w:rsidR="00A71EEF" w:rsidRDefault="0081115D">
      <w:pPr>
        <w:pStyle w:val="a3"/>
        <w:ind w:left="418"/>
      </w:pPr>
      <w:r>
        <w:t>设置备用量。</w:t>
      </w:r>
      <w:r>
        <w:t xml:space="preserve"> </w:t>
      </w:r>
    </w:p>
    <w:p w14:paraId="2D146253" w14:textId="77777777" w:rsidR="00A71EEF" w:rsidRDefault="00A71EEF">
      <w:pPr>
        <w:pStyle w:val="a3"/>
        <w:rPr>
          <w:sz w:val="18"/>
        </w:rPr>
      </w:pPr>
    </w:p>
    <w:p w14:paraId="020CE4E5" w14:textId="77777777" w:rsidR="00A71EEF" w:rsidRDefault="0081115D">
      <w:pPr>
        <w:pStyle w:val="a4"/>
        <w:numPr>
          <w:ilvl w:val="2"/>
          <w:numId w:val="633"/>
        </w:numPr>
        <w:tabs>
          <w:tab w:val="left" w:pos="1370"/>
        </w:tabs>
        <w:ind w:left="1369" w:hanging="530"/>
        <w:rPr>
          <w:sz w:val="21"/>
        </w:rPr>
      </w:pPr>
      <w:r>
        <w:rPr>
          <w:spacing w:val="-7"/>
          <w:sz w:val="21"/>
        </w:rPr>
        <w:t>灭火系统的设计温度，应采用</w:t>
      </w:r>
      <w:r>
        <w:rPr>
          <w:spacing w:val="-7"/>
          <w:sz w:val="21"/>
        </w:rPr>
        <w:t xml:space="preserve"> </w:t>
      </w:r>
      <w:r>
        <w:rPr>
          <w:sz w:val="21"/>
        </w:rPr>
        <w:t>20</w:t>
      </w:r>
      <w:r>
        <w:rPr>
          <w:spacing w:val="-2"/>
          <w:sz w:val="21"/>
        </w:rPr>
        <w:t>℃</w:t>
      </w:r>
      <w:r>
        <w:rPr>
          <w:spacing w:val="-2"/>
          <w:sz w:val="21"/>
        </w:rPr>
        <w:t>。</w:t>
      </w:r>
      <w:r>
        <w:rPr>
          <w:sz w:val="21"/>
        </w:rPr>
        <w:t xml:space="preserve"> </w:t>
      </w:r>
    </w:p>
    <w:p w14:paraId="43B5D765" w14:textId="77777777" w:rsidR="00A71EEF" w:rsidRDefault="00A71EEF">
      <w:pPr>
        <w:pStyle w:val="a3"/>
        <w:spacing w:before="1"/>
        <w:rPr>
          <w:sz w:val="18"/>
        </w:rPr>
      </w:pPr>
    </w:p>
    <w:p w14:paraId="32150BFF" w14:textId="77777777" w:rsidR="00A71EEF" w:rsidRDefault="0081115D">
      <w:pPr>
        <w:pStyle w:val="a4"/>
        <w:numPr>
          <w:ilvl w:val="2"/>
          <w:numId w:val="633"/>
        </w:numPr>
        <w:tabs>
          <w:tab w:val="left" w:pos="1371"/>
        </w:tabs>
        <w:spacing w:before="1"/>
        <w:ind w:left="1370"/>
        <w:rPr>
          <w:sz w:val="21"/>
        </w:rPr>
      </w:pPr>
      <w:r>
        <w:rPr>
          <w:spacing w:val="-3"/>
          <w:sz w:val="21"/>
        </w:rPr>
        <w:t>同一集流管上的储存容器，其规格、充压压力和充装量应相同。</w:t>
      </w:r>
      <w:r>
        <w:rPr>
          <w:sz w:val="21"/>
        </w:rPr>
        <w:t xml:space="preserve"> </w:t>
      </w:r>
    </w:p>
    <w:p w14:paraId="6C79F8FF" w14:textId="77777777" w:rsidR="00A71EEF" w:rsidRDefault="00A71EEF">
      <w:pPr>
        <w:pStyle w:val="a3"/>
        <w:spacing w:before="12"/>
        <w:rPr>
          <w:sz w:val="17"/>
        </w:rPr>
      </w:pPr>
    </w:p>
    <w:p w14:paraId="1E5233CB" w14:textId="77777777" w:rsidR="00A71EEF" w:rsidRDefault="0081115D">
      <w:pPr>
        <w:pStyle w:val="a4"/>
        <w:numPr>
          <w:ilvl w:val="2"/>
          <w:numId w:val="633"/>
        </w:numPr>
        <w:tabs>
          <w:tab w:val="left" w:pos="1478"/>
        </w:tabs>
        <w:spacing w:line="446" w:lineRule="auto"/>
        <w:ind w:right="1433" w:firstLine="422"/>
        <w:rPr>
          <w:sz w:val="21"/>
        </w:rPr>
      </w:pPr>
      <w:r>
        <w:rPr>
          <w:spacing w:val="-3"/>
          <w:sz w:val="21"/>
        </w:rPr>
        <w:t>同一防护区，当设计两套或三套管网时，集流管可分别设置，系统启动装置必须共</w:t>
      </w:r>
      <w:r>
        <w:rPr>
          <w:spacing w:val="-3"/>
          <w:sz w:val="21"/>
        </w:rPr>
        <w:t xml:space="preserve"> </w:t>
      </w:r>
      <w:r>
        <w:rPr>
          <w:spacing w:val="-3"/>
          <w:sz w:val="21"/>
        </w:rPr>
        <w:t>用。各管网上喷头流量均应按同一灭火设计浓度、同一喷放时间进行设计。</w:t>
      </w:r>
      <w:r>
        <w:rPr>
          <w:sz w:val="21"/>
        </w:rPr>
        <w:t xml:space="preserve"> </w:t>
      </w:r>
    </w:p>
    <w:p w14:paraId="5299AE9D" w14:textId="77777777" w:rsidR="00A71EEF" w:rsidRDefault="0081115D">
      <w:pPr>
        <w:pStyle w:val="a4"/>
        <w:numPr>
          <w:ilvl w:val="2"/>
          <w:numId w:val="633"/>
        </w:numPr>
        <w:tabs>
          <w:tab w:val="left" w:pos="1478"/>
        </w:tabs>
        <w:ind w:left="1477" w:hanging="638"/>
        <w:rPr>
          <w:sz w:val="21"/>
        </w:rPr>
      </w:pPr>
      <w:r>
        <w:rPr>
          <w:spacing w:val="-3"/>
          <w:sz w:val="21"/>
        </w:rPr>
        <w:t>管网上不应采用四通管件进行分流。</w:t>
      </w:r>
      <w:r>
        <w:rPr>
          <w:sz w:val="21"/>
        </w:rPr>
        <w:t xml:space="preserve"> </w:t>
      </w:r>
    </w:p>
    <w:p w14:paraId="6CCC9BE4" w14:textId="77777777" w:rsidR="00A71EEF" w:rsidRDefault="00A71EEF">
      <w:pPr>
        <w:pStyle w:val="a3"/>
        <w:rPr>
          <w:sz w:val="18"/>
        </w:rPr>
      </w:pPr>
    </w:p>
    <w:p w14:paraId="00857863" w14:textId="77777777" w:rsidR="00A71EEF" w:rsidRDefault="0081115D">
      <w:pPr>
        <w:pStyle w:val="a4"/>
        <w:numPr>
          <w:ilvl w:val="2"/>
          <w:numId w:val="633"/>
        </w:numPr>
        <w:tabs>
          <w:tab w:val="left" w:pos="1478"/>
        </w:tabs>
        <w:ind w:left="1477" w:hanging="638"/>
        <w:rPr>
          <w:sz w:val="21"/>
        </w:rPr>
      </w:pPr>
      <w:r>
        <w:rPr>
          <w:spacing w:val="-3"/>
          <w:sz w:val="21"/>
        </w:rPr>
        <w:t>喷头的保护高度和保护半径，应符合下列规定：</w:t>
      </w:r>
      <w:r>
        <w:rPr>
          <w:sz w:val="21"/>
        </w:rPr>
        <w:t xml:space="preserve"> </w:t>
      </w:r>
    </w:p>
    <w:p w14:paraId="1B681980" w14:textId="77777777" w:rsidR="00A71EEF" w:rsidRDefault="00A71EEF">
      <w:pPr>
        <w:pStyle w:val="a3"/>
        <w:spacing w:before="12"/>
        <w:rPr>
          <w:sz w:val="17"/>
        </w:rPr>
      </w:pPr>
    </w:p>
    <w:p w14:paraId="03A70B70" w14:textId="77777777" w:rsidR="00A71EEF" w:rsidRDefault="0081115D">
      <w:pPr>
        <w:pStyle w:val="a4"/>
        <w:numPr>
          <w:ilvl w:val="0"/>
          <w:numId w:val="632"/>
        </w:numPr>
        <w:tabs>
          <w:tab w:val="left" w:pos="1367"/>
        </w:tabs>
        <w:rPr>
          <w:sz w:val="21"/>
        </w:rPr>
      </w:pPr>
      <w:r>
        <w:rPr>
          <w:spacing w:val="-8"/>
          <w:sz w:val="21"/>
        </w:rPr>
        <w:t>最大保护高度不宜大于</w:t>
      </w:r>
      <w:r>
        <w:rPr>
          <w:spacing w:val="-8"/>
          <w:sz w:val="21"/>
        </w:rPr>
        <w:t xml:space="preserve"> </w:t>
      </w:r>
      <w:r>
        <w:rPr>
          <w:sz w:val="21"/>
        </w:rPr>
        <w:t>6.5m</w:t>
      </w:r>
      <w:r>
        <w:rPr>
          <w:sz w:val="21"/>
        </w:rPr>
        <w:t>；</w:t>
      </w:r>
      <w:r>
        <w:rPr>
          <w:sz w:val="21"/>
        </w:rPr>
        <w:t xml:space="preserve"> </w:t>
      </w:r>
    </w:p>
    <w:p w14:paraId="3A6E6EB0" w14:textId="77777777" w:rsidR="00A71EEF" w:rsidRDefault="00A71EEF">
      <w:pPr>
        <w:pStyle w:val="a3"/>
        <w:spacing w:before="2"/>
        <w:rPr>
          <w:sz w:val="18"/>
        </w:rPr>
      </w:pPr>
    </w:p>
    <w:p w14:paraId="39993177" w14:textId="77777777" w:rsidR="00A71EEF" w:rsidRDefault="0081115D">
      <w:pPr>
        <w:pStyle w:val="a4"/>
        <w:numPr>
          <w:ilvl w:val="0"/>
          <w:numId w:val="632"/>
        </w:numPr>
        <w:tabs>
          <w:tab w:val="left" w:pos="1367"/>
        </w:tabs>
        <w:rPr>
          <w:sz w:val="21"/>
        </w:rPr>
      </w:pPr>
      <w:r>
        <w:rPr>
          <w:spacing w:val="-8"/>
          <w:sz w:val="21"/>
        </w:rPr>
        <w:t>最小保护高度不应小于</w:t>
      </w:r>
      <w:r>
        <w:rPr>
          <w:spacing w:val="-8"/>
          <w:sz w:val="21"/>
        </w:rPr>
        <w:t xml:space="preserve"> </w:t>
      </w:r>
      <w:r>
        <w:rPr>
          <w:sz w:val="21"/>
        </w:rPr>
        <w:t>0.3 m</w:t>
      </w:r>
      <w:r>
        <w:rPr>
          <w:sz w:val="21"/>
        </w:rPr>
        <w:t>；</w:t>
      </w:r>
      <w:r>
        <w:rPr>
          <w:sz w:val="21"/>
        </w:rPr>
        <w:t xml:space="preserve"> </w:t>
      </w:r>
    </w:p>
    <w:p w14:paraId="450B6404" w14:textId="77777777" w:rsidR="00A71EEF" w:rsidRDefault="00A71EEF">
      <w:pPr>
        <w:pStyle w:val="a3"/>
        <w:rPr>
          <w:sz w:val="18"/>
        </w:rPr>
      </w:pPr>
    </w:p>
    <w:p w14:paraId="6108D9B9" w14:textId="77777777" w:rsidR="00A71EEF" w:rsidRDefault="0081115D">
      <w:pPr>
        <w:pStyle w:val="a4"/>
        <w:numPr>
          <w:ilvl w:val="0"/>
          <w:numId w:val="632"/>
        </w:numPr>
        <w:tabs>
          <w:tab w:val="left" w:pos="1367"/>
        </w:tabs>
        <w:rPr>
          <w:sz w:val="21"/>
        </w:rPr>
      </w:pPr>
      <w:r>
        <w:rPr>
          <w:spacing w:val="-9"/>
          <w:sz w:val="21"/>
        </w:rPr>
        <w:t>喷头安装高度小于</w:t>
      </w:r>
      <w:r>
        <w:rPr>
          <w:spacing w:val="-9"/>
          <w:sz w:val="21"/>
        </w:rPr>
        <w:t xml:space="preserve"> </w:t>
      </w:r>
      <w:r>
        <w:rPr>
          <w:sz w:val="21"/>
        </w:rPr>
        <w:t>1.5</w:t>
      </w:r>
      <w:r>
        <w:rPr>
          <w:spacing w:val="1"/>
          <w:sz w:val="21"/>
        </w:rPr>
        <w:t xml:space="preserve"> </w:t>
      </w:r>
      <w:r>
        <w:rPr>
          <w:sz w:val="21"/>
        </w:rPr>
        <w:t>m</w:t>
      </w:r>
      <w:r>
        <w:rPr>
          <w:spacing w:val="-13"/>
          <w:sz w:val="21"/>
        </w:rPr>
        <w:t xml:space="preserve"> </w:t>
      </w:r>
      <w:r>
        <w:rPr>
          <w:spacing w:val="-13"/>
          <w:sz w:val="21"/>
        </w:rPr>
        <w:t>时，保护半径不宜大于</w:t>
      </w:r>
      <w:r>
        <w:rPr>
          <w:spacing w:val="-13"/>
          <w:sz w:val="21"/>
        </w:rPr>
        <w:t xml:space="preserve"> </w:t>
      </w:r>
      <w:r>
        <w:rPr>
          <w:sz w:val="21"/>
        </w:rPr>
        <w:t>4.5</w:t>
      </w:r>
      <w:r>
        <w:rPr>
          <w:spacing w:val="1"/>
          <w:sz w:val="21"/>
        </w:rPr>
        <w:t xml:space="preserve"> </w:t>
      </w:r>
      <w:r>
        <w:rPr>
          <w:sz w:val="21"/>
        </w:rPr>
        <w:t>m</w:t>
      </w:r>
      <w:r>
        <w:rPr>
          <w:sz w:val="21"/>
        </w:rPr>
        <w:t>；</w:t>
      </w:r>
      <w:r>
        <w:rPr>
          <w:sz w:val="21"/>
        </w:rPr>
        <w:t xml:space="preserve"> </w:t>
      </w:r>
    </w:p>
    <w:p w14:paraId="2B957A1B" w14:textId="77777777" w:rsidR="00A71EEF" w:rsidRDefault="00A71EEF">
      <w:pPr>
        <w:pStyle w:val="a3"/>
        <w:spacing w:before="12"/>
        <w:rPr>
          <w:sz w:val="17"/>
        </w:rPr>
      </w:pPr>
    </w:p>
    <w:p w14:paraId="207A26DE" w14:textId="77777777" w:rsidR="00A71EEF" w:rsidRDefault="0081115D">
      <w:pPr>
        <w:pStyle w:val="a4"/>
        <w:numPr>
          <w:ilvl w:val="0"/>
          <w:numId w:val="632"/>
        </w:numPr>
        <w:tabs>
          <w:tab w:val="left" w:pos="1367"/>
        </w:tabs>
        <w:rPr>
          <w:sz w:val="21"/>
        </w:rPr>
      </w:pPr>
      <w:r>
        <w:rPr>
          <w:spacing w:val="-8"/>
          <w:sz w:val="21"/>
        </w:rPr>
        <w:t>喷头安装高度不小于</w:t>
      </w:r>
      <w:r>
        <w:rPr>
          <w:spacing w:val="-8"/>
          <w:sz w:val="21"/>
        </w:rPr>
        <w:t xml:space="preserve"> </w:t>
      </w:r>
      <w:r>
        <w:rPr>
          <w:sz w:val="21"/>
        </w:rPr>
        <w:t>1.5m</w:t>
      </w:r>
      <w:r>
        <w:rPr>
          <w:spacing w:val="-13"/>
          <w:sz w:val="21"/>
        </w:rPr>
        <w:t xml:space="preserve"> </w:t>
      </w:r>
      <w:r>
        <w:rPr>
          <w:spacing w:val="-13"/>
          <w:sz w:val="21"/>
        </w:rPr>
        <w:t>时，保护半径不应大于</w:t>
      </w:r>
      <w:r>
        <w:rPr>
          <w:spacing w:val="-13"/>
          <w:sz w:val="21"/>
        </w:rPr>
        <w:t xml:space="preserve"> </w:t>
      </w:r>
      <w:r>
        <w:rPr>
          <w:sz w:val="21"/>
        </w:rPr>
        <w:t>7.5</w:t>
      </w:r>
      <w:r>
        <w:rPr>
          <w:spacing w:val="10"/>
          <w:sz w:val="21"/>
        </w:rPr>
        <w:t xml:space="preserve"> </w:t>
      </w:r>
      <w:r>
        <w:rPr>
          <w:spacing w:val="-3"/>
          <w:sz w:val="21"/>
        </w:rPr>
        <w:t>m</w:t>
      </w:r>
      <w:r>
        <w:rPr>
          <w:spacing w:val="-3"/>
          <w:sz w:val="21"/>
        </w:rPr>
        <w:t>。</w:t>
      </w:r>
      <w:r>
        <w:rPr>
          <w:sz w:val="21"/>
        </w:rPr>
        <w:t xml:space="preserve"> </w:t>
      </w:r>
    </w:p>
    <w:p w14:paraId="0931C9F3" w14:textId="77777777" w:rsidR="00A71EEF" w:rsidRDefault="00A71EEF">
      <w:pPr>
        <w:pStyle w:val="a3"/>
        <w:spacing w:before="2"/>
        <w:rPr>
          <w:sz w:val="18"/>
        </w:rPr>
      </w:pPr>
    </w:p>
    <w:p w14:paraId="561D24B3" w14:textId="77777777" w:rsidR="00A71EEF" w:rsidRDefault="0081115D">
      <w:pPr>
        <w:pStyle w:val="a4"/>
        <w:numPr>
          <w:ilvl w:val="2"/>
          <w:numId w:val="633"/>
        </w:numPr>
        <w:tabs>
          <w:tab w:val="left" w:pos="1478"/>
        </w:tabs>
        <w:ind w:left="1477" w:hanging="638"/>
        <w:rPr>
          <w:sz w:val="21"/>
        </w:rPr>
      </w:pPr>
      <w:r>
        <w:rPr>
          <w:spacing w:val="-5"/>
          <w:sz w:val="21"/>
        </w:rPr>
        <w:t>喷头宜贴近防护区顶面安装，距顶面的最大距离不宜大于</w:t>
      </w:r>
      <w:r>
        <w:rPr>
          <w:spacing w:val="-5"/>
          <w:sz w:val="21"/>
        </w:rPr>
        <w:t xml:space="preserve"> </w:t>
      </w:r>
      <w:r>
        <w:rPr>
          <w:sz w:val="21"/>
        </w:rPr>
        <w:t>0.5</w:t>
      </w:r>
      <w:r>
        <w:rPr>
          <w:spacing w:val="20"/>
          <w:sz w:val="21"/>
        </w:rPr>
        <w:t xml:space="preserve"> </w:t>
      </w:r>
      <w:r>
        <w:rPr>
          <w:spacing w:val="-3"/>
          <w:sz w:val="21"/>
        </w:rPr>
        <w:t>m</w:t>
      </w:r>
      <w:r>
        <w:rPr>
          <w:sz w:val="21"/>
        </w:rPr>
        <w:t>。</w:t>
      </w:r>
      <w:r>
        <w:rPr>
          <w:sz w:val="21"/>
        </w:rPr>
        <w:t xml:space="preserve"> </w:t>
      </w:r>
    </w:p>
    <w:p w14:paraId="3715D46C" w14:textId="77777777" w:rsidR="00A71EEF" w:rsidRDefault="00A71EEF">
      <w:pPr>
        <w:pStyle w:val="a3"/>
        <w:rPr>
          <w:sz w:val="18"/>
        </w:rPr>
      </w:pPr>
    </w:p>
    <w:p w14:paraId="5B831491" w14:textId="77777777" w:rsidR="00A71EEF" w:rsidRDefault="0081115D">
      <w:pPr>
        <w:pStyle w:val="a4"/>
        <w:numPr>
          <w:ilvl w:val="2"/>
          <w:numId w:val="633"/>
        </w:numPr>
        <w:tabs>
          <w:tab w:val="left" w:pos="1478"/>
        </w:tabs>
        <w:ind w:left="1477" w:hanging="638"/>
        <w:rPr>
          <w:sz w:val="21"/>
        </w:rPr>
      </w:pPr>
      <w:r>
        <w:rPr>
          <w:spacing w:val="-5"/>
          <w:sz w:val="21"/>
        </w:rPr>
        <w:t>一个防护区设置的预制灭火系统，其装置数量不宜超过</w:t>
      </w:r>
      <w:r>
        <w:rPr>
          <w:spacing w:val="-5"/>
          <w:sz w:val="21"/>
        </w:rPr>
        <w:t xml:space="preserve"> </w:t>
      </w:r>
      <w:r>
        <w:rPr>
          <w:sz w:val="21"/>
        </w:rPr>
        <w:t>10</w:t>
      </w:r>
      <w:r>
        <w:rPr>
          <w:spacing w:val="-20"/>
          <w:sz w:val="21"/>
        </w:rPr>
        <w:t xml:space="preserve"> </w:t>
      </w:r>
      <w:r>
        <w:rPr>
          <w:spacing w:val="-20"/>
          <w:sz w:val="21"/>
        </w:rPr>
        <w:t>台。</w:t>
      </w:r>
      <w:r>
        <w:rPr>
          <w:sz w:val="21"/>
        </w:rPr>
        <w:t xml:space="preserve"> </w:t>
      </w:r>
    </w:p>
    <w:p w14:paraId="4EB8D6A4" w14:textId="77777777" w:rsidR="00A71EEF" w:rsidRDefault="00A71EEF">
      <w:pPr>
        <w:pStyle w:val="a3"/>
        <w:spacing w:before="12"/>
        <w:rPr>
          <w:sz w:val="17"/>
        </w:rPr>
      </w:pPr>
    </w:p>
    <w:p w14:paraId="240F34DC" w14:textId="77777777" w:rsidR="00A71EEF" w:rsidRDefault="0081115D">
      <w:pPr>
        <w:pStyle w:val="a4"/>
        <w:numPr>
          <w:ilvl w:val="2"/>
          <w:numId w:val="633"/>
        </w:numPr>
        <w:tabs>
          <w:tab w:val="left" w:pos="1478"/>
        </w:tabs>
        <w:spacing w:line="446" w:lineRule="auto"/>
        <w:ind w:right="1431" w:firstLine="422"/>
        <w:rPr>
          <w:b/>
          <w:sz w:val="21"/>
        </w:rPr>
      </w:pPr>
      <w:r>
        <w:rPr>
          <w:spacing w:val="-6"/>
          <w:sz w:val="21"/>
        </w:rPr>
        <w:t>同一防护区内的预制灭火系统装置多于</w:t>
      </w:r>
      <w:r>
        <w:rPr>
          <w:spacing w:val="-6"/>
          <w:sz w:val="21"/>
        </w:rPr>
        <w:t xml:space="preserve"> </w:t>
      </w:r>
      <w:r>
        <w:rPr>
          <w:sz w:val="21"/>
        </w:rPr>
        <w:t>1</w:t>
      </w:r>
      <w:r>
        <w:rPr>
          <w:spacing w:val="-11"/>
          <w:sz w:val="21"/>
        </w:rPr>
        <w:t xml:space="preserve"> </w:t>
      </w:r>
      <w:r>
        <w:rPr>
          <w:spacing w:val="-11"/>
          <w:sz w:val="21"/>
        </w:rPr>
        <w:t>台时，必须能同时启动</w:t>
      </w:r>
      <w:r>
        <w:rPr>
          <w:spacing w:val="-11"/>
          <w:sz w:val="21"/>
        </w:rPr>
        <w:t>,</w:t>
      </w:r>
      <w:r>
        <w:rPr>
          <w:spacing w:val="-11"/>
          <w:sz w:val="21"/>
        </w:rPr>
        <w:t>其动作响应时差不</w:t>
      </w:r>
      <w:r>
        <w:rPr>
          <w:spacing w:val="-18"/>
          <w:sz w:val="21"/>
        </w:rPr>
        <w:t>得大于</w:t>
      </w:r>
      <w:r>
        <w:rPr>
          <w:spacing w:val="-18"/>
          <w:sz w:val="21"/>
        </w:rPr>
        <w:t xml:space="preserve"> </w:t>
      </w:r>
      <w:r>
        <w:rPr>
          <w:sz w:val="21"/>
        </w:rPr>
        <w:t>2s</w:t>
      </w:r>
      <w:r>
        <w:rPr>
          <w:spacing w:val="-3"/>
          <w:sz w:val="21"/>
        </w:rPr>
        <w:t>。</w:t>
      </w:r>
      <w:r>
        <w:rPr>
          <w:b/>
          <w:w w:val="99"/>
          <w:sz w:val="21"/>
        </w:rPr>
        <w:t xml:space="preserve"> </w:t>
      </w:r>
    </w:p>
    <w:p w14:paraId="766BA93F" w14:textId="77777777" w:rsidR="00A71EEF" w:rsidRDefault="0081115D">
      <w:pPr>
        <w:pStyle w:val="a4"/>
        <w:numPr>
          <w:ilvl w:val="2"/>
          <w:numId w:val="633"/>
        </w:numPr>
        <w:tabs>
          <w:tab w:val="left" w:pos="1478"/>
        </w:tabs>
        <w:spacing w:line="446" w:lineRule="auto"/>
        <w:ind w:right="1431" w:firstLine="422"/>
        <w:rPr>
          <w:sz w:val="21"/>
        </w:rPr>
      </w:pPr>
      <w:r>
        <w:rPr>
          <w:spacing w:val="-5"/>
          <w:sz w:val="21"/>
        </w:rPr>
        <w:t>单台热气溶胶预制灭火系统装置的保护容积不应大于</w:t>
      </w:r>
      <w:r>
        <w:rPr>
          <w:spacing w:val="-5"/>
          <w:sz w:val="21"/>
        </w:rPr>
        <w:t xml:space="preserve"> </w:t>
      </w:r>
      <w:r>
        <w:rPr>
          <w:spacing w:val="-9"/>
          <w:sz w:val="21"/>
        </w:rPr>
        <w:t>160m³</w:t>
      </w:r>
      <w:r>
        <w:rPr>
          <w:spacing w:val="-9"/>
          <w:sz w:val="21"/>
        </w:rPr>
        <w:t>；设置多台装置时，其相</w:t>
      </w:r>
      <w:r>
        <w:rPr>
          <w:spacing w:val="-10"/>
          <w:sz w:val="21"/>
        </w:rPr>
        <w:t>互间的距离不得大于</w:t>
      </w:r>
      <w:r>
        <w:rPr>
          <w:spacing w:val="-10"/>
          <w:sz w:val="21"/>
        </w:rPr>
        <w:t xml:space="preserve"> </w:t>
      </w:r>
      <w:r>
        <w:rPr>
          <w:sz w:val="21"/>
        </w:rPr>
        <w:t>10m</w:t>
      </w:r>
      <w:r>
        <w:rPr>
          <w:sz w:val="21"/>
        </w:rPr>
        <w:t>。</w:t>
      </w:r>
      <w:r>
        <w:rPr>
          <w:sz w:val="21"/>
        </w:rPr>
        <w:t xml:space="preserve"> </w:t>
      </w:r>
    </w:p>
    <w:p w14:paraId="1B48C11D" w14:textId="77777777" w:rsidR="00A71EEF" w:rsidRDefault="0081115D">
      <w:pPr>
        <w:pStyle w:val="a4"/>
        <w:numPr>
          <w:ilvl w:val="2"/>
          <w:numId w:val="633"/>
        </w:numPr>
        <w:tabs>
          <w:tab w:val="left" w:pos="1478"/>
        </w:tabs>
        <w:ind w:left="1477" w:hanging="638"/>
        <w:rPr>
          <w:sz w:val="21"/>
        </w:rPr>
      </w:pPr>
      <w:r>
        <w:rPr>
          <w:spacing w:val="-5"/>
          <w:sz w:val="21"/>
        </w:rPr>
        <w:t>采用热气溶胶预制灭火系统的防护区，其高度不宜大于</w:t>
      </w:r>
      <w:r>
        <w:rPr>
          <w:spacing w:val="-5"/>
          <w:sz w:val="21"/>
        </w:rPr>
        <w:t xml:space="preserve"> </w:t>
      </w:r>
      <w:r>
        <w:rPr>
          <w:sz w:val="21"/>
        </w:rPr>
        <w:t>6.0m</w:t>
      </w:r>
      <w:r>
        <w:rPr>
          <w:spacing w:val="-3"/>
          <w:sz w:val="21"/>
        </w:rPr>
        <w:t>。</w:t>
      </w:r>
      <w:r>
        <w:rPr>
          <w:sz w:val="21"/>
        </w:rPr>
        <w:t xml:space="preserve"> </w:t>
      </w:r>
    </w:p>
    <w:p w14:paraId="51252650" w14:textId="77777777" w:rsidR="00A71EEF" w:rsidRDefault="00A71EEF">
      <w:pPr>
        <w:pStyle w:val="a3"/>
        <w:rPr>
          <w:sz w:val="18"/>
        </w:rPr>
      </w:pPr>
    </w:p>
    <w:p w14:paraId="193BAE6C" w14:textId="77777777" w:rsidR="00A71EEF" w:rsidRDefault="0081115D">
      <w:pPr>
        <w:pStyle w:val="a4"/>
        <w:numPr>
          <w:ilvl w:val="2"/>
          <w:numId w:val="633"/>
        </w:numPr>
        <w:tabs>
          <w:tab w:val="left" w:pos="1478"/>
        </w:tabs>
        <w:ind w:left="1477" w:hanging="638"/>
        <w:rPr>
          <w:sz w:val="21"/>
        </w:rPr>
      </w:pPr>
      <w:r>
        <w:rPr>
          <w:spacing w:val="-6"/>
          <w:sz w:val="21"/>
        </w:rPr>
        <w:t>热气溶胶预制灭火系统装置的喷口宜高于防护区地面</w:t>
      </w:r>
      <w:r>
        <w:rPr>
          <w:spacing w:val="-6"/>
          <w:sz w:val="21"/>
        </w:rPr>
        <w:t xml:space="preserve"> </w:t>
      </w:r>
      <w:r>
        <w:rPr>
          <w:sz w:val="21"/>
        </w:rPr>
        <w:t>2.0m</w:t>
      </w:r>
      <w:r>
        <w:rPr>
          <w:spacing w:val="-3"/>
          <w:sz w:val="21"/>
        </w:rPr>
        <w:t>。</w:t>
      </w:r>
      <w:r>
        <w:rPr>
          <w:sz w:val="21"/>
        </w:rPr>
        <w:t xml:space="preserve"> </w:t>
      </w:r>
    </w:p>
    <w:p w14:paraId="219F132B" w14:textId="77777777" w:rsidR="00A71EEF" w:rsidRDefault="00A71EEF">
      <w:pPr>
        <w:pStyle w:val="a3"/>
        <w:spacing w:before="12"/>
        <w:rPr>
          <w:sz w:val="17"/>
        </w:rPr>
      </w:pPr>
    </w:p>
    <w:p w14:paraId="6EAF195B" w14:textId="77777777" w:rsidR="00A71EEF" w:rsidRDefault="0081115D">
      <w:pPr>
        <w:pStyle w:val="a4"/>
        <w:numPr>
          <w:ilvl w:val="1"/>
          <w:numId w:val="633"/>
        </w:numPr>
        <w:tabs>
          <w:tab w:val="left" w:pos="1159"/>
        </w:tabs>
        <w:ind w:hanging="319"/>
        <w:rPr>
          <w:sz w:val="21"/>
        </w:rPr>
      </w:pPr>
      <w:r>
        <w:rPr>
          <w:spacing w:val="-3"/>
          <w:sz w:val="21"/>
        </w:rPr>
        <w:t>系统设置</w:t>
      </w:r>
      <w:r>
        <w:rPr>
          <w:sz w:val="21"/>
        </w:rPr>
        <w:t xml:space="preserve"> </w:t>
      </w:r>
    </w:p>
    <w:p w14:paraId="4E6CB5DD" w14:textId="77777777" w:rsidR="00A71EEF" w:rsidRDefault="00A71EEF">
      <w:pPr>
        <w:pStyle w:val="a3"/>
        <w:spacing w:before="2"/>
        <w:rPr>
          <w:sz w:val="18"/>
        </w:rPr>
      </w:pPr>
    </w:p>
    <w:p w14:paraId="3B89B83A" w14:textId="77777777" w:rsidR="00A71EEF" w:rsidRDefault="0081115D">
      <w:pPr>
        <w:pStyle w:val="a4"/>
        <w:numPr>
          <w:ilvl w:val="2"/>
          <w:numId w:val="633"/>
        </w:numPr>
        <w:tabs>
          <w:tab w:val="left" w:pos="1370"/>
        </w:tabs>
        <w:ind w:left="1369" w:hanging="530"/>
        <w:rPr>
          <w:sz w:val="21"/>
        </w:rPr>
      </w:pPr>
      <w:r>
        <w:rPr>
          <w:spacing w:val="-3"/>
          <w:sz w:val="21"/>
        </w:rPr>
        <w:t>气体灭火系统适用于扑救下列火灾：</w:t>
      </w:r>
      <w:r>
        <w:rPr>
          <w:sz w:val="21"/>
        </w:rPr>
        <w:t xml:space="preserve"> </w:t>
      </w:r>
    </w:p>
    <w:p w14:paraId="2D6D53DA" w14:textId="77777777" w:rsidR="00A71EEF" w:rsidRDefault="00A71EEF">
      <w:pPr>
        <w:pStyle w:val="a3"/>
        <w:rPr>
          <w:sz w:val="18"/>
        </w:rPr>
      </w:pPr>
    </w:p>
    <w:p w14:paraId="5636904F" w14:textId="77777777" w:rsidR="00A71EEF" w:rsidRDefault="0081115D">
      <w:pPr>
        <w:pStyle w:val="a4"/>
        <w:numPr>
          <w:ilvl w:val="0"/>
          <w:numId w:val="631"/>
        </w:numPr>
        <w:tabs>
          <w:tab w:val="left" w:pos="1367"/>
        </w:tabs>
        <w:rPr>
          <w:sz w:val="21"/>
        </w:rPr>
      </w:pPr>
      <w:r>
        <w:rPr>
          <w:spacing w:val="-3"/>
          <w:sz w:val="21"/>
        </w:rPr>
        <w:t>电气火灾；</w:t>
      </w:r>
      <w:r>
        <w:rPr>
          <w:sz w:val="21"/>
        </w:rPr>
        <w:t xml:space="preserve"> </w:t>
      </w:r>
    </w:p>
    <w:p w14:paraId="064B16CC" w14:textId="77777777" w:rsidR="00A71EEF" w:rsidRDefault="00A71EEF">
      <w:pPr>
        <w:pStyle w:val="a3"/>
        <w:spacing w:before="12"/>
        <w:rPr>
          <w:sz w:val="17"/>
        </w:rPr>
      </w:pPr>
    </w:p>
    <w:p w14:paraId="09B63966" w14:textId="77777777" w:rsidR="00A71EEF" w:rsidRDefault="0081115D">
      <w:pPr>
        <w:pStyle w:val="a4"/>
        <w:numPr>
          <w:ilvl w:val="0"/>
          <w:numId w:val="631"/>
        </w:numPr>
        <w:tabs>
          <w:tab w:val="left" w:pos="1367"/>
        </w:tabs>
        <w:rPr>
          <w:sz w:val="21"/>
        </w:rPr>
      </w:pPr>
      <w:r>
        <w:rPr>
          <w:spacing w:val="-3"/>
          <w:sz w:val="21"/>
        </w:rPr>
        <w:t>固体表面火灾；</w:t>
      </w:r>
      <w:r>
        <w:rPr>
          <w:sz w:val="21"/>
        </w:rPr>
        <w:t xml:space="preserve"> </w:t>
      </w:r>
    </w:p>
    <w:p w14:paraId="2EC4B4C1" w14:textId="77777777" w:rsidR="00A71EEF" w:rsidRDefault="00A71EEF">
      <w:pPr>
        <w:pStyle w:val="a3"/>
        <w:spacing w:before="2"/>
        <w:rPr>
          <w:sz w:val="18"/>
        </w:rPr>
      </w:pPr>
    </w:p>
    <w:p w14:paraId="4B571A84" w14:textId="77777777" w:rsidR="00A71EEF" w:rsidRDefault="0081115D">
      <w:pPr>
        <w:pStyle w:val="a4"/>
        <w:numPr>
          <w:ilvl w:val="0"/>
          <w:numId w:val="631"/>
        </w:numPr>
        <w:tabs>
          <w:tab w:val="left" w:pos="1367"/>
        </w:tabs>
        <w:rPr>
          <w:sz w:val="21"/>
        </w:rPr>
      </w:pPr>
      <w:r>
        <w:rPr>
          <w:spacing w:val="-3"/>
          <w:sz w:val="21"/>
        </w:rPr>
        <w:t>液体火灾；</w:t>
      </w:r>
      <w:r>
        <w:rPr>
          <w:sz w:val="21"/>
        </w:rPr>
        <w:t xml:space="preserve"> </w:t>
      </w:r>
    </w:p>
    <w:p w14:paraId="67A121F4" w14:textId="77777777" w:rsidR="00A71EEF" w:rsidRDefault="00A71EEF">
      <w:pPr>
        <w:pStyle w:val="a3"/>
        <w:rPr>
          <w:sz w:val="18"/>
        </w:rPr>
      </w:pPr>
    </w:p>
    <w:p w14:paraId="2BA06BFA" w14:textId="77777777" w:rsidR="00A71EEF" w:rsidRDefault="0081115D">
      <w:pPr>
        <w:pStyle w:val="a4"/>
        <w:numPr>
          <w:ilvl w:val="0"/>
          <w:numId w:val="631"/>
        </w:numPr>
        <w:tabs>
          <w:tab w:val="left" w:pos="1367"/>
        </w:tabs>
        <w:rPr>
          <w:sz w:val="21"/>
        </w:rPr>
      </w:pPr>
      <w:r>
        <w:rPr>
          <w:spacing w:val="-3"/>
          <w:sz w:val="21"/>
        </w:rPr>
        <w:t>灭火前能切断气源的气体火灾。</w:t>
      </w:r>
      <w:r>
        <w:rPr>
          <w:sz w:val="21"/>
        </w:rPr>
        <w:t xml:space="preserve"> </w:t>
      </w:r>
    </w:p>
    <w:p w14:paraId="445B2399" w14:textId="77777777" w:rsidR="00A71EEF" w:rsidRDefault="00A71EEF">
      <w:pPr>
        <w:pStyle w:val="a3"/>
        <w:spacing w:before="12"/>
        <w:rPr>
          <w:sz w:val="17"/>
        </w:rPr>
      </w:pPr>
    </w:p>
    <w:p w14:paraId="77716CE3" w14:textId="77777777" w:rsidR="00A71EEF" w:rsidRDefault="0081115D">
      <w:pPr>
        <w:pStyle w:val="a3"/>
        <w:spacing w:line="446" w:lineRule="auto"/>
        <w:ind w:left="418" w:right="1382" w:firstLine="419"/>
      </w:pPr>
      <w:r>
        <w:t>注：除电缆隧道（夹层、井）及自备发电机房外，</w:t>
      </w:r>
      <w:r>
        <w:t xml:space="preserve">K </w:t>
      </w:r>
      <w:r>
        <w:t>型和其他型热气溶胶预制灭火系统不得用于其他电气火灾。</w:t>
      </w:r>
      <w:r>
        <w:t xml:space="preserve"> </w:t>
      </w:r>
    </w:p>
    <w:p w14:paraId="556B252B" w14:textId="77777777" w:rsidR="00A71EEF" w:rsidRDefault="00A71EEF">
      <w:pPr>
        <w:spacing w:line="446" w:lineRule="auto"/>
        <w:sectPr w:rsidR="00A71EEF">
          <w:pgSz w:w="11910" w:h="16850"/>
          <w:pgMar w:top="1220" w:right="0" w:bottom="1420" w:left="1260" w:header="0" w:footer="1239" w:gutter="0"/>
          <w:cols w:space="720"/>
        </w:sectPr>
      </w:pPr>
    </w:p>
    <w:p w14:paraId="0A7DC142" w14:textId="77777777" w:rsidR="00A71EEF" w:rsidRDefault="0081115D">
      <w:pPr>
        <w:pStyle w:val="a4"/>
        <w:numPr>
          <w:ilvl w:val="2"/>
          <w:numId w:val="633"/>
        </w:numPr>
        <w:tabs>
          <w:tab w:val="left" w:pos="1370"/>
        </w:tabs>
        <w:spacing w:before="47"/>
        <w:ind w:left="1369" w:hanging="530"/>
        <w:rPr>
          <w:sz w:val="21"/>
        </w:rPr>
      </w:pPr>
      <w:r>
        <w:rPr>
          <w:spacing w:val="-3"/>
          <w:sz w:val="21"/>
        </w:rPr>
        <w:t>气体灭火系统不适用于扑救下列火灾：</w:t>
      </w:r>
      <w:r>
        <w:rPr>
          <w:sz w:val="21"/>
        </w:rPr>
        <w:t xml:space="preserve"> </w:t>
      </w:r>
    </w:p>
    <w:p w14:paraId="156BC444" w14:textId="77777777" w:rsidR="00A71EEF" w:rsidRDefault="00A71EEF">
      <w:pPr>
        <w:pStyle w:val="a3"/>
        <w:rPr>
          <w:sz w:val="18"/>
        </w:rPr>
      </w:pPr>
    </w:p>
    <w:p w14:paraId="62551C86" w14:textId="77777777" w:rsidR="00A71EEF" w:rsidRDefault="0081115D">
      <w:pPr>
        <w:pStyle w:val="a4"/>
        <w:numPr>
          <w:ilvl w:val="0"/>
          <w:numId w:val="630"/>
        </w:numPr>
        <w:tabs>
          <w:tab w:val="left" w:pos="1367"/>
        </w:tabs>
        <w:rPr>
          <w:sz w:val="21"/>
        </w:rPr>
      </w:pPr>
      <w:r>
        <w:rPr>
          <w:spacing w:val="-3"/>
          <w:sz w:val="21"/>
        </w:rPr>
        <w:t>硝化纤维、硝酸钠等氧化剂或含氧化剂的化学制品火灾；</w:t>
      </w:r>
      <w:r>
        <w:rPr>
          <w:sz w:val="21"/>
        </w:rPr>
        <w:t xml:space="preserve"> </w:t>
      </w:r>
    </w:p>
    <w:p w14:paraId="763426E1" w14:textId="77777777" w:rsidR="00A71EEF" w:rsidRDefault="00A71EEF">
      <w:pPr>
        <w:pStyle w:val="a3"/>
        <w:rPr>
          <w:sz w:val="18"/>
        </w:rPr>
      </w:pPr>
    </w:p>
    <w:p w14:paraId="49C47CA6" w14:textId="77777777" w:rsidR="00A71EEF" w:rsidRDefault="0081115D">
      <w:pPr>
        <w:pStyle w:val="a4"/>
        <w:numPr>
          <w:ilvl w:val="0"/>
          <w:numId w:val="630"/>
        </w:numPr>
        <w:tabs>
          <w:tab w:val="left" w:pos="1367"/>
        </w:tabs>
        <w:rPr>
          <w:sz w:val="21"/>
        </w:rPr>
      </w:pPr>
      <w:r>
        <w:rPr>
          <w:spacing w:val="-3"/>
          <w:sz w:val="21"/>
        </w:rPr>
        <w:t>钾、镁、钠、钛、锆、铀等活泼金属火灾；</w:t>
      </w:r>
      <w:r>
        <w:rPr>
          <w:sz w:val="21"/>
        </w:rPr>
        <w:t xml:space="preserve"> </w:t>
      </w:r>
    </w:p>
    <w:p w14:paraId="11EED056" w14:textId="77777777" w:rsidR="00A71EEF" w:rsidRDefault="00A71EEF">
      <w:pPr>
        <w:pStyle w:val="a3"/>
        <w:spacing w:before="1"/>
        <w:rPr>
          <w:sz w:val="18"/>
        </w:rPr>
      </w:pPr>
    </w:p>
    <w:p w14:paraId="11BB3987" w14:textId="77777777" w:rsidR="00A71EEF" w:rsidRDefault="0081115D">
      <w:pPr>
        <w:pStyle w:val="a4"/>
        <w:numPr>
          <w:ilvl w:val="0"/>
          <w:numId w:val="630"/>
        </w:numPr>
        <w:tabs>
          <w:tab w:val="left" w:pos="1367"/>
        </w:tabs>
        <w:spacing w:before="1"/>
        <w:rPr>
          <w:sz w:val="21"/>
        </w:rPr>
      </w:pPr>
      <w:r>
        <w:rPr>
          <w:spacing w:val="-3"/>
          <w:sz w:val="21"/>
        </w:rPr>
        <w:t>氢化钾、氢化钠等金属氢化物火灾；</w:t>
      </w:r>
      <w:r>
        <w:rPr>
          <w:sz w:val="21"/>
        </w:rPr>
        <w:t xml:space="preserve"> </w:t>
      </w:r>
    </w:p>
    <w:p w14:paraId="569AB20E" w14:textId="77777777" w:rsidR="00A71EEF" w:rsidRDefault="00A71EEF">
      <w:pPr>
        <w:pStyle w:val="a3"/>
        <w:spacing w:before="12"/>
        <w:rPr>
          <w:sz w:val="17"/>
        </w:rPr>
      </w:pPr>
    </w:p>
    <w:p w14:paraId="07AD9DE7" w14:textId="77777777" w:rsidR="00A71EEF" w:rsidRDefault="0081115D">
      <w:pPr>
        <w:pStyle w:val="a4"/>
        <w:numPr>
          <w:ilvl w:val="0"/>
          <w:numId w:val="630"/>
        </w:numPr>
        <w:tabs>
          <w:tab w:val="left" w:pos="1367"/>
        </w:tabs>
        <w:rPr>
          <w:sz w:val="21"/>
        </w:rPr>
      </w:pPr>
      <w:r>
        <w:rPr>
          <w:spacing w:val="-3"/>
          <w:sz w:val="21"/>
        </w:rPr>
        <w:t>过氧化氢、联胺等能自行分解的化学物质火灾。</w:t>
      </w:r>
      <w:r>
        <w:rPr>
          <w:spacing w:val="-3"/>
          <w:sz w:val="21"/>
        </w:rPr>
        <w:t xml:space="preserve"> </w:t>
      </w:r>
    </w:p>
    <w:p w14:paraId="2A8F6017" w14:textId="77777777" w:rsidR="00A71EEF" w:rsidRDefault="00A71EEF">
      <w:pPr>
        <w:pStyle w:val="a3"/>
        <w:spacing w:before="12"/>
        <w:rPr>
          <w:sz w:val="17"/>
        </w:rPr>
      </w:pPr>
    </w:p>
    <w:p w14:paraId="59661C89" w14:textId="77777777" w:rsidR="00A71EEF" w:rsidRDefault="0081115D">
      <w:pPr>
        <w:pStyle w:val="a4"/>
        <w:numPr>
          <w:ilvl w:val="0"/>
          <w:numId w:val="630"/>
        </w:numPr>
        <w:tabs>
          <w:tab w:val="left" w:pos="1367"/>
        </w:tabs>
        <w:rPr>
          <w:sz w:val="21"/>
        </w:rPr>
      </w:pPr>
      <w:r>
        <w:rPr>
          <w:spacing w:val="-3"/>
          <w:sz w:val="21"/>
        </w:rPr>
        <w:t>可燃固体物质的深位火灾。</w:t>
      </w:r>
      <w:r>
        <w:rPr>
          <w:sz w:val="21"/>
        </w:rPr>
        <w:t xml:space="preserve"> </w:t>
      </w:r>
    </w:p>
    <w:p w14:paraId="3D6186DE" w14:textId="77777777" w:rsidR="00A71EEF" w:rsidRDefault="00A71EEF">
      <w:pPr>
        <w:pStyle w:val="a3"/>
        <w:spacing w:before="2"/>
        <w:rPr>
          <w:sz w:val="18"/>
        </w:rPr>
      </w:pPr>
    </w:p>
    <w:p w14:paraId="617FB6FB" w14:textId="77777777" w:rsidR="00A71EEF" w:rsidRDefault="0081115D">
      <w:pPr>
        <w:pStyle w:val="a4"/>
        <w:numPr>
          <w:ilvl w:val="2"/>
          <w:numId w:val="633"/>
        </w:numPr>
        <w:tabs>
          <w:tab w:val="left" w:pos="1370"/>
        </w:tabs>
        <w:spacing w:line="446" w:lineRule="auto"/>
        <w:ind w:right="1431" w:firstLine="422"/>
        <w:rPr>
          <w:sz w:val="21"/>
        </w:rPr>
      </w:pPr>
      <w:r>
        <w:rPr>
          <w:spacing w:val="-5"/>
          <w:sz w:val="21"/>
        </w:rPr>
        <w:t>热气溶胶预制灭火系统不应设置在人员密集场所、有爆炸危险性的场所及有超净要求</w:t>
      </w:r>
      <w:r>
        <w:rPr>
          <w:spacing w:val="-4"/>
          <w:sz w:val="21"/>
        </w:rPr>
        <w:t>的场所。</w:t>
      </w:r>
      <w:r>
        <w:rPr>
          <w:sz w:val="21"/>
        </w:rPr>
        <w:t>K</w:t>
      </w:r>
      <w:r>
        <w:rPr>
          <w:spacing w:val="-8"/>
          <w:sz w:val="21"/>
        </w:rPr>
        <w:t xml:space="preserve"> </w:t>
      </w:r>
      <w:r>
        <w:rPr>
          <w:spacing w:val="-8"/>
          <w:sz w:val="21"/>
        </w:rPr>
        <w:t>型及其他型热气溶胶预制灭火系统不得用于电子计算机房、通讯机房等场所。</w:t>
      </w:r>
      <w:r>
        <w:rPr>
          <w:sz w:val="21"/>
        </w:rPr>
        <w:t xml:space="preserve"> </w:t>
      </w:r>
    </w:p>
    <w:p w14:paraId="7B9BAE32" w14:textId="77777777" w:rsidR="00A71EEF" w:rsidRDefault="0081115D">
      <w:pPr>
        <w:pStyle w:val="a4"/>
        <w:numPr>
          <w:ilvl w:val="2"/>
          <w:numId w:val="633"/>
        </w:numPr>
        <w:tabs>
          <w:tab w:val="left" w:pos="1370"/>
        </w:tabs>
        <w:spacing w:line="267" w:lineRule="exact"/>
        <w:ind w:left="1369" w:hanging="530"/>
        <w:rPr>
          <w:sz w:val="21"/>
        </w:rPr>
      </w:pPr>
      <w:r>
        <w:rPr>
          <w:spacing w:val="-3"/>
          <w:sz w:val="21"/>
        </w:rPr>
        <w:t>防护区划分应符合下列规定：</w:t>
      </w:r>
      <w:r>
        <w:rPr>
          <w:sz w:val="21"/>
        </w:rPr>
        <w:t xml:space="preserve"> </w:t>
      </w:r>
    </w:p>
    <w:p w14:paraId="1E76AD67" w14:textId="77777777" w:rsidR="00A71EEF" w:rsidRDefault="00A71EEF">
      <w:pPr>
        <w:pStyle w:val="a3"/>
        <w:spacing w:before="2"/>
        <w:rPr>
          <w:sz w:val="18"/>
        </w:rPr>
      </w:pPr>
    </w:p>
    <w:p w14:paraId="49E6F7FF" w14:textId="77777777" w:rsidR="00A71EEF" w:rsidRDefault="0081115D">
      <w:pPr>
        <w:pStyle w:val="a4"/>
        <w:numPr>
          <w:ilvl w:val="0"/>
          <w:numId w:val="629"/>
        </w:numPr>
        <w:tabs>
          <w:tab w:val="left" w:pos="1367"/>
        </w:tabs>
        <w:spacing w:line="446" w:lineRule="auto"/>
        <w:ind w:right="1431" w:firstLine="419"/>
        <w:rPr>
          <w:sz w:val="21"/>
        </w:rPr>
      </w:pPr>
      <w:r>
        <w:rPr>
          <w:spacing w:val="-9"/>
          <w:sz w:val="21"/>
        </w:rPr>
        <w:t>防护区宜以单个封闭空间划分；同一区间的吊顶层和地板下需同时保护时，可合为一</w:t>
      </w:r>
      <w:r>
        <w:rPr>
          <w:spacing w:val="-9"/>
          <w:sz w:val="21"/>
        </w:rPr>
        <w:t xml:space="preserve"> </w:t>
      </w:r>
      <w:r>
        <w:rPr>
          <w:spacing w:val="-7"/>
          <w:sz w:val="21"/>
        </w:rPr>
        <w:t>个防护区；</w:t>
      </w:r>
      <w:r>
        <w:rPr>
          <w:sz w:val="21"/>
        </w:rPr>
        <w:t xml:space="preserve"> </w:t>
      </w:r>
    </w:p>
    <w:p w14:paraId="3CC4D897" w14:textId="77777777" w:rsidR="00A71EEF" w:rsidRDefault="0081115D">
      <w:pPr>
        <w:pStyle w:val="a4"/>
        <w:numPr>
          <w:ilvl w:val="0"/>
          <w:numId w:val="629"/>
        </w:numPr>
        <w:tabs>
          <w:tab w:val="left" w:pos="1367"/>
        </w:tabs>
        <w:spacing w:line="267" w:lineRule="exact"/>
        <w:ind w:left="1367"/>
        <w:rPr>
          <w:sz w:val="21"/>
        </w:rPr>
      </w:pPr>
      <w:r>
        <w:rPr>
          <w:spacing w:val="-6"/>
          <w:sz w:val="21"/>
        </w:rPr>
        <w:t>采用管网灭火系统时，一个防护区的面积不宜大于</w:t>
      </w:r>
      <w:r>
        <w:rPr>
          <w:spacing w:val="-6"/>
          <w:sz w:val="21"/>
        </w:rPr>
        <w:t xml:space="preserve"> </w:t>
      </w:r>
      <w:r>
        <w:rPr>
          <w:sz w:val="21"/>
        </w:rPr>
        <w:t>800m²</w:t>
      </w:r>
      <w:r>
        <w:rPr>
          <w:spacing w:val="-9"/>
          <w:sz w:val="21"/>
        </w:rPr>
        <w:t>，且容积不宜大于</w:t>
      </w:r>
      <w:r>
        <w:rPr>
          <w:spacing w:val="-9"/>
          <w:sz w:val="21"/>
        </w:rPr>
        <w:t xml:space="preserve"> </w:t>
      </w:r>
      <w:r>
        <w:rPr>
          <w:sz w:val="21"/>
        </w:rPr>
        <w:t>3600m³</w:t>
      </w:r>
      <w:r>
        <w:rPr>
          <w:sz w:val="21"/>
        </w:rPr>
        <w:t>；</w:t>
      </w:r>
      <w:r>
        <w:rPr>
          <w:sz w:val="21"/>
        </w:rPr>
        <w:t xml:space="preserve"> </w:t>
      </w:r>
    </w:p>
    <w:p w14:paraId="66B5E25C" w14:textId="77777777" w:rsidR="00A71EEF" w:rsidRDefault="00A71EEF">
      <w:pPr>
        <w:pStyle w:val="a3"/>
        <w:spacing w:before="2"/>
        <w:rPr>
          <w:sz w:val="18"/>
        </w:rPr>
      </w:pPr>
    </w:p>
    <w:p w14:paraId="6AB9C487" w14:textId="77777777" w:rsidR="00A71EEF" w:rsidRDefault="0081115D">
      <w:pPr>
        <w:pStyle w:val="a4"/>
        <w:numPr>
          <w:ilvl w:val="0"/>
          <w:numId w:val="629"/>
        </w:numPr>
        <w:tabs>
          <w:tab w:val="left" w:pos="1367"/>
        </w:tabs>
        <w:spacing w:line="446" w:lineRule="auto"/>
        <w:ind w:left="840" w:right="1330" w:hanging="3"/>
        <w:rPr>
          <w:sz w:val="21"/>
        </w:rPr>
      </w:pPr>
      <w:r>
        <w:rPr>
          <w:spacing w:val="-5"/>
          <w:sz w:val="21"/>
        </w:rPr>
        <w:t>采用预制灭火系统时，一个防护区的面积不宜大于</w:t>
      </w:r>
      <w:r>
        <w:rPr>
          <w:spacing w:val="-5"/>
          <w:sz w:val="21"/>
        </w:rPr>
        <w:t xml:space="preserve"> </w:t>
      </w:r>
      <w:r>
        <w:rPr>
          <w:sz w:val="21"/>
        </w:rPr>
        <w:t>500m²</w:t>
      </w:r>
      <w:r>
        <w:rPr>
          <w:spacing w:val="-8"/>
          <w:sz w:val="21"/>
        </w:rPr>
        <w:t>，且容积不宜大于</w:t>
      </w:r>
      <w:r>
        <w:rPr>
          <w:spacing w:val="-8"/>
          <w:sz w:val="21"/>
        </w:rPr>
        <w:t xml:space="preserve"> </w:t>
      </w:r>
      <w:r>
        <w:rPr>
          <w:sz w:val="21"/>
        </w:rPr>
        <w:t>1600m³</w:t>
      </w:r>
      <w:r>
        <w:rPr>
          <w:spacing w:val="-3"/>
          <w:sz w:val="21"/>
        </w:rPr>
        <w:t>。</w:t>
      </w:r>
      <w:r>
        <w:rPr>
          <w:b/>
          <w:w w:val="99"/>
          <w:sz w:val="21"/>
        </w:rPr>
        <w:t>3.2.</w:t>
      </w:r>
      <w:r>
        <w:rPr>
          <w:b/>
          <w:spacing w:val="2"/>
          <w:w w:val="99"/>
          <w:sz w:val="21"/>
        </w:rPr>
        <w:t>5</w:t>
      </w:r>
      <w:r>
        <w:rPr>
          <w:spacing w:val="-2"/>
          <w:sz w:val="21"/>
        </w:rPr>
        <w:t xml:space="preserve"> </w:t>
      </w:r>
      <w:r>
        <w:rPr>
          <w:spacing w:val="-2"/>
          <w:sz w:val="21"/>
        </w:rPr>
        <w:t>防护区围护结构及门窗的耐火极限均不宜低于</w:t>
      </w:r>
      <w:r>
        <w:rPr>
          <w:sz w:val="21"/>
        </w:rPr>
        <w:t>0.5</w:t>
      </w:r>
      <w:r>
        <w:rPr>
          <w:spacing w:val="-3"/>
          <w:sz w:val="21"/>
        </w:rPr>
        <w:t>h</w:t>
      </w:r>
      <w:r>
        <w:rPr>
          <w:spacing w:val="-11"/>
          <w:sz w:val="21"/>
        </w:rPr>
        <w:t>；吊顶的耐火极限不宜低于</w:t>
      </w:r>
      <w:r>
        <w:rPr>
          <w:sz w:val="21"/>
        </w:rPr>
        <w:t>0.2</w:t>
      </w:r>
      <w:r>
        <w:rPr>
          <w:spacing w:val="-3"/>
          <w:sz w:val="21"/>
        </w:rPr>
        <w:t>5</w:t>
      </w:r>
      <w:r>
        <w:rPr>
          <w:spacing w:val="-1"/>
          <w:sz w:val="21"/>
        </w:rPr>
        <w:t>h</w:t>
      </w:r>
      <w:r>
        <w:rPr>
          <w:spacing w:val="-108"/>
          <w:sz w:val="21"/>
        </w:rPr>
        <w:t>。</w:t>
      </w:r>
      <w:r>
        <w:rPr>
          <w:sz w:val="21"/>
        </w:rPr>
        <w:t xml:space="preserve"> </w:t>
      </w:r>
    </w:p>
    <w:p w14:paraId="73B55877" w14:textId="77777777" w:rsidR="00A71EEF" w:rsidRDefault="0081115D">
      <w:pPr>
        <w:pStyle w:val="a4"/>
        <w:numPr>
          <w:ilvl w:val="2"/>
          <w:numId w:val="628"/>
        </w:numPr>
        <w:tabs>
          <w:tab w:val="left" w:pos="1371"/>
        </w:tabs>
        <w:spacing w:line="267" w:lineRule="exact"/>
        <w:rPr>
          <w:sz w:val="21"/>
        </w:rPr>
      </w:pPr>
      <w:r>
        <w:rPr>
          <w:spacing w:val="-6"/>
          <w:sz w:val="21"/>
        </w:rPr>
        <w:t>防护区围护结构承受内压的允许压强，不宜低于</w:t>
      </w:r>
      <w:r>
        <w:rPr>
          <w:spacing w:val="-6"/>
          <w:sz w:val="21"/>
        </w:rPr>
        <w:t xml:space="preserve"> </w:t>
      </w:r>
      <w:r>
        <w:rPr>
          <w:sz w:val="21"/>
        </w:rPr>
        <w:t>1200Pa</w:t>
      </w:r>
      <w:r>
        <w:rPr>
          <w:spacing w:val="-3"/>
          <w:sz w:val="21"/>
        </w:rPr>
        <w:t>。</w:t>
      </w:r>
      <w:r>
        <w:rPr>
          <w:sz w:val="21"/>
        </w:rPr>
        <w:t xml:space="preserve"> </w:t>
      </w:r>
    </w:p>
    <w:p w14:paraId="0F0FBCE0" w14:textId="77777777" w:rsidR="00A71EEF" w:rsidRDefault="00A71EEF">
      <w:pPr>
        <w:pStyle w:val="a3"/>
        <w:spacing w:before="2"/>
        <w:rPr>
          <w:sz w:val="18"/>
        </w:rPr>
      </w:pPr>
    </w:p>
    <w:p w14:paraId="69CDA9BA" w14:textId="77777777" w:rsidR="00A71EEF" w:rsidRDefault="0081115D">
      <w:pPr>
        <w:pStyle w:val="a4"/>
        <w:numPr>
          <w:ilvl w:val="2"/>
          <w:numId w:val="628"/>
        </w:numPr>
        <w:tabs>
          <w:tab w:val="left" w:pos="1370"/>
        </w:tabs>
        <w:ind w:left="1369" w:hanging="530"/>
        <w:rPr>
          <w:sz w:val="21"/>
        </w:rPr>
      </w:pPr>
      <w:r>
        <w:rPr>
          <w:spacing w:val="-5"/>
          <w:sz w:val="21"/>
        </w:rPr>
        <w:t>防护区应设置泄压口，七氟丙烷灭火系统的泄压口应位于防护区净高的</w:t>
      </w:r>
      <w:r>
        <w:rPr>
          <w:spacing w:val="-5"/>
          <w:sz w:val="21"/>
        </w:rPr>
        <w:t xml:space="preserve"> </w:t>
      </w:r>
      <w:r>
        <w:rPr>
          <w:sz w:val="21"/>
        </w:rPr>
        <w:t>2/3</w:t>
      </w:r>
      <w:r>
        <w:rPr>
          <w:spacing w:val="-15"/>
          <w:sz w:val="21"/>
        </w:rPr>
        <w:t xml:space="preserve"> </w:t>
      </w:r>
      <w:r>
        <w:rPr>
          <w:spacing w:val="-15"/>
          <w:sz w:val="21"/>
        </w:rPr>
        <w:t>以上。</w:t>
      </w:r>
      <w:r>
        <w:rPr>
          <w:sz w:val="21"/>
        </w:rPr>
        <w:t xml:space="preserve"> </w:t>
      </w:r>
    </w:p>
    <w:p w14:paraId="11F521EF" w14:textId="77777777" w:rsidR="00A71EEF" w:rsidRDefault="00A71EEF">
      <w:pPr>
        <w:pStyle w:val="a3"/>
        <w:spacing w:before="12"/>
        <w:rPr>
          <w:sz w:val="17"/>
        </w:rPr>
      </w:pPr>
    </w:p>
    <w:p w14:paraId="04238DBE" w14:textId="77777777" w:rsidR="00A71EEF" w:rsidRDefault="0081115D">
      <w:pPr>
        <w:pStyle w:val="a4"/>
        <w:numPr>
          <w:ilvl w:val="2"/>
          <w:numId w:val="628"/>
        </w:numPr>
        <w:tabs>
          <w:tab w:val="left" w:pos="1371"/>
        </w:tabs>
        <w:rPr>
          <w:sz w:val="21"/>
        </w:rPr>
      </w:pPr>
      <w:r>
        <w:rPr>
          <w:spacing w:val="-17"/>
          <w:sz w:val="21"/>
        </w:rPr>
        <w:t>防护区设置的泄压口，宜设在外墙上。泄压口面积按相应气体灭火系统设计规定计算。</w:t>
      </w:r>
      <w:r>
        <w:rPr>
          <w:sz w:val="21"/>
        </w:rPr>
        <w:t xml:space="preserve"> </w:t>
      </w:r>
    </w:p>
    <w:p w14:paraId="6301632D" w14:textId="77777777" w:rsidR="00A71EEF" w:rsidRDefault="00A71EEF">
      <w:pPr>
        <w:pStyle w:val="a3"/>
        <w:rPr>
          <w:sz w:val="18"/>
        </w:rPr>
      </w:pPr>
    </w:p>
    <w:p w14:paraId="4746952E" w14:textId="77777777" w:rsidR="00A71EEF" w:rsidRDefault="0081115D">
      <w:pPr>
        <w:pStyle w:val="a4"/>
        <w:numPr>
          <w:ilvl w:val="2"/>
          <w:numId w:val="628"/>
        </w:numPr>
        <w:tabs>
          <w:tab w:val="left" w:pos="1370"/>
        </w:tabs>
        <w:ind w:left="1369" w:hanging="530"/>
        <w:rPr>
          <w:sz w:val="21"/>
        </w:rPr>
      </w:pPr>
      <w:r>
        <w:rPr>
          <w:spacing w:val="-3"/>
          <w:sz w:val="21"/>
        </w:rPr>
        <w:t>喷放灭火剂前，防护区内除泄压口外的开口应能自行关闭。</w:t>
      </w:r>
      <w:r>
        <w:rPr>
          <w:sz w:val="21"/>
        </w:rPr>
        <w:t xml:space="preserve"> </w:t>
      </w:r>
    </w:p>
    <w:p w14:paraId="79D5EBC3" w14:textId="77777777" w:rsidR="00A71EEF" w:rsidRDefault="00A71EEF">
      <w:pPr>
        <w:pStyle w:val="a3"/>
        <w:spacing w:before="1"/>
        <w:rPr>
          <w:sz w:val="18"/>
        </w:rPr>
      </w:pPr>
    </w:p>
    <w:p w14:paraId="1EC280D1" w14:textId="77777777" w:rsidR="00A71EEF" w:rsidRDefault="0081115D">
      <w:pPr>
        <w:pStyle w:val="a4"/>
        <w:numPr>
          <w:ilvl w:val="2"/>
          <w:numId w:val="628"/>
        </w:numPr>
        <w:tabs>
          <w:tab w:val="left" w:pos="1478"/>
        </w:tabs>
        <w:spacing w:before="1"/>
        <w:ind w:left="1477" w:hanging="638"/>
        <w:rPr>
          <w:sz w:val="21"/>
        </w:rPr>
      </w:pPr>
      <w:r>
        <w:rPr>
          <w:spacing w:val="-3"/>
          <w:sz w:val="21"/>
        </w:rPr>
        <w:t>防护区的最低环境温度不应低于</w:t>
      </w:r>
      <w:r>
        <w:rPr>
          <w:spacing w:val="-3"/>
          <w:sz w:val="21"/>
        </w:rPr>
        <w:t>-</w:t>
      </w:r>
      <w:r>
        <w:rPr>
          <w:sz w:val="21"/>
        </w:rPr>
        <w:t>10℃</w:t>
      </w:r>
      <w:r>
        <w:rPr>
          <w:sz w:val="21"/>
        </w:rPr>
        <w:t>。</w:t>
      </w:r>
      <w:r>
        <w:rPr>
          <w:sz w:val="21"/>
        </w:rPr>
        <w:t xml:space="preserve"> </w:t>
      </w:r>
    </w:p>
    <w:p w14:paraId="26D497D6" w14:textId="77777777" w:rsidR="00A71EEF" w:rsidRDefault="00A71EEF">
      <w:pPr>
        <w:pStyle w:val="a3"/>
        <w:rPr>
          <w:sz w:val="18"/>
        </w:rPr>
      </w:pPr>
    </w:p>
    <w:p w14:paraId="44D1B247" w14:textId="77777777" w:rsidR="00A71EEF" w:rsidRDefault="0081115D">
      <w:pPr>
        <w:pStyle w:val="a4"/>
        <w:numPr>
          <w:ilvl w:val="1"/>
          <w:numId w:val="633"/>
        </w:numPr>
        <w:tabs>
          <w:tab w:val="left" w:pos="1159"/>
        </w:tabs>
        <w:ind w:hanging="319"/>
        <w:rPr>
          <w:b/>
          <w:sz w:val="21"/>
        </w:rPr>
      </w:pPr>
      <w:r>
        <w:rPr>
          <w:spacing w:val="-3"/>
          <w:sz w:val="21"/>
        </w:rPr>
        <w:t>七氟丙烷灭火系统</w:t>
      </w:r>
      <w:r>
        <w:rPr>
          <w:b/>
          <w:w w:val="99"/>
          <w:sz w:val="21"/>
        </w:rPr>
        <w:t xml:space="preserve"> </w:t>
      </w:r>
    </w:p>
    <w:p w14:paraId="3BB116D9" w14:textId="77777777" w:rsidR="00A71EEF" w:rsidRDefault="00A71EEF">
      <w:pPr>
        <w:pStyle w:val="a3"/>
        <w:spacing w:before="12"/>
        <w:rPr>
          <w:b/>
          <w:sz w:val="17"/>
        </w:rPr>
      </w:pPr>
    </w:p>
    <w:p w14:paraId="13C6607F" w14:textId="77777777" w:rsidR="00A71EEF" w:rsidRDefault="0081115D">
      <w:pPr>
        <w:pStyle w:val="a4"/>
        <w:numPr>
          <w:ilvl w:val="2"/>
          <w:numId w:val="633"/>
        </w:numPr>
        <w:tabs>
          <w:tab w:val="left" w:pos="1370"/>
        </w:tabs>
        <w:ind w:left="1369" w:hanging="530"/>
        <w:rPr>
          <w:sz w:val="21"/>
        </w:rPr>
      </w:pPr>
      <w:r>
        <w:rPr>
          <w:spacing w:val="-5"/>
          <w:sz w:val="21"/>
        </w:rPr>
        <w:t>七氟丙烷灭火系统的灭火设计浓度不应小于灭火浓度的</w:t>
      </w:r>
      <w:r>
        <w:rPr>
          <w:spacing w:val="-5"/>
          <w:sz w:val="21"/>
        </w:rPr>
        <w:t xml:space="preserve"> </w:t>
      </w:r>
      <w:r>
        <w:rPr>
          <w:sz w:val="21"/>
        </w:rPr>
        <w:t>1.3</w:t>
      </w:r>
      <w:r>
        <w:rPr>
          <w:spacing w:val="-11"/>
          <w:sz w:val="21"/>
        </w:rPr>
        <w:t xml:space="preserve"> </w:t>
      </w:r>
      <w:r>
        <w:rPr>
          <w:spacing w:val="-11"/>
          <w:sz w:val="21"/>
        </w:rPr>
        <w:t>倍，惰化设计浓度不应小</w:t>
      </w:r>
    </w:p>
    <w:p w14:paraId="3C709D90" w14:textId="77777777" w:rsidR="00A71EEF" w:rsidRDefault="00A71EEF">
      <w:pPr>
        <w:pStyle w:val="a3"/>
        <w:spacing w:before="2"/>
        <w:rPr>
          <w:sz w:val="18"/>
        </w:rPr>
      </w:pPr>
    </w:p>
    <w:p w14:paraId="47596458" w14:textId="77777777" w:rsidR="00A71EEF" w:rsidRDefault="0081115D">
      <w:pPr>
        <w:pStyle w:val="a3"/>
        <w:ind w:left="418"/>
        <w:jc w:val="both"/>
      </w:pPr>
      <w:r>
        <w:t>于惰化浓度的</w:t>
      </w:r>
      <w:r>
        <w:t xml:space="preserve"> 1.1 </w:t>
      </w:r>
      <w:r>
        <w:t>倍。</w:t>
      </w:r>
      <w:r>
        <w:t xml:space="preserve"> </w:t>
      </w:r>
    </w:p>
    <w:p w14:paraId="4B6B654D" w14:textId="77777777" w:rsidR="00A71EEF" w:rsidRDefault="00A71EEF">
      <w:pPr>
        <w:pStyle w:val="a3"/>
        <w:spacing w:before="12"/>
        <w:rPr>
          <w:sz w:val="17"/>
        </w:rPr>
      </w:pPr>
    </w:p>
    <w:p w14:paraId="721A12F0" w14:textId="77777777" w:rsidR="00A71EEF" w:rsidRDefault="0081115D">
      <w:pPr>
        <w:pStyle w:val="a4"/>
        <w:numPr>
          <w:ilvl w:val="2"/>
          <w:numId w:val="633"/>
        </w:numPr>
        <w:tabs>
          <w:tab w:val="left" w:pos="1371"/>
        </w:tabs>
        <w:spacing w:line="446" w:lineRule="auto"/>
        <w:ind w:right="1433" w:firstLine="422"/>
        <w:jc w:val="both"/>
        <w:rPr>
          <w:sz w:val="21"/>
        </w:rPr>
      </w:pPr>
      <w:r>
        <w:rPr>
          <w:spacing w:val="-6"/>
          <w:sz w:val="21"/>
        </w:rPr>
        <w:t>固体表面火灾的灭火浓度为</w:t>
      </w:r>
      <w:r>
        <w:rPr>
          <w:spacing w:val="-6"/>
          <w:sz w:val="21"/>
        </w:rPr>
        <w:t xml:space="preserve"> </w:t>
      </w:r>
      <w:r>
        <w:rPr>
          <w:sz w:val="21"/>
        </w:rPr>
        <w:t>5.8</w:t>
      </w:r>
      <w:r>
        <w:rPr>
          <w:spacing w:val="-6"/>
          <w:sz w:val="21"/>
        </w:rPr>
        <w:t>%</w:t>
      </w:r>
      <w:r>
        <w:rPr>
          <w:spacing w:val="-6"/>
          <w:sz w:val="21"/>
        </w:rPr>
        <w:t>，其他灭火浓度可按本规范附录</w:t>
      </w:r>
      <w:r>
        <w:rPr>
          <w:spacing w:val="-6"/>
          <w:sz w:val="21"/>
        </w:rPr>
        <w:t xml:space="preserve"> </w:t>
      </w:r>
      <w:r>
        <w:rPr>
          <w:sz w:val="21"/>
        </w:rPr>
        <w:t>A</w:t>
      </w:r>
      <w:r>
        <w:rPr>
          <w:spacing w:val="-18"/>
          <w:sz w:val="21"/>
        </w:rPr>
        <w:t xml:space="preserve"> </w:t>
      </w:r>
      <w:r>
        <w:rPr>
          <w:spacing w:val="-18"/>
          <w:sz w:val="21"/>
        </w:rPr>
        <w:t>中表</w:t>
      </w:r>
      <w:r>
        <w:rPr>
          <w:spacing w:val="-18"/>
          <w:sz w:val="21"/>
        </w:rPr>
        <w:t xml:space="preserve"> </w:t>
      </w:r>
      <w:r>
        <w:rPr>
          <w:sz w:val="21"/>
        </w:rPr>
        <w:t>A-1</w:t>
      </w:r>
      <w:r>
        <w:rPr>
          <w:spacing w:val="-10"/>
          <w:sz w:val="21"/>
        </w:rPr>
        <w:t xml:space="preserve"> </w:t>
      </w:r>
      <w:r>
        <w:rPr>
          <w:spacing w:val="-10"/>
          <w:sz w:val="21"/>
        </w:rPr>
        <w:t>的规定</w:t>
      </w:r>
      <w:r>
        <w:rPr>
          <w:spacing w:val="-9"/>
          <w:sz w:val="21"/>
        </w:rPr>
        <w:t>取值，惰化浓度可按本规范附录</w:t>
      </w:r>
      <w:r>
        <w:rPr>
          <w:spacing w:val="-9"/>
          <w:sz w:val="21"/>
        </w:rPr>
        <w:t xml:space="preserve"> </w:t>
      </w:r>
      <w:r>
        <w:rPr>
          <w:sz w:val="21"/>
        </w:rPr>
        <w:t>A</w:t>
      </w:r>
      <w:r>
        <w:rPr>
          <w:spacing w:val="-24"/>
          <w:sz w:val="21"/>
        </w:rPr>
        <w:t xml:space="preserve"> </w:t>
      </w:r>
      <w:r>
        <w:rPr>
          <w:spacing w:val="-24"/>
          <w:sz w:val="21"/>
        </w:rPr>
        <w:t>中表</w:t>
      </w:r>
      <w:r>
        <w:rPr>
          <w:spacing w:val="-24"/>
          <w:sz w:val="21"/>
        </w:rPr>
        <w:t xml:space="preserve"> </w:t>
      </w:r>
      <w:r>
        <w:rPr>
          <w:sz w:val="21"/>
        </w:rPr>
        <w:t>A-2</w:t>
      </w:r>
      <w:r>
        <w:rPr>
          <w:spacing w:val="-5"/>
          <w:sz w:val="21"/>
        </w:rPr>
        <w:t xml:space="preserve"> </w:t>
      </w:r>
      <w:r>
        <w:rPr>
          <w:spacing w:val="-5"/>
          <w:sz w:val="21"/>
        </w:rPr>
        <w:t>的规定取值。本规范附录</w:t>
      </w:r>
      <w:r>
        <w:rPr>
          <w:sz w:val="21"/>
        </w:rPr>
        <w:t>A</w:t>
      </w:r>
      <w:r>
        <w:rPr>
          <w:spacing w:val="-9"/>
          <w:sz w:val="21"/>
        </w:rPr>
        <w:t xml:space="preserve"> </w:t>
      </w:r>
      <w:r>
        <w:rPr>
          <w:spacing w:val="-9"/>
          <w:sz w:val="21"/>
        </w:rPr>
        <w:t>中未列出的，应经试验确</w:t>
      </w:r>
      <w:r>
        <w:rPr>
          <w:spacing w:val="-6"/>
          <w:sz w:val="21"/>
        </w:rPr>
        <w:t>定。</w:t>
      </w:r>
      <w:r>
        <w:rPr>
          <w:sz w:val="21"/>
        </w:rPr>
        <w:t xml:space="preserve"> </w:t>
      </w:r>
    </w:p>
    <w:p w14:paraId="6D556477" w14:textId="77777777" w:rsidR="00A71EEF" w:rsidRDefault="0081115D">
      <w:pPr>
        <w:pStyle w:val="a4"/>
        <w:numPr>
          <w:ilvl w:val="2"/>
          <w:numId w:val="633"/>
        </w:numPr>
        <w:tabs>
          <w:tab w:val="left" w:pos="1371"/>
        </w:tabs>
        <w:spacing w:line="268" w:lineRule="exact"/>
        <w:ind w:left="1370"/>
        <w:jc w:val="both"/>
        <w:rPr>
          <w:sz w:val="21"/>
        </w:rPr>
      </w:pPr>
      <w:r>
        <w:rPr>
          <w:spacing w:val="-5"/>
          <w:sz w:val="21"/>
        </w:rPr>
        <w:t>图书、档案、票据和文物资料库等防护区，灭火设计浓度宜采用</w:t>
      </w:r>
      <w:r>
        <w:rPr>
          <w:spacing w:val="-5"/>
          <w:sz w:val="21"/>
        </w:rPr>
        <w:t xml:space="preserve"> </w:t>
      </w:r>
      <w:r>
        <w:rPr>
          <w:sz w:val="21"/>
        </w:rPr>
        <w:t>10%</w:t>
      </w:r>
      <w:r>
        <w:rPr>
          <w:sz w:val="21"/>
        </w:rPr>
        <w:t>。</w:t>
      </w:r>
      <w:r>
        <w:rPr>
          <w:sz w:val="21"/>
        </w:rPr>
        <w:t xml:space="preserve"> </w:t>
      </w:r>
    </w:p>
    <w:p w14:paraId="7FFC1CFE" w14:textId="77777777" w:rsidR="00A71EEF" w:rsidRDefault="00A71EEF">
      <w:pPr>
        <w:pStyle w:val="a3"/>
        <w:rPr>
          <w:sz w:val="18"/>
        </w:rPr>
      </w:pPr>
    </w:p>
    <w:p w14:paraId="05F12E8B" w14:textId="77777777" w:rsidR="00A71EEF" w:rsidRDefault="0081115D">
      <w:pPr>
        <w:pStyle w:val="a4"/>
        <w:numPr>
          <w:ilvl w:val="2"/>
          <w:numId w:val="633"/>
        </w:numPr>
        <w:tabs>
          <w:tab w:val="left" w:pos="1371"/>
        </w:tabs>
        <w:ind w:left="1370"/>
        <w:rPr>
          <w:sz w:val="21"/>
        </w:rPr>
      </w:pPr>
      <w:r>
        <w:rPr>
          <w:spacing w:val="-17"/>
          <w:sz w:val="21"/>
        </w:rPr>
        <w:t>油浸变压器室、带油开关的配电室和自备发电机房等防护区，灭火设计浓度宜采用</w:t>
      </w:r>
      <w:r>
        <w:rPr>
          <w:spacing w:val="-17"/>
          <w:sz w:val="21"/>
        </w:rPr>
        <w:t xml:space="preserve"> </w:t>
      </w:r>
      <w:r>
        <w:rPr>
          <w:sz w:val="21"/>
        </w:rPr>
        <w:t>9</w:t>
      </w:r>
      <w:r>
        <w:rPr>
          <w:spacing w:val="-56"/>
          <w:sz w:val="21"/>
        </w:rPr>
        <w:t>%</w:t>
      </w:r>
      <w:r>
        <w:rPr>
          <w:spacing w:val="-56"/>
          <w:sz w:val="21"/>
        </w:rPr>
        <w:t>。</w:t>
      </w:r>
      <w:r>
        <w:rPr>
          <w:sz w:val="21"/>
        </w:rPr>
        <w:t xml:space="preserve"> </w:t>
      </w:r>
    </w:p>
    <w:p w14:paraId="10933E20" w14:textId="77777777" w:rsidR="00A71EEF" w:rsidRDefault="00A71EEF">
      <w:pPr>
        <w:pStyle w:val="a3"/>
        <w:spacing w:before="2"/>
        <w:rPr>
          <w:sz w:val="18"/>
        </w:rPr>
      </w:pPr>
    </w:p>
    <w:p w14:paraId="7BC30ADE" w14:textId="77777777" w:rsidR="00A71EEF" w:rsidRDefault="0081115D">
      <w:pPr>
        <w:pStyle w:val="a4"/>
        <w:numPr>
          <w:ilvl w:val="2"/>
          <w:numId w:val="633"/>
        </w:numPr>
        <w:tabs>
          <w:tab w:val="left" w:pos="1371"/>
        </w:tabs>
        <w:ind w:left="1370"/>
        <w:rPr>
          <w:sz w:val="21"/>
        </w:rPr>
      </w:pPr>
      <w:r>
        <w:rPr>
          <w:spacing w:val="-5"/>
          <w:sz w:val="21"/>
        </w:rPr>
        <w:t>通信机房和电子计算机房等防护区，灭火设计浓度宜</w:t>
      </w:r>
      <w:r>
        <w:rPr>
          <w:spacing w:val="-5"/>
          <w:sz w:val="21"/>
        </w:rPr>
        <w:t>采用</w:t>
      </w:r>
      <w:r>
        <w:rPr>
          <w:spacing w:val="-5"/>
          <w:sz w:val="21"/>
        </w:rPr>
        <w:t xml:space="preserve"> </w:t>
      </w:r>
      <w:r>
        <w:rPr>
          <w:sz w:val="21"/>
        </w:rPr>
        <w:t>8</w:t>
      </w:r>
      <w:r>
        <w:rPr>
          <w:spacing w:val="-2"/>
          <w:sz w:val="21"/>
        </w:rPr>
        <w:t>%</w:t>
      </w:r>
      <w:r>
        <w:rPr>
          <w:spacing w:val="-2"/>
          <w:sz w:val="21"/>
        </w:rPr>
        <w:t>。</w:t>
      </w:r>
      <w:r>
        <w:rPr>
          <w:sz w:val="21"/>
        </w:rPr>
        <w:t xml:space="preserve"> </w:t>
      </w:r>
    </w:p>
    <w:p w14:paraId="0484DE2A" w14:textId="77777777" w:rsidR="00A71EEF" w:rsidRDefault="00A71EEF">
      <w:pPr>
        <w:rPr>
          <w:sz w:val="21"/>
        </w:rPr>
        <w:sectPr w:rsidR="00A71EEF">
          <w:pgSz w:w="11910" w:h="16850"/>
          <w:pgMar w:top="1220" w:right="0" w:bottom="1420" w:left="1260" w:header="0" w:footer="1239" w:gutter="0"/>
          <w:cols w:space="720"/>
        </w:sectPr>
      </w:pPr>
    </w:p>
    <w:p w14:paraId="784B99F1" w14:textId="77777777" w:rsidR="00A71EEF" w:rsidRDefault="0081115D">
      <w:pPr>
        <w:pStyle w:val="a4"/>
        <w:numPr>
          <w:ilvl w:val="2"/>
          <w:numId w:val="633"/>
        </w:numPr>
        <w:tabs>
          <w:tab w:val="left" w:pos="1371"/>
        </w:tabs>
        <w:spacing w:before="47"/>
        <w:ind w:left="1370"/>
        <w:rPr>
          <w:sz w:val="21"/>
        </w:rPr>
      </w:pPr>
      <w:r>
        <w:rPr>
          <w:spacing w:val="-6"/>
          <w:sz w:val="21"/>
        </w:rPr>
        <w:t>防护区实际应用的浓度不应大于灭火设计浓度的</w:t>
      </w:r>
      <w:r>
        <w:rPr>
          <w:spacing w:val="-6"/>
          <w:sz w:val="21"/>
        </w:rPr>
        <w:t xml:space="preserve"> </w:t>
      </w:r>
      <w:r>
        <w:rPr>
          <w:sz w:val="21"/>
        </w:rPr>
        <w:t>1.1</w:t>
      </w:r>
      <w:r>
        <w:rPr>
          <w:spacing w:val="-20"/>
          <w:sz w:val="21"/>
        </w:rPr>
        <w:t xml:space="preserve"> </w:t>
      </w:r>
      <w:r>
        <w:rPr>
          <w:spacing w:val="-20"/>
          <w:sz w:val="21"/>
        </w:rPr>
        <w:t>倍。</w:t>
      </w:r>
      <w:r>
        <w:rPr>
          <w:sz w:val="21"/>
        </w:rPr>
        <w:t xml:space="preserve"> </w:t>
      </w:r>
    </w:p>
    <w:p w14:paraId="075DA498" w14:textId="77777777" w:rsidR="00A71EEF" w:rsidRDefault="00A71EEF">
      <w:pPr>
        <w:pStyle w:val="a3"/>
        <w:rPr>
          <w:sz w:val="18"/>
        </w:rPr>
      </w:pPr>
    </w:p>
    <w:p w14:paraId="2E802061" w14:textId="77777777" w:rsidR="00A71EEF" w:rsidRDefault="0081115D">
      <w:pPr>
        <w:pStyle w:val="a4"/>
        <w:numPr>
          <w:ilvl w:val="2"/>
          <w:numId w:val="633"/>
        </w:numPr>
        <w:tabs>
          <w:tab w:val="left" w:pos="1370"/>
        </w:tabs>
        <w:spacing w:line="446" w:lineRule="auto"/>
        <w:ind w:right="1434" w:firstLine="422"/>
        <w:rPr>
          <w:sz w:val="21"/>
        </w:rPr>
      </w:pPr>
      <w:r>
        <w:rPr>
          <w:spacing w:val="-7"/>
          <w:sz w:val="21"/>
        </w:rPr>
        <w:t>在通讯机房和电子计算机房等防护区，设计喷放时间不应大于</w:t>
      </w:r>
      <w:r>
        <w:rPr>
          <w:spacing w:val="-7"/>
          <w:sz w:val="21"/>
        </w:rPr>
        <w:t xml:space="preserve"> </w:t>
      </w:r>
      <w:r>
        <w:rPr>
          <w:spacing w:val="-12"/>
          <w:sz w:val="21"/>
        </w:rPr>
        <w:t>8s</w:t>
      </w:r>
      <w:r>
        <w:rPr>
          <w:spacing w:val="-8"/>
          <w:sz w:val="21"/>
        </w:rPr>
        <w:t>；在其他防护区，设</w:t>
      </w:r>
      <w:r>
        <w:rPr>
          <w:spacing w:val="-10"/>
          <w:sz w:val="21"/>
        </w:rPr>
        <w:t>计喷放时间不应大于</w:t>
      </w:r>
      <w:r>
        <w:rPr>
          <w:spacing w:val="-10"/>
          <w:sz w:val="21"/>
        </w:rPr>
        <w:t xml:space="preserve"> </w:t>
      </w:r>
      <w:r>
        <w:rPr>
          <w:sz w:val="21"/>
        </w:rPr>
        <w:t>10s</w:t>
      </w:r>
      <w:r>
        <w:rPr>
          <w:sz w:val="21"/>
        </w:rPr>
        <w:t>。</w:t>
      </w:r>
      <w:r>
        <w:rPr>
          <w:sz w:val="21"/>
        </w:rPr>
        <w:t xml:space="preserve"> </w:t>
      </w:r>
    </w:p>
    <w:p w14:paraId="0466F5D2" w14:textId="77777777" w:rsidR="00A71EEF" w:rsidRDefault="0081115D">
      <w:pPr>
        <w:pStyle w:val="a4"/>
        <w:numPr>
          <w:ilvl w:val="2"/>
          <w:numId w:val="633"/>
        </w:numPr>
        <w:tabs>
          <w:tab w:val="left" w:pos="1371"/>
        </w:tabs>
        <w:ind w:left="1370"/>
        <w:rPr>
          <w:sz w:val="21"/>
        </w:rPr>
      </w:pPr>
      <w:r>
        <w:rPr>
          <w:spacing w:val="-3"/>
          <w:sz w:val="21"/>
        </w:rPr>
        <w:t>灭火浸渍时间应符合下列规定：</w:t>
      </w:r>
      <w:r>
        <w:rPr>
          <w:sz w:val="21"/>
        </w:rPr>
        <w:t xml:space="preserve"> </w:t>
      </w:r>
    </w:p>
    <w:p w14:paraId="7CF11ED3" w14:textId="77777777" w:rsidR="00A71EEF" w:rsidRDefault="00A71EEF">
      <w:pPr>
        <w:pStyle w:val="a3"/>
        <w:spacing w:before="12"/>
        <w:rPr>
          <w:sz w:val="17"/>
        </w:rPr>
      </w:pPr>
    </w:p>
    <w:p w14:paraId="493884EE" w14:textId="77777777" w:rsidR="00A71EEF" w:rsidRDefault="0081115D">
      <w:pPr>
        <w:pStyle w:val="a4"/>
        <w:numPr>
          <w:ilvl w:val="0"/>
          <w:numId w:val="627"/>
        </w:numPr>
        <w:tabs>
          <w:tab w:val="left" w:pos="1367"/>
        </w:tabs>
        <w:rPr>
          <w:sz w:val="21"/>
        </w:rPr>
      </w:pPr>
      <w:r>
        <w:rPr>
          <w:spacing w:val="-6"/>
          <w:sz w:val="21"/>
        </w:rPr>
        <w:t>木材、纸张、织物等固体表面火灾，宜采用</w:t>
      </w:r>
      <w:r>
        <w:rPr>
          <w:spacing w:val="-6"/>
          <w:sz w:val="21"/>
        </w:rPr>
        <w:t xml:space="preserve"> </w:t>
      </w:r>
      <w:r>
        <w:rPr>
          <w:sz w:val="21"/>
        </w:rPr>
        <w:t>20min</w:t>
      </w:r>
      <w:r>
        <w:rPr>
          <w:sz w:val="21"/>
        </w:rPr>
        <w:t>；</w:t>
      </w:r>
      <w:r>
        <w:rPr>
          <w:sz w:val="21"/>
        </w:rPr>
        <w:t xml:space="preserve"> </w:t>
      </w:r>
    </w:p>
    <w:p w14:paraId="1850771B" w14:textId="77777777" w:rsidR="00A71EEF" w:rsidRDefault="00A71EEF">
      <w:pPr>
        <w:pStyle w:val="a3"/>
        <w:rPr>
          <w:sz w:val="18"/>
        </w:rPr>
      </w:pPr>
    </w:p>
    <w:p w14:paraId="61F5F5B6" w14:textId="77777777" w:rsidR="00A71EEF" w:rsidRDefault="0081115D">
      <w:pPr>
        <w:pStyle w:val="a4"/>
        <w:numPr>
          <w:ilvl w:val="0"/>
          <w:numId w:val="627"/>
        </w:numPr>
        <w:tabs>
          <w:tab w:val="left" w:pos="1367"/>
        </w:tabs>
        <w:rPr>
          <w:sz w:val="21"/>
        </w:rPr>
      </w:pPr>
      <w:r>
        <w:rPr>
          <w:spacing w:val="-6"/>
          <w:sz w:val="21"/>
        </w:rPr>
        <w:t>通信机房、电子计算机房内的电气设备火灾，应采用</w:t>
      </w:r>
      <w:r>
        <w:rPr>
          <w:spacing w:val="-6"/>
          <w:sz w:val="21"/>
        </w:rPr>
        <w:t xml:space="preserve"> </w:t>
      </w:r>
      <w:r>
        <w:rPr>
          <w:sz w:val="21"/>
        </w:rPr>
        <w:t>5min</w:t>
      </w:r>
      <w:r>
        <w:rPr>
          <w:sz w:val="21"/>
        </w:rPr>
        <w:t>；</w:t>
      </w:r>
      <w:r>
        <w:rPr>
          <w:sz w:val="21"/>
        </w:rPr>
        <w:t xml:space="preserve"> </w:t>
      </w:r>
    </w:p>
    <w:p w14:paraId="33E03C15" w14:textId="77777777" w:rsidR="00A71EEF" w:rsidRDefault="00A71EEF">
      <w:pPr>
        <w:pStyle w:val="a3"/>
        <w:spacing w:before="2"/>
        <w:rPr>
          <w:sz w:val="18"/>
        </w:rPr>
      </w:pPr>
    </w:p>
    <w:p w14:paraId="3C6DB9DC" w14:textId="77777777" w:rsidR="00A71EEF" w:rsidRDefault="0081115D">
      <w:pPr>
        <w:pStyle w:val="a4"/>
        <w:numPr>
          <w:ilvl w:val="0"/>
          <w:numId w:val="627"/>
        </w:numPr>
        <w:tabs>
          <w:tab w:val="left" w:pos="1367"/>
        </w:tabs>
        <w:rPr>
          <w:sz w:val="21"/>
        </w:rPr>
      </w:pPr>
      <w:r>
        <w:rPr>
          <w:spacing w:val="-7"/>
          <w:sz w:val="21"/>
        </w:rPr>
        <w:t>其他固体表面火灾，宜采用</w:t>
      </w:r>
      <w:r>
        <w:rPr>
          <w:spacing w:val="-7"/>
          <w:sz w:val="21"/>
        </w:rPr>
        <w:t xml:space="preserve"> </w:t>
      </w:r>
      <w:r>
        <w:rPr>
          <w:sz w:val="21"/>
        </w:rPr>
        <w:t>10</w:t>
      </w:r>
      <w:r>
        <w:rPr>
          <w:spacing w:val="-3"/>
          <w:sz w:val="21"/>
        </w:rPr>
        <w:t xml:space="preserve"> </w:t>
      </w:r>
      <w:r>
        <w:rPr>
          <w:sz w:val="21"/>
        </w:rPr>
        <w:t>min</w:t>
      </w:r>
      <w:r>
        <w:rPr>
          <w:sz w:val="21"/>
        </w:rPr>
        <w:t>；</w:t>
      </w:r>
      <w:r>
        <w:rPr>
          <w:sz w:val="21"/>
        </w:rPr>
        <w:t xml:space="preserve"> </w:t>
      </w:r>
    </w:p>
    <w:p w14:paraId="58800AA8" w14:textId="77777777" w:rsidR="00A71EEF" w:rsidRDefault="00A71EEF">
      <w:pPr>
        <w:pStyle w:val="a3"/>
        <w:rPr>
          <w:sz w:val="18"/>
        </w:rPr>
      </w:pPr>
    </w:p>
    <w:p w14:paraId="4325B1C9" w14:textId="77777777" w:rsidR="00A71EEF" w:rsidRDefault="0081115D">
      <w:pPr>
        <w:pStyle w:val="a4"/>
        <w:numPr>
          <w:ilvl w:val="0"/>
          <w:numId w:val="627"/>
        </w:numPr>
        <w:tabs>
          <w:tab w:val="left" w:pos="1367"/>
        </w:tabs>
        <w:rPr>
          <w:sz w:val="21"/>
        </w:rPr>
      </w:pPr>
      <w:r>
        <w:rPr>
          <w:spacing w:val="-7"/>
          <w:sz w:val="21"/>
        </w:rPr>
        <w:t>气体和液体火灾，不应小于</w:t>
      </w:r>
      <w:r>
        <w:rPr>
          <w:spacing w:val="-7"/>
          <w:sz w:val="21"/>
        </w:rPr>
        <w:t xml:space="preserve"> </w:t>
      </w:r>
      <w:r>
        <w:rPr>
          <w:sz w:val="21"/>
        </w:rPr>
        <w:t>1 min</w:t>
      </w:r>
      <w:r>
        <w:rPr>
          <w:spacing w:val="-3"/>
          <w:sz w:val="21"/>
        </w:rPr>
        <w:t>。</w:t>
      </w:r>
      <w:r>
        <w:rPr>
          <w:sz w:val="21"/>
        </w:rPr>
        <w:t xml:space="preserve"> </w:t>
      </w:r>
    </w:p>
    <w:p w14:paraId="1822554C" w14:textId="77777777" w:rsidR="00A71EEF" w:rsidRDefault="00A71EEF">
      <w:pPr>
        <w:pStyle w:val="a3"/>
        <w:spacing w:before="12"/>
        <w:rPr>
          <w:sz w:val="17"/>
        </w:rPr>
      </w:pPr>
    </w:p>
    <w:p w14:paraId="782EFFF3" w14:textId="77777777" w:rsidR="00A71EEF" w:rsidRDefault="0081115D">
      <w:pPr>
        <w:pStyle w:val="a4"/>
        <w:numPr>
          <w:ilvl w:val="2"/>
          <w:numId w:val="633"/>
        </w:numPr>
        <w:tabs>
          <w:tab w:val="left" w:pos="1370"/>
        </w:tabs>
        <w:ind w:left="1369" w:hanging="530"/>
        <w:rPr>
          <w:sz w:val="21"/>
        </w:rPr>
      </w:pPr>
      <w:r>
        <w:rPr>
          <w:spacing w:val="-5"/>
          <w:sz w:val="21"/>
        </w:rPr>
        <w:t>七氟丙烷灭火系统应采用氮气增压输送。氮气的含水量不应大于</w:t>
      </w:r>
      <w:r>
        <w:rPr>
          <w:spacing w:val="-5"/>
          <w:sz w:val="21"/>
        </w:rPr>
        <w:t xml:space="preserve"> </w:t>
      </w:r>
      <w:r>
        <w:rPr>
          <w:sz w:val="21"/>
        </w:rPr>
        <w:t>0.006%</w:t>
      </w:r>
      <w:r>
        <w:rPr>
          <w:spacing w:val="-3"/>
          <w:sz w:val="21"/>
        </w:rPr>
        <w:t>。</w:t>
      </w:r>
      <w:r>
        <w:rPr>
          <w:sz w:val="21"/>
        </w:rPr>
        <w:t xml:space="preserve"> </w:t>
      </w:r>
    </w:p>
    <w:p w14:paraId="3E1E0816" w14:textId="77777777" w:rsidR="00A71EEF" w:rsidRDefault="00A71EEF">
      <w:pPr>
        <w:pStyle w:val="a3"/>
        <w:spacing w:before="2"/>
        <w:rPr>
          <w:sz w:val="18"/>
        </w:rPr>
      </w:pPr>
    </w:p>
    <w:p w14:paraId="212902BE" w14:textId="77777777" w:rsidR="00A71EEF" w:rsidRDefault="0081115D">
      <w:pPr>
        <w:pStyle w:val="a3"/>
        <w:ind w:left="838"/>
      </w:pPr>
      <w:r>
        <w:t>储存容器的增压压力宜分为三级，并应符合下列规定：</w:t>
      </w:r>
      <w:r>
        <w:t xml:space="preserve"> </w:t>
      </w:r>
    </w:p>
    <w:p w14:paraId="3D5B0931" w14:textId="77777777" w:rsidR="00A71EEF" w:rsidRDefault="00A71EEF">
      <w:pPr>
        <w:pStyle w:val="a3"/>
        <w:rPr>
          <w:sz w:val="18"/>
        </w:rPr>
      </w:pPr>
    </w:p>
    <w:p w14:paraId="687C724B" w14:textId="77777777" w:rsidR="00A71EEF" w:rsidRDefault="0081115D">
      <w:pPr>
        <w:pStyle w:val="a3"/>
        <w:ind w:left="838"/>
      </w:pPr>
      <w:r>
        <w:t>（</w:t>
      </w:r>
      <w:r>
        <w:t>1</w:t>
      </w:r>
      <w:r>
        <w:rPr>
          <w:spacing w:val="-3"/>
        </w:rPr>
        <w:t>）</w:t>
      </w:r>
      <w:r>
        <w:rPr>
          <w:spacing w:val="-2"/>
        </w:rPr>
        <w:t>一级</w:t>
      </w:r>
      <w:r>
        <w:rPr>
          <w:spacing w:val="-2"/>
        </w:rPr>
        <w:t xml:space="preserve"> </w:t>
      </w:r>
      <w:r>
        <w:t xml:space="preserve"> </w:t>
      </w:r>
      <w:r>
        <w:t>2.</w:t>
      </w:r>
      <w:r>
        <w:rPr>
          <w:spacing w:val="-3"/>
        </w:rPr>
        <w:t>5</w:t>
      </w:r>
      <w:r>
        <w:t>+0.</w:t>
      </w:r>
      <w:r>
        <w:rPr>
          <w:spacing w:val="-3"/>
        </w:rPr>
        <w:t>1</w:t>
      </w:r>
      <w:r>
        <w:t>MP</w:t>
      </w:r>
      <w:r>
        <w:rPr>
          <w:spacing w:val="-2"/>
        </w:rPr>
        <w:t>a</w:t>
      </w:r>
      <w:r>
        <w:rPr>
          <w:spacing w:val="-3"/>
        </w:rPr>
        <w:t>（</w:t>
      </w:r>
      <w:r>
        <w:t>表压</w:t>
      </w:r>
      <w:r>
        <w:rPr>
          <w:spacing w:val="-108"/>
        </w:rPr>
        <w:t>）</w:t>
      </w:r>
      <w:r>
        <w:rPr>
          <w:spacing w:val="-3"/>
        </w:rPr>
        <w:t>；</w:t>
      </w:r>
      <w:r>
        <w:t xml:space="preserve"> </w:t>
      </w:r>
    </w:p>
    <w:p w14:paraId="09398AC1" w14:textId="77777777" w:rsidR="00A71EEF" w:rsidRDefault="00A71EEF">
      <w:pPr>
        <w:pStyle w:val="a3"/>
        <w:spacing w:before="12"/>
        <w:rPr>
          <w:sz w:val="17"/>
        </w:rPr>
      </w:pPr>
    </w:p>
    <w:p w14:paraId="7F8CC9FA" w14:textId="77777777" w:rsidR="00A71EEF" w:rsidRDefault="0081115D">
      <w:pPr>
        <w:pStyle w:val="a3"/>
        <w:ind w:left="838"/>
      </w:pPr>
      <w:r>
        <w:t>（</w:t>
      </w:r>
      <w:r>
        <w:t>2</w:t>
      </w:r>
      <w:r>
        <w:rPr>
          <w:spacing w:val="-3"/>
        </w:rPr>
        <w:t>）</w:t>
      </w:r>
      <w:r>
        <w:rPr>
          <w:spacing w:val="-2"/>
        </w:rPr>
        <w:t>二级</w:t>
      </w:r>
      <w:r>
        <w:rPr>
          <w:spacing w:val="-2"/>
        </w:rPr>
        <w:t xml:space="preserve"> </w:t>
      </w:r>
      <w:r>
        <w:t xml:space="preserve"> </w:t>
      </w:r>
      <w:r>
        <w:t>4.</w:t>
      </w:r>
      <w:r>
        <w:rPr>
          <w:spacing w:val="-3"/>
        </w:rPr>
        <w:t>2</w:t>
      </w:r>
      <w:r>
        <w:t>+0.</w:t>
      </w:r>
      <w:r>
        <w:rPr>
          <w:spacing w:val="-3"/>
        </w:rPr>
        <w:t>1</w:t>
      </w:r>
      <w:r>
        <w:t>MP</w:t>
      </w:r>
      <w:r>
        <w:rPr>
          <w:spacing w:val="-2"/>
        </w:rPr>
        <w:t>a</w:t>
      </w:r>
      <w:r>
        <w:rPr>
          <w:spacing w:val="-3"/>
        </w:rPr>
        <w:t>（</w:t>
      </w:r>
      <w:r>
        <w:t>表压</w:t>
      </w:r>
      <w:r>
        <w:rPr>
          <w:spacing w:val="-108"/>
        </w:rPr>
        <w:t>）</w:t>
      </w:r>
      <w:r>
        <w:rPr>
          <w:spacing w:val="-3"/>
        </w:rPr>
        <w:t>；</w:t>
      </w:r>
      <w:r>
        <w:t xml:space="preserve"> </w:t>
      </w:r>
    </w:p>
    <w:p w14:paraId="572D810B" w14:textId="77777777" w:rsidR="00A71EEF" w:rsidRDefault="00A71EEF">
      <w:pPr>
        <w:pStyle w:val="a3"/>
        <w:spacing w:before="2"/>
        <w:rPr>
          <w:sz w:val="18"/>
        </w:rPr>
      </w:pPr>
    </w:p>
    <w:p w14:paraId="07BC5B57" w14:textId="77777777" w:rsidR="00A71EEF" w:rsidRDefault="0081115D">
      <w:pPr>
        <w:pStyle w:val="a3"/>
        <w:ind w:left="838"/>
      </w:pPr>
      <w:r>
        <w:t>（</w:t>
      </w:r>
      <w:r>
        <w:t>3</w:t>
      </w:r>
      <w:r>
        <w:t>）</w:t>
      </w:r>
      <w:r>
        <w:rPr>
          <w:spacing w:val="-2"/>
        </w:rPr>
        <w:t xml:space="preserve"> </w:t>
      </w:r>
      <w:r>
        <w:rPr>
          <w:spacing w:val="-2"/>
        </w:rPr>
        <w:t>三级</w:t>
      </w:r>
      <w:r>
        <w:rPr>
          <w:spacing w:val="-2"/>
        </w:rPr>
        <w:t xml:space="preserve"> </w:t>
      </w:r>
      <w:r>
        <w:t>5.6+0.1MPa</w:t>
      </w:r>
      <w:r>
        <w:t>（</w:t>
      </w:r>
      <w:r>
        <w:rPr>
          <w:spacing w:val="-2"/>
        </w:rPr>
        <w:t>表压</w:t>
      </w:r>
      <w:r>
        <w:rPr>
          <w:spacing w:val="-106"/>
        </w:rPr>
        <w:t>）</w:t>
      </w:r>
      <w:r>
        <w:rPr>
          <w:spacing w:val="-3"/>
        </w:rPr>
        <w:t>。</w:t>
      </w:r>
      <w:r>
        <w:t xml:space="preserve"> </w:t>
      </w:r>
    </w:p>
    <w:p w14:paraId="6008D200" w14:textId="77777777" w:rsidR="00A71EEF" w:rsidRDefault="00A71EEF">
      <w:pPr>
        <w:pStyle w:val="a3"/>
        <w:rPr>
          <w:sz w:val="18"/>
        </w:rPr>
      </w:pPr>
    </w:p>
    <w:p w14:paraId="4D6D2915" w14:textId="77777777" w:rsidR="00A71EEF" w:rsidRDefault="0081115D">
      <w:pPr>
        <w:pStyle w:val="a4"/>
        <w:numPr>
          <w:ilvl w:val="2"/>
          <w:numId w:val="633"/>
        </w:numPr>
        <w:tabs>
          <w:tab w:val="left" w:pos="1478"/>
        </w:tabs>
        <w:ind w:left="1477" w:hanging="638"/>
        <w:rPr>
          <w:sz w:val="21"/>
        </w:rPr>
      </w:pPr>
      <w:r>
        <w:rPr>
          <w:spacing w:val="-3"/>
          <w:sz w:val="21"/>
        </w:rPr>
        <w:t>七氟丙烷单位容积的充装量应符合下列规定：</w:t>
      </w:r>
      <w:r>
        <w:rPr>
          <w:spacing w:val="-3"/>
          <w:sz w:val="21"/>
        </w:rPr>
        <w:t xml:space="preserve"> </w:t>
      </w:r>
    </w:p>
    <w:p w14:paraId="6FCDF7B9" w14:textId="77777777" w:rsidR="00A71EEF" w:rsidRDefault="00A71EEF">
      <w:pPr>
        <w:pStyle w:val="a3"/>
        <w:spacing w:before="12"/>
        <w:rPr>
          <w:sz w:val="17"/>
        </w:rPr>
      </w:pPr>
    </w:p>
    <w:p w14:paraId="4BA56007" w14:textId="77777777" w:rsidR="00A71EEF" w:rsidRDefault="0081115D">
      <w:pPr>
        <w:pStyle w:val="a4"/>
        <w:numPr>
          <w:ilvl w:val="0"/>
          <w:numId w:val="626"/>
        </w:numPr>
        <w:tabs>
          <w:tab w:val="left" w:pos="1367"/>
        </w:tabs>
        <w:rPr>
          <w:sz w:val="21"/>
        </w:rPr>
      </w:pPr>
      <w:r>
        <w:rPr>
          <w:spacing w:val="-7"/>
          <w:sz w:val="21"/>
        </w:rPr>
        <w:t>一级增压储存容器，不应大于</w:t>
      </w:r>
      <w:r>
        <w:rPr>
          <w:spacing w:val="-7"/>
          <w:sz w:val="21"/>
        </w:rPr>
        <w:t xml:space="preserve"> </w:t>
      </w:r>
      <w:r>
        <w:rPr>
          <w:sz w:val="21"/>
        </w:rPr>
        <w:t>1120kg/m³</w:t>
      </w:r>
      <w:r>
        <w:rPr>
          <w:sz w:val="21"/>
        </w:rPr>
        <w:t>；</w:t>
      </w:r>
      <w:r>
        <w:rPr>
          <w:sz w:val="21"/>
        </w:rPr>
        <w:t xml:space="preserve"> </w:t>
      </w:r>
    </w:p>
    <w:p w14:paraId="2261D512" w14:textId="77777777" w:rsidR="00A71EEF" w:rsidRDefault="00A71EEF">
      <w:pPr>
        <w:pStyle w:val="a3"/>
        <w:spacing w:before="2"/>
        <w:rPr>
          <w:sz w:val="18"/>
        </w:rPr>
      </w:pPr>
    </w:p>
    <w:p w14:paraId="1E37D5EE" w14:textId="77777777" w:rsidR="00A71EEF" w:rsidRDefault="0081115D">
      <w:pPr>
        <w:pStyle w:val="a4"/>
        <w:numPr>
          <w:ilvl w:val="0"/>
          <w:numId w:val="626"/>
        </w:numPr>
        <w:tabs>
          <w:tab w:val="left" w:pos="1367"/>
        </w:tabs>
        <w:rPr>
          <w:sz w:val="21"/>
        </w:rPr>
      </w:pPr>
      <w:r>
        <w:rPr>
          <w:spacing w:val="-6"/>
          <w:sz w:val="21"/>
        </w:rPr>
        <w:t>二级增压焊接结构储存容器，不应大于</w:t>
      </w:r>
      <w:r>
        <w:rPr>
          <w:spacing w:val="-6"/>
          <w:sz w:val="21"/>
        </w:rPr>
        <w:t xml:space="preserve"> </w:t>
      </w:r>
      <w:r>
        <w:rPr>
          <w:sz w:val="21"/>
        </w:rPr>
        <w:t>950kg/m³</w:t>
      </w:r>
      <w:r>
        <w:rPr>
          <w:sz w:val="21"/>
        </w:rPr>
        <w:t>；</w:t>
      </w:r>
      <w:r>
        <w:rPr>
          <w:sz w:val="21"/>
        </w:rPr>
        <w:t xml:space="preserve"> </w:t>
      </w:r>
    </w:p>
    <w:p w14:paraId="5F16BC63" w14:textId="77777777" w:rsidR="00A71EEF" w:rsidRDefault="00A71EEF">
      <w:pPr>
        <w:pStyle w:val="a3"/>
        <w:spacing w:before="12"/>
        <w:rPr>
          <w:sz w:val="17"/>
        </w:rPr>
      </w:pPr>
    </w:p>
    <w:p w14:paraId="06461343" w14:textId="77777777" w:rsidR="00A71EEF" w:rsidRDefault="0081115D">
      <w:pPr>
        <w:pStyle w:val="a4"/>
        <w:numPr>
          <w:ilvl w:val="0"/>
          <w:numId w:val="626"/>
        </w:numPr>
        <w:tabs>
          <w:tab w:val="left" w:pos="1367"/>
        </w:tabs>
        <w:rPr>
          <w:sz w:val="21"/>
        </w:rPr>
      </w:pPr>
      <w:r>
        <w:rPr>
          <w:spacing w:val="-6"/>
          <w:sz w:val="21"/>
        </w:rPr>
        <w:t>二级增压无缝结构储存容器，不应大于</w:t>
      </w:r>
      <w:r>
        <w:rPr>
          <w:spacing w:val="-6"/>
          <w:sz w:val="21"/>
        </w:rPr>
        <w:t xml:space="preserve"> </w:t>
      </w:r>
      <w:r>
        <w:rPr>
          <w:sz w:val="21"/>
        </w:rPr>
        <w:t>1120kg/m³</w:t>
      </w:r>
      <w:r>
        <w:rPr>
          <w:sz w:val="21"/>
        </w:rPr>
        <w:t>；</w:t>
      </w:r>
      <w:r>
        <w:rPr>
          <w:sz w:val="21"/>
        </w:rPr>
        <w:t xml:space="preserve"> </w:t>
      </w:r>
    </w:p>
    <w:p w14:paraId="495D9707" w14:textId="77777777" w:rsidR="00A71EEF" w:rsidRDefault="00A71EEF">
      <w:pPr>
        <w:pStyle w:val="a3"/>
        <w:rPr>
          <w:sz w:val="18"/>
        </w:rPr>
      </w:pPr>
    </w:p>
    <w:p w14:paraId="2677CF65" w14:textId="77777777" w:rsidR="00A71EEF" w:rsidRDefault="0081115D">
      <w:pPr>
        <w:pStyle w:val="a4"/>
        <w:numPr>
          <w:ilvl w:val="0"/>
          <w:numId w:val="626"/>
        </w:numPr>
        <w:tabs>
          <w:tab w:val="left" w:pos="1367"/>
        </w:tabs>
        <w:rPr>
          <w:sz w:val="21"/>
        </w:rPr>
      </w:pPr>
      <w:r>
        <w:rPr>
          <w:spacing w:val="-7"/>
          <w:sz w:val="21"/>
        </w:rPr>
        <w:t>三级增压储存容器，不应大于</w:t>
      </w:r>
      <w:r>
        <w:rPr>
          <w:spacing w:val="-7"/>
          <w:sz w:val="21"/>
        </w:rPr>
        <w:t xml:space="preserve"> </w:t>
      </w:r>
      <w:r>
        <w:rPr>
          <w:sz w:val="21"/>
        </w:rPr>
        <w:t>1080kg/m³</w:t>
      </w:r>
      <w:r>
        <w:rPr>
          <w:sz w:val="21"/>
        </w:rPr>
        <w:t>。</w:t>
      </w:r>
      <w:r>
        <w:rPr>
          <w:sz w:val="21"/>
        </w:rPr>
        <w:t xml:space="preserve"> </w:t>
      </w:r>
    </w:p>
    <w:p w14:paraId="5D5C2617" w14:textId="77777777" w:rsidR="00A71EEF" w:rsidRDefault="00A71EEF">
      <w:pPr>
        <w:pStyle w:val="a3"/>
        <w:spacing w:before="2"/>
        <w:rPr>
          <w:sz w:val="18"/>
        </w:rPr>
      </w:pPr>
    </w:p>
    <w:p w14:paraId="332E1660" w14:textId="77777777" w:rsidR="00A71EEF" w:rsidRDefault="0081115D">
      <w:pPr>
        <w:pStyle w:val="a4"/>
        <w:numPr>
          <w:ilvl w:val="2"/>
          <w:numId w:val="633"/>
        </w:numPr>
        <w:tabs>
          <w:tab w:val="left" w:pos="1478"/>
        </w:tabs>
        <w:ind w:left="1477" w:hanging="638"/>
        <w:rPr>
          <w:sz w:val="21"/>
        </w:rPr>
      </w:pPr>
      <w:r>
        <w:rPr>
          <w:spacing w:val="-5"/>
          <w:sz w:val="21"/>
        </w:rPr>
        <w:t>管网的管道内容积，不应大于流经该管网的七氟丙烷储存量体积的</w:t>
      </w:r>
      <w:r>
        <w:rPr>
          <w:spacing w:val="-5"/>
          <w:sz w:val="21"/>
        </w:rPr>
        <w:t xml:space="preserve"> </w:t>
      </w:r>
      <w:r>
        <w:rPr>
          <w:sz w:val="21"/>
        </w:rPr>
        <w:t>80</w:t>
      </w:r>
      <w:r>
        <w:rPr>
          <w:spacing w:val="-2"/>
          <w:sz w:val="21"/>
        </w:rPr>
        <w:t>%</w:t>
      </w:r>
      <w:r>
        <w:rPr>
          <w:spacing w:val="-2"/>
          <w:sz w:val="21"/>
        </w:rPr>
        <w:t>。</w:t>
      </w:r>
      <w:r>
        <w:rPr>
          <w:sz w:val="21"/>
        </w:rPr>
        <w:t xml:space="preserve"> </w:t>
      </w:r>
    </w:p>
    <w:p w14:paraId="0A1D286F" w14:textId="77777777" w:rsidR="00A71EEF" w:rsidRDefault="00A71EEF">
      <w:pPr>
        <w:pStyle w:val="a3"/>
        <w:rPr>
          <w:sz w:val="18"/>
        </w:rPr>
      </w:pPr>
    </w:p>
    <w:p w14:paraId="1BA4EFB6" w14:textId="77777777" w:rsidR="00A71EEF" w:rsidRDefault="0081115D">
      <w:pPr>
        <w:pStyle w:val="a4"/>
        <w:numPr>
          <w:ilvl w:val="2"/>
          <w:numId w:val="633"/>
        </w:numPr>
        <w:tabs>
          <w:tab w:val="left" w:pos="1478"/>
        </w:tabs>
        <w:ind w:left="1477" w:hanging="638"/>
        <w:rPr>
          <w:sz w:val="21"/>
        </w:rPr>
      </w:pPr>
      <w:r>
        <w:rPr>
          <w:spacing w:val="-3"/>
          <w:sz w:val="21"/>
        </w:rPr>
        <w:t>管网布置宜设计为均衡系统，并应符合下列规定：</w:t>
      </w:r>
      <w:r>
        <w:rPr>
          <w:sz w:val="21"/>
        </w:rPr>
        <w:t xml:space="preserve"> </w:t>
      </w:r>
    </w:p>
    <w:p w14:paraId="218CD43D" w14:textId="77777777" w:rsidR="00A71EEF" w:rsidRDefault="00A71EEF">
      <w:pPr>
        <w:pStyle w:val="a3"/>
        <w:spacing w:before="12"/>
        <w:rPr>
          <w:sz w:val="17"/>
        </w:rPr>
      </w:pPr>
    </w:p>
    <w:p w14:paraId="32B6E7B3" w14:textId="77777777" w:rsidR="00A71EEF" w:rsidRDefault="0081115D">
      <w:pPr>
        <w:pStyle w:val="a4"/>
        <w:numPr>
          <w:ilvl w:val="0"/>
          <w:numId w:val="625"/>
        </w:numPr>
        <w:tabs>
          <w:tab w:val="left" w:pos="1367"/>
        </w:tabs>
        <w:rPr>
          <w:sz w:val="21"/>
        </w:rPr>
      </w:pPr>
      <w:r>
        <w:rPr>
          <w:spacing w:val="-3"/>
          <w:sz w:val="21"/>
        </w:rPr>
        <w:t>喷头设计流量应相等；</w:t>
      </w:r>
      <w:r>
        <w:rPr>
          <w:spacing w:val="-3"/>
          <w:sz w:val="21"/>
        </w:rPr>
        <w:t xml:space="preserve"> </w:t>
      </w:r>
    </w:p>
    <w:p w14:paraId="2DE39911" w14:textId="77777777" w:rsidR="00A71EEF" w:rsidRDefault="00A71EEF">
      <w:pPr>
        <w:pStyle w:val="a3"/>
        <w:spacing w:before="2"/>
        <w:rPr>
          <w:sz w:val="18"/>
        </w:rPr>
      </w:pPr>
    </w:p>
    <w:p w14:paraId="0F73EF41" w14:textId="77777777" w:rsidR="00A71EEF" w:rsidRDefault="0081115D">
      <w:pPr>
        <w:pStyle w:val="a4"/>
        <w:numPr>
          <w:ilvl w:val="0"/>
          <w:numId w:val="625"/>
        </w:numPr>
        <w:tabs>
          <w:tab w:val="left" w:pos="1367"/>
        </w:tabs>
        <w:spacing w:line="446" w:lineRule="auto"/>
        <w:ind w:left="840" w:right="1664" w:hanging="3"/>
        <w:rPr>
          <w:sz w:val="21"/>
        </w:rPr>
      </w:pPr>
      <w:r>
        <w:rPr>
          <w:spacing w:val="-12"/>
          <w:sz w:val="21"/>
        </w:rPr>
        <w:t>管网的第</w:t>
      </w:r>
      <w:r>
        <w:rPr>
          <w:spacing w:val="-12"/>
          <w:sz w:val="21"/>
        </w:rPr>
        <w:t xml:space="preserve"> </w:t>
      </w:r>
      <w:r>
        <w:rPr>
          <w:sz w:val="21"/>
        </w:rPr>
        <w:t>1</w:t>
      </w:r>
      <w:r>
        <w:rPr>
          <w:spacing w:val="-10"/>
          <w:sz w:val="21"/>
        </w:rPr>
        <w:t xml:space="preserve"> </w:t>
      </w:r>
      <w:r>
        <w:rPr>
          <w:spacing w:val="-10"/>
          <w:sz w:val="21"/>
        </w:rPr>
        <w:t>分流点至各喷头的管道阻力损失，其相互间的最大差值不应大于</w:t>
      </w:r>
      <w:r>
        <w:rPr>
          <w:spacing w:val="-10"/>
          <w:sz w:val="21"/>
        </w:rPr>
        <w:t xml:space="preserve"> </w:t>
      </w:r>
      <w:r>
        <w:rPr>
          <w:sz w:val="21"/>
        </w:rPr>
        <w:t>20</w:t>
      </w:r>
      <w:r>
        <w:rPr>
          <w:spacing w:val="-2"/>
          <w:sz w:val="21"/>
        </w:rPr>
        <w:t>%</w:t>
      </w:r>
      <w:r>
        <w:rPr>
          <w:spacing w:val="-2"/>
          <w:sz w:val="21"/>
        </w:rPr>
        <w:t>。</w:t>
      </w:r>
      <w:r>
        <w:rPr>
          <w:b/>
          <w:sz w:val="21"/>
        </w:rPr>
        <w:t xml:space="preserve">3.3.13 </w:t>
      </w:r>
      <w:r>
        <w:rPr>
          <w:spacing w:val="-3"/>
          <w:sz w:val="21"/>
        </w:rPr>
        <w:t>防护区的泄压口面积，宜按下式计算：</w:t>
      </w:r>
      <w:r>
        <w:rPr>
          <w:spacing w:val="-3"/>
          <w:sz w:val="21"/>
        </w:rPr>
        <w:t xml:space="preserve"> </w:t>
      </w:r>
    </w:p>
    <w:p w14:paraId="6DAE4E6D" w14:textId="77777777" w:rsidR="00A71EEF" w:rsidRDefault="0081115D">
      <w:pPr>
        <w:pStyle w:val="a3"/>
        <w:spacing w:before="12"/>
        <w:rPr>
          <w:sz w:val="16"/>
        </w:rPr>
      </w:pPr>
      <w:r>
        <w:rPr>
          <w:noProof/>
        </w:rPr>
        <w:drawing>
          <wp:anchor distT="0" distB="0" distL="0" distR="0" simplePos="0" relativeHeight="251565568" behindDoc="0" locked="0" layoutInCell="1" allowOverlap="1" wp14:anchorId="22CE09D1" wp14:editId="555B5FFB">
            <wp:simplePos x="0" y="0"/>
            <wp:positionH relativeFrom="page">
              <wp:posOffset>1579880</wp:posOffset>
            </wp:positionH>
            <wp:positionV relativeFrom="paragraph">
              <wp:posOffset>162679</wp:posOffset>
            </wp:positionV>
            <wp:extent cx="2514599" cy="447675"/>
            <wp:effectExtent l="0" t="0" r="0" b="0"/>
            <wp:wrapTopAndBottom/>
            <wp:docPr id="283" name="image1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176.jpeg"/>
                    <pic:cNvPicPr/>
                  </pic:nvPicPr>
                  <pic:blipFill>
                    <a:blip r:embed="rId212" cstate="print"/>
                    <a:stretch>
                      <a:fillRect/>
                    </a:stretch>
                  </pic:blipFill>
                  <pic:spPr>
                    <a:xfrm>
                      <a:off x="0" y="0"/>
                      <a:ext cx="2514599" cy="447675"/>
                    </a:xfrm>
                    <a:prstGeom prst="rect">
                      <a:avLst/>
                    </a:prstGeom>
                  </pic:spPr>
                </pic:pic>
              </a:graphicData>
            </a:graphic>
          </wp:anchor>
        </w:drawing>
      </w:r>
    </w:p>
    <w:p w14:paraId="5303A62E" w14:textId="77777777" w:rsidR="00A71EEF" w:rsidRDefault="0081115D">
      <w:pPr>
        <w:pStyle w:val="a3"/>
        <w:spacing w:before="169"/>
        <w:ind w:left="838"/>
      </w:pPr>
      <w:r>
        <w:rPr>
          <w:spacing w:val="-1"/>
          <w:position w:val="1"/>
        </w:rPr>
        <w:t>式中</w:t>
      </w:r>
      <w:r>
        <w:rPr>
          <w:spacing w:val="-1"/>
          <w:position w:val="1"/>
        </w:rPr>
        <w:t xml:space="preserve"> </w:t>
      </w:r>
      <w:r>
        <w:rPr>
          <w:i/>
          <w:w w:val="96"/>
          <w:position w:val="1"/>
          <w:sz w:val="22"/>
        </w:rPr>
        <w:t xml:space="preserve"> </w:t>
      </w:r>
      <w:r>
        <w:rPr>
          <w:i/>
          <w:spacing w:val="-5"/>
          <w:position w:val="1"/>
          <w:sz w:val="22"/>
        </w:rPr>
        <w:t xml:space="preserve"> </w:t>
      </w:r>
      <w:r>
        <w:rPr>
          <w:i/>
          <w:w w:val="96"/>
          <w:position w:val="1"/>
          <w:sz w:val="22"/>
        </w:rPr>
        <w:t>F</w:t>
      </w:r>
      <w:r>
        <w:rPr>
          <w:i/>
          <w:spacing w:val="-3"/>
          <w:sz w:val="11"/>
        </w:rPr>
        <w:t>x</w:t>
      </w:r>
      <w:r>
        <w:rPr>
          <w:spacing w:val="-3"/>
          <w:position w:val="1"/>
        </w:rPr>
        <w:t>——</w:t>
      </w:r>
      <w:r>
        <w:rPr>
          <w:spacing w:val="-3"/>
          <w:position w:val="1"/>
        </w:rPr>
        <w:t>泄压口面积</w:t>
      </w:r>
      <w:r>
        <w:rPr>
          <w:position w:val="1"/>
        </w:rPr>
        <w:t>（</w:t>
      </w:r>
      <w:r>
        <w:rPr>
          <w:position w:val="1"/>
        </w:rPr>
        <w:t>m²</w:t>
      </w:r>
      <w:r>
        <w:rPr>
          <w:spacing w:val="-108"/>
          <w:position w:val="1"/>
        </w:rPr>
        <w:t>）</w:t>
      </w:r>
      <w:r>
        <w:rPr>
          <w:spacing w:val="-3"/>
          <w:position w:val="1"/>
        </w:rPr>
        <w:t>；</w:t>
      </w:r>
      <w:r>
        <w:rPr>
          <w:position w:val="1"/>
        </w:rPr>
        <w:t xml:space="preserve"> </w:t>
      </w:r>
    </w:p>
    <w:p w14:paraId="4E0B12D8" w14:textId="77777777" w:rsidR="00A71EEF" w:rsidRDefault="00A71EEF">
      <w:pPr>
        <w:pStyle w:val="a3"/>
        <w:spacing w:before="12"/>
        <w:rPr>
          <w:sz w:val="16"/>
        </w:rPr>
      </w:pPr>
    </w:p>
    <w:p w14:paraId="19DEC409" w14:textId="77777777" w:rsidR="00A71EEF" w:rsidRDefault="0081115D">
      <w:pPr>
        <w:pStyle w:val="a3"/>
        <w:ind w:left="838"/>
      </w:pPr>
      <w:r>
        <w:rPr>
          <w:i/>
          <w:w w:val="96"/>
          <w:position w:val="1"/>
          <w:sz w:val="22"/>
        </w:rPr>
        <w:t>Q</w:t>
      </w:r>
      <w:r>
        <w:rPr>
          <w:i/>
          <w:sz w:val="11"/>
        </w:rPr>
        <w:t>x</w:t>
      </w:r>
      <w:r>
        <w:rPr>
          <w:spacing w:val="-3"/>
          <w:position w:val="1"/>
        </w:rPr>
        <w:t>——</w:t>
      </w:r>
      <w:r>
        <w:rPr>
          <w:spacing w:val="-3"/>
          <w:position w:val="1"/>
        </w:rPr>
        <w:t>灭火剂在防护区的平均喷放速率（</w:t>
      </w:r>
      <w:r>
        <w:rPr>
          <w:position w:val="1"/>
        </w:rPr>
        <w:t>kg/</w:t>
      </w:r>
      <w:r>
        <w:rPr>
          <w:spacing w:val="-3"/>
          <w:position w:val="1"/>
        </w:rPr>
        <w:t>s</w:t>
      </w:r>
      <w:r>
        <w:rPr>
          <w:spacing w:val="-106"/>
          <w:position w:val="1"/>
        </w:rPr>
        <w:t>）</w:t>
      </w:r>
      <w:r>
        <w:rPr>
          <w:spacing w:val="-2"/>
          <w:position w:val="1"/>
        </w:rPr>
        <w:t>；</w:t>
      </w:r>
      <w:r>
        <w:rPr>
          <w:position w:val="1"/>
        </w:rPr>
        <w:t xml:space="preserve"> </w:t>
      </w:r>
    </w:p>
    <w:p w14:paraId="12133F66" w14:textId="77777777" w:rsidR="00A71EEF" w:rsidRDefault="00A71EEF">
      <w:pPr>
        <w:pStyle w:val="a3"/>
        <w:spacing w:before="2"/>
        <w:rPr>
          <w:sz w:val="17"/>
        </w:rPr>
      </w:pPr>
    </w:p>
    <w:p w14:paraId="0773F364" w14:textId="77777777" w:rsidR="00A71EEF" w:rsidRDefault="0081115D">
      <w:pPr>
        <w:pStyle w:val="a3"/>
        <w:ind w:left="838"/>
      </w:pPr>
      <w:r>
        <w:rPr>
          <w:i/>
          <w:w w:val="96"/>
          <w:position w:val="1"/>
          <w:sz w:val="22"/>
        </w:rPr>
        <w:t>P</w:t>
      </w:r>
      <w:r>
        <w:rPr>
          <w:i/>
          <w:sz w:val="11"/>
        </w:rPr>
        <w:t>f</w:t>
      </w:r>
      <w:r>
        <w:rPr>
          <w:spacing w:val="-3"/>
          <w:position w:val="1"/>
        </w:rPr>
        <w:t>——</w:t>
      </w:r>
      <w:r>
        <w:rPr>
          <w:spacing w:val="-3"/>
          <w:position w:val="1"/>
        </w:rPr>
        <w:t>围护结构承受内压的允许压强</w:t>
      </w:r>
      <w:r>
        <w:rPr>
          <w:position w:val="1"/>
        </w:rPr>
        <w:t>（</w:t>
      </w:r>
      <w:r>
        <w:rPr>
          <w:position w:val="1"/>
        </w:rPr>
        <w:t>P</w:t>
      </w:r>
      <w:r>
        <w:rPr>
          <w:spacing w:val="-3"/>
          <w:position w:val="1"/>
        </w:rPr>
        <w:t>a</w:t>
      </w:r>
      <w:r>
        <w:rPr>
          <w:spacing w:val="-106"/>
          <w:position w:val="1"/>
        </w:rPr>
        <w:t>）</w:t>
      </w:r>
      <w:r>
        <w:rPr>
          <w:spacing w:val="-3"/>
          <w:position w:val="1"/>
        </w:rPr>
        <w:t>。</w:t>
      </w:r>
      <w:r>
        <w:rPr>
          <w:position w:val="1"/>
        </w:rPr>
        <w:t xml:space="preserve"> </w:t>
      </w:r>
    </w:p>
    <w:p w14:paraId="064CF3D0" w14:textId="77777777" w:rsidR="00A71EEF" w:rsidRDefault="00A71EEF">
      <w:pPr>
        <w:sectPr w:rsidR="00A71EEF">
          <w:pgSz w:w="11910" w:h="16850"/>
          <w:pgMar w:top="1220" w:right="0" w:bottom="1420" w:left="1260" w:header="0" w:footer="1239" w:gutter="0"/>
          <w:cols w:space="720"/>
        </w:sectPr>
      </w:pPr>
    </w:p>
    <w:p w14:paraId="513213AE" w14:textId="77777777" w:rsidR="00A71EEF" w:rsidRDefault="0081115D">
      <w:pPr>
        <w:pStyle w:val="a3"/>
        <w:spacing w:before="47"/>
        <w:ind w:left="840"/>
      </w:pPr>
      <w:r>
        <w:rPr>
          <w:b/>
        </w:rPr>
        <w:t xml:space="preserve">3.3.14 </w:t>
      </w:r>
      <w:r>
        <w:t>灭火设计用量或惰化设计用量和系统灭火剂储存量，应符合下列规定：</w:t>
      </w:r>
      <w:r>
        <w:t xml:space="preserve"> </w:t>
      </w:r>
    </w:p>
    <w:p w14:paraId="0929DEFE" w14:textId="77777777" w:rsidR="00A71EEF" w:rsidRDefault="00A71EEF">
      <w:pPr>
        <w:pStyle w:val="a3"/>
        <w:rPr>
          <w:sz w:val="18"/>
        </w:rPr>
      </w:pPr>
    </w:p>
    <w:p w14:paraId="265C7584" w14:textId="77777777" w:rsidR="00A71EEF" w:rsidRDefault="0081115D">
      <w:pPr>
        <w:pStyle w:val="a4"/>
        <w:numPr>
          <w:ilvl w:val="0"/>
          <w:numId w:val="624"/>
        </w:numPr>
        <w:tabs>
          <w:tab w:val="left" w:pos="1367"/>
        </w:tabs>
        <w:rPr>
          <w:sz w:val="21"/>
        </w:rPr>
      </w:pPr>
      <w:r>
        <w:rPr>
          <w:spacing w:val="-3"/>
          <w:sz w:val="21"/>
        </w:rPr>
        <w:t>防护区灭火设计用量或惰化设计用量应按下式计算：</w:t>
      </w:r>
      <w:r>
        <w:rPr>
          <w:sz w:val="21"/>
        </w:rPr>
        <w:t xml:space="preserve"> </w:t>
      </w:r>
    </w:p>
    <w:p w14:paraId="4415081E" w14:textId="77777777" w:rsidR="00A71EEF" w:rsidRDefault="00A71EEF">
      <w:pPr>
        <w:pStyle w:val="a3"/>
        <w:rPr>
          <w:sz w:val="20"/>
        </w:rPr>
      </w:pPr>
    </w:p>
    <w:p w14:paraId="75E54574" w14:textId="77777777" w:rsidR="00A71EEF" w:rsidRDefault="0081115D">
      <w:pPr>
        <w:pStyle w:val="a3"/>
        <w:spacing w:before="1"/>
        <w:rPr>
          <w:sz w:val="12"/>
        </w:rPr>
      </w:pPr>
      <w:r>
        <w:rPr>
          <w:noProof/>
        </w:rPr>
        <w:drawing>
          <wp:anchor distT="0" distB="0" distL="0" distR="0" simplePos="0" relativeHeight="251566592" behindDoc="0" locked="0" layoutInCell="1" allowOverlap="1" wp14:anchorId="2D7DFDD8" wp14:editId="55802341">
            <wp:simplePos x="0" y="0"/>
            <wp:positionH relativeFrom="page">
              <wp:posOffset>1417955</wp:posOffset>
            </wp:positionH>
            <wp:positionV relativeFrom="paragraph">
              <wp:posOffset>123317</wp:posOffset>
            </wp:positionV>
            <wp:extent cx="2666999" cy="390525"/>
            <wp:effectExtent l="0" t="0" r="0" b="0"/>
            <wp:wrapTopAndBottom/>
            <wp:docPr id="285" name="image1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177.jpeg"/>
                    <pic:cNvPicPr/>
                  </pic:nvPicPr>
                  <pic:blipFill>
                    <a:blip r:embed="rId213" cstate="print"/>
                    <a:stretch>
                      <a:fillRect/>
                    </a:stretch>
                  </pic:blipFill>
                  <pic:spPr>
                    <a:xfrm>
                      <a:off x="0" y="0"/>
                      <a:ext cx="2666999" cy="390525"/>
                    </a:xfrm>
                    <a:prstGeom prst="rect">
                      <a:avLst/>
                    </a:prstGeom>
                  </pic:spPr>
                </pic:pic>
              </a:graphicData>
            </a:graphic>
          </wp:anchor>
        </w:drawing>
      </w:r>
    </w:p>
    <w:p w14:paraId="77A67C2E" w14:textId="77777777" w:rsidR="00A71EEF" w:rsidRDefault="00A71EEF">
      <w:pPr>
        <w:pStyle w:val="a3"/>
        <w:spacing w:before="5"/>
        <w:rPr>
          <w:sz w:val="22"/>
        </w:rPr>
      </w:pPr>
    </w:p>
    <w:p w14:paraId="48F6F974" w14:textId="77777777" w:rsidR="00A71EEF" w:rsidRDefault="0081115D">
      <w:pPr>
        <w:pStyle w:val="a3"/>
        <w:spacing w:before="1"/>
        <w:ind w:left="838"/>
      </w:pPr>
      <w:r>
        <w:rPr>
          <w:spacing w:val="-1"/>
        </w:rPr>
        <w:t>式中</w:t>
      </w:r>
      <w:r>
        <w:rPr>
          <w:spacing w:val="-1"/>
        </w:rPr>
        <w:t xml:space="preserve">  </w:t>
      </w:r>
      <w:r>
        <w:t xml:space="preserve"> </w:t>
      </w:r>
      <w:r>
        <w:rPr>
          <w:i/>
          <w:w w:val="96"/>
          <w:sz w:val="22"/>
        </w:rPr>
        <w:t>W</w:t>
      </w:r>
      <w:r>
        <w:rPr>
          <w:i/>
          <w:spacing w:val="-3"/>
          <w:w w:val="96"/>
          <w:sz w:val="22"/>
        </w:rPr>
        <w:t>—</w:t>
      </w:r>
      <w:r>
        <w:rPr>
          <w:spacing w:val="-3"/>
        </w:rPr>
        <w:t>—</w:t>
      </w:r>
      <w:r>
        <w:rPr>
          <w:spacing w:val="-3"/>
        </w:rPr>
        <w:t>灭火设计用量或惰化设计用量（</w:t>
      </w:r>
      <w:r>
        <w:t>kg</w:t>
      </w:r>
      <w:r>
        <w:rPr>
          <w:spacing w:val="-108"/>
        </w:rPr>
        <w:t>）</w:t>
      </w:r>
      <w:r>
        <w:rPr>
          <w:spacing w:val="-3"/>
        </w:rPr>
        <w:t>；</w:t>
      </w:r>
      <w:r>
        <w:t xml:space="preserve"> </w:t>
      </w:r>
    </w:p>
    <w:p w14:paraId="45CCC403" w14:textId="77777777" w:rsidR="00A71EEF" w:rsidRDefault="00A71EEF">
      <w:pPr>
        <w:pStyle w:val="a3"/>
        <w:spacing w:before="11"/>
        <w:rPr>
          <w:sz w:val="16"/>
        </w:rPr>
      </w:pPr>
    </w:p>
    <w:p w14:paraId="5B887E01" w14:textId="77777777" w:rsidR="00A71EEF" w:rsidRDefault="0081115D">
      <w:pPr>
        <w:pStyle w:val="a3"/>
        <w:spacing w:before="1"/>
        <w:ind w:left="838"/>
      </w:pPr>
      <w:r>
        <w:rPr>
          <w:i/>
          <w:w w:val="96"/>
          <w:position w:val="1"/>
          <w:sz w:val="22"/>
        </w:rPr>
        <w:t>C</w:t>
      </w:r>
      <w:r>
        <w:rPr>
          <w:sz w:val="11"/>
        </w:rPr>
        <w:t>1</w:t>
      </w:r>
      <w:r>
        <w:rPr>
          <w:spacing w:val="-3"/>
          <w:position w:val="1"/>
        </w:rPr>
        <w:t>——</w:t>
      </w:r>
      <w:r>
        <w:rPr>
          <w:spacing w:val="-3"/>
          <w:position w:val="1"/>
        </w:rPr>
        <w:t>灭火设计浓度或惰化设计浓度</w:t>
      </w:r>
      <w:r>
        <w:rPr>
          <w:position w:val="1"/>
        </w:rPr>
        <w:t>（</w:t>
      </w:r>
      <w:r>
        <w:rPr>
          <w:position w:val="1"/>
        </w:rPr>
        <w:t>%</w:t>
      </w:r>
      <w:r>
        <w:rPr>
          <w:spacing w:val="-108"/>
          <w:position w:val="1"/>
        </w:rPr>
        <w:t>）</w:t>
      </w:r>
      <w:r>
        <w:rPr>
          <w:spacing w:val="-3"/>
          <w:position w:val="1"/>
        </w:rPr>
        <w:t>；</w:t>
      </w:r>
      <w:r>
        <w:rPr>
          <w:position w:val="1"/>
        </w:rPr>
        <w:t xml:space="preserve"> </w:t>
      </w:r>
    </w:p>
    <w:p w14:paraId="1E56E12E" w14:textId="77777777" w:rsidR="00A71EEF" w:rsidRDefault="00A71EEF">
      <w:pPr>
        <w:pStyle w:val="a3"/>
        <w:spacing w:before="12"/>
        <w:rPr>
          <w:sz w:val="16"/>
        </w:rPr>
      </w:pPr>
    </w:p>
    <w:p w14:paraId="06095C02" w14:textId="77777777" w:rsidR="00A71EEF" w:rsidRDefault="0081115D">
      <w:pPr>
        <w:pStyle w:val="a3"/>
        <w:ind w:left="838"/>
      </w:pPr>
      <w:r>
        <w:rPr>
          <w:i/>
          <w:w w:val="96"/>
          <w:sz w:val="22"/>
        </w:rPr>
        <w:t>S</w:t>
      </w:r>
      <w:r>
        <w:rPr>
          <w:spacing w:val="-3"/>
        </w:rPr>
        <w:t>——</w:t>
      </w:r>
      <w:r>
        <w:rPr>
          <w:spacing w:val="-3"/>
        </w:rPr>
        <w:t>灭火剂过热蒸汽在</w:t>
      </w:r>
      <w:r>
        <w:rPr>
          <w:spacing w:val="-55"/>
        </w:rPr>
        <w:t xml:space="preserve"> </w:t>
      </w:r>
      <w:r>
        <w:rPr>
          <w:spacing w:val="-3"/>
        </w:rPr>
        <w:t>1</w:t>
      </w:r>
      <w:r>
        <w:t>01kPa</w:t>
      </w:r>
      <w:r>
        <w:rPr>
          <w:spacing w:val="-55"/>
        </w:rPr>
        <w:t xml:space="preserve"> </w:t>
      </w:r>
      <w:r>
        <w:rPr>
          <w:spacing w:val="-3"/>
        </w:rPr>
        <w:t>大气压和防护区最低环境温度下的质量体积</w:t>
      </w:r>
      <w:r>
        <w:t>（</w:t>
      </w:r>
      <w:r>
        <w:t>m³/</w:t>
      </w:r>
      <w:r>
        <w:rPr>
          <w:spacing w:val="-3"/>
        </w:rPr>
        <w:t>k</w:t>
      </w:r>
      <w:r>
        <w:rPr>
          <w:spacing w:val="-1"/>
        </w:rPr>
        <w:t>g</w:t>
      </w:r>
      <w:r>
        <w:rPr>
          <w:spacing w:val="-106"/>
        </w:rPr>
        <w:t>）</w:t>
      </w:r>
      <w:r>
        <w:rPr>
          <w:spacing w:val="-3"/>
        </w:rPr>
        <w:t>；</w:t>
      </w:r>
      <w:r>
        <w:t xml:space="preserve"> </w:t>
      </w:r>
    </w:p>
    <w:p w14:paraId="301B7858" w14:textId="77777777" w:rsidR="00A71EEF" w:rsidRDefault="00A71EEF">
      <w:pPr>
        <w:pStyle w:val="a3"/>
        <w:spacing w:before="3"/>
        <w:rPr>
          <w:sz w:val="17"/>
        </w:rPr>
      </w:pPr>
    </w:p>
    <w:p w14:paraId="28E4839D" w14:textId="77777777" w:rsidR="00A71EEF" w:rsidRDefault="0081115D">
      <w:pPr>
        <w:pStyle w:val="a3"/>
        <w:ind w:left="838"/>
      </w:pPr>
      <w:r>
        <w:rPr>
          <w:i/>
          <w:w w:val="96"/>
          <w:sz w:val="22"/>
        </w:rPr>
        <w:t>V</w:t>
      </w:r>
      <w:r>
        <w:rPr>
          <w:spacing w:val="-3"/>
        </w:rPr>
        <w:t>——</w:t>
      </w:r>
      <w:r>
        <w:rPr>
          <w:spacing w:val="-3"/>
        </w:rPr>
        <w:t>防护区的净容积</w:t>
      </w:r>
      <w:r>
        <w:t>（</w:t>
      </w:r>
      <w:r>
        <w:rPr>
          <w:spacing w:val="-3"/>
        </w:rPr>
        <w:t>m³</w:t>
      </w:r>
      <w:r>
        <w:rPr>
          <w:spacing w:val="-106"/>
        </w:rPr>
        <w:t>）</w:t>
      </w:r>
      <w:r>
        <w:rPr>
          <w:spacing w:val="-3"/>
        </w:rPr>
        <w:t>；</w:t>
      </w:r>
      <w:r>
        <w:t xml:space="preserve"> </w:t>
      </w:r>
    </w:p>
    <w:p w14:paraId="6199E7FD" w14:textId="77777777" w:rsidR="00A71EEF" w:rsidRDefault="00A71EEF">
      <w:pPr>
        <w:pStyle w:val="a3"/>
        <w:spacing w:before="12"/>
        <w:rPr>
          <w:sz w:val="16"/>
        </w:rPr>
      </w:pPr>
    </w:p>
    <w:p w14:paraId="6865B976" w14:textId="77777777" w:rsidR="00A71EEF" w:rsidRDefault="0081115D">
      <w:pPr>
        <w:pStyle w:val="a3"/>
        <w:ind w:left="838"/>
      </w:pPr>
      <w:r>
        <w:rPr>
          <w:i/>
          <w:sz w:val="22"/>
        </w:rPr>
        <w:t>K</w:t>
      </w:r>
      <w:r>
        <w:t>——</w:t>
      </w:r>
      <w:r>
        <w:t>海拔高度修正系数，可按本规范附录</w:t>
      </w:r>
      <w:r>
        <w:t xml:space="preserve"> B </w:t>
      </w:r>
      <w:r>
        <w:t>的规定取值。</w:t>
      </w:r>
      <w:r>
        <w:t xml:space="preserve"> </w:t>
      </w:r>
    </w:p>
    <w:p w14:paraId="2188DAEE" w14:textId="77777777" w:rsidR="00A71EEF" w:rsidRDefault="00A71EEF">
      <w:pPr>
        <w:pStyle w:val="a3"/>
        <w:spacing w:before="9"/>
        <w:rPr>
          <w:sz w:val="17"/>
        </w:rPr>
      </w:pPr>
    </w:p>
    <w:p w14:paraId="1A43A7FE" w14:textId="77777777" w:rsidR="00A71EEF" w:rsidRDefault="0081115D">
      <w:pPr>
        <w:pStyle w:val="a4"/>
        <w:numPr>
          <w:ilvl w:val="0"/>
          <w:numId w:val="624"/>
        </w:numPr>
        <w:tabs>
          <w:tab w:val="left" w:pos="1367"/>
        </w:tabs>
        <w:spacing w:before="1"/>
        <w:rPr>
          <w:sz w:val="21"/>
        </w:rPr>
      </w:pPr>
      <w:r>
        <w:rPr>
          <w:spacing w:val="1"/>
          <w:sz w:val="21"/>
        </w:rPr>
        <w:t>灭火剂过热蒸气在</w:t>
      </w:r>
      <w:r>
        <w:rPr>
          <w:sz w:val="21"/>
        </w:rPr>
        <w:t>101kPa</w:t>
      </w:r>
      <w:r>
        <w:rPr>
          <w:spacing w:val="-15"/>
          <w:sz w:val="21"/>
        </w:rPr>
        <w:t xml:space="preserve"> </w:t>
      </w:r>
      <w:r>
        <w:rPr>
          <w:spacing w:val="-15"/>
          <w:sz w:val="21"/>
        </w:rPr>
        <w:t>大气压和防护区最低环境温度下的质量体积，应按下式计算：</w:t>
      </w:r>
      <w:r>
        <w:rPr>
          <w:sz w:val="21"/>
        </w:rPr>
        <w:t xml:space="preserve"> </w:t>
      </w:r>
    </w:p>
    <w:p w14:paraId="30907259" w14:textId="77777777" w:rsidR="00A71EEF" w:rsidRDefault="0081115D">
      <w:pPr>
        <w:pStyle w:val="a3"/>
        <w:spacing w:before="11"/>
        <w:rPr>
          <w:sz w:val="7"/>
        </w:rPr>
      </w:pPr>
      <w:r>
        <w:rPr>
          <w:noProof/>
        </w:rPr>
        <w:drawing>
          <wp:anchor distT="0" distB="0" distL="0" distR="0" simplePos="0" relativeHeight="251567616" behindDoc="0" locked="0" layoutInCell="1" allowOverlap="1" wp14:anchorId="2FD56203" wp14:editId="281DC80F">
            <wp:simplePos x="0" y="0"/>
            <wp:positionH relativeFrom="page">
              <wp:posOffset>1332230</wp:posOffset>
            </wp:positionH>
            <wp:positionV relativeFrom="paragraph">
              <wp:posOffset>88939</wp:posOffset>
            </wp:positionV>
            <wp:extent cx="2705099" cy="180975"/>
            <wp:effectExtent l="0" t="0" r="0" b="0"/>
            <wp:wrapTopAndBottom/>
            <wp:docPr id="287" name="image1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178.jpeg"/>
                    <pic:cNvPicPr/>
                  </pic:nvPicPr>
                  <pic:blipFill>
                    <a:blip r:embed="rId214" cstate="print"/>
                    <a:stretch>
                      <a:fillRect/>
                    </a:stretch>
                  </pic:blipFill>
                  <pic:spPr>
                    <a:xfrm>
                      <a:off x="0" y="0"/>
                      <a:ext cx="2705099" cy="180975"/>
                    </a:xfrm>
                    <a:prstGeom prst="rect">
                      <a:avLst/>
                    </a:prstGeom>
                  </pic:spPr>
                </pic:pic>
              </a:graphicData>
            </a:graphic>
          </wp:anchor>
        </w:drawing>
      </w:r>
    </w:p>
    <w:p w14:paraId="307F8737" w14:textId="77777777" w:rsidR="00A71EEF" w:rsidRDefault="00A71EEF">
      <w:pPr>
        <w:pStyle w:val="a3"/>
        <w:spacing w:before="11"/>
        <w:rPr>
          <w:sz w:val="20"/>
        </w:rPr>
      </w:pPr>
    </w:p>
    <w:p w14:paraId="27731C61" w14:textId="77777777" w:rsidR="00A71EEF" w:rsidRDefault="0081115D">
      <w:pPr>
        <w:pStyle w:val="a3"/>
        <w:ind w:left="838"/>
      </w:pPr>
      <w:r>
        <w:t>式中</w:t>
      </w:r>
      <w:r>
        <w:t xml:space="preserve"> </w:t>
      </w:r>
      <w:r>
        <w:rPr>
          <w:spacing w:val="-2"/>
        </w:rPr>
        <w:t xml:space="preserve"> </w:t>
      </w:r>
      <w:r>
        <w:t xml:space="preserve"> </w:t>
      </w:r>
      <w:r>
        <w:t xml:space="preserve"> </w:t>
      </w:r>
      <w:r>
        <w:rPr>
          <w:i/>
          <w:spacing w:val="-3"/>
          <w:w w:val="96"/>
          <w:sz w:val="22"/>
        </w:rPr>
        <w:t>T</w:t>
      </w:r>
      <w:r>
        <w:rPr>
          <w:spacing w:val="-3"/>
        </w:rPr>
        <w:t>——</w:t>
      </w:r>
      <w:r>
        <w:rPr>
          <w:spacing w:val="-3"/>
        </w:rPr>
        <w:t>防护区最低环境温度（</w:t>
      </w:r>
      <w:r>
        <w:t>℃</w:t>
      </w:r>
      <w:r>
        <w:rPr>
          <w:spacing w:val="-108"/>
        </w:rPr>
        <w:t>）</w:t>
      </w:r>
      <w:r>
        <w:rPr>
          <w:spacing w:val="-3"/>
        </w:rPr>
        <w:t>。</w:t>
      </w:r>
      <w:r>
        <w:t xml:space="preserve"> </w:t>
      </w:r>
    </w:p>
    <w:p w14:paraId="06146F16" w14:textId="77777777" w:rsidR="00A71EEF" w:rsidRDefault="00A71EEF">
      <w:pPr>
        <w:pStyle w:val="a3"/>
        <w:spacing w:before="9"/>
        <w:rPr>
          <w:sz w:val="17"/>
        </w:rPr>
      </w:pPr>
    </w:p>
    <w:p w14:paraId="58F65B29" w14:textId="77777777" w:rsidR="00A71EEF" w:rsidRDefault="0081115D">
      <w:pPr>
        <w:pStyle w:val="a4"/>
        <w:numPr>
          <w:ilvl w:val="0"/>
          <w:numId w:val="624"/>
        </w:numPr>
        <w:tabs>
          <w:tab w:val="left" w:pos="1367"/>
        </w:tabs>
        <w:spacing w:before="1"/>
        <w:rPr>
          <w:sz w:val="21"/>
        </w:rPr>
      </w:pPr>
      <w:r>
        <w:rPr>
          <w:spacing w:val="-3"/>
          <w:sz w:val="21"/>
        </w:rPr>
        <w:t>系统灭火剂储存量应按下式计算：</w:t>
      </w:r>
      <w:r>
        <w:rPr>
          <w:sz w:val="21"/>
        </w:rPr>
        <w:t xml:space="preserve"> </w:t>
      </w:r>
    </w:p>
    <w:p w14:paraId="7E140843" w14:textId="77777777" w:rsidR="00A71EEF" w:rsidRDefault="00A71EEF">
      <w:pPr>
        <w:pStyle w:val="a3"/>
        <w:rPr>
          <w:sz w:val="20"/>
        </w:rPr>
      </w:pPr>
    </w:p>
    <w:p w14:paraId="618DE068" w14:textId="77777777" w:rsidR="00A71EEF" w:rsidRDefault="0081115D">
      <w:pPr>
        <w:pStyle w:val="a3"/>
        <w:rPr>
          <w:sz w:val="23"/>
        </w:rPr>
      </w:pPr>
      <w:r>
        <w:rPr>
          <w:noProof/>
        </w:rPr>
        <w:drawing>
          <wp:anchor distT="0" distB="0" distL="0" distR="0" simplePos="0" relativeHeight="251568640" behindDoc="0" locked="0" layoutInCell="1" allowOverlap="1" wp14:anchorId="1990BF6B" wp14:editId="610C28C9">
            <wp:simplePos x="0" y="0"/>
            <wp:positionH relativeFrom="page">
              <wp:posOffset>1837054</wp:posOffset>
            </wp:positionH>
            <wp:positionV relativeFrom="paragraph">
              <wp:posOffset>211931</wp:posOffset>
            </wp:positionV>
            <wp:extent cx="2695574" cy="257175"/>
            <wp:effectExtent l="0" t="0" r="0" b="0"/>
            <wp:wrapTopAndBottom/>
            <wp:docPr id="289" name="image1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179.jpeg"/>
                    <pic:cNvPicPr/>
                  </pic:nvPicPr>
                  <pic:blipFill>
                    <a:blip r:embed="rId215" cstate="print"/>
                    <a:stretch>
                      <a:fillRect/>
                    </a:stretch>
                  </pic:blipFill>
                  <pic:spPr>
                    <a:xfrm>
                      <a:off x="0" y="0"/>
                      <a:ext cx="2695574" cy="257175"/>
                    </a:xfrm>
                    <a:prstGeom prst="rect">
                      <a:avLst/>
                    </a:prstGeom>
                  </pic:spPr>
                </pic:pic>
              </a:graphicData>
            </a:graphic>
          </wp:anchor>
        </w:drawing>
      </w:r>
    </w:p>
    <w:p w14:paraId="1AE6EF8B" w14:textId="77777777" w:rsidR="00A71EEF" w:rsidRDefault="00A71EEF">
      <w:pPr>
        <w:pStyle w:val="a3"/>
        <w:spacing w:before="4"/>
        <w:rPr>
          <w:sz w:val="15"/>
        </w:rPr>
      </w:pPr>
    </w:p>
    <w:p w14:paraId="28806158" w14:textId="77777777" w:rsidR="00A71EEF" w:rsidRDefault="0081115D">
      <w:pPr>
        <w:pStyle w:val="a3"/>
        <w:spacing w:line="427" w:lineRule="auto"/>
        <w:ind w:left="838" w:right="5653"/>
      </w:pPr>
      <w:r>
        <w:rPr>
          <w:position w:val="1"/>
        </w:rPr>
        <w:t>式中</w:t>
      </w:r>
      <w:r>
        <w:rPr>
          <w:position w:val="1"/>
        </w:rPr>
        <w:t xml:space="preserve"> </w:t>
      </w:r>
      <w:r>
        <w:rPr>
          <w:spacing w:val="-2"/>
          <w:position w:val="1"/>
        </w:rPr>
        <w:t xml:space="preserve"> </w:t>
      </w:r>
      <w:r>
        <w:rPr>
          <w:i/>
          <w:w w:val="96"/>
          <w:position w:val="1"/>
          <w:sz w:val="22"/>
        </w:rPr>
        <w:t>W</w:t>
      </w:r>
      <w:r>
        <w:rPr>
          <w:sz w:val="11"/>
        </w:rPr>
        <w:t>o</w:t>
      </w:r>
      <w:r>
        <w:rPr>
          <w:spacing w:val="-3"/>
          <w:position w:val="1"/>
        </w:rPr>
        <w:t>——</w:t>
      </w:r>
      <w:r>
        <w:rPr>
          <w:spacing w:val="-3"/>
          <w:position w:val="1"/>
        </w:rPr>
        <w:t>系统灭火剂储存量</w:t>
      </w:r>
      <w:r>
        <w:rPr>
          <w:position w:val="1"/>
        </w:rPr>
        <w:t>（</w:t>
      </w:r>
      <w:r>
        <w:rPr>
          <w:position w:val="1"/>
        </w:rPr>
        <w:t>k</w:t>
      </w:r>
      <w:r>
        <w:rPr>
          <w:spacing w:val="-3"/>
          <w:position w:val="1"/>
        </w:rPr>
        <w:t>g</w:t>
      </w:r>
      <w:r>
        <w:rPr>
          <w:spacing w:val="-106"/>
          <w:position w:val="1"/>
        </w:rPr>
        <w:t>）</w:t>
      </w:r>
      <w:r>
        <w:rPr>
          <w:spacing w:val="-3"/>
          <w:position w:val="1"/>
        </w:rPr>
        <w:t>；</w:t>
      </w:r>
      <w:r>
        <w:rPr>
          <w:position w:val="1"/>
        </w:rPr>
        <w:t xml:space="preserve"> Δ</w:t>
      </w:r>
      <w:r>
        <w:rPr>
          <w:i/>
          <w:w w:val="96"/>
          <w:position w:val="1"/>
          <w:sz w:val="22"/>
        </w:rPr>
        <w:t>W</w:t>
      </w:r>
      <w:r>
        <w:rPr>
          <w:sz w:val="11"/>
        </w:rPr>
        <w:t>1</w:t>
      </w:r>
      <w:r>
        <w:rPr>
          <w:spacing w:val="-3"/>
          <w:position w:val="1"/>
        </w:rPr>
        <w:t>——</w:t>
      </w:r>
      <w:r>
        <w:rPr>
          <w:spacing w:val="-3"/>
          <w:position w:val="1"/>
        </w:rPr>
        <w:t>储存容器内的灭火剂剩余量</w:t>
      </w:r>
      <w:r>
        <w:rPr>
          <w:position w:val="1"/>
        </w:rPr>
        <w:t>（</w:t>
      </w:r>
      <w:r>
        <w:rPr>
          <w:position w:val="1"/>
        </w:rPr>
        <w:t>k</w:t>
      </w:r>
      <w:r>
        <w:rPr>
          <w:spacing w:val="-3"/>
          <w:position w:val="1"/>
        </w:rPr>
        <w:t>g</w:t>
      </w:r>
      <w:r>
        <w:rPr>
          <w:spacing w:val="-106"/>
          <w:position w:val="1"/>
        </w:rPr>
        <w:t>）</w:t>
      </w:r>
      <w:r>
        <w:rPr>
          <w:spacing w:val="-3"/>
          <w:position w:val="1"/>
        </w:rPr>
        <w:t>；</w:t>
      </w:r>
      <w:r>
        <w:rPr>
          <w:position w:val="1"/>
        </w:rPr>
        <w:t xml:space="preserve"> Δ</w:t>
      </w:r>
      <w:r>
        <w:rPr>
          <w:i/>
          <w:w w:val="96"/>
          <w:position w:val="1"/>
          <w:sz w:val="22"/>
        </w:rPr>
        <w:t>W</w:t>
      </w:r>
      <w:r>
        <w:rPr>
          <w:sz w:val="11"/>
        </w:rPr>
        <w:t>2</w:t>
      </w:r>
      <w:r>
        <w:rPr>
          <w:spacing w:val="-3"/>
          <w:position w:val="1"/>
        </w:rPr>
        <w:t>——</w:t>
      </w:r>
      <w:r>
        <w:rPr>
          <w:spacing w:val="-3"/>
          <w:position w:val="1"/>
        </w:rPr>
        <w:t>管道内的灭火剂剩余量</w:t>
      </w:r>
      <w:r>
        <w:rPr>
          <w:position w:val="1"/>
        </w:rPr>
        <w:t>（</w:t>
      </w:r>
      <w:r>
        <w:rPr>
          <w:position w:val="1"/>
        </w:rPr>
        <w:t>k</w:t>
      </w:r>
      <w:r>
        <w:rPr>
          <w:spacing w:val="-3"/>
          <w:position w:val="1"/>
        </w:rPr>
        <w:t>g</w:t>
      </w:r>
      <w:r>
        <w:rPr>
          <w:spacing w:val="-106"/>
          <w:position w:val="1"/>
        </w:rPr>
        <w:t>）</w:t>
      </w:r>
      <w:r>
        <w:rPr>
          <w:spacing w:val="-3"/>
          <w:position w:val="1"/>
        </w:rPr>
        <w:t>。</w:t>
      </w:r>
      <w:r>
        <w:rPr>
          <w:position w:val="1"/>
        </w:rPr>
        <w:t xml:space="preserve"> </w:t>
      </w:r>
    </w:p>
    <w:p w14:paraId="60232922" w14:textId="77777777" w:rsidR="00A71EEF" w:rsidRDefault="0081115D">
      <w:pPr>
        <w:pStyle w:val="a4"/>
        <w:numPr>
          <w:ilvl w:val="0"/>
          <w:numId w:val="624"/>
        </w:numPr>
        <w:tabs>
          <w:tab w:val="left" w:pos="1367"/>
        </w:tabs>
        <w:spacing w:before="5"/>
        <w:rPr>
          <w:sz w:val="21"/>
        </w:rPr>
      </w:pPr>
      <w:r>
        <w:rPr>
          <w:spacing w:val="-3"/>
          <w:sz w:val="21"/>
        </w:rPr>
        <w:t>储存容器内的灭火剂剩余量，可按储存容器内引升管管口以下的容器容积量换算。</w:t>
      </w:r>
      <w:r>
        <w:rPr>
          <w:sz w:val="21"/>
        </w:rPr>
        <w:t xml:space="preserve"> </w:t>
      </w:r>
    </w:p>
    <w:p w14:paraId="3FEDF816" w14:textId="77777777" w:rsidR="00A71EEF" w:rsidRDefault="00A71EEF">
      <w:pPr>
        <w:pStyle w:val="a3"/>
        <w:spacing w:before="3"/>
        <w:rPr>
          <w:sz w:val="18"/>
        </w:rPr>
      </w:pPr>
    </w:p>
    <w:p w14:paraId="27532BB3" w14:textId="77777777" w:rsidR="00A71EEF" w:rsidRDefault="0081115D">
      <w:pPr>
        <w:pStyle w:val="a4"/>
        <w:numPr>
          <w:ilvl w:val="0"/>
          <w:numId w:val="624"/>
        </w:numPr>
        <w:tabs>
          <w:tab w:val="left" w:pos="1367"/>
        </w:tabs>
        <w:spacing w:line="446" w:lineRule="auto"/>
        <w:ind w:left="838" w:right="1431" w:firstLine="0"/>
        <w:rPr>
          <w:sz w:val="21"/>
        </w:rPr>
      </w:pPr>
      <w:r>
        <w:rPr>
          <w:spacing w:val="-3"/>
          <w:sz w:val="21"/>
        </w:rPr>
        <w:t>均衡管网和只含一个封闭空间的非均衡管网，其管网内的灭火剂剩余量均可不计。</w:t>
      </w:r>
      <w:r>
        <w:rPr>
          <w:spacing w:val="-3"/>
          <w:sz w:val="21"/>
        </w:rPr>
        <w:t xml:space="preserve">  </w:t>
      </w:r>
      <w:r>
        <w:rPr>
          <w:spacing w:val="-5"/>
          <w:sz w:val="21"/>
        </w:rPr>
        <w:t>防护区中含两个或两个以上封闭空间的非均衡管网，其管网内的灭火剂剩余量，可按各支管</w:t>
      </w:r>
    </w:p>
    <w:p w14:paraId="3CC04559" w14:textId="77777777" w:rsidR="00A71EEF" w:rsidRDefault="0081115D">
      <w:pPr>
        <w:pStyle w:val="a3"/>
        <w:spacing w:line="446" w:lineRule="auto"/>
        <w:ind w:left="840" w:right="6337" w:hanging="423"/>
      </w:pPr>
      <w:r>
        <w:t>与最短支管之间长度差值的容积量计算。</w:t>
      </w:r>
      <w:r>
        <w:rPr>
          <w:b/>
        </w:rPr>
        <w:t xml:space="preserve">3.3.15 </w:t>
      </w:r>
      <w:r>
        <w:t>管网计算应符合下列规定：</w:t>
      </w:r>
      <w:r>
        <w:t xml:space="preserve"> </w:t>
      </w:r>
    </w:p>
    <w:p w14:paraId="37314093" w14:textId="77777777" w:rsidR="00A71EEF" w:rsidRDefault="0081115D">
      <w:pPr>
        <w:pStyle w:val="a4"/>
        <w:numPr>
          <w:ilvl w:val="0"/>
          <w:numId w:val="623"/>
        </w:numPr>
        <w:tabs>
          <w:tab w:val="left" w:pos="1367"/>
        </w:tabs>
        <w:rPr>
          <w:sz w:val="21"/>
        </w:rPr>
      </w:pPr>
      <w:r>
        <w:rPr>
          <w:spacing w:val="-3"/>
          <w:sz w:val="21"/>
        </w:rPr>
        <w:t>管网计算时，各管道中灭火剂的流量，宜采用平均设计流量。</w:t>
      </w:r>
      <w:r>
        <w:rPr>
          <w:sz w:val="21"/>
        </w:rPr>
        <w:t xml:space="preserve"> </w:t>
      </w:r>
    </w:p>
    <w:p w14:paraId="778707B0" w14:textId="77777777" w:rsidR="00A71EEF" w:rsidRDefault="00A71EEF">
      <w:pPr>
        <w:pStyle w:val="a3"/>
        <w:spacing w:before="10"/>
        <w:rPr>
          <w:sz w:val="17"/>
        </w:rPr>
      </w:pPr>
    </w:p>
    <w:p w14:paraId="123EE54C" w14:textId="77777777" w:rsidR="00A71EEF" w:rsidRDefault="0081115D">
      <w:pPr>
        <w:pStyle w:val="a4"/>
        <w:numPr>
          <w:ilvl w:val="0"/>
          <w:numId w:val="623"/>
        </w:numPr>
        <w:tabs>
          <w:tab w:val="left" w:pos="1367"/>
        </w:tabs>
        <w:rPr>
          <w:sz w:val="21"/>
        </w:rPr>
      </w:pPr>
      <w:r>
        <w:rPr>
          <w:spacing w:val="-3"/>
          <w:sz w:val="21"/>
        </w:rPr>
        <w:t>主干管平均设计流量，应按下式计算：</w:t>
      </w:r>
      <w:r>
        <w:rPr>
          <w:sz w:val="21"/>
        </w:rPr>
        <w:t xml:space="preserve"> </w:t>
      </w:r>
    </w:p>
    <w:p w14:paraId="11EF5FEA" w14:textId="77777777" w:rsidR="00A71EEF" w:rsidRDefault="0081115D">
      <w:pPr>
        <w:pStyle w:val="a3"/>
        <w:spacing w:before="6"/>
        <w:rPr>
          <w:sz w:val="25"/>
        </w:rPr>
      </w:pPr>
      <w:r>
        <w:rPr>
          <w:noProof/>
        </w:rPr>
        <w:drawing>
          <wp:anchor distT="0" distB="0" distL="0" distR="0" simplePos="0" relativeHeight="251569664" behindDoc="0" locked="0" layoutInCell="1" allowOverlap="1" wp14:anchorId="2A859AB6" wp14:editId="628CFCF9">
            <wp:simplePos x="0" y="0"/>
            <wp:positionH relativeFrom="page">
              <wp:posOffset>1910079</wp:posOffset>
            </wp:positionH>
            <wp:positionV relativeFrom="paragraph">
              <wp:posOffset>232505</wp:posOffset>
            </wp:positionV>
            <wp:extent cx="2212063" cy="461772"/>
            <wp:effectExtent l="0" t="0" r="0" b="0"/>
            <wp:wrapTopAndBottom/>
            <wp:docPr id="291" name="image1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180.jpeg"/>
                    <pic:cNvPicPr/>
                  </pic:nvPicPr>
                  <pic:blipFill>
                    <a:blip r:embed="rId216" cstate="print"/>
                    <a:stretch>
                      <a:fillRect/>
                    </a:stretch>
                  </pic:blipFill>
                  <pic:spPr>
                    <a:xfrm>
                      <a:off x="0" y="0"/>
                      <a:ext cx="2212063" cy="461772"/>
                    </a:xfrm>
                    <a:prstGeom prst="rect">
                      <a:avLst/>
                    </a:prstGeom>
                  </pic:spPr>
                </pic:pic>
              </a:graphicData>
            </a:graphic>
          </wp:anchor>
        </w:drawing>
      </w:r>
    </w:p>
    <w:p w14:paraId="273F5C8A" w14:textId="77777777" w:rsidR="00A71EEF" w:rsidRDefault="00A71EEF">
      <w:pPr>
        <w:pStyle w:val="a3"/>
        <w:rPr>
          <w:sz w:val="15"/>
        </w:rPr>
      </w:pPr>
    </w:p>
    <w:p w14:paraId="44CDED61" w14:textId="77777777" w:rsidR="00A71EEF" w:rsidRDefault="0081115D">
      <w:pPr>
        <w:pStyle w:val="a3"/>
        <w:spacing w:before="1"/>
        <w:ind w:left="838"/>
      </w:pPr>
      <w:r>
        <w:t xml:space="preserve"> </w:t>
      </w:r>
    </w:p>
    <w:p w14:paraId="2B187483" w14:textId="77777777" w:rsidR="00A71EEF" w:rsidRDefault="00A71EEF">
      <w:pPr>
        <w:sectPr w:rsidR="00A71EEF">
          <w:pgSz w:w="11910" w:h="16850"/>
          <w:pgMar w:top="1220" w:right="0" w:bottom="1420" w:left="1260" w:header="0" w:footer="1239" w:gutter="0"/>
          <w:cols w:space="720"/>
        </w:sectPr>
      </w:pPr>
    </w:p>
    <w:p w14:paraId="643A89FF" w14:textId="77777777" w:rsidR="00A71EEF" w:rsidRDefault="0081115D">
      <w:pPr>
        <w:pStyle w:val="a3"/>
        <w:spacing w:before="57"/>
        <w:ind w:left="838"/>
      </w:pPr>
      <w:r>
        <w:rPr>
          <w:spacing w:val="-1"/>
          <w:position w:val="1"/>
        </w:rPr>
        <w:t>式中</w:t>
      </w:r>
      <w:r>
        <w:rPr>
          <w:spacing w:val="-1"/>
          <w:position w:val="1"/>
        </w:rPr>
        <w:t xml:space="preserve">  </w:t>
      </w:r>
      <w:r>
        <w:rPr>
          <w:i/>
          <w:w w:val="96"/>
          <w:position w:val="1"/>
          <w:sz w:val="22"/>
        </w:rPr>
        <w:t>Q</w:t>
      </w:r>
      <w:r>
        <w:rPr>
          <w:sz w:val="11"/>
        </w:rPr>
        <w:t>w</w:t>
      </w:r>
      <w:r>
        <w:rPr>
          <w:spacing w:val="-3"/>
          <w:position w:val="1"/>
        </w:rPr>
        <w:t>——</w:t>
      </w:r>
      <w:r>
        <w:rPr>
          <w:spacing w:val="-3"/>
          <w:position w:val="1"/>
        </w:rPr>
        <w:t>主干管平均设计流量（</w:t>
      </w:r>
      <w:r>
        <w:rPr>
          <w:position w:val="1"/>
        </w:rPr>
        <w:t>kg/</w:t>
      </w:r>
      <w:r>
        <w:rPr>
          <w:spacing w:val="-3"/>
          <w:position w:val="1"/>
        </w:rPr>
        <w:t>s</w:t>
      </w:r>
      <w:r>
        <w:rPr>
          <w:spacing w:val="-106"/>
          <w:position w:val="1"/>
        </w:rPr>
        <w:t>）</w:t>
      </w:r>
      <w:r>
        <w:rPr>
          <w:spacing w:val="-3"/>
          <w:position w:val="1"/>
        </w:rPr>
        <w:t>；</w:t>
      </w:r>
      <w:r>
        <w:rPr>
          <w:position w:val="1"/>
        </w:rPr>
        <w:t xml:space="preserve"> </w:t>
      </w:r>
    </w:p>
    <w:p w14:paraId="34CCF59F" w14:textId="77777777" w:rsidR="00A71EEF" w:rsidRDefault="00A71EEF">
      <w:pPr>
        <w:pStyle w:val="a3"/>
        <w:rPr>
          <w:sz w:val="17"/>
        </w:rPr>
      </w:pPr>
    </w:p>
    <w:p w14:paraId="35F7A383" w14:textId="77777777" w:rsidR="00A71EEF" w:rsidRDefault="0081115D">
      <w:pPr>
        <w:pStyle w:val="a3"/>
        <w:ind w:left="838"/>
      </w:pPr>
      <w:r>
        <w:rPr>
          <w:i/>
          <w:w w:val="96"/>
          <w:sz w:val="22"/>
        </w:rPr>
        <w:t>t</w:t>
      </w:r>
      <w:r>
        <w:rPr>
          <w:spacing w:val="-3"/>
        </w:rPr>
        <w:t>——</w:t>
      </w:r>
      <w:r>
        <w:rPr>
          <w:spacing w:val="-3"/>
        </w:rPr>
        <w:t>灭火剂设计喷放时间</w:t>
      </w:r>
      <w:r>
        <w:t>（</w:t>
      </w:r>
      <w:r>
        <w:t>s</w:t>
      </w:r>
      <w:r>
        <w:rPr>
          <w:spacing w:val="-106"/>
        </w:rPr>
        <w:t>）</w:t>
      </w:r>
      <w:r>
        <w:rPr>
          <w:spacing w:val="-3"/>
        </w:rPr>
        <w:t>。</w:t>
      </w:r>
      <w:r>
        <w:t xml:space="preserve"> </w:t>
      </w:r>
    </w:p>
    <w:p w14:paraId="7848AEC1" w14:textId="77777777" w:rsidR="00A71EEF" w:rsidRDefault="00A71EEF">
      <w:pPr>
        <w:pStyle w:val="a3"/>
        <w:spacing w:before="10"/>
        <w:rPr>
          <w:sz w:val="17"/>
        </w:rPr>
      </w:pPr>
    </w:p>
    <w:p w14:paraId="17651DF9" w14:textId="77777777" w:rsidR="00A71EEF" w:rsidRDefault="0081115D">
      <w:pPr>
        <w:pStyle w:val="a4"/>
        <w:numPr>
          <w:ilvl w:val="0"/>
          <w:numId w:val="623"/>
        </w:numPr>
        <w:tabs>
          <w:tab w:val="left" w:pos="1367"/>
        </w:tabs>
        <w:rPr>
          <w:sz w:val="21"/>
        </w:rPr>
      </w:pPr>
      <w:r>
        <w:rPr>
          <w:spacing w:val="-3"/>
          <w:sz w:val="21"/>
        </w:rPr>
        <w:t>支管平均设计流量，应按下式计算：</w:t>
      </w:r>
      <w:r>
        <w:rPr>
          <w:sz w:val="21"/>
        </w:rPr>
        <w:t xml:space="preserve"> </w:t>
      </w:r>
    </w:p>
    <w:p w14:paraId="1D3B96AD" w14:textId="77777777" w:rsidR="00A71EEF" w:rsidRDefault="0081115D">
      <w:pPr>
        <w:pStyle w:val="a3"/>
        <w:rPr>
          <w:sz w:val="29"/>
        </w:rPr>
      </w:pPr>
      <w:r>
        <w:rPr>
          <w:noProof/>
        </w:rPr>
        <w:drawing>
          <wp:anchor distT="0" distB="0" distL="0" distR="0" simplePos="0" relativeHeight="251570688" behindDoc="0" locked="0" layoutInCell="1" allowOverlap="1" wp14:anchorId="55D1D9E3" wp14:editId="6EA0B5D9">
            <wp:simplePos x="0" y="0"/>
            <wp:positionH relativeFrom="page">
              <wp:posOffset>1719579</wp:posOffset>
            </wp:positionH>
            <wp:positionV relativeFrom="paragraph">
              <wp:posOffset>260834</wp:posOffset>
            </wp:positionV>
            <wp:extent cx="2603587" cy="466725"/>
            <wp:effectExtent l="0" t="0" r="0" b="0"/>
            <wp:wrapTopAndBottom/>
            <wp:docPr id="293" name="image1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181.jpeg"/>
                    <pic:cNvPicPr/>
                  </pic:nvPicPr>
                  <pic:blipFill>
                    <a:blip r:embed="rId217" cstate="print"/>
                    <a:stretch>
                      <a:fillRect/>
                    </a:stretch>
                  </pic:blipFill>
                  <pic:spPr>
                    <a:xfrm>
                      <a:off x="0" y="0"/>
                      <a:ext cx="2603587" cy="466725"/>
                    </a:xfrm>
                    <a:prstGeom prst="rect">
                      <a:avLst/>
                    </a:prstGeom>
                  </pic:spPr>
                </pic:pic>
              </a:graphicData>
            </a:graphic>
          </wp:anchor>
        </w:drawing>
      </w:r>
    </w:p>
    <w:p w14:paraId="12102DB0" w14:textId="77777777" w:rsidR="00A71EEF" w:rsidRDefault="00A71EEF">
      <w:pPr>
        <w:pStyle w:val="a3"/>
        <w:spacing w:before="7"/>
        <w:rPr>
          <w:sz w:val="17"/>
        </w:rPr>
      </w:pPr>
    </w:p>
    <w:p w14:paraId="11B56D51" w14:textId="77777777" w:rsidR="00A71EEF" w:rsidRDefault="0081115D">
      <w:pPr>
        <w:pStyle w:val="a3"/>
        <w:spacing w:before="1" w:line="427" w:lineRule="auto"/>
        <w:ind w:left="838" w:right="5444"/>
      </w:pPr>
      <w:r>
        <w:rPr>
          <w:position w:val="1"/>
        </w:rPr>
        <w:t>式中</w:t>
      </w:r>
      <w:r>
        <w:rPr>
          <w:position w:val="1"/>
        </w:rPr>
        <w:t xml:space="preserve"> </w:t>
      </w:r>
      <w:r>
        <w:rPr>
          <w:i/>
          <w:spacing w:val="-3"/>
          <w:w w:val="96"/>
          <w:position w:val="1"/>
          <w:sz w:val="22"/>
        </w:rPr>
        <w:t xml:space="preserve"> </w:t>
      </w:r>
      <w:r>
        <w:rPr>
          <w:i/>
          <w:w w:val="96"/>
          <w:position w:val="1"/>
          <w:sz w:val="22"/>
        </w:rPr>
        <w:t>Q</w:t>
      </w:r>
      <w:r>
        <w:rPr>
          <w:sz w:val="11"/>
        </w:rPr>
        <w:t>g</w:t>
      </w:r>
      <w:r>
        <w:rPr>
          <w:spacing w:val="-3"/>
          <w:position w:val="1"/>
        </w:rPr>
        <w:t>——</w:t>
      </w:r>
      <w:r>
        <w:rPr>
          <w:spacing w:val="-3"/>
          <w:position w:val="1"/>
        </w:rPr>
        <w:t>支管平均设计流量</w:t>
      </w:r>
      <w:r>
        <w:rPr>
          <w:position w:val="1"/>
        </w:rPr>
        <w:t>（</w:t>
      </w:r>
      <w:r>
        <w:rPr>
          <w:position w:val="1"/>
        </w:rPr>
        <w:t>k</w:t>
      </w:r>
      <w:r>
        <w:rPr>
          <w:spacing w:val="-3"/>
          <w:position w:val="1"/>
        </w:rPr>
        <w:t>g</w:t>
      </w:r>
      <w:r>
        <w:rPr>
          <w:position w:val="1"/>
        </w:rPr>
        <w:t>/</w:t>
      </w:r>
      <w:r>
        <w:rPr>
          <w:spacing w:val="-1"/>
          <w:position w:val="1"/>
        </w:rPr>
        <w:t>s</w:t>
      </w:r>
      <w:r>
        <w:rPr>
          <w:spacing w:val="-108"/>
          <w:position w:val="1"/>
        </w:rPr>
        <w:t>）</w:t>
      </w:r>
      <w:r>
        <w:rPr>
          <w:spacing w:val="-3"/>
          <w:position w:val="1"/>
        </w:rPr>
        <w:t>；</w:t>
      </w:r>
      <w:r>
        <w:rPr>
          <w:position w:val="1"/>
        </w:rPr>
        <w:t xml:space="preserve"> </w:t>
      </w:r>
      <w:r>
        <w:rPr>
          <w:i/>
          <w:w w:val="96"/>
          <w:position w:val="1"/>
          <w:sz w:val="22"/>
        </w:rPr>
        <w:t>N</w:t>
      </w:r>
      <w:r>
        <w:rPr>
          <w:sz w:val="11"/>
        </w:rPr>
        <w:t>g</w:t>
      </w:r>
      <w:r>
        <w:rPr>
          <w:spacing w:val="-3"/>
          <w:position w:val="1"/>
        </w:rPr>
        <w:t>——</w:t>
      </w:r>
      <w:r>
        <w:rPr>
          <w:spacing w:val="-3"/>
          <w:position w:val="1"/>
        </w:rPr>
        <w:t>安装在计算支管下游的喷头数量（</w:t>
      </w:r>
      <w:r>
        <w:rPr>
          <w:position w:val="1"/>
        </w:rPr>
        <w:t>个</w:t>
      </w:r>
      <w:r>
        <w:rPr>
          <w:spacing w:val="-108"/>
          <w:position w:val="1"/>
        </w:rPr>
        <w:t>）</w:t>
      </w:r>
      <w:r>
        <w:rPr>
          <w:spacing w:val="-3"/>
          <w:position w:val="1"/>
        </w:rPr>
        <w:t>；</w:t>
      </w:r>
      <w:r>
        <w:rPr>
          <w:position w:val="1"/>
        </w:rPr>
        <w:t xml:space="preserve"> </w:t>
      </w:r>
      <w:r>
        <w:rPr>
          <w:i/>
          <w:w w:val="96"/>
          <w:position w:val="1"/>
          <w:sz w:val="22"/>
        </w:rPr>
        <w:t>Q</w:t>
      </w:r>
      <w:r>
        <w:rPr>
          <w:i/>
          <w:sz w:val="11"/>
        </w:rPr>
        <w:t>c</w:t>
      </w:r>
      <w:r>
        <w:rPr>
          <w:spacing w:val="-3"/>
          <w:position w:val="1"/>
        </w:rPr>
        <w:t>——</w:t>
      </w:r>
      <w:r>
        <w:rPr>
          <w:spacing w:val="-3"/>
          <w:position w:val="1"/>
        </w:rPr>
        <w:t>单个喷头的设计流量</w:t>
      </w:r>
      <w:r>
        <w:rPr>
          <w:position w:val="1"/>
        </w:rPr>
        <w:t>（</w:t>
      </w:r>
      <w:r>
        <w:rPr>
          <w:position w:val="1"/>
        </w:rPr>
        <w:t>k</w:t>
      </w:r>
      <w:r>
        <w:rPr>
          <w:spacing w:val="-3"/>
          <w:position w:val="1"/>
        </w:rPr>
        <w:t>g</w:t>
      </w:r>
      <w:r>
        <w:rPr>
          <w:position w:val="1"/>
        </w:rPr>
        <w:t>/</w:t>
      </w:r>
      <w:r>
        <w:rPr>
          <w:spacing w:val="-1"/>
          <w:position w:val="1"/>
        </w:rPr>
        <w:t>s</w:t>
      </w:r>
      <w:r>
        <w:rPr>
          <w:spacing w:val="-108"/>
          <w:position w:val="1"/>
        </w:rPr>
        <w:t>）</w:t>
      </w:r>
      <w:r>
        <w:rPr>
          <w:spacing w:val="-3"/>
          <w:position w:val="1"/>
        </w:rPr>
        <w:t>。</w:t>
      </w:r>
      <w:r>
        <w:rPr>
          <w:position w:val="1"/>
        </w:rPr>
        <w:t xml:space="preserve"> </w:t>
      </w:r>
    </w:p>
    <w:p w14:paraId="782F6EA0" w14:textId="77777777" w:rsidR="00A71EEF" w:rsidRDefault="0081115D">
      <w:pPr>
        <w:pStyle w:val="a4"/>
        <w:numPr>
          <w:ilvl w:val="0"/>
          <w:numId w:val="622"/>
        </w:numPr>
        <w:tabs>
          <w:tab w:val="left" w:pos="1367"/>
        </w:tabs>
        <w:spacing w:before="5"/>
        <w:rPr>
          <w:sz w:val="21"/>
        </w:rPr>
      </w:pPr>
      <w:r>
        <w:rPr>
          <w:spacing w:val="-3"/>
          <w:sz w:val="21"/>
        </w:rPr>
        <w:t>过程中点时储存容器内压力，宜按下式计算：</w:t>
      </w:r>
      <w:r>
        <w:rPr>
          <w:spacing w:val="-3"/>
          <w:sz w:val="21"/>
        </w:rPr>
        <w:t xml:space="preserve"> </w:t>
      </w:r>
    </w:p>
    <w:p w14:paraId="4EB3E4CA" w14:textId="77777777" w:rsidR="00A71EEF" w:rsidRDefault="00A71EEF">
      <w:pPr>
        <w:pStyle w:val="a3"/>
        <w:rPr>
          <w:sz w:val="20"/>
        </w:rPr>
      </w:pPr>
    </w:p>
    <w:p w14:paraId="665CEC2D" w14:textId="77777777" w:rsidR="00A71EEF" w:rsidRDefault="0081115D">
      <w:pPr>
        <w:pStyle w:val="a3"/>
        <w:spacing w:before="11"/>
      </w:pPr>
      <w:r>
        <w:rPr>
          <w:noProof/>
        </w:rPr>
        <w:drawing>
          <wp:anchor distT="0" distB="0" distL="0" distR="0" simplePos="0" relativeHeight="251571712" behindDoc="0" locked="0" layoutInCell="1" allowOverlap="1" wp14:anchorId="266D449D" wp14:editId="48EDFB66">
            <wp:simplePos x="0" y="0"/>
            <wp:positionH relativeFrom="page">
              <wp:posOffset>1703704</wp:posOffset>
            </wp:positionH>
            <wp:positionV relativeFrom="paragraph">
              <wp:posOffset>202985</wp:posOffset>
            </wp:positionV>
            <wp:extent cx="4591049" cy="1285875"/>
            <wp:effectExtent l="0" t="0" r="0" b="0"/>
            <wp:wrapTopAndBottom/>
            <wp:docPr id="295" name="image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182.jpeg"/>
                    <pic:cNvPicPr/>
                  </pic:nvPicPr>
                  <pic:blipFill>
                    <a:blip r:embed="rId218" cstate="print"/>
                    <a:stretch>
                      <a:fillRect/>
                    </a:stretch>
                  </pic:blipFill>
                  <pic:spPr>
                    <a:xfrm>
                      <a:off x="0" y="0"/>
                      <a:ext cx="4591049" cy="1285875"/>
                    </a:xfrm>
                    <a:prstGeom prst="rect">
                      <a:avLst/>
                    </a:prstGeom>
                  </pic:spPr>
                </pic:pic>
              </a:graphicData>
            </a:graphic>
          </wp:anchor>
        </w:drawing>
      </w:r>
    </w:p>
    <w:p w14:paraId="15DD6F8A" w14:textId="77777777" w:rsidR="00A71EEF" w:rsidRDefault="00A71EEF">
      <w:pPr>
        <w:pStyle w:val="a3"/>
        <w:spacing w:before="8"/>
        <w:rPr>
          <w:sz w:val="7"/>
        </w:rPr>
      </w:pPr>
    </w:p>
    <w:p w14:paraId="6B0CB7E7" w14:textId="77777777" w:rsidR="00A71EEF" w:rsidRDefault="0081115D">
      <w:pPr>
        <w:pStyle w:val="a3"/>
        <w:spacing w:before="71" w:line="424" w:lineRule="auto"/>
        <w:ind w:left="838" w:right="3819"/>
      </w:pPr>
      <w:r>
        <w:rPr>
          <w:spacing w:val="-1"/>
          <w:position w:val="1"/>
        </w:rPr>
        <w:t>式中</w:t>
      </w:r>
      <w:r>
        <w:rPr>
          <w:spacing w:val="-1"/>
          <w:position w:val="1"/>
        </w:rPr>
        <w:t xml:space="preserve">  </w:t>
      </w:r>
      <w:r>
        <w:rPr>
          <w:position w:val="1"/>
        </w:rPr>
        <w:t xml:space="preserve"> </w:t>
      </w:r>
      <w:r>
        <w:rPr>
          <w:i/>
          <w:w w:val="96"/>
          <w:position w:val="1"/>
          <w:sz w:val="22"/>
        </w:rPr>
        <w:t>P</w:t>
      </w:r>
      <w:r>
        <w:rPr>
          <w:spacing w:val="-3"/>
          <w:sz w:val="11"/>
        </w:rPr>
        <w:t>m</w:t>
      </w:r>
      <w:r>
        <w:rPr>
          <w:spacing w:val="-3"/>
          <w:position w:val="1"/>
        </w:rPr>
        <w:t>——</w:t>
      </w:r>
      <w:r>
        <w:rPr>
          <w:spacing w:val="-3"/>
          <w:position w:val="1"/>
        </w:rPr>
        <w:t>过程中点时储存容器内压力</w:t>
      </w:r>
      <w:r>
        <w:rPr>
          <w:position w:val="1"/>
        </w:rPr>
        <w:t>（</w:t>
      </w:r>
      <w:r>
        <w:rPr>
          <w:position w:val="1"/>
        </w:rPr>
        <w:t>M</w:t>
      </w:r>
      <w:r>
        <w:rPr>
          <w:spacing w:val="-3"/>
          <w:position w:val="1"/>
        </w:rPr>
        <w:t>P</w:t>
      </w:r>
      <w:r>
        <w:rPr>
          <w:position w:val="1"/>
        </w:rPr>
        <w:t>a</w:t>
      </w:r>
      <w:r>
        <w:rPr>
          <w:spacing w:val="-3"/>
          <w:position w:val="1"/>
        </w:rPr>
        <w:t>，绝对压力</w:t>
      </w:r>
      <w:r>
        <w:rPr>
          <w:spacing w:val="-106"/>
          <w:position w:val="1"/>
        </w:rPr>
        <w:t>）</w:t>
      </w:r>
      <w:r>
        <w:rPr>
          <w:spacing w:val="-3"/>
          <w:position w:val="1"/>
        </w:rPr>
        <w:t>；</w:t>
      </w:r>
      <w:r>
        <w:rPr>
          <w:position w:val="1"/>
        </w:rPr>
        <w:t xml:space="preserve"> </w:t>
      </w:r>
      <w:r>
        <w:rPr>
          <w:i/>
          <w:w w:val="96"/>
          <w:position w:val="1"/>
          <w:sz w:val="22"/>
        </w:rPr>
        <w:t>P</w:t>
      </w:r>
      <w:r>
        <w:rPr>
          <w:sz w:val="11"/>
        </w:rPr>
        <w:t>0</w:t>
      </w:r>
      <w:r>
        <w:rPr>
          <w:spacing w:val="-3"/>
          <w:position w:val="1"/>
        </w:rPr>
        <w:t>——</w:t>
      </w:r>
      <w:r>
        <w:rPr>
          <w:spacing w:val="-3"/>
          <w:position w:val="1"/>
        </w:rPr>
        <w:t>灭火剂储存容器增压压力</w:t>
      </w:r>
      <w:r>
        <w:rPr>
          <w:position w:val="1"/>
        </w:rPr>
        <w:t>（</w:t>
      </w:r>
      <w:r>
        <w:rPr>
          <w:position w:val="1"/>
        </w:rPr>
        <w:t>M</w:t>
      </w:r>
      <w:r>
        <w:rPr>
          <w:spacing w:val="-3"/>
          <w:position w:val="1"/>
        </w:rPr>
        <w:t>P</w:t>
      </w:r>
      <w:r>
        <w:rPr>
          <w:spacing w:val="-1"/>
          <w:position w:val="1"/>
        </w:rPr>
        <w:t>a</w:t>
      </w:r>
      <w:r>
        <w:rPr>
          <w:spacing w:val="-3"/>
          <w:position w:val="1"/>
        </w:rPr>
        <w:t>，绝对压力</w:t>
      </w:r>
      <w:r>
        <w:rPr>
          <w:spacing w:val="-108"/>
          <w:position w:val="1"/>
        </w:rPr>
        <w:t>）</w:t>
      </w:r>
      <w:r>
        <w:rPr>
          <w:position w:val="1"/>
        </w:rPr>
        <w:t>；</w:t>
      </w:r>
      <w:r>
        <w:rPr>
          <w:position w:val="1"/>
        </w:rPr>
        <w:t xml:space="preserve"> </w:t>
      </w:r>
    </w:p>
    <w:p w14:paraId="61F810A7" w14:textId="77777777" w:rsidR="00A71EEF" w:rsidRDefault="0081115D">
      <w:pPr>
        <w:pStyle w:val="a3"/>
        <w:ind w:left="838"/>
      </w:pPr>
      <w:r>
        <w:rPr>
          <w:i/>
          <w:w w:val="96"/>
          <w:position w:val="1"/>
          <w:sz w:val="22"/>
        </w:rPr>
        <w:t>V</w:t>
      </w:r>
      <w:r>
        <w:rPr>
          <w:sz w:val="11"/>
        </w:rPr>
        <w:t>0</w:t>
      </w:r>
      <w:r>
        <w:rPr>
          <w:spacing w:val="-3"/>
          <w:position w:val="1"/>
        </w:rPr>
        <w:t>——</w:t>
      </w:r>
      <w:r>
        <w:rPr>
          <w:spacing w:val="-3"/>
          <w:position w:val="1"/>
        </w:rPr>
        <w:t>喷放前，全部储存容器内的气相总容积</w:t>
      </w:r>
      <w:r>
        <w:rPr>
          <w:position w:val="1"/>
        </w:rPr>
        <w:t>（</w:t>
      </w:r>
      <w:r>
        <w:rPr>
          <w:position w:val="1"/>
        </w:rPr>
        <w:t>m</w:t>
      </w:r>
      <w:r>
        <w:rPr>
          <w:spacing w:val="-3"/>
          <w:position w:val="1"/>
        </w:rPr>
        <w:t>³</w:t>
      </w:r>
      <w:r>
        <w:rPr>
          <w:spacing w:val="-108"/>
          <w:position w:val="1"/>
        </w:rPr>
        <w:t>）</w:t>
      </w:r>
      <w:r>
        <w:rPr>
          <w:spacing w:val="-1"/>
          <w:position w:val="1"/>
        </w:rPr>
        <w:t>；</w:t>
      </w:r>
      <w:r>
        <w:rPr>
          <w:position w:val="1"/>
        </w:rPr>
        <w:t xml:space="preserve"> </w:t>
      </w:r>
    </w:p>
    <w:p w14:paraId="04A3BAB4" w14:textId="77777777" w:rsidR="00A71EEF" w:rsidRDefault="00A71EEF">
      <w:pPr>
        <w:pStyle w:val="a3"/>
        <w:spacing w:before="2"/>
        <w:rPr>
          <w:sz w:val="17"/>
        </w:rPr>
      </w:pPr>
    </w:p>
    <w:p w14:paraId="183E2B50" w14:textId="77777777" w:rsidR="00A71EEF" w:rsidRDefault="0081115D">
      <w:pPr>
        <w:pStyle w:val="a3"/>
        <w:ind w:left="838"/>
      </w:pPr>
      <w:r>
        <w:rPr>
          <w:i/>
          <w:w w:val="96"/>
          <w:sz w:val="22"/>
        </w:rPr>
        <w:t>γ</w:t>
      </w:r>
      <w:r>
        <w:rPr>
          <w:spacing w:val="-3"/>
        </w:rPr>
        <w:t>——</w:t>
      </w:r>
      <w:r>
        <w:rPr>
          <w:spacing w:val="-3"/>
        </w:rPr>
        <w:t>七氟丙烷液体密度</w:t>
      </w:r>
      <w:r>
        <w:t>（</w:t>
      </w:r>
      <w:r>
        <w:t>kg</w:t>
      </w:r>
      <w:r>
        <w:rPr>
          <w:spacing w:val="-3"/>
        </w:rPr>
        <w:t>/</w:t>
      </w:r>
      <w:r>
        <w:t xml:space="preserve"> </w:t>
      </w:r>
      <w:r>
        <w:t xml:space="preserve"> </w:t>
      </w:r>
      <w:r>
        <w:t>m³</w:t>
      </w:r>
      <w:r>
        <w:rPr>
          <w:spacing w:val="-108"/>
        </w:rPr>
        <w:t>）</w:t>
      </w:r>
      <w:r>
        <w:rPr>
          <w:spacing w:val="-1"/>
        </w:rPr>
        <w:t>，</w:t>
      </w:r>
      <w:r>
        <w:t>2</w:t>
      </w:r>
      <w:r>
        <w:rPr>
          <w:spacing w:val="-3"/>
        </w:rPr>
        <w:t>0</w:t>
      </w:r>
      <w:r>
        <w:rPr>
          <w:spacing w:val="-2"/>
        </w:rPr>
        <w:t>℃</w:t>
      </w:r>
      <w:r>
        <w:rPr>
          <w:spacing w:val="-2"/>
        </w:rPr>
        <w:t>时为</w:t>
      </w:r>
      <w:r>
        <w:rPr>
          <w:spacing w:val="-52"/>
        </w:rPr>
        <w:t xml:space="preserve"> </w:t>
      </w:r>
      <w:r>
        <w:rPr>
          <w:spacing w:val="-3"/>
        </w:rPr>
        <w:t>14</w:t>
      </w:r>
      <w:r>
        <w:t>07kg</w:t>
      </w:r>
      <w:r>
        <w:rPr>
          <w:spacing w:val="-3"/>
        </w:rPr>
        <w:t>/</w:t>
      </w:r>
      <w:r>
        <w:t xml:space="preserve"> </w:t>
      </w:r>
      <w:r>
        <w:t xml:space="preserve"> </w:t>
      </w:r>
      <w:r>
        <w:t>m</w:t>
      </w:r>
      <w:r>
        <w:rPr>
          <w:spacing w:val="-3"/>
        </w:rPr>
        <w:t>³</w:t>
      </w:r>
      <w:r>
        <w:rPr>
          <w:spacing w:val="-3"/>
        </w:rPr>
        <w:t>；</w:t>
      </w:r>
      <w:r>
        <w:t xml:space="preserve"> </w:t>
      </w:r>
    </w:p>
    <w:p w14:paraId="24105E14" w14:textId="77777777" w:rsidR="00A71EEF" w:rsidRDefault="00A71EEF">
      <w:pPr>
        <w:pStyle w:val="a3"/>
        <w:spacing w:before="12"/>
        <w:rPr>
          <w:sz w:val="16"/>
        </w:rPr>
      </w:pPr>
    </w:p>
    <w:p w14:paraId="22F5D9B8" w14:textId="77777777" w:rsidR="00A71EEF" w:rsidRDefault="0081115D">
      <w:pPr>
        <w:pStyle w:val="a3"/>
        <w:spacing w:line="427" w:lineRule="auto"/>
        <w:ind w:left="838" w:right="6705"/>
      </w:pPr>
      <w:r>
        <w:rPr>
          <w:i/>
          <w:w w:val="96"/>
          <w:position w:val="1"/>
          <w:sz w:val="22"/>
        </w:rPr>
        <w:t>V</w:t>
      </w:r>
      <w:r>
        <w:rPr>
          <w:sz w:val="11"/>
        </w:rPr>
        <w:t>P</w:t>
      </w:r>
      <w:r>
        <w:rPr>
          <w:spacing w:val="-3"/>
          <w:position w:val="1"/>
        </w:rPr>
        <w:t>——</w:t>
      </w:r>
      <w:r>
        <w:rPr>
          <w:spacing w:val="-3"/>
          <w:position w:val="1"/>
        </w:rPr>
        <w:t>管网的管道内容积</w:t>
      </w:r>
      <w:r>
        <w:rPr>
          <w:position w:val="1"/>
        </w:rPr>
        <w:t>（</w:t>
      </w:r>
      <w:r>
        <w:rPr>
          <w:position w:val="1"/>
        </w:rPr>
        <w:t>m³</w:t>
      </w:r>
      <w:r>
        <w:rPr>
          <w:spacing w:val="-108"/>
          <w:position w:val="1"/>
        </w:rPr>
        <w:t>）</w:t>
      </w:r>
      <w:r>
        <w:rPr>
          <w:spacing w:val="-3"/>
          <w:position w:val="1"/>
        </w:rPr>
        <w:t>；</w:t>
      </w:r>
      <w:r>
        <w:rPr>
          <w:position w:val="1"/>
        </w:rPr>
        <w:t xml:space="preserve"> </w:t>
      </w:r>
      <w:r>
        <w:rPr>
          <w:i/>
          <w:w w:val="96"/>
          <w:sz w:val="22"/>
        </w:rPr>
        <w:t>n</w:t>
      </w:r>
      <w:r>
        <w:rPr>
          <w:spacing w:val="-3"/>
        </w:rPr>
        <w:t>——</w:t>
      </w:r>
      <w:r>
        <w:rPr>
          <w:spacing w:val="-3"/>
        </w:rPr>
        <w:t>储存容器的数量（个</w:t>
      </w:r>
      <w:r>
        <w:rPr>
          <w:spacing w:val="-106"/>
        </w:rPr>
        <w:t>）</w:t>
      </w:r>
      <w:r>
        <w:rPr>
          <w:spacing w:val="-3"/>
        </w:rPr>
        <w:t>；</w:t>
      </w:r>
      <w:r>
        <w:t xml:space="preserve"> </w:t>
      </w:r>
      <w:r>
        <w:rPr>
          <w:i/>
          <w:w w:val="96"/>
          <w:position w:val="1"/>
          <w:sz w:val="22"/>
        </w:rPr>
        <w:t>V</w:t>
      </w:r>
      <w:r>
        <w:rPr>
          <w:sz w:val="11"/>
        </w:rPr>
        <w:t>b</w:t>
      </w:r>
      <w:r>
        <w:rPr>
          <w:spacing w:val="-3"/>
          <w:position w:val="1"/>
        </w:rPr>
        <w:t>——</w:t>
      </w:r>
      <w:r>
        <w:rPr>
          <w:spacing w:val="-3"/>
          <w:position w:val="1"/>
        </w:rPr>
        <w:t>储存容器的容量（</w:t>
      </w:r>
      <w:r>
        <w:rPr>
          <w:spacing w:val="-3"/>
          <w:position w:val="1"/>
        </w:rPr>
        <w:t>m</w:t>
      </w:r>
      <w:r>
        <w:rPr>
          <w:position w:val="1"/>
        </w:rPr>
        <w:t>³</w:t>
      </w:r>
      <w:r>
        <w:rPr>
          <w:spacing w:val="-106"/>
          <w:position w:val="1"/>
        </w:rPr>
        <w:t>）</w:t>
      </w:r>
      <w:r>
        <w:rPr>
          <w:spacing w:val="-3"/>
          <w:position w:val="1"/>
        </w:rPr>
        <w:t>；</w:t>
      </w:r>
      <w:r>
        <w:rPr>
          <w:position w:val="1"/>
        </w:rPr>
        <w:t xml:space="preserve"> </w:t>
      </w:r>
      <w:r>
        <w:rPr>
          <w:i/>
          <w:w w:val="96"/>
          <w:sz w:val="22"/>
        </w:rPr>
        <w:t>η</w:t>
      </w:r>
      <w:r>
        <w:rPr>
          <w:spacing w:val="-3"/>
        </w:rPr>
        <w:t>——</w:t>
      </w:r>
      <w:r>
        <w:rPr>
          <w:spacing w:val="-3"/>
        </w:rPr>
        <w:t>充装量（</w:t>
      </w:r>
      <w:r>
        <w:t>kg</w:t>
      </w:r>
      <w:r>
        <w:rPr>
          <w:spacing w:val="-2"/>
        </w:rPr>
        <w:t>/</w:t>
      </w:r>
      <w:r>
        <w:t xml:space="preserve"> </w:t>
      </w:r>
      <w:r>
        <w:t xml:space="preserve"> </w:t>
      </w:r>
      <w:r>
        <w:t>m³</w:t>
      </w:r>
      <w:r>
        <w:rPr>
          <w:spacing w:val="-108"/>
        </w:rPr>
        <w:t>）</w:t>
      </w:r>
      <w:r>
        <w:rPr>
          <w:spacing w:val="-1"/>
        </w:rPr>
        <w:t>。</w:t>
      </w:r>
      <w:r>
        <w:t xml:space="preserve"> </w:t>
      </w:r>
    </w:p>
    <w:p w14:paraId="4CAE2103" w14:textId="77777777" w:rsidR="00A71EEF" w:rsidRDefault="0081115D">
      <w:pPr>
        <w:pStyle w:val="a4"/>
        <w:numPr>
          <w:ilvl w:val="0"/>
          <w:numId w:val="622"/>
        </w:numPr>
        <w:tabs>
          <w:tab w:val="left" w:pos="1367"/>
        </w:tabs>
        <w:spacing w:before="4"/>
        <w:rPr>
          <w:sz w:val="21"/>
        </w:rPr>
      </w:pPr>
      <w:r>
        <w:rPr>
          <w:spacing w:val="-8"/>
          <w:sz w:val="21"/>
        </w:rPr>
        <w:t>管网的阻力损失应根据管道种类确定。当采用镀锌钢管时，其阻力损失可按下式计算：</w:t>
      </w:r>
      <w:r>
        <w:rPr>
          <w:sz w:val="21"/>
        </w:rPr>
        <w:t xml:space="preserve"> </w:t>
      </w:r>
    </w:p>
    <w:p w14:paraId="4F3560A2" w14:textId="77777777" w:rsidR="00A71EEF" w:rsidRDefault="00A71EEF">
      <w:pPr>
        <w:pStyle w:val="a3"/>
        <w:rPr>
          <w:sz w:val="20"/>
        </w:rPr>
      </w:pPr>
    </w:p>
    <w:p w14:paraId="4DC8F9F2" w14:textId="77777777" w:rsidR="00A71EEF" w:rsidRDefault="0081115D">
      <w:pPr>
        <w:pStyle w:val="a3"/>
        <w:spacing w:before="12"/>
        <w:rPr>
          <w:sz w:val="20"/>
        </w:rPr>
      </w:pPr>
      <w:r>
        <w:rPr>
          <w:noProof/>
        </w:rPr>
        <w:drawing>
          <wp:anchor distT="0" distB="0" distL="0" distR="0" simplePos="0" relativeHeight="251572736" behindDoc="0" locked="0" layoutInCell="1" allowOverlap="1" wp14:anchorId="6CD25304" wp14:editId="5BC7ADEC">
            <wp:simplePos x="0" y="0"/>
            <wp:positionH relativeFrom="page">
              <wp:posOffset>1617980</wp:posOffset>
            </wp:positionH>
            <wp:positionV relativeFrom="paragraph">
              <wp:posOffset>195357</wp:posOffset>
            </wp:positionV>
            <wp:extent cx="2886074" cy="619125"/>
            <wp:effectExtent l="0" t="0" r="0" b="0"/>
            <wp:wrapTopAndBottom/>
            <wp:docPr id="297" name="image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183.jpeg"/>
                    <pic:cNvPicPr/>
                  </pic:nvPicPr>
                  <pic:blipFill>
                    <a:blip r:embed="rId219" cstate="print"/>
                    <a:stretch>
                      <a:fillRect/>
                    </a:stretch>
                  </pic:blipFill>
                  <pic:spPr>
                    <a:xfrm>
                      <a:off x="0" y="0"/>
                      <a:ext cx="2886074" cy="619125"/>
                    </a:xfrm>
                    <a:prstGeom prst="rect">
                      <a:avLst/>
                    </a:prstGeom>
                  </pic:spPr>
                </pic:pic>
              </a:graphicData>
            </a:graphic>
          </wp:anchor>
        </w:drawing>
      </w:r>
    </w:p>
    <w:p w14:paraId="3229A39D" w14:textId="77777777" w:rsidR="00A71EEF" w:rsidRDefault="00A71EEF">
      <w:pPr>
        <w:pStyle w:val="a3"/>
        <w:spacing w:before="8"/>
        <w:rPr>
          <w:sz w:val="7"/>
        </w:rPr>
      </w:pPr>
    </w:p>
    <w:p w14:paraId="02768AB1" w14:textId="77777777" w:rsidR="00A71EEF" w:rsidRDefault="0081115D">
      <w:pPr>
        <w:pStyle w:val="a3"/>
        <w:spacing w:before="71"/>
        <w:ind w:left="838"/>
      </w:pPr>
      <w:r>
        <w:t>式中</w:t>
      </w:r>
      <w:r>
        <w:t xml:space="preserve"> </w:t>
      </w:r>
      <w:r>
        <w:rPr>
          <w:spacing w:val="-2"/>
        </w:rPr>
        <w:t xml:space="preserve"> </w:t>
      </w:r>
      <w:r>
        <w:t xml:space="preserve"> </w:t>
      </w:r>
      <w:r>
        <w:t xml:space="preserve"> </w:t>
      </w:r>
      <w:r>
        <w:rPr>
          <w:spacing w:val="-3"/>
        </w:rPr>
        <w:t>Δ</w:t>
      </w:r>
      <w:r>
        <w:rPr>
          <w:i/>
          <w:w w:val="96"/>
          <w:sz w:val="22"/>
        </w:rPr>
        <w:t>P</w:t>
      </w:r>
      <w:r>
        <w:rPr>
          <w:spacing w:val="-3"/>
        </w:rPr>
        <w:t>——</w:t>
      </w:r>
      <w:r>
        <w:rPr>
          <w:spacing w:val="-3"/>
        </w:rPr>
        <w:t>计算管段阻力损失（</w:t>
      </w:r>
      <w:r>
        <w:t>MPa</w:t>
      </w:r>
      <w:r>
        <w:rPr>
          <w:spacing w:val="-108"/>
        </w:rPr>
        <w:t>）</w:t>
      </w:r>
      <w:r>
        <w:rPr>
          <w:spacing w:val="-3"/>
        </w:rPr>
        <w:t>；</w:t>
      </w:r>
      <w:r>
        <w:t xml:space="preserve"> </w:t>
      </w:r>
    </w:p>
    <w:p w14:paraId="18B354D0" w14:textId="77777777" w:rsidR="00A71EEF" w:rsidRDefault="00A71EEF">
      <w:pPr>
        <w:pStyle w:val="a3"/>
        <w:rPr>
          <w:sz w:val="17"/>
        </w:rPr>
      </w:pPr>
    </w:p>
    <w:p w14:paraId="32C95EFF" w14:textId="77777777" w:rsidR="00A71EEF" w:rsidRDefault="0081115D">
      <w:pPr>
        <w:pStyle w:val="a3"/>
        <w:ind w:left="838"/>
      </w:pPr>
      <w:r>
        <w:rPr>
          <w:i/>
          <w:w w:val="96"/>
          <w:sz w:val="22"/>
        </w:rPr>
        <w:t>L</w:t>
      </w:r>
      <w:r>
        <w:rPr>
          <w:spacing w:val="-3"/>
        </w:rPr>
        <w:t>——</w:t>
      </w:r>
      <w:r>
        <w:rPr>
          <w:spacing w:val="-3"/>
        </w:rPr>
        <w:t>管道计算长度</w:t>
      </w:r>
      <w:r>
        <w:t>（</w:t>
      </w:r>
      <w:r>
        <w:t>m</w:t>
      </w:r>
      <w:r>
        <w:rPr>
          <w:spacing w:val="-108"/>
        </w:rPr>
        <w:t>）</w:t>
      </w:r>
      <w:r>
        <w:rPr>
          <w:spacing w:val="-3"/>
        </w:rPr>
        <w:t>，为计算管段中沿程长度与局部损失当量长度之和；</w:t>
      </w:r>
      <w:r>
        <w:t xml:space="preserve"> </w:t>
      </w:r>
    </w:p>
    <w:p w14:paraId="724E264A" w14:textId="77777777" w:rsidR="00A71EEF" w:rsidRDefault="00A71EEF">
      <w:pPr>
        <w:sectPr w:rsidR="00A71EEF">
          <w:pgSz w:w="11910" w:h="16850"/>
          <w:pgMar w:top="1200" w:right="0" w:bottom="1420" w:left="1260" w:header="0" w:footer="1239" w:gutter="0"/>
          <w:cols w:space="720"/>
        </w:sectPr>
      </w:pPr>
    </w:p>
    <w:p w14:paraId="3B1FD3ED" w14:textId="77777777" w:rsidR="00A71EEF" w:rsidRDefault="0081115D">
      <w:pPr>
        <w:pStyle w:val="a3"/>
        <w:spacing w:before="57"/>
        <w:ind w:left="838"/>
      </w:pPr>
      <w:r>
        <w:rPr>
          <w:i/>
          <w:w w:val="96"/>
          <w:sz w:val="22"/>
        </w:rPr>
        <w:t>Q</w:t>
      </w:r>
      <w:r>
        <w:rPr>
          <w:spacing w:val="-3"/>
        </w:rPr>
        <w:t>——</w:t>
      </w:r>
      <w:r>
        <w:rPr>
          <w:spacing w:val="-3"/>
        </w:rPr>
        <w:t>管道设计流量</w:t>
      </w:r>
      <w:r>
        <w:t>（</w:t>
      </w:r>
      <w:r>
        <w:t>kg</w:t>
      </w:r>
      <w:r>
        <w:rPr>
          <w:spacing w:val="-3"/>
        </w:rPr>
        <w:t>/s</w:t>
      </w:r>
      <w:r>
        <w:rPr>
          <w:spacing w:val="-106"/>
        </w:rPr>
        <w:t>）</w:t>
      </w:r>
      <w:r>
        <w:rPr>
          <w:spacing w:val="-3"/>
        </w:rPr>
        <w:t>；</w:t>
      </w:r>
      <w:r>
        <w:t xml:space="preserve"> </w:t>
      </w:r>
    </w:p>
    <w:p w14:paraId="4F120C6E" w14:textId="77777777" w:rsidR="00A71EEF" w:rsidRDefault="00A71EEF">
      <w:pPr>
        <w:pStyle w:val="a3"/>
        <w:rPr>
          <w:sz w:val="17"/>
        </w:rPr>
      </w:pPr>
    </w:p>
    <w:p w14:paraId="0273AFEE" w14:textId="77777777" w:rsidR="00A71EEF" w:rsidRDefault="0081115D">
      <w:pPr>
        <w:pStyle w:val="a3"/>
        <w:ind w:left="838"/>
      </w:pPr>
      <w:r>
        <w:rPr>
          <w:i/>
          <w:w w:val="96"/>
          <w:sz w:val="22"/>
        </w:rPr>
        <w:t>D</w:t>
      </w:r>
      <w:r>
        <w:rPr>
          <w:spacing w:val="-3"/>
        </w:rPr>
        <w:t>——</w:t>
      </w:r>
      <w:r>
        <w:rPr>
          <w:spacing w:val="-3"/>
        </w:rPr>
        <w:t>管道内径</w:t>
      </w:r>
      <w:r>
        <w:rPr>
          <w:spacing w:val="-1"/>
        </w:rPr>
        <w:t>（</w:t>
      </w:r>
      <w:r>
        <w:t>mm</w:t>
      </w:r>
      <w:r>
        <w:rPr>
          <w:spacing w:val="-108"/>
        </w:rPr>
        <w:t>）</w:t>
      </w:r>
      <w:r>
        <w:rPr>
          <w:spacing w:val="-3"/>
        </w:rPr>
        <w:t>。</w:t>
      </w:r>
      <w:r>
        <w:t xml:space="preserve"> </w:t>
      </w:r>
    </w:p>
    <w:p w14:paraId="2B30FA61" w14:textId="77777777" w:rsidR="00A71EEF" w:rsidRDefault="0081115D">
      <w:pPr>
        <w:pStyle w:val="a3"/>
        <w:rPr>
          <w:sz w:val="26"/>
        </w:rPr>
      </w:pPr>
      <w:r>
        <w:rPr>
          <w:noProof/>
        </w:rPr>
        <w:drawing>
          <wp:anchor distT="0" distB="0" distL="0" distR="0" simplePos="0" relativeHeight="251573760" behindDoc="0" locked="0" layoutInCell="1" allowOverlap="1" wp14:anchorId="16681F1D" wp14:editId="337E4FFC">
            <wp:simplePos x="0" y="0"/>
            <wp:positionH relativeFrom="page">
              <wp:posOffset>1332230</wp:posOffset>
            </wp:positionH>
            <wp:positionV relativeFrom="paragraph">
              <wp:posOffset>236624</wp:posOffset>
            </wp:positionV>
            <wp:extent cx="2743199" cy="314325"/>
            <wp:effectExtent l="0" t="0" r="0" b="0"/>
            <wp:wrapTopAndBottom/>
            <wp:docPr id="299" name="image1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184.jpeg"/>
                    <pic:cNvPicPr/>
                  </pic:nvPicPr>
                  <pic:blipFill>
                    <a:blip r:embed="rId220" cstate="print"/>
                    <a:stretch>
                      <a:fillRect/>
                    </a:stretch>
                  </pic:blipFill>
                  <pic:spPr>
                    <a:xfrm>
                      <a:off x="0" y="0"/>
                      <a:ext cx="2743199" cy="314325"/>
                    </a:xfrm>
                    <a:prstGeom prst="rect">
                      <a:avLst/>
                    </a:prstGeom>
                  </pic:spPr>
                </pic:pic>
              </a:graphicData>
            </a:graphic>
          </wp:anchor>
        </w:drawing>
      </w:r>
    </w:p>
    <w:p w14:paraId="11022892" w14:textId="77777777" w:rsidR="00A71EEF" w:rsidRDefault="00A71EEF">
      <w:pPr>
        <w:pStyle w:val="a3"/>
        <w:spacing w:before="7"/>
        <w:rPr>
          <w:sz w:val="18"/>
        </w:rPr>
      </w:pPr>
    </w:p>
    <w:p w14:paraId="1ADB1E8A" w14:textId="77777777" w:rsidR="00A71EEF" w:rsidRDefault="0081115D">
      <w:pPr>
        <w:pStyle w:val="a4"/>
        <w:numPr>
          <w:ilvl w:val="0"/>
          <w:numId w:val="622"/>
        </w:numPr>
        <w:tabs>
          <w:tab w:val="left" w:pos="1367"/>
        </w:tabs>
        <w:spacing w:line="436" w:lineRule="auto"/>
        <w:ind w:left="838" w:right="4554" w:firstLine="0"/>
        <w:rPr>
          <w:sz w:val="21"/>
        </w:rPr>
      </w:pPr>
      <w:r>
        <w:rPr>
          <w:spacing w:val="-3"/>
          <w:sz w:val="21"/>
        </w:rPr>
        <w:t>初选管径可按管道设计流量，参照下列公式计算：</w:t>
      </w:r>
      <w:r>
        <w:rPr>
          <w:spacing w:val="-3"/>
          <w:sz w:val="21"/>
        </w:rPr>
        <w:t xml:space="preserve"> </w:t>
      </w:r>
      <w:r>
        <w:rPr>
          <w:spacing w:val="-27"/>
          <w:sz w:val="21"/>
        </w:rPr>
        <w:t>当</w:t>
      </w:r>
      <w:r>
        <w:rPr>
          <w:spacing w:val="-27"/>
          <w:sz w:val="21"/>
        </w:rPr>
        <w:t xml:space="preserve"> </w:t>
      </w:r>
      <w:r>
        <w:rPr>
          <w:i/>
        </w:rPr>
        <w:t>Q</w:t>
      </w:r>
      <w:r>
        <w:rPr>
          <w:sz w:val="21"/>
        </w:rPr>
        <w:t>≤6.0kg/s</w:t>
      </w:r>
      <w:r>
        <w:rPr>
          <w:spacing w:val="-19"/>
          <w:sz w:val="21"/>
        </w:rPr>
        <w:t xml:space="preserve"> </w:t>
      </w:r>
      <w:r>
        <w:rPr>
          <w:spacing w:val="-19"/>
          <w:sz w:val="21"/>
        </w:rPr>
        <w:t>时，</w:t>
      </w:r>
      <w:r>
        <w:rPr>
          <w:spacing w:val="-19"/>
          <w:sz w:val="21"/>
        </w:rPr>
        <w:t xml:space="preserve"> </w:t>
      </w:r>
    </w:p>
    <w:p w14:paraId="632F6222" w14:textId="77777777" w:rsidR="00A71EEF" w:rsidRDefault="0081115D">
      <w:pPr>
        <w:pStyle w:val="a3"/>
        <w:spacing w:line="265" w:lineRule="exact"/>
        <w:ind w:left="838"/>
      </w:pPr>
      <w:r>
        <w:t>当</w:t>
      </w:r>
      <w:r>
        <w:t xml:space="preserve"> 6.0kg/s</w:t>
      </w:r>
      <w:r>
        <w:t>＜</w:t>
      </w:r>
      <w:r>
        <w:t>Q</w:t>
      </w:r>
      <w:r>
        <w:t>＜</w:t>
      </w:r>
      <w:r>
        <w:t xml:space="preserve">160.0kg/s </w:t>
      </w:r>
      <w:r>
        <w:t>时，</w:t>
      </w:r>
      <w:r>
        <w:t xml:space="preserve"> </w:t>
      </w:r>
    </w:p>
    <w:p w14:paraId="2BD48F90" w14:textId="77777777" w:rsidR="00A71EEF" w:rsidRDefault="0081115D">
      <w:pPr>
        <w:pStyle w:val="a3"/>
        <w:rPr>
          <w:sz w:val="11"/>
        </w:rPr>
      </w:pPr>
      <w:r>
        <w:rPr>
          <w:noProof/>
        </w:rPr>
        <w:drawing>
          <wp:anchor distT="0" distB="0" distL="0" distR="0" simplePos="0" relativeHeight="251574784" behindDoc="0" locked="0" layoutInCell="1" allowOverlap="1" wp14:anchorId="0FCF5615" wp14:editId="20262DCF">
            <wp:simplePos x="0" y="0"/>
            <wp:positionH relativeFrom="page">
              <wp:posOffset>1627504</wp:posOffset>
            </wp:positionH>
            <wp:positionV relativeFrom="paragraph">
              <wp:posOffset>114879</wp:posOffset>
            </wp:positionV>
            <wp:extent cx="2666999" cy="238125"/>
            <wp:effectExtent l="0" t="0" r="0" b="0"/>
            <wp:wrapTopAndBottom/>
            <wp:docPr id="301" name="image1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185.jpeg"/>
                    <pic:cNvPicPr/>
                  </pic:nvPicPr>
                  <pic:blipFill>
                    <a:blip r:embed="rId221" cstate="print"/>
                    <a:stretch>
                      <a:fillRect/>
                    </a:stretch>
                  </pic:blipFill>
                  <pic:spPr>
                    <a:xfrm>
                      <a:off x="0" y="0"/>
                      <a:ext cx="2666999" cy="238125"/>
                    </a:xfrm>
                    <a:prstGeom prst="rect">
                      <a:avLst/>
                    </a:prstGeom>
                  </pic:spPr>
                </pic:pic>
              </a:graphicData>
            </a:graphic>
          </wp:anchor>
        </w:drawing>
      </w:r>
    </w:p>
    <w:p w14:paraId="14945FA8" w14:textId="77777777" w:rsidR="00A71EEF" w:rsidRDefault="00A71EEF">
      <w:pPr>
        <w:pStyle w:val="a3"/>
        <w:spacing w:before="6"/>
        <w:rPr>
          <w:sz w:val="18"/>
        </w:rPr>
      </w:pPr>
    </w:p>
    <w:p w14:paraId="1B26696E" w14:textId="77777777" w:rsidR="00A71EEF" w:rsidRDefault="0081115D">
      <w:pPr>
        <w:pStyle w:val="a4"/>
        <w:numPr>
          <w:ilvl w:val="0"/>
          <w:numId w:val="622"/>
        </w:numPr>
        <w:tabs>
          <w:tab w:val="left" w:pos="1367"/>
        </w:tabs>
        <w:rPr>
          <w:sz w:val="21"/>
        </w:rPr>
      </w:pPr>
      <w:r>
        <w:rPr>
          <w:spacing w:val="-3"/>
          <w:sz w:val="21"/>
        </w:rPr>
        <w:t>喷头工作压力应按下式计算：</w:t>
      </w:r>
      <w:r>
        <w:rPr>
          <w:sz w:val="21"/>
        </w:rPr>
        <w:t xml:space="preserve"> </w:t>
      </w:r>
    </w:p>
    <w:p w14:paraId="2BA759AF" w14:textId="77777777" w:rsidR="00A71EEF" w:rsidRDefault="00A71EEF">
      <w:pPr>
        <w:pStyle w:val="a3"/>
        <w:spacing w:before="4"/>
        <w:rPr>
          <w:sz w:val="17"/>
        </w:rPr>
      </w:pPr>
    </w:p>
    <w:p w14:paraId="4E28554E" w14:textId="77777777" w:rsidR="00A71EEF" w:rsidRDefault="0081115D">
      <w:pPr>
        <w:pStyle w:val="a3"/>
        <w:ind w:left="838"/>
      </w:pPr>
      <w:r>
        <w:rPr>
          <w:noProof/>
        </w:rPr>
        <w:drawing>
          <wp:anchor distT="0" distB="0" distL="0" distR="0" simplePos="0" relativeHeight="251575808" behindDoc="0" locked="0" layoutInCell="1" allowOverlap="1" wp14:anchorId="73B8314B" wp14:editId="7C47F4F1">
            <wp:simplePos x="0" y="0"/>
            <wp:positionH relativeFrom="page">
              <wp:posOffset>1513205</wp:posOffset>
            </wp:positionH>
            <wp:positionV relativeFrom="paragraph">
              <wp:posOffset>262128</wp:posOffset>
            </wp:positionV>
            <wp:extent cx="2752724" cy="466725"/>
            <wp:effectExtent l="0" t="0" r="0" b="0"/>
            <wp:wrapTopAndBottom/>
            <wp:docPr id="303" name="image1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186.jpeg"/>
                    <pic:cNvPicPr/>
                  </pic:nvPicPr>
                  <pic:blipFill>
                    <a:blip r:embed="rId222" cstate="print"/>
                    <a:stretch>
                      <a:fillRect/>
                    </a:stretch>
                  </pic:blipFill>
                  <pic:spPr>
                    <a:xfrm>
                      <a:off x="0" y="0"/>
                      <a:ext cx="2752724" cy="466725"/>
                    </a:xfrm>
                    <a:prstGeom prst="rect">
                      <a:avLst/>
                    </a:prstGeom>
                  </pic:spPr>
                </pic:pic>
              </a:graphicData>
            </a:graphic>
          </wp:anchor>
        </w:drawing>
      </w:r>
      <w:r>
        <w:rPr>
          <w:position w:val="1"/>
        </w:rPr>
        <w:t>式中</w:t>
      </w:r>
      <w:r>
        <w:rPr>
          <w:position w:val="1"/>
        </w:rPr>
        <w:t xml:space="preserve"> </w:t>
      </w:r>
      <w:r>
        <w:rPr>
          <w:spacing w:val="-2"/>
          <w:position w:val="1"/>
        </w:rPr>
        <w:t xml:space="preserve"> </w:t>
      </w:r>
      <w:r>
        <w:rPr>
          <w:i/>
          <w:w w:val="96"/>
          <w:position w:val="1"/>
          <w:sz w:val="22"/>
        </w:rPr>
        <w:t>P</w:t>
      </w:r>
      <w:r>
        <w:rPr>
          <w:sz w:val="11"/>
        </w:rPr>
        <w:t>c</w:t>
      </w:r>
      <w:r>
        <w:rPr>
          <w:spacing w:val="-3"/>
          <w:position w:val="1"/>
        </w:rPr>
        <w:t>——</w:t>
      </w:r>
      <w:r>
        <w:rPr>
          <w:spacing w:val="-3"/>
          <w:position w:val="1"/>
        </w:rPr>
        <w:t>喷头工作压力</w:t>
      </w:r>
      <w:r>
        <w:rPr>
          <w:position w:val="1"/>
        </w:rPr>
        <w:t>（</w:t>
      </w:r>
      <w:r>
        <w:rPr>
          <w:position w:val="1"/>
        </w:rPr>
        <w:t>M</w:t>
      </w:r>
      <w:r>
        <w:rPr>
          <w:spacing w:val="-3"/>
          <w:position w:val="1"/>
        </w:rPr>
        <w:t>P</w:t>
      </w:r>
      <w:r>
        <w:rPr>
          <w:spacing w:val="-1"/>
          <w:position w:val="1"/>
        </w:rPr>
        <w:t>a</w:t>
      </w:r>
      <w:r>
        <w:rPr>
          <w:spacing w:val="-3"/>
          <w:position w:val="1"/>
        </w:rPr>
        <w:t>，绝对压力</w:t>
      </w:r>
      <w:r>
        <w:rPr>
          <w:spacing w:val="-108"/>
          <w:position w:val="1"/>
        </w:rPr>
        <w:t>）</w:t>
      </w:r>
      <w:r>
        <w:rPr>
          <w:spacing w:val="-3"/>
          <w:position w:val="1"/>
        </w:rPr>
        <w:t>；</w:t>
      </w:r>
      <w:r>
        <w:rPr>
          <w:position w:val="1"/>
        </w:rPr>
        <w:t xml:space="preserve"> </w:t>
      </w:r>
    </w:p>
    <w:p w14:paraId="7C5D7D28" w14:textId="77777777" w:rsidR="00A71EEF" w:rsidRDefault="0081115D">
      <w:pPr>
        <w:pStyle w:val="a3"/>
        <w:spacing w:before="167"/>
        <w:ind w:left="838"/>
      </w:pPr>
      <w:r>
        <w:rPr>
          <w:position w:val="1"/>
        </w:rPr>
        <w:t>式中</w:t>
      </w:r>
      <w:r>
        <w:rPr>
          <w:position w:val="1"/>
        </w:rPr>
        <w:t xml:space="preserve"> </w:t>
      </w:r>
      <w:r>
        <w:rPr>
          <w:i/>
          <w:position w:val="1"/>
          <w:sz w:val="22"/>
        </w:rPr>
        <w:t>N</w:t>
      </w:r>
      <w:r>
        <w:rPr>
          <w:i/>
          <w:sz w:val="11"/>
        </w:rPr>
        <w:t>d</w:t>
      </w:r>
      <w:r>
        <w:rPr>
          <w:position w:val="1"/>
        </w:rPr>
        <w:t>——</w:t>
      </w:r>
      <w:r>
        <w:rPr>
          <w:position w:val="1"/>
        </w:rPr>
        <w:t>流程中计算管段的数量；</w:t>
      </w:r>
      <w:r>
        <w:rPr>
          <w:position w:val="1"/>
        </w:rPr>
        <w:t xml:space="preserve"> </w:t>
      </w:r>
    </w:p>
    <w:p w14:paraId="29974FFC" w14:textId="77777777" w:rsidR="00A71EEF" w:rsidRDefault="00A71EEF">
      <w:pPr>
        <w:pStyle w:val="a3"/>
        <w:rPr>
          <w:sz w:val="17"/>
        </w:rPr>
      </w:pPr>
    </w:p>
    <w:p w14:paraId="2CE4321E" w14:textId="77777777" w:rsidR="00A71EEF" w:rsidRDefault="0081115D">
      <w:pPr>
        <w:pStyle w:val="a3"/>
        <w:ind w:left="838"/>
      </w:pPr>
      <w:r>
        <w:rPr>
          <w:i/>
          <w:w w:val="96"/>
          <w:position w:val="1"/>
          <w:sz w:val="22"/>
        </w:rPr>
        <w:t>P</w:t>
      </w:r>
      <w:r>
        <w:rPr>
          <w:i/>
          <w:sz w:val="11"/>
        </w:rPr>
        <w:t>h</w:t>
      </w:r>
      <w:r>
        <w:rPr>
          <w:spacing w:val="-3"/>
          <w:position w:val="1"/>
        </w:rPr>
        <w:t>——</w:t>
      </w:r>
      <w:r>
        <w:rPr>
          <w:spacing w:val="-3"/>
          <w:position w:val="1"/>
        </w:rPr>
        <w:t>高程压头</w:t>
      </w:r>
      <w:r>
        <w:rPr>
          <w:spacing w:val="-1"/>
          <w:position w:val="1"/>
        </w:rPr>
        <w:t>（</w:t>
      </w:r>
      <w:r>
        <w:rPr>
          <w:position w:val="1"/>
        </w:rPr>
        <w:t>M</w:t>
      </w:r>
      <w:r>
        <w:rPr>
          <w:spacing w:val="-3"/>
          <w:position w:val="1"/>
        </w:rPr>
        <w:t>P</w:t>
      </w:r>
      <w:r>
        <w:rPr>
          <w:position w:val="1"/>
        </w:rPr>
        <w:t>a</w:t>
      </w:r>
      <w:r>
        <w:rPr>
          <w:spacing w:val="-106"/>
          <w:position w:val="1"/>
        </w:rPr>
        <w:t>）</w:t>
      </w:r>
      <w:r>
        <w:rPr>
          <w:spacing w:val="-3"/>
          <w:position w:val="1"/>
        </w:rPr>
        <w:t>。</w:t>
      </w:r>
      <w:r>
        <w:rPr>
          <w:position w:val="1"/>
        </w:rPr>
        <w:t xml:space="preserve"> </w:t>
      </w:r>
    </w:p>
    <w:p w14:paraId="49636BE2" w14:textId="77777777" w:rsidR="00A71EEF" w:rsidRDefault="00A71EEF">
      <w:pPr>
        <w:pStyle w:val="a3"/>
        <w:spacing w:before="12"/>
        <w:rPr>
          <w:sz w:val="17"/>
        </w:rPr>
      </w:pPr>
    </w:p>
    <w:p w14:paraId="062EA5C8" w14:textId="77777777" w:rsidR="00A71EEF" w:rsidRDefault="0081115D">
      <w:pPr>
        <w:pStyle w:val="a4"/>
        <w:numPr>
          <w:ilvl w:val="0"/>
          <w:numId w:val="622"/>
        </w:numPr>
        <w:tabs>
          <w:tab w:val="left" w:pos="1367"/>
        </w:tabs>
        <w:rPr>
          <w:sz w:val="21"/>
        </w:rPr>
      </w:pPr>
      <w:r>
        <w:rPr>
          <w:spacing w:val="-3"/>
          <w:sz w:val="21"/>
        </w:rPr>
        <w:t>高程压头应按下式计算：</w:t>
      </w:r>
      <w:r>
        <w:rPr>
          <w:sz w:val="21"/>
        </w:rPr>
        <w:t xml:space="preserve"> </w:t>
      </w:r>
    </w:p>
    <w:p w14:paraId="469A939E" w14:textId="77777777" w:rsidR="00A71EEF" w:rsidRDefault="0081115D">
      <w:pPr>
        <w:pStyle w:val="a3"/>
        <w:spacing w:before="4"/>
        <w:rPr>
          <w:sz w:val="16"/>
        </w:rPr>
      </w:pPr>
      <w:r>
        <w:pict w14:anchorId="6F8CB490">
          <v:group id="_x0000_s1151" style="position:absolute;margin-left:104.9pt;margin-top:12.45pt;width:259.5pt;height:63.65pt;z-index:-251494912;mso-wrap-distance-left:0;mso-wrap-distance-right:0;mso-position-horizontal-relative:page" coordorigin="2098,249" coordsize="5190,1273">
            <v:shape id="_x0000_s1154" type="#_x0000_t75" style="position:absolute;left:2098;top:1089;width:4687;height:384">
              <v:imagedata r:id="rId223" o:title=""/>
            </v:shape>
            <v:shape id="_x0000_s1153" type="#_x0000_t75" style="position:absolute;left:2982;top:248;width:4306;height:840">
              <v:imagedata r:id="rId224" o:title=""/>
            </v:shape>
            <v:shape id="_x0000_s1152" type="#_x0000_t202" style="position:absolute;left:6839;top:1310;width:126;height:212" filled="f" stroked="f">
              <v:textbox inset="0,0,0,0">
                <w:txbxContent>
                  <w:p w14:paraId="284FE09A" w14:textId="77777777" w:rsidR="00A71EEF" w:rsidRDefault="0081115D">
                    <w:pPr>
                      <w:spacing w:line="211" w:lineRule="exact"/>
                      <w:rPr>
                        <w:sz w:val="21"/>
                      </w:rPr>
                    </w:pPr>
                    <w:r>
                      <w:rPr>
                        <w:sz w:val="21"/>
                      </w:rPr>
                      <w:t xml:space="preserve"> </w:t>
                    </w:r>
                  </w:p>
                </w:txbxContent>
              </v:textbox>
            </v:shape>
            <w10:wrap type="topAndBottom" anchorx="page"/>
          </v:group>
        </w:pict>
      </w:r>
    </w:p>
    <w:p w14:paraId="331DE373" w14:textId="77777777" w:rsidR="00A71EEF" w:rsidRDefault="00A71EEF">
      <w:pPr>
        <w:pStyle w:val="a3"/>
        <w:spacing w:before="8"/>
        <w:rPr>
          <w:sz w:val="11"/>
        </w:rPr>
      </w:pPr>
    </w:p>
    <w:p w14:paraId="1CAB7E75" w14:textId="77777777" w:rsidR="00A71EEF" w:rsidRDefault="0081115D">
      <w:pPr>
        <w:pStyle w:val="a3"/>
        <w:spacing w:before="71"/>
        <w:ind w:left="838"/>
      </w:pPr>
      <w:r>
        <w:t>式中</w:t>
      </w:r>
      <w:r>
        <w:t xml:space="preserve"> </w:t>
      </w:r>
      <w:r>
        <w:rPr>
          <w:spacing w:val="-2"/>
        </w:rPr>
        <w:t xml:space="preserve"> </w:t>
      </w:r>
      <w:r>
        <w:t xml:space="preserve"> </w:t>
      </w:r>
      <w:r>
        <w:rPr>
          <w:i/>
          <w:w w:val="96"/>
          <w:sz w:val="22"/>
        </w:rPr>
        <w:t>H</w:t>
      </w:r>
      <w:r>
        <w:rPr>
          <w:spacing w:val="-3"/>
        </w:rPr>
        <w:t>——</w:t>
      </w:r>
      <w:r>
        <w:rPr>
          <w:spacing w:val="-3"/>
        </w:rPr>
        <w:t>过程中点时，喷头高度相对储存容器内液面的位差（</w:t>
      </w:r>
      <w:r>
        <w:t>m</w:t>
      </w:r>
      <w:r>
        <w:rPr>
          <w:spacing w:val="-106"/>
        </w:rPr>
        <w:t>）</w:t>
      </w:r>
      <w:r>
        <w:rPr>
          <w:spacing w:val="-3"/>
        </w:rPr>
        <w:t>；</w:t>
      </w:r>
      <w:r>
        <w:t xml:space="preserve"> </w:t>
      </w:r>
    </w:p>
    <w:p w14:paraId="7A1F1382" w14:textId="77777777" w:rsidR="00A71EEF" w:rsidRDefault="00A71EEF">
      <w:pPr>
        <w:pStyle w:val="a3"/>
        <w:rPr>
          <w:sz w:val="17"/>
        </w:rPr>
      </w:pPr>
    </w:p>
    <w:p w14:paraId="153C6D99" w14:textId="77777777" w:rsidR="00A71EEF" w:rsidRDefault="0081115D">
      <w:pPr>
        <w:pStyle w:val="a3"/>
        <w:ind w:left="1469"/>
      </w:pPr>
      <w:r>
        <w:rPr>
          <w:i/>
          <w:w w:val="96"/>
          <w:sz w:val="22"/>
        </w:rPr>
        <w:t>g</w:t>
      </w:r>
      <w:r>
        <w:rPr>
          <w:spacing w:val="-3"/>
        </w:rPr>
        <w:t>——</w:t>
      </w:r>
      <w:r>
        <w:rPr>
          <w:spacing w:val="-3"/>
        </w:rPr>
        <w:t>重力加速度</w:t>
      </w:r>
      <w:r>
        <w:t>（</w:t>
      </w:r>
      <w:r>
        <w:rPr>
          <w:spacing w:val="-3"/>
        </w:rPr>
        <w:t>m</w:t>
      </w:r>
      <w:r>
        <w:t>/</w:t>
      </w:r>
      <w:r>
        <w:rPr>
          <w:spacing w:val="-1"/>
        </w:rPr>
        <w:t>s</w:t>
      </w:r>
      <w:r>
        <w:t>²</w:t>
      </w:r>
      <w:r>
        <w:rPr>
          <w:spacing w:val="-108"/>
        </w:rPr>
        <w:t>）</w:t>
      </w:r>
      <w:r>
        <w:rPr>
          <w:spacing w:val="-1"/>
        </w:rPr>
        <w:t>。</w:t>
      </w:r>
      <w:r>
        <w:t xml:space="preserve"> </w:t>
      </w:r>
    </w:p>
    <w:p w14:paraId="4A45345D" w14:textId="77777777" w:rsidR="00A71EEF" w:rsidRDefault="00A71EEF">
      <w:pPr>
        <w:pStyle w:val="a3"/>
        <w:spacing w:before="12"/>
        <w:rPr>
          <w:sz w:val="17"/>
        </w:rPr>
      </w:pPr>
    </w:p>
    <w:p w14:paraId="5BF6ACF3" w14:textId="77777777" w:rsidR="00A71EEF" w:rsidRDefault="0081115D">
      <w:pPr>
        <w:pStyle w:val="a3"/>
        <w:ind w:left="840"/>
      </w:pPr>
      <w:r>
        <w:rPr>
          <w:b/>
        </w:rPr>
        <w:t xml:space="preserve">3.3.16 </w:t>
      </w:r>
      <w:r>
        <w:t>七氟丙烷气体灭火系统的喷头工作压力的计算结果，应符合下列规定：</w:t>
      </w:r>
      <w:r>
        <w:t xml:space="preserve"> </w:t>
      </w:r>
    </w:p>
    <w:p w14:paraId="2155C5F7" w14:textId="77777777" w:rsidR="00A71EEF" w:rsidRDefault="00A71EEF">
      <w:pPr>
        <w:pStyle w:val="a3"/>
        <w:spacing w:before="2"/>
        <w:rPr>
          <w:sz w:val="17"/>
        </w:rPr>
      </w:pPr>
    </w:p>
    <w:p w14:paraId="7298467B" w14:textId="77777777" w:rsidR="00A71EEF" w:rsidRDefault="0081115D">
      <w:pPr>
        <w:pStyle w:val="a3"/>
        <w:spacing w:line="434" w:lineRule="auto"/>
        <w:ind w:left="838" w:right="4026"/>
      </w:pPr>
      <w:r>
        <w:rPr>
          <w:noProof/>
        </w:rPr>
        <w:drawing>
          <wp:anchor distT="0" distB="0" distL="0" distR="0" simplePos="0" relativeHeight="251576832" behindDoc="0" locked="0" layoutInCell="1" allowOverlap="1" wp14:anchorId="03F7F1A0" wp14:editId="59FD3D99">
            <wp:simplePos x="0" y="0"/>
            <wp:positionH relativeFrom="page">
              <wp:posOffset>1818004</wp:posOffset>
            </wp:positionH>
            <wp:positionV relativeFrom="paragraph">
              <wp:posOffset>696848</wp:posOffset>
            </wp:positionV>
            <wp:extent cx="1857374" cy="381000"/>
            <wp:effectExtent l="0" t="0" r="0" b="0"/>
            <wp:wrapTopAndBottom/>
            <wp:docPr id="305" name="image1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189.jpeg"/>
                    <pic:cNvPicPr/>
                  </pic:nvPicPr>
                  <pic:blipFill>
                    <a:blip r:embed="rId225" cstate="print"/>
                    <a:stretch>
                      <a:fillRect/>
                    </a:stretch>
                  </pic:blipFill>
                  <pic:spPr>
                    <a:xfrm>
                      <a:off x="0" y="0"/>
                      <a:ext cx="1857374" cy="381000"/>
                    </a:xfrm>
                    <a:prstGeom prst="rect">
                      <a:avLst/>
                    </a:prstGeom>
                  </pic:spPr>
                </pic:pic>
              </a:graphicData>
            </a:graphic>
          </wp:anchor>
        </w:drawing>
      </w:r>
      <w:r>
        <w:rPr>
          <w:position w:val="1"/>
        </w:rPr>
        <w:t>（</w:t>
      </w:r>
      <w:r>
        <w:rPr>
          <w:position w:val="1"/>
        </w:rPr>
        <w:t>1</w:t>
      </w:r>
      <w:r>
        <w:rPr>
          <w:spacing w:val="-3"/>
          <w:position w:val="1"/>
        </w:rPr>
        <w:t>）一级增压储存容器的系统</w:t>
      </w:r>
      <w:r>
        <w:rPr>
          <w:spacing w:val="-53"/>
          <w:position w:val="1"/>
        </w:rPr>
        <w:t xml:space="preserve"> </w:t>
      </w:r>
      <w:r>
        <w:rPr>
          <w:i/>
          <w:w w:val="96"/>
          <w:position w:val="1"/>
          <w:sz w:val="22"/>
        </w:rPr>
        <w:t>P</w:t>
      </w:r>
      <w:r>
        <w:rPr>
          <w:spacing w:val="-3"/>
          <w:sz w:val="11"/>
        </w:rPr>
        <w:t>c</w:t>
      </w:r>
      <w:r>
        <w:rPr>
          <w:position w:val="1"/>
        </w:rPr>
        <w:t xml:space="preserve"> </w:t>
      </w:r>
      <w:r>
        <w:rPr>
          <w:position w:val="1"/>
        </w:rPr>
        <w:t xml:space="preserve"> </w:t>
      </w:r>
      <w:r>
        <w:rPr>
          <w:spacing w:val="-3"/>
          <w:position w:val="1"/>
        </w:rPr>
        <w:t>≥</w:t>
      </w:r>
      <w:r>
        <w:rPr>
          <w:position w:val="1"/>
        </w:rPr>
        <w:t>0.</w:t>
      </w:r>
      <w:r>
        <w:rPr>
          <w:spacing w:val="-3"/>
          <w:position w:val="1"/>
        </w:rPr>
        <w:t>6</w:t>
      </w:r>
      <w:r>
        <w:rPr>
          <w:position w:val="1"/>
        </w:rPr>
        <w:t>（</w:t>
      </w:r>
      <w:r>
        <w:rPr>
          <w:position w:val="1"/>
        </w:rPr>
        <w:t>MP</w:t>
      </w:r>
      <w:r>
        <w:rPr>
          <w:spacing w:val="-2"/>
          <w:position w:val="1"/>
        </w:rPr>
        <w:t>a</w:t>
      </w:r>
      <w:r>
        <w:rPr>
          <w:spacing w:val="-3"/>
          <w:position w:val="1"/>
        </w:rPr>
        <w:t>，绝对压力</w:t>
      </w:r>
      <w:r>
        <w:rPr>
          <w:spacing w:val="-106"/>
          <w:position w:val="1"/>
        </w:rPr>
        <w:t>）</w:t>
      </w:r>
      <w:r>
        <w:rPr>
          <w:spacing w:val="-3"/>
          <w:position w:val="1"/>
        </w:rPr>
        <w:t>；</w:t>
      </w:r>
      <w:r>
        <w:rPr>
          <w:position w:val="1"/>
        </w:rPr>
        <w:t xml:space="preserve"> </w:t>
      </w:r>
      <w:r>
        <w:rPr>
          <w:spacing w:val="1"/>
          <w:position w:val="1"/>
        </w:rPr>
        <w:t>二级增压储存容器的系统</w:t>
      </w:r>
      <w:r>
        <w:rPr>
          <w:position w:val="1"/>
        </w:rPr>
        <w:t>P</w:t>
      </w:r>
      <w:r>
        <w:rPr>
          <w:sz w:val="11"/>
        </w:rPr>
        <w:t>c</w:t>
      </w:r>
      <w:r>
        <w:rPr>
          <w:position w:val="1"/>
        </w:rPr>
        <w:t xml:space="preserve"> </w:t>
      </w:r>
      <w:r>
        <w:rPr>
          <w:position w:val="1"/>
        </w:rPr>
        <w:t xml:space="preserve"> </w:t>
      </w:r>
      <w:r>
        <w:rPr>
          <w:spacing w:val="-3"/>
          <w:position w:val="1"/>
        </w:rPr>
        <w:t>≥</w:t>
      </w:r>
      <w:r>
        <w:rPr>
          <w:position w:val="1"/>
        </w:rPr>
        <w:t>0.</w:t>
      </w:r>
      <w:r>
        <w:rPr>
          <w:spacing w:val="-3"/>
          <w:position w:val="1"/>
        </w:rPr>
        <w:t>7</w:t>
      </w:r>
      <w:r>
        <w:rPr>
          <w:position w:val="1"/>
        </w:rPr>
        <w:t>（</w:t>
      </w:r>
      <w:r>
        <w:rPr>
          <w:position w:val="1"/>
        </w:rPr>
        <w:t>MP</w:t>
      </w:r>
      <w:r>
        <w:rPr>
          <w:spacing w:val="-3"/>
          <w:position w:val="1"/>
        </w:rPr>
        <w:t>a</w:t>
      </w:r>
      <w:r>
        <w:rPr>
          <w:spacing w:val="-3"/>
          <w:position w:val="1"/>
        </w:rPr>
        <w:t>，绝对压力</w:t>
      </w:r>
      <w:r>
        <w:rPr>
          <w:spacing w:val="-106"/>
          <w:position w:val="1"/>
        </w:rPr>
        <w:t>）</w:t>
      </w:r>
      <w:r>
        <w:rPr>
          <w:spacing w:val="-3"/>
          <w:position w:val="1"/>
        </w:rPr>
        <w:t>；</w:t>
      </w:r>
      <w:r>
        <w:rPr>
          <w:position w:val="1"/>
        </w:rPr>
        <w:t xml:space="preserve"> </w:t>
      </w:r>
    </w:p>
    <w:p w14:paraId="56D4CDE6" w14:textId="77777777" w:rsidR="00A71EEF" w:rsidRDefault="0081115D">
      <w:pPr>
        <w:pStyle w:val="a3"/>
        <w:spacing w:before="152" w:after="106" w:line="436" w:lineRule="auto"/>
        <w:ind w:left="840" w:right="4551" w:hanging="3"/>
      </w:pPr>
      <w:r>
        <w:rPr>
          <w:spacing w:val="-8"/>
          <w:position w:val="1"/>
        </w:rPr>
        <w:t>三级增压储存容器的系统</w:t>
      </w:r>
      <w:r>
        <w:rPr>
          <w:spacing w:val="-8"/>
          <w:position w:val="1"/>
        </w:rPr>
        <w:t xml:space="preserve"> </w:t>
      </w:r>
      <w:r>
        <w:rPr>
          <w:i/>
          <w:position w:val="1"/>
          <w:sz w:val="22"/>
        </w:rPr>
        <w:t>P</w:t>
      </w:r>
      <w:r>
        <w:rPr>
          <w:sz w:val="11"/>
        </w:rPr>
        <w:t>c</w:t>
      </w:r>
      <w:r>
        <w:rPr>
          <w:spacing w:val="54"/>
          <w:position w:val="1"/>
          <w:sz w:val="11"/>
        </w:rPr>
        <w:t xml:space="preserve"> </w:t>
      </w:r>
      <w:r>
        <w:rPr>
          <w:position w:val="1"/>
        </w:rPr>
        <w:t>≥0.8</w:t>
      </w:r>
      <w:r>
        <w:rPr>
          <w:position w:val="1"/>
        </w:rPr>
        <w:t>（</w:t>
      </w:r>
      <w:r>
        <w:rPr>
          <w:position w:val="1"/>
        </w:rPr>
        <w:t>MPa</w:t>
      </w:r>
      <w:r>
        <w:rPr>
          <w:spacing w:val="-3"/>
          <w:position w:val="1"/>
        </w:rPr>
        <w:t>，绝对压力</w:t>
      </w:r>
      <w:r>
        <w:rPr>
          <w:spacing w:val="-106"/>
          <w:position w:val="1"/>
        </w:rPr>
        <w:t>）</w:t>
      </w:r>
      <w:r>
        <w:rPr>
          <w:spacing w:val="-3"/>
          <w:position w:val="1"/>
        </w:rPr>
        <w:t>。</w:t>
      </w:r>
      <w:r>
        <w:rPr>
          <w:b/>
        </w:rPr>
        <w:t xml:space="preserve">3.3.17 </w:t>
      </w:r>
      <w:r>
        <w:rPr>
          <w:spacing w:val="-3"/>
        </w:rPr>
        <w:t>喷头等效孔口面积应按下式计算：</w:t>
      </w:r>
      <w:r>
        <w:t xml:space="preserve"> </w:t>
      </w:r>
    </w:p>
    <w:p w14:paraId="3CEBDC14" w14:textId="77777777" w:rsidR="00A71EEF" w:rsidRDefault="0081115D">
      <w:pPr>
        <w:pStyle w:val="a3"/>
        <w:ind w:left="1033"/>
        <w:rPr>
          <w:sz w:val="20"/>
        </w:rPr>
      </w:pPr>
      <w:r>
        <w:rPr>
          <w:noProof/>
          <w:sz w:val="20"/>
        </w:rPr>
        <w:drawing>
          <wp:inline distT="0" distB="0" distL="0" distR="0" wp14:anchorId="6330F271" wp14:editId="67D1CD6A">
            <wp:extent cx="2362199" cy="390525"/>
            <wp:effectExtent l="0" t="0" r="0" b="0"/>
            <wp:docPr id="307" name="image1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190.jpeg"/>
                    <pic:cNvPicPr/>
                  </pic:nvPicPr>
                  <pic:blipFill>
                    <a:blip r:embed="rId226" cstate="print"/>
                    <a:stretch>
                      <a:fillRect/>
                    </a:stretch>
                  </pic:blipFill>
                  <pic:spPr>
                    <a:xfrm>
                      <a:off x="0" y="0"/>
                      <a:ext cx="2362199" cy="390525"/>
                    </a:xfrm>
                    <a:prstGeom prst="rect">
                      <a:avLst/>
                    </a:prstGeom>
                  </pic:spPr>
                </pic:pic>
              </a:graphicData>
            </a:graphic>
          </wp:inline>
        </w:drawing>
      </w:r>
    </w:p>
    <w:p w14:paraId="3F66B7D8" w14:textId="77777777" w:rsidR="00A71EEF" w:rsidRDefault="00A71EEF">
      <w:pPr>
        <w:rPr>
          <w:sz w:val="20"/>
        </w:rPr>
        <w:sectPr w:rsidR="00A71EEF">
          <w:footerReference w:type="default" r:id="rId227"/>
          <w:pgSz w:w="11910" w:h="16850"/>
          <w:pgMar w:top="1200" w:right="0" w:bottom="1420" w:left="1260" w:header="0" w:footer="1239" w:gutter="0"/>
          <w:pgNumType w:start="1120"/>
          <w:cols w:space="720"/>
        </w:sectPr>
      </w:pPr>
    </w:p>
    <w:p w14:paraId="62A7A55F" w14:textId="77777777" w:rsidR="00A71EEF" w:rsidRDefault="0081115D">
      <w:pPr>
        <w:pStyle w:val="a3"/>
        <w:spacing w:before="57"/>
        <w:ind w:left="838"/>
      </w:pPr>
      <w:r>
        <w:rPr>
          <w:position w:val="1"/>
        </w:rPr>
        <w:t>式中</w:t>
      </w:r>
      <w:r>
        <w:rPr>
          <w:position w:val="1"/>
        </w:rPr>
        <w:t xml:space="preserve"> </w:t>
      </w:r>
      <w:r>
        <w:rPr>
          <w:i/>
          <w:spacing w:val="-3"/>
          <w:w w:val="96"/>
          <w:position w:val="1"/>
          <w:sz w:val="22"/>
        </w:rPr>
        <w:t>F</w:t>
      </w:r>
      <w:r>
        <w:rPr>
          <w:i/>
          <w:sz w:val="11"/>
        </w:rPr>
        <w:t>c</w:t>
      </w:r>
      <w:r>
        <w:rPr>
          <w:i/>
          <w:spacing w:val="-3"/>
          <w:w w:val="96"/>
          <w:position w:val="1"/>
          <w:sz w:val="22"/>
        </w:rPr>
        <w:t>—</w:t>
      </w:r>
      <w:r>
        <w:rPr>
          <w:spacing w:val="-3"/>
          <w:position w:val="1"/>
        </w:rPr>
        <w:t>—</w:t>
      </w:r>
      <w:r>
        <w:rPr>
          <w:spacing w:val="-3"/>
          <w:position w:val="1"/>
        </w:rPr>
        <w:t>喷头等效孔口面积（</w:t>
      </w:r>
      <w:r>
        <w:rPr>
          <w:position w:val="1"/>
        </w:rPr>
        <w:t>cm²</w:t>
      </w:r>
      <w:r>
        <w:rPr>
          <w:spacing w:val="-108"/>
          <w:position w:val="1"/>
        </w:rPr>
        <w:t>）</w:t>
      </w:r>
      <w:r>
        <w:rPr>
          <w:spacing w:val="-3"/>
          <w:position w:val="1"/>
        </w:rPr>
        <w:t>；</w:t>
      </w:r>
      <w:r>
        <w:rPr>
          <w:position w:val="1"/>
        </w:rPr>
        <w:t xml:space="preserve"> </w:t>
      </w:r>
    </w:p>
    <w:p w14:paraId="5480076D" w14:textId="77777777" w:rsidR="00A71EEF" w:rsidRDefault="00A71EEF">
      <w:pPr>
        <w:pStyle w:val="a3"/>
        <w:rPr>
          <w:sz w:val="17"/>
        </w:rPr>
      </w:pPr>
    </w:p>
    <w:p w14:paraId="4EA9B93D" w14:textId="77777777" w:rsidR="00A71EEF" w:rsidRDefault="0081115D">
      <w:pPr>
        <w:pStyle w:val="a3"/>
        <w:ind w:left="838"/>
      </w:pPr>
      <w:r>
        <w:rPr>
          <w:i/>
          <w:position w:val="1"/>
          <w:sz w:val="22"/>
        </w:rPr>
        <w:t>q</w:t>
      </w:r>
      <w:r>
        <w:rPr>
          <w:i/>
          <w:sz w:val="11"/>
        </w:rPr>
        <w:t>c</w:t>
      </w:r>
      <w:r>
        <w:rPr>
          <w:position w:val="1"/>
        </w:rPr>
        <w:t>——</w:t>
      </w:r>
      <w:r>
        <w:rPr>
          <w:position w:val="1"/>
        </w:rPr>
        <w:t>等效孔口单位面积喷射率</w:t>
      </w:r>
      <w:r>
        <w:rPr>
          <w:position w:val="1"/>
        </w:rPr>
        <w:t>[kg/</w:t>
      </w:r>
      <w:r>
        <w:rPr>
          <w:position w:val="1"/>
        </w:rPr>
        <w:t>（</w:t>
      </w:r>
      <w:r>
        <w:rPr>
          <w:position w:val="1"/>
        </w:rPr>
        <w:t>s</w:t>
      </w:r>
      <w:r>
        <w:rPr>
          <w:rFonts w:ascii="MS Gothic" w:eastAsia="MS Gothic" w:hAnsi="MS Gothic" w:hint="eastAsia"/>
          <w:position w:val="1"/>
        </w:rPr>
        <w:t>▪</w:t>
      </w:r>
      <w:r>
        <w:rPr>
          <w:position w:val="1"/>
        </w:rPr>
        <w:t>cm²</w:t>
      </w:r>
      <w:r>
        <w:rPr>
          <w:position w:val="1"/>
        </w:rPr>
        <w:t>）</w:t>
      </w:r>
      <w:r>
        <w:rPr>
          <w:position w:val="1"/>
        </w:rPr>
        <w:t>]</w:t>
      </w:r>
      <w:r>
        <w:rPr>
          <w:position w:val="1"/>
        </w:rPr>
        <w:t>，可按本规范附录</w:t>
      </w:r>
      <w:r>
        <w:rPr>
          <w:position w:val="1"/>
        </w:rPr>
        <w:t xml:space="preserve"> C </w:t>
      </w:r>
      <w:r>
        <w:rPr>
          <w:position w:val="1"/>
        </w:rPr>
        <w:t>采用。</w:t>
      </w:r>
      <w:r>
        <w:rPr>
          <w:position w:val="1"/>
        </w:rPr>
        <w:t xml:space="preserve"> </w:t>
      </w:r>
    </w:p>
    <w:p w14:paraId="60342E6D" w14:textId="77777777" w:rsidR="00A71EEF" w:rsidRDefault="00A71EEF">
      <w:pPr>
        <w:pStyle w:val="a3"/>
        <w:spacing w:before="10"/>
        <w:rPr>
          <w:sz w:val="17"/>
        </w:rPr>
      </w:pPr>
    </w:p>
    <w:p w14:paraId="4CE6008F" w14:textId="77777777" w:rsidR="00A71EEF" w:rsidRDefault="0081115D">
      <w:pPr>
        <w:pStyle w:val="a3"/>
        <w:ind w:left="840"/>
      </w:pPr>
      <w:r>
        <w:rPr>
          <w:b/>
        </w:rPr>
        <w:t xml:space="preserve">3.3.18 </w:t>
      </w:r>
      <w:r>
        <w:t>喷头的实际孔口面积，应经试验确定，喷头规格应符合本规范附录</w:t>
      </w:r>
      <w:r>
        <w:t xml:space="preserve"> D </w:t>
      </w:r>
      <w:r>
        <w:t>的规定。</w:t>
      </w:r>
      <w:r>
        <w:t xml:space="preserve"> </w:t>
      </w:r>
    </w:p>
    <w:p w14:paraId="2EB05C8B" w14:textId="77777777" w:rsidR="00A71EEF" w:rsidRDefault="00A71EEF">
      <w:pPr>
        <w:pStyle w:val="a3"/>
        <w:spacing w:before="1"/>
        <w:rPr>
          <w:sz w:val="18"/>
        </w:rPr>
      </w:pPr>
    </w:p>
    <w:p w14:paraId="3EDB1E3B" w14:textId="77777777" w:rsidR="00A71EEF" w:rsidRDefault="0081115D">
      <w:pPr>
        <w:pStyle w:val="a4"/>
        <w:numPr>
          <w:ilvl w:val="1"/>
          <w:numId w:val="633"/>
        </w:numPr>
        <w:tabs>
          <w:tab w:val="left" w:pos="1160"/>
        </w:tabs>
        <w:spacing w:before="1"/>
        <w:ind w:left="1159" w:hanging="320"/>
        <w:jc w:val="both"/>
        <w:rPr>
          <w:b/>
          <w:sz w:val="21"/>
        </w:rPr>
      </w:pPr>
      <w:r>
        <w:rPr>
          <w:sz w:val="21"/>
        </w:rPr>
        <w:t>IG541</w:t>
      </w:r>
      <w:r>
        <w:rPr>
          <w:spacing w:val="-9"/>
          <w:sz w:val="21"/>
        </w:rPr>
        <w:t xml:space="preserve"> </w:t>
      </w:r>
      <w:r>
        <w:rPr>
          <w:spacing w:val="-9"/>
          <w:sz w:val="21"/>
        </w:rPr>
        <w:t>混合气体灭火系统</w:t>
      </w:r>
      <w:r>
        <w:rPr>
          <w:b/>
          <w:w w:val="99"/>
          <w:sz w:val="21"/>
        </w:rPr>
        <w:t xml:space="preserve"> </w:t>
      </w:r>
    </w:p>
    <w:p w14:paraId="7723A030" w14:textId="77777777" w:rsidR="00A71EEF" w:rsidRDefault="00A71EEF">
      <w:pPr>
        <w:pStyle w:val="a3"/>
        <w:spacing w:before="12"/>
        <w:rPr>
          <w:b/>
          <w:sz w:val="17"/>
        </w:rPr>
      </w:pPr>
    </w:p>
    <w:p w14:paraId="2CC53AB7" w14:textId="77777777" w:rsidR="00A71EEF" w:rsidRDefault="0081115D">
      <w:pPr>
        <w:pStyle w:val="a4"/>
        <w:numPr>
          <w:ilvl w:val="2"/>
          <w:numId w:val="633"/>
        </w:numPr>
        <w:tabs>
          <w:tab w:val="left" w:pos="1371"/>
        </w:tabs>
        <w:spacing w:line="446" w:lineRule="auto"/>
        <w:ind w:right="1431" w:firstLine="422"/>
        <w:jc w:val="both"/>
        <w:rPr>
          <w:sz w:val="21"/>
        </w:rPr>
      </w:pPr>
      <w:r>
        <w:rPr>
          <w:sz w:val="21"/>
        </w:rPr>
        <w:t>IG541</w:t>
      </w:r>
      <w:r>
        <w:rPr>
          <w:spacing w:val="-11"/>
          <w:sz w:val="21"/>
        </w:rPr>
        <w:t xml:space="preserve"> </w:t>
      </w:r>
      <w:r>
        <w:rPr>
          <w:spacing w:val="-11"/>
          <w:sz w:val="21"/>
        </w:rPr>
        <w:t>混合气体灭火系统的灭火设计浓度不应小于灭火浓度的</w:t>
      </w:r>
      <w:r>
        <w:rPr>
          <w:spacing w:val="-11"/>
          <w:sz w:val="21"/>
        </w:rPr>
        <w:t xml:space="preserve"> </w:t>
      </w:r>
      <w:r>
        <w:rPr>
          <w:sz w:val="21"/>
        </w:rPr>
        <w:t>1.3</w:t>
      </w:r>
      <w:r>
        <w:rPr>
          <w:spacing w:val="-8"/>
          <w:sz w:val="21"/>
        </w:rPr>
        <w:t xml:space="preserve"> </w:t>
      </w:r>
      <w:r>
        <w:rPr>
          <w:spacing w:val="-8"/>
          <w:sz w:val="21"/>
        </w:rPr>
        <w:t>倍，惰化设计浓度</w:t>
      </w:r>
      <w:r>
        <w:rPr>
          <w:spacing w:val="-10"/>
          <w:sz w:val="21"/>
        </w:rPr>
        <w:t>不应小于惰化浓度的</w:t>
      </w:r>
      <w:r>
        <w:rPr>
          <w:spacing w:val="-10"/>
          <w:sz w:val="21"/>
        </w:rPr>
        <w:t xml:space="preserve"> </w:t>
      </w:r>
      <w:r>
        <w:rPr>
          <w:sz w:val="21"/>
        </w:rPr>
        <w:t>1.1</w:t>
      </w:r>
      <w:r>
        <w:rPr>
          <w:spacing w:val="-19"/>
          <w:sz w:val="21"/>
        </w:rPr>
        <w:t xml:space="preserve"> </w:t>
      </w:r>
      <w:r>
        <w:rPr>
          <w:spacing w:val="-19"/>
          <w:sz w:val="21"/>
        </w:rPr>
        <w:t>倍。</w:t>
      </w:r>
      <w:r>
        <w:rPr>
          <w:sz w:val="21"/>
        </w:rPr>
        <w:t xml:space="preserve"> </w:t>
      </w:r>
    </w:p>
    <w:p w14:paraId="256A39E7" w14:textId="77777777" w:rsidR="00A71EEF" w:rsidRDefault="0081115D">
      <w:pPr>
        <w:pStyle w:val="a4"/>
        <w:numPr>
          <w:ilvl w:val="2"/>
          <w:numId w:val="633"/>
        </w:numPr>
        <w:tabs>
          <w:tab w:val="left" w:pos="1371"/>
        </w:tabs>
        <w:spacing w:line="446" w:lineRule="auto"/>
        <w:ind w:right="1433" w:firstLine="422"/>
        <w:jc w:val="both"/>
        <w:rPr>
          <w:sz w:val="21"/>
        </w:rPr>
      </w:pPr>
      <w:r>
        <w:rPr>
          <w:spacing w:val="-7"/>
          <w:sz w:val="21"/>
        </w:rPr>
        <w:t>固体表面火灾的灭火浓度为</w:t>
      </w:r>
      <w:r>
        <w:rPr>
          <w:spacing w:val="-7"/>
          <w:sz w:val="21"/>
        </w:rPr>
        <w:t xml:space="preserve"> </w:t>
      </w:r>
      <w:r>
        <w:rPr>
          <w:sz w:val="21"/>
        </w:rPr>
        <w:t>28.1</w:t>
      </w:r>
      <w:r>
        <w:rPr>
          <w:spacing w:val="-6"/>
          <w:sz w:val="21"/>
        </w:rPr>
        <w:t>%</w:t>
      </w:r>
      <w:r>
        <w:rPr>
          <w:spacing w:val="-6"/>
          <w:sz w:val="21"/>
        </w:rPr>
        <w:t>，其他灭火浓度可按本规范附录</w:t>
      </w:r>
      <w:r>
        <w:rPr>
          <w:spacing w:val="-6"/>
          <w:sz w:val="21"/>
        </w:rPr>
        <w:t xml:space="preserve"> </w:t>
      </w:r>
      <w:r>
        <w:rPr>
          <w:sz w:val="21"/>
        </w:rPr>
        <w:t>A</w:t>
      </w:r>
      <w:r>
        <w:rPr>
          <w:spacing w:val="-25"/>
          <w:sz w:val="21"/>
        </w:rPr>
        <w:t xml:space="preserve"> </w:t>
      </w:r>
      <w:r>
        <w:rPr>
          <w:spacing w:val="-25"/>
          <w:sz w:val="21"/>
        </w:rPr>
        <w:t>中表</w:t>
      </w:r>
      <w:r>
        <w:rPr>
          <w:spacing w:val="-25"/>
          <w:sz w:val="21"/>
        </w:rPr>
        <w:t xml:space="preserve"> </w:t>
      </w:r>
      <w:r>
        <w:rPr>
          <w:sz w:val="21"/>
        </w:rPr>
        <w:t>A-3</w:t>
      </w:r>
      <w:r>
        <w:rPr>
          <w:spacing w:val="-15"/>
          <w:sz w:val="21"/>
        </w:rPr>
        <w:t xml:space="preserve"> </w:t>
      </w:r>
      <w:r>
        <w:rPr>
          <w:spacing w:val="-15"/>
          <w:sz w:val="21"/>
        </w:rPr>
        <w:t>的规定</w:t>
      </w:r>
      <w:r>
        <w:rPr>
          <w:spacing w:val="-7"/>
          <w:sz w:val="21"/>
        </w:rPr>
        <w:t>取值，惰化浓度可按本规范附录</w:t>
      </w:r>
      <w:r>
        <w:rPr>
          <w:spacing w:val="-7"/>
          <w:sz w:val="21"/>
        </w:rPr>
        <w:t xml:space="preserve"> </w:t>
      </w:r>
      <w:r>
        <w:rPr>
          <w:sz w:val="21"/>
        </w:rPr>
        <w:t>A</w:t>
      </w:r>
      <w:r>
        <w:rPr>
          <w:spacing w:val="-24"/>
          <w:sz w:val="21"/>
        </w:rPr>
        <w:t xml:space="preserve"> </w:t>
      </w:r>
      <w:r>
        <w:rPr>
          <w:spacing w:val="-24"/>
          <w:sz w:val="21"/>
        </w:rPr>
        <w:t>中表</w:t>
      </w:r>
      <w:r>
        <w:rPr>
          <w:spacing w:val="-24"/>
          <w:sz w:val="21"/>
        </w:rPr>
        <w:t xml:space="preserve"> </w:t>
      </w:r>
      <w:r>
        <w:rPr>
          <w:sz w:val="21"/>
        </w:rPr>
        <w:t>A-4</w:t>
      </w:r>
      <w:r>
        <w:rPr>
          <w:spacing w:val="-5"/>
          <w:sz w:val="21"/>
        </w:rPr>
        <w:t xml:space="preserve"> </w:t>
      </w:r>
      <w:r>
        <w:rPr>
          <w:spacing w:val="-5"/>
          <w:sz w:val="21"/>
        </w:rPr>
        <w:t>的规定取值。本规范附录</w:t>
      </w:r>
      <w:r>
        <w:rPr>
          <w:sz w:val="21"/>
        </w:rPr>
        <w:t>A</w:t>
      </w:r>
      <w:r>
        <w:rPr>
          <w:spacing w:val="-9"/>
          <w:sz w:val="21"/>
        </w:rPr>
        <w:t xml:space="preserve"> </w:t>
      </w:r>
      <w:r>
        <w:rPr>
          <w:spacing w:val="-9"/>
          <w:sz w:val="21"/>
        </w:rPr>
        <w:t>中未列出的，应经试验确</w:t>
      </w:r>
      <w:r>
        <w:rPr>
          <w:spacing w:val="-6"/>
          <w:sz w:val="21"/>
        </w:rPr>
        <w:t>定。</w:t>
      </w:r>
      <w:r>
        <w:rPr>
          <w:sz w:val="21"/>
        </w:rPr>
        <w:t xml:space="preserve"> </w:t>
      </w:r>
    </w:p>
    <w:p w14:paraId="773C07F7" w14:textId="77777777" w:rsidR="00A71EEF" w:rsidRDefault="0081115D">
      <w:pPr>
        <w:pStyle w:val="a4"/>
        <w:numPr>
          <w:ilvl w:val="2"/>
          <w:numId w:val="633"/>
        </w:numPr>
        <w:tabs>
          <w:tab w:val="left" w:pos="1371"/>
        </w:tabs>
        <w:spacing w:line="446" w:lineRule="auto"/>
        <w:ind w:right="1433" w:firstLine="422"/>
        <w:jc w:val="both"/>
        <w:rPr>
          <w:sz w:val="21"/>
        </w:rPr>
      </w:pPr>
      <w:r>
        <w:rPr>
          <w:b/>
          <w:spacing w:val="-23"/>
          <w:sz w:val="21"/>
        </w:rPr>
        <w:t>当</w:t>
      </w:r>
      <w:r>
        <w:rPr>
          <w:b/>
          <w:spacing w:val="-23"/>
          <w:sz w:val="21"/>
        </w:rPr>
        <w:t xml:space="preserve"> </w:t>
      </w:r>
      <w:r>
        <w:rPr>
          <w:b/>
          <w:sz w:val="21"/>
        </w:rPr>
        <w:t>I</w:t>
      </w:r>
      <w:r>
        <w:rPr>
          <w:sz w:val="21"/>
        </w:rPr>
        <w:t>G541</w:t>
      </w:r>
      <w:r>
        <w:rPr>
          <w:spacing w:val="-11"/>
          <w:sz w:val="21"/>
        </w:rPr>
        <w:t xml:space="preserve"> </w:t>
      </w:r>
      <w:r>
        <w:rPr>
          <w:spacing w:val="-11"/>
          <w:sz w:val="21"/>
        </w:rPr>
        <w:t>混合气体灭火剂喷放至设计用量的</w:t>
      </w:r>
      <w:r>
        <w:rPr>
          <w:spacing w:val="-11"/>
          <w:sz w:val="21"/>
        </w:rPr>
        <w:t xml:space="preserve"> </w:t>
      </w:r>
      <w:r>
        <w:rPr>
          <w:sz w:val="21"/>
        </w:rPr>
        <w:t>95%</w:t>
      </w:r>
      <w:r>
        <w:rPr>
          <w:spacing w:val="-7"/>
          <w:sz w:val="21"/>
        </w:rPr>
        <w:t>时，其喷放时间不应大于</w:t>
      </w:r>
      <w:r>
        <w:rPr>
          <w:spacing w:val="-7"/>
          <w:sz w:val="21"/>
        </w:rPr>
        <w:t xml:space="preserve"> </w:t>
      </w:r>
      <w:r>
        <w:rPr>
          <w:sz w:val="21"/>
        </w:rPr>
        <w:t>60s</w:t>
      </w:r>
      <w:r>
        <w:rPr>
          <w:spacing w:val="-2"/>
          <w:sz w:val="21"/>
        </w:rPr>
        <w:t>，且不</w:t>
      </w:r>
      <w:r>
        <w:rPr>
          <w:spacing w:val="-15"/>
          <w:sz w:val="21"/>
        </w:rPr>
        <w:t>应小于</w:t>
      </w:r>
      <w:r>
        <w:rPr>
          <w:spacing w:val="-15"/>
          <w:sz w:val="21"/>
        </w:rPr>
        <w:t xml:space="preserve"> </w:t>
      </w:r>
      <w:r>
        <w:rPr>
          <w:sz w:val="21"/>
        </w:rPr>
        <w:t>48s</w:t>
      </w:r>
      <w:r>
        <w:rPr>
          <w:spacing w:val="-3"/>
          <w:sz w:val="21"/>
        </w:rPr>
        <w:t>。</w:t>
      </w:r>
      <w:r>
        <w:rPr>
          <w:sz w:val="21"/>
        </w:rPr>
        <w:t xml:space="preserve"> </w:t>
      </w:r>
    </w:p>
    <w:p w14:paraId="550A7FA5" w14:textId="77777777" w:rsidR="00A71EEF" w:rsidRDefault="0081115D">
      <w:pPr>
        <w:pStyle w:val="a4"/>
        <w:numPr>
          <w:ilvl w:val="2"/>
          <w:numId w:val="633"/>
        </w:numPr>
        <w:tabs>
          <w:tab w:val="left" w:pos="1370"/>
        </w:tabs>
        <w:spacing w:line="267" w:lineRule="exact"/>
        <w:ind w:left="1369" w:hanging="530"/>
        <w:rPr>
          <w:sz w:val="21"/>
        </w:rPr>
      </w:pPr>
      <w:r>
        <w:rPr>
          <w:spacing w:val="-3"/>
          <w:sz w:val="21"/>
        </w:rPr>
        <w:t>灭火浸渍时间应符合下列规定：</w:t>
      </w:r>
      <w:r>
        <w:rPr>
          <w:sz w:val="21"/>
        </w:rPr>
        <w:t xml:space="preserve"> </w:t>
      </w:r>
    </w:p>
    <w:p w14:paraId="0ECFD2F5" w14:textId="77777777" w:rsidR="00A71EEF" w:rsidRDefault="00A71EEF">
      <w:pPr>
        <w:pStyle w:val="a3"/>
        <w:spacing w:before="1"/>
        <w:rPr>
          <w:sz w:val="18"/>
        </w:rPr>
      </w:pPr>
    </w:p>
    <w:p w14:paraId="55DCB7B3" w14:textId="77777777" w:rsidR="00A71EEF" w:rsidRDefault="0081115D">
      <w:pPr>
        <w:pStyle w:val="a4"/>
        <w:numPr>
          <w:ilvl w:val="0"/>
          <w:numId w:val="621"/>
        </w:numPr>
        <w:tabs>
          <w:tab w:val="left" w:pos="1367"/>
        </w:tabs>
        <w:jc w:val="both"/>
        <w:rPr>
          <w:sz w:val="21"/>
        </w:rPr>
      </w:pPr>
      <w:r>
        <w:rPr>
          <w:spacing w:val="-6"/>
          <w:sz w:val="21"/>
        </w:rPr>
        <w:t>木材、纸张、织物等固体表面火灾，宜采用</w:t>
      </w:r>
      <w:r>
        <w:rPr>
          <w:spacing w:val="-6"/>
          <w:sz w:val="21"/>
        </w:rPr>
        <w:t xml:space="preserve"> </w:t>
      </w:r>
      <w:r>
        <w:rPr>
          <w:sz w:val="21"/>
        </w:rPr>
        <w:t>20min</w:t>
      </w:r>
      <w:r>
        <w:rPr>
          <w:sz w:val="21"/>
        </w:rPr>
        <w:t>；</w:t>
      </w:r>
      <w:r>
        <w:rPr>
          <w:sz w:val="21"/>
        </w:rPr>
        <w:t xml:space="preserve"> </w:t>
      </w:r>
    </w:p>
    <w:p w14:paraId="0F803ECC" w14:textId="77777777" w:rsidR="00A71EEF" w:rsidRDefault="00A71EEF">
      <w:pPr>
        <w:pStyle w:val="a3"/>
        <w:rPr>
          <w:sz w:val="18"/>
        </w:rPr>
      </w:pPr>
    </w:p>
    <w:p w14:paraId="45F5D9BF" w14:textId="77777777" w:rsidR="00A71EEF" w:rsidRDefault="0081115D">
      <w:pPr>
        <w:pStyle w:val="a4"/>
        <w:numPr>
          <w:ilvl w:val="0"/>
          <w:numId w:val="621"/>
        </w:numPr>
        <w:tabs>
          <w:tab w:val="left" w:pos="1367"/>
        </w:tabs>
        <w:rPr>
          <w:sz w:val="21"/>
        </w:rPr>
      </w:pPr>
      <w:r>
        <w:rPr>
          <w:spacing w:val="-6"/>
          <w:sz w:val="21"/>
        </w:rPr>
        <w:t>通信机房、电子计算机房内的电气设备火灾，宜采用</w:t>
      </w:r>
      <w:r>
        <w:rPr>
          <w:spacing w:val="-6"/>
          <w:sz w:val="21"/>
        </w:rPr>
        <w:t xml:space="preserve"> </w:t>
      </w:r>
      <w:r>
        <w:rPr>
          <w:sz w:val="21"/>
        </w:rPr>
        <w:t>10min</w:t>
      </w:r>
      <w:r>
        <w:rPr>
          <w:sz w:val="21"/>
        </w:rPr>
        <w:t>；</w:t>
      </w:r>
      <w:r>
        <w:rPr>
          <w:sz w:val="21"/>
        </w:rPr>
        <w:t xml:space="preserve"> </w:t>
      </w:r>
    </w:p>
    <w:p w14:paraId="03AF52BA" w14:textId="77777777" w:rsidR="00A71EEF" w:rsidRDefault="00A71EEF">
      <w:pPr>
        <w:pStyle w:val="a3"/>
        <w:spacing w:before="12"/>
        <w:rPr>
          <w:sz w:val="17"/>
        </w:rPr>
      </w:pPr>
    </w:p>
    <w:p w14:paraId="780550FB" w14:textId="77777777" w:rsidR="00A71EEF" w:rsidRDefault="0081115D">
      <w:pPr>
        <w:pStyle w:val="a4"/>
        <w:numPr>
          <w:ilvl w:val="0"/>
          <w:numId w:val="621"/>
        </w:numPr>
        <w:tabs>
          <w:tab w:val="left" w:pos="1367"/>
        </w:tabs>
        <w:spacing w:line="446" w:lineRule="auto"/>
        <w:ind w:left="840" w:right="5867" w:hanging="3"/>
        <w:rPr>
          <w:sz w:val="21"/>
        </w:rPr>
      </w:pPr>
      <w:r>
        <w:rPr>
          <w:spacing w:val="-7"/>
          <w:sz w:val="21"/>
        </w:rPr>
        <w:t>其他固体表面火灾，宜采用</w:t>
      </w:r>
      <w:r>
        <w:rPr>
          <w:spacing w:val="-7"/>
          <w:sz w:val="21"/>
        </w:rPr>
        <w:t xml:space="preserve"> </w:t>
      </w:r>
      <w:r>
        <w:rPr>
          <w:sz w:val="21"/>
        </w:rPr>
        <w:t>10min</w:t>
      </w:r>
      <w:r>
        <w:rPr>
          <w:spacing w:val="-3"/>
          <w:sz w:val="21"/>
        </w:rPr>
        <w:t>。</w:t>
      </w:r>
      <w:r>
        <w:rPr>
          <w:b/>
          <w:sz w:val="21"/>
        </w:rPr>
        <w:t>3.4.5</w:t>
      </w:r>
      <w:r>
        <w:rPr>
          <w:b/>
          <w:spacing w:val="8"/>
          <w:sz w:val="21"/>
        </w:rPr>
        <w:t xml:space="preserve"> </w:t>
      </w:r>
      <w:r>
        <w:rPr>
          <w:spacing w:val="-3"/>
          <w:sz w:val="21"/>
        </w:rPr>
        <w:t>储存容器充装量应符合下列规定：</w:t>
      </w:r>
      <w:r>
        <w:rPr>
          <w:sz w:val="21"/>
        </w:rPr>
        <w:t xml:space="preserve"> </w:t>
      </w:r>
    </w:p>
    <w:p w14:paraId="7F009BD9" w14:textId="77777777" w:rsidR="00A71EEF" w:rsidRDefault="0081115D">
      <w:pPr>
        <w:pStyle w:val="a4"/>
        <w:numPr>
          <w:ilvl w:val="0"/>
          <w:numId w:val="620"/>
        </w:numPr>
        <w:tabs>
          <w:tab w:val="left" w:pos="1367"/>
        </w:tabs>
        <w:rPr>
          <w:sz w:val="21"/>
        </w:rPr>
      </w:pPr>
      <w:r>
        <w:rPr>
          <w:spacing w:val="-3"/>
          <w:sz w:val="21"/>
        </w:rPr>
        <w:t>一级充压</w:t>
      </w:r>
      <w:r>
        <w:rPr>
          <w:sz w:val="21"/>
        </w:rPr>
        <w:t>（</w:t>
      </w:r>
      <w:r>
        <w:rPr>
          <w:sz w:val="21"/>
        </w:rPr>
        <w:t>15.0MPa</w:t>
      </w:r>
      <w:r>
        <w:rPr>
          <w:sz w:val="21"/>
        </w:rPr>
        <w:t>）</w:t>
      </w:r>
      <w:r>
        <w:rPr>
          <w:spacing w:val="-9"/>
          <w:sz w:val="21"/>
        </w:rPr>
        <w:t>系统，充装量应为</w:t>
      </w:r>
      <w:r>
        <w:rPr>
          <w:spacing w:val="-9"/>
          <w:sz w:val="21"/>
        </w:rPr>
        <w:t xml:space="preserve"> </w:t>
      </w:r>
      <w:r>
        <w:rPr>
          <w:sz w:val="21"/>
        </w:rPr>
        <w:t>211.15kg/m³</w:t>
      </w:r>
      <w:r>
        <w:rPr>
          <w:sz w:val="21"/>
        </w:rPr>
        <w:t>；</w:t>
      </w:r>
      <w:r>
        <w:rPr>
          <w:sz w:val="21"/>
        </w:rPr>
        <w:t xml:space="preserve"> </w:t>
      </w:r>
    </w:p>
    <w:p w14:paraId="5567DEF9" w14:textId="77777777" w:rsidR="00A71EEF" w:rsidRDefault="00A71EEF">
      <w:pPr>
        <w:pStyle w:val="a3"/>
        <w:spacing w:before="12"/>
        <w:rPr>
          <w:sz w:val="17"/>
        </w:rPr>
      </w:pPr>
    </w:p>
    <w:p w14:paraId="0CE1DC23" w14:textId="77777777" w:rsidR="00A71EEF" w:rsidRDefault="0081115D">
      <w:pPr>
        <w:pStyle w:val="a4"/>
        <w:numPr>
          <w:ilvl w:val="0"/>
          <w:numId w:val="620"/>
        </w:numPr>
        <w:tabs>
          <w:tab w:val="left" w:pos="1367"/>
        </w:tabs>
        <w:spacing w:line="446" w:lineRule="auto"/>
        <w:ind w:left="840" w:right="4081" w:hanging="3"/>
        <w:rPr>
          <w:sz w:val="21"/>
        </w:rPr>
      </w:pPr>
      <w:r>
        <w:rPr>
          <w:spacing w:val="-3"/>
          <w:sz w:val="21"/>
        </w:rPr>
        <w:t>二级充压</w:t>
      </w:r>
      <w:r>
        <w:rPr>
          <w:sz w:val="21"/>
        </w:rPr>
        <w:t>（</w:t>
      </w:r>
      <w:r>
        <w:rPr>
          <w:sz w:val="21"/>
        </w:rPr>
        <w:t>20.0MPa</w:t>
      </w:r>
      <w:r>
        <w:rPr>
          <w:sz w:val="21"/>
        </w:rPr>
        <w:t>）</w:t>
      </w:r>
      <w:r>
        <w:rPr>
          <w:spacing w:val="-9"/>
          <w:sz w:val="21"/>
        </w:rPr>
        <w:t>系统，充装量应为</w:t>
      </w:r>
      <w:r>
        <w:rPr>
          <w:spacing w:val="-9"/>
          <w:sz w:val="21"/>
        </w:rPr>
        <w:t xml:space="preserve"> </w:t>
      </w:r>
      <w:r>
        <w:rPr>
          <w:sz w:val="21"/>
        </w:rPr>
        <w:t>281.06kg/m³</w:t>
      </w:r>
      <w:r>
        <w:rPr>
          <w:spacing w:val="-3"/>
          <w:sz w:val="21"/>
        </w:rPr>
        <w:t>。</w:t>
      </w:r>
      <w:r>
        <w:rPr>
          <w:b/>
          <w:sz w:val="21"/>
        </w:rPr>
        <w:t>3.4.6</w:t>
      </w:r>
      <w:r>
        <w:rPr>
          <w:b/>
          <w:spacing w:val="3"/>
          <w:sz w:val="21"/>
        </w:rPr>
        <w:t xml:space="preserve"> </w:t>
      </w:r>
      <w:r>
        <w:rPr>
          <w:spacing w:val="-3"/>
          <w:sz w:val="21"/>
        </w:rPr>
        <w:t>防护区的泄压口面积，宜按下式计算：</w:t>
      </w:r>
      <w:r>
        <w:rPr>
          <w:sz w:val="21"/>
        </w:rPr>
        <w:t xml:space="preserve"> </w:t>
      </w:r>
    </w:p>
    <w:p w14:paraId="4FC6F0D9" w14:textId="77777777" w:rsidR="00A71EEF" w:rsidRDefault="0081115D">
      <w:pPr>
        <w:pStyle w:val="a3"/>
        <w:rPr>
          <w:sz w:val="12"/>
        </w:rPr>
      </w:pPr>
      <w:r>
        <w:rPr>
          <w:noProof/>
        </w:rPr>
        <w:drawing>
          <wp:anchor distT="0" distB="0" distL="0" distR="0" simplePos="0" relativeHeight="251577856" behindDoc="0" locked="0" layoutInCell="1" allowOverlap="1" wp14:anchorId="76C238B7" wp14:editId="1406C330">
            <wp:simplePos x="0" y="0"/>
            <wp:positionH relativeFrom="page">
              <wp:posOffset>1957479</wp:posOffset>
            </wp:positionH>
            <wp:positionV relativeFrom="paragraph">
              <wp:posOffset>122955</wp:posOffset>
            </wp:positionV>
            <wp:extent cx="3428590" cy="447675"/>
            <wp:effectExtent l="0" t="0" r="0" b="0"/>
            <wp:wrapTopAndBottom/>
            <wp:docPr id="309" name="image1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191.jpeg"/>
                    <pic:cNvPicPr/>
                  </pic:nvPicPr>
                  <pic:blipFill>
                    <a:blip r:embed="rId228" cstate="print"/>
                    <a:stretch>
                      <a:fillRect/>
                    </a:stretch>
                  </pic:blipFill>
                  <pic:spPr>
                    <a:xfrm>
                      <a:off x="0" y="0"/>
                      <a:ext cx="3428590" cy="447675"/>
                    </a:xfrm>
                    <a:prstGeom prst="rect">
                      <a:avLst/>
                    </a:prstGeom>
                  </pic:spPr>
                </pic:pic>
              </a:graphicData>
            </a:graphic>
          </wp:anchor>
        </w:drawing>
      </w:r>
    </w:p>
    <w:p w14:paraId="1E128F46" w14:textId="77777777" w:rsidR="00A71EEF" w:rsidRDefault="0081115D">
      <w:pPr>
        <w:pStyle w:val="a3"/>
        <w:spacing w:before="169"/>
        <w:ind w:left="838"/>
      </w:pPr>
      <w:r>
        <w:rPr>
          <w:spacing w:val="-1"/>
          <w:position w:val="1"/>
        </w:rPr>
        <w:t>式中</w:t>
      </w:r>
      <w:r>
        <w:rPr>
          <w:spacing w:val="-1"/>
          <w:position w:val="1"/>
        </w:rPr>
        <w:t xml:space="preserve">  </w:t>
      </w:r>
      <w:r>
        <w:rPr>
          <w:i/>
          <w:w w:val="96"/>
          <w:position w:val="1"/>
          <w:sz w:val="22"/>
        </w:rPr>
        <w:t>F</w:t>
      </w:r>
      <w:r>
        <w:rPr>
          <w:i/>
          <w:sz w:val="11"/>
        </w:rPr>
        <w:t>x</w:t>
      </w:r>
      <w:r>
        <w:rPr>
          <w:spacing w:val="-3"/>
          <w:position w:val="1"/>
        </w:rPr>
        <w:t>——</w:t>
      </w:r>
      <w:r>
        <w:rPr>
          <w:spacing w:val="-3"/>
          <w:position w:val="1"/>
        </w:rPr>
        <w:t>泄压口面积</w:t>
      </w:r>
      <w:r>
        <w:rPr>
          <w:position w:val="1"/>
        </w:rPr>
        <w:t>（</w:t>
      </w:r>
      <w:r>
        <w:rPr>
          <w:position w:val="1"/>
        </w:rPr>
        <w:t>m²</w:t>
      </w:r>
      <w:r>
        <w:rPr>
          <w:spacing w:val="-108"/>
          <w:position w:val="1"/>
        </w:rPr>
        <w:t>）</w:t>
      </w:r>
      <w:r>
        <w:rPr>
          <w:spacing w:val="-3"/>
          <w:position w:val="1"/>
        </w:rPr>
        <w:t>；</w:t>
      </w:r>
      <w:r>
        <w:rPr>
          <w:position w:val="1"/>
        </w:rPr>
        <w:t xml:space="preserve"> </w:t>
      </w:r>
    </w:p>
    <w:p w14:paraId="490F2D1F" w14:textId="77777777" w:rsidR="00A71EEF" w:rsidRDefault="00A71EEF">
      <w:pPr>
        <w:pStyle w:val="a3"/>
        <w:rPr>
          <w:sz w:val="17"/>
        </w:rPr>
      </w:pPr>
    </w:p>
    <w:p w14:paraId="6642DD0B" w14:textId="77777777" w:rsidR="00A71EEF" w:rsidRDefault="0081115D">
      <w:pPr>
        <w:pStyle w:val="a3"/>
        <w:ind w:left="1469"/>
      </w:pPr>
      <w:r>
        <w:rPr>
          <w:i/>
          <w:w w:val="96"/>
          <w:position w:val="1"/>
          <w:sz w:val="22"/>
        </w:rPr>
        <w:t>Q</w:t>
      </w:r>
      <w:r>
        <w:rPr>
          <w:i/>
          <w:sz w:val="11"/>
        </w:rPr>
        <w:t>x</w:t>
      </w:r>
      <w:r>
        <w:rPr>
          <w:spacing w:val="-3"/>
          <w:position w:val="1"/>
        </w:rPr>
        <w:t>——</w:t>
      </w:r>
      <w:r>
        <w:rPr>
          <w:spacing w:val="-3"/>
          <w:position w:val="1"/>
        </w:rPr>
        <w:t>灭火剂在防护区的平均喷放速率</w:t>
      </w:r>
      <w:r>
        <w:rPr>
          <w:spacing w:val="-2"/>
          <w:position w:val="1"/>
        </w:rPr>
        <w:t>（</w:t>
      </w:r>
      <w:r>
        <w:rPr>
          <w:position w:val="1"/>
        </w:rPr>
        <w:t>kg/</w:t>
      </w:r>
      <w:r>
        <w:rPr>
          <w:spacing w:val="-3"/>
          <w:position w:val="1"/>
        </w:rPr>
        <w:t>s</w:t>
      </w:r>
      <w:r>
        <w:rPr>
          <w:spacing w:val="-106"/>
          <w:position w:val="1"/>
        </w:rPr>
        <w:t>）</w:t>
      </w:r>
      <w:r>
        <w:rPr>
          <w:spacing w:val="-3"/>
          <w:position w:val="1"/>
        </w:rPr>
        <w:t>；</w:t>
      </w:r>
      <w:r>
        <w:rPr>
          <w:position w:val="1"/>
        </w:rPr>
        <w:t xml:space="preserve"> </w:t>
      </w:r>
    </w:p>
    <w:p w14:paraId="2E26E695" w14:textId="77777777" w:rsidR="00A71EEF" w:rsidRDefault="00A71EEF">
      <w:pPr>
        <w:pStyle w:val="a3"/>
        <w:spacing w:before="12"/>
        <w:rPr>
          <w:sz w:val="16"/>
        </w:rPr>
      </w:pPr>
    </w:p>
    <w:p w14:paraId="2568B813" w14:textId="77777777" w:rsidR="00A71EEF" w:rsidRDefault="0081115D">
      <w:pPr>
        <w:pStyle w:val="a3"/>
        <w:ind w:left="1469"/>
      </w:pPr>
      <w:r>
        <w:rPr>
          <w:i/>
          <w:w w:val="96"/>
          <w:position w:val="1"/>
          <w:sz w:val="22"/>
        </w:rPr>
        <w:t>P</w:t>
      </w:r>
      <w:r>
        <w:rPr>
          <w:i/>
          <w:sz w:val="11"/>
        </w:rPr>
        <w:t>f</w:t>
      </w:r>
      <w:r>
        <w:rPr>
          <w:spacing w:val="-3"/>
          <w:position w:val="1"/>
        </w:rPr>
        <w:t>——</w:t>
      </w:r>
      <w:r>
        <w:rPr>
          <w:spacing w:val="-3"/>
          <w:position w:val="1"/>
        </w:rPr>
        <w:t>围护结构承受内压的允许压强</w:t>
      </w:r>
      <w:r>
        <w:rPr>
          <w:position w:val="1"/>
        </w:rPr>
        <w:t>（</w:t>
      </w:r>
      <w:r>
        <w:rPr>
          <w:position w:val="1"/>
        </w:rPr>
        <w:t>P</w:t>
      </w:r>
      <w:r>
        <w:rPr>
          <w:spacing w:val="-2"/>
          <w:position w:val="1"/>
        </w:rPr>
        <w:t>a</w:t>
      </w:r>
      <w:r>
        <w:rPr>
          <w:spacing w:val="-106"/>
          <w:position w:val="1"/>
        </w:rPr>
        <w:t>）</w:t>
      </w:r>
      <w:r>
        <w:rPr>
          <w:spacing w:val="-3"/>
          <w:position w:val="1"/>
        </w:rPr>
        <w:t>。</w:t>
      </w:r>
      <w:r>
        <w:rPr>
          <w:position w:val="1"/>
        </w:rPr>
        <w:t xml:space="preserve"> </w:t>
      </w:r>
    </w:p>
    <w:p w14:paraId="3D6A717E" w14:textId="77777777" w:rsidR="00A71EEF" w:rsidRDefault="00A71EEF">
      <w:pPr>
        <w:pStyle w:val="a3"/>
        <w:spacing w:before="12"/>
        <w:rPr>
          <w:sz w:val="17"/>
        </w:rPr>
      </w:pPr>
    </w:p>
    <w:p w14:paraId="3790B847" w14:textId="77777777" w:rsidR="00A71EEF" w:rsidRDefault="0081115D">
      <w:pPr>
        <w:pStyle w:val="a4"/>
        <w:numPr>
          <w:ilvl w:val="2"/>
          <w:numId w:val="619"/>
        </w:numPr>
        <w:tabs>
          <w:tab w:val="left" w:pos="1370"/>
        </w:tabs>
        <w:ind w:hanging="530"/>
        <w:rPr>
          <w:sz w:val="21"/>
        </w:rPr>
      </w:pPr>
      <w:r>
        <w:rPr>
          <w:spacing w:val="-3"/>
          <w:sz w:val="21"/>
        </w:rPr>
        <w:t>灭火设计用量或惰化设计用量和系统灭火剂储存量，应符合下列规定：</w:t>
      </w:r>
      <w:r>
        <w:rPr>
          <w:spacing w:val="-3"/>
          <w:sz w:val="21"/>
        </w:rPr>
        <w:t xml:space="preserve"> </w:t>
      </w:r>
    </w:p>
    <w:p w14:paraId="45FA5CE6" w14:textId="77777777" w:rsidR="00A71EEF" w:rsidRDefault="00A71EEF">
      <w:pPr>
        <w:pStyle w:val="a3"/>
        <w:rPr>
          <w:sz w:val="18"/>
        </w:rPr>
      </w:pPr>
    </w:p>
    <w:p w14:paraId="30CACCFB" w14:textId="77777777" w:rsidR="00A71EEF" w:rsidRDefault="0081115D">
      <w:pPr>
        <w:pStyle w:val="a4"/>
        <w:numPr>
          <w:ilvl w:val="0"/>
          <w:numId w:val="618"/>
        </w:numPr>
        <w:tabs>
          <w:tab w:val="left" w:pos="1367"/>
        </w:tabs>
        <w:rPr>
          <w:sz w:val="21"/>
        </w:rPr>
      </w:pPr>
      <w:r>
        <w:rPr>
          <w:spacing w:val="-3"/>
          <w:sz w:val="21"/>
        </w:rPr>
        <w:t>防护区灭火设计用量或惰化设计用量应按下式计算：</w:t>
      </w:r>
      <w:r>
        <w:rPr>
          <w:sz w:val="21"/>
        </w:rPr>
        <w:t xml:space="preserve"> </w:t>
      </w:r>
    </w:p>
    <w:p w14:paraId="6F268276" w14:textId="77777777" w:rsidR="00A71EEF" w:rsidRDefault="00A71EEF">
      <w:pPr>
        <w:rPr>
          <w:sz w:val="21"/>
        </w:rPr>
        <w:sectPr w:rsidR="00A71EEF">
          <w:pgSz w:w="11910" w:h="16850"/>
          <w:pgMar w:top="1200" w:right="0" w:bottom="1420" w:left="1260" w:header="0" w:footer="1239" w:gutter="0"/>
          <w:cols w:space="720"/>
        </w:sectPr>
      </w:pPr>
    </w:p>
    <w:p w14:paraId="3367DB6F" w14:textId="77777777" w:rsidR="00A71EEF" w:rsidRDefault="0081115D">
      <w:pPr>
        <w:pStyle w:val="a3"/>
        <w:ind w:left="1711"/>
        <w:rPr>
          <w:sz w:val="20"/>
        </w:rPr>
      </w:pPr>
      <w:r>
        <w:rPr>
          <w:noProof/>
          <w:sz w:val="20"/>
        </w:rPr>
        <w:drawing>
          <wp:inline distT="0" distB="0" distL="0" distR="0" wp14:anchorId="627AC1E8" wp14:editId="1A6DC756">
            <wp:extent cx="3460115" cy="428625"/>
            <wp:effectExtent l="0" t="0" r="0" b="0"/>
            <wp:docPr id="311" name="image1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192.jpeg"/>
                    <pic:cNvPicPr/>
                  </pic:nvPicPr>
                  <pic:blipFill>
                    <a:blip r:embed="rId229" cstate="print"/>
                    <a:stretch>
                      <a:fillRect/>
                    </a:stretch>
                  </pic:blipFill>
                  <pic:spPr>
                    <a:xfrm>
                      <a:off x="0" y="0"/>
                      <a:ext cx="3460115" cy="428625"/>
                    </a:xfrm>
                    <a:prstGeom prst="rect">
                      <a:avLst/>
                    </a:prstGeom>
                  </pic:spPr>
                </pic:pic>
              </a:graphicData>
            </a:graphic>
          </wp:inline>
        </w:drawing>
      </w:r>
    </w:p>
    <w:p w14:paraId="325A00D3" w14:textId="77777777" w:rsidR="00A71EEF" w:rsidRDefault="00A71EEF">
      <w:pPr>
        <w:pStyle w:val="a3"/>
        <w:spacing w:before="6"/>
        <w:rPr>
          <w:sz w:val="9"/>
        </w:rPr>
      </w:pPr>
    </w:p>
    <w:p w14:paraId="41DE6DC7" w14:textId="77777777" w:rsidR="00A71EEF" w:rsidRDefault="0081115D">
      <w:pPr>
        <w:pStyle w:val="a3"/>
        <w:spacing w:before="72" w:line="424" w:lineRule="auto"/>
        <w:ind w:left="1469" w:right="5077" w:hanging="632"/>
      </w:pPr>
      <w:r>
        <w:rPr>
          <w:spacing w:val="-1"/>
        </w:rPr>
        <w:t>式中</w:t>
      </w:r>
      <w:r>
        <w:rPr>
          <w:spacing w:val="-1"/>
        </w:rPr>
        <w:t xml:space="preserve">   </w:t>
      </w:r>
      <w:r>
        <w:rPr>
          <w:i/>
          <w:w w:val="96"/>
          <w:sz w:val="22"/>
        </w:rPr>
        <w:t>W</w:t>
      </w:r>
      <w:r>
        <w:rPr>
          <w:spacing w:val="-3"/>
        </w:rPr>
        <w:t>——</w:t>
      </w:r>
      <w:r>
        <w:rPr>
          <w:spacing w:val="-3"/>
        </w:rPr>
        <w:t>灭火设计用量或惰化设计用量（</w:t>
      </w:r>
      <w:r>
        <w:t>kg</w:t>
      </w:r>
      <w:r>
        <w:rPr>
          <w:spacing w:val="-108"/>
        </w:rPr>
        <w:t>）</w:t>
      </w:r>
      <w:r>
        <w:rPr>
          <w:spacing w:val="-3"/>
        </w:rPr>
        <w:t>；</w:t>
      </w:r>
      <w:r>
        <w:t xml:space="preserve"> </w:t>
      </w:r>
      <w:r>
        <w:rPr>
          <w:i/>
          <w:w w:val="96"/>
          <w:position w:val="1"/>
          <w:sz w:val="22"/>
        </w:rPr>
        <w:t>C</w:t>
      </w:r>
      <w:r>
        <w:rPr>
          <w:sz w:val="11"/>
        </w:rPr>
        <w:t>1</w:t>
      </w:r>
      <w:r>
        <w:rPr>
          <w:spacing w:val="-3"/>
          <w:position w:val="1"/>
        </w:rPr>
        <w:t>——</w:t>
      </w:r>
      <w:r>
        <w:rPr>
          <w:spacing w:val="-3"/>
          <w:position w:val="1"/>
        </w:rPr>
        <w:t>灭火设计浓度或惰化设计浓度</w:t>
      </w:r>
      <w:r>
        <w:rPr>
          <w:position w:val="1"/>
        </w:rPr>
        <w:t>（</w:t>
      </w:r>
      <w:r>
        <w:rPr>
          <w:position w:val="1"/>
        </w:rPr>
        <w:t>%</w:t>
      </w:r>
      <w:r>
        <w:rPr>
          <w:spacing w:val="-108"/>
          <w:position w:val="1"/>
        </w:rPr>
        <w:t>）</w:t>
      </w:r>
      <w:r>
        <w:rPr>
          <w:spacing w:val="-3"/>
          <w:position w:val="1"/>
        </w:rPr>
        <w:t>；</w:t>
      </w:r>
      <w:r>
        <w:rPr>
          <w:position w:val="1"/>
        </w:rPr>
        <w:t xml:space="preserve"> </w:t>
      </w:r>
      <w:r>
        <w:rPr>
          <w:i/>
          <w:w w:val="96"/>
          <w:sz w:val="22"/>
        </w:rPr>
        <w:t>V</w:t>
      </w:r>
      <w:r>
        <w:rPr>
          <w:spacing w:val="-3"/>
        </w:rPr>
        <w:t>——</w:t>
      </w:r>
      <w:r>
        <w:rPr>
          <w:spacing w:val="-3"/>
        </w:rPr>
        <w:t>防护区的净容积</w:t>
      </w:r>
      <w:r>
        <w:t>（</w:t>
      </w:r>
      <w:r>
        <w:rPr>
          <w:spacing w:val="-3"/>
        </w:rPr>
        <w:t>m³</w:t>
      </w:r>
      <w:r>
        <w:rPr>
          <w:spacing w:val="-106"/>
        </w:rPr>
        <w:t>）</w:t>
      </w:r>
      <w:r>
        <w:rPr>
          <w:spacing w:val="-3"/>
        </w:rPr>
        <w:t>；</w:t>
      </w:r>
      <w:r>
        <w:t xml:space="preserve"> </w:t>
      </w:r>
    </w:p>
    <w:p w14:paraId="0D263DF1" w14:textId="77777777" w:rsidR="00A71EEF" w:rsidRDefault="0081115D">
      <w:pPr>
        <w:pStyle w:val="a3"/>
        <w:spacing w:before="3"/>
        <w:ind w:left="1469"/>
      </w:pPr>
      <w:r>
        <w:rPr>
          <w:i/>
          <w:w w:val="96"/>
          <w:sz w:val="22"/>
        </w:rPr>
        <w:t>S</w:t>
      </w:r>
      <w:r>
        <w:rPr>
          <w:spacing w:val="-3"/>
        </w:rPr>
        <w:t>——</w:t>
      </w:r>
      <w:r>
        <w:rPr>
          <w:spacing w:val="-3"/>
        </w:rPr>
        <w:t>灭火剂气体在</w:t>
      </w:r>
      <w:r>
        <w:rPr>
          <w:spacing w:val="-55"/>
        </w:rPr>
        <w:t xml:space="preserve"> </w:t>
      </w:r>
      <w:r>
        <w:t>101</w:t>
      </w:r>
      <w:r>
        <w:rPr>
          <w:spacing w:val="-3"/>
        </w:rPr>
        <w:t>kP</w:t>
      </w:r>
      <w:r>
        <w:t>a</w:t>
      </w:r>
      <w:r>
        <w:rPr>
          <w:spacing w:val="-53"/>
        </w:rPr>
        <w:t xml:space="preserve"> </w:t>
      </w:r>
      <w:r>
        <w:rPr>
          <w:spacing w:val="-3"/>
        </w:rPr>
        <w:t>大气压和防护区最低环境温度下的质量体积</w:t>
      </w:r>
      <w:r>
        <w:t>（</w:t>
      </w:r>
      <w:r>
        <w:t>m</w:t>
      </w:r>
      <w:r>
        <w:rPr>
          <w:spacing w:val="-3"/>
        </w:rPr>
        <w:t>³/</w:t>
      </w:r>
      <w:r>
        <w:t>k</w:t>
      </w:r>
      <w:r>
        <w:rPr>
          <w:spacing w:val="-1"/>
        </w:rPr>
        <w:t>g</w:t>
      </w:r>
      <w:r>
        <w:rPr>
          <w:spacing w:val="-106"/>
        </w:rPr>
        <w:t>）</w:t>
      </w:r>
      <w:r>
        <w:rPr>
          <w:spacing w:val="-3"/>
        </w:rPr>
        <w:t>；</w:t>
      </w:r>
      <w:r>
        <w:t xml:space="preserve"> </w:t>
      </w:r>
    </w:p>
    <w:p w14:paraId="0F230771" w14:textId="77777777" w:rsidR="00A71EEF" w:rsidRDefault="00A71EEF">
      <w:pPr>
        <w:pStyle w:val="a3"/>
        <w:spacing w:before="12"/>
        <w:rPr>
          <w:sz w:val="16"/>
        </w:rPr>
      </w:pPr>
    </w:p>
    <w:p w14:paraId="4DE13911" w14:textId="77777777" w:rsidR="00A71EEF" w:rsidRDefault="0081115D">
      <w:pPr>
        <w:pStyle w:val="a3"/>
        <w:ind w:left="1469"/>
      </w:pPr>
      <w:r>
        <w:rPr>
          <w:i/>
          <w:sz w:val="22"/>
        </w:rPr>
        <w:t>K</w:t>
      </w:r>
      <w:r>
        <w:t>——</w:t>
      </w:r>
      <w:r>
        <w:t>海拔高度修正系数，可按本规范附录</w:t>
      </w:r>
      <w:r>
        <w:t xml:space="preserve"> B </w:t>
      </w:r>
      <w:r>
        <w:t>的规定取值。</w:t>
      </w:r>
      <w:r>
        <w:t xml:space="preserve"> </w:t>
      </w:r>
    </w:p>
    <w:p w14:paraId="545711CC" w14:textId="77777777" w:rsidR="00A71EEF" w:rsidRDefault="00A71EEF">
      <w:pPr>
        <w:pStyle w:val="a3"/>
        <w:spacing w:before="10"/>
        <w:rPr>
          <w:sz w:val="17"/>
        </w:rPr>
      </w:pPr>
    </w:p>
    <w:p w14:paraId="2B52AA09" w14:textId="77777777" w:rsidR="00A71EEF" w:rsidRDefault="0081115D">
      <w:pPr>
        <w:pStyle w:val="a4"/>
        <w:numPr>
          <w:ilvl w:val="0"/>
          <w:numId w:val="618"/>
        </w:numPr>
        <w:tabs>
          <w:tab w:val="left" w:pos="1367"/>
        </w:tabs>
        <w:rPr>
          <w:sz w:val="21"/>
        </w:rPr>
      </w:pPr>
      <w:r>
        <w:rPr>
          <w:spacing w:val="-11"/>
          <w:sz w:val="21"/>
        </w:rPr>
        <w:t>灭火剂气体在</w:t>
      </w:r>
      <w:r>
        <w:rPr>
          <w:spacing w:val="-11"/>
          <w:sz w:val="21"/>
        </w:rPr>
        <w:t xml:space="preserve"> </w:t>
      </w:r>
      <w:r>
        <w:rPr>
          <w:sz w:val="21"/>
        </w:rPr>
        <w:t>101kPa</w:t>
      </w:r>
      <w:r>
        <w:rPr>
          <w:spacing w:val="-9"/>
          <w:sz w:val="21"/>
        </w:rPr>
        <w:t xml:space="preserve"> </w:t>
      </w:r>
      <w:r>
        <w:rPr>
          <w:spacing w:val="-9"/>
          <w:sz w:val="21"/>
        </w:rPr>
        <w:t>大气压和防护区最低环境温度下的质量体积，应按下式计算：</w:t>
      </w:r>
      <w:r>
        <w:rPr>
          <w:sz w:val="21"/>
        </w:rPr>
        <w:t xml:space="preserve"> </w:t>
      </w:r>
    </w:p>
    <w:p w14:paraId="1D51D677" w14:textId="77777777" w:rsidR="00A71EEF" w:rsidRDefault="0081115D">
      <w:pPr>
        <w:pStyle w:val="a3"/>
        <w:spacing w:before="11"/>
        <w:rPr>
          <w:sz w:val="7"/>
        </w:rPr>
      </w:pPr>
      <w:r>
        <w:rPr>
          <w:noProof/>
        </w:rPr>
        <w:drawing>
          <wp:anchor distT="0" distB="0" distL="0" distR="0" simplePos="0" relativeHeight="251578880" behindDoc="0" locked="0" layoutInCell="1" allowOverlap="1" wp14:anchorId="0084F0DC" wp14:editId="0718C765">
            <wp:simplePos x="0" y="0"/>
            <wp:positionH relativeFrom="page">
              <wp:posOffset>1332230</wp:posOffset>
            </wp:positionH>
            <wp:positionV relativeFrom="paragraph">
              <wp:posOffset>89221</wp:posOffset>
            </wp:positionV>
            <wp:extent cx="3910965" cy="190500"/>
            <wp:effectExtent l="0" t="0" r="0" b="0"/>
            <wp:wrapTopAndBottom/>
            <wp:docPr id="313" name="image1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193.jpeg"/>
                    <pic:cNvPicPr/>
                  </pic:nvPicPr>
                  <pic:blipFill>
                    <a:blip r:embed="rId230" cstate="print"/>
                    <a:stretch>
                      <a:fillRect/>
                    </a:stretch>
                  </pic:blipFill>
                  <pic:spPr>
                    <a:xfrm>
                      <a:off x="0" y="0"/>
                      <a:ext cx="3910965" cy="190500"/>
                    </a:xfrm>
                    <a:prstGeom prst="rect">
                      <a:avLst/>
                    </a:prstGeom>
                  </pic:spPr>
                </pic:pic>
              </a:graphicData>
            </a:graphic>
          </wp:anchor>
        </w:drawing>
      </w:r>
    </w:p>
    <w:p w14:paraId="679D59BC" w14:textId="77777777" w:rsidR="00A71EEF" w:rsidRDefault="00A71EEF">
      <w:pPr>
        <w:pStyle w:val="a3"/>
        <w:spacing w:before="9"/>
        <w:rPr>
          <w:sz w:val="19"/>
        </w:rPr>
      </w:pPr>
    </w:p>
    <w:p w14:paraId="1A887E94" w14:textId="77777777" w:rsidR="00A71EEF" w:rsidRDefault="0081115D">
      <w:pPr>
        <w:pStyle w:val="a3"/>
        <w:ind w:left="838"/>
      </w:pPr>
      <w:r>
        <w:rPr>
          <w:spacing w:val="-1"/>
        </w:rPr>
        <w:t>式中</w:t>
      </w:r>
      <w:r>
        <w:rPr>
          <w:spacing w:val="-1"/>
        </w:rPr>
        <w:t xml:space="preserve">  </w:t>
      </w:r>
      <w:r>
        <w:rPr>
          <w:i/>
          <w:w w:val="96"/>
          <w:sz w:val="22"/>
        </w:rPr>
        <w:t>T</w:t>
      </w:r>
      <w:r>
        <w:rPr>
          <w:spacing w:val="-3"/>
        </w:rPr>
        <w:t>——</w:t>
      </w:r>
      <w:r>
        <w:rPr>
          <w:spacing w:val="-3"/>
        </w:rPr>
        <w:t>防护区最低环境温度</w:t>
      </w:r>
      <w:r>
        <w:t>（</w:t>
      </w:r>
      <w:r>
        <w:rPr>
          <w:spacing w:val="-3"/>
        </w:rPr>
        <w:t>℃</w:t>
      </w:r>
      <w:r>
        <w:rPr>
          <w:spacing w:val="-106"/>
        </w:rPr>
        <w:t>）</w:t>
      </w:r>
      <w:r>
        <w:rPr>
          <w:spacing w:val="-3"/>
        </w:rPr>
        <w:t>；</w:t>
      </w:r>
      <w:r>
        <w:t xml:space="preserve"> </w:t>
      </w:r>
    </w:p>
    <w:p w14:paraId="016CC238" w14:textId="77777777" w:rsidR="00A71EEF" w:rsidRDefault="00A71EEF">
      <w:pPr>
        <w:pStyle w:val="a3"/>
        <w:spacing w:before="10"/>
        <w:rPr>
          <w:sz w:val="17"/>
        </w:rPr>
      </w:pPr>
    </w:p>
    <w:p w14:paraId="446398A3" w14:textId="77777777" w:rsidR="00A71EEF" w:rsidRDefault="0081115D">
      <w:pPr>
        <w:pStyle w:val="a4"/>
        <w:numPr>
          <w:ilvl w:val="0"/>
          <w:numId w:val="618"/>
        </w:numPr>
        <w:tabs>
          <w:tab w:val="left" w:pos="1367"/>
        </w:tabs>
        <w:spacing w:line="446" w:lineRule="auto"/>
        <w:ind w:left="418" w:right="1431" w:firstLine="419"/>
        <w:rPr>
          <w:sz w:val="21"/>
        </w:rPr>
      </w:pPr>
      <w:r>
        <w:rPr>
          <w:noProof/>
        </w:rPr>
        <w:drawing>
          <wp:anchor distT="0" distB="0" distL="0" distR="0" simplePos="0" relativeHeight="251764224" behindDoc="1" locked="0" layoutInCell="1" allowOverlap="1" wp14:anchorId="5CA62C42" wp14:editId="6DFCB8A7">
            <wp:simplePos x="0" y="0"/>
            <wp:positionH relativeFrom="page">
              <wp:posOffset>1393783</wp:posOffset>
            </wp:positionH>
            <wp:positionV relativeFrom="paragraph">
              <wp:posOffset>538988</wp:posOffset>
            </wp:positionV>
            <wp:extent cx="3533181" cy="219075"/>
            <wp:effectExtent l="0" t="0" r="0" b="0"/>
            <wp:wrapNone/>
            <wp:docPr id="315" name="image1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194.jpeg"/>
                    <pic:cNvPicPr/>
                  </pic:nvPicPr>
                  <pic:blipFill>
                    <a:blip r:embed="rId231" cstate="print"/>
                    <a:stretch>
                      <a:fillRect/>
                    </a:stretch>
                  </pic:blipFill>
                  <pic:spPr>
                    <a:xfrm>
                      <a:off x="0" y="0"/>
                      <a:ext cx="3533181" cy="219075"/>
                    </a:xfrm>
                    <a:prstGeom prst="rect">
                      <a:avLst/>
                    </a:prstGeom>
                  </pic:spPr>
                </pic:pic>
              </a:graphicData>
            </a:graphic>
          </wp:anchor>
        </w:drawing>
      </w:r>
      <w:r>
        <w:rPr>
          <w:spacing w:val="-10"/>
          <w:sz w:val="21"/>
        </w:rPr>
        <w:t>系统灭火剂储存量，应为防护区灭火设计用量及系统灭火剂剩余量之和，系统灭火剂</w:t>
      </w:r>
      <w:r>
        <w:rPr>
          <w:spacing w:val="-10"/>
          <w:sz w:val="21"/>
        </w:rPr>
        <w:t xml:space="preserve"> </w:t>
      </w:r>
      <w:r>
        <w:rPr>
          <w:spacing w:val="-3"/>
          <w:sz w:val="21"/>
        </w:rPr>
        <w:t>剩余量应按下式计算：</w:t>
      </w:r>
      <w:r>
        <w:rPr>
          <w:sz w:val="21"/>
        </w:rPr>
        <w:t xml:space="preserve"> </w:t>
      </w:r>
    </w:p>
    <w:p w14:paraId="3BE38B32" w14:textId="77777777" w:rsidR="00A71EEF" w:rsidRDefault="00A71EEF">
      <w:pPr>
        <w:pStyle w:val="a3"/>
        <w:rPr>
          <w:sz w:val="20"/>
        </w:rPr>
      </w:pPr>
    </w:p>
    <w:p w14:paraId="235FC446" w14:textId="77777777" w:rsidR="00A71EEF" w:rsidRDefault="00A71EEF">
      <w:pPr>
        <w:pStyle w:val="a3"/>
        <w:spacing w:before="2"/>
        <w:rPr>
          <w:sz w:val="18"/>
        </w:rPr>
      </w:pPr>
    </w:p>
    <w:p w14:paraId="2BF9735E" w14:textId="77777777" w:rsidR="00A71EEF" w:rsidRDefault="0081115D">
      <w:pPr>
        <w:pStyle w:val="a3"/>
        <w:ind w:left="838"/>
      </w:pPr>
      <w:r>
        <w:rPr>
          <w:spacing w:val="-1"/>
          <w:position w:val="1"/>
        </w:rPr>
        <w:t>式中</w:t>
      </w:r>
      <w:r>
        <w:rPr>
          <w:spacing w:val="-1"/>
          <w:position w:val="1"/>
        </w:rPr>
        <w:t xml:space="preserve">  </w:t>
      </w:r>
      <w:r>
        <w:rPr>
          <w:i/>
          <w:w w:val="96"/>
          <w:position w:val="1"/>
          <w:sz w:val="22"/>
        </w:rPr>
        <w:t>W</w:t>
      </w:r>
      <w:r>
        <w:rPr>
          <w:i/>
          <w:sz w:val="11"/>
        </w:rPr>
        <w:t>s</w:t>
      </w:r>
      <w:r>
        <w:rPr>
          <w:spacing w:val="-3"/>
          <w:position w:val="1"/>
        </w:rPr>
        <w:t>——</w:t>
      </w:r>
      <w:r>
        <w:rPr>
          <w:spacing w:val="-3"/>
          <w:position w:val="1"/>
        </w:rPr>
        <w:t>系统灭火剂剩余量</w:t>
      </w:r>
      <w:r>
        <w:rPr>
          <w:position w:val="1"/>
        </w:rPr>
        <w:t>（</w:t>
      </w:r>
      <w:r>
        <w:rPr>
          <w:position w:val="1"/>
        </w:rPr>
        <w:t>k</w:t>
      </w:r>
      <w:r>
        <w:rPr>
          <w:spacing w:val="-3"/>
          <w:position w:val="1"/>
        </w:rPr>
        <w:t>g</w:t>
      </w:r>
      <w:r>
        <w:rPr>
          <w:spacing w:val="-106"/>
          <w:position w:val="1"/>
        </w:rPr>
        <w:t>）</w:t>
      </w:r>
      <w:r>
        <w:rPr>
          <w:spacing w:val="-3"/>
          <w:position w:val="1"/>
        </w:rPr>
        <w:t>；</w:t>
      </w:r>
      <w:r>
        <w:rPr>
          <w:position w:val="1"/>
        </w:rPr>
        <w:t xml:space="preserve"> </w:t>
      </w:r>
    </w:p>
    <w:p w14:paraId="1BCBB0FF" w14:textId="77777777" w:rsidR="00A71EEF" w:rsidRDefault="00A71EEF">
      <w:pPr>
        <w:pStyle w:val="a3"/>
        <w:spacing w:before="2"/>
        <w:rPr>
          <w:sz w:val="17"/>
        </w:rPr>
      </w:pPr>
    </w:p>
    <w:p w14:paraId="7051E3ED" w14:textId="77777777" w:rsidR="00A71EEF" w:rsidRDefault="0081115D">
      <w:pPr>
        <w:pStyle w:val="a3"/>
        <w:spacing w:line="424" w:lineRule="auto"/>
        <w:ind w:left="1469" w:right="5233"/>
      </w:pPr>
      <w:r>
        <w:rPr>
          <w:i/>
          <w:w w:val="96"/>
          <w:position w:val="1"/>
          <w:sz w:val="22"/>
        </w:rPr>
        <w:t>V</w:t>
      </w:r>
      <w:r>
        <w:rPr>
          <w:sz w:val="11"/>
        </w:rPr>
        <w:t>o</w:t>
      </w:r>
      <w:r>
        <w:rPr>
          <w:spacing w:val="-3"/>
          <w:position w:val="1"/>
        </w:rPr>
        <w:t>——</w:t>
      </w:r>
      <w:r>
        <w:rPr>
          <w:spacing w:val="-3"/>
          <w:position w:val="1"/>
        </w:rPr>
        <w:t>系统全部储存容器的总容积（</w:t>
      </w:r>
      <w:r>
        <w:rPr>
          <w:position w:val="1"/>
        </w:rPr>
        <w:t>m³</w:t>
      </w:r>
      <w:r>
        <w:rPr>
          <w:spacing w:val="-108"/>
          <w:position w:val="1"/>
        </w:rPr>
        <w:t>）</w:t>
      </w:r>
      <w:r>
        <w:rPr>
          <w:spacing w:val="-3"/>
          <w:position w:val="1"/>
        </w:rPr>
        <w:t>；</w:t>
      </w:r>
      <w:r>
        <w:rPr>
          <w:position w:val="1"/>
        </w:rPr>
        <w:t xml:space="preserve"> </w:t>
      </w:r>
      <w:r>
        <w:rPr>
          <w:i/>
          <w:w w:val="96"/>
          <w:position w:val="1"/>
          <w:sz w:val="22"/>
        </w:rPr>
        <w:t>V</w:t>
      </w:r>
      <w:r>
        <w:rPr>
          <w:i/>
          <w:sz w:val="11"/>
        </w:rPr>
        <w:t>p</w:t>
      </w:r>
      <w:r>
        <w:rPr>
          <w:spacing w:val="-3"/>
          <w:position w:val="1"/>
        </w:rPr>
        <w:t>——</w:t>
      </w:r>
      <w:r>
        <w:rPr>
          <w:spacing w:val="-3"/>
          <w:position w:val="1"/>
        </w:rPr>
        <w:t>管网的管道内容积</w:t>
      </w:r>
      <w:r>
        <w:rPr>
          <w:position w:val="1"/>
        </w:rPr>
        <w:t>（</w:t>
      </w:r>
      <w:r>
        <w:rPr>
          <w:position w:val="1"/>
        </w:rPr>
        <w:t>m³</w:t>
      </w:r>
      <w:r>
        <w:rPr>
          <w:spacing w:val="-108"/>
          <w:position w:val="1"/>
        </w:rPr>
        <w:t>）</w:t>
      </w:r>
      <w:r>
        <w:rPr>
          <w:spacing w:val="-3"/>
          <w:position w:val="1"/>
        </w:rPr>
        <w:t>。</w:t>
      </w:r>
      <w:r>
        <w:rPr>
          <w:position w:val="1"/>
        </w:rPr>
        <w:t xml:space="preserve"> </w:t>
      </w:r>
    </w:p>
    <w:p w14:paraId="10A1EB45" w14:textId="77777777" w:rsidR="00A71EEF" w:rsidRDefault="0081115D">
      <w:pPr>
        <w:pStyle w:val="a4"/>
        <w:numPr>
          <w:ilvl w:val="2"/>
          <w:numId w:val="619"/>
        </w:numPr>
        <w:tabs>
          <w:tab w:val="left" w:pos="1370"/>
        </w:tabs>
        <w:spacing w:before="11"/>
        <w:ind w:hanging="530"/>
        <w:rPr>
          <w:sz w:val="21"/>
        </w:rPr>
      </w:pPr>
      <w:r>
        <w:rPr>
          <w:spacing w:val="-3"/>
          <w:sz w:val="21"/>
        </w:rPr>
        <w:t>管网计算应符合下列规定：</w:t>
      </w:r>
      <w:r>
        <w:rPr>
          <w:sz w:val="21"/>
        </w:rPr>
        <w:t xml:space="preserve"> </w:t>
      </w:r>
    </w:p>
    <w:p w14:paraId="2ECB6666" w14:textId="77777777" w:rsidR="00A71EEF" w:rsidRDefault="00A71EEF">
      <w:pPr>
        <w:pStyle w:val="a3"/>
        <w:spacing w:before="2"/>
        <w:rPr>
          <w:sz w:val="18"/>
        </w:rPr>
      </w:pPr>
    </w:p>
    <w:p w14:paraId="4C241099" w14:textId="77777777" w:rsidR="00A71EEF" w:rsidRDefault="0081115D">
      <w:pPr>
        <w:pStyle w:val="a4"/>
        <w:numPr>
          <w:ilvl w:val="0"/>
          <w:numId w:val="617"/>
        </w:numPr>
        <w:tabs>
          <w:tab w:val="left" w:pos="1367"/>
        </w:tabs>
        <w:rPr>
          <w:sz w:val="21"/>
        </w:rPr>
      </w:pPr>
      <w:r>
        <w:rPr>
          <w:spacing w:val="-3"/>
          <w:sz w:val="21"/>
        </w:rPr>
        <w:t>管道流量宜采用平均设计流量。</w:t>
      </w:r>
      <w:r>
        <w:rPr>
          <w:sz w:val="21"/>
        </w:rPr>
        <w:t xml:space="preserve"> </w:t>
      </w:r>
    </w:p>
    <w:p w14:paraId="1E9DAA9B" w14:textId="77777777" w:rsidR="00A71EEF" w:rsidRDefault="00A71EEF">
      <w:pPr>
        <w:pStyle w:val="a3"/>
        <w:spacing w:before="12"/>
        <w:rPr>
          <w:sz w:val="17"/>
        </w:rPr>
      </w:pPr>
    </w:p>
    <w:p w14:paraId="21A6BACD" w14:textId="77777777" w:rsidR="00A71EEF" w:rsidRDefault="0081115D">
      <w:pPr>
        <w:pStyle w:val="a3"/>
        <w:ind w:left="838"/>
      </w:pPr>
      <w:r>
        <w:rPr>
          <w:spacing w:val="-3"/>
        </w:rPr>
        <w:t>主干管、支管的平均设计流量，应按下列公式计算：</w:t>
      </w:r>
      <w:r>
        <w:rPr>
          <w:spacing w:val="-3"/>
        </w:rPr>
        <w:t xml:space="preserve"> </w:t>
      </w:r>
    </w:p>
    <w:p w14:paraId="145910AF" w14:textId="77777777" w:rsidR="00A71EEF" w:rsidRDefault="0081115D">
      <w:pPr>
        <w:pStyle w:val="a3"/>
        <w:spacing w:before="2"/>
        <w:rPr>
          <w:sz w:val="15"/>
        </w:rPr>
      </w:pPr>
      <w:r>
        <w:rPr>
          <w:noProof/>
        </w:rPr>
        <w:drawing>
          <wp:anchor distT="0" distB="0" distL="0" distR="0" simplePos="0" relativeHeight="251579904" behindDoc="0" locked="0" layoutInCell="1" allowOverlap="1" wp14:anchorId="1344CA91" wp14:editId="511BE5BB">
            <wp:simplePos x="0" y="0"/>
            <wp:positionH relativeFrom="page">
              <wp:posOffset>1627504</wp:posOffset>
            </wp:positionH>
            <wp:positionV relativeFrom="paragraph">
              <wp:posOffset>148550</wp:posOffset>
            </wp:positionV>
            <wp:extent cx="2371724" cy="838200"/>
            <wp:effectExtent l="0" t="0" r="0" b="0"/>
            <wp:wrapTopAndBottom/>
            <wp:docPr id="317" name="image1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195.jpeg"/>
                    <pic:cNvPicPr/>
                  </pic:nvPicPr>
                  <pic:blipFill>
                    <a:blip r:embed="rId232" cstate="print"/>
                    <a:stretch>
                      <a:fillRect/>
                    </a:stretch>
                  </pic:blipFill>
                  <pic:spPr>
                    <a:xfrm>
                      <a:off x="0" y="0"/>
                      <a:ext cx="2371724" cy="838200"/>
                    </a:xfrm>
                    <a:prstGeom prst="rect">
                      <a:avLst/>
                    </a:prstGeom>
                  </pic:spPr>
                </pic:pic>
              </a:graphicData>
            </a:graphic>
          </wp:anchor>
        </w:drawing>
      </w:r>
    </w:p>
    <w:p w14:paraId="37E1C49E" w14:textId="77777777" w:rsidR="00A71EEF" w:rsidRDefault="00A71EEF">
      <w:pPr>
        <w:pStyle w:val="a3"/>
        <w:spacing w:before="4"/>
        <w:rPr>
          <w:sz w:val="14"/>
        </w:rPr>
      </w:pPr>
    </w:p>
    <w:p w14:paraId="6B40C055" w14:textId="77777777" w:rsidR="00A71EEF" w:rsidRDefault="0081115D">
      <w:pPr>
        <w:pStyle w:val="a3"/>
        <w:spacing w:line="427" w:lineRule="auto"/>
        <w:ind w:left="1469" w:right="5550" w:hanging="632"/>
      </w:pPr>
      <w:r>
        <w:rPr>
          <w:spacing w:val="-1"/>
          <w:position w:val="1"/>
        </w:rPr>
        <w:t>式中</w:t>
      </w:r>
      <w:r>
        <w:rPr>
          <w:spacing w:val="-1"/>
          <w:position w:val="1"/>
        </w:rPr>
        <w:t xml:space="preserve">   </w:t>
      </w:r>
      <w:r>
        <w:rPr>
          <w:i/>
          <w:w w:val="96"/>
          <w:position w:val="1"/>
          <w:sz w:val="22"/>
        </w:rPr>
        <w:t>Q</w:t>
      </w:r>
      <w:r>
        <w:rPr>
          <w:i/>
          <w:spacing w:val="-3"/>
          <w:sz w:val="11"/>
        </w:rPr>
        <w:t>w</w:t>
      </w:r>
      <w:r>
        <w:rPr>
          <w:spacing w:val="-3"/>
          <w:position w:val="1"/>
        </w:rPr>
        <w:t>——</w:t>
      </w:r>
      <w:r>
        <w:rPr>
          <w:spacing w:val="-3"/>
          <w:position w:val="1"/>
        </w:rPr>
        <w:t>主干管平均设计流量（</w:t>
      </w:r>
      <w:r>
        <w:rPr>
          <w:position w:val="1"/>
        </w:rPr>
        <w:t>kg/</w:t>
      </w:r>
      <w:r>
        <w:rPr>
          <w:spacing w:val="-3"/>
          <w:position w:val="1"/>
        </w:rPr>
        <w:t>s</w:t>
      </w:r>
      <w:r>
        <w:rPr>
          <w:spacing w:val="-106"/>
          <w:position w:val="1"/>
        </w:rPr>
        <w:t>）</w:t>
      </w:r>
      <w:r>
        <w:rPr>
          <w:spacing w:val="-3"/>
          <w:position w:val="1"/>
        </w:rPr>
        <w:t>；</w:t>
      </w:r>
      <w:r>
        <w:rPr>
          <w:position w:val="1"/>
        </w:rPr>
        <w:t xml:space="preserve"> </w:t>
      </w:r>
      <w:r>
        <w:rPr>
          <w:i/>
          <w:w w:val="96"/>
          <w:sz w:val="22"/>
        </w:rPr>
        <w:t>t</w:t>
      </w:r>
      <w:r>
        <w:rPr>
          <w:spacing w:val="-3"/>
        </w:rPr>
        <w:t>——</w:t>
      </w:r>
      <w:r>
        <w:rPr>
          <w:spacing w:val="-3"/>
        </w:rPr>
        <w:t>灭火剂设计喷放时间</w:t>
      </w:r>
      <w:r>
        <w:t>（</w:t>
      </w:r>
      <w:r>
        <w:t>s</w:t>
      </w:r>
      <w:r>
        <w:rPr>
          <w:spacing w:val="-106"/>
        </w:rPr>
        <w:t>）</w:t>
      </w:r>
      <w:r>
        <w:rPr>
          <w:spacing w:val="-3"/>
        </w:rPr>
        <w:t>。</w:t>
      </w:r>
      <w:r>
        <w:t xml:space="preserve"> </w:t>
      </w:r>
      <w:r>
        <w:rPr>
          <w:i/>
          <w:w w:val="96"/>
          <w:position w:val="1"/>
          <w:sz w:val="22"/>
        </w:rPr>
        <w:t>Q</w:t>
      </w:r>
      <w:r>
        <w:rPr>
          <w:i/>
          <w:sz w:val="11"/>
        </w:rPr>
        <w:t>g</w:t>
      </w:r>
      <w:r>
        <w:rPr>
          <w:spacing w:val="-3"/>
          <w:position w:val="1"/>
        </w:rPr>
        <w:t>——</w:t>
      </w:r>
      <w:r>
        <w:rPr>
          <w:spacing w:val="-3"/>
          <w:position w:val="1"/>
        </w:rPr>
        <w:t>支管平均设计流量</w:t>
      </w:r>
      <w:r>
        <w:rPr>
          <w:position w:val="1"/>
        </w:rPr>
        <w:t>（</w:t>
      </w:r>
      <w:r>
        <w:rPr>
          <w:position w:val="1"/>
        </w:rPr>
        <w:t>kg/</w:t>
      </w:r>
      <w:r>
        <w:rPr>
          <w:spacing w:val="-3"/>
          <w:position w:val="1"/>
        </w:rPr>
        <w:t>s</w:t>
      </w:r>
      <w:r>
        <w:rPr>
          <w:spacing w:val="-106"/>
          <w:position w:val="1"/>
        </w:rPr>
        <w:t>）</w:t>
      </w:r>
      <w:r>
        <w:rPr>
          <w:spacing w:val="-3"/>
          <w:position w:val="1"/>
        </w:rPr>
        <w:t>；</w:t>
      </w:r>
      <w:r>
        <w:rPr>
          <w:position w:val="1"/>
        </w:rPr>
        <w:t xml:space="preserve"> </w:t>
      </w:r>
    </w:p>
    <w:p w14:paraId="2E1F5C0A" w14:textId="77777777" w:rsidR="00A71EEF" w:rsidRDefault="0081115D">
      <w:pPr>
        <w:pStyle w:val="a3"/>
        <w:spacing w:line="424" w:lineRule="auto"/>
        <w:ind w:left="1469" w:right="4813"/>
      </w:pPr>
      <w:r>
        <w:rPr>
          <w:i/>
          <w:w w:val="96"/>
          <w:position w:val="1"/>
          <w:sz w:val="22"/>
        </w:rPr>
        <w:t>N</w:t>
      </w:r>
      <w:r>
        <w:rPr>
          <w:i/>
          <w:sz w:val="11"/>
        </w:rPr>
        <w:t>g</w:t>
      </w:r>
      <w:r>
        <w:rPr>
          <w:spacing w:val="-3"/>
          <w:position w:val="1"/>
        </w:rPr>
        <w:t>——</w:t>
      </w:r>
      <w:r>
        <w:rPr>
          <w:spacing w:val="-3"/>
          <w:position w:val="1"/>
        </w:rPr>
        <w:t>安装在计算支管下游的喷头数量（</w:t>
      </w:r>
      <w:r>
        <w:rPr>
          <w:position w:val="1"/>
        </w:rPr>
        <w:t>个</w:t>
      </w:r>
      <w:r>
        <w:rPr>
          <w:spacing w:val="-108"/>
          <w:position w:val="1"/>
        </w:rPr>
        <w:t>）</w:t>
      </w:r>
      <w:r>
        <w:rPr>
          <w:spacing w:val="-3"/>
          <w:position w:val="1"/>
        </w:rPr>
        <w:t>；</w:t>
      </w:r>
      <w:r>
        <w:rPr>
          <w:position w:val="1"/>
        </w:rPr>
        <w:t xml:space="preserve"> </w:t>
      </w:r>
      <w:r>
        <w:rPr>
          <w:i/>
          <w:w w:val="96"/>
          <w:position w:val="1"/>
          <w:sz w:val="22"/>
        </w:rPr>
        <w:t>Q</w:t>
      </w:r>
      <w:r>
        <w:rPr>
          <w:i/>
          <w:sz w:val="11"/>
        </w:rPr>
        <w:t>c</w:t>
      </w:r>
      <w:r>
        <w:rPr>
          <w:spacing w:val="-3"/>
          <w:position w:val="1"/>
        </w:rPr>
        <w:t>——</w:t>
      </w:r>
      <w:r>
        <w:rPr>
          <w:spacing w:val="-3"/>
          <w:position w:val="1"/>
        </w:rPr>
        <w:t>单个喷头的设计流量</w:t>
      </w:r>
      <w:r>
        <w:rPr>
          <w:position w:val="1"/>
        </w:rPr>
        <w:t>（</w:t>
      </w:r>
      <w:r>
        <w:rPr>
          <w:position w:val="1"/>
        </w:rPr>
        <w:t>k</w:t>
      </w:r>
      <w:r>
        <w:rPr>
          <w:spacing w:val="-3"/>
          <w:position w:val="1"/>
        </w:rPr>
        <w:t>g</w:t>
      </w:r>
      <w:r>
        <w:rPr>
          <w:position w:val="1"/>
        </w:rPr>
        <w:t>/</w:t>
      </w:r>
      <w:r>
        <w:rPr>
          <w:spacing w:val="-1"/>
          <w:position w:val="1"/>
        </w:rPr>
        <w:t>s</w:t>
      </w:r>
      <w:r>
        <w:rPr>
          <w:spacing w:val="-108"/>
          <w:position w:val="1"/>
        </w:rPr>
        <w:t>）</w:t>
      </w:r>
      <w:r>
        <w:rPr>
          <w:spacing w:val="-3"/>
          <w:position w:val="1"/>
        </w:rPr>
        <w:t>。</w:t>
      </w:r>
      <w:r>
        <w:rPr>
          <w:position w:val="1"/>
        </w:rPr>
        <w:t xml:space="preserve"> </w:t>
      </w:r>
    </w:p>
    <w:p w14:paraId="041AB97D" w14:textId="77777777" w:rsidR="00A71EEF" w:rsidRDefault="0081115D">
      <w:pPr>
        <w:pStyle w:val="a4"/>
        <w:numPr>
          <w:ilvl w:val="0"/>
          <w:numId w:val="617"/>
        </w:numPr>
        <w:tabs>
          <w:tab w:val="left" w:pos="1367"/>
        </w:tabs>
        <w:spacing w:before="8"/>
        <w:rPr>
          <w:sz w:val="21"/>
        </w:rPr>
      </w:pPr>
      <w:r>
        <w:rPr>
          <w:spacing w:val="-3"/>
          <w:sz w:val="21"/>
        </w:rPr>
        <w:t>管道内径宜按下式计算：</w:t>
      </w:r>
      <w:r>
        <w:rPr>
          <w:sz w:val="21"/>
        </w:rPr>
        <w:t xml:space="preserve"> </w:t>
      </w:r>
    </w:p>
    <w:p w14:paraId="104A9953" w14:textId="77777777" w:rsidR="00A71EEF" w:rsidRDefault="00A71EEF">
      <w:pPr>
        <w:rPr>
          <w:sz w:val="21"/>
        </w:rPr>
        <w:sectPr w:rsidR="00A71EEF">
          <w:pgSz w:w="11910" w:h="16850"/>
          <w:pgMar w:top="1460" w:right="0" w:bottom="1420" w:left="1260" w:header="0" w:footer="1239" w:gutter="0"/>
          <w:cols w:space="720"/>
        </w:sectPr>
      </w:pPr>
    </w:p>
    <w:p w14:paraId="18E8BF60" w14:textId="77777777" w:rsidR="00A71EEF" w:rsidRDefault="0081115D">
      <w:pPr>
        <w:pStyle w:val="a3"/>
        <w:ind w:left="838"/>
        <w:rPr>
          <w:sz w:val="20"/>
        </w:rPr>
      </w:pPr>
      <w:r>
        <w:rPr>
          <w:noProof/>
          <w:sz w:val="20"/>
        </w:rPr>
        <w:drawing>
          <wp:inline distT="0" distB="0" distL="0" distR="0" wp14:anchorId="36491498" wp14:editId="2CA7E702">
            <wp:extent cx="2669428" cy="217170"/>
            <wp:effectExtent l="0" t="0" r="0" b="0"/>
            <wp:docPr id="319" name="image1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196.jpeg"/>
                    <pic:cNvPicPr/>
                  </pic:nvPicPr>
                  <pic:blipFill>
                    <a:blip r:embed="rId233" cstate="print"/>
                    <a:stretch>
                      <a:fillRect/>
                    </a:stretch>
                  </pic:blipFill>
                  <pic:spPr>
                    <a:xfrm>
                      <a:off x="0" y="0"/>
                      <a:ext cx="2669428" cy="217170"/>
                    </a:xfrm>
                    <a:prstGeom prst="rect">
                      <a:avLst/>
                    </a:prstGeom>
                  </pic:spPr>
                </pic:pic>
              </a:graphicData>
            </a:graphic>
          </wp:inline>
        </w:drawing>
      </w:r>
    </w:p>
    <w:p w14:paraId="34027E86" w14:textId="77777777" w:rsidR="00A71EEF" w:rsidRDefault="00A71EEF">
      <w:pPr>
        <w:pStyle w:val="a3"/>
        <w:spacing w:before="7"/>
        <w:rPr>
          <w:sz w:val="20"/>
        </w:rPr>
      </w:pPr>
    </w:p>
    <w:p w14:paraId="5EBC9A71" w14:textId="77777777" w:rsidR="00A71EEF" w:rsidRDefault="0081115D">
      <w:pPr>
        <w:pStyle w:val="a3"/>
        <w:spacing w:before="72"/>
        <w:ind w:left="838"/>
      </w:pPr>
      <w:r>
        <w:rPr>
          <w:spacing w:val="-1"/>
        </w:rPr>
        <w:t>式中</w:t>
      </w:r>
      <w:r>
        <w:rPr>
          <w:spacing w:val="-1"/>
        </w:rPr>
        <w:t xml:space="preserve">   </w:t>
      </w:r>
      <w:r>
        <w:rPr>
          <w:i/>
          <w:w w:val="96"/>
          <w:sz w:val="22"/>
        </w:rPr>
        <w:t>D</w:t>
      </w:r>
      <w:r>
        <w:rPr>
          <w:spacing w:val="-3"/>
        </w:rPr>
        <w:t>——</w:t>
      </w:r>
      <w:r>
        <w:rPr>
          <w:spacing w:val="-3"/>
        </w:rPr>
        <w:t>管道内径</w:t>
      </w:r>
      <w:r>
        <w:rPr>
          <w:spacing w:val="-2"/>
        </w:rPr>
        <w:t>（</w:t>
      </w:r>
      <w:r>
        <w:rPr>
          <w:spacing w:val="-3"/>
        </w:rPr>
        <w:t>m</w:t>
      </w:r>
      <w:r>
        <w:t>m</w:t>
      </w:r>
      <w:r>
        <w:rPr>
          <w:spacing w:val="-106"/>
        </w:rPr>
        <w:t>）</w:t>
      </w:r>
      <w:r>
        <w:rPr>
          <w:spacing w:val="-3"/>
        </w:rPr>
        <w:t>；</w:t>
      </w:r>
      <w:r>
        <w:t xml:space="preserve"> </w:t>
      </w:r>
    </w:p>
    <w:p w14:paraId="047DD0FF" w14:textId="77777777" w:rsidR="00A71EEF" w:rsidRDefault="00A71EEF">
      <w:pPr>
        <w:pStyle w:val="a3"/>
        <w:spacing w:before="12"/>
        <w:rPr>
          <w:sz w:val="16"/>
        </w:rPr>
      </w:pPr>
    </w:p>
    <w:p w14:paraId="69C78859" w14:textId="77777777" w:rsidR="00A71EEF" w:rsidRDefault="0081115D">
      <w:pPr>
        <w:pStyle w:val="a3"/>
        <w:ind w:left="1469"/>
      </w:pPr>
      <w:r>
        <w:rPr>
          <w:i/>
          <w:w w:val="96"/>
          <w:sz w:val="22"/>
        </w:rPr>
        <w:t>Q</w:t>
      </w:r>
      <w:r>
        <w:rPr>
          <w:spacing w:val="-3"/>
        </w:rPr>
        <w:t>——</w:t>
      </w:r>
      <w:r>
        <w:rPr>
          <w:spacing w:val="-3"/>
        </w:rPr>
        <w:t>管道设计流量</w:t>
      </w:r>
      <w:r>
        <w:t>（</w:t>
      </w:r>
      <w:r>
        <w:t>kg</w:t>
      </w:r>
      <w:r>
        <w:rPr>
          <w:spacing w:val="-3"/>
        </w:rPr>
        <w:t>/s</w:t>
      </w:r>
      <w:r>
        <w:rPr>
          <w:spacing w:val="-106"/>
        </w:rPr>
        <w:t>）</w:t>
      </w:r>
      <w:r>
        <w:rPr>
          <w:spacing w:val="-3"/>
        </w:rPr>
        <w:t>；</w:t>
      </w:r>
      <w:r>
        <w:t xml:space="preserve"> </w:t>
      </w:r>
    </w:p>
    <w:p w14:paraId="26C6A3A3" w14:textId="77777777" w:rsidR="00A71EEF" w:rsidRDefault="00A71EEF">
      <w:pPr>
        <w:pStyle w:val="a3"/>
        <w:spacing w:before="12"/>
        <w:rPr>
          <w:sz w:val="17"/>
        </w:rPr>
      </w:pPr>
    </w:p>
    <w:p w14:paraId="2D806DDF" w14:textId="77777777" w:rsidR="00A71EEF" w:rsidRDefault="0081115D">
      <w:pPr>
        <w:pStyle w:val="a4"/>
        <w:numPr>
          <w:ilvl w:val="0"/>
          <w:numId w:val="617"/>
        </w:numPr>
        <w:tabs>
          <w:tab w:val="left" w:pos="1367"/>
        </w:tabs>
        <w:spacing w:line="446" w:lineRule="auto"/>
        <w:ind w:left="418" w:right="1433" w:firstLine="419"/>
        <w:rPr>
          <w:sz w:val="21"/>
        </w:rPr>
      </w:pPr>
      <w:r>
        <w:rPr>
          <w:spacing w:val="-10"/>
          <w:sz w:val="21"/>
        </w:rPr>
        <w:t>灭火剂释放时，管网应进行减压。减压装置宜采用减压孔板。减压孔板宜设在系统的</w:t>
      </w:r>
      <w:r>
        <w:rPr>
          <w:spacing w:val="-10"/>
          <w:sz w:val="21"/>
        </w:rPr>
        <w:t xml:space="preserve"> </w:t>
      </w:r>
      <w:r>
        <w:rPr>
          <w:spacing w:val="-7"/>
          <w:sz w:val="21"/>
        </w:rPr>
        <w:t>源头或干管入口处。</w:t>
      </w:r>
      <w:r>
        <w:rPr>
          <w:sz w:val="21"/>
        </w:rPr>
        <w:t xml:space="preserve"> </w:t>
      </w:r>
    </w:p>
    <w:p w14:paraId="3303CCB1" w14:textId="77777777" w:rsidR="00A71EEF" w:rsidRDefault="0081115D">
      <w:pPr>
        <w:pStyle w:val="a3"/>
        <w:spacing w:line="267" w:lineRule="exact"/>
        <w:ind w:left="838"/>
      </w:pPr>
      <w:r>
        <w:t xml:space="preserve"> </w:t>
      </w:r>
      <w:r>
        <w:t>（</w:t>
      </w:r>
      <w:r>
        <w:t>4</w:t>
      </w:r>
      <w:r>
        <w:t>）减压孔板前的压力，应按下式计算：</w:t>
      </w:r>
      <w:r>
        <w:t xml:space="preserve"> </w:t>
      </w:r>
    </w:p>
    <w:p w14:paraId="33D0837C" w14:textId="77777777" w:rsidR="00A71EEF" w:rsidRDefault="00A71EEF">
      <w:pPr>
        <w:pStyle w:val="a3"/>
        <w:rPr>
          <w:sz w:val="20"/>
        </w:rPr>
      </w:pPr>
    </w:p>
    <w:p w14:paraId="6150F613" w14:textId="77777777" w:rsidR="00A71EEF" w:rsidRDefault="0081115D">
      <w:pPr>
        <w:pStyle w:val="a3"/>
        <w:spacing w:before="9"/>
        <w:rPr>
          <w:sz w:val="11"/>
        </w:rPr>
      </w:pPr>
      <w:r>
        <w:rPr>
          <w:noProof/>
        </w:rPr>
        <w:drawing>
          <wp:anchor distT="0" distB="0" distL="0" distR="0" simplePos="0" relativeHeight="251580928" behindDoc="0" locked="0" layoutInCell="1" allowOverlap="1" wp14:anchorId="4055FEC2" wp14:editId="3E1B39CF">
            <wp:simplePos x="0" y="0"/>
            <wp:positionH relativeFrom="page">
              <wp:posOffset>1332230</wp:posOffset>
            </wp:positionH>
            <wp:positionV relativeFrom="paragraph">
              <wp:posOffset>120443</wp:posOffset>
            </wp:positionV>
            <wp:extent cx="3038474" cy="514350"/>
            <wp:effectExtent l="0" t="0" r="0" b="0"/>
            <wp:wrapTopAndBottom/>
            <wp:docPr id="321" name="image1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197.jpeg"/>
                    <pic:cNvPicPr/>
                  </pic:nvPicPr>
                  <pic:blipFill>
                    <a:blip r:embed="rId234" cstate="print"/>
                    <a:stretch>
                      <a:fillRect/>
                    </a:stretch>
                  </pic:blipFill>
                  <pic:spPr>
                    <a:xfrm>
                      <a:off x="0" y="0"/>
                      <a:ext cx="3038474" cy="514350"/>
                    </a:xfrm>
                    <a:prstGeom prst="rect">
                      <a:avLst/>
                    </a:prstGeom>
                  </pic:spPr>
                </pic:pic>
              </a:graphicData>
            </a:graphic>
          </wp:anchor>
        </w:drawing>
      </w:r>
    </w:p>
    <w:p w14:paraId="79FD226C" w14:textId="77777777" w:rsidR="00A71EEF" w:rsidRDefault="0081115D">
      <w:pPr>
        <w:pStyle w:val="a3"/>
        <w:spacing w:before="152" w:line="427" w:lineRule="auto"/>
        <w:ind w:left="1469" w:right="4382" w:hanging="632"/>
      </w:pPr>
      <w:r>
        <w:rPr>
          <w:spacing w:val="-1"/>
          <w:position w:val="1"/>
        </w:rPr>
        <w:t>式中</w:t>
      </w:r>
      <w:r>
        <w:rPr>
          <w:spacing w:val="-1"/>
          <w:position w:val="1"/>
        </w:rPr>
        <w:t xml:space="preserve">   </w:t>
      </w:r>
      <w:r>
        <w:rPr>
          <w:i/>
          <w:w w:val="96"/>
          <w:position w:val="1"/>
          <w:sz w:val="22"/>
        </w:rPr>
        <w:t>P</w:t>
      </w:r>
      <w:r>
        <w:rPr>
          <w:spacing w:val="-3"/>
          <w:sz w:val="11"/>
        </w:rPr>
        <w:t>1</w:t>
      </w:r>
      <w:r>
        <w:rPr>
          <w:spacing w:val="-3"/>
          <w:position w:val="1"/>
        </w:rPr>
        <w:t>——</w:t>
      </w:r>
      <w:r>
        <w:rPr>
          <w:spacing w:val="-3"/>
          <w:position w:val="1"/>
        </w:rPr>
        <w:t>减压孔板前的压力</w:t>
      </w:r>
      <w:r>
        <w:rPr>
          <w:position w:val="1"/>
        </w:rPr>
        <w:t>（</w:t>
      </w:r>
      <w:r>
        <w:rPr>
          <w:position w:val="1"/>
        </w:rPr>
        <w:t>M</w:t>
      </w:r>
      <w:r>
        <w:rPr>
          <w:spacing w:val="-3"/>
          <w:position w:val="1"/>
        </w:rPr>
        <w:t>P</w:t>
      </w:r>
      <w:r>
        <w:rPr>
          <w:spacing w:val="-1"/>
          <w:position w:val="1"/>
        </w:rPr>
        <w:t>a</w:t>
      </w:r>
      <w:r>
        <w:rPr>
          <w:spacing w:val="-3"/>
          <w:position w:val="1"/>
        </w:rPr>
        <w:t>，绝对压力</w:t>
      </w:r>
      <w:r>
        <w:rPr>
          <w:spacing w:val="-108"/>
          <w:position w:val="1"/>
        </w:rPr>
        <w:t>）</w:t>
      </w:r>
      <w:r>
        <w:rPr>
          <w:position w:val="1"/>
        </w:rPr>
        <w:t>；</w:t>
      </w:r>
      <w:r>
        <w:rPr>
          <w:position w:val="1"/>
        </w:rPr>
        <w:t xml:space="preserve"> </w:t>
      </w:r>
      <w:r>
        <w:rPr>
          <w:i/>
          <w:w w:val="96"/>
          <w:position w:val="1"/>
          <w:sz w:val="22"/>
        </w:rPr>
        <w:t>P</w:t>
      </w:r>
      <w:r>
        <w:rPr>
          <w:sz w:val="11"/>
        </w:rPr>
        <w:t>o</w:t>
      </w:r>
      <w:r>
        <w:rPr>
          <w:spacing w:val="-3"/>
          <w:position w:val="1"/>
        </w:rPr>
        <w:t>——</w:t>
      </w:r>
      <w:r>
        <w:rPr>
          <w:spacing w:val="-3"/>
          <w:position w:val="1"/>
        </w:rPr>
        <w:t>灭火剂储存容器充压压力</w:t>
      </w:r>
      <w:r>
        <w:rPr>
          <w:position w:val="1"/>
        </w:rPr>
        <w:t>（</w:t>
      </w:r>
      <w:r>
        <w:rPr>
          <w:position w:val="1"/>
        </w:rPr>
        <w:t>M</w:t>
      </w:r>
      <w:r>
        <w:rPr>
          <w:spacing w:val="-3"/>
          <w:position w:val="1"/>
        </w:rPr>
        <w:t>P</w:t>
      </w:r>
      <w:r>
        <w:rPr>
          <w:spacing w:val="-1"/>
          <w:position w:val="1"/>
        </w:rPr>
        <w:t>a</w:t>
      </w:r>
      <w:r>
        <w:rPr>
          <w:spacing w:val="-3"/>
          <w:position w:val="1"/>
        </w:rPr>
        <w:t>，绝对压力</w:t>
      </w:r>
      <w:r>
        <w:rPr>
          <w:spacing w:val="-108"/>
          <w:position w:val="1"/>
        </w:rPr>
        <w:t>）</w:t>
      </w:r>
      <w:r>
        <w:rPr>
          <w:position w:val="1"/>
        </w:rPr>
        <w:t>；</w:t>
      </w:r>
      <w:r>
        <w:rPr>
          <w:position w:val="1"/>
        </w:rPr>
        <w:t xml:space="preserve"> </w:t>
      </w:r>
      <w:r>
        <w:rPr>
          <w:i/>
          <w:w w:val="96"/>
          <w:position w:val="1"/>
          <w:sz w:val="22"/>
        </w:rPr>
        <w:t>V</w:t>
      </w:r>
      <w:r>
        <w:rPr>
          <w:sz w:val="11"/>
        </w:rPr>
        <w:t>o</w:t>
      </w:r>
      <w:r>
        <w:rPr>
          <w:spacing w:val="-3"/>
          <w:position w:val="1"/>
        </w:rPr>
        <w:t>——</w:t>
      </w:r>
      <w:r>
        <w:rPr>
          <w:spacing w:val="-3"/>
          <w:position w:val="1"/>
        </w:rPr>
        <w:t>系统全部储存容器的总容积（</w:t>
      </w:r>
      <w:r>
        <w:rPr>
          <w:position w:val="1"/>
        </w:rPr>
        <w:t>m³</w:t>
      </w:r>
      <w:r>
        <w:rPr>
          <w:spacing w:val="-108"/>
          <w:position w:val="1"/>
        </w:rPr>
        <w:t>）</w:t>
      </w:r>
      <w:r>
        <w:rPr>
          <w:spacing w:val="-3"/>
          <w:position w:val="1"/>
        </w:rPr>
        <w:t>；</w:t>
      </w:r>
      <w:r>
        <w:rPr>
          <w:position w:val="1"/>
        </w:rPr>
        <w:t xml:space="preserve"> </w:t>
      </w:r>
    </w:p>
    <w:p w14:paraId="7F1E7C2C" w14:textId="77777777" w:rsidR="00A71EEF" w:rsidRDefault="0081115D">
      <w:pPr>
        <w:pStyle w:val="a3"/>
        <w:spacing w:line="424" w:lineRule="auto"/>
        <w:ind w:left="838" w:right="5442" w:firstLine="631"/>
      </w:pPr>
      <w:r>
        <w:rPr>
          <w:i/>
          <w:w w:val="96"/>
          <w:position w:val="1"/>
          <w:sz w:val="22"/>
        </w:rPr>
        <w:t>V</w:t>
      </w:r>
      <w:r>
        <w:rPr>
          <w:sz w:val="11"/>
        </w:rPr>
        <w:t>1</w:t>
      </w:r>
      <w:r>
        <w:rPr>
          <w:spacing w:val="-3"/>
          <w:position w:val="1"/>
        </w:rPr>
        <w:t>——</w:t>
      </w:r>
      <w:r>
        <w:rPr>
          <w:spacing w:val="-3"/>
          <w:position w:val="1"/>
        </w:rPr>
        <w:t>减压孔板前管网管道容积</w:t>
      </w:r>
      <w:r>
        <w:rPr>
          <w:position w:val="1"/>
        </w:rPr>
        <w:t>（</w:t>
      </w:r>
      <w:r>
        <w:rPr>
          <w:position w:val="1"/>
        </w:rPr>
        <w:t>m</w:t>
      </w:r>
      <w:r>
        <w:rPr>
          <w:spacing w:val="-3"/>
          <w:position w:val="1"/>
        </w:rPr>
        <w:t>³</w:t>
      </w:r>
      <w:r>
        <w:rPr>
          <w:spacing w:val="-106"/>
          <w:position w:val="1"/>
        </w:rPr>
        <w:t>）</w:t>
      </w:r>
      <w:r>
        <w:rPr>
          <w:spacing w:val="-3"/>
          <w:position w:val="1"/>
        </w:rPr>
        <w:t>；</w:t>
      </w:r>
      <w:r>
        <w:rPr>
          <w:position w:val="1"/>
        </w:rPr>
        <w:t xml:space="preserve"> </w:t>
      </w:r>
      <w:r>
        <w:rPr>
          <w:i/>
          <w:w w:val="96"/>
          <w:position w:val="1"/>
          <w:sz w:val="22"/>
        </w:rPr>
        <w:t>V</w:t>
      </w:r>
      <w:r>
        <w:rPr>
          <w:sz w:val="11"/>
        </w:rPr>
        <w:t>2</w:t>
      </w:r>
      <w:r>
        <w:rPr>
          <w:spacing w:val="-3"/>
          <w:position w:val="1"/>
        </w:rPr>
        <w:t>——</w:t>
      </w:r>
      <w:r>
        <w:rPr>
          <w:spacing w:val="-3"/>
          <w:position w:val="1"/>
        </w:rPr>
        <w:t>减压孔板后管网管道容积</w:t>
      </w:r>
      <w:r>
        <w:rPr>
          <w:position w:val="1"/>
        </w:rPr>
        <w:t>（</w:t>
      </w:r>
      <w:r>
        <w:rPr>
          <w:position w:val="1"/>
        </w:rPr>
        <w:t>m</w:t>
      </w:r>
      <w:r>
        <w:rPr>
          <w:spacing w:val="-3"/>
          <w:position w:val="1"/>
        </w:rPr>
        <w:t>³</w:t>
      </w:r>
      <w:r>
        <w:rPr>
          <w:spacing w:val="-106"/>
          <w:position w:val="1"/>
        </w:rPr>
        <w:t>）</w:t>
      </w:r>
      <w:r>
        <w:rPr>
          <w:spacing w:val="-3"/>
          <w:position w:val="1"/>
        </w:rPr>
        <w:t>。</w:t>
      </w:r>
      <w:r>
        <w:rPr>
          <w:position w:val="1"/>
        </w:rPr>
        <w:t xml:space="preserve"> </w:t>
      </w:r>
    </w:p>
    <w:p w14:paraId="4F8E9666" w14:textId="77777777" w:rsidR="00A71EEF" w:rsidRDefault="0081115D">
      <w:pPr>
        <w:pStyle w:val="a4"/>
        <w:numPr>
          <w:ilvl w:val="0"/>
          <w:numId w:val="616"/>
        </w:numPr>
        <w:tabs>
          <w:tab w:val="left" w:pos="1367"/>
        </w:tabs>
        <w:spacing w:before="9"/>
        <w:rPr>
          <w:sz w:val="21"/>
        </w:rPr>
      </w:pPr>
      <w:r>
        <w:rPr>
          <w:spacing w:val="-3"/>
          <w:sz w:val="21"/>
        </w:rPr>
        <w:t>减压孔板后的压力，应按下式计算：</w:t>
      </w:r>
      <w:r>
        <w:rPr>
          <w:sz w:val="21"/>
        </w:rPr>
        <w:t xml:space="preserve"> </w:t>
      </w:r>
    </w:p>
    <w:p w14:paraId="2C2CAEFB" w14:textId="77777777" w:rsidR="00A71EEF" w:rsidRDefault="0081115D">
      <w:pPr>
        <w:pStyle w:val="a3"/>
        <w:spacing w:before="2"/>
        <w:rPr>
          <w:sz w:val="20"/>
        </w:rPr>
      </w:pPr>
      <w:r>
        <w:rPr>
          <w:noProof/>
        </w:rPr>
        <w:drawing>
          <wp:anchor distT="0" distB="0" distL="0" distR="0" simplePos="0" relativeHeight="251581952" behindDoc="0" locked="0" layoutInCell="1" allowOverlap="1" wp14:anchorId="3585922A" wp14:editId="60453889">
            <wp:simplePos x="0" y="0"/>
            <wp:positionH relativeFrom="page">
              <wp:posOffset>1656079</wp:posOffset>
            </wp:positionH>
            <wp:positionV relativeFrom="paragraph">
              <wp:posOffset>189158</wp:posOffset>
            </wp:positionV>
            <wp:extent cx="2209799" cy="238125"/>
            <wp:effectExtent l="0" t="0" r="0" b="0"/>
            <wp:wrapTopAndBottom/>
            <wp:docPr id="323" name="image1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198.jpeg"/>
                    <pic:cNvPicPr/>
                  </pic:nvPicPr>
                  <pic:blipFill>
                    <a:blip r:embed="rId235" cstate="print"/>
                    <a:stretch>
                      <a:fillRect/>
                    </a:stretch>
                  </pic:blipFill>
                  <pic:spPr>
                    <a:xfrm>
                      <a:off x="0" y="0"/>
                      <a:ext cx="2209799" cy="238125"/>
                    </a:xfrm>
                    <a:prstGeom prst="rect">
                      <a:avLst/>
                    </a:prstGeom>
                  </pic:spPr>
                </pic:pic>
              </a:graphicData>
            </a:graphic>
          </wp:anchor>
        </w:drawing>
      </w:r>
    </w:p>
    <w:p w14:paraId="4941AA8D" w14:textId="77777777" w:rsidR="00A71EEF" w:rsidRDefault="00A71EEF">
      <w:pPr>
        <w:pStyle w:val="a3"/>
        <w:rPr>
          <w:sz w:val="20"/>
        </w:rPr>
      </w:pPr>
    </w:p>
    <w:p w14:paraId="7738B51E" w14:textId="77777777" w:rsidR="00A71EEF" w:rsidRDefault="00A71EEF">
      <w:pPr>
        <w:pStyle w:val="a3"/>
        <w:rPr>
          <w:sz w:val="20"/>
        </w:rPr>
      </w:pPr>
    </w:p>
    <w:p w14:paraId="55892E31" w14:textId="77777777" w:rsidR="00A71EEF" w:rsidRDefault="00A71EEF">
      <w:pPr>
        <w:pStyle w:val="a3"/>
        <w:spacing w:before="2"/>
        <w:rPr>
          <w:sz w:val="19"/>
        </w:rPr>
      </w:pPr>
    </w:p>
    <w:p w14:paraId="0ABDF608" w14:textId="77777777" w:rsidR="00A71EEF" w:rsidRDefault="0081115D">
      <w:pPr>
        <w:pStyle w:val="a3"/>
        <w:ind w:left="838"/>
      </w:pPr>
      <w:r>
        <w:rPr>
          <w:spacing w:val="-1"/>
          <w:position w:val="1"/>
        </w:rPr>
        <w:t>式中</w:t>
      </w:r>
      <w:r>
        <w:rPr>
          <w:spacing w:val="-1"/>
          <w:position w:val="1"/>
        </w:rPr>
        <w:t xml:space="preserve">   </w:t>
      </w:r>
      <w:r>
        <w:rPr>
          <w:i/>
          <w:w w:val="96"/>
          <w:position w:val="1"/>
          <w:sz w:val="22"/>
        </w:rPr>
        <w:t>P</w:t>
      </w:r>
      <w:r>
        <w:rPr>
          <w:spacing w:val="-3"/>
          <w:sz w:val="11"/>
        </w:rPr>
        <w:t>2</w:t>
      </w:r>
      <w:r>
        <w:rPr>
          <w:spacing w:val="-3"/>
          <w:position w:val="1"/>
        </w:rPr>
        <w:t>——</w:t>
      </w:r>
      <w:r>
        <w:rPr>
          <w:spacing w:val="-3"/>
          <w:position w:val="1"/>
        </w:rPr>
        <w:t>减压孔板后的压力</w:t>
      </w:r>
      <w:r>
        <w:rPr>
          <w:position w:val="1"/>
        </w:rPr>
        <w:t>（</w:t>
      </w:r>
      <w:r>
        <w:rPr>
          <w:position w:val="1"/>
        </w:rPr>
        <w:t>M</w:t>
      </w:r>
      <w:r>
        <w:rPr>
          <w:spacing w:val="-3"/>
          <w:position w:val="1"/>
        </w:rPr>
        <w:t>P</w:t>
      </w:r>
      <w:r>
        <w:rPr>
          <w:spacing w:val="-1"/>
          <w:position w:val="1"/>
        </w:rPr>
        <w:t>a</w:t>
      </w:r>
      <w:r>
        <w:rPr>
          <w:spacing w:val="-3"/>
          <w:position w:val="1"/>
        </w:rPr>
        <w:t>，绝对压力</w:t>
      </w:r>
      <w:r>
        <w:rPr>
          <w:spacing w:val="-108"/>
          <w:position w:val="1"/>
        </w:rPr>
        <w:t>）</w:t>
      </w:r>
      <w:r>
        <w:rPr>
          <w:position w:val="1"/>
        </w:rPr>
        <w:t>；</w:t>
      </w:r>
      <w:r>
        <w:rPr>
          <w:position w:val="1"/>
        </w:rPr>
        <w:t xml:space="preserve"> </w:t>
      </w:r>
    </w:p>
    <w:p w14:paraId="3494376C" w14:textId="77777777" w:rsidR="00A71EEF" w:rsidRDefault="00A71EEF">
      <w:pPr>
        <w:pStyle w:val="a3"/>
        <w:rPr>
          <w:sz w:val="17"/>
        </w:rPr>
      </w:pPr>
    </w:p>
    <w:p w14:paraId="351EEBA6" w14:textId="77777777" w:rsidR="00A71EEF" w:rsidRDefault="0081115D">
      <w:pPr>
        <w:pStyle w:val="a3"/>
        <w:ind w:left="1469"/>
      </w:pPr>
      <w:r>
        <w:rPr>
          <w:i/>
          <w:w w:val="96"/>
          <w:sz w:val="22"/>
        </w:rPr>
        <w:t>δ</w:t>
      </w:r>
      <w:r>
        <w:rPr>
          <w:spacing w:val="-4"/>
        </w:rPr>
        <w:t>——</w:t>
      </w:r>
      <w:r>
        <w:rPr>
          <w:spacing w:val="-4"/>
        </w:rPr>
        <w:t>落压比</w:t>
      </w:r>
      <w:r>
        <w:t>（</w:t>
      </w:r>
      <w:r>
        <w:rPr>
          <w:spacing w:val="-4"/>
        </w:rPr>
        <w:t>临界落压比：</w:t>
      </w:r>
      <w:r>
        <w:rPr>
          <w:i/>
          <w:w w:val="96"/>
          <w:sz w:val="22"/>
        </w:rPr>
        <w:t>δ</w:t>
      </w:r>
      <w:r>
        <w:t>=0</w:t>
      </w:r>
      <w:r>
        <w:rPr>
          <w:spacing w:val="-3"/>
        </w:rPr>
        <w:t>.</w:t>
      </w:r>
      <w:r>
        <w:t>5</w:t>
      </w:r>
      <w:r>
        <w:rPr>
          <w:spacing w:val="-1"/>
        </w:rPr>
        <w:t>2</w:t>
      </w:r>
      <w:r>
        <w:rPr>
          <w:spacing w:val="-108"/>
        </w:rPr>
        <w:t>）</w:t>
      </w:r>
      <w:r>
        <w:rPr>
          <w:spacing w:val="-4"/>
        </w:rPr>
        <w:t>。一级充压</w:t>
      </w:r>
      <w:r>
        <w:t>（</w:t>
      </w:r>
      <w:r>
        <w:t>15</w:t>
      </w:r>
      <w:r>
        <w:rPr>
          <w:spacing w:val="-3"/>
        </w:rPr>
        <w:t>M</w:t>
      </w:r>
      <w:r>
        <w:t>P</w:t>
      </w:r>
      <w:r>
        <w:rPr>
          <w:spacing w:val="-3"/>
        </w:rPr>
        <w:t>a</w:t>
      </w:r>
      <w:r>
        <w:rPr>
          <w:spacing w:val="-5"/>
        </w:rPr>
        <w:t>）</w:t>
      </w:r>
      <w:r>
        <w:rPr>
          <w:spacing w:val="-4"/>
        </w:rPr>
        <w:t>的系统，可在</w:t>
      </w:r>
      <w:r>
        <w:rPr>
          <w:i/>
          <w:spacing w:val="-3"/>
          <w:w w:val="96"/>
          <w:sz w:val="22"/>
        </w:rPr>
        <w:t>δ</w:t>
      </w:r>
      <w:r>
        <w:t>=0.5</w:t>
      </w:r>
      <w:r>
        <w:rPr>
          <w:spacing w:val="-3"/>
        </w:rPr>
        <w:t>2</w:t>
      </w:r>
      <w:r>
        <w:t>～</w:t>
      </w:r>
    </w:p>
    <w:p w14:paraId="7E4308BB" w14:textId="77777777" w:rsidR="00A71EEF" w:rsidRDefault="00A71EEF">
      <w:pPr>
        <w:pStyle w:val="a3"/>
        <w:rPr>
          <w:sz w:val="17"/>
        </w:rPr>
      </w:pPr>
    </w:p>
    <w:p w14:paraId="6CB2EE6F" w14:textId="77777777" w:rsidR="00A71EEF" w:rsidRDefault="0081115D">
      <w:pPr>
        <w:pStyle w:val="a3"/>
        <w:ind w:left="418"/>
      </w:pPr>
      <w:r>
        <w:t xml:space="preserve">0.60 </w:t>
      </w:r>
      <w:r>
        <w:t>中选用；二级充压（</w:t>
      </w:r>
      <w:r>
        <w:t>20MPa</w:t>
      </w:r>
      <w:r>
        <w:t>）的系统，可在</w:t>
      </w:r>
      <w:r>
        <w:rPr>
          <w:i/>
          <w:sz w:val="22"/>
        </w:rPr>
        <w:t>δ</w:t>
      </w:r>
      <w:r>
        <w:t>=0.52</w:t>
      </w:r>
      <w:r>
        <w:t>～</w:t>
      </w:r>
      <w:r>
        <w:t xml:space="preserve">0.55 </w:t>
      </w:r>
      <w:r>
        <w:t>中选用。</w:t>
      </w:r>
      <w:r>
        <w:t xml:space="preserve">  </w:t>
      </w:r>
      <w:r>
        <w:t xml:space="preserve"> </w:t>
      </w:r>
      <w:r>
        <w:t xml:space="preserve"> </w:t>
      </w:r>
      <w:r>
        <w:t xml:space="preserve"> </w:t>
      </w:r>
    </w:p>
    <w:p w14:paraId="277205F2" w14:textId="77777777" w:rsidR="00A71EEF" w:rsidRDefault="00A71EEF">
      <w:pPr>
        <w:pStyle w:val="a3"/>
        <w:spacing w:before="12"/>
        <w:rPr>
          <w:sz w:val="17"/>
        </w:rPr>
      </w:pPr>
    </w:p>
    <w:p w14:paraId="5C5AE4DC" w14:textId="77777777" w:rsidR="00A71EEF" w:rsidRDefault="0081115D">
      <w:pPr>
        <w:pStyle w:val="a4"/>
        <w:numPr>
          <w:ilvl w:val="0"/>
          <w:numId w:val="616"/>
        </w:numPr>
        <w:tabs>
          <w:tab w:val="left" w:pos="1367"/>
        </w:tabs>
        <w:rPr>
          <w:sz w:val="21"/>
        </w:rPr>
      </w:pPr>
      <w:r>
        <w:rPr>
          <w:spacing w:val="-3"/>
          <w:sz w:val="21"/>
        </w:rPr>
        <w:t>减压孔板孔口面积，宜按下式计算：</w:t>
      </w:r>
      <w:r>
        <w:rPr>
          <w:sz w:val="21"/>
        </w:rPr>
        <w:t xml:space="preserve"> </w:t>
      </w:r>
    </w:p>
    <w:p w14:paraId="260AC4DC" w14:textId="77777777" w:rsidR="00A71EEF" w:rsidRDefault="00A71EEF">
      <w:pPr>
        <w:pStyle w:val="a3"/>
        <w:rPr>
          <w:sz w:val="20"/>
        </w:rPr>
      </w:pPr>
    </w:p>
    <w:p w14:paraId="062EE5D8" w14:textId="77777777" w:rsidR="00A71EEF" w:rsidRDefault="0081115D">
      <w:pPr>
        <w:pStyle w:val="a3"/>
        <w:spacing w:before="4"/>
        <w:rPr>
          <w:sz w:val="19"/>
        </w:rPr>
      </w:pPr>
      <w:r>
        <w:rPr>
          <w:noProof/>
        </w:rPr>
        <w:drawing>
          <wp:anchor distT="0" distB="0" distL="0" distR="0" simplePos="0" relativeHeight="251582976" behindDoc="0" locked="0" layoutInCell="1" allowOverlap="1" wp14:anchorId="5A96D375" wp14:editId="673B1AB9">
            <wp:simplePos x="0" y="0"/>
            <wp:positionH relativeFrom="page">
              <wp:posOffset>1408430</wp:posOffset>
            </wp:positionH>
            <wp:positionV relativeFrom="paragraph">
              <wp:posOffset>182046</wp:posOffset>
            </wp:positionV>
            <wp:extent cx="2828924" cy="457200"/>
            <wp:effectExtent l="0" t="0" r="0" b="0"/>
            <wp:wrapTopAndBottom/>
            <wp:docPr id="325" name="image1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199.jpeg"/>
                    <pic:cNvPicPr/>
                  </pic:nvPicPr>
                  <pic:blipFill>
                    <a:blip r:embed="rId236" cstate="print"/>
                    <a:stretch>
                      <a:fillRect/>
                    </a:stretch>
                  </pic:blipFill>
                  <pic:spPr>
                    <a:xfrm>
                      <a:off x="0" y="0"/>
                      <a:ext cx="2828924" cy="457200"/>
                    </a:xfrm>
                    <a:prstGeom prst="rect">
                      <a:avLst/>
                    </a:prstGeom>
                  </pic:spPr>
                </pic:pic>
              </a:graphicData>
            </a:graphic>
          </wp:anchor>
        </w:drawing>
      </w:r>
    </w:p>
    <w:p w14:paraId="5034529B" w14:textId="77777777" w:rsidR="00A71EEF" w:rsidRDefault="00A71EEF">
      <w:pPr>
        <w:pStyle w:val="a3"/>
        <w:rPr>
          <w:sz w:val="20"/>
        </w:rPr>
      </w:pPr>
    </w:p>
    <w:p w14:paraId="0251D490" w14:textId="77777777" w:rsidR="00A71EEF" w:rsidRDefault="00A71EEF">
      <w:pPr>
        <w:pStyle w:val="a3"/>
        <w:rPr>
          <w:sz w:val="20"/>
        </w:rPr>
      </w:pPr>
    </w:p>
    <w:p w14:paraId="18543A08" w14:textId="77777777" w:rsidR="00A71EEF" w:rsidRDefault="00A71EEF">
      <w:pPr>
        <w:pStyle w:val="a3"/>
        <w:spacing w:before="11"/>
        <w:rPr>
          <w:sz w:val="14"/>
        </w:rPr>
      </w:pPr>
    </w:p>
    <w:p w14:paraId="724314B4" w14:textId="77777777" w:rsidR="00A71EEF" w:rsidRDefault="0081115D">
      <w:pPr>
        <w:pStyle w:val="a3"/>
        <w:spacing w:before="71" w:line="424" w:lineRule="auto"/>
        <w:ind w:left="1469" w:right="5862" w:hanging="632"/>
        <w:jc w:val="both"/>
      </w:pPr>
      <w:r>
        <w:rPr>
          <w:spacing w:val="-1"/>
          <w:position w:val="1"/>
        </w:rPr>
        <w:t>式中</w:t>
      </w:r>
      <w:r>
        <w:rPr>
          <w:spacing w:val="-1"/>
          <w:position w:val="1"/>
        </w:rPr>
        <w:t xml:space="preserve">  </w:t>
      </w:r>
      <w:r>
        <w:rPr>
          <w:i/>
          <w:w w:val="96"/>
          <w:position w:val="1"/>
          <w:sz w:val="22"/>
        </w:rPr>
        <w:t xml:space="preserve"> F</w:t>
      </w:r>
      <w:r>
        <w:rPr>
          <w:i/>
          <w:spacing w:val="-3"/>
          <w:sz w:val="11"/>
        </w:rPr>
        <w:t>k</w:t>
      </w:r>
      <w:r>
        <w:rPr>
          <w:spacing w:val="-3"/>
          <w:position w:val="1"/>
        </w:rPr>
        <w:t>——</w:t>
      </w:r>
      <w:r>
        <w:rPr>
          <w:spacing w:val="-3"/>
          <w:position w:val="1"/>
        </w:rPr>
        <w:t>减压孔板孔口面积</w:t>
      </w:r>
      <w:r>
        <w:rPr>
          <w:position w:val="1"/>
        </w:rPr>
        <w:t>（</w:t>
      </w:r>
      <w:r>
        <w:rPr>
          <w:position w:val="1"/>
        </w:rPr>
        <w:t>c</w:t>
      </w:r>
      <w:r>
        <w:rPr>
          <w:spacing w:val="-3"/>
          <w:position w:val="1"/>
        </w:rPr>
        <w:t>m</w:t>
      </w:r>
      <w:r>
        <w:rPr>
          <w:position w:val="1"/>
        </w:rPr>
        <w:t>²</w:t>
      </w:r>
      <w:r>
        <w:rPr>
          <w:spacing w:val="-106"/>
          <w:position w:val="1"/>
        </w:rPr>
        <w:t>）</w:t>
      </w:r>
      <w:r>
        <w:rPr>
          <w:spacing w:val="-3"/>
          <w:position w:val="1"/>
        </w:rPr>
        <w:t>；</w:t>
      </w:r>
      <w:r>
        <w:rPr>
          <w:position w:val="1"/>
        </w:rPr>
        <w:t xml:space="preserve"> </w:t>
      </w:r>
      <w:r>
        <w:rPr>
          <w:i/>
          <w:w w:val="96"/>
          <w:position w:val="1"/>
          <w:sz w:val="22"/>
        </w:rPr>
        <w:t>Q</w:t>
      </w:r>
      <w:r>
        <w:rPr>
          <w:i/>
          <w:sz w:val="11"/>
        </w:rPr>
        <w:t>k</w:t>
      </w:r>
      <w:r>
        <w:rPr>
          <w:spacing w:val="-3"/>
          <w:position w:val="1"/>
        </w:rPr>
        <w:t>——</w:t>
      </w:r>
      <w:r>
        <w:rPr>
          <w:spacing w:val="-3"/>
          <w:position w:val="1"/>
        </w:rPr>
        <w:t>减压孔板设计流量</w:t>
      </w:r>
      <w:r>
        <w:rPr>
          <w:position w:val="1"/>
        </w:rPr>
        <w:t>（</w:t>
      </w:r>
      <w:r>
        <w:rPr>
          <w:position w:val="1"/>
        </w:rPr>
        <w:t>kg/</w:t>
      </w:r>
      <w:r>
        <w:rPr>
          <w:spacing w:val="-3"/>
          <w:position w:val="1"/>
        </w:rPr>
        <w:t>s</w:t>
      </w:r>
      <w:r>
        <w:rPr>
          <w:spacing w:val="-106"/>
          <w:position w:val="1"/>
        </w:rPr>
        <w:t>）</w:t>
      </w:r>
      <w:r>
        <w:rPr>
          <w:spacing w:val="-3"/>
          <w:position w:val="1"/>
        </w:rPr>
        <w:t>；</w:t>
      </w:r>
      <w:r>
        <w:rPr>
          <w:position w:val="1"/>
        </w:rPr>
        <w:t xml:space="preserve"> </w:t>
      </w:r>
      <w:r>
        <w:rPr>
          <w:i/>
          <w:position w:val="1"/>
          <w:sz w:val="22"/>
        </w:rPr>
        <w:t>μ</w:t>
      </w:r>
      <w:r>
        <w:rPr>
          <w:i/>
          <w:sz w:val="11"/>
        </w:rPr>
        <w:t>k</w:t>
      </w:r>
      <w:r>
        <w:rPr>
          <w:spacing w:val="-3"/>
          <w:position w:val="1"/>
        </w:rPr>
        <w:t>——</w:t>
      </w:r>
      <w:r>
        <w:rPr>
          <w:spacing w:val="-3"/>
          <w:position w:val="1"/>
        </w:rPr>
        <w:t>减压孔板流量系数。</w:t>
      </w:r>
      <w:r>
        <w:rPr>
          <w:spacing w:val="-3"/>
          <w:position w:val="1"/>
        </w:rPr>
        <w:t xml:space="preserve"> </w:t>
      </w:r>
    </w:p>
    <w:p w14:paraId="127E3F65" w14:textId="77777777" w:rsidR="00A71EEF" w:rsidRDefault="00A71EEF">
      <w:pPr>
        <w:spacing w:line="424" w:lineRule="auto"/>
        <w:jc w:val="both"/>
        <w:sectPr w:rsidR="00A71EEF">
          <w:pgSz w:w="11910" w:h="16850"/>
          <w:pgMar w:top="1080" w:right="0" w:bottom="1420" w:left="1260" w:header="0" w:footer="1239" w:gutter="0"/>
          <w:cols w:space="720"/>
        </w:sectPr>
      </w:pPr>
    </w:p>
    <w:p w14:paraId="1052BEDD" w14:textId="77777777" w:rsidR="00A71EEF" w:rsidRDefault="0081115D">
      <w:pPr>
        <w:pStyle w:val="a4"/>
        <w:numPr>
          <w:ilvl w:val="0"/>
          <w:numId w:val="616"/>
        </w:numPr>
        <w:tabs>
          <w:tab w:val="left" w:pos="1367"/>
        </w:tabs>
        <w:spacing w:before="47" w:line="446" w:lineRule="auto"/>
        <w:ind w:left="418" w:right="1436" w:firstLine="419"/>
        <w:rPr>
          <w:sz w:val="21"/>
        </w:rPr>
      </w:pPr>
      <w:r>
        <w:rPr>
          <w:spacing w:val="-6"/>
          <w:sz w:val="21"/>
        </w:rPr>
        <w:t>系统的阻力损失宜从减压孔板后算起，并按下列公式计算，压力系数和密度系数，应</w:t>
      </w:r>
      <w:r>
        <w:rPr>
          <w:spacing w:val="-8"/>
          <w:sz w:val="21"/>
        </w:rPr>
        <w:t>依据计算点压力按本规范附录</w:t>
      </w:r>
      <w:r>
        <w:rPr>
          <w:spacing w:val="-8"/>
          <w:sz w:val="21"/>
        </w:rPr>
        <w:t xml:space="preserve"> </w:t>
      </w:r>
      <w:r>
        <w:rPr>
          <w:sz w:val="21"/>
        </w:rPr>
        <w:t>E</w:t>
      </w:r>
      <w:r>
        <w:rPr>
          <w:spacing w:val="-16"/>
          <w:sz w:val="21"/>
        </w:rPr>
        <w:t xml:space="preserve"> </w:t>
      </w:r>
      <w:r>
        <w:rPr>
          <w:spacing w:val="-16"/>
          <w:sz w:val="21"/>
        </w:rPr>
        <w:t>确定。</w:t>
      </w:r>
      <w:r>
        <w:rPr>
          <w:sz w:val="21"/>
        </w:rPr>
        <w:t xml:space="preserve"> </w:t>
      </w:r>
    </w:p>
    <w:p w14:paraId="5170EE77" w14:textId="77777777" w:rsidR="00A71EEF" w:rsidRDefault="0081115D">
      <w:pPr>
        <w:pStyle w:val="a3"/>
        <w:spacing w:before="10"/>
      </w:pPr>
      <w:r>
        <w:rPr>
          <w:noProof/>
        </w:rPr>
        <w:drawing>
          <wp:anchor distT="0" distB="0" distL="0" distR="0" simplePos="0" relativeHeight="251584000" behindDoc="0" locked="0" layoutInCell="1" allowOverlap="1" wp14:anchorId="617D28A3" wp14:editId="198CD19B">
            <wp:simplePos x="0" y="0"/>
            <wp:positionH relativeFrom="page">
              <wp:posOffset>1408430</wp:posOffset>
            </wp:positionH>
            <wp:positionV relativeFrom="paragraph">
              <wp:posOffset>202112</wp:posOffset>
            </wp:positionV>
            <wp:extent cx="3581400" cy="352425"/>
            <wp:effectExtent l="0" t="0" r="0" b="0"/>
            <wp:wrapTopAndBottom/>
            <wp:docPr id="327" name="image2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200.jpeg"/>
                    <pic:cNvPicPr/>
                  </pic:nvPicPr>
                  <pic:blipFill>
                    <a:blip r:embed="rId237" cstate="print"/>
                    <a:stretch>
                      <a:fillRect/>
                    </a:stretch>
                  </pic:blipFill>
                  <pic:spPr>
                    <a:xfrm>
                      <a:off x="0" y="0"/>
                      <a:ext cx="3581400" cy="352425"/>
                    </a:xfrm>
                    <a:prstGeom prst="rect">
                      <a:avLst/>
                    </a:prstGeom>
                  </pic:spPr>
                </pic:pic>
              </a:graphicData>
            </a:graphic>
          </wp:anchor>
        </w:drawing>
      </w:r>
    </w:p>
    <w:p w14:paraId="74791E53" w14:textId="77777777" w:rsidR="00A71EEF" w:rsidRDefault="0081115D">
      <w:pPr>
        <w:pStyle w:val="a3"/>
        <w:spacing w:before="166"/>
        <w:ind w:left="838"/>
      </w:pPr>
      <w:r>
        <w:rPr>
          <w:spacing w:val="-1"/>
        </w:rPr>
        <w:t>式中</w:t>
      </w:r>
      <w:r>
        <w:rPr>
          <w:spacing w:val="-1"/>
        </w:rPr>
        <w:t xml:space="preserve">   </w:t>
      </w:r>
      <w:r>
        <w:rPr>
          <w:i/>
          <w:w w:val="96"/>
          <w:sz w:val="22"/>
        </w:rPr>
        <w:t>Q</w:t>
      </w:r>
      <w:r>
        <w:rPr>
          <w:spacing w:val="-3"/>
        </w:rPr>
        <w:t>——</w:t>
      </w:r>
      <w:r>
        <w:rPr>
          <w:spacing w:val="-3"/>
        </w:rPr>
        <w:t>管道设计流量</w:t>
      </w:r>
      <w:r>
        <w:t>（</w:t>
      </w:r>
      <w:r>
        <w:t>k</w:t>
      </w:r>
      <w:r>
        <w:rPr>
          <w:spacing w:val="-3"/>
        </w:rPr>
        <w:t>g</w:t>
      </w:r>
      <w:r>
        <w:t>/</w:t>
      </w:r>
      <w:r>
        <w:rPr>
          <w:spacing w:val="-1"/>
        </w:rPr>
        <w:t>s</w:t>
      </w:r>
      <w:r>
        <w:rPr>
          <w:spacing w:val="-108"/>
        </w:rPr>
        <w:t>）</w:t>
      </w:r>
      <w:r>
        <w:rPr>
          <w:spacing w:val="-3"/>
        </w:rPr>
        <w:t>；</w:t>
      </w:r>
      <w:r>
        <w:t xml:space="preserve"> </w:t>
      </w:r>
    </w:p>
    <w:p w14:paraId="658D40D9" w14:textId="77777777" w:rsidR="00A71EEF" w:rsidRDefault="00A71EEF">
      <w:pPr>
        <w:pStyle w:val="a3"/>
        <w:spacing w:before="2"/>
        <w:rPr>
          <w:sz w:val="17"/>
        </w:rPr>
      </w:pPr>
    </w:p>
    <w:p w14:paraId="76FDB7D8" w14:textId="77777777" w:rsidR="00A71EEF" w:rsidRDefault="0081115D">
      <w:pPr>
        <w:pStyle w:val="a3"/>
        <w:ind w:right="4767"/>
        <w:jc w:val="center"/>
      </w:pPr>
      <w:r>
        <w:rPr>
          <w:i/>
          <w:w w:val="96"/>
          <w:sz w:val="22"/>
        </w:rPr>
        <w:t>L</w:t>
      </w:r>
      <w:r>
        <w:rPr>
          <w:spacing w:val="-3"/>
        </w:rPr>
        <w:t>——</w:t>
      </w:r>
      <w:r>
        <w:rPr>
          <w:spacing w:val="-3"/>
        </w:rPr>
        <w:t>管道计算长度</w:t>
      </w:r>
      <w:r>
        <w:t>（</w:t>
      </w:r>
      <w:r>
        <w:t>m</w:t>
      </w:r>
      <w:r>
        <w:rPr>
          <w:spacing w:val="-108"/>
        </w:rPr>
        <w:t>）</w:t>
      </w:r>
      <w:r>
        <w:rPr>
          <w:spacing w:val="-3"/>
        </w:rPr>
        <w:t>；</w:t>
      </w:r>
      <w:r>
        <w:t xml:space="preserve"> </w:t>
      </w:r>
    </w:p>
    <w:p w14:paraId="7E82D2B3" w14:textId="77777777" w:rsidR="00A71EEF" w:rsidRDefault="00A71EEF">
      <w:pPr>
        <w:pStyle w:val="a3"/>
        <w:spacing w:before="12"/>
        <w:rPr>
          <w:sz w:val="16"/>
        </w:rPr>
      </w:pPr>
    </w:p>
    <w:p w14:paraId="7BDA1954" w14:textId="77777777" w:rsidR="00A71EEF" w:rsidRDefault="0081115D">
      <w:pPr>
        <w:pStyle w:val="a3"/>
        <w:ind w:left="1469"/>
        <w:jc w:val="both"/>
      </w:pPr>
      <w:r>
        <w:rPr>
          <w:i/>
          <w:w w:val="96"/>
          <w:sz w:val="22"/>
        </w:rPr>
        <w:t>D</w:t>
      </w:r>
      <w:r>
        <w:rPr>
          <w:spacing w:val="-3"/>
        </w:rPr>
        <w:t>——</w:t>
      </w:r>
      <w:r>
        <w:rPr>
          <w:spacing w:val="-3"/>
        </w:rPr>
        <w:t>管道内径</w:t>
      </w:r>
      <w:r>
        <w:t>（</w:t>
      </w:r>
      <w:r>
        <w:t>mm</w:t>
      </w:r>
      <w:r>
        <w:rPr>
          <w:spacing w:val="-108"/>
        </w:rPr>
        <w:t>）</w:t>
      </w:r>
      <w:r>
        <w:rPr>
          <w:spacing w:val="-3"/>
        </w:rPr>
        <w:t>；</w:t>
      </w:r>
      <w:r>
        <w:t xml:space="preserve"> </w:t>
      </w:r>
    </w:p>
    <w:p w14:paraId="790AB8E7" w14:textId="77777777" w:rsidR="00A71EEF" w:rsidRDefault="00A71EEF">
      <w:pPr>
        <w:pStyle w:val="a3"/>
        <w:rPr>
          <w:sz w:val="17"/>
        </w:rPr>
      </w:pPr>
    </w:p>
    <w:p w14:paraId="2B646CD5" w14:textId="77777777" w:rsidR="00A71EEF" w:rsidRDefault="0081115D">
      <w:pPr>
        <w:pStyle w:val="a3"/>
        <w:spacing w:line="424" w:lineRule="auto"/>
        <w:ind w:left="1469" w:right="4491"/>
        <w:jc w:val="both"/>
      </w:pPr>
      <w:r>
        <w:pict w14:anchorId="4A51D95C">
          <v:shape id="_x0000_s1150" type="#_x0000_t202" style="position:absolute;left:0;text-align:left;margin-left:141.75pt;margin-top:6.75pt;width:2.8pt;height:5.55pt;z-index:-251526656;mso-position-horizontal-relative:page" filled="f" stroked="f">
            <v:textbox inset="0,0,0,0">
              <w:txbxContent>
                <w:p w14:paraId="0949830B" w14:textId="77777777" w:rsidR="00A71EEF" w:rsidRDefault="0081115D">
                  <w:pPr>
                    <w:spacing w:line="110" w:lineRule="exact"/>
                    <w:rPr>
                      <w:sz w:val="11"/>
                    </w:rPr>
                  </w:pPr>
                  <w:r>
                    <w:rPr>
                      <w:sz w:val="11"/>
                    </w:rPr>
                    <w:t>1</w:t>
                  </w:r>
                </w:p>
              </w:txbxContent>
            </v:textbox>
            <w10:wrap anchorx="page"/>
          </v:shape>
        </w:pict>
      </w:r>
      <w:r>
        <w:pict w14:anchorId="410C8526">
          <v:shape id="_x0000_s1149" type="#_x0000_t202" style="position:absolute;left:0;text-align:left;margin-left:141.75pt;margin-top:31.8pt;width:2.8pt;height:5.55pt;z-index:-251525632;mso-position-horizontal-relative:page" filled="f" stroked="f">
            <v:textbox inset="0,0,0,0">
              <w:txbxContent>
                <w:p w14:paraId="5E3960C8" w14:textId="77777777" w:rsidR="00A71EEF" w:rsidRDefault="0081115D">
                  <w:pPr>
                    <w:spacing w:line="110" w:lineRule="exact"/>
                    <w:rPr>
                      <w:sz w:val="11"/>
                    </w:rPr>
                  </w:pPr>
                  <w:r>
                    <w:rPr>
                      <w:sz w:val="11"/>
                    </w:rPr>
                    <w:t>2</w:t>
                  </w:r>
                </w:p>
              </w:txbxContent>
            </v:textbox>
            <w10:wrap anchorx="page"/>
          </v:shape>
        </w:pict>
      </w:r>
      <w:r>
        <w:rPr>
          <w:i/>
          <w:w w:val="96"/>
          <w:sz w:val="22"/>
        </w:rPr>
        <w:t>Y</w:t>
      </w:r>
      <w:r>
        <w:rPr>
          <w:i/>
          <w:spacing w:val="-55"/>
          <w:sz w:val="22"/>
        </w:rPr>
        <w:t xml:space="preserve"> </w:t>
      </w:r>
      <w:r>
        <w:rPr>
          <w:spacing w:val="-3"/>
        </w:rPr>
        <w:t>——</w:t>
      </w:r>
      <w:r>
        <w:rPr>
          <w:spacing w:val="-3"/>
        </w:rPr>
        <w:t>计算管段始端压力系数（</w:t>
      </w:r>
      <w:r>
        <w:t>10</w:t>
      </w:r>
      <w:r>
        <w:rPr>
          <w:position w:val="11"/>
          <w:sz w:val="11"/>
        </w:rPr>
        <w:t>-1</w:t>
      </w:r>
      <w:r>
        <w:rPr>
          <w:spacing w:val="-3"/>
        </w:rPr>
        <w:t>M</w:t>
      </w:r>
      <w:r>
        <w:t>P</w:t>
      </w:r>
      <w:r>
        <w:rPr>
          <w:spacing w:val="-1"/>
        </w:rPr>
        <w:t>a</w:t>
      </w:r>
      <w:r>
        <w:rPr>
          <w:spacing w:val="-2"/>
        </w:rPr>
        <w:t>·</w:t>
      </w:r>
      <w:r>
        <w:t>kg/</w:t>
      </w:r>
      <w:r>
        <w:rPr>
          <w:spacing w:val="-3"/>
        </w:rPr>
        <w:t>m</w:t>
      </w:r>
      <w:r>
        <w:t>³</w:t>
      </w:r>
      <w:r>
        <w:rPr>
          <w:spacing w:val="-106"/>
        </w:rPr>
        <w:t>）</w:t>
      </w:r>
      <w:r>
        <w:rPr>
          <w:spacing w:val="-3"/>
        </w:rPr>
        <w:t>；</w:t>
      </w:r>
      <w:r>
        <w:t xml:space="preserve"> </w:t>
      </w:r>
      <w:r>
        <w:rPr>
          <w:i/>
          <w:w w:val="96"/>
          <w:sz w:val="22"/>
        </w:rPr>
        <w:t>Y</w:t>
      </w:r>
      <w:r>
        <w:rPr>
          <w:i/>
          <w:spacing w:val="-55"/>
          <w:sz w:val="22"/>
        </w:rPr>
        <w:t xml:space="preserve"> </w:t>
      </w:r>
      <w:r>
        <w:rPr>
          <w:spacing w:val="-3"/>
        </w:rPr>
        <w:t>——</w:t>
      </w:r>
      <w:r>
        <w:rPr>
          <w:spacing w:val="-3"/>
        </w:rPr>
        <w:t>计算管段末端压力系数（</w:t>
      </w:r>
      <w:r>
        <w:t>10</w:t>
      </w:r>
      <w:r>
        <w:rPr>
          <w:position w:val="11"/>
          <w:sz w:val="11"/>
        </w:rPr>
        <w:t>-1</w:t>
      </w:r>
      <w:r>
        <w:rPr>
          <w:spacing w:val="-3"/>
        </w:rPr>
        <w:t>M</w:t>
      </w:r>
      <w:r>
        <w:t>P</w:t>
      </w:r>
      <w:r>
        <w:rPr>
          <w:spacing w:val="-1"/>
        </w:rPr>
        <w:t>a</w:t>
      </w:r>
      <w:r>
        <w:rPr>
          <w:spacing w:val="-2"/>
        </w:rPr>
        <w:t>·</w:t>
      </w:r>
      <w:r>
        <w:t>kg/</w:t>
      </w:r>
      <w:r>
        <w:rPr>
          <w:spacing w:val="-3"/>
        </w:rPr>
        <w:t>m</w:t>
      </w:r>
      <w:r>
        <w:t>³</w:t>
      </w:r>
      <w:r>
        <w:rPr>
          <w:spacing w:val="-106"/>
        </w:rPr>
        <w:t>）</w:t>
      </w:r>
      <w:r>
        <w:rPr>
          <w:spacing w:val="-3"/>
        </w:rPr>
        <w:t>；</w:t>
      </w:r>
      <w:r>
        <w:t xml:space="preserve"> </w:t>
      </w:r>
      <w:r>
        <w:rPr>
          <w:i/>
          <w:position w:val="1"/>
          <w:sz w:val="22"/>
        </w:rPr>
        <w:t>Z</w:t>
      </w:r>
      <w:r>
        <w:rPr>
          <w:sz w:val="11"/>
        </w:rPr>
        <w:t>1</w:t>
      </w:r>
      <w:r>
        <w:rPr>
          <w:spacing w:val="-3"/>
          <w:position w:val="1"/>
        </w:rPr>
        <w:t>——</w:t>
      </w:r>
      <w:r>
        <w:rPr>
          <w:spacing w:val="-3"/>
          <w:position w:val="1"/>
        </w:rPr>
        <w:t>计算管段始端密度系数；</w:t>
      </w:r>
      <w:r>
        <w:rPr>
          <w:position w:val="1"/>
        </w:rPr>
        <w:t xml:space="preserve"> </w:t>
      </w:r>
    </w:p>
    <w:p w14:paraId="46AFE50B" w14:textId="77777777" w:rsidR="00A71EEF" w:rsidRDefault="0081115D">
      <w:pPr>
        <w:pStyle w:val="a3"/>
        <w:spacing w:before="3"/>
        <w:ind w:right="4707"/>
        <w:jc w:val="center"/>
      </w:pPr>
      <w:r>
        <w:rPr>
          <w:i/>
          <w:position w:val="1"/>
          <w:sz w:val="22"/>
        </w:rPr>
        <w:t>Z</w:t>
      </w:r>
      <w:r>
        <w:rPr>
          <w:sz w:val="11"/>
        </w:rPr>
        <w:t>2</w:t>
      </w:r>
      <w:r>
        <w:rPr>
          <w:position w:val="1"/>
        </w:rPr>
        <w:t>——</w:t>
      </w:r>
      <w:r>
        <w:rPr>
          <w:position w:val="1"/>
        </w:rPr>
        <w:t>计算管段末端密度系数。</w:t>
      </w:r>
      <w:r>
        <w:rPr>
          <w:position w:val="1"/>
        </w:rPr>
        <w:t xml:space="preserve"> </w:t>
      </w:r>
    </w:p>
    <w:p w14:paraId="64F2C3A4" w14:textId="77777777" w:rsidR="00A71EEF" w:rsidRDefault="00A71EEF">
      <w:pPr>
        <w:pStyle w:val="a3"/>
        <w:spacing w:before="12"/>
        <w:rPr>
          <w:sz w:val="17"/>
        </w:rPr>
      </w:pPr>
    </w:p>
    <w:p w14:paraId="504852F4" w14:textId="77777777" w:rsidR="00A71EEF" w:rsidRDefault="0081115D">
      <w:pPr>
        <w:pStyle w:val="a4"/>
        <w:numPr>
          <w:ilvl w:val="2"/>
          <w:numId w:val="619"/>
        </w:numPr>
        <w:tabs>
          <w:tab w:val="left" w:pos="1371"/>
        </w:tabs>
        <w:ind w:left="1370" w:hanging="531"/>
        <w:rPr>
          <w:sz w:val="21"/>
        </w:rPr>
      </w:pPr>
      <w:r>
        <w:rPr>
          <w:sz w:val="21"/>
        </w:rPr>
        <w:t>IG541</w:t>
      </w:r>
      <w:r>
        <w:rPr>
          <w:spacing w:val="-9"/>
          <w:sz w:val="21"/>
        </w:rPr>
        <w:t xml:space="preserve"> </w:t>
      </w:r>
      <w:r>
        <w:rPr>
          <w:spacing w:val="-9"/>
          <w:sz w:val="21"/>
        </w:rPr>
        <w:t>混合气体灭火系统的喷头工作压力的计算结果，应符合下列规定：</w:t>
      </w:r>
      <w:r>
        <w:rPr>
          <w:spacing w:val="-9"/>
          <w:sz w:val="21"/>
        </w:rPr>
        <w:t xml:space="preserve"> </w:t>
      </w:r>
    </w:p>
    <w:p w14:paraId="01A33575" w14:textId="77777777" w:rsidR="00A71EEF" w:rsidRDefault="00A71EEF">
      <w:pPr>
        <w:pStyle w:val="a3"/>
        <w:rPr>
          <w:sz w:val="18"/>
        </w:rPr>
      </w:pPr>
    </w:p>
    <w:p w14:paraId="6D4682AC" w14:textId="77777777" w:rsidR="00A71EEF" w:rsidRDefault="0081115D">
      <w:pPr>
        <w:pStyle w:val="a4"/>
        <w:numPr>
          <w:ilvl w:val="0"/>
          <w:numId w:val="615"/>
        </w:numPr>
        <w:tabs>
          <w:tab w:val="left" w:pos="1367"/>
        </w:tabs>
        <w:rPr>
          <w:sz w:val="21"/>
        </w:rPr>
      </w:pPr>
      <w:r>
        <w:rPr>
          <w:spacing w:val="-3"/>
          <w:sz w:val="21"/>
        </w:rPr>
        <w:t>一级充压</w:t>
      </w:r>
      <w:r>
        <w:rPr>
          <w:spacing w:val="-1"/>
          <w:sz w:val="21"/>
        </w:rPr>
        <w:t>（</w:t>
      </w:r>
      <w:r>
        <w:rPr>
          <w:sz w:val="21"/>
        </w:rPr>
        <w:t>15</w:t>
      </w:r>
      <w:r>
        <w:rPr>
          <w:spacing w:val="-3"/>
          <w:sz w:val="21"/>
        </w:rPr>
        <w:t>M</w:t>
      </w:r>
      <w:r>
        <w:rPr>
          <w:sz w:val="21"/>
        </w:rPr>
        <w:t>Pa</w:t>
      </w:r>
      <w:r>
        <w:rPr>
          <w:spacing w:val="-3"/>
          <w:sz w:val="21"/>
        </w:rPr>
        <w:t>）</w:t>
      </w:r>
      <w:r>
        <w:rPr>
          <w:spacing w:val="-1"/>
          <w:sz w:val="21"/>
        </w:rPr>
        <w:t>系统，</w:t>
      </w:r>
      <w:r>
        <w:rPr>
          <w:spacing w:val="-1"/>
          <w:sz w:val="21"/>
        </w:rPr>
        <w:t xml:space="preserve"> </w:t>
      </w:r>
      <w:r>
        <w:rPr>
          <w:sz w:val="21"/>
        </w:rPr>
        <w:t>P</w:t>
      </w:r>
      <w:r>
        <w:rPr>
          <w:spacing w:val="-3"/>
          <w:sz w:val="21"/>
        </w:rPr>
        <w:t>c</w:t>
      </w:r>
      <w:r>
        <w:rPr>
          <w:sz w:val="21"/>
        </w:rPr>
        <w:t>≥2.</w:t>
      </w:r>
      <w:r>
        <w:rPr>
          <w:spacing w:val="-3"/>
          <w:sz w:val="21"/>
        </w:rPr>
        <w:t>0</w:t>
      </w:r>
      <w:r>
        <w:rPr>
          <w:sz w:val="21"/>
        </w:rPr>
        <w:t>（</w:t>
      </w:r>
      <w:r>
        <w:rPr>
          <w:sz w:val="21"/>
        </w:rPr>
        <w:t>M</w:t>
      </w:r>
      <w:r>
        <w:rPr>
          <w:spacing w:val="-3"/>
          <w:sz w:val="21"/>
        </w:rPr>
        <w:t>P</w:t>
      </w:r>
      <w:r>
        <w:rPr>
          <w:sz w:val="21"/>
        </w:rPr>
        <w:t>a</w:t>
      </w:r>
      <w:r>
        <w:rPr>
          <w:spacing w:val="-3"/>
          <w:sz w:val="21"/>
        </w:rPr>
        <w:t>，绝对压力</w:t>
      </w:r>
      <w:r>
        <w:rPr>
          <w:spacing w:val="-106"/>
          <w:sz w:val="21"/>
        </w:rPr>
        <w:t>）</w:t>
      </w:r>
      <w:r>
        <w:rPr>
          <w:spacing w:val="-3"/>
          <w:sz w:val="21"/>
        </w:rPr>
        <w:t>；</w:t>
      </w:r>
      <w:r>
        <w:rPr>
          <w:sz w:val="21"/>
        </w:rPr>
        <w:t xml:space="preserve"> </w:t>
      </w:r>
    </w:p>
    <w:p w14:paraId="450FF107" w14:textId="77777777" w:rsidR="00A71EEF" w:rsidRDefault="00A71EEF">
      <w:pPr>
        <w:pStyle w:val="a3"/>
        <w:rPr>
          <w:sz w:val="18"/>
        </w:rPr>
      </w:pPr>
    </w:p>
    <w:p w14:paraId="0F9E782E" w14:textId="77777777" w:rsidR="00A71EEF" w:rsidRDefault="0081115D">
      <w:pPr>
        <w:pStyle w:val="a4"/>
        <w:numPr>
          <w:ilvl w:val="0"/>
          <w:numId w:val="615"/>
        </w:numPr>
        <w:tabs>
          <w:tab w:val="left" w:pos="1367"/>
        </w:tabs>
        <w:spacing w:line="446" w:lineRule="auto"/>
        <w:ind w:left="840" w:right="4028" w:hanging="3"/>
        <w:rPr>
          <w:sz w:val="21"/>
        </w:rPr>
      </w:pPr>
      <w:r>
        <w:rPr>
          <w:spacing w:val="-3"/>
          <w:sz w:val="21"/>
        </w:rPr>
        <w:t>二级充压</w:t>
      </w:r>
      <w:r>
        <w:rPr>
          <w:sz w:val="21"/>
        </w:rPr>
        <w:t>（</w:t>
      </w:r>
      <w:r>
        <w:rPr>
          <w:sz w:val="21"/>
        </w:rPr>
        <w:t>20MPa</w:t>
      </w:r>
      <w:r>
        <w:rPr>
          <w:sz w:val="21"/>
        </w:rPr>
        <w:t>）系统，</w:t>
      </w:r>
      <w:r>
        <w:rPr>
          <w:sz w:val="21"/>
        </w:rPr>
        <w:t xml:space="preserve"> Pc≥2.1</w:t>
      </w:r>
      <w:r>
        <w:rPr>
          <w:sz w:val="21"/>
        </w:rPr>
        <w:t>（</w:t>
      </w:r>
      <w:r>
        <w:rPr>
          <w:sz w:val="21"/>
        </w:rPr>
        <w:t>MPa</w:t>
      </w:r>
      <w:r>
        <w:rPr>
          <w:spacing w:val="-3"/>
          <w:sz w:val="21"/>
        </w:rPr>
        <w:t>，绝对压力</w:t>
      </w:r>
      <w:r>
        <w:rPr>
          <w:spacing w:val="-106"/>
          <w:sz w:val="21"/>
        </w:rPr>
        <w:t>）</w:t>
      </w:r>
      <w:r>
        <w:rPr>
          <w:spacing w:val="-3"/>
          <w:sz w:val="21"/>
        </w:rPr>
        <w:t>。</w:t>
      </w:r>
      <w:r>
        <w:rPr>
          <w:b/>
          <w:sz w:val="21"/>
        </w:rPr>
        <w:t xml:space="preserve">3.4.10 </w:t>
      </w:r>
      <w:r>
        <w:rPr>
          <w:spacing w:val="-3"/>
          <w:sz w:val="21"/>
        </w:rPr>
        <w:t>喷头等效孔口面积，应按下式计算：</w:t>
      </w:r>
      <w:r>
        <w:rPr>
          <w:sz w:val="21"/>
        </w:rPr>
        <w:t xml:space="preserve"> </w:t>
      </w:r>
    </w:p>
    <w:p w14:paraId="4D753FFF" w14:textId="77777777" w:rsidR="00A71EEF" w:rsidRDefault="0081115D">
      <w:pPr>
        <w:pStyle w:val="a3"/>
        <w:spacing w:before="4"/>
        <w:rPr>
          <w:sz w:val="23"/>
        </w:rPr>
      </w:pPr>
      <w:r>
        <w:rPr>
          <w:noProof/>
        </w:rPr>
        <w:drawing>
          <wp:anchor distT="0" distB="0" distL="0" distR="0" simplePos="0" relativeHeight="251585024" behindDoc="0" locked="0" layoutInCell="1" allowOverlap="1" wp14:anchorId="185CDDC5" wp14:editId="3DB495AC">
            <wp:simplePos x="0" y="0"/>
            <wp:positionH relativeFrom="page">
              <wp:posOffset>2418714</wp:posOffset>
            </wp:positionH>
            <wp:positionV relativeFrom="paragraph">
              <wp:posOffset>214641</wp:posOffset>
            </wp:positionV>
            <wp:extent cx="2954772" cy="457200"/>
            <wp:effectExtent l="0" t="0" r="0" b="0"/>
            <wp:wrapTopAndBottom/>
            <wp:docPr id="329" name="image2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201.jpeg"/>
                    <pic:cNvPicPr/>
                  </pic:nvPicPr>
                  <pic:blipFill>
                    <a:blip r:embed="rId238" cstate="print"/>
                    <a:stretch>
                      <a:fillRect/>
                    </a:stretch>
                  </pic:blipFill>
                  <pic:spPr>
                    <a:xfrm>
                      <a:off x="0" y="0"/>
                      <a:ext cx="2954772" cy="457200"/>
                    </a:xfrm>
                    <a:prstGeom prst="rect">
                      <a:avLst/>
                    </a:prstGeom>
                  </pic:spPr>
                </pic:pic>
              </a:graphicData>
            </a:graphic>
          </wp:anchor>
        </w:drawing>
      </w:r>
    </w:p>
    <w:p w14:paraId="2624F7D3" w14:textId="77777777" w:rsidR="00A71EEF" w:rsidRDefault="00A71EEF">
      <w:pPr>
        <w:pStyle w:val="a3"/>
        <w:spacing w:before="1"/>
        <w:rPr>
          <w:sz w:val="11"/>
        </w:rPr>
      </w:pPr>
    </w:p>
    <w:p w14:paraId="7344197D" w14:textId="77777777" w:rsidR="00A71EEF" w:rsidRDefault="0081115D">
      <w:pPr>
        <w:pStyle w:val="a3"/>
        <w:spacing w:before="71"/>
        <w:ind w:left="838"/>
      </w:pPr>
      <w:r>
        <w:rPr>
          <w:spacing w:val="-1"/>
          <w:position w:val="1"/>
        </w:rPr>
        <w:t>式中</w:t>
      </w:r>
      <w:r>
        <w:rPr>
          <w:spacing w:val="-1"/>
          <w:position w:val="1"/>
        </w:rPr>
        <w:t xml:space="preserve">  </w:t>
      </w:r>
      <w:r>
        <w:rPr>
          <w:i/>
          <w:w w:val="96"/>
          <w:position w:val="1"/>
          <w:sz w:val="22"/>
        </w:rPr>
        <w:t xml:space="preserve"> F</w:t>
      </w:r>
      <w:r>
        <w:rPr>
          <w:i/>
          <w:spacing w:val="-3"/>
          <w:sz w:val="11"/>
        </w:rPr>
        <w:t>C</w:t>
      </w:r>
      <w:r>
        <w:rPr>
          <w:spacing w:val="-3"/>
          <w:position w:val="1"/>
        </w:rPr>
        <w:t>——</w:t>
      </w:r>
      <w:r>
        <w:rPr>
          <w:spacing w:val="-3"/>
          <w:position w:val="1"/>
        </w:rPr>
        <w:t>喷头等效孔口面积</w:t>
      </w:r>
      <w:r>
        <w:rPr>
          <w:position w:val="1"/>
        </w:rPr>
        <w:t>（</w:t>
      </w:r>
      <w:r>
        <w:rPr>
          <w:position w:val="1"/>
        </w:rPr>
        <w:t>c</w:t>
      </w:r>
      <w:r>
        <w:rPr>
          <w:spacing w:val="-3"/>
          <w:position w:val="1"/>
        </w:rPr>
        <w:t>m</w:t>
      </w:r>
      <w:r>
        <w:rPr>
          <w:position w:val="1"/>
        </w:rPr>
        <w:t>²</w:t>
      </w:r>
      <w:r>
        <w:rPr>
          <w:spacing w:val="-106"/>
          <w:position w:val="1"/>
        </w:rPr>
        <w:t>）</w:t>
      </w:r>
      <w:r>
        <w:rPr>
          <w:spacing w:val="-3"/>
          <w:position w:val="1"/>
        </w:rPr>
        <w:t>；</w:t>
      </w:r>
      <w:r>
        <w:rPr>
          <w:position w:val="1"/>
        </w:rPr>
        <w:t xml:space="preserve"> </w:t>
      </w:r>
    </w:p>
    <w:p w14:paraId="1692C753" w14:textId="77777777" w:rsidR="00A71EEF" w:rsidRDefault="00A71EEF">
      <w:pPr>
        <w:pStyle w:val="a3"/>
        <w:rPr>
          <w:sz w:val="17"/>
        </w:rPr>
      </w:pPr>
    </w:p>
    <w:p w14:paraId="17F578D2" w14:textId="77777777" w:rsidR="00A71EEF" w:rsidRDefault="0081115D">
      <w:pPr>
        <w:pStyle w:val="a3"/>
        <w:spacing w:line="436" w:lineRule="auto"/>
        <w:ind w:left="840" w:right="1815" w:firstLine="628"/>
      </w:pPr>
      <w:r>
        <w:rPr>
          <w:i/>
          <w:position w:val="1"/>
          <w:sz w:val="22"/>
        </w:rPr>
        <w:t>q</w:t>
      </w:r>
      <w:r>
        <w:rPr>
          <w:i/>
          <w:sz w:val="11"/>
        </w:rPr>
        <w:t>c</w:t>
      </w:r>
      <w:r>
        <w:rPr>
          <w:position w:val="1"/>
        </w:rPr>
        <w:t>——</w:t>
      </w:r>
      <w:r>
        <w:rPr>
          <w:position w:val="1"/>
        </w:rPr>
        <w:t>等效孔口单位面积喷射率</w:t>
      </w:r>
      <w:r>
        <w:rPr>
          <w:position w:val="1"/>
        </w:rPr>
        <w:t>[kg/</w:t>
      </w:r>
      <w:r>
        <w:rPr>
          <w:position w:val="1"/>
        </w:rPr>
        <w:t>（</w:t>
      </w:r>
      <w:r>
        <w:rPr>
          <w:position w:val="1"/>
        </w:rPr>
        <w:t>s·cm²</w:t>
      </w:r>
      <w:r>
        <w:rPr>
          <w:position w:val="1"/>
        </w:rPr>
        <w:t>）</w:t>
      </w:r>
      <w:r>
        <w:rPr>
          <w:position w:val="1"/>
        </w:rPr>
        <w:t>]</w:t>
      </w:r>
      <w:r>
        <w:rPr>
          <w:position w:val="1"/>
        </w:rPr>
        <w:t>，可按本规范附录</w:t>
      </w:r>
      <w:r>
        <w:rPr>
          <w:position w:val="1"/>
        </w:rPr>
        <w:t xml:space="preserve"> F </w:t>
      </w:r>
      <w:r>
        <w:rPr>
          <w:position w:val="1"/>
        </w:rPr>
        <w:t>采用。</w:t>
      </w:r>
      <w:r>
        <w:rPr>
          <w:b/>
        </w:rPr>
        <w:t xml:space="preserve">3.4.11 </w:t>
      </w:r>
      <w:r>
        <w:t>喷头的实际孔口面积，应经试验确定，喷头规格应符合本规范附录</w:t>
      </w:r>
      <w:r>
        <w:t xml:space="preserve"> D </w:t>
      </w:r>
      <w:r>
        <w:t>的规定。</w:t>
      </w:r>
      <w:r>
        <w:t xml:space="preserve"> </w:t>
      </w:r>
    </w:p>
    <w:p w14:paraId="3F28D692" w14:textId="77777777" w:rsidR="00A71EEF" w:rsidRDefault="0081115D">
      <w:pPr>
        <w:pStyle w:val="a4"/>
        <w:numPr>
          <w:ilvl w:val="1"/>
          <w:numId w:val="614"/>
        </w:numPr>
        <w:tabs>
          <w:tab w:val="left" w:pos="1266"/>
        </w:tabs>
        <w:spacing w:line="286" w:lineRule="exact"/>
        <w:ind w:hanging="366"/>
        <w:rPr>
          <w:b/>
          <w:sz w:val="21"/>
        </w:rPr>
      </w:pPr>
      <w:r>
        <w:rPr>
          <w:spacing w:val="-3"/>
          <w:sz w:val="21"/>
        </w:rPr>
        <w:t>热气溶胶预制灭火系统</w:t>
      </w:r>
      <w:r>
        <w:rPr>
          <w:b/>
          <w:spacing w:val="-3"/>
          <w:w w:val="99"/>
          <w:sz w:val="21"/>
        </w:rPr>
        <w:t xml:space="preserve"> </w:t>
      </w:r>
    </w:p>
    <w:p w14:paraId="1CBC876B" w14:textId="77777777" w:rsidR="00A71EEF" w:rsidRDefault="00A71EEF">
      <w:pPr>
        <w:pStyle w:val="a3"/>
        <w:spacing w:before="4"/>
        <w:rPr>
          <w:b/>
          <w:sz w:val="17"/>
        </w:rPr>
      </w:pPr>
    </w:p>
    <w:p w14:paraId="07A3C853" w14:textId="77777777" w:rsidR="00A71EEF" w:rsidRDefault="0081115D">
      <w:pPr>
        <w:pStyle w:val="a4"/>
        <w:numPr>
          <w:ilvl w:val="2"/>
          <w:numId w:val="614"/>
        </w:numPr>
        <w:tabs>
          <w:tab w:val="left" w:pos="1370"/>
        </w:tabs>
        <w:ind w:hanging="530"/>
        <w:rPr>
          <w:sz w:val="21"/>
        </w:rPr>
      </w:pPr>
      <w:r>
        <w:rPr>
          <w:spacing w:val="-5"/>
          <w:sz w:val="21"/>
        </w:rPr>
        <w:t>热气溶胶预制灭火系统的灭火设计密度不应小于灭火密度的</w:t>
      </w:r>
      <w:r>
        <w:rPr>
          <w:spacing w:val="-5"/>
          <w:sz w:val="21"/>
        </w:rPr>
        <w:t xml:space="preserve"> </w:t>
      </w:r>
      <w:r>
        <w:rPr>
          <w:sz w:val="21"/>
        </w:rPr>
        <w:t>1.3</w:t>
      </w:r>
      <w:r>
        <w:rPr>
          <w:spacing w:val="-18"/>
          <w:sz w:val="21"/>
        </w:rPr>
        <w:t xml:space="preserve"> </w:t>
      </w:r>
      <w:r>
        <w:rPr>
          <w:spacing w:val="-18"/>
          <w:sz w:val="21"/>
        </w:rPr>
        <w:t>倍。</w:t>
      </w:r>
      <w:r>
        <w:rPr>
          <w:spacing w:val="-18"/>
          <w:sz w:val="21"/>
        </w:rPr>
        <w:t xml:space="preserve"> </w:t>
      </w:r>
    </w:p>
    <w:p w14:paraId="3148D153" w14:textId="77777777" w:rsidR="00A71EEF" w:rsidRDefault="00A71EEF">
      <w:pPr>
        <w:pStyle w:val="a3"/>
        <w:spacing w:before="1"/>
        <w:rPr>
          <w:sz w:val="18"/>
        </w:rPr>
      </w:pPr>
    </w:p>
    <w:p w14:paraId="51932755" w14:textId="77777777" w:rsidR="00A71EEF" w:rsidRDefault="0081115D">
      <w:pPr>
        <w:pStyle w:val="a4"/>
        <w:numPr>
          <w:ilvl w:val="2"/>
          <w:numId w:val="614"/>
        </w:numPr>
        <w:tabs>
          <w:tab w:val="left" w:pos="1371"/>
        </w:tabs>
        <w:spacing w:before="1"/>
        <w:ind w:left="1370" w:hanging="531"/>
        <w:rPr>
          <w:sz w:val="21"/>
        </w:rPr>
      </w:pPr>
      <w:r>
        <w:rPr>
          <w:sz w:val="21"/>
        </w:rPr>
        <w:t>S</w:t>
      </w:r>
      <w:r>
        <w:rPr>
          <w:spacing w:val="-2"/>
          <w:sz w:val="21"/>
        </w:rPr>
        <w:t xml:space="preserve"> </w:t>
      </w:r>
      <w:r>
        <w:rPr>
          <w:spacing w:val="-2"/>
          <w:sz w:val="21"/>
        </w:rPr>
        <w:t>型和</w:t>
      </w:r>
      <w:r>
        <w:rPr>
          <w:sz w:val="21"/>
        </w:rPr>
        <w:t>K</w:t>
      </w:r>
      <w:r>
        <w:rPr>
          <w:spacing w:val="-12"/>
          <w:sz w:val="21"/>
        </w:rPr>
        <w:t xml:space="preserve"> </w:t>
      </w:r>
      <w:r>
        <w:rPr>
          <w:spacing w:val="-12"/>
          <w:sz w:val="21"/>
        </w:rPr>
        <w:t>型热气溶胶灭固体表面火灾的灭火密度为</w:t>
      </w:r>
      <w:r>
        <w:rPr>
          <w:spacing w:val="-12"/>
          <w:sz w:val="21"/>
        </w:rPr>
        <w:t xml:space="preserve"> </w:t>
      </w:r>
      <w:r>
        <w:rPr>
          <w:sz w:val="21"/>
        </w:rPr>
        <w:t>100g/m³</w:t>
      </w:r>
      <w:r>
        <w:rPr>
          <w:spacing w:val="-3"/>
          <w:sz w:val="21"/>
        </w:rPr>
        <w:t>。</w:t>
      </w:r>
      <w:r>
        <w:rPr>
          <w:sz w:val="21"/>
        </w:rPr>
        <w:t xml:space="preserve"> </w:t>
      </w:r>
    </w:p>
    <w:p w14:paraId="1558BAFA" w14:textId="77777777" w:rsidR="00A71EEF" w:rsidRDefault="00A71EEF">
      <w:pPr>
        <w:pStyle w:val="a3"/>
        <w:spacing w:before="12"/>
        <w:rPr>
          <w:sz w:val="17"/>
        </w:rPr>
      </w:pPr>
    </w:p>
    <w:p w14:paraId="0809CD29" w14:textId="77777777" w:rsidR="00A71EEF" w:rsidRDefault="0081115D">
      <w:pPr>
        <w:pStyle w:val="a4"/>
        <w:numPr>
          <w:ilvl w:val="2"/>
          <w:numId w:val="614"/>
        </w:numPr>
        <w:tabs>
          <w:tab w:val="left" w:pos="1371"/>
        </w:tabs>
        <w:spacing w:line="446" w:lineRule="auto"/>
        <w:ind w:left="418" w:right="1431" w:firstLine="422"/>
        <w:rPr>
          <w:sz w:val="21"/>
        </w:rPr>
      </w:pPr>
      <w:r>
        <w:rPr>
          <w:spacing w:val="-7"/>
          <w:sz w:val="21"/>
        </w:rPr>
        <w:t>通讯机房和电子计算机房等场所的电气设备火灾，</w:t>
      </w:r>
      <w:r>
        <w:rPr>
          <w:sz w:val="21"/>
        </w:rPr>
        <w:t>S</w:t>
      </w:r>
      <w:r>
        <w:rPr>
          <w:spacing w:val="-55"/>
          <w:sz w:val="21"/>
        </w:rPr>
        <w:t xml:space="preserve"> </w:t>
      </w:r>
      <w:r>
        <w:rPr>
          <w:spacing w:val="-3"/>
          <w:sz w:val="21"/>
        </w:rPr>
        <w:t>型热气溶胶的灭火设计密度不应小</w:t>
      </w:r>
      <w:r>
        <w:rPr>
          <w:spacing w:val="-28"/>
          <w:sz w:val="21"/>
        </w:rPr>
        <w:t>于</w:t>
      </w:r>
      <w:r>
        <w:rPr>
          <w:spacing w:val="-28"/>
          <w:sz w:val="21"/>
        </w:rPr>
        <w:t xml:space="preserve"> </w:t>
      </w:r>
      <w:r>
        <w:rPr>
          <w:sz w:val="21"/>
        </w:rPr>
        <w:t>130g/m³</w:t>
      </w:r>
      <w:r>
        <w:rPr>
          <w:spacing w:val="-3"/>
          <w:sz w:val="21"/>
        </w:rPr>
        <w:t>。</w:t>
      </w:r>
      <w:r>
        <w:rPr>
          <w:sz w:val="21"/>
        </w:rPr>
        <w:t xml:space="preserve"> </w:t>
      </w:r>
    </w:p>
    <w:p w14:paraId="7B10442E" w14:textId="77777777" w:rsidR="00A71EEF" w:rsidRDefault="0081115D">
      <w:pPr>
        <w:pStyle w:val="a4"/>
        <w:numPr>
          <w:ilvl w:val="2"/>
          <w:numId w:val="614"/>
        </w:numPr>
        <w:tabs>
          <w:tab w:val="left" w:pos="1370"/>
        </w:tabs>
        <w:spacing w:line="446" w:lineRule="auto"/>
        <w:ind w:left="418" w:right="1431" w:firstLine="422"/>
        <w:rPr>
          <w:sz w:val="21"/>
        </w:rPr>
      </w:pPr>
      <w:r>
        <w:rPr>
          <w:spacing w:val="-9"/>
          <w:sz w:val="21"/>
        </w:rPr>
        <w:t>电缆隧道</w:t>
      </w:r>
      <w:r>
        <w:rPr>
          <w:sz w:val="21"/>
        </w:rPr>
        <w:t>（</w:t>
      </w:r>
      <w:r>
        <w:rPr>
          <w:spacing w:val="-8"/>
          <w:sz w:val="21"/>
        </w:rPr>
        <w:t>夹层、井</w:t>
      </w:r>
      <w:r>
        <w:rPr>
          <w:spacing w:val="-25"/>
          <w:sz w:val="21"/>
        </w:rPr>
        <w:t>）</w:t>
      </w:r>
      <w:r>
        <w:rPr>
          <w:spacing w:val="-4"/>
          <w:sz w:val="21"/>
        </w:rPr>
        <w:t>及自备发电机房火灾，</w:t>
      </w:r>
      <w:r>
        <w:rPr>
          <w:spacing w:val="-11"/>
          <w:sz w:val="21"/>
        </w:rPr>
        <w:t>S</w:t>
      </w:r>
      <w:r>
        <w:rPr>
          <w:spacing w:val="4"/>
          <w:sz w:val="21"/>
        </w:rPr>
        <w:t xml:space="preserve"> </w:t>
      </w:r>
      <w:r>
        <w:rPr>
          <w:spacing w:val="4"/>
          <w:sz w:val="21"/>
        </w:rPr>
        <w:t>型和</w:t>
      </w:r>
      <w:r>
        <w:rPr>
          <w:sz w:val="21"/>
        </w:rPr>
        <w:t>K</w:t>
      </w:r>
      <w:r>
        <w:rPr>
          <w:spacing w:val="-7"/>
          <w:sz w:val="21"/>
        </w:rPr>
        <w:t xml:space="preserve"> </w:t>
      </w:r>
      <w:r>
        <w:rPr>
          <w:spacing w:val="-7"/>
          <w:sz w:val="21"/>
        </w:rPr>
        <w:t>型热气溶胶的灭火设计密度不应</w:t>
      </w:r>
      <w:r>
        <w:rPr>
          <w:spacing w:val="-19"/>
          <w:sz w:val="21"/>
        </w:rPr>
        <w:t>小于</w:t>
      </w:r>
      <w:r>
        <w:rPr>
          <w:spacing w:val="-19"/>
          <w:sz w:val="21"/>
        </w:rPr>
        <w:t xml:space="preserve"> </w:t>
      </w:r>
      <w:r>
        <w:rPr>
          <w:sz w:val="21"/>
        </w:rPr>
        <w:t>140g/m³</w:t>
      </w:r>
      <w:r>
        <w:rPr>
          <w:spacing w:val="-3"/>
          <w:sz w:val="21"/>
        </w:rPr>
        <w:t>。</w:t>
      </w:r>
      <w:r>
        <w:rPr>
          <w:sz w:val="21"/>
        </w:rPr>
        <w:t xml:space="preserve"> </w:t>
      </w:r>
    </w:p>
    <w:p w14:paraId="3A1491F2" w14:textId="77777777" w:rsidR="00A71EEF" w:rsidRDefault="00A71EEF">
      <w:pPr>
        <w:spacing w:line="446" w:lineRule="auto"/>
        <w:rPr>
          <w:sz w:val="21"/>
        </w:rPr>
        <w:sectPr w:rsidR="00A71EEF">
          <w:pgSz w:w="11910" w:h="16850"/>
          <w:pgMar w:top="1220" w:right="0" w:bottom="1420" w:left="1260" w:header="0" w:footer="1239" w:gutter="0"/>
          <w:cols w:space="720"/>
        </w:sectPr>
      </w:pPr>
    </w:p>
    <w:p w14:paraId="422FC6DB" w14:textId="77777777" w:rsidR="00A71EEF" w:rsidRDefault="0081115D">
      <w:pPr>
        <w:pStyle w:val="a4"/>
        <w:numPr>
          <w:ilvl w:val="2"/>
          <w:numId w:val="614"/>
        </w:numPr>
        <w:tabs>
          <w:tab w:val="left" w:pos="1370"/>
        </w:tabs>
        <w:spacing w:before="47" w:line="446" w:lineRule="auto"/>
        <w:ind w:left="418" w:right="1431" w:firstLine="422"/>
        <w:jc w:val="both"/>
        <w:rPr>
          <w:sz w:val="21"/>
        </w:rPr>
      </w:pPr>
      <w:r>
        <w:rPr>
          <w:spacing w:val="-11"/>
          <w:sz w:val="21"/>
        </w:rPr>
        <w:t>在通信机房、电子计算机房等防护区，灭火剂喷放时间不应大于</w:t>
      </w:r>
      <w:r>
        <w:rPr>
          <w:spacing w:val="-11"/>
          <w:sz w:val="21"/>
        </w:rPr>
        <w:t xml:space="preserve"> </w:t>
      </w:r>
      <w:r>
        <w:rPr>
          <w:spacing w:val="-9"/>
          <w:sz w:val="21"/>
        </w:rPr>
        <w:t>90s</w:t>
      </w:r>
      <w:r>
        <w:rPr>
          <w:spacing w:val="-4"/>
          <w:sz w:val="21"/>
        </w:rPr>
        <w:t>，喷口温度不应大</w:t>
      </w:r>
      <w:r>
        <w:rPr>
          <w:spacing w:val="-29"/>
          <w:sz w:val="21"/>
        </w:rPr>
        <w:t>于</w:t>
      </w:r>
      <w:r>
        <w:rPr>
          <w:spacing w:val="-29"/>
          <w:sz w:val="21"/>
        </w:rPr>
        <w:t xml:space="preserve"> </w:t>
      </w:r>
      <w:r>
        <w:rPr>
          <w:sz w:val="21"/>
        </w:rPr>
        <w:t>150</w:t>
      </w:r>
      <w:r>
        <w:rPr>
          <w:spacing w:val="-6"/>
          <w:sz w:val="21"/>
        </w:rPr>
        <w:t>℃;</w:t>
      </w:r>
      <w:r>
        <w:rPr>
          <w:spacing w:val="-6"/>
          <w:sz w:val="21"/>
        </w:rPr>
        <w:t>在其他防护区，喷放时间不应大于</w:t>
      </w:r>
      <w:r>
        <w:rPr>
          <w:spacing w:val="-6"/>
          <w:sz w:val="21"/>
        </w:rPr>
        <w:t xml:space="preserve"> </w:t>
      </w:r>
      <w:r>
        <w:rPr>
          <w:sz w:val="21"/>
        </w:rPr>
        <w:t>120s</w:t>
      </w:r>
      <w:r>
        <w:rPr>
          <w:spacing w:val="-8"/>
          <w:sz w:val="21"/>
        </w:rPr>
        <w:t>，喷口温度不应大于</w:t>
      </w:r>
      <w:r>
        <w:rPr>
          <w:spacing w:val="-8"/>
          <w:sz w:val="21"/>
        </w:rPr>
        <w:t xml:space="preserve"> </w:t>
      </w:r>
      <w:r>
        <w:rPr>
          <w:sz w:val="21"/>
        </w:rPr>
        <w:t>180℃</w:t>
      </w:r>
      <w:r>
        <w:rPr>
          <w:sz w:val="21"/>
        </w:rPr>
        <w:t>。</w:t>
      </w:r>
      <w:r>
        <w:rPr>
          <w:sz w:val="21"/>
        </w:rPr>
        <w:t xml:space="preserve"> </w:t>
      </w:r>
    </w:p>
    <w:p w14:paraId="3DECA683" w14:textId="77777777" w:rsidR="00A71EEF" w:rsidRDefault="0081115D">
      <w:pPr>
        <w:pStyle w:val="a4"/>
        <w:numPr>
          <w:ilvl w:val="2"/>
          <w:numId w:val="614"/>
        </w:numPr>
        <w:tabs>
          <w:tab w:val="left" w:pos="1370"/>
        </w:tabs>
        <w:spacing w:line="267" w:lineRule="exact"/>
        <w:ind w:hanging="530"/>
        <w:rPr>
          <w:sz w:val="21"/>
        </w:rPr>
      </w:pPr>
      <w:r>
        <w:rPr>
          <w:sz w:val="21"/>
        </w:rPr>
        <w:t>S</w:t>
      </w:r>
      <w:r>
        <w:rPr>
          <w:spacing w:val="-2"/>
          <w:sz w:val="21"/>
        </w:rPr>
        <w:t xml:space="preserve"> </w:t>
      </w:r>
      <w:r>
        <w:rPr>
          <w:spacing w:val="-2"/>
          <w:sz w:val="21"/>
        </w:rPr>
        <w:t>型和</w:t>
      </w:r>
      <w:r>
        <w:rPr>
          <w:sz w:val="21"/>
        </w:rPr>
        <w:t>K</w:t>
      </w:r>
      <w:r>
        <w:rPr>
          <w:spacing w:val="-9"/>
          <w:sz w:val="21"/>
        </w:rPr>
        <w:t xml:space="preserve"> </w:t>
      </w:r>
      <w:r>
        <w:rPr>
          <w:spacing w:val="-9"/>
          <w:sz w:val="21"/>
        </w:rPr>
        <w:t>型热气溶胶对其他可燃物的灭火密度应经试验确定。</w:t>
      </w:r>
      <w:r>
        <w:rPr>
          <w:sz w:val="21"/>
        </w:rPr>
        <w:t xml:space="preserve"> </w:t>
      </w:r>
    </w:p>
    <w:p w14:paraId="3ABCB918" w14:textId="77777777" w:rsidR="00A71EEF" w:rsidRDefault="00A71EEF">
      <w:pPr>
        <w:pStyle w:val="a3"/>
        <w:spacing w:before="2"/>
        <w:rPr>
          <w:sz w:val="18"/>
        </w:rPr>
      </w:pPr>
    </w:p>
    <w:p w14:paraId="7515AED3" w14:textId="77777777" w:rsidR="00A71EEF" w:rsidRDefault="0081115D">
      <w:pPr>
        <w:pStyle w:val="a4"/>
        <w:numPr>
          <w:ilvl w:val="2"/>
          <w:numId w:val="614"/>
        </w:numPr>
        <w:tabs>
          <w:tab w:val="left" w:pos="1370"/>
        </w:tabs>
        <w:ind w:hanging="530"/>
        <w:rPr>
          <w:sz w:val="21"/>
        </w:rPr>
      </w:pPr>
      <w:r>
        <w:rPr>
          <w:spacing w:val="-3"/>
          <w:sz w:val="21"/>
        </w:rPr>
        <w:t>其他型热气溶胶的灭火密度应经试验确定。</w:t>
      </w:r>
      <w:r>
        <w:rPr>
          <w:sz w:val="21"/>
        </w:rPr>
        <w:t xml:space="preserve"> </w:t>
      </w:r>
    </w:p>
    <w:p w14:paraId="5BE0BE13" w14:textId="77777777" w:rsidR="00A71EEF" w:rsidRDefault="00A71EEF">
      <w:pPr>
        <w:pStyle w:val="a3"/>
        <w:rPr>
          <w:sz w:val="18"/>
        </w:rPr>
      </w:pPr>
    </w:p>
    <w:p w14:paraId="57E8CE9F" w14:textId="77777777" w:rsidR="00A71EEF" w:rsidRDefault="0081115D">
      <w:pPr>
        <w:pStyle w:val="a4"/>
        <w:numPr>
          <w:ilvl w:val="2"/>
          <w:numId w:val="614"/>
        </w:numPr>
        <w:tabs>
          <w:tab w:val="left" w:pos="1371"/>
        </w:tabs>
        <w:ind w:left="1370" w:hanging="531"/>
        <w:rPr>
          <w:sz w:val="21"/>
        </w:rPr>
      </w:pPr>
      <w:r>
        <w:rPr>
          <w:spacing w:val="-3"/>
          <w:sz w:val="21"/>
        </w:rPr>
        <w:t>灭火浸渍时间应符合下列规定：</w:t>
      </w:r>
      <w:r>
        <w:rPr>
          <w:sz w:val="21"/>
        </w:rPr>
        <w:t xml:space="preserve"> </w:t>
      </w:r>
    </w:p>
    <w:p w14:paraId="194B7CEF" w14:textId="77777777" w:rsidR="00A71EEF" w:rsidRDefault="00A71EEF">
      <w:pPr>
        <w:pStyle w:val="a3"/>
        <w:spacing w:before="12"/>
        <w:rPr>
          <w:sz w:val="17"/>
        </w:rPr>
      </w:pPr>
    </w:p>
    <w:p w14:paraId="0004A822" w14:textId="77777777" w:rsidR="00A71EEF" w:rsidRDefault="0081115D">
      <w:pPr>
        <w:pStyle w:val="a4"/>
        <w:numPr>
          <w:ilvl w:val="0"/>
          <w:numId w:val="613"/>
        </w:numPr>
        <w:tabs>
          <w:tab w:val="left" w:pos="1367"/>
        </w:tabs>
        <w:rPr>
          <w:sz w:val="21"/>
        </w:rPr>
      </w:pPr>
      <w:r>
        <w:rPr>
          <w:spacing w:val="-6"/>
          <w:sz w:val="21"/>
        </w:rPr>
        <w:t>木材、纸张、织物等固体表面火灾，应采用</w:t>
      </w:r>
      <w:r>
        <w:rPr>
          <w:spacing w:val="-6"/>
          <w:sz w:val="21"/>
        </w:rPr>
        <w:t xml:space="preserve"> </w:t>
      </w:r>
      <w:r>
        <w:rPr>
          <w:sz w:val="21"/>
        </w:rPr>
        <w:t>20min</w:t>
      </w:r>
      <w:r>
        <w:rPr>
          <w:sz w:val="21"/>
        </w:rPr>
        <w:t>；</w:t>
      </w:r>
      <w:r>
        <w:rPr>
          <w:sz w:val="21"/>
        </w:rPr>
        <w:t xml:space="preserve"> </w:t>
      </w:r>
    </w:p>
    <w:p w14:paraId="4DB2C285" w14:textId="77777777" w:rsidR="00A71EEF" w:rsidRDefault="00A71EEF">
      <w:pPr>
        <w:pStyle w:val="a3"/>
        <w:spacing w:before="2"/>
        <w:rPr>
          <w:sz w:val="18"/>
        </w:rPr>
      </w:pPr>
    </w:p>
    <w:p w14:paraId="5DDD3B90" w14:textId="77777777" w:rsidR="00A71EEF" w:rsidRDefault="0081115D">
      <w:pPr>
        <w:pStyle w:val="a4"/>
        <w:numPr>
          <w:ilvl w:val="0"/>
          <w:numId w:val="613"/>
        </w:numPr>
        <w:tabs>
          <w:tab w:val="left" w:pos="1367"/>
        </w:tabs>
        <w:rPr>
          <w:sz w:val="21"/>
        </w:rPr>
      </w:pPr>
      <w:r>
        <w:rPr>
          <w:spacing w:val="-5"/>
          <w:sz w:val="21"/>
        </w:rPr>
        <w:t>通信机房、电子计算机房等防护区火灾及其他固体表面火灾，应采用</w:t>
      </w:r>
      <w:r>
        <w:rPr>
          <w:spacing w:val="-5"/>
          <w:sz w:val="21"/>
        </w:rPr>
        <w:t xml:space="preserve"> </w:t>
      </w:r>
      <w:r>
        <w:rPr>
          <w:sz w:val="21"/>
        </w:rPr>
        <w:t>10min</w:t>
      </w:r>
      <w:r>
        <w:rPr>
          <w:spacing w:val="-3"/>
          <w:sz w:val="21"/>
        </w:rPr>
        <w:t>。</w:t>
      </w:r>
      <w:r>
        <w:rPr>
          <w:sz w:val="21"/>
        </w:rPr>
        <w:t xml:space="preserve"> </w:t>
      </w:r>
    </w:p>
    <w:p w14:paraId="0B42E373" w14:textId="77777777" w:rsidR="00A71EEF" w:rsidRDefault="00A71EEF">
      <w:pPr>
        <w:pStyle w:val="a3"/>
        <w:rPr>
          <w:sz w:val="20"/>
        </w:rPr>
      </w:pPr>
    </w:p>
    <w:p w14:paraId="201C67FB" w14:textId="77777777" w:rsidR="00A71EEF" w:rsidRDefault="0081115D">
      <w:pPr>
        <w:pStyle w:val="a3"/>
        <w:spacing w:before="6"/>
        <w:rPr>
          <w:sz w:val="10"/>
        </w:rPr>
      </w:pPr>
      <w:r>
        <w:rPr>
          <w:noProof/>
        </w:rPr>
        <w:drawing>
          <wp:anchor distT="0" distB="0" distL="0" distR="0" simplePos="0" relativeHeight="251586048" behindDoc="0" locked="0" layoutInCell="1" allowOverlap="1" wp14:anchorId="53DECFC9" wp14:editId="25D625DE">
            <wp:simplePos x="0" y="0"/>
            <wp:positionH relativeFrom="page">
              <wp:posOffset>2068195</wp:posOffset>
            </wp:positionH>
            <wp:positionV relativeFrom="paragraph">
              <wp:posOffset>109950</wp:posOffset>
            </wp:positionV>
            <wp:extent cx="3349384" cy="228600"/>
            <wp:effectExtent l="0" t="0" r="0" b="0"/>
            <wp:wrapTopAndBottom/>
            <wp:docPr id="331" name="image2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202.jpeg"/>
                    <pic:cNvPicPr/>
                  </pic:nvPicPr>
                  <pic:blipFill>
                    <a:blip r:embed="rId239" cstate="print"/>
                    <a:stretch>
                      <a:fillRect/>
                    </a:stretch>
                  </pic:blipFill>
                  <pic:spPr>
                    <a:xfrm>
                      <a:off x="0" y="0"/>
                      <a:ext cx="3349384" cy="228600"/>
                    </a:xfrm>
                    <a:prstGeom prst="rect">
                      <a:avLst/>
                    </a:prstGeom>
                  </pic:spPr>
                </pic:pic>
              </a:graphicData>
            </a:graphic>
          </wp:anchor>
        </w:drawing>
      </w:r>
    </w:p>
    <w:p w14:paraId="7CCDBA4F" w14:textId="77777777" w:rsidR="00A71EEF" w:rsidRDefault="0081115D">
      <w:pPr>
        <w:pStyle w:val="a4"/>
        <w:numPr>
          <w:ilvl w:val="2"/>
          <w:numId w:val="614"/>
        </w:numPr>
        <w:tabs>
          <w:tab w:val="left" w:pos="1367"/>
        </w:tabs>
        <w:spacing w:before="164"/>
        <w:ind w:left="1367"/>
        <w:rPr>
          <w:sz w:val="21"/>
        </w:rPr>
      </w:pPr>
      <w:r>
        <w:rPr>
          <w:spacing w:val="-3"/>
          <w:sz w:val="21"/>
        </w:rPr>
        <w:t>灭火设计用量应按下式计算：</w:t>
      </w:r>
      <w:r>
        <w:rPr>
          <w:sz w:val="21"/>
        </w:rPr>
        <w:t xml:space="preserve"> </w:t>
      </w:r>
    </w:p>
    <w:p w14:paraId="7B715664" w14:textId="77777777" w:rsidR="00A71EEF" w:rsidRDefault="00A71EEF">
      <w:pPr>
        <w:pStyle w:val="a3"/>
        <w:spacing w:before="2"/>
        <w:rPr>
          <w:sz w:val="17"/>
        </w:rPr>
      </w:pPr>
    </w:p>
    <w:p w14:paraId="460C3789" w14:textId="77777777" w:rsidR="00A71EEF" w:rsidRDefault="0081115D">
      <w:pPr>
        <w:pStyle w:val="a3"/>
        <w:ind w:left="838"/>
      </w:pPr>
      <w:r>
        <w:t xml:space="preserve"> </w:t>
      </w:r>
      <w:r>
        <w:t xml:space="preserve"> </w:t>
      </w:r>
      <w:r>
        <w:rPr>
          <w:spacing w:val="-1"/>
        </w:rPr>
        <w:t>式中</w:t>
      </w:r>
      <w:r>
        <w:rPr>
          <w:spacing w:val="-1"/>
        </w:rPr>
        <w:t xml:space="preserve">   </w:t>
      </w:r>
      <w:r>
        <w:rPr>
          <w:i/>
          <w:spacing w:val="-3"/>
          <w:w w:val="96"/>
          <w:sz w:val="22"/>
        </w:rPr>
        <w:t>W</w:t>
      </w:r>
      <w:r>
        <w:rPr>
          <w:spacing w:val="-3"/>
        </w:rPr>
        <w:t>——</w:t>
      </w:r>
      <w:r>
        <w:rPr>
          <w:spacing w:val="-3"/>
        </w:rPr>
        <w:t>灭火设计用量</w:t>
      </w:r>
      <w:r>
        <w:rPr>
          <w:spacing w:val="-2"/>
        </w:rPr>
        <w:t>（</w:t>
      </w:r>
      <w:r>
        <w:t>kg</w:t>
      </w:r>
      <w:r>
        <w:rPr>
          <w:spacing w:val="-108"/>
        </w:rPr>
        <w:t>）</w:t>
      </w:r>
      <w:r>
        <w:rPr>
          <w:spacing w:val="-3"/>
        </w:rPr>
        <w:t>；</w:t>
      </w:r>
      <w:r>
        <w:t xml:space="preserve"> </w:t>
      </w:r>
    </w:p>
    <w:p w14:paraId="5DBB4A53" w14:textId="77777777" w:rsidR="00A71EEF" w:rsidRDefault="00A71EEF">
      <w:pPr>
        <w:pStyle w:val="a3"/>
        <w:spacing w:before="12"/>
        <w:rPr>
          <w:sz w:val="16"/>
        </w:rPr>
      </w:pPr>
    </w:p>
    <w:p w14:paraId="751F3DE5" w14:textId="77777777" w:rsidR="00A71EEF" w:rsidRDefault="0081115D">
      <w:pPr>
        <w:pStyle w:val="a3"/>
        <w:spacing w:line="427" w:lineRule="auto"/>
        <w:ind w:left="1469" w:right="5709" w:firstLine="208"/>
      </w:pPr>
      <w:r>
        <w:rPr>
          <w:i/>
          <w:w w:val="96"/>
          <w:position w:val="1"/>
          <w:sz w:val="22"/>
        </w:rPr>
        <w:t>C</w:t>
      </w:r>
      <w:r>
        <w:rPr>
          <w:sz w:val="11"/>
        </w:rPr>
        <w:t>2</w:t>
      </w:r>
      <w:r>
        <w:rPr>
          <w:spacing w:val="-3"/>
          <w:position w:val="1"/>
        </w:rPr>
        <w:t>——</w:t>
      </w:r>
      <w:r>
        <w:rPr>
          <w:spacing w:val="-3"/>
          <w:position w:val="1"/>
        </w:rPr>
        <w:t>灭火设计密度</w:t>
      </w:r>
      <w:r>
        <w:rPr>
          <w:position w:val="1"/>
        </w:rPr>
        <w:t>（</w:t>
      </w:r>
      <w:r>
        <w:rPr>
          <w:position w:val="1"/>
        </w:rPr>
        <w:t>k</w:t>
      </w:r>
      <w:r>
        <w:rPr>
          <w:spacing w:val="-3"/>
          <w:position w:val="1"/>
        </w:rPr>
        <w:t>g/</w:t>
      </w:r>
      <w:r>
        <w:rPr>
          <w:spacing w:val="-1"/>
          <w:position w:val="1"/>
        </w:rPr>
        <w:t>m</w:t>
      </w:r>
      <w:r>
        <w:rPr>
          <w:position w:val="1"/>
        </w:rPr>
        <w:t>³</w:t>
      </w:r>
      <w:r>
        <w:rPr>
          <w:spacing w:val="-106"/>
          <w:position w:val="1"/>
        </w:rPr>
        <w:t>）</w:t>
      </w:r>
      <w:r>
        <w:rPr>
          <w:spacing w:val="-3"/>
          <w:position w:val="1"/>
        </w:rPr>
        <w:t>；</w:t>
      </w:r>
      <w:r>
        <w:rPr>
          <w:position w:val="1"/>
        </w:rPr>
        <w:t xml:space="preserve"> </w:t>
      </w:r>
      <w:r>
        <w:rPr>
          <w:i/>
          <w:w w:val="96"/>
          <w:sz w:val="22"/>
        </w:rPr>
        <w:t>V</w:t>
      </w:r>
      <w:r>
        <w:rPr>
          <w:spacing w:val="-3"/>
        </w:rPr>
        <w:t>——</w:t>
      </w:r>
      <w:r>
        <w:rPr>
          <w:spacing w:val="-3"/>
        </w:rPr>
        <w:t>防护区净容积</w:t>
      </w:r>
      <w:r>
        <w:t>（</w:t>
      </w:r>
      <w:r>
        <w:t>m³</w:t>
      </w:r>
      <w:r>
        <w:rPr>
          <w:spacing w:val="-108"/>
        </w:rPr>
        <w:t>）</w:t>
      </w:r>
      <w:r>
        <w:rPr>
          <w:spacing w:val="-1"/>
        </w:rPr>
        <w:t>；</w:t>
      </w:r>
      <w:r>
        <w:t xml:space="preserve"> </w:t>
      </w:r>
    </w:p>
    <w:p w14:paraId="4A968209" w14:textId="77777777" w:rsidR="00A71EEF" w:rsidRDefault="0081115D">
      <w:pPr>
        <w:pStyle w:val="a3"/>
        <w:spacing w:line="279" w:lineRule="exact"/>
        <w:ind w:left="418"/>
      </w:pPr>
      <w:r>
        <w:rPr>
          <w:i/>
          <w:position w:val="1"/>
          <w:sz w:val="22"/>
        </w:rPr>
        <w:t>K</w:t>
      </w:r>
      <w:r>
        <w:rPr>
          <w:sz w:val="11"/>
        </w:rPr>
        <w:t>v</w:t>
      </w:r>
      <w:r>
        <w:rPr>
          <w:position w:val="1"/>
        </w:rPr>
        <w:t>——</w:t>
      </w:r>
      <w:r>
        <w:rPr>
          <w:position w:val="1"/>
        </w:rPr>
        <w:t>容积修正系数。</w:t>
      </w:r>
      <w:r>
        <w:rPr>
          <w:position w:val="1"/>
        </w:rPr>
        <w:t>V</w:t>
      </w:r>
      <w:r>
        <w:rPr>
          <w:position w:val="1"/>
        </w:rPr>
        <w:t>＜</w:t>
      </w:r>
      <w:r>
        <w:rPr>
          <w:position w:val="1"/>
        </w:rPr>
        <w:t>500m³</w:t>
      </w:r>
      <w:r>
        <w:rPr>
          <w:position w:val="1"/>
        </w:rPr>
        <w:t>，</w:t>
      </w:r>
      <w:r>
        <w:rPr>
          <w:i/>
          <w:position w:val="1"/>
          <w:sz w:val="22"/>
        </w:rPr>
        <w:t>K</w:t>
      </w:r>
      <w:r>
        <w:rPr>
          <w:sz w:val="11"/>
        </w:rPr>
        <w:t>v</w:t>
      </w:r>
      <w:r>
        <w:rPr>
          <w:position w:val="1"/>
        </w:rPr>
        <w:t>＝</w:t>
      </w:r>
      <w:r>
        <w:rPr>
          <w:position w:val="1"/>
        </w:rPr>
        <w:t>1.0</w:t>
      </w:r>
      <w:r>
        <w:rPr>
          <w:position w:val="1"/>
        </w:rPr>
        <w:t>；</w:t>
      </w:r>
      <w:r>
        <w:rPr>
          <w:position w:val="1"/>
        </w:rPr>
        <w:t>500m³≤</w:t>
      </w:r>
      <w:r>
        <w:rPr>
          <w:i/>
          <w:position w:val="1"/>
          <w:sz w:val="22"/>
        </w:rPr>
        <w:t>V</w:t>
      </w:r>
      <w:r>
        <w:rPr>
          <w:position w:val="1"/>
        </w:rPr>
        <w:t>＜</w:t>
      </w:r>
      <w:r>
        <w:rPr>
          <w:position w:val="1"/>
        </w:rPr>
        <w:t>1000m³</w:t>
      </w:r>
      <w:r>
        <w:rPr>
          <w:position w:val="1"/>
        </w:rPr>
        <w:t>，</w:t>
      </w:r>
      <w:r>
        <w:rPr>
          <w:i/>
          <w:position w:val="1"/>
          <w:sz w:val="22"/>
        </w:rPr>
        <w:t>K</w:t>
      </w:r>
      <w:r>
        <w:rPr>
          <w:sz w:val="11"/>
        </w:rPr>
        <w:t>v</w:t>
      </w:r>
      <w:r>
        <w:rPr>
          <w:position w:val="1"/>
        </w:rPr>
        <w:t>＝</w:t>
      </w:r>
      <w:r>
        <w:rPr>
          <w:position w:val="1"/>
        </w:rPr>
        <w:t>1.1</w:t>
      </w:r>
      <w:r>
        <w:rPr>
          <w:position w:val="1"/>
        </w:rPr>
        <w:t>；</w:t>
      </w:r>
      <w:r>
        <w:rPr>
          <w:i/>
          <w:position w:val="1"/>
          <w:sz w:val="22"/>
        </w:rPr>
        <w:t>V</w:t>
      </w:r>
      <w:r>
        <w:rPr>
          <w:position w:val="1"/>
        </w:rPr>
        <w:t>≥1000m³</w:t>
      </w:r>
      <w:r>
        <w:rPr>
          <w:position w:val="1"/>
        </w:rPr>
        <w:t>，</w:t>
      </w:r>
      <w:r>
        <w:rPr>
          <w:position w:val="1"/>
        </w:rPr>
        <w:t>K</w:t>
      </w:r>
      <w:r>
        <w:rPr>
          <w:sz w:val="11"/>
        </w:rPr>
        <w:t>v</w:t>
      </w:r>
      <w:r>
        <w:rPr>
          <w:position w:val="1"/>
        </w:rPr>
        <w:t>＝</w:t>
      </w:r>
      <w:r>
        <w:rPr>
          <w:position w:val="1"/>
        </w:rPr>
        <w:t>1.2</w:t>
      </w:r>
      <w:r>
        <w:rPr>
          <w:spacing w:val="-108"/>
          <w:position w:val="1"/>
        </w:rPr>
        <w:t>。</w:t>
      </w:r>
      <w:r>
        <w:rPr>
          <w:position w:val="1"/>
        </w:rPr>
        <w:t xml:space="preserve"> </w:t>
      </w:r>
    </w:p>
    <w:p w14:paraId="0B077940" w14:textId="77777777" w:rsidR="00A71EEF" w:rsidRDefault="00A71EEF">
      <w:pPr>
        <w:pStyle w:val="a3"/>
        <w:spacing w:before="5"/>
        <w:rPr>
          <w:sz w:val="15"/>
        </w:rPr>
      </w:pPr>
    </w:p>
    <w:p w14:paraId="38C347E5" w14:textId="77777777" w:rsidR="00A71EEF" w:rsidRDefault="0081115D">
      <w:pPr>
        <w:pStyle w:val="4"/>
        <w:spacing w:before="1"/>
      </w:pPr>
      <w:r>
        <w:t xml:space="preserve">4 </w:t>
      </w:r>
      <w:r>
        <w:t>系统组件</w:t>
      </w:r>
      <w:r>
        <w:rPr>
          <w:w w:val="99"/>
        </w:rPr>
        <w:t xml:space="preserve"> </w:t>
      </w:r>
    </w:p>
    <w:p w14:paraId="36A9E626" w14:textId="77777777" w:rsidR="00A71EEF" w:rsidRDefault="00A71EEF">
      <w:pPr>
        <w:pStyle w:val="a3"/>
        <w:spacing w:before="6"/>
        <w:rPr>
          <w:b/>
          <w:sz w:val="17"/>
        </w:rPr>
      </w:pPr>
    </w:p>
    <w:p w14:paraId="2EEEFDFF" w14:textId="77777777" w:rsidR="00A71EEF" w:rsidRDefault="0081115D">
      <w:pPr>
        <w:pStyle w:val="a4"/>
        <w:numPr>
          <w:ilvl w:val="1"/>
          <w:numId w:val="612"/>
        </w:numPr>
        <w:tabs>
          <w:tab w:val="left" w:pos="1159"/>
        </w:tabs>
        <w:ind w:hanging="319"/>
        <w:rPr>
          <w:b/>
          <w:sz w:val="21"/>
        </w:rPr>
      </w:pPr>
      <w:r>
        <w:rPr>
          <w:spacing w:val="-3"/>
          <w:sz w:val="21"/>
        </w:rPr>
        <w:t>一般规定</w:t>
      </w:r>
      <w:r>
        <w:rPr>
          <w:b/>
          <w:w w:val="99"/>
          <w:sz w:val="21"/>
        </w:rPr>
        <w:t xml:space="preserve"> </w:t>
      </w:r>
    </w:p>
    <w:p w14:paraId="2192F056" w14:textId="77777777" w:rsidR="00A71EEF" w:rsidRDefault="00A71EEF">
      <w:pPr>
        <w:pStyle w:val="a3"/>
        <w:spacing w:before="12"/>
        <w:rPr>
          <w:b/>
          <w:sz w:val="17"/>
        </w:rPr>
      </w:pPr>
    </w:p>
    <w:p w14:paraId="1D1ADEC6" w14:textId="77777777" w:rsidR="00A71EEF" w:rsidRDefault="0081115D">
      <w:pPr>
        <w:pStyle w:val="a4"/>
        <w:numPr>
          <w:ilvl w:val="2"/>
          <w:numId w:val="612"/>
        </w:numPr>
        <w:tabs>
          <w:tab w:val="left" w:pos="1371"/>
        </w:tabs>
        <w:jc w:val="both"/>
        <w:rPr>
          <w:sz w:val="21"/>
        </w:rPr>
      </w:pPr>
      <w:r>
        <w:rPr>
          <w:spacing w:val="-3"/>
          <w:sz w:val="21"/>
        </w:rPr>
        <w:t>储存装置应符合下列规定：</w:t>
      </w:r>
      <w:r>
        <w:rPr>
          <w:sz w:val="21"/>
        </w:rPr>
        <w:t xml:space="preserve"> </w:t>
      </w:r>
    </w:p>
    <w:p w14:paraId="2AE10901" w14:textId="77777777" w:rsidR="00A71EEF" w:rsidRDefault="00A71EEF">
      <w:pPr>
        <w:pStyle w:val="a3"/>
        <w:rPr>
          <w:sz w:val="18"/>
        </w:rPr>
      </w:pPr>
    </w:p>
    <w:p w14:paraId="16233240" w14:textId="77777777" w:rsidR="00A71EEF" w:rsidRDefault="0081115D">
      <w:pPr>
        <w:pStyle w:val="a4"/>
        <w:numPr>
          <w:ilvl w:val="0"/>
          <w:numId w:val="611"/>
        </w:numPr>
        <w:tabs>
          <w:tab w:val="left" w:pos="1367"/>
        </w:tabs>
        <w:spacing w:line="446" w:lineRule="auto"/>
        <w:ind w:right="1431" w:firstLine="419"/>
        <w:jc w:val="both"/>
        <w:rPr>
          <w:sz w:val="21"/>
        </w:rPr>
      </w:pPr>
      <w:r>
        <w:rPr>
          <w:spacing w:val="-3"/>
          <w:sz w:val="21"/>
        </w:rPr>
        <w:t>管网系统的储存装置应由储存容器、容器阀和集流管等组成；七氟丙烷和</w:t>
      </w:r>
      <w:r>
        <w:rPr>
          <w:spacing w:val="-3"/>
          <w:sz w:val="21"/>
        </w:rPr>
        <w:t xml:space="preserve"> </w:t>
      </w:r>
      <w:r>
        <w:rPr>
          <w:sz w:val="21"/>
        </w:rPr>
        <w:t xml:space="preserve">IG541 </w:t>
      </w:r>
      <w:r>
        <w:rPr>
          <w:sz w:val="21"/>
        </w:rPr>
        <w:t>预制</w:t>
      </w:r>
      <w:r>
        <w:rPr>
          <w:spacing w:val="-6"/>
          <w:sz w:val="21"/>
        </w:rPr>
        <w:t>灭火系统的储存装置，应由储存容器、容器阀等组成；热气溶胶预制灭火系统的储存装置应由发</w:t>
      </w:r>
      <w:r>
        <w:rPr>
          <w:spacing w:val="-4"/>
          <w:sz w:val="21"/>
        </w:rPr>
        <w:t>生剂罐、引发器和保护箱</w:t>
      </w:r>
      <w:r>
        <w:rPr>
          <w:sz w:val="21"/>
        </w:rPr>
        <w:t>（壳</w:t>
      </w:r>
      <w:r>
        <w:rPr>
          <w:spacing w:val="-3"/>
          <w:sz w:val="21"/>
        </w:rPr>
        <w:t>）体等组成；</w:t>
      </w:r>
      <w:r>
        <w:rPr>
          <w:sz w:val="21"/>
        </w:rPr>
        <w:t xml:space="preserve"> </w:t>
      </w:r>
    </w:p>
    <w:p w14:paraId="5F4B6E48" w14:textId="77777777" w:rsidR="00A71EEF" w:rsidRDefault="0081115D">
      <w:pPr>
        <w:pStyle w:val="a4"/>
        <w:numPr>
          <w:ilvl w:val="0"/>
          <w:numId w:val="611"/>
        </w:numPr>
        <w:tabs>
          <w:tab w:val="left" w:pos="1367"/>
        </w:tabs>
        <w:spacing w:line="268" w:lineRule="exact"/>
        <w:ind w:left="1367"/>
        <w:rPr>
          <w:sz w:val="21"/>
        </w:rPr>
      </w:pPr>
      <w:r>
        <w:rPr>
          <w:spacing w:val="-3"/>
          <w:sz w:val="21"/>
        </w:rPr>
        <w:t>容器阀和集流管之间应采用挠性连接。储存容器和集流管应采用支架固定；</w:t>
      </w:r>
      <w:r>
        <w:rPr>
          <w:sz w:val="21"/>
        </w:rPr>
        <w:t xml:space="preserve"> </w:t>
      </w:r>
    </w:p>
    <w:p w14:paraId="6BD2A05D" w14:textId="77777777" w:rsidR="00A71EEF" w:rsidRDefault="00A71EEF">
      <w:pPr>
        <w:pStyle w:val="a3"/>
        <w:spacing w:before="2"/>
        <w:rPr>
          <w:sz w:val="18"/>
        </w:rPr>
      </w:pPr>
    </w:p>
    <w:p w14:paraId="0A5EF252" w14:textId="77777777" w:rsidR="00A71EEF" w:rsidRDefault="0081115D">
      <w:pPr>
        <w:pStyle w:val="a4"/>
        <w:numPr>
          <w:ilvl w:val="0"/>
          <w:numId w:val="611"/>
        </w:numPr>
        <w:tabs>
          <w:tab w:val="left" w:pos="1367"/>
        </w:tabs>
        <w:spacing w:line="446" w:lineRule="auto"/>
        <w:ind w:right="1434" w:firstLine="419"/>
        <w:rPr>
          <w:sz w:val="21"/>
        </w:rPr>
      </w:pPr>
      <w:r>
        <w:rPr>
          <w:spacing w:val="-16"/>
          <w:sz w:val="21"/>
        </w:rPr>
        <w:t>储存装置上应设耐久的固定铭牌，并应标明每个容器的编号、容积、皮重、灭火剂名称</w:t>
      </w:r>
      <w:r>
        <w:rPr>
          <w:spacing w:val="-3"/>
          <w:sz w:val="21"/>
        </w:rPr>
        <w:t>、充装量、充装日期和充压压力等；</w:t>
      </w:r>
      <w:r>
        <w:rPr>
          <w:sz w:val="21"/>
        </w:rPr>
        <w:t xml:space="preserve"> </w:t>
      </w:r>
    </w:p>
    <w:p w14:paraId="7782E1DE" w14:textId="77777777" w:rsidR="00A71EEF" w:rsidRDefault="0081115D">
      <w:pPr>
        <w:pStyle w:val="a4"/>
        <w:numPr>
          <w:ilvl w:val="0"/>
          <w:numId w:val="611"/>
        </w:numPr>
        <w:tabs>
          <w:tab w:val="left" w:pos="1367"/>
        </w:tabs>
        <w:spacing w:line="446" w:lineRule="auto"/>
        <w:ind w:right="1431" w:firstLine="419"/>
        <w:jc w:val="both"/>
        <w:rPr>
          <w:sz w:val="21"/>
        </w:rPr>
      </w:pPr>
      <w:r>
        <w:rPr>
          <w:spacing w:val="-8"/>
          <w:sz w:val="21"/>
        </w:rPr>
        <w:t>管网灭火系统的储存装置宜设在专用储瓶间内。储瓶间宜靠近防护区，并应符合建筑</w:t>
      </w:r>
      <w:r>
        <w:rPr>
          <w:spacing w:val="-8"/>
          <w:sz w:val="21"/>
        </w:rPr>
        <w:t xml:space="preserve"> </w:t>
      </w:r>
      <w:r>
        <w:rPr>
          <w:spacing w:val="-5"/>
          <w:sz w:val="21"/>
        </w:rPr>
        <w:t>物耐火等级不低于二级的有关规定及有关压力容器存放的规定，且应有直接通向室外或疏散走道</w:t>
      </w:r>
      <w:r>
        <w:rPr>
          <w:spacing w:val="-3"/>
          <w:sz w:val="21"/>
        </w:rPr>
        <w:t>的出口。储瓶间和设置预制灭火系统的防护区的环境温度应为</w:t>
      </w:r>
      <w:r>
        <w:rPr>
          <w:spacing w:val="-3"/>
          <w:sz w:val="21"/>
        </w:rPr>
        <w:t>-</w:t>
      </w:r>
      <w:r>
        <w:rPr>
          <w:sz w:val="21"/>
        </w:rPr>
        <w:t>10</w:t>
      </w:r>
      <w:r>
        <w:rPr>
          <w:sz w:val="21"/>
        </w:rPr>
        <w:t>～</w:t>
      </w:r>
      <w:r>
        <w:rPr>
          <w:sz w:val="21"/>
        </w:rPr>
        <w:t>50℃</w:t>
      </w:r>
      <w:r>
        <w:rPr>
          <w:sz w:val="21"/>
        </w:rPr>
        <w:t>；</w:t>
      </w:r>
      <w:r>
        <w:rPr>
          <w:sz w:val="21"/>
        </w:rPr>
        <w:t xml:space="preserve"> </w:t>
      </w:r>
    </w:p>
    <w:p w14:paraId="731FF6AF" w14:textId="77777777" w:rsidR="00A71EEF" w:rsidRDefault="0081115D">
      <w:pPr>
        <w:pStyle w:val="a4"/>
        <w:numPr>
          <w:ilvl w:val="0"/>
          <w:numId w:val="611"/>
        </w:numPr>
        <w:tabs>
          <w:tab w:val="left" w:pos="1367"/>
        </w:tabs>
        <w:spacing w:line="446" w:lineRule="auto"/>
        <w:ind w:right="1433" w:firstLine="419"/>
        <w:jc w:val="both"/>
        <w:rPr>
          <w:sz w:val="21"/>
        </w:rPr>
      </w:pPr>
      <w:r>
        <w:rPr>
          <w:spacing w:val="-11"/>
          <w:sz w:val="21"/>
        </w:rPr>
        <w:t>储存装置的布置，应便于操作、维修及避免阳光照射。操作面距墙面或两操作面之间</w:t>
      </w:r>
      <w:r>
        <w:rPr>
          <w:spacing w:val="-11"/>
          <w:sz w:val="21"/>
        </w:rPr>
        <w:t xml:space="preserve"> </w:t>
      </w:r>
      <w:r>
        <w:rPr>
          <w:spacing w:val="-13"/>
          <w:sz w:val="21"/>
        </w:rPr>
        <w:t>的距离，不宜小于</w:t>
      </w:r>
      <w:r>
        <w:rPr>
          <w:spacing w:val="-13"/>
          <w:sz w:val="21"/>
        </w:rPr>
        <w:t xml:space="preserve"> </w:t>
      </w:r>
      <w:r>
        <w:rPr>
          <w:sz w:val="21"/>
        </w:rPr>
        <w:t>1.0m</w:t>
      </w:r>
      <w:r>
        <w:rPr>
          <w:spacing w:val="-7"/>
          <w:sz w:val="21"/>
        </w:rPr>
        <w:t>，且不应小于储存容器外径的</w:t>
      </w:r>
      <w:r>
        <w:rPr>
          <w:spacing w:val="-7"/>
          <w:sz w:val="21"/>
        </w:rPr>
        <w:t xml:space="preserve"> </w:t>
      </w:r>
      <w:r>
        <w:rPr>
          <w:sz w:val="21"/>
        </w:rPr>
        <w:t>1.5</w:t>
      </w:r>
      <w:r>
        <w:rPr>
          <w:spacing w:val="-20"/>
          <w:sz w:val="21"/>
        </w:rPr>
        <w:t xml:space="preserve"> </w:t>
      </w:r>
      <w:r>
        <w:rPr>
          <w:spacing w:val="-20"/>
          <w:sz w:val="21"/>
        </w:rPr>
        <w:t>倍。</w:t>
      </w:r>
      <w:r>
        <w:rPr>
          <w:sz w:val="21"/>
        </w:rPr>
        <w:t xml:space="preserve"> </w:t>
      </w:r>
    </w:p>
    <w:p w14:paraId="2C478D4A" w14:textId="77777777" w:rsidR="00A71EEF" w:rsidRDefault="0081115D">
      <w:pPr>
        <w:pStyle w:val="a4"/>
        <w:numPr>
          <w:ilvl w:val="2"/>
          <w:numId w:val="612"/>
        </w:numPr>
        <w:tabs>
          <w:tab w:val="left" w:pos="1371"/>
        </w:tabs>
        <w:jc w:val="both"/>
        <w:rPr>
          <w:sz w:val="21"/>
        </w:rPr>
      </w:pPr>
      <w:r>
        <w:rPr>
          <w:spacing w:val="-12"/>
          <w:sz w:val="21"/>
        </w:rPr>
        <w:t>储存容器、驱动气体储瓶的设计与使用应符合国家现行《气瓶安全监察规程》及《压</w:t>
      </w:r>
    </w:p>
    <w:p w14:paraId="50041125" w14:textId="77777777" w:rsidR="00A71EEF" w:rsidRDefault="00A71EEF">
      <w:pPr>
        <w:jc w:val="both"/>
        <w:rPr>
          <w:sz w:val="21"/>
        </w:rPr>
        <w:sectPr w:rsidR="00A71EEF">
          <w:pgSz w:w="11910" w:h="16850"/>
          <w:pgMar w:top="1220" w:right="0" w:bottom="1420" w:left="1260" w:header="0" w:footer="1239" w:gutter="0"/>
          <w:cols w:space="720"/>
        </w:sectPr>
      </w:pPr>
    </w:p>
    <w:p w14:paraId="47129A4C" w14:textId="77777777" w:rsidR="00A71EEF" w:rsidRDefault="0081115D">
      <w:pPr>
        <w:pStyle w:val="a3"/>
        <w:spacing w:before="47"/>
        <w:ind w:left="418"/>
      </w:pPr>
      <w:r>
        <w:t>力容器安全技术监察规程》的规定。</w:t>
      </w:r>
      <w:r>
        <w:t xml:space="preserve"> </w:t>
      </w:r>
    </w:p>
    <w:p w14:paraId="2FB637FE" w14:textId="77777777" w:rsidR="00A71EEF" w:rsidRDefault="00A71EEF">
      <w:pPr>
        <w:pStyle w:val="a3"/>
        <w:rPr>
          <w:sz w:val="18"/>
        </w:rPr>
      </w:pPr>
    </w:p>
    <w:p w14:paraId="7C8ED1B4" w14:textId="77777777" w:rsidR="00A71EEF" w:rsidRDefault="0081115D">
      <w:pPr>
        <w:pStyle w:val="a4"/>
        <w:numPr>
          <w:ilvl w:val="2"/>
          <w:numId w:val="612"/>
        </w:numPr>
        <w:tabs>
          <w:tab w:val="left" w:pos="1370"/>
        </w:tabs>
        <w:spacing w:line="446" w:lineRule="auto"/>
        <w:ind w:left="418" w:right="1437" w:firstLine="422"/>
        <w:rPr>
          <w:sz w:val="21"/>
        </w:rPr>
      </w:pPr>
      <w:r>
        <w:rPr>
          <w:spacing w:val="-1"/>
          <w:sz w:val="21"/>
        </w:rPr>
        <w:t>储存装置的储存容器与其他组件的公称工作压力，不应小于在最高环境温度下所承受</w:t>
      </w:r>
      <w:r>
        <w:rPr>
          <w:spacing w:val="-3"/>
          <w:sz w:val="21"/>
        </w:rPr>
        <w:t>的工作压力。</w:t>
      </w:r>
      <w:r>
        <w:rPr>
          <w:sz w:val="21"/>
        </w:rPr>
        <w:t xml:space="preserve"> </w:t>
      </w:r>
    </w:p>
    <w:p w14:paraId="0E0FDCB5" w14:textId="77777777" w:rsidR="00A71EEF" w:rsidRDefault="0081115D">
      <w:pPr>
        <w:pStyle w:val="a4"/>
        <w:numPr>
          <w:ilvl w:val="2"/>
          <w:numId w:val="612"/>
        </w:numPr>
        <w:tabs>
          <w:tab w:val="left" w:pos="1370"/>
        </w:tabs>
        <w:spacing w:line="446" w:lineRule="auto"/>
        <w:ind w:left="418" w:right="1431" w:firstLine="422"/>
        <w:rPr>
          <w:sz w:val="21"/>
        </w:rPr>
      </w:pPr>
      <w:r>
        <w:rPr>
          <w:spacing w:val="-12"/>
          <w:sz w:val="21"/>
        </w:rPr>
        <w:t>在储存容器或容器阀上，应设安全泄压装置和压力表。组合分配系统的集流管，应设安</w:t>
      </w:r>
      <w:r>
        <w:rPr>
          <w:spacing w:val="-5"/>
          <w:sz w:val="21"/>
        </w:rPr>
        <w:t>全泄压装置。安全泄压装置的动作压力，应符合相应气体灭火系统的设计规定。</w:t>
      </w:r>
      <w:r>
        <w:rPr>
          <w:sz w:val="21"/>
        </w:rPr>
        <w:t xml:space="preserve"> </w:t>
      </w:r>
    </w:p>
    <w:p w14:paraId="1192B80A" w14:textId="77777777" w:rsidR="00A71EEF" w:rsidRDefault="0081115D">
      <w:pPr>
        <w:pStyle w:val="a4"/>
        <w:numPr>
          <w:ilvl w:val="2"/>
          <w:numId w:val="612"/>
        </w:numPr>
        <w:tabs>
          <w:tab w:val="left" w:pos="1370"/>
        </w:tabs>
        <w:spacing w:line="267" w:lineRule="exact"/>
        <w:ind w:left="1369" w:hanging="530"/>
        <w:rPr>
          <w:sz w:val="21"/>
        </w:rPr>
      </w:pPr>
      <w:r>
        <w:rPr>
          <w:spacing w:val="-3"/>
          <w:sz w:val="21"/>
        </w:rPr>
        <w:t>在通向每个防护区的灭火系统主管道上，应设压力讯号器或流量讯号器。</w:t>
      </w:r>
      <w:r>
        <w:rPr>
          <w:spacing w:val="-3"/>
          <w:sz w:val="21"/>
        </w:rPr>
        <w:t xml:space="preserve"> </w:t>
      </w:r>
    </w:p>
    <w:p w14:paraId="44AB1885" w14:textId="77777777" w:rsidR="00A71EEF" w:rsidRDefault="00A71EEF">
      <w:pPr>
        <w:pStyle w:val="a3"/>
        <w:spacing w:before="2"/>
        <w:rPr>
          <w:sz w:val="18"/>
        </w:rPr>
      </w:pPr>
    </w:p>
    <w:p w14:paraId="72D88BB1" w14:textId="77777777" w:rsidR="00A71EEF" w:rsidRDefault="0081115D">
      <w:pPr>
        <w:pStyle w:val="a4"/>
        <w:numPr>
          <w:ilvl w:val="2"/>
          <w:numId w:val="612"/>
        </w:numPr>
        <w:tabs>
          <w:tab w:val="left" w:pos="1370"/>
        </w:tabs>
        <w:spacing w:line="446" w:lineRule="auto"/>
        <w:ind w:left="418" w:right="1438" w:firstLine="422"/>
        <w:rPr>
          <w:sz w:val="21"/>
        </w:rPr>
      </w:pPr>
      <w:r>
        <w:rPr>
          <w:spacing w:val="-1"/>
          <w:sz w:val="21"/>
        </w:rPr>
        <w:t>组合分配系统中的每个防护区应设置控制灭火剂流向的选择阀，其公称直径应与该防</w:t>
      </w:r>
      <w:r>
        <w:rPr>
          <w:spacing w:val="-3"/>
          <w:sz w:val="21"/>
        </w:rPr>
        <w:t>护区灭火系统的主管道公称直径相等。</w:t>
      </w:r>
      <w:r>
        <w:rPr>
          <w:sz w:val="21"/>
        </w:rPr>
        <w:t xml:space="preserve"> </w:t>
      </w:r>
    </w:p>
    <w:p w14:paraId="7873FC49" w14:textId="77777777" w:rsidR="00A71EEF" w:rsidRDefault="0081115D">
      <w:pPr>
        <w:pStyle w:val="a3"/>
        <w:spacing w:line="446" w:lineRule="auto"/>
        <w:ind w:left="840" w:right="1330" w:hanging="3"/>
      </w:pPr>
      <w:r>
        <w:t>选择阀的位置应靠近储存容器且便于操作。选择阀应设有标明其工作防护区的永久性铭牌</w:t>
      </w:r>
      <w:r>
        <w:rPr>
          <w:spacing w:val="-108"/>
        </w:rPr>
        <w:t>。</w:t>
      </w:r>
      <w:r>
        <w:rPr>
          <w:b/>
        </w:rPr>
        <w:t xml:space="preserve">4.1.7 </w:t>
      </w:r>
      <w:r>
        <w:rPr>
          <w:spacing w:val="-13"/>
        </w:rPr>
        <w:t>喷头应有型号、规格的永久性标识。设置在有粉尘、油雾等防护区的喷头，应有防护</w:t>
      </w:r>
    </w:p>
    <w:p w14:paraId="14A26772" w14:textId="77777777" w:rsidR="00A71EEF" w:rsidRDefault="0081115D">
      <w:pPr>
        <w:pStyle w:val="a3"/>
        <w:ind w:left="418"/>
      </w:pPr>
      <w:r>
        <w:t>装置。</w:t>
      </w:r>
      <w:r>
        <w:t xml:space="preserve"> </w:t>
      </w:r>
    </w:p>
    <w:p w14:paraId="35673BAF" w14:textId="77777777" w:rsidR="00A71EEF" w:rsidRDefault="00A71EEF">
      <w:pPr>
        <w:pStyle w:val="a3"/>
        <w:spacing w:before="10"/>
        <w:rPr>
          <w:sz w:val="17"/>
        </w:rPr>
      </w:pPr>
    </w:p>
    <w:p w14:paraId="5469760D" w14:textId="77777777" w:rsidR="00A71EEF" w:rsidRDefault="0081115D">
      <w:pPr>
        <w:pStyle w:val="a4"/>
        <w:numPr>
          <w:ilvl w:val="2"/>
          <w:numId w:val="610"/>
        </w:numPr>
        <w:tabs>
          <w:tab w:val="left" w:pos="1370"/>
        </w:tabs>
        <w:spacing w:line="446" w:lineRule="auto"/>
        <w:ind w:right="1438" w:firstLine="422"/>
        <w:jc w:val="both"/>
        <w:rPr>
          <w:sz w:val="21"/>
        </w:rPr>
      </w:pPr>
      <w:r>
        <w:rPr>
          <w:spacing w:val="-1"/>
          <w:sz w:val="21"/>
        </w:rPr>
        <w:t>喷头的布置应满足喷放后气体灭火剂在防护区内均匀分布的要求。当保护对象属可燃</w:t>
      </w:r>
      <w:r>
        <w:rPr>
          <w:spacing w:val="-3"/>
          <w:sz w:val="21"/>
        </w:rPr>
        <w:t>液体时，喷头射流方向不应朝向液体表面。</w:t>
      </w:r>
      <w:r>
        <w:rPr>
          <w:sz w:val="21"/>
        </w:rPr>
        <w:t xml:space="preserve"> </w:t>
      </w:r>
    </w:p>
    <w:p w14:paraId="6CE2A384" w14:textId="77777777" w:rsidR="00A71EEF" w:rsidRDefault="0081115D">
      <w:pPr>
        <w:pStyle w:val="a4"/>
        <w:numPr>
          <w:ilvl w:val="2"/>
          <w:numId w:val="610"/>
        </w:numPr>
        <w:tabs>
          <w:tab w:val="left" w:pos="1371"/>
        </w:tabs>
        <w:spacing w:before="1"/>
        <w:ind w:left="1370" w:hanging="531"/>
        <w:jc w:val="both"/>
        <w:rPr>
          <w:sz w:val="21"/>
        </w:rPr>
      </w:pPr>
      <w:r>
        <w:rPr>
          <w:spacing w:val="-3"/>
          <w:sz w:val="21"/>
        </w:rPr>
        <w:t>管道及管道附件应符合下列规定：</w:t>
      </w:r>
      <w:r>
        <w:rPr>
          <w:sz w:val="21"/>
        </w:rPr>
        <w:t xml:space="preserve"> </w:t>
      </w:r>
    </w:p>
    <w:p w14:paraId="4DA7F424" w14:textId="77777777" w:rsidR="00A71EEF" w:rsidRDefault="00A71EEF">
      <w:pPr>
        <w:pStyle w:val="a3"/>
        <w:spacing w:before="12"/>
        <w:rPr>
          <w:sz w:val="17"/>
        </w:rPr>
      </w:pPr>
    </w:p>
    <w:p w14:paraId="3F4DE637" w14:textId="77777777" w:rsidR="00A71EEF" w:rsidRDefault="0081115D">
      <w:pPr>
        <w:pStyle w:val="a4"/>
        <w:numPr>
          <w:ilvl w:val="0"/>
          <w:numId w:val="609"/>
        </w:numPr>
        <w:tabs>
          <w:tab w:val="left" w:pos="1367"/>
        </w:tabs>
        <w:spacing w:line="446" w:lineRule="auto"/>
        <w:ind w:right="1431" w:firstLine="419"/>
        <w:jc w:val="both"/>
        <w:rPr>
          <w:sz w:val="21"/>
        </w:rPr>
      </w:pPr>
      <w:r>
        <w:rPr>
          <w:spacing w:val="-8"/>
          <w:sz w:val="21"/>
        </w:rPr>
        <w:t>输送气体灭火剂的管道应采用无缝钢管。其质量应符合现行国家标准《输送流体用无</w:t>
      </w:r>
      <w:r>
        <w:rPr>
          <w:spacing w:val="-8"/>
          <w:sz w:val="21"/>
        </w:rPr>
        <w:t xml:space="preserve"> </w:t>
      </w:r>
      <w:r>
        <w:rPr>
          <w:spacing w:val="-7"/>
          <w:sz w:val="21"/>
        </w:rPr>
        <w:t>缝钢管》</w:t>
      </w:r>
      <w:r>
        <w:rPr>
          <w:sz w:val="21"/>
        </w:rPr>
        <w:t>GB/T8163</w:t>
      </w:r>
      <w:r>
        <w:rPr>
          <w:spacing w:val="-14"/>
          <w:sz w:val="21"/>
        </w:rPr>
        <w:t>、《高压锅炉用无缝钢管》</w:t>
      </w:r>
      <w:r>
        <w:rPr>
          <w:sz w:val="21"/>
        </w:rPr>
        <w:t>GB5310</w:t>
      </w:r>
      <w:r>
        <w:rPr>
          <w:spacing w:val="-3"/>
          <w:sz w:val="21"/>
        </w:rPr>
        <w:t xml:space="preserve"> </w:t>
      </w:r>
      <w:r>
        <w:rPr>
          <w:spacing w:val="-3"/>
          <w:sz w:val="21"/>
        </w:rPr>
        <w:t>等的规定。无缝钢管内外应进行防腐处理，</w:t>
      </w:r>
      <w:r>
        <w:rPr>
          <w:spacing w:val="-3"/>
          <w:sz w:val="21"/>
        </w:rPr>
        <w:t xml:space="preserve"> </w:t>
      </w:r>
      <w:r>
        <w:rPr>
          <w:spacing w:val="-3"/>
          <w:sz w:val="21"/>
        </w:rPr>
        <w:t>防腐处理宜采用符合环保要求的方式；</w:t>
      </w:r>
      <w:r>
        <w:rPr>
          <w:sz w:val="21"/>
        </w:rPr>
        <w:t xml:space="preserve"> </w:t>
      </w:r>
    </w:p>
    <w:p w14:paraId="2A859D5B" w14:textId="77777777" w:rsidR="00A71EEF" w:rsidRDefault="0081115D">
      <w:pPr>
        <w:pStyle w:val="a4"/>
        <w:numPr>
          <w:ilvl w:val="0"/>
          <w:numId w:val="609"/>
        </w:numPr>
        <w:tabs>
          <w:tab w:val="left" w:pos="1367"/>
        </w:tabs>
        <w:spacing w:line="446" w:lineRule="auto"/>
        <w:ind w:right="1433" w:firstLine="419"/>
        <w:jc w:val="both"/>
        <w:rPr>
          <w:sz w:val="21"/>
        </w:rPr>
      </w:pPr>
      <w:r>
        <w:rPr>
          <w:spacing w:val="-7"/>
          <w:sz w:val="21"/>
        </w:rPr>
        <w:t>输送气体灭火剂的管道安装在腐蚀性较大的环境里，宜采用不锈钢管。其质量应符合</w:t>
      </w:r>
      <w:r>
        <w:rPr>
          <w:spacing w:val="-7"/>
          <w:sz w:val="21"/>
        </w:rPr>
        <w:t xml:space="preserve"> </w:t>
      </w:r>
      <w:r>
        <w:rPr>
          <w:spacing w:val="-3"/>
          <w:sz w:val="21"/>
        </w:rPr>
        <w:t>现行国家标准《流体输送用不锈钢无缝钢管》</w:t>
      </w:r>
      <w:r>
        <w:rPr>
          <w:sz w:val="21"/>
        </w:rPr>
        <w:t>GB/T14976</w:t>
      </w:r>
      <w:r>
        <w:rPr>
          <w:spacing w:val="-13"/>
          <w:sz w:val="21"/>
        </w:rPr>
        <w:t xml:space="preserve"> </w:t>
      </w:r>
      <w:r>
        <w:rPr>
          <w:spacing w:val="-13"/>
          <w:sz w:val="21"/>
        </w:rPr>
        <w:t>的规定；</w:t>
      </w:r>
      <w:r>
        <w:rPr>
          <w:sz w:val="21"/>
        </w:rPr>
        <w:t xml:space="preserve"> </w:t>
      </w:r>
    </w:p>
    <w:p w14:paraId="62F26993" w14:textId="77777777" w:rsidR="00A71EEF" w:rsidRDefault="0081115D">
      <w:pPr>
        <w:pStyle w:val="a4"/>
        <w:numPr>
          <w:ilvl w:val="0"/>
          <w:numId w:val="609"/>
        </w:numPr>
        <w:tabs>
          <w:tab w:val="left" w:pos="1367"/>
        </w:tabs>
        <w:spacing w:line="446" w:lineRule="auto"/>
        <w:ind w:right="1431" w:firstLine="419"/>
        <w:jc w:val="both"/>
        <w:rPr>
          <w:sz w:val="21"/>
        </w:rPr>
      </w:pPr>
      <w:r>
        <w:rPr>
          <w:spacing w:val="-12"/>
          <w:sz w:val="21"/>
        </w:rPr>
        <w:t>输送启动气体的管道，宜采用铜管，其质量应符合现行国家标准《拉制铜管》</w:t>
      </w:r>
      <w:r>
        <w:rPr>
          <w:sz w:val="21"/>
        </w:rPr>
        <w:t xml:space="preserve">GB1527 </w:t>
      </w:r>
      <w:r>
        <w:rPr>
          <w:spacing w:val="-1"/>
          <w:sz w:val="21"/>
        </w:rPr>
        <w:t>的规定；</w:t>
      </w:r>
      <w:r>
        <w:rPr>
          <w:sz w:val="21"/>
        </w:rPr>
        <w:t xml:space="preserve"> </w:t>
      </w:r>
    </w:p>
    <w:p w14:paraId="08C90B1E" w14:textId="77777777" w:rsidR="00A71EEF" w:rsidRDefault="0081115D">
      <w:pPr>
        <w:pStyle w:val="a4"/>
        <w:numPr>
          <w:ilvl w:val="0"/>
          <w:numId w:val="609"/>
        </w:numPr>
        <w:tabs>
          <w:tab w:val="left" w:pos="1365"/>
        </w:tabs>
        <w:spacing w:line="446" w:lineRule="auto"/>
        <w:ind w:right="1431" w:firstLine="419"/>
        <w:jc w:val="both"/>
        <w:rPr>
          <w:sz w:val="21"/>
        </w:rPr>
      </w:pPr>
      <w:r>
        <w:rPr>
          <w:spacing w:val="-10"/>
          <w:sz w:val="21"/>
        </w:rPr>
        <w:t>管道的连接，当公称直径小于或等于</w:t>
      </w:r>
      <w:r>
        <w:rPr>
          <w:spacing w:val="-10"/>
          <w:sz w:val="21"/>
        </w:rPr>
        <w:t xml:space="preserve"> </w:t>
      </w:r>
      <w:r>
        <w:rPr>
          <w:sz w:val="21"/>
        </w:rPr>
        <w:t>80mm</w:t>
      </w:r>
      <w:r>
        <w:rPr>
          <w:spacing w:val="-14"/>
          <w:sz w:val="21"/>
        </w:rPr>
        <w:t xml:space="preserve"> </w:t>
      </w:r>
      <w:r>
        <w:rPr>
          <w:spacing w:val="-14"/>
          <w:sz w:val="21"/>
        </w:rPr>
        <w:t>时，宜采用螺纹连接；大于</w:t>
      </w:r>
      <w:r>
        <w:rPr>
          <w:spacing w:val="-14"/>
          <w:sz w:val="21"/>
        </w:rPr>
        <w:t xml:space="preserve"> </w:t>
      </w:r>
      <w:r>
        <w:rPr>
          <w:sz w:val="21"/>
        </w:rPr>
        <w:t>80mm</w:t>
      </w:r>
      <w:r>
        <w:rPr>
          <w:spacing w:val="-16"/>
          <w:sz w:val="21"/>
        </w:rPr>
        <w:t xml:space="preserve"> </w:t>
      </w:r>
      <w:r>
        <w:rPr>
          <w:spacing w:val="-16"/>
          <w:sz w:val="21"/>
        </w:rPr>
        <w:t>时，宜采</w:t>
      </w:r>
      <w:r>
        <w:rPr>
          <w:spacing w:val="-16"/>
          <w:sz w:val="21"/>
        </w:rPr>
        <w:t xml:space="preserve"> </w:t>
      </w:r>
      <w:r>
        <w:rPr>
          <w:spacing w:val="-10"/>
          <w:sz w:val="21"/>
        </w:rPr>
        <w:t>用法兰连接。钢制管道附件应内外防腐处理，防腐处理宜采用符合环保要求的方式。使用在腐蚀</w:t>
      </w:r>
      <w:r>
        <w:rPr>
          <w:spacing w:val="-3"/>
          <w:sz w:val="21"/>
        </w:rPr>
        <w:t>性较大的环境里，应采用不锈钢的管道附件。</w:t>
      </w:r>
      <w:r>
        <w:rPr>
          <w:sz w:val="21"/>
        </w:rPr>
        <w:t xml:space="preserve"> </w:t>
      </w:r>
    </w:p>
    <w:p w14:paraId="23BC21CB" w14:textId="77777777" w:rsidR="00A71EEF" w:rsidRDefault="0081115D">
      <w:pPr>
        <w:pStyle w:val="a4"/>
        <w:numPr>
          <w:ilvl w:val="2"/>
          <w:numId w:val="610"/>
        </w:numPr>
        <w:tabs>
          <w:tab w:val="left" w:pos="1478"/>
        </w:tabs>
        <w:spacing w:line="268" w:lineRule="exact"/>
        <w:ind w:left="1477" w:hanging="638"/>
        <w:jc w:val="both"/>
        <w:rPr>
          <w:sz w:val="21"/>
        </w:rPr>
      </w:pPr>
      <w:r>
        <w:rPr>
          <w:spacing w:val="-3"/>
          <w:sz w:val="21"/>
        </w:rPr>
        <w:t>系统组件与管道的公称工作压力，不应小于在最高环境温度下所承受的工作压力。</w:t>
      </w:r>
      <w:r>
        <w:rPr>
          <w:sz w:val="21"/>
        </w:rPr>
        <w:t xml:space="preserve"> </w:t>
      </w:r>
    </w:p>
    <w:p w14:paraId="03691C73" w14:textId="77777777" w:rsidR="00A71EEF" w:rsidRDefault="00A71EEF">
      <w:pPr>
        <w:pStyle w:val="a3"/>
        <w:spacing w:before="11"/>
        <w:rPr>
          <w:sz w:val="17"/>
        </w:rPr>
      </w:pPr>
    </w:p>
    <w:p w14:paraId="727527FD" w14:textId="77777777" w:rsidR="00A71EEF" w:rsidRDefault="0081115D">
      <w:pPr>
        <w:pStyle w:val="a4"/>
        <w:numPr>
          <w:ilvl w:val="2"/>
          <w:numId w:val="610"/>
        </w:numPr>
        <w:tabs>
          <w:tab w:val="left" w:pos="1478"/>
        </w:tabs>
        <w:spacing w:before="1"/>
        <w:ind w:left="1477" w:hanging="638"/>
        <w:jc w:val="both"/>
        <w:rPr>
          <w:sz w:val="21"/>
        </w:rPr>
      </w:pPr>
      <w:r>
        <w:rPr>
          <w:spacing w:val="-3"/>
          <w:sz w:val="21"/>
        </w:rPr>
        <w:t>系统组件的特性参数应由国家法定检测机构验证或测定。</w:t>
      </w:r>
      <w:r>
        <w:rPr>
          <w:sz w:val="21"/>
        </w:rPr>
        <w:t xml:space="preserve"> </w:t>
      </w:r>
    </w:p>
    <w:p w14:paraId="138C084E" w14:textId="77777777" w:rsidR="00A71EEF" w:rsidRDefault="00A71EEF">
      <w:pPr>
        <w:pStyle w:val="a3"/>
        <w:spacing w:before="12"/>
        <w:rPr>
          <w:sz w:val="17"/>
        </w:rPr>
      </w:pPr>
    </w:p>
    <w:p w14:paraId="7E274151" w14:textId="77777777" w:rsidR="00A71EEF" w:rsidRDefault="0081115D">
      <w:pPr>
        <w:pStyle w:val="a4"/>
        <w:numPr>
          <w:ilvl w:val="1"/>
          <w:numId w:val="612"/>
        </w:numPr>
        <w:tabs>
          <w:tab w:val="left" w:pos="1159"/>
        </w:tabs>
        <w:ind w:hanging="319"/>
        <w:rPr>
          <w:sz w:val="21"/>
        </w:rPr>
      </w:pPr>
      <w:r>
        <w:rPr>
          <w:spacing w:val="-3"/>
          <w:sz w:val="21"/>
        </w:rPr>
        <w:t>七氟丙烷灭火系统组件专用要求</w:t>
      </w:r>
      <w:r>
        <w:rPr>
          <w:sz w:val="21"/>
        </w:rPr>
        <w:t xml:space="preserve"> </w:t>
      </w:r>
    </w:p>
    <w:p w14:paraId="4301CE57" w14:textId="77777777" w:rsidR="00A71EEF" w:rsidRDefault="00A71EEF">
      <w:pPr>
        <w:pStyle w:val="a3"/>
        <w:spacing w:before="2"/>
        <w:rPr>
          <w:sz w:val="18"/>
        </w:rPr>
      </w:pPr>
    </w:p>
    <w:p w14:paraId="3755BAA5" w14:textId="77777777" w:rsidR="00A71EEF" w:rsidRDefault="0081115D">
      <w:pPr>
        <w:pStyle w:val="a4"/>
        <w:numPr>
          <w:ilvl w:val="2"/>
          <w:numId w:val="612"/>
        </w:numPr>
        <w:tabs>
          <w:tab w:val="left" w:pos="1371"/>
        </w:tabs>
        <w:rPr>
          <w:sz w:val="21"/>
        </w:rPr>
      </w:pPr>
      <w:r>
        <w:rPr>
          <w:sz w:val="21"/>
        </w:rPr>
        <w:t>储存容器或容器阀以及组合分配系统集流管上的安全泄压装置的动作压力，应符合</w:t>
      </w:r>
    </w:p>
    <w:p w14:paraId="6EE61A04" w14:textId="77777777" w:rsidR="00A71EEF" w:rsidRDefault="00A71EEF">
      <w:pPr>
        <w:rPr>
          <w:sz w:val="21"/>
        </w:rPr>
        <w:sectPr w:rsidR="00A71EEF">
          <w:pgSz w:w="11910" w:h="16850"/>
          <w:pgMar w:top="1220" w:right="0" w:bottom="1420" w:left="1260" w:header="0" w:footer="1239" w:gutter="0"/>
          <w:cols w:space="720"/>
        </w:sectPr>
      </w:pPr>
    </w:p>
    <w:p w14:paraId="0C80EFA3" w14:textId="77777777" w:rsidR="00A71EEF" w:rsidRDefault="0081115D">
      <w:pPr>
        <w:pStyle w:val="a3"/>
        <w:spacing w:before="47"/>
        <w:ind w:left="418"/>
      </w:pPr>
      <w:r>
        <w:t>下列规定：</w:t>
      </w:r>
      <w:r>
        <w:t xml:space="preserve"> </w:t>
      </w:r>
    </w:p>
    <w:p w14:paraId="4975EE25" w14:textId="77777777" w:rsidR="00A71EEF" w:rsidRDefault="00A71EEF">
      <w:pPr>
        <w:pStyle w:val="a3"/>
        <w:rPr>
          <w:sz w:val="18"/>
        </w:rPr>
      </w:pPr>
    </w:p>
    <w:p w14:paraId="4C3DE88B" w14:textId="77777777" w:rsidR="00A71EEF" w:rsidRDefault="0081115D">
      <w:pPr>
        <w:pStyle w:val="a4"/>
        <w:numPr>
          <w:ilvl w:val="0"/>
          <w:numId w:val="608"/>
        </w:numPr>
        <w:tabs>
          <w:tab w:val="left" w:pos="1367"/>
        </w:tabs>
        <w:rPr>
          <w:sz w:val="21"/>
        </w:rPr>
      </w:pPr>
      <w:r>
        <w:rPr>
          <w:spacing w:val="-8"/>
          <w:sz w:val="21"/>
        </w:rPr>
        <w:t>储存容器增压压力为</w:t>
      </w:r>
      <w:r>
        <w:rPr>
          <w:spacing w:val="-8"/>
          <w:sz w:val="21"/>
        </w:rPr>
        <w:t xml:space="preserve"> </w:t>
      </w:r>
      <w:r>
        <w:rPr>
          <w:sz w:val="21"/>
        </w:rPr>
        <w:t>2.5MPa</w:t>
      </w:r>
      <w:r>
        <w:rPr>
          <w:spacing w:val="-20"/>
          <w:sz w:val="21"/>
        </w:rPr>
        <w:t xml:space="preserve"> </w:t>
      </w:r>
      <w:r>
        <w:rPr>
          <w:spacing w:val="-20"/>
          <w:sz w:val="21"/>
        </w:rPr>
        <w:t>时，应为</w:t>
      </w:r>
      <w:r>
        <w:rPr>
          <w:spacing w:val="-20"/>
          <w:sz w:val="21"/>
        </w:rPr>
        <w:t xml:space="preserve"> </w:t>
      </w:r>
      <w:r>
        <w:rPr>
          <w:sz w:val="21"/>
        </w:rPr>
        <w:t>5.0±0.25MPa</w:t>
      </w:r>
      <w:r>
        <w:rPr>
          <w:spacing w:val="-3"/>
          <w:sz w:val="21"/>
        </w:rPr>
        <w:t>(</w:t>
      </w:r>
      <w:r>
        <w:rPr>
          <w:spacing w:val="-3"/>
          <w:sz w:val="21"/>
        </w:rPr>
        <w:t>表压</w:t>
      </w:r>
      <w:r>
        <w:rPr>
          <w:spacing w:val="-3"/>
          <w:sz w:val="21"/>
        </w:rPr>
        <w:t>)</w:t>
      </w:r>
      <w:r>
        <w:rPr>
          <w:spacing w:val="-3"/>
          <w:sz w:val="21"/>
        </w:rPr>
        <w:t>；</w:t>
      </w:r>
      <w:r>
        <w:rPr>
          <w:sz w:val="21"/>
        </w:rPr>
        <w:t xml:space="preserve"> </w:t>
      </w:r>
    </w:p>
    <w:p w14:paraId="7E0EF3EF" w14:textId="77777777" w:rsidR="00A71EEF" w:rsidRDefault="00A71EEF">
      <w:pPr>
        <w:pStyle w:val="a3"/>
        <w:spacing w:before="2"/>
        <w:rPr>
          <w:sz w:val="17"/>
        </w:rPr>
      </w:pPr>
    </w:p>
    <w:p w14:paraId="1EB1170E" w14:textId="77777777" w:rsidR="00A71EEF" w:rsidRDefault="0081115D">
      <w:pPr>
        <w:pStyle w:val="a4"/>
        <w:numPr>
          <w:ilvl w:val="0"/>
          <w:numId w:val="608"/>
        </w:numPr>
        <w:tabs>
          <w:tab w:val="left" w:pos="1367"/>
        </w:tabs>
        <w:spacing w:before="1" w:line="439" w:lineRule="auto"/>
        <w:ind w:left="418" w:right="1325" w:firstLine="419"/>
        <w:rPr>
          <w:sz w:val="21"/>
        </w:rPr>
      </w:pPr>
      <w:r>
        <w:rPr>
          <w:spacing w:val="-7"/>
          <w:sz w:val="21"/>
        </w:rPr>
        <w:t>储存容器增压压力为</w:t>
      </w:r>
      <w:r>
        <w:rPr>
          <w:spacing w:val="-7"/>
          <w:sz w:val="21"/>
        </w:rPr>
        <w:t xml:space="preserve"> </w:t>
      </w:r>
      <w:r>
        <w:rPr>
          <w:sz w:val="21"/>
        </w:rPr>
        <w:t>4.2MPa</w:t>
      </w:r>
      <w:r>
        <w:rPr>
          <w:spacing w:val="-7"/>
          <w:sz w:val="21"/>
        </w:rPr>
        <w:t>，最大充装量为</w:t>
      </w:r>
      <w:r>
        <w:rPr>
          <w:spacing w:val="-7"/>
          <w:sz w:val="21"/>
        </w:rPr>
        <w:t xml:space="preserve"> </w:t>
      </w:r>
      <w:r>
        <w:rPr>
          <w:sz w:val="21"/>
        </w:rPr>
        <w:t>950kg/m</w:t>
      </w:r>
      <w:r>
        <w:rPr>
          <w:position w:val="11"/>
          <w:sz w:val="11"/>
        </w:rPr>
        <w:t>3</w:t>
      </w:r>
      <w:r>
        <w:rPr>
          <w:spacing w:val="-19"/>
          <w:position w:val="11"/>
          <w:sz w:val="11"/>
        </w:rPr>
        <w:t xml:space="preserve"> </w:t>
      </w:r>
      <w:r>
        <w:rPr>
          <w:spacing w:val="-10"/>
          <w:sz w:val="21"/>
        </w:rPr>
        <w:t>时，应为</w:t>
      </w:r>
      <w:r>
        <w:rPr>
          <w:spacing w:val="-10"/>
          <w:sz w:val="21"/>
        </w:rPr>
        <w:t xml:space="preserve"> </w:t>
      </w:r>
      <w:r>
        <w:rPr>
          <w:sz w:val="21"/>
        </w:rPr>
        <w:t>7.0±0.35MPa</w:t>
      </w:r>
      <w:r>
        <w:rPr>
          <w:spacing w:val="-2"/>
          <w:sz w:val="21"/>
        </w:rPr>
        <w:t>(</w:t>
      </w:r>
      <w:r>
        <w:rPr>
          <w:spacing w:val="-2"/>
          <w:sz w:val="21"/>
        </w:rPr>
        <w:t>表压</w:t>
      </w:r>
      <w:r>
        <w:rPr>
          <w:spacing w:val="-2"/>
          <w:sz w:val="21"/>
        </w:rPr>
        <w:t>)</w:t>
      </w:r>
      <w:r>
        <w:rPr>
          <w:spacing w:val="-2"/>
          <w:sz w:val="21"/>
        </w:rPr>
        <w:t>；</w:t>
      </w:r>
      <w:r>
        <w:rPr>
          <w:spacing w:val="-2"/>
          <w:sz w:val="21"/>
        </w:rPr>
        <w:t xml:space="preserve"> </w:t>
      </w:r>
      <w:r>
        <w:rPr>
          <w:spacing w:val="-11"/>
          <w:sz w:val="21"/>
        </w:rPr>
        <w:t>最大充装量为</w:t>
      </w:r>
      <w:r>
        <w:rPr>
          <w:spacing w:val="-11"/>
          <w:sz w:val="21"/>
        </w:rPr>
        <w:t xml:space="preserve"> </w:t>
      </w:r>
      <w:r>
        <w:rPr>
          <w:sz w:val="21"/>
        </w:rPr>
        <w:t>1120kg/m</w:t>
      </w:r>
      <w:r>
        <w:rPr>
          <w:position w:val="11"/>
          <w:sz w:val="11"/>
        </w:rPr>
        <w:t>3</w:t>
      </w:r>
      <w:r>
        <w:rPr>
          <w:spacing w:val="-29"/>
          <w:position w:val="11"/>
          <w:sz w:val="11"/>
        </w:rPr>
        <w:t xml:space="preserve"> </w:t>
      </w:r>
      <w:r>
        <w:rPr>
          <w:spacing w:val="-13"/>
          <w:sz w:val="21"/>
        </w:rPr>
        <w:t>时，应为</w:t>
      </w:r>
      <w:r>
        <w:rPr>
          <w:spacing w:val="-13"/>
          <w:sz w:val="21"/>
        </w:rPr>
        <w:t xml:space="preserve"> </w:t>
      </w:r>
      <w:r>
        <w:rPr>
          <w:sz w:val="21"/>
        </w:rPr>
        <w:t>8.4±0.42MPa</w:t>
      </w:r>
      <w:r>
        <w:rPr>
          <w:spacing w:val="-2"/>
          <w:sz w:val="21"/>
        </w:rPr>
        <w:t>(</w:t>
      </w:r>
      <w:r>
        <w:rPr>
          <w:spacing w:val="-2"/>
          <w:sz w:val="21"/>
        </w:rPr>
        <w:t>表压</w:t>
      </w:r>
      <w:r>
        <w:rPr>
          <w:spacing w:val="-2"/>
          <w:sz w:val="21"/>
        </w:rPr>
        <w:t>)</w:t>
      </w:r>
      <w:r>
        <w:rPr>
          <w:spacing w:val="-2"/>
          <w:sz w:val="21"/>
        </w:rPr>
        <w:t>；</w:t>
      </w:r>
      <w:r>
        <w:rPr>
          <w:spacing w:val="-2"/>
          <w:sz w:val="21"/>
        </w:rPr>
        <w:t xml:space="preserve"> </w:t>
      </w:r>
    </w:p>
    <w:p w14:paraId="0ACE380D" w14:textId="77777777" w:rsidR="00A71EEF" w:rsidRDefault="0081115D">
      <w:pPr>
        <w:pStyle w:val="a4"/>
        <w:numPr>
          <w:ilvl w:val="0"/>
          <w:numId w:val="608"/>
        </w:numPr>
        <w:tabs>
          <w:tab w:val="left" w:pos="1367"/>
        </w:tabs>
        <w:spacing w:before="6"/>
        <w:rPr>
          <w:sz w:val="21"/>
        </w:rPr>
      </w:pPr>
      <w:r>
        <w:rPr>
          <w:spacing w:val="-8"/>
          <w:sz w:val="21"/>
        </w:rPr>
        <w:t>储存容器增压压力为</w:t>
      </w:r>
      <w:r>
        <w:rPr>
          <w:spacing w:val="-8"/>
          <w:sz w:val="21"/>
        </w:rPr>
        <w:t xml:space="preserve"> </w:t>
      </w:r>
      <w:r>
        <w:rPr>
          <w:sz w:val="21"/>
        </w:rPr>
        <w:t>5.6MPa</w:t>
      </w:r>
      <w:r>
        <w:rPr>
          <w:spacing w:val="-20"/>
          <w:sz w:val="21"/>
        </w:rPr>
        <w:t xml:space="preserve"> </w:t>
      </w:r>
      <w:r>
        <w:rPr>
          <w:spacing w:val="-20"/>
          <w:sz w:val="21"/>
        </w:rPr>
        <w:t>时，应为</w:t>
      </w:r>
      <w:r>
        <w:rPr>
          <w:spacing w:val="-20"/>
          <w:sz w:val="21"/>
        </w:rPr>
        <w:t xml:space="preserve"> </w:t>
      </w:r>
      <w:r>
        <w:rPr>
          <w:sz w:val="21"/>
        </w:rPr>
        <w:t>10.0±0.50MPa</w:t>
      </w:r>
      <w:r>
        <w:rPr>
          <w:spacing w:val="-2"/>
          <w:sz w:val="21"/>
        </w:rPr>
        <w:t>(</w:t>
      </w:r>
      <w:r>
        <w:rPr>
          <w:spacing w:val="-2"/>
          <w:sz w:val="21"/>
        </w:rPr>
        <w:t>表压</w:t>
      </w:r>
      <w:r>
        <w:rPr>
          <w:spacing w:val="-2"/>
          <w:sz w:val="21"/>
        </w:rPr>
        <w:t>)</w:t>
      </w:r>
      <w:r>
        <w:rPr>
          <w:spacing w:val="-2"/>
          <w:sz w:val="21"/>
        </w:rPr>
        <w:t>。</w:t>
      </w:r>
      <w:r>
        <w:rPr>
          <w:sz w:val="21"/>
        </w:rPr>
        <w:t xml:space="preserve"> </w:t>
      </w:r>
    </w:p>
    <w:p w14:paraId="2448F489" w14:textId="77777777" w:rsidR="00A71EEF" w:rsidRDefault="00A71EEF">
      <w:pPr>
        <w:pStyle w:val="a3"/>
        <w:spacing w:before="12"/>
        <w:rPr>
          <w:sz w:val="17"/>
        </w:rPr>
      </w:pPr>
    </w:p>
    <w:p w14:paraId="1DD9ECE2" w14:textId="77777777" w:rsidR="00A71EEF" w:rsidRDefault="0081115D">
      <w:pPr>
        <w:pStyle w:val="a4"/>
        <w:numPr>
          <w:ilvl w:val="2"/>
          <w:numId w:val="612"/>
        </w:numPr>
        <w:tabs>
          <w:tab w:val="left" w:pos="1426"/>
        </w:tabs>
        <w:spacing w:line="446" w:lineRule="auto"/>
        <w:ind w:left="418" w:right="1430" w:firstLine="422"/>
        <w:rPr>
          <w:sz w:val="21"/>
        </w:rPr>
      </w:pPr>
      <w:r>
        <w:rPr>
          <w:spacing w:val="-10"/>
          <w:sz w:val="21"/>
        </w:rPr>
        <w:t>增压压力为</w:t>
      </w:r>
      <w:r>
        <w:rPr>
          <w:spacing w:val="-10"/>
          <w:sz w:val="21"/>
        </w:rPr>
        <w:t xml:space="preserve"> </w:t>
      </w:r>
      <w:r>
        <w:rPr>
          <w:sz w:val="21"/>
        </w:rPr>
        <w:t>2.5MPa</w:t>
      </w:r>
      <w:r>
        <w:rPr>
          <w:spacing w:val="-10"/>
          <w:sz w:val="21"/>
        </w:rPr>
        <w:t xml:space="preserve"> </w:t>
      </w:r>
      <w:r>
        <w:rPr>
          <w:spacing w:val="-10"/>
          <w:sz w:val="21"/>
        </w:rPr>
        <w:t>的储存容器宜采用焊接容器；增压压力为</w:t>
      </w:r>
      <w:r>
        <w:rPr>
          <w:spacing w:val="-10"/>
          <w:sz w:val="21"/>
        </w:rPr>
        <w:t xml:space="preserve"> </w:t>
      </w:r>
      <w:r>
        <w:rPr>
          <w:sz w:val="21"/>
        </w:rPr>
        <w:t>4.2MPa</w:t>
      </w:r>
      <w:r>
        <w:rPr>
          <w:spacing w:val="-8"/>
          <w:sz w:val="21"/>
        </w:rPr>
        <w:t xml:space="preserve"> </w:t>
      </w:r>
      <w:r>
        <w:rPr>
          <w:spacing w:val="-8"/>
          <w:sz w:val="21"/>
        </w:rPr>
        <w:t>的储存容器，可采用焊接容器或无缝容器；增压压力为</w:t>
      </w:r>
      <w:r>
        <w:rPr>
          <w:spacing w:val="-8"/>
          <w:sz w:val="21"/>
        </w:rPr>
        <w:t xml:space="preserve"> </w:t>
      </w:r>
      <w:r>
        <w:rPr>
          <w:sz w:val="21"/>
        </w:rPr>
        <w:t>5.6MPa</w:t>
      </w:r>
      <w:r>
        <w:rPr>
          <w:spacing w:val="-9"/>
          <w:sz w:val="21"/>
        </w:rPr>
        <w:t xml:space="preserve"> </w:t>
      </w:r>
      <w:r>
        <w:rPr>
          <w:spacing w:val="-9"/>
          <w:sz w:val="21"/>
        </w:rPr>
        <w:t>的储存容器，应采用无缝容器。</w:t>
      </w:r>
      <w:r>
        <w:rPr>
          <w:spacing w:val="-9"/>
          <w:sz w:val="21"/>
        </w:rPr>
        <w:t xml:space="preserve"> </w:t>
      </w:r>
    </w:p>
    <w:p w14:paraId="4C616E05" w14:textId="77777777" w:rsidR="00A71EEF" w:rsidRDefault="0081115D">
      <w:pPr>
        <w:pStyle w:val="a4"/>
        <w:numPr>
          <w:ilvl w:val="2"/>
          <w:numId w:val="612"/>
        </w:numPr>
        <w:tabs>
          <w:tab w:val="left" w:pos="1371"/>
        </w:tabs>
        <w:rPr>
          <w:sz w:val="21"/>
        </w:rPr>
      </w:pPr>
      <w:r>
        <w:rPr>
          <w:spacing w:val="-3"/>
          <w:sz w:val="21"/>
        </w:rPr>
        <w:t>在容器阀和集流管之间的管道上应设单向阀。</w:t>
      </w:r>
      <w:r>
        <w:rPr>
          <w:spacing w:val="-3"/>
          <w:sz w:val="21"/>
        </w:rPr>
        <w:t xml:space="preserve"> </w:t>
      </w:r>
    </w:p>
    <w:p w14:paraId="50C6A070" w14:textId="77777777" w:rsidR="00A71EEF" w:rsidRDefault="00A71EEF">
      <w:pPr>
        <w:pStyle w:val="a3"/>
        <w:rPr>
          <w:sz w:val="18"/>
        </w:rPr>
      </w:pPr>
    </w:p>
    <w:p w14:paraId="6F05D4BB" w14:textId="77777777" w:rsidR="00A71EEF" w:rsidRDefault="0081115D">
      <w:pPr>
        <w:pStyle w:val="a4"/>
        <w:numPr>
          <w:ilvl w:val="1"/>
          <w:numId w:val="612"/>
        </w:numPr>
        <w:tabs>
          <w:tab w:val="left" w:pos="1159"/>
        </w:tabs>
        <w:ind w:hanging="319"/>
        <w:rPr>
          <w:b/>
          <w:sz w:val="21"/>
        </w:rPr>
      </w:pPr>
      <w:r>
        <w:rPr>
          <w:sz w:val="21"/>
        </w:rPr>
        <w:t>IG541</w:t>
      </w:r>
      <w:r>
        <w:rPr>
          <w:spacing w:val="-8"/>
          <w:sz w:val="21"/>
        </w:rPr>
        <w:t xml:space="preserve"> </w:t>
      </w:r>
      <w:r>
        <w:rPr>
          <w:spacing w:val="-8"/>
          <w:sz w:val="21"/>
        </w:rPr>
        <w:t>混合气体灭火系统组件专用要求</w:t>
      </w:r>
      <w:r>
        <w:rPr>
          <w:b/>
          <w:w w:val="99"/>
          <w:sz w:val="21"/>
        </w:rPr>
        <w:t xml:space="preserve"> </w:t>
      </w:r>
    </w:p>
    <w:p w14:paraId="4DBF074A" w14:textId="77777777" w:rsidR="00A71EEF" w:rsidRDefault="00A71EEF">
      <w:pPr>
        <w:pStyle w:val="a3"/>
        <w:spacing w:before="2"/>
        <w:rPr>
          <w:b/>
          <w:sz w:val="18"/>
        </w:rPr>
      </w:pPr>
    </w:p>
    <w:p w14:paraId="34877761" w14:textId="77777777" w:rsidR="00A71EEF" w:rsidRDefault="0081115D">
      <w:pPr>
        <w:pStyle w:val="a4"/>
        <w:numPr>
          <w:ilvl w:val="2"/>
          <w:numId w:val="612"/>
        </w:numPr>
        <w:tabs>
          <w:tab w:val="left" w:pos="1438"/>
        </w:tabs>
        <w:spacing w:line="446" w:lineRule="auto"/>
        <w:ind w:left="418" w:right="1431" w:firstLine="422"/>
        <w:rPr>
          <w:sz w:val="21"/>
        </w:rPr>
      </w:pPr>
      <w:r>
        <w:rPr>
          <w:spacing w:val="-3"/>
          <w:sz w:val="21"/>
        </w:rPr>
        <w:t>储存容器或容器阀以及组合分配系统集流管上的安全泄压装置的动作压力，应符合下列规定：</w:t>
      </w:r>
      <w:r>
        <w:rPr>
          <w:sz w:val="21"/>
        </w:rPr>
        <w:t xml:space="preserve"> </w:t>
      </w:r>
    </w:p>
    <w:p w14:paraId="4BFB8161" w14:textId="77777777" w:rsidR="00A71EEF" w:rsidRDefault="0081115D">
      <w:pPr>
        <w:pStyle w:val="a3"/>
        <w:spacing w:line="267" w:lineRule="exact"/>
        <w:ind w:left="838"/>
      </w:pPr>
      <w:r>
        <w:t>（</w:t>
      </w:r>
      <w:r>
        <w:t>1</w:t>
      </w:r>
      <w:r>
        <w:t>）</w:t>
      </w:r>
      <w:r>
        <w:rPr>
          <w:spacing w:val="-2"/>
        </w:rPr>
        <w:t>一级充压</w:t>
      </w:r>
      <w:r>
        <w:rPr>
          <w:spacing w:val="-2"/>
        </w:rPr>
        <w:t>(</w:t>
      </w:r>
      <w:r>
        <w:t>15.0MPa</w:t>
      </w:r>
      <w:r>
        <w:rPr>
          <w:spacing w:val="-9"/>
        </w:rPr>
        <w:t>)</w:t>
      </w:r>
      <w:r>
        <w:rPr>
          <w:spacing w:val="-9"/>
        </w:rPr>
        <w:t>系统，应为</w:t>
      </w:r>
      <w:r>
        <w:rPr>
          <w:spacing w:val="-9"/>
        </w:rPr>
        <w:t xml:space="preserve"> </w:t>
      </w:r>
      <w:r>
        <w:t>20.7±1.0MPa</w:t>
      </w:r>
      <w:r>
        <w:rPr>
          <w:spacing w:val="-2"/>
        </w:rPr>
        <w:t>(</w:t>
      </w:r>
      <w:r>
        <w:rPr>
          <w:spacing w:val="-2"/>
        </w:rPr>
        <w:t>表压</w:t>
      </w:r>
      <w:r>
        <w:rPr>
          <w:spacing w:val="-2"/>
        </w:rPr>
        <w:t>)</w:t>
      </w:r>
      <w:r>
        <w:rPr>
          <w:spacing w:val="-2"/>
        </w:rPr>
        <w:t>；</w:t>
      </w:r>
      <w:r>
        <w:t xml:space="preserve"> </w:t>
      </w:r>
    </w:p>
    <w:p w14:paraId="0A9F4879" w14:textId="77777777" w:rsidR="00A71EEF" w:rsidRDefault="00A71EEF">
      <w:pPr>
        <w:pStyle w:val="a3"/>
        <w:spacing w:before="2"/>
        <w:rPr>
          <w:sz w:val="18"/>
        </w:rPr>
      </w:pPr>
    </w:p>
    <w:p w14:paraId="1BAC0275" w14:textId="77777777" w:rsidR="00A71EEF" w:rsidRDefault="0081115D">
      <w:pPr>
        <w:pStyle w:val="a3"/>
        <w:ind w:left="838"/>
      </w:pPr>
      <w:r>
        <w:t>（</w:t>
      </w:r>
      <w:r>
        <w:t>2</w:t>
      </w:r>
      <w:r>
        <w:t>）</w:t>
      </w:r>
      <w:r>
        <w:rPr>
          <w:spacing w:val="-2"/>
        </w:rPr>
        <w:t>二级充压</w:t>
      </w:r>
      <w:r>
        <w:rPr>
          <w:spacing w:val="-2"/>
        </w:rPr>
        <w:t>(</w:t>
      </w:r>
      <w:r>
        <w:t>20.0MPa</w:t>
      </w:r>
      <w:r>
        <w:rPr>
          <w:spacing w:val="-9"/>
        </w:rPr>
        <w:t>)</w:t>
      </w:r>
      <w:r>
        <w:rPr>
          <w:spacing w:val="-9"/>
        </w:rPr>
        <w:t>系统，应为</w:t>
      </w:r>
      <w:r>
        <w:rPr>
          <w:spacing w:val="-9"/>
        </w:rPr>
        <w:t xml:space="preserve"> </w:t>
      </w:r>
      <w:r>
        <w:t>27.6±1.4MPa</w:t>
      </w:r>
      <w:r>
        <w:rPr>
          <w:spacing w:val="-2"/>
        </w:rPr>
        <w:t>(</w:t>
      </w:r>
      <w:r>
        <w:rPr>
          <w:spacing w:val="-2"/>
        </w:rPr>
        <w:t>表压</w:t>
      </w:r>
      <w:r>
        <w:rPr>
          <w:spacing w:val="-2"/>
        </w:rPr>
        <w:t>)</w:t>
      </w:r>
      <w:r>
        <w:rPr>
          <w:spacing w:val="-2"/>
        </w:rPr>
        <w:t>。</w:t>
      </w:r>
      <w:r>
        <w:t xml:space="preserve"> </w:t>
      </w:r>
    </w:p>
    <w:p w14:paraId="30E6F455" w14:textId="77777777" w:rsidR="00A71EEF" w:rsidRDefault="00A71EEF">
      <w:pPr>
        <w:pStyle w:val="a3"/>
        <w:spacing w:before="12"/>
        <w:rPr>
          <w:sz w:val="17"/>
        </w:rPr>
      </w:pPr>
    </w:p>
    <w:p w14:paraId="273832B4" w14:textId="77777777" w:rsidR="00A71EEF" w:rsidRDefault="0081115D">
      <w:pPr>
        <w:pStyle w:val="a4"/>
        <w:numPr>
          <w:ilvl w:val="2"/>
          <w:numId w:val="612"/>
        </w:numPr>
        <w:tabs>
          <w:tab w:val="left" w:pos="1424"/>
        </w:tabs>
        <w:ind w:left="1423" w:hanging="584"/>
        <w:rPr>
          <w:sz w:val="21"/>
        </w:rPr>
      </w:pPr>
      <w:r>
        <w:rPr>
          <w:spacing w:val="-3"/>
          <w:sz w:val="21"/>
        </w:rPr>
        <w:t>储存容器应采用无缝容器。</w:t>
      </w:r>
      <w:r>
        <w:rPr>
          <w:sz w:val="21"/>
        </w:rPr>
        <w:t xml:space="preserve"> </w:t>
      </w:r>
    </w:p>
    <w:p w14:paraId="31FDE45B" w14:textId="77777777" w:rsidR="00A71EEF" w:rsidRDefault="00A71EEF">
      <w:pPr>
        <w:pStyle w:val="a3"/>
        <w:rPr>
          <w:sz w:val="18"/>
        </w:rPr>
      </w:pPr>
    </w:p>
    <w:p w14:paraId="742E3D0A" w14:textId="77777777" w:rsidR="00A71EEF" w:rsidRDefault="0081115D">
      <w:pPr>
        <w:pStyle w:val="a4"/>
        <w:numPr>
          <w:ilvl w:val="1"/>
          <w:numId w:val="612"/>
        </w:numPr>
        <w:tabs>
          <w:tab w:val="left" w:pos="1159"/>
        </w:tabs>
        <w:ind w:hanging="319"/>
        <w:rPr>
          <w:b/>
          <w:sz w:val="21"/>
        </w:rPr>
      </w:pPr>
      <w:r>
        <w:rPr>
          <w:spacing w:val="-3"/>
          <w:sz w:val="21"/>
        </w:rPr>
        <w:t>热气溶胶预制灭火系统组件专用要求</w:t>
      </w:r>
      <w:r>
        <w:rPr>
          <w:b/>
          <w:w w:val="99"/>
          <w:sz w:val="21"/>
        </w:rPr>
        <w:t xml:space="preserve"> </w:t>
      </w:r>
    </w:p>
    <w:p w14:paraId="2CE89B80" w14:textId="77777777" w:rsidR="00A71EEF" w:rsidRDefault="00A71EEF">
      <w:pPr>
        <w:pStyle w:val="a3"/>
        <w:spacing w:before="2"/>
        <w:rPr>
          <w:b/>
          <w:sz w:val="18"/>
        </w:rPr>
      </w:pPr>
    </w:p>
    <w:p w14:paraId="72A24282" w14:textId="77777777" w:rsidR="00A71EEF" w:rsidRDefault="0081115D">
      <w:pPr>
        <w:pStyle w:val="a4"/>
        <w:numPr>
          <w:ilvl w:val="2"/>
          <w:numId w:val="612"/>
        </w:numPr>
        <w:tabs>
          <w:tab w:val="left" w:pos="1424"/>
        </w:tabs>
        <w:spacing w:line="446" w:lineRule="auto"/>
        <w:ind w:left="840" w:right="4074" w:firstLine="0"/>
        <w:rPr>
          <w:b/>
          <w:sz w:val="21"/>
        </w:rPr>
      </w:pPr>
      <w:r>
        <w:rPr>
          <w:spacing w:val="-3"/>
          <w:sz w:val="21"/>
        </w:rPr>
        <w:t>一台以上灭火装置之间的电启动线路应采用串联连接。</w:t>
      </w:r>
      <w:r>
        <w:rPr>
          <w:b/>
          <w:sz w:val="21"/>
        </w:rPr>
        <w:t>4.4.2</w:t>
      </w:r>
      <w:r>
        <w:rPr>
          <w:b/>
          <w:spacing w:val="105"/>
          <w:sz w:val="21"/>
        </w:rPr>
        <w:t xml:space="preserve"> </w:t>
      </w:r>
      <w:r>
        <w:rPr>
          <w:spacing w:val="-3"/>
          <w:sz w:val="21"/>
        </w:rPr>
        <w:t>每台灭火装置均应具备启动反馈功能。</w:t>
      </w:r>
      <w:r>
        <w:rPr>
          <w:b/>
          <w:spacing w:val="-3"/>
          <w:w w:val="99"/>
          <w:sz w:val="21"/>
        </w:rPr>
        <w:t xml:space="preserve"> </w:t>
      </w:r>
    </w:p>
    <w:p w14:paraId="55DE5A3B" w14:textId="77777777" w:rsidR="00A71EEF" w:rsidRDefault="0081115D">
      <w:pPr>
        <w:pStyle w:val="4"/>
        <w:spacing w:line="275" w:lineRule="exact"/>
      </w:pPr>
      <w:r>
        <w:t xml:space="preserve">5 </w:t>
      </w:r>
      <w:r>
        <w:t>操作与控制</w:t>
      </w:r>
      <w:r>
        <w:rPr>
          <w:w w:val="99"/>
        </w:rPr>
        <w:t xml:space="preserve"> </w:t>
      </w:r>
    </w:p>
    <w:p w14:paraId="4E385D94" w14:textId="77777777" w:rsidR="00A71EEF" w:rsidRDefault="00A71EEF">
      <w:pPr>
        <w:pStyle w:val="a3"/>
        <w:spacing w:before="6"/>
        <w:rPr>
          <w:b/>
          <w:sz w:val="17"/>
        </w:rPr>
      </w:pPr>
    </w:p>
    <w:p w14:paraId="636ACFEE" w14:textId="77777777" w:rsidR="00A71EEF" w:rsidRDefault="0081115D">
      <w:pPr>
        <w:pStyle w:val="a4"/>
        <w:numPr>
          <w:ilvl w:val="1"/>
          <w:numId w:val="607"/>
        </w:numPr>
        <w:tabs>
          <w:tab w:val="left" w:pos="1213"/>
        </w:tabs>
        <w:spacing w:line="446" w:lineRule="auto"/>
        <w:ind w:right="1433" w:firstLine="422"/>
        <w:jc w:val="both"/>
        <w:rPr>
          <w:sz w:val="21"/>
        </w:rPr>
      </w:pPr>
      <w:r>
        <w:rPr>
          <w:spacing w:val="-9"/>
          <w:sz w:val="21"/>
        </w:rPr>
        <w:t>采用气体灭火系统的防护区，应设置火灾自动报警系统</w:t>
      </w:r>
      <w:r>
        <w:rPr>
          <w:spacing w:val="-9"/>
          <w:sz w:val="21"/>
        </w:rPr>
        <w:t>,</w:t>
      </w:r>
      <w:r>
        <w:rPr>
          <w:spacing w:val="-9"/>
          <w:sz w:val="21"/>
        </w:rPr>
        <w:t>其设计应符合现行国家标准《火</w:t>
      </w:r>
      <w:r>
        <w:rPr>
          <w:spacing w:val="-5"/>
          <w:sz w:val="21"/>
        </w:rPr>
        <w:t>灾自动报警系统设计规范》</w:t>
      </w:r>
      <w:r>
        <w:rPr>
          <w:sz w:val="21"/>
        </w:rPr>
        <w:t>GB50116</w:t>
      </w:r>
      <w:r>
        <w:rPr>
          <w:spacing w:val="-8"/>
          <w:sz w:val="21"/>
        </w:rPr>
        <w:t xml:space="preserve"> </w:t>
      </w:r>
      <w:r>
        <w:rPr>
          <w:spacing w:val="-8"/>
          <w:sz w:val="21"/>
        </w:rPr>
        <w:t>的规定，并应选用灵敏度级别高的火灾探测器。</w:t>
      </w:r>
      <w:r>
        <w:rPr>
          <w:sz w:val="21"/>
        </w:rPr>
        <w:t xml:space="preserve"> </w:t>
      </w:r>
    </w:p>
    <w:p w14:paraId="13B7BD26" w14:textId="77777777" w:rsidR="00A71EEF" w:rsidRDefault="0081115D">
      <w:pPr>
        <w:pStyle w:val="a4"/>
        <w:numPr>
          <w:ilvl w:val="1"/>
          <w:numId w:val="607"/>
        </w:numPr>
        <w:tabs>
          <w:tab w:val="left" w:pos="1159"/>
        </w:tabs>
        <w:spacing w:line="446" w:lineRule="auto"/>
        <w:ind w:right="1438" w:firstLine="422"/>
        <w:jc w:val="both"/>
        <w:rPr>
          <w:sz w:val="21"/>
        </w:rPr>
      </w:pPr>
      <w:r>
        <w:rPr>
          <w:spacing w:val="-1"/>
          <w:sz w:val="21"/>
        </w:rPr>
        <w:t>管网灭火系统应设自动控制、手动控制和机械应急操作三种启动方式。预制灭火系统应</w:t>
      </w:r>
      <w:r>
        <w:rPr>
          <w:spacing w:val="-3"/>
          <w:sz w:val="21"/>
        </w:rPr>
        <w:t>设自动控制和手动控制两种启动方式。</w:t>
      </w:r>
      <w:r>
        <w:rPr>
          <w:sz w:val="21"/>
        </w:rPr>
        <w:t xml:space="preserve"> </w:t>
      </w:r>
    </w:p>
    <w:p w14:paraId="0AE00C90" w14:textId="77777777" w:rsidR="00A71EEF" w:rsidRDefault="0081115D">
      <w:pPr>
        <w:pStyle w:val="a4"/>
        <w:numPr>
          <w:ilvl w:val="1"/>
          <w:numId w:val="607"/>
        </w:numPr>
        <w:tabs>
          <w:tab w:val="left" w:pos="1218"/>
        </w:tabs>
        <w:spacing w:line="446" w:lineRule="auto"/>
        <w:ind w:right="1431" w:firstLine="422"/>
        <w:jc w:val="both"/>
        <w:rPr>
          <w:sz w:val="21"/>
        </w:rPr>
      </w:pPr>
      <w:r>
        <w:rPr>
          <w:spacing w:val="-4"/>
          <w:sz w:val="21"/>
        </w:rPr>
        <w:t>采用自动控制启动方式时，根据人员安全撤离防护区的需要，应有不大于</w:t>
      </w:r>
      <w:r>
        <w:rPr>
          <w:spacing w:val="-4"/>
          <w:sz w:val="21"/>
        </w:rPr>
        <w:t xml:space="preserve"> </w:t>
      </w:r>
      <w:r>
        <w:rPr>
          <w:sz w:val="21"/>
        </w:rPr>
        <w:t>30s</w:t>
      </w:r>
      <w:r>
        <w:rPr>
          <w:spacing w:val="-8"/>
          <w:sz w:val="21"/>
        </w:rPr>
        <w:t xml:space="preserve"> </w:t>
      </w:r>
      <w:r>
        <w:rPr>
          <w:spacing w:val="-8"/>
          <w:sz w:val="21"/>
        </w:rPr>
        <w:t>的可</w:t>
      </w:r>
      <w:r>
        <w:rPr>
          <w:spacing w:val="-8"/>
          <w:sz w:val="21"/>
        </w:rPr>
        <w:t>控延</w:t>
      </w:r>
      <w:r>
        <w:rPr>
          <w:spacing w:val="-5"/>
          <w:sz w:val="21"/>
        </w:rPr>
        <w:t>迟喷射；对于平时无人工作的防护区，可设置为无延迟的喷射。</w:t>
      </w:r>
      <w:r>
        <w:rPr>
          <w:sz w:val="21"/>
        </w:rPr>
        <w:t xml:space="preserve"> </w:t>
      </w:r>
    </w:p>
    <w:p w14:paraId="504E94CD" w14:textId="77777777" w:rsidR="00A71EEF" w:rsidRDefault="0081115D">
      <w:pPr>
        <w:pStyle w:val="a4"/>
        <w:numPr>
          <w:ilvl w:val="1"/>
          <w:numId w:val="607"/>
        </w:numPr>
        <w:tabs>
          <w:tab w:val="left" w:pos="1246"/>
        </w:tabs>
        <w:spacing w:line="446" w:lineRule="auto"/>
        <w:ind w:right="1431" w:firstLine="422"/>
        <w:jc w:val="both"/>
        <w:rPr>
          <w:sz w:val="21"/>
        </w:rPr>
      </w:pPr>
      <w:r>
        <w:rPr>
          <w:spacing w:val="-3"/>
          <w:sz w:val="21"/>
        </w:rPr>
        <w:t>灭火设计浓度或实际使用浓度大于无毒性反应浓度</w:t>
      </w:r>
      <w:r>
        <w:rPr>
          <w:spacing w:val="-3"/>
          <w:sz w:val="21"/>
        </w:rPr>
        <w:t>(</w:t>
      </w:r>
      <w:r>
        <w:rPr>
          <w:sz w:val="21"/>
        </w:rPr>
        <w:t>NOAEL</w:t>
      </w:r>
      <w:r>
        <w:rPr>
          <w:spacing w:val="-3"/>
          <w:sz w:val="21"/>
        </w:rPr>
        <w:t xml:space="preserve"> </w:t>
      </w:r>
      <w:r>
        <w:rPr>
          <w:spacing w:val="-3"/>
          <w:sz w:val="21"/>
        </w:rPr>
        <w:t>浓度</w:t>
      </w:r>
      <w:r>
        <w:rPr>
          <w:spacing w:val="-3"/>
          <w:sz w:val="21"/>
        </w:rPr>
        <w:t>)</w:t>
      </w:r>
      <w:r>
        <w:rPr>
          <w:spacing w:val="-3"/>
          <w:sz w:val="21"/>
        </w:rPr>
        <w:t>的防护区和采用热气溶</w:t>
      </w:r>
      <w:r>
        <w:rPr>
          <w:spacing w:val="-6"/>
          <w:sz w:val="21"/>
        </w:rPr>
        <w:t>胶预制灭火系统的防护区，应设手动与自动控制的转换装置。当人员进入防护区时，应能将灭火</w:t>
      </w:r>
      <w:r>
        <w:rPr>
          <w:spacing w:val="-8"/>
          <w:sz w:val="21"/>
        </w:rPr>
        <w:t>系统转换为手动控制方式；当人员离开时，应能恢复为自动控制方式。防护区内外应设手动、自</w:t>
      </w:r>
      <w:r>
        <w:rPr>
          <w:spacing w:val="-5"/>
          <w:sz w:val="21"/>
        </w:rPr>
        <w:t>动控制状态的显示装置。</w:t>
      </w:r>
      <w:r>
        <w:rPr>
          <w:sz w:val="21"/>
        </w:rPr>
        <w:t xml:space="preserve"> </w:t>
      </w:r>
    </w:p>
    <w:p w14:paraId="71AF67EB" w14:textId="77777777" w:rsidR="00A71EEF" w:rsidRDefault="00A71EEF">
      <w:pPr>
        <w:spacing w:line="446" w:lineRule="auto"/>
        <w:jc w:val="both"/>
        <w:rPr>
          <w:sz w:val="21"/>
        </w:rPr>
        <w:sectPr w:rsidR="00A71EEF">
          <w:pgSz w:w="11910" w:h="16850"/>
          <w:pgMar w:top="1220" w:right="0" w:bottom="1420" w:left="1260" w:header="0" w:footer="1239" w:gutter="0"/>
          <w:cols w:space="720"/>
        </w:sectPr>
      </w:pPr>
    </w:p>
    <w:p w14:paraId="71328E57" w14:textId="77777777" w:rsidR="00A71EEF" w:rsidRDefault="0081115D">
      <w:pPr>
        <w:pStyle w:val="a4"/>
        <w:numPr>
          <w:ilvl w:val="1"/>
          <w:numId w:val="607"/>
        </w:numPr>
        <w:tabs>
          <w:tab w:val="left" w:pos="1230"/>
        </w:tabs>
        <w:spacing w:before="47" w:line="446" w:lineRule="auto"/>
        <w:ind w:right="1431" w:firstLine="422"/>
        <w:jc w:val="both"/>
        <w:rPr>
          <w:sz w:val="21"/>
        </w:rPr>
      </w:pPr>
      <w:r>
        <w:rPr>
          <w:spacing w:val="-3"/>
          <w:sz w:val="21"/>
        </w:rPr>
        <w:t>自动控制装置应在接到两个独立的火灾信号后才能启动。手动控制装置和手动与自动转</w:t>
      </w:r>
      <w:r>
        <w:rPr>
          <w:spacing w:val="-6"/>
          <w:sz w:val="21"/>
        </w:rPr>
        <w:t>换装置应设在防护区疏散出口的门外便于操作的地方，安装高度为中心点距地面</w:t>
      </w:r>
      <w:r>
        <w:rPr>
          <w:spacing w:val="-6"/>
          <w:sz w:val="21"/>
        </w:rPr>
        <w:t xml:space="preserve"> </w:t>
      </w:r>
      <w:r>
        <w:rPr>
          <w:sz w:val="21"/>
        </w:rPr>
        <w:t>1.5m</w:t>
      </w:r>
      <w:r>
        <w:rPr>
          <w:spacing w:val="-10"/>
          <w:sz w:val="21"/>
        </w:rPr>
        <w:t>。机械应急</w:t>
      </w:r>
      <w:r>
        <w:rPr>
          <w:spacing w:val="-5"/>
          <w:sz w:val="21"/>
        </w:rPr>
        <w:t>操作装置应设在储瓶间内或防护区疏散出口门外便于操作的地方。</w:t>
      </w:r>
      <w:r>
        <w:rPr>
          <w:sz w:val="21"/>
        </w:rPr>
        <w:t xml:space="preserve"> </w:t>
      </w:r>
    </w:p>
    <w:p w14:paraId="3B8B9611" w14:textId="77777777" w:rsidR="00A71EEF" w:rsidRDefault="0081115D">
      <w:pPr>
        <w:pStyle w:val="a4"/>
        <w:numPr>
          <w:ilvl w:val="1"/>
          <w:numId w:val="607"/>
        </w:numPr>
        <w:tabs>
          <w:tab w:val="left" w:pos="1230"/>
        </w:tabs>
        <w:spacing w:line="446" w:lineRule="auto"/>
        <w:ind w:right="1431" w:firstLine="422"/>
        <w:jc w:val="both"/>
        <w:rPr>
          <w:sz w:val="21"/>
        </w:rPr>
      </w:pPr>
      <w:r>
        <w:rPr>
          <w:spacing w:val="-3"/>
          <w:sz w:val="21"/>
        </w:rPr>
        <w:t>气体灭火系统的操作与控制，应包括对开口封闭装置、通风机械和防火阀等设备的联动操作与控制。</w:t>
      </w:r>
      <w:r>
        <w:rPr>
          <w:sz w:val="21"/>
        </w:rPr>
        <w:t xml:space="preserve"> </w:t>
      </w:r>
    </w:p>
    <w:p w14:paraId="7508EAC1" w14:textId="77777777" w:rsidR="00A71EEF" w:rsidRDefault="0081115D">
      <w:pPr>
        <w:pStyle w:val="a4"/>
        <w:numPr>
          <w:ilvl w:val="1"/>
          <w:numId w:val="607"/>
        </w:numPr>
        <w:tabs>
          <w:tab w:val="left" w:pos="1213"/>
        </w:tabs>
        <w:spacing w:line="446" w:lineRule="auto"/>
        <w:ind w:left="840" w:right="1431" w:firstLine="0"/>
        <w:jc w:val="both"/>
        <w:rPr>
          <w:sz w:val="21"/>
        </w:rPr>
      </w:pPr>
      <w:r>
        <w:rPr>
          <w:spacing w:val="-3"/>
          <w:sz w:val="21"/>
        </w:rPr>
        <w:t>设有消防控制室的场所，各防护区灭火控制系统的有关信息，应传送给消防控制室。</w:t>
      </w:r>
      <w:r>
        <w:rPr>
          <w:b/>
          <w:sz w:val="21"/>
        </w:rPr>
        <w:t>5.8</w:t>
      </w:r>
      <w:r>
        <w:rPr>
          <w:b/>
          <w:spacing w:val="43"/>
          <w:sz w:val="21"/>
        </w:rPr>
        <w:t xml:space="preserve"> </w:t>
      </w:r>
      <w:r>
        <w:rPr>
          <w:spacing w:val="-12"/>
          <w:sz w:val="21"/>
        </w:rPr>
        <w:t>气体灭火系统的电源，应符合国家现行有关消防技术标准的规定；采用气动力源时，应</w:t>
      </w:r>
    </w:p>
    <w:p w14:paraId="7222F37C" w14:textId="77777777" w:rsidR="00A71EEF" w:rsidRDefault="0081115D">
      <w:pPr>
        <w:pStyle w:val="a3"/>
        <w:ind w:left="418"/>
      </w:pPr>
      <w:r>
        <w:t>保证系统操作和控制需要的压力和气量。</w:t>
      </w:r>
      <w:r>
        <w:t xml:space="preserve"> </w:t>
      </w:r>
    </w:p>
    <w:p w14:paraId="41E3C22D" w14:textId="77777777" w:rsidR="00A71EEF" w:rsidRDefault="00A71EEF">
      <w:pPr>
        <w:pStyle w:val="a3"/>
        <w:spacing w:before="9"/>
        <w:rPr>
          <w:sz w:val="17"/>
        </w:rPr>
      </w:pPr>
    </w:p>
    <w:p w14:paraId="599D0200" w14:textId="77777777" w:rsidR="00A71EEF" w:rsidRDefault="0081115D">
      <w:pPr>
        <w:pStyle w:val="a3"/>
        <w:spacing w:before="1"/>
        <w:ind w:left="840"/>
        <w:jc w:val="both"/>
      </w:pPr>
      <w:r>
        <w:rPr>
          <w:b/>
        </w:rPr>
        <w:t xml:space="preserve">5.9 </w:t>
      </w:r>
      <w:r>
        <w:t>组合分配系统启动时，选择阀应在容器阀开启前或同时打开。</w:t>
      </w:r>
      <w:r>
        <w:t xml:space="preserve"> </w:t>
      </w:r>
    </w:p>
    <w:p w14:paraId="7762A90A" w14:textId="77777777" w:rsidR="00A71EEF" w:rsidRDefault="00A71EEF">
      <w:pPr>
        <w:pStyle w:val="a3"/>
        <w:spacing w:before="10"/>
        <w:rPr>
          <w:sz w:val="15"/>
        </w:rPr>
      </w:pPr>
    </w:p>
    <w:p w14:paraId="1EFBEC2E" w14:textId="77777777" w:rsidR="00A71EEF" w:rsidRDefault="0081115D">
      <w:pPr>
        <w:pStyle w:val="4"/>
      </w:pPr>
      <w:r>
        <w:t xml:space="preserve">6 </w:t>
      </w:r>
      <w:r>
        <w:t>安全要求</w:t>
      </w:r>
      <w:r>
        <w:rPr>
          <w:w w:val="99"/>
        </w:rPr>
        <w:t xml:space="preserve"> </w:t>
      </w:r>
    </w:p>
    <w:p w14:paraId="41A06AD1" w14:textId="77777777" w:rsidR="00A71EEF" w:rsidRDefault="00A71EEF">
      <w:pPr>
        <w:pStyle w:val="a3"/>
        <w:spacing w:before="4"/>
        <w:rPr>
          <w:b/>
          <w:sz w:val="17"/>
        </w:rPr>
      </w:pPr>
    </w:p>
    <w:p w14:paraId="422EA00E" w14:textId="77777777" w:rsidR="00A71EEF" w:rsidRDefault="0081115D">
      <w:pPr>
        <w:pStyle w:val="a4"/>
        <w:numPr>
          <w:ilvl w:val="1"/>
          <w:numId w:val="606"/>
        </w:numPr>
        <w:tabs>
          <w:tab w:val="left" w:pos="1160"/>
        </w:tabs>
        <w:jc w:val="both"/>
        <w:rPr>
          <w:sz w:val="21"/>
        </w:rPr>
      </w:pPr>
      <w:r>
        <w:rPr>
          <w:spacing w:val="-8"/>
          <w:sz w:val="21"/>
        </w:rPr>
        <w:t>防护区应有保证人员在</w:t>
      </w:r>
      <w:r>
        <w:rPr>
          <w:spacing w:val="-8"/>
          <w:sz w:val="21"/>
        </w:rPr>
        <w:t xml:space="preserve"> </w:t>
      </w:r>
      <w:r>
        <w:rPr>
          <w:sz w:val="21"/>
        </w:rPr>
        <w:t>30s</w:t>
      </w:r>
      <w:r>
        <w:rPr>
          <w:spacing w:val="-9"/>
          <w:sz w:val="21"/>
        </w:rPr>
        <w:t xml:space="preserve"> </w:t>
      </w:r>
      <w:r>
        <w:rPr>
          <w:spacing w:val="-9"/>
          <w:sz w:val="21"/>
        </w:rPr>
        <w:t>内疏散完毕的通道和出口。</w:t>
      </w:r>
      <w:r>
        <w:rPr>
          <w:sz w:val="21"/>
        </w:rPr>
        <w:t xml:space="preserve"> </w:t>
      </w:r>
    </w:p>
    <w:p w14:paraId="11BF018B" w14:textId="77777777" w:rsidR="00A71EEF" w:rsidRDefault="00A71EEF">
      <w:pPr>
        <w:pStyle w:val="a3"/>
        <w:spacing w:before="12"/>
        <w:rPr>
          <w:sz w:val="17"/>
        </w:rPr>
      </w:pPr>
    </w:p>
    <w:p w14:paraId="67AAFDC5" w14:textId="77777777" w:rsidR="00A71EEF" w:rsidRDefault="0081115D">
      <w:pPr>
        <w:pStyle w:val="a4"/>
        <w:numPr>
          <w:ilvl w:val="1"/>
          <w:numId w:val="606"/>
        </w:numPr>
        <w:tabs>
          <w:tab w:val="left" w:pos="1159"/>
        </w:tabs>
        <w:spacing w:line="446" w:lineRule="auto"/>
        <w:ind w:left="418" w:right="1431" w:firstLine="422"/>
        <w:jc w:val="both"/>
        <w:rPr>
          <w:sz w:val="21"/>
        </w:rPr>
      </w:pPr>
      <w:r>
        <w:rPr>
          <w:sz w:val="21"/>
        </w:rPr>
        <w:t>防护区内的疏散通道及出口，应设应急照明与疏散指示标志。防护区内应设火灾声报警</w:t>
      </w:r>
      <w:r>
        <w:rPr>
          <w:spacing w:val="-19"/>
          <w:sz w:val="21"/>
        </w:rPr>
        <w:t>器，必要时，可增设闪光报警器。防护区的入口处应设火灾声、光报警器和灭火剂喷放指示灯，以</w:t>
      </w:r>
      <w:r>
        <w:rPr>
          <w:spacing w:val="-8"/>
          <w:sz w:val="21"/>
        </w:rPr>
        <w:t>及防护区采用的相应气体灭火系统的永久性标志牌。灭火剂喷放指示灯信号，应保持到防护区通</w:t>
      </w:r>
      <w:r>
        <w:rPr>
          <w:spacing w:val="-4"/>
          <w:sz w:val="21"/>
        </w:rPr>
        <w:t>风换气后，以手动方式解除。</w:t>
      </w:r>
      <w:r>
        <w:rPr>
          <w:sz w:val="21"/>
        </w:rPr>
        <w:t xml:space="preserve"> </w:t>
      </w:r>
    </w:p>
    <w:p w14:paraId="25D66B53" w14:textId="77777777" w:rsidR="00A71EEF" w:rsidRDefault="0081115D">
      <w:pPr>
        <w:pStyle w:val="a4"/>
        <w:numPr>
          <w:ilvl w:val="1"/>
          <w:numId w:val="606"/>
        </w:numPr>
        <w:tabs>
          <w:tab w:val="left" w:pos="1159"/>
        </w:tabs>
        <w:ind w:left="1158" w:hanging="319"/>
        <w:jc w:val="both"/>
        <w:rPr>
          <w:sz w:val="21"/>
        </w:rPr>
      </w:pPr>
      <w:r>
        <w:rPr>
          <w:spacing w:val="-12"/>
          <w:sz w:val="21"/>
        </w:rPr>
        <w:t>防护区的门应向疏散方向开启，并能自行关闭；用于疏散的门必须能从防护区内打开。</w:t>
      </w:r>
      <w:r>
        <w:rPr>
          <w:sz w:val="21"/>
        </w:rPr>
        <w:t xml:space="preserve"> </w:t>
      </w:r>
    </w:p>
    <w:p w14:paraId="2DE01330" w14:textId="77777777" w:rsidR="00A71EEF" w:rsidRDefault="00A71EEF">
      <w:pPr>
        <w:pStyle w:val="a3"/>
        <w:rPr>
          <w:sz w:val="18"/>
        </w:rPr>
      </w:pPr>
    </w:p>
    <w:p w14:paraId="084CEF95" w14:textId="77777777" w:rsidR="00A71EEF" w:rsidRDefault="0081115D">
      <w:pPr>
        <w:pStyle w:val="a4"/>
        <w:numPr>
          <w:ilvl w:val="1"/>
          <w:numId w:val="606"/>
        </w:numPr>
        <w:tabs>
          <w:tab w:val="left" w:pos="1159"/>
        </w:tabs>
        <w:spacing w:line="446" w:lineRule="auto"/>
        <w:ind w:left="418" w:right="1430" w:firstLine="422"/>
        <w:jc w:val="both"/>
        <w:rPr>
          <w:sz w:val="21"/>
        </w:rPr>
      </w:pPr>
      <w:r>
        <w:rPr>
          <w:sz w:val="21"/>
        </w:rPr>
        <w:t>灭火后的防护区应通风换气，地下防护区和无窗或设固定窗扇的地上防护区，应设置机</w:t>
      </w:r>
      <w:r>
        <w:rPr>
          <w:spacing w:val="-7"/>
          <w:sz w:val="21"/>
        </w:rPr>
        <w:t>械排风装置，排风口宜设在防护区的下部并应直通室外。通信机房、电子计算机房等场所的通风</w:t>
      </w:r>
      <w:r>
        <w:rPr>
          <w:spacing w:val="-9"/>
          <w:sz w:val="21"/>
        </w:rPr>
        <w:t>换气次数应不少于每小时</w:t>
      </w:r>
      <w:r>
        <w:rPr>
          <w:spacing w:val="-9"/>
          <w:sz w:val="21"/>
        </w:rPr>
        <w:t xml:space="preserve"> </w:t>
      </w:r>
      <w:r>
        <w:rPr>
          <w:sz w:val="21"/>
        </w:rPr>
        <w:t>5</w:t>
      </w:r>
      <w:r>
        <w:rPr>
          <w:spacing w:val="-20"/>
          <w:sz w:val="21"/>
        </w:rPr>
        <w:t xml:space="preserve"> </w:t>
      </w:r>
      <w:r>
        <w:rPr>
          <w:spacing w:val="-20"/>
          <w:sz w:val="21"/>
        </w:rPr>
        <w:t>次。</w:t>
      </w:r>
      <w:r>
        <w:rPr>
          <w:sz w:val="21"/>
        </w:rPr>
        <w:t xml:space="preserve"> </w:t>
      </w:r>
    </w:p>
    <w:p w14:paraId="0A8FE420" w14:textId="77777777" w:rsidR="00A71EEF" w:rsidRDefault="0081115D">
      <w:pPr>
        <w:pStyle w:val="a4"/>
        <w:numPr>
          <w:ilvl w:val="1"/>
          <w:numId w:val="606"/>
        </w:numPr>
        <w:tabs>
          <w:tab w:val="left" w:pos="1160"/>
        </w:tabs>
        <w:spacing w:line="446" w:lineRule="auto"/>
        <w:ind w:left="418" w:right="1433" w:firstLine="422"/>
        <w:jc w:val="both"/>
        <w:rPr>
          <w:sz w:val="21"/>
        </w:rPr>
      </w:pPr>
      <w:r>
        <w:rPr>
          <w:spacing w:val="-12"/>
          <w:sz w:val="21"/>
        </w:rPr>
        <w:t>储瓶间的门应向外开启，储瓶间内应设</w:t>
      </w:r>
      <w:r>
        <w:rPr>
          <w:spacing w:val="-12"/>
          <w:sz w:val="21"/>
        </w:rPr>
        <w:t>应急照明；储瓶间应有良好的通风条件，地下储瓶</w:t>
      </w:r>
      <w:r>
        <w:rPr>
          <w:spacing w:val="-5"/>
          <w:sz w:val="21"/>
        </w:rPr>
        <w:t>间应设机械排风装置，排风口应设在下部，可通过排风管排出室外。</w:t>
      </w:r>
      <w:r>
        <w:rPr>
          <w:sz w:val="21"/>
        </w:rPr>
        <w:t xml:space="preserve"> </w:t>
      </w:r>
    </w:p>
    <w:p w14:paraId="4D2F4D8E" w14:textId="77777777" w:rsidR="00A71EEF" w:rsidRDefault="0081115D">
      <w:pPr>
        <w:pStyle w:val="a4"/>
        <w:numPr>
          <w:ilvl w:val="1"/>
          <w:numId w:val="606"/>
        </w:numPr>
        <w:tabs>
          <w:tab w:val="left" w:pos="1159"/>
        </w:tabs>
        <w:spacing w:line="446" w:lineRule="auto"/>
        <w:ind w:left="418" w:right="1431" w:firstLine="422"/>
        <w:jc w:val="both"/>
        <w:rPr>
          <w:sz w:val="21"/>
        </w:rPr>
      </w:pPr>
      <w:r>
        <w:rPr>
          <w:spacing w:val="-13"/>
          <w:sz w:val="21"/>
        </w:rPr>
        <w:t>经过有爆炸危险和变电、配电场所的管网、以及布设在以上场所的金属箱体等，应设防静</w:t>
      </w:r>
      <w:r>
        <w:rPr>
          <w:spacing w:val="-6"/>
          <w:sz w:val="21"/>
        </w:rPr>
        <w:t>电接地。</w:t>
      </w:r>
      <w:r>
        <w:rPr>
          <w:sz w:val="21"/>
        </w:rPr>
        <w:t xml:space="preserve"> </w:t>
      </w:r>
    </w:p>
    <w:p w14:paraId="2ABF27B0" w14:textId="77777777" w:rsidR="00A71EEF" w:rsidRDefault="0081115D">
      <w:pPr>
        <w:pStyle w:val="a4"/>
        <w:numPr>
          <w:ilvl w:val="1"/>
          <w:numId w:val="606"/>
        </w:numPr>
        <w:tabs>
          <w:tab w:val="left" w:pos="1159"/>
        </w:tabs>
        <w:spacing w:line="446" w:lineRule="auto"/>
        <w:ind w:left="418" w:right="1431" w:firstLine="422"/>
        <w:jc w:val="both"/>
        <w:rPr>
          <w:sz w:val="21"/>
        </w:rPr>
      </w:pPr>
      <w:r>
        <w:rPr>
          <w:spacing w:val="-3"/>
          <w:sz w:val="21"/>
        </w:rPr>
        <w:t>有人工作防护区的灭火设计浓度或实际使用浓度，不应大于有毒性反应浓度</w:t>
      </w:r>
      <w:r>
        <w:rPr>
          <w:spacing w:val="-3"/>
          <w:sz w:val="21"/>
        </w:rPr>
        <w:t>(</w:t>
      </w:r>
      <w:r>
        <w:rPr>
          <w:sz w:val="21"/>
        </w:rPr>
        <w:t>LOAEL</w:t>
      </w:r>
      <w:r>
        <w:rPr>
          <w:spacing w:val="-3"/>
          <w:sz w:val="21"/>
        </w:rPr>
        <w:t xml:space="preserve"> </w:t>
      </w:r>
      <w:r>
        <w:rPr>
          <w:spacing w:val="-3"/>
          <w:sz w:val="21"/>
        </w:rPr>
        <w:t>浓度</w:t>
      </w:r>
      <w:r>
        <w:rPr>
          <w:spacing w:val="-7"/>
          <w:sz w:val="21"/>
        </w:rPr>
        <w:t>)</w:t>
      </w:r>
      <w:r>
        <w:rPr>
          <w:spacing w:val="-7"/>
          <w:sz w:val="21"/>
        </w:rPr>
        <w:t>，该值应符合本规范附录</w:t>
      </w:r>
      <w:r>
        <w:rPr>
          <w:spacing w:val="-7"/>
          <w:sz w:val="21"/>
        </w:rPr>
        <w:t xml:space="preserve"> </w:t>
      </w:r>
      <w:r>
        <w:rPr>
          <w:sz w:val="21"/>
        </w:rPr>
        <w:t>G</w:t>
      </w:r>
      <w:r>
        <w:rPr>
          <w:spacing w:val="-13"/>
          <w:sz w:val="21"/>
        </w:rPr>
        <w:t xml:space="preserve"> </w:t>
      </w:r>
      <w:r>
        <w:rPr>
          <w:spacing w:val="-13"/>
          <w:sz w:val="21"/>
        </w:rPr>
        <w:t>的规定。</w:t>
      </w:r>
      <w:r>
        <w:rPr>
          <w:sz w:val="21"/>
        </w:rPr>
        <w:t xml:space="preserve"> </w:t>
      </w:r>
    </w:p>
    <w:p w14:paraId="02626262" w14:textId="77777777" w:rsidR="00A71EEF" w:rsidRDefault="0081115D">
      <w:pPr>
        <w:pStyle w:val="a4"/>
        <w:numPr>
          <w:ilvl w:val="1"/>
          <w:numId w:val="606"/>
        </w:numPr>
        <w:tabs>
          <w:tab w:val="left" w:pos="1160"/>
        </w:tabs>
        <w:jc w:val="both"/>
        <w:rPr>
          <w:sz w:val="21"/>
        </w:rPr>
      </w:pPr>
      <w:r>
        <w:rPr>
          <w:spacing w:val="-6"/>
          <w:sz w:val="21"/>
        </w:rPr>
        <w:t>防护区内设置的预制灭火系统的充压压力不应大于</w:t>
      </w:r>
      <w:r>
        <w:rPr>
          <w:spacing w:val="-6"/>
          <w:sz w:val="21"/>
        </w:rPr>
        <w:t xml:space="preserve"> </w:t>
      </w:r>
      <w:r>
        <w:rPr>
          <w:sz w:val="21"/>
        </w:rPr>
        <w:t>2.5  MPa</w:t>
      </w:r>
      <w:r>
        <w:rPr>
          <w:spacing w:val="-3"/>
          <w:sz w:val="21"/>
        </w:rPr>
        <w:t>。</w:t>
      </w:r>
      <w:r>
        <w:rPr>
          <w:sz w:val="21"/>
        </w:rPr>
        <w:t xml:space="preserve"> </w:t>
      </w:r>
    </w:p>
    <w:p w14:paraId="1364FC1B" w14:textId="77777777" w:rsidR="00A71EEF" w:rsidRDefault="00A71EEF">
      <w:pPr>
        <w:pStyle w:val="a3"/>
        <w:spacing w:before="9"/>
        <w:rPr>
          <w:sz w:val="17"/>
        </w:rPr>
      </w:pPr>
    </w:p>
    <w:p w14:paraId="24285BA0" w14:textId="77777777" w:rsidR="00A71EEF" w:rsidRDefault="0081115D">
      <w:pPr>
        <w:pStyle w:val="a4"/>
        <w:numPr>
          <w:ilvl w:val="1"/>
          <w:numId w:val="606"/>
        </w:numPr>
        <w:tabs>
          <w:tab w:val="left" w:pos="1159"/>
        </w:tabs>
        <w:ind w:left="1158" w:hanging="319"/>
        <w:jc w:val="both"/>
        <w:rPr>
          <w:sz w:val="21"/>
        </w:rPr>
      </w:pPr>
      <w:r>
        <w:rPr>
          <w:spacing w:val="-3"/>
          <w:sz w:val="21"/>
        </w:rPr>
        <w:t>灭火系统的手动控制与应急操作应有防止误操作的警示显示与措施。</w:t>
      </w:r>
      <w:r>
        <w:rPr>
          <w:sz w:val="21"/>
        </w:rPr>
        <w:t xml:space="preserve"> </w:t>
      </w:r>
    </w:p>
    <w:p w14:paraId="3B4FBC00" w14:textId="77777777" w:rsidR="00A71EEF" w:rsidRDefault="00A71EEF">
      <w:pPr>
        <w:pStyle w:val="a3"/>
        <w:spacing w:before="2"/>
        <w:rPr>
          <w:sz w:val="18"/>
        </w:rPr>
      </w:pPr>
    </w:p>
    <w:p w14:paraId="7CEC32A6" w14:textId="77777777" w:rsidR="00A71EEF" w:rsidRDefault="0081115D">
      <w:pPr>
        <w:pStyle w:val="a4"/>
        <w:numPr>
          <w:ilvl w:val="1"/>
          <w:numId w:val="606"/>
        </w:numPr>
        <w:tabs>
          <w:tab w:val="left" w:pos="1264"/>
        </w:tabs>
        <w:ind w:left="1263" w:hanging="424"/>
        <w:jc w:val="both"/>
        <w:rPr>
          <w:sz w:val="21"/>
        </w:rPr>
      </w:pPr>
      <w:r>
        <w:rPr>
          <w:spacing w:val="-7"/>
          <w:sz w:val="21"/>
        </w:rPr>
        <w:t>热气溶胶灭火系统装置的喷口前</w:t>
      </w:r>
      <w:r>
        <w:rPr>
          <w:spacing w:val="-7"/>
          <w:sz w:val="21"/>
        </w:rPr>
        <w:t xml:space="preserve"> </w:t>
      </w:r>
      <w:r>
        <w:rPr>
          <w:sz w:val="21"/>
        </w:rPr>
        <w:t>1.0m</w:t>
      </w:r>
      <w:r>
        <w:rPr>
          <w:spacing w:val="-15"/>
          <w:sz w:val="21"/>
        </w:rPr>
        <w:t xml:space="preserve"> </w:t>
      </w:r>
      <w:r>
        <w:rPr>
          <w:spacing w:val="-15"/>
          <w:sz w:val="21"/>
        </w:rPr>
        <w:t>内，装置的背面、侧面、顶部</w:t>
      </w:r>
      <w:r>
        <w:rPr>
          <w:spacing w:val="-15"/>
          <w:sz w:val="21"/>
        </w:rPr>
        <w:t xml:space="preserve"> </w:t>
      </w:r>
      <w:r>
        <w:rPr>
          <w:sz w:val="21"/>
        </w:rPr>
        <w:t>0.2</w:t>
      </w:r>
      <w:r>
        <w:rPr>
          <w:spacing w:val="4"/>
          <w:sz w:val="21"/>
        </w:rPr>
        <w:t xml:space="preserve"> </w:t>
      </w:r>
      <w:r>
        <w:rPr>
          <w:sz w:val="21"/>
        </w:rPr>
        <w:t>m</w:t>
      </w:r>
      <w:r>
        <w:rPr>
          <w:spacing w:val="-12"/>
          <w:sz w:val="21"/>
        </w:rPr>
        <w:t xml:space="preserve"> </w:t>
      </w:r>
      <w:r>
        <w:rPr>
          <w:spacing w:val="-12"/>
          <w:sz w:val="21"/>
        </w:rPr>
        <w:t>内不应设</w:t>
      </w:r>
    </w:p>
    <w:p w14:paraId="0C6004AB" w14:textId="77777777" w:rsidR="00A71EEF" w:rsidRDefault="00A71EEF">
      <w:pPr>
        <w:jc w:val="both"/>
        <w:rPr>
          <w:sz w:val="21"/>
        </w:rPr>
        <w:sectPr w:rsidR="00A71EEF">
          <w:pgSz w:w="11910" w:h="16850"/>
          <w:pgMar w:top="1220" w:right="0" w:bottom="1420" w:left="1260" w:header="0" w:footer="1239" w:gutter="0"/>
          <w:cols w:space="720"/>
        </w:sectPr>
      </w:pPr>
    </w:p>
    <w:p w14:paraId="5A9FB90F" w14:textId="77777777" w:rsidR="00A71EEF" w:rsidRDefault="0081115D">
      <w:pPr>
        <w:pStyle w:val="a3"/>
        <w:spacing w:before="47"/>
        <w:ind w:left="418"/>
      </w:pPr>
      <w:r>
        <w:t>置或存放设备、器具等。</w:t>
      </w:r>
      <w:r>
        <w:t xml:space="preserve"> </w:t>
      </w:r>
    </w:p>
    <w:p w14:paraId="3C8B6358" w14:textId="77777777" w:rsidR="00A71EEF" w:rsidRDefault="00A71EEF">
      <w:pPr>
        <w:pStyle w:val="a3"/>
        <w:rPr>
          <w:sz w:val="18"/>
        </w:rPr>
      </w:pPr>
    </w:p>
    <w:p w14:paraId="4A6EFA37" w14:textId="77777777" w:rsidR="00A71EEF" w:rsidRDefault="0081115D">
      <w:pPr>
        <w:pStyle w:val="a4"/>
        <w:numPr>
          <w:ilvl w:val="1"/>
          <w:numId w:val="606"/>
        </w:numPr>
        <w:tabs>
          <w:tab w:val="left" w:pos="1264"/>
        </w:tabs>
        <w:ind w:left="1263" w:hanging="424"/>
        <w:rPr>
          <w:sz w:val="21"/>
        </w:rPr>
      </w:pPr>
      <w:r>
        <w:rPr>
          <w:spacing w:val="-3"/>
          <w:sz w:val="21"/>
        </w:rPr>
        <w:t>设有气体灭火系统的场所，宜配置空气呼吸器。</w:t>
      </w:r>
      <w:r>
        <w:rPr>
          <w:sz w:val="21"/>
        </w:rPr>
        <w:t xml:space="preserve"> </w:t>
      </w:r>
    </w:p>
    <w:p w14:paraId="1E81E241" w14:textId="77777777" w:rsidR="00A71EEF" w:rsidRDefault="00A71EEF">
      <w:pPr>
        <w:rPr>
          <w:sz w:val="21"/>
        </w:rPr>
        <w:sectPr w:rsidR="00A71EEF">
          <w:pgSz w:w="11910" w:h="16850"/>
          <w:pgMar w:top="1220" w:right="0" w:bottom="1420" w:left="1260" w:header="0" w:footer="1239" w:gutter="0"/>
          <w:cols w:space="720"/>
        </w:sectPr>
      </w:pPr>
    </w:p>
    <w:p w14:paraId="77D19C05" w14:textId="77777777" w:rsidR="00A71EEF" w:rsidRDefault="00A71EEF">
      <w:pPr>
        <w:pStyle w:val="a3"/>
        <w:spacing w:before="1"/>
        <w:rPr>
          <w:sz w:val="28"/>
        </w:rPr>
      </w:pPr>
    </w:p>
    <w:p w14:paraId="3F5B65CD" w14:textId="77777777" w:rsidR="00A71EEF" w:rsidRDefault="0081115D">
      <w:pPr>
        <w:pStyle w:val="2"/>
        <w:spacing w:before="58"/>
        <w:ind w:left="2703"/>
        <w:jc w:val="left"/>
      </w:pPr>
      <w:bookmarkStart w:id="15" w:name="_bookmark15"/>
      <w:bookmarkEnd w:id="15"/>
      <w:r>
        <w:t>城市消防远程监控系统技术规范</w:t>
      </w:r>
      <w:r>
        <w:rPr>
          <w:w w:val="99"/>
        </w:rPr>
        <w:t xml:space="preserve"> </w:t>
      </w:r>
    </w:p>
    <w:p w14:paraId="305D3839" w14:textId="77777777" w:rsidR="00A71EEF" w:rsidRDefault="00A71EEF">
      <w:pPr>
        <w:pStyle w:val="a3"/>
        <w:rPr>
          <w:b/>
          <w:sz w:val="20"/>
        </w:rPr>
      </w:pPr>
    </w:p>
    <w:p w14:paraId="0342B8E1" w14:textId="77777777" w:rsidR="00A71EEF" w:rsidRDefault="00A71EEF">
      <w:pPr>
        <w:pStyle w:val="a3"/>
        <w:spacing w:before="4"/>
        <w:rPr>
          <w:b/>
          <w:sz w:val="14"/>
        </w:rPr>
      </w:pPr>
    </w:p>
    <w:p w14:paraId="31BB3EDF" w14:textId="77777777" w:rsidR="00A71EEF" w:rsidRDefault="0081115D">
      <w:pPr>
        <w:pStyle w:val="4"/>
        <w:spacing w:before="66"/>
      </w:pPr>
      <w:r>
        <w:t xml:space="preserve">1 </w:t>
      </w:r>
      <w:r>
        <w:t>总则</w:t>
      </w:r>
      <w:r>
        <w:rPr>
          <w:w w:val="99"/>
        </w:rPr>
        <w:t xml:space="preserve"> </w:t>
      </w:r>
    </w:p>
    <w:p w14:paraId="7767AE27" w14:textId="77777777" w:rsidR="00A71EEF" w:rsidRDefault="00A71EEF">
      <w:pPr>
        <w:pStyle w:val="a3"/>
        <w:spacing w:before="4"/>
        <w:rPr>
          <w:b/>
          <w:sz w:val="17"/>
        </w:rPr>
      </w:pPr>
    </w:p>
    <w:p w14:paraId="5F910766" w14:textId="77777777" w:rsidR="00A71EEF" w:rsidRDefault="0081115D">
      <w:pPr>
        <w:pStyle w:val="a4"/>
        <w:numPr>
          <w:ilvl w:val="1"/>
          <w:numId w:val="605"/>
        </w:numPr>
        <w:tabs>
          <w:tab w:val="left" w:pos="1159"/>
        </w:tabs>
        <w:spacing w:line="446" w:lineRule="auto"/>
        <w:ind w:right="1604" w:firstLine="422"/>
        <w:jc w:val="both"/>
        <w:rPr>
          <w:sz w:val="21"/>
        </w:rPr>
      </w:pPr>
      <w:r>
        <w:rPr>
          <w:spacing w:val="-3"/>
          <w:sz w:val="21"/>
        </w:rPr>
        <w:t>为了合理设计和建设城市消防远程监控系统（以下简称远程监控系统</w:t>
      </w:r>
      <w:r>
        <w:rPr>
          <w:sz w:val="21"/>
        </w:rPr>
        <w:t>）</w:t>
      </w:r>
      <w:r>
        <w:rPr>
          <w:spacing w:val="-2"/>
          <w:sz w:val="21"/>
        </w:rPr>
        <w:t>，保障远程监</w:t>
      </w:r>
      <w:r>
        <w:rPr>
          <w:spacing w:val="-3"/>
          <w:sz w:val="21"/>
        </w:rPr>
        <w:t>控系统的设计和施工质量，实现火灾的早期报警和建筑消防设施运行状态的集中监控，提高单位消防安全管理水平，制定本规范。</w:t>
      </w:r>
      <w:r>
        <w:rPr>
          <w:sz w:val="21"/>
        </w:rPr>
        <w:t xml:space="preserve"> </w:t>
      </w:r>
    </w:p>
    <w:p w14:paraId="59D5D05C" w14:textId="77777777" w:rsidR="00A71EEF" w:rsidRDefault="0081115D">
      <w:pPr>
        <w:pStyle w:val="a4"/>
        <w:numPr>
          <w:ilvl w:val="1"/>
          <w:numId w:val="605"/>
        </w:numPr>
        <w:tabs>
          <w:tab w:val="left" w:pos="1159"/>
        </w:tabs>
        <w:spacing w:line="268" w:lineRule="exact"/>
        <w:ind w:left="1158" w:hanging="319"/>
        <w:rPr>
          <w:sz w:val="21"/>
        </w:rPr>
      </w:pPr>
      <w:r>
        <w:rPr>
          <w:spacing w:val="-3"/>
          <w:sz w:val="21"/>
        </w:rPr>
        <w:t>本规范适用于远程监控系统的设计、施工、验收及运行维护。</w:t>
      </w:r>
      <w:r>
        <w:rPr>
          <w:sz w:val="21"/>
        </w:rPr>
        <w:t xml:space="preserve"> </w:t>
      </w:r>
    </w:p>
    <w:p w14:paraId="7AA7405F" w14:textId="77777777" w:rsidR="00A71EEF" w:rsidRDefault="00A71EEF">
      <w:pPr>
        <w:pStyle w:val="a3"/>
        <w:rPr>
          <w:sz w:val="18"/>
        </w:rPr>
      </w:pPr>
    </w:p>
    <w:p w14:paraId="7D5D6C60" w14:textId="77777777" w:rsidR="00A71EEF" w:rsidRDefault="0081115D">
      <w:pPr>
        <w:pStyle w:val="a4"/>
        <w:numPr>
          <w:ilvl w:val="1"/>
          <w:numId w:val="605"/>
        </w:numPr>
        <w:tabs>
          <w:tab w:val="left" w:pos="1159"/>
        </w:tabs>
        <w:spacing w:line="446" w:lineRule="auto"/>
        <w:ind w:right="1604" w:firstLine="422"/>
        <w:rPr>
          <w:sz w:val="21"/>
        </w:rPr>
      </w:pPr>
      <w:r>
        <w:rPr>
          <w:spacing w:val="-3"/>
          <w:sz w:val="21"/>
        </w:rPr>
        <w:t>远程监控系统的设计和施工，应与城市消防通信指挥系统及公用通信网络系统等相适应，做到安全可靠、技术先进、经济合理。</w:t>
      </w:r>
      <w:r>
        <w:rPr>
          <w:sz w:val="21"/>
        </w:rPr>
        <w:t xml:space="preserve"> </w:t>
      </w:r>
    </w:p>
    <w:p w14:paraId="0413A66D" w14:textId="77777777" w:rsidR="00A71EEF" w:rsidRDefault="0081115D">
      <w:pPr>
        <w:pStyle w:val="a4"/>
        <w:numPr>
          <w:ilvl w:val="1"/>
          <w:numId w:val="605"/>
        </w:numPr>
        <w:tabs>
          <w:tab w:val="left" w:pos="1159"/>
        </w:tabs>
        <w:spacing w:line="446" w:lineRule="auto"/>
        <w:ind w:right="1604" w:firstLine="422"/>
        <w:rPr>
          <w:sz w:val="21"/>
        </w:rPr>
      </w:pPr>
      <w:r>
        <w:rPr>
          <w:spacing w:val="-3"/>
          <w:sz w:val="21"/>
        </w:rPr>
        <w:t>远程监控系统的设计、施工、验收及运行维护除应执行本规范外，尚应符合国家现行有关标准的规定。</w:t>
      </w:r>
      <w:r>
        <w:rPr>
          <w:sz w:val="21"/>
        </w:rPr>
        <w:t xml:space="preserve"> </w:t>
      </w:r>
    </w:p>
    <w:p w14:paraId="00E44758" w14:textId="77777777" w:rsidR="00A71EEF" w:rsidRDefault="0081115D">
      <w:pPr>
        <w:pStyle w:val="4"/>
        <w:spacing w:line="277" w:lineRule="exact"/>
      </w:pPr>
      <w:r>
        <w:t xml:space="preserve">2 </w:t>
      </w:r>
      <w:r>
        <w:t>术语</w:t>
      </w:r>
      <w:r>
        <w:rPr>
          <w:w w:val="99"/>
        </w:rPr>
        <w:t xml:space="preserve"> </w:t>
      </w:r>
    </w:p>
    <w:p w14:paraId="5091A0BB" w14:textId="77777777" w:rsidR="00A71EEF" w:rsidRDefault="00A71EEF">
      <w:pPr>
        <w:pStyle w:val="a3"/>
        <w:spacing w:before="4"/>
        <w:rPr>
          <w:b/>
          <w:sz w:val="17"/>
        </w:rPr>
      </w:pPr>
    </w:p>
    <w:p w14:paraId="7DD014C0" w14:textId="77777777" w:rsidR="00A71EEF" w:rsidRDefault="0081115D">
      <w:pPr>
        <w:pStyle w:val="a4"/>
        <w:numPr>
          <w:ilvl w:val="1"/>
          <w:numId w:val="604"/>
        </w:numPr>
        <w:tabs>
          <w:tab w:val="left" w:pos="1160"/>
        </w:tabs>
        <w:rPr>
          <w:sz w:val="21"/>
        </w:rPr>
      </w:pPr>
      <w:r>
        <w:rPr>
          <w:spacing w:val="-3"/>
          <w:sz w:val="21"/>
        </w:rPr>
        <w:t>城市消防远程监控系统</w:t>
      </w:r>
      <w:r>
        <w:rPr>
          <w:spacing w:val="-3"/>
          <w:sz w:val="21"/>
        </w:rPr>
        <w:t xml:space="preserve"> </w:t>
      </w:r>
      <w:r>
        <w:rPr>
          <w:sz w:val="21"/>
        </w:rPr>
        <w:t>remote-monitoring system</w:t>
      </w:r>
      <w:r>
        <w:rPr>
          <w:spacing w:val="1"/>
          <w:sz w:val="21"/>
        </w:rPr>
        <w:t xml:space="preserve"> </w:t>
      </w:r>
      <w:r>
        <w:rPr>
          <w:sz w:val="21"/>
        </w:rPr>
        <w:t>for urban</w:t>
      </w:r>
      <w:r>
        <w:rPr>
          <w:spacing w:val="1"/>
          <w:sz w:val="21"/>
        </w:rPr>
        <w:t xml:space="preserve"> </w:t>
      </w:r>
      <w:r>
        <w:rPr>
          <w:sz w:val="21"/>
        </w:rPr>
        <w:t xml:space="preserve">fire protection </w:t>
      </w:r>
    </w:p>
    <w:p w14:paraId="32B907DB" w14:textId="77777777" w:rsidR="00A71EEF" w:rsidRDefault="00A71EEF">
      <w:pPr>
        <w:pStyle w:val="a3"/>
        <w:spacing w:before="12"/>
        <w:rPr>
          <w:sz w:val="17"/>
        </w:rPr>
      </w:pPr>
    </w:p>
    <w:p w14:paraId="7F6F2B01" w14:textId="77777777" w:rsidR="00A71EEF" w:rsidRDefault="0081115D">
      <w:pPr>
        <w:pStyle w:val="a3"/>
        <w:spacing w:line="446" w:lineRule="auto"/>
        <w:ind w:left="418" w:right="1608" w:firstLine="419"/>
        <w:jc w:val="both"/>
      </w:pPr>
      <w:r>
        <w:t>对联网用户的火灾报警信息、建筑消防设施运行状态信息、消防安全管理信息进行接收、处理和管理，向城市消防通信指挥中心或其他接处警中心发送经确认的火灾报警信息，为公安消防部门提供查询，并为联网用户提供信息服务的系统。</w:t>
      </w:r>
      <w:r>
        <w:t xml:space="preserve"> </w:t>
      </w:r>
    </w:p>
    <w:p w14:paraId="66D1CC62" w14:textId="77777777" w:rsidR="00A71EEF" w:rsidRDefault="0081115D">
      <w:pPr>
        <w:pStyle w:val="a4"/>
        <w:numPr>
          <w:ilvl w:val="1"/>
          <w:numId w:val="604"/>
        </w:numPr>
        <w:tabs>
          <w:tab w:val="left" w:pos="1159"/>
        </w:tabs>
        <w:spacing w:line="268" w:lineRule="exact"/>
        <w:ind w:left="1158" w:hanging="319"/>
        <w:rPr>
          <w:sz w:val="21"/>
        </w:rPr>
      </w:pPr>
      <w:r>
        <w:rPr>
          <w:spacing w:val="-3"/>
          <w:sz w:val="21"/>
        </w:rPr>
        <w:t>监控中心</w:t>
      </w:r>
      <w:r>
        <w:rPr>
          <w:spacing w:val="-3"/>
          <w:sz w:val="21"/>
        </w:rPr>
        <w:t xml:space="preserve"> </w:t>
      </w:r>
      <w:r>
        <w:rPr>
          <w:sz w:val="21"/>
        </w:rPr>
        <w:t>monitoring</w:t>
      </w:r>
      <w:r>
        <w:rPr>
          <w:spacing w:val="1"/>
          <w:sz w:val="21"/>
        </w:rPr>
        <w:t xml:space="preserve"> </w:t>
      </w:r>
      <w:r>
        <w:rPr>
          <w:sz w:val="21"/>
        </w:rPr>
        <w:t xml:space="preserve">centre </w:t>
      </w:r>
    </w:p>
    <w:p w14:paraId="199AB1BB" w14:textId="77777777" w:rsidR="00A71EEF" w:rsidRDefault="00A71EEF">
      <w:pPr>
        <w:pStyle w:val="a3"/>
        <w:spacing w:before="2"/>
        <w:rPr>
          <w:sz w:val="18"/>
        </w:rPr>
      </w:pPr>
    </w:p>
    <w:p w14:paraId="5EA11C83" w14:textId="77777777" w:rsidR="00A71EEF" w:rsidRDefault="0081115D">
      <w:pPr>
        <w:pStyle w:val="a3"/>
        <w:spacing w:line="446" w:lineRule="auto"/>
        <w:ind w:left="840" w:right="5497" w:hanging="3"/>
      </w:pPr>
      <w:r>
        <w:t>对远程监控系统的信息进行集中管理的节点。</w:t>
      </w:r>
      <w:r>
        <w:rPr>
          <w:b/>
        </w:rPr>
        <w:t xml:space="preserve">2.3 </w:t>
      </w:r>
      <w:r>
        <w:t>联网用户</w:t>
      </w:r>
      <w:r>
        <w:t xml:space="preserve"> network users </w:t>
      </w:r>
    </w:p>
    <w:p w14:paraId="65CFB5AA" w14:textId="77777777" w:rsidR="00A71EEF" w:rsidRDefault="0081115D">
      <w:pPr>
        <w:pStyle w:val="a3"/>
        <w:spacing w:line="446" w:lineRule="auto"/>
        <w:ind w:left="418" w:right="1609" w:firstLine="419"/>
      </w:pPr>
      <w:r>
        <w:t>将火灾报警信息、建筑消防设施运行状态信息和消防安全管理信息传送到监控中心，并能接收监控中心发送的相关信息的单位。</w:t>
      </w:r>
      <w:r>
        <w:t xml:space="preserve"> </w:t>
      </w:r>
    </w:p>
    <w:p w14:paraId="6C79200F" w14:textId="77777777" w:rsidR="00A71EEF" w:rsidRDefault="0081115D">
      <w:pPr>
        <w:pStyle w:val="a4"/>
        <w:numPr>
          <w:ilvl w:val="1"/>
          <w:numId w:val="603"/>
        </w:numPr>
        <w:tabs>
          <w:tab w:val="left" w:pos="1159"/>
        </w:tabs>
        <w:ind w:hanging="319"/>
        <w:rPr>
          <w:sz w:val="21"/>
        </w:rPr>
      </w:pPr>
      <w:r>
        <w:rPr>
          <w:spacing w:val="-3"/>
          <w:sz w:val="21"/>
        </w:rPr>
        <w:t>报警传输网络</w:t>
      </w:r>
      <w:r>
        <w:rPr>
          <w:spacing w:val="-3"/>
          <w:sz w:val="21"/>
        </w:rPr>
        <w:t xml:space="preserve"> </w:t>
      </w:r>
      <w:r>
        <w:rPr>
          <w:sz w:val="21"/>
        </w:rPr>
        <w:t>alarm</w:t>
      </w:r>
      <w:r>
        <w:rPr>
          <w:spacing w:val="-2"/>
          <w:sz w:val="21"/>
        </w:rPr>
        <w:t xml:space="preserve"> </w:t>
      </w:r>
      <w:r>
        <w:rPr>
          <w:sz w:val="21"/>
        </w:rPr>
        <w:t>transmiss</w:t>
      </w:r>
      <w:r>
        <w:rPr>
          <w:sz w:val="21"/>
        </w:rPr>
        <w:t xml:space="preserve">ion network </w:t>
      </w:r>
    </w:p>
    <w:p w14:paraId="7DCFCF77" w14:textId="77777777" w:rsidR="00A71EEF" w:rsidRDefault="00A71EEF">
      <w:pPr>
        <w:pStyle w:val="a3"/>
        <w:spacing w:before="10"/>
        <w:rPr>
          <w:sz w:val="17"/>
        </w:rPr>
      </w:pPr>
    </w:p>
    <w:p w14:paraId="2856F75A" w14:textId="77777777" w:rsidR="00A71EEF" w:rsidRDefault="0081115D">
      <w:pPr>
        <w:pStyle w:val="a3"/>
        <w:spacing w:line="446" w:lineRule="auto"/>
        <w:ind w:left="418" w:right="1609" w:firstLine="419"/>
      </w:pPr>
      <w:r>
        <w:t>利用公用通信网或专用通信网传输联网用户的火灾报警信息、建筑消防设施运行状态信息的网络。</w:t>
      </w:r>
      <w:r>
        <w:t xml:space="preserve"> </w:t>
      </w:r>
    </w:p>
    <w:p w14:paraId="2B5BF98F" w14:textId="77777777" w:rsidR="00A71EEF" w:rsidRDefault="0081115D">
      <w:pPr>
        <w:pStyle w:val="a4"/>
        <w:numPr>
          <w:ilvl w:val="1"/>
          <w:numId w:val="603"/>
        </w:numPr>
        <w:tabs>
          <w:tab w:val="left" w:pos="1160"/>
        </w:tabs>
        <w:spacing w:before="1"/>
        <w:ind w:left="1159" w:hanging="320"/>
        <w:rPr>
          <w:sz w:val="21"/>
        </w:rPr>
      </w:pPr>
      <w:r>
        <w:rPr>
          <w:spacing w:val="-3"/>
          <w:sz w:val="21"/>
        </w:rPr>
        <w:t>用户信息传输装置</w:t>
      </w:r>
      <w:r>
        <w:rPr>
          <w:spacing w:val="-3"/>
          <w:sz w:val="21"/>
        </w:rPr>
        <w:t xml:space="preserve"> </w:t>
      </w:r>
      <w:r>
        <w:rPr>
          <w:sz w:val="21"/>
        </w:rPr>
        <w:t>user</w:t>
      </w:r>
      <w:r>
        <w:rPr>
          <w:spacing w:val="1"/>
          <w:sz w:val="21"/>
        </w:rPr>
        <w:t xml:space="preserve"> </w:t>
      </w:r>
      <w:r>
        <w:rPr>
          <w:sz w:val="21"/>
        </w:rPr>
        <w:t>information transmission</w:t>
      </w:r>
      <w:r>
        <w:rPr>
          <w:spacing w:val="1"/>
          <w:sz w:val="21"/>
        </w:rPr>
        <w:t xml:space="preserve"> </w:t>
      </w:r>
      <w:r>
        <w:rPr>
          <w:sz w:val="21"/>
        </w:rPr>
        <w:t xml:space="preserve">device </w:t>
      </w:r>
    </w:p>
    <w:p w14:paraId="0281AFD4" w14:textId="77777777" w:rsidR="00A71EEF" w:rsidRDefault="00A71EEF">
      <w:pPr>
        <w:pStyle w:val="a3"/>
        <w:spacing w:before="12"/>
        <w:rPr>
          <w:sz w:val="17"/>
        </w:rPr>
      </w:pPr>
    </w:p>
    <w:p w14:paraId="4443196E" w14:textId="77777777" w:rsidR="00A71EEF" w:rsidRDefault="0081115D">
      <w:pPr>
        <w:pStyle w:val="a3"/>
        <w:spacing w:line="446" w:lineRule="auto"/>
        <w:ind w:left="840" w:right="2977" w:hanging="3"/>
      </w:pPr>
      <w:r>
        <w:t>设置在联网用户端，通过报警传输网络与监控中心进行信息传输的装置。</w:t>
      </w:r>
      <w:r>
        <w:rPr>
          <w:b/>
        </w:rPr>
        <w:t xml:space="preserve">2.6 </w:t>
      </w:r>
      <w:r>
        <w:t>报警受理系统</w:t>
      </w:r>
      <w:r>
        <w:t xml:space="preserve"> alarm receiving and handling system </w:t>
      </w:r>
    </w:p>
    <w:p w14:paraId="5D335A64" w14:textId="77777777" w:rsidR="00A71EEF" w:rsidRDefault="00A71EEF">
      <w:pPr>
        <w:spacing w:line="446" w:lineRule="auto"/>
        <w:sectPr w:rsidR="00A71EEF">
          <w:footerReference w:type="default" r:id="rId240"/>
          <w:pgSz w:w="11910" w:h="16850"/>
          <w:pgMar w:top="1600" w:right="0" w:bottom="1420" w:left="1260" w:header="0" w:footer="1239" w:gutter="0"/>
          <w:pgNumType w:start="1130"/>
          <w:cols w:space="720"/>
        </w:sectPr>
      </w:pPr>
    </w:p>
    <w:p w14:paraId="161F9F79" w14:textId="77777777" w:rsidR="00A71EEF" w:rsidRDefault="0081115D">
      <w:pPr>
        <w:pStyle w:val="a3"/>
        <w:spacing w:before="47" w:line="446" w:lineRule="auto"/>
        <w:ind w:left="418" w:right="1609" w:firstLine="419"/>
      </w:pPr>
      <w:r>
        <w:t>设置在监控中心，接收、处理联网用户按规定协议发送的火灾报警信息、建筑消防设施运行状态信息，并能向城市消防通信指挥中心或其他接处警中心发送火灾报警信息的系统。</w:t>
      </w:r>
      <w:r>
        <w:t xml:space="preserve"> </w:t>
      </w:r>
    </w:p>
    <w:p w14:paraId="5635A312" w14:textId="77777777" w:rsidR="00A71EEF" w:rsidRDefault="0081115D">
      <w:pPr>
        <w:pStyle w:val="a3"/>
        <w:spacing w:line="267" w:lineRule="exact"/>
        <w:ind w:left="840"/>
      </w:pPr>
      <w:r>
        <w:rPr>
          <w:b/>
        </w:rPr>
        <w:t xml:space="preserve">2.7 </w:t>
      </w:r>
      <w:r>
        <w:t>信息查询系统</w:t>
      </w:r>
      <w:r>
        <w:t xml:space="preserve"> information inquiry system </w:t>
      </w:r>
    </w:p>
    <w:p w14:paraId="62BDD9A1" w14:textId="77777777" w:rsidR="00A71EEF" w:rsidRDefault="00A71EEF">
      <w:pPr>
        <w:pStyle w:val="a3"/>
        <w:spacing w:before="2"/>
        <w:rPr>
          <w:sz w:val="18"/>
        </w:rPr>
      </w:pPr>
    </w:p>
    <w:p w14:paraId="2852EB81" w14:textId="77777777" w:rsidR="00A71EEF" w:rsidRDefault="0081115D">
      <w:pPr>
        <w:pStyle w:val="a3"/>
        <w:spacing w:line="446" w:lineRule="auto"/>
        <w:ind w:left="838" w:right="5915"/>
      </w:pPr>
      <w:r>
        <w:rPr>
          <w:spacing w:val="-3"/>
        </w:rPr>
        <w:t>为公安消防部门提供信息查询的系统。</w:t>
      </w:r>
      <w:r>
        <w:rPr>
          <w:spacing w:val="-3"/>
        </w:rPr>
        <w:t xml:space="preserve"> </w:t>
      </w:r>
      <w:r>
        <w:rPr>
          <w:b/>
        </w:rPr>
        <w:t xml:space="preserve">2.8 </w:t>
      </w:r>
      <w:r>
        <w:rPr>
          <w:spacing w:val="-3"/>
        </w:rPr>
        <w:t>用户服务系统</w:t>
      </w:r>
      <w:r>
        <w:rPr>
          <w:spacing w:val="-3"/>
        </w:rPr>
        <w:t xml:space="preserve"> </w:t>
      </w:r>
      <w:r>
        <w:t>user</w:t>
      </w:r>
      <w:r>
        <w:rPr>
          <w:spacing w:val="-2"/>
        </w:rPr>
        <w:t xml:space="preserve"> </w:t>
      </w:r>
      <w:r>
        <w:t>service</w:t>
      </w:r>
      <w:r>
        <w:rPr>
          <w:spacing w:val="1"/>
        </w:rPr>
        <w:t xml:space="preserve"> </w:t>
      </w:r>
      <w:r>
        <w:t xml:space="preserve">system </w:t>
      </w:r>
      <w:r>
        <w:rPr>
          <w:spacing w:val="-3"/>
        </w:rPr>
        <w:t>为联网用户提供信息服务的系统。</w:t>
      </w:r>
      <w:r>
        <w:t xml:space="preserve"> </w:t>
      </w:r>
    </w:p>
    <w:p w14:paraId="10216A90" w14:textId="77777777" w:rsidR="00A71EEF" w:rsidRDefault="0081115D">
      <w:pPr>
        <w:pStyle w:val="4"/>
        <w:spacing w:line="276" w:lineRule="exact"/>
      </w:pPr>
      <w:r>
        <w:t xml:space="preserve">3 </w:t>
      </w:r>
      <w:r>
        <w:t>基本规定</w:t>
      </w:r>
      <w:r>
        <w:rPr>
          <w:w w:val="99"/>
        </w:rPr>
        <w:t xml:space="preserve"> </w:t>
      </w:r>
    </w:p>
    <w:p w14:paraId="6D01E0B7" w14:textId="77777777" w:rsidR="00A71EEF" w:rsidRDefault="00A71EEF">
      <w:pPr>
        <w:pStyle w:val="a3"/>
        <w:spacing w:before="5"/>
        <w:rPr>
          <w:b/>
          <w:sz w:val="17"/>
        </w:rPr>
      </w:pPr>
    </w:p>
    <w:p w14:paraId="7C16B47A" w14:textId="77777777" w:rsidR="00A71EEF" w:rsidRDefault="0081115D">
      <w:pPr>
        <w:pStyle w:val="a3"/>
        <w:ind w:left="840"/>
      </w:pPr>
      <w:r>
        <w:rPr>
          <w:b/>
        </w:rPr>
        <w:t xml:space="preserve">3.1 </w:t>
      </w:r>
      <w:r>
        <w:t>远程监控系统的设置应符合下列要求：</w:t>
      </w:r>
      <w:r>
        <w:t xml:space="preserve"> </w:t>
      </w:r>
    </w:p>
    <w:p w14:paraId="0E16B106" w14:textId="77777777" w:rsidR="00A71EEF" w:rsidRDefault="00A71EEF">
      <w:pPr>
        <w:pStyle w:val="a3"/>
        <w:spacing w:before="12"/>
        <w:rPr>
          <w:sz w:val="17"/>
        </w:rPr>
      </w:pPr>
    </w:p>
    <w:p w14:paraId="1791DAAB" w14:textId="77777777" w:rsidR="00A71EEF" w:rsidRDefault="0081115D">
      <w:pPr>
        <w:pStyle w:val="a4"/>
        <w:numPr>
          <w:ilvl w:val="0"/>
          <w:numId w:val="602"/>
        </w:numPr>
        <w:tabs>
          <w:tab w:val="left" w:pos="1367"/>
        </w:tabs>
        <w:spacing w:line="446" w:lineRule="auto"/>
        <w:ind w:right="1609" w:firstLine="419"/>
        <w:rPr>
          <w:sz w:val="21"/>
        </w:rPr>
      </w:pPr>
      <w:r>
        <w:rPr>
          <w:spacing w:val="-3"/>
          <w:sz w:val="21"/>
        </w:rPr>
        <w:t>地级及以上城市应设置一个或多个远程监控系统，单个远程监控系统的联网用户数</w:t>
      </w:r>
      <w:r>
        <w:rPr>
          <w:spacing w:val="-12"/>
          <w:sz w:val="21"/>
        </w:rPr>
        <w:t>量不宜大于</w:t>
      </w:r>
      <w:r>
        <w:rPr>
          <w:spacing w:val="-12"/>
          <w:sz w:val="21"/>
        </w:rPr>
        <w:t xml:space="preserve"> </w:t>
      </w:r>
      <w:r>
        <w:rPr>
          <w:sz w:val="21"/>
        </w:rPr>
        <w:t>5000</w:t>
      </w:r>
      <w:r>
        <w:rPr>
          <w:spacing w:val="-20"/>
          <w:sz w:val="21"/>
        </w:rPr>
        <w:t xml:space="preserve"> </w:t>
      </w:r>
      <w:r>
        <w:rPr>
          <w:spacing w:val="-20"/>
          <w:sz w:val="21"/>
        </w:rPr>
        <w:t>个。</w:t>
      </w:r>
      <w:r>
        <w:rPr>
          <w:sz w:val="21"/>
        </w:rPr>
        <w:t xml:space="preserve"> </w:t>
      </w:r>
    </w:p>
    <w:p w14:paraId="517EA165" w14:textId="77777777" w:rsidR="00A71EEF" w:rsidRDefault="0081115D">
      <w:pPr>
        <w:pStyle w:val="a4"/>
        <w:numPr>
          <w:ilvl w:val="0"/>
          <w:numId w:val="602"/>
        </w:numPr>
        <w:tabs>
          <w:tab w:val="left" w:pos="1367"/>
        </w:tabs>
        <w:spacing w:line="446" w:lineRule="auto"/>
        <w:ind w:left="840" w:right="2451" w:hanging="3"/>
        <w:rPr>
          <w:sz w:val="21"/>
        </w:rPr>
      </w:pPr>
      <w:r>
        <w:rPr>
          <w:spacing w:val="-3"/>
          <w:sz w:val="21"/>
        </w:rPr>
        <w:t>县级城市宜设置远程监控系统，或与地级及以上城市远程监控系统合用。</w:t>
      </w:r>
      <w:r>
        <w:rPr>
          <w:b/>
          <w:spacing w:val="-3"/>
          <w:sz w:val="21"/>
        </w:rPr>
        <w:t xml:space="preserve">3.2 </w:t>
      </w:r>
      <w:r>
        <w:rPr>
          <w:spacing w:val="-3"/>
          <w:sz w:val="21"/>
        </w:rPr>
        <w:t>远程监控系统的监控中心应符合下列要求：</w:t>
      </w:r>
      <w:r>
        <w:rPr>
          <w:sz w:val="21"/>
        </w:rPr>
        <w:t xml:space="preserve"> </w:t>
      </w:r>
    </w:p>
    <w:p w14:paraId="02028047" w14:textId="77777777" w:rsidR="00A71EEF" w:rsidRDefault="0081115D">
      <w:pPr>
        <w:pStyle w:val="a4"/>
        <w:numPr>
          <w:ilvl w:val="0"/>
          <w:numId w:val="601"/>
        </w:numPr>
        <w:tabs>
          <w:tab w:val="left" w:pos="1367"/>
        </w:tabs>
        <w:spacing w:line="446" w:lineRule="auto"/>
        <w:ind w:right="1714" w:firstLine="419"/>
        <w:rPr>
          <w:sz w:val="21"/>
        </w:rPr>
      </w:pPr>
      <w:r>
        <w:rPr>
          <w:spacing w:val="-3"/>
          <w:sz w:val="21"/>
        </w:rPr>
        <w:t>为城市消防通信指挥中心或其他接处警中心的火警信息终端提供确认的火灾报警信息。</w:t>
      </w:r>
      <w:r>
        <w:rPr>
          <w:sz w:val="21"/>
        </w:rPr>
        <w:t xml:space="preserve"> </w:t>
      </w:r>
    </w:p>
    <w:p w14:paraId="34FFDC71" w14:textId="77777777" w:rsidR="00A71EEF" w:rsidRDefault="0081115D">
      <w:pPr>
        <w:pStyle w:val="a4"/>
        <w:numPr>
          <w:ilvl w:val="0"/>
          <w:numId w:val="601"/>
        </w:numPr>
        <w:tabs>
          <w:tab w:val="left" w:pos="1367"/>
        </w:tabs>
        <w:spacing w:line="446" w:lineRule="auto"/>
        <w:ind w:right="1505" w:firstLine="419"/>
        <w:rPr>
          <w:sz w:val="21"/>
        </w:rPr>
      </w:pPr>
      <w:r>
        <w:rPr>
          <w:spacing w:val="-3"/>
          <w:sz w:val="21"/>
        </w:rPr>
        <w:t>为公安消防部门提供火灾报警信息、建筑消防设施运行状态信息及消防安全管理信息查询。</w:t>
      </w:r>
      <w:r>
        <w:rPr>
          <w:sz w:val="21"/>
        </w:rPr>
        <w:t xml:space="preserve"> </w:t>
      </w:r>
    </w:p>
    <w:p w14:paraId="56B89AD1" w14:textId="77777777" w:rsidR="00A71EEF" w:rsidRDefault="0081115D">
      <w:pPr>
        <w:pStyle w:val="a4"/>
        <w:numPr>
          <w:ilvl w:val="0"/>
          <w:numId w:val="601"/>
        </w:numPr>
        <w:tabs>
          <w:tab w:val="left" w:pos="1367"/>
        </w:tabs>
        <w:spacing w:line="446" w:lineRule="auto"/>
        <w:ind w:right="1505" w:firstLine="419"/>
        <w:rPr>
          <w:sz w:val="21"/>
        </w:rPr>
      </w:pPr>
      <w:r>
        <w:rPr>
          <w:spacing w:val="-3"/>
          <w:sz w:val="21"/>
        </w:rPr>
        <w:t>为联网用户提供自身的火灾报警信息、建筑消防设施运行状态信息查询和消防安全管理信息等服务。</w:t>
      </w:r>
      <w:r>
        <w:rPr>
          <w:sz w:val="21"/>
        </w:rPr>
        <w:t xml:space="preserve"> </w:t>
      </w:r>
    </w:p>
    <w:p w14:paraId="03182483" w14:textId="77777777" w:rsidR="00A71EEF" w:rsidRDefault="0081115D">
      <w:pPr>
        <w:pStyle w:val="a3"/>
        <w:ind w:left="840"/>
      </w:pPr>
      <w:r>
        <w:rPr>
          <w:b/>
        </w:rPr>
        <w:t xml:space="preserve">3.3 </w:t>
      </w:r>
      <w:r>
        <w:t>远程监控系统的联网用户应符合下列</w:t>
      </w:r>
      <w:r>
        <w:t>要求：</w:t>
      </w:r>
      <w:r>
        <w:t xml:space="preserve"> </w:t>
      </w:r>
    </w:p>
    <w:p w14:paraId="503D6E3C" w14:textId="77777777" w:rsidR="00A71EEF" w:rsidRDefault="00A71EEF">
      <w:pPr>
        <w:pStyle w:val="a3"/>
        <w:spacing w:before="10"/>
        <w:rPr>
          <w:sz w:val="17"/>
        </w:rPr>
      </w:pPr>
    </w:p>
    <w:p w14:paraId="5FBAD9ED" w14:textId="77777777" w:rsidR="00A71EEF" w:rsidRDefault="0081115D">
      <w:pPr>
        <w:pStyle w:val="a4"/>
        <w:numPr>
          <w:ilvl w:val="0"/>
          <w:numId w:val="600"/>
        </w:numPr>
        <w:tabs>
          <w:tab w:val="left" w:pos="1367"/>
        </w:tabs>
        <w:spacing w:line="446" w:lineRule="auto"/>
        <w:ind w:right="1505" w:firstLine="419"/>
        <w:rPr>
          <w:sz w:val="21"/>
        </w:rPr>
      </w:pPr>
      <w:r>
        <w:rPr>
          <w:spacing w:val="-3"/>
          <w:sz w:val="21"/>
        </w:rPr>
        <w:t>设置火灾自动报警系统的单位，应列为系统的联网用户；未设置火灾自动报警系统的单位，宜列为系统的联网用户。</w:t>
      </w:r>
      <w:r>
        <w:rPr>
          <w:sz w:val="21"/>
        </w:rPr>
        <w:t xml:space="preserve"> </w:t>
      </w:r>
    </w:p>
    <w:p w14:paraId="1E4739AF" w14:textId="77777777" w:rsidR="00A71EEF" w:rsidRDefault="0081115D">
      <w:pPr>
        <w:pStyle w:val="a4"/>
        <w:numPr>
          <w:ilvl w:val="0"/>
          <w:numId w:val="600"/>
        </w:numPr>
        <w:tabs>
          <w:tab w:val="left" w:pos="1367"/>
        </w:tabs>
        <w:ind w:left="1367"/>
        <w:rPr>
          <w:sz w:val="21"/>
        </w:rPr>
      </w:pPr>
      <w:r>
        <w:rPr>
          <w:spacing w:val="3"/>
          <w:sz w:val="21"/>
        </w:rPr>
        <w:t>联网用户应按附录</w:t>
      </w:r>
      <w:r>
        <w:rPr>
          <w:sz w:val="21"/>
        </w:rPr>
        <w:t>A</w:t>
      </w:r>
      <w:r>
        <w:rPr>
          <w:spacing w:val="-9"/>
          <w:sz w:val="21"/>
        </w:rPr>
        <w:t xml:space="preserve"> </w:t>
      </w:r>
      <w:r>
        <w:rPr>
          <w:spacing w:val="-9"/>
          <w:sz w:val="21"/>
        </w:rPr>
        <w:t>的内容将建筑消防设施运行状态信息实时发送至监控中心。</w:t>
      </w:r>
      <w:r>
        <w:rPr>
          <w:sz w:val="21"/>
        </w:rPr>
        <w:t xml:space="preserve"> </w:t>
      </w:r>
    </w:p>
    <w:p w14:paraId="2D7CA739" w14:textId="77777777" w:rsidR="00A71EEF" w:rsidRDefault="00A71EEF">
      <w:pPr>
        <w:pStyle w:val="a3"/>
        <w:rPr>
          <w:sz w:val="18"/>
        </w:rPr>
      </w:pPr>
    </w:p>
    <w:p w14:paraId="2227F579" w14:textId="77777777" w:rsidR="00A71EEF" w:rsidRDefault="0081115D">
      <w:pPr>
        <w:pStyle w:val="a4"/>
        <w:numPr>
          <w:ilvl w:val="0"/>
          <w:numId w:val="600"/>
        </w:numPr>
        <w:tabs>
          <w:tab w:val="left" w:pos="1367"/>
        </w:tabs>
        <w:spacing w:line="446" w:lineRule="auto"/>
        <w:ind w:right="1505" w:firstLine="419"/>
        <w:rPr>
          <w:sz w:val="21"/>
        </w:rPr>
      </w:pPr>
      <w:r>
        <w:rPr>
          <w:spacing w:val="3"/>
          <w:sz w:val="21"/>
        </w:rPr>
        <w:t>联网用户应按附录</w:t>
      </w:r>
      <w:r>
        <w:rPr>
          <w:sz w:val="21"/>
        </w:rPr>
        <w:t>B</w:t>
      </w:r>
      <w:r>
        <w:rPr>
          <w:spacing w:val="-6"/>
          <w:sz w:val="21"/>
        </w:rPr>
        <w:t xml:space="preserve"> </w:t>
      </w:r>
      <w:r>
        <w:rPr>
          <w:spacing w:val="-6"/>
          <w:sz w:val="21"/>
        </w:rPr>
        <w:t>的内容将消防安全管理信息发送至监控中心。其中，日常防火巡</w:t>
      </w:r>
      <w:r>
        <w:rPr>
          <w:spacing w:val="-4"/>
          <w:sz w:val="21"/>
        </w:rPr>
        <w:t>查信息和消防设施定期检查信息应在检查完毕后的当日内发送至监控中心，其他发生变化的消</w:t>
      </w:r>
      <w:r>
        <w:rPr>
          <w:spacing w:val="-8"/>
          <w:sz w:val="21"/>
        </w:rPr>
        <w:t>防安全管理信息应在</w:t>
      </w:r>
      <w:r>
        <w:rPr>
          <w:spacing w:val="-8"/>
          <w:sz w:val="21"/>
        </w:rPr>
        <w:t xml:space="preserve"> </w:t>
      </w:r>
      <w:r>
        <w:rPr>
          <w:sz w:val="21"/>
        </w:rPr>
        <w:t>3</w:t>
      </w:r>
      <w:r>
        <w:rPr>
          <w:spacing w:val="-9"/>
          <w:sz w:val="21"/>
        </w:rPr>
        <w:t xml:space="preserve"> </w:t>
      </w:r>
      <w:r>
        <w:rPr>
          <w:spacing w:val="-9"/>
          <w:sz w:val="21"/>
        </w:rPr>
        <w:t>日内发送至监控中心。</w:t>
      </w:r>
      <w:r>
        <w:rPr>
          <w:sz w:val="21"/>
        </w:rPr>
        <w:t xml:space="preserve"> </w:t>
      </w:r>
    </w:p>
    <w:p w14:paraId="7200EC89" w14:textId="77777777" w:rsidR="00A71EEF" w:rsidRDefault="0081115D">
      <w:pPr>
        <w:pStyle w:val="4"/>
        <w:spacing w:line="277" w:lineRule="exact"/>
      </w:pPr>
      <w:r>
        <w:t xml:space="preserve">4 </w:t>
      </w:r>
      <w:r>
        <w:t>系统设计</w:t>
      </w:r>
      <w:r>
        <w:rPr>
          <w:w w:val="99"/>
        </w:rPr>
        <w:t xml:space="preserve"> </w:t>
      </w:r>
    </w:p>
    <w:p w14:paraId="287F2BD9" w14:textId="77777777" w:rsidR="00A71EEF" w:rsidRDefault="00A71EEF">
      <w:pPr>
        <w:pStyle w:val="a3"/>
        <w:spacing w:before="3"/>
        <w:rPr>
          <w:b/>
          <w:sz w:val="17"/>
        </w:rPr>
      </w:pPr>
    </w:p>
    <w:p w14:paraId="31C1E2D9" w14:textId="77777777" w:rsidR="00A71EEF" w:rsidRDefault="0081115D">
      <w:pPr>
        <w:pStyle w:val="a4"/>
        <w:numPr>
          <w:ilvl w:val="1"/>
          <w:numId w:val="599"/>
        </w:numPr>
        <w:tabs>
          <w:tab w:val="left" w:pos="1159"/>
        </w:tabs>
        <w:spacing w:before="1"/>
        <w:ind w:hanging="319"/>
        <w:rPr>
          <w:sz w:val="21"/>
        </w:rPr>
      </w:pPr>
      <w:r>
        <w:rPr>
          <w:spacing w:val="-3"/>
          <w:sz w:val="21"/>
        </w:rPr>
        <w:t>一般规定</w:t>
      </w:r>
      <w:r>
        <w:rPr>
          <w:sz w:val="21"/>
        </w:rPr>
        <w:t xml:space="preserve"> </w:t>
      </w:r>
    </w:p>
    <w:p w14:paraId="76286F74" w14:textId="77777777" w:rsidR="00A71EEF" w:rsidRDefault="00A71EEF">
      <w:pPr>
        <w:rPr>
          <w:sz w:val="21"/>
        </w:rPr>
        <w:sectPr w:rsidR="00A71EEF">
          <w:pgSz w:w="11910" w:h="16850"/>
          <w:pgMar w:top="1220" w:right="0" w:bottom="1420" w:left="1260" w:header="0" w:footer="1239" w:gutter="0"/>
          <w:cols w:space="720"/>
        </w:sectPr>
      </w:pPr>
    </w:p>
    <w:p w14:paraId="0848A011" w14:textId="77777777" w:rsidR="00A71EEF" w:rsidRDefault="0081115D">
      <w:pPr>
        <w:pStyle w:val="a4"/>
        <w:numPr>
          <w:ilvl w:val="2"/>
          <w:numId w:val="599"/>
        </w:numPr>
        <w:tabs>
          <w:tab w:val="left" w:pos="1370"/>
        </w:tabs>
        <w:spacing w:before="47" w:line="446" w:lineRule="auto"/>
        <w:ind w:right="1603" w:firstLine="422"/>
        <w:rPr>
          <w:sz w:val="21"/>
        </w:rPr>
      </w:pPr>
      <w:r>
        <w:rPr>
          <w:spacing w:val="-3"/>
          <w:sz w:val="21"/>
        </w:rPr>
        <w:t>监控中心应设置在耐火等级为一、二级的建筑中，并宜设置在火灾危险性较小的部位；监控中心周围不应设置电磁场干扰较强或其他影响监控中心正常工作的设备。</w:t>
      </w:r>
      <w:r>
        <w:rPr>
          <w:sz w:val="21"/>
        </w:rPr>
        <w:t xml:space="preserve"> </w:t>
      </w:r>
    </w:p>
    <w:p w14:paraId="65316771" w14:textId="77777777" w:rsidR="00A71EEF" w:rsidRDefault="0081115D">
      <w:pPr>
        <w:pStyle w:val="a4"/>
        <w:numPr>
          <w:ilvl w:val="2"/>
          <w:numId w:val="599"/>
        </w:numPr>
        <w:tabs>
          <w:tab w:val="left" w:pos="1370"/>
        </w:tabs>
        <w:spacing w:line="446" w:lineRule="auto"/>
        <w:ind w:right="1604" w:firstLine="422"/>
        <w:rPr>
          <w:sz w:val="21"/>
        </w:rPr>
      </w:pPr>
      <w:r>
        <w:rPr>
          <w:spacing w:val="-3"/>
          <w:sz w:val="21"/>
        </w:rPr>
        <w:t>用户信息传输装置应设置在联网用户的消防控制室内。联网用户未设置消防控制室时，用户信息传输装置宜设置在有人值班的部位。</w:t>
      </w:r>
      <w:r>
        <w:rPr>
          <w:sz w:val="21"/>
        </w:rPr>
        <w:t xml:space="preserve"> </w:t>
      </w:r>
    </w:p>
    <w:p w14:paraId="335A4DE4" w14:textId="77777777" w:rsidR="00A71EEF" w:rsidRDefault="0081115D">
      <w:pPr>
        <w:pStyle w:val="a4"/>
        <w:numPr>
          <w:ilvl w:val="2"/>
          <w:numId w:val="599"/>
        </w:numPr>
        <w:tabs>
          <w:tab w:val="left" w:pos="1370"/>
        </w:tabs>
        <w:spacing w:line="446" w:lineRule="auto"/>
        <w:ind w:right="1604" w:firstLine="422"/>
        <w:rPr>
          <w:sz w:val="21"/>
        </w:rPr>
      </w:pPr>
      <w:r>
        <w:rPr>
          <w:spacing w:val="-3"/>
          <w:sz w:val="21"/>
        </w:rPr>
        <w:t>远程监控系统的联网用户容量和监控中心的通信传输信道容量、信息存储能力等，</w:t>
      </w:r>
      <w:r>
        <w:rPr>
          <w:spacing w:val="-3"/>
          <w:sz w:val="21"/>
        </w:rPr>
        <w:t xml:space="preserve"> </w:t>
      </w:r>
      <w:r>
        <w:rPr>
          <w:spacing w:val="-3"/>
          <w:sz w:val="21"/>
        </w:rPr>
        <w:t>应留有一定的余量。</w:t>
      </w:r>
      <w:r>
        <w:rPr>
          <w:sz w:val="21"/>
        </w:rPr>
        <w:t xml:space="preserve"> </w:t>
      </w:r>
    </w:p>
    <w:p w14:paraId="2A6AF6A0" w14:textId="77777777" w:rsidR="00A71EEF" w:rsidRDefault="0081115D">
      <w:pPr>
        <w:pStyle w:val="a4"/>
        <w:numPr>
          <w:ilvl w:val="2"/>
          <w:numId w:val="599"/>
        </w:numPr>
        <w:tabs>
          <w:tab w:val="left" w:pos="1370"/>
        </w:tabs>
        <w:spacing w:line="446" w:lineRule="auto"/>
        <w:ind w:right="1604" w:firstLine="422"/>
        <w:rPr>
          <w:sz w:val="21"/>
        </w:rPr>
      </w:pPr>
      <w:r>
        <w:rPr>
          <w:spacing w:val="-3"/>
          <w:sz w:val="21"/>
        </w:rPr>
        <w:t>远程监控系统使用的设备、材料及配件应选用符合国家有关标准和市场准入制度的产品。</w:t>
      </w:r>
      <w:r>
        <w:rPr>
          <w:sz w:val="21"/>
        </w:rPr>
        <w:t xml:space="preserve"> </w:t>
      </w:r>
    </w:p>
    <w:p w14:paraId="648426F3" w14:textId="77777777" w:rsidR="00A71EEF" w:rsidRDefault="0081115D">
      <w:pPr>
        <w:pStyle w:val="a4"/>
        <w:numPr>
          <w:ilvl w:val="2"/>
          <w:numId w:val="599"/>
        </w:numPr>
        <w:tabs>
          <w:tab w:val="left" w:pos="1370"/>
        </w:tabs>
        <w:spacing w:line="267" w:lineRule="exact"/>
        <w:ind w:left="1369" w:hanging="530"/>
        <w:rPr>
          <w:sz w:val="21"/>
        </w:rPr>
      </w:pPr>
      <w:r>
        <w:rPr>
          <w:spacing w:val="-3"/>
          <w:sz w:val="21"/>
        </w:rPr>
        <w:t>远程监控系统的通信协议和数据格式等应符合国家的有关标准要求。</w:t>
      </w:r>
      <w:r>
        <w:rPr>
          <w:spacing w:val="-3"/>
          <w:sz w:val="21"/>
        </w:rPr>
        <w:t xml:space="preserve"> </w:t>
      </w:r>
    </w:p>
    <w:p w14:paraId="3CD7156A" w14:textId="77777777" w:rsidR="00A71EEF" w:rsidRDefault="00A71EEF">
      <w:pPr>
        <w:pStyle w:val="a3"/>
        <w:rPr>
          <w:sz w:val="18"/>
        </w:rPr>
      </w:pPr>
    </w:p>
    <w:p w14:paraId="225D54E2" w14:textId="77777777" w:rsidR="00A71EEF" w:rsidRDefault="0081115D">
      <w:pPr>
        <w:pStyle w:val="a4"/>
        <w:numPr>
          <w:ilvl w:val="1"/>
          <w:numId w:val="599"/>
        </w:numPr>
        <w:tabs>
          <w:tab w:val="left" w:pos="1159"/>
        </w:tabs>
        <w:ind w:hanging="319"/>
        <w:rPr>
          <w:sz w:val="21"/>
        </w:rPr>
      </w:pPr>
      <w:r>
        <w:rPr>
          <w:spacing w:val="-3"/>
          <w:sz w:val="21"/>
        </w:rPr>
        <w:t>系统功能和性能要求</w:t>
      </w:r>
      <w:r>
        <w:rPr>
          <w:sz w:val="21"/>
        </w:rPr>
        <w:t xml:space="preserve"> </w:t>
      </w:r>
    </w:p>
    <w:p w14:paraId="718E1F9D" w14:textId="77777777" w:rsidR="00A71EEF" w:rsidRDefault="00A71EEF">
      <w:pPr>
        <w:pStyle w:val="a3"/>
        <w:spacing w:before="12"/>
        <w:rPr>
          <w:sz w:val="17"/>
        </w:rPr>
      </w:pPr>
    </w:p>
    <w:p w14:paraId="745FCF1B" w14:textId="77777777" w:rsidR="00A71EEF" w:rsidRDefault="0081115D">
      <w:pPr>
        <w:pStyle w:val="a4"/>
        <w:numPr>
          <w:ilvl w:val="2"/>
          <w:numId w:val="599"/>
        </w:numPr>
        <w:tabs>
          <w:tab w:val="left" w:pos="1370"/>
        </w:tabs>
        <w:ind w:left="1369" w:hanging="530"/>
        <w:rPr>
          <w:sz w:val="21"/>
        </w:rPr>
      </w:pPr>
      <w:r>
        <w:rPr>
          <w:spacing w:val="-3"/>
          <w:sz w:val="21"/>
        </w:rPr>
        <w:t>远程监控系统应具有下列功能：</w:t>
      </w:r>
      <w:r>
        <w:rPr>
          <w:sz w:val="21"/>
        </w:rPr>
        <w:t xml:space="preserve"> </w:t>
      </w:r>
    </w:p>
    <w:p w14:paraId="1A992F6E" w14:textId="77777777" w:rsidR="00A71EEF" w:rsidRDefault="00A71EEF">
      <w:pPr>
        <w:pStyle w:val="a3"/>
        <w:rPr>
          <w:sz w:val="18"/>
        </w:rPr>
      </w:pPr>
    </w:p>
    <w:p w14:paraId="01BD42BE" w14:textId="77777777" w:rsidR="00A71EEF" w:rsidRDefault="0081115D">
      <w:pPr>
        <w:pStyle w:val="a4"/>
        <w:numPr>
          <w:ilvl w:val="0"/>
          <w:numId w:val="598"/>
        </w:numPr>
        <w:tabs>
          <w:tab w:val="left" w:pos="1367"/>
        </w:tabs>
        <w:spacing w:line="446" w:lineRule="auto"/>
        <w:ind w:right="1505" w:firstLine="419"/>
        <w:rPr>
          <w:sz w:val="21"/>
        </w:rPr>
      </w:pPr>
      <w:r>
        <w:rPr>
          <w:spacing w:val="-3"/>
          <w:sz w:val="21"/>
        </w:rPr>
        <w:t>接收联网用户的火灾报警信息，向城市消防通信指挥中心或其他接处警中心传送经确认的火灾报警信息。</w:t>
      </w:r>
      <w:r>
        <w:rPr>
          <w:sz w:val="21"/>
        </w:rPr>
        <w:t xml:space="preserve"> </w:t>
      </w:r>
    </w:p>
    <w:p w14:paraId="54B613D7" w14:textId="77777777" w:rsidR="00A71EEF" w:rsidRDefault="0081115D">
      <w:pPr>
        <w:pStyle w:val="a4"/>
        <w:numPr>
          <w:ilvl w:val="0"/>
          <w:numId w:val="598"/>
        </w:numPr>
        <w:tabs>
          <w:tab w:val="left" w:pos="1367"/>
        </w:tabs>
        <w:ind w:left="1367"/>
        <w:rPr>
          <w:sz w:val="21"/>
        </w:rPr>
      </w:pPr>
      <w:r>
        <w:rPr>
          <w:spacing w:val="-3"/>
          <w:sz w:val="21"/>
        </w:rPr>
        <w:t>接收联网用户发送的建筑消防设施运行状态信息。</w:t>
      </w:r>
      <w:r>
        <w:rPr>
          <w:sz w:val="21"/>
        </w:rPr>
        <w:t xml:space="preserve"> </w:t>
      </w:r>
    </w:p>
    <w:p w14:paraId="68240E60" w14:textId="77777777" w:rsidR="00A71EEF" w:rsidRDefault="00A71EEF">
      <w:pPr>
        <w:pStyle w:val="a3"/>
        <w:spacing w:before="12"/>
        <w:rPr>
          <w:sz w:val="17"/>
        </w:rPr>
      </w:pPr>
    </w:p>
    <w:p w14:paraId="4A485F9A" w14:textId="77777777" w:rsidR="00A71EEF" w:rsidRDefault="0081115D">
      <w:pPr>
        <w:pStyle w:val="a4"/>
        <w:numPr>
          <w:ilvl w:val="0"/>
          <w:numId w:val="598"/>
        </w:numPr>
        <w:tabs>
          <w:tab w:val="left" w:pos="1367"/>
        </w:tabs>
        <w:spacing w:line="446" w:lineRule="auto"/>
        <w:ind w:right="1505" w:firstLine="419"/>
        <w:rPr>
          <w:sz w:val="21"/>
        </w:rPr>
      </w:pPr>
      <w:r>
        <w:rPr>
          <w:spacing w:val="-3"/>
          <w:sz w:val="21"/>
        </w:rPr>
        <w:t>为公安消防部门提供查询联网用户的火灾报警信息、建筑消防设施运行状态信息及消防安全管理信息。</w:t>
      </w:r>
      <w:r>
        <w:rPr>
          <w:sz w:val="21"/>
        </w:rPr>
        <w:t xml:space="preserve"> </w:t>
      </w:r>
    </w:p>
    <w:p w14:paraId="558871E8" w14:textId="77777777" w:rsidR="00A71EEF" w:rsidRDefault="0081115D">
      <w:pPr>
        <w:pStyle w:val="a4"/>
        <w:numPr>
          <w:ilvl w:val="0"/>
          <w:numId w:val="598"/>
        </w:numPr>
        <w:tabs>
          <w:tab w:val="left" w:pos="1367"/>
        </w:tabs>
        <w:spacing w:line="446" w:lineRule="auto"/>
        <w:ind w:right="1505" w:firstLine="419"/>
        <w:rPr>
          <w:sz w:val="21"/>
        </w:rPr>
      </w:pPr>
      <w:r>
        <w:rPr>
          <w:spacing w:val="-3"/>
          <w:sz w:val="21"/>
        </w:rPr>
        <w:t>为联网用户提供自身的火灾报警信息、建筑消防设施运行状态信息查询和消防安全管理信息。</w:t>
      </w:r>
      <w:r>
        <w:rPr>
          <w:sz w:val="21"/>
        </w:rPr>
        <w:t xml:space="preserve"> </w:t>
      </w:r>
    </w:p>
    <w:p w14:paraId="6E86BEC0" w14:textId="77777777" w:rsidR="00A71EEF" w:rsidRDefault="0081115D">
      <w:pPr>
        <w:pStyle w:val="a4"/>
        <w:numPr>
          <w:ilvl w:val="0"/>
          <w:numId w:val="598"/>
        </w:numPr>
        <w:tabs>
          <w:tab w:val="left" w:pos="1367"/>
        </w:tabs>
        <w:spacing w:line="446" w:lineRule="auto"/>
        <w:ind w:left="840" w:right="1611" w:hanging="3"/>
        <w:rPr>
          <w:sz w:val="21"/>
        </w:rPr>
      </w:pPr>
      <w:r>
        <w:rPr>
          <w:spacing w:val="-3"/>
          <w:sz w:val="21"/>
        </w:rPr>
        <w:t>对联网用户发送的建筑消防设施运行状态和消防安全管理信息进行数据实时更新。</w:t>
      </w:r>
      <w:r>
        <w:rPr>
          <w:b/>
          <w:sz w:val="21"/>
        </w:rPr>
        <w:t xml:space="preserve">4.2.2 </w:t>
      </w:r>
      <w:r>
        <w:rPr>
          <w:spacing w:val="-3"/>
          <w:sz w:val="21"/>
        </w:rPr>
        <w:t>远程监控系统的性能指标应符合下列要求：</w:t>
      </w:r>
      <w:r>
        <w:rPr>
          <w:sz w:val="21"/>
        </w:rPr>
        <w:t xml:space="preserve"> </w:t>
      </w:r>
    </w:p>
    <w:p w14:paraId="4250B40D" w14:textId="77777777" w:rsidR="00A71EEF" w:rsidRDefault="0081115D">
      <w:pPr>
        <w:pStyle w:val="a4"/>
        <w:numPr>
          <w:ilvl w:val="0"/>
          <w:numId w:val="597"/>
        </w:numPr>
        <w:tabs>
          <w:tab w:val="left" w:pos="1367"/>
        </w:tabs>
        <w:spacing w:line="267" w:lineRule="exact"/>
        <w:rPr>
          <w:sz w:val="21"/>
        </w:rPr>
      </w:pPr>
      <w:r>
        <w:rPr>
          <w:spacing w:val="-6"/>
          <w:sz w:val="21"/>
        </w:rPr>
        <w:t>监控中心应能同时接收和处理不少于</w:t>
      </w:r>
      <w:r>
        <w:rPr>
          <w:spacing w:val="-6"/>
          <w:sz w:val="21"/>
        </w:rPr>
        <w:t xml:space="preserve"> </w:t>
      </w:r>
      <w:r>
        <w:rPr>
          <w:sz w:val="21"/>
        </w:rPr>
        <w:t>3</w:t>
      </w:r>
      <w:r>
        <w:rPr>
          <w:spacing w:val="-8"/>
          <w:sz w:val="21"/>
        </w:rPr>
        <w:t xml:space="preserve"> </w:t>
      </w:r>
      <w:r>
        <w:rPr>
          <w:spacing w:val="-8"/>
          <w:sz w:val="21"/>
        </w:rPr>
        <w:t>个联网用户的火灾报警信息。</w:t>
      </w:r>
      <w:r>
        <w:rPr>
          <w:spacing w:val="-8"/>
          <w:sz w:val="21"/>
        </w:rPr>
        <w:t xml:space="preserve"> </w:t>
      </w:r>
    </w:p>
    <w:p w14:paraId="2D182A92" w14:textId="77777777" w:rsidR="00A71EEF" w:rsidRDefault="00A71EEF">
      <w:pPr>
        <w:pStyle w:val="a3"/>
        <w:spacing w:before="2"/>
        <w:rPr>
          <w:sz w:val="18"/>
        </w:rPr>
      </w:pPr>
    </w:p>
    <w:p w14:paraId="1325E055" w14:textId="77777777" w:rsidR="00A71EEF" w:rsidRDefault="0081115D">
      <w:pPr>
        <w:pStyle w:val="a4"/>
        <w:numPr>
          <w:ilvl w:val="0"/>
          <w:numId w:val="597"/>
        </w:numPr>
        <w:tabs>
          <w:tab w:val="left" w:pos="1367"/>
        </w:tabs>
        <w:rPr>
          <w:sz w:val="21"/>
        </w:rPr>
      </w:pPr>
      <w:r>
        <w:rPr>
          <w:spacing w:val="-3"/>
          <w:sz w:val="21"/>
        </w:rPr>
        <w:t>从用户信息传输装置获取火灾报警信息到监控中心接收显示的响应时间不应大于</w:t>
      </w:r>
    </w:p>
    <w:p w14:paraId="2F1BE6AF" w14:textId="77777777" w:rsidR="00A71EEF" w:rsidRDefault="00A71EEF">
      <w:pPr>
        <w:pStyle w:val="a3"/>
        <w:spacing w:before="12"/>
        <w:rPr>
          <w:sz w:val="17"/>
        </w:rPr>
      </w:pPr>
    </w:p>
    <w:p w14:paraId="5C6D9E31" w14:textId="77777777" w:rsidR="00A71EEF" w:rsidRDefault="0081115D">
      <w:pPr>
        <w:pStyle w:val="a3"/>
        <w:ind w:left="418"/>
      </w:pPr>
      <w:r>
        <w:t>20s</w:t>
      </w:r>
      <w:r>
        <w:t>。</w:t>
      </w:r>
      <w:r>
        <w:t xml:space="preserve"> </w:t>
      </w:r>
    </w:p>
    <w:p w14:paraId="745A96BD" w14:textId="77777777" w:rsidR="00A71EEF" w:rsidRDefault="00A71EEF">
      <w:pPr>
        <w:pStyle w:val="a3"/>
        <w:rPr>
          <w:sz w:val="18"/>
        </w:rPr>
      </w:pPr>
    </w:p>
    <w:p w14:paraId="5255C1CD" w14:textId="77777777" w:rsidR="00A71EEF" w:rsidRDefault="0081115D">
      <w:pPr>
        <w:pStyle w:val="a4"/>
        <w:numPr>
          <w:ilvl w:val="0"/>
          <w:numId w:val="597"/>
        </w:numPr>
        <w:tabs>
          <w:tab w:val="left" w:pos="1367"/>
        </w:tabs>
        <w:spacing w:line="446" w:lineRule="auto"/>
        <w:ind w:left="418" w:right="1505" w:firstLine="419"/>
        <w:rPr>
          <w:sz w:val="21"/>
        </w:rPr>
      </w:pPr>
      <w:r>
        <w:rPr>
          <w:spacing w:val="-3"/>
          <w:sz w:val="21"/>
        </w:rPr>
        <w:t>监控中心向城市消防通信指挥中心或其他接处警中心转发经确认的火灾报警信息的时</w:t>
      </w:r>
      <w:r>
        <w:rPr>
          <w:spacing w:val="-12"/>
          <w:sz w:val="21"/>
        </w:rPr>
        <w:t>间不应大于</w:t>
      </w:r>
      <w:r>
        <w:rPr>
          <w:spacing w:val="-12"/>
          <w:sz w:val="21"/>
        </w:rPr>
        <w:t xml:space="preserve"> </w:t>
      </w:r>
      <w:r>
        <w:rPr>
          <w:sz w:val="21"/>
        </w:rPr>
        <w:t>3s</w:t>
      </w:r>
      <w:r>
        <w:rPr>
          <w:spacing w:val="-3"/>
          <w:sz w:val="21"/>
        </w:rPr>
        <w:t>。</w:t>
      </w:r>
      <w:r>
        <w:rPr>
          <w:sz w:val="21"/>
        </w:rPr>
        <w:t xml:space="preserve"> </w:t>
      </w:r>
    </w:p>
    <w:p w14:paraId="3EF8BA1A" w14:textId="77777777" w:rsidR="00A71EEF" w:rsidRDefault="0081115D">
      <w:pPr>
        <w:pStyle w:val="a4"/>
        <w:numPr>
          <w:ilvl w:val="0"/>
          <w:numId w:val="597"/>
        </w:numPr>
        <w:tabs>
          <w:tab w:val="left" w:pos="1367"/>
        </w:tabs>
        <w:spacing w:line="446" w:lineRule="auto"/>
        <w:ind w:left="418" w:right="1455" w:firstLine="419"/>
        <w:rPr>
          <w:sz w:val="21"/>
        </w:rPr>
      </w:pPr>
      <w:r>
        <w:rPr>
          <w:spacing w:val="-4"/>
          <w:sz w:val="21"/>
        </w:rPr>
        <w:t>监控中心与用户信息传输装置之间通信巡检周期不应大于</w:t>
      </w:r>
      <w:r>
        <w:rPr>
          <w:spacing w:val="-4"/>
          <w:sz w:val="21"/>
        </w:rPr>
        <w:t xml:space="preserve"> </w:t>
      </w:r>
      <w:r>
        <w:rPr>
          <w:sz w:val="21"/>
        </w:rPr>
        <w:t>2h</w:t>
      </w:r>
      <w:r>
        <w:rPr>
          <w:spacing w:val="-3"/>
          <w:sz w:val="21"/>
        </w:rPr>
        <w:t>，并能动态设置巡检方式和时间。</w:t>
      </w:r>
      <w:r>
        <w:rPr>
          <w:sz w:val="21"/>
        </w:rPr>
        <w:t xml:space="preserve"> </w:t>
      </w:r>
    </w:p>
    <w:p w14:paraId="67084F1C" w14:textId="77777777" w:rsidR="00A71EEF" w:rsidRDefault="00A71EEF">
      <w:pPr>
        <w:spacing w:line="446" w:lineRule="auto"/>
        <w:rPr>
          <w:sz w:val="21"/>
        </w:rPr>
        <w:sectPr w:rsidR="00A71EEF">
          <w:pgSz w:w="11910" w:h="16850"/>
          <w:pgMar w:top="1220" w:right="0" w:bottom="1420" w:left="1260" w:header="0" w:footer="1239" w:gutter="0"/>
          <w:cols w:space="720"/>
        </w:sectPr>
      </w:pPr>
    </w:p>
    <w:p w14:paraId="44CFD2F1" w14:textId="77777777" w:rsidR="00A71EEF" w:rsidRDefault="0081115D">
      <w:pPr>
        <w:pStyle w:val="a4"/>
        <w:numPr>
          <w:ilvl w:val="0"/>
          <w:numId w:val="597"/>
        </w:numPr>
        <w:tabs>
          <w:tab w:val="left" w:pos="1367"/>
        </w:tabs>
        <w:spacing w:before="47" w:line="446" w:lineRule="auto"/>
        <w:ind w:left="418" w:right="1505" w:firstLine="419"/>
        <w:rPr>
          <w:sz w:val="21"/>
        </w:rPr>
      </w:pPr>
      <w:r>
        <w:rPr>
          <w:spacing w:val="-3"/>
          <w:sz w:val="21"/>
        </w:rPr>
        <w:t>监控中心的火灾报警信息、建筑消防设施运行状态信息等记录应备份，其保存周期不</w:t>
      </w:r>
      <w:r>
        <w:rPr>
          <w:spacing w:val="-15"/>
          <w:sz w:val="21"/>
        </w:rPr>
        <w:t>应小于</w:t>
      </w:r>
      <w:r>
        <w:rPr>
          <w:spacing w:val="-15"/>
          <w:sz w:val="21"/>
        </w:rPr>
        <w:t xml:space="preserve"> </w:t>
      </w:r>
      <w:r>
        <w:rPr>
          <w:sz w:val="21"/>
        </w:rPr>
        <w:t>1</w:t>
      </w:r>
      <w:r>
        <w:rPr>
          <w:spacing w:val="-9"/>
          <w:sz w:val="21"/>
        </w:rPr>
        <w:t xml:space="preserve"> </w:t>
      </w:r>
      <w:r>
        <w:rPr>
          <w:spacing w:val="-9"/>
          <w:sz w:val="21"/>
        </w:rPr>
        <w:t>年。当按年度进行统计处理时，应保存至光盘、磁带等存储介质中。</w:t>
      </w:r>
      <w:r>
        <w:rPr>
          <w:spacing w:val="-9"/>
          <w:sz w:val="21"/>
        </w:rPr>
        <w:t xml:space="preserve"> </w:t>
      </w:r>
    </w:p>
    <w:p w14:paraId="73DC455C" w14:textId="77777777" w:rsidR="00A71EEF" w:rsidRDefault="0081115D">
      <w:pPr>
        <w:pStyle w:val="a4"/>
        <w:numPr>
          <w:ilvl w:val="0"/>
          <w:numId w:val="597"/>
        </w:numPr>
        <w:tabs>
          <w:tab w:val="left" w:pos="1367"/>
        </w:tabs>
        <w:spacing w:line="267" w:lineRule="exact"/>
        <w:rPr>
          <w:sz w:val="21"/>
        </w:rPr>
      </w:pPr>
      <w:r>
        <w:rPr>
          <w:spacing w:val="-7"/>
          <w:sz w:val="21"/>
        </w:rPr>
        <w:t>录音文件的保存周期不应少于</w:t>
      </w:r>
      <w:r>
        <w:rPr>
          <w:spacing w:val="-7"/>
          <w:sz w:val="21"/>
        </w:rPr>
        <w:t xml:space="preserve"> </w:t>
      </w:r>
      <w:r>
        <w:rPr>
          <w:sz w:val="21"/>
        </w:rPr>
        <w:t>6</w:t>
      </w:r>
      <w:r>
        <w:rPr>
          <w:spacing w:val="-16"/>
          <w:sz w:val="21"/>
        </w:rPr>
        <w:t xml:space="preserve"> </w:t>
      </w:r>
      <w:r>
        <w:rPr>
          <w:spacing w:val="-16"/>
          <w:sz w:val="21"/>
        </w:rPr>
        <w:t>个月。</w:t>
      </w:r>
      <w:r>
        <w:rPr>
          <w:sz w:val="21"/>
        </w:rPr>
        <w:t xml:space="preserve"> </w:t>
      </w:r>
    </w:p>
    <w:p w14:paraId="645DC425" w14:textId="77777777" w:rsidR="00A71EEF" w:rsidRDefault="00A71EEF">
      <w:pPr>
        <w:pStyle w:val="a3"/>
        <w:spacing w:before="2"/>
        <w:rPr>
          <w:sz w:val="18"/>
        </w:rPr>
      </w:pPr>
    </w:p>
    <w:p w14:paraId="7C3AA4AB" w14:textId="77777777" w:rsidR="00A71EEF" w:rsidRDefault="0081115D">
      <w:pPr>
        <w:pStyle w:val="a4"/>
        <w:numPr>
          <w:ilvl w:val="0"/>
          <w:numId w:val="597"/>
        </w:numPr>
        <w:tabs>
          <w:tab w:val="left" w:pos="1367"/>
        </w:tabs>
        <w:spacing w:line="446" w:lineRule="auto"/>
        <w:ind w:left="418" w:right="3661" w:firstLine="419"/>
        <w:rPr>
          <w:b/>
          <w:sz w:val="21"/>
        </w:rPr>
      </w:pPr>
      <w:r>
        <w:rPr>
          <w:spacing w:val="-5"/>
          <w:sz w:val="21"/>
        </w:rPr>
        <w:t>远程监控系统应有统一的时钟管理，累计误差不应大于</w:t>
      </w:r>
      <w:r>
        <w:rPr>
          <w:spacing w:val="-5"/>
          <w:sz w:val="21"/>
        </w:rPr>
        <w:t xml:space="preserve"> </w:t>
      </w:r>
      <w:r>
        <w:rPr>
          <w:sz w:val="21"/>
        </w:rPr>
        <w:t>5s</w:t>
      </w:r>
      <w:r>
        <w:rPr>
          <w:spacing w:val="-3"/>
          <w:sz w:val="21"/>
        </w:rPr>
        <w:t>。</w:t>
      </w:r>
      <w:r>
        <w:rPr>
          <w:b/>
          <w:sz w:val="21"/>
        </w:rPr>
        <w:t>4.3</w:t>
      </w:r>
      <w:r>
        <w:rPr>
          <w:b/>
          <w:spacing w:val="-1"/>
          <w:sz w:val="21"/>
        </w:rPr>
        <w:t xml:space="preserve"> </w:t>
      </w:r>
      <w:r>
        <w:rPr>
          <w:b/>
          <w:spacing w:val="-1"/>
          <w:sz w:val="21"/>
        </w:rPr>
        <w:t>系统构成</w:t>
      </w:r>
      <w:r>
        <w:rPr>
          <w:b/>
          <w:spacing w:val="-1"/>
          <w:w w:val="99"/>
          <w:sz w:val="21"/>
        </w:rPr>
        <w:t xml:space="preserve"> </w:t>
      </w:r>
    </w:p>
    <w:p w14:paraId="70CC1D2B" w14:textId="77777777" w:rsidR="00A71EEF" w:rsidRDefault="00A71EEF">
      <w:pPr>
        <w:pStyle w:val="a3"/>
        <w:rPr>
          <w:b/>
          <w:sz w:val="20"/>
        </w:rPr>
      </w:pPr>
    </w:p>
    <w:p w14:paraId="6187EDEF" w14:textId="77777777" w:rsidR="00A71EEF" w:rsidRDefault="00A71EEF">
      <w:pPr>
        <w:pStyle w:val="a3"/>
        <w:spacing w:before="12"/>
        <w:rPr>
          <w:b/>
          <w:sz w:val="18"/>
        </w:rPr>
      </w:pPr>
    </w:p>
    <w:p w14:paraId="36BFD8A5" w14:textId="77777777" w:rsidR="00A71EEF" w:rsidRDefault="0081115D">
      <w:pPr>
        <w:pStyle w:val="a4"/>
        <w:numPr>
          <w:ilvl w:val="2"/>
          <w:numId w:val="596"/>
        </w:numPr>
        <w:tabs>
          <w:tab w:val="left" w:pos="1370"/>
        </w:tabs>
        <w:spacing w:line="446" w:lineRule="auto"/>
        <w:ind w:right="1604" w:firstLine="422"/>
        <w:rPr>
          <w:sz w:val="21"/>
        </w:rPr>
      </w:pPr>
      <w:r>
        <w:rPr>
          <w:spacing w:val="-3"/>
          <w:sz w:val="21"/>
        </w:rPr>
        <w:t>远程监控系统应由用户信息传输装置、报警传输网络、报警受理系统、信息查询系统、用户服务系统及相关终端和接口构成（</w:t>
      </w:r>
      <w:r>
        <w:rPr>
          <w:spacing w:val="-27"/>
          <w:sz w:val="21"/>
        </w:rPr>
        <w:t>图</w:t>
      </w:r>
      <w:r>
        <w:rPr>
          <w:spacing w:val="-27"/>
          <w:sz w:val="21"/>
        </w:rPr>
        <w:t xml:space="preserve"> </w:t>
      </w:r>
      <w:r>
        <w:rPr>
          <w:sz w:val="21"/>
        </w:rPr>
        <w:t>4.3.1</w:t>
      </w:r>
      <w:r>
        <w:rPr>
          <w:sz w:val="21"/>
        </w:rPr>
        <w:t>）</w:t>
      </w:r>
      <w:r>
        <w:rPr>
          <w:spacing w:val="-3"/>
          <w:sz w:val="21"/>
        </w:rPr>
        <w:t>。</w:t>
      </w:r>
      <w:r>
        <w:rPr>
          <w:sz w:val="21"/>
        </w:rPr>
        <w:t xml:space="preserve"> </w:t>
      </w:r>
    </w:p>
    <w:p w14:paraId="78E6FE37" w14:textId="77777777" w:rsidR="00A71EEF" w:rsidRDefault="0081115D">
      <w:pPr>
        <w:pStyle w:val="6"/>
        <w:spacing w:line="267" w:lineRule="exact"/>
        <w:ind w:left="3310"/>
        <w:rPr>
          <w:b w:val="0"/>
        </w:rPr>
      </w:pPr>
      <w:r>
        <w:t>图</w:t>
      </w:r>
      <w:r>
        <w:t xml:space="preserve"> 4.3.1 </w:t>
      </w:r>
      <w:r>
        <w:t>城市消防远程监控系统构成</w:t>
      </w:r>
      <w:r>
        <w:rPr>
          <w:b w:val="0"/>
        </w:rPr>
        <w:t xml:space="preserve"> </w:t>
      </w:r>
    </w:p>
    <w:p w14:paraId="50B380BC" w14:textId="77777777" w:rsidR="00A71EEF" w:rsidRDefault="00A71EEF">
      <w:pPr>
        <w:pStyle w:val="a3"/>
        <w:rPr>
          <w:sz w:val="20"/>
        </w:rPr>
      </w:pPr>
    </w:p>
    <w:p w14:paraId="115E96C6" w14:textId="77777777" w:rsidR="00A71EEF" w:rsidRDefault="0081115D">
      <w:pPr>
        <w:pStyle w:val="a3"/>
        <w:spacing w:before="9"/>
        <w:rPr>
          <w:sz w:val="11"/>
        </w:rPr>
      </w:pPr>
      <w:r>
        <w:rPr>
          <w:noProof/>
        </w:rPr>
        <w:drawing>
          <wp:anchor distT="0" distB="0" distL="0" distR="0" simplePos="0" relativeHeight="251587072" behindDoc="0" locked="0" layoutInCell="1" allowOverlap="1" wp14:anchorId="237772F1" wp14:editId="3881515B">
            <wp:simplePos x="0" y="0"/>
            <wp:positionH relativeFrom="page">
              <wp:posOffset>1170305</wp:posOffset>
            </wp:positionH>
            <wp:positionV relativeFrom="paragraph">
              <wp:posOffset>120404</wp:posOffset>
            </wp:positionV>
            <wp:extent cx="5212714" cy="2895600"/>
            <wp:effectExtent l="0" t="0" r="0" b="0"/>
            <wp:wrapTopAndBottom/>
            <wp:docPr id="333" name="image2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203.jpeg"/>
                    <pic:cNvPicPr/>
                  </pic:nvPicPr>
                  <pic:blipFill>
                    <a:blip r:embed="rId241" cstate="print"/>
                    <a:stretch>
                      <a:fillRect/>
                    </a:stretch>
                  </pic:blipFill>
                  <pic:spPr>
                    <a:xfrm>
                      <a:off x="0" y="0"/>
                      <a:ext cx="5212714" cy="2895600"/>
                    </a:xfrm>
                    <a:prstGeom prst="rect">
                      <a:avLst/>
                    </a:prstGeom>
                  </pic:spPr>
                </pic:pic>
              </a:graphicData>
            </a:graphic>
          </wp:anchor>
        </w:drawing>
      </w:r>
    </w:p>
    <w:p w14:paraId="74CAE1AC" w14:textId="77777777" w:rsidR="00A71EEF" w:rsidRDefault="00A71EEF">
      <w:pPr>
        <w:pStyle w:val="a3"/>
        <w:spacing w:before="7"/>
        <w:rPr>
          <w:sz w:val="17"/>
        </w:rPr>
      </w:pPr>
    </w:p>
    <w:p w14:paraId="26408915" w14:textId="77777777" w:rsidR="00A71EEF" w:rsidRDefault="0081115D">
      <w:pPr>
        <w:pStyle w:val="a4"/>
        <w:numPr>
          <w:ilvl w:val="2"/>
          <w:numId w:val="596"/>
        </w:numPr>
        <w:tabs>
          <w:tab w:val="left" w:pos="1371"/>
        </w:tabs>
        <w:ind w:left="1370" w:hanging="531"/>
        <w:rPr>
          <w:sz w:val="21"/>
        </w:rPr>
      </w:pPr>
      <w:r>
        <w:rPr>
          <w:spacing w:val="-3"/>
          <w:sz w:val="21"/>
        </w:rPr>
        <w:t>报警受理系统、信息查询系统、用户服务系统应设置在监控中心。</w:t>
      </w:r>
      <w:r>
        <w:rPr>
          <w:sz w:val="21"/>
        </w:rPr>
        <w:t xml:space="preserve"> </w:t>
      </w:r>
    </w:p>
    <w:p w14:paraId="14D7BF60" w14:textId="77777777" w:rsidR="00A71EEF" w:rsidRDefault="00A71EEF">
      <w:pPr>
        <w:pStyle w:val="a3"/>
        <w:spacing w:before="12"/>
        <w:rPr>
          <w:sz w:val="17"/>
        </w:rPr>
      </w:pPr>
    </w:p>
    <w:p w14:paraId="33D58A10" w14:textId="77777777" w:rsidR="00A71EEF" w:rsidRDefault="0081115D">
      <w:pPr>
        <w:pStyle w:val="a4"/>
        <w:numPr>
          <w:ilvl w:val="1"/>
          <w:numId w:val="595"/>
        </w:numPr>
        <w:tabs>
          <w:tab w:val="left" w:pos="1159"/>
        </w:tabs>
        <w:ind w:hanging="319"/>
        <w:rPr>
          <w:sz w:val="21"/>
        </w:rPr>
      </w:pPr>
      <w:r>
        <w:rPr>
          <w:spacing w:val="-3"/>
          <w:sz w:val="21"/>
        </w:rPr>
        <w:t>报警传输网络</w:t>
      </w:r>
      <w:r>
        <w:rPr>
          <w:sz w:val="21"/>
        </w:rPr>
        <w:t xml:space="preserve"> </w:t>
      </w:r>
    </w:p>
    <w:p w14:paraId="221E4688" w14:textId="77777777" w:rsidR="00A71EEF" w:rsidRDefault="00A71EEF">
      <w:pPr>
        <w:pStyle w:val="a3"/>
        <w:rPr>
          <w:sz w:val="18"/>
        </w:rPr>
      </w:pPr>
    </w:p>
    <w:p w14:paraId="7E848427" w14:textId="77777777" w:rsidR="00A71EEF" w:rsidRDefault="0081115D">
      <w:pPr>
        <w:pStyle w:val="a4"/>
        <w:numPr>
          <w:ilvl w:val="2"/>
          <w:numId w:val="595"/>
        </w:numPr>
        <w:tabs>
          <w:tab w:val="left" w:pos="1370"/>
        </w:tabs>
        <w:ind w:hanging="530"/>
        <w:rPr>
          <w:sz w:val="21"/>
        </w:rPr>
      </w:pPr>
      <w:r>
        <w:rPr>
          <w:spacing w:val="-3"/>
          <w:sz w:val="21"/>
        </w:rPr>
        <w:t>信息传输可采用有线通信或无线通信方式。</w:t>
      </w:r>
      <w:r>
        <w:rPr>
          <w:sz w:val="21"/>
        </w:rPr>
        <w:t xml:space="preserve"> </w:t>
      </w:r>
    </w:p>
    <w:p w14:paraId="3CCEC793" w14:textId="77777777" w:rsidR="00A71EEF" w:rsidRDefault="00A71EEF">
      <w:pPr>
        <w:pStyle w:val="a3"/>
        <w:spacing w:before="1"/>
        <w:rPr>
          <w:sz w:val="18"/>
        </w:rPr>
      </w:pPr>
    </w:p>
    <w:p w14:paraId="63CB3289" w14:textId="77777777" w:rsidR="00A71EEF" w:rsidRDefault="0081115D">
      <w:pPr>
        <w:pStyle w:val="a4"/>
        <w:numPr>
          <w:ilvl w:val="2"/>
          <w:numId w:val="595"/>
        </w:numPr>
        <w:tabs>
          <w:tab w:val="left" w:pos="1371"/>
        </w:tabs>
        <w:spacing w:before="1"/>
        <w:ind w:left="1370" w:hanging="531"/>
        <w:rPr>
          <w:sz w:val="21"/>
        </w:rPr>
      </w:pPr>
      <w:r>
        <w:rPr>
          <w:spacing w:val="-3"/>
          <w:sz w:val="21"/>
        </w:rPr>
        <w:t>报警传输网络可采用公用通信网或专用通信网构建。</w:t>
      </w:r>
      <w:r>
        <w:rPr>
          <w:spacing w:val="-3"/>
          <w:sz w:val="21"/>
        </w:rPr>
        <w:t xml:space="preserve"> </w:t>
      </w:r>
      <w:r>
        <w:rPr>
          <w:spacing w:val="-2"/>
          <w:sz w:val="21"/>
        </w:rPr>
        <w:t xml:space="preserve"> </w:t>
      </w:r>
      <w:r>
        <w:rPr>
          <w:sz w:val="21"/>
        </w:rPr>
        <w:t xml:space="preserve"> </w:t>
      </w:r>
    </w:p>
    <w:p w14:paraId="055E8D56" w14:textId="77777777" w:rsidR="00A71EEF" w:rsidRDefault="00A71EEF">
      <w:pPr>
        <w:pStyle w:val="a3"/>
        <w:spacing w:before="12"/>
        <w:rPr>
          <w:sz w:val="17"/>
        </w:rPr>
      </w:pPr>
    </w:p>
    <w:p w14:paraId="1760CE5F" w14:textId="77777777" w:rsidR="00A71EEF" w:rsidRDefault="0081115D">
      <w:pPr>
        <w:pStyle w:val="a4"/>
        <w:numPr>
          <w:ilvl w:val="2"/>
          <w:numId w:val="595"/>
        </w:numPr>
        <w:tabs>
          <w:tab w:val="left" w:pos="1371"/>
        </w:tabs>
        <w:ind w:left="1370" w:hanging="531"/>
        <w:rPr>
          <w:sz w:val="21"/>
        </w:rPr>
      </w:pPr>
      <w:r>
        <w:rPr>
          <w:spacing w:val="-3"/>
          <w:sz w:val="21"/>
        </w:rPr>
        <w:t>远程监控系统采用有线通信方式传输时可选择下列接入方式：</w:t>
      </w:r>
      <w:r>
        <w:rPr>
          <w:sz w:val="21"/>
        </w:rPr>
        <w:t xml:space="preserve"> </w:t>
      </w:r>
    </w:p>
    <w:p w14:paraId="77D9D9D7" w14:textId="77777777" w:rsidR="00A71EEF" w:rsidRDefault="00A71EEF">
      <w:pPr>
        <w:pStyle w:val="a3"/>
        <w:spacing w:before="12"/>
        <w:rPr>
          <w:sz w:val="17"/>
        </w:rPr>
      </w:pPr>
    </w:p>
    <w:p w14:paraId="7B870A4F" w14:textId="77777777" w:rsidR="00A71EEF" w:rsidRDefault="0081115D">
      <w:pPr>
        <w:pStyle w:val="a4"/>
        <w:numPr>
          <w:ilvl w:val="0"/>
          <w:numId w:val="594"/>
        </w:numPr>
        <w:tabs>
          <w:tab w:val="left" w:pos="1367"/>
        </w:tabs>
        <w:rPr>
          <w:sz w:val="21"/>
        </w:rPr>
      </w:pPr>
      <w:r>
        <w:rPr>
          <w:spacing w:val="-3"/>
          <w:sz w:val="21"/>
        </w:rPr>
        <w:t>用户信息传输装置和报警受理系统通过电话用户线或电话中继线接入公用电话网。</w:t>
      </w:r>
      <w:r>
        <w:rPr>
          <w:sz w:val="21"/>
        </w:rPr>
        <w:t xml:space="preserve"> </w:t>
      </w:r>
    </w:p>
    <w:p w14:paraId="06A3669F" w14:textId="77777777" w:rsidR="00A71EEF" w:rsidRDefault="00A71EEF">
      <w:pPr>
        <w:pStyle w:val="a3"/>
        <w:spacing w:before="2"/>
        <w:rPr>
          <w:sz w:val="18"/>
        </w:rPr>
      </w:pPr>
    </w:p>
    <w:p w14:paraId="45A4A738" w14:textId="77777777" w:rsidR="00A71EEF" w:rsidRDefault="0081115D">
      <w:pPr>
        <w:pStyle w:val="a4"/>
        <w:numPr>
          <w:ilvl w:val="0"/>
          <w:numId w:val="594"/>
        </w:numPr>
        <w:tabs>
          <w:tab w:val="left" w:pos="1367"/>
        </w:tabs>
        <w:spacing w:before="1"/>
        <w:rPr>
          <w:sz w:val="21"/>
        </w:rPr>
      </w:pPr>
      <w:r>
        <w:rPr>
          <w:spacing w:val="-3"/>
          <w:sz w:val="21"/>
        </w:rPr>
        <w:t>用户信息传输装置和报警受理系统通过电话用户线或光纤接入公用宽带网。</w:t>
      </w:r>
      <w:r>
        <w:rPr>
          <w:sz w:val="21"/>
        </w:rPr>
        <w:t xml:space="preserve"> </w:t>
      </w:r>
    </w:p>
    <w:p w14:paraId="58AFF7CB" w14:textId="77777777" w:rsidR="00A71EEF" w:rsidRDefault="00A71EEF">
      <w:pPr>
        <w:pStyle w:val="a3"/>
        <w:spacing w:before="12"/>
        <w:rPr>
          <w:sz w:val="17"/>
        </w:rPr>
      </w:pPr>
    </w:p>
    <w:p w14:paraId="71C20886" w14:textId="77777777" w:rsidR="00A71EEF" w:rsidRDefault="0081115D">
      <w:pPr>
        <w:pStyle w:val="a4"/>
        <w:numPr>
          <w:ilvl w:val="0"/>
          <w:numId w:val="594"/>
        </w:numPr>
        <w:tabs>
          <w:tab w:val="left" w:pos="1367"/>
        </w:tabs>
        <w:rPr>
          <w:sz w:val="21"/>
        </w:rPr>
      </w:pPr>
      <w:r>
        <w:rPr>
          <w:spacing w:val="-3"/>
          <w:sz w:val="21"/>
        </w:rPr>
        <w:t>用户信息传输装置和报警受理系统通过模拟专线或数据专线接入专用通信网。</w:t>
      </w:r>
      <w:r>
        <w:rPr>
          <w:sz w:val="21"/>
        </w:rPr>
        <w:t xml:space="preserve"> </w:t>
      </w:r>
    </w:p>
    <w:p w14:paraId="3BCDFE75" w14:textId="77777777" w:rsidR="00A71EEF" w:rsidRDefault="00A71EEF">
      <w:pPr>
        <w:pStyle w:val="a3"/>
        <w:spacing w:before="12"/>
        <w:rPr>
          <w:sz w:val="17"/>
        </w:rPr>
      </w:pPr>
    </w:p>
    <w:p w14:paraId="68A7990E" w14:textId="77777777" w:rsidR="00A71EEF" w:rsidRDefault="0081115D">
      <w:pPr>
        <w:pStyle w:val="a4"/>
        <w:numPr>
          <w:ilvl w:val="2"/>
          <w:numId w:val="595"/>
        </w:numPr>
        <w:tabs>
          <w:tab w:val="left" w:pos="1424"/>
        </w:tabs>
        <w:ind w:left="1423" w:hanging="584"/>
        <w:rPr>
          <w:sz w:val="21"/>
        </w:rPr>
      </w:pPr>
      <w:r>
        <w:rPr>
          <w:spacing w:val="-3"/>
          <w:sz w:val="21"/>
        </w:rPr>
        <w:t>远程监控系统采用无线通信方式传输时可选择下列接入方式：</w:t>
      </w:r>
      <w:r>
        <w:rPr>
          <w:sz w:val="21"/>
        </w:rPr>
        <w:t xml:space="preserve"> </w:t>
      </w:r>
    </w:p>
    <w:p w14:paraId="00A7A407" w14:textId="77777777" w:rsidR="00A71EEF" w:rsidRDefault="00A71EEF">
      <w:pPr>
        <w:rPr>
          <w:sz w:val="21"/>
        </w:rPr>
        <w:sectPr w:rsidR="00A71EEF">
          <w:pgSz w:w="11910" w:h="16850"/>
          <w:pgMar w:top="1220" w:right="0" w:bottom="1420" w:left="1260" w:header="0" w:footer="1239" w:gutter="0"/>
          <w:cols w:space="720"/>
        </w:sectPr>
      </w:pPr>
    </w:p>
    <w:p w14:paraId="3A4C5046" w14:textId="77777777" w:rsidR="00A71EEF" w:rsidRDefault="0081115D">
      <w:pPr>
        <w:pStyle w:val="a4"/>
        <w:numPr>
          <w:ilvl w:val="0"/>
          <w:numId w:val="593"/>
        </w:numPr>
        <w:tabs>
          <w:tab w:val="left" w:pos="1367"/>
        </w:tabs>
        <w:spacing w:before="47"/>
        <w:rPr>
          <w:sz w:val="21"/>
        </w:rPr>
      </w:pPr>
      <w:r>
        <w:rPr>
          <w:spacing w:val="-3"/>
          <w:sz w:val="21"/>
        </w:rPr>
        <w:t>用户信息传输装置和报警受理系统通过移动通信模块接入公用移动网。</w:t>
      </w:r>
      <w:r>
        <w:rPr>
          <w:spacing w:val="-3"/>
          <w:sz w:val="21"/>
        </w:rPr>
        <w:t xml:space="preserve"> </w:t>
      </w:r>
    </w:p>
    <w:p w14:paraId="1CB05BF5" w14:textId="77777777" w:rsidR="00A71EEF" w:rsidRDefault="00A71EEF">
      <w:pPr>
        <w:pStyle w:val="a3"/>
        <w:rPr>
          <w:sz w:val="18"/>
        </w:rPr>
      </w:pPr>
    </w:p>
    <w:p w14:paraId="34C492BB" w14:textId="77777777" w:rsidR="00A71EEF" w:rsidRDefault="0081115D">
      <w:pPr>
        <w:pStyle w:val="a4"/>
        <w:numPr>
          <w:ilvl w:val="0"/>
          <w:numId w:val="593"/>
        </w:numPr>
        <w:tabs>
          <w:tab w:val="left" w:pos="1367"/>
        </w:tabs>
        <w:rPr>
          <w:sz w:val="21"/>
        </w:rPr>
      </w:pPr>
      <w:r>
        <w:rPr>
          <w:spacing w:val="-3"/>
          <w:sz w:val="21"/>
        </w:rPr>
        <w:t>用户信息传输装置和报警受理系统通过无线电收发设备接入无线专用通信网络。</w:t>
      </w:r>
      <w:r>
        <w:rPr>
          <w:sz w:val="21"/>
        </w:rPr>
        <w:t xml:space="preserve"> </w:t>
      </w:r>
    </w:p>
    <w:p w14:paraId="743DE9C5" w14:textId="77777777" w:rsidR="00A71EEF" w:rsidRDefault="00A71EEF">
      <w:pPr>
        <w:pStyle w:val="a3"/>
        <w:rPr>
          <w:sz w:val="18"/>
        </w:rPr>
      </w:pPr>
    </w:p>
    <w:p w14:paraId="063E229B" w14:textId="77777777" w:rsidR="00A71EEF" w:rsidRDefault="0081115D">
      <w:pPr>
        <w:pStyle w:val="a4"/>
        <w:numPr>
          <w:ilvl w:val="0"/>
          <w:numId w:val="593"/>
        </w:numPr>
        <w:tabs>
          <w:tab w:val="left" w:pos="1367"/>
        </w:tabs>
        <w:spacing w:line="446" w:lineRule="auto"/>
        <w:ind w:left="418" w:right="1505" w:firstLine="419"/>
        <w:rPr>
          <w:sz w:val="21"/>
        </w:rPr>
      </w:pPr>
      <w:r>
        <w:rPr>
          <w:spacing w:val="-3"/>
          <w:sz w:val="21"/>
        </w:rPr>
        <w:t>用户信息传输装置和报警受理系统通过集群语音通路或数据通路接入无线电集群专用通信网络。</w:t>
      </w:r>
      <w:r>
        <w:rPr>
          <w:sz w:val="21"/>
        </w:rPr>
        <w:t xml:space="preserve"> </w:t>
      </w:r>
    </w:p>
    <w:p w14:paraId="18C2477D" w14:textId="77777777" w:rsidR="00A71EEF" w:rsidRDefault="0081115D">
      <w:pPr>
        <w:pStyle w:val="a4"/>
        <w:numPr>
          <w:ilvl w:val="1"/>
          <w:numId w:val="595"/>
        </w:numPr>
        <w:tabs>
          <w:tab w:val="left" w:pos="1159"/>
        </w:tabs>
        <w:ind w:hanging="319"/>
        <w:rPr>
          <w:sz w:val="21"/>
        </w:rPr>
      </w:pPr>
      <w:r>
        <w:rPr>
          <w:spacing w:val="-3"/>
          <w:sz w:val="21"/>
        </w:rPr>
        <w:t>系统连接与信息传输</w:t>
      </w:r>
      <w:r>
        <w:rPr>
          <w:sz w:val="21"/>
        </w:rPr>
        <w:t xml:space="preserve"> </w:t>
      </w:r>
    </w:p>
    <w:p w14:paraId="703D3C35" w14:textId="77777777" w:rsidR="00A71EEF" w:rsidRDefault="00A71EEF">
      <w:pPr>
        <w:pStyle w:val="a3"/>
        <w:spacing w:before="12"/>
        <w:rPr>
          <w:sz w:val="17"/>
        </w:rPr>
      </w:pPr>
    </w:p>
    <w:p w14:paraId="783BA720" w14:textId="77777777" w:rsidR="00A71EEF" w:rsidRDefault="0081115D">
      <w:pPr>
        <w:pStyle w:val="a4"/>
        <w:numPr>
          <w:ilvl w:val="2"/>
          <w:numId w:val="595"/>
        </w:numPr>
        <w:tabs>
          <w:tab w:val="left" w:pos="1424"/>
        </w:tabs>
        <w:ind w:left="1423" w:hanging="584"/>
        <w:rPr>
          <w:sz w:val="21"/>
        </w:rPr>
      </w:pPr>
      <w:r>
        <w:rPr>
          <w:spacing w:val="-3"/>
          <w:sz w:val="21"/>
        </w:rPr>
        <w:t>联网用户的火灾报警和建筑消防设施运行状态信息的传输应符合下列要求：</w:t>
      </w:r>
      <w:r>
        <w:rPr>
          <w:spacing w:val="-3"/>
          <w:sz w:val="21"/>
        </w:rPr>
        <w:t xml:space="preserve"> </w:t>
      </w:r>
    </w:p>
    <w:p w14:paraId="238769CB" w14:textId="77777777" w:rsidR="00A71EEF" w:rsidRDefault="00A71EEF">
      <w:pPr>
        <w:pStyle w:val="a3"/>
        <w:spacing w:before="2"/>
        <w:rPr>
          <w:sz w:val="18"/>
        </w:rPr>
      </w:pPr>
    </w:p>
    <w:p w14:paraId="1CF24B44" w14:textId="77777777" w:rsidR="00A71EEF" w:rsidRDefault="0081115D">
      <w:pPr>
        <w:pStyle w:val="a4"/>
        <w:numPr>
          <w:ilvl w:val="0"/>
          <w:numId w:val="592"/>
        </w:numPr>
        <w:tabs>
          <w:tab w:val="left" w:pos="1367"/>
        </w:tabs>
        <w:spacing w:line="446" w:lineRule="auto"/>
        <w:ind w:right="1505" w:firstLine="419"/>
        <w:rPr>
          <w:sz w:val="21"/>
        </w:rPr>
      </w:pPr>
      <w:r>
        <w:rPr>
          <w:spacing w:val="-3"/>
          <w:sz w:val="21"/>
        </w:rPr>
        <w:t>设有火灾自动报警系统的联网用户应采用火灾自动报警系统向用户信息传输装置提供火灾报警和建筑消防设施运行状态信息。</w:t>
      </w:r>
      <w:r>
        <w:rPr>
          <w:sz w:val="21"/>
        </w:rPr>
        <w:t xml:space="preserve"> </w:t>
      </w:r>
    </w:p>
    <w:p w14:paraId="163E443A" w14:textId="77777777" w:rsidR="00A71EEF" w:rsidRDefault="0081115D">
      <w:pPr>
        <w:pStyle w:val="a4"/>
        <w:numPr>
          <w:ilvl w:val="0"/>
          <w:numId w:val="592"/>
        </w:numPr>
        <w:tabs>
          <w:tab w:val="left" w:pos="1367"/>
        </w:tabs>
        <w:spacing w:line="446" w:lineRule="auto"/>
        <w:ind w:right="1505" w:firstLine="419"/>
        <w:rPr>
          <w:sz w:val="21"/>
        </w:rPr>
      </w:pPr>
      <w:r>
        <w:rPr>
          <w:spacing w:val="-3"/>
          <w:sz w:val="21"/>
        </w:rPr>
        <w:t>未设火灾自动报警系统的联网用户应采用报警按钮向用户信息传输装置提供火灾报警信息，或通过自动触发装置向用户信息传输装置提供火灾报警和建筑消防设施运行状态信息。</w:t>
      </w:r>
      <w:r>
        <w:rPr>
          <w:sz w:val="21"/>
        </w:rPr>
        <w:t xml:space="preserve"> </w:t>
      </w:r>
    </w:p>
    <w:p w14:paraId="6DCC1459" w14:textId="77777777" w:rsidR="00A71EEF" w:rsidRDefault="0081115D">
      <w:pPr>
        <w:pStyle w:val="a4"/>
        <w:numPr>
          <w:ilvl w:val="0"/>
          <w:numId w:val="592"/>
        </w:numPr>
        <w:tabs>
          <w:tab w:val="left" w:pos="1367"/>
        </w:tabs>
        <w:ind w:left="1367"/>
        <w:rPr>
          <w:sz w:val="21"/>
        </w:rPr>
      </w:pPr>
      <w:r>
        <w:rPr>
          <w:spacing w:val="-3"/>
          <w:sz w:val="21"/>
        </w:rPr>
        <w:t>用户信息传输装置与监控中心的信息传输应通过报警监控传输网络进行。</w:t>
      </w:r>
      <w:r>
        <w:rPr>
          <w:spacing w:val="-3"/>
          <w:sz w:val="21"/>
        </w:rPr>
        <w:t xml:space="preserve"> </w:t>
      </w:r>
    </w:p>
    <w:p w14:paraId="49358BC6" w14:textId="77777777" w:rsidR="00A71EEF" w:rsidRDefault="00A71EEF">
      <w:pPr>
        <w:pStyle w:val="a3"/>
        <w:spacing w:before="10"/>
        <w:rPr>
          <w:sz w:val="17"/>
        </w:rPr>
      </w:pPr>
    </w:p>
    <w:p w14:paraId="26400512" w14:textId="77777777" w:rsidR="00A71EEF" w:rsidRDefault="0081115D">
      <w:pPr>
        <w:pStyle w:val="a4"/>
        <w:numPr>
          <w:ilvl w:val="2"/>
          <w:numId w:val="595"/>
        </w:numPr>
        <w:tabs>
          <w:tab w:val="left" w:pos="1371"/>
        </w:tabs>
        <w:spacing w:line="446" w:lineRule="auto"/>
        <w:ind w:left="418" w:right="1604" w:firstLine="422"/>
        <w:rPr>
          <w:sz w:val="21"/>
        </w:rPr>
      </w:pPr>
      <w:r>
        <w:rPr>
          <w:spacing w:val="-3"/>
          <w:sz w:val="21"/>
        </w:rPr>
        <w:t>联网用户的消防安全管理信息宜通过报警监控传输网络或公用通信网与监控中心进行信息传输。</w:t>
      </w:r>
      <w:r>
        <w:rPr>
          <w:sz w:val="21"/>
        </w:rPr>
        <w:t xml:space="preserve"> </w:t>
      </w:r>
    </w:p>
    <w:p w14:paraId="010F4ABA" w14:textId="77777777" w:rsidR="00A71EEF" w:rsidRDefault="0081115D">
      <w:pPr>
        <w:pStyle w:val="a4"/>
        <w:numPr>
          <w:ilvl w:val="2"/>
          <w:numId w:val="595"/>
        </w:numPr>
        <w:tabs>
          <w:tab w:val="left" w:pos="1371"/>
        </w:tabs>
        <w:ind w:left="1370" w:hanging="531"/>
        <w:rPr>
          <w:sz w:val="21"/>
        </w:rPr>
      </w:pPr>
      <w:r>
        <w:rPr>
          <w:spacing w:val="-3"/>
          <w:sz w:val="21"/>
        </w:rPr>
        <w:t>火警信息终端应设置在城市消防通信指挥中心或其他接处警中心，并应通过专线</w:t>
      </w:r>
    </w:p>
    <w:p w14:paraId="42B2641D" w14:textId="77777777" w:rsidR="00A71EEF" w:rsidRDefault="00A71EEF">
      <w:pPr>
        <w:pStyle w:val="a3"/>
        <w:rPr>
          <w:sz w:val="18"/>
        </w:rPr>
      </w:pPr>
    </w:p>
    <w:p w14:paraId="50B77C42" w14:textId="77777777" w:rsidR="00A71EEF" w:rsidRDefault="0081115D">
      <w:pPr>
        <w:pStyle w:val="a3"/>
        <w:ind w:left="418"/>
      </w:pPr>
      <w:r>
        <w:t>（网）与监控中心进行信息传输。</w:t>
      </w:r>
      <w:r>
        <w:t xml:space="preserve"> </w:t>
      </w:r>
    </w:p>
    <w:p w14:paraId="2A26DF79" w14:textId="77777777" w:rsidR="00A71EEF" w:rsidRDefault="00A71EEF">
      <w:pPr>
        <w:pStyle w:val="a3"/>
        <w:spacing w:before="2"/>
        <w:rPr>
          <w:sz w:val="18"/>
        </w:rPr>
      </w:pPr>
    </w:p>
    <w:p w14:paraId="3057E339" w14:textId="77777777" w:rsidR="00A71EEF" w:rsidRDefault="0081115D">
      <w:pPr>
        <w:pStyle w:val="a4"/>
        <w:numPr>
          <w:ilvl w:val="2"/>
          <w:numId w:val="595"/>
        </w:numPr>
        <w:tabs>
          <w:tab w:val="left" w:pos="1370"/>
        </w:tabs>
        <w:spacing w:line="446" w:lineRule="auto"/>
        <w:ind w:left="418" w:right="1604" w:firstLine="422"/>
        <w:rPr>
          <w:sz w:val="21"/>
        </w:rPr>
      </w:pPr>
      <w:r>
        <w:rPr>
          <w:spacing w:val="-3"/>
          <w:sz w:val="21"/>
        </w:rPr>
        <w:t>监控中心与信息查询接口、信息服务接口的火灾报警、建筑消防设施运行状态信息和消防安全管</w:t>
      </w:r>
      <w:r>
        <w:rPr>
          <w:spacing w:val="-3"/>
          <w:sz w:val="21"/>
        </w:rPr>
        <w:t>理信息传输应通过公用通信网进行。</w:t>
      </w:r>
      <w:r>
        <w:rPr>
          <w:sz w:val="21"/>
        </w:rPr>
        <w:t xml:space="preserve"> </w:t>
      </w:r>
    </w:p>
    <w:p w14:paraId="36B4D960" w14:textId="77777777" w:rsidR="00A71EEF" w:rsidRDefault="0081115D">
      <w:pPr>
        <w:pStyle w:val="a4"/>
        <w:numPr>
          <w:ilvl w:val="1"/>
          <w:numId w:val="595"/>
        </w:numPr>
        <w:tabs>
          <w:tab w:val="left" w:pos="1159"/>
        </w:tabs>
        <w:spacing w:line="267" w:lineRule="exact"/>
        <w:ind w:hanging="319"/>
        <w:rPr>
          <w:b/>
          <w:sz w:val="21"/>
        </w:rPr>
      </w:pPr>
      <w:r>
        <w:rPr>
          <w:spacing w:val="-3"/>
          <w:sz w:val="21"/>
        </w:rPr>
        <w:t>系统安全</w:t>
      </w:r>
      <w:r>
        <w:rPr>
          <w:b/>
          <w:w w:val="99"/>
          <w:sz w:val="21"/>
        </w:rPr>
        <w:t xml:space="preserve"> </w:t>
      </w:r>
    </w:p>
    <w:p w14:paraId="5303FF48" w14:textId="77777777" w:rsidR="00A71EEF" w:rsidRDefault="00A71EEF">
      <w:pPr>
        <w:pStyle w:val="a3"/>
        <w:spacing w:before="2"/>
        <w:rPr>
          <w:b/>
          <w:sz w:val="18"/>
        </w:rPr>
      </w:pPr>
    </w:p>
    <w:p w14:paraId="5B654AF7" w14:textId="77777777" w:rsidR="00A71EEF" w:rsidRDefault="0081115D">
      <w:pPr>
        <w:pStyle w:val="a4"/>
        <w:numPr>
          <w:ilvl w:val="2"/>
          <w:numId w:val="595"/>
        </w:numPr>
        <w:tabs>
          <w:tab w:val="left" w:pos="1424"/>
        </w:tabs>
        <w:ind w:left="1423" w:hanging="584"/>
        <w:rPr>
          <w:sz w:val="21"/>
        </w:rPr>
      </w:pPr>
      <w:r>
        <w:rPr>
          <w:spacing w:val="-3"/>
          <w:sz w:val="21"/>
        </w:rPr>
        <w:t>远程监控系统的网络安全应符合下列要求：</w:t>
      </w:r>
      <w:r>
        <w:rPr>
          <w:sz w:val="21"/>
        </w:rPr>
        <w:t xml:space="preserve"> </w:t>
      </w:r>
    </w:p>
    <w:p w14:paraId="57F9CF74" w14:textId="77777777" w:rsidR="00A71EEF" w:rsidRDefault="00A71EEF">
      <w:pPr>
        <w:pStyle w:val="a3"/>
        <w:rPr>
          <w:sz w:val="18"/>
        </w:rPr>
      </w:pPr>
    </w:p>
    <w:p w14:paraId="25987A4C" w14:textId="77777777" w:rsidR="00A71EEF" w:rsidRDefault="0081115D">
      <w:pPr>
        <w:pStyle w:val="a4"/>
        <w:numPr>
          <w:ilvl w:val="0"/>
          <w:numId w:val="591"/>
        </w:numPr>
        <w:tabs>
          <w:tab w:val="left" w:pos="1367"/>
        </w:tabs>
        <w:rPr>
          <w:sz w:val="21"/>
        </w:rPr>
      </w:pPr>
      <w:r>
        <w:rPr>
          <w:spacing w:val="-3"/>
          <w:sz w:val="21"/>
        </w:rPr>
        <w:t>各类系统接入远程监控系统时，应保证网络连接安全。</w:t>
      </w:r>
      <w:r>
        <w:rPr>
          <w:sz w:val="21"/>
        </w:rPr>
        <w:t xml:space="preserve"> </w:t>
      </w:r>
    </w:p>
    <w:p w14:paraId="65987153" w14:textId="77777777" w:rsidR="00A71EEF" w:rsidRDefault="00A71EEF">
      <w:pPr>
        <w:pStyle w:val="a3"/>
        <w:spacing w:before="12"/>
        <w:rPr>
          <w:sz w:val="17"/>
        </w:rPr>
      </w:pPr>
    </w:p>
    <w:p w14:paraId="24407471" w14:textId="77777777" w:rsidR="00A71EEF" w:rsidRDefault="0081115D">
      <w:pPr>
        <w:pStyle w:val="a4"/>
        <w:numPr>
          <w:ilvl w:val="0"/>
          <w:numId w:val="591"/>
        </w:numPr>
        <w:tabs>
          <w:tab w:val="left" w:pos="1367"/>
        </w:tabs>
        <w:rPr>
          <w:sz w:val="21"/>
        </w:rPr>
      </w:pPr>
      <w:r>
        <w:rPr>
          <w:spacing w:val="-3"/>
          <w:sz w:val="21"/>
        </w:rPr>
        <w:t>对远程监控系统资源的访问应有身份认证和授权。</w:t>
      </w:r>
      <w:r>
        <w:rPr>
          <w:sz w:val="21"/>
        </w:rPr>
        <w:t xml:space="preserve"> </w:t>
      </w:r>
    </w:p>
    <w:p w14:paraId="57BFCD1E" w14:textId="77777777" w:rsidR="00A71EEF" w:rsidRDefault="00A71EEF">
      <w:pPr>
        <w:pStyle w:val="a3"/>
        <w:spacing w:before="2"/>
        <w:rPr>
          <w:sz w:val="18"/>
        </w:rPr>
      </w:pPr>
    </w:p>
    <w:p w14:paraId="742CEF55" w14:textId="77777777" w:rsidR="00A71EEF" w:rsidRDefault="0081115D">
      <w:pPr>
        <w:pStyle w:val="a4"/>
        <w:numPr>
          <w:ilvl w:val="0"/>
          <w:numId w:val="591"/>
        </w:numPr>
        <w:tabs>
          <w:tab w:val="left" w:pos="1367"/>
        </w:tabs>
        <w:spacing w:line="446" w:lineRule="auto"/>
        <w:ind w:left="840" w:right="2979" w:hanging="3"/>
        <w:rPr>
          <w:sz w:val="21"/>
        </w:rPr>
      </w:pPr>
      <w:r>
        <w:rPr>
          <w:spacing w:val="-3"/>
          <w:sz w:val="21"/>
        </w:rPr>
        <w:t>建立网管系统，设置防火墙，对计算机病毒进行实时监控和报警。</w:t>
      </w:r>
      <w:r>
        <w:rPr>
          <w:spacing w:val="-3"/>
          <w:sz w:val="21"/>
        </w:rPr>
        <w:t xml:space="preserve">. </w:t>
      </w:r>
      <w:r>
        <w:rPr>
          <w:b/>
          <w:sz w:val="21"/>
        </w:rPr>
        <w:t xml:space="preserve">4.6.2 </w:t>
      </w:r>
      <w:r>
        <w:rPr>
          <w:spacing w:val="-3"/>
          <w:sz w:val="21"/>
        </w:rPr>
        <w:t>远程监控系统的应用安全应符合下列要求：</w:t>
      </w:r>
      <w:r>
        <w:rPr>
          <w:sz w:val="21"/>
        </w:rPr>
        <w:t xml:space="preserve"> </w:t>
      </w:r>
    </w:p>
    <w:p w14:paraId="7AE67E3F" w14:textId="77777777" w:rsidR="00A71EEF" w:rsidRDefault="0081115D">
      <w:pPr>
        <w:pStyle w:val="a4"/>
        <w:numPr>
          <w:ilvl w:val="0"/>
          <w:numId w:val="590"/>
        </w:numPr>
        <w:tabs>
          <w:tab w:val="left" w:pos="1367"/>
        </w:tabs>
        <w:spacing w:line="267" w:lineRule="exact"/>
        <w:rPr>
          <w:sz w:val="21"/>
        </w:rPr>
      </w:pPr>
      <w:r>
        <w:rPr>
          <w:spacing w:val="-3"/>
          <w:sz w:val="21"/>
        </w:rPr>
        <w:t>数据库服务器应有备份功能。</w:t>
      </w:r>
      <w:r>
        <w:rPr>
          <w:sz w:val="21"/>
        </w:rPr>
        <w:t xml:space="preserve"> </w:t>
      </w:r>
    </w:p>
    <w:p w14:paraId="77862627" w14:textId="77777777" w:rsidR="00A71EEF" w:rsidRDefault="00A71EEF">
      <w:pPr>
        <w:pStyle w:val="a3"/>
        <w:spacing w:before="2"/>
        <w:rPr>
          <w:sz w:val="18"/>
        </w:rPr>
      </w:pPr>
    </w:p>
    <w:p w14:paraId="70729C54" w14:textId="77777777" w:rsidR="00A71EEF" w:rsidRDefault="0081115D">
      <w:pPr>
        <w:pStyle w:val="a4"/>
        <w:numPr>
          <w:ilvl w:val="0"/>
          <w:numId w:val="590"/>
        </w:numPr>
        <w:tabs>
          <w:tab w:val="left" w:pos="1367"/>
        </w:tabs>
        <w:rPr>
          <w:sz w:val="21"/>
        </w:rPr>
      </w:pPr>
      <w:r>
        <w:rPr>
          <w:spacing w:val="-3"/>
          <w:sz w:val="21"/>
        </w:rPr>
        <w:t>监控中心应有火灾报警信息接收的应急备份功能。</w:t>
      </w:r>
      <w:r>
        <w:rPr>
          <w:sz w:val="21"/>
        </w:rPr>
        <w:t xml:space="preserve"> </w:t>
      </w:r>
    </w:p>
    <w:p w14:paraId="77E42D96" w14:textId="77777777" w:rsidR="00A71EEF" w:rsidRDefault="00A71EEF">
      <w:pPr>
        <w:pStyle w:val="a3"/>
        <w:rPr>
          <w:sz w:val="18"/>
        </w:rPr>
      </w:pPr>
    </w:p>
    <w:p w14:paraId="07B5C310" w14:textId="77777777" w:rsidR="00A71EEF" w:rsidRDefault="0081115D">
      <w:pPr>
        <w:pStyle w:val="a4"/>
        <w:numPr>
          <w:ilvl w:val="0"/>
          <w:numId w:val="590"/>
        </w:numPr>
        <w:tabs>
          <w:tab w:val="left" w:pos="1367"/>
        </w:tabs>
        <w:spacing w:line="446" w:lineRule="auto"/>
        <w:ind w:left="418" w:right="1505" w:firstLine="419"/>
        <w:rPr>
          <w:sz w:val="21"/>
        </w:rPr>
      </w:pPr>
      <w:r>
        <w:rPr>
          <w:spacing w:val="-3"/>
          <w:sz w:val="21"/>
        </w:rPr>
        <w:t>应有防止修改火灾报警信息、建筑消防设施运行状态信息和消防安全管理信息等原始数据的功能。</w:t>
      </w:r>
      <w:r>
        <w:rPr>
          <w:sz w:val="21"/>
        </w:rPr>
        <w:t xml:space="preserve"> </w:t>
      </w:r>
    </w:p>
    <w:p w14:paraId="6309021F" w14:textId="77777777" w:rsidR="00A71EEF" w:rsidRDefault="0081115D">
      <w:pPr>
        <w:pStyle w:val="a4"/>
        <w:numPr>
          <w:ilvl w:val="0"/>
          <w:numId w:val="590"/>
        </w:numPr>
        <w:tabs>
          <w:tab w:val="left" w:pos="1367"/>
        </w:tabs>
        <w:rPr>
          <w:sz w:val="21"/>
        </w:rPr>
      </w:pPr>
      <w:r>
        <w:rPr>
          <w:spacing w:val="-3"/>
          <w:sz w:val="21"/>
        </w:rPr>
        <w:t>应有系统运行记录。</w:t>
      </w:r>
      <w:r>
        <w:rPr>
          <w:sz w:val="21"/>
        </w:rPr>
        <w:t xml:space="preserve"> </w:t>
      </w:r>
    </w:p>
    <w:p w14:paraId="6BA339C6" w14:textId="77777777" w:rsidR="00A71EEF" w:rsidRDefault="00A71EEF">
      <w:pPr>
        <w:rPr>
          <w:sz w:val="21"/>
        </w:rPr>
        <w:sectPr w:rsidR="00A71EEF">
          <w:pgSz w:w="11910" w:h="16850"/>
          <w:pgMar w:top="1220" w:right="0" w:bottom="1420" w:left="1260" w:header="0" w:footer="1239" w:gutter="0"/>
          <w:cols w:space="720"/>
        </w:sectPr>
      </w:pPr>
    </w:p>
    <w:p w14:paraId="6FEC4AF3" w14:textId="77777777" w:rsidR="00A71EEF" w:rsidRDefault="0081115D">
      <w:pPr>
        <w:pStyle w:val="4"/>
        <w:spacing w:before="37"/>
      </w:pPr>
      <w:r>
        <w:t xml:space="preserve">5 </w:t>
      </w:r>
      <w:r>
        <w:t>系统配置和设备功能要求</w:t>
      </w:r>
      <w:r>
        <w:rPr>
          <w:w w:val="99"/>
        </w:rPr>
        <w:t xml:space="preserve"> </w:t>
      </w:r>
    </w:p>
    <w:p w14:paraId="57044D61" w14:textId="77777777" w:rsidR="00A71EEF" w:rsidRDefault="00A71EEF">
      <w:pPr>
        <w:pStyle w:val="a3"/>
        <w:spacing w:before="4"/>
        <w:rPr>
          <w:b/>
          <w:sz w:val="17"/>
        </w:rPr>
      </w:pPr>
    </w:p>
    <w:p w14:paraId="5B195AE1" w14:textId="77777777" w:rsidR="00A71EEF" w:rsidRDefault="0081115D">
      <w:pPr>
        <w:pStyle w:val="a4"/>
        <w:numPr>
          <w:ilvl w:val="1"/>
          <w:numId w:val="589"/>
        </w:numPr>
        <w:tabs>
          <w:tab w:val="left" w:pos="1159"/>
        </w:tabs>
        <w:spacing w:before="1"/>
        <w:ind w:hanging="319"/>
        <w:rPr>
          <w:sz w:val="21"/>
        </w:rPr>
      </w:pPr>
      <w:r>
        <w:rPr>
          <w:spacing w:val="-3"/>
          <w:sz w:val="21"/>
        </w:rPr>
        <w:t>系统配置</w:t>
      </w:r>
      <w:r>
        <w:rPr>
          <w:sz w:val="21"/>
        </w:rPr>
        <w:t xml:space="preserve"> </w:t>
      </w:r>
    </w:p>
    <w:p w14:paraId="76C03F01" w14:textId="77777777" w:rsidR="00A71EEF" w:rsidRDefault="00A71EEF">
      <w:pPr>
        <w:pStyle w:val="a3"/>
        <w:spacing w:before="12"/>
        <w:rPr>
          <w:sz w:val="17"/>
        </w:rPr>
      </w:pPr>
    </w:p>
    <w:p w14:paraId="483DFE54" w14:textId="77777777" w:rsidR="00A71EEF" w:rsidRDefault="0081115D">
      <w:pPr>
        <w:pStyle w:val="a4"/>
        <w:numPr>
          <w:ilvl w:val="2"/>
          <w:numId w:val="589"/>
        </w:numPr>
        <w:tabs>
          <w:tab w:val="left" w:pos="1367"/>
        </w:tabs>
        <w:ind w:left="1367"/>
        <w:rPr>
          <w:sz w:val="19"/>
        </w:rPr>
      </w:pPr>
      <w:r>
        <w:rPr>
          <w:spacing w:val="-7"/>
          <w:sz w:val="21"/>
        </w:rPr>
        <w:t>远程监控系统配置应符合表</w:t>
      </w:r>
      <w:r>
        <w:rPr>
          <w:spacing w:val="-7"/>
          <w:sz w:val="21"/>
        </w:rPr>
        <w:t xml:space="preserve"> </w:t>
      </w:r>
      <w:r>
        <w:rPr>
          <w:sz w:val="21"/>
        </w:rPr>
        <w:t>5.1.1</w:t>
      </w:r>
      <w:r>
        <w:rPr>
          <w:spacing w:val="-13"/>
          <w:sz w:val="21"/>
        </w:rPr>
        <w:t xml:space="preserve"> </w:t>
      </w:r>
      <w:r>
        <w:rPr>
          <w:spacing w:val="-13"/>
          <w:sz w:val="21"/>
        </w:rPr>
        <w:t>的要求。</w:t>
      </w:r>
      <w:r>
        <w:rPr>
          <w:sz w:val="21"/>
        </w:rPr>
        <w:t xml:space="preserve"> </w:t>
      </w:r>
    </w:p>
    <w:p w14:paraId="0D52A4D3" w14:textId="77777777" w:rsidR="00A71EEF" w:rsidRDefault="00A71EEF">
      <w:pPr>
        <w:pStyle w:val="a3"/>
        <w:rPr>
          <w:sz w:val="20"/>
        </w:rPr>
      </w:pPr>
    </w:p>
    <w:p w14:paraId="3689F0FE" w14:textId="77777777" w:rsidR="00A71EEF" w:rsidRDefault="00A71EEF">
      <w:pPr>
        <w:pStyle w:val="a3"/>
        <w:rPr>
          <w:sz w:val="20"/>
        </w:rPr>
      </w:pPr>
    </w:p>
    <w:p w14:paraId="64EF1EE8" w14:textId="77777777" w:rsidR="00A71EEF" w:rsidRDefault="00A71EEF">
      <w:pPr>
        <w:pStyle w:val="a3"/>
        <w:rPr>
          <w:sz w:val="20"/>
        </w:rPr>
      </w:pPr>
    </w:p>
    <w:p w14:paraId="448193EE" w14:textId="77777777" w:rsidR="00A71EEF" w:rsidRDefault="00A71EEF">
      <w:pPr>
        <w:pStyle w:val="a3"/>
        <w:rPr>
          <w:sz w:val="20"/>
        </w:rPr>
      </w:pPr>
    </w:p>
    <w:p w14:paraId="3A14EFA6" w14:textId="77777777" w:rsidR="00A71EEF" w:rsidRDefault="00A71EEF">
      <w:pPr>
        <w:pStyle w:val="a3"/>
        <w:rPr>
          <w:sz w:val="20"/>
        </w:rPr>
      </w:pPr>
    </w:p>
    <w:p w14:paraId="503A7325" w14:textId="77777777" w:rsidR="00A71EEF" w:rsidRDefault="00A71EEF">
      <w:pPr>
        <w:pStyle w:val="a3"/>
        <w:rPr>
          <w:sz w:val="20"/>
        </w:rPr>
      </w:pPr>
    </w:p>
    <w:p w14:paraId="6D6022FD" w14:textId="77777777" w:rsidR="00A71EEF" w:rsidRDefault="00A71EEF">
      <w:pPr>
        <w:pStyle w:val="a3"/>
        <w:rPr>
          <w:sz w:val="20"/>
        </w:rPr>
      </w:pPr>
    </w:p>
    <w:p w14:paraId="1C2B27DE" w14:textId="77777777" w:rsidR="00A71EEF" w:rsidRDefault="00A71EEF">
      <w:pPr>
        <w:pStyle w:val="a3"/>
        <w:rPr>
          <w:sz w:val="20"/>
        </w:rPr>
      </w:pPr>
    </w:p>
    <w:p w14:paraId="3EA52F1D" w14:textId="77777777" w:rsidR="00A71EEF" w:rsidRDefault="00A71EEF">
      <w:pPr>
        <w:pStyle w:val="a3"/>
        <w:rPr>
          <w:sz w:val="20"/>
        </w:rPr>
      </w:pPr>
    </w:p>
    <w:p w14:paraId="620D3F9A" w14:textId="77777777" w:rsidR="00A71EEF" w:rsidRDefault="00A71EEF">
      <w:pPr>
        <w:pStyle w:val="a3"/>
        <w:spacing w:before="8"/>
        <w:rPr>
          <w:sz w:val="25"/>
        </w:rPr>
      </w:pPr>
    </w:p>
    <w:p w14:paraId="314DEF82" w14:textId="77777777" w:rsidR="00A71EEF" w:rsidRDefault="0081115D">
      <w:pPr>
        <w:pStyle w:val="6"/>
        <w:spacing w:before="97"/>
        <w:ind w:left="3413"/>
        <w:rPr>
          <w:sz w:val="24"/>
        </w:rPr>
      </w:pPr>
      <w:r>
        <w:t>表</w:t>
      </w:r>
      <w:r>
        <w:t xml:space="preserve"> 5.1.1 </w:t>
      </w:r>
      <w:r>
        <w:t>远程监控系统配置表</w:t>
      </w:r>
      <w:r>
        <w:rPr>
          <w:w w:val="99"/>
          <w:sz w:val="24"/>
        </w:rPr>
        <w:t xml:space="preserve"> </w:t>
      </w:r>
    </w:p>
    <w:p w14:paraId="15EA0BAC" w14:textId="77777777" w:rsidR="00A71EEF" w:rsidRDefault="0081115D">
      <w:pPr>
        <w:pStyle w:val="a3"/>
        <w:spacing w:before="12"/>
        <w:rPr>
          <w:b/>
          <w:sz w:val="17"/>
        </w:rPr>
      </w:pPr>
      <w:r>
        <w:rPr>
          <w:noProof/>
        </w:rPr>
        <w:drawing>
          <wp:anchor distT="0" distB="0" distL="0" distR="0" simplePos="0" relativeHeight="251588096" behindDoc="0" locked="0" layoutInCell="1" allowOverlap="1" wp14:anchorId="541AE6AD" wp14:editId="271053CA">
            <wp:simplePos x="0" y="0"/>
            <wp:positionH relativeFrom="page">
              <wp:posOffset>1671954</wp:posOffset>
            </wp:positionH>
            <wp:positionV relativeFrom="paragraph">
              <wp:posOffset>171021</wp:posOffset>
            </wp:positionV>
            <wp:extent cx="4620321" cy="3358324"/>
            <wp:effectExtent l="0" t="0" r="0" b="0"/>
            <wp:wrapTopAndBottom/>
            <wp:docPr id="335" name="image2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204.jpeg"/>
                    <pic:cNvPicPr/>
                  </pic:nvPicPr>
                  <pic:blipFill>
                    <a:blip r:embed="rId242" cstate="print"/>
                    <a:stretch>
                      <a:fillRect/>
                    </a:stretch>
                  </pic:blipFill>
                  <pic:spPr>
                    <a:xfrm>
                      <a:off x="0" y="0"/>
                      <a:ext cx="4620321" cy="3358324"/>
                    </a:xfrm>
                    <a:prstGeom prst="rect">
                      <a:avLst/>
                    </a:prstGeom>
                  </pic:spPr>
                </pic:pic>
              </a:graphicData>
            </a:graphic>
          </wp:anchor>
        </w:drawing>
      </w:r>
    </w:p>
    <w:p w14:paraId="4ECE76DD" w14:textId="77777777" w:rsidR="00A71EEF" w:rsidRDefault="0081115D">
      <w:pPr>
        <w:pStyle w:val="a4"/>
        <w:numPr>
          <w:ilvl w:val="1"/>
          <w:numId w:val="589"/>
        </w:numPr>
        <w:tabs>
          <w:tab w:val="left" w:pos="1159"/>
        </w:tabs>
        <w:spacing w:before="152"/>
        <w:ind w:hanging="319"/>
        <w:rPr>
          <w:sz w:val="21"/>
        </w:rPr>
      </w:pPr>
      <w:r>
        <w:rPr>
          <w:spacing w:val="-3"/>
          <w:sz w:val="21"/>
        </w:rPr>
        <w:t>主要设备功能要求</w:t>
      </w:r>
      <w:r>
        <w:rPr>
          <w:sz w:val="21"/>
        </w:rPr>
        <w:t xml:space="preserve"> </w:t>
      </w:r>
    </w:p>
    <w:p w14:paraId="61B2CAA9" w14:textId="77777777" w:rsidR="00A71EEF" w:rsidRDefault="00A71EEF">
      <w:pPr>
        <w:pStyle w:val="a3"/>
        <w:spacing w:before="12"/>
        <w:rPr>
          <w:sz w:val="17"/>
        </w:rPr>
      </w:pPr>
    </w:p>
    <w:p w14:paraId="23158F16" w14:textId="77777777" w:rsidR="00A71EEF" w:rsidRDefault="0081115D">
      <w:pPr>
        <w:pStyle w:val="a4"/>
        <w:numPr>
          <w:ilvl w:val="2"/>
          <w:numId w:val="589"/>
        </w:numPr>
        <w:tabs>
          <w:tab w:val="left" w:pos="1370"/>
        </w:tabs>
        <w:ind w:hanging="530"/>
        <w:rPr>
          <w:b/>
          <w:sz w:val="19"/>
        </w:rPr>
      </w:pPr>
      <w:r>
        <w:rPr>
          <w:spacing w:val="-3"/>
          <w:sz w:val="21"/>
        </w:rPr>
        <w:t>用户信息传输装置应具有下列功能：</w:t>
      </w:r>
      <w:r>
        <w:rPr>
          <w:b/>
          <w:w w:val="99"/>
          <w:sz w:val="21"/>
        </w:rPr>
        <w:t xml:space="preserve"> </w:t>
      </w:r>
    </w:p>
    <w:p w14:paraId="0D1F02BB" w14:textId="77777777" w:rsidR="00A71EEF" w:rsidRDefault="00A71EEF">
      <w:pPr>
        <w:pStyle w:val="a3"/>
        <w:spacing w:before="2"/>
        <w:rPr>
          <w:b/>
          <w:sz w:val="18"/>
        </w:rPr>
      </w:pPr>
    </w:p>
    <w:p w14:paraId="79B87B33" w14:textId="77777777" w:rsidR="00A71EEF" w:rsidRDefault="0081115D">
      <w:pPr>
        <w:pStyle w:val="a4"/>
        <w:numPr>
          <w:ilvl w:val="0"/>
          <w:numId w:val="588"/>
        </w:numPr>
        <w:tabs>
          <w:tab w:val="left" w:pos="1367"/>
        </w:tabs>
        <w:rPr>
          <w:sz w:val="21"/>
        </w:rPr>
      </w:pPr>
      <w:r>
        <w:rPr>
          <w:spacing w:val="-3"/>
          <w:sz w:val="21"/>
        </w:rPr>
        <w:t>接收联网用户的火灾报警信息，并将信息通过报警传输网络发送给监控中心。</w:t>
      </w:r>
      <w:r>
        <w:rPr>
          <w:sz w:val="21"/>
        </w:rPr>
        <w:t xml:space="preserve"> </w:t>
      </w:r>
    </w:p>
    <w:p w14:paraId="355B475E" w14:textId="77777777" w:rsidR="00A71EEF" w:rsidRDefault="00A71EEF">
      <w:pPr>
        <w:pStyle w:val="a3"/>
        <w:rPr>
          <w:sz w:val="18"/>
        </w:rPr>
      </w:pPr>
    </w:p>
    <w:p w14:paraId="09CDB419" w14:textId="77777777" w:rsidR="00A71EEF" w:rsidRDefault="0081115D">
      <w:pPr>
        <w:pStyle w:val="a4"/>
        <w:numPr>
          <w:ilvl w:val="0"/>
          <w:numId w:val="588"/>
        </w:numPr>
        <w:tabs>
          <w:tab w:val="left" w:pos="1367"/>
        </w:tabs>
        <w:rPr>
          <w:sz w:val="21"/>
        </w:rPr>
      </w:pPr>
      <w:r>
        <w:rPr>
          <w:spacing w:val="-3"/>
          <w:sz w:val="21"/>
        </w:rPr>
        <w:t>接收建筑消防设施运行状态信息，并将信息通过报警传输网络发送给监控中心。</w:t>
      </w:r>
      <w:r>
        <w:rPr>
          <w:sz w:val="21"/>
        </w:rPr>
        <w:t xml:space="preserve"> </w:t>
      </w:r>
    </w:p>
    <w:p w14:paraId="3382D97B" w14:textId="77777777" w:rsidR="00A71EEF" w:rsidRDefault="00A71EEF">
      <w:pPr>
        <w:pStyle w:val="a3"/>
        <w:spacing w:before="12"/>
        <w:rPr>
          <w:sz w:val="17"/>
        </w:rPr>
      </w:pPr>
    </w:p>
    <w:p w14:paraId="3DDE1894" w14:textId="77777777" w:rsidR="00A71EEF" w:rsidRDefault="0081115D">
      <w:pPr>
        <w:pStyle w:val="a4"/>
        <w:numPr>
          <w:ilvl w:val="0"/>
          <w:numId w:val="588"/>
        </w:numPr>
        <w:tabs>
          <w:tab w:val="left" w:pos="1367"/>
        </w:tabs>
        <w:rPr>
          <w:sz w:val="21"/>
        </w:rPr>
      </w:pPr>
      <w:r>
        <w:rPr>
          <w:spacing w:val="-3"/>
          <w:sz w:val="21"/>
        </w:rPr>
        <w:t>优先传送火灾报警信息和手动报警信息。</w:t>
      </w:r>
      <w:r>
        <w:rPr>
          <w:sz w:val="21"/>
        </w:rPr>
        <w:t xml:space="preserve"> </w:t>
      </w:r>
    </w:p>
    <w:p w14:paraId="0C61B7E4" w14:textId="77777777" w:rsidR="00A71EEF" w:rsidRDefault="00A71EEF">
      <w:pPr>
        <w:pStyle w:val="a3"/>
        <w:spacing w:before="2"/>
        <w:rPr>
          <w:sz w:val="18"/>
        </w:rPr>
      </w:pPr>
    </w:p>
    <w:p w14:paraId="1BD85C4E" w14:textId="77777777" w:rsidR="00A71EEF" w:rsidRDefault="0081115D">
      <w:pPr>
        <w:pStyle w:val="a4"/>
        <w:numPr>
          <w:ilvl w:val="0"/>
          <w:numId w:val="588"/>
        </w:numPr>
        <w:tabs>
          <w:tab w:val="left" w:pos="1367"/>
        </w:tabs>
        <w:rPr>
          <w:sz w:val="21"/>
        </w:rPr>
      </w:pPr>
      <w:r>
        <w:rPr>
          <w:spacing w:val="-3"/>
          <w:sz w:val="21"/>
        </w:rPr>
        <w:t>具有设备自检和故障报警功能。</w:t>
      </w:r>
      <w:r>
        <w:rPr>
          <w:sz w:val="21"/>
        </w:rPr>
        <w:t xml:space="preserve"> </w:t>
      </w:r>
    </w:p>
    <w:p w14:paraId="5659D1D5" w14:textId="77777777" w:rsidR="00A71EEF" w:rsidRDefault="00A71EEF">
      <w:pPr>
        <w:pStyle w:val="a3"/>
        <w:rPr>
          <w:sz w:val="18"/>
        </w:rPr>
      </w:pPr>
    </w:p>
    <w:p w14:paraId="4ED3CCBE" w14:textId="77777777" w:rsidR="00A71EEF" w:rsidRDefault="0081115D">
      <w:pPr>
        <w:pStyle w:val="a4"/>
        <w:numPr>
          <w:ilvl w:val="0"/>
          <w:numId w:val="588"/>
        </w:numPr>
        <w:tabs>
          <w:tab w:val="left" w:pos="1367"/>
        </w:tabs>
        <w:spacing w:line="446" w:lineRule="auto"/>
        <w:ind w:left="418" w:right="1505" w:firstLine="419"/>
        <w:rPr>
          <w:sz w:val="21"/>
        </w:rPr>
      </w:pPr>
      <w:r>
        <w:rPr>
          <w:spacing w:val="-3"/>
          <w:sz w:val="21"/>
        </w:rPr>
        <w:t>具有主、备用电源自动转换功能，备用电源的容量应能保证用户信息传输装置连续正</w:t>
      </w:r>
      <w:r>
        <w:rPr>
          <w:spacing w:val="-9"/>
          <w:sz w:val="21"/>
        </w:rPr>
        <w:t>常工作时间不小于</w:t>
      </w:r>
      <w:r>
        <w:rPr>
          <w:spacing w:val="-9"/>
          <w:sz w:val="21"/>
        </w:rPr>
        <w:t xml:space="preserve"> </w:t>
      </w:r>
      <w:r>
        <w:rPr>
          <w:sz w:val="21"/>
        </w:rPr>
        <w:t>8h</w:t>
      </w:r>
      <w:r>
        <w:rPr>
          <w:sz w:val="21"/>
        </w:rPr>
        <w:t>。</w:t>
      </w:r>
      <w:r>
        <w:rPr>
          <w:sz w:val="21"/>
        </w:rPr>
        <w:t xml:space="preserve"> </w:t>
      </w:r>
    </w:p>
    <w:p w14:paraId="2E62723C" w14:textId="77777777" w:rsidR="00A71EEF" w:rsidRDefault="00A71EEF">
      <w:pPr>
        <w:spacing w:line="446" w:lineRule="auto"/>
        <w:rPr>
          <w:sz w:val="21"/>
        </w:rPr>
        <w:sectPr w:rsidR="00A71EEF">
          <w:pgSz w:w="11910" w:h="16850"/>
          <w:pgMar w:top="1200" w:right="0" w:bottom="1420" w:left="1260" w:header="0" w:footer="1239" w:gutter="0"/>
          <w:cols w:space="720"/>
        </w:sectPr>
      </w:pPr>
    </w:p>
    <w:p w14:paraId="11C54024" w14:textId="77777777" w:rsidR="00A71EEF" w:rsidRDefault="0081115D">
      <w:pPr>
        <w:pStyle w:val="a4"/>
        <w:numPr>
          <w:ilvl w:val="2"/>
          <w:numId w:val="589"/>
        </w:numPr>
        <w:tabs>
          <w:tab w:val="left" w:pos="1371"/>
        </w:tabs>
        <w:spacing w:before="47"/>
        <w:ind w:left="1370" w:hanging="531"/>
        <w:rPr>
          <w:b/>
          <w:sz w:val="19"/>
        </w:rPr>
      </w:pPr>
      <w:r>
        <w:rPr>
          <w:spacing w:val="-3"/>
          <w:sz w:val="21"/>
        </w:rPr>
        <w:t>报警受理系统应具有下列功能：</w:t>
      </w:r>
      <w:r>
        <w:rPr>
          <w:b/>
          <w:w w:val="99"/>
          <w:sz w:val="21"/>
        </w:rPr>
        <w:t xml:space="preserve"> </w:t>
      </w:r>
    </w:p>
    <w:p w14:paraId="573A5E79" w14:textId="77777777" w:rsidR="00A71EEF" w:rsidRDefault="00A71EEF">
      <w:pPr>
        <w:pStyle w:val="a3"/>
        <w:rPr>
          <w:b/>
          <w:sz w:val="18"/>
        </w:rPr>
      </w:pPr>
    </w:p>
    <w:p w14:paraId="7547270A" w14:textId="77777777" w:rsidR="00A71EEF" w:rsidRDefault="0081115D">
      <w:pPr>
        <w:pStyle w:val="a4"/>
        <w:numPr>
          <w:ilvl w:val="0"/>
          <w:numId w:val="587"/>
        </w:numPr>
        <w:tabs>
          <w:tab w:val="left" w:pos="1367"/>
        </w:tabs>
        <w:rPr>
          <w:sz w:val="21"/>
        </w:rPr>
      </w:pPr>
      <w:r>
        <w:rPr>
          <w:spacing w:val="-3"/>
          <w:sz w:val="21"/>
        </w:rPr>
        <w:t>接收、处理用户信息传输装置发送的火灾报警信息。</w:t>
      </w:r>
      <w:r>
        <w:rPr>
          <w:sz w:val="21"/>
        </w:rPr>
        <w:t xml:space="preserve"> </w:t>
      </w:r>
    </w:p>
    <w:p w14:paraId="45B197BA" w14:textId="77777777" w:rsidR="00A71EEF" w:rsidRDefault="00A71EEF">
      <w:pPr>
        <w:pStyle w:val="a3"/>
        <w:rPr>
          <w:sz w:val="18"/>
        </w:rPr>
      </w:pPr>
    </w:p>
    <w:p w14:paraId="4916A664" w14:textId="77777777" w:rsidR="00A71EEF" w:rsidRDefault="0081115D">
      <w:pPr>
        <w:pStyle w:val="a4"/>
        <w:numPr>
          <w:ilvl w:val="0"/>
          <w:numId w:val="587"/>
        </w:numPr>
        <w:tabs>
          <w:tab w:val="left" w:pos="1367"/>
        </w:tabs>
        <w:spacing w:line="446" w:lineRule="auto"/>
        <w:ind w:left="418" w:right="1505" w:firstLine="419"/>
        <w:rPr>
          <w:sz w:val="21"/>
        </w:rPr>
      </w:pPr>
      <w:r>
        <w:rPr>
          <w:spacing w:val="-3"/>
          <w:sz w:val="21"/>
        </w:rPr>
        <w:t>显示报警联网用户的报警时间、名称、地址、联系电话、内部报警点位置、地理信息等。</w:t>
      </w:r>
      <w:r>
        <w:rPr>
          <w:sz w:val="21"/>
        </w:rPr>
        <w:t xml:space="preserve"> </w:t>
      </w:r>
    </w:p>
    <w:p w14:paraId="04FA32C8" w14:textId="77777777" w:rsidR="00A71EEF" w:rsidRDefault="0081115D">
      <w:pPr>
        <w:pStyle w:val="a4"/>
        <w:numPr>
          <w:ilvl w:val="0"/>
          <w:numId w:val="587"/>
        </w:numPr>
        <w:tabs>
          <w:tab w:val="left" w:pos="1367"/>
        </w:tabs>
        <w:spacing w:line="446" w:lineRule="auto"/>
        <w:ind w:left="418" w:right="1608" w:firstLine="419"/>
        <w:rPr>
          <w:sz w:val="21"/>
        </w:rPr>
      </w:pPr>
      <w:r>
        <w:rPr>
          <w:spacing w:val="-3"/>
          <w:sz w:val="21"/>
        </w:rPr>
        <w:t>对火灾报警信息进行核实和确认，确认后应将报警联网用户的名称、地址、联系电话、内部报警点位置、监控中心接警员等信息向城市消防通信指挥中心或其他接处警中心的火警信息终端传送，并显示火警信息终端的应答信息。</w:t>
      </w:r>
      <w:r>
        <w:rPr>
          <w:spacing w:val="-3"/>
          <w:sz w:val="21"/>
        </w:rPr>
        <w:t xml:space="preserve"> </w:t>
      </w:r>
    </w:p>
    <w:p w14:paraId="0D7ADE14" w14:textId="77777777" w:rsidR="00A71EEF" w:rsidRDefault="0081115D">
      <w:pPr>
        <w:pStyle w:val="a4"/>
        <w:numPr>
          <w:ilvl w:val="0"/>
          <w:numId w:val="587"/>
        </w:numPr>
        <w:tabs>
          <w:tab w:val="left" w:pos="1367"/>
        </w:tabs>
        <w:spacing w:line="446" w:lineRule="auto"/>
        <w:ind w:left="418" w:right="1505" w:firstLine="419"/>
        <w:rPr>
          <w:sz w:val="21"/>
        </w:rPr>
      </w:pPr>
      <w:r>
        <w:rPr>
          <w:spacing w:val="-3"/>
          <w:sz w:val="21"/>
        </w:rPr>
        <w:t>接收、存储用户信息传输装置发送的建筑消防设施运行状态信息，对建筑消防设施的故障信息进行跟踪、记录、查询和统计，并发送至相应联网用户。</w:t>
      </w:r>
      <w:r>
        <w:rPr>
          <w:sz w:val="21"/>
        </w:rPr>
        <w:t xml:space="preserve"> </w:t>
      </w:r>
    </w:p>
    <w:p w14:paraId="3DA65A51" w14:textId="77777777" w:rsidR="00A71EEF" w:rsidRDefault="0081115D">
      <w:pPr>
        <w:pStyle w:val="a4"/>
        <w:numPr>
          <w:ilvl w:val="0"/>
          <w:numId w:val="587"/>
        </w:numPr>
        <w:tabs>
          <w:tab w:val="left" w:pos="1367"/>
        </w:tabs>
        <w:rPr>
          <w:sz w:val="21"/>
        </w:rPr>
      </w:pPr>
      <w:r>
        <w:rPr>
          <w:spacing w:val="-3"/>
          <w:sz w:val="21"/>
        </w:rPr>
        <w:t>自动或人工对用户信息传输装置进行巡检测试，并显示巡检测试结果。</w:t>
      </w:r>
      <w:r>
        <w:rPr>
          <w:spacing w:val="-3"/>
          <w:sz w:val="21"/>
        </w:rPr>
        <w:t xml:space="preserve"> </w:t>
      </w:r>
    </w:p>
    <w:p w14:paraId="31E39FFB" w14:textId="77777777" w:rsidR="00A71EEF" w:rsidRDefault="00A71EEF">
      <w:pPr>
        <w:pStyle w:val="a3"/>
        <w:spacing w:before="11"/>
        <w:rPr>
          <w:sz w:val="17"/>
        </w:rPr>
      </w:pPr>
    </w:p>
    <w:p w14:paraId="047D2FC3" w14:textId="77777777" w:rsidR="00A71EEF" w:rsidRDefault="0081115D">
      <w:pPr>
        <w:pStyle w:val="a4"/>
        <w:numPr>
          <w:ilvl w:val="0"/>
          <w:numId w:val="587"/>
        </w:numPr>
        <w:tabs>
          <w:tab w:val="left" w:pos="1367"/>
        </w:tabs>
        <w:rPr>
          <w:sz w:val="21"/>
        </w:rPr>
      </w:pPr>
      <w:r>
        <w:rPr>
          <w:spacing w:val="-3"/>
          <w:sz w:val="21"/>
        </w:rPr>
        <w:t>显示、查询报警信息的历史记录和相关信息。</w:t>
      </w:r>
      <w:r>
        <w:rPr>
          <w:sz w:val="21"/>
        </w:rPr>
        <w:t xml:space="preserve"> </w:t>
      </w:r>
    </w:p>
    <w:p w14:paraId="519DFB92" w14:textId="77777777" w:rsidR="00A71EEF" w:rsidRDefault="00A71EEF">
      <w:pPr>
        <w:pStyle w:val="a3"/>
        <w:spacing w:before="12"/>
        <w:rPr>
          <w:sz w:val="17"/>
        </w:rPr>
      </w:pPr>
    </w:p>
    <w:p w14:paraId="34C8DE91" w14:textId="77777777" w:rsidR="00A71EEF" w:rsidRDefault="0081115D">
      <w:pPr>
        <w:pStyle w:val="a4"/>
        <w:numPr>
          <w:ilvl w:val="0"/>
          <w:numId w:val="587"/>
        </w:numPr>
        <w:tabs>
          <w:tab w:val="left" w:pos="1367"/>
        </w:tabs>
        <w:rPr>
          <w:sz w:val="21"/>
        </w:rPr>
      </w:pPr>
      <w:r>
        <w:rPr>
          <w:spacing w:val="-3"/>
          <w:sz w:val="21"/>
        </w:rPr>
        <w:t>与联网用户进行语音、数据或图像通信。</w:t>
      </w:r>
      <w:r>
        <w:rPr>
          <w:sz w:val="21"/>
        </w:rPr>
        <w:t xml:space="preserve"> </w:t>
      </w:r>
    </w:p>
    <w:p w14:paraId="190F21F1" w14:textId="77777777" w:rsidR="00A71EEF" w:rsidRDefault="00A71EEF">
      <w:pPr>
        <w:pStyle w:val="a3"/>
        <w:spacing w:before="2"/>
        <w:rPr>
          <w:sz w:val="18"/>
        </w:rPr>
      </w:pPr>
    </w:p>
    <w:p w14:paraId="7495D60A" w14:textId="77777777" w:rsidR="00A71EEF" w:rsidRDefault="0081115D">
      <w:pPr>
        <w:pStyle w:val="a4"/>
        <w:numPr>
          <w:ilvl w:val="0"/>
          <w:numId w:val="587"/>
        </w:numPr>
        <w:tabs>
          <w:tab w:val="left" w:pos="1367"/>
        </w:tabs>
        <w:rPr>
          <w:sz w:val="21"/>
        </w:rPr>
      </w:pPr>
      <w:r>
        <w:rPr>
          <w:spacing w:val="-3"/>
          <w:sz w:val="21"/>
        </w:rPr>
        <w:t>实时记录报警受理的语音及相应时间，且原始记录信息不能被修改。</w:t>
      </w:r>
      <w:r>
        <w:rPr>
          <w:spacing w:val="-3"/>
          <w:sz w:val="21"/>
        </w:rPr>
        <w:t xml:space="preserve"> </w:t>
      </w:r>
    </w:p>
    <w:p w14:paraId="33414661" w14:textId="77777777" w:rsidR="00A71EEF" w:rsidRDefault="00A71EEF">
      <w:pPr>
        <w:pStyle w:val="a3"/>
        <w:rPr>
          <w:sz w:val="18"/>
        </w:rPr>
      </w:pPr>
    </w:p>
    <w:p w14:paraId="6A35BDBE" w14:textId="77777777" w:rsidR="00A71EEF" w:rsidRDefault="0081115D">
      <w:pPr>
        <w:pStyle w:val="a4"/>
        <w:numPr>
          <w:ilvl w:val="0"/>
          <w:numId w:val="587"/>
        </w:numPr>
        <w:tabs>
          <w:tab w:val="left" w:pos="1367"/>
        </w:tabs>
        <w:rPr>
          <w:sz w:val="21"/>
        </w:rPr>
      </w:pPr>
      <w:r>
        <w:rPr>
          <w:spacing w:val="-3"/>
          <w:sz w:val="21"/>
        </w:rPr>
        <w:t>具有系统自检及故障报警功能。</w:t>
      </w:r>
      <w:r>
        <w:rPr>
          <w:sz w:val="21"/>
        </w:rPr>
        <w:t xml:space="preserve"> </w:t>
      </w:r>
    </w:p>
    <w:p w14:paraId="2ABD1F4E" w14:textId="77777777" w:rsidR="00A71EEF" w:rsidRDefault="00A71EEF">
      <w:pPr>
        <w:pStyle w:val="a3"/>
        <w:rPr>
          <w:sz w:val="18"/>
        </w:rPr>
      </w:pPr>
    </w:p>
    <w:p w14:paraId="3466C1C9" w14:textId="77777777" w:rsidR="00A71EEF" w:rsidRDefault="0081115D">
      <w:pPr>
        <w:pStyle w:val="a4"/>
        <w:numPr>
          <w:ilvl w:val="0"/>
          <w:numId w:val="587"/>
        </w:numPr>
        <w:tabs>
          <w:tab w:val="left" w:pos="1473"/>
        </w:tabs>
        <w:ind w:left="1472" w:hanging="635"/>
        <w:rPr>
          <w:sz w:val="21"/>
        </w:rPr>
      </w:pPr>
      <w:r>
        <w:rPr>
          <w:spacing w:val="-3"/>
          <w:sz w:val="21"/>
        </w:rPr>
        <w:t>具有系统启、停时间的记录和查询功能。</w:t>
      </w:r>
      <w:r>
        <w:rPr>
          <w:sz w:val="21"/>
        </w:rPr>
        <w:t xml:space="preserve"> </w:t>
      </w:r>
    </w:p>
    <w:p w14:paraId="65251CAD" w14:textId="77777777" w:rsidR="00A71EEF" w:rsidRDefault="00A71EEF">
      <w:pPr>
        <w:pStyle w:val="a3"/>
        <w:spacing w:before="1"/>
        <w:rPr>
          <w:sz w:val="18"/>
        </w:rPr>
      </w:pPr>
    </w:p>
    <w:p w14:paraId="5BC9FED3" w14:textId="77777777" w:rsidR="00A71EEF" w:rsidRDefault="0081115D">
      <w:pPr>
        <w:pStyle w:val="a4"/>
        <w:numPr>
          <w:ilvl w:val="0"/>
          <w:numId w:val="587"/>
        </w:numPr>
        <w:tabs>
          <w:tab w:val="left" w:pos="1473"/>
        </w:tabs>
        <w:spacing w:before="1" w:line="446" w:lineRule="auto"/>
        <w:ind w:left="840" w:right="5917" w:hanging="3"/>
        <w:rPr>
          <w:b/>
          <w:sz w:val="21"/>
        </w:rPr>
      </w:pPr>
      <w:r>
        <w:rPr>
          <w:spacing w:val="-3"/>
          <w:sz w:val="21"/>
        </w:rPr>
        <w:t>具有消防地理信息系统基本功能。</w:t>
      </w:r>
      <w:r>
        <w:rPr>
          <w:b/>
          <w:sz w:val="21"/>
        </w:rPr>
        <w:t>5.2.3</w:t>
      </w:r>
      <w:r>
        <w:rPr>
          <w:b/>
          <w:spacing w:val="5"/>
          <w:sz w:val="21"/>
        </w:rPr>
        <w:t xml:space="preserve"> </w:t>
      </w:r>
      <w:r>
        <w:rPr>
          <w:spacing w:val="-3"/>
          <w:sz w:val="21"/>
        </w:rPr>
        <w:t>信息查询系统应具有下列功能：</w:t>
      </w:r>
      <w:r>
        <w:rPr>
          <w:b/>
          <w:w w:val="99"/>
          <w:sz w:val="21"/>
        </w:rPr>
        <w:t xml:space="preserve"> </w:t>
      </w:r>
    </w:p>
    <w:p w14:paraId="6F41C6A8" w14:textId="77777777" w:rsidR="00A71EEF" w:rsidRDefault="0081115D">
      <w:pPr>
        <w:pStyle w:val="a4"/>
        <w:numPr>
          <w:ilvl w:val="0"/>
          <w:numId w:val="586"/>
        </w:numPr>
        <w:tabs>
          <w:tab w:val="left" w:pos="1367"/>
        </w:tabs>
        <w:spacing w:line="267" w:lineRule="exact"/>
        <w:rPr>
          <w:sz w:val="21"/>
        </w:rPr>
      </w:pPr>
      <w:r>
        <w:rPr>
          <w:spacing w:val="-3"/>
          <w:sz w:val="21"/>
        </w:rPr>
        <w:t>查询联网用户的火灾报警信息。</w:t>
      </w:r>
      <w:r>
        <w:rPr>
          <w:sz w:val="21"/>
        </w:rPr>
        <w:t xml:space="preserve"> </w:t>
      </w:r>
    </w:p>
    <w:p w14:paraId="496F0B59" w14:textId="77777777" w:rsidR="00A71EEF" w:rsidRDefault="00A71EEF">
      <w:pPr>
        <w:pStyle w:val="a3"/>
        <w:spacing w:before="1"/>
        <w:rPr>
          <w:sz w:val="18"/>
        </w:rPr>
      </w:pPr>
    </w:p>
    <w:p w14:paraId="441339F6" w14:textId="77777777" w:rsidR="00A71EEF" w:rsidRDefault="0081115D">
      <w:pPr>
        <w:pStyle w:val="a4"/>
        <w:numPr>
          <w:ilvl w:val="0"/>
          <w:numId w:val="586"/>
        </w:numPr>
        <w:tabs>
          <w:tab w:val="left" w:pos="1367"/>
        </w:tabs>
        <w:spacing w:before="1"/>
        <w:rPr>
          <w:sz w:val="21"/>
        </w:rPr>
      </w:pPr>
      <w:r>
        <w:rPr>
          <w:spacing w:val="-15"/>
          <w:sz w:val="21"/>
        </w:rPr>
        <w:t>按附录</w:t>
      </w:r>
      <w:r>
        <w:rPr>
          <w:spacing w:val="-15"/>
          <w:sz w:val="21"/>
        </w:rPr>
        <w:t xml:space="preserve"> </w:t>
      </w:r>
      <w:r>
        <w:rPr>
          <w:sz w:val="21"/>
        </w:rPr>
        <w:t>A</w:t>
      </w:r>
      <w:r>
        <w:rPr>
          <w:spacing w:val="-9"/>
          <w:sz w:val="21"/>
        </w:rPr>
        <w:t xml:space="preserve"> </w:t>
      </w:r>
      <w:r>
        <w:rPr>
          <w:spacing w:val="-9"/>
          <w:sz w:val="21"/>
        </w:rPr>
        <w:t>所列内容查询联网用户的建筑消防设施运行状态信息。</w:t>
      </w:r>
      <w:r>
        <w:rPr>
          <w:sz w:val="21"/>
        </w:rPr>
        <w:t xml:space="preserve"> </w:t>
      </w:r>
    </w:p>
    <w:p w14:paraId="30A36A09" w14:textId="77777777" w:rsidR="00A71EEF" w:rsidRDefault="00A71EEF">
      <w:pPr>
        <w:pStyle w:val="a3"/>
        <w:spacing w:before="12"/>
        <w:rPr>
          <w:sz w:val="17"/>
        </w:rPr>
      </w:pPr>
    </w:p>
    <w:p w14:paraId="0827A2AE" w14:textId="77777777" w:rsidR="00A71EEF" w:rsidRDefault="0081115D">
      <w:pPr>
        <w:pStyle w:val="a4"/>
        <w:numPr>
          <w:ilvl w:val="0"/>
          <w:numId w:val="586"/>
        </w:numPr>
        <w:tabs>
          <w:tab w:val="left" w:pos="1367"/>
        </w:tabs>
        <w:rPr>
          <w:sz w:val="21"/>
        </w:rPr>
      </w:pPr>
      <w:r>
        <w:rPr>
          <w:spacing w:val="-15"/>
          <w:sz w:val="21"/>
        </w:rPr>
        <w:t>按附录</w:t>
      </w:r>
      <w:r>
        <w:rPr>
          <w:spacing w:val="-15"/>
          <w:sz w:val="21"/>
        </w:rPr>
        <w:t xml:space="preserve"> </w:t>
      </w:r>
      <w:r>
        <w:rPr>
          <w:sz w:val="21"/>
        </w:rPr>
        <w:t>B</w:t>
      </w:r>
      <w:r>
        <w:rPr>
          <w:spacing w:val="-9"/>
          <w:sz w:val="21"/>
        </w:rPr>
        <w:t xml:space="preserve"> </w:t>
      </w:r>
      <w:r>
        <w:rPr>
          <w:spacing w:val="-9"/>
          <w:sz w:val="21"/>
        </w:rPr>
        <w:t>所列内容查询联网用户的消防安全管理信息。</w:t>
      </w:r>
      <w:r>
        <w:rPr>
          <w:sz w:val="21"/>
        </w:rPr>
        <w:t xml:space="preserve"> </w:t>
      </w:r>
    </w:p>
    <w:p w14:paraId="7398A4A8" w14:textId="77777777" w:rsidR="00A71EEF" w:rsidRDefault="00A71EEF">
      <w:pPr>
        <w:pStyle w:val="a3"/>
        <w:rPr>
          <w:sz w:val="18"/>
        </w:rPr>
      </w:pPr>
    </w:p>
    <w:p w14:paraId="41F1AAC1" w14:textId="77777777" w:rsidR="00A71EEF" w:rsidRDefault="0081115D">
      <w:pPr>
        <w:pStyle w:val="a4"/>
        <w:numPr>
          <w:ilvl w:val="0"/>
          <w:numId w:val="586"/>
        </w:numPr>
        <w:tabs>
          <w:tab w:val="left" w:pos="1367"/>
        </w:tabs>
        <w:rPr>
          <w:sz w:val="21"/>
        </w:rPr>
      </w:pPr>
      <w:r>
        <w:rPr>
          <w:spacing w:val="-3"/>
          <w:sz w:val="21"/>
        </w:rPr>
        <w:t>查询联网用户的日常值班、在岗等信息。</w:t>
      </w:r>
      <w:r>
        <w:rPr>
          <w:sz w:val="21"/>
        </w:rPr>
        <w:t xml:space="preserve"> </w:t>
      </w:r>
    </w:p>
    <w:p w14:paraId="6F309357" w14:textId="77777777" w:rsidR="00A71EEF" w:rsidRDefault="0081115D">
      <w:pPr>
        <w:pStyle w:val="a4"/>
        <w:numPr>
          <w:ilvl w:val="0"/>
          <w:numId w:val="586"/>
        </w:numPr>
        <w:tabs>
          <w:tab w:val="left" w:pos="1367"/>
        </w:tabs>
        <w:spacing w:before="165" w:line="350" w:lineRule="auto"/>
        <w:ind w:left="418" w:right="1608" w:firstLine="419"/>
        <w:rPr>
          <w:sz w:val="21"/>
        </w:rPr>
      </w:pPr>
      <w:r>
        <w:rPr>
          <w:spacing w:val="-9"/>
          <w:sz w:val="21"/>
        </w:rPr>
        <w:t>对本条第</w:t>
      </w:r>
      <w:r>
        <w:rPr>
          <w:spacing w:val="-9"/>
          <w:sz w:val="21"/>
        </w:rPr>
        <w:t xml:space="preserve"> </w:t>
      </w:r>
      <w:r>
        <w:rPr>
          <w:sz w:val="21"/>
        </w:rPr>
        <w:t>1</w:t>
      </w:r>
      <w:r>
        <w:rPr>
          <w:rFonts w:ascii="微软雅黑" w:eastAsia="微软雅黑" w:hint="eastAsia"/>
          <w:sz w:val="21"/>
        </w:rPr>
        <w:t>〜</w:t>
      </w:r>
      <w:r>
        <w:rPr>
          <w:sz w:val="21"/>
        </w:rPr>
        <w:t>4</w:t>
      </w:r>
      <w:r>
        <w:rPr>
          <w:spacing w:val="-7"/>
          <w:sz w:val="21"/>
        </w:rPr>
        <w:t xml:space="preserve"> </w:t>
      </w:r>
      <w:r>
        <w:rPr>
          <w:spacing w:val="-7"/>
          <w:sz w:val="21"/>
        </w:rPr>
        <w:t>款的信息，能按日期、单位名称、单位类型、建筑物类型、建筑消防</w:t>
      </w:r>
      <w:r>
        <w:rPr>
          <w:spacing w:val="-5"/>
          <w:sz w:val="21"/>
        </w:rPr>
        <w:t>设施类型、信息类型等检索项进行检索和统计。</w:t>
      </w:r>
      <w:r>
        <w:rPr>
          <w:sz w:val="21"/>
        </w:rPr>
        <w:t xml:space="preserve"> </w:t>
      </w:r>
    </w:p>
    <w:p w14:paraId="359159A8" w14:textId="77777777" w:rsidR="00A71EEF" w:rsidRDefault="0081115D">
      <w:pPr>
        <w:spacing w:before="108"/>
        <w:ind w:left="840"/>
        <w:rPr>
          <w:b/>
          <w:sz w:val="21"/>
        </w:rPr>
      </w:pPr>
      <w:r>
        <w:rPr>
          <w:b/>
          <w:sz w:val="21"/>
        </w:rPr>
        <w:t>5.2.4</w:t>
      </w:r>
      <w:r>
        <w:rPr>
          <w:b/>
          <w:spacing w:val="17"/>
          <w:sz w:val="21"/>
        </w:rPr>
        <w:t xml:space="preserve"> </w:t>
      </w:r>
      <w:r>
        <w:rPr>
          <w:spacing w:val="-3"/>
          <w:sz w:val="21"/>
        </w:rPr>
        <w:t>用户服务系统应具有下列功能：</w:t>
      </w:r>
      <w:r>
        <w:rPr>
          <w:b/>
          <w:w w:val="99"/>
          <w:sz w:val="21"/>
        </w:rPr>
        <w:t xml:space="preserve"> </w:t>
      </w:r>
    </w:p>
    <w:p w14:paraId="24294EFC" w14:textId="77777777" w:rsidR="00A71EEF" w:rsidRDefault="00A71EEF">
      <w:pPr>
        <w:pStyle w:val="a3"/>
        <w:spacing w:before="2"/>
        <w:rPr>
          <w:b/>
          <w:sz w:val="18"/>
        </w:rPr>
      </w:pPr>
    </w:p>
    <w:p w14:paraId="5FC7E1ED" w14:textId="77777777" w:rsidR="00A71EEF" w:rsidRDefault="0081115D">
      <w:pPr>
        <w:pStyle w:val="a4"/>
        <w:numPr>
          <w:ilvl w:val="0"/>
          <w:numId w:val="585"/>
        </w:numPr>
        <w:tabs>
          <w:tab w:val="left" w:pos="1367"/>
        </w:tabs>
        <w:spacing w:line="446" w:lineRule="auto"/>
        <w:ind w:right="1505" w:firstLine="419"/>
        <w:rPr>
          <w:sz w:val="21"/>
        </w:rPr>
      </w:pPr>
      <w:r>
        <w:rPr>
          <w:spacing w:val="-3"/>
          <w:sz w:val="21"/>
        </w:rPr>
        <w:t>为联网用户提供查询其自身的火灾报警、建筑消防设施运行状态信息及消防安全管理信息的服务平台。</w:t>
      </w:r>
      <w:r>
        <w:rPr>
          <w:sz w:val="21"/>
        </w:rPr>
        <w:t xml:space="preserve"> </w:t>
      </w:r>
    </w:p>
    <w:p w14:paraId="12332CC6" w14:textId="77777777" w:rsidR="00A71EEF" w:rsidRDefault="0081115D">
      <w:pPr>
        <w:pStyle w:val="a4"/>
        <w:numPr>
          <w:ilvl w:val="0"/>
          <w:numId w:val="585"/>
        </w:numPr>
        <w:tabs>
          <w:tab w:val="left" w:pos="1367"/>
        </w:tabs>
        <w:spacing w:line="267" w:lineRule="exact"/>
        <w:ind w:left="1367"/>
        <w:rPr>
          <w:sz w:val="21"/>
        </w:rPr>
      </w:pPr>
      <w:r>
        <w:rPr>
          <w:spacing w:val="-3"/>
          <w:sz w:val="21"/>
        </w:rPr>
        <w:t>对联网用户的建筑消防设施日常维护保养情况进行管理。</w:t>
      </w:r>
      <w:r>
        <w:rPr>
          <w:sz w:val="21"/>
        </w:rPr>
        <w:t xml:space="preserve"> </w:t>
      </w:r>
    </w:p>
    <w:p w14:paraId="50495C14" w14:textId="77777777" w:rsidR="00A71EEF" w:rsidRDefault="00A71EEF">
      <w:pPr>
        <w:pStyle w:val="a3"/>
        <w:spacing w:before="2"/>
        <w:rPr>
          <w:sz w:val="18"/>
        </w:rPr>
      </w:pPr>
    </w:p>
    <w:p w14:paraId="295E554A" w14:textId="77777777" w:rsidR="00A71EEF" w:rsidRDefault="0081115D">
      <w:pPr>
        <w:pStyle w:val="a4"/>
        <w:numPr>
          <w:ilvl w:val="0"/>
          <w:numId w:val="585"/>
        </w:numPr>
        <w:tabs>
          <w:tab w:val="left" w:pos="1367"/>
        </w:tabs>
        <w:ind w:left="1367"/>
        <w:rPr>
          <w:sz w:val="21"/>
        </w:rPr>
      </w:pPr>
      <w:r>
        <w:rPr>
          <w:spacing w:val="-3"/>
          <w:sz w:val="21"/>
        </w:rPr>
        <w:t>为联网用户提供消防安全管理信息的数据录入、编辑服务。</w:t>
      </w:r>
      <w:r>
        <w:rPr>
          <w:sz w:val="21"/>
        </w:rPr>
        <w:t xml:space="preserve"> </w:t>
      </w:r>
    </w:p>
    <w:p w14:paraId="22FAD28C" w14:textId="77777777" w:rsidR="00A71EEF" w:rsidRDefault="00A71EEF">
      <w:pPr>
        <w:rPr>
          <w:sz w:val="21"/>
        </w:rPr>
        <w:sectPr w:rsidR="00A71EEF">
          <w:pgSz w:w="11910" w:h="16850"/>
          <w:pgMar w:top="1220" w:right="0" w:bottom="1420" w:left="1260" w:header="0" w:footer="1239" w:gutter="0"/>
          <w:cols w:space="720"/>
        </w:sectPr>
      </w:pPr>
    </w:p>
    <w:p w14:paraId="0B6C1676" w14:textId="77777777" w:rsidR="00A71EEF" w:rsidRDefault="0081115D">
      <w:pPr>
        <w:pStyle w:val="a4"/>
        <w:numPr>
          <w:ilvl w:val="0"/>
          <w:numId w:val="585"/>
        </w:numPr>
        <w:tabs>
          <w:tab w:val="left" w:pos="1367"/>
        </w:tabs>
        <w:spacing w:before="47" w:line="446" w:lineRule="auto"/>
        <w:ind w:right="1714" w:firstLine="419"/>
        <w:rPr>
          <w:sz w:val="21"/>
        </w:rPr>
      </w:pPr>
      <w:r>
        <w:rPr>
          <w:spacing w:val="-3"/>
          <w:sz w:val="21"/>
        </w:rPr>
        <w:t>通过随机查岗，实现联网用户的消防安全负责人对值班人员日常值班工作的远程监督。</w:t>
      </w:r>
      <w:r>
        <w:rPr>
          <w:sz w:val="21"/>
        </w:rPr>
        <w:t xml:space="preserve"> </w:t>
      </w:r>
    </w:p>
    <w:p w14:paraId="4CA658ED" w14:textId="77777777" w:rsidR="00A71EEF" w:rsidRDefault="0081115D">
      <w:pPr>
        <w:pStyle w:val="a4"/>
        <w:numPr>
          <w:ilvl w:val="0"/>
          <w:numId w:val="585"/>
        </w:numPr>
        <w:tabs>
          <w:tab w:val="left" w:pos="1367"/>
        </w:tabs>
        <w:spacing w:line="267" w:lineRule="exact"/>
        <w:ind w:left="1367"/>
        <w:rPr>
          <w:sz w:val="21"/>
        </w:rPr>
      </w:pPr>
      <w:r>
        <w:rPr>
          <w:spacing w:val="-3"/>
          <w:sz w:val="21"/>
        </w:rPr>
        <w:t>为联网用户提供使用权限。</w:t>
      </w:r>
      <w:r>
        <w:rPr>
          <w:sz w:val="21"/>
        </w:rPr>
        <w:t xml:space="preserve"> </w:t>
      </w:r>
    </w:p>
    <w:p w14:paraId="24AE4E72" w14:textId="77777777" w:rsidR="00A71EEF" w:rsidRDefault="00A71EEF">
      <w:pPr>
        <w:pStyle w:val="a3"/>
        <w:spacing w:before="2"/>
        <w:rPr>
          <w:sz w:val="18"/>
        </w:rPr>
      </w:pPr>
    </w:p>
    <w:p w14:paraId="4E0436CB" w14:textId="77777777" w:rsidR="00A71EEF" w:rsidRDefault="0081115D">
      <w:pPr>
        <w:pStyle w:val="a4"/>
        <w:numPr>
          <w:ilvl w:val="0"/>
          <w:numId w:val="585"/>
        </w:numPr>
        <w:tabs>
          <w:tab w:val="left" w:pos="1367"/>
        </w:tabs>
        <w:spacing w:line="446" w:lineRule="auto"/>
        <w:ind w:left="840" w:right="3503" w:hanging="3"/>
        <w:rPr>
          <w:b/>
          <w:sz w:val="21"/>
        </w:rPr>
      </w:pPr>
      <w:r>
        <w:rPr>
          <w:spacing w:val="-3"/>
          <w:sz w:val="21"/>
        </w:rPr>
        <w:t>为联网用户提供消防法律法规、消防常识和火灾情况等信息。</w:t>
      </w:r>
      <w:r>
        <w:rPr>
          <w:b/>
          <w:sz w:val="21"/>
        </w:rPr>
        <w:t xml:space="preserve">5.2.5 </w:t>
      </w:r>
      <w:r>
        <w:rPr>
          <w:spacing w:val="-3"/>
          <w:sz w:val="21"/>
        </w:rPr>
        <w:t>火警信息终端应具有下列功能：</w:t>
      </w:r>
      <w:r>
        <w:rPr>
          <w:b/>
          <w:w w:val="99"/>
          <w:sz w:val="21"/>
        </w:rPr>
        <w:t xml:space="preserve"> </w:t>
      </w:r>
    </w:p>
    <w:p w14:paraId="12B6D940" w14:textId="77777777" w:rsidR="00A71EEF" w:rsidRDefault="0081115D">
      <w:pPr>
        <w:pStyle w:val="a4"/>
        <w:numPr>
          <w:ilvl w:val="0"/>
          <w:numId w:val="584"/>
        </w:numPr>
        <w:tabs>
          <w:tab w:val="left" w:pos="1367"/>
        </w:tabs>
        <w:spacing w:line="446" w:lineRule="auto"/>
        <w:ind w:right="1508" w:firstLine="419"/>
        <w:rPr>
          <w:sz w:val="21"/>
        </w:rPr>
      </w:pPr>
      <w:r>
        <w:rPr>
          <w:spacing w:val="-3"/>
          <w:sz w:val="21"/>
        </w:rPr>
        <w:t>接收监控中心发送的联网用户火灾报警信息，向其反馈接收确认信号，并发出明显的声、光提示信号。</w:t>
      </w:r>
      <w:r>
        <w:rPr>
          <w:sz w:val="21"/>
        </w:rPr>
        <w:t xml:space="preserve"> </w:t>
      </w:r>
    </w:p>
    <w:p w14:paraId="0BB91504" w14:textId="77777777" w:rsidR="00A71EEF" w:rsidRDefault="0081115D">
      <w:pPr>
        <w:pStyle w:val="a4"/>
        <w:numPr>
          <w:ilvl w:val="0"/>
          <w:numId w:val="584"/>
        </w:numPr>
        <w:tabs>
          <w:tab w:val="left" w:pos="1367"/>
        </w:tabs>
        <w:spacing w:line="446" w:lineRule="auto"/>
        <w:ind w:right="1505" w:firstLine="419"/>
        <w:rPr>
          <w:sz w:val="21"/>
        </w:rPr>
      </w:pPr>
      <w:r>
        <w:rPr>
          <w:spacing w:val="-3"/>
          <w:sz w:val="21"/>
        </w:rPr>
        <w:t>显示报警联网用户的名称、地址、联系电话、内部报警点位置、监控中心接警员、火警信息终端警情接收时间等信息。</w:t>
      </w:r>
      <w:r>
        <w:rPr>
          <w:sz w:val="21"/>
        </w:rPr>
        <w:t xml:space="preserve"> </w:t>
      </w:r>
    </w:p>
    <w:p w14:paraId="5667E6BC" w14:textId="77777777" w:rsidR="00A71EEF" w:rsidRDefault="0081115D">
      <w:pPr>
        <w:pStyle w:val="a4"/>
        <w:numPr>
          <w:ilvl w:val="0"/>
          <w:numId w:val="584"/>
        </w:numPr>
        <w:tabs>
          <w:tab w:val="left" w:pos="1367"/>
        </w:tabs>
        <w:spacing w:line="446" w:lineRule="auto"/>
        <w:ind w:left="840" w:right="6234" w:hanging="3"/>
        <w:rPr>
          <w:b/>
          <w:sz w:val="21"/>
        </w:rPr>
      </w:pPr>
      <w:r>
        <w:rPr>
          <w:spacing w:val="-3"/>
          <w:sz w:val="21"/>
        </w:rPr>
        <w:t>具有设备自检及故障报警功能。</w:t>
      </w:r>
      <w:r>
        <w:rPr>
          <w:b/>
          <w:sz w:val="21"/>
        </w:rPr>
        <w:t>5.3</w:t>
      </w:r>
      <w:r>
        <w:rPr>
          <w:b/>
          <w:spacing w:val="2"/>
          <w:sz w:val="21"/>
        </w:rPr>
        <w:t xml:space="preserve"> </w:t>
      </w:r>
      <w:r>
        <w:rPr>
          <w:spacing w:val="-3"/>
          <w:sz w:val="21"/>
        </w:rPr>
        <w:t>系统电源要求</w:t>
      </w:r>
      <w:r>
        <w:rPr>
          <w:b/>
          <w:w w:val="99"/>
          <w:sz w:val="21"/>
        </w:rPr>
        <w:t xml:space="preserve"> </w:t>
      </w:r>
    </w:p>
    <w:p w14:paraId="6B0BA18C" w14:textId="77777777" w:rsidR="00A71EEF" w:rsidRDefault="0081115D">
      <w:pPr>
        <w:pStyle w:val="a4"/>
        <w:numPr>
          <w:ilvl w:val="2"/>
          <w:numId w:val="583"/>
        </w:numPr>
        <w:tabs>
          <w:tab w:val="left" w:pos="1371"/>
        </w:tabs>
        <w:spacing w:line="446" w:lineRule="auto"/>
        <w:ind w:right="1604" w:firstLine="422"/>
        <w:rPr>
          <w:sz w:val="21"/>
        </w:rPr>
      </w:pPr>
      <w:r>
        <w:rPr>
          <w:spacing w:val="-3"/>
          <w:sz w:val="21"/>
        </w:rPr>
        <w:t>监控中心的电源应按所在建筑物的最高等级配置，且不应</w:t>
      </w:r>
      <w:r>
        <w:rPr>
          <w:spacing w:val="-3"/>
          <w:sz w:val="21"/>
        </w:rPr>
        <w:t>低于二级负荷，并应保证不间断供电。</w:t>
      </w:r>
      <w:r>
        <w:rPr>
          <w:sz w:val="21"/>
        </w:rPr>
        <w:t xml:space="preserve"> </w:t>
      </w:r>
    </w:p>
    <w:p w14:paraId="38415D3D" w14:textId="77777777" w:rsidR="00A71EEF" w:rsidRDefault="0081115D">
      <w:pPr>
        <w:pStyle w:val="a4"/>
        <w:numPr>
          <w:ilvl w:val="2"/>
          <w:numId w:val="583"/>
        </w:numPr>
        <w:tabs>
          <w:tab w:val="left" w:pos="1370"/>
        </w:tabs>
        <w:spacing w:line="446" w:lineRule="auto"/>
        <w:ind w:right="1604" w:firstLine="422"/>
        <w:rPr>
          <w:sz w:val="21"/>
        </w:rPr>
      </w:pPr>
      <w:r>
        <w:rPr>
          <w:spacing w:val="-3"/>
          <w:sz w:val="21"/>
        </w:rPr>
        <w:t>用户信息传输装置的主电源应有明显标识，并应直接与消防电源连接，不应使用电源插头；用户信息传输装置与其外接备用电源之间应直接连接。</w:t>
      </w:r>
      <w:r>
        <w:rPr>
          <w:sz w:val="21"/>
        </w:rPr>
        <w:t xml:space="preserve"> </w:t>
      </w:r>
    </w:p>
    <w:p w14:paraId="3EA2BDDC" w14:textId="77777777" w:rsidR="00A71EEF" w:rsidRDefault="0081115D">
      <w:pPr>
        <w:pStyle w:val="4"/>
        <w:spacing w:line="277" w:lineRule="exact"/>
      </w:pPr>
      <w:r>
        <w:t xml:space="preserve">6 </w:t>
      </w:r>
      <w:r>
        <w:t>系统施工</w:t>
      </w:r>
      <w:r>
        <w:rPr>
          <w:w w:val="99"/>
        </w:rPr>
        <w:t xml:space="preserve"> </w:t>
      </w:r>
    </w:p>
    <w:p w14:paraId="045A6C74" w14:textId="77777777" w:rsidR="00A71EEF" w:rsidRDefault="00A71EEF">
      <w:pPr>
        <w:pStyle w:val="a3"/>
        <w:rPr>
          <w:b/>
          <w:sz w:val="17"/>
        </w:rPr>
      </w:pPr>
    </w:p>
    <w:p w14:paraId="1BFF5537" w14:textId="77777777" w:rsidR="00A71EEF" w:rsidRDefault="0081115D">
      <w:pPr>
        <w:pStyle w:val="a4"/>
        <w:numPr>
          <w:ilvl w:val="1"/>
          <w:numId w:val="582"/>
        </w:numPr>
        <w:tabs>
          <w:tab w:val="left" w:pos="1159"/>
        </w:tabs>
        <w:ind w:hanging="319"/>
        <w:rPr>
          <w:b/>
          <w:sz w:val="21"/>
        </w:rPr>
      </w:pPr>
      <w:r>
        <w:rPr>
          <w:spacing w:val="-3"/>
          <w:sz w:val="21"/>
        </w:rPr>
        <w:t>一般规定</w:t>
      </w:r>
      <w:r>
        <w:rPr>
          <w:b/>
          <w:w w:val="99"/>
          <w:sz w:val="21"/>
        </w:rPr>
        <w:t xml:space="preserve"> </w:t>
      </w:r>
    </w:p>
    <w:p w14:paraId="2D74E5DD" w14:textId="77777777" w:rsidR="00A71EEF" w:rsidRDefault="00A71EEF">
      <w:pPr>
        <w:pStyle w:val="a3"/>
        <w:spacing w:before="12"/>
        <w:rPr>
          <w:b/>
          <w:sz w:val="17"/>
        </w:rPr>
      </w:pPr>
    </w:p>
    <w:p w14:paraId="78A322AD" w14:textId="77777777" w:rsidR="00A71EEF" w:rsidRDefault="0081115D">
      <w:pPr>
        <w:pStyle w:val="a4"/>
        <w:numPr>
          <w:ilvl w:val="2"/>
          <w:numId w:val="582"/>
        </w:numPr>
        <w:tabs>
          <w:tab w:val="left" w:pos="1370"/>
        </w:tabs>
        <w:spacing w:line="446" w:lineRule="auto"/>
        <w:ind w:right="1813" w:firstLine="422"/>
        <w:rPr>
          <w:sz w:val="21"/>
        </w:rPr>
      </w:pPr>
      <w:r>
        <w:rPr>
          <w:spacing w:val="-3"/>
          <w:sz w:val="21"/>
        </w:rPr>
        <w:t>远程监控系统的施工单位应有消防、计算机网络、通信、机房安装等相应技术人员。</w:t>
      </w:r>
      <w:r>
        <w:rPr>
          <w:sz w:val="21"/>
        </w:rPr>
        <w:t xml:space="preserve"> </w:t>
      </w:r>
    </w:p>
    <w:p w14:paraId="25764D6C" w14:textId="77777777" w:rsidR="00A71EEF" w:rsidRDefault="0081115D">
      <w:pPr>
        <w:pStyle w:val="a4"/>
        <w:numPr>
          <w:ilvl w:val="2"/>
          <w:numId w:val="582"/>
        </w:numPr>
        <w:tabs>
          <w:tab w:val="left" w:pos="1370"/>
        </w:tabs>
        <w:spacing w:before="1"/>
        <w:ind w:left="1369" w:hanging="530"/>
        <w:rPr>
          <w:sz w:val="21"/>
        </w:rPr>
      </w:pPr>
      <w:r>
        <w:rPr>
          <w:spacing w:val="-3"/>
          <w:sz w:val="21"/>
        </w:rPr>
        <w:t>远程监控系统施工应按照工程设计文件和施工技术标准进行。</w:t>
      </w:r>
      <w:r>
        <w:rPr>
          <w:sz w:val="21"/>
        </w:rPr>
        <w:t xml:space="preserve"> </w:t>
      </w:r>
    </w:p>
    <w:p w14:paraId="4684E467" w14:textId="77777777" w:rsidR="00A71EEF" w:rsidRDefault="00A71EEF">
      <w:pPr>
        <w:pStyle w:val="a3"/>
        <w:spacing w:before="12"/>
        <w:rPr>
          <w:sz w:val="17"/>
        </w:rPr>
      </w:pPr>
    </w:p>
    <w:p w14:paraId="733B17C9" w14:textId="77777777" w:rsidR="00A71EEF" w:rsidRDefault="0081115D">
      <w:pPr>
        <w:pStyle w:val="a4"/>
        <w:numPr>
          <w:ilvl w:val="2"/>
          <w:numId w:val="582"/>
        </w:numPr>
        <w:tabs>
          <w:tab w:val="left" w:pos="1370"/>
        </w:tabs>
        <w:spacing w:line="446" w:lineRule="auto"/>
        <w:ind w:right="1604" w:firstLine="422"/>
        <w:jc w:val="both"/>
        <w:rPr>
          <w:sz w:val="21"/>
        </w:rPr>
      </w:pPr>
      <w:r>
        <w:rPr>
          <w:spacing w:val="-3"/>
          <w:sz w:val="21"/>
        </w:rPr>
        <w:t>远程监控系统施工前，应具备系统图、设备布置平面图、网络拓扑图、网络布线连接图、防雷接地与防静电接地布线连接图及火灾自动报警系统等建筑消防设施的对外输出接口技术参数、通信协议、系统调试方案等必要的技术文件。</w:t>
      </w:r>
      <w:r>
        <w:rPr>
          <w:sz w:val="21"/>
        </w:rPr>
        <w:t xml:space="preserve"> </w:t>
      </w:r>
    </w:p>
    <w:p w14:paraId="3D0C6817" w14:textId="77777777" w:rsidR="00A71EEF" w:rsidRDefault="0081115D">
      <w:pPr>
        <w:pStyle w:val="a4"/>
        <w:numPr>
          <w:ilvl w:val="2"/>
          <w:numId w:val="582"/>
        </w:numPr>
        <w:tabs>
          <w:tab w:val="left" w:pos="1370"/>
        </w:tabs>
        <w:spacing w:line="446" w:lineRule="auto"/>
        <w:ind w:right="1604" w:firstLine="422"/>
        <w:jc w:val="both"/>
        <w:rPr>
          <w:sz w:val="21"/>
        </w:rPr>
      </w:pPr>
      <w:r>
        <w:rPr>
          <w:spacing w:val="-3"/>
          <w:sz w:val="21"/>
        </w:rPr>
        <w:t>远程监控系统施工前，应对设备、材料及配件进行进场检查，检查不合格者不得使用。设备、材料及配件进入施工现场应有清单、使用说明书、产品合格证书、国家法定检验机构的检验报告等文件，且规格、型号应符合设计要求。</w:t>
      </w:r>
      <w:r>
        <w:rPr>
          <w:sz w:val="21"/>
        </w:rPr>
        <w:t xml:space="preserve"> </w:t>
      </w:r>
    </w:p>
    <w:p w14:paraId="20020DC1" w14:textId="77777777" w:rsidR="00A71EEF" w:rsidRDefault="0081115D">
      <w:pPr>
        <w:pStyle w:val="a4"/>
        <w:numPr>
          <w:ilvl w:val="2"/>
          <w:numId w:val="582"/>
        </w:numPr>
        <w:tabs>
          <w:tab w:val="left" w:pos="1370"/>
        </w:tabs>
        <w:spacing w:line="268" w:lineRule="exact"/>
        <w:ind w:left="1369" w:hanging="530"/>
        <w:rPr>
          <w:sz w:val="21"/>
        </w:rPr>
      </w:pPr>
      <w:r>
        <w:rPr>
          <w:spacing w:val="-3"/>
          <w:sz w:val="21"/>
        </w:rPr>
        <w:t>远程监控系统施工过程中，施工单位应做好设计变更、安装调试等相关记录。</w:t>
      </w:r>
      <w:r>
        <w:rPr>
          <w:sz w:val="21"/>
        </w:rPr>
        <w:t xml:space="preserve"> </w:t>
      </w:r>
    </w:p>
    <w:p w14:paraId="09D65EF6" w14:textId="77777777" w:rsidR="00A71EEF" w:rsidRDefault="00A71EEF">
      <w:pPr>
        <w:pStyle w:val="a3"/>
        <w:rPr>
          <w:sz w:val="18"/>
        </w:rPr>
      </w:pPr>
    </w:p>
    <w:p w14:paraId="0005BF8A" w14:textId="77777777" w:rsidR="00A71EEF" w:rsidRDefault="0081115D">
      <w:pPr>
        <w:pStyle w:val="a4"/>
        <w:numPr>
          <w:ilvl w:val="2"/>
          <w:numId w:val="582"/>
        </w:numPr>
        <w:tabs>
          <w:tab w:val="left" w:pos="1370"/>
        </w:tabs>
        <w:ind w:left="1369" w:hanging="530"/>
        <w:rPr>
          <w:sz w:val="21"/>
        </w:rPr>
      </w:pPr>
      <w:r>
        <w:rPr>
          <w:spacing w:val="-3"/>
          <w:sz w:val="21"/>
        </w:rPr>
        <w:t>远程监控系统的施工过程质量控制应符合下列要求：</w:t>
      </w:r>
      <w:r>
        <w:rPr>
          <w:sz w:val="21"/>
        </w:rPr>
        <w:t xml:space="preserve"> </w:t>
      </w:r>
    </w:p>
    <w:p w14:paraId="7791BF23" w14:textId="77777777" w:rsidR="00A71EEF" w:rsidRDefault="00A71EEF">
      <w:pPr>
        <w:rPr>
          <w:sz w:val="21"/>
        </w:rPr>
        <w:sectPr w:rsidR="00A71EEF">
          <w:pgSz w:w="11910" w:h="16850"/>
          <w:pgMar w:top="1220" w:right="0" w:bottom="1420" w:left="1260" w:header="0" w:footer="1239" w:gutter="0"/>
          <w:cols w:space="720"/>
        </w:sectPr>
      </w:pPr>
    </w:p>
    <w:p w14:paraId="2D5E8FCA" w14:textId="77777777" w:rsidR="00A71EEF" w:rsidRDefault="0081115D">
      <w:pPr>
        <w:pStyle w:val="a4"/>
        <w:numPr>
          <w:ilvl w:val="0"/>
          <w:numId w:val="581"/>
        </w:numPr>
        <w:tabs>
          <w:tab w:val="left" w:pos="1367"/>
        </w:tabs>
        <w:spacing w:before="47" w:line="446" w:lineRule="auto"/>
        <w:ind w:right="1505" w:firstLine="419"/>
        <w:rPr>
          <w:sz w:val="21"/>
        </w:rPr>
      </w:pPr>
      <w:r>
        <w:rPr>
          <w:spacing w:val="-3"/>
          <w:sz w:val="21"/>
        </w:rPr>
        <w:t>各工序应按施工技术标准进行质量控制，每道工序完成并检查合格后，方可进行下道工序。检查不合格，应进行整改。</w:t>
      </w:r>
      <w:r>
        <w:rPr>
          <w:sz w:val="21"/>
        </w:rPr>
        <w:t xml:space="preserve"> </w:t>
      </w:r>
    </w:p>
    <w:p w14:paraId="1FBEF334" w14:textId="77777777" w:rsidR="00A71EEF" w:rsidRDefault="0081115D">
      <w:pPr>
        <w:pStyle w:val="a4"/>
        <w:numPr>
          <w:ilvl w:val="0"/>
          <w:numId w:val="581"/>
        </w:numPr>
        <w:tabs>
          <w:tab w:val="left" w:pos="1367"/>
        </w:tabs>
        <w:spacing w:line="267" w:lineRule="exact"/>
        <w:ind w:left="1367"/>
        <w:rPr>
          <w:sz w:val="21"/>
        </w:rPr>
      </w:pPr>
      <w:r>
        <w:rPr>
          <w:spacing w:val="-3"/>
          <w:sz w:val="21"/>
        </w:rPr>
        <w:t>隐蔽工程在隐蔽前应进行验收，并形成验收文件。</w:t>
      </w:r>
      <w:r>
        <w:rPr>
          <w:sz w:val="21"/>
        </w:rPr>
        <w:t xml:space="preserve"> </w:t>
      </w:r>
    </w:p>
    <w:p w14:paraId="7B84DBEB" w14:textId="77777777" w:rsidR="00A71EEF" w:rsidRDefault="00A71EEF">
      <w:pPr>
        <w:pStyle w:val="a3"/>
        <w:spacing w:before="2"/>
        <w:rPr>
          <w:sz w:val="18"/>
        </w:rPr>
      </w:pPr>
    </w:p>
    <w:p w14:paraId="32F5B1E5" w14:textId="77777777" w:rsidR="00A71EEF" w:rsidRDefault="0081115D">
      <w:pPr>
        <w:pStyle w:val="a4"/>
        <w:numPr>
          <w:ilvl w:val="0"/>
          <w:numId w:val="581"/>
        </w:numPr>
        <w:tabs>
          <w:tab w:val="left" w:pos="1367"/>
        </w:tabs>
        <w:spacing w:line="446" w:lineRule="auto"/>
        <w:ind w:right="1714" w:firstLine="419"/>
        <w:rPr>
          <w:sz w:val="21"/>
        </w:rPr>
      </w:pPr>
      <w:r>
        <w:rPr>
          <w:spacing w:val="-3"/>
          <w:sz w:val="21"/>
        </w:rPr>
        <w:t>相关各专业工种之间应进行交接检验，并经监理工程师签字确认后方可进行下道工序。</w:t>
      </w:r>
      <w:r>
        <w:rPr>
          <w:sz w:val="21"/>
        </w:rPr>
        <w:t xml:space="preserve"> </w:t>
      </w:r>
    </w:p>
    <w:p w14:paraId="16B66AD9" w14:textId="77777777" w:rsidR="00A71EEF" w:rsidRDefault="0081115D">
      <w:pPr>
        <w:pStyle w:val="a4"/>
        <w:numPr>
          <w:ilvl w:val="0"/>
          <w:numId w:val="581"/>
        </w:numPr>
        <w:tabs>
          <w:tab w:val="left" w:pos="1367"/>
        </w:tabs>
        <w:spacing w:line="446" w:lineRule="auto"/>
        <w:ind w:right="1505" w:firstLine="419"/>
        <w:rPr>
          <w:sz w:val="21"/>
        </w:rPr>
      </w:pPr>
      <w:r>
        <w:rPr>
          <w:spacing w:val="-3"/>
          <w:sz w:val="21"/>
        </w:rPr>
        <w:t>安装完成后，施工单位应对远程监控系统的安装质量进行全数检查，并按有关专业调试规定进行调试。</w:t>
      </w:r>
      <w:r>
        <w:rPr>
          <w:sz w:val="21"/>
        </w:rPr>
        <w:t xml:space="preserve"> </w:t>
      </w:r>
    </w:p>
    <w:p w14:paraId="6F2DB356" w14:textId="77777777" w:rsidR="00A71EEF" w:rsidRDefault="0081115D">
      <w:pPr>
        <w:pStyle w:val="a4"/>
        <w:numPr>
          <w:ilvl w:val="0"/>
          <w:numId w:val="581"/>
        </w:numPr>
        <w:tabs>
          <w:tab w:val="left" w:pos="1367"/>
        </w:tabs>
        <w:spacing w:line="446" w:lineRule="auto"/>
        <w:ind w:right="1505" w:firstLine="419"/>
        <w:rPr>
          <w:sz w:val="21"/>
        </w:rPr>
      </w:pPr>
      <w:r>
        <w:rPr>
          <w:spacing w:val="-6"/>
          <w:sz w:val="21"/>
        </w:rPr>
        <w:t>施工过程质量检查记录应按附录</w:t>
      </w:r>
      <w:r>
        <w:rPr>
          <w:spacing w:val="-6"/>
          <w:sz w:val="21"/>
        </w:rPr>
        <w:t xml:space="preserve"> </w:t>
      </w:r>
      <w:r>
        <w:rPr>
          <w:sz w:val="21"/>
        </w:rPr>
        <w:t>C</w:t>
      </w:r>
      <w:r>
        <w:rPr>
          <w:spacing w:val="-7"/>
          <w:sz w:val="21"/>
        </w:rPr>
        <w:t xml:space="preserve"> </w:t>
      </w:r>
      <w:r>
        <w:rPr>
          <w:spacing w:val="-7"/>
          <w:sz w:val="21"/>
        </w:rPr>
        <w:t>填写</w:t>
      </w:r>
      <w:r>
        <w:rPr>
          <w:spacing w:val="-7"/>
          <w:sz w:val="21"/>
        </w:rPr>
        <w:t>“</w:t>
      </w:r>
      <w:r>
        <w:rPr>
          <w:spacing w:val="-7"/>
          <w:sz w:val="21"/>
        </w:rPr>
        <w:t>城市消防远程监控系统施工过程质量检查记</w:t>
      </w:r>
      <w:r>
        <w:rPr>
          <w:spacing w:val="-6"/>
          <w:sz w:val="21"/>
        </w:rPr>
        <w:t>录</w:t>
      </w:r>
      <w:r>
        <w:rPr>
          <w:spacing w:val="-6"/>
          <w:sz w:val="21"/>
        </w:rPr>
        <w:t>”</w:t>
      </w:r>
      <w:r>
        <w:rPr>
          <w:spacing w:val="-6"/>
          <w:sz w:val="21"/>
        </w:rPr>
        <w:t>。</w:t>
      </w:r>
      <w:r>
        <w:rPr>
          <w:sz w:val="21"/>
        </w:rPr>
        <w:t xml:space="preserve"> </w:t>
      </w:r>
    </w:p>
    <w:p w14:paraId="4745E666" w14:textId="77777777" w:rsidR="00A71EEF" w:rsidRDefault="0081115D">
      <w:pPr>
        <w:pStyle w:val="a4"/>
        <w:numPr>
          <w:ilvl w:val="1"/>
          <w:numId w:val="582"/>
        </w:numPr>
        <w:tabs>
          <w:tab w:val="left" w:pos="1159"/>
        </w:tabs>
        <w:ind w:hanging="319"/>
        <w:rPr>
          <w:b/>
          <w:sz w:val="21"/>
        </w:rPr>
      </w:pPr>
      <w:r>
        <w:rPr>
          <w:spacing w:val="-3"/>
          <w:sz w:val="21"/>
        </w:rPr>
        <w:t>安装</w:t>
      </w:r>
      <w:r>
        <w:rPr>
          <w:b/>
          <w:w w:val="99"/>
          <w:sz w:val="21"/>
        </w:rPr>
        <w:t xml:space="preserve"> </w:t>
      </w:r>
    </w:p>
    <w:p w14:paraId="5FA4B025" w14:textId="77777777" w:rsidR="00A71EEF" w:rsidRDefault="00A71EEF">
      <w:pPr>
        <w:pStyle w:val="a3"/>
        <w:spacing w:before="10"/>
        <w:rPr>
          <w:b/>
          <w:sz w:val="17"/>
        </w:rPr>
      </w:pPr>
    </w:p>
    <w:p w14:paraId="4C065428" w14:textId="77777777" w:rsidR="00A71EEF" w:rsidRDefault="0081115D">
      <w:pPr>
        <w:pStyle w:val="a4"/>
        <w:numPr>
          <w:ilvl w:val="2"/>
          <w:numId w:val="582"/>
        </w:numPr>
        <w:tabs>
          <w:tab w:val="left" w:pos="1370"/>
        </w:tabs>
        <w:ind w:left="1369" w:hanging="530"/>
        <w:rPr>
          <w:sz w:val="21"/>
        </w:rPr>
      </w:pPr>
      <w:r>
        <w:rPr>
          <w:spacing w:val="-3"/>
          <w:sz w:val="21"/>
        </w:rPr>
        <w:t>远程监控系统安装环境应符合下列要求：</w:t>
      </w:r>
      <w:r>
        <w:rPr>
          <w:sz w:val="21"/>
        </w:rPr>
        <w:t xml:space="preserve"> </w:t>
      </w:r>
    </w:p>
    <w:p w14:paraId="29D75EC5" w14:textId="77777777" w:rsidR="00A71EEF" w:rsidRDefault="00A71EEF">
      <w:pPr>
        <w:pStyle w:val="a3"/>
        <w:rPr>
          <w:sz w:val="18"/>
        </w:rPr>
      </w:pPr>
    </w:p>
    <w:p w14:paraId="465B760C" w14:textId="77777777" w:rsidR="00A71EEF" w:rsidRDefault="0081115D">
      <w:pPr>
        <w:pStyle w:val="a4"/>
        <w:numPr>
          <w:ilvl w:val="0"/>
          <w:numId w:val="580"/>
        </w:numPr>
        <w:tabs>
          <w:tab w:val="left" w:pos="1367"/>
        </w:tabs>
        <w:spacing w:line="446" w:lineRule="auto"/>
        <w:ind w:right="1400" w:firstLine="419"/>
        <w:rPr>
          <w:sz w:val="21"/>
        </w:rPr>
      </w:pPr>
      <w:r>
        <w:rPr>
          <w:spacing w:val="-3"/>
          <w:sz w:val="21"/>
        </w:rPr>
        <w:t>远程监控系统的室内布线应符合现行国家标准《建筑电气工程施工质量验收规范》</w:t>
      </w:r>
      <w:r>
        <w:rPr>
          <w:sz w:val="21"/>
        </w:rPr>
        <w:t>GB 50303</w:t>
      </w:r>
      <w:r>
        <w:rPr>
          <w:spacing w:val="-10"/>
          <w:sz w:val="21"/>
        </w:rPr>
        <w:t xml:space="preserve"> </w:t>
      </w:r>
      <w:r>
        <w:rPr>
          <w:spacing w:val="-10"/>
          <w:sz w:val="21"/>
        </w:rPr>
        <w:t>的有关要求。</w:t>
      </w:r>
      <w:r>
        <w:rPr>
          <w:sz w:val="21"/>
        </w:rPr>
        <w:t xml:space="preserve"> </w:t>
      </w:r>
    </w:p>
    <w:p w14:paraId="3DCC72F7" w14:textId="77777777" w:rsidR="00A71EEF" w:rsidRDefault="0081115D">
      <w:pPr>
        <w:pStyle w:val="a4"/>
        <w:numPr>
          <w:ilvl w:val="0"/>
          <w:numId w:val="580"/>
        </w:numPr>
        <w:tabs>
          <w:tab w:val="left" w:pos="1367"/>
        </w:tabs>
        <w:ind w:left="1367"/>
        <w:rPr>
          <w:sz w:val="21"/>
        </w:rPr>
      </w:pPr>
      <w:r>
        <w:rPr>
          <w:spacing w:val="-3"/>
          <w:sz w:val="21"/>
        </w:rPr>
        <w:t>远程监控系统的防雷接地应符合现行国家标准《建筑物电子信息系统防雷技术规范》</w:t>
      </w:r>
    </w:p>
    <w:p w14:paraId="676347F1" w14:textId="77777777" w:rsidR="00A71EEF" w:rsidRDefault="00A71EEF">
      <w:pPr>
        <w:pStyle w:val="a3"/>
        <w:rPr>
          <w:sz w:val="18"/>
        </w:rPr>
      </w:pPr>
    </w:p>
    <w:p w14:paraId="66CBDD10" w14:textId="77777777" w:rsidR="00A71EEF" w:rsidRDefault="0081115D">
      <w:pPr>
        <w:pStyle w:val="a3"/>
        <w:ind w:left="418"/>
      </w:pPr>
      <w:r>
        <w:t xml:space="preserve">GB 50343 </w:t>
      </w:r>
      <w:r>
        <w:t>的有关要求。</w:t>
      </w:r>
      <w:r>
        <w:t xml:space="preserve"> </w:t>
      </w:r>
    </w:p>
    <w:p w14:paraId="35EC99F6" w14:textId="77777777" w:rsidR="00A71EEF" w:rsidRDefault="00A71EEF">
      <w:pPr>
        <w:pStyle w:val="a3"/>
        <w:spacing w:before="1"/>
        <w:rPr>
          <w:sz w:val="18"/>
        </w:rPr>
      </w:pPr>
    </w:p>
    <w:p w14:paraId="50DB4277" w14:textId="77777777" w:rsidR="00A71EEF" w:rsidRDefault="0081115D">
      <w:pPr>
        <w:pStyle w:val="a4"/>
        <w:numPr>
          <w:ilvl w:val="2"/>
          <w:numId w:val="582"/>
        </w:numPr>
        <w:tabs>
          <w:tab w:val="left" w:pos="1370"/>
        </w:tabs>
        <w:spacing w:before="1"/>
        <w:ind w:left="1369" w:hanging="530"/>
        <w:rPr>
          <w:sz w:val="21"/>
        </w:rPr>
      </w:pPr>
      <w:r>
        <w:rPr>
          <w:spacing w:val="-3"/>
          <w:sz w:val="21"/>
        </w:rPr>
        <w:t>远程监控系统设备的安装应符合下列要求：</w:t>
      </w:r>
      <w:r>
        <w:rPr>
          <w:sz w:val="21"/>
        </w:rPr>
        <w:t xml:space="preserve"> </w:t>
      </w:r>
    </w:p>
    <w:p w14:paraId="0691AFBE" w14:textId="77777777" w:rsidR="00A71EEF" w:rsidRDefault="00A71EEF">
      <w:pPr>
        <w:pStyle w:val="a3"/>
        <w:spacing w:before="12"/>
        <w:rPr>
          <w:sz w:val="17"/>
        </w:rPr>
      </w:pPr>
    </w:p>
    <w:p w14:paraId="1E0FBDB4" w14:textId="77777777" w:rsidR="00A71EEF" w:rsidRDefault="0081115D">
      <w:pPr>
        <w:pStyle w:val="a4"/>
        <w:numPr>
          <w:ilvl w:val="0"/>
          <w:numId w:val="579"/>
        </w:numPr>
        <w:tabs>
          <w:tab w:val="left" w:pos="1367"/>
        </w:tabs>
        <w:spacing w:line="446" w:lineRule="auto"/>
        <w:ind w:right="1505" w:firstLine="419"/>
        <w:rPr>
          <w:sz w:val="21"/>
        </w:rPr>
      </w:pPr>
      <w:r>
        <w:rPr>
          <w:spacing w:val="-3"/>
          <w:sz w:val="21"/>
        </w:rPr>
        <w:t>远程监控系统设备应根据实际工作环境合理摆放，安装牢固，便于人员操作，并留有检查、维护的空间。</w:t>
      </w:r>
      <w:r>
        <w:rPr>
          <w:sz w:val="21"/>
        </w:rPr>
        <w:t xml:space="preserve"> </w:t>
      </w:r>
    </w:p>
    <w:p w14:paraId="5CED6646" w14:textId="77777777" w:rsidR="00A71EEF" w:rsidRDefault="0081115D">
      <w:pPr>
        <w:pStyle w:val="a4"/>
        <w:numPr>
          <w:ilvl w:val="0"/>
          <w:numId w:val="579"/>
        </w:numPr>
        <w:tabs>
          <w:tab w:val="left" w:pos="1367"/>
        </w:tabs>
        <w:ind w:left="1367"/>
        <w:rPr>
          <w:sz w:val="21"/>
        </w:rPr>
      </w:pPr>
      <w:r>
        <w:rPr>
          <w:spacing w:val="-3"/>
          <w:sz w:val="21"/>
        </w:rPr>
        <w:t>远程监控系统设备和线缆应设永久性标识，且标识应正确、清晰。</w:t>
      </w:r>
      <w:r>
        <w:rPr>
          <w:sz w:val="21"/>
        </w:rPr>
        <w:t xml:space="preserve"> </w:t>
      </w:r>
    </w:p>
    <w:p w14:paraId="1A797B00" w14:textId="77777777" w:rsidR="00A71EEF" w:rsidRDefault="00A71EEF">
      <w:pPr>
        <w:pStyle w:val="a3"/>
        <w:rPr>
          <w:sz w:val="18"/>
        </w:rPr>
      </w:pPr>
    </w:p>
    <w:p w14:paraId="4170743C" w14:textId="77777777" w:rsidR="00A71EEF" w:rsidRDefault="0081115D">
      <w:pPr>
        <w:pStyle w:val="a4"/>
        <w:numPr>
          <w:ilvl w:val="0"/>
          <w:numId w:val="579"/>
        </w:numPr>
        <w:tabs>
          <w:tab w:val="left" w:pos="1367"/>
        </w:tabs>
        <w:spacing w:line="446" w:lineRule="auto"/>
        <w:ind w:right="1505" w:firstLine="419"/>
        <w:rPr>
          <w:sz w:val="21"/>
        </w:rPr>
      </w:pPr>
      <w:r>
        <w:rPr>
          <w:spacing w:val="-3"/>
          <w:sz w:val="21"/>
        </w:rPr>
        <w:t>远程监控系统设备连线应连接可靠、捆扎固定、排列整齐，不得有扭绞、压扁和保护层断裂等现象。</w:t>
      </w:r>
      <w:r>
        <w:rPr>
          <w:sz w:val="21"/>
        </w:rPr>
        <w:t xml:space="preserve"> </w:t>
      </w:r>
    </w:p>
    <w:p w14:paraId="1227F558" w14:textId="77777777" w:rsidR="00A71EEF" w:rsidRDefault="0081115D">
      <w:pPr>
        <w:pStyle w:val="a4"/>
        <w:numPr>
          <w:ilvl w:val="0"/>
          <w:numId w:val="579"/>
        </w:numPr>
        <w:tabs>
          <w:tab w:val="left" w:pos="1367"/>
        </w:tabs>
        <w:spacing w:line="446" w:lineRule="auto"/>
        <w:ind w:right="1505" w:firstLine="419"/>
        <w:rPr>
          <w:sz w:val="21"/>
        </w:rPr>
      </w:pPr>
      <w:r>
        <w:rPr>
          <w:spacing w:val="-3"/>
          <w:sz w:val="21"/>
        </w:rPr>
        <w:t>远程监控系统的用户信息传输装置采用壁挂方式安装时，应符合现行国家标准《火灾自动报警系统设计规范》</w:t>
      </w:r>
      <w:r>
        <w:rPr>
          <w:sz w:val="21"/>
        </w:rPr>
        <w:t>GB</w:t>
      </w:r>
      <w:r>
        <w:rPr>
          <w:spacing w:val="2"/>
          <w:sz w:val="21"/>
        </w:rPr>
        <w:t xml:space="preserve"> </w:t>
      </w:r>
      <w:r>
        <w:rPr>
          <w:sz w:val="21"/>
        </w:rPr>
        <w:t>50116</w:t>
      </w:r>
      <w:r>
        <w:rPr>
          <w:spacing w:val="-9"/>
          <w:sz w:val="21"/>
        </w:rPr>
        <w:t xml:space="preserve"> </w:t>
      </w:r>
      <w:r>
        <w:rPr>
          <w:spacing w:val="-9"/>
          <w:sz w:val="21"/>
        </w:rPr>
        <w:t>对火灾报警控制器类设备的安装要求。</w:t>
      </w:r>
      <w:r>
        <w:rPr>
          <w:sz w:val="21"/>
        </w:rPr>
        <w:t xml:space="preserve"> </w:t>
      </w:r>
    </w:p>
    <w:p w14:paraId="21FBF8C1" w14:textId="77777777" w:rsidR="00A71EEF" w:rsidRDefault="0081115D">
      <w:pPr>
        <w:pStyle w:val="a4"/>
        <w:numPr>
          <w:ilvl w:val="2"/>
          <w:numId w:val="582"/>
        </w:numPr>
        <w:tabs>
          <w:tab w:val="left" w:pos="1370"/>
        </w:tabs>
        <w:spacing w:line="446" w:lineRule="auto"/>
        <w:ind w:right="1604" w:firstLine="422"/>
        <w:rPr>
          <w:sz w:val="21"/>
        </w:rPr>
      </w:pPr>
      <w:r>
        <w:rPr>
          <w:spacing w:val="-3"/>
          <w:sz w:val="21"/>
        </w:rPr>
        <w:t>远程监控系统使用的操作系统、数据库系统等平台软件应具有软件使用</w:t>
      </w:r>
      <w:r>
        <w:rPr>
          <w:sz w:val="21"/>
        </w:rPr>
        <w:t>（</w:t>
      </w:r>
      <w:r>
        <w:rPr>
          <w:spacing w:val="-2"/>
          <w:sz w:val="21"/>
        </w:rPr>
        <w:t>授权</w:t>
      </w:r>
      <w:r>
        <w:rPr>
          <w:spacing w:val="-3"/>
          <w:sz w:val="21"/>
        </w:rPr>
        <w:t>）</w:t>
      </w:r>
      <w:r>
        <w:rPr>
          <w:sz w:val="21"/>
        </w:rPr>
        <w:t>许</w:t>
      </w:r>
      <w:r>
        <w:rPr>
          <w:spacing w:val="-3"/>
          <w:sz w:val="21"/>
        </w:rPr>
        <w:t>可证，并宜采用技术成熟的商业化软件产</w:t>
      </w:r>
      <w:r>
        <w:rPr>
          <w:spacing w:val="-3"/>
          <w:sz w:val="21"/>
        </w:rPr>
        <w:t>品。</w:t>
      </w:r>
      <w:r>
        <w:rPr>
          <w:sz w:val="21"/>
        </w:rPr>
        <w:t xml:space="preserve"> </w:t>
      </w:r>
    </w:p>
    <w:p w14:paraId="5A82B80A" w14:textId="77777777" w:rsidR="00A71EEF" w:rsidRDefault="0081115D">
      <w:pPr>
        <w:pStyle w:val="a4"/>
        <w:numPr>
          <w:ilvl w:val="1"/>
          <w:numId w:val="582"/>
        </w:numPr>
        <w:tabs>
          <w:tab w:val="left" w:pos="1159"/>
        </w:tabs>
        <w:ind w:hanging="319"/>
        <w:rPr>
          <w:b/>
          <w:sz w:val="21"/>
        </w:rPr>
      </w:pPr>
      <w:r>
        <w:rPr>
          <w:spacing w:val="-3"/>
          <w:sz w:val="21"/>
        </w:rPr>
        <w:t>调试</w:t>
      </w:r>
      <w:r>
        <w:rPr>
          <w:b/>
          <w:w w:val="99"/>
          <w:sz w:val="21"/>
        </w:rPr>
        <w:t xml:space="preserve"> </w:t>
      </w:r>
    </w:p>
    <w:p w14:paraId="63DB2CC0" w14:textId="77777777" w:rsidR="00A71EEF" w:rsidRDefault="00A71EEF">
      <w:pPr>
        <w:pStyle w:val="a3"/>
        <w:spacing w:before="10"/>
        <w:rPr>
          <w:b/>
          <w:sz w:val="17"/>
        </w:rPr>
      </w:pPr>
    </w:p>
    <w:p w14:paraId="6A50A8C6" w14:textId="77777777" w:rsidR="00A71EEF" w:rsidRDefault="0081115D">
      <w:pPr>
        <w:pStyle w:val="a4"/>
        <w:numPr>
          <w:ilvl w:val="2"/>
          <w:numId w:val="582"/>
        </w:numPr>
        <w:tabs>
          <w:tab w:val="left" w:pos="1371"/>
        </w:tabs>
        <w:ind w:left="1370" w:hanging="531"/>
        <w:rPr>
          <w:sz w:val="21"/>
        </w:rPr>
      </w:pPr>
      <w:r>
        <w:rPr>
          <w:spacing w:val="-3"/>
          <w:sz w:val="21"/>
        </w:rPr>
        <w:t>远程监控系统正式投入使用前应对系统进行调试。</w:t>
      </w:r>
      <w:r>
        <w:rPr>
          <w:sz w:val="21"/>
        </w:rPr>
        <w:t xml:space="preserve"> </w:t>
      </w:r>
    </w:p>
    <w:p w14:paraId="3367AAC4" w14:textId="77777777" w:rsidR="00A71EEF" w:rsidRDefault="00A71EEF">
      <w:pPr>
        <w:pStyle w:val="a3"/>
        <w:spacing w:before="2"/>
        <w:rPr>
          <w:sz w:val="18"/>
        </w:rPr>
      </w:pPr>
    </w:p>
    <w:p w14:paraId="2B0EFE31" w14:textId="77777777" w:rsidR="00A71EEF" w:rsidRDefault="0081115D">
      <w:pPr>
        <w:pStyle w:val="a4"/>
        <w:numPr>
          <w:ilvl w:val="2"/>
          <w:numId w:val="582"/>
        </w:numPr>
        <w:tabs>
          <w:tab w:val="left" w:pos="1370"/>
        </w:tabs>
        <w:ind w:left="1369" w:hanging="530"/>
        <w:rPr>
          <w:sz w:val="21"/>
        </w:rPr>
      </w:pPr>
      <w:r>
        <w:rPr>
          <w:spacing w:val="-3"/>
          <w:sz w:val="21"/>
        </w:rPr>
        <w:t>远程监控系统调试前应具备下列条件：</w:t>
      </w:r>
      <w:r>
        <w:rPr>
          <w:sz w:val="21"/>
        </w:rPr>
        <w:t xml:space="preserve"> </w:t>
      </w:r>
    </w:p>
    <w:p w14:paraId="793A613C" w14:textId="77777777" w:rsidR="00A71EEF" w:rsidRDefault="00A71EEF">
      <w:pPr>
        <w:rPr>
          <w:sz w:val="21"/>
        </w:rPr>
        <w:sectPr w:rsidR="00A71EEF">
          <w:pgSz w:w="11910" w:h="16850"/>
          <w:pgMar w:top="1220" w:right="0" w:bottom="1420" w:left="1260" w:header="0" w:footer="1239" w:gutter="0"/>
          <w:cols w:space="720"/>
        </w:sectPr>
      </w:pPr>
    </w:p>
    <w:p w14:paraId="4FB126EB" w14:textId="77777777" w:rsidR="00A71EEF" w:rsidRDefault="0081115D">
      <w:pPr>
        <w:pStyle w:val="a4"/>
        <w:numPr>
          <w:ilvl w:val="0"/>
          <w:numId w:val="578"/>
        </w:numPr>
        <w:tabs>
          <w:tab w:val="left" w:pos="1367"/>
        </w:tabs>
        <w:spacing w:before="47"/>
        <w:rPr>
          <w:sz w:val="21"/>
        </w:rPr>
      </w:pPr>
      <w:r>
        <w:rPr>
          <w:spacing w:val="-3"/>
          <w:sz w:val="21"/>
        </w:rPr>
        <w:t>各设备和平台软件按设计要求安装完毕。</w:t>
      </w:r>
      <w:r>
        <w:rPr>
          <w:spacing w:val="-3"/>
          <w:sz w:val="21"/>
        </w:rPr>
        <w:t xml:space="preserve"> </w:t>
      </w:r>
    </w:p>
    <w:p w14:paraId="5A2EE368" w14:textId="77777777" w:rsidR="00A71EEF" w:rsidRDefault="00A71EEF">
      <w:pPr>
        <w:pStyle w:val="a3"/>
        <w:rPr>
          <w:sz w:val="18"/>
        </w:rPr>
      </w:pPr>
    </w:p>
    <w:p w14:paraId="53D6E50C" w14:textId="77777777" w:rsidR="00A71EEF" w:rsidRDefault="0081115D">
      <w:pPr>
        <w:pStyle w:val="a4"/>
        <w:numPr>
          <w:ilvl w:val="0"/>
          <w:numId w:val="578"/>
        </w:numPr>
        <w:tabs>
          <w:tab w:val="left" w:pos="1367"/>
        </w:tabs>
        <w:rPr>
          <w:sz w:val="21"/>
        </w:rPr>
      </w:pPr>
      <w:r>
        <w:rPr>
          <w:spacing w:val="-6"/>
          <w:sz w:val="21"/>
        </w:rPr>
        <w:t>远程监控系统的安装环境符合本规范第</w:t>
      </w:r>
      <w:r>
        <w:rPr>
          <w:spacing w:val="-6"/>
          <w:sz w:val="21"/>
        </w:rPr>
        <w:t xml:space="preserve"> </w:t>
      </w:r>
      <w:r>
        <w:rPr>
          <w:sz w:val="21"/>
        </w:rPr>
        <w:t>6.2.1</w:t>
      </w:r>
      <w:r>
        <w:rPr>
          <w:spacing w:val="-10"/>
          <w:sz w:val="21"/>
        </w:rPr>
        <w:t xml:space="preserve"> </w:t>
      </w:r>
      <w:r>
        <w:rPr>
          <w:spacing w:val="-10"/>
          <w:sz w:val="21"/>
        </w:rPr>
        <w:t>条的有关要求。</w:t>
      </w:r>
      <w:r>
        <w:rPr>
          <w:sz w:val="21"/>
        </w:rPr>
        <w:t xml:space="preserve"> </w:t>
      </w:r>
    </w:p>
    <w:p w14:paraId="761DD625" w14:textId="77777777" w:rsidR="00A71EEF" w:rsidRDefault="00A71EEF">
      <w:pPr>
        <w:pStyle w:val="a3"/>
        <w:rPr>
          <w:sz w:val="18"/>
        </w:rPr>
      </w:pPr>
    </w:p>
    <w:p w14:paraId="71AD5302" w14:textId="77777777" w:rsidR="00A71EEF" w:rsidRDefault="0081115D">
      <w:pPr>
        <w:pStyle w:val="a4"/>
        <w:numPr>
          <w:ilvl w:val="0"/>
          <w:numId w:val="578"/>
        </w:numPr>
        <w:tabs>
          <w:tab w:val="left" w:pos="1367"/>
        </w:tabs>
        <w:rPr>
          <w:sz w:val="21"/>
        </w:rPr>
      </w:pPr>
      <w:r>
        <w:rPr>
          <w:spacing w:val="-3"/>
          <w:sz w:val="21"/>
        </w:rPr>
        <w:t>对系统中的各用电设备分别进行单机通电检查。</w:t>
      </w:r>
      <w:r>
        <w:rPr>
          <w:spacing w:val="-3"/>
          <w:sz w:val="21"/>
        </w:rPr>
        <w:t xml:space="preserve"> </w:t>
      </w:r>
    </w:p>
    <w:p w14:paraId="21566073" w14:textId="77777777" w:rsidR="00A71EEF" w:rsidRDefault="00A71EEF">
      <w:pPr>
        <w:pStyle w:val="a3"/>
        <w:spacing w:before="1"/>
        <w:rPr>
          <w:sz w:val="18"/>
        </w:rPr>
      </w:pPr>
    </w:p>
    <w:p w14:paraId="09BEE4D6" w14:textId="77777777" w:rsidR="00A71EEF" w:rsidRDefault="0081115D">
      <w:pPr>
        <w:pStyle w:val="a4"/>
        <w:numPr>
          <w:ilvl w:val="0"/>
          <w:numId w:val="578"/>
        </w:numPr>
        <w:tabs>
          <w:tab w:val="left" w:pos="1367"/>
        </w:tabs>
        <w:spacing w:before="1"/>
        <w:rPr>
          <w:sz w:val="21"/>
        </w:rPr>
      </w:pPr>
      <w:r>
        <w:rPr>
          <w:spacing w:val="-3"/>
          <w:sz w:val="21"/>
        </w:rPr>
        <w:t>制定调试和试运行方案。</w:t>
      </w:r>
      <w:r>
        <w:rPr>
          <w:sz w:val="21"/>
        </w:rPr>
        <w:t xml:space="preserve"> </w:t>
      </w:r>
    </w:p>
    <w:p w14:paraId="7B5D9D09" w14:textId="77777777" w:rsidR="00A71EEF" w:rsidRDefault="00A71EEF">
      <w:pPr>
        <w:pStyle w:val="a3"/>
        <w:spacing w:before="12"/>
        <w:rPr>
          <w:sz w:val="17"/>
        </w:rPr>
      </w:pPr>
    </w:p>
    <w:p w14:paraId="515E646B" w14:textId="77777777" w:rsidR="00A71EEF" w:rsidRDefault="0081115D">
      <w:pPr>
        <w:pStyle w:val="a4"/>
        <w:numPr>
          <w:ilvl w:val="0"/>
          <w:numId w:val="578"/>
        </w:numPr>
        <w:tabs>
          <w:tab w:val="left" w:pos="1367"/>
        </w:tabs>
        <w:spacing w:line="446" w:lineRule="auto"/>
        <w:ind w:left="840" w:right="4134" w:hanging="3"/>
        <w:rPr>
          <w:sz w:val="21"/>
        </w:rPr>
      </w:pPr>
      <w:r>
        <w:rPr>
          <w:spacing w:val="-10"/>
          <w:sz w:val="21"/>
        </w:rPr>
        <w:t>备齐本规范第</w:t>
      </w:r>
      <w:r>
        <w:rPr>
          <w:spacing w:val="-10"/>
          <w:sz w:val="21"/>
        </w:rPr>
        <w:t xml:space="preserve"> </w:t>
      </w:r>
      <w:r>
        <w:rPr>
          <w:sz w:val="21"/>
        </w:rPr>
        <w:t>6.1.3</w:t>
      </w:r>
      <w:r>
        <w:rPr>
          <w:spacing w:val="-22"/>
          <w:sz w:val="21"/>
        </w:rPr>
        <w:t xml:space="preserve"> </w:t>
      </w:r>
      <w:r>
        <w:rPr>
          <w:spacing w:val="-22"/>
          <w:sz w:val="21"/>
        </w:rPr>
        <w:t>条和第</w:t>
      </w:r>
      <w:r>
        <w:rPr>
          <w:spacing w:val="-22"/>
          <w:sz w:val="21"/>
        </w:rPr>
        <w:t xml:space="preserve"> </w:t>
      </w:r>
      <w:r>
        <w:rPr>
          <w:sz w:val="21"/>
        </w:rPr>
        <w:t>6.1.4</w:t>
      </w:r>
      <w:r>
        <w:rPr>
          <w:spacing w:val="-9"/>
          <w:sz w:val="21"/>
        </w:rPr>
        <w:t xml:space="preserve"> </w:t>
      </w:r>
      <w:r>
        <w:rPr>
          <w:spacing w:val="-9"/>
          <w:sz w:val="21"/>
        </w:rPr>
        <w:t>条规定的技术文件。</w:t>
      </w:r>
      <w:r>
        <w:rPr>
          <w:b/>
          <w:sz w:val="21"/>
        </w:rPr>
        <w:t>6.3.3</w:t>
      </w:r>
      <w:r>
        <w:rPr>
          <w:b/>
          <w:spacing w:val="3"/>
          <w:sz w:val="21"/>
        </w:rPr>
        <w:t xml:space="preserve"> </w:t>
      </w:r>
      <w:r>
        <w:rPr>
          <w:spacing w:val="-3"/>
          <w:sz w:val="21"/>
        </w:rPr>
        <w:t>用户信息传输装置的调试应符合下列要求：</w:t>
      </w:r>
      <w:r>
        <w:rPr>
          <w:sz w:val="21"/>
        </w:rPr>
        <w:t xml:space="preserve"> </w:t>
      </w:r>
    </w:p>
    <w:p w14:paraId="2D3F4A58" w14:textId="77777777" w:rsidR="00A71EEF" w:rsidRDefault="0081115D">
      <w:pPr>
        <w:pStyle w:val="a4"/>
        <w:numPr>
          <w:ilvl w:val="0"/>
          <w:numId w:val="577"/>
        </w:numPr>
        <w:tabs>
          <w:tab w:val="left" w:pos="1367"/>
        </w:tabs>
        <w:spacing w:line="446" w:lineRule="auto"/>
        <w:ind w:right="1505" w:firstLine="419"/>
        <w:rPr>
          <w:sz w:val="21"/>
        </w:rPr>
      </w:pPr>
      <w:r>
        <w:rPr>
          <w:spacing w:val="-3"/>
          <w:sz w:val="21"/>
        </w:rPr>
        <w:t>模拟一起火灾报警，检查用户信息传输装置接收火灾报警信息的完整性，用户信息传输装置应按照规定的通信协议和数据格式将信息通过报警传输网络传送到监控中心。</w:t>
      </w:r>
      <w:r>
        <w:rPr>
          <w:sz w:val="21"/>
        </w:rPr>
        <w:t xml:space="preserve"> </w:t>
      </w:r>
    </w:p>
    <w:p w14:paraId="7013D3E7" w14:textId="77777777" w:rsidR="00A71EEF" w:rsidRDefault="0081115D">
      <w:pPr>
        <w:pStyle w:val="a4"/>
        <w:numPr>
          <w:ilvl w:val="0"/>
          <w:numId w:val="577"/>
        </w:numPr>
        <w:tabs>
          <w:tab w:val="left" w:pos="1367"/>
        </w:tabs>
        <w:spacing w:line="267" w:lineRule="exact"/>
        <w:ind w:left="1367"/>
        <w:rPr>
          <w:sz w:val="21"/>
        </w:rPr>
      </w:pPr>
      <w:r>
        <w:rPr>
          <w:spacing w:val="-3"/>
          <w:sz w:val="21"/>
        </w:rPr>
        <w:t>模拟建筑消防设施的各种状态，检查用户信息传输装置接收信息的完整性，用户信息</w:t>
      </w:r>
      <w:r>
        <w:rPr>
          <w:sz w:val="21"/>
        </w:rPr>
        <w:t xml:space="preserve"> </w:t>
      </w:r>
    </w:p>
    <w:p w14:paraId="43B53F20" w14:textId="77777777" w:rsidR="00A71EEF" w:rsidRDefault="00A71EEF">
      <w:pPr>
        <w:pStyle w:val="a3"/>
        <w:spacing w:before="2"/>
        <w:rPr>
          <w:sz w:val="18"/>
        </w:rPr>
      </w:pPr>
    </w:p>
    <w:p w14:paraId="1B43925B" w14:textId="77777777" w:rsidR="00A71EEF" w:rsidRDefault="0081115D">
      <w:pPr>
        <w:pStyle w:val="a4"/>
        <w:numPr>
          <w:ilvl w:val="0"/>
          <w:numId w:val="577"/>
        </w:numPr>
        <w:tabs>
          <w:tab w:val="left" w:pos="1367"/>
        </w:tabs>
        <w:spacing w:line="446" w:lineRule="auto"/>
        <w:ind w:right="1505" w:firstLine="419"/>
        <w:rPr>
          <w:sz w:val="21"/>
        </w:rPr>
      </w:pPr>
      <w:r>
        <w:rPr>
          <w:spacing w:val="-3"/>
          <w:sz w:val="21"/>
        </w:rPr>
        <w:t>同时模拟一起火灾报警和建筑消防设施运行状态，检查监控中心接收信息的顺序是否体现火警优先原则。</w:t>
      </w:r>
      <w:r>
        <w:rPr>
          <w:sz w:val="21"/>
        </w:rPr>
        <w:t xml:space="preserve"> </w:t>
      </w:r>
    </w:p>
    <w:p w14:paraId="0A527DD6" w14:textId="77777777" w:rsidR="00A71EEF" w:rsidRDefault="0081115D">
      <w:pPr>
        <w:pStyle w:val="a4"/>
        <w:numPr>
          <w:ilvl w:val="0"/>
          <w:numId w:val="577"/>
        </w:numPr>
        <w:tabs>
          <w:tab w:val="left" w:pos="1367"/>
        </w:tabs>
        <w:spacing w:line="267" w:lineRule="exact"/>
        <w:ind w:left="1367"/>
        <w:rPr>
          <w:sz w:val="21"/>
        </w:rPr>
      </w:pPr>
      <w:r>
        <w:rPr>
          <w:spacing w:val="-3"/>
          <w:sz w:val="21"/>
        </w:rPr>
        <w:t>模拟手动报警，检查监控中心接收火灾报警信息的完整性。</w:t>
      </w:r>
      <w:r>
        <w:rPr>
          <w:sz w:val="21"/>
        </w:rPr>
        <w:t xml:space="preserve"> </w:t>
      </w:r>
    </w:p>
    <w:p w14:paraId="19B226E1" w14:textId="77777777" w:rsidR="00A71EEF" w:rsidRDefault="00A71EEF">
      <w:pPr>
        <w:pStyle w:val="a3"/>
        <w:spacing w:before="1"/>
        <w:rPr>
          <w:sz w:val="18"/>
        </w:rPr>
      </w:pPr>
    </w:p>
    <w:p w14:paraId="628A38B0" w14:textId="77777777" w:rsidR="00A71EEF" w:rsidRDefault="0081115D">
      <w:pPr>
        <w:pStyle w:val="a4"/>
        <w:numPr>
          <w:ilvl w:val="0"/>
          <w:numId w:val="577"/>
        </w:numPr>
        <w:tabs>
          <w:tab w:val="left" w:pos="1367"/>
        </w:tabs>
        <w:spacing w:before="1"/>
        <w:ind w:left="1367"/>
        <w:rPr>
          <w:sz w:val="21"/>
        </w:rPr>
      </w:pPr>
      <w:r>
        <w:rPr>
          <w:spacing w:val="-3"/>
          <w:sz w:val="21"/>
        </w:rPr>
        <w:t>进行自检操作，检查自检情况。</w:t>
      </w:r>
      <w:r>
        <w:rPr>
          <w:sz w:val="21"/>
        </w:rPr>
        <w:t xml:space="preserve"> </w:t>
      </w:r>
    </w:p>
    <w:p w14:paraId="6BADA58E" w14:textId="77777777" w:rsidR="00A71EEF" w:rsidRDefault="00A71EEF">
      <w:pPr>
        <w:pStyle w:val="a3"/>
        <w:spacing w:before="12"/>
        <w:rPr>
          <w:sz w:val="17"/>
        </w:rPr>
      </w:pPr>
    </w:p>
    <w:p w14:paraId="7FB52ED2" w14:textId="77777777" w:rsidR="00A71EEF" w:rsidRDefault="0081115D">
      <w:pPr>
        <w:pStyle w:val="a4"/>
        <w:numPr>
          <w:ilvl w:val="0"/>
          <w:numId w:val="577"/>
        </w:numPr>
        <w:tabs>
          <w:tab w:val="left" w:pos="1367"/>
        </w:tabs>
        <w:ind w:left="1367"/>
        <w:rPr>
          <w:sz w:val="21"/>
        </w:rPr>
      </w:pPr>
      <w:r>
        <w:rPr>
          <w:spacing w:val="-3"/>
          <w:sz w:val="21"/>
        </w:rPr>
        <w:t>模拟用户信息传输装置故障，检查故障声、光信号提示情况。</w:t>
      </w:r>
      <w:r>
        <w:rPr>
          <w:sz w:val="21"/>
        </w:rPr>
        <w:t xml:space="preserve"> </w:t>
      </w:r>
    </w:p>
    <w:p w14:paraId="64D22067" w14:textId="77777777" w:rsidR="00A71EEF" w:rsidRDefault="00A71EEF">
      <w:pPr>
        <w:pStyle w:val="a3"/>
        <w:rPr>
          <w:sz w:val="18"/>
        </w:rPr>
      </w:pPr>
    </w:p>
    <w:p w14:paraId="6C3201D5" w14:textId="77777777" w:rsidR="00A71EEF" w:rsidRDefault="0081115D">
      <w:pPr>
        <w:pStyle w:val="a4"/>
        <w:numPr>
          <w:ilvl w:val="0"/>
          <w:numId w:val="577"/>
        </w:numPr>
        <w:tabs>
          <w:tab w:val="left" w:pos="1367"/>
        </w:tabs>
        <w:spacing w:line="446" w:lineRule="auto"/>
        <w:ind w:left="840" w:right="4763" w:hanging="3"/>
        <w:rPr>
          <w:sz w:val="21"/>
        </w:rPr>
      </w:pPr>
      <w:r>
        <w:rPr>
          <w:spacing w:val="-3"/>
          <w:sz w:val="21"/>
        </w:rPr>
        <w:t>模拟主电断电，检查主、备电源自动转换功能。</w:t>
      </w:r>
      <w:r>
        <w:rPr>
          <w:b/>
          <w:spacing w:val="-3"/>
          <w:sz w:val="21"/>
        </w:rPr>
        <w:t>6.3.4</w:t>
      </w:r>
      <w:r>
        <w:rPr>
          <w:b/>
          <w:spacing w:val="2"/>
          <w:sz w:val="21"/>
        </w:rPr>
        <w:t xml:space="preserve"> </w:t>
      </w:r>
      <w:r>
        <w:rPr>
          <w:spacing w:val="-3"/>
          <w:sz w:val="21"/>
        </w:rPr>
        <w:t>报警受理系统的调试应符合下列要求：</w:t>
      </w:r>
      <w:r>
        <w:rPr>
          <w:sz w:val="21"/>
        </w:rPr>
        <w:t xml:space="preserve"> </w:t>
      </w:r>
    </w:p>
    <w:p w14:paraId="557D303B" w14:textId="77777777" w:rsidR="00A71EEF" w:rsidRDefault="0081115D">
      <w:pPr>
        <w:pStyle w:val="a4"/>
        <w:numPr>
          <w:ilvl w:val="0"/>
          <w:numId w:val="576"/>
        </w:numPr>
        <w:tabs>
          <w:tab w:val="left" w:pos="1367"/>
        </w:tabs>
        <w:spacing w:line="446" w:lineRule="auto"/>
        <w:ind w:right="1505" w:firstLine="419"/>
        <w:rPr>
          <w:sz w:val="21"/>
        </w:rPr>
      </w:pPr>
      <w:r>
        <w:rPr>
          <w:spacing w:val="-3"/>
          <w:sz w:val="21"/>
        </w:rPr>
        <w:t>模拟一起火灾报警，检查报警受理系统接收用户信息传输装置发送的火灾报警信息的正确性，检查报警受理系统接收并显示火灾报警信息的完整性，检查报警受理系统与发出模拟火灾报警信息的联网用户进行警情核实和确认的功能，并检查城市消防通信指挥中心接收经确认的火灾报警信息的内容完整性。</w:t>
      </w:r>
      <w:r>
        <w:rPr>
          <w:sz w:val="21"/>
        </w:rPr>
        <w:t xml:space="preserve"> </w:t>
      </w:r>
    </w:p>
    <w:p w14:paraId="3EB017FB" w14:textId="77777777" w:rsidR="00A71EEF" w:rsidRDefault="0081115D">
      <w:pPr>
        <w:pStyle w:val="a4"/>
        <w:numPr>
          <w:ilvl w:val="0"/>
          <w:numId w:val="576"/>
        </w:numPr>
        <w:tabs>
          <w:tab w:val="left" w:pos="1367"/>
        </w:tabs>
        <w:spacing w:line="446" w:lineRule="auto"/>
        <w:ind w:right="1505" w:firstLine="419"/>
        <w:rPr>
          <w:sz w:val="21"/>
        </w:rPr>
      </w:pPr>
      <w:r>
        <w:rPr>
          <w:spacing w:val="-3"/>
          <w:sz w:val="21"/>
        </w:rPr>
        <w:t>模拟各种建筑消防设施的运行状态变化，检查报警受理系统接收并存储建筑消防设施运行状态信息的</w:t>
      </w:r>
      <w:r>
        <w:rPr>
          <w:spacing w:val="-3"/>
          <w:sz w:val="21"/>
        </w:rPr>
        <w:t>完整性，检查对建筑消防设施故障的信息跟踪、记录和查询功能，并检查故障报警信息是否能够发送到联网用户的相关人员。</w:t>
      </w:r>
      <w:r>
        <w:rPr>
          <w:sz w:val="21"/>
        </w:rPr>
        <w:t xml:space="preserve"> </w:t>
      </w:r>
    </w:p>
    <w:p w14:paraId="0494DC24" w14:textId="77777777" w:rsidR="00A71EEF" w:rsidRDefault="0081115D">
      <w:pPr>
        <w:pStyle w:val="a4"/>
        <w:numPr>
          <w:ilvl w:val="0"/>
          <w:numId w:val="576"/>
        </w:numPr>
        <w:tabs>
          <w:tab w:val="left" w:pos="1367"/>
        </w:tabs>
        <w:spacing w:line="446" w:lineRule="auto"/>
        <w:ind w:right="1505" w:firstLine="419"/>
        <w:rPr>
          <w:sz w:val="21"/>
        </w:rPr>
      </w:pPr>
      <w:r>
        <w:rPr>
          <w:spacing w:val="-3"/>
          <w:sz w:val="21"/>
        </w:rPr>
        <w:t>向用户信息传输装置发送巡检测试指令，检查用户信息传输装置接收巡检测试指令的完整性。</w:t>
      </w:r>
      <w:r>
        <w:rPr>
          <w:sz w:val="21"/>
        </w:rPr>
        <w:t xml:space="preserve"> </w:t>
      </w:r>
    </w:p>
    <w:p w14:paraId="5DCE1064" w14:textId="77777777" w:rsidR="00A71EEF" w:rsidRDefault="0081115D">
      <w:pPr>
        <w:pStyle w:val="a4"/>
        <w:numPr>
          <w:ilvl w:val="0"/>
          <w:numId w:val="576"/>
        </w:numPr>
        <w:tabs>
          <w:tab w:val="left" w:pos="1367"/>
        </w:tabs>
        <w:ind w:left="1367"/>
        <w:rPr>
          <w:sz w:val="21"/>
        </w:rPr>
      </w:pPr>
      <w:r>
        <w:rPr>
          <w:spacing w:val="-3"/>
          <w:sz w:val="21"/>
        </w:rPr>
        <w:t>检查报警信息的历史记录查询功能。</w:t>
      </w:r>
      <w:r>
        <w:rPr>
          <w:sz w:val="21"/>
        </w:rPr>
        <w:t xml:space="preserve"> </w:t>
      </w:r>
    </w:p>
    <w:p w14:paraId="4557B8D3" w14:textId="77777777" w:rsidR="00A71EEF" w:rsidRDefault="00A71EEF">
      <w:pPr>
        <w:pStyle w:val="a3"/>
        <w:spacing w:before="9"/>
        <w:rPr>
          <w:sz w:val="17"/>
        </w:rPr>
      </w:pPr>
    </w:p>
    <w:p w14:paraId="515A5117" w14:textId="77777777" w:rsidR="00A71EEF" w:rsidRDefault="0081115D">
      <w:pPr>
        <w:pStyle w:val="a4"/>
        <w:numPr>
          <w:ilvl w:val="0"/>
          <w:numId w:val="576"/>
        </w:numPr>
        <w:tabs>
          <w:tab w:val="left" w:pos="1367"/>
        </w:tabs>
        <w:ind w:left="1367"/>
        <w:rPr>
          <w:sz w:val="21"/>
        </w:rPr>
      </w:pPr>
      <w:r>
        <w:rPr>
          <w:spacing w:val="-3"/>
          <w:sz w:val="21"/>
        </w:rPr>
        <w:t>检查报警受理系统与联网用户进行语音、数据或图像通信功能。</w:t>
      </w:r>
      <w:r>
        <w:rPr>
          <w:sz w:val="21"/>
        </w:rPr>
        <w:t xml:space="preserve"> </w:t>
      </w:r>
    </w:p>
    <w:p w14:paraId="10E5C26A" w14:textId="77777777" w:rsidR="00A71EEF" w:rsidRDefault="00A71EEF">
      <w:pPr>
        <w:pStyle w:val="a3"/>
        <w:spacing w:before="2"/>
        <w:rPr>
          <w:sz w:val="18"/>
        </w:rPr>
      </w:pPr>
    </w:p>
    <w:p w14:paraId="596014ED" w14:textId="77777777" w:rsidR="00A71EEF" w:rsidRDefault="0081115D">
      <w:pPr>
        <w:pStyle w:val="a4"/>
        <w:numPr>
          <w:ilvl w:val="0"/>
          <w:numId w:val="576"/>
        </w:numPr>
        <w:tabs>
          <w:tab w:val="left" w:pos="1367"/>
        </w:tabs>
        <w:ind w:left="1367"/>
        <w:rPr>
          <w:sz w:val="21"/>
        </w:rPr>
      </w:pPr>
      <w:r>
        <w:rPr>
          <w:spacing w:val="-3"/>
          <w:sz w:val="21"/>
        </w:rPr>
        <w:t>检查报警受理系统报警受理的语音和相应时间记录功能。</w:t>
      </w:r>
      <w:r>
        <w:rPr>
          <w:sz w:val="21"/>
        </w:rPr>
        <w:t xml:space="preserve"> </w:t>
      </w:r>
    </w:p>
    <w:p w14:paraId="560FBFAF" w14:textId="77777777" w:rsidR="00A71EEF" w:rsidRDefault="00A71EEF">
      <w:pPr>
        <w:rPr>
          <w:sz w:val="21"/>
        </w:rPr>
        <w:sectPr w:rsidR="00A71EEF">
          <w:pgSz w:w="11910" w:h="16850"/>
          <w:pgMar w:top="1220" w:right="0" w:bottom="1420" w:left="1260" w:header="0" w:footer="1239" w:gutter="0"/>
          <w:cols w:space="720"/>
        </w:sectPr>
      </w:pPr>
    </w:p>
    <w:p w14:paraId="35397285" w14:textId="77777777" w:rsidR="00A71EEF" w:rsidRDefault="0081115D">
      <w:pPr>
        <w:pStyle w:val="a4"/>
        <w:numPr>
          <w:ilvl w:val="0"/>
          <w:numId w:val="576"/>
        </w:numPr>
        <w:tabs>
          <w:tab w:val="left" w:pos="1367"/>
        </w:tabs>
        <w:spacing w:before="47"/>
        <w:ind w:left="1367"/>
        <w:rPr>
          <w:sz w:val="21"/>
        </w:rPr>
      </w:pPr>
      <w:r>
        <w:rPr>
          <w:spacing w:val="-3"/>
          <w:sz w:val="21"/>
        </w:rPr>
        <w:t>模拟报警受理系统故障，检查声、光提示功能。</w:t>
      </w:r>
      <w:r>
        <w:rPr>
          <w:spacing w:val="-3"/>
          <w:sz w:val="21"/>
        </w:rPr>
        <w:t xml:space="preserve"> </w:t>
      </w:r>
    </w:p>
    <w:p w14:paraId="77EB18E7" w14:textId="77777777" w:rsidR="00A71EEF" w:rsidRDefault="00A71EEF">
      <w:pPr>
        <w:pStyle w:val="a3"/>
        <w:rPr>
          <w:sz w:val="18"/>
        </w:rPr>
      </w:pPr>
    </w:p>
    <w:p w14:paraId="112745CA" w14:textId="77777777" w:rsidR="00A71EEF" w:rsidRDefault="0081115D">
      <w:pPr>
        <w:pStyle w:val="a4"/>
        <w:numPr>
          <w:ilvl w:val="0"/>
          <w:numId w:val="576"/>
        </w:numPr>
        <w:tabs>
          <w:tab w:val="left" w:pos="1367"/>
        </w:tabs>
        <w:ind w:left="1367"/>
        <w:rPr>
          <w:sz w:val="21"/>
        </w:rPr>
      </w:pPr>
      <w:r>
        <w:rPr>
          <w:spacing w:val="-3"/>
          <w:sz w:val="21"/>
        </w:rPr>
        <w:t>检查报警受理系统启、停时间记录和查询功能。</w:t>
      </w:r>
      <w:r>
        <w:rPr>
          <w:spacing w:val="-3"/>
          <w:sz w:val="21"/>
        </w:rPr>
        <w:t xml:space="preserve"> </w:t>
      </w:r>
    </w:p>
    <w:p w14:paraId="2AAD1134" w14:textId="77777777" w:rsidR="00A71EEF" w:rsidRDefault="00A71EEF">
      <w:pPr>
        <w:pStyle w:val="a3"/>
        <w:rPr>
          <w:sz w:val="18"/>
        </w:rPr>
      </w:pPr>
    </w:p>
    <w:p w14:paraId="4C79C1EB" w14:textId="77777777" w:rsidR="00A71EEF" w:rsidRDefault="0081115D">
      <w:pPr>
        <w:pStyle w:val="a4"/>
        <w:numPr>
          <w:ilvl w:val="0"/>
          <w:numId w:val="576"/>
        </w:numPr>
        <w:tabs>
          <w:tab w:val="left" w:pos="1367"/>
        </w:tabs>
        <w:spacing w:line="446" w:lineRule="auto"/>
        <w:ind w:right="1505" w:firstLine="419"/>
        <w:rPr>
          <w:sz w:val="21"/>
        </w:rPr>
      </w:pPr>
      <w:r>
        <w:rPr>
          <w:spacing w:val="-3"/>
          <w:sz w:val="21"/>
        </w:rPr>
        <w:t>检查消防地理信息系统是否具有显示城市行政区域、道路、建筑、水源、联网用户、消防站及责任区等地理信息及其属性信息，并对信息提供编辑、修改、放大、缩小、移动、导航、全屏显示、图层管理等功能。</w:t>
      </w:r>
      <w:r>
        <w:rPr>
          <w:sz w:val="21"/>
        </w:rPr>
        <w:t xml:space="preserve"> </w:t>
      </w:r>
    </w:p>
    <w:p w14:paraId="76113FE4" w14:textId="77777777" w:rsidR="00A71EEF" w:rsidRDefault="0081115D">
      <w:pPr>
        <w:pStyle w:val="a4"/>
        <w:numPr>
          <w:ilvl w:val="2"/>
          <w:numId w:val="575"/>
        </w:numPr>
        <w:tabs>
          <w:tab w:val="left" w:pos="1370"/>
        </w:tabs>
        <w:spacing w:line="268" w:lineRule="exact"/>
        <w:ind w:hanging="530"/>
        <w:rPr>
          <w:sz w:val="21"/>
        </w:rPr>
      </w:pPr>
      <w:r>
        <w:rPr>
          <w:spacing w:val="-3"/>
          <w:sz w:val="21"/>
        </w:rPr>
        <w:t>信息查询系统的调试应符合下列要求：</w:t>
      </w:r>
      <w:r>
        <w:rPr>
          <w:sz w:val="21"/>
        </w:rPr>
        <w:t xml:space="preserve"> </w:t>
      </w:r>
    </w:p>
    <w:p w14:paraId="0ECD00C5" w14:textId="77777777" w:rsidR="00A71EEF" w:rsidRDefault="00A71EEF">
      <w:pPr>
        <w:pStyle w:val="a3"/>
        <w:spacing w:before="1"/>
        <w:rPr>
          <w:sz w:val="18"/>
        </w:rPr>
      </w:pPr>
    </w:p>
    <w:p w14:paraId="69A3519E" w14:textId="77777777" w:rsidR="00A71EEF" w:rsidRDefault="0081115D">
      <w:pPr>
        <w:pStyle w:val="a4"/>
        <w:numPr>
          <w:ilvl w:val="0"/>
          <w:numId w:val="574"/>
        </w:numPr>
        <w:tabs>
          <w:tab w:val="left" w:pos="1367"/>
        </w:tabs>
        <w:spacing w:before="1"/>
        <w:rPr>
          <w:sz w:val="21"/>
        </w:rPr>
      </w:pPr>
      <w:r>
        <w:rPr>
          <w:spacing w:val="-3"/>
          <w:sz w:val="21"/>
        </w:rPr>
        <w:t>选择联网用户，查询该用户的火灾报警信息。</w:t>
      </w:r>
      <w:r>
        <w:rPr>
          <w:sz w:val="21"/>
        </w:rPr>
        <w:t xml:space="preserve"> </w:t>
      </w:r>
    </w:p>
    <w:p w14:paraId="397F0240" w14:textId="77777777" w:rsidR="00A71EEF" w:rsidRDefault="00A71EEF">
      <w:pPr>
        <w:pStyle w:val="a3"/>
        <w:rPr>
          <w:sz w:val="18"/>
        </w:rPr>
      </w:pPr>
    </w:p>
    <w:p w14:paraId="588621A6" w14:textId="77777777" w:rsidR="00A71EEF" w:rsidRDefault="0081115D">
      <w:pPr>
        <w:pStyle w:val="a4"/>
        <w:numPr>
          <w:ilvl w:val="0"/>
          <w:numId w:val="574"/>
        </w:numPr>
        <w:tabs>
          <w:tab w:val="left" w:pos="1367"/>
        </w:tabs>
        <w:rPr>
          <w:sz w:val="21"/>
        </w:rPr>
      </w:pPr>
      <w:r>
        <w:rPr>
          <w:spacing w:val="-3"/>
          <w:sz w:val="21"/>
        </w:rPr>
        <w:t>选择联网用户，查询该用户的建筑消防设施运行状态信息。</w:t>
      </w:r>
      <w:r>
        <w:rPr>
          <w:sz w:val="21"/>
        </w:rPr>
        <w:t xml:space="preserve"> </w:t>
      </w:r>
    </w:p>
    <w:p w14:paraId="2CC5B353" w14:textId="77777777" w:rsidR="00A71EEF" w:rsidRDefault="00A71EEF">
      <w:pPr>
        <w:pStyle w:val="a3"/>
        <w:spacing w:before="12"/>
        <w:rPr>
          <w:sz w:val="17"/>
        </w:rPr>
      </w:pPr>
    </w:p>
    <w:p w14:paraId="377D3EB6" w14:textId="77777777" w:rsidR="00A71EEF" w:rsidRDefault="0081115D">
      <w:pPr>
        <w:pStyle w:val="a4"/>
        <w:numPr>
          <w:ilvl w:val="0"/>
          <w:numId w:val="574"/>
        </w:numPr>
        <w:tabs>
          <w:tab w:val="left" w:pos="1367"/>
        </w:tabs>
        <w:rPr>
          <w:sz w:val="21"/>
        </w:rPr>
      </w:pPr>
      <w:r>
        <w:rPr>
          <w:spacing w:val="-3"/>
          <w:sz w:val="21"/>
        </w:rPr>
        <w:t>选择联网用户，查询该用户的消防安全管理信息。</w:t>
      </w:r>
      <w:r>
        <w:rPr>
          <w:sz w:val="21"/>
        </w:rPr>
        <w:t xml:space="preserve"> </w:t>
      </w:r>
    </w:p>
    <w:p w14:paraId="5ADB9180" w14:textId="77777777" w:rsidR="00A71EEF" w:rsidRDefault="00A71EEF">
      <w:pPr>
        <w:pStyle w:val="a3"/>
        <w:spacing w:before="2"/>
        <w:rPr>
          <w:sz w:val="18"/>
        </w:rPr>
      </w:pPr>
    </w:p>
    <w:p w14:paraId="3469BCFC" w14:textId="77777777" w:rsidR="00A71EEF" w:rsidRDefault="0081115D">
      <w:pPr>
        <w:pStyle w:val="a4"/>
        <w:numPr>
          <w:ilvl w:val="0"/>
          <w:numId w:val="574"/>
        </w:numPr>
        <w:tabs>
          <w:tab w:val="left" w:pos="1367"/>
        </w:tabs>
        <w:rPr>
          <w:sz w:val="21"/>
        </w:rPr>
      </w:pPr>
      <w:r>
        <w:rPr>
          <w:spacing w:val="-3"/>
          <w:sz w:val="21"/>
        </w:rPr>
        <w:t>选择联网用户，查询该用户的日常值班、在岗等信息。</w:t>
      </w:r>
      <w:r>
        <w:rPr>
          <w:sz w:val="21"/>
        </w:rPr>
        <w:t xml:space="preserve"> </w:t>
      </w:r>
    </w:p>
    <w:p w14:paraId="5783CF16" w14:textId="77777777" w:rsidR="00A71EEF" w:rsidRDefault="00A71EEF">
      <w:pPr>
        <w:pStyle w:val="a3"/>
        <w:spacing w:before="12"/>
        <w:rPr>
          <w:sz w:val="17"/>
        </w:rPr>
      </w:pPr>
    </w:p>
    <w:p w14:paraId="76AC5A07" w14:textId="77777777" w:rsidR="00A71EEF" w:rsidRDefault="0081115D">
      <w:pPr>
        <w:pStyle w:val="a4"/>
        <w:numPr>
          <w:ilvl w:val="0"/>
          <w:numId w:val="574"/>
        </w:numPr>
        <w:tabs>
          <w:tab w:val="left" w:pos="1367"/>
        </w:tabs>
        <w:spacing w:line="386" w:lineRule="auto"/>
        <w:ind w:left="418" w:right="1505" w:firstLine="419"/>
        <w:rPr>
          <w:sz w:val="21"/>
        </w:rPr>
      </w:pPr>
      <w:r>
        <w:rPr>
          <w:spacing w:val="-3"/>
          <w:sz w:val="21"/>
        </w:rPr>
        <w:t>按照日期、单位名称、单位类型、建筑物类型、建筑消防设施类型、信息类型等检索</w:t>
      </w:r>
      <w:r>
        <w:rPr>
          <w:spacing w:val="-8"/>
          <w:sz w:val="21"/>
        </w:rPr>
        <w:t>项查询、统计本条第</w:t>
      </w:r>
      <w:r>
        <w:rPr>
          <w:spacing w:val="-8"/>
          <w:sz w:val="21"/>
        </w:rPr>
        <w:t xml:space="preserve"> </w:t>
      </w:r>
      <w:r>
        <w:rPr>
          <w:sz w:val="21"/>
        </w:rPr>
        <w:t>1</w:t>
      </w:r>
      <w:r>
        <w:rPr>
          <w:rFonts w:ascii="微软雅黑" w:eastAsia="微软雅黑" w:hint="eastAsia"/>
          <w:sz w:val="21"/>
        </w:rPr>
        <w:t>〜</w:t>
      </w:r>
      <w:r>
        <w:rPr>
          <w:sz w:val="21"/>
        </w:rPr>
        <w:t>4</w:t>
      </w:r>
      <w:r>
        <w:rPr>
          <w:spacing w:val="-11"/>
          <w:sz w:val="21"/>
        </w:rPr>
        <w:t xml:space="preserve"> </w:t>
      </w:r>
      <w:r>
        <w:rPr>
          <w:spacing w:val="-11"/>
          <w:sz w:val="21"/>
        </w:rPr>
        <w:t>款的信息。</w:t>
      </w:r>
      <w:r>
        <w:rPr>
          <w:sz w:val="21"/>
        </w:rPr>
        <w:t xml:space="preserve"> </w:t>
      </w:r>
    </w:p>
    <w:p w14:paraId="4D06B2FB" w14:textId="77777777" w:rsidR="00A71EEF" w:rsidRDefault="0081115D">
      <w:pPr>
        <w:pStyle w:val="a4"/>
        <w:numPr>
          <w:ilvl w:val="2"/>
          <w:numId w:val="575"/>
        </w:numPr>
        <w:tabs>
          <w:tab w:val="left" w:pos="1370"/>
        </w:tabs>
        <w:spacing w:line="213" w:lineRule="exact"/>
        <w:ind w:hanging="530"/>
        <w:rPr>
          <w:sz w:val="21"/>
        </w:rPr>
      </w:pPr>
      <w:r>
        <w:rPr>
          <w:spacing w:val="-3"/>
          <w:sz w:val="21"/>
        </w:rPr>
        <w:t>用户管理服务系统的调试应符合下列要求：</w:t>
      </w:r>
      <w:r>
        <w:rPr>
          <w:sz w:val="21"/>
        </w:rPr>
        <w:t xml:space="preserve"> </w:t>
      </w:r>
    </w:p>
    <w:p w14:paraId="150D2B84" w14:textId="77777777" w:rsidR="00A71EEF" w:rsidRDefault="00A71EEF">
      <w:pPr>
        <w:pStyle w:val="a3"/>
        <w:rPr>
          <w:sz w:val="18"/>
        </w:rPr>
      </w:pPr>
    </w:p>
    <w:p w14:paraId="354B22BF" w14:textId="77777777" w:rsidR="00A71EEF" w:rsidRDefault="0081115D">
      <w:pPr>
        <w:pStyle w:val="a4"/>
        <w:numPr>
          <w:ilvl w:val="0"/>
          <w:numId w:val="573"/>
        </w:numPr>
        <w:tabs>
          <w:tab w:val="left" w:pos="1367"/>
        </w:tabs>
        <w:rPr>
          <w:sz w:val="21"/>
        </w:rPr>
      </w:pPr>
      <w:r>
        <w:rPr>
          <w:spacing w:val="-3"/>
          <w:sz w:val="21"/>
        </w:rPr>
        <w:t>选择联网用户，检查该用户登录系统使用权限的正确性。</w:t>
      </w:r>
      <w:r>
        <w:rPr>
          <w:sz w:val="21"/>
        </w:rPr>
        <w:t xml:space="preserve"> </w:t>
      </w:r>
    </w:p>
    <w:p w14:paraId="1E80D148" w14:textId="77777777" w:rsidR="00A71EEF" w:rsidRDefault="00A71EEF">
      <w:pPr>
        <w:pStyle w:val="a3"/>
        <w:rPr>
          <w:sz w:val="18"/>
        </w:rPr>
      </w:pPr>
    </w:p>
    <w:p w14:paraId="4EE96D1B" w14:textId="77777777" w:rsidR="00A71EEF" w:rsidRDefault="0081115D">
      <w:pPr>
        <w:pStyle w:val="a4"/>
        <w:numPr>
          <w:ilvl w:val="0"/>
          <w:numId w:val="573"/>
        </w:numPr>
        <w:tabs>
          <w:tab w:val="left" w:pos="1367"/>
        </w:tabs>
        <w:spacing w:line="446" w:lineRule="auto"/>
        <w:ind w:left="418" w:right="1505" w:firstLine="419"/>
        <w:rPr>
          <w:sz w:val="21"/>
        </w:rPr>
      </w:pPr>
      <w:r>
        <w:rPr>
          <w:spacing w:val="-3"/>
          <w:sz w:val="21"/>
        </w:rPr>
        <w:t>模拟一起火灾报警，查询该用户火灾报警、建筑消防设施运行状态等信息是否与报警受理系统的报警信息相同。</w:t>
      </w:r>
      <w:r>
        <w:rPr>
          <w:spacing w:val="-3"/>
          <w:sz w:val="21"/>
        </w:rPr>
        <w:t xml:space="preserve"> </w:t>
      </w:r>
    </w:p>
    <w:p w14:paraId="6C0B7641" w14:textId="77777777" w:rsidR="00A71EEF" w:rsidRDefault="0081115D">
      <w:pPr>
        <w:pStyle w:val="a4"/>
        <w:numPr>
          <w:ilvl w:val="0"/>
          <w:numId w:val="573"/>
        </w:numPr>
        <w:tabs>
          <w:tab w:val="left" w:pos="1367"/>
        </w:tabs>
        <w:spacing w:line="446" w:lineRule="auto"/>
        <w:ind w:left="418" w:right="1505" w:firstLine="419"/>
        <w:rPr>
          <w:sz w:val="21"/>
        </w:rPr>
      </w:pPr>
      <w:r>
        <w:rPr>
          <w:spacing w:val="-3"/>
          <w:sz w:val="21"/>
        </w:rPr>
        <w:t>检查建筑消防设施日常管理功能，检查对消防设施的日常维护保养情况执行录入、修改、删除、查看等操作是否正常。</w:t>
      </w:r>
      <w:r>
        <w:rPr>
          <w:sz w:val="21"/>
        </w:rPr>
        <w:t xml:space="preserve"> </w:t>
      </w:r>
    </w:p>
    <w:p w14:paraId="0EC48677" w14:textId="77777777" w:rsidR="00A71EEF" w:rsidRDefault="0081115D">
      <w:pPr>
        <w:pStyle w:val="a4"/>
        <w:numPr>
          <w:ilvl w:val="0"/>
          <w:numId w:val="573"/>
        </w:numPr>
        <w:tabs>
          <w:tab w:val="left" w:pos="1367"/>
        </w:tabs>
        <w:rPr>
          <w:sz w:val="21"/>
        </w:rPr>
      </w:pPr>
      <w:r>
        <w:rPr>
          <w:spacing w:val="-3"/>
          <w:sz w:val="21"/>
        </w:rPr>
        <w:t>检查联网用户的消防安全重点单位信</w:t>
      </w:r>
      <w:r>
        <w:rPr>
          <w:spacing w:val="-3"/>
          <w:sz w:val="21"/>
        </w:rPr>
        <w:t>息系统数据录入、编辑功能。</w:t>
      </w:r>
      <w:r>
        <w:rPr>
          <w:sz w:val="21"/>
        </w:rPr>
        <w:t xml:space="preserve"> </w:t>
      </w:r>
    </w:p>
    <w:p w14:paraId="2467379B" w14:textId="77777777" w:rsidR="00A71EEF" w:rsidRDefault="00A71EEF">
      <w:pPr>
        <w:pStyle w:val="a3"/>
        <w:spacing w:before="12"/>
        <w:rPr>
          <w:sz w:val="17"/>
        </w:rPr>
      </w:pPr>
    </w:p>
    <w:p w14:paraId="26CD0DE0" w14:textId="77777777" w:rsidR="00A71EEF" w:rsidRDefault="0081115D">
      <w:pPr>
        <w:pStyle w:val="a4"/>
        <w:numPr>
          <w:ilvl w:val="0"/>
          <w:numId w:val="573"/>
        </w:numPr>
        <w:tabs>
          <w:tab w:val="left" w:pos="1367"/>
        </w:tabs>
        <w:spacing w:line="446" w:lineRule="auto"/>
        <w:ind w:left="840" w:right="1611" w:hanging="3"/>
        <w:rPr>
          <w:sz w:val="21"/>
        </w:rPr>
      </w:pPr>
      <w:r>
        <w:rPr>
          <w:spacing w:val="-3"/>
          <w:sz w:val="21"/>
        </w:rPr>
        <w:t>检查随机查岗功能，检查联网用户值班人员是否在岗，并检查是否收到在岗应答。</w:t>
      </w:r>
      <w:r>
        <w:rPr>
          <w:b/>
          <w:sz w:val="21"/>
        </w:rPr>
        <w:t xml:space="preserve">6.3.7 </w:t>
      </w:r>
      <w:r>
        <w:rPr>
          <w:spacing w:val="-3"/>
          <w:sz w:val="21"/>
        </w:rPr>
        <w:t>火警信息终端的调试应符合下列要求：</w:t>
      </w:r>
      <w:r>
        <w:rPr>
          <w:sz w:val="21"/>
        </w:rPr>
        <w:t xml:space="preserve"> </w:t>
      </w:r>
    </w:p>
    <w:p w14:paraId="239A18AD" w14:textId="77777777" w:rsidR="00A71EEF" w:rsidRDefault="0081115D">
      <w:pPr>
        <w:pStyle w:val="a4"/>
        <w:numPr>
          <w:ilvl w:val="0"/>
          <w:numId w:val="572"/>
        </w:numPr>
        <w:tabs>
          <w:tab w:val="left" w:pos="1367"/>
        </w:tabs>
        <w:spacing w:line="446" w:lineRule="auto"/>
        <w:ind w:right="1505" w:firstLine="419"/>
        <w:rPr>
          <w:sz w:val="21"/>
        </w:rPr>
      </w:pPr>
      <w:r>
        <w:rPr>
          <w:spacing w:val="-3"/>
          <w:sz w:val="21"/>
        </w:rPr>
        <w:t>模拟一起火灾报警，由报警受理系统向火警信息终端发送联网用户火灾报警信息，检查火警信息终端的声、光提示情况。</w:t>
      </w:r>
      <w:r>
        <w:rPr>
          <w:sz w:val="21"/>
        </w:rPr>
        <w:t xml:space="preserve"> </w:t>
      </w:r>
    </w:p>
    <w:p w14:paraId="69B17791" w14:textId="77777777" w:rsidR="00A71EEF" w:rsidRDefault="0081115D">
      <w:pPr>
        <w:pStyle w:val="a4"/>
        <w:numPr>
          <w:ilvl w:val="0"/>
          <w:numId w:val="572"/>
        </w:numPr>
        <w:tabs>
          <w:tab w:val="left" w:pos="1367"/>
        </w:tabs>
        <w:spacing w:line="267" w:lineRule="exact"/>
        <w:ind w:left="1367"/>
        <w:rPr>
          <w:sz w:val="21"/>
        </w:rPr>
      </w:pPr>
      <w:r>
        <w:rPr>
          <w:spacing w:val="-3"/>
          <w:sz w:val="21"/>
        </w:rPr>
        <w:t>检查火警信息终端显示的火灾报警信息完整性。</w:t>
      </w:r>
      <w:r>
        <w:rPr>
          <w:spacing w:val="-3"/>
          <w:sz w:val="21"/>
        </w:rPr>
        <w:t xml:space="preserve"> </w:t>
      </w:r>
    </w:p>
    <w:p w14:paraId="5844E3E5" w14:textId="77777777" w:rsidR="00A71EEF" w:rsidRDefault="00A71EEF">
      <w:pPr>
        <w:pStyle w:val="a3"/>
        <w:spacing w:before="2"/>
        <w:rPr>
          <w:sz w:val="18"/>
        </w:rPr>
      </w:pPr>
    </w:p>
    <w:p w14:paraId="65E7A972" w14:textId="77777777" w:rsidR="00A71EEF" w:rsidRDefault="0081115D">
      <w:pPr>
        <w:pStyle w:val="a4"/>
        <w:numPr>
          <w:ilvl w:val="0"/>
          <w:numId w:val="572"/>
        </w:numPr>
        <w:tabs>
          <w:tab w:val="left" w:pos="1367"/>
        </w:tabs>
        <w:ind w:left="1367"/>
        <w:rPr>
          <w:sz w:val="21"/>
        </w:rPr>
      </w:pPr>
      <w:r>
        <w:rPr>
          <w:spacing w:val="-3"/>
          <w:sz w:val="21"/>
        </w:rPr>
        <w:t>进行自检操作，检查自检情况。</w:t>
      </w:r>
      <w:r>
        <w:rPr>
          <w:sz w:val="21"/>
        </w:rPr>
        <w:t xml:space="preserve"> </w:t>
      </w:r>
    </w:p>
    <w:p w14:paraId="035C71C7" w14:textId="77777777" w:rsidR="00A71EEF" w:rsidRDefault="00A71EEF">
      <w:pPr>
        <w:pStyle w:val="a3"/>
        <w:rPr>
          <w:sz w:val="18"/>
        </w:rPr>
      </w:pPr>
    </w:p>
    <w:p w14:paraId="0C85A056" w14:textId="77777777" w:rsidR="00A71EEF" w:rsidRDefault="0081115D">
      <w:pPr>
        <w:pStyle w:val="a4"/>
        <w:numPr>
          <w:ilvl w:val="0"/>
          <w:numId w:val="572"/>
        </w:numPr>
        <w:tabs>
          <w:tab w:val="left" w:pos="1367"/>
        </w:tabs>
        <w:ind w:left="1367"/>
        <w:rPr>
          <w:sz w:val="21"/>
        </w:rPr>
      </w:pPr>
      <w:r>
        <w:rPr>
          <w:spacing w:val="-3"/>
          <w:sz w:val="21"/>
        </w:rPr>
        <w:t>模拟火警信息终端故障，检查声、光报警情况。</w:t>
      </w:r>
      <w:r>
        <w:rPr>
          <w:spacing w:val="-3"/>
          <w:sz w:val="21"/>
        </w:rPr>
        <w:t xml:space="preserve"> </w:t>
      </w:r>
    </w:p>
    <w:p w14:paraId="7D64A9D4" w14:textId="77777777" w:rsidR="00A71EEF" w:rsidRDefault="00A71EEF">
      <w:pPr>
        <w:pStyle w:val="a3"/>
        <w:spacing w:before="12"/>
        <w:rPr>
          <w:sz w:val="17"/>
        </w:rPr>
      </w:pPr>
    </w:p>
    <w:p w14:paraId="19D418C3" w14:textId="77777777" w:rsidR="00A71EEF" w:rsidRDefault="0081115D">
      <w:pPr>
        <w:pStyle w:val="a4"/>
        <w:numPr>
          <w:ilvl w:val="2"/>
          <w:numId w:val="571"/>
        </w:numPr>
        <w:tabs>
          <w:tab w:val="left" w:pos="1371"/>
        </w:tabs>
        <w:rPr>
          <w:sz w:val="21"/>
        </w:rPr>
      </w:pPr>
      <w:r>
        <w:rPr>
          <w:spacing w:val="-5"/>
          <w:sz w:val="21"/>
        </w:rPr>
        <w:t>远程监控系统在各项功能调试后应进行试运行，试运行时间不应少于</w:t>
      </w:r>
      <w:r>
        <w:rPr>
          <w:spacing w:val="-5"/>
          <w:sz w:val="21"/>
        </w:rPr>
        <w:t xml:space="preserve"> </w:t>
      </w:r>
      <w:r>
        <w:rPr>
          <w:sz w:val="21"/>
        </w:rPr>
        <w:t>1</w:t>
      </w:r>
      <w:r>
        <w:rPr>
          <w:spacing w:val="-15"/>
          <w:sz w:val="21"/>
        </w:rPr>
        <w:t xml:space="preserve"> </w:t>
      </w:r>
      <w:r>
        <w:rPr>
          <w:spacing w:val="-15"/>
          <w:sz w:val="21"/>
        </w:rPr>
        <w:t>个月。</w:t>
      </w:r>
      <w:r>
        <w:rPr>
          <w:sz w:val="21"/>
        </w:rPr>
        <w:t xml:space="preserve"> </w:t>
      </w:r>
    </w:p>
    <w:p w14:paraId="78C6B64C" w14:textId="77777777" w:rsidR="00A71EEF" w:rsidRDefault="00A71EEF">
      <w:pPr>
        <w:pStyle w:val="a3"/>
        <w:spacing w:before="2"/>
        <w:rPr>
          <w:sz w:val="18"/>
        </w:rPr>
      </w:pPr>
    </w:p>
    <w:p w14:paraId="7A4C6A0E" w14:textId="77777777" w:rsidR="00A71EEF" w:rsidRDefault="0081115D">
      <w:pPr>
        <w:pStyle w:val="a4"/>
        <w:numPr>
          <w:ilvl w:val="2"/>
          <w:numId w:val="571"/>
        </w:numPr>
        <w:tabs>
          <w:tab w:val="left" w:pos="1371"/>
        </w:tabs>
        <w:rPr>
          <w:sz w:val="21"/>
        </w:rPr>
      </w:pPr>
      <w:r>
        <w:rPr>
          <w:spacing w:val="-3"/>
          <w:sz w:val="21"/>
        </w:rPr>
        <w:t>远程监控系统的设计文件和调试记录等文件应形成技术文档，存储备查。</w:t>
      </w:r>
      <w:r>
        <w:rPr>
          <w:spacing w:val="-3"/>
          <w:sz w:val="21"/>
        </w:rPr>
        <w:t xml:space="preserve"> </w:t>
      </w:r>
    </w:p>
    <w:p w14:paraId="608DA361" w14:textId="77777777" w:rsidR="00A71EEF" w:rsidRDefault="00A71EEF">
      <w:pPr>
        <w:rPr>
          <w:sz w:val="21"/>
        </w:rPr>
        <w:sectPr w:rsidR="00A71EEF">
          <w:footerReference w:type="default" r:id="rId243"/>
          <w:pgSz w:w="11910" w:h="16850"/>
          <w:pgMar w:top="1220" w:right="0" w:bottom="1420" w:left="1260" w:header="0" w:footer="1239" w:gutter="0"/>
          <w:pgNumType w:start="1140"/>
          <w:cols w:space="720"/>
        </w:sectPr>
      </w:pPr>
    </w:p>
    <w:p w14:paraId="34C1A9AA" w14:textId="77777777" w:rsidR="00A71EEF" w:rsidRDefault="0081115D">
      <w:pPr>
        <w:pStyle w:val="4"/>
        <w:spacing w:before="137"/>
      </w:pPr>
      <w:r>
        <w:t xml:space="preserve">7 </w:t>
      </w:r>
      <w:r>
        <w:t>系统验收</w:t>
      </w:r>
      <w:r>
        <w:rPr>
          <w:w w:val="99"/>
        </w:rPr>
        <w:t xml:space="preserve"> </w:t>
      </w:r>
    </w:p>
    <w:p w14:paraId="0496A80B" w14:textId="77777777" w:rsidR="00A71EEF" w:rsidRDefault="00A71EEF">
      <w:pPr>
        <w:pStyle w:val="a3"/>
        <w:spacing w:before="4"/>
        <w:rPr>
          <w:b/>
          <w:sz w:val="17"/>
        </w:rPr>
      </w:pPr>
    </w:p>
    <w:p w14:paraId="22B953D6" w14:textId="77777777" w:rsidR="00A71EEF" w:rsidRDefault="0081115D">
      <w:pPr>
        <w:pStyle w:val="a4"/>
        <w:numPr>
          <w:ilvl w:val="1"/>
          <w:numId w:val="570"/>
        </w:numPr>
        <w:tabs>
          <w:tab w:val="left" w:pos="1159"/>
        </w:tabs>
        <w:ind w:hanging="319"/>
        <w:rPr>
          <w:b/>
          <w:sz w:val="21"/>
        </w:rPr>
      </w:pPr>
      <w:r>
        <w:rPr>
          <w:spacing w:val="-3"/>
          <w:sz w:val="21"/>
        </w:rPr>
        <w:t>一般规定</w:t>
      </w:r>
      <w:r>
        <w:rPr>
          <w:b/>
          <w:w w:val="99"/>
          <w:sz w:val="21"/>
        </w:rPr>
        <w:t xml:space="preserve"> </w:t>
      </w:r>
    </w:p>
    <w:p w14:paraId="3AD2082B" w14:textId="77777777" w:rsidR="00A71EEF" w:rsidRDefault="00A71EEF">
      <w:pPr>
        <w:pStyle w:val="a3"/>
        <w:spacing w:before="2"/>
        <w:rPr>
          <w:b/>
          <w:sz w:val="18"/>
        </w:rPr>
      </w:pPr>
    </w:p>
    <w:p w14:paraId="269021C7" w14:textId="77777777" w:rsidR="00A71EEF" w:rsidRDefault="0081115D">
      <w:pPr>
        <w:pStyle w:val="a4"/>
        <w:numPr>
          <w:ilvl w:val="2"/>
          <w:numId w:val="570"/>
        </w:numPr>
        <w:tabs>
          <w:tab w:val="left" w:pos="1371"/>
        </w:tabs>
        <w:spacing w:line="446" w:lineRule="auto"/>
        <w:ind w:right="1604" w:firstLine="422"/>
        <w:rPr>
          <w:sz w:val="21"/>
        </w:rPr>
      </w:pPr>
      <w:r>
        <w:rPr>
          <w:spacing w:val="-3"/>
          <w:sz w:val="21"/>
        </w:rPr>
        <w:t>远程监控系统竣工后必须进行工程验收。工程验收前接入的测试联网用户数量不应</w:t>
      </w:r>
      <w:r>
        <w:rPr>
          <w:spacing w:val="-20"/>
          <w:sz w:val="21"/>
        </w:rPr>
        <w:t>少于</w:t>
      </w:r>
      <w:r>
        <w:rPr>
          <w:spacing w:val="-20"/>
          <w:sz w:val="21"/>
        </w:rPr>
        <w:t xml:space="preserve"> </w:t>
      </w:r>
      <w:r>
        <w:rPr>
          <w:sz w:val="21"/>
        </w:rPr>
        <w:t>5</w:t>
      </w:r>
      <w:r>
        <w:rPr>
          <w:spacing w:val="-9"/>
          <w:sz w:val="21"/>
        </w:rPr>
        <w:t xml:space="preserve"> </w:t>
      </w:r>
      <w:r>
        <w:rPr>
          <w:spacing w:val="-9"/>
          <w:sz w:val="21"/>
        </w:rPr>
        <w:t>个，验收不合格不得投入使用。</w:t>
      </w:r>
      <w:r>
        <w:rPr>
          <w:sz w:val="21"/>
        </w:rPr>
        <w:t xml:space="preserve"> </w:t>
      </w:r>
    </w:p>
    <w:p w14:paraId="026CA610" w14:textId="77777777" w:rsidR="00A71EEF" w:rsidRDefault="0081115D">
      <w:pPr>
        <w:pStyle w:val="a4"/>
        <w:numPr>
          <w:ilvl w:val="2"/>
          <w:numId w:val="570"/>
        </w:numPr>
        <w:tabs>
          <w:tab w:val="left" w:pos="1371"/>
        </w:tabs>
        <w:spacing w:line="267" w:lineRule="exact"/>
        <w:ind w:left="1370"/>
        <w:rPr>
          <w:sz w:val="21"/>
        </w:rPr>
      </w:pPr>
      <w:r>
        <w:rPr>
          <w:spacing w:val="-3"/>
          <w:sz w:val="21"/>
        </w:rPr>
        <w:t>远程监控系统应由建设单位组织设计、施工、监理等单位进行验收。</w:t>
      </w:r>
      <w:r>
        <w:rPr>
          <w:spacing w:val="-3"/>
          <w:sz w:val="21"/>
        </w:rPr>
        <w:t xml:space="preserve"> </w:t>
      </w:r>
    </w:p>
    <w:p w14:paraId="1D2B7454" w14:textId="77777777" w:rsidR="00A71EEF" w:rsidRDefault="00A71EEF">
      <w:pPr>
        <w:pStyle w:val="a3"/>
        <w:spacing w:before="1"/>
        <w:rPr>
          <w:sz w:val="18"/>
        </w:rPr>
      </w:pPr>
    </w:p>
    <w:p w14:paraId="271A7D0E" w14:textId="77777777" w:rsidR="00A71EEF" w:rsidRDefault="0081115D">
      <w:pPr>
        <w:pStyle w:val="a4"/>
        <w:numPr>
          <w:ilvl w:val="2"/>
          <w:numId w:val="570"/>
        </w:numPr>
        <w:tabs>
          <w:tab w:val="left" w:pos="1370"/>
        </w:tabs>
        <w:spacing w:before="1"/>
        <w:ind w:left="1369" w:hanging="530"/>
        <w:rPr>
          <w:sz w:val="21"/>
        </w:rPr>
      </w:pPr>
      <w:r>
        <w:rPr>
          <w:spacing w:val="-3"/>
          <w:sz w:val="21"/>
        </w:rPr>
        <w:t>远程监控系统验收应包括主要设备的验收和系统集成验收，并应符合下列要求：</w:t>
      </w:r>
      <w:r>
        <w:rPr>
          <w:sz w:val="21"/>
        </w:rPr>
        <w:t xml:space="preserve"> </w:t>
      </w:r>
    </w:p>
    <w:p w14:paraId="3E3C57F4" w14:textId="77777777" w:rsidR="00A71EEF" w:rsidRDefault="00A71EEF">
      <w:pPr>
        <w:pStyle w:val="a3"/>
        <w:rPr>
          <w:sz w:val="18"/>
        </w:rPr>
      </w:pPr>
    </w:p>
    <w:p w14:paraId="2C070BA0" w14:textId="77777777" w:rsidR="00A71EEF" w:rsidRDefault="0081115D">
      <w:pPr>
        <w:pStyle w:val="a4"/>
        <w:numPr>
          <w:ilvl w:val="0"/>
          <w:numId w:val="569"/>
        </w:numPr>
        <w:tabs>
          <w:tab w:val="left" w:pos="1367"/>
        </w:tabs>
        <w:rPr>
          <w:sz w:val="21"/>
        </w:rPr>
      </w:pPr>
      <w:r>
        <w:rPr>
          <w:spacing w:val="-5"/>
          <w:sz w:val="21"/>
        </w:rPr>
        <w:t>远程监控系统中各设备功能均应检查、试验</w:t>
      </w:r>
      <w:r>
        <w:rPr>
          <w:spacing w:val="-5"/>
          <w:sz w:val="21"/>
        </w:rPr>
        <w:t xml:space="preserve"> </w:t>
      </w:r>
      <w:r>
        <w:rPr>
          <w:sz w:val="21"/>
        </w:rPr>
        <w:t>1</w:t>
      </w:r>
      <w:r>
        <w:rPr>
          <w:spacing w:val="-7"/>
          <w:sz w:val="21"/>
        </w:rPr>
        <w:t xml:space="preserve"> </w:t>
      </w:r>
      <w:r>
        <w:rPr>
          <w:spacing w:val="-7"/>
          <w:sz w:val="21"/>
        </w:rPr>
        <w:t>次，并应满足要求。</w:t>
      </w:r>
      <w:r>
        <w:rPr>
          <w:sz w:val="21"/>
        </w:rPr>
        <w:t xml:space="preserve"> </w:t>
      </w:r>
    </w:p>
    <w:p w14:paraId="2555C6C1" w14:textId="77777777" w:rsidR="00A71EEF" w:rsidRDefault="00A71EEF">
      <w:pPr>
        <w:pStyle w:val="a3"/>
        <w:spacing w:before="12"/>
        <w:rPr>
          <w:sz w:val="17"/>
        </w:rPr>
      </w:pPr>
    </w:p>
    <w:p w14:paraId="66B6947B" w14:textId="77777777" w:rsidR="00A71EEF" w:rsidRDefault="0081115D">
      <w:pPr>
        <w:pStyle w:val="a4"/>
        <w:numPr>
          <w:ilvl w:val="0"/>
          <w:numId w:val="569"/>
        </w:numPr>
        <w:tabs>
          <w:tab w:val="left" w:pos="1367"/>
        </w:tabs>
        <w:rPr>
          <w:sz w:val="21"/>
        </w:rPr>
      </w:pPr>
      <w:r>
        <w:rPr>
          <w:spacing w:val="-5"/>
          <w:sz w:val="21"/>
        </w:rPr>
        <w:t>远程监控系统中各软件功能均应检查、试验</w:t>
      </w:r>
      <w:r>
        <w:rPr>
          <w:spacing w:val="-5"/>
          <w:sz w:val="21"/>
        </w:rPr>
        <w:t xml:space="preserve"> </w:t>
      </w:r>
      <w:r>
        <w:rPr>
          <w:sz w:val="21"/>
        </w:rPr>
        <w:t>1</w:t>
      </w:r>
      <w:r>
        <w:rPr>
          <w:spacing w:val="-7"/>
          <w:sz w:val="21"/>
        </w:rPr>
        <w:t xml:space="preserve"> </w:t>
      </w:r>
      <w:r>
        <w:rPr>
          <w:spacing w:val="-7"/>
          <w:sz w:val="21"/>
        </w:rPr>
        <w:t>次，并应满足要求。</w:t>
      </w:r>
      <w:r>
        <w:rPr>
          <w:sz w:val="21"/>
        </w:rPr>
        <w:t xml:space="preserve"> </w:t>
      </w:r>
    </w:p>
    <w:p w14:paraId="056B1FA2" w14:textId="77777777" w:rsidR="00A71EEF" w:rsidRDefault="00A71EEF">
      <w:pPr>
        <w:pStyle w:val="a3"/>
        <w:spacing w:before="2"/>
        <w:rPr>
          <w:sz w:val="18"/>
        </w:rPr>
      </w:pPr>
    </w:p>
    <w:p w14:paraId="79A9415F" w14:textId="77777777" w:rsidR="00A71EEF" w:rsidRDefault="0081115D">
      <w:pPr>
        <w:pStyle w:val="a4"/>
        <w:numPr>
          <w:ilvl w:val="0"/>
          <w:numId w:val="569"/>
        </w:numPr>
        <w:tabs>
          <w:tab w:val="left" w:pos="1367"/>
        </w:tabs>
        <w:rPr>
          <w:sz w:val="21"/>
        </w:rPr>
      </w:pPr>
      <w:r>
        <w:rPr>
          <w:spacing w:val="-6"/>
          <w:sz w:val="21"/>
        </w:rPr>
        <w:t>远程监控系统各项通信功能均应进行</w:t>
      </w:r>
      <w:r>
        <w:rPr>
          <w:spacing w:val="-6"/>
          <w:sz w:val="21"/>
        </w:rPr>
        <w:t xml:space="preserve"> </w:t>
      </w:r>
      <w:r>
        <w:rPr>
          <w:sz w:val="21"/>
        </w:rPr>
        <w:t>3</w:t>
      </w:r>
      <w:r>
        <w:rPr>
          <w:spacing w:val="-8"/>
          <w:sz w:val="21"/>
        </w:rPr>
        <w:t xml:space="preserve"> </w:t>
      </w:r>
      <w:r>
        <w:rPr>
          <w:spacing w:val="-8"/>
          <w:sz w:val="21"/>
        </w:rPr>
        <w:t>次通信试验，每次试验均应正常。</w:t>
      </w:r>
      <w:r>
        <w:rPr>
          <w:spacing w:val="-8"/>
          <w:sz w:val="21"/>
        </w:rPr>
        <w:t xml:space="preserve"> </w:t>
      </w:r>
    </w:p>
    <w:p w14:paraId="6D3DCA34" w14:textId="77777777" w:rsidR="00A71EEF" w:rsidRDefault="00A71EEF">
      <w:pPr>
        <w:pStyle w:val="a3"/>
        <w:spacing w:before="12"/>
        <w:rPr>
          <w:sz w:val="17"/>
        </w:rPr>
      </w:pPr>
    </w:p>
    <w:p w14:paraId="76830DEB" w14:textId="77777777" w:rsidR="00A71EEF" w:rsidRDefault="0081115D">
      <w:pPr>
        <w:pStyle w:val="a4"/>
        <w:numPr>
          <w:ilvl w:val="0"/>
          <w:numId w:val="569"/>
        </w:numPr>
        <w:tabs>
          <w:tab w:val="left" w:pos="1367"/>
        </w:tabs>
        <w:spacing w:line="446" w:lineRule="auto"/>
        <w:ind w:left="840" w:right="3714" w:hanging="3"/>
        <w:rPr>
          <w:sz w:val="21"/>
        </w:rPr>
      </w:pPr>
      <w:r>
        <w:rPr>
          <w:spacing w:val="-6"/>
          <w:sz w:val="21"/>
        </w:rPr>
        <w:t>远程监控系统集成功能应检查、试验</w:t>
      </w:r>
      <w:r>
        <w:rPr>
          <w:spacing w:val="-6"/>
          <w:sz w:val="21"/>
        </w:rPr>
        <w:t xml:space="preserve"> </w:t>
      </w:r>
      <w:r>
        <w:rPr>
          <w:sz w:val="21"/>
        </w:rPr>
        <w:t>2</w:t>
      </w:r>
      <w:r>
        <w:rPr>
          <w:spacing w:val="-8"/>
          <w:sz w:val="21"/>
        </w:rPr>
        <w:t xml:space="preserve"> </w:t>
      </w:r>
      <w:r>
        <w:rPr>
          <w:spacing w:val="-8"/>
          <w:sz w:val="21"/>
        </w:rPr>
        <w:t>次，并应满足要求。</w:t>
      </w:r>
      <w:r>
        <w:rPr>
          <w:b/>
          <w:sz w:val="21"/>
        </w:rPr>
        <w:t>7.1.4</w:t>
      </w:r>
      <w:r>
        <w:rPr>
          <w:b/>
          <w:spacing w:val="7"/>
          <w:sz w:val="21"/>
        </w:rPr>
        <w:t xml:space="preserve"> </w:t>
      </w:r>
      <w:r>
        <w:rPr>
          <w:spacing w:val="-3"/>
          <w:sz w:val="21"/>
        </w:rPr>
        <w:t>远程监控系统验收时，施工单位应提供下列技术文件：</w:t>
      </w:r>
      <w:r>
        <w:rPr>
          <w:sz w:val="21"/>
        </w:rPr>
        <w:t xml:space="preserve"> </w:t>
      </w:r>
    </w:p>
    <w:p w14:paraId="1CB9F944" w14:textId="77777777" w:rsidR="00A71EEF" w:rsidRDefault="0081115D">
      <w:pPr>
        <w:pStyle w:val="a4"/>
        <w:numPr>
          <w:ilvl w:val="0"/>
          <w:numId w:val="568"/>
        </w:numPr>
        <w:tabs>
          <w:tab w:val="left" w:pos="1367"/>
        </w:tabs>
        <w:rPr>
          <w:sz w:val="21"/>
        </w:rPr>
      </w:pPr>
      <w:r>
        <w:rPr>
          <w:spacing w:val="-3"/>
          <w:sz w:val="21"/>
        </w:rPr>
        <w:t>竣工验收申请报告；</w:t>
      </w:r>
      <w:r>
        <w:rPr>
          <w:sz w:val="21"/>
        </w:rPr>
        <w:t xml:space="preserve"> </w:t>
      </w:r>
    </w:p>
    <w:p w14:paraId="259C7A26" w14:textId="77777777" w:rsidR="00A71EEF" w:rsidRDefault="00A71EEF">
      <w:pPr>
        <w:pStyle w:val="a3"/>
        <w:rPr>
          <w:sz w:val="20"/>
        </w:rPr>
      </w:pPr>
    </w:p>
    <w:p w14:paraId="7F06D27A" w14:textId="77777777" w:rsidR="00A71EEF" w:rsidRDefault="00A71EEF">
      <w:pPr>
        <w:pStyle w:val="a3"/>
        <w:rPr>
          <w:sz w:val="20"/>
        </w:rPr>
      </w:pPr>
    </w:p>
    <w:p w14:paraId="43C587E2" w14:textId="77777777" w:rsidR="00A71EEF" w:rsidRDefault="00A71EEF">
      <w:pPr>
        <w:pStyle w:val="a3"/>
        <w:spacing w:before="12"/>
        <w:rPr>
          <w:sz w:val="16"/>
        </w:rPr>
      </w:pPr>
    </w:p>
    <w:p w14:paraId="0BFAC2CB" w14:textId="77777777" w:rsidR="00A71EEF" w:rsidRDefault="0081115D">
      <w:pPr>
        <w:pStyle w:val="a4"/>
        <w:numPr>
          <w:ilvl w:val="0"/>
          <w:numId w:val="568"/>
        </w:numPr>
        <w:tabs>
          <w:tab w:val="left" w:pos="1367"/>
        </w:tabs>
        <w:spacing w:line="446" w:lineRule="auto"/>
        <w:ind w:left="418" w:right="1505" w:firstLine="419"/>
        <w:rPr>
          <w:sz w:val="21"/>
        </w:rPr>
      </w:pPr>
      <w:r>
        <w:rPr>
          <w:spacing w:val="-3"/>
          <w:sz w:val="21"/>
        </w:rPr>
        <w:t>系统设计文件、施工技术标准、工程合同、设计变更通知书、竣工图、隐蔽工程验收文件；</w:t>
      </w:r>
      <w:r>
        <w:rPr>
          <w:sz w:val="21"/>
        </w:rPr>
        <w:t xml:space="preserve"> </w:t>
      </w:r>
    </w:p>
    <w:p w14:paraId="2E0FA97C" w14:textId="77777777" w:rsidR="00A71EEF" w:rsidRDefault="0081115D">
      <w:pPr>
        <w:pStyle w:val="a4"/>
        <w:numPr>
          <w:ilvl w:val="0"/>
          <w:numId w:val="568"/>
        </w:numPr>
        <w:tabs>
          <w:tab w:val="left" w:pos="1367"/>
        </w:tabs>
        <w:rPr>
          <w:sz w:val="21"/>
        </w:rPr>
      </w:pPr>
      <w:r>
        <w:rPr>
          <w:spacing w:val="-3"/>
          <w:sz w:val="21"/>
        </w:rPr>
        <w:t>施工现场质量管理检查记录；</w:t>
      </w:r>
      <w:r>
        <w:rPr>
          <w:sz w:val="21"/>
        </w:rPr>
        <w:t xml:space="preserve"> </w:t>
      </w:r>
    </w:p>
    <w:p w14:paraId="29E5B551" w14:textId="77777777" w:rsidR="00A71EEF" w:rsidRDefault="00A71EEF">
      <w:pPr>
        <w:pStyle w:val="a3"/>
        <w:rPr>
          <w:sz w:val="18"/>
        </w:rPr>
      </w:pPr>
    </w:p>
    <w:p w14:paraId="6C69B1E6" w14:textId="77777777" w:rsidR="00A71EEF" w:rsidRDefault="0081115D">
      <w:pPr>
        <w:pStyle w:val="a4"/>
        <w:numPr>
          <w:ilvl w:val="0"/>
          <w:numId w:val="568"/>
        </w:numPr>
        <w:tabs>
          <w:tab w:val="left" w:pos="1367"/>
        </w:tabs>
        <w:rPr>
          <w:sz w:val="21"/>
        </w:rPr>
      </w:pPr>
      <w:r>
        <w:rPr>
          <w:spacing w:val="-3"/>
          <w:sz w:val="21"/>
        </w:rPr>
        <w:t>系统施工过程质量检查记录；</w:t>
      </w:r>
      <w:r>
        <w:rPr>
          <w:sz w:val="21"/>
        </w:rPr>
        <w:t xml:space="preserve"> </w:t>
      </w:r>
    </w:p>
    <w:p w14:paraId="2DDABDB7" w14:textId="77777777" w:rsidR="00A71EEF" w:rsidRDefault="00A71EEF">
      <w:pPr>
        <w:pStyle w:val="a3"/>
        <w:spacing w:before="2"/>
        <w:rPr>
          <w:sz w:val="18"/>
        </w:rPr>
      </w:pPr>
    </w:p>
    <w:p w14:paraId="3BACE461" w14:textId="77777777" w:rsidR="00A71EEF" w:rsidRDefault="0081115D">
      <w:pPr>
        <w:pStyle w:val="a4"/>
        <w:numPr>
          <w:ilvl w:val="0"/>
          <w:numId w:val="568"/>
        </w:numPr>
        <w:tabs>
          <w:tab w:val="left" w:pos="1367"/>
        </w:tabs>
        <w:rPr>
          <w:sz w:val="21"/>
        </w:rPr>
      </w:pPr>
      <w:r>
        <w:rPr>
          <w:spacing w:val="-3"/>
          <w:sz w:val="21"/>
        </w:rPr>
        <w:t>系统的检验报告、合格证及相关材料；</w:t>
      </w:r>
      <w:r>
        <w:rPr>
          <w:sz w:val="21"/>
        </w:rPr>
        <w:t xml:space="preserve"> </w:t>
      </w:r>
    </w:p>
    <w:p w14:paraId="72C24157" w14:textId="77777777" w:rsidR="00A71EEF" w:rsidRDefault="00A71EEF">
      <w:pPr>
        <w:pStyle w:val="a3"/>
        <w:rPr>
          <w:sz w:val="18"/>
        </w:rPr>
      </w:pPr>
    </w:p>
    <w:p w14:paraId="21519A39" w14:textId="77777777" w:rsidR="00A71EEF" w:rsidRDefault="0081115D">
      <w:pPr>
        <w:pStyle w:val="a4"/>
        <w:numPr>
          <w:ilvl w:val="0"/>
          <w:numId w:val="568"/>
        </w:numPr>
        <w:tabs>
          <w:tab w:val="left" w:pos="1367"/>
        </w:tabs>
        <w:rPr>
          <w:sz w:val="21"/>
        </w:rPr>
      </w:pPr>
      <w:r>
        <w:rPr>
          <w:spacing w:val="-3"/>
          <w:sz w:val="21"/>
        </w:rPr>
        <w:t>系统设备清单。</w:t>
      </w:r>
      <w:r>
        <w:rPr>
          <w:sz w:val="21"/>
        </w:rPr>
        <w:t xml:space="preserve"> </w:t>
      </w:r>
    </w:p>
    <w:p w14:paraId="52963AAC" w14:textId="77777777" w:rsidR="00A71EEF" w:rsidRDefault="00A71EEF">
      <w:pPr>
        <w:pStyle w:val="a3"/>
        <w:spacing w:before="12"/>
        <w:rPr>
          <w:sz w:val="17"/>
        </w:rPr>
      </w:pPr>
    </w:p>
    <w:p w14:paraId="6855BAA3" w14:textId="77777777" w:rsidR="00A71EEF" w:rsidRDefault="0081115D">
      <w:pPr>
        <w:pStyle w:val="a3"/>
        <w:spacing w:line="446" w:lineRule="auto"/>
        <w:ind w:left="418" w:right="1604" w:firstLine="422"/>
      </w:pPr>
      <w:r>
        <w:rPr>
          <w:b/>
        </w:rPr>
        <w:t xml:space="preserve">7.1.5 </w:t>
      </w:r>
      <w:r>
        <w:t>系统验收应按附录</w:t>
      </w:r>
      <w:r>
        <w:t xml:space="preserve">D </w:t>
      </w:r>
      <w:r>
        <w:t>填写</w:t>
      </w:r>
      <w:r>
        <w:t>“</w:t>
      </w:r>
      <w:r>
        <w:t>城市消防远程监控系统验收记录</w:t>
      </w:r>
      <w:r>
        <w:t>”</w:t>
      </w:r>
      <w:r>
        <w:t>，验收记录应由建设单位填写，验收结论由参加验收的各方共同商定并签章。</w:t>
      </w:r>
      <w:r>
        <w:t xml:space="preserve"> </w:t>
      </w:r>
    </w:p>
    <w:p w14:paraId="3BE5FD78" w14:textId="77777777" w:rsidR="00A71EEF" w:rsidRDefault="0081115D">
      <w:pPr>
        <w:pStyle w:val="a4"/>
        <w:numPr>
          <w:ilvl w:val="1"/>
          <w:numId w:val="570"/>
        </w:numPr>
        <w:tabs>
          <w:tab w:val="left" w:pos="1159"/>
        </w:tabs>
        <w:ind w:hanging="319"/>
        <w:rPr>
          <w:b/>
          <w:sz w:val="21"/>
        </w:rPr>
      </w:pPr>
      <w:r>
        <w:rPr>
          <w:spacing w:val="-3"/>
          <w:sz w:val="21"/>
        </w:rPr>
        <w:t>主要设备和系统集成验收</w:t>
      </w:r>
      <w:r>
        <w:rPr>
          <w:b/>
          <w:w w:val="99"/>
          <w:sz w:val="21"/>
        </w:rPr>
        <w:t xml:space="preserve"> </w:t>
      </w:r>
    </w:p>
    <w:p w14:paraId="0139C0E9" w14:textId="77777777" w:rsidR="00A71EEF" w:rsidRDefault="00A71EEF">
      <w:pPr>
        <w:pStyle w:val="a3"/>
        <w:spacing w:before="12"/>
        <w:rPr>
          <w:b/>
          <w:sz w:val="17"/>
        </w:rPr>
      </w:pPr>
    </w:p>
    <w:p w14:paraId="1FAA55BB" w14:textId="77777777" w:rsidR="00A71EEF" w:rsidRDefault="0081115D">
      <w:pPr>
        <w:pStyle w:val="a4"/>
        <w:numPr>
          <w:ilvl w:val="2"/>
          <w:numId w:val="570"/>
        </w:numPr>
        <w:tabs>
          <w:tab w:val="left" w:pos="1371"/>
        </w:tabs>
        <w:ind w:left="1370"/>
        <w:rPr>
          <w:b/>
          <w:sz w:val="21"/>
        </w:rPr>
      </w:pPr>
      <w:r>
        <w:rPr>
          <w:spacing w:val="-3"/>
          <w:sz w:val="21"/>
        </w:rPr>
        <w:t>应对远程监控系统中下列主要设备的功能进行验收：</w:t>
      </w:r>
      <w:r>
        <w:rPr>
          <w:b/>
          <w:w w:val="99"/>
          <w:sz w:val="21"/>
        </w:rPr>
        <w:t xml:space="preserve"> </w:t>
      </w:r>
    </w:p>
    <w:p w14:paraId="64A7AB6B" w14:textId="77777777" w:rsidR="00A71EEF" w:rsidRDefault="00A71EEF">
      <w:pPr>
        <w:pStyle w:val="a3"/>
        <w:spacing w:before="2"/>
        <w:rPr>
          <w:b/>
          <w:sz w:val="18"/>
        </w:rPr>
      </w:pPr>
    </w:p>
    <w:p w14:paraId="0F680DF7" w14:textId="77777777" w:rsidR="00A71EEF" w:rsidRDefault="0081115D">
      <w:pPr>
        <w:pStyle w:val="a4"/>
        <w:numPr>
          <w:ilvl w:val="0"/>
          <w:numId w:val="567"/>
        </w:numPr>
        <w:tabs>
          <w:tab w:val="left" w:pos="1367"/>
        </w:tabs>
        <w:rPr>
          <w:b/>
          <w:sz w:val="21"/>
        </w:rPr>
      </w:pPr>
      <w:r>
        <w:rPr>
          <w:spacing w:val="-7"/>
          <w:sz w:val="21"/>
        </w:rPr>
        <w:t>用户信息传输装置应符合本规范第</w:t>
      </w:r>
      <w:r>
        <w:rPr>
          <w:spacing w:val="-7"/>
          <w:sz w:val="21"/>
        </w:rPr>
        <w:t xml:space="preserve"> </w:t>
      </w:r>
      <w:r>
        <w:rPr>
          <w:sz w:val="21"/>
        </w:rPr>
        <w:t>5.2.1</w:t>
      </w:r>
      <w:r>
        <w:rPr>
          <w:spacing w:val="-11"/>
          <w:sz w:val="21"/>
        </w:rPr>
        <w:t xml:space="preserve"> </w:t>
      </w:r>
      <w:r>
        <w:rPr>
          <w:spacing w:val="-11"/>
          <w:sz w:val="21"/>
        </w:rPr>
        <w:t>条的要求。</w:t>
      </w:r>
      <w:r>
        <w:rPr>
          <w:b/>
          <w:w w:val="99"/>
          <w:sz w:val="21"/>
        </w:rPr>
        <w:t xml:space="preserve"> </w:t>
      </w:r>
    </w:p>
    <w:p w14:paraId="25EC6FAF" w14:textId="77777777" w:rsidR="00A71EEF" w:rsidRDefault="00A71EEF">
      <w:pPr>
        <w:pStyle w:val="a3"/>
        <w:rPr>
          <w:b/>
          <w:sz w:val="18"/>
        </w:rPr>
      </w:pPr>
    </w:p>
    <w:p w14:paraId="7A8553D4" w14:textId="77777777" w:rsidR="00A71EEF" w:rsidRDefault="0081115D">
      <w:pPr>
        <w:pStyle w:val="a4"/>
        <w:numPr>
          <w:ilvl w:val="0"/>
          <w:numId w:val="567"/>
        </w:numPr>
        <w:tabs>
          <w:tab w:val="left" w:pos="1367"/>
        </w:tabs>
        <w:rPr>
          <w:b/>
          <w:sz w:val="21"/>
        </w:rPr>
      </w:pPr>
      <w:r>
        <w:rPr>
          <w:spacing w:val="-6"/>
          <w:sz w:val="21"/>
        </w:rPr>
        <w:t>报警受理系统应符合本规范第</w:t>
      </w:r>
      <w:r>
        <w:rPr>
          <w:spacing w:val="-6"/>
          <w:sz w:val="21"/>
        </w:rPr>
        <w:t xml:space="preserve"> </w:t>
      </w:r>
      <w:r>
        <w:rPr>
          <w:sz w:val="21"/>
        </w:rPr>
        <w:t>5.2.2</w:t>
      </w:r>
      <w:r>
        <w:rPr>
          <w:spacing w:val="-10"/>
          <w:sz w:val="21"/>
        </w:rPr>
        <w:t xml:space="preserve"> </w:t>
      </w:r>
      <w:r>
        <w:rPr>
          <w:spacing w:val="-10"/>
          <w:sz w:val="21"/>
        </w:rPr>
        <w:t>条的要求。</w:t>
      </w:r>
      <w:r>
        <w:rPr>
          <w:b/>
          <w:spacing w:val="-10"/>
          <w:w w:val="99"/>
          <w:sz w:val="21"/>
        </w:rPr>
        <w:t xml:space="preserve"> </w:t>
      </w:r>
    </w:p>
    <w:p w14:paraId="67EDE240" w14:textId="77777777" w:rsidR="00A71EEF" w:rsidRDefault="00A71EEF">
      <w:pPr>
        <w:pStyle w:val="a3"/>
        <w:rPr>
          <w:b/>
          <w:sz w:val="18"/>
        </w:rPr>
      </w:pPr>
    </w:p>
    <w:p w14:paraId="2C0DA35E" w14:textId="77777777" w:rsidR="00A71EEF" w:rsidRDefault="0081115D">
      <w:pPr>
        <w:pStyle w:val="a4"/>
        <w:numPr>
          <w:ilvl w:val="0"/>
          <w:numId w:val="567"/>
        </w:numPr>
        <w:tabs>
          <w:tab w:val="left" w:pos="1367"/>
        </w:tabs>
        <w:rPr>
          <w:b/>
          <w:sz w:val="21"/>
        </w:rPr>
      </w:pPr>
      <w:r>
        <w:rPr>
          <w:spacing w:val="-6"/>
          <w:sz w:val="21"/>
        </w:rPr>
        <w:t>信息查询系统应符合本规范第</w:t>
      </w:r>
      <w:r>
        <w:rPr>
          <w:spacing w:val="-6"/>
          <w:sz w:val="21"/>
        </w:rPr>
        <w:t xml:space="preserve"> </w:t>
      </w:r>
      <w:r>
        <w:rPr>
          <w:sz w:val="21"/>
        </w:rPr>
        <w:t>5.2.3</w:t>
      </w:r>
      <w:r>
        <w:rPr>
          <w:spacing w:val="-10"/>
          <w:sz w:val="21"/>
        </w:rPr>
        <w:t xml:space="preserve"> </w:t>
      </w:r>
      <w:r>
        <w:rPr>
          <w:spacing w:val="-10"/>
          <w:sz w:val="21"/>
        </w:rPr>
        <w:t>条的要求。</w:t>
      </w:r>
      <w:r>
        <w:rPr>
          <w:b/>
          <w:spacing w:val="-10"/>
          <w:w w:val="99"/>
          <w:sz w:val="21"/>
        </w:rPr>
        <w:t xml:space="preserve"> </w:t>
      </w:r>
    </w:p>
    <w:p w14:paraId="22411921" w14:textId="77777777" w:rsidR="00A71EEF" w:rsidRDefault="00A71EEF">
      <w:pPr>
        <w:pStyle w:val="a3"/>
        <w:spacing w:before="1"/>
        <w:rPr>
          <w:b/>
          <w:sz w:val="18"/>
        </w:rPr>
      </w:pPr>
    </w:p>
    <w:p w14:paraId="366DC182" w14:textId="77777777" w:rsidR="00A71EEF" w:rsidRDefault="0081115D">
      <w:pPr>
        <w:pStyle w:val="a4"/>
        <w:numPr>
          <w:ilvl w:val="0"/>
          <w:numId w:val="567"/>
        </w:numPr>
        <w:tabs>
          <w:tab w:val="left" w:pos="1367"/>
        </w:tabs>
        <w:spacing w:before="1"/>
        <w:rPr>
          <w:b/>
          <w:sz w:val="21"/>
        </w:rPr>
      </w:pPr>
      <w:r>
        <w:rPr>
          <w:spacing w:val="-6"/>
          <w:sz w:val="21"/>
        </w:rPr>
        <w:t>用户服务系统应符合本规范第</w:t>
      </w:r>
      <w:r>
        <w:rPr>
          <w:spacing w:val="-6"/>
          <w:sz w:val="21"/>
        </w:rPr>
        <w:t xml:space="preserve"> </w:t>
      </w:r>
      <w:r>
        <w:rPr>
          <w:sz w:val="21"/>
        </w:rPr>
        <w:t>5.2.4</w:t>
      </w:r>
      <w:r>
        <w:rPr>
          <w:spacing w:val="-10"/>
          <w:sz w:val="21"/>
        </w:rPr>
        <w:t xml:space="preserve"> </w:t>
      </w:r>
      <w:r>
        <w:rPr>
          <w:spacing w:val="-10"/>
          <w:sz w:val="21"/>
        </w:rPr>
        <w:t>条的要求。</w:t>
      </w:r>
      <w:r>
        <w:rPr>
          <w:b/>
          <w:spacing w:val="-10"/>
          <w:w w:val="99"/>
          <w:sz w:val="21"/>
        </w:rPr>
        <w:t xml:space="preserve"> </w:t>
      </w:r>
    </w:p>
    <w:p w14:paraId="2BA56CBF" w14:textId="77777777" w:rsidR="00A71EEF" w:rsidRDefault="00A71EEF">
      <w:pPr>
        <w:rPr>
          <w:sz w:val="21"/>
        </w:rPr>
        <w:sectPr w:rsidR="00A71EEF">
          <w:pgSz w:w="11910" w:h="16850"/>
          <w:pgMar w:top="1600" w:right="0" w:bottom="1420" w:left="1260" w:header="0" w:footer="1239" w:gutter="0"/>
          <w:cols w:space="720"/>
        </w:sectPr>
      </w:pPr>
    </w:p>
    <w:p w14:paraId="0449B109" w14:textId="77777777" w:rsidR="00A71EEF" w:rsidRDefault="0081115D">
      <w:pPr>
        <w:pStyle w:val="a4"/>
        <w:numPr>
          <w:ilvl w:val="0"/>
          <w:numId w:val="567"/>
        </w:numPr>
        <w:tabs>
          <w:tab w:val="left" w:pos="1367"/>
        </w:tabs>
        <w:spacing w:before="47" w:line="446" w:lineRule="auto"/>
        <w:ind w:left="840" w:right="4763" w:hanging="3"/>
        <w:rPr>
          <w:b/>
          <w:sz w:val="21"/>
        </w:rPr>
      </w:pPr>
      <w:r>
        <w:rPr>
          <w:spacing w:val="-7"/>
          <w:sz w:val="21"/>
        </w:rPr>
        <w:t>火警信息终端应符合本规范第</w:t>
      </w:r>
      <w:r>
        <w:rPr>
          <w:spacing w:val="-7"/>
          <w:sz w:val="21"/>
        </w:rPr>
        <w:t xml:space="preserve"> </w:t>
      </w:r>
      <w:r>
        <w:rPr>
          <w:sz w:val="21"/>
        </w:rPr>
        <w:t>5.2.5</w:t>
      </w:r>
      <w:r>
        <w:rPr>
          <w:spacing w:val="-10"/>
          <w:sz w:val="21"/>
        </w:rPr>
        <w:t xml:space="preserve"> </w:t>
      </w:r>
      <w:r>
        <w:rPr>
          <w:spacing w:val="-10"/>
          <w:sz w:val="21"/>
        </w:rPr>
        <w:t>条的要求。</w:t>
      </w:r>
      <w:r>
        <w:rPr>
          <w:b/>
          <w:spacing w:val="-10"/>
          <w:sz w:val="21"/>
        </w:rPr>
        <w:t xml:space="preserve">7.2.2 </w:t>
      </w:r>
      <w:r>
        <w:rPr>
          <w:spacing w:val="-3"/>
          <w:sz w:val="21"/>
        </w:rPr>
        <w:t>远程监控系统集成验收应包括：</w:t>
      </w:r>
      <w:r>
        <w:rPr>
          <w:b/>
          <w:w w:val="99"/>
          <w:sz w:val="21"/>
        </w:rPr>
        <w:t xml:space="preserve"> </w:t>
      </w:r>
    </w:p>
    <w:p w14:paraId="1A194AFD" w14:textId="77777777" w:rsidR="00A71EEF" w:rsidRDefault="0081115D">
      <w:pPr>
        <w:pStyle w:val="a4"/>
        <w:numPr>
          <w:ilvl w:val="0"/>
          <w:numId w:val="566"/>
        </w:numPr>
        <w:tabs>
          <w:tab w:val="left" w:pos="1367"/>
        </w:tabs>
        <w:spacing w:line="267" w:lineRule="exact"/>
        <w:rPr>
          <w:b/>
          <w:sz w:val="21"/>
        </w:rPr>
      </w:pPr>
      <w:r>
        <w:rPr>
          <w:spacing w:val="-6"/>
          <w:sz w:val="21"/>
        </w:rPr>
        <w:t>远程监控系统主要功能应符合本规范第</w:t>
      </w:r>
      <w:r>
        <w:rPr>
          <w:spacing w:val="-6"/>
          <w:sz w:val="21"/>
        </w:rPr>
        <w:t xml:space="preserve"> </w:t>
      </w:r>
      <w:r>
        <w:rPr>
          <w:sz w:val="21"/>
        </w:rPr>
        <w:t>4.2.1</w:t>
      </w:r>
      <w:r>
        <w:rPr>
          <w:spacing w:val="-29"/>
          <w:sz w:val="21"/>
        </w:rPr>
        <w:t xml:space="preserve"> </w:t>
      </w:r>
      <w:r>
        <w:rPr>
          <w:spacing w:val="-29"/>
          <w:sz w:val="21"/>
        </w:rPr>
        <w:t>条</w:t>
      </w:r>
      <w:r>
        <w:rPr>
          <w:b/>
          <w:sz w:val="21"/>
        </w:rPr>
        <w:t>的</w:t>
      </w:r>
      <w:r>
        <w:rPr>
          <w:spacing w:val="-3"/>
          <w:sz w:val="21"/>
        </w:rPr>
        <w:t>要求。</w:t>
      </w:r>
      <w:r>
        <w:rPr>
          <w:b/>
          <w:w w:val="99"/>
          <w:sz w:val="21"/>
        </w:rPr>
        <w:t xml:space="preserve"> </w:t>
      </w:r>
    </w:p>
    <w:p w14:paraId="575E7F89" w14:textId="77777777" w:rsidR="00A71EEF" w:rsidRDefault="00A71EEF">
      <w:pPr>
        <w:pStyle w:val="a3"/>
        <w:spacing w:before="2"/>
        <w:rPr>
          <w:b/>
          <w:sz w:val="18"/>
        </w:rPr>
      </w:pPr>
    </w:p>
    <w:p w14:paraId="5F4F8A60" w14:textId="77777777" w:rsidR="00A71EEF" w:rsidRDefault="0081115D">
      <w:pPr>
        <w:pStyle w:val="a4"/>
        <w:numPr>
          <w:ilvl w:val="0"/>
          <w:numId w:val="566"/>
        </w:numPr>
        <w:tabs>
          <w:tab w:val="left" w:pos="1367"/>
        </w:tabs>
        <w:rPr>
          <w:sz w:val="21"/>
        </w:rPr>
      </w:pPr>
      <w:r>
        <w:rPr>
          <w:spacing w:val="-6"/>
          <w:sz w:val="21"/>
        </w:rPr>
        <w:t>远程监控系统主要性能指标应符合本规范第</w:t>
      </w:r>
      <w:r>
        <w:rPr>
          <w:spacing w:val="-6"/>
          <w:sz w:val="21"/>
        </w:rPr>
        <w:t xml:space="preserve"> </w:t>
      </w:r>
      <w:r>
        <w:rPr>
          <w:sz w:val="21"/>
        </w:rPr>
        <w:t>4.2.2</w:t>
      </w:r>
      <w:r>
        <w:rPr>
          <w:spacing w:val="-11"/>
          <w:sz w:val="21"/>
        </w:rPr>
        <w:t xml:space="preserve"> </w:t>
      </w:r>
      <w:r>
        <w:rPr>
          <w:spacing w:val="-11"/>
          <w:sz w:val="21"/>
        </w:rPr>
        <w:t>条的要求。</w:t>
      </w:r>
      <w:r>
        <w:rPr>
          <w:sz w:val="21"/>
        </w:rPr>
        <w:t xml:space="preserve"> </w:t>
      </w:r>
    </w:p>
    <w:p w14:paraId="097C7C64" w14:textId="77777777" w:rsidR="00A71EEF" w:rsidRDefault="00A71EEF">
      <w:pPr>
        <w:pStyle w:val="a3"/>
        <w:rPr>
          <w:sz w:val="18"/>
        </w:rPr>
      </w:pPr>
    </w:p>
    <w:p w14:paraId="07BCB0F1" w14:textId="77777777" w:rsidR="00A71EEF" w:rsidRDefault="0081115D">
      <w:pPr>
        <w:pStyle w:val="a4"/>
        <w:numPr>
          <w:ilvl w:val="0"/>
          <w:numId w:val="566"/>
        </w:numPr>
        <w:tabs>
          <w:tab w:val="left" w:pos="1367"/>
        </w:tabs>
        <w:rPr>
          <w:sz w:val="21"/>
        </w:rPr>
      </w:pPr>
      <w:r>
        <w:rPr>
          <w:spacing w:val="-5"/>
          <w:sz w:val="21"/>
        </w:rPr>
        <w:t>远程监控系统网络安全性应符合本规范第</w:t>
      </w:r>
      <w:r>
        <w:rPr>
          <w:spacing w:val="-5"/>
          <w:sz w:val="21"/>
        </w:rPr>
        <w:t xml:space="preserve"> </w:t>
      </w:r>
      <w:r>
        <w:rPr>
          <w:sz w:val="21"/>
        </w:rPr>
        <w:t>4.6.1</w:t>
      </w:r>
      <w:r>
        <w:rPr>
          <w:spacing w:val="-10"/>
          <w:sz w:val="21"/>
        </w:rPr>
        <w:t xml:space="preserve"> </w:t>
      </w:r>
      <w:r>
        <w:rPr>
          <w:spacing w:val="-10"/>
          <w:sz w:val="21"/>
        </w:rPr>
        <w:t>条的要求。</w:t>
      </w:r>
      <w:r>
        <w:rPr>
          <w:sz w:val="21"/>
        </w:rPr>
        <w:t xml:space="preserve"> </w:t>
      </w:r>
    </w:p>
    <w:p w14:paraId="6CDCD242" w14:textId="77777777" w:rsidR="00A71EEF" w:rsidRDefault="00A71EEF">
      <w:pPr>
        <w:pStyle w:val="a3"/>
        <w:spacing w:before="12"/>
        <w:rPr>
          <w:sz w:val="17"/>
        </w:rPr>
      </w:pPr>
    </w:p>
    <w:p w14:paraId="6E7B1D78" w14:textId="77777777" w:rsidR="00A71EEF" w:rsidRDefault="0081115D">
      <w:pPr>
        <w:pStyle w:val="a4"/>
        <w:numPr>
          <w:ilvl w:val="0"/>
          <w:numId w:val="566"/>
        </w:numPr>
        <w:tabs>
          <w:tab w:val="left" w:pos="1367"/>
        </w:tabs>
        <w:rPr>
          <w:sz w:val="21"/>
        </w:rPr>
      </w:pPr>
      <w:r>
        <w:rPr>
          <w:spacing w:val="-5"/>
          <w:sz w:val="21"/>
        </w:rPr>
        <w:t>远程监控系统应用安全性应符合本规范第</w:t>
      </w:r>
      <w:r>
        <w:rPr>
          <w:spacing w:val="-5"/>
          <w:sz w:val="21"/>
        </w:rPr>
        <w:t xml:space="preserve"> </w:t>
      </w:r>
      <w:r>
        <w:rPr>
          <w:sz w:val="21"/>
        </w:rPr>
        <w:t>4.6.2</w:t>
      </w:r>
      <w:r>
        <w:rPr>
          <w:spacing w:val="-10"/>
          <w:sz w:val="21"/>
        </w:rPr>
        <w:t xml:space="preserve"> </w:t>
      </w:r>
      <w:r>
        <w:rPr>
          <w:spacing w:val="-10"/>
          <w:sz w:val="21"/>
        </w:rPr>
        <w:t>条的要求。</w:t>
      </w:r>
      <w:r>
        <w:rPr>
          <w:sz w:val="21"/>
        </w:rPr>
        <w:t xml:space="preserve"> </w:t>
      </w:r>
    </w:p>
    <w:p w14:paraId="0426693A" w14:textId="77777777" w:rsidR="00A71EEF" w:rsidRDefault="00A71EEF">
      <w:pPr>
        <w:pStyle w:val="a3"/>
        <w:spacing w:before="2"/>
        <w:rPr>
          <w:sz w:val="18"/>
        </w:rPr>
      </w:pPr>
    </w:p>
    <w:p w14:paraId="509F8773" w14:textId="77777777" w:rsidR="00A71EEF" w:rsidRDefault="0081115D">
      <w:pPr>
        <w:pStyle w:val="a4"/>
        <w:numPr>
          <w:ilvl w:val="0"/>
          <w:numId w:val="566"/>
        </w:numPr>
        <w:tabs>
          <w:tab w:val="left" w:pos="1367"/>
        </w:tabs>
        <w:rPr>
          <w:sz w:val="21"/>
        </w:rPr>
      </w:pPr>
      <w:r>
        <w:rPr>
          <w:spacing w:val="-6"/>
          <w:sz w:val="21"/>
        </w:rPr>
        <w:t>远程监控系统安装环境应符合本规范第</w:t>
      </w:r>
      <w:r>
        <w:rPr>
          <w:spacing w:val="-6"/>
          <w:sz w:val="21"/>
        </w:rPr>
        <w:t xml:space="preserve"> </w:t>
      </w:r>
      <w:r>
        <w:rPr>
          <w:sz w:val="21"/>
        </w:rPr>
        <w:t>6.2.1</w:t>
      </w:r>
      <w:r>
        <w:rPr>
          <w:spacing w:val="-11"/>
          <w:sz w:val="21"/>
        </w:rPr>
        <w:t xml:space="preserve"> </w:t>
      </w:r>
      <w:r>
        <w:rPr>
          <w:spacing w:val="-11"/>
          <w:sz w:val="21"/>
        </w:rPr>
        <w:t>条的要求。</w:t>
      </w:r>
      <w:r>
        <w:rPr>
          <w:sz w:val="21"/>
        </w:rPr>
        <w:t xml:space="preserve"> </w:t>
      </w:r>
    </w:p>
    <w:p w14:paraId="131C1528" w14:textId="77777777" w:rsidR="00A71EEF" w:rsidRDefault="00A71EEF">
      <w:pPr>
        <w:pStyle w:val="a3"/>
        <w:rPr>
          <w:sz w:val="18"/>
        </w:rPr>
      </w:pPr>
    </w:p>
    <w:p w14:paraId="376452DC" w14:textId="77777777" w:rsidR="00A71EEF" w:rsidRDefault="0081115D">
      <w:pPr>
        <w:pStyle w:val="a4"/>
        <w:numPr>
          <w:ilvl w:val="0"/>
          <w:numId w:val="566"/>
        </w:numPr>
        <w:tabs>
          <w:tab w:val="left" w:pos="1367"/>
        </w:tabs>
        <w:spacing w:line="446" w:lineRule="auto"/>
        <w:ind w:left="840" w:right="3505" w:hanging="3"/>
        <w:rPr>
          <w:b/>
          <w:sz w:val="21"/>
        </w:rPr>
      </w:pPr>
      <w:r>
        <w:rPr>
          <w:spacing w:val="-6"/>
          <w:sz w:val="21"/>
        </w:rPr>
        <w:t>远程监控系统验收技术文件应符合本规范第</w:t>
      </w:r>
      <w:r>
        <w:rPr>
          <w:spacing w:val="-6"/>
          <w:sz w:val="21"/>
        </w:rPr>
        <w:t xml:space="preserve"> </w:t>
      </w:r>
      <w:r>
        <w:rPr>
          <w:sz w:val="21"/>
        </w:rPr>
        <w:t>7.1.4</w:t>
      </w:r>
      <w:r>
        <w:rPr>
          <w:spacing w:val="-11"/>
          <w:sz w:val="21"/>
        </w:rPr>
        <w:t xml:space="preserve"> </w:t>
      </w:r>
      <w:r>
        <w:rPr>
          <w:spacing w:val="-11"/>
          <w:sz w:val="21"/>
        </w:rPr>
        <w:t>条的要求。</w:t>
      </w:r>
      <w:r>
        <w:rPr>
          <w:b/>
          <w:sz w:val="21"/>
        </w:rPr>
        <w:t>7.3</w:t>
      </w:r>
      <w:r>
        <w:rPr>
          <w:b/>
          <w:spacing w:val="2"/>
          <w:sz w:val="21"/>
        </w:rPr>
        <w:t xml:space="preserve"> </w:t>
      </w:r>
      <w:r>
        <w:rPr>
          <w:spacing w:val="-3"/>
          <w:sz w:val="21"/>
        </w:rPr>
        <w:t>系统验收判定条件</w:t>
      </w:r>
      <w:r>
        <w:rPr>
          <w:b/>
          <w:w w:val="99"/>
          <w:sz w:val="21"/>
        </w:rPr>
        <w:t xml:space="preserve"> </w:t>
      </w:r>
    </w:p>
    <w:p w14:paraId="1ECB85A9" w14:textId="77777777" w:rsidR="00A71EEF" w:rsidRDefault="0081115D">
      <w:pPr>
        <w:pStyle w:val="a4"/>
        <w:numPr>
          <w:ilvl w:val="2"/>
          <w:numId w:val="565"/>
        </w:numPr>
        <w:tabs>
          <w:tab w:val="left" w:pos="1372"/>
        </w:tabs>
        <w:rPr>
          <w:sz w:val="21"/>
        </w:rPr>
      </w:pPr>
      <w:r>
        <w:rPr>
          <w:spacing w:val="-6"/>
          <w:sz w:val="21"/>
        </w:rPr>
        <w:t>远程监控系统验收合格判定条件应为：本规范第</w:t>
      </w:r>
      <w:r>
        <w:rPr>
          <w:spacing w:val="-6"/>
          <w:sz w:val="21"/>
        </w:rPr>
        <w:t xml:space="preserve"> </w:t>
      </w:r>
      <w:r>
        <w:rPr>
          <w:sz w:val="21"/>
        </w:rPr>
        <w:t>4.2.1</w:t>
      </w:r>
      <w:r>
        <w:rPr>
          <w:spacing w:val="-23"/>
          <w:sz w:val="21"/>
        </w:rPr>
        <w:t xml:space="preserve"> </w:t>
      </w:r>
      <w:r>
        <w:rPr>
          <w:spacing w:val="-23"/>
          <w:sz w:val="21"/>
        </w:rPr>
        <w:t>条的第</w:t>
      </w:r>
      <w:r>
        <w:rPr>
          <w:spacing w:val="-23"/>
          <w:sz w:val="21"/>
        </w:rPr>
        <w:t xml:space="preserve"> </w:t>
      </w:r>
      <w:r>
        <w:rPr>
          <w:spacing w:val="-3"/>
          <w:sz w:val="21"/>
        </w:rPr>
        <w:t>1</w:t>
      </w:r>
      <w:r>
        <w:rPr>
          <w:sz w:val="21"/>
        </w:rPr>
        <w:t>、</w:t>
      </w:r>
      <w:r>
        <w:rPr>
          <w:sz w:val="21"/>
        </w:rPr>
        <w:t>2</w:t>
      </w:r>
      <w:r>
        <w:rPr>
          <w:spacing w:val="-3"/>
          <w:sz w:val="21"/>
        </w:rPr>
        <w:t>、</w:t>
      </w:r>
      <w:r>
        <w:rPr>
          <w:sz w:val="21"/>
        </w:rPr>
        <w:t>3</w:t>
      </w:r>
      <w:r>
        <w:rPr>
          <w:sz w:val="21"/>
        </w:rPr>
        <w:t>、</w:t>
      </w:r>
      <w:r>
        <w:rPr>
          <w:sz w:val="21"/>
        </w:rPr>
        <w:t>5</w:t>
      </w:r>
      <w:r>
        <w:rPr>
          <w:spacing w:val="-15"/>
          <w:sz w:val="21"/>
        </w:rPr>
        <w:t xml:space="preserve"> </w:t>
      </w:r>
      <w:r>
        <w:rPr>
          <w:spacing w:val="-15"/>
          <w:sz w:val="21"/>
        </w:rPr>
        <w:t>款、第</w:t>
      </w:r>
    </w:p>
    <w:p w14:paraId="00D35FAB" w14:textId="77777777" w:rsidR="00A71EEF" w:rsidRDefault="00A71EEF">
      <w:pPr>
        <w:pStyle w:val="a3"/>
        <w:spacing w:before="12"/>
        <w:rPr>
          <w:sz w:val="17"/>
        </w:rPr>
      </w:pPr>
    </w:p>
    <w:p w14:paraId="4809CA3C" w14:textId="77777777" w:rsidR="00A71EEF" w:rsidRDefault="0081115D">
      <w:pPr>
        <w:pStyle w:val="a3"/>
        <w:ind w:left="418"/>
      </w:pPr>
      <w:r>
        <w:t>4.2.2</w:t>
      </w:r>
      <w:r>
        <w:t>、</w:t>
      </w:r>
      <w:r>
        <w:t>4.6.1</w:t>
      </w:r>
      <w:r>
        <w:t>、</w:t>
      </w:r>
      <w:r>
        <w:t>4.6.2</w:t>
      </w:r>
      <w:r>
        <w:t>、</w:t>
      </w:r>
      <w:r>
        <w:t>5.2.1</w:t>
      </w:r>
      <w:r>
        <w:t>、</w:t>
      </w:r>
      <w:r>
        <w:t>5.2.2</w:t>
      </w:r>
      <w:r>
        <w:t>、</w:t>
      </w:r>
      <w:r>
        <w:t>5.2.3</w:t>
      </w:r>
      <w:r>
        <w:t>、</w:t>
      </w:r>
      <w:r>
        <w:t>5.2.5</w:t>
      </w:r>
      <w:r>
        <w:t>、</w:t>
      </w:r>
      <w:r>
        <w:t>5.3.1</w:t>
      </w:r>
      <w:r>
        <w:t>、</w:t>
      </w:r>
      <w:r>
        <w:t>5.3.2</w:t>
      </w:r>
      <w:r>
        <w:t>、</w:t>
      </w:r>
      <w:r>
        <w:t>6.2.1</w:t>
      </w:r>
      <w:r>
        <w:t>、</w:t>
      </w:r>
      <w:r>
        <w:t xml:space="preserve">7.1.4 </w:t>
      </w:r>
      <w:r>
        <w:t>条中的所</w:t>
      </w:r>
    </w:p>
    <w:p w14:paraId="3AA03298" w14:textId="77777777" w:rsidR="00A71EEF" w:rsidRDefault="00A71EEF">
      <w:pPr>
        <w:pStyle w:val="a3"/>
        <w:rPr>
          <w:sz w:val="18"/>
        </w:rPr>
      </w:pPr>
    </w:p>
    <w:p w14:paraId="2EC1CB82" w14:textId="77777777" w:rsidR="00A71EEF" w:rsidRDefault="0081115D">
      <w:pPr>
        <w:pStyle w:val="a3"/>
        <w:ind w:left="418"/>
      </w:pPr>
      <w:r>
        <w:t>有款项不合格数量为</w:t>
      </w:r>
      <w:r>
        <w:t xml:space="preserve"> 0 </w:t>
      </w:r>
      <w:r>
        <w:t>项，否则为不合格。</w:t>
      </w:r>
      <w:r>
        <w:t xml:space="preserve"> </w:t>
      </w:r>
    </w:p>
    <w:p w14:paraId="5BA90F58" w14:textId="77777777" w:rsidR="00A71EEF" w:rsidRDefault="00A71EEF">
      <w:pPr>
        <w:pStyle w:val="a3"/>
        <w:spacing w:before="2"/>
        <w:rPr>
          <w:sz w:val="18"/>
        </w:rPr>
      </w:pPr>
    </w:p>
    <w:p w14:paraId="7FBE89FE" w14:textId="77777777" w:rsidR="00A71EEF" w:rsidRDefault="0081115D">
      <w:pPr>
        <w:pStyle w:val="a4"/>
        <w:numPr>
          <w:ilvl w:val="2"/>
          <w:numId w:val="565"/>
        </w:numPr>
        <w:tabs>
          <w:tab w:val="left" w:pos="1371"/>
        </w:tabs>
        <w:spacing w:line="446" w:lineRule="auto"/>
        <w:ind w:left="418" w:right="1604" w:firstLine="422"/>
        <w:rPr>
          <w:sz w:val="21"/>
        </w:rPr>
      </w:pPr>
      <w:r>
        <w:rPr>
          <w:spacing w:val="-3"/>
          <w:sz w:val="21"/>
        </w:rPr>
        <w:t>远程监控系统验收不合格的，应进行整改。整改完毕后应进行试运行，试运行时间</w:t>
      </w:r>
      <w:r>
        <w:rPr>
          <w:spacing w:val="-13"/>
          <w:sz w:val="21"/>
        </w:rPr>
        <w:t>不应少于</w:t>
      </w:r>
      <w:r>
        <w:rPr>
          <w:spacing w:val="-13"/>
          <w:sz w:val="21"/>
        </w:rPr>
        <w:t xml:space="preserve"> </w:t>
      </w:r>
      <w:r>
        <w:rPr>
          <w:sz w:val="21"/>
        </w:rPr>
        <w:t>1</w:t>
      </w:r>
      <w:r>
        <w:rPr>
          <w:spacing w:val="-8"/>
          <w:sz w:val="21"/>
        </w:rPr>
        <w:t xml:space="preserve"> </w:t>
      </w:r>
      <w:r>
        <w:rPr>
          <w:spacing w:val="-8"/>
          <w:sz w:val="21"/>
        </w:rPr>
        <w:t>个月，复验合格后，方可通过验收。</w:t>
      </w:r>
      <w:r>
        <w:rPr>
          <w:sz w:val="21"/>
        </w:rPr>
        <w:t xml:space="preserve"> </w:t>
      </w:r>
    </w:p>
    <w:p w14:paraId="4BC0CC1C" w14:textId="77777777" w:rsidR="00A71EEF" w:rsidRDefault="0081115D">
      <w:pPr>
        <w:pStyle w:val="4"/>
        <w:spacing w:line="275" w:lineRule="exact"/>
      </w:pPr>
      <w:r>
        <w:t xml:space="preserve">8 </w:t>
      </w:r>
      <w:r>
        <w:t>系统的运行及维护</w:t>
      </w:r>
      <w:r>
        <w:rPr>
          <w:w w:val="99"/>
        </w:rPr>
        <w:t xml:space="preserve"> </w:t>
      </w:r>
    </w:p>
    <w:p w14:paraId="3E632B4F" w14:textId="77777777" w:rsidR="00A71EEF" w:rsidRDefault="00A71EEF">
      <w:pPr>
        <w:pStyle w:val="a3"/>
        <w:spacing w:before="6"/>
        <w:rPr>
          <w:b/>
          <w:sz w:val="17"/>
        </w:rPr>
      </w:pPr>
    </w:p>
    <w:p w14:paraId="7D814711" w14:textId="77777777" w:rsidR="00A71EEF" w:rsidRDefault="0081115D">
      <w:pPr>
        <w:pStyle w:val="a4"/>
        <w:numPr>
          <w:ilvl w:val="1"/>
          <w:numId w:val="564"/>
        </w:numPr>
        <w:tabs>
          <w:tab w:val="left" w:pos="1160"/>
        </w:tabs>
        <w:rPr>
          <w:sz w:val="21"/>
        </w:rPr>
      </w:pPr>
      <w:r>
        <w:rPr>
          <w:spacing w:val="-3"/>
          <w:sz w:val="21"/>
        </w:rPr>
        <w:t>一般规定</w:t>
      </w:r>
      <w:r>
        <w:rPr>
          <w:sz w:val="21"/>
        </w:rPr>
        <w:t xml:space="preserve"> </w:t>
      </w:r>
    </w:p>
    <w:p w14:paraId="6390616B" w14:textId="77777777" w:rsidR="00A71EEF" w:rsidRDefault="00A71EEF">
      <w:pPr>
        <w:pStyle w:val="a3"/>
        <w:spacing w:before="12"/>
        <w:rPr>
          <w:sz w:val="17"/>
        </w:rPr>
      </w:pPr>
    </w:p>
    <w:p w14:paraId="34F624A8" w14:textId="77777777" w:rsidR="00A71EEF" w:rsidRDefault="0081115D">
      <w:pPr>
        <w:pStyle w:val="a4"/>
        <w:numPr>
          <w:ilvl w:val="2"/>
          <w:numId w:val="564"/>
        </w:numPr>
        <w:tabs>
          <w:tab w:val="left" w:pos="1370"/>
        </w:tabs>
        <w:spacing w:line="446" w:lineRule="auto"/>
        <w:ind w:right="1604" w:firstLine="422"/>
        <w:jc w:val="both"/>
        <w:rPr>
          <w:sz w:val="21"/>
        </w:rPr>
      </w:pPr>
      <w:r>
        <w:rPr>
          <w:spacing w:val="-3"/>
          <w:sz w:val="21"/>
        </w:rPr>
        <w:t>远程监控系统的运行及维护应由具有独立法人资格的单位承担，该单位的主要技术</w:t>
      </w:r>
      <w:r>
        <w:rPr>
          <w:spacing w:val="-5"/>
          <w:sz w:val="21"/>
        </w:rPr>
        <w:t>人员应由从事火灾报警、消防设备、计算机软件、网络通信等专业</w:t>
      </w:r>
      <w:r>
        <w:rPr>
          <w:spacing w:val="-5"/>
          <w:sz w:val="21"/>
        </w:rPr>
        <w:t xml:space="preserve"> </w:t>
      </w:r>
      <w:r>
        <w:rPr>
          <w:sz w:val="21"/>
        </w:rPr>
        <w:t>5</w:t>
      </w:r>
      <w:r>
        <w:rPr>
          <w:spacing w:val="-13"/>
          <w:sz w:val="21"/>
        </w:rPr>
        <w:t xml:space="preserve"> </w:t>
      </w:r>
      <w:r>
        <w:rPr>
          <w:spacing w:val="-13"/>
          <w:sz w:val="21"/>
        </w:rPr>
        <w:t>年以上</w:t>
      </w:r>
      <w:r>
        <w:rPr>
          <w:sz w:val="21"/>
        </w:rPr>
        <w:t>（</w:t>
      </w:r>
      <w:r>
        <w:rPr>
          <w:spacing w:val="-21"/>
          <w:sz w:val="21"/>
        </w:rPr>
        <w:t>含</w:t>
      </w:r>
      <w:r>
        <w:rPr>
          <w:spacing w:val="-21"/>
          <w:sz w:val="21"/>
        </w:rPr>
        <w:t xml:space="preserve"> </w:t>
      </w:r>
      <w:r>
        <w:rPr>
          <w:sz w:val="21"/>
        </w:rPr>
        <w:t>5</w:t>
      </w:r>
      <w:r>
        <w:rPr>
          <w:spacing w:val="-23"/>
          <w:sz w:val="21"/>
        </w:rPr>
        <w:t xml:space="preserve"> </w:t>
      </w:r>
      <w:r>
        <w:rPr>
          <w:spacing w:val="-23"/>
          <w:sz w:val="21"/>
        </w:rPr>
        <w:t>年</w:t>
      </w:r>
      <w:r>
        <w:rPr>
          <w:spacing w:val="-3"/>
          <w:sz w:val="21"/>
        </w:rPr>
        <w:t>）</w:t>
      </w:r>
      <w:r>
        <w:rPr>
          <w:spacing w:val="-2"/>
          <w:sz w:val="21"/>
        </w:rPr>
        <w:t>经</w:t>
      </w:r>
      <w:r>
        <w:rPr>
          <w:spacing w:val="-2"/>
          <w:sz w:val="21"/>
        </w:rPr>
        <w:t>历的</w:t>
      </w:r>
      <w:r>
        <w:rPr>
          <w:spacing w:val="-3"/>
          <w:sz w:val="21"/>
        </w:rPr>
        <w:t>人员构成。</w:t>
      </w:r>
      <w:r>
        <w:rPr>
          <w:sz w:val="21"/>
        </w:rPr>
        <w:t xml:space="preserve"> </w:t>
      </w:r>
    </w:p>
    <w:p w14:paraId="61E91240" w14:textId="77777777" w:rsidR="00A71EEF" w:rsidRDefault="0081115D">
      <w:pPr>
        <w:pStyle w:val="a4"/>
        <w:numPr>
          <w:ilvl w:val="2"/>
          <w:numId w:val="564"/>
        </w:numPr>
        <w:tabs>
          <w:tab w:val="left" w:pos="1371"/>
        </w:tabs>
        <w:spacing w:line="268" w:lineRule="exact"/>
        <w:ind w:left="1370" w:hanging="531"/>
        <w:rPr>
          <w:sz w:val="21"/>
        </w:rPr>
      </w:pPr>
      <w:r>
        <w:rPr>
          <w:spacing w:val="-3"/>
          <w:sz w:val="21"/>
        </w:rPr>
        <w:t>远程监控系统的运行操作人员上岗前应具备熟练操作设备的能力。</w:t>
      </w:r>
      <w:r>
        <w:rPr>
          <w:sz w:val="21"/>
        </w:rPr>
        <w:t xml:space="preserve"> </w:t>
      </w:r>
    </w:p>
    <w:p w14:paraId="456E1D8E" w14:textId="77777777" w:rsidR="00A71EEF" w:rsidRDefault="00A71EEF">
      <w:pPr>
        <w:pStyle w:val="a3"/>
        <w:rPr>
          <w:sz w:val="18"/>
        </w:rPr>
      </w:pPr>
    </w:p>
    <w:p w14:paraId="2C70B78A" w14:textId="77777777" w:rsidR="00A71EEF" w:rsidRDefault="0081115D">
      <w:pPr>
        <w:pStyle w:val="a4"/>
        <w:numPr>
          <w:ilvl w:val="2"/>
          <w:numId w:val="564"/>
        </w:numPr>
        <w:tabs>
          <w:tab w:val="left" w:pos="1371"/>
        </w:tabs>
        <w:ind w:left="1370" w:hanging="531"/>
        <w:rPr>
          <w:sz w:val="21"/>
        </w:rPr>
      </w:pPr>
      <w:r>
        <w:rPr>
          <w:spacing w:val="-5"/>
          <w:sz w:val="21"/>
        </w:rPr>
        <w:t>远程监控系统的检查应按本章相关规定进行，并应按附录</w:t>
      </w:r>
      <w:r>
        <w:rPr>
          <w:spacing w:val="-5"/>
          <w:sz w:val="21"/>
        </w:rPr>
        <w:t xml:space="preserve"> </w:t>
      </w:r>
      <w:r>
        <w:rPr>
          <w:sz w:val="21"/>
        </w:rPr>
        <w:t>E</w:t>
      </w:r>
      <w:r>
        <w:rPr>
          <w:spacing w:val="-36"/>
          <w:sz w:val="21"/>
        </w:rPr>
        <w:t xml:space="preserve"> </w:t>
      </w:r>
      <w:r>
        <w:rPr>
          <w:spacing w:val="-36"/>
          <w:sz w:val="21"/>
        </w:rPr>
        <w:t>表</w:t>
      </w:r>
      <w:r>
        <w:rPr>
          <w:spacing w:val="-36"/>
          <w:sz w:val="21"/>
        </w:rPr>
        <w:t xml:space="preserve"> </w:t>
      </w:r>
      <w:r>
        <w:rPr>
          <w:sz w:val="21"/>
        </w:rPr>
        <w:t>E.0.1</w:t>
      </w:r>
      <w:r>
        <w:rPr>
          <w:spacing w:val="-15"/>
          <w:sz w:val="21"/>
        </w:rPr>
        <w:t xml:space="preserve"> </w:t>
      </w:r>
      <w:r>
        <w:rPr>
          <w:spacing w:val="-15"/>
          <w:sz w:val="21"/>
        </w:rPr>
        <w:t>填写。</w:t>
      </w:r>
      <w:r>
        <w:rPr>
          <w:sz w:val="21"/>
        </w:rPr>
        <w:t xml:space="preserve"> </w:t>
      </w:r>
    </w:p>
    <w:p w14:paraId="7B3DF2A2" w14:textId="77777777" w:rsidR="00A71EEF" w:rsidRDefault="00A71EEF">
      <w:pPr>
        <w:pStyle w:val="a3"/>
        <w:spacing w:before="2"/>
        <w:rPr>
          <w:sz w:val="18"/>
        </w:rPr>
      </w:pPr>
    </w:p>
    <w:p w14:paraId="12923853" w14:textId="77777777" w:rsidR="00A71EEF" w:rsidRDefault="0081115D">
      <w:pPr>
        <w:pStyle w:val="a4"/>
        <w:numPr>
          <w:ilvl w:val="1"/>
          <w:numId w:val="564"/>
        </w:numPr>
        <w:tabs>
          <w:tab w:val="left" w:pos="1159"/>
        </w:tabs>
        <w:ind w:left="1158" w:hanging="319"/>
        <w:rPr>
          <w:b/>
          <w:sz w:val="21"/>
        </w:rPr>
      </w:pPr>
      <w:r>
        <w:rPr>
          <w:spacing w:val="-3"/>
          <w:sz w:val="21"/>
        </w:rPr>
        <w:t>监控中心的运行及维护</w:t>
      </w:r>
      <w:r>
        <w:rPr>
          <w:b/>
          <w:spacing w:val="-3"/>
          <w:w w:val="99"/>
          <w:sz w:val="21"/>
        </w:rPr>
        <w:t xml:space="preserve"> </w:t>
      </w:r>
    </w:p>
    <w:p w14:paraId="0E878B37" w14:textId="77777777" w:rsidR="00A71EEF" w:rsidRDefault="00A71EEF">
      <w:pPr>
        <w:pStyle w:val="a3"/>
        <w:spacing w:before="12"/>
        <w:rPr>
          <w:b/>
          <w:sz w:val="17"/>
        </w:rPr>
      </w:pPr>
    </w:p>
    <w:p w14:paraId="00F48644" w14:textId="77777777" w:rsidR="00A71EEF" w:rsidRDefault="0081115D">
      <w:pPr>
        <w:pStyle w:val="a4"/>
        <w:numPr>
          <w:ilvl w:val="2"/>
          <w:numId w:val="564"/>
        </w:numPr>
        <w:tabs>
          <w:tab w:val="left" w:pos="1370"/>
        </w:tabs>
        <w:ind w:left="1369" w:hanging="530"/>
        <w:rPr>
          <w:b/>
          <w:sz w:val="21"/>
        </w:rPr>
      </w:pPr>
      <w:r>
        <w:rPr>
          <w:spacing w:val="-3"/>
          <w:sz w:val="21"/>
        </w:rPr>
        <w:t>监控中心应有下列技术文档：</w:t>
      </w:r>
      <w:r>
        <w:rPr>
          <w:b/>
          <w:w w:val="99"/>
          <w:sz w:val="21"/>
        </w:rPr>
        <w:t xml:space="preserve"> </w:t>
      </w:r>
    </w:p>
    <w:p w14:paraId="3FCF848B" w14:textId="77777777" w:rsidR="00A71EEF" w:rsidRDefault="00A71EEF">
      <w:pPr>
        <w:pStyle w:val="a3"/>
        <w:spacing w:before="12"/>
        <w:rPr>
          <w:b/>
          <w:sz w:val="17"/>
        </w:rPr>
      </w:pPr>
    </w:p>
    <w:p w14:paraId="171C97ED" w14:textId="77777777" w:rsidR="00A71EEF" w:rsidRDefault="0081115D">
      <w:pPr>
        <w:pStyle w:val="a4"/>
        <w:numPr>
          <w:ilvl w:val="0"/>
          <w:numId w:val="563"/>
        </w:numPr>
        <w:tabs>
          <w:tab w:val="left" w:pos="1367"/>
        </w:tabs>
        <w:rPr>
          <w:sz w:val="21"/>
        </w:rPr>
      </w:pPr>
      <w:r>
        <w:rPr>
          <w:spacing w:val="-3"/>
          <w:sz w:val="21"/>
        </w:rPr>
        <w:t>机房管理制度；</w:t>
      </w:r>
      <w:r>
        <w:rPr>
          <w:sz w:val="21"/>
        </w:rPr>
        <w:t xml:space="preserve"> </w:t>
      </w:r>
    </w:p>
    <w:p w14:paraId="3EFD0C5B" w14:textId="77777777" w:rsidR="00A71EEF" w:rsidRDefault="00A71EEF">
      <w:pPr>
        <w:pStyle w:val="a3"/>
        <w:spacing w:before="2"/>
        <w:rPr>
          <w:sz w:val="18"/>
        </w:rPr>
      </w:pPr>
    </w:p>
    <w:p w14:paraId="0CCFCDD0" w14:textId="77777777" w:rsidR="00A71EEF" w:rsidRDefault="0081115D">
      <w:pPr>
        <w:pStyle w:val="a4"/>
        <w:numPr>
          <w:ilvl w:val="0"/>
          <w:numId w:val="563"/>
        </w:numPr>
        <w:tabs>
          <w:tab w:val="left" w:pos="1367"/>
        </w:tabs>
        <w:rPr>
          <w:sz w:val="21"/>
        </w:rPr>
      </w:pPr>
      <w:r>
        <w:rPr>
          <w:spacing w:val="-3"/>
          <w:sz w:val="21"/>
        </w:rPr>
        <w:t>操作人员管理制度；</w:t>
      </w:r>
      <w:r>
        <w:rPr>
          <w:sz w:val="21"/>
        </w:rPr>
        <w:t xml:space="preserve"> </w:t>
      </w:r>
    </w:p>
    <w:p w14:paraId="1B17545F" w14:textId="77777777" w:rsidR="00A71EEF" w:rsidRDefault="00A71EEF">
      <w:pPr>
        <w:pStyle w:val="a3"/>
        <w:rPr>
          <w:sz w:val="18"/>
        </w:rPr>
      </w:pPr>
    </w:p>
    <w:p w14:paraId="690C6FA4" w14:textId="77777777" w:rsidR="00A71EEF" w:rsidRDefault="0081115D">
      <w:pPr>
        <w:pStyle w:val="a4"/>
        <w:numPr>
          <w:ilvl w:val="0"/>
          <w:numId w:val="563"/>
        </w:numPr>
        <w:tabs>
          <w:tab w:val="left" w:pos="1367"/>
        </w:tabs>
        <w:rPr>
          <w:sz w:val="21"/>
        </w:rPr>
      </w:pPr>
      <w:r>
        <w:rPr>
          <w:spacing w:val="-3"/>
          <w:sz w:val="21"/>
        </w:rPr>
        <w:t>值班日志；</w:t>
      </w:r>
      <w:r>
        <w:rPr>
          <w:sz w:val="21"/>
        </w:rPr>
        <w:t xml:space="preserve"> </w:t>
      </w:r>
    </w:p>
    <w:p w14:paraId="1D23CA16" w14:textId="77777777" w:rsidR="00A71EEF" w:rsidRDefault="00A71EEF">
      <w:pPr>
        <w:pStyle w:val="a3"/>
        <w:rPr>
          <w:sz w:val="18"/>
        </w:rPr>
      </w:pPr>
    </w:p>
    <w:p w14:paraId="010C69DD" w14:textId="77777777" w:rsidR="00A71EEF" w:rsidRDefault="0081115D">
      <w:pPr>
        <w:pStyle w:val="a4"/>
        <w:numPr>
          <w:ilvl w:val="0"/>
          <w:numId w:val="563"/>
        </w:numPr>
        <w:tabs>
          <w:tab w:val="left" w:pos="1367"/>
        </w:tabs>
        <w:rPr>
          <w:sz w:val="21"/>
        </w:rPr>
      </w:pPr>
      <w:r>
        <w:rPr>
          <w:spacing w:val="-3"/>
          <w:sz w:val="21"/>
        </w:rPr>
        <w:t>交接班登记表；</w:t>
      </w:r>
      <w:r>
        <w:rPr>
          <w:sz w:val="21"/>
        </w:rPr>
        <w:t xml:space="preserve"> </w:t>
      </w:r>
    </w:p>
    <w:p w14:paraId="5445FBC8" w14:textId="77777777" w:rsidR="00A71EEF" w:rsidRDefault="00A71EEF">
      <w:pPr>
        <w:pStyle w:val="a3"/>
        <w:spacing w:before="1"/>
        <w:rPr>
          <w:sz w:val="18"/>
        </w:rPr>
      </w:pPr>
    </w:p>
    <w:p w14:paraId="1BD8FFDA" w14:textId="77777777" w:rsidR="00A71EEF" w:rsidRDefault="0081115D">
      <w:pPr>
        <w:pStyle w:val="a4"/>
        <w:numPr>
          <w:ilvl w:val="0"/>
          <w:numId w:val="563"/>
        </w:numPr>
        <w:tabs>
          <w:tab w:val="left" w:pos="1367"/>
        </w:tabs>
        <w:spacing w:before="1"/>
        <w:rPr>
          <w:sz w:val="21"/>
        </w:rPr>
      </w:pPr>
      <w:r>
        <w:rPr>
          <w:spacing w:val="-3"/>
          <w:sz w:val="21"/>
        </w:rPr>
        <w:t>接处警登记表；</w:t>
      </w:r>
      <w:r>
        <w:rPr>
          <w:sz w:val="21"/>
        </w:rPr>
        <w:t xml:space="preserve"> </w:t>
      </w:r>
    </w:p>
    <w:p w14:paraId="6EDC051D" w14:textId="77777777" w:rsidR="00A71EEF" w:rsidRDefault="00A71EEF">
      <w:pPr>
        <w:rPr>
          <w:sz w:val="21"/>
        </w:rPr>
        <w:sectPr w:rsidR="00A71EEF">
          <w:pgSz w:w="11910" w:h="16850"/>
          <w:pgMar w:top="1220" w:right="0" w:bottom="1420" w:left="1260" w:header="0" w:footer="1239" w:gutter="0"/>
          <w:cols w:space="720"/>
        </w:sectPr>
      </w:pPr>
    </w:p>
    <w:p w14:paraId="09BD2F36" w14:textId="77777777" w:rsidR="00A71EEF" w:rsidRDefault="0081115D">
      <w:pPr>
        <w:pStyle w:val="a4"/>
        <w:numPr>
          <w:ilvl w:val="0"/>
          <w:numId w:val="563"/>
        </w:numPr>
        <w:tabs>
          <w:tab w:val="left" w:pos="1367"/>
        </w:tabs>
        <w:spacing w:before="47"/>
        <w:rPr>
          <w:sz w:val="21"/>
        </w:rPr>
      </w:pPr>
      <w:r>
        <w:rPr>
          <w:spacing w:val="-3"/>
          <w:sz w:val="21"/>
        </w:rPr>
        <w:t>值班人员工作通话录音录时电子文档；</w:t>
      </w:r>
      <w:r>
        <w:rPr>
          <w:sz w:val="21"/>
        </w:rPr>
        <w:t xml:space="preserve"> </w:t>
      </w:r>
    </w:p>
    <w:p w14:paraId="39C8DFE4" w14:textId="77777777" w:rsidR="00A71EEF" w:rsidRDefault="00A71EEF">
      <w:pPr>
        <w:pStyle w:val="a3"/>
        <w:rPr>
          <w:sz w:val="18"/>
        </w:rPr>
      </w:pPr>
    </w:p>
    <w:p w14:paraId="6A420D49" w14:textId="77777777" w:rsidR="00A71EEF" w:rsidRDefault="0081115D">
      <w:pPr>
        <w:pStyle w:val="a4"/>
        <w:numPr>
          <w:ilvl w:val="0"/>
          <w:numId w:val="563"/>
        </w:numPr>
        <w:tabs>
          <w:tab w:val="left" w:pos="1367"/>
        </w:tabs>
        <w:rPr>
          <w:sz w:val="21"/>
        </w:rPr>
      </w:pPr>
      <w:r>
        <w:rPr>
          <w:spacing w:val="-3"/>
          <w:sz w:val="21"/>
        </w:rPr>
        <w:t>设备运行、巡检及故障记录；</w:t>
      </w:r>
      <w:r>
        <w:rPr>
          <w:sz w:val="21"/>
        </w:rPr>
        <w:t xml:space="preserve"> </w:t>
      </w:r>
    </w:p>
    <w:p w14:paraId="03049319" w14:textId="77777777" w:rsidR="00A71EEF" w:rsidRDefault="00A71EEF">
      <w:pPr>
        <w:pStyle w:val="a3"/>
        <w:rPr>
          <w:sz w:val="18"/>
        </w:rPr>
      </w:pPr>
    </w:p>
    <w:p w14:paraId="618BD6EF" w14:textId="77777777" w:rsidR="00A71EEF" w:rsidRDefault="0081115D">
      <w:pPr>
        <w:pStyle w:val="a4"/>
        <w:numPr>
          <w:ilvl w:val="0"/>
          <w:numId w:val="563"/>
        </w:numPr>
        <w:tabs>
          <w:tab w:val="left" w:pos="1367"/>
        </w:tabs>
        <w:rPr>
          <w:sz w:val="21"/>
        </w:rPr>
      </w:pPr>
      <w:r>
        <w:rPr>
          <w:spacing w:val="-3"/>
          <w:sz w:val="21"/>
        </w:rPr>
        <w:t>系统操作与运行安全制度；</w:t>
      </w:r>
      <w:r>
        <w:rPr>
          <w:sz w:val="21"/>
        </w:rPr>
        <w:t xml:space="preserve"> </w:t>
      </w:r>
    </w:p>
    <w:p w14:paraId="4CC17926" w14:textId="77777777" w:rsidR="00A71EEF" w:rsidRDefault="00A71EEF">
      <w:pPr>
        <w:pStyle w:val="a3"/>
        <w:spacing w:before="1"/>
        <w:rPr>
          <w:sz w:val="18"/>
        </w:rPr>
      </w:pPr>
    </w:p>
    <w:p w14:paraId="35518DFB" w14:textId="77777777" w:rsidR="00A71EEF" w:rsidRDefault="0081115D">
      <w:pPr>
        <w:pStyle w:val="a4"/>
        <w:numPr>
          <w:ilvl w:val="0"/>
          <w:numId w:val="563"/>
        </w:numPr>
        <w:tabs>
          <w:tab w:val="left" w:pos="1367"/>
        </w:tabs>
        <w:spacing w:before="1"/>
        <w:rPr>
          <w:sz w:val="21"/>
        </w:rPr>
      </w:pPr>
      <w:r>
        <w:rPr>
          <w:spacing w:val="-3"/>
          <w:sz w:val="21"/>
        </w:rPr>
        <w:t>应急管理制度；</w:t>
      </w:r>
      <w:r>
        <w:rPr>
          <w:sz w:val="21"/>
        </w:rPr>
        <w:t xml:space="preserve"> </w:t>
      </w:r>
    </w:p>
    <w:p w14:paraId="14C0B499" w14:textId="77777777" w:rsidR="00A71EEF" w:rsidRDefault="00A71EEF">
      <w:pPr>
        <w:pStyle w:val="a3"/>
        <w:spacing w:before="12"/>
        <w:rPr>
          <w:sz w:val="17"/>
        </w:rPr>
      </w:pPr>
    </w:p>
    <w:p w14:paraId="3FDCFFF7" w14:textId="77777777" w:rsidR="00A71EEF" w:rsidRDefault="0081115D">
      <w:pPr>
        <w:pStyle w:val="a4"/>
        <w:numPr>
          <w:ilvl w:val="0"/>
          <w:numId w:val="563"/>
        </w:numPr>
        <w:tabs>
          <w:tab w:val="left" w:pos="1473"/>
        </w:tabs>
        <w:ind w:left="1472" w:hanging="635"/>
        <w:rPr>
          <w:sz w:val="21"/>
        </w:rPr>
      </w:pPr>
      <w:r>
        <w:rPr>
          <w:spacing w:val="-3"/>
          <w:sz w:val="21"/>
        </w:rPr>
        <w:t>网络安全管理制度；</w:t>
      </w:r>
      <w:r>
        <w:rPr>
          <w:spacing w:val="-3"/>
          <w:sz w:val="21"/>
        </w:rPr>
        <w:t xml:space="preserve"> </w:t>
      </w:r>
    </w:p>
    <w:p w14:paraId="1C546AEB" w14:textId="77777777" w:rsidR="00A71EEF" w:rsidRDefault="00A71EEF">
      <w:pPr>
        <w:pStyle w:val="a3"/>
        <w:spacing w:before="12"/>
        <w:rPr>
          <w:sz w:val="17"/>
        </w:rPr>
      </w:pPr>
    </w:p>
    <w:p w14:paraId="6D967815" w14:textId="77777777" w:rsidR="00A71EEF" w:rsidRDefault="0081115D">
      <w:pPr>
        <w:pStyle w:val="a4"/>
        <w:numPr>
          <w:ilvl w:val="0"/>
          <w:numId w:val="563"/>
        </w:numPr>
        <w:tabs>
          <w:tab w:val="left" w:pos="1473"/>
        </w:tabs>
        <w:ind w:left="1472" w:hanging="635"/>
        <w:rPr>
          <w:sz w:val="21"/>
        </w:rPr>
      </w:pPr>
      <w:r>
        <w:rPr>
          <w:spacing w:val="-3"/>
          <w:sz w:val="21"/>
        </w:rPr>
        <w:t>数据备份与恢复方案。</w:t>
      </w:r>
      <w:r>
        <w:rPr>
          <w:sz w:val="21"/>
        </w:rPr>
        <w:t xml:space="preserve"> </w:t>
      </w:r>
    </w:p>
    <w:p w14:paraId="4089BF1B" w14:textId="77777777" w:rsidR="00A71EEF" w:rsidRDefault="00A71EEF">
      <w:pPr>
        <w:pStyle w:val="a3"/>
        <w:spacing w:before="2"/>
        <w:rPr>
          <w:sz w:val="18"/>
        </w:rPr>
      </w:pPr>
    </w:p>
    <w:p w14:paraId="7F7543D9" w14:textId="77777777" w:rsidR="00A71EEF" w:rsidRDefault="0081115D">
      <w:pPr>
        <w:pStyle w:val="a4"/>
        <w:numPr>
          <w:ilvl w:val="2"/>
          <w:numId w:val="564"/>
        </w:numPr>
        <w:tabs>
          <w:tab w:val="left" w:pos="1372"/>
        </w:tabs>
        <w:ind w:left="1371" w:hanging="532"/>
        <w:rPr>
          <w:b/>
          <w:sz w:val="21"/>
        </w:rPr>
      </w:pPr>
      <w:r>
        <w:rPr>
          <w:spacing w:val="-3"/>
          <w:sz w:val="21"/>
        </w:rPr>
        <w:t>监控中心应按下列要求定期进行检查和测试：</w:t>
      </w:r>
      <w:r>
        <w:rPr>
          <w:b/>
          <w:spacing w:val="-3"/>
          <w:w w:val="99"/>
          <w:sz w:val="21"/>
        </w:rPr>
        <w:t xml:space="preserve"> </w:t>
      </w:r>
    </w:p>
    <w:p w14:paraId="50B8E241" w14:textId="77777777" w:rsidR="00A71EEF" w:rsidRDefault="00A71EEF">
      <w:pPr>
        <w:pStyle w:val="a3"/>
        <w:rPr>
          <w:b/>
          <w:sz w:val="18"/>
        </w:rPr>
      </w:pPr>
    </w:p>
    <w:p w14:paraId="5FCCAC5B" w14:textId="77777777" w:rsidR="00A71EEF" w:rsidRDefault="0081115D">
      <w:pPr>
        <w:pStyle w:val="a4"/>
        <w:numPr>
          <w:ilvl w:val="0"/>
          <w:numId w:val="562"/>
        </w:numPr>
        <w:tabs>
          <w:tab w:val="left" w:pos="1367"/>
        </w:tabs>
        <w:spacing w:line="446" w:lineRule="auto"/>
        <w:ind w:right="1609" w:firstLine="419"/>
        <w:rPr>
          <w:sz w:val="21"/>
        </w:rPr>
      </w:pPr>
      <w:r>
        <w:rPr>
          <w:spacing w:val="-12"/>
          <w:sz w:val="21"/>
        </w:rPr>
        <w:t>每日进行</w:t>
      </w:r>
      <w:r>
        <w:rPr>
          <w:spacing w:val="-12"/>
          <w:sz w:val="21"/>
        </w:rPr>
        <w:t xml:space="preserve"> </w:t>
      </w:r>
      <w:r>
        <w:rPr>
          <w:sz w:val="21"/>
        </w:rPr>
        <w:t>1</w:t>
      </w:r>
      <w:r>
        <w:rPr>
          <w:spacing w:val="-8"/>
          <w:sz w:val="21"/>
        </w:rPr>
        <w:t xml:space="preserve"> </w:t>
      </w:r>
      <w:r>
        <w:rPr>
          <w:spacing w:val="-8"/>
          <w:sz w:val="21"/>
        </w:rPr>
        <w:t>次与设置在城市消防通信指挥中心或其他接处警中心的火警信息终端之</w:t>
      </w:r>
      <w:r>
        <w:rPr>
          <w:spacing w:val="-5"/>
          <w:sz w:val="21"/>
        </w:rPr>
        <w:t>问的通信测试。</w:t>
      </w:r>
      <w:r>
        <w:rPr>
          <w:sz w:val="21"/>
        </w:rPr>
        <w:t xml:space="preserve"> </w:t>
      </w:r>
    </w:p>
    <w:p w14:paraId="49FD099B" w14:textId="77777777" w:rsidR="00A71EEF" w:rsidRDefault="0081115D">
      <w:pPr>
        <w:pStyle w:val="a4"/>
        <w:numPr>
          <w:ilvl w:val="0"/>
          <w:numId w:val="562"/>
        </w:numPr>
        <w:tabs>
          <w:tab w:val="left" w:pos="1367"/>
        </w:tabs>
        <w:ind w:left="1367"/>
        <w:rPr>
          <w:sz w:val="21"/>
        </w:rPr>
      </w:pPr>
      <w:r>
        <w:rPr>
          <w:spacing w:val="-12"/>
          <w:sz w:val="21"/>
        </w:rPr>
        <w:t>每日检查</w:t>
      </w:r>
      <w:r>
        <w:rPr>
          <w:spacing w:val="-12"/>
          <w:sz w:val="21"/>
        </w:rPr>
        <w:t xml:space="preserve"> </w:t>
      </w:r>
      <w:r>
        <w:rPr>
          <w:sz w:val="21"/>
        </w:rPr>
        <w:t>1</w:t>
      </w:r>
      <w:r>
        <w:rPr>
          <w:spacing w:val="-9"/>
          <w:sz w:val="21"/>
        </w:rPr>
        <w:t xml:space="preserve"> </w:t>
      </w:r>
      <w:r>
        <w:rPr>
          <w:spacing w:val="-9"/>
          <w:sz w:val="21"/>
        </w:rPr>
        <w:t>次各设备的时钟。</w:t>
      </w:r>
      <w:r>
        <w:rPr>
          <w:sz w:val="21"/>
        </w:rPr>
        <w:t xml:space="preserve"> </w:t>
      </w:r>
    </w:p>
    <w:p w14:paraId="0B666464" w14:textId="77777777" w:rsidR="00A71EEF" w:rsidRDefault="00A71EEF">
      <w:pPr>
        <w:pStyle w:val="a3"/>
        <w:rPr>
          <w:sz w:val="18"/>
        </w:rPr>
      </w:pPr>
    </w:p>
    <w:p w14:paraId="72260513" w14:textId="77777777" w:rsidR="00A71EEF" w:rsidRDefault="0081115D">
      <w:pPr>
        <w:pStyle w:val="a4"/>
        <w:numPr>
          <w:ilvl w:val="0"/>
          <w:numId w:val="562"/>
        </w:numPr>
        <w:tabs>
          <w:tab w:val="left" w:pos="1367"/>
        </w:tabs>
        <w:ind w:left="1367"/>
        <w:rPr>
          <w:sz w:val="21"/>
        </w:rPr>
      </w:pPr>
      <w:r>
        <w:rPr>
          <w:spacing w:val="-3"/>
          <w:sz w:val="21"/>
        </w:rPr>
        <w:t>定期进行系统运行日志整理。</w:t>
      </w:r>
      <w:r>
        <w:rPr>
          <w:sz w:val="21"/>
        </w:rPr>
        <w:t xml:space="preserve"> </w:t>
      </w:r>
    </w:p>
    <w:p w14:paraId="379DA54F" w14:textId="77777777" w:rsidR="00A71EEF" w:rsidRDefault="00A71EEF">
      <w:pPr>
        <w:pStyle w:val="a3"/>
        <w:spacing w:before="12"/>
        <w:rPr>
          <w:sz w:val="17"/>
        </w:rPr>
      </w:pPr>
    </w:p>
    <w:p w14:paraId="35DBA7D5" w14:textId="77777777" w:rsidR="00A71EEF" w:rsidRDefault="0081115D">
      <w:pPr>
        <w:pStyle w:val="a4"/>
        <w:numPr>
          <w:ilvl w:val="0"/>
          <w:numId w:val="562"/>
        </w:numPr>
        <w:tabs>
          <w:tab w:val="left" w:pos="1367"/>
        </w:tabs>
        <w:ind w:left="1367"/>
        <w:rPr>
          <w:sz w:val="21"/>
        </w:rPr>
      </w:pPr>
      <w:r>
        <w:rPr>
          <w:spacing w:val="-3"/>
          <w:sz w:val="21"/>
        </w:rPr>
        <w:t>定期检查数据库使用情况，必要时对硬盘进行扩充。</w:t>
      </w:r>
      <w:r>
        <w:rPr>
          <w:sz w:val="21"/>
        </w:rPr>
        <w:t xml:space="preserve"> </w:t>
      </w:r>
    </w:p>
    <w:p w14:paraId="46C271F1" w14:textId="77777777" w:rsidR="00A71EEF" w:rsidRDefault="00A71EEF">
      <w:pPr>
        <w:pStyle w:val="a3"/>
        <w:spacing w:before="2"/>
        <w:rPr>
          <w:sz w:val="18"/>
        </w:rPr>
      </w:pPr>
    </w:p>
    <w:p w14:paraId="2C9A030B" w14:textId="77777777" w:rsidR="00A71EEF" w:rsidRDefault="0081115D">
      <w:pPr>
        <w:pStyle w:val="a3"/>
        <w:ind w:left="838"/>
      </w:pPr>
      <w:r>
        <w:t xml:space="preserve"> </w:t>
      </w:r>
      <w:r>
        <w:t>（</w:t>
      </w:r>
      <w:r>
        <w:t>5</w:t>
      </w:r>
      <w:r>
        <w:t>）每半年应按照本规范第</w:t>
      </w:r>
      <w:r>
        <w:t xml:space="preserve"> 7.2.2 </w:t>
      </w:r>
      <w:r>
        <w:t>条的要求进行系统集成功能检查、测试。</w:t>
      </w:r>
      <w:r>
        <w:t xml:space="preserve"> </w:t>
      </w:r>
    </w:p>
    <w:p w14:paraId="2B738454" w14:textId="77777777" w:rsidR="00A71EEF" w:rsidRDefault="00A71EEF">
      <w:pPr>
        <w:pStyle w:val="a3"/>
        <w:rPr>
          <w:sz w:val="18"/>
        </w:rPr>
      </w:pPr>
    </w:p>
    <w:p w14:paraId="09A8615C" w14:textId="77777777" w:rsidR="00A71EEF" w:rsidRDefault="0081115D">
      <w:pPr>
        <w:pStyle w:val="a3"/>
        <w:ind w:left="838"/>
      </w:pPr>
      <w:r>
        <w:t>（</w:t>
      </w:r>
      <w:r>
        <w:t>6</w:t>
      </w:r>
      <w:r>
        <w:t>）定期向联网用户采集消防安全管理信息。</w:t>
      </w:r>
      <w:r>
        <w:t xml:space="preserve"> </w:t>
      </w:r>
    </w:p>
    <w:p w14:paraId="1BABCDE8" w14:textId="77777777" w:rsidR="00A71EEF" w:rsidRDefault="00A71EEF">
      <w:pPr>
        <w:pStyle w:val="a3"/>
        <w:spacing w:before="12"/>
        <w:rPr>
          <w:sz w:val="17"/>
        </w:rPr>
      </w:pPr>
    </w:p>
    <w:p w14:paraId="2906FBB3" w14:textId="77777777" w:rsidR="00A71EEF" w:rsidRDefault="0081115D">
      <w:pPr>
        <w:pStyle w:val="a4"/>
        <w:numPr>
          <w:ilvl w:val="2"/>
          <w:numId w:val="564"/>
        </w:numPr>
        <w:tabs>
          <w:tab w:val="left" w:pos="1371"/>
        </w:tabs>
        <w:ind w:left="1370" w:hanging="531"/>
        <w:rPr>
          <w:b/>
          <w:sz w:val="21"/>
        </w:rPr>
      </w:pPr>
      <w:r>
        <w:rPr>
          <w:spacing w:val="-3"/>
          <w:sz w:val="21"/>
        </w:rPr>
        <w:t>远程监控系统的城市消防地理信息应及时更新。</w:t>
      </w:r>
      <w:r>
        <w:rPr>
          <w:b/>
          <w:w w:val="99"/>
          <w:sz w:val="21"/>
        </w:rPr>
        <w:t xml:space="preserve"> </w:t>
      </w:r>
    </w:p>
    <w:p w14:paraId="0BF2C145" w14:textId="77777777" w:rsidR="00A71EEF" w:rsidRDefault="00A71EEF">
      <w:pPr>
        <w:pStyle w:val="a3"/>
        <w:spacing w:before="2"/>
        <w:rPr>
          <w:b/>
          <w:sz w:val="18"/>
        </w:rPr>
      </w:pPr>
    </w:p>
    <w:p w14:paraId="7AED333A" w14:textId="77777777" w:rsidR="00A71EEF" w:rsidRDefault="0081115D">
      <w:pPr>
        <w:pStyle w:val="a4"/>
        <w:numPr>
          <w:ilvl w:val="1"/>
          <w:numId w:val="564"/>
        </w:numPr>
        <w:tabs>
          <w:tab w:val="left" w:pos="1159"/>
        </w:tabs>
        <w:ind w:left="1158" w:hanging="319"/>
        <w:rPr>
          <w:sz w:val="21"/>
        </w:rPr>
      </w:pPr>
      <w:r>
        <w:rPr>
          <w:spacing w:val="-3"/>
          <w:sz w:val="21"/>
        </w:rPr>
        <w:t>用户信息传输装置的运行及维护</w:t>
      </w:r>
      <w:r>
        <w:rPr>
          <w:sz w:val="21"/>
        </w:rPr>
        <w:t xml:space="preserve"> </w:t>
      </w:r>
    </w:p>
    <w:p w14:paraId="78D33CFD" w14:textId="77777777" w:rsidR="00A71EEF" w:rsidRDefault="00A71EEF">
      <w:pPr>
        <w:pStyle w:val="a3"/>
        <w:spacing w:before="12"/>
        <w:rPr>
          <w:sz w:val="17"/>
        </w:rPr>
      </w:pPr>
    </w:p>
    <w:p w14:paraId="5AD7BF1A" w14:textId="77777777" w:rsidR="00A71EEF" w:rsidRDefault="0081115D">
      <w:pPr>
        <w:pStyle w:val="a4"/>
        <w:numPr>
          <w:ilvl w:val="2"/>
          <w:numId w:val="564"/>
        </w:numPr>
        <w:tabs>
          <w:tab w:val="left" w:pos="1370"/>
        </w:tabs>
        <w:ind w:left="1369" w:hanging="530"/>
        <w:rPr>
          <w:sz w:val="21"/>
        </w:rPr>
      </w:pPr>
      <w:r>
        <w:rPr>
          <w:spacing w:val="-3"/>
          <w:sz w:val="21"/>
        </w:rPr>
        <w:t>用户信息传输装置应按下列要求定期进行检查和测试：</w:t>
      </w:r>
      <w:r>
        <w:rPr>
          <w:sz w:val="21"/>
        </w:rPr>
        <w:t xml:space="preserve"> </w:t>
      </w:r>
    </w:p>
    <w:p w14:paraId="21CB38C4" w14:textId="77777777" w:rsidR="00A71EEF" w:rsidRDefault="00A71EEF">
      <w:pPr>
        <w:pStyle w:val="a3"/>
        <w:rPr>
          <w:sz w:val="18"/>
        </w:rPr>
      </w:pPr>
    </w:p>
    <w:p w14:paraId="0C4D7566" w14:textId="77777777" w:rsidR="00A71EEF" w:rsidRDefault="0081115D">
      <w:pPr>
        <w:pStyle w:val="a4"/>
        <w:numPr>
          <w:ilvl w:val="0"/>
          <w:numId w:val="561"/>
        </w:numPr>
        <w:tabs>
          <w:tab w:val="left" w:pos="1367"/>
        </w:tabs>
        <w:rPr>
          <w:sz w:val="21"/>
        </w:rPr>
      </w:pPr>
      <w:r>
        <w:rPr>
          <w:spacing w:val="-13"/>
          <w:sz w:val="21"/>
        </w:rPr>
        <w:t>每日进行</w:t>
      </w:r>
      <w:r>
        <w:rPr>
          <w:spacing w:val="-13"/>
          <w:sz w:val="21"/>
        </w:rPr>
        <w:t xml:space="preserve"> </w:t>
      </w:r>
      <w:r>
        <w:rPr>
          <w:sz w:val="21"/>
        </w:rPr>
        <w:t>1</w:t>
      </w:r>
      <w:r>
        <w:rPr>
          <w:spacing w:val="-10"/>
          <w:sz w:val="21"/>
        </w:rPr>
        <w:t xml:space="preserve"> </w:t>
      </w:r>
      <w:r>
        <w:rPr>
          <w:spacing w:val="-10"/>
          <w:sz w:val="21"/>
        </w:rPr>
        <w:t>次自检功能检查。</w:t>
      </w:r>
      <w:r>
        <w:rPr>
          <w:sz w:val="21"/>
        </w:rPr>
        <w:t xml:space="preserve"> </w:t>
      </w:r>
    </w:p>
    <w:p w14:paraId="129D7464" w14:textId="77777777" w:rsidR="00A71EEF" w:rsidRDefault="00A71EEF">
      <w:pPr>
        <w:pStyle w:val="a3"/>
        <w:spacing w:before="2"/>
        <w:rPr>
          <w:sz w:val="18"/>
        </w:rPr>
      </w:pPr>
    </w:p>
    <w:p w14:paraId="3D86EBDB" w14:textId="77777777" w:rsidR="00A71EEF" w:rsidRDefault="0081115D">
      <w:pPr>
        <w:pStyle w:val="a4"/>
        <w:numPr>
          <w:ilvl w:val="0"/>
          <w:numId w:val="561"/>
        </w:numPr>
        <w:tabs>
          <w:tab w:val="left" w:pos="1367"/>
        </w:tabs>
        <w:rPr>
          <w:sz w:val="21"/>
        </w:rPr>
      </w:pPr>
      <w:r>
        <w:rPr>
          <w:spacing w:val="-3"/>
          <w:sz w:val="21"/>
        </w:rPr>
        <w:t>每半年现场断开设备电源，进行设备检查与除尘。</w:t>
      </w:r>
      <w:r>
        <w:rPr>
          <w:sz w:val="21"/>
        </w:rPr>
        <w:t xml:space="preserve"> </w:t>
      </w:r>
    </w:p>
    <w:p w14:paraId="7C130DFE" w14:textId="77777777" w:rsidR="00A71EEF" w:rsidRDefault="00A71EEF">
      <w:pPr>
        <w:pStyle w:val="a3"/>
        <w:rPr>
          <w:sz w:val="18"/>
        </w:rPr>
      </w:pPr>
    </w:p>
    <w:p w14:paraId="020CB686" w14:textId="77777777" w:rsidR="00A71EEF" w:rsidRDefault="0081115D">
      <w:pPr>
        <w:pStyle w:val="a4"/>
        <w:numPr>
          <w:ilvl w:val="0"/>
          <w:numId w:val="561"/>
        </w:numPr>
        <w:tabs>
          <w:tab w:val="left" w:pos="1367"/>
        </w:tabs>
        <w:spacing w:line="446" w:lineRule="auto"/>
        <w:ind w:left="418" w:right="1505" w:firstLine="419"/>
        <w:rPr>
          <w:sz w:val="21"/>
        </w:rPr>
      </w:pPr>
      <w:r>
        <w:rPr>
          <w:spacing w:val="-3"/>
          <w:sz w:val="21"/>
        </w:rPr>
        <w:t>由火灾自动报警系统等建筑消防设施模拟生成火警，进行火灾报警信息发送试验，每</w:t>
      </w:r>
      <w:r>
        <w:rPr>
          <w:spacing w:val="-8"/>
          <w:sz w:val="21"/>
        </w:rPr>
        <w:t>个月试验次数不应少于</w:t>
      </w:r>
      <w:r>
        <w:rPr>
          <w:spacing w:val="-8"/>
          <w:sz w:val="21"/>
        </w:rPr>
        <w:t xml:space="preserve"> </w:t>
      </w:r>
      <w:r>
        <w:rPr>
          <w:sz w:val="21"/>
        </w:rPr>
        <w:t>2</w:t>
      </w:r>
      <w:r>
        <w:rPr>
          <w:spacing w:val="-20"/>
          <w:sz w:val="21"/>
        </w:rPr>
        <w:t xml:space="preserve"> </w:t>
      </w:r>
      <w:r>
        <w:rPr>
          <w:spacing w:val="-20"/>
          <w:sz w:val="21"/>
        </w:rPr>
        <w:t>次。</w:t>
      </w:r>
      <w:r>
        <w:rPr>
          <w:sz w:val="21"/>
        </w:rPr>
        <w:t xml:space="preserve"> </w:t>
      </w:r>
    </w:p>
    <w:p w14:paraId="3CC2DFDD" w14:textId="77777777" w:rsidR="00A71EEF" w:rsidRDefault="0081115D">
      <w:pPr>
        <w:pStyle w:val="a4"/>
        <w:numPr>
          <w:ilvl w:val="0"/>
          <w:numId w:val="561"/>
        </w:numPr>
        <w:tabs>
          <w:tab w:val="left" w:pos="1367"/>
        </w:tabs>
        <w:rPr>
          <w:sz w:val="21"/>
        </w:rPr>
      </w:pPr>
      <w:r>
        <w:rPr>
          <w:spacing w:val="-3"/>
          <w:sz w:val="21"/>
        </w:rPr>
        <w:t>对用户信息传输装置的主电源和备用电源进行切换试验，每半年的试验次数不应少于</w:t>
      </w:r>
    </w:p>
    <w:p w14:paraId="1B12E912" w14:textId="77777777" w:rsidR="00A71EEF" w:rsidRDefault="00A71EEF">
      <w:pPr>
        <w:pStyle w:val="a3"/>
        <w:spacing w:before="12"/>
        <w:rPr>
          <w:sz w:val="17"/>
        </w:rPr>
      </w:pPr>
    </w:p>
    <w:p w14:paraId="3F842278" w14:textId="77777777" w:rsidR="00A71EEF" w:rsidRDefault="0081115D">
      <w:pPr>
        <w:pStyle w:val="a3"/>
        <w:ind w:left="418"/>
      </w:pPr>
      <w:r>
        <w:t xml:space="preserve">1 </w:t>
      </w:r>
      <w:r>
        <w:t>次。</w:t>
      </w:r>
      <w:r>
        <w:t xml:space="preserve"> </w:t>
      </w:r>
    </w:p>
    <w:p w14:paraId="4B2B21A5" w14:textId="77777777" w:rsidR="00A71EEF" w:rsidRDefault="00A71EEF">
      <w:pPr>
        <w:pStyle w:val="a3"/>
        <w:spacing w:before="12"/>
        <w:rPr>
          <w:sz w:val="17"/>
        </w:rPr>
      </w:pPr>
    </w:p>
    <w:p w14:paraId="50B69ECB" w14:textId="77777777" w:rsidR="00A71EEF" w:rsidRDefault="0081115D">
      <w:pPr>
        <w:pStyle w:val="a4"/>
        <w:numPr>
          <w:ilvl w:val="2"/>
          <w:numId w:val="564"/>
        </w:numPr>
        <w:tabs>
          <w:tab w:val="left" w:pos="1371"/>
        </w:tabs>
        <w:spacing w:line="446" w:lineRule="auto"/>
        <w:ind w:right="1604" w:firstLine="422"/>
        <w:rPr>
          <w:sz w:val="21"/>
        </w:rPr>
      </w:pPr>
      <w:r>
        <w:rPr>
          <w:spacing w:val="-3"/>
          <w:sz w:val="21"/>
        </w:rPr>
        <w:t>监控中心通过用户服务系统向远程监控系统的联网用户提供该单位火灾报警和建筑消防设施故障情况统计月报表。</w:t>
      </w:r>
      <w:r>
        <w:rPr>
          <w:sz w:val="21"/>
        </w:rPr>
        <w:t xml:space="preserve"> </w:t>
      </w:r>
    </w:p>
    <w:p w14:paraId="08F6A226" w14:textId="77777777" w:rsidR="00A71EEF" w:rsidRDefault="0081115D">
      <w:pPr>
        <w:pStyle w:val="a4"/>
        <w:numPr>
          <w:ilvl w:val="2"/>
          <w:numId w:val="564"/>
        </w:numPr>
        <w:tabs>
          <w:tab w:val="left" w:pos="1371"/>
        </w:tabs>
        <w:spacing w:before="1" w:line="446" w:lineRule="auto"/>
        <w:ind w:right="1507" w:firstLine="422"/>
        <w:rPr>
          <w:sz w:val="21"/>
        </w:rPr>
      </w:pPr>
      <w:r>
        <w:rPr>
          <w:spacing w:val="-2"/>
          <w:sz w:val="21"/>
        </w:rPr>
        <w:t>联网用户人为停止火灾自动报警系统等建筑消防设施运行时，应提前通知监控中</w:t>
      </w:r>
      <w:r>
        <w:rPr>
          <w:spacing w:val="-2"/>
          <w:sz w:val="21"/>
        </w:rPr>
        <w:t xml:space="preserve"> </w:t>
      </w:r>
      <w:r>
        <w:rPr>
          <w:spacing w:val="-2"/>
          <w:sz w:val="21"/>
        </w:rPr>
        <w:t>心</w:t>
      </w:r>
      <w:r>
        <w:rPr>
          <w:spacing w:val="-5"/>
          <w:sz w:val="21"/>
        </w:rPr>
        <w:t>；联网用户的建筑消防设施故障造成误报警超过</w:t>
      </w:r>
      <w:r>
        <w:rPr>
          <w:spacing w:val="-5"/>
          <w:sz w:val="21"/>
        </w:rPr>
        <w:t xml:space="preserve"> </w:t>
      </w:r>
      <w:r>
        <w:rPr>
          <w:sz w:val="21"/>
        </w:rPr>
        <w:t>5</w:t>
      </w:r>
      <w:r>
        <w:rPr>
          <w:spacing w:val="-17"/>
          <w:sz w:val="21"/>
        </w:rPr>
        <w:t xml:space="preserve"> </w:t>
      </w:r>
      <w:r>
        <w:rPr>
          <w:spacing w:val="-17"/>
          <w:sz w:val="21"/>
        </w:rPr>
        <w:t>次</w:t>
      </w:r>
      <w:r>
        <w:rPr>
          <w:spacing w:val="-3"/>
          <w:sz w:val="21"/>
        </w:rPr>
        <w:t>/</w:t>
      </w:r>
      <w:r>
        <w:rPr>
          <w:spacing w:val="-3"/>
          <w:sz w:val="21"/>
        </w:rPr>
        <w:t>日，且不能及时修复时，应与监控中心协商处理办法。</w:t>
      </w:r>
      <w:r>
        <w:rPr>
          <w:sz w:val="21"/>
        </w:rPr>
        <w:t xml:space="preserve"> </w:t>
      </w:r>
    </w:p>
    <w:p w14:paraId="78B73B75" w14:textId="77777777" w:rsidR="00A71EEF" w:rsidRDefault="00A71EEF">
      <w:pPr>
        <w:spacing w:line="446" w:lineRule="auto"/>
        <w:rPr>
          <w:sz w:val="21"/>
        </w:rPr>
        <w:sectPr w:rsidR="00A71EEF">
          <w:pgSz w:w="11910" w:h="16850"/>
          <w:pgMar w:top="1220" w:right="0" w:bottom="1420" w:left="1260" w:header="0" w:footer="1239" w:gutter="0"/>
          <w:cols w:space="720"/>
        </w:sectPr>
      </w:pPr>
    </w:p>
    <w:p w14:paraId="2870E56D" w14:textId="77777777" w:rsidR="00A71EEF" w:rsidRDefault="0081115D">
      <w:pPr>
        <w:pStyle w:val="2"/>
        <w:ind w:right="868"/>
      </w:pPr>
      <w:bookmarkStart w:id="16" w:name="_bookmark16"/>
      <w:bookmarkEnd w:id="16"/>
      <w:r>
        <w:t>防火门</w:t>
      </w:r>
      <w:r>
        <w:rPr>
          <w:w w:val="99"/>
        </w:rPr>
        <w:t xml:space="preserve"> </w:t>
      </w:r>
    </w:p>
    <w:p w14:paraId="0E1E4C0F" w14:textId="77777777" w:rsidR="00A71EEF" w:rsidRDefault="00A71EEF">
      <w:pPr>
        <w:pStyle w:val="a3"/>
        <w:rPr>
          <w:b/>
          <w:sz w:val="20"/>
        </w:rPr>
      </w:pPr>
    </w:p>
    <w:p w14:paraId="3B589D89" w14:textId="77777777" w:rsidR="00A71EEF" w:rsidRDefault="00A71EEF">
      <w:pPr>
        <w:pStyle w:val="a3"/>
        <w:spacing w:before="5"/>
        <w:rPr>
          <w:b/>
          <w:sz w:val="14"/>
        </w:rPr>
      </w:pPr>
    </w:p>
    <w:p w14:paraId="51A0728D" w14:textId="77777777" w:rsidR="00A71EEF" w:rsidRDefault="0081115D">
      <w:pPr>
        <w:pStyle w:val="4"/>
        <w:spacing w:before="66"/>
      </w:pPr>
      <w:r>
        <w:t xml:space="preserve">1 </w:t>
      </w:r>
      <w:r>
        <w:t>范围</w:t>
      </w:r>
      <w:r>
        <w:rPr>
          <w:w w:val="99"/>
        </w:rPr>
        <w:t xml:space="preserve"> </w:t>
      </w:r>
    </w:p>
    <w:p w14:paraId="135766A3" w14:textId="77777777" w:rsidR="00A71EEF" w:rsidRDefault="00A71EEF">
      <w:pPr>
        <w:pStyle w:val="a3"/>
        <w:spacing w:before="4"/>
        <w:rPr>
          <w:b/>
          <w:sz w:val="17"/>
        </w:rPr>
      </w:pPr>
    </w:p>
    <w:p w14:paraId="1B0945C5" w14:textId="77777777" w:rsidR="00A71EEF" w:rsidRDefault="0081115D">
      <w:pPr>
        <w:pStyle w:val="a3"/>
        <w:spacing w:line="446" w:lineRule="auto"/>
        <w:ind w:left="418" w:right="1609" w:firstLine="419"/>
      </w:pPr>
      <w:r>
        <w:t>本标准规定了防火门的分类、代号与标记、要求、试验方法、检验规则、标志、包装、运输和贮存等内容。</w:t>
      </w:r>
      <w:r>
        <w:t xml:space="preserve"> </w:t>
      </w:r>
    </w:p>
    <w:p w14:paraId="4DC66624" w14:textId="77777777" w:rsidR="00A71EEF" w:rsidRDefault="0081115D">
      <w:pPr>
        <w:pStyle w:val="a3"/>
        <w:spacing w:line="446" w:lineRule="auto"/>
        <w:ind w:left="418" w:right="1609" w:firstLine="419"/>
      </w:pPr>
      <w:r>
        <w:t>本标准适用于平开式木质、钢质、钢木质防火门和其他材质防火门。其他开启方式的防火门，可参照本标准执行。</w:t>
      </w:r>
      <w:r>
        <w:t xml:space="preserve"> </w:t>
      </w:r>
    </w:p>
    <w:p w14:paraId="4F49492C" w14:textId="77777777" w:rsidR="00A71EEF" w:rsidRDefault="0081115D">
      <w:pPr>
        <w:pStyle w:val="4"/>
        <w:spacing w:line="276" w:lineRule="exact"/>
      </w:pPr>
      <w:r>
        <w:t xml:space="preserve">2 </w:t>
      </w:r>
      <w:r>
        <w:t>规范性引用文件</w:t>
      </w:r>
      <w:r>
        <w:rPr>
          <w:w w:val="99"/>
        </w:rPr>
        <w:t xml:space="preserve"> </w:t>
      </w:r>
    </w:p>
    <w:p w14:paraId="4988EB82" w14:textId="77777777" w:rsidR="00A71EEF" w:rsidRDefault="00A71EEF">
      <w:pPr>
        <w:pStyle w:val="a3"/>
        <w:spacing w:before="6"/>
        <w:rPr>
          <w:b/>
          <w:sz w:val="17"/>
        </w:rPr>
      </w:pPr>
    </w:p>
    <w:p w14:paraId="24BFC1DB" w14:textId="77777777" w:rsidR="00A71EEF" w:rsidRDefault="0081115D">
      <w:pPr>
        <w:pStyle w:val="a3"/>
        <w:spacing w:line="446" w:lineRule="auto"/>
        <w:ind w:left="418" w:right="1608" w:firstLine="419"/>
        <w:jc w:val="both"/>
      </w:pPr>
      <w:r>
        <w:t>下列文件中的条款通过本标准的引用而成为本标准的条款。凡是注日期的引用文件，其随后所有的修改单（不包括勘误的内容）或修订版均不适用于本标准，然而，鼓励根据本标准达成协议的各方研究是否可使用这些文件的最新版本。凡是不注日期的引用文件，其最新版本适用于本标准。</w:t>
      </w:r>
      <w:r>
        <w:t xml:space="preserve"> </w:t>
      </w:r>
    </w:p>
    <w:p w14:paraId="6B7CAA0D" w14:textId="77777777" w:rsidR="00A71EEF" w:rsidRDefault="0081115D">
      <w:pPr>
        <w:pStyle w:val="a3"/>
        <w:spacing w:line="446" w:lineRule="auto"/>
        <w:ind w:left="838" w:right="4134"/>
        <w:jc w:val="both"/>
      </w:pPr>
      <w:r>
        <w:t xml:space="preserve">GB/T 708 </w:t>
      </w:r>
      <w:r>
        <w:t>冷轧钢板和钢带的尺寸、外形、重量及允许偏差</w:t>
      </w:r>
      <w:r>
        <w:t xml:space="preserve">GB/T 709 </w:t>
      </w:r>
      <w:r>
        <w:t>热轧钢板和钢带的尺寸、外形、重量及允许偏差</w:t>
      </w:r>
      <w:r>
        <w:t xml:space="preserve"> </w:t>
      </w:r>
    </w:p>
    <w:p w14:paraId="2894971B" w14:textId="77777777" w:rsidR="00A71EEF" w:rsidRDefault="0081115D">
      <w:pPr>
        <w:pStyle w:val="a3"/>
        <w:spacing w:line="446" w:lineRule="auto"/>
        <w:ind w:left="418" w:right="1611" w:firstLine="419"/>
        <w:jc w:val="both"/>
      </w:pPr>
      <w:r>
        <w:t>GB/T 2828.1</w:t>
      </w:r>
      <w:r>
        <w:rPr>
          <w:spacing w:val="-6"/>
        </w:rPr>
        <w:t xml:space="preserve">  </w:t>
      </w:r>
      <w:r>
        <w:rPr>
          <w:spacing w:val="-6"/>
        </w:rPr>
        <w:t>计数抽样检验程序</w:t>
      </w:r>
      <w:r>
        <w:rPr>
          <w:spacing w:val="-6"/>
        </w:rPr>
        <w:t xml:space="preserve">   </w:t>
      </w:r>
      <w:r>
        <w:rPr>
          <w:spacing w:val="-6"/>
        </w:rPr>
        <w:t>第</w:t>
      </w:r>
      <w:r>
        <w:rPr>
          <w:spacing w:val="-6"/>
        </w:rPr>
        <w:t xml:space="preserve"> </w:t>
      </w:r>
      <w:r>
        <w:t>1</w:t>
      </w:r>
      <w:r>
        <w:rPr>
          <w:spacing w:val="-9"/>
        </w:rPr>
        <w:t xml:space="preserve"> </w:t>
      </w:r>
      <w:r>
        <w:rPr>
          <w:spacing w:val="-9"/>
        </w:rPr>
        <w:t>部分：按接收质量限</w:t>
      </w:r>
      <w:r>
        <w:t>（</w:t>
      </w:r>
      <w:r>
        <w:t>AQL</w:t>
      </w:r>
      <w:r>
        <w:t>）</w:t>
      </w:r>
      <w:r>
        <w:rPr>
          <w:spacing w:val="-3"/>
        </w:rPr>
        <w:t>检索的逐批检验抽样计划</w:t>
      </w:r>
      <w:r>
        <w:t>（</w:t>
      </w:r>
      <w:r>
        <w:t>GB/T 2828.1</w:t>
      </w:r>
      <w:r>
        <w:t>—2003</w:t>
      </w:r>
      <w:r>
        <w:t>，</w:t>
      </w:r>
      <w:r>
        <w:t>ISO 2859—1</w:t>
      </w:r>
      <w:r>
        <w:t>：</w:t>
      </w:r>
      <w:r>
        <w:t>1999</w:t>
      </w:r>
      <w:r>
        <w:t>，</w:t>
      </w:r>
      <w:r>
        <w:t>IDT</w:t>
      </w:r>
      <w:r>
        <w:t>）</w:t>
      </w:r>
      <w:r>
        <w:t xml:space="preserve"> </w:t>
      </w:r>
    </w:p>
    <w:p w14:paraId="6775AD50" w14:textId="77777777" w:rsidR="00A71EEF" w:rsidRDefault="0081115D">
      <w:pPr>
        <w:pStyle w:val="a3"/>
        <w:spacing w:line="446" w:lineRule="auto"/>
        <w:ind w:left="838" w:right="4659"/>
      </w:pPr>
      <w:r>
        <w:t xml:space="preserve">GB/T 4823—1995 </w:t>
      </w:r>
      <w:r>
        <w:t>锯材缺陷（</w:t>
      </w:r>
      <w:r>
        <w:t>eqv ISO 1029</w:t>
      </w:r>
      <w:r>
        <w:t>：</w:t>
      </w:r>
      <w:r>
        <w:t>1974</w:t>
      </w:r>
      <w:r>
        <w:t>）</w:t>
      </w:r>
      <w:r>
        <w:t xml:space="preserve"> GB/T 5823—1986 </w:t>
      </w:r>
      <w:r>
        <w:t>建筑门窗术语</w:t>
      </w:r>
      <w:r>
        <w:t xml:space="preserve"> </w:t>
      </w:r>
    </w:p>
    <w:p w14:paraId="2886D358" w14:textId="77777777" w:rsidR="00A71EEF" w:rsidRDefault="0081115D">
      <w:pPr>
        <w:pStyle w:val="a3"/>
        <w:ind w:left="838"/>
      </w:pPr>
      <w:r>
        <w:t xml:space="preserve">GB/T 5824 </w:t>
      </w:r>
      <w:r>
        <w:t>建筑门窗洞口尺寸系列</w:t>
      </w:r>
      <w:r>
        <w:t xml:space="preserve"> </w:t>
      </w:r>
    </w:p>
    <w:p w14:paraId="5766A56B" w14:textId="77777777" w:rsidR="00A71EEF" w:rsidRDefault="00A71EEF">
      <w:pPr>
        <w:pStyle w:val="a3"/>
        <w:spacing w:before="7"/>
        <w:rPr>
          <w:sz w:val="17"/>
        </w:rPr>
      </w:pPr>
    </w:p>
    <w:p w14:paraId="17E4DA88" w14:textId="77777777" w:rsidR="00A71EEF" w:rsidRDefault="0081115D">
      <w:pPr>
        <w:pStyle w:val="a3"/>
        <w:spacing w:before="1" w:line="448" w:lineRule="auto"/>
        <w:ind w:left="838" w:right="5394"/>
      </w:pPr>
      <w:r>
        <w:t xml:space="preserve">GB/T 5907—1986  </w:t>
      </w:r>
      <w:r>
        <w:t>消防基本术语</w:t>
      </w:r>
      <w:r>
        <w:t xml:space="preserve">  </w:t>
      </w:r>
      <w:r>
        <w:t>第一部分</w:t>
      </w:r>
      <w:r>
        <w:t xml:space="preserve">GB/T 6388 </w:t>
      </w:r>
      <w:r>
        <w:t>运输包装收发货标志</w:t>
      </w:r>
      <w:r>
        <w:t xml:space="preserve"> </w:t>
      </w:r>
    </w:p>
    <w:p w14:paraId="41A05305" w14:textId="77777777" w:rsidR="00A71EEF" w:rsidRDefault="0081115D">
      <w:pPr>
        <w:pStyle w:val="a3"/>
        <w:spacing w:line="264" w:lineRule="exact"/>
        <w:ind w:left="838"/>
      </w:pPr>
      <w:r>
        <w:t xml:space="preserve">GB/T 7633 </w:t>
      </w:r>
      <w:r>
        <w:t>门和卷帘的耐火试验方法</w:t>
      </w:r>
      <w:r>
        <w:t xml:space="preserve"> </w:t>
      </w:r>
    </w:p>
    <w:p w14:paraId="3E9DC8D3" w14:textId="77777777" w:rsidR="00A71EEF" w:rsidRDefault="00A71EEF">
      <w:pPr>
        <w:pStyle w:val="a3"/>
        <w:spacing w:before="12"/>
        <w:rPr>
          <w:sz w:val="17"/>
        </w:rPr>
      </w:pPr>
    </w:p>
    <w:p w14:paraId="462E109B" w14:textId="77777777" w:rsidR="00A71EEF" w:rsidRDefault="0081115D">
      <w:pPr>
        <w:pStyle w:val="a3"/>
        <w:spacing w:line="446" w:lineRule="auto"/>
        <w:ind w:left="838" w:right="5288"/>
      </w:pPr>
      <w:r>
        <w:t>GB 8624—2006</w:t>
      </w:r>
      <w:r>
        <w:rPr>
          <w:spacing w:val="-3"/>
        </w:rPr>
        <w:t xml:space="preserve"> </w:t>
      </w:r>
      <w:r>
        <w:rPr>
          <w:spacing w:val="-3"/>
        </w:rPr>
        <w:t>建筑材料及制品燃烧性能分级</w:t>
      </w:r>
      <w:r>
        <w:rPr>
          <w:spacing w:val="-3"/>
        </w:rPr>
        <w:t>GB/T</w:t>
      </w:r>
      <w:r>
        <w:rPr>
          <w:spacing w:val="63"/>
        </w:rPr>
        <w:t xml:space="preserve"> </w:t>
      </w:r>
      <w:r>
        <w:t>8625—2005</w:t>
      </w:r>
      <w:r>
        <w:rPr>
          <w:spacing w:val="-1"/>
        </w:rPr>
        <w:t xml:space="preserve">   </w:t>
      </w:r>
      <w:r>
        <w:rPr>
          <w:spacing w:val="-1"/>
        </w:rPr>
        <w:t>建筑材料难燃性试验方法</w:t>
      </w:r>
      <w:r>
        <w:t>GB</w:t>
      </w:r>
      <w:r>
        <w:rPr>
          <w:spacing w:val="79"/>
        </w:rPr>
        <w:t xml:space="preserve"> </w:t>
      </w:r>
      <w:r>
        <w:t>9969.1</w:t>
      </w:r>
      <w:r>
        <w:rPr>
          <w:spacing w:val="4"/>
        </w:rPr>
        <w:t xml:space="preserve">   </w:t>
      </w:r>
      <w:r>
        <w:rPr>
          <w:spacing w:val="4"/>
        </w:rPr>
        <w:t>工业产品使用说明书</w:t>
      </w:r>
      <w:r>
        <w:rPr>
          <w:spacing w:val="4"/>
        </w:rPr>
        <w:t xml:space="preserve">   </w:t>
      </w:r>
      <w:r>
        <w:rPr>
          <w:spacing w:val="4"/>
        </w:rPr>
        <w:t>总则</w:t>
      </w:r>
      <w:r>
        <w:rPr>
          <w:spacing w:val="4"/>
        </w:rPr>
        <w:t xml:space="preserve"> </w:t>
      </w:r>
      <w:r>
        <w:t>GB/T 13306</w:t>
      </w:r>
      <w:r>
        <w:rPr>
          <w:spacing w:val="25"/>
        </w:rPr>
        <w:t xml:space="preserve"> </w:t>
      </w:r>
      <w:r>
        <w:rPr>
          <w:spacing w:val="25"/>
        </w:rPr>
        <w:t>标</w:t>
      </w:r>
      <w:r>
        <w:rPr>
          <w:spacing w:val="25"/>
        </w:rPr>
        <w:t xml:space="preserve"> </w:t>
      </w:r>
      <w:r>
        <w:rPr>
          <w:spacing w:val="25"/>
        </w:rPr>
        <w:t>牌</w:t>
      </w:r>
      <w:r>
        <w:rPr>
          <w:spacing w:val="25"/>
        </w:rPr>
        <w:t xml:space="preserve"> </w:t>
      </w:r>
    </w:p>
    <w:p w14:paraId="703FEEDC" w14:textId="77777777" w:rsidR="00A71EEF" w:rsidRDefault="0081115D">
      <w:pPr>
        <w:pStyle w:val="a3"/>
        <w:spacing w:line="446" w:lineRule="auto"/>
        <w:ind w:left="838" w:right="5711"/>
      </w:pPr>
      <w:r>
        <w:t xml:space="preserve">GB/T 14436   </w:t>
      </w:r>
      <w:r>
        <w:t>工业产品保证文件</w:t>
      </w:r>
      <w:r>
        <w:t xml:space="preserve">   </w:t>
      </w:r>
      <w:r>
        <w:t>总则</w:t>
      </w:r>
      <w:r>
        <w:t xml:space="preserve">GB 15763.1 </w:t>
      </w:r>
      <w:r>
        <w:t>建筑用安全玻璃</w:t>
      </w:r>
      <w:r>
        <w:t xml:space="preserve"> </w:t>
      </w:r>
      <w:r>
        <w:t>防火玻璃</w:t>
      </w:r>
      <w:r>
        <w:t xml:space="preserve"> </w:t>
      </w:r>
    </w:p>
    <w:p w14:paraId="5FBB64FB" w14:textId="77777777" w:rsidR="00A71EEF" w:rsidRDefault="00A71EEF">
      <w:pPr>
        <w:spacing w:line="446" w:lineRule="auto"/>
        <w:sectPr w:rsidR="00A71EEF">
          <w:pgSz w:w="11910" w:h="16850"/>
          <w:pgMar w:top="1140" w:right="0" w:bottom="1420" w:left="1260" w:header="0" w:footer="1239" w:gutter="0"/>
          <w:cols w:space="720"/>
        </w:sectPr>
      </w:pPr>
    </w:p>
    <w:p w14:paraId="331DE327" w14:textId="77777777" w:rsidR="00A71EEF" w:rsidRDefault="0081115D">
      <w:pPr>
        <w:pStyle w:val="a3"/>
        <w:spacing w:before="47"/>
        <w:ind w:left="838"/>
      </w:pPr>
      <w:r>
        <w:t xml:space="preserve">GB 16807 </w:t>
      </w:r>
      <w:r>
        <w:t>防火膨胀密封件</w:t>
      </w:r>
      <w:r>
        <w:t xml:space="preserve"> </w:t>
      </w:r>
    </w:p>
    <w:p w14:paraId="1CA00D36" w14:textId="77777777" w:rsidR="00A71EEF" w:rsidRDefault="00A71EEF">
      <w:pPr>
        <w:pStyle w:val="a3"/>
        <w:rPr>
          <w:sz w:val="18"/>
        </w:rPr>
      </w:pPr>
    </w:p>
    <w:p w14:paraId="43279361" w14:textId="77777777" w:rsidR="00A71EEF" w:rsidRDefault="0081115D">
      <w:pPr>
        <w:pStyle w:val="a3"/>
        <w:spacing w:line="446" w:lineRule="auto"/>
        <w:ind w:left="838" w:right="5605"/>
      </w:pPr>
      <w:r>
        <w:t xml:space="preserve">GB/T 20285—2006   </w:t>
      </w:r>
      <w:r>
        <w:t>材料产烟毒性危险分级</w:t>
      </w:r>
      <w:r>
        <w:t xml:space="preserve">GA 93 </w:t>
      </w:r>
      <w:r>
        <w:t>防火门闭门器</w:t>
      </w:r>
      <w:r>
        <w:t xml:space="preserve"> </w:t>
      </w:r>
    </w:p>
    <w:p w14:paraId="604DC402" w14:textId="77777777" w:rsidR="00A71EEF" w:rsidRDefault="0081115D">
      <w:pPr>
        <w:pStyle w:val="a3"/>
        <w:spacing w:line="446" w:lineRule="auto"/>
        <w:ind w:left="838" w:right="6445"/>
      </w:pPr>
      <w:r>
        <w:t xml:space="preserve">JG/T 122—2000 </w:t>
      </w:r>
      <w:r>
        <w:t>建筑木门、木窗</w:t>
      </w:r>
      <w:r>
        <w:t xml:space="preserve">QB/T 2474 </w:t>
      </w:r>
      <w:r>
        <w:t>弹子插芯门锁</w:t>
      </w:r>
      <w:r>
        <w:t xml:space="preserve"> </w:t>
      </w:r>
    </w:p>
    <w:p w14:paraId="22655D6A" w14:textId="77777777" w:rsidR="00A71EEF" w:rsidRDefault="0081115D">
      <w:pPr>
        <w:pStyle w:val="4"/>
        <w:spacing w:line="275" w:lineRule="exact"/>
      </w:pPr>
      <w:r>
        <w:t xml:space="preserve">3 </w:t>
      </w:r>
      <w:r>
        <w:t>术语和定义</w:t>
      </w:r>
      <w:r>
        <w:rPr>
          <w:w w:val="99"/>
        </w:rPr>
        <w:t xml:space="preserve"> </w:t>
      </w:r>
    </w:p>
    <w:p w14:paraId="25BD796F" w14:textId="77777777" w:rsidR="00A71EEF" w:rsidRDefault="00A71EEF">
      <w:pPr>
        <w:pStyle w:val="a3"/>
        <w:spacing w:before="6"/>
        <w:rPr>
          <w:b/>
          <w:sz w:val="17"/>
        </w:rPr>
      </w:pPr>
    </w:p>
    <w:p w14:paraId="70E86D90" w14:textId="77777777" w:rsidR="00A71EEF" w:rsidRDefault="0081115D">
      <w:pPr>
        <w:pStyle w:val="a3"/>
        <w:ind w:left="838"/>
      </w:pPr>
      <w:r>
        <w:t xml:space="preserve">GB/T 5823—1986 </w:t>
      </w:r>
      <w:r>
        <w:t>和</w:t>
      </w:r>
      <w:r>
        <w:t xml:space="preserve"> GB/T 5907—1986 </w:t>
      </w:r>
      <w:r>
        <w:t>确立的以及下列术语和定</w:t>
      </w:r>
      <w:r>
        <w:t>义适用于本标准。</w:t>
      </w:r>
      <w:r>
        <w:t xml:space="preserve"> </w:t>
      </w:r>
    </w:p>
    <w:p w14:paraId="1FC03024" w14:textId="77777777" w:rsidR="00A71EEF" w:rsidRDefault="00A71EEF">
      <w:pPr>
        <w:pStyle w:val="a3"/>
        <w:rPr>
          <w:sz w:val="18"/>
        </w:rPr>
      </w:pPr>
    </w:p>
    <w:p w14:paraId="2B038E40" w14:textId="77777777" w:rsidR="00A71EEF" w:rsidRDefault="0081115D">
      <w:pPr>
        <w:pStyle w:val="a4"/>
        <w:numPr>
          <w:ilvl w:val="1"/>
          <w:numId w:val="560"/>
        </w:numPr>
        <w:tabs>
          <w:tab w:val="left" w:pos="1213"/>
        </w:tabs>
        <w:spacing w:before="1"/>
        <w:ind w:hanging="373"/>
        <w:rPr>
          <w:b/>
          <w:sz w:val="21"/>
        </w:rPr>
      </w:pPr>
      <w:r>
        <w:rPr>
          <w:spacing w:val="12"/>
          <w:sz w:val="21"/>
        </w:rPr>
        <w:t>平开式防火门</w:t>
      </w:r>
      <w:r>
        <w:rPr>
          <w:spacing w:val="12"/>
          <w:sz w:val="21"/>
        </w:rPr>
        <w:t xml:space="preserve"> </w:t>
      </w:r>
      <w:r>
        <w:rPr>
          <w:sz w:val="21"/>
        </w:rPr>
        <w:t>fire resistant</w:t>
      </w:r>
      <w:r>
        <w:rPr>
          <w:spacing w:val="1"/>
          <w:sz w:val="21"/>
        </w:rPr>
        <w:t xml:space="preserve"> </w:t>
      </w:r>
      <w:r>
        <w:rPr>
          <w:sz w:val="21"/>
        </w:rPr>
        <w:t>side hung</w:t>
      </w:r>
      <w:r>
        <w:rPr>
          <w:spacing w:val="1"/>
          <w:sz w:val="21"/>
        </w:rPr>
        <w:t xml:space="preserve"> </w:t>
      </w:r>
      <w:r>
        <w:rPr>
          <w:sz w:val="21"/>
        </w:rPr>
        <w:t>doorsets</w:t>
      </w:r>
      <w:r>
        <w:rPr>
          <w:b/>
          <w:w w:val="99"/>
          <w:sz w:val="21"/>
        </w:rPr>
        <w:t xml:space="preserve"> </w:t>
      </w:r>
    </w:p>
    <w:p w14:paraId="4274F76E" w14:textId="77777777" w:rsidR="00A71EEF" w:rsidRDefault="00A71EEF">
      <w:pPr>
        <w:pStyle w:val="a3"/>
        <w:spacing w:before="12"/>
        <w:rPr>
          <w:b/>
          <w:sz w:val="17"/>
        </w:rPr>
      </w:pPr>
    </w:p>
    <w:p w14:paraId="1C450A0F" w14:textId="77777777" w:rsidR="00A71EEF" w:rsidRDefault="0081115D">
      <w:pPr>
        <w:pStyle w:val="a3"/>
        <w:spacing w:line="446" w:lineRule="auto"/>
        <w:ind w:left="418" w:right="1609" w:firstLine="419"/>
      </w:pPr>
      <w:r>
        <w:t>由门框、门扇和防火铰链、防火锁等防火五金配件构成的，以铰链为轴垂直于地面，该轴可以沿顺时针或逆时针单一方向旋转以开启或关闭门扇的防火门。</w:t>
      </w:r>
      <w:r>
        <w:t xml:space="preserve"> </w:t>
      </w:r>
    </w:p>
    <w:p w14:paraId="1F9FA5C9" w14:textId="77777777" w:rsidR="00A71EEF" w:rsidRDefault="0081115D">
      <w:pPr>
        <w:pStyle w:val="a4"/>
        <w:numPr>
          <w:ilvl w:val="1"/>
          <w:numId w:val="560"/>
        </w:numPr>
        <w:tabs>
          <w:tab w:val="left" w:pos="1213"/>
        </w:tabs>
        <w:ind w:hanging="373"/>
        <w:rPr>
          <w:b/>
          <w:sz w:val="21"/>
        </w:rPr>
      </w:pPr>
      <w:r>
        <w:rPr>
          <w:spacing w:val="14"/>
          <w:sz w:val="21"/>
        </w:rPr>
        <w:t>木质防火门</w:t>
      </w:r>
      <w:r>
        <w:rPr>
          <w:spacing w:val="14"/>
          <w:sz w:val="21"/>
        </w:rPr>
        <w:t xml:space="preserve"> </w:t>
      </w:r>
      <w:r>
        <w:rPr>
          <w:sz w:val="21"/>
        </w:rPr>
        <w:t>fire</w:t>
      </w:r>
      <w:r>
        <w:rPr>
          <w:spacing w:val="1"/>
          <w:sz w:val="21"/>
        </w:rPr>
        <w:t xml:space="preserve"> </w:t>
      </w:r>
      <w:r>
        <w:rPr>
          <w:sz w:val="21"/>
        </w:rPr>
        <w:t>resistant</w:t>
      </w:r>
      <w:r>
        <w:rPr>
          <w:spacing w:val="1"/>
          <w:sz w:val="21"/>
        </w:rPr>
        <w:t xml:space="preserve"> </w:t>
      </w:r>
      <w:r>
        <w:rPr>
          <w:sz w:val="21"/>
        </w:rPr>
        <w:t>timber doorsets</w:t>
      </w:r>
      <w:r>
        <w:rPr>
          <w:b/>
          <w:w w:val="99"/>
          <w:sz w:val="21"/>
        </w:rPr>
        <w:t xml:space="preserve"> </w:t>
      </w:r>
    </w:p>
    <w:p w14:paraId="4AA7DCAC" w14:textId="77777777" w:rsidR="00A71EEF" w:rsidRDefault="00A71EEF">
      <w:pPr>
        <w:pStyle w:val="a3"/>
        <w:spacing w:before="12"/>
        <w:rPr>
          <w:b/>
          <w:sz w:val="17"/>
        </w:rPr>
      </w:pPr>
    </w:p>
    <w:p w14:paraId="24C9855B" w14:textId="77777777" w:rsidR="00A71EEF" w:rsidRDefault="0081115D">
      <w:pPr>
        <w:pStyle w:val="a3"/>
        <w:spacing w:line="446" w:lineRule="auto"/>
        <w:ind w:left="418" w:right="1609" w:firstLine="419"/>
      </w:pPr>
      <w:r>
        <w:t>用难燃木材或难燃木材制品作门框、门扇骨架和门扇面板，门扇内若填充材料，则填充对人体无毒无害的防火隔热材料，并配以防火五金配件所组成的具有一定耐火性能的门。</w:t>
      </w:r>
      <w:r>
        <w:t xml:space="preserve"> </w:t>
      </w:r>
    </w:p>
    <w:p w14:paraId="620DC9DA" w14:textId="77777777" w:rsidR="00A71EEF" w:rsidRDefault="0081115D">
      <w:pPr>
        <w:pStyle w:val="a4"/>
        <w:numPr>
          <w:ilvl w:val="1"/>
          <w:numId w:val="560"/>
        </w:numPr>
        <w:tabs>
          <w:tab w:val="left" w:pos="1213"/>
        </w:tabs>
        <w:ind w:hanging="373"/>
        <w:rPr>
          <w:sz w:val="21"/>
        </w:rPr>
      </w:pPr>
      <w:r>
        <w:rPr>
          <w:spacing w:val="14"/>
          <w:sz w:val="21"/>
        </w:rPr>
        <w:t>钢质防火门</w:t>
      </w:r>
      <w:r>
        <w:rPr>
          <w:spacing w:val="14"/>
          <w:sz w:val="21"/>
        </w:rPr>
        <w:t xml:space="preserve"> </w:t>
      </w:r>
      <w:r>
        <w:rPr>
          <w:sz w:val="21"/>
        </w:rPr>
        <w:t>fire resistant</w:t>
      </w:r>
      <w:r>
        <w:rPr>
          <w:spacing w:val="1"/>
          <w:sz w:val="21"/>
        </w:rPr>
        <w:t xml:space="preserve"> </w:t>
      </w:r>
      <w:r>
        <w:rPr>
          <w:sz w:val="21"/>
        </w:rPr>
        <w:t xml:space="preserve">steel doorsets </w:t>
      </w:r>
    </w:p>
    <w:p w14:paraId="46058936" w14:textId="77777777" w:rsidR="00A71EEF" w:rsidRDefault="00A71EEF">
      <w:pPr>
        <w:pStyle w:val="a3"/>
        <w:rPr>
          <w:sz w:val="18"/>
        </w:rPr>
      </w:pPr>
    </w:p>
    <w:p w14:paraId="5D6DAE5D" w14:textId="77777777" w:rsidR="00A71EEF" w:rsidRDefault="0081115D">
      <w:pPr>
        <w:pStyle w:val="a3"/>
        <w:spacing w:line="446" w:lineRule="auto"/>
        <w:ind w:left="418" w:right="1609" w:firstLine="419"/>
      </w:pPr>
      <w:r>
        <w:t>用钢质材料制作门框、门扇骨架和门扇面板，门扇内若填充材料，则填充对人体无毒无害的防火隔热材料，并配以防火五金配件所组成的具有一定耐火性能的门。</w:t>
      </w:r>
      <w:r>
        <w:t xml:space="preserve"> </w:t>
      </w:r>
    </w:p>
    <w:p w14:paraId="53C70624" w14:textId="77777777" w:rsidR="00A71EEF" w:rsidRDefault="0081115D">
      <w:pPr>
        <w:pStyle w:val="a4"/>
        <w:numPr>
          <w:ilvl w:val="1"/>
          <w:numId w:val="560"/>
        </w:numPr>
        <w:tabs>
          <w:tab w:val="left" w:pos="1213"/>
        </w:tabs>
        <w:ind w:hanging="373"/>
        <w:rPr>
          <w:sz w:val="21"/>
        </w:rPr>
      </w:pPr>
      <w:r>
        <w:rPr>
          <w:spacing w:val="12"/>
          <w:sz w:val="21"/>
        </w:rPr>
        <w:t>钢木质防火门</w:t>
      </w:r>
      <w:r>
        <w:rPr>
          <w:spacing w:val="12"/>
          <w:sz w:val="21"/>
        </w:rPr>
        <w:t xml:space="preserve"> </w:t>
      </w:r>
      <w:r>
        <w:rPr>
          <w:sz w:val="21"/>
        </w:rPr>
        <w:t>fire</w:t>
      </w:r>
      <w:r>
        <w:rPr>
          <w:spacing w:val="1"/>
          <w:sz w:val="21"/>
        </w:rPr>
        <w:t xml:space="preserve"> </w:t>
      </w:r>
      <w:r>
        <w:rPr>
          <w:sz w:val="21"/>
        </w:rPr>
        <w:t>resistant timber</w:t>
      </w:r>
      <w:r>
        <w:rPr>
          <w:spacing w:val="-2"/>
          <w:sz w:val="21"/>
        </w:rPr>
        <w:t xml:space="preserve"> </w:t>
      </w:r>
      <w:r>
        <w:rPr>
          <w:sz w:val="21"/>
        </w:rPr>
        <w:t>doorsets</w:t>
      </w:r>
      <w:r>
        <w:rPr>
          <w:spacing w:val="1"/>
          <w:sz w:val="21"/>
        </w:rPr>
        <w:t xml:space="preserve"> </w:t>
      </w:r>
      <w:r>
        <w:rPr>
          <w:sz w:val="21"/>
        </w:rPr>
        <w:t>with steel</w:t>
      </w:r>
      <w:r>
        <w:rPr>
          <w:spacing w:val="1"/>
          <w:sz w:val="21"/>
        </w:rPr>
        <w:t xml:space="preserve"> </w:t>
      </w:r>
      <w:r>
        <w:rPr>
          <w:sz w:val="21"/>
        </w:rPr>
        <w:t xml:space="preserve">structure </w:t>
      </w:r>
    </w:p>
    <w:p w14:paraId="1543838C" w14:textId="77777777" w:rsidR="00A71EEF" w:rsidRDefault="00A71EEF">
      <w:pPr>
        <w:pStyle w:val="a3"/>
        <w:spacing w:before="12"/>
        <w:rPr>
          <w:sz w:val="17"/>
        </w:rPr>
      </w:pPr>
    </w:p>
    <w:p w14:paraId="5A1A5DFC" w14:textId="77777777" w:rsidR="00A71EEF" w:rsidRDefault="0081115D">
      <w:pPr>
        <w:pStyle w:val="a3"/>
        <w:spacing w:line="446" w:lineRule="auto"/>
        <w:ind w:left="418" w:right="1608" w:firstLine="419"/>
        <w:jc w:val="both"/>
      </w:pPr>
      <w:r>
        <w:t>用钢质和难</w:t>
      </w:r>
      <w:r>
        <w:t>燃木质材料或难燃木材制品制作门框、门扇骨架、门扇面板，门扇内若填充材料，则填充对人体无毒无害的防火隔热材料，并配以防火五金配件所组成的具有一定耐火性能的门。</w:t>
      </w:r>
      <w:r>
        <w:t xml:space="preserve"> </w:t>
      </w:r>
    </w:p>
    <w:p w14:paraId="40947B5E" w14:textId="77777777" w:rsidR="00A71EEF" w:rsidRDefault="0081115D">
      <w:pPr>
        <w:pStyle w:val="a4"/>
        <w:numPr>
          <w:ilvl w:val="1"/>
          <w:numId w:val="560"/>
        </w:numPr>
        <w:tabs>
          <w:tab w:val="left" w:pos="1213"/>
        </w:tabs>
        <w:spacing w:line="268" w:lineRule="exact"/>
        <w:ind w:hanging="373"/>
        <w:jc w:val="both"/>
        <w:rPr>
          <w:b/>
          <w:sz w:val="21"/>
        </w:rPr>
      </w:pPr>
      <w:r>
        <w:rPr>
          <w:spacing w:val="10"/>
          <w:sz w:val="21"/>
        </w:rPr>
        <w:t>其他材质防火门</w:t>
      </w:r>
      <w:r>
        <w:rPr>
          <w:spacing w:val="10"/>
          <w:sz w:val="21"/>
        </w:rPr>
        <w:t xml:space="preserve"> </w:t>
      </w:r>
      <w:r>
        <w:rPr>
          <w:sz w:val="21"/>
        </w:rPr>
        <w:t>other material</w:t>
      </w:r>
      <w:r>
        <w:rPr>
          <w:spacing w:val="1"/>
          <w:sz w:val="21"/>
        </w:rPr>
        <w:t xml:space="preserve"> </w:t>
      </w:r>
      <w:r>
        <w:rPr>
          <w:sz w:val="21"/>
        </w:rPr>
        <w:t>fire</w:t>
      </w:r>
      <w:r>
        <w:rPr>
          <w:spacing w:val="-2"/>
          <w:sz w:val="21"/>
        </w:rPr>
        <w:t xml:space="preserve"> </w:t>
      </w:r>
      <w:r>
        <w:rPr>
          <w:sz w:val="21"/>
        </w:rPr>
        <w:t>resistant doorsets</w:t>
      </w:r>
      <w:r>
        <w:rPr>
          <w:b/>
          <w:w w:val="99"/>
          <w:sz w:val="21"/>
        </w:rPr>
        <w:t xml:space="preserve"> </w:t>
      </w:r>
    </w:p>
    <w:p w14:paraId="1B4D916E" w14:textId="77777777" w:rsidR="00A71EEF" w:rsidRDefault="00A71EEF">
      <w:pPr>
        <w:pStyle w:val="a3"/>
        <w:spacing w:before="2"/>
        <w:rPr>
          <w:b/>
          <w:sz w:val="18"/>
        </w:rPr>
      </w:pPr>
    </w:p>
    <w:p w14:paraId="09D0D8FE" w14:textId="77777777" w:rsidR="00A71EEF" w:rsidRDefault="0081115D">
      <w:pPr>
        <w:pStyle w:val="a3"/>
        <w:spacing w:line="446" w:lineRule="auto"/>
        <w:ind w:left="418" w:right="1608" w:firstLine="419"/>
        <w:jc w:val="both"/>
      </w:pPr>
      <w:r>
        <w:t>采用除钢质、难燃木材或难燃木材制品之外的无机不燃材料或部分采用钢质、难燃木材、难燃木材制品制作门框、门扇骨架和门扇面板，门扇内若填充材料，则填充对人体无毒无害的防火隔热材料，并配以防火五金配件所组成的具有一定耐火性能的门。</w:t>
      </w:r>
      <w:r>
        <w:t xml:space="preserve"> </w:t>
      </w:r>
    </w:p>
    <w:p w14:paraId="2C214C4F" w14:textId="77777777" w:rsidR="00A71EEF" w:rsidRDefault="0081115D">
      <w:pPr>
        <w:pStyle w:val="a4"/>
        <w:numPr>
          <w:ilvl w:val="1"/>
          <w:numId w:val="560"/>
        </w:numPr>
        <w:tabs>
          <w:tab w:val="left" w:pos="1213"/>
        </w:tabs>
        <w:spacing w:line="268" w:lineRule="exact"/>
        <w:ind w:hanging="373"/>
        <w:jc w:val="both"/>
        <w:rPr>
          <w:sz w:val="21"/>
        </w:rPr>
      </w:pPr>
      <w:r>
        <w:rPr>
          <w:spacing w:val="-3"/>
          <w:sz w:val="21"/>
        </w:rPr>
        <w:t>隔热防火门</w:t>
      </w:r>
      <w:r>
        <w:rPr>
          <w:sz w:val="21"/>
        </w:rPr>
        <w:t>（</w:t>
      </w:r>
      <w:r>
        <w:rPr>
          <w:sz w:val="21"/>
        </w:rPr>
        <w:t>A</w:t>
      </w:r>
      <w:r>
        <w:rPr>
          <w:spacing w:val="-27"/>
          <w:sz w:val="21"/>
        </w:rPr>
        <w:t xml:space="preserve"> </w:t>
      </w:r>
      <w:r>
        <w:rPr>
          <w:spacing w:val="-27"/>
          <w:sz w:val="21"/>
        </w:rPr>
        <w:t>类</w:t>
      </w:r>
      <w:r>
        <w:rPr>
          <w:sz w:val="21"/>
        </w:rPr>
        <w:t>）</w:t>
      </w:r>
      <w:r>
        <w:rPr>
          <w:spacing w:val="-3"/>
          <w:sz w:val="21"/>
        </w:rPr>
        <w:t xml:space="preserve"> </w:t>
      </w:r>
      <w:r>
        <w:rPr>
          <w:sz w:val="21"/>
        </w:rPr>
        <w:t>ful</w:t>
      </w:r>
      <w:r>
        <w:rPr>
          <w:sz w:val="21"/>
        </w:rPr>
        <w:t>ly</w:t>
      </w:r>
      <w:r>
        <w:rPr>
          <w:spacing w:val="1"/>
          <w:sz w:val="21"/>
        </w:rPr>
        <w:t xml:space="preserve"> </w:t>
      </w:r>
      <w:r>
        <w:rPr>
          <w:sz w:val="21"/>
        </w:rPr>
        <w:t xml:space="preserve">insulated doorsets </w:t>
      </w:r>
    </w:p>
    <w:p w14:paraId="147949D8" w14:textId="77777777" w:rsidR="00A71EEF" w:rsidRDefault="00A71EEF">
      <w:pPr>
        <w:pStyle w:val="a3"/>
        <w:rPr>
          <w:sz w:val="18"/>
        </w:rPr>
      </w:pPr>
    </w:p>
    <w:p w14:paraId="0C12A077" w14:textId="77777777" w:rsidR="00A71EEF" w:rsidRDefault="0081115D">
      <w:pPr>
        <w:pStyle w:val="a3"/>
        <w:ind w:left="838"/>
      </w:pPr>
      <w:r>
        <w:t>在规定时间内，能同时满足耐火完整性和隔热性要求的防火门。</w:t>
      </w:r>
      <w:r>
        <w:t xml:space="preserve"> </w:t>
      </w:r>
    </w:p>
    <w:p w14:paraId="41A2A329" w14:textId="77777777" w:rsidR="00A71EEF" w:rsidRDefault="00A71EEF">
      <w:pPr>
        <w:pStyle w:val="a3"/>
        <w:spacing w:before="12"/>
        <w:rPr>
          <w:sz w:val="17"/>
        </w:rPr>
      </w:pPr>
    </w:p>
    <w:p w14:paraId="175A4300" w14:textId="77777777" w:rsidR="00A71EEF" w:rsidRDefault="0081115D">
      <w:pPr>
        <w:pStyle w:val="a4"/>
        <w:numPr>
          <w:ilvl w:val="1"/>
          <w:numId w:val="560"/>
        </w:numPr>
        <w:tabs>
          <w:tab w:val="left" w:pos="1213"/>
        </w:tabs>
        <w:ind w:hanging="373"/>
        <w:rPr>
          <w:sz w:val="21"/>
        </w:rPr>
      </w:pPr>
      <w:r>
        <w:rPr>
          <w:spacing w:val="-3"/>
          <w:sz w:val="21"/>
        </w:rPr>
        <w:t>部分隔热防火门</w:t>
      </w:r>
      <w:r>
        <w:rPr>
          <w:sz w:val="21"/>
        </w:rPr>
        <w:t>（</w:t>
      </w:r>
      <w:r>
        <w:rPr>
          <w:sz w:val="21"/>
        </w:rPr>
        <w:t>B</w:t>
      </w:r>
      <w:r>
        <w:rPr>
          <w:spacing w:val="-29"/>
          <w:sz w:val="21"/>
        </w:rPr>
        <w:t xml:space="preserve"> </w:t>
      </w:r>
      <w:r>
        <w:rPr>
          <w:spacing w:val="-29"/>
          <w:sz w:val="21"/>
        </w:rPr>
        <w:t>类</w:t>
      </w:r>
      <w:r>
        <w:rPr>
          <w:sz w:val="21"/>
        </w:rPr>
        <w:t>）</w:t>
      </w:r>
      <w:r>
        <w:rPr>
          <w:sz w:val="21"/>
        </w:rPr>
        <w:t xml:space="preserve"> partially</w:t>
      </w:r>
      <w:r>
        <w:rPr>
          <w:spacing w:val="1"/>
          <w:sz w:val="21"/>
        </w:rPr>
        <w:t xml:space="preserve"> </w:t>
      </w:r>
      <w:r>
        <w:rPr>
          <w:sz w:val="21"/>
        </w:rPr>
        <w:t>insulated</w:t>
      </w:r>
      <w:r>
        <w:rPr>
          <w:spacing w:val="-2"/>
          <w:sz w:val="21"/>
        </w:rPr>
        <w:t xml:space="preserve"> </w:t>
      </w:r>
      <w:r>
        <w:rPr>
          <w:sz w:val="21"/>
        </w:rPr>
        <w:t xml:space="preserve">doorsets </w:t>
      </w:r>
    </w:p>
    <w:p w14:paraId="7CC90813" w14:textId="77777777" w:rsidR="00A71EEF" w:rsidRDefault="00A71EEF">
      <w:pPr>
        <w:rPr>
          <w:sz w:val="21"/>
        </w:rPr>
        <w:sectPr w:rsidR="00A71EEF">
          <w:pgSz w:w="11910" w:h="16850"/>
          <w:pgMar w:top="1220" w:right="0" w:bottom="1420" w:left="1260" w:header="0" w:footer="1239" w:gutter="0"/>
          <w:cols w:space="720"/>
        </w:sectPr>
      </w:pPr>
    </w:p>
    <w:p w14:paraId="4747C021" w14:textId="77777777" w:rsidR="00A71EEF" w:rsidRDefault="0081115D">
      <w:pPr>
        <w:pStyle w:val="a3"/>
        <w:spacing w:before="47" w:line="446" w:lineRule="auto"/>
        <w:ind w:left="418" w:right="1611" w:firstLine="419"/>
      </w:pPr>
      <w:r>
        <w:rPr>
          <w:spacing w:val="-9"/>
        </w:rPr>
        <w:t>在规定大于等于</w:t>
      </w:r>
      <w:r>
        <w:rPr>
          <w:spacing w:val="-9"/>
        </w:rPr>
        <w:t xml:space="preserve"> </w:t>
      </w:r>
      <w:r>
        <w:t>0.50 h</w:t>
      </w:r>
      <w:r>
        <w:rPr>
          <w:spacing w:val="-10"/>
        </w:rPr>
        <w:t xml:space="preserve"> </w:t>
      </w:r>
      <w:r>
        <w:rPr>
          <w:spacing w:val="-10"/>
        </w:rPr>
        <w:t>内，满足耐火完整性和隔热性要求，在大于</w:t>
      </w:r>
      <w:r>
        <w:rPr>
          <w:spacing w:val="-10"/>
        </w:rPr>
        <w:t xml:space="preserve"> </w:t>
      </w:r>
      <w:r>
        <w:t>0.50 h</w:t>
      </w:r>
      <w:r>
        <w:rPr>
          <w:spacing w:val="-9"/>
        </w:rPr>
        <w:t xml:space="preserve"> </w:t>
      </w:r>
      <w:r>
        <w:rPr>
          <w:spacing w:val="-9"/>
        </w:rPr>
        <w:t>后所规定的时</w:t>
      </w:r>
      <w:r>
        <w:rPr>
          <w:spacing w:val="-5"/>
        </w:rPr>
        <w:t>间内，能满足耐火完整性要求的防火门。</w:t>
      </w:r>
      <w:r>
        <w:t xml:space="preserve"> </w:t>
      </w:r>
    </w:p>
    <w:p w14:paraId="26A29C50" w14:textId="77777777" w:rsidR="00A71EEF" w:rsidRDefault="0081115D">
      <w:pPr>
        <w:pStyle w:val="a4"/>
        <w:numPr>
          <w:ilvl w:val="1"/>
          <w:numId w:val="560"/>
        </w:numPr>
        <w:tabs>
          <w:tab w:val="left" w:pos="1213"/>
        </w:tabs>
        <w:spacing w:line="446" w:lineRule="auto"/>
        <w:ind w:left="838" w:right="4969" w:firstLine="2"/>
        <w:rPr>
          <w:sz w:val="21"/>
        </w:rPr>
      </w:pPr>
      <w:r>
        <w:rPr>
          <w:spacing w:val="-3"/>
          <w:sz w:val="21"/>
        </w:rPr>
        <w:t>非隔热防火门</w:t>
      </w:r>
      <w:r>
        <w:rPr>
          <w:sz w:val="21"/>
        </w:rPr>
        <w:t>（</w:t>
      </w:r>
      <w:r>
        <w:rPr>
          <w:sz w:val="21"/>
        </w:rPr>
        <w:t>C</w:t>
      </w:r>
      <w:r>
        <w:rPr>
          <w:spacing w:val="-28"/>
          <w:sz w:val="21"/>
        </w:rPr>
        <w:t xml:space="preserve"> </w:t>
      </w:r>
      <w:r>
        <w:rPr>
          <w:spacing w:val="-28"/>
          <w:sz w:val="21"/>
        </w:rPr>
        <w:t>类</w:t>
      </w:r>
      <w:r>
        <w:rPr>
          <w:spacing w:val="-3"/>
          <w:sz w:val="21"/>
        </w:rPr>
        <w:t>）</w:t>
      </w:r>
      <w:r>
        <w:rPr>
          <w:spacing w:val="3"/>
          <w:sz w:val="21"/>
        </w:rPr>
        <w:t xml:space="preserve"> </w:t>
      </w:r>
      <w:r>
        <w:rPr>
          <w:sz w:val="21"/>
        </w:rPr>
        <w:t>no</w:t>
      </w:r>
      <w:r>
        <w:rPr>
          <w:spacing w:val="2"/>
          <w:sz w:val="21"/>
        </w:rPr>
        <w:t xml:space="preserve"> </w:t>
      </w:r>
      <w:r>
        <w:rPr>
          <w:sz w:val="21"/>
        </w:rPr>
        <w:t>insulated</w:t>
      </w:r>
      <w:r>
        <w:rPr>
          <w:spacing w:val="-1"/>
          <w:sz w:val="21"/>
        </w:rPr>
        <w:t xml:space="preserve"> </w:t>
      </w:r>
      <w:r>
        <w:rPr>
          <w:sz w:val="21"/>
        </w:rPr>
        <w:t xml:space="preserve">doorsets </w:t>
      </w:r>
      <w:r>
        <w:rPr>
          <w:spacing w:val="-3"/>
          <w:sz w:val="21"/>
        </w:rPr>
        <w:t>在规定时间内，能满足耐火完整性要求的防火门。</w:t>
      </w:r>
      <w:r>
        <w:rPr>
          <w:sz w:val="21"/>
        </w:rPr>
        <w:t xml:space="preserve"> </w:t>
      </w:r>
    </w:p>
    <w:p w14:paraId="4753793C" w14:textId="77777777" w:rsidR="00A71EEF" w:rsidRDefault="0081115D">
      <w:pPr>
        <w:pStyle w:val="4"/>
        <w:spacing w:line="277" w:lineRule="exact"/>
      </w:pPr>
      <w:r>
        <w:t xml:space="preserve">4 </w:t>
      </w:r>
      <w:r>
        <w:t>分类、代号与标记</w:t>
      </w:r>
      <w:r>
        <w:rPr>
          <w:w w:val="99"/>
        </w:rPr>
        <w:t xml:space="preserve"> </w:t>
      </w:r>
    </w:p>
    <w:p w14:paraId="685EDA45" w14:textId="77777777" w:rsidR="00A71EEF" w:rsidRDefault="00A71EEF">
      <w:pPr>
        <w:pStyle w:val="a3"/>
        <w:spacing w:before="2"/>
        <w:rPr>
          <w:b/>
          <w:sz w:val="17"/>
        </w:rPr>
      </w:pPr>
    </w:p>
    <w:p w14:paraId="19E8835A" w14:textId="77777777" w:rsidR="00A71EEF" w:rsidRDefault="0081115D">
      <w:pPr>
        <w:pStyle w:val="a4"/>
        <w:numPr>
          <w:ilvl w:val="1"/>
          <w:numId w:val="559"/>
        </w:numPr>
        <w:tabs>
          <w:tab w:val="left" w:pos="1160"/>
        </w:tabs>
        <w:rPr>
          <w:sz w:val="21"/>
        </w:rPr>
      </w:pPr>
      <w:r>
        <w:rPr>
          <w:spacing w:val="-3"/>
          <w:sz w:val="21"/>
        </w:rPr>
        <w:t>按材质分类及代号</w:t>
      </w:r>
      <w:r>
        <w:rPr>
          <w:sz w:val="21"/>
        </w:rPr>
        <w:t xml:space="preserve"> </w:t>
      </w:r>
    </w:p>
    <w:p w14:paraId="0803D7F5" w14:textId="77777777" w:rsidR="00A71EEF" w:rsidRDefault="00A71EEF">
      <w:pPr>
        <w:pStyle w:val="a3"/>
        <w:spacing w:before="2"/>
        <w:rPr>
          <w:sz w:val="18"/>
        </w:rPr>
      </w:pPr>
    </w:p>
    <w:p w14:paraId="168097B1" w14:textId="77777777" w:rsidR="00A71EEF" w:rsidRDefault="0081115D">
      <w:pPr>
        <w:pStyle w:val="a4"/>
        <w:numPr>
          <w:ilvl w:val="2"/>
          <w:numId w:val="559"/>
        </w:numPr>
        <w:tabs>
          <w:tab w:val="left" w:pos="1371"/>
        </w:tabs>
        <w:rPr>
          <w:b/>
          <w:sz w:val="21"/>
        </w:rPr>
      </w:pPr>
      <w:r>
        <w:rPr>
          <w:spacing w:val="-3"/>
          <w:sz w:val="21"/>
        </w:rPr>
        <w:t>木质防火门，代号</w:t>
      </w:r>
      <w:r>
        <w:rPr>
          <w:sz w:val="21"/>
        </w:rPr>
        <w:t>：</w:t>
      </w:r>
      <w:r>
        <w:rPr>
          <w:sz w:val="21"/>
        </w:rPr>
        <w:t>MFM</w:t>
      </w:r>
      <w:r>
        <w:rPr>
          <w:spacing w:val="-3"/>
          <w:sz w:val="21"/>
        </w:rPr>
        <w:t>。</w:t>
      </w:r>
      <w:r>
        <w:rPr>
          <w:b/>
          <w:w w:val="99"/>
          <w:sz w:val="21"/>
        </w:rPr>
        <w:t xml:space="preserve"> </w:t>
      </w:r>
    </w:p>
    <w:p w14:paraId="5E4811ED" w14:textId="77777777" w:rsidR="00A71EEF" w:rsidRDefault="00A71EEF">
      <w:pPr>
        <w:pStyle w:val="a3"/>
        <w:rPr>
          <w:b/>
          <w:sz w:val="18"/>
        </w:rPr>
      </w:pPr>
    </w:p>
    <w:p w14:paraId="0DE4ACE2" w14:textId="77777777" w:rsidR="00A71EEF" w:rsidRDefault="0081115D">
      <w:pPr>
        <w:pStyle w:val="a4"/>
        <w:numPr>
          <w:ilvl w:val="2"/>
          <w:numId w:val="559"/>
        </w:numPr>
        <w:tabs>
          <w:tab w:val="left" w:pos="1370"/>
        </w:tabs>
        <w:ind w:left="1369" w:hanging="530"/>
        <w:rPr>
          <w:b/>
          <w:sz w:val="21"/>
        </w:rPr>
      </w:pPr>
      <w:r>
        <w:rPr>
          <w:spacing w:val="-3"/>
          <w:sz w:val="21"/>
        </w:rPr>
        <w:t>钢质防火门，代号</w:t>
      </w:r>
      <w:r>
        <w:rPr>
          <w:sz w:val="21"/>
        </w:rPr>
        <w:t>：</w:t>
      </w:r>
      <w:r>
        <w:rPr>
          <w:sz w:val="21"/>
        </w:rPr>
        <w:t>GFM</w:t>
      </w:r>
      <w:r>
        <w:rPr>
          <w:spacing w:val="-3"/>
          <w:sz w:val="21"/>
        </w:rPr>
        <w:t>。</w:t>
      </w:r>
      <w:r>
        <w:rPr>
          <w:b/>
          <w:w w:val="99"/>
          <w:sz w:val="21"/>
        </w:rPr>
        <w:t xml:space="preserve"> </w:t>
      </w:r>
    </w:p>
    <w:p w14:paraId="18C91047" w14:textId="77777777" w:rsidR="00A71EEF" w:rsidRDefault="00A71EEF">
      <w:pPr>
        <w:pStyle w:val="a3"/>
        <w:spacing w:before="12"/>
        <w:rPr>
          <w:b/>
          <w:sz w:val="17"/>
        </w:rPr>
      </w:pPr>
    </w:p>
    <w:p w14:paraId="748233C7" w14:textId="77777777" w:rsidR="00A71EEF" w:rsidRDefault="0081115D">
      <w:pPr>
        <w:pStyle w:val="a4"/>
        <w:numPr>
          <w:ilvl w:val="2"/>
          <w:numId w:val="559"/>
        </w:numPr>
        <w:tabs>
          <w:tab w:val="left" w:pos="1370"/>
        </w:tabs>
        <w:ind w:left="1369" w:hanging="530"/>
        <w:rPr>
          <w:b/>
          <w:sz w:val="21"/>
        </w:rPr>
      </w:pPr>
      <w:r>
        <w:rPr>
          <w:spacing w:val="-3"/>
          <w:sz w:val="21"/>
        </w:rPr>
        <w:t>钢木质防火门，代号</w:t>
      </w:r>
      <w:r>
        <w:rPr>
          <w:sz w:val="21"/>
        </w:rPr>
        <w:t>：</w:t>
      </w:r>
      <w:r>
        <w:rPr>
          <w:sz w:val="21"/>
        </w:rPr>
        <w:t>GMFM</w:t>
      </w:r>
      <w:r>
        <w:rPr>
          <w:spacing w:val="-3"/>
          <w:sz w:val="21"/>
        </w:rPr>
        <w:t>。</w:t>
      </w:r>
      <w:r>
        <w:rPr>
          <w:b/>
          <w:w w:val="99"/>
          <w:sz w:val="21"/>
        </w:rPr>
        <w:t xml:space="preserve"> </w:t>
      </w:r>
    </w:p>
    <w:p w14:paraId="42095E24" w14:textId="77777777" w:rsidR="00A71EEF" w:rsidRDefault="00A71EEF">
      <w:pPr>
        <w:pStyle w:val="a3"/>
        <w:spacing w:before="2"/>
        <w:rPr>
          <w:b/>
          <w:sz w:val="18"/>
        </w:rPr>
      </w:pPr>
    </w:p>
    <w:p w14:paraId="7C6D66DD" w14:textId="77777777" w:rsidR="00A71EEF" w:rsidRDefault="0081115D">
      <w:pPr>
        <w:pStyle w:val="a4"/>
        <w:numPr>
          <w:ilvl w:val="2"/>
          <w:numId w:val="559"/>
        </w:numPr>
        <w:tabs>
          <w:tab w:val="left" w:pos="1370"/>
        </w:tabs>
        <w:ind w:left="1369" w:hanging="530"/>
        <w:rPr>
          <w:b/>
          <w:sz w:val="21"/>
        </w:rPr>
      </w:pPr>
      <w:r>
        <w:rPr>
          <w:spacing w:val="-3"/>
          <w:sz w:val="21"/>
        </w:rPr>
        <w:t>其他材质防火门，代号：</w:t>
      </w:r>
      <w:r>
        <w:rPr>
          <w:sz w:val="21"/>
        </w:rPr>
        <w:t>**FM</w:t>
      </w:r>
      <w:r>
        <w:rPr>
          <w:sz w:val="21"/>
        </w:rPr>
        <w:t>。（</w:t>
      </w:r>
      <w:r>
        <w:rPr>
          <w:sz w:val="21"/>
        </w:rPr>
        <w:t>**</w:t>
      </w:r>
      <w:r>
        <w:rPr>
          <w:spacing w:val="-3"/>
          <w:sz w:val="21"/>
        </w:rPr>
        <w:t>代表其他材质的具体表述大写拼音字母）</w:t>
      </w:r>
      <w:r>
        <w:rPr>
          <w:b/>
          <w:w w:val="99"/>
          <w:sz w:val="21"/>
        </w:rPr>
        <w:t xml:space="preserve"> </w:t>
      </w:r>
    </w:p>
    <w:p w14:paraId="0C1019AF" w14:textId="77777777" w:rsidR="00A71EEF" w:rsidRDefault="00A71EEF">
      <w:pPr>
        <w:pStyle w:val="a3"/>
        <w:rPr>
          <w:b/>
          <w:sz w:val="18"/>
        </w:rPr>
      </w:pPr>
    </w:p>
    <w:p w14:paraId="60B6098B" w14:textId="77777777" w:rsidR="00A71EEF" w:rsidRDefault="0081115D">
      <w:pPr>
        <w:pStyle w:val="a4"/>
        <w:numPr>
          <w:ilvl w:val="1"/>
          <w:numId w:val="559"/>
        </w:numPr>
        <w:tabs>
          <w:tab w:val="left" w:pos="1159"/>
        </w:tabs>
        <w:ind w:left="1158" w:hanging="319"/>
        <w:rPr>
          <w:sz w:val="21"/>
        </w:rPr>
      </w:pPr>
      <w:r>
        <w:rPr>
          <w:spacing w:val="-3"/>
          <w:sz w:val="21"/>
        </w:rPr>
        <w:t>按门扇数量分类及代号</w:t>
      </w:r>
      <w:r>
        <w:rPr>
          <w:spacing w:val="-3"/>
          <w:sz w:val="21"/>
        </w:rPr>
        <w:t xml:space="preserve"> </w:t>
      </w:r>
    </w:p>
    <w:p w14:paraId="4298F176" w14:textId="77777777" w:rsidR="00A71EEF" w:rsidRDefault="00A71EEF">
      <w:pPr>
        <w:pStyle w:val="a3"/>
        <w:spacing w:before="12"/>
        <w:rPr>
          <w:sz w:val="17"/>
        </w:rPr>
      </w:pPr>
    </w:p>
    <w:p w14:paraId="00741F27" w14:textId="77777777" w:rsidR="00A71EEF" w:rsidRDefault="0081115D">
      <w:pPr>
        <w:pStyle w:val="a4"/>
        <w:numPr>
          <w:ilvl w:val="2"/>
          <w:numId w:val="559"/>
        </w:numPr>
        <w:tabs>
          <w:tab w:val="left" w:pos="1371"/>
        </w:tabs>
        <w:rPr>
          <w:sz w:val="21"/>
        </w:rPr>
      </w:pPr>
      <w:r>
        <w:rPr>
          <w:spacing w:val="-7"/>
          <w:sz w:val="21"/>
        </w:rPr>
        <w:t>单扇防火门，代号为</w:t>
      </w:r>
      <w:r>
        <w:rPr>
          <w:spacing w:val="-7"/>
          <w:sz w:val="21"/>
        </w:rPr>
        <w:t xml:space="preserve"> </w:t>
      </w:r>
      <w:r>
        <w:rPr>
          <w:sz w:val="21"/>
        </w:rPr>
        <w:t>1</w:t>
      </w:r>
      <w:r>
        <w:rPr>
          <w:spacing w:val="-3"/>
          <w:sz w:val="21"/>
        </w:rPr>
        <w:t>。</w:t>
      </w:r>
      <w:r>
        <w:rPr>
          <w:sz w:val="21"/>
        </w:rPr>
        <w:t xml:space="preserve"> </w:t>
      </w:r>
    </w:p>
    <w:p w14:paraId="01DBC223" w14:textId="77777777" w:rsidR="00A71EEF" w:rsidRDefault="00A71EEF">
      <w:pPr>
        <w:pStyle w:val="a3"/>
        <w:spacing w:before="2"/>
        <w:rPr>
          <w:sz w:val="18"/>
        </w:rPr>
      </w:pPr>
    </w:p>
    <w:p w14:paraId="66B35736" w14:textId="77777777" w:rsidR="00A71EEF" w:rsidRDefault="0081115D">
      <w:pPr>
        <w:pStyle w:val="a4"/>
        <w:numPr>
          <w:ilvl w:val="2"/>
          <w:numId w:val="559"/>
        </w:numPr>
        <w:tabs>
          <w:tab w:val="left" w:pos="1371"/>
        </w:tabs>
        <w:rPr>
          <w:sz w:val="21"/>
        </w:rPr>
      </w:pPr>
      <w:r>
        <w:rPr>
          <w:spacing w:val="-7"/>
          <w:sz w:val="21"/>
        </w:rPr>
        <w:t>双扇防火门，代号为</w:t>
      </w:r>
      <w:r>
        <w:rPr>
          <w:spacing w:val="-7"/>
          <w:sz w:val="21"/>
        </w:rPr>
        <w:t xml:space="preserve"> </w:t>
      </w:r>
      <w:r>
        <w:rPr>
          <w:sz w:val="21"/>
        </w:rPr>
        <w:t>2</w:t>
      </w:r>
      <w:r>
        <w:rPr>
          <w:spacing w:val="-3"/>
          <w:sz w:val="21"/>
        </w:rPr>
        <w:t>。</w:t>
      </w:r>
      <w:r>
        <w:rPr>
          <w:sz w:val="21"/>
        </w:rPr>
        <w:t xml:space="preserve"> </w:t>
      </w:r>
    </w:p>
    <w:p w14:paraId="09259530" w14:textId="77777777" w:rsidR="00A71EEF" w:rsidRDefault="00A71EEF">
      <w:pPr>
        <w:pStyle w:val="a3"/>
        <w:rPr>
          <w:sz w:val="18"/>
        </w:rPr>
      </w:pPr>
    </w:p>
    <w:p w14:paraId="01D90026" w14:textId="77777777" w:rsidR="00A71EEF" w:rsidRDefault="0081115D">
      <w:pPr>
        <w:pStyle w:val="a4"/>
        <w:numPr>
          <w:ilvl w:val="2"/>
          <w:numId w:val="559"/>
        </w:numPr>
        <w:tabs>
          <w:tab w:val="left" w:pos="1370"/>
        </w:tabs>
        <w:ind w:left="1369" w:hanging="530"/>
        <w:rPr>
          <w:sz w:val="21"/>
        </w:rPr>
      </w:pPr>
      <w:r>
        <w:rPr>
          <w:spacing w:val="-3"/>
          <w:sz w:val="21"/>
        </w:rPr>
        <w:t>多扇防火门</w:t>
      </w:r>
      <w:r>
        <w:rPr>
          <w:sz w:val="21"/>
        </w:rPr>
        <w:t>（</w:t>
      </w:r>
      <w:r>
        <w:rPr>
          <w:spacing w:val="-3"/>
          <w:sz w:val="21"/>
        </w:rPr>
        <w:t>含有两个以上门扇的防火门</w:t>
      </w:r>
      <w:r>
        <w:rPr>
          <w:sz w:val="21"/>
        </w:rPr>
        <w:t>）</w:t>
      </w:r>
      <w:r>
        <w:rPr>
          <w:spacing w:val="-3"/>
          <w:sz w:val="21"/>
        </w:rPr>
        <w:t>，代号为门扇数量用数字表示。</w:t>
      </w:r>
      <w:r>
        <w:rPr>
          <w:spacing w:val="-3"/>
          <w:sz w:val="21"/>
        </w:rPr>
        <w:t xml:space="preserve"> </w:t>
      </w:r>
    </w:p>
    <w:p w14:paraId="7CE75DA2" w14:textId="77777777" w:rsidR="00A71EEF" w:rsidRDefault="00A71EEF">
      <w:pPr>
        <w:pStyle w:val="a3"/>
        <w:spacing w:before="12"/>
        <w:rPr>
          <w:sz w:val="17"/>
        </w:rPr>
      </w:pPr>
    </w:p>
    <w:p w14:paraId="53001A05" w14:textId="77777777" w:rsidR="00A71EEF" w:rsidRDefault="0081115D">
      <w:pPr>
        <w:pStyle w:val="a4"/>
        <w:numPr>
          <w:ilvl w:val="1"/>
          <w:numId w:val="559"/>
        </w:numPr>
        <w:tabs>
          <w:tab w:val="left" w:pos="1159"/>
        </w:tabs>
        <w:ind w:left="1158" w:hanging="319"/>
        <w:rPr>
          <w:sz w:val="21"/>
        </w:rPr>
      </w:pPr>
      <w:r>
        <w:rPr>
          <w:spacing w:val="-3"/>
          <w:sz w:val="21"/>
        </w:rPr>
        <w:t>按结构形式分类及代号</w:t>
      </w:r>
      <w:r>
        <w:rPr>
          <w:spacing w:val="-3"/>
          <w:sz w:val="21"/>
        </w:rPr>
        <w:t xml:space="preserve"> </w:t>
      </w:r>
    </w:p>
    <w:p w14:paraId="45F320A3" w14:textId="77777777" w:rsidR="00A71EEF" w:rsidRDefault="00A71EEF">
      <w:pPr>
        <w:pStyle w:val="a3"/>
        <w:spacing w:before="2"/>
        <w:rPr>
          <w:sz w:val="18"/>
        </w:rPr>
      </w:pPr>
    </w:p>
    <w:p w14:paraId="1B37D97F" w14:textId="77777777" w:rsidR="00A71EEF" w:rsidRDefault="0081115D">
      <w:pPr>
        <w:pStyle w:val="a4"/>
        <w:numPr>
          <w:ilvl w:val="2"/>
          <w:numId w:val="559"/>
        </w:numPr>
        <w:tabs>
          <w:tab w:val="left" w:pos="1370"/>
        </w:tabs>
        <w:ind w:left="1369" w:hanging="530"/>
        <w:rPr>
          <w:sz w:val="21"/>
        </w:rPr>
      </w:pPr>
      <w:r>
        <w:rPr>
          <w:spacing w:val="-6"/>
          <w:sz w:val="21"/>
        </w:rPr>
        <w:t>门扇上带防火玻璃的防火门，代号为</w:t>
      </w:r>
      <w:r>
        <w:rPr>
          <w:spacing w:val="-6"/>
          <w:sz w:val="21"/>
        </w:rPr>
        <w:t xml:space="preserve"> </w:t>
      </w:r>
      <w:r>
        <w:rPr>
          <w:spacing w:val="-3"/>
          <w:sz w:val="21"/>
        </w:rPr>
        <w:t>b</w:t>
      </w:r>
      <w:r>
        <w:rPr>
          <w:sz w:val="21"/>
        </w:rPr>
        <w:t>。</w:t>
      </w:r>
      <w:r>
        <w:rPr>
          <w:sz w:val="21"/>
        </w:rPr>
        <w:t xml:space="preserve"> </w:t>
      </w:r>
    </w:p>
    <w:p w14:paraId="489F8D2A" w14:textId="77777777" w:rsidR="00A71EEF" w:rsidRDefault="00A71EEF">
      <w:pPr>
        <w:pStyle w:val="a3"/>
        <w:rPr>
          <w:sz w:val="18"/>
        </w:rPr>
      </w:pPr>
    </w:p>
    <w:p w14:paraId="2BF76EA8" w14:textId="77777777" w:rsidR="00A71EEF" w:rsidRDefault="0081115D">
      <w:pPr>
        <w:pStyle w:val="a4"/>
        <w:numPr>
          <w:ilvl w:val="2"/>
          <w:numId w:val="559"/>
        </w:numPr>
        <w:tabs>
          <w:tab w:val="left" w:pos="1371"/>
        </w:tabs>
        <w:rPr>
          <w:sz w:val="21"/>
        </w:rPr>
      </w:pPr>
      <w:r>
        <w:rPr>
          <w:spacing w:val="-7"/>
          <w:sz w:val="21"/>
        </w:rPr>
        <w:t>防火门门框：门框双槽口代号为</w:t>
      </w:r>
      <w:r>
        <w:rPr>
          <w:spacing w:val="-7"/>
          <w:sz w:val="21"/>
        </w:rPr>
        <w:t xml:space="preserve"> </w:t>
      </w:r>
      <w:r>
        <w:rPr>
          <w:sz w:val="21"/>
        </w:rPr>
        <w:t>s</w:t>
      </w:r>
      <w:r>
        <w:rPr>
          <w:spacing w:val="-10"/>
          <w:sz w:val="21"/>
        </w:rPr>
        <w:t>，单槽口代号为</w:t>
      </w:r>
      <w:r>
        <w:rPr>
          <w:spacing w:val="-10"/>
          <w:sz w:val="21"/>
        </w:rPr>
        <w:t xml:space="preserve"> </w:t>
      </w:r>
      <w:r>
        <w:rPr>
          <w:sz w:val="21"/>
        </w:rPr>
        <w:t>d</w:t>
      </w:r>
      <w:r>
        <w:rPr>
          <w:spacing w:val="-3"/>
          <w:sz w:val="21"/>
        </w:rPr>
        <w:t>。</w:t>
      </w:r>
      <w:r>
        <w:rPr>
          <w:sz w:val="21"/>
        </w:rPr>
        <w:t xml:space="preserve"> </w:t>
      </w:r>
    </w:p>
    <w:p w14:paraId="4E5CFA2C" w14:textId="77777777" w:rsidR="00A71EEF" w:rsidRDefault="00A71EEF">
      <w:pPr>
        <w:pStyle w:val="a3"/>
        <w:spacing w:before="12"/>
        <w:rPr>
          <w:sz w:val="17"/>
        </w:rPr>
      </w:pPr>
    </w:p>
    <w:p w14:paraId="5FF64D56" w14:textId="77777777" w:rsidR="00A71EEF" w:rsidRDefault="0081115D">
      <w:pPr>
        <w:pStyle w:val="a4"/>
        <w:numPr>
          <w:ilvl w:val="2"/>
          <w:numId w:val="559"/>
        </w:numPr>
        <w:tabs>
          <w:tab w:val="left" w:pos="1371"/>
        </w:tabs>
        <w:rPr>
          <w:sz w:val="21"/>
        </w:rPr>
      </w:pPr>
      <w:r>
        <w:rPr>
          <w:spacing w:val="-8"/>
          <w:sz w:val="21"/>
        </w:rPr>
        <w:t>带亮窗防火门，代号为</w:t>
      </w:r>
      <w:r>
        <w:rPr>
          <w:spacing w:val="-8"/>
          <w:sz w:val="21"/>
        </w:rPr>
        <w:t xml:space="preserve"> </w:t>
      </w:r>
      <w:r>
        <w:rPr>
          <w:spacing w:val="-3"/>
          <w:sz w:val="21"/>
        </w:rPr>
        <w:t>l</w:t>
      </w:r>
      <w:r>
        <w:rPr>
          <w:spacing w:val="-3"/>
          <w:sz w:val="21"/>
        </w:rPr>
        <w:t>。</w:t>
      </w:r>
      <w:r>
        <w:rPr>
          <w:sz w:val="21"/>
        </w:rPr>
        <w:t xml:space="preserve"> </w:t>
      </w:r>
    </w:p>
    <w:p w14:paraId="0701D6E7" w14:textId="77777777" w:rsidR="00A71EEF" w:rsidRDefault="00A71EEF">
      <w:pPr>
        <w:pStyle w:val="a3"/>
        <w:spacing w:before="2"/>
        <w:rPr>
          <w:sz w:val="18"/>
        </w:rPr>
      </w:pPr>
    </w:p>
    <w:p w14:paraId="6C9E1CA7" w14:textId="77777777" w:rsidR="00A71EEF" w:rsidRDefault="0081115D">
      <w:pPr>
        <w:pStyle w:val="a4"/>
        <w:numPr>
          <w:ilvl w:val="2"/>
          <w:numId w:val="559"/>
        </w:numPr>
        <w:tabs>
          <w:tab w:val="left" w:pos="1371"/>
        </w:tabs>
        <w:rPr>
          <w:sz w:val="21"/>
        </w:rPr>
      </w:pPr>
      <w:r>
        <w:rPr>
          <w:spacing w:val="-7"/>
          <w:sz w:val="21"/>
        </w:rPr>
        <w:t>带玻璃带亮窗防火门，代号为</w:t>
      </w:r>
      <w:r>
        <w:rPr>
          <w:spacing w:val="-7"/>
          <w:sz w:val="21"/>
        </w:rPr>
        <w:t xml:space="preserve"> </w:t>
      </w:r>
      <w:r>
        <w:rPr>
          <w:sz w:val="21"/>
        </w:rPr>
        <w:t>bl</w:t>
      </w:r>
      <w:r>
        <w:rPr>
          <w:spacing w:val="-3"/>
          <w:sz w:val="21"/>
        </w:rPr>
        <w:t>。</w:t>
      </w:r>
      <w:r>
        <w:rPr>
          <w:sz w:val="21"/>
        </w:rPr>
        <w:t xml:space="preserve"> </w:t>
      </w:r>
    </w:p>
    <w:p w14:paraId="08BE307A" w14:textId="77777777" w:rsidR="00A71EEF" w:rsidRDefault="00A71EEF">
      <w:pPr>
        <w:pStyle w:val="a3"/>
        <w:rPr>
          <w:sz w:val="18"/>
        </w:rPr>
      </w:pPr>
    </w:p>
    <w:p w14:paraId="03566AE7" w14:textId="77777777" w:rsidR="00A71EEF" w:rsidRDefault="0081115D">
      <w:pPr>
        <w:pStyle w:val="a4"/>
        <w:numPr>
          <w:ilvl w:val="2"/>
          <w:numId w:val="559"/>
        </w:numPr>
        <w:tabs>
          <w:tab w:val="left" w:pos="1371"/>
        </w:tabs>
        <w:rPr>
          <w:sz w:val="21"/>
        </w:rPr>
      </w:pPr>
      <w:r>
        <w:rPr>
          <w:spacing w:val="-3"/>
          <w:sz w:val="21"/>
        </w:rPr>
        <w:t>无玻璃防火门，代号略。</w:t>
      </w:r>
      <w:r>
        <w:rPr>
          <w:sz w:val="21"/>
        </w:rPr>
        <w:t xml:space="preserve"> </w:t>
      </w:r>
    </w:p>
    <w:p w14:paraId="254FC456" w14:textId="77777777" w:rsidR="00A71EEF" w:rsidRDefault="00A71EEF">
      <w:pPr>
        <w:pStyle w:val="a3"/>
        <w:spacing w:before="12"/>
        <w:rPr>
          <w:sz w:val="17"/>
        </w:rPr>
      </w:pPr>
    </w:p>
    <w:p w14:paraId="002BD55D" w14:textId="77777777" w:rsidR="00A71EEF" w:rsidRDefault="0081115D">
      <w:pPr>
        <w:pStyle w:val="a4"/>
        <w:numPr>
          <w:ilvl w:val="1"/>
          <w:numId w:val="559"/>
        </w:numPr>
        <w:tabs>
          <w:tab w:val="left" w:pos="1160"/>
        </w:tabs>
        <w:rPr>
          <w:b/>
          <w:sz w:val="21"/>
        </w:rPr>
      </w:pPr>
      <w:r>
        <w:rPr>
          <w:spacing w:val="-3"/>
          <w:sz w:val="21"/>
        </w:rPr>
        <w:t>按耐火性能分类及代号</w:t>
      </w:r>
      <w:r>
        <w:rPr>
          <w:b/>
          <w:spacing w:val="-3"/>
          <w:w w:val="99"/>
          <w:sz w:val="21"/>
        </w:rPr>
        <w:t xml:space="preserve"> </w:t>
      </w:r>
    </w:p>
    <w:p w14:paraId="2CA4F427" w14:textId="77777777" w:rsidR="00A71EEF" w:rsidRDefault="00A71EEF">
      <w:pPr>
        <w:pStyle w:val="a3"/>
        <w:spacing w:before="2"/>
        <w:rPr>
          <w:b/>
          <w:sz w:val="18"/>
        </w:rPr>
      </w:pPr>
    </w:p>
    <w:p w14:paraId="4F374BD1" w14:textId="77777777" w:rsidR="00A71EEF" w:rsidRDefault="0081115D">
      <w:pPr>
        <w:pStyle w:val="a3"/>
        <w:ind w:left="838"/>
      </w:pPr>
      <w:r>
        <w:t>防火门按耐火性能的分类及代号见表</w:t>
      </w:r>
      <w:r>
        <w:t xml:space="preserve"> 1</w:t>
      </w:r>
      <w:r>
        <w:t>。</w:t>
      </w:r>
      <w:r>
        <w:t xml:space="preserve"> </w:t>
      </w:r>
    </w:p>
    <w:p w14:paraId="17647C60" w14:textId="77777777" w:rsidR="00A71EEF" w:rsidRDefault="00A71EEF">
      <w:pPr>
        <w:pStyle w:val="a3"/>
        <w:rPr>
          <w:sz w:val="20"/>
        </w:rPr>
      </w:pPr>
    </w:p>
    <w:p w14:paraId="0504347D" w14:textId="77777777" w:rsidR="00A71EEF" w:rsidRDefault="00A71EEF">
      <w:pPr>
        <w:pStyle w:val="a3"/>
        <w:rPr>
          <w:sz w:val="20"/>
        </w:rPr>
      </w:pPr>
    </w:p>
    <w:p w14:paraId="0D5E4913" w14:textId="77777777" w:rsidR="00A71EEF" w:rsidRDefault="00A71EEF">
      <w:pPr>
        <w:pStyle w:val="a3"/>
        <w:rPr>
          <w:sz w:val="20"/>
        </w:rPr>
      </w:pPr>
    </w:p>
    <w:p w14:paraId="75261113" w14:textId="77777777" w:rsidR="00A71EEF" w:rsidRDefault="00A71EEF">
      <w:pPr>
        <w:pStyle w:val="a3"/>
        <w:rPr>
          <w:sz w:val="20"/>
        </w:rPr>
      </w:pPr>
    </w:p>
    <w:p w14:paraId="506A086D" w14:textId="77777777" w:rsidR="00A71EEF" w:rsidRDefault="00A71EEF">
      <w:pPr>
        <w:pStyle w:val="a3"/>
        <w:rPr>
          <w:sz w:val="20"/>
        </w:rPr>
      </w:pPr>
    </w:p>
    <w:p w14:paraId="0ED227A0" w14:textId="77777777" w:rsidR="00A71EEF" w:rsidRDefault="00A71EEF">
      <w:pPr>
        <w:pStyle w:val="a3"/>
        <w:rPr>
          <w:sz w:val="20"/>
        </w:rPr>
      </w:pPr>
    </w:p>
    <w:p w14:paraId="2F46D96D" w14:textId="77777777" w:rsidR="00A71EEF" w:rsidRDefault="00A71EEF">
      <w:pPr>
        <w:pStyle w:val="a3"/>
        <w:rPr>
          <w:sz w:val="20"/>
        </w:rPr>
      </w:pPr>
    </w:p>
    <w:p w14:paraId="4C0FFC32" w14:textId="77777777" w:rsidR="00A71EEF" w:rsidRDefault="00A71EEF">
      <w:pPr>
        <w:pStyle w:val="a3"/>
        <w:rPr>
          <w:sz w:val="20"/>
        </w:rPr>
      </w:pPr>
    </w:p>
    <w:p w14:paraId="1C4ADC96" w14:textId="77777777" w:rsidR="00A71EEF" w:rsidRDefault="00A71EEF">
      <w:pPr>
        <w:pStyle w:val="a3"/>
        <w:rPr>
          <w:sz w:val="20"/>
        </w:rPr>
      </w:pPr>
    </w:p>
    <w:p w14:paraId="7EFD38D6" w14:textId="77777777" w:rsidR="00A71EEF" w:rsidRDefault="00A71EEF">
      <w:pPr>
        <w:pStyle w:val="a3"/>
        <w:spacing w:before="8"/>
        <w:rPr>
          <w:sz w:val="27"/>
        </w:rPr>
      </w:pPr>
    </w:p>
    <w:p w14:paraId="537A5B7C" w14:textId="77777777" w:rsidR="00A71EEF" w:rsidRDefault="0081115D">
      <w:pPr>
        <w:pStyle w:val="6"/>
        <w:spacing w:before="71"/>
        <w:ind w:right="490"/>
        <w:jc w:val="center"/>
      </w:pPr>
      <w:r>
        <w:rPr>
          <w:w w:val="99"/>
        </w:rPr>
        <w:t xml:space="preserve"> </w:t>
      </w:r>
    </w:p>
    <w:p w14:paraId="181473B3" w14:textId="77777777" w:rsidR="00A71EEF" w:rsidRDefault="00A71EEF">
      <w:pPr>
        <w:jc w:val="center"/>
        <w:sectPr w:rsidR="00A71EEF">
          <w:pgSz w:w="11910" w:h="16850"/>
          <w:pgMar w:top="1220" w:right="0" w:bottom="1420" w:left="1260" w:header="0" w:footer="1239" w:gutter="0"/>
          <w:cols w:space="720"/>
        </w:sectPr>
      </w:pPr>
    </w:p>
    <w:p w14:paraId="63A750B9" w14:textId="77777777" w:rsidR="00A71EEF" w:rsidRDefault="00A71EEF">
      <w:pPr>
        <w:pStyle w:val="a3"/>
        <w:rPr>
          <w:b/>
          <w:sz w:val="20"/>
        </w:rPr>
      </w:pPr>
    </w:p>
    <w:p w14:paraId="24D0B9FA" w14:textId="77777777" w:rsidR="00A71EEF" w:rsidRDefault="00A71EEF">
      <w:pPr>
        <w:pStyle w:val="a3"/>
        <w:rPr>
          <w:b/>
          <w:sz w:val="20"/>
        </w:rPr>
      </w:pPr>
    </w:p>
    <w:p w14:paraId="767B6D74" w14:textId="77777777" w:rsidR="00A71EEF" w:rsidRDefault="00A71EEF">
      <w:pPr>
        <w:pStyle w:val="a3"/>
        <w:rPr>
          <w:b/>
          <w:sz w:val="20"/>
        </w:rPr>
      </w:pPr>
    </w:p>
    <w:p w14:paraId="7822FFD6" w14:textId="77777777" w:rsidR="00A71EEF" w:rsidRDefault="00A71EEF">
      <w:pPr>
        <w:pStyle w:val="a3"/>
        <w:rPr>
          <w:b/>
          <w:sz w:val="20"/>
        </w:rPr>
      </w:pPr>
    </w:p>
    <w:p w14:paraId="71BDA8F4" w14:textId="77777777" w:rsidR="00A71EEF" w:rsidRDefault="00A71EEF">
      <w:pPr>
        <w:pStyle w:val="a3"/>
        <w:rPr>
          <w:b/>
          <w:sz w:val="20"/>
        </w:rPr>
      </w:pPr>
    </w:p>
    <w:p w14:paraId="14078E5B" w14:textId="77777777" w:rsidR="00A71EEF" w:rsidRDefault="00A71EEF">
      <w:pPr>
        <w:pStyle w:val="a3"/>
        <w:spacing w:before="6"/>
        <w:rPr>
          <w:b/>
          <w:sz w:val="24"/>
        </w:rPr>
      </w:pPr>
    </w:p>
    <w:p w14:paraId="00ECFA53" w14:textId="77777777" w:rsidR="00A71EEF" w:rsidRDefault="0081115D">
      <w:pPr>
        <w:spacing w:before="72"/>
        <w:ind w:right="492"/>
        <w:jc w:val="center"/>
        <w:rPr>
          <w:b/>
          <w:sz w:val="21"/>
        </w:rPr>
      </w:pPr>
      <w:r>
        <w:rPr>
          <w:b/>
          <w:sz w:val="21"/>
        </w:rPr>
        <w:t>表</w:t>
      </w:r>
      <w:r>
        <w:rPr>
          <w:b/>
          <w:sz w:val="21"/>
        </w:rPr>
        <w:t xml:space="preserve"> 1 </w:t>
      </w:r>
      <w:r>
        <w:rPr>
          <w:b/>
          <w:sz w:val="21"/>
        </w:rPr>
        <w:t>按耐火性能分类</w:t>
      </w:r>
      <w:r>
        <w:rPr>
          <w:b/>
          <w:w w:val="99"/>
          <w:sz w:val="21"/>
        </w:rPr>
        <w:t xml:space="preserve"> </w:t>
      </w:r>
    </w:p>
    <w:p w14:paraId="1E4BFDA6" w14:textId="77777777" w:rsidR="00A71EEF" w:rsidRDefault="0081115D">
      <w:pPr>
        <w:pStyle w:val="a3"/>
        <w:spacing w:before="4"/>
        <w:rPr>
          <w:b/>
          <w:sz w:val="15"/>
        </w:rPr>
      </w:pPr>
      <w:r>
        <w:rPr>
          <w:noProof/>
        </w:rPr>
        <w:drawing>
          <wp:anchor distT="0" distB="0" distL="0" distR="0" simplePos="0" relativeHeight="251589120" behindDoc="0" locked="0" layoutInCell="1" allowOverlap="1" wp14:anchorId="386B3729" wp14:editId="04300461">
            <wp:simplePos x="0" y="0"/>
            <wp:positionH relativeFrom="page">
              <wp:posOffset>1389380</wp:posOffset>
            </wp:positionH>
            <wp:positionV relativeFrom="paragraph">
              <wp:posOffset>149471</wp:posOffset>
            </wp:positionV>
            <wp:extent cx="4924912" cy="5229225"/>
            <wp:effectExtent l="0" t="0" r="0" b="0"/>
            <wp:wrapTopAndBottom/>
            <wp:docPr id="337" name="image2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205.jpeg"/>
                    <pic:cNvPicPr/>
                  </pic:nvPicPr>
                  <pic:blipFill>
                    <a:blip r:embed="rId244" cstate="print"/>
                    <a:stretch>
                      <a:fillRect/>
                    </a:stretch>
                  </pic:blipFill>
                  <pic:spPr>
                    <a:xfrm>
                      <a:off x="0" y="0"/>
                      <a:ext cx="4924912" cy="5229225"/>
                    </a:xfrm>
                    <a:prstGeom prst="rect">
                      <a:avLst/>
                    </a:prstGeom>
                  </pic:spPr>
                </pic:pic>
              </a:graphicData>
            </a:graphic>
          </wp:anchor>
        </w:drawing>
      </w:r>
    </w:p>
    <w:p w14:paraId="644E8552" w14:textId="77777777" w:rsidR="00A71EEF" w:rsidRDefault="00A71EEF">
      <w:pPr>
        <w:pStyle w:val="a3"/>
        <w:rPr>
          <w:b/>
          <w:sz w:val="20"/>
        </w:rPr>
      </w:pPr>
    </w:p>
    <w:p w14:paraId="335D9316" w14:textId="77777777" w:rsidR="00A71EEF" w:rsidRDefault="00A71EEF">
      <w:pPr>
        <w:pStyle w:val="a3"/>
        <w:rPr>
          <w:b/>
          <w:sz w:val="20"/>
        </w:rPr>
      </w:pPr>
    </w:p>
    <w:p w14:paraId="27E0918E" w14:textId="77777777" w:rsidR="00A71EEF" w:rsidRDefault="0081115D">
      <w:pPr>
        <w:pStyle w:val="a4"/>
        <w:numPr>
          <w:ilvl w:val="1"/>
          <w:numId w:val="559"/>
        </w:numPr>
        <w:tabs>
          <w:tab w:val="left" w:pos="1159"/>
        </w:tabs>
        <w:spacing w:before="148"/>
        <w:ind w:left="1158" w:hanging="319"/>
        <w:rPr>
          <w:sz w:val="21"/>
        </w:rPr>
      </w:pPr>
      <w:r>
        <w:rPr>
          <w:spacing w:val="-3"/>
          <w:sz w:val="21"/>
        </w:rPr>
        <w:t>其他代号、标记</w:t>
      </w:r>
      <w:r>
        <w:rPr>
          <w:sz w:val="21"/>
        </w:rPr>
        <w:t xml:space="preserve"> </w:t>
      </w:r>
    </w:p>
    <w:p w14:paraId="6D3CB0E7" w14:textId="77777777" w:rsidR="00A71EEF" w:rsidRDefault="00A71EEF">
      <w:pPr>
        <w:pStyle w:val="a3"/>
        <w:spacing w:before="12"/>
        <w:rPr>
          <w:sz w:val="17"/>
        </w:rPr>
      </w:pPr>
    </w:p>
    <w:p w14:paraId="4C5B7039" w14:textId="77777777" w:rsidR="00A71EEF" w:rsidRDefault="0081115D">
      <w:pPr>
        <w:pStyle w:val="a4"/>
        <w:numPr>
          <w:ilvl w:val="2"/>
          <w:numId w:val="559"/>
        </w:numPr>
        <w:tabs>
          <w:tab w:val="left" w:pos="1370"/>
        </w:tabs>
        <w:ind w:left="1369" w:hanging="530"/>
        <w:rPr>
          <w:b/>
          <w:sz w:val="21"/>
        </w:rPr>
      </w:pPr>
      <w:r>
        <w:rPr>
          <w:spacing w:val="-3"/>
          <w:sz w:val="21"/>
        </w:rPr>
        <w:t>其他代号</w:t>
      </w:r>
      <w:r>
        <w:rPr>
          <w:b/>
          <w:w w:val="99"/>
          <w:sz w:val="21"/>
        </w:rPr>
        <w:t xml:space="preserve"> </w:t>
      </w:r>
    </w:p>
    <w:p w14:paraId="6AED2088" w14:textId="77777777" w:rsidR="00A71EEF" w:rsidRDefault="00A71EEF">
      <w:pPr>
        <w:pStyle w:val="a3"/>
        <w:rPr>
          <w:b/>
          <w:sz w:val="18"/>
        </w:rPr>
      </w:pPr>
    </w:p>
    <w:p w14:paraId="2605FBD7" w14:textId="77777777" w:rsidR="00A71EEF" w:rsidRDefault="0081115D">
      <w:pPr>
        <w:pStyle w:val="a4"/>
        <w:numPr>
          <w:ilvl w:val="3"/>
          <w:numId w:val="559"/>
        </w:numPr>
        <w:tabs>
          <w:tab w:val="left" w:pos="1576"/>
        </w:tabs>
        <w:rPr>
          <w:sz w:val="21"/>
        </w:rPr>
      </w:pPr>
      <w:r>
        <w:rPr>
          <w:spacing w:val="-3"/>
          <w:sz w:val="21"/>
        </w:rPr>
        <w:t>下框代号</w:t>
      </w:r>
      <w:r>
        <w:rPr>
          <w:sz w:val="21"/>
        </w:rPr>
        <w:t xml:space="preserve"> </w:t>
      </w:r>
    </w:p>
    <w:p w14:paraId="4E9B3973" w14:textId="77777777" w:rsidR="00A71EEF" w:rsidRDefault="00A71EEF">
      <w:pPr>
        <w:pStyle w:val="a3"/>
        <w:spacing w:before="2"/>
        <w:rPr>
          <w:sz w:val="18"/>
        </w:rPr>
      </w:pPr>
    </w:p>
    <w:p w14:paraId="33F7E285" w14:textId="77777777" w:rsidR="00A71EEF" w:rsidRDefault="0081115D">
      <w:pPr>
        <w:pStyle w:val="a3"/>
        <w:spacing w:line="446" w:lineRule="auto"/>
        <w:ind w:left="838" w:right="6549"/>
      </w:pPr>
      <w:r>
        <w:rPr>
          <w:spacing w:val="-1"/>
        </w:rPr>
        <w:t>有下框的防火门代号为</w:t>
      </w:r>
      <w:r>
        <w:rPr>
          <w:spacing w:val="-1"/>
        </w:rPr>
        <w:t xml:space="preserve"> </w:t>
      </w:r>
      <w:r>
        <w:rPr>
          <w:spacing w:val="-3"/>
        </w:rPr>
        <w:t>k</w:t>
      </w:r>
      <w:r>
        <w:t>。</w:t>
      </w:r>
      <w:r>
        <w:t>4.5.1.2</w:t>
      </w:r>
      <w:r>
        <w:rPr>
          <w:spacing w:val="13"/>
        </w:rPr>
        <w:t xml:space="preserve"> </w:t>
      </w:r>
      <w:r>
        <w:rPr>
          <w:spacing w:val="-3"/>
        </w:rPr>
        <w:t>平开门门扇关闭方向代号</w:t>
      </w:r>
      <w:r>
        <w:t xml:space="preserve"> </w:t>
      </w:r>
    </w:p>
    <w:p w14:paraId="47B9D7D1" w14:textId="77777777" w:rsidR="00A71EEF" w:rsidRDefault="00A71EEF">
      <w:pPr>
        <w:spacing w:line="446" w:lineRule="auto"/>
        <w:sectPr w:rsidR="00A71EEF">
          <w:pgSz w:w="11910" w:h="16850"/>
          <w:pgMar w:top="1600" w:right="0" w:bottom="1420" w:left="1260" w:header="0" w:footer="1239" w:gutter="0"/>
          <w:cols w:space="720"/>
        </w:sectPr>
      </w:pPr>
    </w:p>
    <w:p w14:paraId="3F993C0D" w14:textId="77777777" w:rsidR="00A71EEF" w:rsidRDefault="0081115D">
      <w:pPr>
        <w:pStyle w:val="a3"/>
        <w:spacing w:before="47"/>
        <w:ind w:left="838"/>
      </w:pPr>
      <w:r>
        <w:t>平开门门扇关闭方向代号见表</w:t>
      </w:r>
      <w:r>
        <w:t xml:space="preserve"> 2</w:t>
      </w:r>
      <w:r>
        <w:t>。</w:t>
      </w:r>
      <w:r>
        <w:t xml:space="preserve"> </w:t>
      </w:r>
    </w:p>
    <w:p w14:paraId="74A1915E" w14:textId="77777777" w:rsidR="00A71EEF" w:rsidRDefault="00A71EEF">
      <w:pPr>
        <w:pStyle w:val="a3"/>
        <w:rPr>
          <w:sz w:val="20"/>
        </w:rPr>
      </w:pPr>
    </w:p>
    <w:p w14:paraId="7552AA66" w14:textId="77777777" w:rsidR="00A71EEF" w:rsidRDefault="00A71EEF">
      <w:pPr>
        <w:pStyle w:val="a3"/>
        <w:rPr>
          <w:sz w:val="20"/>
        </w:rPr>
      </w:pPr>
    </w:p>
    <w:p w14:paraId="7F5FF094" w14:textId="77777777" w:rsidR="00A71EEF" w:rsidRDefault="00A71EEF">
      <w:pPr>
        <w:pStyle w:val="a3"/>
        <w:rPr>
          <w:sz w:val="20"/>
        </w:rPr>
      </w:pPr>
    </w:p>
    <w:p w14:paraId="1E9D62C4" w14:textId="77777777" w:rsidR="00A71EEF" w:rsidRDefault="00A71EEF">
      <w:pPr>
        <w:pStyle w:val="a3"/>
        <w:rPr>
          <w:sz w:val="20"/>
        </w:rPr>
      </w:pPr>
    </w:p>
    <w:p w14:paraId="16E2BC91" w14:textId="77777777" w:rsidR="00A71EEF" w:rsidRDefault="00A71EEF">
      <w:pPr>
        <w:pStyle w:val="a3"/>
        <w:rPr>
          <w:sz w:val="20"/>
        </w:rPr>
      </w:pPr>
    </w:p>
    <w:p w14:paraId="1368C578" w14:textId="77777777" w:rsidR="00A71EEF" w:rsidRDefault="00A71EEF">
      <w:pPr>
        <w:pStyle w:val="a3"/>
        <w:rPr>
          <w:sz w:val="20"/>
        </w:rPr>
      </w:pPr>
    </w:p>
    <w:p w14:paraId="356C4850" w14:textId="77777777" w:rsidR="00A71EEF" w:rsidRDefault="00A71EEF">
      <w:pPr>
        <w:pStyle w:val="a3"/>
        <w:rPr>
          <w:sz w:val="20"/>
        </w:rPr>
      </w:pPr>
    </w:p>
    <w:p w14:paraId="161EF5FD" w14:textId="77777777" w:rsidR="00A71EEF" w:rsidRDefault="00A71EEF">
      <w:pPr>
        <w:pStyle w:val="a3"/>
        <w:rPr>
          <w:sz w:val="20"/>
        </w:rPr>
      </w:pPr>
    </w:p>
    <w:p w14:paraId="3CCFA4FB" w14:textId="77777777" w:rsidR="00A71EEF" w:rsidRDefault="00A71EEF">
      <w:pPr>
        <w:pStyle w:val="a3"/>
        <w:rPr>
          <w:sz w:val="20"/>
        </w:rPr>
      </w:pPr>
    </w:p>
    <w:p w14:paraId="04F90243" w14:textId="77777777" w:rsidR="00A71EEF" w:rsidRDefault="00A71EEF">
      <w:pPr>
        <w:pStyle w:val="a3"/>
        <w:spacing w:before="8"/>
        <w:rPr>
          <w:sz w:val="27"/>
        </w:rPr>
      </w:pPr>
    </w:p>
    <w:p w14:paraId="5FD865FB" w14:textId="77777777" w:rsidR="00A71EEF" w:rsidRDefault="0081115D">
      <w:pPr>
        <w:pStyle w:val="6"/>
        <w:spacing w:before="71"/>
        <w:ind w:right="490"/>
        <w:jc w:val="center"/>
      </w:pPr>
      <w:r>
        <w:t>表</w:t>
      </w:r>
      <w:r>
        <w:t xml:space="preserve"> 2 </w:t>
      </w:r>
      <w:r>
        <w:t>平开门门扇关闭方向代号</w:t>
      </w:r>
      <w:r>
        <w:rPr>
          <w:w w:val="99"/>
        </w:rPr>
        <w:t xml:space="preserve"> </w:t>
      </w:r>
    </w:p>
    <w:p w14:paraId="0BCD3D61" w14:textId="77777777" w:rsidR="00A71EEF" w:rsidRDefault="0081115D">
      <w:pPr>
        <w:pStyle w:val="a3"/>
        <w:spacing w:before="11"/>
        <w:rPr>
          <w:b/>
          <w:sz w:val="22"/>
        </w:rPr>
      </w:pPr>
      <w:r>
        <w:rPr>
          <w:noProof/>
        </w:rPr>
        <w:drawing>
          <wp:anchor distT="0" distB="0" distL="0" distR="0" simplePos="0" relativeHeight="251590144" behindDoc="0" locked="0" layoutInCell="1" allowOverlap="1" wp14:anchorId="4124A09B" wp14:editId="353229F5">
            <wp:simplePos x="0" y="0"/>
            <wp:positionH relativeFrom="page">
              <wp:posOffset>1330325</wp:posOffset>
            </wp:positionH>
            <wp:positionV relativeFrom="paragraph">
              <wp:posOffset>210748</wp:posOffset>
            </wp:positionV>
            <wp:extent cx="4405136" cy="3048000"/>
            <wp:effectExtent l="0" t="0" r="0" b="0"/>
            <wp:wrapTopAndBottom/>
            <wp:docPr id="339" name="image2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206.jpeg"/>
                    <pic:cNvPicPr/>
                  </pic:nvPicPr>
                  <pic:blipFill>
                    <a:blip r:embed="rId245" cstate="print"/>
                    <a:stretch>
                      <a:fillRect/>
                    </a:stretch>
                  </pic:blipFill>
                  <pic:spPr>
                    <a:xfrm>
                      <a:off x="0" y="0"/>
                      <a:ext cx="4405136" cy="3048000"/>
                    </a:xfrm>
                    <a:prstGeom prst="rect">
                      <a:avLst/>
                    </a:prstGeom>
                  </pic:spPr>
                </pic:pic>
              </a:graphicData>
            </a:graphic>
          </wp:anchor>
        </w:drawing>
      </w:r>
    </w:p>
    <w:p w14:paraId="5BB87AFE" w14:textId="77777777" w:rsidR="00A71EEF" w:rsidRDefault="00A71EEF">
      <w:pPr>
        <w:pStyle w:val="a3"/>
        <w:spacing w:before="4"/>
        <w:rPr>
          <w:b/>
          <w:sz w:val="16"/>
        </w:rPr>
      </w:pPr>
    </w:p>
    <w:p w14:paraId="4F534A6C" w14:textId="77777777" w:rsidR="00A71EEF" w:rsidRDefault="0081115D">
      <w:pPr>
        <w:pStyle w:val="a3"/>
        <w:spacing w:line="446" w:lineRule="auto"/>
        <w:ind w:left="840" w:right="3817" w:hanging="3"/>
        <w:rPr>
          <w:b/>
        </w:rPr>
      </w:pPr>
      <w:r>
        <w:t>注：双扇防火门关闭方向代号，以安装锁的门扇关闭方向表示。</w:t>
      </w:r>
      <w:r>
        <w:rPr>
          <w:b/>
        </w:rPr>
        <w:t xml:space="preserve">4.5.2 </w:t>
      </w:r>
      <w:r>
        <w:t>标记</w:t>
      </w:r>
      <w:r>
        <w:rPr>
          <w:b/>
          <w:w w:val="99"/>
        </w:rPr>
        <w:t xml:space="preserve"> </w:t>
      </w:r>
    </w:p>
    <w:p w14:paraId="495AFD81" w14:textId="77777777" w:rsidR="00A71EEF" w:rsidRDefault="0081115D">
      <w:pPr>
        <w:pStyle w:val="a3"/>
        <w:spacing w:before="1"/>
        <w:ind w:left="838"/>
      </w:pPr>
      <w:r>
        <w:t>防火门标记为：</w:t>
      </w:r>
      <w:r>
        <w:t xml:space="preserve"> </w:t>
      </w:r>
    </w:p>
    <w:p w14:paraId="42BC29C3" w14:textId="77777777" w:rsidR="00A71EEF" w:rsidRDefault="00A71EEF">
      <w:pPr>
        <w:sectPr w:rsidR="00A71EEF">
          <w:pgSz w:w="11910" w:h="16850"/>
          <w:pgMar w:top="1220" w:right="0" w:bottom="1420" w:left="1260" w:header="0" w:footer="1239" w:gutter="0"/>
          <w:cols w:space="720"/>
        </w:sectPr>
      </w:pPr>
    </w:p>
    <w:p w14:paraId="479AE6E5" w14:textId="77777777" w:rsidR="00A71EEF" w:rsidRDefault="0081115D">
      <w:pPr>
        <w:pStyle w:val="a3"/>
        <w:ind w:left="1078"/>
        <w:rPr>
          <w:sz w:val="20"/>
        </w:rPr>
      </w:pPr>
      <w:r>
        <w:rPr>
          <w:noProof/>
          <w:sz w:val="20"/>
        </w:rPr>
        <w:drawing>
          <wp:inline distT="0" distB="0" distL="0" distR="0" wp14:anchorId="60807910" wp14:editId="3BB14B95">
            <wp:extent cx="4345893" cy="2133600"/>
            <wp:effectExtent l="0" t="0" r="0" b="0"/>
            <wp:docPr id="341" name="image2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207.jpeg"/>
                    <pic:cNvPicPr/>
                  </pic:nvPicPr>
                  <pic:blipFill>
                    <a:blip r:embed="rId246" cstate="print"/>
                    <a:stretch>
                      <a:fillRect/>
                    </a:stretch>
                  </pic:blipFill>
                  <pic:spPr>
                    <a:xfrm>
                      <a:off x="0" y="0"/>
                      <a:ext cx="4345893" cy="2133600"/>
                    </a:xfrm>
                    <a:prstGeom prst="rect">
                      <a:avLst/>
                    </a:prstGeom>
                  </pic:spPr>
                </pic:pic>
              </a:graphicData>
            </a:graphic>
          </wp:inline>
        </w:drawing>
      </w:r>
    </w:p>
    <w:p w14:paraId="1C98BCDB" w14:textId="77777777" w:rsidR="00A71EEF" w:rsidRDefault="00A71EEF">
      <w:pPr>
        <w:pStyle w:val="a3"/>
        <w:rPr>
          <w:sz w:val="20"/>
        </w:rPr>
      </w:pPr>
    </w:p>
    <w:p w14:paraId="2A91D2FC" w14:textId="77777777" w:rsidR="00A71EEF" w:rsidRDefault="00A71EEF">
      <w:pPr>
        <w:pStyle w:val="a3"/>
        <w:rPr>
          <w:sz w:val="20"/>
        </w:rPr>
      </w:pPr>
    </w:p>
    <w:p w14:paraId="3757D494" w14:textId="77777777" w:rsidR="00A71EEF" w:rsidRDefault="00A71EEF">
      <w:pPr>
        <w:pStyle w:val="a3"/>
        <w:rPr>
          <w:sz w:val="29"/>
        </w:rPr>
      </w:pPr>
    </w:p>
    <w:p w14:paraId="3F831319" w14:textId="77777777" w:rsidR="00A71EEF" w:rsidRDefault="0081115D">
      <w:pPr>
        <w:pStyle w:val="a3"/>
        <w:spacing w:before="71" w:line="446" w:lineRule="auto"/>
        <w:ind w:left="418" w:right="1455" w:firstLine="419"/>
        <w:jc w:val="both"/>
      </w:pPr>
      <w:r>
        <w:rPr>
          <w:spacing w:val="-17"/>
        </w:rPr>
        <w:t>示例</w:t>
      </w:r>
      <w:r>
        <w:rPr>
          <w:spacing w:val="-17"/>
        </w:rPr>
        <w:t xml:space="preserve"> </w:t>
      </w:r>
      <w:r>
        <w:t>1</w:t>
      </w:r>
      <w:r>
        <w:t>：</w:t>
      </w:r>
      <w:r>
        <w:t>GFM-0924-bslk5 A1.50</w:t>
      </w:r>
      <w:r>
        <w:t>（</w:t>
      </w:r>
      <w:r>
        <w:rPr>
          <w:spacing w:val="-2"/>
        </w:rPr>
        <w:t>甲级</w:t>
      </w:r>
      <w:r>
        <w:t>）</w:t>
      </w:r>
      <w:r>
        <w:t>-1</w:t>
      </w:r>
      <w:r>
        <w:rPr>
          <w:spacing w:val="-3"/>
        </w:rPr>
        <w:t>。表示隔热</w:t>
      </w:r>
      <w:r>
        <w:t>（</w:t>
      </w:r>
      <w:r>
        <w:t>A</w:t>
      </w:r>
      <w:r>
        <w:rPr>
          <w:spacing w:val="-26"/>
        </w:rPr>
        <w:t xml:space="preserve"> </w:t>
      </w:r>
      <w:r>
        <w:rPr>
          <w:spacing w:val="-26"/>
        </w:rPr>
        <w:t>类</w:t>
      </w:r>
      <w:r>
        <w:rPr>
          <w:spacing w:val="-3"/>
        </w:rPr>
        <w:t>）钢质防火门，其洞口宽度为</w:t>
      </w:r>
      <w:r>
        <w:rPr>
          <w:spacing w:val="-3"/>
        </w:rPr>
        <w:t xml:space="preserve">900 </w:t>
      </w:r>
      <w:r>
        <w:t>mm</w:t>
      </w:r>
      <w:r>
        <w:rPr>
          <w:spacing w:val="-10"/>
        </w:rPr>
        <w:t>，洞口高度为</w:t>
      </w:r>
      <w:r>
        <w:rPr>
          <w:spacing w:val="-10"/>
        </w:rPr>
        <w:t xml:space="preserve"> </w:t>
      </w:r>
      <w:r>
        <w:t>2400 mm</w:t>
      </w:r>
      <w:r>
        <w:rPr>
          <w:spacing w:val="-3"/>
        </w:rPr>
        <w:t>，门扇镶玻璃、门框双槽口、带亮窗、有下框，门扇顺时针方向关</w:t>
      </w:r>
      <w:r>
        <w:rPr>
          <w:spacing w:val="-6"/>
        </w:rPr>
        <w:t>闭，耐火完整性和耐火隔热性的时间均不小于</w:t>
      </w:r>
      <w:r>
        <w:rPr>
          <w:spacing w:val="-6"/>
        </w:rPr>
        <w:t xml:space="preserve"> </w:t>
      </w:r>
      <w:r>
        <w:t>1.50 h</w:t>
      </w:r>
      <w:r>
        <w:rPr>
          <w:spacing w:val="-9"/>
        </w:rPr>
        <w:t xml:space="preserve"> </w:t>
      </w:r>
      <w:r>
        <w:rPr>
          <w:spacing w:val="-9"/>
        </w:rPr>
        <w:t>的甲级单扇防火门。</w:t>
      </w:r>
      <w:r>
        <w:t xml:space="preserve"> </w:t>
      </w:r>
    </w:p>
    <w:p w14:paraId="22807E0D" w14:textId="77777777" w:rsidR="00A71EEF" w:rsidRDefault="0081115D">
      <w:pPr>
        <w:pStyle w:val="a3"/>
        <w:spacing w:line="446" w:lineRule="auto"/>
        <w:ind w:left="418" w:right="1450" w:firstLine="419"/>
      </w:pPr>
      <w:r>
        <w:rPr>
          <w:spacing w:val="-17"/>
        </w:rPr>
        <w:t>示例</w:t>
      </w:r>
      <w:r>
        <w:rPr>
          <w:spacing w:val="-17"/>
        </w:rPr>
        <w:t xml:space="preserve"> </w:t>
      </w:r>
      <w:r>
        <w:t>2</w:t>
      </w:r>
      <w:r>
        <w:t>：</w:t>
      </w:r>
      <w:r>
        <w:t>MFM-1221-d6B1.00-2</w:t>
      </w:r>
      <w:r>
        <w:rPr>
          <w:spacing w:val="-3"/>
        </w:rPr>
        <w:t>。表示半隔热</w:t>
      </w:r>
      <w:r>
        <w:t>（</w:t>
      </w:r>
      <w:r>
        <w:t>B</w:t>
      </w:r>
      <w:r>
        <w:rPr>
          <w:spacing w:val="-27"/>
        </w:rPr>
        <w:t xml:space="preserve"> </w:t>
      </w:r>
      <w:r>
        <w:rPr>
          <w:spacing w:val="-27"/>
        </w:rPr>
        <w:t>类</w:t>
      </w:r>
      <w:r>
        <w:rPr>
          <w:spacing w:val="-3"/>
        </w:rPr>
        <w:t>）</w:t>
      </w:r>
      <w:r>
        <w:rPr>
          <w:spacing w:val="-7"/>
        </w:rPr>
        <w:t>木质防火门，其洞口宽度为</w:t>
      </w:r>
      <w:r>
        <w:rPr>
          <w:spacing w:val="-7"/>
        </w:rPr>
        <w:t xml:space="preserve"> </w:t>
      </w:r>
      <w:r>
        <w:t>1200 mm</w:t>
      </w:r>
      <w:r>
        <w:t>，</w:t>
      </w:r>
      <w:r>
        <w:t xml:space="preserve"> </w:t>
      </w:r>
      <w:r>
        <w:rPr>
          <w:spacing w:val="-9"/>
        </w:rPr>
        <w:t>洞口高度为</w:t>
      </w:r>
      <w:r>
        <w:rPr>
          <w:spacing w:val="-9"/>
        </w:rPr>
        <w:t xml:space="preserve"> </w:t>
      </w:r>
      <w:r>
        <w:t>2100 mm</w:t>
      </w:r>
      <w:r>
        <w:rPr>
          <w:spacing w:val="-3"/>
        </w:rPr>
        <w:t>，门扇无玻璃、门框单槽口、无亮窗、无下框门扇逆时针方向关闭，其耐火</w:t>
      </w:r>
      <w:r>
        <w:rPr>
          <w:spacing w:val="-8"/>
        </w:rPr>
        <w:t>完整性的时间不小于</w:t>
      </w:r>
      <w:r>
        <w:rPr>
          <w:spacing w:val="-8"/>
        </w:rPr>
        <w:t xml:space="preserve"> </w:t>
      </w:r>
      <w:r>
        <w:t>1.00 h</w:t>
      </w:r>
      <w:r>
        <w:rPr>
          <w:spacing w:val="-7"/>
        </w:rPr>
        <w:t>、耐火隔热性的时间不小于</w:t>
      </w:r>
      <w:r>
        <w:rPr>
          <w:spacing w:val="-7"/>
        </w:rPr>
        <w:t xml:space="preserve"> </w:t>
      </w:r>
      <w:r>
        <w:t>0.50 h</w:t>
      </w:r>
      <w:r>
        <w:rPr>
          <w:spacing w:val="-9"/>
        </w:rPr>
        <w:t xml:space="preserve"> </w:t>
      </w:r>
      <w:r>
        <w:rPr>
          <w:spacing w:val="-9"/>
        </w:rPr>
        <w:t>的双扇防火门。</w:t>
      </w:r>
      <w:r>
        <w:rPr>
          <w:spacing w:val="-9"/>
        </w:rPr>
        <w:t xml:space="preserve"> </w:t>
      </w:r>
    </w:p>
    <w:p w14:paraId="367075A4" w14:textId="77777777" w:rsidR="00A71EEF" w:rsidRDefault="0081115D">
      <w:pPr>
        <w:spacing w:line="268" w:lineRule="exact"/>
        <w:ind w:left="840"/>
        <w:rPr>
          <w:b/>
          <w:sz w:val="21"/>
        </w:rPr>
      </w:pPr>
      <w:r>
        <w:rPr>
          <w:b/>
          <w:sz w:val="21"/>
        </w:rPr>
        <w:t xml:space="preserve">4.5.3 </w:t>
      </w:r>
      <w:r>
        <w:rPr>
          <w:sz w:val="21"/>
        </w:rPr>
        <w:t>规格</w:t>
      </w:r>
      <w:r>
        <w:rPr>
          <w:b/>
          <w:w w:val="99"/>
          <w:sz w:val="21"/>
        </w:rPr>
        <w:t xml:space="preserve"> </w:t>
      </w:r>
    </w:p>
    <w:p w14:paraId="135DE1E8" w14:textId="77777777" w:rsidR="00A71EEF" w:rsidRDefault="00A71EEF">
      <w:pPr>
        <w:pStyle w:val="a3"/>
        <w:spacing w:before="11"/>
        <w:rPr>
          <w:b/>
          <w:sz w:val="17"/>
        </w:rPr>
      </w:pPr>
    </w:p>
    <w:p w14:paraId="13B04625" w14:textId="77777777" w:rsidR="00A71EEF" w:rsidRDefault="0081115D">
      <w:pPr>
        <w:pStyle w:val="a3"/>
        <w:spacing w:line="446" w:lineRule="auto"/>
        <w:ind w:left="418" w:right="1611" w:firstLine="419"/>
      </w:pPr>
      <w:r>
        <w:rPr>
          <w:spacing w:val="-5"/>
        </w:rPr>
        <w:t>防火门规格用洞口尺寸表示，洞口尺寸应符合</w:t>
      </w:r>
      <w:r>
        <w:rPr>
          <w:spacing w:val="-5"/>
        </w:rPr>
        <w:t xml:space="preserve"> </w:t>
      </w:r>
      <w:r>
        <w:t>GB/T 5824</w:t>
      </w:r>
      <w:r>
        <w:rPr>
          <w:spacing w:val="-8"/>
        </w:rPr>
        <w:t xml:space="preserve"> </w:t>
      </w:r>
      <w:r>
        <w:rPr>
          <w:spacing w:val="-8"/>
        </w:rPr>
        <w:t>的相关规定，特殊洞口尺寸可由</w:t>
      </w:r>
      <w:r>
        <w:rPr>
          <w:spacing w:val="-5"/>
        </w:rPr>
        <w:t>生产厂方和使用方按需要协商确定。</w:t>
      </w:r>
      <w:r>
        <w:t xml:space="preserve"> </w:t>
      </w:r>
    </w:p>
    <w:p w14:paraId="6C7FAA24" w14:textId="77777777" w:rsidR="00A71EEF" w:rsidRDefault="0081115D">
      <w:pPr>
        <w:pStyle w:val="4"/>
        <w:spacing w:line="277" w:lineRule="exact"/>
      </w:pPr>
      <w:r>
        <w:t xml:space="preserve">5 </w:t>
      </w:r>
      <w:r>
        <w:t>要求</w:t>
      </w:r>
      <w:r>
        <w:rPr>
          <w:w w:val="99"/>
        </w:rPr>
        <w:t xml:space="preserve"> </w:t>
      </w:r>
    </w:p>
    <w:p w14:paraId="78AF29D3" w14:textId="77777777" w:rsidR="00A71EEF" w:rsidRDefault="00A71EEF">
      <w:pPr>
        <w:pStyle w:val="a3"/>
        <w:spacing w:before="5"/>
        <w:rPr>
          <w:b/>
          <w:sz w:val="17"/>
        </w:rPr>
      </w:pPr>
    </w:p>
    <w:p w14:paraId="72E48281" w14:textId="77777777" w:rsidR="00A71EEF" w:rsidRDefault="0081115D">
      <w:pPr>
        <w:ind w:left="840"/>
        <w:rPr>
          <w:b/>
          <w:sz w:val="21"/>
        </w:rPr>
      </w:pPr>
      <w:r>
        <w:rPr>
          <w:b/>
          <w:sz w:val="21"/>
        </w:rPr>
        <w:t xml:space="preserve">5.1 </w:t>
      </w:r>
      <w:r>
        <w:rPr>
          <w:sz w:val="21"/>
        </w:rPr>
        <w:t>一般要求</w:t>
      </w:r>
      <w:r>
        <w:rPr>
          <w:b/>
          <w:w w:val="99"/>
          <w:sz w:val="21"/>
        </w:rPr>
        <w:t xml:space="preserve"> </w:t>
      </w:r>
    </w:p>
    <w:p w14:paraId="436F7CA2" w14:textId="77777777" w:rsidR="00A71EEF" w:rsidRDefault="00A71EEF">
      <w:pPr>
        <w:pStyle w:val="a3"/>
        <w:spacing w:before="2"/>
        <w:rPr>
          <w:b/>
          <w:sz w:val="18"/>
        </w:rPr>
      </w:pPr>
    </w:p>
    <w:p w14:paraId="270D30BD" w14:textId="77777777" w:rsidR="00A71EEF" w:rsidRDefault="0081115D">
      <w:pPr>
        <w:pStyle w:val="a3"/>
        <w:spacing w:line="446" w:lineRule="auto"/>
        <w:ind w:left="840" w:right="3186" w:hanging="3"/>
      </w:pPr>
      <w:r>
        <w:t>防火门应符合本标准要求，并按规定程序批准的图样及技术文件制造。</w:t>
      </w:r>
      <w:r>
        <w:rPr>
          <w:b/>
        </w:rPr>
        <w:t xml:space="preserve">5.2 </w:t>
      </w:r>
      <w:r>
        <w:t>材料</w:t>
      </w:r>
      <w:r>
        <w:t xml:space="preserve"> </w:t>
      </w:r>
    </w:p>
    <w:p w14:paraId="40138CFD" w14:textId="77777777" w:rsidR="00A71EEF" w:rsidRDefault="0081115D">
      <w:pPr>
        <w:pStyle w:val="a4"/>
        <w:numPr>
          <w:ilvl w:val="2"/>
          <w:numId w:val="558"/>
        </w:numPr>
        <w:tabs>
          <w:tab w:val="left" w:pos="1371"/>
        </w:tabs>
        <w:spacing w:line="267" w:lineRule="exact"/>
        <w:rPr>
          <w:b/>
          <w:sz w:val="21"/>
        </w:rPr>
      </w:pPr>
      <w:r>
        <w:rPr>
          <w:spacing w:val="-2"/>
          <w:sz w:val="21"/>
        </w:rPr>
        <w:t>填充材料</w:t>
      </w:r>
      <w:r>
        <w:rPr>
          <w:b/>
          <w:w w:val="99"/>
          <w:sz w:val="21"/>
        </w:rPr>
        <w:t xml:space="preserve"> </w:t>
      </w:r>
    </w:p>
    <w:p w14:paraId="4914A6F1" w14:textId="77777777" w:rsidR="00A71EEF" w:rsidRDefault="00A71EEF">
      <w:pPr>
        <w:pStyle w:val="a3"/>
        <w:spacing w:before="2"/>
        <w:rPr>
          <w:b/>
          <w:sz w:val="18"/>
        </w:rPr>
      </w:pPr>
    </w:p>
    <w:p w14:paraId="38554E02" w14:textId="77777777" w:rsidR="00A71EEF" w:rsidRDefault="0081115D">
      <w:pPr>
        <w:pStyle w:val="a4"/>
        <w:numPr>
          <w:ilvl w:val="3"/>
          <w:numId w:val="558"/>
        </w:numPr>
        <w:tabs>
          <w:tab w:val="left" w:pos="1576"/>
        </w:tabs>
        <w:rPr>
          <w:sz w:val="21"/>
        </w:rPr>
      </w:pPr>
      <w:r>
        <w:rPr>
          <w:spacing w:val="-3"/>
          <w:sz w:val="21"/>
        </w:rPr>
        <w:t>防火门的门扇内若填充材料，则应填充对人体无毒无害的防火隔热材料。</w:t>
      </w:r>
      <w:r>
        <w:rPr>
          <w:spacing w:val="-3"/>
          <w:sz w:val="21"/>
        </w:rPr>
        <w:t xml:space="preserve"> </w:t>
      </w:r>
    </w:p>
    <w:p w14:paraId="3B9E7021" w14:textId="77777777" w:rsidR="00A71EEF" w:rsidRDefault="00A71EEF">
      <w:pPr>
        <w:pStyle w:val="a3"/>
        <w:spacing w:before="12"/>
        <w:rPr>
          <w:sz w:val="17"/>
        </w:rPr>
      </w:pPr>
    </w:p>
    <w:p w14:paraId="48406DD1" w14:textId="77777777" w:rsidR="00A71EEF" w:rsidRDefault="0081115D">
      <w:pPr>
        <w:pStyle w:val="a4"/>
        <w:numPr>
          <w:ilvl w:val="3"/>
          <w:numId w:val="558"/>
        </w:numPr>
        <w:tabs>
          <w:tab w:val="left" w:pos="1576"/>
        </w:tabs>
        <w:spacing w:line="446" w:lineRule="auto"/>
        <w:ind w:left="418" w:right="1609" w:firstLine="419"/>
        <w:rPr>
          <w:sz w:val="21"/>
        </w:rPr>
      </w:pPr>
      <w:r>
        <w:rPr>
          <w:spacing w:val="-3"/>
          <w:sz w:val="21"/>
        </w:rPr>
        <w:t>防火门门扇填充的对人体无毒无害的防火隔热材料，应经国家认可授权检测机构</w:t>
      </w:r>
      <w:r>
        <w:rPr>
          <w:spacing w:val="-13"/>
          <w:position w:val="1"/>
          <w:sz w:val="21"/>
        </w:rPr>
        <w:t>检验达到</w:t>
      </w:r>
      <w:r>
        <w:rPr>
          <w:spacing w:val="-13"/>
          <w:position w:val="1"/>
          <w:sz w:val="21"/>
        </w:rPr>
        <w:t xml:space="preserve"> </w:t>
      </w:r>
      <w:r>
        <w:rPr>
          <w:position w:val="1"/>
          <w:sz w:val="21"/>
        </w:rPr>
        <w:t>GB</w:t>
      </w:r>
      <w:r>
        <w:rPr>
          <w:spacing w:val="5"/>
          <w:position w:val="1"/>
          <w:sz w:val="21"/>
        </w:rPr>
        <w:t xml:space="preserve"> </w:t>
      </w:r>
      <w:r>
        <w:rPr>
          <w:position w:val="1"/>
          <w:sz w:val="21"/>
        </w:rPr>
        <w:t>8624—2006</w:t>
      </w:r>
      <w:r>
        <w:rPr>
          <w:spacing w:val="-16"/>
          <w:position w:val="1"/>
          <w:sz w:val="21"/>
        </w:rPr>
        <w:t xml:space="preserve"> </w:t>
      </w:r>
      <w:r>
        <w:rPr>
          <w:spacing w:val="-16"/>
          <w:position w:val="1"/>
          <w:sz w:val="21"/>
        </w:rPr>
        <w:t>规定燃烧性能</w:t>
      </w:r>
      <w:r>
        <w:rPr>
          <w:spacing w:val="-16"/>
          <w:position w:val="1"/>
          <w:sz w:val="21"/>
        </w:rPr>
        <w:t xml:space="preserve"> </w:t>
      </w:r>
      <w:r>
        <w:rPr>
          <w:position w:val="1"/>
          <w:sz w:val="21"/>
        </w:rPr>
        <w:t>A</w:t>
      </w:r>
      <w:r>
        <w:rPr>
          <w:sz w:val="11"/>
        </w:rPr>
        <w:t>1</w:t>
      </w:r>
      <w:r>
        <w:rPr>
          <w:spacing w:val="-28"/>
          <w:sz w:val="11"/>
        </w:rPr>
        <w:t xml:space="preserve"> </w:t>
      </w:r>
      <w:r>
        <w:rPr>
          <w:spacing w:val="-13"/>
          <w:position w:val="1"/>
          <w:sz w:val="21"/>
        </w:rPr>
        <w:t>级要求和</w:t>
      </w:r>
      <w:r>
        <w:rPr>
          <w:spacing w:val="-13"/>
          <w:position w:val="1"/>
          <w:sz w:val="21"/>
        </w:rPr>
        <w:t xml:space="preserve"> </w:t>
      </w:r>
      <w:r>
        <w:rPr>
          <w:position w:val="1"/>
          <w:sz w:val="21"/>
        </w:rPr>
        <w:t>GB/T</w:t>
      </w:r>
      <w:r>
        <w:rPr>
          <w:spacing w:val="6"/>
          <w:position w:val="1"/>
          <w:sz w:val="21"/>
        </w:rPr>
        <w:t xml:space="preserve"> </w:t>
      </w:r>
      <w:r>
        <w:rPr>
          <w:position w:val="1"/>
          <w:sz w:val="21"/>
        </w:rPr>
        <w:t>20285—2006</w:t>
      </w:r>
      <w:r>
        <w:rPr>
          <w:spacing w:val="-8"/>
          <w:position w:val="1"/>
          <w:sz w:val="21"/>
        </w:rPr>
        <w:t xml:space="preserve"> </w:t>
      </w:r>
      <w:r>
        <w:rPr>
          <w:spacing w:val="-8"/>
          <w:position w:val="1"/>
          <w:sz w:val="21"/>
        </w:rPr>
        <w:t>规定产烟毒性危险分级</w:t>
      </w:r>
      <w:r>
        <w:rPr>
          <w:spacing w:val="-8"/>
          <w:position w:val="1"/>
          <w:sz w:val="21"/>
        </w:rPr>
        <w:t>ZA</w:t>
      </w:r>
      <w:r>
        <w:rPr>
          <w:spacing w:val="-8"/>
          <w:sz w:val="11"/>
        </w:rPr>
        <w:t>2</w:t>
      </w:r>
      <w:r>
        <w:rPr>
          <w:spacing w:val="-29"/>
          <w:sz w:val="11"/>
        </w:rPr>
        <w:t xml:space="preserve"> </w:t>
      </w:r>
      <w:r>
        <w:rPr>
          <w:spacing w:val="-3"/>
          <w:position w:val="1"/>
          <w:sz w:val="21"/>
        </w:rPr>
        <w:t>级要求。</w:t>
      </w:r>
      <w:r>
        <w:rPr>
          <w:position w:val="1"/>
          <w:sz w:val="21"/>
        </w:rPr>
        <w:t xml:space="preserve"> </w:t>
      </w:r>
    </w:p>
    <w:p w14:paraId="6AC1BDDE" w14:textId="77777777" w:rsidR="00A71EEF" w:rsidRDefault="0081115D">
      <w:pPr>
        <w:pStyle w:val="a4"/>
        <w:numPr>
          <w:ilvl w:val="2"/>
          <w:numId w:val="558"/>
        </w:numPr>
        <w:tabs>
          <w:tab w:val="left" w:pos="1370"/>
        </w:tabs>
        <w:spacing w:line="268" w:lineRule="exact"/>
        <w:ind w:left="1369" w:hanging="530"/>
        <w:rPr>
          <w:b/>
          <w:sz w:val="21"/>
        </w:rPr>
      </w:pPr>
      <w:r>
        <w:rPr>
          <w:spacing w:val="-3"/>
          <w:sz w:val="21"/>
        </w:rPr>
        <w:t>木材</w:t>
      </w:r>
      <w:r>
        <w:rPr>
          <w:b/>
          <w:w w:val="99"/>
          <w:sz w:val="21"/>
        </w:rPr>
        <w:t xml:space="preserve"> </w:t>
      </w:r>
    </w:p>
    <w:p w14:paraId="259DF0C6" w14:textId="77777777" w:rsidR="00A71EEF" w:rsidRDefault="00A71EEF">
      <w:pPr>
        <w:spacing w:line="268" w:lineRule="exact"/>
        <w:rPr>
          <w:sz w:val="21"/>
        </w:rPr>
        <w:sectPr w:rsidR="00A71EEF">
          <w:pgSz w:w="11910" w:h="16850"/>
          <w:pgMar w:top="1520" w:right="0" w:bottom="1420" w:left="1260" w:header="0" w:footer="1239" w:gutter="0"/>
          <w:cols w:space="720"/>
        </w:sectPr>
      </w:pPr>
    </w:p>
    <w:p w14:paraId="372AB0D3" w14:textId="77777777" w:rsidR="00A71EEF" w:rsidRDefault="0081115D">
      <w:pPr>
        <w:pStyle w:val="a4"/>
        <w:numPr>
          <w:ilvl w:val="3"/>
          <w:numId w:val="558"/>
        </w:numPr>
        <w:tabs>
          <w:tab w:val="left" w:pos="1576"/>
        </w:tabs>
        <w:spacing w:before="47" w:line="446" w:lineRule="auto"/>
        <w:ind w:left="418" w:right="1503" w:firstLine="419"/>
        <w:rPr>
          <w:sz w:val="21"/>
        </w:rPr>
      </w:pPr>
      <w:r>
        <w:rPr>
          <w:spacing w:val="-8"/>
          <w:sz w:val="21"/>
        </w:rPr>
        <w:t>防火门所用木材应符合</w:t>
      </w:r>
      <w:r>
        <w:rPr>
          <w:spacing w:val="-8"/>
          <w:sz w:val="21"/>
        </w:rPr>
        <w:t xml:space="preserve"> </w:t>
      </w:r>
      <w:r>
        <w:rPr>
          <w:sz w:val="21"/>
        </w:rPr>
        <w:t>JG/T</w:t>
      </w:r>
      <w:r>
        <w:rPr>
          <w:spacing w:val="6"/>
          <w:sz w:val="21"/>
        </w:rPr>
        <w:t xml:space="preserve"> </w:t>
      </w:r>
      <w:r>
        <w:rPr>
          <w:sz w:val="21"/>
        </w:rPr>
        <w:t>122—2000</w:t>
      </w:r>
      <w:r>
        <w:rPr>
          <w:spacing w:val="-34"/>
          <w:sz w:val="21"/>
        </w:rPr>
        <w:t xml:space="preserve"> </w:t>
      </w:r>
      <w:r>
        <w:rPr>
          <w:spacing w:val="-34"/>
          <w:sz w:val="21"/>
        </w:rPr>
        <w:t>第</w:t>
      </w:r>
      <w:r>
        <w:rPr>
          <w:spacing w:val="-34"/>
          <w:sz w:val="21"/>
        </w:rPr>
        <w:t xml:space="preserve"> </w:t>
      </w:r>
      <w:r>
        <w:rPr>
          <w:sz w:val="21"/>
        </w:rPr>
        <w:t>5.1.1.1</w:t>
      </w:r>
      <w:r>
        <w:rPr>
          <w:spacing w:val="-12"/>
          <w:sz w:val="21"/>
        </w:rPr>
        <w:t xml:space="preserve"> </w:t>
      </w:r>
      <w:r>
        <w:rPr>
          <w:spacing w:val="-12"/>
          <w:sz w:val="21"/>
        </w:rPr>
        <w:t>条中对</w:t>
      </w:r>
      <w:r>
        <w:rPr>
          <w:spacing w:val="-12"/>
          <w:sz w:val="21"/>
        </w:rPr>
        <w:t>Ⅱ</w:t>
      </w:r>
      <w:r>
        <w:rPr>
          <w:sz w:val="21"/>
        </w:rPr>
        <w:t>（</w:t>
      </w:r>
      <w:r>
        <w:rPr>
          <w:spacing w:val="-3"/>
          <w:sz w:val="21"/>
        </w:rPr>
        <w:t>中</w:t>
      </w:r>
      <w:r>
        <w:rPr>
          <w:sz w:val="21"/>
        </w:rPr>
        <w:t>）</w:t>
      </w:r>
      <w:r>
        <w:rPr>
          <w:spacing w:val="-3"/>
          <w:sz w:val="21"/>
        </w:rPr>
        <w:t>级木材的有关材质要求。</w:t>
      </w:r>
      <w:r>
        <w:rPr>
          <w:sz w:val="21"/>
        </w:rPr>
        <w:t xml:space="preserve"> </w:t>
      </w:r>
    </w:p>
    <w:p w14:paraId="7BCE60C5" w14:textId="77777777" w:rsidR="00A71EEF" w:rsidRDefault="0081115D">
      <w:pPr>
        <w:pStyle w:val="a4"/>
        <w:numPr>
          <w:ilvl w:val="3"/>
          <w:numId w:val="558"/>
        </w:numPr>
        <w:tabs>
          <w:tab w:val="left" w:pos="1576"/>
        </w:tabs>
        <w:spacing w:line="446" w:lineRule="auto"/>
        <w:ind w:left="418" w:right="1609" w:firstLine="419"/>
        <w:rPr>
          <w:sz w:val="21"/>
        </w:rPr>
      </w:pPr>
      <w:r>
        <w:rPr>
          <w:spacing w:val="-3"/>
          <w:sz w:val="21"/>
        </w:rPr>
        <w:t>防火门所用木材应为阻燃木材或采用防火板包裹的复合材，并经国家认可授权检</w:t>
      </w:r>
      <w:r>
        <w:rPr>
          <w:spacing w:val="-12"/>
          <w:sz w:val="21"/>
        </w:rPr>
        <w:t>测机构按照</w:t>
      </w:r>
      <w:r>
        <w:rPr>
          <w:spacing w:val="-12"/>
          <w:sz w:val="21"/>
        </w:rPr>
        <w:t xml:space="preserve"> </w:t>
      </w:r>
      <w:r>
        <w:rPr>
          <w:sz w:val="21"/>
        </w:rPr>
        <w:t>GB/T</w:t>
      </w:r>
      <w:r>
        <w:rPr>
          <w:spacing w:val="1"/>
          <w:sz w:val="21"/>
        </w:rPr>
        <w:t xml:space="preserve"> </w:t>
      </w:r>
      <w:r>
        <w:rPr>
          <w:sz w:val="21"/>
        </w:rPr>
        <w:t>8625—2005</w:t>
      </w:r>
      <w:r>
        <w:rPr>
          <w:spacing w:val="-14"/>
          <w:sz w:val="21"/>
        </w:rPr>
        <w:t xml:space="preserve"> </w:t>
      </w:r>
      <w:r>
        <w:rPr>
          <w:spacing w:val="-14"/>
          <w:sz w:val="21"/>
        </w:rPr>
        <w:t>检验达到该标准第</w:t>
      </w:r>
      <w:r>
        <w:rPr>
          <w:spacing w:val="-14"/>
          <w:sz w:val="21"/>
        </w:rPr>
        <w:t xml:space="preserve"> </w:t>
      </w:r>
      <w:r>
        <w:rPr>
          <w:sz w:val="21"/>
        </w:rPr>
        <w:t>7</w:t>
      </w:r>
      <w:r>
        <w:rPr>
          <w:spacing w:val="-10"/>
          <w:sz w:val="21"/>
        </w:rPr>
        <w:t xml:space="preserve"> </w:t>
      </w:r>
      <w:r>
        <w:rPr>
          <w:spacing w:val="-10"/>
          <w:sz w:val="21"/>
        </w:rPr>
        <w:t>章难燃性要求。</w:t>
      </w:r>
      <w:r>
        <w:rPr>
          <w:sz w:val="21"/>
        </w:rPr>
        <w:t xml:space="preserve"> </w:t>
      </w:r>
    </w:p>
    <w:p w14:paraId="376368C4" w14:textId="77777777" w:rsidR="00A71EEF" w:rsidRDefault="0081115D">
      <w:pPr>
        <w:pStyle w:val="a4"/>
        <w:numPr>
          <w:ilvl w:val="3"/>
          <w:numId w:val="558"/>
        </w:numPr>
        <w:tabs>
          <w:tab w:val="left" w:pos="1576"/>
        </w:tabs>
        <w:spacing w:line="446" w:lineRule="auto"/>
        <w:ind w:left="418" w:right="1452" w:firstLine="419"/>
        <w:rPr>
          <w:sz w:val="21"/>
        </w:rPr>
      </w:pPr>
      <w:r>
        <w:rPr>
          <w:spacing w:val="-5"/>
          <w:sz w:val="21"/>
        </w:rPr>
        <w:t>防火门所用木材进行阻燃处理再进行干燥处理后的含水率不应大于</w:t>
      </w:r>
      <w:r>
        <w:rPr>
          <w:spacing w:val="-5"/>
          <w:sz w:val="21"/>
        </w:rPr>
        <w:t xml:space="preserve"> </w:t>
      </w:r>
      <w:r>
        <w:rPr>
          <w:sz w:val="21"/>
        </w:rPr>
        <w:t>12%</w:t>
      </w:r>
      <w:r>
        <w:rPr>
          <w:spacing w:val="-1"/>
          <w:sz w:val="21"/>
        </w:rPr>
        <w:t>；木材在制</w:t>
      </w:r>
      <w:r>
        <w:rPr>
          <w:spacing w:val="-3"/>
          <w:sz w:val="21"/>
        </w:rPr>
        <w:t>成防火门后的含水率不应大于当地的平衡含水率。</w:t>
      </w:r>
      <w:r>
        <w:rPr>
          <w:sz w:val="21"/>
        </w:rPr>
        <w:t xml:space="preserve"> </w:t>
      </w:r>
    </w:p>
    <w:p w14:paraId="7BB70323" w14:textId="77777777" w:rsidR="00A71EEF" w:rsidRDefault="0081115D">
      <w:pPr>
        <w:pStyle w:val="a4"/>
        <w:numPr>
          <w:ilvl w:val="2"/>
          <w:numId w:val="558"/>
        </w:numPr>
        <w:tabs>
          <w:tab w:val="left" w:pos="1370"/>
        </w:tabs>
        <w:ind w:left="1369" w:hanging="530"/>
        <w:rPr>
          <w:b/>
          <w:sz w:val="21"/>
        </w:rPr>
      </w:pPr>
      <w:r>
        <w:rPr>
          <w:spacing w:val="-3"/>
          <w:sz w:val="21"/>
        </w:rPr>
        <w:t>人造板</w:t>
      </w:r>
      <w:r>
        <w:rPr>
          <w:b/>
          <w:w w:val="99"/>
          <w:sz w:val="21"/>
        </w:rPr>
        <w:t xml:space="preserve"> </w:t>
      </w:r>
    </w:p>
    <w:p w14:paraId="3700510C" w14:textId="77777777" w:rsidR="00A71EEF" w:rsidRDefault="00A71EEF">
      <w:pPr>
        <w:pStyle w:val="a3"/>
        <w:spacing w:before="11"/>
        <w:rPr>
          <w:b/>
          <w:sz w:val="17"/>
        </w:rPr>
      </w:pPr>
    </w:p>
    <w:p w14:paraId="2232129A" w14:textId="77777777" w:rsidR="00A71EEF" w:rsidRDefault="0081115D">
      <w:pPr>
        <w:pStyle w:val="a4"/>
        <w:numPr>
          <w:ilvl w:val="3"/>
          <w:numId w:val="558"/>
        </w:numPr>
        <w:tabs>
          <w:tab w:val="left" w:pos="1576"/>
        </w:tabs>
        <w:spacing w:line="446" w:lineRule="auto"/>
        <w:ind w:left="418" w:right="1505" w:firstLine="419"/>
        <w:rPr>
          <w:sz w:val="21"/>
        </w:rPr>
      </w:pPr>
      <w:r>
        <w:rPr>
          <w:spacing w:val="-7"/>
          <w:sz w:val="21"/>
        </w:rPr>
        <w:t>防火门所用人造板应符合</w:t>
      </w:r>
      <w:r>
        <w:rPr>
          <w:spacing w:val="-7"/>
          <w:sz w:val="21"/>
        </w:rPr>
        <w:t xml:space="preserve"> </w:t>
      </w:r>
      <w:r>
        <w:rPr>
          <w:sz w:val="21"/>
        </w:rPr>
        <w:t>JG/T</w:t>
      </w:r>
      <w:r>
        <w:rPr>
          <w:spacing w:val="3"/>
          <w:sz w:val="21"/>
        </w:rPr>
        <w:t xml:space="preserve"> </w:t>
      </w:r>
      <w:r>
        <w:rPr>
          <w:sz w:val="21"/>
        </w:rPr>
        <w:t>122—2000</w:t>
      </w:r>
      <w:r>
        <w:rPr>
          <w:spacing w:val="-34"/>
          <w:sz w:val="21"/>
        </w:rPr>
        <w:t xml:space="preserve"> </w:t>
      </w:r>
      <w:r>
        <w:rPr>
          <w:spacing w:val="-34"/>
          <w:sz w:val="21"/>
        </w:rPr>
        <w:t>第</w:t>
      </w:r>
      <w:r>
        <w:rPr>
          <w:spacing w:val="-34"/>
          <w:sz w:val="21"/>
        </w:rPr>
        <w:t xml:space="preserve"> </w:t>
      </w:r>
      <w:r>
        <w:rPr>
          <w:sz w:val="21"/>
        </w:rPr>
        <w:t>5.1.2.2</w:t>
      </w:r>
      <w:r>
        <w:rPr>
          <w:spacing w:val="-12"/>
          <w:sz w:val="21"/>
        </w:rPr>
        <w:t xml:space="preserve"> </w:t>
      </w:r>
      <w:r>
        <w:rPr>
          <w:spacing w:val="-12"/>
          <w:sz w:val="21"/>
        </w:rPr>
        <w:t>条中对</w:t>
      </w:r>
      <w:r>
        <w:rPr>
          <w:spacing w:val="-12"/>
          <w:sz w:val="21"/>
        </w:rPr>
        <w:t>Ⅱ</w:t>
      </w:r>
      <w:r>
        <w:rPr>
          <w:sz w:val="21"/>
        </w:rPr>
        <w:t>（</w:t>
      </w:r>
      <w:r>
        <w:rPr>
          <w:spacing w:val="-3"/>
          <w:sz w:val="21"/>
        </w:rPr>
        <w:t>中</w:t>
      </w:r>
      <w:r>
        <w:rPr>
          <w:sz w:val="21"/>
        </w:rPr>
        <w:t>）</w:t>
      </w:r>
      <w:r>
        <w:rPr>
          <w:spacing w:val="-3"/>
          <w:sz w:val="21"/>
        </w:rPr>
        <w:t>级人造板的有关材质要求。</w:t>
      </w:r>
      <w:r>
        <w:rPr>
          <w:sz w:val="21"/>
        </w:rPr>
        <w:t xml:space="preserve"> </w:t>
      </w:r>
    </w:p>
    <w:p w14:paraId="76005E3B" w14:textId="77777777" w:rsidR="00A71EEF" w:rsidRDefault="0081115D">
      <w:pPr>
        <w:pStyle w:val="a4"/>
        <w:numPr>
          <w:ilvl w:val="3"/>
          <w:numId w:val="558"/>
        </w:numPr>
        <w:tabs>
          <w:tab w:val="left" w:pos="1576"/>
        </w:tabs>
        <w:spacing w:line="446" w:lineRule="auto"/>
        <w:ind w:left="418" w:right="1611" w:firstLine="419"/>
        <w:rPr>
          <w:sz w:val="21"/>
        </w:rPr>
      </w:pPr>
      <w:r>
        <w:rPr>
          <w:spacing w:val="-5"/>
          <w:sz w:val="21"/>
        </w:rPr>
        <w:t>防火门所用人造板应经国家认可授权检测机构按照</w:t>
      </w:r>
      <w:r>
        <w:rPr>
          <w:spacing w:val="-5"/>
          <w:sz w:val="21"/>
        </w:rPr>
        <w:t xml:space="preserve"> </w:t>
      </w:r>
      <w:r>
        <w:rPr>
          <w:sz w:val="21"/>
        </w:rPr>
        <w:t>GB/T</w:t>
      </w:r>
      <w:r>
        <w:rPr>
          <w:spacing w:val="7"/>
          <w:sz w:val="21"/>
        </w:rPr>
        <w:t xml:space="preserve"> </w:t>
      </w:r>
      <w:r>
        <w:rPr>
          <w:sz w:val="21"/>
        </w:rPr>
        <w:t>8625—2005</w:t>
      </w:r>
      <w:r>
        <w:rPr>
          <w:spacing w:val="-10"/>
          <w:sz w:val="21"/>
        </w:rPr>
        <w:t xml:space="preserve"> </w:t>
      </w:r>
      <w:r>
        <w:rPr>
          <w:spacing w:val="-10"/>
          <w:sz w:val="21"/>
        </w:rPr>
        <w:t>检验达到该</w:t>
      </w:r>
      <w:r>
        <w:rPr>
          <w:spacing w:val="-17"/>
          <w:sz w:val="21"/>
        </w:rPr>
        <w:t>标准第</w:t>
      </w:r>
      <w:r>
        <w:rPr>
          <w:spacing w:val="-17"/>
          <w:sz w:val="21"/>
        </w:rPr>
        <w:t xml:space="preserve"> </w:t>
      </w:r>
      <w:r>
        <w:rPr>
          <w:sz w:val="21"/>
        </w:rPr>
        <w:t>7</w:t>
      </w:r>
      <w:r>
        <w:rPr>
          <w:spacing w:val="-10"/>
          <w:sz w:val="21"/>
        </w:rPr>
        <w:t xml:space="preserve"> </w:t>
      </w:r>
      <w:r>
        <w:rPr>
          <w:spacing w:val="-10"/>
          <w:sz w:val="21"/>
        </w:rPr>
        <w:t>章难燃性要求。</w:t>
      </w:r>
      <w:r>
        <w:rPr>
          <w:sz w:val="21"/>
        </w:rPr>
        <w:t xml:space="preserve"> </w:t>
      </w:r>
    </w:p>
    <w:p w14:paraId="072BF7CC" w14:textId="77777777" w:rsidR="00A71EEF" w:rsidRDefault="0081115D">
      <w:pPr>
        <w:pStyle w:val="a4"/>
        <w:numPr>
          <w:ilvl w:val="3"/>
          <w:numId w:val="558"/>
        </w:numPr>
        <w:tabs>
          <w:tab w:val="left" w:pos="1576"/>
        </w:tabs>
        <w:spacing w:line="446" w:lineRule="auto"/>
        <w:ind w:left="418" w:right="1450" w:firstLine="419"/>
        <w:rPr>
          <w:sz w:val="21"/>
        </w:rPr>
      </w:pPr>
      <w:r>
        <w:rPr>
          <w:spacing w:val="-5"/>
          <w:sz w:val="21"/>
        </w:rPr>
        <w:t>防火门所用人造板进行阻燃处理再进行干燥处理后的含水率不应大于</w:t>
      </w:r>
      <w:r>
        <w:rPr>
          <w:spacing w:val="-5"/>
          <w:sz w:val="21"/>
        </w:rPr>
        <w:t xml:space="preserve"> </w:t>
      </w:r>
      <w:r>
        <w:rPr>
          <w:sz w:val="21"/>
        </w:rPr>
        <w:t>12</w:t>
      </w:r>
      <w:r>
        <w:rPr>
          <w:spacing w:val="-1"/>
          <w:sz w:val="21"/>
        </w:rPr>
        <w:t>%</w:t>
      </w:r>
      <w:r>
        <w:rPr>
          <w:spacing w:val="-1"/>
          <w:sz w:val="21"/>
        </w:rPr>
        <w:t>；人造板</w:t>
      </w:r>
      <w:r>
        <w:rPr>
          <w:spacing w:val="-3"/>
          <w:sz w:val="21"/>
        </w:rPr>
        <w:t>在制成防火门后的含水率不应大于当地的平衡含水率。</w:t>
      </w:r>
      <w:r>
        <w:rPr>
          <w:sz w:val="21"/>
        </w:rPr>
        <w:t xml:space="preserve"> </w:t>
      </w:r>
    </w:p>
    <w:p w14:paraId="3CCDF20D" w14:textId="77777777" w:rsidR="00A71EEF" w:rsidRDefault="0081115D">
      <w:pPr>
        <w:pStyle w:val="a4"/>
        <w:numPr>
          <w:ilvl w:val="2"/>
          <w:numId w:val="558"/>
        </w:numPr>
        <w:tabs>
          <w:tab w:val="left" w:pos="1370"/>
        </w:tabs>
        <w:ind w:left="1369" w:hanging="530"/>
        <w:rPr>
          <w:b/>
          <w:sz w:val="21"/>
        </w:rPr>
      </w:pPr>
      <w:r>
        <w:rPr>
          <w:spacing w:val="-3"/>
          <w:sz w:val="21"/>
        </w:rPr>
        <w:t>钢材</w:t>
      </w:r>
      <w:r>
        <w:rPr>
          <w:b/>
          <w:w w:val="99"/>
          <w:sz w:val="21"/>
        </w:rPr>
        <w:t xml:space="preserve"> </w:t>
      </w:r>
    </w:p>
    <w:p w14:paraId="43CBA541" w14:textId="77777777" w:rsidR="00A71EEF" w:rsidRDefault="00A71EEF">
      <w:pPr>
        <w:pStyle w:val="a3"/>
        <w:spacing w:before="10"/>
        <w:rPr>
          <w:b/>
          <w:sz w:val="17"/>
        </w:rPr>
      </w:pPr>
    </w:p>
    <w:p w14:paraId="768F81DB" w14:textId="77777777" w:rsidR="00A71EEF" w:rsidRDefault="0081115D">
      <w:pPr>
        <w:pStyle w:val="a4"/>
        <w:numPr>
          <w:ilvl w:val="3"/>
          <w:numId w:val="558"/>
        </w:numPr>
        <w:tabs>
          <w:tab w:val="left" w:pos="1576"/>
        </w:tabs>
        <w:rPr>
          <w:sz w:val="21"/>
        </w:rPr>
      </w:pPr>
      <w:r>
        <w:rPr>
          <w:spacing w:val="-2"/>
          <w:sz w:val="21"/>
        </w:rPr>
        <w:t>材质</w:t>
      </w:r>
      <w:r>
        <w:rPr>
          <w:sz w:val="21"/>
        </w:rPr>
        <w:t xml:space="preserve"> </w:t>
      </w:r>
    </w:p>
    <w:p w14:paraId="7A75A731" w14:textId="77777777" w:rsidR="00A71EEF" w:rsidRDefault="00A71EEF">
      <w:pPr>
        <w:pStyle w:val="a3"/>
        <w:spacing w:before="2"/>
        <w:rPr>
          <w:sz w:val="18"/>
        </w:rPr>
      </w:pPr>
    </w:p>
    <w:p w14:paraId="0E9BEDBA" w14:textId="77777777" w:rsidR="00A71EEF" w:rsidRDefault="0081115D">
      <w:pPr>
        <w:pStyle w:val="a4"/>
        <w:numPr>
          <w:ilvl w:val="0"/>
          <w:numId w:val="557"/>
        </w:numPr>
        <w:tabs>
          <w:tab w:val="left" w:pos="1156"/>
        </w:tabs>
        <w:spacing w:line="446" w:lineRule="auto"/>
        <w:ind w:right="1347" w:firstLine="419"/>
        <w:rPr>
          <w:sz w:val="21"/>
        </w:rPr>
      </w:pPr>
      <w:r>
        <w:rPr>
          <w:spacing w:val="-4"/>
          <w:sz w:val="21"/>
        </w:rPr>
        <w:t>防火门框、门扇面板应采用性能不低于冷轧薄钢板的钢质材料，冷轧薄钢板应符合</w:t>
      </w:r>
      <w:r>
        <w:rPr>
          <w:spacing w:val="-4"/>
          <w:sz w:val="21"/>
        </w:rPr>
        <w:t xml:space="preserve"> </w:t>
      </w:r>
      <w:r>
        <w:rPr>
          <w:sz w:val="21"/>
        </w:rPr>
        <w:t>GB/T 708</w:t>
      </w:r>
      <w:r>
        <w:rPr>
          <w:spacing w:val="-13"/>
          <w:sz w:val="21"/>
        </w:rPr>
        <w:t xml:space="preserve"> </w:t>
      </w:r>
      <w:r>
        <w:rPr>
          <w:spacing w:val="-13"/>
          <w:sz w:val="21"/>
        </w:rPr>
        <w:t>的规定。</w:t>
      </w:r>
      <w:r>
        <w:rPr>
          <w:sz w:val="21"/>
        </w:rPr>
        <w:t xml:space="preserve"> </w:t>
      </w:r>
    </w:p>
    <w:p w14:paraId="0EFBB3D8" w14:textId="77777777" w:rsidR="00A71EEF" w:rsidRDefault="0081115D">
      <w:pPr>
        <w:pStyle w:val="a4"/>
        <w:numPr>
          <w:ilvl w:val="0"/>
          <w:numId w:val="557"/>
        </w:numPr>
        <w:tabs>
          <w:tab w:val="left" w:pos="1156"/>
        </w:tabs>
        <w:spacing w:line="267" w:lineRule="exact"/>
        <w:ind w:left="1155"/>
        <w:rPr>
          <w:sz w:val="21"/>
        </w:rPr>
      </w:pPr>
      <w:r>
        <w:rPr>
          <w:spacing w:val="-5"/>
          <w:sz w:val="21"/>
        </w:rPr>
        <w:t>防火门所用加固件可采用性能不低于热轧钢材的钢质材料，热轧钢材应符合</w:t>
      </w:r>
      <w:r>
        <w:rPr>
          <w:spacing w:val="-5"/>
          <w:sz w:val="21"/>
        </w:rPr>
        <w:t xml:space="preserve"> </w:t>
      </w:r>
      <w:r>
        <w:rPr>
          <w:sz w:val="21"/>
        </w:rPr>
        <w:t>GB/T</w:t>
      </w:r>
      <w:r>
        <w:rPr>
          <w:spacing w:val="2"/>
          <w:sz w:val="21"/>
        </w:rPr>
        <w:t xml:space="preserve"> </w:t>
      </w:r>
      <w:r>
        <w:rPr>
          <w:sz w:val="21"/>
        </w:rPr>
        <w:t>709</w:t>
      </w:r>
    </w:p>
    <w:p w14:paraId="692F0C94" w14:textId="77777777" w:rsidR="00A71EEF" w:rsidRDefault="00A71EEF">
      <w:pPr>
        <w:pStyle w:val="a3"/>
        <w:spacing w:before="2"/>
        <w:rPr>
          <w:sz w:val="18"/>
        </w:rPr>
      </w:pPr>
    </w:p>
    <w:p w14:paraId="4D0282ED" w14:textId="77777777" w:rsidR="00A71EEF" w:rsidRDefault="0081115D">
      <w:pPr>
        <w:pStyle w:val="a3"/>
        <w:ind w:left="418"/>
      </w:pPr>
      <w:r>
        <w:t>的规定。</w:t>
      </w:r>
      <w:r>
        <w:t xml:space="preserve"> </w:t>
      </w:r>
    </w:p>
    <w:p w14:paraId="74658CEB" w14:textId="77777777" w:rsidR="00A71EEF" w:rsidRDefault="00A71EEF">
      <w:pPr>
        <w:pStyle w:val="a3"/>
        <w:rPr>
          <w:sz w:val="18"/>
        </w:rPr>
      </w:pPr>
    </w:p>
    <w:p w14:paraId="76DC16DE" w14:textId="77777777" w:rsidR="00A71EEF" w:rsidRDefault="0081115D">
      <w:pPr>
        <w:pStyle w:val="a4"/>
        <w:numPr>
          <w:ilvl w:val="3"/>
          <w:numId w:val="558"/>
        </w:numPr>
        <w:tabs>
          <w:tab w:val="left" w:pos="1576"/>
        </w:tabs>
        <w:rPr>
          <w:sz w:val="21"/>
        </w:rPr>
      </w:pPr>
      <w:r>
        <w:rPr>
          <w:spacing w:val="-2"/>
          <w:sz w:val="21"/>
        </w:rPr>
        <w:t>材料厚度</w:t>
      </w:r>
      <w:r>
        <w:rPr>
          <w:spacing w:val="-2"/>
          <w:sz w:val="21"/>
        </w:rPr>
        <w:t xml:space="preserve"> </w:t>
      </w:r>
    </w:p>
    <w:p w14:paraId="74663A75" w14:textId="77777777" w:rsidR="00A71EEF" w:rsidRDefault="00A71EEF">
      <w:pPr>
        <w:pStyle w:val="a3"/>
        <w:spacing w:before="12"/>
        <w:rPr>
          <w:sz w:val="17"/>
        </w:rPr>
      </w:pPr>
    </w:p>
    <w:p w14:paraId="10DD856E" w14:textId="77777777" w:rsidR="00A71EEF" w:rsidRDefault="0081115D">
      <w:pPr>
        <w:pStyle w:val="a3"/>
        <w:ind w:left="838"/>
      </w:pPr>
      <w:r>
        <w:t>防火门所用钢质材料厚度应符合表</w:t>
      </w:r>
      <w:r>
        <w:t xml:space="preserve"> 3 </w:t>
      </w:r>
      <w:r>
        <w:t>的规定。</w:t>
      </w:r>
      <w:r>
        <w:t xml:space="preserve"> </w:t>
      </w:r>
    </w:p>
    <w:p w14:paraId="1D54883B" w14:textId="77777777" w:rsidR="00A71EEF" w:rsidRDefault="00A71EEF">
      <w:pPr>
        <w:pStyle w:val="a3"/>
        <w:spacing w:before="2"/>
        <w:rPr>
          <w:sz w:val="18"/>
        </w:rPr>
      </w:pPr>
    </w:p>
    <w:p w14:paraId="4EFB0CE9" w14:textId="77777777" w:rsidR="00A71EEF" w:rsidRDefault="0081115D">
      <w:pPr>
        <w:pStyle w:val="6"/>
        <w:ind w:left="3416"/>
      </w:pPr>
      <w:r>
        <w:t>表</w:t>
      </w:r>
      <w:r>
        <w:t xml:space="preserve"> 3 </w:t>
      </w:r>
      <w:r>
        <w:t>钢质材料厚度（单位为毫米）</w:t>
      </w:r>
      <w:r>
        <w:rPr>
          <w:w w:val="99"/>
        </w:rPr>
        <w:t xml:space="preserve"> </w:t>
      </w:r>
    </w:p>
    <w:p w14:paraId="102B1972" w14:textId="77777777" w:rsidR="00A71EEF" w:rsidRDefault="0081115D">
      <w:pPr>
        <w:pStyle w:val="a3"/>
        <w:spacing w:before="10"/>
        <w:rPr>
          <w:b/>
          <w:sz w:val="12"/>
        </w:rPr>
      </w:pPr>
      <w:r>
        <w:rPr>
          <w:noProof/>
        </w:rPr>
        <w:drawing>
          <wp:anchor distT="0" distB="0" distL="0" distR="0" simplePos="0" relativeHeight="251591168" behindDoc="0" locked="0" layoutInCell="1" allowOverlap="1" wp14:anchorId="1BAD54C5" wp14:editId="6399C189">
            <wp:simplePos x="0" y="0"/>
            <wp:positionH relativeFrom="page">
              <wp:posOffset>1236980</wp:posOffset>
            </wp:positionH>
            <wp:positionV relativeFrom="paragraph">
              <wp:posOffset>128833</wp:posOffset>
            </wp:positionV>
            <wp:extent cx="5438775" cy="1866900"/>
            <wp:effectExtent l="0" t="0" r="0" b="0"/>
            <wp:wrapTopAndBottom/>
            <wp:docPr id="343" name="image2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208.jpeg"/>
                    <pic:cNvPicPr/>
                  </pic:nvPicPr>
                  <pic:blipFill>
                    <a:blip r:embed="rId247" cstate="print"/>
                    <a:stretch>
                      <a:fillRect/>
                    </a:stretch>
                  </pic:blipFill>
                  <pic:spPr>
                    <a:xfrm>
                      <a:off x="0" y="0"/>
                      <a:ext cx="5438775" cy="1866900"/>
                    </a:xfrm>
                    <a:prstGeom prst="rect">
                      <a:avLst/>
                    </a:prstGeom>
                  </pic:spPr>
                </pic:pic>
              </a:graphicData>
            </a:graphic>
          </wp:anchor>
        </w:drawing>
      </w:r>
    </w:p>
    <w:p w14:paraId="607BD2E0" w14:textId="77777777" w:rsidR="00A71EEF" w:rsidRDefault="00A71EEF">
      <w:pPr>
        <w:rPr>
          <w:sz w:val="12"/>
        </w:rPr>
        <w:sectPr w:rsidR="00A71EEF">
          <w:footerReference w:type="default" r:id="rId248"/>
          <w:pgSz w:w="11910" w:h="16850"/>
          <w:pgMar w:top="1220" w:right="0" w:bottom="1420" w:left="1260" w:header="0" w:footer="1239" w:gutter="0"/>
          <w:pgNumType w:start="1150"/>
          <w:cols w:space="720"/>
        </w:sectPr>
      </w:pPr>
    </w:p>
    <w:p w14:paraId="0955B884" w14:textId="77777777" w:rsidR="00A71EEF" w:rsidRDefault="0081115D">
      <w:pPr>
        <w:pStyle w:val="a4"/>
        <w:numPr>
          <w:ilvl w:val="2"/>
          <w:numId w:val="558"/>
        </w:numPr>
        <w:tabs>
          <w:tab w:val="left" w:pos="1370"/>
        </w:tabs>
        <w:spacing w:before="47"/>
        <w:ind w:left="1369" w:hanging="530"/>
        <w:rPr>
          <w:b/>
          <w:sz w:val="21"/>
        </w:rPr>
      </w:pPr>
      <w:r>
        <w:rPr>
          <w:spacing w:val="-3"/>
          <w:sz w:val="21"/>
        </w:rPr>
        <w:t>其他材质材料</w:t>
      </w:r>
      <w:r>
        <w:rPr>
          <w:b/>
          <w:w w:val="99"/>
          <w:sz w:val="21"/>
        </w:rPr>
        <w:t xml:space="preserve"> </w:t>
      </w:r>
    </w:p>
    <w:p w14:paraId="38944AF6" w14:textId="77777777" w:rsidR="00A71EEF" w:rsidRDefault="00A71EEF">
      <w:pPr>
        <w:pStyle w:val="a3"/>
        <w:rPr>
          <w:b/>
          <w:sz w:val="18"/>
        </w:rPr>
      </w:pPr>
    </w:p>
    <w:p w14:paraId="2C0CA340" w14:textId="77777777" w:rsidR="00A71EEF" w:rsidRDefault="0081115D">
      <w:pPr>
        <w:pStyle w:val="a4"/>
        <w:numPr>
          <w:ilvl w:val="3"/>
          <w:numId w:val="558"/>
        </w:numPr>
        <w:tabs>
          <w:tab w:val="left" w:pos="1576"/>
        </w:tabs>
        <w:spacing w:line="444" w:lineRule="auto"/>
        <w:ind w:left="418" w:right="1609" w:firstLine="419"/>
        <w:rPr>
          <w:sz w:val="21"/>
        </w:rPr>
      </w:pPr>
      <w:r>
        <w:rPr>
          <w:spacing w:val="-3"/>
          <w:sz w:val="21"/>
        </w:rPr>
        <w:t>防火门所用其他材质材料应对人体无毒无害，应经国家认可授权检测机构检验达</w:t>
      </w:r>
      <w:r>
        <w:rPr>
          <w:spacing w:val="-28"/>
          <w:position w:val="1"/>
          <w:sz w:val="21"/>
        </w:rPr>
        <w:t>到</w:t>
      </w:r>
      <w:r>
        <w:rPr>
          <w:spacing w:val="-28"/>
          <w:position w:val="1"/>
          <w:sz w:val="21"/>
        </w:rPr>
        <w:t xml:space="preserve"> </w:t>
      </w:r>
      <w:r>
        <w:rPr>
          <w:position w:val="1"/>
          <w:sz w:val="21"/>
        </w:rPr>
        <w:t>GB/T</w:t>
      </w:r>
      <w:r>
        <w:rPr>
          <w:spacing w:val="1"/>
          <w:position w:val="1"/>
          <w:sz w:val="21"/>
        </w:rPr>
        <w:t xml:space="preserve"> </w:t>
      </w:r>
      <w:r>
        <w:rPr>
          <w:position w:val="1"/>
          <w:sz w:val="21"/>
        </w:rPr>
        <w:t>20285—2006</w:t>
      </w:r>
      <w:r>
        <w:rPr>
          <w:spacing w:val="-13"/>
          <w:position w:val="1"/>
          <w:sz w:val="21"/>
        </w:rPr>
        <w:t xml:space="preserve"> </w:t>
      </w:r>
      <w:r>
        <w:rPr>
          <w:spacing w:val="-13"/>
          <w:position w:val="1"/>
          <w:sz w:val="21"/>
        </w:rPr>
        <w:t>规定产烟毒性危险分级</w:t>
      </w:r>
      <w:r>
        <w:rPr>
          <w:spacing w:val="-13"/>
          <w:position w:val="1"/>
          <w:sz w:val="21"/>
        </w:rPr>
        <w:t xml:space="preserve"> </w:t>
      </w:r>
      <w:r>
        <w:rPr>
          <w:position w:val="1"/>
          <w:sz w:val="21"/>
        </w:rPr>
        <w:t>ZA</w:t>
      </w:r>
      <w:r>
        <w:rPr>
          <w:sz w:val="11"/>
        </w:rPr>
        <w:t>2</w:t>
      </w:r>
      <w:r>
        <w:rPr>
          <w:spacing w:val="-29"/>
          <w:sz w:val="11"/>
        </w:rPr>
        <w:t xml:space="preserve"> </w:t>
      </w:r>
      <w:r>
        <w:rPr>
          <w:spacing w:val="-3"/>
          <w:position w:val="1"/>
          <w:sz w:val="21"/>
        </w:rPr>
        <w:t>级要求。</w:t>
      </w:r>
      <w:r>
        <w:rPr>
          <w:position w:val="1"/>
          <w:sz w:val="21"/>
        </w:rPr>
        <w:t xml:space="preserve"> </w:t>
      </w:r>
    </w:p>
    <w:p w14:paraId="7BDF8698" w14:textId="77777777" w:rsidR="00A71EEF" w:rsidRDefault="0081115D">
      <w:pPr>
        <w:pStyle w:val="a4"/>
        <w:numPr>
          <w:ilvl w:val="3"/>
          <w:numId w:val="558"/>
        </w:numPr>
        <w:tabs>
          <w:tab w:val="left" w:pos="1576"/>
        </w:tabs>
        <w:spacing w:before="5" w:line="446" w:lineRule="auto"/>
        <w:ind w:left="418" w:right="1582" w:firstLine="419"/>
        <w:rPr>
          <w:sz w:val="21"/>
        </w:rPr>
      </w:pPr>
      <w:r>
        <w:rPr>
          <w:spacing w:val="-5"/>
          <w:sz w:val="21"/>
        </w:rPr>
        <w:t>防火门所用其他材质材料应经国家认可授权检测机构检验达到</w:t>
      </w:r>
      <w:r>
        <w:rPr>
          <w:spacing w:val="-5"/>
          <w:sz w:val="21"/>
        </w:rPr>
        <w:t xml:space="preserve"> </w:t>
      </w:r>
      <w:r>
        <w:rPr>
          <w:sz w:val="21"/>
        </w:rPr>
        <w:t>GB/T</w:t>
      </w:r>
      <w:r>
        <w:rPr>
          <w:spacing w:val="15"/>
          <w:sz w:val="21"/>
        </w:rPr>
        <w:t xml:space="preserve"> </w:t>
      </w:r>
      <w:r>
        <w:rPr>
          <w:sz w:val="21"/>
        </w:rPr>
        <w:t xml:space="preserve">8625—2005 </w:t>
      </w:r>
      <w:r>
        <w:rPr>
          <w:spacing w:val="-24"/>
          <w:position w:val="1"/>
          <w:sz w:val="21"/>
        </w:rPr>
        <w:t>第</w:t>
      </w:r>
      <w:r>
        <w:rPr>
          <w:spacing w:val="-24"/>
          <w:position w:val="1"/>
          <w:sz w:val="21"/>
        </w:rPr>
        <w:t xml:space="preserve"> </w:t>
      </w:r>
      <w:r>
        <w:rPr>
          <w:position w:val="1"/>
          <w:sz w:val="21"/>
        </w:rPr>
        <w:t>7</w:t>
      </w:r>
      <w:r>
        <w:rPr>
          <w:spacing w:val="-13"/>
          <w:position w:val="1"/>
          <w:sz w:val="21"/>
        </w:rPr>
        <w:t xml:space="preserve"> </w:t>
      </w:r>
      <w:r>
        <w:rPr>
          <w:spacing w:val="-13"/>
          <w:position w:val="1"/>
          <w:sz w:val="21"/>
        </w:rPr>
        <w:t>章规定难燃性要求或</w:t>
      </w:r>
      <w:r>
        <w:rPr>
          <w:spacing w:val="-13"/>
          <w:position w:val="1"/>
          <w:sz w:val="21"/>
        </w:rPr>
        <w:t xml:space="preserve"> </w:t>
      </w:r>
      <w:r>
        <w:rPr>
          <w:position w:val="1"/>
          <w:sz w:val="21"/>
        </w:rPr>
        <w:t>GB</w:t>
      </w:r>
      <w:r>
        <w:rPr>
          <w:spacing w:val="10"/>
          <w:position w:val="1"/>
          <w:sz w:val="21"/>
        </w:rPr>
        <w:t xml:space="preserve"> </w:t>
      </w:r>
      <w:r>
        <w:rPr>
          <w:position w:val="1"/>
          <w:sz w:val="21"/>
        </w:rPr>
        <w:t>8624—2006</w:t>
      </w:r>
      <w:r>
        <w:rPr>
          <w:spacing w:val="-14"/>
          <w:position w:val="1"/>
          <w:sz w:val="21"/>
        </w:rPr>
        <w:t xml:space="preserve"> </w:t>
      </w:r>
      <w:r>
        <w:rPr>
          <w:spacing w:val="-14"/>
          <w:position w:val="1"/>
          <w:sz w:val="21"/>
        </w:rPr>
        <w:t>规定燃烧性能</w:t>
      </w:r>
      <w:r>
        <w:rPr>
          <w:spacing w:val="-14"/>
          <w:position w:val="1"/>
          <w:sz w:val="21"/>
        </w:rPr>
        <w:t xml:space="preserve"> </w:t>
      </w:r>
      <w:r>
        <w:rPr>
          <w:position w:val="1"/>
          <w:sz w:val="21"/>
        </w:rPr>
        <w:t>A</w:t>
      </w:r>
      <w:r>
        <w:rPr>
          <w:sz w:val="11"/>
        </w:rPr>
        <w:t>1</w:t>
      </w:r>
      <w:r>
        <w:rPr>
          <w:spacing w:val="-26"/>
          <w:sz w:val="11"/>
        </w:rPr>
        <w:t xml:space="preserve"> </w:t>
      </w:r>
      <w:r>
        <w:rPr>
          <w:spacing w:val="-3"/>
          <w:position w:val="1"/>
          <w:sz w:val="21"/>
        </w:rPr>
        <w:t>级要求，其力学性能应达到有关标准</w:t>
      </w:r>
      <w:r>
        <w:rPr>
          <w:spacing w:val="-3"/>
          <w:sz w:val="21"/>
        </w:rPr>
        <w:t>的相关规定并满足制作防火门的有关要求。</w:t>
      </w:r>
      <w:r>
        <w:rPr>
          <w:sz w:val="21"/>
        </w:rPr>
        <w:t xml:space="preserve"> </w:t>
      </w:r>
    </w:p>
    <w:p w14:paraId="493B65D6" w14:textId="77777777" w:rsidR="00A71EEF" w:rsidRDefault="0081115D">
      <w:pPr>
        <w:pStyle w:val="a4"/>
        <w:numPr>
          <w:ilvl w:val="2"/>
          <w:numId w:val="558"/>
        </w:numPr>
        <w:tabs>
          <w:tab w:val="left" w:pos="1370"/>
        </w:tabs>
        <w:spacing w:line="268" w:lineRule="exact"/>
        <w:ind w:left="1369" w:hanging="530"/>
        <w:rPr>
          <w:b/>
          <w:sz w:val="21"/>
        </w:rPr>
      </w:pPr>
      <w:r>
        <w:rPr>
          <w:spacing w:val="-3"/>
          <w:sz w:val="21"/>
        </w:rPr>
        <w:t>黏结剂</w:t>
      </w:r>
      <w:r>
        <w:rPr>
          <w:b/>
          <w:w w:val="99"/>
          <w:sz w:val="21"/>
        </w:rPr>
        <w:t xml:space="preserve"> </w:t>
      </w:r>
    </w:p>
    <w:p w14:paraId="06BE9CE2" w14:textId="77777777" w:rsidR="00A71EEF" w:rsidRDefault="00A71EEF">
      <w:pPr>
        <w:pStyle w:val="a3"/>
        <w:rPr>
          <w:b/>
          <w:sz w:val="18"/>
        </w:rPr>
      </w:pPr>
    </w:p>
    <w:p w14:paraId="59955148" w14:textId="77777777" w:rsidR="00A71EEF" w:rsidRDefault="0081115D">
      <w:pPr>
        <w:pStyle w:val="a4"/>
        <w:numPr>
          <w:ilvl w:val="3"/>
          <w:numId w:val="558"/>
        </w:numPr>
        <w:tabs>
          <w:tab w:val="left" w:pos="1576"/>
        </w:tabs>
        <w:spacing w:before="1"/>
        <w:rPr>
          <w:sz w:val="21"/>
        </w:rPr>
      </w:pPr>
      <w:r>
        <w:rPr>
          <w:spacing w:val="-3"/>
          <w:sz w:val="21"/>
        </w:rPr>
        <w:t>防火门所用粘结剂应是对人体无毒无害的产品。</w:t>
      </w:r>
      <w:r>
        <w:rPr>
          <w:sz w:val="21"/>
        </w:rPr>
        <w:t xml:space="preserve"> </w:t>
      </w:r>
    </w:p>
    <w:p w14:paraId="505C266D" w14:textId="77777777" w:rsidR="00A71EEF" w:rsidRDefault="00A71EEF">
      <w:pPr>
        <w:pStyle w:val="a3"/>
        <w:spacing w:before="12"/>
        <w:rPr>
          <w:sz w:val="17"/>
        </w:rPr>
      </w:pPr>
    </w:p>
    <w:p w14:paraId="7A3AF351" w14:textId="77777777" w:rsidR="00A71EEF" w:rsidRDefault="0081115D">
      <w:pPr>
        <w:pStyle w:val="a4"/>
        <w:numPr>
          <w:ilvl w:val="3"/>
          <w:numId w:val="558"/>
        </w:numPr>
        <w:tabs>
          <w:tab w:val="left" w:pos="1576"/>
        </w:tabs>
        <w:spacing w:line="446" w:lineRule="auto"/>
        <w:ind w:left="418" w:right="1611" w:firstLine="419"/>
        <w:rPr>
          <w:sz w:val="21"/>
        </w:rPr>
      </w:pPr>
      <w:r>
        <w:rPr>
          <w:spacing w:val="-5"/>
          <w:sz w:val="21"/>
        </w:rPr>
        <w:t>防火门所用粘结剂应经国家认可授权检测机构检验达到</w:t>
      </w:r>
      <w:r>
        <w:rPr>
          <w:spacing w:val="-5"/>
          <w:sz w:val="21"/>
        </w:rPr>
        <w:t xml:space="preserve"> </w:t>
      </w:r>
      <w:r>
        <w:rPr>
          <w:sz w:val="21"/>
        </w:rPr>
        <w:t>GB/T</w:t>
      </w:r>
      <w:r>
        <w:rPr>
          <w:spacing w:val="7"/>
          <w:sz w:val="21"/>
        </w:rPr>
        <w:t xml:space="preserve"> </w:t>
      </w:r>
      <w:r>
        <w:rPr>
          <w:sz w:val="21"/>
        </w:rPr>
        <w:t>20285-2006</w:t>
      </w:r>
      <w:r>
        <w:rPr>
          <w:spacing w:val="-14"/>
          <w:sz w:val="21"/>
        </w:rPr>
        <w:t xml:space="preserve"> </w:t>
      </w:r>
      <w:r>
        <w:rPr>
          <w:spacing w:val="-14"/>
          <w:sz w:val="21"/>
        </w:rPr>
        <w:t>规定产</w:t>
      </w:r>
      <w:r>
        <w:rPr>
          <w:spacing w:val="-13"/>
          <w:position w:val="1"/>
          <w:sz w:val="21"/>
        </w:rPr>
        <w:t>烟毒性危险分级</w:t>
      </w:r>
      <w:r>
        <w:rPr>
          <w:spacing w:val="-13"/>
          <w:position w:val="1"/>
          <w:sz w:val="21"/>
        </w:rPr>
        <w:t xml:space="preserve"> </w:t>
      </w:r>
      <w:r>
        <w:rPr>
          <w:position w:val="1"/>
          <w:sz w:val="21"/>
        </w:rPr>
        <w:t>ZA</w:t>
      </w:r>
      <w:r>
        <w:rPr>
          <w:sz w:val="11"/>
        </w:rPr>
        <w:t>2</w:t>
      </w:r>
      <w:r>
        <w:rPr>
          <w:spacing w:val="-29"/>
          <w:sz w:val="11"/>
        </w:rPr>
        <w:t xml:space="preserve"> </w:t>
      </w:r>
      <w:r>
        <w:rPr>
          <w:spacing w:val="-3"/>
          <w:position w:val="1"/>
          <w:sz w:val="21"/>
        </w:rPr>
        <w:t>级要求。</w:t>
      </w:r>
      <w:r>
        <w:rPr>
          <w:spacing w:val="-3"/>
          <w:position w:val="1"/>
          <w:sz w:val="21"/>
        </w:rPr>
        <w:t xml:space="preserve"> </w:t>
      </w:r>
    </w:p>
    <w:p w14:paraId="429574D2" w14:textId="77777777" w:rsidR="00A71EEF" w:rsidRDefault="0081115D">
      <w:pPr>
        <w:pStyle w:val="a4"/>
        <w:numPr>
          <w:ilvl w:val="1"/>
          <w:numId w:val="556"/>
        </w:numPr>
        <w:tabs>
          <w:tab w:val="left" w:pos="1159"/>
        </w:tabs>
        <w:ind w:hanging="319"/>
        <w:rPr>
          <w:b/>
          <w:sz w:val="21"/>
        </w:rPr>
      </w:pPr>
      <w:r>
        <w:rPr>
          <w:spacing w:val="-3"/>
          <w:sz w:val="21"/>
        </w:rPr>
        <w:t>配件</w:t>
      </w:r>
      <w:r>
        <w:rPr>
          <w:b/>
          <w:w w:val="99"/>
          <w:sz w:val="21"/>
        </w:rPr>
        <w:t xml:space="preserve"> </w:t>
      </w:r>
    </w:p>
    <w:p w14:paraId="7AAF62A5" w14:textId="77777777" w:rsidR="00A71EEF" w:rsidRDefault="00A71EEF">
      <w:pPr>
        <w:pStyle w:val="a3"/>
        <w:spacing w:before="12"/>
        <w:rPr>
          <w:b/>
          <w:sz w:val="17"/>
        </w:rPr>
      </w:pPr>
    </w:p>
    <w:p w14:paraId="35684349" w14:textId="77777777" w:rsidR="00A71EEF" w:rsidRDefault="0081115D">
      <w:pPr>
        <w:pStyle w:val="a4"/>
        <w:numPr>
          <w:ilvl w:val="2"/>
          <w:numId w:val="556"/>
        </w:numPr>
        <w:tabs>
          <w:tab w:val="left" w:pos="1370"/>
        </w:tabs>
        <w:ind w:hanging="530"/>
        <w:rPr>
          <w:b/>
          <w:sz w:val="21"/>
        </w:rPr>
      </w:pPr>
      <w:r>
        <w:rPr>
          <w:spacing w:val="-3"/>
          <w:sz w:val="21"/>
        </w:rPr>
        <w:t>防火锁</w:t>
      </w:r>
      <w:r>
        <w:rPr>
          <w:b/>
          <w:w w:val="99"/>
          <w:sz w:val="21"/>
        </w:rPr>
        <w:t xml:space="preserve"> </w:t>
      </w:r>
    </w:p>
    <w:p w14:paraId="7BEA1E5C" w14:textId="77777777" w:rsidR="00A71EEF" w:rsidRDefault="00A71EEF">
      <w:pPr>
        <w:pStyle w:val="a3"/>
        <w:spacing w:before="2"/>
        <w:rPr>
          <w:b/>
          <w:sz w:val="18"/>
        </w:rPr>
      </w:pPr>
    </w:p>
    <w:p w14:paraId="5F9B9D44" w14:textId="77777777" w:rsidR="00A71EEF" w:rsidRDefault="0081115D">
      <w:pPr>
        <w:pStyle w:val="a4"/>
        <w:numPr>
          <w:ilvl w:val="3"/>
          <w:numId w:val="556"/>
        </w:numPr>
        <w:tabs>
          <w:tab w:val="left" w:pos="1576"/>
        </w:tabs>
        <w:rPr>
          <w:sz w:val="21"/>
        </w:rPr>
      </w:pPr>
      <w:r>
        <w:rPr>
          <w:spacing w:val="-3"/>
          <w:sz w:val="21"/>
        </w:rPr>
        <w:t>防火门安装的门锁应是防火锁。</w:t>
      </w:r>
      <w:r>
        <w:rPr>
          <w:sz w:val="21"/>
        </w:rPr>
        <w:t xml:space="preserve"> </w:t>
      </w:r>
    </w:p>
    <w:p w14:paraId="6FED1EA1" w14:textId="77777777" w:rsidR="00A71EEF" w:rsidRDefault="00A71EEF">
      <w:pPr>
        <w:pStyle w:val="a3"/>
        <w:rPr>
          <w:sz w:val="18"/>
        </w:rPr>
      </w:pPr>
    </w:p>
    <w:p w14:paraId="76BCFA06" w14:textId="77777777" w:rsidR="00A71EEF" w:rsidRDefault="0081115D">
      <w:pPr>
        <w:pStyle w:val="a4"/>
        <w:numPr>
          <w:ilvl w:val="3"/>
          <w:numId w:val="556"/>
        </w:numPr>
        <w:tabs>
          <w:tab w:val="left" w:pos="1576"/>
        </w:tabs>
        <w:spacing w:line="446" w:lineRule="auto"/>
        <w:ind w:left="418" w:right="1609" w:firstLine="419"/>
        <w:rPr>
          <w:sz w:val="21"/>
        </w:rPr>
      </w:pPr>
      <w:r>
        <w:rPr>
          <w:spacing w:val="-3"/>
          <w:sz w:val="21"/>
        </w:rPr>
        <w:t>在门扇的有锁芯机构处，防火锁均应有执手或推杠机构，不允许以圆形或球形旋钮代替执手</w:t>
      </w:r>
      <w:r>
        <w:rPr>
          <w:sz w:val="21"/>
        </w:rPr>
        <w:t>（</w:t>
      </w:r>
      <w:r>
        <w:rPr>
          <w:spacing w:val="-3"/>
          <w:sz w:val="21"/>
        </w:rPr>
        <w:t>特殊部位使用除外，如管道井门等）</w:t>
      </w:r>
      <w:r>
        <w:rPr>
          <w:sz w:val="21"/>
        </w:rPr>
        <w:t>。</w:t>
      </w:r>
      <w:r>
        <w:rPr>
          <w:sz w:val="21"/>
        </w:rPr>
        <w:t xml:space="preserve"> </w:t>
      </w:r>
    </w:p>
    <w:p w14:paraId="4AD0BBFA" w14:textId="77777777" w:rsidR="00A71EEF" w:rsidRDefault="0081115D">
      <w:pPr>
        <w:pStyle w:val="a4"/>
        <w:numPr>
          <w:ilvl w:val="3"/>
          <w:numId w:val="556"/>
        </w:numPr>
        <w:tabs>
          <w:tab w:val="left" w:pos="1576"/>
        </w:tabs>
        <w:rPr>
          <w:sz w:val="21"/>
        </w:rPr>
      </w:pPr>
      <w:r>
        <w:rPr>
          <w:spacing w:val="-5"/>
          <w:sz w:val="21"/>
        </w:rPr>
        <w:t>防火锁应经国家认可授权检测机构检验合格，其耐火性能应符合附录</w:t>
      </w:r>
      <w:r>
        <w:rPr>
          <w:spacing w:val="-5"/>
          <w:sz w:val="21"/>
        </w:rPr>
        <w:t xml:space="preserve"> </w:t>
      </w:r>
      <w:r>
        <w:rPr>
          <w:sz w:val="21"/>
        </w:rPr>
        <w:t>A</w:t>
      </w:r>
      <w:r>
        <w:rPr>
          <w:spacing w:val="-13"/>
          <w:sz w:val="21"/>
        </w:rPr>
        <w:t xml:space="preserve"> </w:t>
      </w:r>
      <w:r>
        <w:rPr>
          <w:spacing w:val="-13"/>
          <w:sz w:val="21"/>
        </w:rPr>
        <w:t>的规定。</w:t>
      </w:r>
      <w:r>
        <w:rPr>
          <w:sz w:val="21"/>
        </w:rPr>
        <w:t xml:space="preserve"> </w:t>
      </w:r>
    </w:p>
    <w:p w14:paraId="44C85324" w14:textId="77777777" w:rsidR="00A71EEF" w:rsidRDefault="00A71EEF">
      <w:pPr>
        <w:pStyle w:val="a3"/>
        <w:spacing w:before="12"/>
        <w:rPr>
          <w:sz w:val="17"/>
        </w:rPr>
      </w:pPr>
    </w:p>
    <w:p w14:paraId="542A6671" w14:textId="77777777" w:rsidR="00A71EEF" w:rsidRDefault="0081115D">
      <w:pPr>
        <w:pStyle w:val="a4"/>
        <w:numPr>
          <w:ilvl w:val="2"/>
          <w:numId w:val="556"/>
        </w:numPr>
        <w:tabs>
          <w:tab w:val="left" w:pos="1370"/>
        </w:tabs>
        <w:ind w:hanging="530"/>
        <w:rPr>
          <w:b/>
          <w:sz w:val="21"/>
        </w:rPr>
      </w:pPr>
      <w:r>
        <w:rPr>
          <w:spacing w:val="-3"/>
          <w:sz w:val="21"/>
        </w:rPr>
        <w:t>防火合页（</w:t>
      </w:r>
      <w:r>
        <w:rPr>
          <w:spacing w:val="-2"/>
          <w:sz w:val="21"/>
        </w:rPr>
        <w:t>铰链</w:t>
      </w:r>
      <w:r>
        <w:rPr>
          <w:spacing w:val="-3"/>
          <w:sz w:val="21"/>
        </w:rPr>
        <w:t>）</w:t>
      </w:r>
      <w:r>
        <w:rPr>
          <w:b/>
          <w:w w:val="99"/>
          <w:sz w:val="21"/>
        </w:rPr>
        <w:t xml:space="preserve"> </w:t>
      </w:r>
    </w:p>
    <w:p w14:paraId="79A8D922" w14:textId="77777777" w:rsidR="00A71EEF" w:rsidRDefault="00A71EEF">
      <w:pPr>
        <w:pStyle w:val="a3"/>
        <w:spacing w:before="12"/>
        <w:rPr>
          <w:b/>
          <w:sz w:val="17"/>
        </w:rPr>
      </w:pPr>
    </w:p>
    <w:p w14:paraId="5D9EF69E" w14:textId="77777777" w:rsidR="00A71EEF" w:rsidRDefault="0081115D">
      <w:pPr>
        <w:pStyle w:val="a3"/>
        <w:spacing w:line="446" w:lineRule="auto"/>
        <w:ind w:left="840" w:right="2443" w:hanging="3"/>
        <w:rPr>
          <w:b/>
        </w:rPr>
      </w:pPr>
      <w:r>
        <w:t>防火门用合页（铰链）板厚应不少于</w:t>
      </w:r>
      <w:r>
        <w:t xml:space="preserve"> 3 mm</w:t>
      </w:r>
      <w:r>
        <w:t>，其耐火性能应符合附录</w:t>
      </w:r>
      <w:r>
        <w:t xml:space="preserve"> B </w:t>
      </w:r>
      <w:r>
        <w:t>的规定。</w:t>
      </w:r>
      <w:r>
        <w:rPr>
          <w:b/>
        </w:rPr>
        <w:t xml:space="preserve">5.3.3 </w:t>
      </w:r>
      <w:r>
        <w:t>防火闭门装置</w:t>
      </w:r>
      <w:r>
        <w:rPr>
          <w:b/>
          <w:w w:val="99"/>
        </w:rPr>
        <w:t xml:space="preserve"> </w:t>
      </w:r>
    </w:p>
    <w:p w14:paraId="3668029C" w14:textId="77777777" w:rsidR="00A71EEF" w:rsidRDefault="0081115D">
      <w:pPr>
        <w:pStyle w:val="a4"/>
        <w:numPr>
          <w:ilvl w:val="3"/>
          <w:numId w:val="555"/>
        </w:numPr>
        <w:tabs>
          <w:tab w:val="left" w:pos="1576"/>
        </w:tabs>
        <w:spacing w:before="1" w:line="446" w:lineRule="auto"/>
        <w:ind w:right="1609" w:firstLine="419"/>
        <w:rPr>
          <w:sz w:val="21"/>
        </w:rPr>
      </w:pPr>
      <w:r>
        <w:rPr>
          <w:spacing w:val="-3"/>
          <w:sz w:val="21"/>
        </w:rPr>
        <w:t>防火门应安装防火门闭门器，或设置让常开防火门在火灾发生时能自动关闭门扇的闭门装置</w:t>
      </w:r>
      <w:r>
        <w:rPr>
          <w:sz w:val="21"/>
        </w:rPr>
        <w:t>（</w:t>
      </w:r>
      <w:r>
        <w:rPr>
          <w:spacing w:val="-3"/>
          <w:sz w:val="21"/>
        </w:rPr>
        <w:t>特殊部位使用除外，如管道井门等）</w:t>
      </w:r>
      <w:r>
        <w:rPr>
          <w:sz w:val="21"/>
        </w:rPr>
        <w:t>。</w:t>
      </w:r>
      <w:r>
        <w:rPr>
          <w:sz w:val="21"/>
        </w:rPr>
        <w:t xml:space="preserve"> </w:t>
      </w:r>
    </w:p>
    <w:p w14:paraId="4F38F423" w14:textId="77777777" w:rsidR="00A71EEF" w:rsidRDefault="0081115D">
      <w:pPr>
        <w:pStyle w:val="a4"/>
        <w:numPr>
          <w:ilvl w:val="3"/>
          <w:numId w:val="555"/>
        </w:numPr>
        <w:tabs>
          <w:tab w:val="left" w:pos="1576"/>
        </w:tabs>
        <w:spacing w:line="446" w:lineRule="auto"/>
        <w:ind w:right="1820" w:firstLine="419"/>
        <w:rPr>
          <w:sz w:val="21"/>
        </w:rPr>
      </w:pPr>
      <w:r>
        <w:rPr>
          <w:spacing w:val="-5"/>
          <w:sz w:val="21"/>
        </w:rPr>
        <w:t>防火门闭门器应经国家认可授权检测机构检验合格，其性能应符合</w:t>
      </w:r>
      <w:r>
        <w:rPr>
          <w:spacing w:val="-5"/>
          <w:sz w:val="21"/>
        </w:rPr>
        <w:t xml:space="preserve"> </w:t>
      </w:r>
      <w:r>
        <w:rPr>
          <w:sz w:val="21"/>
        </w:rPr>
        <w:t>GA</w:t>
      </w:r>
      <w:r>
        <w:rPr>
          <w:spacing w:val="13"/>
          <w:sz w:val="21"/>
        </w:rPr>
        <w:t xml:space="preserve"> </w:t>
      </w:r>
      <w:r>
        <w:rPr>
          <w:sz w:val="21"/>
        </w:rPr>
        <w:t>93</w:t>
      </w:r>
      <w:r>
        <w:rPr>
          <w:spacing w:val="-17"/>
          <w:sz w:val="21"/>
        </w:rPr>
        <w:t xml:space="preserve"> </w:t>
      </w:r>
      <w:r>
        <w:rPr>
          <w:spacing w:val="-17"/>
          <w:sz w:val="21"/>
        </w:rPr>
        <w:t>的规</w:t>
      </w:r>
      <w:r>
        <w:rPr>
          <w:spacing w:val="-10"/>
          <w:sz w:val="21"/>
        </w:rPr>
        <w:t>定。</w:t>
      </w:r>
      <w:r>
        <w:rPr>
          <w:sz w:val="21"/>
        </w:rPr>
        <w:t xml:space="preserve"> </w:t>
      </w:r>
    </w:p>
    <w:p w14:paraId="56FAB7E8" w14:textId="77777777" w:rsidR="00A71EEF" w:rsidRDefault="0081115D">
      <w:pPr>
        <w:pStyle w:val="a4"/>
        <w:numPr>
          <w:ilvl w:val="3"/>
          <w:numId w:val="555"/>
        </w:numPr>
        <w:tabs>
          <w:tab w:val="left" w:pos="1576"/>
        </w:tabs>
        <w:spacing w:line="267" w:lineRule="exact"/>
        <w:ind w:left="1575"/>
        <w:rPr>
          <w:sz w:val="21"/>
        </w:rPr>
      </w:pPr>
      <w:r>
        <w:rPr>
          <w:spacing w:val="-3"/>
          <w:sz w:val="21"/>
        </w:rPr>
        <w:t>自动关闭门扇的闭门装置，应经国家认可授权检测机构检验合格。</w:t>
      </w:r>
      <w:r>
        <w:rPr>
          <w:spacing w:val="-3"/>
          <w:sz w:val="21"/>
        </w:rPr>
        <w:t xml:space="preserve"> </w:t>
      </w:r>
    </w:p>
    <w:p w14:paraId="6B6E2D46" w14:textId="77777777" w:rsidR="00A71EEF" w:rsidRDefault="00A71EEF">
      <w:pPr>
        <w:pStyle w:val="a3"/>
        <w:spacing w:before="2"/>
        <w:rPr>
          <w:sz w:val="18"/>
        </w:rPr>
      </w:pPr>
    </w:p>
    <w:p w14:paraId="7CCBC924" w14:textId="77777777" w:rsidR="00A71EEF" w:rsidRDefault="0081115D">
      <w:pPr>
        <w:pStyle w:val="a4"/>
        <w:numPr>
          <w:ilvl w:val="2"/>
          <w:numId w:val="554"/>
        </w:numPr>
        <w:tabs>
          <w:tab w:val="left" w:pos="1370"/>
        </w:tabs>
        <w:ind w:hanging="530"/>
        <w:rPr>
          <w:b/>
          <w:sz w:val="21"/>
        </w:rPr>
      </w:pPr>
      <w:r>
        <w:rPr>
          <w:spacing w:val="-3"/>
          <w:sz w:val="21"/>
        </w:rPr>
        <w:t>防火顺序器</w:t>
      </w:r>
      <w:r>
        <w:rPr>
          <w:b/>
          <w:spacing w:val="-3"/>
          <w:w w:val="99"/>
          <w:sz w:val="21"/>
        </w:rPr>
        <w:t xml:space="preserve"> </w:t>
      </w:r>
    </w:p>
    <w:p w14:paraId="30F06DE1" w14:textId="77777777" w:rsidR="00A71EEF" w:rsidRDefault="00A71EEF">
      <w:pPr>
        <w:pStyle w:val="a3"/>
        <w:spacing w:before="12"/>
        <w:rPr>
          <w:b/>
          <w:sz w:val="17"/>
        </w:rPr>
      </w:pPr>
    </w:p>
    <w:p w14:paraId="12B417B3" w14:textId="77777777" w:rsidR="00A71EEF" w:rsidRDefault="0081115D">
      <w:pPr>
        <w:pStyle w:val="a3"/>
        <w:spacing w:before="1" w:line="446" w:lineRule="auto"/>
        <w:ind w:left="418" w:right="1609" w:firstLine="419"/>
      </w:pPr>
      <w:r>
        <w:t>双扇、多扇防火门设置盖缝板或止口的应安装顺序器（特殊部位使用除外），其耐火性能应符合附录</w:t>
      </w:r>
      <w:r>
        <w:t xml:space="preserve">C </w:t>
      </w:r>
      <w:r>
        <w:t>的规定。</w:t>
      </w:r>
      <w:r>
        <w:t xml:space="preserve"> </w:t>
      </w:r>
    </w:p>
    <w:p w14:paraId="21FDE208" w14:textId="77777777" w:rsidR="00A71EEF" w:rsidRDefault="0081115D">
      <w:pPr>
        <w:pStyle w:val="a4"/>
        <w:numPr>
          <w:ilvl w:val="2"/>
          <w:numId w:val="554"/>
        </w:numPr>
        <w:tabs>
          <w:tab w:val="left" w:pos="1370"/>
        </w:tabs>
        <w:ind w:hanging="530"/>
        <w:rPr>
          <w:b/>
          <w:sz w:val="21"/>
        </w:rPr>
      </w:pPr>
      <w:r>
        <w:rPr>
          <w:spacing w:val="-3"/>
          <w:sz w:val="21"/>
        </w:rPr>
        <w:t>防火插销</w:t>
      </w:r>
      <w:r>
        <w:rPr>
          <w:b/>
          <w:w w:val="99"/>
          <w:sz w:val="21"/>
        </w:rPr>
        <w:t xml:space="preserve"> </w:t>
      </w:r>
    </w:p>
    <w:p w14:paraId="23D502A2" w14:textId="77777777" w:rsidR="00A71EEF" w:rsidRDefault="00A71EEF">
      <w:pPr>
        <w:rPr>
          <w:sz w:val="21"/>
        </w:rPr>
        <w:sectPr w:rsidR="00A71EEF">
          <w:pgSz w:w="11910" w:h="16850"/>
          <w:pgMar w:top="1220" w:right="0" w:bottom="1420" w:left="1260" w:header="0" w:footer="1239" w:gutter="0"/>
          <w:cols w:space="720"/>
        </w:sectPr>
      </w:pPr>
    </w:p>
    <w:p w14:paraId="3DD2BD65" w14:textId="77777777" w:rsidR="00A71EEF" w:rsidRDefault="0081115D">
      <w:pPr>
        <w:pStyle w:val="a3"/>
        <w:spacing w:before="47" w:line="446" w:lineRule="auto"/>
        <w:ind w:left="418" w:right="1609" w:firstLine="419"/>
      </w:pPr>
      <w:r>
        <w:t>采用钢质防火插销，应安装在双扇防火门或多扇防火门的相对固定一侧的门扇上（若有要求时），其耐火性能应符合附录</w:t>
      </w:r>
      <w:r>
        <w:t xml:space="preserve"> D </w:t>
      </w:r>
      <w:r>
        <w:t>的规定。</w:t>
      </w:r>
      <w:r>
        <w:t xml:space="preserve"> </w:t>
      </w:r>
    </w:p>
    <w:p w14:paraId="58B89C8A" w14:textId="77777777" w:rsidR="00A71EEF" w:rsidRDefault="0081115D">
      <w:pPr>
        <w:pStyle w:val="a4"/>
        <w:numPr>
          <w:ilvl w:val="2"/>
          <w:numId w:val="554"/>
        </w:numPr>
        <w:tabs>
          <w:tab w:val="left" w:pos="1370"/>
        </w:tabs>
        <w:spacing w:line="267" w:lineRule="exact"/>
        <w:ind w:hanging="530"/>
        <w:rPr>
          <w:b/>
          <w:sz w:val="21"/>
        </w:rPr>
      </w:pPr>
      <w:r>
        <w:rPr>
          <w:spacing w:val="-3"/>
          <w:sz w:val="21"/>
        </w:rPr>
        <w:t>盖缝板</w:t>
      </w:r>
      <w:r>
        <w:rPr>
          <w:b/>
          <w:w w:val="99"/>
          <w:sz w:val="21"/>
        </w:rPr>
        <w:t xml:space="preserve"> </w:t>
      </w:r>
    </w:p>
    <w:p w14:paraId="3D5A3399" w14:textId="77777777" w:rsidR="00A71EEF" w:rsidRDefault="00A71EEF">
      <w:pPr>
        <w:pStyle w:val="a3"/>
        <w:spacing w:before="2"/>
        <w:rPr>
          <w:b/>
          <w:sz w:val="18"/>
        </w:rPr>
      </w:pPr>
    </w:p>
    <w:p w14:paraId="487A49C6" w14:textId="77777777" w:rsidR="00A71EEF" w:rsidRDefault="0081115D">
      <w:pPr>
        <w:pStyle w:val="a4"/>
        <w:numPr>
          <w:ilvl w:val="3"/>
          <w:numId w:val="554"/>
        </w:numPr>
        <w:tabs>
          <w:tab w:val="left" w:pos="1576"/>
        </w:tabs>
        <w:rPr>
          <w:sz w:val="21"/>
        </w:rPr>
      </w:pPr>
      <w:r>
        <w:rPr>
          <w:spacing w:val="-3"/>
          <w:sz w:val="21"/>
        </w:rPr>
        <w:t>平口或止口结构的双扇防火门宜设盖缝板。</w:t>
      </w:r>
      <w:r>
        <w:rPr>
          <w:spacing w:val="-3"/>
          <w:sz w:val="21"/>
        </w:rPr>
        <w:t xml:space="preserve"> </w:t>
      </w:r>
    </w:p>
    <w:p w14:paraId="166D1EED" w14:textId="77777777" w:rsidR="00A71EEF" w:rsidRDefault="00A71EEF">
      <w:pPr>
        <w:pStyle w:val="a3"/>
        <w:rPr>
          <w:sz w:val="18"/>
        </w:rPr>
      </w:pPr>
    </w:p>
    <w:p w14:paraId="73483672" w14:textId="77777777" w:rsidR="00A71EEF" w:rsidRDefault="0081115D">
      <w:pPr>
        <w:pStyle w:val="a4"/>
        <w:numPr>
          <w:ilvl w:val="3"/>
          <w:numId w:val="554"/>
        </w:numPr>
        <w:tabs>
          <w:tab w:val="left" w:pos="1576"/>
        </w:tabs>
        <w:rPr>
          <w:sz w:val="21"/>
        </w:rPr>
      </w:pPr>
      <w:r>
        <w:rPr>
          <w:spacing w:val="-3"/>
          <w:sz w:val="21"/>
        </w:rPr>
        <w:t>盖缝板与门扇连接应牢固。</w:t>
      </w:r>
      <w:r>
        <w:rPr>
          <w:sz w:val="21"/>
        </w:rPr>
        <w:t xml:space="preserve"> </w:t>
      </w:r>
    </w:p>
    <w:p w14:paraId="345DB724" w14:textId="77777777" w:rsidR="00A71EEF" w:rsidRDefault="00A71EEF">
      <w:pPr>
        <w:pStyle w:val="a3"/>
        <w:spacing w:before="12"/>
        <w:rPr>
          <w:sz w:val="17"/>
        </w:rPr>
      </w:pPr>
    </w:p>
    <w:p w14:paraId="0A47A025" w14:textId="77777777" w:rsidR="00A71EEF" w:rsidRDefault="0081115D">
      <w:pPr>
        <w:pStyle w:val="a4"/>
        <w:numPr>
          <w:ilvl w:val="3"/>
          <w:numId w:val="554"/>
        </w:numPr>
        <w:tabs>
          <w:tab w:val="left" w:pos="1576"/>
        </w:tabs>
        <w:rPr>
          <w:sz w:val="21"/>
        </w:rPr>
      </w:pPr>
      <w:r>
        <w:rPr>
          <w:spacing w:val="-3"/>
          <w:sz w:val="21"/>
        </w:rPr>
        <w:t>盖缝板不应妨碍门扇的正常启闭。</w:t>
      </w:r>
      <w:r>
        <w:rPr>
          <w:sz w:val="21"/>
        </w:rPr>
        <w:t xml:space="preserve"> </w:t>
      </w:r>
    </w:p>
    <w:p w14:paraId="78D76A87" w14:textId="77777777" w:rsidR="00A71EEF" w:rsidRDefault="00A71EEF">
      <w:pPr>
        <w:pStyle w:val="a3"/>
        <w:spacing w:before="2"/>
        <w:rPr>
          <w:sz w:val="18"/>
        </w:rPr>
      </w:pPr>
    </w:p>
    <w:p w14:paraId="7B1EBAFF" w14:textId="77777777" w:rsidR="00A71EEF" w:rsidRDefault="0081115D">
      <w:pPr>
        <w:pStyle w:val="a4"/>
        <w:numPr>
          <w:ilvl w:val="2"/>
          <w:numId w:val="554"/>
        </w:numPr>
        <w:tabs>
          <w:tab w:val="left" w:pos="1371"/>
        </w:tabs>
        <w:ind w:left="1370" w:hanging="531"/>
        <w:rPr>
          <w:b/>
          <w:sz w:val="21"/>
        </w:rPr>
      </w:pPr>
      <w:r>
        <w:rPr>
          <w:spacing w:val="-1"/>
          <w:sz w:val="21"/>
        </w:rPr>
        <w:t>防火密封件</w:t>
      </w:r>
      <w:r>
        <w:rPr>
          <w:b/>
          <w:spacing w:val="-1"/>
          <w:w w:val="99"/>
          <w:sz w:val="21"/>
        </w:rPr>
        <w:t xml:space="preserve"> </w:t>
      </w:r>
    </w:p>
    <w:p w14:paraId="64F8AF83" w14:textId="77777777" w:rsidR="00A71EEF" w:rsidRDefault="00A71EEF">
      <w:pPr>
        <w:pStyle w:val="a3"/>
        <w:rPr>
          <w:b/>
          <w:sz w:val="18"/>
        </w:rPr>
      </w:pPr>
    </w:p>
    <w:p w14:paraId="33721D91" w14:textId="77777777" w:rsidR="00A71EEF" w:rsidRDefault="0081115D">
      <w:pPr>
        <w:pStyle w:val="a4"/>
        <w:numPr>
          <w:ilvl w:val="3"/>
          <w:numId w:val="554"/>
        </w:numPr>
        <w:tabs>
          <w:tab w:val="left" w:pos="1576"/>
        </w:tabs>
        <w:rPr>
          <w:sz w:val="21"/>
        </w:rPr>
      </w:pPr>
      <w:r>
        <w:rPr>
          <w:spacing w:val="-3"/>
          <w:sz w:val="21"/>
        </w:rPr>
        <w:t>防火门门框与门扇、门扇与门扇的缝隙处应嵌装防火密封件。</w:t>
      </w:r>
      <w:r>
        <w:rPr>
          <w:sz w:val="21"/>
        </w:rPr>
        <w:t xml:space="preserve"> </w:t>
      </w:r>
    </w:p>
    <w:p w14:paraId="3BE50982" w14:textId="77777777" w:rsidR="00A71EEF" w:rsidRDefault="00A71EEF">
      <w:pPr>
        <w:pStyle w:val="a3"/>
        <w:spacing w:before="12"/>
        <w:rPr>
          <w:sz w:val="17"/>
        </w:rPr>
      </w:pPr>
    </w:p>
    <w:p w14:paraId="5CAAA527" w14:textId="77777777" w:rsidR="00A71EEF" w:rsidRDefault="0081115D">
      <w:pPr>
        <w:pStyle w:val="a4"/>
        <w:numPr>
          <w:ilvl w:val="3"/>
          <w:numId w:val="554"/>
        </w:numPr>
        <w:tabs>
          <w:tab w:val="left" w:pos="1576"/>
        </w:tabs>
        <w:spacing w:line="446" w:lineRule="auto"/>
        <w:ind w:left="418" w:right="1719" w:firstLine="419"/>
        <w:rPr>
          <w:sz w:val="21"/>
        </w:rPr>
      </w:pPr>
      <w:r>
        <w:rPr>
          <w:spacing w:val="-5"/>
          <w:sz w:val="21"/>
        </w:rPr>
        <w:t>防火密封件应经国家认可授权检测机构检验合格，其性能应符合</w:t>
      </w:r>
      <w:r>
        <w:rPr>
          <w:spacing w:val="-5"/>
          <w:sz w:val="21"/>
        </w:rPr>
        <w:t xml:space="preserve"> </w:t>
      </w:r>
      <w:r>
        <w:rPr>
          <w:spacing w:val="-3"/>
          <w:sz w:val="21"/>
        </w:rPr>
        <w:t>GB</w:t>
      </w:r>
      <w:r>
        <w:rPr>
          <w:spacing w:val="13"/>
          <w:sz w:val="21"/>
        </w:rPr>
        <w:t xml:space="preserve"> </w:t>
      </w:r>
      <w:r>
        <w:rPr>
          <w:sz w:val="21"/>
        </w:rPr>
        <w:t>16807</w:t>
      </w:r>
      <w:r>
        <w:rPr>
          <w:spacing w:val="-19"/>
          <w:sz w:val="21"/>
        </w:rPr>
        <w:t xml:space="preserve"> </w:t>
      </w:r>
      <w:r>
        <w:rPr>
          <w:spacing w:val="-19"/>
          <w:sz w:val="21"/>
        </w:rPr>
        <w:t>的规</w:t>
      </w:r>
      <w:r>
        <w:rPr>
          <w:spacing w:val="-2"/>
          <w:sz w:val="21"/>
        </w:rPr>
        <w:t>定。</w:t>
      </w:r>
      <w:r>
        <w:rPr>
          <w:sz w:val="21"/>
        </w:rPr>
        <w:t xml:space="preserve"> </w:t>
      </w:r>
    </w:p>
    <w:p w14:paraId="198EBCB6" w14:textId="77777777" w:rsidR="00A71EEF" w:rsidRDefault="0081115D">
      <w:pPr>
        <w:pStyle w:val="a4"/>
        <w:numPr>
          <w:ilvl w:val="2"/>
          <w:numId w:val="554"/>
        </w:numPr>
        <w:tabs>
          <w:tab w:val="left" w:pos="1370"/>
        </w:tabs>
        <w:ind w:hanging="530"/>
        <w:rPr>
          <w:b/>
          <w:sz w:val="21"/>
        </w:rPr>
      </w:pPr>
      <w:r>
        <w:rPr>
          <w:spacing w:val="-3"/>
          <w:sz w:val="21"/>
        </w:rPr>
        <w:t>防火玻璃</w:t>
      </w:r>
      <w:r>
        <w:rPr>
          <w:b/>
          <w:w w:val="99"/>
          <w:sz w:val="21"/>
        </w:rPr>
        <w:t xml:space="preserve"> </w:t>
      </w:r>
    </w:p>
    <w:p w14:paraId="13EA490B" w14:textId="77777777" w:rsidR="00A71EEF" w:rsidRDefault="00A71EEF">
      <w:pPr>
        <w:pStyle w:val="a3"/>
        <w:rPr>
          <w:b/>
          <w:sz w:val="18"/>
        </w:rPr>
      </w:pPr>
    </w:p>
    <w:p w14:paraId="1E00E3F2" w14:textId="77777777" w:rsidR="00A71EEF" w:rsidRDefault="0081115D">
      <w:pPr>
        <w:pStyle w:val="a4"/>
        <w:numPr>
          <w:ilvl w:val="3"/>
          <w:numId w:val="554"/>
        </w:numPr>
        <w:tabs>
          <w:tab w:val="left" w:pos="1576"/>
        </w:tabs>
        <w:rPr>
          <w:sz w:val="21"/>
        </w:rPr>
      </w:pPr>
      <w:r>
        <w:rPr>
          <w:spacing w:val="-3"/>
          <w:sz w:val="21"/>
        </w:rPr>
        <w:t>防火门上镶嵌防火玻璃的类型</w:t>
      </w:r>
      <w:r>
        <w:rPr>
          <w:sz w:val="21"/>
        </w:rPr>
        <w:t xml:space="preserve"> </w:t>
      </w:r>
    </w:p>
    <w:p w14:paraId="23357031" w14:textId="77777777" w:rsidR="00A71EEF" w:rsidRDefault="00A71EEF">
      <w:pPr>
        <w:pStyle w:val="a3"/>
        <w:spacing w:before="2"/>
        <w:rPr>
          <w:sz w:val="18"/>
        </w:rPr>
      </w:pPr>
    </w:p>
    <w:p w14:paraId="541DC0E5" w14:textId="77777777" w:rsidR="00A71EEF" w:rsidRDefault="0081115D">
      <w:pPr>
        <w:pStyle w:val="a4"/>
        <w:numPr>
          <w:ilvl w:val="4"/>
          <w:numId w:val="554"/>
        </w:numPr>
        <w:tabs>
          <w:tab w:val="left" w:pos="1788"/>
        </w:tabs>
        <w:rPr>
          <w:sz w:val="21"/>
        </w:rPr>
      </w:pPr>
      <w:r>
        <w:rPr>
          <w:sz w:val="21"/>
        </w:rPr>
        <w:t>A</w:t>
      </w:r>
      <w:r>
        <w:rPr>
          <w:spacing w:val="-10"/>
          <w:sz w:val="21"/>
        </w:rPr>
        <w:t xml:space="preserve"> </w:t>
      </w:r>
      <w:r>
        <w:rPr>
          <w:spacing w:val="-10"/>
          <w:sz w:val="21"/>
        </w:rPr>
        <w:t>类防火门若镶嵌防火玻璃，其耐火性能应符合</w:t>
      </w:r>
      <w:r>
        <w:rPr>
          <w:spacing w:val="-10"/>
          <w:sz w:val="21"/>
        </w:rPr>
        <w:t xml:space="preserve"> </w:t>
      </w:r>
      <w:r>
        <w:rPr>
          <w:sz w:val="21"/>
        </w:rPr>
        <w:t>A</w:t>
      </w:r>
      <w:r>
        <w:rPr>
          <w:spacing w:val="-8"/>
          <w:sz w:val="21"/>
        </w:rPr>
        <w:t xml:space="preserve"> </w:t>
      </w:r>
      <w:r>
        <w:rPr>
          <w:spacing w:val="-8"/>
          <w:sz w:val="21"/>
        </w:rPr>
        <w:t>类防火门的条件。</w:t>
      </w:r>
      <w:r>
        <w:rPr>
          <w:sz w:val="21"/>
        </w:rPr>
        <w:t xml:space="preserve"> </w:t>
      </w:r>
    </w:p>
    <w:p w14:paraId="147DFAC5" w14:textId="77777777" w:rsidR="00A71EEF" w:rsidRDefault="00A71EEF">
      <w:pPr>
        <w:pStyle w:val="a3"/>
        <w:spacing w:before="12"/>
        <w:rPr>
          <w:sz w:val="17"/>
        </w:rPr>
      </w:pPr>
    </w:p>
    <w:p w14:paraId="400A086C" w14:textId="77777777" w:rsidR="00A71EEF" w:rsidRDefault="0081115D">
      <w:pPr>
        <w:pStyle w:val="a4"/>
        <w:numPr>
          <w:ilvl w:val="4"/>
          <w:numId w:val="554"/>
        </w:numPr>
        <w:tabs>
          <w:tab w:val="left" w:pos="1788"/>
        </w:tabs>
        <w:rPr>
          <w:sz w:val="21"/>
        </w:rPr>
      </w:pPr>
      <w:r>
        <w:rPr>
          <w:sz w:val="21"/>
        </w:rPr>
        <w:t>B</w:t>
      </w:r>
      <w:r>
        <w:rPr>
          <w:spacing w:val="-10"/>
          <w:sz w:val="21"/>
        </w:rPr>
        <w:t xml:space="preserve"> </w:t>
      </w:r>
      <w:r>
        <w:rPr>
          <w:spacing w:val="-10"/>
          <w:sz w:val="21"/>
        </w:rPr>
        <w:t>类防火门若镶嵌防火玻璃，其耐火性能应符合</w:t>
      </w:r>
      <w:r>
        <w:rPr>
          <w:spacing w:val="-10"/>
          <w:sz w:val="21"/>
        </w:rPr>
        <w:t xml:space="preserve"> </w:t>
      </w:r>
      <w:r>
        <w:rPr>
          <w:sz w:val="21"/>
        </w:rPr>
        <w:t>B</w:t>
      </w:r>
      <w:r>
        <w:rPr>
          <w:spacing w:val="-8"/>
          <w:sz w:val="21"/>
        </w:rPr>
        <w:t xml:space="preserve"> </w:t>
      </w:r>
      <w:r>
        <w:rPr>
          <w:spacing w:val="-8"/>
          <w:sz w:val="21"/>
        </w:rPr>
        <w:t>类防火门的条件。</w:t>
      </w:r>
      <w:r>
        <w:rPr>
          <w:sz w:val="21"/>
        </w:rPr>
        <w:t xml:space="preserve"> </w:t>
      </w:r>
    </w:p>
    <w:p w14:paraId="5BF1DB31" w14:textId="77777777" w:rsidR="00A71EEF" w:rsidRDefault="00A71EEF">
      <w:pPr>
        <w:pStyle w:val="a3"/>
        <w:rPr>
          <w:sz w:val="18"/>
        </w:rPr>
      </w:pPr>
    </w:p>
    <w:p w14:paraId="6872DD56" w14:textId="77777777" w:rsidR="00A71EEF" w:rsidRDefault="0081115D">
      <w:pPr>
        <w:pStyle w:val="a4"/>
        <w:numPr>
          <w:ilvl w:val="4"/>
          <w:numId w:val="554"/>
        </w:numPr>
        <w:tabs>
          <w:tab w:val="left" w:pos="1788"/>
        </w:tabs>
        <w:rPr>
          <w:sz w:val="21"/>
        </w:rPr>
      </w:pPr>
      <w:r>
        <w:rPr>
          <w:sz w:val="21"/>
        </w:rPr>
        <w:t>C</w:t>
      </w:r>
      <w:r>
        <w:rPr>
          <w:spacing w:val="-10"/>
          <w:sz w:val="21"/>
        </w:rPr>
        <w:t xml:space="preserve"> </w:t>
      </w:r>
      <w:r>
        <w:rPr>
          <w:spacing w:val="-10"/>
          <w:sz w:val="21"/>
        </w:rPr>
        <w:t>类防火门若镶嵌防火玻璃，其耐火性能应符合</w:t>
      </w:r>
      <w:r>
        <w:rPr>
          <w:spacing w:val="-10"/>
          <w:sz w:val="21"/>
        </w:rPr>
        <w:t xml:space="preserve"> </w:t>
      </w:r>
      <w:r>
        <w:rPr>
          <w:sz w:val="21"/>
        </w:rPr>
        <w:t>C</w:t>
      </w:r>
      <w:r>
        <w:rPr>
          <w:spacing w:val="-8"/>
          <w:sz w:val="21"/>
        </w:rPr>
        <w:t xml:space="preserve"> </w:t>
      </w:r>
      <w:r>
        <w:rPr>
          <w:spacing w:val="-8"/>
          <w:sz w:val="21"/>
        </w:rPr>
        <w:t>类防火门的条件。</w:t>
      </w:r>
      <w:r>
        <w:rPr>
          <w:sz w:val="21"/>
        </w:rPr>
        <w:t xml:space="preserve"> </w:t>
      </w:r>
    </w:p>
    <w:p w14:paraId="19A213B9" w14:textId="77777777" w:rsidR="00A71EEF" w:rsidRDefault="00A71EEF">
      <w:pPr>
        <w:pStyle w:val="a3"/>
        <w:spacing w:before="2"/>
        <w:rPr>
          <w:sz w:val="18"/>
        </w:rPr>
      </w:pPr>
    </w:p>
    <w:p w14:paraId="79DB4DC3" w14:textId="77777777" w:rsidR="00A71EEF" w:rsidRDefault="0081115D">
      <w:pPr>
        <w:pStyle w:val="a4"/>
        <w:numPr>
          <w:ilvl w:val="3"/>
          <w:numId w:val="554"/>
        </w:numPr>
        <w:tabs>
          <w:tab w:val="left" w:pos="1576"/>
        </w:tabs>
        <w:spacing w:line="446" w:lineRule="auto"/>
        <w:ind w:left="418" w:right="1719" w:firstLine="419"/>
        <w:rPr>
          <w:sz w:val="21"/>
        </w:rPr>
      </w:pPr>
      <w:r>
        <w:rPr>
          <w:spacing w:val="-5"/>
          <w:sz w:val="21"/>
        </w:rPr>
        <w:t>防火玻璃应经国家认可授权检测机构检验合格，其性能应符合</w:t>
      </w:r>
      <w:r>
        <w:rPr>
          <w:spacing w:val="-5"/>
          <w:sz w:val="21"/>
        </w:rPr>
        <w:t xml:space="preserve"> </w:t>
      </w:r>
      <w:r>
        <w:rPr>
          <w:sz w:val="21"/>
        </w:rPr>
        <w:t>GB</w:t>
      </w:r>
      <w:r>
        <w:rPr>
          <w:spacing w:val="8"/>
          <w:sz w:val="21"/>
        </w:rPr>
        <w:t xml:space="preserve"> </w:t>
      </w:r>
      <w:r>
        <w:rPr>
          <w:sz w:val="21"/>
        </w:rPr>
        <w:t>15763.1</w:t>
      </w:r>
      <w:r>
        <w:rPr>
          <w:spacing w:val="-18"/>
          <w:sz w:val="21"/>
        </w:rPr>
        <w:t xml:space="preserve"> </w:t>
      </w:r>
      <w:r>
        <w:rPr>
          <w:spacing w:val="-18"/>
          <w:sz w:val="21"/>
        </w:rPr>
        <w:t>的规</w:t>
      </w:r>
      <w:r>
        <w:rPr>
          <w:spacing w:val="-2"/>
          <w:sz w:val="21"/>
        </w:rPr>
        <w:t>定。</w:t>
      </w:r>
      <w:r>
        <w:rPr>
          <w:sz w:val="21"/>
        </w:rPr>
        <w:t xml:space="preserve"> </w:t>
      </w:r>
    </w:p>
    <w:p w14:paraId="6D431C76" w14:textId="77777777" w:rsidR="00A71EEF" w:rsidRDefault="0081115D">
      <w:pPr>
        <w:pStyle w:val="a4"/>
        <w:numPr>
          <w:ilvl w:val="1"/>
          <w:numId w:val="556"/>
        </w:numPr>
        <w:tabs>
          <w:tab w:val="left" w:pos="1160"/>
        </w:tabs>
        <w:spacing w:line="267" w:lineRule="exact"/>
        <w:ind w:left="1159" w:hanging="320"/>
        <w:rPr>
          <w:b/>
          <w:sz w:val="21"/>
        </w:rPr>
      </w:pPr>
      <w:r>
        <w:rPr>
          <w:spacing w:val="-3"/>
          <w:sz w:val="21"/>
        </w:rPr>
        <w:t>加工工艺和外观质量</w:t>
      </w:r>
      <w:r>
        <w:rPr>
          <w:b/>
          <w:spacing w:val="-3"/>
          <w:w w:val="99"/>
          <w:sz w:val="21"/>
        </w:rPr>
        <w:t xml:space="preserve"> </w:t>
      </w:r>
    </w:p>
    <w:p w14:paraId="42A7C6FD" w14:textId="77777777" w:rsidR="00A71EEF" w:rsidRDefault="00A71EEF">
      <w:pPr>
        <w:pStyle w:val="a3"/>
        <w:spacing w:before="2"/>
        <w:rPr>
          <w:b/>
          <w:sz w:val="18"/>
        </w:rPr>
      </w:pPr>
    </w:p>
    <w:p w14:paraId="3989B5F2" w14:textId="77777777" w:rsidR="00A71EEF" w:rsidRDefault="0081115D">
      <w:pPr>
        <w:pStyle w:val="a4"/>
        <w:numPr>
          <w:ilvl w:val="2"/>
          <w:numId w:val="556"/>
        </w:numPr>
        <w:tabs>
          <w:tab w:val="left" w:pos="1371"/>
        </w:tabs>
        <w:ind w:left="1370" w:hanging="531"/>
        <w:jc w:val="both"/>
        <w:rPr>
          <w:b/>
          <w:sz w:val="21"/>
        </w:rPr>
      </w:pPr>
      <w:r>
        <w:rPr>
          <w:spacing w:val="-2"/>
          <w:sz w:val="21"/>
        </w:rPr>
        <w:t>加工工艺质量</w:t>
      </w:r>
      <w:r>
        <w:rPr>
          <w:b/>
          <w:spacing w:val="-2"/>
          <w:w w:val="99"/>
          <w:sz w:val="21"/>
        </w:rPr>
        <w:t xml:space="preserve"> </w:t>
      </w:r>
    </w:p>
    <w:p w14:paraId="7315DD2D" w14:textId="77777777" w:rsidR="00A71EEF" w:rsidRDefault="00A71EEF">
      <w:pPr>
        <w:pStyle w:val="a3"/>
        <w:rPr>
          <w:b/>
          <w:sz w:val="18"/>
        </w:rPr>
      </w:pPr>
    </w:p>
    <w:p w14:paraId="28D30681" w14:textId="77777777" w:rsidR="00A71EEF" w:rsidRDefault="0081115D">
      <w:pPr>
        <w:pStyle w:val="a3"/>
        <w:spacing w:line="446" w:lineRule="auto"/>
        <w:ind w:left="418" w:right="1608" w:firstLine="419"/>
        <w:jc w:val="both"/>
      </w:pPr>
      <w:r>
        <w:t>使用钢质材料或难燃木材，或难燃人造板材料，或其他材质材料制作防火门的门框、门扇骨架和门扇面板，门扇内若填充材料，则应填充对人体无毒无害的防火隔热材料，与防火五金配件等共同装配成防火门，其加工工艺质量应符合</w:t>
      </w:r>
      <w:r>
        <w:t xml:space="preserve"> 5.5</w:t>
      </w:r>
      <w:r>
        <w:t>、</w:t>
      </w:r>
      <w:r>
        <w:t>5.6</w:t>
      </w:r>
      <w:r>
        <w:t>、</w:t>
      </w:r>
      <w:r>
        <w:t xml:space="preserve">5.7 </w:t>
      </w:r>
      <w:r>
        <w:t>的要求。</w:t>
      </w:r>
      <w:r>
        <w:t xml:space="preserve"> </w:t>
      </w:r>
    </w:p>
    <w:p w14:paraId="42AD3FC8" w14:textId="77777777" w:rsidR="00A71EEF" w:rsidRDefault="0081115D">
      <w:pPr>
        <w:pStyle w:val="a4"/>
        <w:numPr>
          <w:ilvl w:val="2"/>
          <w:numId w:val="556"/>
        </w:numPr>
        <w:tabs>
          <w:tab w:val="left" w:pos="1370"/>
        </w:tabs>
        <w:spacing w:line="268" w:lineRule="exact"/>
        <w:ind w:hanging="530"/>
        <w:jc w:val="both"/>
        <w:rPr>
          <w:sz w:val="21"/>
        </w:rPr>
      </w:pPr>
      <w:r>
        <w:rPr>
          <w:spacing w:val="-3"/>
          <w:sz w:val="21"/>
        </w:rPr>
        <w:t>外观质量</w:t>
      </w:r>
      <w:r>
        <w:rPr>
          <w:sz w:val="21"/>
        </w:rPr>
        <w:t xml:space="preserve"> </w:t>
      </w:r>
    </w:p>
    <w:p w14:paraId="0B74A8FC" w14:textId="77777777" w:rsidR="00A71EEF" w:rsidRDefault="00A71EEF">
      <w:pPr>
        <w:pStyle w:val="a3"/>
        <w:spacing w:before="12"/>
        <w:rPr>
          <w:sz w:val="17"/>
        </w:rPr>
      </w:pPr>
    </w:p>
    <w:p w14:paraId="15839069" w14:textId="77777777" w:rsidR="00A71EEF" w:rsidRDefault="0081115D">
      <w:pPr>
        <w:pStyle w:val="a3"/>
        <w:ind w:left="838"/>
      </w:pPr>
      <w:r>
        <w:t>采用不同材质材料制造的防火门，其外观质量应分别符合以下相应规定：</w:t>
      </w:r>
      <w:r>
        <w:t xml:space="preserve"> </w:t>
      </w:r>
    </w:p>
    <w:p w14:paraId="7347BCD8" w14:textId="77777777" w:rsidR="00A71EEF" w:rsidRDefault="00A71EEF">
      <w:pPr>
        <w:pStyle w:val="a3"/>
        <w:spacing w:before="2"/>
        <w:rPr>
          <w:sz w:val="18"/>
        </w:rPr>
      </w:pPr>
    </w:p>
    <w:p w14:paraId="2224AD39" w14:textId="77777777" w:rsidR="00A71EEF" w:rsidRDefault="0081115D">
      <w:pPr>
        <w:pStyle w:val="a4"/>
        <w:numPr>
          <w:ilvl w:val="0"/>
          <w:numId w:val="553"/>
        </w:numPr>
        <w:tabs>
          <w:tab w:val="left" w:pos="1156"/>
        </w:tabs>
        <w:spacing w:line="446" w:lineRule="auto"/>
        <w:ind w:right="1505" w:firstLine="419"/>
        <w:rPr>
          <w:sz w:val="21"/>
        </w:rPr>
      </w:pPr>
      <w:r>
        <w:rPr>
          <w:spacing w:val="-3"/>
          <w:sz w:val="21"/>
        </w:rPr>
        <w:t>、木质防火门：割角、拼缝应严实平整；胶合板不允许刨透表层单板和戗槎；表面应净光或砂磨，并不得有刨痕、毛刺和锤印；涂层应均匀、平整、光滑，不应有堆漆、气泡、漏涂以及流淌等现象；</w:t>
      </w:r>
      <w:r>
        <w:rPr>
          <w:sz w:val="21"/>
        </w:rPr>
        <w:t xml:space="preserve"> </w:t>
      </w:r>
    </w:p>
    <w:p w14:paraId="741615D5" w14:textId="77777777" w:rsidR="00A71EEF" w:rsidRDefault="00A71EEF">
      <w:pPr>
        <w:spacing w:line="446" w:lineRule="auto"/>
        <w:rPr>
          <w:sz w:val="21"/>
        </w:rPr>
        <w:sectPr w:rsidR="00A71EEF">
          <w:pgSz w:w="11910" w:h="16850"/>
          <w:pgMar w:top="1220" w:right="0" w:bottom="1420" w:left="1260" w:header="0" w:footer="1239" w:gutter="0"/>
          <w:cols w:space="720"/>
        </w:sectPr>
      </w:pPr>
    </w:p>
    <w:p w14:paraId="0E507A14" w14:textId="77777777" w:rsidR="00A71EEF" w:rsidRDefault="0081115D">
      <w:pPr>
        <w:pStyle w:val="a4"/>
        <w:numPr>
          <w:ilvl w:val="0"/>
          <w:numId w:val="553"/>
        </w:numPr>
        <w:tabs>
          <w:tab w:val="left" w:pos="1156"/>
        </w:tabs>
        <w:spacing w:before="47" w:line="446" w:lineRule="auto"/>
        <w:ind w:right="1608" w:firstLine="419"/>
        <w:rPr>
          <w:sz w:val="21"/>
        </w:rPr>
      </w:pPr>
      <w:r>
        <w:rPr>
          <w:spacing w:val="-3"/>
          <w:sz w:val="21"/>
        </w:rPr>
        <w:t>、钢质防火门：外观应平整、光洁、无明显凹痕或机械损伤；涂层、镀层应均匀、平整、光滑，不应有堆漆、麻点、气泡、漏涂以及流淌等现象；焊接应牢固、焊点分布均匀，不允许有假焊、烧穿、漏焊、夹渣或疏松等现象，外表面焊接应打磨平整；</w:t>
      </w:r>
      <w:r>
        <w:rPr>
          <w:sz w:val="21"/>
        </w:rPr>
        <w:t xml:space="preserve"> </w:t>
      </w:r>
    </w:p>
    <w:p w14:paraId="406801BF" w14:textId="77777777" w:rsidR="00A71EEF" w:rsidRDefault="0081115D">
      <w:pPr>
        <w:pStyle w:val="a4"/>
        <w:numPr>
          <w:ilvl w:val="0"/>
          <w:numId w:val="553"/>
        </w:numPr>
        <w:tabs>
          <w:tab w:val="left" w:pos="1156"/>
        </w:tabs>
        <w:spacing w:line="268" w:lineRule="exact"/>
        <w:ind w:left="1155"/>
        <w:rPr>
          <w:sz w:val="21"/>
        </w:rPr>
      </w:pPr>
      <w:r>
        <w:rPr>
          <w:spacing w:val="-7"/>
          <w:sz w:val="21"/>
        </w:rPr>
        <w:t>、钢木质防火门：外观质量应满足</w:t>
      </w:r>
      <w:r>
        <w:rPr>
          <w:spacing w:val="-7"/>
          <w:sz w:val="21"/>
        </w:rPr>
        <w:t xml:space="preserve"> </w:t>
      </w:r>
      <w:r>
        <w:rPr>
          <w:sz w:val="21"/>
        </w:rPr>
        <w:t>a</w:t>
      </w:r>
      <w:r>
        <w:rPr>
          <w:sz w:val="21"/>
        </w:rPr>
        <w:t>）、</w:t>
      </w:r>
      <w:r>
        <w:rPr>
          <w:sz w:val="21"/>
        </w:rPr>
        <w:t>b</w:t>
      </w:r>
      <w:r>
        <w:rPr>
          <w:sz w:val="21"/>
        </w:rPr>
        <w:t>）</w:t>
      </w:r>
      <w:r>
        <w:rPr>
          <w:spacing w:val="-3"/>
          <w:sz w:val="21"/>
        </w:rPr>
        <w:t>项的相关要求。</w:t>
      </w:r>
      <w:r>
        <w:rPr>
          <w:sz w:val="21"/>
        </w:rPr>
        <w:t xml:space="preserve"> </w:t>
      </w:r>
    </w:p>
    <w:p w14:paraId="7117C3DE" w14:textId="77777777" w:rsidR="00A71EEF" w:rsidRDefault="00A71EEF">
      <w:pPr>
        <w:pStyle w:val="a3"/>
        <w:rPr>
          <w:sz w:val="18"/>
        </w:rPr>
      </w:pPr>
    </w:p>
    <w:p w14:paraId="37C2006E" w14:textId="77777777" w:rsidR="00A71EEF" w:rsidRDefault="0081115D">
      <w:pPr>
        <w:pStyle w:val="a4"/>
        <w:numPr>
          <w:ilvl w:val="0"/>
          <w:numId w:val="553"/>
        </w:numPr>
        <w:tabs>
          <w:tab w:val="left" w:pos="1156"/>
        </w:tabs>
        <w:spacing w:line="446" w:lineRule="auto"/>
        <w:ind w:right="1505" w:firstLine="419"/>
        <w:rPr>
          <w:sz w:val="21"/>
        </w:rPr>
      </w:pPr>
      <w:r>
        <w:rPr>
          <w:spacing w:val="-3"/>
          <w:sz w:val="21"/>
        </w:rPr>
        <w:t>、其他材质防火门：外观应平整、光洁，无明显凹痕、裂痕等现象，带有木质或钢质部</w:t>
      </w:r>
      <w:r>
        <w:rPr>
          <w:spacing w:val="3"/>
          <w:sz w:val="21"/>
        </w:rPr>
        <w:t>件的部分应分别满足</w:t>
      </w:r>
      <w:r>
        <w:rPr>
          <w:sz w:val="21"/>
        </w:rPr>
        <w:t>a</w:t>
      </w:r>
      <w:r>
        <w:rPr>
          <w:sz w:val="21"/>
        </w:rPr>
        <w:t>）、</w:t>
      </w:r>
      <w:r>
        <w:rPr>
          <w:sz w:val="21"/>
        </w:rPr>
        <w:t>b</w:t>
      </w:r>
      <w:r>
        <w:rPr>
          <w:sz w:val="21"/>
        </w:rPr>
        <w:t>）</w:t>
      </w:r>
      <w:r>
        <w:rPr>
          <w:spacing w:val="-3"/>
          <w:sz w:val="21"/>
        </w:rPr>
        <w:t>项的相关要求。</w:t>
      </w:r>
      <w:r>
        <w:rPr>
          <w:sz w:val="21"/>
        </w:rPr>
        <w:t xml:space="preserve"> </w:t>
      </w:r>
    </w:p>
    <w:p w14:paraId="28973B47" w14:textId="77777777" w:rsidR="00A71EEF" w:rsidRDefault="0081115D">
      <w:pPr>
        <w:pStyle w:val="a4"/>
        <w:numPr>
          <w:ilvl w:val="1"/>
          <w:numId w:val="556"/>
        </w:numPr>
        <w:tabs>
          <w:tab w:val="left" w:pos="1160"/>
        </w:tabs>
        <w:ind w:left="1159" w:hanging="320"/>
        <w:rPr>
          <w:b/>
          <w:sz w:val="21"/>
        </w:rPr>
      </w:pPr>
      <w:r>
        <w:rPr>
          <w:spacing w:val="-3"/>
          <w:sz w:val="21"/>
        </w:rPr>
        <w:t>门扇质量</w:t>
      </w:r>
      <w:r>
        <w:rPr>
          <w:b/>
          <w:w w:val="99"/>
          <w:sz w:val="21"/>
        </w:rPr>
        <w:t xml:space="preserve"> </w:t>
      </w:r>
    </w:p>
    <w:p w14:paraId="4CC9D8ED" w14:textId="77777777" w:rsidR="00A71EEF" w:rsidRDefault="00A71EEF">
      <w:pPr>
        <w:pStyle w:val="a3"/>
        <w:rPr>
          <w:b/>
          <w:sz w:val="18"/>
        </w:rPr>
      </w:pPr>
    </w:p>
    <w:p w14:paraId="7693D688" w14:textId="77777777" w:rsidR="00A71EEF" w:rsidRDefault="0081115D">
      <w:pPr>
        <w:pStyle w:val="a3"/>
        <w:spacing w:line="446" w:lineRule="auto"/>
        <w:ind w:left="838" w:right="6337"/>
      </w:pPr>
      <w:r>
        <w:t>门扇质量不应小于门扇的设计质量。注：指门扇的重量。</w:t>
      </w:r>
      <w:r>
        <w:t xml:space="preserve"> </w:t>
      </w:r>
    </w:p>
    <w:p w14:paraId="209A28D4" w14:textId="77777777" w:rsidR="00A71EEF" w:rsidRDefault="0081115D">
      <w:pPr>
        <w:pStyle w:val="a4"/>
        <w:numPr>
          <w:ilvl w:val="1"/>
          <w:numId w:val="556"/>
        </w:numPr>
        <w:tabs>
          <w:tab w:val="left" w:pos="1159"/>
        </w:tabs>
        <w:ind w:hanging="319"/>
        <w:rPr>
          <w:b/>
          <w:sz w:val="21"/>
        </w:rPr>
      </w:pPr>
      <w:r>
        <w:rPr>
          <w:spacing w:val="-3"/>
          <w:sz w:val="21"/>
        </w:rPr>
        <w:t>尺寸极限偏差</w:t>
      </w:r>
      <w:r>
        <w:rPr>
          <w:b/>
          <w:w w:val="99"/>
          <w:sz w:val="21"/>
        </w:rPr>
        <w:t xml:space="preserve"> </w:t>
      </w:r>
    </w:p>
    <w:p w14:paraId="551D0596" w14:textId="77777777" w:rsidR="00A71EEF" w:rsidRDefault="00A71EEF">
      <w:pPr>
        <w:pStyle w:val="a3"/>
        <w:spacing w:before="12"/>
        <w:rPr>
          <w:b/>
          <w:sz w:val="17"/>
        </w:rPr>
      </w:pPr>
    </w:p>
    <w:p w14:paraId="556C2AA6" w14:textId="77777777" w:rsidR="00A71EEF" w:rsidRDefault="0081115D">
      <w:pPr>
        <w:pStyle w:val="a3"/>
        <w:ind w:left="838"/>
      </w:pPr>
      <w:r>
        <w:t>防火门门扇、门框的尺寸极限偏差应符合表</w:t>
      </w:r>
      <w:r>
        <w:t xml:space="preserve"> 4 </w:t>
      </w:r>
      <w:r>
        <w:t>的规定。</w:t>
      </w:r>
      <w:r>
        <w:t xml:space="preserve"> </w:t>
      </w:r>
    </w:p>
    <w:p w14:paraId="31AD165F" w14:textId="77777777" w:rsidR="00A71EEF" w:rsidRDefault="00A71EEF">
      <w:pPr>
        <w:pStyle w:val="a3"/>
        <w:rPr>
          <w:sz w:val="20"/>
        </w:rPr>
      </w:pPr>
    </w:p>
    <w:p w14:paraId="583FFBD9" w14:textId="77777777" w:rsidR="00A71EEF" w:rsidRDefault="00A71EEF">
      <w:pPr>
        <w:pStyle w:val="a3"/>
        <w:rPr>
          <w:sz w:val="20"/>
        </w:rPr>
      </w:pPr>
    </w:p>
    <w:p w14:paraId="29AD9CA9" w14:textId="77777777" w:rsidR="00A71EEF" w:rsidRDefault="00A71EEF">
      <w:pPr>
        <w:pStyle w:val="a3"/>
        <w:rPr>
          <w:sz w:val="20"/>
        </w:rPr>
      </w:pPr>
    </w:p>
    <w:p w14:paraId="045FB74C" w14:textId="77777777" w:rsidR="00A71EEF" w:rsidRDefault="00A71EEF">
      <w:pPr>
        <w:pStyle w:val="a3"/>
        <w:rPr>
          <w:sz w:val="20"/>
        </w:rPr>
      </w:pPr>
    </w:p>
    <w:p w14:paraId="67077F0D" w14:textId="77777777" w:rsidR="00A71EEF" w:rsidRDefault="00A71EEF">
      <w:pPr>
        <w:pStyle w:val="a3"/>
        <w:rPr>
          <w:sz w:val="20"/>
        </w:rPr>
      </w:pPr>
    </w:p>
    <w:p w14:paraId="25A20884" w14:textId="77777777" w:rsidR="00A71EEF" w:rsidRDefault="00A71EEF">
      <w:pPr>
        <w:pStyle w:val="a3"/>
        <w:rPr>
          <w:sz w:val="20"/>
        </w:rPr>
      </w:pPr>
    </w:p>
    <w:p w14:paraId="542D6DEB" w14:textId="77777777" w:rsidR="00A71EEF" w:rsidRDefault="00A71EEF">
      <w:pPr>
        <w:pStyle w:val="a3"/>
        <w:rPr>
          <w:sz w:val="20"/>
        </w:rPr>
      </w:pPr>
    </w:p>
    <w:p w14:paraId="6DDEB286" w14:textId="77777777" w:rsidR="00A71EEF" w:rsidRDefault="00A71EEF">
      <w:pPr>
        <w:pStyle w:val="a3"/>
        <w:rPr>
          <w:sz w:val="20"/>
        </w:rPr>
      </w:pPr>
    </w:p>
    <w:p w14:paraId="1373BCF0" w14:textId="77777777" w:rsidR="00A71EEF" w:rsidRDefault="00A71EEF">
      <w:pPr>
        <w:pStyle w:val="a3"/>
        <w:rPr>
          <w:sz w:val="20"/>
        </w:rPr>
      </w:pPr>
    </w:p>
    <w:p w14:paraId="5A23F936" w14:textId="77777777" w:rsidR="00A71EEF" w:rsidRDefault="00A71EEF">
      <w:pPr>
        <w:pStyle w:val="a3"/>
        <w:rPr>
          <w:sz w:val="20"/>
        </w:rPr>
      </w:pPr>
    </w:p>
    <w:p w14:paraId="311C6509" w14:textId="77777777" w:rsidR="00A71EEF" w:rsidRDefault="00A71EEF">
      <w:pPr>
        <w:pStyle w:val="a3"/>
        <w:rPr>
          <w:sz w:val="20"/>
        </w:rPr>
      </w:pPr>
    </w:p>
    <w:p w14:paraId="295CCAA2" w14:textId="77777777" w:rsidR="00A71EEF" w:rsidRDefault="00A71EEF">
      <w:pPr>
        <w:pStyle w:val="a3"/>
        <w:spacing w:before="7"/>
        <w:rPr>
          <w:sz w:val="26"/>
        </w:rPr>
      </w:pPr>
    </w:p>
    <w:p w14:paraId="67D683D0" w14:textId="77777777" w:rsidR="00A71EEF" w:rsidRDefault="0081115D">
      <w:pPr>
        <w:pStyle w:val="6"/>
        <w:spacing w:before="72"/>
        <w:ind w:left="3416"/>
      </w:pPr>
      <w:r>
        <w:t>表</w:t>
      </w:r>
      <w:r>
        <w:t xml:space="preserve"> 4 </w:t>
      </w:r>
      <w:r>
        <w:t>尺寸极限偏差（单位为毫米）</w:t>
      </w:r>
      <w:r>
        <w:rPr>
          <w:w w:val="99"/>
        </w:rPr>
        <w:t xml:space="preserve"> </w:t>
      </w:r>
    </w:p>
    <w:p w14:paraId="2B8BB009" w14:textId="77777777" w:rsidR="00A71EEF" w:rsidRDefault="0081115D">
      <w:pPr>
        <w:pStyle w:val="a3"/>
        <w:spacing w:before="2"/>
        <w:rPr>
          <w:b/>
          <w:sz w:val="19"/>
        </w:rPr>
      </w:pPr>
      <w:r>
        <w:rPr>
          <w:noProof/>
        </w:rPr>
        <w:drawing>
          <wp:anchor distT="0" distB="0" distL="0" distR="0" simplePos="0" relativeHeight="251592192" behindDoc="0" locked="0" layoutInCell="1" allowOverlap="1" wp14:anchorId="1CA298E9" wp14:editId="24D0EAF4">
            <wp:simplePos x="0" y="0"/>
            <wp:positionH relativeFrom="page">
              <wp:posOffset>1284605</wp:posOffset>
            </wp:positionH>
            <wp:positionV relativeFrom="paragraph">
              <wp:posOffset>180800</wp:posOffset>
            </wp:positionV>
            <wp:extent cx="5337796" cy="2114550"/>
            <wp:effectExtent l="0" t="0" r="0" b="0"/>
            <wp:wrapTopAndBottom/>
            <wp:docPr id="345" name="image2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209.jpeg"/>
                    <pic:cNvPicPr/>
                  </pic:nvPicPr>
                  <pic:blipFill>
                    <a:blip r:embed="rId249" cstate="print"/>
                    <a:stretch>
                      <a:fillRect/>
                    </a:stretch>
                  </pic:blipFill>
                  <pic:spPr>
                    <a:xfrm>
                      <a:off x="0" y="0"/>
                      <a:ext cx="5337796" cy="2114550"/>
                    </a:xfrm>
                    <a:prstGeom prst="rect">
                      <a:avLst/>
                    </a:prstGeom>
                  </pic:spPr>
                </pic:pic>
              </a:graphicData>
            </a:graphic>
          </wp:anchor>
        </w:drawing>
      </w:r>
    </w:p>
    <w:p w14:paraId="28ED0B35" w14:textId="77777777" w:rsidR="00A71EEF" w:rsidRDefault="0081115D">
      <w:pPr>
        <w:pStyle w:val="a4"/>
        <w:numPr>
          <w:ilvl w:val="1"/>
          <w:numId w:val="556"/>
        </w:numPr>
        <w:tabs>
          <w:tab w:val="left" w:pos="1160"/>
        </w:tabs>
        <w:spacing w:before="163"/>
        <w:ind w:left="1159" w:hanging="320"/>
        <w:rPr>
          <w:b/>
          <w:sz w:val="21"/>
        </w:rPr>
      </w:pPr>
      <w:r>
        <w:rPr>
          <w:spacing w:val="-3"/>
          <w:sz w:val="21"/>
        </w:rPr>
        <w:t>形位公差</w:t>
      </w:r>
      <w:r>
        <w:rPr>
          <w:b/>
          <w:w w:val="99"/>
          <w:sz w:val="21"/>
        </w:rPr>
        <w:t xml:space="preserve"> </w:t>
      </w:r>
    </w:p>
    <w:p w14:paraId="28D3C41A" w14:textId="77777777" w:rsidR="00A71EEF" w:rsidRDefault="00A71EEF">
      <w:pPr>
        <w:pStyle w:val="a3"/>
        <w:spacing w:before="2"/>
        <w:rPr>
          <w:b/>
          <w:sz w:val="18"/>
        </w:rPr>
      </w:pPr>
    </w:p>
    <w:p w14:paraId="5F16D6BC" w14:textId="77777777" w:rsidR="00A71EEF" w:rsidRDefault="0081115D">
      <w:pPr>
        <w:pStyle w:val="a3"/>
        <w:ind w:left="838"/>
      </w:pPr>
      <w:r>
        <w:t>门扇、门框形位公差应符合表</w:t>
      </w:r>
      <w:r>
        <w:t xml:space="preserve"> 5 </w:t>
      </w:r>
      <w:r>
        <w:t>的规定。</w:t>
      </w:r>
      <w:r>
        <w:t xml:space="preserve"> </w:t>
      </w:r>
    </w:p>
    <w:p w14:paraId="0A38DA78" w14:textId="77777777" w:rsidR="00A71EEF" w:rsidRDefault="00A71EEF">
      <w:pPr>
        <w:sectPr w:rsidR="00A71EEF">
          <w:pgSz w:w="11910" w:h="16850"/>
          <w:pgMar w:top="1220" w:right="0" w:bottom="1420" w:left="1260" w:header="0" w:footer="1239" w:gutter="0"/>
          <w:cols w:space="720"/>
        </w:sectPr>
      </w:pPr>
    </w:p>
    <w:p w14:paraId="4221DDD9" w14:textId="77777777" w:rsidR="00A71EEF" w:rsidRDefault="0081115D">
      <w:pPr>
        <w:pStyle w:val="6"/>
        <w:spacing w:before="47"/>
        <w:ind w:right="492"/>
        <w:jc w:val="center"/>
      </w:pPr>
      <w:r>
        <w:rPr>
          <w:noProof/>
        </w:rPr>
        <w:drawing>
          <wp:anchor distT="0" distB="0" distL="0" distR="0" simplePos="0" relativeHeight="251593216" behindDoc="0" locked="0" layoutInCell="1" allowOverlap="1" wp14:anchorId="7DD250FA" wp14:editId="08798BD2">
            <wp:simplePos x="0" y="0"/>
            <wp:positionH relativeFrom="page">
              <wp:posOffset>1166494</wp:posOffset>
            </wp:positionH>
            <wp:positionV relativeFrom="paragraph">
              <wp:posOffset>281685</wp:posOffset>
            </wp:positionV>
            <wp:extent cx="5194970" cy="1419225"/>
            <wp:effectExtent l="0" t="0" r="0" b="0"/>
            <wp:wrapTopAndBottom/>
            <wp:docPr id="347" name="image2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210.jpeg"/>
                    <pic:cNvPicPr/>
                  </pic:nvPicPr>
                  <pic:blipFill>
                    <a:blip r:embed="rId250" cstate="print"/>
                    <a:stretch>
                      <a:fillRect/>
                    </a:stretch>
                  </pic:blipFill>
                  <pic:spPr>
                    <a:xfrm>
                      <a:off x="0" y="0"/>
                      <a:ext cx="5194970" cy="1419225"/>
                    </a:xfrm>
                    <a:prstGeom prst="rect">
                      <a:avLst/>
                    </a:prstGeom>
                  </pic:spPr>
                </pic:pic>
              </a:graphicData>
            </a:graphic>
          </wp:anchor>
        </w:drawing>
      </w:r>
      <w:r>
        <w:t>表</w:t>
      </w:r>
      <w:r>
        <w:t xml:space="preserve"> 5 </w:t>
      </w:r>
      <w:r>
        <w:t>形位公差</w:t>
      </w:r>
      <w:r>
        <w:rPr>
          <w:w w:val="99"/>
        </w:rPr>
        <w:t xml:space="preserve"> </w:t>
      </w:r>
    </w:p>
    <w:p w14:paraId="2848A6C6" w14:textId="77777777" w:rsidR="00A71EEF" w:rsidRDefault="0081115D">
      <w:pPr>
        <w:pStyle w:val="a4"/>
        <w:numPr>
          <w:ilvl w:val="1"/>
          <w:numId w:val="556"/>
        </w:numPr>
        <w:tabs>
          <w:tab w:val="left" w:pos="1159"/>
        </w:tabs>
        <w:spacing w:before="176"/>
        <w:ind w:hanging="319"/>
        <w:rPr>
          <w:b/>
          <w:sz w:val="21"/>
        </w:rPr>
      </w:pPr>
      <w:r>
        <w:rPr>
          <w:spacing w:val="-3"/>
          <w:sz w:val="21"/>
        </w:rPr>
        <w:t>配合公差</w:t>
      </w:r>
      <w:r>
        <w:rPr>
          <w:b/>
          <w:w w:val="99"/>
          <w:sz w:val="21"/>
        </w:rPr>
        <w:t xml:space="preserve"> </w:t>
      </w:r>
    </w:p>
    <w:p w14:paraId="0632C4B6" w14:textId="77777777" w:rsidR="00A71EEF" w:rsidRDefault="00A71EEF">
      <w:pPr>
        <w:pStyle w:val="a3"/>
        <w:spacing w:before="3"/>
        <w:rPr>
          <w:b/>
          <w:sz w:val="18"/>
        </w:rPr>
      </w:pPr>
    </w:p>
    <w:p w14:paraId="64B1383B" w14:textId="77777777" w:rsidR="00A71EEF" w:rsidRDefault="0081115D">
      <w:pPr>
        <w:pStyle w:val="a4"/>
        <w:numPr>
          <w:ilvl w:val="2"/>
          <w:numId w:val="556"/>
        </w:numPr>
        <w:tabs>
          <w:tab w:val="left" w:pos="1370"/>
        </w:tabs>
        <w:spacing w:line="446" w:lineRule="auto"/>
        <w:ind w:left="838" w:right="5757" w:firstLine="2"/>
        <w:rPr>
          <w:b/>
          <w:sz w:val="21"/>
        </w:rPr>
      </w:pPr>
      <w:r>
        <w:rPr>
          <w:spacing w:val="-3"/>
          <w:sz w:val="21"/>
        </w:rPr>
        <w:t>门扇与门框的搭接尺寸（</w:t>
      </w:r>
      <w:r>
        <w:rPr>
          <w:spacing w:val="-18"/>
          <w:sz w:val="21"/>
        </w:rPr>
        <w:t>见图</w:t>
      </w:r>
      <w:r>
        <w:rPr>
          <w:spacing w:val="-18"/>
          <w:sz w:val="21"/>
        </w:rPr>
        <w:t xml:space="preserve"> </w:t>
      </w:r>
      <w:r>
        <w:rPr>
          <w:sz w:val="21"/>
        </w:rPr>
        <w:t>14</w:t>
      </w:r>
      <w:r>
        <w:rPr>
          <w:sz w:val="21"/>
        </w:rPr>
        <w:t>）</w:t>
      </w:r>
      <w:r>
        <w:rPr>
          <w:spacing w:val="4"/>
          <w:sz w:val="21"/>
        </w:rPr>
        <w:t xml:space="preserve"> </w:t>
      </w:r>
      <w:r>
        <w:rPr>
          <w:spacing w:val="4"/>
          <w:sz w:val="21"/>
        </w:rPr>
        <w:t>门</w:t>
      </w:r>
      <w:r>
        <w:rPr>
          <w:spacing w:val="-7"/>
          <w:sz w:val="21"/>
        </w:rPr>
        <w:t>扇与门框的搭接尺寸不应小于</w:t>
      </w:r>
      <w:r>
        <w:rPr>
          <w:spacing w:val="-7"/>
          <w:sz w:val="21"/>
        </w:rPr>
        <w:t xml:space="preserve"> </w:t>
      </w:r>
      <w:r>
        <w:rPr>
          <w:sz w:val="21"/>
        </w:rPr>
        <w:t>12mm</w:t>
      </w:r>
      <w:r>
        <w:rPr>
          <w:spacing w:val="3"/>
          <w:sz w:val="21"/>
        </w:rPr>
        <w:t>。</w:t>
      </w:r>
      <w:r>
        <w:rPr>
          <w:spacing w:val="3"/>
          <w:sz w:val="21"/>
        </w:rPr>
        <w:t xml:space="preserve"> </w:t>
      </w:r>
      <w:r>
        <w:rPr>
          <w:b/>
          <w:sz w:val="21"/>
        </w:rPr>
        <w:t xml:space="preserve">5.8.2 </w:t>
      </w:r>
      <w:r>
        <w:rPr>
          <w:spacing w:val="-3"/>
          <w:sz w:val="21"/>
        </w:rPr>
        <w:t>门扇与门框的配合活动间隙</w:t>
      </w:r>
      <w:r>
        <w:rPr>
          <w:b/>
          <w:w w:val="99"/>
          <w:sz w:val="21"/>
        </w:rPr>
        <w:t xml:space="preserve"> </w:t>
      </w:r>
    </w:p>
    <w:p w14:paraId="7DC71F86" w14:textId="77777777" w:rsidR="00A71EEF" w:rsidRDefault="0081115D">
      <w:pPr>
        <w:pStyle w:val="a4"/>
        <w:numPr>
          <w:ilvl w:val="3"/>
          <w:numId w:val="552"/>
        </w:numPr>
        <w:tabs>
          <w:tab w:val="left" w:pos="1576"/>
        </w:tabs>
        <w:spacing w:line="268" w:lineRule="exact"/>
        <w:rPr>
          <w:sz w:val="21"/>
        </w:rPr>
      </w:pPr>
      <w:r>
        <w:rPr>
          <w:spacing w:val="-3"/>
          <w:sz w:val="21"/>
        </w:rPr>
        <w:t>门扇与门框有合页一侧的配合活动间隙不应大于设计图纸规定的尺寸公差。</w:t>
      </w:r>
      <w:r>
        <w:rPr>
          <w:spacing w:val="-3"/>
          <w:sz w:val="21"/>
        </w:rPr>
        <w:t xml:space="preserve"> </w:t>
      </w:r>
    </w:p>
    <w:p w14:paraId="5B114DB1" w14:textId="77777777" w:rsidR="00A71EEF" w:rsidRDefault="00A71EEF">
      <w:pPr>
        <w:pStyle w:val="a3"/>
        <w:spacing w:before="12"/>
        <w:rPr>
          <w:sz w:val="17"/>
        </w:rPr>
      </w:pPr>
    </w:p>
    <w:p w14:paraId="41DE5C70" w14:textId="77777777" w:rsidR="00A71EEF" w:rsidRDefault="0081115D">
      <w:pPr>
        <w:pStyle w:val="a4"/>
        <w:numPr>
          <w:ilvl w:val="3"/>
          <w:numId w:val="552"/>
        </w:numPr>
        <w:tabs>
          <w:tab w:val="left" w:pos="1576"/>
        </w:tabs>
        <w:rPr>
          <w:sz w:val="21"/>
        </w:rPr>
      </w:pPr>
      <w:r>
        <w:rPr>
          <w:spacing w:val="-3"/>
          <w:sz w:val="21"/>
        </w:rPr>
        <w:t>门扇与门框有锁一侧的配合活动间隙不应大于设计图纸规定的尺寸公差。</w:t>
      </w:r>
      <w:r>
        <w:rPr>
          <w:spacing w:val="-3"/>
          <w:sz w:val="21"/>
        </w:rPr>
        <w:t xml:space="preserve"> </w:t>
      </w:r>
    </w:p>
    <w:p w14:paraId="0A8D0610" w14:textId="77777777" w:rsidR="00A71EEF" w:rsidRDefault="00A71EEF">
      <w:pPr>
        <w:pStyle w:val="a3"/>
        <w:spacing w:before="12"/>
        <w:rPr>
          <w:sz w:val="17"/>
        </w:rPr>
      </w:pPr>
    </w:p>
    <w:p w14:paraId="5F2E5154" w14:textId="77777777" w:rsidR="00A71EEF" w:rsidRDefault="0081115D">
      <w:pPr>
        <w:pStyle w:val="a4"/>
        <w:numPr>
          <w:ilvl w:val="3"/>
          <w:numId w:val="552"/>
        </w:numPr>
        <w:tabs>
          <w:tab w:val="left" w:pos="1576"/>
        </w:tabs>
        <w:rPr>
          <w:sz w:val="21"/>
        </w:rPr>
      </w:pPr>
      <w:r>
        <w:rPr>
          <w:spacing w:val="-6"/>
          <w:sz w:val="21"/>
        </w:rPr>
        <w:t>门扇与上框的配合活动间隙不应大于</w:t>
      </w:r>
      <w:r>
        <w:rPr>
          <w:spacing w:val="-6"/>
          <w:sz w:val="21"/>
        </w:rPr>
        <w:t xml:space="preserve"> </w:t>
      </w:r>
      <w:r>
        <w:rPr>
          <w:sz w:val="21"/>
        </w:rPr>
        <w:t>3</w:t>
      </w:r>
      <w:r>
        <w:rPr>
          <w:spacing w:val="1"/>
          <w:sz w:val="21"/>
        </w:rPr>
        <w:t xml:space="preserve"> </w:t>
      </w:r>
      <w:r>
        <w:rPr>
          <w:spacing w:val="-3"/>
          <w:sz w:val="21"/>
        </w:rPr>
        <w:t>mm</w:t>
      </w:r>
      <w:r>
        <w:rPr>
          <w:sz w:val="21"/>
        </w:rPr>
        <w:t>。</w:t>
      </w:r>
      <w:r>
        <w:rPr>
          <w:sz w:val="21"/>
        </w:rPr>
        <w:t xml:space="preserve"> </w:t>
      </w:r>
    </w:p>
    <w:p w14:paraId="0EF2E23A" w14:textId="77777777" w:rsidR="00A71EEF" w:rsidRDefault="00A71EEF">
      <w:pPr>
        <w:pStyle w:val="a3"/>
        <w:spacing w:before="3"/>
        <w:rPr>
          <w:sz w:val="18"/>
        </w:rPr>
      </w:pPr>
    </w:p>
    <w:p w14:paraId="16DD9554" w14:textId="77777777" w:rsidR="00A71EEF" w:rsidRDefault="0081115D">
      <w:pPr>
        <w:pStyle w:val="a4"/>
        <w:numPr>
          <w:ilvl w:val="3"/>
          <w:numId w:val="552"/>
        </w:numPr>
        <w:tabs>
          <w:tab w:val="left" w:pos="1576"/>
        </w:tabs>
        <w:rPr>
          <w:sz w:val="21"/>
        </w:rPr>
      </w:pPr>
      <w:r>
        <w:rPr>
          <w:spacing w:val="-5"/>
          <w:sz w:val="21"/>
        </w:rPr>
        <w:t>双扇、多扇门的门扇之间缝隙不应大于</w:t>
      </w:r>
      <w:r>
        <w:rPr>
          <w:spacing w:val="-5"/>
          <w:sz w:val="21"/>
        </w:rPr>
        <w:t xml:space="preserve"> </w:t>
      </w:r>
      <w:r>
        <w:rPr>
          <w:sz w:val="21"/>
        </w:rPr>
        <w:t>3mm</w:t>
      </w:r>
      <w:r>
        <w:rPr>
          <w:spacing w:val="-3"/>
          <w:sz w:val="21"/>
        </w:rPr>
        <w:t>。</w:t>
      </w:r>
      <w:r>
        <w:rPr>
          <w:sz w:val="21"/>
        </w:rPr>
        <w:t xml:space="preserve"> </w:t>
      </w:r>
    </w:p>
    <w:p w14:paraId="4DB66B37" w14:textId="77777777" w:rsidR="00A71EEF" w:rsidRDefault="00A71EEF">
      <w:pPr>
        <w:pStyle w:val="a3"/>
        <w:spacing w:before="12"/>
        <w:rPr>
          <w:sz w:val="17"/>
        </w:rPr>
      </w:pPr>
    </w:p>
    <w:p w14:paraId="6A3C038E" w14:textId="77777777" w:rsidR="00A71EEF" w:rsidRDefault="0081115D">
      <w:pPr>
        <w:pStyle w:val="a4"/>
        <w:numPr>
          <w:ilvl w:val="3"/>
          <w:numId w:val="552"/>
        </w:numPr>
        <w:tabs>
          <w:tab w:val="left" w:pos="1576"/>
        </w:tabs>
        <w:rPr>
          <w:sz w:val="21"/>
        </w:rPr>
      </w:pPr>
      <w:r>
        <w:rPr>
          <w:spacing w:val="-5"/>
          <w:sz w:val="21"/>
        </w:rPr>
        <w:t>门扇与下框或地面的活动间隙不应大于</w:t>
      </w:r>
      <w:r>
        <w:rPr>
          <w:spacing w:val="-5"/>
          <w:sz w:val="21"/>
        </w:rPr>
        <w:t xml:space="preserve"> </w:t>
      </w:r>
      <w:r>
        <w:rPr>
          <w:sz w:val="21"/>
        </w:rPr>
        <w:t>9mm</w:t>
      </w:r>
      <w:r>
        <w:rPr>
          <w:spacing w:val="-3"/>
          <w:sz w:val="21"/>
        </w:rPr>
        <w:t>。</w:t>
      </w:r>
      <w:r>
        <w:rPr>
          <w:sz w:val="21"/>
        </w:rPr>
        <w:t xml:space="preserve"> </w:t>
      </w:r>
    </w:p>
    <w:p w14:paraId="1B6151FA" w14:textId="77777777" w:rsidR="00A71EEF" w:rsidRDefault="00A71EEF">
      <w:pPr>
        <w:pStyle w:val="a3"/>
        <w:spacing w:before="12"/>
        <w:rPr>
          <w:sz w:val="17"/>
        </w:rPr>
      </w:pPr>
    </w:p>
    <w:p w14:paraId="7F92B32A" w14:textId="77777777" w:rsidR="00A71EEF" w:rsidRDefault="0081115D">
      <w:pPr>
        <w:pStyle w:val="a4"/>
        <w:numPr>
          <w:ilvl w:val="3"/>
          <w:numId w:val="552"/>
        </w:numPr>
        <w:tabs>
          <w:tab w:val="left" w:pos="1576"/>
        </w:tabs>
        <w:spacing w:line="446" w:lineRule="auto"/>
        <w:ind w:left="418" w:right="1558" w:firstLine="419"/>
        <w:rPr>
          <w:sz w:val="21"/>
        </w:rPr>
      </w:pPr>
      <w:r>
        <w:rPr>
          <w:spacing w:val="-3"/>
          <w:sz w:val="21"/>
        </w:rPr>
        <w:t>门扇与门框贴合面间隙</w:t>
      </w:r>
      <w:r>
        <w:rPr>
          <w:sz w:val="21"/>
        </w:rPr>
        <w:t>（</w:t>
      </w:r>
      <w:r>
        <w:rPr>
          <w:spacing w:val="-16"/>
          <w:sz w:val="21"/>
        </w:rPr>
        <w:t>见图</w:t>
      </w:r>
      <w:r>
        <w:rPr>
          <w:spacing w:val="-16"/>
          <w:sz w:val="21"/>
        </w:rPr>
        <w:t xml:space="preserve"> </w:t>
      </w:r>
      <w:r>
        <w:rPr>
          <w:sz w:val="21"/>
        </w:rPr>
        <w:t>14</w:t>
      </w:r>
      <w:r>
        <w:rPr>
          <w:sz w:val="21"/>
        </w:rPr>
        <w:t>）</w:t>
      </w:r>
      <w:r>
        <w:rPr>
          <w:spacing w:val="-3"/>
          <w:sz w:val="21"/>
        </w:rPr>
        <w:t>，门扇与门框有合页一侧、有锁一侧及上框的</w:t>
      </w:r>
      <w:r>
        <w:rPr>
          <w:spacing w:val="-8"/>
          <w:sz w:val="21"/>
        </w:rPr>
        <w:t>贴合面间隙均不应大于</w:t>
      </w:r>
      <w:r>
        <w:rPr>
          <w:spacing w:val="-8"/>
          <w:sz w:val="21"/>
        </w:rPr>
        <w:t xml:space="preserve"> </w:t>
      </w:r>
      <w:r>
        <w:rPr>
          <w:spacing w:val="-3"/>
          <w:sz w:val="21"/>
        </w:rPr>
        <w:t xml:space="preserve">3 </w:t>
      </w:r>
      <w:r>
        <w:rPr>
          <w:sz w:val="21"/>
        </w:rPr>
        <w:t>mm</w:t>
      </w:r>
      <w:r>
        <w:rPr>
          <w:spacing w:val="-3"/>
          <w:sz w:val="21"/>
        </w:rPr>
        <w:t>。</w:t>
      </w:r>
      <w:r>
        <w:rPr>
          <w:sz w:val="21"/>
        </w:rPr>
        <w:t xml:space="preserve"> </w:t>
      </w:r>
    </w:p>
    <w:p w14:paraId="39F0602C" w14:textId="77777777" w:rsidR="00A71EEF" w:rsidRDefault="0081115D">
      <w:pPr>
        <w:ind w:left="840"/>
        <w:rPr>
          <w:b/>
          <w:sz w:val="21"/>
        </w:rPr>
      </w:pPr>
      <w:r>
        <w:rPr>
          <w:b/>
          <w:sz w:val="21"/>
        </w:rPr>
        <w:t xml:space="preserve">5.8.3 </w:t>
      </w:r>
      <w:r>
        <w:rPr>
          <w:sz w:val="21"/>
        </w:rPr>
        <w:t>门扇与门框的平面高低差</w:t>
      </w:r>
      <w:r>
        <w:rPr>
          <w:sz w:val="21"/>
        </w:rPr>
        <w:t xml:space="preserve"> R</w:t>
      </w:r>
      <w:r>
        <w:rPr>
          <w:b/>
          <w:w w:val="99"/>
          <w:sz w:val="21"/>
        </w:rPr>
        <w:t xml:space="preserve"> </w:t>
      </w:r>
    </w:p>
    <w:p w14:paraId="55A65305" w14:textId="77777777" w:rsidR="00A71EEF" w:rsidRDefault="00A71EEF">
      <w:pPr>
        <w:pStyle w:val="a3"/>
        <w:rPr>
          <w:b/>
          <w:sz w:val="18"/>
        </w:rPr>
      </w:pPr>
    </w:p>
    <w:p w14:paraId="68CBDB41" w14:textId="77777777" w:rsidR="00A71EEF" w:rsidRDefault="0081115D">
      <w:pPr>
        <w:pStyle w:val="a3"/>
        <w:spacing w:line="446" w:lineRule="auto"/>
        <w:ind w:left="840" w:right="4607" w:hanging="3"/>
        <w:rPr>
          <w:b/>
        </w:rPr>
      </w:pPr>
      <w:r>
        <w:t>防火门开面上门框与门扇的平面高低差不应大于</w:t>
      </w:r>
      <w:r>
        <w:t xml:space="preserve"> 1 mm</w:t>
      </w:r>
      <w:r>
        <w:t>。</w:t>
      </w:r>
      <w:r>
        <w:rPr>
          <w:b/>
        </w:rPr>
        <w:t xml:space="preserve">5.9 </w:t>
      </w:r>
      <w:r>
        <w:t>灵活性</w:t>
      </w:r>
      <w:r>
        <w:rPr>
          <w:b/>
          <w:w w:val="99"/>
        </w:rPr>
        <w:t xml:space="preserve"> </w:t>
      </w:r>
    </w:p>
    <w:p w14:paraId="6FA730CA" w14:textId="77777777" w:rsidR="00A71EEF" w:rsidRDefault="0081115D">
      <w:pPr>
        <w:ind w:left="840"/>
        <w:rPr>
          <w:b/>
          <w:sz w:val="21"/>
        </w:rPr>
      </w:pPr>
      <w:r>
        <w:rPr>
          <w:b/>
          <w:sz w:val="21"/>
        </w:rPr>
        <w:t>5.9.1</w:t>
      </w:r>
      <w:r>
        <w:rPr>
          <w:b/>
          <w:spacing w:val="2"/>
          <w:sz w:val="21"/>
        </w:rPr>
        <w:t xml:space="preserve">  </w:t>
      </w:r>
      <w:r>
        <w:rPr>
          <w:spacing w:val="-3"/>
          <w:sz w:val="21"/>
        </w:rPr>
        <w:t>启闭灵活性</w:t>
      </w:r>
      <w:r>
        <w:rPr>
          <w:b/>
          <w:spacing w:val="-3"/>
          <w:w w:val="99"/>
          <w:sz w:val="21"/>
        </w:rPr>
        <w:t xml:space="preserve"> </w:t>
      </w:r>
    </w:p>
    <w:p w14:paraId="7C07AFF6" w14:textId="77777777" w:rsidR="00A71EEF" w:rsidRDefault="00A71EEF">
      <w:pPr>
        <w:pStyle w:val="a3"/>
        <w:rPr>
          <w:b/>
          <w:sz w:val="18"/>
        </w:rPr>
      </w:pPr>
    </w:p>
    <w:p w14:paraId="4DF676DD" w14:textId="77777777" w:rsidR="00A71EEF" w:rsidRDefault="0081115D">
      <w:pPr>
        <w:spacing w:line="446" w:lineRule="auto"/>
        <w:ind w:left="840" w:right="6549" w:hanging="3"/>
        <w:rPr>
          <w:b/>
          <w:sz w:val="21"/>
        </w:rPr>
      </w:pPr>
      <w:r>
        <w:rPr>
          <w:spacing w:val="-3"/>
          <w:sz w:val="21"/>
        </w:rPr>
        <w:t>防火门应启闭灵活、无卡阻现象。</w:t>
      </w:r>
      <w:r>
        <w:rPr>
          <w:b/>
          <w:sz w:val="21"/>
        </w:rPr>
        <w:t>5.9.2</w:t>
      </w:r>
      <w:r>
        <w:rPr>
          <w:b/>
          <w:spacing w:val="103"/>
          <w:sz w:val="21"/>
        </w:rPr>
        <w:t xml:space="preserve"> </w:t>
      </w:r>
      <w:r>
        <w:rPr>
          <w:spacing w:val="-1"/>
          <w:sz w:val="21"/>
        </w:rPr>
        <w:t>门扇开启力</w:t>
      </w:r>
      <w:r>
        <w:rPr>
          <w:b/>
          <w:spacing w:val="-1"/>
          <w:w w:val="99"/>
          <w:sz w:val="21"/>
        </w:rPr>
        <w:t xml:space="preserve"> </w:t>
      </w:r>
    </w:p>
    <w:p w14:paraId="033AD7ED" w14:textId="77777777" w:rsidR="00A71EEF" w:rsidRDefault="0081115D">
      <w:pPr>
        <w:pStyle w:val="a3"/>
        <w:spacing w:line="446" w:lineRule="auto"/>
        <w:ind w:left="838" w:right="6337"/>
      </w:pPr>
      <w:r>
        <w:t>防火门门扇开启力不应大于</w:t>
      </w:r>
      <w:r>
        <w:t xml:space="preserve"> 80 N</w:t>
      </w:r>
      <w:r>
        <w:t>。注：在特殊场合使用的防火门除外。</w:t>
      </w:r>
      <w:r>
        <w:rPr>
          <w:b/>
        </w:rPr>
        <w:t xml:space="preserve">5.10 </w:t>
      </w:r>
      <w:r>
        <w:t>可靠性</w:t>
      </w:r>
      <w:r>
        <w:t xml:space="preserve"> </w:t>
      </w:r>
    </w:p>
    <w:p w14:paraId="037A5832" w14:textId="77777777" w:rsidR="00A71EEF" w:rsidRDefault="0081115D">
      <w:pPr>
        <w:pStyle w:val="a3"/>
        <w:spacing w:line="446" w:lineRule="auto"/>
        <w:ind w:left="840" w:right="2134" w:hanging="3"/>
      </w:pPr>
      <w:r>
        <w:t>在进行</w:t>
      </w:r>
      <w:r>
        <w:t xml:space="preserve"> 500 </w:t>
      </w:r>
      <w:r>
        <w:t>次启闭试验后，防火门不应有松动、脱落、严重变形和启闭卡阻现象。</w:t>
      </w:r>
      <w:r>
        <w:rPr>
          <w:b/>
        </w:rPr>
        <w:t xml:space="preserve">5.11 </w:t>
      </w:r>
      <w:r>
        <w:t>耐火性能</w:t>
      </w:r>
      <w:r>
        <w:t xml:space="preserve"> </w:t>
      </w:r>
    </w:p>
    <w:p w14:paraId="07963961" w14:textId="77777777" w:rsidR="00A71EEF" w:rsidRDefault="00A71EEF">
      <w:pPr>
        <w:spacing w:line="446" w:lineRule="auto"/>
        <w:sectPr w:rsidR="00A71EEF">
          <w:pgSz w:w="11910" w:h="16850"/>
          <w:pgMar w:top="1220" w:right="0" w:bottom="1420" w:left="1260" w:header="0" w:footer="1239" w:gutter="0"/>
          <w:cols w:space="720"/>
        </w:sectPr>
      </w:pPr>
    </w:p>
    <w:p w14:paraId="29240616" w14:textId="77777777" w:rsidR="00A71EEF" w:rsidRDefault="0081115D">
      <w:pPr>
        <w:pStyle w:val="a3"/>
        <w:spacing w:before="47"/>
        <w:ind w:left="838"/>
      </w:pPr>
      <w:r>
        <w:t>防火门的耐火性能应符合表</w:t>
      </w:r>
      <w:r>
        <w:t xml:space="preserve"> 1 </w:t>
      </w:r>
      <w:r>
        <w:t>的规定。</w:t>
      </w:r>
      <w:r>
        <w:t xml:space="preserve"> </w:t>
      </w:r>
    </w:p>
    <w:p w14:paraId="660A4BFD" w14:textId="77777777" w:rsidR="00A71EEF" w:rsidRDefault="00A71EEF">
      <w:pPr>
        <w:pStyle w:val="a3"/>
        <w:spacing w:before="8"/>
        <w:rPr>
          <w:sz w:val="15"/>
        </w:rPr>
      </w:pPr>
    </w:p>
    <w:p w14:paraId="34122598" w14:textId="77777777" w:rsidR="00A71EEF" w:rsidRDefault="0081115D">
      <w:pPr>
        <w:pStyle w:val="4"/>
        <w:spacing w:before="1"/>
      </w:pPr>
      <w:r>
        <w:t xml:space="preserve">6 </w:t>
      </w:r>
      <w:r>
        <w:t>试验方法</w:t>
      </w:r>
      <w:r>
        <w:rPr>
          <w:w w:val="99"/>
        </w:rPr>
        <w:t xml:space="preserve"> </w:t>
      </w:r>
    </w:p>
    <w:p w14:paraId="3738F549" w14:textId="77777777" w:rsidR="00A71EEF" w:rsidRDefault="00A71EEF">
      <w:pPr>
        <w:pStyle w:val="a3"/>
        <w:spacing w:before="3"/>
        <w:rPr>
          <w:b/>
          <w:sz w:val="17"/>
        </w:rPr>
      </w:pPr>
    </w:p>
    <w:p w14:paraId="1F26CCC9" w14:textId="77777777" w:rsidR="00A71EEF" w:rsidRDefault="0081115D">
      <w:pPr>
        <w:spacing w:before="1"/>
        <w:ind w:left="840"/>
        <w:rPr>
          <w:sz w:val="21"/>
        </w:rPr>
      </w:pPr>
      <w:r>
        <w:rPr>
          <w:b/>
          <w:sz w:val="21"/>
        </w:rPr>
        <w:t xml:space="preserve">6.1 </w:t>
      </w:r>
      <w:r>
        <w:rPr>
          <w:sz w:val="21"/>
        </w:rPr>
        <w:t>试件要求</w:t>
      </w:r>
      <w:r>
        <w:rPr>
          <w:sz w:val="21"/>
        </w:rPr>
        <w:t xml:space="preserve"> </w:t>
      </w:r>
    </w:p>
    <w:p w14:paraId="2E8AF7A3" w14:textId="77777777" w:rsidR="00A71EEF" w:rsidRDefault="00A71EEF">
      <w:pPr>
        <w:pStyle w:val="a3"/>
        <w:spacing w:before="1"/>
        <w:rPr>
          <w:sz w:val="18"/>
        </w:rPr>
      </w:pPr>
    </w:p>
    <w:p w14:paraId="244B0008" w14:textId="77777777" w:rsidR="00A71EEF" w:rsidRDefault="0081115D">
      <w:pPr>
        <w:pStyle w:val="a3"/>
        <w:spacing w:line="446" w:lineRule="auto"/>
        <w:ind w:left="418" w:right="1609" w:firstLine="419"/>
      </w:pPr>
      <w:r>
        <w:t>防火门试件结构和门扇内若填充材料应填充对人体无毒无害的防火隔热材料以及防火五金配件的安装情况等应与实际使用情况相符。</w:t>
      </w:r>
      <w:r>
        <w:t xml:space="preserve"> </w:t>
      </w:r>
    </w:p>
    <w:p w14:paraId="6C4D083F" w14:textId="77777777" w:rsidR="00A71EEF" w:rsidRDefault="0081115D">
      <w:pPr>
        <w:pStyle w:val="a3"/>
        <w:spacing w:line="446" w:lineRule="auto"/>
        <w:ind w:left="840" w:right="2134" w:hanging="3"/>
        <w:rPr>
          <w:b/>
        </w:rPr>
      </w:pPr>
      <w:r>
        <w:t>除非有特殊规定，防火门试件应按本标准第</w:t>
      </w:r>
      <w:r>
        <w:t xml:space="preserve"> 5 </w:t>
      </w:r>
      <w:r>
        <w:t>章的要求内容顺序，逐项进行检验。</w:t>
      </w:r>
      <w:r>
        <w:rPr>
          <w:b/>
        </w:rPr>
        <w:t xml:space="preserve">6.2 </w:t>
      </w:r>
      <w:r>
        <w:t>仪器设备的准确度</w:t>
      </w:r>
      <w:r>
        <w:rPr>
          <w:b/>
          <w:w w:val="99"/>
        </w:rPr>
        <w:t xml:space="preserve"> </w:t>
      </w:r>
    </w:p>
    <w:p w14:paraId="624254D1" w14:textId="77777777" w:rsidR="00A71EEF" w:rsidRDefault="0081115D">
      <w:pPr>
        <w:pStyle w:val="a3"/>
        <w:spacing w:before="12"/>
        <w:rPr>
          <w:b/>
          <w:sz w:val="7"/>
        </w:rPr>
      </w:pPr>
      <w:r>
        <w:rPr>
          <w:noProof/>
        </w:rPr>
        <w:drawing>
          <wp:anchor distT="0" distB="0" distL="0" distR="0" simplePos="0" relativeHeight="251594240" behindDoc="0" locked="0" layoutInCell="1" allowOverlap="1" wp14:anchorId="39F5BAA6" wp14:editId="23065776">
            <wp:simplePos x="0" y="0"/>
            <wp:positionH relativeFrom="page">
              <wp:posOffset>1998979</wp:posOffset>
            </wp:positionH>
            <wp:positionV relativeFrom="paragraph">
              <wp:posOffset>89614</wp:posOffset>
            </wp:positionV>
            <wp:extent cx="2932406" cy="2895600"/>
            <wp:effectExtent l="0" t="0" r="0" b="0"/>
            <wp:wrapTopAndBottom/>
            <wp:docPr id="349" name="image2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211.jpeg"/>
                    <pic:cNvPicPr/>
                  </pic:nvPicPr>
                  <pic:blipFill>
                    <a:blip r:embed="rId251" cstate="print"/>
                    <a:stretch>
                      <a:fillRect/>
                    </a:stretch>
                  </pic:blipFill>
                  <pic:spPr>
                    <a:xfrm>
                      <a:off x="0" y="0"/>
                      <a:ext cx="2932406" cy="2895600"/>
                    </a:xfrm>
                    <a:prstGeom prst="rect">
                      <a:avLst/>
                    </a:prstGeom>
                  </pic:spPr>
                </pic:pic>
              </a:graphicData>
            </a:graphic>
          </wp:anchor>
        </w:drawing>
      </w:r>
    </w:p>
    <w:p w14:paraId="25BCC08D" w14:textId="77777777" w:rsidR="00A71EEF" w:rsidRDefault="00A71EEF">
      <w:pPr>
        <w:pStyle w:val="a3"/>
        <w:rPr>
          <w:b/>
          <w:sz w:val="20"/>
        </w:rPr>
      </w:pPr>
    </w:p>
    <w:p w14:paraId="5533A6E8" w14:textId="77777777" w:rsidR="00A71EEF" w:rsidRDefault="00A71EEF">
      <w:pPr>
        <w:pStyle w:val="a3"/>
        <w:spacing w:before="3"/>
        <w:rPr>
          <w:b/>
          <w:sz w:val="26"/>
        </w:rPr>
      </w:pPr>
    </w:p>
    <w:p w14:paraId="3996E946" w14:textId="77777777" w:rsidR="00A71EEF" w:rsidRDefault="0081115D">
      <w:pPr>
        <w:pStyle w:val="a4"/>
        <w:numPr>
          <w:ilvl w:val="1"/>
          <w:numId w:val="551"/>
        </w:numPr>
        <w:tabs>
          <w:tab w:val="left" w:pos="1160"/>
        </w:tabs>
        <w:spacing w:before="72"/>
        <w:rPr>
          <w:b/>
          <w:sz w:val="21"/>
        </w:rPr>
      </w:pPr>
      <w:r>
        <w:rPr>
          <w:spacing w:val="-3"/>
          <w:sz w:val="21"/>
        </w:rPr>
        <w:t>材料</w:t>
      </w:r>
      <w:r>
        <w:rPr>
          <w:b/>
          <w:w w:val="99"/>
          <w:sz w:val="21"/>
        </w:rPr>
        <w:t xml:space="preserve"> </w:t>
      </w:r>
    </w:p>
    <w:p w14:paraId="6D7FF7D8" w14:textId="77777777" w:rsidR="00A71EEF" w:rsidRDefault="00A71EEF">
      <w:pPr>
        <w:pStyle w:val="a3"/>
        <w:spacing w:before="12"/>
        <w:rPr>
          <w:b/>
          <w:sz w:val="17"/>
        </w:rPr>
      </w:pPr>
    </w:p>
    <w:p w14:paraId="61541C5E" w14:textId="77777777" w:rsidR="00A71EEF" w:rsidRDefault="0081115D">
      <w:pPr>
        <w:pStyle w:val="a4"/>
        <w:numPr>
          <w:ilvl w:val="2"/>
          <w:numId w:val="551"/>
        </w:numPr>
        <w:tabs>
          <w:tab w:val="left" w:pos="1424"/>
        </w:tabs>
        <w:jc w:val="both"/>
        <w:rPr>
          <w:b/>
          <w:sz w:val="21"/>
        </w:rPr>
      </w:pPr>
      <w:r>
        <w:rPr>
          <w:spacing w:val="-3"/>
          <w:sz w:val="21"/>
        </w:rPr>
        <w:t>填充材料</w:t>
      </w:r>
      <w:r>
        <w:rPr>
          <w:b/>
          <w:w w:val="99"/>
          <w:sz w:val="21"/>
        </w:rPr>
        <w:t xml:space="preserve"> </w:t>
      </w:r>
    </w:p>
    <w:p w14:paraId="72D12893" w14:textId="77777777" w:rsidR="00A71EEF" w:rsidRDefault="00A71EEF">
      <w:pPr>
        <w:pStyle w:val="a3"/>
        <w:rPr>
          <w:b/>
          <w:sz w:val="18"/>
        </w:rPr>
      </w:pPr>
    </w:p>
    <w:p w14:paraId="5D0E74DB" w14:textId="77777777" w:rsidR="00A71EEF" w:rsidRDefault="0081115D">
      <w:pPr>
        <w:pStyle w:val="a3"/>
        <w:spacing w:line="446" w:lineRule="auto"/>
        <w:ind w:left="418" w:right="1560" w:firstLine="419"/>
        <w:jc w:val="both"/>
      </w:pPr>
      <w:r>
        <w:rPr>
          <w:spacing w:val="-5"/>
        </w:rPr>
        <w:t>防火门门扇内填充对人体无毒无害的防火隔热材料，按照</w:t>
      </w:r>
      <w:r>
        <w:rPr>
          <w:spacing w:val="-5"/>
        </w:rPr>
        <w:t xml:space="preserve"> </w:t>
      </w:r>
      <w:r>
        <w:t>GB 8624—2006</w:t>
      </w:r>
      <w:r>
        <w:rPr>
          <w:spacing w:val="-8"/>
        </w:rPr>
        <w:t xml:space="preserve"> </w:t>
      </w:r>
      <w:r>
        <w:rPr>
          <w:spacing w:val="-8"/>
        </w:rPr>
        <w:t>的规定检验其燃</w:t>
      </w:r>
      <w:r>
        <w:rPr>
          <w:spacing w:val="3"/>
        </w:rPr>
        <w:t>烧性能，按照</w:t>
      </w:r>
      <w:r>
        <w:t>GB/T 20285—2006</w:t>
      </w:r>
      <w:r>
        <w:rPr>
          <w:spacing w:val="-11"/>
        </w:rPr>
        <w:t xml:space="preserve"> </w:t>
      </w:r>
      <w:r>
        <w:rPr>
          <w:spacing w:val="-11"/>
        </w:rPr>
        <w:t>的规定检验其产烟毒性危险分级，结果应符合本标准</w:t>
      </w:r>
      <w:r>
        <w:rPr>
          <w:spacing w:val="-11"/>
        </w:rPr>
        <w:t xml:space="preserve"> </w:t>
      </w:r>
      <w:r>
        <w:t xml:space="preserve">5.2.1.2 </w:t>
      </w:r>
      <w:r>
        <w:rPr>
          <w:spacing w:val="-3"/>
        </w:rPr>
        <w:t>的要求，或提供国家认可授权检测机构出具有效的相应检验报告。</w:t>
      </w:r>
      <w:r>
        <w:t xml:space="preserve"> </w:t>
      </w:r>
    </w:p>
    <w:p w14:paraId="0EA5CD4E" w14:textId="77777777" w:rsidR="00A71EEF" w:rsidRDefault="0081115D">
      <w:pPr>
        <w:pStyle w:val="a4"/>
        <w:numPr>
          <w:ilvl w:val="2"/>
          <w:numId w:val="551"/>
        </w:numPr>
        <w:tabs>
          <w:tab w:val="left" w:pos="1424"/>
        </w:tabs>
        <w:spacing w:line="268" w:lineRule="exact"/>
        <w:jc w:val="both"/>
        <w:rPr>
          <w:b/>
          <w:sz w:val="21"/>
        </w:rPr>
      </w:pPr>
      <w:r>
        <w:rPr>
          <w:spacing w:val="-3"/>
          <w:sz w:val="21"/>
        </w:rPr>
        <w:t>木材</w:t>
      </w:r>
      <w:r>
        <w:rPr>
          <w:b/>
          <w:w w:val="99"/>
          <w:sz w:val="21"/>
        </w:rPr>
        <w:t xml:space="preserve"> </w:t>
      </w:r>
    </w:p>
    <w:p w14:paraId="09C1D15A" w14:textId="77777777" w:rsidR="00A71EEF" w:rsidRDefault="00A71EEF">
      <w:pPr>
        <w:pStyle w:val="a3"/>
        <w:spacing w:before="2"/>
        <w:rPr>
          <w:b/>
          <w:sz w:val="18"/>
        </w:rPr>
      </w:pPr>
    </w:p>
    <w:p w14:paraId="6B891D05" w14:textId="77777777" w:rsidR="00A71EEF" w:rsidRDefault="0081115D">
      <w:pPr>
        <w:pStyle w:val="a3"/>
        <w:spacing w:line="446" w:lineRule="auto"/>
        <w:ind w:left="418" w:right="1608" w:firstLine="419"/>
        <w:jc w:val="both"/>
      </w:pPr>
      <w:r>
        <w:rPr>
          <w:spacing w:val="-15"/>
        </w:rPr>
        <w:t>按照</w:t>
      </w:r>
      <w:r>
        <w:rPr>
          <w:spacing w:val="-15"/>
        </w:rPr>
        <w:t xml:space="preserve"> </w:t>
      </w:r>
      <w:r>
        <w:t>GB/T 4823—1995</w:t>
      </w:r>
      <w:r>
        <w:rPr>
          <w:spacing w:val="-8"/>
        </w:rPr>
        <w:t xml:space="preserve"> </w:t>
      </w:r>
      <w:r>
        <w:rPr>
          <w:spacing w:val="-8"/>
        </w:rPr>
        <w:t>的规定，检验防火门门框、门扇各零部件使用木材的材质，结果应</w:t>
      </w:r>
      <w:r>
        <w:rPr>
          <w:spacing w:val="-13"/>
        </w:rPr>
        <w:t>符合本标准</w:t>
      </w:r>
      <w:r>
        <w:rPr>
          <w:spacing w:val="-13"/>
        </w:rPr>
        <w:t xml:space="preserve"> </w:t>
      </w:r>
      <w:r>
        <w:t>5.2.2.1</w:t>
      </w:r>
      <w:r>
        <w:rPr>
          <w:spacing w:val="-12"/>
        </w:rPr>
        <w:t xml:space="preserve"> </w:t>
      </w:r>
      <w:r>
        <w:rPr>
          <w:spacing w:val="-12"/>
        </w:rPr>
        <w:t>的要求。</w:t>
      </w:r>
      <w:r>
        <w:rPr>
          <w:spacing w:val="-12"/>
        </w:rPr>
        <w:t xml:space="preserve"> </w:t>
      </w:r>
    </w:p>
    <w:p w14:paraId="062B32EB" w14:textId="77777777" w:rsidR="00A71EEF" w:rsidRDefault="0081115D">
      <w:pPr>
        <w:pStyle w:val="a3"/>
        <w:spacing w:line="267" w:lineRule="exact"/>
        <w:ind w:left="838"/>
        <w:jc w:val="both"/>
      </w:pPr>
      <w:r>
        <w:t>按照</w:t>
      </w:r>
      <w:r>
        <w:t xml:space="preserve"> GB/T 8625—2005 </w:t>
      </w:r>
      <w:r>
        <w:t>的规定，检验防火门用木材的难燃性，结果应符合本标准</w:t>
      </w:r>
      <w:r>
        <w:t xml:space="preserve"> 5.2.2.2</w:t>
      </w:r>
    </w:p>
    <w:p w14:paraId="424D1CA4" w14:textId="77777777" w:rsidR="00A71EEF" w:rsidRDefault="00A71EEF">
      <w:pPr>
        <w:pStyle w:val="a3"/>
        <w:spacing w:before="2"/>
        <w:rPr>
          <w:sz w:val="18"/>
        </w:rPr>
      </w:pPr>
    </w:p>
    <w:p w14:paraId="23508D0E" w14:textId="77777777" w:rsidR="00A71EEF" w:rsidRDefault="0081115D">
      <w:pPr>
        <w:pStyle w:val="a3"/>
        <w:ind w:left="418"/>
      </w:pPr>
      <w:r>
        <w:t>的要求，或提供国家认可授权检测机构出具有效的相应检验报告。</w:t>
      </w:r>
      <w:r>
        <w:t xml:space="preserve"> </w:t>
      </w:r>
    </w:p>
    <w:p w14:paraId="644024E1" w14:textId="77777777" w:rsidR="00A71EEF" w:rsidRDefault="00A71EEF">
      <w:pPr>
        <w:sectPr w:rsidR="00A71EEF">
          <w:pgSz w:w="11910" w:h="16850"/>
          <w:pgMar w:top="1220" w:right="0" w:bottom="1420" w:left="1260" w:header="0" w:footer="1239" w:gutter="0"/>
          <w:cols w:space="720"/>
        </w:sectPr>
      </w:pPr>
    </w:p>
    <w:p w14:paraId="0BD3C0EE" w14:textId="77777777" w:rsidR="00A71EEF" w:rsidRDefault="0081115D">
      <w:pPr>
        <w:pStyle w:val="a3"/>
        <w:spacing w:before="47" w:line="446" w:lineRule="auto"/>
        <w:ind w:left="418" w:right="1817" w:firstLine="419"/>
      </w:pPr>
      <w:r>
        <w:t>难燃木材的含水率，使用含水率测定仪在防火门同一部件上任意测定三点，计算其平均值，结果应符合本标准</w:t>
      </w:r>
      <w:r>
        <w:t xml:space="preserve"> 5.2.2.3 </w:t>
      </w:r>
      <w:r>
        <w:t>的要求。</w:t>
      </w:r>
      <w:r>
        <w:t xml:space="preserve"> </w:t>
      </w:r>
    </w:p>
    <w:p w14:paraId="559D213C" w14:textId="77777777" w:rsidR="00A71EEF" w:rsidRDefault="0081115D">
      <w:pPr>
        <w:pStyle w:val="a4"/>
        <w:numPr>
          <w:ilvl w:val="2"/>
          <w:numId w:val="551"/>
        </w:numPr>
        <w:tabs>
          <w:tab w:val="left" w:pos="1424"/>
        </w:tabs>
        <w:spacing w:line="267" w:lineRule="exact"/>
        <w:rPr>
          <w:b/>
          <w:sz w:val="21"/>
        </w:rPr>
      </w:pPr>
      <w:r>
        <w:rPr>
          <w:spacing w:val="-3"/>
          <w:sz w:val="21"/>
        </w:rPr>
        <w:t>人造板</w:t>
      </w:r>
      <w:r>
        <w:rPr>
          <w:b/>
          <w:w w:val="99"/>
          <w:sz w:val="21"/>
        </w:rPr>
        <w:t xml:space="preserve"> </w:t>
      </w:r>
    </w:p>
    <w:p w14:paraId="0810CC2C" w14:textId="77777777" w:rsidR="00A71EEF" w:rsidRDefault="00A71EEF">
      <w:pPr>
        <w:pStyle w:val="a3"/>
        <w:spacing w:before="2"/>
        <w:rPr>
          <w:b/>
          <w:sz w:val="18"/>
        </w:rPr>
      </w:pPr>
    </w:p>
    <w:p w14:paraId="07757181" w14:textId="77777777" w:rsidR="00A71EEF" w:rsidRDefault="0081115D">
      <w:pPr>
        <w:pStyle w:val="a3"/>
        <w:spacing w:line="446" w:lineRule="auto"/>
        <w:ind w:left="418" w:right="1609" w:firstLine="419"/>
      </w:pPr>
      <w:r>
        <w:rPr>
          <w:spacing w:val="-7"/>
        </w:rPr>
        <w:t>防火门使用的人造板，按照</w:t>
      </w:r>
      <w:r>
        <w:rPr>
          <w:spacing w:val="-7"/>
        </w:rPr>
        <w:t xml:space="preserve"> </w:t>
      </w:r>
      <w:r>
        <w:t>GB/T 8625—2005</w:t>
      </w:r>
      <w:r>
        <w:rPr>
          <w:spacing w:val="-8"/>
        </w:rPr>
        <w:t xml:space="preserve"> </w:t>
      </w:r>
      <w:r>
        <w:rPr>
          <w:spacing w:val="-8"/>
        </w:rPr>
        <w:t>的规定，检验防火门用人造板的难燃性，结</w:t>
      </w:r>
      <w:r>
        <w:rPr>
          <w:spacing w:val="-12"/>
        </w:rPr>
        <w:t>果应符合本标准</w:t>
      </w:r>
      <w:r>
        <w:rPr>
          <w:spacing w:val="-12"/>
        </w:rPr>
        <w:t xml:space="preserve"> </w:t>
      </w:r>
      <w:r>
        <w:t>5.2.3.2</w:t>
      </w:r>
      <w:r>
        <w:rPr>
          <w:spacing w:val="-8"/>
        </w:rPr>
        <w:t xml:space="preserve"> </w:t>
      </w:r>
      <w:r>
        <w:rPr>
          <w:spacing w:val="-8"/>
        </w:rPr>
        <w:t>的要求，或提供国家认可授权检测机构出具有效的相应检验报告。</w:t>
      </w:r>
      <w:r>
        <w:t xml:space="preserve"> </w:t>
      </w:r>
    </w:p>
    <w:p w14:paraId="3F901A36" w14:textId="77777777" w:rsidR="00A71EEF" w:rsidRDefault="0081115D">
      <w:pPr>
        <w:pStyle w:val="a3"/>
        <w:spacing w:line="446" w:lineRule="auto"/>
        <w:ind w:left="418" w:right="1609" w:firstLine="419"/>
      </w:pPr>
      <w:r>
        <w:t>难燃人造板的含水率，使用含水率测定仪在防火门同一部件上任意测定三点，计算其平均值，结果应符合本标准</w:t>
      </w:r>
      <w:r>
        <w:t xml:space="preserve"> 5.2.3.3 </w:t>
      </w:r>
      <w:r>
        <w:t>的要求。</w:t>
      </w:r>
      <w:r>
        <w:t xml:space="preserve"> </w:t>
      </w:r>
    </w:p>
    <w:p w14:paraId="164A53E0" w14:textId="77777777" w:rsidR="00A71EEF" w:rsidRDefault="0081115D">
      <w:pPr>
        <w:pStyle w:val="a4"/>
        <w:numPr>
          <w:ilvl w:val="2"/>
          <w:numId w:val="551"/>
        </w:numPr>
        <w:tabs>
          <w:tab w:val="left" w:pos="1424"/>
        </w:tabs>
        <w:rPr>
          <w:b/>
          <w:sz w:val="21"/>
        </w:rPr>
      </w:pPr>
      <w:r>
        <w:rPr>
          <w:spacing w:val="-3"/>
          <w:sz w:val="21"/>
        </w:rPr>
        <w:t>钢材</w:t>
      </w:r>
      <w:r>
        <w:rPr>
          <w:b/>
          <w:w w:val="99"/>
          <w:sz w:val="21"/>
        </w:rPr>
        <w:t xml:space="preserve"> </w:t>
      </w:r>
    </w:p>
    <w:p w14:paraId="3C806C13" w14:textId="77777777" w:rsidR="00A71EEF" w:rsidRDefault="00A71EEF">
      <w:pPr>
        <w:pStyle w:val="a3"/>
        <w:spacing w:before="10"/>
        <w:rPr>
          <w:b/>
          <w:sz w:val="17"/>
        </w:rPr>
      </w:pPr>
    </w:p>
    <w:p w14:paraId="25BEFB7B" w14:textId="77777777" w:rsidR="00A71EEF" w:rsidRDefault="0081115D">
      <w:pPr>
        <w:pStyle w:val="a4"/>
        <w:numPr>
          <w:ilvl w:val="3"/>
          <w:numId w:val="551"/>
        </w:numPr>
        <w:tabs>
          <w:tab w:val="left" w:pos="1576"/>
        </w:tabs>
        <w:spacing w:before="1" w:line="446" w:lineRule="auto"/>
        <w:ind w:right="1609" w:firstLine="419"/>
        <w:rPr>
          <w:sz w:val="21"/>
        </w:rPr>
      </w:pPr>
      <w:r>
        <w:rPr>
          <w:spacing w:val="-3"/>
          <w:sz w:val="21"/>
        </w:rPr>
        <w:t>防火门门框、门扇和加固件使用钢质材料的性能应有生产厂商提供的合格材质检验报告。</w:t>
      </w:r>
      <w:r>
        <w:rPr>
          <w:sz w:val="21"/>
        </w:rPr>
        <w:t xml:space="preserve"> </w:t>
      </w:r>
    </w:p>
    <w:p w14:paraId="2AC26AB6" w14:textId="77777777" w:rsidR="00A71EEF" w:rsidRDefault="0081115D">
      <w:pPr>
        <w:pStyle w:val="a4"/>
        <w:numPr>
          <w:ilvl w:val="3"/>
          <w:numId w:val="551"/>
        </w:numPr>
        <w:tabs>
          <w:tab w:val="left" w:pos="1576"/>
        </w:tabs>
        <w:spacing w:line="446" w:lineRule="auto"/>
        <w:ind w:right="1609" w:firstLine="419"/>
        <w:rPr>
          <w:sz w:val="21"/>
        </w:rPr>
      </w:pPr>
      <w:r>
        <w:rPr>
          <w:spacing w:val="-3"/>
          <w:sz w:val="21"/>
        </w:rPr>
        <w:t>钢质材料的厚度采用千分尺测量，在防火门同一部件上任意测定三点，计算其平</w:t>
      </w:r>
      <w:r>
        <w:rPr>
          <w:spacing w:val="-7"/>
          <w:sz w:val="21"/>
        </w:rPr>
        <w:t>均值，结果应符合本标准表</w:t>
      </w:r>
      <w:r>
        <w:rPr>
          <w:spacing w:val="-7"/>
          <w:sz w:val="21"/>
        </w:rPr>
        <w:t xml:space="preserve"> </w:t>
      </w:r>
      <w:r>
        <w:rPr>
          <w:sz w:val="21"/>
        </w:rPr>
        <w:t>3</w:t>
      </w:r>
      <w:r>
        <w:rPr>
          <w:spacing w:val="-13"/>
          <w:sz w:val="21"/>
        </w:rPr>
        <w:t xml:space="preserve"> </w:t>
      </w:r>
      <w:r>
        <w:rPr>
          <w:spacing w:val="-13"/>
          <w:sz w:val="21"/>
        </w:rPr>
        <w:t>的要求。</w:t>
      </w:r>
      <w:r>
        <w:rPr>
          <w:sz w:val="21"/>
        </w:rPr>
        <w:t xml:space="preserve"> </w:t>
      </w:r>
    </w:p>
    <w:p w14:paraId="7F849776" w14:textId="77777777" w:rsidR="00A71EEF" w:rsidRDefault="0081115D">
      <w:pPr>
        <w:pStyle w:val="a4"/>
        <w:numPr>
          <w:ilvl w:val="2"/>
          <w:numId w:val="551"/>
        </w:numPr>
        <w:tabs>
          <w:tab w:val="left" w:pos="1424"/>
        </w:tabs>
        <w:rPr>
          <w:b/>
          <w:sz w:val="21"/>
        </w:rPr>
      </w:pPr>
      <w:r>
        <w:rPr>
          <w:spacing w:val="-3"/>
          <w:sz w:val="21"/>
        </w:rPr>
        <w:t>其他材质材料</w:t>
      </w:r>
      <w:r>
        <w:rPr>
          <w:b/>
          <w:w w:val="99"/>
          <w:sz w:val="21"/>
        </w:rPr>
        <w:t xml:space="preserve"> </w:t>
      </w:r>
    </w:p>
    <w:p w14:paraId="1CB397C9" w14:textId="77777777" w:rsidR="00A71EEF" w:rsidRDefault="00A71EEF">
      <w:pPr>
        <w:pStyle w:val="a3"/>
        <w:spacing w:before="12"/>
        <w:rPr>
          <w:b/>
          <w:sz w:val="17"/>
        </w:rPr>
      </w:pPr>
    </w:p>
    <w:p w14:paraId="30D2AEB2" w14:textId="77777777" w:rsidR="00A71EEF" w:rsidRDefault="0081115D">
      <w:pPr>
        <w:pStyle w:val="a3"/>
        <w:spacing w:line="446" w:lineRule="auto"/>
        <w:ind w:left="418" w:right="1349" w:firstLine="419"/>
      </w:pPr>
      <w:r>
        <w:rPr>
          <w:spacing w:val="-6"/>
        </w:rPr>
        <w:t>防火门使用的其他材质材料，按照</w:t>
      </w:r>
      <w:r>
        <w:rPr>
          <w:spacing w:val="-6"/>
        </w:rPr>
        <w:t xml:space="preserve"> </w:t>
      </w:r>
      <w:r>
        <w:t>GB/T 20285—2006</w:t>
      </w:r>
      <w:r>
        <w:rPr>
          <w:spacing w:val="-12"/>
        </w:rPr>
        <w:t xml:space="preserve"> </w:t>
      </w:r>
      <w:r>
        <w:rPr>
          <w:spacing w:val="-12"/>
        </w:rPr>
        <w:t>的规定检验产烟毒性危险分级和</w:t>
      </w:r>
      <w:r>
        <w:rPr>
          <w:spacing w:val="-12"/>
        </w:rPr>
        <w:t xml:space="preserve"> </w:t>
      </w:r>
      <w:r>
        <w:t>GB/T 8625—2005</w:t>
      </w:r>
      <w:r>
        <w:rPr>
          <w:spacing w:val="-11"/>
        </w:rPr>
        <w:t xml:space="preserve"> </w:t>
      </w:r>
      <w:r>
        <w:rPr>
          <w:spacing w:val="-11"/>
        </w:rPr>
        <w:t>的规定检验难燃性或按照</w:t>
      </w:r>
      <w:r>
        <w:rPr>
          <w:spacing w:val="-11"/>
        </w:rPr>
        <w:t xml:space="preserve"> </w:t>
      </w:r>
      <w:r>
        <w:t>GB 8624—2006</w:t>
      </w:r>
      <w:r>
        <w:rPr>
          <w:spacing w:val="-8"/>
        </w:rPr>
        <w:t xml:space="preserve"> </w:t>
      </w:r>
      <w:r>
        <w:rPr>
          <w:spacing w:val="-8"/>
        </w:rPr>
        <w:t>的规定检验其燃烧性能，结果应符合本标</w:t>
      </w:r>
      <w:r>
        <w:rPr>
          <w:spacing w:val="-30"/>
        </w:rPr>
        <w:t>准</w:t>
      </w:r>
      <w:r>
        <w:rPr>
          <w:spacing w:val="-30"/>
        </w:rPr>
        <w:t xml:space="preserve"> </w:t>
      </w:r>
      <w:r>
        <w:t>5.2.5</w:t>
      </w:r>
      <w:r>
        <w:rPr>
          <w:spacing w:val="-9"/>
        </w:rPr>
        <w:t xml:space="preserve"> </w:t>
      </w:r>
      <w:r>
        <w:rPr>
          <w:spacing w:val="-9"/>
        </w:rPr>
        <w:t>的相应要求，或提供国家认可授权检测机构出具有效的相应检验报告。</w:t>
      </w:r>
      <w:r>
        <w:rPr>
          <w:spacing w:val="-9"/>
        </w:rPr>
        <w:t xml:space="preserve"> </w:t>
      </w:r>
    </w:p>
    <w:p w14:paraId="1D84B0BE" w14:textId="77777777" w:rsidR="00A71EEF" w:rsidRDefault="0081115D">
      <w:pPr>
        <w:pStyle w:val="a4"/>
        <w:numPr>
          <w:ilvl w:val="2"/>
          <w:numId w:val="551"/>
        </w:numPr>
        <w:tabs>
          <w:tab w:val="left" w:pos="1424"/>
        </w:tabs>
        <w:spacing w:line="268" w:lineRule="exact"/>
        <w:rPr>
          <w:b/>
          <w:sz w:val="21"/>
        </w:rPr>
      </w:pPr>
      <w:r>
        <w:rPr>
          <w:spacing w:val="-3"/>
          <w:sz w:val="21"/>
        </w:rPr>
        <w:t>黏结剂</w:t>
      </w:r>
      <w:r>
        <w:rPr>
          <w:b/>
          <w:w w:val="99"/>
          <w:sz w:val="21"/>
        </w:rPr>
        <w:t xml:space="preserve"> </w:t>
      </w:r>
    </w:p>
    <w:p w14:paraId="067D26D8" w14:textId="77777777" w:rsidR="00A71EEF" w:rsidRDefault="00A71EEF">
      <w:pPr>
        <w:pStyle w:val="a3"/>
        <w:spacing w:before="12"/>
        <w:rPr>
          <w:b/>
          <w:sz w:val="17"/>
        </w:rPr>
      </w:pPr>
    </w:p>
    <w:p w14:paraId="0A47DA54" w14:textId="77777777" w:rsidR="00A71EEF" w:rsidRDefault="0081115D">
      <w:pPr>
        <w:pStyle w:val="a3"/>
        <w:spacing w:line="446" w:lineRule="auto"/>
        <w:ind w:left="418" w:right="1505" w:firstLine="419"/>
      </w:pPr>
      <w:r>
        <w:rPr>
          <w:spacing w:val="-7"/>
        </w:rPr>
        <w:t>防火门使用的粘结剂，按照</w:t>
      </w:r>
      <w:r>
        <w:rPr>
          <w:spacing w:val="-7"/>
        </w:rPr>
        <w:t xml:space="preserve"> </w:t>
      </w:r>
      <w:r>
        <w:t>GB/T 20285—2006</w:t>
      </w:r>
      <w:r>
        <w:rPr>
          <w:spacing w:val="-8"/>
        </w:rPr>
        <w:t xml:space="preserve"> </w:t>
      </w:r>
      <w:r>
        <w:rPr>
          <w:spacing w:val="-8"/>
        </w:rPr>
        <w:t>的规定检验产烟毒性危险分级，结果应符合</w:t>
      </w:r>
      <w:r>
        <w:rPr>
          <w:spacing w:val="-16"/>
        </w:rPr>
        <w:t>本标准</w:t>
      </w:r>
      <w:r>
        <w:rPr>
          <w:spacing w:val="-16"/>
        </w:rPr>
        <w:t xml:space="preserve"> </w:t>
      </w:r>
      <w:r>
        <w:t>5.2.6.2</w:t>
      </w:r>
      <w:r>
        <w:rPr>
          <w:spacing w:val="-9"/>
        </w:rPr>
        <w:t xml:space="preserve"> </w:t>
      </w:r>
      <w:r>
        <w:rPr>
          <w:spacing w:val="-9"/>
        </w:rPr>
        <w:t>的要求，或提供国家认可授权检测机构出具有效的相应检验报告。</w:t>
      </w:r>
      <w:r>
        <w:rPr>
          <w:spacing w:val="-9"/>
        </w:rPr>
        <w:t xml:space="preserve"> </w:t>
      </w:r>
    </w:p>
    <w:p w14:paraId="018F824A" w14:textId="77777777" w:rsidR="00A71EEF" w:rsidRDefault="0081115D">
      <w:pPr>
        <w:pStyle w:val="a4"/>
        <w:numPr>
          <w:ilvl w:val="1"/>
          <w:numId w:val="550"/>
        </w:numPr>
        <w:tabs>
          <w:tab w:val="left" w:pos="1159"/>
        </w:tabs>
        <w:spacing w:before="1"/>
        <w:ind w:hanging="319"/>
        <w:rPr>
          <w:b/>
          <w:sz w:val="21"/>
        </w:rPr>
      </w:pPr>
      <w:r>
        <w:rPr>
          <w:spacing w:val="-3"/>
          <w:sz w:val="21"/>
        </w:rPr>
        <w:t>配件</w:t>
      </w:r>
      <w:r>
        <w:rPr>
          <w:b/>
          <w:w w:val="99"/>
          <w:sz w:val="21"/>
        </w:rPr>
        <w:t xml:space="preserve"> </w:t>
      </w:r>
    </w:p>
    <w:p w14:paraId="79860614" w14:textId="77777777" w:rsidR="00A71EEF" w:rsidRDefault="00A71EEF">
      <w:pPr>
        <w:pStyle w:val="a3"/>
        <w:spacing w:before="12"/>
        <w:rPr>
          <w:b/>
          <w:sz w:val="17"/>
        </w:rPr>
      </w:pPr>
    </w:p>
    <w:p w14:paraId="25A42C1F" w14:textId="77777777" w:rsidR="00A71EEF" w:rsidRDefault="0081115D">
      <w:pPr>
        <w:pStyle w:val="a4"/>
        <w:numPr>
          <w:ilvl w:val="2"/>
          <w:numId w:val="550"/>
        </w:numPr>
        <w:tabs>
          <w:tab w:val="left" w:pos="1424"/>
        </w:tabs>
        <w:rPr>
          <w:b/>
          <w:sz w:val="21"/>
        </w:rPr>
      </w:pPr>
      <w:r>
        <w:rPr>
          <w:spacing w:val="-3"/>
          <w:sz w:val="21"/>
        </w:rPr>
        <w:t>防火锁</w:t>
      </w:r>
      <w:r>
        <w:rPr>
          <w:b/>
          <w:w w:val="99"/>
          <w:sz w:val="21"/>
        </w:rPr>
        <w:t xml:space="preserve"> </w:t>
      </w:r>
    </w:p>
    <w:p w14:paraId="263D7436" w14:textId="77777777" w:rsidR="00A71EEF" w:rsidRDefault="00A71EEF">
      <w:pPr>
        <w:pStyle w:val="a3"/>
        <w:spacing w:before="2"/>
        <w:rPr>
          <w:b/>
          <w:sz w:val="18"/>
        </w:rPr>
      </w:pPr>
    </w:p>
    <w:p w14:paraId="1E9FF204" w14:textId="77777777" w:rsidR="00A71EEF" w:rsidRDefault="0081115D">
      <w:pPr>
        <w:pStyle w:val="a3"/>
        <w:ind w:left="838"/>
      </w:pPr>
      <w:r>
        <w:t>按附录</w:t>
      </w:r>
      <w:r>
        <w:t xml:space="preserve"> A </w:t>
      </w:r>
      <w:r>
        <w:t>的规定进行检验，或提供国家认可授权检测机构出具有效的相应检验报告。</w:t>
      </w:r>
      <w:r>
        <w:t xml:space="preserve"> </w:t>
      </w:r>
    </w:p>
    <w:p w14:paraId="79145858" w14:textId="77777777" w:rsidR="00A71EEF" w:rsidRDefault="00A71EEF">
      <w:pPr>
        <w:pStyle w:val="a3"/>
        <w:spacing w:before="12"/>
        <w:rPr>
          <w:sz w:val="17"/>
        </w:rPr>
      </w:pPr>
    </w:p>
    <w:p w14:paraId="1C8E2075" w14:textId="77777777" w:rsidR="00A71EEF" w:rsidRDefault="0081115D">
      <w:pPr>
        <w:pStyle w:val="a4"/>
        <w:numPr>
          <w:ilvl w:val="2"/>
          <w:numId w:val="550"/>
        </w:numPr>
        <w:tabs>
          <w:tab w:val="left" w:pos="1424"/>
        </w:tabs>
        <w:rPr>
          <w:b/>
          <w:sz w:val="21"/>
        </w:rPr>
      </w:pPr>
      <w:r>
        <w:rPr>
          <w:spacing w:val="-3"/>
          <w:sz w:val="21"/>
        </w:rPr>
        <w:t>防火合页（</w:t>
      </w:r>
      <w:r>
        <w:rPr>
          <w:spacing w:val="-2"/>
          <w:sz w:val="21"/>
        </w:rPr>
        <w:t>铰链</w:t>
      </w:r>
      <w:r>
        <w:rPr>
          <w:spacing w:val="-3"/>
          <w:sz w:val="21"/>
        </w:rPr>
        <w:t>）</w:t>
      </w:r>
      <w:r>
        <w:rPr>
          <w:b/>
          <w:w w:val="99"/>
          <w:sz w:val="21"/>
        </w:rPr>
        <w:t xml:space="preserve"> </w:t>
      </w:r>
    </w:p>
    <w:p w14:paraId="137FDEFB" w14:textId="77777777" w:rsidR="00A71EEF" w:rsidRDefault="00A71EEF">
      <w:pPr>
        <w:pStyle w:val="a3"/>
        <w:rPr>
          <w:b/>
          <w:sz w:val="18"/>
        </w:rPr>
      </w:pPr>
    </w:p>
    <w:p w14:paraId="2B99F8AF" w14:textId="77777777" w:rsidR="00A71EEF" w:rsidRDefault="0081115D">
      <w:pPr>
        <w:pStyle w:val="a3"/>
        <w:ind w:left="838"/>
      </w:pPr>
      <w:r>
        <w:t>防火合页（铰链）板厚采用游标卡尺检验，任意测定三点，计算其平均值。</w:t>
      </w:r>
      <w:r>
        <w:t xml:space="preserve"> </w:t>
      </w:r>
    </w:p>
    <w:p w14:paraId="4CE61F93" w14:textId="77777777" w:rsidR="00A71EEF" w:rsidRDefault="00A71EEF">
      <w:pPr>
        <w:pStyle w:val="a3"/>
        <w:spacing w:before="2"/>
        <w:rPr>
          <w:sz w:val="18"/>
        </w:rPr>
      </w:pPr>
    </w:p>
    <w:p w14:paraId="3356279D" w14:textId="77777777" w:rsidR="00A71EEF" w:rsidRDefault="0081115D">
      <w:pPr>
        <w:pStyle w:val="a3"/>
        <w:spacing w:line="446" w:lineRule="auto"/>
        <w:ind w:left="418" w:right="1609" w:firstLine="419"/>
        <w:rPr>
          <w:b/>
        </w:rPr>
      </w:pPr>
      <w:r>
        <w:rPr>
          <w:spacing w:val="-1"/>
        </w:rPr>
        <w:t>防火合页</w:t>
      </w:r>
      <w:r>
        <w:rPr>
          <w:spacing w:val="-3"/>
        </w:rPr>
        <w:t>（</w:t>
      </w:r>
      <w:r>
        <w:rPr>
          <w:spacing w:val="-2"/>
        </w:rPr>
        <w:t>铰链</w:t>
      </w:r>
      <w:r>
        <w:t>）</w:t>
      </w:r>
      <w:r>
        <w:rPr>
          <w:spacing w:val="-7"/>
        </w:rPr>
        <w:t>的耐火性能应按附录</w:t>
      </w:r>
      <w:r>
        <w:rPr>
          <w:spacing w:val="-7"/>
        </w:rPr>
        <w:t xml:space="preserve"> </w:t>
      </w:r>
      <w:r>
        <w:t>B</w:t>
      </w:r>
      <w:r>
        <w:rPr>
          <w:spacing w:val="-7"/>
        </w:rPr>
        <w:t xml:space="preserve"> </w:t>
      </w:r>
      <w:r>
        <w:rPr>
          <w:spacing w:val="-7"/>
        </w:rPr>
        <w:t>的规定进行检验，或提供国家认可授权检测机构</w:t>
      </w:r>
      <w:r>
        <w:rPr>
          <w:spacing w:val="-5"/>
        </w:rPr>
        <w:t>出具有效的相应检验报告。</w:t>
      </w:r>
      <w:r>
        <w:rPr>
          <w:b/>
          <w:spacing w:val="-5"/>
          <w:w w:val="99"/>
        </w:rPr>
        <w:t xml:space="preserve"> </w:t>
      </w:r>
    </w:p>
    <w:p w14:paraId="0B3A8A61" w14:textId="77777777" w:rsidR="00A71EEF" w:rsidRDefault="0081115D">
      <w:pPr>
        <w:pStyle w:val="a4"/>
        <w:numPr>
          <w:ilvl w:val="2"/>
          <w:numId w:val="550"/>
        </w:numPr>
        <w:tabs>
          <w:tab w:val="left" w:pos="1424"/>
        </w:tabs>
        <w:spacing w:line="267" w:lineRule="exact"/>
        <w:rPr>
          <w:b/>
          <w:sz w:val="21"/>
        </w:rPr>
      </w:pPr>
      <w:r>
        <w:rPr>
          <w:spacing w:val="-3"/>
          <w:sz w:val="21"/>
        </w:rPr>
        <w:t>防火闭门装置</w:t>
      </w:r>
      <w:r>
        <w:rPr>
          <w:b/>
          <w:w w:val="99"/>
          <w:sz w:val="21"/>
        </w:rPr>
        <w:t xml:space="preserve"> </w:t>
      </w:r>
    </w:p>
    <w:p w14:paraId="5FDB64A2" w14:textId="77777777" w:rsidR="00A71EEF" w:rsidRDefault="00A71EEF">
      <w:pPr>
        <w:pStyle w:val="a3"/>
        <w:spacing w:before="2"/>
        <w:rPr>
          <w:b/>
          <w:sz w:val="18"/>
        </w:rPr>
      </w:pPr>
    </w:p>
    <w:p w14:paraId="7EB079EF" w14:textId="77777777" w:rsidR="00A71EEF" w:rsidRDefault="0081115D">
      <w:pPr>
        <w:pStyle w:val="a3"/>
        <w:ind w:left="838"/>
      </w:pPr>
      <w:r>
        <w:t>防火门用闭门器应按</w:t>
      </w:r>
      <w:r>
        <w:t xml:space="preserve"> GA 93 </w:t>
      </w:r>
      <w:r>
        <w:t>的规定进行检验，或提供国家认可授权检测机构出具有效的相</w:t>
      </w:r>
    </w:p>
    <w:p w14:paraId="5342B2EB" w14:textId="77777777" w:rsidR="00A71EEF" w:rsidRDefault="00A71EEF">
      <w:pPr>
        <w:sectPr w:rsidR="00A71EEF">
          <w:pgSz w:w="11910" w:h="16850"/>
          <w:pgMar w:top="1220" w:right="0" w:bottom="1420" w:left="1260" w:header="0" w:footer="1239" w:gutter="0"/>
          <w:cols w:space="720"/>
        </w:sectPr>
      </w:pPr>
    </w:p>
    <w:p w14:paraId="40D6CD31" w14:textId="77777777" w:rsidR="00A71EEF" w:rsidRDefault="0081115D">
      <w:pPr>
        <w:pStyle w:val="a3"/>
        <w:spacing w:before="47"/>
        <w:ind w:left="418"/>
      </w:pPr>
      <w:r>
        <w:t>应检验报告。</w:t>
      </w:r>
      <w:r>
        <w:t xml:space="preserve"> </w:t>
      </w:r>
    </w:p>
    <w:p w14:paraId="0B8AB941" w14:textId="77777777" w:rsidR="00A71EEF" w:rsidRDefault="00A71EEF">
      <w:pPr>
        <w:pStyle w:val="a3"/>
        <w:rPr>
          <w:sz w:val="18"/>
        </w:rPr>
      </w:pPr>
    </w:p>
    <w:p w14:paraId="63F1AE08" w14:textId="77777777" w:rsidR="00A71EEF" w:rsidRDefault="0081115D">
      <w:pPr>
        <w:pStyle w:val="a3"/>
        <w:spacing w:line="446" w:lineRule="auto"/>
        <w:ind w:left="418" w:right="1609" w:firstLine="419"/>
      </w:pPr>
      <w:r>
        <w:t>防火门用自动闭门装置在接收到火灾报警信号后应能自动关闭门扇，其他性能应按相应标准检验，或提供国家认可授权检测机构出具有效的相应检验报告。</w:t>
      </w:r>
      <w:r>
        <w:t xml:space="preserve"> </w:t>
      </w:r>
    </w:p>
    <w:p w14:paraId="49AE4452" w14:textId="77777777" w:rsidR="00A71EEF" w:rsidRDefault="0081115D">
      <w:pPr>
        <w:pStyle w:val="a4"/>
        <w:numPr>
          <w:ilvl w:val="2"/>
          <w:numId w:val="550"/>
        </w:numPr>
        <w:tabs>
          <w:tab w:val="left" w:pos="1424"/>
        </w:tabs>
        <w:rPr>
          <w:b/>
          <w:sz w:val="21"/>
        </w:rPr>
      </w:pPr>
      <w:r>
        <w:rPr>
          <w:spacing w:val="-3"/>
          <w:sz w:val="21"/>
        </w:rPr>
        <w:t>防火顺序器</w:t>
      </w:r>
      <w:r>
        <w:rPr>
          <w:b/>
          <w:w w:val="99"/>
          <w:sz w:val="21"/>
        </w:rPr>
        <w:t xml:space="preserve"> </w:t>
      </w:r>
    </w:p>
    <w:p w14:paraId="3D7FC858" w14:textId="77777777" w:rsidR="00A71EEF" w:rsidRDefault="00A71EEF">
      <w:pPr>
        <w:pStyle w:val="a3"/>
        <w:spacing w:before="12"/>
        <w:rPr>
          <w:b/>
          <w:sz w:val="17"/>
        </w:rPr>
      </w:pPr>
    </w:p>
    <w:p w14:paraId="6A35A78A" w14:textId="77777777" w:rsidR="00A71EEF" w:rsidRDefault="0081115D">
      <w:pPr>
        <w:pStyle w:val="a3"/>
        <w:spacing w:line="446" w:lineRule="auto"/>
        <w:ind w:left="418" w:right="1608" w:firstLine="419"/>
        <w:jc w:val="both"/>
      </w:pPr>
      <w:r>
        <w:rPr>
          <w:spacing w:val="-3"/>
        </w:rPr>
        <w:t>按实际使用状态将防火顺序器装配到防火门上，同时推开各个门扇，然后同时释放门扇，</w:t>
      </w:r>
      <w:r>
        <w:rPr>
          <w:spacing w:val="-3"/>
        </w:rPr>
        <w:t xml:space="preserve"> </w:t>
      </w:r>
      <w:r>
        <w:rPr>
          <w:spacing w:val="-4"/>
        </w:rPr>
        <w:t>目测防火顺序器能否使防火门门扇按顺序要求关闭；防火顺序器的耐火性能应按附录</w:t>
      </w:r>
      <w:r>
        <w:rPr>
          <w:spacing w:val="-4"/>
        </w:rPr>
        <w:t xml:space="preserve"> </w:t>
      </w:r>
      <w:r>
        <w:t>C</w:t>
      </w:r>
      <w:r>
        <w:rPr>
          <w:spacing w:val="-10"/>
        </w:rPr>
        <w:t xml:space="preserve"> </w:t>
      </w:r>
      <w:r>
        <w:rPr>
          <w:spacing w:val="-10"/>
        </w:rPr>
        <w:t>的规定</w:t>
      </w:r>
      <w:r>
        <w:rPr>
          <w:spacing w:val="-5"/>
        </w:rPr>
        <w:t>进行检验，或提供国家认可授权检测机构出具有效的相应检验报告。</w:t>
      </w:r>
      <w:r>
        <w:t xml:space="preserve"> </w:t>
      </w:r>
    </w:p>
    <w:p w14:paraId="27695597" w14:textId="77777777" w:rsidR="00A71EEF" w:rsidRDefault="0081115D">
      <w:pPr>
        <w:pStyle w:val="a4"/>
        <w:numPr>
          <w:ilvl w:val="2"/>
          <w:numId w:val="550"/>
        </w:numPr>
        <w:tabs>
          <w:tab w:val="left" w:pos="1424"/>
        </w:tabs>
        <w:spacing w:line="268" w:lineRule="exact"/>
        <w:jc w:val="both"/>
        <w:rPr>
          <w:b/>
          <w:sz w:val="21"/>
        </w:rPr>
      </w:pPr>
      <w:r>
        <w:rPr>
          <w:spacing w:val="-3"/>
          <w:sz w:val="21"/>
        </w:rPr>
        <w:t>防火插销</w:t>
      </w:r>
      <w:r>
        <w:rPr>
          <w:b/>
          <w:w w:val="99"/>
          <w:sz w:val="21"/>
        </w:rPr>
        <w:t xml:space="preserve"> </w:t>
      </w:r>
    </w:p>
    <w:p w14:paraId="0F055062" w14:textId="77777777" w:rsidR="00A71EEF" w:rsidRDefault="00A71EEF">
      <w:pPr>
        <w:pStyle w:val="a3"/>
        <w:rPr>
          <w:b/>
          <w:sz w:val="18"/>
        </w:rPr>
      </w:pPr>
    </w:p>
    <w:p w14:paraId="59E980DD" w14:textId="77777777" w:rsidR="00A71EEF" w:rsidRDefault="0081115D">
      <w:pPr>
        <w:pStyle w:val="a3"/>
        <w:spacing w:line="446" w:lineRule="auto"/>
        <w:ind w:left="418" w:right="1609" w:firstLine="419"/>
        <w:jc w:val="both"/>
      </w:pPr>
      <w:r>
        <w:t>采用目测及手感相结合的方法检查防火门上安装防火插销的情况，防火插销的耐火性能应按附录</w:t>
      </w:r>
      <w:r>
        <w:t xml:space="preserve"> D </w:t>
      </w:r>
      <w:r>
        <w:t>的规定进行检验，或提供</w:t>
      </w:r>
      <w:r>
        <w:t>国家认可授权检测机构出具有效的相应检验报告。</w:t>
      </w:r>
      <w:r>
        <w:t xml:space="preserve"> </w:t>
      </w:r>
    </w:p>
    <w:p w14:paraId="6E018024" w14:textId="77777777" w:rsidR="00A71EEF" w:rsidRDefault="0081115D">
      <w:pPr>
        <w:pStyle w:val="a4"/>
        <w:numPr>
          <w:ilvl w:val="2"/>
          <w:numId w:val="550"/>
        </w:numPr>
        <w:tabs>
          <w:tab w:val="left" w:pos="1424"/>
        </w:tabs>
        <w:jc w:val="both"/>
        <w:rPr>
          <w:b/>
          <w:sz w:val="21"/>
        </w:rPr>
      </w:pPr>
      <w:r>
        <w:rPr>
          <w:spacing w:val="-3"/>
          <w:sz w:val="21"/>
        </w:rPr>
        <w:t>盖缝板</w:t>
      </w:r>
      <w:r>
        <w:rPr>
          <w:b/>
          <w:w w:val="99"/>
          <w:sz w:val="21"/>
        </w:rPr>
        <w:t xml:space="preserve"> </w:t>
      </w:r>
    </w:p>
    <w:p w14:paraId="4A9DC775" w14:textId="77777777" w:rsidR="00A71EEF" w:rsidRDefault="00A71EEF">
      <w:pPr>
        <w:pStyle w:val="a3"/>
        <w:spacing w:before="12"/>
        <w:rPr>
          <w:b/>
          <w:sz w:val="17"/>
        </w:rPr>
      </w:pPr>
    </w:p>
    <w:p w14:paraId="21F9C060" w14:textId="77777777" w:rsidR="00A71EEF" w:rsidRDefault="0081115D">
      <w:pPr>
        <w:pStyle w:val="a3"/>
        <w:ind w:left="838"/>
      </w:pPr>
      <w:r>
        <w:t>防火门盖缝板的安装情况，采用目测和手感相结合的方法进行检验。</w:t>
      </w:r>
      <w:r>
        <w:t xml:space="preserve"> </w:t>
      </w:r>
    </w:p>
    <w:p w14:paraId="0555F9CC" w14:textId="77777777" w:rsidR="00A71EEF" w:rsidRDefault="00A71EEF">
      <w:pPr>
        <w:pStyle w:val="a3"/>
        <w:spacing w:before="2"/>
        <w:rPr>
          <w:sz w:val="18"/>
        </w:rPr>
      </w:pPr>
    </w:p>
    <w:p w14:paraId="4E5CAF32" w14:textId="77777777" w:rsidR="00A71EEF" w:rsidRDefault="0081115D">
      <w:pPr>
        <w:pStyle w:val="a4"/>
        <w:numPr>
          <w:ilvl w:val="2"/>
          <w:numId w:val="550"/>
        </w:numPr>
        <w:tabs>
          <w:tab w:val="left" w:pos="1424"/>
        </w:tabs>
        <w:rPr>
          <w:b/>
          <w:sz w:val="21"/>
        </w:rPr>
      </w:pPr>
      <w:r>
        <w:rPr>
          <w:spacing w:val="-3"/>
          <w:sz w:val="21"/>
        </w:rPr>
        <w:t>防火密封件</w:t>
      </w:r>
      <w:r>
        <w:rPr>
          <w:b/>
          <w:w w:val="99"/>
          <w:sz w:val="21"/>
        </w:rPr>
        <w:t xml:space="preserve"> </w:t>
      </w:r>
    </w:p>
    <w:p w14:paraId="54B9F1D2" w14:textId="77777777" w:rsidR="00A71EEF" w:rsidRDefault="00A71EEF">
      <w:pPr>
        <w:pStyle w:val="a3"/>
        <w:rPr>
          <w:b/>
          <w:sz w:val="18"/>
        </w:rPr>
      </w:pPr>
    </w:p>
    <w:p w14:paraId="7C7EEB43" w14:textId="77777777" w:rsidR="00A71EEF" w:rsidRDefault="0081115D">
      <w:pPr>
        <w:pStyle w:val="a3"/>
        <w:spacing w:line="446" w:lineRule="auto"/>
        <w:ind w:left="418" w:right="1505" w:firstLine="419"/>
      </w:pPr>
      <w:r>
        <w:rPr>
          <w:spacing w:val="-5"/>
        </w:rPr>
        <w:t>目测门框与门扇、门扇与门扇的缝隙处是否设有防火密封件，其性能应按</w:t>
      </w:r>
      <w:r>
        <w:rPr>
          <w:spacing w:val="-5"/>
        </w:rPr>
        <w:t xml:space="preserve"> </w:t>
      </w:r>
      <w:r>
        <w:rPr>
          <w:spacing w:val="-3"/>
        </w:rPr>
        <w:t xml:space="preserve">GB </w:t>
      </w:r>
      <w:r>
        <w:t>16807</w:t>
      </w:r>
      <w:r>
        <w:rPr>
          <w:spacing w:val="-12"/>
        </w:rPr>
        <w:t xml:space="preserve"> </w:t>
      </w:r>
      <w:r>
        <w:rPr>
          <w:spacing w:val="-12"/>
        </w:rPr>
        <w:t>的规定</w:t>
      </w:r>
      <w:r>
        <w:rPr>
          <w:spacing w:val="-6"/>
        </w:rPr>
        <w:t>进行检验，或提供国家认可授权检测机构出具有效的相应检验报告。</w:t>
      </w:r>
      <w:r>
        <w:t xml:space="preserve"> </w:t>
      </w:r>
    </w:p>
    <w:p w14:paraId="2C1471B6" w14:textId="77777777" w:rsidR="00A71EEF" w:rsidRDefault="0081115D">
      <w:pPr>
        <w:pStyle w:val="a4"/>
        <w:numPr>
          <w:ilvl w:val="2"/>
          <w:numId w:val="550"/>
        </w:numPr>
        <w:tabs>
          <w:tab w:val="left" w:pos="1424"/>
        </w:tabs>
        <w:rPr>
          <w:b/>
          <w:sz w:val="21"/>
        </w:rPr>
      </w:pPr>
      <w:r>
        <w:rPr>
          <w:spacing w:val="-3"/>
          <w:sz w:val="21"/>
        </w:rPr>
        <w:t>防火玻璃</w:t>
      </w:r>
      <w:r>
        <w:rPr>
          <w:b/>
          <w:w w:val="99"/>
          <w:sz w:val="21"/>
        </w:rPr>
        <w:t xml:space="preserve"> </w:t>
      </w:r>
    </w:p>
    <w:p w14:paraId="275B1D13" w14:textId="77777777" w:rsidR="00A71EEF" w:rsidRDefault="00A71EEF">
      <w:pPr>
        <w:pStyle w:val="a3"/>
        <w:spacing w:before="12"/>
        <w:rPr>
          <w:b/>
          <w:sz w:val="17"/>
        </w:rPr>
      </w:pPr>
    </w:p>
    <w:p w14:paraId="6D772017" w14:textId="77777777" w:rsidR="00A71EEF" w:rsidRDefault="0081115D">
      <w:pPr>
        <w:pStyle w:val="a3"/>
        <w:spacing w:line="446" w:lineRule="auto"/>
        <w:ind w:left="840" w:right="1402" w:hanging="3"/>
        <w:rPr>
          <w:b/>
        </w:rPr>
      </w:pPr>
      <w:r>
        <w:rPr>
          <w:spacing w:val="-16"/>
        </w:rPr>
        <w:t>应按</w:t>
      </w:r>
      <w:r>
        <w:rPr>
          <w:spacing w:val="-16"/>
        </w:rPr>
        <w:t xml:space="preserve"> </w:t>
      </w:r>
      <w:r>
        <w:t>GB 15763.1</w:t>
      </w:r>
      <w:r>
        <w:rPr>
          <w:spacing w:val="-9"/>
        </w:rPr>
        <w:t xml:space="preserve"> </w:t>
      </w:r>
      <w:r>
        <w:rPr>
          <w:spacing w:val="-9"/>
        </w:rPr>
        <w:t>规定进行检验，或提供国家认可授权检测机构出具有效的相应检验报告。</w:t>
      </w:r>
      <w:r>
        <w:rPr>
          <w:b/>
          <w:spacing w:val="-9"/>
        </w:rPr>
        <w:t>6.5</w:t>
      </w:r>
      <w:r>
        <w:rPr>
          <w:b/>
          <w:spacing w:val="1"/>
        </w:rPr>
        <w:t xml:space="preserve"> </w:t>
      </w:r>
      <w:r>
        <w:rPr>
          <w:spacing w:val="-3"/>
        </w:rPr>
        <w:t>加工工艺和外观质量</w:t>
      </w:r>
      <w:r>
        <w:rPr>
          <w:b/>
          <w:w w:val="99"/>
        </w:rPr>
        <w:t xml:space="preserve"> </w:t>
      </w:r>
    </w:p>
    <w:p w14:paraId="0E17096B" w14:textId="77777777" w:rsidR="00A71EEF" w:rsidRDefault="0081115D">
      <w:pPr>
        <w:pStyle w:val="a3"/>
        <w:spacing w:line="446" w:lineRule="auto"/>
        <w:ind w:left="418" w:right="1817" w:firstLine="419"/>
      </w:pPr>
      <w:r>
        <w:t>由成型门扇或填充对人体无毒无害防火隔热材料的门扇、门框、防火五金配件组成防火门，其外观质量以目测方法检验，其加工工艺质量按</w:t>
      </w:r>
      <w:r>
        <w:t xml:space="preserve"> 6.7</w:t>
      </w:r>
      <w:r>
        <w:t>、</w:t>
      </w:r>
      <w:r>
        <w:t>6.8</w:t>
      </w:r>
      <w:r>
        <w:t>、</w:t>
      </w:r>
      <w:r>
        <w:t xml:space="preserve">6.9 </w:t>
      </w:r>
      <w:r>
        <w:t>的规定检验。</w:t>
      </w:r>
      <w:r>
        <w:t xml:space="preserve"> </w:t>
      </w:r>
    </w:p>
    <w:p w14:paraId="24D1197A" w14:textId="77777777" w:rsidR="00A71EEF" w:rsidRDefault="0081115D">
      <w:pPr>
        <w:spacing w:line="267" w:lineRule="exact"/>
        <w:ind w:left="840"/>
        <w:rPr>
          <w:b/>
          <w:sz w:val="21"/>
        </w:rPr>
      </w:pPr>
      <w:r>
        <w:rPr>
          <w:b/>
          <w:sz w:val="21"/>
        </w:rPr>
        <w:t>6.6</w:t>
      </w:r>
      <w:r>
        <w:rPr>
          <w:b/>
          <w:spacing w:val="5"/>
          <w:sz w:val="21"/>
        </w:rPr>
        <w:t xml:space="preserve"> </w:t>
      </w:r>
      <w:r>
        <w:rPr>
          <w:spacing w:val="-3"/>
          <w:sz w:val="21"/>
        </w:rPr>
        <w:t>门扇质量</w:t>
      </w:r>
      <w:r>
        <w:rPr>
          <w:b/>
          <w:w w:val="99"/>
          <w:sz w:val="21"/>
        </w:rPr>
        <w:t xml:space="preserve"> </w:t>
      </w:r>
    </w:p>
    <w:p w14:paraId="04CB1B5D" w14:textId="77777777" w:rsidR="00A71EEF" w:rsidRDefault="00A71EEF">
      <w:pPr>
        <w:pStyle w:val="a3"/>
        <w:spacing w:before="2"/>
        <w:rPr>
          <w:b/>
          <w:sz w:val="18"/>
        </w:rPr>
      </w:pPr>
    </w:p>
    <w:p w14:paraId="7EE5818B" w14:textId="77777777" w:rsidR="00A71EEF" w:rsidRDefault="0081115D">
      <w:pPr>
        <w:pStyle w:val="a3"/>
        <w:spacing w:line="446" w:lineRule="auto"/>
        <w:ind w:left="840" w:right="1925" w:hanging="3"/>
      </w:pPr>
      <w:r>
        <w:rPr>
          <w:spacing w:val="-3"/>
        </w:rPr>
        <w:t>采用磅秤对每一门扇进行称重，任一门扇的质量（</w:t>
      </w:r>
      <w:r>
        <w:t>重量</w:t>
      </w:r>
      <w:r>
        <w:rPr>
          <w:spacing w:val="-3"/>
        </w:rPr>
        <w:t>）</w:t>
      </w:r>
      <w:r>
        <w:rPr>
          <w:spacing w:val="-9"/>
        </w:rPr>
        <w:t>应符合本标准</w:t>
      </w:r>
      <w:r>
        <w:rPr>
          <w:spacing w:val="-9"/>
        </w:rPr>
        <w:t xml:space="preserve"> </w:t>
      </w:r>
      <w:r>
        <w:t>5.5</w:t>
      </w:r>
      <w:r>
        <w:rPr>
          <w:spacing w:val="-11"/>
        </w:rPr>
        <w:t xml:space="preserve"> </w:t>
      </w:r>
      <w:r>
        <w:rPr>
          <w:spacing w:val="-11"/>
        </w:rPr>
        <w:t>的要求。</w:t>
      </w:r>
      <w:r>
        <w:rPr>
          <w:b/>
        </w:rPr>
        <w:t>6.7</w:t>
      </w:r>
      <w:r>
        <w:rPr>
          <w:b/>
          <w:spacing w:val="-1"/>
        </w:rPr>
        <w:t xml:space="preserve"> </w:t>
      </w:r>
      <w:r>
        <w:rPr>
          <w:spacing w:val="-3"/>
        </w:rPr>
        <w:t>尺寸公差</w:t>
      </w:r>
      <w:r>
        <w:t xml:space="preserve"> </w:t>
      </w:r>
    </w:p>
    <w:p w14:paraId="45A7ABA1" w14:textId="77777777" w:rsidR="00A71EEF" w:rsidRDefault="0081115D">
      <w:pPr>
        <w:pStyle w:val="a4"/>
        <w:numPr>
          <w:ilvl w:val="2"/>
          <w:numId w:val="549"/>
        </w:numPr>
        <w:tabs>
          <w:tab w:val="left" w:pos="1424"/>
        </w:tabs>
        <w:spacing w:line="267" w:lineRule="exact"/>
        <w:rPr>
          <w:b/>
          <w:sz w:val="21"/>
        </w:rPr>
      </w:pPr>
      <w:r>
        <w:rPr>
          <w:spacing w:val="-13"/>
          <w:sz w:val="21"/>
        </w:rPr>
        <w:t>门扇高度</w:t>
      </w:r>
      <w:r>
        <w:rPr>
          <w:spacing w:val="-13"/>
          <w:sz w:val="21"/>
        </w:rPr>
        <w:t xml:space="preserve"> </w:t>
      </w:r>
      <w:r>
        <w:rPr>
          <w:spacing w:val="-3"/>
          <w:sz w:val="21"/>
        </w:rPr>
        <w:t>H</w:t>
      </w:r>
      <w:r>
        <w:rPr>
          <w:b/>
          <w:w w:val="99"/>
          <w:sz w:val="21"/>
        </w:rPr>
        <w:t xml:space="preserve"> </w:t>
      </w:r>
    </w:p>
    <w:p w14:paraId="4C701C53" w14:textId="77777777" w:rsidR="00A71EEF" w:rsidRDefault="00A71EEF">
      <w:pPr>
        <w:pStyle w:val="a3"/>
        <w:spacing w:before="2"/>
        <w:rPr>
          <w:b/>
          <w:sz w:val="18"/>
        </w:rPr>
      </w:pPr>
    </w:p>
    <w:p w14:paraId="03FB7805" w14:textId="77777777" w:rsidR="00A71EEF" w:rsidRDefault="0081115D">
      <w:pPr>
        <w:pStyle w:val="a3"/>
        <w:spacing w:line="446" w:lineRule="auto"/>
        <w:ind w:left="418" w:right="1666" w:firstLine="419"/>
      </w:pPr>
      <w:r>
        <w:rPr>
          <w:spacing w:val="-6"/>
        </w:rPr>
        <w:t>采用钢卷尺测量，测量位置为距门扇两竖边各</w:t>
      </w:r>
      <w:r>
        <w:rPr>
          <w:spacing w:val="-6"/>
        </w:rPr>
        <w:t xml:space="preserve"> </w:t>
      </w:r>
      <w:r>
        <w:t>50 mm</w:t>
      </w:r>
      <w:r>
        <w:rPr>
          <w:spacing w:val="-19"/>
        </w:rPr>
        <w:t xml:space="preserve"> </w:t>
      </w:r>
      <w:r>
        <w:rPr>
          <w:spacing w:val="-19"/>
        </w:rPr>
        <w:t>处，见图</w:t>
      </w:r>
      <w:r>
        <w:rPr>
          <w:spacing w:val="-19"/>
        </w:rPr>
        <w:t xml:space="preserve"> </w:t>
      </w:r>
      <w:r>
        <w:t>1</w:t>
      </w:r>
      <w:r>
        <w:rPr>
          <w:spacing w:val="-1"/>
        </w:rPr>
        <w:t xml:space="preserve"> </w:t>
      </w:r>
      <w:r>
        <w:rPr>
          <w:spacing w:val="-1"/>
        </w:rPr>
        <w:t>所示的</w:t>
      </w:r>
      <w:r>
        <w:t>A-A</w:t>
      </w:r>
      <w:r>
        <w:rPr>
          <w:spacing w:val="-33"/>
        </w:rPr>
        <w:t xml:space="preserve"> </w:t>
      </w:r>
      <w:r>
        <w:rPr>
          <w:spacing w:val="-33"/>
        </w:rPr>
        <w:t>和</w:t>
      </w:r>
      <w:r>
        <w:rPr>
          <w:spacing w:val="-33"/>
        </w:rPr>
        <w:t xml:space="preserve"> </w:t>
      </w:r>
      <w:r>
        <w:t>A′-A</w:t>
      </w:r>
      <w:r>
        <w:rPr>
          <w:spacing w:val="-2"/>
        </w:rPr>
        <w:t>′</w:t>
      </w:r>
      <w:r>
        <w:rPr>
          <w:spacing w:val="-2"/>
        </w:rPr>
        <w:t>位</w:t>
      </w:r>
      <w:r>
        <w:rPr>
          <w:spacing w:val="-3"/>
        </w:rPr>
        <w:t>置。检测值与产品设计图示门扇高度值相减，结果取其极值。</w:t>
      </w:r>
      <w:r>
        <w:t xml:space="preserve"> </w:t>
      </w:r>
    </w:p>
    <w:p w14:paraId="6137FF74" w14:textId="77777777" w:rsidR="00A71EEF" w:rsidRDefault="00A71EEF">
      <w:pPr>
        <w:spacing w:line="446" w:lineRule="auto"/>
        <w:sectPr w:rsidR="00A71EEF">
          <w:pgSz w:w="11910" w:h="16850"/>
          <w:pgMar w:top="1220" w:right="0" w:bottom="1420" w:left="1260" w:header="0" w:footer="1239" w:gutter="0"/>
          <w:cols w:space="720"/>
        </w:sectPr>
      </w:pPr>
    </w:p>
    <w:p w14:paraId="3C4FE25A" w14:textId="77777777" w:rsidR="00A71EEF" w:rsidRDefault="0081115D">
      <w:pPr>
        <w:pStyle w:val="a3"/>
        <w:ind w:left="1357"/>
        <w:rPr>
          <w:sz w:val="20"/>
        </w:rPr>
      </w:pPr>
      <w:r>
        <w:rPr>
          <w:noProof/>
          <w:sz w:val="20"/>
        </w:rPr>
        <w:drawing>
          <wp:inline distT="0" distB="0" distL="0" distR="0" wp14:anchorId="45560596" wp14:editId="10211C6B">
            <wp:extent cx="4261116" cy="2133600"/>
            <wp:effectExtent l="0" t="0" r="0" b="0"/>
            <wp:docPr id="351" name="image2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212.jpeg"/>
                    <pic:cNvPicPr/>
                  </pic:nvPicPr>
                  <pic:blipFill>
                    <a:blip r:embed="rId252" cstate="print"/>
                    <a:stretch>
                      <a:fillRect/>
                    </a:stretch>
                  </pic:blipFill>
                  <pic:spPr>
                    <a:xfrm>
                      <a:off x="0" y="0"/>
                      <a:ext cx="4261116" cy="2133600"/>
                    </a:xfrm>
                    <a:prstGeom prst="rect">
                      <a:avLst/>
                    </a:prstGeom>
                  </pic:spPr>
                </pic:pic>
              </a:graphicData>
            </a:graphic>
          </wp:inline>
        </w:drawing>
      </w:r>
    </w:p>
    <w:p w14:paraId="5FAB6F09" w14:textId="77777777" w:rsidR="00A71EEF" w:rsidRDefault="00A71EEF">
      <w:pPr>
        <w:pStyle w:val="a3"/>
        <w:rPr>
          <w:sz w:val="20"/>
        </w:rPr>
      </w:pPr>
    </w:p>
    <w:p w14:paraId="4ECF8C07" w14:textId="77777777" w:rsidR="00A71EEF" w:rsidRDefault="00A71EEF">
      <w:pPr>
        <w:pStyle w:val="a3"/>
        <w:spacing w:before="12"/>
        <w:rPr>
          <w:sz w:val="29"/>
        </w:rPr>
      </w:pPr>
    </w:p>
    <w:p w14:paraId="0B3BC7A1" w14:textId="77777777" w:rsidR="00A71EEF" w:rsidRDefault="0081115D">
      <w:pPr>
        <w:pStyle w:val="6"/>
        <w:spacing w:before="72"/>
        <w:ind w:right="490"/>
        <w:jc w:val="center"/>
        <w:rPr>
          <w:b w:val="0"/>
        </w:rPr>
      </w:pPr>
      <w:r>
        <w:t>图</w:t>
      </w:r>
      <w:r>
        <w:t xml:space="preserve"> 1 </w:t>
      </w:r>
      <w:r>
        <w:t>门扇高度测量位置示意图</w:t>
      </w:r>
      <w:r>
        <w:rPr>
          <w:b w:val="0"/>
        </w:rPr>
        <w:t xml:space="preserve"> </w:t>
      </w:r>
    </w:p>
    <w:p w14:paraId="0F663239" w14:textId="77777777" w:rsidR="00A71EEF" w:rsidRDefault="00A71EEF">
      <w:pPr>
        <w:pStyle w:val="a3"/>
        <w:spacing w:before="4"/>
        <w:rPr>
          <w:sz w:val="12"/>
        </w:rPr>
      </w:pPr>
    </w:p>
    <w:p w14:paraId="5EA17A2A" w14:textId="77777777" w:rsidR="00A71EEF" w:rsidRDefault="0081115D">
      <w:pPr>
        <w:pStyle w:val="a4"/>
        <w:numPr>
          <w:ilvl w:val="2"/>
          <w:numId w:val="549"/>
        </w:numPr>
        <w:tabs>
          <w:tab w:val="left" w:pos="1424"/>
        </w:tabs>
        <w:spacing w:before="72"/>
        <w:rPr>
          <w:b/>
          <w:sz w:val="21"/>
        </w:rPr>
      </w:pPr>
      <w:r>
        <w:rPr>
          <w:spacing w:val="-13"/>
          <w:sz w:val="21"/>
        </w:rPr>
        <w:t>门扇宽度</w:t>
      </w:r>
      <w:r>
        <w:rPr>
          <w:spacing w:val="-13"/>
          <w:sz w:val="21"/>
        </w:rPr>
        <w:t xml:space="preserve"> </w:t>
      </w:r>
      <w:r>
        <w:rPr>
          <w:spacing w:val="-3"/>
          <w:sz w:val="21"/>
        </w:rPr>
        <w:t>W</w:t>
      </w:r>
      <w:r>
        <w:rPr>
          <w:b/>
          <w:w w:val="99"/>
          <w:sz w:val="21"/>
        </w:rPr>
        <w:t xml:space="preserve"> </w:t>
      </w:r>
    </w:p>
    <w:p w14:paraId="73D885B4" w14:textId="77777777" w:rsidR="00A71EEF" w:rsidRDefault="00A71EEF">
      <w:pPr>
        <w:pStyle w:val="a3"/>
        <w:spacing w:before="2"/>
        <w:rPr>
          <w:b/>
          <w:sz w:val="18"/>
        </w:rPr>
      </w:pPr>
    </w:p>
    <w:p w14:paraId="548E5289" w14:textId="77777777" w:rsidR="00A71EEF" w:rsidRDefault="0081115D">
      <w:pPr>
        <w:pStyle w:val="a3"/>
        <w:spacing w:line="446" w:lineRule="auto"/>
        <w:ind w:left="418" w:right="1450" w:firstLine="422"/>
      </w:pPr>
      <w:r>
        <w:rPr>
          <w:spacing w:val="-6"/>
        </w:rPr>
        <w:t>采用钢卷尺测量，测量位置为距门扇上两横边各</w:t>
      </w:r>
      <w:r>
        <w:rPr>
          <w:spacing w:val="-6"/>
        </w:rPr>
        <w:t xml:space="preserve"> </w:t>
      </w:r>
      <w:r>
        <w:rPr>
          <w:spacing w:val="-3"/>
        </w:rPr>
        <w:t xml:space="preserve">50 </w:t>
      </w:r>
      <w:r>
        <w:t>mm</w:t>
      </w:r>
      <w:r>
        <w:rPr>
          <w:spacing w:val="-19"/>
        </w:rPr>
        <w:t xml:space="preserve"> </w:t>
      </w:r>
      <w:r>
        <w:rPr>
          <w:spacing w:val="-19"/>
        </w:rPr>
        <w:t>处，见图</w:t>
      </w:r>
      <w:r>
        <w:rPr>
          <w:spacing w:val="-19"/>
        </w:rPr>
        <w:t xml:space="preserve"> </w:t>
      </w:r>
      <w:r>
        <w:t>2</w:t>
      </w:r>
      <w:r>
        <w:rPr>
          <w:spacing w:val="-22"/>
        </w:rPr>
        <w:t xml:space="preserve"> </w:t>
      </w:r>
      <w:r>
        <w:rPr>
          <w:spacing w:val="-22"/>
        </w:rPr>
        <w:t>所示的</w:t>
      </w:r>
      <w:r>
        <w:rPr>
          <w:spacing w:val="-22"/>
        </w:rPr>
        <w:t xml:space="preserve"> </w:t>
      </w:r>
      <w:r>
        <w:t>B-B</w:t>
      </w:r>
      <w:r>
        <w:rPr>
          <w:spacing w:val="-33"/>
        </w:rPr>
        <w:t xml:space="preserve"> </w:t>
      </w:r>
      <w:r>
        <w:rPr>
          <w:spacing w:val="-33"/>
        </w:rPr>
        <w:t>和</w:t>
      </w:r>
      <w:r>
        <w:rPr>
          <w:spacing w:val="-33"/>
        </w:rPr>
        <w:t xml:space="preserve"> </w:t>
      </w:r>
      <w:r>
        <w:t>B′-B′</w:t>
      </w:r>
      <w:r>
        <w:t>位</w:t>
      </w:r>
      <w:r>
        <w:rPr>
          <w:spacing w:val="-3"/>
        </w:rPr>
        <w:t>置。检测值与产品设计图示门扇宽度值相减，结果取其极值。</w:t>
      </w:r>
      <w:r>
        <w:t xml:space="preserve"> </w:t>
      </w:r>
    </w:p>
    <w:p w14:paraId="73012D41" w14:textId="77777777" w:rsidR="00A71EEF" w:rsidRDefault="0081115D">
      <w:pPr>
        <w:pStyle w:val="a3"/>
        <w:spacing w:before="7"/>
        <w:rPr>
          <w:sz w:val="11"/>
        </w:rPr>
      </w:pPr>
      <w:r>
        <w:rPr>
          <w:noProof/>
        </w:rPr>
        <w:drawing>
          <wp:anchor distT="0" distB="0" distL="0" distR="0" simplePos="0" relativeHeight="251595264" behindDoc="0" locked="0" layoutInCell="1" allowOverlap="1" wp14:anchorId="614BEEF0" wp14:editId="391A64A0">
            <wp:simplePos x="0" y="0"/>
            <wp:positionH relativeFrom="page">
              <wp:posOffset>1817981</wp:posOffset>
            </wp:positionH>
            <wp:positionV relativeFrom="paragraph">
              <wp:posOffset>118709</wp:posOffset>
            </wp:positionV>
            <wp:extent cx="3962210" cy="2362200"/>
            <wp:effectExtent l="0" t="0" r="0" b="0"/>
            <wp:wrapTopAndBottom/>
            <wp:docPr id="353" name="image2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213.jpeg"/>
                    <pic:cNvPicPr/>
                  </pic:nvPicPr>
                  <pic:blipFill>
                    <a:blip r:embed="rId253" cstate="print"/>
                    <a:stretch>
                      <a:fillRect/>
                    </a:stretch>
                  </pic:blipFill>
                  <pic:spPr>
                    <a:xfrm>
                      <a:off x="0" y="0"/>
                      <a:ext cx="3962210" cy="2362200"/>
                    </a:xfrm>
                    <a:prstGeom prst="rect">
                      <a:avLst/>
                    </a:prstGeom>
                  </pic:spPr>
                </pic:pic>
              </a:graphicData>
            </a:graphic>
          </wp:anchor>
        </w:drawing>
      </w:r>
    </w:p>
    <w:p w14:paraId="0F320E80" w14:textId="77777777" w:rsidR="00A71EEF" w:rsidRDefault="00A71EEF">
      <w:pPr>
        <w:pStyle w:val="a3"/>
        <w:spacing w:before="1"/>
        <w:rPr>
          <w:sz w:val="15"/>
        </w:rPr>
      </w:pPr>
    </w:p>
    <w:p w14:paraId="0E630FF5" w14:textId="77777777" w:rsidR="00A71EEF" w:rsidRDefault="0081115D">
      <w:pPr>
        <w:pStyle w:val="6"/>
        <w:ind w:right="490"/>
        <w:jc w:val="center"/>
      </w:pPr>
      <w:r>
        <w:t>图</w:t>
      </w:r>
      <w:r>
        <w:t xml:space="preserve"> 2 </w:t>
      </w:r>
      <w:r>
        <w:t>门扇宽度测量位置示意图</w:t>
      </w:r>
      <w:r>
        <w:rPr>
          <w:w w:val="99"/>
        </w:rPr>
        <w:t xml:space="preserve"> </w:t>
      </w:r>
    </w:p>
    <w:p w14:paraId="0967DA1D" w14:textId="77777777" w:rsidR="00A71EEF" w:rsidRDefault="00A71EEF">
      <w:pPr>
        <w:pStyle w:val="a3"/>
        <w:spacing w:before="1"/>
        <w:rPr>
          <w:b/>
          <w:sz w:val="18"/>
        </w:rPr>
      </w:pPr>
    </w:p>
    <w:p w14:paraId="70272F2C" w14:textId="77777777" w:rsidR="00A71EEF" w:rsidRDefault="0081115D">
      <w:pPr>
        <w:pStyle w:val="a4"/>
        <w:numPr>
          <w:ilvl w:val="2"/>
          <w:numId w:val="549"/>
        </w:numPr>
        <w:tabs>
          <w:tab w:val="left" w:pos="1370"/>
        </w:tabs>
        <w:spacing w:before="1"/>
        <w:ind w:left="1369" w:hanging="530"/>
        <w:rPr>
          <w:b/>
          <w:sz w:val="21"/>
        </w:rPr>
      </w:pPr>
      <w:r>
        <w:rPr>
          <w:spacing w:val="-13"/>
          <w:sz w:val="21"/>
        </w:rPr>
        <w:t>门扇厚度</w:t>
      </w:r>
      <w:r>
        <w:rPr>
          <w:spacing w:val="-13"/>
          <w:sz w:val="21"/>
        </w:rPr>
        <w:t xml:space="preserve"> </w:t>
      </w:r>
      <w:r>
        <w:rPr>
          <w:spacing w:val="-3"/>
          <w:sz w:val="21"/>
        </w:rPr>
        <w:t>T</w:t>
      </w:r>
      <w:r>
        <w:rPr>
          <w:b/>
          <w:w w:val="99"/>
          <w:sz w:val="21"/>
        </w:rPr>
        <w:t xml:space="preserve"> </w:t>
      </w:r>
    </w:p>
    <w:p w14:paraId="2A49A45F" w14:textId="77777777" w:rsidR="00A71EEF" w:rsidRDefault="00A71EEF">
      <w:pPr>
        <w:pStyle w:val="a3"/>
        <w:spacing w:before="11"/>
        <w:rPr>
          <w:b/>
          <w:sz w:val="17"/>
        </w:rPr>
      </w:pPr>
    </w:p>
    <w:p w14:paraId="66338DE0" w14:textId="77777777" w:rsidR="00A71EEF" w:rsidRDefault="0081115D">
      <w:pPr>
        <w:pStyle w:val="a3"/>
        <w:spacing w:before="1"/>
        <w:ind w:left="838"/>
      </w:pPr>
      <w:r>
        <w:rPr>
          <w:position w:val="1"/>
        </w:rPr>
        <w:t>采用游标卡尺测量，测量位置见图</w:t>
      </w:r>
      <w:r>
        <w:rPr>
          <w:position w:val="1"/>
        </w:rPr>
        <w:t xml:space="preserve"> 3 </w:t>
      </w:r>
      <w:r>
        <w:rPr>
          <w:position w:val="1"/>
        </w:rPr>
        <w:t>中</w:t>
      </w:r>
      <w:r>
        <w:rPr>
          <w:position w:val="1"/>
        </w:rPr>
        <w:t xml:space="preserve"> T</w:t>
      </w:r>
      <w:r>
        <w:rPr>
          <w:sz w:val="11"/>
        </w:rPr>
        <w:t>1</w:t>
      </w:r>
      <w:r>
        <w:rPr>
          <w:position w:val="1"/>
        </w:rPr>
        <w:t>、</w:t>
      </w:r>
      <w:r>
        <w:rPr>
          <w:position w:val="1"/>
        </w:rPr>
        <w:t>T</w:t>
      </w:r>
      <w:r>
        <w:rPr>
          <w:sz w:val="11"/>
        </w:rPr>
        <w:t>2</w:t>
      </w:r>
      <w:r>
        <w:rPr>
          <w:position w:val="1"/>
        </w:rPr>
        <w:t>、</w:t>
      </w:r>
      <w:r>
        <w:rPr>
          <w:position w:val="1"/>
        </w:rPr>
        <w:t>T</w:t>
      </w:r>
      <w:r>
        <w:rPr>
          <w:sz w:val="11"/>
        </w:rPr>
        <w:t>3</w:t>
      </w:r>
      <w:r>
        <w:rPr>
          <w:position w:val="1"/>
        </w:rPr>
        <w:t>……T</w:t>
      </w:r>
      <w:r>
        <w:rPr>
          <w:sz w:val="11"/>
        </w:rPr>
        <w:t xml:space="preserve">8 </w:t>
      </w:r>
      <w:r>
        <w:rPr>
          <w:position w:val="1"/>
        </w:rPr>
        <w:t>所标定的位置</w:t>
      </w:r>
      <w:r>
        <w:rPr>
          <w:position w:val="1"/>
        </w:rPr>
        <w:t>[</w:t>
      </w:r>
      <w:r>
        <w:rPr>
          <w:position w:val="1"/>
        </w:rPr>
        <w:t>注：遇锁具、合页</w:t>
      </w:r>
    </w:p>
    <w:p w14:paraId="62D6C182" w14:textId="77777777" w:rsidR="00A71EEF" w:rsidRDefault="00A71EEF">
      <w:pPr>
        <w:pStyle w:val="a3"/>
        <w:spacing w:before="12"/>
        <w:rPr>
          <w:sz w:val="17"/>
        </w:rPr>
      </w:pPr>
    </w:p>
    <w:p w14:paraId="63CA9116" w14:textId="77777777" w:rsidR="00A71EEF" w:rsidRDefault="0081115D">
      <w:pPr>
        <w:pStyle w:val="a3"/>
        <w:ind w:left="418"/>
      </w:pPr>
      <w:r>
        <w:t>（铰链）处相应避开</w:t>
      </w:r>
      <w:r>
        <w:t xml:space="preserve"> 50 mm]</w:t>
      </w:r>
      <w:r>
        <w:t>，检测值与产品设计图示门扇厚度值相减，结果取其极值。</w:t>
      </w:r>
      <w:r>
        <w:t xml:space="preserve"> </w:t>
      </w:r>
    </w:p>
    <w:p w14:paraId="6D2CD24E" w14:textId="77777777" w:rsidR="00A71EEF" w:rsidRDefault="00A71EEF">
      <w:pPr>
        <w:sectPr w:rsidR="00A71EEF">
          <w:pgSz w:w="11910" w:h="16850"/>
          <w:pgMar w:top="1440" w:right="0" w:bottom="1420" w:left="1260" w:header="0" w:footer="1239" w:gutter="0"/>
          <w:cols w:space="720"/>
        </w:sectPr>
      </w:pPr>
    </w:p>
    <w:p w14:paraId="6B8CE7F4" w14:textId="77777777" w:rsidR="00A71EEF" w:rsidRDefault="0081115D">
      <w:pPr>
        <w:pStyle w:val="a3"/>
        <w:ind w:left="1978"/>
        <w:rPr>
          <w:sz w:val="20"/>
        </w:rPr>
      </w:pPr>
      <w:r>
        <w:rPr>
          <w:noProof/>
          <w:sz w:val="20"/>
        </w:rPr>
        <w:drawing>
          <wp:inline distT="0" distB="0" distL="0" distR="0" wp14:anchorId="44931622" wp14:editId="59C4DF2E">
            <wp:extent cx="3436996" cy="2286000"/>
            <wp:effectExtent l="0" t="0" r="0" b="0"/>
            <wp:docPr id="355" name="image2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214.jpeg"/>
                    <pic:cNvPicPr/>
                  </pic:nvPicPr>
                  <pic:blipFill>
                    <a:blip r:embed="rId254" cstate="print"/>
                    <a:stretch>
                      <a:fillRect/>
                    </a:stretch>
                  </pic:blipFill>
                  <pic:spPr>
                    <a:xfrm>
                      <a:off x="0" y="0"/>
                      <a:ext cx="3436996" cy="2286000"/>
                    </a:xfrm>
                    <a:prstGeom prst="rect">
                      <a:avLst/>
                    </a:prstGeom>
                  </pic:spPr>
                </pic:pic>
              </a:graphicData>
            </a:graphic>
          </wp:inline>
        </w:drawing>
      </w:r>
    </w:p>
    <w:p w14:paraId="17AB71F5" w14:textId="77777777" w:rsidR="00A71EEF" w:rsidRDefault="00A71EEF">
      <w:pPr>
        <w:pStyle w:val="a3"/>
        <w:rPr>
          <w:sz w:val="20"/>
        </w:rPr>
      </w:pPr>
    </w:p>
    <w:p w14:paraId="273F704A" w14:textId="77777777" w:rsidR="00A71EEF" w:rsidRDefault="00A71EEF">
      <w:pPr>
        <w:pStyle w:val="a3"/>
        <w:rPr>
          <w:sz w:val="20"/>
        </w:rPr>
      </w:pPr>
    </w:p>
    <w:p w14:paraId="47C387C5" w14:textId="77777777" w:rsidR="00A71EEF" w:rsidRDefault="00A71EEF">
      <w:pPr>
        <w:pStyle w:val="a3"/>
        <w:spacing w:before="12"/>
        <w:rPr>
          <w:sz w:val="14"/>
        </w:rPr>
      </w:pPr>
    </w:p>
    <w:p w14:paraId="333C75F2" w14:textId="77777777" w:rsidR="00A71EEF" w:rsidRDefault="0081115D">
      <w:pPr>
        <w:pStyle w:val="6"/>
        <w:spacing w:before="72"/>
        <w:ind w:right="490"/>
        <w:jc w:val="center"/>
        <w:rPr>
          <w:b w:val="0"/>
        </w:rPr>
      </w:pPr>
      <w:r>
        <w:t>图</w:t>
      </w:r>
      <w:r>
        <w:t xml:space="preserve"> 3 </w:t>
      </w:r>
      <w:r>
        <w:t>门扇厚度测量位置示意图</w:t>
      </w:r>
      <w:r>
        <w:rPr>
          <w:b w:val="0"/>
        </w:rPr>
        <w:t xml:space="preserve"> </w:t>
      </w:r>
    </w:p>
    <w:p w14:paraId="3185958A" w14:textId="77777777" w:rsidR="00A71EEF" w:rsidRDefault="00A71EEF">
      <w:pPr>
        <w:pStyle w:val="a3"/>
        <w:spacing w:before="4"/>
        <w:rPr>
          <w:sz w:val="12"/>
        </w:rPr>
      </w:pPr>
    </w:p>
    <w:p w14:paraId="6CC693B1" w14:textId="77777777" w:rsidR="00A71EEF" w:rsidRDefault="0081115D">
      <w:pPr>
        <w:pStyle w:val="a4"/>
        <w:numPr>
          <w:ilvl w:val="2"/>
          <w:numId w:val="549"/>
        </w:numPr>
        <w:tabs>
          <w:tab w:val="left" w:pos="1370"/>
        </w:tabs>
        <w:spacing w:before="72"/>
        <w:ind w:left="1369" w:hanging="530"/>
        <w:rPr>
          <w:sz w:val="21"/>
        </w:rPr>
      </w:pPr>
      <w:r>
        <w:rPr>
          <w:spacing w:val="-10"/>
          <w:sz w:val="21"/>
        </w:rPr>
        <w:t>门框内裁口高度</w:t>
      </w:r>
      <w:r>
        <w:rPr>
          <w:spacing w:val="-10"/>
          <w:sz w:val="21"/>
        </w:rPr>
        <w:t xml:space="preserve"> </w:t>
      </w:r>
      <w:r>
        <w:rPr>
          <w:sz w:val="21"/>
        </w:rPr>
        <w:t xml:space="preserve">H′ </w:t>
      </w:r>
    </w:p>
    <w:p w14:paraId="191CCEDC" w14:textId="77777777" w:rsidR="00A71EEF" w:rsidRDefault="00A71EEF">
      <w:pPr>
        <w:pStyle w:val="a3"/>
        <w:spacing w:before="12"/>
        <w:rPr>
          <w:sz w:val="17"/>
        </w:rPr>
      </w:pPr>
    </w:p>
    <w:p w14:paraId="01389495" w14:textId="77777777" w:rsidR="00A71EEF" w:rsidRDefault="0081115D">
      <w:pPr>
        <w:pStyle w:val="a3"/>
        <w:spacing w:line="446" w:lineRule="auto"/>
        <w:ind w:left="418" w:right="1555" w:firstLine="419"/>
      </w:pPr>
      <w:r>
        <w:rPr>
          <w:spacing w:val="-5"/>
        </w:rPr>
        <w:t>采用钢卷尺测量，分别测量门框内裁口的左竖边和右竖边，见图</w:t>
      </w:r>
      <w:r>
        <w:rPr>
          <w:spacing w:val="-5"/>
        </w:rPr>
        <w:t xml:space="preserve"> </w:t>
      </w:r>
      <w:r>
        <w:t>4</w:t>
      </w:r>
      <w:r>
        <w:rPr>
          <w:spacing w:val="-23"/>
        </w:rPr>
        <w:t xml:space="preserve"> </w:t>
      </w:r>
      <w:r>
        <w:rPr>
          <w:spacing w:val="-23"/>
        </w:rPr>
        <w:t>所示</w:t>
      </w:r>
      <w:r>
        <w:rPr>
          <w:spacing w:val="-23"/>
        </w:rPr>
        <w:t xml:space="preserve"> </w:t>
      </w:r>
      <w:r>
        <w:t>C-C</w:t>
      </w:r>
      <w:r>
        <w:t>、</w:t>
      </w:r>
      <w:r>
        <w:t>C′-C′</w:t>
      </w:r>
      <w:r>
        <w:t>。检</w:t>
      </w:r>
      <w:r>
        <w:rPr>
          <w:spacing w:val="-3"/>
        </w:rPr>
        <w:t>测值与产品设计图示门框内裁口高度值相减，结果取其极值。</w:t>
      </w:r>
      <w:r>
        <w:t xml:space="preserve"> </w:t>
      </w:r>
    </w:p>
    <w:p w14:paraId="72A8D69E" w14:textId="77777777" w:rsidR="00A71EEF" w:rsidRDefault="0081115D">
      <w:pPr>
        <w:pStyle w:val="a3"/>
        <w:spacing w:before="1"/>
        <w:rPr>
          <w:sz w:val="10"/>
        </w:rPr>
      </w:pPr>
      <w:r>
        <w:rPr>
          <w:noProof/>
        </w:rPr>
        <w:drawing>
          <wp:anchor distT="0" distB="0" distL="0" distR="0" simplePos="0" relativeHeight="251596288" behindDoc="0" locked="0" layoutInCell="1" allowOverlap="1" wp14:anchorId="70B2D6D4" wp14:editId="17E86B2B">
            <wp:simplePos x="0" y="0"/>
            <wp:positionH relativeFrom="page">
              <wp:posOffset>2056117</wp:posOffset>
            </wp:positionH>
            <wp:positionV relativeFrom="paragraph">
              <wp:posOffset>107008</wp:posOffset>
            </wp:positionV>
            <wp:extent cx="3739678" cy="2057400"/>
            <wp:effectExtent l="0" t="0" r="0" b="0"/>
            <wp:wrapTopAndBottom/>
            <wp:docPr id="357" name="image2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215.jpeg"/>
                    <pic:cNvPicPr/>
                  </pic:nvPicPr>
                  <pic:blipFill>
                    <a:blip r:embed="rId255" cstate="print"/>
                    <a:stretch>
                      <a:fillRect/>
                    </a:stretch>
                  </pic:blipFill>
                  <pic:spPr>
                    <a:xfrm>
                      <a:off x="0" y="0"/>
                      <a:ext cx="3739678" cy="2057400"/>
                    </a:xfrm>
                    <a:prstGeom prst="rect">
                      <a:avLst/>
                    </a:prstGeom>
                  </pic:spPr>
                </pic:pic>
              </a:graphicData>
            </a:graphic>
          </wp:anchor>
        </w:drawing>
      </w:r>
    </w:p>
    <w:p w14:paraId="523E57F8" w14:textId="77777777" w:rsidR="00A71EEF" w:rsidRDefault="00A71EEF">
      <w:pPr>
        <w:pStyle w:val="a3"/>
        <w:spacing w:before="2"/>
        <w:rPr>
          <w:sz w:val="22"/>
        </w:rPr>
      </w:pPr>
    </w:p>
    <w:p w14:paraId="3CC1B21D" w14:textId="77777777" w:rsidR="00A71EEF" w:rsidRDefault="0081115D">
      <w:pPr>
        <w:spacing w:line="446" w:lineRule="auto"/>
        <w:ind w:left="840" w:right="3697" w:firstLine="2364"/>
        <w:rPr>
          <w:b/>
          <w:sz w:val="21"/>
        </w:rPr>
      </w:pPr>
      <w:r>
        <w:rPr>
          <w:b/>
          <w:sz w:val="21"/>
        </w:rPr>
        <w:t>图</w:t>
      </w:r>
      <w:r>
        <w:rPr>
          <w:b/>
          <w:sz w:val="21"/>
        </w:rPr>
        <w:t xml:space="preserve"> 4 </w:t>
      </w:r>
      <w:r>
        <w:rPr>
          <w:b/>
          <w:sz w:val="21"/>
        </w:rPr>
        <w:t>门框内裁口高度测量位置示意图</w:t>
      </w:r>
      <w:r>
        <w:rPr>
          <w:b/>
          <w:sz w:val="21"/>
        </w:rPr>
        <w:t xml:space="preserve">6.7.5 </w:t>
      </w:r>
      <w:r>
        <w:rPr>
          <w:sz w:val="21"/>
        </w:rPr>
        <w:t>门框内裁口宽度</w:t>
      </w:r>
      <w:r>
        <w:rPr>
          <w:sz w:val="21"/>
        </w:rPr>
        <w:t xml:space="preserve"> W′</w:t>
      </w:r>
      <w:r>
        <w:rPr>
          <w:b/>
          <w:w w:val="99"/>
          <w:sz w:val="21"/>
        </w:rPr>
        <w:t xml:space="preserve"> </w:t>
      </w:r>
    </w:p>
    <w:p w14:paraId="6DDAE763" w14:textId="77777777" w:rsidR="00A71EEF" w:rsidRDefault="0081115D">
      <w:pPr>
        <w:pStyle w:val="a3"/>
        <w:spacing w:line="446" w:lineRule="auto"/>
        <w:ind w:left="418" w:right="1455" w:firstLine="419"/>
      </w:pPr>
      <w:r>
        <w:rPr>
          <w:spacing w:val="-6"/>
        </w:rPr>
        <w:t>采用钢卷尺测量，测量位置见图</w:t>
      </w:r>
      <w:r>
        <w:rPr>
          <w:spacing w:val="-6"/>
        </w:rPr>
        <w:t xml:space="preserve"> </w:t>
      </w:r>
      <w:r>
        <w:t>5</w:t>
      </w:r>
      <w:r>
        <w:rPr>
          <w:spacing w:val="-20"/>
        </w:rPr>
        <w:t xml:space="preserve"> </w:t>
      </w:r>
      <w:r>
        <w:rPr>
          <w:spacing w:val="-20"/>
        </w:rPr>
        <w:t>所示的</w:t>
      </w:r>
      <w:r>
        <w:rPr>
          <w:spacing w:val="-20"/>
        </w:rPr>
        <w:t xml:space="preserve"> </w:t>
      </w:r>
      <w:r>
        <w:t>D-D</w:t>
      </w:r>
      <w:r>
        <w:t>、</w:t>
      </w:r>
      <w:r>
        <w:t>D′-D′</w:t>
      </w:r>
      <w:r>
        <w:rPr>
          <w:spacing w:val="-3"/>
        </w:rPr>
        <w:t>、</w:t>
      </w:r>
      <w:r>
        <w:t>D″-D</w:t>
      </w:r>
      <w:r>
        <w:rPr>
          <w:spacing w:val="-3"/>
        </w:rPr>
        <w:t>″</w:t>
      </w:r>
      <w:r>
        <w:rPr>
          <w:spacing w:val="-3"/>
        </w:rPr>
        <w:t>。检测值与产品设计图示门框内裁口宽度值相减，结果取其极值。</w:t>
      </w:r>
      <w:r>
        <w:t xml:space="preserve"> </w:t>
      </w:r>
    </w:p>
    <w:p w14:paraId="01EBAD8A" w14:textId="77777777" w:rsidR="00A71EEF" w:rsidRDefault="00A71EEF">
      <w:pPr>
        <w:spacing w:line="446" w:lineRule="auto"/>
        <w:sectPr w:rsidR="00A71EEF">
          <w:pgSz w:w="11910" w:h="16850"/>
          <w:pgMar w:top="1460" w:right="0" w:bottom="1420" w:left="1260" w:header="0" w:footer="1239" w:gutter="0"/>
          <w:cols w:space="720"/>
        </w:sectPr>
      </w:pPr>
    </w:p>
    <w:p w14:paraId="496D4240" w14:textId="77777777" w:rsidR="00A71EEF" w:rsidRDefault="0081115D">
      <w:pPr>
        <w:pStyle w:val="a3"/>
        <w:ind w:left="2139"/>
        <w:rPr>
          <w:sz w:val="20"/>
        </w:rPr>
      </w:pPr>
      <w:r>
        <w:rPr>
          <w:noProof/>
          <w:sz w:val="20"/>
        </w:rPr>
        <w:drawing>
          <wp:inline distT="0" distB="0" distL="0" distR="0" wp14:anchorId="4A6416AE" wp14:editId="7CC6E4AD">
            <wp:extent cx="3881969" cy="2057400"/>
            <wp:effectExtent l="0" t="0" r="0" b="0"/>
            <wp:docPr id="359" name="image2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216.jpeg"/>
                    <pic:cNvPicPr/>
                  </pic:nvPicPr>
                  <pic:blipFill>
                    <a:blip r:embed="rId256" cstate="print"/>
                    <a:stretch>
                      <a:fillRect/>
                    </a:stretch>
                  </pic:blipFill>
                  <pic:spPr>
                    <a:xfrm>
                      <a:off x="0" y="0"/>
                      <a:ext cx="3881969" cy="2057400"/>
                    </a:xfrm>
                    <a:prstGeom prst="rect">
                      <a:avLst/>
                    </a:prstGeom>
                  </pic:spPr>
                </pic:pic>
              </a:graphicData>
            </a:graphic>
          </wp:inline>
        </w:drawing>
      </w:r>
    </w:p>
    <w:p w14:paraId="7F937727" w14:textId="77777777" w:rsidR="00A71EEF" w:rsidRDefault="00A71EEF">
      <w:pPr>
        <w:pStyle w:val="a3"/>
        <w:rPr>
          <w:sz w:val="20"/>
        </w:rPr>
      </w:pPr>
    </w:p>
    <w:p w14:paraId="574F0535" w14:textId="77777777" w:rsidR="00A71EEF" w:rsidRDefault="00A71EEF">
      <w:pPr>
        <w:pStyle w:val="a3"/>
        <w:rPr>
          <w:sz w:val="20"/>
        </w:rPr>
      </w:pPr>
    </w:p>
    <w:p w14:paraId="0D87ADC8" w14:textId="77777777" w:rsidR="00A71EEF" w:rsidRDefault="00A71EEF">
      <w:pPr>
        <w:pStyle w:val="a3"/>
        <w:spacing w:before="1"/>
        <w:rPr>
          <w:sz w:val="17"/>
        </w:rPr>
      </w:pPr>
    </w:p>
    <w:p w14:paraId="292277DF" w14:textId="77777777" w:rsidR="00A71EEF" w:rsidRDefault="0081115D">
      <w:pPr>
        <w:spacing w:before="71" w:line="446" w:lineRule="auto"/>
        <w:ind w:left="840" w:right="3803" w:firstLine="2470"/>
        <w:rPr>
          <w:b/>
          <w:sz w:val="21"/>
        </w:rPr>
      </w:pPr>
      <w:r>
        <w:rPr>
          <w:b/>
          <w:sz w:val="21"/>
        </w:rPr>
        <w:t>图</w:t>
      </w:r>
      <w:r>
        <w:rPr>
          <w:b/>
          <w:sz w:val="21"/>
        </w:rPr>
        <w:t xml:space="preserve"> 5 </w:t>
      </w:r>
      <w:r>
        <w:rPr>
          <w:b/>
          <w:sz w:val="21"/>
        </w:rPr>
        <w:t>门框内裁口宽度测量位置示意图</w:t>
      </w:r>
      <w:r>
        <w:rPr>
          <w:b/>
          <w:sz w:val="21"/>
        </w:rPr>
        <w:t xml:space="preserve">6.7.6 </w:t>
      </w:r>
      <w:r>
        <w:rPr>
          <w:sz w:val="21"/>
        </w:rPr>
        <w:t>门框侧壁宽度</w:t>
      </w:r>
      <w:r>
        <w:rPr>
          <w:sz w:val="21"/>
        </w:rPr>
        <w:t xml:space="preserve"> T′</w:t>
      </w:r>
      <w:r>
        <w:rPr>
          <w:b/>
          <w:w w:val="99"/>
          <w:sz w:val="21"/>
        </w:rPr>
        <w:t xml:space="preserve"> </w:t>
      </w:r>
    </w:p>
    <w:p w14:paraId="2A5D71EA" w14:textId="77777777" w:rsidR="00A71EEF" w:rsidRDefault="0081115D">
      <w:pPr>
        <w:pStyle w:val="a3"/>
        <w:spacing w:line="448" w:lineRule="auto"/>
        <w:ind w:left="418" w:right="1549" w:firstLine="419"/>
      </w:pPr>
      <w:r>
        <w:rPr>
          <w:spacing w:val="-6"/>
          <w:position w:val="1"/>
        </w:rPr>
        <w:t>采用游标卡尺测量，测量位置见图</w:t>
      </w:r>
      <w:r>
        <w:rPr>
          <w:spacing w:val="-6"/>
          <w:position w:val="1"/>
        </w:rPr>
        <w:t xml:space="preserve"> </w:t>
      </w:r>
      <w:r>
        <w:rPr>
          <w:position w:val="1"/>
        </w:rPr>
        <w:t>6</w:t>
      </w:r>
      <w:r>
        <w:rPr>
          <w:spacing w:val="-20"/>
          <w:position w:val="1"/>
        </w:rPr>
        <w:t xml:space="preserve"> </w:t>
      </w:r>
      <w:r>
        <w:rPr>
          <w:spacing w:val="-20"/>
          <w:position w:val="1"/>
        </w:rPr>
        <w:t>所示的</w:t>
      </w:r>
      <w:r>
        <w:rPr>
          <w:spacing w:val="-20"/>
          <w:position w:val="1"/>
        </w:rPr>
        <w:t xml:space="preserve"> </w:t>
      </w:r>
      <w:r>
        <w:rPr>
          <w:position w:val="1"/>
        </w:rPr>
        <w:t>T</w:t>
      </w:r>
      <w:r>
        <w:rPr>
          <w:sz w:val="11"/>
        </w:rPr>
        <w:t>1</w:t>
      </w:r>
      <w:r>
        <w:rPr>
          <w:position w:val="1"/>
        </w:rPr>
        <w:t>′</w:t>
      </w:r>
      <w:r>
        <w:rPr>
          <w:position w:val="1"/>
        </w:rPr>
        <w:t>、</w:t>
      </w:r>
      <w:r>
        <w:rPr>
          <w:position w:val="1"/>
        </w:rPr>
        <w:t>T</w:t>
      </w:r>
      <w:r>
        <w:rPr>
          <w:sz w:val="11"/>
        </w:rPr>
        <w:t>2</w:t>
      </w:r>
      <w:r>
        <w:rPr>
          <w:position w:val="1"/>
        </w:rPr>
        <w:t>′</w:t>
      </w:r>
      <w:r>
        <w:rPr>
          <w:position w:val="1"/>
        </w:rPr>
        <w:t>、</w:t>
      </w:r>
      <w:r>
        <w:rPr>
          <w:position w:val="1"/>
        </w:rPr>
        <w:t>T</w:t>
      </w:r>
      <w:r>
        <w:rPr>
          <w:sz w:val="11"/>
        </w:rPr>
        <w:t>3</w:t>
      </w:r>
      <w:r>
        <w:rPr>
          <w:position w:val="1"/>
        </w:rPr>
        <w:t>′……T</w:t>
      </w:r>
      <w:r>
        <w:rPr>
          <w:sz w:val="11"/>
        </w:rPr>
        <w:t>6</w:t>
      </w:r>
      <w:r>
        <w:rPr>
          <w:spacing w:val="-3"/>
          <w:position w:val="1"/>
        </w:rPr>
        <w:t>′</w:t>
      </w:r>
      <w:r>
        <w:rPr>
          <w:spacing w:val="-3"/>
          <w:position w:val="1"/>
        </w:rPr>
        <w:t>。检测值与产品设计</w:t>
      </w:r>
      <w:r>
        <w:rPr>
          <w:spacing w:val="-3"/>
        </w:rPr>
        <w:t>图示门框侧壁宽度值相减，结果取其极值。</w:t>
      </w:r>
      <w:r>
        <w:t xml:space="preserve"> </w:t>
      </w:r>
    </w:p>
    <w:p w14:paraId="5DE7F7EC" w14:textId="77777777" w:rsidR="00A71EEF" w:rsidRDefault="0081115D">
      <w:pPr>
        <w:pStyle w:val="a3"/>
        <w:spacing w:before="1"/>
        <w:rPr>
          <w:sz w:val="16"/>
        </w:rPr>
      </w:pPr>
      <w:r>
        <w:rPr>
          <w:noProof/>
        </w:rPr>
        <w:drawing>
          <wp:anchor distT="0" distB="0" distL="0" distR="0" simplePos="0" relativeHeight="251597312" behindDoc="0" locked="0" layoutInCell="1" allowOverlap="1" wp14:anchorId="753FCE62" wp14:editId="2BDD8A73">
            <wp:simplePos x="0" y="0"/>
            <wp:positionH relativeFrom="page">
              <wp:posOffset>1903729</wp:posOffset>
            </wp:positionH>
            <wp:positionV relativeFrom="paragraph">
              <wp:posOffset>155966</wp:posOffset>
            </wp:positionV>
            <wp:extent cx="3891218" cy="2105025"/>
            <wp:effectExtent l="0" t="0" r="0" b="0"/>
            <wp:wrapTopAndBottom/>
            <wp:docPr id="361" name="image2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217.jpeg"/>
                    <pic:cNvPicPr/>
                  </pic:nvPicPr>
                  <pic:blipFill>
                    <a:blip r:embed="rId257" cstate="print"/>
                    <a:stretch>
                      <a:fillRect/>
                    </a:stretch>
                  </pic:blipFill>
                  <pic:spPr>
                    <a:xfrm>
                      <a:off x="0" y="0"/>
                      <a:ext cx="3891218" cy="2105025"/>
                    </a:xfrm>
                    <a:prstGeom prst="rect">
                      <a:avLst/>
                    </a:prstGeom>
                  </pic:spPr>
                </pic:pic>
              </a:graphicData>
            </a:graphic>
          </wp:anchor>
        </w:drawing>
      </w:r>
    </w:p>
    <w:p w14:paraId="271EF160" w14:textId="77777777" w:rsidR="00A71EEF" w:rsidRDefault="00A71EEF">
      <w:pPr>
        <w:pStyle w:val="a3"/>
        <w:spacing w:before="10"/>
        <w:rPr>
          <w:sz w:val="19"/>
        </w:rPr>
      </w:pPr>
    </w:p>
    <w:p w14:paraId="691EC524" w14:textId="77777777" w:rsidR="00A71EEF" w:rsidRDefault="0081115D">
      <w:pPr>
        <w:pStyle w:val="6"/>
        <w:ind w:right="492"/>
        <w:jc w:val="center"/>
      </w:pPr>
      <w:r>
        <w:t>图</w:t>
      </w:r>
      <w:r>
        <w:t xml:space="preserve"> 6 </w:t>
      </w:r>
      <w:r>
        <w:t>门框侧壁宽度测量位置示意图</w:t>
      </w:r>
      <w:r>
        <w:rPr>
          <w:w w:val="99"/>
        </w:rPr>
        <w:t xml:space="preserve"> </w:t>
      </w:r>
    </w:p>
    <w:p w14:paraId="5C7DEB0A" w14:textId="77777777" w:rsidR="00A71EEF" w:rsidRDefault="00A71EEF">
      <w:pPr>
        <w:pStyle w:val="a3"/>
        <w:spacing w:before="12"/>
        <w:rPr>
          <w:b/>
          <w:sz w:val="17"/>
        </w:rPr>
      </w:pPr>
    </w:p>
    <w:p w14:paraId="65AECD3A" w14:textId="77777777" w:rsidR="00A71EEF" w:rsidRDefault="0081115D">
      <w:pPr>
        <w:pStyle w:val="a4"/>
        <w:numPr>
          <w:ilvl w:val="1"/>
          <w:numId w:val="548"/>
        </w:numPr>
        <w:tabs>
          <w:tab w:val="left" w:pos="1159"/>
        </w:tabs>
        <w:ind w:hanging="319"/>
        <w:rPr>
          <w:b/>
          <w:sz w:val="21"/>
        </w:rPr>
      </w:pPr>
      <w:r>
        <w:rPr>
          <w:b/>
          <w:sz w:val="21"/>
        </w:rPr>
        <w:t>形位公差</w:t>
      </w:r>
      <w:r>
        <w:rPr>
          <w:b/>
          <w:w w:val="99"/>
          <w:sz w:val="21"/>
        </w:rPr>
        <w:t xml:space="preserve"> </w:t>
      </w:r>
    </w:p>
    <w:p w14:paraId="7E0407CD" w14:textId="77777777" w:rsidR="00A71EEF" w:rsidRDefault="00A71EEF">
      <w:pPr>
        <w:pStyle w:val="a3"/>
        <w:spacing w:before="2"/>
        <w:rPr>
          <w:b/>
          <w:sz w:val="18"/>
        </w:rPr>
      </w:pPr>
    </w:p>
    <w:p w14:paraId="7BAC4C97" w14:textId="77777777" w:rsidR="00A71EEF" w:rsidRDefault="0081115D">
      <w:pPr>
        <w:pStyle w:val="a4"/>
        <w:numPr>
          <w:ilvl w:val="2"/>
          <w:numId w:val="548"/>
        </w:numPr>
        <w:tabs>
          <w:tab w:val="left" w:pos="1370"/>
        </w:tabs>
        <w:ind w:hanging="530"/>
        <w:rPr>
          <w:b/>
          <w:sz w:val="21"/>
        </w:rPr>
      </w:pPr>
      <w:r>
        <w:rPr>
          <w:spacing w:val="-3"/>
          <w:position w:val="1"/>
          <w:sz w:val="21"/>
        </w:rPr>
        <w:t>门扇两对角线长度差</w:t>
      </w:r>
      <w:r>
        <w:rPr>
          <w:position w:val="1"/>
          <w:sz w:val="21"/>
        </w:rPr>
        <w:t>|L</w:t>
      </w:r>
      <w:r>
        <w:rPr>
          <w:sz w:val="11"/>
        </w:rPr>
        <w:t>1</w:t>
      </w:r>
      <w:r>
        <w:rPr>
          <w:position w:val="1"/>
          <w:sz w:val="21"/>
        </w:rPr>
        <w:t>-L</w:t>
      </w:r>
      <w:r>
        <w:rPr>
          <w:sz w:val="11"/>
        </w:rPr>
        <w:t>2</w:t>
      </w:r>
      <w:r>
        <w:rPr>
          <w:position w:val="1"/>
          <w:sz w:val="21"/>
        </w:rPr>
        <w:t>|</w:t>
      </w:r>
      <w:r>
        <w:rPr>
          <w:position w:val="1"/>
          <w:sz w:val="21"/>
        </w:rPr>
        <w:t>（</w:t>
      </w:r>
      <w:r>
        <w:rPr>
          <w:spacing w:val="-19"/>
          <w:position w:val="1"/>
          <w:sz w:val="21"/>
        </w:rPr>
        <w:t>见图</w:t>
      </w:r>
      <w:r>
        <w:rPr>
          <w:spacing w:val="-19"/>
          <w:position w:val="1"/>
          <w:sz w:val="21"/>
        </w:rPr>
        <w:t xml:space="preserve"> </w:t>
      </w:r>
      <w:r>
        <w:rPr>
          <w:position w:val="1"/>
          <w:sz w:val="21"/>
        </w:rPr>
        <w:t>7</w:t>
      </w:r>
      <w:r>
        <w:rPr>
          <w:position w:val="1"/>
          <w:sz w:val="21"/>
        </w:rPr>
        <w:t>）</w:t>
      </w:r>
      <w:r>
        <w:rPr>
          <w:b/>
          <w:w w:val="99"/>
          <w:position w:val="1"/>
          <w:sz w:val="21"/>
        </w:rPr>
        <w:t xml:space="preserve"> </w:t>
      </w:r>
    </w:p>
    <w:p w14:paraId="1C032648" w14:textId="77777777" w:rsidR="00A71EEF" w:rsidRDefault="00A71EEF">
      <w:pPr>
        <w:pStyle w:val="a3"/>
        <w:spacing w:before="12"/>
        <w:rPr>
          <w:b/>
          <w:sz w:val="17"/>
        </w:rPr>
      </w:pPr>
    </w:p>
    <w:p w14:paraId="3FE06183" w14:textId="77777777" w:rsidR="00A71EEF" w:rsidRDefault="0081115D">
      <w:pPr>
        <w:pStyle w:val="a3"/>
        <w:ind w:left="838"/>
      </w:pPr>
      <w:r>
        <w:t xml:space="preserve"> </w:t>
      </w:r>
      <w:r>
        <w:t>采用钢卷尺测量。</w:t>
      </w:r>
      <w:r>
        <w:t xml:space="preserve"> </w:t>
      </w:r>
    </w:p>
    <w:p w14:paraId="1E09B1C3" w14:textId="77777777" w:rsidR="00A71EEF" w:rsidRDefault="00A71EEF">
      <w:pPr>
        <w:pStyle w:val="a3"/>
        <w:rPr>
          <w:sz w:val="18"/>
        </w:rPr>
      </w:pPr>
    </w:p>
    <w:p w14:paraId="74F55124" w14:textId="77777777" w:rsidR="00A71EEF" w:rsidRDefault="0081115D">
      <w:pPr>
        <w:pStyle w:val="a3"/>
        <w:ind w:right="495"/>
        <w:jc w:val="center"/>
      </w:pPr>
      <w:r>
        <w:t xml:space="preserve"> </w:t>
      </w:r>
    </w:p>
    <w:p w14:paraId="0236C0FA" w14:textId="77777777" w:rsidR="00A71EEF" w:rsidRDefault="00A71EEF">
      <w:pPr>
        <w:jc w:val="center"/>
        <w:sectPr w:rsidR="00A71EEF">
          <w:footerReference w:type="default" r:id="rId258"/>
          <w:pgSz w:w="11910" w:h="16850"/>
          <w:pgMar w:top="1260" w:right="0" w:bottom="1340" w:left="1260" w:header="0" w:footer="1159" w:gutter="0"/>
          <w:pgNumType w:start="1160"/>
          <w:cols w:space="720"/>
        </w:sectPr>
      </w:pPr>
    </w:p>
    <w:p w14:paraId="0995E3B5" w14:textId="77777777" w:rsidR="00A71EEF" w:rsidRDefault="0081115D">
      <w:pPr>
        <w:pStyle w:val="a3"/>
        <w:ind w:left="2383"/>
        <w:rPr>
          <w:sz w:val="20"/>
        </w:rPr>
      </w:pPr>
      <w:r>
        <w:rPr>
          <w:noProof/>
          <w:sz w:val="20"/>
        </w:rPr>
        <w:drawing>
          <wp:inline distT="0" distB="0" distL="0" distR="0" wp14:anchorId="6D153990" wp14:editId="624E36B5">
            <wp:extent cx="3425977" cy="1981200"/>
            <wp:effectExtent l="0" t="0" r="0" b="0"/>
            <wp:docPr id="363" name="image2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218.jpeg"/>
                    <pic:cNvPicPr/>
                  </pic:nvPicPr>
                  <pic:blipFill>
                    <a:blip r:embed="rId259" cstate="print"/>
                    <a:stretch>
                      <a:fillRect/>
                    </a:stretch>
                  </pic:blipFill>
                  <pic:spPr>
                    <a:xfrm>
                      <a:off x="0" y="0"/>
                      <a:ext cx="3425977" cy="1981200"/>
                    </a:xfrm>
                    <a:prstGeom prst="rect">
                      <a:avLst/>
                    </a:prstGeom>
                  </pic:spPr>
                </pic:pic>
              </a:graphicData>
            </a:graphic>
          </wp:inline>
        </w:drawing>
      </w:r>
    </w:p>
    <w:p w14:paraId="564D42AA" w14:textId="77777777" w:rsidR="00A71EEF" w:rsidRDefault="00A71EEF">
      <w:pPr>
        <w:pStyle w:val="a3"/>
        <w:rPr>
          <w:sz w:val="20"/>
        </w:rPr>
      </w:pPr>
    </w:p>
    <w:p w14:paraId="6D034F29" w14:textId="77777777" w:rsidR="00A71EEF" w:rsidRDefault="00A71EEF">
      <w:pPr>
        <w:pStyle w:val="a3"/>
        <w:rPr>
          <w:sz w:val="20"/>
        </w:rPr>
      </w:pPr>
    </w:p>
    <w:p w14:paraId="3300B987" w14:textId="77777777" w:rsidR="00A71EEF" w:rsidRDefault="00A71EEF">
      <w:pPr>
        <w:pStyle w:val="a3"/>
        <w:spacing w:before="12"/>
        <w:rPr>
          <w:sz w:val="17"/>
        </w:rPr>
      </w:pPr>
    </w:p>
    <w:p w14:paraId="3DDA3D98" w14:textId="77777777" w:rsidR="00A71EEF" w:rsidRDefault="0081115D">
      <w:pPr>
        <w:pStyle w:val="6"/>
        <w:ind w:left="3205"/>
        <w:rPr>
          <w:b w:val="0"/>
        </w:rPr>
      </w:pPr>
      <w:r>
        <w:t>图</w:t>
      </w:r>
      <w:r>
        <w:t xml:space="preserve"> 7 </w:t>
      </w:r>
      <w:r>
        <w:t>门扇对角线长度测量位置示意图</w:t>
      </w:r>
      <w:r>
        <w:rPr>
          <w:b w:val="0"/>
        </w:rPr>
        <w:t xml:space="preserve"> </w:t>
      </w:r>
      <w:r>
        <w:rPr>
          <w:b w:val="0"/>
        </w:rPr>
        <w:t xml:space="preserve"> </w:t>
      </w:r>
      <w:r>
        <w:rPr>
          <w:b w:val="0"/>
        </w:rPr>
        <w:t xml:space="preserve"> </w:t>
      </w:r>
    </w:p>
    <w:p w14:paraId="7879C9FB" w14:textId="77777777" w:rsidR="00A71EEF" w:rsidRDefault="00A71EEF">
      <w:pPr>
        <w:pStyle w:val="a3"/>
        <w:spacing w:before="5"/>
        <w:rPr>
          <w:sz w:val="12"/>
        </w:rPr>
      </w:pPr>
    </w:p>
    <w:p w14:paraId="7346933F" w14:textId="77777777" w:rsidR="00A71EEF" w:rsidRDefault="0081115D">
      <w:pPr>
        <w:pStyle w:val="a4"/>
        <w:numPr>
          <w:ilvl w:val="2"/>
          <w:numId w:val="548"/>
        </w:numPr>
        <w:tabs>
          <w:tab w:val="left" w:pos="1371"/>
        </w:tabs>
        <w:spacing w:before="72"/>
        <w:ind w:left="1370" w:hanging="531"/>
        <w:rPr>
          <w:b/>
          <w:sz w:val="21"/>
        </w:rPr>
      </w:pPr>
      <w:r>
        <w:rPr>
          <w:spacing w:val="7"/>
          <w:sz w:val="21"/>
        </w:rPr>
        <w:t>门扇扭曲度</w:t>
      </w:r>
      <w:r>
        <w:rPr>
          <w:spacing w:val="-3"/>
          <w:sz w:val="21"/>
        </w:rPr>
        <w:t>D</w:t>
      </w:r>
      <w:r>
        <w:rPr>
          <w:b/>
          <w:w w:val="99"/>
          <w:sz w:val="21"/>
        </w:rPr>
        <w:t xml:space="preserve"> </w:t>
      </w:r>
    </w:p>
    <w:p w14:paraId="758BDBD5" w14:textId="77777777" w:rsidR="00A71EEF" w:rsidRDefault="00A71EEF">
      <w:pPr>
        <w:pStyle w:val="a3"/>
        <w:spacing w:before="12"/>
        <w:rPr>
          <w:b/>
          <w:sz w:val="17"/>
        </w:rPr>
      </w:pPr>
    </w:p>
    <w:p w14:paraId="117D75A4" w14:textId="77777777" w:rsidR="00A71EEF" w:rsidRDefault="0081115D">
      <w:pPr>
        <w:pStyle w:val="a4"/>
        <w:numPr>
          <w:ilvl w:val="3"/>
          <w:numId w:val="548"/>
        </w:numPr>
        <w:tabs>
          <w:tab w:val="left" w:pos="1576"/>
        </w:tabs>
        <w:rPr>
          <w:sz w:val="21"/>
        </w:rPr>
      </w:pPr>
      <w:r>
        <w:rPr>
          <w:spacing w:val="-2"/>
          <w:sz w:val="21"/>
        </w:rPr>
        <w:t>试验设备</w:t>
      </w:r>
      <w:r>
        <w:rPr>
          <w:spacing w:val="-2"/>
          <w:sz w:val="21"/>
        </w:rPr>
        <w:t xml:space="preserve"> </w:t>
      </w:r>
    </w:p>
    <w:p w14:paraId="1516C06A" w14:textId="77777777" w:rsidR="00A71EEF" w:rsidRDefault="00A71EEF">
      <w:pPr>
        <w:pStyle w:val="a3"/>
        <w:spacing w:before="2"/>
        <w:rPr>
          <w:sz w:val="18"/>
        </w:rPr>
      </w:pPr>
    </w:p>
    <w:p w14:paraId="24E05FF3" w14:textId="77777777" w:rsidR="00A71EEF" w:rsidRDefault="0081115D">
      <w:pPr>
        <w:pStyle w:val="a3"/>
        <w:spacing w:line="446" w:lineRule="auto"/>
        <w:ind w:left="838" w:right="4395"/>
      </w:pPr>
      <w:r>
        <w:t>平台、三个顶尖、高度尺。平台的尺寸不应小于</w:t>
      </w:r>
      <w:r>
        <w:t xml:space="preserve"> 1m×2m</w:t>
      </w:r>
      <w:r>
        <w:t>。</w:t>
      </w:r>
      <w:r>
        <w:t xml:space="preserve">6.8.2.2 </w:t>
      </w:r>
      <w:r>
        <w:t>试验步骤</w:t>
      </w:r>
      <w:r>
        <w:t xml:space="preserve"> </w:t>
      </w:r>
    </w:p>
    <w:p w14:paraId="4ECDC505" w14:textId="77777777" w:rsidR="00A71EEF" w:rsidRDefault="0081115D">
      <w:pPr>
        <w:pStyle w:val="a4"/>
        <w:numPr>
          <w:ilvl w:val="4"/>
          <w:numId w:val="547"/>
        </w:numPr>
        <w:tabs>
          <w:tab w:val="left" w:pos="1788"/>
        </w:tabs>
        <w:spacing w:line="446" w:lineRule="auto"/>
        <w:ind w:right="1438" w:firstLine="419"/>
        <w:rPr>
          <w:sz w:val="21"/>
        </w:rPr>
      </w:pPr>
      <w:r>
        <w:rPr>
          <w:spacing w:val="-5"/>
          <w:position w:val="1"/>
          <w:sz w:val="21"/>
        </w:rPr>
        <w:t>在门扇正反两面的四个角处分别标出四个测点，如一面为</w:t>
      </w:r>
      <w:r>
        <w:rPr>
          <w:spacing w:val="-5"/>
          <w:position w:val="1"/>
          <w:sz w:val="21"/>
        </w:rPr>
        <w:t xml:space="preserve"> </w:t>
      </w:r>
      <w:r>
        <w:rPr>
          <w:position w:val="1"/>
          <w:sz w:val="21"/>
        </w:rPr>
        <w:t>P</w:t>
      </w:r>
      <w:r>
        <w:rPr>
          <w:sz w:val="11"/>
        </w:rPr>
        <w:t>1</w:t>
      </w:r>
      <w:r>
        <w:rPr>
          <w:position w:val="1"/>
          <w:sz w:val="21"/>
        </w:rPr>
        <w:t>、</w:t>
      </w:r>
      <w:r>
        <w:rPr>
          <w:position w:val="1"/>
          <w:sz w:val="21"/>
        </w:rPr>
        <w:t>P</w:t>
      </w:r>
      <w:r>
        <w:rPr>
          <w:sz w:val="11"/>
        </w:rPr>
        <w:t>2</w:t>
      </w:r>
      <w:r>
        <w:rPr>
          <w:position w:val="1"/>
          <w:sz w:val="21"/>
        </w:rPr>
        <w:t>、</w:t>
      </w:r>
      <w:r>
        <w:rPr>
          <w:position w:val="1"/>
          <w:sz w:val="21"/>
        </w:rPr>
        <w:t>P</w:t>
      </w:r>
      <w:r>
        <w:rPr>
          <w:sz w:val="11"/>
        </w:rPr>
        <w:t>3</w:t>
      </w:r>
      <w:r>
        <w:rPr>
          <w:spacing w:val="-26"/>
          <w:sz w:val="11"/>
        </w:rPr>
        <w:t xml:space="preserve"> </w:t>
      </w:r>
      <w:r>
        <w:rPr>
          <w:spacing w:val="-23"/>
          <w:position w:val="1"/>
          <w:sz w:val="21"/>
        </w:rPr>
        <w:t>和</w:t>
      </w:r>
      <w:r>
        <w:rPr>
          <w:spacing w:val="-23"/>
          <w:position w:val="1"/>
          <w:sz w:val="21"/>
        </w:rPr>
        <w:t xml:space="preserve"> </w:t>
      </w:r>
      <w:r>
        <w:rPr>
          <w:position w:val="1"/>
          <w:sz w:val="21"/>
        </w:rPr>
        <w:t>P</w:t>
      </w:r>
      <w:r>
        <w:rPr>
          <w:sz w:val="11"/>
        </w:rPr>
        <w:t>4</w:t>
      </w:r>
      <w:r>
        <w:rPr>
          <w:spacing w:val="-26"/>
          <w:sz w:val="11"/>
        </w:rPr>
        <w:t xml:space="preserve"> </w:t>
      </w:r>
      <w:r>
        <w:rPr>
          <w:spacing w:val="-2"/>
          <w:position w:val="1"/>
          <w:sz w:val="21"/>
        </w:rPr>
        <w:t>测点，</w:t>
      </w:r>
      <w:r>
        <w:rPr>
          <w:spacing w:val="-2"/>
          <w:position w:val="1"/>
          <w:sz w:val="21"/>
        </w:rPr>
        <w:t xml:space="preserve"> </w:t>
      </w:r>
      <w:r>
        <w:rPr>
          <w:spacing w:val="3"/>
          <w:position w:val="1"/>
          <w:sz w:val="21"/>
        </w:rPr>
        <w:t>则另一面为对应的</w:t>
      </w:r>
      <w:r>
        <w:rPr>
          <w:position w:val="1"/>
          <w:sz w:val="21"/>
        </w:rPr>
        <w:t>P</w:t>
      </w:r>
      <w:r>
        <w:rPr>
          <w:sz w:val="11"/>
        </w:rPr>
        <w:t>1</w:t>
      </w:r>
      <w:r>
        <w:rPr>
          <w:position w:val="1"/>
          <w:sz w:val="21"/>
        </w:rPr>
        <w:t>′</w:t>
      </w:r>
      <w:r>
        <w:rPr>
          <w:position w:val="1"/>
          <w:sz w:val="21"/>
        </w:rPr>
        <w:t>、</w:t>
      </w:r>
      <w:r>
        <w:rPr>
          <w:position w:val="1"/>
          <w:sz w:val="21"/>
        </w:rPr>
        <w:t>P</w:t>
      </w:r>
      <w:r>
        <w:rPr>
          <w:sz w:val="11"/>
        </w:rPr>
        <w:t>2</w:t>
      </w:r>
      <w:r>
        <w:rPr>
          <w:position w:val="1"/>
          <w:sz w:val="21"/>
        </w:rPr>
        <w:t>′</w:t>
      </w:r>
      <w:r>
        <w:rPr>
          <w:position w:val="1"/>
          <w:sz w:val="21"/>
        </w:rPr>
        <w:t>、</w:t>
      </w:r>
      <w:r>
        <w:rPr>
          <w:position w:val="1"/>
          <w:sz w:val="21"/>
        </w:rPr>
        <w:t>P</w:t>
      </w:r>
      <w:r>
        <w:rPr>
          <w:sz w:val="11"/>
        </w:rPr>
        <w:t>3</w:t>
      </w:r>
      <w:r>
        <w:rPr>
          <w:spacing w:val="-17"/>
          <w:position w:val="1"/>
          <w:sz w:val="21"/>
        </w:rPr>
        <w:t>′</w:t>
      </w:r>
      <w:r>
        <w:rPr>
          <w:spacing w:val="-17"/>
          <w:position w:val="1"/>
          <w:sz w:val="21"/>
        </w:rPr>
        <w:t>和</w:t>
      </w:r>
      <w:r>
        <w:rPr>
          <w:spacing w:val="-17"/>
          <w:position w:val="1"/>
          <w:sz w:val="21"/>
        </w:rPr>
        <w:t xml:space="preserve"> </w:t>
      </w:r>
      <w:r>
        <w:rPr>
          <w:position w:val="1"/>
          <w:sz w:val="21"/>
        </w:rPr>
        <w:t>P</w:t>
      </w:r>
      <w:r>
        <w:rPr>
          <w:sz w:val="11"/>
        </w:rPr>
        <w:t>4</w:t>
      </w:r>
      <w:r>
        <w:rPr>
          <w:spacing w:val="-6"/>
          <w:position w:val="1"/>
          <w:sz w:val="21"/>
        </w:rPr>
        <w:t>′</w:t>
      </w:r>
      <w:r>
        <w:rPr>
          <w:spacing w:val="-6"/>
          <w:position w:val="1"/>
          <w:sz w:val="21"/>
        </w:rPr>
        <w:t>测点，每个测点距门扇横边和竖边的距离均为</w:t>
      </w:r>
      <w:r>
        <w:rPr>
          <w:spacing w:val="-6"/>
          <w:position w:val="1"/>
          <w:sz w:val="21"/>
        </w:rPr>
        <w:t xml:space="preserve"> </w:t>
      </w:r>
      <w:r>
        <w:rPr>
          <w:position w:val="1"/>
          <w:sz w:val="21"/>
        </w:rPr>
        <w:t xml:space="preserve">20 </w:t>
      </w:r>
    </w:p>
    <w:p w14:paraId="470C1F31" w14:textId="77777777" w:rsidR="00A71EEF" w:rsidRDefault="0081115D">
      <w:pPr>
        <w:pStyle w:val="a3"/>
        <w:spacing w:line="446" w:lineRule="auto"/>
        <w:ind w:left="418" w:right="1469"/>
      </w:pPr>
      <w:r>
        <w:rPr>
          <w:position w:val="1"/>
        </w:rPr>
        <w:t>mm</w:t>
      </w:r>
      <w:r>
        <w:rPr>
          <w:spacing w:val="-3"/>
          <w:position w:val="1"/>
        </w:rPr>
        <w:t>。三个顶尖分别放在门扇的三个任意测点处</w:t>
      </w:r>
      <w:r>
        <w:rPr>
          <w:position w:val="1"/>
        </w:rPr>
        <w:t>（</w:t>
      </w:r>
      <w:r>
        <w:rPr>
          <w:position w:val="1"/>
        </w:rPr>
        <w:t>P</w:t>
      </w:r>
      <w:r>
        <w:rPr>
          <w:sz w:val="11"/>
        </w:rPr>
        <w:t>1</w:t>
      </w:r>
      <w:r>
        <w:rPr>
          <w:position w:val="1"/>
        </w:rPr>
        <w:t>、</w:t>
      </w:r>
      <w:r>
        <w:rPr>
          <w:position w:val="1"/>
        </w:rPr>
        <w:t>P</w:t>
      </w:r>
      <w:r>
        <w:rPr>
          <w:sz w:val="11"/>
        </w:rPr>
        <w:t xml:space="preserve">2 </w:t>
      </w:r>
      <w:r>
        <w:rPr>
          <w:spacing w:val="-21"/>
          <w:position w:val="1"/>
        </w:rPr>
        <w:t>和</w:t>
      </w:r>
      <w:r>
        <w:rPr>
          <w:spacing w:val="-21"/>
          <w:position w:val="1"/>
        </w:rPr>
        <w:t xml:space="preserve"> </w:t>
      </w:r>
      <w:r>
        <w:rPr>
          <w:position w:val="1"/>
        </w:rPr>
        <w:t>P</w:t>
      </w:r>
      <w:r>
        <w:rPr>
          <w:sz w:val="11"/>
        </w:rPr>
        <w:t>3</w:t>
      </w:r>
      <w:r>
        <w:rPr>
          <w:position w:val="1"/>
        </w:rPr>
        <w:t>）</w:t>
      </w:r>
      <w:r>
        <w:rPr>
          <w:spacing w:val="-8"/>
          <w:position w:val="1"/>
        </w:rPr>
        <w:t>将门扇顶起，如图</w:t>
      </w:r>
      <w:r>
        <w:rPr>
          <w:spacing w:val="-8"/>
          <w:position w:val="1"/>
        </w:rPr>
        <w:t xml:space="preserve"> </w:t>
      </w:r>
      <w:r>
        <w:rPr>
          <w:position w:val="1"/>
        </w:rPr>
        <w:t>8</w:t>
      </w:r>
      <w:r>
        <w:rPr>
          <w:spacing w:val="-9"/>
          <w:position w:val="1"/>
        </w:rPr>
        <w:t xml:space="preserve"> </w:t>
      </w:r>
      <w:r>
        <w:rPr>
          <w:spacing w:val="-9"/>
          <w:position w:val="1"/>
        </w:rPr>
        <w:t>所示。用高度</w:t>
      </w:r>
      <w:r>
        <w:rPr>
          <w:spacing w:val="2"/>
          <w:position w:val="1"/>
        </w:rPr>
        <w:t>尺测量第四个测点</w:t>
      </w:r>
      <w:r>
        <w:rPr>
          <w:position w:val="1"/>
        </w:rPr>
        <w:t>P</w:t>
      </w:r>
      <w:r>
        <w:rPr>
          <w:sz w:val="11"/>
        </w:rPr>
        <w:t xml:space="preserve">4 </w:t>
      </w:r>
      <w:r>
        <w:rPr>
          <w:spacing w:val="-10"/>
          <w:position w:val="1"/>
        </w:rPr>
        <w:t>与平台的距离</w:t>
      </w:r>
      <w:r>
        <w:rPr>
          <w:spacing w:val="-10"/>
          <w:position w:val="1"/>
        </w:rPr>
        <w:t xml:space="preserve"> </w:t>
      </w:r>
      <w:r>
        <w:rPr>
          <w:position w:val="1"/>
        </w:rPr>
        <w:t>h</w:t>
      </w:r>
      <w:r>
        <w:rPr>
          <w:sz w:val="11"/>
        </w:rPr>
        <w:t>1</w:t>
      </w:r>
      <w:r>
        <w:rPr>
          <w:spacing w:val="-3"/>
          <w:position w:val="1"/>
        </w:rPr>
        <w:t>。</w:t>
      </w:r>
      <w:r>
        <w:rPr>
          <w:position w:val="1"/>
        </w:rPr>
        <w:t xml:space="preserve"> </w:t>
      </w:r>
    </w:p>
    <w:p w14:paraId="3715747E" w14:textId="77777777" w:rsidR="00A71EEF" w:rsidRDefault="0081115D">
      <w:pPr>
        <w:pStyle w:val="a4"/>
        <w:numPr>
          <w:ilvl w:val="4"/>
          <w:numId w:val="547"/>
        </w:numPr>
        <w:tabs>
          <w:tab w:val="left" w:pos="1788"/>
        </w:tabs>
        <w:ind w:left="1787"/>
        <w:rPr>
          <w:sz w:val="21"/>
        </w:rPr>
      </w:pPr>
      <w:r>
        <w:rPr>
          <w:spacing w:val="-12"/>
          <w:position w:val="1"/>
          <w:sz w:val="21"/>
        </w:rPr>
        <w:t>将门扇反转</w:t>
      </w:r>
      <w:r>
        <w:rPr>
          <w:spacing w:val="-12"/>
          <w:position w:val="1"/>
          <w:sz w:val="21"/>
        </w:rPr>
        <w:t xml:space="preserve"> </w:t>
      </w:r>
      <w:r>
        <w:rPr>
          <w:position w:val="1"/>
          <w:sz w:val="21"/>
        </w:rPr>
        <w:t>180°</w:t>
      </w:r>
      <w:r>
        <w:rPr>
          <w:spacing w:val="-18"/>
          <w:position w:val="1"/>
          <w:sz w:val="21"/>
        </w:rPr>
        <w:t>，按</w:t>
      </w:r>
      <w:r>
        <w:rPr>
          <w:spacing w:val="-18"/>
          <w:position w:val="1"/>
          <w:sz w:val="21"/>
        </w:rPr>
        <w:t xml:space="preserve"> </w:t>
      </w:r>
      <w:r>
        <w:rPr>
          <w:position w:val="1"/>
          <w:sz w:val="21"/>
        </w:rPr>
        <w:t>6.8.2.2.1</w:t>
      </w:r>
      <w:r>
        <w:rPr>
          <w:spacing w:val="-12"/>
          <w:position w:val="1"/>
          <w:sz w:val="21"/>
        </w:rPr>
        <w:t xml:space="preserve"> </w:t>
      </w:r>
      <w:r>
        <w:rPr>
          <w:spacing w:val="-12"/>
          <w:position w:val="1"/>
          <w:sz w:val="21"/>
        </w:rPr>
        <w:t>的位置和方法测定平台至</w:t>
      </w:r>
      <w:r>
        <w:rPr>
          <w:spacing w:val="-12"/>
          <w:position w:val="1"/>
          <w:sz w:val="21"/>
        </w:rPr>
        <w:t xml:space="preserve"> </w:t>
      </w:r>
      <w:r>
        <w:rPr>
          <w:position w:val="1"/>
          <w:sz w:val="21"/>
        </w:rPr>
        <w:t>P</w:t>
      </w:r>
      <w:r>
        <w:rPr>
          <w:sz w:val="11"/>
        </w:rPr>
        <w:t>4</w:t>
      </w:r>
      <w:r>
        <w:rPr>
          <w:spacing w:val="-12"/>
          <w:position w:val="1"/>
          <w:sz w:val="21"/>
        </w:rPr>
        <w:t>′</w:t>
      </w:r>
      <w:r>
        <w:rPr>
          <w:spacing w:val="-12"/>
          <w:position w:val="1"/>
          <w:sz w:val="21"/>
        </w:rPr>
        <w:t>的距离</w:t>
      </w:r>
      <w:r>
        <w:rPr>
          <w:spacing w:val="-12"/>
          <w:position w:val="1"/>
          <w:sz w:val="21"/>
        </w:rPr>
        <w:t xml:space="preserve"> </w:t>
      </w:r>
      <w:r>
        <w:rPr>
          <w:position w:val="1"/>
          <w:sz w:val="21"/>
        </w:rPr>
        <w:t>h</w:t>
      </w:r>
      <w:r>
        <w:rPr>
          <w:sz w:val="11"/>
        </w:rPr>
        <w:t>2</w:t>
      </w:r>
      <w:r>
        <w:rPr>
          <w:spacing w:val="-3"/>
          <w:position w:val="1"/>
          <w:sz w:val="21"/>
        </w:rPr>
        <w:t>。</w:t>
      </w:r>
      <w:r>
        <w:rPr>
          <w:position w:val="1"/>
          <w:sz w:val="21"/>
        </w:rPr>
        <w:t xml:space="preserve"> </w:t>
      </w:r>
    </w:p>
    <w:p w14:paraId="4D22C982" w14:textId="77777777" w:rsidR="00A71EEF" w:rsidRDefault="00A71EEF">
      <w:pPr>
        <w:pStyle w:val="a3"/>
        <w:spacing w:before="10"/>
        <w:rPr>
          <w:sz w:val="17"/>
        </w:rPr>
      </w:pPr>
    </w:p>
    <w:p w14:paraId="4A9961DC" w14:textId="77777777" w:rsidR="00A71EEF" w:rsidRDefault="0081115D">
      <w:pPr>
        <w:pStyle w:val="a4"/>
        <w:numPr>
          <w:ilvl w:val="4"/>
          <w:numId w:val="547"/>
        </w:numPr>
        <w:tabs>
          <w:tab w:val="left" w:pos="1788"/>
        </w:tabs>
        <w:ind w:left="1787"/>
        <w:rPr>
          <w:sz w:val="21"/>
        </w:rPr>
      </w:pPr>
      <w:r>
        <w:rPr>
          <w:spacing w:val="-12"/>
          <w:sz w:val="21"/>
        </w:rPr>
        <w:t>门扇扭曲度</w:t>
      </w:r>
      <w:r>
        <w:rPr>
          <w:spacing w:val="-12"/>
          <w:sz w:val="21"/>
        </w:rPr>
        <w:t xml:space="preserve"> </w:t>
      </w:r>
      <w:r>
        <w:rPr>
          <w:sz w:val="21"/>
        </w:rPr>
        <w:t>D</w:t>
      </w:r>
      <w:r>
        <w:rPr>
          <w:spacing w:val="-19"/>
          <w:sz w:val="21"/>
        </w:rPr>
        <w:t xml:space="preserve"> </w:t>
      </w:r>
      <w:r>
        <w:rPr>
          <w:spacing w:val="-19"/>
          <w:sz w:val="21"/>
        </w:rPr>
        <w:t>按式</w:t>
      </w:r>
      <w:r>
        <w:rPr>
          <w:sz w:val="21"/>
        </w:rPr>
        <w:t>（</w:t>
      </w:r>
      <w:r>
        <w:rPr>
          <w:sz w:val="21"/>
        </w:rPr>
        <w:t>1</w:t>
      </w:r>
      <w:r>
        <w:rPr>
          <w:sz w:val="21"/>
        </w:rPr>
        <w:t>）</w:t>
      </w:r>
      <w:r>
        <w:rPr>
          <w:spacing w:val="-3"/>
          <w:sz w:val="21"/>
        </w:rPr>
        <w:t>计算：</w:t>
      </w:r>
      <w:r>
        <w:rPr>
          <w:sz w:val="21"/>
        </w:rPr>
        <w:t xml:space="preserve"> </w:t>
      </w:r>
    </w:p>
    <w:p w14:paraId="794C0265" w14:textId="77777777" w:rsidR="00A71EEF" w:rsidRDefault="00A71EEF">
      <w:pPr>
        <w:pStyle w:val="a3"/>
        <w:rPr>
          <w:sz w:val="18"/>
        </w:rPr>
      </w:pPr>
    </w:p>
    <w:p w14:paraId="7404D5D9" w14:textId="77777777" w:rsidR="00A71EEF" w:rsidRDefault="0081115D">
      <w:pPr>
        <w:pStyle w:val="a3"/>
        <w:tabs>
          <w:tab w:val="left" w:leader="middleDot" w:pos="8231"/>
        </w:tabs>
        <w:ind w:left="1286"/>
      </w:pPr>
      <w:r>
        <w:rPr>
          <w:position w:val="1"/>
        </w:rPr>
        <w:t>D = | h</w:t>
      </w:r>
      <w:r>
        <w:rPr>
          <w:sz w:val="11"/>
        </w:rPr>
        <w:t>2</w:t>
      </w:r>
      <w:r>
        <w:rPr>
          <w:position w:val="1"/>
        </w:rPr>
        <w:t>–h</w:t>
      </w:r>
      <w:r>
        <w:rPr>
          <w:sz w:val="11"/>
        </w:rPr>
        <w:t xml:space="preserve">1  </w:t>
      </w:r>
      <w:r>
        <w:rPr>
          <w:position w:val="1"/>
        </w:rPr>
        <w:t>|</w:t>
      </w:r>
      <w:r>
        <w:rPr>
          <w:spacing w:val="-2"/>
          <w:position w:val="1"/>
        </w:rPr>
        <w:t xml:space="preserve"> </w:t>
      </w:r>
      <w:r>
        <w:rPr>
          <w:position w:val="1"/>
        </w:rPr>
        <w:t>/</w:t>
      </w:r>
      <w:r>
        <w:rPr>
          <w:spacing w:val="1"/>
          <w:position w:val="1"/>
        </w:rPr>
        <w:t xml:space="preserve"> </w:t>
      </w:r>
      <w:r>
        <w:rPr>
          <w:position w:val="1"/>
        </w:rPr>
        <w:t>2</w:t>
      </w:r>
      <w:r>
        <w:rPr>
          <w:position w:val="1"/>
        </w:rPr>
        <w:tab/>
      </w:r>
      <w:r>
        <w:rPr>
          <w:position w:val="1"/>
        </w:rPr>
        <w:t>（</w:t>
      </w:r>
      <w:r>
        <w:rPr>
          <w:position w:val="1"/>
        </w:rPr>
        <w:t>1</w:t>
      </w:r>
      <w:r>
        <w:rPr>
          <w:position w:val="1"/>
        </w:rPr>
        <w:t>）</w:t>
      </w:r>
      <w:r>
        <w:rPr>
          <w:position w:val="1"/>
        </w:rPr>
        <w:t xml:space="preserve"> </w:t>
      </w:r>
    </w:p>
    <w:p w14:paraId="788CDB17" w14:textId="77777777" w:rsidR="00A71EEF" w:rsidRDefault="00A71EEF">
      <w:pPr>
        <w:pStyle w:val="a3"/>
        <w:spacing w:before="2"/>
        <w:rPr>
          <w:sz w:val="18"/>
        </w:rPr>
      </w:pPr>
    </w:p>
    <w:p w14:paraId="4EBE0BE6" w14:textId="77777777" w:rsidR="00A71EEF" w:rsidRDefault="0081115D">
      <w:pPr>
        <w:pStyle w:val="a3"/>
        <w:ind w:left="838"/>
      </w:pPr>
      <w:r>
        <w:t>式中：</w:t>
      </w:r>
      <w:r>
        <w:t xml:space="preserve"> </w:t>
      </w:r>
    </w:p>
    <w:p w14:paraId="6BDB4AD9" w14:textId="77777777" w:rsidR="00A71EEF" w:rsidRDefault="00A71EEF">
      <w:pPr>
        <w:pStyle w:val="a3"/>
        <w:spacing w:before="12"/>
        <w:rPr>
          <w:sz w:val="17"/>
        </w:rPr>
      </w:pPr>
    </w:p>
    <w:p w14:paraId="56D34DEF" w14:textId="77777777" w:rsidR="00A71EEF" w:rsidRDefault="0081115D">
      <w:pPr>
        <w:pStyle w:val="a3"/>
        <w:ind w:left="838"/>
      </w:pPr>
      <w:r>
        <w:t>D——</w:t>
      </w:r>
      <w:r>
        <w:t>门扇扭曲度，单位为毫米（</w:t>
      </w:r>
      <w:r>
        <w:t>mm</w:t>
      </w:r>
      <w:r>
        <w:t>）；</w:t>
      </w:r>
      <w:r>
        <w:t xml:space="preserve"> </w:t>
      </w:r>
    </w:p>
    <w:p w14:paraId="0361A145" w14:textId="77777777" w:rsidR="00A71EEF" w:rsidRDefault="00A71EEF">
      <w:pPr>
        <w:pStyle w:val="a3"/>
        <w:spacing w:before="12"/>
        <w:rPr>
          <w:sz w:val="17"/>
        </w:rPr>
      </w:pPr>
    </w:p>
    <w:p w14:paraId="53748691" w14:textId="77777777" w:rsidR="00A71EEF" w:rsidRDefault="0081115D">
      <w:pPr>
        <w:pStyle w:val="a3"/>
        <w:spacing w:line="446" w:lineRule="auto"/>
        <w:ind w:left="838" w:right="4914"/>
      </w:pPr>
      <w:r>
        <w:rPr>
          <w:position w:val="1"/>
        </w:rPr>
        <w:t>h</w:t>
      </w:r>
      <w:r>
        <w:rPr>
          <w:sz w:val="11"/>
        </w:rPr>
        <w:t>1</w:t>
      </w:r>
      <w:r>
        <w:rPr>
          <w:position w:val="1"/>
        </w:rPr>
        <w:t>——</w:t>
      </w:r>
      <w:r>
        <w:rPr>
          <w:position w:val="1"/>
        </w:rPr>
        <w:t>平台至测点</w:t>
      </w:r>
      <w:r>
        <w:rPr>
          <w:position w:val="1"/>
        </w:rPr>
        <w:t xml:space="preserve"> P</w:t>
      </w:r>
      <w:r>
        <w:rPr>
          <w:sz w:val="11"/>
        </w:rPr>
        <w:t xml:space="preserve">4 </w:t>
      </w:r>
      <w:r>
        <w:rPr>
          <w:position w:val="1"/>
        </w:rPr>
        <w:t>的距离，单位为毫米（</w:t>
      </w:r>
      <w:r>
        <w:rPr>
          <w:position w:val="1"/>
        </w:rPr>
        <w:t>mm</w:t>
      </w:r>
      <w:r>
        <w:rPr>
          <w:position w:val="1"/>
        </w:rPr>
        <w:t>）；</w:t>
      </w:r>
      <w:r>
        <w:rPr>
          <w:position w:val="1"/>
        </w:rPr>
        <w:t xml:space="preserve"> h</w:t>
      </w:r>
      <w:r>
        <w:rPr>
          <w:sz w:val="11"/>
        </w:rPr>
        <w:t>2</w:t>
      </w:r>
      <w:r>
        <w:rPr>
          <w:position w:val="1"/>
        </w:rPr>
        <w:t>——</w:t>
      </w:r>
      <w:r>
        <w:rPr>
          <w:position w:val="1"/>
        </w:rPr>
        <w:t>平台至测点</w:t>
      </w:r>
      <w:r>
        <w:rPr>
          <w:position w:val="1"/>
        </w:rPr>
        <w:t xml:space="preserve"> P</w:t>
      </w:r>
      <w:r>
        <w:rPr>
          <w:sz w:val="11"/>
        </w:rPr>
        <w:t>4</w:t>
      </w:r>
      <w:r>
        <w:rPr>
          <w:position w:val="1"/>
        </w:rPr>
        <w:t>′</w:t>
      </w:r>
      <w:r>
        <w:rPr>
          <w:position w:val="1"/>
        </w:rPr>
        <w:t>的距离，单位为毫米（</w:t>
      </w:r>
      <w:r>
        <w:rPr>
          <w:position w:val="1"/>
        </w:rPr>
        <w:t>mm</w:t>
      </w:r>
      <w:r>
        <w:rPr>
          <w:position w:val="1"/>
        </w:rPr>
        <w:t>）。</w:t>
      </w:r>
      <w:r>
        <w:rPr>
          <w:position w:val="1"/>
        </w:rPr>
        <w:t xml:space="preserve"> </w:t>
      </w:r>
    </w:p>
    <w:p w14:paraId="385B52DA" w14:textId="77777777" w:rsidR="00A71EEF" w:rsidRDefault="00A71EEF">
      <w:pPr>
        <w:pStyle w:val="a3"/>
        <w:rPr>
          <w:sz w:val="20"/>
        </w:rPr>
      </w:pPr>
    </w:p>
    <w:p w14:paraId="2286376F" w14:textId="77777777" w:rsidR="00A71EEF" w:rsidRDefault="00A71EEF">
      <w:pPr>
        <w:pStyle w:val="a3"/>
        <w:rPr>
          <w:sz w:val="20"/>
        </w:rPr>
      </w:pPr>
    </w:p>
    <w:p w14:paraId="120966AF" w14:textId="77777777" w:rsidR="00A71EEF" w:rsidRDefault="00A71EEF">
      <w:pPr>
        <w:pStyle w:val="a3"/>
        <w:rPr>
          <w:sz w:val="20"/>
        </w:rPr>
      </w:pPr>
    </w:p>
    <w:p w14:paraId="0DB4F462" w14:textId="77777777" w:rsidR="00A71EEF" w:rsidRDefault="00A71EEF">
      <w:pPr>
        <w:pStyle w:val="a3"/>
        <w:rPr>
          <w:sz w:val="20"/>
        </w:rPr>
      </w:pPr>
    </w:p>
    <w:p w14:paraId="72101EE7" w14:textId="77777777" w:rsidR="00A71EEF" w:rsidRDefault="00A71EEF">
      <w:pPr>
        <w:pStyle w:val="a3"/>
        <w:rPr>
          <w:sz w:val="20"/>
        </w:rPr>
      </w:pPr>
    </w:p>
    <w:p w14:paraId="6F7E72CF" w14:textId="77777777" w:rsidR="00A71EEF" w:rsidRDefault="00A71EEF">
      <w:pPr>
        <w:pStyle w:val="a3"/>
        <w:spacing w:before="2"/>
        <w:rPr>
          <w:sz w:val="17"/>
        </w:rPr>
      </w:pPr>
    </w:p>
    <w:p w14:paraId="610768CE" w14:textId="77777777" w:rsidR="00A71EEF" w:rsidRDefault="0081115D">
      <w:pPr>
        <w:pStyle w:val="a3"/>
        <w:ind w:right="495"/>
        <w:jc w:val="center"/>
      </w:pPr>
      <w:r>
        <w:t xml:space="preserve"> </w:t>
      </w:r>
    </w:p>
    <w:p w14:paraId="744C9F8B" w14:textId="77777777" w:rsidR="00A71EEF" w:rsidRDefault="00A71EEF">
      <w:pPr>
        <w:jc w:val="center"/>
        <w:sectPr w:rsidR="00A71EEF">
          <w:pgSz w:w="11910" w:h="16850"/>
          <w:pgMar w:top="1260" w:right="0" w:bottom="1420" w:left="1260" w:header="0" w:footer="1159" w:gutter="0"/>
          <w:cols w:space="720"/>
        </w:sectPr>
      </w:pPr>
    </w:p>
    <w:p w14:paraId="3A91893D" w14:textId="77777777" w:rsidR="00A71EEF" w:rsidRDefault="00A71EEF">
      <w:pPr>
        <w:pStyle w:val="a3"/>
        <w:rPr>
          <w:sz w:val="20"/>
        </w:rPr>
      </w:pPr>
    </w:p>
    <w:p w14:paraId="7C4AB8CE" w14:textId="77777777" w:rsidR="00A71EEF" w:rsidRDefault="00A71EEF">
      <w:pPr>
        <w:pStyle w:val="a3"/>
        <w:spacing w:after="1"/>
        <w:rPr>
          <w:sz w:val="26"/>
        </w:rPr>
      </w:pPr>
    </w:p>
    <w:p w14:paraId="59A0BA42" w14:textId="77777777" w:rsidR="00A71EEF" w:rsidRDefault="0081115D">
      <w:pPr>
        <w:pStyle w:val="a3"/>
        <w:ind w:left="2082"/>
        <w:rPr>
          <w:sz w:val="20"/>
        </w:rPr>
      </w:pPr>
      <w:r>
        <w:rPr>
          <w:noProof/>
          <w:sz w:val="20"/>
        </w:rPr>
        <w:drawing>
          <wp:inline distT="0" distB="0" distL="0" distR="0" wp14:anchorId="6D959F15" wp14:editId="2004E6F6">
            <wp:extent cx="3808622" cy="1828800"/>
            <wp:effectExtent l="0" t="0" r="0" b="0"/>
            <wp:docPr id="365" name="image2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219.jpeg"/>
                    <pic:cNvPicPr/>
                  </pic:nvPicPr>
                  <pic:blipFill>
                    <a:blip r:embed="rId260" cstate="print"/>
                    <a:stretch>
                      <a:fillRect/>
                    </a:stretch>
                  </pic:blipFill>
                  <pic:spPr>
                    <a:xfrm>
                      <a:off x="0" y="0"/>
                      <a:ext cx="3808622" cy="1828800"/>
                    </a:xfrm>
                    <a:prstGeom prst="rect">
                      <a:avLst/>
                    </a:prstGeom>
                  </pic:spPr>
                </pic:pic>
              </a:graphicData>
            </a:graphic>
          </wp:inline>
        </w:drawing>
      </w:r>
    </w:p>
    <w:p w14:paraId="061666E6" w14:textId="77777777" w:rsidR="00A71EEF" w:rsidRDefault="00A71EEF">
      <w:pPr>
        <w:pStyle w:val="a3"/>
        <w:spacing w:before="4"/>
        <w:rPr>
          <w:sz w:val="16"/>
        </w:rPr>
      </w:pPr>
    </w:p>
    <w:p w14:paraId="24762EC4" w14:textId="77777777" w:rsidR="00A71EEF" w:rsidRDefault="0081115D">
      <w:pPr>
        <w:spacing w:before="71" w:line="446" w:lineRule="auto"/>
        <w:ind w:left="840" w:right="3713" w:firstLine="2892"/>
        <w:rPr>
          <w:b/>
          <w:sz w:val="21"/>
        </w:rPr>
      </w:pPr>
      <w:r>
        <w:rPr>
          <w:b/>
          <w:sz w:val="21"/>
        </w:rPr>
        <w:t>图</w:t>
      </w:r>
      <w:r>
        <w:rPr>
          <w:b/>
          <w:sz w:val="21"/>
        </w:rPr>
        <w:t xml:space="preserve"> 8 </w:t>
      </w:r>
      <w:r>
        <w:rPr>
          <w:b/>
          <w:sz w:val="21"/>
        </w:rPr>
        <w:t>门扇扭曲度测量示意图</w:t>
      </w:r>
      <w:r>
        <w:rPr>
          <w:b/>
          <w:position w:val="1"/>
          <w:sz w:val="21"/>
        </w:rPr>
        <w:t xml:space="preserve">6.8.3 </w:t>
      </w:r>
      <w:r>
        <w:rPr>
          <w:position w:val="1"/>
          <w:sz w:val="21"/>
        </w:rPr>
        <w:t>门扇宽度（高度）方向弯曲度</w:t>
      </w:r>
      <w:r>
        <w:rPr>
          <w:position w:val="1"/>
          <w:sz w:val="21"/>
        </w:rPr>
        <w:t xml:space="preserve"> B</w:t>
      </w:r>
      <w:r>
        <w:rPr>
          <w:sz w:val="11"/>
        </w:rPr>
        <w:t>1</w:t>
      </w:r>
      <w:r>
        <w:rPr>
          <w:position w:val="1"/>
          <w:sz w:val="21"/>
        </w:rPr>
        <w:t>（</w:t>
      </w:r>
      <w:r>
        <w:rPr>
          <w:position w:val="1"/>
          <w:sz w:val="21"/>
        </w:rPr>
        <w:t>B</w:t>
      </w:r>
      <w:r>
        <w:rPr>
          <w:sz w:val="11"/>
        </w:rPr>
        <w:t>2</w:t>
      </w:r>
      <w:r>
        <w:rPr>
          <w:position w:val="1"/>
          <w:sz w:val="21"/>
        </w:rPr>
        <w:t>）（见图</w:t>
      </w:r>
      <w:r>
        <w:rPr>
          <w:position w:val="1"/>
          <w:sz w:val="21"/>
        </w:rPr>
        <w:t xml:space="preserve"> 11</w:t>
      </w:r>
      <w:r>
        <w:rPr>
          <w:position w:val="1"/>
          <w:sz w:val="21"/>
        </w:rPr>
        <w:t>、图</w:t>
      </w:r>
      <w:r>
        <w:rPr>
          <w:position w:val="1"/>
          <w:sz w:val="21"/>
        </w:rPr>
        <w:t xml:space="preserve"> 12</w:t>
      </w:r>
      <w:r>
        <w:rPr>
          <w:position w:val="1"/>
          <w:sz w:val="21"/>
        </w:rPr>
        <w:t>）</w:t>
      </w:r>
      <w:r>
        <w:rPr>
          <w:b/>
          <w:w w:val="99"/>
          <w:position w:val="1"/>
          <w:sz w:val="21"/>
        </w:rPr>
        <w:t xml:space="preserve"> </w:t>
      </w:r>
    </w:p>
    <w:p w14:paraId="64ECEB4B" w14:textId="77777777" w:rsidR="00A71EEF" w:rsidRDefault="0081115D">
      <w:pPr>
        <w:pStyle w:val="a3"/>
        <w:ind w:left="838"/>
      </w:pPr>
      <w:r>
        <w:t>6.8.3.1</w:t>
      </w:r>
      <w:r>
        <w:rPr>
          <w:spacing w:val="-1"/>
        </w:rPr>
        <w:t xml:space="preserve">  </w:t>
      </w:r>
      <w:r>
        <w:rPr>
          <w:spacing w:val="-1"/>
        </w:rPr>
        <w:t>试验设备</w:t>
      </w:r>
      <w:r>
        <w:rPr>
          <w:spacing w:val="-1"/>
        </w:rPr>
        <w:t xml:space="preserve"> </w:t>
      </w:r>
    </w:p>
    <w:p w14:paraId="700B9122" w14:textId="77777777" w:rsidR="00A71EEF" w:rsidRDefault="00A71EEF">
      <w:pPr>
        <w:pStyle w:val="a3"/>
        <w:rPr>
          <w:sz w:val="18"/>
        </w:rPr>
      </w:pPr>
    </w:p>
    <w:p w14:paraId="06CBACFB" w14:textId="77777777" w:rsidR="00A71EEF" w:rsidRDefault="0081115D">
      <w:pPr>
        <w:pStyle w:val="a3"/>
        <w:spacing w:line="446" w:lineRule="auto"/>
        <w:ind w:left="838" w:right="2295"/>
      </w:pPr>
      <w:r>
        <w:rPr>
          <w:spacing w:val="-5"/>
        </w:rPr>
        <w:t>平台、四个顶尖、游标卡尺、尼龙线、吊线锥。平台的尺寸应不小于</w:t>
      </w:r>
      <w:r>
        <w:rPr>
          <w:spacing w:val="-5"/>
        </w:rPr>
        <w:t xml:space="preserve"> </w:t>
      </w:r>
      <w:r>
        <w:rPr>
          <w:spacing w:val="-3"/>
        </w:rPr>
        <w:t>1</w:t>
      </w:r>
      <w:r>
        <w:rPr>
          <w:spacing w:val="11"/>
        </w:rPr>
        <w:t xml:space="preserve"> </w:t>
      </w:r>
      <w:r>
        <w:rPr>
          <w:spacing w:val="-2"/>
        </w:rPr>
        <w:t>m×2</w:t>
      </w:r>
      <w:r>
        <w:rPr>
          <w:spacing w:val="12"/>
        </w:rPr>
        <w:t xml:space="preserve"> </w:t>
      </w:r>
      <w:r>
        <w:t>m</w:t>
      </w:r>
      <w:r>
        <w:rPr>
          <w:spacing w:val="-3"/>
        </w:rPr>
        <w:t>。</w:t>
      </w:r>
      <w:r>
        <w:t>6.8.3.2</w:t>
      </w:r>
      <w:r>
        <w:rPr>
          <w:spacing w:val="19"/>
        </w:rPr>
        <w:t xml:space="preserve"> </w:t>
      </w:r>
      <w:r>
        <w:rPr>
          <w:spacing w:val="19"/>
        </w:rPr>
        <w:t>试验步骤</w:t>
      </w:r>
      <w:r>
        <w:rPr>
          <w:spacing w:val="19"/>
        </w:rPr>
        <w:t xml:space="preserve"> </w:t>
      </w:r>
    </w:p>
    <w:p w14:paraId="4EB7D4C0" w14:textId="77777777" w:rsidR="00A71EEF" w:rsidRDefault="0081115D">
      <w:pPr>
        <w:pStyle w:val="a4"/>
        <w:numPr>
          <w:ilvl w:val="4"/>
          <w:numId w:val="546"/>
        </w:numPr>
        <w:tabs>
          <w:tab w:val="left" w:pos="1788"/>
        </w:tabs>
        <w:spacing w:line="446" w:lineRule="auto"/>
        <w:ind w:right="1450" w:firstLine="419"/>
        <w:rPr>
          <w:sz w:val="21"/>
        </w:rPr>
      </w:pPr>
      <w:r>
        <w:rPr>
          <w:spacing w:val="-5"/>
          <w:sz w:val="21"/>
        </w:rPr>
        <w:t>将门扇平放在平台的四个顶尖上，顶尖距门扇横边和竖边的距离均为</w:t>
      </w:r>
      <w:r>
        <w:rPr>
          <w:spacing w:val="-5"/>
          <w:sz w:val="21"/>
        </w:rPr>
        <w:t xml:space="preserve"> </w:t>
      </w:r>
      <w:r>
        <w:rPr>
          <w:sz w:val="21"/>
        </w:rPr>
        <w:t>20</w:t>
      </w:r>
      <w:r>
        <w:rPr>
          <w:spacing w:val="13"/>
          <w:sz w:val="21"/>
        </w:rPr>
        <w:t xml:space="preserve"> </w:t>
      </w:r>
      <w:r>
        <w:rPr>
          <w:sz w:val="21"/>
        </w:rPr>
        <w:t>mm</w:t>
      </w:r>
      <w:r>
        <w:rPr>
          <w:sz w:val="21"/>
        </w:rPr>
        <w:t>，将</w:t>
      </w:r>
      <w:r>
        <w:rPr>
          <w:spacing w:val="-3"/>
          <w:sz w:val="21"/>
        </w:rPr>
        <w:t>两端带有吊线锥的细尼龙线横跨于门扇宽度（</w:t>
      </w:r>
      <w:r>
        <w:rPr>
          <w:spacing w:val="-2"/>
          <w:sz w:val="21"/>
        </w:rPr>
        <w:t>高度</w:t>
      </w:r>
      <w:r>
        <w:rPr>
          <w:sz w:val="21"/>
        </w:rPr>
        <w:t>）</w:t>
      </w:r>
      <w:r>
        <w:rPr>
          <w:spacing w:val="-12"/>
          <w:sz w:val="21"/>
        </w:rPr>
        <w:t>上，如图</w:t>
      </w:r>
      <w:r>
        <w:rPr>
          <w:spacing w:val="-12"/>
          <w:sz w:val="21"/>
        </w:rPr>
        <w:t xml:space="preserve"> </w:t>
      </w:r>
      <w:r>
        <w:rPr>
          <w:sz w:val="21"/>
        </w:rPr>
        <w:t>9</w:t>
      </w:r>
      <w:r>
        <w:rPr>
          <w:spacing w:val="-8"/>
          <w:sz w:val="21"/>
        </w:rPr>
        <w:t xml:space="preserve"> </w:t>
      </w:r>
      <w:r>
        <w:rPr>
          <w:spacing w:val="-8"/>
          <w:sz w:val="21"/>
        </w:rPr>
        <w:t>所示。用游标卡尺的深度尺在</w:t>
      </w:r>
      <w:r>
        <w:rPr>
          <w:spacing w:val="-6"/>
          <w:sz w:val="21"/>
        </w:rPr>
        <w:t>规定测量位置量出高度值，即为该规定测量点的弯曲度值。测量位置见图</w:t>
      </w:r>
      <w:r>
        <w:rPr>
          <w:spacing w:val="-6"/>
          <w:sz w:val="21"/>
        </w:rPr>
        <w:t xml:space="preserve"> </w:t>
      </w:r>
      <w:r>
        <w:rPr>
          <w:sz w:val="21"/>
        </w:rPr>
        <w:t>10</w:t>
      </w:r>
      <w:r>
        <w:rPr>
          <w:spacing w:val="-15"/>
          <w:sz w:val="21"/>
        </w:rPr>
        <w:t xml:space="preserve"> </w:t>
      </w:r>
      <w:r>
        <w:rPr>
          <w:spacing w:val="-15"/>
          <w:sz w:val="21"/>
        </w:rPr>
        <w:t>所示的</w:t>
      </w:r>
      <w:r>
        <w:rPr>
          <w:spacing w:val="-15"/>
          <w:sz w:val="21"/>
        </w:rPr>
        <w:t xml:space="preserve"> </w:t>
      </w:r>
      <w:r>
        <w:rPr>
          <w:sz w:val="21"/>
        </w:rPr>
        <w:t>E-E</w:t>
      </w:r>
      <w:r>
        <w:rPr>
          <w:sz w:val="21"/>
        </w:rPr>
        <w:t>（</w:t>
      </w:r>
      <w:r>
        <w:rPr>
          <w:sz w:val="21"/>
        </w:rPr>
        <w:t>F- F</w:t>
      </w:r>
      <w:r>
        <w:rPr>
          <w:sz w:val="21"/>
        </w:rPr>
        <w:t>）、</w:t>
      </w:r>
      <w:r>
        <w:rPr>
          <w:sz w:val="21"/>
        </w:rPr>
        <w:t>E′-E′</w:t>
      </w:r>
      <w:r>
        <w:rPr>
          <w:sz w:val="21"/>
        </w:rPr>
        <w:t>（</w:t>
      </w:r>
      <w:r>
        <w:rPr>
          <w:sz w:val="21"/>
        </w:rPr>
        <w:t>F′-F′</w:t>
      </w:r>
      <w:r>
        <w:rPr>
          <w:sz w:val="21"/>
        </w:rPr>
        <w:t>）</w:t>
      </w:r>
      <w:r>
        <w:rPr>
          <w:spacing w:val="-27"/>
          <w:sz w:val="21"/>
        </w:rPr>
        <w:t>和</w:t>
      </w:r>
      <w:r>
        <w:rPr>
          <w:spacing w:val="-27"/>
          <w:sz w:val="21"/>
        </w:rPr>
        <w:t xml:space="preserve"> </w:t>
      </w:r>
      <w:r>
        <w:rPr>
          <w:sz w:val="21"/>
        </w:rPr>
        <w:t>E″-E″</w:t>
      </w:r>
      <w:r>
        <w:rPr>
          <w:sz w:val="21"/>
        </w:rPr>
        <w:t>（</w:t>
      </w:r>
      <w:r>
        <w:rPr>
          <w:sz w:val="21"/>
        </w:rPr>
        <w:t>F″-F″</w:t>
      </w:r>
      <w:r>
        <w:rPr>
          <w:sz w:val="21"/>
        </w:rPr>
        <w:t>）</w:t>
      </w:r>
      <w:r>
        <w:rPr>
          <w:spacing w:val="-3"/>
          <w:sz w:val="21"/>
        </w:rPr>
        <w:t>的中点。</w:t>
      </w:r>
      <w:r>
        <w:rPr>
          <w:sz w:val="21"/>
        </w:rPr>
        <w:t xml:space="preserve"> </w:t>
      </w:r>
    </w:p>
    <w:p w14:paraId="7D69B319" w14:textId="77777777" w:rsidR="00A71EEF" w:rsidRDefault="0081115D">
      <w:pPr>
        <w:pStyle w:val="a4"/>
        <w:numPr>
          <w:ilvl w:val="4"/>
          <w:numId w:val="546"/>
        </w:numPr>
        <w:tabs>
          <w:tab w:val="left" w:pos="1788"/>
        </w:tabs>
        <w:spacing w:line="266" w:lineRule="exact"/>
        <w:ind w:left="1787"/>
        <w:rPr>
          <w:sz w:val="21"/>
        </w:rPr>
      </w:pPr>
      <w:r>
        <w:rPr>
          <w:spacing w:val="-13"/>
          <w:sz w:val="21"/>
        </w:rPr>
        <w:t>门扇反转</w:t>
      </w:r>
      <w:r>
        <w:rPr>
          <w:spacing w:val="-13"/>
          <w:sz w:val="21"/>
        </w:rPr>
        <w:t xml:space="preserve"> </w:t>
      </w:r>
      <w:r>
        <w:rPr>
          <w:sz w:val="21"/>
        </w:rPr>
        <w:t>180</w:t>
      </w:r>
      <w:r>
        <w:rPr>
          <w:spacing w:val="-3"/>
          <w:sz w:val="21"/>
        </w:rPr>
        <w:t>°</w:t>
      </w:r>
      <w:r>
        <w:rPr>
          <w:spacing w:val="-3"/>
          <w:sz w:val="21"/>
        </w:rPr>
        <w:t>，测定门扇另一面的弯曲度值，测量位置和测量方法同</w:t>
      </w:r>
    </w:p>
    <w:p w14:paraId="5B08AEC1" w14:textId="77777777" w:rsidR="00A71EEF" w:rsidRDefault="00A71EEF">
      <w:pPr>
        <w:pStyle w:val="a3"/>
        <w:spacing w:before="2"/>
        <w:rPr>
          <w:sz w:val="18"/>
        </w:rPr>
      </w:pPr>
    </w:p>
    <w:p w14:paraId="772518DF" w14:textId="77777777" w:rsidR="00A71EEF" w:rsidRDefault="0081115D">
      <w:pPr>
        <w:pStyle w:val="a3"/>
        <w:ind w:left="418"/>
      </w:pPr>
      <w:r>
        <w:t>6.8.3.2.1</w:t>
      </w:r>
      <w:r>
        <w:t>。</w:t>
      </w:r>
      <w:r>
        <w:t xml:space="preserve"> </w:t>
      </w:r>
    </w:p>
    <w:p w14:paraId="65381F64" w14:textId="77777777" w:rsidR="00A71EEF" w:rsidRDefault="00A71EEF">
      <w:pPr>
        <w:pStyle w:val="a3"/>
        <w:rPr>
          <w:sz w:val="18"/>
        </w:rPr>
      </w:pPr>
    </w:p>
    <w:p w14:paraId="35192D40" w14:textId="77777777" w:rsidR="00A71EEF" w:rsidRDefault="0081115D">
      <w:pPr>
        <w:pStyle w:val="a4"/>
        <w:numPr>
          <w:ilvl w:val="4"/>
          <w:numId w:val="545"/>
        </w:numPr>
        <w:tabs>
          <w:tab w:val="left" w:pos="1788"/>
        </w:tabs>
        <w:rPr>
          <w:sz w:val="21"/>
        </w:rPr>
      </w:pPr>
      <w:r>
        <w:rPr>
          <w:spacing w:val="-3"/>
          <w:position w:val="1"/>
          <w:sz w:val="21"/>
        </w:rPr>
        <w:t>门扇宽度</w:t>
      </w:r>
      <w:r>
        <w:rPr>
          <w:position w:val="1"/>
          <w:sz w:val="21"/>
        </w:rPr>
        <w:t>（</w:t>
      </w:r>
      <w:r>
        <w:rPr>
          <w:spacing w:val="-2"/>
          <w:position w:val="1"/>
          <w:sz w:val="21"/>
        </w:rPr>
        <w:t>高度</w:t>
      </w:r>
      <w:r>
        <w:rPr>
          <w:position w:val="1"/>
          <w:sz w:val="21"/>
        </w:rPr>
        <w:t>）</w:t>
      </w:r>
      <w:r>
        <w:rPr>
          <w:spacing w:val="-7"/>
          <w:position w:val="1"/>
          <w:sz w:val="21"/>
        </w:rPr>
        <w:t>方向弯曲度值，取测量结果的极值</w:t>
      </w:r>
      <w:r>
        <w:rPr>
          <w:spacing w:val="-7"/>
          <w:position w:val="1"/>
          <w:sz w:val="21"/>
        </w:rPr>
        <w:t xml:space="preserve"> </w:t>
      </w:r>
      <w:r>
        <w:rPr>
          <w:position w:val="1"/>
          <w:sz w:val="21"/>
        </w:rPr>
        <w:t>h</w:t>
      </w:r>
      <w:r>
        <w:rPr>
          <w:sz w:val="11"/>
        </w:rPr>
        <w:t>3</w:t>
      </w:r>
      <w:r>
        <w:rPr>
          <w:position w:val="1"/>
          <w:sz w:val="21"/>
        </w:rPr>
        <w:t>（</w:t>
      </w:r>
      <w:r>
        <w:rPr>
          <w:position w:val="1"/>
          <w:sz w:val="21"/>
        </w:rPr>
        <w:t>h</w:t>
      </w:r>
      <w:r>
        <w:rPr>
          <w:sz w:val="11"/>
        </w:rPr>
        <w:t>4</w:t>
      </w:r>
      <w:r>
        <w:rPr>
          <w:position w:val="1"/>
          <w:sz w:val="21"/>
        </w:rPr>
        <w:t>）。</w:t>
      </w:r>
      <w:r>
        <w:rPr>
          <w:position w:val="1"/>
          <w:sz w:val="21"/>
        </w:rPr>
        <w:t xml:space="preserve"> </w:t>
      </w:r>
    </w:p>
    <w:p w14:paraId="21E9B5A3" w14:textId="77777777" w:rsidR="00A71EEF" w:rsidRDefault="00A71EEF">
      <w:pPr>
        <w:pStyle w:val="a3"/>
        <w:rPr>
          <w:sz w:val="18"/>
        </w:rPr>
      </w:pPr>
    </w:p>
    <w:p w14:paraId="1DE9E956" w14:textId="77777777" w:rsidR="00A71EEF" w:rsidRDefault="0081115D">
      <w:pPr>
        <w:pStyle w:val="a4"/>
        <w:numPr>
          <w:ilvl w:val="4"/>
          <w:numId w:val="545"/>
        </w:numPr>
        <w:tabs>
          <w:tab w:val="left" w:pos="1788"/>
        </w:tabs>
        <w:rPr>
          <w:sz w:val="21"/>
        </w:rPr>
      </w:pPr>
      <w:r>
        <w:rPr>
          <w:spacing w:val="-3"/>
          <w:sz w:val="21"/>
        </w:rPr>
        <w:t>门扇宽度</w:t>
      </w:r>
      <w:r>
        <w:rPr>
          <w:sz w:val="21"/>
        </w:rPr>
        <w:t>（</w:t>
      </w:r>
      <w:r>
        <w:rPr>
          <w:spacing w:val="-2"/>
          <w:sz w:val="21"/>
        </w:rPr>
        <w:t>高度</w:t>
      </w:r>
      <w:r>
        <w:rPr>
          <w:sz w:val="21"/>
        </w:rPr>
        <w:t>）</w:t>
      </w:r>
      <w:r>
        <w:rPr>
          <w:spacing w:val="-3"/>
          <w:sz w:val="21"/>
        </w:rPr>
        <w:t>方向弯曲度按式</w:t>
      </w:r>
      <w:r>
        <w:rPr>
          <w:sz w:val="21"/>
        </w:rPr>
        <w:t>（</w:t>
      </w:r>
      <w:r>
        <w:rPr>
          <w:sz w:val="21"/>
        </w:rPr>
        <w:t>2</w:t>
      </w:r>
      <w:r>
        <w:rPr>
          <w:sz w:val="21"/>
        </w:rPr>
        <w:t>）</w:t>
      </w:r>
      <w:r>
        <w:rPr>
          <w:spacing w:val="-1"/>
          <w:sz w:val="21"/>
        </w:rPr>
        <w:t>计算：</w:t>
      </w:r>
      <w:r>
        <w:rPr>
          <w:sz w:val="21"/>
        </w:rPr>
        <w:t xml:space="preserve"> </w:t>
      </w:r>
    </w:p>
    <w:p w14:paraId="31A947C8" w14:textId="77777777" w:rsidR="00A71EEF" w:rsidRDefault="00A71EEF">
      <w:pPr>
        <w:pStyle w:val="a3"/>
        <w:spacing w:before="1"/>
        <w:rPr>
          <w:sz w:val="18"/>
        </w:rPr>
      </w:pPr>
    </w:p>
    <w:p w14:paraId="46339EB2" w14:textId="77777777" w:rsidR="00A71EEF" w:rsidRDefault="0081115D">
      <w:pPr>
        <w:pStyle w:val="a3"/>
        <w:tabs>
          <w:tab w:val="left" w:leader="middleDot" w:pos="7993"/>
        </w:tabs>
        <w:ind w:left="838"/>
      </w:pPr>
      <w:r>
        <w:rPr>
          <w:position w:val="1"/>
        </w:rPr>
        <w:t>B</w:t>
      </w:r>
      <w:r>
        <w:rPr>
          <w:sz w:val="11"/>
        </w:rPr>
        <w:t>1</w:t>
      </w:r>
      <w:r>
        <w:rPr>
          <w:position w:val="1"/>
        </w:rPr>
        <w:t>（</w:t>
      </w:r>
      <w:r>
        <w:rPr>
          <w:position w:val="1"/>
        </w:rPr>
        <w:t>B</w:t>
      </w:r>
      <w:r>
        <w:rPr>
          <w:sz w:val="11"/>
        </w:rPr>
        <w:t>2</w:t>
      </w:r>
      <w:r>
        <w:rPr>
          <w:position w:val="1"/>
        </w:rPr>
        <w:t>）</w:t>
      </w:r>
      <w:r>
        <w:rPr>
          <w:position w:val="1"/>
        </w:rPr>
        <w:t>=</w:t>
      </w:r>
      <w:r>
        <w:rPr>
          <w:spacing w:val="1"/>
          <w:position w:val="1"/>
        </w:rPr>
        <w:t xml:space="preserve"> </w:t>
      </w:r>
      <w:r>
        <w:rPr>
          <w:position w:val="1"/>
        </w:rPr>
        <w:t>h</w:t>
      </w:r>
      <w:r>
        <w:rPr>
          <w:sz w:val="11"/>
        </w:rPr>
        <w:t>3</w:t>
      </w:r>
      <w:r>
        <w:rPr>
          <w:position w:val="1"/>
        </w:rPr>
        <w:t>（</w:t>
      </w:r>
      <w:r>
        <w:rPr>
          <w:position w:val="1"/>
        </w:rPr>
        <w:t>h</w:t>
      </w:r>
      <w:r>
        <w:rPr>
          <w:sz w:val="11"/>
        </w:rPr>
        <w:t>4</w:t>
      </w:r>
      <w:r>
        <w:rPr>
          <w:position w:val="1"/>
        </w:rPr>
        <w:t>）</w:t>
      </w:r>
      <w:r>
        <w:rPr>
          <w:position w:val="1"/>
        </w:rPr>
        <w:t>/</w:t>
      </w:r>
      <w:r>
        <w:rPr>
          <w:spacing w:val="-2"/>
          <w:position w:val="1"/>
        </w:rPr>
        <w:t xml:space="preserve"> </w:t>
      </w:r>
      <w:r>
        <w:rPr>
          <w:position w:val="1"/>
        </w:rPr>
        <w:t>W</w:t>
      </w:r>
      <w:r>
        <w:rPr>
          <w:position w:val="1"/>
        </w:rPr>
        <w:t>（</w:t>
      </w:r>
      <w:r>
        <w:rPr>
          <w:position w:val="1"/>
        </w:rPr>
        <w:t>H</w:t>
      </w:r>
      <w:r>
        <w:rPr>
          <w:position w:val="1"/>
        </w:rPr>
        <w:t>）</w:t>
      </w:r>
      <w:r>
        <w:rPr>
          <w:position w:val="1"/>
        </w:rPr>
        <w:t>×1000</w:t>
      </w:r>
      <w:r>
        <w:rPr>
          <w:position w:val="1"/>
        </w:rPr>
        <w:tab/>
      </w:r>
      <w:r>
        <w:rPr>
          <w:position w:val="1"/>
        </w:rPr>
        <w:t>（</w:t>
      </w:r>
      <w:r>
        <w:rPr>
          <w:position w:val="1"/>
        </w:rPr>
        <w:t>2</w:t>
      </w:r>
      <w:r>
        <w:rPr>
          <w:position w:val="1"/>
        </w:rPr>
        <w:t>）</w:t>
      </w:r>
      <w:r>
        <w:rPr>
          <w:position w:val="1"/>
        </w:rPr>
        <w:t xml:space="preserve"> </w:t>
      </w:r>
    </w:p>
    <w:p w14:paraId="455BE0BD" w14:textId="77777777" w:rsidR="00A71EEF" w:rsidRDefault="00A71EEF">
      <w:pPr>
        <w:pStyle w:val="a3"/>
        <w:rPr>
          <w:sz w:val="18"/>
        </w:rPr>
      </w:pPr>
    </w:p>
    <w:p w14:paraId="70C996D6" w14:textId="77777777" w:rsidR="00A71EEF" w:rsidRDefault="0081115D">
      <w:pPr>
        <w:pStyle w:val="a3"/>
        <w:spacing w:line="446" w:lineRule="auto"/>
        <w:ind w:left="1469" w:right="3923" w:hanging="632"/>
      </w:pPr>
      <w:r>
        <w:rPr>
          <w:position w:val="1"/>
        </w:rPr>
        <w:t>式中</w:t>
      </w:r>
      <w:r>
        <w:rPr>
          <w:position w:val="1"/>
        </w:rPr>
        <w:t xml:space="preserve"> B</w:t>
      </w:r>
      <w:r>
        <w:rPr>
          <w:sz w:val="11"/>
        </w:rPr>
        <w:t>1</w:t>
      </w:r>
      <w:r>
        <w:rPr>
          <w:position w:val="1"/>
        </w:rPr>
        <w:t>——</w:t>
      </w:r>
      <w:r>
        <w:rPr>
          <w:position w:val="1"/>
        </w:rPr>
        <w:t>门扇宽度方向弯曲度，单位为千分之一（</w:t>
      </w:r>
      <w:r>
        <w:rPr>
          <w:position w:val="1"/>
        </w:rPr>
        <w:t>‰</w:t>
      </w:r>
      <w:r>
        <w:rPr>
          <w:position w:val="1"/>
        </w:rPr>
        <w:t>）；</w:t>
      </w:r>
      <w:r>
        <w:rPr>
          <w:position w:val="1"/>
        </w:rPr>
        <w:t xml:space="preserve"> B</w:t>
      </w:r>
      <w:r>
        <w:rPr>
          <w:sz w:val="11"/>
        </w:rPr>
        <w:t>2</w:t>
      </w:r>
      <w:r>
        <w:rPr>
          <w:position w:val="1"/>
        </w:rPr>
        <w:t>——</w:t>
      </w:r>
      <w:r>
        <w:rPr>
          <w:position w:val="1"/>
        </w:rPr>
        <w:t>门扇高度方向弯曲度，单位为千分之一（</w:t>
      </w:r>
      <w:r>
        <w:rPr>
          <w:position w:val="1"/>
        </w:rPr>
        <w:t>‰</w:t>
      </w:r>
      <w:r>
        <w:rPr>
          <w:position w:val="1"/>
        </w:rPr>
        <w:t>）；</w:t>
      </w:r>
      <w:r>
        <w:rPr>
          <w:position w:val="1"/>
        </w:rPr>
        <w:t xml:space="preserve"> h</w:t>
      </w:r>
      <w:r>
        <w:rPr>
          <w:sz w:val="11"/>
        </w:rPr>
        <w:t>3</w:t>
      </w:r>
      <w:r>
        <w:rPr>
          <w:position w:val="1"/>
        </w:rPr>
        <w:t>——</w:t>
      </w:r>
      <w:r>
        <w:rPr>
          <w:position w:val="1"/>
        </w:rPr>
        <w:t>门扇宽度方向弯曲度值，单位为毫米（</w:t>
      </w:r>
      <w:r>
        <w:rPr>
          <w:position w:val="1"/>
        </w:rPr>
        <w:t>mm</w:t>
      </w:r>
      <w:r>
        <w:rPr>
          <w:position w:val="1"/>
        </w:rPr>
        <w:t>）；</w:t>
      </w:r>
      <w:r>
        <w:rPr>
          <w:position w:val="1"/>
        </w:rPr>
        <w:t xml:space="preserve"> h</w:t>
      </w:r>
      <w:r>
        <w:rPr>
          <w:sz w:val="11"/>
        </w:rPr>
        <w:t>4</w:t>
      </w:r>
      <w:r>
        <w:rPr>
          <w:position w:val="1"/>
        </w:rPr>
        <w:t>——</w:t>
      </w:r>
      <w:r>
        <w:rPr>
          <w:position w:val="1"/>
        </w:rPr>
        <w:t>门扇高度方向弯曲度值，单位为毫米（</w:t>
      </w:r>
      <w:r>
        <w:rPr>
          <w:position w:val="1"/>
        </w:rPr>
        <w:t>mm</w:t>
      </w:r>
      <w:r>
        <w:rPr>
          <w:position w:val="1"/>
        </w:rPr>
        <w:t>）；</w:t>
      </w:r>
      <w:r>
        <w:rPr>
          <w:position w:val="1"/>
        </w:rPr>
        <w:t xml:space="preserve"> </w:t>
      </w:r>
      <w:r>
        <w:t>W——</w:t>
      </w:r>
      <w:r>
        <w:t>门扇宽度，单位为毫米（</w:t>
      </w:r>
      <w:r>
        <w:t>mm</w:t>
      </w:r>
      <w:r>
        <w:t>）；</w:t>
      </w:r>
      <w:r>
        <w:t xml:space="preserve"> </w:t>
      </w:r>
    </w:p>
    <w:p w14:paraId="00AC8A54" w14:textId="77777777" w:rsidR="00A71EEF" w:rsidRDefault="0081115D">
      <w:pPr>
        <w:pStyle w:val="a3"/>
        <w:spacing w:line="268" w:lineRule="exact"/>
        <w:ind w:left="1258"/>
      </w:pPr>
      <w:r>
        <w:t>H——</w:t>
      </w:r>
      <w:r>
        <w:t>门扇高度，单位为毫米（</w:t>
      </w:r>
      <w:r>
        <w:t>mm</w:t>
      </w:r>
      <w:r>
        <w:t>）。</w:t>
      </w:r>
      <w:r>
        <w:t xml:space="preserve"> </w:t>
      </w:r>
    </w:p>
    <w:p w14:paraId="76437248" w14:textId="77777777" w:rsidR="00A71EEF" w:rsidRDefault="00A71EEF">
      <w:pPr>
        <w:spacing w:line="268" w:lineRule="exact"/>
        <w:sectPr w:rsidR="00A71EEF">
          <w:pgSz w:w="11910" w:h="16850"/>
          <w:pgMar w:top="1600" w:right="0" w:bottom="1420" w:left="1260" w:header="0" w:footer="1159" w:gutter="0"/>
          <w:cols w:space="720"/>
        </w:sectPr>
      </w:pPr>
    </w:p>
    <w:p w14:paraId="14843616" w14:textId="77777777" w:rsidR="00A71EEF" w:rsidRDefault="0081115D">
      <w:pPr>
        <w:pStyle w:val="a3"/>
        <w:spacing w:before="47"/>
        <w:ind w:left="838"/>
      </w:pPr>
      <w:r>
        <w:t>注：括号内计算门扇高度方向弯曲度。</w:t>
      </w:r>
      <w:r>
        <w:t xml:space="preserve"> </w:t>
      </w:r>
    </w:p>
    <w:p w14:paraId="2F1BA7A9" w14:textId="77777777" w:rsidR="00A71EEF" w:rsidRDefault="0081115D">
      <w:pPr>
        <w:pStyle w:val="a3"/>
        <w:spacing w:before="8"/>
        <w:rPr>
          <w:sz w:val="14"/>
        </w:rPr>
      </w:pPr>
      <w:r>
        <w:rPr>
          <w:noProof/>
        </w:rPr>
        <w:drawing>
          <wp:anchor distT="0" distB="0" distL="0" distR="0" simplePos="0" relativeHeight="251598336" behindDoc="0" locked="0" layoutInCell="1" allowOverlap="1" wp14:anchorId="771D286E" wp14:editId="34A50597">
            <wp:simplePos x="0" y="0"/>
            <wp:positionH relativeFrom="page">
              <wp:posOffset>1294090</wp:posOffset>
            </wp:positionH>
            <wp:positionV relativeFrom="paragraph">
              <wp:posOffset>144232</wp:posOffset>
            </wp:positionV>
            <wp:extent cx="4729119" cy="2438400"/>
            <wp:effectExtent l="0" t="0" r="0" b="0"/>
            <wp:wrapTopAndBottom/>
            <wp:docPr id="367" name="image2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220.jpeg"/>
                    <pic:cNvPicPr/>
                  </pic:nvPicPr>
                  <pic:blipFill>
                    <a:blip r:embed="rId261" cstate="print"/>
                    <a:stretch>
                      <a:fillRect/>
                    </a:stretch>
                  </pic:blipFill>
                  <pic:spPr>
                    <a:xfrm>
                      <a:off x="0" y="0"/>
                      <a:ext cx="4729119" cy="2438400"/>
                    </a:xfrm>
                    <a:prstGeom prst="rect">
                      <a:avLst/>
                    </a:prstGeom>
                  </pic:spPr>
                </pic:pic>
              </a:graphicData>
            </a:graphic>
          </wp:anchor>
        </w:drawing>
      </w:r>
    </w:p>
    <w:p w14:paraId="52FBC4AD" w14:textId="77777777" w:rsidR="00A71EEF" w:rsidRDefault="00A71EEF">
      <w:pPr>
        <w:pStyle w:val="a3"/>
        <w:rPr>
          <w:sz w:val="20"/>
        </w:rPr>
      </w:pPr>
    </w:p>
    <w:p w14:paraId="1FB5093A" w14:textId="77777777" w:rsidR="00A71EEF" w:rsidRDefault="00A71EEF">
      <w:pPr>
        <w:pStyle w:val="a3"/>
        <w:rPr>
          <w:sz w:val="20"/>
        </w:rPr>
      </w:pPr>
    </w:p>
    <w:p w14:paraId="7F2FAA84" w14:textId="77777777" w:rsidR="00A71EEF" w:rsidRDefault="00A71EEF">
      <w:pPr>
        <w:pStyle w:val="a3"/>
      </w:pPr>
    </w:p>
    <w:p w14:paraId="62AD8FD9" w14:textId="77777777" w:rsidR="00A71EEF" w:rsidRDefault="0081115D">
      <w:pPr>
        <w:pStyle w:val="6"/>
        <w:ind w:right="490"/>
        <w:jc w:val="center"/>
        <w:rPr>
          <w:b w:val="0"/>
        </w:rPr>
      </w:pPr>
      <w:r>
        <w:t>图</w:t>
      </w:r>
      <w:r>
        <w:t xml:space="preserve"> 9 </w:t>
      </w:r>
      <w:r>
        <w:t>门扇弯曲度测量示意图</w:t>
      </w:r>
      <w:r>
        <w:rPr>
          <w:w w:val="99"/>
        </w:rPr>
        <w:t xml:space="preserve"> </w:t>
      </w:r>
      <w:r>
        <w:t xml:space="preserve"> </w:t>
      </w:r>
      <w:r>
        <w:rPr>
          <w:b w:val="0"/>
        </w:rPr>
        <w:t xml:space="preserve"> </w:t>
      </w:r>
    </w:p>
    <w:p w14:paraId="37746873" w14:textId="77777777" w:rsidR="00A71EEF" w:rsidRDefault="00A71EEF">
      <w:pPr>
        <w:pStyle w:val="a3"/>
        <w:rPr>
          <w:sz w:val="20"/>
        </w:rPr>
      </w:pPr>
    </w:p>
    <w:p w14:paraId="07D7DDD8" w14:textId="77777777" w:rsidR="00A71EEF" w:rsidRDefault="0081115D">
      <w:pPr>
        <w:pStyle w:val="a3"/>
        <w:spacing w:before="11"/>
        <w:rPr>
          <w:sz w:val="17"/>
        </w:rPr>
      </w:pPr>
      <w:r>
        <w:rPr>
          <w:noProof/>
        </w:rPr>
        <w:drawing>
          <wp:anchor distT="0" distB="0" distL="0" distR="0" simplePos="0" relativeHeight="251599360" behindDoc="0" locked="0" layoutInCell="1" allowOverlap="1" wp14:anchorId="39D42E9F" wp14:editId="1C0D6F84">
            <wp:simplePos x="0" y="0"/>
            <wp:positionH relativeFrom="page">
              <wp:posOffset>2933696</wp:posOffset>
            </wp:positionH>
            <wp:positionV relativeFrom="paragraph">
              <wp:posOffset>170305</wp:posOffset>
            </wp:positionV>
            <wp:extent cx="2054250" cy="3048000"/>
            <wp:effectExtent l="0" t="0" r="0" b="0"/>
            <wp:wrapTopAndBottom/>
            <wp:docPr id="369" name="image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221.jpeg"/>
                    <pic:cNvPicPr/>
                  </pic:nvPicPr>
                  <pic:blipFill>
                    <a:blip r:embed="rId262" cstate="print"/>
                    <a:stretch>
                      <a:fillRect/>
                    </a:stretch>
                  </pic:blipFill>
                  <pic:spPr>
                    <a:xfrm>
                      <a:off x="0" y="0"/>
                      <a:ext cx="2054250" cy="3048000"/>
                    </a:xfrm>
                    <a:prstGeom prst="rect">
                      <a:avLst/>
                    </a:prstGeom>
                  </pic:spPr>
                </pic:pic>
              </a:graphicData>
            </a:graphic>
          </wp:anchor>
        </w:drawing>
      </w:r>
    </w:p>
    <w:p w14:paraId="7F6667AE" w14:textId="77777777" w:rsidR="00A71EEF" w:rsidRDefault="00A71EEF">
      <w:pPr>
        <w:pStyle w:val="a3"/>
        <w:rPr>
          <w:sz w:val="20"/>
        </w:rPr>
      </w:pPr>
    </w:p>
    <w:p w14:paraId="16A4719A" w14:textId="77777777" w:rsidR="00A71EEF" w:rsidRDefault="00A71EEF">
      <w:pPr>
        <w:pStyle w:val="a3"/>
        <w:rPr>
          <w:sz w:val="20"/>
        </w:rPr>
      </w:pPr>
    </w:p>
    <w:p w14:paraId="3DA6F04B" w14:textId="77777777" w:rsidR="00A71EEF" w:rsidRDefault="00A71EEF">
      <w:pPr>
        <w:pStyle w:val="a3"/>
        <w:spacing w:before="10"/>
        <w:rPr>
          <w:sz w:val="18"/>
        </w:rPr>
      </w:pPr>
    </w:p>
    <w:p w14:paraId="485D54CC" w14:textId="77777777" w:rsidR="00A71EEF" w:rsidRDefault="0081115D">
      <w:pPr>
        <w:ind w:left="2571"/>
        <w:rPr>
          <w:sz w:val="21"/>
        </w:rPr>
      </w:pPr>
      <w:r>
        <w:rPr>
          <w:b/>
          <w:sz w:val="21"/>
        </w:rPr>
        <w:t>图</w:t>
      </w:r>
      <w:r>
        <w:rPr>
          <w:b/>
          <w:sz w:val="21"/>
        </w:rPr>
        <w:t xml:space="preserve"> 10 </w:t>
      </w:r>
      <w:r>
        <w:rPr>
          <w:b/>
          <w:sz w:val="21"/>
        </w:rPr>
        <w:t>门扇高度（宽度）方向弯曲度测量位置示意图</w:t>
      </w:r>
      <w:r>
        <w:rPr>
          <w:sz w:val="21"/>
        </w:rPr>
        <w:t xml:space="preserve"> </w:t>
      </w:r>
    </w:p>
    <w:p w14:paraId="3F8AF0FF" w14:textId="77777777" w:rsidR="00A71EEF" w:rsidRDefault="00A71EEF">
      <w:pPr>
        <w:pStyle w:val="a3"/>
        <w:rPr>
          <w:sz w:val="20"/>
        </w:rPr>
      </w:pPr>
    </w:p>
    <w:p w14:paraId="504C4D23" w14:textId="77777777" w:rsidR="00A71EEF" w:rsidRDefault="00A71EEF">
      <w:pPr>
        <w:pStyle w:val="a3"/>
        <w:rPr>
          <w:sz w:val="20"/>
        </w:rPr>
      </w:pPr>
    </w:p>
    <w:p w14:paraId="1A382424" w14:textId="77777777" w:rsidR="00A71EEF" w:rsidRDefault="00A71EEF">
      <w:pPr>
        <w:pStyle w:val="a3"/>
        <w:rPr>
          <w:sz w:val="20"/>
        </w:rPr>
      </w:pPr>
    </w:p>
    <w:p w14:paraId="76CF262F" w14:textId="77777777" w:rsidR="00A71EEF" w:rsidRDefault="00A71EEF">
      <w:pPr>
        <w:pStyle w:val="a3"/>
        <w:rPr>
          <w:sz w:val="20"/>
        </w:rPr>
      </w:pPr>
    </w:p>
    <w:p w14:paraId="03F8C041" w14:textId="77777777" w:rsidR="00A71EEF" w:rsidRDefault="00A71EEF">
      <w:pPr>
        <w:pStyle w:val="a3"/>
        <w:rPr>
          <w:sz w:val="20"/>
        </w:rPr>
      </w:pPr>
    </w:p>
    <w:p w14:paraId="78F435BB" w14:textId="77777777" w:rsidR="00A71EEF" w:rsidRDefault="00A71EEF">
      <w:pPr>
        <w:pStyle w:val="a3"/>
        <w:spacing w:before="8"/>
        <w:rPr>
          <w:sz w:val="29"/>
        </w:rPr>
      </w:pPr>
    </w:p>
    <w:p w14:paraId="4BBE4902" w14:textId="77777777" w:rsidR="00A71EEF" w:rsidRDefault="0081115D">
      <w:pPr>
        <w:pStyle w:val="a3"/>
        <w:spacing w:before="72"/>
        <w:ind w:right="495"/>
        <w:jc w:val="center"/>
      </w:pPr>
      <w:r>
        <w:t xml:space="preserve"> </w:t>
      </w:r>
    </w:p>
    <w:p w14:paraId="5E03B827" w14:textId="77777777" w:rsidR="00A71EEF" w:rsidRDefault="00A71EEF">
      <w:pPr>
        <w:jc w:val="center"/>
        <w:sectPr w:rsidR="00A71EEF">
          <w:pgSz w:w="11910" w:h="16850"/>
          <w:pgMar w:top="1220" w:right="0" w:bottom="1420" w:left="1260" w:header="0" w:footer="1159" w:gutter="0"/>
          <w:cols w:space="720"/>
        </w:sectPr>
      </w:pPr>
    </w:p>
    <w:p w14:paraId="4FBC959F" w14:textId="77777777" w:rsidR="00A71EEF" w:rsidRDefault="00A71EEF">
      <w:pPr>
        <w:pStyle w:val="a3"/>
        <w:rPr>
          <w:sz w:val="20"/>
        </w:rPr>
      </w:pPr>
    </w:p>
    <w:p w14:paraId="10C4CC5B" w14:textId="77777777" w:rsidR="00A71EEF" w:rsidRDefault="00A71EEF">
      <w:pPr>
        <w:pStyle w:val="a3"/>
        <w:spacing w:before="9"/>
        <w:rPr>
          <w:sz w:val="18"/>
        </w:rPr>
      </w:pPr>
    </w:p>
    <w:p w14:paraId="68E07F7F" w14:textId="77777777" w:rsidR="00A71EEF" w:rsidRDefault="0081115D">
      <w:pPr>
        <w:pStyle w:val="a3"/>
        <w:ind w:left="4167"/>
        <w:rPr>
          <w:sz w:val="20"/>
        </w:rPr>
      </w:pPr>
      <w:r>
        <w:rPr>
          <w:noProof/>
          <w:sz w:val="20"/>
        </w:rPr>
        <w:drawing>
          <wp:inline distT="0" distB="0" distL="0" distR="0" wp14:anchorId="4A7BE80E" wp14:editId="0E823768">
            <wp:extent cx="1519595" cy="2743200"/>
            <wp:effectExtent l="0" t="0" r="0" b="0"/>
            <wp:docPr id="371" name="image2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222.jpeg"/>
                    <pic:cNvPicPr/>
                  </pic:nvPicPr>
                  <pic:blipFill>
                    <a:blip r:embed="rId263" cstate="print"/>
                    <a:stretch>
                      <a:fillRect/>
                    </a:stretch>
                  </pic:blipFill>
                  <pic:spPr>
                    <a:xfrm>
                      <a:off x="0" y="0"/>
                      <a:ext cx="1519595" cy="2743200"/>
                    </a:xfrm>
                    <a:prstGeom prst="rect">
                      <a:avLst/>
                    </a:prstGeom>
                  </pic:spPr>
                </pic:pic>
              </a:graphicData>
            </a:graphic>
          </wp:inline>
        </w:drawing>
      </w:r>
    </w:p>
    <w:p w14:paraId="07880D12" w14:textId="77777777" w:rsidR="00A71EEF" w:rsidRDefault="00A71EEF">
      <w:pPr>
        <w:pStyle w:val="a3"/>
        <w:rPr>
          <w:sz w:val="20"/>
        </w:rPr>
      </w:pPr>
    </w:p>
    <w:p w14:paraId="096A2E87" w14:textId="77777777" w:rsidR="00A71EEF" w:rsidRDefault="00A71EEF">
      <w:pPr>
        <w:pStyle w:val="a3"/>
        <w:rPr>
          <w:sz w:val="20"/>
        </w:rPr>
      </w:pPr>
    </w:p>
    <w:p w14:paraId="4987B35B" w14:textId="77777777" w:rsidR="00A71EEF" w:rsidRDefault="00A71EEF">
      <w:pPr>
        <w:pStyle w:val="a3"/>
        <w:spacing w:before="9"/>
        <w:rPr>
          <w:sz w:val="17"/>
        </w:rPr>
      </w:pPr>
    </w:p>
    <w:p w14:paraId="75F87A61" w14:textId="77777777" w:rsidR="00A71EEF" w:rsidRDefault="0081115D">
      <w:pPr>
        <w:pStyle w:val="6"/>
        <w:spacing w:before="72"/>
        <w:ind w:left="3469"/>
      </w:pPr>
      <w:r>
        <w:rPr>
          <w:spacing w:val="-27"/>
        </w:rPr>
        <w:t>图</w:t>
      </w:r>
      <w:r>
        <w:rPr>
          <w:spacing w:val="-27"/>
        </w:rPr>
        <w:t xml:space="preserve"> </w:t>
      </w:r>
      <w:r>
        <w:t>11</w:t>
      </w:r>
      <w:r>
        <w:rPr>
          <w:spacing w:val="-2"/>
        </w:rPr>
        <w:t xml:space="preserve"> </w:t>
      </w:r>
      <w:r>
        <w:rPr>
          <w:spacing w:val="-2"/>
        </w:rPr>
        <w:t>门扇高度方向弯曲度示意图</w:t>
      </w:r>
      <w:r>
        <w:rPr>
          <w:w w:val="99"/>
        </w:rPr>
        <w:t xml:space="preserve"> </w:t>
      </w:r>
    </w:p>
    <w:p w14:paraId="587BD0A6" w14:textId="77777777" w:rsidR="00A71EEF" w:rsidRDefault="00A71EEF">
      <w:pPr>
        <w:pStyle w:val="a3"/>
        <w:rPr>
          <w:b/>
          <w:sz w:val="20"/>
        </w:rPr>
      </w:pPr>
    </w:p>
    <w:p w14:paraId="2100626C" w14:textId="77777777" w:rsidR="00A71EEF" w:rsidRDefault="00A71EEF">
      <w:pPr>
        <w:pStyle w:val="a3"/>
        <w:rPr>
          <w:b/>
          <w:sz w:val="20"/>
        </w:rPr>
      </w:pPr>
    </w:p>
    <w:p w14:paraId="26CC9537" w14:textId="77777777" w:rsidR="00A71EEF" w:rsidRDefault="00A71EEF">
      <w:pPr>
        <w:pStyle w:val="a3"/>
        <w:rPr>
          <w:b/>
          <w:sz w:val="20"/>
        </w:rPr>
      </w:pPr>
    </w:p>
    <w:p w14:paraId="11851981" w14:textId="77777777" w:rsidR="00A71EEF" w:rsidRDefault="0081115D">
      <w:pPr>
        <w:pStyle w:val="a3"/>
        <w:spacing w:before="11"/>
        <w:rPr>
          <w:b/>
          <w:sz w:val="12"/>
        </w:rPr>
      </w:pPr>
      <w:r>
        <w:rPr>
          <w:noProof/>
        </w:rPr>
        <w:drawing>
          <wp:anchor distT="0" distB="0" distL="0" distR="0" simplePos="0" relativeHeight="251600384" behindDoc="0" locked="0" layoutInCell="1" allowOverlap="1" wp14:anchorId="34944DD9" wp14:editId="387B5918">
            <wp:simplePos x="0" y="0"/>
            <wp:positionH relativeFrom="page">
              <wp:posOffset>2582419</wp:posOffset>
            </wp:positionH>
            <wp:positionV relativeFrom="paragraph">
              <wp:posOffset>129985</wp:posOffset>
            </wp:positionV>
            <wp:extent cx="2817086" cy="1905000"/>
            <wp:effectExtent l="0" t="0" r="0" b="0"/>
            <wp:wrapTopAndBottom/>
            <wp:docPr id="373" name="image2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223.jpeg"/>
                    <pic:cNvPicPr/>
                  </pic:nvPicPr>
                  <pic:blipFill>
                    <a:blip r:embed="rId264" cstate="print"/>
                    <a:stretch>
                      <a:fillRect/>
                    </a:stretch>
                  </pic:blipFill>
                  <pic:spPr>
                    <a:xfrm>
                      <a:off x="0" y="0"/>
                      <a:ext cx="2817086" cy="1905000"/>
                    </a:xfrm>
                    <a:prstGeom prst="rect">
                      <a:avLst/>
                    </a:prstGeom>
                  </pic:spPr>
                </pic:pic>
              </a:graphicData>
            </a:graphic>
          </wp:anchor>
        </w:drawing>
      </w:r>
    </w:p>
    <w:p w14:paraId="3A301805" w14:textId="77777777" w:rsidR="00A71EEF" w:rsidRDefault="00A71EEF">
      <w:pPr>
        <w:pStyle w:val="a3"/>
        <w:rPr>
          <w:b/>
          <w:sz w:val="26"/>
        </w:rPr>
      </w:pPr>
    </w:p>
    <w:p w14:paraId="62164D75" w14:textId="77777777" w:rsidR="00A71EEF" w:rsidRDefault="0081115D">
      <w:pPr>
        <w:spacing w:before="71"/>
        <w:ind w:left="3469"/>
        <w:rPr>
          <w:b/>
          <w:sz w:val="21"/>
        </w:rPr>
      </w:pPr>
      <w:r>
        <w:rPr>
          <w:b/>
          <w:spacing w:val="-27"/>
          <w:sz w:val="21"/>
        </w:rPr>
        <w:t>图</w:t>
      </w:r>
      <w:r>
        <w:rPr>
          <w:b/>
          <w:spacing w:val="-27"/>
          <w:sz w:val="21"/>
        </w:rPr>
        <w:t xml:space="preserve"> </w:t>
      </w:r>
      <w:r>
        <w:rPr>
          <w:b/>
          <w:sz w:val="21"/>
        </w:rPr>
        <w:t>12</w:t>
      </w:r>
      <w:r>
        <w:rPr>
          <w:b/>
          <w:spacing w:val="-2"/>
          <w:sz w:val="21"/>
        </w:rPr>
        <w:t xml:space="preserve"> </w:t>
      </w:r>
      <w:r>
        <w:rPr>
          <w:b/>
          <w:spacing w:val="-2"/>
          <w:sz w:val="21"/>
        </w:rPr>
        <w:t>门扇宽度方向弯曲度示意图</w:t>
      </w:r>
      <w:r>
        <w:rPr>
          <w:b/>
          <w:w w:val="99"/>
          <w:sz w:val="21"/>
        </w:rPr>
        <w:t xml:space="preserve"> </w:t>
      </w:r>
    </w:p>
    <w:p w14:paraId="0CA672F3" w14:textId="77777777" w:rsidR="00A71EEF" w:rsidRDefault="00A71EEF">
      <w:pPr>
        <w:pStyle w:val="a3"/>
        <w:spacing w:before="12"/>
        <w:rPr>
          <w:b/>
          <w:sz w:val="17"/>
        </w:rPr>
      </w:pPr>
    </w:p>
    <w:p w14:paraId="689487E7" w14:textId="77777777" w:rsidR="00A71EEF" w:rsidRDefault="0081115D">
      <w:pPr>
        <w:ind w:left="838"/>
        <w:rPr>
          <w:sz w:val="21"/>
        </w:rPr>
      </w:pPr>
      <w:r>
        <w:rPr>
          <w:position w:val="1"/>
          <w:sz w:val="21"/>
        </w:rPr>
        <w:t xml:space="preserve"> </w:t>
      </w:r>
      <w:r>
        <w:rPr>
          <w:position w:val="1"/>
          <w:sz w:val="21"/>
        </w:rPr>
        <w:t xml:space="preserve"> </w:t>
      </w:r>
      <w:r>
        <w:rPr>
          <w:b/>
          <w:position w:val="1"/>
          <w:sz w:val="21"/>
        </w:rPr>
        <w:t>6.8.4</w:t>
      </w:r>
      <w:r>
        <w:rPr>
          <w:b/>
          <w:spacing w:val="105"/>
          <w:position w:val="1"/>
          <w:sz w:val="21"/>
        </w:rPr>
        <w:t xml:space="preserve"> </w:t>
      </w:r>
      <w:r>
        <w:rPr>
          <w:spacing w:val="-3"/>
          <w:position w:val="1"/>
          <w:sz w:val="21"/>
        </w:rPr>
        <w:t>门框内裁口两对角线长度差</w:t>
      </w:r>
      <w:r>
        <w:rPr>
          <w:position w:val="1"/>
          <w:sz w:val="21"/>
        </w:rPr>
        <w:t>|L</w:t>
      </w:r>
      <w:r>
        <w:rPr>
          <w:sz w:val="11"/>
        </w:rPr>
        <w:t>1</w:t>
      </w:r>
      <w:r>
        <w:rPr>
          <w:position w:val="1"/>
          <w:sz w:val="21"/>
        </w:rPr>
        <w:t>′-L</w:t>
      </w:r>
      <w:r>
        <w:rPr>
          <w:sz w:val="11"/>
        </w:rPr>
        <w:t>2</w:t>
      </w:r>
      <w:r>
        <w:rPr>
          <w:position w:val="1"/>
          <w:sz w:val="21"/>
        </w:rPr>
        <w:t>′|</w:t>
      </w:r>
      <w:r>
        <w:rPr>
          <w:position w:val="1"/>
          <w:sz w:val="21"/>
        </w:rPr>
        <w:t>（</w:t>
      </w:r>
      <w:r>
        <w:rPr>
          <w:spacing w:val="-18"/>
          <w:position w:val="1"/>
          <w:sz w:val="21"/>
        </w:rPr>
        <w:t>见图</w:t>
      </w:r>
      <w:r>
        <w:rPr>
          <w:spacing w:val="-18"/>
          <w:position w:val="1"/>
          <w:sz w:val="21"/>
        </w:rPr>
        <w:t xml:space="preserve"> </w:t>
      </w:r>
      <w:r>
        <w:rPr>
          <w:position w:val="1"/>
          <w:sz w:val="21"/>
        </w:rPr>
        <w:t>13</w:t>
      </w:r>
      <w:r>
        <w:rPr>
          <w:position w:val="1"/>
          <w:sz w:val="21"/>
        </w:rPr>
        <w:t>）</w:t>
      </w:r>
      <w:r>
        <w:rPr>
          <w:position w:val="1"/>
          <w:sz w:val="21"/>
        </w:rPr>
        <w:t xml:space="preserve"> </w:t>
      </w:r>
    </w:p>
    <w:p w14:paraId="252E8887" w14:textId="77777777" w:rsidR="00A71EEF" w:rsidRDefault="00A71EEF">
      <w:pPr>
        <w:pStyle w:val="a3"/>
        <w:rPr>
          <w:sz w:val="18"/>
        </w:rPr>
      </w:pPr>
    </w:p>
    <w:p w14:paraId="05387432" w14:textId="77777777" w:rsidR="00A71EEF" w:rsidRDefault="0081115D">
      <w:pPr>
        <w:pStyle w:val="a3"/>
        <w:ind w:left="838"/>
      </w:pPr>
      <w:r>
        <w:t xml:space="preserve"> </w:t>
      </w:r>
      <w:r>
        <w:t>采用钢卷尺测量。</w:t>
      </w:r>
      <w:r>
        <w:t xml:space="preserve"> </w:t>
      </w:r>
    </w:p>
    <w:p w14:paraId="61CE4AC6" w14:textId="77777777" w:rsidR="00A71EEF" w:rsidRDefault="00A71EEF">
      <w:pPr>
        <w:pStyle w:val="a3"/>
        <w:rPr>
          <w:sz w:val="20"/>
        </w:rPr>
      </w:pPr>
    </w:p>
    <w:p w14:paraId="42177901" w14:textId="77777777" w:rsidR="00A71EEF" w:rsidRDefault="00A71EEF">
      <w:pPr>
        <w:pStyle w:val="a3"/>
        <w:rPr>
          <w:sz w:val="20"/>
        </w:rPr>
      </w:pPr>
    </w:p>
    <w:p w14:paraId="1989E47F" w14:textId="77777777" w:rsidR="00A71EEF" w:rsidRDefault="00A71EEF">
      <w:pPr>
        <w:pStyle w:val="a3"/>
        <w:rPr>
          <w:sz w:val="20"/>
        </w:rPr>
      </w:pPr>
    </w:p>
    <w:p w14:paraId="5A0F9A67" w14:textId="77777777" w:rsidR="00A71EEF" w:rsidRDefault="00A71EEF">
      <w:pPr>
        <w:pStyle w:val="a3"/>
        <w:rPr>
          <w:sz w:val="20"/>
        </w:rPr>
      </w:pPr>
    </w:p>
    <w:p w14:paraId="23A33916" w14:textId="77777777" w:rsidR="00A71EEF" w:rsidRDefault="00A71EEF">
      <w:pPr>
        <w:pStyle w:val="a3"/>
        <w:rPr>
          <w:sz w:val="20"/>
        </w:rPr>
      </w:pPr>
    </w:p>
    <w:p w14:paraId="47D1C866" w14:textId="77777777" w:rsidR="00A71EEF" w:rsidRDefault="00A71EEF">
      <w:pPr>
        <w:pStyle w:val="a3"/>
        <w:spacing w:before="9"/>
        <w:rPr>
          <w:sz w:val="29"/>
        </w:rPr>
      </w:pPr>
    </w:p>
    <w:p w14:paraId="5601CEDD" w14:textId="77777777" w:rsidR="00A71EEF" w:rsidRDefault="0081115D">
      <w:pPr>
        <w:pStyle w:val="a3"/>
        <w:spacing w:before="71"/>
        <w:ind w:left="838"/>
      </w:pPr>
      <w:r>
        <w:t xml:space="preserve"> </w:t>
      </w:r>
    </w:p>
    <w:p w14:paraId="1E69DE03" w14:textId="77777777" w:rsidR="00A71EEF" w:rsidRDefault="00A71EEF">
      <w:pPr>
        <w:sectPr w:rsidR="00A71EEF">
          <w:pgSz w:w="11910" w:h="16850"/>
          <w:pgMar w:top="1600" w:right="0" w:bottom="1420" w:left="1260" w:header="0" w:footer="1159" w:gutter="0"/>
          <w:cols w:space="720"/>
        </w:sectPr>
      </w:pPr>
    </w:p>
    <w:p w14:paraId="5E76D7E1" w14:textId="77777777" w:rsidR="00A71EEF" w:rsidRDefault="0081115D">
      <w:pPr>
        <w:pStyle w:val="a3"/>
        <w:ind w:left="1115"/>
        <w:rPr>
          <w:sz w:val="20"/>
        </w:rPr>
      </w:pPr>
      <w:r>
        <w:rPr>
          <w:noProof/>
          <w:sz w:val="20"/>
        </w:rPr>
        <w:drawing>
          <wp:inline distT="0" distB="0" distL="0" distR="0" wp14:anchorId="6F15D0B2" wp14:editId="32F43AD8">
            <wp:extent cx="3897407" cy="1828800"/>
            <wp:effectExtent l="0" t="0" r="0" b="0"/>
            <wp:docPr id="375" name="image2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224.jpeg"/>
                    <pic:cNvPicPr/>
                  </pic:nvPicPr>
                  <pic:blipFill>
                    <a:blip r:embed="rId265" cstate="print"/>
                    <a:stretch>
                      <a:fillRect/>
                    </a:stretch>
                  </pic:blipFill>
                  <pic:spPr>
                    <a:xfrm>
                      <a:off x="0" y="0"/>
                      <a:ext cx="3897407" cy="1828800"/>
                    </a:xfrm>
                    <a:prstGeom prst="rect">
                      <a:avLst/>
                    </a:prstGeom>
                  </pic:spPr>
                </pic:pic>
              </a:graphicData>
            </a:graphic>
          </wp:inline>
        </w:drawing>
      </w:r>
    </w:p>
    <w:p w14:paraId="1044B4D3" w14:textId="77777777" w:rsidR="00A71EEF" w:rsidRDefault="00A71EEF">
      <w:pPr>
        <w:pStyle w:val="a3"/>
        <w:rPr>
          <w:sz w:val="20"/>
        </w:rPr>
      </w:pPr>
    </w:p>
    <w:p w14:paraId="36D9AD36" w14:textId="77777777" w:rsidR="00A71EEF" w:rsidRDefault="00A71EEF">
      <w:pPr>
        <w:pStyle w:val="a3"/>
        <w:rPr>
          <w:sz w:val="20"/>
        </w:rPr>
      </w:pPr>
    </w:p>
    <w:p w14:paraId="57D6D10C" w14:textId="77777777" w:rsidR="00A71EEF" w:rsidRDefault="00A71EEF">
      <w:pPr>
        <w:pStyle w:val="a3"/>
        <w:rPr>
          <w:sz w:val="19"/>
        </w:rPr>
      </w:pPr>
    </w:p>
    <w:p w14:paraId="671EB0CB" w14:textId="77777777" w:rsidR="00A71EEF" w:rsidRDefault="0081115D">
      <w:pPr>
        <w:pStyle w:val="6"/>
        <w:ind w:left="2941"/>
      </w:pPr>
      <w:r>
        <w:t>图</w:t>
      </w:r>
      <w:r>
        <w:t xml:space="preserve"> 13 </w:t>
      </w:r>
      <w:r>
        <w:t>门框内裁口对角线长度测量位置示意图</w:t>
      </w:r>
      <w:r>
        <w:rPr>
          <w:w w:val="99"/>
        </w:rPr>
        <w:t xml:space="preserve"> </w:t>
      </w:r>
    </w:p>
    <w:p w14:paraId="1F714A1E" w14:textId="77777777" w:rsidR="00A71EEF" w:rsidRDefault="00A71EEF">
      <w:pPr>
        <w:pStyle w:val="a3"/>
        <w:spacing w:before="5"/>
        <w:rPr>
          <w:b/>
          <w:sz w:val="12"/>
        </w:rPr>
      </w:pPr>
    </w:p>
    <w:p w14:paraId="583529BA" w14:textId="77777777" w:rsidR="00A71EEF" w:rsidRDefault="0081115D">
      <w:pPr>
        <w:pStyle w:val="a4"/>
        <w:numPr>
          <w:ilvl w:val="1"/>
          <w:numId w:val="548"/>
        </w:numPr>
        <w:tabs>
          <w:tab w:val="left" w:pos="1159"/>
        </w:tabs>
        <w:spacing w:before="72"/>
        <w:ind w:hanging="319"/>
        <w:rPr>
          <w:b/>
          <w:sz w:val="21"/>
        </w:rPr>
      </w:pPr>
      <w:r>
        <w:rPr>
          <w:spacing w:val="-3"/>
          <w:sz w:val="21"/>
        </w:rPr>
        <w:t>配合公差</w:t>
      </w:r>
      <w:r>
        <w:rPr>
          <w:b/>
          <w:w w:val="99"/>
          <w:sz w:val="21"/>
        </w:rPr>
        <w:t xml:space="preserve"> </w:t>
      </w:r>
    </w:p>
    <w:p w14:paraId="0A8EB3B1" w14:textId="77777777" w:rsidR="00A71EEF" w:rsidRDefault="00A71EEF">
      <w:pPr>
        <w:pStyle w:val="a3"/>
        <w:spacing w:before="12"/>
        <w:rPr>
          <w:b/>
          <w:sz w:val="17"/>
        </w:rPr>
      </w:pPr>
    </w:p>
    <w:p w14:paraId="1F904F17" w14:textId="77777777" w:rsidR="00A71EEF" w:rsidRDefault="0081115D">
      <w:pPr>
        <w:pStyle w:val="a4"/>
        <w:numPr>
          <w:ilvl w:val="2"/>
          <w:numId w:val="548"/>
        </w:numPr>
        <w:tabs>
          <w:tab w:val="left" w:pos="1370"/>
        </w:tabs>
        <w:ind w:hanging="530"/>
        <w:rPr>
          <w:b/>
          <w:sz w:val="21"/>
        </w:rPr>
      </w:pPr>
      <w:r>
        <w:rPr>
          <w:spacing w:val="-3"/>
          <w:sz w:val="21"/>
        </w:rPr>
        <w:t>门扇与门框的搭接尺寸（</w:t>
      </w:r>
      <w:r>
        <w:rPr>
          <w:spacing w:val="-19"/>
          <w:sz w:val="21"/>
        </w:rPr>
        <w:t>见图</w:t>
      </w:r>
      <w:r>
        <w:rPr>
          <w:spacing w:val="-19"/>
          <w:sz w:val="21"/>
        </w:rPr>
        <w:t xml:space="preserve"> </w:t>
      </w:r>
      <w:r>
        <w:rPr>
          <w:sz w:val="21"/>
        </w:rPr>
        <w:t>14</w:t>
      </w:r>
      <w:r>
        <w:rPr>
          <w:sz w:val="21"/>
        </w:rPr>
        <w:t>）</w:t>
      </w:r>
      <w:r>
        <w:rPr>
          <w:b/>
          <w:w w:val="99"/>
          <w:sz w:val="21"/>
        </w:rPr>
        <w:t xml:space="preserve"> </w:t>
      </w:r>
    </w:p>
    <w:p w14:paraId="7E36EB43" w14:textId="77777777" w:rsidR="00A71EEF" w:rsidRDefault="00A71EEF">
      <w:pPr>
        <w:pStyle w:val="a3"/>
        <w:spacing w:before="2"/>
        <w:rPr>
          <w:b/>
          <w:sz w:val="18"/>
        </w:rPr>
      </w:pPr>
    </w:p>
    <w:p w14:paraId="1BEC553D" w14:textId="77777777" w:rsidR="00A71EEF" w:rsidRDefault="0081115D">
      <w:pPr>
        <w:pStyle w:val="a4"/>
        <w:numPr>
          <w:ilvl w:val="3"/>
          <w:numId w:val="548"/>
        </w:numPr>
        <w:tabs>
          <w:tab w:val="left" w:pos="1576"/>
        </w:tabs>
        <w:spacing w:line="446" w:lineRule="auto"/>
        <w:ind w:left="418" w:right="1609" w:firstLine="419"/>
        <w:rPr>
          <w:sz w:val="21"/>
        </w:rPr>
      </w:pPr>
      <w:r>
        <w:rPr>
          <w:spacing w:val="-3"/>
          <w:sz w:val="21"/>
        </w:rPr>
        <w:t>按使用状态，将试件安装在试验框架上，门扇处于关闭状态，用划刀在门扇与门框相交的左边、右边和上边的中部划线作出标记后，用钢板尺测量搭接宽度。</w:t>
      </w:r>
      <w:r>
        <w:rPr>
          <w:spacing w:val="-3"/>
          <w:sz w:val="21"/>
        </w:rPr>
        <w:t xml:space="preserve"> </w:t>
      </w:r>
    </w:p>
    <w:p w14:paraId="548ECE37" w14:textId="77777777" w:rsidR="00A71EEF" w:rsidRDefault="0081115D">
      <w:pPr>
        <w:pStyle w:val="a4"/>
        <w:numPr>
          <w:ilvl w:val="3"/>
          <w:numId w:val="548"/>
        </w:numPr>
        <w:tabs>
          <w:tab w:val="left" w:pos="1576"/>
        </w:tabs>
        <w:spacing w:line="267" w:lineRule="exact"/>
        <w:rPr>
          <w:sz w:val="21"/>
        </w:rPr>
      </w:pPr>
      <w:r>
        <w:rPr>
          <w:spacing w:val="-3"/>
          <w:sz w:val="21"/>
        </w:rPr>
        <w:t>门扇与门框的搭接宽度取测量值的最小值。</w:t>
      </w:r>
      <w:r>
        <w:rPr>
          <w:spacing w:val="-3"/>
          <w:sz w:val="21"/>
        </w:rPr>
        <w:t xml:space="preserve"> </w:t>
      </w:r>
    </w:p>
    <w:p w14:paraId="0589F1A5" w14:textId="77777777" w:rsidR="00A71EEF" w:rsidRDefault="00A71EEF">
      <w:pPr>
        <w:pStyle w:val="a3"/>
        <w:spacing w:before="2"/>
        <w:rPr>
          <w:sz w:val="18"/>
        </w:rPr>
      </w:pPr>
    </w:p>
    <w:p w14:paraId="1807FC5E" w14:textId="77777777" w:rsidR="00A71EEF" w:rsidRDefault="0081115D">
      <w:pPr>
        <w:pStyle w:val="a4"/>
        <w:numPr>
          <w:ilvl w:val="2"/>
          <w:numId w:val="548"/>
        </w:numPr>
        <w:tabs>
          <w:tab w:val="left" w:pos="1370"/>
        </w:tabs>
        <w:ind w:hanging="530"/>
        <w:jc w:val="both"/>
        <w:rPr>
          <w:b/>
          <w:sz w:val="21"/>
        </w:rPr>
      </w:pPr>
      <w:r>
        <w:rPr>
          <w:spacing w:val="-3"/>
          <w:sz w:val="21"/>
        </w:rPr>
        <w:t>门扇与门框的配合活动间隙</w:t>
      </w:r>
      <w:r>
        <w:rPr>
          <w:b/>
          <w:w w:val="99"/>
          <w:sz w:val="21"/>
        </w:rPr>
        <w:t xml:space="preserve"> </w:t>
      </w:r>
    </w:p>
    <w:p w14:paraId="0569692F" w14:textId="77777777" w:rsidR="00A71EEF" w:rsidRDefault="00A71EEF">
      <w:pPr>
        <w:pStyle w:val="a3"/>
        <w:rPr>
          <w:b/>
          <w:sz w:val="18"/>
        </w:rPr>
      </w:pPr>
    </w:p>
    <w:p w14:paraId="37F4EB0B" w14:textId="77777777" w:rsidR="00A71EEF" w:rsidRDefault="0081115D">
      <w:pPr>
        <w:pStyle w:val="a3"/>
        <w:spacing w:line="446" w:lineRule="auto"/>
        <w:ind w:left="418" w:right="1608" w:firstLine="419"/>
        <w:jc w:val="both"/>
      </w:pPr>
      <w:r>
        <w:t>按使用状态，将试件安装在试验框架上，门扇处于关闭状态，门扇与门框有合页一侧、有锁一侧，以及门扇与上框、下框，双扇、多扇门的门扇之间的活动间隙以塞尺最大插入厚度作为测量值。</w:t>
      </w:r>
      <w:r>
        <w:t xml:space="preserve"> </w:t>
      </w:r>
    </w:p>
    <w:p w14:paraId="49E9DCF6" w14:textId="77777777" w:rsidR="00A71EEF" w:rsidRDefault="0081115D">
      <w:pPr>
        <w:pStyle w:val="a4"/>
        <w:numPr>
          <w:ilvl w:val="2"/>
          <w:numId w:val="548"/>
        </w:numPr>
        <w:tabs>
          <w:tab w:val="left" w:pos="1370"/>
        </w:tabs>
        <w:spacing w:line="268" w:lineRule="exact"/>
        <w:ind w:hanging="530"/>
        <w:jc w:val="both"/>
        <w:rPr>
          <w:sz w:val="21"/>
        </w:rPr>
      </w:pPr>
      <w:r>
        <w:rPr>
          <w:spacing w:val="-3"/>
          <w:sz w:val="21"/>
        </w:rPr>
        <w:t>门扇与门框的贴合面间隙</w:t>
      </w:r>
      <w:r>
        <w:rPr>
          <w:sz w:val="21"/>
        </w:rPr>
        <w:t>（</w:t>
      </w:r>
      <w:r>
        <w:rPr>
          <w:spacing w:val="-19"/>
          <w:sz w:val="21"/>
        </w:rPr>
        <w:t>见图</w:t>
      </w:r>
      <w:r>
        <w:rPr>
          <w:spacing w:val="-19"/>
          <w:sz w:val="21"/>
        </w:rPr>
        <w:t xml:space="preserve"> </w:t>
      </w:r>
      <w:r>
        <w:rPr>
          <w:sz w:val="21"/>
        </w:rPr>
        <w:t>14</w:t>
      </w:r>
      <w:r>
        <w:rPr>
          <w:sz w:val="21"/>
        </w:rPr>
        <w:t>）</w:t>
      </w:r>
      <w:r>
        <w:rPr>
          <w:sz w:val="21"/>
        </w:rPr>
        <w:t xml:space="preserve"> </w:t>
      </w:r>
    </w:p>
    <w:p w14:paraId="2BCEACA6" w14:textId="77777777" w:rsidR="00A71EEF" w:rsidRDefault="00A71EEF">
      <w:pPr>
        <w:pStyle w:val="a3"/>
        <w:spacing w:before="12"/>
        <w:rPr>
          <w:sz w:val="17"/>
        </w:rPr>
      </w:pPr>
    </w:p>
    <w:p w14:paraId="32C229A2" w14:textId="77777777" w:rsidR="00A71EEF" w:rsidRDefault="0081115D">
      <w:pPr>
        <w:pStyle w:val="a3"/>
        <w:spacing w:line="448" w:lineRule="auto"/>
        <w:ind w:left="418" w:right="1609" w:firstLine="419"/>
      </w:pPr>
      <w:r>
        <w:rPr>
          <w:noProof/>
        </w:rPr>
        <w:drawing>
          <wp:anchor distT="0" distB="0" distL="0" distR="0" simplePos="0" relativeHeight="251601408" behindDoc="0" locked="0" layoutInCell="1" allowOverlap="1" wp14:anchorId="5E8245CF" wp14:editId="46BD1221">
            <wp:simplePos x="0" y="0"/>
            <wp:positionH relativeFrom="page">
              <wp:posOffset>2294254</wp:posOffset>
            </wp:positionH>
            <wp:positionV relativeFrom="paragraph">
              <wp:posOffset>662178</wp:posOffset>
            </wp:positionV>
            <wp:extent cx="3431358" cy="1828800"/>
            <wp:effectExtent l="0" t="0" r="0" b="0"/>
            <wp:wrapTopAndBottom/>
            <wp:docPr id="377" name="image2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225.jpeg"/>
                    <pic:cNvPicPr/>
                  </pic:nvPicPr>
                  <pic:blipFill>
                    <a:blip r:embed="rId266" cstate="print"/>
                    <a:stretch>
                      <a:fillRect/>
                    </a:stretch>
                  </pic:blipFill>
                  <pic:spPr>
                    <a:xfrm>
                      <a:off x="0" y="0"/>
                      <a:ext cx="3431358" cy="1828800"/>
                    </a:xfrm>
                    <a:prstGeom prst="rect">
                      <a:avLst/>
                    </a:prstGeom>
                  </pic:spPr>
                </pic:pic>
              </a:graphicData>
            </a:graphic>
          </wp:anchor>
        </w:drawing>
      </w:r>
      <w:r>
        <w:t>按使用状态，将试件安装在试验框架上，门扇处于关闭状态，门扇与门框贴合面间隙以塞</w:t>
      </w:r>
      <w:r>
        <w:t>尺最大插入厚度作为测量值。</w:t>
      </w:r>
      <w:r>
        <w:t xml:space="preserve"> </w:t>
      </w:r>
    </w:p>
    <w:p w14:paraId="5DC3F0B6" w14:textId="77777777" w:rsidR="00A71EEF" w:rsidRDefault="00A71EEF">
      <w:pPr>
        <w:pStyle w:val="a3"/>
        <w:spacing w:before="1"/>
        <w:rPr>
          <w:sz w:val="15"/>
        </w:rPr>
      </w:pPr>
    </w:p>
    <w:p w14:paraId="40F64D2F" w14:textId="77777777" w:rsidR="00A71EEF" w:rsidRDefault="0081115D">
      <w:pPr>
        <w:spacing w:before="1" w:line="446" w:lineRule="auto"/>
        <w:ind w:left="840" w:right="3222" w:firstLine="1889"/>
        <w:rPr>
          <w:b/>
          <w:sz w:val="21"/>
        </w:rPr>
      </w:pPr>
      <w:r>
        <w:rPr>
          <w:b/>
          <w:sz w:val="21"/>
        </w:rPr>
        <w:t>图</w:t>
      </w:r>
      <w:r>
        <w:rPr>
          <w:b/>
          <w:sz w:val="21"/>
        </w:rPr>
        <w:t xml:space="preserve"> 14 </w:t>
      </w:r>
      <w:r>
        <w:rPr>
          <w:b/>
          <w:sz w:val="21"/>
        </w:rPr>
        <w:t>门扇与门框的搭接尺寸和贴合面间隙示意图</w:t>
      </w:r>
      <w:r>
        <w:rPr>
          <w:b/>
          <w:sz w:val="21"/>
        </w:rPr>
        <w:t xml:space="preserve">6.9.4 </w:t>
      </w:r>
      <w:r>
        <w:rPr>
          <w:sz w:val="21"/>
        </w:rPr>
        <w:t>门的开面上门框与门扇的平面高低差</w:t>
      </w:r>
      <w:r>
        <w:rPr>
          <w:sz w:val="21"/>
        </w:rPr>
        <w:t xml:space="preserve"> R</w:t>
      </w:r>
      <w:r>
        <w:rPr>
          <w:b/>
          <w:w w:val="99"/>
          <w:sz w:val="21"/>
        </w:rPr>
        <w:t xml:space="preserve"> </w:t>
      </w:r>
    </w:p>
    <w:p w14:paraId="43FBE076" w14:textId="77777777" w:rsidR="00A71EEF" w:rsidRDefault="00A71EEF">
      <w:pPr>
        <w:spacing w:line="446" w:lineRule="auto"/>
        <w:rPr>
          <w:sz w:val="21"/>
        </w:rPr>
        <w:sectPr w:rsidR="00A71EEF">
          <w:pgSz w:w="11910" w:h="16850"/>
          <w:pgMar w:top="1100" w:right="0" w:bottom="1420" w:left="1260" w:header="0" w:footer="1159" w:gutter="0"/>
          <w:cols w:space="720"/>
        </w:sectPr>
      </w:pPr>
    </w:p>
    <w:p w14:paraId="30DEE749" w14:textId="77777777" w:rsidR="00A71EEF" w:rsidRDefault="0081115D">
      <w:pPr>
        <w:pStyle w:val="a4"/>
        <w:numPr>
          <w:ilvl w:val="3"/>
          <w:numId w:val="544"/>
        </w:numPr>
        <w:tabs>
          <w:tab w:val="left" w:pos="1576"/>
        </w:tabs>
        <w:spacing w:before="47" w:line="446" w:lineRule="auto"/>
        <w:ind w:right="1503" w:firstLine="419"/>
        <w:rPr>
          <w:sz w:val="21"/>
        </w:rPr>
      </w:pPr>
      <w:r>
        <w:rPr>
          <w:spacing w:val="-5"/>
          <w:sz w:val="21"/>
        </w:rPr>
        <w:t>门扇关闭，用游标卡尺测定门框与门扇的平面高低差。测量位置见图</w:t>
      </w:r>
      <w:r>
        <w:rPr>
          <w:spacing w:val="-5"/>
          <w:sz w:val="21"/>
        </w:rPr>
        <w:t xml:space="preserve"> </w:t>
      </w:r>
      <w:r>
        <w:rPr>
          <w:sz w:val="21"/>
        </w:rPr>
        <w:t>15</w:t>
      </w:r>
      <w:r>
        <w:rPr>
          <w:spacing w:val="-11"/>
          <w:sz w:val="21"/>
        </w:rPr>
        <w:t xml:space="preserve"> </w:t>
      </w:r>
      <w:r>
        <w:rPr>
          <w:spacing w:val="-11"/>
          <w:sz w:val="21"/>
        </w:rPr>
        <w:t>所标定的</w:t>
      </w:r>
      <w:r>
        <w:rPr>
          <w:spacing w:val="-26"/>
          <w:position w:val="1"/>
          <w:sz w:val="21"/>
        </w:rPr>
        <w:t>位置</w:t>
      </w:r>
      <w:r>
        <w:rPr>
          <w:spacing w:val="-26"/>
          <w:position w:val="1"/>
          <w:sz w:val="21"/>
        </w:rPr>
        <w:t xml:space="preserve"> </w:t>
      </w:r>
      <w:r>
        <w:rPr>
          <w:position w:val="1"/>
          <w:sz w:val="21"/>
        </w:rPr>
        <w:t>R</w:t>
      </w:r>
      <w:r>
        <w:rPr>
          <w:sz w:val="11"/>
        </w:rPr>
        <w:t>1</w:t>
      </w:r>
      <w:r>
        <w:rPr>
          <w:position w:val="1"/>
          <w:sz w:val="21"/>
        </w:rPr>
        <w:t>、</w:t>
      </w:r>
      <w:r>
        <w:rPr>
          <w:position w:val="1"/>
          <w:sz w:val="21"/>
        </w:rPr>
        <w:t>R</w:t>
      </w:r>
      <w:r>
        <w:rPr>
          <w:sz w:val="11"/>
        </w:rPr>
        <w:t>2</w:t>
      </w:r>
      <w:r>
        <w:rPr>
          <w:position w:val="1"/>
          <w:sz w:val="21"/>
        </w:rPr>
        <w:t>、</w:t>
      </w:r>
      <w:r>
        <w:rPr>
          <w:position w:val="1"/>
          <w:sz w:val="21"/>
        </w:rPr>
        <w:t>R</w:t>
      </w:r>
      <w:r>
        <w:rPr>
          <w:sz w:val="11"/>
        </w:rPr>
        <w:t>3</w:t>
      </w:r>
      <w:r>
        <w:rPr>
          <w:position w:val="1"/>
          <w:sz w:val="21"/>
        </w:rPr>
        <w:t>……R</w:t>
      </w:r>
      <w:r>
        <w:rPr>
          <w:sz w:val="11"/>
        </w:rPr>
        <w:t>6</w:t>
      </w:r>
      <w:r>
        <w:rPr>
          <w:position w:val="1"/>
          <w:sz w:val="21"/>
        </w:rPr>
        <w:t>。</w:t>
      </w:r>
      <w:r>
        <w:rPr>
          <w:position w:val="1"/>
          <w:sz w:val="21"/>
        </w:rPr>
        <w:t xml:space="preserve"> </w:t>
      </w:r>
    </w:p>
    <w:p w14:paraId="725B9BE1" w14:textId="77777777" w:rsidR="00A71EEF" w:rsidRDefault="0081115D">
      <w:pPr>
        <w:pStyle w:val="a4"/>
        <w:numPr>
          <w:ilvl w:val="3"/>
          <w:numId w:val="544"/>
        </w:numPr>
        <w:tabs>
          <w:tab w:val="left" w:pos="1576"/>
        </w:tabs>
        <w:spacing w:line="267" w:lineRule="exact"/>
        <w:ind w:left="1575"/>
        <w:rPr>
          <w:sz w:val="21"/>
        </w:rPr>
      </w:pPr>
      <w:r>
        <w:rPr>
          <w:spacing w:val="-8"/>
          <w:sz w:val="21"/>
        </w:rPr>
        <w:t>门框与门扇的平面高低差</w:t>
      </w:r>
      <w:r>
        <w:rPr>
          <w:spacing w:val="-8"/>
          <w:sz w:val="21"/>
        </w:rPr>
        <w:t xml:space="preserve"> </w:t>
      </w:r>
      <w:r>
        <w:rPr>
          <w:sz w:val="21"/>
        </w:rPr>
        <w:t>R</w:t>
      </w:r>
      <w:r>
        <w:rPr>
          <w:spacing w:val="-9"/>
          <w:sz w:val="21"/>
        </w:rPr>
        <w:t xml:space="preserve"> </w:t>
      </w:r>
      <w:r>
        <w:rPr>
          <w:spacing w:val="-9"/>
          <w:sz w:val="21"/>
        </w:rPr>
        <w:t>取测量值的极值。</w:t>
      </w:r>
      <w:r>
        <w:rPr>
          <w:sz w:val="21"/>
        </w:rPr>
        <w:t xml:space="preserve"> </w:t>
      </w:r>
    </w:p>
    <w:p w14:paraId="3F780811" w14:textId="77777777" w:rsidR="00A71EEF" w:rsidRDefault="00A71EEF">
      <w:pPr>
        <w:pStyle w:val="a3"/>
        <w:rPr>
          <w:sz w:val="20"/>
        </w:rPr>
      </w:pPr>
    </w:p>
    <w:p w14:paraId="7ADA3B6E" w14:textId="77777777" w:rsidR="00A71EEF" w:rsidRDefault="00A71EEF">
      <w:pPr>
        <w:pStyle w:val="a3"/>
        <w:rPr>
          <w:sz w:val="20"/>
        </w:rPr>
      </w:pPr>
    </w:p>
    <w:p w14:paraId="2126E133" w14:textId="77777777" w:rsidR="00A71EEF" w:rsidRDefault="0081115D">
      <w:pPr>
        <w:pStyle w:val="a3"/>
        <w:spacing w:before="10"/>
        <w:rPr>
          <w:sz w:val="26"/>
        </w:rPr>
      </w:pPr>
      <w:r>
        <w:rPr>
          <w:noProof/>
        </w:rPr>
        <w:drawing>
          <wp:anchor distT="0" distB="0" distL="0" distR="0" simplePos="0" relativeHeight="251602432" behindDoc="0" locked="0" layoutInCell="1" allowOverlap="1" wp14:anchorId="5E6D6676" wp14:editId="26009AFB">
            <wp:simplePos x="0" y="0"/>
            <wp:positionH relativeFrom="page">
              <wp:posOffset>1744393</wp:posOffset>
            </wp:positionH>
            <wp:positionV relativeFrom="paragraph">
              <wp:posOffset>243101</wp:posOffset>
            </wp:positionV>
            <wp:extent cx="3878078" cy="2209800"/>
            <wp:effectExtent l="0" t="0" r="0" b="0"/>
            <wp:wrapTopAndBottom/>
            <wp:docPr id="379" name="image2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226.jpeg"/>
                    <pic:cNvPicPr/>
                  </pic:nvPicPr>
                  <pic:blipFill>
                    <a:blip r:embed="rId267" cstate="print"/>
                    <a:stretch>
                      <a:fillRect/>
                    </a:stretch>
                  </pic:blipFill>
                  <pic:spPr>
                    <a:xfrm>
                      <a:off x="0" y="0"/>
                      <a:ext cx="3878078" cy="2209800"/>
                    </a:xfrm>
                    <a:prstGeom prst="rect">
                      <a:avLst/>
                    </a:prstGeom>
                  </pic:spPr>
                </pic:pic>
              </a:graphicData>
            </a:graphic>
          </wp:anchor>
        </w:drawing>
      </w:r>
    </w:p>
    <w:p w14:paraId="6B9A2D47" w14:textId="77777777" w:rsidR="00A71EEF" w:rsidRDefault="00A71EEF">
      <w:pPr>
        <w:pStyle w:val="a3"/>
        <w:rPr>
          <w:sz w:val="20"/>
        </w:rPr>
      </w:pPr>
    </w:p>
    <w:p w14:paraId="14C7EF23" w14:textId="77777777" w:rsidR="00A71EEF" w:rsidRDefault="00A71EEF">
      <w:pPr>
        <w:pStyle w:val="a3"/>
        <w:rPr>
          <w:sz w:val="20"/>
        </w:rPr>
      </w:pPr>
    </w:p>
    <w:p w14:paraId="552DCC62" w14:textId="77777777" w:rsidR="00A71EEF" w:rsidRDefault="00A71EEF">
      <w:pPr>
        <w:pStyle w:val="a3"/>
        <w:spacing w:before="10"/>
        <w:rPr>
          <w:sz w:val="17"/>
        </w:rPr>
      </w:pPr>
    </w:p>
    <w:p w14:paraId="5906AE0E" w14:textId="77777777" w:rsidR="00A71EEF" w:rsidRDefault="0081115D">
      <w:pPr>
        <w:pStyle w:val="6"/>
        <w:spacing w:before="72"/>
        <w:ind w:left="2941"/>
      </w:pPr>
      <w:r>
        <w:t>图</w:t>
      </w:r>
      <w:r>
        <w:t xml:space="preserve"> 15 </w:t>
      </w:r>
      <w:r>
        <w:t>门框与门扇平面高低差测量位置示意图</w:t>
      </w:r>
      <w:r>
        <w:rPr>
          <w:w w:val="99"/>
        </w:rPr>
        <w:t xml:space="preserve"> </w:t>
      </w:r>
    </w:p>
    <w:p w14:paraId="705042D9" w14:textId="77777777" w:rsidR="00A71EEF" w:rsidRDefault="00A71EEF">
      <w:pPr>
        <w:pStyle w:val="a3"/>
        <w:spacing w:before="7"/>
        <w:rPr>
          <w:b/>
          <w:sz w:val="12"/>
        </w:rPr>
      </w:pPr>
    </w:p>
    <w:p w14:paraId="52217106" w14:textId="77777777" w:rsidR="00A71EEF" w:rsidRDefault="0081115D">
      <w:pPr>
        <w:pStyle w:val="a4"/>
        <w:numPr>
          <w:ilvl w:val="1"/>
          <w:numId w:val="548"/>
        </w:numPr>
        <w:tabs>
          <w:tab w:val="left" w:pos="1264"/>
        </w:tabs>
        <w:spacing w:before="71"/>
        <w:ind w:left="1263" w:hanging="424"/>
        <w:rPr>
          <w:b/>
          <w:sz w:val="21"/>
        </w:rPr>
      </w:pPr>
      <w:r>
        <w:rPr>
          <w:spacing w:val="-3"/>
          <w:sz w:val="21"/>
        </w:rPr>
        <w:t>灵活性</w:t>
      </w:r>
      <w:r>
        <w:rPr>
          <w:b/>
          <w:w w:val="99"/>
          <w:sz w:val="21"/>
        </w:rPr>
        <w:t xml:space="preserve"> </w:t>
      </w:r>
    </w:p>
    <w:p w14:paraId="67F9C620" w14:textId="77777777" w:rsidR="00A71EEF" w:rsidRDefault="00A71EEF">
      <w:pPr>
        <w:pStyle w:val="a3"/>
        <w:rPr>
          <w:b/>
          <w:sz w:val="18"/>
        </w:rPr>
      </w:pPr>
    </w:p>
    <w:p w14:paraId="74329662" w14:textId="77777777" w:rsidR="00A71EEF" w:rsidRDefault="0081115D">
      <w:pPr>
        <w:pStyle w:val="a4"/>
        <w:numPr>
          <w:ilvl w:val="2"/>
          <w:numId w:val="548"/>
        </w:numPr>
        <w:tabs>
          <w:tab w:val="left" w:pos="1478"/>
        </w:tabs>
        <w:ind w:left="1477" w:hanging="638"/>
        <w:rPr>
          <w:b/>
          <w:sz w:val="21"/>
        </w:rPr>
      </w:pPr>
      <w:r>
        <w:rPr>
          <w:spacing w:val="-3"/>
          <w:sz w:val="21"/>
        </w:rPr>
        <w:t>启闭灵活性</w:t>
      </w:r>
      <w:r>
        <w:rPr>
          <w:b/>
          <w:spacing w:val="-3"/>
          <w:w w:val="99"/>
          <w:sz w:val="21"/>
        </w:rPr>
        <w:t xml:space="preserve"> </w:t>
      </w:r>
    </w:p>
    <w:p w14:paraId="53C028DC" w14:textId="77777777" w:rsidR="00A71EEF" w:rsidRDefault="00A71EEF">
      <w:pPr>
        <w:pStyle w:val="a3"/>
        <w:spacing w:before="12"/>
        <w:rPr>
          <w:b/>
          <w:sz w:val="17"/>
        </w:rPr>
      </w:pPr>
    </w:p>
    <w:p w14:paraId="0DEC521F" w14:textId="77777777" w:rsidR="00A71EEF" w:rsidRDefault="0081115D">
      <w:pPr>
        <w:pStyle w:val="a3"/>
        <w:spacing w:line="446" w:lineRule="auto"/>
        <w:ind w:left="840" w:right="2554" w:hanging="3"/>
        <w:rPr>
          <w:b/>
        </w:rPr>
      </w:pPr>
      <w:r>
        <w:rPr>
          <w:spacing w:val="-3"/>
        </w:rPr>
        <w:t>防火门处于使用状态，将试件安装在试验框架上，手感和目测其启闭灵活性。</w:t>
      </w:r>
      <w:r>
        <w:rPr>
          <w:b/>
          <w:spacing w:val="-3"/>
        </w:rPr>
        <w:t>6.10.2</w:t>
      </w:r>
      <w:r>
        <w:rPr>
          <w:b/>
          <w:spacing w:val="104"/>
        </w:rPr>
        <w:t xml:space="preserve"> </w:t>
      </w:r>
      <w:r>
        <w:rPr>
          <w:spacing w:val="-12"/>
        </w:rPr>
        <w:t>门扇开启力</w:t>
      </w:r>
      <w:r>
        <w:rPr>
          <w:spacing w:val="-12"/>
        </w:rPr>
        <w:t xml:space="preserve"> </w:t>
      </w:r>
      <w:r>
        <w:rPr>
          <w:spacing w:val="-3"/>
        </w:rPr>
        <w:t>F</w:t>
      </w:r>
      <w:r>
        <w:rPr>
          <w:b/>
          <w:w w:val="99"/>
        </w:rPr>
        <w:t xml:space="preserve"> </w:t>
      </w:r>
    </w:p>
    <w:p w14:paraId="3E172CB4" w14:textId="77777777" w:rsidR="00A71EEF" w:rsidRDefault="0081115D">
      <w:pPr>
        <w:pStyle w:val="a3"/>
        <w:spacing w:line="446" w:lineRule="auto"/>
        <w:ind w:left="418" w:right="1609" w:firstLine="419"/>
      </w:pPr>
      <w:r>
        <w:t>按使用状态，将试件安装在试验框架上，门扇处于关闭状态，测力计作用于门执手处，并与门扇垂直，将门扇拉开，测量并记录门扇开启力</w:t>
      </w:r>
      <w:r>
        <w:t>F</w:t>
      </w:r>
      <w:r>
        <w:t>。</w:t>
      </w:r>
      <w:r>
        <w:t xml:space="preserve"> </w:t>
      </w:r>
    </w:p>
    <w:p w14:paraId="1A1ACD22" w14:textId="77777777" w:rsidR="00A71EEF" w:rsidRDefault="0081115D">
      <w:pPr>
        <w:pStyle w:val="a4"/>
        <w:numPr>
          <w:ilvl w:val="1"/>
          <w:numId w:val="548"/>
        </w:numPr>
        <w:tabs>
          <w:tab w:val="left" w:pos="1264"/>
        </w:tabs>
        <w:spacing w:before="1"/>
        <w:ind w:left="1263" w:hanging="424"/>
        <w:rPr>
          <w:b/>
          <w:sz w:val="21"/>
        </w:rPr>
      </w:pPr>
      <w:r>
        <w:rPr>
          <w:spacing w:val="-3"/>
          <w:sz w:val="21"/>
        </w:rPr>
        <w:t>可靠性</w:t>
      </w:r>
      <w:r>
        <w:rPr>
          <w:b/>
          <w:w w:val="99"/>
          <w:sz w:val="21"/>
        </w:rPr>
        <w:t xml:space="preserve"> </w:t>
      </w:r>
    </w:p>
    <w:p w14:paraId="113C5FBB" w14:textId="77777777" w:rsidR="00A71EEF" w:rsidRDefault="00A71EEF">
      <w:pPr>
        <w:pStyle w:val="a3"/>
        <w:spacing w:before="12"/>
        <w:rPr>
          <w:b/>
          <w:sz w:val="17"/>
        </w:rPr>
      </w:pPr>
    </w:p>
    <w:p w14:paraId="54313C42" w14:textId="77777777" w:rsidR="00A71EEF" w:rsidRDefault="0081115D">
      <w:pPr>
        <w:pStyle w:val="a4"/>
        <w:numPr>
          <w:ilvl w:val="2"/>
          <w:numId w:val="548"/>
        </w:numPr>
        <w:tabs>
          <w:tab w:val="left" w:pos="1478"/>
        </w:tabs>
        <w:ind w:left="1477" w:hanging="638"/>
        <w:rPr>
          <w:b/>
          <w:sz w:val="21"/>
        </w:rPr>
      </w:pPr>
      <w:r>
        <w:rPr>
          <w:spacing w:val="-3"/>
          <w:sz w:val="21"/>
        </w:rPr>
        <w:t>试验框架</w:t>
      </w:r>
      <w:r>
        <w:rPr>
          <w:b/>
          <w:w w:val="99"/>
          <w:sz w:val="21"/>
        </w:rPr>
        <w:t xml:space="preserve"> </w:t>
      </w:r>
    </w:p>
    <w:p w14:paraId="7FE19A12" w14:textId="77777777" w:rsidR="00A71EEF" w:rsidRDefault="00A71EEF">
      <w:pPr>
        <w:pStyle w:val="a3"/>
        <w:spacing w:before="12"/>
        <w:rPr>
          <w:b/>
          <w:sz w:val="17"/>
        </w:rPr>
      </w:pPr>
    </w:p>
    <w:p w14:paraId="0CE0AC8A" w14:textId="77777777" w:rsidR="00A71EEF" w:rsidRDefault="0081115D">
      <w:pPr>
        <w:pStyle w:val="a3"/>
        <w:spacing w:line="446" w:lineRule="auto"/>
        <w:ind w:left="418" w:right="1609" w:firstLine="419"/>
      </w:pPr>
      <w:r>
        <w:t>为可调框架，以适合安装不同规格尺寸的防火门，框架应有足够的刚度，以免在试验过程中产生影响试验结果的变形。</w:t>
      </w:r>
      <w:r>
        <w:t xml:space="preserve"> </w:t>
      </w:r>
    </w:p>
    <w:p w14:paraId="2247D153" w14:textId="77777777" w:rsidR="00A71EEF" w:rsidRDefault="0081115D">
      <w:pPr>
        <w:pStyle w:val="a4"/>
        <w:numPr>
          <w:ilvl w:val="2"/>
          <w:numId w:val="548"/>
        </w:numPr>
        <w:tabs>
          <w:tab w:val="left" w:pos="1478"/>
        </w:tabs>
        <w:ind w:left="1477" w:hanging="638"/>
        <w:rPr>
          <w:b/>
          <w:sz w:val="21"/>
        </w:rPr>
      </w:pPr>
      <w:r>
        <w:rPr>
          <w:spacing w:val="-3"/>
          <w:sz w:val="21"/>
        </w:rPr>
        <w:t>试件</w:t>
      </w:r>
      <w:r>
        <w:rPr>
          <w:b/>
          <w:w w:val="99"/>
          <w:sz w:val="21"/>
        </w:rPr>
        <w:t xml:space="preserve"> </w:t>
      </w:r>
    </w:p>
    <w:p w14:paraId="3836108E" w14:textId="77777777" w:rsidR="00A71EEF" w:rsidRDefault="00A71EEF">
      <w:pPr>
        <w:pStyle w:val="a3"/>
        <w:rPr>
          <w:b/>
          <w:sz w:val="18"/>
        </w:rPr>
      </w:pPr>
    </w:p>
    <w:p w14:paraId="0D25E24B" w14:textId="77777777" w:rsidR="00A71EEF" w:rsidRDefault="0081115D">
      <w:pPr>
        <w:pStyle w:val="a3"/>
        <w:spacing w:line="446" w:lineRule="auto"/>
        <w:ind w:left="418" w:right="1609" w:firstLine="419"/>
      </w:pPr>
      <w:r>
        <w:t>包括门框、门扇及实际使用中应配备的防火五金配件如防火锁、闭门器和顺序器等所组成的防火门。</w:t>
      </w:r>
      <w:r>
        <w:t xml:space="preserve"> </w:t>
      </w:r>
    </w:p>
    <w:p w14:paraId="01670E66" w14:textId="77777777" w:rsidR="00A71EEF" w:rsidRDefault="0081115D">
      <w:pPr>
        <w:pStyle w:val="a4"/>
        <w:numPr>
          <w:ilvl w:val="2"/>
          <w:numId w:val="548"/>
        </w:numPr>
        <w:tabs>
          <w:tab w:val="left" w:pos="1478"/>
        </w:tabs>
        <w:ind w:left="1477" w:hanging="638"/>
        <w:rPr>
          <w:b/>
          <w:sz w:val="21"/>
        </w:rPr>
      </w:pPr>
      <w:r>
        <w:rPr>
          <w:spacing w:val="-3"/>
          <w:sz w:val="21"/>
        </w:rPr>
        <w:t>试验步骤</w:t>
      </w:r>
      <w:r>
        <w:rPr>
          <w:b/>
          <w:w w:val="99"/>
          <w:sz w:val="21"/>
        </w:rPr>
        <w:t xml:space="preserve"> </w:t>
      </w:r>
    </w:p>
    <w:p w14:paraId="69A0068A" w14:textId="77777777" w:rsidR="00A71EEF" w:rsidRDefault="00A71EEF">
      <w:pPr>
        <w:rPr>
          <w:sz w:val="21"/>
        </w:rPr>
        <w:sectPr w:rsidR="00A71EEF">
          <w:pgSz w:w="11910" w:h="16850"/>
          <w:pgMar w:top="1220" w:right="0" w:bottom="1420" w:left="1260" w:header="0" w:footer="1159" w:gutter="0"/>
          <w:cols w:space="720"/>
        </w:sectPr>
      </w:pPr>
    </w:p>
    <w:p w14:paraId="3B27D1C6" w14:textId="77777777" w:rsidR="00A71EEF" w:rsidRDefault="0081115D">
      <w:pPr>
        <w:pStyle w:val="a4"/>
        <w:numPr>
          <w:ilvl w:val="3"/>
          <w:numId w:val="548"/>
        </w:numPr>
        <w:tabs>
          <w:tab w:val="left" w:pos="1682"/>
        </w:tabs>
        <w:spacing w:before="47"/>
        <w:ind w:left="1681" w:hanging="844"/>
        <w:rPr>
          <w:sz w:val="21"/>
        </w:rPr>
      </w:pPr>
      <w:r>
        <w:rPr>
          <w:spacing w:val="-3"/>
          <w:sz w:val="21"/>
        </w:rPr>
        <w:t>将试件固定在试验框架上。</w:t>
      </w:r>
      <w:r>
        <w:rPr>
          <w:sz w:val="21"/>
        </w:rPr>
        <w:t xml:space="preserve"> </w:t>
      </w:r>
    </w:p>
    <w:p w14:paraId="01A75E9E" w14:textId="77777777" w:rsidR="00A71EEF" w:rsidRDefault="00A71EEF">
      <w:pPr>
        <w:pStyle w:val="a3"/>
        <w:rPr>
          <w:sz w:val="18"/>
        </w:rPr>
      </w:pPr>
    </w:p>
    <w:p w14:paraId="0CE58408" w14:textId="77777777" w:rsidR="00A71EEF" w:rsidRDefault="0081115D">
      <w:pPr>
        <w:pStyle w:val="a4"/>
        <w:numPr>
          <w:ilvl w:val="3"/>
          <w:numId w:val="548"/>
        </w:numPr>
        <w:tabs>
          <w:tab w:val="left" w:pos="1682"/>
        </w:tabs>
        <w:spacing w:line="446" w:lineRule="auto"/>
        <w:ind w:left="418" w:right="1507" w:firstLine="419"/>
        <w:rPr>
          <w:sz w:val="21"/>
        </w:rPr>
      </w:pPr>
      <w:r>
        <w:rPr>
          <w:spacing w:val="-6"/>
          <w:sz w:val="21"/>
        </w:rPr>
        <w:t>门扇开启、关闭为运行一次，运行周期为</w:t>
      </w:r>
      <w:r>
        <w:rPr>
          <w:spacing w:val="-6"/>
          <w:sz w:val="21"/>
        </w:rPr>
        <w:t xml:space="preserve"> </w:t>
      </w:r>
      <w:r>
        <w:rPr>
          <w:sz w:val="21"/>
        </w:rPr>
        <w:t>8</w:t>
      </w:r>
      <w:r>
        <w:rPr>
          <w:sz w:val="21"/>
        </w:rPr>
        <w:t>～</w:t>
      </w:r>
      <w:r>
        <w:rPr>
          <w:sz w:val="21"/>
        </w:rPr>
        <w:t>14</w:t>
      </w:r>
      <w:r>
        <w:rPr>
          <w:spacing w:val="7"/>
          <w:sz w:val="21"/>
        </w:rPr>
        <w:t xml:space="preserve"> </w:t>
      </w:r>
      <w:r>
        <w:rPr>
          <w:sz w:val="21"/>
        </w:rPr>
        <w:t>s</w:t>
      </w:r>
      <w:r>
        <w:rPr>
          <w:spacing w:val="-8"/>
          <w:sz w:val="21"/>
        </w:rPr>
        <w:t>，门扇开启角度为</w:t>
      </w:r>
      <w:r>
        <w:rPr>
          <w:spacing w:val="-8"/>
          <w:sz w:val="21"/>
        </w:rPr>
        <w:t xml:space="preserve"> </w:t>
      </w:r>
      <w:r>
        <w:rPr>
          <w:sz w:val="21"/>
        </w:rPr>
        <w:t>70°</w:t>
      </w:r>
      <w:r>
        <w:rPr>
          <w:sz w:val="21"/>
        </w:rPr>
        <w:t>，记录</w:t>
      </w:r>
      <w:r>
        <w:rPr>
          <w:spacing w:val="-3"/>
          <w:sz w:val="21"/>
        </w:rPr>
        <w:t>运行次数。试验过程中应记录：防火门的各个配件是否松动、脱落、严重变形、启闭卡阻等现象。</w:t>
      </w:r>
      <w:r>
        <w:rPr>
          <w:sz w:val="21"/>
        </w:rPr>
        <w:t xml:space="preserve"> </w:t>
      </w:r>
    </w:p>
    <w:p w14:paraId="5C06D5F6" w14:textId="77777777" w:rsidR="00A71EEF" w:rsidRDefault="0081115D">
      <w:pPr>
        <w:pStyle w:val="a4"/>
        <w:numPr>
          <w:ilvl w:val="1"/>
          <w:numId w:val="548"/>
        </w:numPr>
        <w:tabs>
          <w:tab w:val="left" w:pos="1264"/>
        </w:tabs>
        <w:spacing w:line="268" w:lineRule="exact"/>
        <w:ind w:left="1263" w:hanging="424"/>
        <w:rPr>
          <w:b/>
          <w:sz w:val="21"/>
        </w:rPr>
      </w:pPr>
      <w:r>
        <w:rPr>
          <w:spacing w:val="-3"/>
          <w:sz w:val="21"/>
        </w:rPr>
        <w:t>耐火性能</w:t>
      </w:r>
      <w:r>
        <w:rPr>
          <w:b/>
          <w:w w:val="99"/>
          <w:sz w:val="21"/>
        </w:rPr>
        <w:t xml:space="preserve"> </w:t>
      </w:r>
    </w:p>
    <w:p w14:paraId="0D4B2669" w14:textId="77777777" w:rsidR="00A71EEF" w:rsidRDefault="00A71EEF">
      <w:pPr>
        <w:pStyle w:val="a3"/>
        <w:rPr>
          <w:b/>
          <w:sz w:val="18"/>
        </w:rPr>
      </w:pPr>
    </w:p>
    <w:p w14:paraId="170D3275" w14:textId="77777777" w:rsidR="00A71EEF" w:rsidRDefault="0081115D">
      <w:pPr>
        <w:pStyle w:val="a4"/>
        <w:numPr>
          <w:ilvl w:val="2"/>
          <w:numId w:val="548"/>
        </w:numPr>
        <w:tabs>
          <w:tab w:val="left" w:pos="1478"/>
        </w:tabs>
        <w:ind w:left="1477" w:hanging="638"/>
        <w:jc w:val="both"/>
        <w:rPr>
          <w:b/>
          <w:sz w:val="21"/>
        </w:rPr>
      </w:pPr>
      <w:r>
        <w:rPr>
          <w:spacing w:val="-3"/>
          <w:sz w:val="21"/>
        </w:rPr>
        <w:t>试验步骤</w:t>
      </w:r>
      <w:r>
        <w:rPr>
          <w:b/>
          <w:w w:val="99"/>
          <w:sz w:val="21"/>
        </w:rPr>
        <w:t xml:space="preserve"> </w:t>
      </w:r>
    </w:p>
    <w:p w14:paraId="705581B3" w14:textId="77777777" w:rsidR="00A71EEF" w:rsidRDefault="00A71EEF">
      <w:pPr>
        <w:pStyle w:val="a3"/>
        <w:spacing w:before="1"/>
        <w:rPr>
          <w:b/>
          <w:sz w:val="18"/>
        </w:rPr>
      </w:pPr>
    </w:p>
    <w:p w14:paraId="1B5DB002" w14:textId="77777777" w:rsidR="00A71EEF" w:rsidRDefault="0081115D">
      <w:pPr>
        <w:pStyle w:val="a3"/>
        <w:spacing w:before="1" w:line="446" w:lineRule="auto"/>
        <w:ind w:left="418" w:right="1608" w:firstLine="419"/>
        <w:jc w:val="both"/>
      </w:pPr>
      <w:r>
        <w:t>按使用状态，将试件安装在试验框架上，耐火试验前检查试件，门扇应开启灵活。通过闭门器等闭门装置关闭门扇，使防火锁的斜舌碰上，不应用钥匙锁闭门扇；特殊使用的门（如管道井门），可用钥匙锁闭门扇，钥匙不应留在锁孔内。</w:t>
      </w:r>
      <w:r>
        <w:t xml:space="preserve"> </w:t>
      </w:r>
    </w:p>
    <w:p w14:paraId="7435F97E" w14:textId="77777777" w:rsidR="00A71EEF" w:rsidRDefault="0081115D">
      <w:pPr>
        <w:pStyle w:val="a3"/>
        <w:spacing w:line="268" w:lineRule="exact"/>
        <w:ind w:left="838"/>
        <w:jc w:val="both"/>
      </w:pPr>
      <w:r>
        <w:t>按</w:t>
      </w:r>
      <w:r>
        <w:t xml:space="preserve"> GB/T 7633 </w:t>
      </w:r>
      <w:r>
        <w:t>的规定进行耐火试验。</w:t>
      </w:r>
      <w:r>
        <w:t xml:space="preserve"> </w:t>
      </w:r>
    </w:p>
    <w:p w14:paraId="55B13C86" w14:textId="77777777" w:rsidR="00A71EEF" w:rsidRDefault="00A71EEF">
      <w:pPr>
        <w:pStyle w:val="a3"/>
        <w:spacing w:before="12"/>
        <w:rPr>
          <w:sz w:val="17"/>
        </w:rPr>
      </w:pPr>
    </w:p>
    <w:p w14:paraId="0B6BD44C" w14:textId="77777777" w:rsidR="00A71EEF" w:rsidRDefault="0081115D">
      <w:pPr>
        <w:pStyle w:val="a3"/>
        <w:spacing w:line="446" w:lineRule="auto"/>
        <w:ind w:left="840" w:right="2345" w:hanging="3"/>
        <w:rPr>
          <w:b/>
        </w:rPr>
      </w:pPr>
      <w:r>
        <w:rPr>
          <w:spacing w:val="-3"/>
        </w:rPr>
        <w:t>注：试件应在同一框架、同一状态下进行配合公差、灵活性与耐火性能的检验。</w:t>
      </w:r>
      <w:r>
        <w:rPr>
          <w:b/>
          <w:spacing w:val="-3"/>
        </w:rPr>
        <w:t>6.12.2</w:t>
      </w:r>
      <w:r>
        <w:rPr>
          <w:b/>
          <w:spacing w:val="105"/>
        </w:rPr>
        <w:t xml:space="preserve"> </w:t>
      </w:r>
      <w:r>
        <w:rPr>
          <w:spacing w:val="-3"/>
        </w:rPr>
        <w:t>耐火性能判定条件</w:t>
      </w:r>
      <w:r>
        <w:rPr>
          <w:b/>
          <w:spacing w:val="-3"/>
          <w:w w:val="99"/>
        </w:rPr>
        <w:t xml:space="preserve"> </w:t>
      </w:r>
    </w:p>
    <w:p w14:paraId="42BC2580" w14:textId="77777777" w:rsidR="00A71EEF" w:rsidRDefault="0081115D">
      <w:pPr>
        <w:pStyle w:val="a3"/>
        <w:ind w:left="838"/>
      </w:pPr>
      <w:r>
        <w:t>6.12.2.1</w:t>
      </w:r>
      <w:r>
        <w:rPr>
          <w:spacing w:val="-2"/>
        </w:rPr>
        <w:t xml:space="preserve">  </w:t>
      </w:r>
      <w:r>
        <w:rPr>
          <w:spacing w:val="-2"/>
        </w:rPr>
        <w:t>耐火完整性</w:t>
      </w:r>
      <w:r>
        <w:rPr>
          <w:spacing w:val="-2"/>
        </w:rPr>
        <w:t xml:space="preserve"> </w:t>
      </w:r>
    </w:p>
    <w:p w14:paraId="46F77AB0" w14:textId="77777777" w:rsidR="00A71EEF" w:rsidRDefault="00A71EEF">
      <w:pPr>
        <w:pStyle w:val="a3"/>
        <w:rPr>
          <w:sz w:val="18"/>
        </w:rPr>
      </w:pPr>
    </w:p>
    <w:p w14:paraId="1F2A8DF4" w14:textId="77777777" w:rsidR="00A71EEF" w:rsidRDefault="0081115D">
      <w:pPr>
        <w:pStyle w:val="a3"/>
        <w:spacing w:line="446" w:lineRule="auto"/>
        <w:ind w:left="838" w:right="6969"/>
      </w:pPr>
      <w:r>
        <w:rPr>
          <w:spacing w:val="-18"/>
        </w:rPr>
        <w:t>应按</w:t>
      </w:r>
      <w:r>
        <w:rPr>
          <w:spacing w:val="-18"/>
        </w:rPr>
        <w:t xml:space="preserve"> </w:t>
      </w:r>
      <w:r>
        <w:t>GB/T</w:t>
      </w:r>
      <w:r>
        <w:rPr>
          <w:spacing w:val="1"/>
        </w:rPr>
        <w:t xml:space="preserve"> </w:t>
      </w:r>
      <w:r>
        <w:t>7633</w:t>
      </w:r>
      <w:r>
        <w:rPr>
          <w:spacing w:val="-10"/>
        </w:rPr>
        <w:t xml:space="preserve"> </w:t>
      </w:r>
      <w:r>
        <w:rPr>
          <w:spacing w:val="-10"/>
        </w:rPr>
        <w:t>的规定判定。</w:t>
      </w:r>
      <w:r>
        <w:rPr>
          <w:spacing w:val="-10"/>
        </w:rPr>
        <w:t>6.12.2.2</w:t>
      </w:r>
      <w:r>
        <w:rPr>
          <w:spacing w:val="15"/>
        </w:rPr>
        <w:t xml:space="preserve"> </w:t>
      </w:r>
      <w:r>
        <w:rPr>
          <w:spacing w:val="15"/>
        </w:rPr>
        <w:t>耐火隔热性</w:t>
      </w:r>
      <w:r>
        <w:rPr>
          <w:spacing w:val="15"/>
        </w:rPr>
        <w:t xml:space="preserve"> </w:t>
      </w:r>
    </w:p>
    <w:p w14:paraId="3E947F37" w14:textId="77777777" w:rsidR="00A71EEF" w:rsidRDefault="0081115D">
      <w:pPr>
        <w:pStyle w:val="a3"/>
        <w:ind w:left="838"/>
      </w:pPr>
      <w:r>
        <w:t>应按</w:t>
      </w:r>
      <w:r>
        <w:t xml:space="preserve"> GB/T 7633 </w:t>
      </w:r>
      <w:r>
        <w:t>的规定判定。</w:t>
      </w:r>
      <w:r>
        <w:t xml:space="preserve"> </w:t>
      </w:r>
    </w:p>
    <w:p w14:paraId="61E135F3" w14:textId="77777777" w:rsidR="00A71EEF" w:rsidRDefault="00A71EEF">
      <w:pPr>
        <w:pStyle w:val="a3"/>
        <w:spacing w:before="7"/>
        <w:rPr>
          <w:sz w:val="15"/>
        </w:rPr>
      </w:pPr>
    </w:p>
    <w:p w14:paraId="17DF845F" w14:textId="77777777" w:rsidR="00A71EEF" w:rsidRDefault="0081115D">
      <w:pPr>
        <w:pStyle w:val="4"/>
        <w:spacing w:before="1"/>
      </w:pPr>
      <w:r>
        <w:t xml:space="preserve">7 </w:t>
      </w:r>
      <w:r>
        <w:t>检验规则</w:t>
      </w:r>
      <w:r>
        <w:rPr>
          <w:w w:val="99"/>
        </w:rPr>
        <w:t xml:space="preserve"> </w:t>
      </w:r>
    </w:p>
    <w:p w14:paraId="74E5E2DC" w14:textId="77777777" w:rsidR="00A71EEF" w:rsidRDefault="00A71EEF">
      <w:pPr>
        <w:pStyle w:val="a3"/>
        <w:spacing w:before="3"/>
        <w:rPr>
          <w:b/>
          <w:sz w:val="17"/>
        </w:rPr>
      </w:pPr>
    </w:p>
    <w:p w14:paraId="323D1486" w14:textId="77777777" w:rsidR="00A71EEF" w:rsidRDefault="0081115D">
      <w:pPr>
        <w:ind w:left="840"/>
        <w:rPr>
          <w:b/>
          <w:sz w:val="21"/>
        </w:rPr>
      </w:pPr>
      <w:r>
        <w:rPr>
          <w:b/>
          <w:sz w:val="21"/>
        </w:rPr>
        <w:t xml:space="preserve">7.1 </w:t>
      </w:r>
      <w:r>
        <w:rPr>
          <w:sz w:val="21"/>
        </w:rPr>
        <w:t>出厂检验</w:t>
      </w:r>
      <w:r>
        <w:rPr>
          <w:b/>
          <w:w w:val="99"/>
          <w:sz w:val="21"/>
        </w:rPr>
        <w:t xml:space="preserve"> </w:t>
      </w:r>
    </w:p>
    <w:p w14:paraId="6C49233B" w14:textId="77777777" w:rsidR="00A71EEF" w:rsidRDefault="00A71EEF">
      <w:pPr>
        <w:pStyle w:val="a3"/>
        <w:spacing w:before="2"/>
        <w:rPr>
          <w:b/>
          <w:sz w:val="18"/>
        </w:rPr>
      </w:pPr>
    </w:p>
    <w:p w14:paraId="4CD9845F" w14:textId="77777777" w:rsidR="00A71EEF" w:rsidRDefault="0081115D">
      <w:pPr>
        <w:pStyle w:val="a3"/>
        <w:ind w:left="840"/>
        <w:jc w:val="both"/>
      </w:pPr>
      <w:r>
        <w:rPr>
          <w:b/>
        </w:rPr>
        <w:t>7.1.1</w:t>
      </w:r>
      <w:r>
        <w:rPr>
          <w:b/>
          <w:spacing w:val="2"/>
        </w:rPr>
        <w:t xml:space="preserve"> </w:t>
      </w:r>
      <w:r>
        <w:rPr>
          <w:spacing w:val="-8"/>
        </w:rPr>
        <w:t>常规出厂检验项目为</w:t>
      </w:r>
      <w:r>
        <w:rPr>
          <w:spacing w:val="-8"/>
        </w:rPr>
        <w:t xml:space="preserve"> </w:t>
      </w:r>
      <w:r>
        <w:t>5.1</w:t>
      </w:r>
      <w:r>
        <w:t>、</w:t>
      </w:r>
      <w:r>
        <w:t>5.2.2.3</w:t>
      </w:r>
      <w:r>
        <w:t>、</w:t>
      </w:r>
      <w:r>
        <w:t>5.2.3.3</w:t>
      </w:r>
      <w:r>
        <w:t>、</w:t>
      </w:r>
      <w:r>
        <w:t>5.2.4.2</w:t>
      </w:r>
      <w:r>
        <w:t>、</w:t>
      </w:r>
      <w:r>
        <w:t>5.4.2</w:t>
      </w:r>
      <w:r>
        <w:t>、</w:t>
      </w:r>
      <w:r>
        <w:t>5.5</w:t>
      </w:r>
      <w:r>
        <w:t>、</w:t>
      </w:r>
      <w:r>
        <w:t>5.6</w:t>
      </w:r>
      <w:r>
        <w:rPr>
          <w:spacing w:val="-36"/>
        </w:rPr>
        <w:t xml:space="preserve"> </w:t>
      </w:r>
      <w:r>
        <w:rPr>
          <w:spacing w:val="-36"/>
        </w:rPr>
        <w:t>和</w:t>
      </w:r>
      <w:r>
        <w:rPr>
          <w:spacing w:val="-36"/>
        </w:rPr>
        <w:t xml:space="preserve"> </w:t>
      </w:r>
      <w:r>
        <w:t>5.7</w:t>
      </w:r>
      <w:r>
        <w:t>，</w:t>
      </w:r>
    </w:p>
    <w:p w14:paraId="4FB806C1" w14:textId="77777777" w:rsidR="00A71EEF" w:rsidRDefault="00A71EEF">
      <w:pPr>
        <w:pStyle w:val="a3"/>
        <w:rPr>
          <w:sz w:val="18"/>
        </w:rPr>
      </w:pPr>
    </w:p>
    <w:p w14:paraId="61E7F693" w14:textId="77777777" w:rsidR="00A71EEF" w:rsidRDefault="0081115D">
      <w:pPr>
        <w:pStyle w:val="a3"/>
        <w:spacing w:before="1"/>
        <w:ind w:left="418"/>
      </w:pPr>
      <w:r>
        <w:rPr>
          <w:spacing w:val="-4"/>
        </w:rPr>
        <w:t>应对每一樘防火门的门框、门扇单独进行检验；防火门安装交付使用时的常规检验项目为</w:t>
      </w:r>
      <w:r>
        <w:rPr>
          <w:spacing w:val="-4"/>
        </w:rPr>
        <w:t xml:space="preserve"> </w:t>
      </w:r>
      <w:r>
        <w:t>5.8</w:t>
      </w:r>
      <w:r>
        <w:t>、</w:t>
      </w:r>
    </w:p>
    <w:p w14:paraId="1AEB44CA" w14:textId="77777777" w:rsidR="00A71EEF" w:rsidRDefault="00A71EEF">
      <w:pPr>
        <w:pStyle w:val="a3"/>
        <w:spacing w:before="12"/>
        <w:rPr>
          <w:sz w:val="17"/>
        </w:rPr>
      </w:pPr>
    </w:p>
    <w:p w14:paraId="4EBAB5A0" w14:textId="77777777" w:rsidR="00A71EEF" w:rsidRDefault="0081115D">
      <w:pPr>
        <w:pStyle w:val="a3"/>
        <w:spacing w:line="446" w:lineRule="auto"/>
        <w:ind w:left="418" w:right="1611"/>
      </w:pPr>
      <w:r>
        <w:t>5.9</w:t>
      </w:r>
      <w:r>
        <w:rPr>
          <w:spacing w:val="-30"/>
        </w:rPr>
        <w:t xml:space="preserve"> </w:t>
      </w:r>
      <w:r>
        <w:rPr>
          <w:spacing w:val="-30"/>
        </w:rPr>
        <w:t>和</w:t>
      </w:r>
      <w:r>
        <w:rPr>
          <w:spacing w:val="-30"/>
        </w:rPr>
        <w:t xml:space="preserve"> </w:t>
      </w:r>
      <w:r>
        <w:t>5.3</w:t>
      </w:r>
      <w:r>
        <w:rPr>
          <w:spacing w:val="-8"/>
        </w:rPr>
        <w:t xml:space="preserve"> </w:t>
      </w:r>
      <w:r>
        <w:rPr>
          <w:spacing w:val="-8"/>
        </w:rPr>
        <w:t>中的配件安装情况，应对每一樘防火门进行检验；</w:t>
      </w:r>
      <w:r>
        <w:t>5.10</w:t>
      </w:r>
      <w:r>
        <w:rPr>
          <w:spacing w:val="-8"/>
        </w:rPr>
        <w:t xml:space="preserve"> </w:t>
      </w:r>
      <w:r>
        <w:rPr>
          <w:spacing w:val="-8"/>
        </w:rPr>
        <w:t>为抽样检验项目，产品抽样</w:t>
      </w:r>
      <w:r>
        <w:rPr>
          <w:spacing w:val="-9"/>
        </w:rPr>
        <w:t>方法由生产厂根据生产批量，按</w:t>
      </w:r>
      <w:r>
        <w:rPr>
          <w:spacing w:val="-9"/>
        </w:rPr>
        <w:t xml:space="preserve"> </w:t>
      </w:r>
      <w:r>
        <w:t>GB/T 2828.1</w:t>
      </w:r>
      <w:r>
        <w:rPr>
          <w:spacing w:val="-9"/>
        </w:rPr>
        <w:t xml:space="preserve"> </w:t>
      </w:r>
      <w:r>
        <w:rPr>
          <w:spacing w:val="-9"/>
        </w:rPr>
        <w:t>的有关要求，制订相应的文件规定。</w:t>
      </w:r>
      <w:r>
        <w:rPr>
          <w:spacing w:val="-9"/>
        </w:rPr>
        <w:t xml:space="preserve"> </w:t>
      </w:r>
    </w:p>
    <w:p w14:paraId="6BD69676" w14:textId="77777777" w:rsidR="00A71EEF" w:rsidRDefault="0081115D">
      <w:pPr>
        <w:pStyle w:val="a3"/>
        <w:spacing w:line="446" w:lineRule="auto"/>
        <w:ind w:left="418" w:right="1604" w:firstLine="422"/>
      </w:pPr>
      <w:r>
        <w:rPr>
          <w:b/>
        </w:rPr>
        <w:t xml:space="preserve">7.1.2 </w:t>
      </w:r>
      <w:r>
        <w:t>防火门产品必须由生产厂的质量检验部门按出厂检验项目逐项检验合格，签发合格证后方可出厂，并安装验收合格交付使用。</w:t>
      </w:r>
      <w:r>
        <w:t xml:space="preserve"> </w:t>
      </w:r>
    </w:p>
    <w:p w14:paraId="225716D1" w14:textId="77777777" w:rsidR="00A71EEF" w:rsidRDefault="0081115D">
      <w:pPr>
        <w:pStyle w:val="a4"/>
        <w:numPr>
          <w:ilvl w:val="1"/>
          <w:numId w:val="543"/>
        </w:numPr>
        <w:tabs>
          <w:tab w:val="left" w:pos="1159"/>
        </w:tabs>
        <w:ind w:hanging="319"/>
        <w:rPr>
          <w:b/>
          <w:sz w:val="21"/>
        </w:rPr>
      </w:pPr>
      <w:r>
        <w:rPr>
          <w:spacing w:val="-3"/>
          <w:sz w:val="21"/>
        </w:rPr>
        <w:t>形式检验</w:t>
      </w:r>
      <w:r>
        <w:rPr>
          <w:b/>
          <w:w w:val="99"/>
          <w:sz w:val="21"/>
        </w:rPr>
        <w:t xml:space="preserve"> </w:t>
      </w:r>
    </w:p>
    <w:p w14:paraId="021323C6" w14:textId="77777777" w:rsidR="00A71EEF" w:rsidRDefault="00A71EEF">
      <w:pPr>
        <w:pStyle w:val="a3"/>
        <w:spacing w:before="12"/>
        <w:rPr>
          <w:b/>
          <w:sz w:val="17"/>
        </w:rPr>
      </w:pPr>
    </w:p>
    <w:p w14:paraId="33502039" w14:textId="77777777" w:rsidR="00A71EEF" w:rsidRDefault="0081115D">
      <w:pPr>
        <w:pStyle w:val="a4"/>
        <w:numPr>
          <w:ilvl w:val="2"/>
          <w:numId w:val="543"/>
        </w:numPr>
        <w:tabs>
          <w:tab w:val="left" w:pos="1370"/>
        </w:tabs>
        <w:ind w:hanging="530"/>
        <w:jc w:val="both"/>
        <w:rPr>
          <w:b/>
          <w:sz w:val="21"/>
        </w:rPr>
      </w:pPr>
      <w:r>
        <w:rPr>
          <w:spacing w:val="-10"/>
          <w:sz w:val="21"/>
        </w:rPr>
        <w:t>检验项目见表</w:t>
      </w:r>
      <w:r>
        <w:rPr>
          <w:spacing w:val="-10"/>
          <w:sz w:val="21"/>
        </w:rPr>
        <w:t xml:space="preserve"> </w:t>
      </w:r>
      <w:r>
        <w:rPr>
          <w:sz w:val="21"/>
        </w:rPr>
        <w:t>6</w:t>
      </w:r>
      <w:r>
        <w:rPr>
          <w:spacing w:val="-3"/>
          <w:sz w:val="21"/>
        </w:rPr>
        <w:t>，按标准要求的顺序逐项进行检验。</w:t>
      </w:r>
      <w:r>
        <w:rPr>
          <w:b/>
          <w:w w:val="99"/>
          <w:sz w:val="21"/>
        </w:rPr>
        <w:t xml:space="preserve"> </w:t>
      </w:r>
    </w:p>
    <w:p w14:paraId="23F0F484" w14:textId="77777777" w:rsidR="00A71EEF" w:rsidRDefault="00A71EEF">
      <w:pPr>
        <w:pStyle w:val="a3"/>
        <w:rPr>
          <w:b/>
          <w:sz w:val="18"/>
        </w:rPr>
      </w:pPr>
    </w:p>
    <w:p w14:paraId="6DE13335" w14:textId="77777777" w:rsidR="00A71EEF" w:rsidRDefault="0081115D">
      <w:pPr>
        <w:pStyle w:val="a4"/>
        <w:numPr>
          <w:ilvl w:val="2"/>
          <w:numId w:val="543"/>
        </w:numPr>
        <w:tabs>
          <w:tab w:val="left" w:pos="1371"/>
        </w:tabs>
        <w:ind w:left="1370" w:hanging="531"/>
        <w:jc w:val="both"/>
        <w:rPr>
          <w:b/>
          <w:sz w:val="21"/>
        </w:rPr>
      </w:pPr>
      <w:r>
        <w:rPr>
          <w:spacing w:val="-8"/>
          <w:sz w:val="21"/>
        </w:rPr>
        <w:t>防火门的最小检验批量为</w:t>
      </w:r>
      <w:r>
        <w:rPr>
          <w:spacing w:val="-8"/>
          <w:sz w:val="21"/>
        </w:rPr>
        <w:t xml:space="preserve"> </w:t>
      </w:r>
      <w:r>
        <w:rPr>
          <w:sz w:val="21"/>
        </w:rPr>
        <w:t>9</w:t>
      </w:r>
      <w:r>
        <w:rPr>
          <w:spacing w:val="-9"/>
          <w:sz w:val="21"/>
        </w:rPr>
        <w:t xml:space="preserve"> </w:t>
      </w:r>
      <w:r>
        <w:rPr>
          <w:spacing w:val="-9"/>
          <w:sz w:val="21"/>
        </w:rPr>
        <w:t>樘，在生产单位成品库中抽取。</w:t>
      </w:r>
      <w:r>
        <w:rPr>
          <w:b/>
          <w:w w:val="99"/>
          <w:sz w:val="21"/>
        </w:rPr>
        <w:t xml:space="preserve"> </w:t>
      </w:r>
    </w:p>
    <w:p w14:paraId="73766E7D" w14:textId="77777777" w:rsidR="00A71EEF" w:rsidRDefault="00A71EEF">
      <w:pPr>
        <w:pStyle w:val="a3"/>
        <w:spacing w:before="2"/>
        <w:rPr>
          <w:b/>
          <w:sz w:val="18"/>
        </w:rPr>
      </w:pPr>
    </w:p>
    <w:p w14:paraId="2179A387" w14:textId="77777777" w:rsidR="00A71EEF" w:rsidRDefault="0081115D">
      <w:pPr>
        <w:pStyle w:val="a4"/>
        <w:numPr>
          <w:ilvl w:val="2"/>
          <w:numId w:val="543"/>
        </w:numPr>
        <w:tabs>
          <w:tab w:val="left" w:pos="1371"/>
        </w:tabs>
        <w:ind w:left="1370" w:hanging="531"/>
        <w:rPr>
          <w:b/>
          <w:sz w:val="21"/>
        </w:rPr>
      </w:pPr>
      <w:r>
        <w:rPr>
          <w:spacing w:val="-3"/>
          <w:sz w:val="21"/>
        </w:rPr>
        <w:t>有下列情况之一时应进行形式检验。</w:t>
      </w:r>
      <w:r>
        <w:rPr>
          <w:b/>
          <w:w w:val="99"/>
          <w:sz w:val="21"/>
        </w:rPr>
        <w:t xml:space="preserve"> </w:t>
      </w:r>
    </w:p>
    <w:p w14:paraId="52833E18" w14:textId="77777777" w:rsidR="00A71EEF" w:rsidRDefault="00A71EEF">
      <w:pPr>
        <w:rPr>
          <w:sz w:val="21"/>
        </w:rPr>
        <w:sectPr w:rsidR="00A71EEF">
          <w:pgSz w:w="11910" w:h="16850"/>
          <w:pgMar w:top="1220" w:right="0" w:bottom="1420" w:left="1260" w:header="0" w:footer="1159" w:gutter="0"/>
          <w:cols w:space="720"/>
        </w:sectPr>
      </w:pPr>
    </w:p>
    <w:p w14:paraId="0FF20693" w14:textId="77777777" w:rsidR="00A71EEF" w:rsidRDefault="0081115D">
      <w:pPr>
        <w:pStyle w:val="a4"/>
        <w:numPr>
          <w:ilvl w:val="0"/>
          <w:numId w:val="542"/>
        </w:numPr>
        <w:tabs>
          <w:tab w:val="left" w:pos="1156"/>
        </w:tabs>
        <w:spacing w:before="47"/>
        <w:rPr>
          <w:sz w:val="21"/>
        </w:rPr>
      </w:pPr>
      <w:r>
        <w:rPr>
          <w:spacing w:val="-3"/>
          <w:sz w:val="21"/>
        </w:rPr>
        <w:t>新产品或老产品转厂生产时的试制定型鉴定；</w:t>
      </w:r>
      <w:r>
        <w:rPr>
          <w:sz w:val="21"/>
        </w:rPr>
        <w:t xml:space="preserve"> </w:t>
      </w:r>
    </w:p>
    <w:p w14:paraId="52F2DF70" w14:textId="77777777" w:rsidR="00A71EEF" w:rsidRDefault="00A71EEF">
      <w:pPr>
        <w:pStyle w:val="a3"/>
        <w:rPr>
          <w:sz w:val="18"/>
        </w:rPr>
      </w:pPr>
    </w:p>
    <w:p w14:paraId="4A72A1B4" w14:textId="77777777" w:rsidR="00A71EEF" w:rsidRDefault="0081115D">
      <w:pPr>
        <w:pStyle w:val="a4"/>
        <w:numPr>
          <w:ilvl w:val="0"/>
          <w:numId w:val="542"/>
        </w:numPr>
        <w:tabs>
          <w:tab w:val="left" w:pos="1156"/>
        </w:tabs>
        <w:spacing w:line="446" w:lineRule="auto"/>
        <w:ind w:left="838" w:right="3294" w:firstLine="0"/>
        <w:rPr>
          <w:sz w:val="21"/>
        </w:rPr>
      </w:pPr>
      <w:r>
        <w:rPr>
          <w:spacing w:val="-3"/>
          <w:sz w:val="21"/>
        </w:rPr>
        <w:t>结构、材料、生产工艺、关键工序和加工方法等有影响其性能时；</w:t>
      </w:r>
      <w:r>
        <w:rPr>
          <w:spacing w:val="-3"/>
          <w:sz w:val="21"/>
        </w:rPr>
        <w:t xml:space="preserve"> </w:t>
      </w:r>
      <w:r>
        <w:rPr>
          <w:sz w:val="21"/>
        </w:rPr>
        <w:t>c</w:t>
      </w:r>
      <w:r>
        <w:rPr>
          <w:sz w:val="21"/>
        </w:rPr>
        <w:t>）</w:t>
      </w:r>
      <w:r>
        <w:rPr>
          <w:spacing w:val="-3"/>
          <w:sz w:val="21"/>
        </w:rPr>
        <w:t>正常生产，每三年不少于一次；</w:t>
      </w:r>
      <w:r>
        <w:rPr>
          <w:sz w:val="21"/>
        </w:rPr>
        <w:t xml:space="preserve"> </w:t>
      </w:r>
    </w:p>
    <w:p w14:paraId="2AB26450" w14:textId="77777777" w:rsidR="00A71EEF" w:rsidRDefault="0081115D">
      <w:pPr>
        <w:pStyle w:val="a4"/>
        <w:numPr>
          <w:ilvl w:val="0"/>
          <w:numId w:val="541"/>
        </w:numPr>
        <w:tabs>
          <w:tab w:val="left" w:pos="1156"/>
        </w:tabs>
        <w:rPr>
          <w:sz w:val="21"/>
        </w:rPr>
      </w:pPr>
      <w:r>
        <w:rPr>
          <w:spacing w:val="-3"/>
          <w:sz w:val="21"/>
        </w:rPr>
        <w:t>停产一年以上恢复生产时；</w:t>
      </w:r>
      <w:r>
        <w:rPr>
          <w:sz w:val="21"/>
        </w:rPr>
        <w:t xml:space="preserve"> </w:t>
      </w:r>
    </w:p>
    <w:p w14:paraId="18BF1673" w14:textId="77777777" w:rsidR="00A71EEF" w:rsidRDefault="00A71EEF">
      <w:pPr>
        <w:pStyle w:val="a3"/>
        <w:spacing w:before="12"/>
        <w:rPr>
          <w:sz w:val="17"/>
        </w:rPr>
      </w:pPr>
    </w:p>
    <w:p w14:paraId="75CCF4E5" w14:textId="77777777" w:rsidR="00A71EEF" w:rsidRDefault="0081115D">
      <w:pPr>
        <w:pStyle w:val="a4"/>
        <w:numPr>
          <w:ilvl w:val="0"/>
          <w:numId w:val="541"/>
        </w:numPr>
        <w:tabs>
          <w:tab w:val="left" w:pos="1156"/>
        </w:tabs>
        <w:spacing w:line="446" w:lineRule="auto"/>
        <w:ind w:left="838" w:right="5185" w:firstLine="0"/>
        <w:rPr>
          <w:sz w:val="21"/>
        </w:rPr>
      </w:pPr>
      <w:r>
        <w:rPr>
          <w:spacing w:val="-3"/>
          <w:sz w:val="21"/>
        </w:rPr>
        <w:t>出厂检验结果与上次形式检验有较大差异时；</w:t>
      </w:r>
      <w:r>
        <w:rPr>
          <w:spacing w:val="-3"/>
          <w:sz w:val="21"/>
        </w:rPr>
        <w:t xml:space="preserve"> </w:t>
      </w:r>
      <w:r>
        <w:rPr>
          <w:sz w:val="21"/>
        </w:rPr>
        <w:t>f</w:t>
      </w:r>
      <w:r>
        <w:rPr>
          <w:sz w:val="21"/>
        </w:rPr>
        <w:t>）</w:t>
      </w:r>
      <w:r>
        <w:rPr>
          <w:spacing w:val="-3"/>
          <w:sz w:val="21"/>
        </w:rPr>
        <w:t>发生重大质量事故时；</w:t>
      </w:r>
      <w:r>
        <w:rPr>
          <w:sz w:val="21"/>
        </w:rPr>
        <w:t xml:space="preserve"> </w:t>
      </w:r>
    </w:p>
    <w:p w14:paraId="52DBDB18" w14:textId="77777777" w:rsidR="00A71EEF" w:rsidRDefault="0081115D">
      <w:pPr>
        <w:spacing w:line="446" w:lineRule="auto"/>
        <w:ind w:left="840" w:right="6865" w:hanging="3"/>
        <w:rPr>
          <w:b/>
          <w:sz w:val="21"/>
        </w:rPr>
      </w:pPr>
      <w:r>
        <w:rPr>
          <w:sz w:val="21"/>
        </w:rPr>
        <w:t>g</w:t>
      </w:r>
      <w:r>
        <w:rPr>
          <w:sz w:val="21"/>
        </w:rPr>
        <w:t>）质量监督机构提出要求时。</w:t>
      </w:r>
      <w:r>
        <w:rPr>
          <w:b/>
          <w:sz w:val="21"/>
        </w:rPr>
        <w:t xml:space="preserve">7.2.4 </w:t>
      </w:r>
      <w:r>
        <w:rPr>
          <w:sz w:val="21"/>
        </w:rPr>
        <w:t>判定准则</w:t>
      </w:r>
      <w:r>
        <w:rPr>
          <w:b/>
          <w:w w:val="99"/>
          <w:sz w:val="21"/>
        </w:rPr>
        <w:t xml:space="preserve"> </w:t>
      </w:r>
    </w:p>
    <w:p w14:paraId="577102C1" w14:textId="77777777" w:rsidR="00A71EEF" w:rsidRDefault="0081115D">
      <w:pPr>
        <w:pStyle w:val="a3"/>
        <w:spacing w:line="267" w:lineRule="exact"/>
        <w:ind w:left="838"/>
      </w:pPr>
      <w:r>
        <w:t>表</w:t>
      </w:r>
      <w:r>
        <w:t xml:space="preserve"> 6 </w:t>
      </w:r>
      <w:r>
        <w:t>所列检验项目的检验结果不含</w:t>
      </w:r>
      <w:r>
        <w:t xml:space="preserve"> A </w:t>
      </w:r>
      <w:r>
        <w:t>类不合格项，</w:t>
      </w:r>
      <w:r>
        <w:t xml:space="preserve">B </w:t>
      </w:r>
      <w:r>
        <w:t>类与</w:t>
      </w:r>
      <w:r>
        <w:t xml:space="preserve">C </w:t>
      </w:r>
      <w:r>
        <w:t>类不合格项之和不大于四项，且</w:t>
      </w:r>
    </w:p>
    <w:p w14:paraId="25839A8E" w14:textId="77777777" w:rsidR="00A71EEF" w:rsidRDefault="00A71EEF">
      <w:pPr>
        <w:pStyle w:val="a3"/>
        <w:spacing w:before="2"/>
        <w:rPr>
          <w:sz w:val="18"/>
        </w:rPr>
      </w:pPr>
    </w:p>
    <w:p w14:paraId="44CCF767" w14:textId="77777777" w:rsidR="00A71EEF" w:rsidRDefault="0081115D">
      <w:pPr>
        <w:pStyle w:val="a3"/>
        <w:ind w:left="418"/>
      </w:pPr>
      <w:r>
        <w:t xml:space="preserve">B </w:t>
      </w:r>
      <w:r>
        <w:t>类不合格项不大于一项，判该产品为合格。否则判该产品不合格。</w:t>
      </w:r>
      <w:r>
        <w:t xml:space="preserve"> </w:t>
      </w:r>
    </w:p>
    <w:p w14:paraId="063BFEA4" w14:textId="77777777" w:rsidR="00A71EEF" w:rsidRDefault="00A71EEF">
      <w:pPr>
        <w:pStyle w:val="a3"/>
        <w:rPr>
          <w:sz w:val="18"/>
        </w:rPr>
      </w:pPr>
    </w:p>
    <w:p w14:paraId="46A49359" w14:textId="77777777" w:rsidR="00A71EEF" w:rsidRDefault="0081115D">
      <w:pPr>
        <w:pStyle w:val="6"/>
        <w:spacing w:after="39"/>
        <w:ind w:right="492"/>
        <w:jc w:val="center"/>
        <w:rPr>
          <w:b w:val="0"/>
        </w:rPr>
      </w:pPr>
      <w:r>
        <w:t>表</w:t>
      </w:r>
      <w:r>
        <w:t xml:space="preserve"> 6 </w:t>
      </w:r>
      <w:r>
        <w:t>检验项目</w:t>
      </w:r>
      <w:r>
        <w:rPr>
          <w:b w:val="0"/>
        </w:rPr>
        <w:t xml:space="preserve"> </w:t>
      </w:r>
    </w:p>
    <w:tbl>
      <w:tblPr>
        <w:tblStyle w:val="TableNormal"/>
        <w:tblW w:w="0" w:type="auto"/>
        <w:tblInd w:w="5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70"/>
        <w:gridCol w:w="2610"/>
        <w:gridCol w:w="2377"/>
        <w:gridCol w:w="1547"/>
        <w:gridCol w:w="925"/>
      </w:tblGrid>
      <w:tr w:rsidR="00A71EEF" w14:paraId="4D8C12CA" w14:textId="77777777">
        <w:trPr>
          <w:trHeight w:val="1000"/>
        </w:trPr>
        <w:tc>
          <w:tcPr>
            <w:tcW w:w="970" w:type="dxa"/>
          </w:tcPr>
          <w:p w14:paraId="32B598E5" w14:textId="77777777" w:rsidR="00A71EEF" w:rsidRDefault="00A71EEF">
            <w:pPr>
              <w:pStyle w:val="TableParagraph"/>
              <w:rPr>
                <w:sz w:val="20"/>
              </w:rPr>
            </w:pPr>
          </w:p>
          <w:p w14:paraId="7BB761AE" w14:textId="77777777" w:rsidR="00A71EEF" w:rsidRDefault="00A71EEF">
            <w:pPr>
              <w:pStyle w:val="TableParagraph"/>
              <w:spacing w:before="6"/>
              <w:rPr>
                <w:sz w:val="14"/>
              </w:rPr>
            </w:pPr>
          </w:p>
          <w:p w14:paraId="452B3DE8" w14:textId="77777777" w:rsidR="00A71EEF" w:rsidRDefault="0081115D">
            <w:pPr>
              <w:pStyle w:val="TableParagraph"/>
              <w:spacing w:before="1"/>
              <w:ind w:left="484" w:right="-58"/>
              <w:jc w:val="center"/>
              <w:rPr>
                <w:sz w:val="21"/>
              </w:rPr>
            </w:pPr>
            <w:r>
              <w:rPr>
                <w:spacing w:val="-2"/>
                <w:sz w:val="21"/>
              </w:rPr>
              <w:t>序号</w:t>
            </w:r>
            <w:r>
              <w:rPr>
                <w:sz w:val="21"/>
              </w:rPr>
              <w:t xml:space="preserve"> </w:t>
            </w:r>
          </w:p>
        </w:tc>
        <w:tc>
          <w:tcPr>
            <w:tcW w:w="2610" w:type="dxa"/>
          </w:tcPr>
          <w:p w14:paraId="26F2C420" w14:textId="77777777" w:rsidR="00A71EEF" w:rsidRDefault="00A71EEF">
            <w:pPr>
              <w:pStyle w:val="TableParagraph"/>
              <w:rPr>
                <w:sz w:val="20"/>
              </w:rPr>
            </w:pPr>
          </w:p>
          <w:p w14:paraId="4A5AC71B" w14:textId="77777777" w:rsidR="00A71EEF" w:rsidRDefault="00A71EEF">
            <w:pPr>
              <w:pStyle w:val="TableParagraph"/>
              <w:spacing w:before="6"/>
              <w:rPr>
                <w:sz w:val="14"/>
              </w:rPr>
            </w:pPr>
          </w:p>
          <w:p w14:paraId="17953B97" w14:textId="77777777" w:rsidR="00A71EEF" w:rsidRDefault="0081115D">
            <w:pPr>
              <w:pStyle w:val="TableParagraph"/>
              <w:spacing w:before="1"/>
              <w:ind w:left="601" w:right="62"/>
              <w:jc w:val="center"/>
              <w:rPr>
                <w:sz w:val="21"/>
              </w:rPr>
            </w:pPr>
            <w:r>
              <w:rPr>
                <w:sz w:val="21"/>
              </w:rPr>
              <w:t>检验项目</w:t>
            </w:r>
            <w:r>
              <w:rPr>
                <w:sz w:val="21"/>
              </w:rPr>
              <w:t xml:space="preserve"> </w:t>
            </w:r>
          </w:p>
        </w:tc>
        <w:tc>
          <w:tcPr>
            <w:tcW w:w="2377" w:type="dxa"/>
          </w:tcPr>
          <w:p w14:paraId="531BCF18" w14:textId="77777777" w:rsidR="00A71EEF" w:rsidRDefault="00A71EEF">
            <w:pPr>
              <w:pStyle w:val="TableParagraph"/>
              <w:rPr>
                <w:sz w:val="20"/>
              </w:rPr>
            </w:pPr>
          </w:p>
          <w:p w14:paraId="6CE4B13F" w14:textId="77777777" w:rsidR="00A71EEF" w:rsidRDefault="00A71EEF">
            <w:pPr>
              <w:pStyle w:val="TableParagraph"/>
              <w:spacing w:before="6"/>
              <w:rPr>
                <w:sz w:val="14"/>
              </w:rPr>
            </w:pPr>
          </w:p>
          <w:p w14:paraId="1C709C73" w14:textId="77777777" w:rsidR="00A71EEF" w:rsidRDefault="0081115D">
            <w:pPr>
              <w:pStyle w:val="TableParagraph"/>
              <w:spacing w:before="1"/>
              <w:ind w:left="1008" w:right="473"/>
              <w:jc w:val="center"/>
              <w:rPr>
                <w:sz w:val="21"/>
              </w:rPr>
            </w:pPr>
            <w:r>
              <w:rPr>
                <w:sz w:val="21"/>
              </w:rPr>
              <w:t>要求条款</w:t>
            </w:r>
            <w:r>
              <w:rPr>
                <w:sz w:val="21"/>
              </w:rPr>
              <w:t xml:space="preserve"> </w:t>
            </w:r>
          </w:p>
        </w:tc>
        <w:tc>
          <w:tcPr>
            <w:tcW w:w="1547" w:type="dxa"/>
          </w:tcPr>
          <w:p w14:paraId="272EA43F" w14:textId="77777777" w:rsidR="00A71EEF" w:rsidRDefault="0081115D">
            <w:pPr>
              <w:pStyle w:val="TableParagraph"/>
              <w:spacing w:before="3" w:line="500" w:lineRule="exact"/>
              <w:ind w:left="665" w:right="22" w:hanging="212"/>
              <w:rPr>
                <w:sz w:val="21"/>
              </w:rPr>
            </w:pPr>
            <w:r>
              <w:rPr>
                <w:sz w:val="21"/>
              </w:rPr>
              <w:t>试验方法条款</w:t>
            </w:r>
            <w:r>
              <w:rPr>
                <w:sz w:val="21"/>
              </w:rPr>
              <w:t xml:space="preserve"> </w:t>
            </w:r>
          </w:p>
        </w:tc>
        <w:tc>
          <w:tcPr>
            <w:tcW w:w="925" w:type="dxa"/>
          </w:tcPr>
          <w:p w14:paraId="435FCEC4" w14:textId="77777777" w:rsidR="00A71EEF" w:rsidRDefault="0081115D">
            <w:pPr>
              <w:pStyle w:val="TableParagraph"/>
              <w:spacing w:before="3" w:line="500" w:lineRule="exact"/>
              <w:ind w:left="143" w:right="25" w:firstLine="316"/>
              <w:rPr>
                <w:sz w:val="21"/>
              </w:rPr>
            </w:pPr>
            <w:r>
              <w:rPr>
                <w:sz w:val="21"/>
              </w:rPr>
              <w:t>不合格分类</w:t>
            </w:r>
            <w:r>
              <w:rPr>
                <w:sz w:val="21"/>
              </w:rPr>
              <w:t xml:space="preserve"> </w:t>
            </w:r>
          </w:p>
        </w:tc>
      </w:tr>
      <w:tr w:rsidR="00A71EEF" w14:paraId="53D282CE" w14:textId="77777777">
        <w:trPr>
          <w:trHeight w:val="498"/>
        </w:trPr>
        <w:tc>
          <w:tcPr>
            <w:tcW w:w="970" w:type="dxa"/>
          </w:tcPr>
          <w:p w14:paraId="11B9A434" w14:textId="77777777" w:rsidR="00A71EEF" w:rsidRDefault="00A71EEF">
            <w:pPr>
              <w:pStyle w:val="TableParagraph"/>
              <w:spacing w:before="11"/>
              <w:rPr>
                <w:sz w:val="14"/>
              </w:rPr>
            </w:pPr>
          </w:p>
          <w:p w14:paraId="19DD2A0C" w14:textId="77777777" w:rsidR="00A71EEF" w:rsidRDefault="0081115D">
            <w:pPr>
              <w:pStyle w:val="TableParagraph"/>
              <w:ind w:left="623" w:right="82"/>
              <w:jc w:val="center"/>
              <w:rPr>
                <w:sz w:val="21"/>
              </w:rPr>
            </w:pPr>
            <w:r>
              <w:rPr>
                <w:sz w:val="21"/>
              </w:rPr>
              <w:t xml:space="preserve">1 </w:t>
            </w:r>
          </w:p>
        </w:tc>
        <w:tc>
          <w:tcPr>
            <w:tcW w:w="2610" w:type="dxa"/>
          </w:tcPr>
          <w:p w14:paraId="54A2C8F4" w14:textId="77777777" w:rsidR="00A71EEF" w:rsidRDefault="00A71EEF">
            <w:pPr>
              <w:pStyle w:val="TableParagraph"/>
              <w:spacing w:before="11"/>
              <w:rPr>
                <w:sz w:val="14"/>
              </w:rPr>
            </w:pPr>
          </w:p>
          <w:p w14:paraId="04041422" w14:textId="77777777" w:rsidR="00A71EEF" w:rsidRDefault="0081115D">
            <w:pPr>
              <w:pStyle w:val="TableParagraph"/>
              <w:ind w:left="601" w:right="62"/>
              <w:jc w:val="center"/>
              <w:rPr>
                <w:sz w:val="21"/>
              </w:rPr>
            </w:pPr>
            <w:r>
              <w:rPr>
                <w:sz w:val="21"/>
              </w:rPr>
              <w:t>填充材料</w:t>
            </w:r>
            <w:r>
              <w:rPr>
                <w:sz w:val="21"/>
              </w:rPr>
              <w:t xml:space="preserve"> </w:t>
            </w:r>
          </w:p>
        </w:tc>
        <w:tc>
          <w:tcPr>
            <w:tcW w:w="2377" w:type="dxa"/>
          </w:tcPr>
          <w:p w14:paraId="2B850783" w14:textId="77777777" w:rsidR="00A71EEF" w:rsidRDefault="00A71EEF">
            <w:pPr>
              <w:pStyle w:val="TableParagraph"/>
              <w:spacing w:before="11"/>
              <w:rPr>
                <w:sz w:val="14"/>
              </w:rPr>
            </w:pPr>
          </w:p>
          <w:p w14:paraId="297DF80B" w14:textId="77777777" w:rsidR="00A71EEF" w:rsidRDefault="0081115D">
            <w:pPr>
              <w:pStyle w:val="TableParagraph"/>
              <w:ind w:left="1005" w:right="473"/>
              <w:jc w:val="center"/>
              <w:rPr>
                <w:sz w:val="21"/>
              </w:rPr>
            </w:pPr>
            <w:r>
              <w:rPr>
                <w:sz w:val="21"/>
              </w:rPr>
              <w:t xml:space="preserve">5.2.1 </w:t>
            </w:r>
          </w:p>
        </w:tc>
        <w:tc>
          <w:tcPr>
            <w:tcW w:w="1547" w:type="dxa"/>
          </w:tcPr>
          <w:p w14:paraId="60A19476" w14:textId="77777777" w:rsidR="00A71EEF" w:rsidRDefault="00A71EEF">
            <w:pPr>
              <w:pStyle w:val="TableParagraph"/>
              <w:spacing w:before="11"/>
              <w:rPr>
                <w:sz w:val="14"/>
              </w:rPr>
            </w:pPr>
          </w:p>
          <w:p w14:paraId="31C9643C" w14:textId="77777777" w:rsidR="00A71EEF" w:rsidRDefault="0081115D">
            <w:pPr>
              <w:pStyle w:val="TableParagraph"/>
              <w:ind w:left="698" w:right="163"/>
              <w:jc w:val="center"/>
              <w:rPr>
                <w:sz w:val="21"/>
              </w:rPr>
            </w:pPr>
            <w:r>
              <w:rPr>
                <w:sz w:val="21"/>
              </w:rPr>
              <w:t xml:space="preserve">6.3.1 </w:t>
            </w:r>
          </w:p>
        </w:tc>
        <w:tc>
          <w:tcPr>
            <w:tcW w:w="925" w:type="dxa"/>
          </w:tcPr>
          <w:p w14:paraId="161724D2" w14:textId="77777777" w:rsidR="00A71EEF" w:rsidRDefault="00A71EEF">
            <w:pPr>
              <w:pStyle w:val="TableParagraph"/>
              <w:spacing w:before="11"/>
              <w:rPr>
                <w:sz w:val="14"/>
              </w:rPr>
            </w:pPr>
          </w:p>
          <w:p w14:paraId="10EC49A9" w14:textId="77777777" w:rsidR="00A71EEF" w:rsidRDefault="0081115D">
            <w:pPr>
              <w:pStyle w:val="TableParagraph"/>
              <w:ind w:right="80"/>
              <w:jc w:val="right"/>
              <w:rPr>
                <w:sz w:val="21"/>
              </w:rPr>
            </w:pPr>
            <w:r>
              <w:rPr>
                <w:sz w:val="21"/>
              </w:rPr>
              <w:t xml:space="preserve">A </w:t>
            </w:r>
          </w:p>
        </w:tc>
      </w:tr>
      <w:tr w:rsidR="00A71EEF" w14:paraId="13473B1A" w14:textId="77777777">
        <w:trPr>
          <w:trHeight w:val="501"/>
        </w:trPr>
        <w:tc>
          <w:tcPr>
            <w:tcW w:w="970" w:type="dxa"/>
          </w:tcPr>
          <w:p w14:paraId="4DF0EB55" w14:textId="77777777" w:rsidR="00A71EEF" w:rsidRDefault="00A71EEF">
            <w:pPr>
              <w:pStyle w:val="TableParagraph"/>
              <w:spacing w:before="11"/>
              <w:rPr>
                <w:sz w:val="14"/>
              </w:rPr>
            </w:pPr>
          </w:p>
          <w:p w14:paraId="2E80F532" w14:textId="77777777" w:rsidR="00A71EEF" w:rsidRDefault="0081115D">
            <w:pPr>
              <w:pStyle w:val="TableParagraph"/>
              <w:ind w:left="623" w:right="82"/>
              <w:jc w:val="center"/>
              <w:rPr>
                <w:sz w:val="21"/>
              </w:rPr>
            </w:pPr>
            <w:r>
              <w:rPr>
                <w:sz w:val="21"/>
              </w:rPr>
              <w:t xml:space="preserve">2 </w:t>
            </w:r>
          </w:p>
        </w:tc>
        <w:tc>
          <w:tcPr>
            <w:tcW w:w="2610" w:type="dxa"/>
          </w:tcPr>
          <w:p w14:paraId="244B466C" w14:textId="77777777" w:rsidR="00A71EEF" w:rsidRDefault="00A71EEF">
            <w:pPr>
              <w:pStyle w:val="TableParagraph"/>
              <w:spacing w:before="11"/>
              <w:rPr>
                <w:sz w:val="14"/>
              </w:rPr>
            </w:pPr>
          </w:p>
          <w:p w14:paraId="76D96D1B" w14:textId="77777777" w:rsidR="00A71EEF" w:rsidRDefault="0081115D">
            <w:pPr>
              <w:pStyle w:val="TableParagraph"/>
              <w:ind w:left="599" w:right="63"/>
              <w:jc w:val="center"/>
              <w:rPr>
                <w:sz w:val="21"/>
              </w:rPr>
            </w:pPr>
            <w:r>
              <w:rPr>
                <w:sz w:val="21"/>
              </w:rPr>
              <w:t>木材</w:t>
            </w:r>
            <w:r>
              <w:rPr>
                <w:sz w:val="21"/>
              </w:rPr>
              <w:t xml:space="preserve"> </w:t>
            </w:r>
          </w:p>
        </w:tc>
        <w:tc>
          <w:tcPr>
            <w:tcW w:w="2377" w:type="dxa"/>
          </w:tcPr>
          <w:p w14:paraId="0E3B96C7" w14:textId="77777777" w:rsidR="00A71EEF" w:rsidRDefault="00A71EEF">
            <w:pPr>
              <w:pStyle w:val="TableParagraph"/>
              <w:spacing w:before="11"/>
              <w:rPr>
                <w:sz w:val="14"/>
              </w:rPr>
            </w:pPr>
          </w:p>
          <w:p w14:paraId="1F140E69" w14:textId="77777777" w:rsidR="00A71EEF" w:rsidRDefault="0081115D">
            <w:pPr>
              <w:pStyle w:val="TableParagraph"/>
              <w:ind w:left="1005" w:right="473"/>
              <w:jc w:val="center"/>
              <w:rPr>
                <w:sz w:val="21"/>
              </w:rPr>
            </w:pPr>
            <w:r>
              <w:rPr>
                <w:sz w:val="21"/>
              </w:rPr>
              <w:t xml:space="preserve">5.2.2 </w:t>
            </w:r>
          </w:p>
        </w:tc>
        <w:tc>
          <w:tcPr>
            <w:tcW w:w="1547" w:type="dxa"/>
          </w:tcPr>
          <w:p w14:paraId="5F799BDF" w14:textId="77777777" w:rsidR="00A71EEF" w:rsidRDefault="00A71EEF">
            <w:pPr>
              <w:pStyle w:val="TableParagraph"/>
              <w:spacing w:before="11"/>
              <w:rPr>
                <w:sz w:val="14"/>
              </w:rPr>
            </w:pPr>
          </w:p>
          <w:p w14:paraId="575DB006" w14:textId="77777777" w:rsidR="00A71EEF" w:rsidRDefault="0081115D">
            <w:pPr>
              <w:pStyle w:val="TableParagraph"/>
              <w:ind w:left="698" w:right="163"/>
              <w:jc w:val="center"/>
              <w:rPr>
                <w:sz w:val="21"/>
              </w:rPr>
            </w:pPr>
            <w:r>
              <w:rPr>
                <w:sz w:val="21"/>
              </w:rPr>
              <w:t xml:space="preserve">6.3.2 </w:t>
            </w:r>
          </w:p>
        </w:tc>
        <w:tc>
          <w:tcPr>
            <w:tcW w:w="925" w:type="dxa"/>
          </w:tcPr>
          <w:p w14:paraId="4036B33E" w14:textId="77777777" w:rsidR="00A71EEF" w:rsidRDefault="00A71EEF">
            <w:pPr>
              <w:pStyle w:val="TableParagraph"/>
              <w:spacing w:before="11"/>
              <w:rPr>
                <w:sz w:val="14"/>
              </w:rPr>
            </w:pPr>
          </w:p>
          <w:p w14:paraId="0D871BEE" w14:textId="77777777" w:rsidR="00A71EEF" w:rsidRDefault="0081115D">
            <w:pPr>
              <w:pStyle w:val="TableParagraph"/>
              <w:ind w:right="80"/>
              <w:jc w:val="right"/>
              <w:rPr>
                <w:sz w:val="21"/>
              </w:rPr>
            </w:pPr>
            <w:r>
              <w:rPr>
                <w:sz w:val="21"/>
              </w:rPr>
              <w:t xml:space="preserve">A </w:t>
            </w:r>
          </w:p>
        </w:tc>
      </w:tr>
      <w:tr w:rsidR="00A71EEF" w14:paraId="5525ADE8" w14:textId="77777777">
        <w:trPr>
          <w:trHeight w:val="498"/>
        </w:trPr>
        <w:tc>
          <w:tcPr>
            <w:tcW w:w="970" w:type="dxa"/>
          </w:tcPr>
          <w:p w14:paraId="2EB30C6B" w14:textId="77777777" w:rsidR="00A71EEF" w:rsidRDefault="00A71EEF">
            <w:pPr>
              <w:pStyle w:val="TableParagraph"/>
              <w:spacing w:before="11"/>
              <w:rPr>
                <w:sz w:val="14"/>
              </w:rPr>
            </w:pPr>
          </w:p>
          <w:p w14:paraId="25F032A6" w14:textId="77777777" w:rsidR="00A71EEF" w:rsidRDefault="0081115D">
            <w:pPr>
              <w:pStyle w:val="TableParagraph"/>
              <w:ind w:left="623" w:right="82"/>
              <w:jc w:val="center"/>
              <w:rPr>
                <w:sz w:val="21"/>
              </w:rPr>
            </w:pPr>
            <w:r>
              <w:rPr>
                <w:sz w:val="21"/>
              </w:rPr>
              <w:t xml:space="preserve">3 </w:t>
            </w:r>
          </w:p>
        </w:tc>
        <w:tc>
          <w:tcPr>
            <w:tcW w:w="2610" w:type="dxa"/>
          </w:tcPr>
          <w:p w14:paraId="0AD3D29D" w14:textId="77777777" w:rsidR="00A71EEF" w:rsidRDefault="00A71EEF">
            <w:pPr>
              <w:pStyle w:val="TableParagraph"/>
              <w:spacing w:before="11"/>
              <w:rPr>
                <w:sz w:val="14"/>
              </w:rPr>
            </w:pPr>
          </w:p>
          <w:p w14:paraId="7B438F5F" w14:textId="77777777" w:rsidR="00A71EEF" w:rsidRDefault="0081115D">
            <w:pPr>
              <w:pStyle w:val="TableParagraph"/>
              <w:ind w:left="599" w:right="63"/>
              <w:jc w:val="center"/>
              <w:rPr>
                <w:sz w:val="21"/>
              </w:rPr>
            </w:pPr>
            <w:r>
              <w:rPr>
                <w:sz w:val="21"/>
              </w:rPr>
              <w:t>人造板</w:t>
            </w:r>
            <w:r>
              <w:rPr>
                <w:sz w:val="21"/>
              </w:rPr>
              <w:t xml:space="preserve"> </w:t>
            </w:r>
          </w:p>
        </w:tc>
        <w:tc>
          <w:tcPr>
            <w:tcW w:w="2377" w:type="dxa"/>
          </w:tcPr>
          <w:p w14:paraId="69E03482" w14:textId="77777777" w:rsidR="00A71EEF" w:rsidRDefault="00A71EEF">
            <w:pPr>
              <w:pStyle w:val="TableParagraph"/>
              <w:spacing w:before="11"/>
              <w:rPr>
                <w:sz w:val="14"/>
              </w:rPr>
            </w:pPr>
          </w:p>
          <w:p w14:paraId="594B48F3" w14:textId="77777777" w:rsidR="00A71EEF" w:rsidRDefault="0081115D">
            <w:pPr>
              <w:pStyle w:val="TableParagraph"/>
              <w:ind w:left="1005" w:right="473"/>
              <w:jc w:val="center"/>
              <w:rPr>
                <w:sz w:val="21"/>
              </w:rPr>
            </w:pPr>
            <w:r>
              <w:rPr>
                <w:sz w:val="21"/>
              </w:rPr>
              <w:t xml:space="preserve">5.2.3 </w:t>
            </w:r>
          </w:p>
        </w:tc>
        <w:tc>
          <w:tcPr>
            <w:tcW w:w="1547" w:type="dxa"/>
          </w:tcPr>
          <w:p w14:paraId="383A776E" w14:textId="77777777" w:rsidR="00A71EEF" w:rsidRDefault="00A71EEF">
            <w:pPr>
              <w:pStyle w:val="TableParagraph"/>
              <w:spacing w:before="11"/>
              <w:rPr>
                <w:sz w:val="14"/>
              </w:rPr>
            </w:pPr>
          </w:p>
          <w:p w14:paraId="3604990B" w14:textId="77777777" w:rsidR="00A71EEF" w:rsidRDefault="0081115D">
            <w:pPr>
              <w:pStyle w:val="TableParagraph"/>
              <w:ind w:left="698" w:right="163"/>
              <w:jc w:val="center"/>
              <w:rPr>
                <w:sz w:val="21"/>
              </w:rPr>
            </w:pPr>
            <w:r>
              <w:rPr>
                <w:sz w:val="21"/>
              </w:rPr>
              <w:t xml:space="preserve">6.3.3 </w:t>
            </w:r>
          </w:p>
        </w:tc>
        <w:tc>
          <w:tcPr>
            <w:tcW w:w="925" w:type="dxa"/>
          </w:tcPr>
          <w:p w14:paraId="69700BEB" w14:textId="77777777" w:rsidR="00A71EEF" w:rsidRDefault="00A71EEF">
            <w:pPr>
              <w:pStyle w:val="TableParagraph"/>
              <w:spacing w:before="11"/>
              <w:rPr>
                <w:sz w:val="14"/>
              </w:rPr>
            </w:pPr>
          </w:p>
          <w:p w14:paraId="0A8616CF" w14:textId="77777777" w:rsidR="00A71EEF" w:rsidRDefault="0081115D">
            <w:pPr>
              <w:pStyle w:val="TableParagraph"/>
              <w:ind w:right="80"/>
              <w:jc w:val="right"/>
              <w:rPr>
                <w:sz w:val="21"/>
              </w:rPr>
            </w:pPr>
            <w:r>
              <w:rPr>
                <w:sz w:val="21"/>
              </w:rPr>
              <w:t xml:space="preserve">A </w:t>
            </w:r>
          </w:p>
        </w:tc>
      </w:tr>
      <w:tr w:rsidR="00A71EEF" w14:paraId="4018D73C" w14:textId="77777777">
        <w:trPr>
          <w:trHeight w:val="501"/>
        </w:trPr>
        <w:tc>
          <w:tcPr>
            <w:tcW w:w="970" w:type="dxa"/>
          </w:tcPr>
          <w:p w14:paraId="218D8BA7" w14:textId="77777777" w:rsidR="00A71EEF" w:rsidRDefault="00A71EEF">
            <w:pPr>
              <w:pStyle w:val="TableParagraph"/>
              <w:spacing w:before="11"/>
              <w:rPr>
                <w:sz w:val="14"/>
              </w:rPr>
            </w:pPr>
          </w:p>
          <w:p w14:paraId="4E334E7F" w14:textId="77777777" w:rsidR="00A71EEF" w:rsidRDefault="0081115D">
            <w:pPr>
              <w:pStyle w:val="TableParagraph"/>
              <w:ind w:left="623" w:right="82"/>
              <w:jc w:val="center"/>
              <w:rPr>
                <w:sz w:val="21"/>
              </w:rPr>
            </w:pPr>
            <w:r>
              <w:rPr>
                <w:sz w:val="21"/>
              </w:rPr>
              <w:t xml:space="preserve">4 </w:t>
            </w:r>
          </w:p>
        </w:tc>
        <w:tc>
          <w:tcPr>
            <w:tcW w:w="2610" w:type="dxa"/>
          </w:tcPr>
          <w:p w14:paraId="21574D42" w14:textId="77777777" w:rsidR="00A71EEF" w:rsidRDefault="00A71EEF">
            <w:pPr>
              <w:pStyle w:val="TableParagraph"/>
              <w:spacing w:before="11"/>
              <w:rPr>
                <w:sz w:val="14"/>
              </w:rPr>
            </w:pPr>
          </w:p>
          <w:p w14:paraId="2D3B9EC4" w14:textId="77777777" w:rsidR="00A71EEF" w:rsidRDefault="0081115D">
            <w:pPr>
              <w:pStyle w:val="TableParagraph"/>
              <w:ind w:left="599" w:right="63"/>
              <w:jc w:val="center"/>
              <w:rPr>
                <w:sz w:val="21"/>
              </w:rPr>
            </w:pPr>
            <w:r>
              <w:rPr>
                <w:sz w:val="21"/>
              </w:rPr>
              <w:t>钢材</w:t>
            </w:r>
            <w:r>
              <w:rPr>
                <w:sz w:val="21"/>
              </w:rPr>
              <w:t xml:space="preserve"> </w:t>
            </w:r>
          </w:p>
        </w:tc>
        <w:tc>
          <w:tcPr>
            <w:tcW w:w="2377" w:type="dxa"/>
          </w:tcPr>
          <w:p w14:paraId="63468B1C" w14:textId="77777777" w:rsidR="00A71EEF" w:rsidRDefault="00A71EEF">
            <w:pPr>
              <w:pStyle w:val="TableParagraph"/>
              <w:spacing w:before="11"/>
              <w:rPr>
                <w:sz w:val="14"/>
              </w:rPr>
            </w:pPr>
          </w:p>
          <w:p w14:paraId="24539D12" w14:textId="77777777" w:rsidR="00A71EEF" w:rsidRDefault="0081115D">
            <w:pPr>
              <w:pStyle w:val="TableParagraph"/>
              <w:ind w:left="1005" w:right="473"/>
              <w:jc w:val="center"/>
              <w:rPr>
                <w:sz w:val="21"/>
              </w:rPr>
            </w:pPr>
            <w:r>
              <w:rPr>
                <w:sz w:val="21"/>
              </w:rPr>
              <w:t xml:space="preserve">5.2.4 </w:t>
            </w:r>
          </w:p>
        </w:tc>
        <w:tc>
          <w:tcPr>
            <w:tcW w:w="1547" w:type="dxa"/>
          </w:tcPr>
          <w:p w14:paraId="36BD8498" w14:textId="77777777" w:rsidR="00A71EEF" w:rsidRDefault="00A71EEF">
            <w:pPr>
              <w:pStyle w:val="TableParagraph"/>
              <w:spacing w:before="11"/>
              <w:rPr>
                <w:sz w:val="14"/>
              </w:rPr>
            </w:pPr>
          </w:p>
          <w:p w14:paraId="1F9498E2" w14:textId="77777777" w:rsidR="00A71EEF" w:rsidRDefault="0081115D">
            <w:pPr>
              <w:pStyle w:val="TableParagraph"/>
              <w:ind w:left="698" w:right="163"/>
              <w:jc w:val="center"/>
              <w:rPr>
                <w:sz w:val="21"/>
              </w:rPr>
            </w:pPr>
            <w:r>
              <w:rPr>
                <w:sz w:val="21"/>
              </w:rPr>
              <w:t xml:space="preserve">6.3.4 </w:t>
            </w:r>
          </w:p>
        </w:tc>
        <w:tc>
          <w:tcPr>
            <w:tcW w:w="925" w:type="dxa"/>
          </w:tcPr>
          <w:p w14:paraId="22B9CB87" w14:textId="77777777" w:rsidR="00A71EEF" w:rsidRDefault="00A71EEF">
            <w:pPr>
              <w:pStyle w:val="TableParagraph"/>
              <w:spacing w:before="11"/>
              <w:rPr>
                <w:sz w:val="14"/>
              </w:rPr>
            </w:pPr>
          </w:p>
          <w:p w14:paraId="4CC1C113" w14:textId="77777777" w:rsidR="00A71EEF" w:rsidRDefault="0081115D">
            <w:pPr>
              <w:pStyle w:val="TableParagraph"/>
              <w:ind w:right="80"/>
              <w:jc w:val="right"/>
              <w:rPr>
                <w:sz w:val="21"/>
              </w:rPr>
            </w:pPr>
            <w:r>
              <w:rPr>
                <w:sz w:val="21"/>
              </w:rPr>
              <w:t xml:space="preserve">A </w:t>
            </w:r>
          </w:p>
        </w:tc>
      </w:tr>
      <w:tr w:rsidR="00A71EEF" w14:paraId="624100AE" w14:textId="77777777">
        <w:trPr>
          <w:trHeight w:val="498"/>
        </w:trPr>
        <w:tc>
          <w:tcPr>
            <w:tcW w:w="970" w:type="dxa"/>
          </w:tcPr>
          <w:p w14:paraId="1405F0C4" w14:textId="77777777" w:rsidR="00A71EEF" w:rsidRDefault="00A71EEF">
            <w:pPr>
              <w:pStyle w:val="TableParagraph"/>
              <w:spacing w:before="11"/>
              <w:rPr>
                <w:sz w:val="14"/>
              </w:rPr>
            </w:pPr>
          </w:p>
          <w:p w14:paraId="42F24C1F" w14:textId="77777777" w:rsidR="00A71EEF" w:rsidRDefault="0081115D">
            <w:pPr>
              <w:pStyle w:val="TableParagraph"/>
              <w:ind w:left="623" w:right="82"/>
              <w:jc w:val="center"/>
              <w:rPr>
                <w:sz w:val="21"/>
              </w:rPr>
            </w:pPr>
            <w:r>
              <w:rPr>
                <w:sz w:val="21"/>
              </w:rPr>
              <w:t xml:space="preserve">5 </w:t>
            </w:r>
          </w:p>
        </w:tc>
        <w:tc>
          <w:tcPr>
            <w:tcW w:w="2610" w:type="dxa"/>
          </w:tcPr>
          <w:p w14:paraId="645F0E96" w14:textId="77777777" w:rsidR="00A71EEF" w:rsidRDefault="00A71EEF">
            <w:pPr>
              <w:pStyle w:val="TableParagraph"/>
              <w:spacing w:before="11"/>
              <w:rPr>
                <w:sz w:val="14"/>
              </w:rPr>
            </w:pPr>
          </w:p>
          <w:p w14:paraId="2DBF7BB7" w14:textId="77777777" w:rsidR="00A71EEF" w:rsidRDefault="0081115D">
            <w:pPr>
              <w:pStyle w:val="TableParagraph"/>
              <w:ind w:left="599" w:right="63"/>
              <w:jc w:val="center"/>
              <w:rPr>
                <w:sz w:val="21"/>
              </w:rPr>
            </w:pPr>
            <w:r>
              <w:rPr>
                <w:sz w:val="21"/>
              </w:rPr>
              <w:t>其他材质材料</w:t>
            </w:r>
            <w:r>
              <w:rPr>
                <w:sz w:val="21"/>
              </w:rPr>
              <w:t xml:space="preserve"> </w:t>
            </w:r>
          </w:p>
        </w:tc>
        <w:tc>
          <w:tcPr>
            <w:tcW w:w="2377" w:type="dxa"/>
          </w:tcPr>
          <w:p w14:paraId="25F9F28D" w14:textId="77777777" w:rsidR="00A71EEF" w:rsidRDefault="00A71EEF">
            <w:pPr>
              <w:pStyle w:val="TableParagraph"/>
              <w:spacing w:before="11"/>
              <w:rPr>
                <w:sz w:val="14"/>
              </w:rPr>
            </w:pPr>
          </w:p>
          <w:p w14:paraId="00DAC140" w14:textId="77777777" w:rsidR="00A71EEF" w:rsidRDefault="0081115D">
            <w:pPr>
              <w:pStyle w:val="TableParagraph"/>
              <w:ind w:left="1005" w:right="473"/>
              <w:jc w:val="center"/>
              <w:rPr>
                <w:sz w:val="21"/>
              </w:rPr>
            </w:pPr>
            <w:r>
              <w:rPr>
                <w:sz w:val="21"/>
              </w:rPr>
              <w:t xml:space="preserve">5.2.5 </w:t>
            </w:r>
          </w:p>
        </w:tc>
        <w:tc>
          <w:tcPr>
            <w:tcW w:w="1547" w:type="dxa"/>
          </w:tcPr>
          <w:p w14:paraId="6334664D" w14:textId="77777777" w:rsidR="00A71EEF" w:rsidRDefault="00A71EEF">
            <w:pPr>
              <w:pStyle w:val="TableParagraph"/>
              <w:spacing w:before="11"/>
              <w:rPr>
                <w:sz w:val="14"/>
              </w:rPr>
            </w:pPr>
          </w:p>
          <w:p w14:paraId="6C457EB3" w14:textId="77777777" w:rsidR="00A71EEF" w:rsidRDefault="0081115D">
            <w:pPr>
              <w:pStyle w:val="TableParagraph"/>
              <w:ind w:left="698" w:right="163"/>
              <w:jc w:val="center"/>
              <w:rPr>
                <w:sz w:val="21"/>
              </w:rPr>
            </w:pPr>
            <w:r>
              <w:rPr>
                <w:sz w:val="21"/>
              </w:rPr>
              <w:t xml:space="preserve">6.3.5 </w:t>
            </w:r>
          </w:p>
        </w:tc>
        <w:tc>
          <w:tcPr>
            <w:tcW w:w="925" w:type="dxa"/>
          </w:tcPr>
          <w:p w14:paraId="411A7F74" w14:textId="77777777" w:rsidR="00A71EEF" w:rsidRDefault="00A71EEF">
            <w:pPr>
              <w:pStyle w:val="TableParagraph"/>
              <w:spacing w:before="11"/>
              <w:rPr>
                <w:sz w:val="14"/>
              </w:rPr>
            </w:pPr>
          </w:p>
          <w:p w14:paraId="30986AAB" w14:textId="77777777" w:rsidR="00A71EEF" w:rsidRDefault="0081115D">
            <w:pPr>
              <w:pStyle w:val="TableParagraph"/>
              <w:ind w:right="80"/>
              <w:jc w:val="right"/>
              <w:rPr>
                <w:sz w:val="21"/>
              </w:rPr>
            </w:pPr>
            <w:r>
              <w:rPr>
                <w:sz w:val="21"/>
              </w:rPr>
              <w:t xml:space="preserve">A </w:t>
            </w:r>
          </w:p>
        </w:tc>
      </w:tr>
      <w:tr w:rsidR="00A71EEF" w14:paraId="0568C2C5" w14:textId="77777777">
        <w:trPr>
          <w:trHeight w:val="501"/>
        </w:trPr>
        <w:tc>
          <w:tcPr>
            <w:tcW w:w="970" w:type="dxa"/>
          </w:tcPr>
          <w:p w14:paraId="72C3F5E4" w14:textId="77777777" w:rsidR="00A71EEF" w:rsidRDefault="00A71EEF">
            <w:pPr>
              <w:pStyle w:val="TableParagraph"/>
              <w:rPr>
                <w:sz w:val="15"/>
              </w:rPr>
            </w:pPr>
          </w:p>
          <w:p w14:paraId="62BD0E22" w14:textId="77777777" w:rsidR="00A71EEF" w:rsidRDefault="0081115D">
            <w:pPr>
              <w:pStyle w:val="TableParagraph"/>
              <w:ind w:left="623" w:right="82"/>
              <w:jc w:val="center"/>
              <w:rPr>
                <w:sz w:val="21"/>
              </w:rPr>
            </w:pPr>
            <w:r>
              <w:rPr>
                <w:sz w:val="21"/>
              </w:rPr>
              <w:t xml:space="preserve">6 </w:t>
            </w:r>
          </w:p>
        </w:tc>
        <w:tc>
          <w:tcPr>
            <w:tcW w:w="2610" w:type="dxa"/>
          </w:tcPr>
          <w:p w14:paraId="09D4142F" w14:textId="77777777" w:rsidR="00A71EEF" w:rsidRDefault="00A71EEF">
            <w:pPr>
              <w:pStyle w:val="TableParagraph"/>
              <w:rPr>
                <w:sz w:val="15"/>
              </w:rPr>
            </w:pPr>
          </w:p>
          <w:p w14:paraId="2816FCC8" w14:textId="77777777" w:rsidR="00A71EEF" w:rsidRDefault="0081115D">
            <w:pPr>
              <w:pStyle w:val="TableParagraph"/>
              <w:ind w:left="599" w:right="63"/>
              <w:jc w:val="center"/>
              <w:rPr>
                <w:sz w:val="21"/>
              </w:rPr>
            </w:pPr>
            <w:r>
              <w:rPr>
                <w:sz w:val="21"/>
              </w:rPr>
              <w:t>粘结剂</w:t>
            </w:r>
            <w:r>
              <w:rPr>
                <w:sz w:val="21"/>
              </w:rPr>
              <w:t xml:space="preserve"> </w:t>
            </w:r>
          </w:p>
        </w:tc>
        <w:tc>
          <w:tcPr>
            <w:tcW w:w="2377" w:type="dxa"/>
          </w:tcPr>
          <w:p w14:paraId="14EC56DB" w14:textId="77777777" w:rsidR="00A71EEF" w:rsidRDefault="00A71EEF">
            <w:pPr>
              <w:pStyle w:val="TableParagraph"/>
              <w:rPr>
                <w:sz w:val="15"/>
              </w:rPr>
            </w:pPr>
          </w:p>
          <w:p w14:paraId="49CCCD00" w14:textId="77777777" w:rsidR="00A71EEF" w:rsidRDefault="0081115D">
            <w:pPr>
              <w:pStyle w:val="TableParagraph"/>
              <w:ind w:left="1005" w:right="473"/>
              <w:jc w:val="center"/>
              <w:rPr>
                <w:sz w:val="21"/>
              </w:rPr>
            </w:pPr>
            <w:r>
              <w:rPr>
                <w:sz w:val="21"/>
              </w:rPr>
              <w:t xml:space="preserve">5.2.6 </w:t>
            </w:r>
          </w:p>
        </w:tc>
        <w:tc>
          <w:tcPr>
            <w:tcW w:w="1547" w:type="dxa"/>
          </w:tcPr>
          <w:p w14:paraId="50E150BE" w14:textId="77777777" w:rsidR="00A71EEF" w:rsidRDefault="00A71EEF">
            <w:pPr>
              <w:pStyle w:val="TableParagraph"/>
              <w:rPr>
                <w:sz w:val="15"/>
              </w:rPr>
            </w:pPr>
          </w:p>
          <w:p w14:paraId="6EE35765" w14:textId="77777777" w:rsidR="00A71EEF" w:rsidRDefault="0081115D">
            <w:pPr>
              <w:pStyle w:val="TableParagraph"/>
              <w:ind w:left="698" w:right="163"/>
              <w:jc w:val="center"/>
              <w:rPr>
                <w:sz w:val="21"/>
              </w:rPr>
            </w:pPr>
            <w:r>
              <w:rPr>
                <w:sz w:val="21"/>
              </w:rPr>
              <w:t xml:space="preserve">6.3.6 </w:t>
            </w:r>
          </w:p>
        </w:tc>
        <w:tc>
          <w:tcPr>
            <w:tcW w:w="925" w:type="dxa"/>
          </w:tcPr>
          <w:p w14:paraId="229CBDBF" w14:textId="77777777" w:rsidR="00A71EEF" w:rsidRDefault="00A71EEF">
            <w:pPr>
              <w:pStyle w:val="TableParagraph"/>
              <w:rPr>
                <w:sz w:val="15"/>
              </w:rPr>
            </w:pPr>
          </w:p>
          <w:p w14:paraId="72280C32" w14:textId="77777777" w:rsidR="00A71EEF" w:rsidRDefault="0081115D">
            <w:pPr>
              <w:pStyle w:val="TableParagraph"/>
              <w:ind w:right="80"/>
              <w:jc w:val="right"/>
              <w:rPr>
                <w:sz w:val="21"/>
              </w:rPr>
            </w:pPr>
            <w:r>
              <w:rPr>
                <w:sz w:val="21"/>
              </w:rPr>
              <w:t xml:space="preserve">A </w:t>
            </w:r>
          </w:p>
        </w:tc>
      </w:tr>
      <w:tr w:rsidR="00A71EEF" w14:paraId="06EBAE00" w14:textId="77777777">
        <w:trPr>
          <w:trHeight w:val="499"/>
        </w:trPr>
        <w:tc>
          <w:tcPr>
            <w:tcW w:w="970" w:type="dxa"/>
          </w:tcPr>
          <w:p w14:paraId="1F04A28F" w14:textId="77777777" w:rsidR="00A71EEF" w:rsidRDefault="00A71EEF">
            <w:pPr>
              <w:pStyle w:val="TableParagraph"/>
              <w:spacing w:before="11"/>
              <w:rPr>
                <w:sz w:val="14"/>
              </w:rPr>
            </w:pPr>
          </w:p>
          <w:p w14:paraId="0FDD1B1F" w14:textId="77777777" w:rsidR="00A71EEF" w:rsidRDefault="0081115D">
            <w:pPr>
              <w:pStyle w:val="TableParagraph"/>
              <w:ind w:left="623" w:right="82"/>
              <w:jc w:val="center"/>
              <w:rPr>
                <w:sz w:val="21"/>
              </w:rPr>
            </w:pPr>
            <w:r>
              <w:rPr>
                <w:sz w:val="21"/>
              </w:rPr>
              <w:t xml:space="preserve">7 </w:t>
            </w:r>
          </w:p>
        </w:tc>
        <w:tc>
          <w:tcPr>
            <w:tcW w:w="2610" w:type="dxa"/>
          </w:tcPr>
          <w:p w14:paraId="30663F91" w14:textId="77777777" w:rsidR="00A71EEF" w:rsidRDefault="00A71EEF">
            <w:pPr>
              <w:pStyle w:val="TableParagraph"/>
              <w:spacing w:before="11"/>
              <w:rPr>
                <w:sz w:val="14"/>
              </w:rPr>
            </w:pPr>
          </w:p>
          <w:p w14:paraId="5DA16634" w14:textId="77777777" w:rsidR="00A71EEF" w:rsidRDefault="0081115D">
            <w:pPr>
              <w:pStyle w:val="TableParagraph"/>
              <w:ind w:left="599" w:right="63"/>
              <w:jc w:val="center"/>
              <w:rPr>
                <w:sz w:val="21"/>
              </w:rPr>
            </w:pPr>
            <w:r>
              <w:rPr>
                <w:sz w:val="21"/>
              </w:rPr>
              <w:t>防火锁</w:t>
            </w:r>
            <w:r>
              <w:rPr>
                <w:sz w:val="21"/>
              </w:rPr>
              <w:t xml:space="preserve"> </w:t>
            </w:r>
          </w:p>
        </w:tc>
        <w:tc>
          <w:tcPr>
            <w:tcW w:w="2377" w:type="dxa"/>
          </w:tcPr>
          <w:p w14:paraId="13DAD281" w14:textId="77777777" w:rsidR="00A71EEF" w:rsidRDefault="00A71EEF">
            <w:pPr>
              <w:pStyle w:val="TableParagraph"/>
              <w:spacing w:before="11"/>
              <w:rPr>
                <w:sz w:val="14"/>
              </w:rPr>
            </w:pPr>
          </w:p>
          <w:p w14:paraId="4CCA4AC5" w14:textId="77777777" w:rsidR="00A71EEF" w:rsidRDefault="0081115D">
            <w:pPr>
              <w:pStyle w:val="TableParagraph"/>
              <w:ind w:left="1005" w:right="473"/>
              <w:jc w:val="center"/>
              <w:rPr>
                <w:sz w:val="21"/>
              </w:rPr>
            </w:pPr>
            <w:r>
              <w:rPr>
                <w:sz w:val="21"/>
              </w:rPr>
              <w:t xml:space="preserve">5.3.1 </w:t>
            </w:r>
          </w:p>
        </w:tc>
        <w:tc>
          <w:tcPr>
            <w:tcW w:w="1547" w:type="dxa"/>
          </w:tcPr>
          <w:p w14:paraId="07A35258" w14:textId="77777777" w:rsidR="00A71EEF" w:rsidRDefault="00A71EEF">
            <w:pPr>
              <w:pStyle w:val="TableParagraph"/>
              <w:spacing w:before="11"/>
              <w:rPr>
                <w:sz w:val="14"/>
              </w:rPr>
            </w:pPr>
          </w:p>
          <w:p w14:paraId="1F9AA73A" w14:textId="77777777" w:rsidR="00A71EEF" w:rsidRDefault="0081115D">
            <w:pPr>
              <w:pStyle w:val="TableParagraph"/>
              <w:ind w:left="698" w:right="163"/>
              <w:jc w:val="center"/>
              <w:rPr>
                <w:sz w:val="21"/>
              </w:rPr>
            </w:pPr>
            <w:r>
              <w:rPr>
                <w:sz w:val="21"/>
              </w:rPr>
              <w:t xml:space="preserve">6.4.1 </w:t>
            </w:r>
          </w:p>
        </w:tc>
        <w:tc>
          <w:tcPr>
            <w:tcW w:w="925" w:type="dxa"/>
          </w:tcPr>
          <w:p w14:paraId="0B0E2AD3" w14:textId="77777777" w:rsidR="00A71EEF" w:rsidRDefault="00A71EEF">
            <w:pPr>
              <w:pStyle w:val="TableParagraph"/>
              <w:spacing w:before="11"/>
              <w:rPr>
                <w:sz w:val="14"/>
              </w:rPr>
            </w:pPr>
          </w:p>
          <w:p w14:paraId="398D9075" w14:textId="77777777" w:rsidR="00A71EEF" w:rsidRDefault="0081115D">
            <w:pPr>
              <w:pStyle w:val="TableParagraph"/>
              <w:ind w:right="80"/>
              <w:jc w:val="right"/>
              <w:rPr>
                <w:sz w:val="21"/>
              </w:rPr>
            </w:pPr>
            <w:r>
              <w:rPr>
                <w:sz w:val="21"/>
              </w:rPr>
              <w:t xml:space="preserve">B </w:t>
            </w:r>
          </w:p>
        </w:tc>
      </w:tr>
      <w:tr w:rsidR="00A71EEF" w14:paraId="44B475D3" w14:textId="77777777">
        <w:trPr>
          <w:trHeight w:val="501"/>
        </w:trPr>
        <w:tc>
          <w:tcPr>
            <w:tcW w:w="970" w:type="dxa"/>
          </w:tcPr>
          <w:p w14:paraId="1A7EF325" w14:textId="77777777" w:rsidR="00A71EEF" w:rsidRDefault="00A71EEF">
            <w:pPr>
              <w:pStyle w:val="TableParagraph"/>
              <w:rPr>
                <w:sz w:val="15"/>
              </w:rPr>
            </w:pPr>
          </w:p>
          <w:p w14:paraId="13428E50" w14:textId="77777777" w:rsidR="00A71EEF" w:rsidRDefault="0081115D">
            <w:pPr>
              <w:pStyle w:val="TableParagraph"/>
              <w:ind w:left="623" w:right="82"/>
              <w:jc w:val="center"/>
              <w:rPr>
                <w:sz w:val="21"/>
              </w:rPr>
            </w:pPr>
            <w:r>
              <w:rPr>
                <w:sz w:val="21"/>
              </w:rPr>
              <w:t xml:space="preserve">8 </w:t>
            </w:r>
          </w:p>
        </w:tc>
        <w:tc>
          <w:tcPr>
            <w:tcW w:w="2610" w:type="dxa"/>
          </w:tcPr>
          <w:p w14:paraId="7B5A4B8E" w14:textId="77777777" w:rsidR="00A71EEF" w:rsidRDefault="00A71EEF">
            <w:pPr>
              <w:pStyle w:val="TableParagraph"/>
              <w:rPr>
                <w:sz w:val="15"/>
              </w:rPr>
            </w:pPr>
          </w:p>
          <w:p w14:paraId="52118524" w14:textId="77777777" w:rsidR="00A71EEF" w:rsidRDefault="0081115D">
            <w:pPr>
              <w:pStyle w:val="TableParagraph"/>
              <w:ind w:left="601" w:right="63"/>
              <w:jc w:val="center"/>
              <w:rPr>
                <w:sz w:val="21"/>
              </w:rPr>
            </w:pPr>
            <w:r>
              <w:rPr>
                <w:sz w:val="21"/>
              </w:rPr>
              <w:t>防火合页（铰链）</w:t>
            </w:r>
            <w:r>
              <w:rPr>
                <w:sz w:val="21"/>
              </w:rPr>
              <w:t xml:space="preserve"> </w:t>
            </w:r>
          </w:p>
        </w:tc>
        <w:tc>
          <w:tcPr>
            <w:tcW w:w="2377" w:type="dxa"/>
          </w:tcPr>
          <w:p w14:paraId="052D87FB" w14:textId="77777777" w:rsidR="00A71EEF" w:rsidRDefault="00A71EEF">
            <w:pPr>
              <w:pStyle w:val="TableParagraph"/>
              <w:rPr>
                <w:sz w:val="15"/>
              </w:rPr>
            </w:pPr>
          </w:p>
          <w:p w14:paraId="3EC649C0" w14:textId="77777777" w:rsidR="00A71EEF" w:rsidRDefault="0081115D">
            <w:pPr>
              <w:pStyle w:val="TableParagraph"/>
              <w:ind w:left="1005" w:right="473"/>
              <w:jc w:val="center"/>
              <w:rPr>
                <w:sz w:val="21"/>
              </w:rPr>
            </w:pPr>
            <w:r>
              <w:rPr>
                <w:sz w:val="21"/>
              </w:rPr>
              <w:t xml:space="preserve">5.3.2 </w:t>
            </w:r>
          </w:p>
        </w:tc>
        <w:tc>
          <w:tcPr>
            <w:tcW w:w="1547" w:type="dxa"/>
          </w:tcPr>
          <w:p w14:paraId="580832F9" w14:textId="77777777" w:rsidR="00A71EEF" w:rsidRDefault="00A71EEF">
            <w:pPr>
              <w:pStyle w:val="TableParagraph"/>
              <w:rPr>
                <w:sz w:val="15"/>
              </w:rPr>
            </w:pPr>
          </w:p>
          <w:p w14:paraId="4D986DB2" w14:textId="77777777" w:rsidR="00A71EEF" w:rsidRDefault="0081115D">
            <w:pPr>
              <w:pStyle w:val="TableParagraph"/>
              <w:ind w:left="698" w:right="163"/>
              <w:jc w:val="center"/>
              <w:rPr>
                <w:sz w:val="21"/>
              </w:rPr>
            </w:pPr>
            <w:r>
              <w:rPr>
                <w:sz w:val="21"/>
              </w:rPr>
              <w:t xml:space="preserve">6.4.2 </w:t>
            </w:r>
          </w:p>
        </w:tc>
        <w:tc>
          <w:tcPr>
            <w:tcW w:w="925" w:type="dxa"/>
          </w:tcPr>
          <w:p w14:paraId="6BB52D70" w14:textId="77777777" w:rsidR="00A71EEF" w:rsidRDefault="00A71EEF">
            <w:pPr>
              <w:pStyle w:val="TableParagraph"/>
              <w:rPr>
                <w:sz w:val="15"/>
              </w:rPr>
            </w:pPr>
          </w:p>
          <w:p w14:paraId="209D117C" w14:textId="77777777" w:rsidR="00A71EEF" w:rsidRDefault="0081115D">
            <w:pPr>
              <w:pStyle w:val="TableParagraph"/>
              <w:ind w:right="80"/>
              <w:jc w:val="right"/>
              <w:rPr>
                <w:sz w:val="21"/>
              </w:rPr>
            </w:pPr>
            <w:r>
              <w:rPr>
                <w:sz w:val="21"/>
              </w:rPr>
              <w:t xml:space="preserve">B </w:t>
            </w:r>
          </w:p>
        </w:tc>
      </w:tr>
      <w:tr w:rsidR="00A71EEF" w14:paraId="2A5F2CE0" w14:textId="77777777">
        <w:trPr>
          <w:trHeight w:val="501"/>
        </w:trPr>
        <w:tc>
          <w:tcPr>
            <w:tcW w:w="970" w:type="dxa"/>
          </w:tcPr>
          <w:p w14:paraId="5A18E6D5" w14:textId="77777777" w:rsidR="00A71EEF" w:rsidRDefault="00A71EEF">
            <w:pPr>
              <w:pStyle w:val="TableParagraph"/>
              <w:spacing w:before="11"/>
              <w:rPr>
                <w:sz w:val="14"/>
              </w:rPr>
            </w:pPr>
          </w:p>
          <w:p w14:paraId="085C68A7" w14:textId="77777777" w:rsidR="00A71EEF" w:rsidRDefault="0081115D">
            <w:pPr>
              <w:pStyle w:val="TableParagraph"/>
              <w:ind w:left="623" w:right="82"/>
              <w:jc w:val="center"/>
              <w:rPr>
                <w:sz w:val="21"/>
              </w:rPr>
            </w:pPr>
            <w:r>
              <w:rPr>
                <w:sz w:val="21"/>
              </w:rPr>
              <w:t xml:space="preserve">9 </w:t>
            </w:r>
          </w:p>
        </w:tc>
        <w:tc>
          <w:tcPr>
            <w:tcW w:w="2610" w:type="dxa"/>
          </w:tcPr>
          <w:p w14:paraId="5C277807" w14:textId="77777777" w:rsidR="00A71EEF" w:rsidRDefault="00A71EEF">
            <w:pPr>
              <w:pStyle w:val="TableParagraph"/>
              <w:spacing w:before="11"/>
              <w:rPr>
                <w:sz w:val="14"/>
              </w:rPr>
            </w:pPr>
          </w:p>
          <w:p w14:paraId="71348892" w14:textId="77777777" w:rsidR="00A71EEF" w:rsidRDefault="0081115D">
            <w:pPr>
              <w:pStyle w:val="TableParagraph"/>
              <w:ind w:left="599" w:right="63"/>
              <w:jc w:val="center"/>
              <w:rPr>
                <w:sz w:val="21"/>
              </w:rPr>
            </w:pPr>
            <w:r>
              <w:rPr>
                <w:sz w:val="21"/>
              </w:rPr>
              <w:t>防火闭门装置</w:t>
            </w:r>
            <w:r>
              <w:rPr>
                <w:sz w:val="21"/>
              </w:rPr>
              <w:t xml:space="preserve"> </w:t>
            </w:r>
          </w:p>
        </w:tc>
        <w:tc>
          <w:tcPr>
            <w:tcW w:w="2377" w:type="dxa"/>
          </w:tcPr>
          <w:p w14:paraId="076835B0" w14:textId="77777777" w:rsidR="00A71EEF" w:rsidRDefault="00A71EEF">
            <w:pPr>
              <w:pStyle w:val="TableParagraph"/>
              <w:spacing w:before="11"/>
              <w:rPr>
                <w:sz w:val="14"/>
              </w:rPr>
            </w:pPr>
          </w:p>
          <w:p w14:paraId="43E06319" w14:textId="77777777" w:rsidR="00A71EEF" w:rsidRDefault="0081115D">
            <w:pPr>
              <w:pStyle w:val="TableParagraph"/>
              <w:ind w:left="1005" w:right="473"/>
              <w:jc w:val="center"/>
              <w:rPr>
                <w:sz w:val="21"/>
              </w:rPr>
            </w:pPr>
            <w:r>
              <w:rPr>
                <w:sz w:val="21"/>
              </w:rPr>
              <w:t xml:space="preserve">5.3.3 </w:t>
            </w:r>
          </w:p>
        </w:tc>
        <w:tc>
          <w:tcPr>
            <w:tcW w:w="1547" w:type="dxa"/>
          </w:tcPr>
          <w:p w14:paraId="12469ED6" w14:textId="77777777" w:rsidR="00A71EEF" w:rsidRDefault="00A71EEF">
            <w:pPr>
              <w:pStyle w:val="TableParagraph"/>
              <w:spacing w:before="11"/>
              <w:rPr>
                <w:sz w:val="14"/>
              </w:rPr>
            </w:pPr>
          </w:p>
          <w:p w14:paraId="3A4828AC" w14:textId="77777777" w:rsidR="00A71EEF" w:rsidRDefault="0081115D">
            <w:pPr>
              <w:pStyle w:val="TableParagraph"/>
              <w:ind w:left="698" w:right="163"/>
              <w:jc w:val="center"/>
              <w:rPr>
                <w:sz w:val="21"/>
              </w:rPr>
            </w:pPr>
            <w:r>
              <w:rPr>
                <w:sz w:val="21"/>
              </w:rPr>
              <w:t xml:space="preserve">6.4.3 </w:t>
            </w:r>
          </w:p>
        </w:tc>
        <w:tc>
          <w:tcPr>
            <w:tcW w:w="925" w:type="dxa"/>
          </w:tcPr>
          <w:p w14:paraId="7D4D1969" w14:textId="77777777" w:rsidR="00A71EEF" w:rsidRDefault="00A71EEF">
            <w:pPr>
              <w:pStyle w:val="TableParagraph"/>
              <w:spacing w:before="11"/>
              <w:rPr>
                <w:sz w:val="14"/>
              </w:rPr>
            </w:pPr>
          </w:p>
          <w:p w14:paraId="11D4C390" w14:textId="77777777" w:rsidR="00A71EEF" w:rsidRDefault="0081115D">
            <w:pPr>
              <w:pStyle w:val="TableParagraph"/>
              <w:ind w:right="80"/>
              <w:jc w:val="right"/>
              <w:rPr>
                <w:sz w:val="21"/>
              </w:rPr>
            </w:pPr>
            <w:r>
              <w:rPr>
                <w:sz w:val="21"/>
              </w:rPr>
              <w:t xml:space="preserve">B </w:t>
            </w:r>
          </w:p>
        </w:tc>
      </w:tr>
      <w:tr w:rsidR="00A71EEF" w14:paraId="53C15C31" w14:textId="77777777">
        <w:trPr>
          <w:trHeight w:val="498"/>
        </w:trPr>
        <w:tc>
          <w:tcPr>
            <w:tcW w:w="970" w:type="dxa"/>
          </w:tcPr>
          <w:p w14:paraId="204964BE" w14:textId="77777777" w:rsidR="00A71EEF" w:rsidRDefault="00A71EEF">
            <w:pPr>
              <w:pStyle w:val="TableParagraph"/>
              <w:spacing w:before="11"/>
              <w:rPr>
                <w:sz w:val="14"/>
              </w:rPr>
            </w:pPr>
          </w:p>
          <w:p w14:paraId="3AAA9EEC" w14:textId="77777777" w:rsidR="00A71EEF" w:rsidRDefault="0081115D">
            <w:pPr>
              <w:pStyle w:val="TableParagraph"/>
              <w:ind w:left="623" w:right="82"/>
              <w:jc w:val="center"/>
              <w:rPr>
                <w:sz w:val="21"/>
              </w:rPr>
            </w:pPr>
            <w:r>
              <w:rPr>
                <w:sz w:val="21"/>
              </w:rPr>
              <w:t xml:space="preserve">10 </w:t>
            </w:r>
          </w:p>
        </w:tc>
        <w:tc>
          <w:tcPr>
            <w:tcW w:w="2610" w:type="dxa"/>
          </w:tcPr>
          <w:p w14:paraId="3E9F8BAA" w14:textId="77777777" w:rsidR="00A71EEF" w:rsidRDefault="00A71EEF">
            <w:pPr>
              <w:pStyle w:val="TableParagraph"/>
              <w:spacing w:before="11"/>
              <w:rPr>
                <w:sz w:val="14"/>
              </w:rPr>
            </w:pPr>
          </w:p>
          <w:p w14:paraId="09BDE0FD" w14:textId="77777777" w:rsidR="00A71EEF" w:rsidRDefault="0081115D">
            <w:pPr>
              <w:pStyle w:val="TableParagraph"/>
              <w:ind w:left="601" w:right="63"/>
              <w:jc w:val="center"/>
              <w:rPr>
                <w:sz w:val="21"/>
              </w:rPr>
            </w:pPr>
            <w:r>
              <w:rPr>
                <w:sz w:val="21"/>
              </w:rPr>
              <w:t>防火顺序器</w:t>
            </w:r>
            <w:r>
              <w:rPr>
                <w:sz w:val="21"/>
              </w:rPr>
              <w:t xml:space="preserve"> </w:t>
            </w:r>
          </w:p>
        </w:tc>
        <w:tc>
          <w:tcPr>
            <w:tcW w:w="2377" w:type="dxa"/>
          </w:tcPr>
          <w:p w14:paraId="546CF06C" w14:textId="77777777" w:rsidR="00A71EEF" w:rsidRDefault="00A71EEF">
            <w:pPr>
              <w:pStyle w:val="TableParagraph"/>
              <w:spacing w:before="11"/>
              <w:rPr>
                <w:sz w:val="14"/>
              </w:rPr>
            </w:pPr>
          </w:p>
          <w:p w14:paraId="72504702" w14:textId="77777777" w:rsidR="00A71EEF" w:rsidRDefault="0081115D">
            <w:pPr>
              <w:pStyle w:val="TableParagraph"/>
              <w:ind w:left="1005" w:right="473"/>
              <w:jc w:val="center"/>
              <w:rPr>
                <w:sz w:val="21"/>
              </w:rPr>
            </w:pPr>
            <w:r>
              <w:rPr>
                <w:sz w:val="21"/>
              </w:rPr>
              <w:t xml:space="preserve">5.3.4 </w:t>
            </w:r>
          </w:p>
        </w:tc>
        <w:tc>
          <w:tcPr>
            <w:tcW w:w="1547" w:type="dxa"/>
          </w:tcPr>
          <w:p w14:paraId="0CC10786" w14:textId="77777777" w:rsidR="00A71EEF" w:rsidRDefault="00A71EEF">
            <w:pPr>
              <w:pStyle w:val="TableParagraph"/>
              <w:spacing w:before="11"/>
              <w:rPr>
                <w:sz w:val="14"/>
              </w:rPr>
            </w:pPr>
          </w:p>
          <w:p w14:paraId="644A5374" w14:textId="77777777" w:rsidR="00A71EEF" w:rsidRDefault="0081115D">
            <w:pPr>
              <w:pStyle w:val="TableParagraph"/>
              <w:ind w:left="698" w:right="163"/>
              <w:jc w:val="center"/>
              <w:rPr>
                <w:sz w:val="21"/>
              </w:rPr>
            </w:pPr>
            <w:r>
              <w:rPr>
                <w:sz w:val="21"/>
              </w:rPr>
              <w:t xml:space="preserve">6.4.4 </w:t>
            </w:r>
          </w:p>
        </w:tc>
        <w:tc>
          <w:tcPr>
            <w:tcW w:w="925" w:type="dxa"/>
          </w:tcPr>
          <w:p w14:paraId="127076B0" w14:textId="77777777" w:rsidR="00A71EEF" w:rsidRDefault="00A71EEF">
            <w:pPr>
              <w:pStyle w:val="TableParagraph"/>
              <w:spacing w:before="11"/>
              <w:rPr>
                <w:sz w:val="14"/>
              </w:rPr>
            </w:pPr>
          </w:p>
          <w:p w14:paraId="7F8606D7" w14:textId="77777777" w:rsidR="00A71EEF" w:rsidRDefault="0081115D">
            <w:pPr>
              <w:pStyle w:val="TableParagraph"/>
              <w:ind w:right="80"/>
              <w:jc w:val="right"/>
              <w:rPr>
                <w:sz w:val="21"/>
              </w:rPr>
            </w:pPr>
            <w:r>
              <w:rPr>
                <w:sz w:val="21"/>
              </w:rPr>
              <w:t xml:space="preserve">B </w:t>
            </w:r>
          </w:p>
        </w:tc>
      </w:tr>
      <w:tr w:rsidR="00A71EEF" w14:paraId="02B7E7F1" w14:textId="77777777">
        <w:trPr>
          <w:trHeight w:val="500"/>
        </w:trPr>
        <w:tc>
          <w:tcPr>
            <w:tcW w:w="970" w:type="dxa"/>
          </w:tcPr>
          <w:p w14:paraId="3BFAA7D5" w14:textId="77777777" w:rsidR="00A71EEF" w:rsidRDefault="00A71EEF">
            <w:pPr>
              <w:pStyle w:val="TableParagraph"/>
              <w:spacing w:before="11"/>
              <w:rPr>
                <w:sz w:val="14"/>
              </w:rPr>
            </w:pPr>
          </w:p>
          <w:p w14:paraId="1A055CAA" w14:textId="77777777" w:rsidR="00A71EEF" w:rsidRDefault="0081115D">
            <w:pPr>
              <w:pStyle w:val="TableParagraph"/>
              <w:ind w:left="623" w:right="82"/>
              <w:jc w:val="center"/>
              <w:rPr>
                <w:sz w:val="21"/>
              </w:rPr>
            </w:pPr>
            <w:r>
              <w:rPr>
                <w:sz w:val="21"/>
              </w:rPr>
              <w:t xml:space="preserve">11 </w:t>
            </w:r>
          </w:p>
        </w:tc>
        <w:tc>
          <w:tcPr>
            <w:tcW w:w="2610" w:type="dxa"/>
          </w:tcPr>
          <w:p w14:paraId="5AC0A7C5" w14:textId="77777777" w:rsidR="00A71EEF" w:rsidRDefault="00A71EEF">
            <w:pPr>
              <w:pStyle w:val="TableParagraph"/>
              <w:spacing w:before="11"/>
              <w:rPr>
                <w:sz w:val="14"/>
              </w:rPr>
            </w:pPr>
          </w:p>
          <w:p w14:paraId="2BF10B62" w14:textId="77777777" w:rsidR="00A71EEF" w:rsidRDefault="0081115D">
            <w:pPr>
              <w:pStyle w:val="TableParagraph"/>
              <w:ind w:left="601" w:right="62"/>
              <w:jc w:val="center"/>
              <w:rPr>
                <w:sz w:val="21"/>
              </w:rPr>
            </w:pPr>
            <w:r>
              <w:rPr>
                <w:sz w:val="21"/>
              </w:rPr>
              <w:t>防火插销</w:t>
            </w:r>
            <w:r>
              <w:rPr>
                <w:sz w:val="21"/>
              </w:rPr>
              <w:t xml:space="preserve"> </w:t>
            </w:r>
          </w:p>
        </w:tc>
        <w:tc>
          <w:tcPr>
            <w:tcW w:w="2377" w:type="dxa"/>
          </w:tcPr>
          <w:p w14:paraId="594E67C5" w14:textId="77777777" w:rsidR="00A71EEF" w:rsidRDefault="00A71EEF">
            <w:pPr>
              <w:pStyle w:val="TableParagraph"/>
              <w:spacing w:before="11"/>
              <w:rPr>
                <w:sz w:val="14"/>
              </w:rPr>
            </w:pPr>
          </w:p>
          <w:p w14:paraId="2FEFE11C" w14:textId="77777777" w:rsidR="00A71EEF" w:rsidRDefault="0081115D">
            <w:pPr>
              <w:pStyle w:val="TableParagraph"/>
              <w:ind w:left="1005" w:right="473"/>
              <w:jc w:val="center"/>
              <w:rPr>
                <w:sz w:val="21"/>
              </w:rPr>
            </w:pPr>
            <w:r>
              <w:rPr>
                <w:sz w:val="21"/>
              </w:rPr>
              <w:t xml:space="preserve">5.3.5 </w:t>
            </w:r>
          </w:p>
        </w:tc>
        <w:tc>
          <w:tcPr>
            <w:tcW w:w="1547" w:type="dxa"/>
          </w:tcPr>
          <w:p w14:paraId="209BC245" w14:textId="77777777" w:rsidR="00A71EEF" w:rsidRDefault="00A71EEF">
            <w:pPr>
              <w:pStyle w:val="TableParagraph"/>
              <w:spacing w:before="11"/>
              <w:rPr>
                <w:sz w:val="14"/>
              </w:rPr>
            </w:pPr>
          </w:p>
          <w:p w14:paraId="12789567" w14:textId="77777777" w:rsidR="00A71EEF" w:rsidRDefault="0081115D">
            <w:pPr>
              <w:pStyle w:val="TableParagraph"/>
              <w:ind w:left="698" w:right="163"/>
              <w:jc w:val="center"/>
              <w:rPr>
                <w:sz w:val="21"/>
              </w:rPr>
            </w:pPr>
            <w:r>
              <w:rPr>
                <w:sz w:val="21"/>
              </w:rPr>
              <w:t xml:space="preserve">6.4.5 </w:t>
            </w:r>
          </w:p>
        </w:tc>
        <w:tc>
          <w:tcPr>
            <w:tcW w:w="925" w:type="dxa"/>
          </w:tcPr>
          <w:p w14:paraId="37085D12" w14:textId="77777777" w:rsidR="00A71EEF" w:rsidRDefault="00A71EEF">
            <w:pPr>
              <w:pStyle w:val="TableParagraph"/>
              <w:spacing w:before="11"/>
              <w:rPr>
                <w:sz w:val="14"/>
              </w:rPr>
            </w:pPr>
          </w:p>
          <w:p w14:paraId="56E74E69" w14:textId="77777777" w:rsidR="00A71EEF" w:rsidRDefault="0081115D">
            <w:pPr>
              <w:pStyle w:val="TableParagraph"/>
              <w:ind w:right="80"/>
              <w:jc w:val="right"/>
              <w:rPr>
                <w:sz w:val="21"/>
              </w:rPr>
            </w:pPr>
            <w:r>
              <w:rPr>
                <w:sz w:val="21"/>
              </w:rPr>
              <w:t xml:space="preserve">C </w:t>
            </w:r>
          </w:p>
        </w:tc>
      </w:tr>
      <w:tr w:rsidR="00A71EEF" w14:paraId="74C67C7E" w14:textId="77777777">
        <w:trPr>
          <w:trHeight w:val="498"/>
        </w:trPr>
        <w:tc>
          <w:tcPr>
            <w:tcW w:w="970" w:type="dxa"/>
          </w:tcPr>
          <w:p w14:paraId="6449BB33" w14:textId="77777777" w:rsidR="00A71EEF" w:rsidRDefault="00A71EEF">
            <w:pPr>
              <w:pStyle w:val="TableParagraph"/>
              <w:spacing w:before="11"/>
              <w:rPr>
                <w:sz w:val="14"/>
              </w:rPr>
            </w:pPr>
          </w:p>
          <w:p w14:paraId="7B9F8BA3" w14:textId="77777777" w:rsidR="00A71EEF" w:rsidRDefault="0081115D">
            <w:pPr>
              <w:pStyle w:val="TableParagraph"/>
              <w:ind w:left="623" w:right="82"/>
              <w:jc w:val="center"/>
              <w:rPr>
                <w:sz w:val="21"/>
              </w:rPr>
            </w:pPr>
            <w:r>
              <w:rPr>
                <w:sz w:val="21"/>
              </w:rPr>
              <w:t xml:space="preserve">12 </w:t>
            </w:r>
          </w:p>
        </w:tc>
        <w:tc>
          <w:tcPr>
            <w:tcW w:w="2610" w:type="dxa"/>
          </w:tcPr>
          <w:p w14:paraId="32BCE394" w14:textId="77777777" w:rsidR="00A71EEF" w:rsidRDefault="00A71EEF">
            <w:pPr>
              <w:pStyle w:val="TableParagraph"/>
              <w:spacing w:before="11"/>
              <w:rPr>
                <w:sz w:val="14"/>
              </w:rPr>
            </w:pPr>
          </w:p>
          <w:p w14:paraId="137365E2" w14:textId="77777777" w:rsidR="00A71EEF" w:rsidRDefault="0081115D">
            <w:pPr>
              <w:pStyle w:val="TableParagraph"/>
              <w:ind w:left="599" w:right="63"/>
              <w:jc w:val="center"/>
              <w:rPr>
                <w:sz w:val="21"/>
              </w:rPr>
            </w:pPr>
            <w:r>
              <w:rPr>
                <w:sz w:val="21"/>
              </w:rPr>
              <w:t>盖缝板</w:t>
            </w:r>
            <w:r>
              <w:rPr>
                <w:sz w:val="21"/>
              </w:rPr>
              <w:t xml:space="preserve"> </w:t>
            </w:r>
          </w:p>
        </w:tc>
        <w:tc>
          <w:tcPr>
            <w:tcW w:w="2377" w:type="dxa"/>
          </w:tcPr>
          <w:p w14:paraId="4D183CA8" w14:textId="77777777" w:rsidR="00A71EEF" w:rsidRDefault="00A71EEF">
            <w:pPr>
              <w:pStyle w:val="TableParagraph"/>
              <w:spacing w:before="11"/>
              <w:rPr>
                <w:sz w:val="14"/>
              </w:rPr>
            </w:pPr>
          </w:p>
          <w:p w14:paraId="35DBE3A8" w14:textId="77777777" w:rsidR="00A71EEF" w:rsidRDefault="0081115D">
            <w:pPr>
              <w:pStyle w:val="TableParagraph"/>
              <w:ind w:left="1005" w:right="473"/>
              <w:jc w:val="center"/>
              <w:rPr>
                <w:sz w:val="21"/>
              </w:rPr>
            </w:pPr>
            <w:r>
              <w:rPr>
                <w:sz w:val="21"/>
              </w:rPr>
              <w:t xml:space="preserve">5.3.6 </w:t>
            </w:r>
          </w:p>
        </w:tc>
        <w:tc>
          <w:tcPr>
            <w:tcW w:w="1547" w:type="dxa"/>
          </w:tcPr>
          <w:p w14:paraId="4FB969B7" w14:textId="77777777" w:rsidR="00A71EEF" w:rsidRDefault="00A71EEF">
            <w:pPr>
              <w:pStyle w:val="TableParagraph"/>
              <w:spacing w:before="11"/>
              <w:rPr>
                <w:sz w:val="14"/>
              </w:rPr>
            </w:pPr>
          </w:p>
          <w:p w14:paraId="1719687A" w14:textId="77777777" w:rsidR="00A71EEF" w:rsidRDefault="0081115D">
            <w:pPr>
              <w:pStyle w:val="TableParagraph"/>
              <w:ind w:left="698" w:right="163"/>
              <w:jc w:val="center"/>
              <w:rPr>
                <w:sz w:val="21"/>
              </w:rPr>
            </w:pPr>
            <w:r>
              <w:rPr>
                <w:sz w:val="21"/>
              </w:rPr>
              <w:t xml:space="preserve">6.4.6 </w:t>
            </w:r>
          </w:p>
        </w:tc>
        <w:tc>
          <w:tcPr>
            <w:tcW w:w="925" w:type="dxa"/>
          </w:tcPr>
          <w:p w14:paraId="44C9BF60" w14:textId="77777777" w:rsidR="00A71EEF" w:rsidRDefault="00A71EEF">
            <w:pPr>
              <w:pStyle w:val="TableParagraph"/>
              <w:spacing w:before="11"/>
              <w:rPr>
                <w:sz w:val="14"/>
              </w:rPr>
            </w:pPr>
          </w:p>
          <w:p w14:paraId="0ABFA26A" w14:textId="77777777" w:rsidR="00A71EEF" w:rsidRDefault="0081115D">
            <w:pPr>
              <w:pStyle w:val="TableParagraph"/>
              <w:ind w:right="80"/>
              <w:jc w:val="right"/>
              <w:rPr>
                <w:sz w:val="21"/>
              </w:rPr>
            </w:pPr>
            <w:r>
              <w:rPr>
                <w:sz w:val="21"/>
              </w:rPr>
              <w:t xml:space="preserve">B </w:t>
            </w:r>
          </w:p>
        </w:tc>
      </w:tr>
      <w:tr w:rsidR="00A71EEF" w14:paraId="1B26D932" w14:textId="77777777">
        <w:trPr>
          <w:trHeight w:val="501"/>
        </w:trPr>
        <w:tc>
          <w:tcPr>
            <w:tcW w:w="970" w:type="dxa"/>
          </w:tcPr>
          <w:p w14:paraId="7DA2F29E" w14:textId="77777777" w:rsidR="00A71EEF" w:rsidRDefault="00A71EEF">
            <w:pPr>
              <w:pStyle w:val="TableParagraph"/>
              <w:spacing w:before="1"/>
              <w:rPr>
                <w:sz w:val="15"/>
              </w:rPr>
            </w:pPr>
          </w:p>
          <w:p w14:paraId="6F42998C" w14:textId="77777777" w:rsidR="00A71EEF" w:rsidRDefault="0081115D">
            <w:pPr>
              <w:pStyle w:val="TableParagraph"/>
              <w:ind w:left="623" w:right="82"/>
              <w:jc w:val="center"/>
              <w:rPr>
                <w:sz w:val="21"/>
              </w:rPr>
            </w:pPr>
            <w:r>
              <w:rPr>
                <w:sz w:val="21"/>
              </w:rPr>
              <w:t xml:space="preserve">13 </w:t>
            </w:r>
          </w:p>
        </w:tc>
        <w:tc>
          <w:tcPr>
            <w:tcW w:w="2610" w:type="dxa"/>
          </w:tcPr>
          <w:p w14:paraId="69097D54" w14:textId="77777777" w:rsidR="00A71EEF" w:rsidRDefault="00A71EEF">
            <w:pPr>
              <w:pStyle w:val="TableParagraph"/>
              <w:spacing w:before="1"/>
              <w:rPr>
                <w:sz w:val="15"/>
              </w:rPr>
            </w:pPr>
          </w:p>
          <w:p w14:paraId="2C19E7E4" w14:textId="77777777" w:rsidR="00A71EEF" w:rsidRDefault="0081115D">
            <w:pPr>
              <w:pStyle w:val="TableParagraph"/>
              <w:ind w:left="601" w:right="63"/>
              <w:jc w:val="center"/>
              <w:rPr>
                <w:sz w:val="21"/>
              </w:rPr>
            </w:pPr>
            <w:r>
              <w:rPr>
                <w:sz w:val="21"/>
              </w:rPr>
              <w:t>防火密封件</w:t>
            </w:r>
            <w:r>
              <w:rPr>
                <w:sz w:val="21"/>
              </w:rPr>
              <w:t xml:space="preserve"> </w:t>
            </w:r>
          </w:p>
        </w:tc>
        <w:tc>
          <w:tcPr>
            <w:tcW w:w="2377" w:type="dxa"/>
          </w:tcPr>
          <w:p w14:paraId="78E1F0A3" w14:textId="77777777" w:rsidR="00A71EEF" w:rsidRDefault="00A71EEF">
            <w:pPr>
              <w:pStyle w:val="TableParagraph"/>
              <w:spacing w:before="1"/>
              <w:rPr>
                <w:sz w:val="15"/>
              </w:rPr>
            </w:pPr>
          </w:p>
          <w:p w14:paraId="0ED9A31D" w14:textId="77777777" w:rsidR="00A71EEF" w:rsidRDefault="0081115D">
            <w:pPr>
              <w:pStyle w:val="TableParagraph"/>
              <w:ind w:left="1005" w:right="473"/>
              <w:jc w:val="center"/>
              <w:rPr>
                <w:sz w:val="21"/>
              </w:rPr>
            </w:pPr>
            <w:r>
              <w:rPr>
                <w:sz w:val="21"/>
              </w:rPr>
              <w:t xml:space="preserve">5.3.7 </w:t>
            </w:r>
          </w:p>
        </w:tc>
        <w:tc>
          <w:tcPr>
            <w:tcW w:w="1547" w:type="dxa"/>
          </w:tcPr>
          <w:p w14:paraId="4E5359CA" w14:textId="77777777" w:rsidR="00A71EEF" w:rsidRDefault="00A71EEF">
            <w:pPr>
              <w:pStyle w:val="TableParagraph"/>
              <w:spacing w:before="1"/>
              <w:rPr>
                <w:sz w:val="15"/>
              </w:rPr>
            </w:pPr>
          </w:p>
          <w:p w14:paraId="6EA87472" w14:textId="77777777" w:rsidR="00A71EEF" w:rsidRDefault="0081115D">
            <w:pPr>
              <w:pStyle w:val="TableParagraph"/>
              <w:ind w:left="698" w:right="163"/>
              <w:jc w:val="center"/>
              <w:rPr>
                <w:sz w:val="21"/>
              </w:rPr>
            </w:pPr>
            <w:r>
              <w:rPr>
                <w:sz w:val="21"/>
              </w:rPr>
              <w:t xml:space="preserve">6.4.7 </w:t>
            </w:r>
          </w:p>
        </w:tc>
        <w:tc>
          <w:tcPr>
            <w:tcW w:w="925" w:type="dxa"/>
          </w:tcPr>
          <w:p w14:paraId="4F881FFE" w14:textId="77777777" w:rsidR="00A71EEF" w:rsidRDefault="00A71EEF">
            <w:pPr>
              <w:pStyle w:val="TableParagraph"/>
              <w:spacing w:before="1"/>
              <w:rPr>
                <w:sz w:val="15"/>
              </w:rPr>
            </w:pPr>
          </w:p>
          <w:p w14:paraId="34402060" w14:textId="77777777" w:rsidR="00A71EEF" w:rsidRDefault="0081115D">
            <w:pPr>
              <w:pStyle w:val="TableParagraph"/>
              <w:ind w:right="80"/>
              <w:jc w:val="right"/>
              <w:rPr>
                <w:sz w:val="21"/>
              </w:rPr>
            </w:pPr>
            <w:r>
              <w:rPr>
                <w:sz w:val="21"/>
              </w:rPr>
              <w:t xml:space="preserve">A </w:t>
            </w:r>
          </w:p>
        </w:tc>
      </w:tr>
      <w:tr w:rsidR="00A71EEF" w14:paraId="353F30E4" w14:textId="77777777">
        <w:trPr>
          <w:trHeight w:val="501"/>
        </w:trPr>
        <w:tc>
          <w:tcPr>
            <w:tcW w:w="970" w:type="dxa"/>
          </w:tcPr>
          <w:p w14:paraId="3C67103B" w14:textId="77777777" w:rsidR="00A71EEF" w:rsidRDefault="00A71EEF">
            <w:pPr>
              <w:pStyle w:val="TableParagraph"/>
              <w:spacing w:before="11"/>
              <w:rPr>
                <w:sz w:val="14"/>
              </w:rPr>
            </w:pPr>
          </w:p>
          <w:p w14:paraId="58E682B2" w14:textId="77777777" w:rsidR="00A71EEF" w:rsidRDefault="0081115D">
            <w:pPr>
              <w:pStyle w:val="TableParagraph"/>
              <w:ind w:left="623" w:right="82"/>
              <w:jc w:val="center"/>
              <w:rPr>
                <w:sz w:val="21"/>
              </w:rPr>
            </w:pPr>
            <w:r>
              <w:rPr>
                <w:sz w:val="21"/>
              </w:rPr>
              <w:t xml:space="preserve">14 </w:t>
            </w:r>
          </w:p>
        </w:tc>
        <w:tc>
          <w:tcPr>
            <w:tcW w:w="2610" w:type="dxa"/>
          </w:tcPr>
          <w:p w14:paraId="1E30C9A6" w14:textId="77777777" w:rsidR="00A71EEF" w:rsidRDefault="00A71EEF">
            <w:pPr>
              <w:pStyle w:val="TableParagraph"/>
              <w:spacing w:before="11"/>
              <w:rPr>
                <w:sz w:val="14"/>
              </w:rPr>
            </w:pPr>
          </w:p>
          <w:p w14:paraId="50B496C2" w14:textId="77777777" w:rsidR="00A71EEF" w:rsidRDefault="0081115D">
            <w:pPr>
              <w:pStyle w:val="TableParagraph"/>
              <w:ind w:left="601" w:right="62"/>
              <w:jc w:val="center"/>
              <w:rPr>
                <w:sz w:val="21"/>
              </w:rPr>
            </w:pPr>
            <w:r>
              <w:rPr>
                <w:sz w:val="21"/>
              </w:rPr>
              <w:t>防火玻璃</w:t>
            </w:r>
            <w:r>
              <w:rPr>
                <w:sz w:val="21"/>
              </w:rPr>
              <w:t xml:space="preserve"> </w:t>
            </w:r>
          </w:p>
        </w:tc>
        <w:tc>
          <w:tcPr>
            <w:tcW w:w="2377" w:type="dxa"/>
          </w:tcPr>
          <w:p w14:paraId="3B0865D2" w14:textId="77777777" w:rsidR="00A71EEF" w:rsidRDefault="00A71EEF">
            <w:pPr>
              <w:pStyle w:val="TableParagraph"/>
              <w:spacing w:before="11"/>
              <w:rPr>
                <w:sz w:val="14"/>
              </w:rPr>
            </w:pPr>
          </w:p>
          <w:p w14:paraId="4C36FEDB" w14:textId="77777777" w:rsidR="00A71EEF" w:rsidRDefault="0081115D">
            <w:pPr>
              <w:pStyle w:val="TableParagraph"/>
              <w:ind w:left="1005" w:right="473"/>
              <w:jc w:val="center"/>
              <w:rPr>
                <w:sz w:val="21"/>
              </w:rPr>
            </w:pPr>
            <w:r>
              <w:rPr>
                <w:sz w:val="21"/>
              </w:rPr>
              <w:t xml:space="preserve">5.3.8 </w:t>
            </w:r>
          </w:p>
        </w:tc>
        <w:tc>
          <w:tcPr>
            <w:tcW w:w="1547" w:type="dxa"/>
          </w:tcPr>
          <w:p w14:paraId="74DC0207" w14:textId="77777777" w:rsidR="00A71EEF" w:rsidRDefault="00A71EEF">
            <w:pPr>
              <w:pStyle w:val="TableParagraph"/>
              <w:spacing w:before="11"/>
              <w:rPr>
                <w:sz w:val="14"/>
              </w:rPr>
            </w:pPr>
          </w:p>
          <w:p w14:paraId="3746CB04" w14:textId="77777777" w:rsidR="00A71EEF" w:rsidRDefault="0081115D">
            <w:pPr>
              <w:pStyle w:val="TableParagraph"/>
              <w:ind w:left="698" w:right="163"/>
              <w:jc w:val="center"/>
              <w:rPr>
                <w:sz w:val="21"/>
              </w:rPr>
            </w:pPr>
            <w:r>
              <w:rPr>
                <w:sz w:val="21"/>
              </w:rPr>
              <w:t xml:space="preserve">6.4.8 </w:t>
            </w:r>
          </w:p>
        </w:tc>
        <w:tc>
          <w:tcPr>
            <w:tcW w:w="925" w:type="dxa"/>
          </w:tcPr>
          <w:p w14:paraId="31E737B0" w14:textId="77777777" w:rsidR="00A71EEF" w:rsidRDefault="00A71EEF">
            <w:pPr>
              <w:pStyle w:val="TableParagraph"/>
              <w:spacing w:before="11"/>
              <w:rPr>
                <w:sz w:val="14"/>
              </w:rPr>
            </w:pPr>
          </w:p>
          <w:p w14:paraId="0E502F9C" w14:textId="77777777" w:rsidR="00A71EEF" w:rsidRDefault="0081115D">
            <w:pPr>
              <w:pStyle w:val="TableParagraph"/>
              <w:ind w:right="80"/>
              <w:jc w:val="right"/>
              <w:rPr>
                <w:sz w:val="21"/>
              </w:rPr>
            </w:pPr>
            <w:r>
              <w:rPr>
                <w:sz w:val="21"/>
              </w:rPr>
              <w:t xml:space="preserve">A </w:t>
            </w:r>
          </w:p>
        </w:tc>
      </w:tr>
      <w:tr w:rsidR="00A71EEF" w14:paraId="6F15793D" w14:textId="77777777">
        <w:trPr>
          <w:trHeight w:val="498"/>
        </w:trPr>
        <w:tc>
          <w:tcPr>
            <w:tcW w:w="970" w:type="dxa"/>
          </w:tcPr>
          <w:p w14:paraId="54435DAA" w14:textId="77777777" w:rsidR="00A71EEF" w:rsidRDefault="00A71EEF">
            <w:pPr>
              <w:pStyle w:val="TableParagraph"/>
              <w:spacing w:before="11"/>
              <w:rPr>
                <w:sz w:val="14"/>
              </w:rPr>
            </w:pPr>
          </w:p>
          <w:p w14:paraId="376D1D7F" w14:textId="77777777" w:rsidR="00A71EEF" w:rsidRDefault="0081115D">
            <w:pPr>
              <w:pStyle w:val="TableParagraph"/>
              <w:ind w:left="623" w:right="82"/>
              <w:jc w:val="center"/>
              <w:rPr>
                <w:sz w:val="21"/>
              </w:rPr>
            </w:pPr>
            <w:r>
              <w:rPr>
                <w:sz w:val="21"/>
              </w:rPr>
              <w:t xml:space="preserve">15 </w:t>
            </w:r>
          </w:p>
        </w:tc>
        <w:tc>
          <w:tcPr>
            <w:tcW w:w="2610" w:type="dxa"/>
          </w:tcPr>
          <w:p w14:paraId="701169B3" w14:textId="77777777" w:rsidR="00A71EEF" w:rsidRDefault="00A71EEF">
            <w:pPr>
              <w:pStyle w:val="TableParagraph"/>
              <w:spacing w:before="11"/>
              <w:rPr>
                <w:sz w:val="14"/>
              </w:rPr>
            </w:pPr>
          </w:p>
          <w:p w14:paraId="6710ECB0" w14:textId="77777777" w:rsidR="00A71EEF" w:rsidRDefault="0081115D">
            <w:pPr>
              <w:pStyle w:val="TableParagraph"/>
              <w:ind w:left="601" w:right="63"/>
              <w:jc w:val="center"/>
              <w:rPr>
                <w:sz w:val="21"/>
              </w:rPr>
            </w:pPr>
            <w:r>
              <w:rPr>
                <w:sz w:val="21"/>
              </w:rPr>
              <w:t>加工工艺和外观质量</w:t>
            </w:r>
            <w:r>
              <w:rPr>
                <w:sz w:val="21"/>
              </w:rPr>
              <w:t xml:space="preserve"> </w:t>
            </w:r>
          </w:p>
        </w:tc>
        <w:tc>
          <w:tcPr>
            <w:tcW w:w="2377" w:type="dxa"/>
          </w:tcPr>
          <w:p w14:paraId="0F55151A" w14:textId="77777777" w:rsidR="00A71EEF" w:rsidRDefault="00A71EEF">
            <w:pPr>
              <w:pStyle w:val="TableParagraph"/>
              <w:spacing w:before="11"/>
              <w:rPr>
                <w:sz w:val="14"/>
              </w:rPr>
            </w:pPr>
          </w:p>
          <w:p w14:paraId="4E172EE8" w14:textId="77777777" w:rsidR="00A71EEF" w:rsidRDefault="0081115D">
            <w:pPr>
              <w:pStyle w:val="TableParagraph"/>
              <w:ind w:left="1005" w:right="473"/>
              <w:jc w:val="center"/>
              <w:rPr>
                <w:sz w:val="21"/>
              </w:rPr>
            </w:pPr>
            <w:r>
              <w:rPr>
                <w:sz w:val="21"/>
              </w:rPr>
              <w:t xml:space="preserve">5.4 </w:t>
            </w:r>
          </w:p>
        </w:tc>
        <w:tc>
          <w:tcPr>
            <w:tcW w:w="1547" w:type="dxa"/>
          </w:tcPr>
          <w:p w14:paraId="6A6F576A" w14:textId="77777777" w:rsidR="00A71EEF" w:rsidRDefault="00A71EEF">
            <w:pPr>
              <w:pStyle w:val="TableParagraph"/>
              <w:spacing w:before="11"/>
              <w:rPr>
                <w:sz w:val="14"/>
              </w:rPr>
            </w:pPr>
          </w:p>
          <w:p w14:paraId="4C79753E" w14:textId="77777777" w:rsidR="00A71EEF" w:rsidRDefault="0081115D">
            <w:pPr>
              <w:pStyle w:val="TableParagraph"/>
              <w:ind w:left="698" w:right="163"/>
              <w:jc w:val="center"/>
              <w:rPr>
                <w:sz w:val="21"/>
              </w:rPr>
            </w:pPr>
            <w:r>
              <w:rPr>
                <w:sz w:val="21"/>
              </w:rPr>
              <w:t xml:space="preserve">6.5 </w:t>
            </w:r>
          </w:p>
        </w:tc>
        <w:tc>
          <w:tcPr>
            <w:tcW w:w="925" w:type="dxa"/>
          </w:tcPr>
          <w:p w14:paraId="6A93AF67" w14:textId="77777777" w:rsidR="00A71EEF" w:rsidRDefault="00A71EEF">
            <w:pPr>
              <w:pStyle w:val="TableParagraph"/>
              <w:spacing w:before="11"/>
              <w:rPr>
                <w:sz w:val="14"/>
              </w:rPr>
            </w:pPr>
          </w:p>
          <w:p w14:paraId="3EBCE121" w14:textId="77777777" w:rsidR="00A71EEF" w:rsidRDefault="0081115D">
            <w:pPr>
              <w:pStyle w:val="TableParagraph"/>
              <w:ind w:right="80"/>
              <w:jc w:val="right"/>
              <w:rPr>
                <w:sz w:val="21"/>
              </w:rPr>
            </w:pPr>
            <w:r>
              <w:rPr>
                <w:sz w:val="21"/>
              </w:rPr>
              <w:t xml:space="preserve">C </w:t>
            </w:r>
          </w:p>
        </w:tc>
      </w:tr>
    </w:tbl>
    <w:p w14:paraId="25D91997" w14:textId="77777777" w:rsidR="00A71EEF" w:rsidRDefault="00A71EEF">
      <w:pPr>
        <w:jc w:val="right"/>
        <w:rPr>
          <w:sz w:val="21"/>
        </w:rPr>
        <w:sectPr w:rsidR="00A71EEF">
          <w:pgSz w:w="11910" w:h="16850"/>
          <w:pgMar w:top="1220" w:right="0" w:bottom="1420" w:left="1260" w:header="0" w:footer="1159" w:gutter="0"/>
          <w:cols w:space="720"/>
        </w:sectPr>
      </w:pPr>
    </w:p>
    <w:tbl>
      <w:tblPr>
        <w:tblStyle w:val="TableNormal"/>
        <w:tblW w:w="0" w:type="auto"/>
        <w:tblInd w:w="5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70"/>
        <w:gridCol w:w="2610"/>
        <w:gridCol w:w="2377"/>
        <w:gridCol w:w="1547"/>
        <w:gridCol w:w="925"/>
      </w:tblGrid>
      <w:tr w:rsidR="00A71EEF" w14:paraId="18D0FAE9" w14:textId="77777777">
        <w:trPr>
          <w:trHeight w:val="499"/>
        </w:trPr>
        <w:tc>
          <w:tcPr>
            <w:tcW w:w="970" w:type="dxa"/>
          </w:tcPr>
          <w:p w14:paraId="14B77639" w14:textId="77777777" w:rsidR="00A71EEF" w:rsidRDefault="00A71EEF">
            <w:pPr>
              <w:pStyle w:val="TableParagraph"/>
              <w:spacing w:before="7"/>
              <w:rPr>
                <w:sz w:val="14"/>
              </w:rPr>
            </w:pPr>
          </w:p>
          <w:p w14:paraId="5D3F1D4E" w14:textId="77777777" w:rsidR="00A71EEF" w:rsidRDefault="0081115D">
            <w:pPr>
              <w:pStyle w:val="TableParagraph"/>
              <w:spacing w:before="1"/>
              <w:ind w:right="46"/>
              <w:jc w:val="right"/>
              <w:rPr>
                <w:sz w:val="21"/>
              </w:rPr>
            </w:pPr>
            <w:r>
              <w:rPr>
                <w:sz w:val="21"/>
              </w:rPr>
              <w:t xml:space="preserve">16 </w:t>
            </w:r>
          </w:p>
        </w:tc>
        <w:tc>
          <w:tcPr>
            <w:tcW w:w="2610" w:type="dxa"/>
          </w:tcPr>
          <w:p w14:paraId="595426CE" w14:textId="77777777" w:rsidR="00A71EEF" w:rsidRDefault="00A71EEF">
            <w:pPr>
              <w:pStyle w:val="TableParagraph"/>
              <w:spacing w:before="7"/>
              <w:rPr>
                <w:sz w:val="14"/>
              </w:rPr>
            </w:pPr>
          </w:p>
          <w:p w14:paraId="0C619524" w14:textId="77777777" w:rsidR="00A71EEF" w:rsidRDefault="0081115D">
            <w:pPr>
              <w:pStyle w:val="TableParagraph"/>
              <w:spacing w:before="1"/>
              <w:ind w:left="1094"/>
              <w:rPr>
                <w:sz w:val="21"/>
              </w:rPr>
            </w:pPr>
            <w:r>
              <w:rPr>
                <w:sz w:val="21"/>
              </w:rPr>
              <w:t>门扇质量</w:t>
            </w:r>
            <w:r>
              <w:rPr>
                <w:sz w:val="21"/>
              </w:rPr>
              <w:t xml:space="preserve"> </w:t>
            </w:r>
          </w:p>
        </w:tc>
        <w:tc>
          <w:tcPr>
            <w:tcW w:w="2377" w:type="dxa"/>
          </w:tcPr>
          <w:p w14:paraId="16A33390" w14:textId="77777777" w:rsidR="00A71EEF" w:rsidRDefault="00A71EEF">
            <w:pPr>
              <w:pStyle w:val="TableParagraph"/>
              <w:spacing w:before="7"/>
              <w:rPr>
                <w:sz w:val="14"/>
              </w:rPr>
            </w:pPr>
          </w:p>
          <w:p w14:paraId="0DFDD89B" w14:textId="77777777" w:rsidR="00A71EEF" w:rsidRDefault="0081115D">
            <w:pPr>
              <w:pStyle w:val="TableParagraph"/>
              <w:spacing w:before="1"/>
              <w:ind w:left="1005" w:right="473"/>
              <w:jc w:val="center"/>
              <w:rPr>
                <w:sz w:val="21"/>
              </w:rPr>
            </w:pPr>
            <w:r>
              <w:rPr>
                <w:sz w:val="21"/>
              </w:rPr>
              <w:t xml:space="preserve">5.5 </w:t>
            </w:r>
          </w:p>
        </w:tc>
        <w:tc>
          <w:tcPr>
            <w:tcW w:w="1547" w:type="dxa"/>
          </w:tcPr>
          <w:p w14:paraId="5E6B7C1D" w14:textId="77777777" w:rsidR="00A71EEF" w:rsidRDefault="00A71EEF">
            <w:pPr>
              <w:pStyle w:val="TableParagraph"/>
              <w:spacing w:before="7"/>
              <w:rPr>
                <w:sz w:val="14"/>
              </w:rPr>
            </w:pPr>
          </w:p>
          <w:p w14:paraId="5C853B27" w14:textId="77777777" w:rsidR="00A71EEF" w:rsidRDefault="0081115D">
            <w:pPr>
              <w:pStyle w:val="TableParagraph"/>
              <w:spacing w:before="1"/>
              <w:ind w:left="698" w:right="163"/>
              <w:jc w:val="center"/>
              <w:rPr>
                <w:sz w:val="21"/>
              </w:rPr>
            </w:pPr>
            <w:r>
              <w:rPr>
                <w:sz w:val="21"/>
              </w:rPr>
              <w:t xml:space="preserve">6.6 </w:t>
            </w:r>
          </w:p>
        </w:tc>
        <w:tc>
          <w:tcPr>
            <w:tcW w:w="925" w:type="dxa"/>
          </w:tcPr>
          <w:p w14:paraId="7E3B201B" w14:textId="77777777" w:rsidR="00A71EEF" w:rsidRDefault="00A71EEF">
            <w:pPr>
              <w:pStyle w:val="TableParagraph"/>
              <w:spacing w:before="7"/>
              <w:rPr>
                <w:sz w:val="14"/>
              </w:rPr>
            </w:pPr>
          </w:p>
          <w:p w14:paraId="3D4B9CF3" w14:textId="77777777" w:rsidR="00A71EEF" w:rsidRDefault="0081115D">
            <w:pPr>
              <w:pStyle w:val="TableParagraph"/>
              <w:spacing w:before="1"/>
              <w:ind w:right="80"/>
              <w:jc w:val="right"/>
              <w:rPr>
                <w:sz w:val="21"/>
              </w:rPr>
            </w:pPr>
            <w:r>
              <w:rPr>
                <w:sz w:val="21"/>
              </w:rPr>
              <w:t xml:space="preserve">A </w:t>
            </w:r>
          </w:p>
        </w:tc>
      </w:tr>
      <w:tr w:rsidR="00A71EEF" w14:paraId="1C420944" w14:textId="77777777">
        <w:trPr>
          <w:trHeight w:val="500"/>
        </w:trPr>
        <w:tc>
          <w:tcPr>
            <w:tcW w:w="970" w:type="dxa"/>
          </w:tcPr>
          <w:p w14:paraId="24366DF3" w14:textId="77777777" w:rsidR="00A71EEF" w:rsidRDefault="00A71EEF">
            <w:pPr>
              <w:pStyle w:val="TableParagraph"/>
              <w:spacing w:before="10"/>
              <w:rPr>
                <w:sz w:val="14"/>
              </w:rPr>
            </w:pPr>
          </w:p>
          <w:p w14:paraId="5724CAAF" w14:textId="77777777" w:rsidR="00A71EEF" w:rsidRDefault="0081115D">
            <w:pPr>
              <w:pStyle w:val="TableParagraph"/>
              <w:ind w:right="46"/>
              <w:jc w:val="right"/>
              <w:rPr>
                <w:sz w:val="21"/>
              </w:rPr>
            </w:pPr>
            <w:r>
              <w:rPr>
                <w:sz w:val="21"/>
              </w:rPr>
              <w:t xml:space="preserve">17 </w:t>
            </w:r>
          </w:p>
        </w:tc>
        <w:tc>
          <w:tcPr>
            <w:tcW w:w="2610" w:type="dxa"/>
          </w:tcPr>
          <w:p w14:paraId="39807963" w14:textId="77777777" w:rsidR="00A71EEF" w:rsidRDefault="00A71EEF">
            <w:pPr>
              <w:pStyle w:val="TableParagraph"/>
              <w:spacing w:before="10"/>
              <w:rPr>
                <w:sz w:val="14"/>
              </w:rPr>
            </w:pPr>
          </w:p>
          <w:p w14:paraId="10BD8E54" w14:textId="77777777" w:rsidR="00A71EEF" w:rsidRDefault="0081115D">
            <w:pPr>
              <w:pStyle w:val="TableParagraph"/>
              <w:ind w:left="882"/>
              <w:rPr>
                <w:sz w:val="21"/>
              </w:rPr>
            </w:pPr>
            <w:r>
              <w:rPr>
                <w:sz w:val="21"/>
              </w:rPr>
              <w:t>门扇高度偏差</w:t>
            </w:r>
            <w:r>
              <w:rPr>
                <w:sz w:val="21"/>
              </w:rPr>
              <w:t xml:space="preserve"> </w:t>
            </w:r>
          </w:p>
        </w:tc>
        <w:tc>
          <w:tcPr>
            <w:tcW w:w="2377" w:type="dxa"/>
          </w:tcPr>
          <w:p w14:paraId="5309EB4E" w14:textId="77777777" w:rsidR="00A71EEF" w:rsidRDefault="00A71EEF">
            <w:pPr>
              <w:pStyle w:val="TableParagraph"/>
              <w:spacing w:before="10"/>
              <w:rPr>
                <w:sz w:val="14"/>
              </w:rPr>
            </w:pPr>
          </w:p>
          <w:p w14:paraId="3E94F16B" w14:textId="77777777" w:rsidR="00A71EEF" w:rsidRDefault="0081115D">
            <w:pPr>
              <w:pStyle w:val="TableParagraph"/>
              <w:ind w:left="1005" w:right="473"/>
              <w:jc w:val="center"/>
              <w:rPr>
                <w:sz w:val="21"/>
              </w:rPr>
            </w:pPr>
            <w:r>
              <w:rPr>
                <w:sz w:val="21"/>
              </w:rPr>
              <w:t xml:space="preserve">5.6 </w:t>
            </w:r>
          </w:p>
        </w:tc>
        <w:tc>
          <w:tcPr>
            <w:tcW w:w="1547" w:type="dxa"/>
          </w:tcPr>
          <w:p w14:paraId="72FE66CA" w14:textId="77777777" w:rsidR="00A71EEF" w:rsidRDefault="00A71EEF">
            <w:pPr>
              <w:pStyle w:val="TableParagraph"/>
              <w:spacing w:before="10"/>
              <w:rPr>
                <w:sz w:val="14"/>
              </w:rPr>
            </w:pPr>
          </w:p>
          <w:p w14:paraId="24BA5A2E" w14:textId="77777777" w:rsidR="00A71EEF" w:rsidRDefault="0081115D">
            <w:pPr>
              <w:pStyle w:val="TableParagraph"/>
              <w:ind w:left="698" w:right="163"/>
              <w:jc w:val="center"/>
              <w:rPr>
                <w:sz w:val="21"/>
              </w:rPr>
            </w:pPr>
            <w:r>
              <w:rPr>
                <w:sz w:val="21"/>
              </w:rPr>
              <w:t xml:space="preserve">6.7.1 </w:t>
            </w:r>
          </w:p>
        </w:tc>
        <w:tc>
          <w:tcPr>
            <w:tcW w:w="925" w:type="dxa"/>
          </w:tcPr>
          <w:p w14:paraId="1C2267DC" w14:textId="77777777" w:rsidR="00A71EEF" w:rsidRDefault="00A71EEF">
            <w:pPr>
              <w:pStyle w:val="TableParagraph"/>
              <w:spacing w:before="10"/>
              <w:rPr>
                <w:sz w:val="14"/>
              </w:rPr>
            </w:pPr>
          </w:p>
          <w:p w14:paraId="6EF731E5" w14:textId="77777777" w:rsidR="00A71EEF" w:rsidRDefault="0081115D">
            <w:pPr>
              <w:pStyle w:val="TableParagraph"/>
              <w:ind w:right="80"/>
              <w:jc w:val="right"/>
              <w:rPr>
                <w:sz w:val="21"/>
              </w:rPr>
            </w:pPr>
            <w:r>
              <w:rPr>
                <w:sz w:val="21"/>
              </w:rPr>
              <w:t xml:space="preserve">C </w:t>
            </w:r>
          </w:p>
        </w:tc>
      </w:tr>
      <w:tr w:rsidR="00A71EEF" w14:paraId="1EE885CC" w14:textId="77777777">
        <w:trPr>
          <w:trHeight w:val="501"/>
        </w:trPr>
        <w:tc>
          <w:tcPr>
            <w:tcW w:w="970" w:type="dxa"/>
          </w:tcPr>
          <w:p w14:paraId="2C6A3EE9" w14:textId="77777777" w:rsidR="00A71EEF" w:rsidRDefault="00A71EEF">
            <w:pPr>
              <w:pStyle w:val="TableParagraph"/>
              <w:spacing w:before="7"/>
              <w:rPr>
                <w:sz w:val="14"/>
              </w:rPr>
            </w:pPr>
          </w:p>
          <w:p w14:paraId="02FC35E2" w14:textId="77777777" w:rsidR="00A71EEF" w:rsidRDefault="0081115D">
            <w:pPr>
              <w:pStyle w:val="TableParagraph"/>
              <w:spacing w:before="1"/>
              <w:ind w:right="46"/>
              <w:jc w:val="right"/>
              <w:rPr>
                <w:sz w:val="21"/>
              </w:rPr>
            </w:pPr>
            <w:r>
              <w:rPr>
                <w:sz w:val="21"/>
              </w:rPr>
              <w:t xml:space="preserve">18 </w:t>
            </w:r>
          </w:p>
        </w:tc>
        <w:tc>
          <w:tcPr>
            <w:tcW w:w="2610" w:type="dxa"/>
          </w:tcPr>
          <w:p w14:paraId="20ABCC49" w14:textId="77777777" w:rsidR="00A71EEF" w:rsidRDefault="00A71EEF">
            <w:pPr>
              <w:pStyle w:val="TableParagraph"/>
              <w:spacing w:before="7"/>
              <w:rPr>
                <w:sz w:val="14"/>
              </w:rPr>
            </w:pPr>
          </w:p>
          <w:p w14:paraId="79C8D44D" w14:textId="77777777" w:rsidR="00A71EEF" w:rsidRDefault="0081115D">
            <w:pPr>
              <w:pStyle w:val="TableParagraph"/>
              <w:spacing w:before="1"/>
              <w:ind w:left="882"/>
              <w:rPr>
                <w:sz w:val="21"/>
              </w:rPr>
            </w:pPr>
            <w:r>
              <w:rPr>
                <w:sz w:val="21"/>
              </w:rPr>
              <w:t>门扇宽度偏差</w:t>
            </w:r>
            <w:r>
              <w:rPr>
                <w:sz w:val="21"/>
              </w:rPr>
              <w:t xml:space="preserve"> </w:t>
            </w:r>
          </w:p>
        </w:tc>
        <w:tc>
          <w:tcPr>
            <w:tcW w:w="2377" w:type="dxa"/>
          </w:tcPr>
          <w:p w14:paraId="28857F44" w14:textId="77777777" w:rsidR="00A71EEF" w:rsidRDefault="00A71EEF">
            <w:pPr>
              <w:pStyle w:val="TableParagraph"/>
              <w:spacing w:before="7"/>
              <w:rPr>
                <w:sz w:val="14"/>
              </w:rPr>
            </w:pPr>
          </w:p>
          <w:p w14:paraId="24701FC2" w14:textId="77777777" w:rsidR="00A71EEF" w:rsidRDefault="0081115D">
            <w:pPr>
              <w:pStyle w:val="TableParagraph"/>
              <w:spacing w:before="1"/>
              <w:ind w:left="1005" w:right="473"/>
              <w:jc w:val="center"/>
              <w:rPr>
                <w:sz w:val="21"/>
              </w:rPr>
            </w:pPr>
            <w:r>
              <w:rPr>
                <w:sz w:val="21"/>
              </w:rPr>
              <w:t xml:space="preserve">5.6 </w:t>
            </w:r>
          </w:p>
        </w:tc>
        <w:tc>
          <w:tcPr>
            <w:tcW w:w="1547" w:type="dxa"/>
          </w:tcPr>
          <w:p w14:paraId="7C7F16F6" w14:textId="77777777" w:rsidR="00A71EEF" w:rsidRDefault="00A71EEF">
            <w:pPr>
              <w:pStyle w:val="TableParagraph"/>
              <w:spacing w:before="7"/>
              <w:rPr>
                <w:sz w:val="14"/>
              </w:rPr>
            </w:pPr>
          </w:p>
          <w:p w14:paraId="32A0D221" w14:textId="77777777" w:rsidR="00A71EEF" w:rsidRDefault="0081115D">
            <w:pPr>
              <w:pStyle w:val="TableParagraph"/>
              <w:spacing w:before="1"/>
              <w:ind w:left="698" w:right="163"/>
              <w:jc w:val="center"/>
              <w:rPr>
                <w:sz w:val="21"/>
              </w:rPr>
            </w:pPr>
            <w:r>
              <w:rPr>
                <w:sz w:val="21"/>
              </w:rPr>
              <w:t xml:space="preserve">6.7.2 </w:t>
            </w:r>
          </w:p>
        </w:tc>
        <w:tc>
          <w:tcPr>
            <w:tcW w:w="925" w:type="dxa"/>
          </w:tcPr>
          <w:p w14:paraId="5EAA1214" w14:textId="77777777" w:rsidR="00A71EEF" w:rsidRDefault="00A71EEF">
            <w:pPr>
              <w:pStyle w:val="TableParagraph"/>
              <w:spacing w:before="7"/>
              <w:rPr>
                <w:sz w:val="14"/>
              </w:rPr>
            </w:pPr>
          </w:p>
          <w:p w14:paraId="3D847E27" w14:textId="77777777" w:rsidR="00A71EEF" w:rsidRDefault="0081115D">
            <w:pPr>
              <w:pStyle w:val="TableParagraph"/>
              <w:spacing w:before="1"/>
              <w:ind w:right="80"/>
              <w:jc w:val="right"/>
              <w:rPr>
                <w:sz w:val="21"/>
              </w:rPr>
            </w:pPr>
            <w:r>
              <w:rPr>
                <w:sz w:val="21"/>
              </w:rPr>
              <w:t xml:space="preserve">C </w:t>
            </w:r>
          </w:p>
        </w:tc>
      </w:tr>
      <w:tr w:rsidR="00A71EEF" w14:paraId="2B81C2C3" w14:textId="77777777">
        <w:trPr>
          <w:trHeight w:val="498"/>
        </w:trPr>
        <w:tc>
          <w:tcPr>
            <w:tcW w:w="970" w:type="dxa"/>
          </w:tcPr>
          <w:p w14:paraId="59619E9A" w14:textId="77777777" w:rsidR="00A71EEF" w:rsidRDefault="00A71EEF">
            <w:pPr>
              <w:pStyle w:val="TableParagraph"/>
              <w:spacing w:before="7"/>
              <w:rPr>
                <w:sz w:val="14"/>
              </w:rPr>
            </w:pPr>
          </w:p>
          <w:p w14:paraId="110E5C54" w14:textId="77777777" w:rsidR="00A71EEF" w:rsidRDefault="0081115D">
            <w:pPr>
              <w:pStyle w:val="TableParagraph"/>
              <w:spacing w:before="1"/>
              <w:ind w:right="46"/>
              <w:jc w:val="right"/>
              <w:rPr>
                <w:sz w:val="21"/>
              </w:rPr>
            </w:pPr>
            <w:r>
              <w:rPr>
                <w:sz w:val="21"/>
              </w:rPr>
              <w:t xml:space="preserve">19 </w:t>
            </w:r>
          </w:p>
        </w:tc>
        <w:tc>
          <w:tcPr>
            <w:tcW w:w="2610" w:type="dxa"/>
          </w:tcPr>
          <w:p w14:paraId="6EF8C8F2" w14:textId="77777777" w:rsidR="00A71EEF" w:rsidRDefault="00A71EEF">
            <w:pPr>
              <w:pStyle w:val="TableParagraph"/>
              <w:spacing w:before="7"/>
              <w:rPr>
                <w:sz w:val="14"/>
              </w:rPr>
            </w:pPr>
          </w:p>
          <w:p w14:paraId="5941E23A" w14:textId="77777777" w:rsidR="00A71EEF" w:rsidRDefault="0081115D">
            <w:pPr>
              <w:pStyle w:val="TableParagraph"/>
              <w:spacing w:before="1"/>
              <w:ind w:left="882"/>
              <w:rPr>
                <w:sz w:val="21"/>
              </w:rPr>
            </w:pPr>
            <w:r>
              <w:rPr>
                <w:sz w:val="21"/>
              </w:rPr>
              <w:t>门扇厚度偏差</w:t>
            </w:r>
            <w:r>
              <w:rPr>
                <w:sz w:val="21"/>
              </w:rPr>
              <w:t xml:space="preserve"> </w:t>
            </w:r>
          </w:p>
        </w:tc>
        <w:tc>
          <w:tcPr>
            <w:tcW w:w="2377" w:type="dxa"/>
          </w:tcPr>
          <w:p w14:paraId="4F909DB7" w14:textId="77777777" w:rsidR="00A71EEF" w:rsidRDefault="00A71EEF">
            <w:pPr>
              <w:pStyle w:val="TableParagraph"/>
              <w:spacing w:before="7"/>
              <w:rPr>
                <w:sz w:val="14"/>
              </w:rPr>
            </w:pPr>
          </w:p>
          <w:p w14:paraId="79FF5CBA" w14:textId="77777777" w:rsidR="00A71EEF" w:rsidRDefault="0081115D">
            <w:pPr>
              <w:pStyle w:val="TableParagraph"/>
              <w:spacing w:before="1"/>
              <w:ind w:left="1005" w:right="473"/>
              <w:jc w:val="center"/>
              <w:rPr>
                <w:sz w:val="21"/>
              </w:rPr>
            </w:pPr>
            <w:r>
              <w:rPr>
                <w:sz w:val="21"/>
              </w:rPr>
              <w:t xml:space="preserve">5.6 </w:t>
            </w:r>
          </w:p>
        </w:tc>
        <w:tc>
          <w:tcPr>
            <w:tcW w:w="1547" w:type="dxa"/>
          </w:tcPr>
          <w:p w14:paraId="54955750" w14:textId="77777777" w:rsidR="00A71EEF" w:rsidRDefault="00A71EEF">
            <w:pPr>
              <w:pStyle w:val="TableParagraph"/>
              <w:spacing w:before="7"/>
              <w:rPr>
                <w:sz w:val="14"/>
              </w:rPr>
            </w:pPr>
          </w:p>
          <w:p w14:paraId="004368C4" w14:textId="77777777" w:rsidR="00A71EEF" w:rsidRDefault="0081115D">
            <w:pPr>
              <w:pStyle w:val="TableParagraph"/>
              <w:spacing w:before="1"/>
              <w:ind w:left="698" w:right="163"/>
              <w:jc w:val="center"/>
              <w:rPr>
                <w:sz w:val="21"/>
              </w:rPr>
            </w:pPr>
            <w:r>
              <w:rPr>
                <w:sz w:val="21"/>
              </w:rPr>
              <w:t xml:space="preserve">6.7.3 </w:t>
            </w:r>
          </w:p>
        </w:tc>
        <w:tc>
          <w:tcPr>
            <w:tcW w:w="925" w:type="dxa"/>
          </w:tcPr>
          <w:p w14:paraId="3516CC5E" w14:textId="77777777" w:rsidR="00A71EEF" w:rsidRDefault="00A71EEF">
            <w:pPr>
              <w:pStyle w:val="TableParagraph"/>
              <w:spacing w:before="7"/>
              <w:rPr>
                <w:sz w:val="14"/>
              </w:rPr>
            </w:pPr>
          </w:p>
          <w:p w14:paraId="46AB0F96" w14:textId="77777777" w:rsidR="00A71EEF" w:rsidRDefault="0081115D">
            <w:pPr>
              <w:pStyle w:val="TableParagraph"/>
              <w:spacing w:before="1"/>
              <w:ind w:right="80"/>
              <w:jc w:val="right"/>
              <w:rPr>
                <w:sz w:val="21"/>
              </w:rPr>
            </w:pPr>
            <w:r>
              <w:rPr>
                <w:sz w:val="21"/>
              </w:rPr>
              <w:t xml:space="preserve">B </w:t>
            </w:r>
          </w:p>
        </w:tc>
      </w:tr>
      <w:tr w:rsidR="00A71EEF" w14:paraId="24E10149" w14:textId="77777777">
        <w:trPr>
          <w:trHeight w:val="501"/>
        </w:trPr>
        <w:tc>
          <w:tcPr>
            <w:tcW w:w="970" w:type="dxa"/>
          </w:tcPr>
          <w:p w14:paraId="2C198171" w14:textId="77777777" w:rsidR="00A71EEF" w:rsidRDefault="00A71EEF">
            <w:pPr>
              <w:pStyle w:val="TableParagraph"/>
              <w:spacing w:before="7"/>
              <w:rPr>
                <w:sz w:val="14"/>
              </w:rPr>
            </w:pPr>
          </w:p>
          <w:p w14:paraId="69879448" w14:textId="77777777" w:rsidR="00A71EEF" w:rsidRDefault="0081115D">
            <w:pPr>
              <w:pStyle w:val="TableParagraph"/>
              <w:spacing w:before="1"/>
              <w:ind w:right="46"/>
              <w:jc w:val="right"/>
              <w:rPr>
                <w:sz w:val="21"/>
              </w:rPr>
            </w:pPr>
            <w:r>
              <w:rPr>
                <w:sz w:val="21"/>
              </w:rPr>
              <w:t xml:space="preserve">20 </w:t>
            </w:r>
          </w:p>
        </w:tc>
        <w:tc>
          <w:tcPr>
            <w:tcW w:w="2610" w:type="dxa"/>
          </w:tcPr>
          <w:p w14:paraId="11506BE5" w14:textId="77777777" w:rsidR="00A71EEF" w:rsidRDefault="00A71EEF">
            <w:pPr>
              <w:pStyle w:val="TableParagraph"/>
              <w:spacing w:before="7"/>
              <w:rPr>
                <w:sz w:val="14"/>
              </w:rPr>
            </w:pPr>
          </w:p>
          <w:p w14:paraId="5547EC95" w14:textId="77777777" w:rsidR="00A71EEF" w:rsidRDefault="0081115D">
            <w:pPr>
              <w:pStyle w:val="TableParagraph"/>
              <w:spacing w:before="1"/>
              <w:ind w:right="27"/>
              <w:jc w:val="right"/>
              <w:rPr>
                <w:sz w:val="21"/>
              </w:rPr>
            </w:pPr>
            <w:r>
              <w:rPr>
                <w:sz w:val="21"/>
              </w:rPr>
              <w:t>门框内裁口高度偏差</w:t>
            </w:r>
            <w:r>
              <w:rPr>
                <w:sz w:val="21"/>
              </w:rPr>
              <w:t xml:space="preserve"> </w:t>
            </w:r>
          </w:p>
        </w:tc>
        <w:tc>
          <w:tcPr>
            <w:tcW w:w="2377" w:type="dxa"/>
          </w:tcPr>
          <w:p w14:paraId="434BF967" w14:textId="77777777" w:rsidR="00A71EEF" w:rsidRDefault="00A71EEF">
            <w:pPr>
              <w:pStyle w:val="TableParagraph"/>
              <w:spacing w:before="7"/>
              <w:rPr>
                <w:sz w:val="14"/>
              </w:rPr>
            </w:pPr>
          </w:p>
          <w:p w14:paraId="54ABC620" w14:textId="77777777" w:rsidR="00A71EEF" w:rsidRDefault="0081115D">
            <w:pPr>
              <w:pStyle w:val="TableParagraph"/>
              <w:spacing w:before="1"/>
              <w:ind w:left="1005" w:right="473"/>
              <w:jc w:val="center"/>
              <w:rPr>
                <w:sz w:val="21"/>
              </w:rPr>
            </w:pPr>
            <w:r>
              <w:rPr>
                <w:sz w:val="21"/>
              </w:rPr>
              <w:t xml:space="preserve">5.6 </w:t>
            </w:r>
          </w:p>
        </w:tc>
        <w:tc>
          <w:tcPr>
            <w:tcW w:w="1547" w:type="dxa"/>
          </w:tcPr>
          <w:p w14:paraId="5CDC8E11" w14:textId="77777777" w:rsidR="00A71EEF" w:rsidRDefault="00A71EEF">
            <w:pPr>
              <w:pStyle w:val="TableParagraph"/>
              <w:spacing w:before="7"/>
              <w:rPr>
                <w:sz w:val="14"/>
              </w:rPr>
            </w:pPr>
          </w:p>
          <w:p w14:paraId="14431737" w14:textId="77777777" w:rsidR="00A71EEF" w:rsidRDefault="0081115D">
            <w:pPr>
              <w:pStyle w:val="TableParagraph"/>
              <w:spacing w:before="1"/>
              <w:ind w:left="698" w:right="163"/>
              <w:jc w:val="center"/>
              <w:rPr>
                <w:sz w:val="21"/>
              </w:rPr>
            </w:pPr>
            <w:r>
              <w:rPr>
                <w:sz w:val="21"/>
              </w:rPr>
              <w:t xml:space="preserve">6.7.4 </w:t>
            </w:r>
          </w:p>
        </w:tc>
        <w:tc>
          <w:tcPr>
            <w:tcW w:w="925" w:type="dxa"/>
          </w:tcPr>
          <w:p w14:paraId="6CDE682D" w14:textId="77777777" w:rsidR="00A71EEF" w:rsidRDefault="00A71EEF">
            <w:pPr>
              <w:pStyle w:val="TableParagraph"/>
              <w:spacing w:before="7"/>
              <w:rPr>
                <w:sz w:val="14"/>
              </w:rPr>
            </w:pPr>
          </w:p>
          <w:p w14:paraId="2B4F8654" w14:textId="77777777" w:rsidR="00A71EEF" w:rsidRDefault="0081115D">
            <w:pPr>
              <w:pStyle w:val="TableParagraph"/>
              <w:spacing w:before="1"/>
              <w:ind w:right="80"/>
              <w:jc w:val="right"/>
              <w:rPr>
                <w:sz w:val="21"/>
              </w:rPr>
            </w:pPr>
            <w:r>
              <w:rPr>
                <w:sz w:val="21"/>
              </w:rPr>
              <w:t xml:space="preserve">C </w:t>
            </w:r>
          </w:p>
        </w:tc>
      </w:tr>
      <w:tr w:rsidR="00A71EEF" w14:paraId="14D50868" w14:textId="77777777">
        <w:trPr>
          <w:trHeight w:val="498"/>
        </w:trPr>
        <w:tc>
          <w:tcPr>
            <w:tcW w:w="970" w:type="dxa"/>
          </w:tcPr>
          <w:p w14:paraId="66FB0CE8" w14:textId="77777777" w:rsidR="00A71EEF" w:rsidRDefault="00A71EEF">
            <w:pPr>
              <w:pStyle w:val="TableParagraph"/>
              <w:spacing w:before="7"/>
              <w:rPr>
                <w:sz w:val="14"/>
              </w:rPr>
            </w:pPr>
          </w:p>
          <w:p w14:paraId="482B13BF" w14:textId="77777777" w:rsidR="00A71EEF" w:rsidRDefault="0081115D">
            <w:pPr>
              <w:pStyle w:val="TableParagraph"/>
              <w:spacing w:before="1"/>
              <w:ind w:right="46"/>
              <w:jc w:val="right"/>
              <w:rPr>
                <w:sz w:val="21"/>
              </w:rPr>
            </w:pPr>
            <w:r>
              <w:rPr>
                <w:sz w:val="21"/>
              </w:rPr>
              <w:t xml:space="preserve">21 </w:t>
            </w:r>
          </w:p>
        </w:tc>
        <w:tc>
          <w:tcPr>
            <w:tcW w:w="2610" w:type="dxa"/>
          </w:tcPr>
          <w:p w14:paraId="37A15CB4" w14:textId="77777777" w:rsidR="00A71EEF" w:rsidRDefault="00A71EEF">
            <w:pPr>
              <w:pStyle w:val="TableParagraph"/>
              <w:spacing w:before="7"/>
              <w:rPr>
                <w:sz w:val="14"/>
              </w:rPr>
            </w:pPr>
          </w:p>
          <w:p w14:paraId="446E48D2" w14:textId="77777777" w:rsidR="00A71EEF" w:rsidRDefault="0081115D">
            <w:pPr>
              <w:pStyle w:val="TableParagraph"/>
              <w:spacing w:before="1"/>
              <w:ind w:right="27"/>
              <w:jc w:val="right"/>
              <w:rPr>
                <w:sz w:val="21"/>
              </w:rPr>
            </w:pPr>
            <w:r>
              <w:rPr>
                <w:sz w:val="21"/>
              </w:rPr>
              <w:t>门框内裁口宽度偏差</w:t>
            </w:r>
            <w:r>
              <w:rPr>
                <w:sz w:val="21"/>
              </w:rPr>
              <w:t xml:space="preserve"> </w:t>
            </w:r>
          </w:p>
        </w:tc>
        <w:tc>
          <w:tcPr>
            <w:tcW w:w="2377" w:type="dxa"/>
          </w:tcPr>
          <w:p w14:paraId="55EC7B8D" w14:textId="77777777" w:rsidR="00A71EEF" w:rsidRDefault="00A71EEF">
            <w:pPr>
              <w:pStyle w:val="TableParagraph"/>
              <w:spacing w:before="7"/>
              <w:rPr>
                <w:sz w:val="14"/>
              </w:rPr>
            </w:pPr>
          </w:p>
          <w:p w14:paraId="6C4CB333" w14:textId="77777777" w:rsidR="00A71EEF" w:rsidRDefault="0081115D">
            <w:pPr>
              <w:pStyle w:val="TableParagraph"/>
              <w:spacing w:before="1"/>
              <w:ind w:left="1005" w:right="473"/>
              <w:jc w:val="center"/>
              <w:rPr>
                <w:sz w:val="21"/>
              </w:rPr>
            </w:pPr>
            <w:r>
              <w:rPr>
                <w:sz w:val="21"/>
              </w:rPr>
              <w:t xml:space="preserve">5.6 </w:t>
            </w:r>
          </w:p>
        </w:tc>
        <w:tc>
          <w:tcPr>
            <w:tcW w:w="1547" w:type="dxa"/>
          </w:tcPr>
          <w:p w14:paraId="5583A9B5" w14:textId="77777777" w:rsidR="00A71EEF" w:rsidRDefault="00A71EEF">
            <w:pPr>
              <w:pStyle w:val="TableParagraph"/>
              <w:spacing w:before="7"/>
              <w:rPr>
                <w:sz w:val="14"/>
              </w:rPr>
            </w:pPr>
          </w:p>
          <w:p w14:paraId="37125A19" w14:textId="77777777" w:rsidR="00A71EEF" w:rsidRDefault="0081115D">
            <w:pPr>
              <w:pStyle w:val="TableParagraph"/>
              <w:spacing w:before="1"/>
              <w:ind w:left="698" w:right="163"/>
              <w:jc w:val="center"/>
              <w:rPr>
                <w:sz w:val="21"/>
              </w:rPr>
            </w:pPr>
            <w:r>
              <w:rPr>
                <w:sz w:val="21"/>
              </w:rPr>
              <w:t xml:space="preserve">6.7.5 </w:t>
            </w:r>
          </w:p>
        </w:tc>
        <w:tc>
          <w:tcPr>
            <w:tcW w:w="925" w:type="dxa"/>
          </w:tcPr>
          <w:p w14:paraId="561746A6" w14:textId="77777777" w:rsidR="00A71EEF" w:rsidRDefault="00A71EEF">
            <w:pPr>
              <w:pStyle w:val="TableParagraph"/>
              <w:spacing w:before="7"/>
              <w:rPr>
                <w:sz w:val="14"/>
              </w:rPr>
            </w:pPr>
          </w:p>
          <w:p w14:paraId="55FE38C7" w14:textId="77777777" w:rsidR="00A71EEF" w:rsidRDefault="0081115D">
            <w:pPr>
              <w:pStyle w:val="TableParagraph"/>
              <w:spacing w:before="1"/>
              <w:ind w:right="80"/>
              <w:jc w:val="right"/>
              <w:rPr>
                <w:sz w:val="21"/>
              </w:rPr>
            </w:pPr>
            <w:r>
              <w:rPr>
                <w:sz w:val="21"/>
              </w:rPr>
              <w:t xml:space="preserve">C </w:t>
            </w:r>
          </w:p>
        </w:tc>
      </w:tr>
      <w:tr w:rsidR="00A71EEF" w14:paraId="1D967D8E" w14:textId="77777777">
        <w:trPr>
          <w:trHeight w:val="501"/>
        </w:trPr>
        <w:tc>
          <w:tcPr>
            <w:tcW w:w="970" w:type="dxa"/>
          </w:tcPr>
          <w:p w14:paraId="4BB036A7" w14:textId="77777777" w:rsidR="00A71EEF" w:rsidRDefault="00A71EEF">
            <w:pPr>
              <w:pStyle w:val="TableParagraph"/>
              <w:spacing w:before="10"/>
              <w:rPr>
                <w:sz w:val="14"/>
              </w:rPr>
            </w:pPr>
          </w:p>
          <w:p w14:paraId="422D7956" w14:textId="77777777" w:rsidR="00A71EEF" w:rsidRDefault="0081115D">
            <w:pPr>
              <w:pStyle w:val="TableParagraph"/>
              <w:ind w:right="46"/>
              <w:jc w:val="right"/>
              <w:rPr>
                <w:sz w:val="21"/>
              </w:rPr>
            </w:pPr>
            <w:r>
              <w:rPr>
                <w:sz w:val="21"/>
              </w:rPr>
              <w:t xml:space="preserve">22 </w:t>
            </w:r>
          </w:p>
        </w:tc>
        <w:tc>
          <w:tcPr>
            <w:tcW w:w="2610" w:type="dxa"/>
          </w:tcPr>
          <w:p w14:paraId="6594BBD2" w14:textId="77777777" w:rsidR="00A71EEF" w:rsidRDefault="00A71EEF">
            <w:pPr>
              <w:pStyle w:val="TableParagraph"/>
              <w:spacing w:before="10"/>
              <w:rPr>
                <w:sz w:val="14"/>
              </w:rPr>
            </w:pPr>
          </w:p>
          <w:p w14:paraId="15F6507E" w14:textId="77777777" w:rsidR="00A71EEF" w:rsidRDefault="0081115D">
            <w:pPr>
              <w:pStyle w:val="TableParagraph"/>
              <w:ind w:left="673"/>
              <w:rPr>
                <w:sz w:val="21"/>
              </w:rPr>
            </w:pPr>
            <w:r>
              <w:rPr>
                <w:sz w:val="21"/>
              </w:rPr>
              <w:t>门框侧壁宽度偏差</w:t>
            </w:r>
            <w:r>
              <w:rPr>
                <w:sz w:val="21"/>
              </w:rPr>
              <w:t xml:space="preserve"> </w:t>
            </w:r>
          </w:p>
        </w:tc>
        <w:tc>
          <w:tcPr>
            <w:tcW w:w="2377" w:type="dxa"/>
          </w:tcPr>
          <w:p w14:paraId="257AA626" w14:textId="77777777" w:rsidR="00A71EEF" w:rsidRDefault="00A71EEF">
            <w:pPr>
              <w:pStyle w:val="TableParagraph"/>
              <w:spacing w:before="10"/>
              <w:rPr>
                <w:sz w:val="14"/>
              </w:rPr>
            </w:pPr>
          </w:p>
          <w:p w14:paraId="6D44D85E" w14:textId="77777777" w:rsidR="00A71EEF" w:rsidRDefault="0081115D">
            <w:pPr>
              <w:pStyle w:val="TableParagraph"/>
              <w:ind w:left="1005" w:right="473"/>
              <w:jc w:val="center"/>
              <w:rPr>
                <w:sz w:val="21"/>
              </w:rPr>
            </w:pPr>
            <w:r>
              <w:rPr>
                <w:sz w:val="21"/>
              </w:rPr>
              <w:t xml:space="preserve">5.6 </w:t>
            </w:r>
          </w:p>
        </w:tc>
        <w:tc>
          <w:tcPr>
            <w:tcW w:w="1547" w:type="dxa"/>
          </w:tcPr>
          <w:p w14:paraId="052D82D1" w14:textId="77777777" w:rsidR="00A71EEF" w:rsidRDefault="00A71EEF">
            <w:pPr>
              <w:pStyle w:val="TableParagraph"/>
              <w:spacing w:before="10"/>
              <w:rPr>
                <w:sz w:val="14"/>
              </w:rPr>
            </w:pPr>
          </w:p>
          <w:p w14:paraId="3E00385C" w14:textId="77777777" w:rsidR="00A71EEF" w:rsidRDefault="0081115D">
            <w:pPr>
              <w:pStyle w:val="TableParagraph"/>
              <w:ind w:left="698" w:right="163"/>
              <w:jc w:val="center"/>
              <w:rPr>
                <w:sz w:val="21"/>
              </w:rPr>
            </w:pPr>
            <w:r>
              <w:rPr>
                <w:sz w:val="21"/>
              </w:rPr>
              <w:t xml:space="preserve">6.7.6 </w:t>
            </w:r>
          </w:p>
        </w:tc>
        <w:tc>
          <w:tcPr>
            <w:tcW w:w="925" w:type="dxa"/>
          </w:tcPr>
          <w:p w14:paraId="297EF040" w14:textId="77777777" w:rsidR="00A71EEF" w:rsidRDefault="00A71EEF">
            <w:pPr>
              <w:pStyle w:val="TableParagraph"/>
              <w:spacing w:before="10"/>
              <w:rPr>
                <w:sz w:val="14"/>
              </w:rPr>
            </w:pPr>
          </w:p>
          <w:p w14:paraId="05D37E07" w14:textId="77777777" w:rsidR="00A71EEF" w:rsidRDefault="0081115D">
            <w:pPr>
              <w:pStyle w:val="TableParagraph"/>
              <w:ind w:right="80"/>
              <w:jc w:val="right"/>
              <w:rPr>
                <w:sz w:val="21"/>
              </w:rPr>
            </w:pPr>
            <w:r>
              <w:rPr>
                <w:sz w:val="21"/>
              </w:rPr>
              <w:t xml:space="preserve">C </w:t>
            </w:r>
          </w:p>
        </w:tc>
      </w:tr>
      <w:tr w:rsidR="00A71EEF" w14:paraId="397DFC18" w14:textId="77777777">
        <w:trPr>
          <w:trHeight w:val="498"/>
        </w:trPr>
        <w:tc>
          <w:tcPr>
            <w:tcW w:w="970" w:type="dxa"/>
          </w:tcPr>
          <w:p w14:paraId="315B6E1A" w14:textId="77777777" w:rsidR="00A71EEF" w:rsidRDefault="00A71EEF">
            <w:pPr>
              <w:pStyle w:val="TableParagraph"/>
              <w:spacing w:before="7"/>
              <w:rPr>
                <w:sz w:val="14"/>
              </w:rPr>
            </w:pPr>
          </w:p>
          <w:p w14:paraId="1B9BBA28" w14:textId="77777777" w:rsidR="00A71EEF" w:rsidRDefault="0081115D">
            <w:pPr>
              <w:pStyle w:val="TableParagraph"/>
              <w:spacing w:before="1"/>
              <w:ind w:right="46"/>
              <w:jc w:val="right"/>
              <w:rPr>
                <w:sz w:val="21"/>
              </w:rPr>
            </w:pPr>
            <w:r>
              <w:rPr>
                <w:sz w:val="21"/>
              </w:rPr>
              <w:t xml:space="preserve">23 </w:t>
            </w:r>
          </w:p>
        </w:tc>
        <w:tc>
          <w:tcPr>
            <w:tcW w:w="2610" w:type="dxa"/>
          </w:tcPr>
          <w:p w14:paraId="40415AC9" w14:textId="77777777" w:rsidR="00A71EEF" w:rsidRDefault="00A71EEF">
            <w:pPr>
              <w:pStyle w:val="TableParagraph"/>
              <w:spacing w:before="7"/>
              <w:rPr>
                <w:sz w:val="14"/>
              </w:rPr>
            </w:pPr>
          </w:p>
          <w:p w14:paraId="2644AB16" w14:textId="77777777" w:rsidR="00A71EEF" w:rsidRDefault="0081115D">
            <w:pPr>
              <w:pStyle w:val="TableParagraph"/>
              <w:spacing w:before="1"/>
              <w:ind w:right="27"/>
              <w:jc w:val="right"/>
              <w:rPr>
                <w:sz w:val="21"/>
              </w:rPr>
            </w:pPr>
            <w:r>
              <w:rPr>
                <w:sz w:val="21"/>
              </w:rPr>
              <w:t>门扇两对角线长度差</w:t>
            </w:r>
            <w:r>
              <w:rPr>
                <w:sz w:val="21"/>
              </w:rPr>
              <w:t xml:space="preserve"> </w:t>
            </w:r>
          </w:p>
        </w:tc>
        <w:tc>
          <w:tcPr>
            <w:tcW w:w="2377" w:type="dxa"/>
          </w:tcPr>
          <w:p w14:paraId="33642B35" w14:textId="77777777" w:rsidR="00A71EEF" w:rsidRDefault="00A71EEF">
            <w:pPr>
              <w:pStyle w:val="TableParagraph"/>
              <w:spacing w:before="7"/>
              <w:rPr>
                <w:sz w:val="14"/>
              </w:rPr>
            </w:pPr>
          </w:p>
          <w:p w14:paraId="24DA5D48" w14:textId="77777777" w:rsidR="00A71EEF" w:rsidRDefault="0081115D">
            <w:pPr>
              <w:pStyle w:val="TableParagraph"/>
              <w:spacing w:before="1"/>
              <w:ind w:left="1005" w:right="473"/>
              <w:jc w:val="center"/>
              <w:rPr>
                <w:sz w:val="21"/>
              </w:rPr>
            </w:pPr>
            <w:r>
              <w:rPr>
                <w:sz w:val="21"/>
              </w:rPr>
              <w:t xml:space="preserve">5.7 </w:t>
            </w:r>
          </w:p>
        </w:tc>
        <w:tc>
          <w:tcPr>
            <w:tcW w:w="1547" w:type="dxa"/>
          </w:tcPr>
          <w:p w14:paraId="68396281" w14:textId="77777777" w:rsidR="00A71EEF" w:rsidRDefault="00A71EEF">
            <w:pPr>
              <w:pStyle w:val="TableParagraph"/>
              <w:spacing w:before="7"/>
              <w:rPr>
                <w:sz w:val="14"/>
              </w:rPr>
            </w:pPr>
          </w:p>
          <w:p w14:paraId="7C84D669" w14:textId="77777777" w:rsidR="00A71EEF" w:rsidRDefault="0081115D">
            <w:pPr>
              <w:pStyle w:val="TableParagraph"/>
              <w:spacing w:before="1"/>
              <w:ind w:left="698" w:right="163"/>
              <w:jc w:val="center"/>
              <w:rPr>
                <w:sz w:val="21"/>
              </w:rPr>
            </w:pPr>
            <w:r>
              <w:rPr>
                <w:sz w:val="21"/>
              </w:rPr>
              <w:t xml:space="preserve">6.8.1 </w:t>
            </w:r>
          </w:p>
        </w:tc>
        <w:tc>
          <w:tcPr>
            <w:tcW w:w="925" w:type="dxa"/>
          </w:tcPr>
          <w:p w14:paraId="0F227B66" w14:textId="77777777" w:rsidR="00A71EEF" w:rsidRDefault="00A71EEF">
            <w:pPr>
              <w:pStyle w:val="TableParagraph"/>
              <w:spacing w:before="7"/>
              <w:rPr>
                <w:sz w:val="14"/>
              </w:rPr>
            </w:pPr>
          </w:p>
          <w:p w14:paraId="38E4B845" w14:textId="77777777" w:rsidR="00A71EEF" w:rsidRDefault="0081115D">
            <w:pPr>
              <w:pStyle w:val="TableParagraph"/>
              <w:spacing w:before="1"/>
              <w:ind w:right="80"/>
              <w:jc w:val="right"/>
              <w:rPr>
                <w:sz w:val="21"/>
              </w:rPr>
            </w:pPr>
            <w:r>
              <w:rPr>
                <w:sz w:val="21"/>
              </w:rPr>
              <w:t xml:space="preserve">C </w:t>
            </w:r>
          </w:p>
        </w:tc>
      </w:tr>
      <w:tr w:rsidR="00A71EEF" w14:paraId="53AF7DB9" w14:textId="77777777">
        <w:trPr>
          <w:trHeight w:val="501"/>
        </w:trPr>
        <w:tc>
          <w:tcPr>
            <w:tcW w:w="970" w:type="dxa"/>
          </w:tcPr>
          <w:p w14:paraId="313CF412" w14:textId="77777777" w:rsidR="00A71EEF" w:rsidRDefault="00A71EEF">
            <w:pPr>
              <w:pStyle w:val="TableParagraph"/>
              <w:spacing w:before="10"/>
              <w:rPr>
                <w:sz w:val="14"/>
              </w:rPr>
            </w:pPr>
          </w:p>
          <w:p w14:paraId="0A6C17BB" w14:textId="77777777" w:rsidR="00A71EEF" w:rsidRDefault="0081115D">
            <w:pPr>
              <w:pStyle w:val="TableParagraph"/>
              <w:ind w:right="46"/>
              <w:jc w:val="right"/>
              <w:rPr>
                <w:sz w:val="21"/>
              </w:rPr>
            </w:pPr>
            <w:r>
              <w:rPr>
                <w:sz w:val="21"/>
              </w:rPr>
              <w:t xml:space="preserve">24 </w:t>
            </w:r>
          </w:p>
        </w:tc>
        <w:tc>
          <w:tcPr>
            <w:tcW w:w="2610" w:type="dxa"/>
          </w:tcPr>
          <w:p w14:paraId="6FD71575" w14:textId="77777777" w:rsidR="00A71EEF" w:rsidRDefault="00A71EEF">
            <w:pPr>
              <w:pStyle w:val="TableParagraph"/>
              <w:spacing w:before="10"/>
              <w:rPr>
                <w:sz w:val="14"/>
              </w:rPr>
            </w:pPr>
          </w:p>
          <w:p w14:paraId="295F1002" w14:textId="77777777" w:rsidR="00A71EEF" w:rsidRDefault="0081115D">
            <w:pPr>
              <w:pStyle w:val="TableParagraph"/>
              <w:ind w:left="988"/>
              <w:rPr>
                <w:sz w:val="21"/>
              </w:rPr>
            </w:pPr>
            <w:r>
              <w:rPr>
                <w:sz w:val="21"/>
              </w:rPr>
              <w:t>门扇扭曲度</w:t>
            </w:r>
            <w:r>
              <w:rPr>
                <w:sz w:val="21"/>
              </w:rPr>
              <w:t xml:space="preserve"> </w:t>
            </w:r>
          </w:p>
        </w:tc>
        <w:tc>
          <w:tcPr>
            <w:tcW w:w="2377" w:type="dxa"/>
          </w:tcPr>
          <w:p w14:paraId="3EF5E2C9" w14:textId="77777777" w:rsidR="00A71EEF" w:rsidRDefault="00A71EEF">
            <w:pPr>
              <w:pStyle w:val="TableParagraph"/>
              <w:spacing w:before="10"/>
              <w:rPr>
                <w:sz w:val="14"/>
              </w:rPr>
            </w:pPr>
          </w:p>
          <w:p w14:paraId="7A0A0C7D" w14:textId="77777777" w:rsidR="00A71EEF" w:rsidRDefault="0081115D">
            <w:pPr>
              <w:pStyle w:val="TableParagraph"/>
              <w:ind w:left="1005" w:right="473"/>
              <w:jc w:val="center"/>
              <w:rPr>
                <w:sz w:val="21"/>
              </w:rPr>
            </w:pPr>
            <w:r>
              <w:rPr>
                <w:sz w:val="21"/>
              </w:rPr>
              <w:t xml:space="preserve">5.7 </w:t>
            </w:r>
          </w:p>
        </w:tc>
        <w:tc>
          <w:tcPr>
            <w:tcW w:w="1547" w:type="dxa"/>
          </w:tcPr>
          <w:p w14:paraId="6E8DFE95" w14:textId="77777777" w:rsidR="00A71EEF" w:rsidRDefault="00A71EEF">
            <w:pPr>
              <w:pStyle w:val="TableParagraph"/>
              <w:spacing w:before="10"/>
              <w:rPr>
                <w:sz w:val="14"/>
              </w:rPr>
            </w:pPr>
          </w:p>
          <w:p w14:paraId="586C9EFA" w14:textId="77777777" w:rsidR="00A71EEF" w:rsidRDefault="0081115D">
            <w:pPr>
              <w:pStyle w:val="TableParagraph"/>
              <w:ind w:left="698" w:right="163"/>
              <w:jc w:val="center"/>
              <w:rPr>
                <w:sz w:val="21"/>
              </w:rPr>
            </w:pPr>
            <w:r>
              <w:rPr>
                <w:sz w:val="21"/>
              </w:rPr>
              <w:t xml:space="preserve">6.8.2 </w:t>
            </w:r>
          </w:p>
        </w:tc>
        <w:tc>
          <w:tcPr>
            <w:tcW w:w="925" w:type="dxa"/>
          </w:tcPr>
          <w:p w14:paraId="5A1BB89B" w14:textId="77777777" w:rsidR="00A71EEF" w:rsidRDefault="00A71EEF">
            <w:pPr>
              <w:pStyle w:val="TableParagraph"/>
              <w:spacing w:before="10"/>
              <w:rPr>
                <w:sz w:val="14"/>
              </w:rPr>
            </w:pPr>
          </w:p>
          <w:p w14:paraId="7485FFB3" w14:textId="77777777" w:rsidR="00A71EEF" w:rsidRDefault="0081115D">
            <w:pPr>
              <w:pStyle w:val="TableParagraph"/>
              <w:ind w:right="80"/>
              <w:jc w:val="right"/>
              <w:rPr>
                <w:sz w:val="21"/>
              </w:rPr>
            </w:pPr>
            <w:r>
              <w:rPr>
                <w:sz w:val="21"/>
              </w:rPr>
              <w:t xml:space="preserve">B </w:t>
            </w:r>
          </w:p>
        </w:tc>
      </w:tr>
      <w:tr w:rsidR="00A71EEF" w14:paraId="4AFFB79C" w14:textId="77777777">
        <w:trPr>
          <w:trHeight w:val="500"/>
        </w:trPr>
        <w:tc>
          <w:tcPr>
            <w:tcW w:w="970" w:type="dxa"/>
          </w:tcPr>
          <w:p w14:paraId="0E76FA40" w14:textId="77777777" w:rsidR="00A71EEF" w:rsidRDefault="00A71EEF">
            <w:pPr>
              <w:pStyle w:val="TableParagraph"/>
              <w:spacing w:before="7"/>
              <w:rPr>
                <w:sz w:val="14"/>
              </w:rPr>
            </w:pPr>
          </w:p>
          <w:p w14:paraId="056B2D24" w14:textId="77777777" w:rsidR="00A71EEF" w:rsidRDefault="0081115D">
            <w:pPr>
              <w:pStyle w:val="TableParagraph"/>
              <w:spacing w:before="1"/>
              <w:ind w:right="46"/>
              <w:jc w:val="right"/>
              <w:rPr>
                <w:sz w:val="21"/>
              </w:rPr>
            </w:pPr>
            <w:r>
              <w:rPr>
                <w:sz w:val="21"/>
              </w:rPr>
              <w:t xml:space="preserve">25 </w:t>
            </w:r>
          </w:p>
        </w:tc>
        <w:tc>
          <w:tcPr>
            <w:tcW w:w="2610" w:type="dxa"/>
          </w:tcPr>
          <w:p w14:paraId="7BAF60EB" w14:textId="77777777" w:rsidR="00A71EEF" w:rsidRDefault="00A71EEF">
            <w:pPr>
              <w:pStyle w:val="TableParagraph"/>
              <w:spacing w:before="7"/>
              <w:rPr>
                <w:sz w:val="14"/>
              </w:rPr>
            </w:pPr>
          </w:p>
          <w:p w14:paraId="122602F9" w14:textId="77777777" w:rsidR="00A71EEF" w:rsidRDefault="0081115D">
            <w:pPr>
              <w:pStyle w:val="TableParagraph"/>
              <w:spacing w:before="1"/>
              <w:ind w:right="27"/>
              <w:jc w:val="right"/>
              <w:rPr>
                <w:sz w:val="21"/>
              </w:rPr>
            </w:pPr>
            <w:r>
              <w:rPr>
                <w:sz w:val="21"/>
              </w:rPr>
              <w:t>门扇宽度方向弯曲度</w:t>
            </w:r>
            <w:r>
              <w:rPr>
                <w:sz w:val="21"/>
              </w:rPr>
              <w:t xml:space="preserve"> </w:t>
            </w:r>
          </w:p>
        </w:tc>
        <w:tc>
          <w:tcPr>
            <w:tcW w:w="2377" w:type="dxa"/>
          </w:tcPr>
          <w:p w14:paraId="574CB7A3" w14:textId="77777777" w:rsidR="00A71EEF" w:rsidRDefault="00A71EEF">
            <w:pPr>
              <w:pStyle w:val="TableParagraph"/>
              <w:spacing w:before="7"/>
              <w:rPr>
                <w:sz w:val="14"/>
              </w:rPr>
            </w:pPr>
          </w:p>
          <w:p w14:paraId="352DD65C" w14:textId="77777777" w:rsidR="00A71EEF" w:rsidRDefault="0081115D">
            <w:pPr>
              <w:pStyle w:val="TableParagraph"/>
              <w:spacing w:before="1"/>
              <w:ind w:left="1005" w:right="473"/>
              <w:jc w:val="center"/>
              <w:rPr>
                <w:sz w:val="21"/>
              </w:rPr>
            </w:pPr>
            <w:r>
              <w:rPr>
                <w:sz w:val="21"/>
              </w:rPr>
              <w:t xml:space="preserve">5.7 </w:t>
            </w:r>
          </w:p>
        </w:tc>
        <w:tc>
          <w:tcPr>
            <w:tcW w:w="1547" w:type="dxa"/>
          </w:tcPr>
          <w:p w14:paraId="3A8561B6" w14:textId="77777777" w:rsidR="00A71EEF" w:rsidRDefault="00A71EEF">
            <w:pPr>
              <w:pStyle w:val="TableParagraph"/>
              <w:spacing w:before="7"/>
              <w:rPr>
                <w:sz w:val="14"/>
              </w:rPr>
            </w:pPr>
          </w:p>
          <w:p w14:paraId="2A02583D" w14:textId="77777777" w:rsidR="00A71EEF" w:rsidRDefault="0081115D">
            <w:pPr>
              <w:pStyle w:val="TableParagraph"/>
              <w:spacing w:before="1"/>
              <w:ind w:left="698" w:right="163"/>
              <w:jc w:val="center"/>
              <w:rPr>
                <w:sz w:val="21"/>
              </w:rPr>
            </w:pPr>
            <w:r>
              <w:rPr>
                <w:sz w:val="21"/>
              </w:rPr>
              <w:t xml:space="preserve">6.8.3 </w:t>
            </w:r>
          </w:p>
        </w:tc>
        <w:tc>
          <w:tcPr>
            <w:tcW w:w="925" w:type="dxa"/>
          </w:tcPr>
          <w:p w14:paraId="36FFDCD3" w14:textId="77777777" w:rsidR="00A71EEF" w:rsidRDefault="00A71EEF">
            <w:pPr>
              <w:pStyle w:val="TableParagraph"/>
              <w:spacing w:before="7"/>
              <w:rPr>
                <w:sz w:val="14"/>
              </w:rPr>
            </w:pPr>
          </w:p>
          <w:p w14:paraId="10C75B21" w14:textId="77777777" w:rsidR="00A71EEF" w:rsidRDefault="0081115D">
            <w:pPr>
              <w:pStyle w:val="TableParagraph"/>
              <w:spacing w:before="1"/>
              <w:ind w:right="80"/>
              <w:jc w:val="right"/>
              <w:rPr>
                <w:sz w:val="21"/>
              </w:rPr>
            </w:pPr>
            <w:r>
              <w:rPr>
                <w:sz w:val="21"/>
              </w:rPr>
              <w:t xml:space="preserve">B </w:t>
            </w:r>
          </w:p>
        </w:tc>
      </w:tr>
      <w:tr w:rsidR="00A71EEF" w14:paraId="4E46CFD0" w14:textId="77777777">
        <w:trPr>
          <w:trHeight w:val="498"/>
        </w:trPr>
        <w:tc>
          <w:tcPr>
            <w:tcW w:w="970" w:type="dxa"/>
          </w:tcPr>
          <w:p w14:paraId="4F33C578" w14:textId="77777777" w:rsidR="00A71EEF" w:rsidRDefault="00A71EEF">
            <w:pPr>
              <w:pStyle w:val="TableParagraph"/>
              <w:spacing w:before="7"/>
              <w:rPr>
                <w:sz w:val="14"/>
              </w:rPr>
            </w:pPr>
          </w:p>
          <w:p w14:paraId="102B78B8" w14:textId="77777777" w:rsidR="00A71EEF" w:rsidRDefault="0081115D">
            <w:pPr>
              <w:pStyle w:val="TableParagraph"/>
              <w:spacing w:before="1"/>
              <w:ind w:right="46"/>
              <w:jc w:val="right"/>
              <w:rPr>
                <w:sz w:val="21"/>
              </w:rPr>
            </w:pPr>
            <w:r>
              <w:rPr>
                <w:sz w:val="21"/>
              </w:rPr>
              <w:t xml:space="preserve">26 </w:t>
            </w:r>
          </w:p>
        </w:tc>
        <w:tc>
          <w:tcPr>
            <w:tcW w:w="2610" w:type="dxa"/>
          </w:tcPr>
          <w:p w14:paraId="6EC2E270" w14:textId="77777777" w:rsidR="00A71EEF" w:rsidRDefault="00A71EEF">
            <w:pPr>
              <w:pStyle w:val="TableParagraph"/>
              <w:spacing w:before="7"/>
              <w:rPr>
                <w:sz w:val="14"/>
              </w:rPr>
            </w:pPr>
          </w:p>
          <w:p w14:paraId="4575DA59" w14:textId="77777777" w:rsidR="00A71EEF" w:rsidRDefault="0081115D">
            <w:pPr>
              <w:pStyle w:val="TableParagraph"/>
              <w:spacing w:before="1"/>
              <w:ind w:right="27"/>
              <w:jc w:val="right"/>
              <w:rPr>
                <w:sz w:val="21"/>
              </w:rPr>
            </w:pPr>
            <w:r>
              <w:rPr>
                <w:sz w:val="21"/>
              </w:rPr>
              <w:t>门扇高度方向弯曲度</w:t>
            </w:r>
            <w:r>
              <w:rPr>
                <w:sz w:val="21"/>
              </w:rPr>
              <w:t xml:space="preserve"> </w:t>
            </w:r>
          </w:p>
        </w:tc>
        <w:tc>
          <w:tcPr>
            <w:tcW w:w="2377" w:type="dxa"/>
          </w:tcPr>
          <w:p w14:paraId="55466551" w14:textId="77777777" w:rsidR="00A71EEF" w:rsidRDefault="00A71EEF">
            <w:pPr>
              <w:pStyle w:val="TableParagraph"/>
              <w:spacing w:before="7"/>
              <w:rPr>
                <w:sz w:val="14"/>
              </w:rPr>
            </w:pPr>
          </w:p>
          <w:p w14:paraId="08A9BE3A" w14:textId="77777777" w:rsidR="00A71EEF" w:rsidRDefault="0081115D">
            <w:pPr>
              <w:pStyle w:val="TableParagraph"/>
              <w:spacing w:before="1"/>
              <w:ind w:left="1005" w:right="473"/>
              <w:jc w:val="center"/>
              <w:rPr>
                <w:sz w:val="21"/>
              </w:rPr>
            </w:pPr>
            <w:r>
              <w:rPr>
                <w:sz w:val="21"/>
              </w:rPr>
              <w:t xml:space="preserve">5.7 </w:t>
            </w:r>
          </w:p>
        </w:tc>
        <w:tc>
          <w:tcPr>
            <w:tcW w:w="1547" w:type="dxa"/>
          </w:tcPr>
          <w:p w14:paraId="72F37CD3" w14:textId="77777777" w:rsidR="00A71EEF" w:rsidRDefault="00A71EEF">
            <w:pPr>
              <w:pStyle w:val="TableParagraph"/>
              <w:spacing w:before="7"/>
              <w:rPr>
                <w:sz w:val="14"/>
              </w:rPr>
            </w:pPr>
          </w:p>
          <w:p w14:paraId="0208AEFB" w14:textId="77777777" w:rsidR="00A71EEF" w:rsidRDefault="0081115D">
            <w:pPr>
              <w:pStyle w:val="TableParagraph"/>
              <w:spacing w:before="1"/>
              <w:ind w:left="698" w:right="163"/>
              <w:jc w:val="center"/>
              <w:rPr>
                <w:sz w:val="21"/>
              </w:rPr>
            </w:pPr>
            <w:r>
              <w:rPr>
                <w:sz w:val="21"/>
              </w:rPr>
              <w:t xml:space="preserve">6.8.3 </w:t>
            </w:r>
          </w:p>
        </w:tc>
        <w:tc>
          <w:tcPr>
            <w:tcW w:w="925" w:type="dxa"/>
          </w:tcPr>
          <w:p w14:paraId="222D7E45" w14:textId="77777777" w:rsidR="00A71EEF" w:rsidRDefault="00A71EEF">
            <w:pPr>
              <w:pStyle w:val="TableParagraph"/>
              <w:spacing w:before="7"/>
              <w:rPr>
                <w:sz w:val="14"/>
              </w:rPr>
            </w:pPr>
          </w:p>
          <w:p w14:paraId="4651E18E" w14:textId="77777777" w:rsidR="00A71EEF" w:rsidRDefault="0081115D">
            <w:pPr>
              <w:pStyle w:val="TableParagraph"/>
              <w:spacing w:before="1"/>
              <w:ind w:right="80"/>
              <w:jc w:val="right"/>
              <w:rPr>
                <w:sz w:val="21"/>
              </w:rPr>
            </w:pPr>
            <w:r>
              <w:rPr>
                <w:sz w:val="21"/>
              </w:rPr>
              <w:t xml:space="preserve">B </w:t>
            </w:r>
          </w:p>
        </w:tc>
      </w:tr>
      <w:tr w:rsidR="00A71EEF" w14:paraId="5BD94DED" w14:textId="77777777">
        <w:trPr>
          <w:trHeight w:val="1000"/>
        </w:trPr>
        <w:tc>
          <w:tcPr>
            <w:tcW w:w="970" w:type="dxa"/>
          </w:tcPr>
          <w:p w14:paraId="0D9F467E" w14:textId="77777777" w:rsidR="00A71EEF" w:rsidRDefault="00A71EEF">
            <w:pPr>
              <w:pStyle w:val="TableParagraph"/>
              <w:rPr>
                <w:sz w:val="20"/>
              </w:rPr>
            </w:pPr>
          </w:p>
          <w:p w14:paraId="326000C7" w14:textId="77777777" w:rsidR="00A71EEF" w:rsidRDefault="00A71EEF">
            <w:pPr>
              <w:pStyle w:val="TableParagraph"/>
              <w:spacing w:before="3"/>
              <w:rPr>
                <w:sz w:val="14"/>
              </w:rPr>
            </w:pPr>
          </w:p>
          <w:p w14:paraId="280AA431" w14:textId="77777777" w:rsidR="00A71EEF" w:rsidRDefault="0081115D">
            <w:pPr>
              <w:pStyle w:val="TableParagraph"/>
              <w:ind w:right="46"/>
              <w:jc w:val="right"/>
              <w:rPr>
                <w:sz w:val="21"/>
              </w:rPr>
            </w:pPr>
            <w:r>
              <w:rPr>
                <w:sz w:val="21"/>
              </w:rPr>
              <w:t xml:space="preserve">27 </w:t>
            </w:r>
          </w:p>
        </w:tc>
        <w:tc>
          <w:tcPr>
            <w:tcW w:w="2610" w:type="dxa"/>
          </w:tcPr>
          <w:p w14:paraId="3B49B3BC" w14:textId="77777777" w:rsidR="00A71EEF" w:rsidRDefault="00A71EEF">
            <w:pPr>
              <w:pStyle w:val="TableParagraph"/>
              <w:spacing w:before="7"/>
              <w:rPr>
                <w:sz w:val="14"/>
              </w:rPr>
            </w:pPr>
          </w:p>
          <w:p w14:paraId="1580F529" w14:textId="77777777" w:rsidR="00A71EEF" w:rsidRDefault="0081115D">
            <w:pPr>
              <w:pStyle w:val="TableParagraph"/>
              <w:spacing w:before="1"/>
              <w:ind w:left="462"/>
              <w:rPr>
                <w:sz w:val="21"/>
              </w:rPr>
            </w:pPr>
            <w:r>
              <w:rPr>
                <w:sz w:val="21"/>
              </w:rPr>
              <w:t>门框内裁口两对角线长</w:t>
            </w:r>
          </w:p>
          <w:p w14:paraId="0F49F2C6" w14:textId="77777777" w:rsidR="00A71EEF" w:rsidRDefault="00A71EEF">
            <w:pPr>
              <w:pStyle w:val="TableParagraph"/>
              <w:spacing w:before="1"/>
              <w:rPr>
                <w:sz w:val="18"/>
              </w:rPr>
            </w:pPr>
          </w:p>
          <w:p w14:paraId="22F35758" w14:textId="77777777" w:rsidR="00A71EEF" w:rsidRDefault="0081115D">
            <w:pPr>
              <w:pStyle w:val="TableParagraph"/>
              <w:spacing w:before="1"/>
              <w:ind w:left="182" w:right="63"/>
              <w:jc w:val="center"/>
              <w:rPr>
                <w:sz w:val="21"/>
              </w:rPr>
            </w:pPr>
            <w:r>
              <w:rPr>
                <w:sz w:val="21"/>
              </w:rPr>
              <w:t>度差</w:t>
            </w:r>
            <w:r>
              <w:rPr>
                <w:sz w:val="21"/>
              </w:rPr>
              <w:t xml:space="preserve"> </w:t>
            </w:r>
          </w:p>
        </w:tc>
        <w:tc>
          <w:tcPr>
            <w:tcW w:w="2377" w:type="dxa"/>
          </w:tcPr>
          <w:p w14:paraId="6C6A9465" w14:textId="77777777" w:rsidR="00A71EEF" w:rsidRDefault="00A71EEF">
            <w:pPr>
              <w:pStyle w:val="TableParagraph"/>
              <w:rPr>
                <w:sz w:val="20"/>
              </w:rPr>
            </w:pPr>
          </w:p>
          <w:p w14:paraId="4FCBE731" w14:textId="77777777" w:rsidR="00A71EEF" w:rsidRDefault="00A71EEF">
            <w:pPr>
              <w:pStyle w:val="TableParagraph"/>
              <w:spacing w:before="3"/>
              <w:rPr>
                <w:sz w:val="14"/>
              </w:rPr>
            </w:pPr>
          </w:p>
          <w:p w14:paraId="5C71306B" w14:textId="77777777" w:rsidR="00A71EEF" w:rsidRDefault="0081115D">
            <w:pPr>
              <w:pStyle w:val="TableParagraph"/>
              <w:ind w:left="1005" w:right="473"/>
              <w:jc w:val="center"/>
              <w:rPr>
                <w:sz w:val="21"/>
              </w:rPr>
            </w:pPr>
            <w:r>
              <w:rPr>
                <w:sz w:val="21"/>
              </w:rPr>
              <w:t xml:space="preserve">5.7 </w:t>
            </w:r>
          </w:p>
        </w:tc>
        <w:tc>
          <w:tcPr>
            <w:tcW w:w="1547" w:type="dxa"/>
          </w:tcPr>
          <w:p w14:paraId="7D5B6F1B" w14:textId="77777777" w:rsidR="00A71EEF" w:rsidRDefault="00A71EEF">
            <w:pPr>
              <w:pStyle w:val="TableParagraph"/>
              <w:rPr>
                <w:sz w:val="20"/>
              </w:rPr>
            </w:pPr>
          </w:p>
          <w:p w14:paraId="37C250C6" w14:textId="77777777" w:rsidR="00A71EEF" w:rsidRDefault="00A71EEF">
            <w:pPr>
              <w:pStyle w:val="TableParagraph"/>
              <w:spacing w:before="3"/>
              <w:rPr>
                <w:sz w:val="14"/>
              </w:rPr>
            </w:pPr>
          </w:p>
          <w:p w14:paraId="34A1A069" w14:textId="77777777" w:rsidR="00A71EEF" w:rsidRDefault="0081115D">
            <w:pPr>
              <w:pStyle w:val="TableParagraph"/>
              <w:ind w:left="698" w:right="163"/>
              <w:jc w:val="center"/>
              <w:rPr>
                <w:sz w:val="21"/>
              </w:rPr>
            </w:pPr>
            <w:r>
              <w:rPr>
                <w:sz w:val="21"/>
              </w:rPr>
              <w:t xml:space="preserve">6.8.4 </w:t>
            </w:r>
          </w:p>
        </w:tc>
        <w:tc>
          <w:tcPr>
            <w:tcW w:w="925" w:type="dxa"/>
          </w:tcPr>
          <w:p w14:paraId="3793A5E0" w14:textId="77777777" w:rsidR="00A71EEF" w:rsidRDefault="00A71EEF">
            <w:pPr>
              <w:pStyle w:val="TableParagraph"/>
              <w:rPr>
                <w:sz w:val="20"/>
              </w:rPr>
            </w:pPr>
          </w:p>
          <w:p w14:paraId="364F5206" w14:textId="77777777" w:rsidR="00A71EEF" w:rsidRDefault="00A71EEF">
            <w:pPr>
              <w:pStyle w:val="TableParagraph"/>
              <w:spacing w:before="3"/>
              <w:rPr>
                <w:sz w:val="14"/>
              </w:rPr>
            </w:pPr>
          </w:p>
          <w:p w14:paraId="1C0A8D3E" w14:textId="77777777" w:rsidR="00A71EEF" w:rsidRDefault="0081115D">
            <w:pPr>
              <w:pStyle w:val="TableParagraph"/>
              <w:ind w:right="80"/>
              <w:jc w:val="right"/>
              <w:rPr>
                <w:sz w:val="21"/>
              </w:rPr>
            </w:pPr>
            <w:r>
              <w:rPr>
                <w:sz w:val="21"/>
              </w:rPr>
              <w:t xml:space="preserve">C </w:t>
            </w:r>
          </w:p>
        </w:tc>
      </w:tr>
      <w:tr w:rsidR="00A71EEF" w14:paraId="105C7983" w14:textId="77777777">
        <w:trPr>
          <w:trHeight w:val="500"/>
        </w:trPr>
        <w:tc>
          <w:tcPr>
            <w:tcW w:w="970" w:type="dxa"/>
          </w:tcPr>
          <w:p w14:paraId="3A8F6519" w14:textId="77777777" w:rsidR="00A71EEF" w:rsidRDefault="00A71EEF">
            <w:pPr>
              <w:pStyle w:val="TableParagraph"/>
              <w:spacing w:before="7"/>
              <w:rPr>
                <w:sz w:val="14"/>
              </w:rPr>
            </w:pPr>
          </w:p>
          <w:p w14:paraId="2A264E6B" w14:textId="77777777" w:rsidR="00A71EEF" w:rsidRDefault="0081115D">
            <w:pPr>
              <w:pStyle w:val="TableParagraph"/>
              <w:spacing w:before="1"/>
              <w:ind w:right="46"/>
              <w:jc w:val="right"/>
              <w:rPr>
                <w:sz w:val="21"/>
              </w:rPr>
            </w:pPr>
            <w:r>
              <w:rPr>
                <w:sz w:val="21"/>
              </w:rPr>
              <w:t xml:space="preserve">28 </w:t>
            </w:r>
          </w:p>
        </w:tc>
        <w:tc>
          <w:tcPr>
            <w:tcW w:w="2610" w:type="dxa"/>
          </w:tcPr>
          <w:p w14:paraId="1A9B2CA6" w14:textId="77777777" w:rsidR="00A71EEF" w:rsidRDefault="00A71EEF">
            <w:pPr>
              <w:pStyle w:val="TableParagraph"/>
              <w:spacing w:before="7"/>
              <w:rPr>
                <w:sz w:val="14"/>
              </w:rPr>
            </w:pPr>
          </w:p>
          <w:p w14:paraId="4E0CA49C" w14:textId="77777777" w:rsidR="00A71EEF" w:rsidRDefault="0081115D">
            <w:pPr>
              <w:pStyle w:val="TableParagraph"/>
              <w:spacing w:before="1"/>
              <w:ind w:right="27"/>
              <w:jc w:val="right"/>
              <w:rPr>
                <w:sz w:val="21"/>
              </w:rPr>
            </w:pPr>
            <w:r>
              <w:rPr>
                <w:sz w:val="21"/>
              </w:rPr>
              <w:t>门扇与门框的搭接尺寸</w:t>
            </w:r>
          </w:p>
        </w:tc>
        <w:tc>
          <w:tcPr>
            <w:tcW w:w="2377" w:type="dxa"/>
          </w:tcPr>
          <w:p w14:paraId="5613D960" w14:textId="77777777" w:rsidR="00A71EEF" w:rsidRDefault="00A71EEF">
            <w:pPr>
              <w:pStyle w:val="TableParagraph"/>
              <w:spacing w:before="7"/>
              <w:rPr>
                <w:sz w:val="14"/>
              </w:rPr>
            </w:pPr>
          </w:p>
          <w:p w14:paraId="52871682" w14:textId="77777777" w:rsidR="00A71EEF" w:rsidRDefault="0081115D">
            <w:pPr>
              <w:pStyle w:val="TableParagraph"/>
              <w:spacing w:before="1"/>
              <w:ind w:left="1005" w:right="473"/>
              <w:jc w:val="center"/>
              <w:rPr>
                <w:sz w:val="21"/>
              </w:rPr>
            </w:pPr>
            <w:r>
              <w:rPr>
                <w:sz w:val="21"/>
              </w:rPr>
              <w:t xml:space="preserve">5.8.1 </w:t>
            </w:r>
          </w:p>
        </w:tc>
        <w:tc>
          <w:tcPr>
            <w:tcW w:w="1547" w:type="dxa"/>
          </w:tcPr>
          <w:p w14:paraId="237762E1" w14:textId="77777777" w:rsidR="00A71EEF" w:rsidRDefault="00A71EEF">
            <w:pPr>
              <w:pStyle w:val="TableParagraph"/>
              <w:spacing w:before="7"/>
              <w:rPr>
                <w:sz w:val="14"/>
              </w:rPr>
            </w:pPr>
          </w:p>
          <w:p w14:paraId="36190990" w14:textId="77777777" w:rsidR="00A71EEF" w:rsidRDefault="0081115D">
            <w:pPr>
              <w:pStyle w:val="TableParagraph"/>
              <w:spacing w:before="1"/>
              <w:ind w:left="698" w:right="163"/>
              <w:jc w:val="center"/>
              <w:rPr>
                <w:sz w:val="21"/>
              </w:rPr>
            </w:pPr>
            <w:r>
              <w:rPr>
                <w:sz w:val="21"/>
              </w:rPr>
              <w:t xml:space="preserve">6.9.1 </w:t>
            </w:r>
          </w:p>
        </w:tc>
        <w:tc>
          <w:tcPr>
            <w:tcW w:w="925" w:type="dxa"/>
          </w:tcPr>
          <w:p w14:paraId="79909926" w14:textId="77777777" w:rsidR="00A71EEF" w:rsidRDefault="00A71EEF">
            <w:pPr>
              <w:pStyle w:val="TableParagraph"/>
              <w:spacing w:before="7"/>
              <w:rPr>
                <w:sz w:val="14"/>
              </w:rPr>
            </w:pPr>
          </w:p>
          <w:p w14:paraId="3B503DB7" w14:textId="77777777" w:rsidR="00A71EEF" w:rsidRDefault="0081115D">
            <w:pPr>
              <w:pStyle w:val="TableParagraph"/>
              <w:spacing w:before="1"/>
              <w:ind w:right="80"/>
              <w:jc w:val="right"/>
              <w:rPr>
                <w:sz w:val="21"/>
              </w:rPr>
            </w:pPr>
            <w:r>
              <w:rPr>
                <w:sz w:val="21"/>
              </w:rPr>
              <w:t xml:space="preserve">B </w:t>
            </w:r>
          </w:p>
        </w:tc>
      </w:tr>
      <w:tr w:rsidR="00A71EEF" w14:paraId="6E04B5AD" w14:textId="77777777">
        <w:trPr>
          <w:trHeight w:val="1000"/>
        </w:trPr>
        <w:tc>
          <w:tcPr>
            <w:tcW w:w="970" w:type="dxa"/>
          </w:tcPr>
          <w:p w14:paraId="46AE5CDF" w14:textId="77777777" w:rsidR="00A71EEF" w:rsidRDefault="00A71EEF">
            <w:pPr>
              <w:pStyle w:val="TableParagraph"/>
              <w:rPr>
                <w:sz w:val="20"/>
              </w:rPr>
            </w:pPr>
          </w:p>
          <w:p w14:paraId="2A2DBF63" w14:textId="77777777" w:rsidR="00A71EEF" w:rsidRDefault="00A71EEF">
            <w:pPr>
              <w:pStyle w:val="TableParagraph"/>
              <w:spacing w:before="1"/>
              <w:rPr>
                <w:sz w:val="14"/>
              </w:rPr>
            </w:pPr>
          </w:p>
          <w:p w14:paraId="381413C7" w14:textId="77777777" w:rsidR="00A71EEF" w:rsidRDefault="0081115D">
            <w:pPr>
              <w:pStyle w:val="TableParagraph"/>
              <w:ind w:right="46"/>
              <w:jc w:val="right"/>
              <w:rPr>
                <w:sz w:val="21"/>
              </w:rPr>
            </w:pPr>
            <w:r>
              <w:rPr>
                <w:sz w:val="21"/>
              </w:rPr>
              <w:t xml:space="preserve">29 </w:t>
            </w:r>
          </w:p>
        </w:tc>
        <w:tc>
          <w:tcPr>
            <w:tcW w:w="2610" w:type="dxa"/>
          </w:tcPr>
          <w:p w14:paraId="754798D3" w14:textId="77777777" w:rsidR="00A71EEF" w:rsidRDefault="00A71EEF">
            <w:pPr>
              <w:pStyle w:val="TableParagraph"/>
              <w:spacing w:before="7"/>
              <w:rPr>
                <w:sz w:val="14"/>
              </w:rPr>
            </w:pPr>
          </w:p>
          <w:p w14:paraId="56BEC732" w14:textId="77777777" w:rsidR="00A71EEF" w:rsidRDefault="0081115D">
            <w:pPr>
              <w:pStyle w:val="TableParagraph"/>
              <w:spacing w:before="1"/>
              <w:ind w:left="462"/>
              <w:rPr>
                <w:sz w:val="21"/>
              </w:rPr>
            </w:pPr>
            <w:r>
              <w:rPr>
                <w:sz w:val="21"/>
              </w:rPr>
              <w:t>门扇与门框的有合页一</w:t>
            </w:r>
          </w:p>
          <w:p w14:paraId="6FEC9C68" w14:textId="77777777" w:rsidR="00A71EEF" w:rsidRDefault="00A71EEF">
            <w:pPr>
              <w:pStyle w:val="TableParagraph"/>
              <w:spacing w:before="12"/>
              <w:rPr>
                <w:sz w:val="17"/>
              </w:rPr>
            </w:pPr>
          </w:p>
          <w:p w14:paraId="63393A6A" w14:textId="77777777" w:rsidR="00A71EEF" w:rsidRDefault="0081115D">
            <w:pPr>
              <w:pStyle w:val="TableParagraph"/>
              <w:ind w:left="462"/>
              <w:rPr>
                <w:sz w:val="21"/>
              </w:rPr>
            </w:pPr>
            <w:r>
              <w:rPr>
                <w:sz w:val="21"/>
              </w:rPr>
              <w:t>侧的配合活动间隙</w:t>
            </w:r>
            <w:r>
              <w:rPr>
                <w:sz w:val="21"/>
              </w:rPr>
              <w:t xml:space="preserve"> </w:t>
            </w:r>
          </w:p>
        </w:tc>
        <w:tc>
          <w:tcPr>
            <w:tcW w:w="2377" w:type="dxa"/>
          </w:tcPr>
          <w:p w14:paraId="2582DF6F" w14:textId="77777777" w:rsidR="00A71EEF" w:rsidRDefault="00A71EEF">
            <w:pPr>
              <w:pStyle w:val="TableParagraph"/>
              <w:rPr>
                <w:sz w:val="20"/>
              </w:rPr>
            </w:pPr>
          </w:p>
          <w:p w14:paraId="28C26085" w14:textId="77777777" w:rsidR="00A71EEF" w:rsidRDefault="00A71EEF">
            <w:pPr>
              <w:pStyle w:val="TableParagraph"/>
              <w:spacing w:before="1"/>
              <w:rPr>
                <w:sz w:val="14"/>
              </w:rPr>
            </w:pPr>
          </w:p>
          <w:p w14:paraId="43FD94D3" w14:textId="77777777" w:rsidR="00A71EEF" w:rsidRDefault="0081115D">
            <w:pPr>
              <w:pStyle w:val="TableParagraph"/>
              <w:ind w:left="1008" w:right="473"/>
              <w:jc w:val="center"/>
              <w:rPr>
                <w:sz w:val="21"/>
              </w:rPr>
            </w:pPr>
            <w:r>
              <w:rPr>
                <w:sz w:val="21"/>
              </w:rPr>
              <w:t xml:space="preserve">5.8.2.1 </w:t>
            </w:r>
          </w:p>
        </w:tc>
        <w:tc>
          <w:tcPr>
            <w:tcW w:w="1547" w:type="dxa"/>
          </w:tcPr>
          <w:p w14:paraId="72433991" w14:textId="77777777" w:rsidR="00A71EEF" w:rsidRDefault="00A71EEF">
            <w:pPr>
              <w:pStyle w:val="TableParagraph"/>
              <w:rPr>
                <w:sz w:val="20"/>
              </w:rPr>
            </w:pPr>
          </w:p>
          <w:p w14:paraId="1804647E" w14:textId="77777777" w:rsidR="00A71EEF" w:rsidRDefault="00A71EEF">
            <w:pPr>
              <w:pStyle w:val="TableParagraph"/>
              <w:spacing w:before="1"/>
              <w:rPr>
                <w:sz w:val="14"/>
              </w:rPr>
            </w:pPr>
          </w:p>
          <w:p w14:paraId="7B8FF024" w14:textId="77777777" w:rsidR="00A71EEF" w:rsidRDefault="0081115D">
            <w:pPr>
              <w:pStyle w:val="TableParagraph"/>
              <w:ind w:left="698" w:right="163"/>
              <w:jc w:val="center"/>
              <w:rPr>
                <w:sz w:val="21"/>
              </w:rPr>
            </w:pPr>
            <w:r>
              <w:rPr>
                <w:sz w:val="21"/>
              </w:rPr>
              <w:t xml:space="preserve">6.9.2 </w:t>
            </w:r>
          </w:p>
        </w:tc>
        <w:tc>
          <w:tcPr>
            <w:tcW w:w="925" w:type="dxa"/>
          </w:tcPr>
          <w:p w14:paraId="5BFC8206" w14:textId="77777777" w:rsidR="00A71EEF" w:rsidRDefault="00A71EEF">
            <w:pPr>
              <w:pStyle w:val="TableParagraph"/>
              <w:rPr>
                <w:sz w:val="20"/>
              </w:rPr>
            </w:pPr>
          </w:p>
          <w:p w14:paraId="0114FE38" w14:textId="77777777" w:rsidR="00A71EEF" w:rsidRDefault="00A71EEF">
            <w:pPr>
              <w:pStyle w:val="TableParagraph"/>
              <w:spacing w:before="1"/>
              <w:rPr>
                <w:sz w:val="14"/>
              </w:rPr>
            </w:pPr>
          </w:p>
          <w:p w14:paraId="1D695C40" w14:textId="77777777" w:rsidR="00A71EEF" w:rsidRDefault="0081115D">
            <w:pPr>
              <w:pStyle w:val="TableParagraph"/>
              <w:ind w:right="80"/>
              <w:jc w:val="right"/>
              <w:rPr>
                <w:sz w:val="21"/>
              </w:rPr>
            </w:pPr>
            <w:r>
              <w:rPr>
                <w:sz w:val="21"/>
              </w:rPr>
              <w:t xml:space="preserve">C </w:t>
            </w:r>
          </w:p>
        </w:tc>
      </w:tr>
      <w:tr w:rsidR="00A71EEF" w14:paraId="1CF1618F" w14:textId="77777777">
        <w:trPr>
          <w:trHeight w:val="1000"/>
        </w:trPr>
        <w:tc>
          <w:tcPr>
            <w:tcW w:w="970" w:type="dxa"/>
          </w:tcPr>
          <w:p w14:paraId="45BA9C8E" w14:textId="77777777" w:rsidR="00A71EEF" w:rsidRDefault="00A71EEF">
            <w:pPr>
              <w:pStyle w:val="TableParagraph"/>
              <w:rPr>
                <w:sz w:val="20"/>
              </w:rPr>
            </w:pPr>
          </w:p>
          <w:p w14:paraId="2314C8A2" w14:textId="77777777" w:rsidR="00A71EEF" w:rsidRDefault="00A71EEF">
            <w:pPr>
              <w:pStyle w:val="TableParagraph"/>
              <w:spacing w:before="1"/>
              <w:rPr>
                <w:sz w:val="14"/>
              </w:rPr>
            </w:pPr>
          </w:p>
          <w:p w14:paraId="6F61A88B" w14:textId="77777777" w:rsidR="00A71EEF" w:rsidRDefault="0081115D">
            <w:pPr>
              <w:pStyle w:val="TableParagraph"/>
              <w:ind w:right="46"/>
              <w:jc w:val="right"/>
              <w:rPr>
                <w:sz w:val="21"/>
              </w:rPr>
            </w:pPr>
            <w:r>
              <w:rPr>
                <w:sz w:val="21"/>
              </w:rPr>
              <w:t xml:space="preserve">30 </w:t>
            </w:r>
          </w:p>
        </w:tc>
        <w:tc>
          <w:tcPr>
            <w:tcW w:w="2610" w:type="dxa"/>
          </w:tcPr>
          <w:p w14:paraId="108BD775" w14:textId="77777777" w:rsidR="00A71EEF" w:rsidRDefault="00A71EEF">
            <w:pPr>
              <w:pStyle w:val="TableParagraph"/>
              <w:spacing w:before="7"/>
              <w:rPr>
                <w:sz w:val="14"/>
              </w:rPr>
            </w:pPr>
          </w:p>
          <w:p w14:paraId="5FD559D3" w14:textId="77777777" w:rsidR="00A71EEF" w:rsidRDefault="0081115D">
            <w:pPr>
              <w:pStyle w:val="TableParagraph"/>
              <w:spacing w:before="1"/>
              <w:ind w:left="462"/>
              <w:rPr>
                <w:sz w:val="21"/>
              </w:rPr>
            </w:pPr>
            <w:r>
              <w:rPr>
                <w:sz w:val="21"/>
              </w:rPr>
              <w:t>门扇与门框的有锁一侧</w:t>
            </w:r>
          </w:p>
          <w:p w14:paraId="16E3E7F2" w14:textId="77777777" w:rsidR="00A71EEF" w:rsidRDefault="00A71EEF">
            <w:pPr>
              <w:pStyle w:val="TableParagraph"/>
              <w:spacing w:before="12"/>
              <w:rPr>
                <w:sz w:val="17"/>
              </w:rPr>
            </w:pPr>
          </w:p>
          <w:p w14:paraId="4045DECB" w14:textId="77777777" w:rsidR="00A71EEF" w:rsidRDefault="0081115D">
            <w:pPr>
              <w:pStyle w:val="TableParagraph"/>
              <w:ind w:left="568"/>
              <w:rPr>
                <w:sz w:val="21"/>
              </w:rPr>
            </w:pPr>
            <w:r>
              <w:rPr>
                <w:sz w:val="21"/>
              </w:rPr>
              <w:t>的配合活动间隙</w:t>
            </w:r>
            <w:r>
              <w:rPr>
                <w:sz w:val="21"/>
              </w:rPr>
              <w:t xml:space="preserve"> </w:t>
            </w:r>
          </w:p>
        </w:tc>
        <w:tc>
          <w:tcPr>
            <w:tcW w:w="2377" w:type="dxa"/>
          </w:tcPr>
          <w:p w14:paraId="5380EE35" w14:textId="77777777" w:rsidR="00A71EEF" w:rsidRDefault="00A71EEF">
            <w:pPr>
              <w:pStyle w:val="TableParagraph"/>
              <w:rPr>
                <w:sz w:val="20"/>
              </w:rPr>
            </w:pPr>
          </w:p>
          <w:p w14:paraId="143F46A4" w14:textId="77777777" w:rsidR="00A71EEF" w:rsidRDefault="00A71EEF">
            <w:pPr>
              <w:pStyle w:val="TableParagraph"/>
              <w:spacing w:before="1"/>
              <w:rPr>
                <w:sz w:val="14"/>
              </w:rPr>
            </w:pPr>
          </w:p>
          <w:p w14:paraId="5A85BDD2" w14:textId="77777777" w:rsidR="00A71EEF" w:rsidRDefault="0081115D">
            <w:pPr>
              <w:pStyle w:val="TableParagraph"/>
              <w:ind w:left="1008" w:right="473"/>
              <w:jc w:val="center"/>
              <w:rPr>
                <w:sz w:val="21"/>
              </w:rPr>
            </w:pPr>
            <w:r>
              <w:rPr>
                <w:sz w:val="21"/>
              </w:rPr>
              <w:t xml:space="preserve">5.8.2.2 </w:t>
            </w:r>
          </w:p>
        </w:tc>
        <w:tc>
          <w:tcPr>
            <w:tcW w:w="1547" w:type="dxa"/>
          </w:tcPr>
          <w:p w14:paraId="57CFFCA0" w14:textId="77777777" w:rsidR="00A71EEF" w:rsidRDefault="00A71EEF">
            <w:pPr>
              <w:pStyle w:val="TableParagraph"/>
              <w:rPr>
                <w:sz w:val="20"/>
              </w:rPr>
            </w:pPr>
          </w:p>
          <w:p w14:paraId="611B7012" w14:textId="77777777" w:rsidR="00A71EEF" w:rsidRDefault="00A71EEF">
            <w:pPr>
              <w:pStyle w:val="TableParagraph"/>
              <w:spacing w:before="1"/>
              <w:rPr>
                <w:sz w:val="14"/>
              </w:rPr>
            </w:pPr>
          </w:p>
          <w:p w14:paraId="74A75C98" w14:textId="77777777" w:rsidR="00A71EEF" w:rsidRDefault="0081115D">
            <w:pPr>
              <w:pStyle w:val="TableParagraph"/>
              <w:ind w:left="698" w:right="163"/>
              <w:jc w:val="center"/>
              <w:rPr>
                <w:sz w:val="21"/>
              </w:rPr>
            </w:pPr>
            <w:r>
              <w:rPr>
                <w:sz w:val="21"/>
              </w:rPr>
              <w:t xml:space="preserve">6.9.2 </w:t>
            </w:r>
          </w:p>
        </w:tc>
        <w:tc>
          <w:tcPr>
            <w:tcW w:w="925" w:type="dxa"/>
          </w:tcPr>
          <w:p w14:paraId="53982F4D" w14:textId="77777777" w:rsidR="00A71EEF" w:rsidRDefault="00A71EEF">
            <w:pPr>
              <w:pStyle w:val="TableParagraph"/>
              <w:rPr>
                <w:sz w:val="20"/>
              </w:rPr>
            </w:pPr>
          </w:p>
          <w:p w14:paraId="105B6F06" w14:textId="77777777" w:rsidR="00A71EEF" w:rsidRDefault="00A71EEF">
            <w:pPr>
              <w:pStyle w:val="TableParagraph"/>
              <w:spacing w:before="1"/>
              <w:rPr>
                <w:sz w:val="14"/>
              </w:rPr>
            </w:pPr>
          </w:p>
          <w:p w14:paraId="1EBEE8B0" w14:textId="77777777" w:rsidR="00A71EEF" w:rsidRDefault="0081115D">
            <w:pPr>
              <w:pStyle w:val="TableParagraph"/>
              <w:ind w:right="80"/>
              <w:jc w:val="right"/>
              <w:rPr>
                <w:sz w:val="21"/>
              </w:rPr>
            </w:pPr>
            <w:r>
              <w:rPr>
                <w:sz w:val="21"/>
              </w:rPr>
              <w:t xml:space="preserve">C </w:t>
            </w:r>
          </w:p>
        </w:tc>
      </w:tr>
      <w:tr w:rsidR="00A71EEF" w14:paraId="23222CD6" w14:textId="77777777">
        <w:trPr>
          <w:trHeight w:val="998"/>
        </w:trPr>
        <w:tc>
          <w:tcPr>
            <w:tcW w:w="970" w:type="dxa"/>
          </w:tcPr>
          <w:p w14:paraId="73387892" w14:textId="77777777" w:rsidR="00A71EEF" w:rsidRDefault="00A71EEF">
            <w:pPr>
              <w:pStyle w:val="TableParagraph"/>
              <w:rPr>
                <w:sz w:val="20"/>
              </w:rPr>
            </w:pPr>
          </w:p>
          <w:p w14:paraId="58768022" w14:textId="77777777" w:rsidR="00A71EEF" w:rsidRDefault="00A71EEF">
            <w:pPr>
              <w:pStyle w:val="TableParagraph"/>
              <w:spacing w:before="1"/>
              <w:rPr>
                <w:sz w:val="14"/>
              </w:rPr>
            </w:pPr>
          </w:p>
          <w:p w14:paraId="551E855F" w14:textId="77777777" w:rsidR="00A71EEF" w:rsidRDefault="0081115D">
            <w:pPr>
              <w:pStyle w:val="TableParagraph"/>
              <w:spacing w:before="1"/>
              <w:ind w:right="46"/>
              <w:jc w:val="right"/>
              <w:rPr>
                <w:sz w:val="21"/>
              </w:rPr>
            </w:pPr>
            <w:r>
              <w:rPr>
                <w:sz w:val="21"/>
              </w:rPr>
              <w:t xml:space="preserve">31 </w:t>
            </w:r>
          </w:p>
        </w:tc>
        <w:tc>
          <w:tcPr>
            <w:tcW w:w="2610" w:type="dxa"/>
          </w:tcPr>
          <w:p w14:paraId="0EEF725E" w14:textId="77777777" w:rsidR="00A71EEF" w:rsidRDefault="00A71EEF">
            <w:pPr>
              <w:pStyle w:val="TableParagraph"/>
              <w:spacing w:before="7"/>
              <w:rPr>
                <w:sz w:val="14"/>
              </w:rPr>
            </w:pPr>
          </w:p>
          <w:p w14:paraId="1303465C" w14:textId="77777777" w:rsidR="00A71EEF" w:rsidRDefault="0081115D">
            <w:pPr>
              <w:pStyle w:val="TableParagraph"/>
              <w:spacing w:before="1"/>
              <w:ind w:left="462"/>
              <w:rPr>
                <w:sz w:val="21"/>
              </w:rPr>
            </w:pPr>
            <w:r>
              <w:rPr>
                <w:sz w:val="21"/>
              </w:rPr>
              <w:t>门扇与上框的配合活动</w:t>
            </w:r>
          </w:p>
          <w:p w14:paraId="7FAEF276" w14:textId="77777777" w:rsidR="00A71EEF" w:rsidRDefault="00A71EEF">
            <w:pPr>
              <w:pStyle w:val="TableParagraph"/>
              <w:rPr>
                <w:sz w:val="18"/>
              </w:rPr>
            </w:pPr>
          </w:p>
          <w:p w14:paraId="75989E29" w14:textId="77777777" w:rsidR="00A71EEF" w:rsidRDefault="0081115D">
            <w:pPr>
              <w:pStyle w:val="TableParagraph"/>
              <w:ind w:left="182" w:right="63"/>
              <w:jc w:val="center"/>
              <w:rPr>
                <w:sz w:val="21"/>
              </w:rPr>
            </w:pPr>
            <w:r>
              <w:rPr>
                <w:sz w:val="21"/>
              </w:rPr>
              <w:t>间隙</w:t>
            </w:r>
            <w:r>
              <w:rPr>
                <w:sz w:val="21"/>
              </w:rPr>
              <w:t xml:space="preserve"> </w:t>
            </w:r>
          </w:p>
        </w:tc>
        <w:tc>
          <w:tcPr>
            <w:tcW w:w="2377" w:type="dxa"/>
          </w:tcPr>
          <w:p w14:paraId="7AF8907D" w14:textId="77777777" w:rsidR="00A71EEF" w:rsidRDefault="00A71EEF">
            <w:pPr>
              <w:pStyle w:val="TableParagraph"/>
              <w:rPr>
                <w:sz w:val="20"/>
              </w:rPr>
            </w:pPr>
          </w:p>
          <w:p w14:paraId="2CCC0685" w14:textId="77777777" w:rsidR="00A71EEF" w:rsidRDefault="00A71EEF">
            <w:pPr>
              <w:pStyle w:val="TableParagraph"/>
              <w:spacing w:before="1"/>
              <w:rPr>
                <w:sz w:val="14"/>
              </w:rPr>
            </w:pPr>
          </w:p>
          <w:p w14:paraId="2A22E094" w14:textId="77777777" w:rsidR="00A71EEF" w:rsidRDefault="0081115D">
            <w:pPr>
              <w:pStyle w:val="TableParagraph"/>
              <w:spacing w:before="1"/>
              <w:ind w:left="1008" w:right="473"/>
              <w:jc w:val="center"/>
              <w:rPr>
                <w:sz w:val="21"/>
              </w:rPr>
            </w:pPr>
            <w:r>
              <w:rPr>
                <w:sz w:val="21"/>
              </w:rPr>
              <w:t xml:space="preserve">5.8.2.3 </w:t>
            </w:r>
          </w:p>
        </w:tc>
        <w:tc>
          <w:tcPr>
            <w:tcW w:w="1547" w:type="dxa"/>
          </w:tcPr>
          <w:p w14:paraId="170E5374" w14:textId="77777777" w:rsidR="00A71EEF" w:rsidRDefault="00A71EEF">
            <w:pPr>
              <w:pStyle w:val="TableParagraph"/>
              <w:rPr>
                <w:sz w:val="20"/>
              </w:rPr>
            </w:pPr>
          </w:p>
          <w:p w14:paraId="1BA439C6" w14:textId="77777777" w:rsidR="00A71EEF" w:rsidRDefault="00A71EEF">
            <w:pPr>
              <w:pStyle w:val="TableParagraph"/>
              <w:spacing w:before="1"/>
              <w:rPr>
                <w:sz w:val="14"/>
              </w:rPr>
            </w:pPr>
          </w:p>
          <w:p w14:paraId="06490FFD" w14:textId="77777777" w:rsidR="00A71EEF" w:rsidRDefault="0081115D">
            <w:pPr>
              <w:pStyle w:val="TableParagraph"/>
              <w:spacing w:before="1"/>
              <w:ind w:left="698" w:right="163"/>
              <w:jc w:val="center"/>
              <w:rPr>
                <w:sz w:val="21"/>
              </w:rPr>
            </w:pPr>
            <w:r>
              <w:rPr>
                <w:sz w:val="21"/>
              </w:rPr>
              <w:t xml:space="preserve">6.9.2 </w:t>
            </w:r>
          </w:p>
        </w:tc>
        <w:tc>
          <w:tcPr>
            <w:tcW w:w="925" w:type="dxa"/>
          </w:tcPr>
          <w:p w14:paraId="3BF71315" w14:textId="77777777" w:rsidR="00A71EEF" w:rsidRDefault="00A71EEF">
            <w:pPr>
              <w:pStyle w:val="TableParagraph"/>
              <w:rPr>
                <w:sz w:val="20"/>
              </w:rPr>
            </w:pPr>
          </w:p>
          <w:p w14:paraId="10A3F2FC" w14:textId="77777777" w:rsidR="00A71EEF" w:rsidRDefault="00A71EEF">
            <w:pPr>
              <w:pStyle w:val="TableParagraph"/>
              <w:spacing w:before="1"/>
              <w:rPr>
                <w:sz w:val="14"/>
              </w:rPr>
            </w:pPr>
          </w:p>
          <w:p w14:paraId="7CAD65AA" w14:textId="77777777" w:rsidR="00A71EEF" w:rsidRDefault="0081115D">
            <w:pPr>
              <w:pStyle w:val="TableParagraph"/>
              <w:spacing w:before="1"/>
              <w:ind w:right="80"/>
              <w:jc w:val="right"/>
              <w:rPr>
                <w:sz w:val="21"/>
              </w:rPr>
            </w:pPr>
            <w:r>
              <w:rPr>
                <w:sz w:val="21"/>
              </w:rPr>
              <w:t xml:space="preserve">C </w:t>
            </w:r>
          </w:p>
        </w:tc>
      </w:tr>
      <w:tr w:rsidR="00A71EEF" w14:paraId="157E67E5" w14:textId="77777777">
        <w:trPr>
          <w:trHeight w:val="501"/>
        </w:trPr>
        <w:tc>
          <w:tcPr>
            <w:tcW w:w="970" w:type="dxa"/>
          </w:tcPr>
          <w:p w14:paraId="711ECDCE" w14:textId="77777777" w:rsidR="00A71EEF" w:rsidRDefault="00A71EEF">
            <w:pPr>
              <w:pStyle w:val="TableParagraph"/>
              <w:spacing w:before="10"/>
              <w:rPr>
                <w:sz w:val="14"/>
              </w:rPr>
            </w:pPr>
          </w:p>
          <w:p w14:paraId="45CA3D4A" w14:textId="77777777" w:rsidR="00A71EEF" w:rsidRDefault="0081115D">
            <w:pPr>
              <w:pStyle w:val="TableParagraph"/>
              <w:ind w:right="46"/>
              <w:jc w:val="right"/>
              <w:rPr>
                <w:sz w:val="21"/>
              </w:rPr>
            </w:pPr>
            <w:r>
              <w:rPr>
                <w:sz w:val="21"/>
              </w:rPr>
              <w:t xml:space="preserve">32 </w:t>
            </w:r>
          </w:p>
        </w:tc>
        <w:tc>
          <w:tcPr>
            <w:tcW w:w="2610" w:type="dxa"/>
          </w:tcPr>
          <w:p w14:paraId="7A9E179F" w14:textId="77777777" w:rsidR="00A71EEF" w:rsidRDefault="00A71EEF">
            <w:pPr>
              <w:pStyle w:val="TableParagraph"/>
              <w:spacing w:before="10"/>
              <w:rPr>
                <w:sz w:val="14"/>
              </w:rPr>
            </w:pPr>
          </w:p>
          <w:p w14:paraId="1DFD2381" w14:textId="77777777" w:rsidR="00A71EEF" w:rsidRDefault="0081115D">
            <w:pPr>
              <w:pStyle w:val="TableParagraph"/>
              <w:ind w:left="776"/>
              <w:rPr>
                <w:sz w:val="21"/>
              </w:rPr>
            </w:pPr>
            <w:r>
              <w:rPr>
                <w:sz w:val="21"/>
              </w:rPr>
              <w:t>双扇门中间缝隙</w:t>
            </w:r>
            <w:r>
              <w:rPr>
                <w:sz w:val="21"/>
              </w:rPr>
              <w:t xml:space="preserve"> </w:t>
            </w:r>
          </w:p>
        </w:tc>
        <w:tc>
          <w:tcPr>
            <w:tcW w:w="2377" w:type="dxa"/>
          </w:tcPr>
          <w:p w14:paraId="1347BF58" w14:textId="77777777" w:rsidR="00A71EEF" w:rsidRDefault="00A71EEF">
            <w:pPr>
              <w:pStyle w:val="TableParagraph"/>
              <w:spacing w:before="10"/>
              <w:rPr>
                <w:sz w:val="14"/>
              </w:rPr>
            </w:pPr>
          </w:p>
          <w:p w14:paraId="42843E47" w14:textId="77777777" w:rsidR="00A71EEF" w:rsidRDefault="0081115D">
            <w:pPr>
              <w:pStyle w:val="TableParagraph"/>
              <w:ind w:left="1008" w:right="473"/>
              <w:jc w:val="center"/>
              <w:rPr>
                <w:sz w:val="21"/>
              </w:rPr>
            </w:pPr>
            <w:r>
              <w:rPr>
                <w:sz w:val="21"/>
              </w:rPr>
              <w:t xml:space="preserve">5.8.2.4 </w:t>
            </w:r>
          </w:p>
        </w:tc>
        <w:tc>
          <w:tcPr>
            <w:tcW w:w="1547" w:type="dxa"/>
          </w:tcPr>
          <w:p w14:paraId="6656032E" w14:textId="77777777" w:rsidR="00A71EEF" w:rsidRDefault="00A71EEF">
            <w:pPr>
              <w:pStyle w:val="TableParagraph"/>
              <w:spacing w:before="10"/>
              <w:rPr>
                <w:sz w:val="14"/>
              </w:rPr>
            </w:pPr>
          </w:p>
          <w:p w14:paraId="0CC4F04E" w14:textId="77777777" w:rsidR="00A71EEF" w:rsidRDefault="0081115D">
            <w:pPr>
              <w:pStyle w:val="TableParagraph"/>
              <w:ind w:left="698" w:right="163"/>
              <w:jc w:val="center"/>
              <w:rPr>
                <w:sz w:val="21"/>
              </w:rPr>
            </w:pPr>
            <w:r>
              <w:rPr>
                <w:sz w:val="21"/>
              </w:rPr>
              <w:t xml:space="preserve">6.9.2 </w:t>
            </w:r>
          </w:p>
        </w:tc>
        <w:tc>
          <w:tcPr>
            <w:tcW w:w="925" w:type="dxa"/>
          </w:tcPr>
          <w:p w14:paraId="7A4385B9" w14:textId="77777777" w:rsidR="00A71EEF" w:rsidRDefault="00A71EEF">
            <w:pPr>
              <w:pStyle w:val="TableParagraph"/>
              <w:spacing w:before="10"/>
              <w:rPr>
                <w:sz w:val="14"/>
              </w:rPr>
            </w:pPr>
          </w:p>
          <w:p w14:paraId="0B6DFC8D" w14:textId="77777777" w:rsidR="00A71EEF" w:rsidRDefault="0081115D">
            <w:pPr>
              <w:pStyle w:val="TableParagraph"/>
              <w:ind w:right="80"/>
              <w:jc w:val="right"/>
              <w:rPr>
                <w:sz w:val="21"/>
              </w:rPr>
            </w:pPr>
            <w:r>
              <w:rPr>
                <w:sz w:val="21"/>
              </w:rPr>
              <w:t xml:space="preserve">C </w:t>
            </w:r>
          </w:p>
        </w:tc>
      </w:tr>
      <w:tr w:rsidR="00A71EEF" w14:paraId="14A1E40C" w14:textId="77777777">
        <w:trPr>
          <w:trHeight w:val="501"/>
        </w:trPr>
        <w:tc>
          <w:tcPr>
            <w:tcW w:w="970" w:type="dxa"/>
          </w:tcPr>
          <w:p w14:paraId="2D647849" w14:textId="77777777" w:rsidR="00A71EEF" w:rsidRDefault="00A71EEF">
            <w:pPr>
              <w:pStyle w:val="TableParagraph"/>
              <w:spacing w:before="7"/>
              <w:rPr>
                <w:sz w:val="14"/>
              </w:rPr>
            </w:pPr>
          </w:p>
          <w:p w14:paraId="026755ED" w14:textId="77777777" w:rsidR="00A71EEF" w:rsidRDefault="0081115D">
            <w:pPr>
              <w:pStyle w:val="TableParagraph"/>
              <w:spacing w:before="1"/>
              <w:ind w:right="46"/>
              <w:jc w:val="right"/>
              <w:rPr>
                <w:sz w:val="21"/>
              </w:rPr>
            </w:pPr>
            <w:r>
              <w:rPr>
                <w:sz w:val="21"/>
              </w:rPr>
              <w:t xml:space="preserve">33 </w:t>
            </w:r>
          </w:p>
        </w:tc>
        <w:tc>
          <w:tcPr>
            <w:tcW w:w="2610" w:type="dxa"/>
          </w:tcPr>
          <w:p w14:paraId="51580A90" w14:textId="77777777" w:rsidR="00A71EEF" w:rsidRDefault="00A71EEF">
            <w:pPr>
              <w:pStyle w:val="TableParagraph"/>
              <w:spacing w:before="7"/>
              <w:rPr>
                <w:sz w:val="14"/>
              </w:rPr>
            </w:pPr>
          </w:p>
          <w:p w14:paraId="399A0943" w14:textId="77777777" w:rsidR="00A71EEF" w:rsidRDefault="0081115D">
            <w:pPr>
              <w:pStyle w:val="TableParagraph"/>
              <w:spacing w:before="1"/>
              <w:ind w:right="27"/>
              <w:jc w:val="right"/>
              <w:rPr>
                <w:sz w:val="21"/>
              </w:rPr>
            </w:pPr>
            <w:r>
              <w:rPr>
                <w:sz w:val="21"/>
              </w:rPr>
              <w:t>门框与下框或地面间隙</w:t>
            </w:r>
          </w:p>
        </w:tc>
        <w:tc>
          <w:tcPr>
            <w:tcW w:w="2377" w:type="dxa"/>
          </w:tcPr>
          <w:p w14:paraId="65621CBD" w14:textId="77777777" w:rsidR="00A71EEF" w:rsidRDefault="00A71EEF">
            <w:pPr>
              <w:pStyle w:val="TableParagraph"/>
              <w:spacing w:before="7"/>
              <w:rPr>
                <w:sz w:val="14"/>
              </w:rPr>
            </w:pPr>
          </w:p>
          <w:p w14:paraId="7FF570D9" w14:textId="77777777" w:rsidR="00A71EEF" w:rsidRDefault="0081115D">
            <w:pPr>
              <w:pStyle w:val="TableParagraph"/>
              <w:spacing w:before="1"/>
              <w:ind w:left="1008" w:right="473"/>
              <w:jc w:val="center"/>
              <w:rPr>
                <w:sz w:val="21"/>
              </w:rPr>
            </w:pPr>
            <w:r>
              <w:rPr>
                <w:sz w:val="21"/>
              </w:rPr>
              <w:t xml:space="preserve">5.8.2.5 </w:t>
            </w:r>
          </w:p>
        </w:tc>
        <w:tc>
          <w:tcPr>
            <w:tcW w:w="1547" w:type="dxa"/>
          </w:tcPr>
          <w:p w14:paraId="05F72E25" w14:textId="77777777" w:rsidR="00A71EEF" w:rsidRDefault="00A71EEF">
            <w:pPr>
              <w:pStyle w:val="TableParagraph"/>
              <w:spacing w:before="7"/>
              <w:rPr>
                <w:sz w:val="14"/>
              </w:rPr>
            </w:pPr>
          </w:p>
          <w:p w14:paraId="76B1F7E9" w14:textId="77777777" w:rsidR="00A71EEF" w:rsidRDefault="0081115D">
            <w:pPr>
              <w:pStyle w:val="TableParagraph"/>
              <w:spacing w:before="1"/>
              <w:ind w:left="698" w:right="163"/>
              <w:jc w:val="center"/>
              <w:rPr>
                <w:sz w:val="21"/>
              </w:rPr>
            </w:pPr>
            <w:r>
              <w:rPr>
                <w:sz w:val="21"/>
              </w:rPr>
              <w:t xml:space="preserve">6.9.2 </w:t>
            </w:r>
          </w:p>
        </w:tc>
        <w:tc>
          <w:tcPr>
            <w:tcW w:w="925" w:type="dxa"/>
          </w:tcPr>
          <w:p w14:paraId="2480A7DF" w14:textId="77777777" w:rsidR="00A71EEF" w:rsidRDefault="00A71EEF">
            <w:pPr>
              <w:pStyle w:val="TableParagraph"/>
              <w:spacing w:before="7"/>
              <w:rPr>
                <w:sz w:val="14"/>
              </w:rPr>
            </w:pPr>
          </w:p>
          <w:p w14:paraId="76B4E429" w14:textId="77777777" w:rsidR="00A71EEF" w:rsidRDefault="0081115D">
            <w:pPr>
              <w:pStyle w:val="TableParagraph"/>
              <w:spacing w:before="1"/>
              <w:ind w:right="80"/>
              <w:jc w:val="right"/>
              <w:rPr>
                <w:sz w:val="21"/>
              </w:rPr>
            </w:pPr>
            <w:r>
              <w:rPr>
                <w:sz w:val="21"/>
              </w:rPr>
              <w:t xml:space="preserve">C </w:t>
            </w:r>
          </w:p>
        </w:tc>
      </w:tr>
      <w:tr w:rsidR="00A71EEF" w14:paraId="3F4DD153" w14:textId="77777777">
        <w:trPr>
          <w:trHeight w:val="498"/>
        </w:trPr>
        <w:tc>
          <w:tcPr>
            <w:tcW w:w="970" w:type="dxa"/>
          </w:tcPr>
          <w:p w14:paraId="21B64A3F" w14:textId="77777777" w:rsidR="00A71EEF" w:rsidRDefault="00A71EEF">
            <w:pPr>
              <w:pStyle w:val="TableParagraph"/>
              <w:spacing w:before="7"/>
              <w:rPr>
                <w:sz w:val="14"/>
              </w:rPr>
            </w:pPr>
          </w:p>
          <w:p w14:paraId="694B1AF7" w14:textId="77777777" w:rsidR="00A71EEF" w:rsidRDefault="0081115D">
            <w:pPr>
              <w:pStyle w:val="TableParagraph"/>
              <w:spacing w:before="1"/>
              <w:ind w:right="46"/>
              <w:jc w:val="right"/>
              <w:rPr>
                <w:sz w:val="21"/>
              </w:rPr>
            </w:pPr>
            <w:r>
              <w:rPr>
                <w:sz w:val="21"/>
              </w:rPr>
              <w:t xml:space="preserve">34 </w:t>
            </w:r>
          </w:p>
        </w:tc>
        <w:tc>
          <w:tcPr>
            <w:tcW w:w="2610" w:type="dxa"/>
          </w:tcPr>
          <w:p w14:paraId="01566BE6" w14:textId="77777777" w:rsidR="00A71EEF" w:rsidRDefault="00A71EEF">
            <w:pPr>
              <w:pStyle w:val="TableParagraph"/>
              <w:spacing w:before="7"/>
              <w:rPr>
                <w:sz w:val="14"/>
              </w:rPr>
            </w:pPr>
          </w:p>
          <w:p w14:paraId="6B75F4D3" w14:textId="77777777" w:rsidR="00A71EEF" w:rsidRDefault="0081115D">
            <w:pPr>
              <w:pStyle w:val="TableParagraph"/>
              <w:spacing w:before="1"/>
              <w:ind w:right="27"/>
              <w:jc w:val="right"/>
              <w:rPr>
                <w:sz w:val="21"/>
              </w:rPr>
            </w:pPr>
            <w:r>
              <w:rPr>
                <w:sz w:val="21"/>
              </w:rPr>
              <w:t>门扇与门框贴合面间隙</w:t>
            </w:r>
          </w:p>
        </w:tc>
        <w:tc>
          <w:tcPr>
            <w:tcW w:w="2377" w:type="dxa"/>
          </w:tcPr>
          <w:p w14:paraId="273E2B2E" w14:textId="77777777" w:rsidR="00A71EEF" w:rsidRDefault="00A71EEF">
            <w:pPr>
              <w:pStyle w:val="TableParagraph"/>
              <w:spacing w:before="7"/>
              <w:rPr>
                <w:sz w:val="14"/>
              </w:rPr>
            </w:pPr>
          </w:p>
          <w:p w14:paraId="170B51B7" w14:textId="77777777" w:rsidR="00A71EEF" w:rsidRDefault="0081115D">
            <w:pPr>
              <w:pStyle w:val="TableParagraph"/>
              <w:spacing w:before="1"/>
              <w:ind w:left="1008" w:right="473"/>
              <w:jc w:val="center"/>
              <w:rPr>
                <w:sz w:val="21"/>
              </w:rPr>
            </w:pPr>
            <w:r>
              <w:rPr>
                <w:sz w:val="21"/>
              </w:rPr>
              <w:t xml:space="preserve">5.8.2.6 </w:t>
            </w:r>
          </w:p>
        </w:tc>
        <w:tc>
          <w:tcPr>
            <w:tcW w:w="1547" w:type="dxa"/>
          </w:tcPr>
          <w:p w14:paraId="284A9054" w14:textId="77777777" w:rsidR="00A71EEF" w:rsidRDefault="00A71EEF">
            <w:pPr>
              <w:pStyle w:val="TableParagraph"/>
              <w:spacing w:before="7"/>
              <w:rPr>
                <w:sz w:val="14"/>
              </w:rPr>
            </w:pPr>
          </w:p>
          <w:p w14:paraId="4F8FBEDB" w14:textId="77777777" w:rsidR="00A71EEF" w:rsidRDefault="0081115D">
            <w:pPr>
              <w:pStyle w:val="TableParagraph"/>
              <w:spacing w:before="1"/>
              <w:ind w:left="698" w:right="163"/>
              <w:jc w:val="center"/>
              <w:rPr>
                <w:sz w:val="21"/>
              </w:rPr>
            </w:pPr>
            <w:r>
              <w:rPr>
                <w:sz w:val="21"/>
              </w:rPr>
              <w:t xml:space="preserve">6.9.3 </w:t>
            </w:r>
          </w:p>
        </w:tc>
        <w:tc>
          <w:tcPr>
            <w:tcW w:w="925" w:type="dxa"/>
          </w:tcPr>
          <w:p w14:paraId="5899B751" w14:textId="77777777" w:rsidR="00A71EEF" w:rsidRDefault="00A71EEF">
            <w:pPr>
              <w:pStyle w:val="TableParagraph"/>
              <w:spacing w:before="7"/>
              <w:rPr>
                <w:sz w:val="14"/>
              </w:rPr>
            </w:pPr>
          </w:p>
          <w:p w14:paraId="1C1A7D83" w14:textId="77777777" w:rsidR="00A71EEF" w:rsidRDefault="0081115D">
            <w:pPr>
              <w:pStyle w:val="TableParagraph"/>
              <w:spacing w:before="1"/>
              <w:ind w:right="80"/>
              <w:jc w:val="right"/>
              <w:rPr>
                <w:sz w:val="21"/>
              </w:rPr>
            </w:pPr>
            <w:r>
              <w:rPr>
                <w:sz w:val="21"/>
              </w:rPr>
              <w:t xml:space="preserve">C </w:t>
            </w:r>
          </w:p>
        </w:tc>
      </w:tr>
      <w:tr w:rsidR="00A71EEF" w14:paraId="6E04D8B4" w14:textId="77777777">
        <w:trPr>
          <w:trHeight w:val="1000"/>
        </w:trPr>
        <w:tc>
          <w:tcPr>
            <w:tcW w:w="970" w:type="dxa"/>
          </w:tcPr>
          <w:p w14:paraId="2764229D" w14:textId="77777777" w:rsidR="00A71EEF" w:rsidRDefault="00A71EEF">
            <w:pPr>
              <w:pStyle w:val="TableParagraph"/>
              <w:rPr>
                <w:sz w:val="20"/>
              </w:rPr>
            </w:pPr>
          </w:p>
          <w:p w14:paraId="4790A31F" w14:textId="77777777" w:rsidR="00A71EEF" w:rsidRDefault="00A71EEF">
            <w:pPr>
              <w:pStyle w:val="TableParagraph"/>
              <w:spacing w:before="3"/>
              <w:rPr>
                <w:sz w:val="14"/>
              </w:rPr>
            </w:pPr>
          </w:p>
          <w:p w14:paraId="12CEBE0C" w14:textId="77777777" w:rsidR="00A71EEF" w:rsidRDefault="0081115D">
            <w:pPr>
              <w:pStyle w:val="TableParagraph"/>
              <w:ind w:right="46"/>
              <w:jc w:val="right"/>
              <w:rPr>
                <w:sz w:val="21"/>
              </w:rPr>
            </w:pPr>
            <w:r>
              <w:rPr>
                <w:sz w:val="21"/>
              </w:rPr>
              <w:t xml:space="preserve">35 </w:t>
            </w:r>
          </w:p>
        </w:tc>
        <w:tc>
          <w:tcPr>
            <w:tcW w:w="2610" w:type="dxa"/>
          </w:tcPr>
          <w:p w14:paraId="205D8769" w14:textId="77777777" w:rsidR="00A71EEF" w:rsidRDefault="00A71EEF">
            <w:pPr>
              <w:pStyle w:val="TableParagraph"/>
              <w:spacing w:before="7"/>
              <w:rPr>
                <w:sz w:val="14"/>
              </w:rPr>
            </w:pPr>
          </w:p>
          <w:p w14:paraId="3F2091B3" w14:textId="77777777" w:rsidR="00A71EEF" w:rsidRDefault="0081115D">
            <w:pPr>
              <w:pStyle w:val="TableParagraph"/>
              <w:spacing w:before="1"/>
              <w:ind w:left="462"/>
              <w:rPr>
                <w:sz w:val="21"/>
              </w:rPr>
            </w:pPr>
            <w:r>
              <w:rPr>
                <w:sz w:val="21"/>
              </w:rPr>
              <w:t>门框与门扇的平面高低</w:t>
            </w:r>
          </w:p>
          <w:p w14:paraId="5F824F99" w14:textId="77777777" w:rsidR="00A71EEF" w:rsidRDefault="00A71EEF">
            <w:pPr>
              <w:pStyle w:val="TableParagraph"/>
              <w:spacing w:before="1"/>
              <w:rPr>
                <w:sz w:val="18"/>
              </w:rPr>
            </w:pPr>
          </w:p>
          <w:p w14:paraId="25349D0A" w14:textId="77777777" w:rsidR="00A71EEF" w:rsidRDefault="0081115D">
            <w:pPr>
              <w:pStyle w:val="TableParagraph"/>
              <w:spacing w:before="1"/>
              <w:ind w:left="179" w:right="63"/>
              <w:jc w:val="center"/>
              <w:rPr>
                <w:sz w:val="21"/>
              </w:rPr>
            </w:pPr>
            <w:r>
              <w:rPr>
                <w:sz w:val="21"/>
              </w:rPr>
              <w:t>差</w:t>
            </w:r>
            <w:r>
              <w:rPr>
                <w:sz w:val="21"/>
              </w:rPr>
              <w:t xml:space="preserve"> </w:t>
            </w:r>
          </w:p>
        </w:tc>
        <w:tc>
          <w:tcPr>
            <w:tcW w:w="2377" w:type="dxa"/>
          </w:tcPr>
          <w:p w14:paraId="6E795728" w14:textId="77777777" w:rsidR="00A71EEF" w:rsidRDefault="00A71EEF">
            <w:pPr>
              <w:pStyle w:val="TableParagraph"/>
              <w:rPr>
                <w:sz w:val="20"/>
              </w:rPr>
            </w:pPr>
          </w:p>
          <w:p w14:paraId="40118128" w14:textId="77777777" w:rsidR="00A71EEF" w:rsidRDefault="00A71EEF">
            <w:pPr>
              <w:pStyle w:val="TableParagraph"/>
              <w:spacing w:before="3"/>
              <w:rPr>
                <w:sz w:val="14"/>
              </w:rPr>
            </w:pPr>
          </w:p>
          <w:p w14:paraId="7A94BD76" w14:textId="77777777" w:rsidR="00A71EEF" w:rsidRDefault="0081115D">
            <w:pPr>
              <w:pStyle w:val="TableParagraph"/>
              <w:ind w:left="1005" w:right="473"/>
              <w:jc w:val="center"/>
              <w:rPr>
                <w:sz w:val="21"/>
              </w:rPr>
            </w:pPr>
            <w:r>
              <w:rPr>
                <w:sz w:val="21"/>
              </w:rPr>
              <w:t xml:space="preserve">5.8.3 </w:t>
            </w:r>
          </w:p>
        </w:tc>
        <w:tc>
          <w:tcPr>
            <w:tcW w:w="1547" w:type="dxa"/>
          </w:tcPr>
          <w:p w14:paraId="37354138" w14:textId="77777777" w:rsidR="00A71EEF" w:rsidRDefault="00A71EEF">
            <w:pPr>
              <w:pStyle w:val="TableParagraph"/>
              <w:rPr>
                <w:sz w:val="20"/>
              </w:rPr>
            </w:pPr>
          </w:p>
          <w:p w14:paraId="1113C3CF" w14:textId="77777777" w:rsidR="00A71EEF" w:rsidRDefault="00A71EEF">
            <w:pPr>
              <w:pStyle w:val="TableParagraph"/>
              <w:spacing w:before="3"/>
              <w:rPr>
                <w:sz w:val="14"/>
              </w:rPr>
            </w:pPr>
          </w:p>
          <w:p w14:paraId="3E4B9419" w14:textId="77777777" w:rsidR="00A71EEF" w:rsidRDefault="0081115D">
            <w:pPr>
              <w:pStyle w:val="TableParagraph"/>
              <w:ind w:left="698" w:right="163"/>
              <w:jc w:val="center"/>
              <w:rPr>
                <w:sz w:val="21"/>
              </w:rPr>
            </w:pPr>
            <w:r>
              <w:rPr>
                <w:sz w:val="21"/>
              </w:rPr>
              <w:t xml:space="preserve">6.9.4 </w:t>
            </w:r>
          </w:p>
        </w:tc>
        <w:tc>
          <w:tcPr>
            <w:tcW w:w="925" w:type="dxa"/>
          </w:tcPr>
          <w:p w14:paraId="747D49E3" w14:textId="77777777" w:rsidR="00A71EEF" w:rsidRDefault="00A71EEF">
            <w:pPr>
              <w:pStyle w:val="TableParagraph"/>
              <w:rPr>
                <w:sz w:val="20"/>
              </w:rPr>
            </w:pPr>
          </w:p>
          <w:p w14:paraId="05887C42" w14:textId="77777777" w:rsidR="00A71EEF" w:rsidRDefault="00A71EEF">
            <w:pPr>
              <w:pStyle w:val="TableParagraph"/>
              <w:spacing w:before="3"/>
              <w:rPr>
                <w:sz w:val="14"/>
              </w:rPr>
            </w:pPr>
          </w:p>
          <w:p w14:paraId="6013ADF1" w14:textId="77777777" w:rsidR="00A71EEF" w:rsidRDefault="0081115D">
            <w:pPr>
              <w:pStyle w:val="TableParagraph"/>
              <w:ind w:right="80"/>
              <w:jc w:val="right"/>
              <w:rPr>
                <w:sz w:val="21"/>
              </w:rPr>
            </w:pPr>
            <w:r>
              <w:rPr>
                <w:sz w:val="21"/>
              </w:rPr>
              <w:t xml:space="preserve">C </w:t>
            </w:r>
          </w:p>
        </w:tc>
      </w:tr>
      <w:tr w:rsidR="00A71EEF" w14:paraId="1A13EC80" w14:textId="77777777">
        <w:trPr>
          <w:trHeight w:val="501"/>
        </w:trPr>
        <w:tc>
          <w:tcPr>
            <w:tcW w:w="970" w:type="dxa"/>
          </w:tcPr>
          <w:p w14:paraId="4AFA6FA5" w14:textId="77777777" w:rsidR="00A71EEF" w:rsidRDefault="00A71EEF">
            <w:pPr>
              <w:pStyle w:val="TableParagraph"/>
              <w:spacing w:before="8"/>
              <w:rPr>
                <w:sz w:val="14"/>
              </w:rPr>
            </w:pPr>
          </w:p>
          <w:p w14:paraId="0499E955" w14:textId="77777777" w:rsidR="00A71EEF" w:rsidRDefault="0081115D">
            <w:pPr>
              <w:pStyle w:val="TableParagraph"/>
              <w:ind w:right="46"/>
              <w:jc w:val="right"/>
              <w:rPr>
                <w:sz w:val="21"/>
              </w:rPr>
            </w:pPr>
            <w:r>
              <w:rPr>
                <w:sz w:val="21"/>
              </w:rPr>
              <w:t xml:space="preserve">36 </w:t>
            </w:r>
          </w:p>
        </w:tc>
        <w:tc>
          <w:tcPr>
            <w:tcW w:w="2610" w:type="dxa"/>
          </w:tcPr>
          <w:p w14:paraId="1F9913EF" w14:textId="77777777" w:rsidR="00A71EEF" w:rsidRDefault="00A71EEF">
            <w:pPr>
              <w:pStyle w:val="TableParagraph"/>
              <w:spacing w:before="8"/>
              <w:rPr>
                <w:sz w:val="14"/>
              </w:rPr>
            </w:pPr>
          </w:p>
          <w:p w14:paraId="4E9E7830" w14:textId="77777777" w:rsidR="00A71EEF" w:rsidRDefault="0081115D">
            <w:pPr>
              <w:pStyle w:val="TableParagraph"/>
              <w:ind w:left="988"/>
              <w:rPr>
                <w:sz w:val="21"/>
              </w:rPr>
            </w:pPr>
            <w:r>
              <w:rPr>
                <w:sz w:val="21"/>
              </w:rPr>
              <w:t>启闭灵活性</w:t>
            </w:r>
            <w:r>
              <w:rPr>
                <w:sz w:val="21"/>
              </w:rPr>
              <w:t xml:space="preserve"> </w:t>
            </w:r>
          </w:p>
        </w:tc>
        <w:tc>
          <w:tcPr>
            <w:tcW w:w="2377" w:type="dxa"/>
          </w:tcPr>
          <w:p w14:paraId="3075A467" w14:textId="77777777" w:rsidR="00A71EEF" w:rsidRDefault="00A71EEF">
            <w:pPr>
              <w:pStyle w:val="TableParagraph"/>
              <w:spacing w:before="8"/>
              <w:rPr>
                <w:sz w:val="14"/>
              </w:rPr>
            </w:pPr>
          </w:p>
          <w:p w14:paraId="2C30CA87" w14:textId="77777777" w:rsidR="00A71EEF" w:rsidRDefault="0081115D">
            <w:pPr>
              <w:pStyle w:val="TableParagraph"/>
              <w:ind w:left="1005" w:right="473"/>
              <w:jc w:val="center"/>
              <w:rPr>
                <w:sz w:val="21"/>
              </w:rPr>
            </w:pPr>
            <w:r>
              <w:rPr>
                <w:sz w:val="21"/>
              </w:rPr>
              <w:t xml:space="preserve">5.9.1 </w:t>
            </w:r>
          </w:p>
        </w:tc>
        <w:tc>
          <w:tcPr>
            <w:tcW w:w="1547" w:type="dxa"/>
          </w:tcPr>
          <w:p w14:paraId="66D65EFA" w14:textId="77777777" w:rsidR="00A71EEF" w:rsidRDefault="00A71EEF">
            <w:pPr>
              <w:pStyle w:val="TableParagraph"/>
              <w:spacing w:before="8"/>
              <w:rPr>
                <w:sz w:val="14"/>
              </w:rPr>
            </w:pPr>
          </w:p>
          <w:p w14:paraId="49069707" w14:textId="77777777" w:rsidR="00A71EEF" w:rsidRDefault="0081115D">
            <w:pPr>
              <w:pStyle w:val="TableParagraph"/>
              <w:ind w:left="698" w:right="163"/>
              <w:jc w:val="center"/>
              <w:rPr>
                <w:sz w:val="21"/>
              </w:rPr>
            </w:pPr>
            <w:r>
              <w:rPr>
                <w:sz w:val="21"/>
              </w:rPr>
              <w:t xml:space="preserve">6.10.1 </w:t>
            </w:r>
          </w:p>
        </w:tc>
        <w:tc>
          <w:tcPr>
            <w:tcW w:w="925" w:type="dxa"/>
          </w:tcPr>
          <w:p w14:paraId="1CDCCB33" w14:textId="77777777" w:rsidR="00A71EEF" w:rsidRDefault="00A71EEF">
            <w:pPr>
              <w:pStyle w:val="TableParagraph"/>
              <w:spacing w:before="8"/>
              <w:rPr>
                <w:sz w:val="14"/>
              </w:rPr>
            </w:pPr>
          </w:p>
          <w:p w14:paraId="5D6C2D55" w14:textId="77777777" w:rsidR="00A71EEF" w:rsidRDefault="0081115D">
            <w:pPr>
              <w:pStyle w:val="TableParagraph"/>
              <w:ind w:right="80"/>
              <w:jc w:val="right"/>
              <w:rPr>
                <w:sz w:val="21"/>
              </w:rPr>
            </w:pPr>
            <w:r>
              <w:rPr>
                <w:sz w:val="21"/>
              </w:rPr>
              <w:t xml:space="preserve">A </w:t>
            </w:r>
          </w:p>
        </w:tc>
      </w:tr>
      <w:tr w:rsidR="00A71EEF" w14:paraId="2FF3E53A" w14:textId="77777777">
        <w:trPr>
          <w:trHeight w:val="500"/>
        </w:trPr>
        <w:tc>
          <w:tcPr>
            <w:tcW w:w="970" w:type="dxa"/>
          </w:tcPr>
          <w:p w14:paraId="09649D15" w14:textId="77777777" w:rsidR="00A71EEF" w:rsidRDefault="00A71EEF">
            <w:pPr>
              <w:pStyle w:val="TableParagraph"/>
              <w:spacing w:before="7"/>
              <w:rPr>
                <w:sz w:val="14"/>
              </w:rPr>
            </w:pPr>
          </w:p>
          <w:p w14:paraId="73EAD30B" w14:textId="77777777" w:rsidR="00A71EEF" w:rsidRDefault="0081115D">
            <w:pPr>
              <w:pStyle w:val="TableParagraph"/>
              <w:spacing w:before="1"/>
              <w:ind w:right="46"/>
              <w:jc w:val="right"/>
              <w:rPr>
                <w:sz w:val="21"/>
              </w:rPr>
            </w:pPr>
            <w:r>
              <w:rPr>
                <w:sz w:val="21"/>
              </w:rPr>
              <w:t xml:space="preserve">37 </w:t>
            </w:r>
          </w:p>
        </w:tc>
        <w:tc>
          <w:tcPr>
            <w:tcW w:w="2610" w:type="dxa"/>
          </w:tcPr>
          <w:p w14:paraId="12AF317A" w14:textId="77777777" w:rsidR="00A71EEF" w:rsidRDefault="00A71EEF">
            <w:pPr>
              <w:pStyle w:val="TableParagraph"/>
              <w:spacing w:before="7"/>
              <w:rPr>
                <w:sz w:val="14"/>
              </w:rPr>
            </w:pPr>
          </w:p>
          <w:p w14:paraId="6609DF1F" w14:textId="77777777" w:rsidR="00A71EEF" w:rsidRDefault="0081115D">
            <w:pPr>
              <w:pStyle w:val="TableParagraph"/>
              <w:spacing w:before="1"/>
              <w:ind w:left="1197"/>
              <w:rPr>
                <w:sz w:val="21"/>
              </w:rPr>
            </w:pPr>
            <w:r>
              <w:rPr>
                <w:sz w:val="21"/>
              </w:rPr>
              <w:t>开启力</w:t>
            </w:r>
            <w:r>
              <w:rPr>
                <w:sz w:val="21"/>
              </w:rPr>
              <w:t xml:space="preserve"> </w:t>
            </w:r>
          </w:p>
        </w:tc>
        <w:tc>
          <w:tcPr>
            <w:tcW w:w="2377" w:type="dxa"/>
          </w:tcPr>
          <w:p w14:paraId="23C1A53F" w14:textId="77777777" w:rsidR="00A71EEF" w:rsidRDefault="00A71EEF">
            <w:pPr>
              <w:pStyle w:val="TableParagraph"/>
              <w:spacing w:before="7"/>
              <w:rPr>
                <w:sz w:val="14"/>
              </w:rPr>
            </w:pPr>
          </w:p>
          <w:p w14:paraId="56ED1476" w14:textId="77777777" w:rsidR="00A71EEF" w:rsidRDefault="0081115D">
            <w:pPr>
              <w:pStyle w:val="TableParagraph"/>
              <w:spacing w:before="1"/>
              <w:ind w:left="1005" w:right="473"/>
              <w:jc w:val="center"/>
              <w:rPr>
                <w:sz w:val="21"/>
              </w:rPr>
            </w:pPr>
            <w:r>
              <w:rPr>
                <w:sz w:val="21"/>
              </w:rPr>
              <w:t xml:space="preserve">5.9.2 </w:t>
            </w:r>
          </w:p>
        </w:tc>
        <w:tc>
          <w:tcPr>
            <w:tcW w:w="1547" w:type="dxa"/>
          </w:tcPr>
          <w:p w14:paraId="6036E402" w14:textId="77777777" w:rsidR="00A71EEF" w:rsidRDefault="00A71EEF">
            <w:pPr>
              <w:pStyle w:val="TableParagraph"/>
              <w:spacing w:before="7"/>
              <w:rPr>
                <w:sz w:val="14"/>
              </w:rPr>
            </w:pPr>
          </w:p>
          <w:p w14:paraId="34D60535" w14:textId="77777777" w:rsidR="00A71EEF" w:rsidRDefault="0081115D">
            <w:pPr>
              <w:pStyle w:val="TableParagraph"/>
              <w:spacing w:before="1"/>
              <w:ind w:left="698" w:right="163"/>
              <w:jc w:val="center"/>
              <w:rPr>
                <w:sz w:val="21"/>
              </w:rPr>
            </w:pPr>
            <w:r>
              <w:rPr>
                <w:sz w:val="21"/>
              </w:rPr>
              <w:t xml:space="preserve">6.10.2 </w:t>
            </w:r>
          </w:p>
        </w:tc>
        <w:tc>
          <w:tcPr>
            <w:tcW w:w="925" w:type="dxa"/>
          </w:tcPr>
          <w:p w14:paraId="11928BFD" w14:textId="77777777" w:rsidR="00A71EEF" w:rsidRDefault="00A71EEF">
            <w:pPr>
              <w:pStyle w:val="TableParagraph"/>
              <w:spacing w:before="7"/>
              <w:rPr>
                <w:sz w:val="14"/>
              </w:rPr>
            </w:pPr>
          </w:p>
          <w:p w14:paraId="3E111232" w14:textId="77777777" w:rsidR="00A71EEF" w:rsidRDefault="0081115D">
            <w:pPr>
              <w:pStyle w:val="TableParagraph"/>
              <w:spacing w:before="1"/>
              <w:ind w:right="80"/>
              <w:jc w:val="right"/>
              <w:rPr>
                <w:sz w:val="21"/>
              </w:rPr>
            </w:pPr>
            <w:r>
              <w:rPr>
                <w:sz w:val="21"/>
              </w:rPr>
              <w:t xml:space="preserve">B </w:t>
            </w:r>
          </w:p>
        </w:tc>
      </w:tr>
    </w:tbl>
    <w:p w14:paraId="3AADAC7A" w14:textId="77777777" w:rsidR="00A71EEF" w:rsidRDefault="00A71EEF">
      <w:pPr>
        <w:jc w:val="right"/>
        <w:rPr>
          <w:sz w:val="21"/>
        </w:rPr>
        <w:sectPr w:rsidR="00A71EEF">
          <w:pgSz w:w="11910" w:h="16850"/>
          <w:pgMar w:top="1080" w:right="0" w:bottom="1340" w:left="1260" w:header="0" w:footer="1159" w:gutter="0"/>
          <w:cols w:space="720"/>
        </w:sectPr>
      </w:pPr>
    </w:p>
    <w:tbl>
      <w:tblPr>
        <w:tblStyle w:val="TableNormal"/>
        <w:tblW w:w="0" w:type="auto"/>
        <w:tblInd w:w="5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70"/>
        <w:gridCol w:w="2610"/>
        <w:gridCol w:w="2377"/>
        <w:gridCol w:w="1547"/>
        <w:gridCol w:w="925"/>
      </w:tblGrid>
      <w:tr w:rsidR="00A71EEF" w14:paraId="4781C7AB" w14:textId="77777777">
        <w:trPr>
          <w:trHeight w:val="499"/>
        </w:trPr>
        <w:tc>
          <w:tcPr>
            <w:tcW w:w="970" w:type="dxa"/>
          </w:tcPr>
          <w:p w14:paraId="33BE85F5" w14:textId="77777777" w:rsidR="00A71EEF" w:rsidRDefault="00A71EEF">
            <w:pPr>
              <w:pStyle w:val="TableParagraph"/>
              <w:spacing w:before="7"/>
              <w:rPr>
                <w:sz w:val="14"/>
              </w:rPr>
            </w:pPr>
          </w:p>
          <w:p w14:paraId="2F25E657" w14:textId="77777777" w:rsidR="00A71EEF" w:rsidRDefault="0081115D">
            <w:pPr>
              <w:pStyle w:val="TableParagraph"/>
              <w:spacing w:before="1"/>
              <w:ind w:right="46"/>
              <w:jc w:val="right"/>
              <w:rPr>
                <w:sz w:val="21"/>
              </w:rPr>
            </w:pPr>
            <w:r>
              <w:rPr>
                <w:sz w:val="21"/>
              </w:rPr>
              <w:t xml:space="preserve">38 </w:t>
            </w:r>
          </w:p>
        </w:tc>
        <w:tc>
          <w:tcPr>
            <w:tcW w:w="2610" w:type="dxa"/>
          </w:tcPr>
          <w:p w14:paraId="5C026561" w14:textId="77777777" w:rsidR="00A71EEF" w:rsidRDefault="00A71EEF">
            <w:pPr>
              <w:pStyle w:val="TableParagraph"/>
              <w:spacing w:before="7"/>
              <w:rPr>
                <w:sz w:val="14"/>
              </w:rPr>
            </w:pPr>
          </w:p>
          <w:p w14:paraId="62F828E8" w14:textId="77777777" w:rsidR="00A71EEF" w:rsidRDefault="0081115D">
            <w:pPr>
              <w:pStyle w:val="TableParagraph"/>
              <w:spacing w:before="1"/>
              <w:ind w:right="658"/>
              <w:jc w:val="right"/>
              <w:rPr>
                <w:sz w:val="21"/>
              </w:rPr>
            </w:pPr>
            <w:r>
              <w:rPr>
                <w:sz w:val="21"/>
              </w:rPr>
              <w:t>可靠性</w:t>
            </w:r>
            <w:r>
              <w:rPr>
                <w:sz w:val="21"/>
              </w:rPr>
              <w:t xml:space="preserve"> </w:t>
            </w:r>
          </w:p>
        </w:tc>
        <w:tc>
          <w:tcPr>
            <w:tcW w:w="2377" w:type="dxa"/>
          </w:tcPr>
          <w:p w14:paraId="654630FC" w14:textId="77777777" w:rsidR="00A71EEF" w:rsidRDefault="00A71EEF">
            <w:pPr>
              <w:pStyle w:val="TableParagraph"/>
              <w:spacing w:before="7"/>
              <w:rPr>
                <w:sz w:val="14"/>
              </w:rPr>
            </w:pPr>
          </w:p>
          <w:p w14:paraId="50D2122E" w14:textId="77777777" w:rsidR="00A71EEF" w:rsidRDefault="0081115D">
            <w:pPr>
              <w:pStyle w:val="TableParagraph"/>
              <w:spacing w:before="1"/>
              <w:ind w:right="649"/>
              <w:jc w:val="right"/>
              <w:rPr>
                <w:sz w:val="21"/>
              </w:rPr>
            </w:pPr>
            <w:r>
              <w:rPr>
                <w:sz w:val="21"/>
              </w:rPr>
              <w:t xml:space="preserve">5.10 </w:t>
            </w:r>
          </w:p>
        </w:tc>
        <w:tc>
          <w:tcPr>
            <w:tcW w:w="1547" w:type="dxa"/>
          </w:tcPr>
          <w:p w14:paraId="2610585D" w14:textId="77777777" w:rsidR="00A71EEF" w:rsidRDefault="00A71EEF">
            <w:pPr>
              <w:pStyle w:val="TableParagraph"/>
              <w:spacing w:before="7"/>
              <w:rPr>
                <w:sz w:val="14"/>
              </w:rPr>
            </w:pPr>
          </w:p>
          <w:p w14:paraId="5C1A9F9B" w14:textId="77777777" w:rsidR="00A71EEF" w:rsidRDefault="0081115D">
            <w:pPr>
              <w:pStyle w:val="TableParagraph"/>
              <w:spacing w:before="1"/>
              <w:ind w:right="232"/>
              <w:jc w:val="right"/>
              <w:rPr>
                <w:sz w:val="21"/>
              </w:rPr>
            </w:pPr>
            <w:r>
              <w:rPr>
                <w:sz w:val="21"/>
              </w:rPr>
              <w:t xml:space="preserve">6.11 </w:t>
            </w:r>
          </w:p>
        </w:tc>
        <w:tc>
          <w:tcPr>
            <w:tcW w:w="925" w:type="dxa"/>
          </w:tcPr>
          <w:p w14:paraId="0469E384" w14:textId="77777777" w:rsidR="00A71EEF" w:rsidRDefault="00A71EEF">
            <w:pPr>
              <w:pStyle w:val="TableParagraph"/>
              <w:spacing w:before="7"/>
              <w:rPr>
                <w:sz w:val="14"/>
              </w:rPr>
            </w:pPr>
          </w:p>
          <w:p w14:paraId="6D49E923" w14:textId="77777777" w:rsidR="00A71EEF" w:rsidRDefault="0081115D">
            <w:pPr>
              <w:pStyle w:val="TableParagraph"/>
              <w:spacing w:before="1"/>
              <w:ind w:right="80"/>
              <w:jc w:val="right"/>
              <w:rPr>
                <w:sz w:val="21"/>
              </w:rPr>
            </w:pPr>
            <w:r>
              <w:rPr>
                <w:sz w:val="21"/>
              </w:rPr>
              <w:t xml:space="preserve">A </w:t>
            </w:r>
          </w:p>
        </w:tc>
      </w:tr>
      <w:tr w:rsidR="00A71EEF" w14:paraId="7BF1545D" w14:textId="77777777">
        <w:trPr>
          <w:trHeight w:val="500"/>
        </w:trPr>
        <w:tc>
          <w:tcPr>
            <w:tcW w:w="970" w:type="dxa"/>
          </w:tcPr>
          <w:p w14:paraId="58D5D0F3" w14:textId="77777777" w:rsidR="00A71EEF" w:rsidRDefault="00A71EEF">
            <w:pPr>
              <w:pStyle w:val="TableParagraph"/>
              <w:spacing w:before="10"/>
              <w:rPr>
                <w:sz w:val="14"/>
              </w:rPr>
            </w:pPr>
          </w:p>
          <w:p w14:paraId="1DBDCE59" w14:textId="77777777" w:rsidR="00A71EEF" w:rsidRDefault="0081115D">
            <w:pPr>
              <w:pStyle w:val="TableParagraph"/>
              <w:ind w:right="46"/>
              <w:jc w:val="right"/>
              <w:rPr>
                <w:sz w:val="21"/>
              </w:rPr>
            </w:pPr>
            <w:r>
              <w:rPr>
                <w:sz w:val="21"/>
              </w:rPr>
              <w:t xml:space="preserve">39 </w:t>
            </w:r>
          </w:p>
        </w:tc>
        <w:tc>
          <w:tcPr>
            <w:tcW w:w="2610" w:type="dxa"/>
          </w:tcPr>
          <w:p w14:paraId="15A1FE88" w14:textId="77777777" w:rsidR="00A71EEF" w:rsidRDefault="00A71EEF">
            <w:pPr>
              <w:pStyle w:val="TableParagraph"/>
              <w:spacing w:before="10"/>
              <w:rPr>
                <w:sz w:val="14"/>
              </w:rPr>
            </w:pPr>
          </w:p>
          <w:p w14:paraId="02AE64DA" w14:textId="77777777" w:rsidR="00A71EEF" w:rsidRDefault="0081115D">
            <w:pPr>
              <w:pStyle w:val="TableParagraph"/>
              <w:ind w:right="553"/>
              <w:jc w:val="right"/>
              <w:rPr>
                <w:sz w:val="21"/>
              </w:rPr>
            </w:pPr>
            <w:r>
              <w:rPr>
                <w:sz w:val="21"/>
              </w:rPr>
              <w:t>耐火性能</w:t>
            </w:r>
            <w:r>
              <w:rPr>
                <w:sz w:val="21"/>
              </w:rPr>
              <w:t xml:space="preserve"> </w:t>
            </w:r>
          </w:p>
        </w:tc>
        <w:tc>
          <w:tcPr>
            <w:tcW w:w="2377" w:type="dxa"/>
          </w:tcPr>
          <w:p w14:paraId="775FB092" w14:textId="77777777" w:rsidR="00A71EEF" w:rsidRDefault="00A71EEF">
            <w:pPr>
              <w:pStyle w:val="TableParagraph"/>
              <w:spacing w:before="10"/>
              <w:rPr>
                <w:sz w:val="14"/>
              </w:rPr>
            </w:pPr>
          </w:p>
          <w:p w14:paraId="2D05C5C8" w14:textId="77777777" w:rsidR="00A71EEF" w:rsidRDefault="0081115D">
            <w:pPr>
              <w:pStyle w:val="TableParagraph"/>
              <w:ind w:right="649"/>
              <w:jc w:val="right"/>
              <w:rPr>
                <w:sz w:val="21"/>
              </w:rPr>
            </w:pPr>
            <w:r>
              <w:rPr>
                <w:sz w:val="21"/>
              </w:rPr>
              <w:t xml:space="preserve">5.11 </w:t>
            </w:r>
          </w:p>
        </w:tc>
        <w:tc>
          <w:tcPr>
            <w:tcW w:w="1547" w:type="dxa"/>
          </w:tcPr>
          <w:p w14:paraId="5181540F" w14:textId="77777777" w:rsidR="00A71EEF" w:rsidRDefault="00A71EEF">
            <w:pPr>
              <w:pStyle w:val="TableParagraph"/>
              <w:spacing w:before="10"/>
              <w:rPr>
                <w:sz w:val="14"/>
              </w:rPr>
            </w:pPr>
          </w:p>
          <w:p w14:paraId="6982AB73" w14:textId="77777777" w:rsidR="00A71EEF" w:rsidRDefault="0081115D">
            <w:pPr>
              <w:pStyle w:val="TableParagraph"/>
              <w:ind w:right="232"/>
              <w:jc w:val="right"/>
              <w:rPr>
                <w:sz w:val="21"/>
              </w:rPr>
            </w:pPr>
            <w:r>
              <w:rPr>
                <w:sz w:val="21"/>
              </w:rPr>
              <w:t xml:space="preserve">6.12 </w:t>
            </w:r>
          </w:p>
        </w:tc>
        <w:tc>
          <w:tcPr>
            <w:tcW w:w="925" w:type="dxa"/>
          </w:tcPr>
          <w:p w14:paraId="54F8391C" w14:textId="77777777" w:rsidR="00A71EEF" w:rsidRDefault="00A71EEF">
            <w:pPr>
              <w:pStyle w:val="TableParagraph"/>
              <w:spacing w:before="10"/>
              <w:rPr>
                <w:sz w:val="14"/>
              </w:rPr>
            </w:pPr>
          </w:p>
          <w:p w14:paraId="51B3DB4F" w14:textId="77777777" w:rsidR="00A71EEF" w:rsidRDefault="0081115D">
            <w:pPr>
              <w:pStyle w:val="TableParagraph"/>
              <w:ind w:right="80"/>
              <w:jc w:val="right"/>
              <w:rPr>
                <w:sz w:val="21"/>
              </w:rPr>
            </w:pPr>
            <w:r>
              <w:rPr>
                <w:sz w:val="21"/>
              </w:rPr>
              <w:t xml:space="preserve">A </w:t>
            </w:r>
          </w:p>
        </w:tc>
      </w:tr>
    </w:tbl>
    <w:p w14:paraId="743E7ED9" w14:textId="77777777" w:rsidR="00A71EEF" w:rsidRDefault="00A71EEF">
      <w:pPr>
        <w:pStyle w:val="a3"/>
        <w:spacing w:before="1"/>
        <w:rPr>
          <w:sz w:val="7"/>
        </w:rPr>
      </w:pPr>
    </w:p>
    <w:p w14:paraId="1C954FD5" w14:textId="77777777" w:rsidR="00A71EEF" w:rsidRDefault="0081115D">
      <w:pPr>
        <w:spacing w:before="67"/>
        <w:ind w:left="418"/>
        <w:rPr>
          <w:b/>
          <w:sz w:val="24"/>
        </w:rPr>
      </w:pPr>
      <w:r>
        <w:rPr>
          <w:b/>
          <w:sz w:val="24"/>
        </w:rPr>
        <w:t xml:space="preserve">8 </w:t>
      </w:r>
      <w:r>
        <w:rPr>
          <w:b/>
          <w:sz w:val="24"/>
        </w:rPr>
        <w:t>标志、包装、运输和贮存</w:t>
      </w:r>
      <w:r>
        <w:rPr>
          <w:b/>
          <w:w w:val="99"/>
          <w:sz w:val="24"/>
        </w:rPr>
        <w:t xml:space="preserve"> </w:t>
      </w:r>
    </w:p>
    <w:p w14:paraId="272461BE" w14:textId="77777777" w:rsidR="00A71EEF" w:rsidRDefault="00A71EEF">
      <w:pPr>
        <w:pStyle w:val="a3"/>
        <w:spacing w:before="6"/>
        <w:rPr>
          <w:b/>
          <w:sz w:val="17"/>
        </w:rPr>
      </w:pPr>
    </w:p>
    <w:p w14:paraId="39C674D0" w14:textId="77777777" w:rsidR="00A71EEF" w:rsidRDefault="0081115D">
      <w:pPr>
        <w:pStyle w:val="a4"/>
        <w:numPr>
          <w:ilvl w:val="1"/>
          <w:numId w:val="540"/>
        </w:numPr>
        <w:tabs>
          <w:tab w:val="left" w:pos="1159"/>
        </w:tabs>
        <w:ind w:hanging="319"/>
        <w:rPr>
          <w:b/>
          <w:sz w:val="21"/>
        </w:rPr>
      </w:pPr>
      <w:r>
        <w:rPr>
          <w:spacing w:val="-3"/>
          <w:sz w:val="21"/>
        </w:rPr>
        <w:t>标志</w:t>
      </w:r>
      <w:r>
        <w:rPr>
          <w:b/>
          <w:w w:val="99"/>
          <w:sz w:val="21"/>
        </w:rPr>
        <w:t xml:space="preserve"> </w:t>
      </w:r>
    </w:p>
    <w:p w14:paraId="0D7C31A6" w14:textId="77777777" w:rsidR="00A71EEF" w:rsidRDefault="00A71EEF">
      <w:pPr>
        <w:pStyle w:val="a3"/>
        <w:spacing w:before="12"/>
        <w:rPr>
          <w:b/>
          <w:sz w:val="17"/>
        </w:rPr>
      </w:pPr>
    </w:p>
    <w:p w14:paraId="708957DC" w14:textId="77777777" w:rsidR="00A71EEF" w:rsidRDefault="0081115D">
      <w:pPr>
        <w:pStyle w:val="a4"/>
        <w:numPr>
          <w:ilvl w:val="2"/>
          <w:numId w:val="540"/>
        </w:numPr>
        <w:tabs>
          <w:tab w:val="left" w:pos="1370"/>
        </w:tabs>
        <w:spacing w:line="446" w:lineRule="auto"/>
        <w:ind w:right="2760" w:firstLine="2"/>
        <w:rPr>
          <w:sz w:val="21"/>
        </w:rPr>
      </w:pPr>
      <w:r>
        <w:rPr>
          <w:spacing w:val="-3"/>
          <w:sz w:val="21"/>
        </w:rPr>
        <w:t>每樘防火门都应在明显位置固有永久性标牌，标牌应包括以下内容：</w:t>
      </w:r>
      <w:r>
        <w:rPr>
          <w:spacing w:val="-3"/>
          <w:sz w:val="21"/>
        </w:rPr>
        <w:t xml:space="preserve"> a</w:t>
      </w:r>
      <w:r>
        <w:rPr>
          <w:spacing w:val="-3"/>
          <w:sz w:val="21"/>
        </w:rPr>
        <w:t>）产品名称、型号规格及商标（</w:t>
      </w:r>
      <w:r>
        <w:rPr>
          <w:spacing w:val="-2"/>
          <w:sz w:val="21"/>
        </w:rPr>
        <w:t>若有</w:t>
      </w:r>
      <w:r>
        <w:rPr>
          <w:sz w:val="21"/>
        </w:rPr>
        <w:t>）；</w:t>
      </w:r>
      <w:r>
        <w:rPr>
          <w:sz w:val="21"/>
        </w:rPr>
        <w:t xml:space="preserve"> </w:t>
      </w:r>
    </w:p>
    <w:p w14:paraId="5FFC99B7" w14:textId="77777777" w:rsidR="00A71EEF" w:rsidRDefault="0081115D">
      <w:pPr>
        <w:pStyle w:val="a3"/>
        <w:spacing w:line="446" w:lineRule="auto"/>
        <w:ind w:left="838" w:right="6372"/>
      </w:pPr>
      <w:r>
        <w:t>b</w:t>
      </w:r>
      <w:r>
        <w:t>）</w:t>
      </w:r>
      <w:r>
        <w:rPr>
          <w:spacing w:val="-3"/>
        </w:rPr>
        <w:t>制造厂名称或制造厂标记和厂址；</w:t>
      </w:r>
      <w:r>
        <w:rPr>
          <w:spacing w:val="-3"/>
        </w:rPr>
        <w:t xml:space="preserve"> </w:t>
      </w:r>
      <w:r>
        <w:t>c</w:t>
      </w:r>
      <w:r>
        <w:t>）</w:t>
      </w:r>
      <w:r>
        <w:rPr>
          <w:spacing w:val="-3"/>
        </w:rPr>
        <w:t>出厂日期及产品生产批号；</w:t>
      </w:r>
      <w:r>
        <w:rPr>
          <w:spacing w:val="-3"/>
        </w:rPr>
        <w:t xml:space="preserve">     </w:t>
      </w:r>
      <w:r>
        <w:t>d</w:t>
      </w:r>
      <w:r>
        <w:t>）</w:t>
      </w:r>
      <w:r>
        <w:rPr>
          <w:spacing w:val="-3"/>
        </w:rPr>
        <w:t>执行标准；</w:t>
      </w:r>
      <w:r>
        <w:t xml:space="preserve"> </w:t>
      </w:r>
    </w:p>
    <w:p w14:paraId="78A1F8FD" w14:textId="77777777" w:rsidR="00A71EEF" w:rsidRDefault="0081115D">
      <w:pPr>
        <w:pStyle w:val="a4"/>
        <w:numPr>
          <w:ilvl w:val="2"/>
          <w:numId w:val="540"/>
        </w:numPr>
        <w:tabs>
          <w:tab w:val="left" w:pos="1371"/>
        </w:tabs>
        <w:spacing w:line="268" w:lineRule="exact"/>
        <w:ind w:left="1370" w:hanging="531"/>
        <w:rPr>
          <w:b/>
          <w:sz w:val="21"/>
        </w:rPr>
      </w:pPr>
      <w:r>
        <w:rPr>
          <w:spacing w:val="-8"/>
          <w:sz w:val="21"/>
        </w:rPr>
        <w:t>产品标牌的制作应符合</w:t>
      </w:r>
      <w:r>
        <w:rPr>
          <w:spacing w:val="-8"/>
          <w:sz w:val="21"/>
        </w:rPr>
        <w:t xml:space="preserve"> </w:t>
      </w:r>
      <w:r>
        <w:rPr>
          <w:sz w:val="21"/>
        </w:rPr>
        <w:t>GB/T</w:t>
      </w:r>
      <w:r>
        <w:rPr>
          <w:spacing w:val="-2"/>
          <w:sz w:val="21"/>
        </w:rPr>
        <w:t xml:space="preserve"> </w:t>
      </w:r>
      <w:r>
        <w:rPr>
          <w:sz w:val="21"/>
        </w:rPr>
        <w:t>13306</w:t>
      </w:r>
      <w:r>
        <w:rPr>
          <w:spacing w:val="-13"/>
          <w:sz w:val="21"/>
        </w:rPr>
        <w:t xml:space="preserve"> </w:t>
      </w:r>
      <w:r>
        <w:rPr>
          <w:spacing w:val="-13"/>
          <w:sz w:val="21"/>
        </w:rPr>
        <w:t>的规定。</w:t>
      </w:r>
      <w:r>
        <w:rPr>
          <w:b/>
          <w:w w:val="99"/>
          <w:sz w:val="21"/>
        </w:rPr>
        <w:t xml:space="preserve"> </w:t>
      </w:r>
    </w:p>
    <w:p w14:paraId="78D9F73F" w14:textId="77777777" w:rsidR="00A71EEF" w:rsidRDefault="00A71EEF">
      <w:pPr>
        <w:pStyle w:val="a3"/>
        <w:spacing w:before="12"/>
        <w:rPr>
          <w:b/>
          <w:sz w:val="17"/>
        </w:rPr>
      </w:pPr>
    </w:p>
    <w:p w14:paraId="5CEF171C" w14:textId="77777777" w:rsidR="00A71EEF" w:rsidRDefault="0081115D">
      <w:pPr>
        <w:pStyle w:val="a4"/>
        <w:numPr>
          <w:ilvl w:val="1"/>
          <w:numId w:val="540"/>
        </w:numPr>
        <w:tabs>
          <w:tab w:val="left" w:pos="1160"/>
        </w:tabs>
        <w:ind w:left="1159" w:hanging="320"/>
        <w:rPr>
          <w:sz w:val="21"/>
        </w:rPr>
      </w:pPr>
      <w:r>
        <w:rPr>
          <w:spacing w:val="-3"/>
          <w:sz w:val="21"/>
        </w:rPr>
        <w:t>包装、运输和使用说明书</w:t>
      </w:r>
      <w:r>
        <w:rPr>
          <w:sz w:val="21"/>
        </w:rPr>
        <w:t xml:space="preserve"> </w:t>
      </w:r>
    </w:p>
    <w:p w14:paraId="5B566450" w14:textId="77777777" w:rsidR="00A71EEF" w:rsidRDefault="00A71EEF">
      <w:pPr>
        <w:pStyle w:val="a3"/>
        <w:rPr>
          <w:sz w:val="18"/>
        </w:rPr>
      </w:pPr>
    </w:p>
    <w:p w14:paraId="1C53346B" w14:textId="77777777" w:rsidR="00A71EEF" w:rsidRDefault="0081115D">
      <w:pPr>
        <w:pStyle w:val="a3"/>
        <w:ind w:left="838"/>
      </w:pPr>
      <w:r>
        <w:t>产品及其五金配件的包装应安全、可靠，并便于装卸、运输和贮存。包装、运输应符合</w:t>
      </w:r>
    </w:p>
    <w:p w14:paraId="3F0EC12A" w14:textId="77777777" w:rsidR="00A71EEF" w:rsidRDefault="00A71EEF">
      <w:pPr>
        <w:pStyle w:val="a3"/>
        <w:spacing w:before="2"/>
        <w:rPr>
          <w:sz w:val="18"/>
        </w:rPr>
      </w:pPr>
    </w:p>
    <w:p w14:paraId="34154F5C" w14:textId="77777777" w:rsidR="00A71EEF" w:rsidRDefault="0081115D">
      <w:pPr>
        <w:pStyle w:val="a3"/>
        <w:ind w:left="418"/>
      </w:pPr>
      <w:r>
        <w:t xml:space="preserve">GB/T 6388 </w:t>
      </w:r>
      <w:r>
        <w:t>的规定。</w:t>
      </w:r>
      <w:r>
        <w:t xml:space="preserve"> </w:t>
      </w:r>
    </w:p>
    <w:p w14:paraId="309253DD" w14:textId="77777777" w:rsidR="00A71EEF" w:rsidRDefault="00A71EEF">
      <w:pPr>
        <w:pStyle w:val="a3"/>
        <w:rPr>
          <w:sz w:val="18"/>
        </w:rPr>
      </w:pPr>
    </w:p>
    <w:p w14:paraId="78A81E26" w14:textId="77777777" w:rsidR="00A71EEF" w:rsidRDefault="0081115D">
      <w:pPr>
        <w:pStyle w:val="a3"/>
        <w:ind w:left="838"/>
      </w:pPr>
      <w:r>
        <w:t>随产品应提供如下文字资料：</w:t>
      </w:r>
      <w:r>
        <w:t xml:space="preserve"> </w:t>
      </w:r>
    </w:p>
    <w:p w14:paraId="649981FA" w14:textId="77777777" w:rsidR="00A71EEF" w:rsidRDefault="00A71EEF">
      <w:pPr>
        <w:pStyle w:val="a3"/>
        <w:spacing w:before="12"/>
        <w:rPr>
          <w:sz w:val="17"/>
        </w:rPr>
      </w:pPr>
    </w:p>
    <w:p w14:paraId="701C3C7E" w14:textId="77777777" w:rsidR="00A71EEF" w:rsidRDefault="0081115D">
      <w:pPr>
        <w:pStyle w:val="a3"/>
        <w:spacing w:line="446" w:lineRule="auto"/>
        <w:ind w:left="838" w:right="4857"/>
        <w:rPr>
          <w:b/>
        </w:rPr>
      </w:pPr>
      <w:r>
        <w:t>a</w:t>
      </w:r>
      <w:r>
        <w:t>）产品合格证，其表述应符合</w:t>
      </w:r>
      <w:r>
        <w:t xml:space="preserve"> GB/T 14436 </w:t>
      </w:r>
      <w:r>
        <w:t>的规定；</w:t>
      </w:r>
      <w:r>
        <w:t xml:space="preserve"> b</w:t>
      </w:r>
      <w:r>
        <w:t>）产品说明书，其表述应符合</w:t>
      </w:r>
      <w:r>
        <w:t xml:space="preserve"> GB 9968.1 </w:t>
      </w:r>
      <w:r>
        <w:t>的规定；</w:t>
      </w:r>
      <w:r>
        <w:t xml:space="preserve"> c</w:t>
      </w:r>
      <w:r>
        <w:t>）装箱单；</w:t>
      </w:r>
      <w:r>
        <w:rPr>
          <w:b/>
          <w:w w:val="99"/>
        </w:rPr>
        <w:t xml:space="preserve"> </w:t>
      </w:r>
    </w:p>
    <w:p w14:paraId="0649A477" w14:textId="77777777" w:rsidR="00A71EEF" w:rsidRDefault="0081115D">
      <w:pPr>
        <w:pStyle w:val="a4"/>
        <w:numPr>
          <w:ilvl w:val="0"/>
          <w:numId w:val="539"/>
        </w:numPr>
        <w:tabs>
          <w:tab w:val="left" w:pos="1156"/>
        </w:tabs>
        <w:spacing w:line="268" w:lineRule="exact"/>
        <w:rPr>
          <w:b/>
          <w:sz w:val="21"/>
        </w:rPr>
      </w:pPr>
      <w:r>
        <w:rPr>
          <w:spacing w:val="-3"/>
          <w:sz w:val="21"/>
        </w:rPr>
        <w:t>产品安装图；</w:t>
      </w:r>
      <w:r>
        <w:rPr>
          <w:b/>
          <w:w w:val="99"/>
          <w:sz w:val="21"/>
        </w:rPr>
        <w:t xml:space="preserve"> </w:t>
      </w:r>
    </w:p>
    <w:p w14:paraId="523711EA" w14:textId="77777777" w:rsidR="00A71EEF" w:rsidRDefault="00A71EEF">
      <w:pPr>
        <w:pStyle w:val="a3"/>
        <w:spacing w:before="2"/>
        <w:rPr>
          <w:b/>
          <w:sz w:val="18"/>
        </w:rPr>
      </w:pPr>
    </w:p>
    <w:p w14:paraId="25B7300D" w14:textId="77777777" w:rsidR="00A71EEF" w:rsidRDefault="0081115D">
      <w:pPr>
        <w:pStyle w:val="a4"/>
        <w:numPr>
          <w:ilvl w:val="0"/>
          <w:numId w:val="539"/>
        </w:numPr>
        <w:tabs>
          <w:tab w:val="left" w:pos="1156"/>
        </w:tabs>
        <w:rPr>
          <w:b/>
          <w:sz w:val="21"/>
        </w:rPr>
      </w:pPr>
      <w:r>
        <w:rPr>
          <w:spacing w:val="-3"/>
          <w:sz w:val="21"/>
        </w:rPr>
        <w:t>防火五金配件及附件清单。</w:t>
      </w:r>
      <w:r>
        <w:rPr>
          <w:b/>
          <w:w w:val="99"/>
          <w:sz w:val="21"/>
        </w:rPr>
        <w:t xml:space="preserve"> </w:t>
      </w:r>
    </w:p>
    <w:p w14:paraId="7FBB27BA" w14:textId="77777777" w:rsidR="00A71EEF" w:rsidRDefault="00A71EEF">
      <w:pPr>
        <w:pStyle w:val="a3"/>
        <w:rPr>
          <w:b/>
          <w:sz w:val="18"/>
        </w:rPr>
      </w:pPr>
    </w:p>
    <w:p w14:paraId="49F015F0" w14:textId="77777777" w:rsidR="00A71EEF" w:rsidRDefault="0081115D">
      <w:pPr>
        <w:pStyle w:val="a3"/>
        <w:ind w:left="838"/>
      </w:pPr>
      <w:r>
        <w:t>应把上述资料装入防水袋中。</w:t>
      </w:r>
      <w:r>
        <w:t xml:space="preserve"> </w:t>
      </w:r>
    </w:p>
    <w:p w14:paraId="1A866C56" w14:textId="77777777" w:rsidR="00A71EEF" w:rsidRDefault="00A71EEF">
      <w:pPr>
        <w:pStyle w:val="a3"/>
        <w:spacing w:before="12"/>
        <w:rPr>
          <w:sz w:val="17"/>
        </w:rPr>
      </w:pPr>
    </w:p>
    <w:p w14:paraId="31F6D20B" w14:textId="77777777" w:rsidR="00A71EEF" w:rsidRDefault="0081115D">
      <w:pPr>
        <w:pStyle w:val="a3"/>
        <w:spacing w:line="446" w:lineRule="auto"/>
        <w:ind w:left="418" w:right="1609" w:firstLine="419"/>
      </w:pPr>
      <w:r>
        <w:t>产品在运输过程中应避免因行车时碰撞损坏包装，装卸时轻抬轻放，严格避免磕、摔、撬等行为，防止机械变形损坏产品，影响安装使用。</w:t>
      </w:r>
      <w:r>
        <w:t xml:space="preserve"> </w:t>
      </w:r>
    </w:p>
    <w:p w14:paraId="64E4CFAD" w14:textId="77777777" w:rsidR="00A71EEF" w:rsidRDefault="0081115D">
      <w:pPr>
        <w:pStyle w:val="a4"/>
        <w:numPr>
          <w:ilvl w:val="1"/>
          <w:numId w:val="540"/>
        </w:numPr>
        <w:tabs>
          <w:tab w:val="left" w:pos="1160"/>
        </w:tabs>
        <w:ind w:left="1159" w:hanging="320"/>
        <w:rPr>
          <w:sz w:val="21"/>
        </w:rPr>
      </w:pPr>
      <w:r>
        <w:rPr>
          <w:spacing w:val="-3"/>
          <w:sz w:val="21"/>
        </w:rPr>
        <w:t>贮存</w:t>
      </w:r>
      <w:r>
        <w:rPr>
          <w:sz w:val="21"/>
        </w:rPr>
        <w:t xml:space="preserve"> </w:t>
      </w:r>
    </w:p>
    <w:p w14:paraId="39001E54" w14:textId="77777777" w:rsidR="00A71EEF" w:rsidRDefault="00A71EEF">
      <w:pPr>
        <w:pStyle w:val="a3"/>
        <w:rPr>
          <w:sz w:val="18"/>
        </w:rPr>
      </w:pPr>
    </w:p>
    <w:p w14:paraId="5498475E" w14:textId="77777777" w:rsidR="00A71EEF" w:rsidRDefault="0081115D">
      <w:pPr>
        <w:pStyle w:val="a3"/>
        <w:spacing w:line="446" w:lineRule="auto"/>
        <w:ind w:left="418" w:right="1450" w:firstLine="419"/>
      </w:pPr>
      <w:r>
        <w:rPr>
          <w:spacing w:val="-3"/>
        </w:rPr>
        <w:t>产品应贮存在通风、干燥处，要避免和有腐蚀的物质及气体接触，并要采取防潮、防雨、</w:t>
      </w:r>
      <w:r>
        <w:rPr>
          <w:spacing w:val="-3"/>
        </w:rPr>
        <w:t xml:space="preserve"> </w:t>
      </w:r>
      <w:r>
        <w:rPr>
          <w:spacing w:val="-5"/>
        </w:rPr>
        <w:t>防晒、防腐等措施。产品平放时底部须垫平，门框堆码高度不得超过</w:t>
      </w:r>
      <w:r>
        <w:rPr>
          <w:spacing w:val="-5"/>
        </w:rPr>
        <w:t xml:space="preserve"> </w:t>
      </w:r>
      <w:r>
        <w:t>1.5</w:t>
      </w:r>
      <w:r>
        <w:rPr>
          <w:spacing w:val="27"/>
        </w:rPr>
        <w:t xml:space="preserve"> </w:t>
      </w:r>
      <w:r>
        <w:t>m</w:t>
      </w:r>
      <w:r>
        <w:rPr>
          <w:spacing w:val="-3"/>
        </w:rPr>
        <w:t>，门扇堆放高度不超</w:t>
      </w:r>
      <w:r>
        <w:rPr>
          <w:spacing w:val="-28"/>
        </w:rPr>
        <w:t>过</w:t>
      </w:r>
      <w:r>
        <w:rPr>
          <w:spacing w:val="-28"/>
        </w:rPr>
        <w:t xml:space="preserve"> </w:t>
      </w:r>
      <w:r>
        <w:t>1.2</w:t>
      </w:r>
      <w:r>
        <w:rPr>
          <w:spacing w:val="1"/>
        </w:rPr>
        <w:t xml:space="preserve"> </w:t>
      </w:r>
      <w:r>
        <w:t>m</w:t>
      </w:r>
      <w:r>
        <w:rPr>
          <w:spacing w:val="-6"/>
        </w:rPr>
        <w:t>，产品竖放时，其倾斜角度不得大于</w:t>
      </w:r>
      <w:r>
        <w:rPr>
          <w:spacing w:val="-6"/>
        </w:rPr>
        <w:t xml:space="preserve"> </w:t>
      </w:r>
      <w:r>
        <w:t>20°</w:t>
      </w:r>
      <w:r>
        <w:t>。</w:t>
      </w:r>
      <w:r>
        <w:t xml:space="preserve"> </w:t>
      </w:r>
    </w:p>
    <w:p w14:paraId="70F6CC98" w14:textId="77777777" w:rsidR="00A71EEF" w:rsidRDefault="00A71EEF">
      <w:pPr>
        <w:spacing w:line="446" w:lineRule="auto"/>
        <w:sectPr w:rsidR="00A71EEF">
          <w:footerReference w:type="default" r:id="rId268"/>
          <w:pgSz w:w="11910" w:h="16850"/>
          <w:pgMar w:top="1080" w:right="0" w:bottom="1340" w:left="1260" w:header="0" w:footer="1159" w:gutter="0"/>
          <w:pgNumType w:start="1170"/>
          <w:cols w:space="720"/>
        </w:sectPr>
      </w:pPr>
    </w:p>
    <w:p w14:paraId="4713CF31" w14:textId="77777777" w:rsidR="00A71EEF" w:rsidRDefault="0081115D">
      <w:pPr>
        <w:pStyle w:val="2"/>
        <w:ind w:right="868"/>
      </w:pPr>
      <w:bookmarkStart w:id="17" w:name="_bookmark17"/>
      <w:bookmarkEnd w:id="17"/>
      <w:r>
        <w:t>防火窗</w:t>
      </w:r>
      <w:r>
        <w:rPr>
          <w:w w:val="99"/>
        </w:rPr>
        <w:t xml:space="preserve"> </w:t>
      </w:r>
    </w:p>
    <w:p w14:paraId="5E005AE6" w14:textId="77777777" w:rsidR="00A71EEF" w:rsidRDefault="00A71EEF">
      <w:pPr>
        <w:pStyle w:val="a3"/>
        <w:rPr>
          <w:b/>
          <w:sz w:val="20"/>
        </w:rPr>
      </w:pPr>
    </w:p>
    <w:p w14:paraId="4EAC0A10" w14:textId="77777777" w:rsidR="00A71EEF" w:rsidRDefault="00A71EEF">
      <w:pPr>
        <w:pStyle w:val="a3"/>
        <w:spacing w:before="5"/>
        <w:rPr>
          <w:b/>
          <w:sz w:val="14"/>
        </w:rPr>
      </w:pPr>
    </w:p>
    <w:p w14:paraId="390ADFDB" w14:textId="77777777" w:rsidR="00A71EEF" w:rsidRDefault="0081115D">
      <w:pPr>
        <w:pStyle w:val="4"/>
        <w:spacing w:before="66"/>
      </w:pPr>
      <w:r>
        <w:t xml:space="preserve">1 </w:t>
      </w:r>
      <w:r>
        <w:t>范围</w:t>
      </w:r>
      <w:r>
        <w:rPr>
          <w:w w:val="99"/>
        </w:rPr>
        <w:t xml:space="preserve"> </w:t>
      </w:r>
    </w:p>
    <w:p w14:paraId="713A9871" w14:textId="77777777" w:rsidR="00A71EEF" w:rsidRDefault="00A71EEF">
      <w:pPr>
        <w:pStyle w:val="a3"/>
        <w:spacing w:before="4"/>
        <w:rPr>
          <w:b/>
          <w:sz w:val="17"/>
        </w:rPr>
      </w:pPr>
    </w:p>
    <w:p w14:paraId="6FF7169E" w14:textId="77777777" w:rsidR="00A71EEF" w:rsidRDefault="0081115D">
      <w:pPr>
        <w:pStyle w:val="a3"/>
        <w:spacing w:line="446" w:lineRule="auto"/>
        <w:ind w:left="418" w:right="1817" w:firstLine="419"/>
      </w:pPr>
      <w:r>
        <w:t>本标准规定了防火窗的产品命名、分类与代号、规格与型号、要求、试验方法、检验规则、标志、包装、运输和贮存等。</w:t>
      </w:r>
      <w:r>
        <w:t xml:space="preserve"> </w:t>
      </w:r>
    </w:p>
    <w:p w14:paraId="752B9711" w14:textId="77777777" w:rsidR="00A71EEF" w:rsidRDefault="0081115D">
      <w:pPr>
        <w:pStyle w:val="a3"/>
        <w:spacing w:line="446" w:lineRule="auto"/>
        <w:ind w:left="418" w:right="1609" w:firstLine="419"/>
      </w:pPr>
      <w:r>
        <w:t>本标准适用于建筑中具有采光功能的钢质防火窗、木质防火窗和钢木复合防火窗，建筑用其他防火窗可参照执行。</w:t>
      </w:r>
      <w:r>
        <w:t xml:space="preserve"> </w:t>
      </w:r>
    </w:p>
    <w:p w14:paraId="244F6821" w14:textId="77777777" w:rsidR="00A71EEF" w:rsidRDefault="0081115D">
      <w:pPr>
        <w:pStyle w:val="4"/>
        <w:spacing w:line="276" w:lineRule="exact"/>
      </w:pPr>
      <w:r>
        <w:t xml:space="preserve">2 </w:t>
      </w:r>
      <w:r>
        <w:t>规范性引用文件</w:t>
      </w:r>
      <w:r>
        <w:rPr>
          <w:w w:val="99"/>
        </w:rPr>
        <w:t xml:space="preserve"> </w:t>
      </w:r>
    </w:p>
    <w:p w14:paraId="155A84B2" w14:textId="77777777" w:rsidR="00A71EEF" w:rsidRDefault="00A71EEF">
      <w:pPr>
        <w:pStyle w:val="a3"/>
        <w:spacing w:before="6"/>
        <w:rPr>
          <w:b/>
          <w:sz w:val="17"/>
        </w:rPr>
      </w:pPr>
    </w:p>
    <w:p w14:paraId="4CA157D0" w14:textId="77777777" w:rsidR="00A71EEF" w:rsidRDefault="0081115D">
      <w:pPr>
        <w:pStyle w:val="a3"/>
        <w:spacing w:line="446" w:lineRule="auto"/>
        <w:ind w:left="418" w:right="1608" w:firstLine="419"/>
        <w:jc w:val="both"/>
      </w:pPr>
      <w:r>
        <w:t>下列文件中的条款通过本标准的引用而成为本标准的条款。凡是注日期的引用文件，其随后所有的修改单（不包括勘误的内容）或修订版均不适用于本标准，然而，鼓励根据本标准达成协议的各方研究是否可使用这些文件的最新版本。凡是不注日期的引用文件，其最新版本适用于本标准。</w:t>
      </w:r>
      <w:r>
        <w:t xml:space="preserve"> </w:t>
      </w:r>
    </w:p>
    <w:p w14:paraId="64B29469" w14:textId="77777777" w:rsidR="00A71EEF" w:rsidRDefault="0081115D">
      <w:pPr>
        <w:pStyle w:val="a3"/>
        <w:spacing w:line="266" w:lineRule="exact"/>
        <w:ind w:left="838"/>
      </w:pPr>
      <w:r>
        <w:t>GB/T 582</w:t>
      </w:r>
      <w:r>
        <w:t xml:space="preserve">3-1986 </w:t>
      </w:r>
      <w:r>
        <w:t>建筑门窗术语</w:t>
      </w:r>
      <w:r>
        <w:t xml:space="preserve"> </w:t>
      </w:r>
    </w:p>
    <w:p w14:paraId="31F475C8" w14:textId="77777777" w:rsidR="00A71EEF" w:rsidRDefault="00A71EEF">
      <w:pPr>
        <w:pStyle w:val="a3"/>
        <w:rPr>
          <w:sz w:val="18"/>
        </w:rPr>
      </w:pPr>
    </w:p>
    <w:p w14:paraId="0A575A3E" w14:textId="77777777" w:rsidR="00A71EEF" w:rsidRDefault="0081115D">
      <w:pPr>
        <w:pStyle w:val="a3"/>
        <w:ind w:left="838"/>
      </w:pPr>
      <w:r>
        <w:t xml:space="preserve">GB/T 5824-1986 </w:t>
      </w:r>
      <w:r>
        <w:t>建筑门窗洞口尺寸系列</w:t>
      </w:r>
      <w:r>
        <w:t xml:space="preserve"> </w:t>
      </w:r>
    </w:p>
    <w:p w14:paraId="542DB52B" w14:textId="77777777" w:rsidR="00A71EEF" w:rsidRDefault="00A71EEF">
      <w:pPr>
        <w:pStyle w:val="a3"/>
        <w:spacing w:before="2"/>
        <w:rPr>
          <w:sz w:val="18"/>
        </w:rPr>
      </w:pPr>
    </w:p>
    <w:p w14:paraId="788C18BF" w14:textId="77777777" w:rsidR="00A71EEF" w:rsidRDefault="0081115D">
      <w:pPr>
        <w:pStyle w:val="a3"/>
        <w:spacing w:line="446" w:lineRule="auto"/>
        <w:ind w:left="838" w:right="4763"/>
      </w:pPr>
      <w:r>
        <w:t xml:space="preserve">GB/T 7106-2002 </w:t>
      </w:r>
      <w:r>
        <w:t>建筑外窗抗风压性能分级及检测方法</w:t>
      </w:r>
      <w:r>
        <w:t xml:space="preserve">GB/T 7107-2002 </w:t>
      </w:r>
      <w:r>
        <w:t>建筑外窗气密性能分级及检测方法</w:t>
      </w:r>
      <w:r>
        <w:t xml:space="preserve"> </w:t>
      </w:r>
    </w:p>
    <w:p w14:paraId="319E4755" w14:textId="77777777" w:rsidR="00A71EEF" w:rsidRDefault="0081115D">
      <w:pPr>
        <w:pStyle w:val="a3"/>
        <w:spacing w:line="446" w:lineRule="auto"/>
        <w:ind w:left="418" w:right="1716" w:firstLine="419"/>
      </w:pPr>
      <w:r>
        <w:t xml:space="preserve">GB/T 12513 </w:t>
      </w:r>
      <w:r>
        <w:t>镶玻璃构件耐火试验方法（</w:t>
      </w:r>
      <w:r>
        <w:t>GB/T 12513-2006</w:t>
      </w:r>
      <w:r>
        <w:t>，</w:t>
      </w:r>
      <w:r>
        <w:t>ISO 3009</w:t>
      </w:r>
      <w:r>
        <w:t>︰</w:t>
      </w:r>
      <w:r>
        <w:t>2003</w:t>
      </w:r>
      <w:r>
        <w:t>，</w:t>
      </w:r>
      <w:r>
        <w:t>Fire resistance tests–Elements of building construction – Glazed elements</w:t>
      </w:r>
      <w:r>
        <w:t>，</w:t>
      </w:r>
      <w:r>
        <w:t>MOD</w:t>
      </w:r>
      <w:r>
        <w:t>）</w:t>
      </w:r>
      <w:r>
        <w:t xml:space="preserve"> </w:t>
      </w:r>
    </w:p>
    <w:p w14:paraId="202349BE" w14:textId="77777777" w:rsidR="00A71EEF" w:rsidRDefault="0081115D">
      <w:pPr>
        <w:pStyle w:val="a3"/>
        <w:ind w:left="838"/>
      </w:pPr>
      <w:r>
        <w:t xml:space="preserve">GB 15763.1-2001 </w:t>
      </w:r>
      <w:r>
        <w:t>建筑用安全玻璃</w:t>
      </w:r>
      <w:r>
        <w:t xml:space="preserve"> </w:t>
      </w:r>
      <w:r>
        <w:t>防火玻璃</w:t>
      </w:r>
      <w:r>
        <w:t xml:space="preserve"> </w:t>
      </w:r>
    </w:p>
    <w:p w14:paraId="04D0CAE7" w14:textId="77777777" w:rsidR="00A71EEF" w:rsidRDefault="00A71EEF">
      <w:pPr>
        <w:pStyle w:val="a3"/>
        <w:spacing w:before="5"/>
        <w:rPr>
          <w:sz w:val="15"/>
        </w:rPr>
      </w:pPr>
    </w:p>
    <w:p w14:paraId="5904C154" w14:textId="77777777" w:rsidR="00A71EEF" w:rsidRDefault="0081115D">
      <w:pPr>
        <w:pStyle w:val="4"/>
      </w:pPr>
      <w:r>
        <w:t xml:space="preserve">3 </w:t>
      </w:r>
      <w:r>
        <w:t>术语和定义</w:t>
      </w:r>
      <w:r>
        <w:rPr>
          <w:w w:val="99"/>
        </w:rPr>
        <w:t xml:space="preserve"> </w:t>
      </w:r>
    </w:p>
    <w:p w14:paraId="2679A34F" w14:textId="77777777" w:rsidR="00A71EEF" w:rsidRDefault="00A71EEF">
      <w:pPr>
        <w:pStyle w:val="a3"/>
        <w:spacing w:before="7"/>
        <w:rPr>
          <w:b/>
          <w:sz w:val="17"/>
        </w:rPr>
      </w:pPr>
    </w:p>
    <w:p w14:paraId="237AE7D7" w14:textId="77777777" w:rsidR="00A71EEF" w:rsidRDefault="0081115D">
      <w:pPr>
        <w:pStyle w:val="a3"/>
        <w:spacing w:line="446" w:lineRule="auto"/>
        <w:ind w:left="840" w:right="2760" w:hanging="3"/>
        <w:rPr>
          <w:b/>
        </w:rPr>
      </w:pPr>
      <w:r>
        <w:t xml:space="preserve">GB/T 5823-1986 </w:t>
      </w:r>
      <w:r>
        <w:t>和</w:t>
      </w:r>
      <w:r>
        <w:t xml:space="preserve"> GB/T 12513 </w:t>
      </w:r>
      <w:r>
        <w:t>确立的以及下列术语和定义适用于本标准。</w:t>
      </w:r>
      <w:r>
        <w:rPr>
          <w:b/>
        </w:rPr>
        <w:t xml:space="preserve">3.1 </w:t>
      </w:r>
      <w:r>
        <w:t>固定式防火窗</w:t>
      </w:r>
      <w:r>
        <w:rPr>
          <w:b/>
          <w:w w:val="99"/>
        </w:rPr>
        <w:t xml:space="preserve"> </w:t>
      </w:r>
    </w:p>
    <w:p w14:paraId="3D1CEA4A" w14:textId="77777777" w:rsidR="00A71EEF" w:rsidRDefault="0081115D">
      <w:pPr>
        <w:pStyle w:val="a3"/>
        <w:spacing w:line="446" w:lineRule="auto"/>
        <w:ind w:left="838" w:right="5920"/>
      </w:pPr>
      <w:r>
        <w:t>固定式防火窗</w:t>
      </w:r>
      <w:r>
        <w:t xml:space="preserve"> fixed style fire window </w:t>
      </w:r>
      <w:r>
        <w:t>无可开启窗扇的防火窗。</w:t>
      </w:r>
      <w:r>
        <w:t xml:space="preserve"> </w:t>
      </w:r>
    </w:p>
    <w:p w14:paraId="1954E1CA" w14:textId="77777777" w:rsidR="00A71EEF" w:rsidRDefault="0081115D">
      <w:pPr>
        <w:ind w:left="840"/>
        <w:rPr>
          <w:b/>
          <w:sz w:val="21"/>
        </w:rPr>
      </w:pPr>
      <w:r>
        <w:rPr>
          <w:b/>
          <w:sz w:val="21"/>
        </w:rPr>
        <w:t xml:space="preserve">3.2 </w:t>
      </w:r>
      <w:r>
        <w:rPr>
          <w:sz w:val="21"/>
        </w:rPr>
        <w:t>活动式防火窗</w:t>
      </w:r>
      <w:r>
        <w:rPr>
          <w:b/>
          <w:w w:val="99"/>
          <w:sz w:val="21"/>
        </w:rPr>
        <w:t xml:space="preserve"> </w:t>
      </w:r>
    </w:p>
    <w:p w14:paraId="6866D21B" w14:textId="77777777" w:rsidR="00A71EEF" w:rsidRDefault="00A71EEF">
      <w:pPr>
        <w:pStyle w:val="a3"/>
        <w:spacing w:before="10"/>
        <w:rPr>
          <w:b/>
          <w:sz w:val="17"/>
        </w:rPr>
      </w:pPr>
    </w:p>
    <w:p w14:paraId="4B9739D6" w14:textId="77777777" w:rsidR="00A71EEF" w:rsidRDefault="0081115D">
      <w:pPr>
        <w:pStyle w:val="a3"/>
        <w:ind w:left="838"/>
      </w:pPr>
      <w:r>
        <w:t>活动式防火窗</w:t>
      </w:r>
      <w:r>
        <w:t xml:space="preserve"> automatic–closing fire window </w:t>
      </w:r>
    </w:p>
    <w:p w14:paraId="0392B364" w14:textId="77777777" w:rsidR="00A71EEF" w:rsidRDefault="00A71EEF">
      <w:pPr>
        <w:pStyle w:val="a3"/>
        <w:spacing w:before="2"/>
        <w:rPr>
          <w:sz w:val="18"/>
        </w:rPr>
      </w:pPr>
    </w:p>
    <w:p w14:paraId="2DF8C557" w14:textId="77777777" w:rsidR="00A71EEF" w:rsidRDefault="0081115D">
      <w:pPr>
        <w:pStyle w:val="a3"/>
        <w:spacing w:line="446" w:lineRule="auto"/>
        <w:ind w:left="840" w:right="3661" w:hanging="3"/>
        <w:rPr>
          <w:b/>
        </w:rPr>
      </w:pPr>
      <w:r>
        <w:t>有可开启窗扇，且装配有窗扇启闭控制装置（见</w:t>
      </w:r>
      <w:r>
        <w:t xml:space="preserve"> 3.5</w:t>
      </w:r>
      <w:r>
        <w:t>）的防火窗。</w:t>
      </w:r>
      <w:r>
        <w:rPr>
          <w:b/>
        </w:rPr>
        <w:t xml:space="preserve">3.3 </w:t>
      </w:r>
      <w:r>
        <w:t>隔热防火窗（</w:t>
      </w:r>
      <w:r>
        <w:t xml:space="preserve">A </w:t>
      </w:r>
      <w:r>
        <w:t>类）</w:t>
      </w:r>
      <w:r>
        <w:rPr>
          <w:b/>
          <w:w w:val="99"/>
        </w:rPr>
        <w:t xml:space="preserve"> </w:t>
      </w:r>
    </w:p>
    <w:p w14:paraId="3BB7756B" w14:textId="77777777" w:rsidR="00A71EEF" w:rsidRDefault="00A71EEF">
      <w:pPr>
        <w:spacing w:line="446" w:lineRule="auto"/>
        <w:sectPr w:rsidR="00A71EEF">
          <w:pgSz w:w="11910" w:h="16850"/>
          <w:pgMar w:top="1140" w:right="0" w:bottom="1420" w:left="1260" w:header="0" w:footer="1159" w:gutter="0"/>
          <w:cols w:space="720"/>
        </w:sectPr>
      </w:pPr>
    </w:p>
    <w:p w14:paraId="08206969" w14:textId="77777777" w:rsidR="00A71EEF" w:rsidRDefault="0081115D">
      <w:pPr>
        <w:pStyle w:val="a3"/>
        <w:spacing w:before="47"/>
        <w:ind w:left="838"/>
      </w:pPr>
      <w:r>
        <w:t>隔热防火窗（</w:t>
      </w:r>
      <w:r>
        <w:t xml:space="preserve">A </w:t>
      </w:r>
      <w:r>
        <w:t>类）</w:t>
      </w:r>
      <w:r>
        <w:t xml:space="preserve"> insulated fire window </w:t>
      </w:r>
    </w:p>
    <w:p w14:paraId="5E7884F5" w14:textId="77777777" w:rsidR="00A71EEF" w:rsidRDefault="00A71EEF">
      <w:pPr>
        <w:pStyle w:val="a3"/>
        <w:rPr>
          <w:sz w:val="18"/>
        </w:rPr>
      </w:pPr>
    </w:p>
    <w:p w14:paraId="5091A476" w14:textId="77777777" w:rsidR="00A71EEF" w:rsidRDefault="0081115D">
      <w:pPr>
        <w:pStyle w:val="a3"/>
        <w:spacing w:line="446" w:lineRule="auto"/>
        <w:ind w:left="840" w:right="3397" w:hanging="3"/>
        <w:rPr>
          <w:b/>
        </w:rPr>
      </w:pPr>
      <w:r>
        <w:t>在规定时间内，能同时满足耐火隔热性和耐火完整性要求的防火窗。</w:t>
      </w:r>
      <w:r>
        <w:rPr>
          <w:b/>
        </w:rPr>
        <w:t xml:space="preserve">3.4 </w:t>
      </w:r>
      <w:r>
        <w:t>非隔热防火窗（</w:t>
      </w:r>
      <w:r>
        <w:t xml:space="preserve">C </w:t>
      </w:r>
      <w:r>
        <w:t>类）</w:t>
      </w:r>
      <w:r>
        <w:rPr>
          <w:b/>
          <w:w w:val="99"/>
        </w:rPr>
        <w:t xml:space="preserve"> </w:t>
      </w:r>
    </w:p>
    <w:p w14:paraId="7E5F2D90" w14:textId="77777777" w:rsidR="00A71EEF" w:rsidRDefault="0081115D">
      <w:pPr>
        <w:pStyle w:val="a3"/>
        <w:spacing w:line="446" w:lineRule="auto"/>
        <w:ind w:left="838" w:right="4859"/>
        <w:rPr>
          <w:b/>
        </w:rPr>
      </w:pPr>
      <w:r>
        <w:t>非隔热防火窗（</w:t>
      </w:r>
      <w:r>
        <w:t xml:space="preserve">C </w:t>
      </w:r>
      <w:r>
        <w:t>类）</w:t>
      </w:r>
      <w:r>
        <w:t xml:space="preserve"> un–insulated fire window </w:t>
      </w:r>
      <w:r>
        <w:t>在规定时间内，能满足耐火完整性要求的防火窗。</w:t>
      </w:r>
      <w:r>
        <w:rPr>
          <w:b/>
        </w:rPr>
        <w:t xml:space="preserve">3.5 </w:t>
      </w:r>
      <w:r>
        <w:t>窗扇启闭控制装置</w:t>
      </w:r>
      <w:r>
        <w:rPr>
          <w:b/>
          <w:w w:val="99"/>
        </w:rPr>
        <w:t xml:space="preserve"> </w:t>
      </w:r>
    </w:p>
    <w:p w14:paraId="2463E054" w14:textId="77777777" w:rsidR="00A71EEF" w:rsidRDefault="0081115D">
      <w:pPr>
        <w:pStyle w:val="a3"/>
        <w:spacing w:line="268" w:lineRule="exact"/>
        <w:ind w:left="838"/>
      </w:pPr>
      <w:r>
        <w:t>窗扇启闭控制装置</w:t>
      </w:r>
      <w:r>
        <w:t xml:space="preserve"> sash closing equipment </w:t>
      </w:r>
    </w:p>
    <w:p w14:paraId="26A1C977" w14:textId="77777777" w:rsidR="00A71EEF" w:rsidRDefault="00A71EEF">
      <w:pPr>
        <w:pStyle w:val="a3"/>
        <w:rPr>
          <w:sz w:val="18"/>
        </w:rPr>
      </w:pPr>
    </w:p>
    <w:p w14:paraId="27BA90A1" w14:textId="77777777" w:rsidR="00A71EEF" w:rsidRDefault="0081115D">
      <w:pPr>
        <w:pStyle w:val="a3"/>
        <w:spacing w:line="446" w:lineRule="auto"/>
        <w:ind w:left="418" w:right="1609" w:firstLine="419"/>
      </w:pPr>
      <w:r>
        <w:t>活动式防火窗中，控制活动窗扇开启、关闭的装置，该装置具有手动控制启闭窗扇功能，</w:t>
      </w:r>
      <w:r>
        <w:t xml:space="preserve"> </w:t>
      </w:r>
      <w:r>
        <w:t>且至少具有易熔合金件或玻璃球等热敏感元件自动控制关闭窗扇的功能。</w:t>
      </w:r>
      <w:r>
        <w:t xml:space="preserve"> </w:t>
      </w:r>
    </w:p>
    <w:p w14:paraId="3B4B4562" w14:textId="77777777" w:rsidR="00A71EEF" w:rsidRDefault="0081115D">
      <w:pPr>
        <w:pStyle w:val="a3"/>
        <w:spacing w:line="446" w:lineRule="auto"/>
        <w:ind w:left="418" w:right="1609" w:firstLine="419"/>
      </w:pPr>
      <w:r>
        <w:t>注：窗扇的启闭控制方式可以附加有电动控制方式，如：电信号控制电磁铁关闭或开启、电信号控制电机关闭或开启、电信号气动机构关闭或开启等。</w:t>
      </w:r>
      <w:r>
        <w:t xml:space="preserve"> </w:t>
      </w:r>
    </w:p>
    <w:p w14:paraId="51B192B9" w14:textId="77777777" w:rsidR="00A71EEF" w:rsidRDefault="0081115D">
      <w:pPr>
        <w:spacing w:line="267" w:lineRule="exact"/>
        <w:ind w:left="840"/>
        <w:rPr>
          <w:sz w:val="21"/>
        </w:rPr>
      </w:pPr>
      <w:r>
        <w:rPr>
          <w:b/>
          <w:sz w:val="21"/>
        </w:rPr>
        <w:t xml:space="preserve">3.6 </w:t>
      </w:r>
      <w:r>
        <w:rPr>
          <w:sz w:val="21"/>
        </w:rPr>
        <w:t>窗扇自动关闭时间</w:t>
      </w:r>
      <w:r>
        <w:rPr>
          <w:sz w:val="21"/>
        </w:rPr>
        <w:t xml:space="preserve"> </w:t>
      </w:r>
    </w:p>
    <w:p w14:paraId="2456A00C" w14:textId="77777777" w:rsidR="00A71EEF" w:rsidRDefault="00A71EEF">
      <w:pPr>
        <w:pStyle w:val="a3"/>
        <w:spacing w:before="2"/>
        <w:rPr>
          <w:sz w:val="18"/>
        </w:rPr>
      </w:pPr>
    </w:p>
    <w:p w14:paraId="2A46A1DC" w14:textId="77777777" w:rsidR="00A71EEF" w:rsidRDefault="0081115D">
      <w:pPr>
        <w:pStyle w:val="a3"/>
        <w:ind w:left="838"/>
      </w:pPr>
      <w:r>
        <w:t>窗扇自动关闭时间</w:t>
      </w:r>
      <w:r>
        <w:t xml:space="preserve"> automatic-closing time </w:t>
      </w:r>
    </w:p>
    <w:p w14:paraId="72BC42EB" w14:textId="77777777" w:rsidR="00A71EEF" w:rsidRDefault="00A71EEF">
      <w:pPr>
        <w:pStyle w:val="a3"/>
        <w:rPr>
          <w:sz w:val="18"/>
        </w:rPr>
      </w:pPr>
    </w:p>
    <w:p w14:paraId="3B6034F2" w14:textId="77777777" w:rsidR="00A71EEF" w:rsidRDefault="0081115D">
      <w:pPr>
        <w:pStyle w:val="a3"/>
        <w:ind w:left="838"/>
      </w:pPr>
      <w:r>
        <w:t>从活动式防火窗进行耐火性能试验开始计时，至窗扇自动可靠关闭的时间。</w:t>
      </w:r>
      <w:r>
        <w:t xml:space="preserve"> </w:t>
      </w:r>
    </w:p>
    <w:p w14:paraId="74DC0040" w14:textId="77777777" w:rsidR="00A71EEF" w:rsidRDefault="00A71EEF">
      <w:pPr>
        <w:pStyle w:val="a3"/>
        <w:spacing w:before="8"/>
        <w:rPr>
          <w:sz w:val="15"/>
        </w:rPr>
      </w:pPr>
    </w:p>
    <w:p w14:paraId="37029D5F" w14:textId="77777777" w:rsidR="00A71EEF" w:rsidRDefault="0081115D">
      <w:pPr>
        <w:pStyle w:val="4"/>
      </w:pPr>
      <w:r>
        <w:t xml:space="preserve">4 </w:t>
      </w:r>
      <w:r>
        <w:t>产品命名、分类与代号</w:t>
      </w:r>
      <w:r>
        <w:rPr>
          <w:w w:val="99"/>
        </w:rPr>
        <w:t xml:space="preserve"> </w:t>
      </w:r>
    </w:p>
    <w:p w14:paraId="7A5C24BE" w14:textId="77777777" w:rsidR="00A71EEF" w:rsidRDefault="00A71EEF">
      <w:pPr>
        <w:pStyle w:val="a3"/>
        <w:spacing w:before="6"/>
        <w:rPr>
          <w:b/>
          <w:sz w:val="17"/>
        </w:rPr>
      </w:pPr>
    </w:p>
    <w:p w14:paraId="3BFA880E" w14:textId="77777777" w:rsidR="00A71EEF" w:rsidRDefault="0081115D">
      <w:pPr>
        <w:pStyle w:val="a4"/>
        <w:numPr>
          <w:ilvl w:val="1"/>
          <w:numId w:val="538"/>
        </w:numPr>
        <w:tabs>
          <w:tab w:val="left" w:pos="1159"/>
        </w:tabs>
        <w:ind w:hanging="319"/>
        <w:rPr>
          <w:b/>
          <w:sz w:val="21"/>
        </w:rPr>
      </w:pPr>
      <w:r>
        <w:rPr>
          <w:spacing w:val="-3"/>
          <w:sz w:val="21"/>
        </w:rPr>
        <w:t>产品命名</w:t>
      </w:r>
      <w:r>
        <w:rPr>
          <w:b/>
          <w:w w:val="99"/>
          <w:sz w:val="21"/>
        </w:rPr>
        <w:t xml:space="preserve"> </w:t>
      </w:r>
    </w:p>
    <w:p w14:paraId="154264D2" w14:textId="77777777" w:rsidR="00A71EEF" w:rsidRDefault="00A71EEF">
      <w:pPr>
        <w:pStyle w:val="a3"/>
        <w:spacing w:before="12"/>
        <w:rPr>
          <w:b/>
          <w:sz w:val="17"/>
        </w:rPr>
      </w:pPr>
    </w:p>
    <w:p w14:paraId="2F2276B3" w14:textId="77777777" w:rsidR="00A71EEF" w:rsidRDefault="0081115D">
      <w:pPr>
        <w:pStyle w:val="a3"/>
        <w:ind w:left="838"/>
      </w:pPr>
      <w:r>
        <w:t>防火窗产品采用</w:t>
      </w:r>
      <w:r>
        <w:t>其窗框和窗扇框架的主要材料命名，具体名称见表</w:t>
      </w:r>
      <w:r>
        <w:t xml:space="preserve"> 1</w:t>
      </w:r>
      <w:r>
        <w:t>。</w:t>
      </w:r>
      <w:r>
        <w:t xml:space="preserve"> </w:t>
      </w:r>
    </w:p>
    <w:p w14:paraId="58308386" w14:textId="77777777" w:rsidR="00A71EEF" w:rsidRDefault="00A71EEF">
      <w:pPr>
        <w:pStyle w:val="a3"/>
        <w:rPr>
          <w:sz w:val="18"/>
        </w:rPr>
      </w:pPr>
    </w:p>
    <w:p w14:paraId="583284FE" w14:textId="77777777" w:rsidR="00A71EEF" w:rsidRDefault="0081115D">
      <w:pPr>
        <w:pStyle w:val="6"/>
        <w:ind w:right="492"/>
        <w:jc w:val="center"/>
      </w:pPr>
      <w:r>
        <w:t>表</w:t>
      </w:r>
      <w:r>
        <w:t xml:space="preserve"> 1 </w:t>
      </w:r>
      <w:r>
        <w:t>防火窗产品名称</w:t>
      </w:r>
      <w:r>
        <w:rPr>
          <w:w w:val="99"/>
        </w:rPr>
        <w:t xml:space="preserve"> </w:t>
      </w:r>
    </w:p>
    <w:p w14:paraId="2524F1E5" w14:textId="77777777" w:rsidR="00A71EEF" w:rsidRDefault="0081115D">
      <w:pPr>
        <w:pStyle w:val="a3"/>
        <w:spacing w:before="8"/>
        <w:rPr>
          <w:b/>
          <w:sz w:val="8"/>
        </w:rPr>
      </w:pPr>
      <w:r>
        <w:rPr>
          <w:noProof/>
        </w:rPr>
        <w:drawing>
          <wp:anchor distT="0" distB="0" distL="0" distR="0" simplePos="0" relativeHeight="251603456" behindDoc="0" locked="0" layoutInCell="1" allowOverlap="1" wp14:anchorId="0046480F" wp14:editId="234715C2">
            <wp:simplePos x="0" y="0"/>
            <wp:positionH relativeFrom="page">
              <wp:posOffset>1113155</wp:posOffset>
            </wp:positionH>
            <wp:positionV relativeFrom="paragraph">
              <wp:posOffset>95273</wp:posOffset>
            </wp:positionV>
            <wp:extent cx="5308545" cy="1600200"/>
            <wp:effectExtent l="0" t="0" r="0" b="0"/>
            <wp:wrapTopAndBottom/>
            <wp:docPr id="381" name="image2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227.jpeg"/>
                    <pic:cNvPicPr/>
                  </pic:nvPicPr>
                  <pic:blipFill>
                    <a:blip r:embed="rId269" cstate="print"/>
                    <a:stretch>
                      <a:fillRect/>
                    </a:stretch>
                  </pic:blipFill>
                  <pic:spPr>
                    <a:xfrm>
                      <a:off x="0" y="0"/>
                      <a:ext cx="5308545" cy="1600200"/>
                    </a:xfrm>
                    <a:prstGeom prst="rect">
                      <a:avLst/>
                    </a:prstGeom>
                  </pic:spPr>
                </pic:pic>
              </a:graphicData>
            </a:graphic>
          </wp:anchor>
        </w:drawing>
      </w:r>
    </w:p>
    <w:p w14:paraId="1560AE11" w14:textId="77777777" w:rsidR="00A71EEF" w:rsidRDefault="00A71EEF">
      <w:pPr>
        <w:pStyle w:val="a3"/>
        <w:spacing w:before="1"/>
        <w:rPr>
          <w:b/>
          <w:sz w:val="15"/>
        </w:rPr>
      </w:pPr>
    </w:p>
    <w:p w14:paraId="39028DC7" w14:textId="77777777" w:rsidR="00A71EEF" w:rsidRDefault="0081115D">
      <w:pPr>
        <w:pStyle w:val="a4"/>
        <w:numPr>
          <w:ilvl w:val="1"/>
          <w:numId w:val="538"/>
        </w:numPr>
        <w:tabs>
          <w:tab w:val="left" w:pos="1159"/>
        </w:tabs>
        <w:ind w:hanging="319"/>
        <w:rPr>
          <w:b/>
          <w:sz w:val="21"/>
        </w:rPr>
      </w:pPr>
      <w:r>
        <w:rPr>
          <w:spacing w:val="-3"/>
          <w:sz w:val="21"/>
        </w:rPr>
        <w:t>分类与代号</w:t>
      </w:r>
      <w:r>
        <w:rPr>
          <w:b/>
          <w:w w:val="99"/>
          <w:sz w:val="21"/>
        </w:rPr>
        <w:t xml:space="preserve"> </w:t>
      </w:r>
    </w:p>
    <w:p w14:paraId="3205EFB3" w14:textId="77777777" w:rsidR="00A71EEF" w:rsidRDefault="00A71EEF">
      <w:pPr>
        <w:pStyle w:val="a3"/>
        <w:spacing w:before="12"/>
        <w:rPr>
          <w:b/>
          <w:sz w:val="17"/>
        </w:rPr>
      </w:pPr>
    </w:p>
    <w:p w14:paraId="28C968CA" w14:textId="77777777" w:rsidR="00A71EEF" w:rsidRDefault="0081115D">
      <w:pPr>
        <w:pStyle w:val="a4"/>
        <w:numPr>
          <w:ilvl w:val="2"/>
          <w:numId w:val="538"/>
        </w:numPr>
        <w:tabs>
          <w:tab w:val="left" w:pos="1371"/>
        </w:tabs>
        <w:rPr>
          <w:sz w:val="21"/>
        </w:rPr>
      </w:pPr>
      <w:r>
        <w:rPr>
          <w:spacing w:val="-6"/>
          <w:sz w:val="21"/>
        </w:rPr>
        <w:t>防火窗按其使用功能的分类与代号见表</w:t>
      </w:r>
      <w:r>
        <w:rPr>
          <w:spacing w:val="-6"/>
          <w:sz w:val="21"/>
        </w:rPr>
        <w:t xml:space="preserve"> </w:t>
      </w:r>
      <w:r>
        <w:rPr>
          <w:sz w:val="21"/>
        </w:rPr>
        <w:t>2</w:t>
      </w:r>
      <w:r>
        <w:rPr>
          <w:spacing w:val="-3"/>
          <w:sz w:val="21"/>
        </w:rPr>
        <w:t>。</w:t>
      </w:r>
      <w:r>
        <w:rPr>
          <w:sz w:val="21"/>
        </w:rPr>
        <w:t xml:space="preserve"> </w:t>
      </w:r>
    </w:p>
    <w:p w14:paraId="51C5E127" w14:textId="77777777" w:rsidR="00A71EEF" w:rsidRDefault="00A71EEF">
      <w:pPr>
        <w:pStyle w:val="a3"/>
        <w:spacing w:before="3"/>
        <w:rPr>
          <w:sz w:val="18"/>
        </w:rPr>
      </w:pPr>
    </w:p>
    <w:p w14:paraId="2F5B71DB" w14:textId="77777777" w:rsidR="00A71EEF" w:rsidRDefault="0081115D">
      <w:pPr>
        <w:pStyle w:val="6"/>
        <w:ind w:right="492"/>
        <w:jc w:val="center"/>
      </w:pPr>
      <w:r>
        <w:t>表</w:t>
      </w:r>
      <w:r>
        <w:t xml:space="preserve"> 2  </w:t>
      </w:r>
      <w:r>
        <w:t>防火窗的使用功能分类与代号</w:t>
      </w:r>
      <w:r>
        <w:rPr>
          <w:w w:val="99"/>
        </w:rPr>
        <w:t xml:space="preserve"> </w:t>
      </w:r>
    </w:p>
    <w:p w14:paraId="622BAC7B" w14:textId="77777777" w:rsidR="00A71EEF" w:rsidRDefault="00A71EEF">
      <w:pPr>
        <w:pStyle w:val="a3"/>
        <w:rPr>
          <w:b/>
          <w:sz w:val="20"/>
        </w:rPr>
      </w:pPr>
    </w:p>
    <w:p w14:paraId="4084E74A" w14:textId="77777777" w:rsidR="00A71EEF" w:rsidRDefault="00A71EEF">
      <w:pPr>
        <w:pStyle w:val="a3"/>
        <w:rPr>
          <w:b/>
          <w:sz w:val="20"/>
        </w:rPr>
      </w:pPr>
    </w:p>
    <w:p w14:paraId="45A9DE58" w14:textId="77777777" w:rsidR="00A71EEF" w:rsidRDefault="00A71EEF">
      <w:pPr>
        <w:pStyle w:val="a3"/>
        <w:spacing w:before="11"/>
        <w:rPr>
          <w:b/>
          <w:sz w:val="16"/>
        </w:rPr>
      </w:pPr>
    </w:p>
    <w:p w14:paraId="20C3B55B" w14:textId="77777777" w:rsidR="00A71EEF" w:rsidRDefault="0081115D">
      <w:pPr>
        <w:spacing w:before="1"/>
        <w:ind w:right="490"/>
        <w:jc w:val="center"/>
        <w:rPr>
          <w:b/>
          <w:sz w:val="21"/>
        </w:rPr>
      </w:pPr>
      <w:r>
        <w:rPr>
          <w:b/>
          <w:w w:val="99"/>
          <w:sz w:val="21"/>
        </w:rPr>
        <w:t xml:space="preserve"> </w:t>
      </w:r>
    </w:p>
    <w:p w14:paraId="0F11204E" w14:textId="77777777" w:rsidR="00A71EEF" w:rsidRDefault="00A71EEF">
      <w:pPr>
        <w:jc w:val="center"/>
        <w:rPr>
          <w:sz w:val="21"/>
        </w:rPr>
        <w:sectPr w:rsidR="00A71EEF">
          <w:pgSz w:w="11910" w:h="16850"/>
          <w:pgMar w:top="1220" w:right="0" w:bottom="1420" w:left="1260" w:header="0" w:footer="1159" w:gutter="0"/>
          <w:cols w:space="720"/>
        </w:sectPr>
      </w:pPr>
    </w:p>
    <w:p w14:paraId="1F110550" w14:textId="77777777" w:rsidR="00A71EEF" w:rsidRDefault="00A71EEF">
      <w:pPr>
        <w:pStyle w:val="a3"/>
        <w:spacing w:before="6" w:after="1"/>
        <w:rPr>
          <w:b/>
          <w:sz w:val="14"/>
        </w:rPr>
      </w:pPr>
    </w:p>
    <w:p w14:paraId="6B0591A5" w14:textId="77777777" w:rsidR="00A71EEF" w:rsidRDefault="0081115D">
      <w:pPr>
        <w:pStyle w:val="a3"/>
        <w:ind w:left="553"/>
        <w:rPr>
          <w:sz w:val="20"/>
        </w:rPr>
      </w:pPr>
      <w:r>
        <w:rPr>
          <w:noProof/>
          <w:sz w:val="20"/>
        </w:rPr>
        <w:drawing>
          <wp:inline distT="0" distB="0" distL="0" distR="0" wp14:anchorId="791A70B1" wp14:editId="06622DE4">
            <wp:extent cx="5349368" cy="986313"/>
            <wp:effectExtent l="0" t="0" r="0" b="0"/>
            <wp:docPr id="383" name="image2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228.jpeg"/>
                    <pic:cNvPicPr/>
                  </pic:nvPicPr>
                  <pic:blipFill>
                    <a:blip r:embed="rId270" cstate="print"/>
                    <a:stretch>
                      <a:fillRect/>
                    </a:stretch>
                  </pic:blipFill>
                  <pic:spPr>
                    <a:xfrm>
                      <a:off x="0" y="0"/>
                      <a:ext cx="5349368" cy="986313"/>
                    </a:xfrm>
                    <a:prstGeom prst="rect">
                      <a:avLst/>
                    </a:prstGeom>
                  </pic:spPr>
                </pic:pic>
              </a:graphicData>
            </a:graphic>
          </wp:inline>
        </w:drawing>
      </w:r>
    </w:p>
    <w:p w14:paraId="4FB16100" w14:textId="77777777" w:rsidR="00A71EEF" w:rsidRDefault="00A71EEF">
      <w:pPr>
        <w:pStyle w:val="a3"/>
        <w:rPr>
          <w:b/>
          <w:sz w:val="20"/>
        </w:rPr>
      </w:pPr>
    </w:p>
    <w:p w14:paraId="62E312CB" w14:textId="77777777" w:rsidR="00A71EEF" w:rsidRDefault="00A71EEF">
      <w:pPr>
        <w:pStyle w:val="a3"/>
        <w:spacing w:before="10"/>
        <w:rPr>
          <w:b/>
          <w:sz w:val="28"/>
        </w:rPr>
      </w:pPr>
    </w:p>
    <w:p w14:paraId="3C54CEC3" w14:textId="77777777" w:rsidR="00A71EEF" w:rsidRDefault="0081115D">
      <w:pPr>
        <w:pStyle w:val="a4"/>
        <w:numPr>
          <w:ilvl w:val="2"/>
          <w:numId w:val="538"/>
        </w:numPr>
        <w:tabs>
          <w:tab w:val="left" w:pos="1371"/>
        </w:tabs>
        <w:spacing w:before="72"/>
        <w:rPr>
          <w:sz w:val="21"/>
        </w:rPr>
      </w:pPr>
      <w:r>
        <w:rPr>
          <w:spacing w:val="-6"/>
          <w:sz w:val="21"/>
        </w:rPr>
        <w:t>防火窗按其耐火性能的分类与耐火等级代号见表</w:t>
      </w:r>
      <w:r>
        <w:rPr>
          <w:spacing w:val="-6"/>
          <w:sz w:val="21"/>
        </w:rPr>
        <w:t xml:space="preserve"> </w:t>
      </w:r>
      <w:r>
        <w:rPr>
          <w:spacing w:val="-3"/>
          <w:sz w:val="21"/>
        </w:rPr>
        <w:t>3</w:t>
      </w:r>
      <w:r>
        <w:rPr>
          <w:spacing w:val="-3"/>
          <w:sz w:val="21"/>
        </w:rPr>
        <w:t>。</w:t>
      </w:r>
      <w:r>
        <w:rPr>
          <w:sz w:val="21"/>
        </w:rPr>
        <w:t xml:space="preserve"> </w:t>
      </w:r>
    </w:p>
    <w:p w14:paraId="1C8CE097" w14:textId="77777777" w:rsidR="00A71EEF" w:rsidRDefault="00A71EEF">
      <w:pPr>
        <w:pStyle w:val="a3"/>
        <w:rPr>
          <w:sz w:val="18"/>
        </w:rPr>
      </w:pPr>
    </w:p>
    <w:p w14:paraId="6390BAD9" w14:textId="77777777" w:rsidR="00A71EEF" w:rsidRDefault="0081115D">
      <w:pPr>
        <w:pStyle w:val="6"/>
        <w:ind w:left="2993"/>
      </w:pPr>
      <w:r>
        <w:rPr>
          <w:noProof/>
        </w:rPr>
        <w:drawing>
          <wp:anchor distT="0" distB="0" distL="0" distR="0" simplePos="0" relativeHeight="251604480" behindDoc="0" locked="0" layoutInCell="1" allowOverlap="1" wp14:anchorId="7F873367" wp14:editId="00CC03BD">
            <wp:simplePos x="0" y="0"/>
            <wp:positionH relativeFrom="page">
              <wp:posOffset>1293494</wp:posOffset>
            </wp:positionH>
            <wp:positionV relativeFrom="paragraph">
              <wp:posOffset>205613</wp:posOffset>
            </wp:positionV>
            <wp:extent cx="5136069" cy="3169634"/>
            <wp:effectExtent l="0" t="0" r="0" b="0"/>
            <wp:wrapTopAndBottom/>
            <wp:docPr id="385" name="image2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229.jpeg"/>
                    <pic:cNvPicPr/>
                  </pic:nvPicPr>
                  <pic:blipFill>
                    <a:blip r:embed="rId271" cstate="print"/>
                    <a:stretch>
                      <a:fillRect/>
                    </a:stretch>
                  </pic:blipFill>
                  <pic:spPr>
                    <a:xfrm>
                      <a:off x="0" y="0"/>
                      <a:ext cx="5136069" cy="3169634"/>
                    </a:xfrm>
                    <a:prstGeom prst="rect">
                      <a:avLst/>
                    </a:prstGeom>
                  </pic:spPr>
                </pic:pic>
              </a:graphicData>
            </a:graphic>
          </wp:anchor>
        </w:drawing>
      </w:r>
      <w:r>
        <w:t>表</w:t>
      </w:r>
      <w:r>
        <w:t xml:space="preserve"> 3 </w:t>
      </w:r>
      <w:r>
        <w:t>防火窗的耐火性能分类与耐火等级代号</w:t>
      </w:r>
      <w:r>
        <w:rPr>
          <w:w w:val="99"/>
        </w:rPr>
        <w:t xml:space="preserve"> </w:t>
      </w:r>
    </w:p>
    <w:p w14:paraId="425D074D" w14:textId="77777777" w:rsidR="00A71EEF" w:rsidRDefault="00A71EEF">
      <w:pPr>
        <w:pStyle w:val="a3"/>
        <w:rPr>
          <w:b/>
          <w:sz w:val="20"/>
        </w:rPr>
      </w:pPr>
    </w:p>
    <w:p w14:paraId="05EDE11B" w14:textId="77777777" w:rsidR="00A71EEF" w:rsidRDefault="00A71EEF">
      <w:pPr>
        <w:pStyle w:val="a3"/>
        <w:spacing w:before="9"/>
        <w:rPr>
          <w:b/>
          <w:sz w:val="27"/>
        </w:rPr>
      </w:pPr>
    </w:p>
    <w:p w14:paraId="11E16AE7" w14:textId="77777777" w:rsidR="00A71EEF" w:rsidRDefault="0081115D">
      <w:pPr>
        <w:ind w:left="418"/>
        <w:rPr>
          <w:b/>
          <w:sz w:val="24"/>
        </w:rPr>
      </w:pPr>
      <w:r>
        <w:rPr>
          <w:b/>
          <w:sz w:val="24"/>
        </w:rPr>
        <w:t xml:space="preserve">5 </w:t>
      </w:r>
      <w:r>
        <w:rPr>
          <w:b/>
          <w:sz w:val="24"/>
        </w:rPr>
        <w:t>规格与型号</w:t>
      </w:r>
      <w:r>
        <w:rPr>
          <w:b/>
          <w:w w:val="99"/>
          <w:sz w:val="24"/>
        </w:rPr>
        <w:t xml:space="preserve"> </w:t>
      </w:r>
    </w:p>
    <w:p w14:paraId="0FCEEC33" w14:textId="77777777" w:rsidR="00A71EEF" w:rsidRDefault="00A71EEF">
      <w:pPr>
        <w:pStyle w:val="a3"/>
        <w:spacing w:before="7"/>
        <w:rPr>
          <w:b/>
          <w:sz w:val="17"/>
        </w:rPr>
      </w:pPr>
    </w:p>
    <w:p w14:paraId="1048108F" w14:textId="77777777" w:rsidR="00A71EEF" w:rsidRDefault="0081115D">
      <w:pPr>
        <w:pStyle w:val="a4"/>
        <w:numPr>
          <w:ilvl w:val="1"/>
          <w:numId w:val="537"/>
        </w:numPr>
        <w:tabs>
          <w:tab w:val="left" w:pos="1160"/>
        </w:tabs>
        <w:rPr>
          <w:b/>
          <w:sz w:val="21"/>
        </w:rPr>
      </w:pPr>
      <w:r>
        <w:rPr>
          <w:spacing w:val="-3"/>
          <w:sz w:val="21"/>
        </w:rPr>
        <w:t>规格</w:t>
      </w:r>
      <w:r>
        <w:rPr>
          <w:b/>
          <w:w w:val="99"/>
          <w:sz w:val="21"/>
        </w:rPr>
        <w:t xml:space="preserve"> </w:t>
      </w:r>
    </w:p>
    <w:p w14:paraId="37B001FC" w14:textId="77777777" w:rsidR="00A71EEF" w:rsidRDefault="00A71EEF">
      <w:pPr>
        <w:pStyle w:val="a3"/>
        <w:spacing w:before="12"/>
        <w:rPr>
          <w:b/>
          <w:sz w:val="17"/>
        </w:rPr>
      </w:pPr>
    </w:p>
    <w:p w14:paraId="7648F7AF" w14:textId="77777777" w:rsidR="00A71EEF" w:rsidRDefault="0081115D">
      <w:pPr>
        <w:pStyle w:val="a3"/>
        <w:spacing w:line="446" w:lineRule="auto"/>
        <w:ind w:left="418" w:right="1505" w:firstLine="419"/>
      </w:pPr>
      <w:r>
        <w:rPr>
          <w:spacing w:val="-5"/>
        </w:rPr>
        <w:t>防火窗的规格型号表示方法和一般洞口尺寸系列应符合</w:t>
      </w:r>
      <w:r>
        <w:rPr>
          <w:spacing w:val="-5"/>
        </w:rPr>
        <w:t xml:space="preserve"> </w:t>
      </w:r>
      <w:r>
        <w:t>GB/T 5824-1986</w:t>
      </w:r>
      <w:r>
        <w:rPr>
          <w:spacing w:val="-8"/>
        </w:rPr>
        <w:t xml:space="preserve"> </w:t>
      </w:r>
      <w:r>
        <w:rPr>
          <w:spacing w:val="-8"/>
        </w:rPr>
        <w:t>的规定，特殊洞口</w:t>
      </w:r>
      <w:r>
        <w:rPr>
          <w:spacing w:val="-5"/>
        </w:rPr>
        <w:t>尺寸由生产单位和顾客按需要协商确定。</w:t>
      </w:r>
      <w:r>
        <w:t xml:space="preserve"> </w:t>
      </w:r>
    </w:p>
    <w:p w14:paraId="6852FE4A" w14:textId="77777777" w:rsidR="00A71EEF" w:rsidRDefault="0081115D">
      <w:pPr>
        <w:pStyle w:val="a4"/>
        <w:numPr>
          <w:ilvl w:val="1"/>
          <w:numId w:val="537"/>
        </w:numPr>
        <w:tabs>
          <w:tab w:val="left" w:pos="1159"/>
        </w:tabs>
        <w:ind w:left="1158" w:hanging="319"/>
        <w:rPr>
          <w:b/>
          <w:sz w:val="21"/>
        </w:rPr>
      </w:pPr>
      <w:r>
        <w:rPr>
          <w:spacing w:val="-3"/>
          <w:sz w:val="21"/>
        </w:rPr>
        <w:t>型号编制方法</w:t>
      </w:r>
      <w:r>
        <w:rPr>
          <w:b/>
          <w:w w:val="99"/>
          <w:sz w:val="21"/>
        </w:rPr>
        <w:t xml:space="preserve"> </w:t>
      </w:r>
    </w:p>
    <w:p w14:paraId="52F257B0" w14:textId="77777777" w:rsidR="00A71EEF" w:rsidRDefault="00A71EEF">
      <w:pPr>
        <w:pStyle w:val="a3"/>
        <w:rPr>
          <w:b/>
          <w:sz w:val="18"/>
        </w:rPr>
      </w:pPr>
    </w:p>
    <w:p w14:paraId="361AEFFA" w14:textId="77777777" w:rsidR="00A71EEF" w:rsidRDefault="0081115D">
      <w:pPr>
        <w:pStyle w:val="a3"/>
        <w:ind w:left="838"/>
      </w:pPr>
      <w:r>
        <w:t>防火窗的型号编制方法见图</w:t>
      </w:r>
      <w:r>
        <w:t xml:space="preserve"> 1</w:t>
      </w:r>
      <w:r>
        <w:t>。</w:t>
      </w:r>
      <w:r>
        <w:t xml:space="preserve"> </w:t>
      </w:r>
    </w:p>
    <w:p w14:paraId="42751905" w14:textId="77777777" w:rsidR="00A71EEF" w:rsidRDefault="00A71EEF">
      <w:pPr>
        <w:sectPr w:rsidR="00A71EEF">
          <w:pgSz w:w="11910" w:h="16850"/>
          <w:pgMar w:top="1600" w:right="0" w:bottom="1420" w:left="1260" w:header="0" w:footer="1159" w:gutter="0"/>
          <w:cols w:space="720"/>
        </w:sectPr>
      </w:pPr>
    </w:p>
    <w:p w14:paraId="214DAE6F" w14:textId="77777777" w:rsidR="00A71EEF" w:rsidRDefault="00A71EEF">
      <w:pPr>
        <w:pStyle w:val="a3"/>
        <w:spacing w:before="5" w:after="1"/>
        <w:rPr>
          <w:sz w:val="14"/>
        </w:rPr>
      </w:pPr>
    </w:p>
    <w:p w14:paraId="3C299517" w14:textId="77777777" w:rsidR="00A71EEF" w:rsidRDefault="0081115D">
      <w:pPr>
        <w:pStyle w:val="a3"/>
        <w:ind w:left="2878"/>
        <w:rPr>
          <w:sz w:val="20"/>
        </w:rPr>
      </w:pPr>
      <w:r>
        <w:rPr>
          <w:noProof/>
          <w:sz w:val="20"/>
        </w:rPr>
        <w:drawing>
          <wp:inline distT="0" distB="0" distL="0" distR="0" wp14:anchorId="2DB80CF4" wp14:editId="08D5B553">
            <wp:extent cx="2749319" cy="1231392"/>
            <wp:effectExtent l="0" t="0" r="0" b="0"/>
            <wp:docPr id="387" name="image2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230.jpeg"/>
                    <pic:cNvPicPr/>
                  </pic:nvPicPr>
                  <pic:blipFill>
                    <a:blip r:embed="rId272" cstate="print"/>
                    <a:stretch>
                      <a:fillRect/>
                    </a:stretch>
                  </pic:blipFill>
                  <pic:spPr>
                    <a:xfrm>
                      <a:off x="0" y="0"/>
                      <a:ext cx="2749319" cy="1231392"/>
                    </a:xfrm>
                    <a:prstGeom prst="rect">
                      <a:avLst/>
                    </a:prstGeom>
                  </pic:spPr>
                </pic:pic>
              </a:graphicData>
            </a:graphic>
          </wp:inline>
        </w:drawing>
      </w:r>
    </w:p>
    <w:p w14:paraId="2249791C" w14:textId="77777777" w:rsidR="00A71EEF" w:rsidRDefault="00A71EEF">
      <w:pPr>
        <w:pStyle w:val="a3"/>
        <w:spacing w:before="2"/>
        <w:rPr>
          <w:sz w:val="10"/>
        </w:rPr>
      </w:pPr>
    </w:p>
    <w:p w14:paraId="77B7F445" w14:textId="77777777" w:rsidR="00A71EEF" w:rsidRDefault="0081115D">
      <w:pPr>
        <w:pStyle w:val="6"/>
        <w:spacing w:before="72"/>
        <w:ind w:right="490"/>
        <w:jc w:val="center"/>
        <w:rPr>
          <w:b w:val="0"/>
        </w:rPr>
      </w:pPr>
      <w:r>
        <w:t>图</w:t>
      </w:r>
      <w:r>
        <w:t xml:space="preserve"> 1 </w:t>
      </w:r>
      <w:r>
        <w:t>防火窗的型号编制方法</w:t>
      </w:r>
      <w:r>
        <w:rPr>
          <w:w w:val="99"/>
        </w:rPr>
        <w:t xml:space="preserve"> </w:t>
      </w:r>
      <w:r>
        <w:t xml:space="preserve"> </w:t>
      </w:r>
      <w:r>
        <w:rPr>
          <w:b w:val="0"/>
        </w:rPr>
        <w:t xml:space="preserve"> </w:t>
      </w:r>
    </w:p>
    <w:p w14:paraId="6722F7BF" w14:textId="77777777" w:rsidR="00A71EEF" w:rsidRDefault="00A71EEF">
      <w:pPr>
        <w:pStyle w:val="a3"/>
        <w:spacing w:before="12"/>
        <w:rPr>
          <w:sz w:val="17"/>
        </w:rPr>
      </w:pPr>
    </w:p>
    <w:p w14:paraId="43873DD1" w14:textId="77777777" w:rsidR="00A71EEF" w:rsidRDefault="0081115D">
      <w:pPr>
        <w:pStyle w:val="a3"/>
        <w:ind w:left="838"/>
      </w:pPr>
      <w:r>
        <w:t>示例</w:t>
      </w:r>
      <w:r>
        <w:t xml:space="preserve"> 1</w:t>
      </w:r>
      <w:r>
        <w:t>：防火窗的型号为</w:t>
      </w:r>
      <w:r>
        <w:t>MFC0909-D-A1.00</w:t>
      </w:r>
      <w:r>
        <w:t>（乙级），表示木质防火窗，规格型号为</w:t>
      </w:r>
      <w:r>
        <w:t xml:space="preserve"> 0909</w:t>
      </w:r>
    </w:p>
    <w:p w14:paraId="365B5630" w14:textId="77777777" w:rsidR="00A71EEF" w:rsidRDefault="00A71EEF">
      <w:pPr>
        <w:pStyle w:val="a3"/>
        <w:rPr>
          <w:sz w:val="18"/>
        </w:rPr>
      </w:pPr>
    </w:p>
    <w:p w14:paraId="6906526A" w14:textId="77777777" w:rsidR="00A71EEF" w:rsidRDefault="0081115D">
      <w:pPr>
        <w:pStyle w:val="a3"/>
        <w:spacing w:line="446" w:lineRule="auto"/>
        <w:ind w:left="418" w:right="1503"/>
      </w:pPr>
      <w:r>
        <w:t>（</w:t>
      </w:r>
      <w:r>
        <w:rPr>
          <w:spacing w:val="-8"/>
        </w:rPr>
        <w:t>即洞口标志宽度</w:t>
      </w:r>
      <w:r>
        <w:rPr>
          <w:spacing w:val="-8"/>
        </w:rPr>
        <w:t xml:space="preserve"> </w:t>
      </w:r>
      <w:r>
        <w:t>900mm</w:t>
      </w:r>
      <w:r>
        <w:t>），</w:t>
      </w:r>
      <w:r>
        <w:rPr>
          <w:spacing w:val="-6"/>
        </w:rPr>
        <w:t>使用功能为固定式，耐火等级为</w:t>
      </w:r>
      <w:r>
        <w:rPr>
          <w:spacing w:val="-6"/>
        </w:rPr>
        <w:t xml:space="preserve"> </w:t>
      </w:r>
      <w:r>
        <w:t>A1.00</w:t>
      </w:r>
      <w:r>
        <w:t>（</w:t>
      </w:r>
      <w:r>
        <w:rPr>
          <w:spacing w:val="-2"/>
        </w:rPr>
        <w:t>乙级</w:t>
      </w:r>
      <w:r>
        <w:t>）（</w:t>
      </w:r>
      <w:r>
        <w:rPr>
          <w:spacing w:val="-3"/>
        </w:rPr>
        <w:t>即耐火隔热性</w:t>
      </w:r>
      <w:r>
        <w:rPr>
          <w:spacing w:val="-3"/>
        </w:rPr>
        <w:t>≥ 1.00h</w:t>
      </w:r>
      <w:r>
        <w:rPr>
          <w:spacing w:val="-3"/>
        </w:rPr>
        <w:t>，且耐火完整性</w:t>
      </w:r>
      <w:r>
        <w:rPr>
          <w:spacing w:val="-3"/>
        </w:rPr>
        <w:t>≥</w:t>
      </w:r>
      <w:r>
        <w:t>1.00h</w:t>
      </w:r>
      <w:r>
        <w:t>）</w:t>
      </w:r>
      <w:r>
        <w:rPr>
          <w:spacing w:val="-3"/>
        </w:rPr>
        <w:t>。</w:t>
      </w:r>
      <w:r>
        <w:t xml:space="preserve"> </w:t>
      </w:r>
    </w:p>
    <w:p w14:paraId="3294AAB0" w14:textId="77777777" w:rsidR="00A71EEF" w:rsidRDefault="0081115D">
      <w:pPr>
        <w:pStyle w:val="a3"/>
        <w:spacing w:line="446" w:lineRule="auto"/>
        <w:ind w:left="418" w:right="1455" w:firstLine="419"/>
      </w:pPr>
      <w:r>
        <w:rPr>
          <w:spacing w:val="-15"/>
        </w:rPr>
        <w:t>示例</w:t>
      </w:r>
      <w:r>
        <w:rPr>
          <w:spacing w:val="-15"/>
        </w:rPr>
        <w:t xml:space="preserve"> </w:t>
      </w:r>
      <w:r>
        <w:t>2</w:t>
      </w:r>
      <w:r>
        <w:rPr>
          <w:spacing w:val="3"/>
        </w:rPr>
        <w:t>：防火窗的型号为</w:t>
      </w:r>
      <w:r>
        <w:t>GFC1521-H-C2.00</w:t>
      </w:r>
      <w:r>
        <w:rPr>
          <w:spacing w:val="-6"/>
        </w:rPr>
        <w:t>，表示钢质防火窗，规格型号为</w:t>
      </w:r>
      <w:r>
        <w:rPr>
          <w:spacing w:val="-6"/>
        </w:rPr>
        <w:t xml:space="preserve"> </w:t>
      </w:r>
      <w:r>
        <w:t>1521</w:t>
      </w:r>
      <w:r>
        <w:t>（</w:t>
      </w:r>
      <w:r>
        <w:rPr>
          <w:spacing w:val="-3"/>
        </w:rPr>
        <w:t>即洞口标</w:t>
      </w:r>
      <w:r>
        <w:rPr>
          <w:spacing w:val="-14"/>
        </w:rPr>
        <w:t>志宽度</w:t>
      </w:r>
      <w:r>
        <w:rPr>
          <w:spacing w:val="-14"/>
        </w:rPr>
        <w:t xml:space="preserve"> </w:t>
      </w:r>
      <w:r>
        <w:t>1500mm</w:t>
      </w:r>
      <w:r>
        <w:rPr>
          <w:spacing w:val="-11"/>
        </w:rPr>
        <w:t>，标志高度</w:t>
      </w:r>
      <w:r>
        <w:rPr>
          <w:spacing w:val="-11"/>
        </w:rPr>
        <w:t xml:space="preserve"> </w:t>
      </w:r>
      <w:r>
        <w:t>2100mm</w:t>
      </w:r>
      <w:r>
        <w:t>）</w:t>
      </w:r>
      <w:r>
        <w:rPr>
          <w:spacing w:val="-6"/>
        </w:rPr>
        <w:t>，使用功能为活动式，耐火等级为</w:t>
      </w:r>
      <w:r>
        <w:rPr>
          <w:spacing w:val="-6"/>
        </w:rPr>
        <w:t xml:space="preserve"> </w:t>
      </w:r>
      <w:r>
        <w:t>C2.00</w:t>
      </w:r>
      <w:r>
        <w:t>（</w:t>
      </w:r>
      <w:r>
        <w:rPr>
          <w:spacing w:val="-3"/>
        </w:rPr>
        <w:t>即耐火完整性时</w:t>
      </w:r>
      <w:r>
        <w:rPr>
          <w:spacing w:val="-13"/>
        </w:rPr>
        <w:t>间不小于</w:t>
      </w:r>
      <w:r>
        <w:rPr>
          <w:spacing w:val="-13"/>
        </w:rPr>
        <w:t xml:space="preserve"> </w:t>
      </w:r>
      <w:r>
        <w:t>2.00h</w:t>
      </w:r>
      <w:r>
        <w:t>）</w:t>
      </w:r>
      <w:r>
        <w:rPr>
          <w:spacing w:val="-3"/>
        </w:rPr>
        <w:t>。</w:t>
      </w:r>
      <w:r>
        <w:t xml:space="preserve"> </w:t>
      </w:r>
    </w:p>
    <w:p w14:paraId="0C64F749" w14:textId="77777777" w:rsidR="00A71EEF" w:rsidRDefault="0081115D">
      <w:pPr>
        <w:pStyle w:val="4"/>
        <w:spacing w:line="276" w:lineRule="exact"/>
      </w:pPr>
      <w:r>
        <w:t xml:space="preserve">6 </w:t>
      </w:r>
      <w:r>
        <w:t>材料及配件</w:t>
      </w:r>
      <w:r>
        <w:rPr>
          <w:w w:val="99"/>
        </w:rPr>
        <w:t xml:space="preserve"> </w:t>
      </w:r>
    </w:p>
    <w:p w14:paraId="186F5ABA" w14:textId="77777777" w:rsidR="00A71EEF" w:rsidRDefault="00A71EEF">
      <w:pPr>
        <w:pStyle w:val="a3"/>
        <w:spacing w:before="4"/>
        <w:rPr>
          <w:b/>
          <w:sz w:val="17"/>
        </w:rPr>
      </w:pPr>
    </w:p>
    <w:p w14:paraId="02F855AF" w14:textId="77777777" w:rsidR="00A71EEF" w:rsidRDefault="0081115D">
      <w:pPr>
        <w:pStyle w:val="a4"/>
        <w:numPr>
          <w:ilvl w:val="1"/>
          <w:numId w:val="536"/>
        </w:numPr>
        <w:tabs>
          <w:tab w:val="left" w:pos="1160"/>
        </w:tabs>
        <w:rPr>
          <w:sz w:val="21"/>
        </w:rPr>
      </w:pPr>
      <w:r>
        <w:rPr>
          <w:spacing w:val="-6"/>
          <w:sz w:val="21"/>
        </w:rPr>
        <w:t>防火窗用材料性能应符合有关标准的规定，参见附录</w:t>
      </w:r>
      <w:r>
        <w:rPr>
          <w:spacing w:val="-6"/>
          <w:sz w:val="21"/>
        </w:rPr>
        <w:t xml:space="preserve"> </w:t>
      </w:r>
      <w:r>
        <w:rPr>
          <w:sz w:val="21"/>
        </w:rPr>
        <w:t>A</w:t>
      </w:r>
      <w:r>
        <w:rPr>
          <w:spacing w:val="-3"/>
          <w:sz w:val="21"/>
        </w:rPr>
        <w:t>。</w:t>
      </w:r>
      <w:r>
        <w:rPr>
          <w:sz w:val="21"/>
        </w:rPr>
        <w:t xml:space="preserve"> </w:t>
      </w:r>
    </w:p>
    <w:p w14:paraId="0BFBD253" w14:textId="77777777" w:rsidR="00A71EEF" w:rsidRDefault="00A71EEF">
      <w:pPr>
        <w:pStyle w:val="a3"/>
        <w:spacing w:before="2"/>
        <w:rPr>
          <w:sz w:val="18"/>
        </w:rPr>
      </w:pPr>
    </w:p>
    <w:p w14:paraId="56C07306" w14:textId="77777777" w:rsidR="00A71EEF" w:rsidRDefault="0081115D">
      <w:pPr>
        <w:pStyle w:val="a4"/>
        <w:numPr>
          <w:ilvl w:val="1"/>
          <w:numId w:val="536"/>
        </w:numPr>
        <w:tabs>
          <w:tab w:val="left" w:pos="1160"/>
        </w:tabs>
        <w:spacing w:line="446" w:lineRule="auto"/>
        <w:ind w:left="418" w:right="1604" w:firstLine="422"/>
        <w:rPr>
          <w:sz w:val="21"/>
        </w:rPr>
      </w:pPr>
      <w:r>
        <w:rPr>
          <w:spacing w:val="-3"/>
          <w:sz w:val="21"/>
        </w:rPr>
        <w:t>密封材料应根据具体防火窗产品的使用功能、框架材料与结构、耐火等级等特性来选用。</w:t>
      </w:r>
      <w:r>
        <w:rPr>
          <w:sz w:val="21"/>
        </w:rPr>
        <w:t xml:space="preserve"> </w:t>
      </w:r>
    </w:p>
    <w:p w14:paraId="300998D8" w14:textId="77777777" w:rsidR="00A71EEF" w:rsidRDefault="0081115D">
      <w:pPr>
        <w:pStyle w:val="a4"/>
        <w:numPr>
          <w:ilvl w:val="1"/>
          <w:numId w:val="536"/>
        </w:numPr>
        <w:tabs>
          <w:tab w:val="left" w:pos="1159"/>
        </w:tabs>
        <w:spacing w:line="446" w:lineRule="auto"/>
        <w:ind w:left="418" w:right="1604" w:firstLine="422"/>
        <w:rPr>
          <w:sz w:val="21"/>
        </w:rPr>
      </w:pPr>
      <w:r>
        <w:rPr>
          <w:spacing w:val="-3"/>
          <w:sz w:val="21"/>
        </w:rPr>
        <w:t>五金件、附件、紧固件应满足功能要求，其安装应正确、齐全、牢固，具有足够的强度，启闭灵活，承受反复运动的五金件、附件应便于更换。</w:t>
      </w:r>
      <w:r>
        <w:rPr>
          <w:sz w:val="21"/>
        </w:rPr>
        <w:t xml:space="preserve"> </w:t>
      </w:r>
    </w:p>
    <w:p w14:paraId="7B3961B2" w14:textId="77777777" w:rsidR="00A71EEF" w:rsidRDefault="0081115D">
      <w:pPr>
        <w:pStyle w:val="4"/>
        <w:spacing w:line="277" w:lineRule="exact"/>
      </w:pPr>
      <w:r>
        <w:t xml:space="preserve">7 </w:t>
      </w:r>
      <w:r>
        <w:t>要求</w:t>
      </w:r>
      <w:r>
        <w:rPr>
          <w:w w:val="99"/>
        </w:rPr>
        <w:t xml:space="preserve"> </w:t>
      </w:r>
    </w:p>
    <w:p w14:paraId="6365D196" w14:textId="77777777" w:rsidR="00A71EEF" w:rsidRDefault="00A71EEF">
      <w:pPr>
        <w:pStyle w:val="a3"/>
        <w:spacing w:before="2"/>
        <w:rPr>
          <w:b/>
          <w:sz w:val="17"/>
        </w:rPr>
      </w:pPr>
    </w:p>
    <w:p w14:paraId="5426654C" w14:textId="77777777" w:rsidR="00A71EEF" w:rsidRDefault="0081115D">
      <w:pPr>
        <w:pStyle w:val="a4"/>
        <w:numPr>
          <w:ilvl w:val="1"/>
          <w:numId w:val="535"/>
        </w:numPr>
        <w:tabs>
          <w:tab w:val="left" w:pos="1159"/>
        </w:tabs>
        <w:ind w:hanging="319"/>
        <w:rPr>
          <w:b/>
          <w:sz w:val="21"/>
        </w:rPr>
      </w:pPr>
      <w:r>
        <w:rPr>
          <w:spacing w:val="-3"/>
          <w:sz w:val="21"/>
        </w:rPr>
        <w:t>防火窗通用要求</w:t>
      </w:r>
      <w:r>
        <w:rPr>
          <w:b/>
          <w:w w:val="99"/>
          <w:sz w:val="21"/>
        </w:rPr>
        <w:t xml:space="preserve"> </w:t>
      </w:r>
    </w:p>
    <w:p w14:paraId="6008ED79" w14:textId="77777777" w:rsidR="00A71EEF" w:rsidRDefault="00A71EEF">
      <w:pPr>
        <w:pStyle w:val="a3"/>
        <w:spacing w:before="2"/>
        <w:rPr>
          <w:b/>
          <w:sz w:val="18"/>
        </w:rPr>
      </w:pPr>
    </w:p>
    <w:p w14:paraId="518B2521" w14:textId="77777777" w:rsidR="00A71EEF" w:rsidRDefault="0081115D">
      <w:pPr>
        <w:pStyle w:val="a4"/>
        <w:numPr>
          <w:ilvl w:val="2"/>
          <w:numId w:val="535"/>
        </w:numPr>
        <w:tabs>
          <w:tab w:val="left" w:pos="1370"/>
        </w:tabs>
        <w:ind w:hanging="530"/>
        <w:rPr>
          <w:b/>
          <w:sz w:val="21"/>
        </w:rPr>
      </w:pPr>
      <w:r>
        <w:rPr>
          <w:spacing w:val="-3"/>
          <w:sz w:val="21"/>
        </w:rPr>
        <w:t>外观质量</w:t>
      </w:r>
      <w:r>
        <w:rPr>
          <w:b/>
          <w:w w:val="99"/>
          <w:sz w:val="21"/>
        </w:rPr>
        <w:t xml:space="preserve"> </w:t>
      </w:r>
    </w:p>
    <w:p w14:paraId="621C4B96" w14:textId="77777777" w:rsidR="00A71EEF" w:rsidRDefault="00A71EEF">
      <w:pPr>
        <w:pStyle w:val="a3"/>
        <w:spacing w:before="12"/>
        <w:rPr>
          <w:b/>
          <w:sz w:val="17"/>
        </w:rPr>
      </w:pPr>
    </w:p>
    <w:p w14:paraId="728CA935" w14:textId="77777777" w:rsidR="00A71EEF" w:rsidRDefault="0081115D">
      <w:pPr>
        <w:pStyle w:val="a3"/>
        <w:spacing w:line="446" w:lineRule="auto"/>
        <w:ind w:left="418" w:right="1608" w:firstLine="419"/>
      </w:pPr>
      <w:r>
        <w:rPr>
          <w:spacing w:val="-3"/>
        </w:rPr>
        <w:t>防火窗各连接处的连接及零部件安装应牢固、可靠，不得有松动现象；表面应平整、光</w:t>
      </w:r>
      <w:r>
        <w:rPr>
          <w:spacing w:val="-3"/>
        </w:rPr>
        <w:t xml:space="preserve"> </w:t>
      </w:r>
      <w:r>
        <w:rPr>
          <w:spacing w:val="-3"/>
        </w:rPr>
        <w:t>滑，不应有毛剌、裂纹、压坑及明显的凹凸、孔洞等缺陷；表面涂刷的漆层应厚度均匀，不应有明显的堆漆、漏漆等缺陷。</w:t>
      </w:r>
      <w:r>
        <w:t xml:space="preserve"> </w:t>
      </w:r>
    </w:p>
    <w:p w14:paraId="19444FCA" w14:textId="77777777" w:rsidR="00A71EEF" w:rsidRDefault="0081115D">
      <w:pPr>
        <w:pStyle w:val="a4"/>
        <w:numPr>
          <w:ilvl w:val="2"/>
          <w:numId w:val="535"/>
        </w:numPr>
        <w:tabs>
          <w:tab w:val="left" w:pos="1370"/>
        </w:tabs>
        <w:spacing w:line="268" w:lineRule="exact"/>
        <w:ind w:hanging="530"/>
        <w:rPr>
          <w:b/>
          <w:sz w:val="21"/>
        </w:rPr>
      </w:pPr>
      <w:r>
        <w:rPr>
          <w:spacing w:val="-3"/>
          <w:sz w:val="21"/>
        </w:rPr>
        <w:t>防火玻璃</w:t>
      </w:r>
      <w:r>
        <w:rPr>
          <w:b/>
          <w:w w:val="99"/>
          <w:sz w:val="21"/>
        </w:rPr>
        <w:t xml:space="preserve"> </w:t>
      </w:r>
    </w:p>
    <w:p w14:paraId="6CB5C3D5" w14:textId="77777777" w:rsidR="00A71EEF" w:rsidRDefault="00A71EEF">
      <w:pPr>
        <w:pStyle w:val="a3"/>
        <w:rPr>
          <w:b/>
          <w:sz w:val="18"/>
        </w:rPr>
      </w:pPr>
    </w:p>
    <w:p w14:paraId="1426BF36" w14:textId="77777777" w:rsidR="00A71EEF" w:rsidRDefault="0081115D">
      <w:pPr>
        <w:pStyle w:val="a4"/>
        <w:numPr>
          <w:ilvl w:val="3"/>
          <w:numId w:val="535"/>
        </w:numPr>
        <w:tabs>
          <w:tab w:val="left" w:pos="1583"/>
        </w:tabs>
        <w:spacing w:line="446" w:lineRule="auto"/>
        <w:ind w:right="1601" w:firstLine="422"/>
        <w:rPr>
          <w:sz w:val="21"/>
        </w:rPr>
      </w:pPr>
      <w:r>
        <w:rPr>
          <w:spacing w:val="-6"/>
          <w:sz w:val="21"/>
        </w:rPr>
        <w:t>防火窗上使用的复合防火玻璃的外观质量应符合</w:t>
      </w:r>
      <w:r>
        <w:rPr>
          <w:spacing w:val="-6"/>
          <w:sz w:val="21"/>
        </w:rPr>
        <w:t xml:space="preserve"> </w:t>
      </w:r>
      <w:r>
        <w:rPr>
          <w:sz w:val="21"/>
        </w:rPr>
        <w:t>GB</w:t>
      </w:r>
      <w:r>
        <w:rPr>
          <w:spacing w:val="5"/>
          <w:sz w:val="21"/>
        </w:rPr>
        <w:t xml:space="preserve"> </w:t>
      </w:r>
      <w:r>
        <w:rPr>
          <w:sz w:val="21"/>
        </w:rPr>
        <w:t>15763.1-2001</w:t>
      </w:r>
      <w:r>
        <w:rPr>
          <w:spacing w:val="-33"/>
          <w:sz w:val="21"/>
        </w:rPr>
        <w:t xml:space="preserve"> </w:t>
      </w:r>
      <w:r>
        <w:rPr>
          <w:spacing w:val="-33"/>
          <w:sz w:val="21"/>
        </w:rPr>
        <w:t>表</w:t>
      </w:r>
      <w:r>
        <w:rPr>
          <w:spacing w:val="-33"/>
          <w:sz w:val="21"/>
        </w:rPr>
        <w:t xml:space="preserve"> </w:t>
      </w:r>
      <w:r>
        <w:rPr>
          <w:sz w:val="21"/>
        </w:rPr>
        <w:t>4</w:t>
      </w:r>
      <w:r>
        <w:rPr>
          <w:spacing w:val="-12"/>
          <w:sz w:val="21"/>
        </w:rPr>
        <w:t xml:space="preserve"> </w:t>
      </w:r>
      <w:r>
        <w:rPr>
          <w:spacing w:val="-12"/>
          <w:sz w:val="21"/>
        </w:rPr>
        <w:t>的规定，</w:t>
      </w:r>
      <w:r>
        <w:rPr>
          <w:spacing w:val="-12"/>
          <w:sz w:val="21"/>
        </w:rPr>
        <w:t xml:space="preserve"> </w:t>
      </w:r>
      <w:r>
        <w:rPr>
          <w:spacing w:val="-10"/>
          <w:sz w:val="21"/>
        </w:rPr>
        <w:t>单片防火玻璃的外观质量应符合</w:t>
      </w:r>
      <w:r>
        <w:rPr>
          <w:spacing w:val="-10"/>
          <w:sz w:val="21"/>
        </w:rPr>
        <w:t xml:space="preserve"> </w:t>
      </w:r>
      <w:r>
        <w:rPr>
          <w:sz w:val="21"/>
        </w:rPr>
        <w:t>GB</w:t>
      </w:r>
      <w:r>
        <w:rPr>
          <w:spacing w:val="-2"/>
          <w:sz w:val="21"/>
        </w:rPr>
        <w:t xml:space="preserve"> </w:t>
      </w:r>
      <w:r>
        <w:rPr>
          <w:sz w:val="21"/>
        </w:rPr>
        <w:t>15763.1-2001</w:t>
      </w:r>
      <w:r>
        <w:rPr>
          <w:spacing w:val="-36"/>
          <w:sz w:val="21"/>
        </w:rPr>
        <w:t xml:space="preserve"> </w:t>
      </w:r>
      <w:r>
        <w:rPr>
          <w:spacing w:val="-36"/>
          <w:sz w:val="21"/>
        </w:rPr>
        <w:t>表</w:t>
      </w:r>
      <w:r>
        <w:rPr>
          <w:spacing w:val="-36"/>
          <w:sz w:val="21"/>
        </w:rPr>
        <w:t xml:space="preserve"> </w:t>
      </w:r>
      <w:r>
        <w:rPr>
          <w:sz w:val="21"/>
        </w:rPr>
        <w:t>5</w:t>
      </w:r>
      <w:r>
        <w:rPr>
          <w:spacing w:val="-13"/>
          <w:sz w:val="21"/>
        </w:rPr>
        <w:t xml:space="preserve"> </w:t>
      </w:r>
      <w:r>
        <w:rPr>
          <w:spacing w:val="-13"/>
          <w:sz w:val="21"/>
        </w:rPr>
        <w:t>的规定。</w:t>
      </w:r>
      <w:r>
        <w:rPr>
          <w:sz w:val="21"/>
        </w:rPr>
        <w:t xml:space="preserve"> </w:t>
      </w:r>
    </w:p>
    <w:p w14:paraId="2D8245C6" w14:textId="77777777" w:rsidR="00A71EEF" w:rsidRDefault="00A71EEF">
      <w:pPr>
        <w:spacing w:line="446" w:lineRule="auto"/>
        <w:rPr>
          <w:sz w:val="21"/>
        </w:rPr>
        <w:sectPr w:rsidR="00A71EEF">
          <w:pgSz w:w="11910" w:h="16850"/>
          <w:pgMar w:top="1600" w:right="0" w:bottom="1420" w:left="1260" w:header="0" w:footer="1159" w:gutter="0"/>
          <w:cols w:space="720"/>
        </w:sectPr>
      </w:pPr>
    </w:p>
    <w:p w14:paraId="79BB7785" w14:textId="77777777" w:rsidR="00A71EEF" w:rsidRDefault="0081115D">
      <w:pPr>
        <w:pStyle w:val="a4"/>
        <w:numPr>
          <w:ilvl w:val="3"/>
          <w:numId w:val="535"/>
        </w:numPr>
        <w:tabs>
          <w:tab w:val="left" w:pos="1583"/>
        </w:tabs>
        <w:spacing w:before="47" w:line="446" w:lineRule="auto"/>
        <w:ind w:right="1606" w:firstLine="422"/>
        <w:rPr>
          <w:sz w:val="21"/>
        </w:rPr>
      </w:pPr>
      <w:r>
        <w:rPr>
          <w:spacing w:val="-5"/>
          <w:sz w:val="21"/>
        </w:rPr>
        <w:t>防火窗上使用的复合防火玻璃的厚度允许偏差应符合</w:t>
      </w:r>
      <w:r>
        <w:rPr>
          <w:spacing w:val="-5"/>
          <w:sz w:val="21"/>
        </w:rPr>
        <w:t xml:space="preserve"> </w:t>
      </w:r>
      <w:r>
        <w:rPr>
          <w:sz w:val="21"/>
        </w:rPr>
        <w:t>GB</w:t>
      </w:r>
      <w:r>
        <w:rPr>
          <w:spacing w:val="5"/>
          <w:sz w:val="21"/>
        </w:rPr>
        <w:t xml:space="preserve"> </w:t>
      </w:r>
      <w:r>
        <w:rPr>
          <w:sz w:val="21"/>
        </w:rPr>
        <w:t>15763.1-2001</w:t>
      </w:r>
      <w:r>
        <w:rPr>
          <w:spacing w:val="-34"/>
          <w:sz w:val="21"/>
        </w:rPr>
        <w:t xml:space="preserve"> </w:t>
      </w:r>
      <w:r>
        <w:rPr>
          <w:spacing w:val="-34"/>
          <w:sz w:val="21"/>
        </w:rPr>
        <w:t>表</w:t>
      </w:r>
      <w:r>
        <w:rPr>
          <w:spacing w:val="-34"/>
          <w:sz w:val="21"/>
        </w:rPr>
        <w:t xml:space="preserve"> </w:t>
      </w:r>
      <w:r>
        <w:rPr>
          <w:sz w:val="21"/>
        </w:rPr>
        <w:t>2</w:t>
      </w:r>
      <w:r>
        <w:rPr>
          <w:spacing w:val="-19"/>
          <w:sz w:val="21"/>
        </w:rPr>
        <w:t xml:space="preserve"> </w:t>
      </w:r>
      <w:r>
        <w:rPr>
          <w:spacing w:val="-19"/>
          <w:sz w:val="21"/>
        </w:rPr>
        <w:t>的规</w:t>
      </w:r>
      <w:r>
        <w:rPr>
          <w:spacing w:val="-6"/>
          <w:sz w:val="21"/>
        </w:rPr>
        <w:t>定，单片防火玻璃的厚度允许偏差应符合</w:t>
      </w:r>
      <w:r>
        <w:rPr>
          <w:spacing w:val="-6"/>
          <w:sz w:val="21"/>
        </w:rPr>
        <w:t xml:space="preserve"> </w:t>
      </w:r>
      <w:r>
        <w:rPr>
          <w:sz w:val="21"/>
        </w:rPr>
        <w:t>GB</w:t>
      </w:r>
      <w:r>
        <w:rPr>
          <w:spacing w:val="-1"/>
          <w:sz w:val="21"/>
        </w:rPr>
        <w:t xml:space="preserve"> </w:t>
      </w:r>
      <w:r>
        <w:rPr>
          <w:sz w:val="21"/>
        </w:rPr>
        <w:t>15763.1-2001</w:t>
      </w:r>
      <w:r>
        <w:rPr>
          <w:spacing w:val="-36"/>
          <w:sz w:val="21"/>
        </w:rPr>
        <w:t xml:space="preserve"> </w:t>
      </w:r>
      <w:r>
        <w:rPr>
          <w:spacing w:val="-36"/>
          <w:sz w:val="21"/>
        </w:rPr>
        <w:t>表</w:t>
      </w:r>
      <w:r>
        <w:rPr>
          <w:spacing w:val="-36"/>
          <w:sz w:val="21"/>
        </w:rPr>
        <w:t xml:space="preserve"> </w:t>
      </w:r>
      <w:r>
        <w:rPr>
          <w:sz w:val="21"/>
        </w:rPr>
        <w:t>3</w:t>
      </w:r>
      <w:r>
        <w:rPr>
          <w:spacing w:val="-13"/>
          <w:sz w:val="21"/>
        </w:rPr>
        <w:t xml:space="preserve"> </w:t>
      </w:r>
      <w:r>
        <w:rPr>
          <w:spacing w:val="-13"/>
          <w:sz w:val="21"/>
        </w:rPr>
        <w:t>的规定。</w:t>
      </w:r>
      <w:r>
        <w:rPr>
          <w:sz w:val="21"/>
        </w:rPr>
        <w:t xml:space="preserve"> </w:t>
      </w:r>
    </w:p>
    <w:p w14:paraId="27E52B2B" w14:textId="77777777" w:rsidR="00A71EEF" w:rsidRDefault="0081115D">
      <w:pPr>
        <w:pStyle w:val="a4"/>
        <w:numPr>
          <w:ilvl w:val="2"/>
          <w:numId w:val="535"/>
        </w:numPr>
        <w:tabs>
          <w:tab w:val="left" w:pos="1370"/>
        </w:tabs>
        <w:spacing w:line="267" w:lineRule="exact"/>
        <w:ind w:hanging="530"/>
        <w:rPr>
          <w:b/>
          <w:sz w:val="21"/>
        </w:rPr>
      </w:pPr>
      <w:r>
        <w:rPr>
          <w:spacing w:val="-3"/>
          <w:sz w:val="21"/>
        </w:rPr>
        <w:t>尺寸偏差</w:t>
      </w:r>
      <w:r>
        <w:rPr>
          <w:b/>
          <w:w w:val="99"/>
          <w:sz w:val="21"/>
        </w:rPr>
        <w:t xml:space="preserve"> </w:t>
      </w:r>
    </w:p>
    <w:p w14:paraId="1DB5E238" w14:textId="77777777" w:rsidR="00A71EEF" w:rsidRDefault="00A71EEF">
      <w:pPr>
        <w:pStyle w:val="a3"/>
        <w:spacing w:before="2"/>
        <w:rPr>
          <w:b/>
          <w:sz w:val="18"/>
        </w:rPr>
      </w:pPr>
    </w:p>
    <w:p w14:paraId="65B450C3" w14:textId="77777777" w:rsidR="00A71EEF" w:rsidRDefault="0081115D">
      <w:pPr>
        <w:pStyle w:val="a3"/>
        <w:ind w:left="838"/>
      </w:pPr>
      <w:r>
        <w:t xml:space="preserve"> </w:t>
      </w:r>
      <w:r>
        <w:t>防火窗的尺寸允许偏差按表</w:t>
      </w:r>
      <w:r>
        <w:t xml:space="preserve"> 4 </w:t>
      </w:r>
      <w:r>
        <w:t>的规定。</w:t>
      </w:r>
      <w:r>
        <w:t xml:space="preserve"> </w:t>
      </w:r>
    </w:p>
    <w:p w14:paraId="518B418C" w14:textId="77777777" w:rsidR="00A71EEF" w:rsidRDefault="00A71EEF">
      <w:pPr>
        <w:pStyle w:val="a3"/>
        <w:rPr>
          <w:sz w:val="20"/>
        </w:rPr>
      </w:pPr>
    </w:p>
    <w:p w14:paraId="665E8999" w14:textId="77777777" w:rsidR="00A71EEF" w:rsidRDefault="00A71EEF">
      <w:pPr>
        <w:pStyle w:val="a3"/>
        <w:rPr>
          <w:sz w:val="20"/>
        </w:rPr>
      </w:pPr>
    </w:p>
    <w:p w14:paraId="53D1A871" w14:textId="77777777" w:rsidR="00A71EEF" w:rsidRDefault="00A71EEF">
      <w:pPr>
        <w:pStyle w:val="a3"/>
        <w:rPr>
          <w:sz w:val="20"/>
        </w:rPr>
      </w:pPr>
    </w:p>
    <w:p w14:paraId="2D37EC8A" w14:textId="77777777" w:rsidR="00A71EEF" w:rsidRDefault="00A71EEF">
      <w:pPr>
        <w:pStyle w:val="a3"/>
        <w:rPr>
          <w:sz w:val="20"/>
        </w:rPr>
      </w:pPr>
    </w:p>
    <w:p w14:paraId="557A3CC7" w14:textId="77777777" w:rsidR="00A71EEF" w:rsidRDefault="00A71EEF">
      <w:pPr>
        <w:pStyle w:val="a3"/>
        <w:rPr>
          <w:sz w:val="20"/>
        </w:rPr>
      </w:pPr>
    </w:p>
    <w:p w14:paraId="4D7A858B" w14:textId="77777777" w:rsidR="00A71EEF" w:rsidRDefault="00A71EEF">
      <w:pPr>
        <w:pStyle w:val="a3"/>
        <w:spacing w:before="6"/>
        <w:rPr>
          <w:sz w:val="29"/>
        </w:rPr>
      </w:pPr>
    </w:p>
    <w:p w14:paraId="70620ADF" w14:textId="77777777" w:rsidR="00A71EEF" w:rsidRDefault="0081115D">
      <w:pPr>
        <w:pStyle w:val="6"/>
        <w:spacing w:before="72"/>
        <w:ind w:left="2098"/>
      </w:pPr>
      <w:r>
        <w:rPr>
          <w:w w:val="99"/>
        </w:rPr>
        <w:t xml:space="preserve">       </w:t>
      </w:r>
      <w:r>
        <w:rPr>
          <w:b w:val="0"/>
        </w:rPr>
        <w:t xml:space="preserve"> </w:t>
      </w:r>
      <w:r>
        <w:rPr>
          <w:b w:val="0"/>
        </w:rPr>
        <w:t xml:space="preserve"> </w:t>
      </w:r>
      <w:r>
        <w:rPr>
          <w:b w:val="0"/>
        </w:rPr>
        <w:t xml:space="preserve"> </w:t>
      </w:r>
      <w:r>
        <w:rPr>
          <w:w w:val="99"/>
        </w:rPr>
        <w:t xml:space="preserve"> </w:t>
      </w:r>
      <w:r>
        <w:t xml:space="preserve"> </w:t>
      </w:r>
      <w:r>
        <w:t>表</w:t>
      </w:r>
      <w:r>
        <w:t xml:space="preserve"> 4 </w:t>
      </w:r>
      <w:r>
        <w:t>防火窗尺寸允许偏差</w:t>
      </w:r>
      <w:r>
        <w:t xml:space="preserve"> </w:t>
      </w:r>
      <w:r>
        <w:t>单位为毫米</w:t>
      </w:r>
      <w:r>
        <w:rPr>
          <w:w w:val="99"/>
        </w:rPr>
        <w:t xml:space="preserve"> </w:t>
      </w:r>
      <w:r>
        <w:t xml:space="preserve"> </w:t>
      </w:r>
      <w:r>
        <w:rPr>
          <w:w w:val="99"/>
        </w:rPr>
        <w:t xml:space="preserve"> </w:t>
      </w:r>
    </w:p>
    <w:p w14:paraId="7C4803FF" w14:textId="77777777" w:rsidR="00A71EEF" w:rsidRDefault="0081115D">
      <w:pPr>
        <w:pStyle w:val="a3"/>
        <w:spacing w:before="4"/>
        <w:rPr>
          <w:b/>
          <w:sz w:val="13"/>
        </w:rPr>
      </w:pPr>
      <w:r>
        <w:rPr>
          <w:noProof/>
        </w:rPr>
        <w:drawing>
          <wp:anchor distT="0" distB="0" distL="0" distR="0" simplePos="0" relativeHeight="251605504" behindDoc="0" locked="0" layoutInCell="1" allowOverlap="1" wp14:anchorId="0999F77A" wp14:editId="72B7B5A2">
            <wp:simplePos x="0" y="0"/>
            <wp:positionH relativeFrom="page">
              <wp:posOffset>1256030</wp:posOffset>
            </wp:positionH>
            <wp:positionV relativeFrom="paragraph">
              <wp:posOffset>133207</wp:posOffset>
            </wp:positionV>
            <wp:extent cx="5257800" cy="819150"/>
            <wp:effectExtent l="0" t="0" r="0" b="0"/>
            <wp:wrapTopAndBottom/>
            <wp:docPr id="389" name="image2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231.jpeg"/>
                    <pic:cNvPicPr/>
                  </pic:nvPicPr>
                  <pic:blipFill>
                    <a:blip r:embed="rId273" cstate="print"/>
                    <a:stretch>
                      <a:fillRect/>
                    </a:stretch>
                  </pic:blipFill>
                  <pic:spPr>
                    <a:xfrm>
                      <a:off x="0" y="0"/>
                      <a:ext cx="5257800" cy="819150"/>
                    </a:xfrm>
                    <a:prstGeom prst="rect">
                      <a:avLst/>
                    </a:prstGeom>
                  </pic:spPr>
                </pic:pic>
              </a:graphicData>
            </a:graphic>
          </wp:anchor>
        </w:drawing>
      </w:r>
    </w:p>
    <w:p w14:paraId="71CE388F" w14:textId="77777777" w:rsidR="00A71EEF" w:rsidRDefault="0081115D">
      <w:pPr>
        <w:pStyle w:val="a4"/>
        <w:numPr>
          <w:ilvl w:val="2"/>
          <w:numId w:val="535"/>
        </w:numPr>
        <w:tabs>
          <w:tab w:val="left" w:pos="1371"/>
        </w:tabs>
        <w:spacing w:before="163"/>
        <w:ind w:left="1370" w:hanging="531"/>
        <w:rPr>
          <w:b/>
          <w:sz w:val="21"/>
        </w:rPr>
      </w:pPr>
      <w:r>
        <w:rPr>
          <w:spacing w:val="-3"/>
          <w:sz w:val="21"/>
        </w:rPr>
        <w:t>抗风压性能</w:t>
      </w:r>
      <w:r>
        <w:rPr>
          <w:b/>
          <w:w w:val="99"/>
          <w:sz w:val="21"/>
        </w:rPr>
        <w:t xml:space="preserve"> </w:t>
      </w:r>
    </w:p>
    <w:p w14:paraId="0F5CA796" w14:textId="77777777" w:rsidR="00A71EEF" w:rsidRDefault="00A71EEF">
      <w:pPr>
        <w:pStyle w:val="a3"/>
        <w:spacing w:before="12"/>
        <w:rPr>
          <w:b/>
          <w:sz w:val="17"/>
        </w:rPr>
      </w:pPr>
    </w:p>
    <w:p w14:paraId="7095CCAD" w14:textId="77777777" w:rsidR="00A71EEF" w:rsidRDefault="0081115D">
      <w:pPr>
        <w:pStyle w:val="a3"/>
        <w:spacing w:line="446" w:lineRule="auto"/>
        <w:ind w:left="418" w:right="1707" w:firstLine="419"/>
      </w:pPr>
      <w:r>
        <w:t>采用定级检测压力差为抗风压性能分级指标。防火窗的抗风压性能不应低于</w:t>
      </w:r>
      <w:r>
        <w:t xml:space="preserve"> GB/T 7106- 2002 </w:t>
      </w:r>
      <w:r>
        <w:t>表</w:t>
      </w:r>
      <w:r>
        <w:t xml:space="preserve"> 1 </w:t>
      </w:r>
      <w:r>
        <w:t>规定的</w:t>
      </w:r>
      <w:r>
        <w:t xml:space="preserve"> 4 </w:t>
      </w:r>
      <w:r>
        <w:t>级。</w:t>
      </w:r>
      <w:r>
        <w:t xml:space="preserve"> </w:t>
      </w:r>
    </w:p>
    <w:p w14:paraId="3DDA08FA" w14:textId="77777777" w:rsidR="00A71EEF" w:rsidRDefault="0081115D">
      <w:pPr>
        <w:pStyle w:val="a4"/>
        <w:numPr>
          <w:ilvl w:val="2"/>
          <w:numId w:val="535"/>
        </w:numPr>
        <w:tabs>
          <w:tab w:val="left" w:pos="1424"/>
        </w:tabs>
        <w:spacing w:before="1"/>
        <w:ind w:left="1423" w:hanging="584"/>
        <w:rPr>
          <w:b/>
          <w:sz w:val="21"/>
        </w:rPr>
      </w:pPr>
      <w:r>
        <w:rPr>
          <w:spacing w:val="-3"/>
          <w:sz w:val="21"/>
        </w:rPr>
        <w:t>气密性能</w:t>
      </w:r>
      <w:r>
        <w:rPr>
          <w:b/>
          <w:w w:val="99"/>
          <w:sz w:val="21"/>
        </w:rPr>
        <w:t xml:space="preserve"> </w:t>
      </w:r>
    </w:p>
    <w:p w14:paraId="709729AC" w14:textId="77777777" w:rsidR="00A71EEF" w:rsidRDefault="00A71EEF">
      <w:pPr>
        <w:pStyle w:val="a3"/>
        <w:spacing w:before="12"/>
        <w:rPr>
          <w:b/>
          <w:sz w:val="17"/>
        </w:rPr>
      </w:pPr>
    </w:p>
    <w:p w14:paraId="722696EE" w14:textId="77777777" w:rsidR="00A71EEF" w:rsidRDefault="0081115D">
      <w:pPr>
        <w:pStyle w:val="a3"/>
        <w:spacing w:line="446" w:lineRule="auto"/>
        <w:ind w:left="418" w:right="1497" w:firstLine="419"/>
      </w:pPr>
      <w:r>
        <w:t>采用单位面积空气渗透量作为气密性能分级指标。防火窗的气密性能不应低于</w:t>
      </w:r>
      <w:r>
        <w:t xml:space="preserve"> GB/T 7107- 2002 </w:t>
      </w:r>
      <w:r>
        <w:t>表</w:t>
      </w:r>
      <w:r>
        <w:t xml:space="preserve"> 1 </w:t>
      </w:r>
      <w:r>
        <w:t>规定的</w:t>
      </w:r>
      <w:r>
        <w:t xml:space="preserve"> 3 </w:t>
      </w:r>
      <w:r>
        <w:t>级。</w:t>
      </w:r>
      <w:r>
        <w:t xml:space="preserve"> </w:t>
      </w:r>
    </w:p>
    <w:p w14:paraId="4D791495" w14:textId="77777777" w:rsidR="00A71EEF" w:rsidRDefault="0081115D">
      <w:pPr>
        <w:pStyle w:val="a4"/>
        <w:numPr>
          <w:ilvl w:val="2"/>
          <w:numId w:val="535"/>
        </w:numPr>
        <w:tabs>
          <w:tab w:val="left" w:pos="1370"/>
        </w:tabs>
        <w:ind w:hanging="530"/>
        <w:rPr>
          <w:b/>
          <w:sz w:val="21"/>
        </w:rPr>
      </w:pPr>
      <w:r>
        <w:rPr>
          <w:spacing w:val="-3"/>
          <w:sz w:val="21"/>
        </w:rPr>
        <w:t>耐火性能</w:t>
      </w:r>
      <w:r>
        <w:rPr>
          <w:b/>
          <w:w w:val="99"/>
          <w:sz w:val="21"/>
        </w:rPr>
        <w:t xml:space="preserve"> </w:t>
      </w:r>
    </w:p>
    <w:p w14:paraId="3917762A" w14:textId="77777777" w:rsidR="00A71EEF" w:rsidRDefault="00A71EEF">
      <w:pPr>
        <w:pStyle w:val="a3"/>
        <w:spacing w:before="12"/>
        <w:rPr>
          <w:b/>
          <w:sz w:val="17"/>
        </w:rPr>
      </w:pPr>
    </w:p>
    <w:p w14:paraId="541D0186" w14:textId="77777777" w:rsidR="00A71EEF" w:rsidRDefault="0081115D">
      <w:pPr>
        <w:pStyle w:val="a3"/>
        <w:spacing w:line="446" w:lineRule="auto"/>
        <w:ind w:left="840" w:right="6129" w:hanging="3"/>
      </w:pPr>
      <w:r>
        <w:rPr>
          <w:spacing w:val="-7"/>
        </w:rPr>
        <w:t>防火窗的耐火性能应符合表</w:t>
      </w:r>
      <w:r>
        <w:rPr>
          <w:spacing w:val="-7"/>
        </w:rPr>
        <w:t xml:space="preserve"> </w:t>
      </w:r>
      <w:r>
        <w:t>3</w:t>
      </w:r>
      <w:r>
        <w:rPr>
          <w:spacing w:val="-13"/>
        </w:rPr>
        <w:t xml:space="preserve"> </w:t>
      </w:r>
      <w:r>
        <w:rPr>
          <w:spacing w:val="-13"/>
        </w:rPr>
        <w:t>的规定。</w:t>
      </w:r>
      <w:r>
        <w:rPr>
          <w:b/>
        </w:rPr>
        <w:t>7.2</w:t>
      </w:r>
      <w:r>
        <w:rPr>
          <w:b/>
          <w:spacing w:val="3"/>
        </w:rPr>
        <w:t xml:space="preserve"> </w:t>
      </w:r>
      <w:r>
        <w:rPr>
          <w:spacing w:val="-3"/>
        </w:rPr>
        <w:t>活动式防火窗的附加要求</w:t>
      </w:r>
      <w:r>
        <w:t xml:space="preserve"> </w:t>
      </w:r>
    </w:p>
    <w:p w14:paraId="77D04A77" w14:textId="77777777" w:rsidR="00A71EEF" w:rsidRDefault="0081115D">
      <w:pPr>
        <w:spacing w:before="1"/>
        <w:ind w:left="840"/>
        <w:rPr>
          <w:b/>
          <w:sz w:val="21"/>
        </w:rPr>
      </w:pPr>
      <w:r>
        <w:rPr>
          <w:b/>
          <w:sz w:val="21"/>
        </w:rPr>
        <w:t xml:space="preserve">7.2.1 </w:t>
      </w:r>
      <w:r>
        <w:rPr>
          <w:sz w:val="21"/>
        </w:rPr>
        <w:t>热敏感元件的静态动作温度</w:t>
      </w:r>
      <w:r>
        <w:rPr>
          <w:b/>
          <w:w w:val="99"/>
          <w:sz w:val="21"/>
        </w:rPr>
        <w:t xml:space="preserve"> </w:t>
      </w:r>
    </w:p>
    <w:p w14:paraId="0CC5C0CD" w14:textId="77777777" w:rsidR="00A71EEF" w:rsidRDefault="00A71EEF">
      <w:pPr>
        <w:pStyle w:val="a3"/>
        <w:spacing w:before="12"/>
        <w:rPr>
          <w:b/>
          <w:sz w:val="17"/>
        </w:rPr>
      </w:pPr>
    </w:p>
    <w:p w14:paraId="19823ED5" w14:textId="77777777" w:rsidR="00A71EEF" w:rsidRDefault="0081115D">
      <w:pPr>
        <w:pStyle w:val="a3"/>
        <w:ind w:left="838"/>
      </w:pPr>
      <w:r>
        <w:t>活动式防火窗中窗扇启闭控制装置采用的热敏感元件，在（</w:t>
      </w:r>
      <w:r>
        <w:t>64±0.5</w:t>
      </w:r>
      <w:r>
        <w:t>）</w:t>
      </w:r>
      <w:r>
        <w:t>℃</w:t>
      </w:r>
      <w:r>
        <w:t>的温度下</w:t>
      </w:r>
      <w:r>
        <w:t xml:space="preserve"> 5.0min</w:t>
      </w:r>
    </w:p>
    <w:p w14:paraId="34B13A5C" w14:textId="77777777" w:rsidR="00A71EEF" w:rsidRDefault="00A71EEF">
      <w:pPr>
        <w:pStyle w:val="a3"/>
        <w:spacing w:before="12"/>
        <w:rPr>
          <w:sz w:val="17"/>
        </w:rPr>
      </w:pPr>
    </w:p>
    <w:p w14:paraId="0E18B21E" w14:textId="77777777" w:rsidR="00A71EEF" w:rsidRDefault="0081115D">
      <w:pPr>
        <w:pStyle w:val="a3"/>
        <w:spacing w:line="446" w:lineRule="auto"/>
        <w:ind w:left="840" w:right="4451" w:hanging="423"/>
        <w:rPr>
          <w:b/>
        </w:rPr>
      </w:pPr>
      <w:r>
        <w:t>内不应动作，在（</w:t>
      </w:r>
      <w:r>
        <w:t>74±0.5</w:t>
      </w:r>
      <w:r>
        <w:t>）</w:t>
      </w:r>
      <w:r>
        <w:t>℃</w:t>
      </w:r>
      <w:r>
        <w:t>的温度下</w:t>
      </w:r>
      <w:r>
        <w:t xml:space="preserve"> 1.0min </w:t>
      </w:r>
      <w:r>
        <w:t>内应能动作。</w:t>
      </w:r>
      <w:r>
        <w:rPr>
          <w:b/>
        </w:rPr>
        <w:t xml:space="preserve">7.2.2 </w:t>
      </w:r>
      <w:r>
        <w:t>活动窗扇尺寸允许偏差</w:t>
      </w:r>
      <w:r>
        <w:rPr>
          <w:b/>
          <w:w w:val="99"/>
        </w:rPr>
        <w:t xml:space="preserve"> </w:t>
      </w:r>
    </w:p>
    <w:p w14:paraId="6475E271" w14:textId="77777777" w:rsidR="00A71EEF" w:rsidRDefault="0081115D">
      <w:pPr>
        <w:pStyle w:val="a3"/>
        <w:ind w:left="838"/>
      </w:pPr>
      <w:r>
        <w:t>活动窗扇的尺寸允许偏差按表</w:t>
      </w:r>
      <w:r>
        <w:t xml:space="preserve"> 5 </w:t>
      </w:r>
      <w:r>
        <w:t>的规定。</w:t>
      </w:r>
      <w:r>
        <w:t xml:space="preserve"> </w:t>
      </w:r>
    </w:p>
    <w:p w14:paraId="197CF613" w14:textId="77777777" w:rsidR="00A71EEF" w:rsidRDefault="00A71EEF">
      <w:pPr>
        <w:sectPr w:rsidR="00A71EEF">
          <w:pgSz w:w="11910" w:h="16850"/>
          <w:pgMar w:top="1220" w:right="0" w:bottom="1420" w:left="1260" w:header="0" w:footer="1159" w:gutter="0"/>
          <w:cols w:space="720"/>
        </w:sectPr>
      </w:pPr>
    </w:p>
    <w:p w14:paraId="69F8F564" w14:textId="77777777" w:rsidR="00A71EEF" w:rsidRDefault="0081115D">
      <w:pPr>
        <w:pStyle w:val="6"/>
        <w:spacing w:before="47"/>
        <w:ind w:left="840"/>
      </w:pPr>
      <w:r>
        <w:rPr>
          <w:w w:val="99"/>
        </w:rPr>
        <w:t xml:space="preserve">  </w:t>
      </w:r>
      <w:r>
        <w:t xml:space="preserve"> </w:t>
      </w:r>
      <w:r>
        <w:rPr>
          <w:w w:val="99"/>
        </w:rPr>
        <w:t xml:space="preserve"> </w:t>
      </w:r>
      <w:r>
        <w:t xml:space="preserve"> </w:t>
      </w:r>
      <w:r>
        <w:rPr>
          <w:w w:val="99"/>
        </w:rPr>
        <w:t xml:space="preserve"> </w:t>
      </w:r>
      <w:r>
        <w:t xml:space="preserve"> </w:t>
      </w:r>
      <w:r>
        <w:t>表</w:t>
      </w:r>
      <w:r>
        <w:t xml:space="preserve"> 5 </w:t>
      </w:r>
      <w:r>
        <w:t>活动窗扇尺寸允许偏差</w:t>
      </w:r>
      <w:r>
        <w:t xml:space="preserve"> </w:t>
      </w:r>
      <w:r>
        <w:t>单位为毫米</w:t>
      </w:r>
      <w:r>
        <w:rPr>
          <w:w w:val="99"/>
        </w:rPr>
        <w:t xml:space="preserve"> </w:t>
      </w:r>
      <w:r>
        <w:t xml:space="preserve"> </w:t>
      </w:r>
      <w:r>
        <w:rPr>
          <w:w w:val="99"/>
        </w:rPr>
        <w:t xml:space="preserve"> </w:t>
      </w:r>
    </w:p>
    <w:p w14:paraId="0EEAE9E7" w14:textId="77777777" w:rsidR="00A71EEF" w:rsidRDefault="0081115D">
      <w:pPr>
        <w:pStyle w:val="a3"/>
        <w:spacing w:before="4"/>
        <w:rPr>
          <w:b/>
          <w:sz w:val="8"/>
        </w:rPr>
      </w:pPr>
      <w:r>
        <w:rPr>
          <w:noProof/>
        </w:rPr>
        <w:drawing>
          <wp:anchor distT="0" distB="0" distL="0" distR="0" simplePos="0" relativeHeight="251606528" behindDoc="0" locked="0" layoutInCell="1" allowOverlap="1" wp14:anchorId="0CBFF3CA" wp14:editId="3AF845DA">
            <wp:simplePos x="0" y="0"/>
            <wp:positionH relativeFrom="page">
              <wp:posOffset>867410</wp:posOffset>
            </wp:positionH>
            <wp:positionV relativeFrom="paragraph">
              <wp:posOffset>92796</wp:posOffset>
            </wp:positionV>
            <wp:extent cx="5621903" cy="1714500"/>
            <wp:effectExtent l="0" t="0" r="0" b="0"/>
            <wp:wrapTopAndBottom/>
            <wp:docPr id="391" name="image2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232.jpeg"/>
                    <pic:cNvPicPr/>
                  </pic:nvPicPr>
                  <pic:blipFill>
                    <a:blip r:embed="rId274" cstate="print"/>
                    <a:stretch>
                      <a:fillRect/>
                    </a:stretch>
                  </pic:blipFill>
                  <pic:spPr>
                    <a:xfrm>
                      <a:off x="0" y="0"/>
                      <a:ext cx="5621903" cy="1714500"/>
                    </a:xfrm>
                    <a:prstGeom prst="rect">
                      <a:avLst/>
                    </a:prstGeom>
                  </pic:spPr>
                </pic:pic>
              </a:graphicData>
            </a:graphic>
          </wp:anchor>
        </w:drawing>
      </w:r>
    </w:p>
    <w:p w14:paraId="651BFDF6" w14:textId="77777777" w:rsidR="00A71EEF" w:rsidRDefault="0081115D">
      <w:pPr>
        <w:pStyle w:val="a4"/>
        <w:numPr>
          <w:ilvl w:val="2"/>
          <w:numId w:val="534"/>
        </w:numPr>
        <w:tabs>
          <w:tab w:val="left" w:pos="1371"/>
        </w:tabs>
        <w:spacing w:before="157"/>
        <w:rPr>
          <w:b/>
          <w:sz w:val="21"/>
        </w:rPr>
      </w:pPr>
      <w:r>
        <w:rPr>
          <w:spacing w:val="-3"/>
          <w:sz w:val="21"/>
        </w:rPr>
        <w:t>窗扇关闭可靠性</w:t>
      </w:r>
      <w:r>
        <w:rPr>
          <w:b/>
          <w:w w:val="99"/>
          <w:sz w:val="21"/>
        </w:rPr>
        <w:t xml:space="preserve"> </w:t>
      </w:r>
    </w:p>
    <w:p w14:paraId="7DEAA54C" w14:textId="77777777" w:rsidR="00A71EEF" w:rsidRDefault="00A71EEF">
      <w:pPr>
        <w:pStyle w:val="a3"/>
        <w:spacing w:before="2"/>
        <w:rPr>
          <w:b/>
          <w:sz w:val="18"/>
        </w:rPr>
      </w:pPr>
    </w:p>
    <w:p w14:paraId="2DD45A22" w14:textId="77777777" w:rsidR="00A71EEF" w:rsidRDefault="0081115D">
      <w:pPr>
        <w:pStyle w:val="a3"/>
        <w:spacing w:line="446" w:lineRule="auto"/>
        <w:ind w:left="418" w:right="1609" w:firstLine="419"/>
      </w:pPr>
      <w:r>
        <w:rPr>
          <w:spacing w:val="-5"/>
        </w:rPr>
        <w:t>手动控制窗扇启闭控制装置，在进行</w:t>
      </w:r>
      <w:r>
        <w:rPr>
          <w:spacing w:val="-5"/>
        </w:rPr>
        <w:t xml:space="preserve"> </w:t>
      </w:r>
      <w:r>
        <w:t>100</w:t>
      </w:r>
      <w:r>
        <w:rPr>
          <w:spacing w:val="-7"/>
        </w:rPr>
        <w:t xml:space="preserve"> </w:t>
      </w:r>
      <w:r>
        <w:rPr>
          <w:spacing w:val="-7"/>
        </w:rPr>
        <w:t>次的开启／关闭运行试验中，活动窗扇应能灵活</w:t>
      </w:r>
      <w:r>
        <w:rPr>
          <w:spacing w:val="-5"/>
        </w:rPr>
        <w:t>开启，并完全关闭，无启闭卡阻现象，各零部件无脱落和损坏现象。</w:t>
      </w:r>
      <w:r>
        <w:t xml:space="preserve"> </w:t>
      </w:r>
    </w:p>
    <w:p w14:paraId="46929834" w14:textId="77777777" w:rsidR="00A71EEF" w:rsidRDefault="0081115D">
      <w:pPr>
        <w:pStyle w:val="a4"/>
        <w:numPr>
          <w:ilvl w:val="2"/>
          <w:numId w:val="534"/>
        </w:numPr>
        <w:tabs>
          <w:tab w:val="left" w:pos="1370"/>
        </w:tabs>
        <w:spacing w:line="267" w:lineRule="exact"/>
        <w:ind w:left="1369" w:hanging="530"/>
        <w:rPr>
          <w:b/>
          <w:sz w:val="21"/>
        </w:rPr>
      </w:pPr>
      <w:r>
        <w:rPr>
          <w:spacing w:val="-3"/>
          <w:sz w:val="21"/>
        </w:rPr>
        <w:t>窗扇自动关闭时间</w:t>
      </w:r>
      <w:r>
        <w:rPr>
          <w:b/>
          <w:w w:val="99"/>
          <w:sz w:val="21"/>
        </w:rPr>
        <w:t xml:space="preserve"> </w:t>
      </w:r>
    </w:p>
    <w:p w14:paraId="00E5D22B" w14:textId="77777777" w:rsidR="00A71EEF" w:rsidRDefault="00A71EEF">
      <w:pPr>
        <w:pStyle w:val="a3"/>
        <w:spacing w:before="2"/>
        <w:rPr>
          <w:b/>
          <w:sz w:val="18"/>
        </w:rPr>
      </w:pPr>
    </w:p>
    <w:p w14:paraId="0BBC75D8" w14:textId="77777777" w:rsidR="00A71EEF" w:rsidRDefault="0081115D">
      <w:pPr>
        <w:pStyle w:val="a3"/>
        <w:ind w:left="838"/>
      </w:pPr>
      <w:r>
        <w:t>活动式防火窗的窗扇自动关闭时间不应大于</w:t>
      </w:r>
      <w:r>
        <w:t xml:space="preserve"> 60s</w:t>
      </w:r>
      <w:r>
        <w:t>。</w:t>
      </w:r>
      <w:r>
        <w:t xml:space="preserve"> </w:t>
      </w:r>
    </w:p>
    <w:p w14:paraId="5801981D" w14:textId="77777777" w:rsidR="00A71EEF" w:rsidRDefault="00A71EEF">
      <w:pPr>
        <w:pStyle w:val="a3"/>
        <w:spacing w:before="8"/>
        <w:rPr>
          <w:sz w:val="15"/>
        </w:rPr>
      </w:pPr>
    </w:p>
    <w:p w14:paraId="5035822A" w14:textId="77777777" w:rsidR="00A71EEF" w:rsidRDefault="0081115D">
      <w:pPr>
        <w:pStyle w:val="4"/>
      </w:pPr>
      <w:r>
        <w:t xml:space="preserve">8 </w:t>
      </w:r>
      <w:r>
        <w:t>试验方法</w:t>
      </w:r>
      <w:r>
        <w:rPr>
          <w:w w:val="99"/>
        </w:rPr>
        <w:t xml:space="preserve"> </w:t>
      </w:r>
    </w:p>
    <w:p w14:paraId="2FCF5D86" w14:textId="77777777" w:rsidR="00A71EEF" w:rsidRDefault="00A71EEF">
      <w:pPr>
        <w:pStyle w:val="a3"/>
        <w:spacing w:before="4"/>
        <w:rPr>
          <w:b/>
          <w:sz w:val="17"/>
        </w:rPr>
      </w:pPr>
    </w:p>
    <w:p w14:paraId="4143B678" w14:textId="77777777" w:rsidR="00A71EEF" w:rsidRDefault="0081115D">
      <w:pPr>
        <w:pStyle w:val="a4"/>
        <w:numPr>
          <w:ilvl w:val="1"/>
          <w:numId w:val="533"/>
        </w:numPr>
        <w:tabs>
          <w:tab w:val="left" w:pos="1159"/>
        </w:tabs>
        <w:ind w:hanging="319"/>
        <w:rPr>
          <w:sz w:val="21"/>
        </w:rPr>
      </w:pPr>
      <w:r>
        <w:rPr>
          <w:spacing w:val="-3"/>
          <w:sz w:val="21"/>
        </w:rPr>
        <w:t>一般原则</w:t>
      </w:r>
      <w:r>
        <w:rPr>
          <w:sz w:val="21"/>
        </w:rPr>
        <w:t xml:space="preserve"> </w:t>
      </w:r>
    </w:p>
    <w:p w14:paraId="5DBBFCCC" w14:textId="77777777" w:rsidR="00A71EEF" w:rsidRDefault="00A71EEF">
      <w:pPr>
        <w:pStyle w:val="a3"/>
        <w:spacing w:before="2"/>
        <w:rPr>
          <w:sz w:val="18"/>
        </w:rPr>
      </w:pPr>
    </w:p>
    <w:p w14:paraId="0FDE0AD5" w14:textId="77777777" w:rsidR="00A71EEF" w:rsidRDefault="0081115D">
      <w:pPr>
        <w:pStyle w:val="a3"/>
        <w:spacing w:line="446" w:lineRule="auto"/>
        <w:ind w:left="418" w:right="1817" w:firstLine="419"/>
      </w:pPr>
      <w:r>
        <w:t>用于检验的防火窗试件，其结构、材料及配件应与实际使用的同一型号、规格的产品相符。</w:t>
      </w:r>
      <w:r>
        <w:t xml:space="preserve"> </w:t>
      </w:r>
    </w:p>
    <w:p w14:paraId="5452565C" w14:textId="77777777" w:rsidR="00A71EEF" w:rsidRDefault="0081115D">
      <w:pPr>
        <w:pStyle w:val="a4"/>
        <w:numPr>
          <w:ilvl w:val="1"/>
          <w:numId w:val="533"/>
        </w:numPr>
        <w:tabs>
          <w:tab w:val="left" w:pos="1160"/>
        </w:tabs>
        <w:spacing w:line="267" w:lineRule="exact"/>
        <w:ind w:left="1159" w:hanging="320"/>
        <w:rPr>
          <w:b/>
          <w:sz w:val="21"/>
        </w:rPr>
      </w:pPr>
      <w:r>
        <w:rPr>
          <w:spacing w:val="-3"/>
          <w:sz w:val="21"/>
        </w:rPr>
        <w:t>外观质量</w:t>
      </w:r>
      <w:r>
        <w:rPr>
          <w:b/>
          <w:w w:val="99"/>
          <w:sz w:val="21"/>
        </w:rPr>
        <w:t xml:space="preserve"> </w:t>
      </w:r>
    </w:p>
    <w:p w14:paraId="75C7DE1C" w14:textId="77777777" w:rsidR="00A71EEF" w:rsidRDefault="00A71EEF">
      <w:pPr>
        <w:pStyle w:val="a3"/>
        <w:spacing w:before="2"/>
        <w:rPr>
          <w:b/>
          <w:sz w:val="18"/>
        </w:rPr>
      </w:pPr>
    </w:p>
    <w:p w14:paraId="0FA0DE72" w14:textId="77777777" w:rsidR="00A71EEF" w:rsidRDefault="0081115D">
      <w:pPr>
        <w:pStyle w:val="a3"/>
        <w:spacing w:line="446" w:lineRule="auto"/>
        <w:ind w:left="840" w:right="4237" w:hanging="3"/>
      </w:pPr>
      <w:r>
        <w:t>防火窗的外观质量采用目测及手试相结合的方法进行检验。</w:t>
      </w:r>
      <w:r>
        <w:rPr>
          <w:b/>
        </w:rPr>
        <w:t xml:space="preserve">8.3 </w:t>
      </w:r>
      <w:r>
        <w:t>防火玻璃</w:t>
      </w:r>
      <w:r>
        <w:t xml:space="preserve"> </w:t>
      </w:r>
    </w:p>
    <w:p w14:paraId="29828213" w14:textId="77777777" w:rsidR="00A71EEF" w:rsidRDefault="0081115D">
      <w:pPr>
        <w:pStyle w:val="a4"/>
        <w:numPr>
          <w:ilvl w:val="2"/>
          <w:numId w:val="532"/>
        </w:numPr>
        <w:tabs>
          <w:tab w:val="left" w:pos="1371"/>
        </w:tabs>
        <w:spacing w:line="267" w:lineRule="exact"/>
        <w:rPr>
          <w:sz w:val="21"/>
        </w:rPr>
      </w:pPr>
      <w:r>
        <w:rPr>
          <w:spacing w:val="-28"/>
          <w:sz w:val="21"/>
        </w:rPr>
        <w:t>按</w:t>
      </w:r>
      <w:r>
        <w:rPr>
          <w:spacing w:val="-28"/>
          <w:sz w:val="21"/>
        </w:rPr>
        <w:t xml:space="preserve"> </w:t>
      </w:r>
      <w:r>
        <w:rPr>
          <w:sz w:val="21"/>
        </w:rPr>
        <w:t>GB</w:t>
      </w:r>
      <w:r>
        <w:rPr>
          <w:spacing w:val="1"/>
          <w:sz w:val="21"/>
        </w:rPr>
        <w:t xml:space="preserve"> </w:t>
      </w:r>
      <w:r>
        <w:rPr>
          <w:sz w:val="21"/>
        </w:rPr>
        <w:t>15763.1-2001</w:t>
      </w:r>
      <w:r>
        <w:rPr>
          <w:spacing w:val="-36"/>
          <w:sz w:val="21"/>
        </w:rPr>
        <w:t xml:space="preserve"> </w:t>
      </w:r>
      <w:r>
        <w:rPr>
          <w:spacing w:val="-36"/>
          <w:sz w:val="21"/>
        </w:rPr>
        <w:t>中</w:t>
      </w:r>
      <w:r>
        <w:rPr>
          <w:spacing w:val="-36"/>
          <w:sz w:val="21"/>
        </w:rPr>
        <w:t xml:space="preserve"> </w:t>
      </w:r>
      <w:r>
        <w:rPr>
          <w:sz w:val="21"/>
        </w:rPr>
        <w:t>6.2</w:t>
      </w:r>
      <w:r>
        <w:rPr>
          <w:spacing w:val="-9"/>
          <w:sz w:val="21"/>
        </w:rPr>
        <w:t xml:space="preserve"> </w:t>
      </w:r>
      <w:r>
        <w:rPr>
          <w:spacing w:val="-9"/>
          <w:sz w:val="21"/>
        </w:rPr>
        <w:t>的规定检验每一块防火玻璃的外观质量。</w:t>
      </w:r>
      <w:r>
        <w:rPr>
          <w:sz w:val="21"/>
        </w:rPr>
        <w:t xml:space="preserve"> </w:t>
      </w:r>
    </w:p>
    <w:p w14:paraId="0EC4D165" w14:textId="77777777" w:rsidR="00A71EEF" w:rsidRDefault="00A71EEF">
      <w:pPr>
        <w:pStyle w:val="a3"/>
        <w:spacing w:before="2"/>
        <w:rPr>
          <w:sz w:val="18"/>
        </w:rPr>
      </w:pPr>
    </w:p>
    <w:p w14:paraId="2FA1D5E7" w14:textId="77777777" w:rsidR="00A71EEF" w:rsidRDefault="0081115D">
      <w:pPr>
        <w:pStyle w:val="a4"/>
        <w:numPr>
          <w:ilvl w:val="2"/>
          <w:numId w:val="532"/>
        </w:numPr>
        <w:tabs>
          <w:tab w:val="left" w:pos="1370"/>
        </w:tabs>
        <w:spacing w:before="1" w:line="446" w:lineRule="auto"/>
        <w:ind w:left="418" w:right="1606" w:firstLine="422"/>
        <w:jc w:val="both"/>
        <w:rPr>
          <w:sz w:val="21"/>
        </w:rPr>
      </w:pPr>
      <w:r>
        <w:rPr>
          <w:spacing w:val="-6"/>
          <w:sz w:val="21"/>
        </w:rPr>
        <w:t>选防火窗上任意一块防火玻璃作为试样，按</w:t>
      </w:r>
      <w:r>
        <w:rPr>
          <w:spacing w:val="-6"/>
          <w:sz w:val="21"/>
        </w:rPr>
        <w:t xml:space="preserve"> </w:t>
      </w:r>
      <w:r>
        <w:rPr>
          <w:sz w:val="21"/>
        </w:rPr>
        <w:t>GB</w:t>
      </w:r>
      <w:r>
        <w:rPr>
          <w:spacing w:val="9"/>
          <w:sz w:val="21"/>
        </w:rPr>
        <w:t xml:space="preserve"> </w:t>
      </w:r>
      <w:r>
        <w:rPr>
          <w:sz w:val="21"/>
        </w:rPr>
        <w:t>15763.1-2001</w:t>
      </w:r>
      <w:r>
        <w:rPr>
          <w:spacing w:val="-34"/>
          <w:sz w:val="21"/>
        </w:rPr>
        <w:t xml:space="preserve"> </w:t>
      </w:r>
      <w:r>
        <w:rPr>
          <w:spacing w:val="-34"/>
          <w:sz w:val="21"/>
        </w:rPr>
        <w:t>中</w:t>
      </w:r>
      <w:r>
        <w:rPr>
          <w:spacing w:val="-34"/>
          <w:sz w:val="21"/>
        </w:rPr>
        <w:t xml:space="preserve"> </w:t>
      </w:r>
      <w:r>
        <w:rPr>
          <w:sz w:val="21"/>
        </w:rPr>
        <w:t>6.1</w:t>
      </w:r>
      <w:r>
        <w:rPr>
          <w:spacing w:val="-10"/>
          <w:sz w:val="21"/>
        </w:rPr>
        <w:t xml:space="preserve"> </w:t>
      </w:r>
      <w:r>
        <w:rPr>
          <w:spacing w:val="-10"/>
          <w:sz w:val="21"/>
        </w:rPr>
        <w:t>的规定检验该</w:t>
      </w:r>
      <w:r>
        <w:rPr>
          <w:spacing w:val="-5"/>
          <w:sz w:val="21"/>
        </w:rPr>
        <w:t>块防火玻璃厚度值，与图纸标注或图纸技术要求规定的防火玻璃厚度值相减，差值为其厚度偏</w:t>
      </w:r>
      <w:r>
        <w:rPr>
          <w:spacing w:val="-4"/>
          <w:sz w:val="21"/>
        </w:rPr>
        <w:t>差。</w:t>
      </w:r>
      <w:r>
        <w:rPr>
          <w:sz w:val="21"/>
        </w:rPr>
        <w:t xml:space="preserve"> </w:t>
      </w:r>
    </w:p>
    <w:p w14:paraId="6E97B9F5" w14:textId="77777777" w:rsidR="00A71EEF" w:rsidRDefault="0081115D">
      <w:pPr>
        <w:spacing w:line="268" w:lineRule="exact"/>
        <w:ind w:left="840"/>
        <w:rPr>
          <w:b/>
          <w:sz w:val="21"/>
        </w:rPr>
      </w:pPr>
      <w:r>
        <w:rPr>
          <w:b/>
          <w:sz w:val="21"/>
        </w:rPr>
        <w:t xml:space="preserve">8.4 </w:t>
      </w:r>
      <w:r>
        <w:rPr>
          <w:sz w:val="21"/>
        </w:rPr>
        <w:t>热敏感元件的静态动作温度</w:t>
      </w:r>
      <w:r>
        <w:rPr>
          <w:b/>
          <w:w w:val="99"/>
          <w:sz w:val="21"/>
        </w:rPr>
        <w:t xml:space="preserve"> </w:t>
      </w:r>
    </w:p>
    <w:p w14:paraId="4DC5F14D" w14:textId="77777777" w:rsidR="00A71EEF" w:rsidRDefault="00A71EEF">
      <w:pPr>
        <w:pStyle w:val="a3"/>
        <w:spacing w:before="12"/>
        <w:rPr>
          <w:b/>
          <w:sz w:val="17"/>
        </w:rPr>
      </w:pPr>
    </w:p>
    <w:p w14:paraId="3DC6F635" w14:textId="77777777" w:rsidR="00A71EEF" w:rsidRDefault="0081115D">
      <w:pPr>
        <w:pStyle w:val="a3"/>
        <w:spacing w:line="446" w:lineRule="auto"/>
        <w:ind w:left="840" w:right="5761" w:hanging="3"/>
      </w:pPr>
      <w:r>
        <w:t>热敏感元件的静态动作温度试验见附录</w:t>
      </w:r>
      <w:r>
        <w:t xml:space="preserve"> B</w:t>
      </w:r>
      <w:r>
        <w:t>。</w:t>
      </w:r>
      <w:r>
        <w:rPr>
          <w:b/>
        </w:rPr>
        <w:t xml:space="preserve">8.5 </w:t>
      </w:r>
      <w:r>
        <w:t>防火窗的尺寸偏差</w:t>
      </w:r>
      <w:r>
        <w:t xml:space="preserve"> </w:t>
      </w:r>
    </w:p>
    <w:p w14:paraId="14E023ED" w14:textId="77777777" w:rsidR="00A71EEF" w:rsidRDefault="0081115D">
      <w:pPr>
        <w:pStyle w:val="a4"/>
        <w:numPr>
          <w:ilvl w:val="2"/>
          <w:numId w:val="531"/>
        </w:numPr>
        <w:tabs>
          <w:tab w:val="left" w:pos="1371"/>
        </w:tabs>
        <w:rPr>
          <w:b/>
          <w:sz w:val="21"/>
        </w:rPr>
      </w:pPr>
      <w:r>
        <w:rPr>
          <w:spacing w:val="-3"/>
          <w:sz w:val="21"/>
        </w:rPr>
        <w:t>试验设备</w:t>
      </w:r>
      <w:r>
        <w:rPr>
          <w:b/>
          <w:w w:val="99"/>
          <w:sz w:val="21"/>
        </w:rPr>
        <w:t xml:space="preserve"> </w:t>
      </w:r>
    </w:p>
    <w:p w14:paraId="75CEF850" w14:textId="77777777" w:rsidR="00A71EEF" w:rsidRDefault="00A71EEF">
      <w:pPr>
        <w:pStyle w:val="a3"/>
        <w:spacing w:before="12"/>
        <w:rPr>
          <w:b/>
          <w:sz w:val="17"/>
        </w:rPr>
      </w:pPr>
    </w:p>
    <w:p w14:paraId="2018FE44" w14:textId="77777777" w:rsidR="00A71EEF" w:rsidRDefault="0081115D">
      <w:pPr>
        <w:pStyle w:val="a3"/>
        <w:ind w:left="838"/>
      </w:pPr>
      <w:r>
        <w:t>钢卷尺：分度值为</w:t>
      </w:r>
      <w:r>
        <w:t xml:space="preserve"> 1mm</w:t>
      </w:r>
      <w:r>
        <w:t>；游标卡尺：分度值为</w:t>
      </w:r>
      <w:r>
        <w:t xml:space="preserve"> 0.02mm</w:t>
      </w:r>
      <w:r>
        <w:t>。</w:t>
      </w:r>
      <w:r>
        <w:t xml:space="preserve"> </w:t>
      </w:r>
    </w:p>
    <w:p w14:paraId="79DF2B13" w14:textId="77777777" w:rsidR="00A71EEF" w:rsidRDefault="00A71EEF">
      <w:pPr>
        <w:sectPr w:rsidR="00A71EEF">
          <w:pgSz w:w="11910" w:h="16850"/>
          <w:pgMar w:top="1220" w:right="0" w:bottom="1420" w:left="1260" w:header="0" w:footer="1159" w:gutter="0"/>
          <w:cols w:space="720"/>
        </w:sectPr>
      </w:pPr>
    </w:p>
    <w:p w14:paraId="018476D6" w14:textId="77777777" w:rsidR="00A71EEF" w:rsidRDefault="0081115D">
      <w:pPr>
        <w:pStyle w:val="a4"/>
        <w:numPr>
          <w:ilvl w:val="2"/>
          <w:numId w:val="531"/>
        </w:numPr>
        <w:tabs>
          <w:tab w:val="left" w:pos="1370"/>
        </w:tabs>
        <w:spacing w:before="47"/>
        <w:ind w:left="1369" w:hanging="530"/>
        <w:rPr>
          <w:b/>
          <w:sz w:val="21"/>
        </w:rPr>
      </w:pPr>
      <w:r>
        <w:rPr>
          <w:spacing w:val="-3"/>
          <w:sz w:val="21"/>
        </w:rPr>
        <w:t>试验步骤</w:t>
      </w:r>
      <w:r>
        <w:rPr>
          <w:b/>
          <w:w w:val="99"/>
          <w:sz w:val="21"/>
        </w:rPr>
        <w:t xml:space="preserve"> </w:t>
      </w:r>
    </w:p>
    <w:p w14:paraId="51CF97D4" w14:textId="77777777" w:rsidR="00A71EEF" w:rsidRDefault="00A71EEF">
      <w:pPr>
        <w:pStyle w:val="a3"/>
        <w:rPr>
          <w:b/>
          <w:sz w:val="18"/>
        </w:rPr>
      </w:pPr>
    </w:p>
    <w:p w14:paraId="240080AD" w14:textId="77777777" w:rsidR="00A71EEF" w:rsidRDefault="0081115D">
      <w:pPr>
        <w:pStyle w:val="a4"/>
        <w:numPr>
          <w:ilvl w:val="3"/>
          <w:numId w:val="531"/>
        </w:numPr>
        <w:tabs>
          <w:tab w:val="left" w:pos="1576"/>
        </w:tabs>
        <w:jc w:val="both"/>
        <w:rPr>
          <w:sz w:val="21"/>
        </w:rPr>
      </w:pPr>
      <w:r>
        <w:rPr>
          <w:spacing w:val="-5"/>
          <w:sz w:val="21"/>
        </w:rPr>
        <w:t>防火窗窗框高度采用钢卷尺测量，测量位置为距防火窗两边框各不少于</w:t>
      </w:r>
      <w:r>
        <w:rPr>
          <w:spacing w:val="-5"/>
          <w:sz w:val="21"/>
        </w:rPr>
        <w:t xml:space="preserve"> </w:t>
      </w:r>
      <w:r>
        <w:rPr>
          <w:sz w:val="21"/>
        </w:rPr>
        <w:t>100mm</w:t>
      </w:r>
      <w:r>
        <w:rPr>
          <w:spacing w:val="-27"/>
          <w:sz w:val="21"/>
        </w:rPr>
        <w:t xml:space="preserve"> </w:t>
      </w:r>
      <w:r>
        <w:rPr>
          <w:spacing w:val="-27"/>
          <w:sz w:val="21"/>
        </w:rPr>
        <w:t>处</w:t>
      </w:r>
    </w:p>
    <w:p w14:paraId="425537ED" w14:textId="77777777" w:rsidR="00A71EEF" w:rsidRDefault="00A71EEF">
      <w:pPr>
        <w:pStyle w:val="a3"/>
        <w:rPr>
          <w:sz w:val="18"/>
        </w:rPr>
      </w:pPr>
    </w:p>
    <w:p w14:paraId="5A4F5916" w14:textId="77777777" w:rsidR="00A71EEF" w:rsidRDefault="0081115D">
      <w:pPr>
        <w:pStyle w:val="a3"/>
        <w:spacing w:line="446" w:lineRule="auto"/>
        <w:ind w:left="418" w:right="1450"/>
        <w:jc w:val="both"/>
      </w:pPr>
      <w:r>
        <w:t>（</w:t>
      </w:r>
      <w:r>
        <w:rPr>
          <w:spacing w:val="-17"/>
        </w:rPr>
        <w:t>如图</w:t>
      </w:r>
      <w:r>
        <w:rPr>
          <w:spacing w:val="-17"/>
        </w:rPr>
        <w:t xml:space="preserve"> </w:t>
      </w:r>
      <w:r>
        <w:t>2</w:t>
      </w:r>
      <w:r>
        <w:rPr>
          <w:spacing w:val="-31"/>
        </w:rPr>
        <w:t xml:space="preserve"> </w:t>
      </w:r>
      <w:r>
        <w:rPr>
          <w:spacing w:val="-31"/>
        </w:rPr>
        <w:t>的</w:t>
      </w:r>
      <w:r>
        <w:rPr>
          <w:spacing w:val="-31"/>
        </w:rPr>
        <w:t xml:space="preserve"> </w:t>
      </w:r>
      <w:r>
        <w:t>A-A</w:t>
      </w:r>
      <w:r>
        <w:rPr>
          <w:spacing w:val="-20"/>
        </w:rPr>
        <w:t xml:space="preserve"> </w:t>
      </w:r>
      <w:r>
        <w:rPr>
          <w:spacing w:val="-20"/>
        </w:rPr>
        <w:t>位置和</w:t>
      </w:r>
      <w:r>
        <w:rPr>
          <w:spacing w:val="-20"/>
        </w:rPr>
        <w:t xml:space="preserve"> </w:t>
      </w:r>
      <w:r>
        <w:t>A′-A</w:t>
      </w:r>
      <w:r>
        <w:rPr>
          <w:spacing w:val="-1"/>
        </w:rPr>
        <w:t>′</w:t>
      </w:r>
      <w:r>
        <w:rPr>
          <w:spacing w:val="-1"/>
        </w:rPr>
        <w:t>位置</w:t>
      </w:r>
      <w:r>
        <w:t>）</w:t>
      </w:r>
      <w:r>
        <w:rPr>
          <w:spacing w:val="-3"/>
        </w:rPr>
        <w:t>，测量的高度值分别与图纸标注的防火窗高度值相减，取绝对值最大的差值为防火窗窗框高度偏差值。</w:t>
      </w:r>
      <w:r>
        <w:t xml:space="preserve"> </w:t>
      </w:r>
    </w:p>
    <w:p w14:paraId="3119809A" w14:textId="77777777" w:rsidR="00A71EEF" w:rsidRDefault="0081115D">
      <w:pPr>
        <w:pStyle w:val="a4"/>
        <w:numPr>
          <w:ilvl w:val="3"/>
          <w:numId w:val="531"/>
        </w:numPr>
        <w:tabs>
          <w:tab w:val="left" w:pos="1576"/>
        </w:tabs>
        <w:jc w:val="both"/>
        <w:rPr>
          <w:sz w:val="21"/>
        </w:rPr>
      </w:pPr>
      <w:r>
        <w:rPr>
          <w:spacing w:val="-5"/>
          <w:sz w:val="21"/>
        </w:rPr>
        <w:t>防火窗宽度采用钢卷尺测量，测量位置为距防火窗上框、下框各不少于</w:t>
      </w:r>
      <w:r>
        <w:rPr>
          <w:spacing w:val="-5"/>
          <w:sz w:val="21"/>
        </w:rPr>
        <w:t xml:space="preserve"> </w:t>
      </w:r>
      <w:r>
        <w:rPr>
          <w:sz w:val="21"/>
        </w:rPr>
        <w:t>100mm</w:t>
      </w:r>
      <w:r>
        <w:rPr>
          <w:spacing w:val="-27"/>
          <w:sz w:val="21"/>
        </w:rPr>
        <w:t xml:space="preserve"> </w:t>
      </w:r>
      <w:r>
        <w:rPr>
          <w:spacing w:val="-27"/>
          <w:sz w:val="21"/>
        </w:rPr>
        <w:t>处</w:t>
      </w:r>
    </w:p>
    <w:p w14:paraId="3A676518" w14:textId="77777777" w:rsidR="00A71EEF" w:rsidRDefault="00A71EEF">
      <w:pPr>
        <w:pStyle w:val="a3"/>
        <w:spacing w:before="12"/>
        <w:rPr>
          <w:sz w:val="17"/>
        </w:rPr>
      </w:pPr>
    </w:p>
    <w:p w14:paraId="2B9E18B2" w14:textId="77777777" w:rsidR="00A71EEF" w:rsidRDefault="0081115D">
      <w:pPr>
        <w:pStyle w:val="a3"/>
        <w:spacing w:line="446" w:lineRule="auto"/>
        <w:ind w:left="418" w:right="1450"/>
        <w:jc w:val="both"/>
      </w:pPr>
      <w:r>
        <w:t>（</w:t>
      </w:r>
      <w:r>
        <w:rPr>
          <w:spacing w:val="-17"/>
        </w:rPr>
        <w:t>如图</w:t>
      </w:r>
      <w:r>
        <w:rPr>
          <w:spacing w:val="-17"/>
        </w:rPr>
        <w:t xml:space="preserve"> </w:t>
      </w:r>
      <w:r>
        <w:t>2</w:t>
      </w:r>
      <w:r>
        <w:rPr>
          <w:spacing w:val="-31"/>
        </w:rPr>
        <w:t xml:space="preserve"> </w:t>
      </w:r>
      <w:r>
        <w:rPr>
          <w:spacing w:val="-31"/>
        </w:rPr>
        <w:t>的</w:t>
      </w:r>
      <w:r>
        <w:rPr>
          <w:spacing w:val="-31"/>
        </w:rPr>
        <w:t xml:space="preserve"> </w:t>
      </w:r>
      <w:r>
        <w:t>B-B</w:t>
      </w:r>
      <w:r>
        <w:rPr>
          <w:spacing w:val="-20"/>
        </w:rPr>
        <w:t xml:space="preserve"> </w:t>
      </w:r>
      <w:r>
        <w:rPr>
          <w:spacing w:val="-20"/>
        </w:rPr>
        <w:t>位置和</w:t>
      </w:r>
      <w:r>
        <w:rPr>
          <w:spacing w:val="-20"/>
        </w:rPr>
        <w:t xml:space="preserve"> </w:t>
      </w:r>
      <w:r>
        <w:t>B′-B</w:t>
      </w:r>
      <w:r>
        <w:rPr>
          <w:spacing w:val="-1"/>
        </w:rPr>
        <w:t>′</w:t>
      </w:r>
      <w:r>
        <w:rPr>
          <w:spacing w:val="-1"/>
        </w:rPr>
        <w:t>位置</w:t>
      </w:r>
      <w:r>
        <w:t>）</w:t>
      </w:r>
      <w:r>
        <w:rPr>
          <w:spacing w:val="-3"/>
        </w:rPr>
        <w:t>，测量的宽度值分别与图纸标注的防火窗宽度值相减，取绝对值最大的差值为防火窗窗框宽度偏差值。</w:t>
      </w:r>
      <w:r>
        <w:t xml:space="preserve"> </w:t>
      </w:r>
    </w:p>
    <w:p w14:paraId="6B26295F" w14:textId="77777777" w:rsidR="00A71EEF" w:rsidRDefault="0081115D">
      <w:pPr>
        <w:pStyle w:val="a4"/>
        <w:numPr>
          <w:ilvl w:val="3"/>
          <w:numId w:val="531"/>
        </w:numPr>
        <w:tabs>
          <w:tab w:val="left" w:pos="1576"/>
        </w:tabs>
        <w:spacing w:line="446" w:lineRule="auto"/>
        <w:ind w:left="418" w:right="1609" w:firstLine="419"/>
        <w:jc w:val="both"/>
        <w:rPr>
          <w:sz w:val="21"/>
        </w:rPr>
      </w:pPr>
      <w:r>
        <w:rPr>
          <w:spacing w:val="-3"/>
          <w:sz w:val="21"/>
        </w:rPr>
        <w:t>防火窗窗框厚度采用游标卡尺测量，测量位置为防火窗两边框、上框、下框的中部（</w:t>
      </w:r>
      <w:r>
        <w:rPr>
          <w:spacing w:val="-13"/>
          <w:sz w:val="21"/>
        </w:rPr>
        <w:t>如图</w:t>
      </w:r>
      <w:r>
        <w:rPr>
          <w:spacing w:val="-13"/>
          <w:sz w:val="21"/>
        </w:rPr>
        <w:t xml:space="preserve"> </w:t>
      </w:r>
      <w:r>
        <w:rPr>
          <w:sz w:val="21"/>
        </w:rPr>
        <w:t>2</w:t>
      </w:r>
      <w:r>
        <w:rPr>
          <w:spacing w:val="-8"/>
          <w:sz w:val="21"/>
        </w:rPr>
        <w:t xml:space="preserve"> </w:t>
      </w:r>
      <w:r>
        <w:rPr>
          <w:spacing w:val="-8"/>
          <w:sz w:val="21"/>
        </w:rPr>
        <w:t>中的圆圈位置</w:t>
      </w:r>
      <w:r>
        <w:rPr>
          <w:sz w:val="21"/>
        </w:rPr>
        <w:t>），</w:t>
      </w:r>
      <w:r>
        <w:rPr>
          <w:spacing w:val="-3"/>
          <w:sz w:val="21"/>
        </w:rPr>
        <w:t>测量的厚度值分别与图纸标注的窗框厚度值相减，取绝对值最大的差值为窗框厚度偏差值。</w:t>
      </w:r>
      <w:r>
        <w:rPr>
          <w:spacing w:val="-3"/>
          <w:sz w:val="21"/>
        </w:rPr>
        <w:t xml:space="preserve"> </w:t>
      </w:r>
    </w:p>
    <w:p w14:paraId="320E1102" w14:textId="77777777" w:rsidR="00A71EEF" w:rsidRDefault="0081115D">
      <w:pPr>
        <w:pStyle w:val="a4"/>
        <w:numPr>
          <w:ilvl w:val="3"/>
          <w:numId w:val="531"/>
        </w:numPr>
        <w:tabs>
          <w:tab w:val="left" w:pos="1576"/>
        </w:tabs>
        <w:spacing w:line="446" w:lineRule="auto"/>
        <w:ind w:left="418" w:right="1609" w:firstLine="419"/>
        <w:rPr>
          <w:sz w:val="21"/>
        </w:rPr>
      </w:pPr>
      <w:r>
        <w:rPr>
          <w:spacing w:val="-3"/>
          <w:sz w:val="21"/>
        </w:rPr>
        <w:t>防火窗的两</w:t>
      </w:r>
      <w:r>
        <w:rPr>
          <w:spacing w:val="-3"/>
          <w:sz w:val="21"/>
        </w:rPr>
        <w:t>对角线长度采用钢卷尺测量，测量位置为窗框内角，测量值之差的绝对值，即为防火窗对角线长度差。</w:t>
      </w:r>
      <w:r>
        <w:rPr>
          <w:sz w:val="21"/>
        </w:rPr>
        <w:t xml:space="preserve"> </w:t>
      </w:r>
    </w:p>
    <w:p w14:paraId="60AF37FE" w14:textId="77777777" w:rsidR="00A71EEF" w:rsidRDefault="0081115D">
      <w:pPr>
        <w:pStyle w:val="a3"/>
        <w:rPr>
          <w:sz w:val="14"/>
        </w:rPr>
      </w:pPr>
      <w:r>
        <w:rPr>
          <w:noProof/>
        </w:rPr>
        <w:drawing>
          <wp:anchor distT="0" distB="0" distL="0" distR="0" simplePos="0" relativeHeight="251607552" behindDoc="0" locked="0" layoutInCell="1" allowOverlap="1" wp14:anchorId="619CA23F" wp14:editId="510933DC">
            <wp:simplePos x="0" y="0"/>
            <wp:positionH relativeFrom="page">
              <wp:posOffset>1208405</wp:posOffset>
            </wp:positionH>
            <wp:positionV relativeFrom="paragraph">
              <wp:posOffset>138965</wp:posOffset>
            </wp:positionV>
            <wp:extent cx="4640384" cy="4572000"/>
            <wp:effectExtent l="0" t="0" r="0" b="0"/>
            <wp:wrapTopAndBottom/>
            <wp:docPr id="393" name="image2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233.jpeg"/>
                    <pic:cNvPicPr/>
                  </pic:nvPicPr>
                  <pic:blipFill>
                    <a:blip r:embed="rId275" cstate="print"/>
                    <a:stretch>
                      <a:fillRect/>
                    </a:stretch>
                  </pic:blipFill>
                  <pic:spPr>
                    <a:xfrm>
                      <a:off x="0" y="0"/>
                      <a:ext cx="4640384" cy="4572000"/>
                    </a:xfrm>
                    <a:prstGeom prst="rect">
                      <a:avLst/>
                    </a:prstGeom>
                  </pic:spPr>
                </pic:pic>
              </a:graphicData>
            </a:graphic>
          </wp:anchor>
        </w:drawing>
      </w:r>
    </w:p>
    <w:p w14:paraId="3D03E2F1" w14:textId="77777777" w:rsidR="00A71EEF" w:rsidRDefault="00A71EEF">
      <w:pPr>
        <w:pStyle w:val="a3"/>
        <w:spacing w:before="5"/>
        <w:rPr>
          <w:sz w:val="17"/>
        </w:rPr>
      </w:pPr>
    </w:p>
    <w:p w14:paraId="5925FEF5" w14:textId="77777777" w:rsidR="00A71EEF" w:rsidRDefault="0081115D">
      <w:pPr>
        <w:pStyle w:val="6"/>
        <w:ind w:left="3099"/>
        <w:rPr>
          <w:b w:val="0"/>
        </w:rPr>
      </w:pPr>
      <w:r>
        <w:rPr>
          <w:w w:val="99"/>
        </w:rPr>
        <w:t xml:space="preserve"> </w:t>
      </w:r>
      <w:r>
        <w:t xml:space="preserve"> </w:t>
      </w:r>
      <w:r>
        <w:t>图</w:t>
      </w:r>
      <w:r>
        <w:t xml:space="preserve"> 2 </w:t>
      </w:r>
      <w:r>
        <w:t>防火窗外形尺寸测量位置示意图</w:t>
      </w:r>
      <w:r>
        <w:rPr>
          <w:b w:val="0"/>
        </w:rPr>
        <w:t xml:space="preserve"> </w:t>
      </w:r>
      <w:r>
        <w:rPr>
          <w:b w:val="0"/>
        </w:rPr>
        <w:t xml:space="preserve"> </w:t>
      </w:r>
      <w:r>
        <w:rPr>
          <w:b w:val="0"/>
        </w:rPr>
        <w:t xml:space="preserve"> </w:t>
      </w:r>
    </w:p>
    <w:p w14:paraId="21B2DAD1" w14:textId="77777777" w:rsidR="00A71EEF" w:rsidRDefault="00A71EEF">
      <w:pPr>
        <w:sectPr w:rsidR="00A71EEF">
          <w:pgSz w:w="11910" w:h="16850"/>
          <w:pgMar w:top="1220" w:right="0" w:bottom="1420" w:left="1260" w:header="0" w:footer="1159" w:gutter="0"/>
          <w:cols w:space="720"/>
        </w:sectPr>
      </w:pPr>
    </w:p>
    <w:p w14:paraId="65814749" w14:textId="77777777" w:rsidR="00A71EEF" w:rsidRDefault="0081115D">
      <w:pPr>
        <w:pStyle w:val="a3"/>
        <w:spacing w:before="57" w:line="434" w:lineRule="auto"/>
        <w:ind w:left="838" w:right="7285"/>
      </w:pPr>
      <w:r>
        <w:t>图中：</w:t>
      </w:r>
      <w:r>
        <w:rPr>
          <w:i/>
          <w:sz w:val="22"/>
        </w:rPr>
        <w:t>H</w:t>
      </w:r>
      <w:r>
        <w:rPr>
          <w:spacing w:val="-3"/>
        </w:rPr>
        <w:t>——</w:t>
      </w:r>
      <w:r>
        <w:rPr>
          <w:spacing w:val="-3"/>
        </w:rPr>
        <w:t>防火窗高度；</w:t>
      </w:r>
      <w:r>
        <w:rPr>
          <w:spacing w:val="-3"/>
        </w:rPr>
        <w:t xml:space="preserve"> </w:t>
      </w:r>
      <w:r>
        <w:rPr>
          <w:i/>
          <w:sz w:val="22"/>
        </w:rPr>
        <w:t>W</w:t>
      </w:r>
      <w:r>
        <w:rPr>
          <w:spacing w:val="-2"/>
        </w:rPr>
        <w:t>——</w:t>
      </w:r>
      <w:r>
        <w:rPr>
          <w:spacing w:val="-2"/>
        </w:rPr>
        <w:t>防火窗宽度；</w:t>
      </w:r>
      <w:r>
        <w:rPr>
          <w:spacing w:val="-2"/>
        </w:rPr>
        <w:t xml:space="preserve">   O—</w:t>
      </w:r>
      <w:r>
        <w:rPr>
          <w:spacing w:val="-3"/>
        </w:rPr>
        <w:t>—</w:t>
      </w:r>
      <w:r>
        <w:rPr>
          <w:spacing w:val="-3"/>
        </w:rPr>
        <w:t>窗框厚度测量位置。</w:t>
      </w:r>
      <w:r>
        <w:rPr>
          <w:b/>
        </w:rPr>
        <w:t>8.6</w:t>
      </w:r>
      <w:r>
        <w:rPr>
          <w:b/>
          <w:spacing w:val="5"/>
        </w:rPr>
        <w:t xml:space="preserve"> </w:t>
      </w:r>
      <w:r>
        <w:rPr>
          <w:spacing w:val="-3"/>
        </w:rPr>
        <w:t>活动窗扇的尺寸偏差</w:t>
      </w:r>
      <w:r>
        <w:t xml:space="preserve"> </w:t>
      </w:r>
    </w:p>
    <w:p w14:paraId="2B98A0AD" w14:textId="77777777" w:rsidR="00A71EEF" w:rsidRDefault="0081115D">
      <w:pPr>
        <w:spacing w:before="16"/>
        <w:ind w:left="840"/>
        <w:rPr>
          <w:b/>
          <w:sz w:val="21"/>
        </w:rPr>
      </w:pPr>
      <w:r>
        <w:rPr>
          <w:b/>
          <w:sz w:val="21"/>
        </w:rPr>
        <w:t>8.6.1</w:t>
      </w:r>
      <w:r>
        <w:rPr>
          <w:b/>
          <w:spacing w:val="5"/>
          <w:sz w:val="21"/>
        </w:rPr>
        <w:t xml:space="preserve"> </w:t>
      </w:r>
      <w:r>
        <w:rPr>
          <w:spacing w:val="-3"/>
          <w:sz w:val="21"/>
        </w:rPr>
        <w:t>试验设备</w:t>
      </w:r>
      <w:r>
        <w:rPr>
          <w:b/>
          <w:w w:val="99"/>
          <w:sz w:val="21"/>
        </w:rPr>
        <w:t xml:space="preserve"> </w:t>
      </w:r>
    </w:p>
    <w:p w14:paraId="1958C891" w14:textId="77777777" w:rsidR="00A71EEF" w:rsidRDefault="00A71EEF">
      <w:pPr>
        <w:pStyle w:val="a3"/>
        <w:spacing w:before="12"/>
        <w:rPr>
          <w:b/>
          <w:sz w:val="17"/>
        </w:rPr>
      </w:pPr>
    </w:p>
    <w:p w14:paraId="7E133398" w14:textId="77777777" w:rsidR="00A71EEF" w:rsidRDefault="0081115D">
      <w:pPr>
        <w:pStyle w:val="a3"/>
        <w:spacing w:line="446" w:lineRule="auto"/>
        <w:ind w:left="840" w:right="4659" w:hanging="3"/>
        <w:rPr>
          <w:b/>
        </w:rPr>
      </w:pPr>
      <w:r>
        <w:rPr>
          <w:spacing w:val="-9"/>
        </w:rPr>
        <w:t>钢卷尺：分度值为</w:t>
      </w:r>
      <w:r>
        <w:rPr>
          <w:spacing w:val="-9"/>
        </w:rPr>
        <w:t xml:space="preserve"> </w:t>
      </w:r>
      <w:r>
        <w:t>1mm</w:t>
      </w:r>
      <w:r>
        <w:rPr>
          <w:spacing w:val="-8"/>
        </w:rPr>
        <w:t>；游标卡尺：分度值为</w:t>
      </w:r>
      <w:r>
        <w:rPr>
          <w:spacing w:val="-8"/>
        </w:rPr>
        <w:t xml:space="preserve"> </w:t>
      </w:r>
      <w:r>
        <w:t>0.02mm</w:t>
      </w:r>
      <w:r>
        <w:rPr>
          <w:spacing w:val="-3"/>
        </w:rPr>
        <w:t>。</w:t>
      </w:r>
      <w:r>
        <w:rPr>
          <w:b/>
        </w:rPr>
        <w:t>8.6.2</w:t>
      </w:r>
      <w:r>
        <w:rPr>
          <w:b/>
          <w:spacing w:val="-1"/>
        </w:rPr>
        <w:t xml:space="preserve"> </w:t>
      </w:r>
      <w:r>
        <w:rPr>
          <w:spacing w:val="-3"/>
        </w:rPr>
        <w:t>试验步骤</w:t>
      </w:r>
      <w:r>
        <w:rPr>
          <w:b/>
          <w:w w:val="99"/>
        </w:rPr>
        <w:t xml:space="preserve"> </w:t>
      </w:r>
    </w:p>
    <w:p w14:paraId="41AF5504" w14:textId="77777777" w:rsidR="00A71EEF" w:rsidRDefault="0081115D">
      <w:pPr>
        <w:pStyle w:val="a4"/>
        <w:numPr>
          <w:ilvl w:val="3"/>
          <w:numId w:val="530"/>
        </w:numPr>
        <w:tabs>
          <w:tab w:val="left" w:pos="1576"/>
        </w:tabs>
        <w:rPr>
          <w:sz w:val="21"/>
        </w:rPr>
      </w:pPr>
      <w:r>
        <w:rPr>
          <w:spacing w:val="-5"/>
          <w:sz w:val="21"/>
        </w:rPr>
        <w:t>活动窗扇高度采用钢卷尺测量，测量位置为距窗扇两边梃各不少于</w:t>
      </w:r>
      <w:r>
        <w:rPr>
          <w:spacing w:val="-5"/>
          <w:sz w:val="21"/>
        </w:rPr>
        <w:t xml:space="preserve"> </w:t>
      </w:r>
      <w:r>
        <w:rPr>
          <w:sz w:val="21"/>
        </w:rPr>
        <w:t>50mm</w:t>
      </w:r>
      <w:r>
        <w:rPr>
          <w:spacing w:val="-27"/>
          <w:sz w:val="21"/>
        </w:rPr>
        <w:t xml:space="preserve"> </w:t>
      </w:r>
      <w:r>
        <w:rPr>
          <w:spacing w:val="-27"/>
          <w:sz w:val="21"/>
        </w:rPr>
        <w:t>处</w:t>
      </w:r>
      <w:r>
        <w:rPr>
          <w:spacing w:val="-3"/>
          <w:sz w:val="21"/>
        </w:rPr>
        <w:t>（</w:t>
      </w:r>
      <w:r>
        <w:rPr>
          <w:sz w:val="21"/>
        </w:rPr>
        <w:t>如图</w:t>
      </w:r>
    </w:p>
    <w:p w14:paraId="7E5D4B99" w14:textId="77777777" w:rsidR="00A71EEF" w:rsidRDefault="00A71EEF">
      <w:pPr>
        <w:pStyle w:val="a3"/>
        <w:spacing w:before="12"/>
        <w:rPr>
          <w:sz w:val="17"/>
        </w:rPr>
      </w:pPr>
    </w:p>
    <w:p w14:paraId="5C2A21EB" w14:textId="77777777" w:rsidR="00A71EEF" w:rsidRDefault="0081115D">
      <w:pPr>
        <w:pStyle w:val="a3"/>
        <w:spacing w:line="448" w:lineRule="auto"/>
        <w:ind w:left="418" w:right="1546"/>
      </w:pPr>
      <w:r>
        <w:rPr>
          <w:position w:val="1"/>
        </w:rPr>
        <w:t>3</w:t>
      </w:r>
      <w:r>
        <w:rPr>
          <w:spacing w:val="-29"/>
          <w:position w:val="1"/>
        </w:rPr>
        <w:t xml:space="preserve"> </w:t>
      </w:r>
      <w:r>
        <w:rPr>
          <w:spacing w:val="-29"/>
          <w:position w:val="1"/>
        </w:rPr>
        <w:t>的</w:t>
      </w:r>
      <w:r>
        <w:rPr>
          <w:spacing w:val="-29"/>
          <w:position w:val="1"/>
        </w:rPr>
        <w:t xml:space="preserve"> </w:t>
      </w:r>
      <w:r>
        <w:rPr>
          <w:position w:val="1"/>
        </w:rPr>
        <w:t>A</w:t>
      </w:r>
      <w:r>
        <w:rPr>
          <w:sz w:val="11"/>
        </w:rPr>
        <w:t>l</w:t>
      </w:r>
      <w:r>
        <w:rPr>
          <w:position w:val="1"/>
        </w:rPr>
        <w:t>-A</w:t>
      </w:r>
      <w:r>
        <w:rPr>
          <w:sz w:val="11"/>
        </w:rPr>
        <w:t>1</w:t>
      </w:r>
      <w:r>
        <w:rPr>
          <w:spacing w:val="-10"/>
          <w:position w:val="1"/>
        </w:rPr>
        <w:t>，位置和</w:t>
      </w:r>
      <w:r>
        <w:rPr>
          <w:spacing w:val="-10"/>
          <w:position w:val="1"/>
        </w:rPr>
        <w:t xml:space="preserve"> </w:t>
      </w:r>
      <w:r>
        <w:rPr>
          <w:position w:val="1"/>
        </w:rPr>
        <w:t>A</w:t>
      </w:r>
      <w:r>
        <w:rPr>
          <w:sz w:val="11"/>
        </w:rPr>
        <w:t>1</w:t>
      </w:r>
      <w:r>
        <w:rPr>
          <w:position w:val="1"/>
        </w:rPr>
        <w:t>′-A</w:t>
      </w:r>
      <w:r>
        <w:rPr>
          <w:sz w:val="11"/>
        </w:rPr>
        <w:t>1</w:t>
      </w:r>
      <w:r>
        <w:rPr>
          <w:spacing w:val="-1"/>
          <w:position w:val="1"/>
        </w:rPr>
        <w:t>′</w:t>
      </w:r>
      <w:r>
        <w:rPr>
          <w:spacing w:val="-1"/>
          <w:position w:val="1"/>
        </w:rPr>
        <w:t>位置</w:t>
      </w:r>
      <w:r>
        <w:rPr>
          <w:position w:val="1"/>
        </w:rPr>
        <w:t>）</w:t>
      </w:r>
      <w:r>
        <w:rPr>
          <w:spacing w:val="-3"/>
          <w:position w:val="1"/>
        </w:rPr>
        <w:t>，测量的高度值分别与图纸标注的窗扇高度值相减，取绝对</w:t>
      </w:r>
      <w:r>
        <w:rPr>
          <w:spacing w:val="-3"/>
        </w:rPr>
        <w:t>值最大的差值为活动窗扇高度偏差值。</w:t>
      </w:r>
      <w:r>
        <w:t xml:space="preserve"> </w:t>
      </w:r>
    </w:p>
    <w:p w14:paraId="57641F98" w14:textId="77777777" w:rsidR="00A71EEF" w:rsidRDefault="00A71EEF">
      <w:pPr>
        <w:pStyle w:val="a3"/>
        <w:rPr>
          <w:sz w:val="20"/>
        </w:rPr>
      </w:pPr>
    </w:p>
    <w:p w14:paraId="371CE149" w14:textId="77777777" w:rsidR="00A71EEF" w:rsidRDefault="00A71EEF">
      <w:pPr>
        <w:pStyle w:val="a3"/>
        <w:rPr>
          <w:sz w:val="20"/>
        </w:rPr>
      </w:pPr>
    </w:p>
    <w:p w14:paraId="69FB89E7" w14:textId="77777777" w:rsidR="00A71EEF" w:rsidRDefault="00A71EEF">
      <w:pPr>
        <w:pStyle w:val="a3"/>
        <w:rPr>
          <w:sz w:val="20"/>
        </w:rPr>
      </w:pPr>
    </w:p>
    <w:p w14:paraId="71E661B2" w14:textId="77777777" w:rsidR="00A71EEF" w:rsidRDefault="00A71EEF">
      <w:pPr>
        <w:pStyle w:val="a3"/>
        <w:spacing w:before="9"/>
        <w:rPr>
          <w:sz w:val="17"/>
        </w:rPr>
      </w:pPr>
    </w:p>
    <w:p w14:paraId="2E3ED064" w14:textId="77777777" w:rsidR="00A71EEF" w:rsidRDefault="0081115D">
      <w:pPr>
        <w:pStyle w:val="a4"/>
        <w:numPr>
          <w:ilvl w:val="3"/>
          <w:numId w:val="530"/>
        </w:numPr>
        <w:tabs>
          <w:tab w:val="left" w:pos="1628"/>
        </w:tabs>
        <w:ind w:left="1627" w:hanging="790"/>
        <w:rPr>
          <w:sz w:val="21"/>
        </w:rPr>
      </w:pPr>
      <w:r>
        <w:rPr>
          <w:spacing w:val="-5"/>
          <w:sz w:val="21"/>
        </w:rPr>
        <w:t>活动窗扇宽度采用钢卷尺测量，测量位置为距窗扇上梃、下梃各不少于</w:t>
      </w:r>
      <w:r>
        <w:rPr>
          <w:spacing w:val="-5"/>
          <w:sz w:val="21"/>
        </w:rPr>
        <w:t xml:space="preserve"> </w:t>
      </w:r>
      <w:r>
        <w:rPr>
          <w:sz w:val="21"/>
        </w:rPr>
        <w:t>50mm</w:t>
      </w:r>
      <w:r>
        <w:rPr>
          <w:spacing w:val="-27"/>
          <w:sz w:val="21"/>
        </w:rPr>
        <w:t xml:space="preserve"> </w:t>
      </w:r>
      <w:r>
        <w:rPr>
          <w:spacing w:val="-27"/>
          <w:sz w:val="21"/>
        </w:rPr>
        <w:t>处</w:t>
      </w:r>
    </w:p>
    <w:p w14:paraId="3ACD675E" w14:textId="77777777" w:rsidR="00A71EEF" w:rsidRDefault="00A71EEF">
      <w:pPr>
        <w:pStyle w:val="a3"/>
        <w:rPr>
          <w:sz w:val="18"/>
        </w:rPr>
      </w:pPr>
    </w:p>
    <w:p w14:paraId="75034F39" w14:textId="77777777" w:rsidR="00A71EEF" w:rsidRDefault="0081115D">
      <w:pPr>
        <w:pStyle w:val="a3"/>
        <w:spacing w:line="446" w:lineRule="auto"/>
        <w:ind w:left="418" w:right="1469"/>
      </w:pPr>
      <w:r>
        <w:rPr>
          <w:position w:val="1"/>
        </w:rPr>
        <w:t>（</w:t>
      </w:r>
      <w:r>
        <w:rPr>
          <w:spacing w:val="-17"/>
          <w:position w:val="1"/>
        </w:rPr>
        <w:t>如图</w:t>
      </w:r>
      <w:r>
        <w:rPr>
          <w:spacing w:val="-17"/>
          <w:position w:val="1"/>
        </w:rPr>
        <w:t xml:space="preserve"> </w:t>
      </w:r>
      <w:r>
        <w:rPr>
          <w:position w:val="1"/>
        </w:rPr>
        <w:t>3</w:t>
      </w:r>
      <w:r>
        <w:rPr>
          <w:spacing w:val="-31"/>
          <w:position w:val="1"/>
        </w:rPr>
        <w:t xml:space="preserve"> </w:t>
      </w:r>
      <w:r>
        <w:rPr>
          <w:spacing w:val="-31"/>
          <w:position w:val="1"/>
        </w:rPr>
        <w:t>的</w:t>
      </w:r>
      <w:r>
        <w:rPr>
          <w:spacing w:val="-31"/>
          <w:position w:val="1"/>
        </w:rPr>
        <w:t xml:space="preserve"> </w:t>
      </w:r>
      <w:r>
        <w:rPr>
          <w:position w:val="1"/>
        </w:rPr>
        <w:t>B</w:t>
      </w:r>
      <w:r>
        <w:rPr>
          <w:sz w:val="11"/>
        </w:rPr>
        <w:t>1</w:t>
      </w:r>
      <w:r>
        <w:rPr>
          <w:position w:val="1"/>
        </w:rPr>
        <w:t>-B</w:t>
      </w:r>
      <w:r>
        <w:rPr>
          <w:sz w:val="11"/>
        </w:rPr>
        <w:t xml:space="preserve">1 </w:t>
      </w:r>
      <w:r>
        <w:rPr>
          <w:spacing w:val="-13"/>
          <w:position w:val="1"/>
        </w:rPr>
        <w:t>位置和</w:t>
      </w:r>
      <w:r>
        <w:rPr>
          <w:spacing w:val="-13"/>
          <w:position w:val="1"/>
        </w:rPr>
        <w:t xml:space="preserve"> </w:t>
      </w:r>
      <w:r>
        <w:rPr>
          <w:position w:val="1"/>
        </w:rPr>
        <w:t>B</w:t>
      </w:r>
      <w:r>
        <w:rPr>
          <w:sz w:val="11"/>
        </w:rPr>
        <w:t>1</w:t>
      </w:r>
      <w:r>
        <w:rPr>
          <w:position w:val="1"/>
        </w:rPr>
        <w:t>′-B</w:t>
      </w:r>
      <w:r>
        <w:rPr>
          <w:sz w:val="11"/>
        </w:rPr>
        <w:t>1</w:t>
      </w:r>
      <w:r>
        <w:rPr>
          <w:spacing w:val="-2"/>
          <w:position w:val="1"/>
        </w:rPr>
        <w:t>′</w:t>
      </w:r>
      <w:r>
        <w:rPr>
          <w:spacing w:val="-2"/>
          <w:position w:val="1"/>
        </w:rPr>
        <w:t>位置</w:t>
      </w:r>
      <w:r>
        <w:rPr>
          <w:position w:val="1"/>
        </w:rPr>
        <w:t>）</w:t>
      </w:r>
      <w:r>
        <w:rPr>
          <w:spacing w:val="-3"/>
          <w:position w:val="1"/>
        </w:rPr>
        <w:t>，测量的宽度值分别与图纸标注的窗扇宽度值相减，取</w:t>
      </w:r>
      <w:r>
        <w:rPr>
          <w:spacing w:val="-3"/>
        </w:rPr>
        <w:t>绝对值最大的差值为活动窗扇宽度偏差值。</w:t>
      </w:r>
      <w:r>
        <w:t xml:space="preserve"> </w:t>
      </w:r>
    </w:p>
    <w:p w14:paraId="1B0321E4" w14:textId="77777777" w:rsidR="00A71EEF" w:rsidRDefault="0081115D">
      <w:pPr>
        <w:pStyle w:val="a4"/>
        <w:numPr>
          <w:ilvl w:val="3"/>
          <w:numId w:val="530"/>
        </w:numPr>
        <w:tabs>
          <w:tab w:val="left" w:pos="1576"/>
        </w:tabs>
        <w:rPr>
          <w:sz w:val="21"/>
        </w:rPr>
      </w:pPr>
      <w:r>
        <w:rPr>
          <w:noProof/>
        </w:rPr>
        <w:drawing>
          <wp:anchor distT="0" distB="0" distL="0" distR="0" simplePos="0" relativeHeight="251608576" behindDoc="0" locked="0" layoutInCell="1" allowOverlap="1" wp14:anchorId="69176B1E" wp14:editId="427542D4">
            <wp:simplePos x="0" y="0"/>
            <wp:positionH relativeFrom="page">
              <wp:posOffset>2047875</wp:posOffset>
            </wp:positionH>
            <wp:positionV relativeFrom="paragraph">
              <wp:posOffset>198246</wp:posOffset>
            </wp:positionV>
            <wp:extent cx="5007342" cy="3505200"/>
            <wp:effectExtent l="0" t="0" r="0" b="0"/>
            <wp:wrapTopAndBottom/>
            <wp:docPr id="395" name="image2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234.jpeg"/>
                    <pic:cNvPicPr/>
                  </pic:nvPicPr>
                  <pic:blipFill>
                    <a:blip r:embed="rId276" cstate="print"/>
                    <a:stretch>
                      <a:fillRect/>
                    </a:stretch>
                  </pic:blipFill>
                  <pic:spPr>
                    <a:xfrm>
                      <a:off x="0" y="0"/>
                      <a:ext cx="5007342" cy="3505200"/>
                    </a:xfrm>
                    <a:prstGeom prst="rect">
                      <a:avLst/>
                    </a:prstGeom>
                  </pic:spPr>
                </pic:pic>
              </a:graphicData>
            </a:graphic>
          </wp:anchor>
        </w:drawing>
      </w:r>
      <w:r>
        <w:rPr>
          <w:spacing w:val="-3"/>
          <w:sz w:val="21"/>
        </w:rPr>
        <w:t>活动窗扇框架厚度采用游标卡尺测量，测量位置为窗扇两边梃、上梃、下梃的</w:t>
      </w:r>
      <w:r>
        <w:rPr>
          <w:spacing w:val="-3"/>
          <w:sz w:val="21"/>
        </w:rPr>
        <w:t xml:space="preserve"> </w:t>
      </w:r>
    </w:p>
    <w:p w14:paraId="6237D5C2" w14:textId="77777777" w:rsidR="00A71EEF" w:rsidRDefault="00A71EEF">
      <w:pPr>
        <w:pStyle w:val="a3"/>
        <w:spacing w:before="5"/>
        <w:rPr>
          <w:sz w:val="17"/>
        </w:rPr>
      </w:pPr>
    </w:p>
    <w:p w14:paraId="13105A95" w14:textId="77777777" w:rsidR="00A71EEF" w:rsidRDefault="0081115D">
      <w:pPr>
        <w:pStyle w:val="6"/>
        <w:spacing w:before="1"/>
        <w:ind w:left="3416"/>
      </w:pPr>
      <w:r>
        <w:t>图</w:t>
      </w:r>
      <w:r>
        <w:t xml:space="preserve"> 3 </w:t>
      </w:r>
      <w:r>
        <w:t>活动窗扇尺寸测量位置示意图</w:t>
      </w:r>
      <w:r>
        <w:rPr>
          <w:w w:val="99"/>
        </w:rPr>
        <w:t xml:space="preserve"> </w:t>
      </w:r>
    </w:p>
    <w:p w14:paraId="756FB734" w14:textId="77777777" w:rsidR="00A71EEF" w:rsidRDefault="00A71EEF">
      <w:pPr>
        <w:sectPr w:rsidR="00A71EEF">
          <w:pgSz w:w="11910" w:h="16850"/>
          <w:pgMar w:top="1200" w:right="0" w:bottom="1420" w:left="1260" w:header="0" w:footer="1159" w:gutter="0"/>
          <w:cols w:space="720"/>
        </w:sectPr>
      </w:pPr>
    </w:p>
    <w:p w14:paraId="59D4451E" w14:textId="77777777" w:rsidR="00A71EEF" w:rsidRDefault="0081115D">
      <w:pPr>
        <w:pStyle w:val="a3"/>
        <w:spacing w:before="47" w:line="446" w:lineRule="auto"/>
        <w:ind w:left="838" w:right="7285"/>
      </w:pPr>
      <w:r>
        <w:t>H—</w:t>
      </w:r>
      <w:r>
        <w:rPr>
          <w:spacing w:val="-2"/>
        </w:rPr>
        <w:t>—</w:t>
      </w:r>
      <w:r>
        <w:rPr>
          <w:spacing w:val="-2"/>
        </w:rPr>
        <w:t>防火窗高度；</w:t>
      </w:r>
      <w:r>
        <w:rPr>
          <w:spacing w:val="-2"/>
        </w:rPr>
        <w:t xml:space="preserve">   W—</w:t>
      </w:r>
      <w:r>
        <w:rPr>
          <w:spacing w:val="-3"/>
        </w:rPr>
        <w:t>—</w:t>
      </w:r>
      <w:r>
        <w:rPr>
          <w:spacing w:val="-3"/>
        </w:rPr>
        <w:t>防火窗宽度；</w:t>
      </w:r>
      <w:r>
        <w:rPr>
          <w:spacing w:val="-3"/>
        </w:rPr>
        <w:t xml:space="preserve">   O——</w:t>
      </w:r>
      <w:r>
        <w:rPr>
          <w:spacing w:val="-3"/>
        </w:rPr>
        <w:t>窗框厚度测量位置。</w:t>
      </w:r>
      <w:r>
        <w:t xml:space="preserve"> </w:t>
      </w:r>
    </w:p>
    <w:p w14:paraId="3F6C7A39" w14:textId="77777777" w:rsidR="00A71EEF" w:rsidRDefault="0081115D">
      <w:pPr>
        <w:pStyle w:val="a3"/>
        <w:spacing w:line="446" w:lineRule="auto"/>
        <w:ind w:left="418" w:right="1609"/>
      </w:pPr>
      <w:r>
        <w:t>中部</w:t>
      </w:r>
      <w:r>
        <w:rPr>
          <w:spacing w:val="-3"/>
        </w:rPr>
        <w:t>（</w:t>
      </w:r>
      <w:r>
        <w:rPr>
          <w:spacing w:val="-13"/>
        </w:rPr>
        <w:t>如图</w:t>
      </w:r>
      <w:r>
        <w:rPr>
          <w:spacing w:val="-13"/>
        </w:rPr>
        <w:t xml:space="preserve"> </w:t>
      </w:r>
      <w:r>
        <w:t>3</w:t>
      </w:r>
      <w:r>
        <w:rPr>
          <w:spacing w:val="-7"/>
        </w:rPr>
        <w:t xml:space="preserve"> </w:t>
      </w:r>
      <w:r>
        <w:rPr>
          <w:spacing w:val="-7"/>
        </w:rPr>
        <w:t>中的圆圈位置</w:t>
      </w:r>
      <w:r>
        <w:t>）</w:t>
      </w:r>
      <w:r>
        <w:rPr>
          <w:spacing w:val="-3"/>
        </w:rPr>
        <w:t>，测量的厚度值分别与图纸标注的窗扇框架厚度值相减，取绝对值最大的差值为活动窗扇框架厚度偏差值。</w:t>
      </w:r>
      <w:r>
        <w:t xml:space="preserve"> </w:t>
      </w:r>
    </w:p>
    <w:p w14:paraId="3F99ACE1" w14:textId="77777777" w:rsidR="00A71EEF" w:rsidRDefault="0081115D">
      <w:pPr>
        <w:pStyle w:val="a4"/>
        <w:numPr>
          <w:ilvl w:val="3"/>
          <w:numId w:val="530"/>
        </w:numPr>
        <w:tabs>
          <w:tab w:val="left" w:pos="1576"/>
        </w:tabs>
        <w:spacing w:line="446" w:lineRule="auto"/>
        <w:ind w:left="418" w:right="1609" w:firstLine="419"/>
        <w:rPr>
          <w:sz w:val="21"/>
        </w:rPr>
      </w:pPr>
      <w:r>
        <w:rPr>
          <w:spacing w:val="-3"/>
          <w:sz w:val="21"/>
        </w:rPr>
        <w:t>活动窗扇的两对角线长度采用钢卷尺测量，测量位置为窗扇外角，两测量值之差的绝对值，即为窗扇对角线长度差。</w:t>
      </w:r>
      <w:r>
        <w:rPr>
          <w:sz w:val="21"/>
        </w:rPr>
        <w:t xml:space="preserve"> </w:t>
      </w:r>
    </w:p>
    <w:p w14:paraId="058A1B38" w14:textId="77777777" w:rsidR="00A71EEF" w:rsidRDefault="0081115D">
      <w:pPr>
        <w:pStyle w:val="a4"/>
        <w:numPr>
          <w:ilvl w:val="1"/>
          <w:numId w:val="529"/>
        </w:numPr>
        <w:tabs>
          <w:tab w:val="left" w:pos="1159"/>
        </w:tabs>
        <w:ind w:hanging="319"/>
        <w:rPr>
          <w:sz w:val="21"/>
        </w:rPr>
      </w:pPr>
      <w:r>
        <w:rPr>
          <w:spacing w:val="-3"/>
          <w:sz w:val="21"/>
        </w:rPr>
        <w:t>活动窗扇与窗框的搭接宽度偏差</w:t>
      </w:r>
      <w:r>
        <w:rPr>
          <w:sz w:val="21"/>
        </w:rPr>
        <w:t xml:space="preserve"> </w:t>
      </w:r>
    </w:p>
    <w:p w14:paraId="1E42E0E7" w14:textId="77777777" w:rsidR="00A71EEF" w:rsidRDefault="00A71EEF">
      <w:pPr>
        <w:pStyle w:val="a3"/>
        <w:spacing w:before="9"/>
        <w:rPr>
          <w:sz w:val="17"/>
        </w:rPr>
      </w:pPr>
    </w:p>
    <w:p w14:paraId="06BAC22E" w14:textId="77777777" w:rsidR="00A71EEF" w:rsidRDefault="0081115D">
      <w:pPr>
        <w:pStyle w:val="a4"/>
        <w:numPr>
          <w:ilvl w:val="2"/>
          <w:numId w:val="529"/>
        </w:numPr>
        <w:tabs>
          <w:tab w:val="left" w:pos="1370"/>
        </w:tabs>
        <w:spacing w:before="1"/>
        <w:ind w:hanging="530"/>
        <w:rPr>
          <w:sz w:val="21"/>
        </w:rPr>
      </w:pPr>
      <w:r>
        <w:rPr>
          <w:spacing w:val="-3"/>
          <w:sz w:val="21"/>
        </w:rPr>
        <w:t>将防火窗安装在试验框架上，活动窗扇处于关闭状态。</w:t>
      </w:r>
      <w:r>
        <w:rPr>
          <w:sz w:val="21"/>
        </w:rPr>
        <w:t xml:space="preserve"> </w:t>
      </w:r>
    </w:p>
    <w:p w14:paraId="45B82465" w14:textId="77777777" w:rsidR="00A71EEF" w:rsidRDefault="00A71EEF">
      <w:pPr>
        <w:pStyle w:val="a3"/>
        <w:spacing w:before="1"/>
        <w:rPr>
          <w:sz w:val="18"/>
        </w:rPr>
      </w:pPr>
    </w:p>
    <w:p w14:paraId="44590DAF" w14:textId="77777777" w:rsidR="00A71EEF" w:rsidRDefault="0081115D">
      <w:pPr>
        <w:pStyle w:val="a4"/>
        <w:numPr>
          <w:ilvl w:val="2"/>
          <w:numId w:val="529"/>
        </w:numPr>
        <w:tabs>
          <w:tab w:val="left" w:pos="1370"/>
        </w:tabs>
        <w:spacing w:before="1" w:line="446" w:lineRule="auto"/>
        <w:ind w:left="418" w:right="1604" w:firstLine="422"/>
        <w:rPr>
          <w:sz w:val="21"/>
        </w:rPr>
      </w:pPr>
      <w:r>
        <w:rPr>
          <w:spacing w:val="-3"/>
          <w:sz w:val="21"/>
        </w:rPr>
        <w:t>用划刀在活动窗扇上作搭接宽度测量标记线，标记线位置为活动窗扇与窗框各搭接边缘的中部。</w:t>
      </w:r>
      <w:r>
        <w:rPr>
          <w:sz w:val="21"/>
        </w:rPr>
        <w:t xml:space="preserve"> </w:t>
      </w:r>
    </w:p>
    <w:p w14:paraId="276EC7FF" w14:textId="77777777" w:rsidR="00A71EEF" w:rsidRDefault="0081115D">
      <w:pPr>
        <w:pStyle w:val="a4"/>
        <w:numPr>
          <w:ilvl w:val="2"/>
          <w:numId w:val="529"/>
        </w:numPr>
        <w:tabs>
          <w:tab w:val="left" w:pos="1371"/>
        </w:tabs>
        <w:spacing w:line="446" w:lineRule="auto"/>
        <w:ind w:left="418" w:right="1505" w:firstLine="422"/>
        <w:rPr>
          <w:sz w:val="21"/>
        </w:rPr>
      </w:pPr>
      <w:r>
        <w:rPr>
          <w:spacing w:val="-3"/>
          <w:sz w:val="21"/>
        </w:rPr>
        <w:t>采用深度游标卡尺测量活动窗扇上各标记线与对应窗扇边沿间的距离，测量的搭接宽度值分别与图纸标注的值相减，取绝对值最大的差值为活动窗扇与窗框的搭接宽度偏差值。</w:t>
      </w:r>
      <w:r>
        <w:rPr>
          <w:sz w:val="21"/>
        </w:rPr>
        <w:t xml:space="preserve"> </w:t>
      </w:r>
    </w:p>
    <w:p w14:paraId="5FFB37CF" w14:textId="77777777" w:rsidR="00A71EEF" w:rsidRDefault="0081115D">
      <w:pPr>
        <w:pStyle w:val="a4"/>
        <w:numPr>
          <w:ilvl w:val="1"/>
          <w:numId w:val="529"/>
        </w:numPr>
        <w:tabs>
          <w:tab w:val="left" w:pos="1160"/>
        </w:tabs>
        <w:ind w:left="1159" w:hanging="320"/>
        <w:rPr>
          <w:b/>
          <w:sz w:val="21"/>
        </w:rPr>
      </w:pPr>
      <w:r>
        <w:rPr>
          <w:spacing w:val="-3"/>
          <w:sz w:val="21"/>
        </w:rPr>
        <w:t>窗扇扭曲度</w:t>
      </w:r>
      <w:r>
        <w:rPr>
          <w:b/>
          <w:w w:val="99"/>
          <w:sz w:val="21"/>
        </w:rPr>
        <w:t xml:space="preserve"> </w:t>
      </w:r>
    </w:p>
    <w:p w14:paraId="4398E68D" w14:textId="77777777" w:rsidR="00A71EEF" w:rsidRDefault="00A71EEF">
      <w:pPr>
        <w:pStyle w:val="a3"/>
        <w:spacing w:before="9"/>
        <w:rPr>
          <w:b/>
          <w:sz w:val="17"/>
        </w:rPr>
      </w:pPr>
    </w:p>
    <w:p w14:paraId="5BD18DB5" w14:textId="77777777" w:rsidR="00A71EEF" w:rsidRDefault="0081115D">
      <w:pPr>
        <w:pStyle w:val="a4"/>
        <w:numPr>
          <w:ilvl w:val="2"/>
          <w:numId w:val="529"/>
        </w:numPr>
        <w:tabs>
          <w:tab w:val="left" w:pos="1371"/>
        </w:tabs>
        <w:spacing w:before="1"/>
        <w:ind w:left="1370" w:hanging="531"/>
        <w:rPr>
          <w:b/>
          <w:sz w:val="21"/>
        </w:rPr>
      </w:pPr>
      <w:r>
        <w:rPr>
          <w:spacing w:val="-3"/>
          <w:sz w:val="21"/>
        </w:rPr>
        <w:t>试验设备</w:t>
      </w:r>
      <w:r>
        <w:rPr>
          <w:b/>
          <w:w w:val="99"/>
          <w:sz w:val="21"/>
        </w:rPr>
        <w:t xml:space="preserve"> </w:t>
      </w:r>
    </w:p>
    <w:p w14:paraId="11363478" w14:textId="77777777" w:rsidR="00A71EEF" w:rsidRDefault="00A71EEF">
      <w:pPr>
        <w:pStyle w:val="a3"/>
        <w:spacing w:before="1"/>
        <w:rPr>
          <w:b/>
          <w:sz w:val="18"/>
        </w:rPr>
      </w:pPr>
    </w:p>
    <w:p w14:paraId="67879FA8" w14:textId="77777777" w:rsidR="00A71EEF" w:rsidRDefault="0081115D">
      <w:pPr>
        <w:pStyle w:val="a3"/>
        <w:spacing w:before="1" w:line="446" w:lineRule="auto"/>
        <w:ind w:left="418" w:right="1609" w:firstLine="419"/>
      </w:pPr>
      <w:r>
        <w:t>试验平台：试验平台的长、宽尺寸应满足测量需求，其平面度不应低于三级；三个顶尖：</w:t>
      </w:r>
      <w:r>
        <w:t xml:space="preserve"> </w:t>
      </w:r>
      <w:r>
        <w:t>高度差不大于</w:t>
      </w:r>
      <w:r>
        <w:t xml:space="preserve"> 0.5mm</w:t>
      </w:r>
      <w:r>
        <w:t>；高度尺：分度值为</w:t>
      </w:r>
      <w:r>
        <w:t xml:space="preserve"> 0.02mm</w:t>
      </w:r>
      <w:r>
        <w:t>。</w:t>
      </w:r>
      <w:r>
        <w:t xml:space="preserve"> </w:t>
      </w:r>
    </w:p>
    <w:p w14:paraId="5904D57C" w14:textId="77777777" w:rsidR="00A71EEF" w:rsidRDefault="0081115D">
      <w:pPr>
        <w:pStyle w:val="a4"/>
        <w:numPr>
          <w:ilvl w:val="2"/>
          <w:numId w:val="529"/>
        </w:numPr>
        <w:tabs>
          <w:tab w:val="left" w:pos="1370"/>
        </w:tabs>
        <w:spacing w:line="267" w:lineRule="exact"/>
        <w:ind w:hanging="530"/>
        <w:rPr>
          <w:b/>
          <w:sz w:val="21"/>
        </w:rPr>
      </w:pPr>
      <w:r>
        <w:rPr>
          <w:spacing w:val="-3"/>
          <w:sz w:val="21"/>
        </w:rPr>
        <w:t>试验步骤</w:t>
      </w:r>
      <w:r>
        <w:rPr>
          <w:b/>
          <w:w w:val="99"/>
          <w:sz w:val="21"/>
        </w:rPr>
        <w:t xml:space="preserve"> </w:t>
      </w:r>
    </w:p>
    <w:p w14:paraId="297ECDA4" w14:textId="77777777" w:rsidR="00A71EEF" w:rsidRDefault="00A71EEF">
      <w:pPr>
        <w:pStyle w:val="a3"/>
        <w:spacing w:before="1"/>
        <w:rPr>
          <w:b/>
          <w:sz w:val="18"/>
        </w:rPr>
      </w:pPr>
    </w:p>
    <w:p w14:paraId="00A3CD05" w14:textId="77777777" w:rsidR="00A71EEF" w:rsidRDefault="0081115D">
      <w:pPr>
        <w:pStyle w:val="a4"/>
        <w:numPr>
          <w:ilvl w:val="3"/>
          <w:numId w:val="529"/>
        </w:numPr>
        <w:tabs>
          <w:tab w:val="left" w:pos="1576"/>
        </w:tabs>
        <w:spacing w:line="446" w:lineRule="auto"/>
        <w:ind w:right="1450" w:firstLine="419"/>
        <w:jc w:val="both"/>
        <w:rPr>
          <w:sz w:val="21"/>
        </w:rPr>
      </w:pPr>
      <w:r>
        <w:rPr>
          <w:spacing w:val="-5"/>
          <w:position w:val="1"/>
          <w:sz w:val="21"/>
        </w:rPr>
        <w:t>任意选定窗扇的三个角为顶尖支撑角，标记为</w:t>
      </w:r>
      <w:r>
        <w:rPr>
          <w:spacing w:val="-5"/>
          <w:position w:val="1"/>
          <w:sz w:val="21"/>
        </w:rPr>
        <w:t xml:space="preserve"> </w:t>
      </w:r>
      <w:r>
        <w:rPr>
          <w:position w:val="1"/>
          <w:sz w:val="21"/>
        </w:rPr>
        <w:t>P</w:t>
      </w:r>
      <w:r>
        <w:rPr>
          <w:sz w:val="11"/>
        </w:rPr>
        <w:t>l</w:t>
      </w:r>
      <w:r>
        <w:rPr>
          <w:position w:val="1"/>
          <w:sz w:val="21"/>
        </w:rPr>
        <w:t>、</w:t>
      </w:r>
      <w:r>
        <w:rPr>
          <w:position w:val="1"/>
          <w:sz w:val="21"/>
        </w:rPr>
        <w:t>P</w:t>
      </w:r>
      <w:r>
        <w:rPr>
          <w:sz w:val="11"/>
        </w:rPr>
        <w:t>2</w:t>
      </w:r>
      <w:r>
        <w:rPr>
          <w:position w:val="1"/>
          <w:sz w:val="21"/>
        </w:rPr>
        <w:t>、</w:t>
      </w:r>
      <w:r>
        <w:rPr>
          <w:position w:val="1"/>
          <w:sz w:val="21"/>
        </w:rPr>
        <w:t>P</w:t>
      </w:r>
      <w:r>
        <w:rPr>
          <w:sz w:val="11"/>
        </w:rPr>
        <w:t>3</w:t>
      </w:r>
      <w:r>
        <w:rPr>
          <w:spacing w:val="-25"/>
          <w:sz w:val="11"/>
        </w:rPr>
        <w:t xml:space="preserve"> </w:t>
      </w:r>
      <w:r>
        <w:rPr>
          <w:spacing w:val="-3"/>
          <w:position w:val="1"/>
          <w:sz w:val="21"/>
        </w:rPr>
        <w:t>角，并在其正反面分别标</w:t>
      </w:r>
      <w:r>
        <w:rPr>
          <w:spacing w:val="-4"/>
          <w:sz w:val="21"/>
        </w:rPr>
        <w:t>记出顶尖的顶放位置点，每个点与两角边等距，且不小于</w:t>
      </w:r>
      <w:r>
        <w:rPr>
          <w:spacing w:val="-4"/>
          <w:sz w:val="21"/>
        </w:rPr>
        <w:t xml:space="preserve"> </w:t>
      </w:r>
      <w:r>
        <w:rPr>
          <w:sz w:val="21"/>
        </w:rPr>
        <w:t>5mm</w:t>
      </w:r>
      <w:r>
        <w:rPr>
          <w:spacing w:val="-3"/>
          <w:sz w:val="21"/>
        </w:rPr>
        <w:t>；窗扇剩余一角为测量角，标记为</w:t>
      </w:r>
      <w:r>
        <w:rPr>
          <w:spacing w:val="-3"/>
          <w:sz w:val="21"/>
        </w:rPr>
        <w:t>P4</w:t>
      </w:r>
      <w:r>
        <w:rPr>
          <w:spacing w:val="-19"/>
          <w:sz w:val="21"/>
        </w:rPr>
        <w:t xml:space="preserve"> </w:t>
      </w:r>
      <w:r>
        <w:rPr>
          <w:spacing w:val="-19"/>
          <w:sz w:val="21"/>
        </w:rPr>
        <w:t>角，见图</w:t>
      </w:r>
      <w:r>
        <w:rPr>
          <w:spacing w:val="-19"/>
          <w:sz w:val="21"/>
        </w:rPr>
        <w:t xml:space="preserve"> </w:t>
      </w:r>
      <w:r>
        <w:rPr>
          <w:sz w:val="21"/>
        </w:rPr>
        <w:t>4</w:t>
      </w:r>
      <w:r>
        <w:rPr>
          <w:spacing w:val="-3"/>
          <w:sz w:val="21"/>
        </w:rPr>
        <w:t>。</w:t>
      </w:r>
      <w:r>
        <w:rPr>
          <w:sz w:val="21"/>
        </w:rPr>
        <w:t xml:space="preserve"> </w:t>
      </w:r>
    </w:p>
    <w:p w14:paraId="26FCF463" w14:textId="77777777" w:rsidR="00A71EEF" w:rsidRDefault="0081115D">
      <w:pPr>
        <w:pStyle w:val="a4"/>
        <w:numPr>
          <w:ilvl w:val="3"/>
          <w:numId w:val="529"/>
        </w:numPr>
        <w:tabs>
          <w:tab w:val="left" w:pos="1576"/>
        </w:tabs>
        <w:spacing w:line="446" w:lineRule="auto"/>
        <w:ind w:right="1810" w:firstLine="419"/>
        <w:rPr>
          <w:sz w:val="21"/>
        </w:rPr>
      </w:pPr>
      <w:r>
        <w:rPr>
          <w:spacing w:val="-1"/>
          <w:position w:val="1"/>
          <w:sz w:val="21"/>
        </w:rPr>
        <w:t>在试验平台上，将三个顶尖分别顶在窗扇</w:t>
      </w:r>
      <w:r>
        <w:rPr>
          <w:position w:val="1"/>
          <w:sz w:val="21"/>
        </w:rPr>
        <w:t>P</w:t>
      </w:r>
      <w:r>
        <w:rPr>
          <w:sz w:val="11"/>
        </w:rPr>
        <w:t>l</w:t>
      </w:r>
      <w:r>
        <w:rPr>
          <w:position w:val="1"/>
          <w:sz w:val="21"/>
        </w:rPr>
        <w:t>、</w:t>
      </w:r>
      <w:r>
        <w:rPr>
          <w:position w:val="1"/>
          <w:sz w:val="21"/>
        </w:rPr>
        <w:t>P</w:t>
      </w:r>
      <w:r>
        <w:rPr>
          <w:sz w:val="11"/>
        </w:rPr>
        <w:t>2</w:t>
      </w:r>
      <w:r>
        <w:rPr>
          <w:spacing w:val="-24"/>
          <w:sz w:val="11"/>
        </w:rPr>
        <w:t xml:space="preserve"> </w:t>
      </w:r>
      <w:r>
        <w:rPr>
          <w:spacing w:val="50"/>
          <w:position w:val="1"/>
          <w:sz w:val="21"/>
        </w:rPr>
        <w:t>和</w:t>
      </w:r>
      <w:r>
        <w:rPr>
          <w:position w:val="1"/>
          <w:sz w:val="21"/>
        </w:rPr>
        <w:t>P</w:t>
      </w:r>
      <w:r>
        <w:rPr>
          <w:sz w:val="11"/>
        </w:rPr>
        <w:t>3</w:t>
      </w:r>
      <w:r>
        <w:rPr>
          <w:spacing w:val="-23"/>
          <w:sz w:val="11"/>
        </w:rPr>
        <w:t xml:space="preserve"> </w:t>
      </w:r>
      <w:r>
        <w:rPr>
          <w:spacing w:val="-3"/>
          <w:position w:val="1"/>
          <w:sz w:val="21"/>
        </w:rPr>
        <w:t>角正面的三个顶放位置点</w:t>
      </w:r>
      <w:r>
        <w:rPr>
          <w:spacing w:val="-6"/>
          <w:position w:val="1"/>
          <w:sz w:val="21"/>
        </w:rPr>
        <w:t>上，并平稳放置，用高度尺测量试验平台与窗扇</w:t>
      </w:r>
      <w:r>
        <w:rPr>
          <w:spacing w:val="-6"/>
          <w:position w:val="1"/>
          <w:sz w:val="21"/>
        </w:rPr>
        <w:t xml:space="preserve"> </w:t>
      </w:r>
      <w:r>
        <w:rPr>
          <w:position w:val="1"/>
          <w:sz w:val="21"/>
        </w:rPr>
        <w:t>P</w:t>
      </w:r>
      <w:r>
        <w:rPr>
          <w:sz w:val="11"/>
        </w:rPr>
        <w:t>4</w:t>
      </w:r>
      <w:r>
        <w:rPr>
          <w:spacing w:val="-30"/>
          <w:sz w:val="11"/>
        </w:rPr>
        <w:t xml:space="preserve"> </w:t>
      </w:r>
      <w:r>
        <w:rPr>
          <w:spacing w:val="-10"/>
          <w:position w:val="1"/>
          <w:sz w:val="21"/>
        </w:rPr>
        <w:t>角正面间的距离</w:t>
      </w:r>
      <w:r>
        <w:rPr>
          <w:spacing w:val="-10"/>
          <w:position w:val="1"/>
          <w:sz w:val="21"/>
        </w:rPr>
        <w:t xml:space="preserve"> </w:t>
      </w:r>
      <w:r>
        <w:rPr>
          <w:position w:val="1"/>
          <w:sz w:val="21"/>
        </w:rPr>
        <w:t>h</w:t>
      </w:r>
      <w:r>
        <w:rPr>
          <w:sz w:val="11"/>
        </w:rPr>
        <w:t>l</w:t>
      </w:r>
      <w:r>
        <w:rPr>
          <w:spacing w:val="-3"/>
          <w:position w:val="1"/>
          <w:sz w:val="21"/>
        </w:rPr>
        <w:t>。</w:t>
      </w:r>
      <w:r>
        <w:rPr>
          <w:position w:val="1"/>
          <w:sz w:val="21"/>
        </w:rPr>
        <w:t xml:space="preserve"> </w:t>
      </w:r>
    </w:p>
    <w:p w14:paraId="51383CF4" w14:textId="77777777" w:rsidR="00A71EEF" w:rsidRDefault="0081115D">
      <w:pPr>
        <w:pStyle w:val="a4"/>
        <w:numPr>
          <w:ilvl w:val="3"/>
          <w:numId w:val="529"/>
        </w:numPr>
        <w:tabs>
          <w:tab w:val="left" w:pos="1576"/>
        </w:tabs>
        <w:spacing w:line="446" w:lineRule="auto"/>
        <w:ind w:right="1599" w:firstLine="419"/>
        <w:rPr>
          <w:sz w:val="21"/>
        </w:rPr>
      </w:pPr>
      <w:r>
        <w:rPr>
          <w:spacing w:val="-6"/>
          <w:position w:val="1"/>
          <w:sz w:val="21"/>
        </w:rPr>
        <w:t>将窗扇反转，将三个顶尖分别顶在窗扇</w:t>
      </w:r>
      <w:r>
        <w:rPr>
          <w:spacing w:val="-6"/>
          <w:position w:val="1"/>
          <w:sz w:val="21"/>
        </w:rPr>
        <w:t xml:space="preserve"> </w:t>
      </w:r>
      <w:r>
        <w:rPr>
          <w:position w:val="1"/>
          <w:sz w:val="21"/>
        </w:rPr>
        <w:t>P</w:t>
      </w:r>
      <w:r>
        <w:rPr>
          <w:sz w:val="11"/>
        </w:rPr>
        <w:t>1</w:t>
      </w:r>
      <w:r>
        <w:rPr>
          <w:position w:val="1"/>
          <w:sz w:val="21"/>
        </w:rPr>
        <w:t>、</w:t>
      </w:r>
      <w:r>
        <w:rPr>
          <w:position w:val="1"/>
          <w:sz w:val="21"/>
        </w:rPr>
        <w:t>P</w:t>
      </w:r>
      <w:r>
        <w:rPr>
          <w:sz w:val="11"/>
        </w:rPr>
        <w:t>2</w:t>
      </w:r>
      <w:r>
        <w:rPr>
          <w:spacing w:val="-26"/>
          <w:sz w:val="11"/>
        </w:rPr>
        <w:t xml:space="preserve"> </w:t>
      </w:r>
      <w:r>
        <w:rPr>
          <w:spacing w:val="-23"/>
          <w:position w:val="1"/>
          <w:sz w:val="21"/>
        </w:rPr>
        <w:t>和</w:t>
      </w:r>
      <w:r>
        <w:rPr>
          <w:spacing w:val="-23"/>
          <w:position w:val="1"/>
          <w:sz w:val="21"/>
        </w:rPr>
        <w:t xml:space="preserve"> </w:t>
      </w:r>
      <w:r>
        <w:rPr>
          <w:position w:val="1"/>
          <w:sz w:val="21"/>
        </w:rPr>
        <w:t>P</w:t>
      </w:r>
      <w:r>
        <w:rPr>
          <w:sz w:val="11"/>
        </w:rPr>
        <w:t>3</w:t>
      </w:r>
      <w:r>
        <w:rPr>
          <w:spacing w:val="-25"/>
          <w:sz w:val="11"/>
        </w:rPr>
        <w:t xml:space="preserve"> </w:t>
      </w:r>
      <w:r>
        <w:rPr>
          <w:spacing w:val="-3"/>
          <w:position w:val="1"/>
          <w:sz w:val="21"/>
        </w:rPr>
        <w:t>角反面的三个顶放位置点上，</w:t>
      </w:r>
      <w:r>
        <w:rPr>
          <w:spacing w:val="-3"/>
          <w:position w:val="1"/>
          <w:sz w:val="21"/>
        </w:rPr>
        <w:t xml:space="preserve"> </w:t>
      </w:r>
      <w:r>
        <w:rPr>
          <w:spacing w:val="-6"/>
          <w:position w:val="1"/>
          <w:sz w:val="21"/>
        </w:rPr>
        <w:t>并平稳放置，用高度尺侧量试验平台与窗扇</w:t>
      </w:r>
      <w:r>
        <w:rPr>
          <w:spacing w:val="-6"/>
          <w:position w:val="1"/>
          <w:sz w:val="21"/>
        </w:rPr>
        <w:t xml:space="preserve"> </w:t>
      </w:r>
      <w:r>
        <w:rPr>
          <w:position w:val="1"/>
          <w:sz w:val="21"/>
        </w:rPr>
        <w:t>P</w:t>
      </w:r>
      <w:r>
        <w:rPr>
          <w:sz w:val="11"/>
        </w:rPr>
        <w:t>4</w:t>
      </w:r>
      <w:r>
        <w:rPr>
          <w:spacing w:val="-28"/>
          <w:sz w:val="11"/>
        </w:rPr>
        <w:t xml:space="preserve"> </w:t>
      </w:r>
      <w:r>
        <w:rPr>
          <w:spacing w:val="-10"/>
          <w:position w:val="1"/>
          <w:sz w:val="21"/>
        </w:rPr>
        <w:t>角反面间的距离</w:t>
      </w:r>
      <w:r>
        <w:rPr>
          <w:spacing w:val="-10"/>
          <w:position w:val="1"/>
          <w:sz w:val="21"/>
        </w:rPr>
        <w:t xml:space="preserve"> </w:t>
      </w:r>
      <w:r>
        <w:rPr>
          <w:position w:val="1"/>
          <w:sz w:val="21"/>
        </w:rPr>
        <w:t>h</w:t>
      </w:r>
      <w:r>
        <w:rPr>
          <w:sz w:val="11"/>
        </w:rPr>
        <w:t>2</w:t>
      </w:r>
      <w:r>
        <w:rPr>
          <w:spacing w:val="-3"/>
          <w:position w:val="1"/>
          <w:sz w:val="21"/>
        </w:rPr>
        <w:t>。</w:t>
      </w:r>
      <w:r>
        <w:rPr>
          <w:position w:val="1"/>
          <w:sz w:val="21"/>
        </w:rPr>
        <w:t xml:space="preserve"> </w:t>
      </w:r>
    </w:p>
    <w:p w14:paraId="75872A73" w14:textId="77777777" w:rsidR="00A71EEF" w:rsidRDefault="0081115D">
      <w:pPr>
        <w:pStyle w:val="a4"/>
        <w:numPr>
          <w:ilvl w:val="2"/>
          <w:numId w:val="529"/>
        </w:numPr>
        <w:tabs>
          <w:tab w:val="left" w:pos="1370"/>
        </w:tabs>
        <w:ind w:hanging="530"/>
        <w:rPr>
          <w:b/>
          <w:sz w:val="21"/>
        </w:rPr>
      </w:pPr>
      <w:r>
        <w:rPr>
          <w:spacing w:val="-3"/>
          <w:sz w:val="21"/>
        </w:rPr>
        <w:t>试验结果</w:t>
      </w:r>
      <w:r>
        <w:rPr>
          <w:b/>
          <w:w w:val="99"/>
          <w:sz w:val="21"/>
        </w:rPr>
        <w:t xml:space="preserve"> </w:t>
      </w:r>
    </w:p>
    <w:p w14:paraId="5D748326" w14:textId="77777777" w:rsidR="00A71EEF" w:rsidRDefault="00A71EEF">
      <w:pPr>
        <w:pStyle w:val="a3"/>
        <w:spacing w:before="10"/>
        <w:rPr>
          <w:b/>
          <w:sz w:val="17"/>
        </w:rPr>
      </w:pPr>
    </w:p>
    <w:p w14:paraId="59D82EEE" w14:textId="77777777" w:rsidR="00A71EEF" w:rsidRDefault="0081115D">
      <w:pPr>
        <w:pStyle w:val="a3"/>
        <w:ind w:left="838"/>
      </w:pPr>
      <w:r>
        <w:t>窗扇的扭曲度（</w:t>
      </w:r>
      <w:r>
        <w:t>D</w:t>
      </w:r>
      <w:r>
        <w:t>）按下式计算，结果保留小数后一位有效数字：</w:t>
      </w:r>
      <w:r>
        <w:t xml:space="preserve"> </w:t>
      </w:r>
    </w:p>
    <w:p w14:paraId="558D5067" w14:textId="77777777" w:rsidR="00A71EEF" w:rsidRDefault="00A71EEF">
      <w:pPr>
        <w:pStyle w:val="a3"/>
        <w:spacing w:before="2"/>
        <w:rPr>
          <w:sz w:val="18"/>
        </w:rPr>
      </w:pPr>
    </w:p>
    <w:p w14:paraId="2952677F" w14:textId="77777777" w:rsidR="00A71EEF" w:rsidRDefault="0081115D">
      <w:pPr>
        <w:pStyle w:val="a3"/>
        <w:ind w:right="495"/>
        <w:jc w:val="center"/>
      </w:pPr>
      <w:r>
        <w:t xml:space="preserve"> </w:t>
      </w:r>
    </w:p>
    <w:p w14:paraId="59593213" w14:textId="77777777" w:rsidR="00A71EEF" w:rsidRDefault="00A71EEF">
      <w:pPr>
        <w:jc w:val="center"/>
        <w:sectPr w:rsidR="00A71EEF">
          <w:pgSz w:w="11910" w:h="16850"/>
          <w:pgMar w:top="1220" w:right="0" w:bottom="1420" w:left="1260" w:header="0" w:footer="1159" w:gutter="0"/>
          <w:cols w:space="720"/>
        </w:sectPr>
      </w:pPr>
    </w:p>
    <w:p w14:paraId="4DE2F2EB" w14:textId="77777777" w:rsidR="00A71EEF" w:rsidRDefault="0081115D">
      <w:pPr>
        <w:pStyle w:val="a3"/>
        <w:ind w:left="776"/>
        <w:rPr>
          <w:sz w:val="20"/>
        </w:rPr>
      </w:pPr>
      <w:r>
        <w:rPr>
          <w:noProof/>
          <w:sz w:val="20"/>
        </w:rPr>
        <w:drawing>
          <wp:inline distT="0" distB="0" distL="0" distR="0" wp14:anchorId="27918C32" wp14:editId="15BC1117">
            <wp:extent cx="4961499" cy="2533650"/>
            <wp:effectExtent l="0" t="0" r="0" b="0"/>
            <wp:docPr id="397" name="image2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235.jpeg"/>
                    <pic:cNvPicPr/>
                  </pic:nvPicPr>
                  <pic:blipFill>
                    <a:blip r:embed="rId277" cstate="print"/>
                    <a:stretch>
                      <a:fillRect/>
                    </a:stretch>
                  </pic:blipFill>
                  <pic:spPr>
                    <a:xfrm>
                      <a:off x="0" y="0"/>
                      <a:ext cx="4961499" cy="2533650"/>
                    </a:xfrm>
                    <a:prstGeom prst="rect">
                      <a:avLst/>
                    </a:prstGeom>
                  </pic:spPr>
                </pic:pic>
              </a:graphicData>
            </a:graphic>
          </wp:inline>
        </w:drawing>
      </w:r>
    </w:p>
    <w:p w14:paraId="168E106B" w14:textId="77777777" w:rsidR="00A71EEF" w:rsidRDefault="00A71EEF">
      <w:pPr>
        <w:pStyle w:val="a3"/>
        <w:spacing w:before="1"/>
        <w:rPr>
          <w:sz w:val="10"/>
        </w:rPr>
      </w:pPr>
    </w:p>
    <w:p w14:paraId="631893B0" w14:textId="77777777" w:rsidR="00A71EEF" w:rsidRDefault="0081115D">
      <w:pPr>
        <w:pStyle w:val="6"/>
        <w:spacing w:before="72"/>
        <w:ind w:right="492"/>
        <w:jc w:val="center"/>
      </w:pPr>
      <w:r>
        <w:t>图</w:t>
      </w:r>
      <w:r>
        <w:t xml:space="preserve"> 4 </w:t>
      </w:r>
      <w:r>
        <w:t>扭曲度测量示意图</w:t>
      </w:r>
      <w:r>
        <w:rPr>
          <w:w w:val="99"/>
        </w:rPr>
        <w:t xml:space="preserve"> </w:t>
      </w:r>
    </w:p>
    <w:p w14:paraId="40E6B755" w14:textId="77777777" w:rsidR="00A71EEF" w:rsidRDefault="00A71EEF">
      <w:pPr>
        <w:pStyle w:val="a3"/>
        <w:spacing w:before="7"/>
        <w:rPr>
          <w:b/>
          <w:sz w:val="12"/>
        </w:rPr>
      </w:pPr>
    </w:p>
    <w:p w14:paraId="6E13FD09" w14:textId="77777777" w:rsidR="00A71EEF" w:rsidRDefault="0081115D">
      <w:pPr>
        <w:pStyle w:val="a3"/>
        <w:spacing w:before="71"/>
        <w:ind w:left="838"/>
      </w:pPr>
      <w:r>
        <w:t>1——</w:t>
      </w:r>
      <w:r>
        <w:t>试验平台；</w:t>
      </w:r>
      <w:r>
        <w:t xml:space="preserve"> </w:t>
      </w:r>
    </w:p>
    <w:p w14:paraId="0FDF3536" w14:textId="77777777" w:rsidR="00A71EEF" w:rsidRDefault="00A71EEF">
      <w:pPr>
        <w:pStyle w:val="a3"/>
        <w:rPr>
          <w:sz w:val="18"/>
        </w:rPr>
      </w:pPr>
    </w:p>
    <w:p w14:paraId="010924AC" w14:textId="77777777" w:rsidR="00A71EEF" w:rsidRDefault="0081115D">
      <w:pPr>
        <w:pStyle w:val="a3"/>
        <w:ind w:left="838"/>
      </w:pPr>
      <w:r>
        <w:t>2——</w:t>
      </w:r>
      <w:r>
        <w:t>高度尺；</w:t>
      </w:r>
      <w:r>
        <w:t xml:space="preserve"> </w:t>
      </w:r>
    </w:p>
    <w:p w14:paraId="56D09BF8" w14:textId="77777777" w:rsidR="00A71EEF" w:rsidRDefault="00A71EEF">
      <w:pPr>
        <w:pStyle w:val="a3"/>
        <w:spacing w:before="12"/>
        <w:rPr>
          <w:sz w:val="17"/>
        </w:rPr>
      </w:pPr>
    </w:p>
    <w:p w14:paraId="1BFC6FDC" w14:textId="77777777" w:rsidR="00A71EEF" w:rsidRDefault="0081115D">
      <w:pPr>
        <w:pStyle w:val="a3"/>
        <w:ind w:left="838"/>
      </w:pPr>
      <w:r>
        <w:t>3——</w:t>
      </w:r>
      <w:r>
        <w:t>防火窗活动窗扇；</w:t>
      </w:r>
      <w:r>
        <w:t xml:space="preserve"> </w:t>
      </w:r>
    </w:p>
    <w:p w14:paraId="3E5C060A" w14:textId="77777777" w:rsidR="00A71EEF" w:rsidRDefault="00A71EEF">
      <w:pPr>
        <w:pStyle w:val="a3"/>
        <w:spacing w:before="2"/>
        <w:rPr>
          <w:sz w:val="18"/>
        </w:rPr>
      </w:pPr>
    </w:p>
    <w:p w14:paraId="6B609388" w14:textId="77777777" w:rsidR="00A71EEF" w:rsidRDefault="0081115D">
      <w:pPr>
        <w:pStyle w:val="a3"/>
        <w:spacing w:before="1"/>
        <w:ind w:left="838"/>
      </w:pPr>
      <w:r>
        <w:t>4——</w:t>
      </w:r>
      <w:r>
        <w:t>顶尖。</w:t>
      </w:r>
      <w:r>
        <w:t xml:space="preserve"> </w:t>
      </w:r>
    </w:p>
    <w:p w14:paraId="7308C9CE" w14:textId="77777777" w:rsidR="00A71EEF" w:rsidRDefault="00A71EEF">
      <w:pPr>
        <w:pStyle w:val="a3"/>
        <w:spacing w:before="12"/>
        <w:rPr>
          <w:sz w:val="17"/>
        </w:rPr>
      </w:pPr>
    </w:p>
    <w:p w14:paraId="3332D85A" w14:textId="77777777" w:rsidR="00A71EEF" w:rsidRDefault="0081115D">
      <w:pPr>
        <w:pStyle w:val="a4"/>
        <w:numPr>
          <w:ilvl w:val="1"/>
          <w:numId w:val="529"/>
        </w:numPr>
        <w:tabs>
          <w:tab w:val="left" w:pos="1159"/>
        </w:tabs>
        <w:ind w:hanging="319"/>
        <w:rPr>
          <w:sz w:val="21"/>
        </w:rPr>
      </w:pPr>
      <w:r>
        <w:rPr>
          <w:spacing w:val="-3"/>
          <w:sz w:val="21"/>
        </w:rPr>
        <w:t>抗风压性能</w:t>
      </w:r>
      <w:r>
        <w:rPr>
          <w:sz w:val="21"/>
        </w:rPr>
        <w:t xml:space="preserve"> </w:t>
      </w:r>
    </w:p>
    <w:p w14:paraId="40A2B98E" w14:textId="77777777" w:rsidR="00A71EEF" w:rsidRDefault="00A71EEF">
      <w:pPr>
        <w:pStyle w:val="a3"/>
        <w:spacing w:before="12"/>
        <w:rPr>
          <w:sz w:val="17"/>
        </w:rPr>
      </w:pPr>
    </w:p>
    <w:p w14:paraId="3DB553A7" w14:textId="77777777" w:rsidR="00A71EEF" w:rsidRDefault="0081115D">
      <w:pPr>
        <w:pStyle w:val="a3"/>
        <w:spacing w:line="446" w:lineRule="auto"/>
        <w:ind w:left="840" w:right="4345" w:hanging="3"/>
      </w:pPr>
      <w:r>
        <w:t>防火窗的抗风压性能按</w:t>
      </w:r>
      <w:r>
        <w:t xml:space="preserve"> GB/T 7106-2002 </w:t>
      </w:r>
      <w:r>
        <w:t>的规定进行检测。</w:t>
      </w:r>
      <w:r>
        <w:rPr>
          <w:b/>
        </w:rPr>
        <w:t xml:space="preserve">8.10 </w:t>
      </w:r>
      <w:r>
        <w:t>气密性能</w:t>
      </w:r>
      <w:r>
        <w:t xml:space="preserve"> </w:t>
      </w:r>
    </w:p>
    <w:p w14:paraId="70570A0D" w14:textId="77777777" w:rsidR="00A71EEF" w:rsidRDefault="0081115D">
      <w:pPr>
        <w:pStyle w:val="a3"/>
        <w:spacing w:line="446" w:lineRule="auto"/>
        <w:ind w:left="840" w:right="4556" w:hanging="3"/>
      </w:pPr>
      <w:r>
        <w:t>防火窗的气密性能按</w:t>
      </w:r>
      <w:r>
        <w:t xml:space="preserve"> GB/T 7107-2002 </w:t>
      </w:r>
      <w:r>
        <w:t>的规定进行检测。</w:t>
      </w:r>
      <w:r>
        <w:rPr>
          <w:b/>
        </w:rPr>
        <w:t xml:space="preserve">8.11 </w:t>
      </w:r>
      <w:r>
        <w:t>窗扇关闭可靠性</w:t>
      </w:r>
      <w:r>
        <w:t xml:space="preserve"> </w:t>
      </w:r>
    </w:p>
    <w:p w14:paraId="56299380" w14:textId="77777777" w:rsidR="00A71EEF" w:rsidRDefault="0081115D">
      <w:pPr>
        <w:pStyle w:val="a4"/>
        <w:numPr>
          <w:ilvl w:val="2"/>
          <w:numId w:val="528"/>
        </w:numPr>
        <w:tabs>
          <w:tab w:val="left" w:pos="1478"/>
        </w:tabs>
        <w:spacing w:before="1"/>
        <w:ind w:hanging="638"/>
        <w:rPr>
          <w:sz w:val="21"/>
        </w:rPr>
      </w:pPr>
      <w:r>
        <w:rPr>
          <w:spacing w:val="-3"/>
          <w:sz w:val="21"/>
        </w:rPr>
        <w:t>将防火窗试件安装在试验框架上。</w:t>
      </w:r>
      <w:r>
        <w:rPr>
          <w:sz w:val="21"/>
        </w:rPr>
        <w:t xml:space="preserve"> </w:t>
      </w:r>
    </w:p>
    <w:p w14:paraId="140C7C3B" w14:textId="77777777" w:rsidR="00A71EEF" w:rsidRDefault="00A71EEF">
      <w:pPr>
        <w:pStyle w:val="a3"/>
        <w:spacing w:before="12"/>
        <w:rPr>
          <w:sz w:val="17"/>
        </w:rPr>
      </w:pPr>
    </w:p>
    <w:p w14:paraId="3E069809" w14:textId="77777777" w:rsidR="00A71EEF" w:rsidRDefault="0081115D">
      <w:pPr>
        <w:pStyle w:val="a4"/>
        <w:numPr>
          <w:ilvl w:val="2"/>
          <w:numId w:val="528"/>
        </w:numPr>
        <w:tabs>
          <w:tab w:val="left" w:pos="1478"/>
        </w:tabs>
        <w:ind w:hanging="638"/>
        <w:rPr>
          <w:sz w:val="21"/>
        </w:rPr>
      </w:pPr>
      <w:r>
        <w:rPr>
          <w:spacing w:val="-5"/>
          <w:sz w:val="21"/>
        </w:rPr>
        <w:t>开启窗扇，采用手动控制窗扇关闭装置关闭窗扇，完成</w:t>
      </w:r>
      <w:r>
        <w:rPr>
          <w:spacing w:val="-5"/>
          <w:sz w:val="21"/>
        </w:rPr>
        <w:t xml:space="preserve"> </w:t>
      </w:r>
      <w:r>
        <w:rPr>
          <w:sz w:val="21"/>
        </w:rPr>
        <w:t>1</w:t>
      </w:r>
      <w:r>
        <w:rPr>
          <w:spacing w:val="-15"/>
          <w:sz w:val="21"/>
        </w:rPr>
        <w:t xml:space="preserve"> </w:t>
      </w:r>
      <w:r>
        <w:rPr>
          <w:spacing w:val="-15"/>
          <w:sz w:val="21"/>
        </w:rPr>
        <w:t>次开启</w:t>
      </w:r>
      <w:r>
        <w:rPr>
          <w:sz w:val="21"/>
        </w:rPr>
        <w:t>/</w:t>
      </w:r>
      <w:r>
        <w:rPr>
          <w:spacing w:val="-3"/>
          <w:sz w:val="21"/>
        </w:rPr>
        <w:t>关闭运行试验。</w:t>
      </w:r>
      <w:r>
        <w:rPr>
          <w:sz w:val="21"/>
        </w:rPr>
        <w:t xml:space="preserve"> </w:t>
      </w:r>
    </w:p>
    <w:p w14:paraId="1E035861" w14:textId="77777777" w:rsidR="00A71EEF" w:rsidRDefault="00A71EEF">
      <w:pPr>
        <w:pStyle w:val="a3"/>
        <w:spacing w:before="12"/>
        <w:rPr>
          <w:sz w:val="17"/>
        </w:rPr>
      </w:pPr>
    </w:p>
    <w:p w14:paraId="0162432E" w14:textId="77777777" w:rsidR="00A71EEF" w:rsidRDefault="0081115D">
      <w:pPr>
        <w:pStyle w:val="a4"/>
        <w:numPr>
          <w:ilvl w:val="2"/>
          <w:numId w:val="528"/>
        </w:numPr>
        <w:tabs>
          <w:tab w:val="left" w:pos="1478"/>
        </w:tabs>
        <w:ind w:hanging="638"/>
        <w:rPr>
          <w:sz w:val="21"/>
        </w:rPr>
      </w:pPr>
      <w:r>
        <w:rPr>
          <w:spacing w:val="-19"/>
          <w:sz w:val="21"/>
        </w:rPr>
        <w:t>重复</w:t>
      </w:r>
      <w:r>
        <w:rPr>
          <w:spacing w:val="-19"/>
          <w:sz w:val="21"/>
        </w:rPr>
        <w:t xml:space="preserve"> </w:t>
      </w:r>
      <w:r>
        <w:rPr>
          <w:sz w:val="21"/>
        </w:rPr>
        <w:t>8.11.2</w:t>
      </w:r>
      <w:r>
        <w:rPr>
          <w:spacing w:val="-13"/>
          <w:sz w:val="21"/>
        </w:rPr>
        <w:t xml:space="preserve"> </w:t>
      </w:r>
      <w:r>
        <w:rPr>
          <w:spacing w:val="-13"/>
          <w:sz w:val="21"/>
        </w:rPr>
        <w:t>规定的试验，使窗扇共进行</w:t>
      </w:r>
      <w:r>
        <w:rPr>
          <w:spacing w:val="-13"/>
          <w:sz w:val="21"/>
        </w:rPr>
        <w:t xml:space="preserve"> </w:t>
      </w:r>
      <w:r>
        <w:rPr>
          <w:sz w:val="21"/>
        </w:rPr>
        <w:t>100</w:t>
      </w:r>
      <w:r>
        <w:rPr>
          <w:spacing w:val="-15"/>
          <w:sz w:val="21"/>
        </w:rPr>
        <w:t xml:space="preserve"> </w:t>
      </w:r>
      <w:r>
        <w:rPr>
          <w:spacing w:val="-15"/>
          <w:sz w:val="21"/>
        </w:rPr>
        <w:t>次开启</w:t>
      </w:r>
      <w:r>
        <w:rPr>
          <w:spacing w:val="-3"/>
          <w:sz w:val="21"/>
        </w:rPr>
        <w:t>/</w:t>
      </w:r>
      <w:r>
        <w:rPr>
          <w:spacing w:val="-3"/>
          <w:sz w:val="21"/>
        </w:rPr>
        <w:t>关闭运行试验。</w:t>
      </w:r>
      <w:r>
        <w:rPr>
          <w:sz w:val="21"/>
        </w:rPr>
        <w:t xml:space="preserve"> </w:t>
      </w:r>
    </w:p>
    <w:p w14:paraId="31B7E932" w14:textId="77777777" w:rsidR="00A71EEF" w:rsidRDefault="00A71EEF">
      <w:pPr>
        <w:pStyle w:val="a3"/>
        <w:spacing w:before="2"/>
        <w:rPr>
          <w:sz w:val="18"/>
        </w:rPr>
      </w:pPr>
    </w:p>
    <w:p w14:paraId="7779E074" w14:textId="77777777" w:rsidR="00A71EEF" w:rsidRDefault="0081115D">
      <w:pPr>
        <w:pStyle w:val="a4"/>
        <w:numPr>
          <w:ilvl w:val="2"/>
          <w:numId w:val="528"/>
        </w:numPr>
        <w:tabs>
          <w:tab w:val="left" w:pos="1478"/>
        </w:tabs>
        <w:ind w:hanging="638"/>
        <w:rPr>
          <w:sz w:val="21"/>
        </w:rPr>
      </w:pPr>
      <w:r>
        <w:rPr>
          <w:spacing w:val="-3"/>
          <w:sz w:val="21"/>
        </w:rPr>
        <w:t>每次试验时，仔细观察窗扇的关闭运行状况。</w:t>
      </w:r>
      <w:r>
        <w:rPr>
          <w:spacing w:val="-3"/>
          <w:sz w:val="21"/>
        </w:rPr>
        <w:t xml:space="preserve"> </w:t>
      </w:r>
    </w:p>
    <w:p w14:paraId="19A4BDD0" w14:textId="77777777" w:rsidR="00A71EEF" w:rsidRDefault="00A71EEF">
      <w:pPr>
        <w:pStyle w:val="a3"/>
        <w:spacing w:before="12"/>
        <w:rPr>
          <w:sz w:val="17"/>
        </w:rPr>
      </w:pPr>
    </w:p>
    <w:p w14:paraId="60129393" w14:textId="77777777" w:rsidR="00A71EEF" w:rsidRDefault="0081115D">
      <w:pPr>
        <w:ind w:left="840"/>
        <w:rPr>
          <w:sz w:val="21"/>
        </w:rPr>
      </w:pPr>
      <w:r>
        <w:rPr>
          <w:b/>
          <w:sz w:val="21"/>
        </w:rPr>
        <w:t xml:space="preserve">8.12 </w:t>
      </w:r>
      <w:r>
        <w:rPr>
          <w:sz w:val="21"/>
        </w:rPr>
        <w:t>窗扇自动关闭时间</w:t>
      </w:r>
      <w:r>
        <w:rPr>
          <w:sz w:val="21"/>
        </w:rPr>
        <w:t xml:space="preserve"> </w:t>
      </w:r>
    </w:p>
    <w:p w14:paraId="43B46563" w14:textId="77777777" w:rsidR="00A71EEF" w:rsidRDefault="00A71EEF">
      <w:pPr>
        <w:pStyle w:val="a3"/>
        <w:rPr>
          <w:sz w:val="18"/>
        </w:rPr>
      </w:pPr>
    </w:p>
    <w:p w14:paraId="7AA271E2" w14:textId="77777777" w:rsidR="00A71EEF" w:rsidRDefault="0081115D">
      <w:pPr>
        <w:pStyle w:val="a3"/>
        <w:spacing w:line="446" w:lineRule="auto"/>
        <w:ind w:left="840" w:right="4343" w:hanging="3"/>
      </w:pPr>
      <w:r>
        <w:t>活动式防火窗的窗扇自动关闭时间按</w:t>
      </w:r>
      <w:r>
        <w:t xml:space="preserve"> 8.13.2 </w:t>
      </w:r>
      <w:r>
        <w:t>的规定测试。</w:t>
      </w:r>
      <w:r>
        <w:rPr>
          <w:b/>
        </w:rPr>
        <w:t xml:space="preserve">8.13 </w:t>
      </w:r>
      <w:r>
        <w:t>耐火性能</w:t>
      </w:r>
      <w:r>
        <w:t xml:space="preserve"> </w:t>
      </w:r>
    </w:p>
    <w:p w14:paraId="44F7F306" w14:textId="77777777" w:rsidR="00A71EEF" w:rsidRDefault="0081115D">
      <w:pPr>
        <w:pStyle w:val="a4"/>
        <w:numPr>
          <w:ilvl w:val="2"/>
          <w:numId w:val="527"/>
        </w:numPr>
        <w:tabs>
          <w:tab w:val="left" w:pos="1478"/>
        </w:tabs>
        <w:ind w:hanging="638"/>
        <w:rPr>
          <w:b/>
          <w:sz w:val="21"/>
        </w:rPr>
      </w:pPr>
      <w:r>
        <w:rPr>
          <w:spacing w:val="-8"/>
          <w:sz w:val="21"/>
        </w:rPr>
        <w:t>防火窗的耐火性能按</w:t>
      </w:r>
      <w:r>
        <w:rPr>
          <w:spacing w:val="-8"/>
          <w:sz w:val="21"/>
        </w:rPr>
        <w:t xml:space="preserve"> </w:t>
      </w:r>
      <w:r>
        <w:rPr>
          <w:sz w:val="21"/>
        </w:rPr>
        <w:t>GB/T</w:t>
      </w:r>
      <w:r>
        <w:rPr>
          <w:spacing w:val="1"/>
          <w:sz w:val="21"/>
        </w:rPr>
        <w:t xml:space="preserve"> </w:t>
      </w:r>
      <w:r>
        <w:rPr>
          <w:sz w:val="21"/>
        </w:rPr>
        <w:t>12513</w:t>
      </w:r>
      <w:r>
        <w:rPr>
          <w:spacing w:val="-10"/>
          <w:sz w:val="21"/>
        </w:rPr>
        <w:t xml:space="preserve"> </w:t>
      </w:r>
      <w:r>
        <w:rPr>
          <w:spacing w:val="-10"/>
          <w:sz w:val="21"/>
        </w:rPr>
        <w:t>的规定进行试验。</w:t>
      </w:r>
      <w:r>
        <w:rPr>
          <w:b/>
          <w:w w:val="99"/>
          <w:sz w:val="21"/>
        </w:rPr>
        <w:t xml:space="preserve"> </w:t>
      </w:r>
    </w:p>
    <w:p w14:paraId="7732F3D6" w14:textId="77777777" w:rsidR="00A71EEF" w:rsidRDefault="00A71EEF">
      <w:pPr>
        <w:pStyle w:val="a3"/>
        <w:rPr>
          <w:b/>
          <w:sz w:val="18"/>
        </w:rPr>
      </w:pPr>
    </w:p>
    <w:p w14:paraId="78C13D98" w14:textId="77777777" w:rsidR="00A71EEF" w:rsidRDefault="0081115D">
      <w:pPr>
        <w:pStyle w:val="a4"/>
        <w:numPr>
          <w:ilvl w:val="2"/>
          <w:numId w:val="527"/>
        </w:numPr>
        <w:tabs>
          <w:tab w:val="left" w:pos="1478"/>
        </w:tabs>
        <w:ind w:hanging="638"/>
        <w:rPr>
          <w:b/>
          <w:sz w:val="21"/>
        </w:rPr>
      </w:pPr>
      <w:r>
        <w:rPr>
          <w:spacing w:val="-6"/>
          <w:sz w:val="21"/>
        </w:rPr>
        <w:t>活动式防火窗的耐火性能试验，除满足</w:t>
      </w:r>
      <w:r>
        <w:rPr>
          <w:spacing w:val="-6"/>
          <w:sz w:val="21"/>
        </w:rPr>
        <w:t xml:space="preserve"> </w:t>
      </w:r>
      <w:r>
        <w:rPr>
          <w:sz w:val="21"/>
        </w:rPr>
        <w:t>8.13.1</w:t>
      </w:r>
      <w:r>
        <w:rPr>
          <w:spacing w:val="-9"/>
          <w:sz w:val="21"/>
        </w:rPr>
        <w:t xml:space="preserve"> </w:t>
      </w:r>
      <w:r>
        <w:rPr>
          <w:spacing w:val="-9"/>
          <w:sz w:val="21"/>
        </w:rPr>
        <w:t>的规定外，还应满足下述规定：</w:t>
      </w:r>
      <w:r>
        <w:rPr>
          <w:b/>
          <w:w w:val="99"/>
          <w:sz w:val="21"/>
        </w:rPr>
        <w:t xml:space="preserve"> </w:t>
      </w:r>
    </w:p>
    <w:p w14:paraId="2864DCF1" w14:textId="77777777" w:rsidR="00A71EEF" w:rsidRDefault="00A71EEF">
      <w:pPr>
        <w:rPr>
          <w:sz w:val="21"/>
        </w:rPr>
        <w:sectPr w:rsidR="00A71EEF">
          <w:footerReference w:type="default" r:id="rId278"/>
          <w:pgSz w:w="11910" w:h="16850"/>
          <w:pgMar w:top="1520" w:right="0" w:bottom="1420" w:left="1260" w:header="0" w:footer="1239" w:gutter="0"/>
          <w:pgNumType w:start="1180"/>
          <w:cols w:space="720"/>
        </w:sectPr>
      </w:pPr>
    </w:p>
    <w:p w14:paraId="407CD29B" w14:textId="77777777" w:rsidR="00A71EEF" w:rsidRDefault="0081115D">
      <w:pPr>
        <w:pStyle w:val="a4"/>
        <w:numPr>
          <w:ilvl w:val="0"/>
          <w:numId w:val="526"/>
        </w:numPr>
        <w:tabs>
          <w:tab w:val="left" w:pos="1156"/>
        </w:tabs>
        <w:spacing w:before="47"/>
        <w:rPr>
          <w:sz w:val="21"/>
        </w:rPr>
      </w:pPr>
      <w:r>
        <w:rPr>
          <w:spacing w:val="-3"/>
          <w:sz w:val="21"/>
        </w:rPr>
        <w:t>开始试验前，活动窗扇处于开启状态；</w:t>
      </w:r>
      <w:r>
        <w:rPr>
          <w:sz w:val="21"/>
        </w:rPr>
        <w:t xml:space="preserve"> </w:t>
      </w:r>
    </w:p>
    <w:p w14:paraId="0FA861F9" w14:textId="77777777" w:rsidR="00A71EEF" w:rsidRDefault="00A71EEF">
      <w:pPr>
        <w:pStyle w:val="a3"/>
        <w:rPr>
          <w:sz w:val="18"/>
        </w:rPr>
      </w:pPr>
    </w:p>
    <w:p w14:paraId="49C342E1" w14:textId="77777777" w:rsidR="00A71EEF" w:rsidRDefault="0081115D">
      <w:pPr>
        <w:pStyle w:val="a4"/>
        <w:numPr>
          <w:ilvl w:val="0"/>
          <w:numId w:val="526"/>
        </w:numPr>
        <w:tabs>
          <w:tab w:val="left" w:pos="1156"/>
        </w:tabs>
        <w:rPr>
          <w:sz w:val="21"/>
        </w:rPr>
      </w:pPr>
      <w:r>
        <w:rPr>
          <w:spacing w:val="-3"/>
          <w:sz w:val="21"/>
        </w:rPr>
        <w:t>开始进行耐火试验的同时，采用秒表计时，观察并记录窗扇自动关闭时间；</w:t>
      </w:r>
      <w:r>
        <w:rPr>
          <w:spacing w:val="-3"/>
          <w:sz w:val="21"/>
        </w:rPr>
        <w:t xml:space="preserve"> </w:t>
      </w:r>
    </w:p>
    <w:p w14:paraId="62E99F22" w14:textId="77777777" w:rsidR="00A71EEF" w:rsidRDefault="00A71EEF">
      <w:pPr>
        <w:pStyle w:val="a3"/>
        <w:rPr>
          <w:sz w:val="18"/>
        </w:rPr>
      </w:pPr>
    </w:p>
    <w:p w14:paraId="378ABCAF" w14:textId="77777777" w:rsidR="00A71EEF" w:rsidRDefault="0081115D">
      <w:pPr>
        <w:pStyle w:val="a4"/>
        <w:numPr>
          <w:ilvl w:val="0"/>
          <w:numId w:val="526"/>
        </w:numPr>
        <w:tabs>
          <w:tab w:val="left" w:pos="1156"/>
        </w:tabs>
        <w:spacing w:line="446" w:lineRule="auto"/>
        <w:ind w:left="418" w:right="1611" w:firstLine="419"/>
        <w:rPr>
          <w:sz w:val="21"/>
        </w:rPr>
      </w:pPr>
      <w:r>
        <w:rPr>
          <w:spacing w:val="-6"/>
          <w:sz w:val="21"/>
        </w:rPr>
        <w:t>若窗扇在耐火试验开始</w:t>
      </w:r>
      <w:r>
        <w:rPr>
          <w:spacing w:val="-6"/>
          <w:sz w:val="21"/>
        </w:rPr>
        <w:t xml:space="preserve"> </w:t>
      </w:r>
      <w:r>
        <w:rPr>
          <w:sz w:val="21"/>
        </w:rPr>
        <w:t>60s</w:t>
      </w:r>
      <w:r>
        <w:rPr>
          <w:sz w:val="21"/>
        </w:rPr>
        <w:t>（</w:t>
      </w:r>
      <w:r>
        <w:rPr>
          <w:spacing w:val="-20"/>
          <w:sz w:val="21"/>
        </w:rPr>
        <w:t>含</w:t>
      </w:r>
      <w:r>
        <w:rPr>
          <w:spacing w:val="-20"/>
          <w:sz w:val="21"/>
        </w:rPr>
        <w:t xml:space="preserve"> </w:t>
      </w:r>
      <w:r>
        <w:rPr>
          <w:sz w:val="21"/>
        </w:rPr>
        <w:t>60s</w:t>
      </w:r>
      <w:r>
        <w:rPr>
          <w:sz w:val="21"/>
        </w:rPr>
        <w:t>）</w:t>
      </w:r>
      <w:r>
        <w:rPr>
          <w:spacing w:val="-3"/>
          <w:sz w:val="21"/>
        </w:rPr>
        <w:t>内可靠地自动关闭，则继续进行耐火试验，否则耐火试验可以停止。</w:t>
      </w:r>
      <w:r>
        <w:rPr>
          <w:sz w:val="21"/>
        </w:rPr>
        <w:t xml:space="preserve"> </w:t>
      </w:r>
    </w:p>
    <w:p w14:paraId="60755D8A" w14:textId="77777777" w:rsidR="00A71EEF" w:rsidRDefault="0081115D">
      <w:pPr>
        <w:pStyle w:val="a4"/>
        <w:numPr>
          <w:ilvl w:val="2"/>
          <w:numId w:val="527"/>
        </w:numPr>
        <w:tabs>
          <w:tab w:val="left" w:pos="1478"/>
        </w:tabs>
        <w:ind w:hanging="638"/>
        <w:rPr>
          <w:b/>
          <w:sz w:val="21"/>
        </w:rPr>
      </w:pPr>
      <w:r>
        <w:rPr>
          <w:spacing w:val="-3"/>
          <w:sz w:val="21"/>
        </w:rPr>
        <w:t>防火窗的耐火性能判定准则为：</w:t>
      </w:r>
      <w:r>
        <w:rPr>
          <w:b/>
          <w:w w:val="99"/>
          <w:sz w:val="21"/>
        </w:rPr>
        <w:t xml:space="preserve"> </w:t>
      </w:r>
    </w:p>
    <w:p w14:paraId="11925A6A" w14:textId="77777777" w:rsidR="00A71EEF" w:rsidRDefault="00A71EEF">
      <w:pPr>
        <w:pStyle w:val="a3"/>
        <w:spacing w:before="12"/>
        <w:rPr>
          <w:b/>
          <w:sz w:val="17"/>
        </w:rPr>
      </w:pPr>
    </w:p>
    <w:p w14:paraId="36A361D6" w14:textId="77777777" w:rsidR="00A71EEF" w:rsidRDefault="0081115D">
      <w:pPr>
        <w:pStyle w:val="a3"/>
        <w:spacing w:line="446" w:lineRule="auto"/>
        <w:ind w:left="418" w:right="1505" w:firstLine="419"/>
      </w:pPr>
      <w:r>
        <w:t xml:space="preserve"> </w:t>
      </w:r>
      <w:r>
        <w:t>a</w:t>
      </w:r>
      <w:r>
        <w:t>）</w:t>
      </w:r>
      <w:r>
        <w:rPr>
          <w:spacing w:val="-7"/>
        </w:rPr>
        <w:t>隔热性防火窗的耐火性能按</w:t>
      </w:r>
      <w:r>
        <w:rPr>
          <w:spacing w:val="-7"/>
        </w:rPr>
        <w:t xml:space="preserve"> </w:t>
      </w:r>
      <w:r>
        <w:t>GB/T 12513</w:t>
      </w:r>
      <w:r>
        <w:rPr>
          <w:spacing w:val="-8"/>
        </w:rPr>
        <w:t xml:space="preserve"> </w:t>
      </w:r>
      <w:r>
        <w:rPr>
          <w:spacing w:val="-8"/>
        </w:rPr>
        <w:t>关于隔热性镶玻璃构件判定准则的规定进行判</w:t>
      </w:r>
      <w:r>
        <w:rPr>
          <w:spacing w:val="-6"/>
        </w:rPr>
        <w:t>定。</w:t>
      </w:r>
      <w:r>
        <w:t xml:space="preserve"> </w:t>
      </w:r>
    </w:p>
    <w:p w14:paraId="34ED139A" w14:textId="77777777" w:rsidR="00A71EEF" w:rsidRDefault="0081115D">
      <w:pPr>
        <w:pStyle w:val="a3"/>
        <w:spacing w:line="446" w:lineRule="auto"/>
        <w:ind w:left="418" w:right="1505" w:firstLine="419"/>
      </w:pPr>
      <w:r>
        <w:t xml:space="preserve"> </w:t>
      </w:r>
      <w:r>
        <w:t>b</w:t>
      </w:r>
      <w:r>
        <w:t>）</w:t>
      </w:r>
      <w:r>
        <w:rPr>
          <w:spacing w:val="-6"/>
        </w:rPr>
        <w:t>非隔热性防火窗的耐火性能按</w:t>
      </w:r>
      <w:r>
        <w:rPr>
          <w:spacing w:val="-6"/>
        </w:rPr>
        <w:t xml:space="preserve"> </w:t>
      </w:r>
      <w:r>
        <w:t>GB/T 12513</w:t>
      </w:r>
      <w:r>
        <w:rPr>
          <w:spacing w:val="-8"/>
        </w:rPr>
        <w:t xml:space="preserve"> </w:t>
      </w:r>
      <w:r>
        <w:rPr>
          <w:spacing w:val="-8"/>
        </w:rPr>
        <w:t>关于非隔热性镶玻璃构件判定准则的规定进</w:t>
      </w:r>
      <w:r>
        <w:rPr>
          <w:spacing w:val="-6"/>
        </w:rPr>
        <w:t>行判定。</w:t>
      </w:r>
      <w:r>
        <w:t xml:space="preserve"> </w:t>
      </w:r>
    </w:p>
    <w:p w14:paraId="0615D204" w14:textId="77777777" w:rsidR="00A71EEF" w:rsidRDefault="0081115D">
      <w:pPr>
        <w:pStyle w:val="4"/>
        <w:spacing w:line="277" w:lineRule="exact"/>
      </w:pPr>
      <w:r>
        <w:t xml:space="preserve">9 </w:t>
      </w:r>
      <w:r>
        <w:t>检验规则</w:t>
      </w:r>
      <w:r>
        <w:rPr>
          <w:w w:val="99"/>
        </w:rPr>
        <w:t xml:space="preserve"> </w:t>
      </w:r>
    </w:p>
    <w:p w14:paraId="0E26997B" w14:textId="77777777" w:rsidR="00A71EEF" w:rsidRDefault="00A71EEF">
      <w:pPr>
        <w:pStyle w:val="a3"/>
        <w:spacing w:before="4"/>
        <w:rPr>
          <w:b/>
          <w:sz w:val="17"/>
        </w:rPr>
      </w:pPr>
    </w:p>
    <w:p w14:paraId="79DAB5BC" w14:textId="77777777" w:rsidR="00A71EEF" w:rsidRDefault="0081115D">
      <w:pPr>
        <w:pStyle w:val="a4"/>
        <w:numPr>
          <w:ilvl w:val="1"/>
          <w:numId w:val="525"/>
        </w:numPr>
        <w:tabs>
          <w:tab w:val="left" w:pos="1159"/>
        </w:tabs>
        <w:ind w:hanging="319"/>
        <w:rPr>
          <w:sz w:val="21"/>
        </w:rPr>
      </w:pPr>
      <w:r>
        <w:rPr>
          <w:spacing w:val="-3"/>
          <w:sz w:val="21"/>
        </w:rPr>
        <w:t>出厂检验</w:t>
      </w:r>
      <w:r>
        <w:rPr>
          <w:sz w:val="21"/>
        </w:rPr>
        <w:t xml:space="preserve"> </w:t>
      </w:r>
    </w:p>
    <w:p w14:paraId="567AD406" w14:textId="77777777" w:rsidR="00A71EEF" w:rsidRDefault="00A71EEF">
      <w:pPr>
        <w:pStyle w:val="a3"/>
        <w:rPr>
          <w:sz w:val="18"/>
        </w:rPr>
      </w:pPr>
    </w:p>
    <w:p w14:paraId="4124C538" w14:textId="77777777" w:rsidR="00A71EEF" w:rsidRDefault="0081115D">
      <w:pPr>
        <w:pStyle w:val="a3"/>
        <w:spacing w:line="446" w:lineRule="auto"/>
        <w:ind w:left="418" w:right="1493" w:firstLine="422"/>
      </w:pPr>
      <w:r>
        <w:rPr>
          <w:b/>
        </w:rPr>
        <w:t xml:space="preserve">9.1.1 </w:t>
      </w:r>
      <w:r>
        <w:t>防火窗的出厂检验项目至少应包括</w:t>
      </w:r>
      <w:r>
        <w:t xml:space="preserve"> 7.1.1</w:t>
      </w:r>
      <w:r>
        <w:t>、</w:t>
      </w:r>
      <w:r>
        <w:t>7.1.2</w:t>
      </w:r>
      <w:r>
        <w:t>、</w:t>
      </w:r>
      <w:r>
        <w:t>7.1.3</w:t>
      </w:r>
      <w:r>
        <w:t>、</w:t>
      </w:r>
      <w:r>
        <w:t>7.2.1</w:t>
      </w:r>
      <w:r>
        <w:t>、</w:t>
      </w:r>
      <w:r>
        <w:t>7.2.2</w:t>
      </w:r>
      <w:r>
        <w:t>、</w:t>
      </w:r>
      <w:r>
        <w:t>7.2.3</w:t>
      </w:r>
      <w:r>
        <w:t>，</w:t>
      </w:r>
      <w:r>
        <w:t xml:space="preserve"> </w:t>
      </w:r>
      <w:r>
        <w:t>出厂检验的抽样方法参见</w:t>
      </w:r>
      <w:r>
        <w:t xml:space="preserve"> GB/T 2828.1</w:t>
      </w:r>
      <w:r>
        <w:t>，抽样方案由生产企业自主确定。</w:t>
      </w:r>
      <w:r>
        <w:t xml:space="preserve"> </w:t>
      </w:r>
    </w:p>
    <w:p w14:paraId="3AAEC36B" w14:textId="77777777" w:rsidR="00A71EEF" w:rsidRDefault="0081115D">
      <w:pPr>
        <w:pStyle w:val="a4"/>
        <w:numPr>
          <w:ilvl w:val="2"/>
          <w:numId w:val="524"/>
        </w:numPr>
        <w:tabs>
          <w:tab w:val="left" w:pos="1370"/>
        </w:tabs>
        <w:spacing w:line="446" w:lineRule="auto"/>
        <w:ind w:right="1604" w:firstLine="422"/>
        <w:rPr>
          <w:sz w:val="21"/>
        </w:rPr>
      </w:pPr>
      <w:r>
        <w:rPr>
          <w:spacing w:val="-3"/>
          <w:sz w:val="21"/>
        </w:rPr>
        <w:t>防火窗的出厂检验项目中任一项不合格时，允许通过调整、修复后重新检验，直至合格为止。</w:t>
      </w:r>
      <w:r>
        <w:rPr>
          <w:sz w:val="21"/>
        </w:rPr>
        <w:t xml:space="preserve"> </w:t>
      </w:r>
    </w:p>
    <w:p w14:paraId="5D8BC40C" w14:textId="77777777" w:rsidR="00A71EEF" w:rsidRDefault="0081115D">
      <w:pPr>
        <w:pStyle w:val="a4"/>
        <w:numPr>
          <w:ilvl w:val="2"/>
          <w:numId w:val="524"/>
        </w:numPr>
        <w:tabs>
          <w:tab w:val="left" w:pos="1371"/>
        </w:tabs>
        <w:spacing w:line="446" w:lineRule="auto"/>
        <w:ind w:right="1604" w:firstLine="422"/>
        <w:rPr>
          <w:sz w:val="21"/>
        </w:rPr>
      </w:pPr>
      <w:r>
        <w:rPr>
          <w:spacing w:val="-3"/>
          <w:sz w:val="21"/>
        </w:rPr>
        <w:t>防火窗必须经生产厂的质量检验部门按出厂检验项目逐项检验合格，并签发合格证后方可出厂。</w:t>
      </w:r>
      <w:r>
        <w:rPr>
          <w:sz w:val="21"/>
        </w:rPr>
        <w:t xml:space="preserve"> </w:t>
      </w:r>
    </w:p>
    <w:p w14:paraId="55ECFAF1" w14:textId="77777777" w:rsidR="00A71EEF" w:rsidRDefault="0081115D">
      <w:pPr>
        <w:pStyle w:val="a4"/>
        <w:numPr>
          <w:ilvl w:val="1"/>
          <w:numId w:val="525"/>
        </w:numPr>
        <w:tabs>
          <w:tab w:val="left" w:pos="1160"/>
        </w:tabs>
        <w:spacing w:line="267" w:lineRule="exact"/>
        <w:ind w:left="1159" w:hanging="320"/>
        <w:rPr>
          <w:b/>
          <w:sz w:val="21"/>
        </w:rPr>
      </w:pPr>
      <w:r>
        <w:rPr>
          <w:spacing w:val="-3"/>
          <w:sz w:val="21"/>
        </w:rPr>
        <w:t>形式检验</w:t>
      </w:r>
      <w:r>
        <w:rPr>
          <w:b/>
          <w:w w:val="99"/>
          <w:sz w:val="21"/>
        </w:rPr>
        <w:t xml:space="preserve"> </w:t>
      </w:r>
    </w:p>
    <w:p w14:paraId="7F63CFAE" w14:textId="77777777" w:rsidR="00A71EEF" w:rsidRDefault="00A71EEF">
      <w:pPr>
        <w:pStyle w:val="a3"/>
        <w:spacing w:before="2"/>
        <w:rPr>
          <w:b/>
          <w:sz w:val="18"/>
        </w:rPr>
      </w:pPr>
    </w:p>
    <w:p w14:paraId="33234823" w14:textId="77777777" w:rsidR="00A71EEF" w:rsidRDefault="0081115D">
      <w:pPr>
        <w:pStyle w:val="a4"/>
        <w:numPr>
          <w:ilvl w:val="2"/>
          <w:numId w:val="525"/>
        </w:numPr>
        <w:tabs>
          <w:tab w:val="left" w:pos="1371"/>
        </w:tabs>
        <w:spacing w:line="446" w:lineRule="auto"/>
        <w:ind w:right="1604" w:firstLine="422"/>
        <w:rPr>
          <w:sz w:val="21"/>
        </w:rPr>
      </w:pPr>
      <w:r>
        <w:rPr>
          <w:spacing w:val="-6"/>
          <w:sz w:val="21"/>
        </w:rPr>
        <w:t>防火窗的形式检验项目为本标准第</w:t>
      </w:r>
      <w:r>
        <w:rPr>
          <w:spacing w:val="-6"/>
          <w:sz w:val="21"/>
        </w:rPr>
        <w:t xml:space="preserve"> </w:t>
      </w:r>
      <w:r>
        <w:rPr>
          <w:sz w:val="21"/>
        </w:rPr>
        <w:t>7</w:t>
      </w:r>
      <w:r>
        <w:rPr>
          <w:spacing w:val="-8"/>
          <w:sz w:val="21"/>
        </w:rPr>
        <w:t xml:space="preserve"> </w:t>
      </w:r>
      <w:r>
        <w:rPr>
          <w:spacing w:val="-8"/>
          <w:sz w:val="21"/>
        </w:rPr>
        <w:t>章规定的全部要求内容，防火窗的通用检验项</w:t>
      </w:r>
      <w:r>
        <w:rPr>
          <w:spacing w:val="-17"/>
          <w:sz w:val="21"/>
        </w:rPr>
        <w:t>目见表</w:t>
      </w:r>
      <w:r>
        <w:rPr>
          <w:spacing w:val="-17"/>
          <w:sz w:val="21"/>
        </w:rPr>
        <w:t xml:space="preserve"> </w:t>
      </w:r>
      <w:r>
        <w:rPr>
          <w:sz w:val="21"/>
        </w:rPr>
        <w:t>6</w:t>
      </w:r>
      <w:r>
        <w:rPr>
          <w:spacing w:val="-6"/>
          <w:sz w:val="21"/>
        </w:rPr>
        <w:t>，活动式防火窗的附加检验项目见表</w:t>
      </w:r>
      <w:r>
        <w:rPr>
          <w:spacing w:val="-6"/>
          <w:sz w:val="21"/>
        </w:rPr>
        <w:t xml:space="preserve"> </w:t>
      </w:r>
      <w:r>
        <w:rPr>
          <w:sz w:val="21"/>
        </w:rPr>
        <w:t>7</w:t>
      </w:r>
      <w:r>
        <w:rPr>
          <w:spacing w:val="-3"/>
          <w:sz w:val="21"/>
        </w:rPr>
        <w:t>。</w:t>
      </w:r>
      <w:r>
        <w:rPr>
          <w:sz w:val="21"/>
        </w:rPr>
        <w:t xml:space="preserve"> </w:t>
      </w:r>
    </w:p>
    <w:p w14:paraId="6B933F5A" w14:textId="77777777" w:rsidR="00A71EEF" w:rsidRDefault="0081115D">
      <w:pPr>
        <w:pStyle w:val="a4"/>
        <w:numPr>
          <w:ilvl w:val="2"/>
          <w:numId w:val="525"/>
        </w:numPr>
        <w:tabs>
          <w:tab w:val="left" w:pos="1371"/>
        </w:tabs>
        <w:spacing w:line="446" w:lineRule="auto"/>
        <w:ind w:right="1604" w:firstLine="422"/>
        <w:rPr>
          <w:sz w:val="21"/>
        </w:rPr>
      </w:pPr>
      <w:r>
        <w:rPr>
          <w:spacing w:val="-5"/>
          <w:sz w:val="21"/>
        </w:rPr>
        <w:t>一种型号防火窗进行形式检验时，其抽样基数不应小于</w:t>
      </w:r>
      <w:r>
        <w:rPr>
          <w:spacing w:val="-5"/>
          <w:sz w:val="21"/>
        </w:rPr>
        <w:t xml:space="preserve"> </w:t>
      </w:r>
      <w:r>
        <w:rPr>
          <w:sz w:val="21"/>
        </w:rPr>
        <w:t>6</w:t>
      </w:r>
      <w:r>
        <w:rPr>
          <w:spacing w:val="-8"/>
          <w:sz w:val="21"/>
        </w:rPr>
        <w:t xml:space="preserve"> </w:t>
      </w:r>
      <w:r>
        <w:rPr>
          <w:spacing w:val="-8"/>
          <w:sz w:val="21"/>
        </w:rPr>
        <w:t>樘，且应是出厂检验合格的产品，抽取样品的数量和检验程序见图</w:t>
      </w:r>
      <w:r>
        <w:rPr>
          <w:spacing w:val="-8"/>
          <w:sz w:val="21"/>
        </w:rPr>
        <w:t xml:space="preserve"> </w:t>
      </w:r>
      <w:r>
        <w:rPr>
          <w:sz w:val="21"/>
        </w:rPr>
        <w:t>5</w:t>
      </w:r>
      <w:r>
        <w:rPr>
          <w:spacing w:val="-3"/>
          <w:sz w:val="21"/>
        </w:rPr>
        <w:t>。</w:t>
      </w:r>
      <w:r>
        <w:rPr>
          <w:sz w:val="21"/>
        </w:rPr>
        <w:t xml:space="preserve"> </w:t>
      </w:r>
    </w:p>
    <w:p w14:paraId="0AF25B55" w14:textId="77777777" w:rsidR="00A71EEF" w:rsidRDefault="0081115D">
      <w:pPr>
        <w:pStyle w:val="a3"/>
        <w:ind w:left="5021"/>
      </w:pPr>
      <w:r>
        <w:t xml:space="preserve"> </w:t>
      </w:r>
    </w:p>
    <w:p w14:paraId="0EA67445" w14:textId="77777777" w:rsidR="00A71EEF" w:rsidRDefault="00A71EEF">
      <w:pPr>
        <w:sectPr w:rsidR="00A71EEF">
          <w:pgSz w:w="11910" w:h="16850"/>
          <w:pgMar w:top="1220" w:right="0" w:bottom="1420" w:left="1260" w:header="0" w:footer="1239" w:gutter="0"/>
          <w:cols w:space="720"/>
        </w:sectPr>
      </w:pPr>
    </w:p>
    <w:p w14:paraId="22C72ADF" w14:textId="77777777" w:rsidR="00A71EEF" w:rsidRDefault="0081115D">
      <w:pPr>
        <w:pStyle w:val="a3"/>
        <w:ind w:left="1062"/>
        <w:rPr>
          <w:sz w:val="20"/>
        </w:rPr>
      </w:pPr>
      <w:r>
        <w:rPr>
          <w:noProof/>
          <w:sz w:val="20"/>
        </w:rPr>
        <w:drawing>
          <wp:inline distT="0" distB="0" distL="0" distR="0" wp14:anchorId="6AE8584C" wp14:editId="6E905D9C">
            <wp:extent cx="4502816" cy="2438400"/>
            <wp:effectExtent l="0" t="0" r="0" b="0"/>
            <wp:docPr id="399" name="image2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236.jpeg"/>
                    <pic:cNvPicPr/>
                  </pic:nvPicPr>
                  <pic:blipFill>
                    <a:blip r:embed="rId279" cstate="print"/>
                    <a:stretch>
                      <a:fillRect/>
                    </a:stretch>
                  </pic:blipFill>
                  <pic:spPr>
                    <a:xfrm>
                      <a:off x="0" y="0"/>
                      <a:ext cx="4502816" cy="2438400"/>
                    </a:xfrm>
                    <a:prstGeom prst="rect">
                      <a:avLst/>
                    </a:prstGeom>
                  </pic:spPr>
                </pic:pic>
              </a:graphicData>
            </a:graphic>
          </wp:inline>
        </w:drawing>
      </w:r>
    </w:p>
    <w:p w14:paraId="4DC48281" w14:textId="77777777" w:rsidR="00A71EEF" w:rsidRDefault="00A71EEF">
      <w:pPr>
        <w:pStyle w:val="a3"/>
        <w:spacing w:before="1"/>
        <w:rPr>
          <w:sz w:val="16"/>
        </w:rPr>
      </w:pPr>
    </w:p>
    <w:p w14:paraId="06CF725F" w14:textId="77777777" w:rsidR="00A71EEF" w:rsidRDefault="0081115D">
      <w:pPr>
        <w:pStyle w:val="6"/>
        <w:spacing w:before="72"/>
        <w:ind w:left="3521"/>
        <w:rPr>
          <w:b w:val="0"/>
        </w:rPr>
      </w:pPr>
      <w:r>
        <w:t>图</w:t>
      </w:r>
      <w:r>
        <w:t xml:space="preserve"> 5 </w:t>
      </w:r>
      <w:r>
        <w:t>防火窗试验程序和样品数量</w:t>
      </w:r>
      <w:r>
        <w:rPr>
          <w:b w:val="0"/>
        </w:rPr>
        <w:t xml:space="preserve"> </w:t>
      </w:r>
    </w:p>
    <w:p w14:paraId="5F636261" w14:textId="77777777" w:rsidR="00A71EEF" w:rsidRDefault="00A71EEF">
      <w:pPr>
        <w:pStyle w:val="a3"/>
        <w:spacing w:before="12"/>
        <w:rPr>
          <w:sz w:val="17"/>
        </w:rPr>
      </w:pPr>
    </w:p>
    <w:p w14:paraId="02C2021A" w14:textId="77777777" w:rsidR="00A71EEF" w:rsidRDefault="0081115D">
      <w:pPr>
        <w:pStyle w:val="a3"/>
        <w:ind w:left="838"/>
      </w:pPr>
      <w:r>
        <w:rPr>
          <w:spacing w:val="-3"/>
        </w:rPr>
        <w:t>注：方框中数字为样品数量。</w:t>
      </w:r>
      <w:r>
        <w:t xml:space="preserve"> </w:t>
      </w:r>
    </w:p>
    <w:p w14:paraId="67D75145" w14:textId="77777777" w:rsidR="00A71EEF" w:rsidRDefault="00A71EEF">
      <w:pPr>
        <w:pStyle w:val="a3"/>
        <w:rPr>
          <w:sz w:val="18"/>
        </w:rPr>
      </w:pPr>
    </w:p>
    <w:p w14:paraId="4A55BC41" w14:textId="77777777" w:rsidR="00A71EEF" w:rsidRDefault="0081115D">
      <w:pPr>
        <w:pStyle w:val="a4"/>
        <w:numPr>
          <w:ilvl w:val="2"/>
          <w:numId w:val="525"/>
        </w:numPr>
        <w:tabs>
          <w:tab w:val="left" w:pos="1371"/>
        </w:tabs>
        <w:spacing w:line="446" w:lineRule="auto"/>
        <w:ind w:left="838" w:right="5704" w:firstLine="2"/>
        <w:rPr>
          <w:sz w:val="21"/>
        </w:rPr>
      </w:pPr>
      <w:r>
        <w:rPr>
          <w:spacing w:val="-3"/>
          <w:sz w:val="21"/>
        </w:rPr>
        <w:t>有下列情况之一时应进行形式检验：</w:t>
      </w:r>
      <w:r>
        <w:rPr>
          <w:spacing w:val="-3"/>
          <w:sz w:val="21"/>
        </w:rPr>
        <w:t xml:space="preserve"> </w:t>
      </w:r>
      <w:r>
        <w:rPr>
          <w:sz w:val="21"/>
        </w:rPr>
        <w:t>a</w:t>
      </w:r>
      <w:r>
        <w:rPr>
          <w:sz w:val="21"/>
        </w:rPr>
        <w:t>）</w:t>
      </w:r>
      <w:r>
        <w:rPr>
          <w:spacing w:val="-3"/>
          <w:sz w:val="21"/>
        </w:rPr>
        <w:t>新产品投产或老产品转厂生产时；</w:t>
      </w:r>
      <w:r>
        <w:rPr>
          <w:sz w:val="21"/>
        </w:rPr>
        <w:t xml:space="preserve"> </w:t>
      </w:r>
    </w:p>
    <w:p w14:paraId="5623E194" w14:textId="77777777" w:rsidR="00A71EEF" w:rsidRDefault="0081115D">
      <w:pPr>
        <w:pStyle w:val="a4"/>
        <w:numPr>
          <w:ilvl w:val="0"/>
          <w:numId w:val="523"/>
        </w:numPr>
        <w:tabs>
          <w:tab w:val="left" w:pos="1156"/>
        </w:tabs>
        <w:spacing w:line="446" w:lineRule="auto"/>
        <w:ind w:right="1505" w:firstLine="419"/>
        <w:rPr>
          <w:sz w:val="21"/>
        </w:rPr>
      </w:pPr>
      <w:r>
        <w:rPr>
          <w:spacing w:val="-3"/>
          <w:sz w:val="21"/>
        </w:rPr>
        <w:t>正式生产后，产品的结构、材料、生产工艺、关键工序的加工方法等有较大改变，可能影响产品的性能时；</w:t>
      </w:r>
      <w:r>
        <w:rPr>
          <w:sz w:val="21"/>
        </w:rPr>
        <w:t xml:space="preserve"> </w:t>
      </w:r>
    </w:p>
    <w:p w14:paraId="3991CE0C" w14:textId="77777777" w:rsidR="00A71EEF" w:rsidRDefault="0081115D">
      <w:pPr>
        <w:pStyle w:val="a4"/>
        <w:numPr>
          <w:ilvl w:val="0"/>
          <w:numId w:val="523"/>
        </w:numPr>
        <w:tabs>
          <w:tab w:val="left" w:pos="1156"/>
        </w:tabs>
        <w:spacing w:line="446" w:lineRule="auto"/>
        <w:ind w:left="838" w:right="6234" w:firstLine="0"/>
        <w:rPr>
          <w:sz w:val="21"/>
        </w:rPr>
      </w:pPr>
      <w:r>
        <w:rPr>
          <w:spacing w:val="-3"/>
          <w:sz w:val="21"/>
        </w:rPr>
        <w:t>正常生产，每三年不少于一次；</w:t>
      </w:r>
      <w:r>
        <w:rPr>
          <w:spacing w:val="-3"/>
          <w:sz w:val="21"/>
        </w:rPr>
        <w:t xml:space="preserve"> </w:t>
      </w:r>
      <w:r>
        <w:rPr>
          <w:sz w:val="21"/>
        </w:rPr>
        <w:t>d</w:t>
      </w:r>
      <w:r>
        <w:rPr>
          <w:sz w:val="21"/>
        </w:rPr>
        <w:t>）</w:t>
      </w:r>
      <w:r>
        <w:rPr>
          <w:spacing w:val="-3"/>
          <w:sz w:val="21"/>
        </w:rPr>
        <w:t>产品停产一年以上，恢复生产时；</w:t>
      </w:r>
      <w:r>
        <w:rPr>
          <w:sz w:val="21"/>
        </w:rPr>
        <w:t xml:space="preserve"> </w:t>
      </w:r>
    </w:p>
    <w:p w14:paraId="299A6FB0" w14:textId="77777777" w:rsidR="00A71EEF" w:rsidRDefault="0081115D">
      <w:pPr>
        <w:pStyle w:val="a3"/>
        <w:spacing w:line="446" w:lineRule="auto"/>
        <w:ind w:left="838" w:right="4657"/>
      </w:pPr>
      <w:r>
        <w:t>e</w:t>
      </w:r>
      <w:r>
        <w:t>）出厂检验结果与上次形式检验结果有较大差异时；</w:t>
      </w:r>
      <w:r>
        <w:t xml:space="preserve"> f</w:t>
      </w:r>
      <w:r>
        <w:t>）发生重大质量事故时；</w:t>
      </w:r>
      <w:r>
        <w:t xml:space="preserve"> </w:t>
      </w:r>
    </w:p>
    <w:p w14:paraId="24BB77CC" w14:textId="77777777" w:rsidR="00A71EEF" w:rsidRDefault="0081115D">
      <w:pPr>
        <w:pStyle w:val="a3"/>
        <w:spacing w:line="446" w:lineRule="auto"/>
        <w:ind w:left="840" w:right="5605" w:hanging="3"/>
      </w:pPr>
      <w:r>
        <w:t>g</w:t>
      </w:r>
      <w:r>
        <w:t>）质量监督机构依法提出形式检验要求时。</w:t>
      </w:r>
      <w:r>
        <w:rPr>
          <w:b/>
        </w:rPr>
        <w:t xml:space="preserve">9.2.4 </w:t>
      </w:r>
      <w:r>
        <w:t>防火窗形式检验的判定准则为：</w:t>
      </w:r>
      <w:r>
        <w:t xml:space="preserve"> </w:t>
      </w:r>
    </w:p>
    <w:p w14:paraId="46EFA42D" w14:textId="77777777" w:rsidR="00A71EEF" w:rsidRDefault="0081115D">
      <w:pPr>
        <w:pStyle w:val="a4"/>
        <w:numPr>
          <w:ilvl w:val="0"/>
          <w:numId w:val="522"/>
        </w:numPr>
        <w:tabs>
          <w:tab w:val="left" w:pos="1156"/>
        </w:tabs>
        <w:spacing w:line="446" w:lineRule="auto"/>
        <w:ind w:right="1505" w:firstLine="419"/>
        <w:jc w:val="right"/>
        <w:rPr>
          <w:sz w:val="21"/>
        </w:rPr>
      </w:pPr>
      <w:r>
        <w:rPr>
          <w:spacing w:val="-8"/>
          <w:sz w:val="21"/>
        </w:rPr>
        <w:t>固定式防火窗按表</w:t>
      </w:r>
      <w:r>
        <w:rPr>
          <w:spacing w:val="-8"/>
          <w:sz w:val="21"/>
        </w:rPr>
        <w:t xml:space="preserve"> </w:t>
      </w:r>
      <w:r>
        <w:rPr>
          <w:sz w:val="21"/>
        </w:rPr>
        <w:t>6</w:t>
      </w:r>
      <w:r>
        <w:rPr>
          <w:spacing w:val="-11"/>
          <w:sz w:val="21"/>
        </w:rPr>
        <w:t xml:space="preserve"> </w:t>
      </w:r>
      <w:r>
        <w:rPr>
          <w:spacing w:val="-11"/>
          <w:sz w:val="21"/>
        </w:rPr>
        <w:t>所列项目的形式检验结果，不含</w:t>
      </w:r>
      <w:r>
        <w:rPr>
          <w:spacing w:val="-11"/>
          <w:sz w:val="21"/>
        </w:rPr>
        <w:t xml:space="preserve"> </w:t>
      </w:r>
      <w:r>
        <w:rPr>
          <w:sz w:val="21"/>
        </w:rPr>
        <w:t>A</w:t>
      </w:r>
      <w:r>
        <w:rPr>
          <w:spacing w:val="-9"/>
          <w:sz w:val="21"/>
        </w:rPr>
        <w:t xml:space="preserve"> </w:t>
      </w:r>
      <w:r>
        <w:rPr>
          <w:spacing w:val="-9"/>
          <w:sz w:val="21"/>
        </w:rPr>
        <w:t>类不合格项，</w:t>
      </w:r>
      <w:r>
        <w:rPr>
          <w:sz w:val="21"/>
        </w:rPr>
        <w:t>B</w:t>
      </w:r>
      <w:r>
        <w:rPr>
          <w:spacing w:val="-25"/>
          <w:sz w:val="21"/>
        </w:rPr>
        <w:t xml:space="preserve"> </w:t>
      </w:r>
      <w:r>
        <w:rPr>
          <w:spacing w:val="-25"/>
          <w:sz w:val="21"/>
        </w:rPr>
        <w:t>类和</w:t>
      </w:r>
      <w:r>
        <w:rPr>
          <w:spacing w:val="-25"/>
          <w:sz w:val="21"/>
        </w:rPr>
        <w:t xml:space="preserve"> </w:t>
      </w:r>
      <w:r>
        <w:rPr>
          <w:sz w:val="21"/>
        </w:rPr>
        <w:t>C</w:t>
      </w:r>
      <w:r>
        <w:rPr>
          <w:spacing w:val="-12"/>
          <w:sz w:val="21"/>
        </w:rPr>
        <w:t xml:space="preserve"> </w:t>
      </w:r>
      <w:r>
        <w:rPr>
          <w:spacing w:val="-12"/>
          <w:sz w:val="21"/>
        </w:rPr>
        <w:t>类不合格</w:t>
      </w:r>
      <w:r>
        <w:rPr>
          <w:spacing w:val="-8"/>
          <w:sz w:val="21"/>
        </w:rPr>
        <w:t>项之和不大于二项，且</w:t>
      </w:r>
      <w:r>
        <w:rPr>
          <w:spacing w:val="-8"/>
          <w:sz w:val="21"/>
        </w:rPr>
        <w:t xml:space="preserve"> </w:t>
      </w:r>
      <w:r>
        <w:rPr>
          <w:sz w:val="21"/>
        </w:rPr>
        <w:t>B</w:t>
      </w:r>
      <w:r>
        <w:rPr>
          <w:spacing w:val="-7"/>
          <w:sz w:val="21"/>
        </w:rPr>
        <w:t xml:space="preserve"> </w:t>
      </w:r>
      <w:r>
        <w:rPr>
          <w:spacing w:val="-7"/>
          <w:sz w:val="21"/>
        </w:rPr>
        <w:t>类不合格项不大于一项，判形式检验合格；否则判形式检验不合格。</w:t>
      </w:r>
      <w:r>
        <w:rPr>
          <w:sz w:val="21"/>
        </w:rPr>
        <w:t xml:space="preserve"> </w:t>
      </w:r>
      <w:r>
        <w:rPr>
          <w:sz w:val="21"/>
        </w:rPr>
        <w:t>b</w:t>
      </w:r>
      <w:r>
        <w:rPr>
          <w:sz w:val="21"/>
        </w:rPr>
        <w:t>）</w:t>
      </w:r>
      <w:r>
        <w:rPr>
          <w:spacing w:val="-8"/>
          <w:sz w:val="21"/>
        </w:rPr>
        <w:t>活动式防火窗按表</w:t>
      </w:r>
      <w:r>
        <w:rPr>
          <w:spacing w:val="-8"/>
          <w:sz w:val="21"/>
        </w:rPr>
        <w:t xml:space="preserve"> </w:t>
      </w:r>
      <w:r>
        <w:rPr>
          <w:sz w:val="21"/>
        </w:rPr>
        <w:t>6</w:t>
      </w:r>
      <w:r>
        <w:rPr>
          <w:spacing w:val="-26"/>
          <w:sz w:val="21"/>
        </w:rPr>
        <w:t xml:space="preserve"> </w:t>
      </w:r>
      <w:r>
        <w:rPr>
          <w:spacing w:val="-26"/>
          <w:sz w:val="21"/>
        </w:rPr>
        <w:t>和表</w:t>
      </w:r>
      <w:r>
        <w:rPr>
          <w:spacing w:val="-26"/>
          <w:sz w:val="21"/>
        </w:rPr>
        <w:t xml:space="preserve"> </w:t>
      </w:r>
      <w:r>
        <w:rPr>
          <w:sz w:val="21"/>
        </w:rPr>
        <w:t>7</w:t>
      </w:r>
      <w:r>
        <w:rPr>
          <w:spacing w:val="-12"/>
          <w:sz w:val="21"/>
        </w:rPr>
        <w:t xml:space="preserve"> </w:t>
      </w:r>
      <w:r>
        <w:rPr>
          <w:spacing w:val="-12"/>
          <w:sz w:val="21"/>
        </w:rPr>
        <w:t>所列项目的检验结果，不含</w:t>
      </w:r>
      <w:r>
        <w:rPr>
          <w:spacing w:val="-12"/>
          <w:sz w:val="21"/>
        </w:rPr>
        <w:t xml:space="preserve"> </w:t>
      </w:r>
      <w:r>
        <w:rPr>
          <w:sz w:val="21"/>
        </w:rPr>
        <w:t>A</w:t>
      </w:r>
      <w:r>
        <w:rPr>
          <w:spacing w:val="-11"/>
          <w:sz w:val="21"/>
        </w:rPr>
        <w:t xml:space="preserve"> </w:t>
      </w:r>
      <w:r>
        <w:rPr>
          <w:spacing w:val="-11"/>
          <w:sz w:val="21"/>
        </w:rPr>
        <w:t>类不合格项</w:t>
      </w:r>
      <w:r>
        <w:rPr>
          <w:sz w:val="21"/>
        </w:rPr>
        <w:t>，</w:t>
      </w:r>
      <w:r>
        <w:rPr>
          <w:sz w:val="21"/>
        </w:rPr>
        <w:t>B</w:t>
      </w:r>
      <w:r>
        <w:rPr>
          <w:spacing w:val="-25"/>
          <w:sz w:val="21"/>
        </w:rPr>
        <w:t xml:space="preserve"> </w:t>
      </w:r>
      <w:r>
        <w:rPr>
          <w:spacing w:val="-25"/>
          <w:sz w:val="21"/>
        </w:rPr>
        <w:t>类和</w:t>
      </w:r>
      <w:r>
        <w:rPr>
          <w:spacing w:val="-25"/>
          <w:sz w:val="21"/>
        </w:rPr>
        <w:t xml:space="preserve"> </w:t>
      </w:r>
      <w:r>
        <w:rPr>
          <w:sz w:val="21"/>
        </w:rPr>
        <w:t>C</w:t>
      </w:r>
      <w:r>
        <w:rPr>
          <w:spacing w:val="-14"/>
          <w:sz w:val="21"/>
        </w:rPr>
        <w:t xml:space="preserve"> </w:t>
      </w:r>
      <w:r>
        <w:rPr>
          <w:spacing w:val="-14"/>
          <w:sz w:val="21"/>
        </w:rPr>
        <w:t>类不合</w:t>
      </w:r>
    </w:p>
    <w:p w14:paraId="727A2EBB" w14:textId="77777777" w:rsidR="00A71EEF" w:rsidRDefault="0081115D">
      <w:pPr>
        <w:pStyle w:val="a3"/>
        <w:spacing w:line="446" w:lineRule="auto"/>
        <w:ind w:left="418" w:right="1820"/>
      </w:pPr>
      <w:r>
        <w:t>格项之和不大于四项，且</w:t>
      </w:r>
      <w:r>
        <w:t xml:space="preserve">B </w:t>
      </w:r>
      <w:r>
        <w:t>类不合格项不大于一项，判形式检验合格；否则判形式检验不合格。</w:t>
      </w:r>
      <w:r>
        <w:t xml:space="preserve"> </w:t>
      </w:r>
    </w:p>
    <w:p w14:paraId="545FBAB6" w14:textId="77777777" w:rsidR="00A71EEF" w:rsidRDefault="00A71EEF">
      <w:pPr>
        <w:pStyle w:val="a3"/>
        <w:rPr>
          <w:sz w:val="20"/>
        </w:rPr>
      </w:pPr>
    </w:p>
    <w:p w14:paraId="778ABED7" w14:textId="77777777" w:rsidR="00A71EEF" w:rsidRDefault="00A71EEF">
      <w:pPr>
        <w:pStyle w:val="a3"/>
        <w:spacing w:before="9"/>
        <w:rPr>
          <w:sz w:val="18"/>
        </w:rPr>
      </w:pPr>
    </w:p>
    <w:p w14:paraId="20C83F6F" w14:textId="77777777" w:rsidR="00A71EEF" w:rsidRDefault="0081115D">
      <w:pPr>
        <w:pStyle w:val="6"/>
        <w:ind w:right="490"/>
        <w:jc w:val="center"/>
        <w:rPr>
          <w:b w:val="0"/>
        </w:rPr>
      </w:pPr>
      <w:r>
        <w:t>表</w:t>
      </w:r>
      <w:r>
        <w:t xml:space="preserve"> 6 </w:t>
      </w:r>
      <w:r>
        <w:t>防火窗通用检验项目</w:t>
      </w:r>
      <w:r>
        <w:rPr>
          <w:b w:val="0"/>
        </w:rPr>
        <w:t xml:space="preserve"> </w:t>
      </w:r>
    </w:p>
    <w:p w14:paraId="3D364C95" w14:textId="77777777" w:rsidR="00A71EEF" w:rsidRDefault="00A71EEF">
      <w:pPr>
        <w:jc w:val="center"/>
        <w:sectPr w:rsidR="00A71EEF">
          <w:pgSz w:w="11910" w:h="16850"/>
          <w:pgMar w:top="1480" w:right="0" w:bottom="1420" w:left="1260" w:header="0" w:footer="1239" w:gutter="0"/>
          <w:cols w:space="720"/>
        </w:sectPr>
      </w:pPr>
    </w:p>
    <w:p w14:paraId="6724C000" w14:textId="77777777" w:rsidR="00A71EEF" w:rsidRDefault="00A71EEF">
      <w:pPr>
        <w:pStyle w:val="a3"/>
        <w:spacing w:before="6"/>
        <w:rPr>
          <w:sz w:val="16"/>
        </w:rPr>
      </w:pPr>
    </w:p>
    <w:p w14:paraId="07E6B1F8" w14:textId="77777777" w:rsidR="00A71EEF" w:rsidRDefault="0081115D">
      <w:pPr>
        <w:pStyle w:val="a3"/>
        <w:ind w:left="1216"/>
        <w:rPr>
          <w:sz w:val="20"/>
        </w:rPr>
      </w:pPr>
      <w:r>
        <w:rPr>
          <w:noProof/>
          <w:sz w:val="20"/>
        </w:rPr>
        <w:drawing>
          <wp:inline distT="0" distB="0" distL="0" distR="0" wp14:anchorId="33640935" wp14:editId="1FC20083">
            <wp:extent cx="4506760" cy="4844034"/>
            <wp:effectExtent l="0" t="0" r="0" b="0"/>
            <wp:docPr id="401" name="image2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237.jpeg"/>
                    <pic:cNvPicPr/>
                  </pic:nvPicPr>
                  <pic:blipFill>
                    <a:blip r:embed="rId280" cstate="print"/>
                    <a:stretch>
                      <a:fillRect/>
                    </a:stretch>
                  </pic:blipFill>
                  <pic:spPr>
                    <a:xfrm>
                      <a:off x="0" y="0"/>
                      <a:ext cx="4506760" cy="4844034"/>
                    </a:xfrm>
                    <a:prstGeom prst="rect">
                      <a:avLst/>
                    </a:prstGeom>
                  </pic:spPr>
                </pic:pic>
              </a:graphicData>
            </a:graphic>
          </wp:inline>
        </w:drawing>
      </w:r>
    </w:p>
    <w:p w14:paraId="38463523" w14:textId="77777777" w:rsidR="00A71EEF" w:rsidRDefault="00A71EEF">
      <w:pPr>
        <w:pStyle w:val="a3"/>
        <w:rPr>
          <w:sz w:val="20"/>
        </w:rPr>
      </w:pPr>
    </w:p>
    <w:p w14:paraId="78714279" w14:textId="77777777" w:rsidR="00A71EEF" w:rsidRDefault="00A71EEF">
      <w:pPr>
        <w:pStyle w:val="a3"/>
        <w:rPr>
          <w:sz w:val="20"/>
        </w:rPr>
      </w:pPr>
    </w:p>
    <w:p w14:paraId="2C101617" w14:textId="77777777" w:rsidR="00A71EEF" w:rsidRDefault="00A71EEF">
      <w:pPr>
        <w:pStyle w:val="a3"/>
        <w:rPr>
          <w:sz w:val="20"/>
        </w:rPr>
      </w:pPr>
    </w:p>
    <w:p w14:paraId="002C4D32" w14:textId="77777777" w:rsidR="00A71EEF" w:rsidRDefault="00A71EEF">
      <w:pPr>
        <w:pStyle w:val="a3"/>
        <w:rPr>
          <w:sz w:val="20"/>
        </w:rPr>
      </w:pPr>
    </w:p>
    <w:p w14:paraId="3E9A2CAA" w14:textId="77777777" w:rsidR="00A71EEF" w:rsidRDefault="00A71EEF">
      <w:pPr>
        <w:pStyle w:val="a3"/>
        <w:rPr>
          <w:sz w:val="20"/>
        </w:rPr>
      </w:pPr>
    </w:p>
    <w:p w14:paraId="3BB043C3" w14:textId="77777777" w:rsidR="00A71EEF" w:rsidRDefault="00A71EEF">
      <w:pPr>
        <w:pStyle w:val="a3"/>
        <w:rPr>
          <w:sz w:val="20"/>
        </w:rPr>
      </w:pPr>
    </w:p>
    <w:p w14:paraId="74245512" w14:textId="77777777" w:rsidR="00A71EEF" w:rsidRDefault="00A71EEF">
      <w:pPr>
        <w:pStyle w:val="a3"/>
        <w:spacing w:before="4"/>
        <w:rPr>
          <w:sz w:val="16"/>
        </w:rPr>
      </w:pPr>
    </w:p>
    <w:p w14:paraId="30E08D73" w14:textId="77777777" w:rsidR="00A71EEF" w:rsidRDefault="0081115D">
      <w:pPr>
        <w:spacing w:before="71"/>
        <w:ind w:right="490"/>
        <w:jc w:val="center"/>
        <w:rPr>
          <w:b/>
          <w:sz w:val="21"/>
        </w:rPr>
      </w:pPr>
      <w:r>
        <w:rPr>
          <w:b/>
          <w:w w:val="99"/>
          <w:sz w:val="21"/>
        </w:rPr>
        <w:t xml:space="preserve"> </w:t>
      </w:r>
    </w:p>
    <w:p w14:paraId="319F3CA3" w14:textId="77777777" w:rsidR="00A71EEF" w:rsidRDefault="00A71EEF">
      <w:pPr>
        <w:jc w:val="center"/>
        <w:rPr>
          <w:sz w:val="21"/>
        </w:rPr>
        <w:sectPr w:rsidR="00A71EEF">
          <w:pgSz w:w="11910" w:h="16850"/>
          <w:pgMar w:top="1600" w:right="0" w:bottom="1420" w:left="1260" w:header="0" w:footer="1239" w:gutter="0"/>
          <w:cols w:space="720"/>
        </w:sectPr>
      </w:pPr>
    </w:p>
    <w:p w14:paraId="44E5F41C" w14:textId="77777777" w:rsidR="00A71EEF" w:rsidRDefault="0081115D">
      <w:pPr>
        <w:spacing w:before="47"/>
        <w:ind w:left="3416"/>
        <w:rPr>
          <w:sz w:val="21"/>
        </w:rPr>
      </w:pPr>
      <w:r>
        <w:rPr>
          <w:noProof/>
        </w:rPr>
        <w:drawing>
          <wp:anchor distT="0" distB="0" distL="0" distR="0" simplePos="0" relativeHeight="251609600" behindDoc="0" locked="0" layoutInCell="1" allowOverlap="1" wp14:anchorId="709A554A" wp14:editId="6BC6DE75">
            <wp:simplePos x="0" y="0"/>
            <wp:positionH relativeFrom="page">
              <wp:posOffset>1574800</wp:posOffset>
            </wp:positionH>
            <wp:positionV relativeFrom="paragraph">
              <wp:posOffset>244220</wp:posOffset>
            </wp:positionV>
            <wp:extent cx="4661732" cy="3664743"/>
            <wp:effectExtent l="0" t="0" r="0" b="0"/>
            <wp:wrapTopAndBottom/>
            <wp:docPr id="403" name="image2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238.jpeg"/>
                    <pic:cNvPicPr/>
                  </pic:nvPicPr>
                  <pic:blipFill>
                    <a:blip r:embed="rId281" cstate="print"/>
                    <a:stretch>
                      <a:fillRect/>
                    </a:stretch>
                  </pic:blipFill>
                  <pic:spPr>
                    <a:xfrm>
                      <a:off x="0" y="0"/>
                      <a:ext cx="4661732" cy="3664743"/>
                    </a:xfrm>
                    <a:prstGeom prst="rect">
                      <a:avLst/>
                    </a:prstGeom>
                  </pic:spPr>
                </pic:pic>
              </a:graphicData>
            </a:graphic>
          </wp:anchor>
        </w:drawing>
      </w:r>
      <w:r>
        <w:rPr>
          <w:b/>
          <w:w w:val="99"/>
          <w:sz w:val="21"/>
        </w:rPr>
        <w:t xml:space="preserve"> </w:t>
      </w:r>
      <w:r>
        <w:rPr>
          <w:b/>
          <w:sz w:val="21"/>
        </w:rPr>
        <w:t xml:space="preserve"> </w:t>
      </w:r>
      <w:r>
        <w:rPr>
          <w:b/>
          <w:sz w:val="21"/>
        </w:rPr>
        <w:t>表</w:t>
      </w:r>
      <w:r>
        <w:rPr>
          <w:b/>
          <w:sz w:val="21"/>
        </w:rPr>
        <w:t xml:space="preserve"> 7 </w:t>
      </w:r>
      <w:r>
        <w:rPr>
          <w:b/>
          <w:sz w:val="21"/>
        </w:rPr>
        <w:t>活动式防火窗附加检验项目</w:t>
      </w:r>
      <w:r>
        <w:rPr>
          <w:sz w:val="21"/>
        </w:rPr>
        <w:t xml:space="preserve"> </w:t>
      </w:r>
    </w:p>
    <w:p w14:paraId="44D2A72B" w14:textId="77777777" w:rsidR="00A71EEF" w:rsidRDefault="0081115D">
      <w:pPr>
        <w:spacing w:before="121"/>
        <w:ind w:left="418"/>
        <w:rPr>
          <w:b/>
          <w:sz w:val="24"/>
        </w:rPr>
      </w:pPr>
      <w:r>
        <w:rPr>
          <w:b/>
          <w:sz w:val="24"/>
        </w:rPr>
        <w:t xml:space="preserve">10 </w:t>
      </w:r>
      <w:r>
        <w:rPr>
          <w:b/>
          <w:sz w:val="24"/>
        </w:rPr>
        <w:t>标志、包装、运输和贮存</w:t>
      </w:r>
      <w:r>
        <w:rPr>
          <w:b/>
          <w:w w:val="99"/>
          <w:sz w:val="24"/>
        </w:rPr>
        <w:t xml:space="preserve"> </w:t>
      </w:r>
    </w:p>
    <w:p w14:paraId="60640405" w14:textId="77777777" w:rsidR="00A71EEF" w:rsidRDefault="00A71EEF">
      <w:pPr>
        <w:pStyle w:val="a3"/>
        <w:spacing w:before="6"/>
        <w:rPr>
          <w:b/>
          <w:sz w:val="17"/>
        </w:rPr>
      </w:pPr>
    </w:p>
    <w:p w14:paraId="77FB2721" w14:textId="77777777" w:rsidR="00A71EEF" w:rsidRDefault="0081115D">
      <w:pPr>
        <w:pStyle w:val="a4"/>
        <w:numPr>
          <w:ilvl w:val="1"/>
          <w:numId w:val="521"/>
        </w:numPr>
        <w:tabs>
          <w:tab w:val="left" w:pos="1266"/>
        </w:tabs>
        <w:spacing w:before="1"/>
        <w:ind w:hanging="426"/>
        <w:rPr>
          <w:b/>
          <w:sz w:val="21"/>
        </w:rPr>
      </w:pPr>
      <w:r>
        <w:rPr>
          <w:spacing w:val="-3"/>
          <w:sz w:val="21"/>
        </w:rPr>
        <w:t>标志</w:t>
      </w:r>
      <w:r>
        <w:rPr>
          <w:b/>
          <w:w w:val="99"/>
          <w:sz w:val="21"/>
        </w:rPr>
        <w:t xml:space="preserve"> </w:t>
      </w:r>
    </w:p>
    <w:p w14:paraId="79190BBB" w14:textId="77777777" w:rsidR="00A71EEF" w:rsidRDefault="00A71EEF">
      <w:pPr>
        <w:pStyle w:val="a3"/>
        <w:spacing w:before="12"/>
        <w:rPr>
          <w:b/>
          <w:sz w:val="17"/>
        </w:rPr>
      </w:pPr>
    </w:p>
    <w:p w14:paraId="50E3F0C1" w14:textId="77777777" w:rsidR="00A71EEF" w:rsidRDefault="0081115D">
      <w:pPr>
        <w:pStyle w:val="a4"/>
        <w:numPr>
          <w:ilvl w:val="2"/>
          <w:numId w:val="521"/>
        </w:numPr>
        <w:tabs>
          <w:tab w:val="left" w:pos="1478"/>
        </w:tabs>
        <w:spacing w:line="446" w:lineRule="auto"/>
        <w:ind w:right="5805" w:firstLine="2"/>
        <w:rPr>
          <w:b/>
          <w:sz w:val="21"/>
        </w:rPr>
      </w:pPr>
      <w:r>
        <w:rPr>
          <w:spacing w:val="-3"/>
          <w:sz w:val="21"/>
        </w:rPr>
        <w:t>在产品明显部位应标明下列标志：</w:t>
      </w:r>
      <w:r>
        <w:rPr>
          <w:spacing w:val="-3"/>
          <w:sz w:val="21"/>
        </w:rPr>
        <w:t xml:space="preserve"> </w:t>
      </w:r>
      <w:r>
        <w:rPr>
          <w:sz w:val="21"/>
        </w:rPr>
        <w:t>a</w:t>
      </w:r>
      <w:r>
        <w:rPr>
          <w:sz w:val="21"/>
        </w:rPr>
        <w:t>）</w:t>
      </w:r>
      <w:r>
        <w:rPr>
          <w:spacing w:val="-3"/>
          <w:sz w:val="21"/>
        </w:rPr>
        <w:t>制造厂名称与商标（</w:t>
      </w:r>
      <w:r>
        <w:rPr>
          <w:spacing w:val="-2"/>
          <w:sz w:val="21"/>
        </w:rPr>
        <w:t>如果有</w:t>
      </w:r>
      <w:r>
        <w:rPr>
          <w:spacing w:val="-3"/>
          <w:sz w:val="21"/>
        </w:rPr>
        <w:t>）；</w:t>
      </w:r>
      <w:r>
        <w:rPr>
          <w:b/>
          <w:w w:val="99"/>
          <w:sz w:val="21"/>
        </w:rPr>
        <w:t xml:space="preserve"> </w:t>
      </w:r>
    </w:p>
    <w:p w14:paraId="539804A3" w14:textId="77777777" w:rsidR="00A71EEF" w:rsidRDefault="0081115D">
      <w:pPr>
        <w:pStyle w:val="a4"/>
        <w:numPr>
          <w:ilvl w:val="0"/>
          <w:numId w:val="522"/>
        </w:numPr>
        <w:tabs>
          <w:tab w:val="left" w:pos="1156"/>
        </w:tabs>
        <w:ind w:left="1155"/>
        <w:rPr>
          <w:b/>
          <w:sz w:val="21"/>
        </w:rPr>
      </w:pPr>
      <w:r>
        <w:rPr>
          <w:spacing w:val="-3"/>
          <w:sz w:val="21"/>
        </w:rPr>
        <w:t>产品名称、型号和规格；</w:t>
      </w:r>
      <w:r>
        <w:rPr>
          <w:b/>
          <w:spacing w:val="-3"/>
          <w:w w:val="99"/>
          <w:sz w:val="21"/>
        </w:rPr>
        <w:t xml:space="preserve"> </w:t>
      </w:r>
    </w:p>
    <w:p w14:paraId="09F6C9F8" w14:textId="77777777" w:rsidR="00A71EEF" w:rsidRDefault="00A71EEF">
      <w:pPr>
        <w:pStyle w:val="a3"/>
        <w:spacing w:before="12"/>
        <w:rPr>
          <w:b/>
          <w:sz w:val="17"/>
        </w:rPr>
      </w:pPr>
    </w:p>
    <w:p w14:paraId="5BAEE005" w14:textId="77777777" w:rsidR="00A71EEF" w:rsidRDefault="0081115D">
      <w:pPr>
        <w:pStyle w:val="a4"/>
        <w:numPr>
          <w:ilvl w:val="0"/>
          <w:numId w:val="522"/>
        </w:numPr>
        <w:tabs>
          <w:tab w:val="left" w:pos="1156"/>
        </w:tabs>
        <w:spacing w:line="446" w:lineRule="auto"/>
        <w:ind w:left="838" w:right="4659" w:firstLine="0"/>
        <w:rPr>
          <w:b/>
          <w:sz w:val="21"/>
        </w:rPr>
      </w:pPr>
      <w:r>
        <w:rPr>
          <w:spacing w:val="-7"/>
          <w:sz w:val="21"/>
        </w:rPr>
        <w:t>产品贴有标牌，标牌内容参见</w:t>
      </w:r>
      <w:r>
        <w:rPr>
          <w:spacing w:val="-7"/>
          <w:sz w:val="21"/>
        </w:rPr>
        <w:t xml:space="preserve"> </w:t>
      </w:r>
      <w:r>
        <w:rPr>
          <w:sz w:val="21"/>
        </w:rPr>
        <w:t>GB/T</w:t>
      </w:r>
      <w:r>
        <w:rPr>
          <w:spacing w:val="7"/>
          <w:sz w:val="21"/>
        </w:rPr>
        <w:t xml:space="preserve"> </w:t>
      </w:r>
      <w:r>
        <w:rPr>
          <w:sz w:val="21"/>
        </w:rPr>
        <w:t>13306</w:t>
      </w:r>
      <w:r>
        <w:rPr>
          <w:spacing w:val="-12"/>
          <w:sz w:val="21"/>
        </w:rPr>
        <w:t xml:space="preserve"> </w:t>
      </w:r>
      <w:r>
        <w:rPr>
          <w:spacing w:val="-12"/>
          <w:sz w:val="21"/>
        </w:rPr>
        <w:t>的规定；</w:t>
      </w:r>
      <w:r>
        <w:rPr>
          <w:spacing w:val="-12"/>
          <w:sz w:val="21"/>
        </w:rPr>
        <w:t xml:space="preserve"> d</w:t>
      </w:r>
      <w:r>
        <w:rPr>
          <w:spacing w:val="-12"/>
          <w:sz w:val="21"/>
        </w:rPr>
        <w:t>）</w:t>
      </w:r>
      <w:r>
        <w:rPr>
          <w:spacing w:val="-3"/>
          <w:sz w:val="21"/>
        </w:rPr>
        <w:t>产品生产日期或生产批号、出厂日期。</w:t>
      </w:r>
      <w:r>
        <w:rPr>
          <w:b/>
          <w:w w:val="99"/>
          <w:sz w:val="21"/>
        </w:rPr>
        <w:t xml:space="preserve"> </w:t>
      </w:r>
    </w:p>
    <w:p w14:paraId="5ED5111B" w14:textId="77777777" w:rsidR="00A71EEF" w:rsidRDefault="0081115D">
      <w:pPr>
        <w:pStyle w:val="a4"/>
        <w:numPr>
          <w:ilvl w:val="2"/>
          <w:numId w:val="521"/>
        </w:numPr>
        <w:tabs>
          <w:tab w:val="left" w:pos="1478"/>
        </w:tabs>
        <w:spacing w:before="1"/>
        <w:ind w:left="1477" w:hanging="638"/>
        <w:rPr>
          <w:sz w:val="21"/>
        </w:rPr>
      </w:pPr>
      <w:r>
        <w:rPr>
          <w:spacing w:val="-7"/>
          <w:sz w:val="21"/>
        </w:rPr>
        <w:t>产品包装箱的箱面标志要求参见</w:t>
      </w:r>
      <w:r>
        <w:rPr>
          <w:spacing w:val="-7"/>
          <w:sz w:val="21"/>
        </w:rPr>
        <w:t xml:space="preserve"> </w:t>
      </w:r>
      <w:r>
        <w:rPr>
          <w:sz w:val="21"/>
        </w:rPr>
        <w:t>GB/T</w:t>
      </w:r>
      <w:r>
        <w:rPr>
          <w:spacing w:val="-2"/>
          <w:sz w:val="21"/>
        </w:rPr>
        <w:t xml:space="preserve"> </w:t>
      </w:r>
      <w:r>
        <w:rPr>
          <w:sz w:val="21"/>
        </w:rPr>
        <w:t>6388</w:t>
      </w:r>
      <w:r>
        <w:rPr>
          <w:spacing w:val="-13"/>
          <w:sz w:val="21"/>
        </w:rPr>
        <w:t xml:space="preserve"> </w:t>
      </w:r>
      <w:r>
        <w:rPr>
          <w:spacing w:val="-13"/>
          <w:sz w:val="21"/>
        </w:rPr>
        <w:t>的规定。</w:t>
      </w:r>
      <w:r>
        <w:rPr>
          <w:sz w:val="21"/>
        </w:rPr>
        <w:t xml:space="preserve"> </w:t>
      </w:r>
    </w:p>
    <w:p w14:paraId="2EFE2B3A" w14:textId="77777777" w:rsidR="00A71EEF" w:rsidRDefault="00A71EEF">
      <w:pPr>
        <w:pStyle w:val="a3"/>
        <w:spacing w:before="12"/>
        <w:rPr>
          <w:sz w:val="17"/>
        </w:rPr>
      </w:pPr>
    </w:p>
    <w:p w14:paraId="67CD118E" w14:textId="77777777" w:rsidR="00A71EEF" w:rsidRDefault="0081115D">
      <w:pPr>
        <w:pStyle w:val="a4"/>
        <w:numPr>
          <w:ilvl w:val="2"/>
          <w:numId w:val="521"/>
        </w:numPr>
        <w:tabs>
          <w:tab w:val="left" w:pos="1478"/>
        </w:tabs>
        <w:spacing w:line="446" w:lineRule="auto"/>
        <w:ind w:left="418" w:right="1496" w:firstLine="422"/>
        <w:rPr>
          <w:sz w:val="21"/>
        </w:rPr>
      </w:pPr>
      <w:r>
        <w:rPr>
          <w:spacing w:val="-3"/>
          <w:sz w:val="21"/>
        </w:rPr>
        <w:t>产品包装箱上有明显的</w:t>
      </w:r>
      <w:r>
        <w:rPr>
          <w:spacing w:val="-3"/>
          <w:sz w:val="21"/>
        </w:rPr>
        <w:t>“</w:t>
      </w:r>
      <w:r>
        <w:rPr>
          <w:spacing w:val="-3"/>
          <w:sz w:val="21"/>
        </w:rPr>
        <w:t>怕湿</w:t>
      </w:r>
      <w:r>
        <w:rPr>
          <w:spacing w:val="-3"/>
          <w:sz w:val="21"/>
        </w:rPr>
        <w:t>”</w:t>
      </w:r>
      <w:r>
        <w:rPr>
          <w:spacing w:val="-3"/>
          <w:sz w:val="21"/>
        </w:rPr>
        <w:t>、</w:t>
      </w:r>
      <w:r>
        <w:rPr>
          <w:spacing w:val="-3"/>
          <w:sz w:val="21"/>
        </w:rPr>
        <w:t>“</w:t>
      </w:r>
      <w:r>
        <w:rPr>
          <w:spacing w:val="-3"/>
          <w:sz w:val="21"/>
        </w:rPr>
        <w:t>小心轻放</w:t>
      </w:r>
      <w:r>
        <w:rPr>
          <w:spacing w:val="-3"/>
          <w:sz w:val="21"/>
        </w:rPr>
        <w:t>”</w:t>
      </w:r>
      <w:r>
        <w:rPr>
          <w:spacing w:val="-3"/>
          <w:sz w:val="21"/>
        </w:rPr>
        <w:t>、</w:t>
      </w:r>
      <w:r>
        <w:rPr>
          <w:spacing w:val="-3"/>
          <w:sz w:val="21"/>
        </w:rPr>
        <w:t>“</w:t>
      </w:r>
      <w:r>
        <w:rPr>
          <w:spacing w:val="-3"/>
          <w:sz w:val="21"/>
        </w:rPr>
        <w:t>向上</w:t>
      </w:r>
      <w:r>
        <w:rPr>
          <w:spacing w:val="-3"/>
          <w:sz w:val="21"/>
        </w:rPr>
        <w:t>”</w:t>
      </w:r>
      <w:r>
        <w:rPr>
          <w:spacing w:val="-3"/>
          <w:sz w:val="21"/>
        </w:rPr>
        <w:t>字样和标志，其图形要</w:t>
      </w:r>
      <w:r>
        <w:rPr>
          <w:spacing w:val="-15"/>
          <w:sz w:val="21"/>
        </w:rPr>
        <w:t>求参见</w:t>
      </w:r>
      <w:r>
        <w:rPr>
          <w:spacing w:val="-15"/>
          <w:sz w:val="21"/>
        </w:rPr>
        <w:t xml:space="preserve"> </w:t>
      </w:r>
      <w:r>
        <w:rPr>
          <w:sz w:val="21"/>
        </w:rPr>
        <w:t>GB/T 191</w:t>
      </w:r>
      <w:r>
        <w:rPr>
          <w:spacing w:val="-12"/>
          <w:sz w:val="21"/>
        </w:rPr>
        <w:t xml:space="preserve"> </w:t>
      </w:r>
      <w:r>
        <w:rPr>
          <w:spacing w:val="-12"/>
          <w:sz w:val="21"/>
        </w:rPr>
        <w:t>的规定。</w:t>
      </w:r>
      <w:r>
        <w:rPr>
          <w:spacing w:val="-12"/>
          <w:sz w:val="21"/>
        </w:rPr>
        <w:t xml:space="preserve"> </w:t>
      </w:r>
    </w:p>
    <w:p w14:paraId="41276B59" w14:textId="77777777" w:rsidR="00A71EEF" w:rsidRDefault="0081115D">
      <w:pPr>
        <w:pStyle w:val="a4"/>
        <w:numPr>
          <w:ilvl w:val="1"/>
          <w:numId w:val="521"/>
        </w:numPr>
        <w:tabs>
          <w:tab w:val="left" w:pos="1264"/>
        </w:tabs>
        <w:ind w:left="1263" w:hanging="424"/>
        <w:rPr>
          <w:b/>
          <w:sz w:val="21"/>
        </w:rPr>
      </w:pPr>
      <w:r>
        <w:rPr>
          <w:spacing w:val="-3"/>
          <w:sz w:val="21"/>
        </w:rPr>
        <w:t>包装</w:t>
      </w:r>
      <w:r>
        <w:rPr>
          <w:b/>
          <w:w w:val="99"/>
          <w:sz w:val="21"/>
        </w:rPr>
        <w:t xml:space="preserve"> </w:t>
      </w:r>
    </w:p>
    <w:p w14:paraId="204E0B5A" w14:textId="77777777" w:rsidR="00A71EEF" w:rsidRDefault="00A71EEF">
      <w:pPr>
        <w:pStyle w:val="a3"/>
        <w:spacing w:before="12"/>
        <w:rPr>
          <w:b/>
          <w:sz w:val="17"/>
        </w:rPr>
      </w:pPr>
    </w:p>
    <w:p w14:paraId="6D164340" w14:textId="77777777" w:rsidR="00A71EEF" w:rsidRDefault="0081115D">
      <w:pPr>
        <w:pStyle w:val="a4"/>
        <w:numPr>
          <w:ilvl w:val="2"/>
          <w:numId w:val="521"/>
        </w:numPr>
        <w:tabs>
          <w:tab w:val="left" w:pos="1478"/>
        </w:tabs>
        <w:ind w:left="1477" w:hanging="638"/>
        <w:rPr>
          <w:sz w:val="21"/>
        </w:rPr>
      </w:pPr>
      <w:r>
        <w:rPr>
          <w:spacing w:val="-3"/>
          <w:sz w:val="21"/>
        </w:rPr>
        <w:t>产品用无腐蚀作用的材料包装。</w:t>
      </w:r>
      <w:r>
        <w:rPr>
          <w:sz w:val="21"/>
        </w:rPr>
        <w:t xml:space="preserve"> </w:t>
      </w:r>
    </w:p>
    <w:p w14:paraId="0A1EDA00" w14:textId="77777777" w:rsidR="00A71EEF" w:rsidRDefault="00A71EEF">
      <w:pPr>
        <w:pStyle w:val="a3"/>
        <w:spacing w:before="12"/>
        <w:rPr>
          <w:sz w:val="17"/>
        </w:rPr>
      </w:pPr>
    </w:p>
    <w:p w14:paraId="5C9DED44" w14:textId="77777777" w:rsidR="00A71EEF" w:rsidRDefault="0081115D">
      <w:pPr>
        <w:pStyle w:val="a4"/>
        <w:numPr>
          <w:ilvl w:val="2"/>
          <w:numId w:val="521"/>
        </w:numPr>
        <w:tabs>
          <w:tab w:val="left" w:pos="1478"/>
        </w:tabs>
        <w:ind w:left="1477" w:hanging="638"/>
        <w:rPr>
          <w:sz w:val="21"/>
        </w:rPr>
      </w:pPr>
      <w:r>
        <w:rPr>
          <w:spacing w:val="-3"/>
          <w:sz w:val="21"/>
        </w:rPr>
        <w:t>包装箱有足够的强度，确保运输中不受损坏。</w:t>
      </w:r>
      <w:r>
        <w:rPr>
          <w:spacing w:val="-3"/>
          <w:sz w:val="21"/>
        </w:rPr>
        <w:t xml:space="preserve"> </w:t>
      </w:r>
    </w:p>
    <w:p w14:paraId="31A43D8B" w14:textId="77777777" w:rsidR="00A71EEF" w:rsidRDefault="00A71EEF">
      <w:pPr>
        <w:pStyle w:val="a3"/>
        <w:spacing w:before="3"/>
        <w:rPr>
          <w:sz w:val="18"/>
        </w:rPr>
      </w:pPr>
    </w:p>
    <w:p w14:paraId="04D9D04C" w14:textId="77777777" w:rsidR="00A71EEF" w:rsidRDefault="0081115D">
      <w:pPr>
        <w:pStyle w:val="a4"/>
        <w:numPr>
          <w:ilvl w:val="2"/>
          <w:numId w:val="521"/>
        </w:numPr>
        <w:tabs>
          <w:tab w:val="left" w:pos="1478"/>
        </w:tabs>
        <w:ind w:left="1477" w:hanging="638"/>
        <w:rPr>
          <w:sz w:val="21"/>
        </w:rPr>
      </w:pPr>
      <w:r>
        <w:rPr>
          <w:spacing w:val="-3"/>
          <w:sz w:val="21"/>
        </w:rPr>
        <w:t>包装箱内的各类部件，避免发生相互碰撞、窜动。</w:t>
      </w:r>
      <w:r>
        <w:rPr>
          <w:sz w:val="21"/>
        </w:rPr>
        <w:t xml:space="preserve"> </w:t>
      </w:r>
    </w:p>
    <w:p w14:paraId="33189C12" w14:textId="77777777" w:rsidR="00A71EEF" w:rsidRDefault="00A71EEF">
      <w:pPr>
        <w:pStyle w:val="a3"/>
        <w:spacing w:before="12"/>
        <w:rPr>
          <w:sz w:val="17"/>
        </w:rPr>
      </w:pPr>
    </w:p>
    <w:p w14:paraId="52283BAD" w14:textId="77777777" w:rsidR="00A71EEF" w:rsidRDefault="0081115D">
      <w:pPr>
        <w:pStyle w:val="a4"/>
        <w:numPr>
          <w:ilvl w:val="2"/>
          <w:numId w:val="521"/>
        </w:numPr>
        <w:tabs>
          <w:tab w:val="left" w:pos="1478"/>
        </w:tabs>
        <w:ind w:left="1477" w:hanging="638"/>
        <w:rPr>
          <w:sz w:val="21"/>
        </w:rPr>
      </w:pPr>
      <w:r>
        <w:pict w14:anchorId="475121F8">
          <v:group id="_x0000_s1146" style="position:absolute;left:0;text-align:left;margin-left:82.45pt;margin-top:15.4pt;width:442.4pt;height:37.1pt;z-index:-251493888;mso-wrap-distance-left:0;mso-wrap-distance-right:0;mso-position-horizontal-relative:page" coordorigin="1649,308" coordsize="8848,742">
            <v:rect id="_x0000_s1148" style="position:absolute;left:1649;top:308;width:8848;height:742" stroked="f"/>
            <v:shape id="_x0000_s1147" type="#_x0000_t202" style="position:absolute;left:1649;top:308;width:8848;height:742" filled="f" stroked="f">
              <v:textbox inset="0,0,0,0">
                <w:txbxContent>
                  <w:p w14:paraId="4F5E5A6C" w14:textId="77777777" w:rsidR="00A71EEF" w:rsidRDefault="00A71EEF">
                    <w:pPr>
                      <w:spacing w:before="11"/>
                      <w:rPr>
                        <w:sz w:val="14"/>
                      </w:rPr>
                    </w:pPr>
                  </w:p>
                  <w:p w14:paraId="71BFD299" w14:textId="77777777" w:rsidR="00A71EEF" w:rsidRDefault="0081115D">
                    <w:pPr>
                      <w:ind w:left="28"/>
                      <w:rPr>
                        <w:sz w:val="21"/>
                      </w:rPr>
                    </w:pPr>
                    <w:r>
                      <w:rPr>
                        <w:sz w:val="21"/>
                      </w:rPr>
                      <w:t>参见</w:t>
                    </w:r>
                    <w:r>
                      <w:rPr>
                        <w:sz w:val="21"/>
                      </w:rPr>
                      <w:t xml:space="preserve"> GB 9969.1 </w:t>
                    </w:r>
                    <w:r>
                      <w:rPr>
                        <w:sz w:val="21"/>
                      </w:rPr>
                      <w:t>的规定，且宜将此类资料装在防水袋内。</w:t>
                    </w:r>
                    <w:r>
                      <w:rPr>
                        <w:sz w:val="21"/>
                      </w:rPr>
                      <w:t xml:space="preserve"> </w:t>
                    </w:r>
                  </w:p>
                </w:txbxContent>
              </v:textbox>
            </v:shape>
            <w10:wrap type="topAndBottom" anchorx="page"/>
          </v:group>
        </w:pict>
      </w:r>
      <w:r>
        <w:pict w14:anchorId="0E90FD7D">
          <v:shape id="_x0000_s1145" type="#_x0000_t202" style="position:absolute;left:0;text-align:left;margin-left:294.15pt;margin-top:42.1pt;width:19pt;height:9.4pt;z-index:-251524608;mso-position-horizontal-relative:page" filled="f" stroked="f">
            <v:textbox inset="0,0,0,0">
              <w:txbxContent>
                <w:p w14:paraId="67065775" w14:textId="77777777" w:rsidR="00A71EEF" w:rsidRDefault="0081115D">
                  <w:pPr>
                    <w:spacing w:line="188" w:lineRule="exact"/>
                    <w:rPr>
                      <w:rFonts w:ascii="等线"/>
                      <w:sz w:val="18"/>
                    </w:rPr>
                  </w:pPr>
                  <w:r>
                    <w:rPr>
                      <w:rFonts w:ascii="等线"/>
                      <w:sz w:val="18"/>
                    </w:rPr>
                    <w:t>1184</w:t>
                  </w:r>
                </w:p>
              </w:txbxContent>
            </v:textbox>
            <w10:wrap anchorx="page"/>
          </v:shape>
        </w:pict>
      </w:r>
      <w:r>
        <w:rPr>
          <w:spacing w:val="-3"/>
          <w:sz w:val="21"/>
        </w:rPr>
        <w:t>产品装箱后，箱内附有装箱单、产品合格证和安装使用说明书，说明书的编制方法</w:t>
      </w:r>
    </w:p>
    <w:p w14:paraId="6C862D38" w14:textId="77777777" w:rsidR="00A71EEF" w:rsidRDefault="00A71EEF">
      <w:pPr>
        <w:rPr>
          <w:sz w:val="21"/>
        </w:rPr>
        <w:sectPr w:rsidR="00A71EEF">
          <w:footerReference w:type="default" r:id="rId282"/>
          <w:pgSz w:w="11910" w:h="16850"/>
          <w:pgMar w:top="1220" w:right="0" w:bottom="280" w:left="1260" w:header="0" w:footer="0" w:gutter="0"/>
          <w:cols w:space="720"/>
        </w:sectPr>
      </w:pPr>
    </w:p>
    <w:p w14:paraId="7281A138" w14:textId="77777777" w:rsidR="00A71EEF" w:rsidRDefault="0081115D">
      <w:pPr>
        <w:pStyle w:val="a4"/>
        <w:numPr>
          <w:ilvl w:val="1"/>
          <w:numId w:val="521"/>
        </w:numPr>
        <w:tabs>
          <w:tab w:val="left" w:pos="1266"/>
        </w:tabs>
        <w:spacing w:before="47"/>
        <w:ind w:hanging="426"/>
        <w:rPr>
          <w:b/>
          <w:sz w:val="21"/>
        </w:rPr>
      </w:pPr>
      <w:r>
        <w:rPr>
          <w:spacing w:val="-3"/>
          <w:sz w:val="21"/>
        </w:rPr>
        <w:t>运输</w:t>
      </w:r>
      <w:r>
        <w:rPr>
          <w:b/>
          <w:w w:val="99"/>
          <w:sz w:val="21"/>
        </w:rPr>
        <w:t xml:space="preserve"> </w:t>
      </w:r>
    </w:p>
    <w:p w14:paraId="7212E67D" w14:textId="77777777" w:rsidR="00A71EEF" w:rsidRDefault="00A71EEF">
      <w:pPr>
        <w:pStyle w:val="a3"/>
        <w:rPr>
          <w:b/>
          <w:sz w:val="18"/>
        </w:rPr>
      </w:pPr>
    </w:p>
    <w:p w14:paraId="5A214112" w14:textId="77777777" w:rsidR="00A71EEF" w:rsidRDefault="0081115D">
      <w:pPr>
        <w:pStyle w:val="a4"/>
        <w:numPr>
          <w:ilvl w:val="2"/>
          <w:numId w:val="521"/>
        </w:numPr>
        <w:tabs>
          <w:tab w:val="left" w:pos="1478"/>
        </w:tabs>
        <w:ind w:left="1477" w:hanging="638"/>
        <w:rPr>
          <w:b/>
          <w:sz w:val="21"/>
        </w:rPr>
      </w:pPr>
      <w:r>
        <w:rPr>
          <w:spacing w:val="-3"/>
          <w:sz w:val="21"/>
        </w:rPr>
        <w:t>产品在运输过程中避免包装箱发生相互碰撞。</w:t>
      </w:r>
      <w:r>
        <w:rPr>
          <w:b/>
          <w:spacing w:val="-3"/>
          <w:w w:val="99"/>
          <w:sz w:val="21"/>
        </w:rPr>
        <w:t xml:space="preserve"> </w:t>
      </w:r>
    </w:p>
    <w:p w14:paraId="48CA2C86" w14:textId="77777777" w:rsidR="00A71EEF" w:rsidRDefault="00A71EEF">
      <w:pPr>
        <w:pStyle w:val="a3"/>
        <w:rPr>
          <w:b/>
          <w:sz w:val="18"/>
        </w:rPr>
      </w:pPr>
    </w:p>
    <w:p w14:paraId="0F1AFA7B" w14:textId="77777777" w:rsidR="00A71EEF" w:rsidRDefault="0081115D">
      <w:pPr>
        <w:pStyle w:val="a4"/>
        <w:numPr>
          <w:ilvl w:val="2"/>
          <w:numId w:val="521"/>
        </w:numPr>
        <w:tabs>
          <w:tab w:val="left" w:pos="1478"/>
        </w:tabs>
        <w:ind w:left="1477" w:hanging="638"/>
        <w:rPr>
          <w:b/>
          <w:sz w:val="21"/>
        </w:rPr>
      </w:pPr>
      <w:r>
        <w:rPr>
          <w:spacing w:val="-3"/>
          <w:sz w:val="21"/>
        </w:rPr>
        <w:t>产品搬运过程中要轻拿、轻放，严禁摔、扔、碰击。</w:t>
      </w:r>
      <w:r>
        <w:rPr>
          <w:b/>
          <w:w w:val="99"/>
          <w:sz w:val="21"/>
        </w:rPr>
        <w:t xml:space="preserve"> </w:t>
      </w:r>
    </w:p>
    <w:p w14:paraId="19080672" w14:textId="77777777" w:rsidR="00A71EEF" w:rsidRDefault="00A71EEF">
      <w:pPr>
        <w:pStyle w:val="a3"/>
        <w:spacing w:before="1"/>
        <w:rPr>
          <w:b/>
          <w:sz w:val="18"/>
        </w:rPr>
      </w:pPr>
    </w:p>
    <w:p w14:paraId="63EBFB02" w14:textId="77777777" w:rsidR="00A71EEF" w:rsidRDefault="0081115D">
      <w:pPr>
        <w:pStyle w:val="a4"/>
        <w:numPr>
          <w:ilvl w:val="2"/>
          <w:numId w:val="521"/>
        </w:numPr>
        <w:tabs>
          <w:tab w:val="left" w:pos="1478"/>
        </w:tabs>
        <w:spacing w:before="1"/>
        <w:ind w:left="1477" w:hanging="638"/>
        <w:rPr>
          <w:b/>
          <w:sz w:val="21"/>
        </w:rPr>
      </w:pPr>
      <w:r>
        <w:rPr>
          <w:spacing w:val="-3"/>
          <w:sz w:val="21"/>
        </w:rPr>
        <w:t>产品运输工具有防雨措施，并保持清洁无污染。</w:t>
      </w:r>
      <w:r>
        <w:rPr>
          <w:b/>
          <w:w w:val="99"/>
          <w:sz w:val="21"/>
        </w:rPr>
        <w:t xml:space="preserve"> </w:t>
      </w:r>
    </w:p>
    <w:p w14:paraId="6F097362" w14:textId="77777777" w:rsidR="00A71EEF" w:rsidRDefault="00A71EEF">
      <w:pPr>
        <w:pStyle w:val="a3"/>
        <w:spacing w:before="12"/>
        <w:rPr>
          <w:b/>
          <w:sz w:val="17"/>
        </w:rPr>
      </w:pPr>
    </w:p>
    <w:p w14:paraId="589C79E0" w14:textId="77777777" w:rsidR="00A71EEF" w:rsidRDefault="0081115D">
      <w:pPr>
        <w:pStyle w:val="a4"/>
        <w:numPr>
          <w:ilvl w:val="1"/>
          <w:numId w:val="521"/>
        </w:numPr>
        <w:tabs>
          <w:tab w:val="left" w:pos="1266"/>
        </w:tabs>
        <w:ind w:hanging="426"/>
        <w:rPr>
          <w:b/>
          <w:sz w:val="21"/>
        </w:rPr>
      </w:pPr>
      <w:r>
        <w:rPr>
          <w:spacing w:val="-3"/>
          <w:sz w:val="21"/>
        </w:rPr>
        <w:t>贮存</w:t>
      </w:r>
      <w:r>
        <w:rPr>
          <w:b/>
          <w:w w:val="99"/>
          <w:sz w:val="21"/>
        </w:rPr>
        <w:t xml:space="preserve"> </w:t>
      </w:r>
    </w:p>
    <w:p w14:paraId="05FC6936" w14:textId="77777777" w:rsidR="00A71EEF" w:rsidRDefault="00A71EEF">
      <w:pPr>
        <w:pStyle w:val="a3"/>
        <w:spacing w:before="12"/>
        <w:rPr>
          <w:b/>
          <w:sz w:val="17"/>
        </w:rPr>
      </w:pPr>
    </w:p>
    <w:p w14:paraId="3F5CE022" w14:textId="77777777" w:rsidR="00A71EEF" w:rsidRDefault="0081115D">
      <w:pPr>
        <w:pStyle w:val="a4"/>
        <w:numPr>
          <w:ilvl w:val="2"/>
          <w:numId w:val="521"/>
        </w:numPr>
        <w:tabs>
          <w:tab w:val="left" w:pos="1478"/>
        </w:tabs>
        <w:spacing w:line="446" w:lineRule="auto"/>
        <w:ind w:left="418" w:right="1498" w:firstLine="422"/>
        <w:rPr>
          <w:sz w:val="21"/>
        </w:rPr>
      </w:pPr>
      <w:r>
        <w:rPr>
          <w:spacing w:val="-3"/>
          <w:sz w:val="21"/>
        </w:rPr>
        <w:t>产品放置在通风、干燥的地方；避免与酸、碱、盐等腐蚀性介质接触，并有必要的防潮、防雨、防晒、防腐等措施。</w:t>
      </w:r>
      <w:r>
        <w:rPr>
          <w:sz w:val="21"/>
        </w:rPr>
        <w:t xml:space="preserve"> </w:t>
      </w:r>
    </w:p>
    <w:p w14:paraId="690F55EF" w14:textId="77777777" w:rsidR="00A71EEF" w:rsidRDefault="0081115D">
      <w:pPr>
        <w:pStyle w:val="a4"/>
        <w:numPr>
          <w:ilvl w:val="2"/>
          <w:numId w:val="521"/>
        </w:numPr>
        <w:tabs>
          <w:tab w:val="left" w:pos="1478"/>
        </w:tabs>
        <w:spacing w:before="1"/>
        <w:ind w:left="1477" w:hanging="638"/>
        <w:rPr>
          <w:sz w:val="21"/>
        </w:rPr>
      </w:pPr>
      <w:r>
        <w:rPr>
          <w:spacing w:val="-6"/>
          <w:sz w:val="21"/>
        </w:rPr>
        <w:t>产品严禁与地面直接接触，底部垫高大于</w:t>
      </w:r>
      <w:r>
        <w:rPr>
          <w:spacing w:val="-6"/>
          <w:sz w:val="21"/>
        </w:rPr>
        <w:t xml:space="preserve"> </w:t>
      </w:r>
      <w:r>
        <w:rPr>
          <w:sz w:val="21"/>
        </w:rPr>
        <w:t>10Omm</w:t>
      </w:r>
      <w:r>
        <w:rPr>
          <w:spacing w:val="-3"/>
          <w:sz w:val="21"/>
        </w:rPr>
        <w:t>。</w:t>
      </w:r>
      <w:r>
        <w:rPr>
          <w:sz w:val="21"/>
        </w:rPr>
        <w:t xml:space="preserve"> </w:t>
      </w:r>
    </w:p>
    <w:p w14:paraId="0C60AD03" w14:textId="77777777" w:rsidR="00A71EEF" w:rsidRDefault="00A71EEF">
      <w:pPr>
        <w:pStyle w:val="a3"/>
        <w:spacing w:before="12"/>
        <w:rPr>
          <w:sz w:val="17"/>
        </w:rPr>
      </w:pPr>
    </w:p>
    <w:p w14:paraId="73D9F0E0" w14:textId="77777777" w:rsidR="00A71EEF" w:rsidRDefault="0081115D">
      <w:pPr>
        <w:pStyle w:val="a4"/>
        <w:numPr>
          <w:ilvl w:val="2"/>
          <w:numId w:val="521"/>
        </w:numPr>
        <w:tabs>
          <w:tab w:val="left" w:pos="1478"/>
        </w:tabs>
        <w:ind w:left="1477" w:hanging="638"/>
        <w:rPr>
          <w:sz w:val="21"/>
        </w:rPr>
      </w:pPr>
      <w:r>
        <w:rPr>
          <w:spacing w:val="-6"/>
          <w:sz w:val="21"/>
        </w:rPr>
        <w:t>产品堆放时用垫块垫平，水平码放的高度不超过</w:t>
      </w:r>
      <w:r>
        <w:rPr>
          <w:spacing w:val="-6"/>
          <w:sz w:val="21"/>
        </w:rPr>
        <w:t xml:space="preserve"> </w:t>
      </w:r>
      <w:r>
        <w:rPr>
          <w:sz w:val="21"/>
        </w:rPr>
        <w:t>2.Om</w:t>
      </w:r>
      <w:r>
        <w:rPr>
          <w:spacing w:val="-3"/>
          <w:sz w:val="21"/>
        </w:rPr>
        <w:t>，立放时的角度不小于</w:t>
      </w:r>
    </w:p>
    <w:p w14:paraId="0AFAC8B3" w14:textId="77777777" w:rsidR="00A71EEF" w:rsidRDefault="00A71EEF">
      <w:pPr>
        <w:pStyle w:val="a3"/>
        <w:spacing w:before="2"/>
        <w:rPr>
          <w:sz w:val="18"/>
        </w:rPr>
      </w:pPr>
    </w:p>
    <w:p w14:paraId="51F2304D" w14:textId="77777777" w:rsidR="00A71EEF" w:rsidRDefault="0081115D">
      <w:pPr>
        <w:pStyle w:val="a3"/>
        <w:ind w:left="418"/>
      </w:pPr>
      <w:r>
        <w:t>70°</w:t>
      </w:r>
      <w:r>
        <w:t>。</w:t>
      </w:r>
      <w:r>
        <w:t xml:space="preserve"> </w:t>
      </w:r>
    </w:p>
    <w:p w14:paraId="5333D96E" w14:textId="77777777" w:rsidR="00A71EEF" w:rsidRDefault="00A71EEF">
      <w:pPr>
        <w:pStyle w:val="a3"/>
        <w:rPr>
          <w:sz w:val="20"/>
        </w:rPr>
      </w:pPr>
    </w:p>
    <w:p w14:paraId="07293A8A" w14:textId="77777777" w:rsidR="00A71EEF" w:rsidRDefault="00A71EEF">
      <w:pPr>
        <w:pStyle w:val="a3"/>
        <w:rPr>
          <w:sz w:val="20"/>
        </w:rPr>
      </w:pPr>
    </w:p>
    <w:p w14:paraId="53B770FC" w14:textId="77777777" w:rsidR="00A71EEF" w:rsidRDefault="00A71EEF">
      <w:pPr>
        <w:pStyle w:val="a3"/>
        <w:rPr>
          <w:sz w:val="20"/>
        </w:rPr>
      </w:pPr>
    </w:p>
    <w:p w14:paraId="3F765DDF" w14:textId="77777777" w:rsidR="00A71EEF" w:rsidRDefault="00A71EEF">
      <w:pPr>
        <w:pStyle w:val="a3"/>
        <w:rPr>
          <w:sz w:val="20"/>
        </w:rPr>
      </w:pPr>
    </w:p>
    <w:p w14:paraId="3AFC0430" w14:textId="77777777" w:rsidR="00A71EEF" w:rsidRDefault="00A71EEF">
      <w:pPr>
        <w:pStyle w:val="a3"/>
        <w:rPr>
          <w:sz w:val="20"/>
        </w:rPr>
      </w:pPr>
    </w:p>
    <w:p w14:paraId="7139668C" w14:textId="77777777" w:rsidR="00A71EEF" w:rsidRDefault="00A71EEF">
      <w:pPr>
        <w:pStyle w:val="a3"/>
        <w:rPr>
          <w:sz w:val="20"/>
        </w:rPr>
      </w:pPr>
    </w:p>
    <w:p w14:paraId="42200324" w14:textId="77777777" w:rsidR="00A71EEF" w:rsidRDefault="00A71EEF">
      <w:pPr>
        <w:pStyle w:val="a3"/>
        <w:rPr>
          <w:sz w:val="20"/>
        </w:rPr>
      </w:pPr>
    </w:p>
    <w:p w14:paraId="612566B3" w14:textId="77777777" w:rsidR="00A71EEF" w:rsidRDefault="00A71EEF">
      <w:pPr>
        <w:pStyle w:val="a3"/>
        <w:rPr>
          <w:sz w:val="20"/>
        </w:rPr>
      </w:pPr>
    </w:p>
    <w:p w14:paraId="72E1CD12" w14:textId="77777777" w:rsidR="00A71EEF" w:rsidRDefault="00A71EEF">
      <w:pPr>
        <w:pStyle w:val="a3"/>
        <w:rPr>
          <w:sz w:val="20"/>
        </w:rPr>
      </w:pPr>
    </w:p>
    <w:p w14:paraId="5B8528E5" w14:textId="77777777" w:rsidR="00A71EEF" w:rsidRDefault="00A71EEF">
      <w:pPr>
        <w:pStyle w:val="a3"/>
        <w:rPr>
          <w:sz w:val="20"/>
        </w:rPr>
      </w:pPr>
    </w:p>
    <w:p w14:paraId="1E7EAEB0" w14:textId="77777777" w:rsidR="00A71EEF" w:rsidRDefault="00A71EEF">
      <w:pPr>
        <w:pStyle w:val="a3"/>
        <w:rPr>
          <w:sz w:val="20"/>
        </w:rPr>
      </w:pPr>
    </w:p>
    <w:p w14:paraId="7D005313" w14:textId="77777777" w:rsidR="00A71EEF" w:rsidRDefault="00A71EEF">
      <w:pPr>
        <w:pStyle w:val="a3"/>
        <w:rPr>
          <w:sz w:val="20"/>
        </w:rPr>
      </w:pPr>
    </w:p>
    <w:p w14:paraId="10800880" w14:textId="77777777" w:rsidR="00A71EEF" w:rsidRDefault="00A71EEF">
      <w:pPr>
        <w:pStyle w:val="a3"/>
        <w:rPr>
          <w:sz w:val="20"/>
        </w:rPr>
      </w:pPr>
    </w:p>
    <w:p w14:paraId="1AD2CF13" w14:textId="77777777" w:rsidR="00A71EEF" w:rsidRDefault="00A71EEF">
      <w:pPr>
        <w:pStyle w:val="a3"/>
        <w:rPr>
          <w:sz w:val="20"/>
        </w:rPr>
      </w:pPr>
    </w:p>
    <w:p w14:paraId="245EC4B3" w14:textId="77777777" w:rsidR="00A71EEF" w:rsidRDefault="00A71EEF">
      <w:pPr>
        <w:pStyle w:val="a3"/>
        <w:rPr>
          <w:sz w:val="20"/>
        </w:rPr>
      </w:pPr>
    </w:p>
    <w:p w14:paraId="62ACD4BA" w14:textId="77777777" w:rsidR="00A71EEF" w:rsidRDefault="00A71EEF">
      <w:pPr>
        <w:pStyle w:val="a3"/>
        <w:rPr>
          <w:sz w:val="20"/>
        </w:rPr>
      </w:pPr>
    </w:p>
    <w:p w14:paraId="1B69CB46" w14:textId="77777777" w:rsidR="00A71EEF" w:rsidRDefault="00A71EEF">
      <w:pPr>
        <w:pStyle w:val="a3"/>
        <w:rPr>
          <w:sz w:val="20"/>
        </w:rPr>
      </w:pPr>
    </w:p>
    <w:p w14:paraId="44A7FEE4" w14:textId="77777777" w:rsidR="00A71EEF" w:rsidRDefault="00A71EEF">
      <w:pPr>
        <w:pStyle w:val="a3"/>
        <w:rPr>
          <w:sz w:val="20"/>
        </w:rPr>
      </w:pPr>
    </w:p>
    <w:p w14:paraId="7BEA4F16" w14:textId="77777777" w:rsidR="00A71EEF" w:rsidRDefault="00A71EEF">
      <w:pPr>
        <w:pStyle w:val="a3"/>
        <w:rPr>
          <w:sz w:val="20"/>
        </w:rPr>
      </w:pPr>
    </w:p>
    <w:p w14:paraId="66E8EC29" w14:textId="77777777" w:rsidR="00A71EEF" w:rsidRDefault="00A71EEF">
      <w:pPr>
        <w:pStyle w:val="a3"/>
        <w:rPr>
          <w:sz w:val="20"/>
        </w:rPr>
      </w:pPr>
    </w:p>
    <w:p w14:paraId="10B8D3C3" w14:textId="77777777" w:rsidR="00A71EEF" w:rsidRDefault="00A71EEF">
      <w:pPr>
        <w:pStyle w:val="a3"/>
        <w:rPr>
          <w:sz w:val="20"/>
        </w:rPr>
      </w:pPr>
    </w:p>
    <w:p w14:paraId="1DA0A4C7" w14:textId="77777777" w:rsidR="00A71EEF" w:rsidRDefault="00A71EEF">
      <w:pPr>
        <w:pStyle w:val="a3"/>
        <w:rPr>
          <w:sz w:val="20"/>
        </w:rPr>
      </w:pPr>
    </w:p>
    <w:p w14:paraId="36DE1DF7" w14:textId="77777777" w:rsidR="00A71EEF" w:rsidRDefault="00A71EEF">
      <w:pPr>
        <w:pStyle w:val="a3"/>
        <w:rPr>
          <w:sz w:val="20"/>
        </w:rPr>
      </w:pPr>
    </w:p>
    <w:p w14:paraId="02306500" w14:textId="77777777" w:rsidR="00A71EEF" w:rsidRDefault="00A71EEF">
      <w:pPr>
        <w:pStyle w:val="a3"/>
        <w:rPr>
          <w:sz w:val="20"/>
        </w:rPr>
      </w:pPr>
    </w:p>
    <w:p w14:paraId="159F636E" w14:textId="77777777" w:rsidR="00A71EEF" w:rsidRDefault="00A71EEF">
      <w:pPr>
        <w:pStyle w:val="a3"/>
        <w:rPr>
          <w:sz w:val="20"/>
        </w:rPr>
      </w:pPr>
    </w:p>
    <w:p w14:paraId="1EB62FCF" w14:textId="77777777" w:rsidR="00A71EEF" w:rsidRDefault="00A71EEF">
      <w:pPr>
        <w:pStyle w:val="a3"/>
        <w:rPr>
          <w:sz w:val="20"/>
        </w:rPr>
      </w:pPr>
    </w:p>
    <w:p w14:paraId="4E54CF32" w14:textId="77777777" w:rsidR="00A71EEF" w:rsidRDefault="00A71EEF">
      <w:pPr>
        <w:pStyle w:val="a3"/>
        <w:rPr>
          <w:sz w:val="20"/>
        </w:rPr>
      </w:pPr>
    </w:p>
    <w:p w14:paraId="269D9771" w14:textId="77777777" w:rsidR="00A71EEF" w:rsidRDefault="00A71EEF">
      <w:pPr>
        <w:pStyle w:val="a3"/>
        <w:rPr>
          <w:sz w:val="20"/>
        </w:rPr>
      </w:pPr>
    </w:p>
    <w:p w14:paraId="06C7A192" w14:textId="77777777" w:rsidR="00A71EEF" w:rsidRDefault="00A71EEF">
      <w:pPr>
        <w:pStyle w:val="a3"/>
        <w:rPr>
          <w:sz w:val="20"/>
        </w:rPr>
      </w:pPr>
    </w:p>
    <w:p w14:paraId="338E1783" w14:textId="77777777" w:rsidR="00A71EEF" w:rsidRDefault="00A71EEF">
      <w:pPr>
        <w:pStyle w:val="a3"/>
        <w:rPr>
          <w:sz w:val="20"/>
        </w:rPr>
      </w:pPr>
    </w:p>
    <w:p w14:paraId="6D28BC47" w14:textId="77777777" w:rsidR="00A71EEF" w:rsidRDefault="00A71EEF">
      <w:pPr>
        <w:pStyle w:val="a3"/>
        <w:rPr>
          <w:sz w:val="20"/>
        </w:rPr>
      </w:pPr>
    </w:p>
    <w:p w14:paraId="4ECBD8C4" w14:textId="77777777" w:rsidR="00A71EEF" w:rsidRDefault="00A71EEF">
      <w:pPr>
        <w:pStyle w:val="a3"/>
        <w:rPr>
          <w:sz w:val="20"/>
        </w:rPr>
      </w:pPr>
    </w:p>
    <w:p w14:paraId="7D47C379" w14:textId="77777777" w:rsidR="00A71EEF" w:rsidRDefault="00A71EEF">
      <w:pPr>
        <w:pStyle w:val="a3"/>
        <w:rPr>
          <w:sz w:val="20"/>
        </w:rPr>
      </w:pPr>
    </w:p>
    <w:p w14:paraId="4522E4DB" w14:textId="77777777" w:rsidR="00A71EEF" w:rsidRDefault="00A71EEF">
      <w:pPr>
        <w:pStyle w:val="a3"/>
        <w:spacing w:before="12"/>
        <w:rPr>
          <w:sz w:val="15"/>
        </w:rPr>
      </w:pPr>
    </w:p>
    <w:p w14:paraId="66B26E9D" w14:textId="77777777" w:rsidR="00A71EEF" w:rsidRDefault="0081115D">
      <w:pPr>
        <w:pStyle w:val="a3"/>
        <w:spacing w:before="72"/>
        <w:ind w:left="838"/>
      </w:pPr>
      <w:r>
        <w:t xml:space="preserve"> </w:t>
      </w:r>
    </w:p>
    <w:p w14:paraId="664A5AB2" w14:textId="77777777" w:rsidR="00A71EEF" w:rsidRDefault="00A71EEF">
      <w:pPr>
        <w:sectPr w:rsidR="00A71EEF">
          <w:footerReference w:type="default" r:id="rId283"/>
          <w:pgSz w:w="11910" w:h="16850"/>
          <w:pgMar w:top="1220" w:right="0" w:bottom="1420" w:left="1260" w:header="0" w:footer="1239" w:gutter="0"/>
          <w:pgNumType w:start="1185"/>
          <w:cols w:space="720"/>
        </w:sectPr>
      </w:pPr>
    </w:p>
    <w:p w14:paraId="4D863A73" w14:textId="77777777" w:rsidR="00A71EEF" w:rsidRDefault="00A71EEF">
      <w:pPr>
        <w:pStyle w:val="a3"/>
        <w:spacing w:before="1"/>
        <w:rPr>
          <w:sz w:val="28"/>
        </w:rPr>
      </w:pPr>
    </w:p>
    <w:p w14:paraId="317D3B2D" w14:textId="77777777" w:rsidR="00A71EEF" w:rsidRDefault="0081115D">
      <w:pPr>
        <w:pStyle w:val="2"/>
        <w:spacing w:before="58"/>
        <w:ind w:right="870"/>
      </w:pPr>
      <w:bookmarkStart w:id="18" w:name="_bookmark18"/>
      <w:bookmarkEnd w:id="18"/>
      <w:r>
        <w:t>防火封堵材料</w:t>
      </w:r>
      <w:r>
        <w:rPr>
          <w:w w:val="99"/>
        </w:rPr>
        <w:t xml:space="preserve"> </w:t>
      </w:r>
    </w:p>
    <w:p w14:paraId="2C53E851" w14:textId="77777777" w:rsidR="00A71EEF" w:rsidRDefault="00A71EEF">
      <w:pPr>
        <w:pStyle w:val="a3"/>
        <w:rPr>
          <w:b/>
          <w:sz w:val="20"/>
        </w:rPr>
      </w:pPr>
    </w:p>
    <w:p w14:paraId="2A044365" w14:textId="77777777" w:rsidR="00A71EEF" w:rsidRDefault="00A71EEF">
      <w:pPr>
        <w:pStyle w:val="a3"/>
        <w:spacing w:before="4"/>
        <w:rPr>
          <w:b/>
          <w:sz w:val="14"/>
        </w:rPr>
      </w:pPr>
    </w:p>
    <w:p w14:paraId="009A369D" w14:textId="77777777" w:rsidR="00A71EEF" w:rsidRDefault="0081115D">
      <w:pPr>
        <w:pStyle w:val="4"/>
        <w:spacing w:before="66"/>
      </w:pPr>
      <w:r>
        <w:t xml:space="preserve">1 </w:t>
      </w:r>
      <w:r>
        <w:t>范围</w:t>
      </w:r>
      <w:r>
        <w:rPr>
          <w:w w:val="99"/>
        </w:rPr>
        <w:t xml:space="preserve"> </w:t>
      </w:r>
    </w:p>
    <w:p w14:paraId="372DCC00" w14:textId="77777777" w:rsidR="00A71EEF" w:rsidRDefault="00A71EEF">
      <w:pPr>
        <w:pStyle w:val="a3"/>
        <w:spacing w:before="4"/>
        <w:rPr>
          <w:b/>
          <w:sz w:val="17"/>
        </w:rPr>
      </w:pPr>
    </w:p>
    <w:p w14:paraId="72F7E0DC" w14:textId="77777777" w:rsidR="00A71EEF" w:rsidRDefault="0081115D">
      <w:pPr>
        <w:pStyle w:val="a3"/>
        <w:spacing w:line="446" w:lineRule="auto"/>
        <w:ind w:left="418" w:right="1609" w:firstLine="419"/>
      </w:pPr>
      <w:r>
        <w:t>本标准规定了防火封堵材料的术语和定义、分类与标记、要求、试验方法、检验规则、综合判定准则及包装、标志、贮存、运输等内容。</w:t>
      </w:r>
      <w:r>
        <w:t xml:space="preserve"> </w:t>
      </w:r>
    </w:p>
    <w:p w14:paraId="2A7A3A74" w14:textId="77777777" w:rsidR="00A71EEF" w:rsidRDefault="0081115D">
      <w:pPr>
        <w:pStyle w:val="a3"/>
        <w:spacing w:before="1" w:line="446" w:lineRule="auto"/>
        <w:ind w:left="418" w:right="1608" w:firstLine="419"/>
        <w:jc w:val="both"/>
      </w:pPr>
      <w:r>
        <w:t>本标准适用于在建筑物、构筑物以及各类设施中的各种贯穿孔洞、构造缝隙所使用的防火封堵材料或防火封堵组件，建筑配件内部使用的防火膨胀密封件和硬聚氯乙烯建筑排水管道阻火圈除外。</w:t>
      </w:r>
      <w:r>
        <w:t xml:space="preserve"> </w:t>
      </w:r>
    </w:p>
    <w:p w14:paraId="2E214896" w14:textId="77777777" w:rsidR="00A71EEF" w:rsidRDefault="0081115D">
      <w:pPr>
        <w:pStyle w:val="4"/>
        <w:spacing w:line="276" w:lineRule="exact"/>
      </w:pPr>
      <w:r>
        <w:t xml:space="preserve">2 </w:t>
      </w:r>
      <w:r>
        <w:t>规范性引用文件</w:t>
      </w:r>
      <w:r>
        <w:rPr>
          <w:w w:val="99"/>
        </w:rPr>
        <w:t xml:space="preserve"> </w:t>
      </w:r>
    </w:p>
    <w:p w14:paraId="4DEA712B" w14:textId="77777777" w:rsidR="00A71EEF" w:rsidRDefault="00A71EEF">
      <w:pPr>
        <w:pStyle w:val="a3"/>
        <w:spacing w:before="3"/>
        <w:rPr>
          <w:b/>
          <w:sz w:val="17"/>
        </w:rPr>
      </w:pPr>
    </w:p>
    <w:p w14:paraId="36044DD2" w14:textId="77777777" w:rsidR="00A71EEF" w:rsidRDefault="0081115D">
      <w:pPr>
        <w:pStyle w:val="a3"/>
        <w:spacing w:before="1" w:line="446" w:lineRule="auto"/>
        <w:ind w:left="418" w:right="1505" w:firstLine="419"/>
      </w:pPr>
      <w:r>
        <w:rPr>
          <w:spacing w:val="-3"/>
        </w:rPr>
        <w:t>下列文件中的条款通过本标准的引用而成为本标准的条款。凡是注日期的引用文件，其随后所有的修改单</w:t>
      </w:r>
      <w:r>
        <w:rPr>
          <w:spacing w:val="-3"/>
        </w:rPr>
        <w:t>(</w:t>
      </w:r>
      <w:r>
        <w:rPr>
          <w:spacing w:val="-3"/>
        </w:rPr>
        <w:t>不包括勘误的内容）或修订版均不适用于本标准，然而，鼓励根据本标准达成协议的各方研究是否可使用这些</w:t>
      </w:r>
      <w:r>
        <w:rPr>
          <w:spacing w:val="-3"/>
        </w:rPr>
        <w:t>文件的最新版本。凡是不注日期的引用文件，其最新版本适用于本标准。</w:t>
      </w:r>
      <w:r>
        <w:t xml:space="preserve"> </w:t>
      </w:r>
    </w:p>
    <w:p w14:paraId="5E2A4AE7" w14:textId="77777777" w:rsidR="00A71EEF" w:rsidRDefault="0081115D">
      <w:pPr>
        <w:pStyle w:val="a3"/>
        <w:spacing w:line="446" w:lineRule="auto"/>
        <w:ind w:left="838" w:right="4451"/>
      </w:pPr>
      <w:r>
        <w:t xml:space="preserve">GB/T 2408-2008 </w:t>
      </w:r>
      <w:r>
        <w:t>塑料燃烧性能试验方法</w:t>
      </w:r>
      <w:r>
        <w:t xml:space="preserve"> </w:t>
      </w:r>
      <w:r>
        <w:t>水平法和垂直法</w:t>
      </w:r>
      <w:r>
        <w:t xml:space="preserve">GB/T 2611 </w:t>
      </w:r>
      <w:r>
        <w:t>试验机通用技术要求</w:t>
      </w:r>
      <w:r>
        <w:t xml:space="preserve"> </w:t>
      </w:r>
    </w:p>
    <w:p w14:paraId="1788630D" w14:textId="77777777" w:rsidR="00A71EEF" w:rsidRDefault="0081115D">
      <w:pPr>
        <w:pStyle w:val="a3"/>
        <w:spacing w:line="446" w:lineRule="auto"/>
        <w:ind w:left="838" w:right="5917"/>
      </w:pPr>
      <w:r>
        <w:t xml:space="preserve">GB/T 5455 </w:t>
      </w:r>
      <w:r>
        <w:t>纺织品</w:t>
      </w:r>
      <w:r>
        <w:t xml:space="preserve"> </w:t>
      </w:r>
      <w:r>
        <w:t>燃烧性能试验</w:t>
      </w:r>
      <w:r>
        <w:t xml:space="preserve"> </w:t>
      </w:r>
      <w:r>
        <w:t>垂直法</w:t>
      </w:r>
      <w:r>
        <w:t xml:space="preserve">GB/T 7019—1997 </w:t>
      </w:r>
      <w:r>
        <w:t>纤维水泥制品试验方法</w:t>
      </w:r>
      <w:r>
        <w:t xml:space="preserve"> </w:t>
      </w:r>
    </w:p>
    <w:p w14:paraId="664CA91C" w14:textId="77777777" w:rsidR="00A71EEF" w:rsidRDefault="0081115D">
      <w:pPr>
        <w:pStyle w:val="a3"/>
        <w:spacing w:line="446" w:lineRule="auto"/>
        <w:ind w:left="838" w:right="4446"/>
      </w:pPr>
      <w:r>
        <w:t xml:space="preserve">GB/T 8333 </w:t>
      </w:r>
      <w:r>
        <w:t>硬质泡沫塑料燃烧性能试验方法</w:t>
      </w:r>
      <w:r>
        <w:t xml:space="preserve"> </w:t>
      </w:r>
      <w:r>
        <w:t>垂直燃烧法</w:t>
      </w:r>
      <w:r>
        <w:t xml:space="preserve">GB/T 9978.1 </w:t>
      </w:r>
      <w:r>
        <w:t>建筑构件耐火试验方法</w:t>
      </w:r>
      <w:r>
        <w:t xml:space="preserve"> </w:t>
      </w:r>
      <w:r>
        <w:t>第</w:t>
      </w:r>
      <w:r>
        <w:t xml:space="preserve"> 1 </w:t>
      </w:r>
      <w:r>
        <w:t>部分</w:t>
      </w:r>
      <w:r>
        <w:t>:</w:t>
      </w:r>
      <w:r>
        <w:t>通用要求</w:t>
      </w:r>
      <w:r>
        <w:t xml:space="preserve">GA 304—2001 </w:t>
      </w:r>
      <w:r>
        <w:t>硬聚氯乙烯建筑排水管道阻火圈</w:t>
      </w:r>
      <w:r>
        <w:t xml:space="preserve"> </w:t>
      </w:r>
    </w:p>
    <w:p w14:paraId="26008AA3" w14:textId="77777777" w:rsidR="00A71EEF" w:rsidRDefault="0081115D">
      <w:pPr>
        <w:pStyle w:val="4"/>
        <w:spacing w:line="277" w:lineRule="exact"/>
      </w:pPr>
      <w:r>
        <w:t xml:space="preserve">3 </w:t>
      </w:r>
      <w:r>
        <w:t>术语和定义</w:t>
      </w:r>
      <w:r>
        <w:rPr>
          <w:w w:val="99"/>
        </w:rPr>
        <w:t xml:space="preserve"> </w:t>
      </w:r>
    </w:p>
    <w:p w14:paraId="7DD36587" w14:textId="77777777" w:rsidR="00A71EEF" w:rsidRDefault="00A71EEF">
      <w:pPr>
        <w:pStyle w:val="a3"/>
        <w:spacing w:before="1"/>
        <w:rPr>
          <w:b/>
          <w:sz w:val="17"/>
        </w:rPr>
      </w:pPr>
    </w:p>
    <w:p w14:paraId="31EAF5D6" w14:textId="77777777" w:rsidR="00A71EEF" w:rsidRDefault="0081115D">
      <w:pPr>
        <w:pStyle w:val="a3"/>
        <w:ind w:left="838"/>
      </w:pPr>
      <w:r>
        <w:t>下列术语和定义适用于本标准</w:t>
      </w:r>
      <w:r>
        <w:t xml:space="preserve"> </w:t>
      </w:r>
    </w:p>
    <w:p w14:paraId="1DE5EE15" w14:textId="77777777" w:rsidR="00A71EEF" w:rsidRDefault="00A71EEF">
      <w:pPr>
        <w:pStyle w:val="a3"/>
        <w:spacing w:before="12"/>
        <w:rPr>
          <w:sz w:val="17"/>
        </w:rPr>
      </w:pPr>
    </w:p>
    <w:p w14:paraId="18EB5F38" w14:textId="77777777" w:rsidR="00A71EEF" w:rsidRDefault="0081115D">
      <w:pPr>
        <w:pStyle w:val="a4"/>
        <w:numPr>
          <w:ilvl w:val="0"/>
          <w:numId w:val="685"/>
        </w:numPr>
        <w:tabs>
          <w:tab w:val="left" w:pos="1053"/>
        </w:tabs>
        <w:ind w:left="1052"/>
        <w:rPr>
          <w:b/>
          <w:sz w:val="19"/>
        </w:rPr>
      </w:pPr>
      <w:r>
        <w:rPr>
          <w:b/>
          <w:sz w:val="21"/>
        </w:rPr>
        <w:t>1</w:t>
      </w:r>
      <w:r>
        <w:rPr>
          <w:b/>
          <w:spacing w:val="-51"/>
          <w:sz w:val="21"/>
        </w:rPr>
        <w:t xml:space="preserve"> </w:t>
      </w:r>
      <w:r>
        <w:rPr>
          <w:spacing w:val="-3"/>
          <w:sz w:val="21"/>
        </w:rPr>
        <w:t>防火封堵材料</w:t>
      </w:r>
      <w:r>
        <w:rPr>
          <w:spacing w:val="-3"/>
          <w:sz w:val="21"/>
        </w:rPr>
        <w:t xml:space="preserve"> </w:t>
      </w:r>
      <w:r>
        <w:rPr>
          <w:sz w:val="21"/>
        </w:rPr>
        <w:t>firestop</w:t>
      </w:r>
      <w:r>
        <w:rPr>
          <w:spacing w:val="1"/>
          <w:sz w:val="21"/>
        </w:rPr>
        <w:t xml:space="preserve"> </w:t>
      </w:r>
      <w:r>
        <w:rPr>
          <w:sz w:val="21"/>
        </w:rPr>
        <w:t>material</w:t>
      </w:r>
      <w:r>
        <w:rPr>
          <w:b/>
          <w:w w:val="99"/>
          <w:sz w:val="21"/>
        </w:rPr>
        <w:t xml:space="preserve"> </w:t>
      </w:r>
    </w:p>
    <w:p w14:paraId="18B094AE" w14:textId="77777777" w:rsidR="00A71EEF" w:rsidRDefault="00A71EEF">
      <w:pPr>
        <w:pStyle w:val="a3"/>
        <w:spacing w:before="2"/>
        <w:rPr>
          <w:b/>
          <w:sz w:val="18"/>
        </w:rPr>
      </w:pPr>
    </w:p>
    <w:p w14:paraId="49448691" w14:textId="77777777" w:rsidR="00A71EEF" w:rsidRDefault="0081115D">
      <w:pPr>
        <w:pStyle w:val="a3"/>
        <w:spacing w:line="446" w:lineRule="auto"/>
        <w:ind w:left="418" w:right="1609" w:firstLine="419"/>
      </w:pPr>
      <w:r>
        <w:t>具有防火、防烟功能，用于密封或填塞建筑物、构筑物以及各类设施中的贯穿孔洞、环形缝隙及建筑缝隙，便于更换且符合有关性能要求的材料。</w:t>
      </w:r>
      <w:r>
        <w:t xml:space="preserve"> </w:t>
      </w:r>
    </w:p>
    <w:p w14:paraId="64EB3AB8" w14:textId="77777777" w:rsidR="00A71EEF" w:rsidRDefault="0081115D">
      <w:pPr>
        <w:pStyle w:val="a4"/>
        <w:numPr>
          <w:ilvl w:val="1"/>
          <w:numId w:val="520"/>
        </w:numPr>
        <w:tabs>
          <w:tab w:val="left" w:pos="1213"/>
        </w:tabs>
        <w:spacing w:line="267" w:lineRule="exact"/>
        <w:ind w:hanging="373"/>
        <w:rPr>
          <w:sz w:val="21"/>
        </w:rPr>
      </w:pPr>
      <w:r>
        <w:rPr>
          <w:spacing w:val="-3"/>
          <w:sz w:val="21"/>
        </w:rPr>
        <w:t>防火封堵组件</w:t>
      </w:r>
      <w:r>
        <w:rPr>
          <w:spacing w:val="-3"/>
          <w:sz w:val="21"/>
        </w:rPr>
        <w:t xml:space="preserve"> </w:t>
      </w:r>
      <w:r>
        <w:rPr>
          <w:sz w:val="21"/>
        </w:rPr>
        <w:t>firestop</w:t>
      </w:r>
      <w:r>
        <w:rPr>
          <w:spacing w:val="1"/>
          <w:sz w:val="21"/>
        </w:rPr>
        <w:t xml:space="preserve"> </w:t>
      </w:r>
      <w:r>
        <w:rPr>
          <w:sz w:val="21"/>
        </w:rPr>
        <w:t xml:space="preserve">subassembly </w:t>
      </w:r>
    </w:p>
    <w:p w14:paraId="2F38A114" w14:textId="77777777" w:rsidR="00A71EEF" w:rsidRDefault="00A71EEF">
      <w:pPr>
        <w:spacing w:line="267" w:lineRule="exact"/>
        <w:rPr>
          <w:sz w:val="21"/>
        </w:rPr>
        <w:sectPr w:rsidR="00A71EEF">
          <w:pgSz w:w="11910" w:h="16850"/>
          <w:pgMar w:top="1600" w:right="0" w:bottom="1420" w:left="1260" w:header="0" w:footer="1239" w:gutter="0"/>
          <w:cols w:space="720"/>
        </w:sectPr>
      </w:pPr>
    </w:p>
    <w:p w14:paraId="2A8835E3" w14:textId="77777777" w:rsidR="00A71EEF" w:rsidRDefault="0081115D">
      <w:pPr>
        <w:pStyle w:val="a3"/>
        <w:spacing w:before="47" w:line="446" w:lineRule="auto"/>
        <w:ind w:left="418" w:right="1609" w:firstLine="419"/>
      </w:pPr>
      <w:r>
        <w:t>由多种防火封堵材料以及耐火隔热材料共同构成的用以维持结构耐火性能，且便于更换的组合系统。</w:t>
      </w:r>
      <w:r>
        <w:t xml:space="preserve"> </w:t>
      </w:r>
    </w:p>
    <w:p w14:paraId="46881317" w14:textId="77777777" w:rsidR="00A71EEF" w:rsidRDefault="0081115D">
      <w:pPr>
        <w:pStyle w:val="a4"/>
        <w:numPr>
          <w:ilvl w:val="1"/>
          <w:numId w:val="520"/>
        </w:numPr>
        <w:tabs>
          <w:tab w:val="left" w:pos="1213"/>
        </w:tabs>
        <w:spacing w:line="267" w:lineRule="exact"/>
        <w:ind w:hanging="373"/>
        <w:rPr>
          <w:sz w:val="21"/>
        </w:rPr>
      </w:pPr>
      <w:r>
        <w:rPr>
          <w:spacing w:val="-3"/>
          <w:sz w:val="21"/>
        </w:rPr>
        <w:t>移动缝隙</w:t>
      </w:r>
      <w:r>
        <w:rPr>
          <w:spacing w:val="-3"/>
          <w:sz w:val="21"/>
        </w:rPr>
        <w:t xml:space="preserve"> </w:t>
      </w:r>
      <w:r>
        <w:rPr>
          <w:sz w:val="21"/>
        </w:rPr>
        <w:t>moveable</w:t>
      </w:r>
      <w:r>
        <w:rPr>
          <w:spacing w:val="1"/>
          <w:sz w:val="21"/>
        </w:rPr>
        <w:t xml:space="preserve"> </w:t>
      </w:r>
      <w:r>
        <w:rPr>
          <w:sz w:val="21"/>
        </w:rPr>
        <w:t xml:space="preserve">joint </w:t>
      </w:r>
    </w:p>
    <w:p w14:paraId="6D513A16" w14:textId="77777777" w:rsidR="00A71EEF" w:rsidRDefault="00A71EEF">
      <w:pPr>
        <w:pStyle w:val="a3"/>
        <w:spacing w:before="2"/>
        <w:rPr>
          <w:sz w:val="18"/>
        </w:rPr>
      </w:pPr>
    </w:p>
    <w:p w14:paraId="602E4AF0" w14:textId="77777777" w:rsidR="00A71EEF" w:rsidRDefault="0081115D">
      <w:pPr>
        <w:pStyle w:val="a3"/>
        <w:ind w:left="838"/>
      </w:pPr>
      <w:r>
        <w:t>受热后由于变形而可能使其宽度或位置发生变化的缝隙。</w:t>
      </w:r>
      <w:r>
        <w:t xml:space="preserve"> </w:t>
      </w:r>
    </w:p>
    <w:p w14:paraId="6AFDB738" w14:textId="77777777" w:rsidR="00A71EEF" w:rsidRDefault="00A71EEF">
      <w:pPr>
        <w:pStyle w:val="a3"/>
        <w:spacing w:before="8"/>
        <w:rPr>
          <w:sz w:val="15"/>
        </w:rPr>
      </w:pPr>
    </w:p>
    <w:p w14:paraId="226ADDFA" w14:textId="77777777" w:rsidR="00A71EEF" w:rsidRDefault="0081115D">
      <w:pPr>
        <w:pStyle w:val="4"/>
      </w:pPr>
      <w:r>
        <w:t xml:space="preserve">4 </w:t>
      </w:r>
      <w:r>
        <w:t>分类与标记</w:t>
      </w:r>
      <w:r>
        <w:rPr>
          <w:w w:val="99"/>
        </w:rPr>
        <w:t xml:space="preserve"> </w:t>
      </w:r>
    </w:p>
    <w:p w14:paraId="78D27265" w14:textId="77777777" w:rsidR="00A71EEF" w:rsidRDefault="00A71EEF">
      <w:pPr>
        <w:pStyle w:val="a3"/>
        <w:spacing w:before="4"/>
        <w:rPr>
          <w:b/>
          <w:sz w:val="17"/>
        </w:rPr>
      </w:pPr>
    </w:p>
    <w:p w14:paraId="3C7B7DD5" w14:textId="77777777" w:rsidR="00A71EEF" w:rsidRDefault="0081115D">
      <w:pPr>
        <w:pStyle w:val="a4"/>
        <w:numPr>
          <w:ilvl w:val="1"/>
          <w:numId w:val="519"/>
        </w:numPr>
        <w:tabs>
          <w:tab w:val="left" w:pos="1159"/>
        </w:tabs>
        <w:ind w:hanging="319"/>
        <w:rPr>
          <w:b/>
          <w:sz w:val="21"/>
        </w:rPr>
      </w:pPr>
      <w:r>
        <w:rPr>
          <w:spacing w:val="-3"/>
          <w:sz w:val="21"/>
        </w:rPr>
        <w:t>分类</w:t>
      </w:r>
      <w:r>
        <w:rPr>
          <w:b/>
          <w:w w:val="99"/>
          <w:sz w:val="21"/>
        </w:rPr>
        <w:t xml:space="preserve"> </w:t>
      </w:r>
    </w:p>
    <w:p w14:paraId="68973901" w14:textId="77777777" w:rsidR="00A71EEF" w:rsidRDefault="00A71EEF">
      <w:pPr>
        <w:pStyle w:val="a3"/>
        <w:spacing w:before="2"/>
        <w:rPr>
          <w:b/>
          <w:sz w:val="18"/>
        </w:rPr>
      </w:pPr>
    </w:p>
    <w:p w14:paraId="0C72D965" w14:textId="77777777" w:rsidR="00A71EEF" w:rsidRDefault="0081115D">
      <w:pPr>
        <w:pStyle w:val="a4"/>
        <w:numPr>
          <w:ilvl w:val="2"/>
          <w:numId w:val="519"/>
        </w:numPr>
        <w:tabs>
          <w:tab w:val="left" w:pos="1371"/>
        </w:tabs>
        <w:spacing w:line="446" w:lineRule="auto"/>
        <w:ind w:right="1500" w:firstLine="422"/>
        <w:rPr>
          <w:sz w:val="21"/>
        </w:rPr>
      </w:pPr>
      <w:r>
        <w:rPr>
          <w:spacing w:val="-3"/>
          <w:sz w:val="21"/>
        </w:rPr>
        <w:t>防火封堵材料按用途可分为</w:t>
      </w:r>
      <w:r>
        <w:rPr>
          <w:spacing w:val="-3"/>
          <w:sz w:val="21"/>
        </w:rPr>
        <w:t>:</w:t>
      </w:r>
      <w:r>
        <w:rPr>
          <w:spacing w:val="-3"/>
          <w:sz w:val="21"/>
        </w:rPr>
        <w:t>孔洞用防火封堵材料、缝隙用防火封堵材料、塑料管道用防火封堵材料三个大类：</w:t>
      </w:r>
      <w:r>
        <w:rPr>
          <w:spacing w:val="-3"/>
          <w:sz w:val="21"/>
        </w:rPr>
        <w:t xml:space="preserve"> </w:t>
      </w:r>
    </w:p>
    <w:p w14:paraId="2D0ABF19" w14:textId="77777777" w:rsidR="00A71EEF" w:rsidRDefault="0081115D">
      <w:pPr>
        <w:pStyle w:val="a3"/>
        <w:spacing w:line="446" w:lineRule="auto"/>
        <w:ind w:left="418" w:right="1609" w:firstLine="419"/>
      </w:pPr>
      <w:r>
        <w:t>——</w:t>
      </w:r>
      <w:r>
        <w:t>孔洞用防火封堵材料是指用于贯穿性结构孔洞的密封和封堵，以保持结构整体耐火性能的防火封堵材料</w:t>
      </w:r>
      <w:r>
        <w:t xml:space="preserve">; </w:t>
      </w:r>
    </w:p>
    <w:p w14:paraId="1051FFE5" w14:textId="77777777" w:rsidR="00A71EEF" w:rsidRDefault="0081115D">
      <w:pPr>
        <w:pStyle w:val="a3"/>
        <w:ind w:left="838"/>
      </w:pPr>
      <w:r>
        <w:t>——</w:t>
      </w:r>
      <w:r>
        <w:t>缝隙用防火封堵材料是指用于防火分隔构件之间或防火分隔构件与其他构件之间</w:t>
      </w:r>
    </w:p>
    <w:p w14:paraId="34D2B78E" w14:textId="77777777" w:rsidR="00A71EEF" w:rsidRDefault="00A71EEF">
      <w:pPr>
        <w:pStyle w:val="a3"/>
        <w:spacing w:before="10"/>
        <w:rPr>
          <w:sz w:val="17"/>
        </w:rPr>
      </w:pPr>
    </w:p>
    <w:p w14:paraId="12D88161" w14:textId="77777777" w:rsidR="00A71EEF" w:rsidRDefault="0081115D">
      <w:pPr>
        <w:pStyle w:val="a3"/>
        <w:spacing w:line="446" w:lineRule="auto"/>
        <w:ind w:left="418" w:right="1608"/>
      </w:pPr>
      <w:r>
        <w:t>（如：伸缩缝、沉降缝、抗震缝和构造缝隙等）缝隙的密封和封堵，以保持结构整体耐火性能的防火封堵材料。</w:t>
      </w:r>
      <w:r>
        <w:t xml:space="preserve">  </w:t>
      </w:r>
      <w:r>
        <w:t xml:space="preserve"> </w:t>
      </w:r>
    </w:p>
    <w:p w14:paraId="16E821F5" w14:textId="77777777" w:rsidR="00A71EEF" w:rsidRDefault="0081115D">
      <w:pPr>
        <w:pStyle w:val="a3"/>
        <w:spacing w:before="1" w:line="446" w:lineRule="auto"/>
        <w:ind w:left="418" w:right="1608" w:firstLine="419"/>
      </w:pPr>
      <w:r>
        <w:t>——</w:t>
      </w:r>
      <w:r>
        <w:t>塑料管道用防火封堵材料是指用于塑料管道穿过墙面、楼地板等孔洞时，用以保持结构整体耐火性能所使用的防火封堵材料及制品。</w:t>
      </w:r>
      <w:r>
        <w:t xml:space="preserve"> </w:t>
      </w:r>
    </w:p>
    <w:p w14:paraId="626B84ED" w14:textId="77777777" w:rsidR="00A71EEF" w:rsidRDefault="0081115D">
      <w:pPr>
        <w:pStyle w:val="a4"/>
        <w:numPr>
          <w:ilvl w:val="2"/>
          <w:numId w:val="519"/>
        </w:numPr>
        <w:tabs>
          <w:tab w:val="left" w:pos="1371"/>
        </w:tabs>
        <w:ind w:left="1370"/>
        <w:rPr>
          <w:sz w:val="21"/>
        </w:rPr>
      </w:pPr>
      <w:r>
        <w:rPr>
          <w:spacing w:val="-3"/>
          <w:sz w:val="21"/>
        </w:rPr>
        <w:t>防</w:t>
      </w:r>
      <w:r>
        <w:rPr>
          <w:spacing w:val="-3"/>
          <w:sz w:val="21"/>
        </w:rPr>
        <w:t>火封堵材料按产品的组成和形状特征可分为下列类型：</w:t>
      </w:r>
      <w:r>
        <w:rPr>
          <w:sz w:val="21"/>
        </w:rPr>
        <w:t xml:space="preserve"> </w:t>
      </w:r>
    </w:p>
    <w:p w14:paraId="51D75888" w14:textId="77777777" w:rsidR="00A71EEF" w:rsidRDefault="00A71EEF">
      <w:pPr>
        <w:pStyle w:val="a3"/>
        <w:spacing w:before="12"/>
        <w:rPr>
          <w:sz w:val="17"/>
        </w:rPr>
      </w:pPr>
    </w:p>
    <w:p w14:paraId="4D6C2A7A" w14:textId="77777777" w:rsidR="00A71EEF" w:rsidRDefault="0081115D">
      <w:pPr>
        <w:pStyle w:val="a3"/>
        <w:spacing w:line="446" w:lineRule="auto"/>
        <w:ind w:left="418" w:right="1609" w:firstLine="419"/>
      </w:pPr>
      <w:r>
        <w:rPr>
          <w:spacing w:val="-3"/>
        </w:rPr>
        <w:t>——</w:t>
      </w:r>
      <w:r>
        <w:rPr>
          <w:spacing w:val="-3"/>
        </w:rPr>
        <w:t>柔性有机堵料：以有机材料为粘接剂，使用时具有一定柔韧性或可塑性，产品为胶泥状物体；</w:t>
      </w:r>
      <w:r>
        <w:rPr>
          <w:spacing w:val="-3"/>
        </w:rPr>
        <w:t xml:space="preserve"> </w:t>
      </w:r>
      <w:r>
        <w:t xml:space="preserve"> </w:t>
      </w:r>
    </w:p>
    <w:p w14:paraId="49A678B0" w14:textId="77777777" w:rsidR="00A71EEF" w:rsidRDefault="0081115D">
      <w:pPr>
        <w:pStyle w:val="a3"/>
        <w:spacing w:line="446" w:lineRule="auto"/>
        <w:ind w:left="418" w:right="1609" w:firstLine="419"/>
      </w:pPr>
      <w:r>
        <w:rPr>
          <w:spacing w:val="-3"/>
        </w:rPr>
        <w:t>——</w:t>
      </w:r>
      <w:r>
        <w:rPr>
          <w:spacing w:val="-3"/>
        </w:rPr>
        <w:t>无机堵料：以无机材料为主要成分的粉末状固体，与外加剂调和使用时，具有适当的和易性；</w:t>
      </w:r>
      <w:r>
        <w:t xml:space="preserve"> </w:t>
      </w:r>
    </w:p>
    <w:p w14:paraId="1270E722" w14:textId="77777777" w:rsidR="00A71EEF" w:rsidRDefault="0081115D">
      <w:pPr>
        <w:pStyle w:val="a3"/>
        <w:spacing w:line="446" w:lineRule="auto"/>
        <w:ind w:left="418" w:right="1609" w:firstLine="419"/>
      </w:pPr>
      <w:r>
        <w:t xml:space="preserve"> </w:t>
      </w:r>
      <w:r>
        <w:t>——</w:t>
      </w:r>
      <w:r>
        <w:t>阻火包</w:t>
      </w:r>
      <w:r>
        <w:t>:</w:t>
      </w:r>
      <w:r>
        <w:t>将防火材料包装制成的包状物体，适用于较大孔洞的防火封堵或电缆桥架的防火分隔</w:t>
      </w:r>
      <w:r>
        <w:t xml:space="preserve"> (</w:t>
      </w:r>
      <w:r>
        <w:t>阻火包亦称耐火包或防火包）；</w:t>
      </w:r>
      <w:r>
        <w:t xml:space="preserve"> </w:t>
      </w:r>
    </w:p>
    <w:p w14:paraId="105FCC1C" w14:textId="77777777" w:rsidR="00A71EEF" w:rsidRDefault="0081115D">
      <w:pPr>
        <w:pStyle w:val="a3"/>
        <w:spacing w:line="446" w:lineRule="auto"/>
        <w:ind w:left="418" w:right="1609" w:firstLine="419"/>
      </w:pPr>
      <w:r>
        <w:t>——</w:t>
      </w:r>
      <w:r>
        <w:t>阻火模块：用防火材料制成的具有一定形状和尺寸规格的固体，可以方便地切割和钻孔，适用</w:t>
      </w:r>
      <w:r>
        <w:t xml:space="preserve"> </w:t>
      </w:r>
      <w:r>
        <w:t>于孔洞或电缆桥架的防火封堵；</w:t>
      </w:r>
      <w:r>
        <w:t xml:space="preserve"> </w:t>
      </w:r>
    </w:p>
    <w:p w14:paraId="46260FF5" w14:textId="77777777" w:rsidR="00A71EEF" w:rsidRDefault="0081115D">
      <w:pPr>
        <w:pStyle w:val="a3"/>
        <w:spacing w:line="446" w:lineRule="auto"/>
        <w:ind w:left="418" w:right="1609" w:firstLine="419"/>
      </w:pPr>
      <w:r>
        <w:t>——</w:t>
      </w:r>
      <w:r>
        <w:t>防火封堵板材：用防火材料制成的板材，可方便地切割和钻孔，适用于大型孔洞的防火封堵；</w:t>
      </w:r>
      <w:r>
        <w:t xml:space="preserve"> </w:t>
      </w:r>
    </w:p>
    <w:p w14:paraId="3D3F1647" w14:textId="77777777" w:rsidR="00A71EEF" w:rsidRDefault="0081115D">
      <w:pPr>
        <w:pStyle w:val="a3"/>
        <w:spacing w:line="267" w:lineRule="exact"/>
        <w:ind w:left="838"/>
      </w:pPr>
      <w:r>
        <w:t>——</w:t>
      </w:r>
      <w:r>
        <w:t>泡沫封堵材料：注人孔洞后可以自行膨胀发泡并使孔洞密封的防火材料；</w:t>
      </w:r>
      <w:r>
        <w:t xml:space="preserve"> </w:t>
      </w:r>
    </w:p>
    <w:p w14:paraId="38466754" w14:textId="77777777" w:rsidR="00A71EEF" w:rsidRDefault="00A71EEF">
      <w:pPr>
        <w:pStyle w:val="a3"/>
        <w:spacing w:before="12"/>
        <w:rPr>
          <w:sz w:val="17"/>
        </w:rPr>
      </w:pPr>
    </w:p>
    <w:p w14:paraId="7FF6CA91" w14:textId="77777777" w:rsidR="00A71EEF" w:rsidRDefault="0081115D">
      <w:pPr>
        <w:pStyle w:val="a3"/>
        <w:ind w:left="838"/>
      </w:pPr>
      <w:r>
        <w:t>——</w:t>
      </w:r>
      <w:r>
        <w:t>缝隙封堵材料</w:t>
      </w:r>
      <w:r>
        <w:t>:</w:t>
      </w:r>
      <w:r>
        <w:t>置于缝隙内，用于封堵固定或移动缝隙的固体防火材料；</w:t>
      </w:r>
      <w:r>
        <w:t xml:space="preserve"> </w:t>
      </w:r>
    </w:p>
    <w:p w14:paraId="39C620B3" w14:textId="77777777" w:rsidR="00A71EEF" w:rsidRDefault="00A71EEF">
      <w:pPr>
        <w:sectPr w:rsidR="00A71EEF">
          <w:pgSz w:w="11910" w:h="16850"/>
          <w:pgMar w:top="1220" w:right="0" w:bottom="1420" w:left="1260" w:header="0" w:footer="1239" w:gutter="0"/>
          <w:cols w:space="720"/>
        </w:sectPr>
      </w:pPr>
    </w:p>
    <w:p w14:paraId="00E14EF8" w14:textId="77777777" w:rsidR="00A71EEF" w:rsidRDefault="0081115D">
      <w:pPr>
        <w:pStyle w:val="a3"/>
        <w:spacing w:before="47"/>
        <w:ind w:left="838"/>
      </w:pPr>
      <w:r>
        <w:t>——</w:t>
      </w:r>
      <w:r>
        <w:t>防火密封胶</w:t>
      </w:r>
      <w:r>
        <w:t>:</w:t>
      </w:r>
      <w:r>
        <w:t>具有防火密封功能的液态防火材料；</w:t>
      </w:r>
      <w:r>
        <w:t xml:space="preserve"> </w:t>
      </w:r>
    </w:p>
    <w:p w14:paraId="5E9F2EB3" w14:textId="77777777" w:rsidR="00A71EEF" w:rsidRDefault="00A71EEF">
      <w:pPr>
        <w:pStyle w:val="a3"/>
        <w:rPr>
          <w:sz w:val="18"/>
        </w:rPr>
      </w:pPr>
    </w:p>
    <w:p w14:paraId="1BCF621F" w14:textId="77777777" w:rsidR="00A71EEF" w:rsidRDefault="0081115D">
      <w:pPr>
        <w:pStyle w:val="a3"/>
        <w:spacing w:line="446" w:lineRule="auto"/>
        <w:ind w:left="418" w:right="1506" w:firstLine="419"/>
      </w:pPr>
      <w:r>
        <w:rPr>
          <w:spacing w:val="-3"/>
        </w:rPr>
        <w:t>——</w:t>
      </w:r>
      <w:r>
        <w:rPr>
          <w:spacing w:val="-3"/>
        </w:rPr>
        <w:t>阻火包带</w:t>
      </w:r>
      <w:r>
        <w:rPr>
          <w:spacing w:val="-3"/>
        </w:rPr>
        <w:t>:</w:t>
      </w:r>
      <w:r>
        <w:rPr>
          <w:spacing w:val="-3"/>
        </w:rPr>
        <w:t>用防火材料制成的柔性可缠绕卷曲的带状产品，缠绕在塑料</w:t>
      </w:r>
      <w:r>
        <w:rPr>
          <w:spacing w:val="-3"/>
        </w:rPr>
        <w:t>管道外表面，并用钢带包覆或其他适当方式固定，遇火后膨账挤压软化的管道，封堵塑料管道因燃烧或软化而留下的孔洞。</w:t>
      </w:r>
      <w:r>
        <w:t xml:space="preserve"> </w:t>
      </w:r>
    </w:p>
    <w:p w14:paraId="7DF3FD13" w14:textId="77777777" w:rsidR="00A71EEF" w:rsidRDefault="0081115D">
      <w:pPr>
        <w:pStyle w:val="a4"/>
        <w:numPr>
          <w:ilvl w:val="1"/>
          <w:numId w:val="519"/>
        </w:numPr>
        <w:tabs>
          <w:tab w:val="left" w:pos="1159"/>
        </w:tabs>
        <w:spacing w:line="268" w:lineRule="exact"/>
        <w:ind w:hanging="319"/>
        <w:rPr>
          <w:b/>
          <w:sz w:val="21"/>
        </w:rPr>
      </w:pPr>
      <w:r>
        <w:rPr>
          <w:spacing w:val="-3"/>
          <w:sz w:val="21"/>
        </w:rPr>
        <w:t>标记</w:t>
      </w:r>
      <w:r>
        <w:rPr>
          <w:b/>
          <w:w w:val="99"/>
          <w:sz w:val="21"/>
        </w:rPr>
        <w:t xml:space="preserve"> </w:t>
      </w:r>
    </w:p>
    <w:p w14:paraId="1440BC7D" w14:textId="77777777" w:rsidR="00A71EEF" w:rsidRDefault="00A71EEF">
      <w:pPr>
        <w:pStyle w:val="a3"/>
        <w:rPr>
          <w:b/>
          <w:sz w:val="18"/>
        </w:rPr>
      </w:pPr>
    </w:p>
    <w:p w14:paraId="128BC12F" w14:textId="77777777" w:rsidR="00A71EEF" w:rsidRDefault="0081115D">
      <w:pPr>
        <w:pStyle w:val="a3"/>
        <w:tabs>
          <w:tab w:val="left" w:leader="dot" w:pos="3149"/>
        </w:tabs>
        <w:spacing w:line="446" w:lineRule="auto"/>
        <w:ind w:left="838" w:right="5394"/>
      </w:pPr>
      <w:r>
        <w:t>各类</w:t>
      </w:r>
      <w:r>
        <w:rPr>
          <w:spacing w:val="-3"/>
        </w:rPr>
        <w:t>防</w:t>
      </w:r>
      <w:r>
        <w:t>火</w:t>
      </w:r>
      <w:r>
        <w:rPr>
          <w:spacing w:val="-3"/>
        </w:rPr>
        <w:t>封</w:t>
      </w:r>
      <w:r>
        <w:t>堵</w:t>
      </w:r>
      <w:r>
        <w:rPr>
          <w:spacing w:val="-3"/>
        </w:rPr>
        <w:t>材</w:t>
      </w:r>
      <w:r>
        <w:t>料</w:t>
      </w:r>
      <w:r>
        <w:rPr>
          <w:spacing w:val="-3"/>
        </w:rPr>
        <w:t>的</w:t>
      </w:r>
      <w:r>
        <w:t>名</w:t>
      </w:r>
      <w:r>
        <w:rPr>
          <w:spacing w:val="-3"/>
        </w:rPr>
        <w:t>称</w:t>
      </w:r>
      <w:r>
        <w:t>与代</w:t>
      </w:r>
      <w:r>
        <w:rPr>
          <w:spacing w:val="-3"/>
        </w:rPr>
        <w:t>号</w:t>
      </w:r>
      <w:r>
        <w:t>对</w:t>
      </w:r>
      <w:r>
        <w:rPr>
          <w:spacing w:val="-3"/>
        </w:rPr>
        <w:t>应</w:t>
      </w:r>
      <w:r>
        <w:t>关</w:t>
      </w:r>
      <w:r>
        <w:rPr>
          <w:spacing w:val="-3"/>
        </w:rPr>
        <w:t>系</w:t>
      </w:r>
      <w:r>
        <w:t>如</w:t>
      </w:r>
      <w:r>
        <w:rPr>
          <w:spacing w:val="-3"/>
        </w:rPr>
        <w:t>下</w:t>
      </w:r>
      <w:r>
        <w:t xml:space="preserve">: </w:t>
      </w:r>
      <w:r>
        <w:t>柔性</w:t>
      </w:r>
      <w:r>
        <w:rPr>
          <w:spacing w:val="-3"/>
        </w:rPr>
        <w:t>有</w:t>
      </w:r>
      <w:r>
        <w:t>机</w:t>
      </w:r>
      <w:r>
        <w:rPr>
          <w:spacing w:val="-3"/>
        </w:rPr>
        <w:t>堵</w:t>
      </w:r>
      <w:r>
        <w:t>料</w:t>
      </w:r>
      <w:r>
        <w:tab/>
        <w:t>DR</w:t>
      </w:r>
      <w:r>
        <w:t>；</w:t>
      </w:r>
      <w:r>
        <w:t xml:space="preserve"> </w:t>
      </w:r>
    </w:p>
    <w:p w14:paraId="167EDD47" w14:textId="77777777" w:rsidR="00A71EEF" w:rsidRDefault="0081115D">
      <w:pPr>
        <w:pStyle w:val="a3"/>
        <w:tabs>
          <w:tab w:val="left" w:leader="dot" w:pos="3252"/>
        </w:tabs>
        <w:ind w:left="838"/>
      </w:pPr>
      <w:r>
        <w:t>无机</w:t>
      </w:r>
      <w:r>
        <w:rPr>
          <w:spacing w:val="-3"/>
        </w:rPr>
        <w:t>堵</w:t>
      </w:r>
      <w:r>
        <w:t>料</w:t>
      </w:r>
      <w:r>
        <w:tab/>
        <w:t>DW</w:t>
      </w:r>
      <w:r>
        <w:t>；</w:t>
      </w:r>
      <w:r>
        <w:t xml:space="preserve"> </w:t>
      </w:r>
    </w:p>
    <w:p w14:paraId="1BFB9EEC" w14:textId="77777777" w:rsidR="00A71EEF" w:rsidRDefault="00A71EEF">
      <w:pPr>
        <w:pStyle w:val="a3"/>
        <w:rPr>
          <w:sz w:val="18"/>
        </w:rPr>
      </w:pPr>
    </w:p>
    <w:p w14:paraId="1F0C8B12" w14:textId="77777777" w:rsidR="00A71EEF" w:rsidRDefault="0081115D">
      <w:pPr>
        <w:pStyle w:val="a3"/>
        <w:tabs>
          <w:tab w:val="left" w:leader="dot" w:pos="3463"/>
        </w:tabs>
        <w:ind w:left="838"/>
      </w:pPr>
      <w:r>
        <w:t>阻火包</w:t>
      </w:r>
      <w:r>
        <w:tab/>
        <w:t>DB</w:t>
      </w:r>
      <w:r>
        <w:t>；</w:t>
      </w:r>
      <w:r>
        <w:t xml:space="preserve"> </w:t>
      </w:r>
    </w:p>
    <w:p w14:paraId="3F3FE205" w14:textId="77777777" w:rsidR="00A71EEF" w:rsidRDefault="00A71EEF">
      <w:pPr>
        <w:pStyle w:val="a3"/>
        <w:spacing w:before="1"/>
        <w:rPr>
          <w:sz w:val="18"/>
        </w:rPr>
      </w:pPr>
    </w:p>
    <w:p w14:paraId="10CEA14D" w14:textId="77777777" w:rsidR="00A71EEF" w:rsidRDefault="0081115D">
      <w:pPr>
        <w:pStyle w:val="a3"/>
        <w:tabs>
          <w:tab w:val="left" w:leader="dot" w:pos="3358"/>
        </w:tabs>
        <w:spacing w:before="1"/>
        <w:ind w:left="838"/>
      </w:pPr>
      <w:r>
        <w:t>阻火</w:t>
      </w:r>
      <w:r>
        <w:rPr>
          <w:spacing w:val="-3"/>
        </w:rPr>
        <w:t>模</w:t>
      </w:r>
      <w:r>
        <w:t>块</w:t>
      </w:r>
      <w:r>
        <w:tab/>
        <w:t>DM</w:t>
      </w:r>
      <w:r>
        <w:t>；</w:t>
      </w:r>
      <w:r>
        <w:t xml:space="preserve"> </w:t>
      </w:r>
    </w:p>
    <w:p w14:paraId="620EC563" w14:textId="77777777" w:rsidR="00A71EEF" w:rsidRDefault="00A71EEF">
      <w:pPr>
        <w:pStyle w:val="a3"/>
        <w:spacing w:before="12"/>
        <w:rPr>
          <w:sz w:val="17"/>
        </w:rPr>
      </w:pPr>
    </w:p>
    <w:p w14:paraId="6BB74C91" w14:textId="77777777" w:rsidR="00A71EEF" w:rsidRDefault="0081115D">
      <w:pPr>
        <w:pStyle w:val="a3"/>
        <w:tabs>
          <w:tab w:val="left" w:leader="dot" w:pos="3149"/>
        </w:tabs>
        <w:ind w:left="838"/>
      </w:pPr>
      <w:r>
        <w:t>防火</w:t>
      </w:r>
      <w:r>
        <w:rPr>
          <w:spacing w:val="-3"/>
        </w:rPr>
        <w:t>封</w:t>
      </w:r>
      <w:r>
        <w:t>堵</w:t>
      </w:r>
      <w:r>
        <w:rPr>
          <w:spacing w:val="-3"/>
        </w:rPr>
        <w:t>板</w:t>
      </w:r>
      <w:r>
        <w:t>材</w:t>
      </w:r>
      <w:r>
        <w:tab/>
        <w:t>DC</w:t>
      </w:r>
      <w:r>
        <w:t>；</w:t>
      </w:r>
      <w:r>
        <w:t xml:space="preserve"> </w:t>
      </w:r>
    </w:p>
    <w:p w14:paraId="72013C33" w14:textId="77777777" w:rsidR="00A71EEF" w:rsidRDefault="00A71EEF">
      <w:pPr>
        <w:pStyle w:val="a3"/>
        <w:spacing w:before="12"/>
        <w:rPr>
          <w:sz w:val="17"/>
        </w:rPr>
      </w:pPr>
    </w:p>
    <w:p w14:paraId="346F7587" w14:textId="77777777" w:rsidR="00A71EEF" w:rsidRDefault="0081115D">
      <w:pPr>
        <w:pStyle w:val="a3"/>
        <w:tabs>
          <w:tab w:val="left" w:leader="dot" w:pos="3149"/>
        </w:tabs>
        <w:ind w:left="838"/>
      </w:pPr>
      <w:r>
        <w:t>泡沫</w:t>
      </w:r>
      <w:r>
        <w:rPr>
          <w:spacing w:val="-3"/>
        </w:rPr>
        <w:t>封</w:t>
      </w:r>
      <w:r>
        <w:t>堵</w:t>
      </w:r>
      <w:r>
        <w:rPr>
          <w:spacing w:val="-3"/>
        </w:rPr>
        <w:t>材</w:t>
      </w:r>
      <w:r>
        <w:t>料</w:t>
      </w:r>
      <w:r>
        <w:tab/>
        <w:t>DP</w:t>
      </w:r>
      <w:r>
        <w:t>；</w:t>
      </w:r>
      <w:r>
        <w:t xml:space="preserve"> </w:t>
      </w:r>
    </w:p>
    <w:p w14:paraId="32FC7F68" w14:textId="77777777" w:rsidR="00A71EEF" w:rsidRDefault="00A71EEF">
      <w:pPr>
        <w:pStyle w:val="a3"/>
        <w:spacing w:before="2"/>
        <w:rPr>
          <w:sz w:val="18"/>
        </w:rPr>
      </w:pPr>
    </w:p>
    <w:p w14:paraId="1BB07793" w14:textId="77777777" w:rsidR="00A71EEF" w:rsidRDefault="0081115D">
      <w:pPr>
        <w:pStyle w:val="a3"/>
        <w:tabs>
          <w:tab w:val="left" w:leader="dot" w:pos="3149"/>
        </w:tabs>
        <w:ind w:left="838"/>
      </w:pPr>
      <w:r>
        <w:t>防火</w:t>
      </w:r>
      <w:r>
        <w:rPr>
          <w:spacing w:val="-3"/>
        </w:rPr>
        <w:t>密</w:t>
      </w:r>
      <w:r>
        <w:t>封胶</w:t>
      </w:r>
      <w:r>
        <w:tab/>
        <w:t>DJ</w:t>
      </w:r>
      <w:r>
        <w:t>；</w:t>
      </w:r>
      <w:r>
        <w:t xml:space="preserve"> </w:t>
      </w:r>
    </w:p>
    <w:p w14:paraId="5BE7FE1E" w14:textId="77777777" w:rsidR="00A71EEF" w:rsidRDefault="00A71EEF">
      <w:pPr>
        <w:pStyle w:val="a3"/>
        <w:rPr>
          <w:sz w:val="18"/>
        </w:rPr>
      </w:pPr>
    </w:p>
    <w:p w14:paraId="6E0CBC2F" w14:textId="77777777" w:rsidR="00A71EEF" w:rsidRDefault="0081115D">
      <w:pPr>
        <w:pStyle w:val="a3"/>
        <w:tabs>
          <w:tab w:val="left" w:leader="dot" w:pos="3046"/>
        </w:tabs>
        <w:ind w:left="838"/>
      </w:pPr>
      <w:r>
        <w:t>缝隙</w:t>
      </w:r>
      <w:r>
        <w:rPr>
          <w:spacing w:val="-3"/>
        </w:rPr>
        <w:t>封</w:t>
      </w:r>
      <w:r>
        <w:t>堵</w:t>
      </w:r>
      <w:r>
        <w:rPr>
          <w:spacing w:val="-3"/>
        </w:rPr>
        <w:t>材</w:t>
      </w:r>
      <w:r>
        <w:t>料</w:t>
      </w:r>
      <w:r>
        <w:tab/>
        <w:t>DF</w:t>
      </w:r>
      <w:r>
        <w:t>；</w:t>
      </w:r>
      <w:r>
        <w:t xml:space="preserve"> </w:t>
      </w:r>
    </w:p>
    <w:p w14:paraId="799C3781" w14:textId="77777777" w:rsidR="00A71EEF" w:rsidRDefault="00A71EEF">
      <w:pPr>
        <w:pStyle w:val="a3"/>
        <w:spacing w:before="12"/>
        <w:rPr>
          <w:sz w:val="17"/>
        </w:rPr>
      </w:pPr>
    </w:p>
    <w:p w14:paraId="790A475F" w14:textId="77777777" w:rsidR="00A71EEF" w:rsidRDefault="0081115D">
      <w:pPr>
        <w:pStyle w:val="a3"/>
        <w:tabs>
          <w:tab w:val="left" w:leader="dot" w:pos="3252"/>
        </w:tabs>
        <w:ind w:left="838"/>
      </w:pPr>
      <w:r>
        <w:t>阻火</w:t>
      </w:r>
      <w:r>
        <w:rPr>
          <w:spacing w:val="-3"/>
        </w:rPr>
        <w:t>包</w:t>
      </w:r>
      <w:r>
        <w:t>带</w:t>
      </w:r>
      <w:r>
        <w:tab/>
        <w:t>DT</w:t>
      </w:r>
      <w:r>
        <w:t>；</w:t>
      </w:r>
      <w:r>
        <w:t xml:space="preserve"> </w:t>
      </w:r>
    </w:p>
    <w:p w14:paraId="1A60FCED" w14:textId="77777777" w:rsidR="00A71EEF" w:rsidRDefault="00A71EEF">
      <w:pPr>
        <w:pStyle w:val="a3"/>
        <w:spacing w:before="2"/>
        <w:rPr>
          <w:sz w:val="18"/>
        </w:rPr>
      </w:pPr>
    </w:p>
    <w:p w14:paraId="15D3DBDA" w14:textId="77777777" w:rsidR="00A71EEF" w:rsidRDefault="0081115D">
      <w:pPr>
        <w:pStyle w:val="a3"/>
        <w:ind w:left="838"/>
      </w:pPr>
      <w:r>
        <w:t>标记顺序为：防火封堵材料代号一耐火性能级别代号一企业的产品型号。</w:t>
      </w:r>
      <w:r>
        <w:t xml:space="preserve"> </w:t>
      </w:r>
    </w:p>
    <w:p w14:paraId="7BA6062B" w14:textId="77777777" w:rsidR="00A71EEF" w:rsidRDefault="00A71EEF">
      <w:pPr>
        <w:pStyle w:val="a3"/>
        <w:rPr>
          <w:sz w:val="18"/>
        </w:rPr>
      </w:pPr>
    </w:p>
    <w:p w14:paraId="2B47A6DE" w14:textId="77777777" w:rsidR="00A71EEF" w:rsidRDefault="0081115D">
      <w:pPr>
        <w:pStyle w:val="a3"/>
        <w:spacing w:line="446" w:lineRule="auto"/>
        <w:ind w:left="418" w:right="1505" w:firstLine="419"/>
      </w:pPr>
      <w:r>
        <w:t>标记示例：</w:t>
      </w:r>
      <w:r>
        <w:t>DW-A3-ZH08,</w:t>
      </w:r>
      <w:r>
        <w:t>表示具有三小时耐火完整性和耐火隔热性的无机堵料，企业的产品型号为</w:t>
      </w:r>
      <w:r>
        <w:t xml:space="preserve"> ZH08</w:t>
      </w:r>
      <w:r>
        <w:t>。</w:t>
      </w:r>
      <w:r>
        <w:t xml:space="preserve"> </w:t>
      </w:r>
    </w:p>
    <w:p w14:paraId="76D9673D" w14:textId="77777777" w:rsidR="00A71EEF" w:rsidRDefault="0081115D">
      <w:pPr>
        <w:pStyle w:val="4"/>
        <w:spacing w:line="277" w:lineRule="exact"/>
      </w:pPr>
      <w:r>
        <w:t xml:space="preserve">5 </w:t>
      </w:r>
      <w:r>
        <w:t>要求</w:t>
      </w:r>
      <w:r>
        <w:rPr>
          <w:w w:val="99"/>
        </w:rPr>
        <w:t xml:space="preserve"> </w:t>
      </w:r>
    </w:p>
    <w:p w14:paraId="0D5A9223" w14:textId="77777777" w:rsidR="00A71EEF" w:rsidRDefault="00A71EEF">
      <w:pPr>
        <w:pStyle w:val="a3"/>
        <w:spacing w:before="4"/>
        <w:rPr>
          <w:b/>
          <w:sz w:val="17"/>
        </w:rPr>
      </w:pPr>
    </w:p>
    <w:p w14:paraId="66A50FAB" w14:textId="77777777" w:rsidR="00A71EEF" w:rsidRDefault="0081115D">
      <w:pPr>
        <w:pStyle w:val="a4"/>
        <w:numPr>
          <w:ilvl w:val="1"/>
          <w:numId w:val="518"/>
        </w:numPr>
        <w:tabs>
          <w:tab w:val="left" w:pos="1159"/>
        </w:tabs>
        <w:ind w:hanging="319"/>
        <w:rPr>
          <w:sz w:val="21"/>
        </w:rPr>
      </w:pPr>
      <w:r>
        <w:rPr>
          <w:spacing w:val="-3"/>
          <w:sz w:val="21"/>
        </w:rPr>
        <w:t>燃烧性能</w:t>
      </w:r>
      <w:r>
        <w:rPr>
          <w:sz w:val="21"/>
        </w:rPr>
        <w:t xml:space="preserve"> </w:t>
      </w:r>
    </w:p>
    <w:p w14:paraId="655713D9" w14:textId="77777777" w:rsidR="00A71EEF" w:rsidRDefault="0081115D">
      <w:pPr>
        <w:pStyle w:val="a4"/>
        <w:numPr>
          <w:ilvl w:val="2"/>
          <w:numId w:val="518"/>
        </w:numPr>
        <w:tabs>
          <w:tab w:val="left" w:pos="1370"/>
        </w:tabs>
        <w:spacing w:before="163" w:line="352" w:lineRule="auto"/>
        <w:ind w:right="1501" w:firstLine="422"/>
        <w:rPr>
          <w:sz w:val="21"/>
        </w:rPr>
      </w:pPr>
      <w:r>
        <w:rPr>
          <w:spacing w:val="-5"/>
          <w:sz w:val="21"/>
        </w:rPr>
        <w:t>除无机堵料外，其他封堵材料的燃烧性能应满足</w:t>
      </w:r>
      <w:r>
        <w:rPr>
          <w:spacing w:val="-5"/>
          <w:sz w:val="21"/>
        </w:rPr>
        <w:t xml:space="preserve"> </w:t>
      </w:r>
      <w:r>
        <w:rPr>
          <w:sz w:val="21"/>
        </w:rPr>
        <w:t>5.1.2</w:t>
      </w:r>
      <w:r>
        <w:rPr>
          <w:rFonts w:ascii="微软雅黑" w:eastAsia="微软雅黑" w:hint="eastAsia"/>
          <w:sz w:val="21"/>
        </w:rPr>
        <w:t>〜</w:t>
      </w:r>
      <w:r>
        <w:rPr>
          <w:sz w:val="21"/>
        </w:rPr>
        <w:t>5.1.4</w:t>
      </w:r>
      <w:r>
        <w:rPr>
          <w:spacing w:val="-8"/>
          <w:sz w:val="21"/>
        </w:rPr>
        <w:t xml:space="preserve"> </w:t>
      </w:r>
      <w:r>
        <w:rPr>
          <w:spacing w:val="-8"/>
          <w:sz w:val="21"/>
        </w:rPr>
        <w:t>的规定。燃烧性能缺</w:t>
      </w:r>
      <w:r>
        <w:rPr>
          <w:spacing w:val="-16"/>
          <w:sz w:val="21"/>
        </w:rPr>
        <w:t>陷类别为</w:t>
      </w:r>
      <w:r>
        <w:rPr>
          <w:spacing w:val="-16"/>
          <w:sz w:val="21"/>
        </w:rPr>
        <w:t xml:space="preserve"> </w:t>
      </w:r>
      <w:r>
        <w:rPr>
          <w:sz w:val="21"/>
        </w:rPr>
        <w:t>A</w:t>
      </w:r>
      <w:r>
        <w:rPr>
          <w:spacing w:val="-20"/>
          <w:sz w:val="21"/>
        </w:rPr>
        <w:t xml:space="preserve"> </w:t>
      </w:r>
      <w:r>
        <w:rPr>
          <w:spacing w:val="-20"/>
          <w:sz w:val="21"/>
        </w:rPr>
        <w:t>类。</w:t>
      </w:r>
      <w:r>
        <w:rPr>
          <w:sz w:val="21"/>
        </w:rPr>
        <w:t xml:space="preserve"> </w:t>
      </w:r>
    </w:p>
    <w:p w14:paraId="58A147EB" w14:textId="77777777" w:rsidR="00A71EEF" w:rsidRDefault="0081115D">
      <w:pPr>
        <w:pStyle w:val="a4"/>
        <w:numPr>
          <w:ilvl w:val="2"/>
          <w:numId w:val="518"/>
        </w:numPr>
        <w:tabs>
          <w:tab w:val="left" w:pos="1371"/>
        </w:tabs>
        <w:spacing w:before="104"/>
        <w:ind w:left="1370" w:hanging="531"/>
        <w:rPr>
          <w:sz w:val="21"/>
        </w:rPr>
      </w:pPr>
      <w:r>
        <w:rPr>
          <w:spacing w:val="-6"/>
          <w:sz w:val="21"/>
        </w:rPr>
        <w:t>阻火包用织物应满足</w:t>
      </w:r>
      <w:r>
        <w:rPr>
          <w:spacing w:val="-6"/>
          <w:sz w:val="21"/>
        </w:rPr>
        <w:t>:</w:t>
      </w:r>
      <w:r>
        <w:rPr>
          <w:spacing w:val="-6"/>
          <w:sz w:val="21"/>
        </w:rPr>
        <w:t>损毁长度不大于</w:t>
      </w:r>
      <w:r>
        <w:rPr>
          <w:spacing w:val="-6"/>
          <w:sz w:val="21"/>
        </w:rPr>
        <w:t xml:space="preserve"> </w:t>
      </w:r>
      <w:r>
        <w:rPr>
          <w:sz w:val="21"/>
        </w:rPr>
        <w:t>150mm</w:t>
      </w:r>
      <w:r>
        <w:rPr>
          <w:spacing w:val="-9"/>
          <w:sz w:val="21"/>
        </w:rPr>
        <w:t>，续燃时间不大于</w:t>
      </w:r>
      <w:r>
        <w:rPr>
          <w:spacing w:val="-9"/>
          <w:sz w:val="21"/>
        </w:rPr>
        <w:t xml:space="preserve"> </w:t>
      </w:r>
      <w:r>
        <w:rPr>
          <w:sz w:val="21"/>
        </w:rPr>
        <w:t>5s</w:t>
      </w:r>
      <w:r>
        <w:rPr>
          <w:spacing w:val="-3"/>
          <w:sz w:val="21"/>
        </w:rPr>
        <w:t>，阴燃时间不大于</w:t>
      </w:r>
    </w:p>
    <w:p w14:paraId="3E50E547" w14:textId="77777777" w:rsidR="00A71EEF" w:rsidRDefault="00A71EEF">
      <w:pPr>
        <w:pStyle w:val="a3"/>
        <w:spacing w:before="12"/>
        <w:rPr>
          <w:sz w:val="17"/>
        </w:rPr>
      </w:pPr>
    </w:p>
    <w:p w14:paraId="4078A5A4" w14:textId="77777777" w:rsidR="00A71EEF" w:rsidRDefault="0081115D">
      <w:pPr>
        <w:pStyle w:val="a3"/>
        <w:ind w:left="418"/>
      </w:pPr>
      <w:r>
        <w:t>5s</w:t>
      </w:r>
      <w:r>
        <w:t>，且燃烧滴落物未引起脱脂棉燃烧或阴燃。</w:t>
      </w:r>
      <w:r>
        <w:t xml:space="preserve"> </w:t>
      </w:r>
    </w:p>
    <w:p w14:paraId="6F775E0A" w14:textId="77777777" w:rsidR="00A71EEF" w:rsidRDefault="00A71EEF">
      <w:pPr>
        <w:pStyle w:val="a3"/>
        <w:spacing w:before="2"/>
        <w:rPr>
          <w:sz w:val="18"/>
        </w:rPr>
      </w:pPr>
    </w:p>
    <w:p w14:paraId="515FA130" w14:textId="77777777" w:rsidR="00A71EEF" w:rsidRDefault="0081115D">
      <w:pPr>
        <w:pStyle w:val="a4"/>
        <w:numPr>
          <w:ilvl w:val="2"/>
          <w:numId w:val="518"/>
        </w:numPr>
        <w:tabs>
          <w:tab w:val="left" w:pos="1370"/>
        </w:tabs>
        <w:ind w:left="1369" w:hanging="530"/>
        <w:rPr>
          <w:sz w:val="21"/>
        </w:rPr>
      </w:pPr>
      <w:r>
        <w:rPr>
          <w:spacing w:val="-6"/>
          <w:sz w:val="21"/>
        </w:rPr>
        <w:t>柔性有机堵料和防火密封胶的燃烧性能不低于</w:t>
      </w:r>
      <w:r>
        <w:rPr>
          <w:spacing w:val="-6"/>
          <w:sz w:val="21"/>
        </w:rPr>
        <w:t xml:space="preserve"> </w:t>
      </w:r>
      <w:r>
        <w:rPr>
          <w:sz w:val="21"/>
        </w:rPr>
        <w:t>GB/T</w:t>
      </w:r>
      <w:r>
        <w:rPr>
          <w:spacing w:val="3"/>
          <w:sz w:val="21"/>
        </w:rPr>
        <w:t xml:space="preserve"> </w:t>
      </w:r>
      <w:r>
        <w:rPr>
          <w:sz w:val="21"/>
        </w:rPr>
        <w:t>2408-2008</w:t>
      </w:r>
      <w:r>
        <w:rPr>
          <w:spacing w:val="-23"/>
          <w:sz w:val="21"/>
        </w:rPr>
        <w:t xml:space="preserve"> </w:t>
      </w:r>
      <w:r>
        <w:rPr>
          <w:spacing w:val="-23"/>
          <w:sz w:val="21"/>
        </w:rPr>
        <w:t>规定的</w:t>
      </w:r>
      <w:r>
        <w:rPr>
          <w:spacing w:val="-23"/>
          <w:sz w:val="21"/>
        </w:rPr>
        <w:t xml:space="preserve"> </w:t>
      </w:r>
      <w:r>
        <w:rPr>
          <w:sz w:val="21"/>
        </w:rPr>
        <w:t>HB</w:t>
      </w:r>
      <w:r>
        <w:rPr>
          <w:spacing w:val="-12"/>
          <w:sz w:val="21"/>
        </w:rPr>
        <w:t xml:space="preserve"> </w:t>
      </w:r>
      <w:r>
        <w:rPr>
          <w:spacing w:val="-12"/>
          <w:sz w:val="21"/>
        </w:rPr>
        <w:t>级；泡沫</w:t>
      </w:r>
    </w:p>
    <w:p w14:paraId="5CB79C81" w14:textId="77777777" w:rsidR="00A71EEF" w:rsidRDefault="00A71EEF">
      <w:pPr>
        <w:pStyle w:val="a3"/>
        <w:rPr>
          <w:sz w:val="18"/>
        </w:rPr>
      </w:pPr>
    </w:p>
    <w:p w14:paraId="0AFBFA8D" w14:textId="77777777" w:rsidR="00A71EEF" w:rsidRDefault="0081115D">
      <w:pPr>
        <w:pStyle w:val="a3"/>
        <w:spacing w:line="446" w:lineRule="auto"/>
        <w:ind w:left="840" w:right="2350" w:hanging="423"/>
      </w:pPr>
      <w:r>
        <w:t>封堵材料的燃烧性能应满足</w:t>
      </w:r>
      <w:r>
        <w:t>:</w:t>
      </w:r>
      <w:r>
        <w:t>平均燃烧时间不大于</w:t>
      </w:r>
      <w:r>
        <w:t xml:space="preserve"> 30s</w:t>
      </w:r>
      <w:r>
        <w:t>，平均燃烧高度不大于</w:t>
      </w:r>
      <w:r>
        <w:t xml:space="preserve"> 250mm</w:t>
      </w:r>
      <w:r>
        <w:t>。</w:t>
      </w:r>
      <w:r>
        <w:rPr>
          <w:b/>
        </w:rPr>
        <w:t xml:space="preserve">5.1.4 </w:t>
      </w:r>
      <w:r>
        <w:t>其他封堵材料的燃烧性能不低于</w:t>
      </w:r>
      <w:r>
        <w:t xml:space="preserve"> GB/T 2408—2008 </w:t>
      </w:r>
      <w:r>
        <w:t>规定的</w:t>
      </w:r>
      <w:r>
        <w:t xml:space="preserve"> V-0 </w:t>
      </w:r>
      <w:r>
        <w:t>级。</w:t>
      </w:r>
      <w:r>
        <w:t xml:space="preserve"> </w:t>
      </w:r>
    </w:p>
    <w:p w14:paraId="7FC7A618" w14:textId="77777777" w:rsidR="00A71EEF" w:rsidRDefault="0081115D">
      <w:pPr>
        <w:pStyle w:val="a4"/>
        <w:numPr>
          <w:ilvl w:val="1"/>
          <w:numId w:val="518"/>
        </w:numPr>
        <w:tabs>
          <w:tab w:val="left" w:pos="1159"/>
        </w:tabs>
        <w:ind w:hanging="319"/>
        <w:rPr>
          <w:b/>
          <w:sz w:val="21"/>
        </w:rPr>
      </w:pPr>
      <w:r>
        <w:rPr>
          <w:spacing w:val="-3"/>
          <w:sz w:val="21"/>
        </w:rPr>
        <w:t>耐火性能</w:t>
      </w:r>
      <w:r>
        <w:rPr>
          <w:b/>
          <w:w w:val="99"/>
          <w:sz w:val="21"/>
        </w:rPr>
        <w:t xml:space="preserve"> </w:t>
      </w:r>
    </w:p>
    <w:p w14:paraId="293BF3BC" w14:textId="77777777" w:rsidR="00A71EEF" w:rsidRDefault="00A71EEF">
      <w:pPr>
        <w:rPr>
          <w:sz w:val="21"/>
        </w:rPr>
        <w:sectPr w:rsidR="00A71EEF">
          <w:pgSz w:w="11910" w:h="16850"/>
          <w:pgMar w:top="1220" w:right="0" w:bottom="1420" w:left="1260" w:header="0" w:footer="1239" w:gutter="0"/>
          <w:cols w:space="720"/>
        </w:sectPr>
      </w:pPr>
    </w:p>
    <w:p w14:paraId="7C024770" w14:textId="77777777" w:rsidR="00A71EEF" w:rsidRDefault="0081115D">
      <w:pPr>
        <w:pStyle w:val="a4"/>
        <w:numPr>
          <w:ilvl w:val="2"/>
          <w:numId w:val="518"/>
        </w:numPr>
        <w:tabs>
          <w:tab w:val="left" w:pos="1370"/>
        </w:tabs>
        <w:spacing w:before="47" w:line="446" w:lineRule="auto"/>
        <w:ind w:right="1553" w:firstLine="422"/>
        <w:rPr>
          <w:sz w:val="21"/>
        </w:rPr>
      </w:pPr>
      <w:r>
        <w:rPr>
          <w:spacing w:val="-3"/>
          <w:sz w:val="21"/>
        </w:rPr>
        <w:t>防火封堵材料的耐火性能按耐火时间分为</w:t>
      </w:r>
      <w:r>
        <w:rPr>
          <w:sz w:val="21"/>
        </w:rPr>
        <w:t>：</w:t>
      </w:r>
      <w:r>
        <w:rPr>
          <w:sz w:val="21"/>
        </w:rPr>
        <w:t>1h</w:t>
      </w:r>
      <w:r>
        <w:rPr>
          <w:sz w:val="21"/>
        </w:rPr>
        <w:t>、</w:t>
      </w:r>
      <w:r>
        <w:rPr>
          <w:sz w:val="21"/>
        </w:rPr>
        <w:t>2h</w:t>
      </w:r>
      <w:r>
        <w:rPr>
          <w:sz w:val="21"/>
        </w:rPr>
        <w:t>、</w:t>
      </w:r>
      <w:r>
        <w:rPr>
          <w:sz w:val="21"/>
        </w:rPr>
        <w:t>3h</w:t>
      </w:r>
      <w:r>
        <w:rPr>
          <w:spacing w:val="-8"/>
          <w:sz w:val="21"/>
        </w:rPr>
        <w:t xml:space="preserve"> </w:t>
      </w:r>
      <w:r>
        <w:rPr>
          <w:spacing w:val="-8"/>
          <w:sz w:val="21"/>
        </w:rPr>
        <w:t>三个级别，耐火性能的缺陷</w:t>
      </w:r>
      <w:r>
        <w:rPr>
          <w:spacing w:val="-17"/>
          <w:sz w:val="21"/>
        </w:rPr>
        <w:t>类别为</w:t>
      </w:r>
      <w:r>
        <w:rPr>
          <w:spacing w:val="-17"/>
          <w:sz w:val="21"/>
        </w:rPr>
        <w:t xml:space="preserve"> </w:t>
      </w:r>
      <w:r>
        <w:rPr>
          <w:sz w:val="21"/>
        </w:rPr>
        <w:t>A</w:t>
      </w:r>
      <w:r>
        <w:rPr>
          <w:spacing w:val="-20"/>
          <w:sz w:val="21"/>
        </w:rPr>
        <w:t xml:space="preserve"> </w:t>
      </w:r>
      <w:r>
        <w:rPr>
          <w:spacing w:val="-20"/>
          <w:sz w:val="21"/>
        </w:rPr>
        <w:t>类。</w:t>
      </w:r>
      <w:r>
        <w:rPr>
          <w:sz w:val="21"/>
        </w:rPr>
        <w:t xml:space="preserve"> </w:t>
      </w:r>
    </w:p>
    <w:p w14:paraId="7E7B9336" w14:textId="77777777" w:rsidR="00A71EEF" w:rsidRDefault="0081115D">
      <w:pPr>
        <w:pStyle w:val="a4"/>
        <w:numPr>
          <w:ilvl w:val="2"/>
          <w:numId w:val="518"/>
        </w:numPr>
        <w:tabs>
          <w:tab w:val="left" w:pos="1370"/>
        </w:tabs>
        <w:spacing w:line="267" w:lineRule="exact"/>
        <w:ind w:left="1369" w:hanging="530"/>
        <w:rPr>
          <w:sz w:val="21"/>
        </w:rPr>
      </w:pPr>
      <w:r>
        <w:rPr>
          <w:spacing w:val="-7"/>
          <w:sz w:val="21"/>
        </w:rPr>
        <w:t>防火封堵材料的耐火性能应符合表</w:t>
      </w:r>
      <w:r>
        <w:rPr>
          <w:spacing w:val="-7"/>
          <w:sz w:val="21"/>
        </w:rPr>
        <w:t xml:space="preserve"> </w:t>
      </w:r>
      <w:r>
        <w:rPr>
          <w:sz w:val="21"/>
        </w:rPr>
        <w:t>1</w:t>
      </w:r>
      <w:r>
        <w:rPr>
          <w:spacing w:val="-12"/>
          <w:sz w:val="21"/>
        </w:rPr>
        <w:t xml:space="preserve"> </w:t>
      </w:r>
      <w:r>
        <w:rPr>
          <w:spacing w:val="-12"/>
          <w:sz w:val="21"/>
        </w:rPr>
        <w:t>的规定。</w:t>
      </w:r>
      <w:r>
        <w:rPr>
          <w:spacing w:val="-12"/>
          <w:sz w:val="21"/>
        </w:rPr>
        <w:t xml:space="preserve"> </w:t>
      </w:r>
    </w:p>
    <w:p w14:paraId="65CB84D0" w14:textId="77777777" w:rsidR="00A71EEF" w:rsidRDefault="00A71EEF">
      <w:pPr>
        <w:pStyle w:val="a3"/>
        <w:rPr>
          <w:sz w:val="20"/>
        </w:rPr>
      </w:pPr>
    </w:p>
    <w:p w14:paraId="4BB305B0" w14:textId="77777777" w:rsidR="00A71EEF" w:rsidRDefault="00A71EEF">
      <w:pPr>
        <w:pStyle w:val="a3"/>
        <w:rPr>
          <w:sz w:val="20"/>
        </w:rPr>
      </w:pPr>
    </w:p>
    <w:p w14:paraId="2DEE20E2" w14:textId="77777777" w:rsidR="00A71EEF" w:rsidRDefault="00A71EEF">
      <w:pPr>
        <w:pStyle w:val="a3"/>
        <w:rPr>
          <w:sz w:val="20"/>
        </w:rPr>
      </w:pPr>
    </w:p>
    <w:p w14:paraId="23703FD1" w14:textId="77777777" w:rsidR="00A71EEF" w:rsidRDefault="00A71EEF">
      <w:pPr>
        <w:pStyle w:val="a3"/>
        <w:rPr>
          <w:sz w:val="20"/>
        </w:rPr>
      </w:pPr>
    </w:p>
    <w:p w14:paraId="244CF3DE" w14:textId="77777777" w:rsidR="00A71EEF" w:rsidRDefault="0081115D">
      <w:pPr>
        <w:pStyle w:val="a3"/>
        <w:spacing w:before="2"/>
        <w:rPr>
          <w:sz w:val="25"/>
        </w:rPr>
      </w:pPr>
      <w:r>
        <w:rPr>
          <w:noProof/>
        </w:rPr>
        <w:drawing>
          <wp:anchor distT="0" distB="0" distL="0" distR="0" simplePos="0" relativeHeight="251610624" behindDoc="0" locked="0" layoutInCell="1" allowOverlap="1" wp14:anchorId="6B596871" wp14:editId="6008B48E">
            <wp:simplePos x="0" y="0"/>
            <wp:positionH relativeFrom="page">
              <wp:posOffset>998855</wp:posOffset>
            </wp:positionH>
            <wp:positionV relativeFrom="paragraph">
              <wp:posOffset>229449</wp:posOffset>
            </wp:positionV>
            <wp:extent cx="5180680" cy="1572768"/>
            <wp:effectExtent l="0" t="0" r="0" b="0"/>
            <wp:wrapTopAndBottom/>
            <wp:docPr id="405" name="image2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239.jpeg"/>
                    <pic:cNvPicPr/>
                  </pic:nvPicPr>
                  <pic:blipFill>
                    <a:blip r:embed="rId284" cstate="print"/>
                    <a:stretch>
                      <a:fillRect/>
                    </a:stretch>
                  </pic:blipFill>
                  <pic:spPr>
                    <a:xfrm>
                      <a:off x="0" y="0"/>
                      <a:ext cx="5180680" cy="1572768"/>
                    </a:xfrm>
                    <a:prstGeom prst="rect">
                      <a:avLst/>
                    </a:prstGeom>
                  </pic:spPr>
                </pic:pic>
              </a:graphicData>
            </a:graphic>
          </wp:anchor>
        </w:drawing>
      </w:r>
    </w:p>
    <w:p w14:paraId="3734554E" w14:textId="77777777" w:rsidR="00A71EEF" w:rsidRDefault="00A71EEF">
      <w:pPr>
        <w:pStyle w:val="a3"/>
        <w:spacing w:before="1"/>
        <w:rPr>
          <w:sz w:val="15"/>
        </w:rPr>
      </w:pPr>
    </w:p>
    <w:p w14:paraId="6DB95A04" w14:textId="77777777" w:rsidR="00A71EEF" w:rsidRDefault="0081115D">
      <w:pPr>
        <w:pStyle w:val="a4"/>
        <w:numPr>
          <w:ilvl w:val="1"/>
          <w:numId w:val="518"/>
        </w:numPr>
        <w:tabs>
          <w:tab w:val="left" w:pos="1158"/>
        </w:tabs>
        <w:spacing w:before="72"/>
        <w:ind w:left="1157" w:hanging="320"/>
        <w:rPr>
          <w:b/>
          <w:sz w:val="21"/>
        </w:rPr>
      </w:pPr>
      <w:r>
        <w:rPr>
          <w:spacing w:val="-3"/>
          <w:sz w:val="21"/>
        </w:rPr>
        <w:t>理化性能</w:t>
      </w:r>
      <w:r>
        <w:rPr>
          <w:b/>
          <w:w w:val="99"/>
          <w:sz w:val="21"/>
        </w:rPr>
        <w:t xml:space="preserve"> </w:t>
      </w:r>
    </w:p>
    <w:p w14:paraId="7ABF2CA2" w14:textId="77777777" w:rsidR="00A71EEF" w:rsidRDefault="00A71EEF">
      <w:pPr>
        <w:rPr>
          <w:sz w:val="21"/>
        </w:rPr>
        <w:sectPr w:rsidR="00A71EEF">
          <w:pgSz w:w="11910" w:h="16850"/>
          <w:pgMar w:top="1220" w:right="0" w:bottom="1420" w:left="1260" w:header="0" w:footer="1239" w:gutter="0"/>
          <w:cols w:space="720"/>
        </w:sectPr>
      </w:pPr>
    </w:p>
    <w:p w14:paraId="13203352" w14:textId="77777777" w:rsidR="00A71EEF" w:rsidRDefault="0081115D">
      <w:pPr>
        <w:pStyle w:val="a4"/>
        <w:numPr>
          <w:ilvl w:val="2"/>
          <w:numId w:val="518"/>
        </w:numPr>
        <w:tabs>
          <w:tab w:val="left" w:pos="1371"/>
        </w:tabs>
        <w:spacing w:before="47" w:line="446" w:lineRule="auto"/>
        <w:ind w:right="1604" w:firstLine="422"/>
        <w:rPr>
          <w:sz w:val="21"/>
        </w:rPr>
      </w:pPr>
      <w:r>
        <w:rPr>
          <w:spacing w:val="-3"/>
          <w:sz w:val="21"/>
        </w:rPr>
        <w:t>柔性有机堵料、无机堵料、阻火包、阻火模袂、防火封堵板材和泡沫封堵材料的理</w:t>
      </w:r>
      <w:r>
        <w:rPr>
          <w:spacing w:val="-10"/>
          <w:sz w:val="21"/>
        </w:rPr>
        <w:t>化性能应符合表</w:t>
      </w:r>
      <w:r>
        <w:rPr>
          <w:spacing w:val="-10"/>
          <w:sz w:val="21"/>
        </w:rPr>
        <w:t xml:space="preserve"> </w:t>
      </w:r>
      <w:r>
        <w:rPr>
          <w:sz w:val="21"/>
        </w:rPr>
        <w:t>2</w:t>
      </w:r>
      <w:r>
        <w:rPr>
          <w:spacing w:val="-12"/>
          <w:sz w:val="21"/>
        </w:rPr>
        <w:t xml:space="preserve"> </w:t>
      </w:r>
      <w:r>
        <w:rPr>
          <w:spacing w:val="-12"/>
          <w:sz w:val="21"/>
        </w:rPr>
        <w:t>的规定。</w:t>
      </w:r>
      <w:r>
        <w:rPr>
          <w:spacing w:val="-12"/>
          <w:sz w:val="21"/>
        </w:rPr>
        <w:t xml:space="preserve"> </w:t>
      </w:r>
    </w:p>
    <w:p w14:paraId="555D9CFD" w14:textId="77777777" w:rsidR="00A71EEF" w:rsidRDefault="0081115D">
      <w:pPr>
        <w:pStyle w:val="a3"/>
        <w:spacing w:before="11"/>
        <w:rPr>
          <w:sz w:val="8"/>
        </w:rPr>
      </w:pPr>
      <w:r>
        <w:pict w14:anchorId="49038F04">
          <v:group id="_x0000_s1142" style="position:absolute;margin-left:81.65pt;margin-top:7.65pt;width:434.25pt;height:445.5pt;z-index:-251492864;mso-wrap-distance-left:0;mso-wrap-distance-right:0;mso-position-horizontal-relative:page" coordorigin="1633,153" coordsize="8685,8910">
            <v:shape id="_x0000_s1144" type="#_x0000_t75" style="position:absolute;left:1633;top:168;width:8370;height:8145">
              <v:imagedata r:id="rId285" o:title=""/>
            </v:shape>
            <v:shape id="_x0000_s1143" type="#_x0000_t75" style="position:absolute;left:1663;top:153;width:8655;height:8910">
              <v:imagedata r:id="rId286" o:title=""/>
            </v:shape>
            <w10:wrap type="topAndBottom" anchorx="page"/>
          </v:group>
        </w:pict>
      </w:r>
    </w:p>
    <w:p w14:paraId="035C8BB4" w14:textId="77777777" w:rsidR="00A71EEF" w:rsidRDefault="00A71EEF">
      <w:pPr>
        <w:pStyle w:val="a3"/>
        <w:rPr>
          <w:sz w:val="20"/>
        </w:rPr>
      </w:pPr>
    </w:p>
    <w:p w14:paraId="10681A30" w14:textId="77777777" w:rsidR="00A71EEF" w:rsidRDefault="00A71EEF">
      <w:pPr>
        <w:pStyle w:val="a3"/>
        <w:spacing w:before="2"/>
        <w:rPr>
          <w:sz w:val="26"/>
        </w:rPr>
      </w:pPr>
    </w:p>
    <w:p w14:paraId="04C153D8" w14:textId="77777777" w:rsidR="00A71EEF" w:rsidRDefault="0081115D">
      <w:pPr>
        <w:pStyle w:val="a4"/>
        <w:numPr>
          <w:ilvl w:val="2"/>
          <w:numId w:val="518"/>
        </w:numPr>
        <w:tabs>
          <w:tab w:val="left" w:pos="1370"/>
        </w:tabs>
        <w:spacing w:before="72"/>
        <w:ind w:left="1369" w:hanging="530"/>
        <w:rPr>
          <w:sz w:val="21"/>
        </w:rPr>
      </w:pPr>
      <w:r>
        <w:rPr>
          <w:spacing w:val="-6"/>
          <w:sz w:val="21"/>
        </w:rPr>
        <w:t>缝隙封堵材料和防火密封胶的理化性能应符合表</w:t>
      </w:r>
      <w:r>
        <w:rPr>
          <w:spacing w:val="-6"/>
          <w:sz w:val="21"/>
        </w:rPr>
        <w:t xml:space="preserve"> </w:t>
      </w:r>
      <w:r>
        <w:rPr>
          <w:sz w:val="21"/>
        </w:rPr>
        <w:t>3</w:t>
      </w:r>
      <w:r>
        <w:rPr>
          <w:spacing w:val="-13"/>
          <w:sz w:val="21"/>
        </w:rPr>
        <w:t xml:space="preserve"> </w:t>
      </w:r>
      <w:r>
        <w:rPr>
          <w:spacing w:val="-13"/>
          <w:sz w:val="21"/>
        </w:rPr>
        <w:t>的规定。</w:t>
      </w:r>
      <w:r>
        <w:rPr>
          <w:sz w:val="21"/>
        </w:rPr>
        <w:t xml:space="preserve"> </w:t>
      </w:r>
    </w:p>
    <w:p w14:paraId="07BA45FC" w14:textId="77777777" w:rsidR="00A71EEF" w:rsidRDefault="00A71EEF">
      <w:pPr>
        <w:pStyle w:val="a3"/>
        <w:rPr>
          <w:sz w:val="20"/>
        </w:rPr>
      </w:pPr>
    </w:p>
    <w:p w14:paraId="101B9716" w14:textId="77777777" w:rsidR="00A71EEF" w:rsidRDefault="00A71EEF">
      <w:pPr>
        <w:pStyle w:val="a3"/>
        <w:rPr>
          <w:sz w:val="20"/>
        </w:rPr>
      </w:pPr>
    </w:p>
    <w:p w14:paraId="0D7FE5DC" w14:textId="77777777" w:rsidR="00A71EEF" w:rsidRDefault="00A71EEF">
      <w:pPr>
        <w:pStyle w:val="a3"/>
        <w:spacing w:before="1"/>
        <w:rPr>
          <w:sz w:val="17"/>
        </w:rPr>
      </w:pPr>
    </w:p>
    <w:p w14:paraId="7EA1EB9B" w14:textId="77777777" w:rsidR="00A71EEF" w:rsidRDefault="0081115D">
      <w:pPr>
        <w:pStyle w:val="a4"/>
        <w:numPr>
          <w:ilvl w:val="2"/>
          <w:numId w:val="518"/>
        </w:numPr>
        <w:tabs>
          <w:tab w:val="left" w:pos="1370"/>
        </w:tabs>
        <w:spacing w:before="1"/>
        <w:ind w:left="1369" w:hanging="530"/>
        <w:rPr>
          <w:sz w:val="21"/>
        </w:rPr>
      </w:pPr>
      <w:r>
        <w:rPr>
          <w:spacing w:val="-7"/>
          <w:sz w:val="21"/>
        </w:rPr>
        <w:t>阻火包带的理化性能应符合表</w:t>
      </w:r>
      <w:r>
        <w:rPr>
          <w:spacing w:val="-7"/>
          <w:sz w:val="21"/>
        </w:rPr>
        <w:t xml:space="preserve"> </w:t>
      </w:r>
      <w:r>
        <w:rPr>
          <w:sz w:val="21"/>
        </w:rPr>
        <w:t>4</w:t>
      </w:r>
      <w:r>
        <w:rPr>
          <w:spacing w:val="-13"/>
          <w:sz w:val="21"/>
        </w:rPr>
        <w:t xml:space="preserve"> </w:t>
      </w:r>
      <w:r>
        <w:rPr>
          <w:spacing w:val="-13"/>
          <w:sz w:val="21"/>
        </w:rPr>
        <w:t>的规定。</w:t>
      </w:r>
      <w:r>
        <w:rPr>
          <w:sz w:val="21"/>
        </w:rPr>
        <w:t xml:space="preserve"> </w:t>
      </w:r>
    </w:p>
    <w:p w14:paraId="24D88C7A" w14:textId="77777777" w:rsidR="00A71EEF" w:rsidRDefault="00A71EEF">
      <w:pPr>
        <w:pStyle w:val="a3"/>
        <w:rPr>
          <w:sz w:val="20"/>
        </w:rPr>
      </w:pPr>
    </w:p>
    <w:p w14:paraId="2291DED7" w14:textId="77777777" w:rsidR="00A71EEF" w:rsidRDefault="00A71EEF">
      <w:pPr>
        <w:pStyle w:val="a3"/>
        <w:rPr>
          <w:sz w:val="20"/>
        </w:rPr>
      </w:pPr>
    </w:p>
    <w:p w14:paraId="511EB2A0" w14:textId="77777777" w:rsidR="00A71EEF" w:rsidRDefault="00A71EEF">
      <w:pPr>
        <w:pStyle w:val="a3"/>
        <w:rPr>
          <w:sz w:val="20"/>
        </w:rPr>
      </w:pPr>
    </w:p>
    <w:p w14:paraId="21B779C5" w14:textId="77777777" w:rsidR="00A71EEF" w:rsidRDefault="00A71EEF">
      <w:pPr>
        <w:pStyle w:val="a3"/>
        <w:rPr>
          <w:sz w:val="20"/>
        </w:rPr>
      </w:pPr>
    </w:p>
    <w:p w14:paraId="16C745A6" w14:textId="77777777" w:rsidR="00A71EEF" w:rsidRDefault="00A71EEF">
      <w:pPr>
        <w:pStyle w:val="a3"/>
        <w:rPr>
          <w:sz w:val="20"/>
        </w:rPr>
      </w:pPr>
    </w:p>
    <w:p w14:paraId="75C7A4ED" w14:textId="77777777" w:rsidR="00A71EEF" w:rsidRDefault="00A71EEF">
      <w:pPr>
        <w:pStyle w:val="a3"/>
        <w:spacing w:before="6"/>
        <w:rPr>
          <w:sz w:val="29"/>
        </w:rPr>
      </w:pPr>
    </w:p>
    <w:p w14:paraId="070F1E13" w14:textId="77777777" w:rsidR="00A71EEF" w:rsidRDefault="0081115D">
      <w:pPr>
        <w:pStyle w:val="a3"/>
        <w:spacing w:before="71"/>
        <w:ind w:left="838"/>
      </w:pPr>
      <w:r>
        <w:t xml:space="preserve"> </w:t>
      </w:r>
    </w:p>
    <w:p w14:paraId="6A0169AF" w14:textId="77777777" w:rsidR="00A71EEF" w:rsidRDefault="00A71EEF">
      <w:pPr>
        <w:sectPr w:rsidR="00A71EEF">
          <w:footerReference w:type="default" r:id="rId287"/>
          <w:pgSz w:w="11910" w:h="16850"/>
          <w:pgMar w:top="1220" w:right="0" w:bottom="1420" w:left="1260" w:header="0" w:footer="1239" w:gutter="0"/>
          <w:pgNumType w:start="1190"/>
          <w:cols w:space="720"/>
        </w:sectPr>
      </w:pPr>
    </w:p>
    <w:p w14:paraId="534053E9" w14:textId="77777777" w:rsidR="00A71EEF" w:rsidRDefault="00A71EEF">
      <w:pPr>
        <w:pStyle w:val="a3"/>
        <w:rPr>
          <w:sz w:val="20"/>
        </w:rPr>
      </w:pPr>
    </w:p>
    <w:p w14:paraId="65DFFCB7" w14:textId="77777777" w:rsidR="00A71EEF" w:rsidRDefault="00A71EEF">
      <w:pPr>
        <w:pStyle w:val="a3"/>
        <w:rPr>
          <w:sz w:val="20"/>
        </w:rPr>
      </w:pPr>
    </w:p>
    <w:p w14:paraId="5CEEE7F9" w14:textId="77777777" w:rsidR="00A71EEF" w:rsidRDefault="00A71EEF">
      <w:pPr>
        <w:pStyle w:val="a3"/>
        <w:rPr>
          <w:sz w:val="20"/>
        </w:rPr>
      </w:pPr>
    </w:p>
    <w:p w14:paraId="54462016" w14:textId="77777777" w:rsidR="00A71EEF" w:rsidRDefault="00A71EEF">
      <w:pPr>
        <w:pStyle w:val="a3"/>
        <w:rPr>
          <w:sz w:val="20"/>
        </w:rPr>
      </w:pPr>
    </w:p>
    <w:p w14:paraId="2149C3A9" w14:textId="77777777" w:rsidR="00A71EEF" w:rsidRDefault="00A71EEF">
      <w:pPr>
        <w:pStyle w:val="a3"/>
        <w:rPr>
          <w:sz w:val="20"/>
        </w:rPr>
      </w:pPr>
    </w:p>
    <w:p w14:paraId="25E3F1CE" w14:textId="77777777" w:rsidR="00A71EEF" w:rsidRDefault="00A71EEF">
      <w:pPr>
        <w:pStyle w:val="a3"/>
        <w:rPr>
          <w:sz w:val="20"/>
        </w:rPr>
      </w:pPr>
    </w:p>
    <w:p w14:paraId="34C02349" w14:textId="77777777" w:rsidR="00A71EEF" w:rsidRDefault="00A71EEF">
      <w:pPr>
        <w:pStyle w:val="a3"/>
        <w:rPr>
          <w:sz w:val="20"/>
        </w:rPr>
      </w:pPr>
    </w:p>
    <w:p w14:paraId="4A166AE1" w14:textId="77777777" w:rsidR="00A71EEF" w:rsidRDefault="00A71EEF">
      <w:pPr>
        <w:pStyle w:val="a3"/>
        <w:spacing w:before="4"/>
        <w:rPr>
          <w:sz w:val="23"/>
        </w:rPr>
      </w:pPr>
    </w:p>
    <w:p w14:paraId="590F1EE4" w14:textId="77777777" w:rsidR="00A71EEF" w:rsidRDefault="0081115D">
      <w:pPr>
        <w:pStyle w:val="a3"/>
        <w:ind w:left="139"/>
        <w:rPr>
          <w:sz w:val="20"/>
        </w:rPr>
      </w:pPr>
      <w:r>
        <w:rPr>
          <w:noProof/>
          <w:sz w:val="20"/>
        </w:rPr>
        <w:drawing>
          <wp:inline distT="0" distB="0" distL="0" distR="0" wp14:anchorId="289267B8" wp14:editId="13A1BA77">
            <wp:extent cx="5358157" cy="4655343"/>
            <wp:effectExtent l="0" t="0" r="0" b="0"/>
            <wp:docPr id="407" name="image2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242.jpeg"/>
                    <pic:cNvPicPr/>
                  </pic:nvPicPr>
                  <pic:blipFill>
                    <a:blip r:embed="rId288" cstate="print"/>
                    <a:stretch>
                      <a:fillRect/>
                    </a:stretch>
                  </pic:blipFill>
                  <pic:spPr>
                    <a:xfrm>
                      <a:off x="0" y="0"/>
                      <a:ext cx="5358157" cy="4655343"/>
                    </a:xfrm>
                    <a:prstGeom prst="rect">
                      <a:avLst/>
                    </a:prstGeom>
                  </pic:spPr>
                </pic:pic>
              </a:graphicData>
            </a:graphic>
          </wp:inline>
        </w:drawing>
      </w:r>
    </w:p>
    <w:p w14:paraId="3420F2E9" w14:textId="77777777" w:rsidR="00A71EEF" w:rsidRDefault="00A71EEF">
      <w:pPr>
        <w:pStyle w:val="a3"/>
        <w:rPr>
          <w:sz w:val="20"/>
        </w:rPr>
      </w:pPr>
    </w:p>
    <w:p w14:paraId="6F13A591" w14:textId="77777777" w:rsidR="00A71EEF" w:rsidRDefault="00A71EEF">
      <w:pPr>
        <w:pStyle w:val="a3"/>
        <w:spacing w:before="1"/>
        <w:rPr>
          <w:sz w:val="26"/>
        </w:rPr>
      </w:pPr>
    </w:p>
    <w:p w14:paraId="5FC38C1B" w14:textId="77777777" w:rsidR="00A71EEF" w:rsidRDefault="0081115D">
      <w:pPr>
        <w:pStyle w:val="4"/>
        <w:spacing w:before="66"/>
      </w:pPr>
      <w:r>
        <w:t xml:space="preserve">6 </w:t>
      </w:r>
      <w:r>
        <w:t>试验方法</w:t>
      </w:r>
      <w:r>
        <w:rPr>
          <w:w w:val="99"/>
        </w:rPr>
        <w:t xml:space="preserve"> </w:t>
      </w:r>
    </w:p>
    <w:p w14:paraId="6BE2DF51" w14:textId="77777777" w:rsidR="00A71EEF" w:rsidRDefault="00A71EEF">
      <w:pPr>
        <w:pStyle w:val="a3"/>
        <w:spacing w:before="4"/>
        <w:rPr>
          <w:b/>
          <w:sz w:val="17"/>
        </w:rPr>
      </w:pPr>
    </w:p>
    <w:p w14:paraId="799E1BC3" w14:textId="77777777" w:rsidR="00A71EEF" w:rsidRDefault="0081115D">
      <w:pPr>
        <w:ind w:left="840"/>
        <w:rPr>
          <w:sz w:val="21"/>
        </w:rPr>
      </w:pPr>
      <w:r>
        <w:rPr>
          <w:b/>
          <w:sz w:val="21"/>
        </w:rPr>
        <w:t xml:space="preserve">6.1 </w:t>
      </w:r>
      <w:r>
        <w:rPr>
          <w:sz w:val="21"/>
        </w:rPr>
        <w:t>外观</w:t>
      </w:r>
      <w:r>
        <w:rPr>
          <w:sz w:val="21"/>
        </w:rPr>
        <w:t xml:space="preserve"> </w:t>
      </w:r>
    </w:p>
    <w:p w14:paraId="419BF310" w14:textId="77777777" w:rsidR="00A71EEF" w:rsidRDefault="00A71EEF">
      <w:pPr>
        <w:pStyle w:val="a3"/>
        <w:spacing w:before="2"/>
        <w:rPr>
          <w:sz w:val="18"/>
        </w:rPr>
      </w:pPr>
    </w:p>
    <w:p w14:paraId="16C883F5" w14:textId="77777777" w:rsidR="00A71EEF" w:rsidRDefault="0081115D">
      <w:pPr>
        <w:pStyle w:val="a3"/>
        <w:spacing w:line="446" w:lineRule="auto"/>
        <w:ind w:left="840" w:right="6337" w:hanging="3"/>
        <w:rPr>
          <w:b/>
        </w:rPr>
      </w:pPr>
      <w:r>
        <w:t>采用目测与手触摸结合的方法进行。</w:t>
      </w:r>
      <w:r>
        <w:rPr>
          <w:b/>
        </w:rPr>
        <w:t xml:space="preserve">6.2 </w:t>
      </w:r>
      <w:r>
        <w:t>表观密度</w:t>
      </w:r>
      <w:r>
        <w:rPr>
          <w:b/>
          <w:w w:val="99"/>
        </w:rPr>
        <w:t xml:space="preserve"> </w:t>
      </w:r>
    </w:p>
    <w:p w14:paraId="257B0AFF" w14:textId="77777777" w:rsidR="00A71EEF" w:rsidRDefault="0081115D">
      <w:pPr>
        <w:spacing w:line="267" w:lineRule="exact"/>
        <w:ind w:left="840"/>
        <w:rPr>
          <w:b/>
          <w:sz w:val="21"/>
        </w:rPr>
      </w:pPr>
      <w:r>
        <w:rPr>
          <w:b/>
          <w:sz w:val="21"/>
        </w:rPr>
        <w:t>6.2.1</w:t>
      </w:r>
      <w:r>
        <w:rPr>
          <w:b/>
          <w:spacing w:val="5"/>
          <w:sz w:val="21"/>
        </w:rPr>
        <w:t xml:space="preserve"> </w:t>
      </w:r>
      <w:r>
        <w:rPr>
          <w:spacing w:val="-3"/>
          <w:sz w:val="21"/>
        </w:rPr>
        <w:t>实验条件</w:t>
      </w:r>
      <w:r>
        <w:rPr>
          <w:b/>
          <w:w w:val="99"/>
          <w:sz w:val="21"/>
        </w:rPr>
        <w:t xml:space="preserve"> </w:t>
      </w:r>
    </w:p>
    <w:p w14:paraId="7C61ACED" w14:textId="77777777" w:rsidR="00A71EEF" w:rsidRDefault="00A71EEF">
      <w:pPr>
        <w:pStyle w:val="a3"/>
        <w:spacing w:before="2"/>
        <w:rPr>
          <w:b/>
          <w:sz w:val="18"/>
        </w:rPr>
      </w:pPr>
    </w:p>
    <w:p w14:paraId="4A340D90" w14:textId="77777777" w:rsidR="00A71EEF" w:rsidRDefault="0081115D">
      <w:pPr>
        <w:spacing w:line="446" w:lineRule="auto"/>
        <w:ind w:left="840" w:right="6757" w:hanging="3"/>
        <w:rPr>
          <w:b/>
          <w:sz w:val="21"/>
        </w:rPr>
      </w:pPr>
      <w:r>
        <w:rPr>
          <w:spacing w:val="-3"/>
          <w:sz w:val="21"/>
        </w:rPr>
        <w:t>密度测试应在常温条件下进行。</w:t>
      </w:r>
      <w:r>
        <w:rPr>
          <w:b/>
          <w:sz w:val="21"/>
        </w:rPr>
        <w:t>6.2.2</w:t>
      </w:r>
      <w:r>
        <w:rPr>
          <w:b/>
          <w:spacing w:val="2"/>
          <w:sz w:val="21"/>
        </w:rPr>
        <w:t xml:space="preserve"> </w:t>
      </w:r>
      <w:r>
        <w:rPr>
          <w:spacing w:val="-3"/>
          <w:sz w:val="21"/>
        </w:rPr>
        <w:t>试验装置</w:t>
      </w:r>
      <w:r>
        <w:rPr>
          <w:b/>
          <w:w w:val="99"/>
          <w:sz w:val="21"/>
        </w:rPr>
        <w:t xml:space="preserve"> </w:t>
      </w:r>
    </w:p>
    <w:p w14:paraId="49F924C1" w14:textId="77777777" w:rsidR="00A71EEF" w:rsidRDefault="00A71EEF">
      <w:pPr>
        <w:spacing w:line="446" w:lineRule="auto"/>
        <w:rPr>
          <w:sz w:val="21"/>
        </w:rPr>
        <w:sectPr w:rsidR="00A71EEF">
          <w:pgSz w:w="11910" w:h="16850"/>
          <w:pgMar w:top="1600" w:right="0" w:bottom="1420" w:left="1260" w:header="0" w:footer="1239" w:gutter="0"/>
          <w:cols w:space="720"/>
        </w:sectPr>
      </w:pPr>
    </w:p>
    <w:p w14:paraId="7603D8FA" w14:textId="77777777" w:rsidR="00A71EEF" w:rsidRDefault="00A71EEF">
      <w:pPr>
        <w:pStyle w:val="a3"/>
        <w:rPr>
          <w:b/>
          <w:sz w:val="9"/>
        </w:rPr>
      </w:pPr>
    </w:p>
    <w:p w14:paraId="0CA7D8FF" w14:textId="77777777" w:rsidR="00A71EEF" w:rsidRDefault="0081115D">
      <w:pPr>
        <w:pStyle w:val="a3"/>
        <w:tabs>
          <w:tab w:val="left" w:pos="3147"/>
        </w:tabs>
        <w:spacing w:before="72" w:line="446" w:lineRule="auto"/>
        <w:ind w:left="838" w:right="5869"/>
      </w:pPr>
      <w:r>
        <w:rPr>
          <w:noProof/>
        </w:rPr>
        <w:drawing>
          <wp:anchor distT="0" distB="0" distL="0" distR="0" simplePos="0" relativeHeight="251765248" behindDoc="1" locked="0" layoutInCell="1" allowOverlap="1" wp14:anchorId="3E7B18AF" wp14:editId="136EC6EC">
            <wp:simplePos x="0" y="0"/>
            <wp:positionH relativeFrom="page">
              <wp:posOffset>2665729</wp:posOffset>
            </wp:positionH>
            <wp:positionV relativeFrom="paragraph">
              <wp:posOffset>-69469</wp:posOffset>
            </wp:positionV>
            <wp:extent cx="116839" cy="241934"/>
            <wp:effectExtent l="0" t="0" r="0" b="0"/>
            <wp:wrapNone/>
            <wp:docPr id="409" name="image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243.png"/>
                    <pic:cNvPicPr/>
                  </pic:nvPicPr>
                  <pic:blipFill>
                    <a:blip r:embed="rId289" cstate="print"/>
                    <a:stretch>
                      <a:fillRect/>
                    </a:stretch>
                  </pic:blipFill>
                  <pic:spPr>
                    <a:xfrm>
                      <a:off x="0" y="0"/>
                      <a:ext cx="116839" cy="241934"/>
                    </a:xfrm>
                    <a:prstGeom prst="rect">
                      <a:avLst/>
                    </a:prstGeom>
                  </pic:spPr>
                </pic:pic>
              </a:graphicData>
            </a:graphic>
          </wp:anchor>
        </w:drawing>
      </w:r>
      <w:r>
        <w:t>不锈</w:t>
      </w:r>
      <w:r>
        <w:rPr>
          <w:spacing w:val="-3"/>
        </w:rPr>
        <w:t>钢</w:t>
      </w:r>
      <w:r>
        <w:t>容</w:t>
      </w:r>
      <w:r>
        <w:rPr>
          <w:spacing w:val="-3"/>
        </w:rPr>
        <w:t>器</w:t>
      </w:r>
      <w:r>
        <w:t>：</w:t>
      </w:r>
      <w:r>
        <w:rPr>
          <w:spacing w:val="-3"/>
        </w:rPr>
        <w:t>内</w:t>
      </w:r>
      <w:r>
        <w:t>径</w:t>
      </w:r>
      <w:r>
        <w:rPr>
          <w:spacing w:val="-3"/>
        </w:rPr>
        <w:t>为</w:t>
      </w:r>
      <w:r>
        <w:t>：</w:t>
      </w:r>
      <w:r>
        <w:tab/>
        <w:t>50mm</w:t>
      </w:r>
      <w:r>
        <w:t>，高</w:t>
      </w:r>
      <w:r>
        <w:rPr>
          <w:spacing w:val="-56"/>
        </w:rPr>
        <w:t xml:space="preserve"> </w:t>
      </w:r>
      <w:r>
        <w:t>50mm</w:t>
      </w:r>
      <w:r>
        <w:t>；</w:t>
      </w:r>
      <w:r>
        <w:t xml:space="preserve"> </w:t>
      </w:r>
      <w:r>
        <w:t>电子</w:t>
      </w:r>
      <w:r>
        <w:rPr>
          <w:spacing w:val="-3"/>
        </w:rPr>
        <w:t>天</w:t>
      </w:r>
      <w:r>
        <w:t>平</w:t>
      </w:r>
      <w:r>
        <w:rPr>
          <w:spacing w:val="-3"/>
        </w:rPr>
        <w:t>：</w:t>
      </w:r>
      <w:r>
        <w:t>量</w:t>
      </w:r>
      <w:r>
        <w:rPr>
          <w:spacing w:val="-3"/>
        </w:rPr>
        <w:t>程大</w:t>
      </w:r>
      <w:r>
        <w:t>于</w:t>
      </w:r>
      <w:r>
        <w:rPr>
          <w:spacing w:val="37"/>
        </w:rPr>
        <w:t xml:space="preserve"> </w:t>
      </w:r>
      <w:r>
        <w:t>100g</w:t>
      </w:r>
      <w:r>
        <w:t>，</w:t>
      </w:r>
      <w:r>
        <w:rPr>
          <w:spacing w:val="-3"/>
        </w:rPr>
        <w:t>精</w:t>
      </w:r>
      <w:r>
        <w:t>度</w:t>
      </w:r>
      <w:r>
        <w:rPr>
          <w:spacing w:val="36"/>
        </w:rPr>
        <w:t xml:space="preserve"> </w:t>
      </w:r>
      <w:r>
        <w:t xml:space="preserve">0.1g; </w:t>
      </w:r>
      <w:r>
        <w:t>电子</w:t>
      </w:r>
      <w:r>
        <w:rPr>
          <w:spacing w:val="-3"/>
        </w:rPr>
        <w:t>天</w:t>
      </w:r>
      <w:r>
        <w:t>平</w:t>
      </w:r>
      <w:r>
        <w:rPr>
          <w:spacing w:val="-3"/>
        </w:rPr>
        <w:t>:</w:t>
      </w:r>
      <w:r>
        <w:t>量程</w:t>
      </w:r>
      <w:r>
        <w:rPr>
          <w:spacing w:val="-55"/>
        </w:rPr>
        <w:t xml:space="preserve"> </w:t>
      </w:r>
      <w:r>
        <w:t>1000g</w:t>
      </w:r>
      <w:r>
        <w:t>，</w:t>
      </w:r>
      <w:r>
        <w:rPr>
          <w:spacing w:val="-3"/>
        </w:rPr>
        <w:t>精</w:t>
      </w:r>
      <w:r>
        <w:t>度</w:t>
      </w:r>
      <w:r>
        <w:rPr>
          <w:spacing w:val="-53"/>
        </w:rPr>
        <w:t xml:space="preserve"> </w:t>
      </w:r>
      <w:r>
        <w:t xml:space="preserve">1g; </w:t>
      </w:r>
    </w:p>
    <w:p w14:paraId="1E3C70F3" w14:textId="77777777" w:rsidR="00A71EEF" w:rsidRDefault="0081115D">
      <w:pPr>
        <w:pStyle w:val="a3"/>
        <w:spacing w:line="268" w:lineRule="exact"/>
        <w:ind w:left="838"/>
      </w:pPr>
      <w:r>
        <w:t>直尺</w:t>
      </w:r>
      <w:r>
        <w:t>:</w:t>
      </w:r>
      <w:r>
        <w:t>精度</w:t>
      </w:r>
      <w:r>
        <w:t xml:space="preserve"> 1mm</w:t>
      </w:r>
      <w:r>
        <w:t>；</w:t>
      </w:r>
      <w:r>
        <w:t xml:space="preserve"> </w:t>
      </w:r>
    </w:p>
    <w:p w14:paraId="0FC5EA9B" w14:textId="77777777" w:rsidR="00A71EEF" w:rsidRDefault="00A71EEF">
      <w:pPr>
        <w:pStyle w:val="a3"/>
        <w:spacing w:before="12"/>
        <w:rPr>
          <w:sz w:val="17"/>
        </w:rPr>
      </w:pPr>
    </w:p>
    <w:p w14:paraId="36C5E4FF" w14:textId="77777777" w:rsidR="00A71EEF" w:rsidRDefault="0081115D">
      <w:pPr>
        <w:pStyle w:val="a3"/>
        <w:ind w:left="838"/>
      </w:pPr>
      <w:r>
        <w:t>游标卡尺</w:t>
      </w:r>
      <w:r>
        <w:t>:</w:t>
      </w:r>
      <w:r>
        <w:t>精度</w:t>
      </w:r>
      <w:r>
        <w:t xml:space="preserve"> 0.02mm</w:t>
      </w:r>
      <w:r>
        <w:t>；</w:t>
      </w:r>
      <w:r>
        <w:t xml:space="preserve"> </w:t>
      </w:r>
    </w:p>
    <w:p w14:paraId="60EED650" w14:textId="77777777" w:rsidR="00A71EEF" w:rsidRDefault="00A71EEF">
      <w:pPr>
        <w:pStyle w:val="a3"/>
        <w:rPr>
          <w:sz w:val="18"/>
        </w:rPr>
      </w:pPr>
    </w:p>
    <w:p w14:paraId="45A0A66F" w14:textId="77777777" w:rsidR="00A71EEF" w:rsidRDefault="0081115D">
      <w:pPr>
        <w:pStyle w:val="a3"/>
        <w:ind w:left="838"/>
      </w:pPr>
      <w:r>
        <w:t>量筒</w:t>
      </w:r>
      <w:r>
        <w:t>:1200mL</w:t>
      </w:r>
      <w:r>
        <w:t>；</w:t>
      </w:r>
      <w:r>
        <w:t xml:space="preserve"> </w:t>
      </w:r>
    </w:p>
    <w:p w14:paraId="3F1DD554" w14:textId="77777777" w:rsidR="00A71EEF" w:rsidRDefault="0081115D">
      <w:pPr>
        <w:spacing w:before="165" w:line="350" w:lineRule="auto"/>
        <w:ind w:left="840" w:right="7074" w:hanging="3"/>
        <w:rPr>
          <w:b/>
          <w:sz w:val="21"/>
        </w:rPr>
      </w:pPr>
      <w:r>
        <w:rPr>
          <w:sz w:val="21"/>
        </w:rPr>
        <w:t>电热鼓风干燥箱</w:t>
      </w:r>
      <w:r>
        <w:rPr>
          <w:sz w:val="21"/>
        </w:rPr>
        <w:t>:0</w:t>
      </w:r>
      <w:r>
        <w:rPr>
          <w:rFonts w:ascii="微软雅黑" w:eastAsia="微软雅黑" w:hAnsi="微软雅黑" w:hint="eastAsia"/>
          <w:sz w:val="21"/>
        </w:rPr>
        <w:t>〜</w:t>
      </w:r>
      <w:r>
        <w:rPr>
          <w:sz w:val="21"/>
        </w:rPr>
        <w:t>200℃</w:t>
      </w:r>
      <w:r>
        <w:rPr>
          <w:sz w:val="21"/>
        </w:rPr>
        <w:t>。</w:t>
      </w:r>
      <w:r>
        <w:rPr>
          <w:b/>
          <w:sz w:val="21"/>
        </w:rPr>
        <w:t xml:space="preserve">6.2.3 </w:t>
      </w:r>
      <w:r>
        <w:rPr>
          <w:sz w:val="21"/>
        </w:rPr>
        <w:t>试验程序</w:t>
      </w:r>
      <w:r>
        <w:rPr>
          <w:sz w:val="21"/>
        </w:rPr>
        <w:t xml:space="preserve">  </w:t>
      </w:r>
      <w:r>
        <w:rPr>
          <w:b/>
          <w:w w:val="99"/>
          <w:sz w:val="21"/>
        </w:rPr>
        <w:t xml:space="preserve"> </w:t>
      </w:r>
    </w:p>
    <w:p w14:paraId="768DCBA8" w14:textId="77777777" w:rsidR="00A71EEF" w:rsidRDefault="0081115D">
      <w:pPr>
        <w:pStyle w:val="a3"/>
        <w:spacing w:before="108"/>
        <w:ind w:left="838"/>
      </w:pPr>
      <w:r>
        <w:t xml:space="preserve">6.2.3.1 </w:t>
      </w:r>
      <w:r>
        <w:t>柔性有机堵料、防火密封胶</w:t>
      </w:r>
      <w:r>
        <w:t xml:space="preserve"> </w:t>
      </w:r>
    </w:p>
    <w:p w14:paraId="38CAEB8F" w14:textId="77777777" w:rsidR="00A71EEF" w:rsidRDefault="0081115D">
      <w:pPr>
        <w:pStyle w:val="a3"/>
        <w:spacing w:before="51" w:line="362" w:lineRule="auto"/>
        <w:ind w:left="418" w:right="1506" w:firstLine="419"/>
      </w:pPr>
      <w:r>
        <w:t>将防</w:t>
      </w:r>
      <w:r>
        <w:rPr>
          <w:spacing w:val="-3"/>
        </w:rPr>
        <w:t>火</w:t>
      </w:r>
      <w:r>
        <w:t>密</w:t>
      </w:r>
      <w:r>
        <w:rPr>
          <w:spacing w:val="-3"/>
        </w:rPr>
        <w:t>封</w:t>
      </w:r>
      <w:r>
        <w:t>胶</w:t>
      </w:r>
      <w:r>
        <w:rPr>
          <w:spacing w:val="-3"/>
        </w:rPr>
        <w:t>或</w:t>
      </w:r>
      <w:r>
        <w:t>混</w:t>
      </w:r>
      <w:r>
        <w:rPr>
          <w:spacing w:val="-3"/>
        </w:rPr>
        <w:t>合</w:t>
      </w:r>
      <w:r>
        <w:t>均</w:t>
      </w:r>
      <w:r>
        <w:rPr>
          <w:spacing w:val="-3"/>
        </w:rPr>
        <w:t>匀</w:t>
      </w:r>
      <w:r>
        <w:t>的柔</w:t>
      </w:r>
      <w:r>
        <w:rPr>
          <w:spacing w:val="-3"/>
        </w:rPr>
        <w:t>性</w:t>
      </w:r>
      <w:r>
        <w:t>有</w:t>
      </w:r>
      <w:r>
        <w:rPr>
          <w:spacing w:val="-3"/>
        </w:rPr>
        <w:t>机</w:t>
      </w:r>
      <w:r>
        <w:t>堵</w:t>
      </w:r>
      <w:r>
        <w:rPr>
          <w:spacing w:val="-3"/>
        </w:rPr>
        <w:t>料</w:t>
      </w:r>
      <w:r>
        <w:t>放</w:t>
      </w:r>
      <w:r>
        <w:rPr>
          <w:spacing w:val="-3"/>
        </w:rPr>
        <w:t>入</w:t>
      </w:r>
      <w:r>
        <w:t>一</w:t>
      </w:r>
      <w:r>
        <w:rPr>
          <w:spacing w:val="-3"/>
        </w:rPr>
        <w:t>个</w:t>
      </w:r>
      <w:r>
        <w:t>内径</w:t>
      </w:r>
      <w:r>
        <w:rPr>
          <w:spacing w:val="-7"/>
        </w:rPr>
        <w:t>为</w:t>
      </w:r>
      <w:r>
        <w:rPr>
          <w:spacing w:val="-76"/>
        </w:rPr>
        <w:t xml:space="preserve"> </w:t>
      </w:r>
      <w:r>
        <w:rPr>
          <w:noProof/>
          <w:spacing w:val="-7"/>
          <w:position w:val="1"/>
        </w:rPr>
        <w:drawing>
          <wp:inline distT="0" distB="0" distL="0" distR="0" wp14:anchorId="1BD1FAF1" wp14:editId="6194B3A9">
            <wp:extent cx="116839" cy="241934"/>
            <wp:effectExtent l="0" t="0" r="0" b="0"/>
            <wp:docPr id="411" name="image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243.png"/>
                    <pic:cNvPicPr/>
                  </pic:nvPicPr>
                  <pic:blipFill>
                    <a:blip r:embed="rId289" cstate="print"/>
                    <a:stretch>
                      <a:fillRect/>
                    </a:stretch>
                  </pic:blipFill>
                  <pic:spPr>
                    <a:xfrm>
                      <a:off x="0" y="0"/>
                      <a:ext cx="116839" cy="241934"/>
                    </a:xfrm>
                    <a:prstGeom prst="rect">
                      <a:avLst/>
                    </a:prstGeom>
                  </pic:spPr>
                </pic:pic>
              </a:graphicData>
            </a:graphic>
          </wp:inline>
        </w:drawing>
      </w:r>
      <w:r>
        <w:rPr>
          <w:rFonts w:ascii="Times New Roman" w:eastAsia="Times New Roman"/>
          <w:spacing w:val="-17"/>
        </w:rPr>
        <w:t xml:space="preserve"> </w:t>
      </w:r>
      <w:r>
        <w:t>50mm</w:t>
      </w:r>
      <w:r>
        <w:t>，高</w:t>
      </w:r>
      <w:r>
        <w:rPr>
          <w:spacing w:val="-43"/>
        </w:rPr>
        <w:t xml:space="preserve"> </w:t>
      </w:r>
      <w:r>
        <w:t>50mm</w:t>
      </w:r>
      <w:r>
        <w:rPr>
          <w:spacing w:val="-43"/>
        </w:rPr>
        <w:t xml:space="preserve"> </w:t>
      </w:r>
      <w:r>
        <w:rPr>
          <w:spacing w:val="-3"/>
        </w:rPr>
        <w:t>的不</w:t>
      </w:r>
      <w:r>
        <w:t>锈钢</w:t>
      </w:r>
      <w:r>
        <w:rPr>
          <w:spacing w:val="-3"/>
        </w:rPr>
        <w:t>容</w:t>
      </w:r>
      <w:r>
        <w:t>器</w:t>
      </w:r>
      <w:r>
        <w:t xml:space="preserve"> </w:t>
      </w:r>
      <w:r>
        <w:rPr>
          <w:spacing w:val="-5"/>
        </w:rPr>
        <w:t>中。</w:t>
      </w:r>
      <w:r>
        <w:rPr>
          <w:spacing w:val="-5"/>
        </w:rPr>
        <w:t xml:space="preserve"> </w:t>
      </w:r>
      <w:r>
        <w:rPr>
          <w:spacing w:val="-5"/>
        </w:rPr>
        <w:t>用直径为</w:t>
      </w:r>
      <w:r>
        <w:rPr>
          <w:spacing w:val="-5"/>
        </w:rPr>
        <w:t xml:space="preserve"> </w:t>
      </w:r>
      <w:r>
        <w:t>5mm</w:t>
      </w:r>
      <w:r>
        <w:rPr>
          <w:spacing w:val="-8"/>
        </w:rPr>
        <w:t xml:space="preserve"> </w:t>
      </w:r>
      <w:r>
        <w:rPr>
          <w:spacing w:val="-8"/>
        </w:rPr>
        <w:t>的不锈钢棒插捣，使其充满整个容器，并用不锈钢板将表面抹平，使其上表</w:t>
      </w:r>
    </w:p>
    <w:p w14:paraId="5BBBACC8" w14:textId="77777777" w:rsidR="00A71EEF" w:rsidRDefault="0081115D">
      <w:pPr>
        <w:pStyle w:val="a3"/>
        <w:spacing w:before="128"/>
        <w:ind w:left="418"/>
        <w:rPr>
          <w:sz w:val="11"/>
        </w:rPr>
      </w:pPr>
      <w:r>
        <w:rPr>
          <w:spacing w:val="-5"/>
          <w:position w:val="1"/>
        </w:rPr>
        <w:t>面与不锈钢容器的上表面处于同一平面。准确称量其质量</w:t>
      </w:r>
      <w:r>
        <w:rPr>
          <w:spacing w:val="-5"/>
          <w:position w:val="1"/>
        </w:rPr>
        <w:t xml:space="preserve"> </w:t>
      </w:r>
      <w:r>
        <w:rPr>
          <w:position w:val="1"/>
        </w:rPr>
        <w:t>m</w:t>
      </w:r>
      <w:r>
        <w:rPr>
          <w:sz w:val="11"/>
        </w:rPr>
        <w:t>2</w:t>
      </w:r>
      <w:r>
        <w:rPr>
          <w:position w:val="1"/>
        </w:rPr>
        <w:t>，</w:t>
      </w:r>
      <w:r>
        <w:rPr>
          <w:position w:val="1"/>
        </w:rPr>
        <w:t>m</w:t>
      </w:r>
      <w:r>
        <w:rPr>
          <w:sz w:val="11"/>
        </w:rPr>
        <w:t>2</w:t>
      </w:r>
      <w:r>
        <w:rPr>
          <w:spacing w:val="-20"/>
          <w:sz w:val="11"/>
        </w:rPr>
        <w:t xml:space="preserve"> </w:t>
      </w:r>
      <w:r>
        <w:rPr>
          <w:spacing w:val="-6"/>
          <w:position w:val="1"/>
        </w:rPr>
        <w:t>减去不锈钢容器本身的质量</w:t>
      </w:r>
      <w:r>
        <w:rPr>
          <w:spacing w:val="-6"/>
          <w:position w:val="1"/>
        </w:rPr>
        <w:t xml:space="preserve"> </w:t>
      </w:r>
      <w:r>
        <w:rPr>
          <w:position w:val="1"/>
        </w:rPr>
        <w:t>m</w:t>
      </w:r>
      <w:r>
        <w:rPr>
          <w:sz w:val="11"/>
        </w:rPr>
        <w:t>1</w:t>
      </w:r>
      <w:r>
        <w:rPr>
          <w:sz w:val="11"/>
        </w:rPr>
        <w:t>，</w:t>
      </w:r>
    </w:p>
    <w:p w14:paraId="49E05AB5" w14:textId="77777777" w:rsidR="00A71EEF" w:rsidRDefault="00A71EEF">
      <w:pPr>
        <w:pStyle w:val="a3"/>
        <w:spacing w:before="2"/>
        <w:rPr>
          <w:sz w:val="18"/>
        </w:rPr>
      </w:pPr>
    </w:p>
    <w:p w14:paraId="3F04BABB" w14:textId="77777777" w:rsidR="00A71EEF" w:rsidRDefault="0081115D">
      <w:pPr>
        <w:pStyle w:val="a3"/>
        <w:ind w:left="418"/>
      </w:pPr>
      <w:r>
        <w:t>即为试样的量</w:t>
      </w:r>
      <w:r>
        <w:t>m</w:t>
      </w:r>
      <w:r>
        <w:t>，精确至</w:t>
      </w:r>
      <w:r>
        <w:t xml:space="preserve"> 0.1g</w:t>
      </w:r>
      <w:r>
        <w:t>。</w:t>
      </w:r>
      <w:r>
        <w:t xml:space="preserve"> </w:t>
      </w:r>
    </w:p>
    <w:p w14:paraId="337C5DC5" w14:textId="77777777" w:rsidR="00A71EEF" w:rsidRDefault="00A71EEF">
      <w:pPr>
        <w:pStyle w:val="a3"/>
        <w:rPr>
          <w:sz w:val="18"/>
        </w:rPr>
      </w:pPr>
    </w:p>
    <w:p w14:paraId="45260D22" w14:textId="77777777" w:rsidR="00A71EEF" w:rsidRDefault="0081115D">
      <w:pPr>
        <w:pStyle w:val="a3"/>
        <w:ind w:left="838"/>
      </w:pPr>
      <w:r>
        <w:rPr>
          <w:noProof/>
        </w:rPr>
        <w:drawing>
          <wp:anchor distT="0" distB="0" distL="0" distR="0" simplePos="0" relativeHeight="251611648" behindDoc="0" locked="0" layoutInCell="1" allowOverlap="1" wp14:anchorId="20BD3882" wp14:editId="162D8C1A">
            <wp:simplePos x="0" y="0"/>
            <wp:positionH relativeFrom="page">
              <wp:posOffset>2875167</wp:posOffset>
            </wp:positionH>
            <wp:positionV relativeFrom="paragraph">
              <wp:posOffset>194944</wp:posOffset>
            </wp:positionV>
            <wp:extent cx="3346125" cy="201167"/>
            <wp:effectExtent l="0" t="0" r="0" b="0"/>
            <wp:wrapTopAndBottom/>
            <wp:docPr id="413" name="image2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244.jpeg"/>
                    <pic:cNvPicPr/>
                  </pic:nvPicPr>
                  <pic:blipFill>
                    <a:blip r:embed="rId290" cstate="print"/>
                    <a:stretch>
                      <a:fillRect/>
                    </a:stretch>
                  </pic:blipFill>
                  <pic:spPr>
                    <a:xfrm>
                      <a:off x="0" y="0"/>
                      <a:ext cx="3346125" cy="201167"/>
                    </a:xfrm>
                    <a:prstGeom prst="rect">
                      <a:avLst/>
                    </a:prstGeom>
                  </pic:spPr>
                </pic:pic>
              </a:graphicData>
            </a:graphic>
          </wp:anchor>
        </w:drawing>
      </w:r>
      <w:r>
        <w:t>表观密度</w:t>
      </w:r>
      <w:r>
        <w:t>ρ</w:t>
      </w:r>
      <w:r>
        <w:t>（</w:t>
      </w:r>
      <w:r>
        <w:t>kg/m³</w:t>
      </w:r>
      <w:r>
        <w:t>）按式（</w:t>
      </w:r>
      <w:r>
        <w:t>1)</w:t>
      </w:r>
      <w:r>
        <w:t>计算</w:t>
      </w:r>
      <w:r>
        <w:t xml:space="preserve">: </w:t>
      </w:r>
    </w:p>
    <w:p w14:paraId="5FD29E87" w14:textId="77777777" w:rsidR="00A71EEF" w:rsidRDefault="00A71EEF">
      <w:pPr>
        <w:pStyle w:val="a3"/>
        <w:spacing w:before="4"/>
        <w:rPr>
          <w:sz w:val="26"/>
        </w:rPr>
      </w:pPr>
    </w:p>
    <w:p w14:paraId="2E187E55" w14:textId="77777777" w:rsidR="00A71EEF" w:rsidRDefault="0081115D">
      <w:pPr>
        <w:pStyle w:val="a3"/>
        <w:spacing w:before="1"/>
        <w:ind w:left="838"/>
      </w:pPr>
      <w:r>
        <w:t>式中</w:t>
      </w:r>
      <w:r>
        <w:t xml:space="preserve"> </w:t>
      </w:r>
      <w:r>
        <w:rPr>
          <w:i/>
          <w:sz w:val="22"/>
        </w:rPr>
        <w:t>ρ</w:t>
      </w:r>
      <w:r>
        <w:t>——</w:t>
      </w:r>
      <w:r>
        <w:t>表观密度，单位为千克每立方米</w:t>
      </w:r>
      <w:r>
        <w:t xml:space="preserve">(kg/m³); </w:t>
      </w:r>
    </w:p>
    <w:p w14:paraId="7CB33BD2" w14:textId="77777777" w:rsidR="00A71EEF" w:rsidRDefault="00A71EEF">
      <w:pPr>
        <w:pStyle w:val="a3"/>
        <w:spacing w:before="12"/>
        <w:rPr>
          <w:sz w:val="16"/>
        </w:rPr>
      </w:pPr>
    </w:p>
    <w:p w14:paraId="030AE94B" w14:textId="77777777" w:rsidR="00A71EEF" w:rsidRDefault="0081115D">
      <w:pPr>
        <w:pStyle w:val="a3"/>
        <w:ind w:left="1469"/>
      </w:pPr>
      <w:r>
        <w:rPr>
          <w:i/>
          <w:sz w:val="22"/>
        </w:rPr>
        <w:t>m</w:t>
      </w:r>
      <w:r>
        <w:t>——</w:t>
      </w:r>
      <w:r>
        <w:t>试样的质量，单位为千克（</w:t>
      </w:r>
      <w:r>
        <w:t xml:space="preserve">kg); </w:t>
      </w:r>
    </w:p>
    <w:p w14:paraId="54A49B6A" w14:textId="77777777" w:rsidR="00A71EEF" w:rsidRDefault="00A71EEF">
      <w:pPr>
        <w:pStyle w:val="a3"/>
        <w:spacing w:before="12"/>
        <w:rPr>
          <w:sz w:val="16"/>
        </w:rPr>
      </w:pPr>
    </w:p>
    <w:p w14:paraId="49EB220D" w14:textId="77777777" w:rsidR="00A71EEF" w:rsidRDefault="0081115D">
      <w:pPr>
        <w:pStyle w:val="a3"/>
        <w:ind w:left="1469"/>
      </w:pPr>
      <w:r>
        <w:rPr>
          <w:i/>
          <w:sz w:val="22"/>
        </w:rPr>
        <w:t>V</w:t>
      </w:r>
      <w:r>
        <w:t>—</w:t>
      </w:r>
      <w:r>
        <w:t>不锈钢容器净空体积，单位为立方米</w:t>
      </w:r>
      <w:r>
        <w:t>(m³)</w:t>
      </w:r>
      <w:r>
        <w:t>。</w:t>
      </w:r>
      <w:r>
        <w:t xml:space="preserve"> </w:t>
      </w:r>
    </w:p>
    <w:p w14:paraId="5C8636D2" w14:textId="77777777" w:rsidR="00A71EEF" w:rsidRDefault="00A71EEF">
      <w:pPr>
        <w:pStyle w:val="a3"/>
        <w:spacing w:before="12"/>
        <w:rPr>
          <w:sz w:val="17"/>
        </w:rPr>
      </w:pPr>
    </w:p>
    <w:p w14:paraId="23F1F7EC" w14:textId="77777777" w:rsidR="00A71EEF" w:rsidRDefault="0081115D">
      <w:pPr>
        <w:pStyle w:val="a3"/>
        <w:spacing w:line="446" w:lineRule="auto"/>
        <w:ind w:left="418" w:right="1395" w:firstLine="419"/>
      </w:pPr>
      <w:r>
        <w:t>试验数据取两次试验结果的算术平均值，取整到</w:t>
      </w:r>
      <w:r>
        <w:t xml:space="preserve"> 0.1×10³kg/m³</w:t>
      </w:r>
      <w:r>
        <w:t>。两次试验结果之差不得超过</w:t>
      </w:r>
      <w:r>
        <w:t xml:space="preserve"> 0.2×10m³kg/m³</w:t>
      </w:r>
      <w:r>
        <w:t>。</w:t>
      </w:r>
      <w:r>
        <w:t xml:space="preserve"> </w:t>
      </w:r>
    </w:p>
    <w:p w14:paraId="14C0E637" w14:textId="77777777" w:rsidR="00A71EEF" w:rsidRDefault="0081115D">
      <w:pPr>
        <w:pStyle w:val="a3"/>
        <w:spacing w:line="267" w:lineRule="exact"/>
        <w:ind w:left="838"/>
        <w:rPr>
          <w:b/>
        </w:rPr>
      </w:pPr>
      <w:r>
        <w:t xml:space="preserve">6. 2. 3. 2 </w:t>
      </w:r>
      <w:r>
        <w:t>无机堵料、阻火包</w:t>
      </w:r>
      <w:r>
        <w:rPr>
          <w:b/>
          <w:w w:val="99"/>
        </w:rPr>
        <w:t xml:space="preserve"> </w:t>
      </w:r>
    </w:p>
    <w:p w14:paraId="474C786A" w14:textId="77777777" w:rsidR="00A71EEF" w:rsidRDefault="00A71EEF">
      <w:pPr>
        <w:pStyle w:val="a3"/>
        <w:spacing w:before="2"/>
        <w:rPr>
          <w:b/>
          <w:sz w:val="18"/>
        </w:rPr>
      </w:pPr>
    </w:p>
    <w:p w14:paraId="5BB44955" w14:textId="77777777" w:rsidR="00A71EEF" w:rsidRDefault="0081115D">
      <w:pPr>
        <w:pStyle w:val="a3"/>
        <w:ind w:left="838"/>
      </w:pPr>
      <w:r>
        <w:t>将阻火包内装材料放人电热鼓风干燥箱内，在</w:t>
      </w:r>
      <w:r>
        <w:t xml:space="preserve"> 65°C±2°C </w:t>
      </w:r>
      <w:r>
        <w:t>条件下烘干至恒重。</w:t>
      </w:r>
      <w:r>
        <w:t xml:space="preserve"> </w:t>
      </w:r>
    </w:p>
    <w:p w14:paraId="2E6E1F04" w14:textId="77777777" w:rsidR="00A71EEF" w:rsidRDefault="00A71EEF">
      <w:pPr>
        <w:pStyle w:val="a3"/>
        <w:spacing w:before="12"/>
        <w:rPr>
          <w:sz w:val="17"/>
        </w:rPr>
      </w:pPr>
    </w:p>
    <w:p w14:paraId="51A8ADD3" w14:textId="77777777" w:rsidR="00A71EEF" w:rsidRDefault="0081115D">
      <w:pPr>
        <w:pStyle w:val="a3"/>
        <w:spacing w:line="446" w:lineRule="auto"/>
        <w:ind w:left="418" w:right="1613" w:firstLine="419"/>
      </w:pPr>
      <w:r>
        <w:rPr>
          <w:spacing w:val="-3"/>
        </w:rPr>
        <w:t>将试样</w:t>
      </w:r>
      <w:r>
        <w:rPr>
          <w:spacing w:val="-3"/>
        </w:rPr>
        <w:t>(</w:t>
      </w:r>
      <w:r>
        <w:rPr>
          <w:spacing w:val="-3"/>
        </w:rPr>
        <w:t>无机堵料或阻火包内装材料）</w:t>
      </w:r>
      <w:r>
        <w:rPr>
          <w:spacing w:val="-6"/>
        </w:rPr>
        <w:t>混合均匀后，缓慢放入量程不小于</w:t>
      </w:r>
      <w:r>
        <w:rPr>
          <w:spacing w:val="-6"/>
        </w:rPr>
        <w:t xml:space="preserve"> </w:t>
      </w:r>
      <w:r>
        <w:t>1200mL</w:t>
      </w:r>
      <w:r>
        <w:rPr>
          <w:spacing w:val="-9"/>
        </w:rPr>
        <w:t xml:space="preserve"> </w:t>
      </w:r>
      <w:r>
        <w:rPr>
          <w:spacing w:val="-9"/>
        </w:rPr>
        <w:t>的量筒中</w:t>
      </w:r>
      <w:r>
        <w:rPr>
          <w:spacing w:val="-30"/>
        </w:rPr>
        <w:t>至</w:t>
      </w:r>
      <w:r>
        <w:rPr>
          <w:spacing w:val="-30"/>
        </w:rPr>
        <w:t xml:space="preserve"> </w:t>
      </w:r>
      <w:r>
        <w:t>1000mL</w:t>
      </w:r>
      <w:r>
        <w:rPr>
          <w:spacing w:val="-11"/>
        </w:rPr>
        <w:t xml:space="preserve"> </w:t>
      </w:r>
      <w:r>
        <w:rPr>
          <w:spacing w:val="-11"/>
        </w:rPr>
        <w:t>左右，轻轻振动量筒，使量筒中的试样与刻度线相平，记录下刻度读数</w:t>
      </w:r>
      <w:r>
        <w:rPr>
          <w:spacing w:val="-11"/>
        </w:rPr>
        <w:t xml:space="preserve"> </w:t>
      </w:r>
      <w:r>
        <w:rPr>
          <w:spacing w:val="-3"/>
        </w:rPr>
        <w:t>V</w:t>
      </w:r>
      <w:r>
        <w:rPr>
          <w:spacing w:val="-3"/>
        </w:rPr>
        <w:t>。</w:t>
      </w:r>
      <w:r>
        <w:t xml:space="preserve"> </w:t>
      </w:r>
    </w:p>
    <w:p w14:paraId="4F215B88" w14:textId="77777777" w:rsidR="00A71EEF" w:rsidRDefault="0081115D">
      <w:pPr>
        <w:pStyle w:val="a3"/>
        <w:ind w:left="838"/>
      </w:pPr>
      <w:r>
        <w:t>称量空量筒的质量和装入试样后的量筒质量，两者之差即为试样的质量，精确至</w:t>
      </w:r>
      <w:r>
        <w:t xml:space="preserve"> 0.1g</w:t>
      </w:r>
      <w:r>
        <w:t>。</w:t>
      </w:r>
      <w:r>
        <w:t xml:space="preserve"> </w:t>
      </w:r>
    </w:p>
    <w:p w14:paraId="4DC14F1D" w14:textId="77777777" w:rsidR="00A71EEF" w:rsidRDefault="00A71EEF">
      <w:pPr>
        <w:pStyle w:val="a3"/>
        <w:rPr>
          <w:sz w:val="18"/>
        </w:rPr>
      </w:pPr>
    </w:p>
    <w:p w14:paraId="0C04FC28" w14:textId="77777777" w:rsidR="00A71EEF" w:rsidRDefault="0081115D">
      <w:pPr>
        <w:pStyle w:val="a3"/>
        <w:ind w:left="838"/>
      </w:pPr>
      <w:r>
        <w:rPr>
          <w:noProof/>
        </w:rPr>
        <w:drawing>
          <wp:anchor distT="0" distB="0" distL="0" distR="0" simplePos="0" relativeHeight="251612672" behindDoc="0" locked="0" layoutInCell="1" allowOverlap="1" wp14:anchorId="6C646FC0" wp14:editId="641FFC54">
            <wp:simplePos x="0" y="0"/>
            <wp:positionH relativeFrom="page">
              <wp:posOffset>2255773</wp:posOffset>
            </wp:positionH>
            <wp:positionV relativeFrom="paragraph">
              <wp:posOffset>220344</wp:posOffset>
            </wp:positionV>
            <wp:extent cx="3353985" cy="224028"/>
            <wp:effectExtent l="0" t="0" r="0" b="0"/>
            <wp:wrapTopAndBottom/>
            <wp:docPr id="415" name="image2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245.jpeg"/>
                    <pic:cNvPicPr/>
                  </pic:nvPicPr>
                  <pic:blipFill>
                    <a:blip r:embed="rId291" cstate="print"/>
                    <a:stretch>
                      <a:fillRect/>
                    </a:stretch>
                  </pic:blipFill>
                  <pic:spPr>
                    <a:xfrm>
                      <a:off x="0" y="0"/>
                      <a:ext cx="3353985" cy="224028"/>
                    </a:xfrm>
                    <a:prstGeom prst="rect">
                      <a:avLst/>
                    </a:prstGeom>
                  </pic:spPr>
                </pic:pic>
              </a:graphicData>
            </a:graphic>
          </wp:anchor>
        </w:drawing>
      </w:r>
      <w:r>
        <w:t>表观密度按式</w:t>
      </w:r>
      <w:r>
        <w:t>(2)</w:t>
      </w:r>
      <w:r>
        <w:t>计算</w:t>
      </w:r>
      <w:r>
        <w:t xml:space="preserve">: </w:t>
      </w:r>
    </w:p>
    <w:p w14:paraId="364A3E3C" w14:textId="77777777" w:rsidR="00A71EEF" w:rsidRDefault="00A71EEF">
      <w:pPr>
        <w:pStyle w:val="a3"/>
        <w:spacing w:before="5"/>
        <w:rPr>
          <w:sz w:val="20"/>
        </w:rPr>
      </w:pPr>
    </w:p>
    <w:p w14:paraId="59424402" w14:textId="77777777" w:rsidR="00A71EEF" w:rsidRDefault="0081115D">
      <w:pPr>
        <w:pStyle w:val="a3"/>
        <w:ind w:left="838"/>
      </w:pPr>
      <w:r>
        <w:t>式中</w:t>
      </w:r>
      <w:r>
        <w:t xml:space="preserve"> </w:t>
      </w:r>
      <w:r>
        <w:rPr>
          <w:i/>
          <w:sz w:val="22"/>
        </w:rPr>
        <w:t>ρ</w:t>
      </w:r>
      <w:r>
        <w:t>——</w:t>
      </w:r>
      <w:r>
        <w:t>表观密度，单位为千克每立方米</w:t>
      </w:r>
      <w:r>
        <w:t>(kg/m</w:t>
      </w:r>
      <w:r>
        <w:rPr>
          <w:position w:val="11"/>
          <w:sz w:val="11"/>
        </w:rPr>
        <w:t>3</w:t>
      </w:r>
      <w:r>
        <w:t xml:space="preserve">); </w:t>
      </w:r>
    </w:p>
    <w:p w14:paraId="5E37F41D" w14:textId="77777777" w:rsidR="00A71EEF" w:rsidRDefault="00A71EEF">
      <w:pPr>
        <w:sectPr w:rsidR="00A71EEF">
          <w:pgSz w:w="11910" w:h="16850"/>
          <w:pgMar w:top="1080" w:right="0" w:bottom="1420" w:left="1260" w:header="0" w:footer="1239" w:gutter="0"/>
          <w:cols w:space="720"/>
        </w:sectPr>
      </w:pPr>
    </w:p>
    <w:p w14:paraId="239CF240" w14:textId="77777777" w:rsidR="00A71EEF" w:rsidRDefault="0081115D">
      <w:pPr>
        <w:pStyle w:val="a3"/>
        <w:spacing w:before="57" w:line="424" w:lineRule="auto"/>
        <w:ind w:left="1258" w:right="5605"/>
      </w:pPr>
      <w:r>
        <w:rPr>
          <w:i/>
          <w:sz w:val="22"/>
        </w:rPr>
        <w:t>m</w:t>
      </w:r>
      <w:r>
        <w:t>——</w:t>
      </w:r>
      <w:r>
        <w:t>试样的质量，单位为千克</w:t>
      </w:r>
      <w:r>
        <w:t xml:space="preserve">(kg); </w:t>
      </w:r>
      <w:r>
        <w:rPr>
          <w:i/>
          <w:sz w:val="22"/>
        </w:rPr>
        <w:t>V</w:t>
      </w:r>
      <w:r>
        <w:t>——</w:t>
      </w:r>
      <w:r>
        <w:t>试样的体积，单位为立方米</w:t>
      </w:r>
      <w:r>
        <w:t>(m³)</w:t>
      </w:r>
      <w:r>
        <w:t>。</w:t>
      </w:r>
      <w:r>
        <w:t xml:space="preserve"> </w:t>
      </w:r>
    </w:p>
    <w:p w14:paraId="57064270" w14:textId="77777777" w:rsidR="00A71EEF" w:rsidRDefault="0081115D">
      <w:pPr>
        <w:pStyle w:val="a3"/>
        <w:spacing w:before="11" w:line="446" w:lineRule="auto"/>
        <w:ind w:left="418" w:right="1395" w:firstLine="419"/>
      </w:pPr>
      <w:r>
        <w:t>试验数据取两次试验结果的算术平均值，取整到</w:t>
      </w:r>
      <w:r>
        <w:t xml:space="preserve"> 0.1×10m³kg/m</w:t>
      </w:r>
      <w:r>
        <w:t>。两次试验结果之差不得超过</w:t>
      </w:r>
      <w:r>
        <w:t xml:space="preserve"> 0.2×10³kg/m </w:t>
      </w:r>
    </w:p>
    <w:p w14:paraId="262F9D94" w14:textId="77777777" w:rsidR="00A71EEF" w:rsidRDefault="0081115D">
      <w:pPr>
        <w:pStyle w:val="a4"/>
        <w:numPr>
          <w:ilvl w:val="3"/>
          <w:numId w:val="517"/>
        </w:numPr>
        <w:tabs>
          <w:tab w:val="left" w:pos="1628"/>
        </w:tabs>
        <w:rPr>
          <w:sz w:val="21"/>
        </w:rPr>
      </w:pPr>
      <w:r>
        <w:rPr>
          <w:spacing w:val="-3"/>
          <w:sz w:val="21"/>
        </w:rPr>
        <w:t>阻火模块、防火封堵板材、泡沫封堵材料</w:t>
      </w:r>
      <w:r>
        <w:rPr>
          <w:sz w:val="21"/>
        </w:rPr>
        <w:t xml:space="preserve"> </w:t>
      </w:r>
    </w:p>
    <w:p w14:paraId="0BBCF6E8" w14:textId="77777777" w:rsidR="00A71EEF" w:rsidRDefault="00A71EEF">
      <w:pPr>
        <w:pStyle w:val="a3"/>
        <w:spacing w:before="12"/>
        <w:rPr>
          <w:sz w:val="17"/>
        </w:rPr>
      </w:pPr>
    </w:p>
    <w:p w14:paraId="6B58E856" w14:textId="77777777" w:rsidR="00A71EEF" w:rsidRDefault="0081115D">
      <w:pPr>
        <w:pStyle w:val="a3"/>
        <w:ind w:left="838"/>
      </w:pPr>
      <w:r>
        <w:t>将阻火模块、防火封堵板材或已成型的泡沫封堵材料切</w:t>
      </w:r>
      <w:r>
        <w:t>割成两个</w:t>
      </w:r>
      <w:r>
        <w:t xml:space="preserve"> 50mm×50mm×20mm </w:t>
      </w:r>
      <w:r>
        <w:t>的试件</w:t>
      </w:r>
    </w:p>
    <w:p w14:paraId="4CD62513" w14:textId="77777777" w:rsidR="00A71EEF" w:rsidRDefault="00A71EEF">
      <w:pPr>
        <w:pStyle w:val="a3"/>
        <w:spacing w:before="2"/>
        <w:rPr>
          <w:sz w:val="18"/>
        </w:rPr>
      </w:pPr>
    </w:p>
    <w:p w14:paraId="4E59313A" w14:textId="77777777" w:rsidR="00A71EEF" w:rsidRDefault="0081115D">
      <w:pPr>
        <w:pStyle w:val="a3"/>
        <w:ind w:left="418"/>
      </w:pPr>
      <w:r>
        <w:t>(</w:t>
      </w:r>
      <w:r>
        <w:t>也可以是实际厚度），分别称量其质量，精确至</w:t>
      </w:r>
      <w:r>
        <w:t xml:space="preserve"> 1g</w:t>
      </w:r>
      <w:r>
        <w:t>，并测量其尺寸，精确至</w:t>
      </w:r>
      <w:r>
        <w:t xml:space="preserve"> 1mm</w:t>
      </w:r>
      <w:r>
        <w:t>。</w:t>
      </w:r>
      <w:r>
        <w:t xml:space="preserve"> </w:t>
      </w:r>
    </w:p>
    <w:p w14:paraId="4EC26A6B" w14:textId="77777777" w:rsidR="00A71EEF" w:rsidRDefault="00A71EEF">
      <w:pPr>
        <w:pStyle w:val="a3"/>
        <w:rPr>
          <w:sz w:val="18"/>
        </w:rPr>
      </w:pPr>
    </w:p>
    <w:p w14:paraId="13795760" w14:textId="77777777" w:rsidR="00A71EEF" w:rsidRDefault="0081115D">
      <w:pPr>
        <w:pStyle w:val="a3"/>
        <w:spacing w:before="1"/>
        <w:ind w:left="838"/>
      </w:pPr>
      <w:r>
        <w:rPr>
          <w:noProof/>
        </w:rPr>
        <w:drawing>
          <wp:anchor distT="0" distB="0" distL="0" distR="0" simplePos="0" relativeHeight="251613696" behindDoc="0" locked="0" layoutInCell="1" allowOverlap="1" wp14:anchorId="3A200BCA" wp14:editId="7A712616">
            <wp:simplePos x="0" y="0"/>
            <wp:positionH relativeFrom="page">
              <wp:posOffset>2255773</wp:posOffset>
            </wp:positionH>
            <wp:positionV relativeFrom="paragraph">
              <wp:posOffset>202818</wp:posOffset>
            </wp:positionV>
            <wp:extent cx="3445028" cy="233172"/>
            <wp:effectExtent l="0" t="0" r="0" b="0"/>
            <wp:wrapTopAndBottom/>
            <wp:docPr id="417" name="image2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246.jpeg"/>
                    <pic:cNvPicPr/>
                  </pic:nvPicPr>
                  <pic:blipFill>
                    <a:blip r:embed="rId292" cstate="print"/>
                    <a:stretch>
                      <a:fillRect/>
                    </a:stretch>
                  </pic:blipFill>
                  <pic:spPr>
                    <a:xfrm>
                      <a:off x="0" y="0"/>
                      <a:ext cx="3445028" cy="233172"/>
                    </a:xfrm>
                    <a:prstGeom prst="rect">
                      <a:avLst/>
                    </a:prstGeom>
                  </pic:spPr>
                </pic:pic>
              </a:graphicData>
            </a:graphic>
          </wp:anchor>
        </w:drawing>
      </w:r>
      <w:r>
        <w:t>表观密度按式</w:t>
      </w:r>
      <w:r>
        <w:t>(3)</w:t>
      </w:r>
      <w:r>
        <w:t>计算</w:t>
      </w:r>
      <w:r>
        <w:t xml:space="preserve">: </w:t>
      </w:r>
    </w:p>
    <w:p w14:paraId="3119C2CF" w14:textId="77777777" w:rsidR="00A71EEF" w:rsidRDefault="00A71EEF">
      <w:pPr>
        <w:pStyle w:val="a3"/>
        <w:spacing w:before="7"/>
      </w:pPr>
    </w:p>
    <w:p w14:paraId="44535D3C" w14:textId="77777777" w:rsidR="00A71EEF" w:rsidRDefault="0081115D">
      <w:pPr>
        <w:pStyle w:val="a3"/>
        <w:ind w:left="838"/>
      </w:pPr>
      <w:r>
        <w:t>式中</w:t>
      </w:r>
      <w:r>
        <w:t xml:space="preserve"> </w:t>
      </w:r>
      <w:r>
        <w:rPr>
          <w:i/>
          <w:sz w:val="22"/>
        </w:rPr>
        <w:t>ρ</w:t>
      </w:r>
      <w:r>
        <w:t>——</w:t>
      </w:r>
      <w:r>
        <w:t>表观密度，单位为千克每立方米</w:t>
      </w:r>
      <w:r>
        <w:t xml:space="preserve">(kg/m³); </w:t>
      </w:r>
    </w:p>
    <w:p w14:paraId="4D2C9F10" w14:textId="77777777" w:rsidR="00A71EEF" w:rsidRDefault="00A71EEF">
      <w:pPr>
        <w:pStyle w:val="a3"/>
        <w:spacing w:before="12"/>
        <w:rPr>
          <w:sz w:val="16"/>
        </w:rPr>
      </w:pPr>
    </w:p>
    <w:p w14:paraId="43DF019A" w14:textId="77777777" w:rsidR="00A71EEF" w:rsidRDefault="0081115D">
      <w:pPr>
        <w:pStyle w:val="a3"/>
        <w:spacing w:line="424" w:lineRule="auto"/>
        <w:ind w:left="1469" w:right="5394"/>
      </w:pPr>
      <w:r>
        <w:rPr>
          <w:i/>
          <w:sz w:val="22"/>
        </w:rPr>
        <w:t>m</w:t>
      </w:r>
      <w:r>
        <w:t>——</w:t>
      </w:r>
      <w:r>
        <w:t>试样的质量，单位为千克</w:t>
      </w:r>
      <w:r>
        <w:t xml:space="preserve">(kg); </w:t>
      </w:r>
      <w:r>
        <w:rPr>
          <w:i/>
          <w:sz w:val="22"/>
        </w:rPr>
        <w:t>V</w:t>
      </w:r>
      <w:r>
        <w:t>——</w:t>
      </w:r>
      <w:r>
        <w:t>试样的体积，单位为立方米</w:t>
      </w:r>
      <w:r>
        <w:t>(m³)</w:t>
      </w:r>
      <w:r>
        <w:t>。</w:t>
      </w:r>
      <w:r>
        <w:t xml:space="preserve"> </w:t>
      </w:r>
    </w:p>
    <w:p w14:paraId="5D4D5426" w14:textId="77777777" w:rsidR="00A71EEF" w:rsidRDefault="0081115D">
      <w:pPr>
        <w:pStyle w:val="a3"/>
        <w:spacing w:before="3" w:line="446" w:lineRule="auto"/>
        <w:ind w:left="418" w:right="1550" w:firstLine="419"/>
      </w:pPr>
      <w:r>
        <w:t>试验数据取两次试验结果的算术平均值，取整到</w:t>
      </w:r>
      <w:r>
        <w:t xml:space="preserve"> 0.1X10³kg/m</w:t>
      </w:r>
      <w:r>
        <w:rPr>
          <w:position w:val="11"/>
          <w:sz w:val="11"/>
        </w:rPr>
        <w:t>3</w:t>
      </w:r>
      <w:r>
        <w:t>。两次试验结果之差不得超过</w:t>
      </w:r>
      <w:r>
        <w:t xml:space="preserve"> 0.2×10³kg/m³</w:t>
      </w:r>
      <w:r>
        <w:t>。</w:t>
      </w:r>
      <w:r>
        <w:t xml:space="preserve"> </w:t>
      </w:r>
    </w:p>
    <w:p w14:paraId="7AA22286" w14:textId="77777777" w:rsidR="00A71EEF" w:rsidRDefault="0081115D">
      <w:pPr>
        <w:pStyle w:val="a4"/>
        <w:numPr>
          <w:ilvl w:val="3"/>
          <w:numId w:val="517"/>
        </w:numPr>
        <w:tabs>
          <w:tab w:val="left" w:pos="1628"/>
        </w:tabs>
        <w:spacing w:line="267" w:lineRule="exact"/>
        <w:rPr>
          <w:sz w:val="21"/>
        </w:rPr>
      </w:pPr>
      <w:r>
        <w:rPr>
          <w:spacing w:val="-3"/>
          <w:sz w:val="21"/>
        </w:rPr>
        <w:t>阻火包带和缝隙封堵材料</w:t>
      </w:r>
      <w:r>
        <w:rPr>
          <w:sz w:val="21"/>
        </w:rPr>
        <w:t xml:space="preserve"> </w:t>
      </w:r>
    </w:p>
    <w:p w14:paraId="39135E06" w14:textId="77777777" w:rsidR="00A71EEF" w:rsidRDefault="00A71EEF">
      <w:pPr>
        <w:pStyle w:val="a3"/>
        <w:spacing w:before="2"/>
        <w:rPr>
          <w:sz w:val="18"/>
        </w:rPr>
      </w:pPr>
    </w:p>
    <w:p w14:paraId="370AE306" w14:textId="77777777" w:rsidR="00A71EEF" w:rsidRDefault="0081115D">
      <w:pPr>
        <w:pStyle w:val="a3"/>
        <w:spacing w:line="446" w:lineRule="auto"/>
        <w:ind w:left="418" w:right="1611" w:firstLine="419"/>
      </w:pPr>
      <w:r>
        <w:rPr>
          <w:spacing w:val="-6"/>
        </w:rPr>
        <w:t>将阻火包带或缝隙封堵材料切割成两个</w:t>
      </w:r>
      <w:r>
        <w:rPr>
          <w:spacing w:val="-6"/>
        </w:rPr>
        <w:t xml:space="preserve"> </w:t>
      </w:r>
      <w:r>
        <w:t>100mm×10mm×2mm</w:t>
      </w:r>
      <w:r>
        <w:rPr>
          <w:spacing w:val="-8"/>
        </w:rPr>
        <w:t xml:space="preserve"> </w:t>
      </w:r>
      <w:r>
        <w:rPr>
          <w:spacing w:val="-8"/>
        </w:rPr>
        <w:t>的试件</w:t>
      </w:r>
      <w:r>
        <w:rPr>
          <w:spacing w:val="-8"/>
        </w:rPr>
        <w:t>(</w:t>
      </w:r>
      <w:r>
        <w:rPr>
          <w:spacing w:val="-8"/>
        </w:rPr>
        <w:t>也可以是实际宽度和厚度）</w:t>
      </w:r>
      <w:r>
        <w:rPr>
          <w:spacing w:val="-9"/>
        </w:rPr>
        <w:t>，分别称量其质量，精确至</w:t>
      </w:r>
      <w:r>
        <w:rPr>
          <w:spacing w:val="-9"/>
        </w:rPr>
        <w:t xml:space="preserve"> </w:t>
      </w:r>
      <w:r>
        <w:t>1g</w:t>
      </w:r>
      <w:r>
        <w:rPr>
          <w:spacing w:val="-8"/>
        </w:rPr>
        <w:t>，并测量其尺寸，精确至</w:t>
      </w:r>
      <w:r>
        <w:rPr>
          <w:spacing w:val="-8"/>
        </w:rPr>
        <w:t xml:space="preserve"> </w:t>
      </w:r>
      <w:r>
        <w:t>1mm</w:t>
      </w:r>
      <w:r>
        <w:rPr>
          <w:spacing w:val="-3"/>
        </w:rPr>
        <w:t>。</w:t>
      </w:r>
      <w:r>
        <w:t xml:space="preserve"> </w:t>
      </w:r>
    </w:p>
    <w:p w14:paraId="37B424AA" w14:textId="77777777" w:rsidR="00A71EEF" w:rsidRDefault="0081115D">
      <w:pPr>
        <w:pStyle w:val="a3"/>
        <w:spacing w:line="267" w:lineRule="exact"/>
        <w:ind w:left="838"/>
      </w:pPr>
      <w:r>
        <w:rPr>
          <w:noProof/>
        </w:rPr>
        <w:drawing>
          <wp:anchor distT="0" distB="0" distL="0" distR="0" simplePos="0" relativeHeight="251614720" behindDoc="0" locked="0" layoutInCell="1" allowOverlap="1" wp14:anchorId="61CF14CC" wp14:editId="605DCB38">
            <wp:simplePos x="0" y="0"/>
            <wp:positionH relativeFrom="page">
              <wp:posOffset>2303398</wp:posOffset>
            </wp:positionH>
            <wp:positionV relativeFrom="paragraph">
              <wp:posOffset>200842</wp:posOffset>
            </wp:positionV>
            <wp:extent cx="3364732" cy="233172"/>
            <wp:effectExtent l="0" t="0" r="0" b="0"/>
            <wp:wrapTopAndBottom/>
            <wp:docPr id="419" name="image2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247.jpeg"/>
                    <pic:cNvPicPr/>
                  </pic:nvPicPr>
                  <pic:blipFill>
                    <a:blip r:embed="rId293" cstate="print"/>
                    <a:stretch>
                      <a:fillRect/>
                    </a:stretch>
                  </pic:blipFill>
                  <pic:spPr>
                    <a:xfrm>
                      <a:off x="0" y="0"/>
                      <a:ext cx="3364732" cy="233172"/>
                    </a:xfrm>
                    <a:prstGeom prst="rect">
                      <a:avLst/>
                    </a:prstGeom>
                  </pic:spPr>
                </pic:pic>
              </a:graphicData>
            </a:graphic>
          </wp:anchor>
        </w:drawing>
      </w:r>
      <w:r>
        <w:t>表观密度按式</w:t>
      </w:r>
      <w:r>
        <w:t>(4)</w:t>
      </w:r>
      <w:r>
        <w:t>计算</w:t>
      </w:r>
      <w:r>
        <w:t xml:space="preserve">: </w:t>
      </w:r>
    </w:p>
    <w:p w14:paraId="14EF4C2D" w14:textId="77777777" w:rsidR="00A71EEF" w:rsidRDefault="00A71EEF">
      <w:pPr>
        <w:pStyle w:val="a3"/>
        <w:spacing w:before="7"/>
      </w:pPr>
    </w:p>
    <w:p w14:paraId="3B4A1996" w14:textId="77777777" w:rsidR="00A71EEF" w:rsidRDefault="0081115D">
      <w:pPr>
        <w:pStyle w:val="a3"/>
        <w:ind w:left="838"/>
      </w:pPr>
      <w:r>
        <w:t>式中</w:t>
      </w:r>
      <w:r>
        <w:t xml:space="preserve"> </w:t>
      </w:r>
      <w:r>
        <w:rPr>
          <w:i/>
          <w:sz w:val="22"/>
        </w:rPr>
        <w:t>ρ</w:t>
      </w:r>
      <w:r>
        <w:t>—</w:t>
      </w:r>
      <w:r>
        <w:t>表观密度，单位为千克每立方米</w:t>
      </w:r>
      <w:r>
        <w:t xml:space="preserve">(kg/m³); </w:t>
      </w:r>
    </w:p>
    <w:p w14:paraId="24C47506" w14:textId="77777777" w:rsidR="00A71EEF" w:rsidRDefault="00A71EEF">
      <w:pPr>
        <w:pStyle w:val="a3"/>
        <w:spacing w:before="12"/>
        <w:rPr>
          <w:sz w:val="16"/>
        </w:rPr>
      </w:pPr>
    </w:p>
    <w:p w14:paraId="1FCA1F61" w14:textId="77777777" w:rsidR="00A71EEF" w:rsidRDefault="0081115D">
      <w:pPr>
        <w:pStyle w:val="a3"/>
        <w:spacing w:line="427" w:lineRule="auto"/>
        <w:ind w:left="1469" w:right="5603"/>
      </w:pPr>
      <w:r>
        <w:rPr>
          <w:i/>
          <w:sz w:val="22"/>
        </w:rPr>
        <w:t>m</w:t>
      </w:r>
      <w:r>
        <w:rPr>
          <w:spacing w:val="-3"/>
        </w:rPr>
        <w:t>—</w:t>
      </w:r>
      <w:r>
        <w:rPr>
          <w:spacing w:val="-3"/>
        </w:rPr>
        <w:t>试样的质量，单惊为千克</w:t>
      </w:r>
      <w:r>
        <w:t xml:space="preserve">(kg);  </w:t>
      </w:r>
      <w:r>
        <w:rPr>
          <w:i/>
          <w:sz w:val="22"/>
        </w:rPr>
        <w:t>V</w:t>
      </w:r>
      <w:r>
        <w:rPr>
          <w:spacing w:val="-3"/>
        </w:rPr>
        <w:t>—</w:t>
      </w:r>
      <w:r>
        <w:rPr>
          <w:spacing w:val="-3"/>
        </w:rPr>
        <w:t>试样的体积，单位为立方米</w:t>
      </w:r>
      <w:r>
        <w:rPr>
          <w:spacing w:val="-3"/>
        </w:rPr>
        <w:t>(</w:t>
      </w:r>
      <w:r>
        <w:t>m³)</w:t>
      </w:r>
      <w:r>
        <w:rPr>
          <w:spacing w:val="-3"/>
        </w:rPr>
        <w:t>。</w:t>
      </w:r>
      <w:r>
        <w:t xml:space="preserve"> </w:t>
      </w:r>
    </w:p>
    <w:p w14:paraId="2822888F" w14:textId="77777777" w:rsidR="00A71EEF" w:rsidRDefault="0081115D">
      <w:pPr>
        <w:pStyle w:val="a3"/>
        <w:spacing w:before="8" w:line="446" w:lineRule="auto"/>
        <w:ind w:left="418" w:right="1395" w:firstLine="419"/>
      </w:pPr>
      <w:r>
        <w:t>试验数据取两次试验结果的算术平均值，取整到</w:t>
      </w:r>
      <w:r>
        <w:t xml:space="preserve"> 0.1×10³kg/m³</w:t>
      </w:r>
      <w:r>
        <w:t>。两次试验结果之差不得超过</w:t>
      </w:r>
      <w:r>
        <w:t xml:space="preserve"> 0.2×10³ kg/m³</w:t>
      </w:r>
      <w:r>
        <w:t>。</w:t>
      </w:r>
      <w:r>
        <w:t xml:space="preserve"> </w:t>
      </w:r>
    </w:p>
    <w:p w14:paraId="4FDD91E4" w14:textId="77777777" w:rsidR="00A71EEF" w:rsidRDefault="0081115D">
      <w:pPr>
        <w:pStyle w:val="a4"/>
        <w:numPr>
          <w:ilvl w:val="1"/>
          <w:numId w:val="516"/>
        </w:numPr>
        <w:tabs>
          <w:tab w:val="left" w:pos="1159"/>
        </w:tabs>
        <w:ind w:hanging="319"/>
        <w:rPr>
          <w:sz w:val="21"/>
        </w:rPr>
      </w:pPr>
      <w:r>
        <w:rPr>
          <w:spacing w:val="-3"/>
          <w:sz w:val="21"/>
        </w:rPr>
        <w:t>初凝时间</w:t>
      </w:r>
      <w:r>
        <w:rPr>
          <w:sz w:val="21"/>
        </w:rPr>
        <w:t>（</w:t>
      </w:r>
      <w:r>
        <w:rPr>
          <w:sz w:val="21"/>
        </w:rPr>
        <w:t xml:space="preserve">t) </w:t>
      </w:r>
    </w:p>
    <w:p w14:paraId="0232BDA9" w14:textId="77777777" w:rsidR="00A71EEF" w:rsidRDefault="00A71EEF">
      <w:pPr>
        <w:pStyle w:val="a3"/>
        <w:spacing w:before="12"/>
        <w:rPr>
          <w:sz w:val="17"/>
        </w:rPr>
      </w:pPr>
    </w:p>
    <w:p w14:paraId="6FA2AA19" w14:textId="77777777" w:rsidR="00A71EEF" w:rsidRDefault="0081115D">
      <w:pPr>
        <w:pStyle w:val="a3"/>
        <w:spacing w:line="446" w:lineRule="auto"/>
        <w:ind w:left="418" w:right="1506" w:firstLine="419"/>
      </w:pPr>
      <w:r>
        <w:rPr>
          <w:spacing w:val="-18"/>
        </w:rPr>
        <w:t>在</w:t>
      </w:r>
      <w:r>
        <w:rPr>
          <w:spacing w:val="-18"/>
        </w:rPr>
        <w:t xml:space="preserve"> </w:t>
      </w:r>
      <w:r>
        <w:t>20℃±5°C</w:t>
      </w:r>
      <w:r>
        <w:rPr>
          <w:spacing w:val="-7"/>
        </w:rPr>
        <w:t xml:space="preserve"> </w:t>
      </w:r>
      <w:r>
        <w:rPr>
          <w:spacing w:val="-7"/>
        </w:rPr>
        <w:t>条件下，按产品使用说明规定的混合比配料，用秒表测定从配料结束到丧失</w:t>
      </w:r>
      <w:r>
        <w:rPr>
          <w:spacing w:val="-5"/>
        </w:rPr>
        <w:t>流动性时为止的时间。</w:t>
      </w:r>
      <w:r>
        <w:t xml:space="preserve"> </w:t>
      </w:r>
    </w:p>
    <w:p w14:paraId="4E6479A5" w14:textId="77777777" w:rsidR="00A71EEF" w:rsidRDefault="0081115D">
      <w:pPr>
        <w:pStyle w:val="a4"/>
        <w:numPr>
          <w:ilvl w:val="1"/>
          <w:numId w:val="516"/>
        </w:numPr>
        <w:tabs>
          <w:tab w:val="left" w:pos="1160"/>
        </w:tabs>
        <w:ind w:left="1159" w:hanging="320"/>
        <w:rPr>
          <w:sz w:val="21"/>
        </w:rPr>
      </w:pPr>
      <w:r>
        <w:rPr>
          <w:spacing w:val="-3"/>
          <w:sz w:val="21"/>
        </w:rPr>
        <w:t>抗压强度</w:t>
      </w:r>
      <w:r>
        <w:rPr>
          <w:sz w:val="21"/>
        </w:rPr>
        <w:t xml:space="preserve"> </w:t>
      </w:r>
    </w:p>
    <w:p w14:paraId="7F9B8362" w14:textId="77777777" w:rsidR="00A71EEF" w:rsidRDefault="00A71EEF">
      <w:pPr>
        <w:rPr>
          <w:sz w:val="21"/>
        </w:rPr>
        <w:sectPr w:rsidR="00A71EEF">
          <w:pgSz w:w="11910" w:h="16850"/>
          <w:pgMar w:top="1200" w:right="0" w:bottom="1420" w:left="1260" w:header="0" w:footer="1239" w:gutter="0"/>
          <w:cols w:space="720"/>
        </w:sectPr>
      </w:pPr>
    </w:p>
    <w:p w14:paraId="0C0C3BA5" w14:textId="77777777" w:rsidR="00A71EEF" w:rsidRDefault="0081115D">
      <w:pPr>
        <w:pStyle w:val="a4"/>
        <w:numPr>
          <w:ilvl w:val="2"/>
          <w:numId w:val="516"/>
        </w:numPr>
        <w:tabs>
          <w:tab w:val="left" w:pos="1371"/>
        </w:tabs>
        <w:spacing w:before="47"/>
        <w:rPr>
          <w:b/>
          <w:sz w:val="21"/>
        </w:rPr>
      </w:pPr>
      <w:r>
        <w:rPr>
          <w:spacing w:val="-3"/>
          <w:sz w:val="21"/>
        </w:rPr>
        <w:t>试样的制备</w:t>
      </w:r>
      <w:r>
        <w:rPr>
          <w:b/>
          <w:w w:val="99"/>
          <w:sz w:val="21"/>
        </w:rPr>
        <w:t xml:space="preserve"> </w:t>
      </w:r>
    </w:p>
    <w:p w14:paraId="4C58D1ED" w14:textId="77777777" w:rsidR="00A71EEF" w:rsidRDefault="00A71EEF">
      <w:pPr>
        <w:pStyle w:val="a3"/>
        <w:rPr>
          <w:b/>
          <w:sz w:val="18"/>
        </w:rPr>
      </w:pPr>
    </w:p>
    <w:p w14:paraId="067A58A7" w14:textId="77777777" w:rsidR="00A71EEF" w:rsidRDefault="0081115D">
      <w:pPr>
        <w:pStyle w:val="a3"/>
        <w:spacing w:line="446" w:lineRule="auto"/>
        <w:ind w:left="418" w:right="1507" w:firstLine="419"/>
      </w:pPr>
      <w:r>
        <w:rPr>
          <w:spacing w:val="-6"/>
        </w:rPr>
        <w:t>将调和好的无机堵料倒人规格为</w:t>
      </w:r>
      <w:r>
        <w:rPr>
          <w:spacing w:val="-6"/>
        </w:rPr>
        <w:t xml:space="preserve"> </w:t>
      </w:r>
      <w:r>
        <w:t>62.5mm×40mm×40mm</w:t>
      </w:r>
      <w:r>
        <w:rPr>
          <w:spacing w:val="-8"/>
        </w:rPr>
        <w:t xml:space="preserve"> </w:t>
      </w:r>
      <w:r>
        <w:rPr>
          <w:spacing w:val="-8"/>
        </w:rPr>
        <w:t>的试模内，捣实抹平，待基本固化后</w:t>
      </w:r>
      <w:r>
        <w:rPr>
          <w:spacing w:val="-5"/>
        </w:rPr>
        <w:t>脱模。试样的调和与养护应按产品使用说明进行，试样数量为五个。</w:t>
      </w:r>
      <w:r>
        <w:t xml:space="preserve"> </w:t>
      </w:r>
    </w:p>
    <w:p w14:paraId="1EA7B332" w14:textId="77777777" w:rsidR="00A71EEF" w:rsidRDefault="0081115D">
      <w:pPr>
        <w:pStyle w:val="a3"/>
        <w:spacing w:line="446" w:lineRule="auto"/>
        <w:ind w:left="840" w:right="2876" w:hanging="3"/>
        <w:rPr>
          <w:b/>
        </w:rPr>
      </w:pPr>
      <w:r>
        <w:rPr>
          <w:spacing w:val="-7"/>
        </w:rPr>
        <w:t>将阻火模块切割成规格为</w:t>
      </w:r>
      <w:r>
        <w:rPr>
          <w:spacing w:val="-7"/>
        </w:rPr>
        <w:t xml:space="preserve"> </w:t>
      </w:r>
      <w:r>
        <w:t>62.</w:t>
      </w:r>
      <w:r>
        <w:t>5mm×40mm×40mm</w:t>
      </w:r>
      <w:r>
        <w:rPr>
          <w:spacing w:val="-9"/>
        </w:rPr>
        <w:t xml:space="preserve"> </w:t>
      </w:r>
      <w:r>
        <w:rPr>
          <w:spacing w:val="-9"/>
        </w:rPr>
        <w:t>的试样，试样数量为五个。</w:t>
      </w:r>
      <w:r>
        <w:rPr>
          <w:b/>
        </w:rPr>
        <w:t>6.4.2</w:t>
      </w:r>
      <w:r>
        <w:rPr>
          <w:b/>
          <w:spacing w:val="1"/>
        </w:rPr>
        <w:t xml:space="preserve"> </w:t>
      </w:r>
      <w:r>
        <w:rPr>
          <w:spacing w:val="-3"/>
        </w:rPr>
        <w:t>试验装置</w:t>
      </w:r>
      <w:r>
        <w:rPr>
          <w:b/>
          <w:w w:val="99"/>
        </w:rPr>
        <w:t xml:space="preserve"> </w:t>
      </w:r>
    </w:p>
    <w:p w14:paraId="2292454E" w14:textId="77777777" w:rsidR="00A71EEF" w:rsidRDefault="0081115D">
      <w:pPr>
        <w:pStyle w:val="a3"/>
        <w:spacing w:line="446" w:lineRule="auto"/>
        <w:ind w:left="840" w:right="5497" w:hanging="3"/>
        <w:rPr>
          <w:b/>
        </w:rPr>
      </w:pPr>
      <w:r>
        <w:rPr>
          <w:spacing w:val="-9"/>
        </w:rPr>
        <w:t>试验采用符合</w:t>
      </w:r>
      <w:r>
        <w:rPr>
          <w:spacing w:val="-9"/>
        </w:rPr>
        <w:t xml:space="preserve"> </w:t>
      </w:r>
      <w:r>
        <w:t>GB/T</w:t>
      </w:r>
      <w:r>
        <w:rPr>
          <w:spacing w:val="4"/>
        </w:rPr>
        <w:t xml:space="preserve"> </w:t>
      </w:r>
      <w:r>
        <w:t>2611</w:t>
      </w:r>
      <w:r>
        <w:rPr>
          <w:spacing w:val="-9"/>
        </w:rPr>
        <w:t xml:space="preserve"> </w:t>
      </w:r>
      <w:r>
        <w:rPr>
          <w:spacing w:val="-9"/>
        </w:rPr>
        <w:t>规定的压力试验机。</w:t>
      </w:r>
      <w:r>
        <w:rPr>
          <w:b/>
        </w:rPr>
        <w:t>6.4.3</w:t>
      </w:r>
      <w:r>
        <w:rPr>
          <w:b/>
          <w:spacing w:val="-1"/>
        </w:rPr>
        <w:t xml:space="preserve"> </w:t>
      </w:r>
      <w:r>
        <w:rPr>
          <w:spacing w:val="-3"/>
        </w:rPr>
        <w:t>试验程序</w:t>
      </w:r>
      <w:r>
        <w:rPr>
          <w:b/>
          <w:w w:val="99"/>
        </w:rPr>
        <w:t xml:space="preserve"> </w:t>
      </w:r>
    </w:p>
    <w:p w14:paraId="60798764" w14:textId="77777777" w:rsidR="00A71EEF" w:rsidRDefault="0081115D">
      <w:pPr>
        <w:pStyle w:val="a3"/>
        <w:ind w:left="838"/>
      </w:pPr>
      <w:r>
        <w:t>选择试块的任一侧面作为受压面，用游标卡尺测量其受压截面长和宽的尺寸，精确至</w:t>
      </w:r>
      <w:r>
        <w:t xml:space="preserve"> 1mm</w:t>
      </w:r>
      <w:r>
        <w:t>。</w:t>
      </w:r>
      <w:r>
        <w:t xml:space="preserve"> </w:t>
      </w:r>
    </w:p>
    <w:p w14:paraId="314C012A" w14:textId="77777777" w:rsidR="00A71EEF" w:rsidRDefault="00A71EEF">
      <w:pPr>
        <w:pStyle w:val="a3"/>
        <w:spacing w:before="10"/>
        <w:rPr>
          <w:sz w:val="17"/>
        </w:rPr>
      </w:pPr>
    </w:p>
    <w:p w14:paraId="4BD56912" w14:textId="77777777" w:rsidR="00A71EEF" w:rsidRDefault="0081115D">
      <w:pPr>
        <w:pStyle w:val="a3"/>
        <w:spacing w:line="386" w:lineRule="auto"/>
        <w:ind w:left="418" w:right="1609" w:firstLine="419"/>
      </w:pPr>
      <w:r>
        <w:t>将选定试块的受压面向上放在压力试验机的加压座上，使试件的中心线与压力机压头的中心线重合，以</w:t>
      </w:r>
      <w:r>
        <w:t xml:space="preserve"> 1500</w:t>
      </w:r>
      <w:r>
        <w:rPr>
          <w:rFonts w:ascii="微软雅黑" w:eastAsia="微软雅黑" w:hint="eastAsia"/>
        </w:rPr>
        <w:t>〜</w:t>
      </w:r>
      <w:r>
        <w:t xml:space="preserve">2 000N/min </w:t>
      </w:r>
      <w:r>
        <w:t>的速度均匀加荷至试件破坏，记录试件破坏时的压力读数。</w:t>
      </w:r>
      <w:r>
        <w:t xml:space="preserve"> </w:t>
      </w:r>
    </w:p>
    <w:p w14:paraId="552CB5F3" w14:textId="77777777" w:rsidR="00A71EEF" w:rsidRDefault="0081115D">
      <w:pPr>
        <w:pStyle w:val="a3"/>
        <w:spacing w:line="213" w:lineRule="exact"/>
        <w:ind w:left="838"/>
      </w:pPr>
      <w:r>
        <w:rPr>
          <w:noProof/>
        </w:rPr>
        <w:drawing>
          <wp:anchor distT="0" distB="0" distL="0" distR="0" simplePos="0" relativeHeight="251615744" behindDoc="0" locked="0" layoutInCell="1" allowOverlap="1" wp14:anchorId="094A1FE1" wp14:editId="7BB5A9DD">
            <wp:simplePos x="0" y="0"/>
            <wp:positionH relativeFrom="page">
              <wp:posOffset>2779724</wp:posOffset>
            </wp:positionH>
            <wp:positionV relativeFrom="paragraph">
              <wp:posOffset>204979</wp:posOffset>
            </wp:positionV>
            <wp:extent cx="2466760" cy="149351"/>
            <wp:effectExtent l="0" t="0" r="0" b="0"/>
            <wp:wrapTopAndBottom/>
            <wp:docPr id="421" name="image2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image248.jpeg"/>
                    <pic:cNvPicPr/>
                  </pic:nvPicPr>
                  <pic:blipFill>
                    <a:blip r:embed="rId294" cstate="print"/>
                    <a:stretch>
                      <a:fillRect/>
                    </a:stretch>
                  </pic:blipFill>
                  <pic:spPr>
                    <a:xfrm>
                      <a:off x="0" y="0"/>
                      <a:ext cx="2466760" cy="149351"/>
                    </a:xfrm>
                    <a:prstGeom prst="rect">
                      <a:avLst/>
                    </a:prstGeom>
                  </pic:spPr>
                </pic:pic>
              </a:graphicData>
            </a:graphic>
          </wp:anchor>
        </w:drawing>
      </w:r>
      <w:r>
        <w:t>抗压强度按式</w:t>
      </w:r>
      <w:r>
        <w:t>(5)</w:t>
      </w:r>
      <w:r>
        <w:t>计算</w:t>
      </w:r>
      <w:r>
        <w:t xml:space="preserve">: </w:t>
      </w:r>
    </w:p>
    <w:p w14:paraId="2F4D0006" w14:textId="77777777" w:rsidR="00A71EEF" w:rsidRDefault="00A71EEF">
      <w:pPr>
        <w:pStyle w:val="a3"/>
        <w:spacing w:before="2"/>
        <w:rPr>
          <w:sz w:val="27"/>
        </w:rPr>
      </w:pPr>
    </w:p>
    <w:p w14:paraId="3806AA5E" w14:textId="77777777" w:rsidR="00A71EEF" w:rsidRDefault="0081115D">
      <w:pPr>
        <w:pStyle w:val="a3"/>
        <w:ind w:left="838"/>
      </w:pPr>
      <w:r>
        <w:t>式中</w:t>
      </w:r>
      <w:r>
        <w:t xml:space="preserve"> </w:t>
      </w:r>
      <w:r>
        <w:rPr>
          <w:i/>
          <w:sz w:val="22"/>
        </w:rPr>
        <w:t>R</w:t>
      </w:r>
      <w:r>
        <w:t>——</w:t>
      </w:r>
      <w:r>
        <w:t>抗压强度，单位为兆帕</w:t>
      </w:r>
      <w:r>
        <w:t xml:space="preserve">(MPa); </w:t>
      </w:r>
    </w:p>
    <w:p w14:paraId="72C296DC" w14:textId="77777777" w:rsidR="00A71EEF" w:rsidRDefault="00A71EEF">
      <w:pPr>
        <w:pStyle w:val="a3"/>
        <w:rPr>
          <w:sz w:val="17"/>
        </w:rPr>
      </w:pPr>
    </w:p>
    <w:p w14:paraId="2E227766" w14:textId="77777777" w:rsidR="00A71EEF" w:rsidRDefault="0081115D">
      <w:pPr>
        <w:pStyle w:val="a3"/>
        <w:ind w:left="1469"/>
      </w:pPr>
      <w:r>
        <w:rPr>
          <w:i/>
          <w:sz w:val="22"/>
        </w:rPr>
        <w:t>P</w:t>
      </w:r>
      <w:r>
        <w:t>——</w:t>
      </w:r>
      <w:r>
        <w:t>压力读数，单位为牛顿</w:t>
      </w:r>
      <w:r>
        <w:t xml:space="preserve">(N); </w:t>
      </w:r>
    </w:p>
    <w:p w14:paraId="7B4B5918" w14:textId="77777777" w:rsidR="00A71EEF" w:rsidRDefault="00A71EEF">
      <w:pPr>
        <w:pStyle w:val="a3"/>
        <w:spacing w:before="12"/>
        <w:rPr>
          <w:sz w:val="16"/>
        </w:rPr>
      </w:pPr>
    </w:p>
    <w:p w14:paraId="14A5F425" w14:textId="77777777" w:rsidR="00A71EEF" w:rsidRDefault="0081115D">
      <w:pPr>
        <w:pStyle w:val="a3"/>
        <w:ind w:left="1469"/>
      </w:pPr>
      <w:r>
        <w:rPr>
          <w:i/>
          <w:sz w:val="22"/>
        </w:rPr>
        <w:t>S</w:t>
      </w:r>
      <w:r>
        <w:t>——</w:t>
      </w:r>
      <w:r>
        <w:t>受压面积，单位为平方毫米</w:t>
      </w:r>
      <w:r>
        <w:t>(mm²)</w:t>
      </w:r>
      <w:r>
        <w:t>。</w:t>
      </w:r>
      <w:r>
        <w:t xml:space="preserve"> </w:t>
      </w:r>
    </w:p>
    <w:p w14:paraId="3D93DDD3" w14:textId="77777777" w:rsidR="00A71EEF" w:rsidRDefault="00A71EEF">
      <w:pPr>
        <w:pStyle w:val="a3"/>
        <w:spacing w:before="12"/>
        <w:rPr>
          <w:sz w:val="17"/>
        </w:rPr>
      </w:pPr>
    </w:p>
    <w:p w14:paraId="6CB1ABD6" w14:textId="77777777" w:rsidR="00A71EEF" w:rsidRDefault="0081115D">
      <w:pPr>
        <w:pStyle w:val="a3"/>
        <w:spacing w:line="446" w:lineRule="auto"/>
        <w:ind w:left="840" w:right="1980" w:hanging="3"/>
      </w:pPr>
      <w:r>
        <w:t>抗压强度结果以五个试验值中剔除粗大误差后的算术平均值表示，精确至</w:t>
      </w:r>
      <w:r>
        <w:t xml:space="preserve"> 0.01MPa</w:t>
      </w:r>
      <w:r>
        <w:t>。</w:t>
      </w:r>
      <w:r>
        <w:rPr>
          <w:b/>
        </w:rPr>
        <w:t xml:space="preserve">6.5 </w:t>
      </w:r>
      <w:r>
        <w:t>抗弯强度</w:t>
      </w:r>
      <w:r>
        <w:t xml:space="preserve"> </w:t>
      </w:r>
    </w:p>
    <w:p w14:paraId="771A15D1" w14:textId="77777777" w:rsidR="00A71EEF" w:rsidRDefault="0081115D">
      <w:pPr>
        <w:pStyle w:val="a3"/>
        <w:spacing w:line="446" w:lineRule="auto"/>
        <w:ind w:left="418" w:right="1608" w:firstLine="419"/>
      </w:pPr>
      <w:r>
        <w:rPr>
          <w:spacing w:val="-8"/>
        </w:rPr>
        <w:t>将样品加工成尺寸为</w:t>
      </w:r>
      <w:r>
        <w:rPr>
          <w:spacing w:val="-8"/>
        </w:rPr>
        <w:t xml:space="preserve"> </w:t>
      </w:r>
      <w:r>
        <w:t>240mm×100mm</w:t>
      </w:r>
      <w:r>
        <w:rPr>
          <w:spacing w:val="-8"/>
        </w:rPr>
        <w:t xml:space="preserve"> </w:t>
      </w:r>
      <w:r>
        <w:rPr>
          <w:spacing w:val="-8"/>
        </w:rPr>
        <w:t>的试件，试件数量为五个。表面有涂层的防火封堵材</w:t>
      </w:r>
      <w:r>
        <w:rPr>
          <w:spacing w:val="-7"/>
        </w:rPr>
        <w:t>料，</w:t>
      </w:r>
      <w:r>
        <w:rPr>
          <w:spacing w:val="-7"/>
        </w:rPr>
        <w:t xml:space="preserve"> </w:t>
      </w:r>
      <w:r>
        <w:rPr>
          <w:spacing w:val="-7"/>
        </w:rPr>
        <w:t>其裸露的断面应采用相同的表面材料涂封。按</w:t>
      </w:r>
      <w:r>
        <w:rPr>
          <w:spacing w:val="-7"/>
        </w:rPr>
        <w:t xml:space="preserve"> </w:t>
      </w:r>
      <w:r>
        <w:t>GB/T 7019-1997</w:t>
      </w:r>
      <w:r>
        <w:rPr>
          <w:spacing w:val="-27"/>
        </w:rPr>
        <w:t xml:space="preserve"> </w:t>
      </w:r>
      <w:r>
        <w:rPr>
          <w:spacing w:val="-27"/>
        </w:rPr>
        <w:t>中的</w:t>
      </w:r>
      <w:r>
        <w:rPr>
          <w:spacing w:val="-27"/>
        </w:rPr>
        <w:t xml:space="preserve"> </w:t>
      </w:r>
      <w:r>
        <w:t>9.3.4</w:t>
      </w:r>
      <w:r>
        <w:rPr>
          <w:spacing w:val="-34"/>
        </w:rPr>
        <w:t xml:space="preserve"> </w:t>
      </w:r>
      <w:r>
        <w:rPr>
          <w:spacing w:val="-34"/>
        </w:rPr>
        <w:t>和</w:t>
      </w:r>
      <w:r>
        <w:rPr>
          <w:spacing w:val="-34"/>
        </w:rPr>
        <w:t xml:space="preserve"> </w:t>
      </w:r>
      <w:r>
        <w:t>9.4.2</w:t>
      </w:r>
      <w:r>
        <w:rPr>
          <w:spacing w:val="-18"/>
        </w:rPr>
        <w:t xml:space="preserve"> </w:t>
      </w:r>
      <w:r>
        <w:rPr>
          <w:spacing w:val="-18"/>
        </w:rPr>
        <w:t>的规</w:t>
      </w:r>
      <w:r>
        <w:rPr>
          <w:spacing w:val="-7"/>
        </w:rPr>
        <w:t>定测试并计算试件的抗弯强度，抗弯强度结果以五个试验值中剔除粗大误差后的算术</w:t>
      </w:r>
      <w:r>
        <w:rPr>
          <w:spacing w:val="-7"/>
        </w:rPr>
        <w:t>平均值表</w:t>
      </w:r>
      <w:r>
        <w:rPr>
          <w:spacing w:val="-13"/>
        </w:rPr>
        <w:t>示，精确至</w:t>
      </w:r>
      <w:r>
        <w:rPr>
          <w:spacing w:val="-13"/>
        </w:rPr>
        <w:t xml:space="preserve"> </w:t>
      </w:r>
      <w:r>
        <w:t>0.01 MPa</w:t>
      </w:r>
      <w:r>
        <w:t>。</w:t>
      </w:r>
      <w:r>
        <w:t xml:space="preserve"> </w:t>
      </w:r>
    </w:p>
    <w:p w14:paraId="3EC3F47A" w14:textId="77777777" w:rsidR="00A71EEF" w:rsidRDefault="0081115D">
      <w:pPr>
        <w:ind w:left="840"/>
        <w:rPr>
          <w:sz w:val="21"/>
        </w:rPr>
      </w:pPr>
      <w:r>
        <w:rPr>
          <w:b/>
          <w:sz w:val="21"/>
        </w:rPr>
        <w:t xml:space="preserve">6.6 </w:t>
      </w:r>
      <w:r>
        <w:rPr>
          <w:sz w:val="21"/>
        </w:rPr>
        <w:t>抗跌落性</w:t>
      </w:r>
      <w:r>
        <w:rPr>
          <w:sz w:val="21"/>
        </w:rPr>
        <w:t xml:space="preserve"> </w:t>
      </w:r>
    </w:p>
    <w:p w14:paraId="7E86C867" w14:textId="77777777" w:rsidR="00A71EEF" w:rsidRDefault="00A71EEF">
      <w:pPr>
        <w:pStyle w:val="a3"/>
        <w:spacing w:before="10"/>
        <w:rPr>
          <w:sz w:val="17"/>
        </w:rPr>
      </w:pPr>
    </w:p>
    <w:p w14:paraId="13C320B1" w14:textId="77777777" w:rsidR="00A71EEF" w:rsidRDefault="0081115D">
      <w:pPr>
        <w:pStyle w:val="a3"/>
        <w:spacing w:line="446" w:lineRule="auto"/>
        <w:ind w:left="840" w:right="2876" w:hanging="3"/>
      </w:pPr>
      <w:r>
        <w:t>别将三个完整的阻火包从</w:t>
      </w:r>
      <w:r>
        <w:t xml:space="preserve"> 5m </w:t>
      </w:r>
      <w:r>
        <w:t>高处自由落于混凝土水平地面上，观察包体。</w:t>
      </w:r>
      <w:r>
        <w:rPr>
          <w:b/>
        </w:rPr>
        <w:t xml:space="preserve">6.7 </w:t>
      </w:r>
      <w:r>
        <w:t>腐蚀性</w:t>
      </w:r>
      <w:r>
        <w:t xml:space="preserve"> </w:t>
      </w:r>
    </w:p>
    <w:p w14:paraId="3FC9D0C9" w14:textId="77777777" w:rsidR="00A71EEF" w:rsidRDefault="0081115D">
      <w:pPr>
        <w:pStyle w:val="a4"/>
        <w:numPr>
          <w:ilvl w:val="2"/>
          <w:numId w:val="515"/>
        </w:numPr>
        <w:tabs>
          <w:tab w:val="left" w:pos="1370"/>
        </w:tabs>
        <w:ind w:hanging="530"/>
        <w:rPr>
          <w:b/>
          <w:sz w:val="21"/>
        </w:rPr>
      </w:pPr>
      <w:r>
        <w:rPr>
          <w:spacing w:val="-3"/>
          <w:sz w:val="21"/>
        </w:rPr>
        <w:t>阻火模块</w:t>
      </w:r>
      <w:r>
        <w:rPr>
          <w:b/>
          <w:w w:val="99"/>
          <w:sz w:val="21"/>
        </w:rPr>
        <w:t xml:space="preserve"> </w:t>
      </w:r>
    </w:p>
    <w:p w14:paraId="3C5B887C" w14:textId="77777777" w:rsidR="00A71EEF" w:rsidRDefault="0081115D">
      <w:pPr>
        <w:pStyle w:val="a3"/>
        <w:spacing w:before="164" w:line="331" w:lineRule="auto"/>
        <w:ind w:left="418" w:right="1453" w:firstLine="419"/>
      </w:pPr>
      <w:r>
        <w:rPr>
          <w:spacing w:val="-11"/>
        </w:rPr>
        <w:t>分别取校为</w:t>
      </w:r>
      <w:r>
        <w:rPr>
          <w:spacing w:val="-11"/>
        </w:rPr>
        <w:t xml:space="preserve"> </w:t>
      </w:r>
      <w:r>
        <w:t>250mm</w:t>
      </w:r>
      <w:r>
        <w:rPr>
          <w:spacing w:val="-3"/>
        </w:rPr>
        <w:t>、外径为</w:t>
      </w:r>
      <w:r>
        <w:rPr>
          <w:i/>
          <w:sz w:val="22"/>
        </w:rPr>
        <w:t>φ</w:t>
      </w:r>
      <w:r>
        <w:t>30</w:t>
      </w:r>
      <w:r>
        <w:rPr>
          <w:rFonts w:ascii="微软雅黑" w:eastAsia="微软雅黑" w:hAnsi="微软雅黑" w:hint="eastAsia"/>
        </w:rPr>
        <w:t>〜</w:t>
      </w:r>
      <w:r>
        <w:t>40mm</w:t>
      </w:r>
      <w:r>
        <w:rPr>
          <w:spacing w:val="-35"/>
        </w:rPr>
        <w:t xml:space="preserve"> </w:t>
      </w:r>
      <w:r>
        <w:rPr>
          <w:spacing w:val="-35"/>
        </w:rPr>
        <w:t>的</w:t>
      </w:r>
      <w:r>
        <w:rPr>
          <w:spacing w:val="-35"/>
        </w:rPr>
        <w:t xml:space="preserve"> </w:t>
      </w:r>
      <w:r>
        <w:t>Q235</w:t>
      </w:r>
      <w:r>
        <w:rPr>
          <w:spacing w:val="-11"/>
        </w:rPr>
        <w:t xml:space="preserve"> </w:t>
      </w:r>
      <w:r>
        <w:rPr>
          <w:spacing w:val="-11"/>
        </w:rPr>
        <w:t>普通碳素结构钢管两根和长为</w:t>
      </w:r>
      <w:r>
        <w:rPr>
          <w:spacing w:val="-11"/>
        </w:rPr>
        <w:t xml:space="preserve"> </w:t>
      </w:r>
      <w:r>
        <w:t>250mm</w:t>
      </w:r>
      <w:r>
        <w:rPr>
          <w:spacing w:val="-2"/>
        </w:rPr>
        <w:t>、</w:t>
      </w:r>
      <w:r>
        <w:rPr>
          <w:spacing w:val="-2"/>
        </w:rPr>
        <w:t xml:space="preserve"> </w:t>
      </w:r>
      <w:r>
        <w:rPr>
          <w:spacing w:val="-2"/>
        </w:rPr>
        <w:t>外径</w:t>
      </w:r>
      <w:r>
        <w:t>为</w:t>
      </w:r>
      <w:r>
        <w:rPr>
          <w:i/>
          <w:sz w:val="22"/>
        </w:rPr>
        <w:t>φ</w:t>
      </w:r>
      <w:r>
        <w:t>30</w:t>
      </w:r>
      <w:r>
        <w:rPr>
          <w:rFonts w:ascii="微软雅黑" w:eastAsia="微软雅黑" w:hAnsi="微软雅黑" w:hint="eastAsia"/>
        </w:rPr>
        <w:t>〜</w:t>
      </w:r>
      <w:r>
        <w:t>40mm</w:t>
      </w:r>
      <w:r>
        <w:rPr>
          <w:spacing w:val="-34"/>
        </w:rPr>
        <w:t xml:space="preserve"> </w:t>
      </w:r>
      <w:r>
        <w:rPr>
          <w:spacing w:val="-34"/>
        </w:rPr>
        <w:t>的</w:t>
      </w:r>
      <w:r>
        <w:rPr>
          <w:spacing w:val="-34"/>
        </w:rPr>
        <w:t xml:space="preserve"> </w:t>
      </w:r>
      <w:r>
        <w:t>PVC</w:t>
      </w:r>
      <w:r>
        <w:rPr>
          <w:spacing w:val="-15"/>
        </w:rPr>
        <w:t xml:space="preserve"> </w:t>
      </w:r>
      <w:r>
        <w:rPr>
          <w:spacing w:val="-15"/>
        </w:rPr>
        <w:t>绝缘护套电缆</w:t>
      </w:r>
      <w:r>
        <w:rPr>
          <w:spacing w:val="-15"/>
        </w:rPr>
        <w:t xml:space="preserve"> </w:t>
      </w:r>
      <w:r>
        <w:t>3</w:t>
      </w:r>
      <w:r>
        <w:rPr>
          <w:spacing w:val="-8"/>
        </w:rPr>
        <w:t xml:space="preserve"> </w:t>
      </w:r>
      <w:r>
        <w:rPr>
          <w:spacing w:val="-8"/>
        </w:rPr>
        <w:t>根，在阻火模块上钻出与钢管和电缆直径相同的孔洞，并</w:t>
      </w:r>
      <w:r>
        <w:rPr>
          <w:spacing w:val="-6"/>
        </w:rPr>
        <w:t>对剖。将钢管和电缆置于阻火模块的孔洞中，并用夹具固定，固定方式见图</w:t>
      </w:r>
      <w:r>
        <w:rPr>
          <w:spacing w:val="-6"/>
        </w:rPr>
        <w:t xml:space="preserve"> </w:t>
      </w:r>
      <w:r>
        <w:t>1</w:t>
      </w:r>
      <w:r>
        <w:rPr>
          <w:spacing w:val="-3"/>
        </w:rPr>
        <w:t>。七天后，观察钢</w:t>
      </w:r>
    </w:p>
    <w:p w14:paraId="1E8FD23E" w14:textId="77777777" w:rsidR="00A71EEF" w:rsidRDefault="00A71EEF">
      <w:pPr>
        <w:spacing w:line="331" w:lineRule="auto"/>
        <w:sectPr w:rsidR="00A71EEF">
          <w:pgSz w:w="11910" w:h="16850"/>
          <w:pgMar w:top="1220" w:right="0" w:bottom="1420" w:left="1260" w:header="0" w:footer="1239" w:gutter="0"/>
          <w:cols w:space="720"/>
        </w:sectPr>
      </w:pPr>
    </w:p>
    <w:p w14:paraId="0E815C29" w14:textId="77777777" w:rsidR="00A71EEF" w:rsidRDefault="0081115D">
      <w:pPr>
        <w:pStyle w:val="a3"/>
        <w:ind w:left="1779"/>
        <w:rPr>
          <w:sz w:val="20"/>
        </w:rPr>
      </w:pPr>
      <w:r>
        <w:rPr>
          <w:noProof/>
          <w:sz w:val="20"/>
        </w:rPr>
        <w:drawing>
          <wp:inline distT="0" distB="0" distL="0" distR="0" wp14:anchorId="03428D28" wp14:editId="2B2DF367">
            <wp:extent cx="3802551" cy="1752600"/>
            <wp:effectExtent l="0" t="0" r="0" b="0"/>
            <wp:docPr id="423" name="image2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image249.jpeg"/>
                    <pic:cNvPicPr/>
                  </pic:nvPicPr>
                  <pic:blipFill>
                    <a:blip r:embed="rId295" cstate="print"/>
                    <a:stretch>
                      <a:fillRect/>
                    </a:stretch>
                  </pic:blipFill>
                  <pic:spPr>
                    <a:xfrm>
                      <a:off x="0" y="0"/>
                      <a:ext cx="3802551" cy="1752600"/>
                    </a:xfrm>
                    <a:prstGeom prst="rect">
                      <a:avLst/>
                    </a:prstGeom>
                  </pic:spPr>
                </pic:pic>
              </a:graphicData>
            </a:graphic>
          </wp:inline>
        </w:drawing>
      </w:r>
    </w:p>
    <w:p w14:paraId="13B936E3" w14:textId="77777777" w:rsidR="00A71EEF" w:rsidRDefault="00A71EEF">
      <w:pPr>
        <w:pStyle w:val="a3"/>
        <w:spacing w:before="4"/>
        <w:rPr>
          <w:sz w:val="13"/>
        </w:rPr>
      </w:pPr>
    </w:p>
    <w:p w14:paraId="437B5976" w14:textId="77777777" w:rsidR="00A71EEF" w:rsidRDefault="0081115D">
      <w:pPr>
        <w:pStyle w:val="a3"/>
        <w:spacing w:before="71"/>
        <w:ind w:left="418"/>
      </w:pPr>
      <w:r>
        <w:t>管和电缆外层胶皮与堵料试样接触部位是否出现镑烛、腐烛现象。</w:t>
      </w:r>
      <w:r>
        <w:t xml:space="preserve"> </w:t>
      </w:r>
    </w:p>
    <w:p w14:paraId="6E23EA24" w14:textId="77777777" w:rsidR="00A71EEF" w:rsidRDefault="00A71EEF">
      <w:pPr>
        <w:pStyle w:val="a3"/>
        <w:rPr>
          <w:sz w:val="20"/>
        </w:rPr>
      </w:pPr>
    </w:p>
    <w:p w14:paraId="72DA64F4" w14:textId="77777777" w:rsidR="00A71EEF" w:rsidRDefault="00A71EEF">
      <w:pPr>
        <w:pStyle w:val="a3"/>
        <w:rPr>
          <w:sz w:val="20"/>
        </w:rPr>
      </w:pPr>
    </w:p>
    <w:p w14:paraId="3F5FEAD6" w14:textId="77777777" w:rsidR="00A71EEF" w:rsidRDefault="00A71EEF">
      <w:pPr>
        <w:pStyle w:val="a3"/>
        <w:spacing w:before="2"/>
        <w:rPr>
          <w:sz w:val="17"/>
        </w:rPr>
      </w:pPr>
    </w:p>
    <w:p w14:paraId="5DC0F9DE" w14:textId="77777777" w:rsidR="00A71EEF" w:rsidRDefault="0081115D">
      <w:pPr>
        <w:pStyle w:val="a4"/>
        <w:numPr>
          <w:ilvl w:val="2"/>
          <w:numId w:val="515"/>
        </w:numPr>
        <w:tabs>
          <w:tab w:val="left" w:pos="1371"/>
        </w:tabs>
        <w:ind w:left="1370" w:hanging="531"/>
        <w:rPr>
          <w:b/>
          <w:sz w:val="21"/>
        </w:rPr>
      </w:pPr>
      <w:r>
        <w:rPr>
          <w:spacing w:val="-3"/>
          <w:sz w:val="21"/>
        </w:rPr>
        <w:t>其他封堵材料的腐蚀性试验</w:t>
      </w:r>
      <w:r>
        <w:rPr>
          <w:b/>
          <w:w w:val="99"/>
          <w:sz w:val="21"/>
        </w:rPr>
        <w:t xml:space="preserve"> </w:t>
      </w:r>
    </w:p>
    <w:p w14:paraId="4F3EA997" w14:textId="77777777" w:rsidR="00A71EEF" w:rsidRDefault="0081115D">
      <w:pPr>
        <w:pStyle w:val="a3"/>
        <w:spacing w:before="163"/>
        <w:ind w:left="838"/>
      </w:pPr>
      <w:r>
        <w:t>分别取</w:t>
      </w:r>
      <w:r>
        <w:t xml:space="preserve"> 150mmX100mmX0.8mm </w:t>
      </w:r>
      <w:r>
        <w:t>的</w:t>
      </w:r>
      <w:r>
        <w:t xml:space="preserve"> Q235 </w:t>
      </w:r>
      <w:r>
        <w:t>普通碳素结构钢板两块和长为</w:t>
      </w:r>
      <w:r>
        <w:t xml:space="preserve"> 25mm</w:t>
      </w:r>
      <w:r>
        <w:t>、外径为</w:t>
      </w:r>
      <w:r>
        <w:rPr>
          <w:i/>
          <w:sz w:val="22"/>
        </w:rPr>
        <w:t>φ</w:t>
      </w:r>
      <w:r>
        <w:t>30</w:t>
      </w:r>
      <w:r>
        <w:rPr>
          <w:rFonts w:ascii="微软雅黑" w:eastAsia="微软雅黑" w:hAnsi="微软雅黑" w:hint="eastAsia"/>
        </w:rPr>
        <w:t>〜</w:t>
      </w:r>
      <w:r>
        <w:t>40mm</w:t>
      </w:r>
    </w:p>
    <w:p w14:paraId="31FCEDEF" w14:textId="77777777" w:rsidR="00A71EEF" w:rsidRDefault="0081115D">
      <w:pPr>
        <w:pStyle w:val="a3"/>
        <w:spacing w:before="181" w:line="446" w:lineRule="auto"/>
        <w:ind w:left="418" w:right="1608"/>
        <w:jc w:val="both"/>
      </w:pPr>
      <w:r>
        <w:rPr>
          <w:spacing w:val="-10"/>
        </w:rPr>
        <w:t>的电缆</w:t>
      </w:r>
      <w:r>
        <w:rPr>
          <w:spacing w:val="-10"/>
        </w:rPr>
        <w:t xml:space="preserve"> </w:t>
      </w:r>
      <w:r>
        <w:t>3</w:t>
      </w:r>
      <w:r>
        <w:rPr>
          <w:spacing w:val="-7"/>
        </w:rPr>
        <w:t xml:space="preserve"> </w:t>
      </w:r>
      <w:r>
        <w:rPr>
          <w:spacing w:val="-7"/>
        </w:rPr>
        <w:t>根，将调和好的无机堵料、柔性有机堵料、泡沫封堵材料或防火密封胶涂在钢板和电</w:t>
      </w:r>
      <w:r>
        <w:rPr>
          <w:spacing w:val="-5"/>
        </w:rPr>
        <w:t>缆外层胶皮表面，七天后观察钢板和电缆外层胶皮与堵料试样接触部位，是否出现锈烛、腐蚀现象。</w:t>
      </w:r>
      <w:r>
        <w:t xml:space="preserve"> </w:t>
      </w:r>
    </w:p>
    <w:p w14:paraId="4F40A8C3" w14:textId="77777777" w:rsidR="00A71EEF" w:rsidRDefault="0081115D">
      <w:pPr>
        <w:pStyle w:val="a4"/>
        <w:numPr>
          <w:ilvl w:val="1"/>
          <w:numId w:val="514"/>
        </w:numPr>
        <w:tabs>
          <w:tab w:val="left" w:pos="1160"/>
        </w:tabs>
        <w:spacing w:line="268" w:lineRule="exact"/>
        <w:rPr>
          <w:b/>
          <w:sz w:val="21"/>
        </w:rPr>
      </w:pPr>
      <w:r>
        <w:rPr>
          <w:spacing w:val="-3"/>
          <w:sz w:val="21"/>
        </w:rPr>
        <w:t>耐水性</w:t>
      </w:r>
      <w:r>
        <w:rPr>
          <w:b/>
          <w:w w:val="99"/>
          <w:sz w:val="21"/>
        </w:rPr>
        <w:t xml:space="preserve"> </w:t>
      </w:r>
    </w:p>
    <w:p w14:paraId="7E9730DB" w14:textId="77777777" w:rsidR="00A71EEF" w:rsidRDefault="00A71EEF">
      <w:pPr>
        <w:pStyle w:val="a3"/>
        <w:rPr>
          <w:b/>
          <w:sz w:val="18"/>
        </w:rPr>
      </w:pPr>
    </w:p>
    <w:p w14:paraId="093A309B" w14:textId="77777777" w:rsidR="00A71EEF" w:rsidRDefault="0081115D">
      <w:pPr>
        <w:pStyle w:val="a4"/>
        <w:numPr>
          <w:ilvl w:val="2"/>
          <w:numId w:val="514"/>
        </w:numPr>
        <w:tabs>
          <w:tab w:val="left" w:pos="1371"/>
        </w:tabs>
        <w:rPr>
          <w:b/>
          <w:sz w:val="21"/>
        </w:rPr>
      </w:pPr>
      <w:r>
        <w:rPr>
          <w:spacing w:val="-3"/>
          <w:sz w:val="21"/>
        </w:rPr>
        <w:t>试样的制备</w:t>
      </w:r>
      <w:r>
        <w:rPr>
          <w:b/>
          <w:w w:val="99"/>
          <w:sz w:val="21"/>
        </w:rPr>
        <w:t xml:space="preserve"> </w:t>
      </w:r>
    </w:p>
    <w:p w14:paraId="18676548" w14:textId="77777777" w:rsidR="00A71EEF" w:rsidRDefault="00A71EEF">
      <w:pPr>
        <w:pStyle w:val="a3"/>
        <w:spacing w:before="12"/>
        <w:rPr>
          <w:b/>
          <w:sz w:val="17"/>
        </w:rPr>
      </w:pPr>
    </w:p>
    <w:p w14:paraId="51A52CC2" w14:textId="77777777" w:rsidR="00A71EEF" w:rsidRDefault="0081115D">
      <w:pPr>
        <w:pStyle w:val="a3"/>
        <w:spacing w:line="446" w:lineRule="auto"/>
        <w:ind w:left="418" w:right="1505" w:firstLine="419"/>
      </w:pPr>
      <w:r>
        <w:rPr>
          <w:spacing w:val="-6"/>
        </w:rPr>
        <w:t>无机堵料、防火密封胶：将调和好的试样注入</w:t>
      </w:r>
      <w:r>
        <w:rPr>
          <w:spacing w:val="-6"/>
        </w:rPr>
        <w:t xml:space="preserve"> </w:t>
      </w:r>
      <w:r>
        <w:t>200mm×20mm×20mm</w:t>
      </w:r>
      <w:r>
        <w:rPr>
          <w:spacing w:val="-8"/>
        </w:rPr>
        <w:t xml:space="preserve"> </w:t>
      </w:r>
      <w:r>
        <w:rPr>
          <w:spacing w:val="-8"/>
        </w:rPr>
        <w:t>的标准试模内，捣实抹</w:t>
      </w:r>
      <w:r>
        <w:rPr>
          <w:spacing w:val="-7"/>
        </w:rPr>
        <w:t>平，待基本固化后脱模，养护期满后将试样锅切成三个</w:t>
      </w:r>
      <w:r>
        <w:rPr>
          <w:spacing w:val="-7"/>
        </w:rPr>
        <w:t xml:space="preserve"> </w:t>
      </w:r>
      <w:r>
        <w:t>20mm×20mm×20mm</w:t>
      </w:r>
      <w:r>
        <w:rPr>
          <w:spacing w:val="-8"/>
        </w:rPr>
        <w:t xml:space="preserve"> </w:t>
      </w:r>
      <w:r>
        <w:rPr>
          <w:spacing w:val="-8"/>
        </w:rPr>
        <w:t>的正方体试块。试样</w:t>
      </w:r>
      <w:r>
        <w:rPr>
          <w:spacing w:val="-5"/>
        </w:rPr>
        <w:t>的调和与养护按产品使用说明进行。</w:t>
      </w:r>
      <w:r>
        <w:t xml:space="preserve"> </w:t>
      </w:r>
    </w:p>
    <w:p w14:paraId="48B2F1C2" w14:textId="77777777" w:rsidR="00A71EEF" w:rsidRDefault="0081115D">
      <w:pPr>
        <w:pStyle w:val="a3"/>
        <w:spacing w:line="448" w:lineRule="auto"/>
        <w:ind w:left="838" w:right="2979"/>
      </w:pPr>
      <w:r>
        <w:t>柔性有机堵料</w:t>
      </w:r>
      <w:r>
        <w:t>:</w:t>
      </w:r>
      <w:r>
        <w:t>取一定量的试样，揉匀，制成三个直径均为</w:t>
      </w:r>
      <w:r>
        <w:t xml:space="preserve"> 20mm </w:t>
      </w:r>
      <w:r>
        <w:t>的圆球。阻火包：试样为完整的三个包体。</w:t>
      </w:r>
      <w:r>
        <w:t xml:space="preserve"> </w:t>
      </w:r>
    </w:p>
    <w:p w14:paraId="13F16CCE" w14:textId="77777777" w:rsidR="00A71EEF" w:rsidRDefault="0081115D">
      <w:pPr>
        <w:pStyle w:val="a3"/>
        <w:spacing w:line="446" w:lineRule="auto"/>
        <w:ind w:left="418" w:right="1505" w:firstLine="419"/>
      </w:pPr>
      <w:r>
        <w:rPr>
          <w:spacing w:val="-6"/>
        </w:rPr>
        <w:t>其他防火封堵材料</w:t>
      </w:r>
      <w:r>
        <w:rPr>
          <w:spacing w:val="-6"/>
        </w:rPr>
        <w:t>:</w:t>
      </w:r>
      <w:r>
        <w:rPr>
          <w:spacing w:val="-6"/>
        </w:rPr>
        <w:t>将试样切割成三个</w:t>
      </w:r>
      <w:r>
        <w:rPr>
          <w:spacing w:val="-6"/>
        </w:rPr>
        <w:t xml:space="preserve"> </w:t>
      </w:r>
      <w:r>
        <w:t>20mm×20mm×20mm</w:t>
      </w:r>
      <w:r>
        <w:rPr>
          <w:spacing w:val="-8"/>
        </w:rPr>
        <w:t xml:space="preserve"> </w:t>
      </w:r>
      <w:r>
        <w:rPr>
          <w:spacing w:val="-8"/>
        </w:rPr>
        <w:t>的试块，表面有凃层的防火封堵</w:t>
      </w:r>
      <w:r>
        <w:rPr>
          <w:spacing w:val="-7"/>
        </w:rPr>
        <w:t>材料，其裸露的断面应采用相同的表面材料涂封，厚度小于</w:t>
      </w:r>
      <w:r>
        <w:rPr>
          <w:spacing w:val="-7"/>
        </w:rPr>
        <w:t xml:space="preserve"> </w:t>
      </w:r>
      <w:r>
        <w:t>20mm</w:t>
      </w:r>
      <w:r>
        <w:rPr>
          <w:spacing w:val="-7"/>
        </w:rPr>
        <w:t xml:space="preserve"> </w:t>
      </w:r>
      <w:r>
        <w:rPr>
          <w:spacing w:val="-7"/>
        </w:rPr>
        <w:t>的材料，试块厚度与材料厚度</w:t>
      </w:r>
      <w:r>
        <w:rPr>
          <w:spacing w:val="-6"/>
        </w:rPr>
        <w:t>相同。</w:t>
      </w:r>
      <w:r>
        <w:t xml:space="preserve"> </w:t>
      </w:r>
    </w:p>
    <w:p w14:paraId="2FE7DFB2" w14:textId="77777777" w:rsidR="00A71EEF" w:rsidRDefault="0081115D">
      <w:pPr>
        <w:pStyle w:val="a3"/>
        <w:spacing w:line="446" w:lineRule="auto"/>
        <w:ind w:left="418" w:right="1611" w:firstLine="419"/>
      </w:pPr>
      <w:r>
        <w:rPr>
          <w:spacing w:val="-5"/>
        </w:rPr>
        <w:t>注：对无法固化的防火密封胶，可以涂在三个</w:t>
      </w:r>
      <w:r>
        <w:rPr>
          <w:spacing w:val="-5"/>
        </w:rPr>
        <w:t xml:space="preserve"> </w:t>
      </w:r>
      <w:r>
        <w:t>50mm×50mm×2mm</w:t>
      </w:r>
      <w:r>
        <w:rPr>
          <w:spacing w:val="-7"/>
        </w:rPr>
        <w:t xml:space="preserve"> </w:t>
      </w:r>
      <w:r>
        <w:rPr>
          <w:spacing w:val="-7"/>
        </w:rPr>
        <w:t>的不锈钢板或聚乙烯塑料</w:t>
      </w:r>
      <w:r>
        <w:rPr>
          <w:spacing w:val="-9"/>
        </w:rPr>
        <w:t>板上进行试验，涂覆厚度为</w:t>
      </w:r>
      <w:r>
        <w:rPr>
          <w:spacing w:val="-9"/>
        </w:rPr>
        <w:t xml:space="preserve"> </w:t>
      </w:r>
      <w:r>
        <w:t>1mm±0.5mm</w:t>
      </w:r>
      <w:r>
        <w:rPr>
          <w:spacing w:val="-3"/>
        </w:rPr>
        <w:t>。</w:t>
      </w:r>
      <w:r>
        <w:t xml:space="preserve"> </w:t>
      </w:r>
    </w:p>
    <w:p w14:paraId="6D7D86BA" w14:textId="77777777" w:rsidR="00A71EEF" w:rsidRDefault="0081115D">
      <w:pPr>
        <w:pStyle w:val="a4"/>
        <w:numPr>
          <w:ilvl w:val="2"/>
          <w:numId w:val="514"/>
        </w:numPr>
        <w:tabs>
          <w:tab w:val="left" w:pos="1370"/>
        </w:tabs>
        <w:ind w:left="1369" w:hanging="530"/>
        <w:rPr>
          <w:b/>
          <w:sz w:val="21"/>
        </w:rPr>
      </w:pPr>
      <w:r>
        <w:rPr>
          <w:spacing w:val="-3"/>
          <w:sz w:val="21"/>
        </w:rPr>
        <w:t>试验程序</w:t>
      </w:r>
      <w:r>
        <w:rPr>
          <w:b/>
          <w:w w:val="99"/>
          <w:sz w:val="21"/>
        </w:rPr>
        <w:t xml:space="preserve"> </w:t>
      </w:r>
    </w:p>
    <w:p w14:paraId="03A69053" w14:textId="77777777" w:rsidR="00A71EEF" w:rsidRDefault="00A71EEF">
      <w:pPr>
        <w:rPr>
          <w:sz w:val="21"/>
        </w:rPr>
        <w:sectPr w:rsidR="00A71EEF">
          <w:pgSz w:w="11910" w:h="16850"/>
          <w:pgMar w:top="1540" w:right="0" w:bottom="1420" w:left="1260" w:header="0" w:footer="1239" w:gutter="0"/>
          <w:cols w:space="720"/>
        </w:sectPr>
      </w:pPr>
    </w:p>
    <w:p w14:paraId="27FB7248" w14:textId="77777777" w:rsidR="00A71EEF" w:rsidRDefault="0081115D">
      <w:pPr>
        <w:pStyle w:val="a3"/>
        <w:spacing w:before="47" w:line="446" w:lineRule="auto"/>
        <w:ind w:left="418" w:right="1394" w:firstLine="419"/>
      </w:pPr>
      <w:r>
        <w:t>将制作养护好的试样浸泡于自来水中，温度保持在</w:t>
      </w:r>
      <w:r>
        <w:t xml:space="preserve"> 20°C±5°C</w:t>
      </w:r>
      <w:r>
        <w:t>，一天观察一次，三天后取出。观察试样是否溶胀、开裂，阻火包的包体是否完整、有无破损、内装材料是否有明显变</w:t>
      </w:r>
    </w:p>
    <w:p w14:paraId="745BFB7C" w14:textId="77777777" w:rsidR="00A71EEF" w:rsidRDefault="0081115D">
      <w:pPr>
        <w:pStyle w:val="a3"/>
        <w:spacing w:line="267" w:lineRule="exact"/>
        <w:ind w:left="418"/>
      </w:pPr>
      <w:r>
        <w:t>化。</w:t>
      </w:r>
      <w:r>
        <w:t xml:space="preserve"> </w:t>
      </w:r>
    </w:p>
    <w:p w14:paraId="07CBC141" w14:textId="77777777" w:rsidR="00A71EEF" w:rsidRDefault="00A71EEF">
      <w:pPr>
        <w:pStyle w:val="a3"/>
        <w:spacing w:before="2"/>
        <w:rPr>
          <w:sz w:val="18"/>
        </w:rPr>
      </w:pPr>
    </w:p>
    <w:p w14:paraId="2EC1A22C" w14:textId="77777777" w:rsidR="00A71EEF" w:rsidRDefault="0081115D">
      <w:pPr>
        <w:pStyle w:val="a4"/>
        <w:numPr>
          <w:ilvl w:val="2"/>
          <w:numId w:val="514"/>
        </w:numPr>
        <w:tabs>
          <w:tab w:val="left" w:pos="1370"/>
        </w:tabs>
        <w:ind w:left="1369" w:hanging="530"/>
        <w:rPr>
          <w:b/>
          <w:sz w:val="21"/>
        </w:rPr>
      </w:pPr>
      <w:r>
        <w:rPr>
          <w:spacing w:val="-3"/>
          <w:sz w:val="21"/>
        </w:rPr>
        <w:t>判定条件</w:t>
      </w:r>
      <w:r>
        <w:rPr>
          <w:b/>
          <w:w w:val="99"/>
          <w:sz w:val="21"/>
        </w:rPr>
        <w:t xml:space="preserve"> </w:t>
      </w:r>
    </w:p>
    <w:p w14:paraId="5577375E" w14:textId="77777777" w:rsidR="00A71EEF" w:rsidRDefault="00A71EEF">
      <w:pPr>
        <w:pStyle w:val="a3"/>
        <w:rPr>
          <w:b/>
          <w:sz w:val="18"/>
        </w:rPr>
      </w:pPr>
    </w:p>
    <w:p w14:paraId="5993F2A1" w14:textId="77777777" w:rsidR="00A71EEF" w:rsidRDefault="0081115D">
      <w:pPr>
        <w:pStyle w:val="a3"/>
        <w:spacing w:line="446" w:lineRule="auto"/>
        <w:ind w:left="838" w:right="2554"/>
      </w:pPr>
      <w:r>
        <w:rPr>
          <w:spacing w:val="-3"/>
        </w:rPr>
        <w:t>阻火包浸泡三天后取出擦干，包体应完整、无破损且内装材料应无明显变化，</w:t>
      </w:r>
      <w:r>
        <w:rPr>
          <w:spacing w:val="-3"/>
        </w:rPr>
        <w:t xml:space="preserve"> </w:t>
      </w:r>
      <w:r>
        <w:rPr>
          <w:spacing w:val="-3"/>
        </w:rPr>
        <w:t>其他试样浸泡三天，三个试件中至少两个不应出现溶胀、开裂现象。</w:t>
      </w:r>
      <w:r>
        <w:t xml:space="preserve"> </w:t>
      </w:r>
    </w:p>
    <w:p w14:paraId="1BCFF065" w14:textId="77777777" w:rsidR="00A71EEF" w:rsidRDefault="0081115D">
      <w:pPr>
        <w:pStyle w:val="a4"/>
        <w:numPr>
          <w:ilvl w:val="1"/>
          <w:numId w:val="514"/>
        </w:numPr>
        <w:tabs>
          <w:tab w:val="left" w:pos="1159"/>
        </w:tabs>
        <w:ind w:left="1158" w:hanging="319"/>
        <w:rPr>
          <w:sz w:val="21"/>
        </w:rPr>
      </w:pPr>
      <w:r>
        <w:rPr>
          <w:spacing w:val="-3"/>
          <w:sz w:val="21"/>
        </w:rPr>
        <w:t>耐油性</w:t>
      </w:r>
      <w:r>
        <w:rPr>
          <w:sz w:val="21"/>
        </w:rPr>
        <w:t xml:space="preserve"> </w:t>
      </w:r>
    </w:p>
    <w:p w14:paraId="1346075E" w14:textId="77777777" w:rsidR="00A71EEF" w:rsidRDefault="00A71EEF">
      <w:pPr>
        <w:pStyle w:val="a3"/>
        <w:rPr>
          <w:sz w:val="18"/>
        </w:rPr>
      </w:pPr>
    </w:p>
    <w:p w14:paraId="00956F3A" w14:textId="77777777" w:rsidR="00A71EEF" w:rsidRDefault="0081115D">
      <w:pPr>
        <w:pStyle w:val="a4"/>
        <w:numPr>
          <w:ilvl w:val="2"/>
          <w:numId w:val="514"/>
        </w:numPr>
        <w:tabs>
          <w:tab w:val="left" w:pos="1371"/>
        </w:tabs>
        <w:rPr>
          <w:b/>
          <w:sz w:val="21"/>
        </w:rPr>
      </w:pPr>
      <w:r>
        <w:rPr>
          <w:spacing w:val="-3"/>
          <w:sz w:val="21"/>
        </w:rPr>
        <w:t>试样的制备</w:t>
      </w:r>
      <w:r>
        <w:rPr>
          <w:b/>
          <w:w w:val="99"/>
          <w:sz w:val="21"/>
        </w:rPr>
        <w:t xml:space="preserve"> </w:t>
      </w:r>
    </w:p>
    <w:p w14:paraId="7FD8C1E2" w14:textId="77777777" w:rsidR="00A71EEF" w:rsidRDefault="00A71EEF">
      <w:pPr>
        <w:pStyle w:val="a3"/>
        <w:spacing w:before="12"/>
        <w:rPr>
          <w:b/>
          <w:sz w:val="17"/>
        </w:rPr>
      </w:pPr>
    </w:p>
    <w:p w14:paraId="3992F5B0" w14:textId="77777777" w:rsidR="00A71EEF" w:rsidRDefault="0081115D">
      <w:pPr>
        <w:spacing w:line="446" w:lineRule="auto"/>
        <w:ind w:left="840" w:right="7600" w:hanging="3"/>
        <w:rPr>
          <w:b/>
          <w:sz w:val="21"/>
        </w:rPr>
      </w:pPr>
      <w:r>
        <w:rPr>
          <w:sz w:val="21"/>
        </w:rPr>
        <w:t>按</w:t>
      </w:r>
      <w:r>
        <w:rPr>
          <w:sz w:val="21"/>
        </w:rPr>
        <w:t xml:space="preserve"> 6.8.1 </w:t>
      </w:r>
      <w:r>
        <w:rPr>
          <w:sz w:val="21"/>
        </w:rPr>
        <w:t>的要求制样。</w:t>
      </w:r>
      <w:r>
        <w:rPr>
          <w:b/>
          <w:sz w:val="21"/>
        </w:rPr>
        <w:t xml:space="preserve">6.9.2 </w:t>
      </w:r>
      <w:r>
        <w:rPr>
          <w:sz w:val="21"/>
        </w:rPr>
        <w:t>试验程序</w:t>
      </w:r>
      <w:r>
        <w:rPr>
          <w:b/>
          <w:w w:val="99"/>
          <w:sz w:val="21"/>
        </w:rPr>
        <w:t xml:space="preserve"> </w:t>
      </w:r>
    </w:p>
    <w:p w14:paraId="55E8263F" w14:textId="77777777" w:rsidR="00A71EEF" w:rsidRDefault="0081115D">
      <w:pPr>
        <w:pStyle w:val="a3"/>
        <w:spacing w:line="446" w:lineRule="auto"/>
        <w:ind w:left="418" w:right="1391" w:firstLine="419"/>
      </w:pPr>
      <w:r>
        <w:t>将制作养护好的试样浸泡于变压器油中，油温保持在</w:t>
      </w:r>
      <w:r>
        <w:t xml:space="preserve"> 20℃±5℃</w:t>
      </w:r>
      <w:r>
        <w:t>，一天观察一次，三天后取出。</w:t>
      </w:r>
      <w:r>
        <w:t xml:space="preserve"> </w:t>
      </w:r>
    </w:p>
    <w:p w14:paraId="46101966" w14:textId="77777777" w:rsidR="00A71EEF" w:rsidRDefault="0081115D">
      <w:pPr>
        <w:ind w:left="840"/>
        <w:rPr>
          <w:b/>
          <w:sz w:val="21"/>
        </w:rPr>
      </w:pPr>
      <w:r>
        <w:rPr>
          <w:b/>
          <w:sz w:val="21"/>
        </w:rPr>
        <w:t xml:space="preserve">6.9.3 </w:t>
      </w:r>
      <w:r>
        <w:rPr>
          <w:sz w:val="21"/>
        </w:rPr>
        <w:t>判定条件</w:t>
      </w:r>
      <w:r>
        <w:rPr>
          <w:b/>
          <w:w w:val="99"/>
          <w:sz w:val="21"/>
        </w:rPr>
        <w:t xml:space="preserve"> </w:t>
      </w:r>
    </w:p>
    <w:p w14:paraId="72AB4813" w14:textId="77777777" w:rsidR="00A71EEF" w:rsidRDefault="00A71EEF">
      <w:pPr>
        <w:pStyle w:val="a3"/>
        <w:rPr>
          <w:b/>
          <w:sz w:val="18"/>
        </w:rPr>
      </w:pPr>
    </w:p>
    <w:p w14:paraId="2FF901EE" w14:textId="77777777" w:rsidR="00A71EEF" w:rsidRDefault="0081115D">
      <w:pPr>
        <w:pStyle w:val="a3"/>
        <w:spacing w:line="446" w:lineRule="auto"/>
        <w:ind w:left="840" w:right="7177" w:hanging="3"/>
      </w:pPr>
      <w:r>
        <w:t>按</w:t>
      </w:r>
      <w:r>
        <w:t xml:space="preserve"> 6.8.3 </w:t>
      </w:r>
      <w:r>
        <w:t>的要求进行判定。</w:t>
      </w:r>
      <w:r>
        <w:rPr>
          <w:b/>
        </w:rPr>
        <w:t xml:space="preserve">6.10 </w:t>
      </w:r>
      <w:r>
        <w:t>耐湿热性</w:t>
      </w:r>
      <w:r>
        <w:t xml:space="preserve"> </w:t>
      </w:r>
    </w:p>
    <w:p w14:paraId="7ECBD934" w14:textId="77777777" w:rsidR="00A71EEF" w:rsidRDefault="0081115D">
      <w:pPr>
        <w:ind w:left="840"/>
        <w:rPr>
          <w:b/>
          <w:sz w:val="21"/>
        </w:rPr>
      </w:pPr>
      <w:r>
        <w:rPr>
          <w:b/>
          <w:sz w:val="21"/>
        </w:rPr>
        <w:t xml:space="preserve">6.10.1 </w:t>
      </w:r>
      <w:r>
        <w:rPr>
          <w:sz w:val="21"/>
        </w:rPr>
        <w:t>试样的制备</w:t>
      </w:r>
      <w:r>
        <w:rPr>
          <w:b/>
          <w:w w:val="99"/>
          <w:sz w:val="21"/>
        </w:rPr>
        <w:t xml:space="preserve"> </w:t>
      </w:r>
    </w:p>
    <w:p w14:paraId="6D58A69C" w14:textId="77777777" w:rsidR="00A71EEF" w:rsidRDefault="00A71EEF">
      <w:pPr>
        <w:pStyle w:val="a3"/>
        <w:spacing w:before="12"/>
        <w:rPr>
          <w:b/>
          <w:sz w:val="17"/>
        </w:rPr>
      </w:pPr>
    </w:p>
    <w:p w14:paraId="7CFC9F49" w14:textId="77777777" w:rsidR="00A71EEF" w:rsidRDefault="0081115D">
      <w:pPr>
        <w:spacing w:line="446" w:lineRule="auto"/>
        <w:ind w:left="840" w:right="7494" w:hanging="3"/>
        <w:rPr>
          <w:b/>
          <w:sz w:val="21"/>
        </w:rPr>
      </w:pPr>
      <w:r>
        <w:rPr>
          <w:sz w:val="21"/>
        </w:rPr>
        <w:t>按</w:t>
      </w:r>
      <w:r>
        <w:rPr>
          <w:sz w:val="21"/>
        </w:rPr>
        <w:t xml:space="preserve"> 6. 8.1 </w:t>
      </w:r>
      <w:r>
        <w:rPr>
          <w:sz w:val="21"/>
        </w:rPr>
        <w:t>的要求制样。</w:t>
      </w:r>
      <w:r>
        <w:rPr>
          <w:b/>
          <w:sz w:val="21"/>
        </w:rPr>
        <w:t xml:space="preserve">6.10.2 </w:t>
      </w:r>
      <w:r>
        <w:rPr>
          <w:sz w:val="21"/>
        </w:rPr>
        <w:t>试验程序</w:t>
      </w:r>
      <w:r>
        <w:rPr>
          <w:b/>
          <w:w w:val="99"/>
          <w:sz w:val="21"/>
        </w:rPr>
        <w:t xml:space="preserve"> </w:t>
      </w:r>
    </w:p>
    <w:p w14:paraId="0277B407" w14:textId="77777777" w:rsidR="00A71EEF" w:rsidRDefault="0081115D">
      <w:pPr>
        <w:pStyle w:val="a3"/>
        <w:spacing w:line="446" w:lineRule="auto"/>
        <w:ind w:left="418" w:right="1611" w:firstLine="419"/>
      </w:pPr>
      <w:r>
        <w:rPr>
          <w:spacing w:val="-6"/>
        </w:rPr>
        <w:t>将制作养护好的试件，放置在湿度为</w:t>
      </w:r>
      <w:r>
        <w:rPr>
          <w:spacing w:val="-6"/>
        </w:rPr>
        <w:t xml:space="preserve"> </w:t>
      </w:r>
      <w:r>
        <w:t>90%±5</w:t>
      </w:r>
      <w:r>
        <w:rPr>
          <w:spacing w:val="-10"/>
        </w:rPr>
        <w:t>%</w:t>
      </w:r>
      <w:r>
        <w:rPr>
          <w:spacing w:val="-10"/>
        </w:rPr>
        <w:t>、温度</w:t>
      </w:r>
      <w:r>
        <w:rPr>
          <w:spacing w:val="-10"/>
        </w:rPr>
        <w:t xml:space="preserve"> </w:t>
      </w:r>
      <w:r>
        <w:t>45</w:t>
      </w:r>
      <w:r>
        <w:rPr>
          <w:spacing w:val="4"/>
        </w:rPr>
        <w:t xml:space="preserve"> ℃+ </w:t>
      </w:r>
      <w:r>
        <w:t>5</w:t>
      </w:r>
      <w:r>
        <w:rPr>
          <w:spacing w:val="-3"/>
        </w:rPr>
        <w:t>℃</w:t>
      </w:r>
      <w:r>
        <w:rPr>
          <w:spacing w:val="-3"/>
        </w:rPr>
        <w:t>的试验箱中，至规定时间后，取出试件放置于不受阳光直接照射的环境中，自然干燥。观察试样是否开裂、粉化。</w:t>
      </w:r>
      <w:r>
        <w:t xml:space="preserve"> </w:t>
      </w:r>
    </w:p>
    <w:p w14:paraId="45421170" w14:textId="77777777" w:rsidR="00A71EEF" w:rsidRDefault="0081115D">
      <w:pPr>
        <w:spacing w:line="267" w:lineRule="exact"/>
        <w:ind w:left="840"/>
        <w:rPr>
          <w:b/>
          <w:sz w:val="21"/>
        </w:rPr>
      </w:pPr>
      <w:r>
        <w:rPr>
          <w:b/>
          <w:sz w:val="21"/>
        </w:rPr>
        <w:t>6.10.3</w:t>
      </w:r>
      <w:r>
        <w:rPr>
          <w:b/>
          <w:spacing w:val="5"/>
          <w:sz w:val="21"/>
        </w:rPr>
        <w:t xml:space="preserve"> </w:t>
      </w:r>
      <w:r>
        <w:rPr>
          <w:spacing w:val="-3"/>
          <w:sz w:val="21"/>
        </w:rPr>
        <w:t>判定条件</w:t>
      </w:r>
      <w:r>
        <w:rPr>
          <w:b/>
          <w:w w:val="99"/>
          <w:sz w:val="21"/>
        </w:rPr>
        <w:t xml:space="preserve"> </w:t>
      </w:r>
    </w:p>
    <w:p w14:paraId="12A3C591" w14:textId="77777777" w:rsidR="00A71EEF" w:rsidRDefault="00A71EEF">
      <w:pPr>
        <w:pStyle w:val="a3"/>
        <w:spacing w:before="2"/>
        <w:rPr>
          <w:b/>
          <w:sz w:val="18"/>
        </w:rPr>
      </w:pPr>
    </w:p>
    <w:p w14:paraId="2FDF07EB" w14:textId="77777777" w:rsidR="00A71EEF" w:rsidRDefault="0081115D">
      <w:pPr>
        <w:pStyle w:val="a3"/>
        <w:spacing w:line="446" w:lineRule="auto"/>
        <w:ind w:left="418" w:right="1609" w:firstLine="419"/>
      </w:pPr>
      <w:r>
        <w:rPr>
          <w:spacing w:val="-3"/>
        </w:rPr>
        <w:t>按规定进行试验后，阻火包内装材料应无明显变化，其他试样三个试件中至少两个不应出现开裂、</w:t>
      </w:r>
      <w:r>
        <w:rPr>
          <w:spacing w:val="-3"/>
        </w:rPr>
        <w:t xml:space="preserve"> </w:t>
      </w:r>
      <w:r>
        <w:rPr>
          <w:spacing w:val="-3"/>
        </w:rPr>
        <w:t>粉化现象。</w:t>
      </w:r>
      <w:r>
        <w:t xml:space="preserve"> </w:t>
      </w:r>
    </w:p>
    <w:p w14:paraId="1A3F9DB6" w14:textId="77777777" w:rsidR="00A71EEF" w:rsidRDefault="0081115D">
      <w:pPr>
        <w:pStyle w:val="a4"/>
        <w:numPr>
          <w:ilvl w:val="1"/>
          <w:numId w:val="513"/>
        </w:numPr>
        <w:tabs>
          <w:tab w:val="left" w:pos="1264"/>
        </w:tabs>
        <w:spacing w:line="267" w:lineRule="exact"/>
        <w:rPr>
          <w:sz w:val="21"/>
        </w:rPr>
      </w:pPr>
      <w:r>
        <w:rPr>
          <w:spacing w:val="-3"/>
          <w:sz w:val="21"/>
        </w:rPr>
        <w:t>耐冻融循环性</w:t>
      </w:r>
      <w:r>
        <w:rPr>
          <w:sz w:val="21"/>
        </w:rPr>
        <w:t xml:space="preserve"> </w:t>
      </w:r>
    </w:p>
    <w:p w14:paraId="159212B5" w14:textId="77777777" w:rsidR="00A71EEF" w:rsidRDefault="00A71EEF">
      <w:pPr>
        <w:pStyle w:val="a3"/>
        <w:spacing w:before="1"/>
        <w:rPr>
          <w:sz w:val="18"/>
        </w:rPr>
      </w:pPr>
    </w:p>
    <w:p w14:paraId="1FE45716" w14:textId="77777777" w:rsidR="00A71EEF" w:rsidRDefault="0081115D">
      <w:pPr>
        <w:pStyle w:val="a4"/>
        <w:numPr>
          <w:ilvl w:val="2"/>
          <w:numId w:val="513"/>
        </w:numPr>
        <w:tabs>
          <w:tab w:val="left" w:pos="1478"/>
        </w:tabs>
        <w:spacing w:before="1" w:line="446" w:lineRule="auto"/>
        <w:ind w:right="7600" w:firstLine="2"/>
        <w:rPr>
          <w:b/>
          <w:sz w:val="21"/>
        </w:rPr>
      </w:pPr>
      <w:r>
        <w:rPr>
          <w:spacing w:val="-2"/>
          <w:sz w:val="21"/>
        </w:rPr>
        <w:t>试样的制备</w:t>
      </w:r>
      <w:r>
        <w:rPr>
          <w:spacing w:val="-2"/>
          <w:sz w:val="21"/>
        </w:rPr>
        <w:t xml:space="preserve"> </w:t>
      </w:r>
      <w:r>
        <w:rPr>
          <w:spacing w:val="-2"/>
          <w:sz w:val="21"/>
        </w:rPr>
        <w:t>按</w:t>
      </w:r>
      <w:r>
        <w:rPr>
          <w:spacing w:val="-2"/>
          <w:sz w:val="21"/>
        </w:rPr>
        <w:t>6.8.1</w:t>
      </w:r>
      <w:r>
        <w:rPr>
          <w:spacing w:val="-10"/>
          <w:sz w:val="21"/>
        </w:rPr>
        <w:t xml:space="preserve"> </w:t>
      </w:r>
      <w:r>
        <w:rPr>
          <w:spacing w:val="-10"/>
          <w:sz w:val="21"/>
        </w:rPr>
        <w:t>的要求制样。</w:t>
      </w:r>
      <w:r>
        <w:rPr>
          <w:b/>
          <w:sz w:val="21"/>
        </w:rPr>
        <w:t xml:space="preserve">6.11.2 </w:t>
      </w:r>
      <w:r>
        <w:rPr>
          <w:spacing w:val="-3"/>
          <w:sz w:val="21"/>
        </w:rPr>
        <w:t>试验程序</w:t>
      </w:r>
      <w:r>
        <w:rPr>
          <w:b/>
          <w:w w:val="99"/>
          <w:sz w:val="21"/>
        </w:rPr>
        <w:t xml:space="preserve"> </w:t>
      </w:r>
    </w:p>
    <w:p w14:paraId="15EDBCB7" w14:textId="77777777" w:rsidR="00A71EEF" w:rsidRDefault="00A71EEF">
      <w:pPr>
        <w:spacing w:line="446" w:lineRule="auto"/>
        <w:rPr>
          <w:sz w:val="21"/>
        </w:rPr>
        <w:sectPr w:rsidR="00A71EEF">
          <w:pgSz w:w="11910" w:h="16850"/>
          <w:pgMar w:top="1220" w:right="0" w:bottom="1420" w:left="1260" w:header="0" w:footer="1239" w:gutter="0"/>
          <w:cols w:space="720"/>
        </w:sectPr>
      </w:pPr>
    </w:p>
    <w:p w14:paraId="5C6D642A" w14:textId="77777777" w:rsidR="00A71EEF" w:rsidRDefault="0081115D">
      <w:pPr>
        <w:pStyle w:val="a3"/>
        <w:spacing w:before="47" w:line="446" w:lineRule="auto"/>
        <w:ind w:left="418" w:right="1505" w:firstLine="419"/>
        <w:jc w:val="both"/>
      </w:pPr>
      <w:r>
        <w:rPr>
          <w:spacing w:val="-7"/>
        </w:rPr>
        <w:t>将制作养护好的试件，先置于</w:t>
      </w:r>
      <w:r>
        <w:rPr>
          <w:spacing w:val="-7"/>
        </w:rPr>
        <w:t xml:space="preserve"> </w:t>
      </w:r>
      <w:r>
        <w:t>23°C</w:t>
      </w:r>
      <w:r>
        <w:rPr>
          <w:spacing w:val="-33"/>
        </w:rPr>
        <w:t xml:space="preserve"> </w:t>
      </w:r>
      <w:r>
        <w:rPr>
          <w:spacing w:val="-33"/>
        </w:rPr>
        <w:t>土</w:t>
      </w:r>
      <w:r>
        <w:rPr>
          <w:spacing w:val="-33"/>
        </w:rPr>
        <w:t xml:space="preserve"> </w:t>
      </w:r>
      <w:r>
        <w:t>2</w:t>
      </w:r>
      <w:r>
        <w:rPr>
          <w:spacing w:val="-12"/>
        </w:rPr>
        <w:t>℃</w:t>
      </w:r>
      <w:r>
        <w:rPr>
          <w:spacing w:val="-12"/>
        </w:rPr>
        <w:t>的水中</w:t>
      </w:r>
      <w:r>
        <w:rPr>
          <w:spacing w:val="-12"/>
        </w:rPr>
        <w:t xml:space="preserve"> </w:t>
      </w:r>
      <w:r>
        <w:t>18h</w:t>
      </w:r>
      <w:r>
        <w:rPr>
          <w:spacing w:val="-3"/>
        </w:rPr>
        <w:t>，然后将试件放入</w:t>
      </w:r>
      <w:r>
        <w:t>-20°C±2 ℃</w:t>
      </w:r>
      <w:r>
        <w:t>的低</w:t>
      </w:r>
      <w:r>
        <w:rPr>
          <w:spacing w:val="-3"/>
        </w:rPr>
        <w:t>温箱中，</w:t>
      </w:r>
      <w:r>
        <w:rPr>
          <w:spacing w:val="-3"/>
        </w:rPr>
        <w:t xml:space="preserve"> </w:t>
      </w:r>
      <w:r>
        <w:rPr>
          <w:spacing w:val="-3"/>
        </w:rPr>
        <w:t>自箱内温度达到</w:t>
      </w:r>
      <w:r>
        <w:t>-18°C</w:t>
      </w:r>
      <w:r>
        <w:rPr>
          <w:spacing w:val="-18"/>
        </w:rPr>
        <w:t xml:space="preserve"> </w:t>
      </w:r>
      <w:r>
        <w:rPr>
          <w:spacing w:val="-18"/>
        </w:rPr>
        <w:t>时起冷冻</w:t>
      </w:r>
      <w:r>
        <w:rPr>
          <w:spacing w:val="-18"/>
        </w:rPr>
        <w:t xml:space="preserve"> </w:t>
      </w:r>
      <w:r>
        <w:t>3h</w:t>
      </w:r>
      <w:r>
        <w:rPr>
          <w:spacing w:val="-12"/>
        </w:rPr>
        <w:t xml:space="preserve"> </w:t>
      </w:r>
      <w:r>
        <w:rPr>
          <w:spacing w:val="-12"/>
        </w:rPr>
        <w:t>再将试件从低温箱中取出，立即放入</w:t>
      </w:r>
      <w:r>
        <w:rPr>
          <w:spacing w:val="-12"/>
        </w:rPr>
        <w:t xml:space="preserve"> </w:t>
      </w:r>
      <w:r>
        <w:t>50℃+2℃</w:t>
      </w:r>
      <w:r>
        <w:t>的</w:t>
      </w:r>
      <w:r>
        <w:rPr>
          <w:spacing w:val="-9"/>
        </w:rPr>
        <w:t>恒温箱中，恒温</w:t>
      </w:r>
      <w:r>
        <w:rPr>
          <w:spacing w:val="-9"/>
        </w:rPr>
        <w:t xml:space="preserve"> </w:t>
      </w:r>
      <w:r>
        <w:t>3h</w:t>
      </w:r>
      <w:r>
        <w:rPr>
          <w:spacing w:val="-7"/>
        </w:rPr>
        <w:t>。取出试件重复上述操作共</w:t>
      </w:r>
      <w:r>
        <w:rPr>
          <w:spacing w:val="-7"/>
        </w:rPr>
        <w:t xml:space="preserve"> </w:t>
      </w:r>
      <w:r>
        <w:t>15</w:t>
      </w:r>
      <w:r>
        <w:rPr>
          <w:spacing w:val="-9"/>
        </w:rPr>
        <w:t xml:space="preserve"> </w:t>
      </w:r>
      <w:r>
        <w:rPr>
          <w:spacing w:val="-9"/>
        </w:rPr>
        <w:t>个循环。观察试样是否开裂、粉化。</w:t>
      </w:r>
      <w:r>
        <w:rPr>
          <w:spacing w:val="-9"/>
        </w:rPr>
        <w:t xml:space="preserve"> </w:t>
      </w:r>
    </w:p>
    <w:p w14:paraId="6BA87520" w14:textId="77777777" w:rsidR="00A71EEF" w:rsidRDefault="0081115D">
      <w:pPr>
        <w:spacing w:line="268" w:lineRule="exact"/>
        <w:ind w:left="840"/>
        <w:jc w:val="both"/>
        <w:rPr>
          <w:b/>
          <w:sz w:val="21"/>
        </w:rPr>
      </w:pPr>
      <w:r>
        <w:rPr>
          <w:b/>
          <w:sz w:val="21"/>
        </w:rPr>
        <w:t>6.11.3</w:t>
      </w:r>
      <w:r>
        <w:rPr>
          <w:b/>
          <w:spacing w:val="104"/>
          <w:sz w:val="21"/>
        </w:rPr>
        <w:t xml:space="preserve"> </w:t>
      </w:r>
      <w:r>
        <w:rPr>
          <w:spacing w:val="-3"/>
          <w:sz w:val="21"/>
        </w:rPr>
        <w:t>判定条件</w:t>
      </w:r>
      <w:r>
        <w:rPr>
          <w:b/>
          <w:w w:val="99"/>
          <w:sz w:val="21"/>
        </w:rPr>
        <w:t xml:space="preserve"> </w:t>
      </w:r>
    </w:p>
    <w:p w14:paraId="38A22C9C" w14:textId="77777777" w:rsidR="00A71EEF" w:rsidRDefault="00A71EEF">
      <w:pPr>
        <w:pStyle w:val="a3"/>
        <w:rPr>
          <w:b/>
          <w:sz w:val="18"/>
        </w:rPr>
      </w:pPr>
    </w:p>
    <w:p w14:paraId="40962A5F" w14:textId="77777777" w:rsidR="00A71EEF" w:rsidRDefault="0081115D">
      <w:pPr>
        <w:pStyle w:val="a3"/>
        <w:spacing w:line="446" w:lineRule="auto"/>
        <w:ind w:left="840" w:right="7074" w:hanging="3"/>
        <w:jc w:val="both"/>
      </w:pPr>
      <w:r>
        <w:t>按</w:t>
      </w:r>
      <w:r>
        <w:t xml:space="preserve"> 6.10.3 </w:t>
      </w:r>
      <w:r>
        <w:t>的要求进行判定。</w:t>
      </w:r>
      <w:r>
        <w:rPr>
          <w:b/>
        </w:rPr>
        <w:t xml:space="preserve">6.12 </w:t>
      </w:r>
      <w:r>
        <w:t>耐酸性</w:t>
      </w:r>
      <w:r>
        <w:t xml:space="preserve"> </w:t>
      </w:r>
    </w:p>
    <w:p w14:paraId="5BE46636" w14:textId="77777777" w:rsidR="00A71EEF" w:rsidRDefault="0081115D">
      <w:pPr>
        <w:pStyle w:val="a4"/>
        <w:numPr>
          <w:ilvl w:val="2"/>
          <w:numId w:val="512"/>
        </w:numPr>
        <w:tabs>
          <w:tab w:val="left" w:pos="1530"/>
        </w:tabs>
        <w:ind w:hanging="690"/>
        <w:jc w:val="both"/>
        <w:rPr>
          <w:b/>
          <w:sz w:val="21"/>
        </w:rPr>
      </w:pPr>
      <w:r>
        <w:rPr>
          <w:spacing w:val="-3"/>
          <w:sz w:val="21"/>
        </w:rPr>
        <w:t>试样的制备</w:t>
      </w:r>
      <w:r>
        <w:rPr>
          <w:b/>
          <w:spacing w:val="-3"/>
          <w:w w:val="99"/>
          <w:sz w:val="21"/>
        </w:rPr>
        <w:t xml:space="preserve"> </w:t>
      </w:r>
    </w:p>
    <w:p w14:paraId="64320E71" w14:textId="77777777" w:rsidR="00A71EEF" w:rsidRDefault="00A71EEF">
      <w:pPr>
        <w:pStyle w:val="a3"/>
        <w:rPr>
          <w:b/>
          <w:sz w:val="18"/>
        </w:rPr>
      </w:pPr>
    </w:p>
    <w:p w14:paraId="6F60E34F" w14:textId="77777777" w:rsidR="00A71EEF" w:rsidRDefault="0081115D">
      <w:pPr>
        <w:pStyle w:val="a3"/>
        <w:ind w:left="838"/>
      </w:pPr>
      <w:r>
        <w:t>按</w:t>
      </w:r>
      <w:r>
        <w:t xml:space="preserve"> 6.8.1 </w:t>
      </w:r>
      <w:r>
        <w:t>的要求制样。</w:t>
      </w:r>
      <w:r>
        <w:t xml:space="preserve"> </w:t>
      </w:r>
    </w:p>
    <w:p w14:paraId="72FD3ADE" w14:textId="77777777" w:rsidR="00A71EEF" w:rsidRDefault="00A71EEF">
      <w:pPr>
        <w:pStyle w:val="a3"/>
        <w:spacing w:before="12"/>
        <w:rPr>
          <w:sz w:val="17"/>
        </w:rPr>
      </w:pPr>
    </w:p>
    <w:p w14:paraId="77C84983" w14:textId="77777777" w:rsidR="00A71EEF" w:rsidRDefault="0081115D">
      <w:pPr>
        <w:pStyle w:val="a4"/>
        <w:numPr>
          <w:ilvl w:val="2"/>
          <w:numId w:val="512"/>
        </w:numPr>
        <w:tabs>
          <w:tab w:val="left" w:pos="1530"/>
        </w:tabs>
        <w:ind w:hanging="690"/>
        <w:rPr>
          <w:b/>
          <w:sz w:val="21"/>
        </w:rPr>
      </w:pPr>
      <w:r>
        <w:rPr>
          <w:spacing w:val="-3"/>
          <w:sz w:val="21"/>
        </w:rPr>
        <w:t>试验程序</w:t>
      </w:r>
      <w:r>
        <w:rPr>
          <w:b/>
          <w:w w:val="99"/>
          <w:sz w:val="21"/>
        </w:rPr>
        <w:t xml:space="preserve"> </w:t>
      </w:r>
    </w:p>
    <w:p w14:paraId="59B911F6" w14:textId="77777777" w:rsidR="00A71EEF" w:rsidRDefault="00A71EEF">
      <w:pPr>
        <w:pStyle w:val="a3"/>
        <w:spacing w:before="2"/>
        <w:rPr>
          <w:b/>
          <w:sz w:val="18"/>
        </w:rPr>
      </w:pPr>
    </w:p>
    <w:p w14:paraId="2BF2EF72" w14:textId="77777777" w:rsidR="00A71EEF" w:rsidRDefault="0081115D">
      <w:pPr>
        <w:pStyle w:val="a3"/>
        <w:spacing w:line="446" w:lineRule="auto"/>
        <w:ind w:left="418" w:right="1820" w:firstLine="419"/>
      </w:pPr>
      <w:r>
        <w:rPr>
          <w:spacing w:val="-7"/>
        </w:rPr>
        <w:t>将制作养护好的试件，放置于</w:t>
      </w:r>
      <w:r>
        <w:rPr>
          <w:spacing w:val="-7"/>
        </w:rPr>
        <w:t xml:space="preserve"> </w:t>
      </w:r>
      <w:r>
        <w:t>3</w:t>
      </w:r>
      <w:r>
        <w:rPr>
          <w:spacing w:val="-7"/>
        </w:rPr>
        <w:t>%</w:t>
      </w:r>
      <w:r>
        <w:rPr>
          <w:spacing w:val="-7"/>
        </w:rPr>
        <w:t>的盐酸溶液中，温度保持在</w:t>
      </w:r>
      <w:r>
        <w:rPr>
          <w:spacing w:val="-7"/>
        </w:rPr>
        <w:t xml:space="preserve"> </w:t>
      </w:r>
      <w:r>
        <w:t>20</w:t>
      </w:r>
      <w:r>
        <w:rPr>
          <w:spacing w:val="3"/>
        </w:rPr>
        <w:t xml:space="preserve"> ℃ ±</w:t>
      </w:r>
      <w:r>
        <w:t>5</w:t>
      </w:r>
      <w:r>
        <w:rPr>
          <w:spacing w:val="-1"/>
        </w:rPr>
        <w:t>℃</w:t>
      </w:r>
      <w:r>
        <w:rPr>
          <w:spacing w:val="-1"/>
        </w:rPr>
        <w:t>，一天观察一</w:t>
      </w:r>
      <w:r>
        <w:rPr>
          <w:spacing w:val="-3"/>
        </w:rPr>
        <w:t>次，观察试样是否溶胀、开裂。</w:t>
      </w:r>
      <w:r>
        <w:t xml:space="preserve"> </w:t>
      </w:r>
    </w:p>
    <w:p w14:paraId="21D8C387" w14:textId="77777777" w:rsidR="00A71EEF" w:rsidRDefault="0081115D">
      <w:pPr>
        <w:pStyle w:val="a4"/>
        <w:numPr>
          <w:ilvl w:val="2"/>
          <w:numId w:val="512"/>
        </w:numPr>
        <w:tabs>
          <w:tab w:val="left" w:pos="1530"/>
        </w:tabs>
        <w:spacing w:line="267" w:lineRule="exact"/>
        <w:ind w:hanging="690"/>
        <w:rPr>
          <w:b/>
          <w:sz w:val="21"/>
        </w:rPr>
      </w:pPr>
      <w:r>
        <w:rPr>
          <w:spacing w:val="-3"/>
          <w:sz w:val="21"/>
        </w:rPr>
        <w:t>判定条件</w:t>
      </w:r>
      <w:r>
        <w:rPr>
          <w:b/>
          <w:w w:val="99"/>
          <w:sz w:val="21"/>
        </w:rPr>
        <w:t xml:space="preserve"> </w:t>
      </w:r>
    </w:p>
    <w:p w14:paraId="13D1E717" w14:textId="77777777" w:rsidR="00A71EEF" w:rsidRDefault="00A71EEF">
      <w:pPr>
        <w:pStyle w:val="a3"/>
        <w:spacing w:before="2"/>
        <w:rPr>
          <w:b/>
          <w:sz w:val="18"/>
        </w:rPr>
      </w:pPr>
    </w:p>
    <w:p w14:paraId="769B170C" w14:textId="77777777" w:rsidR="00A71EEF" w:rsidRDefault="0081115D">
      <w:pPr>
        <w:pStyle w:val="a3"/>
        <w:spacing w:line="446" w:lineRule="auto"/>
        <w:ind w:left="840" w:right="4026" w:hanging="3"/>
        <w:rPr>
          <w:b/>
        </w:rPr>
      </w:pPr>
      <w:r>
        <w:t>浸泡三天后，三个试件中至少两个不应出现溶胀、开裂现象。</w:t>
      </w:r>
      <w:r>
        <w:rPr>
          <w:b/>
        </w:rPr>
        <w:t xml:space="preserve">6.13 </w:t>
      </w:r>
      <w:r>
        <w:t>耐碱性</w:t>
      </w:r>
      <w:r>
        <w:rPr>
          <w:b/>
          <w:w w:val="99"/>
        </w:rPr>
        <w:t xml:space="preserve"> </w:t>
      </w:r>
    </w:p>
    <w:p w14:paraId="36D02251" w14:textId="77777777" w:rsidR="00A71EEF" w:rsidRDefault="0081115D">
      <w:pPr>
        <w:pStyle w:val="a4"/>
        <w:numPr>
          <w:ilvl w:val="2"/>
          <w:numId w:val="511"/>
        </w:numPr>
        <w:tabs>
          <w:tab w:val="left" w:pos="1530"/>
        </w:tabs>
        <w:spacing w:line="267" w:lineRule="exact"/>
        <w:ind w:hanging="690"/>
        <w:rPr>
          <w:sz w:val="21"/>
        </w:rPr>
      </w:pPr>
      <w:r>
        <w:rPr>
          <w:spacing w:val="-3"/>
          <w:sz w:val="21"/>
        </w:rPr>
        <w:t>试样的制备</w:t>
      </w:r>
      <w:r>
        <w:rPr>
          <w:spacing w:val="-3"/>
          <w:sz w:val="21"/>
        </w:rPr>
        <w:t xml:space="preserve"> </w:t>
      </w:r>
    </w:p>
    <w:p w14:paraId="69C15A1C" w14:textId="77777777" w:rsidR="00A71EEF" w:rsidRDefault="00A71EEF">
      <w:pPr>
        <w:pStyle w:val="a3"/>
        <w:spacing w:before="2"/>
        <w:rPr>
          <w:sz w:val="18"/>
        </w:rPr>
      </w:pPr>
    </w:p>
    <w:p w14:paraId="39AAD876" w14:textId="77777777" w:rsidR="00A71EEF" w:rsidRDefault="0081115D">
      <w:pPr>
        <w:pStyle w:val="a3"/>
        <w:ind w:left="838"/>
      </w:pPr>
      <w:r>
        <w:t>按</w:t>
      </w:r>
      <w:r>
        <w:t xml:space="preserve"> 6. 8.1 </w:t>
      </w:r>
      <w:r>
        <w:t>的要求制样。</w:t>
      </w:r>
      <w:r>
        <w:t xml:space="preserve"> </w:t>
      </w:r>
    </w:p>
    <w:p w14:paraId="6A3EFD1B" w14:textId="77777777" w:rsidR="00A71EEF" w:rsidRDefault="00A71EEF">
      <w:pPr>
        <w:pStyle w:val="a3"/>
        <w:spacing w:before="12"/>
        <w:rPr>
          <w:sz w:val="17"/>
        </w:rPr>
      </w:pPr>
    </w:p>
    <w:p w14:paraId="0D80F7A3" w14:textId="77777777" w:rsidR="00A71EEF" w:rsidRDefault="0081115D">
      <w:pPr>
        <w:pStyle w:val="a4"/>
        <w:numPr>
          <w:ilvl w:val="2"/>
          <w:numId w:val="511"/>
        </w:numPr>
        <w:tabs>
          <w:tab w:val="left" w:pos="1530"/>
        </w:tabs>
        <w:ind w:hanging="690"/>
        <w:rPr>
          <w:sz w:val="21"/>
        </w:rPr>
      </w:pPr>
      <w:r>
        <w:rPr>
          <w:spacing w:val="-3"/>
          <w:sz w:val="21"/>
        </w:rPr>
        <w:t>试验程序</w:t>
      </w:r>
      <w:r>
        <w:rPr>
          <w:sz w:val="21"/>
        </w:rPr>
        <w:t xml:space="preserve"> </w:t>
      </w:r>
    </w:p>
    <w:p w14:paraId="27A8E13D" w14:textId="77777777" w:rsidR="00A71EEF" w:rsidRDefault="00A71EEF">
      <w:pPr>
        <w:pStyle w:val="a3"/>
        <w:rPr>
          <w:sz w:val="18"/>
        </w:rPr>
      </w:pPr>
    </w:p>
    <w:p w14:paraId="14D59D68" w14:textId="77777777" w:rsidR="00A71EEF" w:rsidRDefault="0081115D">
      <w:pPr>
        <w:pStyle w:val="a3"/>
        <w:spacing w:line="446" w:lineRule="auto"/>
        <w:ind w:left="418" w:right="1508" w:firstLine="419"/>
      </w:pPr>
      <w:r>
        <w:rPr>
          <w:spacing w:val="-6"/>
        </w:rPr>
        <w:t>将制作养护好的试件，浸入</w:t>
      </w:r>
      <w:r>
        <w:rPr>
          <w:spacing w:val="-6"/>
        </w:rPr>
        <w:t xml:space="preserve"> </w:t>
      </w:r>
      <w:r>
        <w:t>3</w:t>
      </w:r>
      <w:r>
        <w:rPr>
          <w:spacing w:val="-6"/>
        </w:rPr>
        <w:t>%</w:t>
      </w:r>
      <w:r>
        <w:rPr>
          <w:spacing w:val="-6"/>
        </w:rPr>
        <w:t>的氨水溶液中，温度保持在</w:t>
      </w:r>
      <w:r>
        <w:rPr>
          <w:spacing w:val="-6"/>
        </w:rPr>
        <w:t xml:space="preserve"> </w:t>
      </w:r>
      <w:r>
        <w:t>20℃+5</w:t>
      </w:r>
      <w:r>
        <w:rPr>
          <w:spacing w:val="-3"/>
        </w:rPr>
        <w:t>℃</w:t>
      </w:r>
      <w:r>
        <w:rPr>
          <w:spacing w:val="-3"/>
        </w:rPr>
        <w:t>，一天观察一次，观察试样是否溶胀、开裂。</w:t>
      </w:r>
      <w:r>
        <w:t xml:space="preserve"> </w:t>
      </w:r>
    </w:p>
    <w:p w14:paraId="620453C1" w14:textId="77777777" w:rsidR="00A71EEF" w:rsidRDefault="0081115D">
      <w:pPr>
        <w:pStyle w:val="a4"/>
        <w:numPr>
          <w:ilvl w:val="2"/>
          <w:numId w:val="511"/>
        </w:numPr>
        <w:tabs>
          <w:tab w:val="left" w:pos="1530"/>
        </w:tabs>
        <w:ind w:hanging="690"/>
        <w:rPr>
          <w:sz w:val="21"/>
        </w:rPr>
      </w:pPr>
      <w:r>
        <w:rPr>
          <w:spacing w:val="-3"/>
          <w:sz w:val="21"/>
        </w:rPr>
        <w:t>判定条件</w:t>
      </w:r>
      <w:r>
        <w:rPr>
          <w:sz w:val="21"/>
        </w:rPr>
        <w:t xml:space="preserve"> </w:t>
      </w:r>
    </w:p>
    <w:p w14:paraId="5B0DFD10" w14:textId="77777777" w:rsidR="00A71EEF" w:rsidRDefault="00A71EEF">
      <w:pPr>
        <w:pStyle w:val="a3"/>
        <w:rPr>
          <w:sz w:val="18"/>
        </w:rPr>
      </w:pPr>
    </w:p>
    <w:p w14:paraId="42B22282" w14:textId="77777777" w:rsidR="00A71EEF" w:rsidRDefault="0081115D">
      <w:pPr>
        <w:pStyle w:val="a3"/>
        <w:spacing w:line="446" w:lineRule="auto"/>
        <w:ind w:left="840" w:right="4026" w:hanging="3"/>
      </w:pPr>
      <w:r>
        <w:t>浸泡三天后，三个试件中至少两个不应出现溶胀、开裂现象。</w:t>
      </w:r>
      <w:r>
        <w:rPr>
          <w:b/>
        </w:rPr>
        <w:t xml:space="preserve">6.14 </w:t>
      </w:r>
      <w:r>
        <w:t>膨胀性能</w:t>
      </w:r>
      <w:r>
        <w:t xml:space="preserve"> </w:t>
      </w:r>
    </w:p>
    <w:p w14:paraId="46E2AAF2" w14:textId="77777777" w:rsidR="00A71EEF" w:rsidRDefault="0081115D">
      <w:pPr>
        <w:pStyle w:val="a4"/>
        <w:numPr>
          <w:ilvl w:val="2"/>
          <w:numId w:val="510"/>
        </w:numPr>
        <w:tabs>
          <w:tab w:val="left" w:pos="1478"/>
        </w:tabs>
        <w:ind w:hanging="638"/>
        <w:rPr>
          <w:b/>
          <w:sz w:val="21"/>
        </w:rPr>
      </w:pPr>
      <w:r>
        <w:rPr>
          <w:spacing w:val="-3"/>
          <w:sz w:val="21"/>
        </w:rPr>
        <w:t>试样的制备</w:t>
      </w:r>
      <w:r>
        <w:rPr>
          <w:b/>
          <w:spacing w:val="-3"/>
          <w:w w:val="99"/>
          <w:sz w:val="21"/>
        </w:rPr>
        <w:t xml:space="preserve"> </w:t>
      </w:r>
    </w:p>
    <w:p w14:paraId="00C4D7F7" w14:textId="77777777" w:rsidR="00A71EEF" w:rsidRDefault="00A71EEF">
      <w:pPr>
        <w:pStyle w:val="a3"/>
        <w:spacing w:before="2"/>
        <w:rPr>
          <w:b/>
          <w:sz w:val="17"/>
        </w:rPr>
      </w:pPr>
    </w:p>
    <w:p w14:paraId="1A9DCE3D" w14:textId="77777777" w:rsidR="00A71EEF" w:rsidRDefault="0081115D">
      <w:pPr>
        <w:pStyle w:val="a3"/>
        <w:spacing w:line="434" w:lineRule="auto"/>
        <w:ind w:left="418" w:right="1487" w:firstLine="419"/>
      </w:pPr>
      <w:r>
        <w:t>阻火包：将阻火包的内装材料混合均匀后，分别放入三个内径为：</w:t>
      </w:r>
      <w:r>
        <w:rPr>
          <w:i/>
          <w:sz w:val="22"/>
        </w:rPr>
        <w:t>φ</w:t>
      </w:r>
      <w:r>
        <w:t>50mm</w:t>
      </w:r>
      <w:r>
        <w:t>，高</w:t>
      </w:r>
      <w:r>
        <w:rPr>
          <w:i/>
          <w:sz w:val="22"/>
        </w:rPr>
        <w:t>φ</w:t>
      </w:r>
      <w:r>
        <w:t xml:space="preserve">50mm </w:t>
      </w:r>
      <w:r>
        <w:t>的钢质容器中。</w:t>
      </w:r>
      <w:r>
        <w:t xml:space="preserve"> </w:t>
      </w:r>
    </w:p>
    <w:p w14:paraId="32FDB3C8" w14:textId="77777777" w:rsidR="00A71EEF" w:rsidRDefault="0081115D">
      <w:pPr>
        <w:pStyle w:val="a3"/>
        <w:spacing w:before="14"/>
        <w:ind w:left="838"/>
      </w:pPr>
      <w:r>
        <w:t>阻火包的内装材料在钢质容器中的松散堆积厚度为</w:t>
      </w:r>
      <w:r>
        <w:t xml:space="preserve"> 10mm</w:t>
      </w:r>
      <w:r>
        <w:t>。</w:t>
      </w:r>
      <w:r>
        <w:t xml:space="preserve"> </w:t>
      </w:r>
    </w:p>
    <w:p w14:paraId="49E6D8C8" w14:textId="77777777" w:rsidR="00A71EEF" w:rsidRDefault="00A71EEF">
      <w:pPr>
        <w:sectPr w:rsidR="00A71EEF">
          <w:pgSz w:w="11910" w:h="16850"/>
          <w:pgMar w:top="1220" w:right="0" w:bottom="1420" w:left="1260" w:header="0" w:footer="1239" w:gutter="0"/>
          <w:cols w:space="720"/>
        </w:sectPr>
      </w:pPr>
    </w:p>
    <w:p w14:paraId="3817600A" w14:textId="77777777" w:rsidR="00A71EEF" w:rsidRDefault="0081115D">
      <w:pPr>
        <w:pStyle w:val="a3"/>
        <w:spacing w:before="57" w:line="434" w:lineRule="auto"/>
        <w:ind w:left="418" w:right="1503" w:firstLine="419"/>
      </w:pPr>
      <w:r>
        <w:rPr>
          <w:spacing w:val="-3"/>
        </w:rPr>
        <w:t>阻火模块、缝隙封堵材料、泡沫封堵材料</w:t>
      </w:r>
      <w:r>
        <w:t>（</w:t>
      </w:r>
      <w:r>
        <w:rPr>
          <w:spacing w:val="-3"/>
        </w:rPr>
        <w:t>已固化成型</w:t>
      </w:r>
      <w:r>
        <w:t>）</w:t>
      </w:r>
      <w:r>
        <w:rPr>
          <w:spacing w:val="-3"/>
        </w:rPr>
        <w:t>：将试样切割成三个直径为</w:t>
      </w:r>
      <w:r>
        <w:rPr>
          <w:i/>
          <w:sz w:val="22"/>
        </w:rPr>
        <w:t xml:space="preserve">φ </w:t>
      </w:r>
      <w:r>
        <w:t>48</w:t>
      </w:r>
      <w:r>
        <w:t>～</w:t>
      </w:r>
      <w:r>
        <w:t>50 mm</w:t>
      </w:r>
      <w:r>
        <w:rPr>
          <w:spacing w:val="-11"/>
        </w:rPr>
        <w:t>，厚度为</w:t>
      </w:r>
      <w:r>
        <w:rPr>
          <w:spacing w:val="-11"/>
        </w:rPr>
        <w:t xml:space="preserve"> </w:t>
      </w:r>
      <w:r>
        <w:t>10mm±3mm</w:t>
      </w:r>
      <w:r>
        <w:rPr>
          <w:spacing w:val="-8"/>
        </w:rPr>
        <w:t xml:space="preserve"> </w:t>
      </w:r>
      <w:r>
        <w:rPr>
          <w:spacing w:val="-8"/>
        </w:rPr>
        <w:t>的试样块，厚度不足可以叠加，每个试件至少应包含一个使用表</w:t>
      </w:r>
      <w:r>
        <w:rPr>
          <w:spacing w:val="-5"/>
        </w:rPr>
        <w:t>面。然后，分别放入三个内径力</w:t>
      </w:r>
      <w:r>
        <w:rPr>
          <w:i/>
          <w:sz w:val="22"/>
        </w:rPr>
        <w:t>φ</w:t>
      </w:r>
      <w:r>
        <w:t>50mm</w:t>
      </w:r>
      <w:r>
        <w:rPr>
          <w:spacing w:val="-10"/>
        </w:rPr>
        <w:t>，高度不小于</w:t>
      </w:r>
      <w:r>
        <w:rPr>
          <w:spacing w:val="-10"/>
        </w:rPr>
        <w:t xml:space="preserve"> </w:t>
      </w:r>
      <w:r>
        <w:t>50mm</w:t>
      </w:r>
      <w:r>
        <w:rPr>
          <w:spacing w:val="-10"/>
        </w:rPr>
        <w:t xml:space="preserve"> </w:t>
      </w:r>
      <w:r>
        <w:rPr>
          <w:spacing w:val="-10"/>
        </w:rPr>
        <w:t>的钢质容器中。</w:t>
      </w:r>
      <w:r>
        <w:t xml:space="preserve"> </w:t>
      </w:r>
    </w:p>
    <w:p w14:paraId="73CC26A9" w14:textId="77777777" w:rsidR="00A71EEF" w:rsidRDefault="0081115D">
      <w:pPr>
        <w:pStyle w:val="a3"/>
        <w:spacing w:line="439" w:lineRule="auto"/>
        <w:ind w:left="418" w:right="1505" w:firstLine="419"/>
      </w:pPr>
      <w:r>
        <w:rPr>
          <w:spacing w:val="-3"/>
        </w:rPr>
        <w:t>防火密封胶：将防火密封胶注入三个内径为</w:t>
      </w:r>
      <w:r>
        <w:rPr>
          <w:i/>
          <w:sz w:val="22"/>
        </w:rPr>
        <w:t>φ</w:t>
      </w:r>
      <w:r>
        <w:t>50mm</w:t>
      </w:r>
      <w:r>
        <w:rPr>
          <w:spacing w:val="-14"/>
        </w:rPr>
        <w:t>，高</w:t>
      </w:r>
      <w:r>
        <w:rPr>
          <w:spacing w:val="-14"/>
        </w:rPr>
        <w:t xml:space="preserve"> </w:t>
      </w:r>
      <w:r>
        <w:t>50mm</w:t>
      </w:r>
      <w:r>
        <w:rPr>
          <w:spacing w:val="-8"/>
        </w:rPr>
        <w:t xml:space="preserve"> </w:t>
      </w:r>
      <w:r>
        <w:rPr>
          <w:spacing w:val="-8"/>
        </w:rPr>
        <w:t>的钢质容器中，防火密封胶的</w:t>
      </w:r>
      <w:r>
        <w:rPr>
          <w:spacing w:val="-13"/>
        </w:rPr>
        <w:t>注入高度为</w:t>
      </w:r>
      <w:r>
        <w:rPr>
          <w:spacing w:val="-13"/>
        </w:rPr>
        <w:t xml:space="preserve"> </w:t>
      </w:r>
      <w:r>
        <w:t>3mm±1mm</w:t>
      </w:r>
      <w:r>
        <w:rPr>
          <w:spacing w:val="-6"/>
        </w:rPr>
        <w:t>。然后，将钢质容器放入温度为</w:t>
      </w:r>
      <w:r>
        <w:rPr>
          <w:spacing w:val="-6"/>
        </w:rPr>
        <w:t xml:space="preserve"> </w:t>
      </w:r>
      <w:r>
        <w:t>60°C±5</w:t>
      </w:r>
      <w:r>
        <w:t>°C</w:t>
      </w:r>
      <w:r>
        <w:rPr>
          <w:spacing w:val="-9"/>
        </w:rPr>
        <w:t xml:space="preserve"> </w:t>
      </w:r>
      <w:r>
        <w:rPr>
          <w:spacing w:val="-9"/>
        </w:rPr>
        <w:t>的电热鼓风干燥箱中干燥</w:t>
      </w:r>
      <w:r>
        <w:rPr>
          <w:spacing w:val="-9"/>
        </w:rPr>
        <w:t>48h</w:t>
      </w:r>
      <w:r>
        <w:rPr>
          <w:spacing w:val="-10"/>
        </w:rPr>
        <w:t xml:space="preserve"> </w:t>
      </w:r>
      <w:r>
        <w:rPr>
          <w:spacing w:val="-10"/>
        </w:rPr>
        <w:t>以上。</w:t>
      </w:r>
      <w:r>
        <w:rPr>
          <w:spacing w:val="-10"/>
        </w:rPr>
        <w:t xml:space="preserve"> </w:t>
      </w:r>
      <w:r>
        <w:rPr>
          <w:spacing w:val="-10"/>
        </w:rPr>
        <w:t>根据产品的使用要求，也可以分层进行干燥，干燥后试件的厚度为</w:t>
      </w:r>
      <w:r>
        <w:rPr>
          <w:spacing w:val="-10"/>
        </w:rPr>
        <w:t xml:space="preserve"> </w:t>
      </w:r>
      <w:r>
        <w:t>3mm±1mm</w:t>
      </w:r>
      <w:r>
        <w:rPr>
          <w:spacing w:val="-3"/>
        </w:rPr>
        <w:t>。</w:t>
      </w:r>
      <w:r>
        <w:t xml:space="preserve"> </w:t>
      </w:r>
    </w:p>
    <w:p w14:paraId="79F42916" w14:textId="77777777" w:rsidR="00A71EEF" w:rsidRDefault="0081115D">
      <w:pPr>
        <w:pStyle w:val="a4"/>
        <w:numPr>
          <w:ilvl w:val="2"/>
          <w:numId w:val="510"/>
        </w:numPr>
        <w:tabs>
          <w:tab w:val="left" w:pos="1478"/>
        </w:tabs>
        <w:spacing w:before="3"/>
        <w:ind w:hanging="638"/>
        <w:rPr>
          <w:b/>
          <w:sz w:val="21"/>
        </w:rPr>
      </w:pPr>
      <w:r>
        <w:rPr>
          <w:spacing w:val="-3"/>
          <w:sz w:val="21"/>
        </w:rPr>
        <w:t>试验程序</w:t>
      </w:r>
      <w:r>
        <w:rPr>
          <w:b/>
          <w:w w:val="99"/>
          <w:sz w:val="21"/>
        </w:rPr>
        <w:t xml:space="preserve"> </w:t>
      </w:r>
    </w:p>
    <w:p w14:paraId="26D92F66" w14:textId="77777777" w:rsidR="00A71EEF" w:rsidRDefault="00A71EEF">
      <w:pPr>
        <w:pStyle w:val="a3"/>
        <w:rPr>
          <w:b/>
          <w:sz w:val="18"/>
        </w:rPr>
      </w:pPr>
    </w:p>
    <w:p w14:paraId="74FC2003" w14:textId="77777777" w:rsidR="00A71EEF" w:rsidRDefault="0081115D">
      <w:pPr>
        <w:pStyle w:val="a3"/>
        <w:spacing w:line="446" w:lineRule="auto"/>
        <w:ind w:left="418" w:right="1452" w:firstLine="419"/>
      </w:pPr>
      <w:r>
        <w:rPr>
          <w:spacing w:val="-4"/>
        </w:rPr>
        <w:t>用钢直尺测量试样膨胀前的高度。然后，将装有试样的钢质容器置于温度为</w:t>
      </w:r>
      <w:r>
        <w:rPr>
          <w:spacing w:val="-4"/>
        </w:rPr>
        <w:t xml:space="preserve"> </w:t>
      </w:r>
      <w:r>
        <w:t>540℃±10℃</w:t>
      </w:r>
      <w:r>
        <w:t>的</w:t>
      </w:r>
      <w:r>
        <w:rPr>
          <w:spacing w:val="-9"/>
        </w:rPr>
        <w:t>电阻炉内，恒温</w:t>
      </w:r>
      <w:r>
        <w:rPr>
          <w:spacing w:val="-9"/>
        </w:rPr>
        <w:t xml:space="preserve"> </w:t>
      </w:r>
      <w:r>
        <w:t>30min</w:t>
      </w:r>
      <w:r>
        <w:rPr>
          <w:spacing w:val="-8"/>
        </w:rPr>
        <w:t xml:space="preserve"> </w:t>
      </w:r>
      <w:r>
        <w:rPr>
          <w:spacing w:val="-8"/>
        </w:rPr>
        <w:t>后取出。待充分冷却后，测量试样膨胀后的高度</w:t>
      </w:r>
      <w:r>
        <w:t>（</w:t>
      </w:r>
      <w:r>
        <w:rPr>
          <w:spacing w:val="-3"/>
        </w:rPr>
        <w:t>若膨胀后的试样表面不平整，可测试多个点取平均值</w:t>
      </w:r>
      <w:r>
        <w:t>）</w:t>
      </w:r>
      <w:r>
        <w:rPr>
          <w:spacing w:val="-3"/>
        </w:rPr>
        <w:t>，试样膨胀后的高度与膨胀前的高度之比即为该材料的膨胀</w:t>
      </w:r>
      <w:r>
        <w:rPr>
          <w:spacing w:val="-3"/>
        </w:rPr>
        <w:t xml:space="preserve"> </w:t>
      </w:r>
      <w:r>
        <w:rPr>
          <w:spacing w:val="-3"/>
        </w:rPr>
        <w:t>倍数。膨胀性能以三个试样膨胀倍数的算术平均值表示，精确至小数点后第一位。</w:t>
      </w:r>
      <w:r>
        <w:t xml:space="preserve"> </w:t>
      </w:r>
    </w:p>
    <w:p w14:paraId="076509A1" w14:textId="77777777" w:rsidR="00A71EEF" w:rsidRDefault="0081115D">
      <w:pPr>
        <w:pStyle w:val="a3"/>
        <w:spacing w:line="446" w:lineRule="auto"/>
        <w:ind w:left="840" w:right="3608" w:hanging="3"/>
      </w:pPr>
      <w:r>
        <w:rPr>
          <w:spacing w:val="-8"/>
        </w:rPr>
        <w:t>阻火包带的膨胀性能按照</w:t>
      </w:r>
      <w:r>
        <w:rPr>
          <w:spacing w:val="-8"/>
        </w:rPr>
        <w:t xml:space="preserve"> </w:t>
      </w:r>
      <w:r>
        <w:t>GA 304—</w:t>
      </w:r>
      <w:r>
        <w:t>2001</w:t>
      </w:r>
      <w:r>
        <w:rPr>
          <w:spacing w:val="-35"/>
        </w:rPr>
        <w:t xml:space="preserve"> </w:t>
      </w:r>
      <w:r>
        <w:rPr>
          <w:spacing w:val="-35"/>
        </w:rPr>
        <w:t>中</w:t>
      </w:r>
      <w:r>
        <w:rPr>
          <w:spacing w:val="-35"/>
        </w:rPr>
        <w:t xml:space="preserve"> </w:t>
      </w:r>
      <w:r>
        <w:t>6. 2</w:t>
      </w:r>
      <w:r>
        <w:rPr>
          <w:spacing w:val="-8"/>
        </w:rPr>
        <w:t xml:space="preserve"> </w:t>
      </w:r>
      <w:r>
        <w:rPr>
          <w:spacing w:val="-8"/>
        </w:rPr>
        <w:t>的规定进行试验。</w:t>
      </w:r>
      <w:r>
        <w:rPr>
          <w:b/>
        </w:rPr>
        <w:t xml:space="preserve">6.15 </w:t>
      </w:r>
      <w:r>
        <w:rPr>
          <w:spacing w:val="-3"/>
        </w:rPr>
        <w:t>燃烧性能</w:t>
      </w:r>
      <w:r>
        <w:t xml:space="preserve"> </w:t>
      </w:r>
    </w:p>
    <w:p w14:paraId="4A2F26C0" w14:textId="77777777" w:rsidR="00A71EEF" w:rsidRDefault="0081115D">
      <w:pPr>
        <w:pStyle w:val="a4"/>
        <w:numPr>
          <w:ilvl w:val="2"/>
          <w:numId w:val="509"/>
        </w:numPr>
        <w:tabs>
          <w:tab w:val="left" w:pos="1478"/>
        </w:tabs>
        <w:ind w:hanging="638"/>
        <w:rPr>
          <w:sz w:val="19"/>
        </w:rPr>
      </w:pPr>
      <w:r>
        <w:rPr>
          <w:spacing w:val="-8"/>
          <w:sz w:val="21"/>
        </w:rPr>
        <w:t>阻火包所用的织物材料按</w:t>
      </w:r>
      <w:r>
        <w:rPr>
          <w:spacing w:val="-8"/>
          <w:sz w:val="21"/>
        </w:rPr>
        <w:t xml:space="preserve"> </w:t>
      </w:r>
      <w:r>
        <w:rPr>
          <w:sz w:val="21"/>
        </w:rPr>
        <w:t>GB/T</w:t>
      </w:r>
      <w:r>
        <w:rPr>
          <w:spacing w:val="1"/>
          <w:sz w:val="21"/>
        </w:rPr>
        <w:t xml:space="preserve"> </w:t>
      </w:r>
      <w:r>
        <w:rPr>
          <w:sz w:val="21"/>
        </w:rPr>
        <w:t>5455</w:t>
      </w:r>
      <w:r>
        <w:rPr>
          <w:spacing w:val="-11"/>
          <w:sz w:val="21"/>
        </w:rPr>
        <w:t xml:space="preserve"> </w:t>
      </w:r>
      <w:r>
        <w:rPr>
          <w:spacing w:val="-11"/>
          <w:sz w:val="21"/>
        </w:rPr>
        <w:t>进行试验。</w:t>
      </w:r>
      <w:r>
        <w:rPr>
          <w:sz w:val="21"/>
        </w:rPr>
        <w:t xml:space="preserve"> </w:t>
      </w:r>
    </w:p>
    <w:p w14:paraId="0DEE759C" w14:textId="77777777" w:rsidR="00A71EEF" w:rsidRDefault="00A71EEF">
      <w:pPr>
        <w:pStyle w:val="a3"/>
        <w:rPr>
          <w:sz w:val="20"/>
        </w:rPr>
      </w:pPr>
    </w:p>
    <w:p w14:paraId="10229DB1" w14:textId="77777777" w:rsidR="00A71EEF" w:rsidRDefault="00A71EEF">
      <w:pPr>
        <w:pStyle w:val="a3"/>
        <w:rPr>
          <w:sz w:val="20"/>
        </w:rPr>
      </w:pPr>
    </w:p>
    <w:p w14:paraId="1B0855BC" w14:textId="77777777" w:rsidR="00A71EEF" w:rsidRDefault="00A71EEF">
      <w:pPr>
        <w:pStyle w:val="a3"/>
        <w:spacing w:before="12"/>
        <w:rPr>
          <w:sz w:val="16"/>
        </w:rPr>
      </w:pPr>
    </w:p>
    <w:p w14:paraId="29CDDD3F" w14:textId="77777777" w:rsidR="00A71EEF" w:rsidRDefault="0081115D">
      <w:pPr>
        <w:pStyle w:val="a4"/>
        <w:numPr>
          <w:ilvl w:val="2"/>
          <w:numId w:val="509"/>
        </w:numPr>
        <w:tabs>
          <w:tab w:val="left" w:pos="1473"/>
        </w:tabs>
        <w:ind w:left="1472" w:hanging="635"/>
        <w:rPr>
          <w:sz w:val="19"/>
        </w:rPr>
      </w:pPr>
      <w:r>
        <w:rPr>
          <w:spacing w:val="-5"/>
          <w:sz w:val="21"/>
        </w:rPr>
        <w:t>将柔性有机堵料或防火密封胶置于模具内，制成尺寸不小于</w:t>
      </w:r>
      <w:r>
        <w:rPr>
          <w:spacing w:val="-5"/>
          <w:sz w:val="21"/>
        </w:rPr>
        <w:t xml:space="preserve"> </w:t>
      </w:r>
      <w:r>
        <w:rPr>
          <w:sz w:val="21"/>
        </w:rPr>
        <w:t>300mm×300mm</w:t>
      </w:r>
      <w:r>
        <w:rPr>
          <w:spacing w:val="-1"/>
          <w:sz w:val="21"/>
        </w:rPr>
        <w:t>，厚度为</w:t>
      </w:r>
    </w:p>
    <w:p w14:paraId="59AD8C75" w14:textId="77777777" w:rsidR="00A71EEF" w:rsidRDefault="0081115D">
      <w:pPr>
        <w:pStyle w:val="a3"/>
        <w:spacing w:before="163" w:line="350" w:lineRule="auto"/>
        <w:ind w:left="418" w:right="1510"/>
      </w:pPr>
      <w:r>
        <w:t>3mm</w:t>
      </w:r>
      <w:r>
        <w:rPr>
          <w:spacing w:val="-13"/>
        </w:rPr>
        <w:t xml:space="preserve"> </w:t>
      </w:r>
      <w:r>
        <w:rPr>
          <w:spacing w:val="-13"/>
        </w:rPr>
        <w:t>的片材，并在温度为</w:t>
      </w:r>
      <w:r>
        <w:rPr>
          <w:spacing w:val="-13"/>
        </w:rPr>
        <w:t xml:space="preserve"> </w:t>
      </w:r>
      <w:r>
        <w:t>60</w:t>
      </w:r>
      <w:r>
        <w:rPr>
          <w:rFonts w:ascii="微软雅黑" w:eastAsia="微软雅黑" w:hAnsi="微软雅黑" w:hint="eastAsia"/>
        </w:rPr>
        <w:t>〜</w:t>
      </w:r>
      <w:r>
        <w:t>65</w:t>
      </w:r>
      <w:r>
        <w:rPr>
          <w:spacing w:val="-9"/>
        </w:rPr>
        <w:t>℃</w:t>
      </w:r>
      <w:r>
        <w:rPr>
          <w:spacing w:val="-9"/>
        </w:rPr>
        <w:t>的烘箱中干燥</w:t>
      </w:r>
      <w:r>
        <w:rPr>
          <w:spacing w:val="-9"/>
        </w:rPr>
        <w:t xml:space="preserve"> </w:t>
      </w:r>
      <w:r>
        <w:t>72h</w:t>
      </w:r>
      <w:r>
        <w:rPr>
          <w:spacing w:val="-15"/>
        </w:rPr>
        <w:t xml:space="preserve"> </w:t>
      </w:r>
      <w:r>
        <w:rPr>
          <w:spacing w:val="-15"/>
        </w:rPr>
        <w:t>以上，然后按</w:t>
      </w:r>
      <w:r>
        <w:rPr>
          <w:spacing w:val="-15"/>
        </w:rPr>
        <w:t xml:space="preserve"> </w:t>
      </w:r>
      <w:r>
        <w:t>GB/T 2408-2008</w:t>
      </w:r>
      <w:r>
        <w:rPr>
          <w:spacing w:val="-11"/>
        </w:rPr>
        <w:t xml:space="preserve"> </w:t>
      </w:r>
      <w:r>
        <w:rPr>
          <w:spacing w:val="-11"/>
        </w:rPr>
        <w:t>规定的水平</w:t>
      </w:r>
      <w:r>
        <w:rPr>
          <w:spacing w:val="-7"/>
        </w:rPr>
        <w:t>法进行试验。</w:t>
      </w:r>
      <w:r>
        <w:t xml:space="preserve"> </w:t>
      </w:r>
    </w:p>
    <w:p w14:paraId="71F244C9" w14:textId="77777777" w:rsidR="00A71EEF" w:rsidRDefault="0081115D">
      <w:pPr>
        <w:pStyle w:val="a3"/>
        <w:spacing w:before="110" w:line="446" w:lineRule="auto"/>
        <w:ind w:left="840" w:right="4657" w:hanging="3"/>
      </w:pPr>
      <w:r>
        <w:t>注：无法自支撑的试件，允许置于金属网上进行试验。</w:t>
      </w:r>
      <w:r>
        <w:rPr>
          <w:b/>
        </w:rPr>
        <w:t xml:space="preserve">6.15.3 </w:t>
      </w:r>
      <w:r>
        <w:t>泡沫封堵材料按</w:t>
      </w:r>
      <w:r>
        <w:t xml:space="preserve"> GB/T 8333 </w:t>
      </w:r>
      <w:r>
        <w:t>的规定进行试验。</w:t>
      </w:r>
      <w:r>
        <w:t xml:space="preserve"> </w:t>
      </w:r>
    </w:p>
    <w:p w14:paraId="7645BC84" w14:textId="77777777" w:rsidR="00A71EEF" w:rsidRDefault="0081115D">
      <w:pPr>
        <w:pStyle w:val="a3"/>
        <w:spacing w:line="267" w:lineRule="exact"/>
        <w:ind w:left="840"/>
      </w:pPr>
      <w:r>
        <w:rPr>
          <w:b/>
        </w:rPr>
        <w:t xml:space="preserve">6.15.4 </w:t>
      </w:r>
      <w:r>
        <w:t>阻火模块、防火封堵板材、缝隙封堵材料、阻火包带的燃烧性能按</w:t>
      </w:r>
      <w:r>
        <w:t xml:space="preserve"> GB/T 2408-2008</w:t>
      </w:r>
    </w:p>
    <w:p w14:paraId="6C5E0A90" w14:textId="77777777" w:rsidR="00A71EEF" w:rsidRDefault="00A71EEF">
      <w:pPr>
        <w:pStyle w:val="a3"/>
        <w:spacing w:before="1"/>
        <w:rPr>
          <w:sz w:val="18"/>
        </w:rPr>
      </w:pPr>
    </w:p>
    <w:p w14:paraId="6EC824D4" w14:textId="77777777" w:rsidR="00A71EEF" w:rsidRDefault="0081115D">
      <w:pPr>
        <w:spacing w:before="1" w:line="446" w:lineRule="auto"/>
        <w:ind w:left="840" w:right="7809" w:hanging="423"/>
        <w:rPr>
          <w:sz w:val="21"/>
        </w:rPr>
      </w:pPr>
      <w:r>
        <w:rPr>
          <w:sz w:val="21"/>
        </w:rPr>
        <w:t>规定的垂直法进行试验。</w:t>
      </w:r>
      <w:r>
        <w:rPr>
          <w:b/>
          <w:sz w:val="21"/>
        </w:rPr>
        <w:t xml:space="preserve">6.16 </w:t>
      </w:r>
      <w:r>
        <w:rPr>
          <w:sz w:val="21"/>
        </w:rPr>
        <w:t>耐火性能</w:t>
      </w:r>
      <w:r>
        <w:rPr>
          <w:sz w:val="21"/>
        </w:rPr>
        <w:t xml:space="preserve"> </w:t>
      </w:r>
    </w:p>
    <w:p w14:paraId="0F39D639" w14:textId="77777777" w:rsidR="00A71EEF" w:rsidRDefault="0081115D">
      <w:pPr>
        <w:pStyle w:val="a4"/>
        <w:numPr>
          <w:ilvl w:val="2"/>
          <w:numId w:val="508"/>
        </w:numPr>
        <w:tabs>
          <w:tab w:val="left" w:pos="1478"/>
        </w:tabs>
        <w:spacing w:line="267" w:lineRule="exact"/>
        <w:ind w:hanging="638"/>
        <w:rPr>
          <w:sz w:val="21"/>
        </w:rPr>
      </w:pPr>
      <w:r>
        <w:rPr>
          <w:spacing w:val="-3"/>
          <w:sz w:val="21"/>
        </w:rPr>
        <w:t>试验装置</w:t>
      </w:r>
      <w:r>
        <w:rPr>
          <w:sz w:val="21"/>
        </w:rPr>
        <w:t xml:space="preserve"> </w:t>
      </w:r>
    </w:p>
    <w:p w14:paraId="38DC1044" w14:textId="77777777" w:rsidR="00A71EEF" w:rsidRDefault="00A71EEF">
      <w:pPr>
        <w:pStyle w:val="a3"/>
        <w:spacing w:before="1"/>
        <w:rPr>
          <w:sz w:val="18"/>
        </w:rPr>
      </w:pPr>
    </w:p>
    <w:p w14:paraId="6D68C616" w14:textId="77777777" w:rsidR="00A71EEF" w:rsidRDefault="0081115D">
      <w:pPr>
        <w:pStyle w:val="a4"/>
        <w:numPr>
          <w:ilvl w:val="3"/>
          <w:numId w:val="508"/>
        </w:numPr>
        <w:tabs>
          <w:tab w:val="left" w:pos="1682"/>
        </w:tabs>
        <w:spacing w:before="1"/>
        <w:rPr>
          <w:sz w:val="21"/>
        </w:rPr>
      </w:pPr>
      <w:r>
        <w:rPr>
          <w:spacing w:val="-3"/>
          <w:sz w:val="21"/>
        </w:rPr>
        <w:t>耐火试验炉</w:t>
      </w:r>
      <w:r>
        <w:rPr>
          <w:spacing w:val="-3"/>
          <w:sz w:val="21"/>
        </w:rPr>
        <w:t xml:space="preserve"> </w:t>
      </w:r>
    </w:p>
    <w:p w14:paraId="67841B79" w14:textId="77777777" w:rsidR="00A71EEF" w:rsidRDefault="00A71EEF">
      <w:pPr>
        <w:pStyle w:val="a3"/>
        <w:spacing w:before="12"/>
        <w:rPr>
          <w:sz w:val="17"/>
        </w:rPr>
      </w:pPr>
    </w:p>
    <w:p w14:paraId="521ED6EF" w14:textId="77777777" w:rsidR="00A71EEF" w:rsidRDefault="0081115D">
      <w:pPr>
        <w:pStyle w:val="a3"/>
        <w:ind w:left="838"/>
      </w:pPr>
      <w:r>
        <w:t>符合</w:t>
      </w:r>
      <w:r>
        <w:t xml:space="preserve"> GB/T 9978. 1 </w:t>
      </w:r>
      <w:r>
        <w:t>对耐火试验炉的要求。</w:t>
      </w:r>
      <w:r>
        <w:t xml:space="preserve"> </w:t>
      </w:r>
    </w:p>
    <w:p w14:paraId="042870D6" w14:textId="77777777" w:rsidR="00A71EEF" w:rsidRDefault="00A71EEF">
      <w:pPr>
        <w:pStyle w:val="a3"/>
        <w:rPr>
          <w:sz w:val="18"/>
        </w:rPr>
      </w:pPr>
    </w:p>
    <w:p w14:paraId="1E7D6556" w14:textId="77777777" w:rsidR="00A71EEF" w:rsidRDefault="0081115D">
      <w:pPr>
        <w:pStyle w:val="a3"/>
        <w:spacing w:line="446" w:lineRule="auto"/>
        <w:ind w:left="838" w:right="2134"/>
      </w:pPr>
      <w:r>
        <w:rPr>
          <w:spacing w:val="-3"/>
        </w:rPr>
        <w:t>耐火试验炉应满足试件安装、升温条件、压力条件、温度测试及试验观察等要求。</w:t>
      </w:r>
      <w:r>
        <w:rPr>
          <w:spacing w:val="-3"/>
        </w:rPr>
        <w:t>6. 16.1.2</w:t>
      </w:r>
      <w:r>
        <w:rPr>
          <w:spacing w:val="-2"/>
        </w:rPr>
        <w:t xml:space="preserve"> </w:t>
      </w:r>
      <w:r>
        <w:rPr>
          <w:spacing w:val="-2"/>
        </w:rPr>
        <w:t>测温设备</w:t>
      </w:r>
      <w:r>
        <w:rPr>
          <w:spacing w:val="-2"/>
        </w:rPr>
        <w:t xml:space="preserve"> </w:t>
      </w:r>
    </w:p>
    <w:p w14:paraId="4BA5526F" w14:textId="77777777" w:rsidR="00A71EEF" w:rsidRDefault="00A71EEF">
      <w:pPr>
        <w:spacing w:line="446" w:lineRule="auto"/>
        <w:sectPr w:rsidR="00A71EEF">
          <w:pgSz w:w="11910" w:h="16850"/>
          <w:pgMar w:top="1200" w:right="0" w:bottom="1420" w:left="1260" w:header="0" w:footer="1239" w:gutter="0"/>
          <w:cols w:space="720"/>
        </w:sectPr>
      </w:pPr>
    </w:p>
    <w:p w14:paraId="20583D06" w14:textId="77777777" w:rsidR="00A71EEF" w:rsidRDefault="0081115D">
      <w:pPr>
        <w:pStyle w:val="a3"/>
        <w:spacing w:before="47" w:line="446" w:lineRule="auto"/>
        <w:ind w:left="838" w:right="5917"/>
        <w:rPr>
          <w:b/>
        </w:rPr>
      </w:pPr>
      <w:r>
        <w:t>耐火性能试验测温设备应满足下列要求：</w:t>
      </w:r>
      <w:r>
        <w:t xml:space="preserve"> a) </w:t>
      </w:r>
      <w:r>
        <w:t>炉内温度测试</w:t>
      </w:r>
      <w:r>
        <w:rPr>
          <w:b/>
          <w:w w:val="99"/>
        </w:rPr>
        <w:t xml:space="preserve"> </w:t>
      </w:r>
    </w:p>
    <w:p w14:paraId="7429DAB4" w14:textId="77777777" w:rsidR="00A71EEF" w:rsidRDefault="0081115D">
      <w:pPr>
        <w:pStyle w:val="a3"/>
        <w:spacing w:line="318" w:lineRule="exact"/>
        <w:ind w:left="838"/>
      </w:pPr>
      <w:r>
        <w:t>炉内温度测量，采用丝径为</w:t>
      </w:r>
      <w:r>
        <w:rPr>
          <w:i/>
          <w:sz w:val="22"/>
        </w:rPr>
        <w:t>φ</w:t>
      </w:r>
      <w:r>
        <w:t>0.75</w:t>
      </w:r>
      <w:r>
        <w:rPr>
          <w:rFonts w:ascii="微软雅黑" w:eastAsia="微软雅黑" w:hAnsi="微软雅黑" w:hint="eastAsia"/>
        </w:rPr>
        <w:t>〜</w:t>
      </w:r>
      <w:r>
        <w:t xml:space="preserve">2.30mm </w:t>
      </w:r>
      <w:r>
        <w:t>的热电偶，其热端应伸出套管</w:t>
      </w:r>
      <w:r>
        <w:t xml:space="preserve"> 25mm</w:t>
      </w:r>
      <w:r>
        <w:t>，热电偶感</w:t>
      </w:r>
    </w:p>
    <w:p w14:paraId="04B82F32" w14:textId="77777777" w:rsidR="00A71EEF" w:rsidRDefault="0081115D">
      <w:pPr>
        <w:pStyle w:val="a3"/>
        <w:spacing w:before="182" w:line="446" w:lineRule="auto"/>
        <w:ind w:left="838" w:right="4292" w:hanging="420"/>
        <w:rPr>
          <w:b/>
        </w:rPr>
      </w:pPr>
      <w:r>
        <w:rPr>
          <w:spacing w:val="-8"/>
        </w:rPr>
        <w:t>温端距堵料受火平面</w:t>
      </w:r>
      <w:r>
        <w:rPr>
          <w:spacing w:val="-8"/>
        </w:rPr>
        <w:t xml:space="preserve"> </w:t>
      </w:r>
      <w:r>
        <w:t>100mm</w:t>
      </w:r>
      <w:r>
        <w:rPr>
          <w:spacing w:val="-7"/>
        </w:rPr>
        <w:t>。炉内热电偶的数量不得少于</w:t>
      </w:r>
      <w:r>
        <w:rPr>
          <w:spacing w:val="-7"/>
        </w:rPr>
        <w:t xml:space="preserve"> </w:t>
      </w:r>
      <w:r>
        <w:t>5</w:t>
      </w:r>
      <w:r>
        <w:rPr>
          <w:spacing w:val="-18"/>
        </w:rPr>
        <w:t xml:space="preserve"> </w:t>
      </w:r>
      <w:r>
        <w:rPr>
          <w:spacing w:val="-18"/>
        </w:rPr>
        <w:t>支。</w:t>
      </w:r>
      <w:r>
        <w:t>b)</w:t>
      </w:r>
      <w:r>
        <w:rPr>
          <w:spacing w:val="-3"/>
        </w:rPr>
        <w:t xml:space="preserve"> </w:t>
      </w:r>
      <w:r>
        <w:rPr>
          <w:spacing w:val="-3"/>
        </w:rPr>
        <w:t>试件背火面温度测量</w:t>
      </w:r>
      <w:r>
        <w:rPr>
          <w:b/>
          <w:w w:val="99"/>
        </w:rPr>
        <w:t xml:space="preserve"> </w:t>
      </w:r>
    </w:p>
    <w:p w14:paraId="28F731C2" w14:textId="77777777" w:rsidR="00A71EEF" w:rsidRDefault="0081115D">
      <w:pPr>
        <w:pStyle w:val="a3"/>
        <w:spacing w:line="441" w:lineRule="auto"/>
        <w:ind w:left="418" w:right="1505" w:firstLine="419"/>
      </w:pPr>
      <w:r>
        <w:rPr>
          <w:spacing w:val="-5"/>
        </w:rPr>
        <w:t>试件背火面</w:t>
      </w:r>
      <w:r>
        <w:rPr>
          <w:spacing w:val="-5"/>
        </w:rPr>
        <w:t>——</w:t>
      </w:r>
      <w:r>
        <w:rPr>
          <w:spacing w:val="-5"/>
        </w:rPr>
        <w:t>封堵材料、电缆表面或穿管表面、距堵料封堵边缘</w:t>
      </w:r>
      <w:r>
        <w:rPr>
          <w:spacing w:val="-5"/>
        </w:rPr>
        <w:t xml:space="preserve"> </w:t>
      </w:r>
      <w:r>
        <w:t>25mm</w:t>
      </w:r>
      <w:r>
        <w:rPr>
          <w:spacing w:val="-8"/>
        </w:rPr>
        <w:t xml:space="preserve"> </w:t>
      </w:r>
      <w:r>
        <w:rPr>
          <w:spacing w:val="-8"/>
        </w:rPr>
        <w:t>处的框架表面、塑</w:t>
      </w:r>
      <w:r>
        <w:rPr>
          <w:spacing w:val="-5"/>
        </w:rPr>
        <w:t>料管道表面的温度测量，采用丝径为</w:t>
      </w:r>
      <w:r>
        <w:rPr>
          <w:i/>
          <w:sz w:val="22"/>
        </w:rPr>
        <w:t>φ</w:t>
      </w:r>
      <w:r>
        <w:t>0.5mm</w:t>
      </w:r>
      <w:r>
        <w:rPr>
          <w:spacing w:val="-14"/>
        </w:rPr>
        <w:t xml:space="preserve"> </w:t>
      </w:r>
      <w:r>
        <w:rPr>
          <w:spacing w:val="-14"/>
        </w:rPr>
        <w:t>的热电偶，工业</w:t>
      </w:r>
      <w:r>
        <w:rPr>
          <w:spacing w:val="-14"/>
        </w:rPr>
        <w:t xml:space="preserve"> </w:t>
      </w:r>
      <w:r>
        <w:t>II</w:t>
      </w:r>
      <w:r>
        <w:rPr>
          <w:spacing w:val="-13"/>
        </w:rPr>
        <w:t xml:space="preserve"> </w:t>
      </w:r>
      <w:r>
        <w:rPr>
          <w:spacing w:val="-13"/>
        </w:rPr>
        <w:t>级，数量不得少于</w:t>
      </w:r>
      <w:r>
        <w:rPr>
          <w:spacing w:val="-13"/>
        </w:rPr>
        <w:t xml:space="preserve"> </w:t>
      </w:r>
      <w:r>
        <w:t>6</w:t>
      </w:r>
      <w:r>
        <w:rPr>
          <w:spacing w:val="-12"/>
        </w:rPr>
        <w:t xml:space="preserve"> </w:t>
      </w:r>
      <w:r>
        <w:rPr>
          <w:spacing w:val="-12"/>
        </w:rPr>
        <w:t>支。分布</w:t>
      </w:r>
      <w:r>
        <w:rPr>
          <w:spacing w:val="-9"/>
        </w:rPr>
        <w:t>是：封堵材料表面距贯穿物表面</w:t>
      </w:r>
      <w:r>
        <w:rPr>
          <w:spacing w:val="-9"/>
        </w:rPr>
        <w:t xml:space="preserve"> </w:t>
      </w:r>
      <w:r>
        <w:t>25mm</w:t>
      </w:r>
      <w:r>
        <w:rPr>
          <w:spacing w:val="-15"/>
        </w:rPr>
        <w:t xml:space="preserve"> </w:t>
      </w:r>
      <w:r>
        <w:rPr>
          <w:spacing w:val="-15"/>
        </w:rPr>
        <w:t>处，不少于</w:t>
      </w:r>
      <w:r>
        <w:rPr>
          <w:spacing w:val="-15"/>
        </w:rPr>
        <w:t xml:space="preserve"> </w:t>
      </w:r>
      <w:r>
        <w:t>2</w:t>
      </w:r>
      <w:r>
        <w:rPr>
          <w:spacing w:val="-10"/>
        </w:rPr>
        <w:t xml:space="preserve"> </w:t>
      </w:r>
      <w:r>
        <w:rPr>
          <w:spacing w:val="-10"/>
        </w:rPr>
        <w:t>支；贯穿物</w:t>
      </w:r>
      <w:r>
        <w:t>（</w:t>
      </w:r>
      <w:r>
        <w:rPr>
          <w:spacing w:val="-3"/>
        </w:rPr>
        <w:t>电缆、电缆束或穿管）</w:t>
      </w:r>
      <w:r>
        <w:rPr>
          <w:spacing w:val="-2"/>
        </w:rPr>
        <w:t>表面距</w:t>
      </w:r>
      <w:r>
        <w:rPr>
          <w:spacing w:val="-10"/>
        </w:rPr>
        <w:t>封堵材料表面</w:t>
      </w:r>
      <w:r>
        <w:rPr>
          <w:spacing w:val="-10"/>
        </w:rPr>
        <w:t xml:space="preserve"> </w:t>
      </w:r>
      <w:r>
        <w:t>25mm</w:t>
      </w:r>
      <w:r>
        <w:rPr>
          <w:spacing w:val="-12"/>
        </w:rPr>
        <w:t xml:space="preserve"> </w:t>
      </w:r>
      <w:r>
        <w:rPr>
          <w:spacing w:val="-12"/>
        </w:rPr>
        <w:t>处不同的贯穿物至少设</w:t>
      </w:r>
      <w:r>
        <w:rPr>
          <w:spacing w:val="-12"/>
        </w:rPr>
        <w:t xml:space="preserve"> </w:t>
      </w:r>
      <w:r>
        <w:t>1</w:t>
      </w:r>
      <w:r>
        <w:rPr>
          <w:spacing w:val="-11"/>
        </w:rPr>
        <w:t xml:space="preserve"> </w:t>
      </w:r>
      <w:r>
        <w:rPr>
          <w:spacing w:val="-11"/>
        </w:rPr>
        <w:t>支；支架或托盘表面距封堵材料表面</w:t>
      </w:r>
      <w:r>
        <w:rPr>
          <w:spacing w:val="-11"/>
        </w:rPr>
        <w:t xml:space="preserve"> </w:t>
      </w:r>
      <w:r>
        <w:t>25mm</w:t>
      </w:r>
      <w:r>
        <w:rPr>
          <w:spacing w:val="-14"/>
        </w:rPr>
        <w:t xml:space="preserve"> </w:t>
      </w:r>
      <w:r>
        <w:rPr>
          <w:spacing w:val="-14"/>
        </w:rPr>
        <w:t>处至少</w:t>
      </w:r>
      <w:r>
        <w:rPr>
          <w:spacing w:val="-30"/>
        </w:rPr>
        <w:t>设</w:t>
      </w:r>
      <w:r>
        <w:rPr>
          <w:spacing w:val="-30"/>
        </w:rPr>
        <w:t xml:space="preserve"> </w:t>
      </w:r>
      <w:r>
        <w:t>1</w:t>
      </w:r>
      <w:r>
        <w:rPr>
          <w:spacing w:val="-11"/>
        </w:rPr>
        <w:t xml:space="preserve"> </w:t>
      </w:r>
      <w:r>
        <w:rPr>
          <w:spacing w:val="-11"/>
        </w:rPr>
        <w:t>支；使用阻火包带时，在塑料管表面距楼板或墙体</w:t>
      </w:r>
      <w:r>
        <w:rPr>
          <w:spacing w:val="-11"/>
        </w:rPr>
        <w:t xml:space="preserve"> </w:t>
      </w:r>
      <w:r>
        <w:t>25mm</w:t>
      </w:r>
      <w:r>
        <w:rPr>
          <w:spacing w:val="-25"/>
        </w:rPr>
        <w:t xml:space="preserve"> </w:t>
      </w:r>
      <w:r>
        <w:rPr>
          <w:spacing w:val="-25"/>
        </w:rPr>
        <w:t>处设</w:t>
      </w:r>
      <w:r>
        <w:rPr>
          <w:spacing w:val="-25"/>
        </w:rPr>
        <w:t xml:space="preserve"> </w:t>
      </w:r>
      <w:r>
        <w:t>2</w:t>
      </w:r>
      <w:r>
        <w:rPr>
          <w:spacing w:val="-8"/>
        </w:rPr>
        <w:t xml:space="preserve"> </w:t>
      </w:r>
      <w:r>
        <w:rPr>
          <w:spacing w:val="-8"/>
        </w:rPr>
        <w:t>支热电偶；距堵料封堵边缘</w:t>
      </w:r>
      <w:r>
        <w:rPr>
          <w:spacing w:val="-8"/>
        </w:rPr>
        <w:t>25mm</w:t>
      </w:r>
      <w:r>
        <w:rPr>
          <w:spacing w:val="-13"/>
        </w:rPr>
        <w:t xml:space="preserve"> </w:t>
      </w:r>
      <w:r>
        <w:rPr>
          <w:spacing w:val="-13"/>
        </w:rPr>
        <w:t>处的框架表面设</w:t>
      </w:r>
      <w:r>
        <w:rPr>
          <w:spacing w:val="-13"/>
        </w:rPr>
        <w:t xml:space="preserve"> </w:t>
      </w:r>
      <w:r>
        <w:t>1</w:t>
      </w:r>
      <w:r>
        <w:rPr>
          <w:spacing w:val="-13"/>
        </w:rPr>
        <w:t xml:space="preserve"> </w:t>
      </w:r>
      <w:r>
        <w:rPr>
          <w:spacing w:val="-13"/>
        </w:rPr>
        <w:t>支热电偶；另设</w:t>
      </w:r>
      <w:r>
        <w:rPr>
          <w:spacing w:val="-13"/>
        </w:rPr>
        <w:t xml:space="preserve"> </w:t>
      </w:r>
      <w:r>
        <w:t>1</w:t>
      </w:r>
      <w:r>
        <w:rPr>
          <w:spacing w:val="-8"/>
        </w:rPr>
        <w:t xml:space="preserve"> </w:t>
      </w:r>
      <w:r>
        <w:rPr>
          <w:spacing w:val="-8"/>
        </w:rPr>
        <w:t>支移动测温热电偶，必要时用来监测试件背火面可疑</w:t>
      </w:r>
      <w:r>
        <w:rPr>
          <w:spacing w:val="-5"/>
        </w:rPr>
        <w:t>点的温升，其数据应作为判定依据。</w:t>
      </w:r>
      <w:r>
        <w:t xml:space="preserve"> </w:t>
      </w:r>
    </w:p>
    <w:p w14:paraId="2E3CB9D7" w14:textId="77777777" w:rsidR="00A71EEF" w:rsidRDefault="0081115D">
      <w:pPr>
        <w:pStyle w:val="a3"/>
        <w:spacing w:before="11"/>
        <w:ind w:left="838"/>
        <w:rPr>
          <w:b/>
        </w:rPr>
      </w:pPr>
      <w:r>
        <w:t xml:space="preserve">c) </w:t>
      </w:r>
      <w:r>
        <w:t>测温设备的精确度</w:t>
      </w:r>
      <w:r>
        <w:rPr>
          <w:b/>
          <w:w w:val="99"/>
        </w:rPr>
        <w:t xml:space="preserve"> </w:t>
      </w:r>
    </w:p>
    <w:p w14:paraId="6AB24931" w14:textId="77777777" w:rsidR="00A71EEF" w:rsidRDefault="00A71EEF">
      <w:pPr>
        <w:pStyle w:val="a3"/>
        <w:spacing w:before="12"/>
        <w:rPr>
          <w:b/>
          <w:sz w:val="17"/>
        </w:rPr>
      </w:pPr>
    </w:p>
    <w:p w14:paraId="54AEBFB5" w14:textId="77777777" w:rsidR="00A71EEF" w:rsidRDefault="0081115D">
      <w:pPr>
        <w:pStyle w:val="a3"/>
        <w:spacing w:line="446" w:lineRule="auto"/>
        <w:ind w:left="838" w:right="5711"/>
      </w:pPr>
      <w:r>
        <w:rPr>
          <w:spacing w:val="-3"/>
        </w:rPr>
        <w:t>测温仪器设备的精确度</w:t>
      </w:r>
      <w:r>
        <w:rPr>
          <w:spacing w:val="-3"/>
        </w:rPr>
        <w:t>(</w:t>
      </w:r>
      <w:r>
        <w:rPr>
          <w:spacing w:val="-3"/>
        </w:rPr>
        <w:t>系统误差</w:t>
      </w:r>
      <w:r>
        <w:rPr>
          <w:spacing w:val="-3"/>
        </w:rPr>
        <w:t>)</w:t>
      </w:r>
      <w:r>
        <w:rPr>
          <w:spacing w:val="-3"/>
        </w:rPr>
        <w:t>应达到：</w:t>
      </w:r>
      <w:r>
        <w:rPr>
          <w:spacing w:val="-3"/>
        </w:rPr>
        <w:t xml:space="preserve"> </w:t>
      </w:r>
      <w:r>
        <w:t>炉内：</w:t>
      </w:r>
      <w:r>
        <w:t>±15°C</w:t>
      </w:r>
      <w:r>
        <w:t>；</w:t>
      </w:r>
      <w:r>
        <w:t xml:space="preserve"> </w:t>
      </w:r>
    </w:p>
    <w:p w14:paraId="4EFD539A" w14:textId="77777777" w:rsidR="00A71EEF" w:rsidRDefault="0081115D">
      <w:pPr>
        <w:spacing w:line="446" w:lineRule="auto"/>
        <w:ind w:left="840" w:right="7705" w:hanging="3"/>
        <w:rPr>
          <w:sz w:val="21"/>
        </w:rPr>
      </w:pPr>
      <w:r>
        <w:rPr>
          <w:spacing w:val="-2"/>
          <w:sz w:val="21"/>
        </w:rPr>
        <w:t>表面或其他：</w:t>
      </w:r>
      <w:r>
        <w:rPr>
          <w:spacing w:val="-2"/>
          <w:sz w:val="21"/>
        </w:rPr>
        <w:t>±</w:t>
      </w:r>
      <w:r>
        <w:rPr>
          <w:sz w:val="21"/>
        </w:rPr>
        <w:t>5℃</w:t>
      </w:r>
      <w:r>
        <w:rPr>
          <w:sz w:val="21"/>
        </w:rPr>
        <w:t>。</w:t>
      </w:r>
      <w:r>
        <w:rPr>
          <w:b/>
          <w:sz w:val="21"/>
        </w:rPr>
        <w:t xml:space="preserve">6.16.2 </w:t>
      </w:r>
      <w:r>
        <w:rPr>
          <w:spacing w:val="-3"/>
          <w:sz w:val="21"/>
        </w:rPr>
        <w:t>试验条件</w:t>
      </w:r>
      <w:r>
        <w:rPr>
          <w:sz w:val="21"/>
        </w:rPr>
        <w:t xml:space="preserve"> </w:t>
      </w:r>
    </w:p>
    <w:p w14:paraId="677D1468" w14:textId="77777777" w:rsidR="00A71EEF" w:rsidRDefault="0081115D">
      <w:pPr>
        <w:pStyle w:val="a3"/>
        <w:spacing w:line="267" w:lineRule="exact"/>
        <w:ind w:left="838"/>
        <w:rPr>
          <w:b/>
        </w:rPr>
      </w:pPr>
      <w:r>
        <w:t>6.</w:t>
      </w:r>
      <w:r>
        <w:t xml:space="preserve">16.2.1 </w:t>
      </w:r>
      <w:r>
        <w:t>升温条件</w:t>
      </w:r>
      <w:r>
        <w:rPr>
          <w:b/>
          <w:w w:val="99"/>
        </w:rPr>
        <w:t xml:space="preserve"> </w:t>
      </w:r>
    </w:p>
    <w:p w14:paraId="4484D557" w14:textId="77777777" w:rsidR="00A71EEF" w:rsidRDefault="00A71EEF">
      <w:pPr>
        <w:pStyle w:val="a3"/>
        <w:spacing w:before="2"/>
        <w:rPr>
          <w:b/>
          <w:sz w:val="18"/>
        </w:rPr>
      </w:pPr>
    </w:p>
    <w:p w14:paraId="36F9323D" w14:textId="77777777" w:rsidR="00A71EEF" w:rsidRDefault="0081115D">
      <w:pPr>
        <w:pStyle w:val="a3"/>
        <w:spacing w:line="446" w:lineRule="auto"/>
        <w:ind w:left="838" w:right="1925"/>
        <w:rPr>
          <w:b/>
        </w:rPr>
      </w:pPr>
      <w:r>
        <w:t>符合</w:t>
      </w:r>
      <w:r>
        <w:t xml:space="preserve"> GB/T 9978.1 </w:t>
      </w:r>
      <w:r>
        <w:t>规定的升温条件要求。当有特殊要求时，也可采用其他升温曲线。</w:t>
      </w:r>
      <w:r>
        <w:t xml:space="preserve">6.16.2.2 </w:t>
      </w:r>
      <w:r>
        <w:t>炉内压力条件</w:t>
      </w:r>
      <w:r>
        <w:rPr>
          <w:b/>
          <w:w w:val="99"/>
        </w:rPr>
        <w:t xml:space="preserve"> </w:t>
      </w:r>
    </w:p>
    <w:p w14:paraId="11091A84" w14:textId="77777777" w:rsidR="00A71EEF" w:rsidRDefault="0081115D">
      <w:pPr>
        <w:pStyle w:val="a3"/>
        <w:spacing w:line="446" w:lineRule="auto"/>
        <w:ind w:left="418" w:right="1609" w:firstLine="419"/>
      </w:pPr>
      <w:r>
        <w:t>垂直安装的试件进行耐火试验时，试件底面所在水平面应保持正压；水平安装的试件进行耐火试验时，在离试件受火面</w:t>
      </w:r>
      <w:r>
        <w:t xml:space="preserve"> 100mm </w:t>
      </w:r>
      <w:r>
        <w:t>的平面上应保持正压。</w:t>
      </w:r>
      <w:r>
        <w:t xml:space="preserve"> </w:t>
      </w:r>
    </w:p>
    <w:p w14:paraId="254AF0F4" w14:textId="77777777" w:rsidR="00A71EEF" w:rsidRDefault="0081115D">
      <w:pPr>
        <w:ind w:left="840"/>
        <w:rPr>
          <w:sz w:val="21"/>
        </w:rPr>
      </w:pPr>
      <w:r>
        <w:rPr>
          <w:b/>
          <w:sz w:val="21"/>
        </w:rPr>
        <w:t xml:space="preserve">6.16.3 </w:t>
      </w:r>
      <w:r>
        <w:rPr>
          <w:sz w:val="21"/>
        </w:rPr>
        <w:t>试件要求</w:t>
      </w:r>
      <w:r>
        <w:rPr>
          <w:sz w:val="21"/>
        </w:rPr>
        <w:t xml:space="preserve"> </w:t>
      </w:r>
    </w:p>
    <w:p w14:paraId="470A808E" w14:textId="77777777" w:rsidR="00A71EEF" w:rsidRDefault="00A71EEF">
      <w:pPr>
        <w:pStyle w:val="a3"/>
        <w:spacing w:before="10"/>
        <w:rPr>
          <w:sz w:val="17"/>
        </w:rPr>
      </w:pPr>
    </w:p>
    <w:p w14:paraId="78F29F19" w14:textId="77777777" w:rsidR="00A71EEF" w:rsidRDefault="0081115D">
      <w:pPr>
        <w:pStyle w:val="a3"/>
        <w:spacing w:line="446" w:lineRule="auto"/>
        <w:ind w:left="418" w:right="1609" w:firstLine="419"/>
        <w:jc w:val="both"/>
      </w:pPr>
      <w:r>
        <w:t>进行耐火试验时，试件所用的村料、制作工艺、拼接与安装方法应足以反映相应构件在实际使用中的情况。为使试验能够实施而进行的安装方式的修改对试验结果应无重大影响，并应对修改作详细说明。</w:t>
      </w:r>
      <w:r>
        <w:t xml:space="preserve"> </w:t>
      </w:r>
    </w:p>
    <w:p w14:paraId="0ECE8848" w14:textId="77777777" w:rsidR="00A71EEF" w:rsidRDefault="0081115D">
      <w:pPr>
        <w:spacing w:line="268" w:lineRule="exact"/>
        <w:ind w:left="840"/>
        <w:rPr>
          <w:sz w:val="21"/>
        </w:rPr>
      </w:pPr>
      <w:r>
        <w:rPr>
          <w:b/>
          <w:sz w:val="21"/>
        </w:rPr>
        <w:t xml:space="preserve">6. 16.4 </w:t>
      </w:r>
      <w:r>
        <w:rPr>
          <w:sz w:val="21"/>
        </w:rPr>
        <w:t>试件制作</w:t>
      </w:r>
      <w:r>
        <w:rPr>
          <w:sz w:val="21"/>
        </w:rPr>
        <w:t xml:space="preserve"> </w:t>
      </w:r>
    </w:p>
    <w:p w14:paraId="244EF1EC" w14:textId="77777777" w:rsidR="00A71EEF" w:rsidRDefault="00A71EEF">
      <w:pPr>
        <w:pStyle w:val="a3"/>
        <w:spacing w:before="2"/>
        <w:rPr>
          <w:sz w:val="18"/>
        </w:rPr>
      </w:pPr>
    </w:p>
    <w:p w14:paraId="03A3B451" w14:textId="77777777" w:rsidR="00A71EEF" w:rsidRDefault="0081115D">
      <w:pPr>
        <w:pStyle w:val="a4"/>
        <w:numPr>
          <w:ilvl w:val="3"/>
          <w:numId w:val="507"/>
        </w:numPr>
        <w:tabs>
          <w:tab w:val="left" w:pos="1682"/>
        </w:tabs>
        <w:rPr>
          <w:sz w:val="21"/>
        </w:rPr>
      </w:pPr>
      <w:r>
        <w:rPr>
          <w:spacing w:val="-2"/>
          <w:sz w:val="21"/>
        </w:rPr>
        <w:t>概述</w:t>
      </w:r>
      <w:r>
        <w:rPr>
          <w:sz w:val="21"/>
        </w:rPr>
        <w:t xml:space="preserve"> </w:t>
      </w:r>
    </w:p>
    <w:p w14:paraId="3A494923" w14:textId="77777777" w:rsidR="00A71EEF" w:rsidRDefault="00A71EEF">
      <w:pPr>
        <w:rPr>
          <w:sz w:val="21"/>
        </w:rPr>
        <w:sectPr w:rsidR="00A71EEF">
          <w:pgSz w:w="11910" w:h="16850"/>
          <w:pgMar w:top="1220" w:right="0" w:bottom="1420" w:left="1260" w:header="0" w:footer="1239" w:gutter="0"/>
          <w:cols w:space="720"/>
        </w:sectPr>
      </w:pPr>
    </w:p>
    <w:p w14:paraId="2887A905" w14:textId="77777777" w:rsidR="00A71EEF" w:rsidRDefault="0081115D">
      <w:pPr>
        <w:pStyle w:val="a4"/>
        <w:numPr>
          <w:ilvl w:val="4"/>
          <w:numId w:val="507"/>
        </w:numPr>
        <w:tabs>
          <w:tab w:val="left" w:pos="1893"/>
        </w:tabs>
        <w:spacing w:before="47" w:line="446" w:lineRule="auto"/>
        <w:ind w:right="1505" w:firstLine="419"/>
        <w:rPr>
          <w:sz w:val="21"/>
        </w:rPr>
      </w:pPr>
      <w:r>
        <w:rPr>
          <w:spacing w:val="-3"/>
          <w:sz w:val="21"/>
        </w:rPr>
        <w:t>防火封堵材料在进行产品质量判定时，试件的制作可选择本标准中规定的标准试件的制作方式。针对实际工程应用的试件，试件的制作应与实际使用情况一致。当按实际工程应用制作的试件已包含标准试件中的所有贯穿物及其组合方式时，若其耐火性能达到规定要求，诙试验结果也可用于对</w:t>
      </w:r>
      <w:r>
        <w:rPr>
          <w:spacing w:val="-3"/>
          <w:sz w:val="21"/>
        </w:rPr>
        <w:t>产品进行质量判定。</w:t>
      </w:r>
      <w:r>
        <w:rPr>
          <w:sz w:val="21"/>
        </w:rPr>
        <w:t xml:space="preserve"> </w:t>
      </w:r>
    </w:p>
    <w:p w14:paraId="776BEE78" w14:textId="77777777" w:rsidR="00A71EEF" w:rsidRDefault="0081115D">
      <w:pPr>
        <w:pStyle w:val="a4"/>
        <w:numPr>
          <w:ilvl w:val="4"/>
          <w:numId w:val="507"/>
        </w:numPr>
        <w:tabs>
          <w:tab w:val="left" w:pos="1893"/>
        </w:tabs>
        <w:spacing w:line="446" w:lineRule="auto"/>
        <w:ind w:right="1503" w:firstLine="419"/>
        <w:jc w:val="both"/>
        <w:rPr>
          <w:sz w:val="21"/>
        </w:rPr>
      </w:pPr>
      <w:r>
        <w:rPr>
          <w:spacing w:val="-3"/>
          <w:sz w:val="21"/>
        </w:rPr>
        <w:t>电缆受火端用所测试的堵料封头（</w:t>
      </w:r>
      <w:r>
        <w:rPr>
          <w:spacing w:val="-11"/>
          <w:sz w:val="21"/>
        </w:rPr>
        <w:t>封头长度</w:t>
      </w:r>
      <w:r>
        <w:rPr>
          <w:spacing w:val="-11"/>
          <w:sz w:val="21"/>
        </w:rPr>
        <w:t xml:space="preserve"> </w:t>
      </w:r>
      <w:r>
        <w:rPr>
          <w:sz w:val="21"/>
        </w:rPr>
        <w:t>50mm</w:t>
      </w:r>
      <w:r>
        <w:rPr>
          <w:spacing w:val="-14"/>
          <w:sz w:val="21"/>
        </w:rPr>
        <w:t>，厚度</w:t>
      </w:r>
      <w:r>
        <w:rPr>
          <w:spacing w:val="-14"/>
          <w:sz w:val="21"/>
        </w:rPr>
        <w:t xml:space="preserve"> </w:t>
      </w:r>
      <w:r>
        <w:rPr>
          <w:sz w:val="21"/>
        </w:rPr>
        <w:t>25mm)</w:t>
      </w:r>
      <w:r>
        <w:rPr>
          <w:spacing w:val="-2"/>
          <w:sz w:val="21"/>
        </w:rPr>
        <w:t>，暴露于火场的</w:t>
      </w:r>
      <w:r>
        <w:rPr>
          <w:spacing w:val="-10"/>
          <w:sz w:val="21"/>
        </w:rPr>
        <w:t>电缆长度</w:t>
      </w:r>
      <w:r>
        <w:rPr>
          <w:spacing w:val="-10"/>
          <w:sz w:val="21"/>
        </w:rPr>
        <w:t xml:space="preserve"> </w:t>
      </w:r>
      <w:r>
        <w:rPr>
          <w:sz w:val="21"/>
        </w:rPr>
        <w:t>300mm</w:t>
      </w:r>
      <w:r>
        <w:rPr>
          <w:spacing w:val="-5"/>
          <w:sz w:val="21"/>
        </w:rPr>
        <w:t>；穿管受火端用所测试的堵料堵塞管内径，堵塞长度</w:t>
      </w:r>
      <w:r>
        <w:rPr>
          <w:spacing w:val="-5"/>
          <w:sz w:val="21"/>
        </w:rPr>
        <w:t xml:space="preserve"> </w:t>
      </w:r>
      <w:r>
        <w:rPr>
          <w:sz w:val="21"/>
        </w:rPr>
        <w:t>100mm</w:t>
      </w:r>
      <w:r>
        <w:rPr>
          <w:spacing w:val="-3"/>
          <w:sz w:val="21"/>
        </w:rPr>
        <w:t>，穿管伸出试件受火</w:t>
      </w:r>
      <w:r>
        <w:rPr>
          <w:spacing w:val="-28"/>
          <w:sz w:val="21"/>
        </w:rPr>
        <w:t>面</w:t>
      </w:r>
      <w:r>
        <w:rPr>
          <w:spacing w:val="-28"/>
          <w:sz w:val="21"/>
        </w:rPr>
        <w:t xml:space="preserve"> </w:t>
      </w:r>
      <w:r>
        <w:rPr>
          <w:sz w:val="21"/>
        </w:rPr>
        <w:t>300mm</w:t>
      </w:r>
      <w:r>
        <w:rPr>
          <w:spacing w:val="-9"/>
          <w:sz w:val="21"/>
        </w:rPr>
        <w:t>；贯穿物的长度为</w:t>
      </w:r>
      <w:r>
        <w:rPr>
          <w:spacing w:val="-9"/>
          <w:sz w:val="21"/>
        </w:rPr>
        <w:t xml:space="preserve"> </w:t>
      </w:r>
      <w:r>
        <w:rPr>
          <w:sz w:val="21"/>
        </w:rPr>
        <w:t>1500mm</w:t>
      </w:r>
      <w:r>
        <w:rPr>
          <w:spacing w:val="-3"/>
          <w:sz w:val="21"/>
        </w:rPr>
        <w:t>。</w:t>
      </w:r>
      <w:r>
        <w:rPr>
          <w:sz w:val="21"/>
        </w:rPr>
        <w:t xml:space="preserve"> </w:t>
      </w:r>
    </w:p>
    <w:p w14:paraId="02A860A4" w14:textId="77777777" w:rsidR="00A71EEF" w:rsidRDefault="0081115D">
      <w:pPr>
        <w:pStyle w:val="a4"/>
        <w:numPr>
          <w:ilvl w:val="4"/>
          <w:numId w:val="507"/>
        </w:numPr>
        <w:tabs>
          <w:tab w:val="left" w:pos="1893"/>
        </w:tabs>
        <w:spacing w:line="446" w:lineRule="auto"/>
        <w:ind w:right="1505" w:firstLine="419"/>
        <w:rPr>
          <w:sz w:val="21"/>
        </w:rPr>
      </w:pPr>
      <w:r>
        <w:rPr>
          <w:spacing w:val="-3"/>
          <w:sz w:val="21"/>
        </w:rPr>
        <w:t>背火面的贯穿物或支架应采用适当的方式固定，防止贯穿物或支架在试验前或试验过程中滑落。</w:t>
      </w:r>
      <w:r>
        <w:rPr>
          <w:sz w:val="21"/>
        </w:rPr>
        <w:t xml:space="preserve"> </w:t>
      </w:r>
    </w:p>
    <w:p w14:paraId="10902E8D" w14:textId="77777777" w:rsidR="00A71EEF" w:rsidRDefault="0081115D">
      <w:pPr>
        <w:pStyle w:val="a4"/>
        <w:numPr>
          <w:ilvl w:val="3"/>
          <w:numId w:val="507"/>
        </w:numPr>
        <w:tabs>
          <w:tab w:val="left" w:pos="1682"/>
        </w:tabs>
        <w:rPr>
          <w:sz w:val="21"/>
        </w:rPr>
      </w:pPr>
      <w:r>
        <w:rPr>
          <w:spacing w:val="-3"/>
          <w:sz w:val="21"/>
        </w:rPr>
        <w:t>孔洞用防火封堵材料试件</w:t>
      </w:r>
      <w:r>
        <w:rPr>
          <w:sz w:val="21"/>
        </w:rPr>
        <w:t xml:space="preserve"> </w:t>
      </w:r>
    </w:p>
    <w:p w14:paraId="065688D5" w14:textId="77777777" w:rsidR="00A71EEF" w:rsidRDefault="00A71EEF">
      <w:pPr>
        <w:pStyle w:val="a3"/>
        <w:spacing w:before="9"/>
        <w:rPr>
          <w:sz w:val="17"/>
        </w:rPr>
      </w:pPr>
    </w:p>
    <w:p w14:paraId="40CC00F0" w14:textId="77777777" w:rsidR="00A71EEF" w:rsidRDefault="0081115D">
      <w:pPr>
        <w:pStyle w:val="a4"/>
        <w:numPr>
          <w:ilvl w:val="4"/>
          <w:numId w:val="507"/>
        </w:numPr>
        <w:tabs>
          <w:tab w:val="left" w:pos="1893"/>
        </w:tabs>
        <w:spacing w:before="1" w:line="446" w:lineRule="auto"/>
        <w:ind w:right="1505" w:firstLine="419"/>
        <w:rPr>
          <w:sz w:val="21"/>
        </w:rPr>
      </w:pPr>
      <w:r>
        <w:rPr>
          <w:spacing w:val="-3"/>
          <w:sz w:val="21"/>
        </w:rPr>
        <w:t>孔洞用防火封堵材料标准试件应包含混凝土框架、贯穿物、支架和孔洞用防火</w:t>
      </w:r>
      <w:r>
        <w:rPr>
          <w:spacing w:val="-5"/>
          <w:sz w:val="21"/>
        </w:rPr>
        <w:t>封堵材料等部分，标准试件的尺寸和详细制作要求见附录</w:t>
      </w:r>
      <w:r>
        <w:rPr>
          <w:spacing w:val="-5"/>
          <w:sz w:val="21"/>
        </w:rPr>
        <w:t xml:space="preserve"> </w:t>
      </w:r>
      <w:r>
        <w:rPr>
          <w:sz w:val="21"/>
        </w:rPr>
        <w:t>A</w:t>
      </w:r>
      <w:r>
        <w:rPr>
          <w:spacing w:val="-36"/>
          <w:sz w:val="21"/>
        </w:rPr>
        <w:t xml:space="preserve"> </w:t>
      </w:r>
      <w:r>
        <w:rPr>
          <w:spacing w:val="-36"/>
          <w:sz w:val="21"/>
        </w:rPr>
        <w:t>的</w:t>
      </w:r>
      <w:r>
        <w:rPr>
          <w:spacing w:val="-36"/>
          <w:sz w:val="21"/>
        </w:rPr>
        <w:t xml:space="preserve"> </w:t>
      </w:r>
      <w:r>
        <w:rPr>
          <w:sz w:val="21"/>
        </w:rPr>
        <w:t>A.1</w:t>
      </w:r>
      <w:r>
        <w:rPr>
          <w:spacing w:val="-3"/>
          <w:sz w:val="21"/>
        </w:rPr>
        <w:t>。</w:t>
      </w:r>
      <w:r>
        <w:rPr>
          <w:sz w:val="21"/>
        </w:rPr>
        <w:t xml:space="preserve"> </w:t>
      </w:r>
    </w:p>
    <w:p w14:paraId="6D4CBB72" w14:textId="77777777" w:rsidR="00A71EEF" w:rsidRDefault="0081115D">
      <w:pPr>
        <w:pStyle w:val="a4"/>
        <w:numPr>
          <w:ilvl w:val="4"/>
          <w:numId w:val="507"/>
        </w:numPr>
        <w:tabs>
          <w:tab w:val="left" w:pos="1893"/>
        </w:tabs>
        <w:spacing w:line="446" w:lineRule="auto"/>
        <w:ind w:right="1508" w:firstLine="419"/>
        <w:rPr>
          <w:sz w:val="21"/>
        </w:rPr>
      </w:pPr>
      <w:r>
        <w:rPr>
          <w:spacing w:val="-6"/>
          <w:sz w:val="21"/>
        </w:rPr>
        <w:t>对于无机堵料、阻火包或阻火模块，图</w:t>
      </w:r>
      <w:r>
        <w:rPr>
          <w:spacing w:val="-6"/>
          <w:sz w:val="21"/>
        </w:rPr>
        <w:t xml:space="preserve"> </w:t>
      </w:r>
      <w:r>
        <w:rPr>
          <w:sz w:val="21"/>
        </w:rPr>
        <w:t>A.1</w:t>
      </w:r>
      <w:r>
        <w:rPr>
          <w:spacing w:val="-8"/>
          <w:sz w:val="21"/>
        </w:rPr>
        <w:t xml:space="preserve"> </w:t>
      </w:r>
      <w:r>
        <w:rPr>
          <w:spacing w:val="-8"/>
          <w:sz w:val="21"/>
        </w:rPr>
        <w:t>中的防火封堵材料应采用被测试的</w:t>
      </w:r>
      <w:r>
        <w:rPr>
          <w:spacing w:val="-3"/>
          <w:sz w:val="21"/>
        </w:rPr>
        <w:t>无机堵料、</w:t>
      </w:r>
      <w:r>
        <w:rPr>
          <w:spacing w:val="-3"/>
          <w:sz w:val="21"/>
        </w:rPr>
        <w:t xml:space="preserve"> </w:t>
      </w:r>
      <w:r>
        <w:rPr>
          <w:spacing w:val="-3"/>
          <w:sz w:val="21"/>
        </w:rPr>
        <w:t>阻火包或阻火模块中的某一种，允许与柔性有机堵料或泡沫封堵村料配合使用。</w:t>
      </w:r>
      <w:r>
        <w:rPr>
          <w:sz w:val="21"/>
        </w:rPr>
        <w:t xml:space="preserve"> </w:t>
      </w:r>
    </w:p>
    <w:p w14:paraId="33BFF076" w14:textId="77777777" w:rsidR="00A71EEF" w:rsidRDefault="0081115D">
      <w:pPr>
        <w:pStyle w:val="a4"/>
        <w:numPr>
          <w:ilvl w:val="4"/>
          <w:numId w:val="507"/>
        </w:numPr>
        <w:tabs>
          <w:tab w:val="left" w:pos="1893"/>
        </w:tabs>
        <w:spacing w:line="446" w:lineRule="auto"/>
        <w:ind w:right="1508" w:firstLine="419"/>
        <w:rPr>
          <w:sz w:val="21"/>
        </w:rPr>
      </w:pPr>
      <w:r>
        <w:rPr>
          <w:spacing w:val="-6"/>
          <w:sz w:val="21"/>
        </w:rPr>
        <w:t>对于柔性有机堵料或泡沫封堵材料，图</w:t>
      </w:r>
      <w:r>
        <w:rPr>
          <w:spacing w:val="-6"/>
          <w:sz w:val="21"/>
        </w:rPr>
        <w:t xml:space="preserve"> </w:t>
      </w:r>
      <w:r>
        <w:rPr>
          <w:sz w:val="21"/>
        </w:rPr>
        <w:t>A.1</w:t>
      </w:r>
      <w:r>
        <w:rPr>
          <w:spacing w:val="-8"/>
          <w:sz w:val="21"/>
        </w:rPr>
        <w:t xml:space="preserve"> </w:t>
      </w:r>
      <w:r>
        <w:rPr>
          <w:spacing w:val="-8"/>
          <w:sz w:val="21"/>
        </w:rPr>
        <w:t>中的封堵材料由预留矩形孔洞</w:t>
      </w:r>
      <w:r>
        <w:rPr>
          <w:spacing w:val="-3"/>
          <w:sz w:val="21"/>
        </w:rPr>
        <w:t>（</w:t>
      </w:r>
      <w:r>
        <w:rPr>
          <w:sz w:val="21"/>
        </w:rPr>
        <w:t>孔</w:t>
      </w:r>
      <w:r>
        <w:rPr>
          <w:spacing w:val="-2"/>
          <w:sz w:val="21"/>
        </w:rPr>
        <w:t>洞长度</w:t>
      </w:r>
      <w:r>
        <w:rPr>
          <w:spacing w:val="-2"/>
          <w:sz w:val="21"/>
        </w:rPr>
        <w:t>:</w:t>
      </w:r>
      <w:r>
        <w:rPr>
          <w:sz w:val="21"/>
        </w:rPr>
        <w:t xml:space="preserve"> </w:t>
      </w:r>
    </w:p>
    <w:p w14:paraId="6578B602" w14:textId="77777777" w:rsidR="00A71EEF" w:rsidRDefault="0081115D">
      <w:pPr>
        <w:pStyle w:val="a3"/>
        <w:spacing w:line="446" w:lineRule="auto"/>
        <w:ind w:left="418" w:right="1611" w:firstLine="419"/>
      </w:pPr>
      <w:r>
        <w:t>510mm</w:t>
      </w:r>
      <w:r>
        <w:rPr>
          <w:spacing w:val="-1"/>
        </w:rPr>
        <w:t>,</w:t>
      </w:r>
      <w:r>
        <w:rPr>
          <w:spacing w:val="-1"/>
        </w:rPr>
        <w:t>高度：</w:t>
      </w:r>
      <w:r>
        <w:t>110mm</w:t>
      </w:r>
      <w:r>
        <w:rPr>
          <w:spacing w:val="-16"/>
        </w:rPr>
        <w:t>)</w:t>
      </w:r>
      <w:r>
        <w:rPr>
          <w:spacing w:val="-16"/>
        </w:rPr>
        <w:t>的</w:t>
      </w:r>
      <w:r>
        <w:rPr>
          <w:spacing w:val="-16"/>
        </w:rPr>
        <w:t xml:space="preserve"> </w:t>
      </w:r>
      <w:r>
        <w:t>C30</w:t>
      </w:r>
      <w:r>
        <w:rPr>
          <w:spacing w:val="-11"/>
        </w:rPr>
        <w:t xml:space="preserve"> </w:t>
      </w:r>
      <w:r>
        <w:rPr>
          <w:spacing w:val="-11"/>
        </w:rPr>
        <w:t>混凝土替代，预留矩形孔洞位于图</w:t>
      </w:r>
      <w:r>
        <w:rPr>
          <w:spacing w:val="-11"/>
        </w:rPr>
        <w:t xml:space="preserve"> </w:t>
      </w:r>
      <w:r>
        <w:t>A.1</w:t>
      </w:r>
      <w:r>
        <w:rPr>
          <w:spacing w:val="-8"/>
        </w:rPr>
        <w:t xml:space="preserve"> </w:t>
      </w:r>
      <w:r>
        <w:rPr>
          <w:spacing w:val="-8"/>
        </w:rPr>
        <w:t>中需要铺设电缆桥架、</w:t>
      </w:r>
      <w:r>
        <w:rPr>
          <w:spacing w:val="-7"/>
        </w:rPr>
        <w:t>电缆和钢管等贯穿物的位置。在预留矩形孔洞内按图</w:t>
      </w:r>
      <w:r>
        <w:rPr>
          <w:spacing w:val="-7"/>
        </w:rPr>
        <w:t xml:space="preserve"> </w:t>
      </w:r>
      <w:r>
        <w:t>A. 2</w:t>
      </w:r>
      <w:r>
        <w:rPr>
          <w:spacing w:val="-9"/>
        </w:rPr>
        <w:t xml:space="preserve"> </w:t>
      </w:r>
      <w:r>
        <w:rPr>
          <w:spacing w:val="-9"/>
        </w:rPr>
        <w:t>铺设电缆桥架、电缆和钢管等贯穿</w:t>
      </w:r>
      <w:r>
        <w:rPr>
          <w:spacing w:val="-5"/>
        </w:rPr>
        <w:t>物，采用柔性有机堵料或泡沫封堵材料堵塞孔洞内所有间隙。</w:t>
      </w:r>
      <w:r>
        <w:t xml:space="preserve"> </w:t>
      </w:r>
    </w:p>
    <w:p w14:paraId="62EB4E14" w14:textId="77777777" w:rsidR="00A71EEF" w:rsidRDefault="0081115D">
      <w:pPr>
        <w:pStyle w:val="a3"/>
        <w:spacing w:line="268" w:lineRule="exact"/>
        <w:ind w:left="838"/>
      </w:pPr>
      <w:r>
        <w:t>注：柔性有机堵料或泡沫封堵材料的试件制作见图</w:t>
      </w:r>
      <w:r>
        <w:t xml:space="preserve"> A.2</w:t>
      </w:r>
      <w:r>
        <w:t>。</w:t>
      </w:r>
      <w:r>
        <w:t xml:space="preserve"> </w:t>
      </w:r>
    </w:p>
    <w:p w14:paraId="781F4FEC" w14:textId="77777777" w:rsidR="00A71EEF" w:rsidRDefault="00A71EEF">
      <w:pPr>
        <w:pStyle w:val="a3"/>
        <w:spacing w:before="9"/>
        <w:rPr>
          <w:sz w:val="17"/>
        </w:rPr>
      </w:pPr>
    </w:p>
    <w:p w14:paraId="6449F7D5" w14:textId="77777777" w:rsidR="00A71EEF" w:rsidRDefault="0081115D">
      <w:pPr>
        <w:pStyle w:val="a4"/>
        <w:numPr>
          <w:ilvl w:val="4"/>
          <w:numId w:val="507"/>
        </w:numPr>
        <w:tabs>
          <w:tab w:val="left" w:pos="1893"/>
        </w:tabs>
        <w:spacing w:before="1" w:line="446" w:lineRule="auto"/>
        <w:ind w:right="1505" w:firstLine="419"/>
        <w:rPr>
          <w:sz w:val="21"/>
        </w:rPr>
      </w:pPr>
      <w:r>
        <w:rPr>
          <w:spacing w:val="-7"/>
          <w:sz w:val="21"/>
        </w:rPr>
        <w:t>对于防火封堵板材，图</w:t>
      </w:r>
      <w:r>
        <w:rPr>
          <w:spacing w:val="-7"/>
          <w:sz w:val="21"/>
        </w:rPr>
        <w:t xml:space="preserve"> </w:t>
      </w:r>
      <w:r>
        <w:rPr>
          <w:sz w:val="21"/>
        </w:rPr>
        <w:t>A.1</w:t>
      </w:r>
      <w:r>
        <w:rPr>
          <w:spacing w:val="-8"/>
          <w:sz w:val="21"/>
        </w:rPr>
        <w:t xml:space="preserve"> </w:t>
      </w:r>
      <w:r>
        <w:rPr>
          <w:spacing w:val="-8"/>
          <w:sz w:val="21"/>
        </w:rPr>
        <w:t>中的防火封堵材料应采用受火面与背火面各设一块</w:t>
      </w:r>
      <w:r>
        <w:rPr>
          <w:spacing w:val="-5"/>
          <w:sz w:val="21"/>
        </w:rPr>
        <w:t>防火封堵板材，并允许在板材与框架及贯穿物结合处使用柔性有机堵料或泡沫封堵材料的安装方式。</w:t>
      </w:r>
      <w:r>
        <w:rPr>
          <w:sz w:val="21"/>
        </w:rPr>
        <w:t xml:space="preserve"> </w:t>
      </w:r>
    </w:p>
    <w:p w14:paraId="04B5A430" w14:textId="77777777" w:rsidR="00A71EEF" w:rsidRDefault="0081115D">
      <w:pPr>
        <w:pStyle w:val="a4"/>
        <w:numPr>
          <w:ilvl w:val="3"/>
          <w:numId w:val="507"/>
        </w:numPr>
        <w:tabs>
          <w:tab w:val="left" w:pos="1682"/>
        </w:tabs>
        <w:spacing w:line="268" w:lineRule="exact"/>
        <w:rPr>
          <w:sz w:val="21"/>
        </w:rPr>
      </w:pPr>
      <w:r>
        <w:rPr>
          <w:spacing w:val="-3"/>
          <w:sz w:val="21"/>
        </w:rPr>
        <w:t>缝隙用防火封堵材料试件</w:t>
      </w:r>
      <w:r>
        <w:rPr>
          <w:sz w:val="21"/>
        </w:rPr>
        <w:t xml:space="preserve"> </w:t>
      </w:r>
    </w:p>
    <w:p w14:paraId="476877F0" w14:textId="77777777" w:rsidR="00A71EEF" w:rsidRDefault="00A71EEF">
      <w:pPr>
        <w:pStyle w:val="a3"/>
        <w:spacing w:before="1"/>
        <w:rPr>
          <w:sz w:val="18"/>
        </w:rPr>
      </w:pPr>
    </w:p>
    <w:p w14:paraId="0DCE1C5D" w14:textId="77777777" w:rsidR="00A71EEF" w:rsidRDefault="0081115D">
      <w:pPr>
        <w:pStyle w:val="a3"/>
        <w:spacing w:line="446" w:lineRule="auto"/>
        <w:ind w:left="418" w:right="1608" w:firstLine="419"/>
        <w:jc w:val="both"/>
      </w:pPr>
      <w:r>
        <w:t xml:space="preserve">6.16.4. 3.1 </w:t>
      </w:r>
      <w:r>
        <w:t>缝隙用防火封堵材料标准试件应包含混凝土框架、固定支架及结构缝隙用防火封堵材料等部分，试件</w:t>
      </w:r>
      <w:r>
        <w:t>应包括与防火封堵材料性能相适应的最大和最小两种固定缝隙宽度，</w:t>
      </w:r>
      <w:r>
        <w:t xml:space="preserve"> </w:t>
      </w:r>
      <w:r>
        <w:t>最大和最小两种缝隙宽度由委托方确定，必要时可包括可移动缝隙。标准试件的尺寸和详细制作要求见附录</w:t>
      </w:r>
      <w:r>
        <w:t xml:space="preserve">A </w:t>
      </w:r>
      <w:r>
        <w:t>的</w:t>
      </w:r>
      <w:r>
        <w:t xml:space="preserve"> A.6</w:t>
      </w:r>
      <w:r>
        <w:t>。</w:t>
      </w:r>
      <w:r>
        <w:t xml:space="preserve"> </w:t>
      </w:r>
    </w:p>
    <w:p w14:paraId="3722DE06" w14:textId="77777777" w:rsidR="00A71EEF" w:rsidRDefault="00A71EEF">
      <w:pPr>
        <w:spacing w:line="446" w:lineRule="auto"/>
        <w:jc w:val="both"/>
        <w:sectPr w:rsidR="00A71EEF">
          <w:footerReference w:type="default" r:id="rId296"/>
          <w:pgSz w:w="11910" w:h="16850"/>
          <w:pgMar w:top="1220" w:right="0" w:bottom="1420" w:left="1260" w:header="0" w:footer="1239" w:gutter="0"/>
          <w:pgNumType w:start="1200"/>
          <w:cols w:space="720"/>
        </w:sectPr>
      </w:pPr>
    </w:p>
    <w:p w14:paraId="4FAC5589" w14:textId="77777777" w:rsidR="00A71EEF" w:rsidRDefault="0081115D">
      <w:pPr>
        <w:pStyle w:val="a3"/>
        <w:spacing w:before="47" w:line="446" w:lineRule="auto"/>
        <w:ind w:left="418" w:right="1556" w:firstLine="419"/>
        <w:jc w:val="both"/>
      </w:pPr>
      <w:r>
        <w:t>6.16.4</w:t>
      </w:r>
      <w:r>
        <w:rPr>
          <w:spacing w:val="7"/>
        </w:rPr>
        <w:t xml:space="preserve">. </w:t>
      </w:r>
      <w:r>
        <w:t>3.2</w:t>
      </w:r>
      <w:r>
        <w:rPr>
          <w:spacing w:val="-3"/>
        </w:rPr>
        <w:t xml:space="preserve"> </w:t>
      </w:r>
      <w:r>
        <w:rPr>
          <w:spacing w:val="-3"/>
        </w:rPr>
        <w:t>如果缝隙用防火封堵材料具有封堵变形缝隙的能力，对于允许缝隙在使用过</w:t>
      </w:r>
      <w:r>
        <w:rPr>
          <w:spacing w:val="-4"/>
        </w:rPr>
        <w:t>程中发生一定变形的缝隙封堵材料，在进行耐火性能试验前，缝隙应移动至其变形率为</w:t>
      </w:r>
      <w:r>
        <w:rPr>
          <w:spacing w:val="-4"/>
        </w:rPr>
        <w:t xml:space="preserve"> </w:t>
      </w:r>
      <w:r>
        <w:t>100%</w:t>
      </w:r>
      <w:r>
        <w:t>时</w:t>
      </w:r>
      <w:r>
        <w:rPr>
          <w:spacing w:val="-3"/>
        </w:rPr>
        <w:t>的位置；对于允许缝隙在试验过程中发生一定变形的缝隙封堵材料，在试验过程中其缝隙应由</w:t>
      </w:r>
      <w:r>
        <w:rPr>
          <w:spacing w:val="-8"/>
        </w:rPr>
        <w:t>其允许变形率的</w:t>
      </w:r>
      <w:r>
        <w:rPr>
          <w:spacing w:val="-8"/>
        </w:rPr>
        <w:t xml:space="preserve"> </w:t>
      </w:r>
      <w:r>
        <w:t>20</w:t>
      </w:r>
      <w:r>
        <w:rPr>
          <w:spacing w:val="-6"/>
        </w:rPr>
        <w:t>%</w:t>
      </w:r>
      <w:r>
        <w:rPr>
          <w:spacing w:val="-6"/>
        </w:rPr>
        <w:t>逐渐移动至其允许变形率的</w:t>
      </w:r>
      <w:r>
        <w:rPr>
          <w:spacing w:val="-6"/>
        </w:rPr>
        <w:t xml:space="preserve"> </w:t>
      </w:r>
      <w:r>
        <w:t>100%</w:t>
      </w:r>
      <w:r>
        <w:t>，</w:t>
      </w:r>
      <w:r>
        <w:rPr>
          <w:spacing w:val="-3"/>
        </w:rPr>
        <w:t>缝隙移动的时间必须控制在耐火试验开</w:t>
      </w:r>
      <w:r>
        <w:rPr>
          <w:spacing w:val="-13"/>
        </w:rPr>
        <w:t>始后的前</w:t>
      </w:r>
      <w:r>
        <w:rPr>
          <w:spacing w:val="-13"/>
        </w:rPr>
        <w:t xml:space="preserve"> </w:t>
      </w:r>
      <w:r>
        <w:t>60min</w:t>
      </w:r>
      <w:r>
        <w:rPr>
          <w:spacing w:val="-16"/>
        </w:rPr>
        <w:t xml:space="preserve"> </w:t>
      </w:r>
      <w:r>
        <w:rPr>
          <w:spacing w:val="-16"/>
        </w:rPr>
        <w:t>以内。</w:t>
      </w:r>
      <w:r>
        <w:t xml:space="preserve"> </w:t>
      </w:r>
    </w:p>
    <w:p w14:paraId="215A3BF1" w14:textId="77777777" w:rsidR="00A71EEF" w:rsidRDefault="0081115D">
      <w:pPr>
        <w:pStyle w:val="a4"/>
        <w:numPr>
          <w:ilvl w:val="3"/>
          <w:numId w:val="507"/>
        </w:numPr>
        <w:tabs>
          <w:tab w:val="left" w:pos="1682"/>
        </w:tabs>
        <w:spacing w:line="266" w:lineRule="exact"/>
        <w:rPr>
          <w:sz w:val="21"/>
        </w:rPr>
      </w:pPr>
      <w:r>
        <w:rPr>
          <w:spacing w:val="-3"/>
          <w:sz w:val="21"/>
        </w:rPr>
        <w:t>塑料管道用防火封堵材料和防火封堵组件试件</w:t>
      </w:r>
      <w:r>
        <w:rPr>
          <w:sz w:val="21"/>
        </w:rPr>
        <w:t xml:space="preserve"> </w:t>
      </w:r>
    </w:p>
    <w:p w14:paraId="1DBA57DB" w14:textId="77777777" w:rsidR="00A71EEF" w:rsidRDefault="00A71EEF">
      <w:pPr>
        <w:pStyle w:val="a3"/>
        <w:spacing w:before="2"/>
        <w:rPr>
          <w:sz w:val="18"/>
        </w:rPr>
      </w:pPr>
    </w:p>
    <w:p w14:paraId="10C93518" w14:textId="77777777" w:rsidR="00A71EEF" w:rsidRDefault="0081115D">
      <w:pPr>
        <w:pStyle w:val="a4"/>
        <w:numPr>
          <w:ilvl w:val="4"/>
          <w:numId w:val="507"/>
        </w:numPr>
        <w:tabs>
          <w:tab w:val="left" w:pos="1893"/>
        </w:tabs>
        <w:spacing w:line="446" w:lineRule="auto"/>
        <w:ind w:right="1508" w:firstLine="419"/>
        <w:rPr>
          <w:sz w:val="21"/>
        </w:rPr>
      </w:pPr>
      <w:r>
        <w:rPr>
          <w:spacing w:val="-3"/>
          <w:sz w:val="21"/>
        </w:rPr>
        <w:t>塑料管道用防火封堵材料标准试件应包含混凝土框架、塑料管、支架及塑料管</w:t>
      </w:r>
      <w:r>
        <w:rPr>
          <w:spacing w:val="-5"/>
          <w:sz w:val="21"/>
        </w:rPr>
        <w:t>道用防火封堵材料等部分，标准试件的尺寸和详细制作要求见附录</w:t>
      </w:r>
      <w:r>
        <w:rPr>
          <w:spacing w:val="-5"/>
          <w:sz w:val="21"/>
        </w:rPr>
        <w:t xml:space="preserve"> </w:t>
      </w:r>
      <w:r>
        <w:rPr>
          <w:sz w:val="21"/>
        </w:rPr>
        <w:t>A</w:t>
      </w:r>
      <w:r>
        <w:rPr>
          <w:spacing w:val="-36"/>
          <w:sz w:val="21"/>
        </w:rPr>
        <w:t xml:space="preserve"> </w:t>
      </w:r>
      <w:r>
        <w:rPr>
          <w:spacing w:val="-36"/>
          <w:sz w:val="21"/>
        </w:rPr>
        <w:t>的</w:t>
      </w:r>
      <w:r>
        <w:rPr>
          <w:spacing w:val="-36"/>
          <w:sz w:val="21"/>
        </w:rPr>
        <w:t xml:space="preserve"> </w:t>
      </w:r>
      <w:r>
        <w:rPr>
          <w:sz w:val="21"/>
        </w:rPr>
        <w:t>A.3</w:t>
      </w:r>
      <w:r>
        <w:rPr>
          <w:sz w:val="21"/>
        </w:rPr>
        <w:t>。</w:t>
      </w:r>
      <w:r>
        <w:rPr>
          <w:sz w:val="21"/>
        </w:rPr>
        <w:t xml:space="preserve"> </w:t>
      </w:r>
    </w:p>
    <w:p w14:paraId="1206869B" w14:textId="77777777" w:rsidR="00A71EEF" w:rsidRDefault="0081115D">
      <w:pPr>
        <w:pStyle w:val="a4"/>
        <w:numPr>
          <w:ilvl w:val="4"/>
          <w:numId w:val="507"/>
        </w:numPr>
        <w:tabs>
          <w:tab w:val="left" w:pos="1893"/>
        </w:tabs>
        <w:spacing w:line="446" w:lineRule="auto"/>
        <w:ind w:right="1505" w:firstLine="419"/>
        <w:rPr>
          <w:sz w:val="21"/>
        </w:rPr>
      </w:pPr>
      <w:r>
        <w:rPr>
          <w:spacing w:val="-3"/>
          <w:sz w:val="21"/>
        </w:rPr>
        <w:t>防火封堵组件标准试件应包含混凝土框架、贯穿物、支架、防火封堵材料和耐</w:t>
      </w:r>
      <w:r>
        <w:rPr>
          <w:spacing w:val="-5"/>
          <w:sz w:val="21"/>
        </w:rPr>
        <w:t>火隔热材料等部分，标准试件的尺寸和详细制作要</w:t>
      </w:r>
      <w:r>
        <w:rPr>
          <w:spacing w:val="-5"/>
          <w:sz w:val="21"/>
        </w:rPr>
        <w:t>求见附录</w:t>
      </w:r>
      <w:r>
        <w:rPr>
          <w:spacing w:val="-5"/>
          <w:sz w:val="21"/>
        </w:rPr>
        <w:t xml:space="preserve"> </w:t>
      </w:r>
      <w:r>
        <w:rPr>
          <w:sz w:val="21"/>
        </w:rPr>
        <w:t>A</w:t>
      </w:r>
      <w:r>
        <w:rPr>
          <w:spacing w:val="-36"/>
          <w:sz w:val="21"/>
        </w:rPr>
        <w:t xml:space="preserve"> </w:t>
      </w:r>
      <w:r>
        <w:rPr>
          <w:spacing w:val="-36"/>
          <w:sz w:val="21"/>
        </w:rPr>
        <w:t>的</w:t>
      </w:r>
      <w:r>
        <w:rPr>
          <w:spacing w:val="-36"/>
          <w:sz w:val="21"/>
        </w:rPr>
        <w:t xml:space="preserve"> </w:t>
      </w:r>
      <w:r>
        <w:rPr>
          <w:sz w:val="21"/>
        </w:rPr>
        <w:t>A.9</w:t>
      </w:r>
      <w:r>
        <w:rPr>
          <w:spacing w:val="-3"/>
          <w:sz w:val="21"/>
        </w:rPr>
        <w:t>。</w:t>
      </w:r>
      <w:r>
        <w:rPr>
          <w:sz w:val="21"/>
        </w:rPr>
        <w:t xml:space="preserve"> </w:t>
      </w:r>
    </w:p>
    <w:p w14:paraId="1F669438" w14:textId="77777777" w:rsidR="00A71EEF" w:rsidRDefault="0081115D">
      <w:pPr>
        <w:ind w:left="840"/>
        <w:rPr>
          <w:sz w:val="21"/>
        </w:rPr>
      </w:pPr>
      <w:r>
        <w:rPr>
          <w:b/>
          <w:sz w:val="21"/>
        </w:rPr>
        <w:t>6.16.5</w:t>
      </w:r>
      <w:r>
        <w:rPr>
          <w:b/>
          <w:spacing w:val="5"/>
          <w:sz w:val="21"/>
        </w:rPr>
        <w:t xml:space="preserve"> </w:t>
      </w:r>
      <w:r>
        <w:rPr>
          <w:spacing w:val="-3"/>
          <w:sz w:val="21"/>
        </w:rPr>
        <w:t>状态调节</w:t>
      </w:r>
      <w:r>
        <w:rPr>
          <w:sz w:val="21"/>
        </w:rPr>
        <w:t xml:space="preserve"> </w:t>
      </w:r>
    </w:p>
    <w:p w14:paraId="3D50ECC1" w14:textId="77777777" w:rsidR="00A71EEF" w:rsidRDefault="00A71EEF">
      <w:pPr>
        <w:pStyle w:val="a3"/>
        <w:spacing w:before="10"/>
        <w:rPr>
          <w:sz w:val="17"/>
        </w:rPr>
      </w:pPr>
    </w:p>
    <w:p w14:paraId="64977BBB" w14:textId="77777777" w:rsidR="00A71EEF" w:rsidRDefault="0081115D">
      <w:pPr>
        <w:pStyle w:val="a3"/>
        <w:spacing w:before="1" w:line="446" w:lineRule="auto"/>
        <w:ind w:left="840" w:right="1714" w:hanging="3"/>
      </w:pPr>
      <w:r>
        <w:rPr>
          <w:spacing w:val="-3"/>
        </w:rPr>
        <w:t>试件制作后应按产品使用说明的规定进行养护，待试件养护期满后方能进行耐火试验。</w:t>
      </w:r>
      <w:r>
        <w:rPr>
          <w:b/>
        </w:rPr>
        <w:t>6.16.6</w:t>
      </w:r>
      <w:r>
        <w:rPr>
          <w:b/>
          <w:spacing w:val="-1"/>
        </w:rPr>
        <w:t xml:space="preserve"> </w:t>
      </w:r>
      <w:r>
        <w:rPr>
          <w:spacing w:val="-3"/>
        </w:rPr>
        <w:t>试验程序</w:t>
      </w:r>
      <w:r>
        <w:t xml:space="preserve"> </w:t>
      </w:r>
    </w:p>
    <w:p w14:paraId="2272AA0C" w14:textId="77777777" w:rsidR="00A71EEF" w:rsidRDefault="0081115D">
      <w:pPr>
        <w:pStyle w:val="a4"/>
        <w:numPr>
          <w:ilvl w:val="3"/>
          <w:numId w:val="506"/>
        </w:numPr>
        <w:tabs>
          <w:tab w:val="left" w:pos="1682"/>
        </w:tabs>
        <w:rPr>
          <w:sz w:val="21"/>
        </w:rPr>
      </w:pPr>
      <w:r>
        <w:rPr>
          <w:spacing w:val="-3"/>
          <w:sz w:val="21"/>
        </w:rPr>
        <w:t>试件的安装</w:t>
      </w:r>
      <w:r>
        <w:rPr>
          <w:spacing w:val="-3"/>
          <w:sz w:val="21"/>
        </w:rPr>
        <w:t xml:space="preserve"> </w:t>
      </w:r>
    </w:p>
    <w:p w14:paraId="23F26487" w14:textId="77777777" w:rsidR="00A71EEF" w:rsidRDefault="00A71EEF">
      <w:pPr>
        <w:pStyle w:val="a3"/>
        <w:spacing w:before="12"/>
        <w:rPr>
          <w:sz w:val="17"/>
        </w:rPr>
      </w:pPr>
    </w:p>
    <w:p w14:paraId="2507648A" w14:textId="77777777" w:rsidR="00A71EEF" w:rsidRDefault="0081115D">
      <w:pPr>
        <w:pStyle w:val="a3"/>
        <w:spacing w:line="446" w:lineRule="auto"/>
        <w:ind w:left="418" w:right="1608" w:firstLine="419"/>
        <w:jc w:val="both"/>
      </w:pPr>
      <w:r>
        <w:t>试件安装应反映实际使用情况，根据测试要求将试件垂直或水平安装于燃烧试验炉上进行试验。在背火面的防火封堵材料、贯穿物及框架上布置热电偶以测量背火面温升情况。贯穿物的悬臂端应采用有效的支承</w:t>
      </w:r>
      <w:r>
        <w:t>(</w:t>
      </w:r>
      <w:r>
        <w:t>托架）。</w:t>
      </w:r>
      <w:r>
        <w:t xml:space="preserve"> </w:t>
      </w:r>
    </w:p>
    <w:p w14:paraId="27A8BF47" w14:textId="77777777" w:rsidR="00A71EEF" w:rsidRDefault="0081115D">
      <w:pPr>
        <w:pStyle w:val="a4"/>
        <w:numPr>
          <w:ilvl w:val="3"/>
          <w:numId w:val="506"/>
        </w:numPr>
        <w:tabs>
          <w:tab w:val="left" w:pos="1682"/>
        </w:tabs>
        <w:spacing w:line="268" w:lineRule="exact"/>
        <w:rPr>
          <w:sz w:val="21"/>
        </w:rPr>
      </w:pPr>
      <w:r>
        <w:rPr>
          <w:spacing w:val="-3"/>
          <w:sz w:val="21"/>
        </w:rPr>
        <w:t>测量与观察</w:t>
      </w:r>
      <w:r>
        <w:rPr>
          <w:spacing w:val="-3"/>
          <w:sz w:val="21"/>
        </w:rPr>
        <w:t xml:space="preserve"> </w:t>
      </w:r>
    </w:p>
    <w:p w14:paraId="0FBEC2AA" w14:textId="77777777" w:rsidR="00A71EEF" w:rsidRDefault="00A71EEF">
      <w:pPr>
        <w:pStyle w:val="a3"/>
        <w:spacing w:before="2"/>
        <w:rPr>
          <w:sz w:val="18"/>
        </w:rPr>
      </w:pPr>
    </w:p>
    <w:p w14:paraId="243EAC41" w14:textId="77777777" w:rsidR="00A71EEF" w:rsidRDefault="0081115D">
      <w:pPr>
        <w:pStyle w:val="a3"/>
        <w:spacing w:line="446" w:lineRule="auto"/>
        <w:ind w:left="418" w:right="1611" w:firstLine="419"/>
      </w:pPr>
      <w:r>
        <w:rPr>
          <w:spacing w:val="-7"/>
        </w:rPr>
        <w:t>炉内温度测量用热电偶应符合</w:t>
      </w:r>
      <w:r>
        <w:rPr>
          <w:spacing w:val="-7"/>
        </w:rPr>
        <w:t xml:space="preserve"> </w:t>
      </w:r>
      <w:r>
        <w:t>GB/T 9978.1</w:t>
      </w:r>
      <w:r>
        <w:rPr>
          <w:spacing w:val="-11"/>
        </w:rPr>
        <w:t xml:space="preserve"> </w:t>
      </w:r>
      <w:r>
        <w:rPr>
          <w:spacing w:val="-11"/>
        </w:rPr>
        <w:t>的规定，热电偶的设置应不少于</w:t>
      </w:r>
      <w:r>
        <w:rPr>
          <w:spacing w:val="-11"/>
        </w:rPr>
        <w:t xml:space="preserve"> </w:t>
      </w:r>
      <w:r>
        <w:t>5</w:t>
      </w:r>
      <w:r>
        <w:rPr>
          <w:spacing w:val="-10"/>
        </w:rPr>
        <w:t xml:space="preserve"> </w:t>
      </w:r>
      <w:r>
        <w:rPr>
          <w:spacing w:val="-10"/>
        </w:rPr>
        <w:t>支，温度记</w:t>
      </w:r>
      <w:r>
        <w:rPr>
          <w:spacing w:val="-12"/>
        </w:rPr>
        <w:t>录周期不大于</w:t>
      </w:r>
      <w:r>
        <w:rPr>
          <w:spacing w:val="-12"/>
        </w:rPr>
        <w:t xml:space="preserve"> </w:t>
      </w:r>
      <w:r>
        <w:t>30s</w:t>
      </w:r>
      <w:r>
        <w:rPr>
          <w:spacing w:val="-3"/>
        </w:rPr>
        <w:t>。</w:t>
      </w:r>
      <w:r>
        <w:t xml:space="preserve"> </w:t>
      </w:r>
    </w:p>
    <w:p w14:paraId="136311CF" w14:textId="77777777" w:rsidR="00A71EEF" w:rsidRDefault="0081115D">
      <w:pPr>
        <w:pStyle w:val="a4"/>
        <w:numPr>
          <w:ilvl w:val="0"/>
          <w:numId w:val="505"/>
        </w:numPr>
        <w:tabs>
          <w:tab w:val="left" w:pos="1051"/>
        </w:tabs>
        <w:spacing w:line="267" w:lineRule="exact"/>
        <w:rPr>
          <w:b/>
          <w:sz w:val="21"/>
        </w:rPr>
      </w:pPr>
      <w:r>
        <w:rPr>
          <w:spacing w:val="-3"/>
          <w:sz w:val="21"/>
        </w:rPr>
        <w:t>试件背火面温度</w:t>
      </w:r>
      <w:r>
        <w:rPr>
          <w:b/>
          <w:w w:val="99"/>
          <w:sz w:val="21"/>
        </w:rPr>
        <w:t xml:space="preserve"> </w:t>
      </w:r>
    </w:p>
    <w:p w14:paraId="5AAEDDA8" w14:textId="77777777" w:rsidR="00A71EEF" w:rsidRDefault="00A71EEF">
      <w:pPr>
        <w:pStyle w:val="a3"/>
        <w:spacing w:before="2"/>
        <w:rPr>
          <w:b/>
          <w:sz w:val="18"/>
        </w:rPr>
      </w:pPr>
    </w:p>
    <w:p w14:paraId="017A5D5D" w14:textId="77777777" w:rsidR="00A71EEF" w:rsidRDefault="0081115D">
      <w:pPr>
        <w:pStyle w:val="a3"/>
        <w:spacing w:line="446" w:lineRule="auto"/>
        <w:ind w:left="418" w:right="1505" w:firstLine="419"/>
      </w:pPr>
      <w:r>
        <w:rPr>
          <w:spacing w:val="-5"/>
        </w:rPr>
        <w:t>测量并观察背火面封堵材料表面的温度、距封堵材料背火面</w:t>
      </w:r>
      <w:r>
        <w:rPr>
          <w:spacing w:val="-5"/>
        </w:rPr>
        <w:t xml:space="preserve"> </w:t>
      </w:r>
      <w:r>
        <w:t>25mm</w:t>
      </w:r>
      <w:r>
        <w:rPr>
          <w:spacing w:val="-7"/>
        </w:rPr>
        <w:t xml:space="preserve"> </w:t>
      </w:r>
      <w:r>
        <w:rPr>
          <w:spacing w:val="-7"/>
        </w:rPr>
        <w:t>处电缆表面的温度、距封</w:t>
      </w:r>
      <w:r>
        <w:rPr>
          <w:spacing w:val="-12"/>
        </w:rPr>
        <w:t>堵材料背火面</w:t>
      </w:r>
      <w:r>
        <w:rPr>
          <w:spacing w:val="-12"/>
        </w:rPr>
        <w:t xml:space="preserve"> </w:t>
      </w:r>
      <w:r>
        <w:t>25mm</w:t>
      </w:r>
      <w:r>
        <w:rPr>
          <w:spacing w:val="-11"/>
        </w:rPr>
        <w:t xml:space="preserve"> </w:t>
      </w:r>
      <w:r>
        <w:rPr>
          <w:spacing w:val="-11"/>
        </w:rPr>
        <w:t>处穿管表面的温度、距封堵材料背火面</w:t>
      </w:r>
      <w:r>
        <w:rPr>
          <w:spacing w:val="-11"/>
        </w:rPr>
        <w:t xml:space="preserve"> </w:t>
      </w:r>
      <w:r>
        <w:t>25mm</w:t>
      </w:r>
      <w:r>
        <w:rPr>
          <w:spacing w:val="-8"/>
        </w:rPr>
        <w:t xml:space="preserve"> </w:t>
      </w:r>
      <w:r>
        <w:rPr>
          <w:spacing w:val="-8"/>
        </w:rPr>
        <w:t>处框架表面的温度。</w:t>
      </w:r>
      <w:r>
        <w:t xml:space="preserve"> </w:t>
      </w:r>
    </w:p>
    <w:p w14:paraId="4E5C5868" w14:textId="77777777" w:rsidR="00A71EEF" w:rsidRDefault="0081115D">
      <w:pPr>
        <w:pStyle w:val="a4"/>
        <w:numPr>
          <w:ilvl w:val="0"/>
          <w:numId w:val="505"/>
        </w:numPr>
        <w:tabs>
          <w:tab w:val="left" w:pos="1051"/>
        </w:tabs>
        <w:spacing w:line="267" w:lineRule="exact"/>
        <w:rPr>
          <w:b/>
          <w:sz w:val="21"/>
        </w:rPr>
      </w:pPr>
      <w:r>
        <w:rPr>
          <w:spacing w:val="-3"/>
          <w:sz w:val="21"/>
        </w:rPr>
        <w:t>完整性</w:t>
      </w:r>
      <w:r>
        <w:rPr>
          <w:b/>
          <w:w w:val="99"/>
          <w:sz w:val="21"/>
        </w:rPr>
        <w:t xml:space="preserve"> </w:t>
      </w:r>
    </w:p>
    <w:p w14:paraId="47B85A49" w14:textId="77777777" w:rsidR="00A71EEF" w:rsidRDefault="00A71EEF">
      <w:pPr>
        <w:pStyle w:val="a3"/>
        <w:spacing w:before="2"/>
        <w:rPr>
          <w:b/>
          <w:sz w:val="18"/>
        </w:rPr>
      </w:pPr>
    </w:p>
    <w:p w14:paraId="066C72EC" w14:textId="77777777" w:rsidR="00A71EEF" w:rsidRDefault="0081115D">
      <w:pPr>
        <w:pStyle w:val="a3"/>
        <w:spacing w:line="446" w:lineRule="auto"/>
        <w:ind w:left="418" w:right="1609" w:firstLine="419"/>
      </w:pPr>
      <w:r>
        <w:t>测量并观察试件背火面是否有火焰或热气流穿出点燃棉垫，以及试件背火面是否出现连续火焰达</w:t>
      </w:r>
      <w:r>
        <w:t xml:space="preserve"> 10s </w:t>
      </w:r>
      <w:r>
        <w:t>以上。棉垫的要求与使用应符合</w:t>
      </w:r>
      <w:r>
        <w:t xml:space="preserve"> GB/T 9978.1 </w:t>
      </w:r>
      <w:r>
        <w:t>的规定。</w:t>
      </w:r>
      <w:r>
        <w:t xml:space="preserve"> </w:t>
      </w:r>
    </w:p>
    <w:p w14:paraId="09817764" w14:textId="77777777" w:rsidR="00A71EEF" w:rsidRDefault="0081115D">
      <w:pPr>
        <w:pStyle w:val="a4"/>
        <w:numPr>
          <w:ilvl w:val="0"/>
          <w:numId w:val="505"/>
        </w:numPr>
        <w:tabs>
          <w:tab w:val="left" w:pos="1051"/>
        </w:tabs>
        <w:spacing w:line="267" w:lineRule="exact"/>
        <w:rPr>
          <w:b/>
          <w:sz w:val="21"/>
        </w:rPr>
      </w:pPr>
      <w:r>
        <w:rPr>
          <w:spacing w:val="-3"/>
          <w:sz w:val="21"/>
        </w:rPr>
        <w:t>隔热性</w:t>
      </w:r>
      <w:r>
        <w:rPr>
          <w:b/>
          <w:w w:val="99"/>
          <w:sz w:val="21"/>
        </w:rPr>
        <w:t xml:space="preserve"> </w:t>
      </w:r>
    </w:p>
    <w:p w14:paraId="46CDFEE2" w14:textId="77777777" w:rsidR="00A71EEF" w:rsidRDefault="00A71EEF">
      <w:pPr>
        <w:spacing w:line="267" w:lineRule="exact"/>
        <w:rPr>
          <w:sz w:val="21"/>
        </w:rPr>
        <w:sectPr w:rsidR="00A71EEF">
          <w:pgSz w:w="11910" w:h="16850"/>
          <w:pgMar w:top="1220" w:right="0" w:bottom="1420" w:left="1260" w:header="0" w:footer="1239" w:gutter="0"/>
          <w:cols w:space="720"/>
        </w:sectPr>
      </w:pPr>
    </w:p>
    <w:p w14:paraId="67B80FD9" w14:textId="77777777" w:rsidR="00A71EEF" w:rsidRDefault="0081115D">
      <w:pPr>
        <w:pStyle w:val="a3"/>
        <w:spacing w:before="47" w:line="446" w:lineRule="auto"/>
        <w:ind w:left="418" w:right="1391" w:firstLine="419"/>
      </w:pPr>
      <w:r>
        <w:t>测量并记录背火面所有测温点包括移动热电偶的温升，以及任一测温点温升达到</w:t>
      </w:r>
      <w:r>
        <w:t xml:space="preserve"> 180℃</w:t>
      </w:r>
      <w:r>
        <w:t>的时间。</w:t>
      </w:r>
      <w:r>
        <w:t xml:space="preserve"> </w:t>
      </w:r>
    </w:p>
    <w:p w14:paraId="1B44D951" w14:textId="77777777" w:rsidR="00A71EEF" w:rsidRDefault="0081115D">
      <w:pPr>
        <w:pStyle w:val="a4"/>
        <w:numPr>
          <w:ilvl w:val="2"/>
          <w:numId w:val="504"/>
        </w:numPr>
        <w:tabs>
          <w:tab w:val="left" w:pos="1478"/>
        </w:tabs>
        <w:spacing w:line="267" w:lineRule="exact"/>
        <w:ind w:hanging="638"/>
        <w:rPr>
          <w:sz w:val="21"/>
        </w:rPr>
      </w:pPr>
      <w:r>
        <w:rPr>
          <w:spacing w:val="-3"/>
          <w:sz w:val="21"/>
        </w:rPr>
        <w:t>耐火极限判定准则</w:t>
      </w:r>
      <w:r>
        <w:rPr>
          <w:sz w:val="21"/>
        </w:rPr>
        <w:t xml:space="preserve"> </w:t>
      </w:r>
    </w:p>
    <w:p w14:paraId="3B51B7F7" w14:textId="77777777" w:rsidR="00A71EEF" w:rsidRDefault="00A71EEF">
      <w:pPr>
        <w:pStyle w:val="a3"/>
        <w:spacing w:before="2"/>
        <w:rPr>
          <w:sz w:val="18"/>
        </w:rPr>
      </w:pPr>
    </w:p>
    <w:p w14:paraId="490B59C5" w14:textId="77777777" w:rsidR="00A71EEF" w:rsidRDefault="0081115D">
      <w:pPr>
        <w:pStyle w:val="a4"/>
        <w:numPr>
          <w:ilvl w:val="3"/>
          <w:numId w:val="504"/>
        </w:numPr>
        <w:tabs>
          <w:tab w:val="left" w:pos="1682"/>
        </w:tabs>
        <w:rPr>
          <w:sz w:val="21"/>
        </w:rPr>
      </w:pPr>
      <w:r>
        <w:rPr>
          <w:spacing w:val="-3"/>
          <w:sz w:val="21"/>
        </w:rPr>
        <w:t>耐火极性判定</w:t>
      </w:r>
      <w:r>
        <w:rPr>
          <w:spacing w:val="-3"/>
          <w:sz w:val="21"/>
        </w:rPr>
        <w:t xml:space="preserve"> </w:t>
      </w:r>
    </w:p>
    <w:p w14:paraId="537FA8A4" w14:textId="77777777" w:rsidR="00A71EEF" w:rsidRDefault="00A71EEF">
      <w:pPr>
        <w:pStyle w:val="a3"/>
        <w:rPr>
          <w:sz w:val="18"/>
        </w:rPr>
      </w:pPr>
    </w:p>
    <w:p w14:paraId="63757FC1" w14:textId="77777777" w:rsidR="00A71EEF" w:rsidRDefault="0081115D">
      <w:pPr>
        <w:pStyle w:val="a3"/>
        <w:spacing w:line="446" w:lineRule="auto"/>
        <w:ind w:left="418" w:right="1611" w:firstLine="419"/>
        <w:jc w:val="both"/>
      </w:pPr>
      <w:r>
        <w:rPr>
          <w:spacing w:val="-10"/>
        </w:rPr>
        <w:t>试验中出现</w:t>
      </w:r>
      <w:r>
        <w:rPr>
          <w:spacing w:val="-10"/>
        </w:rPr>
        <w:t xml:space="preserve"> </w:t>
      </w:r>
      <w:r>
        <w:t>6.16.7.2</w:t>
      </w:r>
      <w:r>
        <w:rPr>
          <w:spacing w:val="-31"/>
        </w:rPr>
        <w:t xml:space="preserve"> </w:t>
      </w:r>
      <w:r>
        <w:rPr>
          <w:spacing w:val="-31"/>
        </w:rPr>
        <w:t>和</w:t>
      </w:r>
      <w:r>
        <w:rPr>
          <w:spacing w:val="-31"/>
        </w:rPr>
        <w:t xml:space="preserve"> </w:t>
      </w:r>
      <w:r>
        <w:t>6.16.7.3</w:t>
      </w:r>
      <w:r>
        <w:rPr>
          <w:spacing w:val="-9"/>
        </w:rPr>
        <w:t xml:space="preserve"> </w:t>
      </w:r>
      <w:r>
        <w:rPr>
          <w:spacing w:val="-9"/>
        </w:rPr>
        <w:t>中规定的完整性丧失或失去隔热性的任何一项时，即表</w:t>
      </w:r>
      <w:r>
        <w:rPr>
          <w:spacing w:val="-5"/>
        </w:rPr>
        <w:t>明该防火封堵材料的完整性或隔热性已达到极限状态，所记录的时间即为该防火封堵材料的完</w:t>
      </w:r>
      <w:r>
        <w:rPr>
          <w:spacing w:val="-3"/>
        </w:rPr>
        <w:t>整性丧失或失去隔热性的极限耐火时间。</w:t>
      </w:r>
      <w:r>
        <w:t xml:space="preserve"> </w:t>
      </w:r>
    </w:p>
    <w:p w14:paraId="2DB309B3" w14:textId="77777777" w:rsidR="00A71EEF" w:rsidRDefault="0081115D">
      <w:pPr>
        <w:pStyle w:val="a4"/>
        <w:numPr>
          <w:ilvl w:val="3"/>
          <w:numId w:val="504"/>
        </w:numPr>
        <w:tabs>
          <w:tab w:val="left" w:pos="1682"/>
        </w:tabs>
        <w:spacing w:line="268" w:lineRule="exact"/>
        <w:rPr>
          <w:sz w:val="21"/>
        </w:rPr>
      </w:pPr>
      <w:r>
        <w:rPr>
          <w:spacing w:val="-3"/>
          <w:sz w:val="21"/>
        </w:rPr>
        <w:t>完整性丧失</w:t>
      </w:r>
      <w:r>
        <w:rPr>
          <w:spacing w:val="-3"/>
          <w:sz w:val="21"/>
        </w:rPr>
        <w:t xml:space="preserve"> </w:t>
      </w:r>
    </w:p>
    <w:p w14:paraId="4887D1CC" w14:textId="77777777" w:rsidR="00A71EEF" w:rsidRDefault="00A71EEF">
      <w:pPr>
        <w:pStyle w:val="a3"/>
        <w:spacing w:before="12"/>
        <w:rPr>
          <w:sz w:val="17"/>
        </w:rPr>
      </w:pPr>
    </w:p>
    <w:p w14:paraId="1D885AAD" w14:textId="77777777" w:rsidR="00A71EEF" w:rsidRDefault="0081115D">
      <w:pPr>
        <w:pStyle w:val="a3"/>
        <w:spacing w:line="446" w:lineRule="auto"/>
        <w:ind w:left="838" w:right="4501"/>
      </w:pPr>
      <w:r>
        <w:t>完整性丧失的特征是，在试件的背火面有如下现象出现：</w:t>
      </w:r>
      <w:r>
        <w:t xml:space="preserve"> a) </w:t>
      </w:r>
      <w:r>
        <w:t>点燃棉垫；</w:t>
      </w:r>
      <w:r>
        <w:t xml:space="preserve"> </w:t>
      </w:r>
    </w:p>
    <w:p w14:paraId="130B50FA" w14:textId="77777777" w:rsidR="00A71EEF" w:rsidRDefault="0081115D">
      <w:pPr>
        <w:pStyle w:val="a3"/>
        <w:spacing w:line="446" w:lineRule="auto"/>
        <w:ind w:left="838" w:right="6969"/>
      </w:pPr>
      <w:r>
        <w:t xml:space="preserve">b) </w:t>
      </w:r>
      <w:r>
        <w:t>有连续</w:t>
      </w:r>
      <w:r>
        <w:t xml:space="preserve"> 10s </w:t>
      </w:r>
      <w:r>
        <w:t>的火焰穿出。</w:t>
      </w:r>
      <w:r>
        <w:t xml:space="preserve">6.16.7.3 </w:t>
      </w:r>
      <w:r>
        <w:t>失去隔热性</w:t>
      </w:r>
      <w:r>
        <w:t xml:space="preserve"> </w:t>
      </w:r>
    </w:p>
    <w:p w14:paraId="342E4E27" w14:textId="77777777" w:rsidR="00A71EEF" w:rsidRDefault="0081115D">
      <w:pPr>
        <w:pStyle w:val="a3"/>
        <w:spacing w:line="446" w:lineRule="auto"/>
        <w:ind w:left="838" w:right="4501"/>
        <w:rPr>
          <w:b/>
        </w:rPr>
      </w:pPr>
      <w:r>
        <w:t>隔热性丧失的特征是，在试件的背火面有如下现象出现：</w:t>
      </w:r>
      <w:r>
        <w:t xml:space="preserve"> a) </w:t>
      </w:r>
      <w:r>
        <w:t>被检试样背火面任何一点温升达到</w:t>
      </w:r>
      <w:r>
        <w:t xml:space="preserve"> 180°C</w:t>
      </w:r>
      <w:r>
        <w:t>；</w:t>
      </w:r>
      <w:r>
        <w:rPr>
          <w:b/>
          <w:w w:val="99"/>
        </w:rPr>
        <w:t xml:space="preserve"> </w:t>
      </w:r>
    </w:p>
    <w:p w14:paraId="6F790502" w14:textId="77777777" w:rsidR="00A71EEF" w:rsidRDefault="0081115D">
      <w:pPr>
        <w:pStyle w:val="a4"/>
        <w:numPr>
          <w:ilvl w:val="0"/>
          <w:numId w:val="503"/>
        </w:numPr>
        <w:tabs>
          <w:tab w:val="left" w:pos="1051"/>
        </w:tabs>
        <w:spacing w:line="267" w:lineRule="exact"/>
        <w:rPr>
          <w:b/>
          <w:sz w:val="21"/>
        </w:rPr>
      </w:pPr>
      <w:r>
        <w:rPr>
          <w:spacing w:val="-7"/>
          <w:sz w:val="21"/>
        </w:rPr>
        <w:t>任何贯穿物背火端距封堵材料</w:t>
      </w:r>
      <w:r>
        <w:rPr>
          <w:spacing w:val="-7"/>
          <w:sz w:val="21"/>
        </w:rPr>
        <w:t xml:space="preserve"> </w:t>
      </w:r>
      <w:r>
        <w:rPr>
          <w:sz w:val="21"/>
        </w:rPr>
        <w:t>25mm</w:t>
      </w:r>
      <w:r>
        <w:rPr>
          <w:spacing w:val="-15"/>
          <w:sz w:val="21"/>
        </w:rPr>
        <w:t xml:space="preserve"> </w:t>
      </w:r>
      <w:r>
        <w:rPr>
          <w:spacing w:val="-15"/>
          <w:sz w:val="21"/>
        </w:rPr>
        <w:t>处表面温升达到</w:t>
      </w:r>
      <w:r>
        <w:rPr>
          <w:spacing w:val="-15"/>
          <w:sz w:val="21"/>
        </w:rPr>
        <w:t xml:space="preserve"> </w:t>
      </w:r>
      <w:r>
        <w:rPr>
          <w:sz w:val="21"/>
        </w:rPr>
        <w:t>180°C</w:t>
      </w:r>
      <w:r>
        <w:rPr>
          <w:spacing w:val="-1"/>
          <w:sz w:val="21"/>
        </w:rPr>
        <w:t xml:space="preserve"> </w:t>
      </w:r>
      <w:r>
        <w:rPr>
          <w:spacing w:val="-1"/>
          <w:sz w:val="21"/>
        </w:rPr>
        <w:t>；</w:t>
      </w:r>
      <w:r>
        <w:rPr>
          <w:b/>
          <w:w w:val="99"/>
          <w:sz w:val="21"/>
        </w:rPr>
        <w:t xml:space="preserve"> </w:t>
      </w:r>
    </w:p>
    <w:p w14:paraId="10C20B93" w14:textId="77777777" w:rsidR="00A71EEF" w:rsidRDefault="00A71EEF">
      <w:pPr>
        <w:pStyle w:val="a3"/>
        <w:spacing w:before="2"/>
        <w:rPr>
          <w:b/>
          <w:sz w:val="18"/>
        </w:rPr>
      </w:pPr>
    </w:p>
    <w:p w14:paraId="7F42C4F7" w14:textId="77777777" w:rsidR="00A71EEF" w:rsidRDefault="0081115D">
      <w:pPr>
        <w:pStyle w:val="a4"/>
        <w:numPr>
          <w:ilvl w:val="0"/>
          <w:numId w:val="503"/>
        </w:numPr>
        <w:tabs>
          <w:tab w:val="left" w:pos="1051"/>
        </w:tabs>
        <w:spacing w:line="446" w:lineRule="auto"/>
        <w:ind w:left="840" w:right="5235" w:hanging="3"/>
        <w:rPr>
          <w:sz w:val="21"/>
        </w:rPr>
      </w:pPr>
      <w:r>
        <w:rPr>
          <w:spacing w:val="-6"/>
          <w:sz w:val="21"/>
        </w:rPr>
        <w:t>背火面框架表面任何一点温升达到</w:t>
      </w:r>
      <w:r>
        <w:rPr>
          <w:spacing w:val="-6"/>
          <w:sz w:val="21"/>
        </w:rPr>
        <w:t xml:space="preserve"> </w:t>
      </w:r>
      <w:r>
        <w:rPr>
          <w:sz w:val="21"/>
        </w:rPr>
        <w:t>180°C</w:t>
      </w:r>
      <w:r>
        <w:rPr>
          <w:spacing w:val="-3"/>
          <w:sz w:val="21"/>
        </w:rPr>
        <w:t>。</w:t>
      </w:r>
      <w:r>
        <w:rPr>
          <w:b/>
          <w:sz w:val="21"/>
        </w:rPr>
        <w:t xml:space="preserve">6.16.8 </w:t>
      </w:r>
      <w:r>
        <w:rPr>
          <w:spacing w:val="-3"/>
          <w:sz w:val="21"/>
        </w:rPr>
        <w:t>耐火性能的表示</w:t>
      </w:r>
      <w:r>
        <w:rPr>
          <w:sz w:val="21"/>
        </w:rPr>
        <w:t xml:space="preserve"> </w:t>
      </w:r>
    </w:p>
    <w:p w14:paraId="3F8B2B45" w14:textId="77777777" w:rsidR="00A71EEF" w:rsidRDefault="0081115D">
      <w:pPr>
        <w:pStyle w:val="a3"/>
        <w:spacing w:line="446" w:lineRule="auto"/>
        <w:ind w:left="840" w:right="3239" w:hanging="3"/>
      </w:pPr>
      <w:r>
        <w:t>以试件的极限耐火时间表示防火封堵材料的耐火性能，精确至</w:t>
      </w:r>
      <w:r>
        <w:t xml:space="preserve"> 0.01h</w:t>
      </w:r>
      <w:r>
        <w:t>。</w:t>
      </w:r>
      <w:r>
        <w:rPr>
          <w:b/>
        </w:rPr>
        <w:t xml:space="preserve">6.16.9 </w:t>
      </w:r>
      <w:r>
        <w:t>耐火极限的修正</w:t>
      </w:r>
      <w:r>
        <w:t xml:space="preserve"> </w:t>
      </w:r>
    </w:p>
    <w:p w14:paraId="5907D380" w14:textId="77777777" w:rsidR="00A71EEF" w:rsidRDefault="0081115D">
      <w:pPr>
        <w:pStyle w:val="a3"/>
        <w:spacing w:after="8" w:line="446" w:lineRule="auto"/>
        <w:ind w:left="418" w:right="1506" w:firstLine="419"/>
      </w:pPr>
      <w:r>
        <w:rPr>
          <w:spacing w:val="-3"/>
        </w:rPr>
        <w:t>如果试验过程中因异常情况炉内温度超过规定的允许偏差，应根据炉内的升温情况对实际</w:t>
      </w:r>
      <w:r>
        <w:rPr>
          <w:spacing w:val="-5"/>
        </w:rPr>
        <w:t>耐火时间进行修正。其修正值为实际耐火时间的前</w:t>
      </w:r>
      <w:r>
        <w:rPr>
          <w:spacing w:val="-5"/>
        </w:rPr>
        <w:t xml:space="preserve"> </w:t>
      </w:r>
      <w:r>
        <w:t>3/4</w:t>
      </w:r>
      <w:r>
        <w:rPr>
          <w:spacing w:val="-8"/>
        </w:rPr>
        <w:t xml:space="preserve"> </w:t>
      </w:r>
      <w:r>
        <w:rPr>
          <w:spacing w:val="-8"/>
        </w:rPr>
        <w:t>时间内的实际炉温曲线与相应时间的标</w:t>
      </w:r>
      <w:r>
        <w:rPr>
          <w:spacing w:val="-9"/>
        </w:rPr>
        <w:t>准温度曲线的面积差的</w:t>
      </w:r>
      <w:r>
        <w:rPr>
          <w:spacing w:val="-9"/>
        </w:rPr>
        <w:t xml:space="preserve"> </w:t>
      </w:r>
      <w:r>
        <w:t>2/3</w:t>
      </w:r>
      <w:r>
        <w:rPr>
          <w:spacing w:val="-10"/>
        </w:rPr>
        <w:t xml:space="preserve"> </w:t>
      </w:r>
      <w:r>
        <w:rPr>
          <w:spacing w:val="-10"/>
        </w:rPr>
        <w:t>乘以实际耐火时间，它们的积除以实际耐火时间的前</w:t>
      </w:r>
      <w:r>
        <w:rPr>
          <w:spacing w:val="-10"/>
        </w:rPr>
        <w:t xml:space="preserve"> </w:t>
      </w:r>
      <w:r>
        <w:t>3/4</w:t>
      </w:r>
      <w:r>
        <w:rPr>
          <w:spacing w:val="-12"/>
        </w:rPr>
        <w:t xml:space="preserve"> </w:t>
      </w:r>
      <w:r>
        <w:rPr>
          <w:spacing w:val="-12"/>
        </w:rPr>
        <w:t>时间内的</w:t>
      </w:r>
      <w:r>
        <w:rPr>
          <w:spacing w:val="-3"/>
        </w:rPr>
        <w:t>标准温度曲线下的面</w:t>
      </w:r>
      <w:r>
        <w:rPr>
          <w:spacing w:val="-3"/>
        </w:rPr>
        <w:t xml:space="preserve"> </w:t>
      </w:r>
      <w:r>
        <w:rPr>
          <w:spacing w:val="-3"/>
        </w:rPr>
        <w:t>积。如果实际炉温超过标准炉温，调整时间为增加，反之减少。修正公式如下：</w:t>
      </w:r>
      <w:r>
        <w:t xml:space="preserve"> </w:t>
      </w:r>
    </w:p>
    <w:p w14:paraId="1C49C2BF" w14:textId="77777777" w:rsidR="00A71EEF" w:rsidRDefault="0081115D">
      <w:pPr>
        <w:pStyle w:val="a3"/>
        <w:ind w:left="838"/>
        <w:rPr>
          <w:sz w:val="20"/>
        </w:rPr>
      </w:pPr>
      <w:r>
        <w:rPr>
          <w:noProof/>
          <w:sz w:val="20"/>
        </w:rPr>
        <w:drawing>
          <wp:inline distT="0" distB="0" distL="0" distR="0" wp14:anchorId="1CDF6EEB" wp14:editId="42AEF634">
            <wp:extent cx="4705350" cy="352425"/>
            <wp:effectExtent l="0" t="0" r="0" b="0"/>
            <wp:docPr id="425" name="image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image250.png"/>
                    <pic:cNvPicPr/>
                  </pic:nvPicPr>
                  <pic:blipFill>
                    <a:blip r:embed="rId297" cstate="print"/>
                    <a:stretch>
                      <a:fillRect/>
                    </a:stretch>
                  </pic:blipFill>
                  <pic:spPr>
                    <a:xfrm>
                      <a:off x="0" y="0"/>
                      <a:ext cx="4705350" cy="352425"/>
                    </a:xfrm>
                    <a:prstGeom prst="rect">
                      <a:avLst/>
                    </a:prstGeom>
                  </pic:spPr>
                </pic:pic>
              </a:graphicData>
            </a:graphic>
          </wp:inline>
        </w:drawing>
      </w:r>
    </w:p>
    <w:p w14:paraId="54C0ECC8" w14:textId="77777777" w:rsidR="00A71EEF" w:rsidRDefault="00A71EEF">
      <w:pPr>
        <w:pStyle w:val="a3"/>
        <w:rPr>
          <w:sz w:val="20"/>
        </w:rPr>
      </w:pPr>
    </w:p>
    <w:p w14:paraId="084894DE" w14:textId="77777777" w:rsidR="00A71EEF" w:rsidRDefault="00A71EEF">
      <w:pPr>
        <w:pStyle w:val="a3"/>
        <w:rPr>
          <w:sz w:val="20"/>
        </w:rPr>
      </w:pPr>
    </w:p>
    <w:p w14:paraId="6383C4D0" w14:textId="77777777" w:rsidR="00A71EEF" w:rsidRDefault="0081115D">
      <w:pPr>
        <w:pStyle w:val="a3"/>
        <w:spacing w:before="171"/>
        <w:ind w:left="838"/>
      </w:pPr>
      <w:r>
        <w:rPr>
          <w:spacing w:val="34"/>
        </w:rPr>
        <w:t>式中</w:t>
      </w:r>
      <w:r>
        <w:rPr>
          <w:spacing w:val="34"/>
        </w:rPr>
        <w:t xml:space="preserve"> </w:t>
      </w:r>
      <w:r>
        <w:rPr>
          <w:i/>
          <w:sz w:val="22"/>
        </w:rPr>
        <w:t>C</w:t>
      </w:r>
      <w:r>
        <w:t>——</w:t>
      </w:r>
      <w:r>
        <w:rPr>
          <w:i/>
          <w:sz w:val="22"/>
        </w:rPr>
        <w:t>I</w:t>
      </w:r>
      <w:r>
        <w:rPr>
          <w:i/>
          <w:spacing w:val="-60"/>
          <w:sz w:val="22"/>
        </w:rPr>
        <w:t xml:space="preserve"> </w:t>
      </w:r>
      <w:r>
        <w:rPr>
          <w:spacing w:val="-3"/>
        </w:rPr>
        <w:t>的等时段修正值，单位为分</w:t>
      </w:r>
      <w:r>
        <w:rPr>
          <w:spacing w:val="-3"/>
        </w:rPr>
        <w:t>(</w:t>
      </w:r>
      <w:r>
        <w:t>min);</w:t>
      </w:r>
      <w:r>
        <w:t>；</w:t>
      </w:r>
      <w:r>
        <w:t xml:space="preserve"> </w:t>
      </w:r>
    </w:p>
    <w:p w14:paraId="51225A4B" w14:textId="77777777" w:rsidR="00A71EEF" w:rsidRDefault="00A71EEF">
      <w:pPr>
        <w:pStyle w:val="a3"/>
        <w:spacing w:before="12"/>
        <w:rPr>
          <w:sz w:val="16"/>
        </w:rPr>
      </w:pPr>
    </w:p>
    <w:p w14:paraId="2DEEDD51" w14:textId="77777777" w:rsidR="00A71EEF" w:rsidRDefault="0081115D">
      <w:pPr>
        <w:pStyle w:val="a3"/>
        <w:ind w:left="838"/>
      </w:pPr>
      <w:r>
        <w:t xml:space="preserve"> </w:t>
      </w:r>
      <w:r>
        <w:t xml:space="preserve"> </w:t>
      </w:r>
      <w:r>
        <w:t xml:space="preserve">    </w:t>
      </w:r>
      <w:r>
        <w:rPr>
          <w:i/>
          <w:sz w:val="22"/>
        </w:rPr>
        <w:t>I</w:t>
      </w:r>
      <w:r>
        <w:t>——</w:t>
      </w:r>
      <w:r>
        <w:t>实际耐火时间，单位为分</w:t>
      </w:r>
      <w:r>
        <w:t>(min)</w:t>
      </w:r>
      <w:r>
        <w:t>；</w:t>
      </w:r>
      <w:r>
        <w:t xml:space="preserve"> </w:t>
      </w:r>
    </w:p>
    <w:p w14:paraId="3FAD3FBF" w14:textId="77777777" w:rsidR="00A71EEF" w:rsidRDefault="00A71EEF">
      <w:pPr>
        <w:sectPr w:rsidR="00A71EEF">
          <w:pgSz w:w="11910" w:h="16850"/>
          <w:pgMar w:top="1220" w:right="0" w:bottom="1420" w:left="1260" w:header="0" w:footer="1239" w:gutter="0"/>
          <w:cols w:space="720"/>
        </w:sectPr>
      </w:pPr>
    </w:p>
    <w:p w14:paraId="74735BA0" w14:textId="77777777" w:rsidR="00A71EEF" w:rsidRDefault="0081115D">
      <w:pPr>
        <w:pStyle w:val="a3"/>
        <w:spacing w:before="57"/>
        <w:ind w:left="1469"/>
      </w:pPr>
      <w:r>
        <w:rPr>
          <w:i/>
          <w:sz w:val="22"/>
        </w:rPr>
        <w:t>A</w:t>
      </w:r>
      <w:r>
        <w:rPr>
          <w:spacing w:val="-14"/>
        </w:rPr>
        <w:t>——</w:t>
      </w:r>
      <w:r>
        <w:rPr>
          <w:spacing w:val="-14"/>
        </w:rPr>
        <w:t>前</w:t>
      </w:r>
      <w:r>
        <w:rPr>
          <w:spacing w:val="-14"/>
        </w:rPr>
        <w:t xml:space="preserve"> </w:t>
      </w:r>
      <w:r>
        <w:t>3/4</w:t>
      </w:r>
      <w:r>
        <w:rPr>
          <w:i/>
          <w:sz w:val="22"/>
        </w:rPr>
        <w:t>I</w:t>
      </w:r>
      <w:r>
        <w:rPr>
          <w:i/>
          <w:spacing w:val="-58"/>
          <w:sz w:val="22"/>
        </w:rPr>
        <w:t xml:space="preserve"> </w:t>
      </w:r>
      <w:r>
        <w:rPr>
          <w:spacing w:val="-3"/>
        </w:rPr>
        <w:t>的实际炉温曲线下的面积；</w:t>
      </w:r>
      <w:r>
        <w:t xml:space="preserve"> </w:t>
      </w:r>
    </w:p>
    <w:p w14:paraId="088EEFC8" w14:textId="77777777" w:rsidR="00A71EEF" w:rsidRDefault="00A71EEF">
      <w:pPr>
        <w:pStyle w:val="a3"/>
        <w:rPr>
          <w:sz w:val="17"/>
        </w:rPr>
      </w:pPr>
    </w:p>
    <w:p w14:paraId="6E91796F" w14:textId="77777777" w:rsidR="00A71EEF" w:rsidRDefault="0081115D">
      <w:pPr>
        <w:spacing w:line="434" w:lineRule="auto"/>
        <w:ind w:left="840" w:right="4707" w:firstLine="628"/>
        <w:rPr>
          <w:sz w:val="21"/>
        </w:rPr>
      </w:pPr>
      <w:r>
        <w:rPr>
          <w:i/>
          <w:position w:val="1"/>
        </w:rPr>
        <w:t>A</w:t>
      </w:r>
      <w:r>
        <w:rPr>
          <w:sz w:val="11"/>
        </w:rPr>
        <w:t>s</w:t>
      </w:r>
      <w:r>
        <w:rPr>
          <w:position w:val="1"/>
          <w:sz w:val="21"/>
        </w:rPr>
        <w:t>——</w:t>
      </w:r>
      <w:r>
        <w:rPr>
          <w:position w:val="1"/>
          <w:sz w:val="21"/>
        </w:rPr>
        <w:t>与</w:t>
      </w:r>
      <w:r>
        <w:rPr>
          <w:position w:val="1"/>
          <w:sz w:val="21"/>
        </w:rPr>
        <w:t xml:space="preserve"> A </w:t>
      </w:r>
      <w:r>
        <w:rPr>
          <w:position w:val="1"/>
          <w:sz w:val="21"/>
        </w:rPr>
        <w:t>相同时段内标准炉温曲线下的面积。</w:t>
      </w:r>
      <w:r>
        <w:rPr>
          <w:b/>
          <w:sz w:val="21"/>
        </w:rPr>
        <w:t xml:space="preserve">6.16.10 </w:t>
      </w:r>
      <w:r>
        <w:rPr>
          <w:sz w:val="21"/>
        </w:rPr>
        <w:t>耐火性能试验结果的应用</w:t>
      </w:r>
      <w:r>
        <w:rPr>
          <w:sz w:val="21"/>
        </w:rPr>
        <w:t xml:space="preserve"> </w:t>
      </w:r>
    </w:p>
    <w:p w14:paraId="5DEC96DA" w14:textId="77777777" w:rsidR="00A71EEF" w:rsidRDefault="0081115D">
      <w:pPr>
        <w:pStyle w:val="a3"/>
        <w:spacing w:before="14"/>
        <w:ind w:left="838"/>
      </w:pPr>
      <w:r>
        <w:t>耐火性能试验结果的应用参照附录</w:t>
      </w:r>
      <w:r>
        <w:t xml:space="preserve"> B</w:t>
      </w:r>
      <w:r>
        <w:t>。</w:t>
      </w:r>
      <w:r>
        <w:t xml:space="preserve"> </w:t>
      </w:r>
    </w:p>
    <w:p w14:paraId="58640907" w14:textId="77777777" w:rsidR="00A71EEF" w:rsidRDefault="00A71EEF">
      <w:pPr>
        <w:pStyle w:val="a3"/>
        <w:spacing w:before="8"/>
        <w:rPr>
          <w:sz w:val="15"/>
        </w:rPr>
      </w:pPr>
    </w:p>
    <w:p w14:paraId="10BB3799" w14:textId="77777777" w:rsidR="00A71EEF" w:rsidRDefault="0081115D">
      <w:pPr>
        <w:pStyle w:val="4"/>
      </w:pPr>
      <w:r>
        <w:t xml:space="preserve">7 </w:t>
      </w:r>
      <w:r>
        <w:t>检验规则</w:t>
      </w:r>
      <w:r>
        <w:rPr>
          <w:w w:val="99"/>
        </w:rPr>
        <w:t xml:space="preserve"> </w:t>
      </w:r>
    </w:p>
    <w:p w14:paraId="7950AB31" w14:textId="77777777" w:rsidR="00A71EEF" w:rsidRDefault="00A71EEF">
      <w:pPr>
        <w:pStyle w:val="a3"/>
        <w:spacing w:before="3"/>
        <w:rPr>
          <w:b/>
          <w:sz w:val="17"/>
        </w:rPr>
      </w:pPr>
    </w:p>
    <w:p w14:paraId="26C46300" w14:textId="77777777" w:rsidR="00A71EEF" w:rsidRDefault="0081115D">
      <w:pPr>
        <w:pStyle w:val="a4"/>
        <w:numPr>
          <w:ilvl w:val="1"/>
          <w:numId w:val="502"/>
        </w:numPr>
        <w:tabs>
          <w:tab w:val="left" w:pos="1160"/>
        </w:tabs>
        <w:spacing w:before="1"/>
        <w:rPr>
          <w:sz w:val="21"/>
        </w:rPr>
      </w:pPr>
      <w:r>
        <w:rPr>
          <w:spacing w:val="-3"/>
          <w:sz w:val="21"/>
        </w:rPr>
        <w:t>本标准规定的耐火性能、燃烧性能及所有的理化性能技术指标均为形式检验项目。</w:t>
      </w:r>
      <w:r>
        <w:rPr>
          <w:sz w:val="21"/>
        </w:rPr>
        <w:t xml:space="preserve"> </w:t>
      </w:r>
    </w:p>
    <w:p w14:paraId="5716B590" w14:textId="77777777" w:rsidR="00A71EEF" w:rsidRDefault="00A71EEF">
      <w:pPr>
        <w:pStyle w:val="a3"/>
        <w:spacing w:before="1"/>
        <w:rPr>
          <w:sz w:val="18"/>
        </w:rPr>
      </w:pPr>
    </w:p>
    <w:p w14:paraId="1D4048DB" w14:textId="77777777" w:rsidR="00A71EEF" w:rsidRDefault="0081115D">
      <w:pPr>
        <w:pStyle w:val="a4"/>
        <w:numPr>
          <w:ilvl w:val="1"/>
          <w:numId w:val="502"/>
        </w:numPr>
        <w:tabs>
          <w:tab w:val="left" w:pos="1159"/>
        </w:tabs>
        <w:spacing w:before="1" w:line="446" w:lineRule="auto"/>
        <w:ind w:left="838" w:right="5283" w:firstLine="2"/>
        <w:rPr>
          <w:b/>
          <w:sz w:val="21"/>
        </w:rPr>
      </w:pPr>
      <w:r>
        <w:rPr>
          <w:spacing w:val="-3"/>
          <w:sz w:val="21"/>
        </w:rPr>
        <w:t>有下列情形之一时，产品应进行形式检验：</w:t>
      </w:r>
      <w:r>
        <w:rPr>
          <w:spacing w:val="-3"/>
          <w:sz w:val="21"/>
        </w:rPr>
        <w:t xml:space="preserve"> </w:t>
      </w:r>
      <w:r>
        <w:rPr>
          <w:sz w:val="21"/>
        </w:rPr>
        <w:t>a)</w:t>
      </w:r>
      <w:r>
        <w:rPr>
          <w:spacing w:val="-3"/>
          <w:sz w:val="21"/>
        </w:rPr>
        <w:t xml:space="preserve"> </w:t>
      </w:r>
      <w:r>
        <w:rPr>
          <w:spacing w:val="-3"/>
          <w:sz w:val="21"/>
        </w:rPr>
        <w:t>新产品投产或某产品转厂生产的试制鉴定；</w:t>
      </w:r>
      <w:r>
        <w:rPr>
          <w:b/>
          <w:w w:val="99"/>
          <w:sz w:val="21"/>
        </w:rPr>
        <w:t xml:space="preserve"> </w:t>
      </w:r>
    </w:p>
    <w:p w14:paraId="4637B07B" w14:textId="77777777" w:rsidR="00A71EEF" w:rsidRDefault="0081115D">
      <w:pPr>
        <w:pStyle w:val="a4"/>
        <w:numPr>
          <w:ilvl w:val="0"/>
          <w:numId w:val="501"/>
        </w:numPr>
        <w:tabs>
          <w:tab w:val="left" w:pos="1051"/>
        </w:tabs>
        <w:spacing w:line="267" w:lineRule="exact"/>
        <w:rPr>
          <w:b/>
          <w:sz w:val="21"/>
        </w:rPr>
      </w:pPr>
      <w:r>
        <w:rPr>
          <w:spacing w:val="-3"/>
          <w:sz w:val="21"/>
        </w:rPr>
        <w:t>正式生产后，产品的原材料、配方、生产工艺有较大改变时或正常生产满三年时；</w:t>
      </w:r>
      <w:r>
        <w:rPr>
          <w:b/>
          <w:w w:val="99"/>
          <w:sz w:val="21"/>
        </w:rPr>
        <w:t xml:space="preserve"> </w:t>
      </w:r>
    </w:p>
    <w:p w14:paraId="617A3DFE" w14:textId="77777777" w:rsidR="00A71EEF" w:rsidRDefault="00A71EEF">
      <w:pPr>
        <w:pStyle w:val="a3"/>
        <w:spacing w:before="1"/>
        <w:rPr>
          <w:b/>
          <w:sz w:val="18"/>
        </w:rPr>
      </w:pPr>
    </w:p>
    <w:p w14:paraId="29A914EA" w14:textId="77777777" w:rsidR="00A71EEF" w:rsidRDefault="0081115D">
      <w:pPr>
        <w:pStyle w:val="a4"/>
        <w:numPr>
          <w:ilvl w:val="0"/>
          <w:numId w:val="501"/>
        </w:numPr>
        <w:tabs>
          <w:tab w:val="left" w:pos="1051"/>
        </w:tabs>
        <w:rPr>
          <w:b/>
          <w:sz w:val="21"/>
        </w:rPr>
      </w:pPr>
      <w:r>
        <w:rPr>
          <w:spacing w:val="-3"/>
          <w:sz w:val="21"/>
        </w:rPr>
        <w:t>产品停产一年以上，恢复生产时；</w:t>
      </w:r>
      <w:r>
        <w:rPr>
          <w:b/>
          <w:w w:val="99"/>
          <w:sz w:val="21"/>
        </w:rPr>
        <w:t xml:space="preserve"> </w:t>
      </w:r>
    </w:p>
    <w:p w14:paraId="56940E1A" w14:textId="77777777" w:rsidR="00A71EEF" w:rsidRDefault="00A71EEF">
      <w:pPr>
        <w:pStyle w:val="a3"/>
        <w:rPr>
          <w:b/>
          <w:sz w:val="18"/>
        </w:rPr>
      </w:pPr>
    </w:p>
    <w:p w14:paraId="08EDE506" w14:textId="77777777" w:rsidR="00A71EEF" w:rsidRDefault="0081115D">
      <w:pPr>
        <w:pStyle w:val="a4"/>
        <w:numPr>
          <w:ilvl w:val="0"/>
          <w:numId w:val="501"/>
        </w:numPr>
        <w:tabs>
          <w:tab w:val="left" w:pos="1051"/>
        </w:tabs>
        <w:rPr>
          <w:b/>
          <w:sz w:val="21"/>
        </w:rPr>
      </w:pPr>
      <w:r>
        <w:rPr>
          <w:spacing w:val="-3"/>
          <w:sz w:val="21"/>
        </w:rPr>
        <w:t>出厂检验结果与上次形式检验有较大差异时；</w:t>
      </w:r>
      <w:r>
        <w:rPr>
          <w:b/>
          <w:w w:val="99"/>
          <w:sz w:val="21"/>
        </w:rPr>
        <w:t xml:space="preserve"> </w:t>
      </w:r>
    </w:p>
    <w:p w14:paraId="2977C809" w14:textId="77777777" w:rsidR="00A71EEF" w:rsidRDefault="00A71EEF">
      <w:pPr>
        <w:pStyle w:val="a3"/>
        <w:spacing w:before="12"/>
        <w:rPr>
          <w:b/>
          <w:sz w:val="17"/>
        </w:rPr>
      </w:pPr>
    </w:p>
    <w:p w14:paraId="7341C53A" w14:textId="77777777" w:rsidR="00A71EEF" w:rsidRDefault="0081115D">
      <w:pPr>
        <w:pStyle w:val="a4"/>
        <w:numPr>
          <w:ilvl w:val="1"/>
          <w:numId w:val="502"/>
        </w:numPr>
        <w:tabs>
          <w:tab w:val="left" w:pos="1159"/>
        </w:tabs>
        <w:spacing w:line="446" w:lineRule="auto"/>
        <w:ind w:left="418" w:right="1498" w:firstLine="422"/>
        <w:rPr>
          <w:sz w:val="21"/>
        </w:rPr>
      </w:pPr>
      <w:r>
        <w:rPr>
          <w:spacing w:val="-3"/>
          <w:sz w:val="21"/>
        </w:rPr>
        <w:t>本标准中所规定的外观、表观密度、初凝时间、抗跌落性、膨胀性能、耐水性、耐油性、耐碱性、燃烧性能等为出厂检验项目。</w:t>
      </w:r>
      <w:r>
        <w:rPr>
          <w:sz w:val="21"/>
        </w:rPr>
        <w:t xml:space="preserve"> </w:t>
      </w:r>
    </w:p>
    <w:p w14:paraId="3D38389B" w14:textId="77777777" w:rsidR="00A71EEF" w:rsidRDefault="0081115D">
      <w:pPr>
        <w:pStyle w:val="4"/>
        <w:spacing w:line="278" w:lineRule="exact"/>
      </w:pPr>
      <w:r>
        <w:t xml:space="preserve">8 </w:t>
      </w:r>
      <w:r>
        <w:t>综合判定准则</w:t>
      </w:r>
      <w:r>
        <w:rPr>
          <w:w w:val="99"/>
        </w:rPr>
        <w:t xml:space="preserve"> </w:t>
      </w:r>
    </w:p>
    <w:p w14:paraId="30E079F0" w14:textId="77777777" w:rsidR="00A71EEF" w:rsidRDefault="00A71EEF">
      <w:pPr>
        <w:pStyle w:val="a3"/>
        <w:spacing w:before="4"/>
        <w:rPr>
          <w:b/>
          <w:sz w:val="17"/>
        </w:rPr>
      </w:pPr>
    </w:p>
    <w:p w14:paraId="2EB2A7AF" w14:textId="77777777" w:rsidR="00A71EEF" w:rsidRDefault="0081115D">
      <w:pPr>
        <w:pStyle w:val="a4"/>
        <w:numPr>
          <w:ilvl w:val="1"/>
          <w:numId w:val="500"/>
        </w:numPr>
        <w:tabs>
          <w:tab w:val="left" w:pos="1159"/>
        </w:tabs>
        <w:ind w:hanging="319"/>
        <w:rPr>
          <w:b/>
          <w:sz w:val="21"/>
        </w:rPr>
      </w:pPr>
      <w:r>
        <w:rPr>
          <w:spacing w:val="-3"/>
          <w:sz w:val="21"/>
        </w:rPr>
        <w:t>防火封堵材料所需的样品应从批量产品或使用现场随机</w:t>
      </w:r>
      <w:r>
        <w:rPr>
          <w:spacing w:val="-3"/>
          <w:sz w:val="21"/>
        </w:rPr>
        <w:t>抽取</w:t>
      </w:r>
      <w:r>
        <w:rPr>
          <w:b/>
          <w:w w:val="99"/>
          <w:sz w:val="21"/>
        </w:rPr>
        <w:t xml:space="preserve"> </w:t>
      </w:r>
    </w:p>
    <w:p w14:paraId="16D7A098" w14:textId="77777777" w:rsidR="00A71EEF" w:rsidRDefault="00A71EEF">
      <w:pPr>
        <w:pStyle w:val="a3"/>
        <w:spacing w:before="2"/>
        <w:rPr>
          <w:b/>
          <w:sz w:val="18"/>
        </w:rPr>
      </w:pPr>
    </w:p>
    <w:p w14:paraId="6938ADA6" w14:textId="77777777" w:rsidR="00A71EEF" w:rsidRDefault="0081115D">
      <w:pPr>
        <w:pStyle w:val="a4"/>
        <w:numPr>
          <w:ilvl w:val="1"/>
          <w:numId w:val="500"/>
        </w:numPr>
        <w:tabs>
          <w:tab w:val="left" w:pos="1160"/>
        </w:tabs>
        <w:spacing w:line="446" w:lineRule="auto"/>
        <w:ind w:left="418" w:right="1500" w:firstLine="422"/>
        <w:rPr>
          <w:sz w:val="21"/>
        </w:rPr>
      </w:pPr>
      <w:r>
        <w:rPr>
          <w:spacing w:val="-3"/>
          <w:sz w:val="21"/>
        </w:rPr>
        <w:t>防火封堵材料的耐火性能达到某一级</w:t>
      </w:r>
      <w:r>
        <w:rPr>
          <w:sz w:val="21"/>
        </w:rPr>
        <w:t>（</w:t>
      </w:r>
      <w:r>
        <w:rPr>
          <w:sz w:val="21"/>
        </w:rPr>
        <w:t>1h</w:t>
      </w:r>
      <w:r>
        <w:rPr>
          <w:sz w:val="21"/>
        </w:rPr>
        <w:t>、</w:t>
      </w:r>
      <w:r>
        <w:rPr>
          <w:sz w:val="21"/>
        </w:rPr>
        <w:t>2h</w:t>
      </w:r>
      <w:r>
        <w:rPr>
          <w:sz w:val="21"/>
        </w:rPr>
        <w:t>、</w:t>
      </w:r>
      <w:r>
        <w:rPr>
          <w:sz w:val="21"/>
        </w:rPr>
        <w:t>3h</w:t>
      </w:r>
      <w:r>
        <w:rPr>
          <w:spacing w:val="-3"/>
          <w:sz w:val="21"/>
        </w:rPr>
        <w:t>)</w:t>
      </w:r>
      <w:r>
        <w:rPr>
          <w:spacing w:val="-3"/>
          <w:sz w:val="21"/>
        </w:rPr>
        <w:t>的规定要求，且其他各项性能指标均符合标准要求时，该产品被认定为产品质量某一级合格。</w:t>
      </w:r>
      <w:r>
        <w:rPr>
          <w:sz w:val="21"/>
        </w:rPr>
        <w:t xml:space="preserve"> </w:t>
      </w:r>
    </w:p>
    <w:p w14:paraId="3E6AAF9E" w14:textId="77777777" w:rsidR="00A71EEF" w:rsidRDefault="0081115D">
      <w:pPr>
        <w:pStyle w:val="a4"/>
        <w:numPr>
          <w:ilvl w:val="1"/>
          <w:numId w:val="500"/>
        </w:numPr>
        <w:tabs>
          <w:tab w:val="left" w:pos="1160"/>
        </w:tabs>
        <w:spacing w:line="446" w:lineRule="auto"/>
        <w:ind w:left="418" w:right="1505" w:firstLine="422"/>
        <w:rPr>
          <w:sz w:val="21"/>
        </w:rPr>
      </w:pPr>
      <w:r>
        <w:rPr>
          <w:spacing w:val="-3"/>
          <w:sz w:val="21"/>
        </w:rPr>
        <w:t>经检验，诙防火封堵材料除耐火性能和燃烧性能</w:t>
      </w:r>
      <w:r>
        <w:rPr>
          <w:sz w:val="21"/>
        </w:rPr>
        <w:t>（</w:t>
      </w:r>
      <w:r>
        <w:rPr>
          <w:spacing w:val="-11"/>
          <w:sz w:val="21"/>
        </w:rPr>
        <w:t>不合格属</w:t>
      </w:r>
      <w:r>
        <w:rPr>
          <w:spacing w:val="-11"/>
          <w:sz w:val="21"/>
        </w:rPr>
        <w:t xml:space="preserve"> </w:t>
      </w:r>
      <w:r>
        <w:rPr>
          <w:sz w:val="21"/>
        </w:rPr>
        <w:t>A</w:t>
      </w:r>
      <w:r>
        <w:rPr>
          <w:spacing w:val="-6"/>
          <w:sz w:val="21"/>
        </w:rPr>
        <w:t xml:space="preserve"> </w:t>
      </w:r>
      <w:r>
        <w:rPr>
          <w:spacing w:val="-6"/>
          <w:sz w:val="21"/>
        </w:rPr>
        <w:t>类缺陷，不允许出现</w:t>
      </w:r>
      <w:r>
        <w:rPr>
          <w:spacing w:val="-6"/>
          <w:sz w:val="21"/>
        </w:rPr>
        <w:t xml:space="preserve">) </w:t>
      </w:r>
      <w:r>
        <w:rPr>
          <w:spacing w:val="-6"/>
          <w:sz w:val="21"/>
        </w:rPr>
        <w:t>外</w:t>
      </w:r>
      <w:r>
        <w:rPr>
          <w:spacing w:val="-4"/>
          <w:sz w:val="21"/>
        </w:rPr>
        <w:t>，理化性能尚有重缺陷</w:t>
      </w:r>
      <w:r>
        <w:rPr>
          <w:sz w:val="21"/>
        </w:rPr>
        <w:t>（</w:t>
      </w:r>
      <w:r>
        <w:rPr>
          <w:sz w:val="21"/>
        </w:rPr>
        <w:t>B</w:t>
      </w:r>
      <w:r>
        <w:rPr>
          <w:spacing w:val="-11"/>
          <w:sz w:val="21"/>
        </w:rPr>
        <w:t xml:space="preserve"> </w:t>
      </w:r>
      <w:r>
        <w:rPr>
          <w:spacing w:val="-11"/>
          <w:sz w:val="21"/>
        </w:rPr>
        <w:t>类缺陷</w:t>
      </w:r>
      <w:r>
        <w:rPr>
          <w:sz w:val="21"/>
        </w:rPr>
        <w:t>）</w:t>
      </w:r>
      <w:r>
        <w:rPr>
          <w:spacing w:val="-3"/>
          <w:sz w:val="21"/>
        </w:rPr>
        <w:t>和轻缺陷</w:t>
      </w:r>
      <w:r>
        <w:rPr>
          <w:sz w:val="21"/>
        </w:rPr>
        <w:t>（</w:t>
      </w:r>
      <w:r>
        <w:rPr>
          <w:sz w:val="21"/>
        </w:rPr>
        <w:t>C</w:t>
      </w:r>
      <w:r>
        <w:rPr>
          <w:spacing w:val="-11"/>
          <w:sz w:val="21"/>
        </w:rPr>
        <w:t xml:space="preserve"> </w:t>
      </w:r>
      <w:r>
        <w:rPr>
          <w:spacing w:val="-11"/>
          <w:sz w:val="21"/>
        </w:rPr>
        <w:t>类缺陷</w:t>
      </w:r>
      <w:r>
        <w:rPr>
          <w:sz w:val="21"/>
        </w:rPr>
        <w:t>）</w:t>
      </w:r>
      <w:r>
        <w:rPr>
          <w:spacing w:val="-3"/>
          <w:sz w:val="21"/>
        </w:rPr>
        <w:t>，在满足下列要求时，亦可判定该产品质量某一级合格，但需注明缺陷性质及数量。</w:t>
      </w:r>
      <w:r>
        <w:rPr>
          <w:sz w:val="21"/>
        </w:rPr>
        <w:t xml:space="preserve"> </w:t>
      </w:r>
    </w:p>
    <w:p w14:paraId="1DE012F9" w14:textId="77777777" w:rsidR="00A71EEF" w:rsidRDefault="0081115D">
      <w:pPr>
        <w:pStyle w:val="a4"/>
        <w:numPr>
          <w:ilvl w:val="0"/>
          <w:numId w:val="499"/>
        </w:numPr>
        <w:tabs>
          <w:tab w:val="left" w:pos="1051"/>
        </w:tabs>
        <w:spacing w:line="268" w:lineRule="exact"/>
        <w:rPr>
          <w:sz w:val="21"/>
        </w:rPr>
      </w:pPr>
      <w:r>
        <w:rPr>
          <w:spacing w:val="-27"/>
          <w:sz w:val="21"/>
        </w:rPr>
        <w:t>表</w:t>
      </w:r>
      <w:r>
        <w:rPr>
          <w:spacing w:val="-27"/>
          <w:sz w:val="21"/>
        </w:rPr>
        <w:t xml:space="preserve"> </w:t>
      </w:r>
      <w:r>
        <w:rPr>
          <w:sz w:val="21"/>
        </w:rPr>
        <w:t>2</w:t>
      </w:r>
      <w:r>
        <w:rPr>
          <w:spacing w:val="-13"/>
          <w:sz w:val="21"/>
        </w:rPr>
        <w:t xml:space="preserve"> </w:t>
      </w:r>
      <w:r>
        <w:rPr>
          <w:spacing w:val="-13"/>
          <w:sz w:val="21"/>
        </w:rPr>
        <w:t>中所列的防火封堵材料，当</w:t>
      </w:r>
      <w:r>
        <w:rPr>
          <w:spacing w:val="-13"/>
          <w:sz w:val="21"/>
        </w:rPr>
        <w:t xml:space="preserve"> </w:t>
      </w:r>
      <w:r>
        <w:rPr>
          <w:sz w:val="21"/>
        </w:rPr>
        <w:t>B≤2</w:t>
      </w:r>
      <w:r>
        <w:rPr>
          <w:spacing w:val="-37"/>
          <w:sz w:val="21"/>
        </w:rPr>
        <w:t xml:space="preserve"> </w:t>
      </w:r>
      <w:r>
        <w:rPr>
          <w:spacing w:val="-37"/>
          <w:sz w:val="21"/>
        </w:rPr>
        <w:t>或</w:t>
      </w:r>
      <w:r>
        <w:rPr>
          <w:spacing w:val="-37"/>
          <w:sz w:val="21"/>
        </w:rPr>
        <w:t xml:space="preserve"> </w:t>
      </w:r>
      <w:r>
        <w:rPr>
          <w:sz w:val="21"/>
        </w:rPr>
        <w:t>B+C≤3</w:t>
      </w:r>
      <w:r>
        <w:rPr>
          <w:spacing w:val="-19"/>
          <w:sz w:val="21"/>
        </w:rPr>
        <w:t xml:space="preserve"> </w:t>
      </w:r>
      <w:r>
        <w:rPr>
          <w:spacing w:val="-19"/>
          <w:sz w:val="21"/>
        </w:rPr>
        <w:t>时；</w:t>
      </w:r>
      <w:r>
        <w:rPr>
          <w:sz w:val="21"/>
        </w:rPr>
        <w:t xml:space="preserve"> </w:t>
      </w:r>
    </w:p>
    <w:p w14:paraId="38449461" w14:textId="77777777" w:rsidR="00A71EEF" w:rsidRDefault="00A71EEF">
      <w:pPr>
        <w:pStyle w:val="a3"/>
        <w:spacing w:before="12"/>
        <w:rPr>
          <w:sz w:val="17"/>
        </w:rPr>
      </w:pPr>
    </w:p>
    <w:p w14:paraId="39FD1060" w14:textId="77777777" w:rsidR="00A71EEF" w:rsidRDefault="0081115D">
      <w:pPr>
        <w:pStyle w:val="a4"/>
        <w:numPr>
          <w:ilvl w:val="0"/>
          <w:numId w:val="499"/>
        </w:numPr>
        <w:tabs>
          <w:tab w:val="left" w:pos="1051"/>
        </w:tabs>
        <w:rPr>
          <w:sz w:val="21"/>
        </w:rPr>
      </w:pPr>
      <w:r>
        <w:rPr>
          <w:spacing w:val="-27"/>
          <w:sz w:val="21"/>
        </w:rPr>
        <w:t>表</w:t>
      </w:r>
      <w:r>
        <w:rPr>
          <w:spacing w:val="-27"/>
          <w:sz w:val="21"/>
        </w:rPr>
        <w:t xml:space="preserve"> </w:t>
      </w:r>
      <w:r>
        <w:rPr>
          <w:sz w:val="21"/>
        </w:rPr>
        <w:t>3</w:t>
      </w:r>
      <w:r>
        <w:rPr>
          <w:spacing w:val="-28"/>
          <w:sz w:val="21"/>
        </w:rPr>
        <w:t xml:space="preserve"> </w:t>
      </w:r>
      <w:r>
        <w:rPr>
          <w:spacing w:val="-28"/>
          <w:sz w:val="21"/>
        </w:rPr>
        <w:t>或表</w:t>
      </w:r>
      <w:r>
        <w:rPr>
          <w:spacing w:val="-28"/>
          <w:sz w:val="21"/>
        </w:rPr>
        <w:t xml:space="preserve"> </w:t>
      </w:r>
      <w:r>
        <w:rPr>
          <w:sz w:val="21"/>
        </w:rPr>
        <w:t>4</w:t>
      </w:r>
      <w:r>
        <w:rPr>
          <w:spacing w:val="-13"/>
          <w:sz w:val="21"/>
        </w:rPr>
        <w:t xml:space="preserve"> </w:t>
      </w:r>
      <w:r>
        <w:rPr>
          <w:spacing w:val="-13"/>
          <w:sz w:val="21"/>
        </w:rPr>
        <w:t>中所列的防火封堵材料，当</w:t>
      </w:r>
      <w:r>
        <w:rPr>
          <w:spacing w:val="-13"/>
          <w:sz w:val="21"/>
        </w:rPr>
        <w:t xml:space="preserve"> </w:t>
      </w:r>
      <w:r>
        <w:rPr>
          <w:sz w:val="21"/>
        </w:rPr>
        <w:t>B≤1</w:t>
      </w:r>
      <w:r>
        <w:rPr>
          <w:spacing w:val="-37"/>
          <w:sz w:val="21"/>
        </w:rPr>
        <w:t xml:space="preserve"> </w:t>
      </w:r>
      <w:r>
        <w:rPr>
          <w:spacing w:val="-37"/>
          <w:sz w:val="21"/>
        </w:rPr>
        <w:t>或</w:t>
      </w:r>
      <w:r>
        <w:rPr>
          <w:spacing w:val="-37"/>
          <w:sz w:val="21"/>
        </w:rPr>
        <w:t xml:space="preserve"> </w:t>
      </w:r>
      <w:r>
        <w:rPr>
          <w:sz w:val="21"/>
        </w:rPr>
        <w:t>B+C≤2</w:t>
      </w:r>
      <w:r>
        <w:rPr>
          <w:spacing w:val="-19"/>
          <w:sz w:val="21"/>
        </w:rPr>
        <w:t xml:space="preserve"> </w:t>
      </w:r>
      <w:r>
        <w:rPr>
          <w:spacing w:val="-19"/>
          <w:sz w:val="21"/>
        </w:rPr>
        <w:t>时。</w:t>
      </w:r>
      <w:r>
        <w:rPr>
          <w:sz w:val="21"/>
        </w:rPr>
        <w:t xml:space="preserve"> </w:t>
      </w:r>
    </w:p>
    <w:p w14:paraId="3C6A0320" w14:textId="77777777" w:rsidR="00A71EEF" w:rsidRDefault="00A71EEF">
      <w:pPr>
        <w:pStyle w:val="a3"/>
        <w:spacing w:before="8"/>
        <w:rPr>
          <w:sz w:val="15"/>
        </w:rPr>
      </w:pPr>
    </w:p>
    <w:p w14:paraId="4A06AAB5" w14:textId="77777777" w:rsidR="00A71EEF" w:rsidRDefault="0081115D">
      <w:pPr>
        <w:pStyle w:val="4"/>
      </w:pPr>
      <w:r>
        <w:t xml:space="preserve">9 </w:t>
      </w:r>
      <w:r>
        <w:t>包装、标志、贮存、运输</w:t>
      </w:r>
      <w:r>
        <w:rPr>
          <w:w w:val="99"/>
        </w:rPr>
        <w:t xml:space="preserve"> </w:t>
      </w:r>
    </w:p>
    <w:p w14:paraId="7CCFB18D" w14:textId="77777777" w:rsidR="00A71EEF" w:rsidRDefault="00A71EEF">
      <w:pPr>
        <w:pStyle w:val="a3"/>
        <w:spacing w:before="4"/>
        <w:rPr>
          <w:b/>
          <w:sz w:val="17"/>
        </w:rPr>
      </w:pPr>
    </w:p>
    <w:p w14:paraId="46DB5938" w14:textId="77777777" w:rsidR="00A71EEF" w:rsidRDefault="0081115D">
      <w:pPr>
        <w:pStyle w:val="a4"/>
        <w:numPr>
          <w:ilvl w:val="1"/>
          <w:numId w:val="498"/>
        </w:numPr>
        <w:tabs>
          <w:tab w:val="left" w:pos="1159"/>
        </w:tabs>
        <w:ind w:hanging="319"/>
        <w:rPr>
          <w:sz w:val="21"/>
        </w:rPr>
      </w:pPr>
      <w:r>
        <w:rPr>
          <w:spacing w:val="-3"/>
          <w:sz w:val="21"/>
        </w:rPr>
        <w:t>产品应采取清洁、干燥、能密封的包装袋或容器包装并附有合格证和产品使用说明。</w:t>
      </w:r>
      <w:r>
        <w:rPr>
          <w:sz w:val="21"/>
        </w:rPr>
        <w:t xml:space="preserve"> </w:t>
      </w:r>
    </w:p>
    <w:p w14:paraId="67FAA1DE" w14:textId="77777777" w:rsidR="00A71EEF" w:rsidRDefault="00A71EEF">
      <w:pPr>
        <w:pStyle w:val="a3"/>
        <w:spacing w:before="2"/>
        <w:rPr>
          <w:sz w:val="18"/>
        </w:rPr>
      </w:pPr>
    </w:p>
    <w:p w14:paraId="1520AA67" w14:textId="77777777" w:rsidR="00A71EEF" w:rsidRDefault="0081115D">
      <w:pPr>
        <w:pStyle w:val="a4"/>
        <w:numPr>
          <w:ilvl w:val="1"/>
          <w:numId w:val="498"/>
        </w:numPr>
        <w:tabs>
          <w:tab w:val="left" w:pos="1160"/>
        </w:tabs>
        <w:spacing w:line="446" w:lineRule="auto"/>
        <w:ind w:left="418" w:right="1604" w:firstLine="422"/>
        <w:rPr>
          <w:sz w:val="21"/>
        </w:rPr>
      </w:pPr>
      <w:r>
        <w:rPr>
          <w:spacing w:val="-3"/>
          <w:sz w:val="21"/>
        </w:rPr>
        <w:t>产品包装上应注明生产企业名称、地址、产品名称、产品商标、规格型号、生产日期或批号、贮存期、</w:t>
      </w:r>
      <w:r>
        <w:rPr>
          <w:spacing w:val="-3"/>
          <w:sz w:val="21"/>
        </w:rPr>
        <w:t xml:space="preserve"> </w:t>
      </w:r>
      <w:r>
        <w:rPr>
          <w:spacing w:val="-3"/>
          <w:sz w:val="21"/>
        </w:rPr>
        <w:t>包装外形尺寸或质量等。</w:t>
      </w:r>
      <w:r>
        <w:rPr>
          <w:sz w:val="21"/>
        </w:rPr>
        <w:t xml:space="preserve"> </w:t>
      </w:r>
    </w:p>
    <w:p w14:paraId="2135E259" w14:textId="77777777" w:rsidR="00A71EEF" w:rsidRDefault="0081115D">
      <w:pPr>
        <w:pStyle w:val="a4"/>
        <w:numPr>
          <w:ilvl w:val="1"/>
          <w:numId w:val="498"/>
        </w:numPr>
        <w:tabs>
          <w:tab w:val="left" w:pos="1159"/>
        </w:tabs>
        <w:spacing w:line="267" w:lineRule="exact"/>
        <w:ind w:hanging="319"/>
        <w:rPr>
          <w:sz w:val="21"/>
        </w:rPr>
      </w:pPr>
      <w:r>
        <w:rPr>
          <w:spacing w:val="-3"/>
          <w:sz w:val="21"/>
        </w:rPr>
        <w:t>产品应存放在通风、干燥、防止日光直接照射的地方。</w:t>
      </w:r>
      <w:r>
        <w:rPr>
          <w:sz w:val="21"/>
        </w:rPr>
        <w:t xml:space="preserve"> </w:t>
      </w:r>
    </w:p>
    <w:p w14:paraId="2B393B43" w14:textId="77777777" w:rsidR="00A71EEF" w:rsidRDefault="00A71EEF">
      <w:pPr>
        <w:pStyle w:val="a3"/>
        <w:spacing w:before="2"/>
        <w:rPr>
          <w:sz w:val="18"/>
        </w:rPr>
      </w:pPr>
    </w:p>
    <w:p w14:paraId="4DA34564" w14:textId="77777777" w:rsidR="00A71EEF" w:rsidRDefault="0081115D">
      <w:pPr>
        <w:pStyle w:val="a4"/>
        <w:numPr>
          <w:ilvl w:val="1"/>
          <w:numId w:val="498"/>
        </w:numPr>
        <w:tabs>
          <w:tab w:val="left" w:pos="1160"/>
        </w:tabs>
        <w:ind w:left="1159" w:hanging="320"/>
        <w:rPr>
          <w:sz w:val="21"/>
        </w:rPr>
      </w:pPr>
      <w:r>
        <w:rPr>
          <w:spacing w:val="-3"/>
          <w:sz w:val="21"/>
        </w:rPr>
        <w:t>产品在运输时，应防止雨淋、曝晒，并应符合运输部门的有关规定。</w:t>
      </w:r>
      <w:r>
        <w:rPr>
          <w:sz w:val="21"/>
        </w:rPr>
        <w:t xml:space="preserve"> </w:t>
      </w:r>
    </w:p>
    <w:p w14:paraId="0BA9F52F" w14:textId="77777777" w:rsidR="00A71EEF" w:rsidRDefault="00A71EEF">
      <w:pPr>
        <w:rPr>
          <w:sz w:val="21"/>
        </w:rPr>
        <w:sectPr w:rsidR="00A71EEF">
          <w:pgSz w:w="11910" w:h="16850"/>
          <w:pgMar w:top="1200" w:right="0" w:bottom="1420" w:left="1260" w:header="0" w:footer="1239" w:gutter="0"/>
          <w:cols w:space="720"/>
        </w:sectPr>
      </w:pPr>
    </w:p>
    <w:p w14:paraId="122FB61D" w14:textId="77777777" w:rsidR="00A71EEF" w:rsidRDefault="0081115D">
      <w:pPr>
        <w:pStyle w:val="2"/>
        <w:ind w:left="3157"/>
        <w:jc w:val="left"/>
      </w:pPr>
      <w:bookmarkStart w:id="19" w:name="_bookmark19"/>
      <w:bookmarkEnd w:id="19"/>
      <w:r>
        <w:t>建筑消防设施的维护管理</w:t>
      </w:r>
      <w:r>
        <w:rPr>
          <w:w w:val="99"/>
        </w:rPr>
        <w:t xml:space="preserve"> </w:t>
      </w:r>
    </w:p>
    <w:p w14:paraId="4B6A2630" w14:textId="77777777" w:rsidR="00A71EEF" w:rsidRDefault="00A71EEF">
      <w:pPr>
        <w:pStyle w:val="a3"/>
        <w:rPr>
          <w:b/>
          <w:sz w:val="20"/>
        </w:rPr>
      </w:pPr>
    </w:p>
    <w:p w14:paraId="4247ED5C" w14:textId="77777777" w:rsidR="00A71EEF" w:rsidRDefault="00A71EEF">
      <w:pPr>
        <w:pStyle w:val="a3"/>
        <w:spacing w:before="5"/>
        <w:rPr>
          <w:b/>
          <w:sz w:val="14"/>
        </w:rPr>
      </w:pPr>
    </w:p>
    <w:p w14:paraId="5C69A7CE" w14:textId="77777777" w:rsidR="00A71EEF" w:rsidRDefault="0081115D">
      <w:pPr>
        <w:pStyle w:val="4"/>
        <w:spacing w:before="66"/>
      </w:pPr>
      <w:r>
        <w:t xml:space="preserve">1 </w:t>
      </w:r>
      <w:r>
        <w:t>范围</w:t>
      </w:r>
      <w:r>
        <w:rPr>
          <w:w w:val="99"/>
        </w:rPr>
        <w:t xml:space="preserve"> </w:t>
      </w:r>
    </w:p>
    <w:p w14:paraId="5C576B51" w14:textId="77777777" w:rsidR="00A71EEF" w:rsidRDefault="00A71EEF">
      <w:pPr>
        <w:pStyle w:val="a3"/>
        <w:spacing w:before="4"/>
        <w:rPr>
          <w:b/>
          <w:sz w:val="17"/>
        </w:rPr>
      </w:pPr>
    </w:p>
    <w:p w14:paraId="20BCE855" w14:textId="77777777" w:rsidR="00A71EEF" w:rsidRDefault="0081115D">
      <w:pPr>
        <w:pStyle w:val="a3"/>
        <w:spacing w:line="446" w:lineRule="auto"/>
        <w:ind w:left="838" w:right="4237"/>
      </w:pPr>
      <w:r>
        <w:t>本标准规定了建筑消防设施维护管理的内容、方法和要求。本标准适用于在用建筑消防设施的维护管理。</w:t>
      </w:r>
      <w:r>
        <w:t xml:space="preserve"> </w:t>
      </w:r>
    </w:p>
    <w:p w14:paraId="0A29B98F" w14:textId="77777777" w:rsidR="00A71EEF" w:rsidRDefault="0081115D">
      <w:pPr>
        <w:pStyle w:val="4"/>
        <w:spacing w:line="277" w:lineRule="exact"/>
      </w:pPr>
      <w:r>
        <w:t xml:space="preserve">2 </w:t>
      </w:r>
      <w:r>
        <w:t>规范性引用文件</w:t>
      </w:r>
      <w:r>
        <w:rPr>
          <w:w w:val="99"/>
        </w:rPr>
        <w:t xml:space="preserve"> </w:t>
      </w:r>
    </w:p>
    <w:p w14:paraId="7DC04AA8" w14:textId="77777777" w:rsidR="00A71EEF" w:rsidRDefault="00A71EEF">
      <w:pPr>
        <w:pStyle w:val="a3"/>
        <w:spacing w:before="4"/>
        <w:rPr>
          <w:b/>
          <w:sz w:val="17"/>
        </w:rPr>
      </w:pPr>
    </w:p>
    <w:p w14:paraId="54FD1993" w14:textId="77777777" w:rsidR="00A71EEF" w:rsidRDefault="0081115D">
      <w:pPr>
        <w:pStyle w:val="a3"/>
        <w:spacing w:line="446" w:lineRule="auto"/>
        <w:ind w:left="418" w:right="1608" w:firstLine="419"/>
        <w:jc w:val="both"/>
      </w:pPr>
      <w:r>
        <w:rPr>
          <w:spacing w:val="-3"/>
        </w:rPr>
        <w:t>下列文件中的条款通过本标准的引用而成为本标准的条款。凡是注日期的引用文件，其随后所有的修改单</w:t>
      </w:r>
      <w:r>
        <w:t>（</w:t>
      </w:r>
      <w:r>
        <w:rPr>
          <w:spacing w:val="-3"/>
        </w:rPr>
        <w:t>不包括勘误的内容</w:t>
      </w:r>
      <w:r>
        <w:t>）</w:t>
      </w:r>
      <w:r>
        <w:rPr>
          <w:spacing w:val="-3"/>
        </w:rPr>
        <w:t>或修订版均不适用于本标准，然而，鼓励根据本标准达成协议的各方研究</w:t>
      </w:r>
      <w:r>
        <w:rPr>
          <w:spacing w:val="-3"/>
        </w:rPr>
        <w:t xml:space="preserve"> </w:t>
      </w:r>
      <w:r>
        <w:rPr>
          <w:spacing w:val="-3"/>
        </w:rPr>
        <w:t>是否可使用这些文件的最新版本。凡是不注日期的引用文件。其最新版本适用于本标准。</w:t>
      </w:r>
      <w:r>
        <w:t xml:space="preserve"> </w:t>
      </w:r>
    </w:p>
    <w:p w14:paraId="0CCAF0B3" w14:textId="77777777" w:rsidR="00A71EEF" w:rsidRDefault="0081115D">
      <w:pPr>
        <w:pStyle w:val="a3"/>
        <w:spacing w:line="446" w:lineRule="auto"/>
        <w:ind w:left="838" w:right="6078"/>
      </w:pPr>
      <w:r>
        <w:t>GB/T</w:t>
      </w:r>
      <w:r>
        <w:rPr>
          <w:spacing w:val="3"/>
        </w:rPr>
        <w:t xml:space="preserve">   </w:t>
      </w:r>
      <w:r>
        <w:t>14107</w:t>
      </w:r>
      <w:r>
        <w:rPr>
          <w:spacing w:val="2"/>
        </w:rPr>
        <w:t xml:space="preserve"> </w:t>
      </w:r>
      <w:r>
        <w:rPr>
          <w:spacing w:val="2"/>
        </w:rPr>
        <w:t>消防基本术语第二部分</w:t>
      </w:r>
      <w:r>
        <w:rPr>
          <w:spacing w:val="2"/>
        </w:rPr>
        <w:t xml:space="preserve"> </w:t>
      </w:r>
      <w:r>
        <w:t>GA</w:t>
      </w:r>
      <w:r>
        <w:rPr>
          <w:spacing w:val="23"/>
        </w:rPr>
        <w:t xml:space="preserve">   </w:t>
      </w:r>
      <w:r>
        <w:t>503</w:t>
      </w:r>
      <w:r>
        <w:rPr>
          <w:spacing w:val="-3"/>
        </w:rPr>
        <w:t xml:space="preserve"> </w:t>
      </w:r>
      <w:r>
        <w:rPr>
          <w:spacing w:val="-3"/>
        </w:rPr>
        <w:t>建筑消防设施检测技术规程</w:t>
      </w:r>
      <w:r>
        <w:t>GA</w:t>
      </w:r>
      <w:r>
        <w:rPr>
          <w:spacing w:val="5"/>
        </w:rPr>
        <w:t xml:space="preserve"> </w:t>
      </w:r>
      <w:r>
        <w:t>767</w:t>
      </w:r>
      <w:r>
        <w:rPr>
          <w:spacing w:val="-9"/>
        </w:rPr>
        <w:t xml:space="preserve"> </w:t>
      </w:r>
      <w:r>
        <w:rPr>
          <w:spacing w:val="-9"/>
        </w:rPr>
        <w:t>消防控制室通用技术要求</w:t>
      </w:r>
      <w:r>
        <w:t xml:space="preserve"> </w:t>
      </w:r>
    </w:p>
    <w:p w14:paraId="6080C3C4" w14:textId="77777777" w:rsidR="00A71EEF" w:rsidRDefault="0081115D">
      <w:pPr>
        <w:pStyle w:val="4"/>
        <w:spacing w:line="277" w:lineRule="exact"/>
      </w:pPr>
      <w:r>
        <w:t xml:space="preserve">3 </w:t>
      </w:r>
      <w:r>
        <w:t>术语和定义</w:t>
      </w:r>
      <w:r>
        <w:rPr>
          <w:w w:val="99"/>
        </w:rPr>
        <w:t xml:space="preserve"> </w:t>
      </w:r>
    </w:p>
    <w:p w14:paraId="46E30DA5" w14:textId="77777777" w:rsidR="00A71EEF" w:rsidRDefault="00A71EEF">
      <w:pPr>
        <w:pStyle w:val="a3"/>
        <w:spacing w:before="4"/>
        <w:rPr>
          <w:b/>
          <w:sz w:val="17"/>
        </w:rPr>
      </w:pPr>
    </w:p>
    <w:p w14:paraId="0F8F4BCF" w14:textId="77777777" w:rsidR="00A71EEF" w:rsidRDefault="0081115D">
      <w:pPr>
        <w:pStyle w:val="a3"/>
        <w:spacing w:line="446" w:lineRule="auto"/>
        <w:ind w:left="840" w:right="4290" w:hanging="3"/>
        <w:rPr>
          <w:b/>
        </w:rPr>
      </w:pPr>
      <w:r>
        <w:t>GB/T 14107</w:t>
      </w:r>
      <w:r>
        <w:rPr>
          <w:spacing w:val="-9"/>
        </w:rPr>
        <w:t xml:space="preserve"> </w:t>
      </w:r>
      <w:r>
        <w:rPr>
          <w:spacing w:val="-9"/>
        </w:rPr>
        <w:t>中确定的以及下列术语和定义适用于本标准。</w:t>
      </w:r>
      <w:r>
        <w:rPr>
          <w:b/>
        </w:rPr>
        <w:t>3.1</w:t>
      </w:r>
      <w:r>
        <w:rPr>
          <w:b/>
          <w:spacing w:val="1"/>
        </w:rPr>
        <w:t xml:space="preserve"> </w:t>
      </w:r>
      <w:r>
        <w:rPr>
          <w:spacing w:val="-3"/>
        </w:rPr>
        <w:t>术语</w:t>
      </w:r>
      <w:r>
        <w:rPr>
          <w:b/>
          <w:w w:val="99"/>
        </w:rPr>
        <w:t xml:space="preserve"> </w:t>
      </w:r>
    </w:p>
    <w:p w14:paraId="075C0803" w14:textId="77777777" w:rsidR="00A71EEF" w:rsidRDefault="0081115D">
      <w:pPr>
        <w:pStyle w:val="a3"/>
        <w:spacing w:line="267" w:lineRule="exact"/>
        <w:ind w:left="838"/>
      </w:pPr>
      <w:r>
        <w:t>巡</w:t>
      </w:r>
      <w:r>
        <w:t xml:space="preserve"> </w:t>
      </w:r>
      <w:r>
        <w:t>查</w:t>
      </w:r>
      <w:r>
        <w:t xml:space="preserve"> exterior inspection </w:t>
      </w:r>
    </w:p>
    <w:p w14:paraId="70AC1D53" w14:textId="77777777" w:rsidR="00A71EEF" w:rsidRDefault="00A71EEF">
      <w:pPr>
        <w:pStyle w:val="a3"/>
        <w:spacing w:before="2"/>
        <w:rPr>
          <w:sz w:val="18"/>
        </w:rPr>
      </w:pPr>
    </w:p>
    <w:p w14:paraId="15EDE8E0" w14:textId="77777777" w:rsidR="00A71EEF" w:rsidRDefault="0081115D">
      <w:pPr>
        <w:spacing w:line="446" w:lineRule="auto"/>
        <w:ind w:left="840" w:right="6549" w:hanging="3"/>
        <w:rPr>
          <w:b/>
          <w:sz w:val="21"/>
        </w:rPr>
      </w:pPr>
      <w:r>
        <w:rPr>
          <w:sz w:val="21"/>
        </w:rPr>
        <w:t>对建筑消防设施直观属性的检查。</w:t>
      </w:r>
      <w:r>
        <w:rPr>
          <w:b/>
          <w:sz w:val="21"/>
        </w:rPr>
        <w:t xml:space="preserve">3.2 </w:t>
      </w:r>
      <w:r>
        <w:rPr>
          <w:sz w:val="21"/>
        </w:rPr>
        <w:t>定义</w:t>
      </w:r>
      <w:r>
        <w:rPr>
          <w:b/>
          <w:w w:val="99"/>
          <w:sz w:val="21"/>
        </w:rPr>
        <w:t xml:space="preserve"> </w:t>
      </w:r>
    </w:p>
    <w:p w14:paraId="630B8641" w14:textId="77777777" w:rsidR="00A71EEF" w:rsidRDefault="0081115D">
      <w:pPr>
        <w:pStyle w:val="a3"/>
        <w:spacing w:line="267" w:lineRule="exact"/>
        <w:ind w:left="838"/>
      </w:pPr>
      <w:r>
        <w:t>检测</w:t>
      </w:r>
      <w:r>
        <w:t xml:space="preserve"> test </w:t>
      </w:r>
    </w:p>
    <w:p w14:paraId="4C2A643F" w14:textId="77777777" w:rsidR="00A71EEF" w:rsidRDefault="00A71EEF">
      <w:pPr>
        <w:pStyle w:val="a3"/>
        <w:spacing w:before="2"/>
        <w:rPr>
          <w:sz w:val="18"/>
        </w:rPr>
      </w:pPr>
    </w:p>
    <w:p w14:paraId="1154AFAA" w14:textId="77777777" w:rsidR="00A71EEF" w:rsidRDefault="0081115D">
      <w:pPr>
        <w:pStyle w:val="a3"/>
        <w:spacing w:before="1"/>
        <w:ind w:left="838"/>
      </w:pPr>
      <w:r>
        <w:t>依照相关标准</w:t>
      </w:r>
      <w:r>
        <w:t>.</w:t>
      </w:r>
      <w:r>
        <w:t>对各类建筑消防设施的功能进行测试性的检査。</w:t>
      </w:r>
      <w:r>
        <w:t xml:space="preserve"> </w:t>
      </w:r>
    </w:p>
    <w:p w14:paraId="78E3BA03" w14:textId="77777777" w:rsidR="00A71EEF" w:rsidRDefault="00A71EEF">
      <w:pPr>
        <w:pStyle w:val="a3"/>
        <w:spacing w:before="7"/>
        <w:rPr>
          <w:sz w:val="15"/>
        </w:rPr>
      </w:pPr>
    </w:p>
    <w:p w14:paraId="5363FA34" w14:textId="77777777" w:rsidR="00A71EEF" w:rsidRDefault="0081115D">
      <w:pPr>
        <w:pStyle w:val="4"/>
        <w:spacing w:before="1"/>
      </w:pPr>
      <w:r>
        <w:t xml:space="preserve">4 </w:t>
      </w:r>
      <w:r>
        <w:t>总则</w:t>
      </w:r>
      <w:r>
        <w:rPr>
          <w:w w:val="99"/>
        </w:rPr>
        <w:t xml:space="preserve"> </w:t>
      </w:r>
    </w:p>
    <w:p w14:paraId="3D827322" w14:textId="77777777" w:rsidR="00A71EEF" w:rsidRDefault="00A71EEF">
      <w:pPr>
        <w:pStyle w:val="a3"/>
        <w:spacing w:before="3"/>
        <w:rPr>
          <w:b/>
          <w:sz w:val="17"/>
        </w:rPr>
      </w:pPr>
    </w:p>
    <w:p w14:paraId="5087BBD0" w14:textId="77777777" w:rsidR="00A71EEF" w:rsidRDefault="0081115D">
      <w:pPr>
        <w:pStyle w:val="a4"/>
        <w:numPr>
          <w:ilvl w:val="1"/>
          <w:numId w:val="497"/>
        </w:numPr>
        <w:tabs>
          <w:tab w:val="left" w:pos="1160"/>
        </w:tabs>
        <w:rPr>
          <w:sz w:val="21"/>
        </w:rPr>
      </w:pPr>
      <w:r>
        <w:rPr>
          <w:spacing w:val="-3"/>
          <w:sz w:val="21"/>
        </w:rPr>
        <w:t>建筑消防设施的维护管理包括值班、巡査、检测、维修、保养、建档等工作。</w:t>
      </w:r>
      <w:r>
        <w:rPr>
          <w:spacing w:val="-3"/>
          <w:sz w:val="21"/>
        </w:rPr>
        <w:t xml:space="preserve"> </w:t>
      </w:r>
    </w:p>
    <w:p w14:paraId="023CF9F3" w14:textId="77777777" w:rsidR="00A71EEF" w:rsidRDefault="00A71EEF">
      <w:pPr>
        <w:pStyle w:val="a3"/>
        <w:spacing w:before="2"/>
        <w:rPr>
          <w:sz w:val="18"/>
        </w:rPr>
      </w:pPr>
    </w:p>
    <w:p w14:paraId="784D9B84" w14:textId="77777777" w:rsidR="00A71EEF" w:rsidRDefault="0081115D">
      <w:pPr>
        <w:pStyle w:val="a4"/>
        <w:numPr>
          <w:ilvl w:val="1"/>
          <w:numId w:val="497"/>
        </w:numPr>
        <w:tabs>
          <w:tab w:val="left" w:pos="1160"/>
        </w:tabs>
        <w:spacing w:line="446" w:lineRule="auto"/>
        <w:ind w:left="418" w:right="1501" w:firstLine="422"/>
        <w:rPr>
          <w:sz w:val="21"/>
        </w:rPr>
      </w:pPr>
      <w:r>
        <w:rPr>
          <w:spacing w:val="-3"/>
          <w:sz w:val="21"/>
        </w:rPr>
        <w:t>建筑物的产权单位或受其委托管理建筑消防设施的单位，应明确建筑消防设施的维护管理归口部门、管理人员及其工作职责，建立建筑消防设施值班、巡查、检测、维修、保养、建档等制度</w:t>
      </w:r>
      <w:r>
        <w:rPr>
          <w:spacing w:val="-3"/>
          <w:sz w:val="21"/>
        </w:rPr>
        <w:t>.</w:t>
      </w:r>
      <w:r>
        <w:rPr>
          <w:spacing w:val="-3"/>
          <w:sz w:val="21"/>
        </w:rPr>
        <w:t>确保建筑消防设施正常运行。</w:t>
      </w:r>
      <w:r>
        <w:rPr>
          <w:sz w:val="21"/>
        </w:rPr>
        <w:t xml:space="preserve"> </w:t>
      </w:r>
    </w:p>
    <w:p w14:paraId="545418A8" w14:textId="77777777" w:rsidR="00A71EEF" w:rsidRDefault="0081115D">
      <w:pPr>
        <w:pStyle w:val="a4"/>
        <w:numPr>
          <w:ilvl w:val="1"/>
          <w:numId w:val="497"/>
        </w:numPr>
        <w:tabs>
          <w:tab w:val="left" w:pos="1160"/>
        </w:tabs>
        <w:spacing w:line="446" w:lineRule="auto"/>
        <w:ind w:left="418" w:right="1501" w:firstLine="422"/>
        <w:rPr>
          <w:sz w:val="21"/>
        </w:rPr>
      </w:pPr>
      <w:r>
        <w:rPr>
          <w:spacing w:val="-3"/>
          <w:sz w:val="21"/>
        </w:rPr>
        <w:t>同一建筑物有两个以上产权、使用单位的，应明确建筑消防设施的维护管理责任，对建筑消防设施实行统一管理，并以合同方式约定各自的权利义务。委托物业等单位统一管理</w:t>
      </w:r>
    </w:p>
    <w:p w14:paraId="3942BF9F" w14:textId="77777777" w:rsidR="00A71EEF" w:rsidRDefault="00A71EEF">
      <w:pPr>
        <w:spacing w:line="446" w:lineRule="auto"/>
        <w:rPr>
          <w:sz w:val="21"/>
        </w:rPr>
        <w:sectPr w:rsidR="00A71EEF">
          <w:pgSz w:w="11910" w:h="16850"/>
          <w:pgMar w:top="1140" w:right="0" w:bottom="1420" w:left="1260" w:header="0" w:footer="1239" w:gutter="0"/>
          <w:cols w:space="720"/>
        </w:sectPr>
      </w:pPr>
    </w:p>
    <w:p w14:paraId="50BE0164" w14:textId="77777777" w:rsidR="00A71EEF" w:rsidRDefault="0081115D">
      <w:pPr>
        <w:pStyle w:val="a3"/>
        <w:spacing w:before="47" w:line="446" w:lineRule="auto"/>
        <w:ind w:left="418" w:right="1505"/>
      </w:pPr>
      <w:r>
        <w:t>的，物业等单位应严格按合同约定履行建筑消防设施维护管理职责</w:t>
      </w:r>
      <w:r>
        <w:t>.</w:t>
      </w:r>
      <w:r>
        <w:t>建立建筑消防设施值班、巡查、检测、维修、保养、建挡等制度，确保</w:t>
      </w:r>
      <w:r>
        <w:t>管理区域内的建筑消防设施正常运行。</w:t>
      </w:r>
      <w:r>
        <w:t xml:space="preserve"> </w:t>
      </w:r>
    </w:p>
    <w:p w14:paraId="24482FDF" w14:textId="77777777" w:rsidR="00A71EEF" w:rsidRDefault="0081115D">
      <w:pPr>
        <w:pStyle w:val="a4"/>
        <w:numPr>
          <w:ilvl w:val="1"/>
          <w:numId w:val="497"/>
        </w:numPr>
        <w:tabs>
          <w:tab w:val="left" w:pos="1160"/>
        </w:tabs>
        <w:spacing w:line="446" w:lineRule="auto"/>
        <w:ind w:left="418" w:right="1608" w:firstLine="422"/>
        <w:rPr>
          <w:sz w:val="21"/>
        </w:rPr>
      </w:pPr>
      <w:r>
        <w:rPr>
          <w:spacing w:val="-3"/>
          <w:sz w:val="21"/>
        </w:rPr>
        <w:t>建筑消防设施维护管理单位应与消防设备生产厂家、消防设施施工安装企业等有维修、保养能力的单位签订消防设施维修、保养合同。维护管理单位自身有维修、保养能力的，应明确维修、保养职能部门和人员。对具有信号反馈功能的阀门，其状态信号应反馈到消防控制室；消防设施及其相关设备电气控制柜具有控制方式转换装置的，其所处控制方式宜反馈至消防控制室。</w:t>
      </w:r>
      <w:r>
        <w:rPr>
          <w:sz w:val="21"/>
        </w:rPr>
        <w:t xml:space="preserve"> </w:t>
      </w:r>
    </w:p>
    <w:p w14:paraId="00614FFD" w14:textId="77777777" w:rsidR="00A71EEF" w:rsidRDefault="0081115D">
      <w:pPr>
        <w:pStyle w:val="a4"/>
        <w:numPr>
          <w:ilvl w:val="1"/>
          <w:numId w:val="496"/>
        </w:numPr>
        <w:tabs>
          <w:tab w:val="left" w:pos="1159"/>
        </w:tabs>
        <w:spacing w:line="446" w:lineRule="auto"/>
        <w:ind w:right="1604" w:firstLine="422"/>
        <w:jc w:val="both"/>
        <w:rPr>
          <w:sz w:val="21"/>
        </w:rPr>
      </w:pPr>
      <w:r>
        <w:rPr>
          <w:spacing w:val="-3"/>
          <w:sz w:val="21"/>
        </w:rPr>
        <w:t>不应擅自关停消防设施。值班、巡查、检测时发现故障，应及时组织修复。因故障维修等原因需要暂时停用消防系统的，应有确保消防安全的有效措施，并经单位消防安全责任人批准。</w:t>
      </w:r>
      <w:r>
        <w:rPr>
          <w:sz w:val="21"/>
        </w:rPr>
        <w:t xml:space="preserve"> </w:t>
      </w:r>
    </w:p>
    <w:p w14:paraId="30464573" w14:textId="77777777" w:rsidR="00A71EEF" w:rsidRDefault="0081115D">
      <w:pPr>
        <w:pStyle w:val="a4"/>
        <w:numPr>
          <w:ilvl w:val="1"/>
          <w:numId w:val="496"/>
        </w:numPr>
        <w:tabs>
          <w:tab w:val="left" w:pos="1159"/>
        </w:tabs>
        <w:spacing w:line="446" w:lineRule="auto"/>
        <w:ind w:right="1604" w:firstLine="422"/>
        <w:rPr>
          <w:sz w:val="21"/>
        </w:rPr>
      </w:pPr>
      <w:r>
        <w:rPr>
          <w:spacing w:val="-3"/>
          <w:sz w:val="21"/>
        </w:rPr>
        <w:t>城市消防远程</w:t>
      </w:r>
      <w:r>
        <w:rPr>
          <w:spacing w:val="-3"/>
          <w:sz w:val="21"/>
        </w:rPr>
        <w:t>监控系统联网用户，应按规定协议向监控中心发送建筑消防设施运行状态信息和消防安全管理信息。</w:t>
      </w:r>
      <w:r>
        <w:rPr>
          <w:sz w:val="21"/>
        </w:rPr>
        <w:t xml:space="preserve"> </w:t>
      </w:r>
    </w:p>
    <w:p w14:paraId="12E30A86" w14:textId="77777777" w:rsidR="00A71EEF" w:rsidRDefault="0081115D">
      <w:pPr>
        <w:pStyle w:val="4"/>
        <w:spacing w:line="277" w:lineRule="exact"/>
      </w:pPr>
      <w:r>
        <w:t xml:space="preserve">5 </w:t>
      </w:r>
      <w:r>
        <w:t>值班</w:t>
      </w:r>
      <w:r>
        <w:rPr>
          <w:w w:val="99"/>
        </w:rPr>
        <w:t xml:space="preserve"> </w:t>
      </w:r>
    </w:p>
    <w:p w14:paraId="2B176BF5" w14:textId="77777777" w:rsidR="00A71EEF" w:rsidRDefault="00A71EEF">
      <w:pPr>
        <w:pStyle w:val="a3"/>
        <w:rPr>
          <w:b/>
          <w:sz w:val="17"/>
        </w:rPr>
      </w:pPr>
    </w:p>
    <w:p w14:paraId="3C954F1A" w14:textId="77777777" w:rsidR="00A71EEF" w:rsidRDefault="0081115D">
      <w:pPr>
        <w:pStyle w:val="a4"/>
        <w:numPr>
          <w:ilvl w:val="1"/>
          <w:numId w:val="495"/>
        </w:numPr>
        <w:tabs>
          <w:tab w:val="left" w:pos="1160"/>
        </w:tabs>
        <w:spacing w:line="446" w:lineRule="auto"/>
        <w:ind w:right="1813" w:firstLine="422"/>
        <w:rPr>
          <w:sz w:val="21"/>
        </w:rPr>
      </w:pPr>
      <w:r>
        <w:rPr>
          <w:spacing w:val="-3"/>
          <w:sz w:val="21"/>
        </w:rPr>
        <w:t>设有建筑消防设施的单位应根据消防设施操作使用要求制定操作规程，明确操作人员。</w:t>
      </w:r>
      <w:r>
        <w:rPr>
          <w:sz w:val="21"/>
        </w:rPr>
        <w:t xml:space="preserve"> </w:t>
      </w:r>
    </w:p>
    <w:p w14:paraId="47085BA8" w14:textId="77777777" w:rsidR="00A71EEF" w:rsidRDefault="0081115D">
      <w:pPr>
        <w:pStyle w:val="a3"/>
        <w:spacing w:line="446" w:lineRule="auto"/>
        <w:ind w:left="418" w:right="1609" w:firstLine="419"/>
      </w:pPr>
      <w:r>
        <w:rPr>
          <w:spacing w:val="-3"/>
        </w:rPr>
        <w:t>负责消防设施操作人员应通过消防行业特有工种职业技能鉴定，持有初级技能以上等级的职业资格证书，能熟练操作消防设施。消防控制室、具有消防配电功能的配电室，消防水泵</w:t>
      </w:r>
      <w:r>
        <w:rPr>
          <w:spacing w:val="-3"/>
        </w:rPr>
        <w:t xml:space="preserve"> </w:t>
      </w:r>
      <w:r>
        <w:rPr>
          <w:spacing w:val="-3"/>
        </w:rPr>
        <w:t>房、防排烟机房等重要的消防设施操作控制场所，应</w:t>
      </w:r>
      <w:r>
        <w:rPr>
          <w:spacing w:val="-3"/>
        </w:rPr>
        <w:t xml:space="preserve"> </w:t>
      </w:r>
    </w:p>
    <w:p w14:paraId="26B11340" w14:textId="77777777" w:rsidR="00A71EEF" w:rsidRDefault="0081115D">
      <w:pPr>
        <w:pStyle w:val="a3"/>
        <w:spacing w:line="446" w:lineRule="auto"/>
        <w:ind w:left="418" w:right="1608" w:firstLine="419"/>
      </w:pPr>
      <w:r>
        <w:rPr>
          <w:spacing w:val="-3"/>
        </w:rPr>
        <w:t>建筑消防设施投入使用后，应处于正常工作状态。建筑消防设施的电源开关、管道阀门，</w:t>
      </w:r>
      <w:r>
        <w:rPr>
          <w:spacing w:val="-3"/>
        </w:rPr>
        <w:t xml:space="preserve"> </w:t>
      </w:r>
      <w:r>
        <w:rPr>
          <w:spacing w:val="-3"/>
        </w:rPr>
        <w:t>均应处于正常运行位置，并标示开、关状</w:t>
      </w:r>
      <w:r>
        <w:rPr>
          <w:spacing w:val="-3"/>
        </w:rPr>
        <w:t>态；对需要保持常开或常闭状态的阀门，应采取铅</w:t>
      </w:r>
      <w:r>
        <w:rPr>
          <w:spacing w:val="-3"/>
        </w:rPr>
        <w:t xml:space="preserve"> </w:t>
      </w:r>
      <w:r>
        <w:rPr>
          <w:spacing w:val="-3"/>
        </w:rPr>
        <w:t>封、标识等限位措根据工作、生产、经营特点建立值班制度，确保火灾情况下有人能按操作规程及时，正确操作建筑消防设施。</w:t>
      </w:r>
      <w:r>
        <w:t xml:space="preserve"> </w:t>
      </w:r>
    </w:p>
    <w:p w14:paraId="723C4235" w14:textId="77777777" w:rsidR="00A71EEF" w:rsidRDefault="0081115D">
      <w:pPr>
        <w:pStyle w:val="a3"/>
        <w:spacing w:line="446" w:lineRule="auto"/>
        <w:ind w:left="418" w:right="1609" w:firstLine="419"/>
      </w:pPr>
      <w:r>
        <w:t>单位制定灭火和应急疏散预案以及组织预案演练时，应将建筑消防设施的操作内容纳入其中，对操作过程中发现的问题应及时纠正。</w:t>
      </w:r>
      <w:r>
        <w:t xml:space="preserve"> </w:t>
      </w:r>
    </w:p>
    <w:p w14:paraId="0CC4E1CB" w14:textId="77777777" w:rsidR="00A71EEF" w:rsidRDefault="0081115D">
      <w:pPr>
        <w:pStyle w:val="a4"/>
        <w:numPr>
          <w:ilvl w:val="1"/>
          <w:numId w:val="495"/>
        </w:numPr>
        <w:tabs>
          <w:tab w:val="left" w:pos="1160"/>
        </w:tabs>
        <w:ind w:left="1159"/>
        <w:rPr>
          <w:sz w:val="21"/>
        </w:rPr>
      </w:pPr>
      <w:r>
        <w:rPr>
          <w:spacing w:val="-3"/>
          <w:sz w:val="21"/>
        </w:rPr>
        <w:t>消防控制室值班时间和人员应符合以下要求：</w:t>
      </w:r>
      <w:r>
        <w:rPr>
          <w:sz w:val="21"/>
        </w:rPr>
        <w:t xml:space="preserve"> </w:t>
      </w:r>
    </w:p>
    <w:p w14:paraId="7816EA01" w14:textId="77777777" w:rsidR="00A71EEF" w:rsidRDefault="00A71EEF">
      <w:pPr>
        <w:pStyle w:val="a3"/>
        <w:spacing w:before="9"/>
        <w:rPr>
          <w:sz w:val="17"/>
        </w:rPr>
      </w:pPr>
    </w:p>
    <w:p w14:paraId="221C3096" w14:textId="77777777" w:rsidR="00A71EEF" w:rsidRDefault="0081115D">
      <w:pPr>
        <w:pStyle w:val="a4"/>
        <w:numPr>
          <w:ilvl w:val="0"/>
          <w:numId w:val="494"/>
        </w:numPr>
        <w:tabs>
          <w:tab w:val="left" w:pos="1051"/>
        </w:tabs>
        <w:spacing w:line="446" w:lineRule="auto"/>
        <w:ind w:right="1609" w:firstLine="419"/>
        <w:rPr>
          <w:sz w:val="21"/>
        </w:rPr>
      </w:pPr>
      <w:r>
        <w:rPr>
          <w:spacing w:val="-10"/>
          <w:sz w:val="21"/>
        </w:rPr>
        <w:t>实行每日</w:t>
      </w:r>
      <w:r>
        <w:rPr>
          <w:spacing w:val="-10"/>
          <w:sz w:val="21"/>
        </w:rPr>
        <w:t xml:space="preserve"> </w:t>
      </w:r>
      <w:r>
        <w:rPr>
          <w:sz w:val="21"/>
        </w:rPr>
        <w:t>24h</w:t>
      </w:r>
      <w:r>
        <w:rPr>
          <w:spacing w:val="-7"/>
          <w:sz w:val="21"/>
        </w:rPr>
        <w:t xml:space="preserve"> </w:t>
      </w:r>
      <w:r>
        <w:rPr>
          <w:spacing w:val="-7"/>
          <w:sz w:val="21"/>
        </w:rPr>
        <w:t>值班制度，值班人员应通过消防行业特有工种职业技能鉴定，持有初级技</w:t>
      </w:r>
      <w:r>
        <w:rPr>
          <w:spacing w:val="-4"/>
          <w:sz w:val="21"/>
        </w:rPr>
        <w:t>能以上等级的职业资格证书。</w:t>
      </w:r>
      <w:r>
        <w:rPr>
          <w:sz w:val="21"/>
        </w:rPr>
        <w:t xml:space="preserve"> </w:t>
      </w:r>
    </w:p>
    <w:p w14:paraId="2E80A6A9" w14:textId="77777777" w:rsidR="00A71EEF" w:rsidRDefault="0081115D">
      <w:pPr>
        <w:pStyle w:val="a4"/>
        <w:numPr>
          <w:ilvl w:val="0"/>
          <w:numId w:val="494"/>
        </w:numPr>
        <w:tabs>
          <w:tab w:val="left" w:pos="1051"/>
        </w:tabs>
        <w:ind w:left="1050"/>
        <w:rPr>
          <w:sz w:val="21"/>
        </w:rPr>
      </w:pPr>
      <w:r>
        <w:rPr>
          <w:spacing w:val="-8"/>
          <w:sz w:val="21"/>
        </w:rPr>
        <w:t>每班工作时间应不大于</w:t>
      </w:r>
      <w:r>
        <w:rPr>
          <w:spacing w:val="-8"/>
          <w:sz w:val="21"/>
        </w:rPr>
        <w:t xml:space="preserve"> </w:t>
      </w:r>
      <w:r>
        <w:rPr>
          <w:sz w:val="21"/>
        </w:rPr>
        <w:t>8h</w:t>
      </w:r>
      <w:r>
        <w:rPr>
          <w:spacing w:val="-9"/>
          <w:sz w:val="21"/>
        </w:rPr>
        <w:t>，每班人员应不少于</w:t>
      </w:r>
      <w:r>
        <w:rPr>
          <w:spacing w:val="-9"/>
          <w:sz w:val="21"/>
        </w:rPr>
        <w:t xml:space="preserve"> </w:t>
      </w:r>
      <w:r>
        <w:rPr>
          <w:sz w:val="21"/>
        </w:rPr>
        <w:t>2</w:t>
      </w:r>
      <w:r>
        <w:rPr>
          <w:spacing w:val="-9"/>
          <w:sz w:val="21"/>
        </w:rPr>
        <w:t xml:space="preserve"> </w:t>
      </w:r>
      <w:r>
        <w:rPr>
          <w:spacing w:val="-9"/>
          <w:sz w:val="21"/>
        </w:rPr>
        <w:t>人，值班人员对火灾报警控制器进行</w:t>
      </w:r>
    </w:p>
    <w:p w14:paraId="188675C4" w14:textId="77777777" w:rsidR="00A71EEF" w:rsidRDefault="00A71EEF">
      <w:pPr>
        <w:rPr>
          <w:sz w:val="21"/>
        </w:rPr>
        <w:sectPr w:rsidR="00A71EEF">
          <w:pgSz w:w="11910" w:h="16850"/>
          <w:pgMar w:top="1220" w:right="0" w:bottom="1420" w:left="1260" w:header="0" w:footer="1239" w:gutter="0"/>
          <w:cols w:space="720"/>
        </w:sectPr>
      </w:pPr>
    </w:p>
    <w:p w14:paraId="7960A7E8" w14:textId="77777777" w:rsidR="00A71EEF" w:rsidRDefault="0081115D">
      <w:pPr>
        <w:pStyle w:val="a3"/>
        <w:spacing w:before="47" w:line="446" w:lineRule="auto"/>
        <w:ind w:left="418" w:right="1450"/>
        <w:jc w:val="both"/>
      </w:pPr>
      <w:r>
        <w:rPr>
          <w:spacing w:val="-3"/>
        </w:rPr>
        <w:t>日检查、接班、交班时、应填写《消防控制室值班记录表》（</w:t>
      </w:r>
      <w:r>
        <w:rPr>
          <w:spacing w:val="-8"/>
        </w:rPr>
        <w:t>见表</w:t>
      </w:r>
      <w:r>
        <w:rPr>
          <w:spacing w:val="-8"/>
        </w:rPr>
        <w:t xml:space="preserve"> </w:t>
      </w:r>
      <w:r>
        <w:t>A.1</w:t>
      </w:r>
      <w:r>
        <w:t>）</w:t>
      </w:r>
      <w:r>
        <w:rPr>
          <w:spacing w:val="-3"/>
        </w:rPr>
        <w:t>的相关内容。值班期间</w:t>
      </w:r>
      <w:r>
        <w:rPr>
          <w:spacing w:val="-21"/>
        </w:rPr>
        <w:t>每</w:t>
      </w:r>
      <w:r>
        <w:rPr>
          <w:spacing w:val="-21"/>
        </w:rPr>
        <w:t xml:space="preserve"> </w:t>
      </w:r>
      <w:r>
        <w:t>2h</w:t>
      </w:r>
      <w:r>
        <w:rPr>
          <w:spacing w:val="-8"/>
        </w:rPr>
        <w:t xml:space="preserve"> </w:t>
      </w:r>
      <w:r>
        <w:rPr>
          <w:spacing w:val="-8"/>
        </w:rPr>
        <w:t>记录一次消防控制室内消防设备的运行情况，及时记录消防控制室内消防设备的火警或故</w:t>
      </w:r>
      <w:r>
        <w:rPr>
          <w:spacing w:val="-6"/>
        </w:rPr>
        <w:t>障情况。</w:t>
      </w:r>
      <w:r>
        <w:t xml:space="preserve"> </w:t>
      </w:r>
    </w:p>
    <w:p w14:paraId="0C1668F8" w14:textId="77777777" w:rsidR="00A71EEF" w:rsidRDefault="0081115D">
      <w:pPr>
        <w:pStyle w:val="a4"/>
        <w:numPr>
          <w:ilvl w:val="0"/>
          <w:numId w:val="494"/>
        </w:numPr>
        <w:tabs>
          <w:tab w:val="left" w:pos="1051"/>
        </w:tabs>
        <w:spacing w:line="446" w:lineRule="auto"/>
        <w:ind w:right="1608" w:firstLine="419"/>
        <w:jc w:val="both"/>
        <w:rPr>
          <w:sz w:val="21"/>
        </w:rPr>
      </w:pPr>
      <w:r>
        <w:rPr>
          <w:spacing w:val="-3"/>
          <w:sz w:val="21"/>
        </w:rPr>
        <w:t>正常工作状态下，不应将自动喷水灭火系统、防烟排烟系统和联动控制的防火卷帘等防火分隔设施设置在手动控制状态</w:t>
      </w:r>
      <w:r>
        <w:rPr>
          <w:spacing w:val="-3"/>
          <w:sz w:val="21"/>
        </w:rPr>
        <w:t xml:space="preserve"> </w:t>
      </w:r>
      <w:r>
        <w:rPr>
          <w:spacing w:val="-3"/>
          <w:sz w:val="21"/>
        </w:rPr>
        <w:t>，其他消防设施及相关设备如设置在手动状态时，应有在火灾情况下迅速将手动控制转换为自动控制的可靠措施。</w:t>
      </w:r>
      <w:r>
        <w:rPr>
          <w:sz w:val="21"/>
        </w:rPr>
        <w:t xml:space="preserve"> </w:t>
      </w:r>
    </w:p>
    <w:p w14:paraId="52C5A4F8" w14:textId="77777777" w:rsidR="00A71EEF" w:rsidRDefault="0081115D">
      <w:pPr>
        <w:pStyle w:val="a4"/>
        <w:numPr>
          <w:ilvl w:val="1"/>
          <w:numId w:val="495"/>
        </w:numPr>
        <w:tabs>
          <w:tab w:val="left" w:pos="1159"/>
        </w:tabs>
        <w:spacing w:line="446" w:lineRule="auto"/>
        <w:ind w:left="838" w:right="3287" w:firstLine="2"/>
        <w:rPr>
          <w:sz w:val="21"/>
        </w:rPr>
      </w:pPr>
      <w:r>
        <w:rPr>
          <w:spacing w:val="-2"/>
          <w:sz w:val="21"/>
        </w:rPr>
        <w:t>消防控制室值班人员接到报警信号后，应按下列</w:t>
      </w:r>
      <w:r>
        <w:rPr>
          <w:spacing w:val="-2"/>
          <w:sz w:val="21"/>
        </w:rPr>
        <w:t>程序进行处理：</w:t>
      </w:r>
      <w:r>
        <w:rPr>
          <w:spacing w:val="-2"/>
          <w:sz w:val="21"/>
        </w:rPr>
        <w:t xml:space="preserve"> </w:t>
      </w:r>
      <w:r>
        <w:rPr>
          <w:sz w:val="21"/>
        </w:rPr>
        <w:t xml:space="preserve">a) </w:t>
      </w:r>
      <w:r>
        <w:rPr>
          <w:spacing w:val="-3"/>
          <w:sz w:val="21"/>
        </w:rPr>
        <w:t>接到火灾报警信息后，应以最快方式确认。</w:t>
      </w:r>
      <w:r>
        <w:rPr>
          <w:sz w:val="21"/>
        </w:rPr>
        <w:t xml:space="preserve"> </w:t>
      </w:r>
    </w:p>
    <w:p w14:paraId="0356A4C0" w14:textId="77777777" w:rsidR="00A71EEF" w:rsidRDefault="0081115D">
      <w:pPr>
        <w:pStyle w:val="a4"/>
        <w:numPr>
          <w:ilvl w:val="0"/>
          <w:numId w:val="493"/>
        </w:numPr>
        <w:tabs>
          <w:tab w:val="left" w:pos="1051"/>
        </w:tabs>
        <w:spacing w:line="267" w:lineRule="exact"/>
        <w:rPr>
          <w:sz w:val="21"/>
        </w:rPr>
      </w:pPr>
      <w:r>
        <w:rPr>
          <w:spacing w:val="-3"/>
          <w:sz w:val="21"/>
        </w:rPr>
        <w:t>确认属于误报时，查找误报原因并填写《建筑消防设施故障维修记录表》</w:t>
      </w:r>
      <w:r>
        <w:rPr>
          <w:sz w:val="21"/>
        </w:rPr>
        <w:t>（</w:t>
      </w:r>
      <w:r>
        <w:rPr>
          <w:spacing w:val="-2"/>
          <w:sz w:val="21"/>
        </w:rPr>
        <w:t>见表</w:t>
      </w:r>
    </w:p>
    <w:p w14:paraId="2DFB0762" w14:textId="77777777" w:rsidR="00A71EEF" w:rsidRDefault="00A71EEF">
      <w:pPr>
        <w:pStyle w:val="a3"/>
        <w:rPr>
          <w:sz w:val="18"/>
        </w:rPr>
      </w:pPr>
    </w:p>
    <w:p w14:paraId="125705D5" w14:textId="77777777" w:rsidR="00A71EEF" w:rsidRDefault="0081115D">
      <w:pPr>
        <w:pStyle w:val="a3"/>
        <w:ind w:left="418"/>
      </w:pPr>
      <w:r>
        <w:t>B.1</w:t>
      </w:r>
      <w:r>
        <w:t>）。</w:t>
      </w:r>
      <w:r>
        <w:t xml:space="preserve"> </w:t>
      </w:r>
    </w:p>
    <w:p w14:paraId="2F877DF1" w14:textId="77777777" w:rsidR="00A71EEF" w:rsidRDefault="00A71EEF">
      <w:pPr>
        <w:pStyle w:val="a3"/>
        <w:spacing w:before="12"/>
        <w:rPr>
          <w:sz w:val="17"/>
        </w:rPr>
      </w:pPr>
    </w:p>
    <w:p w14:paraId="7BF75DEA" w14:textId="77777777" w:rsidR="00A71EEF" w:rsidRDefault="0081115D">
      <w:pPr>
        <w:pStyle w:val="a4"/>
        <w:numPr>
          <w:ilvl w:val="0"/>
          <w:numId w:val="493"/>
        </w:numPr>
        <w:tabs>
          <w:tab w:val="left" w:pos="1051"/>
        </w:tabs>
        <w:spacing w:line="446" w:lineRule="auto"/>
        <w:ind w:left="418" w:right="1609" w:firstLine="419"/>
        <w:rPr>
          <w:sz w:val="21"/>
        </w:rPr>
      </w:pPr>
      <w:r>
        <w:rPr>
          <w:spacing w:val="-3"/>
          <w:sz w:val="21"/>
        </w:rPr>
        <w:t>火灾确认后，立即将火灾报警联动控制开关转入自动状态</w:t>
      </w:r>
      <w:r>
        <w:rPr>
          <w:sz w:val="21"/>
        </w:rPr>
        <w:t>（</w:t>
      </w:r>
      <w:r>
        <w:rPr>
          <w:spacing w:val="-3"/>
          <w:sz w:val="21"/>
        </w:rPr>
        <w:t>处于自动状态的除外</w:t>
      </w:r>
      <w:r>
        <w:rPr>
          <w:sz w:val="21"/>
        </w:rPr>
        <w:t>），同</w:t>
      </w:r>
      <w:r>
        <w:rPr>
          <w:spacing w:val="-2"/>
          <w:sz w:val="21"/>
        </w:rPr>
        <w:t>时拨打</w:t>
      </w:r>
      <w:r>
        <w:rPr>
          <w:spacing w:val="-2"/>
          <w:sz w:val="21"/>
        </w:rPr>
        <w:t>“</w:t>
      </w:r>
      <w:r>
        <w:rPr>
          <w:sz w:val="21"/>
        </w:rPr>
        <w:t>119</w:t>
      </w:r>
      <w:r>
        <w:rPr>
          <w:spacing w:val="-3"/>
          <w:sz w:val="21"/>
        </w:rPr>
        <w:t>”</w:t>
      </w:r>
      <w:r>
        <w:rPr>
          <w:spacing w:val="-3"/>
          <w:sz w:val="21"/>
        </w:rPr>
        <w:t>火警电话报警。</w:t>
      </w:r>
      <w:r>
        <w:rPr>
          <w:sz w:val="21"/>
        </w:rPr>
        <w:t xml:space="preserve"> </w:t>
      </w:r>
    </w:p>
    <w:p w14:paraId="5BDAD244" w14:textId="77777777" w:rsidR="00A71EEF" w:rsidRDefault="0081115D">
      <w:pPr>
        <w:pStyle w:val="a4"/>
        <w:numPr>
          <w:ilvl w:val="0"/>
          <w:numId w:val="493"/>
        </w:numPr>
        <w:tabs>
          <w:tab w:val="left" w:pos="1051"/>
        </w:tabs>
        <w:spacing w:line="446" w:lineRule="auto"/>
        <w:ind w:left="418" w:right="1609" w:firstLine="419"/>
        <w:rPr>
          <w:sz w:val="21"/>
        </w:rPr>
      </w:pPr>
      <w:r>
        <w:rPr>
          <w:spacing w:val="-3"/>
          <w:sz w:val="21"/>
        </w:rPr>
        <w:t>立即启动单位内部灭火和应急疏散预案，同时报告单位消防安全责任人，单位消防安全责任人接到报告后应立即赶赴现场。</w:t>
      </w:r>
      <w:r>
        <w:rPr>
          <w:sz w:val="21"/>
        </w:rPr>
        <w:t xml:space="preserve"> </w:t>
      </w:r>
    </w:p>
    <w:p w14:paraId="74C16912" w14:textId="77777777" w:rsidR="00A71EEF" w:rsidRDefault="0081115D">
      <w:pPr>
        <w:pStyle w:val="a4"/>
        <w:numPr>
          <w:ilvl w:val="1"/>
          <w:numId w:val="495"/>
        </w:numPr>
        <w:tabs>
          <w:tab w:val="left" w:pos="1159"/>
        </w:tabs>
        <w:spacing w:line="267" w:lineRule="exact"/>
        <w:ind w:left="1158" w:hanging="319"/>
        <w:rPr>
          <w:sz w:val="21"/>
        </w:rPr>
      </w:pPr>
      <w:r>
        <w:rPr>
          <w:spacing w:val="-6"/>
          <w:sz w:val="21"/>
        </w:rPr>
        <w:t>消防控制室的安全管理信息、控制及显示要求满足</w:t>
      </w:r>
      <w:r>
        <w:rPr>
          <w:spacing w:val="-6"/>
          <w:sz w:val="21"/>
        </w:rPr>
        <w:t xml:space="preserve"> </w:t>
      </w:r>
      <w:r>
        <w:rPr>
          <w:sz w:val="21"/>
        </w:rPr>
        <w:t>GA</w:t>
      </w:r>
      <w:r>
        <w:rPr>
          <w:spacing w:val="2"/>
          <w:sz w:val="21"/>
        </w:rPr>
        <w:t xml:space="preserve"> </w:t>
      </w:r>
      <w:r>
        <w:rPr>
          <w:sz w:val="21"/>
        </w:rPr>
        <w:t>767</w:t>
      </w:r>
      <w:r>
        <w:rPr>
          <w:spacing w:val="-12"/>
          <w:sz w:val="21"/>
        </w:rPr>
        <w:t xml:space="preserve"> </w:t>
      </w:r>
      <w:r>
        <w:rPr>
          <w:spacing w:val="-12"/>
          <w:sz w:val="21"/>
        </w:rPr>
        <w:t>的规定。</w:t>
      </w:r>
      <w:r>
        <w:rPr>
          <w:spacing w:val="-12"/>
          <w:sz w:val="21"/>
        </w:rPr>
        <w:t xml:space="preserve"> </w:t>
      </w:r>
    </w:p>
    <w:p w14:paraId="3AE8C6BC" w14:textId="77777777" w:rsidR="00A71EEF" w:rsidRDefault="00A71EEF">
      <w:pPr>
        <w:pStyle w:val="a3"/>
        <w:spacing w:before="10"/>
        <w:rPr>
          <w:sz w:val="15"/>
        </w:rPr>
      </w:pPr>
    </w:p>
    <w:p w14:paraId="0F1CE30E" w14:textId="77777777" w:rsidR="00A71EEF" w:rsidRDefault="0081115D">
      <w:pPr>
        <w:pStyle w:val="4"/>
      </w:pPr>
      <w:r>
        <w:t xml:space="preserve">6 </w:t>
      </w:r>
      <w:r>
        <w:t>巡查</w:t>
      </w:r>
      <w:r>
        <w:rPr>
          <w:w w:val="99"/>
        </w:rPr>
        <w:t xml:space="preserve"> </w:t>
      </w:r>
    </w:p>
    <w:p w14:paraId="623F51DF" w14:textId="77777777" w:rsidR="00A71EEF" w:rsidRDefault="00A71EEF">
      <w:pPr>
        <w:pStyle w:val="a3"/>
        <w:spacing w:before="4"/>
        <w:rPr>
          <w:b/>
          <w:sz w:val="17"/>
        </w:rPr>
      </w:pPr>
    </w:p>
    <w:p w14:paraId="3234C449" w14:textId="77777777" w:rsidR="00A71EEF" w:rsidRDefault="0081115D">
      <w:pPr>
        <w:pStyle w:val="a4"/>
        <w:numPr>
          <w:ilvl w:val="1"/>
          <w:numId w:val="492"/>
        </w:numPr>
        <w:tabs>
          <w:tab w:val="left" w:pos="1159"/>
        </w:tabs>
        <w:ind w:hanging="319"/>
        <w:rPr>
          <w:sz w:val="21"/>
        </w:rPr>
      </w:pPr>
      <w:r>
        <w:rPr>
          <w:spacing w:val="-3"/>
          <w:sz w:val="21"/>
        </w:rPr>
        <w:t>一般要求</w:t>
      </w:r>
      <w:r>
        <w:rPr>
          <w:sz w:val="21"/>
        </w:rPr>
        <w:t xml:space="preserve"> </w:t>
      </w:r>
    </w:p>
    <w:p w14:paraId="2D5AEA0E" w14:textId="77777777" w:rsidR="00A71EEF" w:rsidRDefault="00A71EEF">
      <w:pPr>
        <w:pStyle w:val="a3"/>
        <w:rPr>
          <w:sz w:val="18"/>
        </w:rPr>
      </w:pPr>
    </w:p>
    <w:p w14:paraId="13D1E425" w14:textId="77777777" w:rsidR="00A71EEF" w:rsidRDefault="0081115D">
      <w:pPr>
        <w:pStyle w:val="a4"/>
        <w:numPr>
          <w:ilvl w:val="2"/>
          <w:numId w:val="492"/>
        </w:numPr>
        <w:tabs>
          <w:tab w:val="left" w:pos="1370"/>
        </w:tabs>
        <w:spacing w:line="446" w:lineRule="auto"/>
        <w:ind w:right="1604" w:firstLine="422"/>
        <w:rPr>
          <w:sz w:val="21"/>
        </w:rPr>
      </w:pPr>
      <w:r>
        <w:rPr>
          <w:spacing w:val="-3"/>
          <w:sz w:val="21"/>
        </w:rPr>
        <w:t>建筑消防设施的巡查应由归口管理消防设施的部门或单位实施，按照工作、生产、经营的实际情况，将巡查的职责落实到相关的工作岗位。</w:t>
      </w:r>
      <w:r>
        <w:rPr>
          <w:sz w:val="21"/>
        </w:rPr>
        <w:t xml:space="preserve"> </w:t>
      </w:r>
    </w:p>
    <w:p w14:paraId="762A16BC" w14:textId="77777777" w:rsidR="00A71EEF" w:rsidRDefault="0081115D">
      <w:pPr>
        <w:pStyle w:val="a4"/>
        <w:numPr>
          <w:ilvl w:val="2"/>
          <w:numId w:val="492"/>
        </w:numPr>
        <w:tabs>
          <w:tab w:val="left" w:pos="1370"/>
        </w:tabs>
        <w:spacing w:line="446" w:lineRule="auto"/>
        <w:ind w:right="1604" w:firstLine="422"/>
        <w:rPr>
          <w:sz w:val="21"/>
        </w:rPr>
      </w:pPr>
      <w:r>
        <w:rPr>
          <w:spacing w:val="-3"/>
          <w:sz w:val="21"/>
        </w:rPr>
        <w:t>从事建筑消防设施巡査的人员，应通过消防行业特有工种职业技能鉴定，持有初级技能以上等级的职业资格证书。</w:t>
      </w:r>
      <w:r>
        <w:rPr>
          <w:sz w:val="21"/>
        </w:rPr>
        <w:t xml:space="preserve"> </w:t>
      </w:r>
    </w:p>
    <w:p w14:paraId="47B72C72" w14:textId="77777777" w:rsidR="00A71EEF" w:rsidRDefault="0081115D">
      <w:pPr>
        <w:pStyle w:val="a4"/>
        <w:numPr>
          <w:ilvl w:val="2"/>
          <w:numId w:val="492"/>
        </w:numPr>
        <w:tabs>
          <w:tab w:val="left" w:pos="1371"/>
        </w:tabs>
        <w:spacing w:line="446" w:lineRule="auto"/>
        <w:ind w:right="1604" w:firstLine="422"/>
        <w:rPr>
          <w:sz w:val="21"/>
        </w:rPr>
      </w:pPr>
      <w:r>
        <w:rPr>
          <w:spacing w:val="-3"/>
          <w:sz w:val="21"/>
        </w:rPr>
        <w:t>建筑消防设施巡查应明确各类建筑消防设施的巡査部位、频次和内容。巡查时应填写《建筑消防设施巡査记录表》</w:t>
      </w:r>
      <w:r>
        <w:rPr>
          <w:sz w:val="21"/>
        </w:rPr>
        <w:t>（</w:t>
      </w:r>
      <w:r>
        <w:rPr>
          <w:spacing w:val="-19"/>
          <w:sz w:val="21"/>
        </w:rPr>
        <w:t>见表</w:t>
      </w:r>
      <w:r>
        <w:rPr>
          <w:spacing w:val="-19"/>
          <w:sz w:val="21"/>
        </w:rPr>
        <w:t xml:space="preserve"> </w:t>
      </w:r>
      <w:r>
        <w:rPr>
          <w:sz w:val="21"/>
        </w:rPr>
        <w:t>C.1</w:t>
      </w:r>
      <w:r>
        <w:rPr>
          <w:spacing w:val="-7"/>
          <w:sz w:val="21"/>
        </w:rPr>
        <w:t>)</w:t>
      </w:r>
      <w:r>
        <w:rPr>
          <w:spacing w:val="-7"/>
          <w:sz w:val="21"/>
        </w:rPr>
        <w:t>。巡查时发现故障，应按第</w:t>
      </w:r>
      <w:r>
        <w:rPr>
          <w:spacing w:val="-7"/>
          <w:sz w:val="21"/>
        </w:rPr>
        <w:t xml:space="preserve"> </w:t>
      </w:r>
      <w:r>
        <w:rPr>
          <w:sz w:val="21"/>
        </w:rPr>
        <w:t>8</w:t>
      </w:r>
      <w:r>
        <w:rPr>
          <w:spacing w:val="-9"/>
          <w:sz w:val="21"/>
        </w:rPr>
        <w:t xml:space="preserve"> </w:t>
      </w:r>
      <w:r>
        <w:rPr>
          <w:spacing w:val="-9"/>
          <w:sz w:val="21"/>
        </w:rPr>
        <w:t>章要求处理。</w:t>
      </w:r>
      <w:r>
        <w:rPr>
          <w:spacing w:val="-9"/>
          <w:sz w:val="21"/>
        </w:rPr>
        <w:t xml:space="preserve"> </w:t>
      </w:r>
    </w:p>
    <w:p w14:paraId="5930FEE2" w14:textId="77777777" w:rsidR="00A71EEF" w:rsidRDefault="0081115D">
      <w:pPr>
        <w:pStyle w:val="a4"/>
        <w:numPr>
          <w:ilvl w:val="2"/>
          <w:numId w:val="492"/>
        </w:numPr>
        <w:tabs>
          <w:tab w:val="left" w:pos="1370"/>
        </w:tabs>
        <w:spacing w:line="267" w:lineRule="exact"/>
        <w:ind w:left="1369" w:hanging="530"/>
        <w:rPr>
          <w:sz w:val="21"/>
        </w:rPr>
      </w:pPr>
      <w:r>
        <w:rPr>
          <w:spacing w:val="-3"/>
          <w:sz w:val="21"/>
        </w:rPr>
        <w:t>建筑消防设施巡査频次应满足下列要求：</w:t>
      </w:r>
      <w:r>
        <w:rPr>
          <w:sz w:val="21"/>
        </w:rPr>
        <w:t xml:space="preserve"> </w:t>
      </w:r>
    </w:p>
    <w:p w14:paraId="47AF0C67" w14:textId="77777777" w:rsidR="00A71EEF" w:rsidRDefault="00A71EEF">
      <w:pPr>
        <w:pStyle w:val="a3"/>
        <w:spacing w:before="2"/>
        <w:rPr>
          <w:sz w:val="18"/>
        </w:rPr>
      </w:pPr>
    </w:p>
    <w:p w14:paraId="217B9F44" w14:textId="77777777" w:rsidR="00A71EEF" w:rsidRDefault="0081115D">
      <w:pPr>
        <w:pStyle w:val="a4"/>
        <w:numPr>
          <w:ilvl w:val="0"/>
          <w:numId w:val="491"/>
        </w:numPr>
        <w:tabs>
          <w:tab w:val="left" w:pos="1051"/>
        </w:tabs>
        <w:spacing w:line="446" w:lineRule="auto"/>
        <w:ind w:right="1611" w:firstLine="419"/>
        <w:rPr>
          <w:sz w:val="21"/>
        </w:rPr>
      </w:pPr>
      <w:r>
        <w:rPr>
          <w:spacing w:val="-5"/>
          <w:sz w:val="21"/>
        </w:rPr>
        <w:t>公共娱乐场所营业时，应结合公共娱乐场每</w:t>
      </w:r>
      <w:r>
        <w:rPr>
          <w:spacing w:val="-5"/>
          <w:sz w:val="21"/>
        </w:rPr>
        <w:t xml:space="preserve"> </w:t>
      </w:r>
      <w:r>
        <w:rPr>
          <w:sz w:val="21"/>
        </w:rPr>
        <w:t>2h</w:t>
      </w:r>
      <w:r>
        <w:rPr>
          <w:spacing w:val="-8"/>
          <w:sz w:val="21"/>
        </w:rPr>
        <w:t xml:space="preserve"> </w:t>
      </w:r>
      <w:r>
        <w:rPr>
          <w:spacing w:val="-8"/>
          <w:sz w:val="21"/>
        </w:rPr>
        <w:t>巡查一次的要求，视情况将建筑消防</w:t>
      </w:r>
      <w:r>
        <w:rPr>
          <w:spacing w:val="-8"/>
          <w:sz w:val="21"/>
        </w:rPr>
        <w:t>设</w:t>
      </w:r>
      <w:r>
        <w:rPr>
          <w:spacing w:val="-5"/>
          <w:sz w:val="21"/>
        </w:rPr>
        <w:t>施的巡查部分或全部纳入其中，但全部建筑消防设施应保证每日至少巡查一次；</w:t>
      </w:r>
      <w:r>
        <w:rPr>
          <w:sz w:val="21"/>
        </w:rPr>
        <w:t xml:space="preserve"> </w:t>
      </w:r>
    </w:p>
    <w:p w14:paraId="1E99B0FF" w14:textId="77777777" w:rsidR="00A71EEF" w:rsidRDefault="0081115D">
      <w:pPr>
        <w:pStyle w:val="a4"/>
        <w:numPr>
          <w:ilvl w:val="0"/>
          <w:numId w:val="491"/>
        </w:numPr>
        <w:tabs>
          <w:tab w:val="left" w:pos="1051"/>
        </w:tabs>
        <w:spacing w:line="446" w:lineRule="auto"/>
        <w:ind w:left="838" w:right="6025" w:firstLine="0"/>
        <w:rPr>
          <w:sz w:val="21"/>
        </w:rPr>
      </w:pPr>
      <w:r>
        <w:rPr>
          <w:spacing w:val="-3"/>
          <w:sz w:val="21"/>
        </w:rPr>
        <w:t>消防安全重点单位，每日巡查一次；</w:t>
      </w:r>
      <w:r>
        <w:rPr>
          <w:spacing w:val="-3"/>
          <w:sz w:val="21"/>
        </w:rPr>
        <w:t xml:space="preserve"> </w:t>
      </w:r>
      <w:r>
        <w:rPr>
          <w:sz w:val="21"/>
        </w:rPr>
        <w:t>c)</w:t>
      </w:r>
      <w:r>
        <w:rPr>
          <w:spacing w:val="-3"/>
          <w:sz w:val="21"/>
        </w:rPr>
        <w:t xml:space="preserve"> </w:t>
      </w:r>
      <w:r>
        <w:rPr>
          <w:spacing w:val="-3"/>
          <w:sz w:val="21"/>
        </w:rPr>
        <w:t>其他单位，每周至少巡査一次。</w:t>
      </w:r>
      <w:r>
        <w:rPr>
          <w:sz w:val="21"/>
        </w:rPr>
        <w:t xml:space="preserve"> </w:t>
      </w:r>
    </w:p>
    <w:p w14:paraId="0927F072" w14:textId="77777777" w:rsidR="00A71EEF" w:rsidRDefault="00A71EEF">
      <w:pPr>
        <w:spacing w:line="446" w:lineRule="auto"/>
        <w:rPr>
          <w:sz w:val="21"/>
        </w:rPr>
        <w:sectPr w:rsidR="00A71EEF">
          <w:pgSz w:w="11910" w:h="16850"/>
          <w:pgMar w:top="1220" w:right="0" w:bottom="1420" w:left="1260" w:header="0" w:footer="1239" w:gutter="0"/>
          <w:cols w:space="720"/>
        </w:sectPr>
      </w:pPr>
    </w:p>
    <w:p w14:paraId="5C3FF5AB" w14:textId="77777777" w:rsidR="00A71EEF" w:rsidRDefault="0081115D">
      <w:pPr>
        <w:pStyle w:val="a4"/>
        <w:numPr>
          <w:ilvl w:val="1"/>
          <w:numId w:val="492"/>
        </w:numPr>
        <w:tabs>
          <w:tab w:val="left" w:pos="1159"/>
        </w:tabs>
        <w:spacing w:before="47"/>
        <w:ind w:hanging="319"/>
        <w:rPr>
          <w:b/>
          <w:sz w:val="21"/>
        </w:rPr>
      </w:pPr>
      <w:r>
        <w:rPr>
          <w:spacing w:val="-3"/>
          <w:sz w:val="21"/>
        </w:rPr>
        <w:t>巡查内容</w:t>
      </w:r>
      <w:r>
        <w:rPr>
          <w:b/>
          <w:w w:val="99"/>
          <w:sz w:val="21"/>
        </w:rPr>
        <w:t xml:space="preserve"> </w:t>
      </w:r>
    </w:p>
    <w:p w14:paraId="1CC07A10" w14:textId="77777777" w:rsidR="00A71EEF" w:rsidRDefault="00A71EEF">
      <w:pPr>
        <w:pStyle w:val="a3"/>
        <w:rPr>
          <w:b/>
          <w:sz w:val="18"/>
        </w:rPr>
      </w:pPr>
    </w:p>
    <w:p w14:paraId="1F178298" w14:textId="77777777" w:rsidR="00A71EEF" w:rsidRDefault="0081115D">
      <w:pPr>
        <w:pStyle w:val="a4"/>
        <w:numPr>
          <w:ilvl w:val="2"/>
          <w:numId w:val="492"/>
        </w:numPr>
        <w:tabs>
          <w:tab w:val="left" w:pos="1371"/>
        </w:tabs>
        <w:ind w:left="1370" w:hanging="531"/>
        <w:rPr>
          <w:sz w:val="21"/>
        </w:rPr>
      </w:pPr>
      <w:r>
        <w:rPr>
          <w:spacing w:val="-7"/>
          <w:sz w:val="21"/>
        </w:rPr>
        <w:t>消防供配电设施的巡査内容见表</w:t>
      </w:r>
      <w:r>
        <w:rPr>
          <w:spacing w:val="-7"/>
          <w:sz w:val="21"/>
        </w:rPr>
        <w:t xml:space="preserve"> </w:t>
      </w:r>
      <w:r>
        <w:rPr>
          <w:sz w:val="21"/>
        </w:rPr>
        <w:t>C.1</w:t>
      </w:r>
      <w:r>
        <w:rPr>
          <w:spacing w:val="-8"/>
          <w:sz w:val="21"/>
        </w:rPr>
        <w:t xml:space="preserve"> </w:t>
      </w:r>
      <w:r>
        <w:rPr>
          <w:spacing w:val="-8"/>
          <w:sz w:val="21"/>
        </w:rPr>
        <w:t>中</w:t>
      </w:r>
      <w:r>
        <w:rPr>
          <w:spacing w:val="-8"/>
          <w:sz w:val="21"/>
        </w:rPr>
        <w:t>“</w:t>
      </w:r>
      <w:r>
        <w:rPr>
          <w:spacing w:val="-8"/>
          <w:sz w:val="21"/>
        </w:rPr>
        <w:t>消防供配电设施</w:t>
      </w:r>
      <w:r>
        <w:rPr>
          <w:spacing w:val="-8"/>
          <w:sz w:val="21"/>
        </w:rPr>
        <w:t>”</w:t>
      </w:r>
      <w:r>
        <w:rPr>
          <w:spacing w:val="-8"/>
          <w:sz w:val="21"/>
        </w:rPr>
        <w:t>部分。</w:t>
      </w:r>
      <w:r>
        <w:rPr>
          <w:sz w:val="21"/>
        </w:rPr>
        <w:t xml:space="preserve"> </w:t>
      </w:r>
    </w:p>
    <w:p w14:paraId="63F9BF55" w14:textId="77777777" w:rsidR="00A71EEF" w:rsidRDefault="00A71EEF">
      <w:pPr>
        <w:pStyle w:val="a3"/>
        <w:rPr>
          <w:sz w:val="18"/>
        </w:rPr>
      </w:pPr>
    </w:p>
    <w:p w14:paraId="7F2E0FF8" w14:textId="77777777" w:rsidR="00A71EEF" w:rsidRDefault="0081115D">
      <w:pPr>
        <w:pStyle w:val="a4"/>
        <w:numPr>
          <w:ilvl w:val="2"/>
          <w:numId w:val="492"/>
        </w:numPr>
        <w:tabs>
          <w:tab w:val="left" w:pos="1370"/>
        </w:tabs>
        <w:ind w:left="1369" w:hanging="530"/>
        <w:rPr>
          <w:sz w:val="21"/>
        </w:rPr>
      </w:pPr>
      <w:r>
        <w:rPr>
          <w:spacing w:val="-7"/>
          <w:sz w:val="21"/>
        </w:rPr>
        <w:t>火灾自动报警系统的巡査内容见表</w:t>
      </w:r>
      <w:r>
        <w:rPr>
          <w:spacing w:val="-7"/>
          <w:sz w:val="21"/>
        </w:rPr>
        <w:t xml:space="preserve"> </w:t>
      </w:r>
      <w:r>
        <w:rPr>
          <w:sz w:val="21"/>
        </w:rPr>
        <w:t>C.1</w:t>
      </w:r>
      <w:r>
        <w:rPr>
          <w:spacing w:val="-9"/>
          <w:sz w:val="21"/>
        </w:rPr>
        <w:t xml:space="preserve"> </w:t>
      </w:r>
      <w:r>
        <w:rPr>
          <w:spacing w:val="-9"/>
          <w:sz w:val="21"/>
        </w:rPr>
        <w:t>中</w:t>
      </w:r>
      <w:r>
        <w:rPr>
          <w:spacing w:val="-9"/>
          <w:sz w:val="21"/>
        </w:rPr>
        <w:t>“</w:t>
      </w:r>
      <w:r>
        <w:rPr>
          <w:spacing w:val="-9"/>
          <w:sz w:val="21"/>
        </w:rPr>
        <w:t>火灾自动报警系统</w:t>
      </w:r>
      <w:r>
        <w:rPr>
          <w:spacing w:val="-9"/>
          <w:sz w:val="21"/>
        </w:rPr>
        <w:t>”</w:t>
      </w:r>
      <w:r>
        <w:rPr>
          <w:spacing w:val="-9"/>
          <w:sz w:val="21"/>
        </w:rPr>
        <w:t>部分。</w:t>
      </w:r>
      <w:r>
        <w:rPr>
          <w:spacing w:val="-9"/>
          <w:sz w:val="21"/>
        </w:rPr>
        <w:t xml:space="preserve"> </w:t>
      </w:r>
    </w:p>
    <w:p w14:paraId="2527931C" w14:textId="77777777" w:rsidR="00A71EEF" w:rsidRDefault="00A71EEF">
      <w:pPr>
        <w:pStyle w:val="a3"/>
        <w:spacing w:before="1"/>
        <w:rPr>
          <w:sz w:val="18"/>
        </w:rPr>
      </w:pPr>
    </w:p>
    <w:p w14:paraId="7A434FF1" w14:textId="77777777" w:rsidR="00A71EEF" w:rsidRDefault="0081115D">
      <w:pPr>
        <w:pStyle w:val="a4"/>
        <w:numPr>
          <w:ilvl w:val="2"/>
          <w:numId w:val="492"/>
        </w:numPr>
        <w:tabs>
          <w:tab w:val="left" w:pos="1370"/>
        </w:tabs>
        <w:spacing w:before="1"/>
        <w:ind w:left="1369" w:hanging="530"/>
        <w:rPr>
          <w:sz w:val="21"/>
        </w:rPr>
      </w:pPr>
      <w:r>
        <w:rPr>
          <w:spacing w:val="-7"/>
          <w:sz w:val="21"/>
        </w:rPr>
        <w:t>电气火灾监控系统的巡査内容见表</w:t>
      </w:r>
      <w:r>
        <w:rPr>
          <w:spacing w:val="-7"/>
          <w:sz w:val="21"/>
        </w:rPr>
        <w:t xml:space="preserve"> </w:t>
      </w:r>
      <w:r>
        <w:rPr>
          <w:sz w:val="21"/>
        </w:rPr>
        <w:t>C</w:t>
      </w:r>
      <w:r>
        <w:rPr>
          <w:spacing w:val="2"/>
          <w:sz w:val="21"/>
        </w:rPr>
        <w:t xml:space="preserve">. </w:t>
      </w:r>
      <w:r>
        <w:rPr>
          <w:sz w:val="21"/>
        </w:rPr>
        <w:t>1</w:t>
      </w:r>
      <w:r>
        <w:rPr>
          <w:spacing w:val="-9"/>
          <w:sz w:val="21"/>
        </w:rPr>
        <w:t xml:space="preserve"> </w:t>
      </w:r>
      <w:r>
        <w:rPr>
          <w:spacing w:val="-9"/>
          <w:sz w:val="21"/>
        </w:rPr>
        <w:t>中</w:t>
      </w:r>
      <w:r>
        <w:rPr>
          <w:spacing w:val="-9"/>
          <w:sz w:val="21"/>
        </w:rPr>
        <w:t>“</w:t>
      </w:r>
      <w:r>
        <w:rPr>
          <w:spacing w:val="-9"/>
          <w:sz w:val="21"/>
        </w:rPr>
        <w:t>电气火灾监控系统</w:t>
      </w:r>
      <w:r>
        <w:rPr>
          <w:spacing w:val="-9"/>
          <w:sz w:val="21"/>
        </w:rPr>
        <w:t>”</w:t>
      </w:r>
      <w:r>
        <w:rPr>
          <w:spacing w:val="-9"/>
          <w:sz w:val="21"/>
        </w:rPr>
        <w:t>部分，</w:t>
      </w:r>
      <w:r>
        <w:rPr>
          <w:sz w:val="21"/>
        </w:rPr>
        <w:t xml:space="preserve"> </w:t>
      </w:r>
    </w:p>
    <w:p w14:paraId="035EC84A" w14:textId="77777777" w:rsidR="00A71EEF" w:rsidRDefault="00A71EEF">
      <w:pPr>
        <w:pStyle w:val="a3"/>
        <w:spacing w:before="12"/>
        <w:rPr>
          <w:sz w:val="17"/>
        </w:rPr>
      </w:pPr>
    </w:p>
    <w:p w14:paraId="66367C8C" w14:textId="77777777" w:rsidR="00A71EEF" w:rsidRDefault="0081115D">
      <w:pPr>
        <w:pStyle w:val="a4"/>
        <w:numPr>
          <w:ilvl w:val="2"/>
          <w:numId w:val="492"/>
        </w:numPr>
        <w:tabs>
          <w:tab w:val="left" w:pos="1370"/>
        </w:tabs>
        <w:ind w:left="1369" w:hanging="530"/>
        <w:rPr>
          <w:sz w:val="21"/>
        </w:rPr>
      </w:pPr>
      <w:r>
        <w:rPr>
          <w:spacing w:val="-6"/>
          <w:sz w:val="21"/>
        </w:rPr>
        <w:t>可燃气体探测报警系统的巡査内容见表</w:t>
      </w:r>
      <w:r>
        <w:rPr>
          <w:spacing w:val="-6"/>
          <w:sz w:val="21"/>
        </w:rPr>
        <w:t xml:space="preserve"> </w:t>
      </w:r>
      <w:r>
        <w:rPr>
          <w:sz w:val="21"/>
        </w:rPr>
        <w:t>C.1</w:t>
      </w:r>
      <w:r>
        <w:rPr>
          <w:spacing w:val="-9"/>
          <w:sz w:val="21"/>
        </w:rPr>
        <w:t xml:space="preserve"> </w:t>
      </w:r>
      <w:r>
        <w:rPr>
          <w:spacing w:val="-9"/>
          <w:sz w:val="21"/>
        </w:rPr>
        <w:t>中</w:t>
      </w:r>
      <w:r>
        <w:rPr>
          <w:spacing w:val="-9"/>
          <w:sz w:val="21"/>
        </w:rPr>
        <w:t>“</w:t>
      </w:r>
      <w:r>
        <w:rPr>
          <w:spacing w:val="-9"/>
          <w:sz w:val="21"/>
        </w:rPr>
        <w:t>可燃气体探测报警系统</w:t>
      </w:r>
      <w:r>
        <w:rPr>
          <w:spacing w:val="-9"/>
          <w:sz w:val="21"/>
        </w:rPr>
        <w:t>”</w:t>
      </w:r>
      <w:r>
        <w:rPr>
          <w:spacing w:val="-9"/>
          <w:sz w:val="21"/>
        </w:rPr>
        <w:t>部分。</w:t>
      </w:r>
      <w:r>
        <w:rPr>
          <w:sz w:val="21"/>
        </w:rPr>
        <w:t xml:space="preserve"> </w:t>
      </w:r>
    </w:p>
    <w:p w14:paraId="5354F381" w14:textId="77777777" w:rsidR="00A71EEF" w:rsidRDefault="00A71EEF">
      <w:pPr>
        <w:pStyle w:val="a3"/>
        <w:spacing w:before="12"/>
        <w:rPr>
          <w:sz w:val="17"/>
        </w:rPr>
      </w:pPr>
    </w:p>
    <w:p w14:paraId="7D0E843C" w14:textId="77777777" w:rsidR="00A71EEF" w:rsidRDefault="0081115D">
      <w:pPr>
        <w:pStyle w:val="a4"/>
        <w:numPr>
          <w:ilvl w:val="2"/>
          <w:numId w:val="492"/>
        </w:numPr>
        <w:tabs>
          <w:tab w:val="left" w:pos="1371"/>
        </w:tabs>
        <w:ind w:left="1370" w:hanging="531"/>
        <w:rPr>
          <w:sz w:val="21"/>
        </w:rPr>
      </w:pPr>
      <w:r>
        <w:rPr>
          <w:spacing w:val="-7"/>
          <w:sz w:val="21"/>
        </w:rPr>
        <w:t>消防供水设施的巡査内容见表</w:t>
      </w:r>
      <w:r>
        <w:rPr>
          <w:spacing w:val="-7"/>
          <w:sz w:val="21"/>
        </w:rPr>
        <w:t xml:space="preserve"> </w:t>
      </w:r>
      <w:r>
        <w:rPr>
          <w:sz w:val="21"/>
        </w:rPr>
        <w:t>C.1</w:t>
      </w:r>
      <w:r>
        <w:rPr>
          <w:spacing w:val="-9"/>
          <w:sz w:val="21"/>
        </w:rPr>
        <w:t xml:space="preserve"> </w:t>
      </w:r>
      <w:r>
        <w:rPr>
          <w:spacing w:val="-9"/>
          <w:sz w:val="21"/>
        </w:rPr>
        <w:t>中</w:t>
      </w:r>
      <w:r>
        <w:rPr>
          <w:spacing w:val="-9"/>
          <w:sz w:val="21"/>
        </w:rPr>
        <w:t>“</w:t>
      </w:r>
      <w:r>
        <w:rPr>
          <w:spacing w:val="-9"/>
          <w:sz w:val="21"/>
        </w:rPr>
        <w:t>消防供水供施</w:t>
      </w:r>
      <w:r>
        <w:rPr>
          <w:spacing w:val="-9"/>
          <w:sz w:val="21"/>
        </w:rPr>
        <w:t>”</w:t>
      </w:r>
      <w:r>
        <w:rPr>
          <w:spacing w:val="-9"/>
          <w:sz w:val="21"/>
        </w:rPr>
        <w:t>部分。</w:t>
      </w:r>
      <w:r>
        <w:rPr>
          <w:sz w:val="21"/>
        </w:rPr>
        <w:t xml:space="preserve"> </w:t>
      </w:r>
    </w:p>
    <w:p w14:paraId="30F3F2F9" w14:textId="77777777" w:rsidR="00A71EEF" w:rsidRDefault="00A71EEF">
      <w:pPr>
        <w:pStyle w:val="a3"/>
        <w:spacing w:before="2"/>
        <w:rPr>
          <w:sz w:val="18"/>
        </w:rPr>
      </w:pPr>
    </w:p>
    <w:p w14:paraId="19BD19FE" w14:textId="77777777" w:rsidR="00A71EEF" w:rsidRDefault="0081115D">
      <w:pPr>
        <w:pStyle w:val="a4"/>
        <w:numPr>
          <w:ilvl w:val="2"/>
          <w:numId w:val="492"/>
        </w:numPr>
        <w:tabs>
          <w:tab w:val="left" w:pos="1370"/>
        </w:tabs>
        <w:spacing w:line="446" w:lineRule="auto"/>
        <w:ind w:right="1606" w:firstLine="422"/>
        <w:rPr>
          <w:sz w:val="21"/>
        </w:rPr>
      </w:pPr>
      <w:r>
        <w:rPr>
          <w:spacing w:val="-3"/>
          <w:sz w:val="21"/>
        </w:rPr>
        <w:t>消火栓</w:t>
      </w:r>
      <w:r>
        <w:rPr>
          <w:sz w:val="21"/>
        </w:rPr>
        <w:t>（</w:t>
      </w:r>
      <w:r>
        <w:rPr>
          <w:spacing w:val="-3"/>
          <w:sz w:val="21"/>
        </w:rPr>
        <w:t>消防炮）</w:t>
      </w:r>
      <w:r>
        <w:rPr>
          <w:spacing w:val="-7"/>
          <w:sz w:val="21"/>
        </w:rPr>
        <w:t>灭火系统的巡查内容见表</w:t>
      </w:r>
      <w:r>
        <w:rPr>
          <w:spacing w:val="-7"/>
          <w:sz w:val="21"/>
        </w:rPr>
        <w:t xml:space="preserve"> </w:t>
      </w:r>
      <w:r>
        <w:rPr>
          <w:sz w:val="21"/>
        </w:rPr>
        <w:t>C.1</w:t>
      </w:r>
      <w:r>
        <w:rPr>
          <w:spacing w:val="-10"/>
          <w:sz w:val="21"/>
        </w:rPr>
        <w:t xml:space="preserve"> </w:t>
      </w:r>
      <w:r>
        <w:rPr>
          <w:spacing w:val="-10"/>
          <w:sz w:val="21"/>
        </w:rPr>
        <w:t>中</w:t>
      </w:r>
      <w:r>
        <w:rPr>
          <w:spacing w:val="-10"/>
          <w:sz w:val="21"/>
        </w:rPr>
        <w:t>“</w:t>
      </w:r>
      <w:r>
        <w:rPr>
          <w:spacing w:val="-10"/>
          <w:sz w:val="21"/>
        </w:rPr>
        <w:t>消火栓</w:t>
      </w:r>
      <w:r>
        <w:rPr>
          <w:sz w:val="21"/>
        </w:rPr>
        <w:t>（</w:t>
      </w:r>
      <w:r>
        <w:rPr>
          <w:spacing w:val="-3"/>
          <w:sz w:val="21"/>
        </w:rPr>
        <w:t>消防炮</w:t>
      </w:r>
      <w:r>
        <w:rPr>
          <w:sz w:val="21"/>
        </w:rPr>
        <w:t>）</w:t>
      </w:r>
      <w:r>
        <w:rPr>
          <w:spacing w:val="-3"/>
          <w:sz w:val="21"/>
        </w:rPr>
        <w:t>灭火系统</w:t>
      </w:r>
      <w:r>
        <w:rPr>
          <w:spacing w:val="-3"/>
          <w:sz w:val="21"/>
        </w:rPr>
        <w:t xml:space="preserve">” </w:t>
      </w:r>
      <w:r>
        <w:rPr>
          <w:spacing w:val="-3"/>
          <w:sz w:val="21"/>
        </w:rPr>
        <w:t>部分。</w:t>
      </w:r>
      <w:r>
        <w:rPr>
          <w:sz w:val="21"/>
        </w:rPr>
        <w:t xml:space="preserve"> </w:t>
      </w:r>
    </w:p>
    <w:p w14:paraId="069AEF75" w14:textId="77777777" w:rsidR="00A71EEF" w:rsidRDefault="0081115D">
      <w:pPr>
        <w:pStyle w:val="a4"/>
        <w:numPr>
          <w:ilvl w:val="2"/>
          <w:numId w:val="492"/>
        </w:numPr>
        <w:tabs>
          <w:tab w:val="left" w:pos="1370"/>
        </w:tabs>
        <w:spacing w:line="267" w:lineRule="exact"/>
        <w:ind w:left="1369" w:hanging="530"/>
        <w:rPr>
          <w:sz w:val="21"/>
        </w:rPr>
      </w:pPr>
      <w:r>
        <w:rPr>
          <w:spacing w:val="-7"/>
          <w:sz w:val="21"/>
        </w:rPr>
        <w:t>自动喷水灭火系统的巡查内容见表</w:t>
      </w:r>
      <w:r>
        <w:rPr>
          <w:spacing w:val="-7"/>
          <w:sz w:val="21"/>
        </w:rPr>
        <w:t xml:space="preserve"> </w:t>
      </w:r>
      <w:r>
        <w:rPr>
          <w:sz w:val="21"/>
        </w:rPr>
        <w:t>C.1</w:t>
      </w:r>
      <w:r>
        <w:rPr>
          <w:spacing w:val="-9"/>
          <w:sz w:val="21"/>
        </w:rPr>
        <w:t xml:space="preserve"> </w:t>
      </w:r>
      <w:r>
        <w:rPr>
          <w:spacing w:val="-9"/>
          <w:sz w:val="21"/>
        </w:rPr>
        <w:t>中</w:t>
      </w:r>
      <w:r>
        <w:rPr>
          <w:spacing w:val="-9"/>
          <w:sz w:val="21"/>
        </w:rPr>
        <w:t>“</w:t>
      </w:r>
      <w:r>
        <w:rPr>
          <w:spacing w:val="-9"/>
          <w:sz w:val="21"/>
        </w:rPr>
        <w:t>自动喷水灭火系统</w:t>
      </w:r>
      <w:r>
        <w:rPr>
          <w:spacing w:val="-9"/>
          <w:sz w:val="21"/>
        </w:rPr>
        <w:t>”</w:t>
      </w:r>
      <w:r>
        <w:rPr>
          <w:spacing w:val="-9"/>
          <w:sz w:val="21"/>
        </w:rPr>
        <w:t>部分。</w:t>
      </w:r>
      <w:r>
        <w:rPr>
          <w:spacing w:val="-9"/>
          <w:sz w:val="21"/>
        </w:rPr>
        <w:t xml:space="preserve"> </w:t>
      </w:r>
    </w:p>
    <w:p w14:paraId="00E1083E" w14:textId="77777777" w:rsidR="00A71EEF" w:rsidRDefault="00A71EEF">
      <w:pPr>
        <w:pStyle w:val="a3"/>
        <w:spacing w:before="2"/>
        <w:rPr>
          <w:sz w:val="18"/>
        </w:rPr>
      </w:pPr>
    </w:p>
    <w:p w14:paraId="5405D07E" w14:textId="77777777" w:rsidR="00A71EEF" w:rsidRDefault="0081115D">
      <w:pPr>
        <w:pStyle w:val="a4"/>
        <w:numPr>
          <w:ilvl w:val="2"/>
          <w:numId w:val="492"/>
        </w:numPr>
        <w:tabs>
          <w:tab w:val="left" w:pos="1370"/>
        </w:tabs>
        <w:ind w:left="1369" w:hanging="530"/>
        <w:rPr>
          <w:sz w:val="21"/>
        </w:rPr>
      </w:pPr>
      <w:r>
        <w:rPr>
          <w:spacing w:val="-6"/>
          <w:sz w:val="21"/>
        </w:rPr>
        <w:t>泡沫灭火系统的巡查内容见表</w:t>
      </w:r>
      <w:r>
        <w:rPr>
          <w:spacing w:val="-6"/>
          <w:sz w:val="21"/>
        </w:rPr>
        <w:t xml:space="preserve"> </w:t>
      </w:r>
      <w:r>
        <w:rPr>
          <w:sz w:val="21"/>
        </w:rPr>
        <w:t>C.1</w:t>
      </w:r>
      <w:r>
        <w:rPr>
          <w:spacing w:val="-8"/>
          <w:sz w:val="21"/>
        </w:rPr>
        <w:t xml:space="preserve"> </w:t>
      </w:r>
      <w:r>
        <w:rPr>
          <w:spacing w:val="-8"/>
          <w:sz w:val="21"/>
        </w:rPr>
        <w:t>中</w:t>
      </w:r>
      <w:r>
        <w:rPr>
          <w:spacing w:val="-8"/>
          <w:sz w:val="21"/>
        </w:rPr>
        <w:t>“</w:t>
      </w:r>
      <w:r>
        <w:rPr>
          <w:spacing w:val="-8"/>
          <w:sz w:val="21"/>
        </w:rPr>
        <w:t>泡沫灭火系统</w:t>
      </w:r>
      <w:r>
        <w:rPr>
          <w:spacing w:val="-8"/>
          <w:sz w:val="21"/>
        </w:rPr>
        <w:t>”</w:t>
      </w:r>
      <w:r>
        <w:rPr>
          <w:spacing w:val="-8"/>
          <w:sz w:val="21"/>
        </w:rPr>
        <w:t>部分。</w:t>
      </w:r>
      <w:r>
        <w:rPr>
          <w:sz w:val="21"/>
        </w:rPr>
        <w:t xml:space="preserve"> </w:t>
      </w:r>
    </w:p>
    <w:p w14:paraId="7E1C64C9" w14:textId="77777777" w:rsidR="00A71EEF" w:rsidRDefault="00A71EEF">
      <w:pPr>
        <w:pStyle w:val="a3"/>
        <w:spacing w:before="12"/>
        <w:rPr>
          <w:sz w:val="17"/>
        </w:rPr>
      </w:pPr>
    </w:p>
    <w:p w14:paraId="225377B8" w14:textId="77777777" w:rsidR="00A71EEF" w:rsidRDefault="0081115D">
      <w:pPr>
        <w:pStyle w:val="a4"/>
        <w:numPr>
          <w:ilvl w:val="2"/>
          <w:numId w:val="492"/>
        </w:numPr>
        <w:tabs>
          <w:tab w:val="left" w:pos="1370"/>
        </w:tabs>
        <w:ind w:left="1369" w:hanging="530"/>
        <w:rPr>
          <w:sz w:val="21"/>
        </w:rPr>
      </w:pPr>
      <w:r>
        <w:rPr>
          <w:spacing w:val="-6"/>
          <w:sz w:val="21"/>
        </w:rPr>
        <w:t>气体灭火系统的巡查内容见表</w:t>
      </w:r>
      <w:r>
        <w:rPr>
          <w:spacing w:val="-6"/>
          <w:sz w:val="21"/>
        </w:rPr>
        <w:t xml:space="preserve"> </w:t>
      </w:r>
      <w:r>
        <w:rPr>
          <w:sz w:val="21"/>
        </w:rPr>
        <w:t>C.1</w:t>
      </w:r>
      <w:r>
        <w:rPr>
          <w:spacing w:val="-8"/>
          <w:sz w:val="21"/>
        </w:rPr>
        <w:t xml:space="preserve"> </w:t>
      </w:r>
      <w:r>
        <w:rPr>
          <w:spacing w:val="-8"/>
          <w:sz w:val="21"/>
        </w:rPr>
        <w:t>中</w:t>
      </w:r>
      <w:r>
        <w:rPr>
          <w:spacing w:val="-8"/>
          <w:sz w:val="21"/>
        </w:rPr>
        <w:t>“</w:t>
      </w:r>
      <w:r>
        <w:rPr>
          <w:spacing w:val="-8"/>
          <w:sz w:val="21"/>
        </w:rPr>
        <w:t>气体灭火系统</w:t>
      </w:r>
      <w:r>
        <w:rPr>
          <w:spacing w:val="-8"/>
          <w:sz w:val="21"/>
        </w:rPr>
        <w:t>”</w:t>
      </w:r>
      <w:r>
        <w:rPr>
          <w:spacing w:val="-8"/>
          <w:sz w:val="21"/>
        </w:rPr>
        <w:t>部分。</w:t>
      </w:r>
      <w:r>
        <w:rPr>
          <w:sz w:val="21"/>
        </w:rPr>
        <w:t xml:space="preserve"> </w:t>
      </w:r>
    </w:p>
    <w:p w14:paraId="77249BB1" w14:textId="77777777" w:rsidR="00A71EEF" w:rsidRDefault="00A71EEF">
      <w:pPr>
        <w:pStyle w:val="a3"/>
        <w:rPr>
          <w:sz w:val="18"/>
        </w:rPr>
      </w:pPr>
    </w:p>
    <w:p w14:paraId="5275CAF0" w14:textId="77777777" w:rsidR="00A71EEF" w:rsidRDefault="0081115D">
      <w:pPr>
        <w:pStyle w:val="a4"/>
        <w:numPr>
          <w:ilvl w:val="2"/>
          <w:numId w:val="492"/>
        </w:numPr>
        <w:tabs>
          <w:tab w:val="left" w:pos="1478"/>
        </w:tabs>
        <w:ind w:left="1477" w:hanging="638"/>
        <w:rPr>
          <w:sz w:val="21"/>
        </w:rPr>
      </w:pPr>
      <w:r>
        <w:rPr>
          <w:spacing w:val="-7"/>
          <w:sz w:val="21"/>
        </w:rPr>
        <w:t>防烟、排烟系统的巡查内容见表</w:t>
      </w:r>
      <w:r>
        <w:rPr>
          <w:spacing w:val="-7"/>
          <w:sz w:val="21"/>
        </w:rPr>
        <w:t xml:space="preserve"> </w:t>
      </w:r>
      <w:r>
        <w:rPr>
          <w:sz w:val="21"/>
        </w:rPr>
        <w:t>C.1</w:t>
      </w:r>
      <w:r>
        <w:rPr>
          <w:spacing w:val="-8"/>
          <w:sz w:val="21"/>
        </w:rPr>
        <w:t xml:space="preserve"> </w:t>
      </w:r>
      <w:r>
        <w:rPr>
          <w:spacing w:val="-8"/>
          <w:sz w:val="21"/>
        </w:rPr>
        <w:t>中</w:t>
      </w:r>
      <w:r>
        <w:rPr>
          <w:spacing w:val="-8"/>
          <w:sz w:val="21"/>
        </w:rPr>
        <w:t>“</w:t>
      </w:r>
      <w:r>
        <w:rPr>
          <w:spacing w:val="-8"/>
          <w:sz w:val="21"/>
        </w:rPr>
        <w:t>防烟、排烟系统</w:t>
      </w:r>
      <w:r>
        <w:rPr>
          <w:spacing w:val="-8"/>
          <w:sz w:val="21"/>
        </w:rPr>
        <w:t>“</w:t>
      </w:r>
      <w:r>
        <w:rPr>
          <w:spacing w:val="-8"/>
          <w:sz w:val="21"/>
        </w:rPr>
        <w:t>部分。</w:t>
      </w:r>
      <w:r>
        <w:rPr>
          <w:spacing w:val="-8"/>
          <w:sz w:val="21"/>
        </w:rPr>
        <w:t xml:space="preserve"> </w:t>
      </w:r>
    </w:p>
    <w:p w14:paraId="0BF739EC" w14:textId="77777777" w:rsidR="00A71EEF" w:rsidRDefault="00A71EEF">
      <w:pPr>
        <w:pStyle w:val="a3"/>
        <w:spacing w:before="2"/>
        <w:rPr>
          <w:sz w:val="18"/>
        </w:rPr>
      </w:pPr>
    </w:p>
    <w:p w14:paraId="2675D952" w14:textId="77777777" w:rsidR="00A71EEF" w:rsidRDefault="0081115D">
      <w:pPr>
        <w:pStyle w:val="a4"/>
        <w:numPr>
          <w:ilvl w:val="2"/>
          <w:numId w:val="492"/>
        </w:numPr>
        <w:tabs>
          <w:tab w:val="left" w:pos="1478"/>
        </w:tabs>
        <w:spacing w:line="446" w:lineRule="auto"/>
        <w:ind w:right="1709" w:firstLine="422"/>
        <w:rPr>
          <w:sz w:val="21"/>
        </w:rPr>
      </w:pPr>
      <w:r>
        <w:rPr>
          <w:spacing w:val="-6"/>
          <w:sz w:val="21"/>
        </w:rPr>
        <w:t>应急照明和疏散指示标志的巡查内容见表</w:t>
      </w:r>
      <w:r>
        <w:rPr>
          <w:spacing w:val="-6"/>
          <w:sz w:val="21"/>
        </w:rPr>
        <w:t xml:space="preserve"> </w:t>
      </w:r>
      <w:r>
        <w:rPr>
          <w:sz w:val="21"/>
        </w:rPr>
        <w:t>C.1</w:t>
      </w:r>
      <w:r>
        <w:rPr>
          <w:spacing w:val="-8"/>
          <w:sz w:val="21"/>
        </w:rPr>
        <w:t xml:space="preserve"> </w:t>
      </w:r>
      <w:r>
        <w:rPr>
          <w:spacing w:val="-8"/>
          <w:sz w:val="21"/>
        </w:rPr>
        <w:t>中</w:t>
      </w:r>
      <w:r>
        <w:rPr>
          <w:spacing w:val="-8"/>
          <w:sz w:val="21"/>
        </w:rPr>
        <w:t>“</w:t>
      </w:r>
      <w:r>
        <w:rPr>
          <w:spacing w:val="-8"/>
          <w:sz w:val="21"/>
        </w:rPr>
        <w:t>应急照明和疏散指示标志</w:t>
      </w:r>
      <w:r>
        <w:rPr>
          <w:spacing w:val="-8"/>
          <w:sz w:val="21"/>
        </w:rPr>
        <w:t>”</w:t>
      </w:r>
      <w:r>
        <w:rPr>
          <w:spacing w:val="-8"/>
          <w:sz w:val="21"/>
        </w:rPr>
        <w:t>部</w:t>
      </w:r>
      <w:r>
        <w:rPr>
          <w:spacing w:val="-6"/>
          <w:sz w:val="21"/>
        </w:rPr>
        <w:t>分。</w:t>
      </w:r>
      <w:r>
        <w:rPr>
          <w:sz w:val="21"/>
        </w:rPr>
        <w:t xml:space="preserve"> </w:t>
      </w:r>
    </w:p>
    <w:p w14:paraId="121ED650" w14:textId="77777777" w:rsidR="00A71EEF" w:rsidRDefault="0081115D">
      <w:pPr>
        <w:pStyle w:val="a4"/>
        <w:numPr>
          <w:ilvl w:val="2"/>
          <w:numId w:val="492"/>
        </w:numPr>
        <w:tabs>
          <w:tab w:val="left" w:pos="1478"/>
        </w:tabs>
        <w:spacing w:line="267" w:lineRule="exact"/>
        <w:ind w:left="1477" w:hanging="638"/>
        <w:rPr>
          <w:sz w:val="21"/>
        </w:rPr>
      </w:pPr>
      <w:r>
        <w:rPr>
          <w:spacing w:val="-6"/>
          <w:sz w:val="21"/>
        </w:rPr>
        <w:t>应急广播系统的巡查内容见表</w:t>
      </w:r>
      <w:r>
        <w:rPr>
          <w:spacing w:val="-6"/>
          <w:sz w:val="21"/>
        </w:rPr>
        <w:t xml:space="preserve"> </w:t>
      </w:r>
      <w:r>
        <w:rPr>
          <w:sz w:val="21"/>
        </w:rPr>
        <w:t>C.1</w:t>
      </w:r>
      <w:r>
        <w:rPr>
          <w:spacing w:val="-8"/>
          <w:sz w:val="21"/>
        </w:rPr>
        <w:t xml:space="preserve"> </w:t>
      </w:r>
      <w:r>
        <w:rPr>
          <w:spacing w:val="-8"/>
          <w:sz w:val="21"/>
        </w:rPr>
        <w:t>中</w:t>
      </w:r>
      <w:r>
        <w:rPr>
          <w:spacing w:val="-8"/>
          <w:sz w:val="21"/>
        </w:rPr>
        <w:t>“</w:t>
      </w:r>
      <w:r>
        <w:rPr>
          <w:spacing w:val="-8"/>
          <w:sz w:val="21"/>
        </w:rPr>
        <w:t>应急广播系统</w:t>
      </w:r>
      <w:r>
        <w:rPr>
          <w:spacing w:val="-8"/>
          <w:sz w:val="21"/>
        </w:rPr>
        <w:t>”</w:t>
      </w:r>
      <w:r>
        <w:rPr>
          <w:spacing w:val="-8"/>
          <w:sz w:val="21"/>
        </w:rPr>
        <w:t>部分。</w:t>
      </w:r>
      <w:r>
        <w:rPr>
          <w:sz w:val="21"/>
        </w:rPr>
        <w:t xml:space="preserve"> </w:t>
      </w:r>
    </w:p>
    <w:p w14:paraId="44108564" w14:textId="77777777" w:rsidR="00A71EEF" w:rsidRDefault="00A71EEF">
      <w:pPr>
        <w:pStyle w:val="a3"/>
        <w:spacing w:before="2"/>
        <w:rPr>
          <w:sz w:val="18"/>
        </w:rPr>
      </w:pPr>
    </w:p>
    <w:p w14:paraId="48DA2E5C" w14:textId="77777777" w:rsidR="00A71EEF" w:rsidRDefault="0081115D">
      <w:pPr>
        <w:pStyle w:val="a4"/>
        <w:numPr>
          <w:ilvl w:val="2"/>
          <w:numId w:val="492"/>
        </w:numPr>
        <w:tabs>
          <w:tab w:val="left" w:pos="1530"/>
        </w:tabs>
        <w:spacing w:line="446" w:lineRule="auto"/>
        <w:ind w:left="840" w:right="3284" w:firstLine="0"/>
        <w:jc w:val="both"/>
        <w:rPr>
          <w:sz w:val="21"/>
        </w:rPr>
      </w:pPr>
      <w:r>
        <w:rPr>
          <w:spacing w:val="-7"/>
          <w:sz w:val="21"/>
        </w:rPr>
        <w:t>消防专用电话的巡查内容见表</w:t>
      </w:r>
      <w:r>
        <w:rPr>
          <w:spacing w:val="-7"/>
          <w:sz w:val="21"/>
        </w:rPr>
        <w:t xml:space="preserve"> </w:t>
      </w:r>
      <w:r>
        <w:rPr>
          <w:sz w:val="21"/>
        </w:rPr>
        <w:t>C.1</w:t>
      </w:r>
      <w:r>
        <w:rPr>
          <w:spacing w:val="-8"/>
          <w:sz w:val="21"/>
        </w:rPr>
        <w:t xml:space="preserve"> </w:t>
      </w:r>
      <w:r>
        <w:rPr>
          <w:spacing w:val="-8"/>
          <w:sz w:val="21"/>
        </w:rPr>
        <w:t>中</w:t>
      </w:r>
      <w:r>
        <w:rPr>
          <w:spacing w:val="-8"/>
          <w:sz w:val="21"/>
        </w:rPr>
        <w:t>“</w:t>
      </w:r>
      <w:r>
        <w:rPr>
          <w:spacing w:val="-8"/>
          <w:sz w:val="21"/>
        </w:rPr>
        <w:t>消防专用电话</w:t>
      </w:r>
      <w:r>
        <w:rPr>
          <w:spacing w:val="-8"/>
          <w:sz w:val="21"/>
        </w:rPr>
        <w:t>“</w:t>
      </w:r>
      <w:r>
        <w:rPr>
          <w:spacing w:val="-8"/>
          <w:sz w:val="21"/>
        </w:rPr>
        <w:t>部分。</w:t>
      </w:r>
      <w:r>
        <w:rPr>
          <w:b/>
          <w:sz w:val="21"/>
        </w:rPr>
        <w:t>6.2.14</w:t>
      </w:r>
      <w:r>
        <w:rPr>
          <w:b/>
          <w:spacing w:val="10"/>
          <w:sz w:val="21"/>
        </w:rPr>
        <w:t xml:space="preserve"> </w:t>
      </w:r>
      <w:r>
        <w:rPr>
          <w:spacing w:val="-7"/>
          <w:sz w:val="21"/>
        </w:rPr>
        <w:t>防火分隔设施的巡查内容见表</w:t>
      </w:r>
      <w:r>
        <w:rPr>
          <w:spacing w:val="-7"/>
          <w:sz w:val="21"/>
        </w:rPr>
        <w:t xml:space="preserve"> </w:t>
      </w:r>
      <w:r>
        <w:rPr>
          <w:sz w:val="21"/>
        </w:rPr>
        <w:t>C.1</w:t>
      </w:r>
      <w:r>
        <w:rPr>
          <w:spacing w:val="-8"/>
          <w:sz w:val="21"/>
        </w:rPr>
        <w:t xml:space="preserve"> </w:t>
      </w:r>
      <w:r>
        <w:rPr>
          <w:spacing w:val="-8"/>
          <w:sz w:val="21"/>
        </w:rPr>
        <w:t>中</w:t>
      </w:r>
      <w:r>
        <w:rPr>
          <w:spacing w:val="-8"/>
          <w:sz w:val="21"/>
        </w:rPr>
        <w:t>“</w:t>
      </w:r>
      <w:r>
        <w:rPr>
          <w:spacing w:val="-8"/>
          <w:sz w:val="21"/>
        </w:rPr>
        <w:t>防火分隔设施</w:t>
      </w:r>
      <w:r>
        <w:rPr>
          <w:spacing w:val="-8"/>
          <w:sz w:val="21"/>
        </w:rPr>
        <w:t>”</w:t>
      </w:r>
      <w:r>
        <w:rPr>
          <w:spacing w:val="-8"/>
          <w:sz w:val="21"/>
        </w:rPr>
        <w:t>部分。</w:t>
      </w:r>
      <w:r>
        <w:rPr>
          <w:b/>
          <w:sz w:val="21"/>
        </w:rPr>
        <w:t>6.2.15</w:t>
      </w:r>
      <w:r>
        <w:rPr>
          <w:b/>
          <w:spacing w:val="2"/>
          <w:sz w:val="21"/>
        </w:rPr>
        <w:t xml:space="preserve"> </w:t>
      </w:r>
      <w:r>
        <w:rPr>
          <w:spacing w:val="-7"/>
          <w:sz w:val="21"/>
        </w:rPr>
        <w:t>消防电梯的巡查内容见表</w:t>
      </w:r>
      <w:r>
        <w:rPr>
          <w:spacing w:val="-7"/>
          <w:sz w:val="21"/>
        </w:rPr>
        <w:t xml:space="preserve"> </w:t>
      </w:r>
      <w:r>
        <w:rPr>
          <w:sz w:val="21"/>
        </w:rPr>
        <w:t>C.1</w:t>
      </w:r>
      <w:r>
        <w:rPr>
          <w:spacing w:val="-8"/>
          <w:sz w:val="21"/>
        </w:rPr>
        <w:t xml:space="preserve"> </w:t>
      </w:r>
      <w:r>
        <w:rPr>
          <w:spacing w:val="-8"/>
          <w:sz w:val="21"/>
        </w:rPr>
        <w:t>中</w:t>
      </w:r>
      <w:r>
        <w:rPr>
          <w:spacing w:val="-8"/>
          <w:sz w:val="21"/>
        </w:rPr>
        <w:t>“</w:t>
      </w:r>
      <w:r>
        <w:rPr>
          <w:spacing w:val="-8"/>
          <w:sz w:val="21"/>
        </w:rPr>
        <w:t>消防电梯</w:t>
      </w:r>
      <w:r>
        <w:rPr>
          <w:spacing w:val="-8"/>
          <w:sz w:val="21"/>
        </w:rPr>
        <w:t>“</w:t>
      </w:r>
      <w:r>
        <w:rPr>
          <w:spacing w:val="-8"/>
          <w:sz w:val="21"/>
        </w:rPr>
        <w:t>部分。</w:t>
      </w:r>
      <w:r>
        <w:rPr>
          <w:sz w:val="21"/>
        </w:rPr>
        <w:t xml:space="preserve"> </w:t>
      </w:r>
    </w:p>
    <w:p w14:paraId="753161E0" w14:textId="77777777" w:rsidR="00A71EEF" w:rsidRDefault="0081115D">
      <w:pPr>
        <w:pStyle w:val="a4"/>
        <w:numPr>
          <w:ilvl w:val="2"/>
          <w:numId w:val="490"/>
        </w:numPr>
        <w:tabs>
          <w:tab w:val="left" w:pos="1478"/>
        </w:tabs>
        <w:spacing w:line="268" w:lineRule="exact"/>
        <w:ind w:hanging="638"/>
        <w:jc w:val="both"/>
        <w:rPr>
          <w:sz w:val="21"/>
        </w:rPr>
      </w:pPr>
      <w:r>
        <w:rPr>
          <w:spacing w:val="-7"/>
          <w:sz w:val="21"/>
        </w:rPr>
        <w:t>细水雾灭系统的巡查内容见表</w:t>
      </w:r>
      <w:r>
        <w:rPr>
          <w:spacing w:val="-7"/>
          <w:sz w:val="21"/>
        </w:rPr>
        <w:t xml:space="preserve"> </w:t>
      </w:r>
      <w:r>
        <w:rPr>
          <w:sz w:val="21"/>
        </w:rPr>
        <w:t>C.1</w:t>
      </w:r>
      <w:r>
        <w:rPr>
          <w:spacing w:val="-9"/>
          <w:sz w:val="21"/>
        </w:rPr>
        <w:t xml:space="preserve"> </w:t>
      </w:r>
      <w:r>
        <w:rPr>
          <w:spacing w:val="-9"/>
          <w:sz w:val="21"/>
        </w:rPr>
        <w:t>中</w:t>
      </w:r>
      <w:r>
        <w:rPr>
          <w:spacing w:val="-9"/>
          <w:sz w:val="21"/>
        </w:rPr>
        <w:t>“</w:t>
      </w:r>
      <w:r>
        <w:rPr>
          <w:spacing w:val="-9"/>
          <w:sz w:val="21"/>
        </w:rPr>
        <w:t>细水雾灭系统</w:t>
      </w:r>
      <w:r>
        <w:rPr>
          <w:spacing w:val="-9"/>
          <w:sz w:val="21"/>
        </w:rPr>
        <w:t>”</w:t>
      </w:r>
      <w:r>
        <w:rPr>
          <w:spacing w:val="-9"/>
          <w:sz w:val="21"/>
        </w:rPr>
        <w:t>部分。</w:t>
      </w:r>
      <w:r>
        <w:rPr>
          <w:sz w:val="21"/>
        </w:rPr>
        <w:t xml:space="preserve"> </w:t>
      </w:r>
    </w:p>
    <w:p w14:paraId="0284C225" w14:textId="77777777" w:rsidR="00A71EEF" w:rsidRDefault="00A71EEF">
      <w:pPr>
        <w:pStyle w:val="a3"/>
        <w:rPr>
          <w:sz w:val="18"/>
        </w:rPr>
      </w:pPr>
    </w:p>
    <w:p w14:paraId="3A18AAFB" w14:textId="77777777" w:rsidR="00A71EEF" w:rsidRDefault="0081115D">
      <w:pPr>
        <w:pStyle w:val="a4"/>
        <w:numPr>
          <w:ilvl w:val="2"/>
          <w:numId w:val="490"/>
        </w:numPr>
        <w:tabs>
          <w:tab w:val="left" w:pos="1478"/>
        </w:tabs>
        <w:ind w:hanging="638"/>
        <w:rPr>
          <w:sz w:val="21"/>
        </w:rPr>
      </w:pPr>
      <w:r>
        <w:rPr>
          <w:spacing w:val="-7"/>
          <w:sz w:val="21"/>
        </w:rPr>
        <w:t>干粉灭火系统的巡查内容见表</w:t>
      </w:r>
      <w:r>
        <w:rPr>
          <w:spacing w:val="-7"/>
          <w:sz w:val="21"/>
        </w:rPr>
        <w:t xml:space="preserve"> </w:t>
      </w:r>
      <w:r>
        <w:rPr>
          <w:sz w:val="21"/>
        </w:rPr>
        <w:t>C.1</w:t>
      </w:r>
      <w:r>
        <w:rPr>
          <w:spacing w:val="-8"/>
          <w:sz w:val="21"/>
        </w:rPr>
        <w:t xml:space="preserve"> </w:t>
      </w:r>
      <w:r>
        <w:rPr>
          <w:spacing w:val="-8"/>
          <w:sz w:val="21"/>
        </w:rPr>
        <w:t>中</w:t>
      </w:r>
      <w:r>
        <w:rPr>
          <w:spacing w:val="-8"/>
          <w:sz w:val="21"/>
        </w:rPr>
        <w:t xml:space="preserve">“ </w:t>
      </w:r>
      <w:r>
        <w:rPr>
          <w:spacing w:val="-8"/>
          <w:sz w:val="21"/>
        </w:rPr>
        <w:t>干粉灭火系统</w:t>
      </w:r>
      <w:r>
        <w:rPr>
          <w:spacing w:val="-8"/>
          <w:sz w:val="21"/>
        </w:rPr>
        <w:t>“</w:t>
      </w:r>
      <w:r>
        <w:rPr>
          <w:spacing w:val="-8"/>
          <w:sz w:val="21"/>
        </w:rPr>
        <w:t>部分。</w:t>
      </w:r>
      <w:r>
        <w:rPr>
          <w:sz w:val="21"/>
        </w:rPr>
        <w:t xml:space="preserve"> </w:t>
      </w:r>
    </w:p>
    <w:p w14:paraId="5F643919" w14:textId="77777777" w:rsidR="00A71EEF" w:rsidRDefault="00A71EEF">
      <w:pPr>
        <w:pStyle w:val="a3"/>
        <w:spacing w:before="12"/>
        <w:rPr>
          <w:sz w:val="17"/>
        </w:rPr>
      </w:pPr>
    </w:p>
    <w:p w14:paraId="22EF63BA" w14:textId="77777777" w:rsidR="00A71EEF" w:rsidRDefault="0081115D">
      <w:pPr>
        <w:pStyle w:val="a4"/>
        <w:numPr>
          <w:ilvl w:val="2"/>
          <w:numId w:val="490"/>
        </w:numPr>
        <w:tabs>
          <w:tab w:val="left" w:pos="1478"/>
        </w:tabs>
        <w:ind w:hanging="638"/>
        <w:rPr>
          <w:sz w:val="21"/>
        </w:rPr>
      </w:pPr>
      <w:r>
        <w:rPr>
          <w:spacing w:val="-8"/>
          <w:sz w:val="21"/>
        </w:rPr>
        <w:t>灭火器的巡查内容见表</w:t>
      </w:r>
      <w:r>
        <w:rPr>
          <w:spacing w:val="-8"/>
          <w:sz w:val="21"/>
        </w:rPr>
        <w:t xml:space="preserve"> </w:t>
      </w:r>
      <w:r>
        <w:rPr>
          <w:sz w:val="21"/>
        </w:rPr>
        <w:t>C.1</w:t>
      </w:r>
      <w:r>
        <w:rPr>
          <w:spacing w:val="-9"/>
          <w:sz w:val="21"/>
        </w:rPr>
        <w:t xml:space="preserve"> </w:t>
      </w:r>
      <w:r>
        <w:rPr>
          <w:spacing w:val="-9"/>
          <w:sz w:val="21"/>
        </w:rPr>
        <w:t>中</w:t>
      </w:r>
      <w:r>
        <w:rPr>
          <w:spacing w:val="-9"/>
          <w:sz w:val="21"/>
        </w:rPr>
        <w:t>“</w:t>
      </w:r>
      <w:r>
        <w:rPr>
          <w:spacing w:val="-9"/>
          <w:sz w:val="21"/>
        </w:rPr>
        <w:t>灭火器</w:t>
      </w:r>
      <w:r>
        <w:rPr>
          <w:spacing w:val="-9"/>
          <w:sz w:val="21"/>
        </w:rPr>
        <w:t>”</w:t>
      </w:r>
      <w:r>
        <w:rPr>
          <w:spacing w:val="-9"/>
          <w:sz w:val="21"/>
        </w:rPr>
        <w:t>部分。</w:t>
      </w:r>
      <w:r>
        <w:rPr>
          <w:sz w:val="21"/>
        </w:rPr>
        <w:t xml:space="preserve"> </w:t>
      </w:r>
    </w:p>
    <w:p w14:paraId="54D1A2C5" w14:textId="77777777" w:rsidR="00A71EEF" w:rsidRDefault="00A71EEF">
      <w:pPr>
        <w:pStyle w:val="a3"/>
        <w:spacing w:before="2"/>
        <w:rPr>
          <w:sz w:val="18"/>
        </w:rPr>
      </w:pPr>
    </w:p>
    <w:p w14:paraId="095E555B" w14:textId="77777777" w:rsidR="00A71EEF" w:rsidRDefault="0081115D">
      <w:pPr>
        <w:pStyle w:val="a4"/>
        <w:numPr>
          <w:ilvl w:val="2"/>
          <w:numId w:val="490"/>
        </w:numPr>
        <w:tabs>
          <w:tab w:val="left" w:pos="1478"/>
        </w:tabs>
        <w:spacing w:line="446" w:lineRule="auto"/>
        <w:ind w:left="418" w:right="1498" w:firstLine="422"/>
        <w:rPr>
          <w:sz w:val="21"/>
        </w:rPr>
      </w:pPr>
      <w:r>
        <w:rPr>
          <w:spacing w:val="-7"/>
          <w:sz w:val="21"/>
        </w:rPr>
        <w:t>其他需要巡查的内容见表</w:t>
      </w:r>
      <w:r>
        <w:rPr>
          <w:spacing w:val="-7"/>
          <w:sz w:val="21"/>
        </w:rPr>
        <w:t xml:space="preserve"> </w:t>
      </w:r>
      <w:r>
        <w:rPr>
          <w:sz w:val="21"/>
        </w:rPr>
        <w:t>C.1</w:t>
      </w:r>
      <w:r>
        <w:rPr>
          <w:spacing w:val="-8"/>
          <w:sz w:val="21"/>
        </w:rPr>
        <w:t xml:space="preserve"> </w:t>
      </w:r>
      <w:r>
        <w:rPr>
          <w:spacing w:val="-8"/>
          <w:sz w:val="21"/>
        </w:rPr>
        <w:t>中</w:t>
      </w:r>
      <w:r>
        <w:rPr>
          <w:spacing w:val="-8"/>
          <w:sz w:val="21"/>
        </w:rPr>
        <w:t>“</w:t>
      </w:r>
      <w:r>
        <w:rPr>
          <w:spacing w:val="-8"/>
          <w:sz w:val="21"/>
        </w:rPr>
        <w:t>其他巡查内容</w:t>
      </w:r>
      <w:r>
        <w:rPr>
          <w:spacing w:val="-8"/>
          <w:sz w:val="21"/>
        </w:rPr>
        <w:t>”</w:t>
      </w:r>
      <w:r>
        <w:rPr>
          <w:spacing w:val="-8"/>
          <w:sz w:val="21"/>
        </w:rPr>
        <w:t>部分，单位也可根据实际情况，</w:t>
      </w:r>
      <w:r>
        <w:rPr>
          <w:spacing w:val="-8"/>
          <w:sz w:val="21"/>
        </w:rPr>
        <w:t xml:space="preserve"> </w:t>
      </w:r>
      <w:r>
        <w:rPr>
          <w:spacing w:val="-17"/>
          <w:sz w:val="21"/>
        </w:rPr>
        <w:t>参考表</w:t>
      </w:r>
      <w:r>
        <w:rPr>
          <w:spacing w:val="-17"/>
          <w:sz w:val="21"/>
        </w:rPr>
        <w:t xml:space="preserve"> </w:t>
      </w:r>
      <w:r>
        <w:rPr>
          <w:sz w:val="21"/>
        </w:rPr>
        <w:t>C.1</w:t>
      </w:r>
      <w:r>
        <w:rPr>
          <w:spacing w:val="-8"/>
          <w:sz w:val="21"/>
        </w:rPr>
        <w:t xml:space="preserve"> </w:t>
      </w:r>
      <w:r>
        <w:rPr>
          <w:spacing w:val="-8"/>
          <w:sz w:val="21"/>
        </w:rPr>
        <w:t>的样式，自行制定有关消防安全巡查记录表。</w:t>
      </w:r>
      <w:r>
        <w:rPr>
          <w:sz w:val="21"/>
        </w:rPr>
        <w:t xml:space="preserve"> </w:t>
      </w:r>
    </w:p>
    <w:p w14:paraId="02FD4C38" w14:textId="77777777" w:rsidR="00A71EEF" w:rsidRDefault="0081115D">
      <w:pPr>
        <w:pStyle w:val="4"/>
        <w:spacing w:line="275" w:lineRule="exact"/>
      </w:pPr>
      <w:r>
        <w:t xml:space="preserve">7 </w:t>
      </w:r>
      <w:r>
        <w:t>检测</w:t>
      </w:r>
      <w:r>
        <w:rPr>
          <w:w w:val="99"/>
        </w:rPr>
        <w:t xml:space="preserve"> </w:t>
      </w:r>
    </w:p>
    <w:p w14:paraId="4A61B0BF" w14:textId="77777777" w:rsidR="00A71EEF" w:rsidRDefault="00A71EEF">
      <w:pPr>
        <w:pStyle w:val="a3"/>
        <w:spacing w:before="6"/>
        <w:rPr>
          <w:b/>
          <w:sz w:val="17"/>
        </w:rPr>
      </w:pPr>
    </w:p>
    <w:p w14:paraId="20C67645" w14:textId="77777777" w:rsidR="00A71EEF" w:rsidRDefault="0081115D">
      <w:pPr>
        <w:pStyle w:val="a4"/>
        <w:numPr>
          <w:ilvl w:val="1"/>
          <w:numId w:val="489"/>
        </w:numPr>
        <w:tabs>
          <w:tab w:val="left" w:pos="1160"/>
        </w:tabs>
        <w:rPr>
          <w:sz w:val="21"/>
        </w:rPr>
      </w:pPr>
      <w:r>
        <w:rPr>
          <w:spacing w:val="-3"/>
          <w:sz w:val="21"/>
        </w:rPr>
        <w:t>一般要求</w:t>
      </w:r>
      <w:r>
        <w:rPr>
          <w:sz w:val="21"/>
        </w:rPr>
        <w:t xml:space="preserve"> </w:t>
      </w:r>
    </w:p>
    <w:p w14:paraId="78B3E83D" w14:textId="77777777" w:rsidR="00A71EEF" w:rsidRDefault="00A71EEF">
      <w:pPr>
        <w:pStyle w:val="a3"/>
        <w:rPr>
          <w:sz w:val="18"/>
        </w:rPr>
      </w:pPr>
    </w:p>
    <w:p w14:paraId="28E16EB0" w14:textId="77777777" w:rsidR="00A71EEF" w:rsidRDefault="0081115D">
      <w:pPr>
        <w:pStyle w:val="a4"/>
        <w:numPr>
          <w:ilvl w:val="2"/>
          <w:numId w:val="489"/>
        </w:numPr>
        <w:tabs>
          <w:tab w:val="left" w:pos="1371"/>
        </w:tabs>
        <w:spacing w:line="446" w:lineRule="auto"/>
        <w:ind w:right="1498" w:firstLine="422"/>
        <w:rPr>
          <w:sz w:val="21"/>
        </w:rPr>
      </w:pPr>
      <w:r>
        <w:rPr>
          <w:spacing w:val="-3"/>
          <w:sz w:val="21"/>
        </w:rPr>
        <w:t>建筑消防设施应每年至少检测一次，检测对象包括全部设备、组件等，设有自动消防系统的宾馆、饭店、商场、市场、公共娱乐场所等人员密集场所，易燃易爆单位以及其他一类高层公共建筑等消防安全重点单位，应自系统投入运行后每一年年底前，将年度检测记录报</w:t>
      </w:r>
    </w:p>
    <w:p w14:paraId="6B601998" w14:textId="77777777" w:rsidR="00A71EEF" w:rsidRDefault="00A71EEF">
      <w:pPr>
        <w:spacing w:line="446" w:lineRule="auto"/>
        <w:rPr>
          <w:sz w:val="21"/>
        </w:rPr>
        <w:sectPr w:rsidR="00A71EEF">
          <w:pgSz w:w="11910" w:h="16850"/>
          <w:pgMar w:top="1220" w:right="0" w:bottom="1420" w:left="1260" w:header="0" w:footer="1239" w:gutter="0"/>
          <w:cols w:space="720"/>
        </w:sectPr>
      </w:pPr>
    </w:p>
    <w:p w14:paraId="60C2DD3E" w14:textId="77777777" w:rsidR="00A71EEF" w:rsidRDefault="0081115D">
      <w:pPr>
        <w:pStyle w:val="a3"/>
        <w:spacing w:before="47" w:line="446" w:lineRule="auto"/>
        <w:ind w:left="418" w:right="1608"/>
      </w:pPr>
      <w:r>
        <w:t>当地公安机关消防机构的备案。在重大的节日，重大的活动前或者期间，应根据当地公安机关消防机构的要求对建筑消防设施进行检测。</w:t>
      </w:r>
      <w:r>
        <w:t xml:space="preserve"> </w:t>
      </w:r>
    </w:p>
    <w:p w14:paraId="2EAE8BA3" w14:textId="77777777" w:rsidR="00A71EEF" w:rsidRDefault="0081115D">
      <w:pPr>
        <w:pStyle w:val="a4"/>
        <w:numPr>
          <w:ilvl w:val="2"/>
          <w:numId w:val="489"/>
        </w:numPr>
        <w:tabs>
          <w:tab w:val="left" w:pos="1371"/>
        </w:tabs>
        <w:spacing w:line="446" w:lineRule="auto"/>
        <w:ind w:right="1498" w:firstLine="422"/>
        <w:rPr>
          <w:sz w:val="21"/>
        </w:rPr>
      </w:pPr>
      <w:r>
        <w:rPr>
          <w:spacing w:val="-3"/>
          <w:sz w:val="21"/>
        </w:rPr>
        <w:t>从事建筑消防设施检测的人员，应当通过消防行业特有工种职业技能鉴定，持有高级技能以上等级职业资格证书。</w:t>
      </w:r>
      <w:r>
        <w:rPr>
          <w:sz w:val="21"/>
        </w:rPr>
        <w:t xml:space="preserve"> </w:t>
      </w:r>
    </w:p>
    <w:p w14:paraId="792FA635" w14:textId="77777777" w:rsidR="00A71EEF" w:rsidRDefault="0081115D">
      <w:pPr>
        <w:pStyle w:val="a4"/>
        <w:numPr>
          <w:ilvl w:val="2"/>
          <w:numId w:val="489"/>
        </w:numPr>
        <w:tabs>
          <w:tab w:val="left" w:pos="1370"/>
        </w:tabs>
        <w:spacing w:line="446" w:lineRule="auto"/>
        <w:ind w:right="1498" w:firstLine="422"/>
        <w:rPr>
          <w:sz w:val="21"/>
        </w:rPr>
      </w:pPr>
      <w:r>
        <w:rPr>
          <w:spacing w:val="-7"/>
          <w:sz w:val="21"/>
        </w:rPr>
        <w:t>建筑消防设施检测应按</w:t>
      </w:r>
      <w:r>
        <w:rPr>
          <w:spacing w:val="-7"/>
          <w:sz w:val="21"/>
        </w:rPr>
        <w:t xml:space="preserve"> </w:t>
      </w:r>
      <w:r>
        <w:rPr>
          <w:sz w:val="21"/>
        </w:rPr>
        <w:t>GA</w:t>
      </w:r>
      <w:r>
        <w:rPr>
          <w:spacing w:val="24"/>
          <w:sz w:val="21"/>
        </w:rPr>
        <w:t xml:space="preserve"> </w:t>
      </w:r>
      <w:r>
        <w:rPr>
          <w:sz w:val="21"/>
        </w:rPr>
        <w:t>503</w:t>
      </w:r>
      <w:r>
        <w:rPr>
          <w:spacing w:val="-9"/>
          <w:sz w:val="21"/>
        </w:rPr>
        <w:t xml:space="preserve"> </w:t>
      </w:r>
      <w:r>
        <w:rPr>
          <w:spacing w:val="-9"/>
          <w:sz w:val="21"/>
        </w:rPr>
        <w:t>的要求进行，并如实填写《建筑消防设施检测记录表》</w:t>
      </w:r>
      <w:r>
        <w:rPr>
          <w:spacing w:val="-3"/>
          <w:sz w:val="21"/>
        </w:rPr>
        <w:t>（</w:t>
      </w:r>
      <w:r>
        <w:rPr>
          <w:spacing w:val="-19"/>
          <w:sz w:val="21"/>
        </w:rPr>
        <w:t>见表</w:t>
      </w:r>
      <w:r>
        <w:rPr>
          <w:spacing w:val="-19"/>
          <w:sz w:val="21"/>
        </w:rPr>
        <w:t xml:space="preserve"> </w:t>
      </w:r>
      <w:r>
        <w:rPr>
          <w:sz w:val="21"/>
        </w:rPr>
        <w:t>D.1</w:t>
      </w:r>
      <w:r>
        <w:rPr>
          <w:sz w:val="21"/>
        </w:rPr>
        <w:t>）</w:t>
      </w:r>
      <w:r>
        <w:rPr>
          <w:spacing w:val="-3"/>
          <w:sz w:val="21"/>
        </w:rPr>
        <w:t>的相关内容。</w:t>
      </w:r>
      <w:r>
        <w:rPr>
          <w:spacing w:val="-3"/>
          <w:sz w:val="21"/>
        </w:rPr>
        <w:t xml:space="preserve"> </w:t>
      </w:r>
    </w:p>
    <w:p w14:paraId="34082FB9" w14:textId="77777777" w:rsidR="00A71EEF" w:rsidRDefault="0081115D">
      <w:pPr>
        <w:pStyle w:val="a4"/>
        <w:numPr>
          <w:ilvl w:val="1"/>
          <w:numId w:val="489"/>
        </w:numPr>
        <w:tabs>
          <w:tab w:val="left" w:pos="1159"/>
        </w:tabs>
        <w:ind w:left="1158" w:hanging="319"/>
        <w:rPr>
          <w:sz w:val="21"/>
        </w:rPr>
      </w:pPr>
      <w:r>
        <w:rPr>
          <w:spacing w:val="-3"/>
          <w:sz w:val="21"/>
        </w:rPr>
        <w:t>检测内容</w:t>
      </w:r>
      <w:r>
        <w:rPr>
          <w:sz w:val="21"/>
        </w:rPr>
        <w:t xml:space="preserve"> </w:t>
      </w:r>
    </w:p>
    <w:p w14:paraId="391B9869" w14:textId="77777777" w:rsidR="00A71EEF" w:rsidRDefault="00A71EEF">
      <w:pPr>
        <w:pStyle w:val="a3"/>
        <w:spacing w:before="11"/>
        <w:rPr>
          <w:sz w:val="17"/>
        </w:rPr>
      </w:pPr>
    </w:p>
    <w:p w14:paraId="72B2C391" w14:textId="77777777" w:rsidR="00A71EEF" w:rsidRDefault="0081115D">
      <w:pPr>
        <w:pStyle w:val="a4"/>
        <w:numPr>
          <w:ilvl w:val="2"/>
          <w:numId w:val="489"/>
        </w:numPr>
        <w:tabs>
          <w:tab w:val="left" w:pos="1371"/>
        </w:tabs>
        <w:ind w:left="1370"/>
        <w:rPr>
          <w:sz w:val="21"/>
        </w:rPr>
      </w:pPr>
      <w:r>
        <w:rPr>
          <w:spacing w:val="-7"/>
          <w:sz w:val="21"/>
        </w:rPr>
        <w:t>消防供配电设施的检测内容见表</w:t>
      </w:r>
      <w:r>
        <w:rPr>
          <w:spacing w:val="-7"/>
          <w:sz w:val="21"/>
        </w:rPr>
        <w:t xml:space="preserve"> </w:t>
      </w:r>
      <w:r>
        <w:rPr>
          <w:sz w:val="21"/>
        </w:rPr>
        <w:t>D.1</w:t>
      </w:r>
      <w:r>
        <w:rPr>
          <w:spacing w:val="-8"/>
          <w:sz w:val="21"/>
        </w:rPr>
        <w:t xml:space="preserve"> </w:t>
      </w:r>
      <w:r>
        <w:rPr>
          <w:spacing w:val="-8"/>
          <w:sz w:val="21"/>
        </w:rPr>
        <w:t>中</w:t>
      </w:r>
      <w:r>
        <w:rPr>
          <w:spacing w:val="-8"/>
          <w:sz w:val="21"/>
        </w:rPr>
        <w:t>“</w:t>
      </w:r>
      <w:r>
        <w:rPr>
          <w:spacing w:val="-8"/>
          <w:sz w:val="21"/>
        </w:rPr>
        <w:t>消防供电配电设施</w:t>
      </w:r>
      <w:r>
        <w:rPr>
          <w:spacing w:val="-8"/>
          <w:sz w:val="21"/>
        </w:rPr>
        <w:t>”</w:t>
      </w:r>
      <w:r>
        <w:rPr>
          <w:spacing w:val="-8"/>
          <w:sz w:val="21"/>
        </w:rPr>
        <w:t>部分。</w:t>
      </w:r>
      <w:r>
        <w:rPr>
          <w:spacing w:val="-8"/>
          <w:sz w:val="21"/>
        </w:rPr>
        <w:t xml:space="preserve"> </w:t>
      </w:r>
    </w:p>
    <w:p w14:paraId="4F058032" w14:textId="77777777" w:rsidR="00A71EEF" w:rsidRDefault="00A71EEF">
      <w:pPr>
        <w:pStyle w:val="a3"/>
        <w:spacing w:before="12"/>
        <w:rPr>
          <w:sz w:val="17"/>
        </w:rPr>
      </w:pPr>
    </w:p>
    <w:p w14:paraId="2113D502" w14:textId="77777777" w:rsidR="00A71EEF" w:rsidRDefault="0081115D">
      <w:pPr>
        <w:pStyle w:val="a4"/>
        <w:numPr>
          <w:ilvl w:val="2"/>
          <w:numId w:val="489"/>
        </w:numPr>
        <w:tabs>
          <w:tab w:val="left" w:pos="1370"/>
        </w:tabs>
        <w:ind w:left="1369" w:hanging="530"/>
        <w:rPr>
          <w:sz w:val="21"/>
        </w:rPr>
      </w:pPr>
      <w:r>
        <w:rPr>
          <w:spacing w:val="-7"/>
          <w:sz w:val="21"/>
        </w:rPr>
        <w:t>火灾自动报警系统的检测内容见表</w:t>
      </w:r>
      <w:r>
        <w:rPr>
          <w:spacing w:val="-7"/>
          <w:sz w:val="21"/>
        </w:rPr>
        <w:t xml:space="preserve"> </w:t>
      </w:r>
      <w:r>
        <w:rPr>
          <w:sz w:val="21"/>
        </w:rPr>
        <w:t>D.1</w:t>
      </w:r>
      <w:r>
        <w:rPr>
          <w:spacing w:val="-9"/>
          <w:sz w:val="21"/>
        </w:rPr>
        <w:t xml:space="preserve"> </w:t>
      </w:r>
      <w:r>
        <w:rPr>
          <w:spacing w:val="-9"/>
          <w:sz w:val="21"/>
        </w:rPr>
        <w:t>中</w:t>
      </w:r>
      <w:r>
        <w:rPr>
          <w:spacing w:val="-9"/>
          <w:sz w:val="21"/>
        </w:rPr>
        <w:t>“</w:t>
      </w:r>
      <w:r>
        <w:rPr>
          <w:spacing w:val="-9"/>
          <w:sz w:val="21"/>
        </w:rPr>
        <w:t>火灾自动报警系统</w:t>
      </w:r>
      <w:r>
        <w:rPr>
          <w:spacing w:val="-9"/>
          <w:sz w:val="21"/>
        </w:rPr>
        <w:t>”</w:t>
      </w:r>
      <w:r>
        <w:rPr>
          <w:spacing w:val="-9"/>
          <w:sz w:val="21"/>
        </w:rPr>
        <w:t>部分。</w:t>
      </w:r>
      <w:r>
        <w:rPr>
          <w:spacing w:val="-9"/>
          <w:sz w:val="21"/>
        </w:rPr>
        <w:t xml:space="preserve"> </w:t>
      </w:r>
    </w:p>
    <w:p w14:paraId="10DF7536" w14:textId="77777777" w:rsidR="00A71EEF" w:rsidRDefault="00A71EEF">
      <w:pPr>
        <w:pStyle w:val="a3"/>
        <w:spacing w:before="2"/>
        <w:rPr>
          <w:sz w:val="18"/>
        </w:rPr>
      </w:pPr>
    </w:p>
    <w:p w14:paraId="67A05708" w14:textId="77777777" w:rsidR="00A71EEF" w:rsidRDefault="0081115D">
      <w:pPr>
        <w:pStyle w:val="a4"/>
        <w:numPr>
          <w:ilvl w:val="2"/>
          <w:numId w:val="489"/>
        </w:numPr>
        <w:tabs>
          <w:tab w:val="left" w:pos="1371"/>
        </w:tabs>
        <w:ind w:left="1370"/>
        <w:rPr>
          <w:sz w:val="21"/>
        </w:rPr>
      </w:pPr>
      <w:r>
        <w:rPr>
          <w:spacing w:val="-7"/>
          <w:sz w:val="21"/>
        </w:rPr>
        <w:t>消防供水</w:t>
      </w:r>
      <w:r>
        <w:rPr>
          <w:spacing w:val="-7"/>
          <w:sz w:val="21"/>
        </w:rPr>
        <w:t>设施的检测内容见表</w:t>
      </w:r>
      <w:r>
        <w:rPr>
          <w:spacing w:val="-7"/>
          <w:sz w:val="21"/>
        </w:rPr>
        <w:t xml:space="preserve"> </w:t>
      </w:r>
      <w:r>
        <w:rPr>
          <w:sz w:val="21"/>
        </w:rPr>
        <w:t>D.1</w:t>
      </w:r>
      <w:r>
        <w:rPr>
          <w:spacing w:val="-9"/>
          <w:sz w:val="21"/>
        </w:rPr>
        <w:t xml:space="preserve"> </w:t>
      </w:r>
      <w:r>
        <w:rPr>
          <w:spacing w:val="-9"/>
          <w:sz w:val="21"/>
        </w:rPr>
        <w:t>中</w:t>
      </w:r>
      <w:r>
        <w:rPr>
          <w:spacing w:val="-9"/>
          <w:sz w:val="21"/>
        </w:rPr>
        <w:t>“</w:t>
      </w:r>
      <w:r>
        <w:rPr>
          <w:spacing w:val="-9"/>
          <w:sz w:val="21"/>
        </w:rPr>
        <w:t>消防供水设施</w:t>
      </w:r>
      <w:r>
        <w:rPr>
          <w:spacing w:val="-9"/>
          <w:sz w:val="21"/>
        </w:rPr>
        <w:t>”</w:t>
      </w:r>
      <w:r>
        <w:rPr>
          <w:spacing w:val="-9"/>
          <w:sz w:val="21"/>
        </w:rPr>
        <w:t>部分。</w:t>
      </w:r>
      <w:r>
        <w:rPr>
          <w:sz w:val="21"/>
        </w:rPr>
        <w:t xml:space="preserve"> </w:t>
      </w:r>
    </w:p>
    <w:p w14:paraId="0D37B383" w14:textId="77777777" w:rsidR="00A71EEF" w:rsidRDefault="00A71EEF">
      <w:pPr>
        <w:pStyle w:val="a3"/>
        <w:spacing w:before="12"/>
        <w:rPr>
          <w:sz w:val="17"/>
        </w:rPr>
      </w:pPr>
    </w:p>
    <w:p w14:paraId="2CEE67C2" w14:textId="77777777" w:rsidR="00A71EEF" w:rsidRDefault="0081115D">
      <w:pPr>
        <w:pStyle w:val="a4"/>
        <w:numPr>
          <w:ilvl w:val="2"/>
          <w:numId w:val="489"/>
        </w:numPr>
        <w:tabs>
          <w:tab w:val="left" w:pos="1371"/>
        </w:tabs>
        <w:spacing w:line="446" w:lineRule="auto"/>
        <w:ind w:right="1500" w:firstLine="422"/>
        <w:rPr>
          <w:sz w:val="21"/>
        </w:rPr>
      </w:pPr>
      <w:r>
        <w:rPr>
          <w:spacing w:val="-1"/>
          <w:sz w:val="21"/>
        </w:rPr>
        <w:t>消火栓</w:t>
      </w:r>
      <w:r>
        <w:rPr>
          <w:sz w:val="21"/>
        </w:rPr>
        <w:t>（</w:t>
      </w:r>
      <w:r>
        <w:rPr>
          <w:spacing w:val="-3"/>
          <w:sz w:val="21"/>
        </w:rPr>
        <w:t>消防炮）</w:t>
      </w:r>
      <w:r>
        <w:rPr>
          <w:spacing w:val="-6"/>
          <w:sz w:val="21"/>
        </w:rPr>
        <w:t>灭火系统的检测内容见表</w:t>
      </w:r>
      <w:r>
        <w:rPr>
          <w:spacing w:val="-6"/>
          <w:sz w:val="21"/>
        </w:rPr>
        <w:t xml:space="preserve"> </w:t>
      </w:r>
      <w:r>
        <w:rPr>
          <w:sz w:val="21"/>
        </w:rPr>
        <w:t>D.1</w:t>
      </w:r>
      <w:r>
        <w:rPr>
          <w:spacing w:val="-7"/>
          <w:sz w:val="21"/>
        </w:rPr>
        <w:t xml:space="preserve"> </w:t>
      </w:r>
      <w:r>
        <w:rPr>
          <w:spacing w:val="-7"/>
          <w:sz w:val="21"/>
        </w:rPr>
        <w:t>中</w:t>
      </w:r>
      <w:r>
        <w:rPr>
          <w:spacing w:val="-7"/>
          <w:sz w:val="21"/>
        </w:rPr>
        <w:t>“</w:t>
      </w:r>
      <w:r>
        <w:rPr>
          <w:spacing w:val="-7"/>
          <w:sz w:val="21"/>
        </w:rPr>
        <w:t>消火栓</w:t>
      </w:r>
      <w:r>
        <w:rPr>
          <w:spacing w:val="-7"/>
          <w:sz w:val="21"/>
        </w:rPr>
        <w:t>(</w:t>
      </w:r>
      <w:r>
        <w:rPr>
          <w:spacing w:val="-7"/>
          <w:sz w:val="21"/>
        </w:rPr>
        <w:t>消防炮</w:t>
      </w:r>
      <w:r>
        <w:rPr>
          <w:spacing w:val="-7"/>
          <w:sz w:val="21"/>
        </w:rPr>
        <w:t>)</w:t>
      </w:r>
      <w:r>
        <w:rPr>
          <w:spacing w:val="-7"/>
          <w:sz w:val="21"/>
        </w:rPr>
        <w:t>灭火系统</w:t>
      </w:r>
      <w:r>
        <w:rPr>
          <w:spacing w:val="-7"/>
          <w:sz w:val="21"/>
        </w:rPr>
        <w:t>”</w:t>
      </w:r>
      <w:r>
        <w:rPr>
          <w:spacing w:val="-7"/>
          <w:sz w:val="21"/>
        </w:rPr>
        <w:t>部分</w:t>
      </w:r>
      <w:r>
        <w:rPr>
          <w:spacing w:val="-3"/>
          <w:sz w:val="21"/>
        </w:rPr>
        <w:t>。</w:t>
      </w:r>
      <w:r>
        <w:rPr>
          <w:sz w:val="21"/>
        </w:rPr>
        <w:t xml:space="preserve"> </w:t>
      </w:r>
    </w:p>
    <w:p w14:paraId="510F35AC" w14:textId="77777777" w:rsidR="00A71EEF" w:rsidRDefault="0081115D">
      <w:pPr>
        <w:pStyle w:val="a4"/>
        <w:numPr>
          <w:ilvl w:val="2"/>
          <w:numId w:val="489"/>
        </w:numPr>
        <w:tabs>
          <w:tab w:val="left" w:pos="1370"/>
        </w:tabs>
        <w:ind w:left="1369" w:hanging="530"/>
        <w:rPr>
          <w:sz w:val="21"/>
        </w:rPr>
      </w:pPr>
      <w:r>
        <w:rPr>
          <w:spacing w:val="-7"/>
          <w:sz w:val="21"/>
        </w:rPr>
        <w:t>自动喷水灭火系统的检测内容见表</w:t>
      </w:r>
      <w:r>
        <w:rPr>
          <w:spacing w:val="-7"/>
          <w:sz w:val="21"/>
        </w:rPr>
        <w:t xml:space="preserve"> </w:t>
      </w:r>
      <w:r>
        <w:rPr>
          <w:sz w:val="21"/>
        </w:rPr>
        <w:t>D.1</w:t>
      </w:r>
      <w:r>
        <w:rPr>
          <w:spacing w:val="-9"/>
          <w:sz w:val="21"/>
        </w:rPr>
        <w:t xml:space="preserve"> </w:t>
      </w:r>
      <w:r>
        <w:rPr>
          <w:spacing w:val="-9"/>
          <w:sz w:val="21"/>
        </w:rPr>
        <w:t>中</w:t>
      </w:r>
      <w:r>
        <w:rPr>
          <w:spacing w:val="-9"/>
          <w:sz w:val="21"/>
        </w:rPr>
        <w:t>“</w:t>
      </w:r>
      <w:r>
        <w:rPr>
          <w:spacing w:val="-9"/>
          <w:sz w:val="21"/>
        </w:rPr>
        <w:t>自动喷水灭火系统</w:t>
      </w:r>
      <w:r>
        <w:rPr>
          <w:spacing w:val="-9"/>
          <w:sz w:val="21"/>
        </w:rPr>
        <w:t>”</w:t>
      </w:r>
      <w:r>
        <w:rPr>
          <w:spacing w:val="-9"/>
          <w:sz w:val="21"/>
        </w:rPr>
        <w:t>部分，</w:t>
      </w:r>
      <w:r>
        <w:rPr>
          <w:spacing w:val="-9"/>
          <w:sz w:val="21"/>
        </w:rPr>
        <w:t xml:space="preserve"> </w:t>
      </w:r>
    </w:p>
    <w:p w14:paraId="4F8AEA2A" w14:textId="77777777" w:rsidR="00A71EEF" w:rsidRDefault="00A71EEF">
      <w:pPr>
        <w:pStyle w:val="a3"/>
        <w:rPr>
          <w:sz w:val="18"/>
        </w:rPr>
      </w:pPr>
    </w:p>
    <w:p w14:paraId="1F462F91" w14:textId="77777777" w:rsidR="00A71EEF" w:rsidRDefault="0081115D">
      <w:pPr>
        <w:pStyle w:val="a4"/>
        <w:numPr>
          <w:ilvl w:val="2"/>
          <w:numId w:val="489"/>
        </w:numPr>
        <w:tabs>
          <w:tab w:val="left" w:pos="1370"/>
        </w:tabs>
        <w:ind w:left="1369" w:hanging="530"/>
        <w:rPr>
          <w:sz w:val="21"/>
        </w:rPr>
      </w:pPr>
      <w:r>
        <w:rPr>
          <w:spacing w:val="-7"/>
          <w:sz w:val="21"/>
        </w:rPr>
        <w:t>泡沫灭火系统的检测内容见表</w:t>
      </w:r>
      <w:r>
        <w:rPr>
          <w:spacing w:val="-7"/>
          <w:sz w:val="21"/>
        </w:rPr>
        <w:t xml:space="preserve"> </w:t>
      </w:r>
      <w:r>
        <w:rPr>
          <w:sz w:val="21"/>
        </w:rPr>
        <w:t>D.1</w:t>
      </w:r>
      <w:r>
        <w:rPr>
          <w:spacing w:val="-9"/>
          <w:sz w:val="21"/>
        </w:rPr>
        <w:t xml:space="preserve"> </w:t>
      </w:r>
      <w:r>
        <w:rPr>
          <w:spacing w:val="-9"/>
          <w:sz w:val="21"/>
        </w:rPr>
        <w:t>中</w:t>
      </w:r>
      <w:r>
        <w:rPr>
          <w:spacing w:val="-9"/>
          <w:sz w:val="21"/>
        </w:rPr>
        <w:t>“</w:t>
      </w:r>
      <w:r>
        <w:rPr>
          <w:spacing w:val="-9"/>
          <w:sz w:val="21"/>
        </w:rPr>
        <w:t>泡沫灭火系统</w:t>
      </w:r>
      <w:r>
        <w:rPr>
          <w:spacing w:val="-9"/>
          <w:sz w:val="21"/>
        </w:rPr>
        <w:t>”</w:t>
      </w:r>
      <w:r>
        <w:rPr>
          <w:spacing w:val="-9"/>
          <w:sz w:val="21"/>
        </w:rPr>
        <w:t>部分。</w:t>
      </w:r>
      <w:r>
        <w:rPr>
          <w:sz w:val="21"/>
        </w:rPr>
        <w:t xml:space="preserve"> </w:t>
      </w:r>
    </w:p>
    <w:p w14:paraId="629B8D23" w14:textId="77777777" w:rsidR="00A71EEF" w:rsidRDefault="00A71EEF">
      <w:pPr>
        <w:pStyle w:val="a3"/>
        <w:rPr>
          <w:sz w:val="18"/>
        </w:rPr>
      </w:pPr>
    </w:p>
    <w:p w14:paraId="04827227" w14:textId="77777777" w:rsidR="00A71EEF" w:rsidRDefault="0081115D">
      <w:pPr>
        <w:pStyle w:val="a4"/>
        <w:numPr>
          <w:ilvl w:val="2"/>
          <w:numId w:val="489"/>
        </w:numPr>
        <w:tabs>
          <w:tab w:val="left" w:pos="1370"/>
        </w:tabs>
        <w:ind w:left="1369" w:hanging="530"/>
        <w:rPr>
          <w:sz w:val="21"/>
        </w:rPr>
      </w:pPr>
      <w:r>
        <w:rPr>
          <w:spacing w:val="-7"/>
          <w:sz w:val="21"/>
        </w:rPr>
        <w:t>气体灭火系统的检测内容见表</w:t>
      </w:r>
      <w:r>
        <w:rPr>
          <w:spacing w:val="-7"/>
          <w:sz w:val="21"/>
        </w:rPr>
        <w:t xml:space="preserve"> </w:t>
      </w:r>
      <w:r>
        <w:rPr>
          <w:sz w:val="21"/>
        </w:rPr>
        <w:t>D</w:t>
      </w:r>
      <w:r>
        <w:rPr>
          <w:spacing w:val="1"/>
          <w:sz w:val="21"/>
        </w:rPr>
        <w:t xml:space="preserve">. </w:t>
      </w:r>
      <w:r>
        <w:rPr>
          <w:sz w:val="21"/>
        </w:rPr>
        <w:t>1</w:t>
      </w:r>
      <w:r>
        <w:rPr>
          <w:spacing w:val="-8"/>
          <w:sz w:val="21"/>
        </w:rPr>
        <w:t xml:space="preserve"> </w:t>
      </w:r>
      <w:r>
        <w:rPr>
          <w:spacing w:val="-8"/>
          <w:sz w:val="21"/>
        </w:rPr>
        <w:t>中</w:t>
      </w:r>
      <w:r>
        <w:rPr>
          <w:spacing w:val="-8"/>
          <w:sz w:val="21"/>
        </w:rPr>
        <w:t>“</w:t>
      </w:r>
      <w:r>
        <w:rPr>
          <w:spacing w:val="-8"/>
          <w:sz w:val="21"/>
        </w:rPr>
        <w:t>气体灭火系统</w:t>
      </w:r>
      <w:r>
        <w:rPr>
          <w:spacing w:val="-8"/>
          <w:sz w:val="21"/>
        </w:rPr>
        <w:t>”</w:t>
      </w:r>
      <w:r>
        <w:rPr>
          <w:spacing w:val="-8"/>
          <w:sz w:val="21"/>
        </w:rPr>
        <w:t>部分</w:t>
      </w:r>
      <w:r>
        <w:rPr>
          <w:spacing w:val="-8"/>
          <w:sz w:val="21"/>
        </w:rPr>
        <w:t>.</w:t>
      </w:r>
      <w:r>
        <w:rPr>
          <w:sz w:val="21"/>
        </w:rPr>
        <w:t xml:space="preserve"> </w:t>
      </w:r>
    </w:p>
    <w:p w14:paraId="1B61EE01" w14:textId="77777777" w:rsidR="00A71EEF" w:rsidRDefault="00A71EEF">
      <w:pPr>
        <w:pStyle w:val="a3"/>
        <w:spacing w:before="1"/>
        <w:rPr>
          <w:sz w:val="18"/>
        </w:rPr>
      </w:pPr>
    </w:p>
    <w:p w14:paraId="16F459CF" w14:textId="77777777" w:rsidR="00A71EEF" w:rsidRDefault="0081115D">
      <w:pPr>
        <w:pStyle w:val="a4"/>
        <w:numPr>
          <w:ilvl w:val="2"/>
          <w:numId w:val="489"/>
        </w:numPr>
        <w:tabs>
          <w:tab w:val="left" w:pos="1371"/>
        </w:tabs>
        <w:spacing w:before="1"/>
        <w:ind w:left="1370"/>
        <w:rPr>
          <w:sz w:val="21"/>
        </w:rPr>
      </w:pPr>
      <w:r>
        <w:rPr>
          <w:spacing w:val="-8"/>
          <w:sz w:val="21"/>
        </w:rPr>
        <w:t>防烟系统的检测内容见表</w:t>
      </w:r>
      <w:r>
        <w:rPr>
          <w:spacing w:val="-8"/>
          <w:sz w:val="21"/>
        </w:rPr>
        <w:t xml:space="preserve"> </w:t>
      </w:r>
      <w:r>
        <w:rPr>
          <w:sz w:val="21"/>
        </w:rPr>
        <w:t>D.1</w:t>
      </w:r>
      <w:r>
        <w:rPr>
          <w:spacing w:val="-8"/>
          <w:sz w:val="21"/>
        </w:rPr>
        <w:t xml:space="preserve"> </w:t>
      </w:r>
      <w:r>
        <w:rPr>
          <w:spacing w:val="-8"/>
          <w:sz w:val="21"/>
        </w:rPr>
        <w:t>中</w:t>
      </w:r>
      <w:r>
        <w:rPr>
          <w:spacing w:val="-8"/>
          <w:sz w:val="21"/>
        </w:rPr>
        <w:t>“</w:t>
      </w:r>
      <w:r>
        <w:rPr>
          <w:spacing w:val="-8"/>
          <w:sz w:val="21"/>
        </w:rPr>
        <w:t>机械加压送风系统</w:t>
      </w:r>
      <w:r>
        <w:rPr>
          <w:spacing w:val="-8"/>
          <w:sz w:val="21"/>
        </w:rPr>
        <w:t>”</w:t>
      </w:r>
      <w:r>
        <w:rPr>
          <w:spacing w:val="-8"/>
          <w:sz w:val="21"/>
        </w:rPr>
        <w:t>部分。</w:t>
      </w:r>
      <w:r>
        <w:rPr>
          <w:sz w:val="21"/>
        </w:rPr>
        <w:t xml:space="preserve"> </w:t>
      </w:r>
    </w:p>
    <w:p w14:paraId="37260B94" w14:textId="77777777" w:rsidR="00A71EEF" w:rsidRDefault="00A71EEF">
      <w:pPr>
        <w:pStyle w:val="a3"/>
        <w:spacing w:before="12"/>
        <w:rPr>
          <w:sz w:val="17"/>
        </w:rPr>
      </w:pPr>
    </w:p>
    <w:p w14:paraId="4996FB24" w14:textId="77777777" w:rsidR="00A71EEF" w:rsidRDefault="0081115D">
      <w:pPr>
        <w:pStyle w:val="a4"/>
        <w:numPr>
          <w:ilvl w:val="2"/>
          <w:numId w:val="489"/>
        </w:numPr>
        <w:tabs>
          <w:tab w:val="left" w:pos="1370"/>
        </w:tabs>
        <w:ind w:left="1369" w:hanging="530"/>
        <w:rPr>
          <w:sz w:val="21"/>
        </w:rPr>
      </w:pPr>
      <w:r>
        <w:rPr>
          <w:spacing w:val="-8"/>
          <w:sz w:val="21"/>
        </w:rPr>
        <w:t>排烟系统的检测内容见表</w:t>
      </w:r>
      <w:r>
        <w:rPr>
          <w:spacing w:val="-8"/>
          <w:sz w:val="21"/>
        </w:rPr>
        <w:t xml:space="preserve"> </w:t>
      </w:r>
      <w:r>
        <w:rPr>
          <w:sz w:val="21"/>
        </w:rPr>
        <w:t>D.l</w:t>
      </w:r>
      <w:r>
        <w:rPr>
          <w:spacing w:val="-8"/>
          <w:sz w:val="21"/>
        </w:rPr>
        <w:t xml:space="preserve"> </w:t>
      </w:r>
      <w:r>
        <w:rPr>
          <w:spacing w:val="-8"/>
          <w:sz w:val="21"/>
        </w:rPr>
        <w:t>中</w:t>
      </w:r>
      <w:r>
        <w:rPr>
          <w:spacing w:val="-8"/>
          <w:sz w:val="21"/>
        </w:rPr>
        <w:t>“</w:t>
      </w:r>
      <w:r>
        <w:rPr>
          <w:spacing w:val="-8"/>
          <w:sz w:val="21"/>
        </w:rPr>
        <w:t>机械排烟系统</w:t>
      </w:r>
      <w:r>
        <w:rPr>
          <w:spacing w:val="-8"/>
          <w:sz w:val="21"/>
        </w:rPr>
        <w:t>”</w:t>
      </w:r>
      <w:r>
        <w:rPr>
          <w:spacing w:val="-8"/>
          <w:sz w:val="21"/>
        </w:rPr>
        <w:t>部分。</w:t>
      </w:r>
      <w:r>
        <w:rPr>
          <w:sz w:val="21"/>
        </w:rPr>
        <w:t xml:space="preserve"> </w:t>
      </w:r>
    </w:p>
    <w:p w14:paraId="402D6DC5" w14:textId="77777777" w:rsidR="00A71EEF" w:rsidRDefault="00A71EEF">
      <w:pPr>
        <w:pStyle w:val="a3"/>
        <w:spacing w:before="12"/>
        <w:rPr>
          <w:sz w:val="17"/>
        </w:rPr>
      </w:pPr>
    </w:p>
    <w:p w14:paraId="29D8E24E" w14:textId="77777777" w:rsidR="00A71EEF" w:rsidRDefault="0081115D">
      <w:pPr>
        <w:pStyle w:val="a4"/>
        <w:numPr>
          <w:ilvl w:val="2"/>
          <w:numId w:val="489"/>
        </w:numPr>
        <w:tabs>
          <w:tab w:val="left" w:pos="1478"/>
        </w:tabs>
        <w:ind w:left="1477" w:hanging="638"/>
        <w:rPr>
          <w:sz w:val="21"/>
        </w:rPr>
      </w:pPr>
      <w:r>
        <w:rPr>
          <w:spacing w:val="-7"/>
          <w:sz w:val="21"/>
        </w:rPr>
        <w:t>应急照明系统的检测内容见表</w:t>
      </w:r>
      <w:r>
        <w:rPr>
          <w:spacing w:val="-7"/>
          <w:sz w:val="21"/>
        </w:rPr>
        <w:t xml:space="preserve"> </w:t>
      </w:r>
      <w:r>
        <w:rPr>
          <w:sz w:val="21"/>
        </w:rPr>
        <w:t>D</w:t>
      </w:r>
      <w:r>
        <w:rPr>
          <w:spacing w:val="1"/>
          <w:sz w:val="21"/>
        </w:rPr>
        <w:t xml:space="preserve">. </w:t>
      </w:r>
      <w:r>
        <w:rPr>
          <w:sz w:val="21"/>
        </w:rPr>
        <w:t>1</w:t>
      </w:r>
      <w:r>
        <w:rPr>
          <w:spacing w:val="-9"/>
          <w:sz w:val="21"/>
        </w:rPr>
        <w:t xml:space="preserve"> </w:t>
      </w:r>
      <w:r>
        <w:rPr>
          <w:spacing w:val="-9"/>
          <w:sz w:val="21"/>
        </w:rPr>
        <w:t>中</w:t>
      </w:r>
      <w:r>
        <w:rPr>
          <w:spacing w:val="-9"/>
          <w:sz w:val="21"/>
        </w:rPr>
        <w:t>“</w:t>
      </w:r>
      <w:r>
        <w:rPr>
          <w:spacing w:val="-9"/>
          <w:sz w:val="21"/>
        </w:rPr>
        <w:t>应急照明系统</w:t>
      </w:r>
      <w:r>
        <w:rPr>
          <w:spacing w:val="-9"/>
          <w:sz w:val="21"/>
        </w:rPr>
        <w:t>”</w:t>
      </w:r>
      <w:r>
        <w:rPr>
          <w:spacing w:val="-9"/>
          <w:sz w:val="21"/>
        </w:rPr>
        <w:t>部分。</w:t>
      </w:r>
      <w:r>
        <w:rPr>
          <w:sz w:val="21"/>
        </w:rPr>
        <w:t xml:space="preserve"> </w:t>
      </w:r>
    </w:p>
    <w:p w14:paraId="006E859C" w14:textId="77777777" w:rsidR="00A71EEF" w:rsidRDefault="00A71EEF">
      <w:pPr>
        <w:pStyle w:val="a3"/>
        <w:spacing w:before="2"/>
        <w:rPr>
          <w:sz w:val="18"/>
        </w:rPr>
      </w:pPr>
    </w:p>
    <w:p w14:paraId="2B0858C9" w14:textId="77777777" w:rsidR="00A71EEF" w:rsidRDefault="0081115D">
      <w:pPr>
        <w:pStyle w:val="a4"/>
        <w:numPr>
          <w:ilvl w:val="2"/>
          <w:numId w:val="489"/>
        </w:numPr>
        <w:tabs>
          <w:tab w:val="left" w:pos="1478"/>
        </w:tabs>
        <w:ind w:left="1477" w:hanging="638"/>
        <w:rPr>
          <w:sz w:val="21"/>
        </w:rPr>
      </w:pPr>
      <w:r>
        <w:rPr>
          <w:spacing w:val="-7"/>
          <w:sz w:val="21"/>
        </w:rPr>
        <w:t>应急广播系统的检测内容见表</w:t>
      </w:r>
      <w:r>
        <w:rPr>
          <w:spacing w:val="-7"/>
          <w:sz w:val="21"/>
        </w:rPr>
        <w:t xml:space="preserve"> </w:t>
      </w:r>
      <w:r>
        <w:rPr>
          <w:sz w:val="21"/>
        </w:rPr>
        <w:t>D.1</w:t>
      </w:r>
      <w:r>
        <w:rPr>
          <w:spacing w:val="-8"/>
          <w:sz w:val="21"/>
        </w:rPr>
        <w:t xml:space="preserve"> </w:t>
      </w:r>
      <w:r>
        <w:rPr>
          <w:spacing w:val="-8"/>
          <w:sz w:val="21"/>
        </w:rPr>
        <w:t>中</w:t>
      </w:r>
      <w:r>
        <w:rPr>
          <w:spacing w:val="-8"/>
          <w:sz w:val="21"/>
        </w:rPr>
        <w:t>“</w:t>
      </w:r>
      <w:r>
        <w:rPr>
          <w:spacing w:val="-8"/>
          <w:sz w:val="21"/>
        </w:rPr>
        <w:t>应急广播系统</w:t>
      </w:r>
      <w:r>
        <w:rPr>
          <w:spacing w:val="-8"/>
          <w:sz w:val="21"/>
        </w:rPr>
        <w:t>”</w:t>
      </w:r>
      <w:r>
        <w:rPr>
          <w:spacing w:val="-8"/>
          <w:sz w:val="21"/>
        </w:rPr>
        <w:t>部分。</w:t>
      </w:r>
      <w:r>
        <w:rPr>
          <w:sz w:val="21"/>
        </w:rPr>
        <w:t xml:space="preserve"> </w:t>
      </w:r>
    </w:p>
    <w:p w14:paraId="7A42E9D0" w14:textId="77777777" w:rsidR="00A71EEF" w:rsidRDefault="00A71EEF">
      <w:pPr>
        <w:pStyle w:val="a3"/>
        <w:rPr>
          <w:sz w:val="18"/>
        </w:rPr>
      </w:pPr>
    </w:p>
    <w:p w14:paraId="7410D140" w14:textId="77777777" w:rsidR="00A71EEF" w:rsidRDefault="0081115D">
      <w:pPr>
        <w:pStyle w:val="a4"/>
        <w:numPr>
          <w:ilvl w:val="2"/>
          <w:numId w:val="489"/>
        </w:numPr>
        <w:tabs>
          <w:tab w:val="left" w:pos="1478"/>
        </w:tabs>
        <w:ind w:left="1477" w:hanging="638"/>
        <w:rPr>
          <w:sz w:val="21"/>
        </w:rPr>
      </w:pPr>
      <w:r>
        <w:rPr>
          <w:spacing w:val="-7"/>
          <w:sz w:val="21"/>
        </w:rPr>
        <w:t>消防专用电话的检测内容见表</w:t>
      </w:r>
      <w:r>
        <w:rPr>
          <w:spacing w:val="-7"/>
          <w:sz w:val="21"/>
        </w:rPr>
        <w:t xml:space="preserve"> </w:t>
      </w:r>
      <w:r>
        <w:rPr>
          <w:sz w:val="21"/>
        </w:rPr>
        <w:t>D</w:t>
      </w:r>
      <w:r>
        <w:rPr>
          <w:spacing w:val="1"/>
          <w:sz w:val="21"/>
        </w:rPr>
        <w:t xml:space="preserve">. </w:t>
      </w:r>
      <w:r>
        <w:rPr>
          <w:sz w:val="21"/>
        </w:rPr>
        <w:t>1</w:t>
      </w:r>
      <w:r>
        <w:rPr>
          <w:spacing w:val="-9"/>
          <w:sz w:val="21"/>
        </w:rPr>
        <w:t xml:space="preserve"> </w:t>
      </w:r>
      <w:r>
        <w:rPr>
          <w:spacing w:val="-9"/>
          <w:sz w:val="21"/>
        </w:rPr>
        <w:t>中</w:t>
      </w:r>
      <w:r>
        <w:rPr>
          <w:spacing w:val="-9"/>
          <w:sz w:val="21"/>
        </w:rPr>
        <w:t>“</w:t>
      </w:r>
      <w:r>
        <w:rPr>
          <w:spacing w:val="-9"/>
          <w:sz w:val="21"/>
        </w:rPr>
        <w:t>消防专用电话</w:t>
      </w:r>
      <w:r>
        <w:rPr>
          <w:spacing w:val="-9"/>
          <w:sz w:val="21"/>
        </w:rPr>
        <w:t>”</w:t>
      </w:r>
      <w:r>
        <w:rPr>
          <w:spacing w:val="-9"/>
          <w:sz w:val="21"/>
        </w:rPr>
        <w:t>部分</w:t>
      </w:r>
      <w:r>
        <w:rPr>
          <w:spacing w:val="-9"/>
          <w:sz w:val="21"/>
        </w:rPr>
        <w:t>„</w:t>
      </w:r>
      <w:r>
        <w:rPr>
          <w:sz w:val="21"/>
        </w:rPr>
        <w:t xml:space="preserve"> </w:t>
      </w:r>
    </w:p>
    <w:p w14:paraId="44387012" w14:textId="77777777" w:rsidR="00A71EEF" w:rsidRDefault="00A71EEF">
      <w:pPr>
        <w:pStyle w:val="a3"/>
        <w:rPr>
          <w:sz w:val="18"/>
        </w:rPr>
      </w:pPr>
    </w:p>
    <w:p w14:paraId="44304B10" w14:textId="77777777" w:rsidR="00A71EEF" w:rsidRDefault="0081115D">
      <w:pPr>
        <w:pStyle w:val="a4"/>
        <w:numPr>
          <w:ilvl w:val="2"/>
          <w:numId w:val="489"/>
        </w:numPr>
        <w:tabs>
          <w:tab w:val="left" w:pos="1478"/>
        </w:tabs>
        <w:ind w:left="1477" w:hanging="638"/>
        <w:rPr>
          <w:sz w:val="21"/>
        </w:rPr>
      </w:pPr>
      <w:r>
        <w:rPr>
          <w:spacing w:val="-7"/>
          <w:sz w:val="21"/>
        </w:rPr>
        <w:t>防火分隔设施的检测内容见表</w:t>
      </w:r>
      <w:r>
        <w:rPr>
          <w:spacing w:val="-7"/>
          <w:sz w:val="21"/>
        </w:rPr>
        <w:t xml:space="preserve"> </w:t>
      </w:r>
      <w:r>
        <w:rPr>
          <w:sz w:val="21"/>
        </w:rPr>
        <w:t>D</w:t>
      </w:r>
      <w:r>
        <w:rPr>
          <w:spacing w:val="1"/>
          <w:sz w:val="21"/>
        </w:rPr>
        <w:t xml:space="preserve">. </w:t>
      </w:r>
      <w:r>
        <w:rPr>
          <w:sz w:val="21"/>
        </w:rPr>
        <w:t>1</w:t>
      </w:r>
      <w:r>
        <w:rPr>
          <w:spacing w:val="-9"/>
          <w:sz w:val="21"/>
        </w:rPr>
        <w:t xml:space="preserve"> </w:t>
      </w:r>
      <w:r>
        <w:rPr>
          <w:spacing w:val="-9"/>
          <w:sz w:val="21"/>
        </w:rPr>
        <w:t>中</w:t>
      </w:r>
      <w:r>
        <w:rPr>
          <w:spacing w:val="-9"/>
          <w:sz w:val="21"/>
        </w:rPr>
        <w:t>“</w:t>
      </w:r>
      <w:r>
        <w:rPr>
          <w:spacing w:val="-9"/>
          <w:sz w:val="21"/>
        </w:rPr>
        <w:t>防火分隔</w:t>
      </w:r>
      <w:r>
        <w:rPr>
          <w:spacing w:val="-9"/>
          <w:sz w:val="21"/>
        </w:rPr>
        <w:t>”</w:t>
      </w:r>
      <w:r>
        <w:rPr>
          <w:spacing w:val="-9"/>
          <w:sz w:val="21"/>
        </w:rPr>
        <w:t>部分。</w:t>
      </w:r>
      <w:r>
        <w:rPr>
          <w:sz w:val="21"/>
        </w:rPr>
        <w:t xml:space="preserve"> </w:t>
      </w:r>
    </w:p>
    <w:p w14:paraId="0BBC8D91" w14:textId="77777777" w:rsidR="00A71EEF" w:rsidRDefault="00A71EEF">
      <w:pPr>
        <w:pStyle w:val="a3"/>
        <w:spacing w:before="2"/>
        <w:rPr>
          <w:sz w:val="18"/>
        </w:rPr>
      </w:pPr>
    </w:p>
    <w:p w14:paraId="5B8FA49A" w14:textId="77777777" w:rsidR="00A71EEF" w:rsidRDefault="0081115D">
      <w:pPr>
        <w:pStyle w:val="a4"/>
        <w:numPr>
          <w:ilvl w:val="2"/>
          <w:numId w:val="489"/>
        </w:numPr>
        <w:tabs>
          <w:tab w:val="left" w:pos="1478"/>
        </w:tabs>
        <w:ind w:left="1477" w:hanging="638"/>
        <w:rPr>
          <w:sz w:val="21"/>
        </w:rPr>
      </w:pPr>
      <w:r>
        <w:rPr>
          <w:spacing w:val="-8"/>
          <w:sz w:val="21"/>
        </w:rPr>
        <w:t>消防电梯的检测内容见表</w:t>
      </w:r>
      <w:r>
        <w:rPr>
          <w:spacing w:val="-8"/>
          <w:sz w:val="21"/>
        </w:rPr>
        <w:t xml:space="preserve"> </w:t>
      </w:r>
      <w:r>
        <w:rPr>
          <w:sz w:val="21"/>
        </w:rPr>
        <w:t>D</w:t>
      </w:r>
      <w:r>
        <w:rPr>
          <w:spacing w:val="1"/>
          <w:sz w:val="21"/>
        </w:rPr>
        <w:t xml:space="preserve">. </w:t>
      </w:r>
      <w:r>
        <w:rPr>
          <w:sz w:val="21"/>
        </w:rPr>
        <w:t>1</w:t>
      </w:r>
      <w:r>
        <w:rPr>
          <w:spacing w:val="-9"/>
          <w:sz w:val="21"/>
        </w:rPr>
        <w:t xml:space="preserve"> </w:t>
      </w:r>
      <w:r>
        <w:rPr>
          <w:spacing w:val="-9"/>
          <w:sz w:val="21"/>
        </w:rPr>
        <w:t>中</w:t>
      </w:r>
      <w:r>
        <w:rPr>
          <w:spacing w:val="-9"/>
          <w:sz w:val="21"/>
        </w:rPr>
        <w:t>“</w:t>
      </w:r>
      <w:r>
        <w:rPr>
          <w:spacing w:val="-9"/>
          <w:sz w:val="21"/>
        </w:rPr>
        <w:t>消防电梯</w:t>
      </w:r>
      <w:r>
        <w:rPr>
          <w:spacing w:val="-9"/>
          <w:sz w:val="21"/>
        </w:rPr>
        <w:t>”</w:t>
      </w:r>
      <w:r>
        <w:rPr>
          <w:spacing w:val="-9"/>
          <w:sz w:val="21"/>
        </w:rPr>
        <w:t>部分。</w:t>
      </w:r>
      <w:r>
        <w:rPr>
          <w:sz w:val="21"/>
        </w:rPr>
        <w:t xml:space="preserve"> </w:t>
      </w:r>
    </w:p>
    <w:p w14:paraId="30AA993D" w14:textId="77777777" w:rsidR="00A71EEF" w:rsidRDefault="00A71EEF">
      <w:pPr>
        <w:pStyle w:val="a3"/>
        <w:spacing w:before="12"/>
        <w:rPr>
          <w:sz w:val="17"/>
        </w:rPr>
      </w:pPr>
    </w:p>
    <w:p w14:paraId="1BC58537" w14:textId="77777777" w:rsidR="00A71EEF" w:rsidRDefault="0081115D">
      <w:pPr>
        <w:pStyle w:val="a4"/>
        <w:numPr>
          <w:ilvl w:val="2"/>
          <w:numId w:val="489"/>
        </w:numPr>
        <w:tabs>
          <w:tab w:val="left" w:pos="1478"/>
        </w:tabs>
        <w:ind w:left="1477" w:hanging="638"/>
        <w:rPr>
          <w:sz w:val="21"/>
        </w:rPr>
      </w:pPr>
      <w:r>
        <w:rPr>
          <w:spacing w:val="-7"/>
          <w:sz w:val="21"/>
        </w:rPr>
        <w:t>细水雾灭火系统的检测内容见表</w:t>
      </w:r>
      <w:r>
        <w:rPr>
          <w:spacing w:val="-7"/>
          <w:sz w:val="21"/>
        </w:rPr>
        <w:t xml:space="preserve"> </w:t>
      </w:r>
      <w:r>
        <w:rPr>
          <w:sz w:val="21"/>
        </w:rPr>
        <w:t>D</w:t>
      </w:r>
      <w:r>
        <w:rPr>
          <w:spacing w:val="1"/>
          <w:sz w:val="21"/>
        </w:rPr>
        <w:t xml:space="preserve">. </w:t>
      </w:r>
      <w:r>
        <w:rPr>
          <w:sz w:val="21"/>
        </w:rPr>
        <w:t>1</w:t>
      </w:r>
      <w:r>
        <w:rPr>
          <w:spacing w:val="-9"/>
          <w:sz w:val="21"/>
        </w:rPr>
        <w:t xml:space="preserve"> </w:t>
      </w:r>
      <w:r>
        <w:rPr>
          <w:spacing w:val="-9"/>
          <w:sz w:val="21"/>
        </w:rPr>
        <w:t>中</w:t>
      </w:r>
      <w:r>
        <w:rPr>
          <w:spacing w:val="-9"/>
          <w:sz w:val="21"/>
        </w:rPr>
        <w:t>“</w:t>
      </w:r>
      <w:r>
        <w:rPr>
          <w:spacing w:val="-9"/>
          <w:sz w:val="21"/>
        </w:rPr>
        <w:t>细水雾灭火系统</w:t>
      </w:r>
      <w:r>
        <w:rPr>
          <w:spacing w:val="-9"/>
          <w:sz w:val="21"/>
        </w:rPr>
        <w:t>”</w:t>
      </w:r>
      <w:r>
        <w:rPr>
          <w:spacing w:val="-9"/>
          <w:sz w:val="21"/>
        </w:rPr>
        <w:t>部分</w:t>
      </w:r>
      <w:r>
        <w:rPr>
          <w:sz w:val="21"/>
        </w:rPr>
        <w:t xml:space="preserve"> </w:t>
      </w:r>
    </w:p>
    <w:p w14:paraId="03945079" w14:textId="77777777" w:rsidR="00A71EEF" w:rsidRDefault="00A71EEF">
      <w:pPr>
        <w:pStyle w:val="a3"/>
        <w:spacing w:before="12"/>
        <w:rPr>
          <w:sz w:val="17"/>
        </w:rPr>
      </w:pPr>
    </w:p>
    <w:p w14:paraId="6BDFDBFD" w14:textId="77777777" w:rsidR="00A71EEF" w:rsidRDefault="0081115D">
      <w:pPr>
        <w:pStyle w:val="a4"/>
        <w:numPr>
          <w:ilvl w:val="2"/>
          <w:numId w:val="489"/>
        </w:numPr>
        <w:tabs>
          <w:tab w:val="left" w:pos="1478"/>
        </w:tabs>
        <w:ind w:left="1477" w:hanging="638"/>
        <w:rPr>
          <w:sz w:val="21"/>
        </w:rPr>
      </w:pPr>
      <w:r>
        <w:rPr>
          <w:spacing w:val="-7"/>
          <w:sz w:val="21"/>
        </w:rPr>
        <w:t>干粉灭火系统的检测内容见表</w:t>
      </w:r>
      <w:r>
        <w:rPr>
          <w:spacing w:val="-7"/>
          <w:sz w:val="21"/>
        </w:rPr>
        <w:t xml:space="preserve"> </w:t>
      </w:r>
      <w:r>
        <w:rPr>
          <w:sz w:val="21"/>
        </w:rPr>
        <w:t>D.1</w:t>
      </w:r>
      <w:r>
        <w:rPr>
          <w:spacing w:val="-8"/>
          <w:sz w:val="21"/>
        </w:rPr>
        <w:t xml:space="preserve"> </w:t>
      </w:r>
      <w:r>
        <w:rPr>
          <w:spacing w:val="-8"/>
          <w:sz w:val="21"/>
        </w:rPr>
        <w:t>中</w:t>
      </w:r>
      <w:r>
        <w:rPr>
          <w:spacing w:val="-8"/>
          <w:sz w:val="21"/>
        </w:rPr>
        <w:t>“</w:t>
      </w:r>
      <w:r>
        <w:rPr>
          <w:spacing w:val="-8"/>
          <w:sz w:val="21"/>
        </w:rPr>
        <w:t>干粉灭火系统</w:t>
      </w:r>
      <w:r>
        <w:rPr>
          <w:spacing w:val="-8"/>
          <w:sz w:val="21"/>
        </w:rPr>
        <w:t>”</w:t>
      </w:r>
      <w:r>
        <w:rPr>
          <w:spacing w:val="-8"/>
          <w:sz w:val="21"/>
        </w:rPr>
        <w:t>部分</w:t>
      </w:r>
      <w:r>
        <w:rPr>
          <w:spacing w:val="-8"/>
          <w:sz w:val="21"/>
        </w:rPr>
        <w:t>.</w:t>
      </w:r>
      <w:r>
        <w:rPr>
          <w:sz w:val="21"/>
        </w:rPr>
        <w:t xml:space="preserve"> </w:t>
      </w:r>
    </w:p>
    <w:p w14:paraId="0607754C" w14:textId="77777777" w:rsidR="00A71EEF" w:rsidRDefault="00A71EEF">
      <w:pPr>
        <w:pStyle w:val="a3"/>
        <w:spacing w:before="2"/>
        <w:rPr>
          <w:sz w:val="18"/>
        </w:rPr>
      </w:pPr>
    </w:p>
    <w:p w14:paraId="672B85CD" w14:textId="77777777" w:rsidR="00A71EEF" w:rsidRDefault="0081115D">
      <w:pPr>
        <w:pStyle w:val="a4"/>
        <w:numPr>
          <w:ilvl w:val="2"/>
          <w:numId w:val="489"/>
        </w:numPr>
        <w:tabs>
          <w:tab w:val="left" w:pos="1478"/>
        </w:tabs>
        <w:ind w:left="1477" w:hanging="638"/>
        <w:rPr>
          <w:sz w:val="21"/>
        </w:rPr>
      </w:pPr>
      <w:r>
        <w:rPr>
          <w:spacing w:val="-8"/>
          <w:sz w:val="21"/>
        </w:rPr>
        <w:t>灭火器的检测内容见表</w:t>
      </w:r>
      <w:r>
        <w:rPr>
          <w:spacing w:val="-8"/>
          <w:sz w:val="21"/>
        </w:rPr>
        <w:t xml:space="preserve"> </w:t>
      </w:r>
      <w:r>
        <w:rPr>
          <w:sz w:val="21"/>
        </w:rPr>
        <w:t>D.1</w:t>
      </w:r>
      <w:r>
        <w:rPr>
          <w:spacing w:val="-8"/>
          <w:sz w:val="21"/>
        </w:rPr>
        <w:t xml:space="preserve"> </w:t>
      </w:r>
      <w:r>
        <w:rPr>
          <w:spacing w:val="-8"/>
          <w:sz w:val="21"/>
        </w:rPr>
        <w:t>中</w:t>
      </w:r>
      <w:r>
        <w:rPr>
          <w:spacing w:val="-8"/>
          <w:sz w:val="21"/>
        </w:rPr>
        <w:t>“</w:t>
      </w:r>
      <w:r>
        <w:rPr>
          <w:spacing w:val="-8"/>
          <w:sz w:val="21"/>
        </w:rPr>
        <w:t>灭火器</w:t>
      </w:r>
      <w:r>
        <w:rPr>
          <w:spacing w:val="-8"/>
          <w:sz w:val="21"/>
        </w:rPr>
        <w:t>”</w:t>
      </w:r>
      <w:r>
        <w:rPr>
          <w:spacing w:val="-8"/>
          <w:sz w:val="21"/>
        </w:rPr>
        <w:t>部分</w:t>
      </w:r>
      <w:r>
        <w:rPr>
          <w:spacing w:val="-8"/>
          <w:sz w:val="21"/>
        </w:rPr>
        <w:t>„</w:t>
      </w:r>
      <w:r>
        <w:rPr>
          <w:sz w:val="21"/>
        </w:rPr>
        <w:t xml:space="preserve"> </w:t>
      </w:r>
    </w:p>
    <w:p w14:paraId="0BB8F539" w14:textId="77777777" w:rsidR="00A71EEF" w:rsidRDefault="00A71EEF">
      <w:pPr>
        <w:pStyle w:val="a3"/>
        <w:rPr>
          <w:sz w:val="18"/>
        </w:rPr>
      </w:pPr>
    </w:p>
    <w:p w14:paraId="51A446D3" w14:textId="77777777" w:rsidR="00A71EEF" w:rsidRDefault="0081115D">
      <w:pPr>
        <w:pStyle w:val="a4"/>
        <w:numPr>
          <w:ilvl w:val="2"/>
          <w:numId w:val="489"/>
        </w:numPr>
        <w:tabs>
          <w:tab w:val="left" w:pos="1478"/>
        </w:tabs>
        <w:spacing w:line="446" w:lineRule="auto"/>
        <w:ind w:right="1601" w:firstLine="422"/>
        <w:rPr>
          <w:sz w:val="21"/>
        </w:rPr>
      </w:pPr>
      <w:r>
        <w:rPr>
          <w:spacing w:val="-7"/>
          <w:sz w:val="21"/>
        </w:rPr>
        <w:t>其他需要检测的内容见表</w:t>
      </w:r>
      <w:r>
        <w:rPr>
          <w:spacing w:val="-7"/>
          <w:sz w:val="21"/>
        </w:rPr>
        <w:t xml:space="preserve"> </w:t>
      </w:r>
      <w:r>
        <w:rPr>
          <w:sz w:val="21"/>
        </w:rPr>
        <w:t>D</w:t>
      </w:r>
      <w:r>
        <w:rPr>
          <w:spacing w:val="12"/>
          <w:sz w:val="21"/>
        </w:rPr>
        <w:t xml:space="preserve">. </w:t>
      </w:r>
      <w:r>
        <w:rPr>
          <w:sz w:val="21"/>
        </w:rPr>
        <w:t>1</w:t>
      </w:r>
      <w:r>
        <w:rPr>
          <w:spacing w:val="-8"/>
          <w:sz w:val="21"/>
        </w:rPr>
        <w:t xml:space="preserve"> </w:t>
      </w:r>
      <w:r>
        <w:rPr>
          <w:spacing w:val="-8"/>
          <w:sz w:val="21"/>
        </w:rPr>
        <w:t>中</w:t>
      </w:r>
      <w:r>
        <w:rPr>
          <w:spacing w:val="-8"/>
          <w:sz w:val="21"/>
        </w:rPr>
        <w:t>“</w:t>
      </w:r>
      <w:r>
        <w:rPr>
          <w:spacing w:val="-8"/>
          <w:sz w:val="21"/>
        </w:rPr>
        <w:t>其他设施</w:t>
      </w:r>
      <w:r>
        <w:rPr>
          <w:spacing w:val="-8"/>
          <w:sz w:val="21"/>
        </w:rPr>
        <w:t>”</w:t>
      </w:r>
      <w:r>
        <w:rPr>
          <w:spacing w:val="-8"/>
          <w:sz w:val="21"/>
        </w:rPr>
        <w:t>部分。从亊检测工作的单位也可根据实际情况，</w:t>
      </w:r>
      <w:r>
        <w:rPr>
          <w:spacing w:val="-8"/>
          <w:sz w:val="21"/>
        </w:rPr>
        <w:t xml:space="preserve"> </w:t>
      </w:r>
      <w:r>
        <w:rPr>
          <w:spacing w:val="-8"/>
          <w:sz w:val="21"/>
        </w:rPr>
        <w:t>参考表</w:t>
      </w:r>
      <w:r>
        <w:rPr>
          <w:spacing w:val="-8"/>
          <w:sz w:val="21"/>
        </w:rPr>
        <w:t xml:space="preserve"> </w:t>
      </w:r>
      <w:r>
        <w:rPr>
          <w:sz w:val="21"/>
        </w:rPr>
        <w:t>D.</w:t>
      </w:r>
      <w:r>
        <w:rPr>
          <w:spacing w:val="4"/>
          <w:sz w:val="21"/>
        </w:rPr>
        <w:t xml:space="preserve"> </w:t>
      </w:r>
      <w:r>
        <w:rPr>
          <w:sz w:val="21"/>
        </w:rPr>
        <w:t>1</w:t>
      </w:r>
      <w:r>
        <w:rPr>
          <w:spacing w:val="-9"/>
          <w:sz w:val="21"/>
        </w:rPr>
        <w:t xml:space="preserve"> </w:t>
      </w:r>
      <w:r>
        <w:rPr>
          <w:spacing w:val="-9"/>
          <w:sz w:val="21"/>
        </w:rPr>
        <w:t>的样式，自行制定有关消防安全检测记录表。</w:t>
      </w:r>
      <w:r>
        <w:rPr>
          <w:spacing w:val="-9"/>
          <w:sz w:val="21"/>
        </w:rPr>
        <w:t xml:space="preserve"> </w:t>
      </w:r>
    </w:p>
    <w:p w14:paraId="263DF28F" w14:textId="77777777" w:rsidR="00A71EEF" w:rsidRDefault="00A71EEF">
      <w:pPr>
        <w:spacing w:line="446" w:lineRule="auto"/>
        <w:rPr>
          <w:sz w:val="21"/>
        </w:rPr>
        <w:sectPr w:rsidR="00A71EEF">
          <w:pgSz w:w="11910" w:h="16850"/>
          <w:pgMar w:top="1220" w:right="0" w:bottom="1420" w:left="1260" w:header="0" w:footer="1239" w:gutter="0"/>
          <w:cols w:space="720"/>
        </w:sectPr>
      </w:pPr>
    </w:p>
    <w:p w14:paraId="318F0CA0" w14:textId="77777777" w:rsidR="00A71EEF" w:rsidRDefault="0081115D">
      <w:pPr>
        <w:pStyle w:val="4"/>
        <w:spacing w:before="37"/>
      </w:pPr>
      <w:r>
        <w:t xml:space="preserve">8 </w:t>
      </w:r>
      <w:r>
        <w:t>维修</w:t>
      </w:r>
      <w:r>
        <w:rPr>
          <w:w w:val="99"/>
        </w:rPr>
        <w:t xml:space="preserve"> </w:t>
      </w:r>
    </w:p>
    <w:p w14:paraId="57E42433" w14:textId="77777777" w:rsidR="00A71EEF" w:rsidRDefault="00A71EEF">
      <w:pPr>
        <w:pStyle w:val="a3"/>
        <w:spacing w:before="4"/>
        <w:rPr>
          <w:b/>
          <w:sz w:val="17"/>
        </w:rPr>
      </w:pPr>
    </w:p>
    <w:p w14:paraId="664D9CB4" w14:textId="77777777" w:rsidR="00A71EEF" w:rsidRDefault="0081115D">
      <w:pPr>
        <w:pStyle w:val="a4"/>
        <w:numPr>
          <w:ilvl w:val="2"/>
          <w:numId w:val="488"/>
        </w:numPr>
        <w:tabs>
          <w:tab w:val="left" w:pos="1370"/>
        </w:tabs>
        <w:spacing w:before="1" w:line="446" w:lineRule="auto"/>
        <w:ind w:right="1604" w:firstLine="422"/>
        <w:rPr>
          <w:sz w:val="21"/>
        </w:rPr>
      </w:pPr>
      <w:r>
        <w:rPr>
          <w:spacing w:val="-3"/>
          <w:sz w:val="21"/>
        </w:rPr>
        <w:t>从事建筑消防设施维修的人员，应当通过消防行业特有工种职业技能鉴定，持有技师以上等级职业资格证书。</w:t>
      </w:r>
      <w:r>
        <w:rPr>
          <w:spacing w:val="-3"/>
          <w:sz w:val="21"/>
        </w:rPr>
        <w:t xml:space="preserve"> </w:t>
      </w:r>
    </w:p>
    <w:p w14:paraId="4A819FF9" w14:textId="77777777" w:rsidR="00A71EEF" w:rsidRDefault="0081115D">
      <w:pPr>
        <w:pStyle w:val="a4"/>
        <w:numPr>
          <w:ilvl w:val="2"/>
          <w:numId w:val="488"/>
        </w:numPr>
        <w:tabs>
          <w:tab w:val="left" w:pos="1370"/>
        </w:tabs>
        <w:spacing w:line="446" w:lineRule="auto"/>
        <w:ind w:right="1604" w:firstLine="422"/>
        <w:rPr>
          <w:sz w:val="21"/>
        </w:rPr>
      </w:pPr>
      <w:r>
        <w:rPr>
          <w:spacing w:val="-3"/>
          <w:sz w:val="21"/>
        </w:rPr>
        <w:t>值班、巡查、检测、灭火演练中发现建筑消防设施存在问题和故障的，相关人员应</w:t>
      </w:r>
      <w:r>
        <w:rPr>
          <w:spacing w:val="-6"/>
          <w:sz w:val="21"/>
        </w:rPr>
        <w:t>填写《建筑消防设施故障维修记录表》</w:t>
      </w:r>
      <w:r>
        <w:rPr>
          <w:spacing w:val="-6"/>
          <w:sz w:val="21"/>
        </w:rPr>
        <w:t>(</w:t>
      </w:r>
      <w:r>
        <w:rPr>
          <w:spacing w:val="-6"/>
          <w:sz w:val="21"/>
        </w:rPr>
        <w:t>见表</w:t>
      </w:r>
      <w:r>
        <w:rPr>
          <w:spacing w:val="-6"/>
          <w:sz w:val="21"/>
        </w:rPr>
        <w:t xml:space="preserve"> </w:t>
      </w:r>
      <w:r>
        <w:rPr>
          <w:sz w:val="21"/>
        </w:rPr>
        <w:t>B.1</w:t>
      </w:r>
      <w:r>
        <w:rPr>
          <w:spacing w:val="-3"/>
          <w:sz w:val="21"/>
        </w:rPr>
        <w:t>)</w:t>
      </w:r>
      <w:r>
        <w:rPr>
          <w:spacing w:val="-3"/>
          <w:sz w:val="21"/>
        </w:rPr>
        <w:t>，并向单位消防安全管理人报告。</w:t>
      </w:r>
      <w:r>
        <w:rPr>
          <w:spacing w:val="-3"/>
          <w:sz w:val="21"/>
        </w:rPr>
        <w:t xml:space="preserve"> </w:t>
      </w:r>
    </w:p>
    <w:p w14:paraId="69E2F396" w14:textId="77777777" w:rsidR="00A71EEF" w:rsidRDefault="00A71EEF">
      <w:pPr>
        <w:pStyle w:val="a3"/>
        <w:rPr>
          <w:sz w:val="20"/>
        </w:rPr>
      </w:pPr>
    </w:p>
    <w:p w14:paraId="42A7C36B" w14:textId="77777777" w:rsidR="00A71EEF" w:rsidRDefault="00A71EEF">
      <w:pPr>
        <w:pStyle w:val="a3"/>
        <w:spacing w:before="11"/>
        <w:rPr>
          <w:sz w:val="18"/>
        </w:rPr>
      </w:pPr>
    </w:p>
    <w:p w14:paraId="3900B85D" w14:textId="77777777" w:rsidR="00A71EEF" w:rsidRDefault="0081115D">
      <w:pPr>
        <w:pStyle w:val="a4"/>
        <w:numPr>
          <w:ilvl w:val="2"/>
          <w:numId w:val="488"/>
        </w:numPr>
        <w:tabs>
          <w:tab w:val="left" w:pos="1370"/>
        </w:tabs>
        <w:spacing w:before="1" w:line="446" w:lineRule="auto"/>
        <w:ind w:right="1604" w:firstLine="422"/>
        <w:rPr>
          <w:sz w:val="21"/>
        </w:rPr>
      </w:pPr>
      <w:r>
        <w:rPr>
          <w:spacing w:val="-3"/>
          <w:sz w:val="21"/>
        </w:rPr>
        <w:t>单位消防安全管理人对建</w:t>
      </w:r>
      <w:r>
        <w:rPr>
          <w:spacing w:val="-3"/>
          <w:sz w:val="21"/>
        </w:rPr>
        <w:t>筑消防设施存在的问题和故障，应立即通知维修人员进行维修，维修期间，应采取确保消防安全的有效措施。故障排除后应进行相应功能试验并经单位消防安全管理人检査</w:t>
      </w:r>
      <w:r>
        <w:rPr>
          <w:spacing w:val="-3"/>
          <w:sz w:val="21"/>
        </w:rPr>
        <w:t xml:space="preserve">   </w:t>
      </w:r>
      <w:r>
        <w:rPr>
          <w:spacing w:val="-3"/>
          <w:sz w:val="21"/>
        </w:rPr>
        <w:t>确认。维修情况应记入《建筑消防设施故障维修记录表》（</w:t>
      </w:r>
      <w:r>
        <w:rPr>
          <w:sz w:val="21"/>
        </w:rPr>
        <w:t>见表</w:t>
      </w:r>
      <w:r>
        <w:rPr>
          <w:sz w:val="21"/>
        </w:rPr>
        <w:t>B.1</w:t>
      </w:r>
      <w:r>
        <w:rPr>
          <w:sz w:val="21"/>
        </w:rPr>
        <w:t>）。</w:t>
      </w:r>
      <w:r>
        <w:rPr>
          <w:sz w:val="21"/>
        </w:rPr>
        <w:t xml:space="preserve"> </w:t>
      </w:r>
      <w:r>
        <w:rPr>
          <w:spacing w:val="-2"/>
          <w:sz w:val="21"/>
        </w:rPr>
        <w:t xml:space="preserve"> </w:t>
      </w:r>
      <w:r>
        <w:rPr>
          <w:sz w:val="21"/>
        </w:rPr>
        <w:t xml:space="preserve"> </w:t>
      </w:r>
    </w:p>
    <w:p w14:paraId="6BAD8F1D" w14:textId="77777777" w:rsidR="00A71EEF" w:rsidRDefault="0081115D">
      <w:pPr>
        <w:pStyle w:val="4"/>
        <w:spacing w:line="275" w:lineRule="exact"/>
      </w:pPr>
      <w:r>
        <w:t xml:space="preserve">9 </w:t>
      </w:r>
      <w:r>
        <w:t>保养</w:t>
      </w:r>
      <w:r>
        <w:rPr>
          <w:w w:val="99"/>
        </w:rPr>
        <w:t xml:space="preserve"> </w:t>
      </w:r>
    </w:p>
    <w:p w14:paraId="7C5848BD" w14:textId="77777777" w:rsidR="00A71EEF" w:rsidRDefault="00A71EEF">
      <w:pPr>
        <w:pStyle w:val="a3"/>
        <w:spacing w:before="3"/>
        <w:rPr>
          <w:b/>
          <w:sz w:val="17"/>
        </w:rPr>
      </w:pPr>
    </w:p>
    <w:p w14:paraId="61EB6894" w14:textId="77777777" w:rsidR="00A71EEF" w:rsidRDefault="0081115D">
      <w:pPr>
        <w:pStyle w:val="a4"/>
        <w:numPr>
          <w:ilvl w:val="1"/>
          <w:numId w:val="487"/>
        </w:numPr>
        <w:tabs>
          <w:tab w:val="left" w:pos="1159"/>
        </w:tabs>
        <w:spacing w:before="1"/>
        <w:ind w:hanging="319"/>
        <w:rPr>
          <w:sz w:val="21"/>
        </w:rPr>
      </w:pPr>
      <w:r>
        <w:rPr>
          <w:spacing w:val="-3"/>
          <w:sz w:val="21"/>
        </w:rPr>
        <w:t>一般规定</w:t>
      </w:r>
      <w:r>
        <w:rPr>
          <w:sz w:val="21"/>
        </w:rPr>
        <w:t xml:space="preserve"> </w:t>
      </w:r>
    </w:p>
    <w:p w14:paraId="1F17E197" w14:textId="77777777" w:rsidR="00A71EEF" w:rsidRDefault="00A71EEF">
      <w:pPr>
        <w:pStyle w:val="a3"/>
        <w:spacing w:before="1"/>
        <w:rPr>
          <w:sz w:val="18"/>
        </w:rPr>
      </w:pPr>
    </w:p>
    <w:p w14:paraId="72361FF1" w14:textId="77777777" w:rsidR="00A71EEF" w:rsidRDefault="0081115D">
      <w:pPr>
        <w:pStyle w:val="a4"/>
        <w:numPr>
          <w:ilvl w:val="2"/>
          <w:numId w:val="487"/>
        </w:numPr>
        <w:tabs>
          <w:tab w:val="left" w:pos="1370"/>
        </w:tabs>
        <w:ind w:hanging="530"/>
        <w:rPr>
          <w:sz w:val="21"/>
        </w:rPr>
      </w:pPr>
      <w:r>
        <w:rPr>
          <w:spacing w:val="-3"/>
          <w:sz w:val="21"/>
        </w:rPr>
        <w:t>建筑消防设施维护保养应制定计划</w:t>
      </w:r>
      <w:r>
        <w:rPr>
          <w:spacing w:val="-3"/>
          <w:sz w:val="21"/>
        </w:rPr>
        <w:t>.</w:t>
      </w:r>
      <w:r>
        <w:rPr>
          <w:spacing w:val="-3"/>
          <w:sz w:val="21"/>
        </w:rPr>
        <w:t>列明消防设施的名称、维护保养的内容和周期</w:t>
      </w:r>
    </w:p>
    <w:p w14:paraId="21744256" w14:textId="77777777" w:rsidR="00A71EEF" w:rsidRDefault="00A71EEF">
      <w:pPr>
        <w:pStyle w:val="a3"/>
        <w:rPr>
          <w:sz w:val="18"/>
        </w:rPr>
      </w:pPr>
    </w:p>
    <w:p w14:paraId="0421925F" w14:textId="77777777" w:rsidR="00A71EEF" w:rsidRDefault="0081115D">
      <w:pPr>
        <w:pStyle w:val="a3"/>
        <w:ind w:left="418"/>
      </w:pPr>
      <w:r>
        <w:t>（见表</w:t>
      </w:r>
      <w:r>
        <w:t xml:space="preserve"> E.1)</w:t>
      </w:r>
      <w:r>
        <w:t>。</w:t>
      </w:r>
      <w:r>
        <w:t xml:space="preserve"> </w:t>
      </w:r>
    </w:p>
    <w:p w14:paraId="16F8F1AC" w14:textId="77777777" w:rsidR="00A71EEF" w:rsidRDefault="00A71EEF">
      <w:pPr>
        <w:pStyle w:val="a3"/>
        <w:rPr>
          <w:sz w:val="18"/>
        </w:rPr>
      </w:pPr>
    </w:p>
    <w:p w14:paraId="675C1EEF" w14:textId="77777777" w:rsidR="00A71EEF" w:rsidRDefault="0081115D">
      <w:pPr>
        <w:pStyle w:val="a4"/>
        <w:numPr>
          <w:ilvl w:val="2"/>
          <w:numId w:val="487"/>
        </w:numPr>
        <w:tabs>
          <w:tab w:val="left" w:pos="1370"/>
        </w:tabs>
        <w:spacing w:line="446" w:lineRule="auto"/>
        <w:ind w:left="418" w:right="1604" w:firstLine="422"/>
        <w:rPr>
          <w:sz w:val="21"/>
        </w:rPr>
      </w:pPr>
      <w:r>
        <w:rPr>
          <w:spacing w:val="-3"/>
          <w:sz w:val="21"/>
        </w:rPr>
        <w:t>从事建筑消防设施保养的人员，应通过消防行业特有工种职业技能鉴定，持有高级技能以上等级职业资格证书。</w:t>
      </w:r>
      <w:r>
        <w:rPr>
          <w:sz w:val="21"/>
        </w:rPr>
        <w:t xml:space="preserve"> </w:t>
      </w:r>
    </w:p>
    <w:p w14:paraId="541BB3A7" w14:textId="77777777" w:rsidR="00A71EEF" w:rsidRDefault="0081115D">
      <w:pPr>
        <w:pStyle w:val="a4"/>
        <w:numPr>
          <w:ilvl w:val="2"/>
          <w:numId w:val="487"/>
        </w:numPr>
        <w:tabs>
          <w:tab w:val="left" w:pos="1370"/>
        </w:tabs>
        <w:spacing w:line="446" w:lineRule="auto"/>
        <w:ind w:left="418" w:right="1604" w:firstLine="422"/>
        <w:jc w:val="both"/>
        <w:rPr>
          <w:sz w:val="21"/>
        </w:rPr>
      </w:pPr>
      <w:r>
        <w:rPr>
          <w:spacing w:val="-3"/>
          <w:sz w:val="21"/>
        </w:rPr>
        <w:t>凡依法需要计量检定的建筑消防设施所用称重、测压、测流量等计量仪器仪表以及泄压阀、安全</w:t>
      </w:r>
      <w:r>
        <w:rPr>
          <w:spacing w:val="-3"/>
          <w:sz w:val="21"/>
        </w:rPr>
        <w:t xml:space="preserve"> </w:t>
      </w:r>
      <w:r>
        <w:rPr>
          <w:spacing w:val="-3"/>
          <w:sz w:val="21"/>
        </w:rPr>
        <w:t>阀等，应按有关规定进行定期校验并提供有效证明文件。单位应储备一定数量的建筑消防设施易损件</w:t>
      </w:r>
      <w:r>
        <w:rPr>
          <w:spacing w:val="-3"/>
          <w:sz w:val="21"/>
        </w:rPr>
        <w:t xml:space="preserve"> </w:t>
      </w:r>
      <w:r>
        <w:rPr>
          <w:spacing w:val="-3"/>
          <w:sz w:val="21"/>
        </w:rPr>
        <w:t>或与有关产品厂家、供应商签订相关合同，以保证供应。</w:t>
      </w:r>
      <w:r>
        <w:rPr>
          <w:sz w:val="21"/>
        </w:rPr>
        <w:t xml:space="preserve"> </w:t>
      </w:r>
    </w:p>
    <w:p w14:paraId="45C7FF09" w14:textId="77777777" w:rsidR="00A71EEF" w:rsidRDefault="0081115D">
      <w:pPr>
        <w:pStyle w:val="a4"/>
        <w:numPr>
          <w:ilvl w:val="2"/>
          <w:numId w:val="487"/>
        </w:numPr>
        <w:tabs>
          <w:tab w:val="left" w:pos="1371"/>
        </w:tabs>
        <w:spacing w:line="446" w:lineRule="auto"/>
        <w:ind w:left="418" w:right="1709" w:firstLine="422"/>
        <w:rPr>
          <w:sz w:val="21"/>
        </w:rPr>
      </w:pPr>
      <w:r>
        <w:rPr>
          <w:spacing w:val="-3"/>
          <w:sz w:val="21"/>
        </w:rPr>
        <w:t>实施建筑消防设施的维护保养时</w:t>
      </w:r>
      <w:r>
        <w:rPr>
          <w:spacing w:val="-3"/>
          <w:sz w:val="21"/>
        </w:rPr>
        <w:t>,</w:t>
      </w:r>
      <w:r>
        <w:rPr>
          <w:spacing w:val="-3"/>
          <w:sz w:val="21"/>
        </w:rPr>
        <w:t>应填写《建筑消防设施维护保养记录表》（</w:t>
      </w:r>
      <w:r>
        <w:rPr>
          <w:sz w:val="21"/>
        </w:rPr>
        <w:t>见表</w:t>
      </w:r>
      <w:r>
        <w:rPr>
          <w:sz w:val="21"/>
        </w:rPr>
        <w:t>E.2</w:t>
      </w:r>
      <w:r>
        <w:rPr>
          <w:sz w:val="21"/>
        </w:rPr>
        <w:t>）</w:t>
      </w:r>
      <w:r>
        <w:rPr>
          <w:spacing w:val="-3"/>
          <w:sz w:val="21"/>
        </w:rPr>
        <w:t>并进行相</w:t>
      </w:r>
      <w:r>
        <w:rPr>
          <w:spacing w:val="-3"/>
          <w:sz w:val="21"/>
        </w:rPr>
        <w:t xml:space="preserve"> </w:t>
      </w:r>
      <w:r>
        <w:rPr>
          <w:spacing w:val="-3"/>
          <w:sz w:val="21"/>
        </w:rPr>
        <w:t>应功能试验</w:t>
      </w:r>
      <w:r>
        <w:rPr>
          <w:spacing w:val="-3"/>
          <w:sz w:val="21"/>
        </w:rPr>
        <w:t>„</w:t>
      </w:r>
      <w:r>
        <w:rPr>
          <w:spacing w:val="-3"/>
          <w:sz w:val="21"/>
        </w:rPr>
        <w:t>。</w:t>
      </w:r>
      <w:r>
        <w:rPr>
          <w:sz w:val="21"/>
        </w:rPr>
        <w:t xml:space="preserve"> </w:t>
      </w:r>
    </w:p>
    <w:p w14:paraId="248FCF4B" w14:textId="77777777" w:rsidR="00A71EEF" w:rsidRDefault="0081115D">
      <w:pPr>
        <w:pStyle w:val="a4"/>
        <w:numPr>
          <w:ilvl w:val="1"/>
          <w:numId w:val="487"/>
        </w:numPr>
        <w:tabs>
          <w:tab w:val="left" w:pos="1160"/>
        </w:tabs>
        <w:ind w:left="1159" w:hanging="320"/>
        <w:rPr>
          <w:sz w:val="21"/>
        </w:rPr>
      </w:pPr>
      <w:r>
        <w:rPr>
          <w:spacing w:val="-3"/>
          <w:sz w:val="21"/>
        </w:rPr>
        <w:t>保养内容</w:t>
      </w:r>
      <w:r>
        <w:rPr>
          <w:sz w:val="21"/>
        </w:rPr>
        <w:t xml:space="preserve"> </w:t>
      </w:r>
    </w:p>
    <w:p w14:paraId="3C102D9D" w14:textId="77777777" w:rsidR="00A71EEF" w:rsidRDefault="00A71EEF">
      <w:pPr>
        <w:pStyle w:val="a3"/>
        <w:spacing w:before="11"/>
        <w:rPr>
          <w:sz w:val="17"/>
        </w:rPr>
      </w:pPr>
    </w:p>
    <w:p w14:paraId="53B2B0CF" w14:textId="77777777" w:rsidR="00A71EEF" w:rsidRDefault="0081115D">
      <w:pPr>
        <w:pStyle w:val="a4"/>
        <w:numPr>
          <w:ilvl w:val="2"/>
          <w:numId w:val="487"/>
        </w:numPr>
        <w:tabs>
          <w:tab w:val="left" w:pos="1371"/>
        </w:tabs>
        <w:ind w:left="1370" w:hanging="531"/>
        <w:rPr>
          <w:sz w:val="21"/>
        </w:rPr>
      </w:pPr>
      <w:r>
        <w:rPr>
          <w:spacing w:val="-3"/>
          <w:sz w:val="21"/>
        </w:rPr>
        <w:t>对易污染、易腐蚀生锈的消防设备、管道、阀门应定期淸洁、除锈、注润滑剂。</w:t>
      </w:r>
      <w:r>
        <w:rPr>
          <w:spacing w:val="-3"/>
          <w:sz w:val="21"/>
        </w:rPr>
        <w:t xml:space="preserve"> </w:t>
      </w:r>
    </w:p>
    <w:p w14:paraId="0935C7B3" w14:textId="77777777" w:rsidR="00A71EEF" w:rsidRDefault="00A71EEF">
      <w:pPr>
        <w:pStyle w:val="a3"/>
        <w:rPr>
          <w:sz w:val="18"/>
        </w:rPr>
      </w:pPr>
    </w:p>
    <w:p w14:paraId="6F3AD0FA" w14:textId="77777777" w:rsidR="00A71EEF" w:rsidRDefault="0081115D">
      <w:pPr>
        <w:pStyle w:val="a4"/>
        <w:numPr>
          <w:ilvl w:val="2"/>
          <w:numId w:val="487"/>
        </w:numPr>
        <w:tabs>
          <w:tab w:val="left" w:pos="1371"/>
        </w:tabs>
        <w:spacing w:line="446" w:lineRule="auto"/>
        <w:ind w:left="418" w:right="1498" w:firstLine="422"/>
        <w:rPr>
          <w:sz w:val="21"/>
        </w:rPr>
      </w:pPr>
      <w:r>
        <w:rPr>
          <w:spacing w:val="-3"/>
          <w:sz w:val="21"/>
        </w:rPr>
        <w:t>点型感烟火灾探测器应根据产品说明书的要求定期淸洗、标定；产品说明书没有明确要求的，应</w:t>
      </w:r>
      <w:r>
        <w:rPr>
          <w:spacing w:val="-3"/>
          <w:sz w:val="21"/>
        </w:rPr>
        <w:t xml:space="preserve">  </w:t>
      </w:r>
      <w:r>
        <w:rPr>
          <w:spacing w:val="-3"/>
          <w:sz w:val="21"/>
        </w:rPr>
        <w:t>每二年清洗、标定一次。可燃气体探测器应根据产品说明书的要求定期进行标定。火灾探测器、可燃气</w:t>
      </w:r>
      <w:r>
        <w:rPr>
          <w:spacing w:val="-3"/>
          <w:sz w:val="21"/>
        </w:rPr>
        <w:t xml:space="preserve">  </w:t>
      </w:r>
      <w:r>
        <w:rPr>
          <w:spacing w:val="-3"/>
          <w:sz w:val="21"/>
        </w:rPr>
        <w:t>体探测器的标定应由生产企业或具备资质的检测机构承担，承担标定的单位应出具标定记录。</w:t>
      </w:r>
      <w:r>
        <w:rPr>
          <w:spacing w:val="-3"/>
          <w:sz w:val="21"/>
        </w:rPr>
        <w:t xml:space="preserve"> </w:t>
      </w:r>
    </w:p>
    <w:p w14:paraId="3E6FF471" w14:textId="77777777" w:rsidR="00A71EEF" w:rsidRDefault="00A71EEF">
      <w:pPr>
        <w:spacing w:line="446" w:lineRule="auto"/>
        <w:rPr>
          <w:sz w:val="21"/>
        </w:rPr>
        <w:sectPr w:rsidR="00A71EEF">
          <w:pgSz w:w="11910" w:h="16850"/>
          <w:pgMar w:top="1200" w:right="0" w:bottom="1420" w:left="1260" w:header="0" w:footer="1239" w:gutter="0"/>
          <w:cols w:space="720"/>
        </w:sectPr>
      </w:pPr>
    </w:p>
    <w:p w14:paraId="680162FF" w14:textId="77777777" w:rsidR="00A71EEF" w:rsidRDefault="0081115D">
      <w:pPr>
        <w:pStyle w:val="a4"/>
        <w:numPr>
          <w:ilvl w:val="2"/>
          <w:numId w:val="487"/>
        </w:numPr>
        <w:tabs>
          <w:tab w:val="left" w:pos="1371"/>
        </w:tabs>
        <w:spacing w:before="47" w:line="446" w:lineRule="auto"/>
        <w:ind w:left="418" w:right="1707" w:firstLine="422"/>
        <w:rPr>
          <w:sz w:val="21"/>
        </w:rPr>
      </w:pPr>
      <w:r>
        <w:rPr>
          <w:spacing w:val="-3"/>
          <w:sz w:val="21"/>
        </w:rPr>
        <w:t>储存灭火剂和驱动气体的压力容器应按有关气瓶安全监察规程的要求定期进行试验、标识。</w:t>
      </w:r>
      <w:r>
        <w:rPr>
          <w:sz w:val="21"/>
        </w:rPr>
        <w:t xml:space="preserve"> </w:t>
      </w:r>
    </w:p>
    <w:p w14:paraId="183FC993" w14:textId="77777777" w:rsidR="00A71EEF" w:rsidRDefault="0081115D">
      <w:pPr>
        <w:pStyle w:val="a4"/>
        <w:numPr>
          <w:ilvl w:val="2"/>
          <w:numId w:val="487"/>
        </w:numPr>
        <w:tabs>
          <w:tab w:val="left" w:pos="1371"/>
        </w:tabs>
        <w:spacing w:line="446" w:lineRule="auto"/>
        <w:ind w:left="418" w:right="1707" w:firstLine="422"/>
        <w:rPr>
          <w:b/>
          <w:sz w:val="21"/>
        </w:rPr>
      </w:pPr>
      <w:r>
        <w:rPr>
          <w:spacing w:val="-3"/>
          <w:sz w:val="21"/>
        </w:rPr>
        <w:t>泡沫、干粉等灭火剂应按产品说明书委托有资质单位进</w:t>
      </w:r>
      <w:r>
        <w:rPr>
          <w:spacing w:val="-3"/>
          <w:sz w:val="21"/>
        </w:rPr>
        <w:t>行包括灭火性能在内的测试。</w:t>
      </w:r>
      <w:r>
        <w:rPr>
          <w:b/>
          <w:w w:val="99"/>
          <w:sz w:val="21"/>
        </w:rPr>
        <w:t xml:space="preserve"> </w:t>
      </w:r>
    </w:p>
    <w:p w14:paraId="6224C652" w14:textId="77777777" w:rsidR="00A71EEF" w:rsidRDefault="0081115D">
      <w:pPr>
        <w:pStyle w:val="a4"/>
        <w:numPr>
          <w:ilvl w:val="2"/>
          <w:numId w:val="487"/>
        </w:numPr>
        <w:tabs>
          <w:tab w:val="left" w:pos="1371"/>
        </w:tabs>
        <w:spacing w:line="446" w:lineRule="auto"/>
        <w:ind w:left="418" w:right="1498" w:firstLine="422"/>
        <w:rPr>
          <w:sz w:val="21"/>
        </w:rPr>
      </w:pPr>
      <w:r>
        <w:rPr>
          <w:spacing w:val="-3"/>
          <w:sz w:val="21"/>
        </w:rPr>
        <w:t>以蓄电池作为后备电源的消防设备，应按照产品说明书的要求定期对蓄电池进行维护。</w:t>
      </w:r>
      <w:r>
        <w:rPr>
          <w:sz w:val="21"/>
        </w:rPr>
        <w:t xml:space="preserve"> </w:t>
      </w:r>
    </w:p>
    <w:p w14:paraId="37D9214A" w14:textId="77777777" w:rsidR="00A71EEF" w:rsidRDefault="0081115D">
      <w:pPr>
        <w:pStyle w:val="a4"/>
        <w:numPr>
          <w:ilvl w:val="2"/>
          <w:numId w:val="487"/>
        </w:numPr>
        <w:tabs>
          <w:tab w:val="left" w:pos="1371"/>
        </w:tabs>
        <w:ind w:left="1370" w:hanging="531"/>
        <w:rPr>
          <w:sz w:val="21"/>
        </w:rPr>
      </w:pPr>
      <w:r>
        <w:rPr>
          <w:spacing w:val="-3"/>
          <w:sz w:val="21"/>
        </w:rPr>
        <w:t>其他类型的消防设备应按照产品说明书的要求定期进行维护保养。</w:t>
      </w:r>
      <w:r>
        <w:rPr>
          <w:spacing w:val="-3"/>
          <w:sz w:val="21"/>
        </w:rPr>
        <w:t xml:space="preserve"> </w:t>
      </w:r>
    </w:p>
    <w:p w14:paraId="1FDEE422" w14:textId="77777777" w:rsidR="00A71EEF" w:rsidRDefault="00A71EEF">
      <w:pPr>
        <w:pStyle w:val="a3"/>
        <w:rPr>
          <w:sz w:val="20"/>
        </w:rPr>
      </w:pPr>
    </w:p>
    <w:p w14:paraId="44E2B46F" w14:textId="77777777" w:rsidR="00A71EEF" w:rsidRDefault="00A71EEF">
      <w:pPr>
        <w:pStyle w:val="a3"/>
        <w:rPr>
          <w:sz w:val="20"/>
        </w:rPr>
      </w:pPr>
    </w:p>
    <w:p w14:paraId="4830D61F" w14:textId="77777777" w:rsidR="00A71EEF" w:rsidRDefault="00A71EEF">
      <w:pPr>
        <w:pStyle w:val="a3"/>
        <w:spacing w:before="10"/>
        <w:rPr>
          <w:sz w:val="16"/>
        </w:rPr>
      </w:pPr>
    </w:p>
    <w:p w14:paraId="14934E43" w14:textId="77777777" w:rsidR="00A71EEF" w:rsidRDefault="0081115D">
      <w:pPr>
        <w:pStyle w:val="a4"/>
        <w:numPr>
          <w:ilvl w:val="2"/>
          <w:numId w:val="487"/>
        </w:numPr>
        <w:tabs>
          <w:tab w:val="left" w:pos="1370"/>
        </w:tabs>
        <w:spacing w:line="446" w:lineRule="auto"/>
        <w:ind w:left="418" w:right="1498" w:firstLine="422"/>
        <w:rPr>
          <w:sz w:val="21"/>
        </w:rPr>
      </w:pPr>
      <w:r>
        <w:rPr>
          <w:spacing w:val="-3"/>
          <w:sz w:val="21"/>
        </w:rPr>
        <w:t>对于使用周期超过产品说明书标识寿命的易损件、消防设备，以及经检査测试已不能正常使用</w:t>
      </w:r>
      <w:r>
        <w:rPr>
          <w:spacing w:val="-3"/>
          <w:sz w:val="21"/>
        </w:rPr>
        <w:t xml:space="preserve"> </w:t>
      </w:r>
      <w:r>
        <w:rPr>
          <w:spacing w:val="-3"/>
          <w:sz w:val="21"/>
        </w:rPr>
        <w:t>的火灾探测器、压力容器、灭火剂等产品设备应及时更换。</w:t>
      </w:r>
      <w:r>
        <w:rPr>
          <w:sz w:val="21"/>
        </w:rPr>
        <w:t xml:space="preserve"> </w:t>
      </w:r>
    </w:p>
    <w:p w14:paraId="722E2280" w14:textId="77777777" w:rsidR="00A71EEF" w:rsidRDefault="0081115D">
      <w:pPr>
        <w:pStyle w:val="4"/>
        <w:spacing w:line="277" w:lineRule="exact"/>
      </w:pPr>
      <w:r>
        <w:t xml:space="preserve">10 </w:t>
      </w:r>
      <w:r>
        <w:t>档案</w:t>
      </w:r>
      <w:r>
        <w:rPr>
          <w:w w:val="99"/>
        </w:rPr>
        <w:t xml:space="preserve"> </w:t>
      </w:r>
    </w:p>
    <w:p w14:paraId="6EEE713F" w14:textId="77777777" w:rsidR="00A71EEF" w:rsidRDefault="00A71EEF">
      <w:pPr>
        <w:pStyle w:val="a3"/>
        <w:spacing w:before="4"/>
        <w:rPr>
          <w:b/>
          <w:sz w:val="17"/>
        </w:rPr>
      </w:pPr>
    </w:p>
    <w:p w14:paraId="4C7B7BB1" w14:textId="77777777" w:rsidR="00A71EEF" w:rsidRDefault="0081115D">
      <w:pPr>
        <w:pStyle w:val="a4"/>
        <w:numPr>
          <w:ilvl w:val="1"/>
          <w:numId w:val="486"/>
        </w:numPr>
        <w:tabs>
          <w:tab w:val="left" w:pos="1264"/>
        </w:tabs>
        <w:rPr>
          <w:sz w:val="21"/>
        </w:rPr>
      </w:pPr>
      <w:r>
        <w:rPr>
          <w:spacing w:val="-3"/>
          <w:sz w:val="21"/>
        </w:rPr>
        <w:t>内容</w:t>
      </w:r>
      <w:r>
        <w:rPr>
          <w:sz w:val="21"/>
        </w:rPr>
        <w:t xml:space="preserve"> </w:t>
      </w:r>
    </w:p>
    <w:p w14:paraId="38450E3E" w14:textId="77777777" w:rsidR="00A71EEF" w:rsidRDefault="00A71EEF">
      <w:pPr>
        <w:pStyle w:val="a3"/>
        <w:spacing w:before="2"/>
        <w:rPr>
          <w:sz w:val="18"/>
        </w:rPr>
      </w:pPr>
    </w:p>
    <w:p w14:paraId="4C402B4D" w14:textId="77777777" w:rsidR="00A71EEF" w:rsidRDefault="0081115D">
      <w:pPr>
        <w:pStyle w:val="a3"/>
        <w:spacing w:line="446" w:lineRule="auto"/>
        <w:ind w:left="418" w:right="1608" w:firstLine="419"/>
        <w:jc w:val="both"/>
      </w:pPr>
      <w:r>
        <w:rPr>
          <w:spacing w:val="-3"/>
        </w:rPr>
        <w:t>建筑消防设施档案应包含建筑消防设施基本情况和动态管理情况。基本情况包括建筑消防设施的验收文件和产品、系统使用说明书、系统调试记录、建筑消防设施平面布置图、建筑消防设施系统图等原</w:t>
      </w:r>
      <w:r>
        <w:rPr>
          <w:spacing w:val="-3"/>
        </w:rPr>
        <w:t xml:space="preserve"> </w:t>
      </w:r>
      <w:r>
        <w:rPr>
          <w:spacing w:val="-3"/>
        </w:rPr>
        <w:t>始技术资料。动态管理情况包括建筑消防设施的值班记录、巡查记录、检测记录、故障维修记录以及维</w:t>
      </w:r>
      <w:r>
        <w:rPr>
          <w:spacing w:val="-3"/>
        </w:rPr>
        <w:t xml:space="preserve"> </w:t>
      </w:r>
      <w:r>
        <w:rPr>
          <w:spacing w:val="-3"/>
        </w:rPr>
        <w:t>护保养计划表、维护保养记录、自动消防控制室值班人员基本情况档案及培训记录。</w:t>
      </w:r>
      <w:r>
        <w:t xml:space="preserve"> </w:t>
      </w:r>
    </w:p>
    <w:p w14:paraId="54CA0D73" w14:textId="77777777" w:rsidR="00A71EEF" w:rsidRDefault="0081115D">
      <w:pPr>
        <w:pStyle w:val="a4"/>
        <w:numPr>
          <w:ilvl w:val="1"/>
          <w:numId w:val="486"/>
        </w:numPr>
        <w:tabs>
          <w:tab w:val="left" w:pos="1266"/>
        </w:tabs>
        <w:spacing w:line="266" w:lineRule="exact"/>
        <w:ind w:left="1265" w:hanging="426"/>
        <w:rPr>
          <w:sz w:val="21"/>
        </w:rPr>
      </w:pPr>
      <w:r>
        <w:rPr>
          <w:spacing w:val="-3"/>
          <w:sz w:val="21"/>
        </w:rPr>
        <w:t>保存期限</w:t>
      </w:r>
      <w:r>
        <w:rPr>
          <w:sz w:val="21"/>
        </w:rPr>
        <w:t xml:space="preserve"> </w:t>
      </w:r>
    </w:p>
    <w:p w14:paraId="6672E4DE" w14:textId="77777777" w:rsidR="00A71EEF" w:rsidRDefault="00A71EEF">
      <w:pPr>
        <w:pStyle w:val="a3"/>
        <w:spacing w:before="2"/>
        <w:rPr>
          <w:sz w:val="18"/>
        </w:rPr>
      </w:pPr>
    </w:p>
    <w:p w14:paraId="60C30EA9" w14:textId="77777777" w:rsidR="00A71EEF" w:rsidRDefault="0081115D">
      <w:pPr>
        <w:pStyle w:val="a4"/>
        <w:numPr>
          <w:ilvl w:val="2"/>
          <w:numId w:val="486"/>
        </w:numPr>
        <w:tabs>
          <w:tab w:val="left" w:pos="1478"/>
        </w:tabs>
        <w:ind w:hanging="638"/>
        <w:rPr>
          <w:sz w:val="21"/>
        </w:rPr>
      </w:pPr>
      <w:r>
        <w:rPr>
          <w:spacing w:val="-3"/>
          <w:sz w:val="21"/>
        </w:rPr>
        <w:t>建筑消防设施的原始技术资料应长期保存。</w:t>
      </w:r>
      <w:r>
        <w:rPr>
          <w:sz w:val="21"/>
        </w:rPr>
        <w:t xml:space="preserve"> </w:t>
      </w:r>
    </w:p>
    <w:p w14:paraId="36164675" w14:textId="77777777" w:rsidR="00A71EEF" w:rsidRDefault="00A71EEF">
      <w:pPr>
        <w:pStyle w:val="a3"/>
        <w:rPr>
          <w:sz w:val="18"/>
        </w:rPr>
      </w:pPr>
    </w:p>
    <w:p w14:paraId="0F99C0E9" w14:textId="77777777" w:rsidR="00A71EEF" w:rsidRDefault="0081115D">
      <w:pPr>
        <w:pStyle w:val="a4"/>
        <w:numPr>
          <w:ilvl w:val="2"/>
          <w:numId w:val="486"/>
        </w:numPr>
        <w:tabs>
          <w:tab w:val="left" w:pos="1478"/>
        </w:tabs>
        <w:spacing w:line="446" w:lineRule="auto"/>
        <w:ind w:left="418" w:right="1757" w:firstLine="422"/>
        <w:rPr>
          <w:b/>
          <w:sz w:val="21"/>
        </w:rPr>
      </w:pPr>
      <w:r>
        <w:rPr>
          <w:spacing w:val="-6"/>
          <w:sz w:val="21"/>
        </w:rPr>
        <w:t>《消防控制室值班记录表》</w:t>
      </w:r>
      <w:r>
        <w:rPr>
          <w:spacing w:val="-6"/>
          <w:sz w:val="21"/>
        </w:rPr>
        <w:t>(</w:t>
      </w:r>
      <w:r>
        <w:rPr>
          <w:spacing w:val="-6"/>
          <w:sz w:val="21"/>
        </w:rPr>
        <w:t>见表</w:t>
      </w:r>
      <w:r>
        <w:rPr>
          <w:spacing w:val="-6"/>
          <w:sz w:val="21"/>
        </w:rPr>
        <w:t xml:space="preserve"> </w:t>
      </w:r>
      <w:r>
        <w:rPr>
          <w:sz w:val="21"/>
        </w:rPr>
        <w:t>A.</w:t>
      </w:r>
      <w:r>
        <w:rPr>
          <w:spacing w:val="20"/>
          <w:sz w:val="21"/>
        </w:rPr>
        <w:t xml:space="preserve"> </w:t>
      </w:r>
      <w:r>
        <w:rPr>
          <w:sz w:val="21"/>
        </w:rPr>
        <w:t>1)</w:t>
      </w:r>
      <w:r>
        <w:rPr>
          <w:spacing w:val="-3"/>
          <w:sz w:val="21"/>
        </w:rPr>
        <w:t>和《建筑消防设施巡查记录表》（</w:t>
      </w:r>
      <w:r>
        <w:rPr>
          <w:sz w:val="21"/>
        </w:rPr>
        <w:t>见表</w:t>
      </w:r>
      <w:r>
        <w:rPr>
          <w:sz w:val="21"/>
        </w:rPr>
        <w:t>C.1</w:t>
      </w:r>
      <w:r>
        <w:rPr>
          <w:sz w:val="21"/>
        </w:rPr>
        <w:t>）</w:t>
      </w:r>
      <w:r>
        <w:rPr>
          <w:spacing w:val="-3"/>
          <w:sz w:val="21"/>
        </w:rPr>
        <w:t>的存档时间不应少于一年</w:t>
      </w:r>
      <w:r>
        <w:rPr>
          <w:spacing w:val="-3"/>
          <w:sz w:val="21"/>
        </w:rPr>
        <w:t>。</w:t>
      </w:r>
      <w:r>
        <w:rPr>
          <w:b/>
          <w:w w:val="99"/>
          <w:sz w:val="21"/>
        </w:rPr>
        <w:t xml:space="preserve"> </w:t>
      </w:r>
    </w:p>
    <w:p w14:paraId="188A6C49" w14:textId="77777777" w:rsidR="00A71EEF" w:rsidRDefault="0081115D">
      <w:pPr>
        <w:pStyle w:val="a4"/>
        <w:numPr>
          <w:ilvl w:val="2"/>
          <w:numId w:val="486"/>
        </w:numPr>
        <w:tabs>
          <w:tab w:val="left" w:pos="1478"/>
        </w:tabs>
        <w:ind w:hanging="638"/>
        <w:rPr>
          <w:sz w:val="21"/>
        </w:rPr>
      </w:pPr>
      <w:r>
        <w:rPr>
          <w:spacing w:val="-3"/>
          <w:sz w:val="21"/>
        </w:rPr>
        <w:t>《建筑消防设施检测记录表》</w:t>
      </w:r>
      <w:r>
        <w:rPr>
          <w:sz w:val="21"/>
        </w:rPr>
        <w:t>（</w:t>
      </w:r>
      <w:r>
        <w:rPr>
          <w:spacing w:val="-19"/>
          <w:sz w:val="21"/>
        </w:rPr>
        <w:t>见表</w:t>
      </w:r>
      <w:r>
        <w:rPr>
          <w:spacing w:val="-19"/>
          <w:sz w:val="21"/>
        </w:rPr>
        <w:t xml:space="preserve"> </w:t>
      </w:r>
      <w:r>
        <w:rPr>
          <w:sz w:val="21"/>
        </w:rPr>
        <w:t>D</w:t>
      </w:r>
      <w:r>
        <w:rPr>
          <w:spacing w:val="2"/>
          <w:sz w:val="21"/>
        </w:rPr>
        <w:t xml:space="preserve">. </w:t>
      </w:r>
      <w:r>
        <w:rPr>
          <w:sz w:val="21"/>
        </w:rPr>
        <w:t>1</w:t>
      </w:r>
      <w:r>
        <w:rPr>
          <w:sz w:val="21"/>
        </w:rPr>
        <w:t>）</w:t>
      </w:r>
      <w:r>
        <w:rPr>
          <w:spacing w:val="-3"/>
          <w:sz w:val="21"/>
        </w:rPr>
        <w:t>、《建筑消防设施故障维修记录表》</w:t>
      </w:r>
    </w:p>
    <w:p w14:paraId="1168E47E" w14:textId="77777777" w:rsidR="00A71EEF" w:rsidRDefault="00A71EEF">
      <w:pPr>
        <w:pStyle w:val="a3"/>
        <w:spacing w:before="12"/>
        <w:rPr>
          <w:sz w:val="17"/>
        </w:rPr>
      </w:pPr>
    </w:p>
    <w:p w14:paraId="0012838E" w14:textId="77777777" w:rsidR="00A71EEF" w:rsidRDefault="0081115D">
      <w:pPr>
        <w:pStyle w:val="a3"/>
        <w:spacing w:line="446" w:lineRule="auto"/>
        <w:ind w:left="418" w:right="1503"/>
      </w:pPr>
      <w:r>
        <w:t>（见表</w:t>
      </w:r>
      <w:r>
        <w:t xml:space="preserve"> B.1</w:t>
      </w:r>
      <w:r>
        <w:t>）、《建筑消防设施维护保养计划表》（见表</w:t>
      </w:r>
      <w:r>
        <w:t xml:space="preserve"> E. 1</w:t>
      </w:r>
      <w:r>
        <w:t>）、《建筑消防设施维护保养记录表》（见表</w:t>
      </w:r>
      <w:r>
        <w:t>E.2</w:t>
      </w:r>
      <w:r>
        <w:t>）的存档时间不应少于五年。</w:t>
      </w:r>
      <w:r>
        <w:t xml:space="preserve"> </w:t>
      </w:r>
    </w:p>
    <w:p w14:paraId="614D8087" w14:textId="77777777" w:rsidR="00A71EEF" w:rsidRDefault="00A71EEF">
      <w:pPr>
        <w:spacing w:line="446" w:lineRule="auto"/>
        <w:sectPr w:rsidR="00A71EEF">
          <w:footerReference w:type="default" r:id="rId298"/>
          <w:pgSz w:w="11910" w:h="16850"/>
          <w:pgMar w:top="1220" w:right="0" w:bottom="1420" w:left="1260" w:header="0" w:footer="1239" w:gutter="0"/>
          <w:pgNumType w:start="1210"/>
          <w:cols w:space="720"/>
        </w:sectPr>
      </w:pPr>
    </w:p>
    <w:p w14:paraId="75489FBF" w14:textId="77777777" w:rsidR="00A71EEF" w:rsidRDefault="0081115D">
      <w:pPr>
        <w:pStyle w:val="2"/>
        <w:ind w:right="870"/>
      </w:pPr>
      <w:bookmarkStart w:id="20" w:name="_bookmark20"/>
      <w:bookmarkEnd w:id="20"/>
      <w:r>
        <w:t>农村防火规范</w:t>
      </w:r>
      <w:r>
        <w:rPr>
          <w:w w:val="99"/>
        </w:rPr>
        <w:t xml:space="preserve"> </w:t>
      </w:r>
    </w:p>
    <w:p w14:paraId="7E254EA8" w14:textId="77777777" w:rsidR="00A71EEF" w:rsidRDefault="00A71EEF">
      <w:pPr>
        <w:pStyle w:val="a3"/>
        <w:rPr>
          <w:b/>
          <w:sz w:val="20"/>
        </w:rPr>
      </w:pPr>
    </w:p>
    <w:p w14:paraId="78476F00" w14:textId="77777777" w:rsidR="00A71EEF" w:rsidRDefault="00A71EEF">
      <w:pPr>
        <w:pStyle w:val="a3"/>
        <w:spacing w:before="5"/>
        <w:rPr>
          <w:b/>
          <w:sz w:val="14"/>
        </w:rPr>
      </w:pPr>
    </w:p>
    <w:p w14:paraId="677A4976" w14:textId="77777777" w:rsidR="00A71EEF" w:rsidRDefault="0081115D">
      <w:pPr>
        <w:pStyle w:val="4"/>
        <w:numPr>
          <w:ilvl w:val="0"/>
          <w:numId w:val="485"/>
        </w:numPr>
        <w:tabs>
          <w:tab w:val="left" w:pos="601"/>
        </w:tabs>
        <w:spacing w:before="66"/>
      </w:pPr>
      <w:r>
        <w:t>总则</w:t>
      </w:r>
      <w:r>
        <w:rPr>
          <w:w w:val="99"/>
        </w:rPr>
        <w:t xml:space="preserve"> </w:t>
      </w:r>
    </w:p>
    <w:p w14:paraId="59611473" w14:textId="77777777" w:rsidR="00A71EEF" w:rsidRDefault="00A71EEF">
      <w:pPr>
        <w:pStyle w:val="a3"/>
        <w:spacing w:before="4"/>
        <w:rPr>
          <w:b/>
          <w:sz w:val="17"/>
        </w:rPr>
      </w:pPr>
    </w:p>
    <w:p w14:paraId="7C5A5EC8" w14:textId="77777777" w:rsidR="00A71EEF" w:rsidRDefault="0081115D">
      <w:pPr>
        <w:pStyle w:val="a4"/>
        <w:numPr>
          <w:ilvl w:val="1"/>
          <w:numId w:val="485"/>
        </w:numPr>
        <w:tabs>
          <w:tab w:val="left" w:pos="1159"/>
        </w:tabs>
        <w:ind w:hanging="319"/>
        <w:rPr>
          <w:sz w:val="21"/>
        </w:rPr>
      </w:pPr>
      <w:r>
        <w:rPr>
          <w:spacing w:val="-3"/>
          <w:sz w:val="21"/>
        </w:rPr>
        <w:t>为了预防农村火灾的发生，减少火灾危害，保护人身和财产安全，制定本规范。</w:t>
      </w:r>
      <w:r>
        <w:rPr>
          <w:sz w:val="21"/>
        </w:rPr>
        <w:t xml:space="preserve"> </w:t>
      </w:r>
    </w:p>
    <w:p w14:paraId="31F32B26" w14:textId="77777777" w:rsidR="00A71EEF" w:rsidRDefault="00A71EEF">
      <w:pPr>
        <w:pStyle w:val="a3"/>
        <w:spacing w:before="12"/>
        <w:rPr>
          <w:sz w:val="17"/>
        </w:rPr>
      </w:pPr>
    </w:p>
    <w:p w14:paraId="58CB1A75" w14:textId="77777777" w:rsidR="00A71EEF" w:rsidRDefault="0081115D">
      <w:pPr>
        <w:pStyle w:val="a4"/>
        <w:numPr>
          <w:ilvl w:val="1"/>
          <w:numId w:val="485"/>
        </w:numPr>
        <w:tabs>
          <w:tab w:val="left" w:pos="1160"/>
        </w:tabs>
        <w:ind w:left="1159" w:hanging="320"/>
        <w:rPr>
          <w:sz w:val="21"/>
        </w:rPr>
      </w:pPr>
      <w:r>
        <w:rPr>
          <w:spacing w:val="-3"/>
          <w:sz w:val="21"/>
        </w:rPr>
        <w:t>本规范适用于下列范围：</w:t>
      </w:r>
      <w:r>
        <w:rPr>
          <w:sz w:val="21"/>
        </w:rPr>
        <w:t xml:space="preserve"> </w:t>
      </w:r>
    </w:p>
    <w:p w14:paraId="02C2E98D" w14:textId="77777777" w:rsidR="00A71EEF" w:rsidRDefault="00A71EEF">
      <w:pPr>
        <w:pStyle w:val="a3"/>
        <w:spacing w:before="2"/>
        <w:rPr>
          <w:sz w:val="18"/>
        </w:rPr>
      </w:pPr>
    </w:p>
    <w:p w14:paraId="0A86810C" w14:textId="77777777" w:rsidR="00A71EEF" w:rsidRDefault="0081115D">
      <w:pPr>
        <w:pStyle w:val="a4"/>
        <w:numPr>
          <w:ilvl w:val="0"/>
          <w:numId w:val="484"/>
        </w:numPr>
        <w:tabs>
          <w:tab w:val="left" w:pos="1367"/>
        </w:tabs>
        <w:rPr>
          <w:sz w:val="21"/>
        </w:rPr>
      </w:pPr>
      <w:r>
        <w:rPr>
          <w:spacing w:val="-3"/>
          <w:sz w:val="21"/>
        </w:rPr>
        <w:t>农村消防规划；</w:t>
      </w:r>
      <w:r>
        <w:rPr>
          <w:sz w:val="21"/>
        </w:rPr>
        <w:t xml:space="preserve"> </w:t>
      </w:r>
    </w:p>
    <w:p w14:paraId="65114D07" w14:textId="77777777" w:rsidR="00A71EEF" w:rsidRDefault="00A71EEF">
      <w:pPr>
        <w:pStyle w:val="a3"/>
        <w:rPr>
          <w:sz w:val="18"/>
        </w:rPr>
      </w:pPr>
    </w:p>
    <w:p w14:paraId="63C4E1B2" w14:textId="77777777" w:rsidR="00A71EEF" w:rsidRDefault="0081115D">
      <w:pPr>
        <w:pStyle w:val="a4"/>
        <w:numPr>
          <w:ilvl w:val="0"/>
          <w:numId w:val="484"/>
        </w:numPr>
        <w:tabs>
          <w:tab w:val="left" w:pos="1367"/>
        </w:tabs>
        <w:rPr>
          <w:sz w:val="21"/>
        </w:rPr>
      </w:pPr>
      <w:r>
        <w:rPr>
          <w:spacing w:val="-3"/>
          <w:sz w:val="21"/>
        </w:rPr>
        <w:t>农村新建、扩建和改建建筑的防火设计；</w:t>
      </w:r>
      <w:r>
        <w:rPr>
          <w:sz w:val="21"/>
        </w:rPr>
        <w:t xml:space="preserve"> </w:t>
      </w:r>
    </w:p>
    <w:p w14:paraId="13134441" w14:textId="77777777" w:rsidR="00A71EEF" w:rsidRDefault="00A71EEF">
      <w:pPr>
        <w:pStyle w:val="a3"/>
        <w:rPr>
          <w:sz w:val="18"/>
        </w:rPr>
      </w:pPr>
    </w:p>
    <w:p w14:paraId="652E3C3D" w14:textId="77777777" w:rsidR="00A71EEF" w:rsidRDefault="0081115D">
      <w:pPr>
        <w:pStyle w:val="a4"/>
        <w:numPr>
          <w:ilvl w:val="0"/>
          <w:numId w:val="484"/>
        </w:numPr>
        <w:tabs>
          <w:tab w:val="left" w:pos="1367"/>
        </w:tabs>
        <w:rPr>
          <w:sz w:val="21"/>
        </w:rPr>
      </w:pPr>
      <w:r>
        <w:rPr>
          <w:spacing w:val="-3"/>
          <w:sz w:val="21"/>
        </w:rPr>
        <w:t>农村既有建筑的防火改造；</w:t>
      </w:r>
      <w:r>
        <w:rPr>
          <w:sz w:val="21"/>
        </w:rPr>
        <w:t xml:space="preserve"> </w:t>
      </w:r>
    </w:p>
    <w:p w14:paraId="39C9ED11" w14:textId="77777777" w:rsidR="00A71EEF" w:rsidRDefault="00A71EEF">
      <w:pPr>
        <w:pStyle w:val="a3"/>
        <w:spacing w:before="2"/>
        <w:rPr>
          <w:sz w:val="18"/>
        </w:rPr>
      </w:pPr>
    </w:p>
    <w:p w14:paraId="12987727" w14:textId="77777777" w:rsidR="00A71EEF" w:rsidRDefault="0081115D">
      <w:pPr>
        <w:pStyle w:val="a4"/>
        <w:numPr>
          <w:ilvl w:val="0"/>
          <w:numId w:val="484"/>
        </w:numPr>
        <w:tabs>
          <w:tab w:val="left" w:pos="1367"/>
        </w:tabs>
        <w:rPr>
          <w:sz w:val="21"/>
        </w:rPr>
      </w:pPr>
      <w:r>
        <w:rPr>
          <w:spacing w:val="-3"/>
          <w:sz w:val="21"/>
        </w:rPr>
        <w:t>农村消防安全管理。</w:t>
      </w:r>
      <w:r>
        <w:rPr>
          <w:sz w:val="21"/>
        </w:rPr>
        <w:t xml:space="preserve"> </w:t>
      </w:r>
    </w:p>
    <w:p w14:paraId="7E1FBBB3" w14:textId="77777777" w:rsidR="00A71EEF" w:rsidRDefault="00A71EEF">
      <w:pPr>
        <w:pStyle w:val="a3"/>
        <w:spacing w:before="12"/>
        <w:rPr>
          <w:sz w:val="17"/>
        </w:rPr>
      </w:pPr>
    </w:p>
    <w:p w14:paraId="2270CC7F" w14:textId="77777777" w:rsidR="00A71EEF" w:rsidRDefault="0081115D">
      <w:pPr>
        <w:pStyle w:val="a3"/>
        <w:spacing w:line="446" w:lineRule="auto"/>
        <w:ind w:left="418" w:right="1609" w:firstLine="419"/>
        <w:jc w:val="both"/>
      </w:pPr>
      <w:r>
        <w:rPr>
          <w:spacing w:val="-5"/>
        </w:rPr>
        <w:t>除本规范规定外，农村的厂房、仓库、公共建筑和建筑高度超过</w:t>
      </w:r>
      <w:r>
        <w:rPr>
          <w:spacing w:val="-5"/>
        </w:rPr>
        <w:t xml:space="preserve"> </w:t>
      </w:r>
      <w:r>
        <w:t>15m</w:t>
      </w:r>
      <w:r>
        <w:rPr>
          <w:spacing w:val="-7"/>
        </w:rPr>
        <w:t xml:space="preserve"> </w:t>
      </w:r>
      <w:r>
        <w:rPr>
          <w:spacing w:val="-7"/>
        </w:rPr>
        <w:t>的居住建筑的防火设</w:t>
      </w:r>
      <w:r>
        <w:rPr>
          <w:spacing w:val="-5"/>
        </w:rPr>
        <w:t>计应执行现行国家标准《建筑设计防火规范》</w:t>
      </w:r>
      <w:r>
        <w:t>GB 50016</w:t>
      </w:r>
      <w:r>
        <w:rPr>
          <w:spacing w:val="-11"/>
        </w:rPr>
        <w:t xml:space="preserve"> </w:t>
      </w:r>
      <w:r>
        <w:rPr>
          <w:spacing w:val="-11"/>
        </w:rPr>
        <w:t>等的规定。</w:t>
      </w:r>
      <w:r>
        <w:t xml:space="preserve"> </w:t>
      </w:r>
    </w:p>
    <w:p w14:paraId="5C61F163" w14:textId="77777777" w:rsidR="00A71EEF" w:rsidRDefault="0081115D">
      <w:pPr>
        <w:pStyle w:val="a4"/>
        <w:numPr>
          <w:ilvl w:val="1"/>
          <w:numId w:val="485"/>
        </w:numPr>
        <w:tabs>
          <w:tab w:val="left" w:pos="1159"/>
        </w:tabs>
        <w:spacing w:line="446" w:lineRule="auto"/>
        <w:ind w:left="418" w:right="1604" w:firstLine="422"/>
        <w:jc w:val="both"/>
        <w:rPr>
          <w:sz w:val="21"/>
        </w:rPr>
      </w:pPr>
      <w:r>
        <w:rPr>
          <w:spacing w:val="-3"/>
          <w:sz w:val="21"/>
        </w:rPr>
        <w:t>农村的消防规划、建筑防火设计、既有建筑的防火改造和消防安全管理，应结合当地经济发展状况、民族习俗、村庄规模、地理环境、建筑性质等，采取相应的消防安全措施，做到安全可靠、经济合理、有利生产、方便生活。</w:t>
      </w:r>
      <w:r>
        <w:rPr>
          <w:sz w:val="21"/>
        </w:rPr>
        <w:t xml:space="preserve"> </w:t>
      </w:r>
    </w:p>
    <w:p w14:paraId="34764738" w14:textId="77777777" w:rsidR="00A71EEF" w:rsidRDefault="0081115D">
      <w:pPr>
        <w:pStyle w:val="a4"/>
        <w:numPr>
          <w:ilvl w:val="1"/>
          <w:numId w:val="485"/>
        </w:numPr>
        <w:tabs>
          <w:tab w:val="left" w:pos="1159"/>
        </w:tabs>
        <w:spacing w:line="446" w:lineRule="auto"/>
        <w:ind w:left="418" w:right="1498" w:firstLine="422"/>
        <w:jc w:val="both"/>
        <w:rPr>
          <w:sz w:val="21"/>
        </w:rPr>
      </w:pPr>
      <w:r>
        <w:rPr>
          <w:spacing w:val="-3"/>
          <w:sz w:val="21"/>
        </w:rPr>
        <w:t>农村的消防规划应根据其区划类别，分别纳入镇总体规划、镇详细规划、乡规划和村庄规划，并应与其他基础设施统一规划、同步实施。</w:t>
      </w:r>
      <w:r>
        <w:rPr>
          <w:spacing w:val="-3"/>
          <w:sz w:val="21"/>
        </w:rPr>
        <w:t xml:space="preserve"> </w:t>
      </w:r>
    </w:p>
    <w:p w14:paraId="38970A88" w14:textId="77777777" w:rsidR="00A71EEF" w:rsidRDefault="0081115D">
      <w:pPr>
        <w:pStyle w:val="a4"/>
        <w:numPr>
          <w:ilvl w:val="1"/>
          <w:numId w:val="485"/>
        </w:numPr>
        <w:tabs>
          <w:tab w:val="left" w:pos="1160"/>
        </w:tabs>
        <w:spacing w:line="446" w:lineRule="auto"/>
        <w:ind w:left="418" w:right="1604" w:firstLine="422"/>
        <w:jc w:val="both"/>
        <w:rPr>
          <w:sz w:val="21"/>
        </w:rPr>
      </w:pPr>
      <w:r>
        <w:rPr>
          <w:spacing w:val="-3"/>
          <w:sz w:val="21"/>
        </w:rPr>
        <w:t>村民委员会等基层组织应建立相应的消防安全组织，确定消防安全管理人，制定防火安全制度，进行消防安全检查，开展消防宣传教育，落实消防安全责任，配备必要的消防力量和消防器材装备。</w:t>
      </w:r>
      <w:r>
        <w:rPr>
          <w:sz w:val="21"/>
        </w:rPr>
        <w:t xml:space="preserve"> </w:t>
      </w:r>
    </w:p>
    <w:p w14:paraId="157BDF6C" w14:textId="77777777" w:rsidR="00A71EEF" w:rsidRDefault="0081115D">
      <w:pPr>
        <w:pStyle w:val="a4"/>
        <w:numPr>
          <w:ilvl w:val="1"/>
          <w:numId w:val="485"/>
        </w:numPr>
        <w:tabs>
          <w:tab w:val="left" w:pos="1160"/>
        </w:tabs>
        <w:spacing w:line="448" w:lineRule="auto"/>
        <w:ind w:left="418" w:right="1604" w:firstLine="422"/>
        <w:rPr>
          <w:sz w:val="21"/>
        </w:rPr>
      </w:pPr>
      <w:r>
        <w:rPr>
          <w:spacing w:val="-3"/>
          <w:sz w:val="21"/>
        </w:rPr>
        <w:t>农村的消防规划、建筑防火设计、既有建筑的防火改造和消防安全管理，除应符合本规范的规定外，尚应符合国家现行标准的规定。</w:t>
      </w:r>
      <w:r>
        <w:rPr>
          <w:sz w:val="21"/>
        </w:rPr>
        <w:t xml:space="preserve"> </w:t>
      </w:r>
    </w:p>
    <w:p w14:paraId="4C36E7CF" w14:textId="77777777" w:rsidR="00A71EEF" w:rsidRDefault="0081115D">
      <w:pPr>
        <w:pStyle w:val="4"/>
        <w:spacing w:line="273" w:lineRule="exact"/>
      </w:pPr>
      <w:r>
        <w:t xml:space="preserve">2 </w:t>
      </w:r>
      <w:r>
        <w:t>术语</w:t>
      </w:r>
      <w:r>
        <w:rPr>
          <w:w w:val="99"/>
        </w:rPr>
        <w:t xml:space="preserve"> </w:t>
      </w:r>
    </w:p>
    <w:p w14:paraId="7167C52A" w14:textId="77777777" w:rsidR="00A71EEF" w:rsidRDefault="00A71EEF">
      <w:pPr>
        <w:pStyle w:val="a3"/>
        <w:spacing w:before="12"/>
        <w:rPr>
          <w:b/>
          <w:sz w:val="16"/>
        </w:rPr>
      </w:pPr>
    </w:p>
    <w:p w14:paraId="3503DBB6" w14:textId="77777777" w:rsidR="00A71EEF" w:rsidRDefault="0081115D">
      <w:pPr>
        <w:ind w:left="840"/>
        <w:rPr>
          <w:sz w:val="21"/>
        </w:rPr>
      </w:pPr>
      <w:r>
        <w:rPr>
          <w:b/>
          <w:sz w:val="21"/>
        </w:rPr>
        <w:t xml:space="preserve">2.1 </w:t>
      </w:r>
      <w:r>
        <w:rPr>
          <w:sz w:val="21"/>
        </w:rPr>
        <w:t>农村</w:t>
      </w:r>
      <w:r>
        <w:rPr>
          <w:sz w:val="21"/>
        </w:rPr>
        <w:t xml:space="preserve"> rural area </w:t>
      </w:r>
    </w:p>
    <w:p w14:paraId="7010ADE8" w14:textId="77777777" w:rsidR="00A71EEF" w:rsidRDefault="00A71EEF">
      <w:pPr>
        <w:pStyle w:val="a3"/>
        <w:spacing w:before="2"/>
        <w:rPr>
          <w:sz w:val="18"/>
        </w:rPr>
      </w:pPr>
    </w:p>
    <w:p w14:paraId="4AEC807C" w14:textId="77777777" w:rsidR="00A71EEF" w:rsidRDefault="0081115D">
      <w:pPr>
        <w:pStyle w:val="a3"/>
        <w:spacing w:line="446" w:lineRule="auto"/>
        <w:ind w:left="840" w:right="2554" w:hanging="3"/>
      </w:pPr>
      <w:r>
        <w:t>县级及县级以上人民政府驻地的城市、镇规划区以外的镇、乡、村庄的统称。</w:t>
      </w:r>
      <w:r>
        <w:rPr>
          <w:b/>
        </w:rPr>
        <w:t xml:space="preserve">2.2 </w:t>
      </w:r>
      <w:r>
        <w:t>村庄</w:t>
      </w:r>
      <w:r>
        <w:t xml:space="preserve"> village </w:t>
      </w:r>
    </w:p>
    <w:p w14:paraId="6E0A01C4" w14:textId="77777777" w:rsidR="00A71EEF" w:rsidRDefault="0081115D">
      <w:pPr>
        <w:pStyle w:val="a3"/>
        <w:spacing w:line="448" w:lineRule="auto"/>
        <w:ind w:left="840" w:right="6647" w:hanging="3"/>
      </w:pPr>
      <w:r>
        <w:t>农村居民生活和生产的聚居点。</w:t>
      </w:r>
      <w:r>
        <w:rPr>
          <w:b/>
        </w:rPr>
        <w:t xml:space="preserve">2.3 </w:t>
      </w:r>
      <w:r>
        <w:t>消防点</w:t>
      </w:r>
      <w:r>
        <w:t xml:space="preserve"> fire fighting spot </w:t>
      </w:r>
    </w:p>
    <w:p w14:paraId="10F2AB8D" w14:textId="77777777" w:rsidR="00A71EEF" w:rsidRDefault="0081115D">
      <w:pPr>
        <w:pStyle w:val="a3"/>
        <w:spacing w:line="264" w:lineRule="exact"/>
        <w:ind w:left="838"/>
      </w:pPr>
      <w:r>
        <w:t>设置在农村的集中放置消防车辆、器材，并配有专职、义务或志愿消防队员的固定场所。</w:t>
      </w:r>
      <w:r>
        <w:t xml:space="preserve"> </w:t>
      </w:r>
    </w:p>
    <w:p w14:paraId="48ABF0B3" w14:textId="77777777" w:rsidR="00A71EEF" w:rsidRDefault="00A71EEF">
      <w:pPr>
        <w:spacing w:line="264" w:lineRule="exact"/>
        <w:sectPr w:rsidR="00A71EEF">
          <w:pgSz w:w="11910" w:h="16850"/>
          <w:pgMar w:top="1140" w:right="0" w:bottom="1420" w:left="1260" w:header="0" w:footer="1239" w:gutter="0"/>
          <w:cols w:space="720"/>
        </w:sectPr>
      </w:pPr>
    </w:p>
    <w:p w14:paraId="073DF0E0" w14:textId="77777777" w:rsidR="00A71EEF" w:rsidRDefault="0081115D">
      <w:pPr>
        <w:pStyle w:val="a3"/>
        <w:spacing w:before="47" w:line="446" w:lineRule="auto"/>
        <w:ind w:left="418" w:right="2331" w:firstLine="422"/>
      </w:pPr>
      <w:r>
        <w:rPr>
          <w:b/>
        </w:rPr>
        <w:t xml:space="preserve">2.4 </w:t>
      </w:r>
      <w:r>
        <w:t>住宿与生产、储存、经营合用场所</w:t>
      </w:r>
      <w:r>
        <w:t xml:space="preserve"> the place combined with habitation</w:t>
      </w:r>
      <w:r>
        <w:t>，</w:t>
      </w:r>
      <w:r>
        <w:t xml:space="preserve"> production</w:t>
      </w:r>
      <w:r>
        <w:t>，</w:t>
      </w:r>
      <w:r>
        <w:t xml:space="preserve">storage and business </w:t>
      </w:r>
    </w:p>
    <w:p w14:paraId="6E4E7FCA" w14:textId="77777777" w:rsidR="00A71EEF" w:rsidRDefault="0081115D">
      <w:pPr>
        <w:pStyle w:val="a3"/>
        <w:spacing w:line="446" w:lineRule="auto"/>
        <w:ind w:left="418" w:right="1609" w:firstLine="419"/>
      </w:pPr>
      <w:r>
        <w:t>住宿与生产、储存、经营等一种或几种用途混合设置在同一连通空间内的场所，俗称</w:t>
      </w:r>
      <w:r>
        <w:t>“</w:t>
      </w:r>
      <w:r>
        <w:t>三合一</w:t>
      </w:r>
      <w:r>
        <w:t>”</w:t>
      </w:r>
      <w:r>
        <w:t>。</w:t>
      </w:r>
      <w:r>
        <w:t xml:space="preserve"> </w:t>
      </w:r>
    </w:p>
    <w:p w14:paraId="54894DFC" w14:textId="77777777" w:rsidR="00A71EEF" w:rsidRDefault="0081115D">
      <w:pPr>
        <w:pStyle w:val="4"/>
        <w:spacing w:line="277" w:lineRule="exact"/>
      </w:pPr>
      <w:r>
        <w:t xml:space="preserve">3 </w:t>
      </w:r>
      <w:r>
        <w:t>规划布局</w:t>
      </w:r>
      <w:r>
        <w:rPr>
          <w:w w:val="99"/>
        </w:rPr>
        <w:t xml:space="preserve"> </w:t>
      </w:r>
    </w:p>
    <w:p w14:paraId="3281A213" w14:textId="77777777" w:rsidR="00A71EEF" w:rsidRDefault="00A71EEF">
      <w:pPr>
        <w:pStyle w:val="a3"/>
        <w:spacing w:before="2"/>
        <w:rPr>
          <w:b/>
          <w:sz w:val="17"/>
        </w:rPr>
      </w:pPr>
    </w:p>
    <w:p w14:paraId="32339177" w14:textId="77777777" w:rsidR="00A71EEF" w:rsidRDefault="0081115D">
      <w:pPr>
        <w:pStyle w:val="a4"/>
        <w:numPr>
          <w:ilvl w:val="1"/>
          <w:numId w:val="483"/>
        </w:numPr>
        <w:tabs>
          <w:tab w:val="left" w:pos="1159"/>
        </w:tabs>
        <w:spacing w:line="446" w:lineRule="auto"/>
        <w:ind w:right="1431" w:firstLine="422"/>
        <w:rPr>
          <w:sz w:val="21"/>
        </w:rPr>
      </w:pPr>
      <w:r>
        <w:rPr>
          <w:spacing w:val="-7"/>
          <w:sz w:val="21"/>
        </w:rPr>
        <w:t>农村建筑应根据建筑的使用性质及火灾危险性、周边环境、生活习惯</w:t>
      </w:r>
      <w:r>
        <w:rPr>
          <w:spacing w:val="-7"/>
          <w:sz w:val="21"/>
        </w:rPr>
        <w:t>、气候条件、经济</w:t>
      </w:r>
      <w:r>
        <w:rPr>
          <w:spacing w:val="-5"/>
          <w:sz w:val="21"/>
        </w:rPr>
        <w:t>发展水平等因素合理布局。</w:t>
      </w:r>
      <w:r>
        <w:rPr>
          <w:spacing w:val="-5"/>
          <w:sz w:val="21"/>
        </w:rPr>
        <w:t xml:space="preserve"> </w:t>
      </w:r>
    </w:p>
    <w:p w14:paraId="7F603E8B" w14:textId="77777777" w:rsidR="00A71EEF" w:rsidRDefault="0081115D">
      <w:pPr>
        <w:pStyle w:val="a4"/>
        <w:numPr>
          <w:ilvl w:val="1"/>
          <w:numId w:val="483"/>
        </w:numPr>
        <w:tabs>
          <w:tab w:val="left" w:pos="1159"/>
        </w:tabs>
        <w:spacing w:before="1" w:line="446" w:lineRule="auto"/>
        <w:ind w:right="1431" w:firstLine="422"/>
        <w:rPr>
          <w:sz w:val="21"/>
        </w:rPr>
      </w:pPr>
      <w:r>
        <w:rPr>
          <w:spacing w:val="-13"/>
          <w:sz w:val="21"/>
        </w:rPr>
        <w:t>甲、乙、丙类生产、储存场所应布置在相对独立的安全区域，并应布置在集中居住区全年</w:t>
      </w:r>
      <w:r>
        <w:rPr>
          <w:spacing w:val="-5"/>
          <w:sz w:val="21"/>
        </w:rPr>
        <w:t>最小频率风向的上风侧。</w:t>
      </w:r>
      <w:r>
        <w:rPr>
          <w:spacing w:val="-5"/>
          <w:sz w:val="21"/>
        </w:rPr>
        <w:t xml:space="preserve"> </w:t>
      </w:r>
    </w:p>
    <w:p w14:paraId="2A4C632B" w14:textId="77777777" w:rsidR="00A71EEF" w:rsidRDefault="0081115D">
      <w:pPr>
        <w:pStyle w:val="a3"/>
        <w:spacing w:line="446" w:lineRule="auto"/>
        <w:ind w:left="418" w:right="1410" w:firstLine="419"/>
      </w:pPr>
      <w:r>
        <w:t>可燃气体和可燃液体的充装站、供应站、调压站和汽车加油加气站等应根据当地的环境条件和风向等因素合理布置，与其他建（构）筑物等的防火间距应符合国家现行有关标准的要求。</w:t>
      </w:r>
      <w:r>
        <w:t xml:space="preserve"> </w:t>
      </w:r>
    </w:p>
    <w:p w14:paraId="4F852816" w14:textId="77777777" w:rsidR="00A71EEF" w:rsidRDefault="0081115D">
      <w:pPr>
        <w:pStyle w:val="a4"/>
        <w:numPr>
          <w:ilvl w:val="1"/>
          <w:numId w:val="483"/>
        </w:numPr>
        <w:tabs>
          <w:tab w:val="left" w:pos="1159"/>
        </w:tabs>
        <w:spacing w:line="267" w:lineRule="exact"/>
        <w:ind w:left="1158" w:hanging="319"/>
        <w:rPr>
          <w:sz w:val="21"/>
        </w:rPr>
      </w:pPr>
      <w:r>
        <w:rPr>
          <w:spacing w:val="-3"/>
          <w:sz w:val="21"/>
        </w:rPr>
        <w:t>生产区内的厂房与仓库宜分开布置。</w:t>
      </w:r>
      <w:r>
        <w:rPr>
          <w:sz w:val="21"/>
        </w:rPr>
        <w:t xml:space="preserve"> </w:t>
      </w:r>
    </w:p>
    <w:p w14:paraId="425FA810" w14:textId="77777777" w:rsidR="00A71EEF" w:rsidRDefault="00A71EEF">
      <w:pPr>
        <w:pStyle w:val="a3"/>
        <w:spacing w:before="1"/>
        <w:rPr>
          <w:sz w:val="18"/>
        </w:rPr>
      </w:pPr>
    </w:p>
    <w:p w14:paraId="6ABF4002" w14:textId="77777777" w:rsidR="00A71EEF" w:rsidRDefault="0081115D">
      <w:pPr>
        <w:pStyle w:val="a4"/>
        <w:numPr>
          <w:ilvl w:val="1"/>
          <w:numId w:val="483"/>
        </w:numPr>
        <w:tabs>
          <w:tab w:val="left" w:pos="1160"/>
        </w:tabs>
        <w:spacing w:line="446" w:lineRule="auto"/>
        <w:ind w:right="1432" w:firstLine="422"/>
        <w:rPr>
          <w:sz w:val="21"/>
        </w:rPr>
      </w:pPr>
      <w:r>
        <w:rPr>
          <w:spacing w:val="-15"/>
          <w:sz w:val="21"/>
        </w:rPr>
        <w:t>甲、乙、丙类生产、储存场所不应布置在学校、幼儿园、托儿所、影剧院、体育馆、医院</w:t>
      </w:r>
      <w:r>
        <w:rPr>
          <w:spacing w:val="-5"/>
          <w:sz w:val="21"/>
        </w:rPr>
        <w:t>、养老院、居住区等附近。</w:t>
      </w:r>
      <w:r>
        <w:rPr>
          <w:sz w:val="21"/>
        </w:rPr>
        <w:t xml:space="preserve"> </w:t>
      </w:r>
    </w:p>
    <w:p w14:paraId="46077088" w14:textId="77777777" w:rsidR="00A71EEF" w:rsidRDefault="0081115D">
      <w:pPr>
        <w:pStyle w:val="a4"/>
        <w:numPr>
          <w:ilvl w:val="1"/>
          <w:numId w:val="483"/>
        </w:numPr>
        <w:tabs>
          <w:tab w:val="left" w:pos="1160"/>
        </w:tabs>
        <w:spacing w:line="446" w:lineRule="auto"/>
        <w:ind w:right="1431" w:firstLine="422"/>
        <w:rPr>
          <w:sz w:val="21"/>
        </w:rPr>
      </w:pPr>
      <w:r>
        <w:rPr>
          <w:spacing w:val="-7"/>
          <w:sz w:val="21"/>
        </w:rPr>
        <w:t>集市、庙会等活动区域应规划布置在不妨碍消防车辆通行的地段，该地段应与火灾危险</w:t>
      </w:r>
      <w:r>
        <w:rPr>
          <w:spacing w:val="-5"/>
          <w:sz w:val="21"/>
        </w:rPr>
        <w:t>性大的场所保持足够的防火间距，并应符合消防安全要求。</w:t>
      </w:r>
      <w:r>
        <w:rPr>
          <w:sz w:val="21"/>
        </w:rPr>
        <w:t xml:space="preserve"> </w:t>
      </w:r>
    </w:p>
    <w:p w14:paraId="2674E926" w14:textId="77777777" w:rsidR="00A71EEF" w:rsidRDefault="0081115D">
      <w:pPr>
        <w:pStyle w:val="a4"/>
        <w:numPr>
          <w:ilvl w:val="1"/>
          <w:numId w:val="483"/>
        </w:numPr>
        <w:tabs>
          <w:tab w:val="left" w:pos="1160"/>
        </w:tabs>
        <w:spacing w:line="446" w:lineRule="auto"/>
        <w:ind w:right="1431" w:firstLine="422"/>
        <w:rPr>
          <w:sz w:val="21"/>
        </w:rPr>
      </w:pPr>
      <w:r>
        <w:rPr>
          <w:spacing w:val="-8"/>
          <w:sz w:val="21"/>
        </w:rPr>
        <w:t>集贸市场、厂房、仓库以及变压器、变电所</w:t>
      </w:r>
      <w:r>
        <w:rPr>
          <w:spacing w:val="-3"/>
          <w:sz w:val="21"/>
        </w:rPr>
        <w:t>（</w:t>
      </w:r>
      <w:r>
        <w:rPr>
          <w:sz w:val="21"/>
        </w:rPr>
        <w:t>站</w:t>
      </w:r>
      <w:r>
        <w:rPr>
          <w:spacing w:val="-8"/>
          <w:sz w:val="21"/>
        </w:rPr>
        <w:t>）</w:t>
      </w:r>
      <w:r>
        <w:rPr>
          <w:spacing w:val="-3"/>
          <w:sz w:val="21"/>
        </w:rPr>
        <w:t>之间及与居住建筑的防火间距应符合现行国家标准《建筑设计防火规范》</w:t>
      </w:r>
      <w:r>
        <w:rPr>
          <w:sz w:val="21"/>
        </w:rPr>
        <w:t>GB</w:t>
      </w:r>
      <w:r>
        <w:rPr>
          <w:spacing w:val="1"/>
          <w:sz w:val="21"/>
        </w:rPr>
        <w:t xml:space="preserve"> </w:t>
      </w:r>
      <w:r>
        <w:rPr>
          <w:sz w:val="21"/>
        </w:rPr>
        <w:t>50016</w:t>
      </w:r>
      <w:r>
        <w:rPr>
          <w:spacing w:val="-11"/>
          <w:sz w:val="21"/>
        </w:rPr>
        <w:t xml:space="preserve"> </w:t>
      </w:r>
      <w:r>
        <w:rPr>
          <w:spacing w:val="-11"/>
          <w:sz w:val="21"/>
        </w:rPr>
        <w:t>等的要求。</w:t>
      </w:r>
      <w:r>
        <w:rPr>
          <w:sz w:val="21"/>
        </w:rPr>
        <w:t xml:space="preserve"> </w:t>
      </w:r>
    </w:p>
    <w:p w14:paraId="6E21252D" w14:textId="77777777" w:rsidR="00A71EEF" w:rsidRDefault="0081115D">
      <w:pPr>
        <w:pStyle w:val="a4"/>
        <w:numPr>
          <w:ilvl w:val="1"/>
          <w:numId w:val="483"/>
        </w:numPr>
        <w:tabs>
          <w:tab w:val="left" w:pos="1160"/>
        </w:tabs>
        <w:ind w:left="1159" w:hanging="320"/>
        <w:rPr>
          <w:sz w:val="21"/>
        </w:rPr>
      </w:pPr>
      <w:r>
        <w:rPr>
          <w:spacing w:val="-6"/>
          <w:sz w:val="21"/>
        </w:rPr>
        <w:t>居住区和生产区距林区边缘的距离不宜小于</w:t>
      </w:r>
      <w:r>
        <w:rPr>
          <w:spacing w:val="-6"/>
          <w:sz w:val="21"/>
        </w:rPr>
        <w:t xml:space="preserve"> </w:t>
      </w:r>
      <w:r>
        <w:rPr>
          <w:sz w:val="21"/>
        </w:rPr>
        <w:t>300m</w:t>
      </w:r>
      <w:r>
        <w:rPr>
          <w:spacing w:val="-10"/>
          <w:sz w:val="21"/>
        </w:rPr>
        <w:t>，或应采取防止火灾蔓延的其他措施。</w:t>
      </w:r>
      <w:r>
        <w:rPr>
          <w:sz w:val="21"/>
        </w:rPr>
        <w:t xml:space="preserve"> </w:t>
      </w:r>
    </w:p>
    <w:p w14:paraId="089C2F67" w14:textId="77777777" w:rsidR="00A71EEF" w:rsidRDefault="00A71EEF">
      <w:pPr>
        <w:pStyle w:val="a3"/>
        <w:spacing w:before="11"/>
        <w:rPr>
          <w:sz w:val="17"/>
        </w:rPr>
      </w:pPr>
    </w:p>
    <w:p w14:paraId="6AD3463A" w14:textId="77777777" w:rsidR="00A71EEF" w:rsidRDefault="0081115D">
      <w:pPr>
        <w:pStyle w:val="a4"/>
        <w:numPr>
          <w:ilvl w:val="1"/>
          <w:numId w:val="483"/>
        </w:numPr>
        <w:tabs>
          <w:tab w:val="left" w:pos="1159"/>
        </w:tabs>
        <w:ind w:left="1158" w:hanging="319"/>
        <w:rPr>
          <w:sz w:val="21"/>
        </w:rPr>
      </w:pPr>
      <w:r>
        <w:rPr>
          <w:spacing w:val="-3"/>
          <w:sz w:val="21"/>
        </w:rPr>
        <w:t>柴草、饲料等可燃物堆垛设置应符合下列要求：</w:t>
      </w:r>
      <w:r>
        <w:rPr>
          <w:spacing w:val="-3"/>
          <w:sz w:val="21"/>
        </w:rPr>
        <w:t xml:space="preserve"> </w:t>
      </w:r>
    </w:p>
    <w:p w14:paraId="463A07AC" w14:textId="77777777" w:rsidR="00A71EEF" w:rsidRDefault="00A71EEF">
      <w:pPr>
        <w:pStyle w:val="a3"/>
        <w:spacing w:before="12"/>
        <w:rPr>
          <w:sz w:val="17"/>
        </w:rPr>
      </w:pPr>
    </w:p>
    <w:p w14:paraId="3B451AD7" w14:textId="77777777" w:rsidR="00A71EEF" w:rsidRDefault="0081115D">
      <w:pPr>
        <w:pStyle w:val="a4"/>
        <w:numPr>
          <w:ilvl w:val="0"/>
          <w:numId w:val="482"/>
        </w:numPr>
        <w:tabs>
          <w:tab w:val="left" w:pos="1367"/>
        </w:tabs>
        <w:rPr>
          <w:sz w:val="21"/>
        </w:rPr>
      </w:pPr>
      <w:r>
        <w:rPr>
          <w:spacing w:val="-3"/>
          <w:sz w:val="21"/>
        </w:rPr>
        <w:t>宜设置在相对独立的安全区域或村庄边缘；</w:t>
      </w:r>
      <w:r>
        <w:rPr>
          <w:sz w:val="21"/>
        </w:rPr>
        <w:t xml:space="preserve"> </w:t>
      </w:r>
    </w:p>
    <w:p w14:paraId="65237D46" w14:textId="77777777" w:rsidR="00A71EEF" w:rsidRDefault="00A71EEF">
      <w:pPr>
        <w:pStyle w:val="a3"/>
        <w:spacing w:before="2"/>
        <w:rPr>
          <w:sz w:val="18"/>
        </w:rPr>
      </w:pPr>
    </w:p>
    <w:p w14:paraId="1D89D819" w14:textId="77777777" w:rsidR="00A71EEF" w:rsidRDefault="0081115D">
      <w:pPr>
        <w:pStyle w:val="a4"/>
        <w:numPr>
          <w:ilvl w:val="0"/>
          <w:numId w:val="482"/>
        </w:numPr>
        <w:tabs>
          <w:tab w:val="left" w:pos="1367"/>
        </w:tabs>
        <w:rPr>
          <w:sz w:val="21"/>
        </w:rPr>
      </w:pPr>
      <w:r>
        <w:rPr>
          <w:spacing w:val="-3"/>
          <w:sz w:val="21"/>
        </w:rPr>
        <w:t>较大堆垛宜设置在全年最小频率风向的上风侧；</w:t>
      </w:r>
      <w:r>
        <w:rPr>
          <w:spacing w:val="-3"/>
          <w:sz w:val="21"/>
        </w:rPr>
        <w:t xml:space="preserve"> </w:t>
      </w:r>
    </w:p>
    <w:p w14:paraId="4C33FF9D" w14:textId="77777777" w:rsidR="00A71EEF" w:rsidRDefault="00A71EEF">
      <w:pPr>
        <w:pStyle w:val="a3"/>
        <w:rPr>
          <w:sz w:val="18"/>
        </w:rPr>
      </w:pPr>
    </w:p>
    <w:p w14:paraId="01E1FD49" w14:textId="77777777" w:rsidR="00A71EEF" w:rsidRDefault="0081115D">
      <w:pPr>
        <w:pStyle w:val="a4"/>
        <w:numPr>
          <w:ilvl w:val="0"/>
          <w:numId w:val="482"/>
        </w:numPr>
        <w:tabs>
          <w:tab w:val="left" w:pos="1367"/>
        </w:tabs>
        <w:rPr>
          <w:sz w:val="21"/>
        </w:rPr>
      </w:pPr>
      <w:r>
        <w:rPr>
          <w:spacing w:val="-3"/>
          <w:sz w:val="21"/>
        </w:rPr>
        <w:t>不应设置在电气线路下方；</w:t>
      </w:r>
      <w:r>
        <w:rPr>
          <w:sz w:val="21"/>
        </w:rPr>
        <w:t xml:space="preserve"> </w:t>
      </w:r>
    </w:p>
    <w:p w14:paraId="55BE856D" w14:textId="77777777" w:rsidR="00A71EEF" w:rsidRDefault="00A71EEF">
      <w:pPr>
        <w:pStyle w:val="a3"/>
        <w:spacing w:before="12"/>
        <w:rPr>
          <w:sz w:val="17"/>
        </w:rPr>
      </w:pPr>
    </w:p>
    <w:p w14:paraId="09119160" w14:textId="77777777" w:rsidR="00A71EEF" w:rsidRDefault="0081115D">
      <w:pPr>
        <w:pStyle w:val="a4"/>
        <w:numPr>
          <w:ilvl w:val="0"/>
          <w:numId w:val="482"/>
        </w:numPr>
        <w:tabs>
          <w:tab w:val="left" w:pos="1365"/>
        </w:tabs>
        <w:spacing w:line="446" w:lineRule="auto"/>
        <w:ind w:left="418" w:right="1431" w:firstLine="419"/>
        <w:rPr>
          <w:sz w:val="21"/>
        </w:rPr>
      </w:pPr>
      <w:r>
        <w:rPr>
          <w:spacing w:val="-13"/>
          <w:sz w:val="21"/>
        </w:rPr>
        <w:t>与建筑、变配电站、铁路、道路、架空电力线路等的防火间距宜符合现行国家标准《</w:t>
      </w:r>
      <w:r>
        <w:rPr>
          <w:spacing w:val="-13"/>
          <w:sz w:val="21"/>
        </w:rPr>
        <w:t xml:space="preserve"> </w:t>
      </w:r>
      <w:r>
        <w:rPr>
          <w:spacing w:val="-3"/>
          <w:sz w:val="21"/>
        </w:rPr>
        <w:t>建筑设计防火规范》</w:t>
      </w:r>
      <w:r>
        <w:rPr>
          <w:sz w:val="21"/>
        </w:rPr>
        <w:t>GB 50016</w:t>
      </w:r>
      <w:r>
        <w:rPr>
          <w:spacing w:val="-13"/>
          <w:sz w:val="21"/>
        </w:rPr>
        <w:t xml:space="preserve"> </w:t>
      </w:r>
      <w:r>
        <w:rPr>
          <w:spacing w:val="-13"/>
          <w:sz w:val="21"/>
        </w:rPr>
        <w:t>的要求；</w:t>
      </w:r>
      <w:r>
        <w:rPr>
          <w:sz w:val="21"/>
        </w:rPr>
        <w:t xml:space="preserve"> </w:t>
      </w:r>
    </w:p>
    <w:p w14:paraId="0202D424" w14:textId="77777777" w:rsidR="00A71EEF" w:rsidRDefault="0081115D">
      <w:pPr>
        <w:pStyle w:val="a4"/>
        <w:numPr>
          <w:ilvl w:val="0"/>
          <w:numId w:val="482"/>
        </w:numPr>
        <w:tabs>
          <w:tab w:val="left" w:pos="1367"/>
        </w:tabs>
        <w:rPr>
          <w:sz w:val="21"/>
        </w:rPr>
      </w:pPr>
      <w:r>
        <w:rPr>
          <w:spacing w:val="-3"/>
          <w:sz w:val="21"/>
        </w:rPr>
        <w:t>村民院落内堆放的少量柴草、饲料等与建筑之间应采取防火隔离措施。</w:t>
      </w:r>
      <w:r>
        <w:rPr>
          <w:spacing w:val="-3"/>
          <w:sz w:val="21"/>
        </w:rPr>
        <w:t xml:space="preserve"> </w:t>
      </w:r>
    </w:p>
    <w:p w14:paraId="41910866" w14:textId="77777777" w:rsidR="00A71EEF" w:rsidRDefault="00A71EEF">
      <w:pPr>
        <w:pStyle w:val="a3"/>
        <w:rPr>
          <w:sz w:val="18"/>
        </w:rPr>
      </w:pPr>
    </w:p>
    <w:p w14:paraId="73FC080C" w14:textId="77777777" w:rsidR="00A71EEF" w:rsidRDefault="0081115D">
      <w:pPr>
        <w:pStyle w:val="a4"/>
        <w:numPr>
          <w:ilvl w:val="1"/>
          <w:numId w:val="483"/>
        </w:numPr>
        <w:tabs>
          <w:tab w:val="left" w:pos="1160"/>
        </w:tabs>
        <w:spacing w:line="446" w:lineRule="auto"/>
        <w:ind w:right="1431" w:firstLine="422"/>
        <w:rPr>
          <w:sz w:val="21"/>
        </w:rPr>
      </w:pPr>
      <w:r>
        <w:rPr>
          <w:spacing w:val="-7"/>
          <w:sz w:val="21"/>
        </w:rPr>
        <w:t>既有的厂</w:t>
      </w:r>
      <w:r>
        <w:rPr>
          <w:spacing w:val="-3"/>
          <w:sz w:val="21"/>
        </w:rPr>
        <w:t>（</w:t>
      </w:r>
      <w:r>
        <w:rPr>
          <w:sz w:val="21"/>
        </w:rPr>
        <w:t>库</w:t>
      </w:r>
      <w:r>
        <w:rPr>
          <w:spacing w:val="-22"/>
          <w:sz w:val="21"/>
        </w:rPr>
        <w:t>）</w:t>
      </w:r>
      <w:r>
        <w:rPr>
          <w:spacing w:val="-11"/>
          <w:sz w:val="21"/>
        </w:rPr>
        <w:t>房和堆场、储罐等，不满足消防安全要求的，应采取隔离、改造、搬迁或</w:t>
      </w:r>
      <w:r>
        <w:rPr>
          <w:spacing w:val="-5"/>
          <w:sz w:val="21"/>
        </w:rPr>
        <w:t>改变使用性质等防火保护措施。</w:t>
      </w:r>
      <w:r>
        <w:rPr>
          <w:sz w:val="21"/>
        </w:rPr>
        <w:t xml:space="preserve"> </w:t>
      </w:r>
    </w:p>
    <w:p w14:paraId="26CDA0C8" w14:textId="77777777" w:rsidR="00A71EEF" w:rsidRDefault="00A71EEF">
      <w:pPr>
        <w:spacing w:line="446" w:lineRule="auto"/>
        <w:rPr>
          <w:sz w:val="21"/>
        </w:rPr>
        <w:sectPr w:rsidR="00A71EEF">
          <w:pgSz w:w="11910" w:h="16850"/>
          <w:pgMar w:top="1220" w:right="0" w:bottom="1420" w:left="1260" w:header="0" w:footer="1239" w:gutter="0"/>
          <w:cols w:space="720"/>
        </w:sectPr>
      </w:pPr>
    </w:p>
    <w:p w14:paraId="399DEC34" w14:textId="77777777" w:rsidR="00A71EEF" w:rsidRDefault="0081115D">
      <w:pPr>
        <w:pStyle w:val="a4"/>
        <w:numPr>
          <w:ilvl w:val="1"/>
          <w:numId w:val="483"/>
        </w:numPr>
        <w:tabs>
          <w:tab w:val="left" w:pos="1266"/>
        </w:tabs>
        <w:spacing w:before="47" w:line="446" w:lineRule="auto"/>
        <w:ind w:right="1431" w:firstLine="422"/>
        <w:rPr>
          <w:sz w:val="21"/>
        </w:rPr>
      </w:pPr>
      <w:r>
        <w:rPr>
          <w:spacing w:val="-13"/>
          <w:sz w:val="21"/>
        </w:rPr>
        <w:t>既有的耐火等级低、相互毗邻、消防通道狭窄不畅、消防水源不足的建筑群，应采取改</w:t>
      </w:r>
      <w:r>
        <w:rPr>
          <w:spacing w:val="-6"/>
          <w:sz w:val="21"/>
        </w:rPr>
        <w:t>善用火和用电条件、提高耐火性能、设置防火分隔、开辟消防通道、增设消防水源等措施。</w:t>
      </w:r>
      <w:r>
        <w:rPr>
          <w:sz w:val="21"/>
        </w:rPr>
        <w:t xml:space="preserve"> </w:t>
      </w:r>
    </w:p>
    <w:p w14:paraId="7A7B4EAB" w14:textId="77777777" w:rsidR="00A71EEF" w:rsidRDefault="0081115D">
      <w:pPr>
        <w:pStyle w:val="a4"/>
        <w:numPr>
          <w:ilvl w:val="1"/>
          <w:numId w:val="483"/>
        </w:numPr>
        <w:tabs>
          <w:tab w:val="left" w:pos="1264"/>
        </w:tabs>
        <w:spacing w:line="267" w:lineRule="exact"/>
        <w:ind w:left="1263" w:hanging="424"/>
        <w:rPr>
          <w:sz w:val="21"/>
        </w:rPr>
      </w:pPr>
      <w:r>
        <w:rPr>
          <w:spacing w:val="-3"/>
          <w:sz w:val="21"/>
        </w:rPr>
        <w:t>村庄内的道路宜考虑消防车的通行需要，供消防车通行的道路应符合下列要求：</w:t>
      </w:r>
      <w:r>
        <w:rPr>
          <w:sz w:val="21"/>
        </w:rPr>
        <w:t xml:space="preserve"> </w:t>
      </w:r>
    </w:p>
    <w:p w14:paraId="6785F6C5" w14:textId="77777777" w:rsidR="00A71EEF" w:rsidRDefault="00A71EEF">
      <w:pPr>
        <w:pStyle w:val="a3"/>
        <w:spacing w:before="2"/>
        <w:rPr>
          <w:sz w:val="18"/>
        </w:rPr>
      </w:pPr>
    </w:p>
    <w:p w14:paraId="1958DF20" w14:textId="77777777" w:rsidR="00A71EEF" w:rsidRDefault="0081115D">
      <w:pPr>
        <w:pStyle w:val="a4"/>
        <w:numPr>
          <w:ilvl w:val="0"/>
          <w:numId w:val="481"/>
        </w:numPr>
        <w:tabs>
          <w:tab w:val="left" w:pos="1367"/>
        </w:tabs>
        <w:rPr>
          <w:b/>
          <w:sz w:val="21"/>
        </w:rPr>
      </w:pPr>
      <w:r>
        <w:rPr>
          <w:spacing w:val="-7"/>
          <w:sz w:val="21"/>
        </w:rPr>
        <w:t>宜纵横相连、间距不宜大于</w:t>
      </w:r>
      <w:r>
        <w:rPr>
          <w:spacing w:val="-7"/>
          <w:sz w:val="21"/>
        </w:rPr>
        <w:t xml:space="preserve"> </w:t>
      </w:r>
      <w:r>
        <w:rPr>
          <w:sz w:val="21"/>
        </w:rPr>
        <w:t>160m</w:t>
      </w:r>
      <w:r>
        <w:rPr>
          <w:sz w:val="21"/>
        </w:rPr>
        <w:t>；</w:t>
      </w:r>
      <w:r>
        <w:rPr>
          <w:b/>
          <w:w w:val="99"/>
          <w:sz w:val="21"/>
        </w:rPr>
        <w:t xml:space="preserve"> </w:t>
      </w:r>
    </w:p>
    <w:p w14:paraId="01749643" w14:textId="77777777" w:rsidR="00A71EEF" w:rsidRDefault="00A71EEF">
      <w:pPr>
        <w:pStyle w:val="a3"/>
        <w:rPr>
          <w:b/>
          <w:sz w:val="18"/>
        </w:rPr>
      </w:pPr>
    </w:p>
    <w:p w14:paraId="70B52E53" w14:textId="77777777" w:rsidR="00A71EEF" w:rsidRDefault="0081115D">
      <w:pPr>
        <w:pStyle w:val="a4"/>
        <w:numPr>
          <w:ilvl w:val="0"/>
          <w:numId w:val="481"/>
        </w:numPr>
        <w:tabs>
          <w:tab w:val="left" w:pos="1367"/>
        </w:tabs>
        <w:rPr>
          <w:b/>
          <w:sz w:val="21"/>
        </w:rPr>
      </w:pPr>
      <w:r>
        <w:rPr>
          <w:spacing w:val="-7"/>
          <w:sz w:val="21"/>
        </w:rPr>
        <w:t>车道的净宽、净空高度不宜小于</w:t>
      </w:r>
      <w:r>
        <w:rPr>
          <w:spacing w:val="-7"/>
          <w:sz w:val="21"/>
        </w:rPr>
        <w:t xml:space="preserve"> </w:t>
      </w:r>
      <w:r>
        <w:rPr>
          <w:sz w:val="21"/>
        </w:rPr>
        <w:t>4m</w:t>
      </w:r>
      <w:r>
        <w:rPr>
          <w:sz w:val="21"/>
        </w:rPr>
        <w:t>；</w:t>
      </w:r>
      <w:r>
        <w:rPr>
          <w:b/>
          <w:w w:val="99"/>
          <w:sz w:val="21"/>
        </w:rPr>
        <w:t xml:space="preserve"> </w:t>
      </w:r>
    </w:p>
    <w:p w14:paraId="71BF29E0" w14:textId="77777777" w:rsidR="00A71EEF" w:rsidRDefault="00A71EEF">
      <w:pPr>
        <w:pStyle w:val="a3"/>
        <w:spacing w:before="12"/>
        <w:rPr>
          <w:b/>
          <w:sz w:val="17"/>
        </w:rPr>
      </w:pPr>
    </w:p>
    <w:p w14:paraId="4DB66831" w14:textId="77777777" w:rsidR="00A71EEF" w:rsidRDefault="0081115D">
      <w:pPr>
        <w:pStyle w:val="a4"/>
        <w:numPr>
          <w:ilvl w:val="0"/>
          <w:numId w:val="481"/>
        </w:numPr>
        <w:tabs>
          <w:tab w:val="left" w:pos="1367"/>
        </w:tabs>
        <w:rPr>
          <w:b/>
          <w:sz w:val="21"/>
        </w:rPr>
      </w:pPr>
      <w:r>
        <w:rPr>
          <w:spacing w:val="-3"/>
          <w:sz w:val="21"/>
        </w:rPr>
        <w:t>满足配置车型的转弯半径；</w:t>
      </w:r>
      <w:r>
        <w:rPr>
          <w:b/>
          <w:w w:val="99"/>
          <w:sz w:val="21"/>
        </w:rPr>
        <w:t xml:space="preserve"> </w:t>
      </w:r>
    </w:p>
    <w:p w14:paraId="69C7F657" w14:textId="77777777" w:rsidR="00A71EEF" w:rsidRDefault="00A71EEF">
      <w:pPr>
        <w:pStyle w:val="a3"/>
        <w:spacing w:before="2"/>
        <w:rPr>
          <w:b/>
          <w:sz w:val="18"/>
        </w:rPr>
      </w:pPr>
    </w:p>
    <w:p w14:paraId="37425FF1" w14:textId="77777777" w:rsidR="00A71EEF" w:rsidRDefault="0081115D">
      <w:pPr>
        <w:pStyle w:val="a4"/>
        <w:numPr>
          <w:ilvl w:val="0"/>
          <w:numId w:val="481"/>
        </w:numPr>
        <w:tabs>
          <w:tab w:val="left" w:pos="1367"/>
        </w:tabs>
        <w:rPr>
          <w:b/>
          <w:sz w:val="21"/>
        </w:rPr>
      </w:pPr>
      <w:r>
        <w:rPr>
          <w:spacing w:val="-3"/>
          <w:sz w:val="21"/>
        </w:rPr>
        <w:t>能承受消防车的压力；</w:t>
      </w:r>
      <w:r>
        <w:rPr>
          <w:b/>
          <w:spacing w:val="-3"/>
          <w:w w:val="99"/>
          <w:sz w:val="21"/>
        </w:rPr>
        <w:t xml:space="preserve"> </w:t>
      </w:r>
    </w:p>
    <w:p w14:paraId="08676F74" w14:textId="77777777" w:rsidR="00A71EEF" w:rsidRDefault="00A71EEF">
      <w:pPr>
        <w:pStyle w:val="a3"/>
        <w:rPr>
          <w:b/>
          <w:sz w:val="18"/>
        </w:rPr>
      </w:pPr>
    </w:p>
    <w:p w14:paraId="032B72E3" w14:textId="77777777" w:rsidR="00A71EEF" w:rsidRDefault="0081115D">
      <w:pPr>
        <w:pStyle w:val="a4"/>
        <w:numPr>
          <w:ilvl w:val="0"/>
          <w:numId w:val="481"/>
        </w:numPr>
        <w:tabs>
          <w:tab w:val="left" w:pos="1367"/>
        </w:tabs>
        <w:rPr>
          <w:b/>
          <w:sz w:val="21"/>
        </w:rPr>
      </w:pPr>
      <w:r>
        <w:rPr>
          <w:spacing w:val="-3"/>
          <w:sz w:val="21"/>
        </w:rPr>
        <w:t>尽头式车道满足配置车型回车要求。</w:t>
      </w:r>
      <w:r>
        <w:rPr>
          <w:b/>
          <w:w w:val="99"/>
          <w:sz w:val="21"/>
        </w:rPr>
        <w:t xml:space="preserve"> </w:t>
      </w:r>
    </w:p>
    <w:p w14:paraId="34E3155B" w14:textId="77777777" w:rsidR="00A71EEF" w:rsidRDefault="00A71EEF">
      <w:pPr>
        <w:pStyle w:val="a3"/>
        <w:spacing w:before="12"/>
        <w:rPr>
          <w:b/>
          <w:sz w:val="17"/>
        </w:rPr>
      </w:pPr>
    </w:p>
    <w:p w14:paraId="06B701F5" w14:textId="77777777" w:rsidR="00A71EEF" w:rsidRDefault="0081115D">
      <w:pPr>
        <w:pStyle w:val="a4"/>
        <w:numPr>
          <w:ilvl w:val="1"/>
          <w:numId w:val="483"/>
        </w:numPr>
        <w:tabs>
          <w:tab w:val="left" w:pos="1264"/>
        </w:tabs>
        <w:spacing w:line="446" w:lineRule="auto"/>
        <w:ind w:right="1431" w:firstLine="422"/>
        <w:rPr>
          <w:sz w:val="21"/>
        </w:rPr>
      </w:pPr>
      <w:r>
        <w:rPr>
          <w:spacing w:val="-7"/>
          <w:sz w:val="21"/>
        </w:rPr>
        <w:t>村庄之间以及与其他城镇连通的公路应满足消防车通行的要求，并应符合</w:t>
      </w:r>
      <w:r>
        <w:rPr>
          <w:spacing w:val="-7"/>
          <w:sz w:val="21"/>
        </w:rPr>
        <w:t xml:space="preserve"> </w:t>
      </w:r>
      <w:r>
        <w:rPr>
          <w:sz w:val="21"/>
        </w:rPr>
        <w:t>3.0.11</w:t>
      </w:r>
      <w:r>
        <w:rPr>
          <w:spacing w:val="-16"/>
          <w:sz w:val="21"/>
        </w:rPr>
        <w:t xml:space="preserve"> </w:t>
      </w:r>
      <w:r>
        <w:rPr>
          <w:spacing w:val="-16"/>
          <w:sz w:val="21"/>
        </w:rPr>
        <w:t>条的</w:t>
      </w:r>
      <w:r>
        <w:rPr>
          <w:spacing w:val="-8"/>
          <w:sz w:val="21"/>
        </w:rPr>
        <w:t>有关规定。</w:t>
      </w:r>
      <w:r>
        <w:rPr>
          <w:sz w:val="21"/>
        </w:rPr>
        <w:t xml:space="preserve"> </w:t>
      </w:r>
    </w:p>
    <w:p w14:paraId="35D2B978" w14:textId="77777777" w:rsidR="00A71EEF" w:rsidRDefault="0081115D">
      <w:pPr>
        <w:pStyle w:val="a4"/>
        <w:numPr>
          <w:ilvl w:val="1"/>
          <w:numId w:val="483"/>
        </w:numPr>
        <w:tabs>
          <w:tab w:val="left" w:pos="1318"/>
        </w:tabs>
        <w:spacing w:line="446" w:lineRule="auto"/>
        <w:ind w:right="1433" w:firstLine="422"/>
        <w:jc w:val="both"/>
        <w:rPr>
          <w:sz w:val="21"/>
        </w:rPr>
      </w:pPr>
      <w:r>
        <w:rPr>
          <w:spacing w:val="-8"/>
          <w:sz w:val="21"/>
        </w:rPr>
        <w:t>消防车道应保持畅通，供消防车通行的道路严禁设置隔离桩、栏杆等障碍设施，不得堆</w:t>
      </w:r>
      <w:r>
        <w:rPr>
          <w:spacing w:val="-5"/>
          <w:sz w:val="21"/>
        </w:rPr>
        <w:t>放土石、柴草等影响消防车通行的障碍物。</w:t>
      </w:r>
      <w:r>
        <w:rPr>
          <w:sz w:val="21"/>
        </w:rPr>
        <w:t xml:space="preserve"> </w:t>
      </w:r>
    </w:p>
    <w:p w14:paraId="70220389" w14:textId="77777777" w:rsidR="00A71EEF" w:rsidRDefault="0081115D">
      <w:pPr>
        <w:pStyle w:val="a4"/>
        <w:numPr>
          <w:ilvl w:val="1"/>
          <w:numId w:val="483"/>
        </w:numPr>
        <w:tabs>
          <w:tab w:val="left" w:pos="1335"/>
        </w:tabs>
        <w:spacing w:line="446" w:lineRule="auto"/>
        <w:ind w:right="1431" w:firstLine="422"/>
        <w:jc w:val="both"/>
        <w:rPr>
          <w:sz w:val="21"/>
        </w:rPr>
      </w:pPr>
      <w:r>
        <w:rPr>
          <w:spacing w:val="-3"/>
          <w:sz w:val="21"/>
        </w:rPr>
        <w:t>学校、村民集中活动场地（</w:t>
      </w:r>
      <w:r>
        <w:rPr>
          <w:sz w:val="21"/>
        </w:rPr>
        <w:t>室</w:t>
      </w:r>
      <w:r>
        <w:rPr>
          <w:spacing w:val="-108"/>
          <w:sz w:val="21"/>
        </w:rPr>
        <w:t>）</w:t>
      </w:r>
      <w:r>
        <w:rPr>
          <w:spacing w:val="-3"/>
          <w:sz w:val="21"/>
        </w:rPr>
        <w:t>、主要路口等场所应设置普及消防安全常识的固定消防</w:t>
      </w:r>
      <w:r>
        <w:rPr>
          <w:spacing w:val="-7"/>
          <w:sz w:val="21"/>
        </w:rPr>
        <w:t>宣传点；易燃易爆等重点防火区域应设置防火安全警示标志。消防安全常识宣传教育的主要内容</w:t>
      </w:r>
      <w:r>
        <w:rPr>
          <w:spacing w:val="5"/>
          <w:sz w:val="21"/>
        </w:rPr>
        <w:t>宜采用附录</w:t>
      </w:r>
      <w:r>
        <w:rPr>
          <w:sz w:val="21"/>
        </w:rPr>
        <w:t>B</w:t>
      </w:r>
      <w:r>
        <w:rPr>
          <w:spacing w:val="-3"/>
          <w:sz w:val="21"/>
        </w:rPr>
        <w:t>。</w:t>
      </w:r>
      <w:r>
        <w:rPr>
          <w:sz w:val="21"/>
        </w:rPr>
        <w:t xml:space="preserve"> </w:t>
      </w:r>
    </w:p>
    <w:p w14:paraId="63EEA1E4" w14:textId="77777777" w:rsidR="00A71EEF" w:rsidRDefault="0081115D">
      <w:pPr>
        <w:pStyle w:val="4"/>
        <w:spacing w:line="277" w:lineRule="exact"/>
      </w:pPr>
      <w:r>
        <w:t xml:space="preserve">4 </w:t>
      </w:r>
      <w:r>
        <w:t>建筑物</w:t>
      </w:r>
      <w:r>
        <w:rPr>
          <w:w w:val="99"/>
        </w:rPr>
        <w:t xml:space="preserve"> </w:t>
      </w:r>
    </w:p>
    <w:p w14:paraId="54C5A33C" w14:textId="77777777" w:rsidR="00A71EEF" w:rsidRDefault="00A71EEF">
      <w:pPr>
        <w:pStyle w:val="a3"/>
        <w:spacing w:before="4"/>
        <w:rPr>
          <w:b/>
          <w:sz w:val="17"/>
        </w:rPr>
      </w:pPr>
    </w:p>
    <w:p w14:paraId="3D1414DB" w14:textId="77777777" w:rsidR="00A71EEF" w:rsidRDefault="0081115D">
      <w:pPr>
        <w:pStyle w:val="a4"/>
        <w:numPr>
          <w:ilvl w:val="1"/>
          <w:numId w:val="480"/>
        </w:numPr>
        <w:tabs>
          <w:tab w:val="left" w:pos="1159"/>
        </w:tabs>
        <w:ind w:hanging="319"/>
        <w:rPr>
          <w:sz w:val="21"/>
        </w:rPr>
      </w:pPr>
      <w:r>
        <w:rPr>
          <w:spacing w:val="-3"/>
          <w:sz w:val="21"/>
        </w:rPr>
        <w:t>农村建筑的耐火等级不宜低于一、二级，建筑耐火等级的划分应符合现行国家标准</w:t>
      </w:r>
    </w:p>
    <w:p w14:paraId="4670EA27" w14:textId="77777777" w:rsidR="00A71EEF" w:rsidRDefault="00A71EEF">
      <w:pPr>
        <w:pStyle w:val="a3"/>
        <w:spacing w:before="12"/>
        <w:rPr>
          <w:sz w:val="17"/>
        </w:rPr>
      </w:pPr>
    </w:p>
    <w:p w14:paraId="74D3B6C7" w14:textId="77777777" w:rsidR="00A71EEF" w:rsidRDefault="0081115D">
      <w:pPr>
        <w:pStyle w:val="a3"/>
        <w:ind w:left="418"/>
        <w:jc w:val="both"/>
      </w:pPr>
      <w:r>
        <w:t>《建筑设计防火规范》</w:t>
      </w:r>
      <w:r>
        <w:t xml:space="preserve">GB </w:t>
      </w:r>
      <w:r>
        <w:t xml:space="preserve">50016 </w:t>
      </w:r>
      <w:r>
        <w:t>的规定。</w:t>
      </w:r>
      <w:r>
        <w:t xml:space="preserve"> </w:t>
      </w:r>
    </w:p>
    <w:p w14:paraId="7917DD9C" w14:textId="77777777" w:rsidR="00A71EEF" w:rsidRDefault="00A71EEF">
      <w:pPr>
        <w:pStyle w:val="a3"/>
        <w:spacing w:before="2"/>
        <w:rPr>
          <w:sz w:val="18"/>
        </w:rPr>
      </w:pPr>
    </w:p>
    <w:p w14:paraId="239DAA7A" w14:textId="77777777" w:rsidR="00A71EEF" w:rsidRDefault="0081115D">
      <w:pPr>
        <w:pStyle w:val="a4"/>
        <w:numPr>
          <w:ilvl w:val="1"/>
          <w:numId w:val="480"/>
        </w:numPr>
        <w:tabs>
          <w:tab w:val="left" w:pos="1159"/>
        </w:tabs>
        <w:spacing w:line="446" w:lineRule="auto"/>
        <w:ind w:left="418" w:right="1604" w:firstLine="422"/>
        <w:jc w:val="both"/>
        <w:rPr>
          <w:sz w:val="21"/>
        </w:rPr>
      </w:pPr>
      <w:r>
        <w:rPr>
          <w:spacing w:val="-3"/>
          <w:sz w:val="21"/>
        </w:rPr>
        <w:t>三、四级耐火等级建筑之间的相邻外墙宜采用不燃烧实体墙，相连建筑的分户墙应采用不燃烧实体墙。建筑的屋顶宜采用不燃材料，当采用可燃材料时，不燃烧体分户墙应高出屋</w:t>
      </w:r>
      <w:r>
        <w:rPr>
          <w:spacing w:val="-13"/>
          <w:sz w:val="21"/>
        </w:rPr>
        <w:t>顶不小于</w:t>
      </w:r>
      <w:r>
        <w:rPr>
          <w:spacing w:val="-13"/>
          <w:sz w:val="21"/>
        </w:rPr>
        <w:t xml:space="preserve"> </w:t>
      </w:r>
      <w:r>
        <w:rPr>
          <w:sz w:val="21"/>
        </w:rPr>
        <w:t>0.5m</w:t>
      </w:r>
      <w:r>
        <w:rPr>
          <w:spacing w:val="-3"/>
          <w:sz w:val="21"/>
        </w:rPr>
        <w:t>。</w:t>
      </w:r>
      <w:r>
        <w:rPr>
          <w:sz w:val="21"/>
        </w:rPr>
        <w:t xml:space="preserve"> </w:t>
      </w:r>
    </w:p>
    <w:p w14:paraId="72A1C716" w14:textId="77777777" w:rsidR="00A71EEF" w:rsidRDefault="0081115D">
      <w:pPr>
        <w:pStyle w:val="a4"/>
        <w:numPr>
          <w:ilvl w:val="1"/>
          <w:numId w:val="480"/>
        </w:numPr>
        <w:tabs>
          <w:tab w:val="left" w:pos="1160"/>
        </w:tabs>
        <w:spacing w:line="268" w:lineRule="exact"/>
        <w:ind w:left="1159" w:hanging="320"/>
        <w:jc w:val="both"/>
        <w:rPr>
          <w:sz w:val="21"/>
        </w:rPr>
      </w:pPr>
      <w:r>
        <w:rPr>
          <w:spacing w:val="-6"/>
          <w:sz w:val="21"/>
        </w:rPr>
        <w:t>住宿与生产、储存、经营合用场所应符合本规范附录</w:t>
      </w:r>
      <w:r>
        <w:rPr>
          <w:spacing w:val="-6"/>
          <w:sz w:val="21"/>
        </w:rPr>
        <w:t xml:space="preserve"> </w:t>
      </w:r>
      <w:r>
        <w:rPr>
          <w:sz w:val="21"/>
        </w:rPr>
        <w:t>A</w:t>
      </w:r>
      <w:r>
        <w:rPr>
          <w:spacing w:val="-10"/>
          <w:sz w:val="21"/>
        </w:rPr>
        <w:t xml:space="preserve"> </w:t>
      </w:r>
      <w:r>
        <w:rPr>
          <w:spacing w:val="-10"/>
          <w:sz w:val="21"/>
        </w:rPr>
        <w:t>的相关规定。</w:t>
      </w:r>
      <w:r>
        <w:rPr>
          <w:sz w:val="21"/>
        </w:rPr>
        <w:t xml:space="preserve"> </w:t>
      </w:r>
    </w:p>
    <w:p w14:paraId="435F7CBF" w14:textId="77777777" w:rsidR="00A71EEF" w:rsidRDefault="00A71EEF">
      <w:pPr>
        <w:pStyle w:val="a3"/>
        <w:rPr>
          <w:sz w:val="18"/>
        </w:rPr>
      </w:pPr>
    </w:p>
    <w:p w14:paraId="414178A3" w14:textId="77777777" w:rsidR="00A71EEF" w:rsidRDefault="0081115D">
      <w:pPr>
        <w:pStyle w:val="a4"/>
        <w:numPr>
          <w:ilvl w:val="1"/>
          <w:numId w:val="480"/>
        </w:numPr>
        <w:tabs>
          <w:tab w:val="left" w:pos="1159"/>
        </w:tabs>
        <w:spacing w:line="446" w:lineRule="auto"/>
        <w:ind w:left="418" w:right="1551" w:firstLine="422"/>
        <w:rPr>
          <w:sz w:val="21"/>
        </w:rPr>
      </w:pPr>
      <w:r>
        <w:rPr>
          <w:spacing w:val="-5"/>
          <w:sz w:val="21"/>
        </w:rPr>
        <w:t>一、二级耐火等级建筑之间或与其他耐火等级建筑之间的防火间距不宜小于</w:t>
      </w:r>
      <w:r>
        <w:rPr>
          <w:spacing w:val="-5"/>
          <w:sz w:val="21"/>
        </w:rPr>
        <w:t xml:space="preserve"> </w:t>
      </w:r>
      <w:r>
        <w:rPr>
          <w:sz w:val="21"/>
        </w:rPr>
        <w:t>4m</w:t>
      </w:r>
      <w:r>
        <w:rPr>
          <w:sz w:val="21"/>
        </w:rPr>
        <w:t>，当符</w:t>
      </w:r>
      <w:r>
        <w:rPr>
          <w:spacing w:val="-3"/>
          <w:sz w:val="21"/>
        </w:rPr>
        <w:t>合下列要求时，其防火间距可相应减小：</w:t>
      </w:r>
      <w:r>
        <w:rPr>
          <w:sz w:val="21"/>
        </w:rPr>
        <w:t xml:space="preserve"> </w:t>
      </w:r>
    </w:p>
    <w:p w14:paraId="07BDE979" w14:textId="77777777" w:rsidR="00A71EEF" w:rsidRDefault="0081115D">
      <w:pPr>
        <w:pStyle w:val="a3"/>
        <w:spacing w:line="446" w:lineRule="auto"/>
        <w:ind w:left="418" w:right="1609" w:firstLine="419"/>
      </w:pPr>
      <w:r>
        <w:rPr>
          <w:spacing w:val="-3"/>
        </w:rPr>
        <w:t>相邻的两座一、二级耐火等级的建筑，当较高一座建筑的相邻外墙为防火墙且屋顶不设置</w:t>
      </w:r>
      <w:r>
        <w:rPr>
          <w:spacing w:val="-6"/>
        </w:rPr>
        <w:t>天窗、屋顶承重构件及屋面板的耐火极限不低于</w:t>
      </w:r>
      <w:r>
        <w:rPr>
          <w:spacing w:val="-6"/>
        </w:rPr>
        <w:t xml:space="preserve"> </w:t>
      </w:r>
      <w:r>
        <w:t>1.00h</w:t>
      </w:r>
      <w:r>
        <w:rPr>
          <w:spacing w:val="-9"/>
        </w:rPr>
        <w:t xml:space="preserve"> </w:t>
      </w:r>
      <w:r>
        <w:rPr>
          <w:spacing w:val="-9"/>
        </w:rPr>
        <w:t>时，防火间距不限；</w:t>
      </w:r>
      <w:r>
        <w:t xml:space="preserve"> </w:t>
      </w:r>
    </w:p>
    <w:p w14:paraId="1BB27BC9" w14:textId="77777777" w:rsidR="00A71EEF" w:rsidRDefault="0081115D">
      <w:pPr>
        <w:pStyle w:val="a3"/>
        <w:spacing w:line="446" w:lineRule="auto"/>
        <w:ind w:left="418" w:right="1609" w:firstLine="419"/>
      </w:pPr>
      <w:r>
        <w:rPr>
          <w:spacing w:val="-3"/>
        </w:rPr>
        <w:t>相邻的两座一、二级耐火等级的建筑，当较低一座建筑的相邻外墙为防火墙且屋顶不设置</w:t>
      </w:r>
      <w:r>
        <w:rPr>
          <w:spacing w:val="-6"/>
        </w:rPr>
        <w:t>天窗、屋顶承重构件及屋面板的耐火极限不低于</w:t>
      </w:r>
      <w:r>
        <w:rPr>
          <w:spacing w:val="-6"/>
        </w:rPr>
        <w:t xml:space="preserve"> </w:t>
      </w:r>
      <w:r>
        <w:t>1.00h</w:t>
      </w:r>
      <w:r>
        <w:rPr>
          <w:spacing w:val="-9"/>
        </w:rPr>
        <w:t xml:space="preserve"> </w:t>
      </w:r>
      <w:r>
        <w:rPr>
          <w:spacing w:val="-9"/>
        </w:rPr>
        <w:t>时，防火间距不限；</w:t>
      </w:r>
      <w:r>
        <w:t xml:space="preserve"> </w:t>
      </w:r>
    </w:p>
    <w:p w14:paraId="294383AB" w14:textId="77777777" w:rsidR="00A71EEF" w:rsidRDefault="00A71EEF">
      <w:pPr>
        <w:spacing w:line="446" w:lineRule="auto"/>
        <w:sectPr w:rsidR="00A71EEF">
          <w:pgSz w:w="11910" w:h="16850"/>
          <w:pgMar w:top="1220" w:right="0" w:bottom="1420" w:left="1260" w:header="0" w:footer="1239" w:gutter="0"/>
          <w:cols w:space="720"/>
        </w:sectPr>
      </w:pPr>
    </w:p>
    <w:p w14:paraId="1E1F130F" w14:textId="77777777" w:rsidR="00A71EEF" w:rsidRDefault="0081115D">
      <w:pPr>
        <w:pStyle w:val="a3"/>
        <w:spacing w:before="47" w:line="446" w:lineRule="auto"/>
        <w:ind w:left="418" w:right="1558" w:firstLine="419"/>
        <w:jc w:val="both"/>
      </w:pPr>
      <w:r>
        <w:rPr>
          <w:spacing w:val="-4"/>
        </w:rPr>
        <w:t>当建筑相邻外墙上的门窗洞口面积之和小于等于该外墙面积的</w:t>
      </w:r>
      <w:r>
        <w:rPr>
          <w:spacing w:val="-4"/>
        </w:rPr>
        <w:t xml:space="preserve"> </w:t>
      </w:r>
      <w:r>
        <w:t>10</w:t>
      </w:r>
      <w:r>
        <w:rPr>
          <w:spacing w:val="-3"/>
        </w:rPr>
        <w:t>％且不正对开设时，建筑</w:t>
      </w:r>
      <w:r>
        <w:rPr>
          <w:spacing w:val="-8"/>
        </w:rPr>
        <w:t>之间的防火间距可减少为</w:t>
      </w:r>
      <w:r>
        <w:rPr>
          <w:spacing w:val="-8"/>
        </w:rPr>
        <w:t xml:space="preserve"> </w:t>
      </w:r>
      <w:r>
        <w:t>2m</w:t>
      </w:r>
      <w:r>
        <w:t>；</w:t>
      </w:r>
      <w:r>
        <w:t xml:space="preserve"> </w:t>
      </w:r>
    </w:p>
    <w:p w14:paraId="292AFB6B" w14:textId="77777777" w:rsidR="00A71EEF" w:rsidRDefault="0081115D">
      <w:pPr>
        <w:pStyle w:val="a4"/>
        <w:numPr>
          <w:ilvl w:val="1"/>
          <w:numId w:val="480"/>
        </w:numPr>
        <w:tabs>
          <w:tab w:val="left" w:pos="1160"/>
        </w:tabs>
        <w:spacing w:line="446" w:lineRule="auto"/>
        <w:ind w:left="418" w:right="1553" w:firstLine="422"/>
        <w:jc w:val="both"/>
        <w:rPr>
          <w:sz w:val="21"/>
        </w:rPr>
      </w:pPr>
      <w:r>
        <w:rPr>
          <w:spacing w:val="-5"/>
          <w:sz w:val="21"/>
        </w:rPr>
        <w:t>三、四级耐火等级建筑之间的防火间距不宜小于</w:t>
      </w:r>
      <w:r>
        <w:rPr>
          <w:spacing w:val="-5"/>
          <w:sz w:val="21"/>
        </w:rPr>
        <w:t xml:space="preserve"> </w:t>
      </w:r>
      <w:r>
        <w:rPr>
          <w:sz w:val="21"/>
        </w:rPr>
        <w:t>6m</w:t>
      </w:r>
      <w:r>
        <w:rPr>
          <w:spacing w:val="-3"/>
          <w:sz w:val="21"/>
        </w:rPr>
        <w:t>。当建筑相邻外墙为不燃烧体，墙</w:t>
      </w:r>
      <w:r>
        <w:rPr>
          <w:spacing w:val="-4"/>
          <w:sz w:val="21"/>
        </w:rPr>
        <w:t>上的门窗洞口面积之和小于等于该外墙面积的</w:t>
      </w:r>
      <w:r>
        <w:rPr>
          <w:spacing w:val="-4"/>
          <w:sz w:val="21"/>
        </w:rPr>
        <w:t xml:space="preserve"> </w:t>
      </w:r>
      <w:r>
        <w:rPr>
          <w:sz w:val="21"/>
        </w:rPr>
        <w:t>10</w:t>
      </w:r>
      <w:r>
        <w:rPr>
          <w:spacing w:val="-3"/>
          <w:sz w:val="21"/>
        </w:rPr>
        <w:t>％且不正对开设时，建筑之间的防火间距可为</w:t>
      </w:r>
      <w:r>
        <w:rPr>
          <w:spacing w:val="-3"/>
          <w:sz w:val="21"/>
        </w:rPr>
        <w:t>4m</w:t>
      </w:r>
      <w:r>
        <w:rPr>
          <w:spacing w:val="-3"/>
          <w:sz w:val="21"/>
        </w:rPr>
        <w:t>。</w:t>
      </w:r>
      <w:r>
        <w:rPr>
          <w:sz w:val="21"/>
        </w:rPr>
        <w:t xml:space="preserve"> </w:t>
      </w:r>
    </w:p>
    <w:p w14:paraId="70FC10F5" w14:textId="77777777" w:rsidR="00A71EEF" w:rsidRDefault="0081115D">
      <w:pPr>
        <w:pStyle w:val="a4"/>
        <w:numPr>
          <w:ilvl w:val="1"/>
          <w:numId w:val="480"/>
        </w:numPr>
        <w:tabs>
          <w:tab w:val="left" w:pos="1159"/>
        </w:tabs>
        <w:spacing w:line="268" w:lineRule="exact"/>
        <w:ind w:hanging="319"/>
        <w:rPr>
          <w:sz w:val="21"/>
        </w:rPr>
      </w:pPr>
      <w:r>
        <w:rPr>
          <w:spacing w:val="-3"/>
          <w:sz w:val="21"/>
        </w:rPr>
        <w:t>既有建筑密集区的防火间距不满足要求时，应采取下列措施：</w:t>
      </w:r>
      <w:r>
        <w:rPr>
          <w:sz w:val="21"/>
        </w:rPr>
        <w:t xml:space="preserve"> </w:t>
      </w:r>
    </w:p>
    <w:p w14:paraId="11238616" w14:textId="77777777" w:rsidR="00A71EEF" w:rsidRDefault="00A71EEF">
      <w:pPr>
        <w:pStyle w:val="a3"/>
        <w:spacing w:before="3"/>
        <w:rPr>
          <w:sz w:val="17"/>
        </w:rPr>
      </w:pPr>
    </w:p>
    <w:p w14:paraId="1ADBAFDE" w14:textId="77777777" w:rsidR="00A71EEF" w:rsidRDefault="0081115D">
      <w:pPr>
        <w:pStyle w:val="a3"/>
        <w:spacing w:line="446" w:lineRule="auto"/>
        <w:ind w:left="418" w:right="1548" w:firstLine="419"/>
      </w:pPr>
      <w:r>
        <w:t>耐火等级较高的建筑密集区，占地面积不应超过</w:t>
      </w:r>
      <w:r>
        <w:t xml:space="preserve"> 5000m</w:t>
      </w:r>
      <w:r>
        <w:rPr>
          <w:position w:val="11"/>
          <w:sz w:val="11"/>
        </w:rPr>
        <w:t>2</w:t>
      </w:r>
      <w:r>
        <w:t>；当超过时，应在密集区内设置宽度不小于</w:t>
      </w:r>
      <w:r>
        <w:t xml:space="preserve"> 6m </w:t>
      </w:r>
      <w:r>
        <w:t>的防火隔离带进行防火分隔；</w:t>
      </w:r>
      <w:r>
        <w:t xml:space="preserve"> </w:t>
      </w:r>
    </w:p>
    <w:p w14:paraId="78F6A220" w14:textId="77777777" w:rsidR="00A71EEF" w:rsidRDefault="0081115D">
      <w:pPr>
        <w:pStyle w:val="a3"/>
        <w:spacing w:line="446" w:lineRule="auto"/>
        <w:ind w:left="418" w:right="1548" w:firstLine="419"/>
      </w:pPr>
      <w:r>
        <w:t>耐火等级较低的建筑密集区，占地面积不应超过</w:t>
      </w:r>
      <w:r>
        <w:t xml:space="preserve"> 3000m</w:t>
      </w:r>
      <w:r>
        <w:rPr>
          <w:position w:val="11"/>
          <w:sz w:val="11"/>
        </w:rPr>
        <w:t>2</w:t>
      </w:r>
      <w:r>
        <w:t>；当超过时，应在密集区内设置宽度不小于</w:t>
      </w:r>
      <w:r>
        <w:t xml:space="preserve"> 10m </w:t>
      </w:r>
      <w:r>
        <w:t>的防火隔离带进行防火分隔。</w:t>
      </w:r>
      <w:r>
        <w:t xml:space="preserve"> </w:t>
      </w:r>
    </w:p>
    <w:p w14:paraId="28B69498" w14:textId="77777777" w:rsidR="00A71EEF" w:rsidRDefault="0081115D">
      <w:pPr>
        <w:pStyle w:val="a4"/>
        <w:numPr>
          <w:ilvl w:val="1"/>
          <w:numId w:val="480"/>
        </w:numPr>
        <w:tabs>
          <w:tab w:val="left" w:pos="1159"/>
        </w:tabs>
        <w:spacing w:line="446" w:lineRule="auto"/>
        <w:ind w:left="418" w:right="1604" w:firstLine="422"/>
        <w:rPr>
          <w:sz w:val="21"/>
        </w:rPr>
      </w:pPr>
      <w:r>
        <w:rPr>
          <w:spacing w:val="-3"/>
          <w:sz w:val="21"/>
        </w:rPr>
        <w:t>存放柴草等材料和农具、农用物资的库房，宜独立建造；与其他用途房间合建时，应采用不燃烧实体墙隔开。</w:t>
      </w:r>
      <w:r>
        <w:rPr>
          <w:sz w:val="21"/>
        </w:rPr>
        <w:t xml:space="preserve"> </w:t>
      </w:r>
    </w:p>
    <w:p w14:paraId="7F6F6581" w14:textId="77777777" w:rsidR="00A71EEF" w:rsidRDefault="0081115D">
      <w:pPr>
        <w:pStyle w:val="a4"/>
        <w:numPr>
          <w:ilvl w:val="1"/>
          <w:numId w:val="480"/>
        </w:numPr>
        <w:tabs>
          <w:tab w:val="left" w:pos="1159"/>
        </w:tabs>
        <w:spacing w:line="446" w:lineRule="auto"/>
        <w:ind w:left="418" w:right="1553" w:firstLine="422"/>
        <w:rPr>
          <w:sz w:val="21"/>
        </w:rPr>
      </w:pPr>
      <w:r>
        <w:rPr>
          <w:spacing w:val="-3"/>
          <w:sz w:val="21"/>
        </w:rPr>
        <w:t>建筑物的其他防火要求应符合现行国家标准《建筑设计防火规范》</w:t>
      </w:r>
      <w:r>
        <w:rPr>
          <w:sz w:val="21"/>
        </w:rPr>
        <w:t>GB</w:t>
      </w:r>
      <w:r>
        <w:rPr>
          <w:spacing w:val="14"/>
          <w:sz w:val="21"/>
        </w:rPr>
        <w:t xml:space="preserve"> </w:t>
      </w:r>
      <w:r>
        <w:rPr>
          <w:sz w:val="21"/>
        </w:rPr>
        <w:t>50016</w:t>
      </w:r>
      <w:r>
        <w:rPr>
          <w:spacing w:val="-11"/>
          <w:sz w:val="21"/>
        </w:rPr>
        <w:t xml:space="preserve"> </w:t>
      </w:r>
      <w:r>
        <w:rPr>
          <w:spacing w:val="-11"/>
          <w:sz w:val="21"/>
        </w:rPr>
        <w:t>等的相关</w:t>
      </w:r>
      <w:r>
        <w:rPr>
          <w:spacing w:val="-9"/>
          <w:sz w:val="21"/>
        </w:rPr>
        <w:t>要求。</w:t>
      </w:r>
      <w:r>
        <w:rPr>
          <w:sz w:val="21"/>
        </w:rPr>
        <w:t xml:space="preserve"> </w:t>
      </w:r>
    </w:p>
    <w:p w14:paraId="6F960158" w14:textId="77777777" w:rsidR="00A71EEF" w:rsidRDefault="0081115D">
      <w:pPr>
        <w:pStyle w:val="4"/>
        <w:spacing w:line="275" w:lineRule="exact"/>
      </w:pPr>
      <w:r>
        <w:t xml:space="preserve">5 </w:t>
      </w:r>
      <w:r>
        <w:t>消防设施</w:t>
      </w:r>
      <w:r>
        <w:rPr>
          <w:w w:val="99"/>
        </w:rPr>
        <w:t xml:space="preserve"> </w:t>
      </w:r>
    </w:p>
    <w:p w14:paraId="68BE73FE" w14:textId="77777777" w:rsidR="00A71EEF" w:rsidRDefault="0081115D">
      <w:pPr>
        <w:pStyle w:val="a4"/>
        <w:numPr>
          <w:ilvl w:val="1"/>
          <w:numId w:val="479"/>
        </w:numPr>
        <w:tabs>
          <w:tab w:val="left" w:pos="1159"/>
        </w:tabs>
        <w:spacing w:before="212" w:line="446" w:lineRule="auto"/>
        <w:ind w:right="1813" w:firstLine="422"/>
        <w:rPr>
          <w:sz w:val="21"/>
        </w:rPr>
      </w:pPr>
      <w:r>
        <w:rPr>
          <w:spacing w:val="-3"/>
          <w:sz w:val="21"/>
        </w:rPr>
        <w:t>农村应根据规模、区域条件、经济发展状况及火灾危险性等因素设置消防站和消防点。</w:t>
      </w:r>
      <w:r>
        <w:rPr>
          <w:sz w:val="21"/>
        </w:rPr>
        <w:t xml:space="preserve"> </w:t>
      </w:r>
    </w:p>
    <w:p w14:paraId="6D74CE2F" w14:textId="77777777" w:rsidR="00A71EEF" w:rsidRDefault="0081115D">
      <w:pPr>
        <w:pStyle w:val="a4"/>
        <w:numPr>
          <w:ilvl w:val="1"/>
          <w:numId w:val="479"/>
        </w:numPr>
        <w:tabs>
          <w:tab w:val="left" w:pos="1160"/>
        </w:tabs>
        <w:spacing w:line="267" w:lineRule="exact"/>
        <w:ind w:left="1159" w:hanging="320"/>
        <w:rPr>
          <w:sz w:val="21"/>
        </w:rPr>
      </w:pPr>
      <w:r>
        <w:rPr>
          <w:spacing w:val="-3"/>
          <w:sz w:val="21"/>
        </w:rPr>
        <w:t>消防站的建设和装备配备可按有关消防站建设标准执行。</w:t>
      </w:r>
      <w:r>
        <w:rPr>
          <w:sz w:val="21"/>
        </w:rPr>
        <w:t xml:space="preserve"> </w:t>
      </w:r>
    </w:p>
    <w:p w14:paraId="3516C508" w14:textId="77777777" w:rsidR="00A71EEF" w:rsidRDefault="00A71EEF">
      <w:pPr>
        <w:pStyle w:val="a3"/>
        <w:spacing w:before="2"/>
        <w:rPr>
          <w:sz w:val="18"/>
        </w:rPr>
      </w:pPr>
    </w:p>
    <w:p w14:paraId="4591835F" w14:textId="77777777" w:rsidR="00A71EEF" w:rsidRDefault="0081115D">
      <w:pPr>
        <w:pStyle w:val="a4"/>
        <w:numPr>
          <w:ilvl w:val="1"/>
          <w:numId w:val="479"/>
        </w:numPr>
        <w:tabs>
          <w:tab w:val="left" w:pos="1159"/>
        </w:tabs>
        <w:ind w:left="1158" w:hanging="319"/>
        <w:rPr>
          <w:sz w:val="21"/>
        </w:rPr>
      </w:pPr>
      <w:r>
        <w:rPr>
          <w:spacing w:val="-3"/>
          <w:sz w:val="21"/>
        </w:rPr>
        <w:t>消防点的设置应满足以下要求：</w:t>
      </w:r>
      <w:r>
        <w:rPr>
          <w:sz w:val="21"/>
        </w:rPr>
        <w:t xml:space="preserve"> </w:t>
      </w:r>
    </w:p>
    <w:p w14:paraId="7A69A794" w14:textId="77777777" w:rsidR="00A71EEF" w:rsidRDefault="00A71EEF">
      <w:pPr>
        <w:pStyle w:val="a3"/>
        <w:rPr>
          <w:sz w:val="18"/>
        </w:rPr>
      </w:pPr>
    </w:p>
    <w:p w14:paraId="424ED153" w14:textId="77777777" w:rsidR="00A71EEF" w:rsidRDefault="0081115D">
      <w:pPr>
        <w:pStyle w:val="a4"/>
        <w:numPr>
          <w:ilvl w:val="0"/>
          <w:numId w:val="478"/>
        </w:numPr>
        <w:tabs>
          <w:tab w:val="left" w:pos="1367"/>
        </w:tabs>
        <w:rPr>
          <w:b/>
          <w:sz w:val="21"/>
        </w:rPr>
      </w:pPr>
      <w:r>
        <w:rPr>
          <w:spacing w:val="-3"/>
          <w:sz w:val="21"/>
        </w:rPr>
        <w:t>有固定的地点和房屋建筑，并有明显标识；</w:t>
      </w:r>
      <w:r>
        <w:rPr>
          <w:b/>
          <w:w w:val="99"/>
          <w:sz w:val="21"/>
        </w:rPr>
        <w:t xml:space="preserve"> </w:t>
      </w:r>
    </w:p>
    <w:p w14:paraId="64C14108" w14:textId="77777777" w:rsidR="00A71EEF" w:rsidRDefault="00A71EEF">
      <w:pPr>
        <w:pStyle w:val="a3"/>
        <w:spacing w:before="12"/>
        <w:rPr>
          <w:b/>
          <w:sz w:val="17"/>
        </w:rPr>
      </w:pPr>
    </w:p>
    <w:p w14:paraId="64E8AE9D" w14:textId="77777777" w:rsidR="00A71EEF" w:rsidRDefault="0081115D">
      <w:pPr>
        <w:pStyle w:val="a4"/>
        <w:numPr>
          <w:ilvl w:val="0"/>
          <w:numId w:val="478"/>
        </w:numPr>
        <w:tabs>
          <w:tab w:val="left" w:pos="1367"/>
        </w:tabs>
        <w:rPr>
          <w:b/>
          <w:sz w:val="21"/>
        </w:rPr>
      </w:pPr>
      <w:r>
        <w:rPr>
          <w:spacing w:val="-3"/>
          <w:sz w:val="21"/>
        </w:rPr>
        <w:t>配备消防车、手抬机动泵、水枪、水带、灭火器、破拆工具等全部或部分消防装备；</w:t>
      </w:r>
      <w:r>
        <w:rPr>
          <w:b/>
          <w:w w:val="99"/>
          <w:sz w:val="21"/>
        </w:rPr>
        <w:t xml:space="preserve"> </w:t>
      </w:r>
    </w:p>
    <w:p w14:paraId="4D7FADA7" w14:textId="77777777" w:rsidR="00A71EEF" w:rsidRDefault="00A71EEF">
      <w:pPr>
        <w:pStyle w:val="a3"/>
        <w:spacing w:before="2"/>
        <w:rPr>
          <w:b/>
          <w:sz w:val="18"/>
        </w:rPr>
      </w:pPr>
    </w:p>
    <w:p w14:paraId="3635B9BC" w14:textId="77777777" w:rsidR="00A71EEF" w:rsidRDefault="0081115D">
      <w:pPr>
        <w:pStyle w:val="a4"/>
        <w:numPr>
          <w:ilvl w:val="0"/>
          <w:numId w:val="478"/>
        </w:numPr>
        <w:tabs>
          <w:tab w:val="left" w:pos="1367"/>
        </w:tabs>
        <w:rPr>
          <w:b/>
          <w:sz w:val="21"/>
        </w:rPr>
      </w:pPr>
      <w:r>
        <w:rPr>
          <w:spacing w:val="-3"/>
          <w:sz w:val="21"/>
        </w:rPr>
        <w:t>设置火警电话和值班人员；</w:t>
      </w:r>
      <w:r>
        <w:rPr>
          <w:b/>
          <w:w w:val="99"/>
          <w:sz w:val="21"/>
        </w:rPr>
        <w:t xml:space="preserve"> </w:t>
      </w:r>
    </w:p>
    <w:p w14:paraId="46232183" w14:textId="77777777" w:rsidR="00A71EEF" w:rsidRDefault="00A71EEF">
      <w:pPr>
        <w:pStyle w:val="a3"/>
        <w:spacing w:before="12"/>
        <w:rPr>
          <w:b/>
          <w:sz w:val="17"/>
        </w:rPr>
      </w:pPr>
    </w:p>
    <w:p w14:paraId="4CC96B9E" w14:textId="77777777" w:rsidR="00A71EEF" w:rsidRDefault="0081115D">
      <w:pPr>
        <w:pStyle w:val="a4"/>
        <w:numPr>
          <w:ilvl w:val="0"/>
          <w:numId w:val="478"/>
        </w:numPr>
        <w:tabs>
          <w:tab w:val="left" w:pos="1367"/>
        </w:tabs>
        <w:rPr>
          <w:b/>
          <w:sz w:val="21"/>
        </w:rPr>
      </w:pPr>
      <w:r>
        <w:rPr>
          <w:spacing w:val="-3"/>
          <w:sz w:val="21"/>
        </w:rPr>
        <w:t>有专职、义务或志愿消防队员；</w:t>
      </w:r>
      <w:r>
        <w:rPr>
          <w:b/>
          <w:w w:val="99"/>
          <w:sz w:val="21"/>
        </w:rPr>
        <w:t xml:space="preserve"> </w:t>
      </w:r>
    </w:p>
    <w:p w14:paraId="66325BBF" w14:textId="77777777" w:rsidR="00A71EEF" w:rsidRDefault="00A71EEF">
      <w:pPr>
        <w:pStyle w:val="a3"/>
        <w:rPr>
          <w:b/>
          <w:sz w:val="18"/>
        </w:rPr>
      </w:pPr>
    </w:p>
    <w:p w14:paraId="34F695F0" w14:textId="77777777" w:rsidR="00A71EEF" w:rsidRDefault="0081115D">
      <w:pPr>
        <w:pStyle w:val="a4"/>
        <w:numPr>
          <w:ilvl w:val="0"/>
          <w:numId w:val="478"/>
        </w:numPr>
        <w:tabs>
          <w:tab w:val="left" w:pos="1367"/>
        </w:tabs>
        <w:rPr>
          <w:b/>
          <w:sz w:val="21"/>
        </w:rPr>
      </w:pPr>
      <w:r>
        <w:rPr>
          <w:spacing w:val="-3"/>
          <w:sz w:val="21"/>
        </w:rPr>
        <w:t>寒冷地区采取保温措施。</w:t>
      </w:r>
      <w:r>
        <w:rPr>
          <w:b/>
          <w:w w:val="99"/>
          <w:sz w:val="21"/>
        </w:rPr>
        <w:t xml:space="preserve"> </w:t>
      </w:r>
    </w:p>
    <w:p w14:paraId="72E2F313" w14:textId="77777777" w:rsidR="00A71EEF" w:rsidRDefault="00A71EEF">
      <w:pPr>
        <w:pStyle w:val="a3"/>
        <w:spacing w:before="2"/>
        <w:rPr>
          <w:b/>
          <w:sz w:val="18"/>
        </w:rPr>
      </w:pPr>
    </w:p>
    <w:p w14:paraId="07940668" w14:textId="77777777" w:rsidR="00A71EEF" w:rsidRDefault="0081115D">
      <w:pPr>
        <w:pStyle w:val="a4"/>
        <w:numPr>
          <w:ilvl w:val="1"/>
          <w:numId w:val="479"/>
        </w:numPr>
        <w:tabs>
          <w:tab w:val="left" w:pos="1159"/>
        </w:tabs>
        <w:spacing w:line="446" w:lineRule="auto"/>
        <w:ind w:right="1604" w:firstLine="422"/>
        <w:rPr>
          <w:sz w:val="21"/>
        </w:rPr>
      </w:pPr>
      <w:r>
        <w:rPr>
          <w:spacing w:val="-3"/>
          <w:sz w:val="21"/>
        </w:rPr>
        <w:t>农村应充分利用满足一定灭火要求的农用车、洒水车、灌溉机动泵等农用设施作为消防装备的补充。</w:t>
      </w:r>
      <w:r>
        <w:rPr>
          <w:sz w:val="21"/>
        </w:rPr>
        <w:t xml:space="preserve"> </w:t>
      </w:r>
    </w:p>
    <w:p w14:paraId="54C689D7" w14:textId="77777777" w:rsidR="00A71EEF" w:rsidRDefault="0081115D">
      <w:pPr>
        <w:pStyle w:val="a4"/>
        <w:numPr>
          <w:ilvl w:val="1"/>
          <w:numId w:val="479"/>
        </w:numPr>
        <w:tabs>
          <w:tab w:val="left" w:pos="1160"/>
        </w:tabs>
        <w:spacing w:line="267" w:lineRule="exact"/>
        <w:ind w:left="1159" w:hanging="320"/>
        <w:rPr>
          <w:sz w:val="21"/>
        </w:rPr>
      </w:pPr>
      <w:r>
        <w:rPr>
          <w:spacing w:val="-3"/>
          <w:sz w:val="21"/>
        </w:rPr>
        <w:t>农村应设置消防水源。消防水源应由给水管网、天然水源或消防水池供给。</w:t>
      </w:r>
      <w:r>
        <w:rPr>
          <w:spacing w:val="-3"/>
          <w:sz w:val="21"/>
        </w:rPr>
        <w:t xml:space="preserve"> </w:t>
      </w:r>
    </w:p>
    <w:p w14:paraId="5FA2D093" w14:textId="77777777" w:rsidR="00A71EEF" w:rsidRDefault="00A71EEF">
      <w:pPr>
        <w:spacing w:line="267" w:lineRule="exact"/>
        <w:rPr>
          <w:sz w:val="21"/>
        </w:rPr>
        <w:sectPr w:rsidR="00A71EEF">
          <w:pgSz w:w="11910" w:h="16850"/>
          <w:pgMar w:top="1220" w:right="0" w:bottom="1420" w:left="1260" w:header="0" w:footer="1239" w:gutter="0"/>
          <w:cols w:space="720"/>
        </w:sectPr>
      </w:pPr>
    </w:p>
    <w:p w14:paraId="04287E95" w14:textId="77777777" w:rsidR="00A71EEF" w:rsidRDefault="0081115D">
      <w:pPr>
        <w:pStyle w:val="a4"/>
        <w:numPr>
          <w:ilvl w:val="1"/>
          <w:numId w:val="479"/>
        </w:numPr>
        <w:tabs>
          <w:tab w:val="left" w:pos="1159"/>
        </w:tabs>
        <w:spacing w:before="47" w:line="446" w:lineRule="auto"/>
        <w:ind w:right="1604" w:firstLine="422"/>
        <w:rPr>
          <w:sz w:val="21"/>
        </w:rPr>
      </w:pPr>
      <w:r>
        <w:rPr>
          <w:spacing w:val="-3"/>
          <w:sz w:val="21"/>
        </w:rPr>
        <w:t>具备给水管网条件的农村，应设室外消防给水系统。消防给水系统宜与生产、生活给水系统合用，并应满足消防供水的要求。</w:t>
      </w:r>
      <w:r>
        <w:rPr>
          <w:sz w:val="21"/>
        </w:rPr>
        <w:t xml:space="preserve"> </w:t>
      </w:r>
    </w:p>
    <w:p w14:paraId="208CD22D" w14:textId="77777777" w:rsidR="00A71EEF" w:rsidRDefault="0081115D">
      <w:pPr>
        <w:pStyle w:val="a3"/>
        <w:spacing w:line="446" w:lineRule="auto"/>
        <w:ind w:left="418" w:right="1609" w:firstLine="419"/>
      </w:pPr>
      <w:r>
        <w:t>不具备给水管网条件或室外消防给水系统不符合消防供水要求的农村，应建设消防水池或利用天然水源。</w:t>
      </w:r>
      <w:r>
        <w:t xml:space="preserve"> </w:t>
      </w:r>
    </w:p>
    <w:p w14:paraId="5567DD17" w14:textId="77777777" w:rsidR="00A71EEF" w:rsidRDefault="0081115D">
      <w:pPr>
        <w:pStyle w:val="a4"/>
        <w:numPr>
          <w:ilvl w:val="1"/>
          <w:numId w:val="479"/>
        </w:numPr>
        <w:tabs>
          <w:tab w:val="left" w:pos="1160"/>
        </w:tabs>
        <w:ind w:left="1159" w:hanging="320"/>
        <w:rPr>
          <w:sz w:val="21"/>
        </w:rPr>
      </w:pPr>
      <w:r>
        <w:rPr>
          <w:spacing w:val="-3"/>
          <w:sz w:val="21"/>
        </w:rPr>
        <w:t>室外消防给水管道和室外消火栓的设置应符合下列要求：</w:t>
      </w:r>
      <w:r>
        <w:rPr>
          <w:sz w:val="21"/>
        </w:rPr>
        <w:t xml:space="preserve"> </w:t>
      </w:r>
    </w:p>
    <w:p w14:paraId="0C99A5E8" w14:textId="77777777" w:rsidR="00A71EEF" w:rsidRDefault="00A71EEF">
      <w:pPr>
        <w:pStyle w:val="a3"/>
        <w:spacing w:before="10"/>
        <w:rPr>
          <w:sz w:val="17"/>
        </w:rPr>
      </w:pPr>
    </w:p>
    <w:p w14:paraId="7D7E73FE" w14:textId="77777777" w:rsidR="00A71EEF" w:rsidRDefault="0081115D">
      <w:pPr>
        <w:pStyle w:val="a4"/>
        <w:numPr>
          <w:ilvl w:val="0"/>
          <w:numId w:val="477"/>
        </w:numPr>
        <w:tabs>
          <w:tab w:val="left" w:pos="1367"/>
        </w:tabs>
        <w:spacing w:line="446" w:lineRule="auto"/>
        <w:ind w:right="1560" w:firstLine="419"/>
        <w:jc w:val="both"/>
        <w:rPr>
          <w:sz w:val="21"/>
        </w:rPr>
      </w:pPr>
      <w:r>
        <w:rPr>
          <w:spacing w:val="-3"/>
          <w:sz w:val="21"/>
        </w:rPr>
        <w:t>当村庄在消防站（点</w:t>
      </w:r>
      <w:r>
        <w:rPr>
          <w:sz w:val="21"/>
        </w:rPr>
        <w:t>）</w:t>
      </w:r>
      <w:r>
        <w:rPr>
          <w:spacing w:val="-4"/>
          <w:sz w:val="21"/>
        </w:rPr>
        <w:t>的保护范围内时，室外消火栓栓口的压力不应低于</w:t>
      </w:r>
      <w:r>
        <w:rPr>
          <w:spacing w:val="-4"/>
          <w:sz w:val="21"/>
        </w:rPr>
        <w:t xml:space="preserve"> </w:t>
      </w:r>
      <w:r>
        <w:rPr>
          <w:sz w:val="21"/>
        </w:rPr>
        <w:t>0.1MP</w:t>
      </w:r>
      <w:r>
        <w:rPr>
          <w:spacing w:val="-2"/>
          <w:sz w:val="21"/>
        </w:rPr>
        <w:t>；当</w:t>
      </w:r>
      <w:r>
        <w:rPr>
          <w:spacing w:val="-3"/>
          <w:sz w:val="21"/>
        </w:rPr>
        <w:t>村庄不在消防站</w:t>
      </w:r>
      <w:r>
        <w:rPr>
          <w:sz w:val="21"/>
        </w:rPr>
        <w:t>（</w:t>
      </w:r>
      <w:r>
        <w:rPr>
          <w:spacing w:val="-3"/>
          <w:sz w:val="21"/>
        </w:rPr>
        <w:t>点</w:t>
      </w:r>
      <w:r>
        <w:rPr>
          <w:sz w:val="21"/>
        </w:rPr>
        <w:t>）</w:t>
      </w:r>
      <w:r>
        <w:rPr>
          <w:spacing w:val="-3"/>
          <w:sz w:val="21"/>
        </w:rPr>
        <w:t>保护范围内时，室外消火栓应满足其保护半径内建筑最不利点灭火的压力和流量的要求；</w:t>
      </w:r>
      <w:r>
        <w:rPr>
          <w:sz w:val="21"/>
        </w:rPr>
        <w:t xml:space="preserve"> </w:t>
      </w:r>
    </w:p>
    <w:p w14:paraId="7734D8BF" w14:textId="77777777" w:rsidR="00A71EEF" w:rsidRDefault="0081115D">
      <w:pPr>
        <w:pStyle w:val="a4"/>
        <w:numPr>
          <w:ilvl w:val="0"/>
          <w:numId w:val="477"/>
        </w:numPr>
        <w:tabs>
          <w:tab w:val="left" w:pos="1367"/>
        </w:tabs>
        <w:spacing w:line="268" w:lineRule="exact"/>
        <w:ind w:left="1367"/>
        <w:jc w:val="both"/>
        <w:rPr>
          <w:sz w:val="21"/>
        </w:rPr>
      </w:pPr>
      <w:r>
        <w:rPr>
          <w:spacing w:val="-7"/>
          <w:sz w:val="21"/>
        </w:rPr>
        <w:t>消防给水管道的管径不宜小于</w:t>
      </w:r>
      <w:r>
        <w:rPr>
          <w:spacing w:val="-7"/>
          <w:sz w:val="21"/>
        </w:rPr>
        <w:t xml:space="preserve"> </w:t>
      </w:r>
      <w:r>
        <w:rPr>
          <w:sz w:val="21"/>
        </w:rPr>
        <w:t>100mm</w:t>
      </w:r>
      <w:r>
        <w:rPr>
          <w:sz w:val="21"/>
        </w:rPr>
        <w:t>；</w:t>
      </w:r>
      <w:r>
        <w:rPr>
          <w:sz w:val="21"/>
        </w:rPr>
        <w:t xml:space="preserve"> </w:t>
      </w:r>
    </w:p>
    <w:p w14:paraId="416C12CB" w14:textId="77777777" w:rsidR="00A71EEF" w:rsidRDefault="00A71EEF">
      <w:pPr>
        <w:pStyle w:val="a3"/>
        <w:spacing w:before="2"/>
        <w:rPr>
          <w:sz w:val="18"/>
        </w:rPr>
      </w:pPr>
    </w:p>
    <w:p w14:paraId="6A19D5E0" w14:textId="77777777" w:rsidR="00A71EEF" w:rsidRDefault="0081115D">
      <w:pPr>
        <w:pStyle w:val="a4"/>
        <w:numPr>
          <w:ilvl w:val="0"/>
          <w:numId w:val="477"/>
        </w:numPr>
        <w:tabs>
          <w:tab w:val="left" w:pos="1367"/>
        </w:tabs>
        <w:ind w:left="1367"/>
        <w:rPr>
          <w:sz w:val="21"/>
        </w:rPr>
      </w:pPr>
      <w:r>
        <w:rPr>
          <w:spacing w:val="-3"/>
          <w:sz w:val="21"/>
        </w:rPr>
        <w:t>消防给水管道的埋设深度应根据气候条件、外部荷载、管材性能等因素确定；</w:t>
      </w:r>
      <w:r>
        <w:rPr>
          <w:sz w:val="21"/>
        </w:rPr>
        <w:t xml:space="preserve"> </w:t>
      </w:r>
    </w:p>
    <w:p w14:paraId="7C2EF44C" w14:textId="77777777" w:rsidR="00A71EEF" w:rsidRDefault="00A71EEF">
      <w:pPr>
        <w:pStyle w:val="a3"/>
        <w:rPr>
          <w:sz w:val="18"/>
        </w:rPr>
      </w:pPr>
    </w:p>
    <w:p w14:paraId="305F0677" w14:textId="77777777" w:rsidR="00A71EEF" w:rsidRDefault="0081115D">
      <w:pPr>
        <w:pStyle w:val="a4"/>
        <w:numPr>
          <w:ilvl w:val="0"/>
          <w:numId w:val="477"/>
        </w:numPr>
        <w:tabs>
          <w:tab w:val="left" w:pos="1367"/>
        </w:tabs>
        <w:spacing w:line="446" w:lineRule="auto"/>
        <w:ind w:right="1455" w:firstLine="419"/>
        <w:rPr>
          <w:sz w:val="21"/>
        </w:rPr>
      </w:pPr>
      <w:r>
        <w:rPr>
          <w:spacing w:val="-5"/>
          <w:sz w:val="21"/>
        </w:rPr>
        <w:t>室外消火栓间距不宜大于</w:t>
      </w:r>
      <w:r>
        <w:rPr>
          <w:spacing w:val="-5"/>
          <w:sz w:val="21"/>
        </w:rPr>
        <w:t xml:space="preserve"> </w:t>
      </w:r>
      <w:r>
        <w:rPr>
          <w:sz w:val="21"/>
        </w:rPr>
        <w:t>120m</w:t>
      </w:r>
      <w:r>
        <w:rPr>
          <w:spacing w:val="-3"/>
          <w:sz w:val="21"/>
        </w:rPr>
        <w:t>；三、四级耐火等级建筑较多的农村，室外消火栓间距</w:t>
      </w:r>
      <w:r>
        <w:rPr>
          <w:spacing w:val="-13"/>
          <w:sz w:val="21"/>
        </w:rPr>
        <w:t>不宜大于</w:t>
      </w:r>
      <w:r>
        <w:rPr>
          <w:spacing w:val="-13"/>
          <w:sz w:val="21"/>
        </w:rPr>
        <w:t xml:space="preserve"> </w:t>
      </w:r>
      <w:r>
        <w:rPr>
          <w:sz w:val="21"/>
        </w:rPr>
        <w:t>60m</w:t>
      </w:r>
      <w:r>
        <w:rPr>
          <w:sz w:val="21"/>
        </w:rPr>
        <w:t>；</w:t>
      </w:r>
      <w:r>
        <w:rPr>
          <w:sz w:val="21"/>
        </w:rPr>
        <w:t xml:space="preserve"> </w:t>
      </w:r>
    </w:p>
    <w:p w14:paraId="4887CAA3" w14:textId="77777777" w:rsidR="00A71EEF" w:rsidRDefault="0081115D">
      <w:pPr>
        <w:pStyle w:val="a4"/>
        <w:numPr>
          <w:ilvl w:val="0"/>
          <w:numId w:val="477"/>
        </w:numPr>
        <w:tabs>
          <w:tab w:val="left" w:pos="1367"/>
        </w:tabs>
        <w:spacing w:line="446" w:lineRule="auto"/>
        <w:ind w:right="1505" w:firstLine="419"/>
        <w:rPr>
          <w:sz w:val="21"/>
        </w:rPr>
      </w:pPr>
      <w:r>
        <w:rPr>
          <w:spacing w:val="-3"/>
          <w:sz w:val="21"/>
        </w:rPr>
        <w:t>寒冷地区的室外消火栓应采取防冻措施，或采用地下消火栓、消防水鹤或将室外消火栓设在室内；</w:t>
      </w:r>
      <w:r>
        <w:rPr>
          <w:sz w:val="21"/>
        </w:rPr>
        <w:t xml:space="preserve"> </w:t>
      </w:r>
    </w:p>
    <w:p w14:paraId="1C75AD07" w14:textId="77777777" w:rsidR="00A71EEF" w:rsidRDefault="0081115D">
      <w:pPr>
        <w:pStyle w:val="a4"/>
        <w:numPr>
          <w:ilvl w:val="0"/>
          <w:numId w:val="477"/>
        </w:numPr>
        <w:tabs>
          <w:tab w:val="left" w:pos="1367"/>
        </w:tabs>
        <w:spacing w:line="446" w:lineRule="auto"/>
        <w:ind w:left="840" w:right="1920" w:hanging="3"/>
        <w:rPr>
          <w:sz w:val="21"/>
        </w:rPr>
      </w:pPr>
      <w:r>
        <w:rPr>
          <w:spacing w:val="-5"/>
          <w:sz w:val="21"/>
        </w:rPr>
        <w:t>室外消火栓应沿道路设置，并宜靠近十字路口，与房屋外墙距离不宜小于</w:t>
      </w:r>
      <w:r>
        <w:rPr>
          <w:spacing w:val="-5"/>
          <w:sz w:val="21"/>
        </w:rPr>
        <w:t xml:space="preserve"> </w:t>
      </w:r>
      <w:r>
        <w:rPr>
          <w:sz w:val="21"/>
        </w:rPr>
        <w:t>2m</w:t>
      </w:r>
      <w:r>
        <w:rPr>
          <w:spacing w:val="-3"/>
          <w:sz w:val="21"/>
        </w:rPr>
        <w:t>。</w:t>
      </w:r>
      <w:r>
        <w:rPr>
          <w:b/>
          <w:sz w:val="21"/>
        </w:rPr>
        <w:t>5.8</w:t>
      </w:r>
      <w:r>
        <w:rPr>
          <w:b/>
          <w:spacing w:val="20"/>
          <w:sz w:val="21"/>
        </w:rPr>
        <w:t xml:space="preserve"> </w:t>
      </w:r>
      <w:r>
        <w:rPr>
          <w:spacing w:val="-3"/>
          <w:sz w:val="21"/>
        </w:rPr>
        <w:t>江河、湖泊、水塘、水井、水窖等天然水源</w:t>
      </w:r>
      <w:r>
        <w:rPr>
          <w:spacing w:val="-3"/>
          <w:sz w:val="21"/>
        </w:rPr>
        <w:t>作为消防水源时，应符合下列要求：</w:t>
      </w:r>
      <w:r>
        <w:rPr>
          <w:sz w:val="21"/>
        </w:rPr>
        <w:t xml:space="preserve"> </w:t>
      </w:r>
    </w:p>
    <w:p w14:paraId="697BA8E7" w14:textId="77777777" w:rsidR="00A71EEF" w:rsidRDefault="0081115D">
      <w:pPr>
        <w:pStyle w:val="a4"/>
        <w:numPr>
          <w:ilvl w:val="0"/>
          <w:numId w:val="476"/>
        </w:numPr>
        <w:tabs>
          <w:tab w:val="left" w:pos="1367"/>
        </w:tabs>
        <w:rPr>
          <w:sz w:val="21"/>
        </w:rPr>
      </w:pPr>
      <w:r>
        <w:rPr>
          <w:spacing w:val="-3"/>
          <w:sz w:val="21"/>
        </w:rPr>
        <w:t>能保证枯水期和冬季的消防用水；</w:t>
      </w:r>
      <w:r>
        <w:rPr>
          <w:sz w:val="21"/>
        </w:rPr>
        <w:t xml:space="preserve"> </w:t>
      </w:r>
    </w:p>
    <w:p w14:paraId="480B8B12" w14:textId="77777777" w:rsidR="00A71EEF" w:rsidRDefault="00A71EEF">
      <w:pPr>
        <w:pStyle w:val="a3"/>
        <w:spacing w:before="10"/>
        <w:rPr>
          <w:sz w:val="17"/>
        </w:rPr>
      </w:pPr>
    </w:p>
    <w:p w14:paraId="7DE3139E" w14:textId="77777777" w:rsidR="00A71EEF" w:rsidRDefault="0081115D">
      <w:pPr>
        <w:pStyle w:val="a4"/>
        <w:numPr>
          <w:ilvl w:val="0"/>
          <w:numId w:val="476"/>
        </w:numPr>
        <w:tabs>
          <w:tab w:val="left" w:pos="1367"/>
        </w:tabs>
        <w:rPr>
          <w:sz w:val="21"/>
        </w:rPr>
      </w:pPr>
      <w:r>
        <w:rPr>
          <w:spacing w:val="-3"/>
          <w:sz w:val="21"/>
        </w:rPr>
        <w:t>应防止被可燃液体污染；</w:t>
      </w:r>
      <w:r>
        <w:rPr>
          <w:sz w:val="21"/>
        </w:rPr>
        <w:t xml:space="preserve"> </w:t>
      </w:r>
    </w:p>
    <w:p w14:paraId="0B748BB0" w14:textId="77777777" w:rsidR="00A71EEF" w:rsidRDefault="00A71EEF">
      <w:pPr>
        <w:pStyle w:val="a3"/>
        <w:spacing w:before="2"/>
        <w:rPr>
          <w:sz w:val="18"/>
        </w:rPr>
      </w:pPr>
    </w:p>
    <w:p w14:paraId="111F9903" w14:textId="77777777" w:rsidR="00A71EEF" w:rsidRDefault="0081115D">
      <w:pPr>
        <w:pStyle w:val="a4"/>
        <w:numPr>
          <w:ilvl w:val="0"/>
          <w:numId w:val="476"/>
        </w:numPr>
        <w:tabs>
          <w:tab w:val="left" w:pos="1367"/>
        </w:tabs>
        <w:rPr>
          <w:sz w:val="21"/>
        </w:rPr>
      </w:pPr>
      <w:r>
        <w:rPr>
          <w:spacing w:val="-3"/>
          <w:sz w:val="21"/>
        </w:rPr>
        <w:t>有取水码头及通向取水码头的消防车道；</w:t>
      </w:r>
      <w:r>
        <w:rPr>
          <w:sz w:val="21"/>
        </w:rPr>
        <w:t xml:space="preserve"> </w:t>
      </w:r>
    </w:p>
    <w:p w14:paraId="043DB2CE" w14:textId="77777777" w:rsidR="00A71EEF" w:rsidRDefault="00A71EEF">
      <w:pPr>
        <w:pStyle w:val="a3"/>
        <w:rPr>
          <w:sz w:val="18"/>
        </w:rPr>
      </w:pPr>
    </w:p>
    <w:p w14:paraId="4E012A7A" w14:textId="77777777" w:rsidR="00A71EEF" w:rsidRDefault="0081115D">
      <w:pPr>
        <w:pStyle w:val="a4"/>
        <w:numPr>
          <w:ilvl w:val="0"/>
          <w:numId w:val="476"/>
        </w:numPr>
        <w:tabs>
          <w:tab w:val="left" w:pos="1367"/>
        </w:tabs>
        <w:spacing w:line="446" w:lineRule="auto"/>
        <w:ind w:left="840" w:right="3241" w:hanging="3"/>
        <w:rPr>
          <w:sz w:val="21"/>
        </w:rPr>
      </w:pPr>
      <w:r>
        <w:rPr>
          <w:spacing w:val="-5"/>
          <w:sz w:val="21"/>
        </w:rPr>
        <w:t>供消防车取水的天然水源，最低水位时吸水高度不应超过</w:t>
      </w:r>
      <w:r>
        <w:rPr>
          <w:spacing w:val="-5"/>
          <w:sz w:val="21"/>
        </w:rPr>
        <w:t xml:space="preserve"> </w:t>
      </w:r>
      <w:r>
        <w:rPr>
          <w:sz w:val="21"/>
        </w:rPr>
        <w:t>6.0m</w:t>
      </w:r>
      <w:r>
        <w:rPr>
          <w:spacing w:val="-3"/>
          <w:sz w:val="21"/>
        </w:rPr>
        <w:t>。</w:t>
      </w:r>
      <w:r>
        <w:rPr>
          <w:b/>
          <w:sz w:val="21"/>
        </w:rPr>
        <w:t xml:space="preserve">5.9 </w:t>
      </w:r>
      <w:r>
        <w:rPr>
          <w:spacing w:val="-3"/>
          <w:sz w:val="21"/>
        </w:rPr>
        <w:t>消防水池应符合下列要求：</w:t>
      </w:r>
      <w:r>
        <w:rPr>
          <w:sz w:val="21"/>
        </w:rPr>
        <w:t xml:space="preserve"> </w:t>
      </w:r>
    </w:p>
    <w:p w14:paraId="1DC77984" w14:textId="77777777" w:rsidR="00A71EEF" w:rsidRDefault="0081115D">
      <w:pPr>
        <w:pStyle w:val="a4"/>
        <w:numPr>
          <w:ilvl w:val="0"/>
          <w:numId w:val="475"/>
        </w:numPr>
        <w:tabs>
          <w:tab w:val="left" w:pos="1367"/>
        </w:tabs>
        <w:spacing w:line="269" w:lineRule="exact"/>
        <w:rPr>
          <w:sz w:val="21"/>
        </w:rPr>
      </w:pPr>
      <w:r>
        <w:rPr>
          <w:spacing w:val="-11"/>
          <w:sz w:val="21"/>
        </w:rPr>
        <w:t>容量不宜小于</w:t>
      </w:r>
      <w:r>
        <w:rPr>
          <w:spacing w:val="-11"/>
          <w:sz w:val="21"/>
        </w:rPr>
        <w:t xml:space="preserve"> </w:t>
      </w:r>
      <w:r>
        <w:rPr>
          <w:sz w:val="21"/>
        </w:rPr>
        <w:t>100m</w:t>
      </w:r>
      <w:r>
        <w:rPr>
          <w:position w:val="11"/>
          <w:sz w:val="11"/>
        </w:rPr>
        <w:t>3</w:t>
      </w:r>
      <w:r>
        <w:rPr>
          <w:spacing w:val="-5"/>
          <w:sz w:val="21"/>
        </w:rPr>
        <w:t>。建筑耐火等级较低的村庄，消防水池的容量不宜小于</w:t>
      </w:r>
      <w:r>
        <w:rPr>
          <w:spacing w:val="-5"/>
          <w:sz w:val="21"/>
        </w:rPr>
        <w:t xml:space="preserve"> </w:t>
      </w:r>
      <w:r>
        <w:rPr>
          <w:sz w:val="21"/>
        </w:rPr>
        <w:t>200m</w:t>
      </w:r>
      <w:r>
        <w:rPr>
          <w:position w:val="11"/>
          <w:sz w:val="11"/>
        </w:rPr>
        <w:t>3</w:t>
      </w:r>
      <w:r>
        <w:rPr>
          <w:sz w:val="21"/>
        </w:rPr>
        <w:t>；</w:t>
      </w:r>
      <w:r>
        <w:rPr>
          <w:sz w:val="21"/>
        </w:rPr>
        <w:t xml:space="preserve"> </w:t>
      </w:r>
    </w:p>
    <w:p w14:paraId="088D85B6" w14:textId="77777777" w:rsidR="00A71EEF" w:rsidRDefault="00A71EEF">
      <w:pPr>
        <w:pStyle w:val="a3"/>
        <w:spacing w:before="12"/>
        <w:rPr>
          <w:sz w:val="17"/>
        </w:rPr>
      </w:pPr>
    </w:p>
    <w:p w14:paraId="384F58E8" w14:textId="77777777" w:rsidR="00A71EEF" w:rsidRDefault="0081115D">
      <w:pPr>
        <w:pStyle w:val="a4"/>
        <w:numPr>
          <w:ilvl w:val="0"/>
          <w:numId w:val="475"/>
        </w:numPr>
        <w:tabs>
          <w:tab w:val="left" w:pos="1367"/>
        </w:tabs>
        <w:rPr>
          <w:sz w:val="21"/>
        </w:rPr>
      </w:pPr>
      <w:r>
        <w:rPr>
          <w:spacing w:val="-3"/>
          <w:sz w:val="21"/>
        </w:rPr>
        <w:t>应采取保证消防用水不作他用的技术措施；</w:t>
      </w:r>
      <w:r>
        <w:rPr>
          <w:sz w:val="21"/>
        </w:rPr>
        <w:t xml:space="preserve"> </w:t>
      </w:r>
    </w:p>
    <w:p w14:paraId="57128230" w14:textId="77777777" w:rsidR="00A71EEF" w:rsidRDefault="00A71EEF">
      <w:pPr>
        <w:pStyle w:val="a3"/>
        <w:spacing w:before="12"/>
        <w:rPr>
          <w:sz w:val="17"/>
        </w:rPr>
      </w:pPr>
    </w:p>
    <w:p w14:paraId="7C195755" w14:textId="77777777" w:rsidR="00A71EEF" w:rsidRDefault="0081115D">
      <w:pPr>
        <w:pStyle w:val="a4"/>
        <w:numPr>
          <w:ilvl w:val="0"/>
          <w:numId w:val="475"/>
        </w:numPr>
        <w:tabs>
          <w:tab w:val="left" w:pos="1367"/>
        </w:tabs>
        <w:rPr>
          <w:sz w:val="21"/>
        </w:rPr>
      </w:pPr>
      <w:r>
        <w:rPr>
          <w:spacing w:val="-3"/>
          <w:sz w:val="21"/>
        </w:rPr>
        <w:t>宜建在地势较高处。供消防车或机动消防泵取水的消防水池应设取水口，且不宜少于</w:t>
      </w:r>
    </w:p>
    <w:p w14:paraId="7338474B" w14:textId="77777777" w:rsidR="00A71EEF" w:rsidRDefault="00A71EEF">
      <w:pPr>
        <w:pStyle w:val="a3"/>
        <w:spacing w:before="2"/>
        <w:rPr>
          <w:sz w:val="18"/>
        </w:rPr>
      </w:pPr>
    </w:p>
    <w:p w14:paraId="51140C58" w14:textId="77777777" w:rsidR="00A71EEF" w:rsidRDefault="0081115D">
      <w:pPr>
        <w:pStyle w:val="a4"/>
        <w:numPr>
          <w:ilvl w:val="0"/>
          <w:numId w:val="485"/>
        </w:numPr>
        <w:tabs>
          <w:tab w:val="left" w:pos="577"/>
        </w:tabs>
        <w:ind w:left="576" w:hanging="159"/>
        <w:rPr>
          <w:sz w:val="21"/>
        </w:rPr>
      </w:pPr>
      <w:r>
        <w:rPr>
          <w:spacing w:val="-6"/>
          <w:sz w:val="21"/>
        </w:rPr>
        <w:t>处；水池池底距设计地面的高度不应超过</w:t>
      </w:r>
      <w:r>
        <w:rPr>
          <w:spacing w:val="-6"/>
          <w:sz w:val="21"/>
        </w:rPr>
        <w:t xml:space="preserve"> </w:t>
      </w:r>
      <w:r>
        <w:rPr>
          <w:sz w:val="21"/>
        </w:rPr>
        <w:t>6.0m</w:t>
      </w:r>
      <w:r>
        <w:rPr>
          <w:sz w:val="21"/>
        </w:rPr>
        <w:t>；</w:t>
      </w:r>
      <w:r>
        <w:rPr>
          <w:sz w:val="21"/>
        </w:rPr>
        <w:t xml:space="preserve"> </w:t>
      </w:r>
    </w:p>
    <w:p w14:paraId="092A6ECE" w14:textId="77777777" w:rsidR="00A71EEF" w:rsidRDefault="00A71EEF">
      <w:pPr>
        <w:pStyle w:val="a3"/>
        <w:rPr>
          <w:sz w:val="18"/>
        </w:rPr>
      </w:pPr>
    </w:p>
    <w:p w14:paraId="3BE9785A" w14:textId="77777777" w:rsidR="00A71EEF" w:rsidRDefault="0081115D">
      <w:pPr>
        <w:pStyle w:val="a4"/>
        <w:numPr>
          <w:ilvl w:val="0"/>
          <w:numId w:val="475"/>
        </w:numPr>
        <w:tabs>
          <w:tab w:val="left" w:pos="1367"/>
        </w:tabs>
        <w:rPr>
          <w:sz w:val="21"/>
        </w:rPr>
      </w:pPr>
      <w:r>
        <w:rPr>
          <w:spacing w:val="-9"/>
          <w:sz w:val="21"/>
        </w:rPr>
        <w:t>保护半径不宜大于</w:t>
      </w:r>
      <w:r>
        <w:rPr>
          <w:spacing w:val="-9"/>
          <w:sz w:val="21"/>
        </w:rPr>
        <w:t xml:space="preserve"> </w:t>
      </w:r>
      <w:r>
        <w:rPr>
          <w:sz w:val="21"/>
        </w:rPr>
        <w:t>150m</w:t>
      </w:r>
      <w:r>
        <w:rPr>
          <w:sz w:val="21"/>
        </w:rPr>
        <w:t>；</w:t>
      </w:r>
      <w:r>
        <w:rPr>
          <w:sz w:val="21"/>
        </w:rPr>
        <w:t xml:space="preserve"> </w:t>
      </w:r>
    </w:p>
    <w:p w14:paraId="06BAF249" w14:textId="77777777" w:rsidR="00A71EEF" w:rsidRDefault="00A71EEF">
      <w:pPr>
        <w:pStyle w:val="a3"/>
        <w:rPr>
          <w:sz w:val="18"/>
        </w:rPr>
      </w:pPr>
    </w:p>
    <w:p w14:paraId="4CED88FA" w14:textId="77777777" w:rsidR="00A71EEF" w:rsidRDefault="0081115D">
      <w:pPr>
        <w:pStyle w:val="a4"/>
        <w:numPr>
          <w:ilvl w:val="0"/>
          <w:numId w:val="475"/>
        </w:numPr>
        <w:tabs>
          <w:tab w:val="left" w:pos="1367"/>
        </w:tabs>
        <w:rPr>
          <w:sz w:val="21"/>
        </w:rPr>
      </w:pPr>
      <w:r>
        <w:rPr>
          <w:spacing w:val="-19"/>
          <w:sz w:val="21"/>
        </w:rPr>
        <w:t>设有</w:t>
      </w:r>
      <w:r>
        <w:rPr>
          <w:spacing w:val="-19"/>
          <w:sz w:val="21"/>
        </w:rPr>
        <w:t xml:space="preserve"> </w:t>
      </w:r>
      <w:r>
        <w:rPr>
          <w:sz w:val="21"/>
        </w:rPr>
        <w:t>2</w:t>
      </w:r>
      <w:r>
        <w:rPr>
          <w:spacing w:val="-8"/>
          <w:sz w:val="21"/>
        </w:rPr>
        <w:t xml:space="preserve"> </w:t>
      </w:r>
      <w:r>
        <w:rPr>
          <w:spacing w:val="-8"/>
          <w:sz w:val="21"/>
        </w:rPr>
        <w:t>个及以上消防水池时，宜分散布置；</w:t>
      </w:r>
      <w:r>
        <w:rPr>
          <w:sz w:val="21"/>
        </w:rPr>
        <w:t xml:space="preserve"> </w:t>
      </w:r>
    </w:p>
    <w:p w14:paraId="4FACA9F9" w14:textId="77777777" w:rsidR="00A71EEF" w:rsidRDefault="00A71EEF">
      <w:pPr>
        <w:pStyle w:val="a3"/>
        <w:spacing w:before="2"/>
        <w:rPr>
          <w:sz w:val="18"/>
        </w:rPr>
      </w:pPr>
    </w:p>
    <w:p w14:paraId="2E01966A" w14:textId="77777777" w:rsidR="00A71EEF" w:rsidRDefault="0081115D">
      <w:pPr>
        <w:pStyle w:val="a4"/>
        <w:numPr>
          <w:ilvl w:val="0"/>
          <w:numId w:val="475"/>
        </w:numPr>
        <w:tabs>
          <w:tab w:val="left" w:pos="1367"/>
        </w:tabs>
        <w:rPr>
          <w:sz w:val="21"/>
        </w:rPr>
      </w:pPr>
      <w:r>
        <w:rPr>
          <w:spacing w:val="-3"/>
          <w:sz w:val="21"/>
        </w:rPr>
        <w:t>寒冷和严寒地区的消防水池应采取防冻措施。</w:t>
      </w:r>
      <w:r>
        <w:rPr>
          <w:sz w:val="21"/>
        </w:rPr>
        <w:t xml:space="preserve"> </w:t>
      </w:r>
    </w:p>
    <w:p w14:paraId="0DF43C00" w14:textId="77777777" w:rsidR="00A71EEF" w:rsidRDefault="00A71EEF">
      <w:pPr>
        <w:rPr>
          <w:sz w:val="21"/>
        </w:rPr>
        <w:sectPr w:rsidR="00A71EEF">
          <w:pgSz w:w="11910" w:h="16850"/>
          <w:pgMar w:top="1220" w:right="0" w:bottom="1420" w:left="1260" w:header="0" w:footer="1239" w:gutter="0"/>
          <w:cols w:space="720"/>
        </w:sectPr>
      </w:pPr>
    </w:p>
    <w:p w14:paraId="6DAE7728" w14:textId="77777777" w:rsidR="00A71EEF" w:rsidRDefault="0081115D">
      <w:pPr>
        <w:pStyle w:val="a4"/>
        <w:numPr>
          <w:ilvl w:val="1"/>
          <w:numId w:val="474"/>
        </w:numPr>
        <w:tabs>
          <w:tab w:val="left" w:pos="1266"/>
        </w:tabs>
        <w:spacing w:before="47"/>
        <w:ind w:hanging="426"/>
        <w:rPr>
          <w:sz w:val="21"/>
        </w:rPr>
      </w:pPr>
      <w:r>
        <w:rPr>
          <w:spacing w:val="-3"/>
          <w:sz w:val="21"/>
        </w:rPr>
        <w:t>缺水地区宜设置雨水收集池等储存消防用水的蓄水设施。</w:t>
      </w:r>
      <w:r>
        <w:rPr>
          <w:sz w:val="21"/>
        </w:rPr>
        <w:t xml:space="preserve"> </w:t>
      </w:r>
    </w:p>
    <w:p w14:paraId="591E2B59" w14:textId="77777777" w:rsidR="00A71EEF" w:rsidRDefault="00A71EEF">
      <w:pPr>
        <w:pStyle w:val="a3"/>
        <w:rPr>
          <w:sz w:val="18"/>
        </w:rPr>
      </w:pPr>
    </w:p>
    <w:p w14:paraId="7571CBDF" w14:textId="77777777" w:rsidR="00A71EEF" w:rsidRDefault="0081115D">
      <w:pPr>
        <w:pStyle w:val="a4"/>
        <w:numPr>
          <w:ilvl w:val="1"/>
          <w:numId w:val="474"/>
        </w:numPr>
        <w:tabs>
          <w:tab w:val="left" w:pos="1266"/>
        </w:tabs>
        <w:spacing w:line="446" w:lineRule="auto"/>
        <w:ind w:left="418" w:right="1813" w:firstLine="422"/>
        <w:rPr>
          <w:sz w:val="21"/>
        </w:rPr>
      </w:pPr>
      <w:r>
        <w:rPr>
          <w:spacing w:val="-3"/>
          <w:sz w:val="21"/>
        </w:rPr>
        <w:t>农村应根据给水管网、消防水池或天然水源等消防水源的形式，配备相应的消防车、机动消防泵、水带、水枪等消防设施。</w:t>
      </w:r>
      <w:r>
        <w:rPr>
          <w:sz w:val="21"/>
        </w:rPr>
        <w:t xml:space="preserve"> </w:t>
      </w:r>
    </w:p>
    <w:p w14:paraId="29A72259" w14:textId="77777777" w:rsidR="00A71EEF" w:rsidRDefault="0081115D">
      <w:pPr>
        <w:pStyle w:val="a4"/>
        <w:numPr>
          <w:ilvl w:val="1"/>
          <w:numId w:val="474"/>
        </w:numPr>
        <w:tabs>
          <w:tab w:val="left" w:pos="1266"/>
        </w:tabs>
        <w:spacing w:line="446" w:lineRule="auto"/>
        <w:ind w:left="418" w:right="1500" w:firstLine="422"/>
        <w:rPr>
          <w:sz w:val="21"/>
        </w:rPr>
      </w:pPr>
      <w:r>
        <w:rPr>
          <w:spacing w:val="-7"/>
          <w:sz w:val="21"/>
        </w:rPr>
        <w:t>机动消防泵应储存不小于</w:t>
      </w:r>
      <w:r>
        <w:rPr>
          <w:spacing w:val="-7"/>
          <w:sz w:val="21"/>
        </w:rPr>
        <w:t xml:space="preserve"> </w:t>
      </w:r>
      <w:r>
        <w:rPr>
          <w:sz w:val="21"/>
        </w:rPr>
        <w:t>3.0h</w:t>
      </w:r>
      <w:r>
        <w:rPr>
          <w:spacing w:val="-10"/>
          <w:sz w:val="21"/>
        </w:rPr>
        <w:t xml:space="preserve"> </w:t>
      </w:r>
      <w:r>
        <w:rPr>
          <w:spacing w:val="-10"/>
          <w:sz w:val="21"/>
        </w:rPr>
        <w:t>的燃油总用量，每台泵至少应配置总长不小于</w:t>
      </w:r>
      <w:r>
        <w:rPr>
          <w:spacing w:val="-10"/>
          <w:sz w:val="21"/>
        </w:rPr>
        <w:t xml:space="preserve"> </w:t>
      </w:r>
      <w:r>
        <w:rPr>
          <w:sz w:val="21"/>
        </w:rPr>
        <w:t>150m</w:t>
      </w:r>
      <w:r>
        <w:rPr>
          <w:spacing w:val="-25"/>
          <w:sz w:val="21"/>
        </w:rPr>
        <w:t xml:space="preserve"> </w:t>
      </w:r>
      <w:r>
        <w:rPr>
          <w:spacing w:val="-25"/>
          <w:sz w:val="21"/>
        </w:rPr>
        <w:t>的</w:t>
      </w:r>
      <w:r>
        <w:rPr>
          <w:spacing w:val="-21"/>
          <w:sz w:val="21"/>
        </w:rPr>
        <w:t>水带和</w:t>
      </w:r>
      <w:r>
        <w:rPr>
          <w:spacing w:val="-21"/>
          <w:sz w:val="21"/>
        </w:rPr>
        <w:t xml:space="preserve"> </w:t>
      </w:r>
      <w:r>
        <w:rPr>
          <w:sz w:val="21"/>
        </w:rPr>
        <w:t>2</w:t>
      </w:r>
      <w:r>
        <w:rPr>
          <w:spacing w:val="-13"/>
          <w:sz w:val="21"/>
        </w:rPr>
        <w:t xml:space="preserve"> </w:t>
      </w:r>
      <w:r>
        <w:rPr>
          <w:spacing w:val="-13"/>
          <w:sz w:val="21"/>
        </w:rPr>
        <w:t>支水枪。</w:t>
      </w:r>
      <w:r>
        <w:rPr>
          <w:sz w:val="21"/>
        </w:rPr>
        <w:t xml:space="preserve"> </w:t>
      </w:r>
    </w:p>
    <w:p w14:paraId="0BDD7F63" w14:textId="77777777" w:rsidR="00A71EEF" w:rsidRDefault="0081115D">
      <w:pPr>
        <w:pStyle w:val="a4"/>
        <w:numPr>
          <w:ilvl w:val="1"/>
          <w:numId w:val="474"/>
        </w:numPr>
        <w:tabs>
          <w:tab w:val="left" w:pos="1266"/>
        </w:tabs>
        <w:spacing w:line="446" w:lineRule="auto"/>
        <w:ind w:left="418" w:right="1604" w:firstLine="422"/>
        <w:rPr>
          <w:sz w:val="21"/>
        </w:rPr>
      </w:pPr>
      <w:r>
        <w:rPr>
          <w:spacing w:val="-3"/>
          <w:sz w:val="21"/>
        </w:rPr>
        <w:t>农村应设火灾报警电话。农村消防站与城市消防指挥中心、供水、供电、供气等部门应有可靠的通信联络方式。</w:t>
      </w:r>
      <w:r>
        <w:rPr>
          <w:sz w:val="21"/>
        </w:rPr>
        <w:t xml:space="preserve"> </w:t>
      </w:r>
    </w:p>
    <w:p w14:paraId="4B6C9E47" w14:textId="77777777" w:rsidR="00A71EEF" w:rsidRDefault="0081115D">
      <w:pPr>
        <w:pStyle w:val="a4"/>
        <w:numPr>
          <w:ilvl w:val="1"/>
          <w:numId w:val="474"/>
        </w:numPr>
        <w:tabs>
          <w:tab w:val="left" w:pos="1264"/>
        </w:tabs>
        <w:spacing w:line="446" w:lineRule="auto"/>
        <w:ind w:left="418" w:right="1498" w:firstLine="422"/>
        <w:rPr>
          <w:sz w:val="21"/>
        </w:rPr>
      </w:pPr>
      <w:r>
        <w:rPr>
          <w:spacing w:val="-3"/>
          <w:sz w:val="21"/>
        </w:rPr>
        <w:t>农村未设消防站</w:t>
      </w:r>
      <w:r>
        <w:rPr>
          <w:sz w:val="21"/>
        </w:rPr>
        <w:t>（</w:t>
      </w:r>
      <w:r>
        <w:rPr>
          <w:spacing w:val="-3"/>
          <w:sz w:val="21"/>
        </w:rPr>
        <w:t>点</w:t>
      </w:r>
      <w:r>
        <w:rPr>
          <w:sz w:val="21"/>
        </w:rPr>
        <w:t>）</w:t>
      </w:r>
      <w:r>
        <w:rPr>
          <w:spacing w:val="-3"/>
          <w:sz w:val="21"/>
        </w:rPr>
        <w:t>时，应根据实际需要配备必要的灭火器、消防斧、消防钩、消防梯、消防安全绳等消防器材。</w:t>
      </w:r>
      <w:r>
        <w:rPr>
          <w:sz w:val="21"/>
        </w:rPr>
        <w:t xml:space="preserve"> </w:t>
      </w:r>
    </w:p>
    <w:p w14:paraId="2100F52B" w14:textId="77777777" w:rsidR="00A71EEF" w:rsidRDefault="0081115D">
      <w:pPr>
        <w:pStyle w:val="a4"/>
        <w:numPr>
          <w:ilvl w:val="1"/>
          <w:numId w:val="474"/>
        </w:numPr>
        <w:tabs>
          <w:tab w:val="left" w:pos="1266"/>
        </w:tabs>
        <w:spacing w:line="446" w:lineRule="auto"/>
        <w:ind w:left="418" w:right="1498" w:firstLine="422"/>
        <w:rPr>
          <w:sz w:val="21"/>
        </w:rPr>
      </w:pPr>
      <w:r>
        <w:rPr>
          <w:spacing w:val="-3"/>
          <w:sz w:val="21"/>
        </w:rPr>
        <w:t>公共消防设施、消防装备不足或者不适应实际需要的，应当增建、改建、配置或者进行技术改造。</w:t>
      </w:r>
      <w:r>
        <w:rPr>
          <w:sz w:val="21"/>
        </w:rPr>
        <w:t xml:space="preserve"> </w:t>
      </w:r>
    </w:p>
    <w:p w14:paraId="3CCA3143" w14:textId="77777777" w:rsidR="00A71EEF" w:rsidRDefault="0081115D">
      <w:pPr>
        <w:pStyle w:val="4"/>
        <w:spacing w:line="275" w:lineRule="exact"/>
      </w:pPr>
      <w:r>
        <w:t xml:space="preserve">6 </w:t>
      </w:r>
      <w:r>
        <w:t>火灾危险源控制</w:t>
      </w:r>
      <w:r>
        <w:rPr>
          <w:w w:val="99"/>
        </w:rPr>
        <w:t xml:space="preserve"> </w:t>
      </w:r>
    </w:p>
    <w:p w14:paraId="33D0AB7C" w14:textId="77777777" w:rsidR="00A71EEF" w:rsidRDefault="00A71EEF">
      <w:pPr>
        <w:pStyle w:val="a3"/>
        <w:spacing w:before="4"/>
        <w:rPr>
          <w:b/>
          <w:sz w:val="17"/>
        </w:rPr>
      </w:pPr>
    </w:p>
    <w:p w14:paraId="674F8D36" w14:textId="77777777" w:rsidR="00A71EEF" w:rsidRDefault="0081115D">
      <w:pPr>
        <w:pStyle w:val="a4"/>
        <w:numPr>
          <w:ilvl w:val="1"/>
          <w:numId w:val="473"/>
        </w:numPr>
        <w:tabs>
          <w:tab w:val="left" w:pos="829"/>
        </w:tabs>
        <w:jc w:val="left"/>
        <w:rPr>
          <w:sz w:val="21"/>
        </w:rPr>
      </w:pPr>
      <w:r>
        <w:rPr>
          <w:spacing w:val="30"/>
          <w:sz w:val="21"/>
        </w:rPr>
        <w:t>用火</w:t>
      </w:r>
      <w:r>
        <w:rPr>
          <w:spacing w:val="-48"/>
          <w:sz w:val="21"/>
        </w:rPr>
        <w:t xml:space="preserve"> </w:t>
      </w:r>
      <w:r>
        <w:rPr>
          <w:sz w:val="21"/>
        </w:rPr>
        <w:t xml:space="preserve"> </w:t>
      </w:r>
    </w:p>
    <w:p w14:paraId="71E9304C" w14:textId="77777777" w:rsidR="00A71EEF" w:rsidRDefault="00A71EEF">
      <w:pPr>
        <w:pStyle w:val="a3"/>
        <w:rPr>
          <w:sz w:val="18"/>
        </w:rPr>
      </w:pPr>
    </w:p>
    <w:p w14:paraId="19EED217" w14:textId="77777777" w:rsidR="00A71EEF" w:rsidRDefault="0081115D">
      <w:pPr>
        <w:pStyle w:val="a4"/>
        <w:numPr>
          <w:ilvl w:val="2"/>
          <w:numId w:val="473"/>
        </w:numPr>
        <w:tabs>
          <w:tab w:val="left" w:pos="1370"/>
        </w:tabs>
        <w:ind w:hanging="530"/>
        <w:rPr>
          <w:sz w:val="21"/>
        </w:rPr>
      </w:pPr>
      <w:r>
        <w:rPr>
          <w:spacing w:val="-3"/>
          <w:sz w:val="21"/>
        </w:rPr>
        <w:t>设置在居住建筑内的厨房宜符合下列规定：</w:t>
      </w:r>
      <w:r>
        <w:rPr>
          <w:sz w:val="21"/>
        </w:rPr>
        <w:t xml:space="preserve"> </w:t>
      </w:r>
    </w:p>
    <w:p w14:paraId="79FE8735" w14:textId="77777777" w:rsidR="00A71EEF" w:rsidRDefault="00A71EEF">
      <w:pPr>
        <w:pStyle w:val="a3"/>
        <w:spacing w:before="12"/>
        <w:rPr>
          <w:sz w:val="17"/>
        </w:rPr>
      </w:pPr>
    </w:p>
    <w:p w14:paraId="3495E7B4" w14:textId="77777777" w:rsidR="00A71EEF" w:rsidRDefault="0081115D">
      <w:pPr>
        <w:pStyle w:val="a4"/>
        <w:numPr>
          <w:ilvl w:val="0"/>
          <w:numId w:val="472"/>
        </w:numPr>
        <w:tabs>
          <w:tab w:val="left" w:pos="1367"/>
        </w:tabs>
        <w:rPr>
          <w:sz w:val="21"/>
        </w:rPr>
      </w:pPr>
      <w:r>
        <w:rPr>
          <w:spacing w:val="-3"/>
          <w:sz w:val="21"/>
        </w:rPr>
        <w:t>靠外墙设置；</w:t>
      </w:r>
      <w:r>
        <w:rPr>
          <w:sz w:val="21"/>
        </w:rPr>
        <w:t xml:space="preserve"> </w:t>
      </w:r>
    </w:p>
    <w:p w14:paraId="75E6AA25" w14:textId="77777777" w:rsidR="00A71EEF" w:rsidRDefault="00A71EEF">
      <w:pPr>
        <w:pStyle w:val="a3"/>
        <w:spacing w:before="2"/>
        <w:rPr>
          <w:sz w:val="18"/>
        </w:rPr>
      </w:pPr>
    </w:p>
    <w:p w14:paraId="2D1A51C4" w14:textId="77777777" w:rsidR="00A71EEF" w:rsidRDefault="0081115D">
      <w:pPr>
        <w:pStyle w:val="a4"/>
        <w:numPr>
          <w:ilvl w:val="0"/>
          <w:numId w:val="472"/>
        </w:numPr>
        <w:tabs>
          <w:tab w:val="left" w:pos="1367"/>
        </w:tabs>
        <w:rPr>
          <w:sz w:val="21"/>
        </w:rPr>
      </w:pPr>
      <w:r>
        <w:rPr>
          <w:spacing w:val="-3"/>
          <w:sz w:val="21"/>
        </w:rPr>
        <w:t>与建筑内的其他部位采取防火分隔措施；</w:t>
      </w:r>
      <w:r>
        <w:rPr>
          <w:sz w:val="21"/>
        </w:rPr>
        <w:t xml:space="preserve"> </w:t>
      </w:r>
    </w:p>
    <w:p w14:paraId="65BF9DA6" w14:textId="77777777" w:rsidR="00A71EEF" w:rsidRDefault="00A71EEF">
      <w:pPr>
        <w:pStyle w:val="a3"/>
        <w:rPr>
          <w:sz w:val="18"/>
        </w:rPr>
      </w:pPr>
    </w:p>
    <w:p w14:paraId="030FD428" w14:textId="77777777" w:rsidR="00A71EEF" w:rsidRDefault="0081115D">
      <w:pPr>
        <w:pStyle w:val="a4"/>
        <w:numPr>
          <w:ilvl w:val="0"/>
          <w:numId w:val="472"/>
        </w:numPr>
        <w:tabs>
          <w:tab w:val="left" w:pos="1367"/>
        </w:tabs>
        <w:rPr>
          <w:sz w:val="21"/>
        </w:rPr>
      </w:pPr>
      <w:r>
        <w:rPr>
          <w:spacing w:val="-3"/>
          <w:sz w:val="21"/>
        </w:rPr>
        <w:t>墙面采用不燃材料；</w:t>
      </w:r>
      <w:r>
        <w:rPr>
          <w:sz w:val="21"/>
        </w:rPr>
        <w:t xml:space="preserve"> </w:t>
      </w:r>
    </w:p>
    <w:p w14:paraId="114AB6C2" w14:textId="77777777" w:rsidR="00A71EEF" w:rsidRDefault="00A71EEF">
      <w:pPr>
        <w:pStyle w:val="a3"/>
        <w:spacing w:before="12"/>
        <w:rPr>
          <w:sz w:val="17"/>
        </w:rPr>
      </w:pPr>
    </w:p>
    <w:p w14:paraId="7A51FB1B" w14:textId="77777777" w:rsidR="00A71EEF" w:rsidRDefault="0081115D">
      <w:pPr>
        <w:pStyle w:val="a4"/>
        <w:numPr>
          <w:ilvl w:val="0"/>
          <w:numId w:val="472"/>
        </w:numPr>
        <w:tabs>
          <w:tab w:val="left" w:pos="1367"/>
        </w:tabs>
        <w:rPr>
          <w:sz w:val="21"/>
        </w:rPr>
      </w:pPr>
      <w:r>
        <w:rPr>
          <w:spacing w:val="-3"/>
          <w:sz w:val="21"/>
        </w:rPr>
        <w:t>顶棚和屋面采用不燃或难燃材料。</w:t>
      </w:r>
      <w:r>
        <w:rPr>
          <w:sz w:val="21"/>
        </w:rPr>
        <w:t xml:space="preserve"> </w:t>
      </w:r>
    </w:p>
    <w:p w14:paraId="361B285B" w14:textId="77777777" w:rsidR="00A71EEF" w:rsidRDefault="00A71EEF">
      <w:pPr>
        <w:pStyle w:val="a3"/>
        <w:spacing w:before="2"/>
        <w:rPr>
          <w:sz w:val="18"/>
        </w:rPr>
      </w:pPr>
    </w:p>
    <w:p w14:paraId="4AE7F41D" w14:textId="77777777" w:rsidR="00A71EEF" w:rsidRDefault="0081115D">
      <w:pPr>
        <w:pStyle w:val="a4"/>
        <w:numPr>
          <w:ilvl w:val="2"/>
          <w:numId w:val="473"/>
        </w:numPr>
        <w:tabs>
          <w:tab w:val="left" w:pos="1370"/>
        </w:tabs>
        <w:spacing w:line="446" w:lineRule="auto"/>
        <w:ind w:left="418" w:right="1431" w:firstLine="422"/>
        <w:rPr>
          <w:sz w:val="21"/>
        </w:rPr>
      </w:pPr>
      <w:r>
        <w:rPr>
          <w:spacing w:val="-7"/>
          <w:sz w:val="21"/>
        </w:rPr>
        <w:t>用于炊事和采暖的灶台、烟道、烟囱、火炕等应采用不燃材料建造或制作。与可燃物</w:t>
      </w:r>
      <w:r>
        <w:rPr>
          <w:spacing w:val="-9"/>
          <w:sz w:val="21"/>
        </w:rPr>
        <w:t>体相邻部位的壁厚不应小于</w:t>
      </w:r>
      <w:r>
        <w:rPr>
          <w:spacing w:val="-9"/>
          <w:sz w:val="21"/>
        </w:rPr>
        <w:t xml:space="preserve"> </w:t>
      </w:r>
      <w:r>
        <w:rPr>
          <w:sz w:val="21"/>
        </w:rPr>
        <w:t>240mm</w:t>
      </w:r>
      <w:r>
        <w:rPr>
          <w:spacing w:val="-3"/>
          <w:sz w:val="21"/>
        </w:rPr>
        <w:t>。</w:t>
      </w:r>
      <w:r>
        <w:rPr>
          <w:sz w:val="21"/>
        </w:rPr>
        <w:t xml:space="preserve"> </w:t>
      </w:r>
    </w:p>
    <w:p w14:paraId="3F8CDA32" w14:textId="77777777" w:rsidR="00A71EEF" w:rsidRDefault="0081115D">
      <w:pPr>
        <w:pStyle w:val="a3"/>
        <w:spacing w:line="446" w:lineRule="auto"/>
        <w:ind w:left="418" w:right="1382" w:firstLine="419"/>
      </w:pPr>
      <w:r>
        <w:t>烟囱穿过可燃或难燃屋顶时，排烟口应高出屋面不小于</w:t>
      </w:r>
      <w:r>
        <w:t xml:space="preserve"> 500mm</w:t>
      </w:r>
      <w:r>
        <w:t>，并应在顶棚至屋面层范围内采用不燃烧材料砌抹严密。</w:t>
      </w:r>
      <w:r>
        <w:t xml:space="preserve"> </w:t>
      </w:r>
    </w:p>
    <w:p w14:paraId="199B8BF4" w14:textId="77777777" w:rsidR="00A71EEF" w:rsidRDefault="0081115D">
      <w:pPr>
        <w:pStyle w:val="a3"/>
        <w:spacing w:line="446" w:lineRule="auto"/>
        <w:ind w:left="840" w:right="1325" w:hanging="3"/>
      </w:pPr>
      <w:r>
        <w:rPr>
          <w:spacing w:val="-3"/>
        </w:rPr>
        <w:t>烟道直接在外墙上开设排烟口时，外墙应为不燃烧体且排烟口应突出外墙至少</w:t>
      </w:r>
      <w:r>
        <w:rPr>
          <w:spacing w:val="-3"/>
        </w:rPr>
        <w:t xml:space="preserve"> </w:t>
      </w:r>
      <w:r>
        <w:t>250mm</w:t>
      </w:r>
      <w:r>
        <w:rPr>
          <w:spacing w:val="-3"/>
        </w:rPr>
        <w:t>。</w:t>
      </w:r>
      <w:r>
        <w:rPr>
          <w:b/>
        </w:rPr>
        <w:t>6.1.3</w:t>
      </w:r>
      <w:r>
        <w:rPr>
          <w:b/>
          <w:spacing w:val="76"/>
        </w:rPr>
        <w:t xml:space="preserve"> </w:t>
      </w:r>
      <w:r>
        <w:rPr>
          <w:spacing w:val="-5"/>
        </w:rPr>
        <w:t>烟囱穿过可燃保温层、防水层时，在其周围</w:t>
      </w:r>
      <w:r>
        <w:rPr>
          <w:spacing w:val="-5"/>
        </w:rPr>
        <w:t xml:space="preserve"> </w:t>
      </w:r>
      <w:r>
        <w:t>500mm</w:t>
      </w:r>
      <w:r>
        <w:rPr>
          <w:spacing w:val="-8"/>
        </w:rPr>
        <w:t xml:space="preserve"> </w:t>
      </w:r>
      <w:r>
        <w:rPr>
          <w:spacing w:val="-8"/>
        </w:rPr>
        <w:t>范围内应采用不燃材料做隔热层，</w:t>
      </w:r>
    </w:p>
    <w:p w14:paraId="7F54D6AB" w14:textId="77777777" w:rsidR="00A71EEF" w:rsidRDefault="0081115D">
      <w:pPr>
        <w:pStyle w:val="a3"/>
        <w:ind w:left="418"/>
      </w:pPr>
      <w:r>
        <w:t>严禁在闷顶内开设烟囱清扫孔。</w:t>
      </w:r>
      <w:r>
        <w:t xml:space="preserve"> </w:t>
      </w:r>
    </w:p>
    <w:p w14:paraId="74BC65D0" w14:textId="77777777" w:rsidR="00A71EEF" w:rsidRDefault="00A71EEF">
      <w:pPr>
        <w:pStyle w:val="a3"/>
        <w:spacing w:before="11"/>
        <w:rPr>
          <w:sz w:val="17"/>
        </w:rPr>
      </w:pPr>
    </w:p>
    <w:p w14:paraId="7A9ADAF7" w14:textId="77777777" w:rsidR="00A71EEF" w:rsidRDefault="0081115D">
      <w:pPr>
        <w:pStyle w:val="a4"/>
        <w:numPr>
          <w:ilvl w:val="2"/>
          <w:numId w:val="471"/>
        </w:numPr>
        <w:tabs>
          <w:tab w:val="left" w:pos="1370"/>
        </w:tabs>
        <w:spacing w:line="446" w:lineRule="auto"/>
        <w:ind w:right="1431" w:firstLine="422"/>
        <w:rPr>
          <w:sz w:val="21"/>
        </w:rPr>
      </w:pPr>
      <w:r>
        <w:rPr>
          <w:spacing w:val="-6"/>
          <w:sz w:val="21"/>
        </w:rPr>
        <w:t>多层居住建筑内的浴室、卫生间和厨房的垂直排风管，应采取防回流措施或在支管上</w:t>
      </w:r>
      <w:r>
        <w:rPr>
          <w:spacing w:val="-4"/>
          <w:sz w:val="21"/>
        </w:rPr>
        <w:t>设置防火阀。</w:t>
      </w:r>
      <w:r>
        <w:rPr>
          <w:sz w:val="21"/>
        </w:rPr>
        <w:t xml:space="preserve"> </w:t>
      </w:r>
    </w:p>
    <w:p w14:paraId="21CF200E" w14:textId="77777777" w:rsidR="00A71EEF" w:rsidRDefault="0081115D">
      <w:pPr>
        <w:pStyle w:val="a4"/>
        <w:numPr>
          <w:ilvl w:val="2"/>
          <w:numId w:val="471"/>
        </w:numPr>
        <w:tabs>
          <w:tab w:val="left" w:pos="1371"/>
        </w:tabs>
        <w:ind w:left="1370" w:hanging="531"/>
        <w:rPr>
          <w:sz w:val="21"/>
        </w:rPr>
      </w:pPr>
      <w:r>
        <w:rPr>
          <w:spacing w:val="-7"/>
          <w:sz w:val="21"/>
        </w:rPr>
        <w:t>柴草、饲料等可燃物堆垛较多、耐火等级较低的连片建筑或靠近林区的村庄，其建筑</w:t>
      </w:r>
    </w:p>
    <w:p w14:paraId="220D8956" w14:textId="77777777" w:rsidR="00A71EEF" w:rsidRDefault="00A71EEF">
      <w:pPr>
        <w:rPr>
          <w:sz w:val="21"/>
        </w:rPr>
        <w:sectPr w:rsidR="00A71EEF">
          <w:pgSz w:w="11910" w:h="16850"/>
          <w:pgMar w:top="1220" w:right="0" w:bottom="1420" w:left="1260" w:header="0" w:footer="1239" w:gutter="0"/>
          <w:cols w:space="720"/>
        </w:sectPr>
      </w:pPr>
    </w:p>
    <w:p w14:paraId="7C5A7052" w14:textId="77777777" w:rsidR="00A71EEF" w:rsidRDefault="0081115D">
      <w:pPr>
        <w:pStyle w:val="a3"/>
        <w:spacing w:before="47"/>
        <w:ind w:left="418"/>
      </w:pPr>
      <w:r>
        <w:t>的烟囱上应采取防止火星外逸的有效措施。</w:t>
      </w:r>
      <w:r>
        <w:t xml:space="preserve"> </w:t>
      </w:r>
    </w:p>
    <w:p w14:paraId="3493EFF4" w14:textId="77777777" w:rsidR="00A71EEF" w:rsidRDefault="00A71EEF">
      <w:pPr>
        <w:pStyle w:val="a3"/>
        <w:rPr>
          <w:sz w:val="18"/>
        </w:rPr>
      </w:pPr>
    </w:p>
    <w:p w14:paraId="2A69285A" w14:textId="77777777" w:rsidR="00A71EEF" w:rsidRDefault="0081115D">
      <w:pPr>
        <w:pStyle w:val="a4"/>
        <w:numPr>
          <w:ilvl w:val="2"/>
          <w:numId w:val="471"/>
        </w:numPr>
        <w:tabs>
          <w:tab w:val="left" w:pos="1370"/>
        </w:tabs>
        <w:ind w:left="1369" w:hanging="530"/>
        <w:rPr>
          <w:sz w:val="21"/>
        </w:rPr>
      </w:pPr>
      <w:r>
        <w:rPr>
          <w:spacing w:val="-9"/>
          <w:sz w:val="21"/>
        </w:rPr>
        <w:t>燃煤燃柴炉灶周围</w:t>
      </w:r>
      <w:r>
        <w:rPr>
          <w:spacing w:val="-9"/>
          <w:sz w:val="21"/>
        </w:rPr>
        <w:t xml:space="preserve"> </w:t>
      </w:r>
      <w:r>
        <w:rPr>
          <w:sz w:val="21"/>
        </w:rPr>
        <w:t>1.0m</w:t>
      </w:r>
      <w:r>
        <w:rPr>
          <w:spacing w:val="-9"/>
          <w:sz w:val="21"/>
        </w:rPr>
        <w:t xml:space="preserve"> </w:t>
      </w:r>
      <w:r>
        <w:rPr>
          <w:spacing w:val="-9"/>
          <w:sz w:val="21"/>
        </w:rPr>
        <w:t>范围内不应堆放柴草等可燃物。</w:t>
      </w:r>
      <w:r>
        <w:rPr>
          <w:sz w:val="21"/>
        </w:rPr>
        <w:t xml:space="preserve"> </w:t>
      </w:r>
    </w:p>
    <w:p w14:paraId="1F3DCDD4" w14:textId="77777777" w:rsidR="00A71EEF" w:rsidRDefault="00A71EEF">
      <w:pPr>
        <w:pStyle w:val="a3"/>
        <w:rPr>
          <w:sz w:val="18"/>
        </w:rPr>
      </w:pPr>
    </w:p>
    <w:p w14:paraId="210DFC49" w14:textId="77777777" w:rsidR="00A71EEF" w:rsidRDefault="0081115D">
      <w:pPr>
        <w:pStyle w:val="a4"/>
        <w:numPr>
          <w:ilvl w:val="2"/>
          <w:numId w:val="471"/>
        </w:numPr>
        <w:tabs>
          <w:tab w:val="left" w:pos="1371"/>
        </w:tabs>
        <w:ind w:left="1370" w:hanging="531"/>
        <w:rPr>
          <w:sz w:val="21"/>
        </w:rPr>
      </w:pPr>
      <w:r>
        <w:rPr>
          <w:spacing w:val="-3"/>
          <w:sz w:val="21"/>
        </w:rPr>
        <w:t>燃气灶具的设置应符合下列要求：</w:t>
      </w:r>
      <w:r>
        <w:rPr>
          <w:sz w:val="21"/>
        </w:rPr>
        <w:t xml:space="preserve"> </w:t>
      </w:r>
    </w:p>
    <w:p w14:paraId="30942DD3" w14:textId="77777777" w:rsidR="00A71EEF" w:rsidRDefault="00A71EEF">
      <w:pPr>
        <w:pStyle w:val="a3"/>
        <w:spacing w:before="1"/>
        <w:rPr>
          <w:sz w:val="18"/>
        </w:rPr>
      </w:pPr>
    </w:p>
    <w:p w14:paraId="3FAEBF0F" w14:textId="77777777" w:rsidR="00A71EEF" w:rsidRDefault="0081115D">
      <w:pPr>
        <w:pStyle w:val="a4"/>
        <w:numPr>
          <w:ilvl w:val="0"/>
          <w:numId w:val="470"/>
        </w:numPr>
        <w:tabs>
          <w:tab w:val="left" w:pos="1367"/>
        </w:tabs>
        <w:spacing w:before="1"/>
        <w:rPr>
          <w:sz w:val="21"/>
        </w:rPr>
      </w:pPr>
      <w:r>
        <w:rPr>
          <w:spacing w:val="-3"/>
          <w:sz w:val="21"/>
        </w:rPr>
        <w:t>燃气灶具宜安装在有自然通风和自然采光的厨房内，并应与卧室分隔；</w:t>
      </w:r>
      <w:r>
        <w:rPr>
          <w:spacing w:val="-3"/>
          <w:sz w:val="21"/>
        </w:rPr>
        <w:t xml:space="preserve"> </w:t>
      </w:r>
    </w:p>
    <w:p w14:paraId="2DE48043" w14:textId="77777777" w:rsidR="00A71EEF" w:rsidRDefault="00A71EEF">
      <w:pPr>
        <w:pStyle w:val="a3"/>
        <w:spacing w:before="12"/>
        <w:rPr>
          <w:sz w:val="17"/>
        </w:rPr>
      </w:pPr>
    </w:p>
    <w:p w14:paraId="32194DB4" w14:textId="77777777" w:rsidR="00A71EEF" w:rsidRDefault="0081115D">
      <w:pPr>
        <w:pStyle w:val="a4"/>
        <w:numPr>
          <w:ilvl w:val="0"/>
          <w:numId w:val="470"/>
        </w:numPr>
        <w:tabs>
          <w:tab w:val="left" w:pos="1367"/>
        </w:tabs>
        <w:spacing w:line="446" w:lineRule="auto"/>
        <w:ind w:left="418" w:right="1433" w:firstLine="419"/>
        <w:rPr>
          <w:sz w:val="21"/>
        </w:rPr>
      </w:pPr>
      <w:r>
        <w:rPr>
          <w:spacing w:val="-3"/>
          <w:sz w:val="21"/>
        </w:rPr>
        <w:t>燃气灶具的灶面边缘和烤箱的侧壁距木质家具的净距离不应小于</w:t>
      </w:r>
      <w:r>
        <w:rPr>
          <w:spacing w:val="-3"/>
          <w:sz w:val="21"/>
        </w:rPr>
        <w:t xml:space="preserve"> </w:t>
      </w:r>
      <w:r>
        <w:rPr>
          <w:sz w:val="21"/>
        </w:rPr>
        <w:t>0.5m</w:t>
      </w:r>
      <w:r>
        <w:rPr>
          <w:spacing w:val="-2"/>
          <w:sz w:val="21"/>
        </w:rPr>
        <w:t>，或采取有效的</w:t>
      </w:r>
      <w:r>
        <w:rPr>
          <w:spacing w:val="-3"/>
          <w:sz w:val="21"/>
        </w:rPr>
        <w:t>防火隔热措施；</w:t>
      </w:r>
      <w:r>
        <w:rPr>
          <w:sz w:val="21"/>
        </w:rPr>
        <w:t xml:space="preserve"> </w:t>
      </w:r>
    </w:p>
    <w:p w14:paraId="0FC6B12F" w14:textId="77777777" w:rsidR="00A71EEF" w:rsidRDefault="0081115D">
      <w:pPr>
        <w:pStyle w:val="a4"/>
        <w:numPr>
          <w:ilvl w:val="0"/>
          <w:numId w:val="470"/>
        </w:numPr>
        <w:tabs>
          <w:tab w:val="left" w:pos="1367"/>
        </w:tabs>
        <w:rPr>
          <w:sz w:val="21"/>
        </w:rPr>
      </w:pPr>
      <w:r>
        <w:rPr>
          <w:spacing w:val="-3"/>
          <w:sz w:val="21"/>
        </w:rPr>
        <w:t>放置燃气灶具的灶台应采用不燃材料或加防火隔热板；</w:t>
      </w:r>
      <w:r>
        <w:rPr>
          <w:sz w:val="21"/>
        </w:rPr>
        <w:t xml:space="preserve"> </w:t>
      </w:r>
    </w:p>
    <w:p w14:paraId="548813CB" w14:textId="77777777" w:rsidR="00A71EEF" w:rsidRDefault="00A71EEF">
      <w:pPr>
        <w:pStyle w:val="a3"/>
        <w:rPr>
          <w:sz w:val="18"/>
        </w:rPr>
      </w:pPr>
    </w:p>
    <w:p w14:paraId="036C23AC" w14:textId="77777777" w:rsidR="00A71EEF" w:rsidRDefault="0081115D">
      <w:pPr>
        <w:pStyle w:val="a4"/>
        <w:numPr>
          <w:ilvl w:val="0"/>
          <w:numId w:val="470"/>
        </w:numPr>
        <w:tabs>
          <w:tab w:val="left" w:pos="1367"/>
        </w:tabs>
        <w:spacing w:line="446" w:lineRule="auto"/>
        <w:ind w:left="418" w:right="1431" w:firstLine="419"/>
        <w:rPr>
          <w:sz w:val="21"/>
        </w:rPr>
      </w:pPr>
      <w:r>
        <w:rPr>
          <w:spacing w:val="-10"/>
          <w:sz w:val="21"/>
        </w:rPr>
        <w:t>无自然通风的厨房，应选用带自动熄灭保护</w:t>
      </w:r>
      <w:r>
        <w:rPr>
          <w:spacing w:val="-10"/>
          <w:sz w:val="21"/>
        </w:rPr>
        <w:t>装置的燃气灶具，并应设置可燃气体探测</w:t>
      </w:r>
      <w:r>
        <w:rPr>
          <w:spacing w:val="-10"/>
          <w:sz w:val="21"/>
        </w:rPr>
        <w:t xml:space="preserve"> </w:t>
      </w:r>
      <w:r>
        <w:rPr>
          <w:spacing w:val="-3"/>
          <w:sz w:val="21"/>
        </w:rPr>
        <w:t>报警器和与其连锁的自动切断阀和机械通风设施；</w:t>
      </w:r>
      <w:r>
        <w:rPr>
          <w:sz w:val="21"/>
        </w:rPr>
        <w:t xml:space="preserve"> </w:t>
      </w:r>
    </w:p>
    <w:p w14:paraId="66A1378D" w14:textId="77777777" w:rsidR="00A71EEF" w:rsidRDefault="0081115D">
      <w:pPr>
        <w:pStyle w:val="a4"/>
        <w:numPr>
          <w:ilvl w:val="0"/>
          <w:numId w:val="470"/>
        </w:numPr>
        <w:tabs>
          <w:tab w:val="left" w:pos="1367"/>
        </w:tabs>
        <w:spacing w:line="446" w:lineRule="auto"/>
        <w:ind w:left="418" w:right="1431" w:firstLine="419"/>
        <w:rPr>
          <w:sz w:val="21"/>
        </w:rPr>
      </w:pPr>
      <w:r>
        <w:rPr>
          <w:spacing w:val="-3"/>
          <w:sz w:val="21"/>
        </w:rPr>
        <w:t>燃气灶具与燃气管道的连接胶管应采用耐油燃气专用胶管，长度不应大于</w:t>
      </w:r>
      <w:r>
        <w:rPr>
          <w:spacing w:val="-3"/>
          <w:sz w:val="21"/>
        </w:rPr>
        <w:t xml:space="preserve"> </w:t>
      </w:r>
      <w:r>
        <w:rPr>
          <w:sz w:val="21"/>
        </w:rPr>
        <w:t>2m</w:t>
      </w:r>
      <w:r>
        <w:rPr>
          <w:spacing w:val="-2"/>
          <w:sz w:val="21"/>
        </w:rPr>
        <w:t>，安装应</w:t>
      </w:r>
      <w:r>
        <w:rPr>
          <w:spacing w:val="-3"/>
          <w:sz w:val="21"/>
        </w:rPr>
        <w:t>牢固，中间不应有接头，且应定期更换。</w:t>
      </w:r>
      <w:r>
        <w:rPr>
          <w:sz w:val="21"/>
        </w:rPr>
        <w:t xml:space="preserve"> </w:t>
      </w:r>
    </w:p>
    <w:p w14:paraId="51DD13A8" w14:textId="77777777" w:rsidR="00A71EEF" w:rsidRDefault="0081115D">
      <w:pPr>
        <w:pStyle w:val="a4"/>
        <w:numPr>
          <w:ilvl w:val="2"/>
          <w:numId w:val="471"/>
        </w:numPr>
        <w:tabs>
          <w:tab w:val="left" w:pos="1370"/>
        </w:tabs>
        <w:spacing w:line="267" w:lineRule="exact"/>
        <w:ind w:left="1369" w:hanging="530"/>
        <w:rPr>
          <w:sz w:val="21"/>
        </w:rPr>
      </w:pPr>
      <w:r>
        <w:rPr>
          <w:spacing w:val="-10"/>
          <w:sz w:val="21"/>
        </w:rPr>
        <w:t>既有厨房不满足</w:t>
      </w:r>
      <w:r>
        <w:rPr>
          <w:spacing w:val="-10"/>
          <w:sz w:val="21"/>
        </w:rPr>
        <w:t xml:space="preserve"> </w:t>
      </w:r>
      <w:r>
        <w:rPr>
          <w:sz w:val="21"/>
        </w:rPr>
        <w:t>6.1.1</w:t>
      </w:r>
      <w:r>
        <w:rPr>
          <w:spacing w:val="-9"/>
          <w:sz w:val="21"/>
        </w:rPr>
        <w:t xml:space="preserve"> </w:t>
      </w:r>
      <w:r>
        <w:rPr>
          <w:spacing w:val="-9"/>
          <w:sz w:val="21"/>
        </w:rPr>
        <w:t>条的规定时，炉灶设置应符合下列要求：</w:t>
      </w:r>
      <w:r>
        <w:rPr>
          <w:sz w:val="21"/>
        </w:rPr>
        <w:t xml:space="preserve"> </w:t>
      </w:r>
    </w:p>
    <w:p w14:paraId="29480267" w14:textId="77777777" w:rsidR="00A71EEF" w:rsidRDefault="00A71EEF">
      <w:pPr>
        <w:pStyle w:val="a3"/>
        <w:spacing w:before="2"/>
        <w:rPr>
          <w:sz w:val="18"/>
        </w:rPr>
      </w:pPr>
    </w:p>
    <w:p w14:paraId="4A90F23F" w14:textId="77777777" w:rsidR="00A71EEF" w:rsidRDefault="0081115D">
      <w:pPr>
        <w:pStyle w:val="a4"/>
        <w:numPr>
          <w:ilvl w:val="0"/>
          <w:numId w:val="469"/>
        </w:numPr>
        <w:tabs>
          <w:tab w:val="left" w:pos="1367"/>
        </w:tabs>
        <w:rPr>
          <w:sz w:val="21"/>
        </w:rPr>
      </w:pPr>
      <w:r>
        <w:rPr>
          <w:spacing w:val="-5"/>
          <w:sz w:val="21"/>
        </w:rPr>
        <w:t>与炉灶相邻的墙面应作不燃化处理，或与可燃材料墙壁的距离不小于</w:t>
      </w:r>
      <w:r>
        <w:rPr>
          <w:spacing w:val="-5"/>
          <w:sz w:val="21"/>
        </w:rPr>
        <w:t xml:space="preserve"> </w:t>
      </w:r>
      <w:r>
        <w:rPr>
          <w:sz w:val="21"/>
        </w:rPr>
        <w:t>1.0m</w:t>
      </w:r>
      <w:r>
        <w:rPr>
          <w:sz w:val="21"/>
        </w:rPr>
        <w:t>；</w:t>
      </w:r>
      <w:r>
        <w:rPr>
          <w:sz w:val="21"/>
        </w:rPr>
        <w:t xml:space="preserve"> </w:t>
      </w:r>
    </w:p>
    <w:p w14:paraId="35AA4A02" w14:textId="77777777" w:rsidR="00A71EEF" w:rsidRDefault="00A71EEF">
      <w:pPr>
        <w:pStyle w:val="a3"/>
        <w:spacing w:before="12"/>
        <w:rPr>
          <w:sz w:val="17"/>
        </w:rPr>
      </w:pPr>
    </w:p>
    <w:p w14:paraId="60E5F083" w14:textId="77777777" w:rsidR="00A71EEF" w:rsidRDefault="0081115D">
      <w:pPr>
        <w:pStyle w:val="a4"/>
        <w:numPr>
          <w:ilvl w:val="0"/>
          <w:numId w:val="469"/>
        </w:numPr>
        <w:tabs>
          <w:tab w:val="left" w:pos="1367"/>
        </w:tabs>
        <w:rPr>
          <w:sz w:val="21"/>
        </w:rPr>
      </w:pPr>
      <w:r>
        <w:rPr>
          <w:spacing w:val="-9"/>
          <w:sz w:val="21"/>
        </w:rPr>
        <w:t>灶台周围</w:t>
      </w:r>
      <w:r>
        <w:rPr>
          <w:spacing w:val="-9"/>
          <w:sz w:val="21"/>
        </w:rPr>
        <w:t xml:space="preserve"> </w:t>
      </w:r>
      <w:r>
        <w:rPr>
          <w:sz w:val="21"/>
        </w:rPr>
        <w:t>1.0m</w:t>
      </w:r>
      <w:r>
        <w:rPr>
          <w:spacing w:val="-9"/>
          <w:sz w:val="21"/>
        </w:rPr>
        <w:t xml:space="preserve"> </w:t>
      </w:r>
      <w:r>
        <w:rPr>
          <w:spacing w:val="-9"/>
          <w:sz w:val="21"/>
        </w:rPr>
        <w:t>范围内应采用不燃地面或设置厚度不小于</w:t>
      </w:r>
      <w:r>
        <w:rPr>
          <w:spacing w:val="-9"/>
          <w:sz w:val="21"/>
        </w:rPr>
        <w:t xml:space="preserve"> </w:t>
      </w:r>
      <w:r>
        <w:rPr>
          <w:sz w:val="21"/>
        </w:rPr>
        <w:t>120mm</w:t>
      </w:r>
      <w:r>
        <w:rPr>
          <w:spacing w:val="-17"/>
          <w:sz w:val="21"/>
        </w:rPr>
        <w:t xml:space="preserve"> </w:t>
      </w:r>
      <w:r>
        <w:rPr>
          <w:spacing w:val="-17"/>
          <w:sz w:val="21"/>
        </w:rPr>
        <w:t>的不燃烧材料隔热层；</w:t>
      </w:r>
      <w:r>
        <w:rPr>
          <w:sz w:val="21"/>
        </w:rPr>
        <w:t xml:space="preserve"> </w:t>
      </w:r>
    </w:p>
    <w:p w14:paraId="7048BDDC" w14:textId="77777777" w:rsidR="00A71EEF" w:rsidRDefault="00A71EEF">
      <w:pPr>
        <w:pStyle w:val="a3"/>
        <w:rPr>
          <w:sz w:val="18"/>
        </w:rPr>
      </w:pPr>
    </w:p>
    <w:p w14:paraId="31A88CD2" w14:textId="77777777" w:rsidR="00A71EEF" w:rsidRDefault="0081115D">
      <w:pPr>
        <w:pStyle w:val="a4"/>
        <w:numPr>
          <w:ilvl w:val="0"/>
          <w:numId w:val="469"/>
        </w:numPr>
        <w:tabs>
          <w:tab w:val="left" w:pos="1367"/>
        </w:tabs>
        <w:rPr>
          <w:sz w:val="21"/>
        </w:rPr>
      </w:pPr>
      <w:r>
        <w:rPr>
          <w:spacing w:val="-12"/>
          <w:sz w:val="21"/>
        </w:rPr>
        <w:t>炉灶正上方</w:t>
      </w:r>
      <w:r>
        <w:rPr>
          <w:spacing w:val="-12"/>
          <w:sz w:val="21"/>
        </w:rPr>
        <w:t xml:space="preserve"> </w:t>
      </w:r>
      <w:r>
        <w:rPr>
          <w:sz w:val="21"/>
        </w:rPr>
        <w:t>1.5m</w:t>
      </w:r>
      <w:r>
        <w:rPr>
          <w:spacing w:val="-9"/>
          <w:sz w:val="21"/>
        </w:rPr>
        <w:t xml:space="preserve"> </w:t>
      </w:r>
      <w:r>
        <w:rPr>
          <w:spacing w:val="-9"/>
          <w:sz w:val="21"/>
        </w:rPr>
        <w:t>范围内不应有可燃物。</w:t>
      </w:r>
      <w:r>
        <w:rPr>
          <w:sz w:val="21"/>
        </w:rPr>
        <w:t xml:space="preserve"> </w:t>
      </w:r>
    </w:p>
    <w:p w14:paraId="2A2F1D59" w14:textId="77777777" w:rsidR="00A71EEF" w:rsidRDefault="00A71EEF">
      <w:pPr>
        <w:pStyle w:val="a3"/>
        <w:spacing w:before="2"/>
        <w:rPr>
          <w:sz w:val="18"/>
        </w:rPr>
      </w:pPr>
    </w:p>
    <w:p w14:paraId="6C8596A0" w14:textId="77777777" w:rsidR="00A71EEF" w:rsidRDefault="0081115D">
      <w:pPr>
        <w:pStyle w:val="a4"/>
        <w:numPr>
          <w:ilvl w:val="2"/>
          <w:numId w:val="471"/>
        </w:numPr>
        <w:tabs>
          <w:tab w:val="left" w:pos="1370"/>
        </w:tabs>
        <w:spacing w:line="446" w:lineRule="auto"/>
        <w:ind w:right="1431" w:firstLine="422"/>
        <w:rPr>
          <w:sz w:val="21"/>
        </w:rPr>
      </w:pPr>
      <w:r>
        <w:rPr>
          <w:spacing w:val="-13"/>
          <w:sz w:val="21"/>
        </w:rPr>
        <w:t>火炉、火炕</w:t>
      </w:r>
      <w:r>
        <w:rPr>
          <w:spacing w:val="-3"/>
          <w:sz w:val="21"/>
        </w:rPr>
        <w:t>（</w:t>
      </w:r>
      <w:r>
        <w:rPr>
          <w:sz w:val="21"/>
        </w:rPr>
        <w:t>墙</w:t>
      </w:r>
      <w:r>
        <w:rPr>
          <w:spacing w:val="-106"/>
          <w:sz w:val="21"/>
        </w:rPr>
        <w:t>）</w:t>
      </w:r>
      <w:r>
        <w:rPr>
          <w:spacing w:val="-12"/>
          <w:sz w:val="21"/>
        </w:rPr>
        <w:t>、烟道应当定期检修、疏通。炉灶与火炕通过烟道相连通时，烟道部</w:t>
      </w:r>
      <w:r>
        <w:rPr>
          <w:spacing w:val="-6"/>
          <w:sz w:val="21"/>
        </w:rPr>
        <w:t>分应采用不燃材料。</w:t>
      </w:r>
      <w:r>
        <w:rPr>
          <w:sz w:val="21"/>
        </w:rPr>
        <w:t xml:space="preserve"> </w:t>
      </w:r>
    </w:p>
    <w:p w14:paraId="5BF07A46" w14:textId="77777777" w:rsidR="00A71EEF" w:rsidRDefault="0081115D">
      <w:pPr>
        <w:pStyle w:val="a4"/>
        <w:numPr>
          <w:ilvl w:val="2"/>
          <w:numId w:val="471"/>
        </w:numPr>
        <w:tabs>
          <w:tab w:val="left" w:pos="1478"/>
        </w:tabs>
        <w:spacing w:line="446" w:lineRule="auto"/>
        <w:ind w:right="1325" w:firstLine="422"/>
        <w:rPr>
          <w:sz w:val="21"/>
        </w:rPr>
      </w:pPr>
      <w:r>
        <w:rPr>
          <w:spacing w:val="-6"/>
          <w:sz w:val="21"/>
        </w:rPr>
        <w:t>明火使用完毕后应及时清理余火，余烬与炉灰等宜用水浇灭或处理后倒在安全地带。</w:t>
      </w:r>
      <w:r>
        <w:rPr>
          <w:spacing w:val="-4"/>
          <w:sz w:val="21"/>
        </w:rPr>
        <w:t>炉灰宜集中存放于室外相对封闭且避风的地方，应设置不燃材料围挡。</w:t>
      </w:r>
      <w:r>
        <w:rPr>
          <w:sz w:val="21"/>
        </w:rPr>
        <w:t xml:space="preserve"> </w:t>
      </w:r>
    </w:p>
    <w:p w14:paraId="338FBCE7" w14:textId="77777777" w:rsidR="00A71EEF" w:rsidRDefault="0081115D">
      <w:pPr>
        <w:pStyle w:val="a4"/>
        <w:numPr>
          <w:ilvl w:val="2"/>
          <w:numId w:val="471"/>
        </w:numPr>
        <w:tabs>
          <w:tab w:val="left" w:pos="1478"/>
        </w:tabs>
        <w:spacing w:line="446" w:lineRule="auto"/>
        <w:ind w:right="1431" w:firstLine="422"/>
        <w:rPr>
          <w:sz w:val="21"/>
        </w:rPr>
      </w:pPr>
      <w:r>
        <w:rPr>
          <w:spacing w:val="-14"/>
          <w:sz w:val="21"/>
        </w:rPr>
        <w:t>使用蜡烛、油灯、蚊香时，应放置在不燃材料的基座上，距周围可燃物的距离不应小</w:t>
      </w:r>
      <w:r>
        <w:rPr>
          <w:spacing w:val="-34"/>
          <w:sz w:val="21"/>
        </w:rPr>
        <w:t>于</w:t>
      </w:r>
      <w:r>
        <w:rPr>
          <w:spacing w:val="-34"/>
          <w:sz w:val="21"/>
        </w:rPr>
        <w:t xml:space="preserve"> </w:t>
      </w:r>
      <w:r>
        <w:rPr>
          <w:sz w:val="21"/>
        </w:rPr>
        <w:t>0.5m</w:t>
      </w:r>
      <w:r>
        <w:rPr>
          <w:spacing w:val="-3"/>
          <w:sz w:val="21"/>
        </w:rPr>
        <w:t>。</w:t>
      </w:r>
      <w:r>
        <w:rPr>
          <w:sz w:val="21"/>
        </w:rPr>
        <w:t xml:space="preserve"> </w:t>
      </w:r>
    </w:p>
    <w:p w14:paraId="2C4EABDB" w14:textId="77777777" w:rsidR="00A71EEF" w:rsidRDefault="0081115D">
      <w:pPr>
        <w:pStyle w:val="a4"/>
        <w:numPr>
          <w:ilvl w:val="2"/>
          <w:numId w:val="471"/>
        </w:numPr>
        <w:tabs>
          <w:tab w:val="left" w:pos="1478"/>
        </w:tabs>
        <w:spacing w:line="446" w:lineRule="auto"/>
        <w:ind w:right="1431" w:firstLine="422"/>
        <w:rPr>
          <w:sz w:val="21"/>
        </w:rPr>
      </w:pPr>
      <w:r>
        <w:rPr>
          <w:spacing w:val="-8"/>
          <w:sz w:val="21"/>
        </w:rPr>
        <w:t>燃放烟花爆竹、吸烟、动用明火应当远离易燃易爆危险品存放地和柴草、饲草、农作</w:t>
      </w:r>
      <w:r>
        <w:rPr>
          <w:spacing w:val="-4"/>
          <w:sz w:val="21"/>
        </w:rPr>
        <w:t>物等可燃物堆放地。</w:t>
      </w:r>
      <w:r>
        <w:rPr>
          <w:sz w:val="21"/>
        </w:rPr>
        <w:t xml:space="preserve"> </w:t>
      </w:r>
    </w:p>
    <w:p w14:paraId="6123C467" w14:textId="77777777" w:rsidR="00A71EEF" w:rsidRDefault="0081115D">
      <w:pPr>
        <w:pStyle w:val="a4"/>
        <w:numPr>
          <w:ilvl w:val="2"/>
          <w:numId w:val="471"/>
        </w:numPr>
        <w:tabs>
          <w:tab w:val="left" w:pos="1478"/>
        </w:tabs>
        <w:spacing w:line="267" w:lineRule="exact"/>
        <w:ind w:left="1477" w:hanging="638"/>
        <w:rPr>
          <w:sz w:val="21"/>
        </w:rPr>
      </w:pPr>
      <w:r>
        <w:rPr>
          <w:spacing w:val="-3"/>
          <w:sz w:val="21"/>
        </w:rPr>
        <w:t>五级及以上大风天气，不得在室外吸烟和动用明火。</w:t>
      </w:r>
      <w:r>
        <w:rPr>
          <w:sz w:val="21"/>
        </w:rPr>
        <w:t xml:space="preserve"> </w:t>
      </w:r>
    </w:p>
    <w:p w14:paraId="34328713" w14:textId="77777777" w:rsidR="00A71EEF" w:rsidRDefault="00A71EEF">
      <w:pPr>
        <w:pStyle w:val="a3"/>
        <w:spacing w:before="12"/>
        <w:rPr>
          <w:sz w:val="17"/>
        </w:rPr>
      </w:pPr>
    </w:p>
    <w:p w14:paraId="1174ADB6" w14:textId="77777777" w:rsidR="00A71EEF" w:rsidRDefault="0081115D">
      <w:pPr>
        <w:pStyle w:val="a4"/>
        <w:numPr>
          <w:ilvl w:val="1"/>
          <w:numId w:val="473"/>
        </w:numPr>
        <w:tabs>
          <w:tab w:val="left" w:pos="1160"/>
        </w:tabs>
        <w:ind w:left="1159" w:hanging="320"/>
        <w:jc w:val="left"/>
        <w:rPr>
          <w:b/>
          <w:sz w:val="21"/>
        </w:rPr>
      </w:pPr>
      <w:r>
        <w:rPr>
          <w:spacing w:val="-3"/>
          <w:sz w:val="21"/>
        </w:rPr>
        <w:t>用电</w:t>
      </w:r>
      <w:r>
        <w:rPr>
          <w:b/>
          <w:w w:val="99"/>
          <w:sz w:val="21"/>
        </w:rPr>
        <w:t xml:space="preserve"> </w:t>
      </w:r>
    </w:p>
    <w:p w14:paraId="4438CF5F" w14:textId="77777777" w:rsidR="00A71EEF" w:rsidRDefault="00A71EEF">
      <w:pPr>
        <w:pStyle w:val="a3"/>
        <w:rPr>
          <w:b/>
          <w:sz w:val="18"/>
        </w:rPr>
      </w:pPr>
    </w:p>
    <w:p w14:paraId="52784873" w14:textId="77777777" w:rsidR="00A71EEF" w:rsidRDefault="0081115D">
      <w:pPr>
        <w:pStyle w:val="a4"/>
        <w:numPr>
          <w:ilvl w:val="2"/>
          <w:numId w:val="473"/>
        </w:numPr>
        <w:tabs>
          <w:tab w:val="left" w:pos="1370"/>
        </w:tabs>
        <w:ind w:hanging="530"/>
        <w:rPr>
          <w:sz w:val="21"/>
        </w:rPr>
      </w:pPr>
      <w:r>
        <w:rPr>
          <w:spacing w:val="-3"/>
          <w:sz w:val="21"/>
        </w:rPr>
        <w:t>电气线路的选型与敷设应符合下列要求：</w:t>
      </w:r>
      <w:r>
        <w:rPr>
          <w:sz w:val="21"/>
        </w:rPr>
        <w:t xml:space="preserve"> </w:t>
      </w:r>
    </w:p>
    <w:p w14:paraId="6B8054EB" w14:textId="77777777" w:rsidR="00A71EEF" w:rsidRDefault="00A71EEF">
      <w:pPr>
        <w:pStyle w:val="a3"/>
        <w:rPr>
          <w:sz w:val="18"/>
        </w:rPr>
      </w:pPr>
    </w:p>
    <w:p w14:paraId="35469FDA" w14:textId="77777777" w:rsidR="00A71EEF" w:rsidRDefault="0081115D">
      <w:pPr>
        <w:pStyle w:val="a4"/>
        <w:numPr>
          <w:ilvl w:val="0"/>
          <w:numId w:val="468"/>
        </w:numPr>
        <w:tabs>
          <w:tab w:val="left" w:pos="1367"/>
        </w:tabs>
        <w:spacing w:line="446" w:lineRule="auto"/>
        <w:ind w:right="1431" w:firstLine="419"/>
        <w:rPr>
          <w:sz w:val="21"/>
        </w:rPr>
      </w:pPr>
      <w:r>
        <w:rPr>
          <w:spacing w:val="-8"/>
          <w:sz w:val="21"/>
        </w:rPr>
        <w:t>导线的选型应与使用场所的环境条件相适应，其耐压等级、安全载流量和机械强度等</w:t>
      </w:r>
      <w:r>
        <w:rPr>
          <w:spacing w:val="-8"/>
          <w:sz w:val="21"/>
        </w:rPr>
        <w:t xml:space="preserve"> </w:t>
      </w:r>
      <w:r>
        <w:rPr>
          <w:spacing w:val="-6"/>
          <w:sz w:val="21"/>
        </w:rPr>
        <w:t>应满足相关规范要求；</w:t>
      </w:r>
      <w:r>
        <w:rPr>
          <w:sz w:val="21"/>
        </w:rPr>
        <w:t xml:space="preserve"> </w:t>
      </w:r>
    </w:p>
    <w:p w14:paraId="716F37FF" w14:textId="77777777" w:rsidR="00A71EEF" w:rsidRDefault="00A71EEF">
      <w:pPr>
        <w:spacing w:line="446" w:lineRule="auto"/>
        <w:rPr>
          <w:sz w:val="21"/>
        </w:rPr>
        <w:sectPr w:rsidR="00A71EEF">
          <w:pgSz w:w="11910" w:h="16850"/>
          <w:pgMar w:top="1220" w:right="0" w:bottom="1420" w:left="1260" w:header="0" w:footer="1239" w:gutter="0"/>
          <w:cols w:space="720"/>
        </w:sectPr>
      </w:pPr>
    </w:p>
    <w:p w14:paraId="52C42E9E" w14:textId="77777777" w:rsidR="00A71EEF" w:rsidRDefault="0081115D">
      <w:pPr>
        <w:pStyle w:val="a4"/>
        <w:numPr>
          <w:ilvl w:val="0"/>
          <w:numId w:val="468"/>
        </w:numPr>
        <w:tabs>
          <w:tab w:val="left" w:pos="1367"/>
        </w:tabs>
        <w:spacing w:before="47" w:line="446" w:lineRule="auto"/>
        <w:ind w:right="1431" w:firstLine="419"/>
        <w:jc w:val="both"/>
        <w:rPr>
          <w:sz w:val="21"/>
        </w:rPr>
      </w:pPr>
      <w:r>
        <w:rPr>
          <w:spacing w:val="-14"/>
          <w:sz w:val="21"/>
        </w:rPr>
        <w:t>架空电力线路不应跨越易燃易爆危险品仓库、有爆炸危险的场所、可燃液体储罐、可燃</w:t>
      </w:r>
      <w:r>
        <w:rPr>
          <w:spacing w:val="-9"/>
          <w:sz w:val="21"/>
        </w:rPr>
        <w:t>、助燃气体储罐和易燃、可燃材料堆场等，与这些场所的间距不应小于电杆高度的</w:t>
      </w:r>
      <w:r>
        <w:rPr>
          <w:spacing w:val="-9"/>
          <w:sz w:val="21"/>
        </w:rPr>
        <w:t xml:space="preserve"> </w:t>
      </w:r>
      <w:r>
        <w:rPr>
          <w:sz w:val="21"/>
        </w:rPr>
        <w:t>l.5</w:t>
      </w:r>
      <w:r>
        <w:rPr>
          <w:spacing w:val="-18"/>
          <w:sz w:val="21"/>
        </w:rPr>
        <w:t xml:space="preserve"> </w:t>
      </w:r>
      <w:r>
        <w:rPr>
          <w:spacing w:val="-18"/>
          <w:sz w:val="21"/>
        </w:rPr>
        <w:t>倍</w:t>
      </w:r>
      <w:r>
        <w:rPr>
          <w:sz w:val="21"/>
        </w:rPr>
        <w:t>；</w:t>
      </w:r>
      <w:r>
        <w:rPr>
          <w:sz w:val="21"/>
        </w:rPr>
        <w:t xml:space="preserve">1kV </w:t>
      </w:r>
      <w:r>
        <w:rPr>
          <w:sz w:val="21"/>
        </w:rPr>
        <w:t>及</w:t>
      </w:r>
      <w:r>
        <w:rPr>
          <w:sz w:val="21"/>
        </w:rPr>
        <w:t xml:space="preserve"> 1kV</w:t>
      </w:r>
      <w:r>
        <w:rPr>
          <w:spacing w:val="-9"/>
          <w:sz w:val="21"/>
        </w:rPr>
        <w:t xml:space="preserve"> </w:t>
      </w:r>
      <w:r>
        <w:rPr>
          <w:spacing w:val="-9"/>
          <w:sz w:val="21"/>
        </w:rPr>
        <w:t>以上的架空电力线路不应跨越可燃屋面的建筑；</w:t>
      </w:r>
      <w:r>
        <w:rPr>
          <w:spacing w:val="-9"/>
          <w:sz w:val="21"/>
        </w:rPr>
        <w:t xml:space="preserve"> </w:t>
      </w:r>
    </w:p>
    <w:p w14:paraId="4B3D3C57" w14:textId="77777777" w:rsidR="00A71EEF" w:rsidRDefault="0081115D">
      <w:pPr>
        <w:pStyle w:val="a4"/>
        <w:numPr>
          <w:ilvl w:val="0"/>
          <w:numId w:val="468"/>
        </w:numPr>
        <w:tabs>
          <w:tab w:val="left" w:pos="1367"/>
        </w:tabs>
        <w:spacing w:line="446" w:lineRule="auto"/>
        <w:ind w:right="1431" w:firstLine="419"/>
        <w:jc w:val="both"/>
        <w:rPr>
          <w:sz w:val="21"/>
        </w:rPr>
      </w:pPr>
      <w:r>
        <w:rPr>
          <w:spacing w:val="-8"/>
          <w:sz w:val="21"/>
        </w:rPr>
        <w:t>室内电气线路的敷设应避开潮湿部位和炉灶、烟囱等高温部位，并不应直接敷设在可</w:t>
      </w:r>
      <w:r>
        <w:rPr>
          <w:spacing w:val="-8"/>
          <w:sz w:val="21"/>
        </w:rPr>
        <w:t xml:space="preserve"> </w:t>
      </w:r>
      <w:r>
        <w:rPr>
          <w:spacing w:val="-8"/>
          <w:sz w:val="21"/>
        </w:rPr>
        <w:t>燃物上；当必须敷设在可燃物上或在有可燃物的吊顶内敷设时，应穿金属管、阻燃套管保护或采</w:t>
      </w:r>
      <w:r>
        <w:rPr>
          <w:spacing w:val="-6"/>
          <w:sz w:val="21"/>
        </w:rPr>
        <w:t>用阻燃电缆；</w:t>
      </w:r>
      <w:r>
        <w:rPr>
          <w:sz w:val="21"/>
        </w:rPr>
        <w:t xml:space="preserve"> </w:t>
      </w:r>
    </w:p>
    <w:p w14:paraId="0740A063" w14:textId="77777777" w:rsidR="00A71EEF" w:rsidRDefault="0081115D">
      <w:pPr>
        <w:pStyle w:val="a4"/>
        <w:numPr>
          <w:ilvl w:val="0"/>
          <w:numId w:val="468"/>
        </w:numPr>
        <w:tabs>
          <w:tab w:val="left" w:pos="1367"/>
        </w:tabs>
        <w:spacing w:line="268" w:lineRule="exact"/>
        <w:ind w:left="1367"/>
        <w:rPr>
          <w:sz w:val="21"/>
        </w:rPr>
      </w:pPr>
      <w:r>
        <w:rPr>
          <w:spacing w:val="-3"/>
          <w:sz w:val="21"/>
        </w:rPr>
        <w:t>导线与导线、导线与电气设备的连接应牢固可靠；</w:t>
      </w:r>
      <w:r>
        <w:rPr>
          <w:sz w:val="21"/>
        </w:rPr>
        <w:t xml:space="preserve"> </w:t>
      </w:r>
    </w:p>
    <w:p w14:paraId="5555B414" w14:textId="77777777" w:rsidR="00A71EEF" w:rsidRDefault="00A71EEF">
      <w:pPr>
        <w:pStyle w:val="a3"/>
        <w:spacing w:before="12"/>
        <w:rPr>
          <w:sz w:val="17"/>
        </w:rPr>
      </w:pPr>
    </w:p>
    <w:p w14:paraId="53EA535C" w14:textId="77777777" w:rsidR="00A71EEF" w:rsidRDefault="0081115D">
      <w:pPr>
        <w:pStyle w:val="a4"/>
        <w:numPr>
          <w:ilvl w:val="0"/>
          <w:numId w:val="468"/>
        </w:numPr>
        <w:tabs>
          <w:tab w:val="left" w:pos="1367"/>
        </w:tabs>
        <w:spacing w:line="446" w:lineRule="auto"/>
        <w:ind w:left="840" w:right="3923" w:hanging="3"/>
        <w:rPr>
          <w:sz w:val="21"/>
        </w:rPr>
      </w:pPr>
      <w:r>
        <w:rPr>
          <w:spacing w:val="-3"/>
          <w:sz w:val="21"/>
        </w:rPr>
        <w:t>严禁乱拉乱接电气线路，严禁在电气线路上搭、挂物品。</w:t>
      </w:r>
      <w:r>
        <w:rPr>
          <w:b/>
          <w:sz w:val="21"/>
        </w:rPr>
        <w:t xml:space="preserve">6.2.2 </w:t>
      </w:r>
      <w:r>
        <w:rPr>
          <w:spacing w:val="-3"/>
          <w:sz w:val="21"/>
        </w:rPr>
        <w:t>用电设备的使用应符合下列要求：</w:t>
      </w:r>
      <w:r>
        <w:rPr>
          <w:sz w:val="21"/>
        </w:rPr>
        <w:t xml:space="preserve"> </w:t>
      </w:r>
    </w:p>
    <w:p w14:paraId="5F8CC012" w14:textId="77777777" w:rsidR="00A71EEF" w:rsidRDefault="0081115D">
      <w:pPr>
        <w:pStyle w:val="a3"/>
        <w:ind w:left="838"/>
      </w:pPr>
      <w:r>
        <w:t>用电设备不应过载使用；</w:t>
      </w:r>
      <w:r>
        <w:t xml:space="preserve"> </w:t>
      </w:r>
    </w:p>
    <w:p w14:paraId="35B14F9A" w14:textId="77777777" w:rsidR="00A71EEF" w:rsidRDefault="00A71EEF">
      <w:pPr>
        <w:pStyle w:val="a3"/>
        <w:spacing w:before="12"/>
        <w:rPr>
          <w:sz w:val="17"/>
        </w:rPr>
      </w:pPr>
    </w:p>
    <w:p w14:paraId="6E479159" w14:textId="77777777" w:rsidR="00A71EEF" w:rsidRDefault="0081115D">
      <w:pPr>
        <w:pStyle w:val="a3"/>
        <w:spacing w:line="446" w:lineRule="auto"/>
        <w:ind w:left="418" w:right="1431" w:firstLine="419"/>
      </w:pPr>
      <w:r>
        <w:t xml:space="preserve"> </w:t>
      </w:r>
      <w:r>
        <w:rPr>
          <w:spacing w:val="-14"/>
        </w:rPr>
        <w:t>配电箱、电表箱应采用不燃烧材料制作；可能产生电火花的电源开关、断路器等应采取防止</w:t>
      </w:r>
      <w:r>
        <w:rPr>
          <w:spacing w:val="-7"/>
        </w:rPr>
        <w:t>火花飞溅的防护措施；</w:t>
      </w:r>
      <w:r>
        <w:t xml:space="preserve"> </w:t>
      </w:r>
    </w:p>
    <w:p w14:paraId="4A9FEB55" w14:textId="77777777" w:rsidR="00A71EEF" w:rsidRDefault="0081115D">
      <w:pPr>
        <w:pStyle w:val="a3"/>
        <w:ind w:left="838"/>
      </w:pPr>
      <w:r>
        <w:t>严禁使用铜丝、铁丝等代替保险丝，且不得随意增加保险丝的截面积；</w:t>
      </w:r>
      <w:r>
        <w:t xml:space="preserve"> </w:t>
      </w:r>
    </w:p>
    <w:p w14:paraId="7413FA36" w14:textId="77777777" w:rsidR="00A71EEF" w:rsidRDefault="00A71EEF">
      <w:pPr>
        <w:pStyle w:val="a3"/>
        <w:rPr>
          <w:sz w:val="18"/>
        </w:rPr>
      </w:pPr>
    </w:p>
    <w:p w14:paraId="3D72DDC2" w14:textId="77777777" w:rsidR="00A71EEF" w:rsidRDefault="0081115D">
      <w:pPr>
        <w:pStyle w:val="a3"/>
        <w:spacing w:line="446" w:lineRule="auto"/>
        <w:ind w:left="418" w:right="1433" w:firstLine="419"/>
      </w:pPr>
      <w:r>
        <w:rPr>
          <w:spacing w:val="-7"/>
        </w:rPr>
        <w:t>电热炉、电暖器、电饭锅、电熨斗、电热毯等电热设备使用期间应有人看护，使用后应及时</w:t>
      </w:r>
      <w:r>
        <w:rPr>
          <w:spacing w:val="-5"/>
        </w:rPr>
        <w:t>切断电源；停电后应拔掉电源插头，关断通电设备；</w:t>
      </w:r>
      <w:r>
        <w:rPr>
          <w:spacing w:val="-5"/>
        </w:rPr>
        <w:t xml:space="preserve"> </w:t>
      </w:r>
    </w:p>
    <w:p w14:paraId="7AB223EE" w14:textId="77777777" w:rsidR="00A71EEF" w:rsidRDefault="0081115D">
      <w:pPr>
        <w:pStyle w:val="a3"/>
        <w:spacing w:line="446" w:lineRule="auto"/>
        <w:ind w:left="838" w:right="2765"/>
      </w:pPr>
      <w:r>
        <w:rPr>
          <w:spacing w:val="-3"/>
        </w:rPr>
        <w:t>用电设备使用期间，应留意观察设备温度，超温时应及时采取断电等措施；</w:t>
      </w:r>
      <w:r>
        <w:rPr>
          <w:spacing w:val="-3"/>
        </w:rPr>
        <w:t xml:space="preserve"> </w:t>
      </w:r>
      <w:r>
        <w:rPr>
          <w:spacing w:val="-3"/>
        </w:rPr>
        <w:t>用电设备长时间不使用时，应采取将插头从电源插座上拔出等断电措施。</w:t>
      </w:r>
      <w:r>
        <w:rPr>
          <w:b/>
        </w:rPr>
        <w:t xml:space="preserve">6.2.3 </w:t>
      </w:r>
      <w:r>
        <w:rPr>
          <w:spacing w:val="-3"/>
        </w:rPr>
        <w:t>照明灯具的使用应符合下列要求：</w:t>
      </w:r>
      <w:r>
        <w:t xml:space="preserve"> </w:t>
      </w:r>
    </w:p>
    <w:p w14:paraId="1F19541B" w14:textId="77777777" w:rsidR="00A71EEF" w:rsidRDefault="0081115D">
      <w:pPr>
        <w:pStyle w:val="a3"/>
        <w:spacing w:line="446" w:lineRule="auto"/>
        <w:ind w:left="418" w:right="1431" w:firstLine="419"/>
      </w:pPr>
      <w:r>
        <w:rPr>
          <w:spacing w:val="-6"/>
        </w:rPr>
        <w:t>照明灯具表面的高温部位应与可燃物保持安全距离，当靠近可燃物时，应采取隔热、散热等</w:t>
      </w:r>
      <w:r>
        <w:rPr>
          <w:spacing w:val="-4"/>
        </w:rPr>
        <w:t>防火保护措施；</w:t>
      </w:r>
      <w:r>
        <w:t xml:space="preserve"> </w:t>
      </w:r>
    </w:p>
    <w:p w14:paraId="29BC3FFD" w14:textId="77777777" w:rsidR="00A71EEF" w:rsidRDefault="0081115D">
      <w:pPr>
        <w:pStyle w:val="a3"/>
        <w:spacing w:line="446" w:lineRule="auto"/>
        <w:ind w:left="418" w:right="1433" w:firstLine="419"/>
      </w:pPr>
      <w:r>
        <w:rPr>
          <w:spacing w:val="-6"/>
        </w:rPr>
        <w:t>卤钨灯和额定功率超过</w:t>
      </w:r>
      <w:r>
        <w:rPr>
          <w:spacing w:val="-6"/>
        </w:rPr>
        <w:t xml:space="preserve"> </w:t>
      </w:r>
      <w:r>
        <w:t>100W</w:t>
      </w:r>
      <w:r>
        <w:rPr>
          <w:spacing w:val="-16"/>
        </w:rPr>
        <w:t xml:space="preserve"> </w:t>
      </w:r>
      <w:r>
        <w:rPr>
          <w:spacing w:val="-16"/>
        </w:rPr>
        <w:t>的白炽</w:t>
      </w:r>
      <w:r>
        <w:rPr>
          <w:spacing w:val="-16"/>
        </w:rPr>
        <w:t>灯泡的吸顶灯、槽灯、嵌入式灯，其引入线应采用瓷管、</w:t>
      </w:r>
      <w:r>
        <w:rPr>
          <w:spacing w:val="-7"/>
        </w:rPr>
        <w:t>矿棉等不燃材料作隔热保护；</w:t>
      </w:r>
      <w:r>
        <w:t xml:space="preserve"> </w:t>
      </w:r>
    </w:p>
    <w:p w14:paraId="35EF9EE2" w14:textId="77777777" w:rsidR="00A71EEF" w:rsidRDefault="0081115D">
      <w:pPr>
        <w:pStyle w:val="a3"/>
        <w:spacing w:line="446" w:lineRule="auto"/>
        <w:ind w:left="418" w:right="1433" w:firstLine="419"/>
      </w:pPr>
      <w:r>
        <w:rPr>
          <w:spacing w:val="-9"/>
        </w:rPr>
        <w:t>卤钨灯、高压钠灯、金属卤灯光源、荧光高压汞灯、超过</w:t>
      </w:r>
      <w:r>
        <w:rPr>
          <w:spacing w:val="-9"/>
        </w:rPr>
        <w:t xml:space="preserve"> </w:t>
      </w:r>
      <w:r>
        <w:t>60W</w:t>
      </w:r>
      <w:r>
        <w:rPr>
          <w:spacing w:val="-7"/>
        </w:rPr>
        <w:t xml:space="preserve"> </w:t>
      </w:r>
      <w:r>
        <w:rPr>
          <w:spacing w:val="-7"/>
        </w:rPr>
        <w:t>的白炽灯等高温灯具及镇流器</w:t>
      </w:r>
      <w:r>
        <w:rPr>
          <w:spacing w:val="-5"/>
        </w:rPr>
        <w:t>不应直接安装在可燃装修材料或可燃构件上。</w:t>
      </w:r>
      <w:r>
        <w:t xml:space="preserve"> </w:t>
      </w:r>
    </w:p>
    <w:p w14:paraId="44AF1300" w14:textId="77777777" w:rsidR="00A71EEF" w:rsidRDefault="0081115D">
      <w:pPr>
        <w:pStyle w:val="a4"/>
        <w:numPr>
          <w:ilvl w:val="1"/>
          <w:numId w:val="473"/>
        </w:numPr>
        <w:tabs>
          <w:tab w:val="left" w:pos="829"/>
        </w:tabs>
        <w:jc w:val="left"/>
        <w:rPr>
          <w:sz w:val="24"/>
        </w:rPr>
      </w:pPr>
      <w:r>
        <w:rPr>
          <w:spacing w:val="30"/>
          <w:sz w:val="21"/>
        </w:rPr>
        <w:t>用气</w:t>
      </w:r>
      <w:r>
        <w:rPr>
          <w:spacing w:val="-48"/>
          <w:sz w:val="21"/>
        </w:rPr>
        <w:t xml:space="preserve"> </w:t>
      </w:r>
      <w:r>
        <w:rPr>
          <w:sz w:val="24"/>
        </w:rPr>
        <w:t xml:space="preserve"> </w:t>
      </w:r>
    </w:p>
    <w:p w14:paraId="0B78CB1C" w14:textId="77777777" w:rsidR="00A71EEF" w:rsidRDefault="00A71EEF">
      <w:pPr>
        <w:pStyle w:val="a3"/>
        <w:spacing w:before="9"/>
        <w:rPr>
          <w:sz w:val="17"/>
        </w:rPr>
      </w:pPr>
    </w:p>
    <w:p w14:paraId="34149810" w14:textId="77777777" w:rsidR="00A71EEF" w:rsidRDefault="0081115D">
      <w:pPr>
        <w:pStyle w:val="a4"/>
        <w:numPr>
          <w:ilvl w:val="2"/>
          <w:numId w:val="473"/>
        </w:numPr>
        <w:tabs>
          <w:tab w:val="left" w:pos="1371"/>
        </w:tabs>
        <w:ind w:left="1370" w:hanging="531"/>
        <w:rPr>
          <w:sz w:val="21"/>
        </w:rPr>
      </w:pPr>
      <w:r>
        <w:rPr>
          <w:spacing w:val="-3"/>
          <w:sz w:val="21"/>
        </w:rPr>
        <w:t>沼气的使用应符合下列要求：</w:t>
      </w:r>
      <w:r>
        <w:rPr>
          <w:sz w:val="21"/>
        </w:rPr>
        <w:t xml:space="preserve"> </w:t>
      </w:r>
    </w:p>
    <w:p w14:paraId="151A5BB5" w14:textId="77777777" w:rsidR="00A71EEF" w:rsidRDefault="00A71EEF">
      <w:pPr>
        <w:pStyle w:val="a3"/>
        <w:rPr>
          <w:sz w:val="18"/>
        </w:rPr>
      </w:pPr>
    </w:p>
    <w:p w14:paraId="2F3CE394" w14:textId="77777777" w:rsidR="00A71EEF" w:rsidRDefault="0081115D">
      <w:pPr>
        <w:pStyle w:val="a3"/>
        <w:spacing w:line="446" w:lineRule="auto"/>
        <w:ind w:left="838" w:right="1330"/>
      </w:pPr>
      <w:r>
        <w:rPr>
          <w:spacing w:val="-15"/>
        </w:rPr>
        <w:t>沼气池周围宜设围挡设施，并应设明显的标志，顶部应采取防止重物撞击或汽车压行的措施；</w:t>
      </w:r>
      <w:r>
        <w:rPr>
          <w:spacing w:val="-103"/>
        </w:rPr>
        <w:t xml:space="preserve"> </w:t>
      </w:r>
      <w:r>
        <w:rPr>
          <w:spacing w:val="-5"/>
        </w:rPr>
        <w:t>沼气池盖上的可燃保温材料应采取防火措施，在大型沼气池盖上和储气缸上，应设置泄压装</w:t>
      </w:r>
    </w:p>
    <w:p w14:paraId="4DF380C7" w14:textId="77777777" w:rsidR="00A71EEF" w:rsidRDefault="00A71EEF">
      <w:pPr>
        <w:spacing w:line="446" w:lineRule="auto"/>
        <w:sectPr w:rsidR="00A71EEF">
          <w:pgSz w:w="11910" w:h="16850"/>
          <w:pgMar w:top="1220" w:right="0" w:bottom="1420" w:left="1260" w:header="0" w:footer="1239" w:gutter="0"/>
          <w:cols w:space="720"/>
        </w:sectPr>
      </w:pPr>
    </w:p>
    <w:p w14:paraId="11A02E3C" w14:textId="77777777" w:rsidR="00A71EEF" w:rsidRDefault="0081115D">
      <w:pPr>
        <w:pStyle w:val="a3"/>
        <w:spacing w:before="47"/>
        <w:ind w:left="418"/>
      </w:pPr>
      <w:r>
        <w:t>置；</w:t>
      </w:r>
      <w:r>
        <w:t xml:space="preserve"> </w:t>
      </w:r>
    </w:p>
    <w:p w14:paraId="491A6267" w14:textId="77777777" w:rsidR="00A71EEF" w:rsidRDefault="00A71EEF">
      <w:pPr>
        <w:pStyle w:val="a3"/>
        <w:rPr>
          <w:sz w:val="18"/>
        </w:rPr>
      </w:pPr>
    </w:p>
    <w:p w14:paraId="143DE283" w14:textId="77777777" w:rsidR="00A71EEF" w:rsidRDefault="0081115D">
      <w:pPr>
        <w:pStyle w:val="a3"/>
        <w:ind w:left="838"/>
      </w:pPr>
      <w:r>
        <w:t>沼气池进料口、出料口及池盖与明火散发点的距离不应小于</w:t>
      </w:r>
      <w:r>
        <w:t xml:space="preserve"> 25m</w:t>
      </w:r>
      <w:r>
        <w:t>；</w:t>
      </w:r>
      <w:r>
        <w:t xml:space="preserve"> </w:t>
      </w:r>
    </w:p>
    <w:p w14:paraId="25276DF2" w14:textId="77777777" w:rsidR="00A71EEF" w:rsidRDefault="00A71EEF">
      <w:pPr>
        <w:pStyle w:val="a3"/>
        <w:rPr>
          <w:sz w:val="18"/>
        </w:rPr>
      </w:pPr>
    </w:p>
    <w:p w14:paraId="74B192C9" w14:textId="77777777" w:rsidR="00A71EEF" w:rsidRDefault="0081115D">
      <w:pPr>
        <w:pStyle w:val="a3"/>
        <w:spacing w:line="446" w:lineRule="auto"/>
        <w:ind w:left="838" w:right="1330"/>
      </w:pPr>
      <w:r>
        <w:t>当采用点火方式测试沼气时，应在沼气炉上点火试气，严禁在输气管或沼气池上点火试气；</w:t>
      </w:r>
      <w:r>
        <w:t xml:space="preserve"> </w:t>
      </w:r>
      <w:r>
        <w:t>沼气池检修时，应保持通风良好，并严禁在池内使用明火或可能产生火花的器具；</w:t>
      </w:r>
      <w:r>
        <w:t xml:space="preserve"> </w:t>
      </w:r>
    </w:p>
    <w:p w14:paraId="5B5919DC" w14:textId="77777777" w:rsidR="00A71EEF" w:rsidRDefault="0081115D">
      <w:pPr>
        <w:pStyle w:val="a3"/>
        <w:ind w:left="838"/>
      </w:pPr>
      <w:r>
        <w:t>水柱压力计</w:t>
      </w:r>
      <w:r>
        <w:t>“U”</w:t>
      </w:r>
      <w:r>
        <w:t>形管上端应连接一段开口管并伸至室外高处；</w:t>
      </w:r>
      <w:r>
        <w:t xml:space="preserve"> </w:t>
      </w:r>
    </w:p>
    <w:p w14:paraId="0441FC0B" w14:textId="77777777" w:rsidR="00A71EEF" w:rsidRDefault="00A71EEF">
      <w:pPr>
        <w:pStyle w:val="a3"/>
        <w:spacing w:before="12"/>
        <w:rPr>
          <w:sz w:val="17"/>
        </w:rPr>
      </w:pPr>
    </w:p>
    <w:p w14:paraId="726EF3C8" w14:textId="77777777" w:rsidR="00A71EEF" w:rsidRDefault="0081115D">
      <w:pPr>
        <w:pStyle w:val="a3"/>
        <w:spacing w:line="446" w:lineRule="auto"/>
        <w:ind w:left="418" w:right="1434" w:firstLine="419"/>
      </w:pPr>
      <w:r>
        <w:rPr>
          <w:spacing w:val="-6"/>
        </w:rPr>
        <w:t>沼气输气主管道应采用不燃材料，各连接部位应严密紧固，输气管应定期检查，并应及时排</w:t>
      </w:r>
      <w:r>
        <w:rPr>
          <w:spacing w:val="-4"/>
        </w:rPr>
        <w:t>除漏气点。</w:t>
      </w:r>
      <w:r>
        <w:t xml:space="preserve"> </w:t>
      </w:r>
    </w:p>
    <w:p w14:paraId="258B2BEE" w14:textId="77777777" w:rsidR="00A71EEF" w:rsidRDefault="0081115D">
      <w:pPr>
        <w:pStyle w:val="a4"/>
        <w:numPr>
          <w:ilvl w:val="2"/>
          <w:numId w:val="473"/>
        </w:numPr>
        <w:tabs>
          <w:tab w:val="left" w:pos="1370"/>
        </w:tabs>
        <w:ind w:hanging="530"/>
        <w:rPr>
          <w:sz w:val="21"/>
        </w:rPr>
      </w:pPr>
      <w:r>
        <w:rPr>
          <w:spacing w:val="-3"/>
          <w:sz w:val="21"/>
        </w:rPr>
        <w:t>瓶装液化石油气的使用应符合下列要求：</w:t>
      </w:r>
      <w:r>
        <w:rPr>
          <w:sz w:val="21"/>
        </w:rPr>
        <w:t xml:space="preserve"> </w:t>
      </w:r>
    </w:p>
    <w:p w14:paraId="67210F11" w14:textId="77777777" w:rsidR="00A71EEF" w:rsidRDefault="00A71EEF">
      <w:pPr>
        <w:pStyle w:val="a3"/>
        <w:rPr>
          <w:sz w:val="18"/>
        </w:rPr>
      </w:pPr>
    </w:p>
    <w:p w14:paraId="7A4BF58F" w14:textId="77777777" w:rsidR="00A71EEF" w:rsidRDefault="0081115D">
      <w:pPr>
        <w:pStyle w:val="a3"/>
        <w:ind w:left="838"/>
      </w:pPr>
      <w:r>
        <w:t>严禁在地下室存放和使用；</w:t>
      </w:r>
      <w:r>
        <w:t xml:space="preserve"> </w:t>
      </w:r>
    </w:p>
    <w:p w14:paraId="4F186EDA" w14:textId="77777777" w:rsidR="00A71EEF" w:rsidRDefault="00A71EEF">
      <w:pPr>
        <w:pStyle w:val="a3"/>
        <w:spacing w:before="2"/>
        <w:rPr>
          <w:sz w:val="18"/>
        </w:rPr>
      </w:pPr>
    </w:p>
    <w:p w14:paraId="77617D6E" w14:textId="77777777" w:rsidR="00A71EEF" w:rsidRDefault="0081115D">
      <w:pPr>
        <w:pStyle w:val="a3"/>
        <w:ind w:left="838"/>
      </w:pPr>
      <w:r>
        <w:rPr>
          <w:spacing w:val="-20"/>
        </w:rPr>
        <w:t>液化石油气钢瓶不应接近火源、热源，应防止日光直射，与灶具之</w:t>
      </w:r>
      <w:r>
        <w:rPr>
          <w:spacing w:val="-20"/>
        </w:rPr>
        <w:t>间的安全距离不应小于</w:t>
      </w:r>
      <w:r>
        <w:rPr>
          <w:spacing w:val="-52"/>
        </w:rPr>
        <w:t xml:space="preserve"> </w:t>
      </w:r>
      <w:r>
        <w:rPr>
          <w:spacing w:val="-3"/>
        </w:rPr>
        <w:t>0</w:t>
      </w:r>
      <w:r>
        <w:t>.5</w:t>
      </w:r>
      <w:r>
        <w:rPr>
          <w:spacing w:val="-3"/>
        </w:rPr>
        <w:t>m</w:t>
      </w:r>
      <w:r>
        <w:rPr>
          <w:spacing w:val="-111"/>
        </w:rPr>
        <w:t>；</w:t>
      </w:r>
      <w:r>
        <w:t xml:space="preserve"> </w:t>
      </w:r>
    </w:p>
    <w:p w14:paraId="7215D5CD" w14:textId="77777777" w:rsidR="00A71EEF" w:rsidRDefault="00A71EEF">
      <w:pPr>
        <w:pStyle w:val="a3"/>
        <w:spacing w:before="12"/>
        <w:rPr>
          <w:sz w:val="17"/>
        </w:rPr>
      </w:pPr>
    </w:p>
    <w:p w14:paraId="4AB80897" w14:textId="77777777" w:rsidR="00A71EEF" w:rsidRDefault="0081115D">
      <w:pPr>
        <w:pStyle w:val="a3"/>
        <w:ind w:left="838"/>
      </w:pPr>
      <w:r>
        <w:t>液化石油气钢瓶不应与化学危险物品混放；</w:t>
      </w:r>
      <w:r>
        <w:t xml:space="preserve"> </w:t>
      </w:r>
    </w:p>
    <w:p w14:paraId="112E7115" w14:textId="77777777" w:rsidR="00A71EEF" w:rsidRDefault="00A71EEF">
      <w:pPr>
        <w:pStyle w:val="a3"/>
        <w:spacing w:before="12"/>
        <w:rPr>
          <w:sz w:val="17"/>
        </w:rPr>
      </w:pPr>
    </w:p>
    <w:p w14:paraId="3DB4FF81" w14:textId="77777777" w:rsidR="00A71EEF" w:rsidRDefault="0081115D">
      <w:pPr>
        <w:pStyle w:val="a3"/>
        <w:spacing w:before="1" w:line="446" w:lineRule="auto"/>
        <w:ind w:left="418" w:right="1431" w:firstLine="419"/>
      </w:pPr>
      <w:r>
        <w:rPr>
          <w:spacing w:val="-7"/>
        </w:rPr>
        <w:t>严禁使用超量罐装的液化石油气钢瓶，严禁敲打、倒置、碰撞钢瓶，严禁随意倾倒残液和私</w:t>
      </w:r>
      <w:r>
        <w:rPr>
          <w:spacing w:val="-6"/>
        </w:rPr>
        <w:t>自灌气；</w:t>
      </w:r>
      <w:r>
        <w:t xml:space="preserve"> </w:t>
      </w:r>
    </w:p>
    <w:p w14:paraId="63BADFA3" w14:textId="77777777" w:rsidR="00A71EEF" w:rsidRDefault="0081115D">
      <w:pPr>
        <w:pStyle w:val="a3"/>
        <w:spacing w:line="446" w:lineRule="auto"/>
        <w:ind w:left="840" w:right="5288" w:hanging="3"/>
      </w:pPr>
      <w:r>
        <w:t>存放和使用液化石油气钢瓶的房间应通风良好。</w:t>
      </w:r>
      <w:r>
        <w:rPr>
          <w:b/>
        </w:rPr>
        <w:t xml:space="preserve">6.3.3 </w:t>
      </w:r>
      <w:r>
        <w:t>管道燃气的使用应符合下列要求：</w:t>
      </w:r>
      <w:r>
        <w:t xml:space="preserve"> </w:t>
      </w:r>
    </w:p>
    <w:p w14:paraId="13226003" w14:textId="77777777" w:rsidR="00A71EEF" w:rsidRDefault="0081115D">
      <w:pPr>
        <w:pStyle w:val="a3"/>
        <w:spacing w:line="446" w:lineRule="auto"/>
        <w:ind w:left="418" w:right="1431" w:firstLine="419"/>
      </w:pPr>
      <w:r>
        <w:rPr>
          <w:spacing w:val="-7"/>
        </w:rPr>
        <w:t>燃气管道的设计、敷设应符合国家标准《城镇燃气设计规范》</w:t>
      </w:r>
      <w:r>
        <w:t>GB 50028</w:t>
      </w:r>
      <w:r>
        <w:rPr>
          <w:spacing w:val="-9"/>
        </w:rPr>
        <w:t xml:space="preserve"> </w:t>
      </w:r>
      <w:r>
        <w:rPr>
          <w:spacing w:val="-9"/>
        </w:rPr>
        <w:t>的要求，并应由专业</w:t>
      </w:r>
      <w:r>
        <w:rPr>
          <w:spacing w:val="-5"/>
        </w:rPr>
        <w:t>人员设计、安装、维护；</w:t>
      </w:r>
      <w:r>
        <w:t xml:space="preserve"> </w:t>
      </w:r>
    </w:p>
    <w:p w14:paraId="28CA06DE" w14:textId="77777777" w:rsidR="00A71EEF" w:rsidRDefault="0081115D">
      <w:pPr>
        <w:pStyle w:val="a3"/>
        <w:spacing w:line="446" w:lineRule="auto"/>
        <w:ind w:left="418" w:right="1433" w:firstLine="419"/>
      </w:pPr>
      <w:r>
        <w:rPr>
          <w:spacing w:val="-6"/>
        </w:rPr>
        <w:t>进入建筑物内的燃气管道应采用镀锌钢管，严禁采用塑料管道，管道上应设置切断阀，穿墙</w:t>
      </w:r>
      <w:r>
        <w:rPr>
          <w:spacing w:val="-4"/>
        </w:rPr>
        <w:t>处应加设保护套管；</w:t>
      </w:r>
      <w:r>
        <w:t xml:space="preserve"> </w:t>
      </w:r>
    </w:p>
    <w:p w14:paraId="697639D4" w14:textId="77777777" w:rsidR="00A71EEF" w:rsidRDefault="0081115D">
      <w:pPr>
        <w:pStyle w:val="a3"/>
        <w:spacing w:line="446" w:lineRule="auto"/>
        <w:ind w:left="418" w:right="1431" w:firstLine="419"/>
      </w:pPr>
      <w:r>
        <w:t xml:space="preserve"> </w:t>
      </w:r>
      <w:r>
        <w:rPr>
          <w:spacing w:val="-11"/>
        </w:rPr>
        <w:t>燃气管道不应设在卧室内。燃气计量表具宜安装在通风良好的部位，严禁安装在卧室、浴室</w:t>
      </w:r>
      <w:r>
        <w:rPr>
          <w:spacing w:val="-8"/>
        </w:rPr>
        <w:t>等场所；</w:t>
      </w:r>
      <w:r>
        <w:t xml:space="preserve"> </w:t>
      </w:r>
    </w:p>
    <w:p w14:paraId="77956948" w14:textId="77777777" w:rsidR="00A71EEF" w:rsidRDefault="0081115D">
      <w:pPr>
        <w:pStyle w:val="a3"/>
        <w:spacing w:line="446" w:lineRule="auto"/>
        <w:ind w:left="418" w:right="3503" w:firstLine="419"/>
        <w:rPr>
          <w:b/>
        </w:rPr>
      </w:pPr>
      <w:r>
        <w:t xml:space="preserve"> </w:t>
      </w:r>
      <w:r>
        <w:rPr>
          <w:spacing w:val="-3"/>
        </w:rPr>
        <w:t>使用燃气场所应通风良好，发生火灾应立即关闭阀门，切断气源。</w:t>
      </w:r>
      <w:r>
        <w:rPr>
          <w:b/>
          <w:spacing w:val="31"/>
        </w:rPr>
        <w:t xml:space="preserve">6.4 </w:t>
      </w:r>
      <w:r>
        <w:rPr>
          <w:spacing w:val="-24"/>
        </w:rPr>
        <w:t>用</w:t>
      </w:r>
      <w:r>
        <w:rPr>
          <w:spacing w:val="-24"/>
        </w:rPr>
        <w:t xml:space="preserve"> </w:t>
      </w:r>
      <w:r>
        <w:rPr>
          <w:spacing w:val="-24"/>
        </w:rPr>
        <w:t>油</w:t>
      </w:r>
      <w:r>
        <w:rPr>
          <w:spacing w:val="-24"/>
        </w:rPr>
        <w:t xml:space="preserve"> </w:t>
      </w:r>
      <w:r>
        <w:t>（</w:t>
      </w:r>
      <w:r>
        <w:rPr>
          <w:spacing w:val="-29"/>
        </w:rPr>
        <w:t xml:space="preserve"> </w:t>
      </w:r>
      <w:r>
        <w:rPr>
          <w:spacing w:val="-29"/>
        </w:rPr>
        <w:t>可</w:t>
      </w:r>
      <w:r>
        <w:rPr>
          <w:spacing w:val="-29"/>
        </w:rPr>
        <w:t xml:space="preserve"> </w:t>
      </w:r>
      <w:r>
        <w:rPr>
          <w:spacing w:val="-29"/>
        </w:rPr>
        <w:t>燃</w:t>
      </w:r>
      <w:r>
        <w:rPr>
          <w:spacing w:val="-29"/>
        </w:rPr>
        <w:t xml:space="preserve"> </w:t>
      </w:r>
      <w:r>
        <w:rPr>
          <w:spacing w:val="-29"/>
        </w:rPr>
        <w:t>液</w:t>
      </w:r>
      <w:r>
        <w:rPr>
          <w:spacing w:val="-29"/>
        </w:rPr>
        <w:t xml:space="preserve"> </w:t>
      </w:r>
      <w:r>
        <w:rPr>
          <w:spacing w:val="-29"/>
        </w:rPr>
        <w:t>体</w:t>
      </w:r>
      <w:r>
        <w:rPr>
          <w:spacing w:val="-29"/>
        </w:rPr>
        <w:t xml:space="preserve"> </w:t>
      </w:r>
      <w:r>
        <w:t>）</w:t>
      </w:r>
      <w:r>
        <w:rPr>
          <w:spacing w:val="-46"/>
        </w:rPr>
        <w:t xml:space="preserve"> </w:t>
      </w:r>
      <w:r>
        <w:rPr>
          <w:b/>
          <w:w w:val="99"/>
        </w:rPr>
        <w:t xml:space="preserve"> </w:t>
      </w:r>
    </w:p>
    <w:p w14:paraId="39F4E53E" w14:textId="77777777" w:rsidR="00A71EEF" w:rsidRDefault="0081115D">
      <w:pPr>
        <w:pStyle w:val="a4"/>
        <w:numPr>
          <w:ilvl w:val="2"/>
          <w:numId w:val="467"/>
        </w:numPr>
        <w:tabs>
          <w:tab w:val="left" w:pos="1370"/>
        </w:tabs>
        <w:spacing w:line="267" w:lineRule="exact"/>
        <w:ind w:hanging="530"/>
        <w:rPr>
          <w:sz w:val="21"/>
        </w:rPr>
      </w:pPr>
      <w:r>
        <w:rPr>
          <w:spacing w:val="-3"/>
          <w:sz w:val="21"/>
        </w:rPr>
        <w:t>汽油、煤油、柴油、酒精等可燃液体不应存放在居室内，且应远离火源、热源。</w:t>
      </w:r>
      <w:r>
        <w:rPr>
          <w:sz w:val="21"/>
        </w:rPr>
        <w:t xml:space="preserve"> </w:t>
      </w:r>
    </w:p>
    <w:p w14:paraId="030B5F8F" w14:textId="77777777" w:rsidR="00A71EEF" w:rsidRDefault="00A71EEF">
      <w:pPr>
        <w:pStyle w:val="a3"/>
        <w:spacing w:before="12"/>
        <w:rPr>
          <w:sz w:val="17"/>
        </w:rPr>
      </w:pPr>
    </w:p>
    <w:p w14:paraId="665D90DE" w14:textId="77777777" w:rsidR="00A71EEF" w:rsidRDefault="0081115D">
      <w:pPr>
        <w:pStyle w:val="a4"/>
        <w:numPr>
          <w:ilvl w:val="2"/>
          <w:numId w:val="467"/>
        </w:numPr>
        <w:tabs>
          <w:tab w:val="left" w:pos="1371"/>
        </w:tabs>
        <w:ind w:left="1370" w:hanging="531"/>
        <w:rPr>
          <w:sz w:val="21"/>
        </w:rPr>
      </w:pPr>
      <w:r>
        <w:rPr>
          <w:spacing w:val="-3"/>
          <w:sz w:val="21"/>
        </w:rPr>
        <w:t>使用油类等可燃液体燃料的炉灶、取暖炉等设备必须在熄火降温后充装燃料。</w:t>
      </w:r>
      <w:r>
        <w:rPr>
          <w:sz w:val="21"/>
        </w:rPr>
        <w:t xml:space="preserve"> </w:t>
      </w:r>
    </w:p>
    <w:p w14:paraId="2E8B7D07" w14:textId="77777777" w:rsidR="00A71EEF" w:rsidRDefault="00A71EEF">
      <w:pPr>
        <w:pStyle w:val="a3"/>
        <w:rPr>
          <w:sz w:val="18"/>
        </w:rPr>
      </w:pPr>
    </w:p>
    <w:p w14:paraId="384840FF" w14:textId="77777777" w:rsidR="00A71EEF" w:rsidRDefault="0081115D">
      <w:pPr>
        <w:pStyle w:val="a4"/>
        <w:numPr>
          <w:ilvl w:val="2"/>
          <w:numId w:val="467"/>
        </w:numPr>
        <w:tabs>
          <w:tab w:val="left" w:pos="1370"/>
        </w:tabs>
        <w:spacing w:line="446" w:lineRule="auto"/>
        <w:ind w:left="418" w:right="1604" w:firstLine="422"/>
        <w:rPr>
          <w:sz w:val="21"/>
        </w:rPr>
      </w:pPr>
      <w:r>
        <w:rPr>
          <w:spacing w:val="-3"/>
          <w:sz w:val="21"/>
        </w:rPr>
        <w:t>严禁对盛装或盛装过可燃液体且未采取安全置换措施的存储容器进行电</w:t>
      </w:r>
      <w:r>
        <w:rPr>
          <w:spacing w:val="-3"/>
          <w:sz w:val="21"/>
        </w:rPr>
        <w:t>焊等明火作业。</w:t>
      </w:r>
      <w:r>
        <w:rPr>
          <w:sz w:val="21"/>
        </w:rPr>
        <w:t xml:space="preserve"> </w:t>
      </w:r>
    </w:p>
    <w:p w14:paraId="46F24D1B" w14:textId="77777777" w:rsidR="00A71EEF" w:rsidRDefault="0081115D">
      <w:pPr>
        <w:pStyle w:val="a4"/>
        <w:numPr>
          <w:ilvl w:val="2"/>
          <w:numId w:val="467"/>
        </w:numPr>
        <w:tabs>
          <w:tab w:val="left" w:pos="1370"/>
        </w:tabs>
        <w:ind w:hanging="530"/>
        <w:rPr>
          <w:sz w:val="21"/>
        </w:rPr>
      </w:pPr>
      <w:r>
        <w:rPr>
          <w:spacing w:val="-3"/>
          <w:sz w:val="21"/>
        </w:rPr>
        <w:t>使用汽油等有机溶剂清洗作业时，应采取防静电、防撞击等防止产生火花的措施。</w:t>
      </w:r>
      <w:r>
        <w:rPr>
          <w:sz w:val="21"/>
        </w:rPr>
        <w:t xml:space="preserve"> </w:t>
      </w:r>
    </w:p>
    <w:p w14:paraId="5884CFD0" w14:textId="77777777" w:rsidR="00A71EEF" w:rsidRDefault="00A71EEF">
      <w:pPr>
        <w:rPr>
          <w:sz w:val="21"/>
        </w:rPr>
        <w:sectPr w:rsidR="00A71EEF">
          <w:pgSz w:w="11910" w:h="16850"/>
          <w:pgMar w:top="1220" w:right="0" w:bottom="1420" w:left="1260" w:header="0" w:footer="1239" w:gutter="0"/>
          <w:cols w:space="720"/>
        </w:sectPr>
      </w:pPr>
    </w:p>
    <w:p w14:paraId="7A253194" w14:textId="77777777" w:rsidR="00A71EEF" w:rsidRDefault="0081115D">
      <w:pPr>
        <w:pStyle w:val="a4"/>
        <w:numPr>
          <w:ilvl w:val="2"/>
          <w:numId w:val="467"/>
        </w:numPr>
        <w:tabs>
          <w:tab w:val="left" w:pos="1370"/>
        </w:tabs>
        <w:spacing w:before="47" w:line="446" w:lineRule="auto"/>
        <w:ind w:left="418" w:right="1604" w:firstLine="422"/>
        <w:rPr>
          <w:sz w:val="21"/>
        </w:rPr>
      </w:pPr>
      <w:r>
        <w:rPr>
          <w:spacing w:val="-3"/>
          <w:sz w:val="21"/>
        </w:rPr>
        <w:t>严禁使用玻璃瓶、塑料桶等易碎或易产生静电的非金属容器盛装汽油、煤油、酒精等甲、乙类液体。</w:t>
      </w:r>
      <w:r>
        <w:rPr>
          <w:sz w:val="21"/>
        </w:rPr>
        <w:t xml:space="preserve"> </w:t>
      </w:r>
    </w:p>
    <w:p w14:paraId="7FEC04DB" w14:textId="77777777" w:rsidR="00A71EEF" w:rsidRDefault="0081115D">
      <w:pPr>
        <w:pStyle w:val="a4"/>
        <w:numPr>
          <w:ilvl w:val="2"/>
          <w:numId w:val="467"/>
        </w:numPr>
        <w:tabs>
          <w:tab w:val="left" w:pos="1370"/>
        </w:tabs>
        <w:spacing w:line="267" w:lineRule="exact"/>
        <w:ind w:hanging="530"/>
        <w:rPr>
          <w:sz w:val="21"/>
        </w:rPr>
      </w:pPr>
      <w:r>
        <w:rPr>
          <w:spacing w:val="-3"/>
          <w:sz w:val="21"/>
        </w:rPr>
        <w:t>室内的燃油管道应采用金属管道并设有事故切断阀，严禁采用塑料管道。</w:t>
      </w:r>
      <w:r>
        <w:rPr>
          <w:spacing w:val="-3"/>
          <w:sz w:val="21"/>
        </w:rPr>
        <w:t xml:space="preserve"> </w:t>
      </w:r>
    </w:p>
    <w:p w14:paraId="1C833CC6" w14:textId="77777777" w:rsidR="00A71EEF" w:rsidRDefault="00A71EEF">
      <w:pPr>
        <w:pStyle w:val="a3"/>
        <w:spacing w:before="2"/>
        <w:rPr>
          <w:sz w:val="18"/>
        </w:rPr>
      </w:pPr>
    </w:p>
    <w:p w14:paraId="71BF2B1A" w14:textId="77777777" w:rsidR="00A71EEF" w:rsidRDefault="0081115D">
      <w:pPr>
        <w:pStyle w:val="a4"/>
        <w:numPr>
          <w:ilvl w:val="2"/>
          <w:numId w:val="467"/>
        </w:numPr>
        <w:tabs>
          <w:tab w:val="left" w:pos="1370"/>
        </w:tabs>
        <w:ind w:hanging="530"/>
        <w:rPr>
          <w:sz w:val="21"/>
        </w:rPr>
      </w:pPr>
      <w:r>
        <w:rPr>
          <w:spacing w:val="-3"/>
          <w:sz w:val="21"/>
        </w:rPr>
        <w:t>含有有机溶剂的化妆品、充有可燃液体的打火机等应远离火源、热源。</w:t>
      </w:r>
      <w:r>
        <w:rPr>
          <w:spacing w:val="-3"/>
          <w:sz w:val="21"/>
        </w:rPr>
        <w:t xml:space="preserve"> </w:t>
      </w:r>
    </w:p>
    <w:p w14:paraId="4DE586F8" w14:textId="77777777" w:rsidR="00A71EEF" w:rsidRDefault="00A71EEF">
      <w:pPr>
        <w:pStyle w:val="a3"/>
        <w:rPr>
          <w:sz w:val="18"/>
        </w:rPr>
      </w:pPr>
    </w:p>
    <w:p w14:paraId="7977C21D" w14:textId="77777777" w:rsidR="00A71EEF" w:rsidRDefault="0081115D">
      <w:pPr>
        <w:pStyle w:val="a4"/>
        <w:numPr>
          <w:ilvl w:val="2"/>
          <w:numId w:val="467"/>
        </w:numPr>
        <w:tabs>
          <w:tab w:val="left" w:pos="1370"/>
        </w:tabs>
        <w:ind w:hanging="530"/>
        <w:rPr>
          <w:sz w:val="21"/>
        </w:rPr>
      </w:pPr>
      <w:r>
        <w:rPr>
          <w:spacing w:val="-3"/>
          <w:sz w:val="21"/>
        </w:rPr>
        <w:t>销售、使用可燃液体的场所应采取防静电和防止火花发生的措施。</w:t>
      </w:r>
      <w:r>
        <w:rPr>
          <w:sz w:val="21"/>
        </w:rPr>
        <w:t xml:space="preserve"> </w:t>
      </w:r>
    </w:p>
    <w:p w14:paraId="025ED391" w14:textId="77777777" w:rsidR="00A71EEF" w:rsidRDefault="00A71EEF">
      <w:pPr>
        <w:pStyle w:val="a3"/>
        <w:rPr>
          <w:sz w:val="20"/>
        </w:rPr>
      </w:pPr>
    </w:p>
    <w:p w14:paraId="0AE70D10" w14:textId="77777777" w:rsidR="00A71EEF" w:rsidRDefault="00A71EEF">
      <w:pPr>
        <w:pStyle w:val="a3"/>
        <w:rPr>
          <w:sz w:val="20"/>
        </w:rPr>
      </w:pPr>
    </w:p>
    <w:p w14:paraId="5CECD8CF" w14:textId="77777777" w:rsidR="00A71EEF" w:rsidRDefault="00A71EEF">
      <w:pPr>
        <w:pStyle w:val="a3"/>
        <w:rPr>
          <w:sz w:val="20"/>
        </w:rPr>
      </w:pPr>
    </w:p>
    <w:p w14:paraId="05465E4D" w14:textId="77777777" w:rsidR="00A71EEF" w:rsidRDefault="00A71EEF">
      <w:pPr>
        <w:pStyle w:val="a3"/>
        <w:rPr>
          <w:sz w:val="20"/>
        </w:rPr>
      </w:pPr>
    </w:p>
    <w:p w14:paraId="779C63BF" w14:textId="77777777" w:rsidR="00A71EEF" w:rsidRDefault="00A71EEF">
      <w:pPr>
        <w:pStyle w:val="a3"/>
        <w:rPr>
          <w:sz w:val="20"/>
        </w:rPr>
      </w:pPr>
    </w:p>
    <w:p w14:paraId="45AB83EF" w14:textId="77777777" w:rsidR="00A71EEF" w:rsidRDefault="00A71EEF">
      <w:pPr>
        <w:pStyle w:val="a3"/>
        <w:rPr>
          <w:sz w:val="20"/>
        </w:rPr>
      </w:pPr>
    </w:p>
    <w:p w14:paraId="5FF130E1" w14:textId="77777777" w:rsidR="00A71EEF" w:rsidRDefault="00A71EEF">
      <w:pPr>
        <w:pStyle w:val="a3"/>
        <w:rPr>
          <w:sz w:val="20"/>
        </w:rPr>
      </w:pPr>
    </w:p>
    <w:p w14:paraId="42ED0566" w14:textId="77777777" w:rsidR="00A71EEF" w:rsidRDefault="00A71EEF">
      <w:pPr>
        <w:pStyle w:val="a3"/>
        <w:spacing w:before="8"/>
        <w:rPr>
          <w:sz w:val="28"/>
        </w:rPr>
      </w:pPr>
    </w:p>
    <w:p w14:paraId="19F4F5D8" w14:textId="77777777" w:rsidR="00A71EEF" w:rsidRDefault="0081115D">
      <w:pPr>
        <w:pStyle w:val="a3"/>
        <w:spacing w:before="72"/>
        <w:ind w:left="3298"/>
      </w:pPr>
      <w:r>
        <w:t xml:space="preserve"> </w:t>
      </w:r>
    </w:p>
    <w:p w14:paraId="65882680" w14:textId="77777777" w:rsidR="00A71EEF" w:rsidRDefault="00A71EEF">
      <w:pPr>
        <w:sectPr w:rsidR="00A71EEF">
          <w:footerReference w:type="default" r:id="rId299"/>
          <w:pgSz w:w="11910" w:h="16850"/>
          <w:pgMar w:top="1220" w:right="0" w:bottom="1420" w:left="1260" w:header="0" w:footer="1239" w:gutter="0"/>
          <w:pgNumType w:start="1220"/>
          <w:cols w:space="720"/>
        </w:sectPr>
      </w:pPr>
    </w:p>
    <w:p w14:paraId="3339DDD5" w14:textId="77777777" w:rsidR="00A71EEF" w:rsidRDefault="0081115D">
      <w:pPr>
        <w:pStyle w:val="2"/>
        <w:spacing w:before="157"/>
        <w:ind w:right="800"/>
        <w:rPr>
          <w:sz w:val="44"/>
        </w:rPr>
      </w:pPr>
      <w:bookmarkStart w:id="21" w:name="_bookmark21"/>
      <w:bookmarkEnd w:id="21"/>
      <w:r>
        <w:t>消防监督技术装备配备</w:t>
      </w:r>
      <w:r>
        <w:rPr>
          <w:w w:val="99"/>
          <w:sz w:val="44"/>
        </w:rPr>
        <w:t xml:space="preserve"> </w:t>
      </w:r>
    </w:p>
    <w:p w14:paraId="4E000C58" w14:textId="77777777" w:rsidR="00A71EEF" w:rsidRDefault="00A71EEF">
      <w:pPr>
        <w:pStyle w:val="a3"/>
        <w:rPr>
          <w:b/>
          <w:sz w:val="20"/>
        </w:rPr>
      </w:pPr>
    </w:p>
    <w:p w14:paraId="72E66F3F" w14:textId="77777777" w:rsidR="00A71EEF" w:rsidRDefault="00A71EEF">
      <w:pPr>
        <w:pStyle w:val="a3"/>
        <w:spacing w:before="5"/>
        <w:rPr>
          <w:b/>
          <w:sz w:val="14"/>
        </w:rPr>
      </w:pPr>
    </w:p>
    <w:p w14:paraId="0D46B794" w14:textId="77777777" w:rsidR="00A71EEF" w:rsidRDefault="0081115D">
      <w:pPr>
        <w:pStyle w:val="4"/>
        <w:spacing w:before="66"/>
      </w:pPr>
      <w:r>
        <w:t xml:space="preserve">1 </w:t>
      </w:r>
      <w:r>
        <w:t>范围</w:t>
      </w:r>
      <w:r>
        <w:rPr>
          <w:w w:val="99"/>
        </w:rPr>
        <w:t xml:space="preserve"> </w:t>
      </w:r>
    </w:p>
    <w:p w14:paraId="6CFD6D9F" w14:textId="77777777" w:rsidR="00A71EEF" w:rsidRDefault="00A71EEF">
      <w:pPr>
        <w:pStyle w:val="a3"/>
        <w:spacing w:before="4"/>
        <w:rPr>
          <w:b/>
          <w:sz w:val="17"/>
        </w:rPr>
      </w:pPr>
    </w:p>
    <w:p w14:paraId="51636A31" w14:textId="77777777" w:rsidR="00A71EEF" w:rsidRDefault="0081115D">
      <w:pPr>
        <w:pStyle w:val="a3"/>
        <w:spacing w:line="446" w:lineRule="auto"/>
        <w:ind w:left="418" w:right="1609" w:firstLine="419"/>
      </w:pPr>
      <w:r>
        <w:t>本标准规定了公安机关消防机构和具有消防监督职责的公安派出所消防监督技术装备的配备级别、类别、配备原则、配备要求和维护管理等内容。</w:t>
      </w:r>
      <w:r>
        <w:t xml:space="preserve"> </w:t>
      </w:r>
    </w:p>
    <w:p w14:paraId="6DEDB656" w14:textId="77777777" w:rsidR="00A71EEF" w:rsidRDefault="0081115D">
      <w:pPr>
        <w:pStyle w:val="a3"/>
        <w:spacing w:line="446" w:lineRule="auto"/>
        <w:ind w:left="418" w:right="1608" w:firstLine="419"/>
        <w:jc w:val="both"/>
      </w:pPr>
      <w:r>
        <w:rPr>
          <w:spacing w:val="-3"/>
        </w:rPr>
        <w:t>本标准适用于各级公安机关消防机构和具有消防监督职责的公安派出所的消防监督技术装备配备。具有法定消防监督职责的公安机关参照执行。法人和其他组织的消防安全管理部门可根据需要参照执行。</w:t>
      </w:r>
      <w:r>
        <w:t xml:space="preserve"> </w:t>
      </w:r>
    </w:p>
    <w:p w14:paraId="5378E798" w14:textId="77777777" w:rsidR="00A71EEF" w:rsidRDefault="0081115D">
      <w:pPr>
        <w:pStyle w:val="4"/>
        <w:spacing w:line="277" w:lineRule="exact"/>
      </w:pPr>
      <w:r>
        <w:t>2</w:t>
      </w:r>
      <w:r>
        <w:rPr>
          <w:spacing w:val="-2"/>
        </w:rPr>
        <w:t xml:space="preserve"> </w:t>
      </w:r>
      <w:r>
        <w:rPr>
          <w:spacing w:val="-2"/>
        </w:rPr>
        <w:t>规范性引用文件</w:t>
      </w:r>
      <w:r>
        <w:rPr>
          <w:spacing w:val="-2"/>
          <w:w w:val="99"/>
        </w:rPr>
        <w:t xml:space="preserve"> </w:t>
      </w:r>
    </w:p>
    <w:p w14:paraId="605990DA" w14:textId="77777777" w:rsidR="00A71EEF" w:rsidRDefault="00A71EEF">
      <w:pPr>
        <w:pStyle w:val="a3"/>
        <w:spacing w:before="4"/>
        <w:rPr>
          <w:b/>
          <w:sz w:val="17"/>
        </w:rPr>
      </w:pPr>
    </w:p>
    <w:p w14:paraId="6716E4D8" w14:textId="77777777" w:rsidR="00A71EEF" w:rsidRDefault="0081115D">
      <w:pPr>
        <w:pStyle w:val="a3"/>
        <w:spacing w:line="446" w:lineRule="auto"/>
        <w:ind w:left="418" w:right="1505" w:firstLine="419"/>
      </w:pPr>
      <w:r>
        <w:rPr>
          <w:spacing w:val="-3"/>
        </w:rPr>
        <w:t>下列文件中的条款通过本标准的引用而成为本标准的条款。凡是注日期的引用文件，其随后所</w:t>
      </w:r>
      <w:r>
        <w:rPr>
          <w:spacing w:val="-3"/>
        </w:rPr>
        <w:t>有的修改单</w:t>
      </w:r>
      <w:r>
        <w:rPr>
          <w:spacing w:val="-3"/>
        </w:rPr>
        <w:t>(</w:t>
      </w:r>
      <w:r>
        <w:rPr>
          <w:spacing w:val="-3"/>
        </w:rPr>
        <w:t>不包括勘误的内容）或修订版均不适用于本标准，然而，鼓励根据本标准达成协议的各方研究是否可使用这些文件的最新版本。凡是不注日期的引用文件，其最新版本适用于本标准。</w:t>
      </w:r>
      <w:r>
        <w:t xml:space="preserve"> </w:t>
      </w:r>
    </w:p>
    <w:p w14:paraId="745610A7" w14:textId="77777777" w:rsidR="00A71EEF" w:rsidRDefault="0081115D">
      <w:pPr>
        <w:pStyle w:val="a3"/>
        <w:spacing w:line="446" w:lineRule="auto"/>
        <w:ind w:left="838" w:right="6023"/>
      </w:pPr>
      <w:r>
        <w:t xml:space="preserve">GB/T 5907  </w:t>
      </w:r>
      <w:r>
        <w:t>消防基本术语</w:t>
      </w:r>
      <w:r>
        <w:t xml:space="preserve">  </w:t>
      </w:r>
      <w:r>
        <w:t>第一部分</w:t>
      </w:r>
      <w:r>
        <w:t xml:space="preserve">GB/T 6223 </w:t>
      </w:r>
      <w:r>
        <w:t>自吸过滤式防微粒口罩</w:t>
      </w:r>
      <w:r>
        <w:t xml:space="preserve"> </w:t>
      </w:r>
    </w:p>
    <w:p w14:paraId="24C9BCDF" w14:textId="77777777" w:rsidR="00A71EEF" w:rsidRDefault="0081115D">
      <w:pPr>
        <w:pStyle w:val="4"/>
        <w:spacing w:line="277" w:lineRule="exact"/>
      </w:pPr>
      <w:r>
        <w:t xml:space="preserve">3 </w:t>
      </w:r>
      <w:r>
        <w:t>术语和定义</w:t>
      </w:r>
      <w:r>
        <w:rPr>
          <w:w w:val="99"/>
        </w:rPr>
        <w:t xml:space="preserve"> </w:t>
      </w:r>
    </w:p>
    <w:p w14:paraId="6A5F878F" w14:textId="77777777" w:rsidR="00A71EEF" w:rsidRDefault="00A71EEF">
      <w:pPr>
        <w:pStyle w:val="a3"/>
        <w:spacing w:before="1"/>
        <w:rPr>
          <w:b/>
          <w:sz w:val="17"/>
        </w:rPr>
      </w:pPr>
    </w:p>
    <w:p w14:paraId="6DE05CE7" w14:textId="77777777" w:rsidR="00A71EEF" w:rsidRDefault="0081115D">
      <w:pPr>
        <w:pStyle w:val="a3"/>
        <w:ind w:left="838"/>
      </w:pPr>
      <w:r>
        <w:t xml:space="preserve">GB/T 5907 </w:t>
      </w:r>
      <w:r>
        <w:t>中确立的以及下列术语和定义适用于本标准。</w:t>
      </w:r>
      <w:r>
        <w:t xml:space="preserve"> </w:t>
      </w:r>
    </w:p>
    <w:p w14:paraId="5358EF98" w14:textId="77777777" w:rsidR="00A71EEF" w:rsidRDefault="00A71EEF">
      <w:pPr>
        <w:pStyle w:val="a3"/>
        <w:spacing w:before="2"/>
        <w:rPr>
          <w:sz w:val="18"/>
        </w:rPr>
      </w:pPr>
    </w:p>
    <w:p w14:paraId="15EC86CB" w14:textId="77777777" w:rsidR="00A71EEF" w:rsidRDefault="0081115D">
      <w:pPr>
        <w:pStyle w:val="a4"/>
        <w:numPr>
          <w:ilvl w:val="1"/>
          <w:numId w:val="466"/>
        </w:numPr>
        <w:tabs>
          <w:tab w:val="left" w:pos="1213"/>
        </w:tabs>
        <w:ind w:hanging="373"/>
        <w:rPr>
          <w:sz w:val="21"/>
        </w:rPr>
      </w:pPr>
      <w:r>
        <w:rPr>
          <w:spacing w:val="-3"/>
          <w:sz w:val="21"/>
        </w:rPr>
        <w:t>消防监督技术装备</w:t>
      </w:r>
      <w:r>
        <w:rPr>
          <w:spacing w:val="-3"/>
          <w:sz w:val="21"/>
        </w:rPr>
        <w:t xml:space="preserve"> </w:t>
      </w:r>
      <w:r>
        <w:rPr>
          <w:sz w:val="21"/>
        </w:rPr>
        <w:t>technical</w:t>
      </w:r>
      <w:r>
        <w:rPr>
          <w:spacing w:val="1"/>
          <w:sz w:val="21"/>
        </w:rPr>
        <w:t xml:space="preserve"> </w:t>
      </w:r>
      <w:r>
        <w:rPr>
          <w:sz w:val="21"/>
        </w:rPr>
        <w:t>equipments for</w:t>
      </w:r>
      <w:r>
        <w:rPr>
          <w:spacing w:val="-2"/>
          <w:sz w:val="21"/>
        </w:rPr>
        <w:t xml:space="preserve"> </w:t>
      </w:r>
      <w:r>
        <w:rPr>
          <w:sz w:val="21"/>
        </w:rPr>
        <w:t>fire</w:t>
      </w:r>
      <w:r>
        <w:rPr>
          <w:spacing w:val="1"/>
          <w:sz w:val="21"/>
        </w:rPr>
        <w:t xml:space="preserve"> </w:t>
      </w:r>
      <w:r>
        <w:rPr>
          <w:sz w:val="21"/>
        </w:rPr>
        <w:t xml:space="preserve">supervision </w:t>
      </w:r>
    </w:p>
    <w:p w14:paraId="2DFBD4CB" w14:textId="77777777" w:rsidR="00A71EEF" w:rsidRDefault="00A71EEF">
      <w:pPr>
        <w:pStyle w:val="a3"/>
        <w:rPr>
          <w:sz w:val="18"/>
        </w:rPr>
      </w:pPr>
    </w:p>
    <w:p w14:paraId="311F2851" w14:textId="77777777" w:rsidR="00A71EEF" w:rsidRDefault="0081115D">
      <w:pPr>
        <w:pStyle w:val="a3"/>
        <w:spacing w:line="446" w:lineRule="auto"/>
        <w:ind w:left="418" w:right="1609" w:firstLine="419"/>
      </w:pPr>
      <w:r>
        <w:t>用于建设工程消防验收和竣工验收检査、消防监督检査、火灾事故调査、消防宣传教育业务的技术装备的总称。</w:t>
      </w:r>
      <w:r>
        <w:t xml:space="preserve"> </w:t>
      </w:r>
    </w:p>
    <w:p w14:paraId="135A8A96" w14:textId="77777777" w:rsidR="00A71EEF" w:rsidRDefault="0081115D">
      <w:pPr>
        <w:pStyle w:val="a4"/>
        <w:numPr>
          <w:ilvl w:val="1"/>
          <w:numId w:val="466"/>
        </w:numPr>
        <w:tabs>
          <w:tab w:val="left" w:pos="1213"/>
        </w:tabs>
        <w:ind w:hanging="373"/>
        <w:rPr>
          <w:sz w:val="21"/>
        </w:rPr>
      </w:pPr>
      <w:r>
        <w:rPr>
          <w:spacing w:val="-3"/>
          <w:sz w:val="21"/>
        </w:rPr>
        <w:t>消防安全教育专用车</w:t>
      </w:r>
      <w:r>
        <w:rPr>
          <w:spacing w:val="-3"/>
          <w:sz w:val="21"/>
        </w:rPr>
        <w:t xml:space="preserve"> </w:t>
      </w:r>
      <w:r>
        <w:rPr>
          <w:sz w:val="21"/>
        </w:rPr>
        <w:t>special</w:t>
      </w:r>
      <w:r>
        <w:rPr>
          <w:spacing w:val="1"/>
          <w:sz w:val="21"/>
        </w:rPr>
        <w:t xml:space="preserve"> </w:t>
      </w:r>
      <w:r>
        <w:rPr>
          <w:sz w:val="21"/>
        </w:rPr>
        <w:t>vehicle</w:t>
      </w:r>
      <w:r>
        <w:rPr>
          <w:spacing w:val="1"/>
          <w:sz w:val="21"/>
        </w:rPr>
        <w:t xml:space="preserve"> </w:t>
      </w:r>
      <w:r>
        <w:rPr>
          <w:sz w:val="21"/>
        </w:rPr>
        <w:t>for fire</w:t>
      </w:r>
      <w:r>
        <w:rPr>
          <w:spacing w:val="1"/>
          <w:sz w:val="21"/>
        </w:rPr>
        <w:t xml:space="preserve"> </w:t>
      </w:r>
      <w:r>
        <w:rPr>
          <w:sz w:val="21"/>
        </w:rPr>
        <w:t>safety</w:t>
      </w:r>
      <w:r>
        <w:rPr>
          <w:spacing w:val="1"/>
          <w:sz w:val="21"/>
        </w:rPr>
        <w:t xml:space="preserve"> </w:t>
      </w:r>
      <w:r>
        <w:rPr>
          <w:sz w:val="21"/>
        </w:rPr>
        <w:t xml:space="preserve">education </w:t>
      </w:r>
    </w:p>
    <w:p w14:paraId="13836A32" w14:textId="77777777" w:rsidR="00A71EEF" w:rsidRDefault="00A71EEF">
      <w:pPr>
        <w:pStyle w:val="a3"/>
        <w:rPr>
          <w:sz w:val="18"/>
        </w:rPr>
      </w:pPr>
    </w:p>
    <w:p w14:paraId="338DC181" w14:textId="77777777" w:rsidR="00A71EEF" w:rsidRDefault="0081115D">
      <w:pPr>
        <w:pStyle w:val="a3"/>
        <w:spacing w:line="446" w:lineRule="auto"/>
        <w:ind w:left="418" w:right="1609" w:firstLine="419"/>
      </w:pPr>
      <w:r>
        <w:t>用于对社会进行消防安全常识和逃生自救技能的宣传教育和培训的专用车辆，具有知识宣传、模拟体验和声像演示等功能。</w:t>
      </w:r>
      <w:r>
        <w:t xml:space="preserve"> </w:t>
      </w:r>
    </w:p>
    <w:p w14:paraId="60453453" w14:textId="77777777" w:rsidR="00A71EEF" w:rsidRDefault="0081115D">
      <w:pPr>
        <w:pStyle w:val="4"/>
        <w:spacing w:line="277" w:lineRule="exact"/>
      </w:pPr>
      <w:r>
        <w:t xml:space="preserve">4 </w:t>
      </w:r>
      <w:r>
        <w:t>总则</w:t>
      </w:r>
      <w:r>
        <w:rPr>
          <w:w w:val="99"/>
        </w:rPr>
        <w:t xml:space="preserve"> </w:t>
      </w:r>
    </w:p>
    <w:p w14:paraId="59F53269" w14:textId="77777777" w:rsidR="00A71EEF" w:rsidRDefault="00A71EEF">
      <w:pPr>
        <w:pStyle w:val="a3"/>
        <w:spacing w:before="4"/>
        <w:rPr>
          <w:b/>
          <w:sz w:val="17"/>
        </w:rPr>
      </w:pPr>
    </w:p>
    <w:p w14:paraId="2E9BD351" w14:textId="77777777" w:rsidR="00A71EEF" w:rsidRDefault="0081115D">
      <w:pPr>
        <w:ind w:left="840"/>
        <w:rPr>
          <w:sz w:val="21"/>
        </w:rPr>
      </w:pPr>
      <w:r>
        <w:rPr>
          <w:b/>
          <w:sz w:val="21"/>
        </w:rPr>
        <w:t>4.1</w:t>
      </w:r>
      <w:r>
        <w:rPr>
          <w:b/>
          <w:spacing w:val="5"/>
          <w:sz w:val="21"/>
        </w:rPr>
        <w:t xml:space="preserve"> </w:t>
      </w:r>
      <w:r>
        <w:rPr>
          <w:spacing w:val="-3"/>
          <w:sz w:val="21"/>
        </w:rPr>
        <w:t>配备级别</w:t>
      </w:r>
      <w:r>
        <w:rPr>
          <w:sz w:val="21"/>
        </w:rPr>
        <w:t xml:space="preserve"> </w:t>
      </w:r>
    </w:p>
    <w:p w14:paraId="2B0696DB" w14:textId="77777777" w:rsidR="00A71EEF" w:rsidRDefault="00A71EEF">
      <w:pPr>
        <w:pStyle w:val="a3"/>
        <w:spacing w:before="12"/>
        <w:rPr>
          <w:sz w:val="17"/>
        </w:rPr>
      </w:pPr>
    </w:p>
    <w:p w14:paraId="36D60D86" w14:textId="77777777" w:rsidR="00A71EEF" w:rsidRDefault="0081115D">
      <w:pPr>
        <w:pStyle w:val="a3"/>
        <w:spacing w:line="448" w:lineRule="auto"/>
        <w:ind w:left="840" w:right="4446" w:hanging="3"/>
      </w:pPr>
      <w:r>
        <w:rPr>
          <w:spacing w:val="-3"/>
        </w:rPr>
        <w:t>消防监督技术装备配备级别分为一、二、三、四、五级。</w:t>
      </w:r>
      <w:r>
        <w:rPr>
          <w:b/>
        </w:rPr>
        <w:t>4.2</w:t>
      </w:r>
      <w:r>
        <w:rPr>
          <w:b/>
          <w:spacing w:val="-1"/>
        </w:rPr>
        <w:t xml:space="preserve"> </w:t>
      </w:r>
      <w:r>
        <w:rPr>
          <w:spacing w:val="-3"/>
        </w:rPr>
        <w:t>装备类别</w:t>
      </w:r>
      <w:r>
        <w:t xml:space="preserve"> </w:t>
      </w:r>
    </w:p>
    <w:p w14:paraId="4CD1AFD6" w14:textId="77777777" w:rsidR="00A71EEF" w:rsidRDefault="0081115D">
      <w:pPr>
        <w:pStyle w:val="a3"/>
        <w:spacing w:line="264" w:lineRule="exact"/>
        <w:ind w:left="838"/>
      </w:pPr>
      <w:r>
        <w:t>消防监督技术装备分为以下七类：</w:t>
      </w:r>
      <w:r>
        <w:t xml:space="preserve"> </w:t>
      </w:r>
    </w:p>
    <w:p w14:paraId="23537CA3" w14:textId="77777777" w:rsidR="00A71EEF" w:rsidRDefault="00A71EEF">
      <w:pPr>
        <w:spacing w:line="264" w:lineRule="exact"/>
        <w:sectPr w:rsidR="00A71EEF">
          <w:pgSz w:w="11910" w:h="16850"/>
          <w:pgMar w:top="1020" w:right="0" w:bottom="1420" w:left="1260" w:header="0" w:footer="1239" w:gutter="0"/>
          <w:cols w:space="720"/>
        </w:sectPr>
      </w:pPr>
    </w:p>
    <w:p w14:paraId="54E12F2A" w14:textId="77777777" w:rsidR="00A71EEF" w:rsidRDefault="0081115D">
      <w:pPr>
        <w:pStyle w:val="a4"/>
        <w:numPr>
          <w:ilvl w:val="0"/>
          <w:numId w:val="465"/>
        </w:numPr>
        <w:tabs>
          <w:tab w:val="left" w:pos="1051"/>
        </w:tabs>
        <w:spacing w:before="47"/>
        <w:rPr>
          <w:b/>
          <w:sz w:val="21"/>
        </w:rPr>
      </w:pPr>
      <w:r>
        <w:rPr>
          <w:spacing w:val="-3"/>
          <w:sz w:val="21"/>
        </w:rPr>
        <w:t>办公、通信和信</w:t>
      </w:r>
      <w:r>
        <w:rPr>
          <w:spacing w:val="-3"/>
          <w:sz w:val="21"/>
        </w:rPr>
        <w:t>息处理类装备；</w:t>
      </w:r>
      <w:r>
        <w:rPr>
          <w:b/>
          <w:w w:val="99"/>
          <w:sz w:val="21"/>
        </w:rPr>
        <w:t xml:space="preserve"> </w:t>
      </w:r>
    </w:p>
    <w:p w14:paraId="5DDB2FB4" w14:textId="77777777" w:rsidR="00A71EEF" w:rsidRDefault="00A71EEF">
      <w:pPr>
        <w:pStyle w:val="a3"/>
        <w:rPr>
          <w:b/>
          <w:sz w:val="18"/>
        </w:rPr>
      </w:pPr>
    </w:p>
    <w:p w14:paraId="3CC1F73D" w14:textId="77777777" w:rsidR="00A71EEF" w:rsidRDefault="0081115D">
      <w:pPr>
        <w:pStyle w:val="a4"/>
        <w:numPr>
          <w:ilvl w:val="0"/>
          <w:numId w:val="465"/>
        </w:numPr>
        <w:tabs>
          <w:tab w:val="left" w:pos="1051"/>
        </w:tabs>
        <w:rPr>
          <w:b/>
          <w:sz w:val="21"/>
        </w:rPr>
      </w:pPr>
      <w:r>
        <w:rPr>
          <w:spacing w:val="-3"/>
          <w:sz w:val="21"/>
        </w:rPr>
        <w:t>建筑消防设施检测类装备；</w:t>
      </w:r>
      <w:r>
        <w:rPr>
          <w:b/>
          <w:w w:val="99"/>
          <w:sz w:val="21"/>
        </w:rPr>
        <w:t xml:space="preserve"> </w:t>
      </w:r>
    </w:p>
    <w:p w14:paraId="7836B9BF" w14:textId="77777777" w:rsidR="00A71EEF" w:rsidRDefault="00A71EEF">
      <w:pPr>
        <w:pStyle w:val="a3"/>
        <w:rPr>
          <w:b/>
          <w:sz w:val="18"/>
        </w:rPr>
      </w:pPr>
    </w:p>
    <w:p w14:paraId="6680C560" w14:textId="77777777" w:rsidR="00A71EEF" w:rsidRDefault="0081115D">
      <w:pPr>
        <w:pStyle w:val="a4"/>
        <w:numPr>
          <w:ilvl w:val="0"/>
          <w:numId w:val="465"/>
        </w:numPr>
        <w:tabs>
          <w:tab w:val="left" w:pos="1051"/>
        </w:tabs>
        <w:rPr>
          <w:b/>
          <w:sz w:val="21"/>
        </w:rPr>
      </w:pPr>
      <w:r>
        <w:rPr>
          <w:spacing w:val="-3"/>
          <w:sz w:val="21"/>
        </w:rPr>
        <w:t>消防安全检测类装备；</w:t>
      </w:r>
      <w:r>
        <w:rPr>
          <w:b/>
          <w:spacing w:val="-3"/>
          <w:w w:val="99"/>
          <w:sz w:val="21"/>
        </w:rPr>
        <w:t xml:space="preserve"> </w:t>
      </w:r>
    </w:p>
    <w:p w14:paraId="7520F0C7" w14:textId="77777777" w:rsidR="00A71EEF" w:rsidRDefault="00A71EEF">
      <w:pPr>
        <w:pStyle w:val="a3"/>
        <w:spacing w:before="1"/>
        <w:rPr>
          <w:b/>
          <w:sz w:val="18"/>
        </w:rPr>
      </w:pPr>
    </w:p>
    <w:p w14:paraId="0BC1FAA2" w14:textId="77777777" w:rsidR="00A71EEF" w:rsidRDefault="0081115D">
      <w:pPr>
        <w:pStyle w:val="a4"/>
        <w:numPr>
          <w:ilvl w:val="0"/>
          <w:numId w:val="465"/>
        </w:numPr>
        <w:tabs>
          <w:tab w:val="left" w:pos="1051"/>
        </w:tabs>
        <w:spacing w:before="1"/>
        <w:rPr>
          <w:b/>
          <w:sz w:val="21"/>
        </w:rPr>
      </w:pPr>
      <w:r>
        <w:rPr>
          <w:spacing w:val="-3"/>
          <w:sz w:val="21"/>
        </w:rPr>
        <w:t>消防产品现场检测类装备；</w:t>
      </w:r>
      <w:r>
        <w:rPr>
          <w:b/>
          <w:w w:val="99"/>
          <w:sz w:val="21"/>
        </w:rPr>
        <w:t xml:space="preserve"> </w:t>
      </w:r>
    </w:p>
    <w:p w14:paraId="2BB8C18A" w14:textId="77777777" w:rsidR="00A71EEF" w:rsidRDefault="00A71EEF">
      <w:pPr>
        <w:pStyle w:val="a3"/>
        <w:spacing w:before="12"/>
        <w:rPr>
          <w:b/>
          <w:sz w:val="17"/>
        </w:rPr>
      </w:pPr>
    </w:p>
    <w:p w14:paraId="69E596CF" w14:textId="77777777" w:rsidR="00A71EEF" w:rsidRDefault="0081115D">
      <w:pPr>
        <w:pStyle w:val="a4"/>
        <w:numPr>
          <w:ilvl w:val="0"/>
          <w:numId w:val="465"/>
        </w:numPr>
        <w:tabs>
          <w:tab w:val="left" w:pos="1051"/>
        </w:tabs>
        <w:rPr>
          <w:b/>
          <w:sz w:val="21"/>
        </w:rPr>
      </w:pPr>
      <w:r>
        <w:rPr>
          <w:spacing w:val="-3"/>
          <w:sz w:val="21"/>
        </w:rPr>
        <w:t>火灾现场勘察类装备；</w:t>
      </w:r>
      <w:r>
        <w:rPr>
          <w:b/>
          <w:spacing w:val="-3"/>
          <w:w w:val="99"/>
          <w:sz w:val="21"/>
        </w:rPr>
        <w:t xml:space="preserve"> </w:t>
      </w:r>
    </w:p>
    <w:p w14:paraId="27D76E93" w14:textId="77777777" w:rsidR="00A71EEF" w:rsidRDefault="00A71EEF">
      <w:pPr>
        <w:pStyle w:val="a3"/>
        <w:spacing w:before="12"/>
        <w:rPr>
          <w:b/>
          <w:sz w:val="17"/>
        </w:rPr>
      </w:pPr>
    </w:p>
    <w:p w14:paraId="0EB9BC0C" w14:textId="77777777" w:rsidR="00A71EEF" w:rsidRDefault="0081115D">
      <w:pPr>
        <w:pStyle w:val="a4"/>
        <w:numPr>
          <w:ilvl w:val="0"/>
          <w:numId w:val="465"/>
        </w:numPr>
        <w:tabs>
          <w:tab w:val="left" w:pos="1051"/>
        </w:tabs>
        <w:rPr>
          <w:b/>
          <w:sz w:val="21"/>
        </w:rPr>
      </w:pPr>
      <w:r>
        <w:rPr>
          <w:spacing w:val="-3"/>
          <w:sz w:val="21"/>
        </w:rPr>
        <w:t>消防宣传教育类装备；</w:t>
      </w:r>
      <w:r>
        <w:rPr>
          <w:b/>
          <w:spacing w:val="-3"/>
          <w:w w:val="99"/>
          <w:sz w:val="21"/>
        </w:rPr>
        <w:t xml:space="preserve"> </w:t>
      </w:r>
    </w:p>
    <w:p w14:paraId="066FC625" w14:textId="77777777" w:rsidR="00A71EEF" w:rsidRDefault="00A71EEF">
      <w:pPr>
        <w:pStyle w:val="a3"/>
        <w:spacing w:before="2"/>
        <w:rPr>
          <w:b/>
          <w:sz w:val="18"/>
        </w:rPr>
      </w:pPr>
    </w:p>
    <w:p w14:paraId="09112C3F" w14:textId="77777777" w:rsidR="00A71EEF" w:rsidRDefault="0081115D">
      <w:pPr>
        <w:pStyle w:val="a4"/>
        <w:numPr>
          <w:ilvl w:val="0"/>
          <w:numId w:val="465"/>
        </w:numPr>
        <w:tabs>
          <w:tab w:val="left" w:pos="1051"/>
        </w:tabs>
        <w:spacing w:line="446" w:lineRule="auto"/>
        <w:ind w:left="840" w:right="7600" w:hanging="3"/>
        <w:rPr>
          <w:sz w:val="21"/>
        </w:rPr>
      </w:pPr>
      <w:r>
        <w:rPr>
          <w:spacing w:val="-3"/>
          <w:sz w:val="21"/>
        </w:rPr>
        <w:t>个人防护类装备。</w:t>
      </w:r>
      <w:r>
        <w:rPr>
          <w:spacing w:val="-3"/>
          <w:sz w:val="21"/>
        </w:rPr>
        <w:t xml:space="preserve"> </w:t>
      </w:r>
      <w:r>
        <w:rPr>
          <w:b/>
          <w:sz w:val="21"/>
        </w:rPr>
        <w:t>4.3</w:t>
      </w:r>
      <w:r>
        <w:rPr>
          <w:b/>
          <w:spacing w:val="2"/>
          <w:sz w:val="21"/>
        </w:rPr>
        <w:t xml:space="preserve"> </w:t>
      </w:r>
      <w:r>
        <w:rPr>
          <w:spacing w:val="-3"/>
          <w:sz w:val="21"/>
        </w:rPr>
        <w:t>配备原则</w:t>
      </w:r>
      <w:r>
        <w:rPr>
          <w:sz w:val="21"/>
        </w:rPr>
        <w:t xml:space="preserve"> </w:t>
      </w:r>
    </w:p>
    <w:p w14:paraId="72DB2634" w14:textId="77777777" w:rsidR="00A71EEF" w:rsidRDefault="0081115D">
      <w:pPr>
        <w:pStyle w:val="a4"/>
        <w:numPr>
          <w:ilvl w:val="2"/>
          <w:numId w:val="464"/>
        </w:numPr>
        <w:tabs>
          <w:tab w:val="left" w:pos="1370"/>
        </w:tabs>
        <w:spacing w:line="446" w:lineRule="auto"/>
        <w:ind w:right="1604" w:firstLine="422"/>
        <w:rPr>
          <w:sz w:val="21"/>
        </w:rPr>
      </w:pPr>
      <w:r>
        <w:rPr>
          <w:spacing w:val="-3"/>
          <w:sz w:val="21"/>
        </w:rPr>
        <w:t>直辖市、省会市、副省级市公安机关消防机构的防火监督部门配备级别不应低于一级。</w:t>
      </w:r>
      <w:r>
        <w:rPr>
          <w:sz w:val="21"/>
        </w:rPr>
        <w:t xml:space="preserve"> </w:t>
      </w:r>
    </w:p>
    <w:p w14:paraId="5C55975E" w14:textId="77777777" w:rsidR="00A71EEF" w:rsidRDefault="0081115D">
      <w:pPr>
        <w:pStyle w:val="a4"/>
        <w:numPr>
          <w:ilvl w:val="2"/>
          <w:numId w:val="464"/>
        </w:numPr>
        <w:tabs>
          <w:tab w:val="left" w:pos="1371"/>
        </w:tabs>
        <w:spacing w:line="446" w:lineRule="auto"/>
        <w:ind w:right="1604" w:firstLine="422"/>
        <w:rPr>
          <w:sz w:val="21"/>
        </w:rPr>
      </w:pPr>
      <w:r>
        <w:rPr>
          <w:spacing w:val="-5"/>
          <w:sz w:val="21"/>
        </w:rPr>
        <w:t>省、自治区公安机关消防机构的防火监督部门，编制员额</w:t>
      </w:r>
      <w:r>
        <w:rPr>
          <w:spacing w:val="-5"/>
          <w:sz w:val="21"/>
        </w:rPr>
        <w:t xml:space="preserve"> </w:t>
      </w:r>
      <w:r>
        <w:rPr>
          <w:sz w:val="21"/>
        </w:rPr>
        <w:t>400</w:t>
      </w:r>
      <w:r>
        <w:rPr>
          <w:spacing w:val="-8"/>
          <w:sz w:val="21"/>
        </w:rPr>
        <w:t xml:space="preserve"> </w:t>
      </w:r>
      <w:r>
        <w:rPr>
          <w:spacing w:val="-8"/>
          <w:sz w:val="21"/>
        </w:rPr>
        <w:t>人以上的地级市公安</w:t>
      </w:r>
      <w:r>
        <w:rPr>
          <w:spacing w:val="-5"/>
          <w:sz w:val="21"/>
        </w:rPr>
        <w:t>机关消防机构的防火监督部门配备级别不应低于二级。</w:t>
      </w:r>
      <w:r>
        <w:rPr>
          <w:sz w:val="21"/>
        </w:rPr>
        <w:t xml:space="preserve"> </w:t>
      </w:r>
    </w:p>
    <w:p w14:paraId="5A9CE25D" w14:textId="77777777" w:rsidR="00A71EEF" w:rsidRDefault="0081115D">
      <w:pPr>
        <w:pStyle w:val="a4"/>
        <w:numPr>
          <w:ilvl w:val="2"/>
          <w:numId w:val="464"/>
        </w:numPr>
        <w:tabs>
          <w:tab w:val="left" w:pos="1371"/>
        </w:tabs>
        <w:spacing w:line="320" w:lineRule="exact"/>
        <w:ind w:left="1370" w:hanging="531"/>
        <w:rPr>
          <w:sz w:val="21"/>
        </w:rPr>
      </w:pPr>
      <w:r>
        <w:rPr>
          <w:spacing w:val="-6"/>
          <w:sz w:val="21"/>
        </w:rPr>
        <w:t>直辖市所属区、县公安机关消防机构，编制员额</w:t>
      </w:r>
      <w:r>
        <w:rPr>
          <w:spacing w:val="-6"/>
          <w:sz w:val="21"/>
        </w:rPr>
        <w:t xml:space="preserve"> </w:t>
      </w:r>
      <w:r>
        <w:rPr>
          <w:sz w:val="21"/>
        </w:rPr>
        <w:t>200</w:t>
      </w:r>
      <w:r>
        <w:rPr>
          <w:spacing w:val="-28"/>
          <w:sz w:val="21"/>
        </w:rPr>
        <w:t xml:space="preserve"> </w:t>
      </w:r>
      <w:r>
        <w:rPr>
          <w:spacing w:val="-28"/>
          <w:sz w:val="21"/>
        </w:rPr>
        <w:t>人</w:t>
      </w:r>
      <w:r>
        <w:rPr>
          <w:rFonts w:ascii="微软雅黑" w:eastAsia="微软雅黑" w:hint="eastAsia"/>
          <w:sz w:val="21"/>
        </w:rPr>
        <w:t>〜</w:t>
      </w:r>
      <w:r>
        <w:rPr>
          <w:sz w:val="21"/>
        </w:rPr>
        <w:t>400</w:t>
      </w:r>
      <w:r>
        <w:rPr>
          <w:spacing w:val="-8"/>
          <w:sz w:val="21"/>
        </w:rPr>
        <w:t xml:space="preserve"> </w:t>
      </w:r>
      <w:r>
        <w:rPr>
          <w:spacing w:val="-8"/>
          <w:sz w:val="21"/>
        </w:rPr>
        <w:t>人的地级市公安机关消</w:t>
      </w:r>
    </w:p>
    <w:p w14:paraId="4FA4F53B" w14:textId="77777777" w:rsidR="00A71EEF" w:rsidRDefault="0081115D">
      <w:pPr>
        <w:pStyle w:val="a3"/>
        <w:spacing w:before="178" w:line="446" w:lineRule="auto"/>
        <w:ind w:left="418" w:right="1505"/>
      </w:pPr>
      <w:r>
        <w:rPr>
          <w:spacing w:val="-6"/>
        </w:rPr>
        <w:t>防机构防</w:t>
      </w:r>
      <w:r>
        <w:rPr>
          <w:spacing w:val="-6"/>
        </w:rPr>
        <w:t xml:space="preserve"> </w:t>
      </w:r>
      <w:r>
        <w:rPr>
          <w:spacing w:val="-6"/>
        </w:rPr>
        <w:t>火监督部门，编制员额</w:t>
      </w:r>
      <w:r>
        <w:rPr>
          <w:spacing w:val="-6"/>
        </w:rPr>
        <w:t xml:space="preserve"> </w:t>
      </w:r>
      <w:r>
        <w:t>250</w:t>
      </w:r>
      <w:r>
        <w:rPr>
          <w:spacing w:val="-8"/>
        </w:rPr>
        <w:t xml:space="preserve"> </w:t>
      </w:r>
      <w:r>
        <w:rPr>
          <w:spacing w:val="-8"/>
        </w:rPr>
        <w:t>人以上的地、州、盟公安机关消防机构防火监督部门配备</w:t>
      </w:r>
      <w:r>
        <w:rPr>
          <w:spacing w:val="-5"/>
        </w:rPr>
        <w:t>级别不应低于三级。</w:t>
      </w:r>
      <w:r>
        <w:t xml:space="preserve"> </w:t>
      </w:r>
    </w:p>
    <w:p w14:paraId="0660C469" w14:textId="77777777" w:rsidR="00A71EEF" w:rsidRDefault="0081115D">
      <w:pPr>
        <w:pStyle w:val="a4"/>
        <w:numPr>
          <w:ilvl w:val="2"/>
          <w:numId w:val="464"/>
        </w:numPr>
        <w:tabs>
          <w:tab w:val="left" w:pos="1371"/>
        </w:tabs>
        <w:spacing w:line="446" w:lineRule="auto"/>
        <w:ind w:right="1445" w:firstLine="422"/>
        <w:rPr>
          <w:sz w:val="21"/>
        </w:rPr>
      </w:pPr>
      <w:r>
        <w:rPr>
          <w:spacing w:val="-9"/>
          <w:sz w:val="21"/>
        </w:rPr>
        <w:t>编制员额不足</w:t>
      </w:r>
      <w:r>
        <w:rPr>
          <w:spacing w:val="-9"/>
          <w:sz w:val="21"/>
        </w:rPr>
        <w:t xml:space="preserve"> </w:t>
      </w:r>
      <w:r>
        <w:rPr>
          <w:sz w:val="21"/>
        </w:rPr>
        <w:t>200</w:t>
      </w:r>
      <w:r>
        <w:rPr>
          <w:spacing w:val="-10"/>
          <w:sz w:val="21"/>
        </w:rPr>
        <w:t xml:space="preserve"> </w:t>
      </w:r>
      <w:r>
        <w:rPr>
          <w:spacing w:val="-10"/>
          <w:sz w:val="21"/>
        </w:rPr>
        <w:t>人的地级市公安机关消防机构的防火监督部门，编制员额不足</w:t>
      </w:r>
      <w:r>
        <w:rPr>
          <w:spacing w:val="-10"/>
          <w:sz w:val="21"/>
        </w:rPr>
        <w:t xml:space="preserve"> </w:t>
      </w:r>
      <w:r>
        <w:rPr>
          <w:sz w:val="21"/>
        </w:rPr>
        <w:t xml:space="preserve">250 </w:t>
      </w:r>
      <w:r>
        <w:rPr>
          <w:spacing w:val="-3"/>
          <w:sz w:val="21"/>
        </w:rPr>
        <w:t>人的地、州、盟公安机关消防机构的防火监督部门，其他区、县、旗公安机关消防机构配备级</w:t>
      </w:r>
      <w:r>
        <w:rPr>
          <w:spacing w:val="-3"/>
          <w:sz w:val="21"/>
        </w:rPr>
        <w:t xml:space="preserve"> </w:t>
      </w:r>
      <w:r>
        <w:rPr>
          <w:spacing w:val="-3"/>
          <w:sz w:val="21"/>
        </w:rPr>
        <w:t>别不应低于四级。</w:t>
      </w:r>
      <w:r>
        <w:rPr>
          <w:sz w:val="21"/>
        </w:rPr>
        <w:t xml:space="preserve"> </w:t>
      </w:r>
    </w:p>
    <w:p w14:paraId="495B99CE" w14:textId="77777777" w:rsidR="00A71EEF" w:rsidRDefault="0081115D">
      <w:pPr>
        <w:pStyle w:val="a4"/>
        <w:numPr>
          <w:ilvl w:val="2"/>
          <w:numId w:val="464"/>
        </w:numPr>
        <w:tabs>
          <w:tab w:val="left" w:pos="1370"/>
        </w:tabs>
        <w:spacing w:line="268" w:lineRule="exact"/>
        <w:ind w:left="1369" w:hanging="530"/>
        <w:rPr>
          <w:sz w:val="21"/>
        </w:rPr>
      </w:pPr>
      <w:r>
        <w:rPr>
          <w:spacing w:val="-3"/>
          <w:sz w:val="21"/>
        </w:rPr>
        <w:t>公安派出所配备级别不应低于五级，并按照以下分类进行配备：</w:t>
      </w:r>
      <w:r>
        <w:rPr>
          <w:sz w:val="21"/>
        </w:rPr>
        <w:t xml:space="preserve"> </w:t>
      </w:r>
    </w:p>
    <w:p w14:paraId="5A284D60" w14:textId="77777777" w:rsidR="00A71EEF" w:rsidRDefault="00A71EEF">
      <w:pPr>
        <w:pStyle w:val="a3"/>
        <w:rPr>
          <w:sz w:val="18"/>
        </w:rPr>
      </w:pPr>
    </w:p>
    <w:p w14:paraId="572D3809" w14:textId="77777777" w:rsidR="00A71EEF" w:rsidRDefault="0081115D">
      <w:pPr>
        <w:pStyle w:val="a4"/>
        <w:numPr>
          <w:ilvl w:val="0"/>
          <w:numId w:val="463"/>
        </w:numPr>
        <w:tabs>
          <w:tab w:val="left" w:pos="1051"/>
        </w:tabs>
        <w:rPr>
          <w:b/>
          <w:sz w:val="21"/>
        </w:rPr>
      </w:pPr>
      <w:r>
        <w:rPr>
          <w:spacing w:val="-3"/>
          <w:sz w:val="21"/>
        </w:rPr>
        <w:t>城市公安派出所，包括直辖市、省会市、副省级市、地级市和县级市的派出所；</w:t>
      </w:r>
      <w:r>
        <w:rPr>
          <w:b/>
          <w:w w:val="99"/>
          <w:sz w:val="21"/>
        </w:rPr>
        <w:t xml:space="preserve"> </w:t>
      </w:r>
    </w:p>
    <w:p w14:paraId="7CCB9B24" w14:textId="77777777" w:rsidR="00A71EEF" w:rsidRDefault="00A71EEF">
      <w:pPr>
        <w:pStyle w:val="a3"/>
        <w:spacing w:before="12"/>
        <w:rPr>
          <w:b/>
          <w:sz w:val="17"/>
        </w:rPr>
      </w:pPr>
    </w:p>
    <w:p w14:paraId="2A0BA72B" w14:textId="77777777" w:rsidR="00A71EEF" w:rsidRDefault="0081115D">
      <w:pPr>
        <w:pStyle w:val="a4"/>
        <w:numPr>
          <w:ilvl w:val="0"/>
          <w:numId w:val="463"/>
        </w:numPr>
        <w:tabs>
          <w:tab w:val="left" w:pos="1051"/>
        </w:tabs>
        <w:rPr>
          <w:b/>
          <w:sz w:val="21"/>
        </w:rPr>
      </w:pPr>
      <w:r>
        <w:rPr>
          <w:spacing w:val="-3"/>
          <w:sz w:val="21"/>
        </w:rPr>
        <w:t>县镇公安派出所；</w:t>
      </w:r>
      <w:r>
        <w:rPr>
          <w:b/>
          <w:w w:val="99"/>
          <w:sz w:val="21"/>
        </w:rPr>
        <w:t xml:space="preserve"> </w:t>
      </w:r>
    </w:p>
    <w:p w14:paraId="1C18F676" w14:textId="77777777" w:rsidR="00A71EEF" w:rsidRDefault="00A71EEF">
      <w:pPr>
        <w:pStyle w:val="a3"/>
        <w:spacing w:before="2"/>
        <w:rPr>
          <w:b/>
          <w:sz w:val="18"/>
        </w:rPr>
      </w:pPr>
    </w:p>
    <w:p w14:paraId="04B3DE8B" w14:textId="77777777" w:rsidR="00A71EEF" w:rsidRDefault="0081115D">
      <w:pPr>
        <w:pStyle w:val="a4"/>
        <w:numPr>
          <w:ilvl w:val="0"/>
          <w:numId w:val="463"/>
        </w:numPr>
        <w:tabs>
          <w:tab w:val="left" w:pos="1051"/>
        </w:tabs>
        <w:rPr>
          <w:b/>
          <w:sz w:val="21"/>
        </w:rPr>
      </w:pPr>
      <w:r>
        <w:rPr>
          <w:spacing w:val="-3"/>
          <w:sz w:val="21"/>
        </w:rPr>
        <w:t>农村公安派出所。</w:t>
      </w:r>
      <w:r>
        <w:rPr>
          <w:b/>
          <w:w w:val="99"/>
          <w:sz w:val="21"/>
        </w:rPr>
        <w:t xml:space="preserve"> </w:t>
      </w:r>
    </w:p>
    <w:p w14:paraId="036D2D87" w14:textId="77777777" w:rsidR="00A71EEF" w:rsidRDefault="00A71EEF">
      <w:pPr>
        <w:pStyle w:val="a3"/>
        <w:spacing w:before="12"/>
        <w:rPr>
          <w:b/>
          <w:sz w:val="17"/>
        </w:rPr>
      </w:pPr>
    </w:p>
    <w:p w14:paraId="0E783BE8" w14:textId="77777777" w:rsidR="00A71EEF" w:rsidRDefault="0081115D">
      <w:pPr>
        <w:pStyle w:val="a4"/>
        <w:numPr>
          <w:ilvl w:val="2"/>
          <w:numId w:val="464"/>
        </w:numPr>
        <w:tabs>
          <w:tab w:val="left" w:pos="1371"/>
        </w:tabs>
        <w:ind w:left="1370" w:hanging="531"/>
        <w:rPr>
          <w:sz w:val="21"/>
        </w:rPr>
      </w:pPr>
      <w:r>
        <w:rPr>
          <w:spacing w:val="-3"/>
          <w:sz w:val="21"/>
        </w:rPr>
        <w:t>本标准规定的应配装备是每个配备级别和装备种类的最低配备要求。</w:t>
      </w:r>
      <w:r>
        <w:rPr>
          <w:spacing w:val="-3"/>
          <w:sz w:val="21"/>
        </w:rPr>
        <w:t xml:space="preserve"> </w:t>
      </w:r>
    </w:p>
    <w:p w14:paraId="359EFF09" w14:textId="77777777" w:rsidR="00A71EEF" w:rsidRDefault="00A71EEF">
      <w:pPr>
        <w:pStyle w:val="a3"/>
        <w:rPr>
          <w:sz w:val="18"/>
        </w:rPr>
      </w:pPr>
    </w:p>
    <w:p w14:paraId="2FAAC840" w14:textId="77777777" w:rsidR="00A71EEF" w:rsidRDefault="0081115D">
      <w:pPr>
        <w:pStyle w:val="a4"/>
        <w:numPr>
          <w:ilvl w:val="2"/>
          <w:numId w:val="464"/>
        </w:numPr>
        <w:tabs>
          <w:tab w:val="left" w:pos="1371"/>
        </w:tabs>
        <w:ind w:left="1370" w:hanging="531"/>
        <w:rPr>
          <w:sz w:val="21"/>
        </w:rPr>
      </w:pPr>
      <w:r>
        <w:rPr>
          <w:spacing w:val="-3"/>
          <w:sz w:val="21"/>
        </w:rPr>
        <w:t>本标准规定的可配装备应根据实际情况配备，可配装备数量中包含应配装备。</w:t>
      </w:r>
      <w:r>
        <w:rPr>
          <w:sz w:val="21"/>
        </w:rPr>
        <w:t xml:space="preserve"> </w:t>
      </w:r>
    </w:p>
    <w:p w14:paraId="45D0F9C5" w14:textId="77777777" w:rsidR="00A71EEF" w:rsidRDefault="00A71EEF">
      <w:pPr>
        <w:pStyle w:val="a3"/>
        <w:spacing w:before="2"/>
        <w:rPr>
          <w:sz w:val="18"/>
        </w:rPr>
      </w:pPr>
    </w:p>
    <w:p w14:paraId="7D0ACF15" w14:textId="77777777" w:rsidR="00A71EEF" w:rsidRDefault="0081115D">
      <w:pPr>
        <w:pStyle w:val="a4"/>
        <w:numPr>
          <w:ilvl w:val="2"/>
          <w:numId w:val="464"/>
        </w:numPr>
        <w:tabs>
          <w:tab w:val="left" w:pos="1371"/>
        </w:tabs>
        <w:ind w:left="1370" w:hanging="531"/>
        <w:rPr>
          <w:sz w:val="21"/>
        </w:rPr>
      </w:pPr>
      <w:r>
        <w:rPr>
          <w:spacing w:val="-3"/>
          <w:sz w:val="21"/>
        </w:rPr>
        <w:t>装备的配置应保障公安消防机构的内设职能部门能够独立开展消防监督业务。</w:t>
      </w:r>
      <w:r>
        <w:rPr>
          <w:sz w:val="21"/>
        </w:rPr>
        <w:t xml:space="preserve"> </w:t>
      </w:r>
    </w:p>
    <w:p w14:paraId="22B754A3" w14:textId="77777777" w:rsidR="00A71EEF" w:rsidRDefault="00A71EEF">
      <w:pPr>
        <w:pStyle w:val="a3"/>
        <w:rPr>
          <w:sz w:val="18"/>
        </w:rPr>
      </w:pPr>
    </w:p>
    <w:p w14:paraId="6E36BC5E" w14:textId="77777777" w:rsidR="00A71EEF" w:rsidRDefault="0081115D">
      <w:pPr>
        <w:pStyle w:val="a4"/>
        <w:numPr>
          <w:ilvl w:val="2"/>
          <w:numId w:val="464"/>
        </w:numPr>
        <w:tabs>
          <w:tab w:val="left" w:pos="1371"/>
        </w:tabs>
        <w:ind w:left="1370" w:hanging="531"/>
        <w:rPr>
          <w:sz w:val="21"/>
        </w:rPr>
      </w:pPr>
      <w:r>
        <w:rPr>
          <w:spacing w:val="-3"/>
          <w:sz w:val="21"/>
        </w:rPr>
        <w:t>装备购置应遵循相互配套、操作简便、易于携带的原则，宜采用车载型装备。</w:t>
      </w:r>
      <w:r>
        <w:rPr>
          <w:sz w:val="21"/>
        </w:rPr>
        <w:t xml:space="preserve"> </w:t>
      </w:r>
    </w:p>
    <w:p w14:paraId="44E5431B" w14:textId="77777777" w:rsidR="00A71EEF" w:rsidRDefault="00A71EEF">
      <w:pPr>
        <w:pStyle w:val="a3"/>
        <w:spacing w:before="8"/>
        <w:rPr>
          <w:sz w:val="15"/>
        </w:rPr>
      </w:pPr>
    </w:p>
    <w:p w14:paraId="2A4C3E73" w14:textId="77777777" w:rsidR="00A71EEF" w:rsidRDefault="0081115D">
      <w:pPr>
        <w:pStyle w:val="4"/>
      </w:pPr>
      <w:r>
        <w:t xml:space="preserve">5 </w:t>
      </w:r>
      <w:r>
        <w:t>配备要求</w:t>
      </w:r>
      <w:r>
        <w:rPr>
          <w:w w:val="99"/>
        </w:rPr>
        <w:t xml:space="preserve"> </w:t>
      </w:r>
    </w:p>
    <w:p w14:paraId="4A047ADF" w14:textId="77777777" w:rsidR="00A71EEF" w:rsidRDefault="00A71EEF">
      <w:pPr>
        <w:pStyle w:val="a3"/>
        <w:spacing w:before="6"/>
        <w:rPr>
          <w:b/>
          <w:sz w:val="17"/>
        </w:rPr>
      </w:pPr>
    </w:p>
    <w:p w14:paraId="28EAA696" w14:textId="77777777" w:rsidR="00A71EEF" w:rsidRDefault="0081115D">
      <w:pPr>
        <w:pStyle w:val="a4"/>
        <w:numPr>
          <w:ilvl w:val="1"/>
          <w:numId w:val="462"/>
        </w:numPr>
        <w:tabs>
          <w:tab w:val="left" w:pos="1159"/>
        </w:tabs>
        <w:ind w:hanging="319"/>
        <w:rPr>
          <w:b/>
          <w:sz w:val="21"/>
        </w:rPr>
      </w:pPr>
      <w:r>
        <w:rPr>
          <w:spacing w:val="-3"/>
          <w:sz w:val="21"/>
        </w:rPr>
        <w:t>办公、通信和信息处理类装备</w:t>
      </w:r>
      <w:r>
        <w:rPr>
          <w:b/>
          <w:w w:val="99"/>
          <w:sz w:val="21"/>
        </w:rPr>
        <w:t xml:space="preserve"> </w:t>
      </w:r>
    </w:p>
    <w:p w14:paraId="4D059FB5" w14:textId="77777777" w:rsidR="00A71EEF" w:rsidRDefault="00A71EEF">
      <w:pPr>
        <w:rPr>
          <w:sz w:val="21"/>
        </w:rPr>
        <w:sectPr w:rsidR="00A71EEF">
          <w:pgSz w:w="11910" w:h="16850"/>
          <w:pgMar w:top="1220" w:right="0" w:bottom="1420" w:left="1260" w:header="0" w:footer="1239" w:gutter="0"/>
          <w:cols w:space="720"/>
        </w:sectPr>
      </w:pPr>
    </w:p>
    <w:p w14:paraId="6BCCCD13" w14:textId="77777777" w:rsidR="00A71EEF" w:rsidRDefault="0081115D">
      <w:pPr>
        <w:pStyle w:val="a3"/>
        <w:spacing w:before="47" w:line="446" w:lineRule="auto"/>
        <w:ind w:left="418" w:right="1609" w:firstLine="419"/>
      </w:pPr>
      <w:r>
        <w:rPr>
          <w:noProof/>
        </w:rPr>
        <w:drawing>
          <wp:anchor distT="0" distB="0" distL="0" distR="0" simplePos="0" relativeHeight="251766272" behindDoc="1" locked="0" layoutInCell="1" allowOverlap="1" wp14:anchorId="4D27F1A5" wp14:editId="106E2F18">
            <wp:simplePos x="0" y="0"/>
            <wp:positionH relativeFrom="page">
              <wp:posOffset>1217930</wp:posOffset>
            </wp:positionH>
            <wp:positionV relativeFrom="paragraph">
              <wp:posOffset>600455</wp:posOffset>
            </wp:positionV>
            <wp:extent cx="4923790" cy="6229350"/>
            <wp:effectExtent l="0" t="0" r="0" b="0"/>
            <wp:wrapNone/>
            <wp:docPr id="427" name="image2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251.jpeg"/>
                    <pic:cNvPicPr/>
                  </pic:nvPicPr>
                  <pic:blipFill>
                    <a:blip r:embed="rId300" cstate="print"/>
                    <a:stretch>
                      <a:fillRect/>
                    </a:stretch>
                  </pic:blipFill>
                  <pic:spPr>
                    <a:xfrm>
                      <a:off x="0" y="0"/>
                      <a:ext cx="4923790" cy="6229350"/>
                    </a:xfrm>
                    <a:prstGeom prst="rect">
                      <a:avLst/>
                    </a:prstGeom>
                  </pic:spPr>
                </pic:pic>
              </a:graphicData>
            </a:graphic>
          </wp:anchor>
        </w:drawing>
      </w:r>
      <w:r>
        <w:t>此类装备的配备应适应消防行政审批信息公开、电子政务和消防监督规范化的要求。装备配备的种类和数量应满足表</w:t>
      </w:r>
      <w:r>
        <w:t xml:space="preserve"> 1 </w:t>
      </w:r>
      <w:r>
        <w:t>的要求。</w:t>
      </w:r>
      <w:r>
        <w:t xml:space="preserve"> </w:t>
      </w:r>
    </w:p>
    <w:p w14:paraId="2AE44871" w14:textId="77777777" w:rsidR="00A71EEF" w:rsidRDefault="00A71EEF">
      <w:pPr>
        <w:pStyle w:val="a3"/>
        <w:rPr>
          <w:sz w:val="20"/>
        </w:rPr>
      </w:pPr>
    </w:p>
    <w:p w14:paraId="12BBD851" w14:textId="77777777" w:rsidR="00A71EEF" w:rsidRDefault="00A71EEF">
      <w:pPr>
        <w:pStyle w:val="a3"/>
        <w:rPr>
          <w:sz w:val="20"/>
        </w:rPr>
      </w:pPr>
    </w:p>
    <w:p w14:paraId="4B6656EB" w14:textId="77777777" w:rsidR="00A71EEF" w:rsidRDefault="00A71EEF">
      <w:pPr>
        <w:pStyle w:val="a3"/>
        <w:rPr>
          <w:sz w:val="20"/>
        </w:rPr>
      </w:pPr>
    </w:p>
    <w:p w14:paraId="302157C1" w14:textId="77777777" w:rsidR="00A71EEF" w:rsidRDefault="00A71EEF">
      <w:pPr>
        <w:pStyle w:val="a3"/>
        <w:rPr>
          <w:sz w:val="20"/>
        </w:rPr>
      </w:pPr>
    </w:p>
    <w:p w14:paraId="0A304D8D" w14:textId="77777777" w:rsidR="00A71EEF" w:rsidRDefault="00A71EEF">
      <w:pPr>
        <w:pStyle w:val="a3"/>
        <w:rPr>
          <w:sz w:val="20"/>
        </w:rPr>
      </w:pPr>
    </w:p>
    <w:p w14:paraId="7A1BC3CE" w14:textId="77777777" w:rsidR="00A71EEF" w:rsidRDefault="00A71EEF">
      <w:pPr>
        <w:pStyle w:val="a3"/>
        <w:rPr>
          <w:sz w:val="20"/>
        </w:rPr>
      </w:pPr>
    </w:p>
    <w:p w14:paraId="1633AEC6" w14:textId="77777777" w:rsidR="00A71EEF" w:rsidRDefault="00A71EEF">
      <w:pPr>
        <w:pStyle w:val="a3"/>
        <w:rPr>
          <w:sz w:val="20"/>
        </w:rPr>
      </w:pPr>
    </w:p>
    <w:p w14:paraId="57C49BFF" w14:textId="77777777" w:rsidR="00A71EEF" w:rsidRDefault="00A71EEF">
      <w:pPr>
        <w:pStyle w:val="a3"/>
        <w:rPr>
          <w:sz w:val="20"/>
        </w:rPr>
      </w:pPr>
    </w:p>
    <w:p w14:paraId="2CA17D13" w14:textId="77777777" w:rsidR="00A71EEF" w:rsidRDefault="00A71EEF">
      <w:pPr>
        <w:pStyle w:val="a3"/>
        <w:rPr>
          <w:sz w:val="20"/>
        </w:rPr>
      </w:pPr>
    </w:p>
    <w:p w14:paraId="4A4809E8" w14:textId="77777777" w:rsidR="00A71EEF" w:rsidRDefault="00A71EEF">
      <w:pPr>
        <w:pStyle w:val="a3"/>
        <w:rPr>
          <w:sz w:val="20"/>
        </w:rPr>
      </w:pPr>
    </w:p>
    <w:p w14:paraId="48B0F87A" w14:textId="77777777" w:rsidR="00A71EEF" w:rsidRDefault="00A71EEF">
      <w:pPr>
        <w:pStyle w:val="a3"/>
        <w:rPr>
          <w:sz w:val="20"/>
        </w:rPr>
      </w:pPr>
    </w:p>
    <w:p w14:paraId="48392913" w14:textId="77777777" w:rsidR="00A71EEF" w:rsidRDefault="00A71EEF">
      <w:pPr>
        <w:pStyle w:val="a3"/>
        <w:rPr>
          <w:sz w:val="20"/>
        </w:rPr>
      </w:pPr>
    </w:p>
    <w:p w14:paraId="53E9A60D" w14:textId="77777777" w:rsidR="00A71EEF" w:rsidRDefault="00A71EEF">
      <w:pPr>
        <w:pStyle w:val="a3"/>
        <w:rPr>
          <w:sz w:val="20"/>
        </w:rPr>
      </w:pPr>
    </w:p>
    <w:p w14:paraId="45942CFE" w14:textId="77777777" w:rsidR="00A71EEF" w:rsidRDefault="00A71EEF">
      <w:pPr>
        <w:pStyle w:val="a3"/>
        <w:rPr>
          <w:sz w:val="20"/>
        </w:rPr>
      </w:pPr>
    </w:p>
    <w:p w14:paraId="608EF82B" w14:textId="77777777" w:rsidR="00A71EEF" w:rsidRDefault="00A71EEF">
      <w:pPr>
        <w:pStyle w:val="a3"/>
        <w:rPr>
          <w:sz w:val="20"/>
        </w:rPr>
      </w:pPr>
    </w:p>
    <w:p w14:paraId="67D3790A" w14:textId="77777777" w:rsidR="00A71EEF" w:rsidRDefault="00A71EEF">
      <w:pPr>
        <w:pStyle w:val="a3"/>
        <w:rPr>
          <w:sz w:val="20"/>
        </w:rPr>
      </w:pPr>
    </w:p>
    <w:p w14:paraId="36D7524B" w14:textId="77777777" w:rsidR="00A71EEF" w:rsidRDefault="00A71EEF">
      <w:pPr>
        <w:pStyle w:val="a3"/>
        <w:rPr>
          <w:sz w:val="20"/>
        </w:rPr>
      </w:pPr>
    </w:p>
    <w:p w14:paraId="7D7CE308" w14:textId="77777777" w:rsidR="00A71EEF" w:rsidRDefault="00A71EEF">
      <w:pPr>
        <w:pStyle w:val="a3"/>
        <w:rPr>
          <w:sz w:val="20"/>
        </w:rPr>
      </w:pPr>
    </w:p>
    <w:p w14:paraId="3B1E974D" w14:textId="77777777" w:rsidR="00A71EEF" w:rsidRDefault="00A71EEF">
      <w:pPr>
        <w:pStyle w:val="a3"/>
        <w:rPr>
          <w:sz w:val="20"/>
        </w:rPr>
      </w:pPr>
    </w:p>
    <w:p w14:paraId="1F9F464F" w14:textId="77777777" w:rsidR="00A71EEF" w:rsidRDefault="00A71EEF">
      <w:pPr>
        <w:pStyle w:val="a3"/>
        <w:rPr>
          <w:sz w:val="20"/>
        </w:rPr>
      </w:pPr>
    </w:p>
    <w:p w14:paraId="3C58F64D" w14:textId="77777777" w:rsidR="00A71EEF" w:rsidRDefault="00A71EEF">
      <w:pPr>
        <w:pStyle w:val="a3"/>
        <w:rPr>
          <w:sz w:val="20"/>
        </w:rPr>
      </w:pPr>
    </w:p>
    <w:p w14:paraId="3BEDCB41" w14:textId="77777777" w:rsidR="00A71EEF" w:rsidRDefault="00A71EEF">
      <w:pPr>
        <w:pStyle w:val="a3"/>
        <w:rPr>
          <w:sz w:val="20"/>
        </w:rPr>
      </w:pPr>
    </w:p>
    <w:p w14:paraId="2C9B49F1" w14:textId="77777777" w:rsidR="00A71EEF" w:rsidRDefault="00A71EEF">
      <w:pPr>
        <w:pStyle w:val="a3"/>
        <w:rPr>
          <w:sz w:val="20"/>
        </w:rPr>
      </w:pPr>
    </w:p>
    <w:p w14:paraId="5C706769" w14:textId="77777777" w:rsidR="00A71EEF" w:rsidRDefault="00A71EEF">
      <w:pPr>
        <w:pStyle w:val="a3"/>
        <w:rPr>
          <w:sz w:val="20"/>
        </w:rPr>
      </w:pPr>
    </w:p>
    <w:p w14:paraId="5F3BFE36" w14:textId="77777777" w:rsidR="00A71EEF" w:rsidRDefault="00A71EEF">
      <w:pPr>
        <w:pStyle w:val="a3"/>
        <w:rPr>
          <w:sz w:val="20"/>
        </w:rPr>
      </w:pPr>
    </w:p>
    <w:p w14:paraId="1B943A02" w14:textId="77777777" w:rsidR="00A71EEF" w:rsidRDefault="00A71EEF">
      <w:pPr>
        <w:pStyle w:val="a3"/>
        <w:rPr>
          <w:sz w:val="20"/>
        </w:rPr>
      </w:pPr>
    </w:p>
    <w:p w14:paraId="208210C8" w14:textId="77777777" w:rsidR="00A71EEF" w:rsidRDefault="00A71EEF">
      <w:pPr>
        <w:pStyle w:val="a3"/>
        <w:rPr>
          <w:sz w:val="20"/>
        </w:rPr>
      </w:pPr>
    </w:p>
    <w:p w14:paraId="38CA8905" w14:textId="77777777" w:rsidR="00A71EEF" w:rsidRDefault="00A71EEF">
      <w:pPr>
        <w:pStyle w:val="a3"/>
        <w:rPr>
          <w:sz w:val="20"/>
        </w:rPr>
      </w:pPr>
    </w:p>
    <w:p w14:paraId="4CF75FC7" w14:textId="77777777" w:rsidR="00A71EEF" w:rsidRDefault="00A71EEF">
      <w:pPr>
        <w:pStyle w:val="a3"/>
        <w:rPr>
          <w:sz w:val="20"/>
        </w:rPr>
      </w:pPr>
    </w:p>
    <w:p w14:paraId="492242C3" w14:textId="77777777" w:rsidR="00A71EEF" w:rsidRDefault="00A71EEF">
      <w:pPr>
        <w:pStyle w:val="a3"/>
        <w:rPr>
          <w:sz w:val="20"/>
        </w:rPr>
      </w:pPr>
    </w:p>
    <w:p w14:paraId="42681B24" w14:textId="77777777" w:rsidR="00A71EEF" w:rsidRDefault="00A71EEF">
      <w:pPr>
        <w:pStyle w:val="a3"/>
        <w:rPr>
          <w:sz w:val="20"/>
        </w:rPr>
      </w:pPr>
    </w:p>
    <w:p w14:paraId="2EE607ED" w14:textId="77777777" w:rsidR="00A71EEF" w:rsidRDefault="00A71EEF">
      <w:pPr>
        <w:pStyle w:val="a3"/>
        <w:rPr>
          <w:sz w:val="20"/>
        </w:rPr>
      </w:pPr>
    </w:p>
    <w:p w14:paraId="49CACC64" w14:textId="77777777" w:rsidR="00A71EEF" w:rsidRDefault="00A71EEF">
      <w:pPr>
        <w:pStyle w:val="a3"/>
        <w:rPr>
          <w:sz w:val="20"/>
        </w:rPr>
      </w:pPr>
    </w:p>
    <w:p w14:paraId="040FE223" w14:textId="77777777" w:rsidR="00A71EEF" w:rsidRDefault="00A71EEF">
      <w:pPr>
        <w:pStyle w:val="a3"/>
        <w:rPr>
          <w:sz w:val="20"/>
        </w:rPr>
      </w:pPr>
    </w:p>
    <w:p w14:paraId="706308F7" w14:textId="77777777" w:rsidR="00A71EEF" w:rsidRDefault="00A71EEF">
      <w:pPr>
        <w:pStyle w:val="a3"/>
        <w:rPr>
          <w:sz w:val="20"/>
        </w:rPr>
      </w:pPr>
    </w:p>
    <w:p w14:paraId="225BEB09" w14:textId="77777777" w:rsidR="00A71EEF" w:rsidRDefault="00A71EEF">
      <w:pPr>
        <w:pStyle w:val="a3"/>
        <w:rPr>
          <w:sz w:val="20"/>
        </w:rPr>
      </w:pPr>
    </w:p>
    <w:p w14:paraId="3B548320" w14:textId="77777777" w:rsidR="00A71EEF" w:rsidRDefault="00A71EEF">
      <w:pPr>
        <w:pStyle w:val="a3"/>
        <w:rPr>
          <w:sz w:val="20"/>
        </w:rPr>
      </w:pPr>
    </w:p>
    <w:p w14:paraId="343727B6" w14:textId="77777777" w:rsidR="00A71EEF" w:rsidRDefault="00A71EEF">
      <w:pPr>
        <w:pStyle w:val="a3"/>
        <w:rPr>
          <w:sz w:val="20"/>
        </w:rPr>
      </w:pPr>
    </w:p>
    <w:p w14:paraId="42FB36BA" w14:textId="77777777" w:rsidR="00A71EEF" w:rsidRDefault="00A71EEF">
      <w:pPr>
        <w:pStyle w:val="a3"/>
        <w:rPr>
          <w:sz w:val="20"/>
        </w:rPr>
      </w:pPr>
    </w:p>
    <w:p w14:paraId="3A6F4D98" w14:textId="77777777" w:rsidR="00A71EEF" w:rsidRDefault="00A71EEF">
      <w:pPr>
        <w:pStyle w:val="a3"/>
        <w:rPr>
          <w:sz w:val="20"/>
        </w:rPr>
      </w:pPr>
    </w:p>
    <w:p w14:paraId="5B0099C2" w14:textId="77777777" w:rsidR="00A71EEF" w:rsidRDefault="00A71EEF">
      <w:pPr>
        <w:pStyle w:val="a3"/>
        <w:rPr>
          <w:sz w:val="20"/>
        </w:rPr>
      </w:pPr>
    </w:p>
    <w:p w14:paraId="411783A3" w14:textId="77777777" w:rsidR="00A71EEF" w:rsidRDefault="00A71EEF">
      <w:pPr>
        <w:pStyle w:val="a3"/>
        <w:rPr>
          <w:sz w:val="20"/>
        </w:rPr>
      </w:pPr>
    </w:p>
    <w:p w14:paraId="3E21EE17" w14:textId="77777777" w:rsidR="00A71EEF" w:rsidRDefault="00A71EEF">
      <w:pPr>
        <w:pStyle w:val="a3"/>
        <w:rPr>
          <w:sz w:val="20"/>
        </w:rPr>
      </w:pPr>
    </w:p>
    <w:p w14:paraId="36B7B515" w14:textId="77777777" w:rsidR="00A71EEF" w:rsidRDefault="00A71EEF">
      <w:pPr>
        <w:pStyle w:val="a3"/>
        <w:rPr>
          <w:sz w:val="20"/>
        </w:rPr>
      </w:pPr>
    </w:p>
    <w:p w14:paraId="40AAC078" w14:textId="77777777" w:rsidR="00A71EEF" w:rsidRDefault="00A71EEF">
      <w:pPr>
        <w:pStyle w:val="a3"/>
        <w:rPr>
          <w:sz w:val="20"/>
        </w:rPr>
      </w:pPr>
    </w:p>
    <w:p w14:paraId="71A68D43" w14:textId="77777777" w:rsidR="00A71EEF" w:rsidRDefault="00A71EEF">
      <w:pPr>
        <w:pStyle w:val="a3"/>
        <w:rPr>
          <w:sz w:val="20"/>
        </w:rPr>
      </w:pPr>
    </w:p>
    <w:p w14:paraId="1D864318" w14:textId="77777777" w:rsidR="00A71EEF" w:rsidRDefault="00A71EEF">
      <w:pPr>
        <w:pStyle w:val="a3"/>
        <w:rPr>
          <w:sz w:val="20"/>
        </w:rPr>
      </w:pPr>
    </w:p>
    <w:p w14:paraId="42C8BE05" w14:textId="77777777" w:rsidR="00A71EEF" w:rsidRDefault="00A71EEF">
      <w:pPr>
        <w:pStyle w:val="a3"/>
        <w:spacing w:before="11"/>
        <w:rPr>
          <w:sz w:val="27"/>
        </w:rPr>
      </w:pPr>
    </w:p>
    <w:p w14:paraId="2A2E988A" w14:textId="77777777" w:rsidR="00A71EEF" w:rsidRDefault="0081115D">
      <w:pPr>
        <w:pStyle w:val="a3"/>
        <w:ind w:left="838"/>
      </w:pPr>
      <w:r>
        <w:t xml:space="preserve"> </w:t>
      </w:r>
    </w:p>
    <w:p w14:paraId="589EADFD" w14:textId="77777777" w:rsidR="00A71EEF" w:rsidRDefault="00A71EEF">
      <w:pPr>
        <w:sectPr w:rsidR="00A71EEF">
          <w:pgSz w:w="11910" w:h="16850"/>
          <w:pgMar w:top="1220" w:right="0" w:bottom="1420" w:left="1260" w:header="0" w:footer="1239" w:gutter="0"/>
          <w:cols w:space="720"/>
        </w:sectPr>
      </w:pPr>
    </w:p>
    <w:p w14:paraId="5A85A42A" w14:textId="77777777" w:rsidR="00A71EEF" w:rsidRDefault="0081115D">
      <w:pPr>
        <w:pStyle w:val="a3"/>
        <w:ind w:left="807"/>
        <w:rPr>
          <w:sz w:val="20"/>
        </w:rPr>
      </w:pPr>
      <w:r>
        <w:rPr>
          <w:noProof/>
        </w:rPr>
        <w:drawing>
          <wp:anchor distT="0" distB="0" distL="0" distR="0" simplePos="0" relativeHeight="251616768" behindDoc="0" locked="0" layoutInCell="1" allowOverlap="1" wp14:anchorId="6E1171A0" wp14:editId="2E40F306">
            <wp:simplePos x="0" y="0"/>
            <wp:positionH relativeFrom="page">
              <wp:posOffset>1312544</wp:posOffset>
            </wp:positionH>
            <wp:positionV relativeFrom="paragraph">
              <wp:posOffset>4724400</wp:posOffset>
            </wp:positionV>
            <wp:extent cx="4710092" cy="1719738"/>
            <wp:effectExtent l="0" t="0" r="0" b="0"/>
            <wp:wrapTopAndBottom/>
            <wp:docPr id="429" name="image2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image252.jpeg"/>
                    <pic:cNvPicPr/>
                  </pic:nvPicPr>
                  <pic:blipFill>
                    <a:blip r:embed="rId301" cstate="print"/>
                    <a:stretch>
                      <a:fillRect/>
                    </a:stretch>
                  </pic:blipFill>
                  <pic:spPr>
                    <a:xfrm>
                      <a:off x="0" y="0"/>
                      <a:ext cx="4710092" cy="1719738"/>
                    </a:xfrm>
                    <a:prstGeom prst="rect">
                      <a:avLst/>
                    </a:prstGeom>
                  </pic:spPr>
                </pic:pic>
              </a:graphicData>
            </a:graphic>
          </wp:anchor>
        </w:drawing>
      </w:r>
      <w:r>
        <w:rPr>
          <w:noProof/>
          <w:sz w:val="20"/>
        </w:rPr>
        <w:drawing>
          <wp:inline distT="0" distB="0" distL="0" distR="0" wp14:anchorId="0CB7F63D" wp14:editId="086E3976">
            <wp:extent cx="4714875" cy="4676775"/>
            <wp:effectExtent l="0" t="0" r="0" b="0"/>
            <wp:docPr id="431" name="image2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mage253.jpeg"/>
                    <pic:cNvPicPr/>
                  </pic:nvPicPr>
                  <pic:blipFill>
                    <a:blip r:embed="rId302" cstate="print"/>
                    <a:stretch>
                      <a:fillRect/>
                    </a:stretch>
                  </pic:blipFill>
                  <pic:spPr>
                    <a:xfrm>
                      <a:off x="0" y="0"/>
                      <a:ext cx="4714875" cy="4676775"/>
                    </a:xfrm>
                    <a:prstGeom prst="rect">
                      <a:avLst/>
                    </a:prstGeom>
                  </pic:spPr>
                </pic:pic>
              </a:graphicData>
            </a:graphic>
          </wp:inline>
        </w:drawing>
      </w:r>
    </w:p>
    <w:p w14:paraId="53F7D69E" w14:textId="77777777" w:rsidR="00A71EEF" w:rsidRDefault="00A71EEF">
      <w:pPr>
        <w:pStyle w:val="a3"/>
        <w:rPr>
          <w:sz w:val="20"/>
        </w:rPr>
      </w:pPr>
    </w:p>
    <w:p w14:paraId="65F152CC" w14:textId="77777777" w:rsidR="00A71EEF" w:rsidRDefault="00A71EEF">
      <w:pPr>
        <w:pStyle w:val="a3"/>
        <w:spacing w:before="6"/>
        <w:rPr>
          <w:sz w:val="26"/>
        </w:rPr>
      </w:pPr>
    </w:p>
    <w:p w14:paraId="76024F6C" w14:textId="77777777" w:rsidR="00A71EEF" w:rsidRDefault="0081115D">
      <w:pPr>
        <w:pStyle w:val="a4"/>
        <w:numPr>
          <w:ilvl w:val="1"/>
          <w:numId w:val="462"/>
        </w:numPr>
        <w:tabs>
          <w:tab w:val="left" w:pos="1159"/>
        </w:tabs>
        <w:spacing w:before="72"/>
        <w:ind w:hanging="319"/>
        <w:rPr>
          <w:sz w:val="21"/>
        </w:rPr>
      </w:pPr>
      <w:r>
        <w:rPr>
          <w:spacing w:val="-3"/>
          <w:sz w:val="21"/>
        </w:rPr>
        <w:t>消防监督专用设备</w:t>
      </w:r>
      <w:r>
        <w:rPr>
          <w:sz w:val="21"/>
        </w:rPr>
        <w:t xml:space="preserve"> </w:t>
      </w:r>
    </w:p>
    <w:p w14:paraId="51ADD0FA" w14:textId="77777777" w:rsidR="00A71EEF" w:rsidRDefault="00A71EEF">
      <w:pPr>
        <w:pStyle w:val="a3"/>
        <w:spacing w:before="12"/>
        <w:rPr>
          <w:sz w:val="17"/>
        </w:rPr>
      </w:pPr>
    </w:p>
    <w:p w14:paraId="1436F2A5" w14:textId="77777777" w:rsidR="00A71EEF" w:rsidRDefault="0081115D">
      <w:pPr>
        <w:pStyle w:val="a4"/>
        <w:numPr>
          <w:ilvl w:val="2"/>
          <w:numId w:val="462"/>
        </w:numPr>
        <w:tabs>
          <w:tab w:val="left" w:pos="1370"/>
        </w:tabs>
        <w:ind w:hanging="530"/>
        <w:rPr>
          <w:b/>
          <w:sz w:val="21"/>
        </w:rPr>
      </w:pPr>
      <w:r>
        <w:rPr>
          <w:spacing w:val="-3"/>
          <w:sz w:val="21"/>
        </w:rPr>
        <w:t>—</w:t>
      </w:r>
      <w:r>
        <w:rPr>
          <w:spacing w:val="-3"/>
          <w:sz w:val="21"/>
        </w:rPr>
        <w:t>、二、三级配备要求</w:t>
      </w:r>
      <w:r>
        <w:rPr>
          <w:b/>
          <w:w w:val="99"/>
          <w:sz w:val="21"/>
        </w:rPr>
        <w:t xml:space="preserve"> </w:t>
      </w:r>
    </w:p>
    <w:p w14:paraId="1B076608" w14:textId="77777777" w:rsidR="00A71EEF" w:rsidRDefault="00A71EEF">
      <w:pPr>
        <w:pStyle w:val="a3"/>
        <w:spacing w:before="12"/>
        <w:rPr>
          <w:b/>
          <w:sz w:val="17"/>
        </w:rPr>
      </w:pPr>
    </w:p>
    <w:p w14:paraId="05E1FC54" w14:textId="77777777" w:rsidR="00A71EEF" w:rsidRDefault="0081115D">
      <w:pPr>
        <w:pStyle w:val="a4"/>
        <w:numPr>
          <w:ilvl w:val="3"/>
          <w:numId w:val="462"/>
        </w:numPr>
        <w:tabs>
          <w:tab w:val="left" w:pos="1583"/>
        </w:tabs>
        <w:rPr>
          <w:sz w:val="21"/>
        </w:rPr>
      </w:pPr>
      <w:r>
        <w:rPr>
          <w:spacing w:val="-3"/>
          <w:sz w:val="21"/>
        </w:rPr>
        <w:t>建筑消防设施检测装备</w:t>
      </w:r>
      <w:r>
        <w:rPr>
          <w:sz w:val="21"/>
        </w:rPr>
        <w:t xml:space="preserve"> </w:t>
      </w:r>
    </w:p>
    <w:p w14:paraId="4999D791" w14:textId="77777777" w:rsidR="00A71EEF" w:rsidRDefault="00A71EEF">
      <w:pPr>
        <w:pStyle w:val="a3"/>
        <w:spacing w:before="2"/>
        <w:rPr>
          <w:sz w:val="18"/>
        </w:rPr>
      </w:pPr>
    </w:p>
    <w:p w14:paraId="2DEFA03B" w14:textId="77777777" w:rsidR="00A71EEF" w:rsidRDefault="0081115D">
      <w:pPr>
        <w:pStyle w:val="a3"/>
        <w:spacing w:line="446" w:lineRule="auto"/>
        <w:ind w:left="418" w:right="1609" w:firstLine="419"/>
      </w:pPr>
      <w:r>
        <w:t>此类装备用于建设工程消防验收、竣工验收检查和消防监督检查业务。装备配备的种类和数量应满足表</w:t>
      </w:r>
      <w:r>
        <w:t xml:space="preserve"> 2 </w:t>
      </w:r>
      <w:r>
        <w:t>的要求。</w:t>
      </w:r>
      <w:r>
        <w:t xml:space="preserve"> </w:t>
      </w:r>
    </w:p>
    <w:p w14:paraId="5CE2C702" w14:textId="77777777" w:rsidR="00A71EEF" w:rsidRDefault="00A71EEF">
      <w:pPr>
        <w:spacing w:line="446" w:lineRule="auto"/>
        <w:sectPr w:rsidR="00A71EEF">
          <w:pgSz w:w="11910" w:h="16850"/>
          <w:pgMar w:top="1380" w:right="0" w:bottom="1420" w:left="1260" w:header="0" w:footer="1239" w:gutter="0"/>
          <w:cols w:space="720"/>
        </w:sectPr>
      </w:pPr>
    </w:p>
    <w:p w14:paraId="02F96DD3" w14:textId="77777777" w:rsidR="00A71EEF" w:rsidRDefault="0081115D">
      <w:pPr>
        <w:pStyle w:val="a3"/>
        <w:ind w:left="792"/>
        <w:rPr>
          <w:sz w:val="20"/>
        </w:rPr>
      </w:pPr>
      <w:r>
        <w:rPr>
          <w:noProof/>
          <w:sz w:val="20"/>
        </w:rPr>
        <w:drawing>
          <wp:inline distT="0" distB="0" distL="0" distR="0" wp14:anchorId="079F194B" wp14:editId="7D9A1946">
            <wp:extent cx="4924425" cy="5248275"/>
            <wp:effectExtent l="0" t="0" r="0" b="0"/>
            <wp:docPr id="433" name="image2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254.jpeg"/>
                    <pic:cNvPicPr/>
                  </pic:nvPicPr>
                  <pic:blipFill>
                    <a:blip r:embed="rId303" cstate="print"/>
                    <a:stretch>
                      <a:fillRect/>
                    </a:stretch>
                  </pic:blipFill>
                  <pic:spPr>
                    <a:xfrm>
                      <a:off x="0" y="0"/>
                      <a:ext cx="4924425" cy="5248275"/>
                    </a:xfrm>
                    <a:prstGeom prst="rect">
                      <a:avLst/>
                    </a:prstGeom>
                  </pic:spPr>
                </pic:pic>
              </a:graphicData>
            </a:graphic>
          </wp:inline>
        </w:drawing>
      </w:r>
    </w:p>
    <w:p w14:paraId="35F6DFD1" w14:textId="77777777" w:rsidR="00A71EEF" w:rsidRDefault="0081115D">
      <w:pPr>
        <w:pStyle w:val="a3"/>
        <w:rPr>
          <w:sz w:val="11"/>
        </w:rPr>
      </w:pPr>
      <w:r>
        <w:rPr>
          <w:noProof/>
        </w:rPr>
        <w:drawing>
          <wp:anchor distT="0" distB="0" distL="0" distR="0" simplePos="0" relativeHeight="251617792" behindDoc="0" locked="0" layoutInCell="1" allowOverlap="1" wp14:anchorId="1BC89A21" wp14:editId="79CD95AA">
            <wp:simplePos x="0" y="0"/>
            <wp:positionH relativeFrom="page">
              <wp:posOffset>1294130</wp:posOffset>
            </wp:positionH>
            <wp:positionV relativeFrom="paragraph">
              <wp:posOffset>114300</wp:posOffset>
            </wp:positionV>
            <wp:extent cx="4943053" cy="1896427"/>
            <wp:effectExtent l="0" t="0" r="0" b="0"/>
            <wp:wrapTopAndBottom/>
            <wp:docPr id="435" name="image2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255.jpeg"/>
                    <pic:cNvPicPr/>
                  </pic:nvPicPr>
                  <pic:blipFill>
                    <a:blip r:embed="rId304" cstate="print"/>
                    <a:stretch>
                      <a:fillRect/>
                    </a:stretch>
                  </pic:blipFill>
                  <pic:spPr>
                    <a:xfrm>
                      <a:off x="0" y="0"/>
                      <a:ext cx="4943053" cy="1896427"/>
                    </a:xfrm>
                    <a:prstGeom prst="rect">
                      <a:avLst/>
                    </a:prstGeom>
                  </pic:spPr>
                </pic:pic>
              </a:graphicData>
            </a:graphic>
          </wp:anchor>
        </w:drawing>
      </w:r>
    </w:p>
    <w:p w14:paraId="5AF51630" w14:textId="77777777" w:rsidR="00A71EEF" w:rsidRDefault="00A71EEF">
      <w:pPr>
        <w:pStyle w:val="a3"/>
        <w:spacing w:before="9"/>
        <w:rPr>
          <w:sz w:val="6"/>
        </w:rPr>
      </w:pPr>
    </w:p>
    <w:p w14:paraId="0761284D" w14:textId="77777777" w:rsidR="00A71EEF" w:rsidRDefault="0081115D">
      <w:pPr>
        <w:pStyle w:val="a3"/>
        <w:spacing w:before="71"/>
        <w:ind w:left="838"/>
      </w:pPr>
      <w:r>
        <w:t xml:space="preserve"> </w:t>
      </w:r>
    </w:p>
    <w:p w14:paraId="3553C4ED" w14:textId="77777777" w:rsidR="00A71EEF" w:rsidRDefault="00A71EEF">
      <w:pPr>
        <w:sectPr w:rsidR="00A71EEF">
          <w:pgSz w:w="11910" w:h="16850"/>
          <w:pgMar w:top="1180" w:right="0" w:bottom="1420" w:left="1260" w:header="0" w:footer="1239" w:gutter="0"/>
          <w:cols w:space="720"/>
        </w:sectPr>
      </w:pPr>
    </w:p>
    <w:p w14:paraId="69B67F5A" w14:textId="77777777" w:rsidR="00A71EEF" w:rsidRDefault="0081115D">
      <w:pPr>
        <w:pStyle w:val="a3"/>
        <w:ind w:left="672"/>
        <w:rPr>
          <w:sz w:val="20"/>
        </w:rPr>
      </w:pPr>
      <w:r>
        <w:rPr>
          <w:noProof/>
          <w:sz w:val="20"/>
        </w:rPr>
        <w:drawing>
          <wp:inline distT="0" distB="0" distL="0" distR="0" wp14:anchorId="5EF38501" wp14:editId="3F426715">
            <wp:extent cx="5095875" cy="1676400"/>
            <wp:effectExtent l="0" t="0" r="0" b="0"/>
            <wp:docPr id="437" name="image2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256.jpeg"/>
                    <pic:cNvPicPr/>
                  </pic:nvPicPr>
                  <pic:blipFill>
                    <a:blip r:embed="rId305" cstate="print"/>
                    <a:stretch>
                      <a:fillRect/>
                    </a:stretch>
                  </pic:blipFill>
                  <pic:spPr>
                    <a:xfrm>
                      <a:off x="0" y="0"/>
                      <a:ext cx="5095875" cy="1676400"/>
                    </a:xfrm>
                    <a:prstGeom prst="rect">
                      <a:avLst/>
                    </a:prstGeom>
                  </pic:spPr>
                </pic:pic>
              </a:graphicData>
            </a:graphic>
          </wp:inline>
        </w:drawing>
      </w:r>
    </w:p>
    <w:p w14:paraId="194095EF" w14:textId="77777777" w:rsidR="00A71EEF" w:rsidRDefault="00A71EEF">
      <w:pPr>
        <w:pStyle w:val="a3"/>
        <w:rPr>
          <w:sz w:val="20"/>
        </w:rPr>
      </w:pPr>
    </w:p>
    <w:p w14:paraId="5DC4BD6D" w14:textId="77777777" w:rsidR="00A71EEF" w:rsidRDefault="00A71EEF">
      <w:pPr>
        <w:pStyle w:val="a3"/>
        <w:spacing w:before="12"/>
        <w:rPr>
          <w:sz w:val="28"/>
        </w:rPr>
      </w:pPr>
    </w:p>
    <w:p w14:paraId="5FA3E300" w14:textId="77777777" w:rsidR="00A71EEF" w:rsidRDefault="0081115D">
      <w:pPr>
        <w:pStyle w:val="a4"/>
        <w:numPr>
          <w:ilvl w:val="3"/>
          <w:numId w:val="462"/>
        </w:numPr>
        <w:tabs>
          <w:tab w:val="left" w:pos="1583"/>
        </w:tabs>
        <w:spacing w:before="72"/>
        <w:rPr>
          <w:sz w:val="21"/>
        </w:rPr>
      </w:pPr>
      <w:r>
        <w:rPr>
          <w:spacing w:val="-3"/>
          <w:sz w:val="21"/>
        </w:rPr>
        <w:t>大型群众性活动消防安全检查装备</w:t>
      </w:r>
      <w:r>
        <w:rPr>
          <w:sz w:val="21"/>
        </w:rPr>
        <w:t xml:space="preserve"> </w:t>
      </w:r>
    </w:p>
    <w:p w14:paraId="2D486020" w14:textId="77777777" w:rsidR="00A71EEF" w:rsidRDefault="00A71EEF">
      <w:pPr>
        <w:pStyle w:val="a3"/>
        <w:spacing w:before="12"/>
        <w:rPr>
          <w:sz w:val="17"/>
        </w:rPr>
      </w:pPr>
    </w:p>
    <w:p w14:paraId="4C9C7F65" w14:textId="77777777" w:rsidR="00A71EEF" w:rsidRDefault="0081115D">
      <w:pPr>
        <w:pStyle w:val="a3"/>
        <w:spacing w:line="446" w:lineRule="auto"/>
        <w:ind w:left="418" w:right="1611" w:firstLine="419"/>
      </w:pPr>
      <w:r>
        <w:rPr>
          <w:noProof/>
        </w:rPr>
        <w:drawing>
          <wp:anchor distT="0" distB="0" distL="0" distR="0" simplePos="0" relativeHeight="251767296" behindDoc="1" locked="0" layoutInCell="1" allowOverlap="1" wp14:anchorId="717963CC" wp14:editId="58F67AC6">
            <wp:simplePos x="0" y="0"/>
            <wp:positionH relativeFrom="page">
              <wp:posOffset>1417319</wp:posOffset>
            </wp:positionH>
            <wp:positionV relativeFrom="paragraph">
              <wp:posOffset>516255</wp:posOffset>
            </wp:positionV>
            <wp:extent cx="4905375" cy="2571750"/>
            <wp:effectExtent l="0" t="0" r="0" b="0"/>
            <wp:wrapNone/>
            <wp:docPr id="439" name="image2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257.jpeg"/>
                    <pic:cNvPicPr/>
                  </pic:nvPicPr>
                  <pic:blipFill>
                    <a:blip r:embed="rId306" cstate="print"/>
                    <a:stretch>
                      <a:fillRect/>
                    </a:stretch>
                  </pic:blipFill>
                  <pic:spPr>
                    <a:xfrm>
                      <a:off x="0" y="0"/>
                      <a:ext cx="4905375" cy="2571750"/>
                    </a:xfrm>
                    <a:prstGeom prst="rect">
                      <a:avLst/>
                    </a:prstGeom>
                  </pic:spPr>
                </pic:pic>
              </a:graphicData>
            </a:graphic>
          </wp:anchor>
        </w:drawing>
      </w:r>
      <w:r>
        <w:rPr>
          <w:spacing w:val="-4"/>
        </w:rPr>
        <w:t>此类装备用于大型群众性活动消防安全检查业务。装备配备的种类和数量应满足表</w:t>
      </w:r>
      <w:r>
        <w:rPr>
          <w:spacing w:val="-4"/>
        </w:rPr>
        <w:t xml:space="preserve"> </w:t>
      </w:r>
      <w:r>
        <w:t>3</w:t>
      </w:r>
      <w:r>
        <w:rPr>
          <w:spacing w:val="-14"/>
        </w:rPr>
        <w:t xml:space="preserve"> </w:t>
      </w:r>
      <w:r>
        <w:rPr>
          <w:spacing w:val="-14"/>
        </w:rPr>
        <w:t>的要</w:t>
      </w:r>
      <w:r>
        <w:rPr>
          <w:spacing w:val="-2"/>
        </w:rPr>
        <w:t>求。</w:t>
      </w:r>
      <w:r>
        <w:t xml:space="preserve"> </w:t>
      </w:r>
    </w:p>
    <w:p w14:paraId="2AD02261" w14:textId="77777777" w:rsidR="00A71EEF" w:rsidRDefault="00A71EEF">
      <w:pPr>
        <w:pStyle w:val="a3"/>
        <w:rPr>
          <w:sz w:val="20"/>
        </w:rPr>
      </w:pPr>
    </w:p>
    <w:p w14:paraId="0DC3B12B" w14:textId="77777777" w:rsidR="00A71EEF" w:rsidRDefault="00A71EEF">
      <w:pPr>
        <w:pStyle w:val="a3"/>
        <w:rPr>
          <w:sz w:val="20"/>
        </w:rPr>
      </w:pPr>
    </w:p>
    <w:p w14:paraId="27706E81" w14:textId="77777777" w:rsidR="00A71EEF" w:rsidRDefault="00A71EEF">
      <w:pPr>
        <w:pStyle w:val="a3"/>
        <w:rPr>
          <w:sz w:val="20"/>
        </w:rPr>
      </w:pPr>
    </w:p>
    <w:p w14:paraId="1F4C00F7" w14:textId="77777777" w:rsidR="00A71EEF" w:rsidRDefault="00A71EEF">
      <w:pPr>
        <w:pStyle w:val="a3"/>
        <w:rPr>
          <w:sz w:val="20"/>
        </w:rPr>
      </w:pPr>
    </w:p>
    <w:p w14:paraId="41CDBCC0" w14:textId="77777777" w:rsidR="00A71EEF" w:rsidRDefault="00A71EEF">
      <w:pPr>
        <w:pStyle w:val="a3"/>
        <w:rPr>
          <w:sz w:val="20"/>
        </w:rPr>
      </w:pPr>
    </w:p>
    <w:p w14:paraId="0CCEF45C" w14:textId="77777777" w:rsidR="00A71EEF" w:rsidRDefault="00A71EEF">
      <w:pPr>
        <w:pStyle w:val="a3"/>
        <w:rPr>
          <w:sz w:val="20"/>
        </w:rPr>
      </w:pPr>
    </w:p>
    <w:p w14:paraId="7A812265" w14:textId="77777777" w:rsidR="00A71EEF" w:rsidRDefault="00A71EEF">
      <w:pPr>
        <w:pStyle w:val="a3"/>
        <w:rPr>
          <w:sz w:val="20"/>
        </w:rPr>
      </w:pPr>
    </w:p>
    <w:p w14:paraId="471166A4" w14:textId="77777777" w:rsidR="00A71EEF" w:rsidRDefault="00A71EEF">
      <w:pPr>
        <w:pStyle w:val="a3"/>
        <w:rPr>
          <w:sz w:val="20"/>
        </w:rPr>
      </w:pPr>
    </w:p>
    <w:p w14:paraId="019B756D" w14:textId="77777777" w:rsidR="00A71EEF" w:rsidRDefault="00A71EEF">
      <w:pPr>
        <w:pStyle w:val="a3"/>
        <w:rPr>
          <w:sz w:val="20"/>
        </w:rPr>
      </w:pPr>
    </w:p>
    <w:p w14:paraId="43F493E4" w14:textId="77777777" w:rsidR="00A71EEF" w:rsidRDefault="00A71EEF">
      <w:pPr>
        <w:pStyle w:val="a3"/>
        <w:rPr>
          <w:sz w:val="20"/>
        </w:rPr>
      </w:pPr>
    </w:p>
    <w:p w14:paraId="18DA5BA3" w14:textId="77777777" w:rsidR="00A71EEF" w:rsidRDefault="00A71EEF">
      <w:pPr>
        <w:pStyle w:val="a3"/>
        <w:rPr>
          <w:sz w:val="20"/>
        </w:rPr>
      </w:pPr>
    </w:p>
    <w:p w14:paraId="0BFA37F0" w14:textId="77777777" w:rsidR="00A71EEF" w:rsidRDefault="00A71EEF">
      <w:pPr>
        <w:pStyle w:val="a3"/>
        <w:rPr>
          <w:sz w:val="20"/>
        </w:rPr>
      </w:pPr>
    </w:p>
    <w:p w14:paraId="19409CC0" w14:textId="77777777" w:rsidR="00A71EEF" w:rsidRDefault="00A71EEF">
      <w:pPr>
        <w:pStyle w:val="a3"/>
        <w:rPr>
          <w:sz w:val="20"/>
        </w:rPr>
      </w:pPr>
    </w:p>
    <w:p w14:paraId="5ECA2BD1" w14:textId="77777777" w:rsidR="00A71EEF" w:rsidRDefault="00A71EEF">
      <w:pPr>
        <w:pStyle w:val="a3"/>
        <w:rPr>
          <w:sz w:val="20"/>
        </w:rPr>
      </w:pPr>
    </w:p>
    <w:p w14:paraId="0CFFE85D" w14:textId="77777777" w:rsidR="00A71EEF" w:rsidRDefault="00A71EEF">
      <w:pPr>
        <w:pStyle w:val="a3"/>
        <w:rPr>
          <w:sz w:val="20"/>
        </w:rPr>
      </w:pPr>
    </w:p>
    <w:p w14:paraId="5081FFCA" w14:textId="77777777" w:rsidR="00A71EEF" w:rsidRDefault="00A71EEF">
      <w:pPr>
        <w:pStyle w:val="a3"/>
        <w:rPr>
          <w:sz w:val="20"/>
        </w:rPr>
      </w:pPr>
    </w:p>
    <w:p w14:paraId="263ED794" w14:textId="77777777" w:rsidR="00A71EEF" w:rsidRDefault="00A71EEF">
      <w:pPr>
        <w:pStyle w:val="a3"/>
        <w:rPr>
          <w:sz w:val="20"/>
        </w:rPr>
      </w:pPr>
    </w:p>
    <w:p w14:paraId="53E11185" w14:textId="77777777" w:rsidR="00A71EEF" w:rsidRDefault="00A71EEF">
      <w:pPr>
        <w:pStyle w:val="a3"/>
        <w:spacing w:before="7"/>
        <w:rPr>
          <w:sz w:val="15"/>
        </w:rPr>
      </w:pPr>
    </w:p>
    <w:p w14:paraId="7C6A0377" w14:textId="77777777" w:rsidR="00A71EEF" w:rsidRDefault="0081115D">
      <w:pPr>
        <w:pStyle w:val="a4"/>
        <w:numPr>
          <w:ilvl w:val="3"/>
          <w:numId w:val="462"/>
        </w:numPr>
        <w:tabs>
          <w:tab w:val="left" w:pos="1583"/>
        </w:tabs>
        <w:rPr>
          <w:sz w:val="21"/>
        </w:rPr>
      </w:pPr>
      <w:r>
        <w:rPr>
          <w:spacing w:val="-3"/>
          <w:sz w:val="21"/>
        </w:rPr>
        <w:t>消防产品现场检测类装备</w:t>
      </w:r>
      <w:r>
        <w:rPr>
          <w:sz w:val="21"/>
        </w:rPr>
        <w:t xml:space="preserve"> </w:t>
      </w:r>
    </w:p>
    <w:p w14:paraId="0A13D881" w14:textId="77777777" w:rsidR="00A71EEF" w:rsidRDefault="00A71EEF">
      <w:pPr>
        <w:pStyle w:val="a3"/>
        <w:rPr>
          <w:sz w:val="18"/>
        </w:rPr>
      </w:pPr>
    </w:p>
    <w:p w14:paraId="36659279" w14:textId="77777777" w:rsidR="00A71EEF" w:rsidRDefault="0081115D">
      <w:pPr>
        <w:pStyle w:val="a3"/>
        <w:ind w:left="838"/>
      </w:pPr>
      <w:r>
        <w:t>此类装备用于消防产品现场检测业务。装备配备的种类和数量应满足表</w:t>
      </w:r>
      <w:r>
        <w:t xml:space="preserve"> 4 </w:t>
      </w:r>
      <w:r>
        <w:t>的要求。</w:t>
      </w:r>
      <w:r>
        <w:t xml:space="preserve"> </w:t>
      </w:r>
    </w:p>
    <w:p w14:paraId="71B0FBFA" w14:textId="77777777" w:rsidR="00A71EEF" w:rsidRDefault="0081115D">
      <w:pPr>
        <w:pStyle w:val="a3"/>
        <w:spacing w:before="6"/>
        <w:rPr>
          <w:sz w:val="24"/>
        </w:rPr>
      </w:pPr>
      <w:r>
        <w:rPr>
          <w:noProof/>
        </w:rPr>
        <w:drawing>
          <wp:anchor distT="0" distB="0" distL="0" distR="0" simplePos="0" relativeHeight="251618816" behindDoc="0" locked="0" layoutInCell="1" allowOverlap="1" wp14:anchorId="02D0ECE7" wp14:editId="241D0DC5">
            <wp:simplePos x="0" y="0"/>
            <wp:positionH relativeFrom="page">
              <wp:posOffset>1227455</wp:posOffset>
            </wp:positionH>
            <wp:positionV relativeFrom="paragraph">
              <wp:posOffset>224297</wp:posOffset>
            </wp:positionV>
            <wp:extent cx="5029200" cy="2057400"/>
            <wp:effectExtent l="0" t="0" r="0" b="0"/>
            <wp:wrapTopAndBottom/>
            <wp:docPr id="441" name="image2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image258.jpeg"/>
                    <pic:cNvPicPr/>
                  </pic:nvPicPr>
                  <pic:blipFill>
                    <a:blip r:embed="rId307" cstate="print"/>
                    <a:stretch>
                      <a:fillRect/>
                    </a:stretch>
                  </pic:blipFill>
                  <pic:spPr>
                    <a:xfrm>
                      <a:off x="0" y="0"/>
                      <a:ext cx="5029200" cy="2057400"/>
                    </a:xfrm>
                    <a:prstGeom prst="rect">
                      <a:avLst/>
                    </a:prstGeom>
                  </pic:spPr>
                </pic:pic>
              </a:graphicData>
            </a:graphic>
          </wp:anchor>
        </w:drawing>
      </w:r>
    </w:p>
    <w:p w14:paraId="2DBFA5B9" w14:textId="77777777" w:rsidR="00A71EEF" w:rsidRDefault="00A71EEF">
      <w:pPr>
        <w:rPr>
          <w:sz w:val="24"/>
        </w:rPr>
        <w:sectPr w:rsidR="00A71EEF">
          <w:pgSz w:w="11910" w:h="16850"/>
          <w:pgMar w:top="1160" w:right="0" w:bottom="1420" w:left="1260" w:header="0" w:footer="1239" w:gutter="0"/>
          <w:cols w:space="720"/>
        </w:sectPr>
      </w:pPr>
    </w:p>
    <w:p w14:paraId="2C458672" w14:textId="77777777" w:rsidR="00A71EEF" w:rsidRDefault="0081115D">
      <w:pPr>
        <w:pStyle w:val="a3"/>
        <w:ind w:left="613"/>
        <w:rPr>
          <w:sz w:val="20"/>
        </w:rPr>
      </w:pPr>
      <w:r>
        <w:rPr>
          <w:noProof/>
          <w:sz w:val="20"/>
        </w:rPr>
        <w:drawing>
          <wp:inline distT="0" distB="0" distL="0" distR="0" wp14:anchorId="09A60CB9" wp14:editId="4242CAA2">
            <wp:extent cx="5064925" cy="4784598"/>
            <wp:effectExtent l="0" t="0" r="0" b="0"/>
            <wp:docPr id="443" name="image2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259.jpeg"/>
                    <pic:cNvPicPr/>
                  </pic:nvPicPr>
                  <pic:blipFill>
                    <a:blip r:embed="rId308" cstate="print"/>
                    <a:stretch>
                      <a:fillRect/>
                    </a:stretch>
                  </pic:blipFill>
                  <pic:spPr>
                    <a:xfrm>
                      <a:off x="0" y="0"/>
                      <a:ext cx="5064925" cy="4784598"/>
                    </a:xfrm>
                    <a:prstGeom prst="rect">
                      <a:avLst/>
                    </a:prstGeom>
                  </pic:spPr>
                </pic:pic>
              </a:graphicData>
            </a:graphic>
          </wp:inline>
        </w:drawing>
      </w:r>
    </w:p>
    <w:p w14:paraId="02438DE6" w14:textId="77777777" w:rsidR="00A71EEF" w:rsidRDefault="00A71EEF">
      <w:pPr>
        <w:pStyle w:val="a3"/>
        <w:rPr>
          <w:sz w:val="20"/>
        </w:rPr>
      </w:pPr>
    </w:p>
    <w:p w14:paraId="74A752CB" w14:textId="77777777" w:rsidR="00A71EEF" w:rsidRDefault="00A71EEF">
      <w:pPr>
        <w:pStyle w:val="a3"/>
        <w:rPr>
          <w:sz w:val="20"/>
        </w:rPr>
      </w:pPr>
    </w:p>
    <w:p w14:paraId="52203653" w14:textId="77777777" w:rsidR="00A71EEF" w:rsidRDefault="00A71EEF">
      <w:pPr>
        <w:pStyle w:val="a3"/>
        <w:spacing w:before="6"/>
        <w:rPr>
          <w:sz w:val="16"/>
        </w:rPr>
      </w:pPr>
    </w:p>
    <w:p w14:paraId="38D0F362" w14:textId="77777777" w:rsidR="00A71EEF" w:rsidRDefault="0081115D">
      <w:pPr>
        <w:pStyle w:val="a4"/>
        <w:numPr>
          <w:ilvl w:val="3"/>
          <w:numId w:val="462"/>
        </w:numPr>
        <w:tabs>
          <w:tab w:val="left" w:pos="1583"/>
        </w:tabs>
        <w:rPr>
          <w:sz w:val="21"/>
        </w:rPr>
      </w:pPr>
      <w:r>
        <w:rPr>
          <w:spacing w:val="-3"/>
          <w:sz w:val="21"/>
        </w:rPr>
        <w:t>火灾现场勘查类装备</w:t>
      </w:r>
      <w:r>
        <w:rPr>
          <w:sz w:val="21"/>
        </w:rPr>
        <w:t xml:space="preserve"> </w:t>
      </w:r>
    </w:p>
    <w:p w14:paraId="4315B94A" w14:textId="77777777" w:rsidR="00A71EEF" w:rsidRDefault="00A71EEF">
      <w:pPr>
        <w:pStyle w:val="a3"/>
        <w:spacing w:before="12"/>
        <w:rPr>
          <w:sz w:val="17"/>
        </w:rPr>
      </w:pPr>
    </w:p>
    <w:p w14:paraId="337218AF" w14:textId="77777777" w:rsidR="00A71EEF" w:rsidRDefault="0081115D">
      <w:pPr>
        <w:pStyle w:val="a3"/>
        <w:spacing w:line="448" w:lineRule="auto"/>
        <w:ind w:left="418" w:right="1609" w:firstLine="419"/>
      </w:pPr>
      <w:r>
        <w:rPr>
          <w:noProof/>
        </w:rPr>
        <w:drawing>
          <wp:anchor distT="0" distB="0" distL="0" distR="0" simplePos="0" relativeHeight="251768320" behindDoc="1" locked="0" layoutInCell="1" allowOverlap="1" wp14:anchorId="17646FE3" wp14:editId="03251270">
            <wp:simplePos x="0" y="0"/>
            <wp:positionH relativeFrom="page">
              <wp:posOffset>1322069</wp:posOffset>
            </wp:positionH>
            <wp:positionV relativeFrom="paragraph">
              <wp:posOffset>531368</wp:posOffset>
            </wp:positionV>
            <wp:extent cx="4886325" cy="2086610"/>
            <wp:effectExtent l="0" t="0" r="0" b="0"/>
            <wp:wrapNone/>
            <wp:docPr id="445" name="image2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260.jpeg"/>
                    <pic:cNvPicPr/>
                  </pic:nvPicPr>
                  <pic:blipFill>
                    <a:blip r:embed="rId309" cstate="print"/>
                    <a:stretch>
                      <a:fillRect/>
                    </a:stretch>
                  </pic:blipFill>
                  <pic:spPr>
                    <a:xfrm>
                      <a:off x="0" y="0"/>
                      <a:ext cx="4886325" cy="2086610"/>
                    </a:xfrm>
                    <a:prstGeom prst="rect">
                      <a:avLst/>
                    </a:prstGeom>
                  </pic:spPr>
                </pic:pic>
              </a:graphicData>
            </a:graphic>
          </wp:anchor>
        </w:drawing>
      </w:r>
      <w:r>
        <w:t>此类装备用于火灾事故现场清理、提取物证和现场分析鉴定等工作。装备配备的种类和数量应满足表</w:t>
      </w:r>
      <w:r>
        <w:t xml:space="preserve"> 5 </w:t>
      </w:r>
      <w:r>
        <w:t>的要求。</w:t>
      </w:r>
      <w:r>
        <w:t xml:space="preserve"> </w:t>
      </w:r>
    </w:p>
    <w:p w14:paraId="3B29D262" w14:textId="77777777" w:rsidR="00A71EEF" w:rsidRDefault="00A71EEF">
      <w:pPr>
        <w:pStyle w:val="a3"/>
        <w:rPr>
          <w:sz w:val="20"/>
        </w:rPr>
      </w:pPr>
    </w:p>
    <w:p w14:paraId="4E78C727" w14:textId="77777777" w:rsidR="00A71EEF" w:rsidRDefault="00A71EEF">
      <w:pPr>
        <w:pStyle w:val="a3"/>
        <w:rPr>
          <w:sz w:val="20"/>
        </w:rPr>
      </w:pPr>
    </w:p>
    <w:p w14:paraId="0A7CFCF0" w14:textId="77777777" w:rsidR="00A71EEF" w:rsidRDefault="00A71EEF">
      <w:pPr>
        <w:pStyle w:val="a3"/>
        <w:rPr>
          <w:sz w:val="20"/>
        </w:rPr>
      </w:pPr>
    </w:p>
    <w:p w14:paraId="78002786" w14:textId="77777777" w:rsidR="00A71EEF" w:rsidRDefault="00A71EEF">
      <w:pPr>
        <w:pStyle w:val="a3"/>
        <w:rPr>
          <w:sz w:val="20"/>
        </w:rPr>
      </w:pPr>
    </w:p>
    <w:p w14:paraId="38F9438E" w14:textId="77777777" w:rsidR="00A71EEF" w:rsidRDefault="00A71EEF">
      <w:pPr>
        <w:pStyle w:val="a3"/>
        <w:rPr>
          <w:sz w:val="20"/>
        </w:rPr>
      </w:pPr>
    </w:p>
    <w:p w14:paraId="4DA16C70" w14:textId="77777777" w:rsidR="00A71EEF" w:rsidRDefault="00A71EEF">
      <w:pPr>
        <w:pStyle w:val="a3"/>
        <w:rPr>
          <w:sz w:val="20"/>
        </w:rPr>
      </w:pPr>
    </w:p>
    <w:p w14:paraId="44C9D3F6" w14:textId="77777777" w:rsidR="00A71EEF" w:rsidRDefault="00A71EEF">
      <w:pPr>
        <w:pStyle w:val="a3"/>
        <w:rPr>
          <w:sz w:val="20"/>
        </w:rPr>
      </w:pPr>
    </w:p>
    <w:p w14:paraId="0DD564F4" w14:textId="77777777" w:rsidR="00A71EEF" w:rsidRDefault="00A71EEF">
      <w:pPr>
        <w:pStyle w:val="a3"/>
        <w:rPr>
          <w:sz w:val="20"/>
        </w:rPr>
      </w:pPr>
    </w:p>
    <w:p w14:paraId="4E8E9D49" w14:textId="77777777" w:rsidR="00A71EEF" w:rsidRDefault="00A71EEF">
      <w:pPr>
        <w:pStyle w:val="a3"/>
        <w:rPr>
          <w:sz w:val="20"/>
        </w:rPr>
      </w:pPr>
    </w:p>
    <w:p w14:paraId="5034DFA5" w14:textId="77777777" w:rsidR="00A71EEF" w:rsidRDefault="00A71EEF">
      <w:pPr>
        <w:pStyle w:val="a3"/>
        <w:rPr>
          <w:sz w:val="20"/>
        </w:rPr>
      </w:pPr>
    </w:p>
    <w:p w14:paraId="1774ACE3" w14:textId="77777777" w:rsidR="00A71EEF" w:rsidRDefault="00A71EEF">
      <w:pPr>
        <w:pStyle w:val="a3"/>
        <w:rPr>
          <w:sz w:val="20"/>
        </w:rPr>
      </w:pPr>
    </w:p>
    <w:p w14:paraId="7219422D" w14:textId="77777777" w:rsidR="00A71EEF" w:rsidRDefault="00A71EEF">
      <w:pPr>
        <w:pStyle w:val="a3"/>
        <w:rPr>
          <w:sz w:val="20"/>
        </w:rPr>
      </w:pPr>
    </w:p>
    <w:p w14:paraId="4E0C9DA6" w14:textId="77777777" w:rsidR="00A71EEF" w:rsidRDefault="00A71EEF">
      <w:pPr>
        <w:pStyle w:val="a3"/>
        <w:rPr>
          <w:sz w:val="20"/>
        </w:rPr>
      </w:pPr>
    </w:p>
    <w:p w14:paraId="5508D952" w14:textId="77777777" w:rsidR="00A71EEF" w:rsidRDefault="00A71EEF">
      <w:pPr>
        <w:pStyle w:val="a3"/>
        <w:rPr>
          <w:sz w:val="20"/>
        </w:rPr>
      </w:pPr>
    </w:p>
    <w:p w14:paraId="4F860DD5" w14:textId="77777777" w:rsidR="00A71EEF" w:rsidRDefault="00A71EEF">
      <w:pPr>
        <w:pStyle w:val="a3"/>
        <w:spacing w:before="4"/>
        <w:rPr>
          <w:sz w:val="17"/>
        </w:rPr>
      </w:pPr>
    </w:p>
    <w:p w14:paraId="64CD858F" w14:textId="77777777" w:rsidR="00A71EEF" w:rsidRDefault="0081115D">
      <w:pPr>
        <w:pStyle w:val="a3"/>
        <w:ind w:left="838"/>
      </w:pPr>
      <w:r>
        <w:t xml:space="preserve"> </w:t>
      </w:r>
    </w:p>
    <w:p w14:paraId="3B89AF58" w14:textId="77777777" w:rsidR="00A71EEF" w:rsidRDefault="00A71EEF">
      <w:pPr>
        <w:sectPr w:rsidR="00A71EEF">
          <w:pgSz w:w="11910" w:h="16850"/>
          <w:pgMar w:top="1440" w:right="0" w:bottom="1420" w:left="1260" w:header="0" w:footer="1239" w:gutter="0"/>
          <w:cols w:space="720"/>
        </w:sectPr>
      </w:pPr>
    </w:p>
    <w:p w14:paraId="2C188821" w14:textId="77777777" w:rsidR="00A71EEF" w:rsidRDefault="00A71EEF">
      <w:pPr>
        <w:pStyle w:val="a3"/>
        <w:rPr>
          <w:sz w:val="20"/>
        </w:rPr>
      </w:pPr>
    </w:p>
    <w:p w14:paraId="442B2691" w14:textId="77777777" w:rsidR="00A71EEF" w:rsidRDefault="00A71EEF">
      <w:pPr>
        <w:pStyle w:val="a3"/>
        <w:spacing w:before="11"/>
        <w:rPr>
          <w:sz w:val="19"/>
        </w:rPr>
      </w:pPr>
    </w:p>
    <w:p w14:paraId="46735494" w14:textId="77777777" w:rsidR="00A71EEF" w:rsidRDefault="0081115D">
      <w:pPr>
        <w:pStyle w:val="a3"/>
        <w:ind w:left="748"/>
        <w:rPr>
          <w:sz w:val="20"/>
        </w:rPr>
      </w:pPr>
      <w:r>
        <w:rPr>
          <w:noProof/>
          <w:sz w:val="20"/>
        </w:rPr>
        <w:drawing>
          <wp:inline distT="0" distB="0" distL="0" distR="0" wp14:anchorId="4041044A" wp14:editId="194E6E2B">
            <wp:extent cx="4876799" cy="4972050"/>
            <wp:effectExtent l="0" t="0" r="0" b="0"/>
            <wp:docPr id="447" name="image2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261.jpeg"/>
                    <pic:cNvPicPr/>
                  </pic:nvPicPr>
                  <pic:blipFill>
                    <a:blip r:embed="rId310" cstate="print"/>
                    <a:stretch>
                      <a:fillRect/>
                    </a:stretch>
                  </pic:blipFill>
                  <pic:spPr>
                    <a:xfrm>
                      <a:off x="0" y="0"/>
                      <a:ext cx="4876799" cy="4972050"/>
                    </a:xfrm>
                    <a:prstGeom prst="rect">
                      <a:avLst/>
                    </a:prstGeom>
                  </pic:spPr>
                </pic:pic>
              </a:graphicData>
            </a:graphic>
          </wp:inline>
        </w:drawing>
      </w:r>
    </w:p>
    <w:p w14:paraId="51808BAE" w14:textId="77777777" w:rsidR="00A71EEF" w:rsidRDefault="0081115D">
      <w:pPr>
        <w:pStyle w:val="a3"/>
        <w:spacing w:before="8"/>
        <w:rPr>
          <w:sz w:val="8"/>
        </w:rPr>
      </w:pPr>
      <w:r>
        <w:rPr>
          <w:noProof/>
        </w:rPr>
        <w:drawing>
          <wp:anchor distT="0" distB="0" distL="0" distR="0" simplePos="0" relativeHeight="251619840" behindDoc="0" locked="0" layoutInCell="1" allowOverlap="1" wp14:anchorId="70E52596" wp14:editId="21DFCDA7">
            <wp:simplePos x="0" y="0"/>
            <wp:positionH relativeFrom="page">
              <wp:posOffset>1275080</wp:posOffset>
            </wp:positionH>
            <wp:positionV relativeFrom="paragraph">
              <wp:posOffset>95250</wp:posOffset>
            </wp:positionV>
            <wp:extent cx="4876800" cy="2009775"/>
            <wp:effectExtent l="0" t="0" r="0" b="0"/>
            <wp:wrapTopAndBottom/>
            <wp:docPr id="449" name="image2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262.jpeg"/>
                    <pic:cNvPicPr/>
                  </pic:nvPicPr>
                  <pic:blipFill>
                    <a:blip r:embed="rId311" cstate="print"/>
                    <a:stretch>
                      <a:fillRect/>
                    </a:stretch>
                  </pic:blipFill>
                  <pic:spPr>
                    <a:xfrm>
                      <a:off x="0" y="0"/>
                      <a:ext cx="4876800" cy="2009775"/>
                    </a:xfrm>
                    <a:prstGeom prst="rect">
                      <a:avLst/>
                    </a:prstGeom>
                  </pic:spPr>
                </pic:pic>
              </a:graphicData>
            </a:graphic>
          </wp:anchor>
        </w:drawing>
      </w:r>
    </w:p>
    <w:p w14:paraId="4B7B6ADA" w14:textId="77777777" w:rsidR="00A71EEF" w:rsidRDefault="00A71EEF">
      <w:pPr>
        <w:pStyle w:val="a3"/>
        <w:rPr>
          <w:sz w:val="20"/>
        </w:rPr>
      </w:pPr>
    </w:p>
    <w:p w14:paraId="58BF0276" w14:textId="77777777" w:rsidR="00A71EEF" w:rsidRDefault="00A71EEF">
      <w:pPr>
        <w:pStyle w:val="a3"/>
        <w:rPr>
          <w:sz w:val="20"/>
        </w:rPr>
      </w:pPr>
    </w:p>
    <w:p w14:paraId="32CE5DD5" w14:textId="77777777" w:rsidR="00A71EEF" w:rsidRDefault="00A71EEF">
      <w:pPr>
        <w:pStyle w:val="a3"/>
        <w:rPr>
          <w:sz w:val="20"/>
        </w:rPr>
      </w:pPr>
    </w:p>
    <w:p w14:paraId="31F27C9C" w14:textId="77777777" w:rsidR="00A71EEF" w:rsidRDefault="00A71EEF">
      <w:pPr>
        <w:pStyle w:val="a3"/>
        <w:spacing w:before="2"/>
        <w:rPr>
          <w:sz w:val="25"/>
        </w:rPr>
      </w:pPr>
    </w:p>
    <w:p w14:paraId="3EA34A68" w14:textId="77777777" w:rsidR="00A71EEF" w:rsidRDefault="0081115D">
      <w:pPr>
        <w:pStyle w:val="a3"/>
        <w:spacing w:before="72"/>
        <w:ind w:left="838"/>
      </w:pPr>
      <w:r>
        <w:t xml:space="preserve"> </w:t>
      </w:r>
    </w:p>
    <w:p w14:paraId="196A5A8A" w14:textId="77777777" w:rsidR="00A71EEF" w:rsidRDefault="00A71EEF">
      <w:pPr>
        <w:sectPr w:rsidR="00A71EEF">
          <w:pgSz w:w="11910" w:h="16850"/>
          <w:pgMar w:top="1600" w:right="0" w:bottom="1420" w:left="1260" w:header="0" w:footer="1239" w:gutter="0"/>
          <w:cols w:space="720"/>
        </w:sectPr>
      </w:pPr>
    </w:p>
    <w:p w14:paraId="2020230C" w14:textId="77777777" w:rsidR="00A71EEF" w:rsidRDefault="0081115D">
      <w:pPr>
        <w:pStyle w:val="a3"/>
        <w:ind w:left="612"/>
        <w:rPr>
          <w:sz w:val="20"/>
        </w:rPr>
      </w:pPr>
      <w:r>
        <w:rPr>
          <w:noProof/>
          <w:sz w:val="20"/>
        </w:rPr>
        <w:drawing>
          <wp:inline distT="0" distB="0" distL="0" distR="0" wp14:anchorId="21E13159" wp14:editId="572EE737">
            <wp:extent cx="4905375" cy="3343275"/>
            <wp:effectExtent l="0" t="0" r="0" b="0"/>
            <wp:docPr id="451" name="image2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image263.jpeg"/>
                    <pic:cNvPicPr/>
                  </pic:nvPicPr>
                  <pic:blipFill>
                    <a:blip r:embed="rId312" cstate="print"/>
                    <a:stretch>
                      <a:fillRect/>
                    </a:stretch>
                  </pic:blipFill>
                  <pic:spPr>
                    <a:xfrm>
                      <a:off x="0" y="0"/>
                      <a:ext cx="4905375" cy="3343275"/>
                    </a:xfrm>
                    <a:prstGeom prst="rect">
                      <a:avLst/>
                    </a:prstGeom>
                  </pic:spPr>
                </pic:pic>
              </a:graphicData>
            </a:graphic>
          </wp:inline>
        </w:drawing>
      </w:r>
    </w:p>
    <w:p w14:paraId="0BED3EB5" w14:textId="77777777" w:rsidR="00A71EEF" w:rsidRDefault="00A71EEF">
      <w:pPr>
        <w:pStyle w:val="a3"/>
        <w:rPr>
          <w:sz w:val="20"/>
        </w:rPr>
      </w:pPr>
    </w:p>
    <w:p w14:paraId="278B53D6" w14:textId="77777777" w:rsidR="00A71EEF" w:rsidRDefault="00A71EEF">
      <w:pPr>
        <w:pStyle w:val="a3"/>
        <w:spacing w:before="6"/>
        <w:rPr>
          <w:sz w:val="28"/>
        </w:rPr>
      </w:pPr>
    </w:p>
    <w:p w14:paraId="271C076B" w14:textId="77777777" w:rsidR="00A71EEF" w:rsidRDefault="0081115D">
      <w:pPr>
        <w:pStyle w:val="a4"/>
        <w:numPr>
          <w:ilvl w:val="3"/>
          <w:numId w:val="462"/>
        </w:numPr>
        <w:tabs>
          <w:tab w:val="left" w:pos="1583"/>
        </w:tabs>
        <w:spacing w:before="72"/>
        <w:rPr>
          <w:sz w:val="21"/>
        </w:rPr>
      </w:pPr>
      <w:r>
        <w:rPr>
          <w:spacing w:val="-3"/>
          <w:sz w:val="21"/>
        </w:rPr>
        <w:t>消防宣传教育类装备</w:t>
      </w:r>
      <w:r>
        <w:rPr>
          <w:sz w:val="21"/>
        </w:rPr>
        <w:t xml:space="preserve"> </w:t>
      </w:r>
    </w:p>
    <w:p w14:paraId="79556311" w14:textId="77777777" w:rsidR="00A71EEF" w:rsidRDefault="00A71EEF">
      <w:pPr>
        <w:pStyle w:val="a3"/>
        <w:spacing w:before="12"/>
        <w:rPr>
          <w:sz w:val="17"/>
        </w:rPr>
      </w:pPr>
    </w:p>
    <w:p w14:paraId="5BC68327" w14:textId="77777777" w:rsidR="00A71EEF" w:rsidRDefault="0081115D">
      <w:pPr>
        <w:pStyle w:val="a3"/>
        <w:spacing w:line="446" w:lineRule="auto"/>
        <w:ind w:left="418" w:right="1609" w:firstLine="419"/>
      </w:pPr>
      <w:r>
        <w:t>此类装备用于消防宣传业务，配合社会媒体进行消防宣传报导，对社会进行消防知识教育和培训。装备配备的种类和数量应满足表</w:t>
      </w:r>
      <w:r>
        <w:t xml:space="preserve"> 6 </w:t>
      </w:r>
      <w:r>
        <w:t>的要求。</w:t>
      </w:r>
      <w:r>
        <w:t xml:space="preserve"> </w:t>
      </w:r>
    </w:p>
    <w:p w14:paraId="69A2524C" w14:textId="77777777" w:rsidR="00A71EEF" w:rsidRDefault="0081115D">
      <w:pPr>
        <w:pStyle w:val="a3"/>
        <w:spacing w:before="5"/>
        <w:rPr>
          <w:sz w:val="8"/>
        </w:rPr>
      </w:pPr>
      <w:r>
        <w:rPr>
          <w:noProof/>
        </w:rPr>
        <w:drawing>
          <wp:anchor distT="0" distB="0" distL="0" distR="0" simplePos="0" relativeHeight="251620864" behindDoc="0" locked="0" layoutInCell="1" allowOverlap="1" wp14:anchorId="3D69188D" wp14:editId="03DF9E76">
            <wp:simplePos x="0" y="0"/>
            <wp:positionH relativeFrom="page">
              <wp:posOffset>1217930</wp:posOffset>
            </wp:positionH>
            <wp:positionV relativeFrom="paragraph">
              <wp:posOffset>93479</wp:posOffset>
            </wp:positionV>
            <wp:extent cx="5086350" cy="3038475"/>
            <wp:effectExtent l="0" t="0" r="0" b="0"/>
            <wp:wrapTopAndBottom/>
            <wp:docPr id="453" name="image2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image264.jpeg"/>
                    <pic:cNvPicPr/>
                  </pic:nvPicPr>
                  <pic:blipFill>
                    <a:blip r:embed="rId313" cstate="print"/>
                    <a:stretch>
                      <a:fillRect/>
                    </a:stretch>
                  </pic:blipFill>
                  <pic:spPr>
                    <a:xfrm>
                      <a:off x="0" y="0"/>
                      <a:ext cx="5086350" cy="3038475"/>
                    </a:xfrm>
                    <a:prstGeom prst="rect">
                      <a:avLst/>
                    </a:prstGeom>
                  </pic:spPr>
                </pic:pic>
              </a:graphicData>
            </a:graphic>
          </wp:anchor>
        </w:drawing>
      </w:r>
    </w:p>
    <w:p w14:paraId="133C135D" w14:textId="77777777" w:rsidR="00A71EEF" w:rsidRDefault="0081115D">
      <w:pPr>
        <w:pStyle w:val="a3"/>
        <w:spacing w:before="163"/>
        <w:ind w:left="838"/>
      </w:pPr>
      <w:r>
        <w:t xml:space="preserve"> </w:t>
      </w:r>
    </w:p>
    <w:p w14:paraId="02BFA3E4" w14:textId="77777777" w:rsidR="00A71EEF" w:rsidRDefault="00A71EEF">
      <w:pPr>
        <w:sectPr w:rsidR="00A71EEF">
          <w:pgSz w:w="11910" w:h="16850"/>
          <w:pgMar w:top="1120" w:right="0" w:bottom="1420" w:left="1260" w:header="0" w:footer="1239" w:gutter="0"/>
          <w:cols w:space="720"/>
        </w:sectPr>
      </w:pPr>
    </w:p>
    <w:p w14:paraId="0CFF11C9" w14:textId="77777777" w:rsidR="00A71EEF" w:rsidRDefault="0081115D">
      <w:pPr>
        <w:pStyle w:val="a3"/>
        <w:ind w:left="840"/>
        <w:rPr>
          <w:sz w:val="20"/>
        </w:rPr>
      </w:pPr>
      <w:r>
        <w:rPr>
          <w:noProof/>
          <w:sz w:val="20"/>
        </w:rPr>
        <w:drawing>
          <wp:inline distT="0" distB="0" distL="0" distR="0" wp14:anchorId="34CEC20D" wp14:editId="7AF73480">
            <wp:extent cx="4736923" cy="3941064"/>
            <wp:effectExtent l="0" t="0" r="0" b="0"/>
            <wp:docPr id="455" name="image2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image265.jpeg"/>
                    <pic:cNvPicPr/>
                  </pic:nvPicPr>
                  <pic:blipFill>
                    <a:blip r:embed="rId314" cstate="print"/>
                    <a:stretch>
                      <a:fillRect/>
                    </a:stretch>
                  </pic:blipFill>
                  <pic:spPr>
                    <a:xfrm>
                      <a:off x="0" y="0"/>
                      <a:ext cx="4736923" cy="3941064"/>
                    </a:xfrm>
                    <a:prstGeom prst="rect">
                      <a:avLst/>
                    </a:prstGeom>
                  </pic:spPr>
                </pic:pic>
              </a:graphicData>
            </a:graphic>
          </wp:inline>
        </w:drawing>
      </w:r>
    </w:p>
    <w:p w14:paraId="305A0917" w14:textId="77777777" w:rsidR="00A71EEF" w:rsidRDefault="00A71EEF">
      <w:pPr>
        <w:pStyle w:val="a3"/>
        <w:rPr>
          <w:sz w:val="20"/>
        </w:rPr>
      </w:pPr>
    </w:p>
    <w:p w14:paraId="091B8341" w14:textId="77777777" w:rsidR="00A71EEF" w:rsidRDefault="00A71EEF">
      <w:pPr>
        <w:pStyle w:val="a3"/>
        <w:rPr>
          <w:sz w:val="20"/>
        </w:rPr>
      </w:pPr>
    </w:p>
    <w:p w14:paraId="7F86F8EA" w14:textId="77777777" w:rsidR="00A71EEF" w:rsidRDefault="00A71EEF">
      <w:pPr>
        <w:pStyle w:val="a3"/>
        <w:rPr>
          <w:sz w:val="20"/>
        </w:rPr>
      </w:pPr>
    </w:p>
    <w:p w14:paraId="78081636" w14:textId="77777777" w:rsidR="00A71EEF" w:rsidRDefault="00A71EEF">
      <w:pPr>
        <w:pStyle w:val="a3"/>
        <w:rPr>
          <w:sz w:val="20"/>
        </w:rPr>
      </w:pPr>
    </w:p>
    <w:p w14:paraId="69491F1C" w14:textId="77777777" w:rsidR="00A71EEF" w:rsidRDefault="00A71EEF">
      <w:pPr>
        <w:pStyle w:val="a3"/>
        <w:rPr>
          <w:sz w:val="20"/>
        </w:rPr>
      </w:pPr>
    </w:p>
    <w:p w14:paraId="353B5B00" w14:textId="77777777" w:rsidR="00A71EEF" w:rsidRDefault="00A71EEF">
      <w:pPr>
        <w:pStyle w:val="a3"/>
        <w:spacing w:before="6"/>
        <w:rPr>
          <w:sz w:val="24"/>
        </w:rPr>
      </w:pPr>
    </w:p>
    <w:p w14:paraId="411EE312" w14:textId="77777777" w:rsidR="00A71EEF" w:rsidRDefault="0081115D">
      <w:pPr>
        <w:pStyle w:val="a4"/>
        <w:numPr>
          <w:ilvl w:val="2"/>
          <w:numId w:val="462"/>
        </w:numPr>
        <w:tabs>
          <w:tab w:val="left" w:pos="1370"/>
        </w:tabs>
        <w:spacing w:before="72"/>
        <w:ind w:hanging="530"/>
        <w:rPr>
          <w:b/>
          <w:sz w:val="21"/>
        </w:rPr>
      </w:pPr>
      <w:r>
        <w:rPr>
          <w:spacing w:val="-3"/>
          <w:sz w:val="21"/>
        </w:rPr>
        <w:t>四级装备配备</w:t>
      </w:r>
      <w:r>
        <w:rPr>
          <w:b/>
          <w:w w:val="99"/>
          <w:sz w:val="21"/>
        </w:rPr>
        <w:t xml:space="preserve"> </w:t>
      </w:r>
    </w:p>
    <w:p w14:paraId="58F9FBBC" w14:textId="77777777" w:rsidR="00A71EEF" w:rsidRDefault="00A71EEF">
      <w:pPr>
        <w:pStyle w:val="a3"/>
        <w:spacing w:before="1"/>
        <w:rPr>
          <w:b/>
          <w:sz w:val="18"/>
        </w:rPr>
      </w:pPr>
    </w:p>
    <w:p w14:paraId="093B3F1B" w14:textId="77777777" w:rsidR="00A71EEF" w:rsidRDefault="0081115D">
      <w:pPr>
        <w:pStyle w:val="a3"/>
        <w:spacing w:before="1"/>
        <w:ind w:left="838"/>
      </w:pPr>
      <w:r>
        <w:t>四级装备配备的种类和数量应满足表</w:t>
      </w:r>
      <w:r>
        <w:t xml:space="preserve"> 7 </w:t>
      </w:r>
      <w:r>
        <w:t>的要求。</w:t>
      </w:r>
      <w:r>
        <w:t xml:space="preserve"> </w:t>
      </w:r>
    </w:p>
    <w:p w14:paraId="40F0A030" w14:textId="77777777" w:rsidR="00A71EEF" w:rsidRDefault="0081115D">
      <w:pPr>
        <w:pStyle w:val="a3"/>
        <w:spacing w:before="10"/>
        <w:rPr>
          <w:sz w:val="19"/>
        </w:rPr>
      </w:pPr>
      <w:r>
        <w:rPr>
          <w:noProof/>
        </w:rPr>
        <w:drawing>
          <wp:anchor distT="0" distB="0" distL="0" distR="0" simplePos="0" relativeHeight="251621888" behindDoc="0" locked="0" layoutInCell="1" allowOverlap="1" wp14:anchorId="78A61326" wp14:editId="1639945D">
            <wp:simplePos x="0" y="0"/>
            <wp:positionH relativeFrom="page">
              <wp:posOffset>1360805</wp:posOffset>
            </wp:positionH>
            <wp:positionV relativeFrom="paragraph">
              <wp:posOffset>185864</wp:posOffset>
            </wp:positionV>
            <wp:extent cx="4591685" cy="2562225"/>
            <wp:effectExtent l="0" t="0" r="0" b="0"/>
            <wp:wrapTopAndBottom/>
            <wp:docPr id="457" name="image2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266.jpeg"/>
                    <pic:cNvPicPr/>
                  </pic:nvPicPr>
                  <pic:blipFill>
                    <a:blip r:embed="rId315" cstate="print"/>
                    <a:stretch>
                      <a:fillRect/>
                    </a:stretch>
                  </pic:blipFill>
                  <pic:spPr>
                    <a:xfrm>
                      <a:off x="0" y="0"/>
                      <a:ext cx="4591685" cy="2562225"/>
                    </a:xfrm>
                    <a:prstGeom prst="rect">
                      <a:avLst/>
                    </a:prstGeom>
                  </pic:spPr>
                </pic:pic>
              </a:graphicData>
            </a:graphic>
          </wp:anchor>
        </w:drawing>
      </w:r>
    </w:p>
    <w:p w14:paraId="6A3E1FCF" w14:textId="77777777" w:rsidR="00A71EEF" w:rsidRDefault="0081115D">
      <w:pPr>
        <w:pStyle w:val="a3"/>
        <w:spacing w:before="180"/>
        <w:ind w:left="838"/>
      </w:pPr>
      <w:r>
        <w:t xml:space="preserve"> </w:t>
      </w:r>
    </w:p>
    <w:p w14:paraId="6C574840" w14:textId="77777777" w:rsidR="00A71EEF" w:rsidRDefault="00A71EEF">
      <w:pPr>
        <w:sectPr w:rsidR="00A71EEF">
          <w:footerReference w:type="default" r:id="rId316"/>
          <w:pgSz w:w="11910" w:h="16850"/>
          <w:pgMar w:top="1200" w:right="0" w:bottom="1420" w:left="1260" w:header="0" w:footer="1239" w:gutter="0"/>
          <w:pgNumType w:start="1230"/>
          <w:cols w:space="720"/>
        </w:sectPr>
      </w:pPr>
    </w:p>
    <w:p w14:paraId="6B7BA959" w14:textId="77777777" w:rsidR="00A71EEF" w:rsidRDefault="0081115D">
      <w:pPr>
        <w:pStyle w:val="a3"/>
        <w:ind w:left="778"/>
        <w:rPr>
          <w:sz w:val="20"/>
        </w:rPr>
      </w:pPr>
      <w:r>
        <w:rPr>
          <w:sz w:val="20"/>
        </w:rPr>
      </w:r>
      <w:r>
        <w:rPr>
          <w:sz w:val="20"/>
        </w:rPr>
        <w:pict w14:anchorId="4C776418">
          <v:group id="_x0000_s1138" style="width:367.5pt;height:684.15pt;mso-position-horizontal-relative:char;mso-position-vertical-relative:line" coordsize="7350,13683">
            <v:shape id="_x0000_s1141" type="#_x0000_t75" style="position:absolute;top:9030;width:7350;height:4653">
              <v:imagedata r:id="rId317" o:title=""/>
            </v:shape>
            <v:shape id="_x0000_s1140" type="#_x0000_t75" style="position:absolute;left:134;width:7215;height:4880">
              <v:imagedata r:id="rId318" o:title=""/>
            </v:shape>
            <v:shape id="_x0000_s1139" type="#_x0000_t75" style="position:absolute;left:90;top:4635;width:7260;height:4382">
              <v:imagedata r:id="rId319" o:title=""/>
            </v:shape>
            <w10:anchorlock/>
          </v:group>
        </w:pict>
      </w:r>
    </w:p>
    <w:p w14:paraId="021C9CF8" w14:textId="77777777" w:rsidR="00A71EEF" w:rsidRDefault="00A71EEF">
      <w:pPr>
        <w:pStyle w:val="a3"/>
        <w:spacing w:before="5"/>
        <w:rPr>
          <w:sz w:val="8"/>
        </w:rPr>
      </w:pPr>
    </w:p>
    <w:p w14:paraId="1EBE7D49" w14:textId="77777777" w:rsidR="00A71EEF" w:rsidRDefault="0081115D">
      <w:pPr>
        <w:pStyle w:val="a3"/>
        <w:spacing w:before="72"/>
        <w:ind w:left="838"/>
      </w:pPr>
      <w:r>
        <w:t xml:space="preserve"> </w:t>
      </w:r>
    </w:p>
    <w:p w14:paraId="0CD90CED" w14:textId="77777777" w:rsidR="00A71EEF" w:rsidRDefault="00A71EEF">
      <w:pPr>
        <w:sectPr w:rsidR="00A71EEF">
          <w:pgSz w:w="11910" w:h="16850"/>
          <w:pgMar w:top="1080" w:right="0" w:bottom="1420" w:left="1260" w:header="0" w:footer="1239" w:gutter="0"/>
          <w:cols w:space="720"/>
        </w:sectPr>
      </w:pPr>
    </w:p>
    <w:p w14:paraId="7DD19B70" w14:textId="77777777" w:rsidR="00A71EEF" w:rsidRDefault="0081115D">
      <w:pPr>
        <w:pStyle w:val="a4"/>
        <w:numPr>
          <w:ilvl w:val="2"/>
          <w:numId w:val="462"/>
        </w:numPr>
        <w:tabs>
          <w:tab w:val="left" w:pos="1370"/>
        </w:tabs>
        <w:spacing w:before="47"/>
        <w:ind w:hanging="530"/>
        <w:rPr>
          <w:b/>
          <w:sz w:val="21"/>
        </w:rPr>
      </w:pPr>
      <w:r>
        <w:rPr>
          <w:spacing w:val="-3"/>
          <w:sz w:val="21"/>
        </w:rPr>
        <w:t>五级装备配备</w:t>
      </w:r>
      <w:r>
        <w:rPr>
          <w:b/>
          <w:w w:val="99"/>
          <w:sz w:val="21"/>
        </w:rPr>
        <w:t xml:space="preserve"> </w:t>
      </w:r>
    </w:p>
    <w:p w14:paraId="6D45127E" w14:textId="77777777" w:rsidR="00A71EEF" w:rsidRDefault="00A71EEF">
      <w:pPr>
        <w:pStyle w:val="a3"/>
        <w:rPr>
          <w:b/>
          <w:sz w:val="18"/>
        </w:rPr>
      </w:pPr>
    </w:p>
    <w:p w14:paraId="0DE360E4" w14:textId="77777777" w:rsidR="00A71EEF" w:rsidRDefault="0081115D">
      <w:pPr>
        <w:pStyle w:val="a3"/>
        <w:ind w:left="838"/>
      </w:pPr>
      <w:r>
        <w:t>五级装备配备的种类和数量应满足表</w:t>
      </w:r>
      <w:r>
        <w:t xml:space="preserve"> 8 </w:t>
      </w:r>
      <w:r>
        <w:t>的要求。</w:t>
      </w:r>
      <w:r>
        <w:t xml:space="preserve"> </w:t>
      </w:r>
    </w:p>
    <w:p w14:paraId="6708BAB5" w14:textId="77777777" w:rsidR="00A71EEF" w:rsidRDefault="0081115D">
      <w:pPr>
        <w:pStyle w:val="a3"/>
        <w:spacing w:before="9"/>
        <w:rPr>
          <w:sz w:val="28"/>
        </w:rPr>
      </w:pPr>
      <w:r>
        <w:rPr>
          <w:noProof/>
        </w:rPr>
        <w:drawing>
          <wp:anchor distT="0" distB="0" distL="0" distR="0" simplePos="0" relativeHeight="251622912" behindDoc="0" locked="0" layoutInCell="1" allowOverlap="1" wp14:anchorId="1B47C5F6" wp14:editId="2B822EA8">
            <wp:simplePos x="0" y="0"/>
            <wp:positionH relativeFrom="page">
              <wp:posOffset>1379855</wp:posOffset>
            </wp:positionH>
            <wp:positionV relativeFrom="paragraph">
              <wp:posOffset>258730</wp:posOffset>
            </wp:positionV>
            <wp:extent cx="4601845" cy="3238500"/>
            <wp:effectExtent l="0" t="0" r="0" b="0"/>
            <wp:wrapTopAndBottom/>
            <wp:docPr id="459" name="image2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mage270.jpeg"/>
                    <pic:cNvPicPr/>
                  </pic:nvPicPr>
                  <pic:blipFill>
                    <a:blip r:embed="rId320" cstate="print"/>
                    <a:stretch>
                      <a:fillRect/>
                    </a:stretch>
                  </pic:blipFill>
                  <pic:spPr>
                    <a:xfrm>
                      <a:off x="0" y="0"/>
                      <a:ext cx="4601845" cy="3238500"/>
                    </a:xfrm>
                    <a:prstGeom prst="rect">
                      <a:avLst/>
                    </a:prstGeom>
                  </pic:spPr>
                </pic:pic>
              </a:graphicData>
            </a:graphic>
          </wp:anchor>
        </w:drawing>
      </w:r>
      <w:r>
        <w:rPr>
          <w:noProof/>
        </w:rPr>
        <w:drawing>
          <wp:anchor distT="0" distB="0" distL="0" distR="0" simplePos="0" relativeHeight="251623936" behindDoc="0" locked="0" layoutInCell="1" allowOverlap="1" wp14:anchorId="3C44B707" wp14:editId="332E52C6">
            <wp:simplePos x="0" y="0"/>
            <wp:positionH relativeFrom="page">
              <wp:posOffset>1343660</wp:posOffset>
            </wp:positionH>
            <wp:positionV relativeFrom="paragraph">
              <wp:posOffset>3682650</wp:posOffset>
            </wp:positionV>
            <wp:extent cx="4680585" cy="3771900"/>
            <wp:effectExtent l="0" t="0" r="0" b="0"/>
            <wp:wrapTopAndBottom/>
            <wp:docPr id="461" name="image2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271.jpeg"/>
                    <pic:cNvPicPr/>
                  </pic:nvPicPr>
                  <pic:blipFill>
                    <a:blip r:embed="rId321" cstate="print"/>
                    <a:stretch>
                      <a:fillRect/>
                    </a:stretch>
                  </pic:blipFill>
                  <pic:spPr>
                    <a:xfrm>
                      <a:off x="0" y="0"/>
                      <a:ext cx="4680585" cy="3771900"/>
                    </a:xfrm>
                    <a:prstGeom prst="rect">
                      <a:avLst/>
                    </a:prstGeom>
                  </pic:spPr>
                </pic:pic>
              </a:graphicData>
            </a:graphic>
          </wp:anchor>
        </w:drawing>
      </w:r>
    </w:p>
    <w:p w14:paraId="54EF8E37" w14:textId="77777777" w:rsidR="00A71EEF" w:rsidRDefault="00A71EEF">
      <w:pPr>
        <w:pStyle w:val="a3"/>
        <w:spacing w:before="6"/>
        <w:rPr>
          <w:sz w:val="17"/>
        </w:rPr>
      </w:pPr>
    </w:p>
    <w:p w14:paraId="052FB35E" w14:textId="77777777" w:rsidR="00A71EEF" w:rsidRDefault="00A71EEF">
      <w:pPr>
        <w:pStyle w:val="a3"/>
        <w:rPr>
          <w:sz w:val="20"/>
        </w:rPr>
      </w:pPr>
    </w:p>
    <w:p w14:paraId="1200D965" w14:textId="77777777" w:rsidR="00A71EEF" w:rsidRDefault="00A71EEF">
      <w:pPr>
        <w:pStyle w:val="a3"/>
        <w:rPr>
          <w:sz w:val="20"/>
        </w:rPr>
      </w:pPr>
    </w:p>
    <w:p w14:paraId="45A0ACAA" w14:textId="77777777" w:rsidR="00A71EEF" w:rsidRDefault="00A71EEF">
      <w:pPr>
        <w:pStyle w:val="a3"/>
        <w:rPr>
          <w:sz w:val="20"/>
        </w:rPr>
      </w:pPr>
    </w:p>
    <w:p w14:paraId="400CDFB5" w14:textId="77777777" w:rsidR="00A71EEF" w:rsidRDefault="00A71EEF">
      <w:pPr>
        <w:pStyle w:val="a3"/>
        <w:spacing w:before="4"/>
        <w:rPr>
          <w:sz w:val="25"/>
        </w:rPr>
      </w:pPr>
    </w:p>
    <w:p w14:paraId="48EEF673" w14:textId="77777777" w:rsidR="00A71EEF" w:rsidRDefault="0081115D">
      <w:pPr>
        <w:pStyle w:val="a4"/>
        <w:numPr>
          <w:ilvl w:val="1"/>
          <w:numId w:val="462"/>
        </w:numPr>
        <w:tabs>
          <w:tab w:val="left" w:pos="1159"/>
        </w:tabs>
        <w:spacing w:before="72"/>
        <w:ind w:hanging="319"/>
        <w:rPr>
          <w:b/>
          <w:sz w:val="21"/>
        </w:rPr>
      </w:pPr>
      <w:r>
        <w:rPr>
          <w:spacing w:val="-3"/>
          <w:sz w:val="21"/>
        </w:rPr>
        <w:t>个人防护类装备</w:t>
      </w:r>
      <w:r>
        <w:rPr>
          <w:b/>
          <w:w w:val="99"/>
          <w:sz w:val="21"/>
        </w:rPr>
        <w:t xml:space="preserve"> </w:t>
      </w:r>
    </w:p>
    <w:p w14:paraId="12716F80" w14:textId="77777777" w:rsidR="00A71EEF" w:rsidRDefault="00A71EEF">
      <w:pPr>
        <w:rPr>
          <w:sz w:val="21"/>
        </w:rPr>
        <w:sectPr w:rsidR="00A71EEF">
          <w:pgSz w:w="11910" w:h="16850"/>
          <w:pgMar w:top="1220" w:right="0" w:bottom="1420" w:left="1260" w:header="0" w:footer="1239" w:gutter="0"/>
          <w:cols w:space="720"/>
        </w:sectPr>
      </w:pPr>
    </w:p>
    <w:p w14:paraId="24CF2D2F" w14:textId="77777777" w:rsidR="00A71EEF" w:rsidRDefault="0081115D">
      <w:pPr>
        <w:pStyle w:val="a3"/>
        <w:spacing w:before="47" w:after="18" w:line="446" w:lineRule="auto"/>
        <w:ind w:left="418" w:right="1609" w:firstLine="419"/>
      </w:pPr>
      <w:r>
        <w:t>此类装备用于建筑工程消防验收、消防监督检査和火灾事故调査等人员的个人防护。装备应结合本标准规定的专用车辆配备，种类和数量应满足表</w:t>
      </w:r>
      <w:r>
        <w:t xml:space="preserve"> 9 </w:t>
      </w:r>
      <w:r>
        <w:t>的要求。</w:t>
      </w:r>
      <w:r>
        <w:t xml:space="preserve"> </w:t>
      </w:r>
    </w:p>
    <w:p w14:paraId="3B0539F1" w14:textId="77777777" w:rsidR="00A71EEF" w:rsidRDefault="0081115D">
      <w:pPr>
        <w:pStyle w:val="a3"/>
        <w:ind w:left="943"/>
        <w:rPr>
          <w:sz w:val="20"/>
        </w:rPr>
      </w:pPr>
      <w:r>
        <w:rPr>
          <w:noProof/>
          <w:sz w:val="20"/>
        </w:rPr>
        <w:drawing>
          <wp:inline distT="0" distB="0" distL="0" distR="0" wp14:anchorId="132A377F" wp14:editId="559FB424">
            <wp:extent cx="4739005" cy="2714625"/>
            <wp:effectExtent l="0" t="0" r="0" b="0"/>
            <wp:docPr id="463" name="image2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272.jpeg"/>
                    <pic:cNvPicPr/>
                  </pic:nvPicPr>
                  <pic:blipFill>
                    <a:blip r:embed="rId322" cstate="print"/>
                    <a:stretch>
                      <a:fillRect/>
                    </a:stretch>
                  </pic:blipFill>
                  <pic:spPr>
                    <a:xfrm>
                      <a:off x="0" y="0"/>
                      <a:ext cx="4739005" cy="2714625"/>
                    </a:xfrm>
                    <a:prstGeom prst="rect">
                      <a:avLst/>
                    </a:prstGeom>
                  </pic:spPr>
                </pic:pic>
              </a:graphicData>
            </a:graphic>
          </wp:inline>
        </w:drawing>
      </w:r>
    </w:p>
    <w:p w14:paraId="528CB288" w14:textId="77777777" w:rsidR="00A71EEF" w:rsidRDefault="0081115D">
      <w:pPr>
        <w:pStyle w:val="a3"/>
        <w:spacing w:before="1"/>
        <w:rPr>
          <w:sz w:val="29"/>
        </w:rPr>
      </w:pPr>
      <w:r>
        <w:rPr>
          <w:noProof/>
        </w:rPr>
        <w:drawing>
          <wp:anchor distT="0" distB="0" distL="0" distR="0" simplePos="0" relativeHeight="251624960" behindDoc="0" locked="0" layoutInCell="1" allowOverlap="1" wp14:anchorId="6ACE9AF9" wp14:editId="131C30C1">
            <wp:simplePos x="0" y="0"/>
            <wp:positionH relativeFrom="page">
              <wp:posOffset>1362710</wp:posOffset>
            </wp:positionH>
            <wp:positionV relativeFrom="paragraph">
              <wp:posOffset>261620</wp:posOffset>
            </wp:positionV>
            <wp:extent cx="4690110" cy="1657350"/>
            <wp:effectExtent l="0" t="0" r="0" b="0"/>
            <wp:wrapTopAndBottom/>
            <wp:docPr id="465" name="image2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273.jpeg"/>
                    <pic:cNvPicPr/>
                  </pic:nvPicPr>
                  <pic:blipFill>
                    <a:blip r:embed="rId323" cstate="print"/>
                    <a:stretch>
                      <a:fillRect/>
                    </a:stretch>
                  </pic:blipFill>
                  <pic:spPr>
                    <a:xfrm>
                      <a:off x="0" y="0"/>
                      <a:ext cx="4690110" cy="1657350"/>
                    </a:xfrm>
                    <a:prstGeom prst="rect">
                      <a:avLst/>
                    </a:prstGeom>
                  </pic:spPr>
                </pic:pic>
              </a:graphicData>
            </a:graphic>
          </wp:anchor>
        </w:drawing>
      </w:r>
    </w:p>
    <w:p w14:paraId="7AA9FF64" w14:textId="77777777" w:rsidR="00A71EEF" w:rsidRDefault="00A71EEF">
      <w:pPr>
        <w:pStyle w:val="a3"/>
        <w:rPr>
          <w:sz w:val="20"/>
        </w:rPr>
      </w:pPr>
    </w:p>
    <w:p w14:paraId="66B7A66C" w14:textId="77777777" w:rsidR="00A71EEF" w:rsidRDefault="00A71EEF">
      <w:pPr>
        <w:pStyle w:val="a3"/>
        <w:spacing w:before="6"/>
        <w:rPr>
          <w:sz w:val="29"/>
        </w:rPr>
      </w:pPr>
    </w:p>
    <w:p w14:paraId="2E786A42" w14:textId="77777777" w:rsidR="00A71EEF" w:rsidRDefault="0081115D">
      <w:pPr>
        <w:pStyle w:val="4"/>
      </w:pPr>
      <w:r>
        <w:t xml:space="preserve">6 </w:t>
      </w:r>
      <w:r>
        <w:t>装备的管理与维护</w:t>
      </w:r>
      <w:r>
        <w:rPr>
          <w:w w:val="99"/>
        </w:rPr>
        <w:t xml:space="preserve"> </w:t>
      </w:r>
    </w:p>
    <w:p w14:paraId="5C912477" w14:textId="77777777" w:rsidR="00A71EEF" w:rsidRDefault="00A71EEF">
      <w:pPr>
        <w:pStyle w:val="a3"/>
        <w:spacing w:before="4"/>
        <w:rPr>
          <w:b/>
          <w:sz w:val="17"/>
        </w:rPr>
      </w:pPr>
    </w:p>
    <w:p w14:paraId="4730D5CD" w14:textId="77777777" w:rsidR="00A71EEF" w:rsidRDefault="0081115D">
      <w:pPr>
        <w:pStyle w:val="a4"/>
        <w:numPr>
          <w:ilvl w:val="1"/>
          <w:numId w:val="461"/>
        </w:numPr>
        <w:tabs>
          <w:tab w:val="left" w:pos="1160"/>
        </w:tabs>
        <w:spacing w:line="446" w:lineRule="auto"/>
        <w:ind w:right="1501" w:firstLine="422"/>
        <w:jc w:val="left"/>
        <w:rPr>
          <w:sz w:val="21"/>
        </w:rPr>
      </w:pPr>
      <w:r>
        <w:rPr>
          <w:spacing w:val="-3"/>
          <w:sz w:val="21"/>
        </w:rPr>
        <w:t>各级公安消防机构应建立消防监督技术装备使用管理制度，明确专人管理、维护和保养。</w:t>
      </w:r>
      <w:r>
        <w:rPr>
          <w:sz w:val="21"/>
        </w:rPr>
        <w:t xml:space="preserve"> </w:t>
      </w:r>
    </w:p>
    <w:p w14:paraId="3786FAE1" w14:textId="77777777" w:rsidR="00A71EEF" w:rsidRDefault="0081115D">
      <w:pPr>
        <w:pStyle w:val="a4"/>
        <w:numPr>
          <w:ilvl w:val="1"/>
          <w:numId w:val="461"/>
        </w:numPr>
        <w:tabs>
          <w:tab w:val="left" w:pos="1160"/>
        </w:tabs>
        <w:spacing w:line="446" w:lineRule="auto"/>
        <w:ind w:right="1501" w:firstLine="422"/>
        <w:jc w:val="left"/>
        <w:rPr>
          <w:sz w:val="21"/>
        </w:rPr>
      </w:pPr>
      <w:r>
        <w:rPr>
          <w:spacing w:val="-3"/>
          <w:sz w:val="21"/>
        </w:rPr>
        <w:t>装备的使用人员，应熟悉装备和系统的性能、技术指标及有关标准，并接受相应的培训，遵守操作规程。</w:t>
      </w:r>
      <w:r>
        <w:rPr>
          <w:sz w:val="21"/>
        </w:rPr>
        <w:t xml:space="preserve"> </w:t>
      </w:r>
    </w:p>
    <w:p w14:paraId="505368AC" w14:textId="77777777" w:rsidR="00A71EEF" w:rsidRDefault="0081115D">
      <w:pPr>
        <w:pStyle w:val="a4"/>
        <w:numPr>
          <w:ilvl w:val="1"/>
          <w:numId w:val="461"/>
        </w:numPr>
        <w:tabs>
          <w:tab w:val="left" w:pos="1160"/>
        </w:tabs>
        <w:spacing w:line="446" w:lineRule="auto"/>
        <w:ind w:right="1501" w:firstLine="422"/>
        <w:jc w:val="left"/>
        <w:rPr>
          <w:sz w:val="21"/>
        </w:rPr>
      </w:pPr>
      <w:r>
        <w:rPr>
          <w:spacing w:val="-3"/>
          <w:sz w:val="21"/>
        </w:rPr>
        <w:t>所有设备和系统的技术资料、图纸、说明书、技术改造设计图、维修和计量检定记录应存档备査。</w:t>
      </w:r>
      <w:r>
        <w:rPr>
          <w:sz w:val="21"/>
        </w:rPr>
        <w:t xml:space="preserve"> </w:t>
      </w:r>
    </w:p>
    <w:p w14:paraId="2AE36DA5" w14:textId="77777777" w:rsidR="00A71EEF" w:rsidRDefault="0081115D">
      <w:pPr>
        <w:pStyle w:val="a4"/>
        <w:numPr>
          <w:ilvl w:val="1"/>
          <w:numId w:val="461"/>
        </w:numPr>
        <w:tabs>
          <w:tab w:val="left" w:pos="1399"/>
        </w:tabs>
        <w:ind w:left="1398" w:hanging="319"/>
        <w:jc w:val="left"/>
        <w:rPr>
          <w:sz w:val="21"/>
        </w:rPr>
      </w:pPr>
      <w:r>
        <w:rPr>
          <w:spacing w:val="-3"/>
          <w:sz w:val="21"/>
        </w:rPr>
        <w:t>凡依法需要计量检定的装备，应进行定期计量检定，以保证装备的可</w:t>
      </w:r>
      <w:r>
        <w:rPr>
          <w:spacing w:val="-3"/>
          <w:sz w:val="21"/>
        </w:rPr>
        <w:t>靠性。</w:t>
      </w:r>
      <w:r>
        <w:rPr>
          <w:spacing w:val="-3"/>
          <w:sz w:val="21"/>
        </w:rPr>
        <w:t xml:space="preserve"> </w:t>
      </w:r>
    </w:p>
    <w:p w14:paraId="71F220A4" w14:textId="77777777" w:rsidR="00A71EEF" w:rsidRDefault="00A71EEF">
      <w:pPr>
        <w:pStyle w:val="a3"/>
        <w:spacing w:before="10"/>
        <w:rPr>
          <w:sz w:val="17"/>
        </w:rPr>
      </w:pPr>
    </w:p>
    <w:p w14:paraId="70DB1B47" w14:textId="77777777" w:rsidR="00A71EEF" w:rsidRDefault="0081115D">
      <w:pPr>
        <w:pStyle w:val="a3"/>
        <w:ind w:right="2844"/>
        <w:jc w:val="right"/>
      </w:pPr>
      <w:r>
        <w:t xml:space="preserve"> </w:t>
      </w:r>
    </w:p>
    <w:p w14:paraId="20B25B9F" w14:textId="77777777" w:rsidR="00A71EEF" w:rsidRDefault="00A71EEF">
      <w:pPr>
        <w:jc w:val="right"/>
        <w:sectPr w:rsidR="00A71EEF">
          <w:pgSz w:w="11910" w:h="16850"/>
          <w:pgMar w:top="1220" w:right="0" w:bottom="1420" w:left="1260" w:header="0" w:footer="1239" w:gutter="0"/>
          <w:cols w:space="720"/>
        </w:sectPr>
      </w:pPr>
    </w:p>
    <w:p w14:paraId="75719ABB" w14:textId="77777777" w:rsidR="00A71EEF" w:rsidRDefault="0081115D">
      <w:pPr>
        <w:pStyle w:val="2"/>
        <w:ind w:left="2100"/>
        <w:jc w:val="left"/>
      </w:pPr>
      <w:bookmarkStart w:id="22" w:name="_bookmark22"/>
      <w:bookmarkEnd w:id="22"/>
      <w:r>
        <w:t>建筑工程设计施工现场消防安全技术规范</w:t>
      </w:r>
      <w:r>
        <w:rPr>
          <w:w w:val="99"/>
        </w:rPr>
        <w:t xml:space="preserve"> </w:t>
      </w:r>
    </w:p>
    <w:p w14:paraId="2249EC13" w14:textId="77777777" w:rsidR="00A71EEF" w:rsidRDefault="00A71EEF">
      <w:pPr>
        <w:pStyle w:val="a3"/>
        <w:rPr>
          <w:b/>
          <w:sz w:val="20"/>
        </w:rPr>
      </w:pPr>
    </w:p>
    <w:p w14:paraId="08F25D5D" w14:textId="77777777" w:rsidR="00A71EEF" w:rsidRDefault="00A71EEF">
      <w:pPr>
        <w:pStyle w:val="a3"/>
        <w:spacing w:before="5"/>
        <w:rPr>
          <w:b/>
          <w:sz w:val="14"/>
        </w:rPr>
      </w:pPr>
    </w:p>
    <w:p w14:paraId="54F45EB3" w14:textId="77777777" w:rsidR="00A71EEF" w:rsidRDefault="0081115D">
      <w:pPr>
        <w:pStyle w:val="4"/>
        <w:spacing w:before="66"/>
      </w:pPr>
      <w:r>
        <w:t xml:space="preserve">1 </w:t>
      </w:r>
      <w:r>
        <w:t>总则</w:t>
      </w:r>
      <w:r>
        <w:rPr>
          <w:w w:val="99"/>
        </w:rPr>
        <w:t xml:space="preserve"> </w:t>
      </w:r>
    </w:p>
    <w:p w14:paraId="3DE1CF6C" w14:textId="77777777" w:rsidR="00A71EEF" w:rsidRDefault="00A71EEF">
      <w:pPr>
        <w:pStyle w:val="a3"/>
        <w:spacing w:before="4"/>
        <w:rPr>
          <w:b/>
          <w:sz w:val="17"/>
        </w:rPr>
      </w:pPr>
    </w:p>
    <w:p w14:paraId="1ADF2646" w14:textId="77777777" w:rsidR="00A71EEF" w:rsidRDefault="0081115D">
      <w:pPr>
        <w:pStyle w:val="a4"/>
        <w:numPr>
          <w:ilvl w:val="1"/>
          <w:numId w:val="460"/>
        </w:numPr>
        <w:tabs>
          <w:tab w:val="left" w:pos="1159"/>
        </w:tabs>
        <w:ind w:hanging="319"/>
        <w:rPr>
          <w:sz w:val="21"/>
        </w:rPr>
      </w:pPr>
      <w:r>
        <w:rPr>
          <w:spacing w:val="-3"/>
          <w:sz w:val="21"/>
        </w:rPr>
        <w:t>为预防建设工程施工现场火灾，减少火灾危害，保护人身和财产安全，制定本规范。</w:t>
      </w:r>
      <w:r>
        <w:rPr>
          <w:sz w:val="21"/>
        </w:rPr>
        <w:t xml:space="preserve"> </w:t>
      </w:r>
    </w:p>
    <w:p w14:paraId="7DCBFC34" w14:textId="77777777" w:rsidR="00A71EEF" w:rsidRDefault="00A71EEF">
      <w:pPr>
        <w:pStyle w:val="a3"/>
        <w:spacing w:before="12"/>
        <w:rPr>
          <w:sz w:val="17"/>
        </w:rPr>
      </w:pPr>
    </w:p>
    <w:p w14:paraId="1597609D" w14:textId="77777777" w:rsidR="00A71EEF" w:rsidRDefault="0081115D">
      <w:pPr>
        <w:pStyle w:val="a4"/>
        <w:numPr>
          <w:ilvl w:val="1"/>
          <w:numId w:val="460"/>
        </w:numPr>
        <w:tabs>
          <w:tab w:val="left" w:pos="1160"/>
        </w:tabs>
        <w:ind w:left="1159" w:hanging="320"/>
        <w:rPr>
          <w:sz w:val="21"/>
        </w:rPr>
      </w:pPr>
      <w:r>
        <w:rPr>
          <w:spacing w:val="-3"/>
          <w:sz w:val="21"/>
        </w:rPr>
        <w:t>本规范适用于新建、改建和扩建等各类建设工程施工现场的防火。</w:t>
      </w:r>
      <w:r>
        <w:rPr>
          <w:sz w:val="21"/>
        </w:rPr>
        <w:t xml:space="preserve"> </w:t>
      </w:r>
    </w:p>
    <w:p w14:paraId="6B62151D" w14:textId="77777777" w:rsidR="00A71EEF" w:rsidRDefault="00A71EEF">
      <w:pPr>
        <w:pStyle w:val="a3"/>
        <w:spacing w:before="2"/>
        <w:rPr>
          <w:sz w:val="18"/>
        </w:rPr>
      </w:pPr>
    </w:p>
    <w:p w14:paraId="2CD0EE93" w14:textId="77777777" w:rsidR="00A71EEF" w:rsidRDefault="0081115D">
      <w:pPr>
        <w:pStyle w:val="a4"/>
        <w:numPr>
          <w:ilvl w:val="1"/>
          <w:numId w:val="460"/>
        </w:numPr>
        <w:tabs>
          <w:tab w:val="left" w:pos="1160"/>
        </w:tabs>
        <w:spacing w:line="446" w:lineRule="auto"/>
        <w:ind w:left="418" w:right="1501" w:firstLine="422"/>
        <w:rPr>
          <w:sz w:val="21"/>
        </w:rPr>
      </w:pPr>
      <w:r>
        <w:rPr>
          <w:spacing w:val="-3"/>
          <w:sz w:val="21"/>
        </w:rPr>
        <w:t>建设工程施工现场的防火必须遵循国家有关方针、政策，针对不同施工现场的火灾特点，立足自防自救，采取可靠防火措施，做到安全可靠、经济合理、方便适用。</w:t>
      </w:r>
      <w:r>
        <w:rPr>
          <w:spacing w:val="-3"/>
          <w:sz w:val="21"/>
        </w:rPr>
        <w:t xml:space="preserve"> </w:t>
      </w:r>
    </w:p>
    <w:p w14:paraId="665D4CC0" w14:textId="77777777" w:rsidR="00A71EEF" w:rsidRDefault="0081115D">
      <w:pPr>
        <w:pStyle w:val="a4"/>
        <w:numPr>
          <w:ilvl w:val="1"/>
          <w:numId w:val="460"/>
        </w:numPr>
        <w:tabs>
          <w:tab w:val="left" w:pos="1160"/>
        </w:tabs>
        <w:spacing w:line="267" w:lineRule="exact"/>
        <w:ind w:left="1159" w:hanging="320"/>
        <w:rPr>
          <w:sz w:val="21"/>
        </w:rPr>
      </w:pPr>
      <w:r>
        <w:rPr>
          <w:spacing w:val="-3"/>
          <w:sz w:val="21"/>
        </w:rPr>
        <w:t>建设工程施工现场的防火除应符合本规范外，尚应符合国家现行有关标准的规定。</w:t>
      </w:r>
      <w:r>
        <w:rPr>
          <w:sz w:val="21"/>
        </w:rPr>
        <w:t xml:space="preserve"> </w:t>
      </w:r>
    </w:p>
    <w:p w14:paraId="2456494E" w14:textId="77777777" w:rsidR="00A71EEF" w:rsidRDefault="00A71EEF">
      <w:pPr>
        <w:pStyle w:val="a3"/>
        <w:spacing w:before="10"/>
        <w:rPr>
          <w:sz w:val="15"/>
        </w:rPr>
      </w:pPr>
    </w:p>
    <w:p w14:paraId="1D46E9DD" w14:textId="77777777" w:rsidR="00A71EEF" w:rsidRDefault="0081115D">
      <w:pPr>
        <w:pStyle w:val="4"/>
        <w:spacing w:before="1"/>
      </w:pPr>
      <w:r>
        <w:t xml:space="preserve">2 </w:t>
      </w:r>
      <w:r>
        <w:t>术语</w:t>
      </w:r>
      <w:r>
        <w:rPr>
          <w:w w:val="99"/>
        </w:rPr>
        <w:t xml:space="preserve"> </w:t>
      </w:r>
    </w:p>
    <w:p w14:paraId="4486836C" w14:textId="77777777" w:rsidR="00A71EEF" w:rsidRDefault="00A71EEF">
      <w:pPr>
        <w:pStyle w:val="a3"/>
        <w:spacing w:before="3"/>
        <w:rPr>
          <w:b/>
          <w:sz w:val="17"/>
        </w:rPr>
      </w:pPr>
    </w:p>
    <w:p w14:paraId="776CB2A7" w14:textId="77777777" w:rsidR="00A71EEF" w:rsidRDefault="0081115D">
      <w:pPr>
        <w:pStyle w:val="a4"/>
        <w:numPr>
          <w:ilvl w:val="1"/>
          <w:numId w:val="459"/>
        </w:numPr>
        <w:tabs>
          <w:tab w:val="left" w:pos="1213"/>
        </w:tabs>
        <w:ind w:hanging="373"/>
        <w:rPr>
          <w:sz w:val="21"/>
        </w:rPr>
      </w:pPr>
      <w:r>
        <w:rPr>
          <w:spacing w:val="18"/>
          <w:sz w:val="21"/>
        </w:rPr>
        <w:t>临时用房</w:t>
      </w:r>
      <w:r>
        <w:rPr>
          <w:spacing w:val="18"/>
          <w:sz w:val="21"/>
        </w:rPr>
        <w:t xml:space="preserve"> </w:t>
      </w:r>
      <w:r>
        <w:rPr>
          <w:sz w:val="21"/>
        </w:rPr>
        <w:t xml:space="preserve">temporary construction </w:t>
      </w:r>
    </w:p>
    <w:p w14:paraId="200EAA81" w14:textId="77777777" w:rsidR="00A71EEF" w:rsidRDefault="00A71EEF">
      <w:pPr>
        <w:pStyle w:val="a3"/>
        <w:rPr>
          <w:sz w:val="18"/>
        </w:rPr>
      </w:pPr>
    </w:p>
    <w:p w14:paraId="6DAFD7D3" w14:textId="77777777" w:rsidR="00A71EEF" w:rsidRDefault="0081115D">
      <w:pPr>
        <w:pStyle w:val="a3"/>
        <w:spacing w:line="446" w:lineRule="auto"/>
        <w:ind w:left="418" w:right="1609" w:firstLine="419"/>
      </w:pPr>
      <w:r>
        <w:t>在施工现场建造的，为建设工程施工服务的各种非永久性建筑物，包括办公用房、宿舍、厨房操作间、食堂、锅炉房、发电机房、变配电房、库房等。</w:t>
      </w:r>
      <w:r>
        <w:t xml:space="preserve"> </w:t>
      </w:r>
    </w:p>
    <w:p w14:paraId="0DF7A601" w14:textId="77777777" w:rsidR="00A71EEF" w:rsidRDefault="0081115D">
      <w:pPr>
        <w:pStyle w:val="a4"/>
        <w:numPr>
          <w:ilvl w:val="1"/>
          <w:numId w:val="459"/>
        </w:numPr>
        <w:tabs>
          <w:tab w:val="left" w:pos="1160"/>
        </w:tabs>
        <w:ind w:left="1159" w:hanging="320"/>
        <w:rPr>
          <w:sz w:val="21"/>
        </w:rPr>
      </w:pPr>
      <w:r>
        <w:rPr>
          <w:spacing w:val="-1"/>
          <w:sz w:val="21"/>
        </w:rPr>
        <w:t>临时设施</w:t>
      </w:r>
      <w:r>
        <w:rPr>
          <w:spacing w:val="-1"/>
          <w:sz w:val="21"/>
        </w:rPr>
        <w:t xml:space="preserve"> </w:t>
      </w:r>
      <w:r>
        <w:rPr>
          <w:sz w:val="21"/>
        </w:rPr>
        <w:t xml:space="preserve">temporary facility </w:t>
      </w:r>
    </w:p>
    <w:p w14:paraId="70A81AA6" w14:textId="77777777" w:rsidR="00A71EEF" w:rsidRDefault="00A71EEF">
      <w:pPr>
        <w:pStyle w:val="a3"/>
        <w:rPr>
          <w:sz w:val="18"/>
        </w:rPr>
      </w:pPr>
    </w:p>
    <w:p w14:paraId="7C134B89" w14:textId="77777777" w:rsidR="00A71EEF" w:rsidRDefault="0081115D">
      <w:pPr>
        <w:pStyle w:val="a3"/>
        <w:spacing w:line="446" w:lineRule="auto"/>
        <w:ind w:left="418" w:right="1608" w:firstLine="419"/>
        <w:jc w:val="both"/>
      </w:pPr>
      <w:r>
        <w:t>在施工现场建造的，为建设工程施工服务的各种非永久性设施，包括围墙、大门、临时道路、材料堆场及其加工场、固定动火作业场、作业棚、机具棚、贮水池及临时给排水、供电、供热管线等。</w:t>
      </w:r>
      <w:r>
        <w:t xml:space="preserve"> </w:t>
      </w:r>
    </w:p>
    <w:p w14:paraId="0B45C314" w14:textId="77777777" w:rsidR="00A71EEF" w:rsidRDefault="0081115D">
      <w:pPr>
        <w:pStyle w:val="a4"/>
        <w:numPr>
          <w:ilvl w:val="1"/>
          <w:numId w:val="459"/>
        </w:numPr>
        <w:tabs>
          <w:tab w:val="left" w:pos="1160"/>
        </w:tabs>
        <w:spacing w:line="268" w:lineRule="exact"/>
        <w:ind w:left="1159" w:hanging="320"/>
        <w:jc w:val="both"/>
        <w:rPr>
          <w:sz w:val="21"/>
        </w:rPr>
      </w:pPr>
      <w:r>
        <w:rPr>
          <w:spacing w:val="-3"/>
          <w:sz w:val="21"/>
        </w:rPr>
        <w:t>临时消防设施</w:t>
      </w:r>
      <w:r>
        <w:rPr>
          <w:spacing w:val="-3"/>
          <w:sz w:val="21"/>
        </w:rPr>
        <w:t xml:space="preserve"> </w:t>
      </w:r>
      <w:r>
        <w:rPr>
          <w:sz w:val="21"/>
        </w:rPr>
        <w:t>temporary</w:t>
      </w:r>
      <w:r>
        <w:rPr>
          <w:spacing w:val="1"/>
          <w:sz w:val="21"/>
        </w:rPr>
        <w:t xml:space="preserve"> </w:t>
      </w:r>
      <w:r>
        <w:rPr>
          <w:sz w:val="21"/>
        </w:rPr>
        <w:t>fire control</w:t>
      </w:r>
      <w:r>
        <w:rPr>
          <w:spacing w:val="1"/>
          <w:sz w:val="21"/>
        </w:rPr>
        <w:t xml:space="preserve"> </w:t>
      </w:r>
      <w:r>
        <w:rPr>
          <w:sz w:val="21"/>
        </w:rPr>
        <w:t xml:space="preserve">facility </w:t>
      </w:r>
    </w:p>
    <w:p w14:paraId="0E5996EF" w14:textId="77777777" w:rsidR="00A71EEF" w:rsidRDefault="00A71EEF">
      <w:pPr>
        <w:pStyle w:val="a3"/>
        <w:spacing w:before="1"/>
        <w:rPr>
          <w:sz w:val="18"/>
        </w:rPr>
      </w:pPr>
    </w:p>
    <w:p w14:paraId="1DFFF8F0" w14:textId="77777777" w:rsidR="00A71EEF" w:rsidRDefault="0081115D">
      <w:pPr>
        <w:pStyle w:val="a3"/>
        <w:spacing w:before="1" w:line="446" w:lineRule="auto"/>
        <w:ind w:left="418" w:right="1609" w:firstLine="419"/>
      </w:pPr>
      <w:r>
        <w:t>设置在建设工程施工现场，用于扑救施工现场火灾、引导施工人员安全疏散</w:t>
      </w:r>
      <w:r>
        <w:t>等的各类消防设施，</w:t>
      </w:r>
      <w:r>
        <w:t xml:space="preserve"> </w:t>
      </w:r>
      <w:r>
        <w:t>包括灭火器、临时消防给水系统、消防应急照明、疏散指示标识、临时疏散通道等。</w:t>
      </w:r>
      <w:r>
        <w:t xml:space="preserve"> </w:t>
      </w:r>
    </w:p>
    <w:p w14:paraId="7FFDC5CF" w14:textId="77777777" w:rsidR="00A71EEF" w:rsidRDefault="0081115D">
      <w:pPr>
        <w:pStyle w:val="a4"/>
        <w:numPr>
          <w:ilvl w:val="1"/>
          <w:numId w:val="459"/>
        </w:numPr>
        <w:tabs>
          <w:tab w:val="left" w:pos="1160"/>
        </w:tabs>
        <w:spacing w:line="267" w:lineRule="exact"/>
        <w:ind w:left="1159" w:hanging="320"/>
        <w:rPr>
          <w:sz w:val="21"/>
        </w:rPr>
      </w:pPr>
      <w:r>
        <w:rPr>
          <w:spacing w:val="12"/>
          <w:sz w:val="21"/>
        </w:rPr>
        <w:t>临时疏散通道</w:t>
      </w:r>
      <w:r>
        <w:rPr>
          <w:spacing w:val="12"/>
          <w:sz w:val="21"/>
        </w:rPr>
        <w:t xml:space="preserve"> </w:t>
      </w:r>
      <w:r>
        <w:rPr>
          <w:sz w:val="21"/>
        </w:rPr>
        <w:t>temporary</w:t>
      </w:r>
      <w:r>
        <w:rPr>
          <w:spacing w:val="-3"/>
          <w:sz w:val="21"/>
        </w:rPr>
        <w:t xml:space="preserve"> </w:t>
      </w:r>
      <w:r>
        <w:rPr>
          <w:sz w:val="21"/>
        </w:rPr>
        <w:t>evacuation</w:t>
      </w:r>
      <w:r>
        <w:rPr>
          <w:spacing w:val="1"/>
          <w:sz w:val="21"/>
        </w:rPr>
        <w:t xml:space="preserve"> </w:t>
      </w:r>
      <w:r>
        <w:rPr>
          <w:sz w:val="21"/>
        </w:rPr>
        <w:t xml:space="preserve">route </w:t>
      </w:r>
    </w:p>
    <w:p w14:paraId="459A7FFF" w14:textId="77777777" w:rsidR="00A71EEF" w:rsidRDefault="00A71EEF">
      <w:pPr>
        <w:pStyle w:val="a3"/>
        <w:spacing w:before="2"/>
        <w:rPr>
          <w:sz w:val="18"/>
        </w:rPr>
      </w:pPr>
    </w:p>
    <w:p w14:paraId="532D45C2" w14:textId="77777777" w:rsidR="00A71EEF" w:rsidRDefault="0081115D">
      <w:pPr>
        <w:pStyle w:val="a3"/>
        <w:spacing w:line="446" w:lineRule="auto"/>
        <w:ind w:left="418" w:right="1609" w:firstLine="419"/>
      </w:pPr>
      <w:r>
        <w:t>施工现场发生火灾或意外事件时，供人员安全撤离危险区域并到达安全地点或安全地带所经的路径。</w:t>
      </w:r>
      <w:r>
        <w:t xml:space="preserve"> </w:t>
      </w:r>
    </w:p>
    <w:p w14:paraId="0ADA0171" w14:textId="77777777" w:rsidR="00A71EEF" w:rsidRDefault="0081115D">
      <w:pPr>
        <w:pStyle w:val="a4"/>
        <w:numPr>
          <w:ilvl w:val="1"/>
          <w:numId w:val="459"/>
        </w:numPr>
        <w:tabs>
          <w:tab w:val="left" w:pos="1160"/>
        </w:tabs>
        <w:spacing w:line="267" w:lineRule="exact"/>
        <w:ind w:left="1159" w:hanging="320"/>
        <w:rPr>
          <w:sz w:val="21"/>
        </w:rPr>
      </w:pPr>
      <w:r>
        <w:rPr>
          <w:spacing w:val="-3"/>
          <w:sz w:val="21"/>
        </w:rPr>
        <w:t>临时消防救援场地</w:t>
      </w:r>
      <w:r>
        <w:rPr>
          <w:spacing w:val="-3"/>
          <w:sz w:val="21"/>
        </w:rPr>
        <w:t xml:space="preserve"> </w:t>
      </w:r>
      <w:r>
        <w:rPr>
          <w:sz w:val="21"/>
        </w:rPr>
        <w:t>temporary</w:t>
      </w:r>
      <w:r>
        <w:rPr>
          <w:spacing w:val="1"/>
          <w:sz w:val="21"/>
        </w:rPr>
        <w:t xml:space="preserve"> </w:t>
      </w:r>
      <w:r>
        <w:rPr>
          <w:sz w:val="21"/>
        </w:rPr>
        <w:t>fire fighting</w:t>
      </w:r>
      <w:r>
        <w:rPr>
          <w:spacing w:val="1"/>
          <w:sz w:val="21"/>
        </w:rPr>
        <w:t xml:space="preserve"> </w:t>
      </w:r>
      <w:r>
        <w:rPr>
          <w:sz w:val="21"/>
        </w:rPr>
        <w:t>and</w:t>
      </w:r>
      <w:r>
        <w:rPr>
          <w:spacing w:val="-2"/>
          <w:sz w:val="21"/>
        </w:rPr>
        <w:t xml:space="preserve"> </w:t>
      </w:r>
      <w:r>
        <w:rPr>
          <w:sz w:val="21"/>
        </w:rPr>
        <w:t xml:space="preserve">rescuesite </w:t>
      </w:r>
    </w:p>
    <w:p w14:paraId="6875F6FC" w14:textId="77777777" w:rsidR="00A71EEF" w:rsidRDefault="00A71EEF">
      <w:pPr>
        <w:pStyle w:val="a3"/>
        <w:spacing w:before="2"/>
        <w:rPr>
          <w:sz w:val="18"/>
        </w:rPr>
      </w:pPr>
    </w:p>
    <w:p w14:paraId="1090FE76" w14:textId="77777777" w:rsidR="00A71EEF" w:rsidRDefault="0081115D">
      <w:pPr>
        <w:pStyle w:val="a3"/>
        <w:ind w:left="838"/>
      </w:pPr>
      <w:r>
        <w:t>施工现场中供人员和设备实施灭火救援作业的场地。</w:t>
      </w:r>
      <w:r>
        <w:t xml:space="preserve"> </w:t>
      </w:r>
    </w:p>
    <w:p w14:paraId="257EB156" w14:textId="77777777" w:rsidR="00A71EEF" w:rsidRDefault="00A71EEF">
      <w:pPr>
        <w:pStyle w:val="a3"/>
        <w:spacing w:before="8"/>
        <w:rPr>
          <w:sz w:val="15"/>
        </w:rPr>
      </w:pPr>
    </w:p>
    <w:p w14:paraId="0865FA20" w14:textId="77777777" w:rsidR="00A71EEF" w:rsidRDefault="0081115D">
      <w:pPr>
        <w:pStyle w:val="4"/>
      </w:pPr>
      <w:r>
        <w:t xml:space="preserve">3 </w:t>
      </w:r>
      <w:r>
        <w:t>总平面布局</w:t>
      </w:r>
      <w:r>
        <w:rPr>
          <w:w w:val="99"/>
        </w:rPr>
        <w:t xml:space="preserve"> </w:t>
      </w:r>
    </w:p>
    <w:p w14:paraId="4B3954D9" w14:textId="77777777" w:rsidR="00A71EEF" w:rsidRDefault="00A71EEF">
      <w:pPr>
        <w:pStyle w:val="a3"/>
        <w:spacing w:before="4"/>
        <w:rPr>
          <w:b/>
          <w:sz w:val="17"/>
        </w:rPr>
      </w:pPr>
    </w:p>
    <w:p w14:paraId="7178DDA6" w14:textId="77777777" w:rsidR="00A71EEF" w:rsidRDefault="0081115D">
      <w:pPr>
        <w:pStyle w:val="a4"/>
        <w:numPr>
          <w:ilvl w:val="1"/>
          <w:numId w:val="458"/>
        </w:numPr>
        <w:tabs>
          <w:tab w:val="left" w:pos="1159"/>
        </w:tabs>
        <w:ind w:hanging="319"/>
        <w:rPr>
          <w:sz w:val="21"/>
        </w:rPr>
      </w:pPr>
      <w:r>
        <w:rPr>
          <w:spacing w:val="-3"/>
          <w:sz w:val="21"/>
        </w:rPr>
        <w:t>一般规定</w:t>
      </w:r>
      <w:r>
        <w:rPr>
          <w:sz w:val="21"/>
        </w:rPr>
        <w:t xml:space="preserve"> </w:t>
      </w:r>
    </w:p>
    <w:p w14:paraId="44DC1AD2" w14:textId="77777777" w:rsidR="00A71EEF" w:rsidRDefault="00A71EEF">
      <w:pPr>
        <w:pStyle w:val="a3"/>
        <w:spacing w:before="2"/>
        <w:rPr>
          <w:sz w:val="18"/>
        </w:rPr>
      </w:pPr>
    </w:p>
    <w:p w14:paraId="4AFDCB52" w14:textId="77777777" w:rsidR="00A71EEF" w:rsidRDefault="0081115D">
      <w:pPr>
        <w:pStyle w:val="a4"/>
        <w:numPr>
          <w:ilvl w:val="2"/>
          <w:numId w:val="458"/>
        </w:numPr>
        <w:tabs>
          <w:tab w:val="left" w:pos="1371"/>
        </w:tabs>
        <w:rPr>
          <w:sz w:val="21"/>
        </w:rPr>
      </w:pPr>
      <w:r>
        <w:rPr>
          <w:spacing w:val="-3"/>
          <w:sz w:val="21"/>
        </w:rPr>
        <w:t>临时用房、临时设施的布置应满足现场防火、灭火及人员安全疏散的要求。</w:t>
      </w:r>
      <w:r>
        <w:rPr>
          <w:spacing w:val="-3"/>
          <w:sz w:val="21"/>
        </w:rPr>
        <w:t xml:space="preserve"> </w:t>
      </w:r>
    </w:p>
    <w:p w14:paraId="056DEB40" w14:textId="77777777" w:rsidR="00A71EEF" w:rsidRDefault="00A71EEF">
      <w:pPr>
        <w:pStyle w:val="a3"/>
        <w:rPr>
          <w:sz w:val="18"/>
        </w:rPr>
      </w:pPr>
    </w:p>
    <w:p w14:paraId="64E69D49" w14:textId="77777777" w:rsidR="00A71EEF" w:rsidRDefault="0081115D">
      <w:pPr>
        <w:pStyle w:val="a4"/>
        <w:numPr>
          <w:ilvl w:val="2"/>
          <w:numId w:val="458"/>
        </w:numPr>
        <w:tabs>
          <w:tab w:val="left" w:pos="1371"/>
        </w:tabs>
        <w:rPr>
          <w:sz w:val="21"/>
        </w:rPr>
      </w:pPr>
      <w:r>
        <w:rPr>
          <w:spacing w:val="-3"/>
          <w:sz w:val="21"/>
        </w:rPr>
        <w:t>下列临时用房和临时设施应纳入施工现场总平面布局：</w:t>
      </w:r>
      <w:r>
        <w:rPr>
          <w:sz w:val="21"/>
        </w:rPr>
        <w:t xml:space="preserve"> </w:t>
      </w:r>
    </w:p>
    <w:p w14:paraId="7E2CEBB5" w14:textId="77777777" w:rsidR="00A71EEF" w:rsidRDefault="00A71EEF">
      <w:pPr>
        <w:rPr>
          <w:sz w:val="21"/>
        </w:rPr>
        <w:sectPr w:rsidR="00A71EEF">
          <w:pgSz w:w="11910" w:h="16850"/>
          <w:pgMar w:top="1140" w:right="0" w:bottom="1420" w:left="1260" w:header="0" w:footer="1239" w:gutter="0"/>
          <w:cols w:space="720"/>
        </w:sectPr>
      </w:pPr>
    </w:p>
    <w:p w14:paraId="1C5B7811" w14:textId="77777777" w:rsidR="00A71EEF" w:rsidRDefault="0081115D">
      <w:pPr>
        <w:pStyle w:val="a4"/>
        <w:numPr>
          <w:ilvl w:val="0"/>
          <w:numId w:val="457"/>
        </w:numPr>
        <w:tabs>
          <w:tab w:val="left" w:pos="1367"/>
        </w:tabs>
        <w:spacing w:before="47"/>
        <w:rPr>
          <w:sz w:val="21"/>
        </w:rPr>
      </w:pPr>
      <w:r>
        <w:rPr>
          <w:spacing w:val="-3"/>
          <w:sz w:val="21"/>
        </w:rPr>
        <w:t>施工现场的出入口、围墙、围挡。</w:t>
      </w:r>
      <w:r>
        <w:rPr>
          <w:sz w:val="21"/>
        </w:rPr>
        <w:t xml:space="preserve"> </w:t>
      </w:r>
    </w:p>
    <w:p w14:paraId="7C19DAA5" w14:textId="77777777" w:rsidR="00A71EEF" w:rsidRDefault="00A71EEF">
      <w:pPr>
        <w:pStyle w:val="a3"/>
        <w:rPr>
          <w:sz w:val="18"/>
        </w:rPr>
      </w:pPr>
    </w:p>
    <w:p w14:paraId="06E5EE2C" w14:textId="77777777" w:rsidR="00A71EEF" w:rsidRDefault="0081115D">
      <w:pPr>
        <w:pStyle w:val="a4"/>
        <w:numPr>
          <w:ilvl w:val="0"/>
          <w:numId w:val="457"/>
        </w:numPr>
        <w:tabs>
          <w:tab w:val="left" w:pos="1367"/>
        </w:tabs>
        <w:rPr>
          <w:sz w:val="21"/>
        </w:rPr>
      </w:pPr>
      <w:r>
        <w:rPr>
          <w:spacing w:val="-3"/>
          <w:sz w:val="21"/>
        </w:rPr>
        <w:t>场内临时道路。</w:t>
      </w:r>
      <w:r>
        <w:rPr>
          <w:sz w:val="21"/>
        </w:rPr>
        <w:t xml:space="preserve"> </w:t>
      </w:r>
    </w:p>
    <w:p w14:paraId="3DEEB5C6" w14:textId="77777777" w:rsidR="00A71EEF" w:rsidRDefault="00A71EEF">
      <w:pPr>
        <w:pStyle w:val="a3"/>
        <w:rPr>
          <w:sz w:val="18"/>
        </w:rPr>
      </w:pPr>
    </w:p>
    <w:p w14:paraId="09C031B8" w14:textId="77777777" w:rsidR="00A71EEF" w:rsidRDefault="0081115D">
      <w:pPr>
        <w:pStyle w:val="a4"/>
        <w:numPr>
          <w:ilvl w:val="0"/>
          <w:numId w:val="457"/>
        </w:numPr>
        <w:tabs>
          <w:tab w:val="left" w:pos="1367"/>
        </w:tabs>
        <w:rPr>
          <w:sz w:val="21"/>
        </w:rPr>
      </w:pPr>
      <w:r>
        <w:rPr>
          <w:spacing w:val="-3"/>
          <w:sz w:val="21"/>
        </w:rPr>
        <w:t>给水管网或管路和配电线路敷设或架设的走向、高度。</w:t>
      </w:r>
      <w:r>
        <w:rPr>
          <w:sz w:val="21"/>
        </w:rPr>
        <w:t xml:space="preserve"> </w:t>
      </w:r>
    </w:p>
    <w:p w14:paraId="2D400995" w14:textId="77777777" w:rsidR="00A71EEF" w:rsidRDefault="00A71EEF">
      <w:pPr>
        <w:pStyle w:val="a3"/>
        <w:spacing w:before="1"/>
        <w:rPr>
          <w:sz w:val="18"/>
        </w:rPr>
      </w:pPr>
    </w:p>
    <w:p w14:paraId="0CBC5347" w14:textId="77777777" w:rsidR="00A71EEF" w:rsidRDefault="0081115D">
      <w:pPr>
        <w:pStyle w:val="a4"/>
        <w:numPr>
          <w:ilvl w:val="0"/>
          <w:numId w:val="457"/>
        </w:numPr>
        <w:tabs>
          <w:tab w:val="left" w:pos="1367"/>
        </w:tabs>
        <w:spacing w:before="1" w:line="446" w:lineRule="auto"/>
        <w:ind w:left="418" w:right="1505" w:firstLine="419"/>
        <w:rPr>
          <w:sz w:val="21"/>
        </w:rPr>
      </w:pPr>
      <w:r>
        <w:rPr>
          <w:spacing w:val="-3"/>
          <w:sz w:val="21"/>
        </w:rPr>
        <w:t>施工现场办公用房、宿舍、发电机房、变配电房、可燃材料库房、易燃易爆危险品库房、可燃材料堆场及其加工场、固定动火作业场等。</w:t>
      </w:r>
      <w:r>
        <w:rPr>
          <w:spacing w:val="-3"/>
          <w:sz w:val="21"/>
        </w:rPr>
        <w:t xml:space="preserve"> </w:t>
      </w:r>
    </w:p>
    <w:p w14:paraId="2FD37C79" w14:textId="77777777" w:rsidR="00A71EEF" w:rsidRDefault="0081115D">
      <w:pPr>
        <w:pStyle w:val="a4"/>
        <w:numPr>
          <w:ilvl w:val="0"/>
          <w:numId w:val="457"/>
        </w:numPr>
        <w:tabs>
          <w:tab w:val="left" w:pos="1367"/>
        </w:tabs>
        <w:spacing w:line="267" w:lineRule="exact"/>
        <w:rPr>
          <w:sz w:val="21"/>
        </w:rPr>
      </w:pPr>
      <w:r>
        <w:rPr>
          <w:spacing w:val="-3"/>
          <w:sz w:val="21"/>
        </w:rPr>
        <w:t>临时消防车道、消防救援场地和消防水源。</w:t>
      </w:r>
      <w:r>
        <w:rPr>
          <w:sz w:val="21"/>
        </w:rPr>
        <w:t xml:space="preserve"> </w:t>
      </w:r>
    </w:p>
    <w:p w14:paraId="5F5AF1D7" w14:textId="77777777" w:rsidR="00A71EEF" w:rsidRDefault="00A71EEF">
      <w:pPr>
        <w:pStyle w:val="a3"/>
        <w:spacing w:before="1"/>
        <w:rPr>
          <w:sz w:val="18"/>
        </w:rPr>
      </w:pPr>
    </w:p>
    <w:p w14:paraId="3EFCB4AD" w14:textId="77777777" w:rsidR="00A71EEF" w:rsidRDefault="0081115D">
      <w:pPr>
        <w:pStyle w:val="a4"/>
        <w:numPr>
          <w:ilvl w:val="2"/>
          <w:numId w:val="458"/>
        </w:numPr>
        <w:tabs>
          <w:tab w:val="left" w:pos="1371"/>
        </w:tabs>
        <w:spacing w:before="1" w:line="446" w:lineRule="auto"/>
        <w:ind w:left="418" w:right="1498" w:firstLine="422"/>
        <w:rPr>
          <w:sz w:val="21"/>
        </w:rPr>
      </w:pPr>
      <w:r>
        <w:rPr>
          <w:spacing w:val="-3"/>
          <w:sz w:val="21"/>
        </w:rPr>
        <w:t>施工现场出入口的设置应满足消防车通行的要求，并宜布置在不同方向，其数量不宜</w:t>
      </w:r>
      <w:r>
        <w:rPr>
          <w:spacing w:val="1"/>
          <w:sz w:val="21"/>
        </w:rPr>
        <w:t>少于</w:t>
      </w:r>
      <w:r>
        <w:rPr>
          <w:spacing w:val="1"/>
          <w:sz w:val="21"/>
        </w:rPr>
        <w:t xml:space="preserve"> </w:t>
      </w:r>
      <w:r>
        <w:rPr>
          <w:sz w:val="21"/>
        </w:rPr>
        <w:t>2</w:t>
      </w:r>
      <w:r>
        <w:rPr>
          <w:spacing w:val="-2"/>
          <w:sz w:val="21"/>
        </w:rPr>
        <w:t xml:space="preserve"> </w:t>
      </w:r>
      <w:r>
        <w:rPr>
          <w:spacing w:val="-2"/>
          <w:sz w:val="21"/>
        </w:rPr>
        <w:t>个。当确有困难只能设置</w:t>
      </w:r>
      <w:r>
        <w:rPr>
          <w:spacing w:val="-2"/>
          <w:sz w:val="21"/>
        </w:rPr>
        <w:t xml:space="preserve"> </w:t>
      </w:r>
      <w:r>
        <w:rPr>
          <w:spacing w:val="-3"/>
          <w:sz w:val="21"/>
        </w:rPr>
        <w:t xml:space="preserve">1 </w:t>
      </w:r>
      <w:r>
        <w:rPr>
          <w:spacing w:val="-3"/>
          <w:sz w:val="21"/>
        </w:rPr>
        <w:t>个出入口时，应在施工现场内设置满足消防车通行的环形道路。</w:t>
      </w:r>
      <w:r>
        <w:rPr>
          <w:sz w:val="21"/>
        </w:rPr>
        <w:t xml:space="preserve"> </w:t>
      </w:r>
    </w:p>
    <w:p w14:paraId="7FAC1614" w14:textId="77777777" w:rsidR="00A71EEF" w:rsidRDefault="0081115D">
      <w:pPr>
        <w:pStyle w:val="a4"/>
        <w:numPr>
          <w:ilvl w:val="2"/>
          <w:numId w:val="458"/>
        </w:numPr>
        <w:tabs>
          <w:tab w:val="left" w:pos="1371"/>
        </w:tabs>
        <w:spacing w:line="446" w:lineRule="auto"/>
        <w:ind w:left="418" w:right="1604" w:firstLine="422"/>
        <w:rPr>
          <w:sz w:val="21"/>
        </w:rPr>
      </w:pPr>
      <w:r>
        <w:rPr>
          <w:spacing w:val="-3"/>
          <w:sz w:val="21"/>
        </w:rPr>
        <w:t>施工现场临时办公、生活、生产、物料存贮等功能区宜相对独立布置，防火间距应符合本规范第</w:t>
      </w:r>
      <w:r>
        <w:rPr>
          <w:spacing w:val="-3"/>
          <w:sz w:val="21"/>
        </w:rPr>
        <w:t xml:space="preserve"> </w:t>
      </w:r>
      <w:r>
        <w:rPr>
          <w:sz w:val="21"/>
        </w:rPr>
        <w:t>3.2.1</w:t>
      </w:r>
      <w:r>
        <w:rPr>
          <w:spacing w:val="-3"/>
          <w:sz w:val="21"/>
        </w:rPr>
        <w:t xml:space="preserve"> </w:t>
      </w:r>
      <w:r>
        <w:rPr>
          <w:spacing w:val="-3"/>
          <w:sz w:val="21"/>
        </w:rPr>
        <w:t>条和第</w:t>
      </w:r>
      <w:r>
        <w:rPr>
          <w:spacing w:val="-3"/>
          <w:sz w:val="21"/>
        </w:rPr>
        <w:t xml:space="preserve"> </w:t>
      </w:r>
      <w:r>
        <w:rPr>
          <w:sz w:val="21"/>
        </w:rPr>
        <w:t>3.2.2</w:t>
      </w:r>
      <w:r>
        <w:rPr>
          <w:spacing w:val="-3"/>
          <w:sz w:val="21"/>
        </w:rPr>
        <w:t xml:space="preserve"> </w:t>
      </w:r>
      <w:r>
        <w:rPr>
          <w:spacing w:val="-3"/>
          <w:sz w:val="21"/>
        </w:rPr>
        <w:t>条的规定。</w:t>
      </w:r>
      <w:r>
        <w:rPr>
          <w:sz w:val="21"/>
        </w:rPr>
        <w:t xml:space="preserve"> </w:t>
      </w:r>
    </w:p>
    <w:p w14:paraId="07D7F72D" w14:textId="77777777" w:rsidR="00A71EEF" w:rsidRDefault="0081115D">
      <w:pPr>
        <w:pStyle w:val="a4"/>
        <w:numPr>
          <w:ilvl w:val="2"/>
          <w:numId w:val="458"/>
        </w:numPr>
        <w:tabs>
          <w:tab w:val="left" w:pos="1371"/>
        </w:tabs>
        <w:spacing w:line="446" w:lineRule="auto"/>
        <w:ind w:left="418" w:right="1498" w:firstLine="422"/>
        <w:rPr>
          <w:sz w:val="21"/>
        </w:rPr>
      </w:pPr>
      <w:r>
        <w:rPr>
          <w:spacing w:val="-3"/>
          <w:sz w:val="21"/>
        </w:rPr>
        <w:t>固定动火作业场应布置在可燃材料堆场及其加工场、易燃易爆危险品库房等全年最小频率风向的上风侧，并宜布置在临时办公用房、宿舍、可燃材料库房、在建工程等全年最小频率风向的上风侧。</w:t>
      </w:r>
      <w:r>
        <w:rPr>
          <w:sz w:val="21"/>
        </w:rPr>
        <w:t xml:space="preserve"> </w:t>
      </w:r>
    </w:p>
    <w:p w14:paraId="03324135" w14:textId="77777777" w:rsidR="00A71EEF" w:rsidRDefault="0081115D">
      <w:pPr>
        <w:pStyle w:val="a4"/>
        <w:numPr>
          <w:ilvl w:val="2"/>
          <w:numId w:val="458"/>
        </w:numPr>
        <w:tabs>
          <w:tab w:val="left" w:pos="1371"/>
        </w:tabs>
        <w:spacing w:line="268" w:lineRule="exact"/>
        <w:rPr>
          <w:sz w:val="21"/>
        </w:rPr>
      </w:pPr>
      <w:r>
        <w:rPr>
          <w:spacing w:val="-3"/>
          <w:sz w:val="21"/>
        </w:rPr>
        <w:t>易燃易爆危险品库房应远离明火作业</w:t>
      </w:r>
      <w:r>
        <w:rPr>
          <w:spacing w:val="-3"/>
          <w:sz w:val="21"/>
        </w:rPr>
        <w:t>区、人员密集区和建筑物相对集中区。</w:t>
      </w:r>
      <w:r>
        <w:rPr>
          <w:spacing w:val="-3"/>
          <w:sz w:val="21"/>
        </w:rPr>
        <w:t xml:space="preserve"> </w:t>
      </w:r>
    </w:p>
    <w:p w14:paraId="39FC4926" w14:textId="77777777" w:rsidR="00A71EEF" w:rsidRDefault="00A71EEF">
      <w:pPr>
        <w:pStyle w:val="a3"/>
        <w:spacing w:before="11"/>
        <w:rPr>
          <w:sz w:val="17"/>
        </w:rPr>
      </w:pPr>
    </w:p>
    <w:p w14:paraId="1E8F07CF" w14:textId="77777777" w:rsidR="00A71EEF" w:rsidRDefault="0081115D">
      <w:pPr>
        <w:pStyle w:val="a4"/>
        <w:numPr>
          <w:ilvl w:val="2"/>
          <w:numId w:val="458"/>
        </w:numPr>
        <w:tabs>
          <w:tab w:val="left" w:pos="1370"/>
        </w:tabs>
        <w:ind w:left="1369" w:hanging="530"/>
        <w:rPr>
          <w:sz w:val="21"/>
        </w:rPr>
      </w:pPr>
      <w:r>
        <w:rPr>
          <w:spacing w:val="-3"/>
          <w:sz w:val="21"/>
        </w:rPr>
        <w:t>可燃材料堆场及其加工场、易燃易爆危险品库房不应布置在架空电力线下。</w:t>
      </w:r>
      <w:r>
        <w:rPr>
          <w:spacing w:val="-3"/>
          <w:sz w:val="21"/>
        </w:rPr>
        <w:t xml:space="preserve"> </w:t>
      </w:r>
    </w:p>
    <w:p w14:paraId="702B41E0" w14:textId="77777777" w:rsidR="00A71EEF" w:rsidRDefault="00A71EEF">
      <w:pPr>
        <w:pStyle w:val="a3"/>
        <w:spacing w:before="12"/>
        <w:rPr>
          <w:sz w:val="17"/>
        </w:rPr>
      </w:pPr>
    </w:p>
    <w:p w14:paraId="468B18A0" w14:textId="77777777" w:rsidR="00A71EEF" w:rsidRDefault="0081115D">
      <w:pPr>
        <w:pStyle w:val="a4"/>
        <w:numPr>
          <w:ilvl w:val="1"/>
          <w:numId w:val="458"/>
        </w:numPr>
        <w:tabs>
          <w:tab w:val="left" w:pos="1160"/>
        </w:tabs>
        <w:ind w:left="1159" w:hanging="320"/>
        <w:rPr>
          <w:sz w:val="21"/>
        </w:rPr>
      </w:pPr>
      <w:r>
        <w:rPr>
          <w:spacing w:val="-3"/>
          <w:sz w:val="21"/>
        </w:rPr>
        <w:t>防火间距</w:t>
      </w:r>
      <w:r>
        <w:rPr>
          <w:sz w:val="21"/>
        </w:rPr>
        <w:t xml:space="preserve"> </w:t>
      </w:r>
    </w:p>
    <w:p w14:paraId="613C7B7A" w14:textId="77777777" w:rsidR="00A71EEF" w:rsidRDefault="00A71EEF">
      <w:pPr>
        <w:pStyle w:val="a3"/>
        <w:rPr>
          <w:sz w:val="18"/>
        </w:rPr>
      </w:pPr>
    </w:p>
    <w:p w14:paraId="6859F0DA" w14:textId="77777777" w:rsidR="00A71EEF" w:rsidRDefault="0081115D">
      <w:pPr>
        <w:pStyle w:val="a4"/>
        <w:numPr>
          <w:ilvl w:val="2"/>
          <w:numId w:val="458"/>
        </w:numPr>
        <w:tabs>
          <w:tab w:val="left" w:pos="1370"/>
        </w:tabs>
        <w:spacing w:line="446" w:lineRule="auto"/>
        <w:ind w:left="418" w:right="1551" w:firstLine="422"/>
        <w:jc w:val="both"/>
        <w:rPr>
          <w:sz w:val="21"/>
        </w:rPr>
      </w:pPr>
      <w:r>
        <w:rPr>
          <w:spacing w:val="-4"/>
          <w:sz w:val="21"/>
        </w:rPr>
        <w:t>易燃易爆危险品库房与在建工程的防火间距不应小于</w:t>
      </w:r>
      <w:r>
        <w:rPr>
          <w:spacing w:val="-4"/>
          <w:sz w:val="21"/>
        </w:rPr>
        <w:t xml:space="preserve"> </w:t>
      </w:r>
      <w:r>
        <w:rPr>
          <w:sz w:val="21"/>
        </w:rPr>
        <w:t>15m</w:t>
      </w:r>
      <w:r>
        <w:rPr>
          <w:spacing w:val="-3"/>
          <w:sz w:val="21"/>
        </w:rPr>
        <w:t>，可燃材料堆场及其加工场</w:t>
      </w:r>
      <w:r>
        <w:rPr>
          <w:spacing w:val="-2"/>
          <w:sz w:val="21"/>
        </w:rPr>
        <w:t>、固定动火作业场与在建工程的防火间距不应小于</w:t>
      </w:r>
      <w:r>
        <w:rPr>
          <w:spacing w:val="-2"/>
          <w:sz w:val="21"/>
        </w:rPr>
        <w:t xml:space="preserve"> </w:t>
      </w:r>
      <w:r>
        <w:rPr>
          <w:sz w:val="21"/>
        </w:rPr>
        <w:t>10m</w:t>
      </w:r>
      <w:r>
        <w:rPr>
          <w:spacing w:val="-3"/>
          <w:sz w:val="21"/>
        </w:rPr>
        <w:t>，其他临时用房、临时设施与在建工程</w:t>
      </w:r>
      <w:r>
        <w:rPr>
          <w:spacing w:val="-8"/>
          <w:sz w:val="21"/>
        </w:rPr>
        <w:t>的防火间距不应小于</w:t>
      </w:r>
      <w:r>
        <w:rPr>
          <w:spacing w:val="-8"/>
          <w:sz w:val="21"/>
        </w:rPr>
        <w:t xml:space="preserve"> </w:t>
      </w:r>
      <w:r>
        <w:rPr>
          <w:spacing w:val="-3"/>
          <w:sz w:val="21"/>
        </w:rPr>
        <w:t>6m</w:t>
      </w:r>
      <w:r>
        <w:rPr>
          <w:sz w:val="21"/>
        </w:rPr>
        <w:t>。</w:t>
      </w:r>
      <w:r>
        <w:rPr>
          <w:sz w:val="21"/>
        </w:rPr>
        <w:t xml:space="preserve"> </w:t>
      </w:r>
    </w:p>
    <w:p w14:paraId="5D79CCDC" w14:textId="77777777" w:rsidR="00A71EEF" w:rsidRDefault="0081115D">
      <w:pPr>
        <w:pStyle w:val="a4"/>
        <w:numPr>
          <w:ilvl w:val="2"/>
          <w:numId w:val="458"/>
        </w:numPr>
        <w:tabs>
          <w:tab w:val="left" w:pos="1424"/>
        </w:tabs>
        <w:spacing w:line="446" w:lineRule="auto"/>
        <w:ind w:left="418" w:right="1553" w:firstLine="422"/>
        <w:jc w:val="both"/>
        <w:rPr>
          <w:sz w:val="21"/>
        </w:rPr>
      </w:pPr>
      <w:r>
        <w:rPr>
          <w:spacing w:val="-3"/>
          <w:sz w:val="21"/>
        </w:rPr>
        <w:t>施工现场主要临时用房、临时设施的防火间距不应小于表</w:t>
      </w:r>
      <w:r>
        <w:rPr>
          <w:spacing w:val="-3"/>
          <w:sz w:val="21"/>
        </w:rPr>
        <w:t xml:space="preserve"> </w:t>
      </w:r>
      <w:r>
        <w:rPr>
          <w:sz w:val="21"/>
        </w:rPr>
        <w:t>3.2.2</w:t>
      </w:r>
      <w:r>
        <w:rPr>
          <w:spacing w:val="-1"/>
          <w:sz w:val="21"/>
        </w:rPr>
        <w:t xml:space="preserve"> </w:t>
      </w:r>
      <w:r>
        <w:rPr>
          <w:spacing w:val="-1"/>
          <w:sz w:val="21"/>
        </w:rPr>
        <w:t>的规定，当办公用</w:t>
      </w:r>
      <w:r>
        <w:rPr>
          <w:spacing w:val="-3"/>
          <w:sz w:val="21"/>
        </w:rPr>
        <w:t>房、宿舍成组布置时，其防火间距可适当减小，但应符合下列规定：</w:t>
      </w:r>
      <w:r>
        <w:rPr>
          <w:sz w:val="21"/>
        </w:rPr>
        <w:t xml:space="preserve"> </w:t>
      </w:r>
    </w:p>
    <w:p w14:paraId="24B502D1" w14:textId="77777777" w:rsidR="00A71EEF" w:rsidRDefault="0081115D">
      <w:pPr>
        <w:pStyle w:val="a4"/>
        <w:numPr>
          <w:ilvl w:val="0"/>
          <w:numId w:val="456"/>
        </w:numPr>
        <w:tabs>
          <w:tab w:val="left" w:pos="1367"/>
        </w:tabs>
        <w:rPr>
          <w:sz w:val="21"/>
        </w:rPr>
      </w:pPr>
      <w:r>
        <w:rPr>
          <w:spacing w:val="-3"/>
          <w:sz w:val="21"/>
        </w:rPr>
        <w:t>每组临时用房的栋数不应超过</w:t>
      </w:r>
      <w:r>
        <w:rPr>
          <w:spacing w:val="-3"/>
          <w:sz w:val="21"/>
        </w:rPr>
        <w:t xml:space="preserve"> </w:t>
      </w:r>
      <w:r>
        <w:rPr>
          <w:sz w:val="21"/>
        </w:rPr>
        <w:t>10</w:t>
      </w:r>
      <w:r>
        <w:rPr>
          <w:spacing w:val="-3"/>
          <w:sz w:val="21"/>
        </w:rPr>
        <w:t xml:space="preserve"> </w:t>
      </w:r>
      <w:r>
        <w:rPr>
          <w:spacing w:val="-3"/>
          <w:sz w:val="21"/>
        </w:rPr>
        <w:t>栋，组与组之间的防火间距不应小于</w:t>
      </w:r>
      <w:r>
        <w:rPr>
          <w:spacing w:val="-3"/>
          <w:sz w:val="21"/>
        </w:rPr>
        <w:t xml:space="preserve"> </w:t>
      </w:r>
      <w:r>
        <w:rPr>
          <w:sz w:val="21"/>
        </w:rPr>
        <w:t>8m</w:t>
      </w:r>
      <w:r>
        <w:rPr>
          <w:spacing w:val="-3"/>
          <w:sz w:val="21"/>
        </w:rPr>
        <w:t>。</w:t>
      </w:r>
      <w:r>
        <w:rPr>
          <w:sz w:val="21"/>
        </w:rPr>
        <w:t xml:space="preserve"> </w:t>
      </w:r>
    </w:p>
    <w:p w14:paraId="4F39DF2C" w14:textId="77777777" w:rsidR="00A71EEF" w:rsidRDefault="00A71EEF">
      <w:pPr>
        <w:pStyle w:val="a3"/>
        <w:spacing w:before="11"/>
        <w:rPr>
          <w:sz w:val="17"/>
        </w:rPr>
      </w:pPr>
    </w:p>
    <w:p w14:paraId="7A336D41" w14:textId="77777777" w:rsidR="00A71EEF" w:rsidRDefault="0081115D">
      <w:pPr>
        <w:pStyle w:val="a4"/>
        <w:numPr>
          <w:ilvl w:val="0"/>
          <w:numId w:val="456"/>
        </w:numPr>
        <w:tabs>
          <w:tab w:val="left" w:pos="1367"/>
        </w:tabs>
        <w:spacing w:line="446" w:lineRule="auto"/>
        <w:ind w:left="418" w:right="1507" w:firstLine="419"/>
        <w:rPr>
          <w:sz w:val="21"/>
        </w:rPr>
      </w:pPr>
      <w:r>
        <w:rPr>
          <w:spacing w:val="-3"/>
          <w:sz w:val="21"/>
        </w:rPr>
        <w:t>组内临时用房之间的防火间距不应小于</w:t>
      </w:r>
      <w:r>
        <w:rPr>
          <w:spacing w:val="-3"/>
          <w:sz w:val="21"/>
        </w:rPr>
        <w:t xml:space="preserve"> </w:t>
      </w:r>
      <w:r>
        <w:rPr>
          <w:sz w:val="21"/>
        </w:rPr>
        <w:t>3.5m</w:t>
      </w:r>
      <w:r>
        <w:rPr>
          <w:spacing w:val="-2"/>
          <w:sz w:val="21"/>
        </w:rPr>
        <w:t>，当建筑构件燃烧性能等级为</w:t>
      </w:r>
      <w:r>
        <w:rPr>
          <w:spacing w:val="-2"/>
          <w:sz w:val="21"/>
        </w:rPr>
        <w:t xml:space="preserve"> </w:t>
      </w:r>
      <w:r>
        <w:rPr>
          <w:sz w:val="21"/>
        </w:rPr>
        <w:t xml:space="preserve">A </w:t>
      </w:r>
      <w:r>
        <w:rPr>
          <w:sz w:val="21"/>
        </w:rPr>
        <w:t>级时，</w:t>
      </w:r>
      <w:r>
        <w:rPr>
          <w:sz w:val="21"/>
        </w:rPr>
        <w:t xml:space="preserve"> </w:t>
      </w:r>
      <w:r>
        <w:rPr>
          <w:spacing w:val="-3"/>
          <w:sz w:val="21"/>
        </w:rPr>
        <w:t>其防火间距可减少到</w:t>
      </w:r>
      <w:r>
        <w:rPr>
          <w:spacing w:val="-3"/>
          <w:sz w:val="21"/>
        </w:rPr>
        <w:t xml:space="preserve"> </w:t>
      </w:r>
      <w:r>
        <w:rPr>
          <w:sz w:val="21"/>
        </w:rPr>
        <w:t>3m</w:t>
      </w:r>
      <w:r>
        <w:rPr>
          <w:spacing w:val="-3"/>
          <w:sz w:val="21"/>
        </w:rPr>
        <w:t>。</w:t>
      </w:r>
      <w:r>
        <w:rPr>
          <w:sz w:val="21"/>
        </w:rPr>
        <w:t xml:space="preserve"> </w:t>
      </w:r>
    </w:p>
    <w:p w14:paraId="21F34163" w14:textId="77777777" w:rsidR="00A71EEF" w:rsidRDefault="00A71EEF">
      <w:pPr>
        <w:pStyle w:val="a3"/>
        <w:rPr>
          <w:sz w:val="20"/>
        </w:rPr>
      </w:pPr>
    </w:p>
    <w:p w14:paraId="0C2046AA" w14:textId="77777777" w:rsidR="00A71EEF" w:rsidRDefault="00A71EEF">
      <w:pPr>
        <w:pStyle w:val="a3"/>
        <w:rPr>
          <w:sz w:val="20"/>
        </w:rPr>
      </w:pPr>
    </w:p>
    <w:p w14:paraId="4D43971D" w14:textId="77777777" w:rsidR="00A71EEF" w:rsidRDefault="00A71EEF">
      <w:pPr>
        <w:pStyle w:val="a3"/>
        <w:rPr>
          <w:sz w:val="20"/>
        </w:rPr>
      </w:pPr>
    </w:p>
    <w:p w14:paraId="35090595" w14:textId="77777777" w:rsidR="00A71EEF" w:rsidRDefault="00A71EEF">
      <w:pPr>
        <w:pStyle w:val="a3"/>
        <w:spacing w:before="2"/>
        <w:rPr>
          <w:sz w:val="18"/>
        </w:rPr>
      </w:pPr>
    </w:p>
    <w:p w14:paraId="3627FAFF" w14:textId="77777777" w:rsidR="00A71EEF" w:rsidRDefault="0081115D">
      <w:pPr>
        <w:pStyle w:val="a3"/>
        <w:ind w:left="838"/>
      </w:pPr>
      <w:r>
        <w:t xml:space="preserve"> </w:t>
      </w:r>
    </w:p>
    <w:p w14:paraId="36D4E89F" w14:textId="77777777" w:rsidR="00A71EEF" w:rsidRDefault="00A71EEF">
      <w:pPr>
        <w:sectPr w:rsidR="00A71EEF">
          <w:pgSz w:w="11910" w:h="16850"/>
          <w:pgMar w:top="1220" w:right="0" w:bottom="1420" w:left="1260" w:header="0" w:footer="1239" w:gutter="0"/>
          <w:cols w:space="720"/>
        </w:sectPr>
      </w:pPr>
    </w:p>
    <w:p w14:paraId="20ECE964" w14:textId="77777777" w:rsidR="00A71EEF" w:rsidRDefault="00A71EEF">
      <w:pPr>
        <w:pStyle w:val="a3"/>
        <w:rPr>
          <w:sz w:val="20"/>
        </w:rPr>
      </w:pPr>
    </w:p>
    <w:p w14:paraId="3BC25BB3" w14:textId="77777777" w:rsidR="00A71EEF" w:rsidRDefault="00A71EEF">
      <w:pPr>
        <w:pStyle w:val="a3"/>
        <w:rPr>
          <w:sz w:val="20"/>
        </w:rPr>
      </w:pPr>
    </w:p>
    <w:p w14:paraId="2A44A89D" w14:textId="77777777" w:rsidR="00A71EEF" w:rsidRDefault="00A71EEF">
      <w:pPr>
        <w:pStyle w:val="a3"/>
        <w:rPr>
          <w:sz w:val="20"/>
        </w:rPr>
      </w:pPr>
    </w:p>
    <w:p w14:paraId="2705468F" w14:textId="77777777" w:rsidR="00A71EEF" w:rsidRDefault="00A71EEF">
      <w:pPr>
        <w:pStyle w:val="a3"/>
        <w:spacing w:before="7"/>
        <w:rPr>
          <w:sz w:val="25"/>
        </w:rPr>
      </w:pPr>
    </w:p>
    <w:p w14:paraId="1070A648" w14:textId="77777777" w:rsidR="00A71EEF" w:rsidRDefault="0081115D">
      <w:pPr>
        <w:pStyle w:val="a4"/>
        <w:numPr>
          <w:ilvl w:val="1"/>
          <w:numId w:val="458"/>
        </w:numPr>
        <w:tabs>
          <w:tab w:val="left" w:pos="1159"/>
        </w:tabs>
        <w:spacing w:before="72"/>
        <w:ind w:hanging="319"/>
        <w:rPr>
          <w:b/>
          <w:sz w:val="21"/>
        </w:rPr>
      </w:pPr>
      <w:r>
        <w:rPr>
          <w:spacing w:val="-3"/>
          <w:sz w:val="21"/>
        </w:rPr>
        <w:t>消防车道</w:t>
      </w:r>
      <w:r>
        <w:rPr>
          <w:b/>
          <w:w w:val="99"/>
          <w:sz w:val="21"/>
        </w:rPr>
        <w:t xml:space="preserve"> </w:t>
      </w:r>
    </w:p>
    <w:p w14:paraId="4CA7D2D3" w14:textId="77777777" w:rsidR="00A71EEF" w:rsidRDefault="0081115D">
      <w:pPr>
        <w:pStyle w:val="a3"/>
        <w:spacing w:before="3"/>
        <w:rPr>
          <w:b/>
          <w:sz w:val="20"/>
        </w:rPr>
      </w:pPr>
      <w:r>
        <w:rPr>
          <w:noProof/>
        </w:rPr>
        <w:drawing>
          <wp:anchor distT="0" distB="0" distL="0" distR="0" simplePos="0" relativeHeight="251625984" behindDoc="0" locked="0" layoutInCell="1" allowOverlap="1" wp14:anchorId="3B871DFA" wp14:editId="4995CCB2">
            <wp:simplePos x="0" y="0"/>
            <wp:positionH relativeFrom="page">
              <wp:posOffset>1284605</wp:posOffset>
            </wp:positionH>
            <wp:positionV relativeFrom="paragraph">
              <wp:posOffset>189912</wp:posOffset>
            </wp:positionV>
            <wp:extent cx="4941117" cy="4143375"/>
            <wp:effectExtent l="0" t="0" r="0" b="0"/>
            <wp:wrapTopAndBottom/>
            <wp:docPr id="467" name="image2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image274.jpeg"/>
                    <pic:cNvPicPr/>
                  </pic:nvPicPr>
                  <pic:blipFill>
                    <a:blip r:embed="rId324" cstate="print"/>
                    <a:stretch>
                      <a:fillRect/>
                    </a:stretch>
                  </pic:blipFill>
                  <pic:spPr>
                    <a:xfrm>
                      <a:off x="0" y="0"/>
                      <a:ext cx="4941117" cy="4143375"/>
                    </a:xfrm>
                    <a:prstGeom prst="rect">
                      <a:avLst/>
                    </a:prstGeom>
                  </pic:spPr>
                </pic:pic>
              </a:graphicData>
            </a:graphic>
          </wp:anchor>
        </w:drawing>
      </w:r>
    </w:p>
    <w:p w14:paraId="5D4FCB1B" w14:textId="77777777" w:rsidR="00A71EEF" w:rsidRDefault="0081115D">
      <w:pPr>
        <w:pStyle w:val="a4"/>
        <w:numPr>
          <w:ilvl w:val="2"/>
          <w:numId w:val="458"/>
        </w:numPr>
        <w:tabs>
          <w:tab w:val="left" w:pos="1371"/>
        </w:tabs>
        <w:spacing w:before="177" w:line="446" w:lineRule="auto"/>
        <w:ind w:left="418" w:right="1498" w:firstLine="422"/>
        <w:jc w:val="both"/>
        <w:rPr>
          <w:sz w:val="21"/>
        </w:rPr>
      </w:pPr>
      <w:r>
        <w:rPr>
          <w:spacing w:val="-3"/>
          <w:sz w:val="21"/>
        </w:rPr>
        <w:t>施工现场内应设置临时消防车道，临时消防车道与在建工程、临时用房、可燃材料堆</w:t>
      </w:r>
      <w:r>
        <w:rPr>
          <w:spacing w:val="-2"/>
          <w:sz w:val="21"/>
        </w:rPr>
        <w:t>场及其加工场的距离不宜小于</w:t>
      </w:r>
      <w:r>
        <w:rPr>
          <w:spacing w:val="-2"/>
          <w:sz w:val="21"/>
        </w:rPr>
        <w:t xml:space="preserve"> </w:t>
      </w:r>
      <w:r>
        <w:rPr>
          <w:sz w:val="21"/>
        </w:rPr>
        <w:t>5m</w:t>
      </w:r>
      <w:r>
        <w:rPr>
          <w:spacing w:val="-1"/>
          <w:sz w:val="21"/>
        </w:rPr>
        <w:t>，且不宜大于</w:t>
      </w:r>
      <w:r>
        <w:rPr>
          <w:spacing w:val="-1"/>
          <w:sz w:val="21"/>
        </w:rPr>
        <w:t xml:space="preserve"> </w:t>
      </w:r>
      <w:r>
        <w:rPr>
          <w:sz w:val="21"/>
        </w:rPr>
        <w:t>40m</w:t>
      </w:r>
      <w:r>
        <w:rPr>
          <w:sz w:val="21"/>
        </w:rPr>
        <w:t>；</w:t>
      </w:r>
      <w:r>
        <w:rPr>
          <w:spacing w:val="-3"/>
          <w:sz w:val="21"/>
        </w:rPr>
        <w:t>施工现场周边道路满足消防车通行及灭火救援要求时，施工现场内可不设置临时消防车道。</w:t>
      </w:r>
      <w:r>
        <w:rPr>
          <w:spacing w:val="-3"/>
          <w:sz w:val="21"/>
        </w:rPr>
        <w:t xml:space="preserve"> </w:t>
      </w:r>
    </w:p>
    <w:p w14:paraId="592FBE92" w14:textId="77777777" w:rsidR="00A71EEF" w:rsidRDefault="0081115D">
      <w:pPr>
        <w:pStyle w:val="a4"/>
        <w:numPr>
          <w:ilvl w:val="2"/>
          <w:numId w:val="458"/>
        </w:numPr>
        <w:tabs>
          <w:tab w:val="left" w:pos="1371"/>
        </w:tabs>
        <w:spacing w:line="268" w:lineRule="exact"/>
        <w:jc w:val="both"/>
        <w:rPr>
          <w:sz w:val="21"/>
        </w:rPr>
      </w:pPr>
      <w:r>
        <w:rPr>
          <w:spacing w:val="-3"/>
          <w:sz w:val="21"/>
        </w:rPr>
        <w:t>临时消防车道的设置应符合下列规定：</w:t>
      </w:r>
      <w:r>
        <w:rPr>
          <w:spacing w:val="-3"/>
          <w:sz w:val="21"/>
        </w:rPr>
        <w:t xml:space="preserve"> </w:t>
      </w:r>
    </w:p>
    <w:p w14:paraId="17AED93C" w14:textId="77777777" w:rsidR="00A71EEF" w:rsidRDefault="00A71EEF">
      <w:pPr>
        <w:pStyle w:val="a3"/>
        <w:spacing w:before="2"/>
        <w:rPr>
          <w:sz w:val="18"/>
        </w:rPr>
      </w:pPr>
    </w:p>
    <w:p w14:paraId="29D07F62" w14:textId="77777777" w:rsidR="00A71EEF" w:rsidRDefault="0081115D">
      <w:pPr>
        <w:pStyle w:val="a4"/>
        <w:numPr>
          <w:ilvl w:val="0"/>
          <w:numId w:val="455"/>
        </w:numPr>
        <w:tabs>
          <w:tab w:val="left" w:pos="1367"/>
        </w:tabs>
        <w:spacing w:line="446" w:lineRule="auto"/>
        <w:ind w:right="1505" w:firstLine="419"/>
        <w:rPr>
          <w:sz w:val="21"/>
        </w:rPr>
      </w:pPr>
      <w:r>
        <w:rPr>
          <w:spacing w:val="-3"/>
          <w:sz w:val="21"/>
        </w:rPr>
        <w:t>临时消防车道宜为环形，设置环形车道确有困难时，应在消防车道尽端设置尺寸不小于</w:t>
      </w:r>
      <w:r>
        <w:rPr>
          <w:spacing w:val="-3"/>
          <w:sz w:val="21"/>
        </w:rPr>
        <w:t xml:space="preserve"> 12m×l2m </w:t>
      </w:r>
      <w:r>
        <w:rPr>
          <w:spacing w:val="-3"/>
          <w:sz w:val="21"/>
        </w:rPr>
        <w:t>的回车场。</w:t>
      </w:r>
      <w:r>
        <w:rPr>
          <w:spacing w:val="-3"/>
          <w:sz w:val="21"/>
        </w:rPr>
        <w:t xml:space="preserve"> </w:t>
      </w:r>
    </w:p>
    <w:p w14:paraId="3EB38900" w14:textId="77777777" w:rsidR="00A71EEF" w:rsidRDefault="0081115D">
      <w:pPr>
        <w:pStyle w:val="a4"/>
        <w:numPr>
          <w:ilvl w:val="0"/>
          <w:numId w:val="455"/>
        </w:numPr>
        <w:tabs>
          <w:tab w:val="left" w:pos="1367"/>
        </w:tabs>
        <w:spacing w:line="267" w:lineRule="exact"/>
        <w:ind w:left="1367"/>
        <w:rPr>
          <w:sz w:val="21"/>
        </w:rPr>
      </w:pPr>
      <w:r>
        <w:rPr>
          <w:spacing w:val="-3"/>
          <w:sz w:val="21"/>
        </w:rPr>
        <w:t>临时消防车道的净宽度和净空高度均不应小于</w:t>
      </w:r>
      <w:r>
        <w:rPr>
          <w:spacing w:val="-3"/>
          <w:sz w:val="21"/>
        </w:rPr>
        <w:t xml:space="preserve"> </w:t>
      </w:r>
      <w:r>
        <w:rPr>
          <w:sz w:val="21"/>
        </w:rPr>
        <w:t>4m</w:t>
      </w:r>
      <w:r>
        <w:rPr>
          <w:spacing w:val="-3"/>
          <w:sz w:val="21"/>
        </w:rPr>
        <w:t>。</w:t>
      </w:r>
      <w:r>
        <w:rPr>
          <w:sz w:val="21"/>
        </w:rPr>
        <w:t xml:space="preserve"> </w:t>
      </w:r>
    </w:p>
    <w:p w14:paraId="089B99E6" w14:textId="77777777" w:rsidR="00A71EEF" w:rsidRDefault="00A71EEF">
      <w:pPr>
        <w:pStyle w:val="a3"/>
        <w:spacing w:before="2"/>
        <w:rPr>
          <w:sz w:val="18"/>
        </w:rPr>
      </w:pPr>
    </w:p>
    <w:p w14:paraId="546BB850" w14:textId="77777777" w:rsidR="00A71EEF" w:rsidRDefault="0081115D">
      <w:pPr>
        <w:pStyle w:val="a4"/>
        <w:numPr>
          <w:ilvl w:val="0"/>
          <w:numId w:val="455"/>
        </w:numPr>
        <w:tabs>
          <w:tab w:val="left" w:pos="1367"/>
        </w:tabs>
        <w:ind w:left="1367"/>
        <w:rPr>
          <w:sz w:val="21"/>
        </w:rPr>
      </w:pPr>
      <w:r>
        <w:rPr>
          <w:spacing w:val="-3"/>
          <w:sz w:val="21"/>
        </w:rPr>
        <w:t>临时消防车道的右侧应设置消防车行进路线指示标识。</w:t>
      </w:r>
      <w:r>
        <w:rPr>
          <w:sz w:val="21"/>
        </w:rPr>
        <w:t xml:space="preserve"> </w:t>
      </w:r>
    </w:p>
    <w:p w14:paraId="438AB1E6" w14:textId="77777777" w:rsidR="00A71EEF" w:rsidRDefault="00A71EEF">
      <w:pPr>
        <w:pStyle w:val="a3"/>
        <w:spacing w:before="12"/>
        <w:rPr>
          <w:sz w:val="17"/>
        </w:rPr>
      </w:pPr>
    </w:p>
    <w:p w14:paraId="3AD7A06B" w14:textId="77777777" w:rsidR="00A71EEF" w:rsidRDefault="0081115D">
      <w:pPr>
        <w:pStyle w:val="a4"/>
        <w:numPr>
          <w:ilvl w:val="0"/>
          <w:numId w:val="455"/>
        </w:numPr>
        <w:tabs>
          <w:tab w:val="left" w:pos="1367"/>
        </w:tabs>
        <w:ind w:left="1367"/>
        <w:rPr>
          <w:sz w:val="21"/>
        </w:rPr>
      </w:pPr>
      <w:r>
        <w:rPr>
          <w:spacing w:val="-3"/>
          <w:sz w:val="21"/>
        </w:rPr>
        <w:t>临时消防车道路基、路面及其下部设施应能承受消防车通行压力及工作荷载。</w:t>
      </w:r>
      <w:r>
        <w:rPr>
          <w:sz w:val="21"/>
        </w:rPr>
        <w:t xml:space="preserve"> </w:t>
      </w:r>
    </w:p>
    <w:p w14:paraId="7D31F6DE" w14:textId="77777777" w:rsidR="00A71EEF" w:rsidRDefault="00A71EEF">
      <w:pPr>
        <w:pStyle w:val="a3"/>
        <w:rPr>
          <w:sz w:val="18"/>
        </w:rPr>
      </w:pPr>
    </w:p>
    <w:p w14:paraId="00D8A63A" w14:textId="77777777" w:rsidR="00A71EEF" w:rsidRDefault="0081115D">
      <w:pPr>
        <w:pStyle w:val="a4"/>
        <w:numPr>
          <w:ilvl w:val="2"/>
          <w:numId w:val="458"/>
        </w:numPr>
        <w:tabs>
          <w:tab w:val="left" w:pos="1424"/>
        </w:tabs>
        <w:ind w:left="1423" w:hanging="584"/>
        <w:rPr>
          <w:sz w:val="21"/>
        </w:rPr>
      </w:pPr>
      <w:r>
        <w:rPr>
          <w:spacing w:val="-3"/>
          <w:sz w:val="21"/>
        </w:rPr>
        <w:t>下列建筑应设置环形临时消防车道，设置环形临时消防车道确有困难时，除应按本规</w:t>
      </w:r>
    </w:p>
    <w:p w14:paraId="126DB10D" w14:textId="77777777" w:rsidR="00A71EEF" w:rsidRDefault="00A71EEF">
      <w:pPr>
        <w:rPr>
          <w:sz w:val="21"/>
        </w:rPr>
        <w:sectPr w:rsidR="00A71EEF">
          <w:pgSz w:w="11910" w:h="16850"/>
          <w:pgMar w:top="1600" w:right="0" w:bottom="1420" w:left="1260" w:header="0" w:footer="1239" w:gutter="0"/>
          <w:cols w:space="720"/>
        </w:sectPr>
      </w:pPr>
    </w:p>
    <w:p w14:paraId="152DF91F" w14:textId="77777777" w:rsidR="00A71EEF" w:rsidRDefault="0081115D">
      <w:pPr>
        <w:pStyle w:val="a3"/>
        <w:spacing w:before="47" w:line="446" w:lineRule="auto"/>
        <w:ind w:left="418" w:right="1822"/>
      </w:pPr>
      <w:r>
        <w:t>范第</w:t>
      </w:r>
      <w:r>
        <w:t xml:space="preserve"> 3.3.2 </w:t>
      </w:r>
      <w:r>
        <w:t>条的规定设置回车场外，尚应按本规范第</w:t>
      </w:r>
      <w:r>
        <w:t xml:space="preserve"> 3.3.4 </w:t>
      </w:r>
      <w:r>
        <w:t>条的规定设置临时消防救援场地：</w:t>
      </w:r>
      <w:r>
        <w:t xml:space="preserve"> </w:t>
      </w:r>
    </w:p>
    <w:p w14:paraId="1FBADE7C" w14:textId="77777777" w:rsidR="00A71EEF" w:rsidRDefault="0081115D">
      <w:pPr>
        <w:pStyle w:val="a4"/>
        <w:numPr>
          <w:ilvl w:val="0"/>
          <w:numId w:val="454"/>
        </w:numPr>
        <w:tabs>
          <w:tab w:val="left" w:pos="1367"/>
        </w:tabs>
        <w:spacing w:line="267" w:lineRule="exact"/>
        <w:rPr>
          <w:sz w:val="21"/>
        </w:rPr>
      </w:pPr>
      <w:r>
        <w:rPr>
          <w:spacing w:val="-3"/>
          <w:sz w:val="21"/>
        </w:rPr>
        <w:t>建筑高度大于</w:t>
      </w:r>
      <w:r>
        <w:rPr>
          <w:spacing w:val="-3"/>
          <w:sz w:val="21"/>
        </w:rPr>
        <w:t xml:space="preserve"> </w:t>
      </w:r>
      <w:r>
        <w:rPr>
          <w:sz w:val="21"/>
        </w:rPr>
        <w:t>24m</w:t>
      </w:r>
      <w:r>
        <w:rPr>
          <w:spacing w:val="-3"/>
          <w:sz w:val="21"/>
        </w:rPr>
        <w:t xml:space="preserve"> </w:t>
      </w:r>
      <w:r>
        <w:rPr>
          <w:spacing w:val="-3"/>
          <w:sz w:val="21"/>
        </w:rPr>
        <w:t>的在建工程。</w:t>
      </w:r>
      <w:r>
        <w:rPr>
          <w:sz w:val="21"/>
        </w:rPr>
        <w:t xml:space="preserve"> </w:t>
      </w:r>
    </w:p>
    <w:p w14:paraId="5EF6106D" w14:textId="77777777" w:rsidR="00A71EEF" w:rsidRDefault="00A71EEF">
      <w:pPr>
        <w:pStyle w:val="a3"/>
        <w:spacing w:before="5"/>
        <w:rPr>
          <w:sz w:val="17"/>
        </w:rPr>
      </w:pPr>
    </w:p>
    <w:p w14:paraId="20E111D5" w14:textId="77777777" w:rsidR="00A71EEF" w:rsidRDefault="0081115D">
      <w:pPr>
        <w:pStyle w:val="a4"/>
        <w:numPr>
          <w:ilvl w:val="0"/>
          <w:numId w:val="454"/>
        </w:numPr>
        <w:tabs>
          <w:tab w:val="left" w:pos="1367"/>
        </w:tabs>
        <w:rPr>
          <w:sz w:val="21"/>
        </w:rPr>
      </w:pPr>
      <w:r>
        <w:rPr>
          <w:spacing w:val="-3"/>
          <w:sz w:val="21"/>
        </w:rPr>
        <w:t>建筑工程单体占地面积大于</w:t>
      </w:r>
      <w:r>
        <w:rPr>
          <w:spacing w:val="-3"/>
          <w:sz w:val="21"/>
        </w:rPr>
        <w:t xml:space="preserve"> </w:t>
      </w:r>
      <w:r>
        <w:rPr>
          <w:sz w:val="21"/>
        </w:rPr>
        <w:t>3000m</w:t>
      </w:r>
      <w:r>
        <w:rPr>
          <w:position w:val="11"/>
          <w:sz w:val="11"/>
        </w:rPr>
        <w:t>2</w:t>
      </w:r>
      <w:r>
        <w:rPr>
          <w:spacing w:val="-29"/>
          <w:position w:val="11"/>
          <w:sz w:val="11"/>
        </w:rPr>
        <w:t xml:space="preserve"> </w:t>
      </w:r>
      <w:r>
        <w:rPr>
          <w:spacing w:val="-3"/>
          <w:sz w:val="21"/>
        </w:rPr>
        <w:t>的在建工程。</w:t>
      </w:r>
      <w:r>
        <w:rPr>
          <w:spacing w:val="-3"/>
          <w:sz w:val="21"/>
        </w:rPr>
        <w:t xml:space="preserve"> </w:t>
      </w:r>
    </w:p>
    <w:p w14:paraId="7575EDA5" w14:textId="77777777" w:rsidR="00A71EEF" w:rsidRDefault="00A71EEF">
      <w:pPr>
        <w:pStyle w:val="a3"/>
        <w:spacing w:before="12"/>
        <w:rPr>
          <w:sz w:val="17"/>
        </w:rPr>
      </w:pPr>
    </w:p>
    <w:p w14:paraId="482AC7E8" w14:textId="77777777" w:rsidR="00A71EEF" w:rsidRDefault="0081115D">
      <w:pPr>
        <w:pStyle w:val="a4"/>
        <w:numPr>
          <w:ilvl w:val="0"/>
          <w:numId w:val="454"/>
        </w:numPr>
        <w:tabs>
          <w:tab w:val="left" w:pos="1367"/>
        </w:tabs>
        <w:rPr>
          <w:sz w:val="21"/>
        </w:rPr>
      </w:pPr>
      <w:r>
        <w:rPr>
          <w:spacing w:val="-1"/>
          <w:sz w:val="21"/>
        </w:rPr>
        <w:t>超过</w:t>
      </w:r>
      <w:r>
        <w:rPr>
          <w:spacing w:val="-1"/>
          <w:sz w:val="21"/>
        </w:rPr>
        <w:t xml:space="preserve"> </w:t>
      </w:r>
      <w:r>
        <w:rPr>
          <w:sz w:val="21"/>
        </w:rPr>
        <w:t>10</w:t>
      </w:r>
      <w:r>
        <w:rPr>
          <w:spacing w:val="-3"/>
          <w:sz w:val="21"/>
        </w:rPr>
        <w:t xml:space="preserve"> </w:t>
      </w:r>
      <w:r>
        <w:rPr>
          <w:spacing w:val="-3"/>
          <w:sz w:val="21"/>
        </w:rPr>
        <w:t>栋，且成组布置的临时用房。</w:t>
      </w:r>
      <w:r>
        <w:rPr>
          <w:sz w:val="21"/>
        </w:rPr>
        <w:t xml:space="preserve"> </w:t>
      </w:r>
    </w:p>
    <w:p w14:paraId="2C43D797" w14:textId="77777777" w:rsidR="00A71EEF" w:rsidRDefault="00A71EEF">
      <w:pPr>
        <w:pStyle w:val="a3"/>
        <w:rPr>
          <w:sz w:val="18"/>
        </w:rPr>
      </w:pPr>
    </w:p>
    <w:p w14:paraId="41B27A32" w14:textId="77777777" w:rsidR="00A71EEF" w:rsidRDefault="0081115D">
      <w:pPr>
        <w:pStyle w:val="a4"/>
        <w:numPr>
          <w:ilvl w:val="2"/>
          <w:numId w:val="458"/>
        </w:numPr>
        <w:tabs>
          <w:tab w:val="left" w:pos="1370"/>
        </w:tabs>
        <w:ind w:left="1369" w:hanging="530"/>
        <w:rPr>
          <w:sz w:val="21"/>
        </w:rPr>
      </w:pPr>
      <w:r>
        <w:rPr>
          <w:spacing w:val="-3"/>
          <w:sz w:val="21"/>
        </w:rPr>
        <w:t>临时消防救援场地的设置应符合下列规定：</w:t>
      </w:r>
      <w:r>
        <w:rPr>
          <w:sz w:val="21"/>
        </w:rPr>
        <w:t xml:space="preserve"> </w:t>
      </w:r>
    </w:p>
    <w:p w14:paraId="7706AECC" w14:textId="77777777" w:rsidR="00A71EEF" w:rsidRDefault="00A71EEF">
      <w:pPr>
        <w:pStyle w:val="a3"/>
        <w:spacing w:before="2"/>
        <w:rPr>
          <w:sz w:val="18"/>
        </w:rPr>
      </w:pPr>
    </w:p>
    <w:p w14:paraId="566CB1C2" w14:textId="77777777" w:rsidR="00A71EEF" w:rsidRDefault="0081115D">
      <w:pPr>
        <w:pStyle w:val="a4"/>
        <w:numPr>
          <w:ilvl w:val="0"/>
          <w:numId w:val="453"/>
        </w:numPr>
        <w:tabs>
          <w:tab w:val="left" w:pos="1367"/>
        </w:tabs>
        <w:rPr>
          <w:sz w:val="21"/>
        </w:rPr>
      </w:pPr>
      <w:r>
        <w:rPr>
          <w:spacing w:val="-3"/>
          <w:sz w:val="21"/>
        </w:rPr>
        <w:t>临时消防救援场地应在在建工程装饰装修阶段设置。</w:t>
      </w:r>
      <w:r>
        <w:rPr>
          <w:sz w:val="21"/>
        </w:rPr>
        <w:t xml:space="preserve"> </w:t>
      </w:r>
    </w:p>
    <w:p w14:paraId="22EC3DD0" w14:textId="77777777" w:rsidR="00A71EEF" w:rsidRDefault="00A71EEF">
      <w:pPr>
        <w:pStyle w:val="a3"/>
        <w:rPr>
          <w:sz w:val="18"/>
        </w:rPr>
      </w:pPr>
    </w:p>
    <w:p w14:paraId="5C0C2256" w14:textId="77777777" w:rsidR="00A71EEF" w:rsidRDefault="0081115D">
      <w:pPr>
        <w:pStyle w:val="a4"/>
        <w:numPr>
          <w:ilvl w:val="0"/>
          <w:numId w:val="453"/>
        </w:numPr>
        <w:tabs>
          <w:tab w:val="left" w:pos="1367"/>
        </w:tabs>
        <w:spacing w:line="446" w:lineRule="auto"/>
        <w:ind w:left="418" w:right="1505" w:firstLine="419"/>
        <w:rPr>
          <w:sz w:val="21"/>
        </w:rPr>
      </w:pPr>
      <w:r>
        <w:rPr>
          <w:spacing w:val="-3"/>
          <w:sz w:val="21"/>
        </w:rPr>
        <w:t>临时消防救援场地应设置在成组布置的临时用房场地的长边一侧及在建工程的长边一侧。</w:t>
      </w:r>
      <w:r>
        <w:rPr>
          <w:sz w:val="21"/>
        </w:rPr>
        <w:t xml:space="preserve"> </w:t>
      </w:r>
    </w:p>
    <w:p w14:paraId="588E2BE9" w14:textId="77777777" w:rsidR="00A71EEF" w:rsidRDefault="0081115D">
      <w:pPr>
        <w:pStyle w:val="a4"/>
        <w:numPr>
          <w:ilvl w:val="0"/>
          <w:numId w:val="453"/>
        </w:numPr>
        <w:tabs>
          <w:tab w:val="left" w:pos="1367"/>
        </w:tabs>
        <w:spacing w:line="446" w:lineRule="auto"/>
        <w:ind w:left="418" w:right="1611" w:firstLine="419"/>
        <w:rPr>
          <w:sz w:val="21"/>
        </w:rPr>
      </w:pPr>
      <w:r>
        <w:rPr>
          <w:spacing w:val="-2"/>
          <w:sz w:val="21"/>
        </w:rPr>
        <w:t>临时救援场地宽度应满足消防车正常操作要求，且不应小于</w:t>
      </w:r>
      <w:r>
        <w:rPr>
          <w:spacing w:val="-2"/>
          <w:sz w:val="21"/>
        </w:rPr>
        <w:t xml:space="preserve"> </w:t>
      </w:r>
      <w:r>
        <w:rPr>
          <w:sz w:val="21"/>
        </w:rPr>
        <w:t>6m</w:t>
      </w:r>
      <w:r>
        <w:rPr>
          <w:spacing w:val="-3"/>
          <w:sz w:val="21"/>
        </w:rPr>
        <w:t>，与在建工程外脚手架的净距不宜小于</w:t>
      </w:r>
      <w:r>
        <w:rPr>
          <w:spacing w:val="-3"/>
          <w:sz w:val="21"/>
        </w:rPr>
        <w:t xml:space="preserve"> </w:t>
      </w:r>
      <w:r>
        <w:rPr>
          <w:sz w:val="21"/>
        </w:rPr>
        <w:t>2m</w:t>
      </w:r>
      <w:r>
        <w:rPr>
          <w:spacing w:val="-3"/>
          <w:sz w:val="21"/>
        </w:rPr>
        <w:t>，且不宜超过</w:t>
      </w:r>
      <w:r>
        <w:rPr>
          <w:spacing w:val="-3"/>
          <w:sz w:val="21"/>
        </w:rPr>
        <w:t xml:space="preserve"> </w:t>
      </w:r>
      <w:r>
        <w:rPr>
          <w:sz w:val="21"/>
        </w:rPr>
        <w:t>6m</w:t>
      </w:r>
      <w:r>
        <w:rPr>
          <w:spacing w:val="-3"/>
          <w:sz w:val="21"/>
        </w:rPr>
        <w:t>。</w:t>
      </w:r>
      <w:r>
        <w:rPr>
          <w:sz w:val="21"/>
        </w:rPr>
        <w:t xml:space="preserve"> </w:t>
      </w:r>
    </w:p>
    <w:p w14:paraId="61376E59" w14:textId="77777777" w:rsidR="00A71EEF" w:rsidRDefault="0081115D">
      <w:pPr>
        <w:pStyle w:val="4"/>
        <w:spacing w:line="275" w:lineRule="exact"/>
      </w:pPr>
      <w:r>
        <w:t xml:space="preserve">4 </w:t>
      </w:r>
      <w:r>
        <w:t>建筑防火</w:t>
      </w:r>
      <w:r>
        <w:rPr>
          <w:w w:val="99"/>
        </w:rPr>
        <w:t xml:space="preserve"> </w:t>
      </w:r>
    </w:p>
    <w:p w14:paraId="26912AF8" w14:textId="77777777" w:rsidR="00A71EEF" w:rsidRDefault="00A71EEF">
      <w:pPr>
        <w:pStyle w:val="a3"/>
        <w:spacing w:before="6"/>
        <w:rPr>
          <w:b/>
          <w:sz w:val="17"/>
        </w:rPr>
      </w:pPr>
    </w:p>
    <w:p w14:paraId="2A2A2F62" w14:textId="77777777" w:rsidR="00A71EEF" w:rsidRDefault="0081115D">
      <w:pPr>
        <w:pStyle w:val="a4"/>
        <w:numPr>
          <w:ilvl w:val="1"/>
          <w:numId w:val="452"/>
        </w:numPr>
        <w:tabs>
          <w:tab w:val="left" w:pos="1160"/>
        </w:tabs>
        <w:rPr>
          <w:sz w:val="21"/>
        </w:rPr>
      </w:pPr>
      <w:r>
        <w:rPr>
          <w:spacing w:val="-3"/>
          <w:sz w:val="21"/>
        </w:rPr>
        <w:t>一般规定</w:t>
      </w:r>
      <w:r>
        <w:rPr>
          <w:sz w:val="21"/>
        </w:rPr>
        <w:t xml:space="preserve"> </w:t>
      </w:r>
    </w:p>
    <w:p w14:paraId="2F687A6D" w14:textId="77777777" w:rsidR="00A71EEF" w:rsidRDefault="00A71EEF">
      <w:pPr>
        <w:pStyle w:val="a3"/>
        <w:rPr>
          <w:sz w:val="18"/>
        </w:rPr>
      </w:pPr>
    </w:p>
    <w:p w14:paraId="562D676F" w14:textId="77777777" w:rsidR="00A71EEF" w:rsidRDefault="0081115D">
      <w:pPr>
        <w:pStyle w:val="a4"/>
        <w:numPr>
          <w:ilvl w:val="2"/>
          <w:numId w:val="452"/>
        </w:numPr>
        <w:tabs>
          <w:tab w:val="left" w:pos="1371"/>
        </w:tabs>
        <w:rPr>
          <w:sz w:val="21"/>
        </w:rPr>
      </w:pPr>
      <w:r>
        <w:rPr>
          <w:spacing w:val="-3"/>
          <w:sz w:val="21"/>
        </w:rPr>
        <w:t>临时用房和在建工程应采取可靠的防火分隔和安全疏散等防火技术措施。</w:t>
      </w:r>
      <w:r>
        <w:rPr>
          <w:spacing w:val="-3"/>
          <w:sz w:val="21"/>
        </w:rPr>
        <w:t xml:space="preserve"> </w:t>
      </w:r>
    </w:p>
    <w:p w14:paraId="26E6043D" w14:textId="77777777" w:rsidR="00A71EEF" w:rsidRDefault="00A71EEF">
      <w:pPr>
        <w:pStyle w:val="a3"/>
        <w:spacing w:before="12"/>
        <w:rPr>
          <w:sz w:val="17"/>
        </w:rPr>
      </w:pPr>
    </w:p>
    <w:p w14:paraId="613D55C0" w14:textId="77777777" w:rsidR="00A71EEF" w:rsidRDefault="0081115D">
      <w:pPr>
        <w:pStyle w:val="a4"/>
        <w:numPr>
          <w:ilvl w:val="2"/>
          <w:numId w:val="452"/>
        </w:numPr>
        <w:tabs>
          <w:tab w:val="left" w:pos="1370"/>
        </w:tabs>
        <w:ind w:left="1369" w:hanging="530"/>
        <w:rPr>
          <w:sz w:val="21"/>
        </w:rPr>
      </w:pPr>
      <w:r>
        <w:rPr>
          <w:spacing w:val="-3"/>
          <w:sz w:val="21"/>
        </w:rPr>
        <w:t>临时用房的防火设计应根据其使用性质及火灾危险性等情况进行确定。</w:t>
      </w:r>
      <w:r>
        <w:rPr>
          <w:spacing w:val="-3"/>
          <w:sz w:val="21"/>
        </w:rPr>
        <w:t xml:space="preserve"> </w:t>
      </w:r>
    </w:p>
    <w:p w14:paraId="090F8C6E" w14:textId="77777777" w:rsidR="00A71EEF" w:rsidRDefault="00A71EEF">
      <w:pPr>
        <w:pStyle w:val="a3"/>
        <w:spacing w:before="2"/>
        <w:rPr>
          <w:sz w:val="18"/>
        </w:rPr>
      </w:pPr>
    </w:p>
    <w:p w14:paraId="348B1E18" w14:textId="77777777" w:rsidR="00A71EEF" w:rsidRDefault="0081115D">
      <w:pPr>
        <w:pStyle w:val="a4"/>
        <w:numPr>
          <w:ilvl w:val="2"/>
          <w:numId w:val="452"/>
        </w:numPr>
        <w:tabs>
          <w:tab w:val="left" w:pos="1370"/>
        </w:tabs>
        <w:spacing w:line="446" w:lineRule="auto"/>
        <w:ind w:left="418" w:right="1604" w:firstLine="422"/>
        <w:rPr>
          <w:sz w:val="21"/>
        </w:rPr>
      </w:pPr>
      <w:r>
        <w:rPr>
          <w:spacing w:val="-3"/>
          <w:sz w:val="21"/>
        </w:rPr>
        <w:t>在建工程防火设计应根据施工性质、建筑高度、建筑规模及结构特点等情况进行确定。</w:t>
      </w:r>
      <w:r>
        <w:rPr>
          <w:sz w:val="21"/>
        </w:rPr>
        <w:t xml:space="preserve"> </w:t>
      </w:r>
    </w:p>
    <w:p w14:paraId="580E5928" w14:textId="77777777" w:rsidR="00A71EEF" w:rsidRDefault="0081115D">
      <w:pPr>
        <w:pStyle w:val="a4"/>
        <w:numPr>
          <w:ilvl w:val="1"/>
          <w:numId w:val="452"/>
        </w:numPr>
        <w:tabs>
          <w:tab w:val="left" w:pos="1159"/>
        </w:tabs>
        <w:spacing w:line="267" w:lineRule="exact"/>
        <w:ind w:left="1158" w:hanging="319"/>
        <w:rPr>
          <w:b/>
          <w:sz w:val="21"/>
        </w:rPr>
      </w:pPr>
      <w:r>
        <w:rPr>
          <w:spacing w:val="-3"/>
          <w:sz w:val="21"/>
        </w:rPr>
        <w:t>临时用房防火</w:t>
      </w:r>
      <w:r>
        <w:rPr>
          <w:b/>
          <w:w w:val="99"/>
          <w:sz w:val="21"/>
        </w:rPr>
        <w:t xml:space="preserve"> </w:t>
      </w:r>
    </w:p>
    <w:p w14:paraId="397F3696" w14:textId="77777777" w:rsidR="00A71EEF" w:rsidRDefault="00A71EEF">
      <w:pPr>
        <w:pStyle w:val="a3"/>
        <w:spacing w:before="2"/>
        <w:rPr>
          <w:b/>
          <w:sz w:val="18"/>
        </w:rPr>
      </w:pPr>
    </w:p>
    <w:p w14:paraId="605DF746" w14:textId="77777777" w:rsidR="00A71EEF" w:rsidRDefault="0081115D">
      <w:pPr>
        <w:pStyle w:val="a4"/>
        <w:numPr>
          <w:ilvl w:val="2"/>
          <w:numId w:val="452"/>
        </w:numPr>
        <w:tabs>
          <w:tab w:val="left" w:pos="1424"/>
        </w:tabs>
        <w:ind w:left="1423" w:hanging="584"/>
        <w:rPr>
          <w:sz w:val="21"/>
        </w:rPr>
      </w:pPr>
      <w:r>
        <w:rPr>
          <w:spacing w:val="-3"/>
          <w:sz w:val="21"/>
        </w:rPr>
        <w:t>宿舍、办公用房防火设计应符合下列规定：</w:t>
      </w:r>
      <w:r>
        <w:rPr>
          <w:sz w:val="21"/>
        </w:rPr>
        <w:t xml:space="preserve"> </w:t>
      </w:r>
    </w:p>
    <w:p w14:paraId="0FE43005" w14:textId="77777777" w:rsidR="00A71EEF" w:rsidRDefault="00A71EEF">
      <w:pPr>
        <w:pStyle w:val="a3"/>
        <w:rPr>
          <w:sz w:val="18"/>
        </w:rPr>
      </w:pPr>
    </w:p>
    <w:p w14:paraId="4012DF65" w14:textId="77777777" w:rsidR="00A71EEF" w:rsidRDefault="0081115D">
      <w:pPr>
        <w:pStyle w:val="a3"/>
        <w:spacing w:line="446" w:lineRule="auto"/>
        <w:ind w:left="418" w:right="1400" w:firstLine="419"/>
      </w:pPr>
      <w:r>
        <w:t>建筑构件的燃烧性能等级应为</w:t>
      </w:r>
      <w:r>
        <w:t xml:space="preserve"> A </w:t>
      </w:r>
      <w:r>
        <w:t>级。当采用金属夹芯板材时，其芯材的燃烧性能等级应为</w:t>
      </w:r>
      <w:r>
        <w:t xml:space="preserve">A </w:t>
      </w:r>
      <w:r>
        <w:t>级。</w:t>
      </w:r>
      <w:r>
        <w:t xml:space="preserve"> </w:t>
      </w:r>
    </w:p>
    <w:p w14:paraId="2F110CA5" w14:textId="77777777" w:rsidR="00A71EEF" w:rsidRDefault="0081115D">
      <w:pPr>
        <w:pStyle w:val="a3"/>
        <w:spacing w:line="269" w:lineRule="exact"/>
        <w:ind w:left="838"/>
      </w:pPr>
      <w:r>
        <w:t>建筑层数不应超过</w:t>
      </w:r>
      <w:r>
        <w:t xml:space="preserve"> 3 </w:t>
      </w:r>
      <w:r>
        <w:t>层，每层建筑面积不应大于</w:t>
      </w:r>
      <w:r>
        <w:t xml:space="preserve"> 300m</w:t>
      </w:r>
      <w:r>
        <w:rPr>
          <w:position w:val="11"/>
          <w:sz w:val="11"/>
        </w:rPr>
        <w:t>2</w:t>
      </w:r>
      <w:r>
        <w:t>。</w:t>
      </w:r>
      <w:r>
        <w:t xml:space="preserve"> </w:t>
      </w:r>
    </w:p>
    <w:p w14:paraId="3C1EDF72" w14:textId="77777777" w:rsidR="00A71EEF" w:rsidRDefault="00A71EEF">
      <w:pPr>
        <w:pStyle w:val="a3"/>
        <w:spacing w:before="2"/>
        <w:rPr>
          <w:sz w:val="17"/>
        </w:rPr>
      </w:pPr>
    </w:p>
    <w:p w14:paraId="076EF986" w14:textId="77777777" w:rsidR="00A71EEF" w:rsidRDefault="0081115D">
      <w:pPr>
        <w:pStyle w:val="a3"/>
        <w:spacing w:before="1" w:line="446" w:lineRule="auto"/>
        <w:ind w:left="418" w:right="1586" w:firstLine="419"/>
      </w:pPr>
      <w:r>
        <w:t>层数为</w:t>
      </w:r>
      <w:r>
        <w:t xml:space="preserve"> 3 </w:t>
      </w:r>
      <w:r>
        <w:t>层或每层建筑面积大于</w:t>
      </w:r>
      <w:r>
        <w:t xml:space="preserve"> 200m</w:t>
      </w:r>
      <w:r>
        <w:rPr>
          <w:position w:val="11"/>
          <w:sz w:val="11"/>
        </w:rPr>
        <w:t xml:space="preserve">2 </w:t>
      </w:r>
      <w:r>
        <w:t>时，应设置至少</w:t>
      </w:r>
      <w:r>
        <w:t xml:space="preserve"> 2 </w:t>
      </w:r>
      <w:r>
        <w:t>部疏散楼梯，房间疏散门至疏散楼梯的最大距离不应大于</w:t>
      </w:r>
      <w:r>
        <w:t xml:space="preserve"> 25m</w:t>
      </w:r>
      <w:r>
        <w:t>。</w:t>
      </w:r>
      <w:r>
        <w:t xml:space="preserve"> </w:t>
      </w:r>
    </w:p>
    <w:p w14:paraId="47674CBE" w14:textId="77777777" w:rsidR="00A71EEF" w:rsidRDefault="0081115D">
      <w:pPr>
        <w:pStyle w:val="a3"/>
        <w:spacing w:line="446" w:lineRule="auto"/>
        <w:ind w:left="418" w:right="1505" w:firstLine="419"/>
      </w:pPr>
      <w:r>
        <w:t>单面布置用房时，疏散走道的净宽度不应小于</w:t>
      </w:r>
      <w:r>
        <w:t xml:space="preserve"> 1.0m</w:t>
      </w:r>
      <w:r>
        <w:t>；双面布置用房时，疏散走道的净宽度不应小于</w:t>
      </w:r>
      <w:r>
        <w:t xml:space="preserve"> 1.5m</w:t>
      </w:r>
      <w:r>
        <w:t>。</w:t>
      </w:r>
      <w:r>
        <w:t xml:space="preserve"> </w:t>
      </w:r>
    </w:p>
    <w:p w14:paraId="60F7DE4D" w14:textId="77777777" w:rsidR="00A71EEF" w:rsidRDefault="0081115D">
      <w:pPr>
        <w:pStyle w:val="a3"/>
        <w:spacing w:line="267" w:lineRule="exact"/>
        <w:ind w:left="838"/>
      </w:pPr>
      <w:r>
        <w:t>疏散楼梯的净宽度不应小于疏散走道的净宽度。</w:t>
      </w:r>
      <w:r>
        <w:t xml:space="preserve"> </w:t>
      </w:r>
    </w:p>
    <w:p w14:paraId="2018228A" w14:textId="77777777" w:rsidR="00A71EEF" w:rsidRDefault="00A71EEF">
      <w:pPr>
        <w:pStyle w:val="a3"/>
        <w:spacing w:before="4"/>
        <w:rPr>
          <w:sz w:val="17"/>
        </w:rPr>
      </w:pPr>
    </w:p>
    <w:p w14:paraId="58F1D78E" w14:textId="77777777" w:rsidR="00A71EEF" w:rsidRDefault="0081115D">
      <w:pPr>
        <w:pStyle w:val="a3"/>
        <w:ind w:left="838"/>
      </w:pPr>
      <w:r>
        <w:t>宿舍房间的建筑面积不应大于</w:t>
      </w:r>
      <w:r>
        <w:t xml:space="preserve"> 30m</w:t>
      </w:r>
      <w:r>
        <w:rPr>
          <w:position w:val="11"/>
          <w:sz w:val="11"/>
        </w:rPr>
        <w:t>2</w:t>
      </w:r>
      <w:r>
        <w:t>，其他房间的建筑面积不宜大于</w:t>
      </w:r>
      <w:r>
        <w:t xml:space="preserve"> 100m</w:t>
      </w:r>
      <w:r>
        <w:rPr>
          <w:position w:val="11"/>
          <w:sz w:val="11"/>
        </w:rPr>
        <w:t>2</w:t>
      </w:r>
      <w:r>
        <w:t>。</w:t>
      </w:r>
      <w:r>
        <w:t xml:space="preserve"> </w:t>
      </w:r>
    </w:p>
    <w:p w14:paraId="50E7511B" w14:textId="77777777" w:rsidR="00A71EEF" w:rsidRDefault="00A71EEF">
      <w:pPr>
        <w:sectPr w:rsidR="00A71EEF">
          <w:pgSz w:w="11910" w:h="16850"/>
          <w:pgMar w:top="1220" w:right="0" w:bottom="1420" w:left="1260" w:header="0" w:footer="1239" w:gutter="0"/>
          <w:cols w:space="720"/>
        </w:sectPr>
      </w:pPr>
    </w:p>
    <w:p w14:paraId="551F4F93" w14:textId="77777777" w:rsidR="00A71EEF" w:rsidRDefault="0081115D">
      <w:pPr>
        <w:pStyle w:val="a3"/>
        <w:spacing w:before="47" w:line="436" w:lineRule="auto"/>
        <w:ind w:left="418" w:right="1505" w:firstLine="419"/>
      </w:pPr>
      <w:r>
        <w:t>房间内任一点至最近疏散门的距离不应大于</w:t>
      </w:r>
      <w:r>
        <w:t xml:space="preserve"> 15m</w:t>
      </w:r>
      <w:r>
        <w:t>，房门的净宽度不应小于</w:t>
      </w:r>
      <w:r>
        <w:t xml:space="preserve"> 0.8m</w:t>
      </w:r>
      <w:r>
        <w:t>；房间建筑面积超过</w:t>
      </w:r>
      <w:r>
        <w:t xml:space="preserve"> 50m</w:t>
      </w:r>
      <w:r>
        <w:rPr>
          <w:position w:val="11"/>
          <w:sz w:val="11"/>
        </w:rPr>
        <w:t xml:space="preserve">2 </w:t>
      </w:r>
      <w:r>
        <w:t>时，房门的净宽度不应小于</w:t>
      </w:r>
      <w:r>
        <w:t xml:space="preserve"> 1.2m</w:t>
      </w:r>
      <w:r>
        <w:t>。</w:t>
      </w:r>
      <w:r>
        <w:t xml:space="preserve"> </w:t>
      </w:r>
    </w:p>
    <w:p w14:paraId="2D3CA148" w14:textId="77777777" w:rsidR="00A71EEF" w:rsidRDefault="0081115D">
      <w:pPr>
        <w:pStyle w:val="a3"/>
        <w:spacing w:before="10"/>
        <w:ind w:left="838"/>
      </w:pPr>
      <w:r>
        <w:t>隔墙应从楼地面基层隔断至顶板基层底面。</w:t>
      </w:r>
      <w:r>
        <w:t xml:space="preserve"> </w:t>
      </w:r>
    </w:p>
    <w:p w14:paraId="0A0409B2" w14:textId="77777777" w:rsidR="00A71EEF" w:rsidRDefault="00A71EEF">
      <w:pPr>
        <w:pStyle w:val="a3"/>
        <w:rPr>
          <w:sz w:val="20"/>
        </w:rPr>
      </w:pPr>
    </w:p>
    <w:p w14:paraId="57F4B087" w14:textId="77777777" w:rsidR="00A71EEF" w:rsidRDefault="00A71EEF">
      <w:pPr>
        <w:pStyle w:val="a3"/>
        <w:rPr>
          <w:sz w:val="20"/>
        </w:rPr>
      </w:pPr>
    </w:p>
    <w:p w14:paraId="61251417" w14:textId="77777777" w:rsidR="00A71EEF" w:rsidRDefault="00A71EEF">
      <w:pPr>
        <w:pStyle w:val="a3"/>
        <w:spacing w:before="1"/>
        <w:rPr>
          <w:sz w:val="17"/>
        </w:rPr>
      </w:pPr>
    </w:p>
    <w:p w14:paraId="6680A985" w14:textId="77777777" w:rsidR="00A71EEF" w:rsidRDefault="0081115D">
      <w:pPr>
        <w:pStyle w:val="a4"/>
        <w:numPr>
          <w:ilvl w:val="2"/>
          <w:numId w:val="452"/>
        </w:numPr>
        <w:tabs>
          <w:tab w:val="left" w:pos="1370"/>
        </w:tabs>
        <w:spacing w:line="446" w:lineRule="auto"/>
        <w:ind w:left="418" w:right="1604" w:firstLine="422"/>
        <w:rPr>
          <w:sz w:val="21"/>
        </w:rPr>
      </w:pPr>
      <w:r>
        <w:rPr>
          <w:spacing w:val="-3"/>
          <w:sz w:val="21"/>
        </w:rPr>
        <w:t>发电机房、变配电房、厨房操作间、锅炉房、可</w:t>
      </w:r>
      <w:r>
        <w:rPr>
          <w:spacing w:val="-3"/>
          <w:sz w:val="21"/>
        </w:rPr>
        <w:t>燃材料库房及易燃易爆危险品库房的防火设计应符合下列规定：</w:t>
      </w:r>
      <w:r>
        <w:rPr>
          <w:sz w:val="21"/>
        </w:rPr>
        <w:t xml:space="preserve"> </w:t>
      </w:r>
    </w:p>
    <w:p w14:paraId="70F4341F" w14:textId="77777777" w:rsidR="00A71EEF" w:rsidRDefault="0081115D">
      <w:pPr>
        <w:pStyle w:val="a4"/>
        <w:numPr>
          <w:ilvl w:val="0"/>
          <w:numId w:val="451"/>
        </w:numPr>
        <w:tabs>
          <w:tab w:val="left" w:pos="1367"/>
        </w:tabs>
        <w:rPr>
          <w:sz w:val="21"/>
        </w:rPr>
      </w:pPr>
      <w:r>
        <w:rPr>
          <w:spacing w:val="-3"/>
          <w:sz w:val="21"/>
        </w:rPr>
        <w:t>建筑构件的燃烧性能等级应为</w:t>
      </w:r>
      <w:r>
        <w:rPr>
          <w:spacing w:val="-3"/>
          <w:sz w:val="21"/>
        </w:rPr>
        <w:t xml:space="preserve"> A</w:t>
      </w:r>
      <w:r>
        <w:rPr>
          <w:spacing w:val="-2"/>
          <w:sz w:val="21"/>
        </w:rPr>
        <w:t xml:space="preserve"> </w:t>
      </w:r>
      <w:r>
        <w:rPr>
          <w:spacing w:val="-2"/>
          <w:sz w:val="21"/>
        </w:rPr>
        <w:t>级。</w:t>
      </w:r>
      <w:r>
        <w:rPr>
          <w:sz w:val="21"/>
        </w:rPr>
        <w:t xml:space="preserve"> </w:t>
      </w:r>
    </w:p>
    <w:p w14:paraId="63807D2D" w14:textId="77777777" w:rsidR="00A71EEF" w:rsidRDefault="00A71EEF">
      <w:pPr>
        <w:pStyle w:val="a3"/>
        <w:spacing w:before="3"/>
        <w:rPr>
          <w:sz w:val="17"/>
        </w:rPr>
      </w:pPr>
    </w:p>
    <w:p w14:paraId="534F0130" w14:textId="77777777" w:rsidR="00A71EEF" w:rsidRDefault="0081115D">
      <w:pPr>
        <w:pStyle w:val="a4"/>
        <w:numPr>
          <w:ilvl w:val="0"/>
          <w:numId w:val="451"/>
        </w:numPr>
        <w:tabs>
          <w:tab w:val="left" w:pos="1367"/>
        </w:tabs>
        <w:rPr>
          <w:sz w:val="21"/>
        </w:rPr>
      </w:pPr>
      <w:r>
        <w:rPr>
          <w:spacing w:val="-3"/>
          <w:sz w:val="21"/>
        </w:rPr>
        <w:t>层数应为</w:t>
      </w:r>
      <w:r>
        <w:rPr>
          <w:spacing w:val="-3"/>
          <w:sz w:val="21"/>
        </w:rPr>
        <w:t xml:space="preserve"> </w:t>
      </w:r>
      <w:r>
        <w:rPr>
          <w:sz w:val="21"/>
        </w:rPr>
        <w:t>1</w:t>
      </w:r>
      <w:r>
        <w:rPr>
          <w:spacing w:val="-3"/>
          <w:sz w:val="21"/>
        </w:rPr>
        <w:t xml:space="preserve"> </w:t>
      </w:r>
      <w:r>
        <w:rPr>
          <w:spacing w:val="-3"/>
          <w:sz w:val="21"/>
        </w:rPr>
        <w:t>层，建筑面积不应大于</w:t>
      </w:r>
      <w:r>
        <w:rPr>
          <w:spacing w:val="-3"/>
          <w:sz w:val="21"/>
        </w:rPr>
        <w:t xml:space="preserve"> </w:t>
      </w:r>
      <w:r>
        <w:rPr>
          <w:sz w:val="21"/>
        </w:rPr>
        <w:t>200m</w:t>
      </w:r>
      <w:r>
        <w:rPr>
          <w:position w:val="11"/>
          <w:sz w:val="11"/>
        </w:rPr>
        <w:t>2</w:t>
      </w:r>
      <w:r>
        <w:rPr>
          <w:spacing w:val="-3"/>
          <w:sz w:val="21"/>
        </w:rPr>
        <w:t>。</w:t>
      </w:r>
      <w:r>
        <w:rPr>
          <w:sz w:val="21"/>
        </w:rPr>
        <w:t xml:space="preserve"> </w:t>
      </w:r>
    </w:p>
    <w:p w14:paraId="18ED601D" w14:textId="77777777" w:rsidR="00A71EEF" w:rsidRDefault="00A71EEF">
      <w:pPr>
        <w:pStyle w:val="a3"/>
        <w:spacing w:before="2"/>
        <w:rPr>
          <w:sz w:val="17"/>
        </w:rPr>
      </w:pPr>
    </w:p>
    <w:p w14:paraId="658CEB8F" w14:textId="77777777" w:rsidR="00A71EEF" w:rsidRDefault="0081115D">
      <w:pPr>
        <w:pStyle w:val="a4"/>
        <w:numPr>
          <w:ilvl w:val="0"/>
          <w:numId w:val="451"/>
        </w:numPr>
        <w:tabs>
          <w:tab w:val="left" w:pos="1367"/>
        </w:tabs>
        <w:spacing w:line="439" w:lineRule="auto"/>
        <w:ind w:left="418" w:right="1452" w:firstLine="419"/>
        <w:rPr>
          <w:sz w:val="21"/>
        </w:rPr>
      </w:pPr>
      <w:r>
        <w:rPr>
          <w:spacing w:val="-2"/>
          <w:sz w:val="21"/>
        </w:rPr>
        <w:t>可燃材料库房单个房间的建筑面积不应超过</w:t>
      </w:r>
      <w:r>
        <w:rPr>
          <w:spacing w:val="-2"/>
          <w:sz w:val="21"/>
        </w:rPr>
        <w:t xml:space="preserve"> </w:t>
      </w:r>
      <w:r>
        <w:rPr>
          <w:sz w:val="21"/>
        </w:rPr>
        <w:t>30m</w:t>
      </w:r>
      <w:r>
        <w:rPr>
          <w:position w:val="11"/>
          <w:sz w:val="11"/>
        </w:rPr>
        <w:t>2</w:t>
      </w:r>
      <w:r>
        <w:rPr>
          <w:spacing w:val="-3"/>
          <w:sz w:val="21"/>
        </w:rPr>
        <w:t>，易燃易爆危险品库房单个房间的建筑面积不应超过</w:t>
      </w:r>
      <w:r>
        <w:rPr>
          <w:spacing w:val="-3"/>
          <w:sz w:val="21"/>
        </w:rPr>
        <w:t xml:space="preserve"> </w:t>
      </w:r>
      <w:r>
        <w:rPr>
          <w:sz w:val="21"/>
        </w:rPr>
        <w:t>20m</w:t>
      </w:r>
      <w:r>
        <w:rPr>
          <w:position w:val="11"/>
          <w:sz w:val="11"/>
        </w:rPr>
        <w:t>2</w:t>
      </w:r>
      <w:r>
        <w:rPr>
          <w:sz w:val="21"/>
        </w:rPr>
        <w:t>。</w:t>
      </w:r>
      <w:r>
        <w:rPr>
          <w:sz w:val="21"/>
        </w:rPr>
        <w:t xml:space="preserve"> </w:t>
      </w:r>
    </w:p>
    <w:p w14:paraId="6A35C189" w14:textId="77777777" w:rsidR="00A71EEF" w:rsidRDefault="0081115D">
      <w:pPr>
        <w:pStyle w:val="a4"/>
        <w:numPr>
          <w:ilvl w:val="0"/>
          <w:numId w:val="451"/>
        </w:numPr>
        <w:tabs>
          <w:tab w:val="left" w:pos="1367"/>
        </w:tabs>
        <w:spacing w:before="6" w:line="446" w:lineRule="auto"/>
        <w:ind w:left="840" w:right="1721" w:hanging="3"/>
        <w:rPr>
          <w:sz w:val="21"/>
        </w:rPr>
      </w:pPr>
      <w:r>
        <w:rPr>
          <w:spacing w:val="-3"/>
          <w:sz w:val="21"/>
        </w:rPr>
        <w:t>房间内任一点至最近疏散门的距离不应大于</w:t>
      </w:r>
      <w:r>
        <w:rPr>
          <w:spacing w:val="-3"/>
          <w:sz w:val="21"/>
        </w:rPr>
        <w:t xml:space="preserve"> </w:t>
      </w:r>
      <w:r>
        <w:rPr>
          <w:sz w:val="21"/>
        </w:rPr>
        <w:t>10m</w:t>
      </w:r>
      <w:r>
        <w:rPr>
          <w:sz w:val="21"/>
        </w:rPr>
        <w:t>，</w:t>
      </w:r>
      <w:r>
        <w:rPr>
          <w:spacing w:val="-2"/>
          <w:sz w:val="21"/>
        </w:rPr>
        <w:t>房门的净宽度不应小于</w:t>
      </w:r>
      <w:r>
        <w:rPr>
          <w:spacing w:val="-2"/>
          <w:sz w:val="21"/>
        </w:rPr>
        <w:t xml:space="preserve"> </w:t>
      </w:r>
      <w:r>
        <w:rPr>
          <w:sz w:val="21"/>
        </w:rPr>
        <w:t>0.8m</w:t>
      </w:r>
      <w:r>
        <w:rPr>
          <w:spacing w:val="-3"/>
          <w:sz w:val="21"/>
        </w:rPr>
        <w:t>。</w:t>
      </w:r>
      <w:r>
        <w:rPr>
          <w:b/>
          <w:sz w:val="21"/>
        </w:rPr>
        <w:t xml:space="preserve">4.2.3 </w:t>
      </w:r>
      <w:r>
        <w:rPr>
          <w:spacing w:val="-3"/>
          <w:sz w:val="21"/>
        </w:rPr>
        <w:t>其他防火设计应符合下列规定：</w:t>
      </w:r>
      <w:r>
        <w:rPr>
          <w:sz w:val="21"/>
        </w:rPr>
        <w:t xml:space="preserve"> </w:t>
      </w:r>
    </w:p>
    <w:p w14:paraId="2B4E96E3" w14:textId="77777777" w:rsidR="00A71EEF" w:rsidRDefault="0081115D">
      <w:pPr>
        <w:pStyle w:val="a3"/>
        <w:ind w:left="838"/>
      </w:pPr>
      <w:r>
        <w:t>宿舍、办公用房不应与厨房操作间、锅炉房、变配电房等组合建造。</w:t>
      </w:r>
      <w:r>
        <w:t xml:space="preserve">  </w:t>
      </w:r>
      <w:r>
        <w:t xml:space="preserve"> </w:t>
      </w:r>
    </w:p>
    <w:p w14:paraId="00FF4E72" w14:textId="77777777" w:rsidR="00A71EEF" w:rsidRDefault="00A71EEF">
      <w:pPr>
        <w:pStyle w:val="a3"/>
        <w:rPr>
          <w:sz w:val="18"/>
        </w:rPr>
      </w:pPr>
    </w:p>
    <w:p w14:paraId="5D7125EE" w14:textId="77777777" w:rsidR="00A71EEF" w:rsidRDefault="0081115D">
      <w:pPr>
        <w:pStyle w:val="a3"/>
        <w:spacing w:line="446" w:lineRule="auto"/>
        <w:ind w:left="418" w:right="1609" w:firstLine="419"/>
      </w:pPr>
      <w:r>
        <w:t>会议室、文化娱乐室等人员密集的房间应设置在临时用房的第一层，其疏散门应向疏散方向开启。</w:t>
      </w:r>
      <w:r>
        <w:t xml:space="preserve"> </w:t>
      </w:r>
    </w:p>
    <w:p w14:paraId="58C91658" w14:textId="77777777" w:rsidR="00A71EEF" w:rsidRDefault="0081115D">
      <w:pPr>
        <w:pStyle w:val="a4"/>
        <w:numPr>
          <w:ilvl w:val="1"/>
          <w:numId w:val="452"/>
        </w:numPr>
        <w:tabs>
          <w:tab w:val="left" w:pos="1159"/>
        </w:tabs>
        <w:ind w:left="1158" w:hanging="319"/>
        <w:rPr>
          <w:b/>
          <w:sz w:val="21"/>
        </w:rPr>
      </w:pPr>
      <w:r>
        <w:rPr>
          <w:spacing w:val="-3"/>
          <w:sz w:val="21"/>
        </w:rPr>
        <w:t>在建工程防火</w:t>
      </w:r>
      <w:r>
        <w:rPr>
          <w:b/>
          <w:w w:val="99"/>
          <w:sz w:val="21"/>
        </w:rPr>
        <w:t xml:space="preserve"> </w:t>
      </w:r>
    </w:p>
    <w:p w14:paraId="356B0F14" w14:textId="77777777" w:rsidR="00A71EEF" w:rsidRDefault="00A71EEF">
      <w:pPr>
        <w:pStyle w:val="a3"/>
        <w:spacing w:before="12"/>
        <w:rPr>
          <w:b/>
          <w:sz w:val="17"/>
        </w:rPr>
      </w:pPr>
    </w:p>
    <w:p w14:paraId="672E3553" w14:textId="77777777" w:rsidR="00A71EEF" w:rsidRDefault="0081115D">
      <w:pPr>
        <w:pStyle w:val="a4"/>
        <w:numPr>
          <w:ilvl w:val="2"/>
          <w:numId w:val="452"/>
        </w:numPr>
        <w:tabs>
          <w:tab w:val="left" w:pos="1371"/>
        </w:tabs>
        <w:spacing w:line="446" w:lineRule="auto"/>
        <w:ind w:left="418" w:right="1498" w:firstLine="422"/>
        <w:rPr>
          <w:sz w:val="21"/>
        </w:rPr>
      </w:pPr>
      <w:r>
        <w:rPr>
          <w:spacing w:val="-3"/>
          <w:sz w:val="21"/>
        </w:rPr>
        <w:t>在建工程作业场所的临时疏散通道应采用不燃、难燃材料建造，并应与在建工程结构施工同步设置，也可利用在建工程施工完毕的水平结构、楼梯。</w:t>
      </w:r>
      <w:r>
        <w:rPr>
          <w:sz w:val="21"/>
        </w:rPr>
        <w:t xml:space="preserve"> </w:t>
      </w:r>
    </w:p>
    <w:p w14:paraId="72C0A0CB" w14:textId="77777777" w:rsidR="00A71EEF" w:rsidRDefault="0081115D">
      <w:pPr>
        <w:pStyle w:val="a4"/>
        <w:numPr>
          <w:ilvl w:val="2"/>
          <w:numId w:val="452"/>
        </w:numPr>
        <w:tabs>
          <w:tab w:val="left" w:pos="1371"/>
        </w:tabs>
        <w:spacing w:line="446" w:lineRule="auto"/>
        <w:ind w:left="838" w:right="3707" w:firstLine="2"/>
        <w:rPr>
          <w:sz w:val="21"/>
        </w:rPr>
      </w:pPr>
      <w:r>
        <w:rPr>
          <w:spacing w:val="-2"/>
          <w:sz w:val="21"/>
        </w:rPr>
        <w:t>在建工程作业场所临时疏散通道的设置应符合下列规定：</w:t>
      </w:r>
      <w:r>
        <w:rPr>
          <w:spacing w:val="-2"/>
          <w:sz w:val="21"/>
        </w:rPr>
        <w:t xml:space="preserve"> </w:t>
      </w:r>
      <w:r>
        <w:rPr>
          <w:spacing w:val="-2"/>
          <w:sz w:val="21"/>
        </w:rPr>
        <w:t>耐</w:t>
      </w:r>
      <w:r>
        <w:rPr>
          <w:spacing w:val="-3"/>
          <w:sz w:val="21"/>
        </w:rPr>
        <w:t>火极限不应低于</w:t>
      </w:r>
      <w:r>
        <w:rPr>
          <w:spacing w:val="-3"/>
          <w:sz w:val="21"/>
        </w:rPr>
        <w:t xml:space="preserve"> </w:t>
      </w:r>
      <w:r>
        <w:rPr>
          <w:sz w:val="21"/>
        </w:rPr>
        <w:t>0.5h</w:t>
      </w:r>
      <w:r>
        <w:rPr>
          <w:spacing w:val="-3"/>
          <w:sz w:val="21"/>
        </w:rPr>
        <w:t>。</w:t>
      </w:r>
      <w:r>
        <w:rPr>
          <w:sz w:val="21"/>
        </w:rPr>
        <w:t xml:space="preserve"> </w:t>
      </w:r>
    </w:p>
    <w:p w14:paraId="62E57E4F" w14:textId="77777777" w:rsidR="00A71EEF" w:rsidRDefault="0081115D">
      <w:pPr>
        <w:pStyle w:val="a3"/>
        <w:spacing w:line="446" w:lineRule="auto"/>
        <w:ind w:left="418" w:right="1505" w:firstLine="419"/>
        <w:jc w:val="both"/>
      </w:pPr>
      <w:r>
        <w:t>设置在地面上的临时疏散通道，其净宽度不应小于</w:t>
      </w:r>
      <w:r>
        <w:t xml:space="preserve"> 1.5m</w:t>
      </w:r>
      <w:r>
        <w:t>；利用在建工程施工完毕的水平结构、楼梯作临时疏散通道时，其净宽度不宜小于</w:t>
      </w:r>
      <w:r>
        <w:t xml:space="preserve"> 1.0m</w:t>
      </w:r>
      <w:r>
        <w:t>；用于疏散的爬梯及设置在脚手架上的临时疏散通道，其净宽度不应小于</w:t>
      </w:r>
      <w:r>
        <w:t xml:space="preserve"> 0.6m</w:t>
      </w:r>
      <w:r>
        <w:t>。</w:t>
      </w:r>
      <w:r>
        <w:t xml:space="preserve"> </w:t>
      </w:r>
    </w:p>
    <w:p w14:paraId="192B9290" w14:textId="77777777" w:rsidR="00A71EEF" w:rsidRDefault="0081115D">
      <w:pPr>
        <w:pStyle w:val="a3"/>
        <w:spacing w:line="446" w:lineRule="auto"/>
        <w:ind w:left="838" w:right="2031"/>
      </w:pPr>
      <w:r>
        <w:rPr>
          <w:spacing w:val="-2"/>
        </w:rPr>
        <w:t>临时疏散通道为坡道，且坡度大于</w:t>
      </w:r>
      <w:r>
        <w:rPr>
          <w:spacing w:val="-2"/>
        </w:rPr>
        <w:t xml:space="preserve"> </w:t>
      </w:r>
      <w:r>
        <w:t>25</w:t>
      </w:r>
      <w:r>
        <w:rPr>
          <w:spacing w:val="-3"/>
        </w:rPr>
        <w:t>°</w:t>
      </w:r>
      <w:r>
        <w:rPr>
          <w:spacing w:val="-3"/>
        </w:rPr>
        <w:t>时，应修建楼梯或台阶踏步或设置防滑条。临时疏散通道不宜采用爬梯，确需采用时，应采取可靠固定措施。</w:t>
      </w:r>
      <w:r>
        <w:t xml:space="preserve"> </w:t>
      </w:r>
    </w:p>
    <w:p w14:paraId="37A26D70" w14:textId="77777777" w:rsidR="00A71EEF" w:rsidRDefault="0081115D">
      <w:pPr>
        <w:pStyle w:val="a3"/>
        <w:spacing w:line="446" w:lineRule="auto"/>
        <w:ind w:left="838" w:right="2134"/>
      </w:pPr>
      <w:r>
        <w:t>临时疏散通道的侧面为临空面时，应沿临空面设置高度不小于</w:t>
      </w:r>
      <w:r>
        <w:t xml:space="preserve"> 1.2m </w:t>
      </w:r>
      <w:r>
        <w:t>的防护栏杆。临时疏散通道设置在脚手架上时，脚手架应采用不燃材料搭设。</w:t>
      </w:r>
      <w:r>
        <w:t xml:space="preserve"> </w:t>
      </w:r>
    </w:p>
    <w:p w14:paraId="6D4D3455" w14:textId="77777777" w:rsidR="00A71EEF" w:rsidRDefault="0081115D">
      <w:pPr>
        <w:pStyle w:val="a3"/>
        <w:ind w:left="838"/>
      </w:pPr>
      <w:r>
        <w:t>临时疏散通道应设置明</w:t>
      </w:r>
      <w:r>
        <w:t>显的疏散指示标识。</w:t>
      </w:r>
      <w:r>
        <w:t xml:space="preserve"> </w:t>
      </w:r>
    </w:p>
    <w:p w14:paraId="45DD8821" w14:textId="77777777" w:rsidR="00A71EEF" w:rsidRDefault="00A71EEF">
      <w:pPr>
        <w:sectPr w:rsidR="00A71EEF">
          <w:pgSz w:w="11910" w:h="16850"/>
          <w:pgMar w:top="1220" w:right="0" w:bottom="1420" w:left="1260" w:header="0" w:footer="1239" w:gutter="0"/>
          <w:cols w:space="720"/>
        </w:sectPr>
      </w:pPr>
    </w:p>
    <w:p w14:paraId="5EBC3F84" w14:textId="77777777" w:rsidR="00A71EEF" w:rsidRDefault="0081115D">
      <w:pPr>
        <w:pStyle w:val="a3"/>
        <w:spacing w:before="47"/>
        <w:ind w:left="838"/>
      </w:pPr>
      <w:r>
        <w:t>临时疏散通道应设置照明设施。</w:t>
      </w:r>
      <w:r>
        <w:t xml:space="preserve"> </w:t>
      </w:r>
    </w:p>
    <w:p w14:paraId="76DD8982" w14:textId="77777777" w:rsidR="00A71EEF" w:rsidRDefault="00A71EEF">
      <w:pPr>
        <w:pStyle w:val="a3"/>
        <w:rPr>
          <w:sz w:val="18"/>
        </w:rPr>
      </w:pPr>
    </w:p>
    <w:p w14:paraId="2BF14946" w14:textId="77777777" w:rsidR="00A71EEF" w:rsidRDefault="0081115D">
      <w:pPr>
        <w:pStyle w:val="a4"/>
        <w:numPr>
          <w:ilvl w:val="2"/>
          <w:numId w:val="452"/>
        </w:numPr>
        <w:tabs>
          <w:tab w:val="left" w:pos="1424"/>
        </w:tabs>
        <w:spacing w:line="446" w:lineRule="auto"/>
        <w:ind w:left="418" w:right="1657" w:firstLine="422"/>
        <w:rPr>
          <w:sz w:val="21"/>
        </w:rPr>
      </w:pPr>
      <w:r>
        <w:rPr>
          <w:spacing w:val="-3"/>
          <w:sz w:val="21"/>
        </w:rPr>
        <w:t>既有建筑进行扩建、改建施工时，必须明确划分施工区和非施工区。施工区不得营业、使用和居住；非施工区继续营业、使用和居住时，应符合下列规定：</w:t>
      </w:r>
      <w:r>
        <w:rPr>
          <w:sz w:val="21"/>
        </w:rPr>
        <w:t xml:space="preserve"> </w:t>
      </w:r>
    </w:p>
    <w:p w14:paraId="6294BE72" w14:textId="77777777" w:rsidR="00A71EEF" w:rsidRDefault="0081115D">
      <w:pPr>
        <w:pStyle w:val="a3"/>
        <w:spacing w:line="446" w:lineRule="auto"/>
        <w:ind w:left="418" w:right="1608" w:firstLine="419"/>
      </w:pPr>
      <w:r>
        <w:t>施工区和非施工区之间应采用不开设门、窗、洞口的耐火极限不低于</w:t>
      </w:r>
      <w:r>
        <w:t xml:space="preserve"> 3.0h </w:t>
      </w:r>
      <w:r>
        <w:t>的不燃烧体隔墙进行防火分隔。</w:t>
      </w:r>
      <w:r>
        <w:t xml:space="preserve"> </w:t>
      </w:r>
    </w:p>
    <w:p w14:paraId="7F5B0835" w14:textId="77777777" w:rsidR="00A71EEF" w:rsidRDefault="0081115D">
      <w:pPr>
        <w:pStyle w:val="a3"/>
        <w:spacing w:line="446" w:lineRule="auto"/>
        <w:ind w:left="418" w:right="1609" w:firstLine="419"/>
      </w:pPr>
      <w:r>
        <w:t>非施工区内的消防设施应完好和有效，疏散通道应保持畅通，并应落实日常值班及消防安全管理制度。</w:t>
      </w:r>
      <w:r>
        <w:t xml:space="preserve"> </w:t>
      </w:r>
    </w:p>
    <w:p w14:paraId="6256CF90" w14:textId="77777777" w:rsidR="00A71EEF" w:rsidRDefault="0081115D">
      <w:pPr>
        <w:pStyle w:val="a3"/>
        <w:ind w:left="838"/>
      </w:pPr>
      <w:r>
        <w:t>施工区的消防安全应配有专人值守，发生火情应能立即处置。</w:t>
      </w:r>
      <w:r>
        <w:t xml:space="preserve"> </w:t>
      </w:r>
    </w:p>
    <w:p w14:paraId="3765C053" w14:textId="77777777" w:rsidR="00A71EEF" w:rsidRDefault="00A71EEF">
      <w:pPr>
        <w:pStyle w:val="a3"/>
        <w:spacing w:before="10"/>
        <w:rPr>
          <w:sz w:val="17"/>
        </w:rPr>
      </w:pPr>
    </w:p>
    <w:p w14:paraId="558FF10A" w14:textId="77777777" w:rsidR="00A71EEF" w:rsidRDefault="0081115D">
      <w:pPr>
        <w:pStyle w:val="a3"/>
        <w:spacing w:line="446" w:lineRule="auto"/>
        <w:ind w:left="418" w:right="1609" w:firstLine="419"/>
      </w:pPr>
      <w:r>
        <w:t>施工单位应向居住和使用者进行消防宣传教育，告知建筑消防设施、疏散通道的位置及使用方法，同时应组织疏散演练。</w:t>
      </w:r>
      <w:r>
        <w:t xml:space="preserve"> </w:t>
      </w:r>
    </w:p>
    <w:p w14:paraId="0E1EF204" w14:textId="77777777" w:rsidR="00A71EEF" w:rsidRDefault="0081115D">
      <w:pPr>
        <w:pStyle w:val="a3"/>
        <w:spacing w:line="446" w:lineRule="auto"/>
        <w:ind w:left="418" w:right="1609" w:firstLine="419"/>
      </w:pPr>
      <w:r>
        <w:t>外脚手架搭设不应影响安全疏散、消防车正常通行及灭火救援操作，外脚手架搭设长度不应超过该建筑物外立面周长的</w:t>
      </w:r>
      <w:r>
        <w:t xml:space="preserve"> 1</w:t>
      </w:r>
      <w:r>
        <w:t>／</w:t>
      </w:r>
      <w:r>
        <w:t>2</w:t>
      </w:r>
      <w:r>
        <w:t>。</w:t>
      </w:r>
      <w:r>
        <w:t xml:space="preserve"> </w:t>
      </w:r>
    </w:p>
    <w:p w14:paraId="54372DB6" w14:textId="77777777" w:rsidR="00A71EEF" w:rsidRDefault="0081115D">
      <w:pPr>
        <w:pStyle w:val="a4"/>
        <w:numPr>
          <w:ilvl w:val="2"/>
          <w:numId w:val="452"/>
        </w:numPr>
        <w:tabs>
          <w:tab w:val="left" w:pos="1371"/>
        </w:tabs>
        <w:spacing w:line="446" w:lineRule="auto"/>
        <w:ind w:left="418" w:right="1498" w:firstLine="422"/>
        <w:rPr>
          <w:sz w:val="21"/>
        </w:rPr>
      </w:pPr>
      <w:r>
        <w:rPr>
          <w:spacing w:val="-3"/>
          <w:sz w:val="21"/>
        </w:rPr>
        <w:t>外脚手架、支模架的架体宜采用不燃或难燃材料搭设，下列工程的外脚手架、支模架的架体应采用不燃材料搭设：</w:t>
      </w:r>
      <w:r>
        <w:rPr>
          <w:sz w:val="21"/>
        </w:rPr>
        <w:t xml:space="preserve"> </w:t>
      </w:r>
    </w:p>
    <w:p w14:paraId="63E18A0A" w14:textId="77777777" w:rsidR="00A71EEF" w:rsidRDefault="0081115D">
      <w:pPr>
        <w:pStyle w:val="a4"/>
        <w:numPr>
          <w:ilvl w:val="0"/>
          <w:numId w:val="450"/>
        </w:numPr>
        <w:tabs>
          <w:tab w:val="left" w:pos="1367"/>
        </w:tabs>
        <w:spacing w:line="267" w:lineRule="exact"/>
        <w:rPr>
          <w:sz w:val="21"/>
        </w:rPr>
      </w:pPr>
      <w:r>
        <w:rPr>
          <w:spacing w:val="-3"/>
          <w:sz w:val="21"/>
        </w:rPr>
        <w:t>高层建筑。</w:t>
      </w:r>
      <w:r>
        <w:rPr>
          <w:sz w:val="21"/>
        </w:rPr>
        <w:t xml:space="preserve"> </w:t>
      </w:r>
    </w:p>
    <w:p w14:paraId="5E798330" w14:textId="77777777" w:rsidR="00A71EEF" w:rsidRDefault="00A71EEF">
      <w:pPr>
        <w:pStyle w:val="a3"/>
        <w:spacing w:before="2"/>
        <w:rPr>
          <w:sz w:val="18"/>
        </w:rPr>
      </w:pPr>
    </w:p>
    <w:p w14:paraId="76AAB54E" w14:textId="77777777" w:rsidR="00A71EEF" w:rsidRDefault="0081115D">
      <w:pPr>
        <w:pStyle w:val="a4"/>
        <w:numPr>
          <w:ilvl w:val="0"/>
          <w:numId w:val="450"/>
        </w:numPr>
        <w:tabs>
          <w:tab w:val="left" w:pos="1367"/>
        </w:tabs>
        <w:rPr>
          <w:sz w:val="21"/>
        </w:rPr>
      </w:pPr>
      <w:r>
        <w:rPr>
          <w:spacing w:val="-3"/>
          <w:sz w:val="21"/>
        </w:rPr>
        <w:t>既有建筑改造工程。</w:t>
      </w:r>
      <w:r>
        <w:rPr>
          <w:sz w:val="21"/>
        </w:rPr>
        <w:t xml:space="preserve"> </w:t>
      </w:r>
    </w:p>
    <w:p w14:paraId="0DFA6E9F" w14:textId="77777777" w:rsidR="00A71EEF" w:rsidRDefault="00A71EEF">
      <w:pPr>
        <w:pStyle w:val="a3"/>
        <w:spacing w:before="12"/>
        <w:rPr>
          <w:sz w:val="17"/>
        </w:rPr>
      </w:pPr>
    </w:p>
    <w:p w14:paraId="5B7271D9" w14:textId="77777777" w:rsidR="00A71EEF" w:rsidRDefault="0081115D">
      <w:pPr>
        <w:pStyle w:val="a4"/>
        <w:numPr>
          <w:ilvl w:val="2"/>
          <w:numId w:val="452"/>
        </w:numPr>
        <w:tabs>
          <w:tab w:val="left" w:pos="1370"/>
        </w:tabs>
        <w:ind w:left="1369" w:hanging="530"/>
        <w:rPr>
          <w:sz w:val="21"/>
        </w:rPr>
      </w:pPr>
      <w:r>
        <w:rPr>
          <w:spacing w:val="-3"/>
          <w:sz w:val="21"/>
        </w:rPr>
        <w:t>下列安全防护网应采用阻燃型安全防护网：</w:t>
      </w:r>
      <w:r>
        <w:rPr>
          <w:sz w:val="21"/>
        </w:rPr>
        <w:t xml:space="preserve"> </w:t>
      </w:r>
    </w:p>
    <w:p w14:paraId="5086727D" w14:textId="77777777" w:rsidR="00A71EEF" w:rsidRDefault="00A71EEF">
      <w:pPr>
        <w:pStyle w:val="a3"/>
        <w:rPr>
          <w:sz w:val="18"/>
        </w:rPr>
      </w:pPr>
    </w:p>
    <w:p w14:paraId="50E30B63" w14:textId="77777777" w:rsidR="00A71EEF" w:rsidRDefault="0081115D">
      <w:pPr>
        <w:pStyle w:val="a4"/>
        <w:numPr>
          <w:ilvl w:val="0"/>
          <w:numId w:val="449"/>
        </w:numPr>
        <w:tabs>
          <w:tab w:val="left" w:pos="1367"/>
        </w:tabs>
        <w:rPr>
          <w:sz w:val="21"/>
        </w:rPr>
      </w:pPr>
      <w:r>
        <w:rPr>
          <w:spacing w:val="-3"/>
          <w:sz w:val="21"/>
        </w:rPr>
        <w:t>高层建筑外脚手架的安全防护网。</w:t>
      </w:r>
      <w:r>
        <w:rPr>
          <w:sz w:val="21"/>
        </w:rPr>
        <w:t xml:space="preserve"> </w:t>
      </w:r>
    </w:p>
    <w:p w14:paraId="3138B6F9" w14:textId="77777777" w:rsidR="00A71EEF" w:rsidRDefault="00A71EEF">
      <w:pPr>
        <w:pStyle w:val="a3"/>
        <w:spacing w:before="2"/>
        <w:rPr>
          <w:sz w:val="18"/>
        </w:rPr>
      </w:pPr>
    </w:p>
    <w:p w14:paraId="67D03869" w14:textId="77777777" w:rsidR="00A71EEF" w:rsidRDefault="0081115D">
      <w:pPr>
        <w:pStyle w:val="a4"/>
        <w:numPr>
          <w:ilvl w:val="0"/>
          <w:numId w:val="449"/>
        </w:numPr>
        <w:tabs>
          <w:tab w:val="left" w:pos="1367"/>
        </w:tabs>
        <w:rPr>
          <w:sz w:val="21"/>
        </w:rPr>
      </w:pPr>
      <w:r>
        <w:rPr>
          <w:spacing w:val="-3"/>
          <w:sz w:val="21"/>
        </w:rPr>
        <w:t>既有建筑外墙改造时，其外脚手架的安全防护网。</w:t>
      </w:r>
      <w:r>
        <w:rPr>
          <w:sz w:val="21"/>
        </w:rPr>
        <w:t xml:space="preserve"> </w:t>
      </w:r>
    </w:p>
    <w:p w14:paraId="3A10F8B3" w14:textId="77777777" w:rsidR="00A71EEF" w:rsidRDefault="00A71EEF">
      <w:pPr>
        <w:pStyle w:val="a3"/>
        <w:rPr>
          <w:sz w:val="18"/>
        </w:rPr>
      </w:pPr>
    </w:p>
    <w:p w14:paraId="3821BBBA" w14:textId="77777777" w:rsidR="00A71EEF" w:rsidRDefault="0081115D">
      <w:pPr>
        <w:pStyle w:val="a4"/>
        <w:numPr>
          <w:ilvl w:val="0"/>
          <w:numId w:val="449"/>
        </w:numPr>
        <w:tabs>
          <w:tab w:val="left" w:pos="1367"/>
        </w:tabs>
        <w:rPr>
          <w:sz w:val="21"/>
        </w:rPr>
      </w:pPr>
      <w:r>
        <w:rPr>
          <w:spacing w:val="-3"/>
          <w:sz w:val="21"/>
        </w:rPr>
        <w:t>临时疏散通</w:t>
      </w:r>
      <w:r>
        <w:rPr>
          <w:spacing w:val="-3"/>
          <w:sz w:val="21"/>
        </w:rPr>
        <w:t>道的安全防护网。</w:t>
      </w:r>
      <w:r>
        <w:rPr>
          <w:sz w:val="21"/>
        </w:rPr>
        <w:t xml:space="preserve"> </w:t>
      </w:r>
    </w:p>
    <w:p w14:paraId="012B9A1A" w14:textId="77777777" w:rsidR="00A71EEF" w:rsidRDefault="00A71EEF">
      <w:pPr>
        <w:pStyle w:val="a3"/>
        <w:spacing w:before="12"/>
        <w:rPr>
          <w:sz w:val="17"/>
        </w:rPr>
      </w:pPr>
    </w:p>
    <w:p w14:paraId="00C38E86" w14:textId="77777777" w:rsidR="00A71EEF" w:rsidRDefault="0081115D">
      <w:pPr>
        <w:pStyle w:val="a4"/>
        <w:numPr>
          <w:ilvl w:val="2"/>
          <w:numId w:val="452"/>
        </w:numPr>
        <w:tabs>
          <w:tab w:val="left" w:pos="1370"/>
        </w:tabs>
        <w:spacing w:line="446" w:lineRule="auto"/>
        <w:ind w:left="418" w:right="1813" w:firstLine="422"/>
        <w:rPr>
          <w:sz w:val="21"/>
        </w:rPr>
      </w:pPr>
      <w:r>
        <w:rPr>
          <w:spacing w:val="-3"/>
          <w:sz w:val="21"/>
        </w:rPr>
        <w:t>作业场所应设置明显的疏散指示标志，其指示方向应指向最近的临时疏散通道入口。</w:t>
      </w:r>
      <w:r>
        <w:rPr>
          <w:sz w:val="21"/>
        </w:rPr>
        <w:t xml:space="preserve"> </w:t>
      </w:r>
    </w:p>
    <w:p w14:paraId="693F4B33" w14:textId="77777777" w:rsidR="00A71EEF" w:rsidRDefault="0081115D">
      <w:pPr>
        <w:pStyle w:val="a4"/>
        <w:numPr>
          <w:ilvl w:val="2"/>
          <w:numId w:val="452"/>
        </w:numPr>
        <w:tabs>
          <w:tab w:val="left" w:pos="1371"/>
        </w:tabs>
        <w:rPr>
          <w:sz w:val="21"/>
        </w:rPr>
      </w:pPr>
      <w:r>
        <w:rPr>
          <w:spacing w:val="-3"/>
          <w:sz w:val="21"/>
        </w:rPr>
        <w:t>作业层的醒目位置应设置安全疏散示意图。</w:t>
      </w:r>
      <w:r>
        <w:rPr>
          <w:sz w:val="21"/>
        </w:rPr>
        <w:t xml:space="preserve"> </w:t>
      </w:r>
    </w:p>
    <w:p w14:paraId="3C34C26C" w14:textId="77777777" w:rsidR="00A71EEF" w:rsidRDefault="00A71EEF">
      <w:pPr>
        <w:pStyle w:val="a3"/>
        <w:spacing w:before="8"/>
        <w:rPr>
          <w:sz w:val="15"/>
        </w:rPr>
      </w:pPr>
    </w:p>
    <w:p w14:paraId="4F138120" w14:textId="77777777" w:rsidR="00A71EEF" w:rsidRDefault="0081115D">
      <w:pPr>
        <w:pStyle w:val="4"/>
        <w:ind w:left="0" w:right="8419"/>
        <w:jc w:val="right"/>
      </w:pPr>
      <w:r>
        <w:t>5</w:t>
      </w:r>
      <w:r>
        <w:rPr>
          <w:spacing w:val="-1"/>
        </w:rPr>
        <w:t xml:space="preserve"> </w:t>
      </w:r>
      <w:r>
        <w:rPr>
          <w:spacing w:val="-1"/>
        </w:rPr>
        <w:t>临时消防设施</w:t>
      </w:r>
      <w:r>
        <w:rPr>
          <w:spacing w:val="-1"/>
          <w:w w:val="99"/>
        </w:rPr>
        <w:t xml:space="preserve"> </w:t>
      </w:r>
    </w:p>
    <w:p w14:paraId="3A4D84F0" w14:textId="77777777" w:rsidR="00A71EEF" w:rsidRDefault="00A71EEF">
      <w:pPr>
        <w:pStyle w:val="a3"/>
        <w:spacing w:before="6"/>
        <w:rPr>
          <w:b/>
          <w:sz w:val="17"/>
        </w:rPr>
      </w:pPr>
    </w:p>
    <w:p w14:paraId="4AF1BCA2" w14:textId="77777777" w:rsidR="00A71EEF" w:rsidRDefault="0081115D">
      <w:pPr>
        <w:pStyle w:val="a4"/>
        <w:numPr>
          <w:ilvl w:val="1"/>
          <w:numId w:val="448"/>
        </w:numPr>
        <w:tabs>
          <w:tab w:val="left" w:pos="318"/>
        </w:tabs>
        <w:ind w:right="8436" w:hanging="1159"/>
        <w:jc w:val="right"/>
        <w:rPr>
          <w:b/>
          <w:sz w:val="21"/>
        </w:rPr>
      </w:pPr>
      <w:r>
        <w:rPr>
          <w:spacing w:val="-3"/>
          <w:sz w:val="21"/>
        </w:rPr>
        <w:t>一般规定</w:t>
      </w:r>
      <w:r>
        <w:rPr>
          <w:b/>
          <w:w w:val="99"/>
          <w:sz w:val="21"/>
        </w:rPr>
        <w:t xml:space="preserve"> </w:t>
      </w:r>
    </w:p>
    <w:p w14:paraId="36DE7DB3" w14:textId="77777777" w:rsidR="00A71EEF" w:rsidRDefault="00A71EEF">
      <w:pPr>
        <w:pStyle w:val="a3"/>
        <w:rPr>
          <w:b/>
          <w:sz w:val="18"/>
        </w:rPr>
      </w:pPr>
    </w:p>
    <w:p w14:paraId="1089169E" w14:textId="77777777" w:rsidR="00A71EEF" w:rsidRDefault="0081115D">
      <w:pPr>
        <w:pStyle w:val="a4"/>
        <w:numPr>
          <w:ilvl w:val="2"/>
          <w:numId w:val="448"/>
        </w:numPr>
        <w:tabs>
          <w:tab w:val="left" w:pos="1371"/>
        </w:tabs>
        <w:rPr>
          <w:sz w:val="21"/>
        </w:rPr>
      </w:pPr>
      <w:r>
        <w:rPr>
          <w:spacing w:val="-3"/>
          <w:sz w:val="21"/>
        </w:rPr>
        <w:t>施工现场应设置灭火器、临时消防给水系统和应急照明等临时消防设施。</w:t>
      </w:r>
      <w:r>
        <w:rPr>
          <w:spacing w:val="-3"/>
          <w:sz w:val="21"/>
        </w:rPr>
        <w:t xml:space="preserve"> </w:t>
      </w:r>
    </w:p>
    <w:p w14:paraId="76357606" w14:textId="77777777" w:rsidR="00A71EEF" w:rsidRDefault="00A71EEF">
      <w:pPr>
        <w:pStyle w:val="a3"/>
        <w:rPr>
          <w:sz w:val="18"/>
        </w:rPr>
      </w:pPr>
    </w:p>
    <w:p w14:paraId="7BFDC115" w14:textId="77777777" w:rsidR="00A71EEF" w:rsidRDefault="0081115D">
      <w:pPr>
        <w:pStyle w:val="a4"/>
        <w:numPr>
          <w:ilvl w:val="2"/>
          <w:numId w:val="448"/>
        </w:numPr>
        <w:tabs>
          <w:tab w:val="left" w:pos="1370"/>
        </w:tabs>
        <w:spacing w:line="446" w:lineRule="auto"/>
        <w:ind w:left="418" w:right="1604" w:firstLine="422"/>
        <w:rPr>
          <w:sz w:val="21"/>
        </w:rPr>
      </w:pPr>
      <w:r>
        <w:rPr>
          <w:spacing w:val="-3"/>
          <w:sz w:val="21"/>
        </w:rPr>
        <w:t>临时消防设施应与在建工程的施工同步设置。房屋建筑工程中，临时消防设施的设置与在建工程主体结构施工进度的差距不应超过</w:t>
      </w:r>
      <w:r>
        <w:rPr>
          <w:spacing w:val="-3"/>
          <w:sz w:val="21"/>
        </w:rPr>
        <w:t xml:space="preserve"> 3</w:t>
      </w:r>
      <w:r>
        <w:rPr>
          <w:spacing w:val="-2"/>
          <w:sz w:val="21"/>
        </w:rPr>
        <w:t xml:space="preserve"> </w:t>
      </w:r>
      <w:r>
        <w:rPr>
          <w:spacing w:val="-2"/>
          <w:sz w:val="21"/>
        </w:rPr>
        <w:t>层。</w:t>
      </w:r>
      <w:r>
        <w:rPr>
          <w:sz w:val="21"/>
        </w:rPr>
        <w:t xml:space="preserve"> </w:t>
      </w:r>
    </w:p>
    <w:p w14:paraId="50E53B0A" w14:textId="77777777" w:rsidR="00A71EEF" w:rsidRDefault="00A71EEF">
      <w:pPr>
        <w:spacing w:line="446" w:lineRule="auto"/>
        <w:rPr>
          <w:sz w:val="21"/>
        </w:rPr>
        <w:sectPr w:rsidR="00A71EEF">
          <w:pgSz w:w="11910" w:h="16850"/>
          <w:pgMar w:top="1220" w:right="0" w:bottom="1420" w:left="1260" w:header="0" w:footer="1239" w:gutter="0"/>
          <w:cols w:space="720"/>
        </w:sectPr>
      </w:pPr>
    </w:p>
    <w:p w14:paraId="0516C494" w14:textId="77777777" w:rsidR="00A71EEF" w:rsidRDefault="0081115D">
      <w:pPr>
        <w:pStyle w:val="a4"/>
        <w:numPr>
          <w:ilvl w:val="2"/>
          <w:numId w:val="448"/>
        </w:numPr>
        <w:tabs>
          <w:tab w:val="left" w:pos="1370"/>
        </w:tabs>
        <w:spacing w:before="47" w:line="446" w:lineRule="auto"/>
        <w:ind w:left="418" w:right="1604" w:firstLine="422"/>
        <w:jc w:val="both"/>
        <w:rPr>
          <w:sz w:val="21"/>
        </w:rPr>
      </w:pPr>
      <w:r>
        <w:rPr>
          <w:spacing w:val="-3"/>
          <w:sz w:val="21"/>
        </w:rPr>
        <w:t>在建工程可利用已具备使用条件的永久性消防设施作为临时消防设施。当永久性消防设施无法满足使用要求时，应增设临时消防设施，并应符合本规范第</w:t>
      </w:r>
      <w:r>
        <w:rPr>
          <w:spacing w:val="-3"/>
          <w:sz w:val="21"/>
        </w:rPr>
        <w:t xml:space="preserve"> </w:t>
      </w:r>
      <w:r>
        <w:rPr>
          <w:sz w:val="21"/>
        </w:rPr>
        <w:t>5.2</w:t>
      </w:r>
      <w:r>
        <w:rPr>
          <w:sz w:val="21"/>
        </w:rPr>
        <w:t>～</w:t>
      </w:r>
      <w:r>
        <w:rPr>
          <w:sz w:val="21"/>
        </w:rPr>
        <w:t xml:space="preserve">5.4 </w:t>
      </w:r>
      <w:r>
        <w:rPr>
          <w:sz w:val="21"/>
        </w:rPr>
        <w:t>节的有关规</w:t>
      </w:r>
      <w:r>
        <w:rPr>
          <w:spacing w:val="-2"/>
          <w:sz w:val="21"/>
        </w:rPr>
        <w:t>定。</w:t>
      </w:r>
      <w:r>
        <w:rPr>
          <w:sz w:val="21"/>
        </w:rPr>
        <w:t xml:space="preserve"> </w:t>
      </w:r>
    </w:p>
    <w:p w14:paraId="5580225A" w14:textId="77777777" w:rsidR="00A71EEF" w:rsidRDefault="0081115D">
      <w:pPr>
        <w:pStyle w:val="a4"/>
        <w:numPr>
          <w:ilvl w:val="2"/>
          <w:numId w:val="448"/>
        </w:numPr>
        <w:tabs>
          <w:tab w:val="left" w:pos="1370"/>
        </w:tabs>
        <w:spacing w:line="446" w:lineRule="auto"/>
        <w:ind w:left="418" w:right="1604" w:firstLine="422"/>
        <w:rPr>
          <w:sz w:val="21"/>
        </w:rPr>
      </w:pPr>
      <w:r>
        <w:rPr>
          <w:spacing w:val="-3"/>
          <w:sz w:val="21"/>
        </w:rPr>
        <w:t>施工现场的消火栓泵应采用专用消防配电线路。专用消防配电线路应自施工现场总配电箱的总断路器上端接入，且应保持不间断供电。</w:t>
      </w:r>
      <w:r>
        <w:rPr>
          <w:spacing w:val="-3"/>
          <w:sz w:val="21"/>
        </w:rPr>
        <w:t xml:space="preserve"> </w:t>
      </w:r>
    </w:p>
    <w:p w14:paraId="2FB2C691" w14:textId="77777777" w:rsidR="00A71EEF" w:rsidRDefault="0081115D">
      <w:pPr>
        <w:pStyle w:val="a4"/>
        <w:numPr>
          <w:ilvl w:val="2"/>
          <w:numId w:val="448"/>
        </w:numPr>
        <w:tabs>
          <w:tab w:val="left" w:pos="1371"/>
        </w:tabs>
        <w:spacing w:line="267" w:lineRule="exact"/>
        <w:rPr>
          <w:sz w:val="21"/>
        </w:rPr>
      </w:pPr>
      <w:r>
        <w:rPr>
          <w:spacing w:val="-3"/>
          <w:sz w:val="21"/>
        </w:rPr>
        <w:t>地下工程的施工作业场所宜配备防毒面具。</w:t>
      </w:r>
      <w:r>
        <w:rPr>
          <w:sz w:val="21"/>
        </w:rPr>
        <w:t xml:space="preserve"> </w:t>
      </w:r>
    </w:p>
    <w:p w14:paraId="7878636B" w14:textId="77777777" w:rsidR="00A71EEF" w:rsidRDefault="00A71EEF">
      <w:pPr>
        <w:pStyle w:val="a3"/>
        <w:spacing w:before="1"/>
        <w:rPr>
          <w:sz w:val="18"/>
        </w:rPr>
      </w:pPr>
    </w:p>
    <w:p w14:paraId="3D8AE94C" w14:textId="77777777" w:rsidR="00A71EEF" w:rsidRDefault="0081115D">
      <w:pPr>
        <w:pStyle w:val="a4"/>
        <w:numPr>
          <w:ilvl w:val="2"/>
          <w:numId w:val="448"/>
        </w:numPr>
        <w:tabs>
          <w:tab w:val="left" w:pos="1370"/>
        </w:tabs>
        <w:spacing w:line="446" w:lineRule="auto"/>
        <w:ind w:left="418" w:right="1498" w:firstLine="422"/>
        <w:rPr>
          <w:sz w:val="21"/>
        </w:rPr>
      </w:pPr>
      <w:r>
        <w:rPr>
          <w:spacing w:val="-3"/>
          <w:sz w:val="21"/>
        </w:rPr>
        <w:t>临时消防给水系统的贮水池、消火栓泵、室内消防竖管及水泵接合器等应设置醒目标识。</w:t>
      </w:r>
      <w:r>
        <w:rPr>
          <w:sz w:val="21"/>
        </w:rPr>
        <w:t xml:space="preserve"> </w:t>
      </w:r>
    </w:p>
    <w:p w14:paraId="1524D1F8" w14:textId="77777777" w:rsidR="00A71EEF" w:rsidRDefault="0081115D">
      <w:pPr>
        <w:pStyle w:val="a4"/>
        <w:numPr>
          <w:ilvl w:val="1"/>
          <w:numId w:val="448"/>
        </w:numPr>
        <w:tabs>
          <w:tab w:val="left" w:pos="1159"/>
        </w:tabs>
        <w:spacing w:line="267" w:lineRule="exact"/>
        <w:ind w:hanging="319"/>
        <w:rPr>
          <w:b/>
          <w:sz w:val="21"/>
        </w:rPr>
      </w:pPr>
      <w:r>
        <w:rPr>
          <w:spacing w:val="-3"/>
          <w:sz w:val="21"/>
        </w:rPr>
        <w:t>灭火器</w:t>
      </w:r>
      <w:r>
        <w:rPr>
          <w:b/>
          <w:w w:val="99"/>
          <w:sz w:val="21"/>
        </w:rPr>
        <w:t xml:space="preserve"> </w:t>
      </w:r>
    </w:p>
    <w:p w14:paraId="4097C3E7" w14:textId="77777777" w:rsidR="00A71EEF" w:rsidRDefault="00A71EEF">
      <w:pPr>
        <w:pStyle w:val="a3"/>
        <w:spacing w:before="2"/>
        <w:rPr>
          <w:b/>
          <w:sz w:val="18"/>
        </w:rPr>
      </w:pPr>
    </w:p>
    <w:p w14:paraId="19434039" w14:textId="77777777" w:rsidR="00A71EEF" w:rsidRDefault="0081115D">
      <w:pPr>
        <w:pStyle w:val="a4"/>
        <w:numPr>
          <w:ilvl w:val="2"/>
          <w:numId w:val="448"/>
        </w:numPr>
        <w:tabs>
          <w:tab w:val="left" w:pos="1424"/>
        </w:tabs>
        <w:ind w:left="1423" w:hanging="584"/>
        <w:rPr>
          <w:b/>
          <w:sz w:val="21"/>
        </w:rPr>
      </w:pPr>
      <w:r>
        <w:rPr>
          <w:spacing w:val="-3"/>
          <w:sz w:val="21"/>
        </w:rPr>
        <w:t>在建工程及临时用房的下列场所应配置灭火器：</w:t>
      </w:r>
      <w:r>
        <w:rPr>
          <w:b/>
          <w:w w:val="99"/>
          <w:sz w:val="21"/>
        </w:rPr>
        <w:t xml:space="preserve"> </w:t>
      </w:r>
    </w:p>
    <w:p w14:paraId="4403933D" w14:textId="77777777" w:rsidR="00A71EEF" w:rsidRDefault="00A71EEF">
      <w:pPr>
        <w:pStyle w:val="a3"/>
        <w:spacing w:before="12"/>
        <w:rPr>
          <w:b/>
          <w:sz w:val="17"/>
        </w:rPr>
      </w:pPr>
    </w:p>
    <w:p w14:paraId="58345E68" w14:textId="77777777" w:rsidR="00A71EEF" w:rsidRDefault="0081115D">
      <w:pPr>
        <w:pStyle w:val="a4"/>
        <w:numPr>
          <w:ilvl w:val="0"/>
          <w:numId w:val="447"/>
        </w:numPr>
        <w:tabs>
          <w:tab w:val="left" w:pos="1367"/>
        </w:tabs>
        <w:rPr>
          <w:b/>
          <w:sz w:val="21"/>
        </w:rPr>
      </w:pPr>
      <w:r>
        <w:rPr>
          <w:spacing w:val="-3"/>
          <w:sz w:val="21"/>
        </w:rPr>
        <w:t>易燃易爆危险品存放及使用场所。</w:t>
      </w:r>
      <w:r>
        <w:rPr>
          <w:b/>
          <w:w w:val="99"/>
          <w:sz w:val="21"/>
        </w:rPr>
        <w:t xml:space="preserve"> </w:t>
      </w:r>
    </w:p>
    <w:p w14:paraId="6C168E0D" w14:textId="77777777" w:rsidR="00A71EEF" w:rsidRDefault="00A71EEF">
      <w:pPr>
        <w:pStyle w:val="a3"/>
        <w:rPr>
          <w:b/>
          <w:sz w:val="18"/>
        </w:rPr>
      </w:pPr>
    </w:p>
    <w:p w14:paraId="3854737F" w14:textId="77777777" w:rsidR="00A71EEF" w:rsidRDefault="0081115D">
      <w:pPr>
        <w:pStyle w:val="a4"/>
        <w:numPr>
          <w:ilvl w:val="0"/>
          <w:numId w:val="447"/>
        </w:numPr>
        <w:tabs>
          <w:tab w:val="left" w:pos="1367"/>
        </w:tabs>
        <w:rPr>
          <w:sz w:val="21"/>
        </w:rPr>
      </w:pPr>
      <w:r>
        <w:rPr>
          <w:spacing w:val="-3"/>
          <w:sz w:val="21"/>
        </w:rPr>
        <w:t>动火作业场所。</w:t>
      </w:r>
      <w:r>
        <w:rPr>
          <w:sz w:val="21"/>
        </w:rPr>
        <w:t xml:space="preserve"> </w:t>
      </w:r>
    </w:p>
    <w:p w14:paraId="1ADFA2D6" w14:textId="77777777" w:rsidR="00A71EEF" w:rsidRDefault="00A71EEF">
      <w:pPr>
        <w:pStyle w:val="a3"/>
        <w:spacing w:before="2"/>
        <w:rPr>
          <w:sz w:val="18"/>
        </w:rPr>
      </w:pPr>
    </w:p>
    <w:p w14:paraId="10769B1A" w14:textId="77777777" w:rsidR="00A71EEF" w:rsidRDefault="0081115D">
      <w:pPr>
        <w:pStyle w:val="a4"/>
        <w:numPr>
          <w:ilvl w:val="0"/>
          <w:numId w:val="447"/>
        </w:numPr>
        <w:tabs>
          <w:tab w:val="left" w:pos="1367"/>
        </w:tabs>
        <w:rPr>
          <w:sz w:val="21"/>
        </w:rPr>
      </w:pPr>
      <w:r>
        <w:rPr>
          <w:spacing w:val="-3"/>
          <w:sz w:val="21"/>
        </w:rPr>
        <w:t>可燃材料存放、加工及使用场所。</w:t>
      </w:r>
      <w:r>
        <w:rPr>
          <w:sz w:val="21"/>
        </w:rPr>
        <w:t xml:space="preserve"> </w:t>
      </w:r>
    </w:p>
    <w:p w14:paraId="3128E021" w14:textId="77777777" w:rsidR="00A71EEF" w:rsidRDefault="00A71EEF">
      <w:pPr>
        <w:pStyle w:val="a3"/>
        <w:rPr>
          <w:sz w:val="18"/>
        </w:rPr>
      </w:pPr>
    </w:p>
    <w:p w14:paraId="082B27DC" w14:textId="77777777" w:rsidR="00A71EEF" w:rsidRDefault="0081115D">
      <w:pPr>
        <w:pStyle w:val="a4"/>
        <w:numPr>
          <w:ilvl w:val="0"/>
          <w:numId w:val="447"/>
        </w:numPr>
        <w:tabs>
          <w:tab w:val="left" w:pos="1367"/>
        </w:tabs>
        <w:spacing w:line="446" w:lineRule="auto"/>
        <w:ind w:left="418" w:right="1714" w:firstLine="419"/>
        <w:rPr>
          <w:sz w:val="21"/>
        </w:rPr>
      </w:pPr>
      <w:r>
        <w:rPr>
          <w:spacing w:val="-3"/>
          <w:sz w:val="21"/>
        </w:rPr>
        <w:t>厨房操作间、锅炉房、发电机房、变配电房、设备用房、办公用房、宿舍等临时用房。</w:t>
      </w:r>
      <w:r>
        <w:rPr>
          <w:sz w:val="21"/>
        </w:rPr>
        <w:t xml:space="preserve"> </w:t>
      </w:r>
    </w:p>
    <w:p w14:paraId="7AA4DC8A" w14:textId="77777777" w:rsidR="00A71EEF" w:rsidRDefault="0081115D">
      <w:pPr>
        <w:pStyle w:val="a4"/>
        <w:numPr>
          <w:ilvl w:val="0"/>
          <w:numId w:val="447"/>
        </w:numPr>
        <w:tabs>
          <w:tab w:val="left" w:pos="1367"/>
        </w:tabs>
        <w:rPr>
          <w:sz w:val="21"/>
        </w:rPr>
      </w:pPr>
      <w:r>
        <w:rPr>
          <w:spacing w:val="-3"/>
          <w:sz w:val="21"/>
        </w:rPr>
        <w:t>其他具有火灾危险的场所。</w:t>
      </w:r>
      <w:r>
        <w:rPr>
          <w:sz w:val="21"/>
        </w:rPr>
        <w:t xml:space="preserve"> </w:t>
      </w:r>
    </w:p>
    <w:p w14:paraId="21AD8E20" w14:textId="77777777" w:rsidR="00A71EEF" w:rsidRDefault="00A71EEF">
      <w:pPr>
        <w:pStyle w:val="a3"/>
        <w:spacing w:before="12"/>
        <w:rPr>
          <w:sz w:val="17"/>
        </w:rPr>
      </w:pPr>
    </w:p>
    <w:p w14:paraId="1A321BFF" w14:textId="77777777" w:rsidR="00A71EEF" w:rsidRDefault="0081115D">
      <w:pPr>
        <w:pStyle w:val="a4"/>
        <w:numPr>
          <w:ilvl w:val="2"/>
          <w:numId w:val="448"/>
        </w:numPr>
        <w:tabs>
          <w:tab w:val="left" w:pos="1371"/>
        </w:tabs>
        <w:rPr>
          <w:b/>
          <w:sz w:val="21"/>
        </w:rPr>
      </w:pPr>
      <w:r>
        <w:rPr>
          <w:spacing w:val="-3"/>
          <w:sz w:val="21"/>
        </w:rPr>
        <w:t>施工现场灭火器配置应符合下列规定：</w:t>
      </w:r>
      <w:r>
        <w:rPr>
          <w:b/>
          <w:spacing w:val="-3"/>
          <w:w w:val="99"/>
          <w:sz w:val="21"/>
        </w:rPr>
        <w:t xml:space="preserve"> </w:t>
      </w:r>
    </w:p>
    <w:p w14:paraId="0F68CC39" w14:textId="77777777" w:rsidR="00A71EEF" w:rsidRDefault="00A71EEF">
      <w:pPr>
        <w:pStyle w:val="a3"/>
        <w:spacing w:before="12"/>
        <w:rPr>
          <w:b/>
          <w:sz w:val="17"/>
        </w:rPr>
      </w:pPr>
    </w:p>
    <w:p w14:paraId="426F5E3B" w14:textId="77777777" w:rsidR="00A71EEF" w:rsidRDefault="0081115D">
      <w:pPr>
        <w:pStyle w:val="a3"/>
        <w:spacing w:line="446" w:lineRule="auto"/>
        <w:ind w:left="838" w:right="4446"/>
      </w:pPr>
      <w:r>
        <w:rPr>
          <w:noProof/>
        </w:rPr>
        <w:drawing>
          <wp:anchor distT="0" distB="0" distL="0" distR="0" simplePos="0" relativeHeight="251627008" behindDoc="0" locked="0" layoutInCell="1" allowOverlap="1" wp14:anchorId="12DAB071" wp14:editId="6AAFA87A">
            <wp:simplePos x="0" y="0"/>
            <wp:positionH relativeFrom="page">
              <wp:posOffset>1361184</wp:posOffset>
            </wp:positionH>
            <wp:positionV relativeFrom="paragraph">
              <wp:posOffset>716788</wp:posOffset>
            </wp:positionV>
            <wp:extent cx="4632265" cy="2555462"/>
            <wp:effectExtent l="0" t="0" r="0" b="0"/>
            <wp:wrapTopAndBottom/>
            <wp:docPr id="469" name="image2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275.jpeg"/>
                    <pic:cNvPicPr/>
                  </pic:nvPicPr>
                  <pic:blipFill>
                    <a:blip r:embed="rId325" cstate="print"/>
                    <a:stretch>
                      <a:fillRect/>
                    </a:stretch>
                  </pic:blipFill>
                  <pic:spPr>
                    <a:xfrm>
                      <a:off x="0" y="0"/>
                      <a:ext cx="4632265" cy="2555462"/>
                    </a:xfrm>
                    <a:prstGeom prst="rect">
                      <a:avLst/>
                    </a:prstGeom>
                  </pic:spPr>
                </pic:pic>
              </a:graphicData>
            </a:graphic>
          </wp:anchor>
        </w:drawing>
      </w:r>
      <w:r>
        <w:t>灭火器的类型应与配备场所可能发生的火灾类型相匹配。灭火器的最低配置标准应符合表</w:t>
      </w:r>
      <w:r>
        <w:t xml:space="preserve"> 5.2.2-1 </w:t>
      </w:r>
      <w:r>
        <w:t>的规定。</w:t>
      </w:r>
      <w:r>
        <w:t xml:space="preserve"> </w:t>
      </w:r>
    </w:p>
    <w:p w14:paraId="457EC7C3" w14:textId="77777777" w:rsidR="00A71EEF" w:rsidRDefault="00A71EEF">
      <w:pPr>
        <w:spacing w:line="446" w:lineRule="auto"/>
        <w:sectPr w:rsidR="00A71EEF">
          <w:footerReference w:type="default" r:id="rId326"/>
          <w:pgSz w:w="11910" w:h="16850"/>
          <w:pgMar w:top="1220" w:right="0" w:bottom="1420" w:left="1260" w:header="0" w:footer="1239" w:gutter="0"/>
          <w:pgNumType w:start="1240"/>
          <w:cols w:space="720"/>
        </w:sectPr>
      </w:pPr>
    </w:p>
    <w:p w14:paraId="2BC264E0" w14:textId="77777777" w:rsidR="00A71EEF" w:rsidRDefault="0081115D">
      <w:pPr>
        <w:pStyle w:val="a3"/>
        <w:ind w:left="817"/>
        <w:rPr>
          <w:sz w:val="20"/>
        </w:rPr>
      </w:pPr>
      <w:r>
        <w:rPr>
          <w:noProof/>
          <w:sz w:val="20"/>
        </w:rPr>
        <w:drawing>
          <wp:inline distT="0" distB="0" distL="0" distR="0" wp14:anchorId="6FDF50D2" wp14:editId="652C75D5">
            <wp:extent cx="4782265" cy="2095500"/>
            <wp:effectExtent l="0" t="0" r="0" b="0"/>
            <wp:docPr id="471" name="image2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276.jpeg"/>
                    <pic:cNvPicPr/>
                  </pic:nvPicPr>
                  <pic:blipFill>
                    <a:blip r:embed="rId327" cstate="print"/>
                    <a:stretch>
                      <a:fillRect/>
                    </a:stretch>
                  </pic:blipFill>
                  <pic:spPr>
                    <a:xfrm>
                      <a:off x="0" y="0"/>
                      <a:ext cx="4782265" cy="2095500"/>
                    </a:xfrm>
                    <a:prstGeom prst="rect">
                      <a:avLst/>
                    </a:prstGeom>
                  </pic:spPr>
                </pic:pic>
              </a:graphicData>
            </a:graphic>
          </wp:inline>
        </w:drawing>
      </w:r>
    </w:p>
    <w:p w14:paraId="5BA4A177" w14:textId="77777777" w:rsidR="00A71EEF" w:rsidRDefault="00A71EEF">
      <w:pPr>
        <w:pStyle w:val="a3"/>
        <w:spacing w:before="4"/>
        <w:rPr>
          <w:sz w:val="11"/>
        </w:rPr>
      </w:pPr>
    </w:p>
    <w:p w14:paraId="55D345FE" w14:textId="77777777" w:rsidR="00A71EEF" w:rsidRDefault="0081115D">
      <w:pPr>
        <w:pStyle w:val="a3"/>
        <w:spacing w:before="72" w:line="446" w:lineRule="auto"/>
        <w:ind w:left="418" w:right="1505" w:firstLine="419"/>
      </w:pPr>
      <w:r>
        <w:t>灭火器的配置数量应按现行国家标准《建筑灭火器配置设计规范》</w:t>
      </w:r>
      <w:r>
        <w:t xml:space="preserve">GB 50140 </w:t>
      </w:r>
      <w:r>
        <w:t>的有关规定经计算确定，且每个场所的灭火器数量不应少于</w:t>
      </w:r>
      <w:r>
        <w:t xml:space="preserve"> 2 </w:t>
      </w:r>
      <w:r>
        <w:t>具。</w:t>
      </w:r>
      <w:r>
        <w:t xml:space="preserve"> </w:t>
      </w:r>
    </w:p>
    <w:p w14:paraId="25311377" w14:textId="77777777" w:rsidR="00A71EEF" w:rsidRDefault="0081115D">
      <w:pPr>
        <w:pStyle w:val="a3"/>
        <w:ind w:left="838"/>
      </w:pPr>
      <w:r>
        <w:t xml:space="preserve"> </w:t>
      </w:r>
      <w:r>
        <w:t>灭火器的最大保护距离应符合表</w:t>
      </w:r>
      <w:r>
        <w:t xml:space="preserve"> 5.2.2-2 </w:t>
      </w:r>
      <w:r>
        <w:t>的规定。</w:t>
      </w:r>
      <w:r>
        <w:t xml:space="preserve"> </w:t>
      </w:r>
    </w:p>
    <w:p w14:paraId="66C48F2D" w14:textId="77777777" w:rsidR="00A71EEF" w:rsidRDefault="00A71EEF">
      <w:pPr>
        <w:pStyle w:val="a3"/>
        <w:rPr>
          <w:sz w:val="20"/>
        </w:rPr>
      </w:pPr>
    </w:p>
    <w:p w14:paraId="1DB58E1C" w14:textId="77777777" w:rsidR="00A71EEF" w:rsidRDefault="00A71EEF">
      <w:pPr>
        <w:pStyle w:val="a3"/>
        <w:rPr>
          <w:sz w:val="20"/>
        </w:rPr>
      </w:pPr>
    </w:p>
    <w:p w14:paraId="59199D10" w14:textId="77777777" w:rsidR="00A71EEF" w:rsidRDefault="00A71EEF">
      <w:pPr>
        <w:pStyle w:val="a3"/>
        <w:rPr>
          <w:sz w:val="20"/>
        </w:rPr>
      </w:pPr>
    </w:p>
    <w:p w14:paraId="46AB674C" w14:textId="77777777" w:rsidR="00A71EEF" w:rsidRDefault="00A71EEF">
      <w:pPr>
        <w:pStyle w:val="a3"/>
        <w:rPr>
          <w:sz w:val="20"/>
        </w:rPr>
      </w:pPr>
    </w:p>
    <w:p w14:paraId="38A6AB72" w14:textId="77777777" w:rsidR="00A71EEF" w:rsidRDefault="00A71EEF">
      <w:pPr>
        <w:pStyle w:val="a3"/>
        <w:rPr>
          <w:sz w:val="20"/>
        </w:rPr>
      </w:pPr>
    </w:p>
    <w:p w14:paraId="6D0C1046" w14:textId="77777777" w:rsidR="00A71EEF" w:rsidRDefault="00A71EEF">
      <w:pPr>
        <w:pStyle w:val="a3"/>
        <w:rPr>
          <w:sz w:val="20"/>
        </w:rPr>
      </w:pPr>
    </w:p>
    <w:p w14:paraId="02D941CC" w14:textId="77777777" w:rsidR="00A71EEF" w:rsidRDefault="00A71EEF">
      <w:pPr>
        <w:pStyle w:val="a3"/>
        <w:rPr>
          <w:sz w:val="20"/>
        </w:rPr>
      </w:pPr>
    </w:p>
    <w:p w14:paraId="63BDE608" w14:textId="77777777" w:rsidR="00A71EEF" w:rsidRDefault="00A71EEF">
      <w:pPr>
        <w:pStyle w:val="a3"/>
        <w:spacing w:before="8"/>
        <w:rPr>
          <w:sz w:val="28"/>
        </w:rPr>
      </w:pPr>
    </w:p>
    <w:p w14:paraId="072EA039" w14:textId="77777777" w:rsidR="00A71EEF" w:rsidRDefault="0081115D">
      <w:pPr>
        <w:pStyle w:val="a4"/>
        <w:numPr>
          <w:ilvl w:val="1"/>
          <w:numId w:val="448"/>
        </w:numPr>
        <w:tabs>
          <w:tab w:val="left" w:pos="1156"/>
        </w:tabs>
        <w:spacing w:before="72"/>
        <w:ind w:left="1155"/>
        <w:rPr>
          <w:sz w:val="21"/>
        </w:rPr>
      </w:pPr>
      <w:r>
        <w:rPr>
          <w:spacing w:val="-3"/>
          <w:sz w:val="21"/>
        </w:rPr>
        <w:t>临时消防给水系统</w:t>
      </w:r>
      <w:r>
        <w:rPr>
          <w:sz w:val="21"/>
        </w:rPr>
        <w:t xml:space="preserve"> </w:t>
      </w:r>
    </w:p>
    <w:p w14:paraId="22C5509F" w14:textId="77777777" w:rsidR="00A71EEF" w:rsidRDefault="00A71EEF">
      <w:pPr>
        <w:pStyle w:val="a3"/>
        <w:spacing w:before="12"/>
        <w:rPr>
          <w:sz w:val="17"/>
        </w:rPr>
      </w:pPr>
    </w:p>
    <w:p w14:paraId="06B2BA28" w14:textId="77777777" w:rsidR="00A71EEF" w:rsidRDefault="0081115D">
      <w:pPr>
        <w:pStyle w:val="a4"/>
        <w:numPr>
          <w:ilvl w:val="2"/>
          <w:numId w:val="448"/>
        </w:numPr>
        <w:tabs>
          <w:tab w:val="left" w:pos="1371"/>
        </w:tabs>
        <w:spacing w:line="446" w:lineRule="auto"/>
        <w:ind w:left="418" w:right="1498" w:firstLine="422"/>
        <w:rPr>
          <w:sz w:val="21"/>
        </w:rPr>
      </w:pPr>
      <w:r>
        <w:rPr>
          <w:spacing w:val="-3"/>
          <w:sz w:val="21"/>
        </w:rPr>
        <w:t>施工现场或其附近应设置稳定、可靠的水源，并应能满足施工现场临时消防用水的需要。</w:t>
      </w:r>
      <w:r>
        <w:rPr>
          <w:sz w:val="21"/>
        </w:rPr>
        <w:t xml:space="preserve"> </w:t>
      </w:r>
    </w:p>
    <w:p w14:paraId="119C5492" w14:textId="77777777" w:rsidR="00A71EEF" w:rsidRDefault="0081115D">
      <w:pPr>
        <w:pStyle w:val="a3"/>
        <w:spacing w:line="446" w:lineRule="auto"/>
        <w:ind w:left="418" w:right="1609" w:firstLine="419"/>
      </w:pPr>
      <w:r>
        <w:t>消防水源可采用市政给水管网或天然水源。当采用天然水源时，应采取确保冰冻季节、枯水期最低水位时顺利取水的措施，并应满足临时消防用水量的要求。</w:t>
      </w:r>
      <w:r>
        <w:t xml:space="preserve"> </w:t>
      </w:r>
    </w:p>
    <w:p w14:paraId="356515D1" w14:textId="77777777" w:rsidR="00A71EEF" w:rsidRDefault="0081115D">
      <w:pPr>
        <w:pStyle w:val="a4"/>
        <w:numPr>
          <w:ilvl w:val="2"/>
          <w:numId w:val="448"/>
        </w:numPr>
        <w:tabs>
          <w:tab w:val="left" w:pos="1424"/>
        </w:tabs>
        <w:spacing w:line="267" w:lineRule="exact"/>
        <w:ind w:left="1423" w:hanging="584"/>
        <w:rPr>
          <w:sz w:val="21"/>
        </w:rPr>
      </w:pPr>
      <w:r>
        <w:rPr>
          <w:spacing w:val="-3"/>
          <w:sz w:val="21"/>
        </w:rPr>
        <w:t>临时消防用水量应为临时室外消防用水量与临时室内消防用水量之和。</w:t>
      </w:r>
      <w:r>
        <w:rPr>
          <w:spacing w:val="-3"/>
          <w:sz w:val="21"/>
        </w:rPr>
        <w:t xml:space="preserve"> </w:t>
      </w:r>
    </w:p>
    <w:p w14:paraId="0202D649" w14:textId="77777777" w:rsidR="00A71EEF" w:rsidRDefault="00A71EEF">
      <w:pPr>
        <w:pStyle w:val="a3"/>
        <w:spacing w:before="2"/>
        <w:rPr>
          <w:sz w:val="18"/>
        </w:rPr>
      </w:pPr>
    </w:p>
    <w:p w14:paraId="41E35C73" w14:textId="77777777" w:rsidR="00A71EEF" w:rsidRDefault="0081115D">
      <w:pPr>
        <w:pStyle w:val="a4"/>
        <w:numPr>
          <w:ilvl w:val="2"/>
          <w:numId w:val="448"/>
        </w:numPr>
        <w:tabs>
          <w:tab w:val="left" w:pos="1424"/>
        </w:tabs>
        <w:spacing w:line="446" w:lineRule="auto"/>
        <w:ind w:left="418" w:right="1445" w:firstLine="422"/>
        <w:rPr>
          <w:sz w:val="21"/>
        </w:rPr>
      </w:pPr>
      <w:r>
        <w:rPr>
          <w:spacing w:val="-3"/>
          <w:sz w:val="21"/>
        </w:rPr>
        <w:t>临时室外消防用水量应按临时用房和在建工程的临时室外消防用水量的较大者确定，</w:t>
      </w:r>
      <w:r>
        <w:rPr>
          <w:spacing w:val="-3"/>
          <w:sz w:val="21"/>
        </w:rPr>
        <w:t xml:space="preserve"> </w:t>
      </w:r>
      <w:r>
        <w:rPr>
          <w:spacing w:val="-3"/>
          <w:sz w:val="21"/>
        </w:rPr>
        <w:t>施工现场火灾次数可按同时发生</w:t>
      </w:r>
      <w:r>
        <w:rPr>
          <w:spacing w:val="-3"/>
          <w:sz w:val="21"/>
        </w:rPr>
        <w:t xml:space="preserve"> </w:t>
      </w:r>
      <w:r>
        <w:rPr>
          <w:sz w:val="21"/>
        </w:rPr>
        <w:t>1</w:t>
      </w:r>
      <w:r>
        <w:rPr>
          <w:spacing w:val="-3"/>
          <w:sz w:val="21"/>
        </w:rPr>
        <w:t xml:space="preserve"> </w:t>
      </w:r>
      <w:r>
        <w:rPr>
          <w:spacing w:val="-3"/>
          <w:sz w:val="21"/>
        </w:rPr>
        <w:t>次确定。</w:t>
      </w:r>
      <w:r>
        <w:rPr>
          <w:sz w:val="21"/>
        </w:rPr>
        <w:t xml:space="preserve"> </w:t>
      </w:r>
    </w:p>
    <w:p w14:paraId="4A5E8EE1" w14:textId="77777777" w:rsidR="00A71EEF" w:rsidRDefault="0081115D">
      <w:pPr>
        <w:pStyle w:val="a4"/>
        <w:numPr>
          <w:ilvl w:val="2"/>
          <w:numId w:val="448"/>
        </w:numPr>
        <w:tabs>
          <w:tab w:val="left" w:pos="1424"/>
        </w:tabs>
        <w:spacing w:line="446" w:lineRule="auto"/>
        <w:ind w:left="418" w:right="1599" w:firstLine="422"/>
        <w:jc w:val="both"/>
        <w:rPr>
          <w:sz w:val="21"/>
        </w:rPr>
      </w:pPr>
      <w:r>
        <w:rPr>
          <w:spacing w:val="-2"/>
          <w:sz w:val="21"/>
        </w:rPr>
        <w:t>临时用房建筑面积之和大于</w:t>
      </w:r>
      <w:r>
        <w:rPr>
          <w:spacing w:val="-2"/>
          <w:sz w:val="21"/>
        </w:rPr>
        <w:t xml:space="preserve"> </w:t>
      </w:r>
      <w:r>
        <w:rPr>
          <w:sz w:val="21"/>
        </w:rPr>
        <w:t>1000m</w:t>
      </w:r>
      <w:r>
        <w:rPr>
          <w:position w:val="11"/>
          <w:sz w:val="11"/>
        </w:rPr>
        <w:t>2</w:t>
      </w:r>
      <w:r>
        <w:rPr>
          <w:spacing w:val="-28"/>
          <w:position w:val="11"/>
          <w:sz w:val="11"/>
        </w:rPr>
        <w:t xml:space="preserve"> </w:t>
      </w:r>
      <w:r>
        <w:rPr>
          <w:spacing w:val="-2"/>
          <w:sz w:val="21"/>
        </w:rPr>
        <w:t>或在建工程单体体积大于</w:t>
      </w:r>
      <w:r>
        <w:rPr>
          <w:spacing w:val="-2"/>
          <w:sz w:val="21"/>
        </w:rPr>
        <w:t xml:space="preserve"> </w:t>
      </w:r>
      <w:r>
        <w:rPr>
          <w:sz w:val="21"/>
        </w:rPr>
        <w:t>10000m</w:t>
      </w:r>
      <w:r>
        <w:rPr>
          <w:position w:val="11"/>
          <w:sz w:val="11"/>
        </w:rPr>
        <w:t>3</w:t>
      </w:r>
      <w:r>
        <w:rPr>
          <w:spacing w:val="-28"/>
          <w:position w:val="11"/>
          <w:sz w:val="11"/>
        </w:rPr>
        <w:t xml:space="preserve"> </w:t>
      </w:r>
      <w:r>
        <w:rPr>
          <w:spacing w:val="-2"/>
          <w:sz w:val="21"/>
        </w:rPr>
        <w:t>时，应设置临</w:t>
      </w:r>
      <w:r>
        <w:rPr>
          <w:spacing w:val="-3"/>
          <w:sz w:val="21"/>
        </w:rPr>
        <w:t>时室外消防给水系统。当施工现场处于市政消火栓</w:t>
      </w:r>
      <w:r>
        <w:rPr>
          <w:spacing w:val="-3"/>
          <w:sz w:val="21"/>
        </w:rPr>
        <w:t xml:space="preserve"> </w:t>
      </w:r>
      <w:r>
        <w:rPr>
          <w:sz w:val="21"/>
        </w:rPr>
        <w:t>150m</w:t>
      </w:r>
      <w:r>
        <w:rPr>
          <w:spacing w:val="-3"/>
          <w:sz w:val="21"/>
        </w:rPr>
        <w:t xml:space="preserve"> </w:t>
      </w:r>
      <w:r>
        <w:rPr>
          <w:spacing w:val="-3"/>
          <w:sz w:val="21"/>
        </w:rPr>
        <w:t>保护范围内，且市政消火栓的数量满足室外消防用水量要求时，可不设置临时室外消防给水系统。</w:t>
      </w:r>
      <w:r>
        <w:rPr>
          <w:sz w:val="21"/>
        </w:rPr>
        <w:t xml:space="preserve"> </w:t>
      </w:r>
    </w:p>
    <w:p w14:paraId="289C3C2F" w14:textId="77777777" w:rsidR="00A71EEF" w:rsidRDefault="00A71EEF">
      <w:pPr>
        <w:spacing w:line="446" w:lineRule="auto"/>
        <w:jc w:val="both"/>
        <w:rPr>
          <w:sz w:val="21"/>
        </w:rPr>
        <w:sectPr w:rsidR="00A71EEF">
          <w:pgSz w:w="11910" w:h="16850"/>
          <w:pgMar w:top="1080" w:right="0" w:bottom="1420" w:left="1260" w:header="0" w:footer="1239" w:gutter="0"/>
          <w:cols w:space="720"/>
        </w:sectPr>
      </w:pPr>
    </w:p>
    <w:p w14:paraId="0CBDA6E0" w14:textId="77777777" w:rsidR="00A71EEF" w:rsidRDefault="0081115D">
      <w:pPr>
        <w:pStyle w:val="a4"/>
        <w:numPr>
          <w:ilvl w:val="2"/>
          <w:numId w:val="448"/>
        </w:numPr>
        <w:tabs>
          <w:tab w:val="left" w:pos="1369"/>
        </w:tabs>
        <w:spacing w:before="47"/>
        <w:ind w:left="1368"/>
        <w:rPr>
          <w:sz w:val="21"/>
        </w:rPr>
      </w:pPr>
      <w:r>
        <w:rPr>
          <w:spacing w:val="-3"/>
          <w:sz w:val="21"/>
        </w:rPr>
        <w:t>临时用房的临时室外消防用水量不应小于表</w:t>
      </w:r>
      <w:r>
        <w:rPr>
          <w:spacing w:val="-3"/>
          <w:sz w:val="21"/>
        </w:rPr>
        <w:t xml:space="preserve"> </w:t>
      </w:r>
      <w:r>
        <w:rPr>
          <w:sz w:val="21"/>
        </w:rPr>
        <w:t>5.3.5</w:t>
      </w:r>
      <w:r>
        <w:rPr>
          <w:spacing w:val="-13"/>
          <w:sz w:val="21"/>
        </w:rPr>
        <w:t xml:space="preserve"> </w:t>
      </w:r>
      <w:r>
        <w:rPr>
          <w:spacing w:val="-13"/>
          <w:sz w:val="21"/>
        </w:rPr>
        <w:t>的规定。</w:t>
      </w:r>
      <w:r>
        <w:rPr>
          <w:sz w:val="21"/>
        </w:rPr>
        <w:t xml:space="preserve"> </w:t>
      </w:r>
    </w:p>
    <w:p w14:paraId="62B7A402" w14:textId="77777777" w:rsidR="00A71EEF" w:rsidRDefault="0081115D">
      <w:pPr>
        <w:pStyle w:val="a3"/>
        <w:spacing w:before="12"/>
        <w:rPr>
          <w:sz w:val="18"/>
        </w:rPr>
      </w:pPr>
      <w:r>
        <w:rPr>
          <w:noProof/>
        </w:rPr>
        <w:drawing>
          <wp:anchor distT="0" distB="0" distL="0" distR="0" simplePos="0" relativeHeight="251628032" behindDoc="0" locked="0" layoutInCell="1" allowOverlap="1" wp14:anchorId="75B15BCB" wp14:editId="301B7EC5">
            <wp:simplePos x="0" y="0"/>
            <wp:positionH relativeFrom="page">
              <wp:posOffset>1189355</wp:posOffset>
            </wp:positionH>
            <wp:positionV relativeFrom="paragraph">
              <wp:posOffset>179157</wp:posOffset>
            </wp:positionV>
            <wp:extent cx="4666791" cy="1266825"/>
            <wp:effectExtent l="0" t="0" r="0" b="0"/>
            <wp:wrapTopAndBottom/>
            <wp:docPr id="473" name="image2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277.jpeg"/>
                    <pic:cNvPicPr/>
                  </pic:nvPicPr>
                  <pic:blipFill>
                    <a:blip r:embed="rId328" cstate="print"/>
                    <a:stretch>
                      <a:fillRect/>
                    </a:stretch>
                  </pic:blipFill>
                  <pic:spPr>
                    <a:xfrm>
                      <a:off x="0" y="0"/>
                      <a:ext cx="4666791" cy="1266825"/>
                    </a:xfrm>
                    <a:prstGeom prst="rect">
                      <a:avLst/>
                    </a:prstGeom>
                  </pic:spPr>
                </pic:pic>
              </a:graphicData>
            </a:graphic>
          </wp:anchor>
        </w:drawing>
      </w:r>
    </w:p>
    <w:p w14:paraId="3A1BC941" w14:textId="77777777" w:rsidR="00A71EEF" w:rsidRDefault="0081115D">
      <w:pPr>
        <w:pStyle w:val="a4"/>
        <w:numPr>
          <w:ilvl w:val="2"/>
          <w:numId w:val="448"/>
        </w:numPr>
        <w:tabs>
          <w:tab w:val="left" w:pos="1370"/>
        </w:tabs>
        <w:spacing w:before="176"/>
        <w:ind w:left="1369" w:hanging="530"/>
        <w:rPr>
          <w:sz w:val="21"/>
        </w:rPr>
      </w:pPr>
      <w:r>
        <w:rPr>
          <w:spacing w:val="-3"/>
          <w:sz w:val="21"/>
        </w:rPr>
        <w:t>在建工程的临时室外消防用水量不应小于表</w:t>
      </w:r>
      <w:r>
        <w:rPr>
          <w:spacing w:val="-3"/>
          <w:sz w:val="21"/>
        </w:rPr>
        <w:t xml:space="preserve"> </w:t>
      </w:r>
      <w:r>
        <w:rPr>
          <w:sz w:val="21"/>
        </w:rPr>
        <w:t>5.3.6</w:t>
      </w:r>
      <w:r>
        <w:rPr>
          <w:spacing w:val="-3"/>
          <w:sz w:val="21"/>
        </w:rPr>
        <w:t xml:space="preserve"> </w:t>
      </w:r>
      <w:r>
        <w:rPr>
          <w:spacing w:val="-3"/>
          <w:sz w:val="21"/>
        </w:rPr>
        <w:t>的规定。</w:t>
      </w:r>
      <w:r>
        <w:rPr>
          <w:sz w:val="21"/>
        </w:rPr>
        <w:t xml:space="preserve"> </w:t>
      </w:r>
    </w:p>
    <w:p w14:paraId="57048500" w14:textId="77777777" w:rsidR="00A71EEF" w:rsidRDefault="00A71EEF">
      <w:pPr>
        <w:pStyle w:val="a3"/>
        <w:rPr>
          <w:sz w:val="20"/>
        </w:rPr>
      </w:pPr>
    </w:p>
    <w:p w14:paraId="636F284A" w14:textId="77777777" w:rsidR="00A71EEF" w:rsidRDefault="00A71EEF">
      <w:pPr>
        <w:pStyle w:val="a3"/>
        <w:rPr>
          <w:sz w:val="20"/>
        </w:rPr>
      </w:pPr>
    </w:p>
    <w:p w14:paraId="3A69902D" w14:textId="77777777" w:rsidR="00A71EEF" w:rsidRDefault="00A71EEF">
      <w:pPr>
        <w:pStyle w:val="a3"/>
        <w:rPr>
          <w:sz w:val="20"/>
        </w:rPr>
      </w:pPr>
    </w:p>
    <w:p w14:paraId="7ECCDA65" w14:textId="77777777" w:rsidR="00A71EEF" w:rsidRDefault="00A71EEF">
      <w:pPr>
        <w:pStyle w:val="a3"/>
        <w:rPr>
          <w:sz w:val="20"/>
        </w:rPr>
      </w:pPr>
    </w:p>
    <w:p w14:paraId="13E362E9" w14:textId="77777777" w:rsidR="00A71EEF" w:rsidRDefault="00A71EEF">
      <w:pPr>
        <w:pStyle w:val="a3"/>
        <w:rPr>
          <w:sz w:val="20"/>
        </w:rPr>
      </w:pPr>
    </w:p>
    <w:p w14:paraId="15562ED5" w14:textId="77777777" w:rsidR="00A71EEF" w:rsidRDefault="00A71EEF">
      <w:pPr>
        <w:pStyle w:val="a3"/>
        <w:rPr>
          <w:sz w:val="20"/>
        </w:rPr>
      </w:pPr>
    </w:p>
    <w:p w14:paraId="264F5EF9" w14:textId="77777777" w:rsidR="00A71EEF" w:rsidRDefault="00A71EEF">
      <w:pPr>
        <w:pStyle w:val="a3"/>
        <w:rPr>
          <w:sz w:val="20"/>
        </w:rPr>
      </w:pPr>
    </w:p>
    <w:p w14:paraId="4DFB35C5" w14:textId="77777777" w:rsidR="00A71EEF" w:rsidRDefault="00A71EEF">
      <w:pPr>
        <w:pStyle w:val="a3"/>
        <w:spacing w:before="8"/>
        <w:rPr>
          <w:sz w:val="28"/>
        </w:rPr>
      </w:pPr>
    </w:p>
    <w:p w14:paraId="394AB310" w14:textId="77777777" w:rsidR="00A71EEF" w:rsidRDefault="0081115D">
      <w:pPr>
        <w:pStyle w:val="a4"/>
        <w:numPr>
          <w:ilvl w:val="2"/>
          <w:numId w:val="448"/>
        </w:numPr>
        <w:tabs>
          <w:tab w:val="left" w:pos="1369"/>
        </w:tabs>
        <w:spacing w:before="72"/>
        <w:ind w:left="1368"/>
        <w:rPr>
          <w:sz w:val="21"/>
        </w:rPr>
      </w:pPr>
      <w:r>
        <w:rPr>
          <w:spacing w:val="-3"/>
          <w:sz w:val="21"/>
        </w:rPr>
        <w:t>施工现场临时室外消防给水系统的设置应符合下列规定：</w:t>
      </w:r>
      <w:r>
        <w:rPr>
          <w:sz w:val="21"/>
        </w:rPr>
        <w:t xml:space="preserve"> </w:t>
      </w:r>
    </w:p>
    <w:p w14:paraId="01C44741" w14:textId="77777777" w:rsidR="00A71EEF" w:rsidRDefault="0081115D">
      <w:pPr>
        <w:pStyle w:val="a3"/>
        <w:spacing w:before="3"/>
        <w:rPr>
          <w:sz w:val="19"/>
        </w:rPr>
      </w:pPr>
      <w:r>
        <w:rPr>
          <w:noProof/>
        </w:rPr>
        <w:drawing>
          <wp:anchor distT="0" distB="0" distL="0" distR="0" simplePos="0" relativeHeight="251629056" behindDoc="0" locked="0" layoutInCell="1" allowOverlap="1" wp14:anchorId="29DB2781" wp14:editId="578754D5">
            <wp:simplePos x="0" y="0"/>
            <wp:positionH relativeFrom="page">
              <wp:posOffset>1354825</wp:posOffset>
            </wp:positionH>
            <wp:positionV relativeFrom="paragraph">
              <wp:posOffset>181848</wp:posOffset>
            </wp:positionV>
            <wp:extent cx="4699602" cy="1379601"/>
            <wp:effectExtent l="0" t="0" r="0" b="0"/>
            <wp:wrapTopAndBottom/>
            <wp:docPr id="475" name="image2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278.jpeg"/>
                    <pic:cNvPicPr/>
                  </pic:nvPicPr>
                  <pic:blipFill>
                    <a:blip r:embed="rId329" cstate="print"/>
                    <a:stretch>
                      <a:fillRect/>
                    </a:stretch>
                  </pic:blipFill>
                  <pic:spPr>
                    <a:xfrm>
                      <a:off x="0" y="0"/>
                      <a:ext cx="4699602" cy="1379601"/>
                    </a:xfrm>
                    <a:prstGeom prst="rect">
                      <a:avLst/>
                    </a:prstGeom>
                  </pic:spPr>
                </pic:pic>
              </a:graphicData>
            </a:graphic>
          </wp:anchor>
        </w:drawing>
      </w:r>
    </w:p>
    <w:p w14:paraId="61EE454E" w14:textId="77777777" w:rsidR="00A71EEF" w:rsidRDefault="0081115D">
      <w:pPr>
        <w:pStyle w:val="a4"/>
        <w:numPr>
          <w:ilvl w:val="0"/>
          <w:numId w:val="446"/>
        </w:numPr>
        <w:tabs>
          <w:tab w:val="left" w:pos="1367"/>
        </w:tabs>
        <w:spacing w:before="166"/>
        <w:rPr>
          <w:sz w:val="21"/>
        </w:rPr>
      </w:pPr>
      <w:r>
        <w:rPr>
          <w:spacing w:val="-3"/>
          <w:sz w:val="21"/>
        </w:rPr>
        <w:t>给水管网宜布置成环状。</w:t>
      </w:r>
      <w:r>
        <w:rPr>
          <w:sz w:val="21"/>
        </w:rPr>
        <w:t xml:space="preserve"> </w:t>
      </w:r>
    </w:p>
    <w:p w14:paraId="0CE5A020" w14:textId="77777777" w:rsidR="00A71EEF" w:rsidRDefault="00A71EEF">
      <w:pPr>
        <w:pStyle w:val="a3"/>
        <w:rPr>
          <w:sz w:val="18"/>
        </w:rPr>
      </w:pPr>
    </w:p>
    <w:p w14:paraId="603CAD7C" w14:textId="77777777" w:rsidR="00A71EEF" w:rsidRDefault="0081115D">
      <w:pPr>
        <w:pStyle w:val="a4"/>
        <w:numPr>
          <w:ilvl w:val="0"/>
          <w:numId w:val="446"/>
        </w:numPr>
        <w:tabs>
          <w:tab w:val="left" w:pos="1367"/>
        </w:tabs>
        <w:spacing w:line="446" w:lineRule="auto"/>
        <w:ind w:left="418" w:right="1505" w:firstLine="419"/>
        <w:rPr>
          <w:sz w:val="21"/>
        </w:rPr>
      </w:pPr>
      <w:r>
        <w:rPr>
          <w:spacing w:val="-3"/>
          <w:sz w:val="21"/>
        </w:rPr>
        <w:t>临时室外消防给水干管的管径，应根据施工现场临时消防用水量和干管内水流计算速度计算确定，且不应小于</w:t>
      </w:r>
      <w:r>
        <w:rPr>
          <w:spacing w:val="-3"/>
          <w:sz w:val="21"/>
        </w:rPr>
        <w:t xml:space="preserve"> </w:t>
      </w:r>
      <w:r>
        <w:rPr>
          <w:sz w:val="21"/>
        </w:rPr>
        <w:t>DN100</w:t>
      </w:r>
      <w:r>
        <w:rPr>
          <w:spacing w:val="-3"/>
          <w:sz w:val="21"/>
        </w:rPr>
        <w:t>。</w:t>
      </w:r>
      <w:r>
        <w:rPr>
          <w:sz w:val="21"/>
        </w:rPr>
        <w:t xml:space="preserve"> </w:t>
      </w:r>
    </w:p>
    <w:p w14:paraId="12D8614A" w14:textId="77777777" w:rsidR="00A71EEF" w:rsidRDefault="0081115D">
      <w:pPr>
        <w:pStyle w:val="a4"/>
        <w:numPr>
          <w:ilvl w:val="0"/>
          <w:numId w:val="446"/>
        </w:numPr>
        <w:tabs>
          <w:tab w:val="left" w:pos="1367"/>
        </w:tabs>
        <w:spacing w:line="446" w:lineRule="auto"/>
        <w:ind w:left="418" w:right="1505" w:firstLine="419"/>
        <w:rPr>
          <w:sz w:val="21"/>
        </w:rPr>
      </w:pPr>
      <w:r>
        <w:rPr>
          <w:spacing w:val="-3"/>
          <w:sz w:val="21"/>
        </w:rPr>
        <w:t>室外消火栓应沿在建工程、临时用房和可燃材料堆场及其加工场均匀布置，与在建工程、临时用房和可燃材料堆场及其加工场的外边线的距离不应小于</w:t>
      </w:r>
      <w:r>
        <w:rPr>
          <w:spacing w:val="-3"/>
          <w:sz w:val="21"/>
        </w:rPr>
        <w:t xml:space="preserve"> </w:t>
      </w:r>
      <w:r>
        <w:rPr>
          <w:sz w:val="21"/>
        </w:rPr>
        <w:t>5m</w:t>
      </w:r>
      <w:r>
        <w:rPr>
          <w:spacing w:val="-3"/>
          <w:sz w:val="21"/>
        </w:rPr>
        <w:t>。</w:t>
      </w:r>
      <w:r>
        <w:rPr>
          <w:sz w:val="21"/>
        </w:rPr>
        <w:t xml:space="preserve"> </w:t>
      </w:r>
    </w:p>
    <w:p w14:paraId="1219154C" w14:textId="77777777" w:rsidR="00A71EEF" w:rsidRDefault="0081115D">
      <w:pPr>
        <w:pStyle w:val="a4"/>
        <w:numPr>
          <w:ilvl w:val="0"/>
          <w:numId w:val="446"/>
        </w:numPr>
        <w:tabs>
          <w:tab w:val="left" w:pos="1367"/>
        </w:tabs>
        <w:spacing w:line="267" w:lineRule="exact"/>
        <w:rPr>
          <w:sz w:val="21"/>
        </w:rPr>
      </w:pPr>
      <w:r>
        <w:rPr>
          <w:spacing w:val="-3"/>
          <w:sz w:val="21"/>
        </w:rPr>
        <w:t>消火栓的间距不应大于</w:t>
      </w:r>
      <w:r>
        <w:rPr>
          <w:spacing w:val="-3"/>
          <w:sz w:val="21"/>
        </w:rPr>
        <w:t xml:space="preserve"> </w:t>
      </w:r>
      <w:r>
        <w:rPr>
          <w:sz w:val="21"/>
        </w:rPr>
        <w:t>120m</w:t>
      </w:r>
      <w:r>
        <w:rPr>
          <w:spacing w:val="-3"/>
          <w:sz w:val="21"/>
        </w:rPr>
        <w:t>。</w:t>
      </w:r>
      <w:r>
        <w:rPr>
          <w:sz w:val="21"/>
        </w:rPr>
        <w:t xml:space="preserve"> </w:t>
      </w:r>
    </w:p>
    <w:p w14:paraId="6752CE09" w14:textId="77777777" w:rsidR="00A71EEF" w:rsidRDefault="00A71EEF">
      <w:pPr>
        <w:pStyle w:val="a3"/>
        <w:spacing w:before="2"/>
        <w:rPr>
          <w:sz w:val="18"/>
        </w:rPr>
      </w:pPr>
    </w:p>
    <w:p w14:paraId="6EB72FC5" w14:textId="77777777" w:rsidR="00A71EEF" w:rsidRDefault="0081115D">
      <w:pPr>
        <w:pStyle w:val="a4"/>
        <w:numPr>
          <w:ilvl w:val="0"/>
          <w:numId w:val="446"/>
        </w:numPr>
        <w:tabs>
          <w:tab w:val="left" w:pos="1367"/>
        </w:tabs>
        <w:rPr>
          <w:sz w:val="21"/>
        </w:rPr>
      </w:pPr>
      <w:r>
        <w:rPr>
          <w:spacing w:val="-3"/>
          <w:sz w:val="21"/>
        </w:rPr>
        <w:t>消火栓的最大保护半径不应大于</w:t>
      </w:r>
      <w:r>
        <w:rPr>
          <w:spacing w:val="-3"/>
          <w:sz w:val="21"/>
        </w:rPr>
        <w:t xml:space="preserve"> </w:t>
      </w:r>
      <w:r>
        <w:rPr>
          <w:sz w:val="21"/>
        </w:rPr>
        <w:t>150m</w:t>
      </w:r>
      <w:r>
        <w:rPr>
          <w:spacing w:val="-3"/>
          <w:sz w:val="21"/>
        </w:rPr>
        <w:t>。</w:t>
      </w:r>
      <w:r>
        <w:rPr>
          <w:sz w:val="21"/>
        </w:rPr>
        <w:t xml:space="preserve"> </w:t>
      </w:r>
    </w:p>
    <w:p w14:paraId="04B0861E" w14:textId="77777777" w:rsidR="00A71EEF" w:rsidRDefault="00A71EEF">
      <w:pPr>
        <w:pStyle w:val="a3"/>
        <w:spacing w:before="2"/>
        <w:rPr>
          <w:sz w:val="17"/>
        </w:rPr>
      </w:pPr>
    </w:p>
    <w:p w14:paraId="0315CF98" w14:textId="77777777" w:rsidR="00A71EEF" w:rsidRDefault="0081115D">
      <w:pPr>
        <w:pStyle w:val="a4"/>
        <w:numPr>
          <w:ilvl w:val="2"/>
          <w:numId w:val="448"/>
        </w:numPr>
        <w:tabs>
          <w:tab w:val="left" w:pos="1370"/>
        </w:tabs>
        <w:spacing w:before="1" w:line="446" w:lineRule="auto"/>
        <w:ind w:left="418" w:right="1522" w:firstLine="422"/>
        <w:rPr>
          <w:sz w:val="21"/>
        </w:rPr>
      </w:pPr>
      <w:r>
        <w:rPr>
          <w:spacing w:val="-2"/>
          <w:sz w:val="21"/>
        </w:rPr>
        <w:t>建筑高度大于</w:t>
      </w:r>
      <w:r>
        <w:rPr>
          <w:spacing w:val="-2"/>
          <w:sz w:val="21"/>
        </w:rPr>
        <w:t xml:space="preserve"> </w:t>
      </w:r>
      <w:r>
        <w:rPr>
          <w:sz w:val="21"/>
        </w:rPr>
        <w:t>24m</w:t>
      </w:r>
      <w:r>
        <w:rPr>
          <w:spacing w:val="-1"/>
          <w:sz w:val="21"/>
        </w:rPr>
        <w:t xml:space="preserve"> </w:t>
      </w:r>
      <w:r>
        <w:rPr>
          <w:spacing w:val="-1"/>
          <w:sz w:val="21"/>
        </w:rPr>
        <w:t>或单体体积超过</w:t>
      </w:r>
      <w:r>
        <w:rPr>
          <w:spacing w:val="-1"/>
          <w:sz w:val="21"/>
        </w:rPr>
        <w:t xml:space="preserve"> </w:t>
      </w:r>
      <w:r>
        <w:rPr>
          <w:sz w:val="21"/>
        </w:rPr>
        <w:t>30000m</w:t>
      </w:r>
      <w:r>
        <w:rPr>
          <w:position w:val="11"/>
          <w:sz w:val="11"/>
        </w:rPr>
        <w:t>3</w:t>
      </w:r>
      <w:r>
        <w:rPr>
          <w:spacing w:val="-29"/>
          <w:position w:val="11"/>
          <w:sz w:val="11"/>
        </w:rPr>
        <w:t xml:space="preserve"> </w:t>
      </w:r>
      <w:r>
        <w:rPr>
          <w:spacing w:val="-3"/>
          <w:sz w:val="21"/>
        </w:rPr>
        <w:t>的在建工程，应设置临时室内消防给水系统。</w:t>
      </w:r>
      <w:r>
        <w:rPr>
          <w:sz w:val="21"/>
        </w:rPr>
        <w:t xml:space="preserve"> </w:t>
      </w:r>
    </w:p>
    <w:p w14:paraId="76C9B183" w14:textId="77777777" w:rsidR="00A71EEF" w:rsidRDefault="00A71EEF">
      <w:pPr>
        <w:spacing w:line="446" w:lineRule="auto"/>
        <w:rPr>
          <w:sz w:val="21"/>
        </w:rPr>
        <w:sectPr w:rsidR="00A71EEF">
          <w:pgSz w:w="11910" w:h="16850"/>
          <w:pgMar w:top="1220" w:right="0" w:bottom="1420" w:left="1260" w:header="0" w:footer="1239" w:gutter="0"/>
          <w:cols w:space="720"/>
        </w:sectPr>
      </w:pPr>
    </w:p>
    <w:p w14:paraId="32ABF0BE" w14:textId="77777777" w:rsidR="00A71EEF" w:rsidRDefault="0081115D">
      <w:pPr>
        <w:pStyle w:val="a4"/>
        <w:numPr>
          <w:ilvl w:val="2"/>
          <w:numId w:val="448"/>
        </w:numPr>
        <w:tabs>
          <w:tab w:val="left" w:pos="1370"/>
        </w:tabs>
        <w:spacing w:before="47"/>
        <w:ind w:left="1369" w:hanging="530"/>
        <w:rPr>
          <w:sz w:val="21"/>
        </w:rPr>
      </w:pPr>
      <w:r>
        <w:rPr>
          <w:spacing w:val="-3"/>
          <w:sz w:val="21"/>
        </w:rPr>
        <w:t>在建工程的临时室内消防用水量不应小于</w:t>
      </w:r>
      <w:r>
        <w:rPr>
          <w:spacing w:val="-3"/>
          <w:sz w:val="21"/>
        </w:rPr>
        <w:t>表</w:t>
      </w:r>
      <w:r>
        <w:rPr>
          <w:spacing w:val="-3"/>
          <w:sz w:val="21"/>
        </w:rPr>
        <w:t xml:space="preserve"> </w:t>
      </w:r>
      <w:r>
        <w:rPr>
          <w:sz w:val="21"/>
        </w:rPr>
        <w:t>5.3.9</w:t>
      </w:r>
      <w:r>
        <w:rPr>
          <w:spacing w:val="-3"/>
          <w:sz w:val="21"/>
        </w:rPr>
        <w:t xml:space="preserve"> </w:t>
      </w:r>
      <w:r>
        <w:rPr>
          <w:spacing w:val="-3"/>
          <w:sz w:val="21"/>
        </w:rPr>
        <w:t>的规定。</w:t>
      </w:r>
      <w:r>
        <w:rPr>
          <w:sz w:val="21"/>
        </w:rPr>
        <w:t xml:space="preserve"> </w:t>
      </w:r>
    </w:p>
    <w:p w14:paraId="093F8710" w14:textId="77777777" w:rsidR="00A71EEF" w:rsidRDefault="0081115D">
      <w:pPr>
        <w:pStyle w:val="a3"/>
        <w:spacing w:before="1"/>
        <w:rPr>
          <w:sz w:val="23"/>
        </w:rPr>
      </w:pPr>
      <w:r>
        <w:rPr>
          <w:noProof/>
        </w:rPr>
        <w:drawing>
          <wp:anchor distT="0" distB="0" distL="0" distR="0" simplePos="0" relativeHeight="251630080" behindDoc="0" locked="0" layoutInCell="1" allowOverlap="1" wp14:anchorId="7DCE4877" wp14:editId="6DBEFC4E">
            <wp:simplePos x="0" y="0"/>
            <wp:positionH relativeFrom="page">
              <wp:posOffset>1228311</wp:posOffset>
            </wp:positionH>
            <wp:positionV relativeFrom="paragraph">
              <wp:posOffset>212812</wp:posOffset>
            </wp:positionV>
            <wp:extent cx="5008651" cy="1524000"/>
            <wp:effectExtent l="0" t="0" r="0" b="0"/>
            <wp:wrapTopAndBottom/>
            <wp:docPr id="477" name="image2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image279.jpeg"/>
                    <pic:cNvPicPr/>
                  </pic:nvPicPr>
                  <pic:blipFill>
                    <a:blip r:embed="rId330" cstate="print"/>
                    <a:stretch>
                      <a:fillRect/>
                    </a:stretch>
                  </pic:blipFill>
                  <pic:spPr>
                    <a:xfrm>
                      <a:off x="0" y="0"/>
                      <a:ext cx="5008651" cy="1524000"/>
                    </a:xfrm>
                    <a:prstGeom prst="rect">
                      <a:avLst/>
                    </a:prstGeom>
                  </pic:spPr>
                </pic:pic>
              </a:graphicData>
            </a:graphic>
          </wp:anchor>
        </w:drawing>
      </w:r>
    </w:p>
    <w:p w14:paraId="652D22B6" w14:textId="77777777" w:rsidR="00A71EEF" w:rsidRDefault="00A71EEF">
      <w:pPr>
        <w:pStyle w:val="a3"/>
        <w:spacing w:before="12"/>
        <w:rPr>
          <w:sz w:val="20"/>
        </w:rPr>
      </w:pPr>
    </w:p>
    <w:p w14:paraId="0F999F46" w14:textId="77777777" w:rsidR="00A71EEF" w:rsidRDefault="0081115D">
      <w:pPr>
        <w:pStyle w:val="a4"/>
        <w:numPr>
          <w:ilvl w:val="2"/>
          <w:numId w:val="448"/>
        </w:numPr>
        <w:tabs>
          <w:tab w:val="left" w:pos="1478"/>
        </w:tabs>
        <w:ind w:left="1477" w:hanging="638"/>
        <w:rPr>
          <w:sz w:val="21"/>
        </w:rPr>
      </w:pPr>
      <w:r>
        <w:rPr>
          <w:spacing w:val="-3"/>
          <w:sz w:val="21"/>
        </w:rPr>
        <w:t>在建工程临时室内消防竖管的设置应符合下列规定：</w:t>
      </w:r>
      <w:r>
        <w:rPr>
          <w:sz w:val="21"/>
        </w:rPr>
        <w:t xml:space="preserve"> </w:t>
      </w:r>
    </w:p>
    <w:p w14:paraId="137FFD46" w14:textId="77777777" w:rsidR="00A71EEF" w:rsidRDefault="00A71EEF">
      <w:pPr>
        <w:pStyle w:val="a3"/>
        <w:spacing w:before="12"/>
        <w:rPr>
          <w:sz w:val="17"/>
        </w:rPr>
      </w:pPr>
    </w:p>
    <w:p w14:paraId="30242CCA" w14:textId="77777777" w:rsidR="00A71EEF" w:rsidRDefault="0081115D">
      <w:pPr>
        <w:pStyle w:val="a4"/>
        <w:numPr>
          <w:ilvl w:val="0"/>
          <w:numId w:val="445"/>
        </w:numPr>
        <w:tabs>
          <w:tab w:val="left" w:pos="1367"/>
        </w:tabs>
        <w:spacing w:line="446" w:lineRule="auto"/>
        <w:ind w:right="1611" w:firstLine="419"/>
        <w:rPr>
          <w:sz w:val="21"/>
        </w:rPr>
      </w:pPr>
      <w:r>
        <w:rPr>
          <w:spacing w:val="-3"/>
          <w:sz w:val="21"/>
        </w:rPr>
        <w:t>消防竖管的设置位置应便于消防人员操作，其数量不应少于</w:t>
      </w:r>
      <w:r>
        <w:rPr>
          <w:spacing w:val="-3"/>
          <w:sz w:val="21"/>
        </w:rPr>
        <w:t xml:space="preserve"> 2</w:t>
      </w:r>
      <w:r>
        <w:rPr>
          <w:spacing w:val="-1"/>
          <w:sz w:val="21"/>
        </w:rPr>
        <w:t xml:space="preserve"> </w:t>
      </w:r>
      <w:r>
        <w:rPr>
          <w:spacing w:val="-1"/>
          <w:sz w:val="21"/>
        </w:rPr>
        <w:t>根，当结构封顶时，</w:t>
      </w:r>
      <w:r>
        <w:rPr>
          <w:spacing w:val="-1"/>
          <w:sz w:val="21"/>
        </w:rPr>
        <w:t xml:space="preserve"> </w:t>
      </w:r>
      <w:r>
        <w:rPr>
          <w:spacing w:val="-3"/>
          <w:sz w:val="21"/>
        </w:rPr>
        <w:t>应将消防竖管设置成环状。</w:t>
      </w:r>
      <w:r>
        <w:rPr>
          <w:spacing w:val="-3"/>
          <w:sz w:val="21"/>
        </w:rPr>
        <w:t xml:space="preserve"> </w:t>
      </w:r>
    </w:p>
    <w:p w14:paraId="76D70A5C" w14:textId="77777777" w:rsidR="00A71EEF" w:rsidRDefault="0081115D">
      <w:pPr>
        <w:pStyle w:val="a4"/>
        <w:numPr>
          <w:ilvl w:val="0"/>
          <w:numId w:val="445"/>
        </w:numPr>
        <w:tabs>
          <w:tab w:val="left" w:pos="1367"/>
        </w:tabs>
        <w:spacing w:line="446" w:lineRule="auto"/>
        <w:ind w:right="1505" w:firstLine="419"/>
        <w:rPr>
          <w:sz w:val="21"/>
        </w:rPr>
      </w:pPr>
      <w:r>
        <w:rPr>
          <w:spacing w:val="-3"/>
          <w:sz w:val="21"/>
        </w:rPr>
        <w:t>消防竖管的管径应根据在建工程临时消防用水量、竖管内水流计算速度计算确定，且不应小于</w:t>
      </w:r>
      <w:r>
        <w:rPr>
          <w:spacing w:val="-3"/>
          <w:sz w:val="21"/>
        </w:rPr>
        <w:t xml:space="preserve"> </w:t>
      </w:r>
      <w:r>
        <w:rPr>
          <w:sz w:val="21"/>
        </w:rPr>
        <w:t>DN100</w:t>
      </w:r>
      <w:r>
        <w:rPr>
          <w:spacing w:val="-3"/>
          <w:sz w:val="21"/>
        </w:rPr>
        <w:t>。</w:t>
      </w:r>
      <w:r>
        <w:rPr>
          <w:sz w:val="21"/>
        </w:rPr>
        <w:t xml:space="preserve"> </w:t>
      </w:r>
    </w:p>
    <w:p w14:paraId="32B5687A" w14:textId="77777777" w:rsidR="00A71EEF" w:rsidRDefault="0081115D">
      <w:pPr>
        <w:pStyle w:val="a4"/>
        <w:numPr>
          <w:ilvl w:val="2"/>
          <w:numId w:val="448"/>
        </w:numPr>
        <w:tabs>
          <w:tab w:val="left" w:pos="1478"/>
        </w:tabs>
        <w:spacing w:line="448" w:lineRule="auto"/>
        <w:ind w:left="418" w:right="1496" w:firstLine="422"/>
        <w:rPr>
          <w:sz w:val="21"/>
        </w:rPr>
      </w:pPr>
      <w:r>
        <w:rPr>
          <w:spacing w:val="-3"/>
          <w:sz w:val="21"/>
        </w:rPr>
        <w:t>设置室内消防给水系统的在建工程，应设置消防水泵接合器。消防水泵接合器应设置在室外便于消防车取水的部位，与室外消火栓或消防水池取水口的距离宜为</w:t>
      </w:r>
      <w:r>
        <w:rPr>
          <w:spacing w:val="-3"/>
          <w:sz w:val="21"/>
        </w:rPr>
        <w:t xml:space="preserve"> </w:t>
      </w:r>
      <w:r>
        <w:rPr>
          <w:sz w:val="21"/>
        </w:rPr>
        <w:t>15</w:t>
      </w:r>
      <w:r>
        <w:rPr>
          <w:sz w:val="21"/>
        </w:rPr>
        <w:t>～</w:t>
      </w:r>
      <w:r>
        <w:rPr>
          <w:sz w:val="21"/>
        </w:rPr>
        <w:t>40m</w:t>
      </w:r>
      <w:r>
        <w:rPr>
          <w:spacing w:val="-3"/>
          <w:sz w:val="21"/>
        </w:rPr>
        <w:t>。</w:t>
      </w:r>
      <w:r>
        <w:rPr>
          <w:sz w:val="21"/>
        </w:rPr>
        <w:t xml:space="preserve"> </w:t>
      </w:r>
    </w:p>
    <w:p w14:paraId="7475F04D" w14:textId="77777777" w:rsidR="00A71EEF" w:rsidRDefault="0081115D">
      <w:pPr>
        <w:pStyle w:val="a4"/>
        <w:numPr>
          <w:ilvl w:val="2"/>
          <w:numId w:val="448"/>
        </w:numPr>
        <w:tabs>
          <w:tab w:val="left" w:pos="1478"/>
        </w:tabs>
        <w:spacing w:line="446" w:lineRule="auto"/>
        <w:ind w:left="418" w:right="1496" w:firstLine="422"/>
        <w:rPr>
          <w:sz w:val="21"/>
        </w:rPr>
      </w:pPr>
      <w:r>
        <w:rPr>
          <w:spacing w:val="-3"/>
          <w:sz w:val="21"/>
        </w:rPr>
        <w:t>设置临时室内消防给水系统的在建工程，各结构层均应设置室内消火栓接口及消防软管接口，并应符合下列规定：</w:t>
      </w:r>
      <w:r>
        <w:rPr>
          <w:sz w:val="21"/>
        </w:rPr>
        <w:t xml:space="preserve"> </w:t>
      </w:r>
    </w:p>
    <w:p w14:paraId="6B90ADF6" w14:textId="77777777" w:rsidR="00A71EEF" w:rsidRDefault="0081115D">
      <w:pPr>
        <w:pStyle w:val="a4"/>
        <w:numPr>
          <w:ilvl w:val="0"/>
          <w:numId w:val="444"/>
        </w:numPr>
        <w:tabs>
          <w:tab w:val="left" w:pos="1367"/>
        </w:tabs>
        <w:rPr>
          <w:sz w:val="21"/>
        </w:rPr>
      </w:pPr>
      <w:r>
        <w:rPr>
          <w:spacing w:val="-3"/>
          <w:sz w:val="21"/>
        </w:rPr>
        <w:t>消火栓接口及软管接口应设置在位置明显且易于操作的部位。</w:t>
      </w:r>
      <w:r>
        <w:rPr>
          <w:sz w:val="21"/>
        </w:rPr>
        <w:t xml:space="preserve"> </w:t>
      </w:r>
    </w:p>
    <w:p w14:paraId="286E971A" w14:textId="77777777" w:rsidR="00A71EEF" w:rsidRDefault="00A71EEF">
      <w:pPr>
        <w:pStyle w:val="a3"/>
        <w:spacing w:before="4"/>
        <w:rPr>
          <w:sz w:val="17"/>
        </w:rPr>
      </w:pPr>
    </w:p>
    <w:p w14:paraId="35A7871B" w14:textId="77777777" w:rsidR="00A71EEF" w:rsidRDefault="0081115D">
      <w:pPr>
        <w:pStyle w:val="a4"/>
        <w:numPr>
          <w:ilvl w:val="0"/>
          <w:numId w:val="444"/>
        </w:numPr>
        <w:tabs>
          <w:tab w:val="left" w:pos="1367"/>
        </w:tabs>
        <w:spacing w:before="1"/>
        <w:rPr>
          <w:sz w:val="21"/>
        </w:rPr>
      </w:pPr>
      <w:r>
        <w:rPr>
          <w:spacing w:val="-3"/>
          <w:sz w:val="21"/>
        </w:rPr>
        <w:t>消火栓接口的前端应设置截止阀。</w:t>
      </w:r>
      <w:r>
        <w:rPr>
          <w:sz w:val="21"/>
        </w:rPr>
        <w:t xml:space="preserve"> </w:t>
      </w:r>
    </w:p>
    <w:p w14:paraId="76F6D54C" w14:textId="77777777" w:rsidR="00A71EEF" w:rsidRDefault="00A71EEF">
      <w:pPr>
        <w:pStyle w:val="a3"/>
        <w:spacing w:before="12"/>
        <w:rPr>
          <w:sz w:val="17"/>
        </w:rPr>
      </w:pPr>
    </w:p>
    <w:p w14:paraId="7661B12D" w14:textId="77777777" w:rsidR="00A71EEF" w:rsidRDefault="0081115D">
      <w:pPr>
        <w:pStyle w:val="a4"/>
        <w:numPr>
          <w:ilvl w:val="0"/>
          <w:numId w:val="444"/>
        </w:numPr>
        <w:tabs>
          <w:tab w:val="left" w:pos="1367"/>
        </w:tabs>
        <w:spacing w:line="446" w:lineRule="auto"/>
        <w:ind w:left="840" w:right="1498" w:hanging="3"/>
        <w:rPr>
          <w:sz w:val="21"/>
        </w:rPr>
      </w:pPr>
      <w:r>
        <w:rPr>
          <w:spacing w:val="-3"/>
          <w:sz w:val="21"/>
        </w:rPr>
        <w:t>消火栓接口或软管接口的间距，多层建筑不应大于</w:t>
      </w:r>
      <w:r>
        <w:rPr>
          <w:spacing w:val="-3"/>
          <w:sz w:val="21"/>
        </w:rPr>
        <w:t xml:space="preserve"> </w:t>
      </w:r>
      <w:r>
        <w:rPr>
          <w:sz w:val="21"/>
        </w:rPr>
        <w:t>50m</w:t>
      </w:r>
      <w:r>
        <w:rPr>
          <w:spacing w:val="-2"/>
          <w:sz w:val="21"/>
        </w:rPr>
        <w:t>，高层建筑不应大于</w:t>
      </w:r>
      <w:r>
        <w:rPr>
          <w:spacing w:val="-2"/>
          <w:sz w:val="21"/>
        </w:rPr>
        <w:t xml:space="preserve"> </w:t>
      </w:r>
      <w:r>
        <w:rPr>
          <w:sz w:val="21"/>
        </w:rPr>
        <w:t>30m</w:t>
      </w:r>
      <w:r>
        <w:rPr>
          <w:spacing w:val="-3"/>
          <w:sz w:val="21"/>
        </w:rPr>
        <w:t>。</w:t>
      </w:r>
      <w:r>
        <w:rPr>
          <w:b/>
          <w:sz w:val="21"/>
        </w:rPr>
        <w:t>5.3.13</w:t>
      </w:r>
      <w:r>
        <w:rPr>
          <w:b/>
          <w:spacing w:val="37"/>
          <w:sz w:val="21"/>
        </w:rPr>
        <w:t xml:space="preserve"> </w:t>
      </w:r>
      <w:r>
        <w:rPr>
          <w:spacing w:val="-3"/>
          <w:sz w:val="21"/>
        </w:rPr>
        <w:t>在建工程结构施工完毕的每层楼梯处应设置消防水枪、水带及软管，且每个设置点</w:t>
      </w:r>
    </w:p>
    <w:p w14:paraId="1CD71332" w14:textId="77777777" w:rsidR="00A71EEF" w:rsidRDefault="0081115D">
      <w:pPr>
        <w:pStyle w:val="a3"/>
        <w:ind w:left="418"/>
      </w:pPr>
      <w:r>
        <w:t>不应少于</w:t>
      </w:r>
      <w:r>
        <w:t xml:space="preserve"> 2 </w:t>
      </w:r>
      <w:r>
        <w:t>套。</w:t>
      </w:r>
      <w:r>
        <w:t xml:space="preserve"> </w:t>
      </w:r>
    </w:p>
    <w:p w14:paraId="020824C8" w14:textId="77777777" w:rsidR="00A71EEF" w:rsidRDefault="00A71EEF">
      <w:pPr>
        <w:pStyle w:val="a3"/>
        <w:rPr>
          <w:sz w:val="18"/>
        </w:rPr>
      </w:pPr>
    </w:p>
    <w:p w14:paraId="0D77C84D" w14:textId="77777777" w:rsidR="00A71EEF" w:rsidRDefault="0081115D">
      <w:pPr>
        <w:pStyle w:val="a4"/>
        <w:numPr>
          <w:ilvl w:val="2"/>
          <w:numId w:val="443"/>
        </w:numPr>
        <w:tabs>
          <w:tab w:val="left" w:pos="1478"/>
        </w:tabs>
        <w:spacing w:line="439" w:lineRule="auto"/>
        <w:ind w:right="1601" w:firstLine="422"/>
        <w:rPr>
          <w:sz w:val="21"/>
        </w:rPr>
      </w:pPr>
      <w:r>
        <w:rPr>
          <w:spacing w:val="1"/>
          <w:sz w:val="21"/>
        </w:rPr>
        <w:t>高度超过</w:t>
      </w:r>
      <w:r>
        <w:rPr>
          <w:spacing w:val="1"/>
          <w:sz w:val="21"/>
        </w:rPr>
        <w:t xml:space="preserve"> </w:t>
      </w:r>
      <w:r>
        <w:rPr>
          <w:sz w:val="21"/>
        </w:rPr>
        <w:t>100m</w:t>
      </w:r>
      <w:r>
        <w:rPr>
          <w:spacing w:val="-3"/>
          <w:sz w:val="21"/>
        </w:rPr>
        <w:t xml:space="preserve"> </w:t>
      </w:r>
      <w:r>
        <w:rPr>
          <w:spacing w:val="-3"/>
          <w:sz w:val="21"/>
        </w:rPr>
        <w:t>的在建工程，应在适当楼层增设临时中转水池及加压水泵。中转水池的有效容积不应少于</w:t>
      </w:r>
      <w:r>
        <w:rPr>
          <w:spacing w:val="-3"/>
          <w:sz w:val="21"/>
        </w:rPr>
        <w:t xml:space="preserve"> </w:t>
      </w:r>
      <w:r>
        <w:rPr>
          <w:sz w:val="21"/>
        </w:rPr>
        <w:t>10m</w:t>
      </w:r>
      <w:r>
        <w:rPr>
          <w:position w:val="11"/>
          <w:sz w:val="11"/>
        </w:rPr>
        <w:t>3</w:t>
      </w:r>
      <w:r>
        <w:rPr>
          <w:spacing w:val="-3"/>
          <w:sz w:val="21"/>
        </w:rPr>
        <w:t>，上、下两个中转水池的高差不宜超过</w:t>
      </w:r>
      <w:r>
        <w:rPr>
          <w:spacing w:val="-3"/>
          <w:sz w:val="21"/>
        </w:rPr>
        <w:t xml:space="preserve"> </w:t>
      </w:r>
      <w:r>
        <w:rPr>
          <w:sz w:val="21"/>
        </w:rPr>
        <w:t>100m</w:t>
      </w:r>
      <w:r>
        <w:rPr>
          <w:spacing w:val="-3"/>
          <w:sz w:val="21"/>
        </w:rPr>
        <w:t>。</w:t>
      </w:r>
      <w:r>
        <w:rPr>
          <w:sz w:val="21"/>
        </w:rPr>
        <w:t xml:space="preserve"> </w:t>
      </w:r>
    </w:p>
    <w:p w14:paraId="474BFBEE" w14:textId="77777777" w:rsidR="00A71EEF" w:rsidRDefault="0081115D">
      <w:pPr>
        <w:pStyle w:val="a4"/>
        <w:numPr>
          <w:ilvl w:val="2"/>
          <w:numId w:val="443"/>
        </w:numPr>
        <w:tabs>
          <w:tab w:val="left" w:pos="1478"/>
        </w:tabs>
        <w:spacing w:before="6" w:line="446" w:lineRule="auto"/>
        <w:ind w:right="1505" w:firstLine="422"/>
        <w:rPr>
          <w:sz w:val="21"/>
        </w:rPr>
      </w:pPr>
      <w:r>
        <w:rPr>
          <w:spacing w:val="-3"/>
          <w:sz w:val="21"/>
        </w:rPr>
        <w:t>临时消防给水系统的给水压力应满足消防水枪充实水柱长度不小于</w:t>
      </w:r>
      <w:r>
        <w:rPr>
          <w:spacing w:val="-3"/>
          <w:sz w:val="21"/>
        </w:rPr>
        <w:t xml:space="preserve"> </w:t>
      </w:r>
      <w:r>
        <w:rPr>
          <w:sz w:val="21"/>
        </w:rPr>
        <w:t>10m</w:t>
      </w:r>
      <w:r>
        <w:rPr>
          <w:spacing w:val="1"/>
          <w:sz w:val="21"/>
        </w:rPr>
        <w:t xml:space="preserve"> </w:t>
      </w:r>
      <w:r>
        <w:rPr>
          <w:spacing w:val="1"/>
          <w:sz w:val="21"/>
        </w:rPr>
        <w:t>的要求；给</w:t>
      </w:r>
      <w:r>
        <w:rPr>
          <w:spacing w:val="-3"/>
          <w:sz w:val="21"/>
        </w:rPr>
        <w:t>水压力不能满足要求时，应设置消火栓泵，消火栓泵不应少于</w:t>
      </w:r>
      <w:r>
        <w:rPr>
          <w:spacing w:val="-3"/>
          <w:sz w:val="21"/>
        </w:rPr>
        <w:t xml:space="preserve"> 2 </w:t>
      </w:r>
      <w:r>
        <w:rPr>
          <w:spacing w:val="-3"/>
          <w:sz w:val="21"/>
        </w:rPr>
        <w:t>台，且应互为备用；消火栓泵宜设置自动启动装置。</w:t>
      </w:r>
      <w:r>
        <w:rPr>
          <w:sz w:val="21"/>
        </w:rPr>
        <w:t xml:space="preserve"> </w:t>
      </w:r>
    </w:p>
    <w:p w14:paraId="490CAEA7" w14:textId="77777777" w:rsidR="00A71EEF" w:rsidRDefault="0081115D">
      <w:pPr>
        <w:pStyle w:val="a4"/>
        <w:numPr>
          <w:ilvl w:val="2"/>
          <w:numId w:val="443"/>
        </w:numPr>
        <w:tabs>
          <w:tab w:val="left" w:pos="1530"/>
        </w:tabs>
        <w:spacing w:line="446" w:lineRule="auto"/>
        <w:ind w:right="1549" w:firstLine="422"/>
        <w:rPr>
          <w:sz w:val="21"/>
        </w:rPr>
      </w:pPr>
      <w:r>
        <w:rPr>
          <w:spacing w:val="-3"/>
          <w:sz w:val="21"/>
        </w:rPr>
        <w:t>当外部消防水源不能满足施工现场的临时消防用水量要求时，应在施工现场设置临时贮水池。临时贮水池宜设置在便于消防车取水的部位，其有效容积不应小于施工现场火灾延</w:t>
      </w:r>
    </w:p>
    <w:p w14:paraId="06952AAB" w14:textId="77777777" w:rsidR="00A71EEF" w:rsidRDefault="00A71EEF">
      <w:pPr>
        <w:spacing w:line="446" w:lineRule="auto"/>
        <w:rPr>
          <w:sz w:val="21"/>
        </w:rPr>
        <w:sectPr w:rsidR="00A71EEF">
          <w:pgSz w:w="11910" w:h="16850"/>
          <w:pgMar w:top="1220" w:right="0" w:bottom="1420" w:left="1260" w:header="0" w:footer="1239" w:gutter="0"/>
          <w:cols w:space="720"/>
        </w:sectPr>
      </w:pPr>
    </w:p>
    <w:p w14:paraId="2392881D" w14:textId="77777777" w:rsidR="00A71EEF" w:rsidRDefault="0081115D">
      <w:pPr>
        <w:pStyle w:val="a3"/>
        <w:spacing w:before="47"/>
        <w:ind w:left="418"/>
      </w:pPr>
      <w:r>
        <w:t>续时间内一次灭火的全部消防用水量。</w:t>
      </w:r>
      <w:r>
        <w:t xml:space="preserve"> </w:t>
      </w:r>
    </w:p>
    <w:p w14:paraId="477C7788" w14:textId="77777777" w:rsidR="00A71EEF" w:rsidRDefault="00A71EEF">
      <w:pPr>
        <w:pStyle w:val="a3"/>
        <w:rPr>
          <w:sz w:val="18"/>
        </w:rPr>
      </w:pPr>
    </w:p>
    <w:p w14:paraId="0D0282B0" w14:textId="77777777" w:rsidR="00A71EEF" w:rsidRDefault="0081115D">
      <w:pPr>
        <w:pStyle w:val="a4"/>
        <w:numPr>
          <w:ilvl w:val="2"/>
          <w:numId w:val="443"/>
        </w:numPr>
        <w:tabs>
          <w:tab w:val="left" w:pos="1530"/>
        </w:tabs>
        <w:spacing w:line="446" w:lineRule="auto"/>
        <w:ind w:right="1505" w:firstLine="422"/>
        <w:jc w:val="both"/>
        <w:rPr>
          <w:sz w:val="21"/>
        </w:rPr>
      </w:pPr>
      <w:r>
        <w:rPr>
          <w:spacing w:val="-3"/>
          <w:sz w:val="21"/>
        </w:rPr>
        <w:t>施工现场临时消防给水系统应与施工现场生产、生活给水系统合并设置，但应设置将生产、生活用水转为消防用水的应急阀门。应急阀门不应超过</w:t>
      </w:r>
      <w:r>
        <w:rPr>
          <w:spacing w:val="-3"/>
          <w:sz w:val="21"/>
        </w:rPr>
        <w:t xml:space="preserve"> 2 </w:t>
      </w:r>
      <w:r>
        <w:rPr>
          <w:spacing w:val="-3"/>
          <w:sz w:val="21"/>
        </w:rPr>
        <w:t>个，且应设置在易于操作的场所，并应设</w:t>
      </w:r>
      <w:r>
        <w:rPr>
          <w:spacing w:val="-3"/>
          <w:sz w:val="21"/>
        </w:rPr>
        <w:t>置明显标识。</w:t>
      </w:r>
      <w:r>
        <w:rPr>
          <w:spacing w:val="-3"/>
          <w:sz w:val="21"/>
        </w:rPr>
        <w:t xml:space="preserve"> </w:t>
      </w:r>
    </w:p>
    <w:p w14:paraId="345C4B17" w14:textId="77777777" w:rsidR="00A71EEF" w:rsidRDefault="0081115D">
      <w:pPr>
        <w:pStyle w:val="a4"/>
        <w:numPr>
          <w:ilvl w:val="2"/>
          <w:numId w:val="443"/>
        </w:numPr>
        <w:tabs>
          <w:tab w:val="left" w:pos="1530"/>
        </w:tabs>
        <w:spacing w:line="446" w:lineRule="auto"/>
        <w:ind w:left="840" w:right="3546" w:firstLine="0"/>
        <w:jc w:val="both"/>
        <w:rPr>
          <w:b/>
          <w:sz w:val="21"/>
        </w:rPr>
      </w:pPr>
      <w:r>
        <w:rPr>
          <w:spacing w:val="-3"/>
          <w:sz w:val="21"/>
        </w:rPr>
        <w:t>严寒和寒冷地区的现场临时消防给水系统应采取防冻措施。</w:t>
      </w:r>
      <w:r>
        <w:rPr>
          <w:b/>
          <w:sz w:val="21"/>
        </w:rPr>
        <w:t>5.4</w:t>
      </w:r>
      <w:r>
        <w:rPr>
          <w:b/>
          <w:spacing w:val="1"/>
          <w:sz w:val="21"/>
        </w:rPr>
        <w:t xml:space="preserve"> </w:t>
      </w:r>
      <w:r>
        <w:rPr>
          <w:spacing w:val="-3"/>
          <w:sz w:val="21"/>
        </w:rPr>
        <w:t>应急照明</w:t>
      </w:r>
      <w:r>
        <w:rPr>
          <w:b/>
          <w:w w:val="99"/>
          <w:sz w:val="21"/>
        </w:rPr>
        <w:t xml:space="preserve"> </w:t>
      </w:r>
    </w:p>
    <w:p w14:paraId="53B99130" w14:textId="77777777" w:rsidR="00A71EEF" w:rsidRDefault="0081115D">
      <w:pPr>
        <w:pStyle w:val="a4"/>
        <w:numPr>
          <w:ilvl w:val="2"/>
          <w:numId w:val="442"/>
        </w:numPr>
        <w:tabs>
          <w:tab w:val="left" w:pos="1371"/>
        </w:tabs>
        <w:jc w:val="both"/>
        <w:rPr>
          <w:sz w:val="21"/>
        </w:rPr>
      </w:pPr>
      <w:r>
        <w:rPr>
          <w:spacing w:val="-3"/>
          <w:sz w:val="21"/>
        </w:rPr>
        <w:t>施工现场的下列场所应配备临时应急照明：</w:t>
      </w:r>
      <w:r>
        <w:rPr>
          <w:sz w:val="21"/>
        </w:rPr>
        <w:t xml:space="preserve"> </w:t>
      </w:r>
    </w:p>
    <w:p w14:paraId="1103C47E" w14:textId="77777777" w:rsidR="00A71EEF" w:rsidRDefault="00A71EEF">
      <w:pPr>
        <w:pStyle w:val="a3"/>
        <w:spacing w:before="11"/>
        <w:rPr>
          <w:sz w:val="17"/>
        </w:rPr>
      </w:pPr>
    </w:p>
    <w:p w14:paraId="5895D862" w14:textId="77777777" w:rsidR="00A71EEF" w:rsidRDefault="0081115D">
      <w:pPr>
        <w:pStyle w:val="a4"/>
        <w:numPr>
          <w:ilvl w:val="0"/>
          <w:numId w:val="441"/>
        </w:numPr>
        <w:tabs>
          <w:tab w:val="left" w:pos="1367"/>
        </w:tabs>
        <w:spacing w:before="1"/>
        <w:rPr>
          <w:b/>
          <w:sz w:val="21"/>
        </w:rPr>
      </w:pPr>
      <w:r>
        <w:rPr>
          <w:spacing w:val="-3"/>
          <w:sz w:val="21"/>
        </w:rPr>
        <w:t>自备发电机房及变配电房。</w:t>
      </w:r>
      <w:r>
        <w:rPr>
          <w:b/>
          <w:w w:val="99"/>
          <w:sz w:val="21"/>
        </w:rPr>
        <w:t xml:space="preserve"> </w:t>
      </w:r>
    </w:p>
    <w:p w14:paraId="079B13CD" w14:textId="77777777" w:rsidR="00A71EEF" w:rsidRDefault="00A71EEF">
      <w:pPr>
        <w:pStyle w:val="a3"/>
        <w:spacing w:before="12"/>
        <w:rPr>
          <w:b/>
          <w:sz w:val="17"/>
        </w:rPr>
      </w:pPr>
    </w:p>
    <w:p w14:paraId="63535E09" w14:textId="77777777" w:rsidR="00A71EEF" w:rsidRDefault="0081115D">
      <w:pPr>
        <w:pStyle w:val="a4"/>
        <w:numPr>
          <w:ilvl w:val="0"/>
          <w:numId w:val="441"/>
        </w:numPr>
        <w:tabs>
          <w:tab w:val="left" w:pos="1367"/>
        </w:tabs>
        <w:rPr>
          <w:b/>
          <w:sz w:val="21"/>
        </w:rPr>
      </w:pPr>
      <w:r>
        <w:rPr>
          <w:spacing w:val="-3"/>
          <w:sz w:val="21"/>
        </w:rPr>
        <w:t>水泵房。</w:t>
      </w:r>
      <w:r>
        <w:rPr>
          <w:b/>
          <w:w w:val="99"/>
          <w:sz w:val="21"/>
        </w:rPr>
        <w:t xml:space="preserve"> </w:t>
      </w:r>
    </w:p>
    <w:p w14:paraId="104B72D0" w14:textId="77777777" w:rsidR="00A71EEF" w:rsidRDefault="00A71EEF">
      <w:pPr>
        <w:pStyle w:val="a3"/>
        <w:spacing w:before="2"/>
        <w:rPr>
          <w:b/>
          <w:sz w:val="18"/>
        </w:rPr>
      </w:pPr>
    </w:p>
    <w:p w14:paraId="39804C7C" w14:textId="77777777" w:rsidR="00A71EEF" w:rsidRDefault="0081115D">
      <w:pPr>
        <w:pStyle w:val="a4"/>
        <w:numPr>
          <w:ilvl w:val="0"/>
          <w:numId w:val="441"/>
        </w:numPr>
        <w:tabs>
          <w:tab w:val="left" w:pos="1367"/>
        </w:tabs>
        <w:rPr>
          <w:b/>
          <w:sz w:val="21"/>
        </w:rPr>
      </w:pPr>
      <w:r>
        <w:rPr>
          <w:spacing w:val="-3"/>
          <w:sz w:val="21"/>
        </w:rPr>
        <w:t>无天然采光的作业场所及疏散通道。</w:t>
      </w:r>
      <w:r>
        <w:rPr>
          <w:b/>
          <w:w w:val="99"/>
          <w:sz w:val="21"/>
        </w:rPr>
        <w:t xml:space="preserve"> </w:t>
      </w:r>
    </w:p>
    <w:p w14:paraId="0A03105C" w14:textId="77777777" w:rsidR="00A71EEF" w:rsidRDefault="00A71EEF">
      <w:pPr>
        <w:pStyle w:val="a3"/>
        <w:spacing w:before="12"/>
        <w:rPr>
          <w:b/>
          <w:sz w:val="17"/>
        </w:rPr>
      </w:pPr>
    </w:p>
    <w:p w14:paraId="32974EB2" w14:textId="77777777" w:rsidR="00A71EEF" w:rsidRDefault="0081115D">
      <w:pPr>
        <w:pStyle w:val="a4"/>
        <w:numPr>
          <w:ilvl w:val="0"/>
          <w:numId w:val="441"/>
        </w:numPr>
        <w:tabs>
          <w:tab w:val="left" w:pos="1367"/>
        </w:tabs>
        <w:rPr>
          <w:sz w:val="21"/>
        </w:rPr>
      </w:pPr>
      <w:r>
        <w:rPr>
          <w:spacing w:val="-3"/>
          <w:sz w:val="21"/>
        </w:rPr>
        <w:t>高度超过</w:t>
      </w:r>
      <w:r>
        <w:rPr>
          <w:spacing w:val="-3"/>
          <w:sz w:val="21"/>
        </w:rPr>
        <w:t xml:space="preserve"> </w:t>
      </w:r>
      <w:r>
        <w:rPr>
          <w:sz w:val="21"/>
        </w:rPr>
        <w:t>100m</w:t>
      </w:r>
      <w:r>
        <w:rPr>
          <w:spacing w:val="-3"/>
          <w:sz w:val="21"/>
        </w:rPr>
        <w:t xml:space="preserve"> </w:t>
      </w:r>
      <w:r>
        <w:rPr>
          <w:spacing w:val="-3"/>
          <w:sz w:val="21"/>
        </w:rPr>
        <w:t>的在建工程的室内疏散通道。</w:t>
      </w:r>
      <w:r>
        <w:rPr>
          <w:sz w:val="21"/>
        </w:rPr>
        <w:t xml:space="preserve"> </w:t>
      </w:r>
    </w:p>
    <w:p w14:paraId="71B2E21F" w14:textId="77777777" w:rsidR="00A71EEF" w:rsidRDefault="00A71EEF">
      <w:pPr>
        <w:pStyle w:val="a3"/>
        <w:rPr>
          <w:sz w:val="18"/>
        </w:rPr>
      </w:pPr>
    </w:p>
    <w:p w14:paraId="7699A8D5" w14:textId="77777777" w:rsidR="00A71EEF" w:rsidRDefault="0081115D">
      <w:pPr>
        <w:pStyle w:val="a4"/>
        <w:numPr>
          <w:ilvl w:val="0"/>
          <w:numId w:val="441"/>
        </w:numPr>
        <w:tabs>
          <w:tab w:val="left" w:pos="1367"/>
        </w:tabs>
        <w:rPr>
          <w:sz w:val="21"/>
        </w:rPr>
      </w:pPr>
      <w:r>
        <w:rPr>
          <w:spacing w:val="-3"/>
          <w:sz w:val="21"/>
        </w:rPr>
        <w:t>发生火灾时仍需坚持工作的其他场所。</w:t>
      </w:r>
      <w:r>
        <w:rPr>
          <w:sz w:val="21"/>
        </w:rPr>
        <w:t xml:space="preserve"> </w:t>
      </w:r>
    </w:p>
    <w:p w14:paraId="7FEEF108" w14:textId="77777777" w:rsidR="00A71EEF" w:rsidRDefault="00A71EEF">
      <w:pPr>
        <w:pStyle w:val="a3"/>
        <w:spacing w:before="1"/>
        <w:rPr>
          <w:sz w:val="18"/>
        </w:rPr>
      </w:pPr>
    </w:p>
    <w:p w14:paraId="0CA1B147" w14:textId="77777777" w:rsidR="00A71EEF" w:rsidRDefault="0081115D">
      <w:pPr>
        <w:pStyle w:val="a4"/>
        <w:numPr>
          <w:ilvl w:val="2"/>
          <w:numId w:val="442"/>
        </w:numPr>
        <w:tabs>
          <w:tab w:val="left" w:pos="1371"/>
        </w:tabs>
        <w:spacing w:before="1" w:line="446" w:lineRule="auto"/>
        <w:ind w:left="418" w:right="1501" w:firstLine="422"/>
        <w:rPr>
          <w:sz w:val="21"/>
        </w:rPr>
      </w:pPr>
      <w:r>
        <w:rPr>
          <w:spacing w:val="-3"/>
          <w:sz w:val="21"/>
        </w:rPr>
        <w:t>作业场所应急照明的照度不应低于正常工作所需照度的</w:t>
      </w:r>
      <w:r>
        <w:rPr>
          <w:spacing w:val="-3"/>
          <w:sz w:val="21"/>
        </w:rPr>
        <w:t xml:space="preserve"> </w:t>
      </w:r>
      <w:r>
        <w:rPr>
          <w:sz w:val="21"/>
        </w:rPr>
        <w:t>90</w:t>
      </w:r>
      <w:r>
        <w:rPr>
          <w:spacing w:val="-3"/>
          <w:sz w:val="21"/>
        </w:rPr>
        <w:t>％，疏散通道的照度值不应小于</w:t>
      </w:r>
      <w:r>
        <w:rPr>
          <w:spacing w:val="-3"/>
          <w:sz w:val="21"/>
        </w:rPr>
        <w:t xml:space="preserve"> </w:t>
      </w:r>
      <w:r>
        <w:rPr>
          <w:sz w:val="21"/>
        </w:rPr>
        <w:t>0.5</w:t>
      </w:r>
      <w:r>
        <w:rPr>
          <w:spacing w:val="1"/>
          <w:sz w:val="21"/>
        </w:rPr>
        <w:t xml:space="preserve"> </w:t>
      </w:r>
      <w:r>
        <w:rPr>
          <w:sz w:val="21"/>
        </w:rPr>
        <w:t>lx</w:t>
      </w:r>
      <w:r>
        <w:rPr>
          <w:spacing w:val="-3"/>
          <w:sz w:val="21"/>
        </w:rPr>
        <w:t>。</w:t>
      </w:r>
      <w:r>
        <w:rPr>
          <w:sz w:val="21"/>
        </w:rPr>
        <w:t xml:space="preserve"> </w:t>
      </w:r>
    </w:p>
    <w:p w14:paraId="321A9D87" w14:textId="77777777" w:rsidR="00A71EEF" w:rsidRDefault="00A71EEF">
      <w:pPr>
        <w:pStyle w:val="a3"/>
        <w:rPr>
          <w:sz w:val="20"/>
        </w:rPr>
      </w:pPr>
    </w:p>
    <w:p w14:paraId="421A0861" w14:textId="77777777" w:rsidR="00A71EEF" w:rsidRDefault="00A71EEF">
      <w:pPr>
        <w:pStyle w:val="a3"/>
        <w:spacing w:before="12"/>
        <w:rPr>
          <w:sz w:val="18"/>
        </w:rPr>
      </w:pPr>
    </w:p>
    <w:p w14:paraId="7BC03DE3" w14:textId="77777777" w:rsidR="00A71EEF" w:rsidRDefault="0081115D">
      <w:pPr>
        <w:pStyle w:val="a4"/>
        <w:numPr>
          <w:ilvl w:val="2"/>
          <w:numId w:val="442"/>
        </w:numPr>
        <w:tabs>
          <w:tab w:val="left" w:pos="1370"/>
        </w:tabs>
        <w:spacing w:line="446" w:lineRule="auto"/>
        <w:ind w:left="418" w:right="1604" w:firstLine="422"/>
        <w:rPr>
          <w:sz w:val="21"/>
        </w:rPr>
      </w:pPr>
      <w:r>
        <w:rPr>
          <w:spacing w:val="-3"/>
          <w:sz w:val="21"/>
        </w:rPr>
        <w:t>临时消防应急照明灯具宜选用自备电源的应急照明灯具，自备电源的连续供电时间不应小于</w:t>
      </w:r>
      <w:r>
        <w:rPr>
          <w:spacing w:val="-3"/>
          <w:sz w:val="21"/>
        </w:rPr>
        <w:t xml:space="preserve"> </w:t>
      </w:r>
      <w:r>
        <w:rPr>
          <w:sz w:val="21"/>
        </w:rPr>
        <w:t>60min</w:t>
      </w:r>
      <w:r>
        <w:rPr>
          <w:spacing w:val="-3"/>
          <w:sz w:val="21"/>
        </w:rPr>
        <w:t>。</w:t>
      </w:r>
      <w:r>
        <w:rPr>
          <w:sz w:val="21"/>
        </w:rPr>
        <w:t xml:space="preserve"> </w:t>
      </w:r>
    </w:p>
    <w:p w14:paraId="191326B4" w14:textId="77777777" w:rsidR="00A71EEF" w:rsidRDefault="0081115D">
      <w:pPr>
        <w:pStyle w:val="4"/>
        <w:spacing w:line="275" w:lineRule="exact"/>
      </w:pPr>
      <w:r>
        <w:t xml:space="preserve">6 </w:t>
      </w:r>
      <w:r>
        <w:t>防火管理</w:t>
      </w:r>
      <w:r>
        <w:rPr>
          <w:w w:val="99"/>
        </w:rPr>
        <w:t xml:space="preserve"> </w:t>
      </w:r>
    </w:p>
    <w:p w14:paraId="0EC076F9" w14:textId="77777777" w:rsidR="00A71EEF" w:rsidRDefault="00A71EEF">
      <w:pPr>
        <w:pStyle w:val="a3"/>
        <w:spacing w:before="6"/>
        <w:rPr>
          <w:b/>
          <w:sz w:val="17"/>
        </w:rPr>
      </w:pPr>
    </w:p>
    <w:p w14:paraId="08A0EF0D" w14:textId="77777777" w:rsidR="00A71EEF" w:rsidRDefault="0081115D">
      <w:pPr>
        <w:pStyle w:val="a4"/>
        <w:numPr>
          <w:ilvl w:val="1"/>
          <w:numId w:val="440"/>
        </w:numPr>
        <w:tabs>
          <w:tab w:val="left" w:pos="1159"/>
        </w:tabs>
        <w:spacing w:before="1"/>
        <w:ind w:hanging="319"/>
        <w:rPr>
          <w:b/>
          <w:sz w:val="21"/>
        </w:rPr>
      </w:pPr>
      <w:r>
        <w:rPr>
          <w:spacing w:val="-3"/>
          <w:sz w:val="21"/>
        </w:rPr>
        <w:t>一般规定</w:t>
      </w:r>
      <w:r>
        <w:rPr>
          <w:b/>
          <w:w w:val="99"/>
          <w:sz w:val="21"/>
        </w:rPr>
        <w:t xml:space="preserve"> </w:t>
      </w:r>
    </w:p>
    <w:p w14:paraId="20FF68DE" w14:textId="77777777" w:rsidR="00A71EEF" w:rsidRDefault="00A71EEF">
      <w:pPr>
        <w:pStyle w:val="a3"/>
        <w:spacing w:before="12"/>
        <w:rPr>
          <w:b/>
          <w:sz w:val="17"/>
        </w:rPr>
      </w:pPr>
    </w:p>
    <w:p w14:paraId="0166C765" w14:textId="77777777" w:rsidR="00A71EEF" w:rsidRDefault="0081115D">
      <w:pPr>
        <w:pStyle w:val="a4"/>
        <w:numPr>
          <w:ilvl w:val="2"/>
          <w:numId w:val="440"/>
        </w:numPr>
        <w:tabs>
          <w:tab w:val="left" w:pos="1371"/>
        </w:tabs>
        <w:rPr>
          <w:sz w:val="21"/>
        </w:rPr>
      </w:pPr>
      <w:r>
        <w:rPr>
          <w:spacing w:val="-3"/>
          <w:sz w:val="21"/>
        </w:rPr>
        <w:t>施工现场的消防安全管理应由施工单位负责。</w:t>
      </w:r>
      <w:r>
        <w:rPr>
          <w:spacing w:val="-3"/>
          <w:sz w:val="21"/>
        </w:rPr>
        <w:t xml:space="preserve"> </w:t>
      </w:r>
    </w:p>
    <w:p w14:paraId="5EFC30C0" w14:textId="77777777" w:rsidR="00A71EEF" w:rsidRDefault="00A71EEF">
      <w:pPr>
        <w:pStyle w:val="a3"/>
        <w:rPr>
          <w:sz w:val="18"/>
        </w:rPr>
      </w:pPr>
    </w:p>
    <w:p w14:paraId="0BE72566" w14:textId="77777777" w:rsidR="00A71EEF" w:rsidRDefault="0081115D">
      <w:pPr>
        <w:pStyle w:val="a3"/>
        <w:spacing w:line="446" w:lineRule="auto"/>
        <w:ind w:left="418" w:right="1609" w:firstLine="419"/>
      </w:pPr>
      <w:r>
        <w:t>实行施工总承包时，应由总承包单位负责。分包单位应向总承包单位负责，并应服从总承包单位的管理，同时应承担国家法律、法规规定的消防责任和义务。</w:t>
      </w:r>
      <w:r>
        <w:t xml:space="preserve"> </w:t>
      </w:r>
    </w:p>
    <w:p w14:paraId="3D926B5C" w14:textId="77777777" w:rsidR="00A71EEF" w:rsidRDefault="0081115D">
      <w:pPr>
        <w:pStyle w:val="a4"/>
        <w:numPr>
          <w:ilvl w:val="2"/>
          <w:numId w:val="440"/>
        </w:numPr>
        <w:tabs>
          <w:tab w:val="left" w:pos="1371"/>
        </w:tabs>
        <w:rPr>
          <w:sz w:val="21"/>
        </w:rPr>
      </w:pPr>
      <w:r>
        <w:rPr>
          <w:spacing w:val="-3"/>
          <w:sz w:val="21"/>
        </w:rPr>
        <w:t>监理单位应对施工现场的消防安全管理实施监理。</w:t>
      </w:r>
      <w:r>
        <w:rPr>
          <w:sz w:val="21"/>
        </w:rPr>
        <w:t xml:space="preserve"> </w:t>
      </w:r>
    </w:p>
    <w:p w14:paraId="352D6FD4" w14:textId="77777777" w:rsidR="00A71EEF" w:rsidRDefault="00A71EEF">
      <w:pPr>
        <w:pStyle w:val="a3"/>
        <w:spacing w:before="12"/>
        <w:rPr>
          <w:sz w:val="17"/>
        </w:rPr>
      </w:pPr>
    </w:p>
    <w:p w14:paraId="2B27F5D4" w14:textId="77777777" w:rsidR="00A71EEF" w:rsidRDefault="0081115D">
      <w:pPr>
        <w:pStyle w:val="a4"/>
        <w:numPr>
          <w:ilvl w:val="2"/>
          <w:numId w:val="440"/>
        </w:numPr>
        <w:tabs>
          <w:tab w:val="left" w:pos="1371"/>
        </w:tabs>
        <w:spacing w:line="446" w:lineRule="auto"/>
        <w:ind w:left="418" w:right="1604" w:firstLine="422"/>
        <w:jc w:val="both"/>
        <w:rPr>
          <w:sz w:val="21"/>
        </w:rPr>
      </w:pPr>
      <w:r>
        <w:rPr>
          <w:spacing w:val="-3"/>
          <w:sz w:val="21"/>
        </w:rPr>
        <w:t>施工单位应根据建设项目规模、现场消防安全管理的重点，在施工现场建立消防安全管理组织机构及义务消防组织，并应确定消防安全负责人和消防安全管理人员，同时应落实相关人员的消防安全管理责任。</w:t>
      </w:r>
      <w:r>
        <w:rPr>
          <w:sz w:val="21"/>
        </w:rPr>
        <w:t xml:space="preserve"> </w:t>
      </w:r>
    </w:p>
    <w:p w14:paraId="370E8961" w14:textId="77777777" w:rsidR="00A71EEF" w:rsidRDefault="0081115D">
      <w:pPr>
        <w:pStyle w:val="a4"/>
        <w:numPr>
          <w:ilvl w:val="2"/>
          <w:numId w:val="440"/>
        </w:numPr>
        <w:tabs>
          <w:tab w:val="left" w:pos="1370"/>
        </w:tabs>
        <w:spacing w:line="446" w:lineRule="auto"/>
        <w:ind w:left="418" w:right="1498" w:firstLine="422"/>
        <w:jc w:val="both"/>
        <w:rPr>
          <w:sz w:val="21"/>
        </w:rPr>
      </w:pPr>
      <w:r>
        <w:rPr>
          <w:spacing w:val="-3"/>
          <w:sz w:val="21"/>
        </w:rPr>
        <w:t>施工单位应针对施工现场可能导致火灾发生的施工作业及其他活动，制订消防安全管理制度。消防安全管理制度应包括下列主要内容：</w:t>
      </w:r>
      <w:r>
        <w:rPr>
          <w:spacing w:val="-3"/>
          <w:sz w:val="21"/>
        </w:rPr>
        <w:t xml:space="preserve"> </w:t>
      </w:r>
    </w:p>
    <w:p w14:paraId="43B90D07" w14:textId="77777777" w:rsidR="00A71EEF" w:rsidRDefault="00A71EEF">
      <w:pPr>
        <w:spacing w:line="446" w:lineRule="auto"/>
        <w:jc w:val="both"/>
        <w:rPr>
          <w:sz w:val="21"/>
        </w:rPr>
        <w:sectPr w:rsidR="00A71EEF">
          <w:pgSz w:w="11910" w:h="16850"/>
          <w:pgMar w:top="1220" w:right="0" w:bottom="1420" w:left="1260" w:header="0" w:footer="1239" w:gutter="0"/>
          <w:cols w:space="720"/>
        </w:sectPr>
      </w:pPr>
    </w:p>
    <w:p w14:paraId="2D35A7A0" w14:textId="77777777" w:rsidR="00A71EEF" w:rsidRDefault="0081115D">
      <w:pPr>
        <w:pStyle w:val="a4"/>
        <w:numPr>
          <w:ilvl w:val="0"/>
          <w:numId w:val="439"/>
        </w:numPr>
        <w:tabs>
          <w:tab w:val="left" w:pos="1367"/>
        </w:tabs>
        <w:spacing w:before="47"/>
        <w:rPr>
          <w:sz w:val="21"/>
        </w:rPr>
      </w:pPr>
      <w:r>
        <w:rPr>
          <w:spacing w:val="-3"/>
          <w:sz w:val="21"/>
        </w:rPr>
        <w:t>消防安全教育与培训制度。</w:t>
      </w:r>
      <w:r>
        <w:rPr>
          <w:sz w:val="21"/>
        </w:rPr>
        <w:t xml:space="preserve"> </w:t>
      </w:r>
    </w:p>
    <w:p w14:paraId="7E6C760B" w14:textId="77777777" w:rsidR="00A71EEF" w:rsidRDefault="00A71EEF">
      <w:pPr>
        <w:pStyle w:val="a3"/>
        <w:rPr>
          <w:sz w:val="18"/>
        </w:rPr>
      </w:pPr>
    </w:p>
    <w:p w14:paraId="21F98ACB" w14:textId="77777777" w:rsidR="00A71EEF" w:rsidRDefault="0081115D">
      <w:pPr>
        <w:pStyle w:val="a4"/>
        <w:numPr>
          <w:ilvl w:val="0"/>
          <w:numId w:val="439"/>
        </w:numPr>
        <w:tabs>
          <w:tab w:val="left" w:pos="1367"/>
        </w:tabs>
        <w:rPr>
          <w:sz w:val="21"/>
        </w:rPr>
      </w:pPr>
      <w:r>
        <w:rPr>
          <w:spacing w:val="-3"/>
          <w:sz w:val="21"/>
        </w:rPr>
        <w:t>可燃及易燃易爆危险品管理制度。</w:t>
      </w:r>
      <w:r>
        <w:rPr>
          <w:sz w:val="21"/>
        </w:rPr>
        <w:t xml:space="preserve"> </w:t>
      </w:r>
    </w:p>
    <w:p w14:paraId="7D4E5EE4" w14:textId="77777777" w:rsidR="00A71EEF" w:rsidRDefault="00A71EEF">
      <w:pPr>
        <w:pStyle w:val="a3"/>
        <w:rPr>
          <w:sz w:val="18"/>
        </w:rPr>
      </w:pPr>
    </w:p>
    <w:p w14:paraId="429B462A" w14:textId="77777777" w:rsidR="00A71EEF" w:rsidRDefault="0081115D">
      <w:pPr>
        <w:pStyle w:val="a4"/>
        <w:numPr>
          <w:ilvl w:val="0"/>
          <w:numId w:val="439"/>
        </w:numPr>
        <w:tabs>
          <w:tab w:val="left" w:pos="1367"/>
        </w:tabs>
        <w:rPr>
          <w:sz w:val="21"/>
        </w:rPr>
      </w:pPr>
      <w:r>
        <w:rPr>
          <w:spacing w:val="-3"/>
          <w:sz w:val="21"/>
        </w:rPr>
        <w:t>用火、用电、用气管理制度。</w:t>
      </w:r>
      <w:r>
        <w:rPr>
          <w:sz w:val="21"/>
        </w:rPr>
        <w:t xml:space="preserve"> </w:t>
      </w:r>
    </w:p>
    <w:p w14:paraId="59DFA47B" w14:textId="77777777" w:rsidR="00A71EEF" w:rsidRDefault="00A71EEF">
      <w:pPr>
        <w:pStyle w:val="a3"/>
        <w:spacing w:before="1"/>
        <w:rPr>
          <w:sz w:val="18"/>
        </w:rPr>
      </w:pPr>
    </w:p>
    <w:p w14:paraId="73B5D9BF" w14:textId="77777777" w:rsidR="00A71EEF" w:rsidRDefault="0081115D">
      <w:pPr>
        <w:pStyle w:val="a4"/>
        <w:numPr>
          <w:ilvl w:val="0"/>
          <w:numId w:val="439"/>
        </w:numPr>
        <w:tabs>
          <w:tab w:val="left" w:pos="1367"/>
        </w:tabs>
        <w:spacing w:before="1"/>
        <w:rPr>
          <w:sz w:val="21"/>
        </w:rPr>
      </w:pPr>
      <w:r>
        <w:rPr>
          <w:spacing w:val="-3"/>
          <w:sz w:val="21"/>
        </w:rPr>
        <w:t>消防安全检查制度。</w:t>
      </w:r>
      <w:r>
        <w:rPr>
          <w:sz w:val="21"/>
        </w:rPr>
        <w:t xml:space="preserve"> </w:t>
      </w:r>
    </w:p>
    <w:p w14:paraId="226F7724" w14:textId="77777777" w:rsidR="00A71EEF" w:rsidRDefault="00A71EEF">
      <w:pPr>
        <w:pStyle w:val="a3"/>
        <w:spacing w:before="12"/>
        <w:rPr>
          <w:sz w:val="17"/>
        </w:rPr>
      </w:pPr>
    </w:p>
    <w:p w14:paraId="293A5235" w14:textId="77777777" w:rsidR="00A71EEF" w:rsidRDefault="0081115D">
      <w:pPr>
        <w:pStyle w:val="a4"/>
        <w:numPr>
          <w:ilvl w:val="0"/>
          <w:numId w:val="439"/>
        </w:numPr>
        <w:tabs>
          <w:tab w:val="left" w:pos="1367"/>
        </w:tabs>
        <w:rPr>
          <w:sz w:val="21"/>
        </w:rPr>
      </w:pPr>
      <w:r>
        <w:rPr>
          <w:spacing w:val="-3"/>
          <w:sz w:val="21"/>
        </w:rPr>
        <w:t>应急预案演练制度。</w:t>
      </w:r>
      <w:r>
        <w:rPr>
          <w:sz w:val="21"/>
        </w:rPr>
        <w:t xml:space="preserve"> </w:t>
      </w:r>
    </w:p>
    <w:p w14:paraId="3D708296" w14:textId="77777777" w:rsidR="00A71EEF" w:rsidRDefault="00A71EEF">
      <w:pPr>
        <w:pStyle w:val="a3"/>
        <w:spacing w:before="12"/>
        <w:rPr>
          <w:sz w:val="17"/>
        </w:rPr>
      </w:pPr>
    </w:p>
    <w:p w14:paraId="204E8B56" w14:textId="77777777" w:rsidR="00A71EEF" w:rsidRDefault="0081115D">
      <w:pPr>
        <w:pStyle w:val="a4"/>
        <w:numPr>
          <w:ilvl w:val="2"/>
          <w:numId w:val="440"/>
        </w:numPr>
        <w:tabs>
          <w:tab w:val="left" w:pos="1424"/>
        </w:tabs>
        <w:spacing w:line="446" w:lineRule="auto"/>
        <w:ind w:left="418" w:right="1657" w:firstLine="422"/>
        <w:rPr>
          <w:sz w:val="21"/>
        </w:rPr>
      </w:pPr>
      <w:r>
        <w:rPr>
          <w:spacing w:val="-3"/>
          <w:sz w:val="21"/>
        </w:rPr>
        <w:t>施工单位应编制施工现场防火技术方案，并应根据现场情况变化及时对其修改、完善。防火技术方案应包括下列主要内容：</w:t>
      </w:r>
      <w:r>
        <w:rPr>
          <w:sz w:val="21"/>
        </w:rPr>
        <w:t xml:space="preserve"> </w:t>
      </w:r>
    </w:p>
    <w:p w14:paraId="004429BA" w14:textId="77777777" w:rsidR="00A71EEF" w:rsidRDefault="0081115D">
      <w:pPr>
        <w:pStyle w:val="a4"/>
        <w:numPr>
          <w:ilvl w:val="0"/>
          <w:numId w:val="438"/>
        </w:numPr>
        <w:tabs>
          <w:tab w:val="left" w:pos="1367"/>
        </w:tabs>
        <w:spacing w:before="1"/>
        <w:rPr>
          <w:sz w:val="21"/>
        </w:rPr>
      </w:pPr>
      <w:r>
        <w:rPr>
          <w:spacing w:val="-3"/>
          <w:sz w:val="21"/>
        </w:rPr>
        <w:t>施工现场重大火灾危险源辨识。</w:t>
      </w:r>
      <w:r>
        <w:rPr>
          <w:sz w:val="21"/>
        </w:rPr>
        <w:t xml:space="preserve"> </w:t>
      </w:r>
    </w:p>
    <w:p w14:paraId="520182FC" w14:textId="77777777" w:rsidR="00A71EEF" w:rsidRDefault="00A71EEF">
      <w:pPr>
        <w:pStyle w:val="a3"/>
        <w:spacing w:before="12"/>
        <w:rPr>
          <w:sz w:val="17"/>
        </w:rPr>
      </w:pPr>
    </w:p>
    <w:p w14:paraId="1F0AE327" w14:textId="77777777" w:rsidR="00A71EEF" w:rsidRDefault="0081115D">
      <w:pPr>
        <w:pStyle w:val="a4"/>
        <w:numPr>
          <w:ilvl w:val="0"/>
          <w:numId w:val="438"/>
        </w:numPr>
        <w:tabs>
          <w:tab w:val="left" w:pos="1367"/>
        </w:tabs>
        <w:rPr>
          <w:sz w:val="21"/>
        </w:rPr>
      </w:pPr>
      <w:r>
        <w:rPr>
          <w:spacing w:val="-3"/>
          <w:sz w:val="21"/>
        </w:rPr>
        <w:t>施工现场防火技术措施。</w:t>
      </w:r>
      <w:r>
        <w:rPr>
          <w:sz w:val="21"/>
        </w:rPr>
        <w:t xml:space="preserve"> </w:t>
      </w:r>
    </w:p>
    <w:p w14:paraId="7FB91CB7" w14:textId="77777777" w:rsidR="00A71EEF" w:rsidRDefault="00A71EEF">
      <w:pPr>
        <w:pStyle w:val="a3"/>
        <w:spacing w:before="2"/>
        <w:rPr>
          <w:sz w:val="18"/>
        </w:rPr>
      </w:pPr>
    </w:p>
    <w:p w14:paraId="7B8F989B" w14:textId="77777777" w:rsidR="00A71EEF" w:rsidRDefault="0081115D">
      <w:pPr>
        <w:pStyle w:val="a4"/>
        <w:numPr>
          <w:ilvl w:val="0"/>
          <w:numId w:val="438"/>
        </w:numPr>
        <w:tabs>
          <w:tab w:val="left" w:pos="1367"/>
        </w:tabs>
        <w:rPr>
          <w:sz w:val="21"/>
        </w:rPr>
      </w:pPr>
      <w:r>
        <w:rPr>
          <w:spacing w:val="-3"/>
          <w:sz w:val="21"/>
        </w:rPr>
        <w:t>临时消防设施、临时疏散设施配备。</w:t>
      </w:r>
      <w:r>
        <w:rPr>
          <w:sz w:val="21"/>
        </w:rPr>
        <w:t xml:space="preserve"> </w:t>
      </w:r>
    </w:p>
    <w:p w14:paraId="4EDE6386" w14:textId="77777777" w:rsidR="00A71EEF" w:rsidRDefault="00A71EEF">
      <w:pPr>
        <w:pStyle w:val="a3"/>
        <w:spacing w:before="12"/>
        <w:rPr>
          <w:sz w:val="17"/>
        </w:rPr>
      </w:pPr>
    </w:p>
    <w:p w14:paraId="449CF734" w14:textId="77777777" w:rsidR="00A71EEF" w:rsidRDefault="0081115D">
      <w:pPr>
        <w:pStyle w:val="a4"/>
        <w:numPr>
          <w:ilvl w:val="0"/>
          <w:numId w:val="438"/>
        </w:numPr>
        <w:tabs>
          <w:tab w:val="left" w:pos="1367"/>
        </w:tabs>
        <w:rPr>
          <w:sz w:val="21"/>
        </w:rPr>
      </w:pPr>
      <w:r>
        <w:rPr>
          <w:spacing w:val="-3"/>
          <w:sz w:val="21"/>
        </w:rPr>
        <w:t>临时消防设施和消防警示标识布置图。</w:t>
      </w:r>
      <w:r>
        <w:rPr>
          <w:sz w:val="21"/>
        </w:rPr>
        <w:t xml:space="preserve"> </w:t>
      </w:r>
    </w:p>
    <w:p w14:paraId="54C45277" w14:textId="77777777" w:rsidR="00A71EEF" w:rsidRDefault="00A71EEF">
      <w:pPr>
        <w:pStyle w:val="a3"/>
        <w:rPr>
          <w:sz w:val="18"/>
        </w:rPr>
      </w:pPr>
    </w:p>
    <w:p w14:paraId="0A9C9180" w14:textId="77777777" w:rsidR="00A71EEF" w:rsidRDefault="0081115D">
      <w:pPr>
        <w:pStyle w:val="a4"/>
        <w:numPr>
          <w:ilvl w:val="2"/>
          <w:numId w:val="440"/>
        </w:numPr>
        <w:tabs>
          <w:tab w:val="left" w:pos="1371"/>
        </w:tabs>
        <w:spacing w:line="446" w:lineRule="auto"/>
        <w:ind w:left="418" w:right="1603" w:firstLine="422"/>
        <w:rPr>
          <w:sz w:val="21"/>
        </w:rPr>
      </w:pPr>
      <w:r>
        <w:rPr>
          <w:spacing w:val="-3"/>
          <w:sz w:val="21"/>
        </w:rPr>
        <w:t>施工单位应编制施工现场灭火及应急疏散预案。灭火及应急疏散预案应包括下列主要内容：</w:t>
      </w:r>
      <w:r>
        <w:rPr>
          <w:sz w:val="21"/>
        </w:rPr>
        <w:t xml:space="preserve"> </w:t>
      </w:r>
    </w:p>
    <w:p w14:paraId="33868F0D" w14:textId="77777777" w:rsidR="00A71EEF" w:rsidRDefault="0081115D">
      <w:pPr>
        <w:pStyle w:val="a4"/>
        <w:numPr>
          <w:ilvl w:val="0"/>
          <w:numId w:val="437"/>
        </w:numPr>
        <w:tabs>
          <w:tab w:val="left" w:pos="1367"/>
        </w:tabs>
        <w:rPr>
          <w:sz w:val="21"/>
        </w:rPr>
      </w:pPr>
      <w:r>
        <w:rPr>
          <w:spacing w:val="-3"/>
          <w:sz w:val="21"/>
        </w:rPr>
        <w:t>应急灭火处置机构及各级人员应急处置职责。</w:t>
      </w:r>
      <w:r>
        <w:rPr>
          <w:sz w:val="21"/>
        </w:rPr>
        <w:t xml:space="preserve"> </w:t>
      </w:r>
    </w:p>
    <w:p w14:paraId="4C2ABE5D" w14:textId="77777777" w:rsidR="00A71EEF" w:rsidRDefault="00A71EEF">
      <w:pPr>
        <w:pStyle w:val="a3"/>
        <w:spacing w:before="12"/>
        <w:rPr>
          <w:sz w:val="17"/>
        </w:rPr>
      </w:pPr>
    </w:p>
    <w:p w14:paraId="1ED5CB0E" w14:textId="77777777" w:rsidR="00A71EEF" w:rsidRDefault="0081115D">
      <w:pPr>
        <w:pStyle w:val="a4"/>
        <w:numPr>
          <w:ilvl w:val="0"/>
          <w:numId w:val="437"/>
        </w:numPr>
        <w:tabs>
          <w:tab w:val="left" w:pos="1367"/>
        </w:tabs>
        <w:rPr>
          <w:sz w:val="21"/>
        </w:rPr>
      </w:pPr>
      <w:r>
        <w:rPr>
          <w:spacing w:val="-3"/>
          <w:sz w:val="21"/>
        </w:rPr>
        <w:t>报警、接警处置的程序和通讯联络的方式。</w:t>
      </w:r>
      <w:r>
        <w:rPr>
          <w:sz w:val="21"/>
        </w:rPr>
        <w:t xml:space="preserve"> </w:t>
      </w:r>
    </w:p>
    <w:p w14:paraId="0ADBA6B0" w14:textId="77777777" w:rsidR="00A71EEF" w:rsidRDefault="00A71EEF">
      <w:pPr>
        <w:pStyle w:val="a3"/>
        <w:spacing w:before="2"/>
        <w:rPr>
          <w:sz w:val="18"/>
        </w:rPr>
      </w:pPr>
    </w:p>
    <w:p w14:paraId="2796762C" w14:textId="77777777" w:rsidR="00A71EEF" w:rsidRDefault="0081115D">
      <w:pPr>
        <w:pStyle w:val="a4"/>
        <w:numPr>
          <w:ilvl w:val="0"/>
          <w:numId w:val="437"/>
        </w:numPr>
        <w:tabs>
          <w:tab w:val="left" w:pos="1367"/>
        </w:tabs>
        <w:rPr>
          <w:sz w:val="21"/>
        </w:rPr>
      </w:pPr>
      <w:r>
        <w:rPr>
          <w:spacing w:val="-3"/>
          <w:sz w:val="21"/>
        </w:rPr>
        <w:t>扑救初起火灾的程序和措施。</w:t>
      </w:r>
      <w:r>
        <w:rPr>
          <w:sz w:val="21"/>
        </w:rPr>
        <w:t xml:space="preserve"> </w:t>
      </w:r>
    </w:p>
    <w:p w14:paraId="52402D5B" w14:textId="77777777" w:rsidR="00A71EEF" w:rsidRDefault="00A71EEF">
      <w:pPr>
        <w:pStyle w:val="a3"/>
        <w:rPr>
          <w:sz w:val="18"/>
        </w:rPr>
      </w:pPr>
    </w:p>
    <w:p w14:paraId="0318DED1" w14:textId="77777777" w:rsidR="00A71EEF" w:rsidRDefault="0081115D">
      <w:pPr>
        <w:pStyle w:val="a4"/>
        <w:numPr>
          <w:ilvl w:val="0"/>
          <w:numId w:val="437"/>
        </w:numPr>
        <w:tabs>
          <w:tab w:val="left" w:pos="1367"/>
        </w:tabs>
        <w:rPr>
          <w:sz w:val="21"/>
        </w:rPr>
      </w:pPr>
      <w:r>
        <w:rPr>
          <w:spacing w:val="-3"/>
          <w:sz w:val="21"/>
        </w:rPr>
        <w:t>应急疏散及救援的程序和措施。</w:t>
      </w:r>
      <w:r>
        <w:rPr>
          <w:sz w:val="21"/>
        </w:rPr>
        <w:t xml:space="preserve"> </w:t>
      </w:r>
    </w:p>
    <w:p w14:paraId="6C28BAD6" w14:textId="77777777" w:rsidR="00A71EEF" w:rsidRDefault="00A71EEF">
      <w:pPr>
        <w:pStyle w:val="a3"/>
        <w:spacing w:before="12"/>
        <w:rPr>
          <w:sz w:val="17"/>
        </w:rPr>
      </w:pPr>
    </w:p>
    <w:p w14:paraId="71948573" w14:textId="77777777" w:rsidR="00A71EEF" w:rsidRDefault="0081115D">
      <w:pPr>
        <w:pStyle w:val="a4"/>
        <w:numPr>
          <w:ilvl w:val="2"/>
          <w:numId w:val="440"/>
        </w:numPr>
        <w:tabs>
          <w:tab w:val="left" w:pos="1370"/>
        </w:tabs>
        <w:spacing w:line="446" w:lineRule="auto"/>
        <w:ind w:left="418" w:right="1498" w:firstLine="422"/>
        <w:rPr>
          <w:sz w:val="21"/>
        </w:rPr>
      </w:pPr>
      <w:r>
        <w:rPr>
          <w:spacing w:val="-3"/>
          <w:sz w:val="21"/>
        </w:rPr>
        <w:t>施工人员进场时，施工现场的消防安全管理人员应向施工人员进行消防安全教育和培训。消防安全教育和培训应包括下列内容：</w:t>
      </w:r>
      <w:r>
        <w:rPr>
          <w:sz w:val="21"/>
        </w:rPr>
        <w:t xml:space="preserve"> </w:t>
      </w:r>
    </w:p>
    <w:p w14:paraId="69D0784C" w14:textId="77777777" w:rsidR="00A71EEF" w:rsidRDefault="0081115D">
      <w:pPr>
        <w:pStyle w:val="a4"/>
        <w:numPr>
          <w:ilvl w:val="0"/>
          <w:numId w:val="436"/>
        </w:numPr>
        <w:tabs>
          <w:tab w:val="left" w:pos="1367"/>
        </w:tabs>
        <w:spacing w:before="1"/>
        <w:rPr>
          <w:sz w:val="21"/>
        </w:rPr>
      </w:pPr>
      <w:r>
        <w:rPr>
          <w:spacing w:val="-3"/>
          <w:sz w:val="21"/>
        </w:rPr>
        <w:t>施工现场消防安全管理制度、防火技术方案、灭火及应急疏散预案的主要内容。</w:t>
      </w:r>
      <w:r>
        <w:rPr>
          <w:sz w:val="21"/>
        </w:rPr>
        <w:t xml:space="preserve"> </w:t>
      </w:r>
    </w:p>
    <w:p w14:paraId="7DA3EE9F" w14:textId="77777777" w:rsidR="00A71EEF" w:rsidRDefault="00A71EEF">
      <w:pPr>
        <w:pStyle w:val="a3"/>
        <w:spacing w:before="12"/>
        <w:rPr>
          <w:sz w:val="17"/>
        </w:rPr>
      </w:pPr>
    </w:p>
    <w:p w14:paraId="15064300" w14:textId="77777777" w:rsidR="00A71EEF" w:rsidRDefault="0081115D">
      <w:pPr>
        <w:pStyle w:val="a4"/>
        <w:numPr>
          <w:ilvl w:val="0"/>
          <w:numId w:val="436"/>
        </w:numPr>
        <w:tabs>
          <w:tab w:val="left" w:pos="1367"/>
        </w:tabs>
        <w:rPr>
          <w:sz w:val="21"/>
        </w:rPr>
      </w:pPr>
      <w:r>
        <w:rPr>
          <w:spacing w:val="-3"/>
          <w:sz w:val="21"/>
        </w:rPr>
        <w:t>施工现场临时消防设施的性能及使用、维护方法。</w:t>
      </w:r>
      <w:r>
        <w:rPr>
          <w:sz w:val="21"/>
        </w:rPr>
        <w:t xml:space="preserve"> </w:t>
      </w:r>
    </w:p>
    <w:p w14:paraId="2C450695" w14:textId="77777777" w:rsidR="00A71EEF" w:rsidRDefault="00A71EEF">
      <w:pPr>
        <w:pStyle w:val="a3"/>
        <w:spacing w:before="2"/>
        <w:rPr>
          <w:sz w:val="18"/>
        </w:rPr>
      </w:pPr>
    </w:p>
    <w:p w14:paraId="6F1A42B7" w14:textId="77777777" w:rsidR="00A71EEF" w:rsidRDefault="0081115D">
      <w:pPr>
        <w:pStyle w:val="a4"/>
        <w:numPr>
          <w:ilvl w:val="0"/>
          <w:numId w:val="436"/>
        </w:numPr>
        <w:tabs>
          <w:tab w:val="left" w:pos="1367"/>
        </w:tabs>
        <w:rPr>
          <w:sz w:val="21"/>
        </w:rPr>
      </w:pPr>
      <w:r>
        <w:rPr>
          <w:spacing w:val="-3"/>
          <w:sz w:val="21"/>
        </w:rPr>
        <w:t>扑灭初起火灾及自救逃生的知识和技能。</w:t>
      </w:r>
      <w:r>
        <w:rPr>
          <w:sz w:val="21"/>
        </w:rPr>
        <w:t xml:space="preserve"> </w:t>
      </w:r>
    </w:p>
    <w:p w14:paraId="5D7E5659" w14:textId="77777777" w:rsidR="00A71EEF" w:rsidRDefault="00A71EEF">
      <w:pPr>
        <w:pStyle w:val="a3"/>
        <w:spacing w:before="12"/>
        <w:rPr>
          <w:sz w:val="17"/>
        </w:rPr>
      </w:pPr>
    </w:p>
    <w:p w14:paraId="52C37583" w14:textId="77777777" w:rsidR="00A71EEF" w:rsidRDefault="0081115D">
      <w:pPr>
        <w:pStyle w:val="a4"/>
        <w:numPr>
          <w:ilvl w:val="0"/>
          <w:numId w:val="436"/>
        </w:numPr>
        <w:tabs>
          <w:tab w:val="left" w:pos="1367"/>
        </w:tabs>
        <w:rPr>
          <w:sz w:val="21"/>
        </w:rPr>
      </w:pPr>
      <w:r>
        <w:rPr>
          <w:spacing w:val="-3"/>
          <w:sz w:val="21"/>
        </w:rPr>
        <w:t>报警、接警的程序和方法。</w:t>
      </w:r>
      <w:r>
        <w:rPr>
          <w:sz w:val="21"/>
        </w:rPr>
        <w:t xml:space="preserve"> </w:t>
      </w:r>
    </w:p>
    <w:p w14:paraId="2F8012FC" w14:textId="77777777" w:rsidR="00A71EEF" w:rsidRDefault="00A71EEF">
      <w:pPr>
        <w:pStyle w:val="a3"/>
        <w:rPr>
          <w:sz w:val="18"/>
        </w:rPr>
      </w:pPr>
    </w:p>
    <w:p w14:paraId="5F6512B4" w14:textId="77777777" w:rsidR="00A71EEF" w:rsidRDefault="0081115D">
      <w:pPr>
        <w:pStyle w:val="a4"/>
        <w:numPr>
          <w:ilvl w:val="2"/>
          <w:numId w:val="440"/>
        </w:numPr>
        <w:tabs>
          <w:tab w:val="left" w:pos="1424"/>
        </w:tabs>
        <w:spacing w:line="446" w:lineRule="auto"/>
        <w:ind w:left="418" w:right="1445" w:firstLine="422"/>
        <w:rPr>
          <w:sz w:val="21"/>
        </w:rPr>
      </w:pPr>
      <w:r>
        <w:rPr>
          <w:spacing w:val="-3"/>
          <w:sz w:val="21"/>
        </w:rPr>
        <w:t>施工作业前，施工现场的施工管理人员应向作业人员进行消防安全技术交底。消防安全技术交底应包括下列主要内容：</w:t>
      </w:r>
      <w:r>
        <w:rPr>
          <w:sz w:val="21"/>
        </w:rPr>
        <w:t xml:space="preserve"> </w:t>
      </w:r>
    </w:p>
    <w:p w14:paraId="438B7655" w14:textId="77777777" w:rsidR="00A71EEF" w:rsidRDefault="0081115D">
      <w:pPr>
        <w:pStyle w:val="a4"/>
        <w:numPr>
          <w:ilvl w:val="0"/>
          <w:numId w:val="435"/>
        </w:numPr>
        <w:tabs>
          <w:tab w:val="left" w:pos="1367"/>
        </w:tabs>
        <w:rPr>
          <w:sz w:val="21"/>
        </w:rPr>
      </w:pPr>
      <w:r>
        <w:rPr>
          <w:spacing w:val="-3"/>
          <w:sz w:val="21"/>
        </w:rPr>
        <w:t>施工过程中可能发生火灾的部位或环节。</w:t>
      </w:r>
      <w:r>
        <w:rPr>
          <w:sz w:val="21"/>
        </w:rPr>
        <w:t xml:space="preserve"> </w:t>
      </w:r>
    </w:p>
    <w:p w14:paraId="584766C8" w14:textId="77777777" w:rsidR="00A71EEF" w:rsidRDefault="00A71EEF">
      <w:pPr>
        <w:pStyle w:val="a3"/>
        <w:spacing w:before="12"/>
        <w:rPr>
          <w:sz w:val="17"/>
        </w:rPr>
      </w:pPr>
    </w:p>
    <w:p w14:paraId="463EE092" w14:textId="77777777" w:rsidR="00A71EEF" w:rsidRDefault="0081115D">
      <w:pPr>
        <w:pStyle w:val="a4"/>
        <w:numPr>
          <w:ilvl w:val="0"/>
          <w:numId w:val="435"/>
        </w:numPr>
        <w:tabs>
          <w:tab w:val="left" w:pos="1367"/>
        </w:tabs>
        <w:rPr>
          <w:sz w:val="21"/>
        </w:rPr>
      </w:pPr>
      <w:r>
        <w:rPr>
          <w:spacing w:val="-3"/>
          <w:sz w:val="21"/>
        </w:rPr>
        <w:t>施工过程应采取</w:t>
      </w:r>
      <w:r>
        <w:rPr>
          <w:spacing w:val="-3"/>
          <w:sz w:val="21"/>
        </w:rPr>
        <w:t>的防火措施及应配备的临时消防设施。</w:t>
      </w:r>
      <w:r>
        <w:rPr>
          <w:sz w:val="21"/>
        </w:rPr>
        <w:t xml:space="preserve"> </w:t>
      </w:r>
    </w:p>
    <w:p w14:paraId="753A19AD" w14:textId="77777777" w:rsidR="00A71EEF" w:rsidRDefault="00A71EEF">
      <w:pPr>
        <w:pStyle w:val="a3"/>
        <w:spacing w:before="2"/>
        <w:rPr>
          <w:sz w:val="18"/>
        </w:rPr>
      </w:pPr>
    </w:p>
    <w:p w14:paraId="50F7FD7B" w14:textId="77777777" w:rsidR="00A71EEF" w:rsidRDefault="0081115D">
      <w:pPr>
        <w:pStyle w:val="a4"/>
        <w:numPr>
          <w:ilvl w:val="0"/>
          <w:numId w:val="435"/>
        </w:numPr>
        <w:tabs>
          <w:tab w:val="left" w:pos="1367"/>
        </w:tabs>
        <w:rPr>
          <w:sz w:val="21"/>
        </w:rPr>
      </w:pPr>
      <w:r>
        <w:rPr>
          <w:spacing w:val="-3"/>
          <w:sz w:val="21"/>
        </w:rPr>
        <w:t>初起火灾的扑救方法及注意事项。</w:t>
      </w:r>
      <w:r>
        <w:rPr>
          <w:sz w:val="21"/>
        </w:rPr>
        <w:t xml:space="preserve"> </w:t>
      </w:r>
    </w:p>
    <w:p w14:paraId="54C4266F" w14:textId="77777777" w:rsidR="00A71EEF" w:rsidRDefault="00A71EEF">
      <w:pPr>
        <w:rPr>
          <w:sz w:val="21"/>
        </w:rPr>
        <w:sectPr w:rsidR="00A71EEF">
          <w:pgSz w:w="11910" w:h="16850"/>
          <w:pgMar w:top="1220" w:right="0" w:bottom="1420" w:left="1260" w:header="0" w:footer="1239" w:gutter="0"/>
          <w:cols w:space="720"/>
        </w:sectPr>
      </w:pPr>
    </w:p>
    <w:p w14:paraId="0403467F" w14:textId="77777777" w:rsidR="00A71EEF" w:rsidRDefault="0081115D">
      <w:pPr>
        <w:pStyle w:val="a4"/>
        <w:numPr>
          <w:ilvl w:val="0"/>
          <w:numId w:val="435"/>
        </w:numPr>
        <w:tabs>
          <w:tab w:val="left" w:pos="1367"/>
        </w:tabs>
        <w:spacing w:before="47"/>
        <w:rPr>
          <w:sz w:val="21"/>
        </w:rPr>
      </w:pPr>
      <w:r>
        <w:rPr>
          <w:spacing w:val="-3"/>
          <w:sz w:val="21"/>
        </w:rPr>
        <w:t>逃生方法及路线。</w:t>
      </w:r>
      <w:r>
        <w:rPr>
          <w:sz w:val="21"/>
        </w:rPr>
        <w:t xml:space="preserve"> </w:t>
      </w:r>
    </w:p>
    <w:p w14:paraId="0CB42545" w14:textId="77777777" w:rsidR="00A71EEF" w:rsidRDefault="00A71EEF">
      <w:pPr>
        <w:pStyle w:val="a3"/>
        <w:rPr>
          <w:sz w:val="18"/>
        </w:rPr>
      </w:pPr>
    </w:p>
    <w:p w14:paraId="76068534" w14:textId="77777777" w:rsidR="00A71EEF" w:rsidRDefault="0081115D">
      <w:pPr>
        <w:pStyle w:val="a4"/>
        <w:numPr>
          <w:ilvl w:val="2"/>
          <w:numId w:val="440"/>
        </w:numPr>
        <w:tabs>
          <w:tab w:val="left" w:pos="1371"/>
        </w:tabs>
        <w:spacing w:line="446" w:lineRule="auto"/>
        <w:ind w:left="418" w:right="1604" w:firstLine="422"/>
        <w:rPr>
          <w:sz w:val="21"/>
        </w:rPr>
      </w:pPr>
      <w:r>
        <w:rPr>
          <w:spacing w:val="-3"/>
          <w:sz w:val="21"/>
        </w:rPr>
        <w:t>施工过程中，施工现场的消防安全负责人应定期组织消防安全管理人员对施工现场的消防安全进行检查。消防安全检查应包括下列主要内容：</w:t>
      </w:r>
      <w:r>
        <w:rPr>
          <w:sz w:val="21"/>
        </w:rPr>
        <w:t xml:space="preserve"> </w:t>
      </w:r>
    </w:p>
    <w:p w14:paraId="7331247B" w14:textId="77777777" w:rsidR="00A71EEF" w:rsidRDefault="0081115D">
      <w:pPr>
        <w:pStyle w:val="a4"/>
        <w:numPr>
          <w:ilvl w:val="0"/>
          <w:numId w:val="434"/>
        </w:numPr>
        <w:tabs>
          <w:tab w:val="left" w:pos="1367"/>
        </w:tabs>
        <w:rPr>
          <w:sz w:val="21"/>
        </w:rPr>
      </w:pPr>
      <w:r>
        <w:rPr>
          <w:spacing w:val="-3"/>
          <w:sz w:val="21"/>
        </w:rPr>
        <w:t>可燃物及易燃易爆危险品的管理是否落实。</w:t>
      </w:r>
      <w:r>
        <w:rPr>
          <w:sz w:val="21"/>
        </w:rPr>
        <w:t xml:space="preserve"> </w:t>
      </w:r>
    </w:p>
    <w:p w14:paraId="3F5187FB" w14:textId="77777777" w:rsidR="00A71EEF" w:rsidRDefault="00A71EEF">
      <w:pPr>
        <w:pStyle w:val="a3"/>
        <w:spacing w:before="12"/>
        <w:rPr>
          <w:sz w:val="17"/>
        </w:rPr>
      </w:pPr>
    </w:p>
    <w:p w14:paraId="35DA876B" w14:textId="77777777" w:rsidR="00A71EEF" w:rsidRDefault="0081115D">
      <w:pPr>
        <w:pStyle w:val="a4"/>
        <w:numPr>
          <w:ilvl w:val="0"/>
          <w:numId w:val="434"/>
        </w:numPr>
        <w:tabs>
          <w:tab w:val="left" w:pos="1367"/>
        </w:tabs>
        <w:rPr>
          <w:sz w:val="21"/>
        </w:rPr>
      </w:pPr>
      <w:r>
        <w:rPr>
          <w:spacing w:val="-3"/>
          <w:sz w:val="21"/>
        </w:rPr>
        <w:t>动火作业的防火措施是否落实。</w:t>
      </w:r>
      <w:r>
        <w:rPr>
          <w:sz w:val="21"/>
        </w:rPr>
        <w:t xml:space="preserve"> </w:t>
      </w:r>
    </w:p>
    <w:p w14:paraId="1B89E88B" w14:textId="77777777" w:rsidR="00A71EEF" w:rsidRDefault="00A71EEF">
      <w:pPr>
        <w:pStyle w:val="a3"/>
        <w:rPr>
          <w:sz w:val="18"/>
        </w:rPr>
      </w:pPr>
    </w:p>
    <w:p w14:paraId="14AAD9B7" w14:textId="77777777" w:rsidR="00A71EEF" w:rsidRDefault="0081115D">
      <w:pPr>
        <w:pStyle w:val="a4"/>
        <w:numPr>
          <w:ilvl w:val="0"/>
          <w:numId w:val="434"/>
        </w:numPr>
        <w:tabs>
          <w:tab w:val="left" w:pos="1367"/>
        </w:tabs>
        <w:rPr>
          <w:sz w:val="21"/>
        </w:rPr>
      </w:pPr>
      <w:r>
        <w:rPr>
          <w:spacing w:val="-3"/>
          <w:sz w:val="21"/>
        </w:rPr>
        <w:t>用火、用电、用气是否存在违章操作，电、气焊及保温防水施工是否执行操作规程。</w:t>
      </w:r>
      <w:r>
        <w:rPr>
          <w:sz w:val="21"/>
        </w:rPr>
        <w:t xml:space="preserve"> </w:t>
      </w:r>
    </w:p>
    <w:p w14:paraId="796F0450" w14:textId="77777777" w:rsidR="00A71EEF" w:rsidRDefault="00A71EEF">
      <w:pPr>
        <w:pStyle w:val="a3"/>
        <w:spacing w:before="2"/>
        <w:rPr>
          <w:sz w:val="18"/>
        </w:rPr>
      </w:pPr>
    </w:p>
    <w:p w14:paraId="3305722A" w14:textId="77777777" w:rsidR="00A71EEF" w:rsidRDefault="0081115D">
      <w:pPr>
        <w:pStyle w:val="a4"/>
        <w:numPr>
          <w:ilvl w:val="0"/>
          <w:numId w:val="434"/>
        </w:numPr>
        <w:tabs>
          <w:tab w:val="left" w:pos="1367"/>
        </w:tabs>
        <w:rPr>
          <w:sz w:val="21"/>
        </w:rPr>
      </w:pPr>
      <w:r>
        <w:rPr>
          <w:spacing w:val="-3"/>
          <w:sz w:val="21"/>
        </w:rPr>
        <w:t>临时消防设施是否完好有效。</w:t>
      </w:r>
      <w:r>
        <w:rPr>
          <w:sz w:val="21"/>
        </w:rPr>
        <w:t xml:space="preserve"> </w:t>
      </w:r>
    </w:p>
    <w:p w14:paraId="72F98DE5" w14:textId="77777777" w:rsidR="00A71EEF" w:rsidRDefault="00A71EEF">
      <w:pPr>
        <w:pStyle w:val="a3"/>
        <w:rPr>
          <w:sz w:val="18"/>
        </w:rPr>
      </w:pPr>
    </w:p>
    <w:p w14:paraId="6AC585D2" w14:textId="77777777" w:rsidR="00A71EEF" w:rsidRDefault="0081115D">
      <w:pPr>
        <w:pStyle w:val="a4"/>
        <w:numPr>
          <w:ilvl w:val="0"/>
          <w:numId w:val="434"/>
        </w:numPr>
        <w:tabs>
          <w:tab w:val="left" w:pos="1367"/>
        </w:tabs>
        <w:rPr>
          <w:sz w:val="21"/>
        </w:rPr>
      </w:pPr>
      <w:r>
        <w:rPr>
          <w:spacing w:val="-3"/>
          <w:sz w:val="21"/>
        </w:rPr>
        <w:t>临时消防车道及临时疏散设施是否畅通。</w:t>
      </w:r>
      <w:r>
        <w:rPr>
          <w:sz w:val="21"/>
        </w:rPr>
        <w:t xml:space="preserve"> </w:t>
      </w:r>
    </w:p>
    <w:p w14:paraId="36ABBE67" w14:textId="77777777" w:rsidR="00A71EEF" w:rsidRDefault="00A71EEF">
      <w:pPr>
        <w:pStyle w:val="a3"/>
        <w:spacing w:before="12"/>
        <w:rPr>
          <w:sz w:val="17"/>
        </w:rPr>
      </w:pPr>
    </w:p>
    <w:p w14:paraId="75B44BA8" w14:textId="77777777" w:rsidR="00A71EEF" w:rsidRDefault="0081115D">
      <w:pPr>
        <w:pStyle w:val="a4"/>
        <w:numPr>
          <w:ilvl w:val="2"/>
          <w:numId w:val="440"/>
        </w:numPr>
        <w:tabs>
          <w:tab w:val="left" w:pos="1478"/>
        </w:tabs>
        <w:ind w:left="1477" w:hanging="638"/>
        <w:rPr>
          <w:sz w:val="21"/>
        </w:rPr>
      </w:pPr>
      <w:r>
        <w:rPr>
          <w:spacing w:val="-3"/>
          <w:sz w:val="21"/>
        </w:rPr>
        <w:t>施工单位应依据灭火及应急疏散预案，定期开展灭火及应急疏散的演练。</w:t>
      </w:r>
      <w:r>
        <w:rPr>
          <w:spacing w:val="-3"/>
          <w:sz w:val="21"/>
        </w:rPr>
        <w:t xml:space="preserve"> </w:t>
      </w:r>
    </w:p>
    <w:p w14:paraId="20C76EDC" w14:textId="77777777" w:rsidR="00A71EEF" w:rsidRDefault="00A71EEF">
      <w:pPr>
        <w:pStyle w:val="a3"/>
        <w:spacing w:before="2"/>
        <w:rPr>
          <w:sz w:val="18"/>
        </w:rPr>
      </w:pPr>
    </w:p>
    <w:p w14:paraId="1DF4A718" w14:textId="77777777" w:rsidR="00A71EEF" w:rsidRDefault="0081115D">
      <w:pPr>
        <w:pStyle w:val="a4"/>
        <w:numPr>
          <w:ilvl w:val="2"/>
          <w:numId w:val="440"/>
        </w:numPr>
        <w:tabs>
          <w:tab w:val="left" w:pos="1478"/>
        </w:tabs>
        <w:spacing w:line="446" w:lineRule="auto"/>
        <w:ind w:left="418" w:right="1496" w:firstLine="422"/>
        <w:rPr>
          <w:sz w:val="21"/>
        </w:rPr>
      </w:pPr>
      <w:r>
        <w:rPr>
          <w:spacing w:val="-3"/>
          <w:sz w:val="21"/>
        </w:rPr>
        <w:t>施工单位应做好并保存施工现场消防安全管理的相关文件和记录，并应建立现场消防安全管理档案。</w:t>
      </w:r>
      <w:r>
        <w:rPr>
          <w:sz w:val="21"/>
        </w:rPr>
        <w:t xml:space="preserve"> </w:t>
      </w:r>
    </w:p>
    <w:p w14:paraId="4DBB0DE6" w14:textId="77777777" w:rsidR="00A71EEF" w:rsidRDefault="0081115D">
      <w:pPr>
        <w:pStyle w:val="a4"/>
        <w:numPr>
          <w:ilvl w:val="1"/>
          <w:numId w:val="440"/>
        </w:numPr>
        <w:tabs>
          <w:tab w:val="left" w:pos="1160"/>
        </w:tabs>
        <w:spacing w:line="267" w:lineRule="exact"/>
        <w:ind w:left="1159" w:hanging="320"/>
        <w:rPr>
          <w:sz w:val="21"/>
        </w:rPr>
      </w:pPr>
      <w:r>
        <w:rPr>
          <w:spacing w:val="-3"/>
          <w:sz w:val="21"/>
        </w:rPr>
        <w:t>可燃物及易燃易爆危险品管理</w:t>
      </w:r>
      <w:r>
        <w:rPr>
          <w:sz w:val="21"/>
        </w:rPr>
        <w:t xml:space="preserve"> </w:t>
      </w:r>
    </w:p>
    <w:p w14:paraId="1C1103A7" w14:textId="77777777" w:rsidR="00A71EEF" w:rsidRDefault="00A71EEF">
      <w:pPr>
        <w:pStyle w:val="a3"/>
        <w:spacing w:before="2"/>
        <w:rPr>
          <w:sz w:val="18"/>
        </w:rPr>
      </w:pPr>
    </w:p>
    <w:p w14:paraId="53C5E200" w14:textId="77777777" w:rsidR="00A71EEF" w:rsidRDefault="0081115D">
      <w:pPr>
        <w:pStyle w:val="a4"/>
        <w:numPr>
          <w:ilvl w:val="2"/>
          <w:numId w:val="440"/>
        </w:numPr>
        <w:tabs>
          <w:tab w:val="left" w:pos="1424"/>
        </w:tabs>
        <w:ind w:left="1423" w:hanging="584"/>
        <w:jc w:val="both"/>
        <w:rPr>
          <w:sz w:val="21"/>
        </w:rPr>
      </w:pPr>
      <w:r>
        <w:rPr>
          <w:spacing w:val="-3"/>
          <w:sz w:val="21"/>
        </w:rPr>
        <w:t>用于在建工程的保温、防水、装饰及防腐等材料的燃烧性能等级应符合设计要求。</w:t>
      </w:r>
      <w:r>
        <w:rPr>
          <w:sz w:val="21"/>
        </w:rPr>
        <w:t xml:space="preserve"> </w:t>
      </w:r>
    </w:p>
    <w:p w14:paraId="697C0D03" w14:textId="77777777" w:rsidR="00A71EEF" w:rsidRDefault="00A71EEF">
      <w:pPr>
        <w:pStyle w:val="a3"/>
        <w:rPr>
          <w:sz w:val="18"/>
        </w:rPr>
      </w:pPr>
    </w:p>
    <w:p w14:paraId="570C2553" w14:textId="77777777" w:rsidR="00A71EEF" w:rsidRDefault="0081115D">
      <w:pPr>
        <w:pStyle w:val="a4"/>
        <w:numPr>
          <w:ilvl w:val="2"/>
          <w:numId w:val="440"/>
        </w:numPr>
        <w:tabs>
          <w:tab w:val="left" w:pos="1424"/>
        </w:tabs>
        <w:spacing w:line="444" w:lineRule="auto"/>
        <w:ind w:left="418" w:right="1445" w:firstLine="422"/>
        <w:jc w:val="both"/>
        <w:rPr>
          <w:sz w:val="21"/>
        </w:rPr>
      </w:pPr>
      <w:r>
        <w:rPr>
          <w:spacing w:val="-3"/>
          <w:sz w:val="21"/>
        </w:rPr>
        <w:t>可燃材料及易燃易爆危险品应按计划限量进场。进场后，可燃材料宜存放于库房内，</w:t>
      </w:r>
      <w:r>
        <w:rPr>
          <w:spacing w:val="-3"/>
          <w:sz w:val="21"/>
        </w:rPr>
        <w:t xml:space="preserve"> </w:t>
      </w:r>
      <w:r>
        <w:rPr>
          <w:spacing w:val="-3"/>
          <w:sz w:val="21"/>
        </w:rPr>
        <w:t>露天存放时，应分类成垛堆放，垛高不应超过</w:t>
      </w:r>
      <w:r>
        <w:rPr>
          <w:spacing w:val="-3"/>
          <w:sz w:val="21"/>
        </w:rPr>
        <w:t xml:space="preserve"> </w:t>
      </w:r>
      <w:r>
        <w:rPr>
          <w:sz w:val="21"/>
        </w:rPr>
        <w:t>2m</w:t>
      </w:r>
      <w:r>
        <w:rPr>
          <w:spacing w:val="-2"/>
          <w:sz w:val="21"/>
        </w:rPr>
        <w:t>，单垛体积不应超过</w:t>
      </w:r>
      <w:r>
        <w:rPr>
          <w:spacing w:val="-2"/>
          <w:sz w:val="21"/>
        </w:rPr>
        <w:t xml:space="preserve"> </w:t>
      </w:r>
      <w:r>
        <w:rPr>
          <w:sz w:val="21"/>
        </w:rPr>
        <w:t>50m</w:t>
      </w:r>
      <w:r>
        <w:rPr>
          <w:position w:val="11"/>
          <w:sz w:val="11"/>
        </w:rPr>
        <w:t>3</w:t>
      </w:r>
      <w:r>
        <w:rPr>
          <w:spacing w:val="-3"/>
          <w:sz w:val="21"/>
        </w:rPr>
        <w:t>，垛与垛之间的最小</w:t>
      </w:r>
      <w:r>
        <w:rPr>
          <w:sz w:val="21"/>
        </w:rPr>
        <w:t>间距不应小于</w:t>
      </w:r>
      <w:r>
        <w:rPr>
          <w:sz w:val="21"/>
        </w:rPr>
        <w:t xml:space="preserve"> 2m</w:t>
      </w:r>
      <w:r>
        <w:rPr>
          <w:spacing w:val="-3"/>
          <w:sz w:val="21"/>
        </w:rPr>
        <w:t>，且应采用不燃或难燃材料覆盖；易燃易爆危险品应分类专库储存，库房内应通风良好，并应设置严禁明火标志。</w:t>
      </w:r>
      <w:r>
        <w:rPr>
          <w:sz w:val="21"/>
        </w:rPr>
        <w:t xml:space="preserve"> </w:t>
      </w:r>
    </w:p>
    <w:p w14:paraId="0800B6F3" w14:textId="77777777" w:rsidR="00A71EEF" w:rsidRDefault="0081115D">
      <w:pPr>
        <w:pStyle w:val="a4"/>
        <w:numPr>
          <w:ilvl w:val="2"/>
          <w:numId w:val="440"/>
        </w:numPr>
        <w:tabs>
          <w:tab w:val="left" w:pos="1370"/>
        </w:tabs>
        <w:spacing w:line="446" w:lineRule="auto"/>
        <w:ind w:left="418" w:right="1498" w:firstLine="422"/>
        <w:jc w:val="both"/>
        <w:rPr>
          <w:sz w:val="21"/>
        </w:rPr>
      </w:pPr>
      <w:r>
        <w:rPr>
          <w:spacing w:val="-3"/>
          <w:sz w:val="21"/>
        </w:rPr>
        <w:t>室内使用油漆及其有机溶剂、乙二胺、冷底子油等易挥发产生易燃气体的物资作业时，应保持良好通风，作业场所严禁明火，并应避免产生静电。</w:t>
      </w:r>
      <w:r>
        <w:rPr>
          <w:sz w:val="21"/>
        </w:rPr>
        <w:t xml:space="preserve"> </w:t>
      </w:r>
    </w:p>
    <w:p w14:paraId="1E773AEE" w14:textId="77777777" w:rsidR="00A71EEF" w:rsidRDefault="0081115D">
      <w:pPr>
        <w:pStyle w:val="a4"/>
        <w:numPr>
          <w:ilvl w:val="2"/>
          <w:numId w:val="440"/>
        </w:numPr>
        <w:tabs>
          <w:tab w:val="left" w:pos="1370"/>
        </w:tabs>
        <w:ind w:left="1369" w:hanging="530"/>
        <w:jc w:val="both"/>
        <w:rPr>
          <w:sz w:val="21"/>
        </w:rPr>
      </w:pPr>
      <w:r>
        <w:rPr>
          <w:spacing w:val="-3"/>
          <w:sz w:val="21"/>
        </w:rPr>
        <w:t>施工产生的可燃、易燃建筑垃圾或余料，应及时清理。</w:t>
      </w:r>
      <w:r>
        <w:rPr>
          <w:sz w:val="21"/>
        </w:rPr>
        <w:t xml:space="preserve"> </w:t>
      </w:r>
    </w:p>
    <w:p w14:paraId="5F1C8E35" w14:textId="77777777" w:rsidR="00A71EEF" w:rsidRDefault="00A71EEF">
      <w:pPr>
        <w:pStyle w:val="a3"/>
        <w:spacing w:before="11"/>
        <w:rPr>
          <w:sz w:val="17"/>
        </w:rPr>
      </w:pPr>
    </w:p>
    <w:p w14:paraId="6588679C" w14:textId="77777777" w:rsidR="00A71EEF" w:rsidRDefault="0081115D">
      <w:pPr>
        <w:pStyle w:val="a4"/>
        <w:numPr>
          <w:ilvl w:val="1"/>
          <w:numId w:val="440"/>
        </w:numPr>
        <w:tabs>
          <w:tab w:val="left" w:pos="1159"/>
        </w:tabs>
        <w:ind w:hanging="319"/>
        <w:rPr>
          <w:b/>
          <w:sz w:val="21"/>
        </w:rPr>
      </w:pPr>
      <w:r>
        <w:rPr>
          <w:spacing w:val="-3"/>
          <w:sz w:val="21"/>
        </w:rPr>
        <w:t>用火、用电、用气管理</w:t>
      </w:r>
      <w:r>
        <w:rPr>
          <w:b/>
          <w:spacing w:val="-3"/>
          <w:w w:val="99"/>
          <w:sz w:val="21"/>
        </w:rPr>
        <w:t xml:space="preserve"> </w:t>
      </w:r>
    </w:p>
    <w:p w14:paraId="3CFBBC24" w14:textId="77777777" w:rsidR="00A71EEF" w:rsidRDefault="00A71EEF">
      <w:pPr>
        <w:pStyle w:val="a3"/>
        <w:spacing w:before="2"/>
        <w:rPr>
          <w:b/>
          <w:sz w:val="18"/>
        </w:rPr>
      </w:pPr>
    </w:p>
    <w:p w14:paraId="206D7D35" w14:textId="77777777" w:rsidR="00A71EEF" w:rsidRDefault="0081115D">
      <w:pPr>
        <w:pStyle w:val="a4"/>
        <w:numPr>
          <w:ilvl w:val="2"/>
          <w:numId w:val="440"/>
        </w:numPr>
        <w:tabs>
          <w:tab w:val="left" w:pos="1424"/>
        </w:tabs>
        <w:ind w:left="1423" w:hanging="584"/>
        <w:rPr>
          <w:sz w:val="21"/>
        </w:rPr>
      </w:pPr>
      <w:r>
        <w:rPr>
          <w:spacing w:val="-3"/>
          <w:sz w:val="21"/>
        </w:rPr>
        <w:t>施工现场用火应符合下列规定：</w:t>
      </w:r>
      <w:r>
        <w:rPr>
          <w:sz w:val="21"/>
        </w:rPr>
        <w:t xml:space="preserve"> </w:t>
      </w:r>
    </w:p>
    <w:p w14:paraId="236922B6" w14:textId="77777777" w:rsidR="00A71EEF" w:rsidRDefault="00A71EEF">
      <w:pPr>
        <w:pStyle w:val="a3"/>
        <w:spacing w:before="12"/>
        <w:rPr>
          <w:sz w:val="17"/>
        </w:rPr>
      </w:pPr>
    </w:p>
    <w:p w14:paraId="13656C66" w14:textId="77777777" w:rsidR="00A71EEF" w:rsidRDefault="0081115D">
      <w:pPr>
        <w:pStyle w:val="a4"/>
        <w:numPr>
          <w:ilvl w:val="0"/>
          <w:numId w:val="433"/>
        </w:numPr>
        <w:tabs>
          <w:tab w:val="left" w:pos="1367"/>
        </w:tabs>
        <w:spacing w:line="446" w:lineRule="auto"/>
        <w:ind w:right="1505" w:firstLine="419"/>
        <w:rPr>
          <w:sz w:val="21"/>
        </w:rPr>
      </w:pPr>
      <w:r>
        <w:rPr>
          <w:spacing w:val="-3"/>
          <w:sz w:val="21"/>
        </w:rPr>
        <w:t>动火作业应办理动火许可证；动火许可证的签发人收到动火申请后，应前往现场查验并确认动火作业的防火措施落实后，再签发动火许可证。</w:t>
      </w:r>
      <w:r>
        <w:rPr>
          <w:sz w:val="21"/>
        </w:rPr>
        <w:t xml:space="preserve"> </w:t>
      </w:r>
    </w:p>
    <w:p w14:paraId="34FC3516" w14:textId="77777777" w:rsidR="00A71EEF" w:rsidRDefault="0081115D">
      <w:pPr>
        <w:pStyle w:val="a4"/>
        <w:numPr>
          <w:ilvl w:val="0"/>
          <w:numId w:val="433"/>
        </w:numPr>
        <w:tabs>
          <w:tab w:val="left" w:pos="1367"/>
        </w:tabs>
        <w:ind w:left="1367"/>
        <w:rPr>
          <w:sz w:val="21"/>
        </w:rPr>
      </w:pPr>
      <w:r>
        <w:rPr>
          <w:spacing w:val="-3"/>
          <w:sz w:val="21"/>
        </w:rPr>
        <w:t>动火操作人员应具有相应资格。</w:t>
      </w:r>
      <w:r>
        <w:rPr>
          <w:sz w:val="21"/>
        </w:rPr>
        <w:t xml:space="preserve"> </w:t>
      </w:r>
    </w:p>
    <w:p w14:paraId="4A8D5107" w14:textId="77777777" w:rsidR="00A71EEF" w:rsidRDefault="00A71EEF">
      <w:pPr>
        <w:pStyle w:val="a3"/>
        <w:rPr>
          <w:sz w:val="18"/>
        </w:rPr>
      </w:pPr>
    </w:p>
    <w:p w14:paraId="2A6A50B0" w14:textId="77777777" w:rsidR="00A71EEF" w:rsidRDefault="0081115D">
      <w:pPr>
        <w:pStyle w:val="a4"/>
        <w:numPr>
          <w:ilvl w:val="0"/>
          <w:numId w:val="433"/>
        </w:numPr>
        <w:tabs>
          <w:tab w:val="left" w:pos="1367"/>
        </w:tabs>
        <w:spacing w:line="446" w:lineRule="auto"/>
        <w:ind w:right="1505" w:firstLine="419"/>
        <w:rPr>
          <w:sz w:val="21"/>
        </w:rPr>
      </w:pPr>
      <w:r>
        <w:rPr>
          <w:spacing w:val="-3"/>
          <w:sz w:val="21"/>
        </w:rPr>
        <w:t>焊接、切割、烘烤或加热等动火作业前，应对作业现场的可燃物进行清理；作业现场及其附近无法移走的可燃物应采用不然材料对其覆盖或隔离。</w:t>
      </w:r>
      <w:r>
        <w:rPr>
          <w:sz w:val="21"/>
        </w:rPr>
        <w:t xml:space="preserve"> </w:t>
      </w:r>
    </w:p>
    <w:p w14:paraId="4BA62CEE" w14:textId="77777777" w:rsidR="00A71EEF" w:rsidRDefault="0081115D">
      <w:pPr>
        <w:pStyle w:val="a4"/>
        <w:numPr>
          <w:ilvl w:val="0"/>
          <w:numId w:val="433"/>
        </w:numPr>
        <w:tabs>
          <w:tab w:val="left" w:pos="1367"/>
        </w:tabs>
        <w:ind w:left="1367"/>
        <w:rPr>
          <w:sz w:val="21"/>
        </w:rPr>
      </w:pPr>
      <w:r>
        <w:rPr>
          <w:spacing w:val="-3"/>
          <w:sz w:val="21"/>
        </w:rPr>
        <w:t>施工作业安排时，宜将动火作业安排在使用可燃建筑材料的施工作业前进行。确需在</w:t>
      </w:r>
    </w:p>
    <w:p w14:paraId="41167AC1" w14:textId="77777777" w:rsidR="00A71EEF" w:rsidRDefault="00A71EEF">
      <w:pPr>
        <w:rPr>
          <w:sz w:val="21"/>
        </w:rPr>
        <w:sectPr w:rsidR="00A71EEF">
          <w:pgSz w:w="11910" w:h="16850"/>
          <w:pgMar w:top="1220" w:right="0" w:bottom="1420" w:left="1260" w:header="0" w:footer="1239" w:gutter="0"/>
          <w:cols w:space="720"/>
        </w:sectPr>
      </w:pPr>
    </w:p>
    <w:p w14:paraId="16702538" w14:textId="77777777" w:rsidR="00A71EEF" w:rsidRDefault="0081115D">
      <w:pPr>
        <w:pStyle w:val="a3"/>
        <w:spacing w:before="47"/>
        <w:ind w:left="418"/>
      </w:pPr>
      <w:r>
        <w:t>使用可燃建筑材料的施工作业之后进行动火作业时，应采取可靠的防火措施。</w:t>
      </w:r>
      <w:r>
        <w:t xml:space="preserve"> </w:t>
      </w:r>
    </w:p>
    <w:p w14:paraId="6750866B" w14:textId="77777777" w:rsidR="00A71EEF" w:rsidRDefault="00A71EEF">
      <w:pPr>
        <w:pStyle w:val="a3"/>
        <w:rPr>
          <w:sz w:val="18"/>
        </w:rPr>
      </w:pPr>
    </w:p>
    <w:p w14:paraId="1741B61A" w14:textId="77777777" w:rsidR="00A71EEF" w:rsidRDefault="0081115D">
      <w:pPr>
        <w:pStyle w:val="a4"/>
        <w:numPr>
          <w:ilvl w:val="0"/>
          <w:numId w:val="433"/>
        </w:numPr>
        <w:tabs>
          <w:tab w:val="left" w:pos="1367"/>
        </w:tabs>
        <w:ind w:left="1367"/>
        <w:rPr>
          <w:sz w:val="21"/>
        </w:rPr>
      </w:pPr>
      <w:r>
        <w:rPr>
          <w:spacing w:val="-3"/>
          <w:sz w:val="21"/>
        </w:rPr>
        <w:t>裸露的可燃材料上严禁直接进行动火作业。</w:t>
      </w:r>
      <w:r>
        <w:rPr>
          <w:sz w:val="21"/>
        </w:rPr>
        <w:t xml:space="preserve"> </w:t>
      </w:r>
    </w:p>
    <w:p w14:paraId="4EF3C741" w14:textId="77777777" w:rsidR="00A71EEF" w:rsidRDefault="00A71EEF">
      <w:pPr>
        <w:pStyle w:val="a3"/>
        <w:rPr>
          <w:sz w:val="18"/>
        </w:rPr>
      </w:pPr>
    </w:p>
    <w:p w14:paraId="792FF136" w14:textId="77777777" w:rsidR="00A71EEF" w:rsidRDefault="0081115D">
      <w:pPr>
        <w:pStyle w:val="a4"/>
        <w:numPr>
          <w:ilvl w:val="0"/>
          <w:numId w:val="433"/>
        </w:numPr>
        <w:tabs>
          <w:tab w:val="left" w:pos="1367"/>
        </w:tabs>
        <w:spacing w:line="446" w:lineRule="auto"/>
        <w:ind w:right="1505" w:firstLine="419"/>
        <w:rPr>
          <w:sz w:val="21"/>
        </w:rPr>
      </w:pPr>
      <w:r>
        <w:rPr>
          <w:spacing w:val="-3"/>
          <w:sz w:val="21"/>
        </w:rPr>
        <w:t>焊接、切割、烘烤或加热等动火作业应配备灭火器材，并应设置动火监护人进行现场监护，每个动火作业点均应设置</w:t>
      </w:r>
      <w:r>
        <w:rPr>
          <w:spacing w:val="-3"/>
          <w:sz w:val="21"/>
        </w:rPr>
        <w:t xml:space="preserve"> </w:t>
      </w:r>
      <w:r>
        <w:rPr>
          <w:sz w:val="21"/>
        </w:rPr>
        <w:t>1</w:t>
      </w:r>
      <w:r>
        <w:rPr>
          <w:spacing w:val="-3"/>
          <w:sz w:val="21"/>
        </w:rPr>
        <w:t xml:space="preserve"> </w:t>
      </w:r>
      <w:r>
        <w:rPr>
          <w:spacing w:val="-3"/>
          <w:sz w:val="21"/>
        </w:rPr>
        <w:t>个监护人。</w:t>
      </w:r>
      <w:r>
        <w:rPr>
          <w:sz w:val="21"/>
        </w:rPr>
        <w:t xml:space="preserve"> </w:t>
      </w:r>
    </w:p>
    <w:p w14:paraId="3F459456" w14:textId="77777777" w:rsidR="00A71EEF" w:rsidRDefault="0081115D">
      <w:pPr>
        <w:pStyle w:val="a4"/>
        <w:numPr>
          <w:ilvl w:val="0"/>
          <w:numId w:val="433"/>
        </w:numPr>
        <w:tabs>
          <w:tab w:val="left" w:pos="1367"/>
        </w:tabs>
        <w:spacing w:line="446" w:lineRule="auto"/>
        <w:ind w:right="1505" w:firstLine="419"/>
        <w:rPr>
          <w:sz w:val="21"/>
        </w:rPr>
      </w:pPr>
      <w:r>
        <w:rPr>
          <w:spacing w:val="-3"/>
          <w:sz w:val="21"/>
        </w:rPr>
        <w:t>五级</w:t>
      </w:r>
      <w:r>
        <w:rPr>
          <w:spacing w:val="-3"/>
          <w:sz w:val="21"/>
        </w:rPr>
        <w:t>(</w:t>
      </w:r>
      <w:r>
        <w:rPr>
          <w:spacing w:val="-3"/>
          <w:sz w:val="21"/>
        </w:rPr>
        <w:t>含五级</w:t>
      </w:r>
      <w:r>
        <w:rPr>
          <w:spacing w:val="-3"/>
          <w:sz w:val="21"/>
        </w:rPr>
        <w:t>)</w:t>
      </w:r>
      <w:r>
        <w:rPr>
          <w:spacing w:val="-3"/>
          <w:sz w:val="21"/>
        </w:rPr>
        <w:t>以上风力时，应停止焊接、切割等室外动火作业；确需动火作业时，应采取可靠的挡风措施。</w:t>
      </w:r>
      <w:r>
        <w:rPr>
          <w:sz w:val="21"/>
        </w:rPr>
        <w:t xml:space="preserve"> </w:t>
      </w:r>
    </w:p>
    <w:p w14:paraId="6B587A7C" w14:textId="77777777" w:rsidR="00A71EEF" w:rsidRDefault="0081115D">
      <w:pPr>
        <w:pStyle w:val="a4"/>
        <w:numPr>
          <w:ilvl w:val="0"/>
          <w:numId w:val="433"/>
        </w:numPr>
        <w:tabs>
          <w:tab w:val="left" w:pos="1367"/>
        </w:tabs>
        <w:ind w:left="1367"/>
        <w:rPr>
          <w:sz w:val="21"/>
        </w:rPr>
      </w:pPr>
      <w:r>
        <w:rPr>
          <w:spacing w:val="-3"/>
          <w:sz w:val="21"/>
        </w:rPr>
        <w:t>动火作业后，应对现场进行检查，并应在确认无火灾危险后，动火操作人员再离开。</w:t>
      </w:r>
      <w:r>
        <w:rPr>
          <w:sz w:val="21"/>
        </w:rPr>
        <w:t xml:space="preserve"> </w:t>
      </w:r>
    </w:p>
    <w:p w14:paraId="3C5FDFAF" w14:textId="77777777" w:rsidR="00A71EEF" w:rsidRDefault="00A71EEF">
      <w:pPr>
        <w:pStyle w:val="a3"/>
        <w:spacing w:before="12"/>
        <w:rPr>
          <w:sz w:val="17"/>
        </w:rPr>
      </w:pPr>
    </w:p>
    <w:p w14:paraId="45150122" w14:textId="77777777" w:rsidR="00A71EEF" w:rsidRDefault="0081115D">
      <w:pPr>
        <w:pStyle w:val="a4"/>
        <w:numPr>
          <w:ilvl w:val="0"/>
          <w:numId w:val="433"/>
        </w:numPr>
        <w:tabs>
          <w:tab w:val="left" w:pos="1367"/>
        </w:tabs>
        <w:ind w:left="1367"/>
        <w:rPr>
          <w:sz w:val="21"/>
        </w:rPr>
      </w:pPr>
      <w:r>
        <w:rPr>
          <w:spacing w:val="-3"/>
          <w:sz w:val="21"/>
        </w:rPr>
        <w:t>具有火灾、爆炸危险的场所严禁明火。</w:t>
      </w:r>
      <w:r>
        <w:rPr>
          <w:sz w:val="21"/>
        </w:rPr>
        <w:t xml:space="preserve"> </w:t>
      </w:r>
    </w:p>
    <w:p w14:paraId="51D956E8" w14:textId="77777777" w:rsidR="00A71EEF" w:rsidRDefault="00A71EEF">
      <w:pPr>
        <w:pStyle w:val="a3"/>
        <w:rPr>
          <w:sz w:val="18"/>
        </w:rPr>
      </w:pPr>
    </w:p>
    <w:p w14:paraId="19E7EF28" w14:textId="77777777" w:rsidR="00A71EEF" w:rsidRDefault="0081115D">
      <w:pPr>
        <w:pStyle w:val="a4"/>
        <w:numPr>
          <w:ilvl w:val="0"/>
          <w:numId w:val="433"/>
        </w:numPr>
        <w:tabs>
          <w:tab w:val="left" w:pos="1473"/>
        </w:tabs>
        <w:ind w:left="1472" w:hanging="635"/>
        <w:rPr>
          <w:sz w:val="21"/>
        </w:rPr>
      </w:pPr>
      <w:r>
        <w:rPr>
          <w:spacing w:val="-3"/>
          <w:sz w:val="21"/>
        </w:rPr>
        <w:t>施工现场不应采用明火取暖。</w:t>
      </w:r>
      <w:r>
        <w:rPr>
          <w:sz w:val="21"/>
        </w:rPr>
        <w:t xml:space="preserve"> </w:t>
      </w:r>
    </w:p>
    <w:p w14:paraId="71CE8215" w14:textId="77777777" w:rsidR="00A71EEF" w:rsidRDefault="00A71EEF">
      <w:pPr>
        <w:pStyle w:val="a3"/>
        <w:spacing w:before="2"/>
        <w:rPr>
          <w:sz w:val="18"/>
        </w:rPr>
      </w:pPr>
    </w:p>
    <w:p w14:paraId="1A615472" w14:textId="77777777" w:rsidR="00A71EEF" w:rsidRDefault="0081115D">
      <w:pPr>
        <w:pStyle w:val="a4"/>
        <w:numPr>
          <w:ilvl w:val="0"/>
          <w:numId w:val="433"/>
        </w:numPr>
        <w:tabs>
          <w:tab w:val="left" w:pos="1473"/>
        </w:tabs>
        <w:spacing w:line="446" w:lineRule="auto"/>
        <w:ind w:right="1817" w:firstLine="419"/>
        <w:rPr>
          <w:sz w:val="21"/>
        </w:rPr>
      </w:pPr>
      <w:r>
        <w:rPr>
          <w:spacing w:val="-3"/>
          <w:sz w:val="21"/>
        </w:rPr>
        <w:t>厨房操作间炉灶使用完毕后，应将炉火熄灭，排油烟机及油烟管道应定期清理油垢。</w:t>
      </w:r>
      <w:r>
        <w:rPr>
          <w:sz w:val="21"/>
        </w:rPr>
        <w:t xml:space="preserve"> </w:t>
      </w:r>
    </w:p>
    <w:p w14:paraId="22F153C9" w14:textId="77777777" w:rsidR="00A71EEF" w:rsidRDefault="0081115D">
      <w:pPr>
        <w:pStyle w:val="a4"/>
        <w:numPr>
          <w:ilvl w:val="2"/>
          <w:numId w:val="440"/>
        </w:numPr>
        <w:tabs>
          <w:tab w:val="left" w:pos="1424"/>
        </w:tabs>
        <w:spacing w:line="267" w:lineRule="exact"/>
        <w:ind w:left="1423" w:hanging="584"/>
        <w:rPr>
          <w:sz w:val="21"/>
        </w:rPr>
      </w:pPr>
      <w:r>
        <w:rPr>
          <w:spacing w:val="-3"/>
          <w:sz w:val="21"/>
        </w:rPr>
        <w:t>施工现场用电应符合下列规定：</w:t>
      </w:r>
      <w:r>
        <w:rPr>
          <w:sz w:val="21"/>
        </w:rPr>
        <w:t xml:space="preserve"> </w:t>
      </w:r>
    </w:p>
    <w:p w14:paraId="1F280C9B" w14:textId="77777777" w:rsidR="00A71EEF" w:rsidRDefault="00A71EEF">
      <w:pPr>
        <w:pStyle w:val="a3"/>
        <w:spacing w:before="2"/>
        <w:rPr>
          <w:sz w:val="18"/>
        </w:rPr>
      </w:pPr>
    </w:p>
    <w:p w14:paraId="5E784DD4" w14:textId="77777777" w:rsidR="00A71EEF" w:rsidRDefault="0081115D">
      <w:pPr>
        <w:pStyle w:val="a4"/>
        <w:numPr>
          <w:ilvl w:val="3"/>
          <w:numId w:val="440"/>
        </w:numPr>
        <w:tabs>
          <w:tab w:val="left" w:pos="1628"/>
        </w:tabs>
        <w:spacing w:line="446" w:lineRule="auto"/>
        <w:ind w:right="1450" w:firstLine="419"/>
        <w:rPr>
          <w:sz w:val="21"/>
        </w:rPr>
      </w:pPr>
      <w:r>
        <w:rPr>
          <w:spacing w:val="-3"/>
          <w:sz w:val="21"/>
        </w:rPr>
        <w:t>施工现场供用电设施的设计、施工、运行和维护应符合现行国家标准《建设工程施工现场供用电安全规范》</w:t>
      </w:r>
      <w:r>
        <w:rPr>
          <w:sz w:val="21"/>
        </w:rPr>
        <w:t>GB</w:t>
      </w:r>
      <w:r>
        <w:rPr>
          <w:spacing w:val="1"/>
          <w:sz w:val="21"/>
        </w:rPr>
        <w:t xml:space="preserve"> </w:t>
      </w:r>
      <w:r>
        <w:rPr>
          <w:sz w:val="21"/>
        </w:rPr>
        <w:t>50194</w:t>
      </w:r>
      <w:r>
        <w:rPr>
          <w:spacing w:val="-3"/>
          <w:sz w:val="21"/>
        </w:rPr>
        <w:t xml:space="preserve"> </w:t>
      </w:r>
      <w:r>
        <w:rPr>
          <w:spacing w:val="-3"/>
          <w:sz w:val="21"/>
        </w:rPr>
        <w:t>的有关规定。</w:t>
      </w:r>
      <w:r>
        <w:rPr>
          <w:sz w:val="21"/>
        </w:rPr>
        <w:t xml:space="preserve"> </w:t>
      </w:r>
    </w:p>
    <w:p w14:paraId="484EAEB5" w14:textId="77777777" w:rsidR="00A71EEF" w:rsidRDefault="0081115D">
      <w:pPr>
        <w:pStyle w:val="a4"/>
        <w:numPr>
          <w:ilvl w:val="3"/>
          <w:numId w:val="440"/>
        </w:numPr>
        <w:tabs>
          <w:tab w:val="left" w:pos="1628"/>
        </w:tabs>
        <w:spacing w:line="446" w:lineRule="auto"/>
        <w:ind w:right="1450" w:firstLine="419"/>
        <w:rPr>
          <w:sz w:val="21"/>
        </w:rPr>
      </w:pPr>
      <w:r>
        <w:rPr>
          <w:spacing w:val="-3"/>
          <w:sz w:val="21"/>
        </w:rPr>
        <w:t>电气线路应具有相应的绝缘强度和机械强度，严禁使用绝缘老化或失去绝缘性能的电气线路，严禁在电气线路上悬挂物品。破损、烧焦的插座、插头应及时更换。</w:t>
      </w:r>
      <w:r>
        <w:rPr>
          <w:sz w:val="21"/>
        </w:rPr>
        <w:t xml:space="preserve"> </w:t>
      </w:r>
    </w:p>
    <w:p w14:paraId="0D9136CA" w14:textId="77777777" w:rsidR="00A71EEF" w:rsidRDefault="0081115D">
      <w:pPr>
        <w:pStyle w:val="a4"/>
        <w:numPr>
          <w:ilvl w:val="3"/>
          <w:numId w:val="440"/>
        </w:numPr>
        <w:tabs>
          <w:tab w:val="left" w:pos="1628"/>
        </w:tabs>
        <w:ind w:left="1627"/>
        <w:rPr>
          <w:sz w:val="21"/>
        </w:rPr>
      </w:pPr>
      <w:r>
        <w:rPr>
          <w:spacing w:val="-3"/>
          <w:sz w:val="21"/>
        </w:rPr>
        <w:t>电气设备与可燃、易燃易爆危险品和腐蚀性物品应保持一定的安全距离。</w:t>
      </w:r>
      <w:r>
        <w:rPr>
          <w:spacing w:val="-3"/>
          <w:sz w:val="21"/>
        </w:rPr>
        <w:t xml:space="preserve"> </w:t>
      </w:r>
    </w:p>
    <w:p w14:paraId="16EF9F7A" w14:textId="77777777" w:rsidR="00A71EEF" w:rsidRDefault="00A71EEF">
      <w:pPr>
        <w:pStyle w:val="a3"/>
        <w:spacing w:before="10"/>
        <w:rPr>
          <w:sz w:val="17"/>
        </w:rPr>
      </w:pPr>
    </w:p>
    <w:p w14:paraId="01C5D8BA" w14:textId="77777777" w:rsidR="00A71EEF" w:rsidRDefault="0081115D">
      <w:pPr>
        <w:pStyle w:val="a4"/>
        <w:numPr>
          <w:ilvl w:val="3"/>
          <w:numId w:val="440"/>
        </w:numPr>
        <w:tabs>
          <w:tab w:val="left" w:pos="1628"/>
        </w:tabs>
        <w:ind w:left="1627"/>
        <w:rPr>
          <w:sz w:val="21"/>
        </w:rPr>
      </w:pPr>
      <w:r>
        <w:rPr>
          <w:spacing w:val="-3"/>
          <w:sz w:val="21"/>
        </w:rPr>
        <w:t>有爆炸和火灾危险的场所，应按危险场所等级选用相应的电气设</w:t>
      </w:r>
      <w:r>
        <w:rPr>
          <w:spacing w:val="-3"/>
          <w:sz w:val="21"/>
        </w:rPr>
        <w:t>备。</w:t>
      </w:r>
      <w:r>
        <w:rPr>
          <w:spacing w:val="-3"/>
          <w:sz w:val="21"/>
        </w:rPr>
        <w:t xml:space="preserve"> </w:t>
      </w:r>
    </w:p>
    <w:p w14:paraId="1E17FD09" w14:textId="77777777" w:rsidR="00A71EEF" w:rsidRDefault="00A71EEF">
      <w:pPr>
        <w:pStyle w:val="a3"/>
        <w:spacing w:before="2"/>
        <w:rPr>
          <w:sz w:val="18"/>
        </w:rPr>
      </w:pPr>
    </w:p>
    <w:p w14:paraId="19531538" w14:textId="77777777" w:rsidR="00A71EEF" w:rsidRDefault="0081115D">
      <w:pPr>
        <w:pStyle w:val="a4"/>
        <w:numPr>
          <w:ilvl w:val="3"/>
          <w:numId w:val="440"/>
        </w:numPr>
        <w:tabs>
          <w:tab w:val="left" w:pos="1576"/>
        </w:tabs>
        <w:spacing w:line="446" w:lineRule="auto"/>
        <w:ind w:right="1611" w:firstLine="419"/>
        <w:rPr>
          <w:sz w:val="21"/>
        </w:rPr>
      </w:pPr>
      <w:r>
        <w:rPr>
          <w:spacing w:val="-3"/>
          <w:sz w:val="21"/>
        </w:rPr>
        <w:t>配电屏上每个电气回路应设置漏电保护器、过载保护器，距配电屏</w:t>
      </w:r>
      <w:r>
        <w:rPr>
          <w:spacing w:val="-3"/>
          <w:sz w:val="21"/>
        </w:rPr>
        <w:t xml:space="preserve"> </w:t>
      </w:r>
      <w:r>
        <w:rPr>
          <w:sz w:val="21"/>
        </w:rPr>
        <w:t xml:space="preserve">2m </w:t>
      </w:r>
      <w:r>
        <w:rPr>
          <w:sz w:val="21"/>
        </w:rPr>
        <w:t>范围内不</w:t>
      </w:r>
      <w:r>
        <w:rPr>
          <w:spacing w:val="-2"/>
          <w:sz w:val="21"/>
        </w:rPr>
        <w:t>应堆放可燃物，</w:t>
      </w:r>
      <w:r>
        <w:rPr>
          <w:sz w:val="21"/>
        </w:rPr>
        <w:t>5m</w:t>
      </w:r>
      <w:r>
        <w:rPr>
          <w:spacing w:val="-3"/>
          <w:sz w:val="21"/>
        </w:rPr>
        <w:t xml:space="preserve"> </w:t>
      </w:r>
      <w:r>
        <w:rPr>
          <w:spacing w:val="-3"/>
          <w:sz w:val="21"/>
        </w:rPr>
        <w:t>范围内不应设置可能产生较多易燃、易爆气体、粉尘的作业区。</w:t>
      </w:r>
      <w:r>
        <w:rPr>
          <w:spacing w:val="-3"/>
          <w:sz w:val="21"/>
        </w:rPr>
        <w:t xml:space="preserve"> </w:t>
      </w:r>
    </w:p>
    <w:p w14:paraId="2361D2BF" w14:textId="77777777" w:rsidR="00A71EEF" w:rsidRDefault="0081115D">
      <w:pPr>
        <w:pStyle w:val="a4"/>
        <w:numPr>
          <w:ilvl w:val="3"/>
          <w:numId w:val="440"/>
        </w:numPr>
        <w:tabs>
          <w:tab w:val="left" w:pos="1628"/>
        </w:tabs>
        <w:spacing w:line="267" w:lineRule="exact"/>
        <w:ind w:left="1627"/>
        <w:rPr>
          <w:sz w:val="21"/>
        </w:rPr>
      </w:pPr>
      <w:r>
        <w:rPr>
          <w:spacing w:val="-3"/>
          <w:sz w:val="21"/>
        </w:rPr>
        <w:t>可燃材料库房不应使用高热灯具，易燃易爆危险品库房内应使用防爆灯具。</w:t>
      </w:r>
      <w:r>
        <w:rPr>
          <w:spacing w:val="-3"/>
          <w:sz w:val="21"/>
        </w:rPr>
        <w:t xml:space="preserve"> </w:t>
      </w:r>
    </w:p>
    <w:p w14:paraId="7ADEB536" w14:textId="77777777" w:rsidR="00A71EEF" w:rsidRDefault="00A71EEF">
      <w:pPr>
        <w:pStyle w:val="a3"/>
        <w:spacing w:before="1"/>
        <w:rPr>
          <w:sz w:val="18"/>
        </w:rPr>
      </w:pPr>
    </w:p>
    <w:p w14:paraId="4CDAD1ED" w14:textId="77777777" w:rsidR="00A71EEF" w:rsidRDefault="0081115D">
      <w:pPr>
        <w:pStyle w:val="a4"/>
        <w:numPr>
          <w:ilvl w:val="3"/>
          <w:numId w:val="440"/>
        </w:numPr>
        <w:tabs>
          <w:tab w:val="left" w:pos="1628"/>
        </w:tabs>
        <w:spacing w:before="1" w:line="446" w:lineRule="auto"/>
        <w:ind w:right="1450" w:firstLine="419"/>
        <w:rPr>
          <w:sz w:val="21"/>
        </w:rPr>
      </w:pPr>
      <w:r>
        <w:rPr>
          <w:spacing w:val="-1"/>
          <w:sz w:val="21"/>
        </w:rPr>
        <w:t>普通灯具与易燃物的距离不宜小于</w:t>
      </w:r>
      <w:r>
        <w:rPr>
          <w:spacing w:val="-1"/>
          <w:sz w:val="21"/>
        </w:rPr>
        <w:t xml:space="preserve"> </w:t>
      </w:r>
      <w:r>
        <w:rPr>
          <w:sz w:val="21"/>
        </w:rPr>
        <w:t>300mm</w:t>
      </w:r>
      <w:r>
        <w:rPr>
          <w:spacing w:val="-3"/>
          <w:sz w:val="21"/>
        </w:rPr>
        <w:t>，聚光灯、碘钨灯等高热灯具与易燃物的距离不宜小于</w:t>
      </w:r>
      <w:r>
        <w:rPr>
          <w:spacing w:val="-3"/>
          <w:sz w:val="21"/>
        </w:rPr>
        <w:t xml:space="preserve"> </w:t>
      </w:r>
      <w:r>
        <w:rPr>
          <w:sz w:val="21"/>
        </w:rPr>
        <w:t>500mm</w:t>
      </w:r>
      <w:r>
        <w:rPr>
          <w:spacing w:val="-3"/>
          <w:sz w:val="21"/>
        </w:rPr>
        <w:t>。</w:t>
      </w:r>
      <w:r>
        <w:rPr>
          <w:sz w:val="21"/>
        </w:rPr>
        <w:t xml:space="preserve"> </w:t>
      </w:r>
    </w:p>
    <w:p w14:paraId="01B44DF0" w14:textId="77777777" w:rsidR="00A71EEF" w:rsidRDefault="0081115D">
      <w:pPr>
        <w:pStyle w:val="a4"/>
        <w:numPr>
          <w:ilvl w:val="3"/>
          <w:numId w:val="440"/>
        </w:numPr>
        <w:tabs>
          <w:tab w:val="left" w:pos="1628"/>
        </w:tabs>
        <w:spacing w:line="267" w:lineRule="exact"/>
        <w:ind w:left="1627"/>
        <w:rPr>
          <w:sz w:val="21"/>
        </w:rPr>
      </w:pPr>
      <w:r>
        <w:rPr>
          <w:spacing w:val="-3"/>
          <w:sz w:val="21"/>
        </w:rPr>
        <w:t>电气设备不应超负荷运行或带故障使用。</w:t>
      </w:r>
      <w:r>
        <w:rPr>
          <w:sz w:val="21"/>
        </w:rPr>
        <w:t xml:space="preserve"> </w:t>
      </w:r>
    </w:p>
    <w:p w14:paraId="7D1EA5AF" w14:textId="77777777" w:rsidR="00A71EEF" w:rsidRDefault="00A71EEF">
      <w:pPr>
        <w:pStyle w:val="a3"/>
        <w:spacing w:before="1"/>
        <w:rPr>
          <w:sz w:val="18"/>
        </w:rPr>
      </w:pPr>
    </w:p>
    <w:p w14:paraId="1BC71EF1" w14:textId="77777777" w:rsidR="00A71EEF" w:rsidRDefault="0081115D">
      <w:pPr>
        <w:pStyle w:val="a4"/>
        <w:numPr>
          <w:ilvl w:val="3"/>
          <w:numId w:val="440"/>
        </w:numPr>
        <w:tabs>
          <w:tab w:val="left" w:pos="1628"/>
        </w:tabs>
        <w:spacing w:before="1"/>
        <w:ind w:left="1627"/>
        <w:rPr>
          <w:sz w:val="21"/>
        </w:rPr>
      </w:pPr>
      <w:r>
        <w:rPr>
          <w:spacing w:val="-3"/>
          <w:sz w:val="21"/>
        </w:rPr>
        <w:t>严禁私自改装现场供用电设施。</w:t>
      </w:r>
      <w:r>
        <w:rPr>
          <w:sz w:val="21"/>
        </w:rPr>
        <w:t xml:space="preserve"> </w:t>
      </w:r>
    </w:p>
    <w:p w14:paraId="40FAD167" w14:textId="77777777" w:rsidR="00A71EEF" w:rsidRDefault="00A71EEF">
      <w:pPr>
        <w:pStyle w:val="a3"/>
        <w:spacing w:before="12"/>
        <w:rPr>
          <w:sz w:val="17"/>
        </w:rPr>
      </w:pPr>
    </w:p>
    <w:p w14:paraId="71402BB0" w14:textId="77777777" w:rsidR="00A71EEF" w:rsidRDefault="0081115D">
      <w:pPr>
        <w:pStyle w:val="a4"/>
        <w:numPr>
          <w:ilvl w:val="3"/>
          <w:numId w:val="440"/>
        </w:numPr>
        <w:tabs>
          <w:tab w:val="left" w:pos="1731"/>
        </w:tabs>
        <w:spacing w:line="446" w:lineRule="auto"/>
        <w:ind w:left="840" w:right="3767" w:hanging="3"/>
        <w:rPr>
          <w:sz w:val="21"/>
        </w:rPr>
      </w:pPr>
      <w:r>
        <w:rPr>
          <w:spacing w:val="-3"/>
          <w:sz w:val="21"/>
        </w:rPr>
        <w:t>应定期对电气设备和线路的运行及维护情况进行检查。</w:t>
      </w:r>
      <w:r>
        <w:rPr>
          <w:b/>
          <w:sz w:val="21"/>
        </w:rPr>
        <w:t xml:space="preserve">6.3.3 </w:t>
      </w:r>
      <w:r>
        <w:rPr>
          <w:spacing w:val="-3"/>
          <w:sz w:val="21"/>
        </w:rPr>
        <w:t>施工现场用气应符合下列规定：</w:t>
      </w:r>
      <w:r>
        <w:rPr>
          <w:sz w:val="21"/>
        </w:rPr>
        <w:t xml:space="preserve"> </w:t>
      </w:r>
    </w:p>
    <w:p w14:paraId="45D905E2" w14:textId="77777777" w:rsidR="00A71EEF" w:rsidRDefault="00A71EEF">
      <w:pPr>
        <w:spacing w:line="446" w:lineRule="auto"/>
        <w:rPr>
          <w:sz w:val="21"/>
        </w:rPr>
        <w:sectPr w:rsidR="00A71EEF">
          <w:pgSz w:w="11910" w:h="16850"/>
          <w:pgMar w:top="1220" w:right="0" w:bottom="1420" w:left="1260" w:header="0" w:footer="1239" w:gutter="0"/>
          <w:cols w:space="720"/>
        </w:sectPr>
      </w:pPr>
    </w:p>
    <w:p w14:paraId="31C38E30" w14:textId="77777777" w:rsidR="00A71EEF" w:rsidRDefault="0081115D">
      <w:pPr>
        <w:pStyle w:val="a4"/>
        <w:numPr>
          <w:ilvl w:val="3"/>
          <w:numId w:val="432"/>
        </w:numPr>
        <w:tabs>
          <w:tab w:val="left" w:pos="1628"/>
        </w:tabs>
        <w:spacing w:before="47" w:line="446" w:lineRule="auto"/>
        <w:ind w:right="1450" w:firstLine="419"/>
        <w:rPr>
          <w:sz w:val="21"/>
        </w:rPr>
      </w:pPr>
      <w:r>
        <w:rPr>
          <w:spacing w:val="-3"/>
          <w:sz w:val="21"/>
        </w:rPr>
        <w:t>储装气体的罐瓶及其附件应合格、完好和有效；严禁使用减压器及其他附件缺损的氧气瓶，严禁使用乙炔专用减压器、回火防止器及其他附件缺损的乙炔瓶。</w:t>
      </w:r>
      <w:r>
        <w:rPr>
          <w:sz w:val="21"/>
        </w:rPr>
        <w:t xml:space="preserve"> </w:t>
      </w:r>
    </w:p>
    <w:p w14:paraId="36328E2C" w14:textId="77777777" w:rsidR="00A71EEF" w:rsidRDefault="0081115D">
      <w:pPr>
        <w:pStyle w:val="a4"/>
        <w:numPr>
          <w:ilvl w:val="3"/>
          <w:numId w:val="432"/>
        </w:numPr>
        <w:tabs>
          <w:tab w:val="left" w:pos="1628"/>
        </w:tabs>
        <w:spacing w:line="267" w:lineRule="exact"/>
        <w:ind w:left="1627"/>
        <w:rPr>
          <w:sz w:val="21"/>
        </w:rPr>
      </w:pPr>
      <w:r>
        <w:rPr>
          <w:spacing w:val="-3"/>
          <w:sz w:val="21"/>
        </w:rPr>
        <w:t>气瓶运输、存放、使用时，应符合下列规定：</w:t>
      </w:r>
      <w:r>
        <w:rPr>
          <w:sz w:val="21"/>
        </w:rPr>
        <w:t xml:space="preserve"> </w:t>
      </w:r>
    </w:p>
    <w:p w14:paraId="4C84F371" w14:textId="77777777" w:rsidR="00A71EEF" w:rsidRDefault="00A71EEF">
      <w:pPr>
        <w:pStyle w:val="a3"/>
        <w:spacing w:before="2"/>
        <w:rPr>
          <w:sz w:val="18"/>
        </w:rPr>
      </w:pPr>
    </w:p>
    <w:p w14:paraId="237C1E81" w14:textId="77777777" w:rsidR="00A71EEF" w:rsidRDefault="0081115D">
      <w:pPr>
        <w:pStyle w:val="a4"/>
        <w:numPr>
          <w:ilvl w:val="0"/>
          <w:numId w:val="431"/>
        </w:numPr>
        <w:tabs>
          <w:tab w:val="left" w:pos="1051"/>
        </w:tabs>
        <w:rPr>
          <w:sz w:val="21"/>
        </w:rPr>
      </w:pPr>
      <w:r>
        <w:rPr>
          <w:spacing w:val="-3"/>
          <w:sz w:val="21"/>
        </w:rPr>
        <w:t>气瓶应保持直立状态，并采取防倾倒措施，乙炔瓶严禁横躺卧放。</w:t>
      </w:r>
      <w:r>
        <w:rPr>
          <w:sz w:val="21"/>
        </w:rPr>
        <w:t xml:space="preserve"> </w:t>
      </w:r>
    </w:p>
    <w:p w14:paraId="6BAAF647" w14:textId="77777777" w:rsidR="00A71EEF" w:rsidRDefault="00A71EEF">
      <w:pPr>
        <w:pStyle w:val="a3"/>
        <w:rPr>
          <w:sz w:val="18"/>
        </w:rPr>
      </w:pPr>
    </w:p>
    <w:p w14:paraId="18B70392" w14:textId="77777777" w:rsidR="00A71EEF" w:rsidRDefault="0081115D">
      <w:pPr>
        <w:pStyle w:val="a4"/>
        <w:numPr>
          <w:ilvl w:val="0"/>
          <w:numId w:val="431"/>
        </w:numPr>
        <w:tabs>
          <w:tab w:val="left" w:pos="1051"/>
        </w:tabs>
        <w:rPr>
          <w:sz w:val="21"/>
        </w:rPr>
      </w:pPr>
      <w:r>
        <w:rPr>
          <w:spacing w:val="-3"/>
          <w:sz w:val="21"/>
        </w:rPr>
        <w:t>严禁碰撞、敲打、抛掷、滚动气瓶。</w:t>
      </w:r>
      <w:r>
        <w:rPr>
          <w:sz w:val="21"/>
        </w:rPr>
        <w:t xml:space="preserve"> </w:t>
      </w:r>
    </w:p>
    <w:p w14:paraId="4010C298" w14:textId="77777777" w:rsidR="00A71EEF" w:rsidRDefault="00A71EEF">
      <w:pPr>
        <w:pStyle w:val="a3"/>
        <w:spacing w:before="12"/>
        <w:rPr>
          <w:sz w:val="17"/>
        </w:rPr>
      </w:pPr>
    </w:p>
    <w:p w14:paraId="5E0610CB" w14:textId="77777777" w:rsidR="00A71EEF" w:rsidRDefault="0081115D">
      <w:pPr>
        <w:pStyle w:val="a4"/>
        <w:numPr>
          <w:ilvl w:val="0"/>
          <w:numId w:val="431"/>
        </w:numPr>
        <w:tabs>
          <w:tab w:val="left" w:pos="1051"/>
        </w:tabs>
        <w:rPr>
          <w:sz w:val="21"/>
        </w:rPr>
      </w:pPr>
      <w:r>
        <w:rPr>
          <w:spacing w:val="-3"/>
          <w:sz w:val="21"/>
        </w:rPr>
        <w:t>气瓶应远离火源，与火源的距离不应小于</w:t>
      </w:r>
      <w:r>
        <w:rPr>
          <w:spacing w:val="-3"/>
          <w:sz w:val="21"/>
        </w:rPr>
        <w:t xml:space="preserve"> </w:t>
      </w:r>
      <w:r>
        <w:rPr>
          <w:sz w:val="21"/>
        </w:rPr>
        <w:t>10m</w:t>
      </w:r>
      <w:r>
        <w:rPr>
          <w:spacing w:val="-3"/>
          <w:sz w:val="21"/>
        </w:rPr>
        <w:t>，并应采取避免高温和防止曝晒的措施。</w:t>
      </w:r>
      <w:r>
        <w:rPr>
          <w:sz w:val="21"/>
        </w:rPr>
        <w:t xml:space="preserve"> </w:t>
      </w:r>
    </w:p>
    <w:p w14:paraId="29BF11D7" w14:textId="77777777" w:rsidR="00A71EEF" w:rsidRDefault="00A71EEF">
      <w:pPr>
        <w:pStyle w:val="a3"/>
        <w:spacing w:before="2"/>
        <w:rPr>
          <w:sz w:val="18"/>
        </w:rPr>
      </w:pPr>
    </w:p>
    <w:p w14:paraId="221C33A2" w14:textId="77777777" w:rsidR="00A71EEF" w:rsidRDefault="0081115D">
      <w:pPr>
        <w:pStyle w:val="a4"/>
        <w:numPr>
          <w:ilvl w:val="0"/>
          <w:numId w:val="431"/>
        </w:numPr>
        <w:tabs>
          <w:tab w:val="left" w:pos="1051"/>
        </w:tabs>
        <w:rPr>
          <w:sz w:val="21"/>
        </w:rPr>
      </w:pPr>
      <w:r>
        <w:rPr>
          <w:spacing w:val="-3"/>
          <w:sz w:val="21"/>
        </w:rPr>
        <w:t>燃气储装瓶罐应设置防静电装置。</w:t>
      </w:r>
      <w:r>
        <w:rPr>
          <w:sz w:val="21"/>
        </w:rPr>
        <w:t xml:space="preserve"> </w:t>
      </w:r>
    </w:p>
    <w:p w14:paraId="2EF58F1E" w14:textId="77777777" w:rsidR="00A71EEF" w:rsidRDefault="00A71EEF">
      <w:pPr>
        <w:pStyle w:val="a3"/>
        <w:rPr>
          <w:sz w:val="18"/>
        </w:rPr>
      </w:pPr>
    </w:p>
    <w:p w14:paraId="1D802D65" w14:textId="77777777" w:rsidR="00A71EEF" w:rsidRDefault="0081115D">
      <w:pPr>
        <w:pStyle w:val="a3"/>
        <w:spacing w:line="446" w:lineRule="auto"/>
        <w:ind w:left="418" w:right="1410" w:firstLine="419"/>
      </w:pPr>
      <w:r>
        <w:t xml:space="preserve">3 </w:t>
      </w:r>
      <w:r>
        <w:t>气瓶应分类储存，库房内应通风良好；空瓶和实瓶同库存放时，应分开放置，空瓶和实瓶的间距不应小于</w:t>
      </w:r>
      <w:r>
        <w:t xml:space="preserve"> 1.5m</w:t>
      </w:r>
      <w:r>
        <w:t>。</w:t>
      </w:r>
      <w:r>
        <w:t xml:space="preserve"> </w:t>
      </w:r>
    </w:p>
    <w:p w14:paraId="595A37B5" w14:textId="77777777" w:rsidR="00A71EEF" w:rsidRDefault="0081115D">
      <w:pPr>
        <w:pStyle w:val="a3"/>
        <w:ind w:left="838"/>
      </w:pPr>
      <w:r>
        <w:t xml:space="preserve">6.3.3.4 </w:t>
      </w:r>
      <w:r>
        <w:t>气瓶使用时，应符合下列规定：</w:t>
      </w:r>
      <w:r>
        <w:t xml:space="preserve"> </w:t>
      </w:r>
    </w:p>
    <w:p w14:paraId="7518078C" w14:textId="77777777" w:rsidR="00A71EEF" w:rsidRDefault="00A71EEF">
      <w:pPr>
        <w:pStyle w:val="a3"/>
        <w:spacing w:before="12"/>
        <w:rPr>
          <w:sz w:val="17"/>
        </w:rPr>
      </w:pPr>
    </w:p>
    <w:p w14:paraId="35E67C2C" w14:textId="77777777" w:rsidR="00A71EEF" w:rsidRDefault="0081115D">
      <w:pPr>
        <w:pStyle w:val="a4"/>
        <w:numPr>
          <w:ilvl w:val="0"/>
          <w:numId w:val="430"/>
        </w:numPr>
        <w:tabs>
          <w:tab w:val="left" w:pos="1051"/>
        </w:tabs>
        <w:spacing w:line="446" w:lineRule="auto"/>
        <w:ind w:right="1505" w:firstLine="419"/>
        <w:rPr>
          <w:sz w:val="21"/>
        </w:rPr>
      </w:pPr>
      <w:r>
        <w:rPr>
          <w:spacing w:val="-3"/>
          <w:sz w:val="21"/>
        </w:rPr>
        <w:t>使用前，应检查气瓶及气瓶附件的完好性，检查连接气路的气密性，并采取避免气体泄漏的措施，严禁使用已老化的橡皮气管。</w:t>
      </w:r>
      <w:r>
        <w:rPr>
          <w:sz w:val="21"/>
        </w:rPr>
        <w:t xml:space="preserve"> </w:t>
      </w:r>
    </w:p>
    <w:p w14:paraId="663676A1" w14:textId="77777777" w:rsidR="00A71EEF" w:rsidRDefault="0081115D">
      <w:pPr>
        <w:pStyle w:val="a4"/>
        <w:numPr>
          <w:ilvl w:val="0"/>
          <w:numId w:val="430"/>
        </w:numPr>
        <w:tabs>
          <w:tab w:val="left" w:pos="1051"/>
        </w:tabs>
        <w:ind w:left="1050"/>
        <w:rPr>
          <w:sz w:val="21"/>
        </w:rPr>
      </w:pPr>
      <w:r>
        <w:rPr>
          <w:spacing w:val="-3"/>
          <w:sz w:val="21"/>
        </w:rPr>
        <w:t>氧气瓶与乙炔瓶的工作间距不应小于</w:t>
      </w:r>
      <w:r>
        <w:rPr>
          <w:spacing w:val="-3"/>
          <w:sz w:val="21"/>
        </w:rPr>
        <w:t xml:space="preserve"> </w:t>
      </w:r>
      <w:r>
        <w:rPr>
          <w:sz w:val="21"/>
        </w:rPr>
        <w:t>5m</w:t>
      </w:r>
      <w:r>
        <w:rPr>
          <w:spacing w:val="-3"/>
          <w:sz w:val="21"/>
        </w:rPr>
        <w:t>，气瓶与明火作业点的距离不应小于</w:t>
      </w:r>
      <w:r>
        <w:rPr>
          <w:spacing w:val="-3"/>
          <w:sz w:val="21"/>
        </w:rPr>
        <w:t xml:space="preserve"> </w:t>
      </w:r>
      <w:r>
        <w:rPr>
          <w:sz w:val="21"/>
        </w:rPr>
        <w:t>10m</w:t>
      </w:r>
      <w:r>
        <w:rPr>
          <w:spacing w:val="-3"/>
          <w:sz w:val="21"/>
        </w:rPr>
        <w:t>。</w:t>
      </w:r>
      <w:r>
        <w:rPr>
          <w:sz w:val="21"/>
        </w:rPr>
        <w:t xml:space="preserve"> </w:t>
      </w:r>
    </w:p>
    <w:p w14:paraId="5271E5BD" w14:textId="77777777" w:rsidR="00A71EEF" w:rsidRDefault="00A71EEF">
      <w:pPr>
        <w:pStyle w:val="a3"/>
        <w:rPr>
          <w:sz w:val="18"/>
        </w:rPr>
      </w:pPr>
    </w:p>
    <w:p w14:paraId="76876909" w14:textId="77777777" w:rsidR="00A71EEF" w:rsidRDefault="0081115D">
      <w:pPr>
        <w:pStyle w:val="a4"/>
        <w:numPr>
          <w:ilvl w:val="0"/>
          <w:numId w:val="430"/>
        </w:numPr>
        <w:tabs>
          <w:tab w:val="left" w:pos="1051"/>
        </w:tabs>
        <w:spacing w:line="446" w:lineRule="auto"/>
        <w:ind w:right="1505" w:firstLine="419"/>
        <w:rPr>
          <w:sz w:val="21"/>
        </w:rPr>
      </w:pPr>
      <w:r>
        <w:rPr>
          <w:spacing w:val="-3"/>
          <w:sz w:val="21"/>
        </w:rPr>
        <w:t>冬季使用气瓶，气瓶的瓶阀、减压器等发生冻结时，严禁用火烘烤或用铁器敲击瓶阀，</w:t>
      </w:r>
      <w:r>
        <w:rPr>
          <w:spacing w:val="-3"/>
          <w:sz w:val="21"/>
        </w:rPr>
        <w:t xml:space="preserve"> </w:t>
      </w:r>
      <w:r>
        <w:rPr>
          <w:spacing w:val="-3"/>
          <w:sz w:val="21"/>
        </w:rPr>
        <w:t>严禁猛拧减压器的调节螺丝。</w:t>
      </w:r>
      <w:r>
        <w:rPr>
          <w:sz w:val="21"/>
        </w:rPr>
        <w:t xml:space="preserve"> </w:t>
      </w:r>
    </w:p>
    <w:p w14:paraId="43D57541" w14:textId="77777777" w:rsidR="00A71EEF" w:rsidRDefault="0081115D">
      <w:pPr>
        <w:pStyle w:val="a4"/>
        <w:numPr>
          <w:ilvl w:val="0"/>
          <w:numId w:val="430"/>
        </w:numPr>
        <w:tabs>
          <w:tab w:val="left" w:pos="1051"/>
        </w:tabs>
        <w:ind w:left="1050"/>
        <w:rPr>
          <w:sz w:val="21"/>
        </w:rPr>
      </w:pPr>
      <w:r>
        <w:rPr>
          <w:spacing w:val="-3"/>
          <w:sz w:val="21"/>
        </w:rPr>
        <w:t>氧气瓶内剩余气体的压力不应小于</w:t>
      </w:r>
      <w:r>
        <w:rPr>
          <w:spacing w:val="-3"/>
          <w:sz w:val="21"/>
        </w:rPr>
        <w:t xml:space="preserve"> </w:t>
      </w:r>
      <w:r>
        <w:rPr>
          <w:sz w:val="21"/>
        </w:rPr>
        <w:t>0.1MPa</w:t>
      </w:r>
      <w:r>
        <w:rPr>
          <w:sz w:val="21"/>
        </w:rPr>
        <w:t>。</w:t>
      </w:r>
      <w:r>
        <w:rPr>
          <w:sz w:val="21"/>
        </w:rPr>
        <w:t xml:space="preserve"> </w:t>
      </w:r>
    </w:p>
    <w:p w14:paraId="6F002989" w14:textId="77777777" w:rsidR="00A71EEF" w:rsidRDefault="00A71EEF">
      <w:pPr>
        <w:pStyle w:val="a3"/>
        <w:spacing w:before="12"/>
        <w:rPr>
          <w:sz w:val="17"/>
        </w:rPr>
      </w:pPr>
    </w:p>
    <w:p w14:paraId="74464E53" w14:textId="77777777" w:rsidR="00A71EEF" w:rsidRDefault="0081115D">
      <w:pPr>
        <w:pStyle w:val="a4"/>
        <w:numPr>
          <w:ilvl w:val="0"/>
          <w:numId w:val="430"/>
        </w:numPr>
        <w:tabs>
          <w:tab w:val="left" w:pos="1051"/>
        </w:tabs>
        <w:ind w:left="1050"/>
        <w:rPr>
          <w:sz w:val="21"/>
        </w:rPr>
      </w:pPr>
      <w:r>
        <w:rPr>
          <w:spacing w:val="-3"/>
          <w:sz w:val="21"/>
        </w:rPr>
        <w:t>气瓶用后应及时归库。</w:t>
      </w:r>
      <w:r>
        <w:rPr>
          <w:sz w:val="21"/>
        </w:rPr>
        <w:t xml:space="preserve"> </w:t>
      </w:r>
    </w:p>
    <w:p w14:paraId="4837B32C" w14:textId="77777777" w:rsidR="00A71EEF" w:rsidRDefault="00A71EEF">
      <w:pPr>
        <w:pStyle w:val="a3"/>
        <w:rPr>
          <w:sz w:val="18"/>
        </w:rPr>
      </w:pPr>
    </w:p>
    <w:p w14:paraId="1BE183EA" w14:textId="77777777" w:rsidR="00A71EEF" w:rsidRDefault="0081115D">
      <w:pPr>
        <w:pStyle w:val="a4"/>
        <w:numPr>
          <w:ilvl w:val="1"/>
          <w:numId w:val="440"/>
        </w:numPr>
        <w:tabs>
          <w:tab w:val="left" w:pos="1160"/>
        </w:tabs>
        <w:ind w:left="1159" w:hanging="320"/>
        <w:rPr>
          <w:sz w:val="21"/>
        </w:rPr>
      </w:pPr>
      <w:r>
        <w:rPr>
          <w:spacing w:val="-3"/>
          <w:sz w:val="21"/>
        </w:rPr>
        <w:t>其他防火管理</w:t>
      </w:r>
      <w:r>
        <w:rPr>
          <w:sz w:val="21"/>
        </w:rPr>
        <w:t xml:space="preserve"> </w:t>
      </w:r>
    </w:p>
    <w:p w14:paraId="358E752F" w14:textId="77777777" w:rsidR="00A71EEF" w:rsidRDefault="00A71EEF">
      <w:pPr>
        <w:pStyle w:val="a3"/>
        <w:spacing w:before="2"/>
        <w:rPr>
          <w:sz w:val="18"/>
        </w:rPr>
      </w:pPr>
    </w:p>
    <w:p w14:paraId="3532695C" w14:textId="77777777" w:rsidR="00A71EEF" w:rsidRDefault="0081115D">
      <w:pPr>
        <w:pStyle w:val="a4"/>
        <w:numPr>
          <w:ilvl w:val="2"/>
          <w:numId w:val="440"/>
        </w:numPr>
        <w:tabs>
          <w:tab w:val="left" w:pos="1424"/>
        </w:tabs>
        <w:ind w:left="1423" w:hanging="584"/>
        <w:rPr>
          <w:sz w:val="21"/>
        </w:rPr>
      </w:pPr>
      <w:r>
        <w:rPr>
          <w:spacing w:val="-3"/>
          <w:sz w:val="21"/>
        </w:rPr>
        <w:t>施工现场的重点防火部位或区域应设置防火警示标识。</w:t>
      </w:r>
      <w:r>
        <w:rPr>
          <w:sz w:val="21"/>
        </w:rPr>
        <w:t xml:space="preserve"> </w:t>
      </w:r>
    </w:p>
    <w:p w14:paraId="6A00CDBA" w14:textId="77777777" w:rsidR="00A71EEF" w:rsidRDefault="00A71EEF">
      <w:pPr>
        <w:pStyle w:val="a3"/>
        <w:rPr>
          <w:sz w:val="20"/>
        </w:rPr>
      </w:pPr>
    </w:p>
    <w:p w14:paraId="3BE15A92" w14:textId="77777777" w:rsidR="00A71EEF" w:rsidRDefault="00A71EEF">
      <w:pPr>
        <w:pStyle w:val="a3"/>
        <w:rPr>
          <w:sz w:val="20"/>
        </w:rPr>
      </w:pPr>
    </w:p>
    <w:p w14:paraId="4F5C727F" w14:textId="77777777" w:rsidR="00A71EEF" w:rsidRDefault="00A71EEF">
      <w:pPr>
        <w:pStyle w:val="a3"/>
        <w:spacing w:before="12"/>
        <w:rPr>
          <w:sz w:val="16"/>
        </w:rPr>
      </w:pPr>
    </w:p>
    <w:p w14:paraId="28A15BB6" w14:textId="77777777" w:rsidR="00A71EEF" w:rsidRDefault="0081115D">
      <w:pPr>
        <w:pStyle w:val="a4"/>
        <w:numPr>
          <w:ilvl w:val="2"/>
          <w:numId w:val="440"/>
        </w:numPr>
        <w:tabs>
          <w:tab w:val="left" w:pos="1371"/>
        </w:tabs>
        <w:spacing w:line="446" w:lineRule="auto"/>
        <w:ind w:left="418" w:right="1604" w:firstLine="422"/>
        <w:rPr>
          <w:sz w:val="21"/>
        </w:rPr>
      </w:pPr>
      <w:r>
        <w:rPr>
          <w:spacing w:val="-3"/>
          <w:sz w:val="21"/>
        </w:rPr>
        <w:t>施工单位应做好施工现场临时消防设施的日常维护工作，对已失效、损坏或丢失的消防设施应及时更换、修复或补充。</w:t>
      </w:r>
      <w:r>
        <w:rPr>
          <w:sz w:val="21"/>
        </w:rPr>
        <w:t xml:space="preserve"> </w:t>
      </w:r>
    </w:p>
    <w:p w14:paraId="51482C55" w14:textId="77777777" w:rsidR="00A71EEF" w:rsidRDefault="0081115D">
      <w:pPr>
        <w:pStyle w:val="a4"/>
        <w:numPr>
          <w:ilvl w:val="2"/>
          <w:numId w:val="440"/>
        </w:numPr>
        <w:tabs>
          <w:tab w:val="left" w:pos="1424"/>
        </w:tabs>
        <w:spacing w:line="446" w:lineRule="auto"/>
        <w:ind w:left="418" w:right="1657" w:firstLine="422"/>
        <w:rPr>
          <w:sz w:val="21"/>
        </w:rPr>
      </w:pPr>
      <w:r>
        <w:rPr>
          <w:spacing w:val="-3"/>
          <w:sz w:val="21"/>
        </w:rPr>
        <w:t>临时消防车道、临时疏散通道、安全出口应保持畅通，不得遮挡、挪动疏散指示标识，不得挪用消防设施。</w:t>
      </w:r>
      <w:r>
        <w:rPr>
          <w:sz w:val="21"/>
        </w:rPr>
        <w:t xml:space="preserve"> </w:t>
      </w:r>
    </w:p>
    <w:p w14:paraId="58D9A333" w14:textId="77777777" w:rsidR="00A71EEF" w:rsidRDefault="0081115D">
      <w:pPr>
        <w:pStyle w:val="a4"/>
        <w:numPr>
          <w:ilvl w:val="2"/>
          <w:numId w:val="440"/>
        </w:numPr>
        <w:tabs>
          <w:tab w:val="left" w:pos="1424"/>
        </w:tabs>
        <w:ind w:left="1423" w:hanging="584"/>
        <w:rPr>
          <w:sz w:val="21"/>
        </w:rPr>
      </w:pPr>
      <w:r>
        <w:rPr>
          <w:spacing w:val="-3"/>
          <w:sz w:val="21"/>
        </w:rPr>
        <w:t>施工期间，不应拆除临时消防设施及临时疏散设施。</w:t>
      </w:r>
      <w:r>
        <w:rPr>
          <w:sz w:val="21"/>
        </w:rPr>
        <w:t xml:space="preserve"> </w:t>
      </w:r>
    </w:p>
    <w:p w14:paraId="3056D211" w14:textId="77777777" w:rsidR="00A71EEF" w:rsidRDefault="00A71EEF">
      <w:pPr>
        <w:pStyle w:val="a3"/>
        <w:rPr>
          <w:sz w:val="18"/>
        </w:rPr>
      </w:pPr>
    </w:p>
    <w:p w14:paraId="0DC5974B" w14:textId="77777777" w:rsidR="00A71EEF" w:rsidRDefault="0081115D">
      <w:pPr>
        <w:pStyle w:val="a4"/>
        <w:numPr>
          <w:ilvl w:val="2"/>
          <w:numId w:val="440"/>
        </w:numPr>
        <w:tabs>
          <w:tab w:val="left" w:pos="1424"/>
        </w:tabs>
        <w:ind w:left="1423" w:hanging="584"/>
        <w:rPr>
          <w:sz w:val="21"/>
        </w:rPr>
      </w:pPr>
      <w:r>
        <w:rPr>
          <w:spacing w:val="-3"/>
          <w:sz w:val="21"/>
        </w:rPr>
        <w:t>施工现场严禁吸烟。</w:t>
      </w:r>
      <w:r>
        <w:rPr>
          <w:spacing w:val="-3"/>
          <w:sz w:val="21"/>
        </w:rPr>
        <w:t xml:space="preserve"> </w:t>
      </w:r>
    </w:p>
    <w:p w14:paraId="7049C5CD" w14:textId="77777777" w:rsidR="00A71EEF" w:rsidRDefault="00A71EEF">
      <w:pPr>
        <w:pStyle w:val="a3"/>
        <w:rPr>
          <w:sz w:val="20"/>
        </w:rPr>
      </w:pPr>
    </w:p>
    <w:p w14:paraId="59363418" w14:textId="77777777" w:rsidR="00A71EEF" w:rsidRDefault="00A71EEF">
      <w:pPr>
        <w:pStyle w:val="a3"/>
        <w:rPr>
          <w:sz w:val="20"/>
        </w:rPr>
      </w:pPr>
    </w:p>
    <w:p w14:paraId="0F7968D8" w14:textId="77777777" w:rsidR="00A71EEF" w:rsidRDefault="00A71EEF">
      <w:pPr>
        <w:pStyle w:val="a3"/>
        <w:spacing w:before="1"/>
        <w:rPr>
          <w:sz w:val="17"/>
        </w:rPr>
      </w:pPr>
    </w:p>
    <w:p w14:paraId="3FB7DE11" w14:textId="77777777" w:rsidR="00A71EEF" w:rsidRDefault="0081115D">
      <w:pPr>
        <w:pStyle w:val="a3"/>
        <w:ind w:left="838"/>
      </w:pPr>
      <w:r>
        <w:t xml:space="preserve"> </w:t>
      </w:r>
    </w:p>
    <w:p w14:paraId="0BCF037A" w14:textId="77777777" w:rsidR="00A71EEF" w:rsidRDefault="00A71EEF">
      <w:pPr>
        <w:sectPr w:rsidR="00A71EEF">
          <w:pgSz w:w="11910" w:h="16850"/>
          <w:pgMar w:top="1220" w:right="0" w:bottom="1420" w:left="1260" w:header="0" w:footer="1239" w:gutter="0"/>
          <w:cols w:space="720"/>
        </w:sectPr>
      </w:pPr>
    </w:p>
    <w:p w14:paraId="1FC515DF" w14:textId="77777777" w:rsidR="00A71EEF" w:rsidRDefault="0081115D">
      <w:pPr>
        <w:pStyle w:val="2"/>
        <w:ind w:right="870"/>
      </w:pPr>
      <w:bookmarkStart w:id="23" w:name="_bookmark23"/>
      <w:bookmarkEnd w:id="23"/>
      <w:r>
        <w:t>消防用开门器</w:t>
      </w:r>
      <w:r>
        <w:rPr>
          <w:w w:val="99"/>
        </w:rPr>
        <w:t xml:space="preserve"> </w:t>
      </w:r>
    </w:p>
    <w:p w14:paraId="66E4C87A" w14:textId="77777777" w:rsidR="00A71EEF" w:rsidRDefault="00A71EEF">
      <w:pPr>
        <w:pStyle w:val="a3"/>
        <w:rPr>
          <w:b/>
          <w:sz w:val="20"/>
        </w:rPr>
      </w:pPr>
    </w:p>
    <w:p w14:paraId="71EBE08F" w14:textId="77777777" w:rsidR="00A71EEF" w:rsidRDefault="00A71EEF">
      <w:pPr>
        <w:pStyle w:val="a3"/>
        <w:spacing w:before="5"/>
        <w:rPr>
          <w:b/>
          <w:sz w:val="14"/>
        </w:rPr>
      </w:pPr>
    </w:p>
    <w:p w14:paraId="0112D1E7" w14:textId="77777777" w:rsidR="00A71EEF" w:rsidRDefault="0081115D">
      <w:pPr>
        <w:pStyle w:val="4"/>
        <w:spacing w:before="66"/>
      </w:pPr>
      <w:r>
        <w:t xml:space="preserve">1 </w:t>
      </w:r>
      <w:r>
        <w:t>范围</w:t>
      </w:r>
      <w:r>
        <w:rPr>
          <w:w w:val="99"/>
        </w:rPr>
        <w:t xml:space="preserve"> </w:t>
      </w:r>
    </w:p>
    <w:p w14:paraId="4A0B3973" w14:textId="77777777" w:rsidR="00A71EEF" w:rsidRDefault="00A71EEF">
      <w:pPr>
        <w:pStyle w:val="a3"/>
        <w:spacing w:before="4"/>
        <w:rPr>
          <w:b/>
          <w:sz w:val="17"/>
        </w:rPr>
      </w:pPr>
    </w:p>
    <w:p w14:paraId="2BA7C2E7" w14:textId="77777777" w:rsidR="00A71EEF" w:rsidRDefault="0081115D">
      <w:pPr>
        <w:pStyle w:val="a3"/>
        <w:spacing w:line="446" w:lineRule="auto"/>
        <w:ind w:left="418" w:right="1609" w:firstLine="419"/>
      </w:pPr>
      <w:r>
        <w:t>本标准规定了消防用开门器的术语和定义、型号、技术要求、试验方法、检验规则以及标志、包装、运输、贮存。</w:t>
      </w:r>
      <w:r>
        <w:t xml:space="preserve"> </w:t>
      </w:r>
    </w:p>
    <w:p w14:paraId="5DECD9DA" w14:textId="77777777" w:rsidR="00A71EEF" w:rsidRDefault="0081115D">
      <w:pPr>
        <w:pStyle w:val="a3"/>
        <w:ind w:left="838"/>
      </w:pPr>
      <w:r>
        <w:t>本标准适用于消防队员在灭火和应急救援中使用的开门器。</w:t>
      </w:r>
      <w:r>
        <w:t xml:space="preserve"> </w:t>
      </w:r>
    </w:p>
    <w:p w14:paraId="626E7A67" w14:textId="77777777" w:rsidR="00A71EEF" w:rsidRDefault="00A71EEF">
      <w:pPr>
        <w:pStyle w:val="a3"/>
        <w:spacing w:before="8"/>
        <w:rPr>
          <w:sz w:val="15"/>
        </w:rPr>
      </w:pPr>
    </w:p>
    <w:p w14:paraId="435AA513" w14:textId="77777777" w:rsidR="00A71EEF" w:rsidRDefault="0081115D">
      <w:pPr>
        <w:pStyle w:val="4"/>
      </w:pPr>
      <w:r>
        <w:t xml:space="preserve">2 </w:t>
      </w:r>
      <w:r>
        <w:t>规范性引用文件</w:t>
      </w:r>
      <w:r>
        <w:rPr>
          <w:w w:val="99"/>
        </w:rPr>
        <w:t xml:space="preserve"> </w:t>
      </w:r>
    </w:p>
    <w:p w14:paraId="077B93B6" w14:textId="77777777" w:rsidR="00A71EEF" w:rsidRDefault="00A71EEF">
      <w:pPr>
        <w:pStyle w:val="a3"/>
        <w:spacing w:before="4"/>
        <w:rPr>
          <w:b/>
          <w:sz w:val="17"/>
        </w:rPr>
      </w:pPr>
    </w:p>
    <w:p w14:paraId="2ADE5D5F" w14:textId="77777777" w:rsidR="00A71EEF" w:rsidRDefault="0081115D">
      <w:pPr>
        <w:pStyle w:val="a3"/>
        <w:spacing w:line="446" w:lineRule="auto"/>
        <w:ind w:left="418" w:right="1609" w:firstLine="419"/>
      </w:pPr>
      <w:r>
        <w:t>下列文件对于本文件的应用是必不可少的。凡是注日期的引用文件，仅注日期的版本适用于本文件。凡是不注日期的引用文件，其最新版本</w:t>
      </w:r>
      <w:r>
        <w:t>(</w:t>
      </w:r>
      <w:r>
        <w:t>包括所有的修改单</w:t>
      </w:r>
      <w:r>
        <w:t>)</w:t>
      </w:r>
      <w:r>
        <w:t>适用于本文件。</w:t>
      </w:r>
      <w:r>
        <w:t xml:space="preserve"> </w:t>
      </w:r>
    </w:p>
    <w:p w14:paraId="2FB0DE74" w14:textId="77777777" w:rsidR="00A71EEF" w:rsidRDefault="0081115D">
      <w:pPr>
        <w:pStyle w:val="a3"/>
        <w:ind w:left="838"/>
      </w:pPr>
      <w:r>
        <w:t xml:space="preserve">GB/T191 </w:t>
      </w:r>
      <w:r>
        <w:t>包装储运图示标志</w:t>
      </w:r>
      <w:r>
        <w:t xml:space="preserve"> </w:t>
      </w:r>
    </w:p>
    <w:p w14:paraId="2F52D2EC" w14:textId="77777777" w:rsidR="00A71EEF" w:rsidRDefault="00A71EEF">
      <w:pPr>
        <w:pStyle w:val="a3"/>
        <w:rPr>
          <w:sz w:val="18"/>
        </w:rPr>
      </w:pPr>
    </w:p>
    <w:p w14:paraId="177265DA" w14:textId="77777777" w:rsidR="00A71EEF" w:rsidRDefault="0081115D">
      <w:pPr>
        <w:pStyle w:val="a3"/>
        <w:ind w:left="838"/>
      </w:pPr>
      <w:r>
        <w:t xml:space="preserve">GB/T 9969 </w:t>
      </w:r>
      <w:r>
        <w:t>工业产品使用说明书</w:t>
      </w:r>
      <w:r>
        <w:t xml:space="preserve"> </w:t>
      </w:r>
      <w:r>
        <w:t>总则</w:t>
      </w:r>
      <w:r>
        <w:t xml:space="preserve"> </w:t>
      </w:r>
    </w:p>
    <w:p w14:paraId="1ABA25ED" w14:textId="77777777" w:rsidR="00A71EEF" w:rsidRDefault="00A71EEF">
      <w:pPr>
        <w:pStyle w:val="a3"/>
        <w:spacing w:before="1"/>
        <w:rPr>
          <w:sz w:val="18"/>
        </w:rPr>
      </w:pPr>
    </w:p>
    <w:p w14:paraId="724DC4BE" w14:textId="77777777" w:rsidR="00A71EEF" w:rsidRDefault="0081115D">
      <w:pPr>
        <w:pStyle w:val="a3"/>
        <w:spacing w:before="1" w:line="446" w:lineRule="auto"/>
        <w:ind w:left="838" w:right="1928"/>
      </w:pPr>
      <w:r>
        <w:t xml:space="preserve">GB/T 3683 </w:t>
      </w:r>
      <w:r>
        <w:t>橡胶软管及软管组合件</w:t>
      </w:r>
      <w:r>
        <w:t xml:space="preserve"> </w:t>
      </w:r>
      <w:r>
        <w:t>油基或水基流体适用的钢丝编织增强液压型</w:t>
      </w:r>
      <w:r>
        <w:t xml:space="preserve"> </w:t>
      </w:r>
      <w:r>
        <w:t>规范</w:t>
      </w:r>
      <w:r>
        <w:t xml:space="preserve">SH 0358 10 </w:t>
      </w:r>
      <w:r>
        <w:t>号航空液压油</w:t>
      </w:r>
      <w:r>
        <w:t xml:space="preserve"> </w:t>
      </w:r>
    </w:p>
    <w:p w14:paraId="2C81B073" w14:textId="77777777" w:rsidR="00A71EEF" w:rsidRDefault="0081115D">
      <w:pPr>
        <w:pStyle w:val="4"/>
        <w:spacing w:line="275" w:lineRule="exact"/>
      </w:pPr>
      <w:r>
        <w:t xml:space="preserve">3 </w:t>
      </w:r>
      <w:r>
        <w:t>术语和定义</w:t>
      </w:r>
      <w:r>
        <w:rPr>
          <w:w w:val="99"/>
        </w:rPr>
        <w:t xml:space="preserve"> </w:t>
      </w:r>
    </w:p>
    <w:p w14:paraId="065AF656" w14:textId="77777777" w:rsidR="00A71EEF" w:rsidRDefault="00A71EEF">
      <w:pPr>
        <w:pStyle w:val="a3"/>
        <w:spacing w:before="6"/>
        <w:rPr>
          <w:b/>
          <w:sz w:val="17"/>
        </w:rPr>
      </w:pPr>
    </w:p>
    <w:p w14:paraId="6AA8EA73" w14:textId="77777777" w:rsidR="00A71EEF" w:rsidRDefault="0081115D">
      <w:pPr>
        <w:pStyle w:val="a3"/>
        <w:ind w:left="838"/>
      </w:pPr>
      <w:r>
        <w:t>下列术语和定义适用于本文件。</w:t>
      </w:r>
      <w:r>
        <w:t xml:space="preserve"> </w:t>
      </w:r>
    </w:p>
    <w:p w14:paraId="6D373A3B" w14:textId="77777777" w:rsidR="00A71EEF" w:rsidRDefault="00A71EEF">
      <w:pPr>
        <w:pStyle w:val="a3"/>
        <w:spacing w:before="12"/>
        <w:rPr>
          <w:sz w:val="17"/>
        </w:rPr>
      </w:pPr>
    </w:p>
    <w:p w14:paraId="7AC1DE52" w14:textId="77777777" w:rsidR="00A71EEF" w:rsidRDefault="0081115D">
      <w:pPr>
        <w:pStyle w:val="a4"/>
        <w:numPr>
          <w:ilvl w:val="1"/>
          <w:numId w:val="429"/>
        </w:numPr>
        <w:tabs>
          <w:tab w:val="left" w:pos="1213"/>
        </w:tabs>
        <w:ind w:hanging="373"/>
        <w:rPr>
          <w:b/>
          <w:sz w:val="21"/>
        </w:rPr>
      </w:pPr>
      <w:r>
        <w:rPr>
          <w:spacing w:val="-3"/>
          <w:sz w:val="21"/>
        </w:rPr>
        <w:t>消防用开门器</w:t>
      </w:r>
      <w:r>
        <w:rPr>
          <w:spacing w:val="-3"/>
          <w:sz w:val="21"/>
        </w:rPr>
        <w:t xml:space="preserve"> </w:t>
      </w:r>
      <w:r>
        <w:rPr>
          <w:sz w:val="21"/>
        </w:rPr>
        <w:t>door</w:t>
      </w:r>
      <w:r>
        <w:rPr>
          <w:spacing w:val="1"/>
          <w:sz w:val="21"/>
        </w:rPr>
        <w:t xml:space="preserve"> </w:t>
      </w:r>
      <w:r>
        <w:rPr>
          <w:sz w:val="21"/>
        </w:rPr>
        <w:t>opener</w:t>
      </w:r>
      <w:r>
        <w:rPr>
          <w:spacing w:val="-3"/>
          <w:sz w:val="21"/>
        </w:rPr>
        <w:t xml:space="preserve"> </w:t>
      </w:r>
      <w:r>
        <w:rPr>
          <w:sz w:val="21"/>
        </w:rPr>
        <w:t>for</w:t>
      </w:r>
      <w:r>
        <w:rPr>
          <w:spacing w:val="-2"/>
          <w:sz w:val="21"/>
        </w:rPr>
        <w:t xml:space="preserve"> </w:t>
      </w:r>
      <w:r>
        <w:rPr>
          <w:sz w:val="21"/>
        </w:rPr>
        <w:t>fire</w:t>
      </w:r>
      <w:r>
        <w:rPr>
          <w:spacing w:val="1"/>
          <w:sz w:val="21"/>
        </w:rPr>
        <w:t xml:space="preserve"> </w:t>
      </w:r>
      <w:r>
        <w:rPr>
          <w:sz w:val="21"/>
        </w:rPr>
        <w:t>fighting</w:t>
      </w:r>
      <w:r>
        <w:rPr>
          <w:b/>
          <w:w w:val="99"/>
          <w:sz w:val="21"/>
        </w:rPr>
        <w:t xml:space="preserve"> </w:t>
      </w:r>
    </w:p>
    <w:p w14:paraId="7A7AD769" w14:textId="77777777" w:rsidR="00A71EEF" w:rsidRDefault="00A71EEF">
      <w:pPr>
        <w:pStyle w:val="a3"/>
        <w:rPr>
          <w:b/>
          <w:sz w:val="18"/>
        </w:rPr>
      </w:pPr>
    </w:p>
    <w:p w14:paraId="55A6DF70" w14:textId="77777777" w:rsidR="00A71EEF" w:rsidRDefault="0081115D">
      <w:pPr>
        <w:pStyle w:val="a3"/>
        <w:ind w:left="838"/>
      </w:pPr>
      <w:r>
        <w:t>消防队员在灭火和应急救援中，用于破拆门体和门框结构的工具。</w:t>
      </w:r>
      <w:r>
        <w:t xml:space="preserve"> </w:t>
      </w:r>
    </w:p>
    <w:p w14:paraId="7DD6B51C" w14:textId="77777777" w:rsidR="00A71EEF" w:rsidRDefault="00A71EEF">
      <w:pPr>
        <w:pStyle w:val="a3"/>
        <w:spacing w:before="1"/>
        <w:rPr>
          <w:sz w:val="18"/>
        </w:rPr>
      </w:pPr>
    </w:p>
    <w:p w14:paraId="30EEE2D1" w14:textId="77777777" w:rsidR="00A71EEF" w:rsidRDefault="0081115D">
      <w:pPr>
        <w:pStyle w:val="a4"/>
        <w:numPr>
          <w:ilvl w:val="1"/>
          <w:numId w:val="429"/>
        </w:numPr>
        <w:tabs>
          <w:tab w:val="left" w:pos="1213"/>
        </w:tabs>
        <w:spacing w:before="1"/>
        <w:ind w:hanging="373"/>
        <w:rPr>
          <w:b/>
          <w:sz w:val="21"/>
        </w:rPr>
      </w:pPr>
      <w:r>
        <w:rPr>
          <w:spacing w:val="-3"/>
          <w:sz w:val="21"/>
        </w:rPr>
        <w:t>最大开启力</w:t>
      </w:r>
      <w:r>
        <w:rPr>
          <w:spacing w:val="-3"/>
          <w:sz w:val="21"/>
        </w:rPr>
        <w:t xml:space="preserve"> </w:t>
      </w:r>
      <w:r>
        <w:rPr>
          <w:sz w:val="21"/>
        </w:rPr>
        <w:t>maximal</w:t>
      </w:r>
      <w:r>
        <w:rPr>
          <w:spacing w:val="-2"/>
          <w:sz w:val="21"/>
        </w:rPr>
        <w:t xml:space="preserve"> </w:t>
      </w:r>
      <w:r>
        <w:rPr>
          <w:sz w:val="21"/>
        </w:rPr>
        <w:t>opening</w:t>
      </w:r>
      <w:r>
        <w:rPr>
          <w:spacing w:val="1"/>
          <w:sz w:val="21"/>
        </w:rPr>
        <w:t xml:space="preserve"> </w:t>
      </w:r>
      <w:r>
        <w:rPr>
          <w:sz w:val="21"/>
        </w:rPr>
        <w:t>force</w:t>
      </w:r>
      <w:r>
        <w:rPr>
          <w:b/>
          <w:w w:val="99"/>
          <w:sz w:val="21"/>
        </w:rPr>
        <w:t xml:space="preserve"> </w:t>
      </w:r>
    </w:p>
    <w:p w14:paraId="57803847" w14:textId="77777777" w:rsidR="00A71EEF" w:rsidRDefault="00A71EEF">
      <w:pPr>
        <w:pStyle w:val="a3"/>
        <w:spacing w:before="12"/>
        <w:rPr>
          <w:b/>
          <w:sz w:val="17"/>
        </w:rPr>
      </w:pPr>
    </w:p>
    <w:p w14:paraId="6CFBD927" w14:textId="77777777" w:rsidR="00A71EEF" w:rsidRDefault="0081115D">
      <w:pPr>
        <w:pStyle w:val="a3"/>
        <w:ind w:left="838"/>
      </w:pPr>
      <w:r>
        <w:t>在额定工作压力下，消防用开门器在开启方向上能对开启对象产生的最大作用力。</w:t>
      </w:r>
      <w:r>
        <w:t xml:space="preserve"> </w:t>
      </w:r>
    </w:p>
    <w:p w14:paraId="14C69373" w14:textId="77777777" w:rsidR="00A71EEF" w:rsidRDefault="00A71EEF">
      <w:pPr>
        <w:pStyle w:val="a3"/>
        <w:spacing w:before="12"/>
        <w:rPr>
          <w:sz w:val="17"/>
        </w:rPr>
      </w:pPr>
    </w:p>
    <w:p w14:paraId="21135402" w14:textId="77777777" w:rsidR="00A71EEF" w:rsidRDefault="0081115D">
      <w:pPr>
        <w:pStyle w:val="a4"/>
        <w:numPr>
          <w:ilvl w:val="1"/>
          <w:numId w:val="429"/>
        </w:numPr>
        <w:tabs>
          <w:tab w:val="left" w:pos="1213"/>
        </w:tabs>
        <w:ind w:hanging="373"/>
        <w:rPr>
          <w:b/>
          <w:sz w:val="21"/>
        </w:rPr>
      </w:pPr>
      <w:r>
        <w:rPr>
          <w:spacing w:val="-3"/>
          <w:sz w:val="21"/>
        </w:rPr>
        <w:t>最大开启距离</w:t>
      </w:r>
      <w:r>
        <w:rPr>
          <w:spacing w:val="-3"/>
          <w:sz w:val="21"/>
        </w:rPr>
        <w:t xml:space="preserve"> </w:t>
      </w:r>
      <w:r>
        <w:rPr>
          <w:sz w:val="21"/>
        </w:rPr>
        <w:t>maximal</w:t>
      </w:r>
      <w:r>
        <w:rPr>
          <w:spacing w:val="1"/>
          <w:sz w:val="21"/>
        </w:rPr>
        <w:t xml:space="preserve"> </w:t>
      </w:r>
      <w:r>
        <w:rPr>
          <w:sz w:val="21"/>
        </w:rPr>
        <w:t>opening</w:t>
      </w:r>
      <w:r>
        <w:rPr>
          <w:spacing w:val="-2"/>
          <w:sz w:val="21"/>
        </w:rPr>
        <w:t xml:space="preserve"> </w:t>
      </w:r>
      <w:r>
        <w:rPr>
          <w:sz w:val="21"/>
        </w:rPr>
        <w:t>distance</w:t>
      </w:r>
      <w:r>
        <w:rPr>
          <w:b/>
          <w:w w:val="99"/>
          <w:sz w:val="21"/>
        </w:rPr>
        <w:t xml:space="preserve"> </w:t>
      </w:r>
    </w:p>
    <w:p w14:paraId="7D8A9129" w14:textId="77777777" w:rsidR="00A71EEF" w:rsidRDefault="00A71EEF">
      <w:pPr>
        <w:pStyle w:val="a3"/>
        <w:spacing w:before="3"/>
        <w:rPr>
          <w:b/>
          <w:sz w:val="18"/>
        </w:rPr>
      </w:pPr>
    </w:p>
    <w:p w14:paraId="47EFDA30" w14:textId="77777777" w:rsidR="00A71EEF" w:rsidRDefault="0081115D">
      <w:pPr>
        <w:pStyle w:val="a3"/>
        <w:ind w:left="838"/>
      </w:pPr>
      <w:r>
        <w:t>消防用开门器的两底脚脚尖沿开启方向所能张开的最大距离。</w:t>
      </w:r>
      <w:r>
        <w:t xml:space="preserve"> </w:t>
      </w:r>
    </w:p>
    <w:p w14:paraId="57924CDC" w14:textId="77777777" w:rsidR="00A71EEF" w:rsidRDefault="00A71EEF">
      <w:pPr>
        <w:pStyle w:val="a3"/>
        <w:spacing w:before="8"/>
        <w:rPr>
          <w:sz w:val="15"/>
        </w:rPr>
      </w:pPr>
    </w:p>
    <w:p w14:paraId="229B8391" w14:textId="77777777" w:rsidR="00A71EEF" w:rsidRDefault="0081115D">
      <w:pPr>
        <w:pStyle w:val="4"/>
      </w:pPr>
      <w:r>
        <w:t xml:space="preserve">4 </w:t>
      </w:r>
      <w:r>
        <w:t>型号</w:t>
      </w:r>
      <w:r>
        <w:rPr>
          <w:w w:val="99"/>
        </w:rPr>
        <w:t xml:space="preserve"> </w:t>
      </w:r>
    </w:p>
    <w:p w14:paraId="43131DE1" w14:textId="77777777" w:rsidR="00A71EEF" w:rsidRDefault="00A71EEF">
      <w:pPr>
        <w:pStyle w:val="a3"/>
        <w:rPr>
          <w:b/>
          <w:sz w:val="20"/>
        </w:rPr>
      </w:pPr>
    </w:p>
    <w:p w14:paraId="4F6E1029" w14:textId="77777777" w:rsidR="00A71EEF" w:rsidRDefault="0081115D">
      <w:pPr>
        <w:pStyle w:val="a3"/>
        <w:spacing w:before="4"/>
        <w:rPr>
          <w:b/>
          <w:sz w:val="14"/>
        </w:rPr>
      </w:pPr>
      <w:r>
        <w:rPr>
          <w:noProof/>
        </w:rPr>
        <w:drawing>
          <wp:anchor distT="0" distB="0" distL="0" distR="0" simplePos="0" relativeHeight="251631104" behindDoc="0" locked="0" layoutInCell="1" allowOverlap="1" wp14:anchorId="52E23EEF" wp14:editId="4C9547BE">
            <wp:simplePos x="0" y="0"/>
            <wp:positionH relativeFrom="page">
              <wp:posOffset>1513205</wp:posOffset>
            </wp:positionH>
            <wp:positionV relativeFrom="paragraph">
              <wp:posOffset>141811</wp:posOffset>
            </wp:positionV>
            <wp:extent cx="4473351" cy="1581150"/>
            <wp:effectExtent l="0" t="0" r="0" b="0"/>
            <wp:wrapTopAndBottom/>
            <wp:docPr id="479" name="image2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image280.jpeg"/>
                    <pic:cNvPicPr/>
                  </pic:nvPicPr>
                  <pic:blipFill>
                    <a:blip r:embed="rId331" cstate="print"/>
                    <a:stretch>
                      <a:fillRect/>
                    </a:stretch>
                  </pic:blipFill>
                  <pic:spPr>
                    <a:xfrm>
                      <a:off x="0" y="0"/>
                      <a:ext cx="4473351" cy="1581150"/>
                    </a:xfrm>
                    <a:prstGeom prst="rect">
                      <a:avLst/>
                    </a:prstGeom>
                  </pic:spPr>
                </pic:pic>
              </a:graphicData>
            </a:graphic>
          </wp:anchor>
        </w:drawing>
      </w:r>
    </w:p>
    <w:p w14:paraId="4C6EE36A" w14:textId="77777777" w:rsidR="00A71EEF" w:rsidRDefault="0081115D">
      <w:pPr>
        <w:pStyle w:val="a3"/>
        <w:spacing w:before="163"/>
        <w:ind w:left="418"/>
      </w:pPr>
      <w:r>
        <w:t xml:space="preserve"> </w:t>
      </w:r>
    </w:p>
    <w:p w14:paraId="55173046" w14:textId="77777777" w:rsidR="00A71EEF" w:rsidRDefault="00A71EEF">
      <w:pPr>
        <w:sectPr w:rsidR="00A71EEF">
          <w:pgSz w:w="11910" w:h="16850"/>
          <w:pgMar w:top="1140" w:right="0" w:bottom="1420" w:left="1260" w:header="0" w:footer="1239" w:gutter="0"/>
          <w:cols w:space="720"/>
        </w:sectPr>
      </w:pPr>
    </w:p>
    <w:p w14:paraId="75A3D44E" w14:textId="77777777" w:rsidR="00A71EEF" w:rsidRDefault="0081115D">
      <w:pPr>
        <w:spacing w:before="37"/>
        <w:ind w:right="898"/>
        <w:jc w:val="center"/>
        <w:rPr>
          <w:b/>
          <w:sz w:val="24"/>
        </w:rPr>
      </w:pPr>
      <w:r>
        <w:rPr>
          <w:sz w:val="21"/>
        </w:rPr>
        <w:t xml:space="preserve"> </w:t>
      </w:r>
      <w:r>
        <w:rPr>
          <w:sz w:val="21"/>
        </w:rPr>
        <w:t xml:space="preserve"> </w:t>
      </w:r>
      <w:r>
        <w:rPr>
          <w:b/>
          <w:sz w:val="24"/>
        </w:rPr>
        <w:t xml:space="preserve">5 </w:t>
      </w:r>
      <w:r>
        <w:rPr>
          <w:b/>
          <w:sz w:val="24"/>
        </w:rPr>
        <w:t>技术要求</w:t>
      </w:r>
      <w:r>
        <w:rPr>
          <w:b/>
          <w:w w:val="99"/>
          <w:sz w:val="24"/>
        </w:rPr>
        <w:t xml:space="preserve"> </w:t>
      </w:r>
    </w:p>
    <w:p w14:paraId="29149D3D" w14:textId="77777777" w:rsidR="00A71EEF" w:rsidRDefault="00A71EEF">
      <w:pPr>
        <w:pStyle w:val="a3"/>
        <w:spacing w:before="10"/>
        <w:rPr>
          <w:b/>
          <w:sz w:val="11"/>
        </w:rPr>
      </w:pPr>
    </w:p>
    <w:p w14:paraId="16E0EC07" w14:textId="77777777" w:rsidR="00A71EEF" w:rsidRDefault="0081115D">
      <w:pPr>
        <w:pStyle w:val="a4"/>
        <w:numPr>
          <w:ilvl w:val="1"/>
          <w:numId w:val="428"/>
        </w:numPr>
        <w:tabs>
          <w:tab w:val="left" w:pos="1159"/>
        </w:tabs>
        <w:spacing w:before="71"/>
        <w:ind w:hanging="319"/>
        <w:rPr>
          <w:sz w:val="21"/>
        </w:rPr>
      </w:pPr>
      <w:r>
        <w:rPr>
          <w:spacing w:val="-3"/>
          <w:sz w:val="21"/>
        </w:rPr>
        <w:t>消防用开门器</w:t>
      </w:r>
      <w:r>
        <w:rPr>
          <w:sz w:val="21"/>
        </w:rPr>
        <w:t xml:space="preserve"> </w:t>
      </w:r>
    </w:p>
    <w:p w14:paraId="4DCB8B3B" w14:textId="77777777" w:rsidR="00A71EEF" w:rsidRDefault="00A71EEF">
      <w:pPr>
        <w:pStyle w:val="a3"/>
        <w:rPr>
          <w:sz w:val="18"/>
        </w:rPr>
      </w:pPr>
    </w:p>
    <w:p w14:paraId="14A9233D" w14:textId="77777777" w:rsidR="00A71EEF" w:rsidRDefault="0081115D">
      <w:pPr>
        <w:pStyle w:val="a4"/>
        <w:numPr>
          <w:ilvl w:val="2"/>
          <w:numId w:val="428"/>
        </w:numPr>
        <w:tabs>
          <w:tab w:val="left" w:pos="1370"/>
        </w:tabs>
        <w:ind w:hanging="530"/>
        <w:rPr>
          <w:b/>
          <w:sz w:val="21"/>
        </w:rPr>
      </w:pPr>
      <w:r>
        <w:rPr>
          <w:spacing w:val="-3"/>
          <w:sz w:val="21"/>
        </w:rPr>
        <w:t>外观</w:t>
      </w:r>
      <w:r>
        <w:rPr>
          <w:b/>
          <w:w w:val="99"/>
          <w:sz w:val="21"/>
        </w:rPr>
        <w:t xml:space="preserve"> </w:t>
      </w:r>
    </w:p>
    <w:p w14:paraId="37B9959B" w14:textId="77777777" w:rsidR="00A71EEF" w:rsidRDefault="00A71EEF">
      <w:pPr>
        <w:pStyle w:val="a3"/>
        <w:spacing w:before="2"/>
        <w:rPr>
          <w:b/>
          <w:sz w:val="18"/>
        </w:rPr>
      </w:pPr>
    </w:p>
    <w:p w14:paraId="65AD28DB" w14:textId="77777777" w:rsidR="00A71EEF" w:rsidRDefault="0081115D">
      <w:pPr>
        <w:pStyle w:val="a3"/>
        <w:spacing w:line="446" w:lineRule="auto"/>
        <w:ind w:left="418" w:right="1608" w:firstLine="419"/>
      </w:pPr>
      <w:r>
        <w:t>消防用开门器（以下简称</w:t>
      </w:r>
      <w:r>
        <w:rPr>
          <w:b/>
        </w:rPr>
        <w:t>开门</w:t>
      </w:r>
      <w:r>
        <w:t>器）的外表面应光滑平整，无毛刺及加工缺陷，金属件表面应进行防腐蚀处理。</w:t>
      </w:r>
      <w:r>
        <w:t xml:space="preserve"> </w:t>
      </w:r>
    </w:p>
    <w:p w14:paraId="3F0559B0" w14:textId="77777777" w:rsidR="00A71EEF" w:rsidRDefault="0081115D">
      <w:pPr>
        <w:pStyle w:val="a4"/>
        <w:numPr>
          <w:ilvl w:val="2"/>
          <w:numId w:val="428"/>
        </w:numPr>
        <w:tabs>
          <w:tab w:val="left" w:pos="1370"/>
        </w:tabs>
        <w:spacing w:line="267" w:lineRule="exact"/>
        <w:ind w:hanging="530"/>
        <w:rPr>
          <w:b/>
          <w:sz w:val="21"/>
        </w:rPr>
      </w:pPr>
      <w:r>
        <w:rPr>
          <w:spacing w:val="-3"/>
          <w:sz w:val="21"/>
        </w:rPr>
        <w:t>开启力和开启距离</w:t>
      </w:r>
      <w:r>
        <w:rPr>
          <w:b/>
          <w:w w:val="99"/>
          <w:sz w:val="21"/>
        </w:rPr>
        <w:t xml:space="preserve"> </w:t>
      </w:r>
    </w:p>
    <w:p w14:paraId="4B4E7FA4" w14:textId="77777777" w:rsidR="00A71EEF" w:rsidRDefault="00A71EEF">
      <w:pPr>
        <w:pStyle w:val="a3"/>
        <w:spacing w:before="2"/>
        <w:rPr>
          <w:b/>
          <w:sz w:val="18"/>
        </w:rPr>
      </w:pPr>
    </w:p>
    <w:p w14:paraId="1D839417" w14:textId="77777777" w:rsidR="00A71EEF" w:rsidRDefault="0081115D">
      <w:pPr>
        <w:pStyle w:val="a3"/>
        <w:spacing w:line="446" w:lineRule="auto"/>
        <w:ind w:left="840" w:right="3714" w:hanging="3"/>
        <w:rPr>
          <w:b/>
        </w:rPr>
      </w:pPr>
      <w:r>
        <w:t>开门器的最大开启力不应小</w:t>
      </w:r>
      <w:r>
        <w:t xml:space="preserve"> 60kN</w:t>
      </w:r>
      <w:r>
        <w:t>，最大开启距离不应小于</w:t>
      </w:r>
      <w:r>
        <w:t xml:space="preserve"> 60mm</w:t>
      </w:r>
      <w:r>
        <w:t>。</w:t>
      </w:r>
      <w:r>
        <w:rPr>
          <w:b/>
        </w:rPr>
        <w:t xml:space="preserve">5.1.3 </w:t>
      </w:r>
      <w:r>
        <w:t>开启性能</w:t>
      </w:r>
      <w:r>
        <w:rPr>
          <w:b/>
          <w:w w:val="99"/>
        </w:rPr>
        <w:t xml:space="preserve"> </w:t>
      </w:r>
    </w:p>
    <w:p w14:paraId="5BD50434" w14:textId="77777777" w:rsidR="00A71EEF" w:rsidRDefault="0081115D">
      <w:pPr>
        <w:pStyle w:val="a3"/>
        <w:spacing w:line="446" w:lineRule="auto"/>
        <w:ind w:left="840" w:right="1505" w:hanging="3"/>
        <w:rPr>
          <w:b/>
        </w:rPr>
      </w:pPr>
      <w:r>
        <w:t>开门器开启过程应平稳，按</w:t>
      </w:r>
      <w:r>
        <w:t xml:space="preserve"> 6.2.3 </w:t>
      </w:r>
      <w:r>
        <w:t>规定的试验方法试验后，不应有泄漏和机械损坏现象。</w:t>
      </w:r>
      <w:r>
        <w:rPr>
          <w:b/>
        </w:rPr>
        <w:t xml:space="preserve">5.1.4 </w:t>
      </w:r>
      <w:r>
        <w:t>底脚回位性能</w:t>
      </w:r>
      <w:r>
        <w:rPr>
          <w:b/>
          <w:w w:val="99"/>
        </w:rPr>
        <w:t xml:space="preserve"> </w:t>
      </w:r>
    </w:p>
    <w:p w14:paraId="160F3488" w14:textId="77777777" w:rsidR="00A71EEF" w:rsidRDefault="0081115D">
      <w:pPr>
        <w:pStyle w:val="a3"/>
        <w:spacing w:line="446" w:lineRule="auto"/>
        <w:ind w:left="840" w:right="3239" w:hanging="3"/>
        <w:rPr>
          <w:b/>
        </w:rPr>
      </w:pPr>
      <w:r>
        <w:t>开门器底脚的回位过程平稳，回位后两底脚脚尖的间距不应大于</w:t>
      </w:r>
      <w:r>
        <w:t xml:space="preserve"> 2mm</w:t>
      </w:r>
      <w:r>
        <w:t>。</w:t>
      </w:r>
      <w:r>
        <w:rPr>
          <w:b/>
        </w:rPr>
        <w:t xml:space="preserve">5.1.5 </w:t>
      </w:r>
      <w:r>
        <w:t>强度</w:t>
      </w:r>
      <w:r>
        <w:rPr>
          <w:b/>
          <w:w w:val="99"/>
        </w:rPr>
        <w:t xml:space="preserve"> </w:t>
      </w:r>
    </w:p>
    <w:p w14:paraId="605EFFA0" w14:textId="77777777" w:rsidR="00A71EEF" w:rsidRDefault="0081115D">
      <w:pPr>
        <w:pStyle w:val="a3"/>
        <w:spacing w:line="446" w:lineRule="auto"/>
        <w:ind w:left="418" w:right="1608" w:firstLine="419"/>
      </w:pPr>
      <w:r>
        <w:rPr>
          <w:spacing w:val="-9"/>
        </w:rPr>
        <w:t>开门器应能经受</w:t>
      </w:r>
      <w:r>
        <w:rPr>
          <w:spacing w:val="-9"/>
        </w:rPr>
        <w:t xml:space="preserve"> </w:t>
      </w:r>
      <w:r>
        <w:t>1.5</w:t>
      </w:r>
      <w:r>
        <w:rPr>
          <w:spacing w:val="-11"/>
        </w:rPr>
        <w:t xml:space="preserve"> </w:t>
      </w:r>
      <w:r>
        <w:rPr>
          <w:spacing w:val="-11"/>
        </w:rPr>
        <w:t>倍额定工作压力的强度试验，按</w:t>
      </w:r>
      <w:r>
        <w:rPr>
          <w:spacing w:val="-11"/>
        </w:rPr>
        <w:t xml:space="preserve"> </w:t>
      </w:r>
      <w:r>
        <w:t>6.2.5</w:t>
      </w:r>
      <w:r>
        <w:rPr>
          <w:spacing w:val="-8"/>
        </w:rPr>
        <w:t xml:space="preserve"> </w:t>
      </w:r>
      <w:r>
        <w:rPr>
          <w:spacing w:val="-8"/>
        </w:rPr>
        <w:t>规定叫试验方法试验后，不应</w:t>
      </w:r>
      <w:r>
        <w:rPr>
          <w:spacing w:val="-5"/>
        </w:rPr>
        <w:t>有泄漏和机械损坏现象。</w:t>
      </w:r>
      <w:r>
        <w:t xml:space="preserve">  </w:t>
      </w:r>
      <w:r>
        <w:t xml:space="preserve"> </w:t>
      </w:r>
    </w:p>
    <w:p w14:paraId="37817C23" w14:textId="77777777" w:rsidR="00A71EEF" w:rsidRDefault="0081115D">
      <w:pPr>
        <w:spacing w:line="267" w:lineRule="exact"/>
        <w:ind w:left="840"/>
        <w:rPr>
          <w:b/>
          <w:sz w:val="21"/>
        </w:rPr>
      </w:pPr>
      <w:r>
        <w:rPr>
          <w:b/>
          <w:sz w:val="21"/>
        </w:rPr>
        <w:t>5</w:t>
      </w:r>
      <w:r>
        <w:rPr>
          <w:b/>
          <w:sz w:val="21"/>
        </w:rPr>
        <w:t xml:space="preserve">.1.6 </w:t>
      </w:r>
      <w:r>
        <w:rPr>
          <w:sz w:val="21"/>
        </w:rPr>
        <w:t>高低温性能</w:t>
      </w:r>
      <w:r>
        <w:rPr>
          <w:b/>
          <w:w w:val="99"/>
          <w:sz w:val="21"/>
        </w:rPr>
        <w:t xml:space="preserve"> </w:t>
      </w:r>
    </w:p>
    <w:p w14:paraId="7D840A7A" w14:textId="77777777" w:rsidR="00A71EEF" w:rsidRDefault="00A71EEF">
      <w:pPr>
        <w:pStyle w:val="a3"/>
        <w:spacing w:before="12"/>
        <w:rPr>
          <w:b/>
          <w:sz w:val="17"/>
        </w:rPr>
      </w:pPr>
    </w:p>
    <w:p w14:paraId="4D92DA43" w14:textId="77777777" w:rsidR="00A71EEF" w:rsidRDefault="0081115D">
      <w:pPr>
        <w:pStyle w:val="a3"/>
        <w:spacing w:line="446" w:lineRule="auto"/>
        <w:ind w:left="840" w:right="3397" w:hanging="3"/>
        <w:rPr>
          <w:b/>
        </w:rPr>
      </w:pPr>
      <w:r>
        <w:rPr>
          <w:spacing w:val="-10"/>
        </w:rPr>
        <w:t>开门器按</w:t>
      </w:r>
      <w:r>
        <w:rPr>
          <w:spacing w:val="-10"/>
        </w:rPr>
        <w:t xml:space="preserve"> </w:t>
      </w:r>
      <w:r>
        <w:t>6.2.6</w:t>
      </w:r>
      <w:r>
        <w:rPr>
          <w:spacing w:val="-8"/>
        </w:rPr>
        <w:t xml:space="preserve"> </w:t>
      </w:r>
      <w:r>
        <w:rPr>
          <w:spacing w:val="-8"/>
        </w:rPr>
        <w:t>规定的试验方法试验后，应动作正常，无异常现象。</w:t>
      </w:r>
      <w:r>
        <w:rPr>
          <w:b/>
        </w:rPr>
        <w:t>5.1.7</w:t>
      </w:r>
      <w:r>
        <w:rPr>
          <w:b/>
          <w:spacing w:val="1"/>
        </w:rPr>
        <w:t xml:space="preserve"> </w:t>
      </w:r>
      <w:r>
        <w:rPr>
          <w:spacing w:val="-3"/>
        </w:rPr>
        <w:t>密封性</w:t>
      </w:r>
      <w:r>
        <w:t xml:space="preserve"> </w:t>
      </w:r>
      <w:r>
        <w:rPr>
          <w:spacing w:val="-2"/>
        </w:rPr>
        <w:t xml:space="preserve"> </w:t>
      </w:r>
      <w:r>
        <w:rPr>
          <w:b/>
          <w:w w:val="99"/>
        </w:rPr>
        <w:t xml:space="preserve"> </w:t>
      </w:r>
    </w:p>
    <w:p w14:paraId="15CC2491" w14:textId="77777777" w:rsidR="00A71EEF" w:rsidRDefault="0081115D">
      <w:pPr>
        <w:pStyle w:val="a3"/>
        <w:spacing w:line="446" w:lineRule="auto"/>
        <w:ind w:left="840" w:right="3239" w:hanging="3"/>
        <w:rPr>
          <w:b/>
        </w:rPr>
      </w:pPr>
      <w:r>
        <w:rPr>
          <w:spacing w:val="-11"/>
        </w:rPr>
        <w:t>开门器按</w:t>
      </w:r>
      <w:r>
        <w:rPr>
          <w:spacing w:val="-11"/>
        </w:rPr>
        <w:t xml:space="preserve"> </w:t>
      </w:r>
      <w:r>
        <w:t>6.2.7</w:t>
      </w:r>
      <w:r>
        <w:rPr>
          <w:spacing w:val="-10"/>
        </w:rPr>
        <w:t xml:space="preserve"> </w:t>
      </w:r>
      <w:r>
        <w:rPr>
          <w:spacing w:val="-10"/>
        </w:rPr>
        <w:t>规定的试验方法试验后，其最大位移量不应大于</w:t>
      </w:r>
      <w:r>
        <w:rPr>
          <w:spacing w:val="-10"/>
        </w:rPr>
        <w:t xml:space="preserve"> </w:t>
      </w:r>
      <w:r>
        <w:t>1mm</w:t>
      </w:r>
      <w:r>
        <w:rPr>
          <w:spacing w:val="-3"/>
        </w:rPr>
        <w:t>。</w:t>
      </w:r>
      <w:r>
        <w:rPr>
          <w:b/>
        </w:rPr>
        <w:t>5.1.8</w:t>
      </w:r>
      <w:r>
        <w:rPr>
          <w:b/>
          <w:spacing w:val="1"/>
        </w:rPr>
        <w:t xml:space="preserve"> </w:t>
      </w:r>
      <w:r>
        <w:rPr>
          <w:spacing w:val="-3"/>
        </w:rPr>
        <w:t>可靠性</w:t>
      </w:r>
      <w:r>
        <w:t xml:space="preserve"> </w:t>
      </w:r>
      <w:r>
        <w:rPr>
          <w:spacing w:val="-2"/>
        </w:rPr>
        <w:t xml:space="preserve"> </w:t>
      </w:r>
      <w:r>
        <w:rPr>
          <w:b/>
          <w:w w:val="99"/>
        </w:rPr>
        <w:t xml:space="preserve"> </w:t>
      </w:r>
    </w:p>
    <w:p w14:paraId="53A39B8D" w14:textId="77777777" w:rsidR="00A71EEF" w:rsidRDefault="0081115D">
      <w:pPr>
        <w:pStyle w:val="a3"/>
        <w:spacing w:line="446" w:lineRule="auto"/>
        <w:ind w:left="840" w:right="1611" w:hanging="3"/>
      </w:pPr>
      <w:r>
        <w:rPr>
          <w:spacing w:val="-10"/>
        </w:rPr>
        <w:t>开门器按</w:t>
      </w:r>
      <w:r>
        <w:rPr>
          <w:spacing w:val="-10"/>
        </w:rPr>
        <w:t xml:space="preserve"> </w:t>
      </w:r>
      <w:r>
        <w:t>6.2.8</w:t>
      </w:r>
      <w:r>
        <w:rPr>
          <w:spacing w:val="-8"/>
        </w:rPr>
        <w:t xml:space="preserve"> </w:t>
      </w:r>
      <w:r>
        <w:rPr>
          <w:spacing w:val="-8"/>
        </w:rPr>
        <w:t>规定的试验</w:t>
      </w:r>
      <w:r>
        <w:rPr>
          <w:spacing w:val="-8"/>
        </w:rPr>
        <w:t>(</w:t>
      </w:r>
      <w:r>
        <w:rPr>
          <w:spacing w:val="-8"/>
        </w:rPr>
        <w:t>方法试验后，应动作正常，无泄漏、机械损坏及异常现象。</w:t>
      </w:r>
      <w:r>
        <w:rPr>
          <w:b/>
        </w:rPr>
        <w:t>5.2</w:t>
      </w:r>
      <w:r>
        <w:rPr>
          <w:b/>
          <w:spacing w:val="-1"/>
        </w:rPr>
        <w:t xml:space="preserve"> </w:t>
      </w:r>
      <w:r>
        <w:rPr>
          <w:spacing w:val="-3"/>
        </w:rPr>
        <w:t>附件</w:t>
      </w:r>
      <w:r>
        <w:t xml:space="preserve"> </w:t>
      </w:r>
    </w:p>
    <w:p w14:paraId="46935800" w14:textId="77777777" w:rsidR="00A71EEF" w:rsidRDefault="0081115D">
      <w:pPr>
        <w:pStyle w:val="a4"/>
        <w:numPr>
          <w:ilvl w:val="2"/>
          <w:numId w:val="427"/>
        </w:numPr>
        <w:tabs>
          <w:tab w:val="left" w:pos="1370"/>
        </w:tabs>
        <w:ind w:hanging="530"/>
        <w:rPr>
          <w:b/>
          <w:sz w:val="21"/>
        </w:rPr>
      </w:pPr>
      <w:r>
        <w:rPr>
          <w:spacing w:val="-3"/>
          <w:sz w:val="21"/>
        </w:rPr>
        <w:t>液压软管</w:t>
      </w:r>
      <w:r>
        <w:rPr>
          <w:b/>
          <w:w w:val="99"/>
          <w:sz w:val="21"/>
        </w:rPr>
        <w:t xml:space="preserve"> </w:t>
      </w:r>
    </w:p>
    <w:p w14:paraId="1DA3C16F" w14:textId="77777777" w:rsidR="00A71EEF" w:rsidRDefault="00A71EEF">
      <w:pPr>
        <w:pStyle w:val="a3"/>
        <w:spacing w:before="10"/>
        <w:rPr>
          <w:b/>
          <w:sz w:val="17"/>
        </w:rPr>
      </w:pPr>
    </w:p>
    <w:p w14:paraId="2E40731A" w14:textId="77777777" w:rsidR="00A71EEF" w:rsidRDefault="0081115D">
      <w:pPr>
        <w:pStyle w:val="a4"/>
        <w:numPr>
          <w:ilvl w:val="3"/>
          <w:numId w:val="427"/>
        </w:numPr>
        <w:tabs>
          <w:tab w:val="left" w:pos="1576"/>
        </w:tabs>
        <w:spacing w:before="1" w:line="446" w:lineRule="auto"/>
        <w:ind w:right="1820" w:firstLine="419"/>
        <w:rPr>
          <w:sz w:val="21"/>
        </w:rPr>
      </w:pPr>
      <w:r>
        <w:rPr>
          <w:spacing w:val="-5"/>
          <w:sz w:val="21"/>
        </w:rPr>
        <w:t>开门器使用的液压软管两端应设置金属护套，液压软管应符合</w:t>
      </w:r>
      <w:r>
        <w:rPr>
          <w:spacing w:val="-5"/>
          <w:sz w:val="21"/>
        </w:rPr>
        <w:t xml:space="preserve"> </w:t>
      </w:r>
      <w:r>
        <w:rPr>
          <w:sz w:val="21"/>
        </w:rPr>
        <w:t>GB/T</w:t>
      </w:r>
      <w:r>
        <w:rPr>
          <w:spacing w:val="11"/>
          <w:sz w:val="21"/>
        </w:rPr>
        <w:t xml:space="preserve"> </w:t>
      </w:r>
      <w:r>
        <w:rPr>
          <w:sz w:val="21"/>
        </w:rPr>
        <w:t>3683</w:t>
      </w:r>
      <w:r>
        <w:rPr>
          <w:spacing w:val="-17"/>
          <w:sz w:val="21"/>
        </w:rPr>
        <w:t xml:space="preserve"> </w:t>
      </w:r>
      <w:r>
        <w:rPr>
          <w:spacing w:val="-17"/>
          <w:sz w:val="21"/>
        </w:rPr>
        <w:t>的要</w:t>
      </w:r>
      <w:r>
        <w:rPr>
          <w:spacing w:val="-10"/>
          <w:sz w:val="21"/>
        </w:rPr>
        <w:t>求。</w:t>
      </w:r>
      <w:r>
        <w:rPr>
          <w:sz w:val="21"/>
        </w:rPr>
        <w:t xml:space="preserve"> </w:t>
      </w:r>
    </w:p>
    <w:p w14:paraId="798C73A0" w14:textId="77777777" w:rsidR="00A71EEF" w:rsidRDefault="0081115D">
      <w:pPr>
        <w:pStyle w:val="a4"/>
        <w:numPr>
          <w:ilvl w:val="3"/>
          <w:numId w:val="427"/>
        </w:numPr>
        <w:tabs>
          <w:tab w:val="left" w:pos="1576"/>
        </w:tabs>
        <w:spacing w:line="446" w:lineRule="auto"/>
        <w:ind w:right="1608" w:firstLine="419"/>
        <w:rPr>
          <w:sz w:val="21"/>
        </w:rPr>
      </w:pPr>
      <w:r>
        <w:rPr>
          <w:spacing w:val="-6"/>
          <w:sz w:val="21"/>
        </w:rPr>
        <w:t>开门器使用的液压软管及液压接头按</w:t>
      </w:r>
      <w:r>
        <w:rPr>
          <w:spacing w:val="-6"/>
          <w:sz w:val="21"/>
        </w:rPr>
        <w:t xml:space="preserve"> </w:t>
      </w:r>
      <w:r>
        <w:rPr>
          <w:sz w:val="21"/>
        </w:rPr>
        <w:t>6.3</w:t>
      </w:r>
      <w:r>
        <w:rPr>
          <w:spacing w:val="-8"/>
          <w:sz w:val="21"/>
        </w:rPr>
        <w:t xml:space="preserve"> </w:t>
      </w:r>
      <w:r>
        <w:rPr>
          <w:spacing w:val="-8"/>
          <w:sz w:val="21"/>
        </w:rPr>
        <w:t>规定的试验方法试验后，不应出现渗漏</w:t>
      </w:r>
      <w:r>
        <w:rPr>
          <w:spacing w:val="-7"/>
          <w:sz w:val="21"/>
        </w:rPr>
        <w:t>现象。</w:t>
      </w:r>
      <w:r>
        <w:rPr>
          <w:sz w:val="21"/>
        </w:rPr>
        <w:t xml:space="preserve"> </w:t>
      </w:r>
    </w:p>
    <w:p w14:paraId="1C3CB065" w14:textId="77777777" w:rsidR="00A71EEF" w:rsidRDefault="0081115D">
      <w:pPr>
        <w:pStyle w:val="a4"/>
        <w:numPr>
          <w:ilvl w:val="2"/>
          <w:numId w:val="427"/>
        </w:numPr>
        <w:tabs>
          <w:tab w:val="left" w:pos="1370"/>
        </w:tabs>
        <w:spacing w:line="267" w:lineRule="exact"/>
        <w:ind w:hanging="530"/>
        <w:rPr>
          <w:b/>
          <w:sz w:val="21"/>
        </w:rPr>
      </w:pPr>
      <w:r>
        <w:rPr>
          <w:spacing w:val="-3"/>
          <w:sz w:val="21"/>
        </w:rPr>
        <w:t>液压接头</w:t>
      </w:r>
      <w:r>
        <w:rPr>
          <w:b/>
          <w:w w:val="99"/>
          <w:sz w:val="21"/>
        </w:rPr>
        <w:t xml:space="preserve"> </w:t>
      </w:r>
    </w:p>
    <w:p w14:paraId="5F47E27D" w14:textId="77777777" w:rsidR="00A71EEF" w:rsidRDefault="00A71EEF">
      <w:pPr>
        <w:pStyle w:val="a3"/>
        <w:spacing w:before="1"/>
        <w:rPr>
          <w:b/>
          <w:sz w:val="18"/>
        </w:rPr>
      </w:pPr>
    </w:p>
    <w:p w14:paraId="63C8C068" w14:textId="77777777" w:rsidR="00A71EEF" w:rsidRDefault="0081115D">
      <w:pPr>
        <w:pStyle w:val="a4"/>
        <w:numPr>
          <w:ilvl w:val="3"/>
          <w:numId w:val="427"/>
        </w:numPr>
        <w:tabs>
          <w:tab w:val="left" w:pos="1576"/>
        </w:tabs>
        <w:ind w:left="1575"/>
        <w:rPr>
          <w:sz w:val="21"/>
        </w:rPr>
      </w:pPr>
      <w:r>
        <w:rPr>
          <w:spacing w:val="-3"/>
          <w:sz w:val="21"/>
        </w:rPr>
        <w:t>开门器使用的液压接头应带有自锁功能和防尘装置。</w:t>
      </w:r>
      <w:r>
        <w:rPr>
          <w:sz w:val="21"/>
        </w:rPr>
        <w:t xml:space="preserve"> </w:t>
      </w:r>
    </w:p>
    <w:p w14:paraId="278A3E4F" w14:textId="77777777" w:rsidR="00A71EEF" w:rsidRDefault="00A71EEF">
      <w:pPr>
        <w:rPr>
          <w:sz w:val="21"/>
        </w:rPr>
        <w:sectPr w:rsidR="00A71EEF">
          <w:footerReference w:type="default" r:id="rId332"/>
          <w:pgSz w:w="11910" w:h="16850"/>
          <w:pgMar w:top="1200" w:right="0" w:bottom="1420" w:left="1260" w:header="0" w:footer="1239" w:gutter="0"/>
          <w:pgNumType w:start="1250"/>
          <w:cols w:space="720"/>
        </w:sectPr>
      </w:pPr>
    </w:p>
    <w:p w14:paraId="7D851F15" w14:textId="77777777" w:rsidR="00A71EEF" w:rsidRDefault="0081115D">
      <w:pPr>
        <w:pStyle w:val="a4"/>
        <w:numPr>
          <w:ilvl w:val="3"/>
          <w:numId w:val="427"/>
        </w:numPr>
        <w:tabs>
          <w:tab w:val="left" w:pos="1576"/>
        </w:tabs>
        <w:spacing w:before="167" w:line="446" w:lineRule="auto"/>
        <w:ind w:right="1609" w:firstLine="419"/>
        <w:rPr>
          <w:sz w:val="21"/>
        </w:rPr>
      </w:pPr>
      <w:r>
        <w:rPr>
          <w:spacing w:val="-7"/>
          <w:sz w:val="21"/>
        </w:rPr>
        <w:t>开门器使用的液压接头按</w:t>
      </w:r>
      <w:r>
        <w:rPr>
          <w:spacing w:val="-7"/>
          <w:sz w:val="21"/>
        </w:rPr>
        <w:t xml:space="preserve"> </w:t>
      </w:r>
      <w:r>
        <w:rPr>
          <w:sz w:val="21"/>
        </w:rPr>
        <w:t>6.4</w:t>
      </w:r>
      <w:r>
        <w:rPr>
          <w:spacing w:val="-8"/>
          <w:sz w:val="21"/>
        </w:rPr>
        <w:t xml:space="preserve"> </w:t>
      </w:r>
      <w:r>
        <w:rPr>
          <w:spacing w:val="-8"/>
          <w:sz w:val="21"/>
        </w:rPr>
        <w:t>规定的试验方法试验后，应无破损、渗漏或永久性</w:t>
      </w:r>
      <w:r>
        <w:rPr>
          <w:spacing w:val="-7"/>
          <w:sz w:val="21"/>
        </w:rPr>
        <w:t>变形。</w:t>
      </w:r>
      <w:r>
        <w:rPr>
          <w:sz w:val="21"/>
        </w:rPr>
        <w:t xml:space="preserve"> </w:t>
      </w:r>
    </w:p>
    <w:p w14:paraId="77066648" w14:textId="77777777" w:rsidR="00A71EEF" w:rsidRDefault="0081115D">
      <w:pPr>
        <w:pStyle w:val="a4"/>
        <w:numPr>
          <w:ilvl w:val="2"/>
          <w:numId w:val="427"/>
        </w:numPr>
        <w:tabs>
          <w:tab w:val="left" w:pos="1371"/>
        </w:tabs>
        <w:ind w:left="1370" w:hanging="531"/>
        <w:rPr>
          <w:b/>
          <w:sz w:val="21"/>
        </w:rPr>
      </w:pPr>
      <w:r>
        <w:rPr>
          <w:spacing w:val="-3"/>
          <w:sz w:val="21"/>
        </w:rPr>
        <w:t>液压油</w:t>
      </w:r>
      <w:r>
        <w:rPr>
          <w:b/>
          <w:w w:val="99"/>
          <w:sz w:val="21"/>
        </w:rPr>
        <w:t xml:space="preserve"> </w:t>
      </w:r>
    </w:p>
    <w:p w14:paraId="4B8EC986" w14:textId="77777777" w:rsidR="00A71EEF" w:rsidRDefault="00A71EEF">
      <w:pPr>
        <w:pStyle w:val="a3"/>
        <w:spacing w:before="12"/>
        <w:rPr>
          <w:b/>
          <w:sz w:val="17"/>
        </w:rPr>
      </w:pPr>
    </w:p>
    <w:p w14:paraId="3FD5ECC7" w14:textId="77777777" w:rsidR="00A71EEF" w:rsidRDefault="0081115D">
      <w:pPr>
        <w:pStyle w:val="a3"/>
        <w:ind w:left="838"/>
      </w:pPr>
      <w:r>
        <w:t>开门器使用的液压油应符合</w:t>
      </w:r>
      <w:r>
        <w:t xml:space="preserve"> SH 0358 </w:t>
      </w:r>
      <w:r>
        <w:t>的要求。</w:t>
      </w:r>
      <w:r>
        <w:t xml:space="preserve"> </w:t>
      </w:r>
    </w:p>
    <w:p w14:paraId="0CE952A2" w14:textId="77777777" w:rsidR="00A71EEF" w:rsidRDefault="00A71EEF">
      <w:pPr>
        <w:pStyle w:val="a3"/>
        <w:spacing w:before="8"/>
        <w:rPr>
          <w:sz w:val="15"/>
        </w:rPr>
      </w:pPr>
    </w:p>
    <w:p w14:paraId="6E13B723" w14:textId="77777777" w:rsidR="00A71EEF" w:rsidRDefault="0081115D">
      <w:pPr>
        <w:pStyle w:val="4"/>
      </w:pPr>
      <w:r>
        <w:t xml:space="preserve">6 </w:t>
      </w:r>
      <w:r>
        <w:t>试验方法</w:t>
      </w:r>
      <w:r>
        <w:rPr>
          <w:w w:val="99"/>
        </w:rPr>
        <w:t xml:space="preserve"> </w:t>
      </w:r>
    </w:p>
    <w:p w14:paraId="0565B2F4" w14:textId="77777777" w:rsidR="00A71EEF" w:rsidRDefault="00A71EEF">
      <w:pPr>
        <w:pStyle w:val="a3"/>
        <w:spacing w:before="6"/>
        <w:rPr>
          <w:b/>
          <w:sz w:val="17"/>
        </w:rPr>
      </w:pPr>
    </w:p>
    <w:p w14:paraId="298EEA39" w14:textId="77777777" w:rsidR="00A71EEF" w:rsidRDefault="0081115D">
      <w:pPr>
        <w:pStyle w:val="a4"/>
        <w:numPr>
          <w:ilvl w:val="1"/>
          <w:numId w:val="426"/>
        </w:numPr>
        <w:tabs>
          <w:tab w:val="left" w:pos="1160"/>
        </w:tabs>
        <w:rPr>
          <w:b/>
          <w:sz w:val="21"/>
        </w:rPr>
      </w:pPr>
      <w:r>
        <w:rPr>
          <w:spacing w:val="-3"/>
          <w:sz w:val="21"/>
        </w:rPr>
        <w:t>实验条件</w:t>
      </w:r>
      <w:r>
        <w:rPr>
          <w:b/>
          <w:w w:val="99"/>
          <w:sz w:val="21"/>
        </w:rPr>
        <w:t xml:space="preserve"> </w:t>
      </w:r>
    </w:p>
    <w:p w14:paraId="6ABC4D4B" w14:textId="77777777" w:rsidR="00A71EEF" w:rsidRDefault="00A71EEF">
      <w:pPr>
        <w:pStyle w:val="a3"/>
        <w:rPr>
          <w:b/>
          <w:sz w:val="18"/>
        </w:rPr>
      </w:pPr>
    </w:p>
    <w:p w14:paraId="54EE261D" w14:textId="77777777" w:rsidR="00A71EEF" w:rsidRDefault="0081115D">
      <w:pPr>
        <w:pStyle w:val="a4"/>
        <w:numPr>
          <w:ilvl w:val="1"/>
          <w:numId w:val="426"/>
        </w:numPr>
        <w:tabs>
          <w:tab w:val="left" w:pos="1159"/>
        </w:tabs>
        <w:ind w:left="1158" w:hanging="319"/>
        <w:rPr>
          <w:b/>
          <w:sz w:val="21"/>
        </w:rPr>
      </w:pPr>
      <w:r>
        <w:rPr>
          <w:spacing w:val="-3"/>
          <w:sz w:val="21"/>
        </w:rPr>
        <w:t>开门器试验</w:t>
      </w:r>
      <w:r>
        <w:rPr>
          <w:b/>
          <w:w w:val="99"/>
          <w:sz w:val="21"/>
        </w:rPr>
        <w:t xml:space="preserve"> </w:t>
      </w:r>
    </w:p>
    <w:p w14:paraId="4F3907A4" w14:textId="77777777" w:rsidR="00A71EEF" w:rsidRDefault="00A71EEF">
      <w:pPr>
        <w:pStyle w:val="a3"/>
        <w:rPr>
          <w:b/>
          <w:sz w:val="18"/>
        </w:rPr>
      </w:pPr>
    </w:p>
    <w:p w14:paraId="59E70800" w14:textId="77777777" w:rsidR="00A71EEF" w:rsidRDefault="0081115D">
      <w:pPr>
        <w:pStyle w:val="a4"/>
        <w:numPr>
          <w:ilvl w:val="1"/>
          <w:numId w:val="426"/>
        </w:numPr>
        <w:tabs>
          <w:tab w:val="left" w:pos="1159"/>
        </w:tabs>
        <w:ind w:left="1158" w:hanging="319"/>
        <w:rPr>
          <w:b/>
          <w:sz w:val="21"/>
        </w:rPr>
      </w:pPr>
      <w:r>
        <w:rPr>
          <w:spacing w:val="-3"/>
          <w:sz w:val="21"/>
        </w:rPr>
        <w:t>液压软管试验</w:t>
      </w:r>
      <w:r>
        <w:rPr>
          <w:b/>
          <w:w w:val="99"/>
          <w:sz w:val="21"/>
        </w:rPr>
        <w:t xml:space="preserve"> </w:t>
      </w:r>
    </w:p>
    <w:p w14:paraId="0F2AD7A5" w14:textId="77777777" w:rsidR="00A71EEF" w:rsidRDefault="00A71EEF">
      <w:pPr>
        <w:pStyle w:val="a3"/>
        <w:spacing w:before="2"/>
        <w:rPr>
          <w:b/>
          <w:sz w:val="18"/>
        </w:rPr>
      </w:pPr>
    </w:p>
    <w:p w14:paraId="799FA124" w14:textId="77777777" w:rsidR="00A71EEF" w:rsidRDefault="0081115D">
      <w:pPr>
        <w:pStyle w:val="a4"/>
        <w:numPr>
          <w:ilvl w:val="1"/>
          <w:numId w:val="426"/>
        </w:numPr>
        <w:tabs>
          <w:tab w:val="left" w:pos="1160"/>
        </w:tabs>
        <w:rPr>
          <w:b/>
          <w:sz w:val="21"/>
        </w:rPr>
      </w:pPr>
      <w:r>
        <w:rPr>
          <w:spacing w:val="-3"/>
          <w:sz w:val="21"/>
        </w:rPr>
        <w:t>液压接头试验</w:t>
      </w:r>
      <w:r>
        <w:rPr>
          <w:b/>
          <w:w w:val="99"/>
          <w:sz w:val="21"/>
        </w:rPr>
        <w:t xml:space="preserve"> </w:t>
      </w:r>
    </w:p>
    <w:p w14:paraId="7BF5D7DD" w14:textId="77777777" w:rsidR="00A71EEF" w:rsidRDefault="00A71EEF">
      <w:pPr>
        <w:pStyle w:val="a3"/>
        <w:spacing w:before="12"/>
        <w:rPr>
          <w:b/>
          <w:sz w:val="17"/>
        </w:rPr>
      </w:pPr>
    </w:p>
    <w:p w14:paraId="216727CE" w14:textId="77777777" w:rsidR="00A71EEF" w:rsidRDefault="0081115D">
      <w:pPr>
        <w:pStyle w:val="a4"/>
        <w:numPr>
          <w:ilvl w:val="1"/>
          <w:numId w:val="425"/>
        </w:numPr>
        <w:tabs>
          <w:tab w:val="left" w:pos="1159"/>
        </w:tabs>
        <w:ind w:hanging="319"/>
        <w:rPr>
          <w:b/>
          <w:sz w:val="21"/>
        </w:rPr>
      </w:pPr>
      <w:r>
        <w:rPr>
          <w:spacing w:val="-3"/>
          <w:sz w:val="21"/>
        </w:rPr>
        <w:t>试验条件</w:t>
      </w:r>
      <w:r>
        <w:rPr>
          <w:b/>
          <w:w w:val="99"/>
          <w:sz w:val="21"/>
        </w:rPr>
        <w:t xml:space="preserve"> </w:t>
      </w:r>
    </w:p>
    <w:p w14:paraId="0D6EE0AE" w14:textId="77777777" w:rsidR="00A71EEF" w:rsidRDefault="00A71EEF">
      <w:pPr>
        <w:pStyle w:val="a3"/>
        <w:rPr>
          <w:b/>
          <w:sz w:val="18"/>
        </w:rPr>
      </w:pPr>
    </w:p>
    <w:p w14:paraId="71AE3AB1" w14:textId="77777777" w:rsidR="00A71EEF" w:rsidRDefault="0081115D">
      <w:pPr>
        <w:pStyle w:val="a4"/>
        <w:numPr>
          <w:ilvl w:val="2"/>
          <w:numId w:val="425"/>
        </w:numPr>
        <w:tabs>
          <w:tab w:val="left" w:pos="1370"/>
        </w:tabs>
        <w:ind w:hanging="530"/>
        <w:rPr>
          <w:sz w:val="21"/>
        </w:rPr>
      </w:pPr>
      <w:r>
        <w:rPr>
          <w:spacing w:val="-8"/>
          <w:sz w:val="21"/>
        </w:rPr>
        <w:t>开门器试验装置，见图</w:t>
      </w:r>
      <w:r>
        <w:rPr>
          <w:spacing w:val="-8"/>
          <w:sz w:val="21"/>
        </w:rPr>
        <w:t xml:space="preserve"> </w:t>
      </w:r>
      <w:r>
        <w:rPr>
          <w:spacing w:val="-3"/>
          <w:sz w:val="21"/>
        </w:rPr>
        <w:t>1</w:t>
      </w:r>
      <w:r>
        <w:rPr>
          <w:spacing w:val="-3"/>
          <w:sz w:val="21"/>
        </w:rPr>
        <w:t>。</w:t>
      </w:r>
      <w:r>
        <w:rPr>
          <w:sz w:val="21"/>
        </w:rPr>
        <w:t xml:space="preserve"> </w:t>
      </w:r>
    </w:p>
    <w:p w14:paraId="440E7D14" w14:textId="77777777" w:rsidR="00A71EEF" w:rsidRDefault="00A71EEF">
      <w:pPr>
        <w:pStyle w:val="a3"/>
        <w:spacing w:before="1"/>
        <w:rPr>
          <w:sz w:val="18"/>
        </w:rPr>
      </w:pPr>
    </w:p>
    <w:p w14:paraId="7AE14DF1" w14:textId="77777777" w:rsidR="00A71EEF" w:rsidRDefault="0081115D">
      <w:pPr>
        <w:pStyle w:val="a4"/>
        <w:numPr>
          <w:ilvl w:val="2"/>
          <w:numId w:val="425"/>
        </w:numPr>
        <w:tabs>
          <w:tab w:val="left" w:pos="1371"/>
        </w:tabs>
        <w:spacing w:before="1"/>
        <w:ind w:left="1370" w:hanging="531"/>
        <w:rPr>
          <w:sz w:val="21"/>
        </w:rPr>
      </w:pPr>
      <w:r>
        <w:rPr>
          <w:spacing w:val="-6"/>
          <w:sz w:val="21"/>
        </w:rPr>
        <w:t>试验所用压力传感器的测量准确度不应低于</w:t>
      </w:r>
      <w:r>
        <w:rPr>
          <w:spacing w:val="-6"/>
          <w:sz w:val="21"/>
        </w:rPr>
        <w:t xml:space="preserve"> </w:t>
      </w:r>
      <w:r>
        <w:rPr>
          <w:sz w:val="21"/>
        </w:rPr>
        <w:t>0.4</w:t>
      </w:r>
      <w:r>
        <w:rPr>
          <w:spacing w:val="-20"/>
          <w:sz w:val="21"/>
        </w:rPr>
        <w:t xml:space="preserve"> </w:t>
      </w:r>
      <w:r>
        <w:rPr>
          <w:spacing w:val="-20"/>
          <w:sz w:val="21"/>
        </w:rPr>
        <w:t>级。</w:t>
      </w:r>
      <w:r>
        <w:rPr>
          <w:sz w:val="21"/>
        </w:rPr>
        <w:t xml:space="preserve"> </w:t>
      </w:r>
    </w:p>
    <w:p w14:paraId="3078030C" w14:textId="77777777" w:rsidR="00A71EEF" w:rsidRDefault="00A71EEF">
      <w:pPr>
        <w:pStyle w:val="a3"/>
        <w:spacing w:before="12"/>
        <w:rPr>
          <w:sz w:val="17"/>
        </w:rPr>
      </w:pPr>
    </w:p>
    <w:p w14:paraId="0719BDCD" w14:textId="77777777" w:rsidR="00A71EEF" w:rsidRDefault="0081115D">
      <w:pPr>
        <w:pStyle w:val="a4"/>
        <w:numPr>
          <w:ilvl w:val="2"/>
          <w:numId w:val="425"/>
        </w:numPr>
        <w:tabs>
          <w:tab w:val="left" w:pos="1371"/>
        </w:tabs>
        <w:ind w:left="1370" w:hanging="531"/>
        <w:rPr>
          <w:sz w:val="21"/>
        </w:rPr>
      </w:pPr>
      <w:r>
        <w:rPr>
          <w:spacing w:val="-6"/>
          <w:sz w:val="21"/>
        </w:rPr>
        <w:t>试验所用位移传感器的测量准确度不应低于</w:t>
      </w:r>
      <w:r>
        <w:rPr>
          <w:spacing w:val="-6"/>
          <w:sz w:val="21"/>
        </w:rPr>
        <w:t xml:space="preserve"> </w:t>
      </w:r>
      <w:r>
        <w:rPr>
          <w:sz w:val="21"/>
        </w:rPr>
        <w:t>0.1mm</w:t>
      </w:r>
      <w:r>
        <w:rPr>
          <w:spacing w:val="-3"/>
          <w:sz w:val="21"/>
        </w:rPr>
        <w:t>。</w:t>
      </w:r>
      <w:r>
        <w:rPr>
          <w:sz w:val="21"/>
        </w:rPr>
        <w:t xml:space="preserve"> </w:t>
      </w:r>
    </w:p>
    <w:p w14:paraId="01931E2B" w14:textId="77777777" w:rsidR="00A71EEF" w:rsidRDefault="00A71EEF">
      <w:pPr>
        <w:pStyle w:val="a3"/>
        <w:rPr>
          <w:sz w:val="18"/>
        </w:rPr>
      </w:pPr>
    </w:p>
    <w:p w14:paraId="03F9100C" w14:textId="77777777" w:rsidR="00A71EEF" w:rsidRDefault="0081115D">
      <w:pPr>
        <w:pStyle w:val="a4"/>
        <w:numPr>
          <w:ilvl w:val="2"/>
          <w:numId w:val="425"/>
        </w:numPr>
        <w:tabs>
          <w:tab w:val="left" w:pos="1370"/>
        </w:tabs>
        <w:ind w:hanging="530"/>
        <w:rPr>
          <w:sz w:val="21"/>
        </w:rPr>
      </w:pPr>
      <w:r>
        <w:rPr>
          <w:spacing w:val="-6"/>
          <w:sz w:val="21"/>
        </w:rPr>
        <w:t>试验所用力传感器的测量准确度不应低于</w:t>
      </w:r>
      <w:r>
        <w:rPr>
          <w:spacing w:val="-6"/>
          <w:sz w:val="21"/>
        </w:rPr>
        <w:t xml:space="preserve"> </w:t>
      </w:r>
      <w:r>
        <w:rPr>
          <w:sz w:val="21"/>
        </w:rPr>
        <w:t>0.1kN</w:t>
      </w:r>
      <w:r>
        <w:rPr>
          <w:spacing w:val="-3"/>
          <w:sz w:val="21"/>
        </w:rPr>
        <w:t>。</w:t>
      </w:r>
      <w:r>
        <w:rPr>
          <w:sz w:val="21"/>
        </w:rPr>
        <w:t xml:space="preserve"> </w:t>
      </w:r>
    </w:p>
    <w:p w14:paraId="04E94739" w14:textId="77777777" w:rsidR="00A71EEF" w:rsidRDefault="00A71EEF">
      <w:pPr>
        <w:pStyle w:val="a3"/>
        <w:spacing w:before="2"/>
        <w:rPr>
          <w:sz w:val="18"/>
        </w:rPr>
      </w:pPr>
    </w:p>
    <w:p w14:paraId="045E10CA" w14:textId="77777777" w:rsidR="00A71EEF" w:rsidRDefault="0081115D">
      <w:pPr>
        <w:pStyle w:val="a4"/>
        <w:numPr>
          <w:ilvl w:val="2"/>
          <w:numId w:val="425"/>
        </w:numPr>
        <w:tabs>
          <w:tab w:val="left" w:pos="1370"/>
        </w:tabs>
        <w:ind w:hanging="530"/>
        <w:rPr>
          <w:sz w:val="21"/>
        </w:rPr>
      </w:pPr>
      <w:r>
        <w:rPr>
          <w:spacing w:val="-6"/>
          <w:sz w:val="21"/>
        </w:rPr>
        <w:t>除高低温试验外，本标准的试验应在环境温度为</w:t>
      </w:r>
      <w:r>
        <w:rPr>
          <w:spacing w:val="-6"/>
          <w:sz w:val="21"/>
        </w:rPr>
        <w:t xml:space="preserve"> </w:t>
      </w:r>
      <w:r>
        <w:rPr>
          <w:sz w:val="21"/>
        </w:rPr>
        <w:t>25°C±10°C</w:t>
      </w:r>
      <w:r>
        <w:rPr>
          <w:spacing w:val="-9"/>
          <w:sz w:val="21"/>
        </w:rPr>
        <w:t xml:space="preserve"> </w:t>
      </w:r>
      <w:r>
        <w:rPr>
          <w:spacing w:val="-9"/>
          <w:sz w:val="21"/>
        </w:rPr>
        <w:t>的条件下进行。</w:t>
      </w:r>
      <w:r>
        <w:rPr>
          <w:sz w:val="21"/>
        </w:rPr>
        <w:t xml:space="preserve"> </w:t>
      </w:r>
    </w:p>
    <w:p w14:paraId="27B6B6A1" w14:textId="77777777" w:rsidR="00A71EEF" w:rsidRDefault="00A71EEF">
      <w:pPr>
        <w:pStyle w:val="a3"/>
        <w:spacing w:before="12"/>
        <w:rPr>
          <w:sz w:val="17"/>
        </w:rPr>
      </w:pPr>
    </w:p>
    <w:p w14:paraId="27890B10" w14:textId="77777777" w:rsidR="00A71EEF" w:rsidRDefault="0081115D">
      <w:pPr>
        <w:pStyle w:val="a4"/>
        <w:numPr>
          <w:ilvl w:val="1"/>
          <w:numId w:val="425"/>
        </w:numPr>
        <w:tabs>
          <w:tab w:val="left" w:pos="1159"/>
        </w:tabs>
        <w:ind w:hanging="319"/>
        <w:rPr>
          <w:sz w:val="21"/>
        </w:rPr>
      </w:pPr>
      <w:r>
        <w:rPr>
          <w:spacing w:val="-3"/>
          <w:sz w:val="21"/>
        </w:rPr>
        <w:t>开门器试验</w:t>
      </w:r>
      <w:r>
        <w:rPr>
          <w:sz w:val="21"/>
        </w:rPr>
        <w:t xml:space="preserve"> </w:t>
      </w:r>
    </w:p>
    <w:p w14:paraId="4F7A2912" w14:textId="77777777" w:rsidR="00A71EEF" w:rsidRDefault="00A71EEF">
      <w:pPr>
        <w:pStyle w:val="a3"/>
        <w:spacing w:before="12"/>
        <w:rPr>
          <w:sz w:val="17"/>
        </w:rPr>
      </w:pPr>
    </w:p>
    <w:p w14:paraId="1C868397" w14:textId="77777777" w:rsidR="00A71EEF" w:rsidRDefault="0081115D">
      <w:pPr>
        <w:pStyle w:val="a4"/>
        <w:numPr>
          <w:ilvl w:val="2"/>
          <w:numId w:val="425"/>
        </w:numPr>
        <w:tabs>
          <w:tab w:val="left" w:pos="1370"/>
        </w:tabs>
        <w:ind w:hanging="530"/>
        <w:rPr>
          <w:b/>
          <w:sz w:val="21"/>
        </w:rPr>
      </w:pPr>
      <w:r>
        <w:rPr>
          <w:spacing w:val="-3"/>
          <w:sz w:val="21"/>
        </w:rPr>
        <w:t>外观检查</w:t>
      </w:r>
      <w:r>
        <w:rPr>
          <w:b/>
          <w:w w:val="99"/>
          <w:sz w:val="21"/>
        </w:rPr>
        <w:t xml:space="preserve"> </w:t>
      </w:r>
    </w:p>
    <w:p w14:paraId="6F72E87B" w14:textId="77777777" w:rsidR="00A71EEF" w:rsidRDefault="00A71EEF">
      <w:pPr>
        <w:pStyle w:val="a3"/>
        <w:spacing w:before="2"/>
        <w:rPr>
          <w:b/>
          <w:sz w:val="18"/>
        </w:rPr>
      </w:pPr>
    </w:p>
    <w:p w14:paraId="264DB278" w14:textId="77777777" w:rsidR="00A71EEF" w:rsidRDefault="0081115D">
      <w:pPr>
        <w:pStyle w:val="a3"/>
        <w:ind w:left="838"/>
      </w:pPr>
      <w:r>
        <w:t>用目测方法进行检查。</w:t>
      </w:r>
      <w:r>
        <w:t xml:space="preserve"> </w:t>
      </w:r>
    </w:p>
    <w:p w14:paraId="0DC45BC5" w14:textId="77777777" w:rsidR="00A71EEF" w:rsidRDefault="00A71EEF">
      <w:pPr>
        <w:pStyle w:val="a3"/>
        <w:rPr>
          <w:sz w:val="18"/>
        </w:rPr>
      </w:pPr>
    </w:p>
    <w:p w14:paraId="4101548E" w14:textId="77777777" w:rsidR="00A71EEF" w:rsidRDefault="0081115D">
      <w:pPr>
        <w:pStyle w:val="a4"/>
        <w:numPr>
          <w:ilvl w:val="2"/>
          <w:numId w:val="425"/>
        </w:numPr>
        <w:tabs>
          <w:tab w:val="left" w:pos="1370"/>
        </w:tabs>
        <w:ind w:hanging="530"/>
        <w:rPr>
          <w:b/>
          <w:sz w:val="21"/>
        </w:rPr>
      </w:pPr>
      <w:r>
        <w:rPr>
          <w:spacing w:val="-3"/>
          <w:sz w:val="21"/>
        </w:rPr>
        <w:t>开启力和开启距离试验</w:t>
      </w:r>
      <w:r>
        <w:rPr>
          <w:b/>
          <w:w w:val="99"/>
          <w:sz w:val="21"/>
        </w:rPr>
        <w:t xml:space="preserve"> </w:t>
      </w:r>
    </w:p>
    <w:p w14:paraId="6B15AA11" w14:textId="77777777" w:rsidR="00A71EEF" w:rsidRDefault="00A71EEF">
      <w:pPr>
        <w:pStyle w:val="a3"/>
        <w:rPr>
          <w:b/>
          <w:sz w:val="18"/>
        </w:rPr>
      </w:pPr>
    </w:p>
    <w:p w14:paraId="392A5041" w14:textId="77777777" w:rsidR="00A71EEF" w:rsidRDefault="0081115D">
      <w:pPr>
        <w:pStyle w:val="a3"/>
        <w:spacing w:line="446" w:lineRule="auto"/>
        <w:ind w:left="418" w:right="1608" w:firstLine="419"/>
        <w:jc w:val="both"/>
      </w:pPr>
      <w:r>
        <w:rPr>
          <w:spacing w:val="-5"/>
        </w:rPr>
        <w:t>将开门器和试验装置的测试油缸活塞杆端部相接，如图</w:t>
      </w:r>
      <w:r>
        <w:rPr>
          <w:spacing w:val="-5"/>
        </w:rPr>
        <w:t xml:space="preserve"> </w:t>
      </w:r>
      <w:r>
        <w:t>1</w:t>
      </w:r>
      <w:r>
        <w:rPr>
          <w:spacing w:val="-7"/>
        </w:rPr>
        <w:t xml:space="preserve"> </w:t>
      </w:r>
      <w:r>
        <w:rPr>
          <w:spacing w:val="-7"/>
        </w:rPr>
        <w:t>所示。开门器进出油口与试验装</w:t>
      </w:r>
      <w:r>
        <w:rPr>
          <w:spacing w:val="-5"/>
        </w:rPr>
        <w:t>置的动力源连接。在额定工作压力下，开门器推压测试油缸活塞杆，从闭合位置伸展至最大开</w:t>
      </w:r>
      <w:r>
        <w:rPr>
          <w:spacing w:val="-4"/>
        </w:rPr>
        <w:t>启距离，用力传感器测出开启力；同时，测出开门器的开启距离。</w:t>
      </w:r>
      <w:r>
        <w:t xml:space="preserve"> </w:t>
      </w:r>
    </w:p>
    <w:p w14:paraId="27558DAE" w14:textId="77777777" w:rsidR="00A71EEF" w:rsidRDefault="00A71EEF">
      <w:pPr>
        <w:pStyle w:val="a3"/>
        <w:rPr>
          <w:sz w:val="20"/>
        </w:rPr>
      </w:pPr>
    </w:p>
    <w:p w14:paraId="18290B4E" w14:textId="77777777" w:rsidR="00A71EEF" w:rsidRDefault="00A71EEF">
      <w:pPr>
        <w:pStyle w:val="a3"/>
        <w:rPr>
          <w:sz w:val="20"/>
        </w:rPr>
      </w:pPr>
    </w:p>
    <w:p w14:paraId="79A36090" w14:textId="77777777" w:rsidR="00A71EEF" w:rsidRDefault="00A71EEF">
      <w:pPr>
        <w:pStyle w:val="a3"/>
        <w:rPr>
          <w:sz w:val="20"/>
        </w:rPr>
      </w:pPr>
    </w:p>
    <w:p w14:paraId="0BBC5B1E" w14:textId="77777777" w:rsidR="00A71EEF" w:rsidRDefault="00A71EEF">
      <w:pPr>
        <w:pStyle w:val="a3"/>
        <w:rPr>
          <w:sz w:val="20"/>
        </w:rPr>
      </w:pPr>
    </w:p>
    <w:p w14:paraId="54004977" w14:textId="77777777" w:rsidR="00A71EEF" w:rsidRDefault="00A71EEF">
      <w:pPr>
        <w:pStyle w:val="a3"/>
        <w:rPr>
          <w:sz w:val="20"/>
        </w:rPr>
      </w:pPr>
    </w:p>
    <w:p w14:paraId="2A0F4395" w14:textId="77777777" w:rsidR="00A71EEF" w:rsidRDefault="00A71EEF">
      <w:pPr>
        <w:pStyle w:val="a3"/>
        <w:rPr>
          <w:sz w:val="20"/>
        </w:rPr>
      </w:pPr>
    </w:p>
    <w:p w14:paraId="26A06D71" w14:textId="77777777" w:rsidR="00A71EEF" w:rsidRDefault="00A71EEF">
      <w:pPr>
        <w:pStyle w:val="a3"/>
        <w:rPr>
          <w:sz w:val="20"/>
        </w:rPr>
      </w:pPr>
    </w:p>
    <w:p w14:paraId="7393585F" w14:textId="77777777" w:rsidR="00A71EEF" w:rsidRDefault="00A71EEF">
      <w:pPr>
        <w:pStyle w:val="a3"/>
        <w:spacing w:before="2"/>
        <w:rPr>
          <w:sz w:val="16"/>
        </w:rPr>
      </w:pPr>
    </w:p>
    <w:p w14:paraId="76B229EC" w14:textId="77777777" w:rsidR="00A71EEF" w:rsidRDefault="0081115D">
      <w:pPr>
        <w:pStyle w:val="a3"/>
        <w:ind w:left="838"/>
      </w:pPr>
      <w:r>
        <w:t xml:space="preserve"> </w:t>
      </w:r>
    </w:p>
    <w:p w14:paraId="2BFF34DA" w14:textId="77777777" w:rsidR="00A71EEF" w:rsidRDefault="00A71EEF">
      <w:pPr>
        <w:sectPr w:rsidR="00A71EEF">
          <w:pgSz w:w="11910" w:h="16850"/>
          <w:pgMar w:top="1600" w:right="0" w:bottom="1420" w:left="1260" w:header="0" w:footer="1239" w:gutter="0"/>
          <w:cols w:space="720"/>
        </w:sectPr>
      </w:pPr>
    </w:p>
    <w:p w14:paraId="789B5B3F" w14:textId="77777777" w:rsidR="00A71EEF" w:rsidRDefault="00A71EEF">
      <w:pPr>
        <w:pStyle w:val="a3"/>
        <w:rPr>
          <w:sz w:val="20"/>
        </w:rPr>
      </w:pPr>
    </w:p>
    <w:p w14:paraId="7B0867BC" w14:textId="77777777" w:rsidR="00A71EEF" w:rsidRDefault="00A71EEF">
      <w:pPr>
        <w:pStyle w:val="a3"/>
        <w:rPr>
          <w:sz w:val="20"/>
        </w:rPr>
      </w:pPr>
    </w:p>
    <w:p w14:paraId="0C808E36" w14:textId="77777777" w:rsidR="00A71EEF" w:rsidRDefault="00A71EEF">
      <w:pPr>
        <w:pStyle w:val="a3"/>
        <w:rPr>
          <w:sz w:val="20"/>
        </w:rPr>
      </w:pPr>
    </w:p>
    <w:p w14:paraId="3ADC6B49" w14:textId="77777777" w:rsidR="00A71EEF" w:rsidRDefault="00A71EEF">
      <w:pPr>
        <w:pStyle w:val="a3"/>
        <w:spacing w:before="6" w:after="1"/>
        <w:rPr>
          <w:sz w:val="18"/>
        </w:rPr>
      </w:pPr>
    </w:p>
    <w:p w14:paraId="350C95CE" w14:textId="77777777" w:rsidR="00A71EEF" w:rsidRDefault="0081115D">
      <w:pPr>
        <w:pStyle w:val="a3"/>
        <w:ind w:left="1108"/>
        <w:rPr>
          <w:sz w:val="20"/>
        </w:rPr>
      </w:pPr>
      <w:r>
        <w:rPr>
          <w:noProof/>
          <w:sz w:val="20"/>
        </w:rPr>
        <w:drawing>
          <wp:inline distT="0" distB="0" distL="0" distR="0" wp14:anchorId="15EE139A" wp14:editId="6972AAAC">
            <wp:extent cx="4585239" cy="2449258"/>
            <wp:effectExtent l="0" t="0" r="0" b="0"/>
            <wp:docPr id="481" name="image2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281.jpeg"/>
                    <pic:cNvPicPr/>
                  </pic:nvPicPr>
                  <pic:blipFill>
                    <a:blip r:embed="rId333" cstate="print"/>
                    <a:stretch>
                      <a:fillRect/>
                    </a:stretch>
                  </pic:blipFill>
                  <pic:spPr>
                    <a:xfrm>
                      <a:off x="0" y="0"/>
                      <a:ext cx="4585239" cy="2449258"/>
                    </a:xfrm>
                    <a:prstGeom prst="rect">
                      <a:avLst/>
                    </a:prstGeom>
                  </pic:spPr>
                </pic:pic>
              </a:graphicData>
            </a:graphic>
          </wp:inline>
        </w:drawing>
      </w:r>
    </w:p>
    <w:p w14:paraId="3EDBC1D9" w14:textId="77777777" w:rsidR="00A71EEF" w:rsidRDefault="00A71EEF">
      <w:pPr>
        <w:pStyle w:val="a3"/>
        <w:spacing w:before="4"/>
        <w:rPr>
          <w:sz w:val="10"/>
        </w:rPr>
      </w:pPr>
    </w:p>
    <w:p w14:paraId="0FA87CA6" w14:textId="77777777" w:rsidR="00A71EEF" w:rsidRDefault="0081115D">
      <w:pPr>
        <w:pStyle w:val="a4"/>
        <w:numPr>
          <w:ilvl w:val="2"/>
          <w:numId w:val="425"/>
        </w:numPr>
        <w:tabs>
          <w:tab w:val="left" w:pos="1370"/>
        </w:tabs>
        <w:spacing w:before="72"/>
        <w:ind w:hanging="530"/>
        <w:rPr>
          <w:b/>
          <w:sz w:val="21"/>
        </w:rPr>
      </w:pPr>
      <w:r>
        <w:rPr>
          <w:spacing w:val="-3"/>
          <w:sz w:val="21"/>
        </w:rPr>
        <w:t>开启性能试验</w:t>
      </w:r>
      <w:r>
        <w:rPr>
          <w:b/>
          <w:w w:val="99"/>
          <w:sz w:val="21"/>
        </w:rPr>
        <w:t xml:space="preserve"> </w:t>
      </w:r>
    </w:p>
    <w:p w14:paraId="4DC2A579" w14:textId="77777777" w:rsidR="00A71EEF" w:rsidRDefault="00A71EEF">
      <w:pPr>
        <w:pStyle w:val="a3"/>
        <w:spacing w:before="12"/>
        <w:rPr>
          <w:b/>
          <w:sz w:val="17"/>
        </w:rPr>
      </w:pPr>
    </w:p>
    <w:p w14:paraId="3F530380" w14:textId="77777777" w:rsidR="00A71EEF" w:rsidRDefault="0081115D">
      <w:pPr>
        <w:pStyle w:val="a3"/>
        <w:spacing w:line="446" w:lineRule="auto"/>
        <w:ind w:left="418" w:right="1608" w:firstLine="419"/>
      </w:pPr>
      <w:r>
        <w:rPr>
          <w:spacing w:val="-3"/>
        </w:rPr>
        <w:t>将试验装置的测试油缸活塞杆伸长与试验装置的固定端相抵，测试油缸对固定端逐渐施加</w:t>
      </w:r>
      <w:r>
        <w:rPr>
          <w:spacing w:val="-5"/>
        </w:rPr>
        <w:t>作用力，</w:t>
      </w:r>
      <w:r>
        <w:rPr>
          <w:spacing w:val="-5"/>
        </w:rPr>
        <w:t xml:space="preserve"> </w:t>
      </w:r>
      <w:r>
        <w:rPr>
          <w:spacing w:val="-5"/>
        </w:rPr>
        <w:t>直至力的大小为开门器最大开启力的</w:t>
      </w:r>
      <w:r>
        <w:rPr>
          <w:spacing w:val="-5"/>
        </w:rPr>
        <w:t xml:space="preserve"> </w:t>
      </w:r>
      <w:r>
        <w:t>95</w:t>
      </w:r>
      <w:r>
        <w:rPr>
          <w:spacing w:val="-3"/>
        </w:rPr>
        <w:t>%</w:t>
      </w:r>
      <w:r>
        <w:rPr>
          <w:spacing w:val="-3"/>
        </w:rPr>
        <w:t>。开门器进出油口与试验装置的动力源连</w:t>
      </w:r>
      <w:r>
        <w:rPr>
          <w:spacing w:val="-4"/>
        </w:rPr>
        <w:t>接，将固定脚和活动脚伸入试验装置的测试油缸活塞杆与固定端之间，如图</w:t>
      </w:r>
      <w:r>
        <w:rPr>
          <w:spacing w:val="-4"/>
        </w:rPr>
        <w:t xml:space="preserve"> </w:t>
      </w:r>
      <w:r>
        <w:t>1</w:t>
      </w:r>
      <w:r>
        <w:rPr>
          <w:spacing w:val="-7"/>
        </w:rPr>
        <w:t xml:space="preserve"> </w:t>
      </w:r>
      <w:r>
        <w:rPr>
          <w:spacing w:val="-7"/>
        </w:rPr>
        <w:t>所示，开门器在</w:t>
      </w:r>
      <w:r>
        <w:rPr>
          <w:spacing w:val="-5"/>
        </w:rPr>
        <w:t>额定工作压力下推压测试油缸活塞杆，测试油缸内压力保持不变，开门器从闭合位置伸展至位</w:t>
      </w:r>
      <w:r>
        <w:rPr>
          <w:spacing w:val="-9"/>
        </w:rPr>
        <w:t>移为最大开启距离的</w:t>
      </w:r>
      <w:r>
        <w:rPr>
          <w:spacing w:val="-9"/>
        </w:rPr>
        <w:t xml:space="preserve"> </w:t>
      </w:r>
      <w:r>
        <w:t>50</w:t>
      </w:r>
      <w:r>
        <w:rPr>
          <w:spacing w:val="-3"/>
        </w:rPr>
        <w:t>%</w:t>
      </w:r>
      <w:r>
        <w:rPr>
          <w:spacing w:val="-3"/>
        </w:rPr>
        <w:t>。观察开门器动作以及有无泄漏和机械损坏情况。</w:t>
      </w:r>
      <w:r>
        <w:t xml:space="preserve"> </w:t>
      </w:r>
    </w:p>
    <w:p w14:paraId="6EBA1898" w14:textId="77777777" w:rsidR="00A71EEF" w:rsidRDefault="0081115D">
      <w:pPr>
        <w:pStyle w:val="a4"/>
        <w:numPr>
          <w:ilvl w:val="2"/>
          <w:numId w:val="425"/>
        </w:numPr>
        <w:tabs>
          <w:tab w:val="left" w:pos="1370"/>
        </w:tabs>
        <w:spacing w:line="268" w:lineRule="exact"/>
        <w:ind w:hanging="530"/>
        <w:rPr>
          <w:b/>
          <w:sz w:val="21"/>
        </w:rPr>
      </w:pPr>
      <w:r>
        <w:rPr>
          <w:spacing w:val="-3"/>
          <w:sz w:val="21"/>
        </w:rPr>
        <w:t>底脚回位性能试验</w:t>
      </w:r>
      <w:r>
        <w:rPr>
          <w:b/>
          <w:w w:val="99"/>
          <w:sz w:val="21"/>
        </w:rPr>
        <w:t xml:space="preserve"> </w:t>
      </w:r>
    </w:p>
    <w:p w14:paraId="744E69EA" w14:textId="77777777" w:rsidR="00A71EEF" w:rsidRDefault="00A71EEF">
      <w:pPr>
        <w:pStyle w:val="a3"/>
        <w:rPr>
          <w:b/>
          <w:sz w:val="18"/>
        </w:rPr>
      </w:pPr>
    </w:p>
    <w:p w14:paraId="7F422905" w14:textId="77777777" w:rsidR="00A71EEF" w:rsidRDefault="0081115D">
      <w:pPr>
        <w:pStyle w:val="a3"/>
        <w:spacing w:line="446" w:lineRule="auto"/>
        <w:ind w:left="418" w:right="1608" w:firstLine="419"/>
      </w:pPr>
      <w:r>
        <w:rPr>
          <w:spacing w:val="-3"/>
        </w:rPr>
        <w:t>开门器进出油口与试验装置的动力源连接。开门器在额定工作压力下张开至最大开启距</w:t>
      </w:r>
      <w:r>
        <w:rPr>
          <w:spacing w:val="-3"/>
        </w:rPr>
        <w:t xml:space="preserve"> </w:t>
      </w:r>
      <w:r>
        <w:rPr>
          <w:spacing w:val="-3"/>
        </w:rPr>
        <w:t>离，打开试验装置上的回油开关阀，观察底脚收缩回位的过程。待底脚回位后，测量固定脚和活动脚两底脚脚尖的间距。</w:t>
      </w:r>
      <w:r>
        <w:rPr>
          <w:spacing w:val="-3"/>
        </w:rPr>
        <w:t xml:space="preserve"> </w:t>
      </w:r>
    </w:p>
    <w:p w14:paraId="282C9E21" w14:textId="77777777" w:rsidR="00A71EEF" w:rsidRDefault="0081115D">
      <w:pPr>
        <w:pStyle w:val="a4"/>
        <w:numPr>
          <w:ilvl w:val="2"/>
          <w:numId w:val="425"/>
        </w:numPr>
        <w:tabs>
          <w:tab w:val="left" w:pos="1371"/>
        </w:tabs>
        <w:spacing w:line="268" w:lineRule="exact"/>
        <w:ind w:left="1370" w:hanging="531"/>
        <w:rPr>
          <w:b/>
          <w:sz w:val="21"/>
        </w:rPr>
      </w:pPr>
      <w:r>
        <w:rPr>
          <w:spacing w:val="-3"/>
          <w:sz w:val="21"/>
        </w:rPr>
        <w:t>强度试验</w:t>
      </w:r>
      <w:r>
        <w:rPr>
          <w:b/>
          <w:w w:val="99"/>
          <w:sz w:val="21"/>
        </w:rPr>
        <w:t xml:space="preserve"> </w:t>
      </w:r>
    </w:p>
    <w:p w14:paraId="52BB0E76" w14:textId="77777777" w:rsidR="00A71EEF" w:rsidRDefault="00A71EEF">
      <w:pPr>
        <w:pStyle w:val="a3"/>
        <w:spacing w:before="12"/>
        <w:rPr>
          <w:b/>
          <w:sz w:val="17"/>
        </w:rPr>
      </w:pPr>
    </w:p>
    <w:p w14:paraId="6D26A0BA" w14:textId="77777777" w:rsidR="00A71EEF" w:rsidRDefault="0081115D">
      <w:pPr>
        <w:pStyle w:val="a3"/>
        <w:spacing w:line="446" w:lineRule="auto"/>
        <w:ind w:left="418" w:right="1498" w:firstLine="419"/>
      </w:pPr>
      <w:r>
        <w:t>将开门器进出油口与试验装置的动力源连接。开门器</w:t>
      </w:r>
      <w:r>
        <w:t>在其最大开启距离的</w:t>
      </w:r>
      <w:r>
        <w:t xml:space="preserve"> 10%</w:t>
      </w:r>
      <w:r>
        <w:t>、</w:t>
      </w:r>
      <w:r>
        <w:t>95%</w:t>
      </w:r>
      <w:r>
        <w:t>处，施加</w:t>
      </w:r>
      <w:r>
        <w:t xml:space="preserve"> 1.5 </w:t>
      </w:r>
      <w:r>
        <w:t>倍额定工作压力持续</w:t>
      </w:r>
      <w:r>
        <w:t xml:space="preserve"> 60s</w:t>
      </w:r>
      <w:r>
        <w:t>。观察有无泄漏和机械损坏现象。</w:t>
      </w:r>
      <w:r>
        <w:t xml:space="preserve"> </w:t>
      </w:r>
    </w:p>
    <w:p w14:paraId="7DF0F3EE" w14:textId="77777777" w:rsidR="00A71EEF" w:rsidRDefault="0081115D">
      <w:pPr>
        <w:pStyle w:val="a4"/>
        <w:numPr>
          <w:ilvl w:val="2"/>
          <w:numId w:val="425"/>
        </w:numPr>
        <w:tabs>
          <w:tab w:val="left" w:pos="1370"/>
        </w:tabs>
        <w:ind w:hanging="530"/>
        <w:rPr>
          <w:b/>
          <w:sz w:val="21"/>
        </w:rPr>
      </w:pPr>
      <w:r>
        <w:rPr>
          <w:spacing w:val="-3"/>
          <w:sz w:val="21"/>
        </w:rPr>
        <w:t>高低温性能试验</w:t>
      </w:r>
      <w:r>
        <w:rPr>
          <w:b/>
          <w:w w:val="99"/>
          <w:sz w:val="21"/>
        </w:rPr>
        <w:t xml:space="preserve"> </w:t>
      </w:r>
    </w:p>
    <w:p w14:paraId="1FCAF51D" w14:textId="77777777" w:rsidR="00A71EEF" w:rsidRDefault="00A71EEF">
      <w:pPr>
        <w:pStyle w:val="a3"/>
        <w:spacing w:before="12"/>
        <w:rPr>
          <w:b/>
          <w:sz w:val="17"/>
        </w:rPr>
      </w:pPr>
    </w:p>
    <w:p w14:paraId="482A128E" w14:textId="77777777" w:rsidR="00A71EEF" w:rsidRDefault="0081115D">
      <w:pPr>
        <w:pStyle w:val="a3"/>
        <w:spacing w:line="446" w:lineRule="auto"/>
        <w:ind w:left="418" w:right="1714" w:firstLine="419"/>
        <w:jc w:val="both"/>
      </w:pPr>
      <w:r>
        <w:rPr>
          <w:spacing w:val="-2"/>
        </w:rPr>
        <w:t>开门器分别在</w:t>
      </w:r>
      <w:r>
        <w:rPr>
          <w:spacing w:val="-2"/>
        </w:rPr>
        <w:t>-</w:t>
      </w:r>
      <w:r>
        <w:t>30°C±2°C</w:t>
      </w:r>
      <w:r>
        <w:rPr>
          <w:spacing w:val="-14"/>
        </w:rPr>
        <w:t xml:space="preserve"> </w:t>
      </w:r>
      <w:r>
        <w:rPr>
          <w:spacing w:val="-14"/>
        </w:rPr>
        <w:t>的低温环境下和</w:t>
      </w:r>
      <w:r>
        <w:rPr>
          <w:spacing w:val="-14"/>
        </w:rPr>
        <w:t xml:space="preserve"> </w:t>
      </w:r>
      <w:r>
        <w:t>55°C±2°C</w:t>
      </w:r>
      <w:r>
        <w:rPr>
          <w:spacing w:val="-13"/>
        </w:rPr>
        <w:t xml:space="preserve"> </w:t>
      </w:r>
      <w:r>
        <w:rPr>
          <w:spacing w:val="-13"/>
        </w:rPr>
        <w:t>的高温环境下存放</w:t>
      </w:r>
      <w:r>
        <w:rPr>
          <w:spacing w:val="-13"/>
        </w:rPr>
        <w:t xml:space="preserve"> </w:t>
      </w:r>
      <w:r>
        <w:t>60min</w:t>
      </w:r>
      <w:r>
        <w:rPr>
          <w:spacing w:val="-19"/>
        </w:rPr>
        <w:t xml:space="preserve"> </w:t>
      </w:r>
      <w:r>
        <w:rPr>
          <w:spacing w:val="-19"/>
        </w:rPr>
        <w:t>后取</w:t>
      </w:r>
      <w:r>
        <w:rPr>
          <w:spacing w:val="-5"/>
        </w:rPr>
        <w:t>出，将开门器进出油口与试验装置的动力源连接，在</w:t>
      </w:r>
      <w:r>
        <w:rPr>
          <w:spacing w:val="-5"/>
        </w:rPr>
        <w:t xml:space="preserve"> </w:t>
      </w:r>
      <w:r>
        <w:t>5min</w:t>
      </w:r>
      <w:r>
        <w:rPr>
          <w:spacing w:val="-7"/>
        </w:rPr>
        <w:t xml:space="preserve"> </w:t>
      </w:r>
      <w:r>
        <w:rPr>
          <w:spacing w:val="-7"/>
        </w:rPr>
        <w:t>之内完成从闭合位置到最大开启距</w:t>
      </w:r>
      <w:r>
        <w:rPr>
          <w:spacing w:val="-15"/>
        </w:rPr>
        <w:t>离，连续</w:t>
      </w:r>
      <w:r>
        <w:rPr>
          <w:spacing w:val="-15"/>
        </w:rPr>
        <w:t xml:space="preserve"> </w:t>
      </w:r>
      <w:r>
        <w:t>5</w:t>
      </w:r>
      <w:r>
        <w:rPr>
          <w:spacing w:val="-8"/>
        </w:rPr>
        <w:t xml:space="preserve"> </w:t>
      </w:r>
      <w:r>
        <w:rPr>
          <w:spacing w:val="-8"/>
        </w:rPr>
        <w:t>次。观察动作情况。</w:t>
      </w:r>
      <w:r>
        <w:t xml:space="preserve"> </w:t>
      </w:r>
    </w:p>
    <w:p w14:paraId="1116B432" w14:textId="77777777" w:rsidR="00A71EEF" w:rsidRDefault="00A71EEF">
      <w:pPr>
        <w:spacing w:line="446" w:lineRule="auto"/>
        <w:jc w:val="both"/>
        <w:sectPr w:rsidR="00A71EEF">
          <w:pgSz w:w="11910" w:h="16850"/>
          <w:pgMar w:top="1600" w:right="0" w:bottom="1420" w:left="1260" w:header="0" w:footer="1239" w:gutter="0"/>
          <w:cols w:space="720"/>
        </w:sectPr>
      </w:pPr>
    </w:p>
    <w:p w14:paraId="2F0B9724" w14:textId="77777777" w:rsidR="00A71EEF" w:rsidRDefault="0081115D">
      <w:pPr>
        <w:pStyle w:val="a4"/>
        <w:numPr>
          <w:ilvl w:val="2"/>
          <w:numId w:val="425"/>
        </w:numPr>
        <w:tabs>
          <w:tab w:val="left" w:pos="1370"/>
        </w:tabs>
        <w:spacing w:before="47"/>
        <w:ind w:hanging="530"/>
        <w:rPr>
          <w:b/>
          <w:sz w:val="21"/>
        </w:rPr>
      </w:pPr>
      <w:r>
        <w:rPr>
          <w:spacing w:val="-3"/>
          <w:sz w:val="21"/>
        </w:rPr>
        <w:t>密封性试验</w:t>
      </w:r>
      <w:r>
        <w:rPr>
          <w:b/>
          <w:w w:val="99"/>
          <w:sz w:val="21"/>
        </w:rPr>
        <w:t xml:space="preserve"> </w:t>
      </w:r>
    </w:p>
    <w:p w14:paraId="6AB203A9" w14:textId="77777777" w:rsidR="00A71EEF" w:rsidRDefault="00A71EEF">
      <w:pPr>
        <w:pStyle w:val="a3"/>
        <w:rPr>
          <w:b/>
          <w:sz w:val="18"/>
        </w:rPr>
      </w:pPr>
    </w:p>
    <w:p w14:paraId="4A436474" w14:textId="77777777" w:rsidR="00A71EEF" w:rsidRDefault="0081115D">
      <w:pPr>
        <w:pStyle w:val="a3"/>
        <w:spacing w:line="446" w:lineRule="auto"/>
        <w:ind w:left="418" w:right="1505" w:firstLine="419"/>
      </w:pPr>
      <w:r>
        <w:rPr>
          <w:spacing w:val="-5"/>
        </w:rPr>
        <w:t>将开门器进出油口与试验装置的动力源连接。开门器伸出</w:t>
      </w:r>
      <w:r>
        <w:rPr>
          <w:spacing w:val="-5"/>
        </w:rPr>
        <w:t xml:space="preserve"> </w:t>
      </w:r>
      <w:r>
        <w:t>50mm</w:t>
      </w:r>
      <w:r>
        <w:rPr>
          <w:spacing w:val="-7"/>
        </w:rPr>
        <w:t xml:space="preserve"> </w:t>
      </w:r>
      <w:r>
        <w:rPr>
          <w:spacing w:val="-7"/>
        </w:rPr>
        <w:t>以上，测试油缸对开门器施加相当于最大开启力的反力。此时，测出开门器的开启距离；持续</w:t>
      </w:r>
      <w:r>
        <w:rPr>
          <w:spacing w:val="-7"/>
        </w:rPr>
        <w:t xml:space="preserve"> </w:t>
      </w:r>
      <w:r>
        <w:t>10min</w:t>
      </w:r>
      <w:r>
        <w:rPr>
          <w:spacing w:val="-8"/>
        </w:rPr>
        <w:t xml:space="preserve"> </w:t>
      </w:r>
      <w:r>
        <w:rPr>
          <w:spacing w:val="-8"/>
        </w:rPr>
        <w:t>后再测出开门器的开</w:t>
      </w:r>
      <w:r>
        <w:rPr>
          <w:spacing w:val="-6"/>
        </w:rPr>
        <w:t>启距离。</w:t>
      </w:r>
      <w:r>
        <w:t xml:space="preserve"> </w:t>
      </w:r>
    </w:p>
    <w:p w14:paraId="16718BDD" w14:textId="77777777" w:rsidR="00A71EEF" w:rsidRDefault="0081115D">
      <w:pPr>
        <w:pStyle w:val="a4"/>
        <w:numPr>
          <w:ilvl w:val="2"/>
          <w:numId w:val="425"/>
        </w:numPr>
        <w:tabs>
          <w:tab w:val="left" w:pos="1370"/>
        </w:tabs>
        <w:spacing w:line="268" w:lineRule="exact"/>
        <w:ind w:hanging="530"/>
        <w:rPr>
          <w:b/>
          <w:sz w:val="21"/>
        </w:rPr>
      </w:pPr>
      <w:r>
        <w:rPr>
          <w:spacing w:val="-3"/>
          <w:sz w:val="21"/>
        </w:rPr>
        <w:t>可靠性试验</w:t>
      </w:r>
      <w:r>
        <w:rPr>
          <w:b/>
          <w:w w:val="99"/>
          <w:sz w:val="21"/>
        </w:rPr>
        <w:t xml:space="preserve"> </w:t>
      </w:r>
    </w:p>
    <w:p w14:paraId="1D0F48F9" w14:textId="77777777" w:rsidR="00A71EEF" w:rsidRDefault="00A71EEF">
      <w:pPr>
        <w:pStyle w:val="a3"/>
        <w:rPr>
          <w:b/>
          <w:sz w:val="18"/>
        </w:rPr>
      </w:pPr>
    </w:p>
    <w:p w14:paraId="6E6F27F6" w14:textId="77777777" w:rsidR="00A71EEF" w:rsidRDefault="0081115D">
      <w:pPr>
        <w:pStyle w:val="a3"/>
        <w:spacing w:line="446" w:lineRule="auto"/>
        <w:ind w:left="418" w:right="1455" w:firstLine="419"/>
      </w:pPr>
      <w:r>
        <w:rPr>
          <w:spacing w:val="-7"/>
        </w:rPr>
        <w:t>将开门器与试验装置按图</w:t>
      </w:r>
      <w:r>
        <w:rPr>
          <w:spacing w:val="-7"/>
        </w:rPr>
        <w:t xml:space="preserve"> </w:t>
      </w:r>
      <w:r>
        <w:t>1</w:t>
      </w:r>
      <w:r>
        <w:rPr>
          <w:spacing w:val="-16"/>
        </w:rPr>
        <w:t xml:space="preserve"> </w:t>
      </w:r>
      <w:r>
        <w:rPr>
          <w:spacing w:val="-16"/>
        </w:rPr>
        <w:t>连接，在</w:t>
      </w:r>
      <w:r>
        <w:rPr>
          <w:spacing w:val="-16"/>
        </w:rPr>
        <w:t xml:space="preserve"> </w:t>
      </w:r>
      <w:r>
        <w:t>80</w:t>
      </w:r>
      <w:r>
        <w:rPr>
          <w:spacing w:val="-3"/>
        </w:rPr>
        <w:t>%</w:t>
      </w:r>
      <w:r>
        <w:rPr>
          <w:spacing w:val="-3"/>
        </w:rPr>
        <w:t>的额定工作压力下，开门器完成从收缩位置到最大</w:t>
      </w:r>
      <w:r>
        <w:rPr>
          <w:spacing w:val="-6"/>
        </w:rPr>
        <w:t>开启距离，然后回到原始位置，并在</w:t>
      </w:r>
      <w:r>
        <w:rPr>
          <w:spacing w:val="-6"/>
        </w:rPr>
        <w:t xml:space="preserve"> </w:t>
      </w:r>
      <w:r>
        <w:t>250min</w:t>
      </w:r>
      <w:r>
        <w:rPr>
          <w:spacing w:val="-16"/>
        </w:rPr>
        <w:t xml:space="preserve"> </w:t>
      </w:r>
      <w:r>
        <w:rPr>
          <w:spacing w:val="-16"/>
        </w:rPr>
        <w:t>内连续完成</w:t>
      </w:r>
      <w:r>
        <w:rPr>
          <w:spacing w:val="-16"/>
        </w:rPr>
        <w:t xml:space="preserve"> </w:t>
      </w:r>
      <w:r>
        <w:t>50</w:t>
      </w:r>
      <w:r>
        <w:rPr>
          <w:spacing w:val="-9"/>
        </w:rPr>
        <w:t xml:space="preserve"> </w:t>
      </w:r>
      <w:r>
        <w:rPr>
          <w:spacing w:val="-9"/>
        </w:rPr>
        <w:t>个循环。试验过程中观察开门器动</w:t>
      </w:r>
      <w:r>
        <w:rPr>
          <w:spacing w:val="-5"/>
        </w:rPr>
        <w:t>作是否正常，</w:t>
      </w:r>
      <w:r>
        <w:rPr>
          <w:spacing w:val="-5"/>
        </w:rPr>
        <w:t xml:space="preserve"> </w:t>
      </w:r>
      <w:r>
        <w:rPr>
          <w:spacing w:val="-5"/>
        </w:rPr>
        <w:t>有无泄漏、机械损坏及异常现象。</w:t>
      </w:r>
      <w:r>
        <w:t xml:space="preserve"> </w:t>
      </w:r>
    </w:p>
    <w:p w14:paraId="395CE85A" w14:textId="77777777" w:rsidR="00A71EEF" w:rsidRDefault="0081115D">
      <w:pPr>
        <w:pStyle w:val="a4"/>
        <w:numPr>
          <w:ilvl w:val="1"/>
          <w:numId w:val="425"/>
        </w:numPr>
        <w:tabs>
          <w:tab w:val="left" w:pos="1159"/>
        </w:tabs>
        <w:spacing w:line="268" w:lineRule="exact"/>
        <w:ind w:hanging="319"/>
        <w:rPr>
          <w:b/>
          <w:sz w:val="21"/>
        </w:rPr>
      </w:pPr>
      <w:r>
        <w:rPr>
          <w:spacing w:val="-3"/>
          <w:sz w:val="21"/>
        </w:rPr>
        <w:t>液压软管试验</w:t>
      </w:r>
      <w:r>
        <w:rPr>
          <w:b/>
          <w:w w:val="99"/>
          <w:sz w:val="21"/>
        </w:rPr>
        <w:t xml:space="preserve"> </w:t>
      </w:r>
    </w:p>
    <w:p w14:paraId="3C4A9266" w14:textId="77777777" w:rsidR="00A71EEF" w:rsidRDefault="00A71EEF">
      <w:pPr>
        <w:pStyle w:val="a3"/>
        <w:spacing w:before="1"/>
        <w:rPr>
          <w:b/>
          <w:sz w:val="18"/>
        </w:rPr>
      </w:pPr>
    </w:p>
    <w:p w14:paraId="13DF1465" w14:textId="77777777" w:rsidR="00A71EEF" w:rsidRDefault="0081115D">
      <w:pPr>
        <w:pStyle w:val="a4"/>
        <w:numPr>
          <w:ilvl w:val="2"/>
          <w:numId w:val="425"/>
        </w:numPr>
        <w:tabs>
          <w:tab w:val="left" w:pos="1371"/>
        </w:tabs>
        <w:spacing w:before="1"/>
        <w:ind w:left="1370" w:hanging="531"/>
        <w:rPr>
          <w:sz w:val="21"/>
        </w:rPr>
      </w:pPr>
      <w:r>
        <w:rPr>
          <w:spacing w:val="-5"/>
          <w:sz w:val="21"/>
        </w:rPr>
        <w:t>检查开门器使用的液压软管两端是否设置金属护套，液压软管是否提供符合</w:t>
      </w:r>
      <w:r>
        <w:rPr>
          <w:spacing w:val="-5"/>
          <w:sz w:val="21"/>
        </w:rPr>
        <w:t xml:space="preserve"> </w:t>
      </w:r>
      <w:r>
        <w:rPr>
          <w:sz w:val="21"/>
        </w:rPr>
        <w:t xml:space="preserve">GB/T </w:t>
      </w:r>
    </w:p>
    <w:p w14:paraId="701E2926" w14:textId="77777777" w:rsidR="00A71EEF" w:rsidRDefault="00A71EEF">
      <w:pPr>
        <w:pStyle w:val="a3"/>
        <w:spacing w:before="12"/>
        <w:rPr>
          <w:sz w:val="17"/>
        </w:rPr>
      </w:pPr>
    </w:p>
    <w:p w14:paraId="501D9B6D" w14:textId="77777777" w:rsidR="00A71EEF" w:rsidRDefault="0081115D">
      <w:pPr>
        <w:pStyle w:val="a3"/>
        <w:ind w:left="418"/>
      </w:pPr>
      <w:r>
        <w:t xml:space="preserve">3683 </w:t>
      </w:r>
      <w:r>
        <w:t>要求的检验证明。</w:t>
      </w:r>
      <w:r>
        <w:t xml:space="preserve"> </w:t>
      </w:r>
    </w:p>
    <w:p w14:paraId="1AE091EC" w14:textId="77777777" w:rsidR="00A71EEF" w:rsidRDefault="00A71EEF">
      <w:pPr>
        <w:pStyle w:val="a3"/>
        <w:spacing w:before="12"/>
        <w:rPr>
          <w:sz w:val="17"/>
        </w:rPr>
      </w:pPr>
    </w:p>
    <w:p w14:paraId="344ABEBC" w14:textId="77777777" w:rsidR="00A71EEF" w:rsidRDefault="0081115D">
      <w:pPr>
        <w:pStyle w:val="a4"/>
        <w:numPr>
          <w:ilvl w:val="2"/>
          <w:numId w:val="425"/>
        </w:numPr>
        <w:tabs>
          <w:tab w:val="left" w:pos="1370"/>
        </w:tabs>
        <w:spacing w:line="446" w:lineRule="auto"/>
        <w:ind w:left="418" w:right="1813" w:firstLine="422"/>
        <w:rPr>
          <w:sz w:val="21"/>
        </w:rPr>
      </w:pPr>
      <w:r>
        <w:rPr>
          <w:spacing w:val="-3"/>
          <w:sz w:val="21"/>
        </w:rPr>
        <w:t>液压软管一端的液压接头与试验装置的动力源连接，另一端的液压接头用堵头封</w:t>
      </w:r>
      <w:r>
        <w:rPr>
          <w:spacing w:val="-6"/>
          <w:sz w:val="21"/>
        </w:rPr>
        <w:t>堵，对液压软管及液压接头增压至</w:t>
      </w:r>
      <w:r>
        <w:rPr>
          <w:spacing w:val="-6"/>
          <w:sz w:val="21"/>
        </w:rPr>
        <w:t xml:space="preserve"> </w:t>
      </w:r>
      <w:r>
        <w:rPr>
          <w:sz w:val="21"/>
        </w:rPr>
        <w:t>1.5</w:t>
      </w:r>
      <w:r>
        <w:rPr>
          <w:spacing w:val="-13"/>
          <w:sz w:val="21"/>
        </w:rPr>
        <w:t xml:space="preserve"> </w:t>
      </w:r>
      <w:r>
        <w:rPr>
          <w:spacing w:val="-13"/>
          <w:sz w:val="21"/>
        </w:rPr>
        <w:t>倍额定工作压力，保持</w:t>
      </w:r>
      <w:r>
        <w:rPr>
          <w:spacing w:val="-13"/>
          <w:sz w:val="21"/>
        </w:rPr>
        <w:t xml:space="preserve"> </w:t>
      </w:r>
      <w:r>
        <w:rPr>
          <w:sz w:val="21"/>
        </w:rPr>
        <w:t>60s</w:t>
      </w:r>
      <w:r>
        <w:rPr>
          <w:spacing w:val="-3"/>
          <w:sz w:val="21"/>
        </w:rPr>
        <w:t>，检查渗漏情况。</w:t>
      </w:r>
      <w:r>
        <w:rPr>
          <w:sz w:val="21"/>
        </w:rPr>
        <w:t xml:space="preserve"> </w:t>
      </w:r>
    </w:p>
    <w:p w14:paraId="32840E63" w14:textId="77777777" w:rsidR="00A71EEF" w:rsidRDefault="0081115D">
      <w:pPr>
        <w:pStyle w:val="a4"/>
        <w:numPr>
          <w:ilvl w:val="1"/>
          <w:numId w:val="425"/>
        </w:numPr>
        <w:tabs>
          <w:tab w:val="left" w:pos="1159"/>
        </w:tabs>
        <w:spacing w:before="1"/>
        <w:ind w:hanging="319"/>
        <w:rPr>
          <w:b/>
          <w:sz w:val="21"/>
        </w:rPr>
      </w:pPr>
      <w:r>
        <w:rPr>
          <w:spacing w:val="-3"/>
          <w:sz w:val="21"/>
        </w:rPr>
        <w:t>液压接头试验</w:t>
      </w:r>
      <w:r>
        <w:rPr>
          <w:b/>
          <w:w w:val="99"/>
          <w:sz w:val="21"/>
        </w:rPr>
        <w:t xml:space="preserve"> </w:t>
      </w:r>
    </w:p>
    <w:p w14:paraId="0F28A883" w14:textId="77777777" w:rsidR="00A71EEF" w:rsidRDefault="00A71EEF">
      <w:pPr>
        <w:pStyle w:val="a3"/>
        <w:spacing w:before="12"/>
        <w:rPr>
          <w:b/>
          <w:sz w:val="17"/>
        </w:rPr>
      </w:pPr>
    </w:p>
    <w:p w14:paraId="25D55413" w14:textId="77777777" w:rsidR="00A71EEF" w:rsidRDefault="0081115D">
      <w:pPr>
        <w:pStyle w:val="a4"/>
        <w:numPr>
          <w:ilvl w:val="2"/>
          <w:numId w:val="425"/>
        </w:numPr>
        <w:tabs>
          <w:tab w:val="left" w:pos="1370"/>
        </w:tabs>
        <w:ind w:hanging="530"/>
        <w:rPr>
          <w:sz w:val="21"/>
        </w:rPr>
      </w:pPr>
      <w:r>
        <w:rPr>
          <w:spacing w:val="-3"/>
          <w:sz w:val="21"/>
        </w:rPr>
        <w:t>检查开门器使用的液压接头是否带有自锁功能和防尘装置。</w:t>
      </w:r>
      <w:r>
        <w:rPr>
          <w:sz w:val="21"/>
        </w:rPr>
        <w:t xml:space="preserve"> </w:t>
      </w:r>
    </w:p>
    <w:p w14:paraId="0407365F" w14:textId="77777777" w:rsidR="00A71EEF" w:rsidRDefault="00A71EEF">
      <w:pPr>
        <w:pStyle w:val="a3"/>
        <w:spacing w:before="2"/>
        <w:rPr>
          <w:sz w:val="18"/>
        </w:rPr>
      </w:pPr>
    </w:p>
    <w:p w14:paraId="23BD8958" w14:textId="77777777" w:rsidR="00A71EEF" w:rsidRDefault="0081115D">
      <w:pPr>
        <w:pStyle w:val="a4"/>
        <w:numPr>
          <w:ilvl w:val="2"/>
          <w:numId w:val="425"/>
        </w:numPr>
        <w:tabs>
          <w:tab w:val="left" w:pos="1370"/>
        </w:tabs>
        <w:spacing w:line="446" w:lineRule="auto"/>
        <w:ind w:left="418" w:right="1604" w:firstLine="422"/>
        <w:rPr>
          <w:sz w:val="21"/>
        </w:rPr>
      </w:pPr>
      <w:r>
        <w:rPr>
          <w:spacing w:val="-3"/>
          <w:sz w:val="21"/>
        </w:rPr>
        <w:t>液压软管一端的液压接头与试验装置的动力源连接，另一端的液压接头与另一根长</w:t>
      </w:r>
      <w:r>
        <w:rPr>
          <w:spacing w:val="-15"/>
          <w:sz w:val="21"/>
        </w:rPr>
        <w:t>度为</w:t>
      </w:r>
      <w:r>
        <w:rPr>
          <w:spacing w:val="-15"/>
          <w:sz w:val="21"/>
        </w:rPr>
        <w:t xml:space="preserve"> </w:t>
      </w:r>
      <w:r>
        <w:rPr>
          <w:sz w:val="21"/>
        </w:rPr>
        <w:t>0.5m</w:t>
      </w:r>
      <w:r>
        <w:rPr>
          <w:spacing w:val="-10"/>
          <w:sz w:val="21"/>
        </w:rPr>
        <w:t xml:space="preserve"> </w:t>
      </w:r>
      <w:r>
        <w:rPr>
          <w:spacing w:val="-10"/>
          <w:sz w:val="21"/>
        </w:rPr>
        <w:t>的液压软管的液压接头相连，长度为</w:t>
      </w:r>
      <w:r>
        <w:rPr>
          <w:spacing w:val="-10"/>
          <w:sz w:val="21"/>
        </w:rPr>
        <w:t xml:space="preserve"> </w:t>
      </w:r>
      <w:r>
        <w:rPr>
          <w:sz w:val="21"/>
        </w:rPr>
        <w:t>0.5m</w:t>
      </w:r>
      <w:r>
        <w:rPr>
          <w:spacing w:val="-7"/>
          <w:sz w:val="21"/>
        </w:rPr>
        <w:t xml:space="preserve"> </w:t>
      </w:r>
      <w:r>
        <w:rPr>
          <w:spacing w:val="-7"/>
          <w:sz w:val="21"/>
        </w:rPr>
        <w:t>的液压软管的另一端液压接头用堵头封</w:t>
      </w:r>
      <w:r>
        <w:rPr>
          <w:spacing w:val="-6"/>
          <w:sz w:val="21"/>
        </w:rPr>
        <w:t>堵。试验装置对这两根液压软管相互连接的一对液压接头施加</w:t>
      </w:r>
      <w:r>
        <w:rPr>
          <w:spacing w:val="-6"/>
          <w:sz w:val="21"/>
        </w:rPr>
        <w:t xml:space="preserve"> </w:t>
      </w:r>
      <w:r>
        <w:rPr>
          <w:sz w:val="21"/>
        </w:rPr>
        <w:t>1kN</w:t>
      </w:r>
      <w:r>
        <w:rPr>
          <w:spacing w:val="-7"/>
          <w:sz w:val="21"/>
        </w:rPr>
        <w:t xml:space="preserve"> </w:t>
      </w:r>
      <w:r>
        <w:rPr>
          <w:spacing w:val="-7"/>
          <w:sz w:val="21"/>
        </w:rPr>
        <w:t>的轴向拉力，然后增压至额</w:t>
      </w:r>
      <w:r>
        <w:rPr>
          <w:spacing w:val="-11"/>
          <w:sz w:val="21"/>
        </w:rPr>
        <w:t>定工作压力，保持</w:t>
      </w:r>
      <w:r>
        <w:rPr>
          <w:spacing w:val="-11"/>
          <w:sz w:val="21"/>
        </w:rPr>
        <w:t xml:space="preserve"> </w:t>
      </w:r>
      <w:r>
        <w:rPr>
          <w:sz w:val="21"/>
        </w:rPr>
        <w:t>60s</w:t>
      </w:r>
      <w:r>
        <w:rPr>
          <w:spacing w:val="-3"/>
          <w:sz w:val="21"/>
        </w:rPr>
        <w:t>，检查渗漏及变形情况。</w:t>
      </w:r>
      <w:r>
        <w:rPr>
          <w:sz w:val="21"/>
        </w:rPr>
        <w:t xml:space="preserve"> </w:t>
      </w:r>
    </w:p>
    <w:p w14:paraId="394ABC9A" w14:textId="77777777" w:rsidR="00A71EEF" w:rsidRDefault="0081115D">
      <w:pPr>
        <w:pStyle w:val="4"/>
        <w:spacing w:line="275" w:lineRule="exact"/>
      </w:pPr>
      <w:r>
        <w:t xml:space="preserve">7 </w:t>
      </w:r>
      <w:r>
        <w:t>检验规则</w:t>
      </w:r>
      <w:r>
        <w:rPr>
          <w:w w:val="99"/>
        </w:rPr>
        <w:t xml:space="preserve"> </w:t>
      </w:r>
    </w:p>
    <w:p w14:paraId="03322C4D" w14:textId="77777777" w:rsidR="00A71EEF" w:rsidRDefault="00A71EEF">
      <w:pPr>
        <w:pStyle w:val="a3"/>
        <w:spacing w:before="4"/>
        <w:rPr>
          <w:b/>
          <w:sz w:val="17"/>
        </w:rPr>
      </w:pPr>
    </w:p>
    <w:p w14:paraId="36DA3CF9" w14:textId="77777777" w:rsidR="00A71EEF" w:rsidRDefault="0081115D">
      <w:pPr>
        <w:pStyle w:val="a4"/>
        <w:numPr>
          <w:ilvl w:val="1"/>
          <w:numId w:val="424"/>
        </w:numPr>
        <w:tabs>
          <w:tab w:val="left" w:pos="1159"/>
        </w:tabs>
        <w:ind w:hanging="319"/>
        <w:rPr>
          <w:sz w:val="21"/>
        </w:rPr>
      </w:pPr>
      <w:r>
        <w:rPr>
          <w:spacing w:val="-3"/>
          <w:sz w:val="21"/>
        </w:rPr>
        <w:t>出厂检验</w:t>
      </w:r>
      <w:r>
        <w:rPr>
          <w:sz w:val="21"/>
        </w:rPr>
        <w:t xml:space="preserve"> </w:t>
      </w:r>
    </w:p>
    <w:p w14:paraId="6D61DC5F" w14:textId="77777777" w:rsidR="00A71EEF" w:rsidRDefault="00A71EEF">
      <w:pPr>
        <w:pStyle w:val="a3"/>
        <w:spacing w:before="1"/>
        <w:rPr>
          <w:sz w:val="18"/>
        </w:rPr>
      </w:pPr>
    </w:p>
    <w:p w14:paraId="5E501708" w14:textId="77777777" w:rsidR="00A71EEF" w:rsidRDefault="0081115D">
      <w:pPr>
        <w:pStyle w:val="a4"/>
        <w:numPr>
          <w:ilvl w:val="2"/>
          <w:numId w:val="424"/>
        </w:numPr>
        <w:tabs>
          <w:tab w:val="left" w:pos="1371"/>
        </w:tabs>
        <w:spacing w:before="1"/>
        <w:rPr>
          <w:sz w:val="21"/>
        </w:rPr>
      </w:pPr>
      <w:r>
        <w:rPr>
          <w:spacing w:val="-3"/>
          <w:sz w:val="21"/>
        </w:rPr>
        <w:t>开门器及附件应经生产厂质检部门检验合格并附合格证方可出厂。</w:t>
      </w:r>
      <w:r>
        <w:rPr>
          <w:sz w:val="21"/>
        </w:rPr>
        <w:t xml:space="preserve"> </w:t>
      </w:r>
    </w:p>
    <w:p w14:paraId="419064C0" w14:textId="77777777" w:rsidR="00A71EEF" w:rsidRDefault="00A71EEF">
      <w:pPr>
        <w:pStyle w:val="a3"/>
        <w:spacing w:before="12"/>
        <w:rPr>
          <w:sz w:val="17"/>
        </w:rPr>
      </w:pPr>
    </w:p>
    <w:p w14:paraId="5B75E13B" w14:textId="77777777" w:rsidR="00A71EEF" w:rsidRDefault="0081115D">
      <w:pPr>
        <w:pStyle w:val="a3"/>
        <w:ind w:left="840"/>
      </w:pPr>
      <w:r>
        <w:rPr>
          <w:b/>
        </w:rPr>
        <w:t xml:space="preserve">7.1.2 </w:t>
      </w:r>
      <w:r>
        <w:t>出厂检验按</w:t>
      </w:r>
      <w:r>
        <w:t xml:space="preserve"> 5.1.1</w:t>
      </w:r>
      <w:r>
        <w:t>、</w:t>
      </w:r>
      <w:r>
        <w:t>5.1.4</w:t>
      </w:r>
      <w:r>
        <w:t>、</w:t>
      </w:r>
      <w:r>
        <w:t>5.1.5</w:t>
      </w:r>
      <w:r>
        <w:t>、</w:t>
      </w:r>
      <w:r>
        <w:t>5.1.7</w:t>
      </w:r>
      <w:r>
        <w:t>、</w:t>
      </w:r>
      <w:r>
        <w:t xml:space="preserve">5.2.1.2 </w:t>
      </w:r>
      <w:r>
        <w:t>的要求进行全数检验。</w:t>
      </w:r>
      <w:r>
        <w:t xml:space="preserve"> </w:t>
      </w:r>
    </w:p>
    <w:p w14:paraId="544E7936" w14:textId="77777777" w:rsidR="00A71EEF" w:rsidRDefault="00A71EEF">
      <w:pPr>
        <w:pStyle w:val="a3"/>
        <w:spacing w:before="12"/>
        <w:rPr>
          <w:sz w:val="17"/>
        </w:rPr>
      </w:pPr>
    </w:p>
    <w:p w14:paraId="618CF238" w14:textId="77777777" w:rsidR="00A71EEF" w:rsidRDefault="0081115D">
      <w:pPr>
        <w:pStyle w:val="a3"/>
        <w:spacing w:line="446" w:lineRule="auto"/>
        <w:ind w:left="418" w:right="1604" w:firstLine="422"/>
      </w:pPr>
      <w:r>
        <w:rPr>
          <w:b/>
        </w:rPr>
        <w:t xml:space="preserve">7.1.3 </w:t>
      </w:r>
      <w:r>
        <w:t>如有一项不符合本标准规定时，允许对该不合格产品返工后进行复检，复检结果仍不符合标准规定的，则产品为不合格。</w:t>
      </w:r>
      <w:r>
        <w:t xml:space="preserve"> </w:t>
      </w:r>
    </w:p>
    <w:p w14:paraId="773533DE" w14:textId="77777777" w:rsidR="00A71EEF" w:rsidRDefault="0081115D">
      <w:pPr>
        <w:pStyle w:val="a4"/>
        <w:numPr>
          <w:ilvl w:val="1"/>
          <w:numId w:val="424"/>
        </w:numPr>
        <w:tabs>
          <w:tab w:val="left" w:pos="1160"/>
        </w:tabs>
        <w:spacing w:before="1"/>
        <w:ind w:left="1159" w:hanging="320"/>
        <w:rPr>
          <w:sz w:val="21"/>
        </w:rPr>
      </w:pPr>
      <w:r>
        <w:rPr>
          <w:spacing w:val="-3"/>
          <w:sz w:val="21"/>
        </w:rPr>
        <w:t>形式试验</w:t>
      </w:r>
      <w:r>
        <w:rPr>
          <w:sz w:val="21"/>
        </w:rPr>
        <w:t xml:space="preserve"> </w:t>
      </w:r>
    </w:p>
    <w:p w14:paraId="4F13D092" w14:textId="77777777" w:rsidR="00A71EEF" w:rsidRDefault="00A71EEF">
      <w:pPr>
        <w:pStyle w:val="a3"/>
        <w:spacing w:before="12"/>
        <w:rPr>
          <w:sz w:val="17"/>
        </w:rPr>
      </w:pPr>
    </w:p>
    <w:p w14:paraId="463553DF" w14:textId="77777777" w:rsidR="00A71EEF" w:rsidRDefault="0081115D">
      <w:pPr>
        <w:pStyle w:val="a4"/>
        <w:numPr>
          <w:ilvl w:val="2"/>
          <w:numId w:val="424"/>
        </w:numPr>
        <w:tabs>
          <w:tab w:val="left" w:pos="1424"/>
        </w:tabs>
        <w:spacing w:line="446" w:lineRule="auto"/>
        <w:ind w:left="838" w:right="5545" w:firstLine="2"/>
        <w:rPr>
          <w:b/>
          <w:sz w:val="21"/>
        </w:rPr>
      </w:pPr>
      <w:r>
        <w:rPr>
          <w:spacing w:val="-3"/>
          <w:sz w:val="21"/>
        </w:rPr>
        <w:t>有下列情况之一时，应进行形式检验：</w:t>
      </w:r>
      <w:r>
        <w:rPr>
          <w:spacing w:val="-3"/>
          <w:sz w:val="21"/>
        </w:rPr>
        <w:t xml:space="preserve"> </w:t>
      </w:r>
      <w:r>
        <w:rPr>
          <w:sz w:val="21"/>
        </w:rPr>
        <w:t>a)</w:t>
      </w:r>
      <w:r>
        <w:rPr>
          <w:spacing w:val="-3"/>
          <w:sz w:val="21"/>
        </w:rPr>
        <w:t>新产品鉴定；</w:t>
      </w:r>
      <w:r>
        <w:rPr>
          <w:b/>
          <w:w w:val="99"/>
          <w:sz w:val="21"/>
        </w:rPr>
        <w:t xml:space="preserve"> </w:t>
      </w:r>
    </w:p>
    <w:p w14:paraId="06DF5BE5" w14:textId="77777777" w:rsidR="00A71EEF" w:rsidRDefault="00A71EEF">
      <w:pPr>
        <w:spacing w:line="446" w:lineRule="auto"/>
        <w:rPr>
          <w:sz w:val="21"/>
        </w:rPr>
        <w:sectPr w:rsidR="00A71EEF">
          <w:pgSz w:w="11910" w:h="16850"/>
          <w:pgMar w:top="1220" w:right="0" w:bottom="1420" w:left="1260" w:header="0" w:footer="1239" w:gutter="0"/>
          <w:cols w:space="720"/>
        </w:sectPr>
      </w:pPr>
    </w:p>
    <w:p w14:paraId="41D5176A" w14:textId="77777777" w:rsidR="00A71EEF" w:rsidRDefault="0081115D">
      <w:pPr>
        <w:pStyle w:val="a3"/>
        <w:spacing w:before="47" w:line="446" w:lineRule="auto"/>
        <w:ind w:left="838" w:right="4237"/>
        <w:rPr>
          <w:b/>
        </w:rPr>
      </w:pPr>
      <w:r>
        <w:t>b)</w:t>
      </w:r>
      <w:r>
        <w:t>正式生产后，产品结构、材料、生产工艺有较大改变时；</w:t>
      </w:r>
      <w:r>
        <w:t xml:space="preserve"> c)</w:t>
      </w:r>
      <w:r>
        <w:t>产品停产一年以上，恢复生产时；</w:t>
      </w:r>
      <w:r>
        <w:rPr>
          <w:b/>
          <w:w w:val="99"/>
        </w:rPr>
        <w:t xml:space="preserve"> </w:t>
      </w:r>
    </w:p>
    <w:p w14:paraId="26F01254" w14:textId="77777777" w:rsidR="00A71EEF" w:rsidRDefault="0081115D">
      <w:pPr>
        <w:pStyle w:val="a4"/>
        <w:numPr>
          <w:ilvl w:val="0"/>
          <w:numId w:val="423"/>
        </w:numPr>
        <w:tabs>
          <w:tab w:val="left" w:pos="1051"/>
        </w:tabs>
        <w:spacing w:line="267" w:lineRule="exact"/>
        <w:rPr>
          <w:b/>
          <w:sz w:val="21"/>
        </w:rPr>
      </w:pPr>
      <w:r>
        <w:rPr>
          <w:spacing w:val="-3"/>
          <w:sz w:val="21"/>
        </w:rPr>
        <w:t>连续生产满三年时；</w:t>
      </w:r>
      <w:r>
        <w:rPr>
          <w:b/>
          <w:w w:val="99"/>
          <w:sz w:val="21"/>
        </w:rPr>
        <w:t xml:space="preserve"> </w:t>
      </w:r>
    </w:p>
    <w:p w14:paraId="62FBEBAB" w14:textId="77777777" w:rsidR="00A71EEF" w:rsidRDefault="00A71EEF">
      <w:pPr>
        <w:pStyle w:val="a3"/>
        <w:spacing w:before="2"/>
        <w:rPr>
          <w:b/>
          <w:sz w:val="18"/>
        </w:rPr>
      </w:pPr>
    </w:p>
    <w:p w14:paraId="758CE013" w14:textId="77777777" w:rsidR="00A71EEF" w:rsidRDefault="0081115D">
      <w:pPr>
        <w:pStyle w:val="a4"/>
        <w:numPr>
          <w:ilvl w:val="0"/>
          <w:numId w:val="423"/>
        </w:numPr>
        <w:tabs>
          <w:tab w:val="left" w:pos="1051"/>
        </w:tabs>
        <w:rPr>
          <w:b/>
          <w:sz w:val="21"/>
        </w:rPr>
      </w:pPr>
      <w:r>
        <w:rPr>
          <w:spacing w:val="-3"/>
          <w:sz w:val="21"/>
        </w:rPr>
        <w:t>国家质量监督机构提出进行形式检验的要求时。</w:t>
      </w:r>
      <w:r>
        <w:rPr>
          <w:b/>
          <w:w w:val="99"/>
          <w:sz w:val="21"/>
        </w:rPr>
        <w:t xml:space="preserve"> </w:t>
      </w:r>
    </w:p>
    <w:p w14:paraId="387D3AC1" w14:textId="77777777" w:rsidR="00A71EEF" w:rsidRDefault="00A71EEF">
      <w:pPr>
        <w:pStyle w:val="a3"/>
        <w:rPr>
          <w:b/>
          <w:sz w:val="18"/>
        </w:rPr>
      </w:pPr>
    </w:p>
    <w:p w14:paraId="3743CFB6" w14:textId="77777777" w:rsidR="00A71EEF" w:rsidRDefault="0081115D">
      <w:pPr>
        <w:pStyle w:val="a4"/>
        <w:numPr>
          <w:ilvl w:val="2"/>
          <w:numId w:val="424"/>
        </w:numPr>
        <w:tabs>
          <w:tab w:val="left" w:pos="1370"/>
        </w:tabs>
        <w:ind w:left="1369" w:hanging="530"/>
        <w:rPr>
          <w:sz w:val="21"/>
        </w:rPr>
      </w:pPr>
      <w:r>
        <w:rPr>
          <w:spacing w:val="-6"/>
          <w:sz w:val="21"/>
        </w:rPr>
        <w:t>进行形式检验以同一品种、同一型号规格的产品</w:t>
      </w:r>
      <w:r>
        <w:rPr>
          <w:spacing w:val="-6"/>
          <w:sz w:val="21"/>
        </w:rPr>
        <w:t xml:space="preserve"> </w:t>
      </w:r>
      <w:r>
        <w:rPr>
          <w:sz w:val="21"/>
        </w:rPr>
        <w:t>100</w:t>
      </w:r>
      <w:r>
        <w:rPr>
          <w:spacing w:val="-10"/>
          <w:sz w:val="21"/>
        </w:rPr>
        <w:t xml:space="preserve"> </w:t>
      </w:r>
      <w:r>
        <w:rPr>
          <w:spacing w:val="-10"/>
          <w:sz w:val="21"/>
        </w:rPr>
        <w:t>套为一个批量</w:t>
      </w:r>
      <w:r>
        <w:rPr>
          <w:spacing w:val="-3"/>
          <w:sz w:val="21"/>
        </w:rPr>
        <w:t>（</w:t>
      </w:r>
      <w:r>
        <w:rPr>
          <w:spacing w:val="-17"/>
          <w:sz w:val="21"/>
        </w:rPr>
        <w:t>不足</w:t>
      </w:r>
      <w:r>
        <w:rPr>
          <w:spacing w:val="-17"/>
          <w:sz w:val="21"/>
        </w:rPr>
        <w:t xml:space="preserve"> </w:t>
      </w:r>
      <w:r>
        <w:rPr>
          <w:sz w:val="21"/>
        </w:rPr>
        <w:t>100</w:t>
      </w:r>
      <w:r>
        <w:rPr>
          <w:spacing w:val="-20"/>
          <w:sz w:val="21"/>
        </w:rPr>
        <w:t xml:space="preserve"> </w:t>
      </w:r>
      <w:r>
        <w:rPr>
          <w:spacing w:val="-20"/>
          <w:sz w:val="21"/>
        </w:rPr>
        <w:t>套也</w:t>
      </w:r>
    </w:p>
    <w:p w14:paraId="3F844B8A" w14:textId="77777777" w:rsidR="00A71EEF" w:rsidRDefault="00A71EEF">
      <w:pPr>
        <w:pStyle w:val="a3"/>
        <w:spacing w:before="12"/>
        <w:rPr>
          <w:sz w:val="17"/>
        </w:rPr>
      </w:pPr>
    </w:p>
    <w:p w14:paraId="5152BF7A" w14:textId="77777777" w:rsidR="00A71EEF" w:rsidRDefault="0081115D">
      <w:pPr>
        <w:pStyle w:val="a3"/>
        <w:ind w:left="418"/>
      </w:pPr>
      <w:r>
        <w:t>可作为一个批量），从中随机抽取</w:t>
      </w:r>
      <w:r>
        <w:t xml:space="preserve"> 3 </w:t>
      </w:r>
      <w:r>
        <w:t>套作为试样。</w:t>
      </w:r>
      <w:r>
        <w:t xml:space="preserve"> </w:t>
      </w:r>
    </w:p>
    <w:p w14:paraId="6E889D0F" w14:textId="77777777" w:rsidR="00A71EEF" w:rsidRDefault="00A71EEF">
      <w:pPr>
        <w:pStyle w:val="a3"/>
        <w:spacing w:before="2"/>
        <w:rPr>
          <w:sz w:val="18"/>
        </w:rPr>
      </w:pPr>
    </w:p>
    <w:p w14:paraId="09FE3E51" w14:textId="77777777" w:rsidR="00A71EEF" w:rsidRDefault="0081115D">
      <w:pPr>
        <w:pStyle w:val="a4"/>
        <w:numPr>
          <w:ilvl w:val="2"/>
          <w:numId w:val="424"/>
        </w:numPr>
        <w:tabs>
          <w:tab w:val="left" w:pos="1371"/>
        </w:tabs>
        <w:spacing w:line="446" w:lineRule="auto"/>
        <w:ind w:left="418" w:right="1604" w:firstLine="422"/>
        <w:rPr>
          <w:sz w:val="21"/>
        </w:rPr>
      </w:pPr>
      <w:r>
        <w:rPr>
          <w:spacing w:val="-3"/>
          <w:sz w:val="21"/>
        </w:rPr>
        <w:t>形式检验应按本标准规定的要求进行全部项目检验，所检项目全部符合标准规定，</w:t>
      </w:r>
      <w:r>
        <w:rPr>
          <w:spacing w:val="-3"/>
          <w:sz w:val="21"/>
        </w:rPr>
        <w:t xml:space="preserve"> </w:t>
      </w:r>
      <w:r>
        <w:rPr>
          <w:spacing w:val="-3"/>
          <w:sz w:val="21"/>
        </w:rPr>
        <w:t>判产品的形式检验合格，否则判不合格。</w:t>
      </w:r>
      <w:r>
        <w:rPr>
          <w:sz w:val="21"/>
        </w:rPr>
        <w:t xml:space="preserve"> </w:t>
      </w:r>
    </w:p>
    <w:p w14:paraId="79A95242" w14:textId="77777777" w:rsidR="00A71EEF" w:rsidRDefault="0081115D">
      <w:pPr>
        <w:pStyle w:val="4"/>
        <w:spacing w:line="276" w:lineRule="exact"/>
      </w:pPr>
      <w:r>
        <w:t xml:space="preserve">8 </w:t>
      </w:r>
      <w:r>
        <w:t>标志、包装、运输、贮存</w:t>
      </w:r>
      <w:r>
        <w:rPr>
          <w:w w:val="99"/>
        </w:rPr>
        <w:t xml:space="preserve"> </w:t>
      </w:r>
    </w:p>
    <w:p w14:paraId="6FC5ADF4" w14:textId="77777777" w:rsidR="00A71EEF" w:rsidRDefault="00A71EEF">
      <w:pPr>
        <w:pStyle w:val="a3"/>
        <w:spacing w:before="6"/>
        <w:rPr>
          <w:b/>
          <w:sz w:val="17"/>
        </w:rPr>
      </w:pPr>
    </w:p>
    <w:p w14:paraId="0DAF4CC6" w14:textId="77777777" w:rsidR="00A71EEF" w:rsidRDefault="0081115D">
      <w:pPr>
        <w:pStyle w:val="a4"/>
        <w:numPr>
          <w:ilvl w:val="1"/>
          <w:numId w:val="422"/>
        </w:numPr>
        <w:tabs>
          <w:tab w:val="left" w:pos="1160"/>
        </w:tabs>
        <w:rPr>
          <w:sz w:val="21"/>
        </w:rPr>
      </w:pPr>
      <w:r>
        <w:rPr>
          <w:spacing w:val="-3"/>
          <w:sz w:val="21"/>
        </w:rPr>
        <w:t>标志</w:t>
      </w:r>
      <w:r>
        <w:rPr>
          <w:sz w:val="21"/>
        </w:rPr>
        <w:t xml:space="preserve"> </w:t>
      </w:r>
    </w:p>
    <w:p w14:paraId="19210766" w14:textId="77777777" w:rsidR="00A71EEF" w:rsidRDefault="00A71EEF">
      <w:pPr>
        <w:pStyle w:val="a3"/>
        <w:rPr>
          <w:sz w:val="18"/>
        </w:rPr>
      </w:pPr>
    </w:p>
    <w:p w14:paraId="232581C3" w14:textId="77777777" w:rsidR="00A71EEF" w:rsidRDefault="0081115D">
      <w:pPr>
        <w:pStyle w:val="a4"/>
        <w:numPr>
          <w:ilvl w:val="2"/>
          <w:numId w:val="422"/>
        </w:numPr>
        <w:tabs>
          <w:tab w:val="left" w:pos="1371"/>
        </w:tabs>
        <w:spacing w:line="446" w:lineRule="auto"/>
        <w:ind w:right="5913" w:firstLine="2"/>
        <w:rPr>
          <w:sz w:val="21"/>
        </w:rPr>
      </w:pPr>
      <w:r>
        <w:rPr>
          <w:spacing w:val="-3"/>
          <w:sz w:val="21"/>
        </w:rPr>
        <w:t>产品应附有铭牌，标明以下内容：</w:t>
      </w:r>
      <w:r>
        <w:rPr>
          <w:spacing w:val="-3"/>
          <w:sz w:val="21"/>
        </w:rPr>
        <w:t xml:space="preserve"> </w:t>
      </w:r>
      <w:r>
        <w:rPr>
          <w:sz w:val="21"/>
        </w:rPr>
        <w:t>a)</w:t>
      </w:r>
      <w:r>
        <w:rPr>
          <w:spacing w:val="-3"/>
          <w:sz w:val="21"/>
        </w:rPr>
        <w:t xml:space="preserve"> </w:t>
      </w:r>
      <w:r>
        <w:rPr>
          <w:spacing w:val="-3"/>
          <w:sz w:val="21"/>
        </w:rPr>
        <w:t>产品名称、型号；</w:t>
      </w:r>
      <w:r>
        <w:rPr>
          <w:sz w:val="21"/>
        </w:rPr>
        <w:t xml:space="preserve"> </w:t>
      </w:r>
    </w:p>
    <w:p w14:paraId="70EFE809" w14:textId="77777777" w:rsidR="00A71EEF" w:rsidRDefault="0081115D">
      <w:pPr>
        <w:pStyle w:val="a3"/>
        <w:spacing w:line="446" w:lineRule="auto"/>
        <w:ind w:left="838" w:right="7909"/>
      </w:pPr>
      <w:r>
        <w:t xml:space="preserve">b) </w:t>
      </w:r>
      <w:r>
        <w:t>执行标准代号；</w:t>
      </w:r>
      <w:r>
        <w:t xml:space="preserve"> c) </w:t>
      </w:r>
      <w:r>
        <w:t>主要技术参数；</w:t>
      </w:r>
      <w:r>
        <w:t xml:space="preserve"> </w:t>
      </w:r>
    </w:p>
    <w:p w14:paraId="3EA58513" w14:textId="77777777" w:rsidR="00A71EEF" w:rsidRDefault="0081115D">
      <w:pPr>
        <w:pStyle w:val="a3"/>
        <w:spacing w:line="446" w:lineRule="auto"/>
        <w:ind w:left="838" w:right="7285"/>
      </w:pPr>
      <w:r>
        <w:t>d)</w:t>
      </w:r>
      <w:r>
        <w:rPr>
          <w:spacing w:val="-2"/>
        </w:rPr>
        <w:t xml:space="preserve">  </w:t>
      </w:r>
      <w:r>
        <w:rPr>
          <w:spacing w:val="-2"/>
        </w:rPr>
        <w:t>生产厂名称、商标；</w:t>
      </w:r>
      <w:r>
        <w:rPr>
          <w:spacing w:val="-2"/>
        </w:rPr>
        <w:t xml:space="preserve"> </w:t>
      </w:r>
      <w:r>
        <w:t>e)</w:t>
      </w:r>
      <w:r>
        <w:rPr>
          <w:spacing w:val="-3"/>
        </w:rPr>
        <w:t xml:space="preserve"> </w:t>
      </w:r>
      <w:r>
        <w:rPr>
          <w:spacing w:val="-3"/>
        </w:rPr>
        <w:t>生产日期或出厂编号；</w:t>
      </w:r>
      <w:r>
        <w:rPr>
          <w:spacing w:val="-3"/>
        </w:rPr>
        <w:t xml:space="preserve"> </w:t>
      </w:r>
      <w:r>
        <w:t>f)</w:t>
      </w:r>
      <w:r>
        <w:rPr>
          <w:spacing w:val="-3"/>
        </w:rPr>
        <w:t xml:space="preserve"> </w:t>
      </w:r>
      <w:r>
        <w:rPr>
          <w:spacing w:val="-3"/>
        </w:rPr>
        <w:t>安全警示。</w:t>
      </w:r>
      <w:r>
        <w:t xml:space="preserve"> </w:t>
      </w:r>
    </w:p>
    <w:p w14:paraId="6EEF01A4" w14:textId="77777777" w:rsidR="00A71EEF" w:rsidRDefault="0081115D">
      <w:pPr>
        <w:pStyle w:val="a4"/>
        <w:numPr>
          <w:ilvl w:val="2"/>
          <w:numId w:val="422"/>
        </w:numPr>
        <w:tabs>
          <w:tab w:val="left" w:pos="1370"/>
        </w:tabs>
        <w:spacing w:line="446" w:lineRule="auto"/>
        <w:ind w:right="6544" w:firstLine="2"/>
        <w:rPr>
          <w:sz w:val="21"/>
        </w:rPr>
      </w:pPr>
      <w:r>
        <w:rPr>
          <w:spacing w:val="-3"/>
          <w:sz w:val="21"/>
        </w:rPr>
        <w:t>包装箱上应标明以下内容：</w:t>
      </w:r>
      <w:r>
        <w:rPr>
          <w:spacing w:val="-3"/>
          <w:sz w:val="21"/>
        </w:rPr>
        <w:t xml:space="preserve"> </w:t>
      </w:r>
      <w:r>
        <w:rPr>
          <w:sz w:val="21"/>
        </w:rPr>
        <w:t>a)</w:t>
      </w:r>
      <w:r>
        <w:rPr>
          <w:spacing w:val="-3"/>
          <w:sz w:val="21"/>
        </w:rPr>
        <w:t xml:space="preserve"> </w:t>
      </w:r>
      <w:r>
        <w:rPr>
          <w:spacing w:val="-3"/>
          <w:sz w:val="21"/>
        </w:rPr>
        <w:t>产品名称、型号；</w:t>
      </w:r>
      <w:r>
        <w:rPr>
          <w:sz w:val="21"/>
        </w:rPr>
        <w:t xml:space="preserve"> </w:t>
      </w:r>
    </w:p>
    <w:p w14:paraId="621EE551" w14:textId="77777777" w:rsidR="00A71EEF" w:rsidRDefault="0081115D">
      <w:pPr>
        <w:pStyle w:val="a3"/>
        <w:spacing w:line="446" w:lineRule="auto"/>
        <w:ind w:left="838" w:right="6918"/>
      </w:pPr>
      <w:r>
        <w:t xml:space="preserve">b) </w:t>
      </w:r>
      <w:r>
        <w:t>生产厂名称、商标、厂址；</w:t>
      </w:r>
      <w:r>
        <w:t xml:space="preserve"> c) </w:t>
      </w:r>
      <w:r>
        <w:t>生产日期或出厂编号；</w:t>
      </w:r>
      <w:r>
        <w:t xml:space="preserve"> </w:t>
      </w:r>
    </w:p>
    <w:p w14:paraId="56502E44" w14:textId="77777777" w:rsidR="00A71EEF" w:rsidRDefault="0081115D">
      <w:pPr>
        <w:pStyle w:val="a4"/>
        <w:numPr>
          <w:ilvl w:val="0"/>
          <w:numId w:val="421"/>
        </w:numPr>
        <w:tabs>
          <w:tab w:val="left" w:pos="1051"/>
        </w:tabs>
        <w:rPr>
          <w:sz w:val="21"/>
        </w:rPr>
      </w:pPr>
      <w:r>
        <w:rPr>
          <w:spacing w:val="-3"/>
          <w:sz w:val="21"/>
        </w:rPr>
        <w:t>产品数量；</w:t>
      </w:r>
      <w:r>
        <w:rPr>
          <w:sz w:val="21"/>
        </w:rPr>
        <w:t xml:space="preserve"> </w:t>
      </w:r>
    </w:p>
    <w:p w14:paraId="5D0BB860" w14:textId="77777777" w:rsidR="00A71EEF" w:rsidRDefault="00A71EEF">
      <w:pPr>
        <w:pStyle w:val="a3"/>
        <w:spacing w:before="9"/>
        <w:rPr>
          <w:sz w:val="17"/>
        </w:rPr>
      </w:pPr>
    </w:p>
    <w:p w14:paraId="25AD1444" w14:textId="77777777" w:rsidR="00A71EEF" w:rsidRDefault="0081115D">
      <w:pPr>
        <w:pStyle w:val="a4"/>
        <w:numPr>
          <w:ilvl w:val="0"/>
          <w:numId w:val="421"/>
        </w:numPr>
        <w:tabs>
          <w:tab w:val="left" w:pos="1051"/>
        </w:tabs>
        <w:rPr>
          <w:sz w:val="21"/>
        </w:rPr>
      </w:pPr>
      <w:r>
        <w:rPr>
          <w:spacing w:val="-6"/>
          <w:sz w:val="21"/>
        </w:rPr>
        <w:t>包装箱外形尺寸：长</w:t>
      </w:r>
      <w:r>
        <w:rPr>
          <w:spacing w:val="-6"/>
          <w:sz w:val="21"/>
        </w:rPr>
        <w:t>×</w:t>
      </w:r>
      <w:r>
        <w:rPr>
          <w:spacing w:val="-6"/>
          <w:sz w:val="21"/>
        </w:rPr>
        <w:t>宽</w:t>
      </w:r>
      <w:r>
        <w:rPr>
          <w:spacing w:val="-6"/>
          <w:sz w:val="21"/>
        </w:rPr>
        <w:t>×</w:t>
      </w:r>
      <w:r>
        <w:rPr>
          <w:spacing w:val="-6"/>
          <w:sz w:val="21"/>
        </w:rPr>
        <w:t>高</w:t>
      </w:r>
      <w:r>
        <w:rPr>
          <w:spacing w:val="-6"/>
          <w:sz w:val="21"/>
        </w:rPr>
        <w:t>(</w:t>
      </w:r>
      <w:r>
        <w:rPr>
          <w:spacing w:val="-6"/>
          <w:sz w:val="21"/>
        </w:rPr>
        <w:t>单位为</w:t>
      </w:r>
      <w:r>
        <w:rPr>
          <w:spacing w:val="-6"/>
          <w:sz w:val="21"/>
        </w:rPr>
        <w:t xml:space="preserve"> </w:t>
      </w:r>
      <w:r>
        <w:rPr>
          <w:sz w:val="21"/>
        </w:rPr>
        <w:t>cm)</w:t>
      </w:r>
      <w:r>
        <w:rPr>
          <w:sz w:val="21"/>
        </w:rPr>
        <w:t>；</w:t>
      </w:r>
      <w:r>
        <w:rPr>
          <w:sz w:val="21"/>
        </w:rPr>
        <w:t xml:space="preserve"> </w:t>
      </w:r>
    </w:p>
    <w:p w14:paraId="7BEF42ED" w14:textId="77777777" w:rsidR="00A71EEF" w:rsidRDefault="00A71EEF">
      <w:pPr>
        <w:pStyle w:val="a3"/>
        <w:spacing w:before="12"/>
        <w:rPr>
          <w:sz w:val="17"/>
        </w:rPr>
      </w:pPr>
    </w:p>
    <w:p w14:paraId="24E77037" w14:textId="77777777" w:rsidR="00A71EEF" w:rsidRDefault="0081115D">
      <w:pPr>
        <w:pStyle w:val="a4"/>
        <w:numPr>
          <w:ilvl w:val="0"/>
          <w:numId w:val="421"/>
        </w:numPr>
        <w:tabs>
          <w:tab w:val="left" w:pos="1051"/>
        </w:tabs>
        <w:spacing w:line="446" w:lineRule="auto"/>
        <w:ind w:left="840" w:right="2979" w:hanging="3"/>
        <w:rPr>
          <w:b/>
          <w:sz w:val="21"/>
        </w:rPr>
      </w:pPr>
      <w:r>
        <w:rPr>
          <w:spacing w:val="-5"/>
          <w:sz w:val="21"/>
        </w:rPr>
        <w:t>标有</w:t>
      </w:r>
      <w:r>
        <w:rPr>
          <w:spacing w:val="-5"/>
          <w:sz w:val="21"/>
        </w:rPr>
        <w:t>"</w:t>
      </w:r>
      <w:r>
        <w:rPr>
          <w:spacing w:val="-5"/>
          <w:sz w:val="21"/>
        </w:rPr>
        <w:t>防止油污</w:t>
      </w:r>
      <w:r>
        <w:rPr>
          <w:spacing w:val="-5"/>
          <w:sz w:val="21"/>
        </w:rPr>
        <w:t>”</w:t>
      </w:r>
      <w:r>
        <w:rPr>
          <w:spacing w:val="-5"/>
          <w:sz w:val="21"/>
        </w:rPr>
        <w:t>和</w:t>
      </w:r>
      <w:r>
        <w:rPr>
          <w:spacing w:val="-5"/>
          <w:sz w:val="21"/>
        </w:rPr>
        <w:t>“</w:t>
      </w:r>
      <w:r>
        <w:rPr>
          <w:spacing w:val="-5"/>
          <w:sz w:val="21"/>
        </w:rPr>
        <w:t>防潮</w:t>
      </w:r>
      <w:r>
        <w:rPr>
          <w:spacing w:val="-5"/>
          <w:sz w:val="21"/>
        </w:rPr>
        <w:t>”</w:t>
      </w:r>
      <w:r>
        <w:rPr>
          <w:spacing w:val="-5"/>
          <w:sz w:val="21"/>
        </w:rPr>
        <w:t>等标志，标志应符合</w:t>
      </w:r>
      <w:r>
        <w:rPr>
          <w:spacing w:val="-5"/>
          <w:sz w:val="21"/>
        </w:rPr>
        <w:t xml:space="preserve"> </w:t>
      </w:r>
      <w:r>
        <w:rPr>
          <w:sz w:val="21"/>
        </w:rPr>
        <w:t>GB/T</w:t>
      </w:r>
      <w:r>
        <w:rPr>
          <w:spacing w:val="17"/>
          <w:sz w:val="21"/>
        </w:rPr>
        <w:t xml:space="preserve"> </w:t>
      </w:r>
      <w:r>
        <w:rPr>
          <w:sz w:val="21"/>
        </w:rPr>
        <w:t>191</w:t>
      </w:r>
      <w:r>
        <w:rPr>
          <w:spacing w:val="-11"/>
          <w:sz w:val="21"/>
        </w:rPr>
        <w:t xml:space="preserve"> </w:t>
      </w:r>
      <w:r>
        <w:rPr>
          <w:spacing w:val="-11"/>
          <w:sz w:val="21"/>
        </w:rPr>
        <w:t>的规定。</w:t>
      </w:r>
      <w:r>
        <w:rPr>
          <w:spacing w:val="-11"/>
          <w:sz w:val="21"/>
        </w:rPr>
        <w:t xml:space="preserve"> </w:t>
      </w:r>
      <w:r>
        <w:rPr>
          <w:b/>
          <w:sz w:val="21"/>
        </w:rPr>
        <w:t>8.2</w:t>
      </w:r>
      <w:r>
        <w:rPr>
          <w:b/>
          <w:spacing w:val="1"/>
          <w:sz w:val="21"/>
        </w:rPr>
        <w:t xml:space="preserve"> </w:t>
      </w:r>
      <w:r>
        <w:rPr>
          <w:spacing w:val="-3"/>
          <w:sz w:val="21"/>
        </w:rPr>
        <w:t>包装</w:t>
      </w:r>
      <w:r>
        <w:rPr>
          <w:b/>
          <w:w w:val="99"/>
          <w:sz w:val="21"/>
        </w:rPr>
        <w:t xml:space="preserve"> </w:t>
      </w:r>
    </w:p>
    <w:p w14:paraId="5DC8BA08" w14:textId="77777777" w:rsidR="00A71EEF" w:rsidRDefault="0081115D">
      <w:pPr>
        <w:pStyle w:val="a4"/>
        <w:numPr>
          <w:ilvl w:val="2"/>
          <w:numId w:val="420"/>
        </w:numPr>
        <w:tabs>
          <w:tab w:val="left" w:pos="1370"/>
        </w:tabs>
        <w:spacing w:line="446" w:lineRule="auto"/>
        <w:ind w:right="1604" w:firstLine="422"/>
        <w:rPr>
          <w:sz w:val="21"/>
        </w:rPr>
      </w:pPr>
      <w:r>
        <w:rPr>
          <w:spacing w:val="-3"/>
          <w:sz w:val="21"/>
        </w:rPr>
        <w:t>产品应装入塑料袋进行整具包装。为防止部件间摩擦碰撞，应用泡沫塑料或纸板隔护，外用木箱或纸箱包装。</w:t>
      </w:r>
      <w:r>
        <w:rPr>
          <w:spacing w:val="-3"/>
          <w:sz w:val="21"/>
        </w:rPr>
        <w:t xml:space="preserve"> </w:t>
      </w:r>
    </w:p>
    <w:p w14:paraId="7895ACC1" w14:textId="77777777" w:rsidR="00A71EEF" w:rsidRDefault="0081115D">
      <w:pPr>
        <w:pStyle w:val="a4"/>
        <w:numPr>
          <w:ilvl w:val="2"/>
          <w:numId w:val="420"/>
        </w:numPr>
        <w:tabs>
          <w:tab w:val="left" w:pos="1370"/>
        </w:tabs>
        <w:ind w:left="1369" w:hanging="530"/>
        <w:rPr>
          <w:sz w:val="21"/>
        </w:rPr>
      </w:pPr>
      <w:r>
        <w:rPr>
          <w:spacing w:val="-3"/>
          <w:sz w:val="21"/>
        </w:rPr>
        <w:t>包装箱内应随带文件：</w:t>
      </w:r>
      <w:r>
        <w:rPr>
          <w:sz w:val="21"/>
        </w:rPr>
        <w:t xml:space="preserve"> </w:t>
      </w:r>
    </w:p>
    <w:p w14:paraId="21115EE0" w14:textId="77777777" w:rsidR="00A71EEF" w:rsidRDefault="00A71EEF">
      <w:pPr>
        <w:rPr>
          <w:sz w:val="21"/>
        </w:rPr>
        <w:sectPr w:rsidR="00A71EEF">
          <w:pgSz w:w="11910" w:h="16850"/>
          <w:pgMar w:top="1220" w:right="0" w:bottom="1420" w:left="1260" w:header="0" w:footer="1239" w:gutter="0"/>
          <w:cols w:space="720"/>
        </w:sectPr>
      </w:pPr>
    </w:p>
    <w:p w14:paraId="32718D78" w14:textId="77777777" w:rsidR="00A71EEF" w:rsidRDefault="0081115D">
      <w:pPr>
        <w:pStyle w:val="a4"/>
        <w:numPr>
          <w:ilvl w:val="0"/>
          <w:numId w:val="419"/>
        </w:numPr>
        <w:tabs>
          <w:tab w:val="left" w:pos="1051"/>
        </w:tabs>
        <w:spacing w:before="47" w:line="446" w:lineRule="auto"/>
        <w:ind w:right="8229" w:firstLine="0"/>
        <w:jc w:val="both"/>
        <w:rPr>
          <w:b/>
          <w:sz w:val="21"/>
        </w:rPr>
      </w:pPr>
      <w:r>
        <w:rPr>
          <w:spacing w:val="-3"/>
          <w:sz w:val="21"/>
        </w:rPr>
        <w:t>产品合格证；</w:t>
      </w:r>
      <w:r>
        <w:rPr>
          <w:spacing w:val="-3"/>
          <w:sz w:val="21"/>
        </w:rPr>
        <w:t xml:space="preserve"> </w:t>
      </w:r>
      <w:r>
        <w:rPr>
          <w:sz w:val="21"/>
        </w:rPr>
        <w:t>b)</w:t>
      </w:r>
      <w:r>
        <w:rPr>
          <w:spacing w:val="-3"/>
          <w:sz w:val="21"/>
        </w:rPr>
        <w:t>产品说明书；</w:t>
      </w:r>
      <w:r>
        <w:rPr>
          <w:spacing w:val="-3"/>
          <w:sz w:val="21"/>
        </w:rPr>
        <w:t xml:space="preserve"> </w:t>
      </w:r>
      <w:r>
        <w:rPr>
          <w:sz w:val="21"/>
        </w:rPr>
        <w:t>c)</w:t>
      </w:r>
      <w:r>
        <w:rPr>
          <w:spacing w:val="-3"/>
          <w:sz w:val="21"/>
        </w:rPr>
        <w:t>装箱单。</w:t>
      </w:r>
      <w:r>
        <w:rPr>
          <w:b/>
          <w:w w:val="99"/>
          <w:sz w:val="21"/>
        </w:rPr>
        <w:t xml:space="preserve"> </w:t>
      </w:r>
    </w:p>
    <w:p w14:paraId="494D031E" w14:textId="77777777" w:rsidR="00A71EEF" w:rsidRDefault="0081115D">
      <w:pPr>
        <w:pStyle w:val="a4"/>
        <w:numPr>
          <w:ilvl w:val="2"/>
          <w:numId w:val="420"/>
        </w:numPr>
        <w:tabs>
          <w:tab w:val="left" w:pos="1370"/>
        </w:tabs>
        <w:spacing w:line="446" w:lineRule="auto"/>
        <w:ind w:left="838" w:right="2760" w:firstLine="2"/>
        <w:rPr>
          <w:sz w:val="21"/>
        </w:rPr>
      </w:pPr>
      <w:r>
        <w:rPr>
          <w:spacing w:val="-6"/>
          <w:sz w:val="21"/>
        </w:rPr>
        <w:t>产品说明书的内容应符合</w:t>
      </w:r>
      <w:r>
        <w:rPr>
          <w:spacing w:val="-6"/>
          <w:sz w:val="21"/>
        </w:rPr>
        <w:t xml:space="preserve"> </w:t>
      </w:r>
      <w:r>
        <w:rPr>
          <w:sz w:val="21"/>
        </w:rPr>
        <w:t>GB/T</w:t>
      </w:r>
      <w:r>
        <w:rPr>
          <w:spacing w:val="19"/>
          <w:sz w:val="21"/>
        </w:rPr>
        <w:t xml:space="preserve"> </w:t>
      </w:r>
      <w:r>
        <w:rPr>
          <w:sz w:val="21"/>
        </w:rPr>
        <w:t>9969</w:t>
      </w:r>
      <w:r>
        <w:rPr>
          <w:spacing w:val="-8"/>
          <w:sz w:val="21"/>
        </w:rPr>
        <w:t xml:space="preserve"> </w:t>
      </w:r>
      <w:r>
        <w:rPr>
          <w:spacing w:val="-8"/>
          <w:sz w:val="21"/>
        </w:rPr>
        <w:t>的规定，并至少包括以下内容：</w:t>
      </w:r>
      <w:r>
        <w:rPr>
          <w:spacing w:val="-8"/>
          <w:sz w:val="21"/>
        </w:rPr>
        <w:t xml:space="preserve"> a)</w:t>
      </w:r>
      <w:r>
        <w:rPr>
          <w:spacing w:val="-4"/>
          <w:sz w:val="21"/>
        </w:rPr>
        <w:t>产品适用范围；</w:t>
      </w:r>
      <w:r>
        <w:rPr>
          <w:sz w:val="21"/>
        </w:rPr>
        <w:t xml:space="preserve"> </w:t>
      </w:r>
    </w:p>
    <w:p w14:paraId="2A7D7D87" w14:textId="77777777" w:rsidR="00A71EEF" w:rsidRDefault="0081115D">
      <w:pPr>
        <w:pStyle w:val="a4"/>
        <w:numPr>
          <w:ilvl w:val="0"/>
          <w:numId w:val="419"/>
        </w:numPr>
        <w:tabs>
          <w:tab w:val="left" w:pos="1051"/>
        </w:tabs>
        <w:spacing w:line="446" w:lineRule="auto"/>
        <w:ind w:right="6969" w:firstLine="0"/>
        <w:rPr>
          <w:sz w:val="21"/>
        </w:rPr>
      </w:pPr>
      <w:r>
        <w:rPr>
          <w:spacing w:val="-3"/>
          <w:sz w:val="21"/>
        </w:rPr>
        <w:t>产品使用说明和操作方法；</w:t>
      </w:r>
      <w:r>
        <w:rPr>
          <w:spacing w:val="-3"/>
          <w:sz w:val="21"/>
        </w:rPr>
        <w:t xml:space="preserve"> </w:t>
      </w:r>
      <w:r>
        <w:rPr>
          <w:sz w:val="21"/>
        </w:rPr>
        <w:t>c)</w:t>
      </w:r>
      <w:r>
        <w:rPr>
          <w:spacing w:val="-3"/>
          <w:sz w:val="21"/>
        </w:rPr>
        <w:t>危险警告和提示；</w:t>
      </w:r>
      <w:r>
        <w:rPr>
          <w:sz w:val="21"/>
        </w:rPr>
        <w:t xml:space="preserve"> </w:t>
      </w:r>
    </w:p>
    <w:p w14:paraId="2B455F8A" w14:textId="77777777" w:rsidR="00A71EEF" w:rsidRDefault="0081115D">
      <w:pPr>
        <w:pStyle w:val="a4"/>
        <w:numPr>
          <w:ilvl w:val="0"/>
          <w:numId w:val="418"/>
        </w:numPr>
        <w:tabs>
          <w:tab w:val="left" w:pos="1051"/>
        </w:tabs>
        <w:rPr>
          <w:sz w:val="21"/>
        </w:rPr>
      </w:pPr>
      <w:r>
        <w:rPr>
          <w:spacing w:val="-3"/>
          <w:sz w:val="21"/>
        </w:rPr>
        <w:t>维护保养的说明；</w:t>
      </w:r>
      <w:r>
        <w:rPr>
          <w:sz w:val="21"/>
        </w:rPr>
        <w:t xml:space="preserve"> </w:t>
      </w:r>
    </w:p>
    <w:p w14:paraId="1F6EED27" w14:textId="77777777" w:rsidR="00A71EEF" w:rsidRDefault="00A71EEF">
      <w:pPr>
        <w:pStyle w:val="a3"/>
        <w:spacing w:before="9"/>
        <w:rPr>
          <w:sz w:val="17"/>
        </w:rPr>
      </w:pPr>
    </w:p>
    <w:p w14:paraId="7D8CB799" w14:textId="77777777" w:rsidR="00A71EEF" w:rsidRDefault="0081115D">
      <w:pPr>
        <w:pStyle w:val="a4"/>
        <w:numPr>
          <w:ilvl w:val="0"/>
          <w:numId w:val="418"/>
        </w:numPr>
        <w:tabs>
          <w:tab w:val="left" w:pos="1051"/>
        </w:tabs>
        <w:spacing w:before="1" w:line="446" w:lineRule="auto"/>
        <w:ind w:left="840" w:right="6969" w:hanging="3"/>
        <w:rPr>
          <w:b/>
          <w:sz w:val="21"/>
        </w:rPr>
      </w:pPr>
      <w:r>
        <w:rPr>
          <w:spacing w:val="-3"/>
          <w:sz w:val="21"/>
        </w:rPr>
        <w:t>易损零部件的名称、数量。</w:t>
      </w:r>
      <w:r>
        <w:rPr>
          <w:b/>
          <w:sz w:val="21"/>
        </w:rPr>
        <w:t>8.3</w:t>
      </w:r>
      <w:r>
        <w:rPr>
          <w:b/>
          <w:spacing w:val="1"/>
          <w:sz w:val="21"/>
        </w:rPr>
        <w:t xml:space="preserve"> </w:t>
      </w:r>
      <w:r>
        <w:rPr>
          <w:spacing w:val="-3"/>
          <w:sz w:val="21"/>
        </w:rPr>
        <w:t>运输</w:t>
      </w:r>
      <w:r>
        <w:rPr>
          <w:b/>
          <w:w w:val="99"/>
          <w:sz w:val="21"/>
        </w:rPr>
        <w:t xml:space="preserve"> </w:t>
      </w:r>
    </w:p>
    <w:p w14:paraId="1A6C5EE5" w14:textId="77777777" w:rsidR="00A71EEF" w:rsidRDefault="0081115D">
      <w:pPr>
        <w:pStyle w:val="a3"/>
        <w:spacing w:line="446" w:lineRule="auto"/>
        <w:ind w:left="840" w:right="2134" w:hanging="3"/>
        <w:rPr>
          <w:b/>
        </w:rPr>
      </w:pPr>
      <w:r>
        <w:t>产品在搬运、运输时应严禁重压、避免接触腐蚀性物质，防止油污、雨淋和碰撞。</w:t>
      </w:r>
      <w:r>
        <w:rPr>
          <w:b/>
        </w:rPr>
        <w:t xml:space="preserve">8.4 </w:t>
      </w:r>
      <w:r>
        <w:t>贮存</w:t>
      </w:r>
      <w:r>
        <w:rPr>
          <w:b/>
          <w:w w:val="99"/>
        </w:rPr>
        <w:t xml:space="preserve"> </w:t>
      </w:r>
    </w:p>
    <w:p w14:paraId="4A8149D6" w14:textId="77777777" w:rsidR="00A71EEF" w:rsidRDefault="0081115D">
      <w:pPr>
        <w:pStyle w:val="a3"/>
        <w:ind w:left="838"/>
      </w:pPr>
      <w:r>
        <w:t>产品应贮存在通风、干燥，无热源和无腐蚀性气体、液体的场所。</w:t>
      </w:r>
      <w:r>
        <w:t xml:space="preserve"> </w:t>
      </w:r>
    </w:p>
    <w:p w14:paraId="5CFA7DFE" w14:textId="77777777" w:rsidR="00A71EEF" w:rsidRDefault="00A71EEF">
      <w:pPr>
        <w:pStyle w:val="a3"/>
        <w:rPr>
          <w:sz w:val="20"/>
        </w:rPr>
      </w:pPr>
    </w:p>
    <w:p w14:paraId="10C05EA8" w14:textId="77777777" w:rsidR="00A71EEF" w:rsidRDefault="00A71EEF">
      <w:pPr>
        <w:pStyle w:val="a3"/>
        <w:rPr>
          <w:sz w:val="20"/>
        </w:rPr>
      </w:pPr>
    </w:p>
    <w:p w14:paraId="3EFBFD4B" w14:textId="77777777" w:rsidR="00A71EEF" w:rsidRDefault="00A71EEF">
      <w:pPr>
        <w:pStyle w:val="a3"/>
        <w:rPr>
          <w:sz w:val="20"/>
        </w:rPr>
      </w:pPr>
    </w:p>
    <w:p w14:paraId="6430EACE" w14:textId="77777777" w:rsidR="00A71EEF" w:rsidRDefault="00A71EEF">
      <w:pPr>
        <w:pStyle w:val="a3"/>
        <w:rPr>
          <w:sz w:val="20"/>
        </w:rPr>
      </w:pPr>
    </w:p>
    <w:p w14:paraId="43ACC265" w14:textId="77777777" w:rsidR="00A71EEF" w:rsidRDefault="00A71EEF">
      <w:pPr>
        <w:pStyle w:val="a3"/>
        <w:rPr>
          <w:sz w:val="20"/>
        </w:rPr>
      </w:pPr>
    </w:p>
    <w:p w14:paraId="55AA6333" w14:textId="77777777" w:rsidR="00A71EEF" w:rsidRDefault="00A71EEF">
      <w:pPr>
        <w:pStyle w:val="a3"/>
        <w:rPr>
          <w:sz w:val="20"/>
        </w:rPr>
      </w:pPr>
    </w:p>
    <w:p w14:paraId="04AC7273" w14:textId="77777777" w:rsidR="00A71EEF" w:rsidRDefault="00A71EEF">
      <w:pPr>
        <w:pStyle w:val="a3"/>
        <w:rPr>
          <w:sz w:val="20"/>
        </w:rPr>
      </w:pPr>
    </w:p>
    <w:p w14:paraId="66AF4DDD" w14:textId="77777777" w:rsidR="00A71EEF" w:rsidRDefault="00A71EEF">
      <w:pPr>
        <w:pStyle w:val="a3"/>
        <w:rPr>
          <w:sz w:val="20"/>
        </w:rPr>
      </w:pPr>
    </w:p>
    <w:p w14:paraId="6E4AF7F1" w14:textId="77777777" w:rsidR="00A71EEF" w:rsidRDefault="00A71EEF">
      <w:pPr>
        <w:pStyle w:val="a3"/>
        <w:rPr>
          <w:sz w:val="20"/>
        </w:rPr>
      </w:pPr>
    </w:p>
    <w:p w14:paraId="4D16BE87" w14:textId="77777777" w:rsidR="00A71EEF" w:rsidRDefault="00A71EEF">
      <w:pPr>
        <w:pStyle w:val="a3"/>
        <w:rPr>
          <w:sz w:val="20"/>
        </w:rPr>
      </w:pPr>
    </w:p>
    <w:p w14:paraId="7C98231F" w14:textId="77777777" w:rsidR="00A71EEF" w:rsidRDefault="00A71EEF">
      <w:pPr>
        <w:pStyle w:val="a3"/>
        <w:rPr>
          <w:sz w:val="20"/>
        </w:rPr>
      </w:pPr>
    </w:p>
    <w:p w14:paraId="7388538B" w14:textId="77777777" w:rsidR="00A71EEF" w:rsidRDefault="00A71EEF">
      <w:pPr>
        <w:pStyle w:val="a3"/>
        <w:rPr>
          <w:sz w:val="20"/>
        </w:rPr>
      </w:pPr>
    </w:p>
    <w:p w14:paraId="4FFA024B" w14:textId="77777777" w:rsidR="00A71EEF" w:rsidRDefault="00A71EEF">
      <w:pPr>
        <w:pStyle w:val="a3"/>
        <w:rPr>
          <w:sz w:val="20"/>
        </w:rPr>
      </w:pPr>
    </w:p>
    <w:p w14:paraId="4536C865" w14:textId="77777777" w:rsidR="00A71EEF" w:rsidRDefault="00A71EEF">
      <w:pPr>
        <w:pStyle w:val="a3"/>
        <w:rPr>
          <w:sz w:val="20"/>
        </w:rPr>
      </w:pPr>
    </w:p>
    <w:p w14:paraId="61B299AA" w14:textId="77777777" w:rsidR="00A71EEF" w:rsidRDefault="00A71EEF">
      <w:pPr>
        <w:pStyle w:val="a3"/>
        <w:rPr>
          <w:sz w:val="20"/>
        </w:rPr>
      </w:pPr>
    </w:p>
    <w:p w14:paraId="1BBDF9D5" w14:textId="77777777" w:rsidR="00A71EEF" w:rsidRDefault="00A71EEF">
      <w:pPr>
        <w:pStyle w:val="a3"/>
        <w:rPr>
          <w:sz w:val="20"/>
        </w:rPr>
      </w:pPr>
    </w:p>
    <w:p w14:paraId="62262982" w14:textId="77777777" w:rsidR="00A71EEF" w:rsidRDefault="00A71EEF">
      <w:pPr>
        <w:pStyle w:val="a3"/>
        <w:rPr>
          <w:sz w:val="20"/>
        </w:rPr>
      </w:pPr>
    </w:p>
    <w:p w14:paraId="6D1344DA" w14:textId="77777777" w:rsidR="00A71EEF" w:rsidRDefault="00A71EEF">
      <w:pPr>
        <w:pStyle w:val="a3"/>
        <w:rPr>
          <w:sz w:val="20"/>
        </w:rPr>
      </w:pPr>
    </w:p>
    <w:p w14:paraId="17455D3A" w14:textId="77777777" w:rsidR="00A71EEF" w:rsidRDefault="00A71EEF">
      <w:pPr>
        <w:pStyle w:val="a3"/>
        <w:rPr>
          <w:sz w:val="20"/>
        </w:rPr>
      </w:pPr>
    </w:p>
    <w:p w14:paraId="5B1641A0" w14:textId="77777777" w:rsidR="00A71EEF" w:rsidRDefault="00A71EEF">
      <w:pPr>
        <w:pStyle w:val="a3"/>
        <w:rPr>
          <w:sz w:val="20"/>
        </w:rPr>
      </w:pPr>
    </w:p>
    <w:p w14:paraId="7FE082DE" w14:textId="77777777" w:rsidR="00A71EEF" w:rsidRDefault="00A71EEF">
      <w:pPr>
        <w:pStyle w:val="a3"/>
        <w:rPr>
          <w:sz w:val="20"/>
        </w:rPr>
      </w:pPr>
    </w:p>
    <w:p w14:paraId="6309867E" w14:textId="77777777" w:rsidR="00A71EEF" w:rsidRDefault="00A71EEF">
      <w:pPr>
        <w:pStyle w:val="a3"/>
        <w:rPr>
          <w:sz w:val="20"/>
        </w:rPr>
      </w:pPr>
    </w:p>
    <w:p w14:paraId="7F7975BF" w14:textId="77777777" w:rsidR="00A71EEF" w:rsidRDefault="00A71EEF">
      <w:pPr>
        <w:pStyle w:val="a3"/>
        <w:rPr>
          <w:sz w:val="20"/>
        </w:rPr>
      </w:pPr>
    </w:p>
    <w:p w14:paraId="71A728C1" w14:textId="77777777" w:rsidR="00A71EEF" w:rsidRDefault="00A71EEF">
      <w:pPr>
        <w:pStyle w:val="a3"/>
        <w:rPr>
          <w:sz w:val="20"/>
        </w:rPr>
      </w:pPr>
    </w:p>
    <w:p w14:paraId="34D3646F" w14:textId="77777777" w:rsidR="00A71EEF" w:rsidRDefault="00A71EEF">
      <w:pPr>
        <w:pStyle w:val="a3"/>
        <w:rPr>
          <w:sz w:val="20"/>
        </w:rPr>
      </w:pPr>
    </w:p>
    <w:p w14:paraId="2CC0B497" w14:textId="77777777" w:rsidR="00A71EEF" w:rsidRDefault="00A71EEF">
      <w:pPr>
        <w:pStyle w:val="a3"/>
        <w:rPr>
          <w:sz w:val="20"/>
        </w:rPr>
      </w:pPr>
    </w:p>
    <w:p w14:paraId="77DCDC85" w14:textId="77777777" w:rsidR="00A71EEF" w:rsidRDefault="00A71EEF">
      <w:pPr>
        <w:pStyle w:val="a3"/>
        <w:rPr>
          <w:sz w:val="20"/>
        </w:rPr>
      </w:pPr>
    </w:p>
    <w:p w14:paraId="6F04C815" w14:textId="77777777" w:rsidR="00A71EEF" w:rsidRDefault="00A71EEF">
      <w:pPr>
        <w:pStyle w:val="a3"/>
        <w:spacing w:before="11"/>
        <w:rPr>
          <w:sz w:val="18"/>
        </w:rPr>
      </w:pPr>
    </w:p>
    <w:p w14:paraId="257CD1E1" w14:textId="77777777" w:rsidR="00A71EEF" w:rsidRDefault="0081115D">
      <w:pPr>
        <w:pStyle w:val="a3"/>
        <w:spacing w:before="71"/>
        <w:ind w:left="838"/>
      </w:pPr>
      <w:r>
        <w:t xml:space="preserve"> </w:t>
      </w:r>
    </w:p>
    <w:p w14:paraId="408C6F24" w14:textId="77777777" w:rsidR="00A71EEF" w:rsidRDefault="00A71EEF">
      <w:pPr>
        <w:sectPr w:rsidR="00A71EEF">
          <w:pgSz w:w="11910" w:h="16850"/>
          <w:pgMar w:top="1220" w:right="0" w:bottom="1420" w:left="1260" w:header="0" w:footer="1239" w:gutter="0"/>
          <w:cols w:space="720"/>
        </w:sectPr>
      </w:pPr>
    </w:p>
    <w:p w14:paraId="6690A014" w14:textId="77777777" w:rsidR="00A71EEF" w:rsidRDefault="0081115D">
      <w:pPr>
        <w:pStyle w:val="2"/>
        <w:ind w:right="870"/>
      </w:pPr>
      <w:bookmarkStart w:id="24" w:name="_bookmark24"/>
      <w:bookmarkEnd w:id="24"/>
      <w:r>
        <w:t>防火门监控器</w:t>
      </w:r>
      <w:r>
        <w:rPr>
          <w:w w:val="99"/>
        </w:rPr>
        <w:t xml:space="preserve"> </w:t>
      </w:r>
    </w:p>
    <w:p w14:paraId="5559FD99" w14:textId="77777777" w:rsidR="00A71EEF" w:rsidRDefault="00A71EEF">
      <w:pPr>
        <w:pStyle w:val="a3"/>
        <w:rPr>
          <w:b/>
          <w:sz w:val="20"/>
        </w:rPr>
      </w:pPr>
    </w:p>
    <w:p w14:paraId="7862CAB8" w14:textId="77777777" w:rsidR="00A71EEF" w:rsidRDefault="00A71EEF">
      <w:pPr>
        <w:pStyle w:val="a3"/>
        <w:spacing w:before="5"/>
        <w:rPr>
          <w:b/>
          <w:sz w:val="14"/>
        </w:rPr>
      </w:pPr>
    </w:p>
    <w:p w14:paraId="0107E384" w14:textId="77777777" w:rsidR="00A71EEF" w:rsidRDefault="0081115D">
      <w:pPr>
        <w:pStyle w:val="4"/>
        <w:spacing w:before="66"/>
      </w:pPr>
      <w:r>
        <w:t xml:space="preserve">1 </w:t>
      </w:r>
      <w:r>
        <w:t>范围</w:t>
      </w:r>
      <w:r>
        <w:rPr>
          <w:w w:val="99"/>
        </w:rPr>
        <w:t xml:space="preserve"> </w:t>
      </w:r>
    </w:p>
    <w:p w14:paraId="26AFFD5F" w14:textId="77777777" w:rsidR="00A71EEF" w:rsidRDefault="00A71EEF">
      <w:pPr>
        <w:pStyle w:val="a3"/>
        <w:spacing w:before="4"/>
        <w:rPr>
          <w:b/>
          <w:sz w:val="17"/>
        </w:rPr>
      </w:pPr>
    </w:p>
    <w:p w14:paraId="4897E4C1" w14:textId="77777777" w:rsidR="00A71EEF" w:rsidRDefault="0081115D">
      <w:pPr>
        <w:pStyle w:val="a3"/>
        <w:spacing w:line="446" w:lineRule="auto"/>
        <w:ind w:left="838" w:right="1505"/>
      </w:pPr>
      <w:r>
        <w:rPr>
          <w:spacing w:val="-3"/>
        </w:rPr>
        <w:t>本标准规定了防火门监控器的术语和定义、要求、试验、检验规则、标志和使用说明书。本标准适用于一般工业与民用建筑中安装使用的防火门监控器，其他环境中安装的监控器</w:t>
      </w:r>
    </w:p>
    <w:p w14:paraId="062F8AC8" w14:textId="77777777" w:rsidR="00A71EEF" w:rsidRDefault="0081115D">
      <w:pPr>
        <w:pStyle w:val="a3"/>
        <w:ind w:left="418"/>
      </w:pPr>
      <w:r>
        <w:t>亦可参照本标准。</w:t>
      </w:r>
      <w:r>
        <w:t xml:space="preserve"> </w:t>
      </w:r>
    </w:p>
    <w:p w14:paraId="68EBE189" w14:textId="77777777" w:rsidR="00A71EEF" w:rsidRDefault="00A71EEF">
      <w:pPr>
        <w:pStyle w:val="a3"/>
        <w:spacing w:before="8"/>
        <w:rPr>
          <w:sz w:val="15"/>
        </w:rPr>
      </w:pPr>
    </w:p>
    <w:p w14:paraId="3C383E87" w14:textId="77777777" w:rsidR="00A71EEF" w:rsidRDefault="0081115D">
      <w:pPr>
        <w:pStyle w:val="4"/>
      </w:pPr>
      <w:r>
        <w:t xml:space="preserve">2 </w:t>
      </w:r>
      <w:r>
        <w:t>规范性引用文件</w:t>
      </w:r>
      <w:r>
        <w:rPr>
          <w:w w:val="99"/>
        </w:rPr>
        <w:t xml:space="preserve"> </w:t>
      </w:r>
    </w:p>
    <w:p w14:paraId="54C3A140" w14:textId="77777777" w:rsidR="00A71EEF" w:rsidRDefault="00A71EEF">
      <w:pPr>
        <w:pStyle w:val="a3"/>
        <w:spacing w:before="4"/>
        <w:rPr>
          <w:b/>
          <w:sz w:val="17"/>
        </w:rPr>
      </w:pPr>
    </w:p>
    <w:p w14:paraId="700DF6C7" w14:textId="77777777" w:rsidR="00A71EEF" w:rsidRDefault="0081115D">
      <w:pPr>
        <w:pStyle w:val="a3"/>
        <w:spacing w:line="446" w:lineRule="auto"/>
        <w:ind w:left="418" w:right="1609" w:firstLine="419"/>
      </w:pPr>
      <w:r>
        <w:t>下列文件对于本文件的应用是必不可少的。凡是注日期的引用文件，仅注日期的版本适用于本文件。凡是不注日期的引用文件，其最新版本（包括所有的修改单）适用于本文件。</w:t>
      </w:r>
      <w:r>
        <w:t xml:space="preserve"> </w:t>
      </w:r>
    </w:p>
    <w:p w14:paraId="62C12B06" w14:textId="77777777" w:rsidR="00A71EEF" w:rsidRDefault="0081115D">
      <w:pPr>
        <w:pStyle w:val="a3"/>
        <w:spacing w:line="446" w:lineRule="auto"/>
        <w:ind w:left="838" w:right="5814"/>
      </w:pPr>
      <w:r>
        <w:t xml:space="preserve">GB/T 9969   </w:t>
      </w:r>
      <w:r>
        <w:t>工业产品使用说明书</w:t>
      </w:r>
      <w:r>
        <w:t xml:space="preserve">   </w:t>
      </w:r>
      <w:r>
        <w:t>总则</w:t>
      </w:r>
      <w:r>
        <w:t xml:space="preserve">GB 12978 </w:t>
      </w:r>
      <w:r>
        <w:t>消防电子产品检验规则</w:t>
      </w:r>
      <w:r>
        <w:t xml:space="preserve"> </w:t>
      </w:r>
    </w:p>
    <w:p w14:paraId="279C7367" w14:textId="77777777" w:rsidR="00A71EEF" w:rsidRDefault="0081115D">
      <w:pPr>
        <w:pStyle w:val="a3"/>
        <w:ind w:left="838"/>
      </w:pPr>
      <w:r>
        <w:t xml:space="preserve">GB 16838 </w:t>
      </w:r>
      <w:r>
        <w:t>消防电子产品</w:t>
      </w:r>
      <w:r>
        <w:t xml:space="preserve"> </w:t>
      </w:r>
      <w:r>
        <w:t>环境试验方法及严酷等级</w:t>
      </w:r>
      <w:r>
        <w:t xml:space="preserve"> </w:t>
      </w:r>
    </w:p>
    <w:p w14:paraId="3803F150" w14:textId="77777777" w:rsidR="00A71EEF" w:rsidRDefault="00A71EEF">
      <w:pPr>
        <w:pStyle w:val="a3"/>
        <w:spacing w:before="12"/>
        <w:rPr>
          <w:sz w:val="17"/>
        </w:rPr>
      </w:pPr>
    </w:p>
    <w:p w14:paraId="0A4D5B10" w14:textId="77777777" w:rsidR="00A71EEF" w:rsidRDefault="0081115D">
      <w:pPr>
        <w:pStyle w:val="a3"/>
        <w:ind w:left="838"/>
      </w:pPr>
      <w:r>
        <w:t xml:space="preserve">GB/T 17626.2 </w:t>
      </w:r>
      <w:r>
        <w:t>电磁兼容</w:t>
      </w:r>
      <w:r>
        <w:t xml:space="preserve"> </w:t>
      </w:r>
      <w:r>
        <w:t>试验和测量技术</w:t>
      </w:r>
      <w:r>
        <w:t xml:space="preserve"> </w:t>
      </w:r>
      <w:r>
        <w:t>静电放电抗扰度试验</w:t>
      </w:r>
      <w:r>
        <w:t xml:space="preserve"> </w:t>
      </w:r>
    </w:p>
    <w:p w14:paraId="54AB35D9" w14:textId="77777777" w:rsidR="00A71EEF" w:rsidRDefault="00A71EEF">
      <w:pPr>
        <w:pStyle w:val="a3"/>
        <w:rPr>
          <w:sz w:val="18"/>
        </w:rPr>
      </w:pPr>
    </w:p>
    <w:p w14:paraId="473DB926" w14:textId="77777777" w:rsidR="00A71EEF" w:rsidRDefault="0081115D">
      <w:pPr>
        <w:pStyle w:val="a3"/>
        <w:spacing w:line="446" w:lineRule="auto"/>
        <w:ind w:left="838" w:right="2451"/>
      </w:pPr>
      <w:r>
        <w:t>GB/T 17626.3</w:t>
      </w:r>
      <w:r>
        <w:rPr>
          <w:spacing w:val="-3"/>
        </w:rPr>
        <w:t xml:space="preserve">   </w:t>
      </w:r>
      <w:r>
        <w:rPr>
          <w:spacing w:val="-3"/>
        </w:rPr>
        <w:t>电磁兼容</w:t>
      </w:r>
      <w:r>
        <w:rPr>
          <w:spacing w:val="-3"/>
        </w:rPr>
        <w:t xml:space="preserve">   </w:t>
      </w:r>
      <w:r>
        <w:rPr>
          <w:spacing w:val="-3"/>
        </w:rPr>
        <w:t>试验和测量技术</w:t>
      </w:r>
      <w:r>
        <w:rPr>
          <w:spacing w:val="-3"/>
        </w:rPr>
        <w:t xml:space="preserve">   </w:t>
      </w:r>
      <w:r>
        <w:rPr>
          <w:spacing w:val="-3"/>
        </w:rPr>
        <w:t>射频电磁场辐射抗扰度试验</w:t>
      </w:r>
      <w:r>
        <w:t>GB/T 17626.4</w:t>
      </w:r>
      <w:r>
        <w:rPr>
          <w:spacing w:val="-3"/>
        </w:rPr>
        <w:t xml:space="preserve">  </w:t>
      </w:r>
      <w:r>
        <w:rPr>
          <w:spacing w:val="-3"/>
        </w:rPr>
        <w:t>电磁兼</w:t>
      </w:r>
      <w:r>
        <w:rPr>
          <w:spacing w:val="-3"/>
        </w:rPr>
        <w:t>容</w:t>
      </w:r>
      <w:r>
        <w:rPr>
          <w:spacing w:val="-3"/>
        </w:rPr>
        <w:t xml:space="preserve">  </w:t>
      </w:r>
      <w:r>
        <w:rPr>
          <w:spacing w:val="-3"/>
        </w:rPr>
        <w:t>试验和测量技术</w:t>
      </w:r>
      <w:r>
        <w:rPr>
          <w:spacing w:val="-3"/>
        </w:rPr>
        <w:t xml:space="preserve">   </w:t>
      </w:r>
      <w:r>
        <w:rPr>
          <w:spacing w:val="-3"/>
        </w:rPr>
        <w:t>电快速瞬变脉冲群抗扰度试验</w:t>
      </w:r>
      <w:r>
        <w:rPr>
          <w:spacing w:val="-3"/>
        </w:rPr>
        <w:t>GB/T</w:t>
      </w:r>
      <w:r>
        <w:rPr>
          <w:spacing w:val="35"/>
        </w:rPr>
        <w:t xml:space="preserve"> </w:t>
      </w:r>
      <w:r>
        <w:t xml:space="preserve">17626.5   </w:t>
      </w:r>
      <w:r>
        <w:t>电磁兼容</w:t>
      </w:r>
      <w:r>
        <w:t xml:space="preserve">   </w:t>
      </w:r>
      <w:r>
        <w:t>试验和测量技术</w:t>
      </w:r>
      <w:r>
        <w:t xml:space="preserve">   </w:t>
      </w:r>
      <w:r>
        <w:t>浪涌（</w:t>
      </w:r>
      <w:r>
        <w:rPr>
          <w:spacing w:val="-2"/>
        </w:rPr>
        <w:t>冲击</w:t>
      </w:r>
      <w:r>
        <w:rPr>
          <w:spacing w:val="-3"/>
        </w:rPr>
        <w:t>）抗扰度试验</w:t>
      </w:r>
      <w:r>
        <w:t>GB/T</w:t>
      </w:r>
      <w:r>
        <w:rPr>
          <w:spacing w:val="2"/>
        </w:rPr>
        <w:t xml:space="preserve"> </w:t>
      </w:r>
      <w:r>
        <w:t>17626.6</w:t>
      </w:r>
      <w:r>
        <w:rPr>
          <w:spacing w:val="-3"/>
        </w:rPr>
        <w:t xml:space="preserve"> </w:t>
      </w:r>
      <w:r>
        <w:rPr>
          <w:spacing w:val="-3"/>
        </w:rPr>
        <w:t>电磁兼容</w:t>
      </w:r>
      <w:r>
        <w:rPr>
          <w:spacing w:val="-3"/>
        </w:rPr>
        <w:t xml:space="preserve"> </w:t>
      </w:r>
      <w:r>
        <w:rPr>
          <w:spacing w:val="-3"/>
        </w:rPr>
        <w:t>试验和测量技术</w:t>
      </w:r>
      <w:r>
        <w:rPr>
          <w:spacing w:val="-3"/>
        </w:rPr>
        <w:t xml:space="preserve"> </w:t>
      </w:r>
      <w:r>
        <w:rPr>
          <w:spacing w:val="-3"/>
        </w:rPr>
        <w:t>射频场感应的传导骚扰抗扰度</w:t>
      </w:r>
      <w:r>
        <w:rPr>
          <w:spacing w:val="-3"/>
        </w:rPr>
        <w:t xml:space="preserve"> </w:t>
      </w:r>
    </w:p>
    <w:p w14:paraId="25F4AF30" w14:textId="77777777" w:rsidR="00A71EEF" w:rsidRDefault="0081115D">
      <w:pPr>
        <w:pStyle w:val="a3"/>
        <w:spacing w:line="446" w:lineRule="auto"/>
        <w:ind w:left="418" w:right="1608" w:firstLine="419"/>
      </w:pPr>
      <w:r>
        <w:t>GB/T 17626.11</w:t>
      </w:r>
      <w:r>
        <w:rPr>
          <w:spacing w:val="-3"/>
        </w:rPr>
        <w:t xml:space="preserve">  </w:t>
      </w:r>
      <w:r>
        <w:rPr>
          <w:spacing w:val="-3"/>
        </w:rPr>
        <w:t>电磁兼容</w:t>
      </w:r>
      <w:r>
        <w:rPr>
          <w:spacing w:val="-3"/>
        </w:rPr>
        <w:t xml:space="preserve">   </w:t>
      </w:r>
      <w:r>
        <w:rPr>
          <w:spacing w:val="-3"/>
        </w:rPr>
        <w:t>试验和测量技术</w:t>
      </w:r>
      <w:r>
        <w:rPr>
          <w:spacing w:val="-3"/>
        </w:rPr>
        <w:t xml:space="preserve">   </w:t>
      </w:r>
      <w:r>
        <w:rPr>
          <w:spacing w:val="-3"/>
        </w:rPr>
        <w:t>电压暂降、短时中断和电压变化的抗扰度试验</w:t>
      </w:r>
      <w:r>
        <w:t xml:space="preserve"> </w:t>
      </w:r>
    </w:p>
    <w:p w14:paraId="36F189BF" w14:textId="77777777" w:rsidR="00A71EEF" w:rsidRDefault="0081115D">
      <w:pPr>
        <w:pStyle w:val="4"/>
        <w:spacing w:line="275" w:lineRule="exact"/>
      </w:pPr>
      <w:r>
        <w:t xml:space="preserve">3 </w:t>
      </w:r>
      <w:r>
        <w:t>术语和定义</w:t>
      </w:r>
      <w:r>
        <w:rPr>
          <w:w w:val="99"/>
        </w:rPr>
        <w:t xml:space="preserve"> </w:t>
      </w:r>
    </w:p>
    <w:p w14:paraId="6B3E3EE6" w14:textId="77777777" w:rsidR="00A71EEF" w:rsidRDefault="00A71EEF">
      <w:pPr>
        <w:pStyle w:val="a3"/>
        <w:spacing w:before="7"/>
        <w:rPr>
          <w:b/>
          <w:sz w:val="17"/>
        </w:rPr>
      </w:pPr>
    </w:p>
    <w:p w14:paraId="4DFFE794" w14:textId="77777777" w:rsidR="00A71EEF" w:rsidRDefault="0081115D">
      <w:pPr>
        <w:pStyle w:val="a3"/>
        <w:ind w:left="838"/>
      </w:pPr>
      <w:r>
        <w:t>下列术语和定义适用于本文件。</w:t>
      </w:r>
      <w:r>
        <w:t xml:space="preserve"> </w:t>
      </w:r>
    </w:p>
    <w:p w14:paraId="6D63F380" w14:textId="77777777" w:rsidR="00A71EEF" w:rsidRDefault="00A71EEF">
      <w:pPr>
        <w:pStyle w:val="a3"/>
        <w:spacing w:before="12"/>
        <w:rPr>
          <w:sz w:val="17"/>
        </w:rPr>
      </w:pPr>
    </w:p>
    <w:p w14:paraId="2E81746E" w14:textId="77777777" w:rsidR="00A71EEF" w:rsidRDefault="0081115D">
      <w:pPr>
        <w:pStyle w:val="a4"/>
        <w:numPr>
          <w:ilvl w:val="1"/>
          <w:numId w:val="417"/>
        </w:numPr>
        <w:tabs>
          <w:tab w:val="left" w:pos="1213"/>
        </w:tabs>
        <w:ind w:hanging="373"/>
        <w:rPr>
          <w:b/>
          <w:sz w:val="21"/>
        </w:rPr>
      </w:pPr>
      <w:r>
        <w:rPr>
          <w:spacing w:val="-3"/>
          <w:sz w:val="21"/>
        </w:rPr>
        <w:t>防火门监控器</w:t>
      </w:r>
      <w:r>
        <w:rPr>
          <w:spacing w:val="-3"/>
          <w:sz w:val="21"/>
        </w:rPr>
        <w:t xml:space="preserve"> </w:t>
      </w:r>
      <w:r>
        <w:rPr>
          <w:sz w:val="21"/>
        </w:rPr>
        <w:t>indicating and</w:t>
      </w:r>
      <w:r>
        <w:rPr>
          <w:spacing w:val="1"/>
          <w:sz w:val="21"/>
        </w:rPr>
        <w:t xml:space="preserve"> </w:t>
      </w:r>
      <w:r>
        <w:rPr>
          <w:sz w:val="21"/>
        </w:rPr>
        <w:t>control unit for</w:t>
      </w:r>
      <w:r>
        <w:rPr>
          <w:spacing w:val="1"/>
          <w:sz w:val="21"/>
        </w:rPr>
        <w:t xml:space="preserve"> </w:t>
      </w:r>
      <w:r>
        <w:rPr>
          <w:sz w:val="21"/>
        </w:rPr>
        <w:t>fire</w:t>
      </w:r>
      <w:r>
        <w:rPr>
          <w:spacing w:val="-3"/>
          <w:sz w:val="21"/>
        </w:rPr>
        <w:t xml:space="preserve"> </w:t>
      </w:r>
      <w:r>
        <w:rPr>
          <w:sz w:val="21"/>
        </w:rPr>
        <w:t>resistant doorsets</w:t>
      </w:r>
      <w:r>
        <w:rPr>
          <w:b/>
          <w:w w:val="99"/>
          <w:sz w:val="21"/>
        </w:rPr>
        <w:t xml:space="preserve"> </w:t>
      </w:r>
    </w:p>
    <w:p w14:paraId="375C6E69" w14:textId="77777777" w:rsidR="00A71EEF" w:rsidRDefault="00A71EEF">
      <w:pPr>
        <w:pStyle w:val="a3"/>
        <w:rPr>
          <w:b/>
          <w:sz w:val="18"/>
        </w:rPr>
      </w:pPr>
    </w:p>
    <w:p w14:paraId="700492CD" w14:textId="77777777" w:rsidR="00A71EEF" w:rsidRDefault="0081115D">
      <w:pPr>
        <w:pStyle w:val="a3"/>
        <w:ind w:left="838"/>
      </w:pPr>
      <w:r>
        <w:t>用于显示并控制防火门打开、关闭状态的控制装置（以下简称</w:t>
      </w:r>
      <w:r>
        <w:t>“</w:t>
      </w:r>
      <w:r>
        <w:t>监控器</w:t>
      </w:r>
      <w:r>
        <w:t>”</w:t>
      </w:r>
      <w:r>
        <w:t>）。</w:t>
      </w:r>
      <w:r>
        <w:t xml:space="preserve"> </w:t>
      </w:r>
    </w:p>
    <w:p w14:paraId="7A80A872" w14:textId="77777777" w:rsidR="00A71EEF" w:rsidRDefault="00A71EEF">
      <w:pPr>
        <w:pStyle w:val="a3"/>
        <w:spacing w:before="2"/>
        <w:rPr>
          <w:sz w:val="18"/>
        </w:rPr>
      </w:pPr>
    </w:p>
    <w:p w14:paraId="34CB25DC" w14:textId="77777777" w:rsidR="00A71EEF" w:rsidRDefault="0081115D">
      <w:pPr>
        <w:pStyle w:val="a4"/>
        <w:numPr>
          <w:ilvl w:val="1"/>
          <w:numId w:val="417"/>
        </w:numPr>
        <w:tabs>
          <w:tab w:val="left" w:pos="1213"/>
        </w:tabs>
        <w:ind w:hanging="373"/>
        <w:rPr>
          <w:sz w:val="21"/>
        </w:rPr>
      </w:pPr>
      <w:r>
        <w:rPr>
          <w:spacing w:val="8"/>
          <w:sz w:val="21"/>
        </w:rPr>
        <w:t>防火门电动闭门器</w:t>
      </w:r>
      <w:r>
        <w:rPr>
          <w:spacing w:val="8"/>
          <w:sz w:val="21"/>
        </w:rPr>
        <w:t xml:space="preserve"> </w:t>
      </w:r>
      <w:r>
        <w:rPr>
          <w:sz w:val="21"/>
        </w:rPr>
        <w:t>electric closer</w:t>
      </w:r>
      <w:r>
        <w:rPr>
          <w:spacing w:val="1"/>
          <w:sz w:val="21"/>
        </w:rPr>
        <w:t xml:space="preserve"> </w:t>
      </w:r>
      <w:r>
        <w:rPr>
          <w:sz w:val="21"/>
        </w:rPr>
        <w:t>for fire</w:t>
      </w:r>
      <w:r>
        <w:rPr>
          <w:spacing w:val="1"/>
          <w:sz w:val="21"/>
        </w:rPr>
        <w:t xml:space="preserve"> </w:t>
      </w:r>
      <w:r>
        <w:rPr>
          <w:sz w:val="21"/>
        </w:rPr>
        <w:t>resistant</w:t>
      </w:r>
      <w:r>
        <w:rPr>
          <w:spacing w:val="1"/>
          <w:sz w:val="21"/>
        </w:rPr>
        <w:t xml:space="preserve"> </w:t>
      </w:r>
      <w:r>
        <w:rPr>
          <w:sz w:val="21"/>
        </w:rPr>
        <w:t xml:space="preserve">doorsets </w:t>
      </w:r>
    </w:p>
    <w:p w14:paraId="707839EB" w14:textId="77777777" w:rsidR="00A71EEF" w:rsidRDefault="00A71EEF">
      <w:pPr>
        <w:pStyle w:val="a3"/>
        <w:spacing w:before="12"/>
        <w:rPr>
          <w:sz w:val="17"/>
        </w:rPr>
      </w:pPr>
    </w:p>
    <w:p w14:paraId="4F52D3C6" w14:textId="77777777" w:rsidR="00A71EEF" w:rsidRDefault="0081115D">
      <w:pPr>
        <w:pStyle w:val="a3"/>
        <w:spacing w:line="446" w:lineRule="auto"/>
        <w:ind w:left="418" w:right="1609" w:firstLine="419"/>
      </w:pPr>
      <w:r>
        <w:t>能够在收到指令后将处于打开状态的防火门关闭，并将其状态信息反馈至防火门监控器的电动装置（以下简称</w:t>
      </w:r>
      <w:r>
        <w:t>“</w:t>
      </w:r>
      <w:r>
        <w:t>电动闭门器</w:t>
      </w:r>
      <w:r>
        <w:t>”</w:t>
      </w:r>
      <w:r>
        <w:t>）。</w:t>
      </w:r>
      <w:r>
        <w:t xml:space="preserve"> </w:t>
      </w:r>
    </w:p>
    <w:p w14:paraId="37931FE2" w14:textId="77777777" w:rsidR="00A71EEF" w:rsidRDefault="0081115D">
      <w:pPr>
        <w:pStyle w:val="a4"/>
        <w:numPr>
          <w:ilvl w:val="1"/>
          <w:numId w:val="417"/>
        </w:numPr>
        <w:tabs>
          <w:tab w:val="left" w:pos="1213"/>
        </w:tabs>
        <w:spacing w:line="446" w:lineRule="auto"/>
        <w:ind w:left="418" w:right="2184" w:firstLine="422"/>
        <w:rPr>
          <w:sz w:val="21"/>
        </w:rPr>
      </w:pPr>
      <w:r>
        <w:rPr>
          <w:spacing w:val="8"/>
          <w:sz w:val="21"/>
        </w:rPr>
        <w:t>防火门电磁释放器</w:t>
      </w:r>
      <w:r>
        <w:rPr>
          <w:spacing w:val="8"/>
          <w:sz w:val="21"/>
        </w:rPr>
        <w:t xml:space="preserve"> </w:t>
      </w:r>
      <w:r>
        <w:rPr>
          <w:sz w:val="21"/>
        </w:rPr>
        <w:t>electromagnetic release</w:t>
      </w:r>
      <w:r>
        <w:rPr>
          <w:spacing w:val="1"/>
          <w:sz w:val="21"/>
        </w:rPr>
        <w:t xml:space="preserve"> </w:t>
      </w:r>
      <w:r>
        <w:rPr>
          <w:sz w:val="21"/>
        </w:rPr>
        <w:t>device for</w:t>
      </w:r>
      <w:r>
        <w:rPr>
          <w:spacing w:val="1"/>
          <w:sz w:val="21"/>
        </w:rPr>
        <w:t xml:space="preserve"> </w:t>
      </w:r>
      <w:r>
        <w:rPr>
          <w:sz w:val="21"/>
        </w:rPr>
        <w:t>fire</w:t>
      </w:r>
      <w:r>
        <w:rPr>
          <w:spacing w:val="1"/>
          <w:sz w:val="21"/>
        </w:rPr>
        <w:t xml:space="preserve"> </w:t>
      </w:r>
      <w:r>
        <w:rPr>
          <w:sz w:val="21"/>
        </w:rPr>
        <w:t xml:space="preserve">resistant doorsets </w:t>
      </w:r>
    </w:p>
    <w:p w14:paraId="223AE97C" w14:textId="77777777" w:rsidR="00A71EEF" w:rsidRDefault="00A71EEF">
      <w:pPr>
        <w:spacing w:line="446" w:lineRule="auto"/>
        <w:rPr>
          <w:sz w:val="21"/>
        </w:rPr>
        <w:sectPr w:rsidR="00A71EEF">
          <w:pgSz w:w="11910" w:h="16850"/>
          <w:pgMar w:top="1140" w:right="0" w:bottom="1420" w:left="1260" w:header="0" w:footer="1239" w:gutter="0"/>
          <w:cols w:space="720"/>
        </w:sectPr>
      </w:pPr>
    </w:p>
    <w:p w14:paraId="491BFF5B" w14:textId="77777777" w:rsidR="00A71EEF" w:rsidRDefault="0081115D">
      <w:pPr>
        <w:pStyle w:val="a3"/>
        <w:spacing w:before="47" w:line="446" w:lineRule="auto"/>
        <w:ind w:left="418" w:right="1609" w:firstLine="419"/>
      </w:pPr>
      <w:r>
        <w:t>使常开防火门保持打开状态，在收到指令后释放防火门使其关闭，并将本身的状态信息反馈至监控器的电动装置（以下简称</w:t>
      </w:r>
      <w:r>
        <w:t>“</w:t>
      </w:r>
      <w:r>
        <w:t>释放器</w:t>
      </w:r>
      <w:r>
        <w:t>”</w:t>
      </w:r>
      <w:r>
        <w:t>）。</w:t>
      </w:r>
      <w:r>
        <w:t xml:space="preserve"> </w:t>
      </w:r>
    </w:p>
    <w:p w14:paraId="52202092" w14:textId="77777777" w:rsidR="00A71EEF" w:rsidRDefault="0081115D">
      <w:pPr>
        <w:pStyle w:val="a4"/>
        <w:numPr>
          <w:ilvl w:val="1"/>
          <w:numId w:val="417"/>
        </w:numPr>
        <w:tabs>
          <w:tab w:val="left" w:pos="1213"/>
        </w:tabs>
        <w:spacing w:line="267" w:lineRule="exact"/>
        <w:ind w:hanging="373"/>
        <w:rPr>
          <w:sz w:val="21"/>
        </w:rPr>
      </w:pPr>
      <w:r>
        <w:rPr>
          <w:spacing w:val="10"/>
          <w:sz w:val="21"/>
        </w:rPr>
        <w:t>防火门门磁开关</w:t>
      </w:r>
      <w:r>
        <w:rPr>
          <w:spacing w:val="10"/>
          <w:sz w:val="21"/>
        </w:rPr>
        <w:t xml:space="preserve"> </w:t>
      </w:r>
      <w:r>
        <w:rPr>
          <w:sz w:val="21"/>
        </w:rPr>
        <w:t>magnetic</w:t>
      </w:r>
      <w:r>
        <w:rPr>
          <w:spacing w:val="1"/>
          <w:sz w:val="21"/>
        </w:rPr>
        <w:t xml:space="preserve"> </w:t>
      </w:r>
      <w:r>
        <w:rPr>
          <w:sz w:val="21"/>
        </w:rPr>
        <w:t>contact for</w:t>
      </w:r>
      <w:r>
        <w:rPr>
          <w:spacing w:val="1"/>
          <w:sz w:val="21"/>
        </w:rPr>
        <w:t xml:space="preserve"> </w:t>
      </w:r>
      <w:r>
        <w:rPr>
          <w:sz w:val="21"/>
        </w:rPr>
        <w:t>fire resistant</w:t>
      </w:r>
      <w:r>
        <w:rPr>
          <w:spacing w:val="1"/>
          <w:sz w:val="21"/>
        </w:rPr>
        <w:t xml:space="preserve"> </w:t>
      </w:r>
      <w:r>
        <w:rPr>
          <w:sz w:val="21"/>
        </w:rPr>
        <w:t xml:space="preserve">doorsets </w:t>
      </w:r>
    </w:p>
    <w:p w14:paraId="358E6B10" w14:textId="77777777" w:rsidR="00A71EEF" w:rsidRDefault="00A71EEF">
      <w:pPr>
        <w:pStyle w:val="a3"/>
        <w:spacing w:before="2"/>
        <w:rPr>
          <w:sz w:val="18"/>
        </w:rPr>
      </w:pPr>
    </w:p>
    <w:p w14:paraId="33AE1F7A" w14:textId="77777777" w:rsidR="00A71EEF" w:rsidRDefault="0081115D">
      <w:pPr>
        <w:pStyle w:val="a3"/>
        <w:spacing w:line="446" w:lineRule="auto"/>
        <w:ind w:left="418" w:right="1818" w:firstLine="419"/>
      </w:pPr>
      <w:r>
        <w:t>用于监视防火门的开闭状态，并能将其状态信息反馈至防火门监控器的装置（以下简称</w:t>
      </w:r>
      <w:r>
        <w:t>“</w:t>
      </w:r>
      <w:r>
        <w:t>门磁开关</w:t>
      </w:r>
      <w:r>
        <w:t>”</w:t>
      </w:r>
      <w:r>
        <w:t>）。</w:t>
      </w:r>
      <w:r>
        <w:t xml:space="preserve"> </w:t>
      </w:r>
    </w:p>
    <w:p w14:paraId="39FA5CEB" w14:textId="77777777" w:rsidR="00A71EEF" w:rsidRDefault="0081115D">
      <w:pPr>
        <w:pStyle w:val="a4"/>
        <w:numPr>
          <w:ilvl w:val="1"/>
          <w:numId w:val="417"/>
        </w:numPr>
        <w:tabs>
          <w:tab w:val="left" w:pos="1213"/>
        </w:tabs>
        <w:spacing w:line="267" w:lineRule="exact"/>
        <w:ind w:hanging="373"/>
        <w:rPr>
          <w:sz w:val="21"/>
        </w:rPr>
      </w:pPr>
      <w:r>
        <w:rPr>
          <w:spacing w:val="10"/>
          <w:sz w:val="21"/>
        </w:rPr>
        <w:t>防火门故障状态</w:t>
      </w:r>
      <w:r>
        <w:rPr>
          <w:spacing w:val="10"/>
          <w:sz w:val="21"/>
        </w:rPr>
        <w:t xml:space="preserve"> </w:t>
      </w:r>
      <w:r>
        <w:rPr>
          <w:sz w:val="21"/>
        </w:rPr>
        <w:t>abnormal</w:t>
      </w:r>
      <w:r>
        <w:rPr>
          <w:spacing w:val="1"/>
          <w:sz w:val="21"/>
        </w:rPr>
        <w:t xml:space="preserve"> </w:t>
      </w:r>
      <w:r>
        <w:rPr>
          <w:sz w:val="21"/>
        </w:rPr>
        <w:t>states</w:t>
      </w:r>
      <w:r>
        <w:rPr>
          <w:spacing w:val="-3"/>
          <w:sz w:val="21"/>
        </w:rPr>
        <w:t xml:space="preserve"> </w:t>
      </w:r>
      <w:r>
        <w:rPr>
          <w:sz w:val="21"/>
        </w:rPr>
        <w:t>of</w:t>
      </w:r>
      <w:r>
        <w:rPr>
          <w:spacing w:val="1"/>
          <w:sz w:val="21"/>
        </w:rPr>
        <w:t xml:space="preserve"> </w:t>
      </w:r>
      <w:r>
        <w:rPr>
          <w:sz w:val="21"/>
        </w:rPr>
        <w:t>fire</w:t>
      </w:r>
      <w:r>
        <w:rPr>
          <w:spacing w:val="-2"/>
          <w:sz w:val="21"/>
        </w:rPr>
        <w:t xml:space="preserve"> </w:t>
      </w:r>
      <w:r>
        <w:rPr>
          <w:sz w:val="21"/>
        </w:rPr>
        <w:t xml:space="preserve">resistant doorsets </w:t>
      </w:r>
    </w:p>
    <w:p w14:paraId="54CB75CB" w14:textId="77777777" w:rsidR="00A71EEF" w:rsidRDefault="00A71EEF">
      <w:pPr>
        <w:pStyle w:val="a3"/>
        <w:spacing w:before="2"/>
        <w:rPr>
          <w:sz w:val="18"/>
        </w:rPr>
      </w:pPr>
    </w:p>
    <w:p w14:paraId="1C72BF18" w14:textId="77777777" w:rsidR="00A71EEF" w:rsidRDefault="0081115D">
      <w:pPr>
        <w:pStyle w:val="a3"/>
        <w:ind w:left="838"/>
      </w:pPr>
      <w:r>
        <w:t>防火门处于非正常打开的状态或非正常关闭的状态。</w:t>
      </w:r>
      <w:r>
        <w:t xml:space="preserve"> </w:t>
      </w:r>
    </w:p>
    <w:p w14:paraId="7919C718" w14:textId="77777777" w:rsidR="00A71EEF" w:rsidRDefault="00A71EEF">
      <w:pPr>
        <w:pStyle w:val="a3"/>
        <w:spacing w:before="8"/>
        <w:rPr>
          <w:sz w:val="15"/>
        </w:rPr>
      </w:pPr>
    </w:p>
    <w:p w14:paraId="6CF7D994" w14:textId="77777777" w:rsidR="00A71EEF" w:rsidRDefault="0081115D">
      <w:pPr>
        <w:pStyle w:val="4"/>
        <w:spacing w:before="1"/>
      </w:pPr>
      <w:r>
        <w:t xml:space="preserve">4 </w:t>
      </w:r>
      <w:r>
        <w:t>要求</w:t>
      </w:r>
      <w:r>
        <w:rPr>
          <w:w w:val="99"/>
        </w:rPr>
        <w:t xml:space="preserve"> </w:t>
      </w:r>
    </w:p>
    <w:p w14:paraId="7B62F853" w14:textId="77777777" w:rsidR="00A71EEF" w:rsidRDefault="00A71EEF">
      <w:pPr>
        <w:pStyle w:val="a3"/>
        <w:spacing w:before="3"/>
        <w:rPr>
          <w:b/>
          <w:sz w:val="17"/>
        </w:rPr>
      </w:pPr>
    </w:p>
    <w:p w14:paraId="1EDD8835" w14:textId="77777777" w:rsidR="00A71EEF" w:rsidRDefault="0081115D">
      <w:pPr>
        <w:pStyle w:val="6"/>
        <w:numPr>
          <w:ilvl w:val="1"/>
          <w:numId w:val="416"/>
        </w:numPr>
        <w:tabs>
          <w:tab w:val="left" w:pos="1159"/>
        </w:tabs>
        <w:spacing w:before="1"/>
        <w:ind w:hanging="319"/>
      </w:pPr>
      <w:r>
        <w:t>外观</w:t>
      </w:r>
      <w:r>
        <w:rPr>
          <w:w w:val="99"/>
        </w:rPr>
        <w:t xml:space="preserve"> </w:t>
      </w:r>
    </w:p>
    <w:p w14:paraId="33BF1D11" w14:textId="77777777" w:rsidR="00A71EEF" w:rsidRDefault="00A71EEF">
      <w:pPr>
        <w:pStyle w:val="a3"/>
        <w:spacing w:before="1"/>
        <w:rPr>
          <w:b/>
          <w:sz w:val="18"/>
        </w:rPr>
      </w:pPr>
    </w:p>
    <w:p w14:paraId="45CAD76A" w14:textId="77777777" w:rsidR="00A71EEF" w:rsidRDefault="0081115D">
      <w:pPr>
        <w:pStyle w:val="a3"/>
        <w:spacing w:line="446" w:lineRule="auto"/>
        <w:ind w:left="838" w:right="6654"/>
      </w:pPr>
      <w:r>
        <w:t>监控器的外观应符合下述要求：</w:t>
      </w:r>
      <w:r>
        <w:t xml:space="preserve"> a</w:t>
      </w:r>
      <w:r>
        <w:t>）文字、符号和标志清晰齐全；</w:t>
      </w:r>
      <w:r>
        <w:t xml:space="preserve"> </w:t>
      </w:r>
    </w:p>
    <w:p w14:paraId="11B6C6DE" w14:textId="77777777" w:rsidR="00A71EEF" w:rsidRDefault="0081115D">
      <w:pPr>
        <w:pStyle w:val="a3"/>
        <w:spacing w:line="446" w:lineRule="auto"/>
        <w:ind w:left="838" w:right="1822"/>
        <w:rPr>
          <w:b/>
        </w:rPr>
      </w:pPr>
      <w:r>
        <w:t>b</w:t>
      </w:r>
      <w:r>
        <w:t>）试样表面无腐蚀、涂覆层脱落和起泡现象，无明显划伤、裂痕、毛刺等机械损伤；</w:t>
      </w:r>
      <w:r>
        <w:t xml:space="preserve"> c</w:t>
      </w:r>
      <w:r>
        <w:t>）紧固部位无松动。</w:t>
      </w:r>
      <w:r>
        <w:rPr>
          <w:b/>
          <w:w w:val="99"/>
        </w:rPr>
        <w:t xml:space="preserve"> </w:t>
      </w:r>
    </w:p>
    <w:p w14:paraId="2BF7DF75" w14:textId="77777777" w:rsidR="00A71EEF" w:rsidRDefault="0081115D">
      <w:pPr>
        <w:pStyle w:val="a4"/>
        <w:numPr>
          <w:ilvl w:val="1"/>
          <w:numId w:val="416"/>
        </w:numPr>
        <w:tabs>
          <w:tab w:val="left" w:pos="1159"/>
        </w:tabs>
        <w:ind w:hanging="319"/>
        <w:rPr>
          <w:b/>
          <w:sz w:val="21"/>
        </w:rPr>
      </w:pPr>
      <w:r>
        <w:rPr>
          <w:spacing w:val="-3"/>
          <w:sz w:val="21"/>
        </w:rPr>
        <w:t>主要部件性能</w:t>
      </w:r>
      <w:r>
        <w:rPr>
          <w:b/>
          <w:w w:val="99"/>
          <w:sz w:val="21"/>
        </w:rPr>
        <w:t xml:space="preserve"> </w:t>
      </w:r>
    </w:p>
    <w:p w14:paraId="5F4456CE" w14:textId="77777777" w:rsidR="00A71EEF" w:rsidRDefault="00A71EEF">
      <w:pPr>
        <w:pStyle w:val="a3"/>
        <w:spacing w:before="10"/>
        <w:rPr>
          <w:b/>
          <w:sz w:val="17"/>
        </w:rPr>
      </w:pPr>
    </w:p>
    <w:p w14:paraId="5BC30BBA" w14:textId="77777777" w:rsidR="00A71EEF" w:rsidRDefault="0081115D">
      <w:pPr>
        <w:pStyle w:val="a4"/>
        <w:numPr>
          <w:ilvl w:val="2"/>
          <w:numId w:val="416"/>
        </w:numPr>
        <w:tabs>
          <w:tab w:val="left" w:pos="1370"/>
        </w:tabs>
        <w:spacing w:before="1"/>
        <w:ind w:hanging="530"/>
        <w:rPr>
          <w:b/>
          <w:sz w:val="21"/>
        </w:rPr>
      </w:pPr>
      <w:r>
        <w:rPr>
          <w:spacing w:val="-3"/>
          <w:sz w:val="21"/>
        </w:rPr>
        <w:t>—</w:t>
      </w:r>
      <w:r>
        <w:rPr>
          <w:spacing w:val="-3"/>
          <w:sz w:val="21"/>
        </w:rPr>
        <w:t>般要求</w:t>
      </w:r>
      <w:r>
        <w:rPr>
          <w:b/>
          <w:w w:val="99"/>
          <w:sz w:val="21"/>
        </w:rPr>
        <w:t xml:space="preserve"> </w:t>
      </w:r>
    </w:p>
    <w:p w14:paraId="64A5D82D" w14:textId="77777777" w:rsidR="00A71EEF" w:rsidRDefault="00A71EEF">
      <w:pPr>
        <w:pStyle w:val="a3"/>
        <w:spacing w:before="1"/>
        <w:rPr>
          <w:b/>
          <w:sz w:val="18"/>
        </w:rPr>
      </w:pPr>
    </w:p>
    <w:p w14:paraId="49632EFB" w14:textId="77777777" w:rsidR="00A71EEF" w:rsidRDefault="0081115D">
      <w:pPr>
        <w:pStyle w:val="a3"/>
        <w:spacing w:line="446" w:lineRule="auto"/>
        <w:ind w:left="840" w:right="2242" w:hanging="3"/>
        <w:rPr>
          <w:b/>
        </w:rPr>
      </w:pPr>
      <w:r>
        <w:t>监控器部件应采用符合相关标准的定型产品，同时应符合</w:t>
      </w:r>
      <w:r>
        <w:t xml:space="preserve"> 4.2.2</w:t>
      </w:r>
      <w:r>
        <w:t>～</w:t>
      </w:r>
      <w:r>
        <w:t xml:space="preserve">4.2.6 </w:t>
      </w:r>
      <w:r>
        <w:t>的规定。</w:t>
      </w:r>
      <w:r>
        <w:rPr>
          <w:b/>
        </w:rPr>
        <w:t xml:space="preserve">4.2.2 </w:t>
      </w:r>
      <w:r>
        <w:t>指示灯、显示器</w:t>
      </w:r>
      <w:r>
        <w:rPr>
          <w:b/>
          <w:w w:val="99"/>
        </w:rPr>
        <w:t xml:space="preserve"> </w:t>
      </w:r>
    </w:p>
    <w:p w14:paraId="7D0E3DF4" w14:textId="77777777" w:rsidR="00A71EEF" w:rsidRDefault="0081115D">
      <w:pPr>
        <w:pStyle w:val="a3"/>
        <w:spacing w:line="446" w:lineRule="auto"/>
        <w:ind w:left="418" w:right="1818" w:firstLine="419"/>
      </w:pPr>
      <w:r>
        <w:t xml:space="preserve">4.2.2.1 </w:t>
      </w:r>
      <w:r>
        <w:t>应以红色指示启动信号、电动闭门器和释放器的动作信号和门磁开关的反馈信号；黄色指示</w:t>
      </w:r>
      <w:r>
        <w:t xml:space="preserve"> </w:t>
      </w:r>
    </w:p>
    <w:p w14:paraId="266BB3A0" w14:textId="77777777" w:rsidR="00A71EEF" w:rsidRDefault="0081115D">
      <w:pPr>
        <w:pStyle w:val="a3"/>
        <w:spacing w:line="446" w:lineRule="auto"/>
        <w:ind w:left="838" w:right="3186"/>
      </w:pPr>
      <w:r>
        <w:rPr>
          <w:spacing w:val="-3"/>
        </w:rPr>
        <w:t>故障、自检状态；绿色指示电源工作状态和释放器的反馈信号。</w:t>
      </w:r>
      <w:r>
        <w:rPr>
          <w:spacing w:val="-3"/>
        </w:rPr>
        <w:t xml:space="preserve"> 4.2.2.2 </w:t>
      </w:r>
      <w:r>
        <w:rPr>
          <w:spacing w:val="-3"/>
        </w:rPr>
        <w:t>指示灯、显示器功能应有清晰的中文标注。</w:t>
      </w:r>
      <w:r>
        <w:rPr>
          <w:spacing w:val="-3"/>
        </w:rPr>
        <w:t xml:space="preserve"> </w:t>
      </w:r>
    </w:p>
    <w:p w14:paraId="0CD6CFE1" w14:textId="77777777" w:rsidR="00A71EEF" w:rsidRDefault="0081115D">
      <w:pPr>
        <w:pStyle w:val="a4"/>
        <w:numPr>
          <w:ilvl w:val="3"/>
          <w:numId w:val="415"/>
        </w:numPr>
        <w:tabs>
          <w:tab w:val="left" w:pos="1576"/>
        </w:tabs>
        <w:spacing w:line="446" w:lineRule="auto"/>
        <w:ind w:right="1455" w:firstLine="419"/>
        <w:rPr>
          <w:sz w:val="21"/>
        </w:rPr>
      </w:pPr>
      <w:r>
        <w:rPr>
          <w:spacing w:val="-24"/>
          <w:sz w:val="21"/>
        </w:rPr>
        <w:t>在</w:t>
      </w:r>
      <w:r>
        <w:rPr>
          <w:spacing w:val="-24"/>
          <w:sz w:val="21"/>
        </w:rPr>
        <w:t xml:space="preserve"> </w:t>
      </w:r>
      <w:r>
        <w:rPr>
          <w:sz w:val="21"/>
        </w:rPr>
        <w:t>100</w:t>
      </w:r>
      <w:r>
        <w:rPr>
          <w:sz w:val="21"/>
        </w:rPr>
        <w:t>～</w:t>
      </w:r>
      <w:r>
        <w:rPr>
          <w:sz w:val="21"/>
        </w:rPr>
        <w:t>500lx</w:t>
      </w:r>
      <w:r>
        <w:rPr>
          <w:spacing w:val="-11"/>
          <w:sz w:val="21"/>
        </w:rPr>
        <w:t xml:space="preserve"> </w:t>
      </w:r>
      <w:r>
        <w:rPr>
          <w:spacing w:val="-11"/>
          <w:sz w:val="21"/>
        </w:rPr>
        <w:t>环境光条件下，在正前方</w:t>
      </w:r>
      <w:r>
        <w:rPr>
          <w:spacing w:val="-11"/>
          <w:sz w:val="21"/>
        </w:rPr>
        <w:t xml:space="preserve"> </w:t>
      </w:r>
      <w:r>
        <w:rPr>
          <w:sz w:val="21"/>
        </w:rPr>
        <w:t>22.5</w:t>
      </w:r>
      <w:r>
        <w:rPr>
          <w:spacing w:val="-3"/>
          <w:sz w:val="21"/>
        </w:rPr>
        <w:t>°</w:t>
      </w:r>
      <w:r>
        <w:rPr>
          <w:spacing w:val="-3"/>
          <w:sz w:val="21"/>
        </w:rPr>
        <w:t>视角范围内，状态和电源指示灯、</w:t>
      </w:r>
      <w:r>
        <w:rPr>
          <w:spacing w:val="-12"/>
          <w:sz w:val="21"/>
        </w:rPr>
        <w:t>显示器应在</w:t>
      </w:r>
      <w:r>
        <w:rPr>
          <w:spacing w:val="-12"/>
          <w:sz w:val="21"/>
        </w:rPr>
        <w:t xml:space="preserve"> </w:t>
      </w:r>
      <w:r>
        <w:rPr>
          <w:sz w:val="21"/>
        </w:rPr>
        <w:t>3m</w:t>
      </w:r>
      <w:r>
        <w:rPr>
          <w:spacing w:val="-11"/>
          <w:sz w:val="21"/>
        </w:rPr>
        <w:t xml:space="preserve"> </w:t>
      </w:r>
      <w:r>
        <w:rPr>
          <w:spacing w:val="-11"/>
          <w:sz w:val="21"/>
        </w:rPr>
        <w:t>处清晰可见；其他指示灯显示器显示的字符应在</w:t>
      </w:r>
      <w:r>
        <w:rPr>
          <w:spacing w:val="-11"/>
          <w:sz w:val="21"/>
        </w:rPr>
        <w:t xml:space="preserve"> </w:t>
      </w:r>
      <w:r>
        <w:rPr>
          <w:sz w:val="21"/>
        </w:rPr>
        <w:t>0.8m</w:t>
      </w:r>
      <w:r>
        <w:rPr>
          <w:spacing w:val="-10"/>
          <w:sz w:val="21"/>
        </w:rPr>
        <w:t xml:space="preserve"> </w:t>
      </w:r>
      <w:r>
        <w:rPr>
          <w:spacing w:val="-10"/>
          <w:sz w:val="21"/>
        </w:rPr>
        <w:t>处清晰可读。</w:t>
      </w:r>
      <w:r>
        <w:rPr>
          <w:sz w:val="21"/>
        </w:rPr>
        <w:t xml:space="preserve"> </w:t>
      </w:r>
    </w:p>
    <w:p w14:paraId="27F19A8B" w14:textId="77777777" w:rsidR="00A71EEF" w:rsidRDefault="0081115D">
      <w:pPr>
        <w:pStyle w:val="a4"/>
        <w:numPr>
          <w:ilvl w:val="3"/>
          <w:numId w:val="415"/>
        </w:numPr>
        <w:tabs>
          <w:tab w:val="left" w:pos="1576"/>
        </w:tabs>
        <w:spacing w:line="446" w:lineRule="auto"/>
        <w:ind w:right="1450" w:firstLine="419"/>
        <w:rPr>
          <w:sz w:val="21"/>
        </w:rPr>
      </w:pPr>
      <w:r>
        <w:rPr>
          <w:spacing w:val="-5"/>
          <w:sz w:val="21"/>
        </w:rPr>
        <w:t>采用闪亮方式的指示灯、显示器每次点亮时间应不小于</w:t>
      </w:r>
      <w:r>
        <w:rPr>
          <w:spacing w:val="-5"/>
          <w:sz w:val="21"/>
        </w:rPr>
        <w:t xml:space="preserve"> </w:t>
      </w:r>
      <w:r>
        <w:rPr>
          <w:sz w:val="21"/>
        </w:rPr>
        <w:t>0.25s</w:t>
      </w:r>
      <w:r>
        <w:rPr>
          <w:spacing w:val="-3"/>
          <w:sz w:val="21"/>
        </w:rPr>
        <w:t>，其闪动频率应不小</w:t>
      </w:r>
      <w:r>
        <w:rPr>
          <w:spacing w:val="-28"/>
          <w:sz w:val="21"/>
        </w:rPr>
        <w:t>于</w:t>
      </w:r>
      <w:r>
        <w:rPr>
          <w:spacing w:val="-28"/>
          <w:sz w:val="21"/>
        </w:rPr>
        <w:t xml:space="preserve"> </w:t>
      </w:r>
      <w:r>
        <w:rPr>
          <w:sz w:val="21"/>
        </w:rPr>
        <w:t>1Hz</w:t>
      </w:r>
      <w:r>
        <w:rPr>
          <w:spacing w:val="-3"/>
          <w:sz w:val="21"/>
        </w:rPr>
        <w:t>。</w:t>
      </w:r>
      <w:r>
        <w:rPr>
          <w:sz w:val="21"/>
        </w:rPr>
        <w:t xml:space="preserve"> </w:t>
      </w:r>
    </w:p>
    <w:p w14:paraId="7AC29BFC" w14:textId="77777777" w:rsidR="00A71EEF" w:rsidRDefault="0081115D">
      <w:pPr>
        <w:pStyle w:val="a4"/>
        <w:numPr>
          <w:ilvl w:val="3"/>
          <w:numId w:val="415"/>
        </w:numPr>
        <w:tabs>
          <w:tab w:val="left" w:pos="1576"/>
        </w:tabs>
        <w:ind w:left="1575"/>
        <w:rPr>
          <w:sz w:val="21"/>
        </w:rPr>
      </w:pPr>
      <w:r>
        <w:rPr>
          <w:spacing w:val="-3"/>
          <w:sz w:val="21"/>
        </w:rPr>
        <w:t>用同一个指示灯、显示器显示具体部位的状态时，应能明确、清晰可辨。</w:t>
      </w:r>
      <w:r>
        <w:rPr>
          <w:spacing w:val="-3"/>
          <w:sz w:val="21"/>
        </w:rPr>
        <w:t xml:space="preserve"> </w:t>
      </w:r>
    </w:p>
    <w:p w14:paraId="16E71C6B" w14:textId="77777777" w:rsidR="00A71EEF" w:rsidRDefault="00A71EEF">
      <w:pPr>
        <w:pStyle w:val="a3"/>
        <w:spacing w:before="8"/>
        <w:rPr>
          <w:sz w:val="17"/>
        </w:rPr>
      </w:pPr>
    </w:p>
    <w:p w14:paraId="3B39F0BD" w14:textId="77777777" w:rsidR="00A71EEF" w:rsidRDefault="0081115D">
      <w:pPr>
        <w:pStyle w:val="a4"/>
        <w:numPr>
          <w:ilvl w:val="3"/>
          <w:numId w:val="415"/>
        </w:numPr>
        <w:tabs>
          <w:tab w:val="left" w:pos="1576"/>
        </w:tabs>
        <w:ind w:left="1575"/>
        <w:rPr>
          <w:sz w:val="21"/>
        </w:rPr>
      </w:pPr>
      <w:r>
        <w:rPr>
          <w:spacing w:val="-27"/>
          <w:sz w:val="21"/>
        </w:rPr>
        <w:t>在</w:t>
      </w:r>
      <w:r>
        <w:rPr>
          <w:spacing w:val="-27"/>
          <w:sz w:val="21"/>
        </w:rPr>
        <w:t xml:space="preserve"> </w:t>
      </w:r>
      <w:r>
        <w:rPr>
          <w:sz w:val="21"/>
        </w:rPr>
        <w:t>100</w:t>
      </w:r>
      <w:r>
        <w:rPr>
          <w:sz w:val="21"/>
        </w:rPr>
        <w:t>～</w:t>
      </w:r>
      <w:r>
        <w:rPr>
          <w:sz w:val="21"/>
        </w:rPr>
        <w:t>500lx</w:t>
      </w:r>
      <w:r>
        <w:rPr>
          <w:spacing w:val="-11"/>
          <w:sz w:val="21"/>
        </w:rPr>
        <w:t xml:space="preserve"> </w:t>
      </w:r>
      <w:r>
        <w:rPr>
          <w:spacing w:val="-11"/>
          <w:sz w:val="21"/>
        </w:rPr>
        <w:t>环境光线条件下，显示器显示的字符应在正前方</w:t>
      </w:r>
      <w:r>
        <w:rPr>
          <w:spacing w:val="-11"/>
          <w:sz w:val="21"/>
        </w:rPr>
        <w:t xml:space="preserve"> </w:t>
      </w:r>
      <w:r>
        <w:rPr>
          <w:sz w:val="21"/>
        </w:rPr>
        <w:t>22.5</w:t>
      </w:r>
      <w:r>
        <w:rPr>
          <w:spacing w:val="-1"/>
          <w:sz w:val="21"/>
        </w:rPr>
        <w:t>°</w:t>
      </w:r>
      <w:r>
        <w:rPr>
          <w:spacing w:val="-1"/>
          <w:sz w:val="21"/>
        </w:rPr>
        <w:t>视角内，</w:t>
      </w:r>
    </w:p>
    <w:p w14:paraId="38D56185" w14:textId="77777777" w:rsidR="00A71EEF" w:rsidRDefault="00A71EEF">
      <w:pPr>
        <w:pStyle w:val="a3"/>
        <w:spacing w:before="2"/>
        <w:rPr>
          <w:sz w:val="18"/>
        </w:rPr>
      </w:pPr>
    </w:p>
    <w:p w14:paraId="6D0B0381" w14:textId="77777777" w:rsidR="00A71EEF" w:rsidRDefault="0081115D">
      <w:pPr>
        <w:pStyle w:val="a3"/>
        <w:ind w:left="418"/>
      </w:pPr>
      <w:r>
        <w:t xml:space="preserve">0.8m </w:t>
      </w:r>
      <w:r>
        <w:t>处可读。</w:t>
      </w:r>
      <w:r>
        <w:t xml:space="preserve"> </w:t>
      </w:r>
    </w:p>
    <w:p w14:paraId="5A92640C" w14:textId="77777777" w:rsidR="00A71EEF" w:rsidRDefault="00A71EEF">
      <w:pPr>
        <w:sectPr w:rsidR="00A71EEF">
          <w:pgSz w:w="11910" w:h="16850"/>
          <w:pgMar w:top="1220" w:right="0" w:bottom="1420" w:left="1260" w:header="0" w:footer="1239" w:gutter="0"/>
          <w:cols w:space="720"/>
        </w:sectPr>
      </w:pPr>
    </w:p>
    <w:p w14:paraId="3D1507B0" w14:textId="77777777" w:rsidR="00A71EEF" w:rsidRDefault="0081115D">
      <w:pPr>
        <w:pStyle w:val="a4"/>
        <w:numPr>
          <w:ilvl w:val="2"/>
          <w:numId w:val="414"/>
        </w:numPr>
        <w:tabs>
          <w:tab w:val="left" w:pos="1370"/>
        </w:tabs>
        <w:spacing w:before="47"/>
        <w:ind w:hanging="530"/>
        <w:rPr>
          <w:b/>
          <w:sz w:val="21"/>
        </w:rPr>
      </w:pPr>
      <w:r>
        <w:rPr>
          <w:spacing w:val="-3"/>
          <w:sz w:val="21"/>
        </w:rPr>
        <w:t>熔断器</w:t>
      </w:r>
      <w:r>
        <w:rPr>
          <w:b/>
          <w:w w:val="99"/>
          <w:sz w:val="21"/>
        </w:rPr>
        <w:t xml:space="preserve"> </w:t>
      </w:r>
    </w:p>
    <w:p w14:paraId="6AD4B0EB" w14:textId="77777777" w:rsidR="00A71EEF" w:rsidRDefault="00A71EEF">
      <w:pPr>
        <w:pStyle w:val="a3"/>
        <w:rPr>
          <w:b/>
          <w:sz w:val="18"/>
        </w:rPr>
      </w:pPr>
    </w:p>
    <w:p w14:paraId="7C941A3C" w14:textId="77777777" w:rsidR="00A71EEF" w:rsidRDefault="0081115D">
      <w:pPr>
        <w:pStyle w:val="a3"/>
        <w:spacing w:line="446" w:lineRule="auto"/>
        <w:ind w:left="418" w:right="1508" w:firstLine="419"/>
      </w:pPr>
      <w:r>
        <w:rPr>
          <w:spacing w:val="-5"/>
        </w:rPr>
        <w:t>电源线路的熔断器或其他过电流保护器件的额定电流值不应大于监控器最大工作电流的</w:t>
      </w:r>
      <w:r>
        <w:rPr>
          <w:spacing w:val="-5"/>
        </w:rPr>
        <w:t xml:space="preserve"> </w:t>
      </w:r>
      <w:r>
        <w:t xml:space="preserve">2 </w:t>
      </w:r>
      <w:r>
        <w:rPr>
          <w:spacing w:val="-7"/>
        </w:rPr>
        <w:t>倍；当最大工作电流大于</w:t>
      </w:r>
      <w:r>
        <w:rPr>
          <w:spacing w:val="-7"/>
        </w:rPr>
        <w:t xml:space="preserve"> </w:t>
      </w:r>
      <w:r>
        <w:t>6A</w:t>
      </w:r>
      <w:r>
        <w:rPr>
          <w:spacing w:val="-11"/>
        </w:rPr>
        <w:t xml:space="preserve"> </w:t>
      </w:r>
      <w:r>
        <w:rPr>
          <w:spacing w:val="-11"/>
        </w:rPr>
        <w:t>时，熔断器电流值可取其</w:t>
      </w:r>
      <w:r>
        <w:rPr>
          <w:spacing w:val="-11"/>
        </w:rPr>
        <w:t xml:space="preserve"> </w:t>
      </w:r>
      <w:r>
        <w:t>1.5</w:t>
      </w:r>
      <w:r>
        <w:rPr>
          <w:spacing w:val="-8"/>
        </w:rPr>
        <w:t xml:space="preserve"> </w:t>
      </w:r>
      <w:r>
        <w:rPr>
          <w:spacing w:val="-8"/>
        </w:rPr>
        <w:t>倍，并应在靠近熔断器或其他过电流</w:t>
      </w:r>
      <w:r>
        <w:rPr>
          <w:spacing w:val="-5"/>
        </w:rPr>
        <w:t>保护器件处清楚地标注其参数值。</w:t>
      </w:r>
      <w:r>
        <w:rPr>
          <w:spacing w:val="-5"/>
        </w:rPr>
        <w:t xml:space="preserve"> </w:t>
      </w:r>
      <w:r>
        <w:rPr>
          <w:spacing w:val="-2"/>
        </w:rPr>
        <w:t xml:space="preserve"> </w:t>
      </w:r>
      <w:r>
        <w:t xml:space="preserve"> </w:t>
      </w:r>
      <w:r>
        <w:t xml:space="preserve"> </w:t>
      </w:r>
      <w:r>
        <w:t xml:space="preserve"> </w:t>
      </w:r>
      <w:r>
        <w:rPr>
          <w:spacing w:val="-2"/>
        </w:rPr>
        <w:t xml:space="preserve"> </w:t>
      </w:r>
      <w:r>
        <w:t xml:space="preserve"> </w:t>
      </w:r>
    </w:p>
    <w:p w14:paraId="58BF5B2B" w14:textId="77777777" w:rsidR="00A71EEF" w:rsidRDefault="0081115D">
      <w:pPr>
        <w:pStyle w:val="a4"/>
        <w:numPr>
          <w:ilvl w:val="2"/>
          <w:numId w:val="414"/>
        </w:numPr>
        <w:tabs>
          <w:tab w:val="left" w:pos="1370"/>
        </w:tabs>
        <w:spacing w:line="268" w:lineRule="exact"/>
        <w:ind w:hanging="530"/>
        <w:rPr>
          <w:b/>
          <w:sz w:val="21"/>
        </w:rPr>
      </w:pPr>
      <w:r>
        <w:rPr>
          <w:spacing w:val="-3"/>
          <w:sz w:val="21"/>
        </w:rPr>
        <w:t>接线端子</w:t>
      </w:r>
      <w:r>
        <w:rPr>
          <w:b/>
          <w:w w:val="99"/>
          <w:sz w:val="21"/>
        </w:rPr>
        <w:t xml:space="preserve"> </w:t>
      </w:r>
    </w:p>
    <w:p w14:paraId="401965B3" w14:textId="77777777" w:rsidR="00A71EEF" w:rsidRDefault="00A71EEF">
      <w:pPr>
        <w:pStyle w:val="a3"/>
        <w:rPr>
          <w:b/>
          <w:sz w:val="18"/>
        </w:rPr>
      </w:pPr>
    </w:p>
    <w:p w14:paraId="295F5F24" w14:textId="77777777" w:rsidR="00A71EEF" w:rsidRDefault="0081115D">
      <w:pPr>
        <w:pStyle w:val="a3"/>
        <w:spacing w:line="446" w:lineRule="auto"/>
        <w:ind w:left="840" w:right="1714" w:hanging="3"/>
        <w:rPr>
          <w:b/>
        </w:rPr>
      </w:pPr>
      <w:r>
        <w:t>每一接线端子上都应清晰、牢固地标注其编号或符号，相应用途应在有关文件中说明。</w:t>
      </w:r>
      <w:r>
        <w:rPr>
          <w:b/>
        </w:rPr>
        <w:t xml:space="preserve">4.2.5 </w:t>
      </w:r>
      <w:r>
        <w:t>充电器及备用电源</w:t>
      </w:r>
      <w:r>
        <w:rPr>
          <w:b/>
          <w:w w:val="99"/>
        </w:rPr>
        <w:t xml:space="preserve"> </w:t>
      </w:r>
    </w:p>
    <w:p w14:paraId="4AD1BD1F" w14:textId="77777777" w:rsidR="00A71EEF" w:rsidRDefault="0081115D">
      <w:pPr>
        <w:pStyle w:val="a4"/>
        <w:numPr>
          <w:ilvl w:val="3"/>
          <w:numId w:val="413"/>
        </w:numPr>
        <w:tabs>
          <w:tab w:val="left" w:pos="1576"/>
        </w:tabs>
        <w:rPr>
          <w:sz w:val="21"/>
        </w:rPr>
      </w:pPr>
      <w:r>
        <w:rPr>
          <w:spacing w:val="-3"/>
          <w:sz w:val="21"/>
        </w:rPr>
        <w:t>充电器的电流应不大于备用电源电池生产企业规定的额定值。</w:t>
      </w:r>
      <w:r>
        <w:rPr>
          <w:sz w:val="21"/>
        </w:rPr>
        <w:t xml:space="preserve"> </w:t>
      </w:r>
    </w:p>
    <w:p w14:paraId="6B512E51" w14:textId="77777777" w:rsidR="00A71EEF" w:rsidRDefault="00A71EEF">
      <w:pPr>
        <w:pStyle w:val="a3"/>
        <w:rPr>
          <w:sz w:val="18"/>
        </w:rPr>
      </w:pPr>
    </w:p>
    <w:p w14:paraId="246AD463" w14:textId="77777777" w:rsidR="00A71EEF" w:rsidRDefault="0081115D">
      <w:pPr>
        <w:pStyle w:val="a4"/>
        <w:numPr>
          <w:ilvl w:val="3"/>
          <w:numId w:val="413"/>
        </w:numPr>
        <w:tabs>
          <w:tab w:val="left" w:pos="1576"/>
        </w:tabs>
        <w:rPr>
          <w:sz w:val="21"/>
        </w:rPr>
      </w:pPr>
      <w:r>
        <w:rPr>
          <w:spacing w:val="-3"/>
          <w:sz w:val="21"/>
        </w:rPr>
        <w:t>备用电源正极连接导线为红色，负极为黑色或蓝色。</w:t>
      </w:r>
      <w:r>
        <w:rPr>
          <w:sz w:val="21"/>
        </w:rPr>
        <w:t xml:space="preserve"> </w:t>
      </w:r>
    </w:p>
    <w:p w14:paraId="3162904A" w14:textId="77777777" w:rsidR="00A71EEF" w:rsidRDefault="00A71EEF">
      <w:pPr>
        <w:pStyle w:val="a3"/>
        <w:spacing w:before="1"/>
        <w:rPr>
          <w:sz w:val="18"/>
        </w:rPr>
      </w:pPr>
    </w:p>
    <w:p w14:paraId="2D4634CF" w14:textId="77777777" w:rsidR="00A71EEF" w:rsidRDefault="0081115D">
      <w:pPr>
        <w:spacing w:before="1"/>
        <w:ind w:left="840"/>
        <w:rPr>
          <w:b/>
          <w:sz w:val="21"/>
        </w:rPr>
      </w:pPr>
      <w:r>
        <w:rPr>
          <w:b/>
          <w:sz w:val="21"/>
        </w:rPr>
        <w:t xml:space="preserve">4.2.6 </w:t>
      </w:r>
      <w:r>
        <w:rPr>
          <w:sz w:val="21"/>
        </w:rPr>
        <w:t>开关和按键</w:t>
      </w:r>
      <w:r>
        <w:rPr>
          <w:b/>
          <w:w w:val="99"/>
          <w:sz w:val="21"/>
        </w:rPr>
        <w:t xml:space="preserve"> </w:t>
      </w:r>
    </w:p>
    <w:p w14:paraId="7964BF70" w14:textId="77777777" w:rsidR="00A71EEF" w:rsidRDefault="00A71EEF">
      <w:pPr>
        <w:pStyle w:val="a3"/>
        <w:spacing w:before="12"/>
        <w:rPr>
          <w:b/>
          <w:sz w:val="17"/>
        </w:rPr>
      </w:pPr>
    </w:p>
    <w:p w14:paraId="29112E84" w14:textId="77777777" w:rsidR="00A71EEF" w:rsidRDefault="0081115D">
      <w:pPr>
        <w:spacing w:line="446" w:lineRule="auto"/>
        <w:ind w:left="840" w:right="4446" w:hanging="3"/>
        <w:rPr>
          <w:b/>
          <w:sz w:val="21"/>
        </w:rPr>
      </w:pPr>
      <w:r>
        <w:rPr>
          <w:sz w:val="21"/>
        </w:rPr>
        <w:t>开关和按键上或靠近的位置应用中文清楚的标注其功能。</w:t>
      </w:r>
      <w:r>
        <w:rPr>
          <w:b/>
          <w:sz w:val="21"/>
        </w:rPr>
        <w:t xml:space="preserve">4.3 </w:t>
      </w:r>
      <w:r>
        <w:rPr>
          <w:b/>
          <w:sz w:val="21"/>
        </w:rPr>
        <w:t>整机性能</w:t>
      </w:r>
      <w:r>
        <w:rPr>
          <w:b/>
          <w:w w:val="99"/>
          <w:sz w:val="21"/>
        </w:rPr>
        <w:t xml:space="preserve"> </w:t>
      </w:r>
    </w:p>
    <w:p w14:paraId="13323720" w14:textId="77777777" w:rsidR="00A71EEF" w:rsidRDefault="0081115D">
      <w:pPr>
        <w:pStyle w:val="a4"/>
        <w:numPr>
          <w:ilvl w:val="2"/>
          <w:numId w:val="412"/>
        </w:numPr>
        <w:tabs>
          <w:tab w:val="left" w:pos="1370"/>
        </w:tabs>
        <w:ind w:hanging="530"/>
        <w:rPr>
          <w:b/>
          <w:sz w:val="21"/>
        </w:rPr>
      </w:pPr>
      <w:r>
        <w:rPr>
          <w:spacing w:val="-3"/>
          <w:sz w:val="21"/>
        </w:rPr>
        <w:t>基本功能</w:t>
      </w:r>
      <w:r>
        <w:rPr>
          <w:b/>
          <w:w w:val="99"/>
          <w:sz w:val="21"/>
        </w:rPr>
        <w:t xml:space="preserve"> </w:t>
      </w:r>
    </w:p>
    <w:p w14:paraId="087990CF" w14:textId="77777777" w:rsidR="00A71EEF" w:rsidRDefault="00A71EEF">
      <w:pPr>
        <w:pStyle w:val="a3"/>
        <w:rPr>
          <w:b/>
          <w:sz w:val="18"/>
        </w:rPr>
      </w:pPr>
    </w:p>
    <w:p w14:paraId="3AB501EF" w14:textId="77777777" w:rsidR="00A71EEF" w:rsidRDefault="0081115D">
      <w:pPr>
        <w:pStyle w:val="a4"/>
        <w:numPr>
          <w:ilvl w:val="3"/>
          <w:numId w:val="412"/>
        </w:numPr>
        <w:tabs>
          <w:tab w:val="left" w:pos="1576"/>
        </w:tabs>
        <w:rPr>
          <w:sz w:val="21"/>
        </w:rPr>
      </w:pPr>
      <w:r>
        <w:rPr>
          <w:spacing w:val="-8"/>
          <w:sz w:val="21"/>
        </w:rPr>
        <w:t>监控器主电源应采用</w:t>
      </w:r>
      <w:r>
        <w:rPr>
          <w:spacing w:val="-8"/>
          <w:sz w:val="21"/>
        </w:rPr>
        <w:t xml:space="preserve"> </w:t>
      </w:r>
      <w:r>
        <w:rPr>
          <w:sz w:val="21"/>
        </w:rPr>
        <w:t>220V</w:t>
      </w:r>
      <w:r>
        <w:rPr>
          <w:sz w:val="21"/>
        </w:rPr>
        <w:t>、</w:t>
      </w:r>
      <w:r>
        <w:rPr>
          <w:sz w:val="21"/>
        </w:rPr>
        <w:t>50Hz</w:t>
      </w:r>
      <w:r>
        <w:rPr>
          <w:spacing w:val="-9"/>
          <w:sz w:val="21"/>
        </w:rPr>
        <w:t xml:space="preserve"> </w:t>
      </w:r>
      <w:r>
        <w:rPr>
          <w:spacing w:val="-9"/>
          <w:sz w:val="21"/>
        </w:rPr>
        <w:t>交流电源，电源线输入端应设接线端子。</w:t>
      </w:r>
      <w:r>
        <w:rPr>
          <w:sz w:val="21"/>
        </w:rPr>
        <w:t xml:space="preserve"> </w:t>
      </w:r>
    </w:p>
    <w:p w14:paraId="4D17F229" w14:textId="77777777" w:rsidR="00A71EEF" w:rsidRDefault="00A71EEF">
      <w:pPr>
        <w:pStyle w:val="a3"/>
        <w:spacing w:before="12"/>
        <w:rPr>
          <w:sz w:val="17"/>
        </w:rPr>
      </w:pPr>
    </w:p>
    <w:p w14:paraId="2AB1DB8C" w14:textId="77777777" w:rsidR="00A71EEF" w:rsidRDefault="0081115D">
      <w:pPr>
        <w:pStyle w:val="a4"/>
        <w:numPr>
          <w:ilvl w:val="3"/>
          <w:numId w:val="412"/>
        </w:numPr>
        <w:tabs>
          <w:tab w:val="left" w:pos="1576"/>
        </w:tabs>
        <w:rPr>
          <w:sz w:val="21"/>
        </w:rPr>
      </w:pPr>
      <w:r>
        <w:rPr>
          <w:spacing w:val="-3"/>
          <w:sz w:val="21"/>
        </w:rPr>
        <w:t>监控器为其连接的电动闭门器、释放器和门磁开关供电时，供电电压应采用直流</w:t>
      </w:r>
    </w:p>
    <w:p w14:paraId="04405CBC" w14:textId="77777777" w:rsidR="00A71EEF" w:rsidRDefault="00A71EEF">
      <w:pPr>
        <w:pStyle w:val="a3"/>
        <w:spacing w:before="2"/>
        <w:rPr>
          <w:sz w:val="18"/>
        </w:rPr>
      </w:pPr>
    </w:p>
    <w:p w14:paraId="343247BA" w14:textId="77777777" w:rsidR="00A71EEF" w:rsidRDefault="0081115D">
      <w:pPr>
        <w:pStyle w:val="a3"/>
        <w:ind w:left="418"/>
      </w:pPr>
      <w:r>
        <w:t xml:space="preserve">24V </w:t>
      </w:r>
      <w:r>
        <w:t>或</w:t>
      </w:r>
      <w:r>
        <w:t xml:space="preserve"> 12V</w:t>
      </w:r>
      <w:r>
        <w:t>；电动闭门器、释放器和门磁开关与监控器的接口参数应一致。</w:t>
      </w:r>
      <w:r>
        <w:t xml:space="preserve"> </w:t>
      </w:r>
    </w:p>
    <w:p w14:paraId="07F68397" w14:textId="77777777" w:rsidR="00A71EEF" w:rsidRDefault="00A71EEF">
      <w:pPr>
        <w:pStyle w:val="a3"/>
        <w:spacing w:before="12"/>
        <w:rPr>
          <w:sz w:val="17"/>
        </w:rPr>
      </w:pPr>
    </w:p>
    <w:p w14:paraId="1722E33E" w14:textId="77777777" w:rsidR="00A71EEF" w:rsidRDefault="0081115D">
      <w:pPr>
        <w:pStyle w:val="a4"/>
        <w:numPr>
          <w:ilvl w:val="3"/>
          <w:numId w:val="412"/>
        </w:numPr>
        <w:tabs>
          <w:tab w:val="left" w:pos="1576"/>
        </w:tabs>
        <w:rPr>
          <w:sz w:val="21"/>
        </w:rPr>
      </w:pPr>
      <w:r>
        <w:rPr>
          <w:spacing w:val="-3"/>
          <w:sz w:val="21"/>
        </w:rPr>
        <w:t>监控器应设有保护接地端子。</w:t>
      </w:r>
      <w:r>
        <w:rPr>
          <w:sz w:val="21"/>
        </w:rPr>
        <w:t xml:space="preserve"> </w:t>
      </w:r>
    </w:p>
    <w:p w14:paraId="30747B85" w14:textId="77777777" w:rsidR="00A71EEF" w:rsidRDefault="00A71EEF">
      <w:pPr>
        <w:pStyle w:val="a3"/>
        <w:rPr>
          <w:sz w:val="18"/>
        </w:rPr>
      </w:pPr>
    </w:p>
    <w:p w14:paraId="7FB3676B" w14:textId="77777777" w:rsidR="00A71EEF" w:rsidRDefault="0081115D">
      <w:pPr>
        <w:pStyle w:val="a4"/>
        <w:numPr>
          <w:ilvl w:val="3"/>
          <w:numId w:val="412"/>
        </w:numPr>
        <w:tabs>
          <w:tab w:val="left" w:pos="1576"/>
        </w:tabs>
        <w:rPr>
          <w:sz w:val="21"/>
        </w:rPr>
      </w:pPr>
      <w:r>
        <w:rPr>
          <w:spacing w:val="-3"/>
          <w:sz w:val="21"/>
        </w:rPr>
        <w:t>监控器使用文字显示信息时，应采用中文。</w:t>
      </w:r>
      <w:r>
        <w:rPr>
          <w:spacing w:val="-3"/>
          <w:sz w:val="21"/>
        </w:rPr>
        <w:t xml:space="preserve"> </w:t>
      </w:r>
    </w:p>
    <w:p w14:paraId="2093665D" w14:textId="77777777" w:rsidR="00A71EEF" w:rsidRDefault="00A71EEF">
      <w:pPr>
        <w:pStyle w:val="a3"/>
        <w:spacing w:before="2"/>
        <w:rPr>
          <w:sz w:val="18"/>
        </w:rPr>
      </w:pPr>
    </w:p>
    <w:p w14:paraId="51CAC63D" w14:textId="77777777" w:rsidR="00A71EEF" w:rsidRDefault="0081115D">
      <w:pPr>
        <w:pStyle w:val="a4"/>
        <w:numPr>
          <w:ilvl w:val="3"/>
          <w:numId w:val="412"/>
        </w:numPr>
        <w:tabs>
          <w:tab w:val="left" w:pos="1576"/>
        </w:tabs>
        <w:spacing w:line="446" w:lineRule="auto"/>
        <w:ind w:left="418" w:right="1609" w:firstLine="419"/>
        <w:rPr>
          <w:sz w:val="21"/>
        </w:rPr>
      </w:pPr>
      <w:r>
        <w:rPr>
          <w:spacing w:val="-3"/>
          <w:sz w:val="21"/>
        </w:rPr>
        <w:t>监控器应能显示与其连接的电动闭门器和释放器的开、闭状态，并应有专用状态指示灯。</w:t>
      </w:r>
      <w:r>
        <w:rPr>
          <w:sz w:val="21"/>
        </w:rPr>
        <w:t xml:space="preserve"> </w:t>
      </w:r>
    </w:p>
    <w:p w14:paraId="6B2404CC" w14:textId="77777777" w:rsidR="00A71EEF" w:rsidRDefault="0081115D">
      <w:pPr>
        <w:pStyle w:val="a4"/>
        <w:numPr>
          <w:ilvl w:val="3"/>
          <w:numId w:val="412"/>
        </w:numPr>
        <w:tabs>
          <w:tab w:val="left" w:pos="1576"/>
        </w:tabs>
        <w:spacing w:line="446" w:lineRule="auto"/>
        <w:ind w:left="418" w:right="1609" w:firstLine="419"/>
        <w:rPr>
          <w:sz w:val="21"/>
        </w:rPr>
      </w:pPr>
      <w:r>
        <w:rPr>
          <w:spacing w:val="-3"/>
          <w:sz w:val="21"/>
        </w:rPr>
        <w:t>监控器应能直接控制与其连接的每个电动闭门器和释放器的工作状态，并设启动总指示灯，启动信号发出时，应点亮该指示灯。</w:t>
      </w:r>
      <w:r>
        <w:rPr>
          <w:sz w:val="21"/>
        </w:rPr>
        <w:t xml:space="preserve"> </w:t>
      </w:r>
    </w:p>
    <w:p w14:paraId="5FD902DD" w14:textId="77777777" w:rsidR="00A71EEF" w:rsidRDefault="0081115D">
      <w:pPr>
        <w:pStyle w:val="a4"/>
        <w:numPr>
          <w:ilvl w:val="3"/>
          <w:numId w:val="412"/>
        </w:numPr>
        <w:tabs>
          <w:tab w:val="left" w:pos="1576"/>
        </w:tabs>
        <w:spacing w:line="446" w:lineRule="auto"/>
        <w:ind w:left="418" w:right="1608" w:firstLine="419"/>
        <w:rPr>
          <w:sz w:val="21"/>
        </w:rPr>
      </w:pPr>
      <w:r>
        <w:rPr>
          <w:spacing w:val="-5"/>
          <w:sz w:val="21"/>
        </w:rPr>
        <w:t>监控器应能接收来自火灾自动报警系统的火灾报警信号，并在</w:t>
      </w:r>
      <w:r>
        <w:rPr>
          <w:spacing w:val="-5"/>
          <w:sz w:val="21"/>
        </w:rPr>
        <w:t xml:space="preserve"> </w:t>
      </w:r>
      <w:r>
        <w:rPr>
          <w:sz w:val="21"/>
        </w:rPr>
        <w:t>30s</w:t>
      </w:r>
      <w:r>
        <w:rPr>
          <w:spacing w:val="-9"/>
          <w:sz w:val="21"/>
        </w:rPr>
        <w:t xml:space="preserve"> </w:t>
      </w:r>
      <w:r>
        <w:rPr>
          <w:spacing w:val="-9"/>
          <w:sz w:val="21"/>
        </w:rPr>
        <w:t>内向电动闭门</w:t>
      </w:r>
      <w:r>
        <w:rPr>
          <w:spacing w:val="-5"/>
          <w:sz w:val="21"/>
        </w:rPr>
        <w:t>器或释放器发出启动信号，点亮启动总指示灯。</w:t>
      </w:r>
      <w:r>
        <w:rPr>
          <w:sz w:val="21"/>
        </w:rPr>
        <w:t xml:space="preserve"> </w:t>
      </w:r>
    </w:p>
    <w:p w14:paraId="234FC2C3" w14:textId="77777777" w:rsidR="00A71EEF" w:rsidRDefault="0081115D">
      <w:pPr>
        <w:pStyle w:val="a4"/>
        <w:numPr>
          <w:ilvl w:val="3"/>
          <w:numId w:val="412"/>
        </w:numPr>
        <w:tabs>
          <w:tab w:val="left" w:pos="1576"/>
        </w:tabs>
        <w:spacing w:line="446" w:lineRule="auto"/>
        <w:ind w:left="418" w:right="1608" w:firstLine="419"/>
        <w:jc w:val="both"/>
        <w:rPr>
          <w:sz w:val="21"/>
        </w:rPr>
      </w:pPr>
      <w:r>
        <w:rPr>
          <w:spacing w:val="-5"/>
          <w:sz w:val="21"/>
        </w:rPr>
        <w:t>监控器应在电动闭门器、释放器或门磁开关动作后</w:t>
      </w:r>
      <w:r>
        <w:rPr>
          <w:spacing w:val="-5"/>
          <w:sz w:val="21"/>
        </w:rPr>
        <w:t xml:space="preserve"> </w:t>
      </w:r>
      <w:r>
        <w:rPr>
          <w:sz w:val="21"/>
        </w:rPr>
        <w:t>10s</w:t>
      </w:r>
      <w:r>
        <w:rPr>
          <w:spacing w:val="-8"/>
          <w:sz w:val="21"/>
        </w:rPr>
        <w:t xml:space="preserve"> </w:t>
      </w:r>
      <w:r>
        <w:rPr>
          <w:spacing w:val="-8"/>
          <w:sz w:val="21"/>
        </w:rPr>
        <w:t>内收到反馈信号，并应有</w:t>
      </w:r>
      <w:r>
        <w:rPr>
          <w:spacing w:val="-6"/>
          <w:sz w:val="21"/>
        </w:rPr>
        <w:t>反馈光指示，指示名称或部位，反馈光指示应保持至受控设备恢复；发出启动信号后</w:t>
      </w:r>
      <w:r>
        <w:rPr>
          <w:spacing w:val="-6"/>
          <w:sz w:val="21"/>
        </w:rPr>
        <w:t xml:space="preserve"> </w:t>
      </w:r>
      <w:r>
        <w:rPr>
          <w:sz w:val="21"/>
        </w:rPr>
        <w:t>10s</w:t>
      </w:r>
      <w:r>
        <w:rPr>
          <w:spacing w:val="-14"/>
          <w:sz w:val="21"/>
        </w:rPr>
        <w:t xml:space="preserve"> </w:t>
      </w:r>
      <w:r>
        <w:rPr>
          <w:spacing w:val="-14"/>
          <w:sz w:val="21"/>
        </w:rPr>
        <w:t>内未</w:t>
      </w:r>
      <w:r>
        <w:rPr>
          <w:spacing w:val="-3"/>
          <w:sz w:val="21"/>
        </w:rPr>
        <w:t>收到要求的反馈信号时，应使启动总指示灯闪亮，并显示相应电动闭门器、释放器或门磁开关的部位，保持至监控器收到反馈</w:t>
      </w:r>
      <w:r>
        <w:rPr>
          <w:spacing w:val="-3"/>
          <w:sz w:val="21"/>
        </w:rPr>
        <w:t>信号。</w:t>
      </w:r>
      <w:r>
        <w:rPr>
          <w:sz w:val="21"/>
        </w:rPr>
        <w:t xml:space="preserve"> </w:t>
      </w:r>
    </w:p>
    <w:p w14:paraId="45EF6A96" w14:textId="77777777" w:rsidR="00A71EEF" w:rsidRDefault="00A71EEF">
      <w:pPr>
        <w:spacing w:line="446" w:lineRule="auto"/>
        <w:jc w:val="both"/>
        <w:rPr>
          <w:sz w:val="21"/>
        </w:rPr>
        <w:sectPr w:rsidR="00A71EEF">
          <w:pgSz w:w="11910" w:h="16850"/>
          <w:pgMar w:top="1220" w:right="0" w:bottom="1420" w:left="1260" w:header="0" w:footer="1239" w:gutter="0"/>
          <w:cols w:space="720"/>
        </w:sectPr>
      </w:pPr>
    </w:p>
    <w:p w14:paraId="0CD8DBBB" w14:textId="77777777" w:rsidR="00A71EEF" w:rsidRDefault="0081115D">
      <w:pPr>
        <w:pStyle w:val="a4"/>
        <w:numPr>
          <w:ilvl w:val="3"/>
          <w:numId w:val="412"/>
        </w:numPr>
        <w:tabs>
          <w:tab w:val="left" w:pos="1576"/>
        </w:tabs>
        <w:spacing w:before="47"/>
        <w:rPr>
          <w:sz w:val="21"/>
        </w:rPr>
      </w:pPr>
      <w:r>
        <w:rPr>
          <w:spacing w:val="-3"/>
          <w:sz w:val="21"/>
        </w:rPr>
        <w:t>监控器应有防火门故障状态总指示灯，防火门处于故障状态时，该指示灯应点</w:t>
      </w:r>
    </w:p>
    <w:p w14:paraId="7672433C" w14:textId="77777777" w:rsidR="00A71EEF" w:rsidRDefault="00A71EEF">
      <w:pPr>
        <w:pStyle w:val="a3"/>
        <w:rPr>
          <w:sz w:val="18"/>
        </w:rPr>
      </w:pPr>
    </w:p>
    <w:p w14:paraId="188A5EBE" w14:textId="77777777" w:rsidR="00A71EEF" w:rsidRDefault="0081115D">
      <w:pPr>
        <w:pStyle w:val="a3"/>
        <w:spacing w:line="446" w:lineRule="auto"/>
        <w:ind w:left="418" w:right="1453"/>
      </w:pPr>
      <w:r>
        <w:rPr>
          <w:spacing w:val="-3"/>
        </w:rPr>
        <w:t>亮，并发出声光报警信号。声信号的声压级（</w:t>
      </w:r>
      <w:r>
        <w:rPr>
          <w:spacing w:val="-12"/>
        </w:rPr>
        <w:t>正前方</w:t>
      </w:r>
      <w:r>
        <w:rPr>
          <w:spacing w:val="-12"/>
        </w:rPr>
        <w:t xml:space="preserve"> </w:t>
      </w:r>
      <w:r>
        <w:t>1m</w:t>
      </w:r>
      <w:r>
        <w:rPr>
          <w:spacing w:val="-22"/>
        </w:rPr>
        <w:t xml:space="preserve"> </w:t>
      </w:r>
      <w:r>
        <w:rPr>
          <w:spacing w:val="-22"/>
        </w:rPr>
        <w:t>处</w:t>
      </w:r>
      <w:r>
        <w:rPr>
          <w:spacing w:val="-3"/>
        </w:rPr>
        <w:t>）</w:t>
      </w:r>
      <w:r>
        <w:rPr>
          <w:spacing w:val="-15"/>
        </w:rPr>
        <w:t>应为</w:t>
      </w:r>
      <w:r>
        <w:rPr>
          <w:spacing w:val="-15"/>
        </w:rPr>
        <w:t xml:space="preserve"> </w:t>
      </w:r>
      <w:r>
        <w:t>65dB</w:t>
      </w:r>
      <w:r>
        <w:t>～</w:t>
      </w:r>
      <w:r>
        <w:t>85dB</w:t>
      </w:r>
      <w:r>
        <w:rPr>
          <w:spacing w:val="-3"/>
        </w:rPr>
        <w:t>；故障声信号每分</w:t>
      </w:r>
      <w:r>
        <w:rPr>
          <w:spacing w:val="-12"/>
        </w:rPr>
        <w:t>钟至少提示</w:t>
      </w:r>
      <w:r>
        <w:rPr>
          <w:spacing w:val="-12"/>
        </w:rPr>
        <w:t xml:space="preserve"> </w:t>
      </w:r>
      <w:r>
        <w:t>1</w:t>
      </w:r>
      <w:r>
        <w:rPr>
          <w:spacing w:val="-13"/>
        </w:rPr>
        <w:t xml:space="preserve"> </w:t>
      </w:r>
      <w:r>
        <w:rPr>
          <w:spacing w:val="-13"/>
        </w:rPr>
        <w:t>次，每次持续时间应为</w:t>
      </w:r>
      <w:r>
        <w:rPr>
          <w:spacing w:val="-13"/>
        </w:rPr>
        <w:t xml:space="preserve"> </w:t>
      </w:r>
      <w:r>
        <w:t>1</w:t>
      </w:r>
      <w:r>
        <w:t>～</w:t>
      </w:r>
      <w:r>
        <w:t>3s</w:t>
      </w:r>
      <w:r>
        <w:rPr>
          <w:spacing w:val="-3"/>
        </w:rPr>
        <w:t>。</w:t>
      </w:r>
      <w:r>
        <w:t xml:space="preserve"> </w:t>
      </w:r>
    </w:p>
    <w:p w14:paraId="0F6161F0" w14:textId="77777777" w:rsidR="00A71EEF" w:rsidRDefault="0081115D">
      <w:pPr>
        <w:pStyle w:val="a4"/>
        <w:numPr>
          <w:ilvl w:val="3"/>
          <w:numId w:val="412"/>
        </w:numPr>
        <w:tabs>
          <w:tab w:val="left" w:pos="1682"/>
        </w:tabs>
        <w:spacing w:line="446" w:lineRule="auto"/>
        <w:ind w:left="418" w:right="1505" w:firstLine="419"/>
        <w:rPr>
          <w:sz w:val="21"/>
        </w:rPr>
      </w:pPr>
      <w:r>
        <w:rPr>
          <w:spacing w:val="-3"/>
          <w:sz w:val="21"/>
        </w:rPr>
        <w:t>监控器应能记录与其连接的防火门的状态信息（包括防火门地址，开、闭和故障状态及相应的时间等</w:t>
      </w:r>
      <w:r>
        <w:rPr>
          <w:sz w:val="21"/>
        </w:rPr>
        <w:t>）</w:t>
      </w:r>
      <w:r>
        <w:rPr>
          <w:spacing w:val="-8"/>
          <w:sz w:val="21"/>
        </w:rPr>
        <w:t>，记录容量不应少于</w:t>
      </w:r>
      <w:r>
        <w:rPr>
          <w:spacing w:val="-8"/>
          <w:sz w:val="21"/>
        </w:rPr>
        <w:t xml:space="preserve"> </w:t>
      </w:r>
      <w:r>
        <w:rPr>
          <w:sz w:val="21"/>
        </w:rPr>
        <w:t>10000</w:t>
      </w:r>
      <w:r>
        <w:rPr>
          <w:spacing w:val="-9"/>
          <w:sz w:val="21"/>
        </w:rPr>
        <w:t xml:space="preserve"> </w:t>
      </w:r>
      <w:r>
        <w:rPr>
          <w:spacing w:val="-9"/>
          <w:sz w:val="21"/>
        </w:rPr>
        <w:t>条，并具有将上述信息上传的功能。</w:t>
      </w:r>
      <w:r>
        <w:rPr>
          <w:spacing w:val="-9"/>
          <w:sz w:val="21"/>
        </w:rPr>
        <w:t xml:space="preserve"> </w:t>
      </w:r>
    </w:p>
    <w:p w14:paraId="25F6EF88" w14:textId="77777777" w:rsidR="00A71EEF" w:rsidRDefault="0081115D">
      <w:pPr>
        <w:pStyle w:val="a4"/>
        <w:numPr>
          <w:ilvl w:val="2"/>
          <w:numId w:val="412"/>
        </w:numPr>
        <w:tabs>
          <w:tab w:val="left" w:pos="1370"/>
        </w:tabs>
        <w:spacing w:line="267" w:lineRule="exact"/>
        <w:ind w:hanging="530"/>
        <w:rPr>
          <w:b/>
          <w:sz w:val="21"/>
        </w:rPr>
      </w:pPr>
      <w:r>
        <w:rPr>
          <w:spacing w:val="-3"/>
          <w:sz w:val="21"/>
        </w:rPr>
        <w:t>自检功能</w:t>
      </w:r>
      <w:r>
        <w:rPr>
          <w:b/>
          <w:w w:val="99"/>
          <w:sz w:val="21"/>
        </w:rPr>
        <w:t xml:space="preserve"> </w:t>
      </w:r>
    </w:p>
    <w:p w14:paraId="0D5008DB" w14:textId="77777777" w:rsidR="00A71EEF" w:rsidRDefault="00A71EEF">
      <w:pPr>
        <w:pStyle w:val="a3"/>
        <w:spacing w:before="2"/>
        <w:rPr>
          <w:b/>
          <w:sz w:val="18"/>
        </w:rPr>
      </w:pPr>
    </w:p>
    <w:p w14:paraId="527061DF" w14:textId="77777777" w:rsidR="00A71EEF" w:rsidRDefault="0081115D">
      <w:pPr>
        <w:pStyle w:val="a3"/>
        <w:spacing w:line="446" w:lineRule="auto"/>
        <w:ind w:left="418" w:right="1609" w:firstLine="419"/>
      </w:pPr>
      <w:r>
        <w:t>监控器应能对其音响部件及状态指示灯、显示器进行功能检查。监控器执行自检时，应不造成与其相连的外部设备动作。</w:t>
      </w:r>
      <w:r>
        <w:t xml:space="preserve"> </w:t>
      </w:r>
    </w:p>
    <w:p w14:paraId="3C677736" w14:textId="77777777" w:rsidR="00A71EEF" w:rsidRDefault="0081115D">
      <w:pPr>
        <w:pStyle w:val="a4"/>
        <w:numPr>
          <w:ilvl w:val="2"/>
          <w:numId w:val="412"/>
        </w:numPr>
        <w:tabs>
          <w:tab w:val="left" w:pos="1370"/>
        </w:tabs>
        <w:spacing w:line="267" w:lineRule="exact"/>
        <w:ind w:hanging="530"/>
        <w:rPr>
          <w:b/>
          <w:sz w:val="21"/>
        </w:rPr>
      </w:pPr>
      <w:r>
        <w:rPr>
          <w:spacing w:val="-3"/>
          <w:sz w:val="21"/>
        </w:rPr>
        <w:t>备用电源功能</w:t>
      </w:r>
      <w:r>
        <w:rPr>
          <w:b/>
          <w:w w:val="99"/>
          <w:sz w:val="21"/>
        </w:rPr>
        <w:t xml:space="preserve"> </w:t>
      </w:r>
    </w:p>
    <w:p w14:paraId="68552C3B" w14:textId="77777777" w:rsidR="00A71EEF" w:rsidRDefault="00A71EEF">
      <w:pPr>
        <w:pStyle w:val="a3"/>
        <w:spacing w:before="2"/>
        <w:rPr>
          <w:b/>
          <w:sz w:val="18"/>
        </w:rPr>
      </w:pPr>
    </w:p>
    <w:p w14:paraId="268EB691" w14:textId="77777777" w:rsidR="00A71EEF" w:rsidRDefault="0081115D">
      <w:pPr>
        <w:pStyle w:val="a4"/>
        <w:numPr>
          <w:ilvl w:val="3"/>
          <w:numId w:val="412"/>
        </w:numPr>
        <w:tabs>
          <w:tab w:val="left" w:pos="1576"/>
        </w:tabs>
        <w:spacing w:line="446" w:lineRule="auto"/>
        <w:ind w:left="838" w:right="4866" w:firstLine="0"/>
        <w:rPr>
          <w:sz w:val="21"/>
        </w:rPr>
      </w:pPr>
      <w:r>
        <w:rPr>
          <w:spacing w:val="-3"/>
          <w:sz w:val="21"/>
        </w:rPr>
        <w:t>监控器应配有备用电源，并符合下述要求：</w:t>
      </w:r>
      <w:r>
        <w:rPr>
          <w:spacing w:val="-3"/>
          <w:sz w:val="21"/>
        </w:rPr>
        <w:t xml:space="preserve"> a</w:t>
      </w:r>
      <w:r>
        <w:rPr>
          <w:spacing w:val="-3"/>
          <w:sz w:val="21"/>
        </w:rPr>
        <w:t>）</w:t>
      </w:r>
      <w:r>
        <w:rPr>
          <w:spacing w:val="-3"/>
          <w:sz w:val="21"/>
        </w:rPr>
        <w:t xml:space="preserve"> </w:t>
      </w:r>
      <w:r>
        <w:rPr>
          <w:spacing w:val="-3"/>
          <w:sz w:val="21"/>
        </w:rPr>
        <w:t>备用电源应采用密封、免维护充电电池。</w:t>
      </w:r>
      <w:r>
        <w:rPr>
          <w:sz w:val="21"/>
        </w:rPr>
        <w:t xml:space="preserve"> </w:t>
      </w:r>
    </w:p>
    <w:p w14:paraId="4BFE9811" w14:textId="77777777" w:rsidR="00A71EEF" w:rsidRDefault="0081115D">
      <w:pPr>
        <w:pStyle w:val="a4"/>
        <w:numPr>
          <w:ilvl w:val="0"/>
          <w:numId w:val="411"/>
        </w:numPr>
        <w:tabs>
          <w:tab w:val="left" w:pos="1156"/>
        </w:tabs>
        <w:spacing w:line="446" w:lineRule="auto"/>
        <w:ind w:right="4184" w:firstLine="0"/>
        <w:rPr>
          <w:sz w:val="21"/>
        </w:rPr>
      </w:pPr>
      <w:r>
        <w:rPr>
          <w:spacing w:val="-5"/>
          <w:sz w:val="21"/>
        </w:rPr>
        <w:t>电池容量应保证监控器在下述情况下正常可靠工作</w:t>
      </w:r>
      <w:r>
        <w:rPr>
          <w:spacing w:val="-5"/>
          <w:sz w:val="21"/>
        </w:rPr>
        <w:t xml:space="preserve"> </w:t>
      </w:r>
      <w:r>
        <w:rPr>
          <w:sz w:val="21"/>
        </w:rPr>
        <w:t>3h</w:t>
      </w:r>
      <w:r>
        <w:rPr>
          <w:sz w:val="21"/>
        </w:rPr>
        <w:t>：</w:t>
      </w:r>
      <w:r>
        <w:rPr>
          <w:sz w:val="21"/>
        </w:rPr>
        <w:t xml:space="preserve"> 1</w:t>
      </w:r>
      <w:r>
        <w:rPr>
          <w:sz w:val="21"/>
        </w:rPr>
        <w:t>）</w:t>
      </w:r>
      <w:r>
        <w:rPr>
          <w:spacing w:val="-3"/>
          <w:sz w:val="21"/>
        </w:rPr>
        <w:t xml:space="preserve"> </w:t>
      </w:r>
      <w:r>
        <w:rPr>
          <w:spacing w:val="-3"/>
          <w:sz w:val="21"/>
        </w:rPr>
        <w:t>监控器处于通电工作状态；</w:t>
      </w:r>
      <w:r>
        <w:rPr>
          <w:sz w:val="21"/>
        </w:rPr>
        <w:t xml:space="preserve"> </w:t>
      </w:r>
    </w:p>
    <w:p w14:paraId="011C9148" w14:textId="77777777" w:rsidR="00A71EEF" w:rsidRDefault="0081115D">
      <w:pPr>
        <w:pStyle w:val="a3"/>
        <w:ind w:left="838"/>
      </w:pPr>
      <w:r>
        <w:t>2</w:t>
      </w:r>
      <w:r>
        <w:t>）</w:t>
      </w:r>
      <w:r>
        <w:t xml:space="preserve"> </w:t>
      </w:r>
      <w:r>
        <w:t>提供防火门开启以及关闭所需的电源。</w:t>
      </w:r>
      <w:r>
        <w:t xml:space="preserve"> </w:t>
      </w:r>
    </w:p>
    <w:p w14:paraId="3FFE271C" w14:textId="77777777" w:rsidR="00A71EEF" w:rsidRDefault="00A71EEF">
      <w:pPr>
        <w:pStyle w:val="a3"/>
        <w:spacing w:before="10"/>
        <w:rPr>
          <w:sz w:val="17"/>
        </w:rPr>
      </w:pPr>
    </w:p>
    <w:p w14:paraId="142F409B" w14:textId="77777777" w:rsidR="00A71EEF" w:rsidRDefault="0081115D">
      <w:pPr>
        <w:pStyle w:val="a4"/>
        <w:numPr>
          <w:ilvl w:val="0"/>
          <w:numId w:val="411"/>
        </w:numPr>
        <w:tabs>
          <w:tab w:val="left" w:pos="1156"/>
        </w:tabs>
        <w:spacing w:line="446" w:lineRule="auto"/>
        <w:ind w:left="418" w:right="1609" w:firstLine="419"/>
        <w:rPr>
          <w:sz w:val="21"/>
        </w:rPr>
      </w:pPr>
      <w:r>
        <w:rPr>
          <w:spacing w:val="-3"/>
          <w:sz w:val="21"/>
        </w:rPr>
        <w:t>有防止电池过充电、过放电的功能；在不超过生产厂规定的电池极限放电情况下，应</w:t>
      </w:r>
      <w:r>
        <w:rPr>
          <w:spacing w:val="-20"/>
          <w:sz w:val="21"/>
        </w:rPr>
        <w:t>能在</w:t>
      </w:r>
      <w:r>
        <w:rPr>
          <w:spacing w:val="-20"/>
          <w:sz w:val="21"/>
        </w:rPr>
        <w:t xml:space="preserve"> </w:t>
      </w:r>
      <w:r>
        <w:rPr>
          <w:sz w:val="21"/>
        </w:rPr>
        <w:t>24h</w:t>
      </w:r>
      <w:r>
        <w:rPr>
          <w:spacing w:val="-9"/>
          <w:sz w:val="21"/>
        </w:rPr>
        <w:t xml:space="preserve"> </w:t>
      </w:r>
      <w:r>
        <w:rPr>
          <w:spacing w:val="-9"/>
          <w:sz w:val="21"/>
        </w:rPr>
        <w:t>内完成对电池的充电。</w:t>
      </w:r>
      <w:r>
        <w:rPr>
          <w:sz w:val="21"/>
        </w:rPr>
        <w:t xml:space="preserve"> </w:t>
      </w:r>
    </w:p>
    <w:p w14:paraId="73CE3AAB" w14:textId="77777777" w:rsidR="00A71EEF" w:rsidRDefault="0081115D">
      <w:pPr>
        <w:pStyle w:val="a4"/>
        <w:numPr>
          <w:ilvl w:val="3"/>
          <w:numId w:val="412"/>
        </w:numPr>
        <w:tabs>
          <w:tab w:val="left" w:pos="1576"/>
        </w:tabs>
        <w:spacing w:line="446" w:lineRule="auto"/>
        <w:ind w:left="418" w:right="1609" w:firstLine="419"/>
        <w:rPr>
          <w:sz w:val="21"/>
        </w:rPr>
      </w:pPr>
      <w:r>
        <w:rPr>
          <w:spacing w:val="-3"/>
          <w:sz w:val="21"/>
        </w:rPr>
        <w:t>监控器应有主、备电源转换功能。主、备电源的工作状态应有指示，主、备电源的转换应不使监控器发生误动作。</w:t>
      </w:r>
      <w:r>
        <w:rPr>
          <w:sz w:val="21"/>
        </w:rPr>
        <w:t xml:space="preserve"> </w:t>
      </w:r>
    </w:p>
    <w:p w14:paraId="49ADB372" w14:textId="77777777" w:rsidR="00A71EEF" w:rsidRDefault="0081115D">
      <w:pPr>
        <w:pStyle w:val="a4"/>
        <w:numPr>
          <w:ilvl w:val="2"/>
          <w:numId w:val="412"/>
        </w:numPr>
        <w:tabs>
          <w:tab w:val="left" w:pos="1370"/>
        </w:tabs>
        <w:ind w:hanging="530"/>
        <w:rPr>
          <w:b/>
          <w:sz w:val="21"/>
        </w:rPr>
      </w:pPr>
      <w:r>
        <w:rPr>
          <w:spacing w:val="-3"/>
          <w:sz w:val="21"/>
        </w:rPr>
        <w:t>故障报警功能</w:t>
      </w:r>
      <w:r>
        <w:rPr>
          <w:b/>
          <w:w w:val="99"/>
          <w:sz w:val="21"/>
        </w:rPr>
        <w:t xml:space="preserve"> </w:t>
      </w:r>
    </w:p>
    <w:p w14:paraId="27CA0A09" w14:textId="77777777" w:rsidR="00A71EEF" w:rsidRDefault="00A71EEF">
      <w:pPr>
        <w:pStyle w:val="a3"/>
        <w:rPr>
          <w:b/>
          <w:sz w:val="18"/>
        </w:rPr>
      </w:pPr>
    </w:p>
    <w:p w14:paraId="0CEFCB26" w14:textId="77777777" w:rsidR="00A71EEF" w:rsidRDefault="0081115D">
      <w:pPr>
        <w:pStyle w:val="a3"/>
        <w:spacing w:line="446" w:lineRule="auto"/>
        <w:ind w:left="418" w:right="1505" w:firstLine="419"/>
      </w:pPr>
      <w:r>
        <w:rPr>
          <w:spacing w:val="-6"/>
        </w:rPr>
        <w:t>有下述故障时，监控器应在</w:t>
      </w:r>
      <w:r>
        <w:rPr>
          <w:spacing w:val="-6"/>
        </w:rPr>
        <w:t xml:space="preserve"> </w:t>
      </w:r>
      <w:r>
        <w:t>100s</w:t>
      </w:r>
      <w:r>
        <w:rPr>
          <w:spacing w:val="-7"/>
        </w:rPr>
        <w:t xml:space="preserve"> </w:t>
      </w:r>
      <w:r>
        <w:rPr>
          <w:spacing w:val="-7"/>
        </w:rPr>
        <w:t>内发出与报警信号有明显区别的声、光故障信号，故障声</w:t>
      </w:r>
      <w:r>
        <w:rPr>
          <w:spacing w:val="-5"/>
        </w:rPr>
        <w:t>信号应能手动消除，再有故障信号输入时，应能再启动；故障光信号应保持至故障排除：</w:t>
      </w:r>
      <w:r>
        <w:t xml:space="preserve"> </w:t>
      </w:r>
    </w:p>
    <w:p w14:paraId="6651160B" w14:textId="77777777" w:rsidR="00A71EEF" w:rsidRDefault="0081115D">
      <w:pPr>
        <w:pStyle w:val="a4"/>
        <w:numPr>
          <w:ilvl w:val="0"/>
          <w:numId w:val="410"/>
        </w:numPr>
        <w:tabs>
          <w:tab w:val="left" w:pos="1156"/>
        </w:tabs>
        <w:rPr>
          <w:sz w:val="21"/>
        </w:rPr>
      </w:pPr>
      <w:r>
        <w:rPr>
          <w:spacing w:val="-3"/>
          <w:sz w:val="21"/>
        </w:rPr>
        <w:t>监控器的主电源断电；</w:t>
      </w:r>
      <w:r>
        <w:rPr>
          <w:sz w:val="21"/>
        </w:rPr>
        <w:t xml:space="preserve"> </w:t>
      </w:r>
    </w:p>
    <w:p w14:paraId="4FC78866" w14:textId="77777777" w:rsidR="00A71EEF" w:rsidRDefault="00A71EEF">
      <w:pPr>
        <w:pStyle w:val="a3"/>
        <w:spacing w:before="12"/>
        <w:rPr>
          <w:sz w:val="17"/>
        </w:rPr>
      </w:pPr>
    </w:p>
    <w:p w14:paraId="34C89A2E" w14:textId="77777777" w:rsidR="00A71EEF" w:rsidRDefault="0081115D">
      <w:pPr>
        <w:pStyle w:val="a4"/>
        <w:numPr>
          <w:ilvl w:val="0"/>
          <w:numId w:val="410"/>
        </w:numPr>
        <w:tabs>
          <w:tab w:val="left" w:pos="1156"/>
        </w:tabs>
        <w:spacing w:line="446" w:lineRule="auto"/>
        <w:ind w:left="838" w:right="3397" w:firstLine="0"/>
        <w:rPr>
          <w:sz w:val="21"/>
        </w:rPr>
      </w:pPr>
      <w:r>
        <w:rPr>
          <w:spacing w:val="-3"/>
          <w:sz w:val="21"/>
        </w:rPr>
        <w:t>监控器与电动闭门器、释放器、门磁开关间连接线断路、短路；</w:t>
      </w:r>
      <w:r>
        <w:rPr>
          <w:spacing w:val="-3"/>
          <w:sz w:val="21"/>
        </w:rPr>
        <w:t xml:space="preserve"> </w:t>
      </w:r>
      <w:r>
        <w:rPr>
          <w:sz w:val="21"/>
        </w:rPr>
        <w:t>c</w:t>
      </w:r>
      <w:r>
        <w:rPr>
          <w:sz w:val="21"/>
        </w:rPr>
        <w:t>）</w:t>
      </w:r>
      <w:r>
        <w:rPr>
          <w:spacing w:val="-3"/>
          <w:sz w:val="21"/>
        </w:rPr>
        <w:t>电动闭门器、释放器、门磁开关的供电电源故障；</w:t>
      </w:r>
      <w:r>
        <w:rPr>
          <w:spacing w:val="-3"/>
          <w:sz w:val="21"/>
        </w:rPr>
        <w:t xml:space="preserve"> </w:t>
      </w:r>
    </w:p>
    <w:p w14:paraId="0ECFAA7C" w14:textId="77777777" w:rsidR="00A71EEF" w:rsidRDefault="0081115D">
      <w:pPr>
        <w:pStyle w:val="a3"/>
        <w:spacing w:line="446" w:lineRule="auto"/>
        <w:ind w:left="838" w:right="5077"/>
      </w:pPr>
      <w:r>
        <w:t>d</w:t>
      </w:r>
      <w:r>
        <w:t>）</w:t>
      </w:r>
      <w:r>
        <w:t xml:space="preserve"> </w:t>
      </w:r>
      <w:r>
        <w:t>备用电源与充电器之间的连接线断路、短路；</w:t>
      </w:r>
      <w:r>
        <w:t xml:space="preserve"> e</w:t>
      </w:r>
      <w:r>
        <w:t>）</w:t>
      </w:r>
      <w:r>
        <w:t xml:space="preserve"> </w:t>
      </w:r>
      <w:r>
        <w:t>备用电源故障。</w:t>
      </w:r>
      <w:r>
        <w:t xml:space="preserve"> </w:t>
      </w:r>
    </w:p>
    <w:p w14:paraId="4FCC0D5F" w14:textId="77777777" w:rsidR="00A71EEF" w:rsidRDefault="0081115D">
      <w:pPr>
        <w:pStyle w:val="a4"/>
        <w:numPr>
          <w:ilvl w:val="1"/>
          <w:numId w:val="409"/>
        </w:numPr>
        <w:tabs>
          <w:tab w:val="left" w:pos="1159"/>
        </w:tabs>
        <w:spacing w:line="267" w:lineRule="exact"/>
        <w:ind w:hanging="319"/>
        <w:jc w:val="left"/>
        <w:rPr>
          <w:b/>
          <w:sz w:val="21"/>
        </w:rPr>
      </w:pPr>
      <w:r>
        <w:rPr>
          <w:spacing w:val="-3"/>
          <w:sz w:val="21"/>
        </w:rPr>
        <w:t>绝缘电阻</w:t>
      </w:r>
      <w:r>
        <w:rPr>
          <w:b/>
          <w:w w:val="99"/>
          <w:sz w:val="21"/>
        </w:rPr>
        <w:t xml:space="preserve"> </w:t>
      </w:r>
    </w:p>
    <w:p w14:paraId="6229C36F" w14:textId="77777777" w:rsidR="00A71EEF" w:rsidRDefault="00A71EEF">
      <w:pPr>
        <w:spacing w:line="267" w:lineRule="exact"/>
        <w:rPr>
          <w:sz w:val="21"/>
        </w:rPr>
        <w:sectPr w:rsidR="00A71EEF">
          <w:pgSz w:w="11910" w:h="16850"/>
          <w:pgMar w:top="1220" w:right="0" w:bottom="1420" w:left="1260" w:header="0" w:footer="1239" w:gutter="0"/>
          <w:cols w:space="720"/>
        </w:sectPr>
      </w:pPr>
    </w:p>
    <w:p w14:paraId="773B75ED" w14:textId="77777777" w:rsidR="00A71EEF" w:rsidRDefault="0081115D">
      <w:pPr>
        <w:pStyle w:val="a3"/>
        <w:spacing w:before="47" w:line="446" w:lineRule="auto"/>
        <w:ind w:left="418" w:right="1391" w:firstLine="419"/>
      </w:pPr>
      <w:r>
        <w:t>监控器有绝缘要求的外部带电端子与机壳间的绝缘电阻值应不小于</w:t>
      </w:r>
      <w:r>
        <w:t xml:space="preserve"> 20MΩ</w:t>
      </w:r>
      <w:r>
        <w:t>；电源输入端与机壳间的绝缘电阻值应不小于</w:t>
      </w:r>
      <w:r>
        <w:t xml:space="preserve"> 50MΩ</w:t>
      </w:r>
      <w:r>
        <w:t>。</w:t>
      </w:r>
      <w:r>
        <w:t xml:space="preserve"> </w:t>
      </w:r>
    </w:p>
    <w:p w14:paraId="3F2807EC" w14:textId="77777777" w:rsidR="00A71EEF" w:rsidRDefault="0081115D">
      <w:pPr>
        <w:pStyle w:val="a4"/>
        <w:numPr>
          <w:ilvl w:val="1"/>
          <w:numId w:val="409"/>
        </w:numPr>
        <w:tabs>
          <w:tab w:val="left" w:pos="1159"/>
        </w:tabs>
        <w:spacing w:line="267" w:lineRule="exact"/>
        <w:ind w:hanging="319"/>
        <w:jc w:val="left"/>
        <w:rPr>
          <w:sz w:val="21"/>
        </w:rPr>
      </w:pPr>
      <w:r>
        <w:rPr>
          <w:spacing w:val="-3"/>
          <w:sz w:val="21"/>
        </w:rPr>
        <w:t>电气强度</w:t>
      </w:r>
      <w:r>
        <w:rPr>
          <w:sz w:val="21"/>
        </w:rPr>
        <w:t xml:space="preserve"> </w:t>
      </w:r>
    </w:p>
    <w:p w14:paraId="7DC4C844" w14:textId="77777777" w:rsidR="00A71EEF" w:rsidRDefault="00A71EEF">
      <w:pPr>
        <w:pStyle w:val="a3"/>
        <w:rPr>
          <w:sz w:val="20"/>
        </w:rPr>
      </w:pPr>
    </w:p>
    <w:p w14:paraId="0143C940" w14:textId="77777777" w:rsidR="00A71EEF" w:rsidRDefault="00A71EEF">
      <w:pPr>
        <w:pStyle w:val="a3"/>
        <w:rPr>
          <w:sz w:val="20"/>
        </w:rPr>
      </w:pPr>
    </w:p>
    <w:p w14:paraId="208C4922" w14:textId="77777777" w:rsidR="00A71EEF" w:rsidRDefault="00A71EEF">
      <w:pPr>
        <w:pStyle w:val="a3"/>
        <w:rPr>
          <w:sz w:val="20"/>
        </w:rPr>
      </w:pPr>
    </w:p>
    <w:p w14:paraId="40DE6FA0" w14:textId="77777777" w:rsidR="00A71EEF" w:rsidRDefault="00A71EEF">
      <w:pPr>
        <w:pStyle w:val="a3"/>
        <w:rPr>
          <w:sz w:val="20"/>
        </w:rPr>
      </w:pPr>
    </w:p>
    <w:p w14:paraId="306D1D0A" w14:textId="77777777" w:rsidR="00A71EEF" w:rsidRDefault="00A71EEF">
      <w:pPr>
        <w:pStyle w:val="a3"/>
        <w:spacing w:before="1"/>
        <w:rPr>
          <w:sz w:val="16"/>
        </w:rPr>
      </w:pPr>
    </w:p>
    <w:p w14:paraId="64FFC493" w14:textId="77777777" w:rsidR="00A71EEF" w:rsidRDefault="0081115D">
      <w:pPr>
        <w:pStyle w:val="a3"/>
        <w:spacing w:line="446" w:lineRule="auto"/>
        <w:ind w:left="418" w:right="1767" w:firstLine="419"/>
        <w:jc w:val="both"/>
      </w:pPr>
      <w:r>
        <w:rPr>
          <w:spacing w:val="-6"/>
        </w:rPr>
        <w:t>监控器的电源插头与机壳间应能耐受频率为</w:t>
      </w:r>
      <w:r>
        <w:rPr>
          <w:spacing w:val="-6"/>
        </w:rPr>
        <w:t xml:space="preserve"> </w:t>
      </w:r>
      <w:r>
        <w:t>50Hz</w:t>
      </w:r>
      <w:r>
        <w:t>，</w:t>
      </w:r>
      <w:r>
        <w:rPr>
          <w:spacing w:val="-8"/>
        </w:rPr>
        <w:t>有效值电压为</w:t>
      </w:r>
      <w:r>
        <w:rPr>
          <w:spacing w:val="-8"/>
        </w:rPr>
        <w:t xml:space="preserve"> </w:t>
      </w:r>
      <w:r>
        <w:t>1250V</w:t>
      </w:r>
      <w:r>
        <w:rPr>
          <w:spacing w:val="-8"/>
        </w:rPr>
        <w:t xml:space="preserve"> </w:t>
      </w:r>
      <w:r>
        <w:rPr>
          <w:spacing w:val="-8"/>
        </w:rPr>
        <w:t>的交流电压历时</w:t>
      </w:r>
      <w:r>
        <w:rPr>
          <w:spacing w:val="-8"/>
        </w:rPr>
        <w:t>1min</w:t>
      </w:r>
      <w:r>
        <w:rPr>
          <w:spacing w:val="-5"/>
        </w:rPr>
        <w:t xml:space="preserve"> </w:t>
      </w:r>
      <w:r>
        <w:rPr>
          <w:spacing w:val="-5"/>
        </w:rPr>
        <w:t>的电气强度试验。试验期间，不应发生击穿现象；试验后，基本功能应与试验前保持一</w:t>
      </w:r>
      <w:r>
        <w:rPr>
          <w:spacing w:val="-4"/>
        </w:rPr>
        <w:t>致。</w:t>
      </w:r>
      <w:r>
        <w:t xml:space="preserve"> </w:t>
      </w:r>
    </w:p>
    <w:p w14:paraId="4325213B" w14:textId="77777777" w:rsidR="00A71EEF" w:rsidRDefault="0081115D">
      <w:pPr>
        <w:pStyle w:val="a4"/>
        <w:numPr>
          <w:ilvl w:val="1"/>
          <w:numId w:val="409"/>
        </w:numPr>
        <w:tabs>
          <w:tab w:val="left" w:pos="1159"/>
        </w:tabs>
        <w:spacing w:line="268" w:lineRule="exact"/>
        <w:ind w:hanging="319"/>
        <w:jc w:val="left"/>
        <w:rPr>
          <w:sz w:val="21"/>
        </w:rPr>
      </w:pPr>
      <w:r>
        <w:rPr>
          <w:spacing w:val="-3"/>
          <w:sz w:val="21"/>
        </w:rPr>
        <w:t>电磁兼容性能</w:t>
      </w:r>
      <w:r>
        <w:rPr>
          <w:sz w:val="21"/>
        </w:rPr>
        <w:t xml:space="preserve"> </w:t>
      </w:r>
    </w:p>
    <w:p w14:paraId="0278A882" w14:textId="77777777" w:rsidR="00A71EEF" w:rsidRDefault="00A71EEF">
      <w:pPr>
        <w:pStyle w:val="a3"/>
        <w:spacing w:before="2"/>
        <w:rPr>
          <w:sz w:val="18"/>
        </w:rPr>
      </w:pPr>
    </w:p>
    <w:p w14:paraId="69E52F0F" w14:textId="77777777" w:rsidR="00A71EEF" w:rsidRDefault="0081115D">
      <w:pPr>
        <w:pStyle w:val="a3"/>
        <w:spacing w:line="446" w:lineRule="auto"/>
        <w:ind w:left="418" w:right="1608" w:firstLine="419"/>
      </w:pPr>
      <w:r>
        <w:rPr>
          <w:spacing w:val="-7"/>
        </w:rPr>
        <w:t>监控器应能适应表</w:t>
      </w:r>
      <w:r>
        <w:rPr>
          <w:spacing w:val="-7"/>
        </w:rPr>
        <w:t xml:space="preserve"> </w:t>
      </w:r>
      <w:r>
        <w:t>1</w:t>
      </w:r>
      <w:r>
        <w:rPr>
          <w:spacing w:val="-7"/>
        </w:rPr>
        <w:t xml:space="preserve"> </w:t>
      </w:r>
      <w:r>
        <w:rPr>
          <w:spacing w:val="-7"/>
        </w:rPr>
        <w:t>规定条件下的各项试验要求。试验期间，应保持正常监视状态；试验</w:t>
      </w:r>
      <w:r>
        <w:rPr>
          <w:spacing w:val="-5"/>
        </w:rPr>
        <w:t>后，基本功能应与试验前保持一致。</w:t>
      </w:r>
      <w:r>
        <w:t xml:space="preserve"> </w:t>
      </w:r>
    </w:p>
    <w:p w14:paraId="184B3642" w14:textId="77777777" w:rsidR="00A71EEF" w:rsidRDefault="0081115D">
      <w:pPr>
        <w:pStyle w:val="a3"/>
        <w:spacing w:line="446" w:lineRule="auto"/>
        <w:ind w:left="418" w:right="1609" w:firstLine="419"/>
      </w:pPr>
      <w:r>
        <w:t>注：正常监视状态指监控器在电源正常供电条件下，无故障报警、自检等操作时所处的工作状态。</w:t>
      </w:r>
      <w:r>
        <w:t xml:space="preserve"> </w:t>
      </w:r>
    </w:p>
    <w:p w14:paraId="186D4A5C" w14:textId="77777777" w:rsidR="00A71EEF" w:rsidRDefault="0081115D">
      <w:pPr>
        <w:pStyle w:val="6"/>
        <w:ind w:left="3733"/>
        <w:rPr>
          <w:b w:val="0"/>
        </w:rPr>
      </w:pPr>
      <w:r>
        <w:t>表</w:t>
      </w:r>
      <w:r>
        <w:t xml:space="preserve"> 1 </w:t>
      </w:r>
      <w:r>
        <w:t>电磁兼容试验条</w:t>
      </w:r>
      <w:r>
        <w:rPr>
          <w:b w:val="0"/>
        </w:rPr>
        <w:t>件</w:t>
      </w:r>
      <w:r>
        <w:rPr>
          <w:b w:val="0"/>
        </w:rPr>
        <w:t xml:space="preserve"> </w:t>
      </w:r>
    </w:p>
    <w:p w14:paraId="33CA70BB" w14:textId="77777777" w:rsidR="00A71EEF" w:rsidRDefault="00A71EEF">
      <w:pPr>
        <w:sectPr w:rsidR="00A71EEF">
          <w:footerReference w:type="default" r:id="rId334"/>
          <w:pgSz w:w="11910" w:h="16850"/>
          <w:pgMar w:top="1220" w:right="0" w:bottom="1420" w:left="1260" w:header="0" w:footer="1239" w:gutter="0"/>
          <w:pgNumType w:start="1260"/>
          <w:cols w:space="720"/>
        </w:sectPr>
      </w:pPr>
    </w:p>
    <w:p w14:paraId="78539072" w14:textId="77777777" w:rsidR="00A71EEF" w:rsidRDefault="0081115D">
      <w:pPr>
        <w:pStyle w:val="a3"/>
        <w:ind w:left="613"/>
        <w:rPr>
          <w:sz w:val="20"/>
        </w:rPr>
      </w:pPr>
      <w:r>
        <w:rPr>
          <w:noProof/>
          <w:sz w:val="20"/>
        </w:rPr>
        <w:drawing>
          <wp:inline distT="0" distB="0" distL="0" distR="0" wp14:anchorId="6F0A7D5F" wp14:editId="00788D24">
            <wp:extent cx="5293256" cy="4648200"/>
            <wp:effectExtent l="0" t="0" r="0" b="0"/>
            <wp:docPr id="483" name="image2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image282.jpeg"/>
                    <pic:cNvPicPr/>
                  </pic:nvPicPr>
                  <pic:blipFill>
                    <a:blip r:embed="rId335" cstate="print"/>
                    <a:stretch>
                      <a:fillRect/>
                    </a:stretch>
                  </pic:blipFill>
                  <pic:spPr>
                    <a:xfrm>
                      <a:off x="0" y="0"/>
                      <a:ext cx="5293256" cy="4648200"/>
                    </a:xfrm>
                    <a:prstGeom prst="rect">
                      <a:avLst/>
                    </a:prstGeom>
                  </pic:spPr>
                </pic:pic>
              </a:graphicData>
            </a:graphic>
          </wp:inline>
        </w:drawing>
      </w:r>
    </w:p>
    <w:p w14:paraId="38D94F70" w14:textId="77777777" w:rsidR="00A71EEF" w:rsidRDefault="00A71EEF">
      <w:pPr>
        <w:pStyle w:val="a3"/>
        <w:spacing w:before="9"/>
        <w:rPr>
          <w:sz w:val="11"/>
        </w:rPr>
      </w:pPr>
    </w:p>
    <w:p w14:paraId="03C9566E" w14:textId="77777777" w:rsidR="00A71EEF" w:rsidRDefault="0081115D">
      <w:pPr>
        <w:pStyle w:val="a4"/>
        <w:numPr>
          <w:ilvl w:val="1"/>
          <w:numId w:val="409"/>
        </w:numPr>
        <w:tabs>
          <w:tab w:val="left" w:pos="1159"/>
        </w:tabs>
        <w:spacing w:before="72"/>
        <w:ind w:hanging="319"/>
        <w:jc w:val="left"/>
        <w:rPr>
          <w:sz w:val="21"/>
        </w:rPr>
      </w:pPr>
      <w:r>
        <w:rPr>
          <w:spacing w:val="-3"/>
          <w:sz w:val="21"/>
        </w:rPr>
        <w:t>电源瞬变耐受性</w:t>
      </w:r>
      <w:r>
        <w:rPr>
          <w:sz w:val="21"/>
        </w:rPr>
        <w:t xml:space="preserve"> </w:t>
      </w:r>
    </w:p>
    <w:p w14:paraId="5E056C29" w14:textId="77777777" w:rsidR="00A71EEF" w:rsidRDefault="00A71EEF">
      <w:pPr>
        <w:pStyle w:val="a3"/>
        <w:spacing w:before="12"/>
        <w:rPr>
          <w:sz w:val="17"/>
        </w:rPr>
      </w:pPr>
    </w:p>
    <w:p w14:paraId="11135590" w14:textId="77777777" w:rsidR="00A71EEF" w:rsidRDefault="0081115D">
      <w:pPr>
        <w:pStyle w:val="a3"/>
        <w:spacing w:line="446" w:lineRule="auto"/>
        <w:ind w:left="418" w:right="1609" w:firstLine="419"/>
      </w:pPr>
      <w:r>
        <w:rPr>
          <w:spacing w:val="-3"/>
        </w:rPr>
        <w:t>监控器的主电源按</w:t>
      </w:r>
      <w:r>
        <w:rPr>
          <w:spacing w:val="-3"/>
        </w:rPr>
        <w:t>“</w:t>
      </w:r>
      <w:r>
        <w:rPr>
          <w:spacing w:val="-3"/>
        </w:rPr>
        <w:t>通电</w:t>
      </w:r>
      <w:r>
        <w:t>（</w:t>
      </w:r>
      <w:r>
        <w:t>9s</w:t>
      </w:r>
      <w:r>
        <w:t>）～</w:t>
      </w:r>
      <w:r>
        <w:rPr>
          <w:spacing w:val="-2"/>
        </w:rPr>
        <w:t>断电</w:t>
      </w:r>
      <w:r>
        <w:t>（</w:t>
      </w:r>
      <w:r>
        <w:t>1s</w:t>
      </w:r>
      <w:r>
        <w:t>）</w:t>
      </w:r>
      <w:r>
        <w:rPr>
          <w:spacing w:val="-7"/>
        </w:rPr>
        <w:t>”</w:t>
      </w:r>
      <w:r>
        <w:rPr>
          <w:spacing w:val="-7"/>
        </w:rPr>
        <w:t>的固定程序连续通断</w:t>
      </w:r>
      <w:r>
        <w:rPr>
          <w:spacing w:val="-7"/>
        </w:rPr>
        <w:t xml:space="preserve"> </w:t>
      </w:r>
      <w:r>
        <w:t>500</w:t>
      </w:r>
      <w:r>
        <w:rPr>
          <w:spacing w:val="-8"/>
        </w:rPr>
        <w:t xml:space="preserve"> </w:t>
      </w:r>
      <w:r>
        <w:rPr>
          <w:spacing w:val="-8"/>
        </w:rPr>
        <w:t>次。试验期间，</w:t>
      </w:r>
      <w:r>
        <w:rPr>
          <w:spacing w:val="-8"/>
        </w:rPr>
        <w:t xml:space="preserve"> </w:t>
      </w:r>
      <w:r>
        <w:rPr>
          <w:spacing w:val="-5"/>
        </w:rPr>
        <w:t>应保持正常监视状态；试验后，基本功能应与试验前保持一致。</w:t>
      </w:r>
      <w:r>
        <w:t xml:space="preserve"> </w:t>
      </w:r>
    </w:p>
    <w:p w14:paraId="2DC621AC" w14:textId="77777777" w:rsidR="00A71EEF" w:rsidRDefault="0081115D">
      <w:pPr>
        <w:pStyle w:val="a4"/>
        <w:numPr>
          <w:ilvl w:val="1"/>
          <w:numId w:val="409"/>
        </w:numPr>
        <w:tabs>
          <w:tab w:val="left" w:pos="1159"/>
        </w:tabs>
        <w:spacing w:before="1"/>
        <w:ind w:hanging="319"/>
        <w:jc w:val="left"/>
        <w:rPr>
          <w:sz w:val="21"/>
        </w:rPr>
      </w:pPr>
      <w:r>
        <w:rPr>
          <w:spacing w:val="-3"/>
          <w:sz w:val="21"/>
        </w:rPr>
        <w:t>气候环境耐受性</w:t>
      </w:r>
      <w:r>
        <w:rPr>
          <w:sz w:val="21"/>
        </w:rPr>
        <w:t xml:space="preserve"> </w:t>
      </w:r>
    </w:p>
    <w:p w14:paraId="25068B58" w14:textId="77777777" w:rsidR="00A71EEF" w:rsidRDefault="00A71EEF">
      <w:pPr>
        <w:pStyle w:val="a3"/>
        <w:spacing w:before="12"/>
        <w:rPr>
          <w:sz w:val="17"/>
        </w:rPr>
      </w:pPr>
    </w:p>
    <w:p w14:paraId="071C69DE" w14:textId="77777777" w:rsidR="00A71EEF" w:rsidRDefault="0081115D">
      <w:pPr>
        <w:pStyle w:val="a3"/>
        <w:spacing w:line="446" w:lineRule="auto"/>
        <w:ind w:left="418" w:right="1608" w:firstLine="419"/>
        <w:jc w:val="both"/>
      </w:pPr>
      <w:r>
        <w:rPr>
          <w:spacing w:val="-7"/>
        </w:rPr>
        <w:t>监控器应能耐受表</w:t>
      </w:r>
      <w:r>
        <w:rPr>
          <w:spacing w:val="-7"/>
        </w:rPr>
        <w:t xml:space="preserve"> </w:t>
      </w:r>
      <w:r>
        <w:t>2</w:t>
      </w:r>
      <w:r>
        <w:rPr>
          <w:spacing w:val="-7"/>
        </w:rPr>
        <w:t xml:space="preserve"> </w:t>
      </w:r>
      <w:r>
        <w:rPr>
          <w:spacing w:val="-7"/>
        </w:rPr>
        <w:t>规定的气候条件下的各项试验。试验期间，处于通电状态的监控器及</w:t>
      </w:r>
      <w:r>
        <w:rPr>
          <w:spacing w:val="-5"/>
        </w:rPr>
        <w:t>其组件应保持正常监视状态；试验后，应无破坏涂覆和腐蚀现象，基本功能应与试验前保持一</w:t>
      </w:r>
      <w:r>
        <w:rPr>
          <w:spacing w:val="-4"/>
        </w:rPr>
        <w:t>致。</w:t>
      </w:r>
      <w:r>
        <w:t xml:space="preserve"> </w:t>
      </w:r>
    </w:p>
    <w:p w14:paraId="68161448" w14:textId="77777777" w:rsidR="00A71EEF" w:rsidRDefault="0081115D">
      <w:pPr>
        <w:pStyle w:val="6"/>
        <w:spacing w:line="268" w:lineRule="exact"/>
        <w:ind w:left="3941"/>
        <w:jc w:val="both"/>
      </w:pPr>
      <w:r>
        <w:t>表</w:t>
      </w:r>
      <w:r>
        <w:t xml:space="preserve"> 2 </w:t>
      </w:r>
      <w:r>
        <w:t>气候环境条件</w:t>
      </w:r>
      <w:r>
        <w:rPr>
          <w:w w:val="99"/>
        </w:rPr>
        <w:t xml:space="preserve"> </w:t>
      </w:r>
    </w:p>
    <w:p w14:paraId="3214F58F" w14:textId="77777777" w:rsidR="00A71EEF" w:rsidRDefault="00A71EEF">
      <w:pPr>
        <w:pStyle w:val="a3"/>
        <w:spacing w:before="2"/>
        <w:rPr>
          <w:b/>
          <w:sz w:val="18"/>
        </w:rPr>
      </w:pPr>
    </w:p>
    <w:p w14:paraId="691D3BE6" w14:textId="77777777" w:rsidR="00A71EEF" w:rsidRDefault="0081115D">
      <w:pPr>
        <w:pStyle w:val="a3"/>
        <w:ind w:right="912"/>
        <w:jc w:val="center"/>
      </w:pPr>
      <w:r>
        <w:t xml:space="preserve"> </w:t>
      </w:r>
    </w:p>
    <w:p w14:paraId="218FD54D" w14:textId="77777777" w:rsidR="00A71EEF" w:rsidRDefault="00A71EEF">
      <w:pPr>
        <w:jc w:val="center"/>
        <w:sectPr w:rsidR="00A71EEF">
          <w:pgSz w:w="11910" w:h="16850"/>
          <w:pgMar w:top="1600" w:right="0" w:bottom="1420" w:left="1260" w:header="0" w:footer="1239" w:gutter="0"/>
          <w:cols w:space="720"/>
        </w:sectPr>
      </w:pPr>
    </w:p>
    <w:p w14:paraId="25F6B049" w14:textId="77777777" w:rsidR="00A71EEF" w:rsidRDefault="0081115D">
      <w:pPr>
        <w:pStyle w:val="a3"/>
        <w:ind w:left="553"/>
        <w:rPr>
          <w:sz w:val="20"/>
        </w:rPr>
      </w:pPr>
      <w:r>
        <w:rPr>
          <w:noProof/>
          <w:sz w:val="20"/>
        </w:rPr>
        <w:drawing>
          <wp:inline distT="0" distB="0" distL="0" distR="0" wp14:anchorId="2BCB59A6" wp14:editId="333AF84B">
            <wp:extent cx="4816475" cy="1352550"/>
            <wp:effectExtent l="0" t="0" r="0" b="0"/>
            <wp:docPr id="485" name="image2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image283.jpeg"/>
                    <pic:cNvPicPr/>
                  </pic:nvPicPr>
                  <pic:blipFill>
                    <a:blip r:embed="rId336" cstate="print"/>
                    <a:stretch>
                      <a:fillRect/>
                    </a:stretch>
                  </pic:blipFill>
                  <pic:spPr>
                    <a:xfrm>
                      <a:off x="0" y="0"/>
                      <a:ext cx="4816475" cy="1352550"/>
                    </a:xfrm>
                    <a:prstGeom prst="rect">
                      <a:avLst/>
                    </a:prstGeom>
                  </pic:spPr>
                </pic:pic>
              </a:graphicData>
            </a:graphic>
          </wp:inline>
        </w:drawing>
      </w:r>
    </w:p>
    <w:p w14:paraId="03D594AC" w14:textId="77777777" w:rsidR="00A71EEF" w:rsidRDefault="00A71EEF">
      <w:pPr>
        <w:pStyle w:val="a3"/>
        <w:rPr>
          <w:sz w:val="20"/>
        </w:rPr>
      </w:pPr>
    </w:p>
    <w:p w14:paraId="33B54E25" w14:textId="77777777" w:rsidR="00A71EEF" w:rsidRDefault="00A71EEF">
      <w:pPr>
        <w:pStyle w:val="a3"/>
        <w:spacing w:before="11"/>
        <w:rPr>
          <w:sz w:val="18"/>
        </w:rPr>
      </w:pPr>
    </w:p>
    <w:p w14:paraId="4D83BC1B" w14:textId="77777777" w:rsidR="00A71EEF" w:rsidRDefault="0081115D">
      <w:pPr>
        <w:pStyle w:val="a4"/>
        <w:numPr>
          <w:ilvl w:val="1"/>
          <w:numId w:val="409"/>
        </w:numPr>
        <w:tabs>
          <w:tab w:val="left" w:pos="829"/>
        </w:tabs>
        <w:ind w:left="828" w:hanging="411"/>
        <w:jc w:val="left"/>
        <w:rPr>
          <w:sz w:val="24"/>
        </w:rPr>
      </w:pPr>
      <w:r>
        <w:rPr>
          <w:spacing w:val="-25"/>
          <w:sz w:val="21"/>
        </w:rPr>
        <w:t>机</w:t>
      </w:r>
      <w:r>
        <w:rPr>
          <w:spacing w:val="-25"/>
          <w:sz w:val="21"/>
        </w:rPr>
        <w:t xml:space="preserve"> </w:t>
      </w:r>
      <w:r>
        <w:rPr>
          <w:spacing w:val="-25"/>
          <w:sz w:val="21"/>
        </w:rPr>
        <w:t>械</w:t>
      </w:r>
      <w:r>
        <w:rPr>
          <w:spacing w:val="-25"/>
          <w:sz w:val="21"/>
        </w:rPr>
        <w:t xml:space="preserve"> </w:t>
      </w:r>
      <w:r>
        <w:rPr>
          <w:spacing w:val="-25"/>
          <w:sz w:val="21"/>
        </w:rPr>
        <w:t>环</w:t>
      </w:r>
      <w:r>
        <w:rPr>
          <w:spacing w:val="-25"/>
          <w:sz w:val="21"/>
        </w:rPr>
        <w:t xml:space="preserve"> </w:t>
      </w:r>
      <w:r>
        <w:rPr>
          <w:spacing w:val="-25"/>
          <w:sz w:val="21"/>
        </w:rPr>
        <w:t>境</w:t>
      </w:r>
      <w:r>
        <w:rPr>
          <w:spacing w:val="-25"/>
          <w:sz w:val="21"/>
        </w:rPr>
        <w:t xml:space="preserve"> </w:t>
      </w:r>
      <w:r>
        <w:rPr>
          <w:spacing w:val="-25"/>
          <w:sz w:val="21"/>
        </w:rPr>
        <w:t>耐</w:t>
      </w:r>
      <w:r>
        <w:rPr>
          <w:spacing w:val="-25"/>
          <w:sz w:val="21"/>
        </w:rPr>
        <w:t xml:space="preserve"> </w:t>
      </w:r>
      <w:r>
        <w:rPr>
          <w:spacing w:val="-25"/>
          <w:sz w:val="21"/>
        </w:rPr>
        <w:t>受</w:t>
      </w:r>
      <w:r>
        <w:rPr>
          <w:spacing w:val="-25"/>
          <w:sz w:val="21"/>
        </w:rPr>
        <w:t xml:space="preserve"> </w:t>
      </w:r>
      <w:r>
        <w:rPr>
          <w:spacing w:val="-25"/>
          <w:sz w:val="21"/>
        </w:rPr>
        <w:t>性</w:t>
      </w:r>
      <w:r>
        <w:rPr>
          <w:spacing w:val="-44"/>
          <w:sz w:val="21"/>
        </w:rPr>
        <w:t xml:space="preserve"> </w:t>
      </w:r>
      <w:r>
        <w:rPr>
          <w:sz w:val="24"/>
        </w:rPr>
        <w:t xml:space="preserve"> </w:t>
      </w:r>
    </w:p>
    <w:p w14:paraId="51D42968" w14:textId="77777777" w:rsidR="00A71EEF" w:rsidRDefault="00A71EEF">
      <w:pPr>
        <w:pStyle w:val="a3"/>
        <w:spacing w:before="9"/>
        <w:rPr>
          <w:sz w:val="29"/>
        </w:rPr>
      </w:pPr>
    </w:p>
    <w:p w14:paraId="53454D34" w14:textId="77777777" w:rsidR="00A71EEF" w:rsidRDefault="0081115D">
      <w:pPr>
        <w:pStyle w:val="a3"/>
        <w:spacing w:before="1" w:line="446" w:lineRule="auto"/>
        <w:ind w:left="418" w:right="1608" w:firstLine="419"/>
        <w:jc w:val="both"/>
      </w:pPr>
      <w:r>
        <w:rPr>
          <w:spacing w:val="-7"/>
        </w:rPr>
        <w:t>监控器应能耐受表</w:t>
      </w:r>
      <w:r>
        <w:rPr>
          <w:spacing w:val="-7"/>
        </w:rPr>
        <w:t xml:space="preserve"> </w:t>
      </w:r>
      <w:r>
        <w:t>3</w:t>
      </w:r>
      <w:r>
        <w:rPr>
          <w:spacing w:val="-7"/>
        </w:rPr>
        <w:t xml:space="preserve"> </w:t>
      </w:r>
      <w:r>
        <w:rPr>
          <w:spacing w:val="-7"/>
        </w:rPr>
        <w:t>规定的机械环境条件下的各项试验。试验期间，处于通电状态的监控</w:t>
      </w:r>
      <w:r>
        <w:rPr>
          <w:spacing w:val="-5"/>
        </w:rPr>
        <w:t>器应保持正常监视状态；试验后，不应有机械损伤和紧固部位松动现象，基本功能应与试验前</w:t>
      </w:r>
      <w:r>
        <w:rPr>
          <w:spacing w:val="-4"/>
        </w:rPr>
        <w:t>保持一致。</w:t>
      </w:r>
      <w:r>
        <w:t xml:space="preserve"> </w:t>
      </w:r>
    </w:p>
    <w:p w14:paraId="24AF963D" w14:textId="77777777" w:rsidR="00A71EEF" w:rsidRDefault="0081115D">
      <w:pPr>
        <w:pStyle w:val="6"/>
        <w:spacing w:line="268" w:lineRule="exact"/>
        <w:ind w:left="3941"/>
        <w:jc w:val="both"/>
      </w:pPr>
      <w:r>
        <w:t>表</w:t>
      </w:r>
      <w:r>
        <w:t xml:space="preserve"> 3 </w:t>
      </w:r>
      <w:r>
        <w:t>机械环境条件</w:t>
      </w:r>
      <w:r>
        <w:rPr>
          <w:w w:val="99"/>
        </w:rPr>
        <w:t xml:space="preserve"> </w:t>
      </w:r>
    </w:p>
    <w:p w14:paraId="7F236D89" w14:textId="77777777" w:rsidR="00A71EEF" w:rsidRDefault="0081115D">
      <w:pPr>
        <w:pStyle w:val="a3"/>
        <w:spacing w:before="3"/>
        <w:rPr>
          <w:b/>
          <w:sz w:val="29"/>
        </w:rPr>
      </w:pPr>
      <w:r>
        <w:rPr>
          <w:noProof/>
        </w:rPr>
        <w:drawing>
          <wp:anchor distT="0" distB="0" distL="0" distR="0" simplePos="0" relativeHeight="251632128" behindDoc="0" locked="0" layoutInCell="1" allowOverlap="1" wp14:anchorId="7854230E" wp14:editId="4ED1D56C">
            <wp:simplePos x="0" y="0"/>
            <wp:positionH relativeFrom="page">
              <wp:posOffset>1217930</wp:posOffset>
            </wp:positionH>
            <wp:positionV relativeFrom="paragraph">
              <wp:posOffset>262913</wp:posOffset>
            </wp:positionV>
            <wp:extent cx="4624896" cy="2009775"/>
            <wp:effectExtent l="0" t="0" r="0" b="0"/>
            <wp:wrapTopAndBottom/>
            <wp:docPr id="487" name="image2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image284.jpeg"/>
                    <pic:cNvPicPr/>
                  </pic:nvPicPr>
                  <pic:blipFill>
                    <a:blip r:embed="rId337" cstate="print"/>
                    <a:stretch>
                      <a:fillRect/>
                    </a:stretch>
                  </pic:blipFill>
                  <pic:spPr>
                    <a:xfrm>
                      <a:off x="0" y="0"/>
                      <a:ext cx="4624896" cy="2009775"/>
                    </a:xfrm>
                    <a:prstGeom prst="rect">
                      <a:avLst/>
                    </a:prstGeom>
                  </pic:spPr>
                </pic:pic>
              </a:graphicData>
            </a:graphic>
          </wp:anchor>
        </w:drawing>
      </w:r>
    </w:p>
    <w:p w14:paraId="0D2E16A3" w14:textId="77777777" w:rsidR="00A71EEF" w:rsidRDefault="00A71EEF">
      <w:pPr>
        <w:pStyle w:val="a3"/>
        <w:rPr>
          <w:b/>
          <w:sz w:val="20"/>
        </w:rPr>
      </w:pPr>
    </w:p>
    <w:p w14:paraId="3C27140D" w14:textId="77777777" w:rsidR="00A71EEF" w:rsidRDefault="00A71EEF">
      <w:pPr>
        <w:pStyle w:val="a3"/>
        <w:spacing w:before="5"/>
        <w:rPr>
          <w:b/>
          <w:sz w:val="25"/>
        </w:rPr>
      </w:pPr>
    </w:p>
    <w:p w14:paraId="42391056" w14:textId="77777777" w:rsidR="00A71EEF" w:rsidRDefault="0081115D">
      <w:pPr>
        <w:spacing w:before="67"/>
        <w:ind w:left="418"/>
        <w:rPr>
          <w:b/>
          <w:sz w:val="24"/>
        </w:rPr>
      </w:pPr>
      <w:r>
        <w:rPr>
          <w:b/>
          <w:sz w:val="24"/>
        </w:rPr>
        <w:t xml:space="preserve">5 </w:t>
      </w:r>
      <w:r>
        <w:rPr>
          <w:b/>
          <w:sz w:val="24"/>
        </w:rPr>
        <w:t>试验</w:t>
      </w:r>
      <w:r>
        <w:rPr>
          <w:b/>
          <w:w w:val="99"/>
          <w:sz w:val="24"/>
        </w:rPr>
        <w:t xml:space="preserve"> </w:t>
      </w:r>
    </w:p>
    <w:p w14:paraId="22349660" w14:textId="77777777" w:rsidR="00A71EEF" w:rsidRDefault="00A71EEF">
      <w:pPr>
        <w:pStyle w:val="a3"/>
        <w:spacing w:before="4"/>
        <w:rPr>
          <w:b/>
          <w:sz w:val="17"/>
        </w:rPr>
      </w:pPr>
    </w:p>
    <w:p w14:paraId="5679A043" w14:textId="77777777" w:rsidR="00A71EEF" w:rsidRDefault="0081115D">
      <w:pPr>
        <w:pStyle w:val="a4"/>
        <w:numPr>
          <w:ilvl w:val="1"/>
          <w:numId w:val="408"/>
        </w:numPr>
        <w:tabs>
          <w:tab w:val="left" w:pos="1159"/>
        </w:tabs>
        <w:ind w:hanging="319"/>
        <w:rPr>
          <w:sz w:val="21"/>
        </w:rPr>
      </w:pPr>
      <w:r>
        <w:rPr>
          <w:spacing w:val="-3"/>
          <w:sz w:val="21"/>
        </w:rPr>
        <w:t>总则</w:t>
      </w:r>
      <w:r>
        <w:rPr>
          <w:sz w:val="21"/>
        </w:rPr>
        <w:t xml:space="preserve"> </w:t>
      </w:r>
    </w:p>
    <w:p w14:paraId="13061DCF" w14:textId="77777777" w:rsidR="00A71EEF" w:rsidRDefault="00A71EEF">
      <w:pPr>
        <w:pStyle w:val="a3"/>
        <w:spacing w:before="2"/>
        <w:rPr>
          <w:sz w:val="18"/>
        </w:rPr>
      </w:pPr>
    </w:p>
    <w:p w14:paraId="6CB23E27" w14:textId="77777777" w:rsidR="00A71EEF" w:rsidRDefault="0081115D">
      <w:pPr>
        <w:pStyle w:val="a4"/>
        <w:numPr>
          <w:ilvl w:val="2"/>
          <w:numId w:val="408"/>
        </w:numPr>
        <w:tabs>
          <w:tab w:val="left" w:pos="1370"/>
        </w:tabs>
        <w:ind w:left="1369" w:hanging="530"/>
        <w:rPr>
          <w:sz w:val="19"/>
        </w:rPr>
      </w:pPr>
      <w:r>
        <w:rPr>
          <w:spacing w:val="-10"/>
          <w:sz w:val="21"/>
        </w:rPr>
        <w:t>试验程序见表</w:t>
      </w:r>
      <w:r>
        <w:rPr>
          <w:spacing w:val="-10"/>
          <w:sz w:val="21"/>
        </w:rPr>
        <w:t xml:space="preserve"> </w:t>
      </w:r>
      <w:r>
        <w:rPr>
          <w:sz w:val="21"/>
        </w:rPr>
        <w:t>4</w:t>
      </w:r>
      <w:r>
        <w:rPr>
          <w:spacing w:val="-3"/>
          <w:sz w:val="21"/>
        </w:rPr>
        <w:t>。</w:t>
      </w:r>
      <w:r>
        <w:rPr>
          <w:sz w:val="21"/>
        </w:rPr>
        <w:t xml:space="preserve"> </w:t>
      </w:r>
    </w:p>
    <w:p w14:paraId="0D07419A" w14:textId="77777777" w:rsidR="00A71EEF" w:rsidRDefault="00A71EEF">
      <w:pPr>
        <w:pStyle w:val="a3"/>
        <w:spacing w:before="12"/>
        <w:rPr>
          <w:sz w:val="17"/>
        </w:rPr>
      </w:pPr>
    </w:p>
    <w:p w14:paraId="6A6C65EB" w14:textId="77777777" w:rsidR="00A71EEF" w:rsidRDefault="0081115D">
      <w:pPr>
        <w:pStyle w:val="a4"/>
        <w:numPr>
          <w:ilvl w:val="2"/>
          <w:numId w:val="408"/>
        </w:numPr>
        <w:tabs>
          <w:tab w:val="left" w:pos="1371"/>
        </w:tabs>
        <w:ind w:left="1370" w:hanging="531"/>
        <w:rPr>
          <w:sz w:val="19"/>
        </w:rPr>
      </w:pPr>
      <w:r>
        <w:rPr>
          <w:spacing w:val="-3"/>
          <w:sz w:val="21"/>
        </w:rPr>
        <w:t>试验应在下述环境条件下进行：</w:t>
      </w:r>
      <w:r>
        <w:rPr>
          <w:sz w:val="21"/>
        </w:rPr>
        <w:t xml:space="preserve"> </w:t>
      </w:r>
    </w:p>
    <w:p w14:paraId="5B8ED251" w14:textId="77777777" w:rsidR="00A71EEF" w:rsidRDefault="00A71EEF">
      <w:pPr>
        <w:pStyle w:val="a3"/>
        <w:rPr>
          <w:sz w:val="18"/>
        </w:rPr>
      </w:pPr>
    </w:p>
    <w:p w14:paraId="1127677D" w14:textId="77777777" w:rsidR="00A71EEF" w:rsidRDefault="0081115D">
      <w:pPr>
        <w:pStyle w:val="a3"/>
        <w:ind w:left="838"/>
      </w:pPr>
      <w:r>
        <w:t>——</w:t>
      </w:r>
      <w:r>
        <w:t>温度：</w:t>
      </w:r>
      <w:r>
        <w:t>15</w:t>
      </w:r>
      <w:r>
        <w:t>～</w:t>
      </w:r>
      <w:r>
        <w:t>35℃</w:t>
      </w:r>
      <w:r>
        <w:t>；</w:t>
      </w:r>
      <w:r>
        <w:t xml:space="preserve"> </w:t>
      </w:r>
    </w:p>
    <w:p w14:paraId="2FB9D5C4" w14:textId="77777777" w:rsidR="00A71EEF" w:rsidRDefault="00A71EEF">
      <w:pPr>
        <w:pStyle w:val="a3"/>
        <w:spacing w:before="1"/>
        <w:rPr>
          <w:sz w:val="18"/>
        </w:rPr>
      </w:pPr>
    </w:p>
    <w:p w14:paraId="074A9241" w14:textId="77777777" w:rsidR="00A71EEF" w:rsidRDefault="0081115D">
      <w:pPr>
        <w:pStyle w:val="a3"/>
        <w:spacing w:before="1"/>
        <w:ind w:left="838"/>
      </w:pPr>
      <w:r>
        <w:t>——</w:t>
      </w:r>
      <w:r>
        <w:t>湿度：</w:t>
      </w:r>
      <w:r>
        <w:t>25</w:t>
      </w:r>
      <w:r>
        <w:t>～</w:t>
      </w:r>
      <w:r>
        <w:t>75%RH</w:t>
      </w:r>
      <w:r>
        <w:t>；</w:t>
      </w:r>
      <w:r>
        <w:t xml:space="preserve"> </w:t>
      </w:r>
    </w:p>
    <w:p w14:paraId="52D9771E" w14:textId="77777777" w:rsidR="00A71EEF" w:rsidRDefault="00A71EEF">
      <w:pPr>
        <w:pStyle w:val="a3"/>
        <w:spacing w:before="12"/>
        <w:rPr>
          <w:sz w:val="17"/>
        </w:rPr>
      </w:pPr>
    </w:p>
    <w:p w14:paraId="7BBB99E1" w14:textId="77777777" w:rsidR="00A71EEF" w:rsidRDefault="0081115D">
      <w:pPr>
        <w:pStyle w:val="a3"/>
        <w:ind w:left="838"/>
      </w:pPr>
      <w:r>
        <w:t>——</w:t>
      </w:r>
      <w:r>
        <w:t>大气压力：</w:t>
      </w:r>
      <w:r>
        <w:t>86</w:t>
      </w:r>
      <w:r>
        <w:t>～</w:t>
      </w:r>
      <w:r>
        <w:t>106kPa</w:t>
      </w:r>
      <w:r>
        <w:t>。</w:t>
      </w:r>
      <w:r>
        <w:t xml:space="preserve"> </w:t>
      </w:r>
    </w:p>
    <w:p w14:paraId="670B40BA" w14:textId="77777777" w:rsidR="00A71EEF" w:rsidRDefault="00A71EEF">
      <w:pPr>
        <w:pStyle w:val="a3"/>
        <w:rPr>
          <w:sz w:val="18"/>
        </w:rPr>
      </w:pPr>
    </w:p>
    <w:p w14:paraId="35BF004E" w14:textId="77777777" w:rsidR="00A71EEF" w:rsidRDefault="0081115D">
      <w:pPr>
        <w:pStyle w:val="a3"/>
        <w:spacing w:line="446" w:lineRule="auto"/>
        <w:ind w:left="418" w:right="1606" w:firstLine="422"/>
      </w:pPr>
      <w:r>
        <w:rPr>
          <w:b/>
        </w:rPr>
        <w:t xml:space="preserve">5.1.3 </w:t>
      </w:r>
      <w:r>
        <w:rPr>
          <w:spacing w:val="-8"/>
        </w:rPr>
        <w:t>电磁兼容试验设备应符合</w:t>
      </w:r>
      <w:r>
        <w:rPr>
          <w:spacing w:val="-8"/>
        </w:rPr>
        <w:t xml:space="preserve"> </w:t>
      </w:r>
      <w:r>
        <w:t>GB/T 17626.2</w:t>
      </w:r>
      <w:r>
        <w:t>～</w:t>
      </w:r>
      <w:r>
        <w:t>17626.6</w:t>
      </w:r>
      <w:r>
        <w:rPr>
          <w:spacing w:val="-35"/>
        </w:rPr>
        <w:t xml:space="preserve"> </w:t>
      </w:r>
      <w:r>
        <w:rPr>
          <w:spacing w:val="-35"/>
        </w:rPr>
        <w:t>和</w:t>
      </w:r>
      <w:r>
        <w:rPr>
          <w:spacing w:val="-35"/>
        </w:rPr>
        <w:t xml:space="preserve"> </w:t>
      </w:r>
      <w:r>
        <w:t>GB/T 17626.11</w:t>
      </w:r>
      <w:r>
        <w:rPr>
          <w:spacing w:val="-10"/>
        </w:rPr>
        <w:t xml:space="preserve"> </w:t>
      </w:r>
      <w:r>
        <w:rPr>
          <w:spacing w:val="-10"/>
        </w:rPr>
        <w:t>的规定，气候</w:t>
      </w:r>
      <w:r>
        <w:rPr>
          <w:spacing w:val="-9"/>
        </w:rPr>
        <w:t>环境和机械环境试验设备应符合</w:t>
      </w:r>
      <w:r>
        <w:rPr>
          <w:spacing w:val="-9"/>
        </w:rPr>
        <w:t xml:space="preserve"> </w:t>
      </w:r>
      <w:r>
        <w:t>GB 16838</w:t>
      </w:r>
      <w:r>
        <w:rPr>
          <w:spacing w:val="-13"/>
        </w:rPr>
        <w:t xml:space="preserve"> </w:t>
      </w:r>
      <w:r>
        <w:rPr>
          <w:spacing w:val="-13"/>
        </w:rPr>
        <w:t>的规定。</w:t>
      </w:r>
      <w:r>
        <w:t xml:space="preserve"> </w:t>
      </w:r>
    </w:p>
    <w:p w14:paraId="7B7B76EA" w14:textId="77777777" w:rsidR="00A71EEF" w:rsidRDefault="0081115D">
      <w:pPr>
        <w:pStyle w:val="a4"/>
        <w:numPr>
          <w:ilvl w:val="2"/>
          <w:numId w:val="407"/>
        </w:numPr>
        <w:tabs>
          <w:tab w:val="left" w:pos="1371"/>
        </w:tabs>
        <w:rPr>
          <w:sz w:val="21"/>
        </w:rPr>
      </w:pPr>
      <w:r>
        <w:rPr>
          <w:spacing w:val="-3"/>
          <w:sz w:val="21"/>
        </w:rPr>
        <w:t>各项试验数据的容差为</w:t>
      </w:r>
      <w:r>
        <w:rPr>
          <w:spacing w:val="-3"/>
          <w:sz w:val="21"/>
        </w:rPr>
        <w:t>±</w:t>
      </w:r>
      <w:r>
        <w:rPr>
          <w:sz w:val="21"/>
        </w:rPr>
        <w:t>5%</w:t>
      </w:r>
      <w:r>
        <w:rPr>
          <w:spacing w:val="-3"/>
          <w:sz w:val="21"/>
        </w:rPr>
        <w:t>。</w:t>
      </w:r>
      <w:r>
        <w:rPr>
          <w:sz w:val="21"/>
        </w:rPr>
        <w:t xml:space="preserve"> </w:t>
      </w:r>
    </w:p>
    <w:p w14:paraId="4A8DF342" w14:textId="77777777" w:rsidR="00A71EEF" w:rsidRDefault="00A71EEF">
      <w:pPr>
        <w:rPr>
          <w:sz w:val="21"/>
        </w:rPr>
        <w:sectPr w:rsidR="00A71EEF">
          <w:pgSz w:w="11910" w:h="16850"/>
          <w:pgMar w:top="1100" w:right="0" w:bottom="1420" w:left="1260" w:header="0" w:footer="1239" w:gutter="0"/>
          <w:cols w:space="720"/>
        </w:sectPr>
      </w:pPr>
    </w:p>
    <w:p w14:paraId="42B9F561" w14:textId="77777777" w:rsidR="00A71EEF" w:rsidRDefault="0081115D">
      <w:pPr>
        <w:pStyle w:val="a4"/>
        <w:numPr>
          <w:ilvl w:val="2"/>
          <w:numId w:val="407"/>
        </w:numPr>
        <w:tabs>
          <w:tab w:val="left" w:pos="1370"/>
        </w:tabs>
        <w:spacing w:before="47"/>
        <w:ind w:left="1369" w:hanging="530"/>
        <w:rPr>
          <w:sz w:val="21"/>
        </w:rPr>
      </w:pPr>
      <w:r>
        <w:rPr>
          <w:spacing w:val="-10"/>
          <w:sz w:val="21"/>
        </w:rPr>
        <w:t>试样为监控器</w:t>
      </w:r>
      <w:r>
        <w:rPr>
          <w:spacing w:val="-10"/>
          <w:sz w:val="21"/>
        </w:rPr>
        <w:t xml:space="preserve"> </w:t>
      </w:r>
      <w:r>
        <w:rPr>
          <w:sz w:val="21"/>
        </w:rPr>
        <w:t>2</w:t>
      </w:r>
      <w:r>
        <w:rPr>
          <w:spacing w:val="-9"/>
          <w:sz w:val="21"/>
        </w:rPr>
        <w:t xml:space="preserve"> </w:t>
      </w:r>
      <w:r>
        <w:rPr>
          <w:spacing w:val="-9"/>
          <w:sz w:val="21"/>
        </w:rPr>
        <w:t>套，试验前予以编号。</w:t>
      </w:r>
      <w:r>
        <w:rPr>
          <w:sz w:val="21"/>
        </w:rPr>
        <w:t xml:space="preserve"> </w:t>
      </w:r>
    </w:p>
    <w:p w14:paraId="7307723C" w14:textId="77777777" w:rsidR="00A71EEF" w:rsidRDefault="00A71EEF">
      <w:pPr>
        <w:pStyle w:val="a3"/>
        <w:rPr>
          <w:sz w:val="18"/>
        </w:rPr>
      </w:pPr>
    </w:p>
    <w:p w14:paraId="7FB66C7E" w14:textId="77777777" w:rsidR="00A71EEF" w:rsidRDefault="0081115D">
      <w:pPr>
        <w:pStyle w:val="a4"/>
        <w:numPr>
          <w:ilvl w:val="2"/>
          <w:numId w:val="407"/>
        </w:numPr>
        <w:tabs>
          <w:tab w:val="left" w:pos="1371"/>
        </w:tabs>
        <w:spacing w:line="446" w:lineRule="auto"/>
        <w:ind w:left="418" w:right="1604" w:firstLine="422"/>
        <w:rPr>
          <w:sz w:val="21"/>
        </w:rPr>
      </w:pPr>
      <w:r>
        <w:rPr>
          <w:spacing w:val="-11"/>
          <w:sz w:val="21"/>
        </w:rPr>
        <w:t>试验前应按</w:t>
      </w:r>
      <w:r>
        <w:rPr>
          <w:spacing w:val="-11"/>
          <w:sz w:val="21"/>
        </w:rPr>
        <w:t xml:space="preserve"> </w:t>
      </w:r>
      <w:r>
        <w:rPr>
          <w:sz w:val="21"/>
        </w:rPr>
        <w:t>4.1</w:t>
      </w:r>
      <w:r>
        <w:rPr>
          <w:spacing w:val="-33"/>
          <w:sz w:val="21"/>
        </w:rPr>
        <w:t xml:space="preserve"> </w:t>
      </w:r>
      <w:r>
        <w:rPr>
          <w:spacing w:val="-33"/>
          <w:sz w:val="21"/>
        </w:rPr>
        <w:t>和</w:t>
      </w:r>
      <w:r>
        <w:rPr>
          <w:spacing w:val="-33"/>
          <w:sz w:val="21"/>
        </w:rPr>
        <w:t xml:space="preserve"> </w:t>
      </w:r>
      <w:r>
        <w:rPr>
          <w:sz w:val="21"/>
        </w:rPr>
        <w:t>4.2</w:t>
      </w:r>
      <w:r>
        <w:rPr>
          <w:spacing w:val="-9"/>
          <w:sz w:val="21"/>
        </w:rPr>
        <w:t xml:space="preserve"> </w:t>
      </w:r>
      <w:r>
        <w:rPr>
          <w:spacing w:val="-9"/>
          <w:sz w:val="21"/>
        </w:rPr>
        <w:t>的规定对试样进行外观和主要部件检查，符合要求方可进行</w:t>
      </w:r>
      <w:r>
        <w:rPr>
          <w:spacing w:val="-8"/>
          <w:sz w:val="21"/>
        </w:rPr>
        <w:t>试验。</w:t>
      </w:r>
      <w:r>
        <w:rPr>
          <w:sz w:val="21"/>
        </w:rPr>
        <w:t xml:space="preserve"> </w:t>
      </w:r>
    </w:p>
    <w:p w14:paraId="146D11FD" w14:textId="77777777" w:rsidR="00A71EEF" w:rsidRDefault="0081115D">
      <w:pPr>
        <w:pStyle w:val="6"/>
        <w:ind w:left="4047"/>
        <w:rPr>
          <w:b w:val="0"/>
        </w:rPr>
      </w:pPr>
      <w:r>
        <w:t>表</w:t>
      </w:r>
      <w:r>
        <w:t xml:space="preserve"> 4 </w:t>
      </w:r>
      <w:r>
        <w:t>试验程序</w:t>
      </w:r>
      <w:r>
        <w:rPr>
          <w:b w:val="0"/>
        </w:rPr>
        <w:t xml:space="preserve"> </w:t>
      </w:r>
    </w:p>
    <w:p w14:paraId="3757E643" w14:textId="77777777" w:rsidR="00A71EEF" w:rsidRDefault="00A71EEF">
      <w:pPr>
        <w:pStyle w:val="a3"/>
        <w:rPr>
          <w:sz w:val="20"/>
        </w:rPr>
      </w:pPr>
    </w:p>
    <w:p w14:paraId="42295987" w14:textId="77777777" w:rsidR="00A71EEF" w:rsidRDefault="0081115D">
      <w:pPr>
        <w:pStyle w:val="a3"/>
        <w:spacing w:before="5"/>
      </w:pPr>
      <w:r>
        <w:rPr>
          <w:noProof/>
        </w:rPr>
        <w:drawing>
          <wp:anchor distT="0" distB="0" distL="0" distR="0" simplePos="0" relativeHeight="251633152" behindDoc="0" locked="0" layoutInCell="1" allowOverlap="1" wp14:anchorId="62F55FBB" wp14:editId="7A667E6B">
            <wp:simplePos x="0" y="0"/>
            <wp:positionH relativeFrom="page">
              <wp:posOffset>1341755</wp:posOffset>
            </wp:positionH>
            <wp:positionV relativeFrom="paragraph">
              <wp:posOffset>198937</wp:posOffset>
            </wp:positionV>
            <wp:extent cx="4905089" cy="4762500"/>
            <wp:effectExtent l="0" t="0" r="0" b="0"/>
            <wp:wrapTopAndBottom/>
            <wp:docPr id="489" name="image2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image285.jpeg"/>
                    <pic:cNvPicPr/>
                  </pic:nvPicPr>
                  <pic:blipFill>
                    <a:blip r:embed="rId338" cstate="print"/>
                    <a:stretch>
                      <a:fillRect/>
                    </a:stretch>
                  </pic:blipFill>
                  <pic:spPr>
                    <a:xfrm>
                      <a:off x="0" y="0"/>
                      <a:ext cx="4905089" cy="4762500"/>
                    </a:xfrm>
                    <a:prstGeom prst="rect">
                      <a:avLst/>
                    </a:prstGeom>
                  </pic:spPr>
                </pic:pic>
              </a:graphicData>
            </a:graphic>
          </wp:anchor>
        </w:drawing>
      </w:r>
    </w:p>
    <w:p w14:paraId="475C6AEE" w14:textId="77777777" w:rsidR="00A71EEF" w:rsidRDefault="00A71EEF">
      <w:pPr>
        <w:pStyle w:val="a3"/>
        <w:spacing w:before="4"/>
        <w:rPr>
          <w:sz w:val="8"/>
        </w:rPr>
      </w:pPr>
    </w:p>
    <w:p w14:paraId="3F7F12F7" w14:textId="77777777" w:rsidR="00A71EEF" w:rsidRDefault="0081115D">
      <w:pPr>
        <w:pStyle w:val="a4"/>
        <w:numPr>
          <w:ilvl w:val="1"/>
          <w:numId w:val="408"/>
        </w:numPr>
        <w:tabs>
          <w:tab w:val="left" w:pos="1160"/>
        </w:tabs>
        <w:spacing w:before="72"/>
        <w:ind w:left="1159" w:hanging="320"/>
        <w:rPr>
          <w:b/>
          <w:sz w:val="21"/>
        </w:rPr>
      </w:pPr>
      <w:r>
        <w:rPr>
          <w:spacing w:val="-3"/>
          <w:sz w:val="21"/>
        </w:rPr>
        <w:t>基本功能试验</w:t>
      </w:r>
      <w:r>
        <w:rPr>
          <w:b/>
          <w:w w:val="99"/>
          <w:sz w:val="21"/>
        </w:rPr>
        <w:t xml:space="preserve"> </w:t>
      </w:r>
    </w:p>
    <w:p w14:paraId="090753CB" w14:textId="77777777" w:rsidR="00A71EEF" w:rsidRDefault="00A71EEF">
      <w:pPr>
        <w:pStyle w:val="a3"/>
        <w:spacing w:before="1"/>
        <w:rPr>
          <w:b/>
          <w:sz w:val="18"/>
        </w:rPr>
      </w:pPr>
    </w:p>
    <w:p w14:paraId="79263FDA" w14:textId="77777777" w:rsidR="00A71EEF" w:rsidRDefault="0081115D">
      <w:pPr>
        <w:pStyle w:val="a4"/>
        <w:numPr>
          <w:ilvl w:val="2"/>
          <w:numId w:val="408"/>
        </w:numPr>
        <w:tabs>
          <w:tab w:val="left" w:pos="1370"/>
        </w:tabs>
        <w:spacing w:before="1" w:line="446" w:lineRule="auto"/>
        <w:ind w:left="418" w:right="1813" w:firstLine="422"/>
        <w:rPr>
          <w:sz w:val="19"/>
        </w:rPr>
      </w:pPr>
      <w:r>
        <w:rPr>
          <w:spacing w:val="-3"/>
          <w:sz w:val="21"/>
        </w:rPr>
        <w:t>将试样连接电动闭门器、释放器和门磁开关各两个，其他回路可分别连接等效负载，接通电源，使试样处于正常监视状态。</w:t>
      </w:r>
      <w:r>
        <w:rPr>
          <w:sz w:val="21"/>
        </w:rPr>
        <w:t xml:space="preserve"> </w:t>
      </w:r>
    </w:p>
    <w:p w14:paraId="4B6C755F" w14:textId="77777777" w:rsidR="00A71EEF" w:rsidRDefault="0081115D">
      <w:pPr>
        <w:pStyle w:val="a4"/>
        <w:numPr>
          <w:ilvl w:val="2"/>
          <w:numId w:val="408"/>
        </w:numPr>
        <w:tabs>
          <w:tab w:val="left" w:pos="1370"/>
        </w:tabs>
        <w:spacing w:line="446" w:lineRule="auto"/>
        <w:ind w:left="418" w:right="1604" w:firstLine="422"/>
        <w:rPr>
          <w:sz w:val="19"/>
        </w:rPr>
      </w:pPr>
      <w:r>
        <w:rPr>
          <w:spacing w:val="-3"/>
          <w:sz w:val="21"/>
        </w:rPr>
        <w:t>检查试样电源、供电状态、显示状态和接地端子；模拟电动闭门器、释放器和门磁</w:t>
      </w:r>
      <w:r>
        <w:rPr>
          <w:spacing w:val="-6"/>
          <w:sz w:val="21"/>
        </w:rPr>
        <w:t>开关的开、闭和防火门故障状态，保持</w:t>
      </w:r>
      <w:r>
        <w:rPr>
          <w:spacing w:val="-6"/>
          <w:sz w:val="21"/>
        </w:rPr>
        <w:t xml:space="preserve"> </w:t>
      </w:r>
      <w:r>
        <w:rPr>
          <w:sz w:val="21"/>
        </w:rPr>
        <w:t>100s</w:t>
      </w:r>
      <w:r>
        <w:rPr>
          <w:spacing w:val="-3"/>
          <w:sz w:val="21"/>
        </w:rPr>
        <w:t>，观察并记录试样的工作状态。</w:t>
      </w:r>
      <w:r>
        <w:rPr>
          <w:sz w:val="21"/>
        </w:rPr>
        <w:t xml:space="preserve"> </w:t>
      </w:r>
    </w:p>
    <w:p w14:paraId="1ADF9C00" w14:textId="77777777" w:rsidR="00A71EEF" w:rsidRDefault="0081115D">
      <w:pPr>
        <w:pStyle w:val="a4"/>
        <w:numPr>
          <w:ilvl w:val="2"/>
          <w:numId w:val="408"/>
        </w:numPr>
        <w:tabs>
          <w:tab w:val="left" w:pos="1371"/>
        </w:tabs>
        <w:spacing w:line="446" w:lineRule="auto"/>
        <w:ind w:left="418" w:right="1604" w:firstLine="422"/>
        <w:rPr>
          <w:sz w:val="19"/>
        </w:rPr>
      </w:pPr>
      <w:r>
        <w:rPr>
          <w:spacing w:val="-3"/>
          <w:sz w:val="21"/>
        </w:rPr>
        <w:t>操作电动闭门器、释放器和门磁开关令其动作，观察并记录试样和电动闭门器、释放器和门磁开关的状态。</w:t>
      </w:r>
      <w:r>
        <w:rPr>
          <w:sz w:val="21"/>
        </w:rPr>
        <w:t xml:space="preserve"> </w:t>
      </w:r>
    </w:p>
    <w:p w14:paraId="0F70615A" w14:textId="77777777" w:rsidR="00A71EEF" w:rsidRDefault="0081115D">
      <w:pPr>
        <w:pStyle w:val="a4"/>
        <w:numPr>
          <w:ilvl w:val="2"/>
          <w:numId w:val="408"/>
        </w:numPr>
        <w:tabs>
          <w:tab w:val="left" w:pos="1371"/>
        </w:tabs>
        <w:ind w:left="1370" w:hanging="531"/>
        <w:rPr>
          <w:sz w:val="19"/>
        </w:rPr>
      </w:pPr>
      <w:r>
        <w:rPr>
          <w:spacing w:val="-3"/>
          <w:sz w:val="21"/>
        </w:rPr>
        <w:t>向试样发出来自火灾自动报警系统的火灾报警信号，记录试样向电动闭门器、释放</w:t>
      </w:r>
    </w:p>
    <w:p w14:paraId="655379C2" w14:textId="77777777" w:rsidR="00A71EEF" w:rsidRDefault="00A71EEF">
      <w:pPr>
        <w:rPr>
          <w:sz w:val="19"/>
        </w:rPr>
        <w:sectPr w:rsidR="00A71EEF">
          <w:pgSz w:w="11910" w:h="16850"/>
          <w:pgMar w:top="1220" w:right="0" w:bottom="1420" w:left="1260" w:header="0" w:footer="1239" w:gutter="0"/>
          <w:cols w:space="720"/>
        </w:sectPr>
      </w:pPr>
    </w:p>
    <w:p w14:paraId="4E72ECEE" w14:textId="77777777" w:rsidR="00A71EEF" w:rsidRDefault="0081115D">
      <w:pPr>
        <w:pStyle w:val="a3"/>
        <w:spacing w:before="47" w:line="446" w:lineRule="auto"/>
        <w:ind w:left="840" w:right="3606" w:hanging="423"/>
      </w:pPr>
      <w:r>
        <w:t>器发出启动信号的时间，观察并记录试样和电动闭门器、释放器状态。</w:t>
      </w:r>
      <w:r>
        <w:rPr>
          <w:b/>
        </w:rPr>
        <w:t xml:space="preserve">5.2.5 </w:t>
      </w:r>
      <w:r>
        <w:t>检查试样的信息记录和信息传输功能。</w:t>
      </w:r>
      <w:r>
        <w:t xml:space="preserve"> </w:t>
      </w:r>
    </w:p>
    <w:p w14:paraId="29F83E0E" w14:textId="77777777" w:rsidR="00A71EEF" w:rsidRDefault="0081115D">
      <w:pPr>
        <w:pStyle w:val="a4"/>
        <w:numPr>
          <w:ilvl w:val="1"/>
          <w:numId w:val="408"/>
        </w:numPr>
        <w:tabs>
          <w:tab w:val="left" w:pos="1160"/>
        </w:tabs>
        <w:spacing w:line="267" w:lineRule="exact"/>
        <w:ind w:left="1159" w:hanging="320"/>
        <w:rPr>
          <w:b/>
          <w:sz w:val="21"/>
        </w:rPr>
      </w:pPr>
      <w:r>
        <w:rPr>
          <w:spacing w:val="-3"/>
          <w:sz w:val="21"/>
        </w:rPr>
        <w:t>自检功能试验</w:t>
      </w:r>
      <w:r>
        <w:rPr>
          <w:b/>
          <w:w w:val="99"/>
          <w:sz w:val="21"/>
        </w:rPr>
        <w:t xml:space="preserve"> </w:t>
      </w:r>
    </w:p>
    <w:p w14:paraId="33715F86" w14:textId="77777777" w:rsidR="00A71EEF" w:rsidRDefault="00A71EEF">
      <w:pPr>
        <w:pStyle w:val="a3"/>
        <w:spacing w:before="2"/>
        <w:rPr>
          <w:b/>
          <w:sz w:val="18"/>
        </w:rPr>
      </w:pPr>
    </w:p>
    <w:p w14:paraId="1F6A799D" w14:textId="77777777" w:rsidR="00A71EEF" w:rsidRDefault="0081115D">
      <w:pPr>
        <w:pStyle w:val="a4"/>
        <w:numPr>
          <w:ilvl w:val="2"/>
          <w:numId w:val="408"/>
        </w:numPr>
        <w:tabs>
          <w:tab w:val="left" w:pos="1370"/>
        </w:tabs>
        <w:spacing w:line="446" w:lineRule="auto"/>
        <w:ind w:left="418" w:right="1604" w:firstLine="422"/>
        <w:rPr>
          <w:sz w:val="19"/>
        </w:rPr>
      </w:pPr>
      <w:r>
        <w:rPr>
          <w:spacing w:val="-3"/>
          <w:sz w:val="21"/>
        </w:rPr>
        <w:t>将试样连接两个以上的电动闭门器、释放器和门磁开关，接通电源，使其处于正常监视状态。</w:t>
      </w:r>
      <w:r>
        <w:rPr>
          <w:sz w:val="21"/>
        </w:rPr>
        <w:t xml:space="preserve"> </w:t>
      </w:r>
    </w:p>
    <w:p w14:paraId="52C83F05" w14:textId="77777777" w:rsidR="00A71EEF" w:rsidRDefault="0081115D">
      <w:pPr>
        <w:pStyle w:val="a4"/>
        <w:numPr>
          <w:ilvl w:val="2"/>
          <w:numId w:val="408"/>
        </w:numPr>
        <w:tabs>
          <w:tab w:val="left" w:pos="1371"/>
        </w:tabs>
        <w:spacing w:line="267" w:lineRule="exact"/>
        <w:ind w:left="1370" w:hanging="531"/>
        <w:rPr>
          <w:sz w:val="19"/>
        </w:rPr>
      </w:pPr>
      <w:r>
        <w:rPr>
          <w:spacing w:val="-3"/>
          <w:sz w:val="21"/>
        </w:rPr>
        <w:t>操作试样自检机构，观察并记录试样的工作状态。</w:t>
      </w:r>
      <w:r>
        <w:rPr>
          <w:sz w:val="21"/>
        </w:rPr>
        <w:t xml:space="preserve"> </w:t>
      </w:r>
    </w:p>
    <w:p w14:paraId="67268B7D" w14:textId="77777777" w:rsidR="00A71EEF" w:rsidRDefault="00A71EEF">
      <w:pPr>
        <w:pStyle w:val="a3"/>
        <w:spacing w:before="2"/>
        <w:rPr>
          <w:sz w:val="18"/>
        </w:rPr>
      </w:pPr>
    </w:p>
    <w:p w14:paraId="4CC23119" w14:textId="77777777" w:rsidR="00A71EEF" w:rsidRDefault="0081115D">
      <w:pPr>
        <w:pStyle w:val="a4"/>
        <w:numPr>
          <w:ilvl w:val="1"/>
          <w:numId w:val="408"/>
        </w:numPr>
        <w:tabs>
          <w:tab w:val="left" w:pos="1159"/>
        </w:tabs>
        <w:ind w:hanging="319"/>
        <w:rPr>
          <w:sz w:val="21"/>
        </w:rPr>
      </w:pPr>
      <w:r>
        <w:rPr>
          <w:spacing w:val="-3"/>
          <w:sz w:val="21"/>
        </w:rPr>
        <w:t>备用电源功能试验</w:t>
      </w:r>
      <w:r>
        <w:rPr>
          <w:sz w:val="21"/>
        </w:rPr>
        <w:t xml:space="preserve"> </w:t>
      </w:r>
    </w:p>
    <w:p w14:paraId="50E25B21" w14:textId="77777777" w:rsidR="00A71EEF" w:rsidRDefault="00A71EEF">
      <w:pPr>
        <w:pStyle w:val="a3"/>
        <w:rPr>
          <w:sz w:val="18"/>
        </w:rPr>
      </w:pPr>
    </w:p>
    <w:p w14:paraId="16CEF308" w14:textId="77777777" w:rsidR="00A71EEF" w:rsidRDefault="0081115D">
      <w:pPr>
        <w:pStyle w:val="a4"/>
        <w:numPr>
          <w:ilvl w:val="2"/>
          <w:numId w:val="408"/>
        </w:numPr>
        <w:tabs>
          <w:tab w:val="left" w:pos="1370"/>
        </w:tabs>
        <w:ind w:left="1369" w:hanging="530"/>
        <w:rPr>
          <w:sz w:val="19"/>
        </w:rPr>
      </w:pPr>
      <w:r>
        <w:rPr>
          <w:spacing w:val="-5"/>
          <w:sz w:val="21"/>
        </w:rPr>
        <w:t>将试样一个回路按设计容量连接真实负载，其他回路连接等效负载。按照</w:t>
      </w:r>
      <w:r>
        <w:rPr>
          <w:spacing w:val="-5"/>
          <w:sz w:val="21"/>
        </w:rPr>
        <w:t xml:space="preserve"> </w:t>
      </w:r>
      <w:r>
        <w:rPr>
          <w:sz w:val="21"/>
        </w:rPr>
        <w:t>4.3.3.1</w:t>
      </w:r>
    </w:p>
    <w:p w14:paraId="1C4E3EEB" w14:textId="77777777" w:rsidR="00A71EEF" w:rsidRDefault="00A71EEF">
      <w:pPr>
        <w:pStyle w:val="a3"/>
        <w:rPr>
          <w:sz w:val="18"/>
        </w:rPr>
      </w:pPr>
    </w:p>
    <w:p w14:paraId="00D07C04" w14:textId="77777777" w:rsidR="00A71EEF" w:rsidRDefault="0081115D">
      <w:pPr>
        <w:pStyle w:val="a3"/>
        <w:ind w:left="418"/>
      </w:pPr>
      <w:r>
        <w:t>的要求进行试验，观察并记录试样的工作状态。</w:t>
      </w:r>
      <w:r>
        <w:t xml:space="preserve"> </w:t>
      </w:r>
    </w:p>
    <w:p w14:paraId="5932533C" w14:textId="77777777" w:rsidR="00A71EEF" w:rsidRDefault="00A71EEF">
      <w:pPr>
        <w:pStyle w:val="a3"/>
        <w:spacing w:before="1"/>
        <w:rPr>
          <w:sz w:val="18"/>
        </w:rPr>
      </w:pPr>
    </w:p>
    <w:p w14:paraId="7AAFFDF6" w14:textId="77777777" w:rsidR="00A71EEF" w:rsidRDefault="0081115D">
      <w:pPr>
        <w:pStyle w:val="a4"/>
        <w:numPr>
          <w:ilvl w:val="2"/>
          <w:numId w:val="408"/>
        </w:numPr>
        <w:tabs>
          <w:tab w:val="left" w:pos="1370"/>
        </w:tabs>
        <w:spacing w:before="1" w:line="446" w:lineRule="auto"/>
        <w:ind w:left="418" w:right="1604" w:firstLine="422"/>
        <w:rPr>
          <w:sz w:val="19"/>
        </w:rPr>
      </w:pPr>
      <w:r>
        <w:rPr>
          <w:spacing w:val="-3"/>
          <w:sz w:val="21"/>
        </w:rPr>
        <w:t>在试样处于正常监视状态下，切断试样的主电源，使试样由备用电源供电，再恢复主电源，观察并记录试样的状态。</w:t>
      </w:r>
      <w:r>
        <w:rPr>
          <w:sz w:val="21"/>
        </w:rPr>
        <w:t xml:space="preserve"> </w:t>
      </w:r>
    </w:p>
    <w:p w14:paraId="4CAEB184" w14:textId="77777777" w:rsidR="00A71EEF" w:rsidRDefault="0081115D">
      <w:pPr>
        <w:pStyle w:val="a4"/>
        <w:numPr>
          <w:ilvl w:val="1"/>
          <w:numId w:val="408"/>
        </w:numPr>
        <w:tabs>
          <w:tab w:val="left" w:pos="1159"/>
        </w:tabs>
        <w:spacing w:line="267" w:lineRule="exact"/>
        <w:ind w:hanging="319"/>
        <w:rPr>
          <w:sz w:val="21"/>
        </w:rPr>
      </w:pPr>
      <w:r>
        <w:rPr>
          <w:spacing w:val="-3"/>
          <w:sz w:val="21"/>
        </w:rPr>
        <w:t>故障报警功能试验</w:t>
      </w:r>
      <w:r>
        <w:rPr>
          <w:sz w:val="21"/>
        </w:rPr>
        <w:t xml:space="preserve"> </w:t>
      </w:r>
    </w:p>
    <w:p w14:paraId="64DCE533" w14:textId="77777777" w:rsidR="00A71EEF" w:rsidRDefault="00A71EEF">
      <w:pPr>
        <w:pStyle w:val="a3"/>
        <w:spacing w:before="1"/>
        <w:rPr>
          <w:sz w:val="18"/>
        </w:rPr>
      </w:pPr>
    </w:p>
    <w:p w14:paraId="0951C3FA" w14:textId="77777777" w:rsidR="00A71EEF" w:rsidRDefault="0081115D">
      <w:pPr>
        <w:pStyle w:val="a4"/>
        <w:numPr>
          <w:ilvl w:val="2"/>
          <w:numId w:val="408"/>
        </w:numPr>
        <w:tabs>
          <w:tab w:val="left" w:pos="1371"/>
        </w:tabs>
        <w:spacing w:before="1" w:line="446" w:lineRule="auto"/>
        <w:ind w:left="418" w:right="1604" w:firstLine="422"/>
        <w:rPr>
          <w:sz w:val="19"/>
        </w:rPr>
      </w:pPr>
      <w:r>
        <w:rPr>
          <w:spacing w:val="-3"/>
          <w:sz w:val="21"/>
        </w:rPr>
        <w:t>将试样连接两个以上的电动闭门器、释放器和门磁开关，其他回路可分别连接等效负载，接通电源，使试样处于正常监视状态。</w:t>
      </w:r>
      <w:r>
        <w:rPr>
          <w:sz w:val="21"/>
        </w:rPr>
        <w:t xml:space="preserve"> </w:t>
      </w:r>
    </w:p>
    <w:p w14:paraId="20D7F742" w14:textId="77777777" w:rsidR="00A71EEF" w:rsidRDefault="0081115D">
      <w:pPr>
        <w:pStyle w:val="a4"/>
        <w:numPr>
          <w:ilvl w:val="2"/>
          <w:numId w:val="408"/>
        </w:numPr>
        <w:tabs>
          <w:tab w:val="left" w:pos="1371"/>
        </w:tabs>
        <w:spacing w:line="267" w:lineRule="exact"/>
        <w:ind w:left="1370" w:hanging="531"/>
        <w:rPr>
          <w:sz w:val="19"/>
        </w:rPr>
      </w:pPr>
      <w:r>
        <w:rPr>
          <w:spacing w:val="-28"/>
          <w:sz w:val="21"/>
        </w:rPr>
        <w:t>按</w:t>
      </w:r>
      <w:r>
        <w:rPr>
          <w:spacing w:val="-28"/>
          <w:sz w:val="21"/>
        </w:rPr>
        <w:t xml:space="preserve"> </w:t>
      </w:r>
      <w:r>
        <w:rPr>
          <w:sz w:val="21"/>
        </w:rPr>
        <w:t>4.3.4</w:t>
      </w:r>
      <w:r>
        <w:rPr>
          <w:spacing w:val="-9"/>
          <w:sz w:val="21"/>
        </w:rPr>
        <w:t xml:space="preserve"> </w:t>
      </w:r>
      <w:r>
        <w:rPr>
          <w:spacing w:val="-9"/>
          <w:sz w:val="21"/>
        </w:rPr>
        <w:t>的要求，对试样各项故障功能进行测试，观察并记录试样的工作状态。</w:t>
      </w:r>
      <w:r>
        <w:rPr>
          <w:spacing w:val="-9"/>
          <w:sz w:val="21"/>
        </w:rPr>
        <w:t xml:space="preserve"> </w:t>
      </w:r>
    </w:p>
    <w:p w14:paraId="1835639D" w14:textId="77777777" w:rsidR="00A71EEF" w:rsidRDefault="00A71EEF">
      <w:pPr>
        <w:pStyle w:val="a3"/>
        <w:spacing w:before="1"/>
        <w:rPr>
          <w:sz w:val="18"/>
        </w:rPr>
      </w:pPr>
    </w:p>
    <w:p w14:paraId="533B4032" w14:textId="77777777" w:rsidR="00A71EEF" w:rsidRDefault="0081115D">
      <w:pPr>
        <w:pStyle w:val="a4"/>
        <w:numPr>
          <w:ilvl w:val="2"/>
          <w:numId w:val="408"/>
        </w:numPr>
        <w:tabs>
          <w:tab w:val="left" w:pos="1370"/>
        </w:tabs>
        <w:spacing w:line="446" w:lineRule="auto"/>
        <w:ind w:left="418" w:right="1604" w:firstLine="422"/>
        <w:rPr>
          <w:sz w:val="19"/>
        </w:rPr>
      </w:pPr>
      <w:r>
        <w:rPr>
          <w:spacing w:val="-3"/>
          <w:sz w:val="21"/>
        </w:rPr>
        <w:t>手动消除故障声信号，并使另一部位发出故障信号，检查试样消音功能、故障声信号再启动功能和故障信号显示功能。</w:t>
      </w:r>
      <w:r>
        <w:rPr>
          <w:sz w:val="21"/>
        </w:rPr>
        <w:t xml:space="preserve"> </w:t>
      </w:r>
    </w:p>
    <w:p w14:paraId="231AA6EA" w14:textId="77777777" w:rsidR="00A71EEF" w:rsidRDefault="0081115D">
      <w:pPr>
        <w:pStyle w:val="a4"/>
        <w:numPr>
          <w:ilvl w:val="2"/>
          <w:numId w:val="408"/>
        </w:numPr>
        <w:tabs>
          <w:tab w:val="left" w:pos="1370"/>
        </w:tabs>
        <w:spacing w:line="446" w:lineRule="auto"/>
        <w:ind w:left="418" w:right="1505" w:firstLine="422"/>
        <w:rPr>
          <w:sz w:val="19"/>
        </w:rPr>
      </w:pPr>
      <w:r>
        <w:rPr>
          <w:spacing w:val="-2"/>
          <w:sz w:val="21"/>
        </w:rPr>
        <w:t>手动复位试样，记录试样发出尚未排除故障信号的时间；排除所有输入的故障信</w:t>
      </w:r>
      <w:r>
        <w:rPr>
          <w:spacing w:val="-2"/>
          <w:sz w:val="21"/>
        </w:rPr>
        <w:t xml:space="preserve"> </w:t>
      </w:r>
      <w:r>
        <w:rPr>
          <w:spacing w:val="-2"/>
          <w:sz w:val="21"/>
        </w:rPr>
        <w:t>号</w:t>
      </w:r>
      <w:r>
        <w:rPr>
          <w:spacing w:val="-3"/>
          <w:sz w:val="21"/>
        </w:rPr>
        <w:t>，手动复位试样后</w:t>
      </w:r>
      <w:r>
        <w:rPr>
          <w:sz w:val="21"/>
        </w:rPr>
        <w:t>（</w:t>
      </w:r>
      <w:r>
        <w:rPr>
          <w:spacing w:val="-3"/>
          <w:sz w:val="21"/>
        </w:rPr>
        <w:t>适用于没有故障自动恢复功能的试样</w:t>
      </w:r>
      <w:r>
        <w:rPr>
          <w:sz w:val="21"/>
        </w:rPr>
        <w:t>）</w:t>
      </w:r>
      <w:r>
        <w:rPr>
          <w:spacing w:val="-3"/>
          <w:sz w:val="21"/>
        </w:rPr>
        <w:t>，观察并记录试样的指示情况。</w:t>
      </w:r>
      <w:r>
        <w:rPr>
          <w:sz w:val="21"/>
        </w:rPr>
        <w:t xml:space="preserve"> </w:t>
      </w:r>
    </w:p>
    <w:p w14:paraId="5082364C" w14:textId="77777777" w:rsidR="00A71EEF" w:rsidRDefault="0081115D">
      <w:pPr>
        <w:pStyle w:val="a4"/>
        <w:numPr>
          <w:ilvl w:val="1"/>
          <w:numId w:val="408"/>
        </w:numPr>
        <w:tabs>
          <w:tab w:val="left" w:pos="1159"/>
        </w:tabs>
        <w:ind w:hanging="319"/>
        <w:rPr>
          <w:b/>
          <w:sz w:val="21"/>
        </w:rPr>
      </w:pPr>
      <w:r>
        <w:rPr>
          <w:spacing w:val="-3"/>
          <w:sz w:val="21"/>
        </w:rPr>
        <w:t>绝缘电阻试验</w:t>
      </w:r>
      <w:r>
        <w:rPr>
          <w:b/>
          <w:w w:val="99"/>
          <w:sz w:val="21"/>
        </w:rPr>
        <w:t xml:space="preserve"> </w:t>
      </w:r>
    </w:p>
    <w:p w14:paraId="2E69F2E7" w14:textId="77777777" w:rsidR="00A71EEF" w:rsidRDefault="00A71EEF">
      <w:pPr>
        <w:pStyle w:val="a3"/>
        <w:spacing w:before="11"/>
        <w:rPr>
          <w:b/>
          <w:sz w:val="17"/>
        </w:rPr>
      </w:pPr>
    </w:p>
    <w:p w14:paraId="319853F9" w14:textId="77777777" w:rsidR="00A71EEF" w:rsidRDefault="0081115D">
      <w:pPr>
        <w:pStyle w:val="a4"/>
        <w:numPr>
          <w:ilvl w:val="2"/>
          <w:numId w:val="408"/>
        </w:numPr>
        <w:tabs>
          <w:tab w:val="left" w:pos="1371"/>
        </w:tabs>
        <w:ind w:left="1370" w:hanging="531"/>
        <w:rPr>
          <w:b/>
          <w:sz w:val="19"/>
        </w:rPr>
      </w:pPr>
      <w:r>
        <w:rPr>
          <w:spacing w:val="-3"/>
          <w:sz w:val="21"/>
        </w:rPr>
        <w:t>试验设备</w:t>
      </w:r>
      <w:r>
        <w:rPr>
          <w:b/>
          <w:w w:val="99"/>
          <w:sz w:val="21"/>
        </w:rPr>
        <w:t xml:space="preserve"> </w:t>
      </w:r>
    </w:p>
    <w:p w14:paraId="3BDA38F2" w14:textId="77777777" w:rsidR="00A71EEF" w:rsidRDefault="00A71EEF">
      <w:pPr>
        <w:pStyle w:val="a3"/>
        <w:spacing w:before="2"/>
        <w:rPr>
          <w:b/>
          <w:sz w:val="18"/>
        </w:rPr>
      </w:pPr>
    </w:p>
    <w:p w14:paraId="3DC76C50" w14:textId="77777777" w:rsidR="00A71EEF" w:rsidRDefault="0081115D">
      <w:pPr>
        <w:pStyle w:val="a3"/>
        <w:spacing w:line="446" w:lineRule="auto"/>
        <w:ind w:left="838" w:right="3078"/>
      </w:pPr>
      <w:r>
        <w:t>采用满足下列要求的绝缘电阻试验设备（也可用兆欧表或摇表测试）：</w:t>
      </w:r>
      <w:r>
        <w:t xml:space="preserve"> a</w:t>
      </w:r>
      <w:r>
        <w:t>）</w:t>
      </w:r>
      <w:r>
        <w:t xml:space="preserve"> </w:t>
      </w:r>
      <w:r>
        <w:t>试验电压：</w:t>
      </w:r>
      <w:r>
        <w:t>500V±50V</w:t>
      </w:r>
      <w:r>
        <w:t>；</w:t>
      </w:r>
      <w:r>
        <w:t xml:space="preserve"> </w:t>
      </w:r>
    </w:p>
    <w:p w14:paraId="26930F15" w14:textId="77777777" w:rsidR="00A71EEF" w:rsidRDefault="0081115D">
      <w:pPr>
        <w:pStyle w:val="a3"/>
        <w:spacing w:line="446" w:lineRule="auto"/>
        <w:ind w:left="838" w:right="7074"/>
        <w:rPr>
          <w:b/>
        </w:rPr>
      </w:pPr>
      <w:r>
        <w:t>b</w:t>
      </w:r>
      <w:r>
        <w:t>）</w:t>
      </w:r>
      <w:r>
        <w:rPr>
          <w:spacing w:val="-2"/>
        </w:rPr>
        <w:t xml:space="preserve"> </w:t>
      </w:r>
      <w:r>
        <w:rPr>
          <w:spacing w:val="-2"/>
        </w:rPr>
        <w:t>测量范围：</w:t>
      </w:r>
      <w:r>
        <w:t>0</w:t>
      </w:r>
      <w:r>
        <w:t>～</w:t>
      </w:r>
      <w:r>
        <w:t>500MΩ</w:t>
      </w:r>
      <w:r>
        <w:t>；</w:t>
      </w:r>
      <w:r>
        <w:t xml:space="preserve"> c</w:t>
      </w:r>
      <w:r>
        <w:t>）</w:t>
      </w:r>
      <w:r>
        <w:t xml:space="preserve">  </w:t>
      </w:r>
      <w:r>
        <w:t>最小分度：</w:t>
      </w:r>
      <w:r>
        <w:t>0.1MΩ</w:t>
      </w:r>
      <w:r>
        <w:t>；</w:t>
      </w:r>
      <w:r>
        <w:t xml:space="preserve"> d</w:t>
      </w:r>
      <w:r>
        <w:t>）</w:t>
      </w:r>
      <w:r>
        <w:rPr>
          <w:spacing w:val="-3"/>
        </w:rPr>
        <w:t xml:space="preserve"> </w:t>
      </w:r>
      <w:r>
        <w:rPr>
          <w:spacing w:val="-3"/>
        </w:rPr>
        <w:t>记</w:t>
      </w:r>
      <w:r>
        <w:rPr>
          <w:spacing w:val="-3"/>
        </w:rPr>
        <w:t xml:space="preserve"> </w:t>
      </w:r>
      <w:r>
        <w:rPr>
          <w:spacing w:val="-3"/>
        </w:rPr>
        <w:t>时</w:t>
      </w:r>
      <w:r>
        <w:rPr>
          <w:spacing w:val="-3"/>
        </w:rPr>
        <w:t xml:space="preserve"> </w:t>
      </w:r>
      <w:r>
        <w:rPr>
          <w:spacing w:val="-3"/>
        </w:rPr>
        <w:t>：</w:t>
      </w:r>
      <w:r>
        <w:t xml:space="preserve">60s </w:t>
      </w:r>
      <w:r>
        <w:t>士</w:t>
      </w:r>
      <w:r>
        <w:t xml:space="preserve"> 5s</w:t>
      </w:r>
      <w:r>
        <w:rPr>
          <w:spacing w:val="-2"/>
        </w:rPr>
        <w:t xml:space="preserve"> </w:t>
      </w:r>
      <w:r>
        <w:rPr>
          <w:spacing w:val="-2"/>
        </w:rPr>
        <w:t>。</w:t>
      </w:r>
      <w:r>
        <w:rPr>
          <w:spacing w:val="-2"/>
        </w:rPr>
        <w:t xml:space="preserve"> </w:t>
      </w:r>
      <w:r>
        <w:rPr>
          <w:b/>
        </w:rPr>
        <w:t>5.6.2</w:t>
      </w:r>
      <w:r>
        <w:rPr>
          <w:b/>
          <w:spacing w:val="2"/>
        </w:rPr>
        <w:t xml:space="preserve"> </w:t>
      </w:r>
      <w:r>
        <w:rPr>
          <w:spacing w:val="-3"/>
        </w:rPr>
        <w:t>试验步骤</w:t>
      </w:r>
      <w:r>
        <w:rPr>
          <w:b/>
          <w:w w:val="99"/>
        </w:rPr>
        <w:t xml:space="preserve"> </w:t>
      </w:r>
    </w:p>
    <w:p w14:paraId="72B6602F" w14:textId="77777777" w:rsidR="00A71EEF" w:rsidRDefault="0081115D">
      <w:pPr>
        <w:pStyle w:val="a4"/>
        <w:numPr>
          <w:ilvl w:val="3"/>
          <w:numId w:val="406"/>
        </w:numPr>
        <w:tabs>
          <w:tab w:val="left" w:pos="1583"/>
        </w:tabs>
        <w:rPr>
          <w:sz w:val="21"/>
        </w:rPr>
      </w:pPr>
      <w:r>
        <w:rPr>
          <w:spacing w:val="-3"/>
          <w:sz w:val="21"/>
        </w:rPr>
        <w:t>将试样有绝缘要求的外部带电端子短接后，连接到绝缘电阻试验装置的正极输出</w:t>
      </w:r>
    </w:p>
    <w:p w14:paraId="5994D6D2" w14:textId="77777777" w:rsidR="00A71EEF" w:rsidRDefault="00A71EEF">
      <w:pPr>
        <w:rPr>
          <w:sz w:val="21"/>
        </w:rPr>
        <w:sectPr w:rsidR="00A71EEF">
          <w:pgSz w:w="11910" w:h="16850"/>
          <w:pgMar w:top="1220" w:right="0" w:bottom="1420" w:left="1260" w:header="0" w:footer="1239" w:gutter="0"/>
          <w:cols w:space="720"/>
        </w:sectPr>
      </w:pPr>
    </w:p>
    <w:p w14:paraId="3E0217EC" w14:textId="77777777" w:rsidR="00A71EEF" w:rsidRDefault="0081115D">
      <w:pPr>
        <w:pStyle w:val="a3"/>
        <w:spacing w:before="47" w:line="446" w:lineRule="auto"/>
        <w:ind w:left="418" w:right="1611"/>
      </w:pPr>
      <w:r>
        <w:rPr>
          <w:spacing w:val="-5"/>
        </w:rPr>
        <w:t>端，机壳接到绝缘电阻试验装置的负极输出端。施加</w:t>
      </w:r>
      <w:r>
        <w:rPr>
          <w:spacing w:val="-5"/>
        </w:rPr>
        <w:t xml:space="preserve"> </w:t>
      </w:r>
      <w:r>
        <w:t>500V±50V</w:t>
      </w:r>
      <w:r>
        <w:rPr>
          <w:spacing w:val="-13"/>
        </w:rPr>
        <w:t xml:space="preserve"> </w:t>
      </w:r>
      <w:r>
        <w:rPr>
          <w:spacing w:val="-13"/>
        </w:rPr>
        <w:t>直流电压，持续</w:t>
      </w:r>
      <w:r>
        <w:rPr>
          <w:spacing w:val="-13"/>
        </w:rPr>
        <w:t xml:space="preserve"> </w:t>
      </w:r>
      <w:r>
        <w:t>60s±5s</w:t>
      </w:r>
      <w:r>
        <w:rPr>
          <w:spacing w:val="-17"/>
        </w:rPr>
        <w:t xml:space="preserve"> </w:t>
      </w:r>
      <w:r>
        <w:rPr>
          <w:spacing w:val="-17"/>
        </w:rPr>
        <w:t>后，</w:t>
      </w:r>
      <w:r>
        <w:rPr>
          <w:spacing w:val="-17"/>
        </w:rPr>
        <w:t xml:space="preserve"> </w:t>
      </w:r>
      <w:r>
        <w:rPr>
          <w:spacing w:val="-3"/>
        </w:rPr>
        <w:t>记录绝缘电阻值。</w:t>
      </w:r>
      <w:r>
        <w:t xml:space="preserve"> </w:t>
      </w:r>
    </w:p>
    <w:p w14:paraId="715C8635" w14:textId="77777777" w:rsidR="00A71EEF" w:rsidRDefault="0081115D">
      <w:pPr>
        <w:pStyle w:val="a4"/>
        <w:numPr>
          <w:ilvl w:val="3"/>
          <w:numId w:val="406"/>
        </w:numPr>
        <w:tabs>
          <w:tab w:val="left" w:pos="1583"/>
        </w:tabs>
        <w:spacing w:line="446" w:lineRule="auto"/>
        <w:ind w:left="418" w:right="1601" w:firstLine="422"/>
        <w:rPr>
          <w:sz w:val="21"/>
        </w:rPr>
      </w:pPr>
      <w:r>
        <w:rPr>
          <w:spacing w:val="-3"/>
          <w:sz w:val="21"/>
        </w:rPr>
        <w:t>将试样电源插头</w:t>
      </w:r>
      <w:r>
        <w:rPr>
          <w:sz w:val="21"/>
        </w:rPr>
        <w:t>（</w:t>
      </w:r>
      <w:r>
        <w:rPr>
          <w:spacing w:val="-3"/>
          <w:sz w:val="21"/>
        </w:rPr>
        <w:t>或电源接线端子）短接后，连接到绝缘电阻试验装置的正极输</w:t>
      </w:r>
      <w:r>
        <w:rPr>
          <w:spacing w:val="-5"/>
          <w:sz w:val="21"/>
        </w:rPr>
        <w:t>出端，机壳接到绝缘电阻试验装置的负极输出端。施加</w:t>
      </w:r>
      <w:r>
        <w:rPr>
          <w:spacing w:val="-5"/>
          <w:sz w:val="21"/>
        </w:rPr>
        <w:t xml:space="preserve"> </w:t>
      </w:r>
      <w:r>
        <w:rPr>
          <w:sz w:val="21"/>
        </w:rPr>
        <w:t>500V</w:t>
      </w:r>
      <w:r>
        <w:rPr>
          <w:spacing w:val="-34"/>
          <w:sz w:val="21"/>
        </w:rPr>
        <w:t xml:space="preserve"> </w:t>
      </w:r>
      <w:r>
        <w:rPr>
          <w:spacing w:val="-34"/>
          <w:sz w:val="21"/>
        </w:rPr>
        <w:t>土</w:t>
      </w:r>
      <w:r>
        <w:rPr>
          <w:spacing w:val="-34"/>
          <w:sz w:val="21"/>
        </w:rPr>
        <w:t xml:space="preserve"> </w:t>
      </w:r>
      <w:r>
        <w:rPr>
          <w:sz w:val="21"/>
        </w:rPr>
        <w:t>50V</w:t>
      </w:r>
      <w:r>
        <w:rPr>
          <w:spacing w:val="-14"/>
          <w:sz w:val="21"/>
        </w:rPr>
        <w:t xml:space="preserve"> </w:t>
      </w:r>
      <w:r>
        <w:rPr>
          <w:spacing w:val="-14"/>
          <w:sz w:val="21"/>
        </w:rPr>
        <w:t>直流电压，持续</w:t>
      </w:r>
      <w:r>
        <w:rPr>
          <w:spacing w:val="-14"/>
          <w:sz w:val="21"/>
        </w:rPr>
        <w:t xml:space="preserve"> </w:t>
      </w:r>
      <w:r>
        <w:rPr>
          <w:sz w:val="21"/>
        </w:rPr>
        <w:t>60s±5s</w:t>
      </w:r>
      <w:r>
        <w:rPr>
          <w:sz w:val="21"/>
        </w:rPr>
        <w:t xml:space="preserve"> </w:t>
      </w:r>
      <w:r>
        <w:rPr>
          <w:spacing w:val="-3"/>
          <w:sz w:val="21"/>
        </w:rPr>
        <w:t>后，记录绝缘电阻值。</w:t>
      </w:r>
      <w:r>
        <w:rPr>
          <w:sz w:val="21"/>
        </w:rPr>
        <w:t xml:space="preserve"> </w:t>
      </w:r>
    </w:p>
    <w:p w14:paraId="0595986B" w14:textId="77777777" w:rsidR="00A71EEF" w:rsidRDefault="0081115D">
      <w:pPr>
        <w:pStyle w:val="a4"/>
        <w:numPr>
          <w:ilvl w:val="1"/>
          <w:numId w:val="408"/>
        </w:numPr>
        <w:tabs>
          <w:tab w:val="left" w:pos="1159"/>
        </w:tabs>
        <w:spacing w:line="268" w:lineRule="exact"/>
        <w:ind w:hanging="319"/>
        <w:rPr>
          <w:sz w:val="21"/>
        </w:rPr>
      </w:pPr>
      <w:r>
        <w:rPr>
          <w:spacing w:val="-3"/>
          <w:sz w:val="21"/>
        </w:rPr>
        <w:t>电气强度试验</w:t>
      </w:r>
      <w:r>
        <w:rPr>
          <w:sz w:val="21"/>
        </w:rPr>
        <w:t xml:space="preserve"> </w:t>
      </w:r>
    </w:p>
    <w:p w14:paraId="5704E968" w14:textId="77777777" w:rsidR="00A71EEF" w:rsidRDefault="00A71EEF">
      <w:pPr>
        <w:pStyle w:val="a3"/>
        <w:rPr>
          <w:sz w:val="18"/>
        </w:rPr>
      </w:pPr>
    </w:p>
    <w:p w14:paraId="727B1EE2" w14:textId="77777777" w:rsidR="00A71EEF" w:rsidRDefault="0081115D">
      <w:pPr>
        <w:pStyle w:val="a4"/>
        <w:numPr>
          <w:ilvl w:val="2"/>
          <w:numId w:val="408"/>
        </w:numPr>
        <w:tabs>
          <w:tab w:val="left" w:pos="1370"/>
        </w:tabs>
        <w:ind w:left="1369" w:hanging="530"/>
        <w:rPr>
          <w:b/>
          <w:sz w:val="19"/>
        </w:rPr>
      </w:pPr>
      <w:r>
        <w:rPr>
          <w:spacing w:val="-3"/>
          <w:sz w:val="21"/>
        </w:rPr>
        <w:t>试验设备</w:t>
      </w:r>
      <w:r>
        <w:rPr>
          <w:b/>
          <w:w w:val="99"/>
          <w:sz w:val="21"/>
        </w:rPr>
        <w:t xml:space="preserve"> </w:t>
      </w:r>
    </w:p>
    <w:p w14:paraId="785CB7B6" w14:textId="77777777" w:rsidR="00A71EEF" w:rsidRDefault="00A71EEF">
      <w:pPr>
        <w:pStyle w:val="a3"/>
        <w:rPr>
          <w:b/>
          <w:sz w:val="18"/>
        </w:rPr>
      </w:pPr>
    </w:p>
    <w:p w14:paraId="1800CBD0" w14:textId="77777777" w:rsidR="00A71EEF" w:rsidRDefault="0081115D">
      <w:pPr>
        <w:pStyle w:val="a3"/>
        <w:ind w:left="838"/>
      </w:pPr>
      <w:r>
        <w:t>采用满足下述条件的电器强度试验设备：</w:t>
      </w:r>
      <w:r>
        <w:t xml:space="preserve"> </w:t>
      </w:r>
    </w:p>
    <w:p w14:paraId="7197A66D" w14:textId="77777777" w:rsidR="00A71EEF" w:rsidRDefault="00A71EEF">
      <w:pPr>
        <w:pStyle w:val="a3"/>
        <w:rPr>
          <w:sz w:val="18"/>
        </w:rPr>
      </w:pPr>
    </w:p>
    <w:p w14:paraId="61D8A8D2" w14:textId="77777777" w:rsidR="00A71EEF" w:rsidRDefault="0081115D">
      <w:pPr>
        <w:pStyle w:val="a4"/>
        <w:numPr>
          <w:ilvl w:val="0"/>
          <w:numId w:val="405"/>
        </w:numPr>
        <w:tabs>
          <w:tab w:val="left" w:pos="1156"/>
        </w:tabs>
        <w:spacing w:line="446" w:lineRule="auto"/>
        <w:ind w:right="1980" w:firstLine="419"/>
        <w:rPr>
          <w:sz w:val="21"/>
        </w:rPr>
      </w:pPr>
      <w:r>
        <w:rPr>
          <w:spacing w:val="-9"/>
          <w:sz w:val="21"/>
        </w:rPr>
        <w:t>试验电压：电压</w:t>
      </w:r>
      <w:r>
        <w:rPr>
          <w:spacing w:val="-9"/>
          <w:sz w:val="21"/>
        </w:rPr>
        <w:t xml:space="preserve"> </w:t>
      </w:r>
      <w:r>
        <w:rPr>
          <w:sz w:val="21"/>
        </w:rPr>
        <w:t>0</w:t>
      </w:r>
      <w:r>
        <w:rPr>
          <w:sz w:val="21"/>
        </w:rPr>
        <w:t>～</w:t>
      </w:r>
      <w:r>
        <w:rPr>
          <w:sz w:val="21"/>
        </w:rPr>
        <w:t>1250V</w:t>
      </w:r>
      <w:r>
        <w:rPr>
          <w:sz w:val="21"/>
        </w:rPr>
        <w:t>（</w:t>
      </w:r>
      <w:r>
        <w:rPr>
          <w:spacing w:val="-2"/>
          <w:sz w:val="21"/>
        </w:rPr>
        <w:t>有效值</w:t>
      </w:r>
      <w:r>
        <w:rPr>
          <w:spacing w:val="-3"/>
          <w:sz w:val="21"/>
        </w:rPr>
        <w:t>）</w:t>
      </w:r>
      <w:r>
        <w:rPr>
          <w:spacing w:val="-9"/>
          <w:sz w:val="21"/>
        </w:rPr>
        <w:t>连续可调，频率</w:t>
      </w:r>
      <w:r>
        <w:rPr>
          <w:spacing w:val="-9"/>
          <w:sz w:val="21"/>
        </w:rPr>
        <w:t xml:space="preserve"> </w:t>
      </w:r>
      <w:r>
        <w:rPr>
          <w:sz w:val="21"/>
        </w:rPr>
        <w:t>50Hz</w:t>
      </w:r>
      <w:r>
        <w:rPr>
          <w:spacing w:val="-9"/>
          <w:sz w:val="21"/>
        </w:rPr>
        <w:t>，短路电流</w:t>
      </w:r>
      <w:r>
        <w:rPr>
          <w:spacing w:val="-9"/>
          <w:sz w:val="21"/>
        </w:rPr>
        <w:t xml:space="preserve"> </w:t>
      </w:r>
      <w:r>
        <w:rPr>
          <w:sz w:val="21"/>
        </w:rPr>
        <w:t>10A</w:t>
      </w:r>
      <w:r>
        <w:rPr>
          <w:sz w:val="21"/>
        </w:rPr>
        <w:t>（</w:t>
      </w:r>
      <w:r>
        <w:rPr>
          <w:spacing w:val="-2"/>
          <w:sz w:val="21"/>
        </w:rPr>
        <w:t>有效值）；</w:t>
      </w:r>
      <w:r>
        <w:rPr>
          <w:spacing w:val="-2"/>
          <w:sz w:val="21"/>
        </w:rPr>
        <w:t xml:space="preserve"> </w:t>
      </w:r>
    </w:p>
    <w:p w14:paraId="4FD158A1" w14:textId="77777777" w:rsidR="00A71EEF" w:rsidRDefault="0081115D">
      <w:pPr>
        <w:pStyle w:val="a3"/>
        <w:spacing w:line="446" w:lineRule="auto"/>
        <w:ind w:left="838" w:right="6234"/>
      </w:pPr>
      <w:r>
        <w:t>b</w:t>
      </w:r>
      <w:r>
        <w:t>）</w:t>
      </w:r>
      <w:r>
        <w:t xml:space="preserve"> </w:t>
      </w:r>
      <w:r>
        <w:t>升、降压速率：</w:t>
      </w:r>
      <w:r>
        <w:t>100</w:t>
      </w:r>
      <w:r>
        <w:t>～</w:t>
      </w:r>
      <w:r>
        <w:t>500V/s</w:t>
      </w:r>
      <w:r>
        <w:t>；</w:t>
      </w:r>
      <w:r>
        <w:t xml:space="preserve"> c</w:t>
      </w:r>
      <w:r>
        <w:t>）</w:t>
      </w:r>
      <w:r>
        <w:rPr>
          <w:spacing w:val="-2"/>
        </w:rPr>
        <w:t xml:space="preserve"> </w:t>
      </w:r>
      <w:r>
        <w:rPr>
          <w:spacing w:val="-2"/>
        </w:rPr>
        <w:t>计时：</w:t>
      </w:r>
      <w:r>
        <w:t>60s</w:t>
      </w:r>
      <w:r>
        <w:rPr>
          <w:spacing w:val="-36"/>
        </w:rPr>
        <w:t xml:space="preserve"> </w:t>
      </w:r>
      <w:r>
        <w:rPr>
          <w:spacing w:val="-36"/>
        </w:rPr>
        <w:t>士</w:t>
      </w:r>
      <w:r>
        <w:rPr>
          <w:spacing w:val="-36"/>
        </w:rPr>
        <w:t xml:space="preserve"> </w:t>
      </w:r>
      <w:r>
        <w:t>5s</w:t>
      </w:r>
      <w:r>
        <w:rPr>
          <w:spacing w:val="-3"/>
        </w:rPr>
        <w:t>。</w:t>
      </w:r>
      <w:r>
        <w:t xml:space="preserve"> </w:t>
      </w:r>
    </w:p>
    <w:p w14:paraId="2D41F840" w14:textId="77777777" w:rsidR="00A71EEF" w:rsidRDefault="0081115D">
      <w:pPr>
        <w:pStyle w:val="a4"/>
        <w:numPr>
          <w:ilvl w:val="2"/>
          <w:numId w:val="408"/>
        </w:numPr>
        <w:tabs>
          <w:tab w:val="left" w:pos="1371"/>
        </w:tabs>
        <w:ind w:left="1370" w:hanging="531"/>
        <w:rPr>
          <w:b/>
          <w:sz w:val="19"/>
        </w:rPr>
      </w:pPr>
      <w:r>
        <w:rPr>
          <w:spacing w:val="-3"/>
          <w:sz w:val="21"/>
        </w:rPr>
        <w:t>试验步骤</w:t>
      </w:r>
      <w:r>
        <w:rPr>
          <w:b/>
          <w:w w:val="99"/>
          <w:sz w:val="21"/>
        </w:rPr>
        <w:t xml:space="preserve"> </w:t>
      </w:r>
    </w:p>
    <w:p w14:paraId="56DD67F8" w14:textId="77777777" w:rsidR="00A71EEF" w:rsidRDefault="00A71EEF">
      <w:pPr>
        <w:pStyle w:val="a3"/>
        <w:spacing w:before="12"/>
        <w:rPr>
          <w:b/>
          <w:sz w:val="17"/>
        </w:rPr>
      </w:pPr>
    </w:p>
    <w:p w14:paraId="06EA8231" w14:textId="77777777" w:rsidR="00A71EEF" w:rsidRDefault="0081115D">
      <w:pPr>
        <w:pStyle w:val="a4"/>
        <w:numPr>
          <w:ilvl w:val="3"/>
          <w:numId w:val="408"/>
        </w:numPr>
        <w:tabs>
          <w:tab w:val="left" w:pos="1576"/>
        </w:tabs>
        <w:ind w:hanging="738"/>
        <w:rPr>
          <w:sz w:val="21"/>
        </w:rPr>
      </w:pPr>
      <w:r>
        <w:rPr>
          <w:spacing w:val="-3"/>
          <w:sz w:val="21"/>
        </w:rPr>
        <w:t>试验前，将试样的接地保护元件拆除。</w:t>
      </w:r>
      <w:r>
        <w:rPr>
          <w:sz w:val="21"/>
        </w:rPr>
        <w:t xml:space="preserve"> </w:t>
      </w:r>
    </w:p>
    <w:p w14:paraId="6D915742" w14:textId="77777777" w:rsidR="00A71EEF" w:rsidRDefault="00A71EEF">
      <w:pPr>
        <w:pStyle w:val="a3"/>
        <w:rPr>
          <w:sz w:val="18"/>
        </w:rPr>
      </w:pPr>
    </w:p>
    <w:p w14:paraId="7BCD676C" w14:textId="77777777" w:rsidR="00A71EEF" w:rsidRDefault="0081115D">
      <w:pPr>
        <w:pStyle w:val="a4"/>
        <w:numPr>
          <w:ilvl w:val="3"/>
          <w:numId w:val="408"/>
        </w:numPr>
        <w:tabs>
          <w:tab w:val="left" w:pos="1576"/>
        </w:tabs>
        <w:ind w:hanging="738"/>
        <w:rPr>
          <w:sz w:val="21"/>
        </w:rPr>
      </w:pPr>
      <w:r>
        <w:rPr>
          <w:spacing w:val="-9"/>
          <w:sz w:val="21"/>
        </w:rPr>
        <w:t>通过试验装置，以</w:t>
      </w:r>
      <w:r>
        <w:rPr>
          <w:spacing w:val="-9"/>
          <w:sz w:val="21"/>
        </w:rPr>
        <w:t xml:space="preserve"> </w:t>
      </w:r>
      <w:r>
        <w:rPr>
          <w:sz w:val="21"/>
        </w:rPr>
        <w:t>100</w:t>
      </w:r>
      <w:r>
        <w:rPr>
          <w:sz w:val="21"/>
        </w:rPr>
        <w:t>～</w:t>
      </w:r>
      <w:r>
        <w:rPr>
          <w:sz w:val="21"/>
        </w:rPr>
        <w:t>500V/s</w:t>
      </w:r>
      <w:r>
        <w:rPr>
          <w:spacing w:val="-9"/>
          <w:sz w:val="21"/>
        </w:rPr>
        <w:t xml:space="preserve"> </w:t>
      </w:r>
      <w:r>
        <w:rPr>
          <w:spacing w:val="-9"/>
          <w:sz w:val="21"/>
        </w:rPr>
        <w:t>的升压速率，对试样的电源线与机壳间施加</w:t>
      </w:r>
    </w:p>
    <w:p w14:paraId="1205A288" w14:textId="77777777" w:rsidR="00A71EEF" w:rsidRDefault="00A71EEF">
      <w:pPr>
        <w:pStyle w:val="a3"/>
        <w:spacing w:before="1"/>
        <w:rPr>
          <w:sz w:val="18"/>
        </w:rPr>
      </w:pPr>
    </w:p>
    <w:p w14:paraId="7D38FE77" w14:textId="77777777" w:rsidR="00A71EEF" w:rsidRDefault="0081115D">
      <w:pPr>
        <w:pStyle w:val="a3"/>
        <w:spacing w:before="1"/>
        <w:ind w:left="418"/>
      </w:pPr>
      <w:r>
        <w:t>50Hz</w:t>
      </w:r>
      <w:r>
        <w:t>，</w:t>
      </w:r>
      <w:r>
        <w:t>1250V</w:t>
      </w:r>
      <w:r>
        <w:t>（有效值电压）的试验电压，持续</w:t>
      </w:r>
      <w:r>
        <w:t xml:space="preserve"> 60s±5s</w:t>
      </w:r>
      <w:r>
        <w:t>，观察并记录试验中所发生的现象。</w:t>
      </w:r>
      <w:r>
        <w:t xml:space="preserve"> </w:t>
      </w:r>
    </w:p>
    <w:p w14:paraId="0E870AE1" w14:textId="77777777" w:rsidR="00A71EEF" w:rsidRDefault="00A71EEF">
      <w:pPr>
        <w:pStyle w:val="a3"/>
        <w:spacing w:before="12"/>
        <w:rPr>
          <w:sz w:val="17"/>
        </w:rPr>
      </w:pPr>
    </w:p>
    <w:p w14:paraId="6DB8FFB9" w14:textId="77777777" w:rsidR="00A71EEF" w:rsidRDefault="0081115D">
      <w:pPr>
        <w:pStyle w:val="a4"/>
        <w:numPr>
          <w:ilvl w:val="3"/>
          <w:numId w:val="408"/>
        </w:numPr>
        <w:tabs>
          <w:tab w:val="left" w:pos="1576"/>
        </w:tabs>
        <w:spacing w:line="446" w:lineRule="auto"/>
        <w:ind w:left="418" w:right="1508" w:firstLine="419"/>
        <w:rPr>
          <w:sz w:val="21"/>
        </w:rPr>
      </w:pPr>
      <w:r>
        <w:rPr>
          <w:spacing w:val="-23"/>
          <w:sz w:val="21"/>
        </w:rPr>
        <w:t>以</w:t>
      </w:r>
      <w:r>
        <w:rPr>
          <w:spacing w:val="-23"/>
          <w:sz w:val="21"/>
        </w:rPr>
        <w:t xml:space="preserve"> </w:t>
      </w:r>
      <w:r>
        <w:rPr>
          <w:sz w:val="21"/>
        </w:rPr>
        <w:t>100V/s</w:t>
      </w:r>
      <w:r>
        <w:rPr>
          <w:sz w:val="21"/>
        </w:rPr>
        <w:t>～</w:t>
      </w:r>
      <w:r>
        <w:rPr>
          <w:sz w:val="21"/>
        </w:rPr>
        <w:t>500V/s</w:t>
      </w:r>
      <w:r>
        <w:rPr>
          <w:spacing w:val="-9"/>
          <w:sz w:val="21"/>
        </w:rPr>
        <w:t xml:space="preserve"> </w:t>
      </w:r>
      <w:r>
        <w:rPr>
          <w:spacing w:val="-9"/>
          <w:sz w:val="21"/>
        </w:rPr>
        <w:t>的降压速率使电压降至低于额定电压值，切断试验装置的电压</w:t>
      </w:r>
      <w:r>
        <w:rPr>
          <w:spacing w:val="-8"/>
          <w:sz w:val="21"/>
        </w:rPr>
        <w:t>输出。</w:t>
      </w:r>
      <w:r>
        <w:rPr>
          <w:sz w:val="21"/>
        </w:rPr>
        <w:t xml:space="preserve"> </w:t>
      </w:r>
    </w:p>
    <w:p w14:paraId="6D375FEE" w14:textId="77777777" w:rsidR="00A71EEF" w:rsidRDefault="0081115D">
      <w:pPr>
        <w:pStyle w:val="a4"/>
        <w:numPr>
          <w:ilvl w:val="3"/>
          <w:numId w:val="408"/>
        </w:numPr>
        <w:tabs>
          <w:tab w:val="left" w:pos="1576"/>
        </w:tabs>
        <w:ind w:hanging="738"/>
        <w:rPr>
          <w:sz w:val="21"/>
        </w:rPr>
      </w:pPr>
      <w:r>
        <w:rPr>
          <w:spacing w:val="-3"/>
          <w:sz w:val="21"/>
        </w:rPr>
        <w:t>接通试样电源，使其处于正常监视状态。</w:t>
      </w:r>
      <w:r>
        <w:rPr>
          <w:sz w:val="21"/>
        </w:rPr>
        <w:t xml:space="preserve"> </w:t>
      </w:r>
    </w:p>
    <w:p w14:paraId="006813E4" w14:textId="77777777" w:rsidR="00A71EEF" w:rsidRDefault="00A71EEF">
      <w:pPr>
        <w:pStyle w:val="a3"/>
        <w:rPr>
          <w:sz w:val="18"/>
        </w:rPr>
      </w:pPr>
    </w:p>
    <w:p w14:paraId="33CFD0FE" w14:textId="77777777" w:rsidR="00A71EEF" w:rsidRDefault="0081115D">
      <w:pPr>
        <w:pStyle w:val="a4"/>
        <w:numPr>
          <w:ilvl w:val="3"/>
          <w:numId w:val="408"/>
        </w:numPr>
        <w:tabs>
          <w:tab w:val="left" w:pos="1576"/>
        </w:tabs>
        <w:ind w:hanging="738"/>
        <w:rPr>
          <w:sz w:val="21"/>
        </w:rPr>
      </w:pPr>
      <w:r>
        <w:rPr>
          <w:spacing w:val="-3"/>
          <w:sz w:val="21"/>
        </w:rPr>
        <w:t>进行基本功能试验，并与试验前的基本功能相比较。</w:t>
      </w:r>
      <w:r>
        <w:rPr>
          <w:sz w:val="21"/>
        </w:rPr>
        <w:t xml:space="preserve"> </w:t>
      </w:r>
    </w:p>
    <w:p w14:paraId="46917ED6" w14:textId="77777777" w:rsidR="00A71EEF" w:rsidRDefault="00A71EEF">
      <w:pPr>
        <w:pStyle w:val="a3"/>
        <w:spacing w:before="12"/>
        <w:rPr>
          <w:sz w:val="17"/>
        </w:rPr>
      </w:pPr>
    </w:p>
    <w:p w14:paraId="56BBA272" w14:textId="77777777" w:rsidR="00A71EEF" w:rsidRDefault="0081115D">
      <w:pPr>
        <w:pStyle w:val="a4"/>
        <w:numPr>
          <w:ilvl w:val="1"/>
          <w:numId w:val="408"/>
        </w:numPr>
        <w:tabs>
          <w:tab w:val="left" w:pos="1159"/>
        </w:tabs>
        <w:ind w:hanging="319"/>
        <w:rPr>
          <w:sz w:val="21"/>
        </w:rPr>
      </w:pPr>
      <w:r>
        <w:rPr>
          <w:spacing w:val="-3"/>
          <w:sz w:val="21"/>
        </w:rPr>
        <w:t>射频电磁场辐射抗扰度试验</w:t>
      </w:r>
      <w:r>
        <w:rPr>
          <w:sz w:val="21"/>
        </w:rPr>
        <w:t xml:space="preserve"> </w:t>
      </w:r>
    </w:p>
    <w:p w14:paraId="7753CCEC" w14:textId="77777777" w:rsidR="00A71EEF" w:rsidRDefault="00A71EEF">
      <w:pPr>
        <w:pStyle w:val="a3"/>
        <w:spacing w:before="2"/>
        <w:rPr>
          <w:sz w:val="18"/>
        </w:rPr>
      </w:pPr>
    </w:p>
    <w:p w14:paraId="64E96DF2" w14:textId="77777777" w:rsidR="00A71EEF" w:rsidRDefault="0081115D">
      <w:pPr>
        <w:pStyle w:val="a4"/>
        <w:numPr>
          <w:ilvl w:val="2"/>
          <w:numId w:val="408"/>
        </w:numPr>
        <w:tabs>
          <w:tab w:val="left" w:pos="1371"/>
        </w:tabs>
        <w:spacing w:line="446" w:lineRule="auto"/>
        <w:ind w:left="418" w:right="1500" w:firstLine="422"/>
        <w:rPr>
          <w:sz w:val="19"/>
        </w:rPr>
      </w:pPr>
      <w:r>
        <w:rPr>
          <w:spacing w:val="-12"/>
          <w:sz w:val="21"/>
        </w:rPr>
        <w:t>将试样按</w:t>
      </w:r>
      <w:r>
        <w:rPr>
          <w:spacing w:val="-12"/>
          <w:sz w:val="21"/>
        </w:rPr>
        <w:t xml:space="preserve"> </w:t>
      </w:r>
      <w:r>
        <w:rPr>
          <w:sz w:val="21"/>
        </w:rPr>
        <w:t>GB/T</w:t>
      </w:r>
      <w:r>
        <w:rPr>
          <w:spacing w:val="11"/>
          <w:sz w:val="21"/>
        </w:rPr>
        <w:t xml:space="preserve"> </w:t>
      </w:r>
      <w:r>
        <w:rPr>
          <w:sz w:val="21"/>
        </w:rPr>
        <w:t>17626.3</w:t>
      </w:r>
      <w:r>
        <w:rPr>
          <w:spacing w:val="-8"/>
          <w:sz w:val="21"/>
        </w:rPr>
        <w:t xml:space="preserve"> </w:t>
      </w:r>
      <w:r>
        <w:rPr>
          <w:spacing w:val="-8"/>
          <w:sz w:val="21"/>
        </w:rPr>
        <w:t>的规定进行试验布置，将监控器及电动闭门器、释放器和门</w:t>
      </w:r>
      <w:r>
        <w:rPr>
          <w:spacing w:val="-7"/>
          <w:sz w:val="21"/>
        </w:rPr>
        <w:t>磁开关连接，接通电源，使其处于正常监视状态，保持</w:t>
      </w:r>
      <w:r>
        <w:rPr>
          <w:spacing w:val="-7"/>
          <w:sz w:val="21"/>
        </w:rPr>
        <w:t xml:space="preserve"> </w:t>
      </w:r>
      <w:r>
        <w:rPr>
          <w:sz w:val="21"/>
        </w:rPr>
        <w:t>20min</w:t>
      </w:r>
      <w:r>
        <w:rPr>
          <w:spacing w:val="-3"/>
          <w:sz w:val="21"/>
        </w:rPr>
        <w:t>。</w:t>
      </w:r>
      <w:r>
        <w:rPr>
          <w:sz w:val="21"/>
        </w:rPr>
        <w:t xml:space="preserve"> </w:t>
      </w:r>
    </w:p>
    <w:p w14:paraId="6A2BD2A0" w14:textId="77777777" w:rsidR="00A71EEF" w:rsidRDefault="0081115D">
      <w:pPr>
        <w:pStyle w:val="a4"/>
        <w:numPr>
          <w:ilvl w:val="2"/>
          <w:numId w:val="408"/>
        </w:numPr>
        <w:tabs>
          <w:tab w:val="left" w:pos="1370"/>
        </w:tabs>
        <w:spacing w:line="446" w:lineRule="auto"/>
        <w:ind w:left="418" w:right="1498" w:firstLine="422"/>
        <w:rPr>
          <w:sz w:val="19"/>
        </w:rPr>
      </w:pPr>
      <w:r>
        <w:rPr>
          <w:spacing w:val="-25"/>
          <w:sz w:val="21"/>
        </w:rPr>
        <w:t>按</w:t>
      </w:r>
      <w:r>
        <w:rPr>
          <w:spacing w:val="-25"/>
          <w:sz w:val="21"/>
        </w:rPr>
        <w:t xml:space="preserve"> </w:t>
      </w:r>
      <w:r>
        <w:rPr>
          <w:sz w:val="21"/>
        </w:rPr>
        <w:t>GB/T</w:t>
      </w:r>
      <w:r>
        <w:rPr>
          <w:spacing w:val="6"/>
          <w:sz w:val="21"/>
        </w:rPr>
        <w:t xml:space="preserve"> </w:t>
      </w:r>
      <w:r>
        <w:rPr>
          <w:sz w:val="21"/>
        </w:rPr>
        <w:t>17626.3</w:t>
      </w:r>
      <w:r>
        <w:rPr>
          <w:spacing w:val="-11"/>
          <w:sz w:val="21"/>
        </w:rPr>
        <w:t xml:space="preserve"> </w:t>
      </w:r>
      <w:r>
        <w:rPr>
          <w:spacing w:val="-11"/>
          <w:sz w:val="21"/>
        </w:rPr>
        <w:t>规定的试验方法对试样施加表</w:t>
      </w:r>
      <w:r>
        <w:rPr>
          <w:spacing w:val="-11"/>
          <w:sz w:val="21"/>
        </w:rPr>
        <w:t xml:space="preserve"> </w:t>
      </w:r>
      <w:r>
        <w:rPr>
          <w:sz w:val="21"/>
        </w:rPr>
        <w:t>1</w:t>
      </w:r>
      <w:r>
        <w:rPr>
          <w:spacing w:val="-9"/>
          <w:sz w:val="21"/>
        </w:rPr>
        <w:t xml:space="preserve"> </w:t>
      </w:r>
      <w:r>
        <w:rPr>
          <w:spacing w:val="-9"/>
          <w:sz w:val="21"/>
        </w:rPr>
        <w:t>所示条件的电磁干扰试验，观察并</w:t>
      </w:r>
      <w:r>
        <w:rPr>
          <w:spacing w:val="-5"/>
          <w:sz w:val="21"/>
        </w:rPr>
        <w:t>记录试样的工作状态。</w:t>
      </w:r>
      <w:r>
        <w:rPr>
          <w:sz w:val="21"/>
        </w:rPr>
        <w:t xml:space="preserve"> </w:t>
      </w:r>
    </w:p>
    <w:p w14:paraId="2E3C2BAD" w14:textId="77777777" w:rsidR="00A71EEF" w:rsidRDefault="0081115D">
      <w:pPr>
        <w:pStyle w:val="a4"/>
        <w:numPr>
          <w:ilvl w:val="2"/>
          <w:numId w:val="408"/>
        </w:numPr>
        <w:tabs>
          <w:tab w:val="left" w:pos="1371"/>
        </w:tabs>
        <w:ind w:left="1370" w:hanging="531"/>
        <w:rPr>
          <w:sz w:val="19"/>
        </w:rPr>
      </w:pPr>
      <w:r>
        <w:rPr>
          <w:spacing w:val="-3"/>
          <w:sz w:val="21"/>
        </w:rPr>
        <w:t>进行基本功能试验，并与试验前的基本功能相比较。</w:t>
      </w:r>
      <w:r>
        <w:rPr>
          <w:sz w:val="21"/>
        </w:rPr>
        <w:t xml:space="preserve"> </w:t>
      </w:r>
    </w:p>
    <w:p w14:paraId="556466BC" w14:textId="77777777" w:rsidR="00A71EEF" w:rsidRDefault="00A71EEF">
      <w:pPr>
        <w:pStyle w:val="a3"/>
        <w:spacing w:before="10"/>
        <w:rPr>
          <w:sz w:val="17"/>
        </w:rPr>
      </w:pPr>
    </w:p>
    <w:p w14:paraId="07C620CD" w14:textId="77777777" w:rsidR="00A71EEF" w:rsidRDefault="0081115D">
      <w:pPr>
        <w:pStyle w:val="a4"/>
        <w:numPr>
          <w:ilvl w:val="1"/>
          <w:numId w:val="408"/>
        </w:numPr>
        <w:tabs>
          <w:tab w:val="left" w:pos="1159"/>
        </w:tabs>
        <w:ind w:hanging="319"/>
        <w:rPr>
          <w:b/>
          <w:sz w:val="21"/>
        </w:rPr>
      </w:pPr>
      <w:r>
        <w:rPr>
          <w:spacing w:val="-3"/>
          <w:sz w:val="21"/>
        </w:rPr>
        <w:t>射频场感应的传导骚扰抗扰度试验</w:t>
      </w:r>
      <w:r>
        <w:rPr>
          <w:b/>
          <w:w w:val="99"/>
          <w:sz w:val="21"/>
        </w:rPr>
        <w:t xml:space="preserve"> </w:t>
      </w:r>
    </w:p>
    <w:p w14:paraId="56E51E88" w14:textId="77777777" w:rsidR="00A71EEF" w:rsidRDefault="00A71EEF">
      <w:pPr>
        <w:pStyle w:val="a3"/>
        <w:spacing w:before="2"/>
        <w:rPr>
          <w:b/>
          <w:sz w:val="18"/>
        </w:rPr>
      </w:pPr>
    </w:p>
    <w:p w14:paraId="2ED11AE1" w14:textId="77777777" w:rsidR="00A71EEF" w:rsidRDefault="0081115D">
      <w:pPr>
        <w:pStyle w:val="a4"/>
        <w:numPr>
          <w:ilvl w:val="2"/>
          <w:numId w:val="408"/>
        </w:numPr>
        <w:tabs>
          <w:tab w:val="left" w:pos="1370"/>
        </w:tabs>
        <w:ind w:left="1369" w:hanging="530"/>
        <w:rPr>
          <w:sz w:val="19"/>
        </w:rPr>
      </w:pPr>
      <w:r>
        <w:rPr>
          <w:spacing w:val="-13"/>
          <w:sz w:val="21"/>
        </w:rPr>
        <w:t>将试样按</w:t>
      </w:r>
      <w:r>
        <w:rPr>
          <w:spacing w:val="-13"/>
          <w:sz w:val="21"/>
        </w:rPr>
        <w:t xml:space="preserve"> </w:t>
      </w:r>
      <w:r>
        <w:rPr>
          <w:sz w:val="21"/>
        </w:rPr>
        <w:t>GB/T</w:t>
      </w:r>
      <w:r>
        <w:rPr>
          <w:spacing w:val="3"/>
          <w:sz w:val="21"/>
        </w:rPr>
        <w:t xml:space="preserve"> </w:t>
      </w:r>
      <w:r>
        <w:rPr>
          <w:sz w:val="21"/>
        </w:rPr>
        <w:t>17626.6</w:t>
      </w:r>
      <w:r>
        <w:rPr>
          <w:spacing w:val="-9"/>
          <w:sz w:val="21"/>
        </w:rPr>
        <w:t xml:space="preserve"> </w:t>
      </w:r>
      <w:r>
        <w:rPr>
          <w:spacing w:val="-9"/>
          <w:sz w:val="21"/>
        </w:rPr>
        <w:t>的规定进行试验配置，将监控器及电动闭门器、释放器和门</w:t>
      </w:r>
    </w:p>
    <w:p w14:paraId="2700EA8E" w14:textId="77777777" w:rsidR="00A71EEF" w:rsidRDefault="00A71EEF">
      <w:pPr>
        <w:rPr>
          <w:sz w:val="19"/>
        </w:rPr>
        <w:sectPr w:rsidR="00A71EEF">
          <w:pgSz w:w="11910" w:h="16850"/>
          <w:pgMar w:top="1220" w:right="0" w:bottom="1420" w:left="1260" w:header="0" w:footer="1239" w:gutter="0"/>
          <w:cols w:space="720"/>
        </w:sectPr>
      </w:pPr>
    </w:p>
    <w:p w14:paraId="693301A1" w14:textId="77777777" w:rsidR="00A71EEF" w:rsidRDefault="0081115D">
      <w:pPr>
        <w:pStyle w:val="a3"/>
        <w:spacing w:before="47"/>
        <w:ind w:left="418"/>
      </w:pPr>
      <w:r>
        <w:t>磁开关连接，接通电源，使其处于正常监视状态，保持</w:t>
      </w:r>
      <w:r>
        <w:t xml:space="preserve"> 20min</w:t>
      </w:r>
      <w:r>
        <w:t>。</w:t>
      </w:r>
      <w:r>
        <w:t xml:space="preserve"> </w:t>
      </w:r>
    </w:p>
    <w:p w14:paraId="64D27898" w14:textId="77777777" w:rsidR="00A71EEF" w:rsidRDefault="00A71EEF">
      <w:pPr>
        <w:pStyle w:val="a3"/>
        <w:rPr>
          <w:sz w:val="18"/>
        </w:rPr>
      </w:pPr>
    </w:p>
    <w:p w14:paraId="796949C3" w14:textId="77777777" w:rsidR="00A71EEF" w:rsidRDefault="0081115D">
      <w:pPr>
        <w:pStyle w:val="a4"/>
        <w:numPr>
          <w:ilvl w:val="2"/>
          <w:numId w:val="408"/>
        </w:numPr>
        <w:tabs>
          <w:tab w:val="left" w:pos="1371"/>
        </w:tabs>
        <w:spacing w:line="446" w:lineRule="auto"/>
        <w:ind w:left="418" w:right="1498" w:firstLine="422"/>
        <w:rPr>
          <w:sz w:val="19"/>
        </w:rPr>
      </w:pPr>
      <w:r>
        <w:rPr>
          <w:spacing w:val="-26"/>
          <w:sz w:val="21"/>
        </w:rPr>
        <w:t>按</w:t>
      </w:r>
      <w:r>
        <w:rPr>
          <w:spacing w:val="-26"/>
          <w:sz w:val="21"/>
        </w:rPr>
        <w:t xml:space="preserve"> </w:t>
      </w:r>
      <w:r>
        <w:rPr>
          <w:sz w:val="21"/>
        </w:rPr>
        <w:t>GB/T</w:t>
      </w:r>
      <w:r>
        <w:rPr>
          <w:spacing w:val="9"/>
          <w:sz w:val="21"/>
        </w:rPr>
        <w:t xml:space="preserve"> </w:t>
      </w:r>
      <w:r>
        <w:rPr>
          <w:sz w:val="21"/>
        </w:rPr>
        <w:t>17626.6</w:t>
      </w:r>
      <w:r>
        <w:rPr>
          <w:spacing w:val="-11"/>
          <w:sz w:val="21"/>
        </w:rPr>
        <w:t xml:space="preserve"> </w:t>
      </w:r>
      <w:r>
        <w:rPr>
          <w:spacing w:val="-11"/>
          <w:sz w:val="21"/>
        </w:rPr>
        <w:t>规定的试验方法对试样施加表</w:t>
      </w:r>
      <w:r>
        <w:rPr>
          <w:spacing w:val="-11"/>
          <w:sz w:val="21"/>
        </w:rPr>
        <w:t xml:space="preserve"> </w:t>
      </w:r>
      <w:r>
        <w:rPr>
          <w:sz w:val="21"/>
        </w:rPr>
        <w:t>1</w:t>
      </w:r>
      <w:r>
        <w:rPr>
          <w:spacing w:val="-9"/>
          <w:sz w:val="21"/>
        </w:rPr>
        <w:t xml:space="preserve"> </w:t>
      </w:r>
      <w:r>
        <w:rPr>
          <w:spacing w:val="-9"/>
          <w:sz w:val="21"/>
        </w:rPr>
        <w:t>所示条件的电磁干扰试验，观察并</w:t>
      </w:r>
      <w:r>
        <w:rPr>
          <w:spacing w:val="-5"/>
          <w:sz w:val="21"/>
        </w:rPr>
        <w:t>记录试样的工作状态。</w:t>
      </w:r>
      <w:r>
        <w:rPr>
          <w:sz w:val="21"/>
        </w:rPr>
        <w:t xml:space="preserve"> </w:t>
      </w:r>
    </w:p>
    <w:p w14:paraId="573FC948" w14:textId="77777777" w:rsidR="00A71EEF" w:rsidRDefault="0081115D">
      <w:pPr>
        <w:pStyle w:val="a4"/>
        <w:numPr>
          <w:ilvl w:val="2"/>
          <w:numId w:val="408"/>
        </w:numPr>
        <w:tabs>
          <w:tab w:val="left" w:pos="1371"/>
        </w:tabs>
        <w:ind w:left="1370" w:hanging="531"/>
        <w:rPr>
          <w:sz w:val="19"/>
        </w:rPr>
      </w:pPr>
      <w:r>
        <w:rPr>
          <w:spacing w:val="-3"/>
          <w:sz w:val="21"/>
        </w:rPr>
        <w:t>进行基本功能试验，并与试验前的基本功能相比较。</w:t>
      </w:r>
      <w:r>
        <w:rPr>
          <w:sz w:val="21"/>
        </w:rPr>
        <w:t xml:space="preserve"> </w:t>
      </w:r>
    </w:p>
    <w:p w14:paraId="4519AA58" w14:textId="77777777" w:rsidR="00A71EEF" w:rsidRDefault="00A71EEF">
      <w:pPr>
        <w:pStyle w:val="a3"/>
        <w:spacing w:before="12"/>
        <w:rPr>
          <w:sz w:val="17"/>
        </w:rPr>
      </w:pPr>
    </w:p>
    <w:p w14:paraId="04A8CDFC" w14:textId="77777777" w:rsidR="00A71EEF" w:rsidRDefault="0081115D">
      <w:pPr>
        <w:pStyle w:val="a4"/>
        <w:numPr>
          <w:ilvl w:val="1"/>
          <w:numId w:val="408"/>
        </w:numPr>
        <w:tabs>
          <w:tab w:val="left" w:pos="1264"/>
        </w:tabs>
        <w:ind w:left="1263" w:hanging="424"/>
        <w:rPr>
          <w:sz w:val="21"/>
        </w:rPr>
      </w:pPr>
      <w:r>
        <w:rPr>
          <w:spacing w:val="-3"/>
          <w:sz w:val="21"/>
        </w:rPr>
        <w:t>静电放电抗扰度试验</w:t>
      </w:r>
      <w:r>
        <w:rPr>
          <w:sz w:val="21"/>
        </w:rPr>
        <w:t xml:space="preserve"> </w:t>
      </w:r>
    </w:p>
    <w:p w14:paraId="5AF2F21F" w14:textId="77777777" w:rsidR="00A71EEF" w:rsidRDefault="00A71EEF">
      <w:pPr>
        <w:pStyle w:val="a3"/>
        <w:rPr>
          <w:sz w:val="18"/>
        </w:rPr>
      </w:pPr>
    </w:p>
    <w:p w14:paraId="353F643B" w14:textId="77777777" w:rsidR="00A71EEF" w:rsidRDefault="0081115D">
      <w:pPr>
        <w:pStyle w:val="a4"/>
        <w:numPr>
          <w:ilvl w:val="2"/>
          <w:numId w:val="408"/>
        </w:numPr>
        <w:tabs>
          <w:tab w:val="left" w:pos="1478"/>
        </w:tabs>
        <w:spacing w:line="446" w:lineRule="auto"/>
        <w:ind w:left="418" w:right="1601" w:firstLine="422"/>
        <w:rPr>
          <w:sz w:val="19"/>
        </w:rPr>
      </w:pPr>
      <w:r>
        <w:rPr>
          <w:spacing w:val="-12"/>
          <w:sz w:val="21"/>
        </w:rPr>
        <w:t>将试样按</w:t>
      </w:r>
      <w:r>
        <w:rPr>
          <w:spacing w:val="-12"/>
          <w:sz w:val="21"/>
        </w:rPr>
        <w:t xml:space="preserve"> </w:t>
      </w:r>
      <w:r>
        <w:rPr>
          <w:sz w:val="21"/>
        </w:rPr>
        <w:t>GB/T</w:t>
      </w:r>
      <w:r>
        <w:rPr>
          <w:spacing w:val="12"/>
          <w:sz w:val="21"/>
        </w:rPr>
        <w:t xml:space="preserve"> </w:t>
      </w:r>
      <w:r>
        <w:rPr>
          <w:sz w:val="21"/>
        </w:rPr>
        <w:t>17626.2</w:t>
      </w:r>
      <w:r>
        <w:rPr>
          <w:spacing w:val="-8"/>
          <w:sz w:val="21"/>
        </w:rPr>
        <w:t xml:space="preserve"> </w:t>
      </w:r>
      <w:r>
        <w:rPr>
          <w:spacing w:val="-8"/>
          <w:sz w:val="21"/>
        </w:rPr>
        <w:t>的规定进行试验布置，将监控器及电动闭门器、释放器和</w:t>
      </w:r>
      <w:r>
        <w:rPr>
          <w:spacing w:val="-7"/>
          <w:sz w:val="21"/>
        </w:rPr>
        <w:t>门磁开关连接，接通电源，使其处于正常监视状态，保持</w:t>
      </w:r>
      <w:r>
        <w:rPr>
          <w:spacing w:val="-7"/>
          <w:sz w:val="21"/>
        </w:rPr>
        <w:t xml:space="preserve"> </w:t>
      </w:r>
      <w:r>
        <w:rPr>
          <w:sz w:val="21"/>
        </w:rPr>
        <w:t>20min</w:t>
      </w:r>
      <w:r>
        <w:rPr>
          <w:spacing w:val="-3"/>
          <w:sz w:val="21"/>
        </w:rPr>
        <w:t>。</w:t>
      </w:r>
      <w:r>
        <w:rPr>
          <w:sz w:val="21"/>
        </w:rPr>
        <w:t xml:space="preserve"> </w:t>
      </w:r>
    </w:p>
    <w:p w14:paraId="5BF50486" w14:textId="77777777" w:rsidR="00A71EEF" w:rsidRDefault="0081115D">
      <w:pPr>
        <w:pStyle w:val="a4"/>
        <w:numPr>
          <w:ilvl w:val="2"/>
          <w:numId w:val="408"/>
        </w:numPr>
        <w:tabs>
          <w:tab w:val="left" w:pos="1478"/>
        </w:tabs>
        <w:spacing w:line="446" w:lineRule="auto"/>
        <w:ind w:left="418" w:right="1601" w:firstLine="422"/>
        <w:rPr>
          <w:sz w:val="19"/>
        </w:rPr>
      </w:pPr>
      <w:r>
        <w:rPr>
          <w:spacing w:val="-26"/>
          <w:sz w:val="21"/>
        </w:rPr>
        <w:t>按</w:t>
      </w:r>
      <w:r>
        <w:rPr>
          <w:spacing w:val="-26"/>
          <w:sz w:val="21"/>
        </w:rPr>
        <w:t xml:space="preserve"> </w:t>
      </w:r>
      <w:r>
        <w:rPr>
          <w:sz w:val="21"/>
        </w:rPr>
        <w:t>GB/T</w:t>
      </w:r>
      <w:r>
        <w:rPr>
          <w:spacing w:val="9"/>
          <w:sz w:val="21"/>
        </w:rPr>
        <w:t xml:space="preserve"> </w:t>
      </w:r>
      <w:r>
        <w:rPr>
          <w:sz w:val="21"/>
        </w:rPr>
        <w:t>17626.2</w:t>
      </w:r>
      <w:r>
        <w:rPr>
          <w:spacing w:val="-12"/>
          <w:sz w:val="21"/>
        </w:rPr>
        <w:t xml:space="preserve"> </w:t>
      </w:r>
      <w:r>
        <w:rPr>
          <w:spacing w:val="-12"/>
          <w:sz w:val="21"/>
        </w:rPr>
        <w:t>规定的试验方法对试样及耦合板施加表</w:t>
      </w:r>
      <w:r>
        <w:rPr>
          <w:spacing w:val="-12"/>
          <w:sz w:val="21"/>
        </w:rPr>
        <w:t xml:space="preserve"> </w:t>
      </w:r>
      <w:r>
        <w:rPr>
          <w:sz w:val="21"/>
        </w:rPr>
        <w:t>1</w:t>
      </w:r>
      <w:r>
        <w:rPr>
          <w:spacing w:val="-9"/>
          <w:sz w:val="21"/>
        </w:rPr>
        <w:t xml:space="preserve"> </w:t>
      </w:r>
      <w:r>
        <w:rPr>
          <w:spacing w:val="-9"/>
          <w:sz w:val="21"/>
        </w:rPr>
        <w:t>所示条件的电磁干扰试</w:t>
      </w:r>
      <w:r>
        <w:rPr>
          <w:spacing w:val="-5"/>
          <w:sz w:val="21"/>
        </w:rPr>
        <w:t>验，观察并记录试样的工作状态。</w:t>
      </w:r>
      <w:r>
        <w:rPr>
          <w:sz w:val="21"/>
        </w:rPr>
        <w:t xml:space="preserve"> </w:t>
      </w:r>
    </w:p>
    <w:p w14:paraId="61BB6165" w14:textId="77777777" w:rsidR="00A71EEF" w:rsidRDefault="0081115D">
      <w:pPr>
        <w:pStyle w:val="a4"/>
        <w:numPr>
          <w:ilvl w:val="2"/>
          <w:numId w:val="408"/>
        </w:numPr>
        <w:tabs>
          <w:tab w:val="left" w:pos="1478"/>
        </w:tabs>
        <w:ind w:hanging="638"/>
        <w:rPr>
          <w:sz w:val="19"/>
        </w:rPr>
      </w:pPr>
      <w:r>
        <w:rPr>
          <w:spacing w:val="-3"/>
          <w:sz w:val="21"/>
        </w:rPr>
        <w:t>进行基本功能试验，并与试验前的基本功能相比较。</w:t>
      </w:r>
      <w:r>
        <w:rPr>
          <w:sz w:val="21"/>
        </w:rPr>
        <w:t xml:space="preserve"> </w:t>
      </w:r>
    </w:p>
    <w:p w14:paraId="6C943BED" w14:textId="77777777" w:rsidR="00A71EEF" w:rsidRDefault="00A71EEF">
      <w:pPr>
        <w:pStyle w:val="a3"/>
        <w:rPr>
          <w:sz w:val="18"/>
        </w:rPr>
      </w:pPr>
    </w:p>
    <w:p w14:paraId="0DCBE3F1" w14:textId="77777777" w:rsidR="00A71EEF" w:rsidRDefault="0081115D">
      <w:pPr>
        <w:pStyle w:val="a4"/>
        <w:numPr>
          <w:ilvl w:val="1"/>
          <w:numId w:val="408"/>
        </w:numPr>
        <w:tabs>
          <w:tab w:val="left" w:pos="1264"/>
        </w:tabs>
        <w:ind w:left="1263" w:hanging="424"/>
        <w:rPr>
          <w:sz w:val="21"/>
        </w:rPr>
      </w:pPr>
      <w:r>
        <w:rPr>
          <w:spacing w:val="-3"/>
          <w:sz w:val="21"/>
        </w:rPr>
        <w:t>电快速瞬变脉冲群抗扰度试验</w:t>
      </w:r>
      <w:r>
        <w:rPr>
          <w:sz w:val="21"/>
        </w:rPr>
        <w:t xml:space="preserve"> </w:t>
      </w:r>
    </w:p>
    <w:p w14:paraId="61F45D4E" w14:textId="77777777" w:rsidR="00A71EEF" w:rsidRDefault="00A71EEF">
      <w:pPr>
        <w:pStyle w:val="a3"/>
        <w:spacing w:before="12"/>
        <w:rPr>
          <w:sz w:val="17"/>
        </w:rPr>
      </w:pPr>
    </w:p>
    <w:p w14:paraId="76AC617C" w14:textId="77777777" w:rsidR="00A71EEF" w:rsidRDefault="0081115D">
      <w:pPr>
        <w:pStyle w:val="a4"/>
        <w:numPr>
          <w:ilvl w:val="2"/>
          <w:numId w:val="408"/>
        </w:numPr>
        <w:tabs>
          <w:tab w:val="left" w:pos="1478"/>
        </w:tabs>
        <w:spacing w:line="446" w:lineRule="auto"/>
        <w:ind w:left="418" w:right="1601" w:firstLine="422"/>
        <w:rPr>
          <w:sz w:val="19"/>
        </w:rPr>
      </w:pPr>
      <w:r>
        <w:rPr>
          <w:spacing w:val="-12"/>
          <w:sz w:val="21"/>
        </w:rPr>
        <w:t>将试样按</w:t>
      </w:r>
      <w:r>
        <w:rPr>
          <w:spacing w:val="-12"/>
          <w:sz w:val="21"/>
        </w:rPr>
        <w:t xml:space="preserve"> </w:t>
      </w:r>
      <w:r>
        <w:rPr>
          <w:sz w:val="21"/>
        </w:rPr>
        <w:t>GB/T</w:t>
      </w:r>
      <w:r>
        <w:rPr>
          <w:spacing w:val="12"/>
          <w:sz w:val="21"/>
        </w:rPr>
        <w:t xml:space="preserve"> </w:t>
      </w:r>
      <w:r>
        <w:rPr>
          <w:sz w:val="21"/>
        </w:rPr>
        <w:t>17626.4</w:t>
      </w:r>
      <w:r>
        <w:rPr>
          <w:spacing w:val="-8"/>
          <w:sz w:val="21"/>
        </w:rPr>
        <w:t xml:space="preserve"> </w:t>
      </w:r>
      <w:r>
        <w:rPr>
          <w:spacing w:val="-8"/>
          <w:sz w:val="21"/>
        </w:rPr>
        <w:t>的规定进行试验配置，将监控器及电动闭门器、释放器和</w:t>
      </w:r>
      <w:r>
        <w:rPr>
          <w:spacing w:val="-7"/>
          <w:sz w:val="21"/>
        </w:rPr>
        <w:t>门磁开关连接，接通电源，使其处于正常监视状态，保持</w:t>
      </w:r>
      <w:r>
        <w:rPr>
          <w:spacing w:val="-7"/>
          <w:sz w:val="21"/>
        </w:rPr>
        <w:t xml:space="preserve"> </w:t>
      </w:r>
      <w:r>
        <w:rPr>
          <w:sz w:val="21"/>
        </w:rPr>
        <w:t>20min</w:t>
      </w:r>
      <w:r>
        <w:rPr>
          <w:spacing w:val="-3"/>
          <w:sz w:val="21"/>
        </w:rPr>
        <w:t>。</w:t>
      </w:r>
      <w:r>
        <w:rPr>
          <w:sz w:val="21"/>
        </w:rPr>
        <w:t xml:space="preserve"> </w:t>
      </w:r>
    </w:p>
    <w:p w14:paraId="4E24BE51" w14:textId="77777777" w:rsidR="00A71EEF" w:rsidRDefault="0081115D">
      <w:pPr>
        <w:pStyle w:val="a4"/>
        <w:numPr>
          <w:ilvl w:val="2"/>
          <w:numId w:val="408"/>
        </w:numPr>
        <w:tabs>
          <w:tab w:val="left" w:pos="1478"/>
        </w:tabs>
        <w:spacing w:line="446" w:lineRule="auto"/>
        <w:ind w:left="418" w:right="1601" w:firstLine="422"/>
        <w:rPr>
          <w:sz w:val="19"/>
        </w:rPr>
      </w:pPr>
      <w:r>
        <w:rPr>
          <w:spacing w:val="-25"/>
          <w:sz w:val="21"/>
        </w:rPr>
        <w:t>按</w:t>
      </w:r>
      <w:r>
        <w:rPr>
          <w:spacing w:val="-25"/>
          <w:sz w:val="21"/>
        </w:rPr>
        <w:t xml:space="preserve"> </w:t>
      </w:r>
      <w:r>
        <w:rPr>
          <w:sz w:val="21"/>
        </w:rPr>
        <w:t>GB/T</w:t>
      </w:r>
      <w:r>
        <w:rPr>
          <w:spacing w:val="6"/>
          <w:sz w:val="21"/>
        </w:rPr>
        <w:t xml:space="preserve"> </w:t>
      </w:r>
      <w:r>
        <w:rPr>
          <w:sz w:val="21"/>
        </w:rPr>
        <w:t>17626.4</w:t>
      </w:r>
      <w:r>
        <w:rPr>
          <w:spacing w:val="-12"/>
          <w:sz w:val="21"/>
        </w:rPr>
        <w:t xml:space="preserve"> </w:t>
      </w:r>
      <w:r>
        <w:rPr>
          <w:spacing w:val="-12"/>
          <w:sz w:val="21"/>
        </w:rPr>
        <w:t>规定的试验方法对试样施加表</w:t>
      </w:r>
      <w:r>
        <w:rPr>
          <w:spacing w:val="-12"/>
          <w:sz w:val="21"/>
        </w:rPr>
        <w:t xml:space="preserve"> </w:t>
      </w:r>
      <w:r>
        <w:rPr>
          <w:sz w:val="21"/>
        </w:rPr>
        <w:t>1</w:t>
      </w:r>
      <w:r>
        <w:rPr>
          <w:spacing w:val="-9"/>
          <w:sz w:val="21"/>
        </w:rPr>
        <w:t xml:space="preserve"> </w:t>
      </w:r>
      <w:r>
        <w:rPr>
          <w:spacing w:val="-9"/>
          <w:sz w:val="21"/>
        </w:rPr>
        <w:t>所示条件的电磁干扰试验。试验</w:t>
      </w:r>
      <w:r>
        <w:rPr>
          <w:spacing w:val="-5"/>
          <w:sz w:val="21"/>
        </w:rPr>
        <w:t>期间观察并记录试样的工作状态。</w:t>
      </w:r>
      <w:r>
        <w:rPr>
          <w:sz w:val="21"/>
        </w:rPr>
        <w:t xml:space="preserve"> </w:t>
      </w:r>
    </w:p>
    <w:p w14:paraId="72A61565" w14:textId="77777777" w:rsidR="00A71EEF" w:rsidRDefault="0081115D">
      <w:pPr>
        <w:pStyle w:val="a4"/>
        <w:numPr>
          <w:ilvl w:val="2"/>
          <w:numId w:val="408"/>
        </w:numPr>
        <w:tabs>
          <w:tab w:val="left" w:pos="1478"/>
        </w:tabs>
        <w:ind w:hanging="638"/>
        <w:rPr>
          <w:sz w:val="19"/>
        </w:rPr>
      </w:pPr>
      <w:r>
        <w:rPr>
          <w:spacing w:val="-3"/>
          <w:sz w:val="21"/>
        </w:rPr>
        <w:t>进行基本功能试验，并与试验前的基本功能相比较。</w:t>
      </w:r>
      <w:r>
        <w:rPr>
          <w:sz w:val="21"/>
        </w:rPr>
        <w:t xml:space="preserve"> </w:t>
      </w:r>
    </w:p>
    <w:p w14:paraId="688FBA13" w14:textId="77777777" w:rsidR="00A71EEF" w:rsidRDefault="00A71EEF">
      <w:pPr>
        <w:pStyle w:val="a3"/>
        <w:rPr>
          <w:sz w:val="18"/>
        </w:rPr>
      </w:pPr>
    </w:p>
    <w:p w14:paraId="6CE26ACD" w14:textId="77777777" w:rsidR="00A71EEF" w:rsidRDefault="0081115D">
      <w:pPr>
        <w:pStyle w:val="a4"/>
        <w:numPr>
          <w:ilvl w:val="1"/>
          <w:numId w:val="408"/>
        </w:numPr>
        <w:tabs>
          <w:tab w:val="left" w:pos="1264"/>
        </w:tabs>
        <w:ind w:left="1263" w:hanging="424"/>
        <w:rPr>
          <w:b/>
          <w:sz w:val="21"/>
        </w:rPr>
      </w:pPr>
      <w:r>
        <w:rPr>
          <w:spacing w:val="-2"/>
          <w:sz w:val="21"/>
        </w:rPr>
        <w:t>浪涌</w:t>
      </w:r>
      <w:r>
        <w:rPr>
          <w:spacing w:val="-3"/>
          <w:sz w:val="21"/>
        </w:rPr>
        <w:t>（</w:t>
      </w:r>
      <w:r>
        <w:rPr>
          <w:spacing w:val="-2"/>
          <w:sz w:val="21"/>
        </w:rPr>
        <w:t>冲击</w:t>
      </w:r>
      <w:r>
        <w:rPr>
          <w:sz w:val="21"/>
        </w:rPr>
        <w:t>）</w:t>
      </w:r>
      <w:r>
        <w:rPr>
          <w:spacing w:val="-3"/>
          <w:sz w:val="21"/>
        </w:rPr>
        <w:t>抗扰度试验</w:t>
      </w:r>
      <w:r>
        <w:rPr>
          <w:b/>
          <w:w w:val="99"/>
          <w:sz w:val="21"/>
        </w:rPr>
        <w:t xml:space="preserve"> </w:t>
      </w:r>
    </w:p>
    <w:p w14:paraId="45283CFF" w14:textId="77777777" w:rsidR="00A71EEF" w:rsidRDefault="00A71EEF">
      <w:pPr>
        <w:pStyle w:val="a3"/>
        <w:spacing w:before="12"/>
        <w:rPr>
          <w:b/>
          <w:sz w:val="17"/>
        </w:rPr>
      </w:pPr>
    </w:p>
    <w:p w14:paraId="33B8ECA9" w14:textId="77777777" w:rsidR="00A71EEF" w:rsidRDefault="0081115D">
      <w:pPr>
        <w:pStyle w:val="a4"/>
        <w:numPr>
          <w:ilvl w:val="2"/>
          <w:numId w:val="408"/>
        </w:numPr>
        <w:tabs>
          <w:tab w:val="left" w:pos="1478"/>
        </w:tabs>
        <w:spacing w:line="446" w:lineRule="auto"/>
        <w:ind w:left="418" w:right="1601" w:firstLine="422"/>
        <w:rPr>
          <w:sz w:val="19"/>
        </w:rPr>
      </w:pPr>
      <w:r>
        <w:rPr>
          <w:spacing w:val="-12"/>
          <w:sz w:val="21"/>
        </w:rPr>
        <w:t>将试样按</w:t>
      </w:r>
      <w:r>
        <w:rPr>
          <w:spacing w:val="-12"/>
          <w:sz w:val="21"/>
        </w:rPr>
        <w:t xml:space="preserve"> </w:t>
      </w:r>
      <w:r>
        <w:rPr>
          <w:sz w:val="21"/>
        </w:rPr>
        <w:t>GB/T</w:t>
      </w:r>
      <w:r>
        <w:rPr>
          <w:spacing w:val="12"/>
          <w:sz w:val="21"/>
        </w:rPr>
        <w:t xml:space="preserve"> </w:t>
      </w:r>
      <w:r>
        <w:rPr>
          <w:sz w:val="21"/>
        </w:rPr>
        <w:t>17626.5</w:t>
      </w:r>
      <w:r>
        <w:rPr>
          <w:spacing w:val="-8"/>
          <w:sz w:val="21"/>
        </w:rPr>
        <w:t xml:space="preserve"> </w:t>
      </w:r>
      <w:r>
        <w:rPr>
          <w:spacing w:val="-8"/>
          <w:sz w:val="21"/>
        </w:rPr>
        <w:t>的规定进行试验配置，将监控器及电动闭门器、释放器和</w:t>
      </w:r>
      <w:r>
        <w:rPr>
          <w:spacing w:val="-7"/>
          <w:sz w:val="21"/>
        </w:rPr>
        <w:t>门磁开关连接，接通电源，使其处于正常监视状态，保持</w:t>
      </w:r>
      <w:r>
        <w:rPr>
          <w:spacing w:val="-7"/>
          <w:sz w:val="21"/>
        </w:rPr>
        <w:t xml:space="preserve"> </w:t>
      </w:r>
      <w:r>
        <w:rPr>
          <w:sz w:val="21"/>
        </w:rPr>
        <w:t>20min</w:t>
      </w:r>
      <w:r>
        <w:rPr>
          <w:spacing w:val="-3"/>
          <w:sz w:val="21"/>
        </w:rPr>
        <w:t>。</w:t>
      </w:r>
      <w:r>
        <w:rPr>
          <w:sz w:val="21"/>
        </w:rPr>
        <w:t xml:space="preserve"> </w:t>
      </w:r>
    </w:p>
    <w:p w14:paraId="585BEA0E" w14:textId="77777777" w:rsidR="00A71EEF" w:rsidRDefault="0081115D">
      <w:pPr>
        <w:pStyle w:val="a4"/>
        <w:numPr>
          <w:ilvl w:val="2"/>
          <w:numId w:val="408"/>
        </w:numPr>
        <w:tabs>
          <w:tab w:val="left" w:pos="1478"/>
        </w:tabs>
        <w:spacing w:before="1" w:line="446" w:lineRule="auto"/>
        <w:ind w:left="418" w:right="1601" w:firstLine="422"/>
        <w:rPr>
          <w:sz w:val="19"/>
        </w:rPr>
      </w:pPr>
      <w:r>
        <w:rPr>
          <w:spacing w:val="-25"/>
          <w:sz w:val="21"/>
        </w:rPr>
        <w:t>按</w:t>
      </w:r>
      <w:r>
        <w:rPr>
          <w:spacing w:val="-25"/>
          <w:sz w:val="21"/>
        </w:rPr>
        <w:t xml:space="preserve"> </w:t>
      </w:r>
      <w:r>
        <w:rPr>
          <w:sz w:val="21"/>
        </w:rPr>
        <w:t>GB/T</w:t>
      </w:r>
      <w:r>
        <w:rPr>
          <w:spacing w:val="6"/>
          <w:sz w:val="21"/>
        </w:rPr>
        <w:t xml:space="preserve"> </w:t>
      </w:r>
      <w:r>
        <w:rPr>
          <w:sz w:val="21"/>
        </w:rPr>
        <w:t>17626.5</w:t>
      </w:r>
      <w:r>
        <w:rPr>
          <w:spacing w:val="-12"/>
          <w:sz w:val="21"/>
        </w:rPr>
        <w:t xml:space="preserve"> </w:t>
      </w:r>
      <w:r>
        <w:rPr>
          <w:spacing w:val="-12"/>
          <w:sz w:val="21"/>
        </w:rPr>
        <w:t>规定</w:t>
      </w:r>
      <w:r>
        <w:rPr>
          <w:spacing w:val="-12"/>
          <w:sz w:val="21"/>
        </w:rPr>
        <w:t>的试验方法对试样施加表</w:t>
      </w:r>
      <w:r>
        <w:rPr>
          <w:spacing w:val="-12"/>
          <w:sz w:val="21"/>
        </w:rPr>
        <w:t xml:space="preserve"> </w:t>
      </w:r>
      <w:r>
        <w:rPr>
          <w:sz w:val="21"/>
        </w:rPr>
        <w:t>1</w:t>
      </w:r>
      <w:r>
        <w:rPr>
          <w:spacing w:val="-9"/>
          <w:sz w:val="21"/>
        </w:rPr>
        <w:t xml:space="preserve"> </w:t>
      </w:r>
      <w:r>
        <w:rPr>
          <w:spacing w:val="-9"/>
          <w:sz w:val="21"/>
        </w:rPr>
        <w:t>所示条件的电磁干扰试验，观察</w:t>
      </w:r>
      <w:r>
        <w:rPr>
          <w:spacing w:val="-5"/>
          <w:sz w:val="21"/>
        </w:rPr>
        <w:t>并记录试样的工作状态。</w:t>
      </w:r>
      <w:r>
        <w:rPr>
          <w:sz w:val="21"/>
        </w:rPr>
        <w:t xml:space="preserve"> </w:t>
      </w:r>
    </w:p>
    <w:p w14:paraId="592F130B" w14:textId="77777777" w:rsidR="00A71EEF" w:rsidRDefault="0081115D">
      <w:pPr>
        <w:pStyle w:val="a4"/>
        <w:numPr>
          <w:ilvl w:val="2"/>
          <w:numId w:val="408"/>
        </w:numPr>
        <w:tabs>
          <w:tab w:val="left" w:pos="1478"/>
        </w:tabs>
        <w:ind w:hanging="638"/>
        <w:rPr>
          <w:sz w:val="19"/>
        </w:rPr>
      </w:pPr>
      <w:r>
        <w:rPr>
          <w:spacing w:val="-3"/>
          <w:sz w:val="21"/>
        </w:rPr>
        <w:t>进行基本功能试验，并与试验前的基本功能相比较。</w:t>
      </w:r>
      <w:r>
        <w:rPr>
          <w:sz w:val="21"/>
        </w:rPr>
        <w:t xml:space="preserve"> </w:t>
      </w:r>
    </w:p>
    <w:p w14:paraId="7DFA85C7" w14:textId="77777777" w:rsidR="00A71EEF" w:rsidRDefault="00A71EEF">
      <w:pPr>
        <w:pStyle w:val="a3"/>
        <w:spacing w:before="12"/>
        <w:rPr>
          <w:sz w:val="17"/>
        </w:rPr>
      </w:pPr>
    </w:p>
    <w:p w14:paraId="0EEB1C01" w14:textId="77777777" w:rsidR="00A71EEF" w:rsidRDefault="0081115D">
      <w:pPr>
        <w:pStyle w:val="a4"/>
        <w:numPr>
          <w:ilvl w:val="1"/>
          <w:numId w:val="408"/>
        </w:numPr>
        <w:tabs>
          <w:tab w:val="left" w:pos="1266"/>
        </w:tabs>
        <w:ind w:left="1265" w:hanging="426"/>
        <w:rPr>
          <w:b/>
          <w:sz w:val="21"/>
        </w:rPr>
      </w:pPr>
      <w:r>
        <w:rPr>
          <w:spacing w:val="-3"/>
          <w:sz w:val="21"/>
        </w:rPr>
        <w:t>电压暂降、短时中断和电压变化的抗扰度试验</w:t>
      </w:r>
      <w:r>
        <w:rPr>
          <w:b/>
          <w:w w:val="99"/>
          <w:sz w:val="21"/>
        </w:rPr>
        <w:t xml:space="preserve"> </w:t>
      </w:r>
    </w:p>
    <w:p w14:paraId="6C9E1DD0" w14:textId="77777777" w:rsidR="00A71EEF" w:rsidRDefault="00A71EEF">
      <w:pPr>
        <w:pStyle w:val="a3"/>
        <w:spacing w:before="12"/>
        <w:rPr>
          <w:b/>
          <w:sz w:val="17"/>
        </w:rPr>
      </w:pPr>
    </w:p>
    <w:p w14:paraId="08EAB166" w14:textId="77777777" w:rsidR="00A71EEF" w:rsidRDefault="0081115D">
      <w:pPr>
        <w:pStyle w:val="a4"/>
        <w:numPr>
          <w:ilvl w:val="2"/>
          <w:numId w:val="408"/>
        </w:numPr>
        <w:tabs>
          <w:tab w:val="left" w:pos="1478"/>
        </w:tabs>
        <w:spacing w:line="446" w:lineRule="auto"/>
        <w:ind w:left="418" w:right="1498" w:firstLine="422"/>
        <w:rPr>
          <w:sz w:val="19"/>
        </w:rPr>
      </w:pPr>
      <w:r>
        <w:rPr>
          <w:spacing w:val="-3"/>
          <w:sz w:val="21"/>
        </w:rPr>
        <w:t>按正常监视状态要求，将试样电动闭门器、释放器和门磁开关连接。连接试样到符</w:t>
      </w:r>
      <w:r>
        <w:rPr>
          <w:spacing w:val="-28"/>
          <w:sz w:val="21"/>
        </w:rPr>
        <w:t>合</w:t>
      </w:r>
      <w:r>
        <w:rPr>
          <w:spacing w:val="-28"/>
          <w:sz w:val="21"/>
        </w:rPr>
        <w:t xml:space="preserve"> </w:t>
      </w:r>
      <w:r>
        <w:rPr>
          <w:sz w:val="21"/>
        </w:rPr>
        <w:t>GB/T</w:t>
      </w:r>
      <w:r>
        <w:rPr>
          <w:spacing w:val="3"/>
          <w:sz w:val="21"/>
        </w:rPr>
        <w:t xml:space="preserve"> </w:t>
      </w:r>
      <w:r>
        <w:rPr>
          <w:sz w:val="21"/>
        </w:rPr>
        <w:t>17626.11</w:t>
      </w:r>
      <w:r>
        <w:rPr>
          <w:spacing w:val="-8"/>
          <w:sz w:val="21"/>
        </w:rPr>
        <w:t xml:space="preserve"> </w:t>
      </w:r>
      <w:r>
        <w:rPr>
          <w:spacing w:val="-8"/>
          <w:sz w:val="21"/>
        </w:rPr>
        <w:t>规定的主电压暂降和中断试验装置上，使其处于正常监视状态。</w:t>
      </w:r>
      <w:r>
        <w:rPr>
          <w:spacing w:val="-8"/>
          <w:sz w:val="21"/>
        </w:rPr>
        <w:t xml:space="preserve"> </w:t>
      </w:r>
    </w:p>
    <w:p w14:paraId="2EA43AD9" w14:textId="77777777" w:rsidR="00A71EEF" w:rsidRDefault="00A71EEF">
      <w:pPr>
        <w:pStyle w:val="a3"/>
        <w:rPr>
          <w:sz w:val="20"/>
        </w:rPr>
      </w:pPr>
    </w:p>
    <w:p w14:paraId="6D72516C" w14:textId="77777777" w:rsidR="00A71EEF" w:rsidRDefault="00A71EEF">
      <w:pPr>
        <w:pStyle w:val="a3"/>
        <w:rPr>
          <w:sz w:val="19"/>
        </w:rPr>
      </w:pPr>
    </w:p>
    <w:p w14:paraId="55AA9E16" w14:textId="77777777" w:rsidR="00A71EEF" w:rsidRDefault="0081115D">
      <w:pPr>
        <w:pStyle w:val="a4"/>
        <w:numPr>
          <w:ilvl w:val="2"/>
          <w:numId w:val="408"/>
        </w:numPr>
        <w:tabs>
          <w:tab w:val="left" w:pos="1478"/>
        </w:tabs>
        <w:ind w:hanging="638"/>
        <w:rPr>
          <w:sz w:val="19"/>
        </w:rPr>
      </w:pPr>
      <w:r>
        <w:rPr>
          <w:spacing w:val="-10"/>
          <w:sz w:val="21"/>
        </w:rPr>
        <w:t>使主电压下滑至</w:t>
      </w:r>
      <w:r>
        <w:rPr>
          <w:spacing w:val="-10"/>
          <w:sz w:val="21"/>
        </w:rPr>
        <w:t xml:space="preserve"> </w:t>
      </w:r>
      <w:r>
        <w:rPr>
          <w:sz w:val="21"/>
        </w:rPr>
        <w:t>40</w:t>
      </w:r>
      <w:r>
        <w:rPr>
          <w:spacing w:val="-12"/>
          <w:sz w:val="21"/>
        </w:rPr>
        <w:t>%</w:t>
      </w:r>
      <w:r>
        <w:rPr>
          <w:spacing w:val="-12"/>
          <w:sz w:val="21"/>
        </w:rPr>
        <w:t>，持续</w:t>
      </w:r>
      <w:r>
        <w:rPr>
          <w:spacing w:val="-12"/>
          <w:sz w:val="21"/>
        </w:rPr>
        <w:t xml:space="preserve"> </w:t>
      </w:r>
      <w:r>
        <w:rPr>
          <w:sz w:val="21"/>
        </w:rPr>
        <w:t>20ms</w:t>
      </w:r>
      <w:r>
        <w:rPr>
          <w:spacing w:val="-12"/>
          <w:sz w:val="21"/>
        </w:rPr>
        <w:t>，重复进行</w:t>
      </w:r>
      <w:r>
        <w:rPr>
          <w:spacing w:val="-12"/>
          <w:sz w:val="21"/>
        </w:rPr>
        <w:t xml:space="preserve"> </w:t>
      </w:r>
      <w:r>
        <w:rPr>
          <w:sz w:val="21"/>
        </w:rPr>
        <w:t>10</w:t>
      </w:r>
      <w:r>
        <w:rPr>
          <w:spacing w:val="-13"/>
          <w:sz w:val="21"/>
        </w:rPr>
        <w:t xml:space="preserve"> </w:t>
      </w:r>
      <w:r>
        <w:rPr>
          <w:spacing w:val="-13"/>
          <w:sz w:val="21"/>
        </w:rPr>
        <w:t>次；再将使主电压下滑至</w:t>
      </w:r>
      <w:r>
        <w:rPr>
          <w:spacing w:val="-13"/>
          <w:sz w:val="21"/>
        </w:rPr>
        <w:t xml:space="preserve"> </w:t>
      </w:r>
      <w:r>
        <w:rPr>
          <w:sz w:val="21"/>
        </w:rPr>
        <w:t>0V</w:t>
      </w:r>
      <w:r>
        <w:rPr>
          <w:spacing w:val="-2"/>
          <w:sz w:val="21"/>
        </w:rPr>
        <w:t>，持续</w:t>
      </w:r>
    </w:p>
    <w:p w14:paraId="0D7F8398" w14:textId="77777777" w:rsidR="00A71EEF" w:rsidRDefault="00A71EEF">
      <w:pPr>
        <w:pStyle w:val="a3"/>
        <w:spacing w:before="2"/>
        <w:rPr>
          <w:sz w:val="18"/>
        </w:rPr>
      </w:pPr>
    </w:p>
    <w:p w14:paraId="6FE80A46" w14:textId="77777777" w:rsidR="00A71EEF" w:rsidRDefault="0081115D">
      <w:pPr>
        <w:pStyle w:val="a3"/>
        <w:ind w:left="418"/>
      </w:pPr>
      <w:r>
        <w:t>10ms</w:t>
      </w:r>
      <w:r>
        <w:t>，重复进行</w:t>
      </w:r>
      <w:r>
        <w:t xml:space="preserve"> 10 </w:t>
      </w:r>
      <w:r>
        <w:t>次，观察并记录试样的工作状态。</w:t>
      </w:r>
      <w:r>
        <w:t xml:space="preserve"> </w:t>
      </w:r>
    </w:p>
    <w:p w14:paraId="33DF1824" w14:textId="77777777" w:rsidR="00A71EEF" w:rsidRDefault="00A71EEF">
      <w:pPr>
        <w:sectPr w:rsidR="00A71EEF">
          <w:pgSz w:w="11910" w:h="16850"/>
          <w:pgMar w:top="1220" w:right="0" w:bottom="1420" w:left="1260" w:header="0" w:footer="1239" w:gutter="0"/>
          <w:cols w:space="720"/>
        </w:sectPr>
      </w:pPr>
    </w:p>
    <w:p w14:paraId="10ADE889" w14:textId="77777777" w:rsidR="00A71EEF" w:rsidRDefault="0081115D">
      <w:pPr>
        <w:pStyle w:val="a4"/>
        <w:numPr>
          <w:ilvl w:val="2"/>
          <w:numId w:val="408"/>
        </w:numPr>
        <w:tabs>
          <w:tab w:val="left" w:pos="1478"/>
        </w:tabs>
        <w:spacing w:before="47"/>
        <w:ind w:hanging="638"/>
        <w:rPr>
          <w:sz w:val="19"/>
        </w:rPr>
      </w:pPr>
      <w:r>
        <w:rPr>
          <w:spacing w:val="-3"/>
          <w:sz w:val="21"/>
        </w:rPr>
        <w:t>进行基本功能试验，并与试验前的基本功能相比较。</w:t>
      </w:r>
      <w:r>
        <w:rPr>
          <w:sz w:val="21"/>
        </w:rPr>
        <w:t xml:space="preserve"> </w:t>
      </w:r>
    </w:p>
    <w:p w14:paraId="7ABE7FDF" w14:textId="77777777" w:rsidR="00A71EEF" w:rsidRDefault="00A71EEF">
      <w:pPr>
        <w:pStyle w:val="a3"/>
        <w:rPr>
          <w:sz w:val="18"/>
        </w:rPr>
      </w:pPr>
    </w:p>
    <w:p w14:paraId="793C7F60" w14:textId="77777777" w:rsidR="00A71EEF" w:rsidRDefault="0081115D">
      <w:pPr>
        <w:pStyle w:val="a4"/>
        <w:numPr>
          <w:ilvl w:val="1"/>
          <w:numId w:val="408"/>
        </w:numPr>
        <w:tabs>
          <w:tab w:val="left" w:pos="1264"/>
        </w:tabs>
        <w:ind w:left="1263" w:hanging="424"/>
        <w:rPr>
          <w:b/>
          <w:sz w:val="21"/>
        </w:rPr>
      </w:pPr>
      <w:r>
        <w:rPr>
          <w:spacing w:val="-3"/>
          <w:sz w:val="21"/>
        </w:rPr>
        <w:t>电源瞬变试验</w:t>
      </w:r>
      <w:r>
        <w:rPr>
          <w:b/>
          <w:w w:val="99"/>
          <w:sz w:val="21"/>
        </w:rPr>
        <w:t xml:space="preserve"> </w:t>
      </w:r>
    </w:p>
    <w:p w14:paraId="20EF7F56" w14:textId="77777777" w:rsidR="00A71EEF" w:rsidRDefault="00A71EEF">
      <w:pPr>
        <w:pStyle w:val="a3"/>
        <w:rPr>
          <w:b/>
          <w:sz w:val="18"/>
        </w:rPr>
      </w:pPr>
    </w:p>
    <w:p w14:paraId="1EF4CAA7" w14:textId="77777777" w:rsidR="00A71EEF" w:rsidRDefault="0081115D">
      <w:pPr>
        <w:pStyle w:val="a4"/>
        <w:numPr>
          <w:ilvl w:val="2"/>
          <w:numId w:val="408"/>
        </w:numPr>
        <w:tabs>
          <w:tab w:val="left" w:pos="1478"/>
        </w:tabs>
        <w:spacing w:line="446" w:lineRule="auto"/>
        <w:ind w:left="418" w:right="1496" w:firstLine="422"/>
        <w:rPr>
          <w:sz w:val="19"/>
        </w:rPr>
      </w:pPr>
      <w:r>
        <w:rPr>
          <w:spacing w:val="-3"/>
          <w:sz w:val="21"/>
        </w:rPr>
        <w:t>按正常监视状态要求，将试样与电动闭门器、释放器和门磁开关连接，连接试样到</w:t>
      </w:r>
      <w:r>
        <w:rPr>
          <w:spacing w:val="-20"/>
          <w:sz w:val="21"/>
        </w:rPr>
        <w:t>符合</w:t>
      </w:r>
      <w:r>
        <w:rPr>
          <w:spacing w:val="-20"/>
          <w:sz w:val="21"/>
        </w:rPr>
        <w:t xml:space="preserve"> </w:t>
      </w:r>
      <w:r>
        <w:rPr>
          <w:sz w:val="21"/>
        </w:rPr>
        <w:t>4.7</w:t>
      </w:r>
      <w:r>
        <w:rPr>
          <w:spacing w:val="-9"/>
          <w:sz w:val="21"/>
        </w:rPr>
        <w:t xml:space="preserve"> </w:t>
      </w:r>
      <w:r>
        <w:rPr>
          <w:spacing w:val="-9"/>
          <w:sz w:val="21"/>
        </w:rPr>
        <w:t>规定的电源瞬变试验装置，使其处于正常监视状态。</w:t>
      </w:r>
      <w:r>
        <w:rPr>
          <w:sz w:val="21"/>
        </w:rPr>
        <w:t xml:space="preserve"> </w:t>
      </w:r>
    </w:p>
    <w:p w14:paraId="300F3C4A" w14:textId="77777777" w:rsidR="00A71EEF" w:rsidRDefault="0081115D">
      <w:pPr>
        <w:pStyle w:val="a4"/>
        <w:numPr>
          <w:ilvl w:val="2"/>
          <w:numId w:val="408"/>
        </w:numPr>
        <w:tabs>
          <w:tab w:val="left" w:pos="1478"/>
        </w:tabs>
        <w:ind w:hanging="638"/>
        <w:rPr>
          <w:sz w:val="19"/>
        </w:rPr>
      </w:pPr>
      <w:r>
        <w:rPr>
          <w:spacing w:val="-3"/>
          <w:sz w:val="21"/>
        </w:rPr>
        <w:t>开启试验装置，使试样主电源按</w:t>
      </w:r>
      <w:r>
        <w:rPr>
          <w:spacing w:val="-3"/>
          <w:sz w:val="21"/>
        </w:rPr>
        <w:t>“</w:t>
      </w:r>
      <w:r>
        <w:rPr>
          <w:spacing w:val="-3"/>
          <w:sz w:val="21"/>
        </w:rPr>
        <w:t>通电</w:t>
      </w:r>
      <w:r>
        <w:rPr>
          <w:sz w:val="21"/>
        </w:rPr>
        <w:t>（</w:t>
      </w:r>
      <w:r>
        <w:rPr>
          <w:sz w:val="21"/>
        </w:rPr>
        <w:t>9s</w:t>
      </w:r>
      <w:r>
        <w:rPr>
          <w:sz w:val="21"/>
        </w:rPr>
        <w:t>）～</w:t>
      </w:r>
      <w:r>
        <w:rPr>
          <w:spacing w:val="-2"/>
          <w:sz w:val="21"/>
        </w:rPr>
        <w:t>断电</w:t>
      </w:r>
      <w:r>
        <w:rPr>
          <w:sz w:val="21"/>
        </w:rPr>
        <w:t>（</w:t>
      </w:r>
      <w:r>
        <w:rPr>
          <w:sz w:val="21"/>
        </w:rPr>
        <w:t>1s</w:t>
      </w:r>
      <w:r>
        <w:rPr>
          <w:sz w:val="21"/>
        </w:rPr>
        <w:t>）</w:t>
      </w:r>
      <w:r>
        <w:rPr>
          <w:spacing w:val="-3"/>
          <w:sz w:val="21"/>
        </w:rPr>
        <w:t>”</w:t>
      </w:r>
      <w:r>
        <w:rPr>
          <w:spacing w:val="-3"/>
          <w:sz w:val="21"/>
        </w:rPr>
        <w:t>的固定程序连续通断</w:t>
      </w:r>
    </w:p>
    <w:p w14:paraId="5388B1A2" w14:textId="77777777" w:rsidR="00A71EEF" w:rsidRDefault="00A71EEF">
      <w:pPr>
        <w:pStyle w:val="a3"/>
        <w:spacing w:before="12"/>
        <w:rPr>
          <w:sz w:val="17"/>
        </w:rPr>
      </w:pPr>
    </w:p>
    <w:p w14:paraId="3E136A05" w14:textId="77777777" w:rsidR="00A71EEF" w:rsidRDefault="0081115D">
      <w:pPr>
        <w:pStyle w:val="a3"/>
        <w:ind w:left="418"/>
      </w:pPr>
      <w:r>
        <w:t xml:space="preserve">500 </w:t>
      </w:r>
      <w:r>
        <w:t>次，观察并记录试样的工作状态。</w:t>
      </w:r>
      <w:r>
        <w:t xml:space="preserve"> </w:t>
      </w:r>
    </w:p>
    <w:p w14:paraId="09D71750" w14:textId="77777777" w:rsidR="00A71EEF" w:rsidRDefault="00A71EEF">
      <w:pPr>
        <w:pStyle w:val="a3"/>
        <w:spacing w:before="2"/>
        <w:rPr>
          <w:sz w:val="18"/>
        </w:rPr>
      </w:pPr>
    </w:p>
    <w:p w14:paraId="1BA61535" w14:textId="77777777" w:rsidR="00A71EEF" w:rsidRDefault="0081115D">
      <w:pPr>
        <w:pStyle w:val="a4"/>
        <w:numPr>
          <w:ilvl w:val="2"/>
          <w:numId w:val="408"/>
        </w:numPr>
        <w:tabs>
          <w:tab w:val="left" w:pos="1478"/>
        </w:tabs>
        <w:ind w:hanging="638"/>
        <w:rPr>
          <w:sz w:val="19"/>
        </w:rPr>
      </w:pPr>
      <w:r>
        <w:rPr>
          <w:spacing w:val="-3"/>
          <w:sz w:val="21"/>
        </w:rPr>
        <w:t>进行基本功能试验，并与试验前的基本功能相比较。</w:t>
      </w:r>
      <w:r>
        <w:rPr>
          <w:sz w:val="21"/>
        </w:rPr>
        <w:t xml:space="preserve"> </w:t>
      </w:r>
    </w:p>
    <w:p w14:paraId="4D884E1F" w14:textId="77777777" w:rsidR="00A71EEF" w:rsidRDefault="00A71EEF">
      <w:pPr>
        <w:pStyle w:val="a3"/>
        <w:rPr>
          <w:sz w:val="18"/>
        </w:rPr>
      </w:pPr>
    </w:p>
    <w:p w14:paraId="0129DA20" w14:textId="77777777" w:rsidR="00A71EEF" w:rsidRDefault="0081115D">
      <w:pPr>
        <w:pStyle w:val="a4"/>
        <w:numPr>
          <w:ilvl w:val="1"/>
          <w:numId w:val="408"/>
        </w:numPr>
        <w:tabs>
          <w:tab w:val="left" w:pos="1264"/>
        </w:tabs>
        <w:ind w:left="1263" w:hanging="424"/>
        <w:rPr>
          <w:sz w:val="21"/>
        </w:rPr>
      </w:pPr>
      <w:r>
        <w:rPr>
          <w:spacing w:val="-2"/>
          <w:sz w:val="21"/>
        </w:rPr>
        <w:t>低温</w:t>
      </w:r>
      <w:r>
        <w:rPr>
          <w:spacing w:val="-3"/>
          <w:sz w:val="21"/>
        </w:rPr>
        <w:t>（</w:t>
      </w:r>
      <w:r>
        <w:rPr>
          <w:spacing w:val="-2"/>
          <w:sz w:val="21"/>
        </w:rPr>
        <w:t>运行</w:t>
      </w:r>
      <w:r>
        <w:rPr>
          <w:sz w:val="21"/>
        </w:rPr>
        <w:t>）</w:t>
      </w:r>
      <w:r>
        <w:rPr>
          <w:spacing w:val="-3"/>
          <w:sz w:val="21"/>
        </w:rPr>
        <w:t>试验</w:t>
      </w:r>
      <w:r>
        <w:rPr>
          <w:sz w:val="21"/>
        </w:rPr>
        <w:t xml:space="preserve"> </w:t>
      </w:r>
    </w:p>
    <w:p w14:paraId="3DA1AF74" w14:textId="77777777" w:rsidR="00A71EEF" w:rsidRDefault="00A71EEF">
      <w:pPr>
        <w:pStyle w:val="a3"/>
        <w:spacing w:before="12"/>
        <w:rPr>
          <w:sz w:val="17"/>
        </w:rPr>
      </w:pPr>
    </w:p>
    <w:p w14:paraId="7ED4C6F6" w14:textId="77777777" w:rsidR="00A71EEF" w:rsidRDefault="0081115D">
      <w:pPr>
        <w:pStyle w:val="a4"/>
        <w:numPr>
          <w:ilvl w:val="2"/>
          <w:numId w:val="408"/>
        </w:numPr>
        <w:tabs>
          <w:tab w:val="left" w:pos="1478"/>
        </w:tabs>
        <w:spacing w:line="446" w:lineRule="auto"/>
        <w:ind w:left="418" w:right="1448" w:firstLine="422"/>
        <w:rPr>
          <w:sz w:val="19"/>
        </w:rPr>
      </w:pPr>
      <w:r>
        <w:rPr>
          <w:spacing w:val="-6"/>
          <w:sz w:val="21"/>
        </w:rPr>
        <w:t>将试样在正常大气条件下放置</w:t>
      </w:r>
      <w:r>
        <w:rPr>
          <w:spacing w:val="-6"/>
          <w:sz w:val="21"/>
        </w:rPr>
        <w:t xml:space="preserve"> </w:t>
      </w:r>
      <w:r>
        <w:rPr>
          <w:sz w:val="21"/>
        </w:rPr>
        <w:t>2h</w:t>
      </w:r>
      <w:r>
        <w:rPr>
          <w:sz w:val="21"/>
        </w:rPr>
        <w:t>～</w:t>
      </w:r>
      <w:r>
        <w:rPr>
          <w:sz w:val="21"/>
        </w:rPr>
        <w:t>4h</w:t>
      </w:r>
      <w:r>
        <w:rPr>
          <w:spacing w:val="-3"/>
          <w:sz w:val="21"/>
        </w:rPr>
        <w:t>。然后按正常监视状态要求，将试样与等效负载连接，接通电源。</w:t>
      </w:r>
      <w:r>
        <w:rPr>
          <w:sz w:val="21"/>
        </w:rPr>
        <w:t xml:space="preserve"> </w:t>
      </w:r>
    </w:p>
    <w:p w14:paraId="43E1BE28" w14:textId="77777777" w:rsidR="00A71EEF" w:rsidRDefault="0081115D">
      <w:pPr>
        <w:pStyle w:val="a4"/>
        <w:numPr>
          <w:ilvl w:val="2"/>
          <w:numId w:val="408"/>
        </w:numPr>
        <w:tabs>
          <w:tab w:val="left" w:pos="1478"/>
        </w:tabs>
        <w:ind w:hanging="638"/>
        <w:rPr>
          <w:sz w:val="19"/>
        </w:rPr>
      </w:pPr>
      <w:r>
        <w:rPr>
          <w:spacing w:val="-8"/>
          <w:sz w:val="21"/>
        </w:rPr>
        <w:t>调节试验箱温度，使其在</w:t>
      </w:r>
      <w:r>
        <w:rPr>
          <w:spacing w:val="-8"/>
          <w:sz w:val="21"/>
        </w:rPr>
        <w:t xml:space="preserve"> </w:t>
      </w:r>
      <w:r>
        <w:rPr>
          <w:sz w:val="21"/>
        </w:rPr>
        <w:t>20°C</w:t>
      </w:r>
      <w:r>
        <w:rPr>
          <w:spacing w:val="-36"/>
          <w:sz w:val="21"/>
        </w:rPr>
        <w:t xml:space="preserve"> </w:t>
      </w:r>
      <w:r>
        <w:rPr>
          <w:spacing w:val="-36"/>
          <w:sz w:val="21"/>
        </w:rPr>
        <w:t>士</w:t>
      </w:r>
      <w:r>
        <w:rPr>
          <w:spacing w:val="-36"/>
          <w:sz w:val="21"/>
        </w:rPr>
        <w:t xml:space="preserve"> </w:t>
      </w:r>
      <w:r>
        <w:rPr>
          <w:sz w:val="21"/>
        </w:rPr>
        <w:t>2°C</w:t>
      </w:r>
      <w:r>
        <w:rPr>
          <w:spacing w:val="-17"/>
          <w:sz w:val="21"/>
        </w:rPr>
        <w:t xml:space="preserve"> </w:t>
      </w:r>
      <w:r>
        <w:rPr>
          <w:spacing w:val="-17"/>
          <w:sz w:val="21"/>
        </w:rPr>
        <w:t>温度下保持</w:t>
      </w:r>
      <w:r>
        <w:rPr>
          <w:spacing w:val="-17"/>
          <w:sz w:val="21"/>
        </w:rPr>
        <w:t xml:space="preserve"> </w:t>
      </w:r>
      <w:r>
        <w:rPr>
          <w:sz w:val="21"/>
        </w:rPr>
        <w:t>30min±5min</w:t>
      </w:r>
      <w:r>
        <w:rPr>
          <w:spacing w:val="-3"/>
          <w:sz w:val="21"/>
        </w:rPr>
        <w:t>，然后，以不大于</w:t>
      </w:r>
    </w:p>
    <w:p w14:paraId="4648E8DC" w14:textId="77777777" w:rsidR="00A71EEF" w:rsidRDefault="00A71EEF">
      <w:pPr>
        <w:pStyle w:val="a3"/>
        <w:spacing w:before="12"/>
        <w:rPr>
          <w:sz w:val="17"/>
        </w:rPr>
      </w:pPr>
    </w:p>
    <w:p w14:paraId="761A2213" w14:textId="77777777" w:rsidR="00A71EEF" w:rsidRDefault="0081115D">
      <w:pPr>
        <w:pStyle w:val="a3"/>
        <w:spacing w:before="1"/>
        <w:ind w:left="418"/>
      </w:pPr>
      <w:r>
        <w:t xml:space="preserve">1℃/min </w:t>
      </w:r>
      <w:r>
        <w:t>的速率降温至</w:t>
      </w:r>
      <w:r>
        <w:t xml:space="preserve"> 0°C±3°C</w:t>
      </w:r>
      <w:r>
        <w:t>。</w:t>
      </w:r>
      <w:r>
        <w:t xml:space="preserve"> </w:t>
      </w:r>
    </w:p>
    <w:p w14:paraId="639A3128" w14:textId="77777777" w:rsidR="00A71EEF" w:rsidRDefault="00A71EEF">
      <w:pPr>
        <w:pStyle w:val="a3"/>
        <w:spacing w:before="1"/>
        <w:rPr>
          <w:sz w:val="18"/>
        </w:rPr>
      </w:pPr>
    </w:p>
    <w:p w14:paraId="2D5CA7EB" w14:textId="77777777" w:rsidR="00A71EEF" w:rsidRDefault="0081115D">
      <w:pPr>
        <w:pStyle w:val="a4"/>
        <w:numPr>
          <w:ilvl w:val="2"/>
          <w:numId w:val="408"/>
        </w:numPr>
        <w:tabs>
          <w:tab w:val="left" w:pos="1478"/>
        </w:tabs>
        <w:ind w:hanging="638"/>
        <w:rPr>
          <w:sz w:val="19"/>
        </w:rPr>
      </w:pPr>
      <w:r>
        <w:rPr>
          <w:spacing w:val="-27"/>
          <w:sz w:val="21"/>
        </w:rPr>
        <w:t>在</w:t>
      </w:r>
      <w:r>
        <w:rPr>
          <w:spacing w:val="-27"/>
          <w:sz w:val="21"/>
        </w:rPr>
        <w:t xml:space="preserve"> </w:t>
      </w:r>
      <w:r>
        <w:rPr>
          <w:sz w:val="21"/>
        </w:rPr>
        <w:t>0°C±3°C</w:t>
      </w:r>
      <w:r>
        <w:rPr>
          <w:spacing w:val="-14"/>
          <w:sz w:val="21"/>
        </w:rPr>
        <w:t xml:space="preserve"> </w:t>
      </w:r>
      <w:r>
        <w:rPr>
          <w:spacing w:val="-14"/>
          <w:sz w:val="21"/>
        </w:rPr>
        <w:t>温度条件下，保持</w:t>
      </w:r>
      <w:r>
        <w:rPr>
          <w:spacing w:val="-14"/>
          <w:sz w:val="21"/>
        </w:rPr>
        <w:t xml:space="preserve"> </w:t>
      </w:r>
      <w:r>
        <w:rPr>
          <w:sz w:val="21"/>
        </w:rPr>
        <w:t>16h</w:t>
      </w:r>
      <w:r>
        <w:rPr>
          <w:spacing w:val="-9"/>
          <w:sz w:val="21"/>
        </w:rPr>
        <w:t xml:space="preserve"> </w:t>
      </w:r>
      <w:r>
        <w:rPr>
          <w:spacing w:val="-9"/>
          <w:sz w:val="21"/>
        </w:rPr>
        <w:t>后进行基本功能试验。</w:t>
      </w:r>
      <w:r>
        <w:rPr>
          <w:sz w:val="21"/>
        </w:rPr>
        <w:t xml:space="preserve"> </w:t>
      </w:r>
    </w:p>
    <w:p w14:paraId="56A2BAC9" w14:textId="77777777" w:rsidR="00A71EEF" w:rsidRDefault="00A71EEF">
      <w:pPr>
        <w:pStyle w:val="a3"/>
        <w:rPr>
          <w:sz w:val="18"/>
        </w:rPr>
      </w:pPr>
    </w:p>
    <w:p w14:paraId="3BE497BF" w14:textId="77777777" w:rsidR="00A71EEF" w:rsidRDefault="0081115D">
      <w:pPr>
        <w:pStyle w:val="a4"/>
        <w:numPr>
          <w:ilvl w:val="2"/>
          <w:numId w:val="408"/>
        </w:numPr>
        <w:tabs>
          <w:tab w:val="left" w:pos="1478"/>
        </w:tabs>
        <w:spacing w:line="446" w:lineRule="auto"/>
        <w:ind w:left="418" w:right="1762" w:firstLine="422"/>
        <w:rPr>
          <w:sz w:val="19"/>
        </w:rPr>
      </w:pPr>
      <w:r>
        <w:rPr>
          <w:spacing w:val="-7"/>
          <w:sz w:val="21"/>
        </w:rPr>
        <w:t>调节试验箱温度，使其以不大于</w:t>
      </w:r>
      <w:r>
        <w:rPr>
          <w:spacing w:val="-7"/>
          <w:sz w:val="21"/>
        </w:rPr>
        <w:t xml:space="preserve"> </w:t>
      </w:r>
      <w:r>
        <w:rPr>
          <w:sz w:val="21"/>
        </w:rPr>
        <w:t>1°C/min</w:t>
      </w:r>
      <w:r>
        <w:rPr>
          <w:spacing w:val="-16"/>
          <w:sz w:val="21"/>
        </w:rPr>
        <w:t xml:space="preserve"> </w:t>
      </w:r>
      <w:r>
        <w:rPr>
          <w:spacing w:val="-16"/>
          <w:sz w:val="21"/>
        </w:rPr>
        <w:t>的速率升温至</w:t>
      </w:r>
      <w:r>
        <w:rPr>
          <w:spacing w:val="-16"/>
          <w:sz w:val="21"/>
        </w:rPr>
        <w:t xml:space="preserve"> </w:t>
      </w:r>
      <w:r>
        <w:rPr>
          <w:sz w:val="21"/>
        </w:rPr>
        <w:t>20°C</w:t>
      </w:r>
      <w:r>
        <w:rPr>
          <w:spacing w:val="-34"/>
          <w:sz w:val="21"/>
        </w:rPr>
        <w:t xml:space="preserve"> </w:t>
      </w:r>
      <w:r>
        <w:rPr>
          <w:spacing w:val="-34"/>
          <w:sz w:val="21"/>
        </w:rPr>
        <w:t>士</w:t>
      </w:r>
      <w:r>
        <w:rPr>
          <w:spacing w:val="-34"/>
          <w:sz w:val="21"/>
        </w:rPr>
        <w:t xml:space="preserve"> </w:t>
      </w:r>
      <w:r>
        <w:rPr>
          <w:sz w:val="21"/>
        </w:rPr>
        <w:t>2°C</w:t>
      </w:r>
      <w:r>
        <w:rPr>
          <w:spacing w:val="-1"/>
          <w:sz w:val="21"/>
        </w:rPr>
        <w:t>，并保持</w:t>
      </w:r>
      <w:r>
        <w:rPr>
          <w:spacing w:val="-1"/>
          <w:sz w:val="21"/>
        </w:rPr>
        <w:t>30min</w:t>
      </w:r>
      <w:r>
        <w:rPr>
          <w:spacing w:val="-37"/>
          <w:sz w:val="21"/>
        </w:rPr>
        <w:t xml:space="preserve"> </w:t>
      </w:r>
      <w:r>
        <w:rPr>
          <w:spacing w:val="-37"/>
          <w:sz w:val="21"/>
        </w:rPr>
        <w:t>士</w:t>
      </w:r>
      <w:r>
        <w:rPr>
          <w:spacing w:val="-37"/>
          <w:sz w:val="21"/>
        </w:rPr>
        <w:t xml:space="preserve"> </w:t>
      </w:r>
      <w:r>
        <w:rPr>
          <w:sz w:val="21"/>
        </w:rPr>
        <w:t>5min</w:t>
      </w:r>
      <w:r>
        <w:rPr>
          <w:spacing w:val="-3"/>
          <w:sz w:val="21"/>
        </w:rPr>
        <w:t>。</w:t>
      </w:r>
      <w:r>
        <w:rPr>
          <w:sz w:val="21"/>
        </w:rPr>
        <w:t xml:space="preserve"> </w:t>
      </w:r>
    </w:p>
    <w:p w14:paraId="4B9E5559" w14:textId="77777777" w:rsidR="00A71EEF" w:rsidRDefault="0081115D">
      <w:pPr>
        <w:pStyle w:val="a4"/>
        <w:numPr>
          <w:ilvl w:val="2"/>
          <w:numId w:val="408"/>
        </w:numPr>
        <w:tabs>
          <w:tab w:val="left" w:pos="1478"/>
        </w:tabs>
        <w:ind w:hanging="638"/>
        <w:rPr>
          <w:sz w:val="19"/>
        </w:rPr>
      </w:pPr>
      <w:r>
        <w:rPr>
          <w:spacing w:val="-7"/>
          <w:sz w:val="21"/>
        </w:rPr>
        <w:t>取出试样，在正常大气条件下放置</w:t>
      </w:r>
      <w:r>
        <w:rPr>
          <w:spacing w:val="-7"/>
          <w:sz w:val="21"/>
        </w:rPr>
        <w:t xml:space="preserve"> </w:t>
      </w:r>
      <w:r>
        <w:rPr>
          <w:sz w:val="21"/>
        </w:rPr>
        <w:t>1h</w:t>
      </w:r>
      <w:r>
        <w:rPr>
          <w:sz w:val="21"/>
        </w:rPr>
        <w:t>～</w:t>
      </w:r>
      <w:r>
        <w:rPr>
          <w:sz w:val="21"/>
        </w:rPr>
        <w:t>2h</w:t>
      </w:r>
      <w:r>
        <w:rPr>
          <w:spacing w:val="-3"/>
          <w:sz w:val="21"/>
        </w:rPr>
        <w:t>。</w:t>
      </w:r>
      <w:r>
        <w:rPr>
          <w:sz w:val="21"/>
        </w:rPr>
        <w:t xml:space="preserve"> </w:t>
      </w:r>
    </w:p>
    <w:p w14:paraId="143D24CE" w14:textId="77777777" w:rsidR="00A71EEF" w:rsidRDefault="00A71EEF">
      <w:pPr>
        <w:pStyle w:val="a3"/>
        <w:rPr>
          <w:sz w:val="18"/>
        </w:rPr>
      </w:pPr>
    </w:p>
    <w:p w14:paraId="08B9B4C7" w14:textId="77777777" w:rsidR="00A71EEF" w:rsidRDefault="0081115D">
      <w:pPr>
        <w:pStyle w:val="a4"/>
        <w:numPr>
          <w:ilvl w:val="2"/>
          <w:numId w:val="408"/>
        </w:numPr>
        <w:tabs>
          <w:tab w:val="left" w:pos="1478"/>
        </w:tabs>
        <w:ind w:hanging="638"/>
        <w:rPr>
          <w:sz w:val="19"/>
        </w:rPr>
      </w:pPr>
      <w:r>
        <w:rPr>
          <w:spacing w:val="-3"/>
          <w:sz w:val="21"/>
        </w:rPr>
        <w:t>检查试样表面涂覆情况。</w:t>
      </w:r>
      <w:r>
        <w:rPr>
          <w:sz w:val="21"/>
        </w:rPr>
        <w:t xml:space="preserve"> </w:t>
      </w:r>
    </w:p>
    <w:p w14:paraId="5758E3C6" w14:textId="77777777" w:rsidR="00A71EEF" w:rsidRDefault="00A71EEF">
      <w:pPr>
        <w:pStyle w:val="a3"/>
        <w:spacing w:before="12"/>
        <w:rPr>
          <w:sz w:val="17"/>
        </w:rPr>
      </w:pPr>
    </w:p>
    <w:p w14:paraId="08270697" w14:textId="77777777" w:rsidR="00A71EEF" w:rsidRDefault="0081115D">
      <w:pPr>
        <w:pStyle w:val="a4"/>
        <w:numPr>
          <w:ilvl w:val="2"/>
          <w:numId w:val="408"/>
        </w:numPr>
        <w:tabs>
          <w:tab w:val="left" w:pos="1478"/>
        </w:tabs>
        <w:ind w:hanging="638"/>
        <w:rPr>
          <w:sz w:val="19"/>
        </w:rPr>
      </w:pPr>
      <w:r>
        <w:rPr>
          <w:spacing w:val="-3"/>
          <w:sz w:val="21"/>
        </w:rPr>
        <w:t>进行基本功能试验，并与试验前的基本功能相比较。</w:t>
      </w:r>
      <w:r>
        <w:rPr>
          <w:sz w:val="21"/>
        </w:rPr>
        <w:t xml:space="preserve"> </w:t>
      </w:r>
    </w:p>
    <w:p w14:paraId="5C34724C" w14:textId="77777777" w:rsidR="00A71EEF" w:rsidRDefault="00A71EEF">
      <w:pPr>
        <w:pStyle w:val="a3"/>
        <w:spacing w:before="2"/>
        <w:rPr>
          <w:sz w:val="18"/>
        </w:rPr>
      </w:pPr>
    </w:p>
    <w:p w14:paraId="6311A43A" w14:textId="77777777" w:rsidR="00A71EEF" w:rsidRDefault="0081115D">
      <w:pPr>
        <w:pStyle w:val="a4"/>
        <w:numPr>
          <w:ilvl w:val="1"/>
          <w:numId w:val="408"/>
        </w:numPr>
        <w:tabs>
          <w:tab w:val="left" w:pos="1264"/>
        </w:tabs>
        <w:ind w:left="1263" w:hanging="424"/>
        <w:rPr>
          <w:sz w:val="21"/>
        </w:rPr>
      </w:pPr>
      <w:r>
        <w:rPr>
          <w:spacing w:val="-3"/>
          <w:sz w:val="21"/>
        </w:rPr>
        <w:t>恒定湿热（</w:t>
      </w:r>
      <w:r>
        <w:rPr>
          <w:spacing w:val="-2"/>
          <w:sz w:val="21"/>
        </w:rPr>
        <w:t>运行</w:t>
      </w:r>
      <w:r>
        <w:rPr>
          <w:sz w:val="21"/>
        </w:rPr>
        <w:t>）</w:t>
      </w:r>
      <w:r>
        <w:rPr>
          <w:spacing w:val="-2"/>
          <w:sz w:val="21"/>
        </w:rPr>
        <w:t>试验</w:t>
      </w:r>
      <w:r>
        <w:rPr>
          <w:spacing w:val="-2"/>
          <w:sz w:val="21"/>
        </w:rPr>
        <w:t xml:space="preserve"> </w:t>
      </w:r>
    </w:p>
    <w:p w14:paraId="36D61E03" w14:textId="77777777" w:rsidR="00A71EEF" w:rsidRDefault="00A71EEF">
      <w:pPr>
        <w:pStyle w:val="a3"/>
        <w:rPr>
          <w:sz w:val="18"/>
        </w:rPr>
      </w:pPr>
    </w:p>
    <w:p w14:paraId="4F4A23DE" w14:textId="77777777" w:rsidR="00A71EEF" w:rsidRDefault="0081115D">
      <w:pPr>
        <w:pStyle w:val="a4"/>
        <w:numPr>
          <w:ilvl w:val="2"/>
          <w:numId w:val="408"/>
        </w:numPr>
        <w:tabs>
          <w:tab w:val="left" w:pos="1478"/>
        </w:tabs>
        <w:spacing w:line="446" w:lineRule="auto"/>
        <w:ind w:left="418" w:right="1549" w:firstLine="422"/>
        <w:rPr>
          <w:sz w:val="19"/>
        </w:rPr>
      </w:pPr>
      <w:r>
        <w:rPr>
          <w:spacing w:val="-6"/>
          <w:sz w:val="21"/>
        </w:rPr>
        <w:t>将试样在正常大气条件下放置</w:t>
      </w:r>
      <w:r>
        <w:rPr>
          <w:spacing w:val="-6"/>
          <w:sz w:val="21"/>
        </w:rPr>
        <w:t xml:space="preserve"> </w:t>
      </w:r>
      <w:r>
        <w:rPr>
          <w:sz w:val="21"/>
        </w:rPr>
        <w:t>2</w:t>
      </w:r>
      <w:r>
        <w:rPr>
          <w:sz w:val="21"/>
        </w:rPr>
        <w:t>～</w:t>
      </w:r>
      <w:r>
        <w:rPr>
          <w:sz w:val="21"/>
        </w:rPr>
        <w:t>4h</w:t>
      </w:r>
      <w:r>
        <w:rPr>
          <w:spacing w:val="-3"/>
          <w:sz w:val="21"/>
        </w:rPr>
        <w:t>。然后按正常监视状态要求，将试样与等效负载连接，接通电源，使其处于正常监视状态。</w:t>
      </w:r>
      <w:r>
        <w:rPr>
          <w:sz w:val="21"/>
        </w:rPr>
        <w:t xml:space="preserve"> </w:t>
      </w:r>
    </w:p>
    <w:p w14:paraId="6A4EE020" w14:textId="77777777" w:rsidR="00A71EEF" w:rsidRDefault="0081115D">
      <w:pPr>
        <w:pStyle w:val="a4"/>
        <w:numPr>
          <w:ilvl w:val="2"/>
          <w:numId w:val="408"/>
        </w:numPr>
        <w:tabs>
          <w:tab w:val="left" w:pos="1478"/>
        </w:tabs>
        <w:spacing w:line="446" w:lineRule="auto"/>
        <w:ind w:left="418" w:right="1549" w:firstLine="422"/>
        <w:rPr>
          <w:sz w:val="19"/>
        </w:rPr>
      </w:pPr>
      <w:r>
        <w:rPr>
          <w:spacing w:val="-8"/>
          <w:sz w:val="21"/>
        </w:rPr>
        <w:t>调节试验箱，使温度为</w:t>
      </w:r>
      <w:r>
        <w:rPr>
          <w:spacing w:val="-8"/>
          <w:sz w:val="21"/>
        </w:rPr>
        <w:t xml:space="preserve"> </w:t>
      </w:r>
      <w:r>
        <w:rPr>
          <w:sz w:val="21"/>
        </w:rPr>
        <w:t>40</w:t>
      </w:r>
      <w:r>
        <w:rPr>
          <w:spacing w:val="-17"/>
          <w:sz w:val="21"/>
        </w:rPr>
        <w:t>℃</w:t>
      </w:r>
      <w:r>
        <w:rPr>
          <w:spacing w:val="-17"/>
          <w:sz w:val="21"/>
        </w:rPr>
        <w:t>士</w:t>
      </w:r>
      <w:r>
        <w:rPr>
          <w:spacing w:val="-17"/>
          <w:sz w:val="21"/>
        </w:rPr>
        <w:t xml:space="preserve"> </w:t>
      </w:r>
      <w:r>
        <w:rPr>
          <w:sz w:val="21"/>
        </w:rPr>
        <w:t>2</w:t>
      </w:r>
      <w:r>
        <w:rPr>
          <w:spacing w:val="-9"/>
          <w:sz w:val="21"/>
        </w:rPr>
        <w:t>℃</w:t>
      </w:r>
      <w:r>
        <w:rPr>
          <w:spacing w:val="-9"/>
          <w:sz w:val="21"/>
        </w:rPr>
        <w:t>，相对湿度</w:t>
      </w:r>
      <w:r>
        <w:rPr>
          <w:spacing w:val="-9"/>
          <w:sz w:val="21"/>
        </w:rPr>
        <w:t xml:space="preserve"> </w:t>
      </w:r>
      <w:r>
        <w:rPr>
          <w:sz w:val="21"/>
        </w:rPr>
        <w:t>90%</w:t>
      </w:r>
      <w:r>
        <w:rPr>
          <w:sz w:val="21"/>
        </w:rPr>
        <w:t>～</w:t>
      </w:r>
      <w:r>
        <w:rPr>
          <w:sz w:val="21"/>
        </w:rPr>
        <w:t>95</w:t>
      </w:r>
      <w:r>
        <w:rPr>
          <w:sz w:val="21"/>
        </w:rPr>
        <w:t>％（</w:t>
      </w:r>
      <w:r>
        <w:rPr>
          <w:spacing w:val="-3"/>
          <w:sz w:val="21"/>
        </w:rPr>
        <w:t>先调节温度，当温度达到稳定后再加湿</w:t>
      </w:r>
      <w:r>
        <w:rPr>
          <w:sz w:val="21"/>
        </w:rPr>
        <w:t>）</w:t>
      </w:r>
      <w:r>
        <w:rPr>
          <w:spacing w:val="-16"/>
          <w:sz w:val="21"/>
        </w:rPr>
        <w:t>，保持</w:t>
      </w:r>
      <w:r>
        <w:rPr>
          <w:spacing w:val="-16"/>
          <w:sz w:val="21"/>
        </w:rPr>
        <w:t xml:space="preserve"> </w:t>
      </w:r>
      <w:r>
        <w:rPr>
          <w:sz w:val="21"/>
        </w:rPr>
        <w:t>4d</w:t>
      </w:r>
      <w:r>
        <w:rPr>
          <w:spacing w:val="-9"/>
          <w:sz w:val="21"/>
        </w:rPr>
        <w:t xml:space="preserve"> </w:t>
      </w:r>
      <w:r>
        <w:rPr>
          <w:spacing w:val="-9"/>
          <w:sz w:val="21"/>
        </w:rPr>
        <w:t>后进行基本功能试验。</w:t>
      </w:r>
      <w:r>
        <w:rPr>
          <w:sz w:val="21"/>
        </w:rPr>
        <w:t xml:space="preserve"> </w:t>
      </w:r>
    </w:p>
    <w:p w14:paraId="6EF91BB7" w14:textId="77777777" w:rsidR="00A71EEF" w:rsidRDefault="0081115D">
      <w:pPr>
        <w:pStyle w:val="a4"/>
        <w:numPr>
          <w:ilvl w:val="2"/>
          <w:numId w:val="408"/>
        </w:numPr>
        <w:tabs>
          <w:tab w:val="left" w:pos="1478"/>
        </w:tabs>
        <w:spacing w:line="267" w:lineRule="exact"/>
        <w:ind w:hanging="638"/>
        <w:rPr>
          <w:sz w:val="19"/>
        </w:rPr>
      </w:pPr>
      <w:r>
        <w:rPr>
          <w:spacing w:val="-6"/>
          <w:sz w:val="21"/>
        </w:rPr>
        <w:t>取出试样，在正常大气条件下，处于正常监视状态</w:t>
      </w:r>
      <w:r>
        <w:rPr>
          <w:spacing w:val="-6"/>
          <w:sz w:val="21"/>
        </w:rPr>
        <w:t xml:space="preserve"> </w:t>
      </w:r>
      <w:r>
        <w:rPr>
          <w:sz w:val="21"/>
        </w:rPr>
        <w:t>1</w:t>
      </w:r>
      <w:r>
        <w:rPr>
          <w:sz w:val="21"/>
        </w:rPr>
        <w:t>～</w:t>
      </w:r>
      <w:r>
        <w:rPr>
          <w:sz w:val="21"/>
        </w:rPr>
        <w:t>2h</w:t>
      </w:r>
      <w:r>
        <w:rPr>
          <w:spacing w:val="-3"/>
          <w:sz w:val="21"/>
        </w:rPr>
        <w:t>。</w:t>
      </w:r>
      <w:r>
        <w:rPr>
          <w:sz w:val="21"/>
        </w:rPr>
        <w:t xml:space="preserve"> </w:t>
      </w:r>
    </w:p>
    <w:p w14:paraId="65A9317E" w14:textId="77777777" w:rsidR="00A71EEF" w:rsidRDefault="00A71EEF">
      <w:pPr>
        <w:pStyle w:val="a3"/>
        <w:spacing w:before="2"/>
        <w:rPr>
          <w:sz w:val="18"/>
        </w:rPr>
      </w:pPr>
    </w:p>
    <w:p w14:paraId="26DC8BE9" w14:textId="77777777" w:rsidR="00A71EEF" w:rsidRDefault="0081115D">
      <w:pPr>
        <w:pStyle w:val="a4"/>
        <w:numPr>
          <w:ilvl w:val="2"/>
          <w:numId w:val="408"/>
        </w:numPr>
        <w:tabs>
          <w:tab w:val="left" w:pos="1478"/>
        </w:tabs>
        <w:ind w:hanging="638"/>
        <w:rPr>
          <w:sz w:val="19"/>
        </w:rPr>
      </w:pPr>
      <w:r>
        <w:rPr>
          <w:spacing w:val="-3"/>
          <w:sz w:val="21"/>
        </w:rPr>
        <w:t>检查试样表面涂覆情况。</w:t>
      </w:r>
      <w:r>
        <w:rPr>
          <w:sz w:val="21"/>
        </w:rPr>
        <w:t xml:space="preserve"> </w:t>
      </w:r>
    </w:p>
    <w:p w14:paraId="75F03B04" w14:textId="77777777" w:rsidR="00A71EEF" w:rsidRDefault="00A71EEF">
      <w:pPr>
        <w:pStyle w:val="a3"/>
        <w:rPr>
          <w:sz w:val="18"/>
        </w:rPr>
      </w:pPr>
    </w:p>
    <w:p w14:paraId="1C14EC56" w14:textId="77777777" w:rsidR="00A71EEF" w:rsidRDefault="0081115D">
      <w:pPr>
        <w:pStyle w:val="a4"/>
        <w:numPr>
          <w:ilvl w:val="2"/>
          <w:numId w:val="408"/>
        </w:numPr>
        <w:tabs>
          <w:tab w:val="left" w:pos="1478"/>
        </w:tabs>
        <w:ind w:hanging="638"/>
        <w:rPr>
          <w:sz w:val="19"/>
        </w:rPr>
      </w:pPr>
      <w:r>
        <w:rPr>
          <w:spacing w:val="-3"/>
          <w:sz w:val="21"/>
        </w:rPr>
        <w:t>进行基本功能试验，并与试验前的基本功能相比较。</w:t>
      </w:r>
      <w:r>
        <w:rPr>
          <w:sz w:val="21"/>
        </w:rPr>
        <w:t xml:space="preserve"> </w:t>
      </w:r>
    </w:p>
    <w:p w14:paraId="69BB57A9" w14:textId="77777777" w:rsidR="00A71EEF" w:rsidRDefault="00A71EEF">
      <w:pPr>
        <w:pStyle w:val="a3"/>
        <w:spacing w:before="12"/>
        <w:rPr>
          <w:sz w:val="17"/>
        </w:rPr>
      </w:pPr>
    </w:p>
    <w:p w14:paraId="531EE5FB" w14:textId="77777777" w:rsidR="00A71EEF" w:rsidRDefault="0081115D">
      <w:pPr>
        <w:pStyle w:val="a4"/>
        <w:numPr>
          <w:ilvl w:val="1"/>
          <w:numId w:val="408"/>
        </w:numPr>
        <w:tabs>
          <w:tab w:val="left" w:pos="1264"/>
        </w:tabs>
        <w:ind w:left="1263" w:hanging="424"/>
        <w:rPr>
          <w:b/>
          <w:sz w:val="21"/>
        </w:rPr>
      </w:pPr>
      <w:r>
        <w:rPr>
          <w:spacing w:val="-2"/>
          <w:sz w:val="21"/>
        </w:rPr>
        <w:t>振动</w:t>
      </w:r>
      <w:r>
        <w:rPr>
          <w:spacing w:val="-3"/>
          <w:sz w:val="21"/>
        </w:rPr>
        <w:t>（</w:t>
      </w:r>
      <w:r>
        <w:rPr>
          <w:spacing w:val="-2"/>
          <w:sz w:val="21"/>
        </w:rPr>
        <w:t>正弦</w:t>
      </w:r>
      <w:r>
        <w:rPr>
          <w:sz w:val="21"/>
        </w:rPr>
        <w:t>）（</w:t>
      </w:r>
      <w:r>
        <w:rPr>
          <w:spacing w:val="-2"/>
          <w:sz w:val="21"/>
        </w:rPr>
        <w:t>运行</w:t>
      </w:r>
      <w:r>
        <w:rPr>
          <w:sz w:val="21"/>
        </w:rPr>
        <w:t>）</w:t>
      </w:r>
      <w:r>
        <w:rPr>
          <w:spacing w:val="-2"/>
          <w:sz w:val="21"/>
        </w:rPr>
        <w:t>试验</w:t>
      </w:r>
      <w:r>
        <w:rPr>
          <w:b/>
          <w:w w:val="99"/>
          <w:sz w:val="21"/>
        </w:rPr>
        <w:t xml:space="preserve"> </w:t>
      </w:r>
    </w:p>
    <w:p w14:paraId="6369A420" w14:textId="77777777" w:rsidR="00A71EEF" w:rsidRDefault="00A71EEF">
      <w:pPr>
        <w:rPr>
          <w:sz w:val="21"/>
        </w:rPr>
        <w:sectPr w:rsidR="00A71EEF">
          <w:pgSz w:w="11910" w:h="16850"/>
          <w:pgMar w:top="1220" w:right="0" w:bottom="1420" w:left="1260" w:header="0" w:footer="1239" w:gutter="0"/>
          <w:cols w:space="720"/>
        </w:sectPr>
      </w:pPr>
    </w:p>
    <w:p w14:paraId="66CA4693" w14:textId="77777777" w:rsidR="00A71EEF" w:rsidRDefault="0081115D">
      <w:pPr>
        <w:pStyle w:val="a4"/>
        <w:numPr>
          <w:ilvl w:val="2"/>
          <w:numId w:val="408"/>
        </w:numPr>
        <w:tabs>
          <w:tab w:val="left" w:pos="1478"/>
        </w:tabs>
        <w:spacing w:before="47" w:line="446" w:lineRule="auto"/>
        <w:ind w:left="418" w:right="1498" w:firstLine="422"/>
        <w:rPr>
          <w:sz w:val="19"/>
        </w:rPr>
      </w:pPr>
      <w:r>
        <w:rPr>
          <w:spacing w:val="-3"/>
          <w:sz w:val="21"/>
        </w:rPr>
        <w:t>将试样按正常安装方式刚性安装，使同方向的重力作用与其使用时一致</w:t>
      </w:r>
      <w:r>
        <w:rPr>
          <w:sz w:val="21"/>
        </w:rPr>
        <w:t>（</w:t>
      </w:r>
      <w:r>
        <w:rPr>
          <w:spacing w:val="-3"/>
          <w:sz w:val="21"/>
        </w:rPr>
        <w:t>重力影响可忽略时除外</w:t>
      </w:r>
      <w:r>
        <w:rPr>
          <w:sz w:val="21"/>
        </w:rPr>
        <w:t>）</w:t>
      </w:r>
      <w:r>
        <w:rPr>
          <w:spacing w:val="-3"/>
          <w:sz w:val="21"/>
        </w:rPr>
        <w:t>，试样在上述安装方式下可放于任何高度。接通电源，使试样处于正常监视状态。</w:t>
      </w:r>
      <w:r>
        <w:rPr>
          <w:sz w:val="21"/>
        </w:rPr>
        <w:t xml:space="preserve"> </w:t>
      </w:r>
    </w:p>
    <w:p w14:paraId="79026544" w14:textId="77777777" w:rsidR="00A71EEF" w:rsidRDefault="0081115D">
      <w:pPr>
        <w:pStyle w:val="a4"/>
        <w:numPr>
          <w:ilvl w:val="2"/>
          <w:numId w:val="408"/>
        </w:numPr>
        <w:tabs>
          <w:tab w:val="left" w:pos="1478"/>
        </w:tabs>
        <w:spacing w:line="446" w:lineRule="auto"/>
        <w:ind w:left="418" w:right="1551" w:firstLine="422"/>
        <w:rPr>
          <w:sz w:val="19"/>
        </w:rPr>
      </w:pPr>
      <w:r>
        <w:rPr>
          <w:spacing w:val="-14"/>
          <w:sz w:val="21"/>
        </w:rPr>
        <w:t>依次在</w:t>
      </w:r>
      <w:r>
        <w:rPr>
          <w:spacing w:val="-14"/>
          <w:sz w:val="21"/>
        </w:rPr>
        <w:t xml:space="preserve"> </w:t>
      </w:r>
      <w:r>
        <w:rPr>
          <w:sz w:val="21"/>
        </w:rPr>
        <w:t>3</w:t>
      </w:r>
      <w:r>
        <w:rPr>
          <w:spacing w:val="-12"/>
          <w:sz w:val="21"/>
        </w:rPr>
        <w:t xml:space="preserve"> </w:t>
      </w:r>
      <w:r>
        <w:rPr>
          <w:spacing w:val="-12"/>
          <w:sz w:val="21"/>
        </w:rPr>
        <w:t>个互相垂直的轴线上，在</w:t>
      </w:r>
      <w:r>
        <w:rPr>
          <w:spacing w:val="-12"/>
          <w:sz w:val="21"/>
        </w:rPr>
        <w:t xml:space="preserve"> </w:t>
      </w:r>
      <w:r>
        <w:rPr>
          <w:sz w:val="21"/>
        </w:rPr>
        <w:t>10</w:t>
      </w:r>
      <w:r>
        <w:rPr>
          <w:sz w:val="21"/>
        </w:rPr>
        <w:t>～</w:t>
      </w:r>
      <w:r>
        <w:rPr>
          <w:sz w:val="21"/>
        </w:rPr>
        <w:t>150Hz</w:t>
      </w:r>
      <w:r>
        <w:rPr>
          <w:spacing w:val="-12"/>
          <w:sz w:val="21"/>
        </w:rPr>
        <w:t xml:space="preserve"> </w:t>
      </w:r>
      <w:r>
        <w:rPr>
          <w:spacing w:val="-12"/>
          <w:sz w:val="21"/>
        </w:rPr>
        <w:t>的频率循环范围内，以</w:t>
      </w:r>
      <w:r>
        <w:rPr>
          <w:spacing w:val="-12"/>
          <w:sz w:val="21"/>
        </w:rPr>
        <w:t xml:space="preserve"> </w:t>
      </w:r>
      <w:r>
        <w:rPr>
          <w:sz w:val="21"/>
        </w:rPr>
        <w:t>0.981m/s²</w:t>
      </w:r>
      <w:r>
        <w:rPr>
          <w:sz w:val="21"/>
        </w:rPr>
        <w:t>的</w:t>
      </w:r>
      <w:r>
        <w:rPr>
          <w:spacing w:val="-2"/>
          <w:sz w:val="21"/>
        </w:rPr>
        <w:t>加速度幅值，</w:t>
      </w:r>
      <w:r>
        <w:rPr>
          <w:sz w:val="21"/>
        </w:rPr>
        <w:t>1</w:t>
      </w:r>
      <w:r>
        <w:rPr>
          <w:spacing w:val="-2"/>
          <w:sz w:val="21"/>
        </w:rPr>
        <w:t xml:space="preserve"> </w:t>
      </w:r>
      <w:r>
        <w:rPr>
          <w:sz w:val="21"/>
        </w:rPr>
        <w:t>oct/min</w:t>
      </w:r>
      <w:r>
        <w:rPr>
          <w:spacing w:val="-13"/>
          <w:sz w:val="21"/>
        </w:rPr>
        <w:t xml:space="preserve"> </w:t>
      </w:r>
      <w:r>
        <w:rPr>
          <w:spacing w:val="-13"/>
          <w:sz w:val="21"/>
        </w:rPr>
        <w:t>的扫频速率，各进行</w:t>
      </w:r>
      <w:r>
        <w:rPr>
          <w:spacing w:val="-13"/>
          <w:sz w:val="21"/>
        </w:rPr>
        <w:t xml:space="preserve"> </w:t>
      </w:r>
      <w:r>
        <w:rPr>
          <w:sz w:val="21"/>
        </w:rPr>
        <w:t>1</w:t>
      </w:r>
      <w:r>
        <w:rPr>
          <w:spacing w:val="-10"/>
          <w:sz w:val="21"/>
        </w:rPr>
        <w:t xml:space="preserve"> </w:t>
      </w:r>
      <w:r>
        <w:rPr>
          <w:spacing w:val="-10"/>
          <w:sz w:val="21"/>
        </w:rPr>
        <w:t>次扫频循环。</w:t>
      </w:r>
      <w:r>
        <w:rPr>
          <w:sz w:val="21"/>
        </w:rPr>
        <w:t xml:space="preserve"> </w:t>
      </w:r>
    </w:p>
    <w:p w14:paraId="6BF3E92C" w14:textId="77777777" w:rsidR="00A71EEF" w:rsidRDefault="0081115D">
      <w:pPr>
        <w:pStyle w:val="a4"/>
        <w:numPr>
          <w:ilvl w:val="2"/>
          <w:numId w:val="408"/>
        </w:numPr>
        <w:tabs>
          <w:tab w:val="left" w:pos="1478"/>
        </w:tabs>
        <w:spacing w:line="267" w:lineRule="exact"/>
        <w:ind w:hanging="638"/>
        <w:rPr>
          <w:sz w:val="19"/>
        </w:rPr>
      </w:pPr>
      <w:r>
        <w:rPr>
          <w:spacing w:val="-3"/>
          <w:sz w:val="21"/>
        </w:rPr>
        <w:t>检查试样外观及紧固部位。</w:t>
      </w:r>
      <w:r>
        <w:rPr>
          <w:sz w:val="21"/>
        </w:rPr>
        <w:t xml:space="preserve"> </w:t>
      </w:r>
    </w:p>
    <w:p w14:paraId="0745266A" w14:textId="77777777" w:rsidR="00A71EEF" w:rsidRDefault="00A71EEF">
      <w:pPr>
        <w:pStyle w:val="a3"/>
        <w:spacing w:before="1"/>
        <w:rPr>
          <w:sz w:val="18"/>
        </w:rPr>
      </w:pPr>
    </w:p>
    <w:p w14:paraId="02DF5381" w14:textId="77777777" w:rsidR="00A71EEF" w:rsidRDefault="0081115D">
      <w:pPr>
        <w:pStyle w:val="a4"/>
        <w:numPr>
          <w:ilvl w:val="2"/>
          <w:numId w:val="408"/>
        </w:numPr>
        <w:tabs>
          <w:tab w:val="left" w:pos="1478"/>
        </w:tabs>
        <w:ind w:hanging="638"/>
        <w:rPr>
          <w:sz w:val="19"/>
        </w:rPr>
      </w:pPr>
      <w:r>
        <w:rPr>
          <w:spacing w:val="-3"/>
          <w:sz w:val="21"/>
        </w:rPr>
        <w:t>进行基本功能试验，并与试验前的基本功能相比较。</w:t>
      </w:r>
      <w:r>
        <w:rPr>
          <w:sz w:val="21"/>
        </w:rPr>
        <w:t xml:space="preserve"> </w:t>
      </w:r>
    </w:p>
    <w:p w14:paraId="4C9328AC" w14:textId="77777777" w:rsidR="00A71EEF" w:rsidRDefault="00A71EEF">
      <w:pPr>
        <w:pStyle w:val="a3"/>
        <w:rPr>
          <w:sz w:val="18"/>
        </w:rPr>
      </w:pPr>
    </w:p>
    <w:p w14:paraId="448C19CA" w14:textId="77777777" w:rsidR="00A71EEF" w:rsidRDefault="0081115D">
      <w:pPr>
        <w:pStyle w:val="a4"/>
        <w:numPr>
          <w:ilvl w:val="1"/>
          <w:numId w:val="408"/>
        </w:numPr>
        <w:tabs>
          <w:tab w:val="left" w:pos="1264"/>
        </w:tabs>
        <w:ind w:left="1263" w:hanging="424"/>
        <w:rPr>
          <w:sz w:val="21"/>
        </w:rPr>
      </w:pPr>
      <w:r>
        <w:rPr>
          <w:spacing w:val="-2"/>
          <w:sz w:val="21"/>
        </w:rPr>
        <w:t>振动</w:t>
      </w:r>
      <w:r>
        <w:rPr>
          <w:spacing w:val="-3"/>
          <w:sz w:val="21"/>
        </w:rPr>
        <w:t>（</w:t>
      </w:r>
      <w:r>
        <w:rPr>
          <w:spacing w:val="-2"/>
          <w:sz w:val="21"/>
        </w:rPr>
        <w:t>正弦</w:t>
      </w:r>
      <w:r>
        <w:rPr>
          <w:sz w:val="21"/>
        </w:rPr>
        <w:t>）（</w:t>
      </w:r>
      <w:r>
        <w:rPr>
          <w:spacing w:val="-2"/>
          <w:sz w:val="21"/>
        </w:rPr>
        <w:t>耐久</w:t>
      </w:r>
      <w:r>
        <w:rPr>
          <w:sz w:val="21"/>
        </w:rPr>
        <w:t>）</w:t>
      </w:r>
      <w:r>
        <w:rPr>
          <w:spacing w:val="-2"/>
          <w:sz w:val="21"/>
        </w:rPr>
        <w:t>试验</w:t>
      </w:r>
      <w:r>
        <w:rPr>
          <w:sz w:val="21"/>
        </w:rPr>
        <w:t xml:space="preserve"> </w:t>
      </w:r>
    </w:p>
    <w:p w14:paraId="4DC639EA" w14:textId="77777777" w:rsidR="00A71EEF" w:rsidRDefault="00A71EEF">
      <w:pPr>
        <w:pStyle w:val="a3"/>
        <w:rPr>
          <w:sz w:val="18"/>
        </w:rPr>
      </w:pPr>
    </w:p>
    <w:p w14:paraId="48A8B68D" w14:textId="77777777" w:rsidR="00A71EEF" w:rsidRDefault="0081115D">
      <w:pPr>
        <w:pStyle w:val="a4"/>
        <w:numPr>
          <w:ilvl w:val="2"/>
          <w:numId w:val="408"/>
        </w:numPr>
        <w:tabs>
          <w:tab w:val="left" w:pos="1478"/>
        </w:tabs>
        <w:spacing w:line="446" w:lineRule="auto"/>
        <w:ind w:left="418" w:right="1498" w:firstLine="422"/>
        <w:rPr>
          <w:sz w:val="19"/>
        </w:rPr>
      </w:pPr>
      <w:r>
        <w:rPr>
          <w:spacing w:val="-3"/>
          <w:sz w:val="21"/>
        </w:rPr>
        <w:t>在不通电的情况下，将试样按正常安装方式刚性安装（重力影响可忽略时除外</w:t>
      </w:r>
      <w:r>
        <w:rPr>
          <w:sz w:val="21"/>
        </w:rPr>
        <w:t>），</w:t>
      </w:r>
      <w:r>
        <w:rPr>
          <w:sz w:val="21"/>
        </w:rPr>
        <w:t xml:space="preserve"> </w:t>
      </w:r>
      <w:r>
        <w:rPr>
          <w:spacing w:val="-3"/>
          <w:sz w:val="21"/>
        </w:rPr>
        <w:t>试样在上述安装方式下可放于任何高度。</w:t>
      </w:r>
      <w:r>
        <w:rPr>
          <w:sz w:val="21"/>
        </w:rPr>
        <w:t xml:space="preserve"> </w:t>
      </w:r>
    </w:p>
    <w:p w14:paraId="0B701252" w14:textId="77777777" w:rsidR="00A71EEF" w:rsidRDefault="0081115D">
      <w:pPr>
        <w:pStyle w:val="a4"/>
        <w:numPr>
          <w:ilvl w:val="2"/>
          <w:numId w:val="408"/>
        </w:numPr>
        <w:tabs>
          <w:tab w:val="left" w:pos="1478"/>
        </w:tabs>
        <w:spacing w:line="446" w:lineRule="auto"/>
        <w:ind w:left="418" w:right="1551" w:firstLine="422"/>
        <w:rPr>
          <w:sz w:val="19"/>
        </w:rPr>
      </w:pPr>
      <w:r>
        <w:rPr>
          <w:spacing w:val="-14"/>
          <w:sz w:val="21"/>
        </w:rPr>
        <w:t>依次在</w:t>
      </w:r>
      <w:r>
        <w:rPr>
          <w:spacing w:val="-14"/>
          <w:sz w:val="21"/>
        </w:rPr>
        <w:t xml:space="preserve"> </w:t>
      </w:r>
      <w:r>
        <w:rPr>
          <w:sz w:val="21"/>
        </w:rPr>
        <w:t>3</w:t>
      </w:r>
      <w:r>
        <w:rPr>
          <w:spacing w:val="-12"/>
          <w:sz w:val="21"/>
        </w:rPr>
        <w:t xml:space="preserve"> </w:t>
      </w:r>
      <w:r>
        <w:rPr>
          <w:spacing w:val="-12"/>
          <w:sz w:val="21"/>
        </w:rPr>
        <w:t>个互相垂直的轴线上，在</w:t>
      </w:r>
      <w:r>
        <w:rPr>
          <w:spacing w:val="-12"/>
          <w:sz w:val="21"/>
        </w:rPr>
        <w:t xml:space="preserve"> </w:t>
      </w:r>
      <w:r>
        <w:rPr>
          <w:sz w:val="21"/>
        </w:rPr>
        <w:t>10</w:t>
      </w:r>
      <w:r>
        <w:rPr>
          <w:sz w:val="21"/>
        </w:rPr>
        <w:t>～</w:t>
      </w:r>
      <w:r>
        <w:rPr>
          <w:sz w:val="21"/>
        </w:rPr>
        <w:t>150Hz</w:t>
      </w:r>
      <w:r>
        <w:rPr>
          <w:spacing w:val="-12"/>
          <w:sz w:val="21"/>
        </w:rPr>
        <w:t xml:space="preserve"> </w:t>
      </w:r>
      <w:r>
        <w:rPr>
          <w:spacing w:val="-12"/>
          <w:sz w:val="21"/>
        </w:rPr>
        <w:t>的频率循环范围内，以</w:t>
      </w:r>
      <w:r>
        <w:rPr>
          <w:spacing w:val="-12"/>
          <w:sz w:val="21"/>
        </w:rPr>
        <w:t xml:space="preserve"> </w:t>
      </w:r>
      <w:r>
        <w:rPr>
          <w:sz w:val="21"/>
        </w:rPr>
        <w:t>4.905m/s²</w:t>
      </w:r>
      <w:r>
        <w:rPr>
          <w:sz w:val="21"/>
        </w:rPr>
        <w:t>的</w:t>
      </w:r>
      <w:r>
        <w:rPr>
          <w:spacing w:val="-2"/>
          <w:sz w:val="21"/>
        </w:rPr>
        <w:t>加速度幅值，</w:t>
      </w:r>
      <w:r>
        <w:rPr>
          <w:sz w:val="21"/>
        </w:rPr>
        <w:t>1</w:t>
      </w:r>
      <w:r>
        <w:rPr>
          <w:spacing w:val="-2"/>
          <w:sz w:val="21"/>
        </w:rPr>
        <w:t xml:space="preserve"> </w:t>
      </w:r>
      <w:r>
        <w:rPr>
          <w:sz w:val="21"/>
        </w:rPr>
        <w:t>oct/min</w:t>
      </w:r>
      <w:r>
        <w:rPr>
          <w:spacing w:val="-13"/>
          <w:sz w:val="21"/>
        </w:rPr>
        <w:t xml:space="preserve"> </w:t>
      </w:r>
      <w:r>
        <w:rPr>
          <w:spacing w:val="-13"/>
          <w:sz w:val="21"/>
        </w:rPr>
        <w:t>的扫频速率，各进行</w:t>
      </w:r>
      <w:r>
        <w:rPr>
          <w:spacing w:val="-13"/>
          <w:sz w:val="21"/>
        </w:rPr>
        <w:t xml:space="preserve"> </w:t>
      </w:r>
      <w:r>
        <w:rPr>
          <w:sz w:val="21"/>
        </w:rPr>
        <w:t>20</w:t>
      </w:r>
      <w:r>
        <w:rPr>
          <w:spacing w:val="-10"/>
          <w:sz w:val="21"/>
        </w:rPr>
        <w:t xml:space="preserve"> </w:t>
      </w:r>
      <w:r>
        <w:rPr>
          <w:spacing w:val="-10"/>
          <w:sz w:val="21"/>
        </w:rPr>
        <w:t>次扫频循环。</w:t>
      </w:r>
      <w:r>
        <w:rPr>
          <w:sz w:val="21"/>
        </w:rPr>
        <w:t xml:space="preserve"> </w:t>
      </w:r>
    </w:p>
    <w:p w14:paraId="657B981F" w14:textId="77777777" w:rsidR="00A71EEF" w:rsidRDefault="0081115D">
      <w:pPr>
        <w:pStyle w:val="a4"/>
        <w:numPr>
          <w:ilvl w:val="2"/>
          <w:numId w:val="408"/>
        </w:numPr>
        <w:tabs>
          <w:tab w:val="left" w:pos="1478"/>
        </w:tabs>
        <w:ind w:hanging="638"/>
        <w:rPr>
          <w:sz w:val="19"/>
        </w:rPr>
      </w:pPr>
      <w:r>
        <w:rPr>
          <w:spacing w:val="-3"/>
          <w:sz w:val="21"/>
        </w:rPr>
        <w:t>检查试样外观及紧固部位。</w:t>
      </w:r>
      <w:r>
        <w:rPr>
          <w:sz w:val="21"/>
        </w:rPr>
        <w:t xml:space="preserve"> </w:t>
      </w:r>
    </w:p>
    <w:p w14:paraId="5187D047" w14:textId="77777777" w:rsidR="00A71EEF" w:rsidRDefault="00A71EEF">
      <w:pPr>
        <w:pStyle w:val="a3"/>
        <w:spacing w:before="12"/>
        <w:rPr>
          <w:sz w:val="17"/>
        </w:rPr>
      </w:pPr>
    </w:p>
    <w:p w14:paraId="624E06A9" w14:textId="77777777" w:rsidR="00A71EEF" w:rsidRDefault="0081115D">
      <w:pPr>
        <w:pStyle w:val="a4"/>
        <w:numPr>
          <w:ilvl w:val="2"/>
          <w:numId w:val="408"/>
        </w:numPr>
        <w:tabs>
          <w:tab w:val="left" w:pos="1478"/>
        </w:tabs>
        <w:ind w:hanging="638"/>
        <w:rPr>
          <w:sz w:val="19"/>
        </w:rPr>
      </w:pPr>
      <w:r>
        <w:rPr>
          <w:spacing w:val="-3"/>
          <w:sz w:val="21"/>
        </w:rPr>
        <w:t>接通电源，使其处于正常监视状态。</w:t>
      </w:r>
      <w:r>
        <w:rPr>
          <w:sz w:val="21"/>
        </w:rPr>
        <w:t xml:space="preserve"> </w:t>
      </w:r>
    </w:p>
    <w:p w14:paraId="66627D8C" w14:textId="77777777" w:rsidR="00A71EEF" w:rsidRDefault="00A71EEF">
      <w:pPr>
        <w:pStyle w:val="a3"/>
        <w:rPr>
          <w:sz w:val="18"/>
        </w:rPr>
      </w:pPr>
    </w:p>
    <w:p w14:paraId="6B77633C" w14:textId="77777777" w:rsidR="00A71EEF" w:rsidRDefault="0081115D">
      <w:pPr>
        <w:pStyle w:val="a4"/>
        <w:numPr>
          <w:ilvl w:val="2"/>
          <w:numId w:val="408"/>
        </w:numPr>
        <w:tabs>
          <w:tab w:val="left" w:pos="1478"/>
        </w:tabs>
        <w:ind w:hanging="638"/>
        <w:rPr>
          <w:sz w:val="19"/>
        </w:rPr>
      </w:pPr>
      <w:r>
        <w:rPr>
          <w:spacing w:val="-3"/>
          <w:sz w:val="21"/>
        </w:rPr>
        <w:t>进行基本功能试验，并与试验前的基本功能相比较。</w:t>
      </w:r>
      <w:r>
        <w:rPr>
          <w:sz w:val="21"/>
        </w:rPr>
        <w:t xml:space="preserve"> </w:t>
      </w:r>
    </w:p>
    <w:p w14:paraId="5E26ECE8" w14:textId="77777777" w:rsidR="00A71EEF" w:rsidRDefault="00A71EEF">
      <w:pPr>
        <w:pStyle w:val="a3"/>
        <w:spacing w:before="2"/>
        <w:rPr>
          <w:sz w:val="18"/>
        </w:rPr>
      </w:pPr>
    </w:p>
    <w:p w14:paraId="165B60B8" w14:textId="77777777" w:rsidR="00A71EEF" w:rsidRDefault="0081115D">
      <w:pPr>
        <w:pStyle w:val="a4"/>
        <w:numPr>
          <w:ilvl w:val="1"/>
          <w:numId w:val="408"/>
        </w:numPr>
        <w:tabs>
          <w:tab w:val="left" w:pos="1266"/>
        </w:tabs>
        <w:ind w:left="1265" w:hanging="426"/>
        <w:rPr>
          <w:sz w:val="21"/>
        </w:rPr>
      </w:pPr>
      <w:r>
        <w:rPr>
          <w:spacing w:val="-3"/>
          <w:sz w:val="21"/>
        </w:rPr>
        <w:t>碰撞试验</w:t>
      </w:r>
      <w:r>
        <w:rPr>
          <w:sz w:val="21"/>
        </w:rPr>
        <w:t xml:space="preserve"> </w:t>
      </w:r>
    </w:p>
    <w:p w14:paraId="4A9A1D8D" w14:textId="77777777" w:rsidR="00A71EEF" w:rsidRDefault="00A71EEF">
      <w:pPr>
        <w:pStyle w:val="a3"/>
        <w:spacing w:before="12"/>
        <w:rPr>
          <w:sz w:val="17"/>
        </w:rPr>
      </w:pPr>
    </w:p>
    <w:p w14:paraId="156C9898" w14:textId="77777777" w:rsidR="00A71EEF" w:rsidRDefault="0081115D">
      <w:pPr>
        <w:pStyle w:val="a4"/>
        <w:numPr>
          <w:ilvl w:val="2"/>
          <w:numId w:val="408"/>
        </w:numPr>
        <w:tabs>
          <w:tab w:val="left" w:pos="1478"/>
        </w:tabs>
        <w:ind w:hanging="638"/>
        <w:rPr>
          <w:sz w:val="19"/>
        </w:rPr>
      </w:pPr>
      <w:r>
        <w:rPr>
          <w:spacing w:val="-3"/>
          <w:sz w:val="21"/>
        </w:rPr>
        <w:t>将试样与等效负载连接，接通电源，使其处于正常监视状态。</w:t>
      </w:r>
      <w:r>
        <w:rPr>
          <w:sz w:val="21"/>
        </w:rPr>
        <w:t xml:space="preserve"> </w:t>
      </w:r>
    </w:p>
    <w:p w14:paraId="0226C80E" w14:textId="77777777" w:rsidR="00A71EEF" w:rsidRDefault="00A71EEF">
      <w:pPr>
        <w:pStyle w:val="a3"/>
        <w:spacing w:before="12"/>
        <w:rPr>
          <w:sz w:val="17"/>
        </w:rPr>
      </w:pPr>
    </w:p>
    <w:p w14:paraId="24D5637B" w14:textId="77777777" w:rsidR="00A71EEF" w:rsidRDefault="0081115D">
      <w:pPr>
        <w:pStyle w:val="a4"/>
        <w:numPr>
          <w:ilvl w:val="2"/>
          <w:numId w:val="408"/>
        </w:numPr>
        <w:tabs>
          <w:tab w:val="left" w:pos="1478"/>
        </w:tabs>
        <w:spacing w:line="446" w:lineRule="auto"/>
        <w:ind w:left="418" w:right="1450" w:firstLine="422"/>
        <w:rPr>
          <w:sz w:val="19"/>
        </w:rPr>
      </w:pPr>
      <w:r>
        <w:rPr>
          <w:spacing w:val="-6"/>
          <w:sz w:val="21"/>
        </w:rPr>
        <w:t>对试样表面上的每个易损部件施加</w:t>
      </w:r>
      <w:r>
        <w:rPr>
          <w:spacing w:val="-6"/>
          <w:sz w:val="21"/>
        </w:rPr>
        <w:t xml:space="preserve"> </w:t>
      </w:r>
      <w:r>
        <w:rPr>
          <w:sz w:val="21"/>
        </w:rPr>
        <w:t>3</w:t>
      </w:r>
      <w:r>
        <w:rPr>
          <w:spacing w:val="-18"/>
          <w:sz w:val="21"/>
        </w:rPr>
        <w:t xml:space="preserve"> </w:t>
      </w:r>
      <w:r>
        <w:rPr>
          <w:spacing w:val="-18"/>
          <w:sz w:val="21"/>
        </w:rPr>
        <w:t>次能量为</w:t>
      </w:r>
      <w:r>
        <w:rPr>
          <w:spacing w:val="-18"/>
          <w:sz w:val="21"/>
        </w:rPr>
        <w:t xml:space="preserve"> </w:t>
      </w:r>
      <w:r>
        <w:rPr>
          <w:sz w:val="21"/>
        </w:rPr>
        <w:t>0.5J±0.04J</w:t>
      </w:r>
      <w:r>
        <w:rPr>
          <w:spacing w:val="-8"/>
          <w:sz w:val="21"/>
        </w:rPr>
        <w:t xml:space="preserve"> </w:t>
      </w:r>
      <w:r>
        <w:rPr>
          <w:spacing w:val="-8"/>
          <w:sz w:val="21"/>
        </w:rPr>
        <w:t>的碰撞。在进行试验时</w:t>
      </w:r>
      <w:r>
        <w:rPr>
          <w:spacing w:val="-5"/>
          <w:sz w:val="21"/>
        </w:rPr>
        <w:t>应小心进行，以确保上一组</w:t>
      </w:r>
      <w:r>
        <w:rPr>
          <w:sz w:val="21"/>
        </w:rPr>
        <w:t>（</w:t>
      </w:r>
      <w:r>
        <w:rPr>
          <w:sz w:val="21"/>
        </w:rPr>
        <w:t>3</w:t>
      </w:r>
      <w:r>
        <w:rPr>
          <w:spacing w:val="-10"/>
          <w:sz w:val="21"/>
        </w:rPr>
        <w:t xml:space="preserve"> </w:t>
      </w:r>
      <w:r>
        <w:rPr>
          <w:spacing w:val="-10"/>
          <w:sz w:val="21"/>
        </w:rPr>
        <w:t>次</w:t>
      </w:r>
      <w:r>
        <w:rPr>
          <w:spacing w:val="-3"/>
          <w:sz w:val="21"/>
        </w:rPr>
        <w:t>）碰撞的结果不对后续各组碰撞的结果产生影响，在认为可能产生影响时，应不考虑发现的缺陷，取一新的试样，在同一位置重新进行碰撞试验。观察并记</w:t>
      </w:r>
      <w:r>
        <w:rPr>
          <w:spacing w:val="-3"/>
          <w:sz w:val="21"/>
        </w:rPr>
        <w:t xml:space="preserve"> </w:t>
      </w:r>
      <w:r>
        <w:rPr>
          <w:spacing w:val="-3"/>
          <w:sz w:val="21"/>
        </w:rPr>
        <w:t>录试样的工作状态。</w:t>
      </w:r>
      <w:r>
        <w:rPr>
          <w:sz w:val="21"/>
        </w:rPr>
        <w:t xml:space="preserve"> </w:t>
      </w:r>
    </w:p>
    <w:p w14:paraId="2956277A" w14:textId="77777777" w:rsidR="00A71EEF" w:rsidRDefault="0081115D">
      <w:pPr>
        <w:pStyle w:val="a4"/>
        <w:numPr>
          <w:ilvl w:val="2"/>
          <w:numId w:val="408"/>
        </w:numPr>
        <w:tabs>
          <w:tab w:val="left" w:pos="1473"/>
        </w:tabs>
        <w:spacing w:before="1"/>
        <w:ind w:left="1472" w:hanging="635"/>
        <w:rPr>
          <w:sz w:val="19"/>
        </w:rPr>
      </w:pPr>
      <w:r>
        <w:rPr>
          <w:spacing w:val="-3"/>
          <w:sz w:val="21"/>
        </w:rPr>
        <w:t>进行基本功能试验，并与试验前的基本功能相比较。</w:t>
      </w:r>
      <w:r>
        <w:rPr>
          <w:sz w:val="21"/>
        </w:rPr>
        <w:t xml:space="preserve"> </w:t>
      </w:r>
    </w:p>
    <w:p w14:paraId="693529DE" w14:textId="77777777" w:rsidR="00A71EEF" w:rsidRDefault="00A71EEF">
      <w:pPr>
        <w:pStyle w:val="a3"/>
        <w:spacing w:before="8"/>
        <w:rPr>
          <w:sz w:val="15"/>
        </w:rPr>
      </w:pPr>
    </w:p>
    <w:p w14:paraId="37940C7B" w14:textId="77777777" w:rsidR="00A71EEF" w:rsidRDefault="0081115D">
      <w:pPr>
        <w:pStyle w:val="4"/>
      </w:pPr>
      <w:r>
        <w:t xml:space="preserve">6 </w:t>
      </w:r>
      <w:r>
        <w:t>检验规则</w:t>
      </w:r>
      <w:r>
        <w:rPr>
          <w:w w:val="99"/>
        </w:rPr>
        <w:t xml:space="preserve"> </w:t>
      </w:r>
    </w:p>
    <w:p w14:paraId="45AF9490" w14:textId="77777777" w:rsidR="00A71EEF" w:rsidRDefault="00A71EEF">
      <w:pPr>
        <w:pStyle w:val="a3"/>
        <w:spacing w:before="3"/>
        <w:rPr>
          <w:b/>
          <w:sz w:val="17"/>
        </w:rPr>
      </w:pPr>
    </w:p>
    <w:p w14:paraId="7BE335E5" w14:textId="77777777" w:rsidR="00A71EEF" w:rsidRDefault="0081115D">
      <w:pPr>
        <w:spacing w:before="1"/>
        <w:ind w:left="840"/>
        <w:rPr>
          <w:sz w:val="21"/>
        </w:rPr>
      </w:pPr>
      <w:r>
        <w:rPr>
          <w:b/>
          <w:sz w:val="21"/>
        </w:rPr>
        <w:t xml:space="preserve">6.1 </w:t>
      </w:r>
      <w:r>
        <w:rPr>
          <w:sz w:val="21"/>
        </w:rPr>
        <w:t>出厂检验</w:t>
      </w:r>
      <w:r>
        <w:rPr>
          <w:sz w:val="21"/>
        </w:rPr>
        <w:t xml:space="preserve"> </w:t>
      </w:r>
    </w:p>
    <w:p w14:paraId="56978D5F" w14:textId="77777777" w:rsidR="00A71EEF" w:rsidRDefault="00A71EEF">
      <w:pPr>
        <w:pStyle w:val="a3"/>
        <w:spacing w:before="1"/>
        <w:rPr>
          <w:sz w:val="18"/>
        </w:rPr>
      </w:pPr>
    </w:p>
    <w:p w14:paraId="0F176708" w14:textId="77777777" w:rsidR="00A71EEF" w:rsidRDefault="0081115D">
      <w:pPr>
        <w:pStyle w:val="a3"/>
        <w:spacing w:before="1" w:line="446" w:lineRule="auto"/>
        <w:ind w:left="838" w:right="6076"/>
        <w:rPr>
          <w:b/>
        </w:rPr>
      </w:pPr>
      <w:r>
        <w:t>应对监控器进行下述试验项目的检验：</w:t>
      </w:r>
      <w:r>
        <w:t xml:space="preserve"> a</w:t>
      </w:r>
      <w:r>
        <w:t>）</w:t>
      </w:r>
      <w:r>
        <w:t xml:space="preserve"> </w:t>
      </w:r>
      <w:r>
        <w:t>基本功能试验；</w:t>
      </w:r>
      <w:r>
        <w:rPr>
          <w:b/>
          <w:w w:val="99"/>
        </w:rPr>
        <w:t xml:space="preserve"> </w:t>
      </w:r>
    </w:p>
    <w:p w14:paraId="0FD85881" w14:textId="77777777" w:rsidR="00A71EEF" w:rsidRDefault="0081115D">
      <w:pPr>
        <w:pStyle w:val="a4"/>
        <w:numPr>
          <w:ilvl w:val="0"/>
          <w:numId w:val="405"/>
        </w:numPr>
        <w:tabs>
          <w:tab w:val="left" w:pos="1156"/>
        </w:tabs>
        <w:spacing w:line="446" w:lineRule="auto"/>
        <w:ind w:left="838" w:right="7809" w:firstLine="0"/>
        <w:rPr>
          <w:b/>
          <w:sz w:val="21"/>
        </w:rPr>
      </w:pPr>
      <w:r>
        <w:rPr>
          <w:spacing w:val="-3"/>
          <w:sz w:val="21"/>
        </w:rPr>
        <w:t>自检功能试验；</w:t>
      </w:r>
      <w:r>
        <w:rPr>
          <w:spacing w:val="-3"/>
          <w:sz w:val="21"/>
        </w:rPr>
        <w:t xml:space="preserve"> </w:t>
      </w:r>
      <w:r>
        <w:rPr>
          <w:sz w:val="21"/>
        </w:rPr>
        <w:t>c</w:t>
      </w:r>
      <w:r>
        <w:rPr>
          <w:sz w:val="21"/>
        </w:rPr>
        <w:t>）</w:t>
      </w:r>
      <w:r>
        <w:rPr>
          <w:spacing w:val="-3"/>
          <w:sz w:val="21"/>
        </w:rPr>
        <w:t xml:space="preserve"> </w:t>
      </w:r>
      <w:r>
        <w:rPr>
          <w:spacing w:val="-3"/>
          <w:sz w:val="21"/>
        </w:rPr>
        <w:t>绝缘电阻试验；</w:t>
      </w:r>
      <w:r>
        <w:rPr>
          <w:b/>
          <w:w w:val="99"/>
          <w:sz w:val="21"/>
        </w:rPr>
        <w:t xml:space="preserve"> </w:t>
      </w:r>
    </w:p>
    <w:p w14:paraId="79C801FC" w14:textId="77777777" w:rsidR="00A71EEF" w:rsidRDefault="00A71EEF">
      <w:pPr>
        <w:spacing w:line="446" w:lineRule="auto"/>
        <w:rPr>
          <w:sz w:val="21"/>
        </w:rPr>
        <w:sectPr w:rsidR="00A71EEF">
          <w:pgSz w:w="11910" w:h="16850"/>
          <w:pgMar w:top="1220" w:right="0" w:bottom="1420" w:left="1260" w:header="0" w:footer="1239" w:gutter="0"/>
          <w:cols w:space="720"/>
        </w:sectPr>
      </w:pPr>
    </w:p>
    <w:p w14:paraId="09011870" w14:textId="77777777" w:rsidR="00A71EEF" w:rsidRDefault="0081115D">
      <w:pPr>
        <w:spacing w:before="47" w:line="446" w:lineRule="auto"/>
        <w:ind w:left="840" w:right="7809" w:hanging="3"/>
        <w:rPr>
          <w:b/>
          <w:sz w:val="21"/>
        </w:rPr>
      </w:pPr>
      <w:r>
        <w:rPr>
          <w:sz w:val="21"/>
        </w:rPr>
        <w:t>d</w:t>
      </w:r>
      <w:r>
        <w:rPr>
          <w:sz w:val="21"/>
        </w:rPr>
        <w:t>）</w:t>
      </w:r>
      <w:r>
        <w:rPr>
          <w:sz w:val="21"/>
        </w:rPr>
        <w:t xml:space="preserve"> </w:t>
      </w:r>
      <w:r>
        <w:rPr>
          <w:sz w:val="21"/>
        </w:rPr>
        <w:t>电气强度试验。</w:t>
      </w:r>
      <w:r>
        <w:rPr>
          <w:b/>
          <w:sz w:val="21"/>
        </w:rPr>
        <w:t xml:space="preserve">6.2 </w:t>
      </w:r>
      <w:r>
        <w:rPr>
          <w:sz w:val="21"/>
        </w:rPr>
        <w:t>形式检验</w:t>
      </w:r>
      <w:r>
        <w:rPr>
          <w:b/>
          <w:w w:val="99"/>
          <w:sz w:val="21"/>
        </w:rPr>
        <w:t xml:space="preserve"> </w:t>
      </w:r>
    </w:p>
    <w:p w14:paraId="0A1325C8" w14:textId="77777777" w:rsidR="00A71EEF" w:rsidRDefault="0081115D">
      <w:pPr>
        <w:pStyle w:val="a4"/>
        <w:numPr>
          <w:ilvl w:val="2"/>
          <w:numId w:val="404"/>
        </w:numPr>
        <w:tabs>
          <w:tab w:val="left" w:pos="1371"/>
        </w:tabs>
        <w:spacing w:line="446" w:lineRule="auto"/>
        <w:ind w:right="5704" w:firstLine="2"/>
        <w:rPr>
          <w:b/>
          <w:sz w:val="21"/>
        </w:rPr>
      </w:pPr>
      <w:r>
        <w:rPr>
          <w:spacing w:val="-3"/>
          <w:sz w:val="21"/>
        </w:rPr>
        <w:t>有下列情况之一，应进行形式检验：</w:t>
      </w:r>
      <w:r>
        <w:rPr>
          <w:spacing w:val="-3"/>
          <w:sz w:val="21"/>
        </w:rPr>
        <w:t xml:space="preserve"> </w:t>
      </w:r>
      <w:r>
        <w:rPr>
          <w:sz w:val="21"/>
        </w:rPr>
        <w:t>a</w:t>
      </w:r>
      <w:r>
        <w:rPr>
          <w:sz w:val="21"/>
        </w:rPr>
        <w:t>）</w:t>
      </w:r>
      <w:r>
        <w:rPr>
          <w:spacing w:val="-3"/>
          <w:sz w:val="21"/>
        </w:rPr>
        <w:t xml:space="preserve"> </w:t>
      </w:r>
      <w:r>
        <w:rPr>
          <w:spacing w:val="-3"/>
          <w:sz w:val="21"/>
        </w:rPr>
        <w:t>新产品试制定型及老产品转厂生产时；</w:t>
      </w:r>
      <w:r>
        <w:rPr>
          <w:b/>
          <w:w w:val="99"/>
          <w:sz w:val="21"/>
        </w:rPr>
        <w:t xml:space="preserve"> </w:t>
      </w:r>
    </w:p>
    <w:p w14:paraId="1B9D19C3" w14:textId="77777777" w:rsidR="00A71EEF" w:rsidRDefault="0081115D">
      <w:pPr>
        <w:pStyle w:val="a3"/>
        <w:spacing w:line="446" w:lineRule="auto"/>
        <w:ind w:left="838" w:right="1925"/>
        <w:rPr>
          <w:b/>
        </w:rPr>
      </w:pPr>
      <w:r>
        <w:t>b</w:t>
      </w:r>
      <w:r>
        <w:t>）</w:t>
      </w:r>
      <w:r>
        <w:t xml:space="preserve"> </w:t>
      </w:r>
      <w:r>
        <w:t>投产后，产品的结构、主要部件、生产工艺有较大改变，可能影响产品性能时；</w:t>
      </w:r>
      <w:r>
        <w:t xml:space="preserve"> c</w:t>
      </w:r>
      <w:r>
        <w:t>）</w:t>
      </w:r>
      <w:r>
        <w:t xml:space="preserve"> </w:t>
      </w:r>
      <w:r>
        <w:t>正式投产满三年时；</w:t>
      </w:r>
      <w:r>
        <w:rPr>
          <w:b/>
          <w:w w:val="99"/>
        </w:rPr>
        <w:t xml:space="preserve"> </w:t>
      </w:r>
    </w:p>
    <w:p w14:paraId="74F218D7" w14:textId="77777777" w:rsidR="00A71EEF" w:rsidRDefault="0081115D">
      <w:pPr>
        <w:pStyle w:val="a4"/>
        <w:numPr>
          <w:ilvl w:val="0"/>
          <w:numId w:val="403"/>
        </w:numPr>
        <w:tabs>
          <w:tab w:val="left" w:pos="1156"/>
        </w:tabs>
        <w:rPr>
          <w:b/>
          <w:sz w:val="21"/>
        </w:rPr>
      </w:pPr>
      <w:r>
        <w:rPr>
          <w:spacing w:val="-3"/>
          <w:sz w:val="21"/>
        </w:rPr>
        <w:t>产品停产一年以上，恢复生产时；</w:t>
      </w:r>
      <w:r>
        <w:rPr>
          <w:b/>
          <w:w w:val="99"/>
          <w:sz w:val="21"/>
        </w:rPr>
        <w:t xml:space="preserve"> </w:t>
      </w:r>
    </w:p>
    <w:p w14:paraId="06AFE97E" w14:textId="77777777" w:rsidR="00A71EEF" w:rsidRDefault="00A71EEF">
      <w:pPr>
        <w:pStyle w:val="a3"/>
        <w:spacing w:before="11"/>
        <w:rPr>
          <w:b/>
          <w:sz w:val="17"/>
        </w:rPr>
      </w:pPr>
    </w:p>
    <w:p w14:paraId="259D4424" w14:textId="77777777" w:rsidR="00A71EEF" w:rsidRDefault="0081115D">
      <w:pPr>
        <w:pStyle w:val="a4"/>
        <w:numPr>
          <w:ilvl w:val="0"/>
          <w:numId w:val="403"/>
        </w:numPr>
        <w:tabs>
          <w:tab w:val="left" w:pos="1156"/>
        </w:tabs>
        <w:spacing w:line="446" w:lineRule="auto"/>
        <w:ind w:left="838" w:right="4866" w:firstLine="0"/>
        <w:rPr>
          <w:b/>
          <w:sz w:val="21"/>
        </w:rPr>
      </w:pPr>
      <w:r>
        <w:rPr>
          <w:spacing w:val="-3"/>
          <w:sz w:val="21"/>
        </w:rPr>
        <w:t>出厂检验结果与上次形式检验结果差异较大时；</w:t>
      </w:r>
      <w:r>
        <w:rPr>
          <w:spacing w:val="-3"/>
          <w:sz w:val="21"/>
        </w:rPr>
        <w:t xml:space="preserve"> f</w:t>
      </w:r>
      <w:r>
        <w:rPr>
          <w:spacing w:val="-3"/>
          <w:sz w:val="21"/>
        </w:rPr>
        <w:t>）</w:t>
      </w:r>
      <w:r>
        <w:rPr>
          <w:spacing w:val="-3"/>
          <w:sz w:val="21"/>
        </w:rPr>
        <w:t xml:space="preserve"> </w:t>
      </w:r>
      <w:r>
        <w:rPr>
          <w:spacing w:val="-3"/>
          <w:sz w:val="21"/>
        </w:rPr>
        <w:t>质量监督部门提出要求时。</w:t>
      </w:r>
      <w:r>
        <w:rPr>
          <w:b/>
          <w:w w:val="99"/>
          <w:sz w:val="21"/>
        </w:rPr>
        <w:t xml:space="preserve"> </w:t>
      </w:r>
    </w:p>
    <w:p w14:paraId="1D4BE9DA" w14:textId="77777777" w:rsidR="00A71EEF" w:rsidRDefault="0081115D">
      <w:pPr>
        <w:pStyle w:val="a4"/>
        <w:numPr>
          <w:ilvl w:val="2"/>
          <w:numId w:val="404"/>
        </w:numPr>
        <w:tabs>
          <w:tab w:val="left" w:pos="1370"/>
        </w:tabs>
        <w:spacing w:line="446" w:lineRule="auto"/>
        <w:ind w:left="418" w:right="1501" w:firstLine="422"/>
        <w:rPr>
          <w:sz w:val="21"/>
        </w:rPr>
      </w:pPr>
      <w:r>
        <w:rPr>
          <w:spacing w:val="-9"/>
          <w:sz w:val="21"/>
        </w:rPr>
        <w:t>形式检验项目为</w:t>
      </w:r>
      <w:r>
        <w:rPr>
          <w:spacing w:val="-9"/>
          <w:sz w:val="21"/>
        </w:rPr>
        <w:t xml:space="preserve"> </w:t>
      </w:r>
      <w:r>
        <w:rPr>
          <w:sz w:val="21"/>
        </w:rPr>
        <w:t>5.1.6</w:t>
      </w:r>
      <w:r>
        <w:rPr>
          <w:sz w:val="21"/>
        </w:rPr>
        <w:t>、</w:t>
      </w:r>
      <w:r>
        <w:rPr>
          <w:sz w:val="21"/>
        </w:rPr>
        <w:t>5.2</w:t>
      </w:r>
      <w:r>
        <w:rPr>
          <w:sz w:val="21"/>
        </w:rPr>
        <w:t>～</w:t>
      </w:r>
      <w:r>
        <w:rPr>
          <w:sz w:val="21"/>
        </w:rPr>
        <w:t>5.19</w:t>
      </w:r>
      <w:r>
        <w:rPr>
          <w:spacing w:val="-8"/>
          <w:sz w:val="21"/>
        </w:rPr>
        <w:t xml:space="preserve"> </w:t>
      </w:r>
      <w:r>
        <w:rPr>
          <w:spacing w:val="-8"/>
          <w:sz w:val="21"/>
        </w:rPr>
        <w:t>规定的试验项目。检验样品在出厂检验合格的产</w:t>
      </w:r>
      <w:r>
        <w:rPr>
          <w:spacing w:val="-5"/>
          <w:sz w:val="21"/>
        </w:rPr>
        <w:t>品中随机抽取。</w:t>
      </w:r>
      <w:r>
        <w:rPr>
          <w:sz w:val="21"/>
        </w:rPr>
        <w:t xml:space="preserve"> </w:t>
      </w:r>
    </w:p>
    <w:p w14:paraId="045722B2" w14:textId="77777777" w:rsidR="00A71EEF" w:rsidRDefault="0081115D">
      <w:pPr>
        <w:pStyle w:val="a4"/>
        <w:numPr>
          <w:ilvl w:val="2"/>
          <w:numId w:val="404"/>
        </w:numPr>
        <w:tabs>
          <w:tab w:val="left" w:pos="1370"/>
        </w:tabs>
        <w:spacing w:line="267" w:lineRule="exact"/>
        <w:ind w:left="1369" w:hanging="530"/>
        <w:rPr>
          <w:sz w:val="21"/>
        </w:rPr>
      </w:pPr>
      <w:r>
        <w:rPr>
          <w:spacing w:val="-12"/>
          <w:sz w:val="21"/>
        </w:rPr>
        <w:t>检验结果按</w:t>
      </w:r>
      <w:r>
        <w:rPr>
          <w:spacing w:val="-12"/>
          <w:sz w:val="21"/>
        </w:rPr>
        <w:t xml:space="preserve"> </w:t>
      </w:r>
      <w:r>
        <w:rPr>
          <w:sz w:val="21"/>
        </w:rPr>
        <w:t>GB12978</w:t>
      </w:r>
      <w:r>
        <w:rPr>
          <w:spacing w:val="-3"/>
          <w:sz w:val="21"/>
        </w:rPr>
        <w:t xml:space="preserve"> </w:t>
      </w:r>
      <w:r>
        <w:rPr>
          <w:spacing w:val="-3"/>
          <w:sz w:val="21"/>
        </w:rPr>
        <w:t>规定的形式检验结果判定方法进行判定。</w:t>
      </w:r>
      <w:r>
        <w:rPr>
          <w:sz w:val="21"/>
        </w:rPr>
        <w:t xml:space="preserve"> </w:t>
      </w:r>
    </w:p>
    <w:p w14:paraId="1DDAB99E" w14:textId="77777777" w:rsidR="00A71EEF" w:rsidRDefault="00A71EEF">
      <w:pPr>
        <w:pStyle w:val="a3"/>
        <w:spacing w:before="10"/>
        <w:rPr>
          <w:sz w:val="15"/>
        </w:rPr>
      </w:pPr>
    </w:p>
    <w:p w14:paraId="6B0FA9A7" w14:textId="77777777" w:rsidR="00A71EEF" w:rsidRDefault="0081115D">
      <w:pPr>
        <w:pStyle w:val="4"/>
      </w:pPr>
      <w:r>
        <w:t xml:space="preserve">7 </w:t>
      </w:r>
      <w:r>
        <w:t>标志</w:t>
      </w:r>
      <w:r>
        <w:rPr>
          <w:w w:val="99"/>
        </w:rPr>
        <w:t xml:space="preserve"> </w:t>
      </w:r>
    </w:p>
    <w:p w14:paraId="52EC61E7" w14:textId="77777777" w:rsidR="00A71EEF" w:rsidRDefault="00A71EEF">
      <w:pPr>
        <w:pStyle w:val="a3"/>
        <w:spacing w:before="4"/>
        <w:rPr>
          <w:b/>
          <w:sz w:val="17"/>
        </w:rPr>
      </w:pPr>
    </w:p>
    <w:p w14:paraId="5174CD08" w14:textId="77777777" w:rsidR="00A71EEF" w:rsidRDefault="0081115D">
      <w:pPr>
        <w:pStyle w:val="a4"/>
        <w:numPr>
          <w:ilvl w:val="1"/>
          <w:numId w:val="402"/>
        </w:numPr>
        <w:tabs>
          <w:tab w:val="left" w:pos="1160"/>
        </w:tabs>
        <w:rPr>
          <w:sz w:val="21"/>
        </w:rPr>
      </w:pPr>
      <w:r>
        <w:rPr>
          <w:spacing w:val="-3"/>
          <w:sz w:val="21"/>
        </w:rPr>
        <w:t>产品标志</w:t>
      </w:r>
      <w:r>
        <w:rPr>
          <w:sz w:val="21"/>
        </w:rPr>
        <w:t xml:space="preserve"> </w:t>
      </w:r>
    </w:p>
    <w:p w14:paraId="08EA9E40" w14:textId="77777777" w:rsidR="00A71EEF" w:rsidRDefault="00A71EEF">
      <w:pPr>
        <w:pStyle w:val="a3"/>
        <w:rPr>
          <w:sz w:val="18"/>
        </w:rPr>
      </w:pPr>
    </w:p>
    <w:p w14:paraId="2BC5B7C5" w14:textId="77777777" w:rsidR="00A71EEF" w:rsidRDefault="0081115D">
      <w:pPr>
        <w:pStyle w:val="a3"/>
        <w:spacing w:line="446" w:lineRule="auto"/>
        <w:ind w:left="838" w:right="4237"/>
      </w:pPr>
      <w:r>
        <w:t>每只监控器均应有清晰、耐久的产品标志，包含以下内容：</w:t>
      </w:r>
      <w:r>
        <w:t xml:space="preserve"> a</w:t>
      </w:r>
      <w:r>
        <w:t>）产品名称及型号；</w:t>
      </w:r>
      <w:r>
        <w:t xml:space="preserve"> </w:t>
      </w:r>
    </w:p>
    <w:p w14:paraId="5B27D516" w14:textId="77777777" w:rsidR="00A71EEF" w:rsidRDefault="0081115D">
      <w:pPr>
        <w:pStyle w:val="a3"/>
        <w:spacing w:line="446" w:lineRule="auto"/>
        <w:ind w:left="838" w:right="7427"/>
      </w:pPr>
      <w:r>
        <w:t>b</w:t>
      </w:r>
      <w:r>
        <w:t>）</w:t>
      </w:r>
      <w:r>
        <w:rPr>
          <w:spacing w:val="-2"/>
        </w:rPr>
        <w:t xml:space="preserve">   </w:t>
      </w:r>
      <w:r>
        <w:rPr>
          <w:spacing w:val="-2"/>
        </w:rPr>
        <w:t>执行标准代号；</w:t>
      </w:r>
      <w:r>
        <w:rPr>
          <w:spacing w:val="-2"/>
        </w:rPr>
        <w:t xml:space="preserve"> </w:t>
      </w:r>
      <w:r>
        <w:t>c</w:t>
      </w:r>
      <w:r>
        <w:t>）</w:t>
      </w:r>
      <w:r>
        <w:rPr>
          <w:spacing w:val="-3"/>
        </w:rPr>
        <w:t xml:space="preserve"> </w:t>
      </w:r>
      <w:r>
        <w:rPr>
          <w:spacing w:val="-3"/>
        </w:rPr>
        <w:t>制造商名称或商标；</w:t>
      </w:r>
      <w:r>
        <w:rPr>
          <w:spacing w:val="-3"/>
        </w:rPr>
        <w:t xml:space="preserve"> </w:t>
      </w:r>
      <w:r>
        <w:t>d</w:t>
      </w:r>
      <w:r>
        <w:t>）</w:t>
      </w:r>
      <w:r>
        <w:rPr>
          <w:spacing w:val="-3"/>
        </w:rPr>
        <w:t xml:space="preserve"> </w:t>
      </w:r>
      <w:r>
        <w:rPr>
          <w:spacing w:val="-3"/>
        </w:rPr>
        <w:t>接线柱标注；</w:t>
      </w:r>
      <w:r>
        <w:t xml:space="preserve"> </w:t>
      </w:r>
    </w:p>
    <w:p w14:paraId="222682A3" w14:textId="77777777" w:rsidR="00A71EEF" w:rsidRDefault="0081115D">
      <w:pPr>
        <w:pStyle w:val="a3"/>
        <w:spacing w:line="446" w:lineRule="auto"/>
        <w:ind w:left="838" w:right="7177"/>
      </w:pPr>
      <w:r>
        <w:t>e</w:t>
      </w:r>
      <w:r>
        <w:t>）</w:t>
      </w:r>
      <w:r>
        <w:t xml:space="preserve"> </w:t>
      </w:r>
      <w:r>
        <w:t>制造日期或产品编号；</w:t>
      </w:r>
      <w:r>
        <w:t xml:space="preserve"> f</w:t>
      </w:r>
      <w:r>
        <w:t>）</w:t>
      </w:r>
      <w:r>
        <w:t xml:space="preserve"> </w:t>
      </w:r>
      <w:r>
        <w:t>生产地址。</w:t>
      </w:r>
      <w:r>
        <w:t xml:space="preserve"> </w:t>
      </w:r>
    </w:p>
    <w:p w14:paraId="3A6E724B" w14:textId="77777777" w:rsidR="00A71EEF" w:rsidRDefault="0081115D">
      <w:pPr>
        <w:pStyle w:val="a4"/>
        <w:numPr>
          <w:ilvl w:val="1"/>
          <w:numId w:val="402"/>
        </w:numPr>
        <w:tabs>
          <w:tab w:val="left" w:pos="1160"/>
        </w:tabs>
        <w:rPr>
          <w:b/>
          <w:sz w:val="21"/>
        </w:rPr>
      </w:pPr>
      <w:r>
        <w:rPr>
          <w:spacing w:val="-3"/>
          <w:sz w:val="21"/>
        </w:rPr>
        <w:t>质量检验标志</w:t>
      </w:r>
      <w:r>
        <w:rPr>
          <w:b/>
          <w:w w:val="99"/>
          <w:sz w:val="21"/>
        </w:rPr>
        <w:t xml:space="preserve"> </w:t>
      </w:r>
    </w:p>
    <w:p w14:paraId="3A23813C" w14:textId="77777777" w:rsidR="00A71EEF" w:rsidRDefault="00A71EEF">
      <w:pPr>
        <w:pStyle w:val="a3"/>
        <w:spacing w:before="11"/>
        <w:rPr>
          <w:b/>
          <w:sz w:val="17"/>
        </w:rPr>
      </w:pPr>
    </w:p>
    <w:p w14:paraId="7F21BA67" w14:textId="77777777" w:rsidR="00A71EEF" w:rsidRDefault="0081115D">
      <w:pPr>
        <w:pStyle w:val="a3"/>
        <w:ind w:left="838"/>
      </w:pPr>
      <w:r>
        <w:t>每只监控器均应有质量检验合格标志。</w:t>
      </w:r>
      <w:r>
        <w:t xml:space="preserve"> </w:t>
      </w:r>
    </w:p>
    <w:p w14:paraId="4BF8F8EE" w14:textId="77777777" w:rsidR="00A71EEF" w:rsidRDefault="00A71EEF">
      <w:pPr>
        <w:pStyle w:val="a3"/>
        <w:spacing w:before="8"/>
        <w:rPr>
          <w:sz w:val="15"/>
        </w:rPr>
      </w:pPr>
    </w:p>
    <w:p w14:paraId="29729183" w14:textId="77777777" w:rsidR="00A71EEF" w:rsidRDefault="0081115D">
      <w:pPr>
        <w:pStyle w:val="4"/>
      </w:pPr>
      <w:r>
        <w:t xml:space="preserve">8 </w:t>
      </w:r>
      <w:r>
        <w:t>使用说明书</w:t>
      </w:r>
      <w:r>
        <w:rPr>
          <w:w w:val="99"/>
        </w:rPr>
        <w:t xml:space="preserve"> </w:t>
      </w:r>
    </w:p>
    <w:p w14:paraId="2B451A45" w14:textId="77777777" w:rsidR="00A71EEF" w:rsidRDefault="00A71EEF">
      <w:pPr>
        <w:pStyle w:val="a3"/>
        <w:spacing w:before="6"/>
        <w:rPr>
          <w:b/>
          <w:sz w:val="17"/>
        </w:rPr>
      </w:pPr>
    </w:p>
    <w:p w14:paraId="150D8E14" w14:textId="77777777" w:rsidR="00A71EEF" w:rsidRDefault="0081115D">
      <w:pPr>
        <w:pStyle w:val="a3"/>
        <w:ind w:left="838"/>
      </w:pPr>
      <w:r>
        <w:t>监控器应附有中文说明书。说明书的内容应符合</w:t>
      </w:r>
      <w:r>
        <w:t xml:space="preserve"> GB/T 9969 </w:t>
      </w:r>
      <w:r>
        <w:t>的要求。</w:t>
      </w:r>
      <w:r>
        <w:t xml:space="preserve"> </w:t>
      </w:r>
    </w:p>
    <w:p w14:paraId="441053E8" w14:textId="77777777" w:rsidR="00A71EEF" w:rsidRDefault="00A71EEF">
      <w:pPr>
        <w:pStyle w:val="a3"/>
        <w:rPr>
          <w:sz w:val="20"/>
        </w:rPr>
      </w:pPr>
    </w:p>
    <w:p w14:paraId="416FBF6D" w14:textId="77777777" w:rsidR="00A71EEF" w:rsidRDefault="00A71EEF">
      <w:pPr>
        <w:pStyle w:val="a3"/>
        <w:rPr>
          <w:sz w:val="20"/>
        </w:rPr>
      </w:pPr>
    </w:p>
    <w:p w14:paraId="770F91C2" w14:textId="77777777" w:rsidR="00A71EEF" w:rsidRDefault="00A71EEF">
      <w:pPr>
        <w:pStyle w:val="a3"/>
        <w:rPr>
          <w:sz w:val="20"/>
        </w:rPr>
      </w:pPr>
    </w:p>
    <w:p w14:paraId="2B57C586" w14:textId="77777777" w:rsidR="00A71EEF" w:rsidRDefault="00A71EEF">
      <w:pPr>
        <w:pStyle w:val="a3"/>
        <w:rPr>
          <w:sz w:val="20"/>
        </w:rPr>
      </w:pPr>
    </w:p>
    <w:p w14:paraId="61417DDE" w14:textId="77777777" w:rsidR="00A71EEF" w:rsidRDefault="00A71EEF">
      <w:pPr>
        <w:pStyle w:val="a3"/>
        <w:spacing w:before="2"/>
        <w:rPr>
          <w:sz w:val="16"/>
        </w:rPr>
      </w:pPr>
    </w:p>
    <w:p w14:paraId="2886A5D6" w14:textId="77777777" w:rsidR="00A71EEF" w:rsidRDefault="0081115D">
      <w:pPr>
        <w:pStyle w:val="a3"/>
        <w:ind w:left="838"/>
      </w:pPr>
      <w:r>
        <w:t xml:space="preserve"> </w:t>
      </w:r>
    </w:p>
    <w:p w14:paraId="5094C3B4" w14:textId="77777777" w:rsidR="00A71EEF" w:rsidRDefault="00A71EEF">
      <w:pPr>
        <w:sectPr w:rsidR="00A71EEF">
          <w:pgSz w:w="11910" w:h="16850"/>
          <w:pgMar w:top="1220" w:right="0" w:bottom="1420" w:left="1260" w:header="0" w:footer="1239" w:gutter="0"/>
          <w:cols w:space="720"/>
        </w:sectPr>
      </w:pPr>
    </w:p>
    <w:p w14:paraId="7624BCBC" w14:textId="77777777" w:rsidR="00A71EEF" w:rsidRDefault="00A71EEF">
      <w:pPr>
        <w:pStyle w:val="a3"/>
        <w:rPr>
          <w:sz w:val="20"/>
        </w:rPr>
      </w:pPr>
    </w:p>
    <w:p w14:paraId="7A696B29" w14:textId="77777777" w:rsidR="00A71EEF" w:rsidRDefault="00A71EEF">
      <w:pPr>
        <w:pStyle w:val="a3"/>
        <w:rPr>
          <w:sz w:val="20"/>
        </w:rPr>
      </w:pPr>
    </w:p>
    <w:p w14:paraId="3940EF44" w14:textId="77777777" w:rsidR="00A71EEF" w:rsidRDefault="00A71EEF">
      <w:pPr>
        <w:pStyle w:val="a3"/>
        <w:rPr>
          <w:sz w:val="27"/>
        </w:rPr>
      </w:pPr>
    </w:p>
    <w:p w14:paraId="0B27E8C9" w14:textId="77777777" w:rsidR="00A71EEF" w:rsidRDefault="0081115D">
      <w:pPr>
        <w:pStyle w:val="2"/>
        <w:spacing w:before="58"/>
        <w:ind w:left="3005"/>
        <w:jc w:val="left"/>
      </w:pPr>
      <w:bookmarkStart w:id="25" w:name="_bookmark25"/>
      <w:bookmarkEnd w:id="25"/>
      <w:r>
        <w:t>火灾自动报警系统设计规范</w:t>
      </w:r>
      <w:r>
        <w:rPr>
          <w:w w:val="99"/>
        </w:rPr>
        <w:t xml:space="preserve"> </w:t>
      </w:r>
    </w:p>
    <w:p w14:paraId="151A1BC6" w14:textId="77777777" w:rsidR="00A71EEF" w:rsidRDefault="00A71EEF">
      <w:pPr>
        <w:pStyle w:val="a3"/>
        <w:rPr>
          <w:b/>
          <w:sz w:val="20"/>
        </w:rPr>
      </w:pPr>
    </w:p>
    <w:p w14:paraId="25A8299D" w14:textId="77777777" w:rsidR="00A71EEF" w:rsidRDefault="00A71EEF">
      <w:pPr>
        <w:pStyle w:val="a3"/>
        <w:spacing w:before="4"/>
        <w:rPr>
          <w:b/>
          <w:sz w:val="14"/>
        </w:rPr>
      </w:pPr>
    </w:p>
    <w:p w14:paraId="3F5125BB" w14:textId="77777777" w:rsidR="00A71EEF" w:rsidRDefault="0081115D">
      <w:pPr>
        <w:pStyle w:val="4"/>
        <w:spacing w:before="67"/>
      </w:pPr>
      <w:r>
        <w:t xml:space="preserve">1 </w:t>
      </w:r>
      <w:r>
        <w:t>总</w:t>
      </w:r>
      <w:r>
        <w:t xml:space="preserve"> </w:t>
      </w:r>
      <w:r>
        <w:t>则</w:t>
      </w:r>
      <w:r>
        <w:rPr>
          <w:w w:val="99"/>
        </w:rPr>
        <w:t xml:space="preserve"> </w:t>
      </w:r>
    </w:p>
    <w:p w14:paraId="27214B88" w14:textId="77777777" w:rsidR="00A71EEF" w:rsidRDefault="00A71EEF">
      <w:pPr>
        <w:pStyle w:val="a3"/>
        <w:spacing w:before="4"/>
        <w:rPr>
          <w:b/>
          <w:sz w:val="17"/>
        </w:rPr>
      </w:pPr>
    </w:p>
    <w:p w14:paraId="435B56A8" w14:textId="77777777" w:rsidR="00A71EEF" w:rsidRDefault="0081115D">
      <w:pPr>
        <w:pStyle w:val="a4"/>
        <w:numPr>
          <w:ilvl w:val="1"/>
          <w:numId w:val="401"/>
        </w:numPr>
        <w:tabs>
          <w:tab w:val="left" w:pos="1213"/>
        </w:tabs>
        <w:spacing w:line="448" w:lineRule="auto"/>
        <w:ind w:right="1445" w:firstLine="422"/>
        <w:rPr>
          <w:sz w:val="21"/>
        </w:rPr>
      </w:pPr>
      <w:r>
        <w:rPr>
          <w:color w:val="333333"/>
          <w:spacing w:val="-3"/>
          <w:sz w:val="21"/>
        </w:rPr>
        <w:t>为了合理设计火灾自动报警系统，预防和减少火灾危害，保护人身和财产安全，制定本规范。</w:t>
      </w:r>
      <w:r>
        <w:rPr>
          <w:color w:val="333333"/>
          <w:sz w:val="21"/>
        </w:rPr>
        <w:t xml:space="preserve"> </w:t>
      </w:r>
    </w:p>
    <w:p w14:paraId="221831FE" w14:textId="77777777" w:rsidR="00A71EEF" w:rsidRDefault="0081115D">
      <w:pPr>
        <w:pStyle w:val="a4"/>
        <w:numPr>
          <w:ilvl w:val="1"/>
          <w:numId w:val="401"/>
        </w:numPr>
        <w:tabs>
          <w:tab w:val="left" w:pos="1213"/>
        </w:tabs>
        <w:spacing w:line="446" w:lineRule="auto"/>
        <w:ind w:right="1445" w:firstLine="422"/>
        <w:rPr>
          <w:sz w:val="21"/>
        </w:rPr>
      </w:pPr>
      <w:r>
        <w:rPr>
          <w:color w:val="333333"/>
          <w:spacing w:val="-3"/>
          <w:sz w:val="21"/>
        </w:rPr>
        <w:t>本规范适用于新建、扩建和改建的建、构筑物中设置的火灾自动报警系统的设计，不适用于生</w:t>
      </w:r>
      <w:r>
        <w:rPr>
          <w:color w:val="333333"/>
          <w:spacing w:val="-3"/>
          <w:sz w:val="21"/>
        </w:rPr>
        <w:t xml:space="preserve"> </w:t>
      </w:r>
      <w:r>
        <w:rPr>
          <w:color w:val="333333"/>
          <w:spacing w:val="-3"/>
          <w:sz w:val="21"/>
        </w:rPr>
        <w:t>产和贮存火药、炸药、弹药、火工品等场所设置的火灾自动报警系统的设计。</w:t>
      </w:r>
      <w:r>
        <w:rPr>
          <w:color w:val="333333"/>
          <w:sz w:val="21"/>
        </w:rPr>
        <w:t xml:space="preserve"> </w:t>
      </w:r>
    </w:p>
    <w:p w14:paraId="15429147" w14:textId="77777777" w:rsidR="00A71EEF" w:rsidRDefault="0081115D">
      <w:pPr>
        <w:pStyle w:val="a4"/>
        <w:numPr>
          <w:ilvl w:val="1"/>
          <w:numId w:val="401"/>
        </w:numPr>
        <w:tabs>
          <w:tab w:val="left" w:pos="1213"/>
          <w:tab w:val="left" w:pos="3778"/>
        </w:tabs>
        <w:spacing w:line="446" w:lineRule="auto"/>
        <w:ind w:right="1445" w:firstLine="422"/>
        <w:rPr>
          <w:sz w:val="21"/>
        </w:rPr>
      </w:pPr>
      <w:r>
        <w:rPr>
          <w:color w:val="333333"/>
          <w:spacing w:val="-3"/>
          <w:sz w:val="21"/>
        </w:rPr>
        <w:t>火</w:t>
      </w:r>
      <w:r>
        <w:rPr>
          <w:color w:val="333333"/>
          <w:sz w:val="21"/>
        </w:rPr>
        <w:t>灾</w:t>
      </w:r>
      <w:r>
        <w:rPr>
          <w:color w:val="333333"/>
          <w:spacing w:val="-3"/>
          <w:sz w:val="21"/>
        </w:rPr>
        <w:t>自</w:t>
      </w:r>
      <w:r>
        <w:rPr>
          <w:color w:val="333333"/>
          <w:sz w:val="21"/>
        </w:rPr>
        <w:t>动</w:t>
      </w:r>
      <w:r>
        <w:rPr>
          <w:color w:val="333333"/>
          <w:spacing w:val="-3"/>
          <w:sz w:val="21"/>
        </w:rPr>
        <w:t>报</w:t>
      </w:r>
      <w:r>
        <w:rPr>
          <w:color w:val="333333"/>
          <w:sz w:val="21"/>
        </w:rPr>
        <w:t>警</w:t>
      </w:r>
      <w:r>
        <w:rPr>
          <w:color w:val="333333"/>
          <w:spacing w:val="-3"/>
          <w:sz w:val="21"/>
        </w:rPr>
        <w:t>系</w:t>
      </w:r>
      <w:r>
        <w:rPr>
          <w:color w:val="333333"/>
          <w:sz w:val="21"/>
        </w:rPr>
        <w:t>统</w:t>
      </w:r>
      <w:r>
        <w:rPr>
          <w:color w:val="333333"/>
          <w:spacing w:val="-3"/>
          <w:sz w:val="21"/>
        </w:rPr>
        <w:t>的</w:t>
      </w:r>
      <w:r>
        <w:rPr>
          <w:color w:val="333333"/>
          <w:sz w:val="21"/>
        </w:rPr>
        <w:t>设计</w:t>
      </w:r>
      <w:r>
        <w:rPr>
          <w:color w:val="333333"/>
          <w:spacing w:val="-3"/>
          <w:sz w:val="21"/>
        </w:rPr>
        <w:t>，</w:t>
      </w:r>
      <w:r>
        <w:rPr>
          <w:color w:val="333333"/>
          <w:sz w:val="21"/>
        </w:rPr>
        <w:t>应</w:t>
      </w:r>
      <w:r>
        <w:rPr>
          <w:color w:val="333333"/>
          <w:spacing w:val="-3"/>
          <w:sz w:val="21"/>
        </w:rPr>
        <w:t>遵</w:t>
      </w:r>
      <w:r>
        <w:rPr>
          <w:color w:val="333333"/>
          <w:sz w:val="21"/>
        </w:rPr>
        <w:t>循</w:t>
      </w:r>
      <w:r>
        <w:rPr>
          <w:color w:val="333333"/>
          <w:spacing w:val="-3"/>
          <w:sz w:val="21"/>
        </w:rPr>
        <w:t>国</w:t>
      </w:r>
      <w:r>
        <w:rPr>
          <w:color w:val="333333"/>
          <w:sz w:val="21"/>
        </w:rPr>
        <w:t>家</w:t>
      </w:r>
      <w:r>
        <w:rPr>
          <w:color w:val="333333"/>
          <w:spacing w:val="-3"/>
          <w:sz w:val="21"/>
        </w:rPr>
        <w:t>有</w:t>
      </w:r>
      <w:r>
        <w:rPr>
          <w:color w:val="333333"/>
          <w:sz w:val="21"/>
        </w:rPr>
        <w:t>关</w:t>
      </w:r>
      <w:r>
        <w:rPr>
          <w:color w:val="333333"/>
          <w:spacing w:val="-3"/>
          <w:sz w:val="21"/>
        </w:rPr>
        <w:t>方</w:t>
      </w:r>
      <w:r>
        <w:rPr>
          <w:color w:val="333333"/>
          <w:sz w:val="21"/>
        </w:rPr>
        <w:t>针、</w:t>
      </w:r>
      <w:r>
        <w:rPr>
          <w:color w:val="333333"/>
          <w:spacing w:val="-3"/>
          <w:sz w:val="21"/>
        </w:rPr>
        <w:t>政</w:t>
      </w:r>
      <w:r>
        <w:rPr>
          <w:color w:val="333333"/>
          <w:sz w:val="21"/>
        </w:rPr>
        <w:t>策</w:t>
      </w:r>
      <w:r>
        <w:rPr>
          <w:color w:val="333333"/>
          <w:spacing w:val="-3"/>
          <w:sz w:val="21"/>
        </w:rPr>
        <w:t>，</w:t>
      </w:r>
      <w:r>
        <w:rPr>
          <w:color w:val="333333"/>
          <w:sz w:val="21"/>
        </w:rPr>
        <w:t>针</w:t>
      </w:r>
      <w:r>
        <w:rPr>
          <w:color w:val="333333"/>
          <w:spacing w:val="-3"/>
          <w:sz w:val="21"/>
        </w:rPr>
        <w:t>对</w:t>
      </w:r>
      <w:r>
        <w:rPr>
          <w:color w:val="333333"/>
          <w:sz w:val="21"/>
        </w:rPr>
        <w:t>保</w:t>
      </w:r>
      <w:r>
        <w:rPr>
          <w:color w:val="333333"/>
          <w:spacing w:val="-3"/>
          <w:sz w:val="21"/>
        </w:rPr>
        <w:t>护</w:t>
      </w:r>
      <w:r>
        <w:rPr>
          <w:color w:val="333333"/>
          <w:sz w:val="21"/>
        </w:rPr>
        <w:t>对</w:t>
      </w:r>
      <w:r>
        <w:rPr>
          <w:color w:val="333333"/>
          <w:spacing w:val="-3"/>
          <w:sz w:val="21"/>
        </w:rPr>
        <w:t>象</w:t>
      </w:r>
      <w:r>
        <w:rPr>
          <w:color w:val="333333"/>
          <w:sz w:val="21"/>
        </w:rPr>
        <w:t>的特</w:t>
      </w:r>
      <w:r>
        <w:rPr>
          <w:color w:val="333333"/>
          <w:spacing w:val="-3"/>
          <w:sz w:val="21"/>
        </w:rPr>
        <w:t>点</w:t>
      </w:r>
      <w:r>
        <w:rPr>
          <w:color w:val="333333"/>
          <w:sz w:val="21"/>
        </w:rPr>
        <w:t>，</w:t>
      </w:r>
      <w:r>
        <w:rPr>
          <w:color w:val="333333"/>
          <w:spacing w:val="-3"/>
          <w:sz w:val="21"/>
        </w:rPr>
        <w:t>做</w:t>
      </w:r>
      <w:r>
        <w:rPr>
          <w:color w:val="333333"/>
          <w:sz w:val="21"/>
        </w:rPr>
        <w:t>到安全可</w:t>
      </w:r>
      <w:r>
        <w:rPr>
          <w:color w:val="333333"/>
          <w:spacing w:val="-3"/>
          <w:sz w:val="21"/>
        </w:rPr>
        <w:t>靠</w:t>
      </w:r>
      <w:r>
        <w:rPr>
          <w:color w:val="333333"/>
          <w:sz w:val="21"/>
        </w:rPr>
        <w:t>、</w:t>
      </w:r>
      <w:r>
        <w:rPr>
          <w:color w:val="333333"/>
          <w:spacing w:val="13"/>
          <w:sz w:val="21"/>
        </w:rPr>
        <w:t xml:space="preserve"> </w:t>
      </w:r>
      <w:r>
        <w:rPr>
          <w:color w:val="333333"/>
          <w:sz w:val="21"/>
        </w:rPr>
        <w:t>技</w:t>
      </w:r>
      <w:r>
        <w:rPr>
          <w:color w:val="333333"/>
          <w:spacing w:val="-3"/>
          <w:sz w:val="21"/>
        </w:rPr>
        <w:t>术</w:t>
      </w:r>
      <w:r>
        <w:rPr>
          <w:color w:val="333333"/>
          <w:sz w:val="21"/>
        </w:rPr>
        <w:t>先</w:t>
      </w:r>
      <w:r>
        <w:rPr>
          <w:color w:val="333333"/>
          <w:spacing w:val="-3"/>
          <w:sz w:val="21"/>
        </w:rPr>
        <w:t>进</w:t>
      </w:r>
      <w:r>
        <w:rPr>
          <w:color w:val="333333"/>
          <w:sz w:val="21"/>
        </w:rPr>
        <w:t>、</w:t>
      </w:r>
      <w:r>
        <w:rPr>
          <w:color w:val="333333"/>
          <w:spacing w:val="-3"/>
          <w:sz w:val="21"/>
        </w:rPr>
        <w:t>经济</w:t>
      </w:r>
      <w:r>
        <w:rPr>
          <w:color w:val="333333"/>
          <w:sz w:val="21"/>
        </w:rPr>
        <w:t>合理</w:t>
      </w:r>
      <w:r>
        <w:rPr>
          <w:color w:val="333333"/>
          <w:spacing w:val="-3"/>
          <w:sz w:val="21"/>
        </w:rPr>
        <w:t>。</w:t>
      </w:r>
      <w:r>
        <w:rPr>
          <w:color w:val="333333"/>
          <w:sz w:val="21"/>
        </w:rPr>
        <w:t xml:space="preserve"> </w:t>
      </w:r>
      <w:r>
        <w:rPr>
          <w:color w:val="333333"/>
          <w:sz w:val="21"/>
        </w:rPr>
        <w:tab/>
      </w:r>
      <w:r>
        <w:rPr>
          <w:color w:val="333333"/>
          <w:sz w:val="21"/>
        </w:rPr>
        <w:t xml:space="preserve"> </w:t>
      </w:r>
    </w:p>
    <w:p w14:paraId="35CC0684" w14:textId="77777777" w:rsidR="00A71EEF" w:rsidRDefault="0081115D">
      <w:pPr>
        <w:pStyle w:val="a4"/>
        <w:numPr>
          <w:ilvl w:val="1"/>
          <w:numId w:val="401"/>
        </w:numPr>
        <w:tabs>
          <w:tab w:val="left" w:pos="1213"/>
        </w:tabs>
        <w:spacing w:line="267" w:lineRule="exact"/>
        <w:ind w:left="1212" w:hanging="373"/>
        <w:rPr>
          <w:sz w:val="21"/>
        </w:rPr>
      </w:pPr>
      <w:r>
        <w:rPr>
          <w:color w:val="333333"/>
          <w:spacing w:val="-3"/>
          <w:sz w:val="21"/>
        </w:rPr>
        <w:t>火灾自动报警系统的设计，除应符合本规范外，尚应符合国家现行有关标准的规定。</w:t>
      </w:r>
      <w:r>
        <w:rPr>
          <w:color w:val="333333"/>
          <w:sz w:val="21"/>
        </w:rPr>
        <w:t xml:space="preserve"> </w:t>
      </w:r>
    </w:p>
    <w:p w14:paraId="6F22D8DB" w14:textId="77777777" w:rsidR="00A71EEF" w:rsidRDefault="00A71EEF">
      <w:pPr>
        <w:pStyle w:val="a3"/>
        <w:spacing w:before="5"/>
        <w:rPr>
          <w:sz w:val="15"/>
        </w:rPr>
      </w:pPr>
    </w:p>
    <w:p w14:paraId="26E640C5" w14:textId="77777777" w:rsidR="00A71EEF" w:rsidRDefault="0081115D">
      <w:pPr>
        <w:pStyle w:val="4"/>
      </w:pPr>
      <w:r>
        <w:t xml:space="preserve">2 </w:t>
      </w:r>
      <w:r>
        <w:t>术</w:t>
      </w:r>
      <w:r>
        <w:t xml:space="preserve"> </w:t>
      </w:r>
      <w:r>
        <w:t>语</w:t>
      </w:r>
      <w:r>
        <w:rPr>
          <w:w w:val="99"/>
        </w:rPr>
        <w:t xml:space="preserve"> </w:t>
      </w:r>
    </w:p>
    <w:p w14:paraId="6A4F9F1A" w14:textId="77777777" w:rsidR="00A71EEF" w:rsidRDefault="00A71EEF">
      <w:pPr>
        <w:pStyle w:val="a3"/>
        <w:spacing w:before="4"/>
        <w:rPr>
          <w:b/>
          <w:sz w:val="17"/>
        </w:rPr>
      </w:pPr>
    </w:p>
    <w:p w14:paraId="0B97AAF9" w14:textId="77777777" w:rsidR="00A71EEF" w:rsidRDefault="0081115D">
      <w:pPr>
        <w:pStyle w:val="a4"/>
        <w:numPr>
          <w:ilvl w:val="1"/>
          <w:numId w:val="400"/>
        </w:numPr>
        <w:tabs>
          <w:tab w:val="left" w:pos="1213"/>
        </w:tabs>
        <w:spacing w:line="446" w:lineRule="auto"/>
        <w:ind w:right="1553" w:firstLine="422"/>
        <w:rPr>
          <w:sz w:val="21"/>
        </w:rPr>
      </w:pPr>
      <w:r>
        <w:rPr>
          <w:color w:val="333333"/>
          <w:spacing w:val="-3"/>
          <w:sz w:val="21"/>
        </w:rPr>
        <w:t>火灾自动报警系统</w:t>
      </w:r>
      <w:r>
        <w:rPr>
          <w:color w:val="333333"/>
          <w:spacing w:val="-3"/>
          <w:sz w:val="21"/>
        </w:rPr>
        <w:t xml:space="preserve"> </w:t>
      </w:r>
      <w:r>
        <w:rPr>
          <w:color w:val="333333"/>
          <w:sz w:val="21"/>
        </w:rPr>
        <w:t>automatic</w:t>
      </w:r>
      <w:r>
        <w:rPr>
          <w:color w:val="333333"/>
          <w:spacing w:val="5"/>
          <w:sz w:val="21"/>
        </w:rPr>
        <w:t xml:space="preserve"> </w:t>
      </w:r>
      <w:r>
        <w:rPr>
          <w:color w:val="333333"/>
          <w:sz w:val="21"/>
        </w:rPr>
        <w:t>fire</w:t>
      </w:r>
      <w:r>
        <w:rPr>
          <w:color w:val="333333"/>
          <w:spacing w:val="4"/>
          <w:sz w:val="21"/>
        </w:rPr>
        <w:t xml:space="preserve"> </w:t>
      </w:r>
      <w:r>
        <w:rPr>
          <w:color w:val="333333"/>
          <w:sz w:val="21"/>
        </w:rPr>
        <w:t>alarm</w:t>
      </w:r>
      <w:r>
        <w:rPr>
          <w:color w:val="333333"/>
          <w:spacing w:val="5"/>
          <w:sz w:val="21"/>
        </w:rPr>
        <w:t xml:space="preserve"> </w:t>
      </w:r>
      <w:r>
        <w:rPr>
          <w:color w:val="333333"/>
          <w:sz w:val="21"/>
        </w:rPr>
        <w:t>system</w:t>
      </w:r>
      <w:r>
        <w:rPr>
          <w:color w:val="333333"/>
          <w:spacing w:val="-3"/>
          <w:sz w:val="21"/>
        </w:rPr>
        <w:t xml:space="preserve"> </w:t>
      </w:r>
      <w:r>
        <w:rPr>
          <w:color w:val="333333"/>
          <w:spacing w:val="-3"/>
          <w:sz w:val="21"/>
        </w:rPr>
        <w:t>探测火灾早期特征、发出火灾报警信号，为人员疏散、防止火灾蔓延和启动自动灭火设备提供控制</w:t>
      </w:r>
      <w:r>
        <w:rPr>
          <w:color w:val="333333"/>
          <w:spacing w:val="-3"/>
          <w:sz w:val="21"/>
        </w:rPr>
        <w:t xml:space="preserve"> </w:t>
      </w:r>
      <w:r>
        <w:rPr>
          <w:color w:val="333333"/>
          <w:spacing w:val="-3"/>
          <w:sz w:val="21"/>
        </w:rPr>
        <w:t>与指示的消防系统。</w:t>
      </w:r>
      <w:r>
        <w:rPr>
          <w:color w:val="333333"/>
          <w:spacing w:val="-3"/>
          <w:sz w:val="21"/>
        </w:rPr>
        <w:t xml:space="preserve">  </w:t>
      </w:r>
      <w:r>
        <w:rPr>
          <w:color w:val="333333"/>
          <w:sz w:val="21"/>
        </w:rPr>
        <w:t xml:space="preserve"> </w:t>
      </w:r>
    </w:p>
    <w:p w14:paraId="5486D5F7" w14:textId="77777777" w:rsidR="00A71EEF" w:rsidRDefault="0081115D">
      <w:pPr>
        <w:pStyle w:val="a4"/>
        <w:numPr>
          <w:ilvl w:val="1"/>
          <w:numId w:val="400"/>
        </w:numPr>
        <w:tabs>
          <w:tab w:val="left" w:pos="1213"/>
        </w:tabs>
        <w:ind w:left="1212" w:hanging="373"/>
        <w:rPr>
          <w:sz w:val="21"/>
        </w:rPr>
      </w:pPr>
      <w:r>
        <w:rPr>
          <w:color w:val="333333"/>
          <w:spacing w:val="-3"/>
          <w:sz w:val="21"/>
        </w:rPr>
        <w:t>报警区域</w:t>
      </w:r>
      <w:r>
        <w:rPr>
          <w:color w:val="333333"/>
          <w:spacing w:val="-3"/>
          <w:sz w:val="21"/>
        </w:rPr>
        <w:t xml:space="preserve"> </w:t>
      </w:r>
      <w:r>
        <w:rPr>
          <w:color w:val="333333"/>
          <w:sz w:val="21"/>
        </w:rPr>
        <w:t>alarm</w:t>
      </w:r>
      <w:r>
        <w:rPr>
          <w:color w:val="333333"/>
          <w:spacing w:val="-2"/>
          <w:sz w:val="21"/>
        </w:rPr>
        <w:t xml:space="preserve"> </w:t>
      </w:r>
      <w:r>
        <w:rPr>
          <w:color w:val="333333"/>
          <w:sz w:val="21"/>
        </w:rPr>
        <w:t xml:space="preserve">zone </w:t>
      </w:r>
    </w:p>
    <w:p w14:paraId="53CB57D2" w14:textId="77777777" w:rsidR="00A71EEF" w:rsidRDefault="00A71EEF">
      <w:pPr>
        <w:pStyle w:val="a3"/>
        <w:rPr>
          <w:sz w:val="18"/>
        </w:rPr>
      </w:pPr>
    </w:p>
    <w:p w14:paraId="3AF4ED21" w14:textId="77777777" w:rsidR="00A71EEF" w:rsidRDefault="0081115D">
      <w:pPr>
        <w:pStyle w:val="a3"/>
        <w:ind w:left="838"/>
      </w:pPr>
      <w:r>
        <w:rPr>
          <w:color w:val="333333"/>
        </w:rPr>
        <w:t>将火灾自动报警系统的警戒范围按防火分区或楼层等划分的单元。</w:t>
      </w:r>
      <w:r>
        <w:rPr>
          <w:color w:val="333333"/>
        </w:rPr>
        <w:t xml:space="preserve">  </w:t>
      </w:r>
      <w:r>
        <w:rPr>
          <w:color w:val="333333"/>
        </w:rPr>
        <w:t xml:space="preserve"> </w:t>
      </w:r>
    </w:p>
    <w:p w14:paraId="6139DCA9" w14:textId="77777777" w:rsidR="00A71EEF" w:rsidRDefault="00A71EEF">
      <w:pPr>
        <w:pStyle w:val="a3"/>
        <w:spacing w:before="12"/>
        <w:rPr>
          <w:sz w:val="17"/>
        </w:rPr>
      </w:pPr>
    </w:p>
    <w:p w14:paraId="03D318CA" w14:textId="77777777" w:rsidR="00A71EEF" w:rsidRDefault="0081115D">
      <w:pPr>
        <w:pStyle w:val="a4"/>
        <w:numPr>
          <w:ilvl w:val="1"/>
          <w:numId w:val="400"/>
        </w:numPr>
        <w:tabs>
          <w:tab w:val="left" w:pos="1213"/>
        </w:tabs>
        <w:ind w:left="1212" w:hanging="373"/>
        <w:rPr>
          <w:sz w:val="21"/>
        </w:rPr>
      </w:pPr>
      <w:r>
        <w:rPr>
          <w:color w:val="333333"/>
          <w:spacing w:val="-3"/>
          <w:sz w:val="21"/>
        </w:rPr>
        <w:t>探测区域</w:t>
      </w:r>
      <w:r>
        <w:rPr>
          <w:color w:val="333333"/>
          <w:spacing w:val="-3"/>
          <w:sz w:val="21"/>
        </w:rPr>
        <w:t xml:space="preserve"> </w:t>
      </w:r>
      <w:r>
        <w:rPr>
          <w:color w:val="333333"/>
          <w:sz w:val="21"/>
        </w:rPr>
        <w:t>detection</w:t>
      </w:r>
      <w:r>
        <w:rPr>
          <w:color w:val="333333"/>
          <w:spacing w:val="-2"/>
          <w:sz w:val="21"/>
        </w:rPr>
        <w:t xml:space="preserve"> </w:t>
      </w:r>
      <w:r>
        <w:rPr>
          <w:color w:val="333333"/>
          <w:sz w:val="21"/>
        </w:rPr>
        <w:t xml:space="preserve">zone </w:t>
      </w:r>
    </w:p>
    <w:p w14:paraId="546AA53E" w14:textId="77777777" w:rsidR="00A71EEF" w:rsidRDefault="00A71EEF">
      <w:pPr>
        <w:pStyle w:val="a3"/>
        <w:spacing w:before="2"/>
        <w:rPr>
          <w:sz w:val="18"/>
        </w:rPr>
      </w:pPr>
    </w:p>
    <w:p w14:paraId="1A522DA4" w14:textId="77777777" w:rsidR="00A71EEF" w:rsidRDefault="0081115D">
      <w:pPr>
        <w:pStyle w:val="a3"/>
        <w:ind w:left="838"/>
      </w:pPr>
      <w:r>
        <w:rPr>
          <w:color w:val="333333"/>
        </w:rPr>
        <w:t>将报警区域按探测火灾的部位划分的单元。</w:t>
      </w:r>
      <w:r>
        <w:rPr>
          <w:color w:val="333333"/>
        </w:rPr>
        <w:t xml:space="preserve">  </w:t>
      </w:r>
      <w:r>
        <w:rPr>
          <w:color w:val="333333"/>
        </w:rPr>
        <w:t xml:space="preserve"> </w:t>
      </w:r>
    </w:p>
    <w:p w14:paraId="5DADB88E" w14:textId="77777777" w:rsidR="00A71EEF" w:rsidRDefault="00A71EEF">
      <w:pPr>
        <w:pStyle w:val="a3"/>
        <w:rPr>
          <w:sz w:val="18"/>
        </w:rPr>
      </w:pPr>
    </w:p>
    <w:p w14:paraId="6C8E0077" w14:textId="77777777" w:rsidR="00A71EEF" w:rsidRDefault="0081115D">
      <w:pPr>
        <w:pStyle w:val="a4"/>
        <w:numPr>
          <w:ilvl w:val="1"/>
          <w:numId w:val="400"/>
        </w:numPr>
        <w:tabs>
          <w:tab w:val="left" w:pos="1213"/>
        </w:tabs>
        <w:ind w:left="1212" w:hanging="373"/>
        <w:rPr>
          <w:sz w:val="21"/>
        </w:rPr>
      </w:pPr>
      <w:r>
        <w:rPr>
          <w:color w:val="333333"/>
          <w:spacing w:val="-3"/>
          <w:sz w:val="21"/>
        </w:rPr>
        <w:t>保护面积</w:t>
      </w:r>
      <w:r>
        <w:rPr>
          <w:color w:val="333333"/>
          <w:spacing w:val="-3"/>
          <w:sz w:val="21"/>
        </w:rPr>
        <w:t xml:space="preserve"> </w:t>
      </w:r>
      <w:r>
        <w:rPr>
          <w:color w:val="333333"/>
          <w:sz w:val="21"/>
        </w:rPr>
        <w:t>monitoring</w:t>
      </w:r>
      <w:r>
        <w:rPr>
          <w:color w:val="333333"/>
          <w:spacing w:val="1"/>
          <w:sz w:val="21"/>
        </w:rPr>
        <w:t xml:space="preserve"> </w:t>
      </w:r>
      <w:r>
        <w:rPr>
          <w:color w:val="333333"/>
          <w:sz w:val="21"/>
        </w:rPr>
        <w:t xml:space="preserve">area </w:t>
      </w:r>
    </w:p>
    <w:p w14:paraId="1EB4D01D" w14:textId="77777777" w:rsidR="00A71EEF" w:rsidRDefault="00A71EEF">
      <w:pPr>
        <w:pStyle w:val="a3"/>
        <w:spacing w:before="12"/>
        <w:rPr>
          <w:sz w:val="17"/>
        </w:rPr>
      </w:pPr>
    </w:p>
    <w:p w14:paraId="19A0BE2E" w14:textId="77777777" w:rsidR="00A71EEF" w:rsidRDefault="0081115D">
      <w:pPr>
        <w:pStyle w:val="a3"/>
        <w:tabs>
          <w:tab w:val="left" w:pos="4618"/>
        </w:tabs>
        <w:ind w:left="838"/>
      </w:pPr>
      <w:r>
        <w:rPr>
          <w:color w:val="333333"/>
        </w:rPr>
        <w:t>一只</w:t>
      </w:r>
      <w:r>
        <w:rPr>
          <w:color w:val="333333"/>
          <w:spacing w:val="-3"/>
        </w:rPr>
        <w:t>火</w:t>
      </w:r>
      <w:r>
        <w:rPr>
          <w:color w:val="333333"/>
        </w:rPr>
        <w:t>灾</w:t>
      </w:r>
      <w:r>
        <w:rPr>
          <w:color w:val="333333"/>
          <w:spacing w:val="-3"/>
        </w:rPr>
        <w:t>探</w:t>
      </w:r>
      <w:r>
        <w:rPr>
          <w:color w:val="333333"/>
        </w:rPr>
        <w:t>测</w:t>
      </w:r>
      <w:r>
        <w:rPr>
          <w:color w:val="333333"/>
          <w:spacing w:val="-3"/>
        </w:rPr>
        <w:t>器</w:t>
      </w:r>
      <w:r>
        <w:rPr>
          <w:color w:val="333333"/>
        </w:rPr>
        <w:t>能</w:t>
      </w:r>
      <w:r>
        <w:rPr>
          <w:color w:val="333333"/>
          <w:spacing w:val="-3"/>
        </w:rPr>
        <w:t>有</w:t>
      </w:r>
      <w:r>
        <w:rPr>
          <w:color w:val="333333"/>
        </w:rPr>
        <w:t>效</w:t>
      </w:r>
      <w:r>
        <w:rPr>
          <w:color w:val="333333"/>
          <w:spacing w:val="-3"/>
        </w:rPr>
        <w:t>探</w:t>
      </w:r>
      <w:r>
        <w:rPr>
          <w:color w:val="333333"/>
        </w:rPr>
        <w:t>测的</w:t>
      </w:r>
      <w:r>
        <w:rPr>
          <w:color w:val="333333"/>
          <w:spacing w:val="-3"/>
        </w:rPr>
        <w:t>面</w:t>
      </w:r>
      <w:r>
        <w:rPr>
          <w:color w:val="333333"/>
        </w:rPr>
        <w:t>积</w:t>
      </w:r>
      <w:r>
        <w:rPr>
          <w:color w:val="333333"/>
          <w:spacing w:val="-3"/>
        </w:rPr>
        <w:t>。</w:t>
      </w:r>
      <w:r>
        <w:rPr>
          <w:color w:val="333333"/>
        </w:rPr>
        <w:t xml:space="preserve"> </w:t>
      </w:r>
      <w:r>
        <w:rPr>
          <w:color w:val="333333"/>
        </w:rPr>
        <w:tab/>
      </w:r>
      <w:r>
        <w:rPr>
          <w:color w:val="333333"/>
        </w:rPr>
        <w:t xml:space="preserve"> </w:t>
      </w:r>
    </w:p>
    <w:p w14:paraId="46ACB5CA" w14:textId="77777777" w:rsidR="00A71EEF" w:rsidRDefault="00A71EEF">
      <w:pPr>
        <w:pStyle w:val="a3"/>
        <w:spacing w:before="2"/>
        <w:rPr>
          <w:sz w:val="18"/>
        </w:rPr>
      </w:pPr>
    </w:p>
    <w:p w14:paraId="6AC6E05F" w14:textId="77777777" w:rsidR="00A71EEF" w:rsidRDefault="0081115D">
      <w:pPr>
        <w:pStyle w:val="a4"/>
        <w:numPr>
          <w:ilvl w:val="1"/>
          <w:numId w:val="400"/>
        </w:numPr>
        <w:tabs>
          <w:tab w:val="left" w:pos="1210"/>
        </w:tabs>
        <w:ind w:left="1210" w:hanging="370"/>
        <w:rPr>
          <w:sz w:val="21"/>
        </w:rPr>
      </w:pPr>
      <w:r>
        <w:rPr>
          <w:b/>
          <w:color w:val="333333"/>
          <w:sz w:val="21"/>
        </w:rPr>
        <w:t>安</w:t>
      </w:r>
      <w:r>
        <w:rPr>
          <w:color w:val="333333"/>
          <w:spacing w:val="-3"/>
          <w:sz w:val="21"/>
        </w:rPr>
        <w:t>装间距</w:t>
      </w:r>
      <w:r>
        <w:rPr>
          <w:color w:val="333333"/>
          <w:spacing w:val="-3"/>
          <w:sz w:val="21"/>
        </w:rPr>
        <w:t xml:space="preserve"> </w:t>
      </w:r>
      <w:r>
        <w:rPr>
          <w:color w:val="333333"/>
          <w:sz w:val="21"/>
        </w:rPr>
        <w:t>installation</w:t>
      </w:r>
      <w:r>
        <w:rPr>
          <w:color w:val="333333"/>
          <w:spacing w:val="1"/>
          <w:sz w:val="21"/>
        </w:rPr>
        <w:t xml:space="preserve"> </w:t>
      </w:r>
      <w:r>
        <w:rPr>
          <w:color w:val="333333"/>
          <w:sz w:val="21"/>
        </w:rPr>
        <w:t xml:space="preserve">spacing </w:t>
      </w:r>
    </w:p>
    <w:p w14:paraId="6A9A7C1E" w14:textId="77777777" w:rsidR="00A71EEF" w:rsidRDefault="00A71EEF">
      <w:pPr>
        <w:pStyle w:val="a3"/>
        <w:rPr>
          <w:sz w:val="18"/>
        </w:rPr>
      </w:pPr>
    </w:p>
    <w:p w14:paraId="43988269" w14:textId="77777777" w:rsidR="00A71EEF" w:rsidRDefault="0081115D">
      <w:pPr>
        <w:pStyle w:val="a3"/>
        <w:ind w:left="838"/>
      </w:pPr>
      <w:r>
        <w:rPr>
          <w:color w:val="333333"/>
        </w:rPr>
        <w:t>两只相邻火灾探测器中心之间的水平距离。</w:t>
      </w:r>
      <w:r>
        <w:rPr>
          <w:color w:val="333333"/>
        </w:rPr>
        <w:t xml:space="preserve"> </w:t>
      </w:r>
    </w:p>
    <w:p w14:paraId="4CCFC51E" w14:textId="77777777" w:rsidR="00A71EEF" w:rsidRDefault="00A71EEF">
      <w:pPr>
        <w:pStyle w:val="a3"/>
        <w:spacing w:before="12"/>
        <w:rPr>
          <w:sz w:val="17"/>
        </w:rPr>
      </w:pPr>
    </w:p>
    <w:p w14:paraId="59C9FAF8" w14:textId="77777777" w:rsidR="00A71EEF" w:rsidRDefault="0081115D">
      <w:pPr>
        <w:pStyle w:val="a4"/>
        <w:numPr>
          <w:ilvl w:val="1"/>
          <w:numId w:val="400"/>
        </w:numPr>
        <w:tabs>
          <w:tab w:val="left" w:pos="1213"/>
        </w:tabs>
        <w:ind w:left="1212" w:hanging="373"/>
        <w:rPr>
          <w:sz w:val="21"/>
        </w:rPr>
      </w:pPr>
      <w:r>
        <w:rPr>
          <w:color w:val="333333"/>
          <w:spacing w:val="-3"/>
          <w:sz w:val="21"/>
        </w:rPr>
        <w:t>保护半径</w:t>
      </w:r>
      <w:r>
        <w:rPr>
          <w:color w:val="333333"/>
          <w:spacing w:val="-3"/>
          <w:sz w:val="21"/>
        </w:rPr>
        <w:t xml:space="preserve"> </w:t>
      </w:r>
      <w:r>
        <w:rPr>
          <w:color w:val="333333"/>
          <w:sz w:val="21"/>
        </w:rPr>
        <w:t>monitoring</w:t>
      </w:r>
      <w:r>
        <w:rPr>
          <w:color w:val="333333"/>
          <w:spacing w:val="1"/>
          <w:sz w:val="21"/>
        </w:rPr>
        <w:t xml:space="preserve"> </w:t>
      </w:r>
      <w:r>
        <w:rPr>
          <w:color w:val="333333"/>
          <w:sz w:val="21"/>
        </w:rPr>
        <w:t xml:space="preserve">radius </w:t>
      </w:r>
    </w:p>
    <w:p w14:paraId="34ADEB97" w14:textId="77777777" w:rsidR="00A71EEF" w:rsidRDefault="00A71EEF">
      <w:pPr>
        <w:pStyle w:val="a3"/>
        <w:spacing w:before="2"/>
        <w:rPr>
          <w:sz w:val="18"/>
        </w:rPr>
      </w:pPr>
    </w:p>
    <w:p w14:paraId="0F33BE20" w14:textId="77777777" w:rsidR="00A71EEF" w:rsidRDefault="0081115D">
      <w:pPr>
        <w:pStyle w:val="a3"/>
        <w:ind w:left="838"/>
      </w:pPr>
      <w:r>
        <w:rPr>
          <w:color w:val="333333"/>
        </w:rPr>
        <w:t>一只火灾探测器能有效探测的单向最大水平距离。</w:t>
      </w:r>
      <w:r>
        <w:rPr>
          <w:color w:val="333333"/>
        </w:rPr>
        <w:t xml:space="preserve"> </w:t>
      </w:r>
    </w:p>
    <w:p w14:paraId="4F1182ED" w14:textId="77777777" w:rsidR="00A71EEF" w:rsidRDefault="00A71EEF">
      <w:pPr>
        <w:pStyle w:val="a3"/>
        <w:rPr>
          <w:sz w:val="18"/>
        </w:rPr>
      </w:pPr>
    </w:p>
    <w:p w14:paraId="6DD8ABDD" w14:textId="77777777" w:rsidR="00A71EEF" w:rsidRDefault="0081115D">
      <w:pPr>
        <w:pStyle w:val="a4"/>
        <w:numPr>
          <w:ilvl w:val="1"/>
          <w:numId w:val="400"/>
        </w:numPr>
        <w:tabs>
          <w:tab w:val="left" w:pos="1213"/>
          <w:tab w:val="left" w:pos="7138"/>
        </w:tabs>
        <w:spacing w:line="446" w:lineRule="auto"/>
        <w:ind w:left="838" w:right="2396" w:firstLine="2"/>
        <w:rPr>
          <w:sz w:val="21"/>
        </w:rPr>
      </w:pPr>
      <w:r>
        <w:rPr>
          <w:color w:val="333333"/>
          <w:spacing w:val="-3"/>
          <w:sz w:val="21"/>
        </w:rPr>
        <w:t>联</w:t>
      </w:r>
      <w:r>
        <w:rPr>
          <w:color w:val="333333"/>
          <w:sz w:val="21"/>
        </w:rPr>
        <w:t>动</w:t>
      </w:r>
      <w:r>
        <w:rPr>
          <w:color w:val="333333"/>
          <w:spacing w:val="-3"/>
          <w:sz w:val="21"/>
        </w:rPr>
        <w:t>控</w:t>
      </w:r>
      <w:r>
        <w:rPr>
          <w:color w:val="333333"/>
          <w:sz w:val="21"/>
        </w:rPr>
        <w:t>制</w:t>
      </w:r>
      <w:r>
        <w:rPr>
          <w:color w:val="333333"/>
          <w:spacing w:val="-3"/>
          <w:sz w:val="21"/>
        </w:rPr>
        <w:t>信</w:t>
      </w:r>
      <w:r>
        <w:rPr>
          <w:color w:val="333333"/>
          <w:sz w:val="21"/>
        </w:rPr>
        <w:t>号</w:t>
      </w:r>
      <w:r>
        <w:rPr>
          <w:color w:val="333333"/>
          <w:sz w:val="21"/>
        </w:rPr>
        <w:t xml:space="preserve"> control signal to start</w:t>
      </w:r>
      <w:r>
        <w:rPr>
          <w:color w:val="333333"/>
          <w:spacing w:val="-3"/>
          <w:sz w:val="21"/>
        </w:rPr>
        <w:t xml:space="preserve"> </w:t>
      </w:r>
      <w:r>
        <w:rPr>
          <w:color w:val="333333"/>
          <w:sz w:val="21"/>
        </w:rPr>
        <w:t>&amp; stop</w:t>
      </w:r>
      <w:r>
        <w:rPr>
          <w:color w:val="333333"/>
          <w:spacing w:val="-1"/>
          <w:sz w:val="21"/>
        </w:rPr>
        <w:t xml:space="preserve"> </w:t>
      </w:r>
      <w:r>
        <w:rPr>
          <w:color w:val="333333"/>
          <w:sz w:val="21"/>
        </w:rPr>
        <w:t xml:space="preserve">an automatic equipment </w:t>
      </w:r>
      <w:r>
        <w:rPr>
          <w:color w:val="333333"/>
          <w:spacing w:val="-1"/>
          <w:sz w:val="21"/>
        </w:rPr>
        <w:t>由</w:t>
      </w:r>
      <w:r>
        <w:rPr>
          <w:color w:val="333333"/>
          <w:sz w:val="21"/>
        </w:rPr>
        <w:t>消</w:t>
      </w:r>
      <w:r>
        <w:rPr>
          <w:color w:val="333333"/>
          <w:spacing w:val="-3"/>
          <w:sz w:val="21"/>
        </w:rPr>
        <w:t>防</w:t>
      </w:r>
      <w:r>
        <w:rPr>
          <w:color w:val="333333"/>
          <w:sz w:val="21"/>
        </w:rPr>
        <w:t>联</w:t>
      </w:r>
      <w:r>
        <w:rPr>
          <w:color w:val="333333"/>
          <w:spacing w:val="-3"/>
          <w:sz w:val="21"/>
        </w:rPr>
        <w:t>动</w:t>
      </w:r>
      <w:r>
        <w:rPr>
          <w:color w:val="333333"/>
          <w:sz w:val="21"/>
        </w:rPr>
        <w:t>控</w:t>
      </w:r>
      <w:r>
        <w:rPr>
          <w:color w:val="333333"/>
          <w:spacing w:val="-3"/>
          <w:sz w:val="21"/>
        </w:rPr>
        <w:t>制</w:t>
      </w:r>
      <w:r>
        <w:rPr>
          <w:color w:val="333333"/>
          <w:sz w:val="21"/>
        </w:rPr>
        <w:t>器</w:t>
      </w:r>
      <w:r>
        <w:rPr>
          <w:color w:val="333333"/>
          <w:spacing w:val="-3"/>
          <w:sz w:val="21"/>
        </w:rPr>
        <w:t>发</w:t>
      </w:r>
      <w:r>
        <w:rPr>
          <w:color w:val="333333"/>
          <w:sz w:val="21"/>
        </w:rPr>
        <w:t>出</w:t>
      </w:r>
      <w:r>
        <w:rPr>
          <w:color w:val="333333"/>
          <w:spacing w:val="-3"/>
          <w:sz w:val="21"/>
        </w:rPr>
        <w:t>的</w:t>
      </w:r>
      <w:r>
        <w:rPr>
          <w:color w:val="333333"/>
          <w:sz w:val="21"/>
        </w:rPr>
        <w:t>用于</w:t>
      </w:r>
      <w:r>
        <w:rPr>
          <w:color w:val="333333"/>
          <w:spacing w:val="-3"/>
          <w:sz w:val="21"/>
        </w:rPr>
        <w:t>控</w:t>
      </w:r>
      <w:r>
        <w:rPr>
          <w:color w:val="333333"/>
          <w:sz w:val="21"/>
        </w:rPr>
        <w:t>制</w:t>
      </w:r>
      <w:r>
        <w:rPr>
          <w:color w:val="333333"/>
          <w:spacing w:val="-3"/>
          <w:sz w:val="21"/>
        </w:rPr>
        <w:t>消</w:t>
      </w:r>
      <w:r>
        <w:rPr>
          <w:color w:val="333333"/>
          <w:sz w:val="21"/>
        </w:rPr>
        <w:t>防</w:t>
      </w:r>
      <w:r>
        <w:rPr>
          <w:color w:val="333333"/>
          <w:spacing w:val="-3"/>
          <w:sz w:val="21"/>
        </w:rPr>
        <w:t>设</w:t>
      </w:r>
      <w:r>
        <w:rPr>
          <w:color w:val="333333"/>
          <w:sz w:val="21"/>
        </w:rPr>
        <w:t>备</w:t>
      </w:r>
      <w:r>
        <w:rPr>
          <w:color w:val="333333"/>
          <w:spacing w:val="-3"/>
          <w:sz w:val="21"/>
        </w:rPr>
        <w:t>(</w:t>
      </w:r>
      <w:r>
        <w:rPr>
          <w:color w:val="333333"/>
          <w:sz w:val="21"/>
        </w:rPr>
        <w:t>设施</w:t>
      </w:r>
      <w:r>
        <w:rPr>
          <w:color w:val="333333"/>
          <w:spacing w:val="-3"/>
          <w:sz w:val="21"/>
        </w:rPr>
        <w:t>)</w:t>
      </w:r>
      <w:r>
        <w:rPr>
          <w:color w:val="333333"/>
          <w:sz w:val="21"/>
        </w:rPr>
        <w:t>工作</w:t>
      </w:r>
      <w:r>
        <w:rPr>
          <w:color w:val="333333"/>
          <w:spacing w:val="-3"/>
          <w:sz w:val="21"/>
        </w:rPr>
        <w:t>的</w:t>
      </w:r>
      <w:r>
        <w:rPr>
          <w:color w:val="333333"/>
          <w:sz w:val="21"/>
        </w:rPr>
        <w:t>信</w:t>
      </w:r>
      <w:r>
        <w:rPr>
          <w:color w:val="333333"/>
          <w:spacing w:val="-3"/>
          <w:sz w:val="21"/>
        </w:rPr>
        <w:t>号。</w:t>
      </w:r>
      <w:r>
        <w:rPr>
          <w:color w:val="333333"/>
          <w:sz w:val="21"/>
        </w:rPr>
        <w:t xml:space="preserve"> </w:t>
      </w:r>
      <w:r>
        <w:rPr>
          <w:color w:val="333333"/>
          <w:sz w:val="21"/>
        </w:rPr>
        <w:tab/>
      </w:r>
      <w:r>
        <w:rPr>
          <w:color w:val="333333"/>
          <w:sz w:val="21"/>
        </w:rPr>
        <w:t xml:space="preserve"> </w:t>
      </w:r>
    </w:p>
    <w:p w14:paraId="2C464176" w14:textId="77777777" w:rsidR="00A71EEF" w:rsidRDefault="0081115D">
      <w:pPr>
        <w:pStyle w:val="a4"/>
        <w:numPr>
          <w:ilvl w:val="1"/>
          <w:numId w:val="400"/>
        </w:numPr>
        <w:tabs>
          <w:tab w:val="left" w:pos="1213"/>
        </w:tabs>
        <w:ind w:left="1212" w:hanging="373"/>
        <w:rPr>
          <w:sz w:val="21"/>
        </w:rPr>
      </w:pPr>
      <w:r>
        <w:rPr>
          <w:color w:val="333333"/>
          <w:spacing w:val="-3"/>
          <w:sz w:val="21"/>
        </w:rPr>
        <w:t>联动反馈信号</w:t>
      </w:r>
      <w:r>
        <w:rPr>
          <w:color w:val="333333"/>
          <w:spacing w:val="-3"/>
          <w:sz w:val="21"/>
        </w:rPr>
        <w:t xml:space="preserve"> </w:t>
      </w:r>
      <w:r>
        <w:rPr>
          <w:color w:val="333333"/>
          <w:sz w:val="21"/>
        </w:rPr>
        <w:t>feedback</w:t>
      </w:r>
      <w:r>
        <w:rPr>
          <w:color w:val="333333"/>
          <w:spacing w:val="1"/>
          <w:sz w:val="21"/>
        </w:rPr>
        <w:t xml:space="preserve"> </w:t>
      </w:r>
      <w:r>
        <w:rPr>
          <w:color w:val="333333"/>
          <w:sz w:val="21"/>
        </w:rPr>
        <w:t>signal</w:t>
      </w:r>
      <w:r>
        <w:rPr>
          <w:color w:val="333333"/>
          <w:spacing w:val="-3"/>
          <w:sz w:val="21"/>
        </w:rPr>
        <w:t xml:space="preserve"> </w:t>
      </w:r>
      <w:r>
        <w:rPr>
          <w:color w:val="333333"/>
          <w:sz w:val="21"/>
        </w:rPr>
        <w:t>from</w:t>
      </w:r>
      <w:r>
        <w:rPr>
          <w:color w:val="333333"/>
          <w:spacing w:val="1"/>
          <w:sz w:val="21"/>
        </w:rPr>
        <w:t xml:space="preserve"> </w:t>
      </w:r>
      <w:r>
        <w:rPr>
          <w:color w:val="333333"/>
          <w:sz w:val="21"/>
        </w:rPr>
        <w:t xml:space="preserve">automatic equipment </w:t>
      </w:r>
    </w:p>
    <w:p w14:paraId="1E4A0F3B" w14:textId="77777777" w:rsidR="00A71EEF" w:rsidRDefault="00A71EEF">
      <w:pPr>
        <w:rPr>
          <w:sz w:val="21"/>
        </w:rPr>
        <w:sectPr w:rsidR="00A71EEF">
          <w:footerReference w:type="default" r:id="rId339"/>
          <w:pgSz w:w="11910" w:h="16850"/>
          <w:pgMar w:top="1600" w:right="0" w:bottom="1420" w:left="1260" w:header="0" w:footer="1239" w:gutter="0"/>
          <w:pgNumType w:start="1270"/>
          <w:cols w:space="720"/>
        </w:sectPr>
      </w:pPr>
    </w:p>
    <w:p w14:paraId="1A37093A" w14:textId="77777777" w:rsidR="00A71EEF" w:rsidRDefault="0081115D">
      <w:pPr>
        <w:pStyle w:val="a3"/>
        <w:spacing w:before="47"/>
        <w:ind w:left="838"/>
      </w:pPr>
      <w:r>
        <w:rPr>
          <w:color w:val="333333"/>
        </w:rPr>
        <w:t>受控消防设备</w:t>
      </w:r>
      <w:r>
        <w:rPr>
          <w:color w:val="333333"/>
        </w:rPr>
        <w:t>(</w:t>
      </w:r>
      <w:r>
        <w:rPr>
          <w:color w:val="333333"/>
        </w:rPr>
        <w:t>设施</w:t>
      </w:r>
      <w:r>
        <w:rPr>
          <w:color w:val="333333"/>
        </w:rPr>
        <w:t>)</w:t>
      </w:r>
      <w:r>
        <w:rPr>
          <w:color w:val="333333"/>
        </w:rPr>
        <w:t>将其工作状态信息发送给消防联动控制器的信号。</w:t>
      </w:r>
      <w:r>
        <w:rPr>
          <w:color w:val="333333"/>
        </w:rPr>
        <w:t xml:space="preserve">  </w:t>
      </w:r>
      <w:r>
        <w:rPr>
          <w:color w:val="333333"/>
        </w:rPr>
        <w:t xml:space="preserve"> </w:t>
      </w:r>
    </w:p>
    <w:p w14:paraId="4C69B1CA" w14:textId="77777777" w:rsidR="00A71EEF" w:rsidRDefault="00A71EEF">
      <w:pPr>
        <w:pStyle w:val="a3"/>
        <w:rPr>
          <w:sz w:val="18"/>
        </w:rPr>
      </w:pPr>
    </w:p>
    <w:p w14:paraId="0DD6634F" w14:textId="77777777" w:rsidR="00A71EEF" w:rsidRDefault="0081115D">
      <w:pPr>
        <w:pStyle w:val="a4"/>
        <w:numPr>
          <w:ilvl w:val="1"/>
          <w:numId w:val="400"/>
        </w:numPr>
        <w:tabs>
          <w:tab w:val="left" w:pos="1213"/>
          <w:tab w:val="left" w:pos="5458"/>
        </w:tabs>
        <w:spacing w:line="446" w:lineRule="auto"/>
        <w:ind w:left="838" w:right="5079" w:firstLine="2"/>
        <w:rPr>
          <w:sz w:val="21"/>
        </w:rPr>
      </w:pPr>
      <w:r>
        <w:rPr>
          <w:color w:val="333333"/>
          <w:spacing w:val="-3"/>
          <w:sz w:val="21"/>
        </w:rPr>
        <w:t>联</w:t>
      </w:r>
      <w:r>
        <w:rPr>
          <w:color w:val="333333"/>
          <w:sz w:val="21"/>
        </w:rPr>
        <w:t>动</w:t>
      </w:r>
      <w:r>
        <w:rPr>
          <w:color w:val="333333"/>
          <w:spacing w:val="-3"/>
          <w:sz w:val="21"/>
        </w:rPr>
        <w:t>触</w:t>
      </w:r>
      <w:r>
        <w:rPr>
          <w:color w:val="333333"/>
          <w:sz w:val="21"/>
        </w:rPr>
        <w:t>发</w:t>
      </w:r>
      <w:r>
        <w:rPr>
          <w:color w:val="333333"/>
          <w:spacing w:val="-3"/>
          <w:sz w:val="21"/>
        </w:rPr>
        <w:t>信</w:t>
      </w:r>
      <w:r>
        <w:rPr>
          <w:color w:val="333333"/>
          <w:sz w:val="21"/>
        </w:rPr>
        <w:t>号</w:t>
      </w:r>
      <w:r>
        <w:rPr>
          <w:color w:val="333333"/>
          <w:spacing w:val="15"/>
          <w:sz w:val="21"/>
        </w:rPr>
        <w:t xml:space="preserve"> </w:t>
      </w:r>
      <w:r>
        <w:rPr>
          <w:color w:val="333333"/>
          <w:sz w:val="21"/>
        </w:rPr>
        <w:t>signal</w:t>
      </w:r>
      <w:r>
        <w:rPr>
          <w:color w:val="333333"/>
          <w:spacing w:val="16"/>
          <w:sz w:val="21"/>
        </w:rPr>
        <w:t xml:space="preserve"> </w:t>
      </w:r>
      <w:r>
        <w:rPr>
          <w:color w:val="333333"/>
          <w:sz w:val="21"/>
        </w:rPr>
        <w:t>for</w:t>
      </w:r>
      <w:r>
        <w:rPr>
          <w:color w:val="333333"/>
          <w:spacing w:val="16"/>
          <w:sz w:val="21"/>
        </w:rPr>
        <w:t xml:space="preserve"> </w:t>
      </w:r>
      <w:r>
        <w:rPr>
          <w:color w:val="333333"/>
          <w:sz w:val="21"/>
        </w:rPr>
        <w:t>logical</w:t>
      </w:r>
      <w:r>
        <w:rPr>
          <w:color w:val="333333"/>
          <w:spacing w:val="16"/>
          <w:sz w:val="21"/>
        </w:rPr>
        <w:t xml:space="preserve"> </w:t>
      </w:r>
      <w:r>
        <w:rPr>
          <w:color w:val="333333"/>
          <w:sz w:val="21"/>
        </w:rPr>
        <w:t xml:space="preserve">program </w:t>
      </w:r>
      <w:r>
        <w:rPr>
          <w:color w:val="333333"/>
          <w:sz w:val="21"/>
        </w:rPr>
        <w:t>消防</w:t>
      </w:r>
      <w:r>
        <w:rPr>
          <w:color w:val="333333"/>
          <w:spacing w:val="-3"/>
          <w:sz w:val="21"/>
        </w:rPr>
        <w:t>联</w:t>
      </w:r>
      <w:r>
        <w:rPr>
          <w:color w:val="333333"/>
          <w:sz w:val="21"/>
        </w:rPr>
        <w:t>动</w:t>
      </w:r>
      <w:r>
        <w:rPr>
          <w:color w:val="333333"/>
          <w:spacing w:val="-3"/>
          <w:sz w:val="21"/>
        </w:rPr>
        <w:t>控</w:t>
      </w:r>
      <w:r>
        <w:rPr>
          <w:color w:val="333333"/>
          <w:sz w:val="21"/>
        </w:rPr>
        <w:t>制</w:t>
      </w:r>
      <w:r>
        <w:rPr>
          <w:color w:val="333333"/>
          <w:spacing w:val="-3"/>
          <w:sz w:val="21"/>
        </w:rPr>
        <w:t>器</w:t>
      </w:r>
      <w:r>
        <w:rPr>
          <w:color w:val="333333"/>
          <w:sz w:val="21"/>
        </w:rPr>
        <w:t>接</w:t>
      </w:r>
      <w:r>
        <w:rPr>
          <w:color w:val="333333"/>
          <w:spacing w:val="-3"/>
          <w:sz w:val="21"/>
        </w:rPr>
        <w:t>收</w:t>
      </w:r>
      <w:r>
        <w:rPr>
          <w:color w:val="333333"/>
          <w:sz w:val="21"/>
        </w:rPr>
        <w:t>的</w:t>
      </w:r>
      <w:r>
        <w:rPr>
          <w:color w:val="333333"/>
          <w:spacing w:val="-3"/>
          <w:sz w:val="21"/>
        </w:rPr>
        <w:t>用</w:t>
      </w:r>
      <w:r>
        <w:rPr>
          <w:color w:val="333333"/>
          <w:sz w:val="21"/>
        </w:rPr>
        <w:t>于逻</w:t>
      </w:r>
      <w:r>
        <w:rPr>
          <w:color w:val="333333"/>
          <w:spacing w:val="-3"/>
          <w:sz w:val="21"/>
        </w:rPr>
        <w:t>辑</w:t>
      </w:r>
      <w:r>
        <w:rPr>
          <w:color w:val="333333"/>
          <w:sz w:val="21"/>
        </w:rPr>
        <w:t>判</w:t>
      </w:r>
      <w:r>
        <w:rPr>
          <w:color w:val="333333"/>
          <w:spacing w:val="-3"/>
          <w:sz w:val="21"/>
        </w:rPr>
        <w:t>断</w:t>
      </w:r>
      <w:r>
        <w:rPr>
          <w:color w:val="333333"/>
          <w:sz w:val="21"/>
        </w:rPr>
        <w:t>的</w:t>
      </w:r>
      <w:r>
        <w:rPr>
          <w:color w:val="333333"/>
          <w:spacing w:val="-3"/>
          <w:sz w:val="21"/>
        </w:rPr>
        <w:t>信</w:t>
      </w:r>
      <w:r>
        <w:rPr>
          <w:color w:val="333333"/>
          <w:sz w:val="21"/>
        </w:rPr>
        <w:t>号</w:t>
      </w:r>
      <w:r>
        <w:rPr>
          <w:color w:val="333333"/>
          <w:spacing w:val="-3"/>
          <w:sz w:val="21"/>
        </w:rPr>
        <w:t>。</w:t>
      </w:r>
      <w:r>
        <w:rPr>
          <w:color w:val="333333"/>
          <w:sz w:val="21"/>
        </w:rPr>
        <w:t xml:space="preserve"> </w:t>
      </w:r>
      <w:r>
        <w:rPr>
          <w:color w:val="333333"/>
          <w:sz w:val="21"/>
        </w:rPr>
        <w:tab/>
      </w:r>
      <w:r>
        <w:rPr>
          <w:color w:val="333333"/>
          <w:sz w:val="21"/>
        </w:rPr>
        <w:t xml:space="preserve"> </w:t>
      </w:r>
    </w:p>
    <w:p w14:paraId="74AC87C4" w14:textId="77777777" w:rsidR="00A71EEF" w:rsidRDefault="0081115D">
      <w:pPr>
        <w:pStyle w:val="4"/>
        <w:spacing w:line="277" w:lineRule="exact"/>
      </w:pPr>
      <w:r>
        <w:t xml:space="preserve">3 </w:t>
      </w:r>
      <w:r>
        <w:t>基本规定</w:t>
      </w:r>
      <w:r>
        <w:rPr>
          <w:w w:val="99"/>
        </w:rPr>
        <w:t xml:space="preserve"> </w:t>
      </w:r>
    </w:p>
    <w:p w14:paraId="19E161A4" w14:textId="77777777" w:rsidR="00A71EEF" w:rsidRDefault="00A71EEF">
      <w:pPr>
        <w:pStyle w:val="a3"/>
        <w:spacing w:before="4"/>
        <w:rPr>
          <w:b/>
          <w:sz w:val="17"/>
        </w:rPr>
      </w:pPr>
    </w:p>
    <w:p w14:paraId="766B98BB" w14:textId="77777777" w:rsidR="00A71EEF" w:rsidRDefault="0081115D">
      <w:pPr>
        <w:pStyle w:val="a4"/>
        <w:numPr>
          <w:ilvl w:val="1"/>
          <w:numId w:val="399"/>
        </w:numPr>
        <w:tabs>
          <w:tab w:val="left" w:pos="1159"/>
        </w:tabs>
        <w:ind w:hanging="319"/>
        <w:rPr>
          <w:sz w:val="21"/>
        </w:rPr>
      </w:pPr>
      <w:r>
        <w:rPr>
          <w:spacing w:val="-3"/>
          <w:sz w:val="21"/>
        </w:rPr>
        <w:t>一般规定</w:t>
      </w:r>
      <w:r>
        <w:rPr>
          <w:sz w:val="21"/>
        </w:rPr>
        <w:t xml:space="preserve"> </w:t>
      </w:r>
    </w:p>
    <w:p w14:paraId="18CF3B11" w14:textId="77777777" w:rsidR="00A71EEF" w:rsidRDefault="00A71EEF">
      <w:pPr>
        <w:pStyle w:val="a3"/>
        <w:spacing w:before="12"/>
        <w:rPr>
          <w:sz w:val="17"/>
        </w:rPr>
      </w:pPr>
    </w:p>
    <w:p w14:paraId="6119BBD6" w14:textId="77777777" w:rsidR="00A71EEF" w:rsidRDefault="0081115D">
      <w:pPr>
        <w:pStyle w:val="a4"/>
        <w:numPr>
          <w:ilvl w:val="2"/>
          <w:numId w:val="399"/>
        </w:numPr>
        <w:tabs>
          <w:tab w:val="left" w:pos="1438"/>
        </w:tabs>
        <w:spacing w:line="446" w:lineRule="auto"/>
        <w:ind w:right="1431" w:firstLine="422"/>
        <w:rPr>
          <w:sz w:val="21"/>
        </w:rPr>
      </w:pPr>
      <w:r>
        <w:rPr>
          <w:spacing w:val="-3"/>
          <w:sz w:val="21"/>
        </w:rPr>
        <w:t>火灾自动报警系统可用于人员居住和经常有人滞留的场所、存放重要物资或燃烧后产生严重污</w:t>
      </w:r>
      <w:r>
        <w:rPr>
          <w:spacing w:val="-3"/>
          <w:sz w:val="21"/>
        </w:rPr>
        <w:t xml:space="preserve"> </w:t>
      </w:r>
      <w:r>
        <w:rPr>
          <w:spacing w:val="-3"/>
          <w:sz w:val="21"/>
        </w:rPr>
        <w:t>染需要及时报警的场所。</w:t>
      </w:r>
      <w:r>
        <w:rPr>
          <w:sz w:val="21"/>
        </w:rPr>
        <w:t xml:space="preserve">  </w:t>
      </w:r>
    </w:p>
    <w:p w14:paraId="3347F794" w14:textId="77777777" w:rsidR="00A71EEF" w:rsidRDefault="0081115D">
      <w:pPr>
        <w:pStyle w:val="a4"/>
        <w:numPr>
          <w:ilvl w:val="2"/>
          <w:numId w:val="399"/>
        </w:numPr>
        <w:tabs>
          <w:tab w:val="left" w:pos="1371"/>
        </w:tabs>
        <w:spacing w:before="1"/>
        <w:ind w:left="1370" w:hanging="531"/>
        <w:rPr>
          <w:sz w:val="21"/>
        </w:rPr>
      </w:pPr>
      <w:r>
        <w:rPr>
          <w:spacing w:val="-3"/>
          <w:sz w:val="21"/>
        </w:rPr>
        <w:t>火灾自动报警系统应设有自动和手动两种触发装置。</w:t>
      </w:r>
      <w:r>
        <w:rPr>
          <w:sz w:val="21"/>
        </w:rPr>
        <w:t xml:space="preserve"> </w:t>
      </w:r>
    </w:p>
    <w:p w14:paraId="6AF1C5C0" w14:textId="77777777" w:rsidR="00A71EEF" w:rsidRDefault="00A71EEF">
      <w:pPr>
        <w:pStyle w:val="a3"/>
        <w:spacing w:before="12"/>
        <w:rPr>
          <w:sz w:val="17"/>
        </w:rPr>
      </w:pPr>
    </w:p>
    <w:p w14:paraId="583C408C" w14:textId="77777777" w:rsidR="00A71EEF" w:rsidRDefault="0081115D">
      <w:pPr>
        <w:pStyle w:val="a4"/>
        <w:numPr>
          <w:ilvl w:val="2"/>
          <w:numId w:val="399"/>
        </w:numPr>
        <w:tabs>
          <w:tab w:val="left" w:pos="1370"/>
        </w:tabs>
        <w:ind w:left="1369" w:hanging="530"/>
        <w:rPr>
          <w:sz w:val="21"/>
        </w:rPr>
      </w:pPr>
      <w:r>
        <w:rPr>
          <w:spacing w:val="-3"/>
          <w:sz w:val="21"/>
        </w:rPr>
        <w:t>火灾自动报警系统设备应选择符合国家有关标准和有关市场准入制度的产品。</w:t>
      </w:r>
      <w:r>
        <w:rPr>
          <w:sz w:val="21"/>
        </w:rPr>
        <w:t xml:space="preserve"> </w:t>
      </w:r>
    </w:p>
    <w:p w14:paraId="1A8526FC" w14:textId="77777777" w:rsidR="00A71EEF" w:rsidRDefault="00A71EEF">
      <w:pPr>
        <w:pStyle w:val="a3"/>
        <w:spacing w:before="2"/>
        <w:rPr>
          <w:sz w:val="18"/>
        </w:rPr>
      </w:pPr>
    </w:p>
    <w:p w14:paraId="01354926" w14:textId="77777777" w:rsidR="00A71EEF" w:rsidRDefault="0081115D">
      <w:pPr>
        <w:pStyle w:val="a4"/>
        <w:numPr>
          <w:ilvl w:val="2"/>
          <w:numId w:val="399"/>
        </w:numPr>
        <w:tabs>
          <w:tab w:val="left" w:pos="1370"/>
        </w:tabs>
        <w:spacing w:line="446" w:lineRule="auto"/>
        <w:ind w:right="1431" w:firstLine="422"/>
        <w:rPr>
          <w:sz w:val="21"/>
        </w:rPr>
      </w:pPr>
      <w:r>
        <w:rPr>
          <w:spacing w:val="-5"/>
          <w:sz w:val="21"/>
        </w:rPr>
        <w:t>系统中各类设备之间的接口和通信协议的兼容性应符合现行国家标准《火灾自动报警</w:t>
      </w:r>
      <w:r>
        <w:rPr>
          <w:spacing w:val="-4"/>
          <w:sz w:val="21"/>
        </w:rPr>
        <w:t>系统组件</w:t>
      </w:r>
      <w:r>
        <w:rPr>
          <w:spacing w:val="-4"/>
          <w:sz w:val="21"/>
        </w:rPr>
        <w:t xml:space="preserve"> </w:t>
      </w:r>
      <w:r>
        <w:rPr>
          <w:spacing w:val="-4"/>
          <w:sz w:val="21"/>
        </w:rPr>
        <w:t>兼容性要求》</w:t>
      </w:r>
      <w:r>
        <w:rPr>
          <w:spacing w:val="-3"/>
          <w:sz w:val="21"/>
        </w:rPr>
        <w:t>GB</w:t>
      </w:r>
      <w:r>
        <w:rPr>
          <w:spacing w:val="1"/>
          <w:sz w:val="21"/>
        </w:rPr>
        <w:t xml:space="preserve"> </w:t>
      </w:r>
      <w:r>
        <w:rPr>
          <w:sz w:val="21"/>
        </w:rPr>
        <w:t>22134</w:t>
      </w:r>
      <w:r>
        <w:rPr>
          <w:spacing w:val="-3"/>
          <w:sz w:val="21"/>
        </w:rPr>
        <w:t xml:space="preserve"> </w:t>
      </w:r>
      <w:r>
        <w:rPr>
          <w:spacing w:val="-3"/>
          <w:sz w:val="21"/>
        </w:rPr>
        <w:t>的有关规定。</w:t>
      </w:r>
      <w:r>
        <w:rPr>
          <w:sz w:val="21"/>
        </w:rPr>
        <w:t xml:space="preserve">  </w:t>
      </w:r>
    </w:p>
    <w:p w14:paraId="7443E1BC" w14:textId="77777777" w:rsidR="00A71EEF" w:rsidRDefault="0081115D">
      <w:pPr>
        <w:pStyle w:val="a4"/>
        <w:numPr>
          <w:ilvl w:val="2"/>
          <w:numId w:val="399"/>
        </w:numPr>
        <w:tabs>
          <w:tab w:val="left" w:pos="1370"/>
        </w:tabs>
        <w:spacing w:line="446" w:lineRule="auto"/>
        <w:ind w:right="1431" w:firstLine="422"/>
        <w:jc w:val="both"/>
        <w:rPr>
          <w:sz w:val="21"/>
        </w:rPr>
      </w:pPr>
      <w:r>
        <w:rPr>
          <w:spacing w:val="-5"/>
          <w:sz w:val="21"/>
        </w:rPr>
        <w:t>任一台火灾报警控制器所连接的火灾探测器、手动火灾报警按钮和模块等设备总数和</w:t>
      </w:r>
      <w:r>
        <w:rPr>
          <w:spacing w:val="-2"/>
          <w:sz w:val="21"/>
        </w:rPr>
        <w:t>地址总数，均不应超过</w:t>
      </w:r>
      <w:r>
        <w:rPr>
          <w:spacing w:val="-2"/>
          <w:sz w:val="21"/>
        </w:rPr>
        <w:t xml:space="preserve"> </w:t>
      </w:r>
      <w:r>
        <w:rPr>
          <w:sz w:val="21"/>
        </w:rPr>
        <w:t>3200</w:t>
      </w:r>
      <w:r>
        <w:rPr>
          <w:spacing w:val="-2"/>
          <w:sz w:val="21"/>
        </w:rPr>
        <w:t xml:space="preserve"> </w:t>
      </w:r>
      <w:r>
        <w:rPr>
          <w:spacing w:val="-2"/>
          <w:sz w:val="21"/>
        </w:rPr>
        <w:t>点，其中每一总线回路连接设备的总数不宜超过</w:t>
      </w:r>
      <w:r>
        <w:rPr>
          <w:spacing w:val="-2"/>
          <w:sz w:val="21"/>
        </w:rPr>
        <w:t xml:space="preserve"> </w:t>
      </w:r>
      <w:r>
        <w:rPr>
          <w:sz w:val="21"/>
        </w:rPr>
        <w:t>200</w:t>
      </w:r>
      <w:r>
        <w:rPr>
          <w:spacing w:val="2"/>
          <w:sz w:val="21"/>
        </w:rPr>
        <w:t xml:space="preserve"> </w:t>
      </w:r>
      <w:r>
        <w:rPr>
          <w:spacing w:val="2"/>
          <w:sz w:val="21"/>
        </w:rPr>
        <w:t>点，且应留</w:t>
      </w:r>
      <w:r>
        <w:rPr>
          <w:spacing w:val="-1"/>
          <w:sz w:val="21"/>
        </w:rPr>
        <w:t>有不少于额</w:t>
      </w:r>
      <w:r>
        <w:rPr>
          <w:sz w:val="21"/>
        </w:rPr>
        <w:t xml:space="preserve"> </w:t>
      </w:r>
    </w:p>
    <w:p w14:paraId="6B37EC92" w14:textId="77777777" w:rsidR="00A71EEF" w:rsidRDefault="0081115D">
      <w:pPr>
        <w:pStyle w:val="a3"/>
        <w:spacing w:line="446" w:lineRule="auto"/>
        <w:ind w:left="418" w:right="1431" w:firstLine="419"/>
        <w:jc w:val="both"/>
      </w:pPr>
      <w:r>
        <w:t>定容量</w:t>
      </w:r>
      <w:r>
        <w:t xml:space="preserve"> 10% </w:t>
      </w:r>
      <w:r>
        <w:t>的余量；任一台消防联动控制器地址总数或火灾报警控制器（联动型）所控制的各类</w:t>
      </w:r>
      <w:r>
        <w:t xml:space="preserve"> </w:t>
      </w:r>
    </w:p>
    <w:p w14:paraId="5B7B8B68" w14:textId="77777777" w:rsidR="00A71EEF" w:rsidRDefault="0081115D">
      <w:pPr>
        <w:pStyle w:val="a3"/>
        <w:spacing w:line="446" w:lineRule="auto"/>
        <w:ind w:left="418" w:right="1433" w:firstLine="419"/>
        <w:jc w:val="both"/>
      </w:pPr>
      <w:r>
        <w:rPr>
          <w:spacing w:val="-8"/>
        </w:rPr>
        <w:t>模块总数不应超过</w:t>
      </w:r>
      <w:r>
        <w:rPr>
          <w:spacing w:val="-8"/>
        </w:rPr>
        <w:t xml:space="preserve"> </w:t>
      </w:r>
      <w:r>
        <w:t>1600</w:t>
      </w:r>
      <w:r>
        <w:rPr>
          <w:spacing w:val="-5"/>
        </w:rPr>
        <w:t xml:space="preserve"> </w:t>
      </w:r>
      <w:r>
        <w:rPr>
          <w:spacing w:val="-5"/>
        </w:rPr>
        <w:t>点，每一联动总线回路连接设备的总数不宜超过</w:t>
      </w:r>
      <w:r>
        <w:rPr>
          <w:spacing w:val="-5"/>
        </w:rPr>
        <w:t xml:space="preserve"> </w:t>
      </w:r>
      <w:r>
        <w:t>100</w:t>
      </w:r>
      <w:r>
        <w:rPr>
          <w:spacing w:val="-3"/>
        </w:rPr>
        <w:t xml:space="preserve"> </w:t>
      </w:r>
      <w:r>
        <w:rPr>
          <w:spacing w:val="-3"/>
        </w:rPr>
        <w:t>点，且应留有</w:t>
      </w:r>
      <w:r>
        <w:rPr>
          <w:spacing w:val="-10"/>
        </w:rPr>
        <w:t>不少于额定容量</w:t>
      </w:r>
      <w:r>
        <w:rPr>
          <w:spacing w:val="-10"/>
        </w:rPr>
        <w:t xml:space="preserve"> </w:t>
      </w:r>
      <w:r>
        <w:t>10</w:t>
      </w:r>
      <w:r>
        <w:rPr>
          <w:spacing w:val="-3"/>
        </w:rPr>
        <w:t xml:space="preserve">% </w:t>
      </w:r>
      <w:r>
        <w:rPr>
          <w:spacing w:val="-3"/>
        </w:rPr>
        <w:t>的余量。</w:t>
      </w:r>
      <w:r>
        <w:rPr>
          <w:spacing w:val="-3"/>
        </w:rPr>
        <w:t xml:space="preserve"> </w:t>
      </w:r>
      <w:r>
        <w:rPr>
          <w:spacing w:val="-53"/>
        </w:rPr>
        <w:t xml:space="preserve"> </w:t>
      </w:r>
      <w:r>
        <w:t xml:space="preserve"> </w:t>
      </w:r>
    </w:p>
    <w:p w14:paraId="2DA0040D" w14:textId="77777777" w:rsidR="00A71EEF" w:rsidRDefault="0081115D">
      <w:pPr>
        <w:pStyle w:val="a4"/>
        <w:numPr>
          <w:ilvl w:val="2"/>
          <w:numId w:val="399"/>
        </w:numPr>
        <w:tabs>
          <w:tab w:val="left" w:pos="1370"/>
        </w:tabs>
        <w:spacing w:line="446" w:lineRule="auto"/>
        <w:ind w:right="1431" w:firstLine="422"/>
        <w:rPr>
          <w:sz w:val="21"/>
        </w:rPr>
      </w:pPr>
      <w:r>
        <w:rPr>
          <w:spacing w:val="-6"/>
          <w:sz w:val="21"/>
        </w:rPr>
        <w:t>系统总线上应设置总线短路隔离器，每只总线短路隔离器保护的火灾探测器、手动火</w:t>
      </w:r>
      <w:r>
        <w:rPr>
          <w:spacing w:val="-5"/>
          <w:sz w:val="21"/>
        </w:rPr>
        <w:t>灾报警</w:t>
      </w:r>
      <w:r>
        <w:rPr>
          <w:sz w:val="21"/>
        </w:rPr>
        <w:t xml:space="preserve"> </w:t>
      </w:r>
    </w:p>
    <w:p w14:paraId="6EC83672" w14:textId="77777777" w:rsidR="00A71EEF" w:rsidRDefault="0081115D">
      <w:pPr>
        <w:pStyle w:val="a3"/>
        <w:tabs>
          <w:tab w:val="left" w:pos="2097"/>
        </w:tabs>
        <w:spacing w:line="446" w:lineRule="auto"/>
        <w:ind w:left="418" w:right="1431" w:firstLine="419"/>
      </w:pPr>
      <w:r>
        <w:t>按钮</w:t>
      </w:r>
      <w:r>
        <w:rPr>
          <w:spacing w:val="-3"/>
        </w:rPr>
        <w:t>和</w:t>
      </w:r>
      <w:r>
        <w:t>模</w:t>
      </w:r>
      <w:r>
        <w:rPr>
          <w:spacing w:val="-3"/>
        </w:rPr>
        <w:t>块</w:t>
      </w:r>
      <w:r>
        <w:t>等</w:t>
      </w:r>
      <w:r>
        <w:rPr>
          <w:spacing w:val="-3"/>
        </w:rPr>
        <w:t>消</w:t>
      </w:r>
      <w:r>
        <w:t>防</w:t>
      </w:r>
      <w:r>
        <w:rPr>
          <w:spacing w:val="-3"/>
        </w:rPr>
        <w:t>设</w:t>
      </w:r>
      <w:r>
        <w:t>备</w:t>
      </w:r>
      <w:r>
        <w:rPr>
          <w:spacing w:val="-3"/>
        </w:rPr>
        <w:t>的</w:t>
      </w:r>
      <w:r>
        <w:t>总数</w:t>
      </w:r>
      <w:r>
        <w:rPr>
          <w:spacing w:val="-3"/>
        </w:rPr>
        <w:t>不</w:t>
      </w:r>
      <w:r>
        <w:t>应</w:t>
      </w:r>
      <w:r>
        <w:rPr>
          <w:spacing w:val="-3"/>
        </w:rPr>
        <w:t>超</w:t>
      </w:r>
      <w:r>
        <w:t>过</w:t>
      </w:r>
      <w:r>
        <w:rPr>
          <w:spacing w:val="20"/>
        </w:rPr>
        <w:t xml:space="preserve"> </w:t>
      </w:r>
      <w:r>
        <w:t>32</w:t>
      </w:r>
      <w:r>
        <w:rPr>
          <w:spacing w:val="19"/>
        </w:rPr>
        <w:t xml:space="preserve"> </w:t>
      </w:r>
      <w:r>
        <w:rPr>
          <w:spacing w:val="-3"/>
        </w:rPr>
        <w:t>点</w:t>
      </w:r>
      <w:r>
        <w:rPr>
          <w:spacing w:val="-17"/>
        </w:rPr>
        <w:t>；</w:t>
      </w:r>
      <w:r>
        <w:rPr>
          <w:spacing w:val="-3"/>
        </w:rPr>
        <w:t>总</w:t>
      </w:r>
      <w:r>
        <w:t>线穿</w:t>
      </w:r>
      <w:r>
        <w:rPr>
          <w:spacing w:val="-3"/>
        </w:rPr>
        <w:t>越</w:t>
      </w:r>
      <w:r>
        <w:t>防</w:t>
      </w:r>
      <w:r>
        <w:rPr>
          <w:spacing w:val="-3"/>
        </w:rPr>
        <w:t>火</w:t>
      </w:r>
      <w:r>
        <w:t>分</w:t>
      </w:r>
      <w:r>
        <w:rPr>
          <w:spacing w:val="-3"/>
        </w:rPr>
        <w:t>区时</w:t>
      </w:r>
      <w:r>
        <w:rPr>
          <w:spacing w:val="-15"/>
        </w:rPr>
        <w:t>，</w:t>
      </w:r>
      <w:r>
        <w:rPr>
          <w:spacing w:val="-3"/>
        </w:rPr>
        <w:t>应在</w:t>
      </w:r>
      <w:r>
        <w:t>穿越</w:t>
      </w:r>
      <w:r>
        <w:rPr>
          <w:spacing w:val="-3"/>
        </w:rPr>
        <w:t>处</w:t>
      </w:r>
      <w:r>
        <w:t>设</w:t>
      </w:r>
      <w:r>
        <w:rPr>
          <w:spacing w:val="-3"/>
        </w:rPr>
        <w:t>置</w:t>
      </w:r>
      <w:r>
        <w:t>总线短路</w:t>
      </w:r>
      <w:r>
        <w:rPr>
          <w:spacing w:val="-3"/>
        </w:rPr>
        <w:t>隔</w:t>
      </w:r>
      <w:r>
        <w:t>离</w:t>
      </w:r>
      <w:r>
        <w:rPr>
          <w:spacing w:val="-3"/>
        </w:rPr>
        <w:t>器。</w:t>
      </w:r>
      <w:r>
        <w:t xml:space="preserve"> </w:t>
      </w:r>
      <w:r>
        <w:tab/>
      </w:r>
      <w:r>
        <w:t xml:space="preserve"> </w:t>
      </w:r>
    </w:p>
    <w:p w14:paraId="11DD9772" w14:textId="77777777" w:rsidR="00A71EEF" w:rsidRDefault="0081115D">
      <w:pPr>
        <w:pStyle w:val="a4"/>
        <w:numPr>
          <w:ilvl w:val="2"/>
          <w:numId w:val="399"/>
        </w:numPr>
        <w:tabs>
          <w:tab w:val="left" w:pos="1424"/>
        </w:tabs>
        <w:spacing w:line="446" w:lineRule="auto"/>
        <w:ind w:right="1431" w:firstLine="422"/>
        <w:rPr>
          <w:sz w:val="21"/>
        </w:rPr>
      </w:pPr>
      <w:r>
        <w:rPr>
          <w:spacing w:val="2"/>
          <w:sz w:val="21"/>
        </w:rPr>
        <w:t>高度超过</w:t>
      </w:r>
      <w:r>
        <w:rPr>
          <w:spacing w:val="2"/>
          <w:sz w:val="21"/>
        </w:rPr>
        <w:t xml:space="preserve"> </w:t>
      </w:r>
      <w:r>
        <w:rPr>
          <w:sz w:val="21"/>
        </w:rPr>
        <w:t>100m</w:t>
      </w:r>
      <w:r>
        <w:rPr>
          <w:spacing w:val="-3"/>
          <w:sz w:val="21"/>
        </w:rPr>
        <w:t xml:space="preserve"> </w:t>
      </w:r>
      <w:r>
        <w:rPr>
          <w:spacing w:val="-3"/>
          <w:sz w:val="21"/>
        </w:rPr>
        <w:t>的建筑中，除消防控制室内设置的控制器外，每台控制器直接控制的火灾探测器、手动报警按钮和模块等设备不应跨越避难层。</w:t>
      </w:r>
      <w:r>
        <w:rPr>
          <w:sz w:val="21"/>
        </w:rPr>
        <w:t xml:space="preserve"> </w:t>
      </w:r>
    </w:p>
    <w:p w14:paraId="7D07B6C5" w14:textId="77777777" w:rsidR="00A71EEF" w:rsidRDefault="0081115D">
      <w:pPr>
        <w:pStyle w:val="a4"/>
        <w:numPr>
          <w:ilvl w:val="2"/>
          <w:numId w:val="399"/>
        </w:numPr>
        <w:tabs>
          <w:tab w:val="left" w:pos="1370"/>
          <w:tab w:val="left" w:pos="8399"/>
        </w:tabs>
        <w:ind w:left="1369" w:hanging="530"/>
        <w:rPr>
          <w:sz w:val="21"/>
        </w:rPr>
      </w:pPr>
      <w:r>
        <w:rPr>
          <w:spacing w:val="-3"/>
          <w:sz w:val="21"/>
        </w:rPr>
        <w:t>水</w:t>
      </w:r>
      <w:r>
        <w:rPr>
          <w:sz w:val="21"/>
        </w:rPr>
        <w:t>泵</w:t>
      </w:r>
      <w:r>
        <w:rPr>
          <w:spacing w:val="-3"/>
          <w:sz w:val="21"/>
        </w:rPr>
        <w:t>控</w:t>
      </w:r>
      <w:r>
        <w:rPr>
          <w:sz w:val="21"/>
        </w:rPr>
        <w:t>制</w:t>
      </w:r>
      <w:r>
        <w:rPr>
          <w:spacing w:val="-3"/>
          <w:sz w:val="21"/>
        </w:rPr>
        <w:t>柜</w:t>
      </w:r>
      <w:r>
        <w:rPr>
          <w:sz w:val="21"/>
        </w:rPr>
        <w:t>、</w:t>
      </w:r>
      <w:r>
        <w:rPr>
          <w:spacing w:val="-3"/>
          <w:sz w:val="21"/>
        </w:rPr>
        <w:t>风机</w:t>
      </w:r>
      <w:r>
        <w:rPr>
          <w:sz w:val="21"/>
        </w:rPr>
        <w:t>控制</w:t>
      </w:r>
      <w:r>
        <w:rPr>
          <w:spacing w:val="-3"/>
          <w:sz w:val="21"/>
        </w:rPr>
        <w:t>柜</w:t>
      </w:r>
      <w:r>
        <w:rPr>
          <w:sz w:val="21"/>
        </w:rPr>
        <w:t>等</w:t>
      </w:r>
      <w:r>
        <w:rPr>
          <w:spacing w:val="-3"/>
          <w:sz w:val="21"/>
        </w:rPr>
        <w:t>消</w:t>
      </w:r>
      <w:r>
        <w:rPr>
          <w:sz w:val="21"/>
        </w:rPr>
        <w:t>防</w:t>
      </w:r>
      <w:r>
        <w:rPr>
          <w:spacing w:val="-3"/>
          <w:sz w:val="21"/>
        </w:rPr>
        <w:t>电</w:t>
      </w:r>
      <w:r>
        <w:rPr>
          <w:sz w:val="21"/>
        </w:rPr>
        <w:t>气</w:t>
      </w:r>
      <w:r>
        <w:rPr>
          <w:spacing w:val="-3"/>
          <w:sz w:val="21"/>
        </w:rPr>
        <w:t>控</w:t>
      </w:r>
      <w:r>
        <w:rPr>
          <w:sz w:val="21"/>
        </w:rPr>
        <w:t>制</w:t>
      </w:r>
      <w:r>
        <w:rPr>
          <w:spacing w:val="-3"/>
          <w:sz w:val="21"/>
        </w:rPr>
        <w:t>装</w:t>
      </w:r>
      <w:r>
        <w:rPr>
          <w:sz w:val="21"/>
        </w:rPr>
        <w:t>置不</w:t>
      </w:r>
      <w:r>
        <w:rPr>
          <w:spacing w:val="-3"/>
          <w:sz w:val="21"/>
        </w:rPr>
        <w:t>应</w:t>
      </w:r>
      <w:r>
        <w:rPr>
          <w:sz w:val="21"/>
        </w:rPr>
        <w:t>采</w:t>
      </w:r>
      <w:r>
        <w:rPr>
          <w:spacing w:val="-3"/>
          <w:sz w:val="21"/>
        </w:rPr>
        <w:t>用</w:t>
      </w:r>
      <w:r>
        <w:rPr>
          <w:sz w:val="21"/>
        </w:rPr>
        <w:t>变</w:t>
      </w:r>
      <w:r>
        <w:rPr>
          <w:spacing w:val="-3"/>
          <w:sz w:val="21"/>
        </w:rPr>
        <w:t>频</w:t>
      </w:r>
      <w:r>
        <w:rPr>
          <w:sz w:val="21"/>
        </w:rPr>
        <w:t>启</w:t>
      </w:r>
      <w:r>
        <w:rPr>
          <w:spacing w:val="-3"/>
          <w:sz w:val="21"/>
        </w:rPr>
        <w:t>动</w:t>
      </w:r>
      <w:r>
        <w:rPr>
          <w:sz w:val="21"/>
        </w:rPr>
        <w:t>方</w:t>
      </w:r>
      <w:r>
        <w:rPr>
          <w:spacing w:val="-3"/>
          <w:sz w:val="21"/>
        </w:rPr>
        <w:t>式</w:t>
      </w:r>
      <w:r>
        <w:rPr>
          <w:sz w:val="21"/>
        </w:rPr>
        <w:t>。</w:t>
      </w:r>
      <w:r>
        <w:rPr>
          <w:sz w:val="21"/>
        </w:rPr>
        <w:t xml:space="preserve"> </w:t>
      </w:r>
      <w:r>
        <w:rPr>
          <w:sz w:val="21"/>
        </w:rPr>
        <w:tab/>
      </w:r>
      <w:r>
        <w:rPr>
          <w:sz w:val="21"/>
        </w:rPr>
        <w:t xml:space="preserve"> </w:t>
      </w:r>
    </w:p>
    <w:p w14:paraId="2BFB92E9" w14:textId="77777777" w:rsidR="00A71EEF" w:rsidRDefault="00A71EEF">
      <w:pPr>
        <w:pStyle w:val="a3"/>
        <w:spacing w:before="7"/>
        <w:rPr>
          <w:sz w:val="17"/>
        </w:rPr>
      </w:pPr>
    </w:p>
    <w:p w14:paraId="6D3FCB7C" w14:textId="77777777" w:rsidR="00A71EEF" w:rsidRDefault="0081115D">
      <w:pPr>
        <w:pStyle w:val="a4"/>
        <w:numPr>
          <w:ilvl w:val="2"/>
          <w:numId w:val="399"/>
        </w:numPr>
        <w:tabs>
          <w:tab w:val="left" w:pos="1370"/>
        </w:tabs>
        <w:spacing w:line="446" w:lineRule="auto"/>
        <w:ind w:right="1431" w:firstLine="422"/>
        <w:rPr>
          <w:sz w:val="21"/>
        </w:rPr>
      </w:pPr>
      <w:r>
        <w:rPr>
          <w:spacing w:val="-6"/>
          <w:sz w:val="21"/>
        </w:rPr>
        <w:t>地铁列车上设置的火灾自动报警系统，应能通过无线网络等方式将列车上发生火灾的</w:t>
      </w:r>
      <w:r>
        <w:rPr>
          <w:spacing w:val="-4"/>
          <w:sz w:val="21"/>
        </w:rPr>
        <w:t>部位信息</w:t>
      </w:r>
      <w:r>
        <w:rPr>
          <w:spacing w:val="-4"/>
          <w:sz w:val="21"/>
        </w:rPr>
        <w:t xml:space="preserve"> </w:t>
      </w:r>
      <w:r>
        <w:rPr>
          <w:spacing w:val="-4"/>
          <w:sz w:val="21"/>
        </w:rPr>
        <w:t>传输给消防控制室。</w:t>
      </w:r>
      <w:r>
        <w:rPr>
          <w:sz w:val="21"/>
        </w:rPr>
        <w:t xml:space="preserve"> </w:t>
      </w:r>
    </w:p>
    <w:p w14:paraId="436E41E4" w14:textId="77777777" w:rsidR="00A71EEF" w:rsidRDefault="0081115D">
      <w:pPr>
        <w:pStyle w:val="a4"/>
        <w:numPr>
          <w:ilvl w:val="1"/>
          <w:numId w:val="399"/>
        </w:numPr>
        <w:tabs>
          <w:tab w:val="left" w:pos="1159"/>
        </w:tabs>
        <w:ind w:hanging="319"/>
        <w:rPr>
          <w:sz w:val="21"/>
        </w:rPr>
      </w:pPr>
      <w:r>
        <w:rPr>
          <w:spacing w:val="-3"/>
          <w:sz w:val="21"/>
        </w:rPr>
        <w:t>系统形式的选择和设计要求</w:t>
      </w:r>
      <w:r>
        <w:rPr>
          <w:sz w:val="21"/>
        </w:rPr>
        <w:t xml:space="preserve"> </w:t>
      </w:r>
    </w:p>
    <w:p w14:paraId="77E2ACC1" w14:textId="77777777" w:rsidR="00A71EEF" w:rsidRDefault="00A71EEF">
      <w:pPr>
        <w:rPr>
          <w:sz w:val="21"/>
        </w:rPr>
        <w:sectPr w:rsidR="00A71EEF">
          <w:pgSz w:w="11910" w:h="16850"/>
          <w:pgMar w:top="1220" w:right="0" w:bottom="1420" w:left="1260" w:header="0" w:footer="1239" w:gutter="0"/>
          <w:cols w:space="720"/>
        </w:sectPr>
      </w:pPr>
    </w:p>
    <w:p w14:paraId="4E0A5BA7" w14:textId="77777777" w:rsidR="00A71EEF" w:rsidRDefault="0081115D">
      <w:pPr>
        <w:pStyle w:val="a4"/>
        <w:numPr>
          <w:ilvl w:val="2"/>
          <w:numId w:val="399"/>
        </w:numPr>
        <w:tabs>
          <w:tab w:val="left" w:pos="1370"/>
        </w:tabs>
        <w:spacing w:before="47"/>
        <w:ind w:left="1369" w:hanging="530"/>
        <w:rPr>
          <w:b/>
          <w:sz w:val="21"/>
        </w:rPr>
      </w:pPr>
      <w:r>
        <w:rPr>
          <w:spacing w:val="-3"/>
          <w:sz w:val="21"/>
        </w:rPr>
        <w:t>火灾自动报警系统形式的选择，应符合下列规定：</w:t>
      </w:r>
      <w:r>
        <w:rPr>
          <w:b/>
          <w:w w:val="99"/>
          <w:sz w:val="21"/>
        </w:rPr>
        <w:t xml:space="preserve"> </w:t>
      </w:r>
    </w:p>
    <w:p w14:paraId="7E6AF31A" w14:textId="77777777" w:rsidR="00A71EEF" w:rsidRDefault="00A71EEF">
      <w:pPr>
        <w:pStyle w:val="a3"/>
        <w:rPr>
          <w:b/>
          <w:sz w:val="18"/>
        </w:rPr>
      </w:pPr>
    </w:p>
    <w:p w14:paraId="67FD19B0" w14:textId="77777777" w:rsidR="00A71EEF" w:rsidRDefault="0081115D">
      <w:pPr>
        <w:pStyle w:val="a4"/>
        <w:numPr>
          <w:ilvl w:val="0"/>
          <w:numId w:val="398"/>
        </w:numPr>
        <w:tabs>
          <w:tab w:val="left" w:pos="1367"/>
        </w:tabs>
        <w:rPr>
          <w:sz w:val="21"/>
        </w:rPr>
      </w:pPr>
      <w:r>
        <w:rPr>
          <w:spacing w:val="-3"/>
          <w:sz w:val="21"/>
        </w:rPr>
        <w:t>仅需要报警，不需要联动自动消防设备的保护对象宜采用区域报警系统。</w:t>
      </w:r>
      <w:r>
        <w:rPr>
          <w:spacing w:val="-3"/>
          <w:sz w:val="21"/>
        </w:rPr>
        <w:t xml:space="preserve"> </w:t>
      </w:r>
    </w:p>
    <w:p w14:paraId="73CF6ED8" w14:textId="77777777" w:rsidR="00A71EEF" w:rsidRDefault="00A71EEF">
      <w:pPr>
        <w:pStyle w:val="a3"/>
        <w:rPr>
          <w:sz w:val="18"/>
        </w:rPr>
      </w:pPr>
    </w:p>
    <w:p w14:paraId="77DC429C" w14:textId="77777777" w:rsidR="00A71EEF" w:rsidRDefault="0081115D">
      <w:pPr>
        <w:pStyle w:val="a4"/>
        <w:numPr>
          <w:ilvl w:val="0"/>
          <w:numId w:val="398"/>
        </w:numPr>
        <w:tabs>
          <w:tab w:val="left" w:pos="1367"/>
        </w:tabs>
        <w:spacing w:line="446" w:lineRule="auto"/>
        <w:ind w:left="418" w:right="1431" w:firstLine="419"/>
        <w:rPr>
          <w:sz w:val="21"/>
        </w:rPr>
      </w:pPr>
      <w:r>
        <w:rPr>
          <w:spacing w:val="-11"/>
          <w:sz w:val="21"/>
        </w:rPr>
        <w:t>不仅需要报警，同时需要联动自动消防设备，且只设置一台具有集中控制功能的火灾</w:t>
      </w:r>
      <w:r>
        <w:rPr>
          <w:spacing w:val="-11"/>
          <w:sz w:val="21"/>
        </w:rPr>
        <w:t xml:space="preserve"> </w:t>
      </w:r>
      <w:r>
        <w:rPr>
          <w:spacing w:val="-3"/>
          <w:sz w:val="21"/>
        </w:rPr>
        <w:t>报警控制器和消防联动控制器的保护对象，应采用集中报警系统，</w:t>
      </w:r>
      <w:r>
        <w:rPr>
          <w:spacing w:val="-3"/>
          <w:sz w:val="21"/>
        </w:rPr>
        <w:t xml:space="preserve"> </w:t>
      </w:r>
      <w:r>
        <w:rPr>
          <w:spacing w:val="-3"/>
          <w:sz w:val="21"/>
        </w:rPr>
        <w:t>并应设置一个消防控制室。</w:t>
      </w:r>
      <w:r>
        <w:rPr>
          <w:sz w:val="21"/>
        </w:rPr>
        <w:t xml:space="preserve"> </w:t>
      </w:r>
    </w:p>
    <w:p w14:paraId="57F45B79" w14:textId="77777777" w:rsidR="00A71EEF" w:rsidRDefault="0081115D">
      <w:pPr>
        <w:pStyle w:val="a4"/>
        <w:numPr>
          <w:ilvl w:val="0"/>
          <w:numId w:val="398"/>
        </w:numPr>
        <w:tabs>
          <w:tab w:val="left" w:pos="1370"/>
          <w:tab w:val="left" w:pos="3778"/>
        </w:tabs>
        <w:spacing w:line="446" w:lineRule="auto"/>
        <w:ind w:left="418" w:right="1438" w:firstLine="419"/>
        <w:rPr>
          <w:sz w:val="21"/>
        </w:rPr>
      </w:pPr>
      <w:r>
        <w:rPr>
          <w:sz w:val="21"/>
        </w:rPr>
        <w:t>设置两个及以上消防控制室的保护对象，或已设置两个及以上集中报警系统的保护</w:t>
      </w:r>
      <w:r>
        <w:rPr>
          <w:spacing w:val="-15"/>
          <w:sz w:val="21"/>
        </w:rPr>
        <w:t>对</w:t>
      </w:r>
      <w:r>
        <w:rPr>
          <w:sz w:val="21"/>
        </w:rPr>
        <w:t>象，</w:t>
      </w:r>
      <w:r>
        <w:rPr>
          <w:spacing w:val="-3"/>
          <w:sz w:val="21"/>
        </w:rPr>
        <w:t>应</w:t>
      </w:r>
      <w:r>
        <w:rPr>
          <w:spacing w:val="17"/>
          <w:sz w:val="21"/>
        </w:rPr>
        <w:t xml:space="preserve"> </w:t>
      </w:r>
      <w:r>
        <w:rPr>
          <w:spacing w:val="-3"/>
          <w:sz w:val="21"/>
        </w:rPr>
        <w:t>采</w:t>
      </w:r>
      <w:r>
        <w:rPr>
          <w:sz w:val="21"/>
        </w:rPr>
        <w:t>用</w:t>
      </w:r>
      <w:r>
        <w:rPr>
          <w:spacing w:val="-3"/>
          <w:sz w:val="21"/>
        </w:rPr>
        <w:t>控</w:t>
      </w:r>
      <w:r>
        <w:rPr>
          <w:sz w:val="21"/>
        </w:rPr>
        <w:t>制</w:t>
      </w:r>
      <w:r>
        <w:rPr>
          <w:spacing w:val="-3"/>
          <w:sz w:val="21"/>
        </w:rPr>
        <w:t>中</w:t>
      </w:r>
      <w:r>
        <w:rPr>
          <w:sz w:val="21"/>
        </w:rPr>
        <w:t>心</w:t>
      </w:r>
      <w:r>
        <w:rPr>
          <w:spacing w:val="-3"/>
          <w:sz w:val="21"/>
        </w:rPr>
        <w:t>报警</w:t>
      </w:r>
      <w:r>
        <w:rPr>
          <w:sz w:val="21"/>
        </w:rPr>
        <w:t>系统</w:t>
      </w:r>
      <w:r>
        <w:rPr>
          <w:spacing w:val="-3"/>
          <w:sz w:val="21"/>
        </w:rPr>
        <w:t>。</w:t>
      </w:r>
      <w:r>
        <w:rPr>
          <w:sz w:val="21"/>
        </w:rPr>
        <w:t xml:space="preserve"> </w:t>
      </w:r>
      <w:r>
        <w:rPr>
          <w:sz w:val="21"/>
        </w:rPr>
        <w:tab/>
      </w:r>
      <w:r>
        <w:rPr>
          <w:sz w:val="21"/>
        </w:rPr>
        <w:t xml:space="preserve"> </w:t>
      </w:r>
    </w:p>
    <w:p w14:paraId="54661416" w14:textId="77777777" w:rsidR="00A71EEF" w:rsidRDefault="0081115D">
      <w:pPr>
        <w:pStyle w:val="a4"/>
        <w:numPr>
          <w:ilvl w:val="2"/>
          <w:numId w:val="399"/>
        </w:numPr>
        <w:tabs>
          <w:tab w:val="left" w:pos="1424"/>
        </w:tabs>
        <w:ind w:left="1423" w:hanging="584"/>
        <w:rPr>
          <w:b/>
          <w:sz w:val="21"/>
        </w:rPr>
      </w:pPr>
      <w:r>
        <w:rPr>
          <w:spacing w:val="-3"/>
          <w:sz w:val="21"/>
        </w:rPr>
        <w:t>区域报警系统的设计，应符合下列规定：</w:t>
      </w:r>
      <w:r>
        <w:rPr>
          <w:b/>
          <w:w w:val="99"/>
          <w:sz w:val="21"/>
        </w:rPr>
        <w:t xml:space="preserve"> </w:t>
      </w:r>
    </w:p>
    <w:p w14:paraId="6B1D75BE" w14:textId="77777777" w:rsidR="00A71EEF" w:rsidRDefault="00A71EEF">
      <w:pPr>
        <w:pStyle w:val="a3"/>
        <w:spacing w:before="12"/>
        <w:rPr>
          <w:b/>
          <w:sz w:val="17"/>
        </w:rPr>
      </w:pPr>
    </w:p>
    <w:p w14:paraId="643AED7C" w14:textId="77777777" w:rsidR="00A71EEF" w:rsidRDefault="0081115D">
      <w:pPr>
        <w:pStyle w:val="a4"/>
        <w:numPr>
          <w:ilvl w:val="0"/>
          <w:numId w:val="397"/>
        </w:numPr>
        <w:tabs>
          <w:tab w:val="left" w:pos="1367"/>
        </w:tabs>
        <w:spacing w:line="446" w:lineRule="auto"/>
        <w:ind w:right="1433" w:firstLine="419"/>
        <w:rPr>
          <w:sz w:val="21"/>
        </w:rPr>
      </w:pPr>
      <w:r>
        <w:rPr>
          <w:spacing w:val="-10"/>
          <w:sz w:val="21"/>
        </w:rPr>
        <w:t>系统应由火灾探测器、手动火灾报警按钮、火灾声光警报器及火灾报警控制器等组成</w:t>
      </w:r>
      <w:r>
        <w:rPr>
          <w:spacing w:val="-10"/>
          <w:sz w:val="21"/>
        </w:rPr>
        <w:t xml:space="preserve"> </w:t>
      </w:r>
      <w:r>
        <w:rPr>
          <w:spacing w:val="-3"/>
          <w:sz w:val="21"/>
        </w:rPr>
        <w:t>，系统</w:t>
      </w:r>
      <w:r>
        <w:rPr>
          <w:spacing w:val="-3"/>
          <w:sz w:val="21"/>
        </w:rPr>
        <w:t xml:space="preserve"> </w:t>
      </w:r>
      <w:r>
        <w:rPr>
          <w:spacing w:val="-3"/>
          <w:sz w:val="21"/>
        </w:rPr>
        <w:t>中可包括消防控制室图形显示装置和指示楼层的区域显示器。</w:t>
      </w:r>
      <w:r>
        <w:rPr>
          <w:sz w:val="21"/>
        </w:rPr>
        <w:t xml:space="preserve"> </w:t>
      </w:r>
    </w:p>
    <w:p w14:paraId="43B5AACD" w14:textId="77777777" w:rsidR="00A71EEF" w:rsidRDefault="0081115D">
      <w:pPr>
        <w:pStyle w:val="a4"/>
        <w:numPr>
          <w:ilvl w:val="0"/>
          <w:numId w:val="397"/>
        </w:numPr>
        <w:tabs>
          <w:tab w:val="left" w:pos="1367"/>
        </w:tabs>
        <w:ind w:left="1367"/>
        <w:rPr>
          <w:sz w:val="21"/>
        </w:rPr>
      </w:pPr>
      <w:r>
        <w:rPr>
          <w:spacing w:val="-3"/>
          <w:sz w:val="21"/>
        </w:rPr>
        <w:t>火灾报警控制器应设置在有人值班的场所。</w:t>
      </w:r>
      <w:r>
        <w:rPr>
          <w:sz w:val="21"/>
        </w:rPr>
        <w:t xml:space="preserve"> </w:t>
      </w:r>
    </w:p>
    <w:p w14:paraId="2B6664DF" w14:textId="77777777" w:rsidR="00A71EEF" w:rsidRDefault="00A71EEF">
      <w:pPr>
        <w:pStyle w:val="a3"/>
        <w:rPr>
          <w:sz w:val="18"/>
        </w:rPr>
      </w:pPr>
    </w:p>
    <w:p w14:paraId="12389628" w14:textId="77777777" w:rsidR="00A71EEF" w:rsidRDefault="0081115D">
      <w:pPr>
        <w:pStyle w:val="a4"/>
        <w:numPr>
          <w:ilvl w:val="0"/>
          <w:numId w:val="397"/>
        </w:numPr>
        <w:tabs>
          <w:tab w:val="left" w:pos="1367"/>
        </w:tabs>
        <w:spacing w:line="446" w:lineRule="auto"/>
        <w:ind w:right="1431" w:firstLine="419"/>
        <w:rPr>
          <w:sz w:val="21"/>
        </w:rPr>
      </w:pPr>
      <w:r>
        <w:rPr>
          <w:spacing w:val="-3"/>
          <w:sz w:val="21"/>
        </w:rPr>
        <w:t>系统设置消防控制室图形显示装置时，该装置应具有传输本规范附录</w:t>
      </w:r>
      <w:r>
        <w:rPr>
          <w:spacing w:val="-3"/>
          <w:sz w:val="21"/>
        </w:rPr>
        <w:t xml:space="preserve"> </w:t>
      </w:r>
      <w:r>
        <w:rPr>
          <w:sz w:val="21"/>
        </w:rPr>
        <w:t>A</w:t>
      </w:r>
      <w:r>
        <w:rPr>
          <w:spacing w:val="10"/>
          <w:sz w:val="21"/>
        </w:rPr>
        <w:t xml:space="preserve"> </w:t>
      </w:r>
      <w:r>
        <w:rPr>
          <w:spacing w:val="10"/>
          <w:sz w:val="21"/>
        </w:rPr>
        <w:t>和附录</w:t>
      </w:r>
      <w:r>
        <w:rPr>
          <w:spacing w:val="10"/>
          <w:sz w:val="21"/>
        </w:rPr>
        <w:t xml:space="preserve"> </w:t>
      </w:r>
      <w:r>
        <w:rPr>
          <w:spacing w:val="-3"/>
          <w:sz w:val="21"/>
        </w:rPr>
        <w:t>B</w:t>
      </w:r>
      <w:r>
        <w:rPr>
          <w:spacing w:val="15"/>
          <w:sz w:val="21"/>
        </w:rPr>
        <w:t xml:space="preserve"> </w:t>
      </w:r>
      <w:r>
        <w:rPr>
          <w:spacing w:val="15"/>
          <w:sz w:val="21"/>
        </w:rPr>
        <w:t>规定的有</w:t>
      </w:r>
      <w:r>
        <w:rPr>
          <w:spacing w:val="15"/>
          <w:sz w:val="21"/>
        </w:rPr>
        <w:t xml:space="preserve"> </w:t>
      </w:r>
      <w:r>
        <w:rPr>
          <w:spacing w:val="15"/>
          <w:sz w:val="21"/>
        </w:rPr>
        <w:t>关信息的功能；系统未设置消防控制室图形显示装置时，应设置火警传输设备。</w:t>
      </w:r>
    </w:p>
    <w:p w14:paraId="1FE53986" w14:textId="77777777" w:rsidR="00A71EEF" w:rsidRDefault="0081115D">
      <w:pPr>
        <w:tabs>
          <w:tab w:val="left" w:pos="837"/>
        </w:tabs>
        <w:ind w:left="418"/>
        <w:rPr>
          <w:sz w:val="21"/>
        </w:rPr>
      </w:pPr>
      <w:r>
        <w:rPr>
          <w:b/>
          <w:w w:val="99"/>
          <w:sz w:val="21"/>
        </w:rPr>
        <w:t xml:space="preserve"> </w:t>
      </w:r>
      <w:r>
        <w:rPr>
          <w:b/>
          <w:sz w:val="21"/>
        </w:rPr>
        <w:tab/>
        <w:t>3.2.3</w:t>
      </w:r>
      <w:r>
        <w:rPr>
          <w:b/>
          <w:spacing w:val="2"/>
          <w:sz w:val="21"/>
        </w:rPr>
        <w:t xml:space="preserve"> </w:t>
      </w:r>
      <w:r>
        <w:rPr>
          <w:spacing w:val="-3"/>
          <w:sz w:val="21"/>
        </w:rPr>
        <w:t>集中报警系统的设计，应符合下列规定：</w:t>
      </w:r>
      <w:r>
        <w:rPr>
          <w:sz w:val="21"/>
        </w:rPr>
        <w:t xml:space="preserve"> </w:t>
      </w:r>
    </w:p>
    <w:p w14:paraId="37DC9DFA" w14:textId="77777777" w:rsidR="00A71EEF" w:rsidRDefault="00A71EEF">
      <w:pPr>
        <w:pStyle w:val="a3"/>
        <w:spacing w:before="12"/>
        <w:rPr>
          <w:sz w:val="17"/>
        </w:rPr>
      </w:pPr>
    </w:p>
    <w:p w14:paraId="25A5408F" w14:textId="77777777" w:rsidR="00A71EEF" w:rsidRDefault="0081115D">
      <w:pPr>
        <w:pStyle w:val="a4"/>
        <w:numPr>
          <w:ilvl w:val="0"/>
          <w:numId w:val="396"/>
        </w:numPr>
        <w:tabs>
          <w:tab w:val="left" w:pos="1365"/>
        </w:tabs>
        <w:spacing w:line="446" w:lineRule="auto"/>
        <w:ind w:right="1433" w:firstLine="419"/>
        <w:rPr>
          <w:sz w:val="21"/>
        </w:rPr>
      </w:pPr>
      <w:r>
        <w:rPr>
          <w:spacing w:val="-10"/>
          <w:sz w:val="21"/>
        </w:rPr>
        <w:t>系统应由火灾探测器、手动火灾报警按钮、火灾声光警报器、消防应急广播、消防专</w:t>
      </w:r>
      <w:r>
        <w:rPr>
          <w:spacing w:val="-10"/>
          <w:sz w:val="21"/>
        </w:rPr>
        <w:t xml:space="preserve"> </w:t>
      </w:r>
      <w:r>
        <w:rPr>
          <w:spacing w:val="-3"/>
          <w:sz w:val="21"/>
        </w:rPr>
        <w:t>用电话、</w:t>
      </w:r>
      <w:r>
        <w:rPr>
          <w:spacing w:val="-3"/>
          <w:sz w:val="21"/>
        </w:rPr>
        <w:t xml:space="preserve"> </w:t>
      </w:r>
      <w:r>
        <w:rPr>
          <w:spacing w:val="-3"/>
          <w:sz w:val="21"/>
        </w:rPr>
        <w:t>消防控制室图形显示装置、火灾报警控制器、消防联动控制器等组成。</w:t>
      </w:r>
      <w:r>
        <w:rPr>
          <w:spacing w:val="-3"/>
          <w:sz w:val="21"/>
        </w:rPr>
        <w:t xml:space="preserve"> </w:t>
      </w:r>
    </w:p>
    <w:p w14:paraId="4FAA8564" w14:textId="77777777" w:rsidR="00A71EEF" w:rsidRDefault="0081115D">
      <w:pPr>
        <w:pStyle w:val="a4"/>
        <w:numPr>
          <w:ilvl w:val="0"/>
          <w:numId w:val="396"/>
        </w:numPr>
        <w:tabs>
          <w:tab w:val="left" w:pos="1367"/>
        </w:tabs>
        <w:spacing w:line="446" w:lineRule="auto"/>
        <w:ind w:right="1431" w:firstLine="419"/>
        <w:rPr>
          <w:sz w:val="21"/>
        </w:rPr>
      </w:pPr>
      <w:r>
        <w:rPr>
          <w:spacing w:val="-9"/>
          <w:sz w:val="21"/>
        </w:rPr>
        <w:t>系统中的火灾报警控制器、消防联动控制器和消防控制室图形显示装置、消防应急广</w:t>
      </w:r>
      <w:r>
        <w:rPr>
          <w:spacing w:val="-9"/>
          <w:sz w:val="21"/>
        </w:rPr>
        <w:t xml:space="preserve"> </w:t>
      </w:r>
      <w:r>
        <w:rPr>
          <w:spacing w:val="-4"/>
          <w:sz w:val="21"/>
        </w:rPr>
        <w:t>播的控</w:t>
      </w:r>
      <w:r>
        <w:rPr>
          <w:spacing w:val="-4"/>
          <w:sz w:val="21"/>
        </w:rPr>
        <w:t xml:space="preserve"> </w:t>
      </w:r>
      <w:r>
        <w:rPr>
          <w:spacing w:val="-4"/>
          <w:sz w:val="21"/>
        </w:rPr>
        <w:t>制装置、消防专用电话总机等起集中控制作用的消防设备，应设置在消防控制室内。</w:t>
      </w:r>
      <w:r>
        <w:rPr>
          <w:sz w:val="21"/>
        </w:rPr>
        <w:t xml:space="preserve"> </w:t>
      </w:r>
    </w:p>
    <w:p w14:paraId="5BCC2631" w14:textId="77777777" w:rsidR="00A71EEF" w:rsidRDefault="0081115D">
      <w:pPr>
        <w:pStyle w:val="a4"/>
        <w:numPr>
          <w:ilvl w:val="0"/>
          <w:numId w:val="396"/>
        </w:numPr>
        <w:tabs>
          <w:tab w:val="left" w:pos="1367"/>
        </w:tabs>
        <w:spacing w:line="446" w:lineRule="auto"/>
        <w:ind w:right="1433" w:firstLine="419"/>
        <w:rPr>
          <w:sz w:val="21"/>
        </w:rPr>
      </w:pPr>
      <w:r>
        <w:rPr>
          <w:spacing w:val="-4"/>
          <w:sz w:val="21"/>
        </w:rPr>
        <w:t>系统设置的消防控制室图形显示装置应具有传输本规范附录</w:t>
      </w:r>
      <w:r>
        <w:rPr>
          <w:spacing w:val="-4"/>
          <w:sz w:val="21"/>
        </w:rPr>
        <w:t xml:space="preserve"> </w:t>
      </w:r>
      <w:r>
        <w:rPr>
          <w:sz w:val="21"/>
        </w:rPr>
        <w:t>A</w:t>
      </w:r>
      <w:r>
        <w:rPr>
          <w:spacing w:val="-12"/>
          <w:sz w:val="21"/>
        </w:rPr>
        <w:t xml:space="preserve"> </w:t>
      </w:r>
      <w:r>
        <w:rPr>
          <w:spacing w:val="-12"/>
          <w:sz w:val="21"/>
        </w:rPr>
        <w:t>和附录</w:t>
      </w:r>
      <w:r>
        <w:rPr>
          <w:spacing w:val="-12"/>
          <w:sz w:val="21"/>
        </w:rPr>
        <w:t xml:space="preserve"> </w:t>
      </w:r>
      <w:r>
        <w:rPr>
          <w:sz w:val="21"/>
        </w:rPr>
        <w:t>B</w:t>
      </w:r>
      <w:r>
        <w:rPr>
          <w:spacing w:val="-6"/>
          <w:sz w:val="21"/>
        </w:rPr>
        <w:t xml:space="preserve"> </w:t>
      </w:r>
      <w:r>
        <w:rPr>
          <w:spacing w:val="-6"/>
          <w:sz w:val="21"/>
        </w:rPr>
        <w:t>规定的有关信</w:t>
      </w:r>
      <w:r>
        <w:rPr>
          <w:spacing w:val="-4"/>
          <w:sz w:val="21"/>
        </w:rPr>
        <w:t>息的功能。</w:t>
      </w:r>
      <w:r>
        <w:rPr>
          <w:sz w:val="21"/>
        </w:rPr>
        <w:t xml:space="preserve"> </w:t>
      </w:r>
      <w:r>
        <w:rPr>
          <w:spacing w:val="-2"/>
          <w:sz w:val="21"/>
        </w:rPr>
        <w:t xml:space="preserve"> </w:t>
      </w:r>
      <w:r>
        <w:rPr>
          <w:sz w:val="21"/>
        </w:rPr>
        <w:t xml:space="preserve"> </w:t>
      </w:r>
    </w:p>
    <w:p w14:paraId="41E20FF9" w14:textId="77777777" w:rsidR="00A71EEF" w:rsidRDefault="0081115D">
      <w:pPr>
        <w:ind w:left="840"/>
        <w:rPr>
          <w:sz w:val="21"/>
        </w:rPr>
      </w:pPr>
      <w:r>
        <w:rPr>
          <w:b/>
          <w:sz w:val="21"/>
        </w:rPr>
        <w:t xml:space="preserve">3.2.4 </w:t>
      </w:r>
      <w:r>
        <w:rPr>
          <w:sz w:val="21"/>
        </w:rPr>
        <w:t>控制中心报警系统的设计，应符合下列规定：</w:t>
      </w:r>
      <w:r>
        <w:rPr>
          <w:sz w:val="21"/>
        </w:rPr>
        <w:t xml:space="preserve"> </w:t>
      </w:r>
    </w:p>
    <w:p w14:paraId="188BAC0F" w14:textId="77777777" w:rsidR="00A71EEF" w:rsidRDefault="00A71EEF">
      <w:pPr>
        <w:pStyle w:val="a3"/>
        <w:spacing w:before="10"/>
        <w:rPr>
          <w:sz w:val="17"/>
        </w:rPr>
      </w:pPr>
    </w:p>
    <w:p w14:paraId="415484CE" w14:textId="77777777" w:rsidR="00A71EEF" w:rsidRDefault="0081115D">
      <w:pPr>
        <w:pStyle w:val="a4"/>
        <w:numPr>
          <w:ilvl w:val="0"/>
          <w:numId w:val="395"/>
        </w:numPr>
        <w:tabs>
          <w:tab w:val="left" w:pos="1367"/>
        </w:tabs>
        <w:spacing w:before="1"/>
        <w:rPr>
          <w:sz w:val="21"/>
        </w:rPr>
      </w:pPr>
      <w:r>
        <w:rPr>
          <w:spacing w:val="-3"/>
          <w:sz w:val="21"/>
        </w:rPr>
        <w:t>有两个及以上消防控制室时，应确定一个主消</w:t>
      </w:r>
      <w:r>
        <w:rPr>
          <w:spacing w:val="-3"/>
          <w:sz w:val="21"/>
        </w:rPr>
        <w:t>防控制室。</w:t>
      </w:r>
      <w:r>
        <w:rPr>
          <w:sz w:val="21"/>
        </w:rPr>
        <w:t xml:space="preserve"> </w:t>
      </w:r>
    </w:p>
    <w:p w14:paraId="6277A601" w14:textId="77777777" w:rsidR="00A71EEF" w:rsidRDefault="00A71EEF">
      <w:pPr>
        <w:pStyle w:val="a3"/>
        <w:spacing w:before="1"/>
        <w:rPr>
          <w:sz w:val="18"/>
        </w:rPr>
      </w:pPr>
    </w:p>
    <w:p w14:paraId="23286608" w14:textId="77777777" w:rsidR="00A71EEF" w:rsidRDefault="0081115D">
      <w:pPr>
        <w:pStyle w:val="a4"/>
        <w:numPr>
          <w:ilvl w:val="0"/>
          <w:numId w:val="395"/>
        </w:numPr>
        <w:tabs>
          <w:tab w:val="left" w:pos="1370"/>
        </w:tabs>
        <w:spacing w:before="1" w:line="446" w:lineRule="auto"/>
        <w:ind w:left="418" w:right="1438" w:firstLine="419"/>
        <w:rPr>
          <w:sz w:val="21"/>
        </w:rPr>
      </w:pPr>
      <w:r>
        <w:rPr>
          <w:spacing w:val="-1"/>
          <w:sz w:val="21"/>
        </w:rPr>
        <w:t>主消防控制室应能显示所有火灾报警信号和联动控制状态信号，并应能控制重要的消</w:t>
      </w:r>
      <w:r>
        <w:rPr>
          <w:spacing w:val="-3"/>
          <w:sz w:val="21"/>
        </w:rPr>
        <w:t>防设备；各分消防控制室内消防设备之间可互相传输、显示状态信息，但不应互相控制。</w:t>
      </w:r>
      <w:r>
        <w:rPr>
          <w:sz w:val="21"/>
        </w:rPr>
        <w:t xml:space="preserve"> </w:t>
      </w:r>
    </w:p>
    <w:p w14:paraId="5FDF096F" w14:textId="77777777" w:rsidR="00A71EEF" w:rsidRDefault="0081115D">
      <w:pPr>
        <w:pStyle w:val="a4"/>
        <w:numPr>
          <w:ilvl w:val="0"/>
          <w:numId w:val="395"/>
        </w:numPr>
        <w:tabs>
          <w:tab w:val="left" w:pos="1367"/>
        </w:tabs>
        <w:spacing w:line="446" w:lineRule="auto"/>
        <w:ind w:left="418" w:right="1433" w:firstLine="419"/>
        <w:rPr>
          <w:sz w:val="21"/>
        </w:rPr>
      </w:pPr>
      <w:r>
        <w:rPr>
          <w:spacing w:val="-3"/>
          <w:sz w:val="21"/>
        </w:rPr>
        <w:t>系统设置的消防控制室图形显示装置应具有传输本规范附录</w:t>
      </w:r>
      <w:r>
        <w:rPr>
          <w:spacing w:val="-3"/>
          <w:sz w:val="21"/>
        </w:rPr>
        <w:t xml:space="preserve"> A</w:t>
      </w:r>
      <w:r>
        <w:rPr>
          <w:sz w:val="21"/>
        </w:rPr>
        <w:t xml:space="preserve"> </w:t>
      </w:r>
      <w:r>
        <w:rPr>
          <w:sz w:val="21"/>
        </w:rPr>
        <w:t>和附录</w:t>
      </w:r>
      <w:r>
        <w:rPr>
          <w:sz w:val="21"/>
        </w:rPr>
        <w:t xml:space="preserve"> </w:t>
      </w:r>
      <w:r>
        <w:rPr>
          <w:spacing w:val="-3"/>
          <w:sz w:val="21"/>
        </w:rPr>
        <w:t>B</w:t>
      </w:r>
      <w:r>
        <w:rPr>
          <w:sz w:val="21"/>
        </w:rPr>
        <w:t xml:space="preserve">  </w:t>
      </w:r>
      <w:r>
        <w:rPr>
          <w:sz w:val="21"/>
        </w:rPr>
        <w:t>规定的有</w:t>
      </w:r>
      <w:r>
        <w:rPr>
          <w:spacing w:val="-3"/>
          <w:sz w:val="21"/>
        </w:rPr>
        <w:t>关信息的功能。</w:t>
      </w:r>
      <w:r>
        <w:rPr>
          <w:sz w:val="21"/>
        </w:rPr>
        <w:t xml:space="preserve"> </w:t>
      </w:r>
    </w:p>
    <w:p w14:paraId="0A79E0F0" w14:textId="77777777" w:rsidR="00A71EEF" w:rsidRDefault="0081115D">
      <w:pPr>
        <w:pStyle w:val="a4"/>
        <w:numPr>
          <w:ilvl w:val="0"/>
          <w:numId w:val="395"/>
        </w:numPr>
        <w:tabs>
          <w:tab w:val="left" w:pos="1367"/>
          <w:tab w:val="left" w:pos="5878"/>
        </w:tabs>
        <w:spacing w:line="446" w:lineRule="auto"/>
        <w:ind w:left="840" w:right="4659" w:hanging="3"/>
        <w:rPr>
          <w:sz w:val="21"/>
        </w:rPr>
      </w:pPr>
      <w:r>
        <w:rPr>
          <w:sz w:val="21"/>
        </w:rPr>
        <w:t>其</w:t>
      </w:r>
      <w:r>
        <w:rPr>
          <w:spacing w:val="-3"/>
          <w:sz w:val="21"/>
        </w:rPr>
        <w:t>他</w:t>
      </w:r>
      <w:r>
        <w:rPr>
          <w:sz w:val="21"/>
        </w:rPr>
        <w:t>设</w:t>
      </w:r>
      <w:r>
        <w:rPr>
          <w:spacing w:val="-3"/>
          <w:sz w:val="21"/>
        </w:rPr>
        <w:t>计</w:t>
      </w:r>
      <w:r>
        <w:rPr>
          <w:sz w:val="21"/>
        </w:rPr>
        <w:t>应</w:t>
      </w:r>
      <w:r>
        <w:rPr>
          <w:spacing w:val="-3"/>
          <w:sz w:val="21"/>
        </w:rPr>
        <w:t>符</w:t>
      </w:r>
      <w:r>
        <w:rPr>
          <w:sz w:val="21"/>
        </w:rPr>
        <w:t>合</w:t>
      </w:r>
      <w:r>
        <w:rPr>
          <w:spacing w:val="-3"/>
          <w:sz w:val="21"/>
        </w:rPr>
        <w:t>本规</w:t>
      </w:r>
      <w:r>
        <w:rPr>
          <w:sz w:val="21"/>
        </w:rPr>
        <w:t>范第</w:t>
      </w:r>
      <w:r>
        <w:rPr>
          <w:spacing w:val="6"/>
          <w:sz w:val="21"/>
        </w:rPr>
        <w:t xml:space="preserve"> </w:t>
      </w:r>
      <w:r>
        <w:rPr>
          <w:sz w:val="21"/>
        </w:rPr>
        <w:t xml:space="preserve">3.2.3 </w:t>
      </w:r>
      <w:r>
        <w:rPr>
          <w:spacing w:val="10"/>
          <w:sz w:val="21"/>
        </w:rPr>
        <w:t xml:space="preserve"> </w:t>
      </w:r>
      <w:r>
        <w:rPr>
          <w:spacing w:val="-3"/>
          <w:sz w:val="21"/>
        </w:rPr>
        <w:t>条</w:t>
      </w:r>
      <w:r>
        <w:rPr>
          <w:sz w:val="21"/>
        </w:rPr>
        <w:t>的</w:t>
      </w:r>
      <w:r>
        <w:rPr>
          <w:spacing w:val="-3"/>
          <w:sz w:val="21"/>
        </w:rPr>
        <w:t>规</w:t>
      </w:r>
      <w:r>
        <w:rPr>
          <w:sz w:val="21"/>
        </w:rPr>
        <w:t>定</w:t>
      </w:r>
      <w:r>
        <w:rPr>
          <w:spacing w:val="-3"/>
          <w:sz w:val="21"/>
        </w:rPr>
        <w:t>。</w:t>
      </w:r>
      <w:r>
        <w:rPr>
          <w:sz w:val="21"/>
        </w:rPr>
        <w:t xml:space="preserve"> </w:t>
      </w:r>
      <w:r>
        <w:rPr>
          <w:sz w:val="21"/>
        </w:rPr>
        <w:tab/>
      </w:r>
      <w:r>
        <w:rPr>
          <w:sz w:val="21"/>
        </w:rPr>
        <w:t xml:space="preserve"> </w:t>
      </w:r>
      <w:r>
        <w:rPr>
          <w:b/>
          <w:sz w:val="21"/>
        </w:rPr>
        <w:t>3.3</w:t>
      </w:r>
      <w:r>
        <w:rPr>
          <w:b/>
          <w:spacing w:val="2"/>
          <w:sz w:val="21"/>
        </w:rPr>
        <w:t xml:space="preserve"> </w:t>
      </w:r>
      <w:r>
        <w:rPr>
          <w:spacing w:val="-3"/>
          <w:sz w:val="21"/>
        </w:rPr>
        <w:t>报</w:t>
      </w:r>
      <w:r>
        <w:rPr>
          <w:sz w:val="21"/>
        </w:rPr>
        <w:t>警</w:t>
      </w:r>
      <w:r>
        <w:rPr>
          <w:spacing w:val="-3"/>
          <w:sz w:val="21"/>
        </w:rPr>
        <w:t>区</w:t>
      </w:r>
      <w:r>
        <w:rPr>
          <w:sz w:val="21"/>
        </w:rPr>
        <w:t>域</w:t>
      </w:r>
      <w:r>
        <w:rPr>
          <w:spacing w:val="-3"/>
          <w:sz w:val="21"/>
        </w:rPr>
        <w:t>和</w:t>
      </w:r>
      <w:r>
        <w:rPr>
          <w:sz w:val="21"/>
        </w:rPr>
        <w:t>探</w:t>
      </w:r>
      <w:r>
        <w:rPr>
          <w:spacing w:val="-3"/>
          <w:sz w:val="21"/>
        </w:rPr>
        <w:t>测</w:t>
      </w:r>
      <w:r>
        <w:rPr>
          <w:sz w:val="21"/>
        </w:rPr>
        <w:t>区</w:t>
      </w:r>
      <w:r>
        <w:rPr>
          <w:spacing w:val="-3"/>
          <w:sz w:val="21"/>
        </w:rPr>
        <w:t>域</w:t>
      </w:r>
      <w:r>
        <w:rPr>
          <w:sz w:val="21"/>
        </w:rPr>
        <w:t>的划</w:t>
      </w:r>
      <w:r>
        <w:rPr>
          <w:spacing w:val="-3"/>
          <w:sz w:val="21"/>
        </w:rPr>
        <w:t>分</w:t>
      </w:r>
      <w:r>
        <w:rPr>
          <w:sz w:val="21"/>
        </w:rPr>
        <w:t xml:space="preserve"> </w:t>
      </w:r>
    </w:p>
    <w:p w14:paraId="00B7031A" w14:textId="77777777" w:rsidR="00A71EEF" w:rsidRDefault="0081115D">
      <w:pPr>
        <w:ind w:left="840"/>
        <w:rPr>
          <w:b/>
          <w:sz w:val="21"/>
        </w:rPr>
      </w:pPr>
      <w:r>
        <w:rPr>
          <w:b/>
          <w:sz w:val="21"/>
        </w:rPr>
        <w:t xml:space="preserve">3.3.1 </w:t>
      </w:r>
      <w:r>
        <w:rPr>
          <w:sz w:val="21"/>
        </w:rPr>
        <w:t>报警区域的划分应符合下列规定：</w:t>
      </w:r>
      <w:r>
        <w:rPr>
          <w:b/>
          <w:w w:val="99"/>
          <w:sz w:val="21"/>
        </w:rPr>
        <w:t xml:space="preserve"> </w:t>
      </w:r>
    </w:p>
    <w:p w14:paraId="07FE9A7F" w14:textId="77777777" w:rsidR="00A71EEF" w:rsidRDefault="00A71EEF">
      <w:pPr>
        <w:rPr>
          <w:sz w:val="21"/>
        </w:rPr>
        <w:sectPr w:rsidR="00A71EEF">
          <w:pgSz w:w="11910" w:h="16850"/>
          <w:pgMar w:top="1220" w:right="0" w:bottom="1420" w:left="1260" w:header="0" w:footer="1239" w:gutter="0"/>
          <w:cols w:space="720"/>
        </w:sectPr>
      </w:pPr>
    </w:p>
    <w:p w14:paraId="4D79A765" w14:textId="77777777" w:rsidR="00A71EEF" w:rsidRDefault="0081115D">
      <w:pPr>
        <w:pStyle w:val="a4"/>
        <w:numPr>
          <w:ilvl w:val="0"/>
          <w:numId w:val="394"/>
        </w:numPr>
        <w:tabs>
          <w:tab w:val="left" w:pos="1370"/>
        </w:tabs>
        <w:spacing w:before="47" w:line="446" w:lineRule="auto"/>
        <w:ind w:right="1437" w:firstLine="419"/>
        <w:jc w:val="both"/>
        <w:rPr>
          <w:sz w:val="21"/>
        </w:rPr>
      </w:pPr>
      <w:r>
        <w:rPr>
          <w:spacing w:val="-1"/>
          <w:sz w:val="21"/>
        </w:rPr>
        <w:t>报警区域应根据防火分区或楼层划分；可将一个防火分区或一个楼层划分为一个报警区域，</w:t>
      </w:r>
      <w:r>
        <w:rPr>
          <w:spacing w:val="-1"/>
          <w:sz w:val="21"/>
        </w:rPr>
        <w:t xml:space="preserve"> </w:t>
      </w:r>
      <w:r>
        <w:rPr>
          <w:spacing w:val="-1"/>
          <w:sz w:val="21"/>
        </w:rPr>
        <w:t>也可将发生火灾时需要同时联动消防设备的相邻几个防火分区或楼层划分为一个报警区</w:t>
      </w:r>
      <w:r>
        <w:rPr>
          <w:spacing w:val="-2"/>
          <w:sz w:val="21"/>
        </w:rPr>
        <w:t>域。</w:t>
      </w:r>
      <w:r>
        <w:rPr>
          <w:sz w:val="21"/>
        </w:rPr>
        <w:t xml:space="preserve"> </w:t>
      </w:r>
    </w:p>
    <w:p w14:paraId="4F17A7F1" w14:textId="77777777" w:rsidR="00A71EEF" w:rsidRDefault="0081115D">
      <w:pPr>
        <w:pStyle w:val="a4"/>
        <w:numPr>
          <w:ilvl w:val="0"/>
          <w:numId w:val="394"/>
        </w:numPr>
        <w:tabs>
          <w:tab w:val="left" w:pos="1370"/>
        </w:tabs>
        <w:spacing w:line="446" w:lineRule="auto"/>
        <w:ind w:right="1330" w:firstLine="419"/>
        <w:rPr>
          <w:sz w:val="21"/>
        </w:rPr>
      </w:pPr>
      <w:r>
        <w:rPr>
          <w:sz w:val="21"/>
        </w:rPr>
        <w:t>电缆隧道的一个报警区域宜由一个封闭长度区间组成，一个报警区域不应超过相连的</w:t>
      </w:r>
      <w:r>
        <w:rPr>
          <w:sz w:val="21"/>
        </w:rPr>
        <w:t xml:space="preserve"> 3</w:t>
      </w:r>
      <w:r>
        <w:rPr>
          <w:spacing w:val="-4"/>
          <w:sz w:val="21"/>
        </w:rPr>
        <w:t xml:space="preserve"> </w:t>
      </w:r>
      <w:r>
        <w:rPr>
          <w:spacing w:val="-4"/>
          <w:sz w:val="21"/>
        </w:rPr>
        <w:t>个封闭长度区间；道路隧道的报警区域应根据排烟系统或灭火系统的联动需要确定，且不宜超过</w:t>
      </w:r>
      <w:r>
        <w:rPr>
          <w:spacing w:val="-4"/>
          <w:sz w:val="21"/>
        </w:rPr>
        <w:t xml:space="preserve"> 150m </w:t>
      </w:r>
      <w:r>
        <w:rPr>
          <w:spacing w:val="-4"/>
          <w:sz w:val="21"/>
        </w:rPr>
        <w:t>。</w:t>
      </w:r>
      <w:r>
        <w:rPr>
          <w:sz w:val="21"/>
        </w:rPr>
        <w:t xml:space="preserve"> </w:t>
      </w:r>
    </w:p>
    <w:p w14:paraId="5992AD67" w14:textId="77777777" w:rsidR="00A71EEF" w:rsidRDefault="0081115D">
      <w:pPr>
        <w:pStyle w:val="a4"/>
        <w:numPr>
          <w:ilvl w:val="0"/>
          <w:numId w:val="394"/>
        </w:numPr>
        <w:tabs>
          <w:tab w:val="left" w:pos="1367"/>
        </w:tabs>
        <w:spacing w:line="446" w:lineRule="auto"/>
        <w:ind w:right="1431" w:firstLine="419"/>
        <w:rPr>
          <w:sz w:val="21"/>
        </w:rPr>
      </w:pPr>
      <w:r>
        <w:rPr>
          <w:spacing w:val="-2"/>
          <w:sz w:val="21"/>
        </w:rPr>
        <w:t>甲、乙、丙类液体储罐区的报警区域应由一个储罐区组成，每个</w:t>
      </w:r>
      <w:r>
        <w:rPr>
          <w:spacing w:val="-2"/>
          <w:sz w:val="21"/>
        </w:rPr>
        <w:t xml:space="preserve"> </w:t>
      </w:r>
      <w:r>
        <w:rPr>
          <w:sz w:val="21"/>
        </w:rPr>
        <w:t>50000m³</w:t>
      </w:r>
      <w:r>
        <w:rPr>
          <w:spacing w:val="13"/>
          <w:sz w:val="21"/>
        </w:rPr>
        <w:t xml:space="preserve"> </w:t>
      </w:r>
      <w:r>
        <w:rPr>
          <w:spacing w:val="13"/>
          <w:sz w:val="21"/>
        </w:rPr>
        <w:t>及以上的</w:t>
      </w:r>
      <w:r>
        <w:rPr>
          <w:spacing w:val="-3"/>
          <w:sz w:val="21"/>
        </w:rPr>
        <w:t>外浮顶</w:t>
      </w:r>
      <w:r>
        <w:rPr>
          <w:spacing w:val="-3"/>
          <w:sz w:val="21"/>
        </w:rPr>
        <w:t xml:space="preserve"> </w:t>
      </w:r>
      <w:r>
        <w:rPr>
          <w:spacing w:val="-3"/>
          <w:sz w:val="21"/>
        </w:rPr>
        <w:t>储罐应单独划分为一个报警区域。</w:t>
      </w:r>
      <w:r>
        <w:rPr>
          <w:sz w:val="21"/>
        </w:rPr>
        <w:t xml:space="preserve"> </w:t>
      </w:r>
    </w:p>
    <w:p w14:paraId="6B1334FD" w14:textId="77777777" w:rsidR="00A71EEF" w:rsidRDefault="0081115D">
      <w:pPr>
        <w:pStyle w:val="a4"/>
        <w:numPr>
          <w:ilvl w:val="0"/>
          <w:numId w:val="394"/>
        </w:numPr>
        <w:tabs>
          <w:tab w:val="left" w:pos="1367"/>
        </w:tabs>
        <w:spacing w:line="446" w:lineRule="auto"/>
        <w:ind w:left="840" w:right="2979" w:hanging="3"/>
        <w:rPr>
          <w:b/>
          <w:sz w:val="21"/>
        </w:rPr>
      </w:pPr>
      <w:r>
        <w:rPr>
          <w:spacing w:val="-3"/>
          <w:sz w:val="21"/>
        </w:rPr>
        <w:t>列车的报警区域应按车厢划分，每节车厢应划</w:t>
      </w:r>
      <w:r>
        <w:rPr>
          <w:spacing w:val="-3"/>
          <w:sz w:val="21"/>
        </w:rPr>
        <w:t>分为一个报警区域。</w:t>
      </w:r>
      <w:r>
        <w:rPr>
          <w:b/>
          <w:sz w:val="21"/>
        </w:rPr>
        <w:t xml:space="preserve">3.3.2 </w:t>
      </w:r>
      <w:r>
        <w:rPr>
          <w:spacing w:val="-3"/>
          <w:sz w:val="21"/>
        </w:rPr>
        <w:t>探测区域的划分应符合下列规定：</w:t>
      </w:r>
      <w:r>
        <w:rPr>
          <w:b/>
          <w:w w:val="99"/>
          <w:sz w:val="21"/>
        </w:rPr>
        <w:t xml:space="preserve"> </w:t>
      </w:r>
    </w:p>
    <w:p w14:paraId="5AE4AF51" w14:textId="77777777" w:rsidR="00A71EEF" w:rsidRDefault="0081115D">
      <w:pPr>
        <w:pStyle w:val="a4"/>
        <w:numPr>
          <w:ilvl w:val="0"/>
          <w:numId w:val="393"/>
        </w:numPr>
        <w:tabs>
          <w:tab w:val="left" w:pos="1367"/>
        </w:tabs>
        <w:spacing w:line="446" w:lineRule="auto"/>
        <w:ind w:right="1431" w:firstLine="419"/>
        <w:rPr>
          <w:sz w:val="21"/>
        </w:rPr>
      </w:pPr>
      <w:r>
        <w:rPr>
          <w:spacing w:val="-2"/>
          <w:sz w:val="21"/>
        </w:rPr>
        <w:t>探测区域应按独立房</w:t>
      </w:r>
      <w:r>
        <w:rPr>
          <w:spacing w:val="-2"/>
          <w:sz w:val="21"/>
        </w:rPr>
        <w:t>(</w:t>
      </w:r>
      <w:r>
        <w:rPr>
          <w:spacing w:val="-2"/>
          <w:sz w:val="21"/>
        </w:rPr>
        <w:t>套</w:t>
      </w:r>
      <w:r>
        <w:rPr>
          <w:spacing w:val="-2"/>
          <w:sz w:val="21"/>
        </w:rPr>
        <w:t>)</w:t>
      </w:r>
      <w:r>
        <w:rPr>
          <w:spacing w:val="-2"/>
          <w:sz w:val="21"/>
        </w:rPr>
        <w:t>间划分。一个探测区域的面积不宜超过</w:t>
      </w:r>
      <w:r>
        <w:rPr>
          <w:spacing w:val="-2"/>
          <w:sz w:val="21"/>
        </w:rPr>
        <w:t xml:space="preserve"> </w:t>
      </w:r>
      <w:r>
        <w:rPr>
          <w:sz w:val="21"/>
        </w:rPr>
        <w:t>500</w:t>
      </w:r>
      <w:r>
        <w:rPr>
          <w:spacing w:val="5"/>
          <w:sz w:val="21"/>
        </w:rPr>
        <w:t xml:space="preserve"> </w:t>
      </w:r>
      <w:r>
        <w:rPr>
          <w:spacing w:val="5"/>
          <w:sz w:val="21"/>
        </w:rPr>
        <w:t>㎡</w:t>
      </w:r>
      <w:r>
        <w:rPr>
          <w:spacing w:val="5"/>
          <w:sz w:val="21"/>
        </w:rPr>
        <w:t xml:space="preserve"> </w:t>
      </w:r>
      <w:r>
        <w:rPr>
          <w:spacing w:val="5"/>
          <w:sz w:val="21"/>
        </w:rPr>
        <w:t>；从主要入</w:t>
      </w:r>
      <w:r>
        <w:rPr>
          <w:spacing w:val="-3"/>
          <w:sz w:val="21"/>
        </w:rPr>
        <w:t>口能看清</w:t>
      </w:r>
      <w:r>
        <w:rPr>
          <w:spacing w:val="-3"/>
          <w:sz w:val="21"/>
        </w:rPr>
        <w:t xml:space="preserve"> </w:t>
      </w:r>
      <w:r>
        <w:rPr>
          <w:spacing w:val="-3"/>
          <w:sz w:val="21"/>
        </w:rPr>
        <w:t>其内部，且面积不超过</w:t>
      </w:r>
      <w:r>
        <w:rPr>
          <w:spacing w:val="-3"/>
          <w:sz w:val="21"/>
        </w:rPr>
        <w:t xml:space="preserve"> </w:t>
      </w:r>
      <w:r>
        <w:rPr>
          <w:sz w:val="21"/>
        </w:rPr>
        <w:t>1000</w:t>
      </w:r>
      <w:r>
        <w:rPr>
          <w:spacing w:val="-3"/>
          <w:sz w:val="21"/>
        </w:rPr>
        <w:t xml:space="preserve"> </w:t>
      </w:r>
      <w:r>
        <w:rPr>
          <w:spacing w:val="-3"/>
          <w:sz w:val="21"/>
        </w:rPr>
        <w:t>㎡</w:t>
      </w:r>
      <w:r>
        <w:rPr>
          <w:spacing w:val="-3"/>
          <w:sz w:val="21"/>
        </w:rPr>
        <w:t xml:space="preserve"> </w:t>
      </w:r>
      <w:r>
        <w:rPr>
          <w:spacing w:val="-3"/>
          <w:sz w:val="21"/>
        </w:rPr>
        <w:t>的房间，也可划为一个探测区域。</w:t>
      </w:r>
      <w:r>
        <w:rPr>
          <w:sz w:val="21"/>
        </w:rPr>
        <w:t xml:space="preserve"> </w:t>
      </w:r>
    </w:p>
    <w:p w14:paraId="1226955D" w14:textId="77777777" w:rsidR="00A71EEF" w:rsidRDefault="0081115D">
      <w:pPr>
        <w:pStyle w:val="a4"/>
        <w:numPr>
          <w:ilvl w:val="0"/>
          <w:numId w:val="393"/>
        </w:numPr>
        <w:tabs>
          <w:tab w:val="left" w:pos="1388"/>
        </w:tabs>
        <w:spacing w:line="446" w:lineRule="auto"/>
        <w:ind w:right="1330" w:firstLine="419"/>
        <w:rPr>
          <w:sz w:val="21"/>
        </w:rPr>
      </w:pPr>
      <w:r>
        <w:rPr>
          <w:spacing w:val="4"/>
          <w:sz w:val="21"/>
        </w:rPr>
        <w:t>红外光束感烟火灾探测器和缆式线型感温火灾探测器的探测区域的长度，不宜超过</w:t>
      </w:r>
      <w:r>
        <w:rPr>
          <w:sz w:val="21"/>
        </w:rPr>
        <w:t>100m</w:t>
      </w:r>
      <w:r>
        <w:rPr>
          <w:spacing w:val="-3"/>
          <w:sz w:val="21"/>
        </w:rPr>
        <w:t>；空气管差温火灾探测器的探测区域长度宜为</w:t>
      </w:r>
      <w:r>
        <w:rPr>
          <w:spacing w:val="-3"/>
          <w:sz w:val="21"/>
        </w:rPr>
        <w:t xml:space="preserve"> </w:t>
      </w:r>
      <w:r>
        <w:rPr>
          <w:sz w:val="21"/>
        </w:rPr>
        <w:t>20</w:t>
      </w:r>
      <w:r>
        <w:rPr>
          <w:sz w:val="21"/>
        </w:rPr>
        <w:t>～</w:t>
      </w:r>
      <w:r>
        <w:rPr>
          <w:sz w:val="21"/>
        </w:rPr>
        <w:t>100m</w:t>
      </w:r>
      <w:r>
        <w:rPr>
          <w:spacing w:val="-3"/>
          <w:sz w:val="21"/>
        </w:rPr>
        <w:t>。</w:t>
      </w:r>
      <w:r>
        <w:rPr>
          <w:sz w:val="21"/>
        </w:rPr>
        <w:t xml:space="preserve"> </w:t>
      </w:r>
    </w:p>
    <w:p w14:paraId="6D3CC994" w14:textId="77777777" w:rsidR="00A71EEF" w:rsidRDefault="0081115D">
      <w:pPr>
        <w:spacing w:line="267" w:lineRule="exact"/>
        <w:ind w:left="840"/>
        <w:rPr>
          <w:b/>
          <w:sz w:val="21"/>
        </w:rPr>
      </w:pPr>
      <w:r>
        <w:rPr>
          <w:b/>
          <w:sz w:val="21"/>
        </w:rPr>
        <w:t xml:space="preserve">3.3.3 </w:t>
      </w:r>
      <w:r>
        <w:rPr>
          <w:sz w:val="21"/>
        </w:rPr>
        <w:t>下列场所应单独划分探测区域：</w:t>
      </w:r>
      <w:r>
        <w:rPr>
          <w:b/>
          <w:w w:val="99"/>
          <w:sz w:val="21"/>
        </w:rPr>
        <w:t xml:space="preserve"> </w:t>
      </w:r>
    </w:p>
    <w:p w14:paraId="500E26D4" w14:textId="77777777" w:rsidR="00A71EEF" w:rsidRDefault="00A71EEF">
      <w:pPr>
        <w:pStyle w:val="a3"/>
        <w:spacing w:before="10"/>
        <w:rPr>
          <w:b/>
          <w:sz w:val="17"/>
        </w:rPr>
      </w:pPr>
    </w:p>
    <w:p w14:paraId="49F47ACB" w14:textId="77777777" w:rsidR="00A71EEF" w:rsidRDefault="0081115D">
      <w:pPr>
        <w:pStyle w:val="a4"/>
        <w:numPr>
          <w:ilvl w:val="0"/>
          <w:numId w:val="392"/>
        </w:numPr>
        <w:tabs>
          <w:tab w:val="left" w:pos="1367"/>
        </w:tabs>
        <w:spacing w:before="1"/>
        <w:rPr>
          <w:sz w:val="21"/>
        </w:rPr>
      </w:pPr>
      <w:r>
        <w:rPr>
          <w:spacing w:val="-3"/>
          <w:sz w:val="21"/>
        </w:rPr>
        <w:t>敞开或封闭楼梯间、防烟楼梯间。</w:t>
      </w:r>
      <w:r>
        <w:rPr>
          <w:sz w:val="21"/>
        </w:rPr>
        <w:t xml:space="preserve"> </w:t>
      </w:r>
    </w:p>
    <w:p w14:paraId="4317872D" w14:textId="77777777" w:rsidR="00A71EEF" w:rsidRDefault="00A71EEF">
      <w:pPr>
        <w:pStyle w:val="a3"/>
        <w:spacing w:before="12"/>
        <w:rPr>
          <w:sz w:val="17"/>
        </w:rPr>
      </w:pPr>
    </w:p>
    <w:p w14:paraId="78A9A37C" w14:textId="77777777" w:rsidR="00A71EEF" w:rsidRDefault="0081115D">
      <w:pPr>
        <w:pStyle w:val="a4"/>
        <w:numPr>
          <w:ilvl w:val="0"/>
          <w:numId w:val="392"/>
        </w:numPr>
        <w:tabs>
          <w:tab w:val="left" w:pos="1367"/>
        </w:tabs>
        <w:rPr>
          <w:sz w:val="21"/>
        </w:rPr>
      </w:pPr>
      <w:r>
        <w:rPr>
          <w:spacing w:val="-3"/>
          <w:sz w:val="21"/>
        </w:rPr>
        <w:t>防烟楼梯间前室、消防电梯前室、消防电梯与防烟楼梯间合用的前室、走道、坡道。</w:t>
      </w:r>
      <w:r>
        <w:rPr>
          <w:sz w:val="21"/>
        </w:rPr>
        <w:t xml:space="preserve"> </w:t>
      </w:r>
    </w:p>
    <w:p w14:paraId="1EF1B998" w14:textId="77777777" w:rsidR="00A71EEF" w:rsidRDefault="00A71EEF">
      <w:pPr>
        <w:pStyle w:val="a3"/>
        <w:spacing w:before="12"/>
        <w:rPr>
          <w:sz w:val="17"/>
        </w:rPr>
      </w:pPr>
    </w:p>
    <w:p w14:paraId="3A69C546" w14:textId="77777777" w:rsidR="00A71EEF" w:rsidRDefault="0081115D">
      <w:pPr>
        <w:pStyle w:val="a4"/>
        <w:numPr>
          <w:ilvl w:val="0"/>
          <w:numId w:val="392"/>
        </w:numPr>
        <w:tabs>
          <w:tab w:val="left" w:pos="1367"/>
        </w:tabs>
        <w:rPr>
          <w:sz w:val="21"/>
        </w:rPr>
      </w:pPr>
      <w:r>
        <w:rPr>
          <w:spacing w:val="-3"/>
          <w:sz w:val="21"/>
        </w:rPr>
        <w:t>电气管道井、通信管道井、电缆隧道。</w:t>
      </w:r>
      <w:r>
        <w:rPr>
          <w:sz w:val="21"/>
        </w:rPr>
        <w:t xml:space="preserve"> </w:t>
      </w:r>
    </w:p>
    <w:p w14:paraId="06C1EC18" w14:textId="77777777" w:rsidR="00A71EEF" w:rsidRDefault="00A71EEF">
      <w:pPr>
        <w:pStyle w:val="a3"/>
        <w:spacing w:before="2"/>
        <w:rPr>
          <w:sz w:val="18"/>
        </w:rPr>
      </w:pPr>
    </w:p>
    <w:p w14:paraId="588B0A24" w14:textId="77777777" w:rsidR="00A71EEF" w:rsidRDefault="0081115D">
      <w:pPr>
        <w:pStyle w:val="a4"/>
        <w:numPr>
          <w:ilvl w:val="0"/>
          <w:numId w:val="392"/>
        </w:numPr>
        <w:tabs>
          <w:tab w:val="left" w:pos="1367"/>
        </w:tabs>
        <w:spacing w:line="446" w:lineRule="auto"/>
        <w:ind w:left="840" w:right="7180" w:hanging="3"/>
        <w:rPr>
          <w:b/>
          <w:sz w:val="21"/>
        </w:rPr>
      </w:pPr>
      <w:r>
        <w:rPr>
          <w:spacing w:val="-3"/>
          <w:sz w:val="21"/>
        </w:rPr>
        <w:t>建筑物闷顶、夹层。</w:t>
      </w:r>
      <w:r>
        <w:rPr>
          <w:b/>
          <w:sz w:val="21"/>
        </w:rPr>
        <w:t>3.4</w:t>
      </w:r>
      <w:r>
        <w:rPr>
          <w:b/>
          <w:spacing w:val="2"/>
          <w:sz w:val="21"/>
        </w:rPr>
        <w:t xml:space="preserve"> </w:t>
      </w:r>
      <w:r>
        <w:rPr>
          <w:spacing w:val="-3"/>
          <w:sz w:val="21"/>
        </w:rPr>
        <w:t>消防控制室</w:t>
      </w:r>
      <w:r>
        <w:rPr>
          <w:b/>
          <w:w w:val="99"/>
          <w:sz w:val="21"/>
        </w:rPr>
        <w:t xml:space="preserve"> </w:t>
      </w:r>
    </w:p>
    <w:p w14:paraId="6910F479" w14:textId="77777777" w:rsidR="00A71EEF" w:rsidRDefault="0081115D">
      <w:pPr>
        <w:pStyle w:val="a4"/>
        <w:numPr>
          <w:ilvl w:val="2"/>
          <w:numId w:val="391"/>
        </w:numPr>
        <w:tabs>
          <w:tab w:val="left" w:pos="1424"/>
        </w:tabs>
        <w:spacing w:line="267" w:lineRule="exact"/>
        <w:rPr>
          <w:sz w:val="21"/>
        </w:rPr>
      </w:pPr>
      <w:r>
        <w:rPr>
          <w:spacing w:val="-3"/>
          <w:sz w:val="21"/>
        </w:rPr>
        <w:t>具有消防联动功能的火灾自动报警系统的保护对象中应设置消防控制室。</w:t>
      </w:r>
      <w:r>
        <w:rPr>
          <w:sz w:val="21"/>
        </w:rPr>
        <w:t xml:space="preserve"> </w:t>
      </w:r>
    </w:p>
    <w:p w14:paraId="4A7FA74A" w14:textId="77777777" w:rsidR="00A71EEF" w:rsidRDefault="00A71EEF">
      <w:pPr>
        <w:pStyle w:val="a3"/>
        <w:spacing w:before="2"/>
        <w:rPr>
          <w:sz w:val="18"/>
        </w:rPr>
      </w:pPr>
    </w:p>
    <w:p w14:paraId="1E4199DA" w14:textId="77777777" w:rsidR="00A71EEF" w:rsidRDefault="0081115D">
      <w:pPr>
        <w:pStyle w:val="a4"/>
        <w:numPr>
          <w:ilvl w:val="2"/>
          <w:numId w:val="391"/>
        </w:numPr>
        <w:tabs>
          <w:tab w:val="left" w:pos="1370"/>
        </w:tabs>
        <w:spacing w:line="446" w:lineRule="auto"/>
        <w:ind w:left="418" w:right="1431" w:firstLine="422"/>
        <w:jc w:val="both"/>
        <w:rPr>
          <w:sz w:val="21"/>
        </w:rPr>
      </w:pPr>
      <w:r>
        <w:rPr>
          <w:spacing w:val="-5"/>
          <w:sz w:val="21"/>
        </w:rPr>
        <w:t>消防控制室内设置的消防设备应包括火灾报警控制器、消防联动控制器、消防控制室</w:t>
      </w:r>
      <w:r>
        <w:rPr>
          <w:spacing w:val="-9"/>
          <w:sz w:val="21"/>
        </w:rPr>
        <w:t>图形显示</w:t>
      </w:r>
      <w:r>
        <w:rPr>
          <w:spacing w:val="-9"/>
          <w:sz w:val="21"/>
        </w:rPr>
        <w:t xml:space="preserve"> </w:t>
      </w:r>
      <w:r>
        <w:rPr>
          <w:spacing w:val="-9"/>
          <w:sz w:val="21"/>
        </w:rPr>
        <w:t>装置、消防专用电话总机、消防应急广播控制装置、消防应急照明和疏散指示系统控制</w:t>
      </w:r>
      <w:r>
        <w:rPr>
          <w:sz w:val="21"/>
        </w:rPr>
        <w:t>装置、消防</w:t>
      </w:r>
      <w:r>
        <w:rPr>
          <w:sz w:val="21"/>
        </w:rPr>
        <w:t xml:space="preserve"> </w:t>
      </w:r>
      <w:r>
        <w:rPr>
          <w:sz w:val="21"/>
        </w:rPr>
        <w:t>电源监控器等设备或具有相应功能的组合设备。消防控制室内设置的消防控制室图</w:t>
      </w:r>
      <w:r>
        <w:rPr>
          <w:spacing w:val="4"/>
          <w:sz w:val="21"/>
        </w:rPr>
        <w:t>形显示装置应能</w:t>
      </w:r>
      <w:r>
        <w:rPr>
          <w:spacing w:val="4"/>
          <w:sz w:val="21"/>
        </w:rPr>
        <w:t xml:space="preserve"> </w:t>
      </w:r>
      <w:r>
        <w:rPr>
          <w:spacing w:val="4"/>
          <w:sz w:val="21"/>
        </w:rPr>
        <w:t>显示本规范附录</w:t>
      </w:r>
      <w:r>
        <w:rPr>
          <w:spacing w:val="4"/>
          <w:sz w:val="21"/>
        </w:rPr>
        <w:t xml:space="preserve"> </w:t>
      </w:r>
      <w:r>
        <w:rPr>
          <w:sz w:val="21"/>
        </w:rPr>
        <w:t>A</w:t>
      </w:r>
      <w:r>
        <w:rPr>
          <w:spacing w:val="-1"/>
          <w:sz w:val="21"/>
        </w:rPr>
        <w:t xml:space="preserve"> </w:t>
      </w:r>
      <w:r>
        <w:rPr>
          <w:spacing w:val="-1"/>
          <w:sz w:val="21"/>
        </w:rPr>
        <w:t>规</w:t>
      </w:r>
      <w:r>
        <w:rPr>
          <w:spacing w:val="-1"/>
          <w:sz w:val="21"/>
        </w:rPr>
        <w:t>定的建筑物内设置的全部消防系统及相关设备的动态信息和本规范附录</w:t>
      </w:r>
      <w:r>
        <w:rPr>
          <w:spacing w:val="-1"/>
          <w:sz w:val="21"/>
        </w:rPr>
        <w:t xml:space="preserve"> </w:t>
      </w:r>
      <w:r>
        <w:rPr>
          <w:sz w:val="21"/>
        </w:rPr>
        <w:t>B</w:t>
      </w:r>
      <w:r>
        <w:rPr>
          <w:spacing w:val="-5"/>
          <w:sz w:val="21"/>
        </w:rPr>
        <w:t xml:space="preserve"> </w:t>
      </w:r>
      <w:r>
        <w:rPr>
          <w:spacing w:val="-5"/>
          <w:sz w:val="21"/>
        </w:rPr>
        <w:t>规</w:t>
      </w:r>
      <w:r>
        <w:rPr>
          <w:spacing w:val="-5"/>
          <w:sz w:val="21"/>
        </w:rPr>
        <w:t xml:space="preserve"> </w:t>
      </w:r>
      <w:r>
        <w:rPr>
          <w:spacing w:val="-5"/>
          <w:sz w:val="21"/>
        </w:rPr>
        <w:t>定的消防安全管理信息，并应为远程监控系统预留接口，同时应具有向远</w:t>
      </w:r>
      <w:r>
        <w:rPr>
          <w:spacing w:val="-4"/>
          <w:sz w:val="21"/>
        </w:rPr>
        <w:t>程监控系统传输本规范附</w:t>
      </w:r>
      <w:r>
        <w:rPr>
          <w:spacing w:val="-4"/>
          <w:sz w:val="21"/>
        </w:rPr>
        <w:t xml:space="preserve"> </w:t>
      </w:r>
      <w:r>
        <w:rPr>
          <w:spacing w:val="-4"/>
          <w:sz w:val="21"/>
        </w:rPr>
        <w:t>录</w:t>
      </w:r>
      <w:r>
        <w:rPr>
          <w:spacing w:val="-4"/>
          <w:sz w:val="21"/>
        </w:rPr>
        <w:t xml:space="preserve"> </w:t>
      </w:r>
      <w:r>
        <w:rPr>
          <w:sz w:val="21"/>
        </w:rPr>
        <w:t>A</w:t>
      </w:r>
      <w:r>
        <w:rPr>
          <w:spacing w:val="-2"/>
          <w:sz w:val="21"/>
        </w:rPr>
        <w:t xml:space="preserve"> </w:t>
      </w:r>
      <w:r>
        <w:rPr>
          <w:spacing w:val="-2"/>
          <w:sz w:val="21"/>
        </w:rPr>
        <w:t>和附录</w:t>
      </w:r>
      <w:r>
        <w:rPr>
          <w:spacing w:val="-2"/>
          <w:sz w:val="21"/>
        </w:rPr>
        <w:t xml:space="preserve"> </w:t>
      </w:r>
      <w:r>
        <w:rPr>
          <w:sz w:val="21"/>
        </w:rPr>
        <w:t>B</w:t>
      </w:r>
      <w:r>
        <w:rPr>
          <w:spacing w:val="-3"/>
          <w:sz w:val="21"/>
        </w:rPr>
        <w:t xml:space="preserve"> </w:t>
      </w:r>
      <w:r>
        <w:rPr>
          <w:spacing w:val="-3"/>
          <w:sz w:val="21"/>
        </w:rPr>
        <w:t>规定的有关信息的功能。</w:t>
      </w:r>
      <w:r>
        <w:rPr>
          <w:sz w:val="21"/>
        </w:rPr>
        <w:t xml:space="preserve"> </w:t>
      </w:r>
    </w:p>
    <w:p w14:paraId="55B7FD1C" w14:textId="77777777" w:rsidR="00A71EEF" w:rsidRDefault="0081115D">
      <w:pPr>
        <w:pStyle w:val="a4"/>
        <w:numPr>
          <w:ilvl w:val="2"/>
          <w:numId w:val="391"/>
        </w:numPr>
        <w:tabs>
          <w:tab w:val="left" w:pos="1371"/>
        </w:tabs>
        <w:spacing w:line="267" w:lineRule="exact"/>
        <w:ind w:left="1370" w:hanging="531"/>
        <w:jc w:val="both"/>
        <w:rPr>
          <w:sz w:val="21"/>
        </w:rPr>
      </w:pPr>
      <w:r>
        <w:rPr>
          <w:spacing w:val="-3"/>
          <w:sz w:val="21"/>
        </w:rPr>
        <w:t>消防控制室应设有用于火灾报警的外线电话。</w:t>
      </w:r>
      <w:r>
        <w:rPr>
          <w:spacing w:val="-3"/>
          <w:sz w:val="21"/>
        </w:rPr>
        <w:t xml:space="preserve"> </w:t>
      </w:r>
      <w:r>
        <w:rPr>
          <w:spacing w:val="-9"/>
          <w:sz w:val="21"/>
        </w:rPr>
        <w:t xml:space="preserve"> </w:t>
      </w:r>
      <w:r>
        <w:rPr>
          <w:sz w:val="21"/>
        </w:rPr>
        <w:t xml:space="preserve"> </w:t>
      </w:r>
    </w:p>
    <w:p w14:paraId="0E760EDD" w14:textId="77777777" w:rsidR="00A71EEF" w:rsidRDefault="00A71EEF">
      <w:pPr>
        <w:spacing w:line="267" w:lineRule="exact"/>
        <w:jc w:val="both"/>
        <w:rPr>
          <w:sz w:val="21"/>
        </w:rPr>
        <w:sectPr w:rsidR="00A71EEF">
          <w:pgSz w:w="11910" w:h="16850"/>
          <w:pgMar w:top="1220" w:right="0" w:bottom="1420" w:left="1260" w:header="0" w:footer="1239" w:gutter="0"/>
          <w:cols w:space="720"/>
        </w:sectPr>
      </w:pPr>
    </w:p>
    <w:p w14:paraId="6224F924" w14:textId="77777777" w:rsidR="00A71EEF" w:rsidRDefault="0081115D">
      <w:pPr>
        <w:pStyle w:val="a4"/>
        <w:numPr>
          <w:ilvl w:val="2"/>
          <w:numId w:val="391"/>
        </w:numPr>
        <w:tabs>
          <w:tab w:val="left" w:pos="1370"/>
        </w:tabs>
        <w:spacing w:before="47" w:line="446" w:lineRule="auto"/>
        <w:ind w:left="418" w:right="1436" w:firstLine="422"/>
        <w:rPr>
          <w:sz w:val="21"/>
        </w:rPr>
      </w:pPr>
      <w:r>
        <w:rPr>
          <w:spacing w:val="-6"/>
          <w:sz w:val="21"/>
        </w:rPr>
        <w:t>消防控制室应有相应的竣工图纸、各分系统控制逻辑关系说明、设备使用说明书、系</w:t>
      </w:r>
      <w:r>
        <w:rPr>
          <w:spacing w:val="-4"/>
          <w:sz w:val="21"/>
        </w:rPr>
        <w:t>统操作</w:t>
      </w:r>
      <w:r>
        <w:rPr>
          <w:spacing w:val="-4"/>
          <w:sz w:val="21"/>
        </w:rPr>
        <w:t xml:space="preserve"> </w:t>
      </w:r>
      <w:r>
        <w:rPr>
          <w:spacing w:val="-4"/>
          <w:sz w:val="21"/>
        </w:rPr>
        <w:t>规程、应急预案、值班制度、维护保养制度及值班记录等文件资料。</w:t>
      </w:r>
      <w:r>
        <w:rPr>
          <w:spacing w:val="-4"/>
          <w:sz w:val="21"/>
        </w:rPr>
        <w:t xml:space="preserve"> </w:t>
      </w:r>
      <w:r>
        <w:rPr>
          <w:sz w:val="21"/>
        </w:rPr>
        <w:t xml:space="preserve"> </w:t>
      </w:r>
    </w:p>
    <w:p w14:paraId="3F76D782" w14:textId="77777777" w:rsidR="00A71EEF" w:rsidRDefault="0081115D">
      <w:pPr>
        <w:pStyle w:val="a4"/>
        <w:numPr>
          <w:ilvl w:val="2"/>
          <w:numId w:val="391"/>
        </w:numPr>
        <w:tabs>
          <w:tab w:val="left" w:pos="1370"/>
        </w:tabs>
        <w:spacing w:line="267" w:lineRule="exact"/>
        <w:ind w:left="1369" w:hanging="530"/>
        <w:rPr>
          <w:sz w:val="21"/>
        </w:rPr>
      </w:pPr>
      <w:r>
        <w:rPr>
          <w:spacing w:val="-3"/>
          <w:sz w:val="21"/>
        </w:rPr>
        <w:t>消防控制室送、回风管的穿墙处应设防火阀。</w:t>
      </w:r>
      <w:r>
        <w:rPr>
          <w:spacing w:val="-3"/>
          <w:sz w:val="21"/>
        </w:rPr>
        <w:t xml:space="preserve"> </w:t>
      </w:r>
    </w:p>
    <w:p w14:paraId="4D36729D" w14:textId="77777777" w:rsidR="00A71EEF" w:rsidRDefault="00A71EEF">
      <w:pPr>
        <w:pStyle w:val="a3"/>
        <w:spacing w:before="2"/>
        <w:rPr>
          <w:sz w:val="18"/>
        </w:rPr>
      </w:pPr>
    </w:p>
    <w:p w14:paraId="3CD7C973" w14:textId="77777777" w:rsidR="00A71EEF" w:rsidRDefault="0081115D">
      <w:pPr>
        <w:pStyle w:val="a4"/>
        <w:numPr>
          <w:ilvl w:val="2"/>
          <w:numId w:val="391"/>
        </w:numPr>
        <w:tabs>
          <w:tab w:val="left" w:pos="1370"/>
          <w:tab w:val="left" w:pos="7558"/>
        </w:tabs>
        <w:ind w:left="1369" w:hanging="530"/>
        <w:rPr>
          <w:sz w:val="21"/>
        </w:rPr>
      </w:pPr>
      <w:r>
        <w:rPr>
          <w:spacing w:val="-3"/>
          <w:sz w:val="21"/>
        </w:rPr>
        <w:t>消</w:t>
      </w:r>
      <w:r>
        <w:rPr>
          <w:sz w:val="21"/>
        </w:rPr>
        <w:t>防</w:t>
      </w:r>
      <w:r>
        <w:rPr>
          <w:spacing w:val="-3"/>
          <w:sz w:val="21"/>
        </w:rPr>
        <w:t>控</w:t>
      </w:r>
      <w:r>
        <w:rPr>
          <w:sz w:val="21"/>
        </w:rPr>
        <w:t>制</w:t>
      </w:r>
      <w:r>
        <w:rPr>
          <w:spacing w:val="-3"/>
          <w:sz w:val="21"/>
        </w:rPr>
        <w:t>室</w:t>
      </w:r>
      <w:r>
        <w:rPr>
          <w:sz w:val="21"/>
        </w:rPr>
        <w:t>内</w:t>
      </w:r>
      <w:r>
        <w:rPr>
          <w:spacing w:val="-3"/>
          <w:sz w:val="21"/>
        </w:rPr>
        <w:t>严禁</w:t>
      </w:r>
      <w:r>
        <w:rPr>
          <w:sz w:val="21"/>
        </w:rPr>
        <w:t>穿过</w:t>
      </w:r>
      <w:r>
        <w:rPr>
          <w:spacing w:val="-3"/>
          <w:sz w:val="21"/>
        </w:rPr>
        <w:t>与</w:t>
      </w:r>
      <w:r>
        <w:rPr>
          <w:sz w:val="21"/>
        </w:rPr>
        <w:t>消</w:t>
      </w:r>
      <w:r>
        <w:rPr>
          <w:spacing w:val="-3"/>
          <w:sz w:val="21"/>
        </w:rPr>
        <w:t>防</w:t>
      </w:r>
      <w:r>
        <w:rPr>
          <w:sz w:val="21"/>
        </w:rPr>
        <w:t>设</w:t>
      </w:r>
      <w:r>
        <w:rPr>
          <w:spacing w:val="-3"/>
          <w:sz w:val="21"/>
        </w:rPr>
        <w:t>施</w:t>
      </w:r>
      <w:r>
        <w:rPr>
          <w:sz w:val="21"/>
        </w:rPr>
        <w:t>无</w:t>
      </w:r>
      <w:r>
        <w:rPr>
          <w:spacing w:val="-3"/>
          <w:sz w:val="21"/>
        </w:rPr>
        <w:t>关</w:t>
      </w:r>
      <w:r>
        <w:rPr>
          <w:sz w:val="21"/>
        </w:rPr>
        <w:t>的</w:t>
      </w:r>
      <w:r>
        <w:rPr>
          <w:spacing w:val="-3"/>
          <w:sz w:val="21"/>
        </w:rPr>
        <w:t>电</w:t>
      </w:r>
      <w:r>
        <w:rPr>
          <w:sz w:val="21"/>
        </w:rPr>
        <w:t>气线</w:t>
      </w:r>
      <w:r>
        <w:rPr>
          <w:spacing w:val="-3"/>
          <w:sz w:val="21"/>
        </w:rPr>
        <w:t>路</w:t>
      </w:r>
      <w:r>
        <w:rPr>
          <w:sz w:val="21"/>
        </w:rPr>
        <w:t>及</w:t>
      </w:r>
      <w:r>
        <w:rPr>
          <w:spacing w:val="-3"/>
          <w:sz w:val="21"/>
        </w:rPr>
        <w:t>管</w:t>
      </w:r>
      <w:r>
        <w:rPr>
          <w:sz w:val="21"/>
        </w:rPr>
        <w:t>路</w:t>
      </w:r>
      <w:r>
        <w:rPr>
          <w:spacing w:val="-3"/>
          <w:sz w:val="21"/>
        </w:rPr>
        <w:t>。</w:t>
      </w:r>
      <w:r>
        <w:rPr>
          <w:sz w:val="21"/>
        </w:rPr>
        <w:t xml:space="preserve"> </w:t>
      </w:r>
      <w:r>
        <w:rPr>
          <w:spacing w:val="-9"/>
          <w:sz w:val="21"/>
        </w:rPr>
        <w:t xml:space="preserve"> </w:t>
      </w:r>
      <w:r>
        <w:rPr>
          <w:sz w:val="21"/>
        </w:rPr>
        <w:t xml:space="preserve">  </w:t>
      </w:r>
      <w:r>
        <w:rPr>
          <w:sz w:val="21"/>
        </w:rPr>
        <w:tab/>
      </w:r>
      <w:r>
        <w:rPr>
          <w:sz w:val="21"/>
        </w:rPr>
        <w:t xml:space="preserve">  </w:t>
      </w:r>
    </w:p>
    <w:p w14:paraId="3D582781" w14:textId="77777777" w:rsidR="00A71EEF" w:rsidRDefault="00A71EEF">
      <w:pPr>
        <w:pStyle w:val="a3"/>
        <w:rPr>
          <w:sz w:val="18"/>
        </w:rPr>
      </w:pPr>
    </w:p>
    <w:p w14:paraId="79F05AD3" w14:textId="77777777" w:rsidR="00A71EEF" w:rsidRDefault="0081115D">
      <w:pPr>
        <w:pStyle w:val="a4"/>
        <w:numPr>
          <w:ilvl w:val="2"/>
          <w:numId w:val="391"/>
        </w:numPr>
        <w:tabs>
          <w:tab w:val="left" w:pos="1371"/>
        </w:tabs>
        <w:spacing w:line="446" w:lineRule="auto"/>
        <w:ind w:left="418" w:right="1432" w:firstLine="422"/>
        <w:rPr>
          <w:sz w:val="21"/>
        </w:rPr>
      </w:pPr>
      <w:r>
        <w:rPr>
          <w:sz w:val="21"/>
        </w:rPr>
        <w:t>消防控制室不应设置在电磁场干扰较强及其他影响消防控制室设备工作的设备用房</w:t>
      </w:r>
      <w:r>
        <w:rPr>
          <w:sz w:val="21"/>
        </w:rPr>
        <w:t xml:space="preserve"> </w:t>
      </w:r>
      <w:r>
        <w:rPr>
          <w:spacing w:val="-1"/>
          <w:sz w:val="21"/>
        </w:rPr>
        <w:t>附近。</w:t>
      </w:r>
      <w:r>
        <w:rPr>
          <w:sz w:val="21"/>
        </w:rPr>
        <w:t xml:space="preserve"> </w:t>
      </w:r>
    </w:p>
    <w:p w14:paraId="14D93E20" w14:textId="77777777" w:rsidR="00A71EEF" w:rsidRDefault="0081115D">
      <w:pPr>
        <w:pStyle w:val="a4"/>
        <w:numPr>
          <w:ilvl w:val="2"/>
          <w:numId w:val="391"/>
        </w:numPr>
        <w:tabs>
          <w:tab w:val="left" w:pos="1371"/>
        </w:tabs>
        <w:ind w:left="1370" w:hanging="531"/>
        <w:rPr>
          <w:sz w:val="21"/>
        </w:rPr>
      </w:pPr>
      <w:r>
        <w:rPr>
          <w:spacing w:val="-3"/>
          <w:sz w:val="21"/>
        </w:rPr>
        <w:t>消防控制室内设备的布置应符合下列规定：</w:t>
      </w:r>
      <w:r>
        <w:rPr>
          <w:sz w:val="21"/>
        </w:rPr>
        <w:t xml:space="preserve"> </w:t>
      </w:r>
    </w:p>
    <w:p w14:paraId="6D3113A2" w14:textId="77777777" w:rsidR="00A71EEF" w:rsidRDefault="00A71EEF">
      <w:pPr>
        <w:pStyle w:val="a3"/>
        <w:rPr>
          <w:sz w:val="18"/>
        </w:rPr>
      </w:pPr>
    </w:p>
    <w:p w14:paraId="0ECB2F08" w14:textId="77777777" w:rsidR="00A71EEF" w:rsidRDefault="0081115D">
      <w:pPr>
        <w:pStyle w:val="a4"/>
        <w:numPr>
          <w:ilvl w:val="0"/>
          <w:numId w:val="390"/>
        </w:numPr>
        <w:tabs>
          <w:tab w:val="left" w:pos="1367"/>
        </w:tabs>
        <w:rPr>
          <w:sz w:val="21"/>
        </w:rPr>
      </w:pPr>
      <w:r>
        <w:rPr>
          <w:spacing w:val="-3"/>
          <w:sz w:val="21"/>
        </w:rPr>
        <w:t>设备面盘前的操作距离，单列布置时不应小于</w:t>
      </w:r>
      <w:r>
        <w:rPr>
          <w:spacing w:val="-3"/>
          <w:sz w:val="21"/>
        </w:rPr>
        <w:t xml:space="preserve"> </w:t>
      </w:r>
      <w:r>
        <w:rPr>
          <w:sz w:val="21"/>
        </w:rPr>
        <w:t>1.5m</w:t>
      </w:r>
      <w:r>
        <w:rPr>
          <w:spacing w:val="-3"/>
          <w:sz w:val="21"/>
        </w:rPr>
        <w:t>；双列布置时不应小于</w:t>
      </w:r>
      <w:r>
        <w:rPr>
          <w:spacing w:val="-3"/>
          <w:sz w:val="21"/>
        </w:rPr>
        <w:t xml:space="preserve"> </w:t>
      </w:r>
      <w:r>
        <w:rPr>
          <w:sz w:val="21"/>
        </w:rPr>
        <w:t>2m</w:t>
      </w:r>
      <w:r>
        <w:rPr>
          <w:spacing w:val="-3"/>
          <w:sz w:val="21"/>
        </w:rPr>
        <w:t>。</w:t>
      </w:r>
      <w:r>
        <w:rPr>
          <w:sz w:val="21"/>
        </w:rPr>
        <w:t xml:space="preserve"> </w:t>
      </w:r>
    </w:p>
    <w:p w14:paraId="23D7FF14" w14:textId="77777777" w:rsidR="00A71EEF" w:rsidRDefault="00A71EEF">
      <w:pPr>
        <w:pStyle w:val="a3"/>
        <w:spacing w:before="12"/>
        <w:rPr>
          <w:sz w:val="17"/>
        </w:rPr>
      </w:pPr>
    </w:p>
    <w:p w14:paraId="30616C72" w14:textId="77777777" w:rsidR="00A71EEF" w:rsidRDefault="0081115D">
      <w:pPr>
        <w:pStyle w:val="a4"/>
        <w:numPr>
          <w:ilvl w:val="0"/>
          <w:numId w:val="390"/>
        </w:numPr>
        <w:tabs>
          <w:tab w:val="left" w:pos="1367"/>
        </w:tabs>
        <w:rPr>
          <w:sz w:val="21"/>
        </w:rPr>
      </w:pPr>
      <w:r>
        <w:rPr>
          <w:spacing w:val="-3"/>
          <w:sz w:val="21"/>
        </w:rPr>
        <w:t>在值班人员经常工作的一面，设备面盘至墙的距离不应小于</w:t>
      </w:r>
      <w:r>
        <w:rPr>
          <w:spacing w:val="-3"/>
          <w:sz w:val="21"/>
        </w:rPr>
        <w:t xml:space="preserve"> </w:t>
      </w:r>
      <w:r>
        <w:rPr>
          <w:sz w:val="21"/>
        </w:rPr>
        <w:t>3m</w:t>
      </w:r>
      <w:r>
        <w:rPr>
          <w:spacing w:val="-3"/>
          <w:sz w:val="21"/>
        </w:rPr>
        <w:t>。</w:t>
      </w:r>
      <w:r>
        <w:rPr>
          <w:sz w:val="21"/>
        </w:rPr>
        <w:t xml:space="preserve"> </w:t>
      </w:r>
    </w:p>
    <w:p w14:paraId="248A2483" w14:textId="77777777" w:rsidR="00A71EEF" w:rsidRDefault="00A71EEF">
      <w:pPr>
        <w:pStyle w:val="a3"/>
        <w:spacing w:before="2"/>
        <w:rPr>
          <w:sz w:val="18"/>
        </w:rPr>
      </w:pPr>
    </w:p>
    <w:p w14:paraId="62A779EC" w14:textId="77777777" w:rsidR="00A71EEF" w:rsidRDefault="0081115D">
      <w:pPr>
        <w:pStyle w:val="a4"/>
        <w:numPr>
          <w:ilvl w:val="0"/>
          <w:numId w:val="390"/>
        </w:numPr>
        <w:tabs>
          <w:tab w:val="left" w:pos="1367"/>
        </w:tabs>
        <w:rPr>
          <w:sz w:val="21"/>
        </w:rPr>
      </w:pPr>
      <w:r>
        <w:rPr>
          <w:spacing w:val="-3"/>
          <w:sz w:val="21"/>
        </w:rPr>
        <w:t>设备面盘后的维修距离不宜小于</w:t>
      </w:r>
      <w:r>
        <w:rPr>
          <w:spacing w:val="-3"/>
          <w:sz w:val="21"/>
        </w:rPr>
        <w:t xml:space="preserve"> </w:t>
      </w:r>
      <w:r>
        <w:rPr>
          <w:sz w:val="21"/>
        </w:rPr>
        <w:t>1m</w:t>
      </w:r>
      <w:r>
        <w:rPr>
          <w:spacing w:val="-3"/>
          <w:sz w:val="21"/>
        </w:rPr>
        <w:t>。</w:t>
      </w:r>
      <w:r>
        <w:rPr>
          <w:sz w:val="21"/>
        </w:rPr>
        <w:t xml:space="preserve"> </w:t>
      </w:r>
    </w:p>
    <w:p w14:paraId="4DFD45C0" w14:textId="77777777" w:rsidR="00A71EEF" w:rsidRDefault="00A71EEF">
      <w:pPr>
        <w:pStyle w:val="a3"/>
        <w:spacing w:before="12"/>
        <w:rPr>
          <w:sz w:val="17"/>
        </w:rPr>
      </w:pPr>
    </w:p>
    <w:p w14:paraId="0869A9A0" w14:textId="77777777" w:rsidR="00A71EEF" w:rsidRDefault="0081115D">
      <w:pPr>
        <w:pStyle w:val="a4"/>
        <w:numPr>
          <w:ilvl w:val="0"/>
          <w:numId w:val="390"/>
        </w:numPr>
        <w:tabs>
          <w:tab w:val="left" w:pos="1367"/>
        </w:tabs>
        <w:rPr>
          <w:sz w:val="21"/>
        </w:rPr>
      </w:pPr>
      <w:r>
        <w:rPr>
          <w:spacing w:val="-3"/>
          <w:sz w:val="21"/>
        </w:rPr>
        <w:t>设备面盘的排列长度大于</w:t>
      </w:r>
      <w:r>
        <w:rPr>
          <w:spacing w:val="-3"/>
          <w:sz w:val="21"/>
        </w:rPr>
        <w:t xml:space="preserve"> </w:t>
      </w:r>
      <w:r>
        <w:rPr>
          <w:sz w:val="21"/>
        </w:rPr>
        <w:t>4m</w:t>
      </w:r>
      <w:r>
        <w:rPr>
          <w:spacing w:val="-3"/>
          <w:sz w:val="21"/>
        </w:rPr>
        <w:t xml:space="preserve"> </w:t>
      </w:r>
      <w:r>
        <w:rPr>
          <w:spacing w:val="-3"/>
          <w:sz w:val="21"/>
        </w:rPr>
        <w:t>时，其两端应设置宽度不小于</w:t>
      </w:r>
      <w:r>
        <w:rPr>
          <w:spacing w:val="-3"/>
          <w:sz w:val="21"/>
        </w:rPr>
        <w:t xml:space="preserve"> </w:t>
      </w:r>
      <w:r>
        <w:rPr>
          <w:sz w:val="21"/>
        </w:rPr>
        <w:t>1m</w:t>
      </w:r>
      <w:r>
        <w:rPr>
          <w:spacing w:val="-2"/>
          <w:sz w:val="21"/>
        </w:rPr>
        <w:t xml:space="preserve"> </w:t>
      </w:r>
      <w:r>
        <w:rPr>
          <w:spacing w:val="-2"/>
          <w:sz w:val="21"/>
        </w:rPr>
        <w:t>的通道。</w:t>
      </w:r>
      <w:r>
        <w:rPr>
          <w:spacing w:val="-2"/>
          <w:sz w:val="21"/>
        </w:rPr>
        <w:t xml:space="preserve"> </w:t>
      </w:r>
    </w:p>
    <w:p w14:paraId="589D0E8E" w14:textId="77777777" w:rsidR="00A71EEF" w:rsidRDefault="00A71EEF">
      <w:pPr>
        <w:pStyle w:val="a3"/>
        <w:rPr>
          <w:sz w:val="18"/>
        </w:rPr>
      </w:pPr>
    </w:p>
    <w:p w14:paraId="1C44369A" w14:textId="77777777" w:rsidR="00A71EEF" w:rsidRDefault="0081115D">
      <w:pPr>
        <w:pStyle w:val="a4"/>
        <w:numPr>
          <w:ilvl w:val="0"/>
          <w:numId w:val="390"/>
        </w:numPr>
        <w:tabs>
          <w:tab w:val="left" w:pos="1367"/>
        </w:tabs>
        <w:spacing w:line="446" w:lineRule="auto"/>
        <w:ind w:left="418" w:right="1431" w:firstLine="419"/>
        <w:rPr>
          <w:sz w:val="21"/>
        </w:rPr>
      </w:pPr>
      <w:r>
        <w:rPr>
          <w:spacing w:val="-8"/>
          <w:sz w:val="21"/>
        </w:rPr>
        <w:t>与建筑其他弱电系统合用的消防控制室内，消防设备应集中设置，并应与其他设备间</w:t>
      </w:r>
      <w:r>
        <w:rPr>
          <w:spacing w:val="-8"/>
          <w:sz w:val="21"/>
        </w:rPr>
        <w:t xml:space="preserve"> </w:t>
      </w:r>
      <w:r>
        <w:rPr>
          <w:spacing w:val="-6"/>
          <w:sz w:val="21"/>
        </w:rPr>
        <w:t>有明显</w:t>
      </w:r>
      <w:r>
        <w:rPr>
          <w:spacing w:val="-6"/>
          <w:sz w:val="21"/>
        </w:rPr>
        <w:t xml:space="preserve"> </w:t>
      </w:r>
      <w:r>
        <w:rPr>
          <w:spacing w:val="-6"/>
          <w:sz w:val="21"/>
        </w:rPr>
        <w:t>间隔。</w:t>
      </w:r>
      <w:r>
        <w:rPr>
          <w:sz w:val="21"/>
        </w:rPr>
        <w:t xml:space="preserve"> </w:t>
      </w:r>
    </w:p>
    <w:p w14:paraId="7FEF83B0" w14:textId="77777777" w:rsidR="00A71EEF" w:rsidRDefault="0081115D">
      <w:pPr>
        <w:pStyle w:val="a4"/>
        <w:numPr>
          <w:ilvl w:val="2"/>
          <w:numId w:val="391"/>
        </w:numPr>
        <w:tabs>
          <w:tab w:val="left" w:pos="1370"/>
        </w:tabs>
        <w:ind w:left="1369" w:hanging="530"/>
        <w:rPr>
          <w:sz w:val="21"/>
        </w:rPr>
      </w:pPr>
      <w:r>
        <w:rPr>
          <w:spacing w:val="-15"/>
          <w:sz w:val="21"/>
        </w:rPr>
        <w:t>消防控制室的显示与控制，应符合现行国家标准《消防控制室通用技术要求》</w:t>
      </w:r>
      <w:r>
        <w:rPr>
          <w:sz w:val="21"/>
        </w:rPr>
        <w:t>GB</w:t>
      </w:r>
      <w:r>
        <w:rPr>
          <w:spacing w:val="-27"/>
          <w:sz w:val="21"/>
        </w:rPr>
        <w:t xml:space="preserve"> </w:t>
      </w:r>
      <w:r>
        <w:rPr>
          <w:sz w:val="21"/>
        </w:rPr>
        <w:t xml:space="preserve">25506 </w:t>
      </w:r>
    </w:p>
    <w:p w14:paraId="229BFDA9" w14:textId="77777777" w:rsidR="00A71EEF" w:rsidRDefault="00A71EEF">
      <w:pPr>
        <w:pStyle w:val="a3"/>
        <w:spacing w:before="12"/>
        <w:rPr>
          <w:sz w:val="17"/>
        </w:rPr>
      </w:pPr>
    </w:p>
    <w:p w14:paraId="555F06A6" w14:textId="77777777" w:rsidR="00A71EEF" w:rsidRDefault="0081115D">
      <w:pPr>
        <w:pStyle w:val="a3"/>
        <w:tabs>
          <w:tab w:val="left" w:pos="2097"/>
        </w:tabs>
        <w:ind w:left="418"/>
      </w:pPr>
      <w:r>
        <w:t>的有</w:t>
      </w:r>
      <w:r>
        <w:rPr>
          <w:spacing w:val="3"/>
        </w:rPr>
        <w:t xml:space="preserve"> </w:t>
      </w:r>
      <w:r>
        <w:t>关</w:t>
      </w:r>
      <w:r>
        <w:rPr>
          <w:spacing w:val="-3"/>
        </w:rPr>
        <w:t>规</w:t>
      </w:r>
      <w:r>
        <w:t>定</w:t>
      </w:r>
      <w:r>
        <w:rPr>
          <w:spacing w:val="-3"/>
        </w:rPr>
        <w:t>。</w:t>
      </w:r>
      <w:r>
        <w:t xml:space="preserve"> </w:t>
      </w:r>
      <w:r>
        <w:tab/>
      </w:r>
      <w:r>
        <w:t xml:space="preserve"> </w:t>
      </w:r>
    </w:p>
    <w:p w14:paraId="398EE85F" w14:textId="77777777" w:rsidR="00A71EEF" w:rsidRDefault="00A71EEF">
      <w:pPr>
        <w:pStyle w:val="a3"/>
        <w:spacing w:before="2"/>
        <w:rPr>
          <w:sz w:val="18"/>
        </w:rPr>
      </w:pPr>
    </w:p>
    <w:p w14:paraId="3A7544BA" w14:textId="77777777" w:rsidR="00A71EEF" w:rsidRDefault="0081115D">
      <w:pPr>
        <w:pStyle w:val="a4"/>
        <w:numPr>
          <w:ilvl w:val="2"/>
          <w:numId w:val="391"/>
        </w:numPr>
        <w:tabs>
          <w:tab w:val="left" w:pos="1478"/>
        </w:tabs>
        <w:spacing w:line="446" w:lineRule="auto"/>
        <w:ind w:left="418" w:right="1434" w:firstLine="422"/>
        <w:rPr>
          <w:sz w:val="21"/>
        </w:rPr>
      </w:pPr>
      <w:r>
        <w:rPr>
          <w:spacing w:val="-3"/>
          <w:sz w:val="21"/>
        </w:rPr>
        <w:t>消防控制室的信息记录、信息传输，应符合现行国家标准《消防控制室通用技术要</w:t>
      </w:r>
      <w:r>
        <w:rPr>
          <w:spacing w:val="-3"/>
          <w:sz w:val="21"/>
        </w:rPr>
        <w:t xml:space="preserve"> </w:t>
      </w:r>
      <w:r>
        <w:rPr>
          <w:spacing w:val="-3"/>
          <w:sz w:val="21"/>
        </w:rPr>
        <w:t>求》</w:t>
      </w:r>
      <w:r>
        <w:rPr>
          <w:spacing w:val="-3"/>
          <w:sz w:val="21"/>
        </w:rPr>
        <w:t xml:space="preserve">GB25506 </w:t>
      </w:r>
      <w:r>
        <w:rPr>
          <w:spacing w:val="-3"/>
          <w:sz w:val="21"/>
        </w:rPr>
        <w:t>的有关规定。</w:t>
      </w:r>
      <w:r>
        <w:rPr>
          <w:spacing w:val="-3"/>
          <w:sz w:val="21"/>
        </w:rPr>
        <w:t xml:space="preserve"> </w:t>
      </w:r>
    </w:p>
    <w:p w14:paraId="3FDA6099" w14:textId="77777777" w:rsidR="00A71EEF" w:rsidRDefault="0081115D">
      <w:pPr>
        <w:pStyle w:val="4"/>
        <w:spacing w:line="275" w:lineRule="exact"/>
      </w:pPr>
      <w:r>
        <w:t xml:space="preserve">4 </w:t>
      </w:r>
      <w:r>
        <w:t>消防联动控制设计</w:t>
      </w:r>
      <w:r>
        <w:rPr>
          <w:w w:val="99"/>
        </w:rPr>
        <w:t xml:space="preserve"> </w:t>
      </w:r>
    </w:p>
    <w:p w14:paraId="37B89CEF" w14:textId="77777777" w:rsidR="00A71EEF" w:rsidRDefault="00A71EEF">
      <w:pPr>
        <w:pStyle w:val="a3"/>
        <w:spacing w:before="6"/>
        <w:rPr>
          <w:b/>
          <w:sz w:val="17"/>
        </w:rPr>
      </w:pPr>
    </w:p>
    <w:p w14:paraId="40693E03" w14:textId="77777777" w:rsidR="00A71EEF" w:rsidRDefault="0081115D">
      <w:pPr>
        <w:pStyle w:val="a4"/>
        <w:numPr>
          <w:ilvl w:val="1"/>
          <w:numId w:val="389"/>
        </w:numPr>
        <w:tabs>
          <w:tab w:val="left" w:pos="1159"/>
        </w:tabs>
        <w:spacing w:before="1"/>
        <w:ind w:hanging="319"/>
        <w:rPr>
          <w:b/>
          <w:sz w:val="21"/>
        </w:rPr>
      </w:pPr>
      <w:r>
        <w:rPr>
          <w:spacing w:val="-3"/>
          <w:sz w:val="21"/>
        </w:rPr>
        <w:t>一般规定</w:t>
      </w:r>
      <w:r>
        <w:rPr>
          <w:b/>
          <w:w w:val="99"/>
          <w:sz w:val="21"/>
        </w:rPr>
        <w:t xml:space="preserve"> </w:t>
      </w:r>
    </w:p>
    <w:p w14:paraId="207CD3FB" w14:textId="77777777" w:rsidR="00A71EEF" w:rsidRDefault="00A71EEF">
      <w:pPr>
        <w:pStyle w:val="a3"/>
        <w:rPr>
          <w:b/>
          <w:sz w:val="18"/>
        </w:rPr>
      </w:pPr>
    </w:p>
    <w:p w14:paraId="6FDD0452" w14:textId="77777777" w:rsidR="00A71EEF" w:rsidRDefault="0081115D">
      <w:pPr>
        <w:pStyle w:val="a4"/>
        <w:numPr>
          <w:ilvl w:val="2"/>
          <w:numId w:val="389"/>
        </w:numPr>
        <w:tabs>
          <w:tab w:val="left" w:pos="1438"/>
        </w:tabs>
        <w:spacing w:line="446" w:lineRule="auto"/>
        <w:ind w:right="1431" w:firstLine="422"/>
        <w:rPr>
          <w:sz w:val="21"/>
        </w:rPr>
      </w:pPr>
      <w:r>
        <w:rPr>
          <w:spacing w:val="-3"/>
          <w:sz w:val="21"/>
        </w:rPr>
        <w:t>消防联动控制器应能按设定的控制逻辑向各相关的受控设备发出联动控制信号，并接受相关</w:t>
      </w:r>
      <w:r>
        <w:rPr>
          <w:spacing w:val="-3"/>
          <w:sz w:val="21"/>
        </w:rPr>
        <w:t xml:space="preserve"> </w:t>
      </w:r>
      <w:r>
        <w:rPr>
          <w:spacing w:val="-3"/>
          <w:sz w:val="21"/>
        </w:rPr>
        <w:t>设备的联动反馈信号。</w:t>
      </w:r>
      <w:r>
        <w:rPr>
          <w:sz w:val="21"/>
        </w:rPr>
        <w:t xml:space="preserve"> </w:t>
      </w:r>
    </w:p>
    <w:p w14:paraId="0CFBAA37" w14:textId="77777777" w:rsidR="00A71EEF" w:rsidRDefault="0081115D">
      <w:pPr>
        <w:pStyle w:val="a4"/>
        <w:numPr>
          <w:ilvl w:val="2"/>
          <w:numId w:val="389"/>
        </w:numPr>
        <w:tabs>
          <w:tab w:val="left" w:pos="1371"/>
        </w:tabs>
        <w:spacing w:line="446" w:lineRule="auto"/>
        <w:ind w:right="1431" w:firstLine="422"/>
        <w:rPr>
          <w:b/>
          <w:sz w:val="21"/>
        </w:rPr>
      </w:pPr>
      <w:r>
        <w:rPr>
          <w:spacing w:val="-2"/>
          <w:sz w:val="21"/>
        </w:rPr>
        <w:t>消防联动控制器的电压控制输出应采用直流</w:t>
      </w:r>
      <w:r>
        <w:rPr>
          <w:spacing w:val="-2"/>
          <w:sz w:val="21"/>
        </w:rPr>
        <w:t xml:space="preserve"> </w:t>
      </w:r>
      <w:r>
        <w:rPr>
          <w:sz w:val="21"/>
        </w:rPr>
        <w:t>24V</w:t>
      </w:r>
      <w:r>
        <w:rPr>
          <w:spacing w:val="-3"/>
          <w:sz w:val="21"/>
        </w:rPr>
        <w:t xml:space="preserve"> </w:t>
      </w:r>
      <w:r>
        <w:rPr>
          <w:spacing w:val="-3"/>
          <w:sz w:val="21"/>
        </w:rPr>
        <w:t>，其电源容量应满足受控消防设备同时启动</w:t>
      </w:r>
      <w:r>
        <w:rPr>
          <w:spacing w:val="-3"/>
          <w:sz w:val="21"/>
        </w:rPr>
        <w:t xml:space="preserve"> </w:t>
      </w:r>
      <w:r>
        <w:rPr>
          <w:spacing w:val="-3"/>
          <w:sz w:val="21"/>
        </w:rPr>
        <w:t>且维持工作的控制容量要求。</w:t>
      </w:r>
      <w:r>
        <w:rPr>
          <w:b/>
          <w:w w:val="99"/>
          <w:sz w:val="21"/>
        </w:rPr>
        <w:t xml:space="preserve">   </w:t>
      </w:r>
    </w:p>
    <w:p w14:paraId="2DBDAD2A" w14:textId="77777777" w:rsidR="00A71EEF" w:rsidRDefault="0081115D">
      <w:pPr>
        <w:pStyle w:val="a4"/>
        <w:numPr>
          <w:ilvl w:val="2"/>
          <w:numId w:val="389"/>
        </w:numPr>
        <w:tabs>
          <w:tab w:val="left" w:pos="1370"/>
        </w:tabs>
        <w:spacing w:line="267" w:lineRule="exact"/>
        <w:ind w:left="1369" w:hanging="530"/>
        <w:rPr>
          <w:sz w:val="21"/>
        </w:rPr>
      </w:pPr>
      <w:r>
        <w:rPr>
          <w:spacing w:val="-3"/>
          <w:sz w:val="21"/>
        </w:rPr>
        <w:t>各受控设备接口的特性参数应与消防联动控制器发出的联动控制信号相匹配。</w:t>
      </w:r>
      <w:r>
        <w:rPr>
          <w:spacing w:val="-3"/>
          <w:sz w:val="21"/>
        </w:rPr>
        <w:t xml:space="preserve"> </w:t>
      </w:r>
      <w:r>
        <w:rPr>
          <w:sz w:val="21"/>
        </w:rPr>
        <w:t xml:space="preserve"> </w:t>
      </w:r>
    </w:p>
    <w:p w14:paraId="60A8EC0A" w14:textId="77777777" w:rsidR="00A71EEF" w:rsidRDefault="00A71EEF">
      <w:pPr>
        <w:pStyle w:val="a3"/>
        <w:spacing w:before="1"/>
        <w:rPr>
          <w:sz w:val="18"/>
        </w:rPr>
      </w:pPr>
    </w:p>
    <w:p w14:paraId="4B7415EC" w14:textId="77777777" w:rsidR="00A71EEF" w:rsidRDefault="0081115D">
      <w:pPr>
        <w:pStyle w:val="a4"/>
        <w:numPr>
          <w:ilvl w:val="2"/>
          <w:numId w:val="389"/>
        </w:numPr>
        <w:tabs>
          <w:tab w:val="left" w:pos="1371"/>
          <w:tab w:val="left" w:pos="3358"/>
          <w:tab w:val="left" w:pos="3778"/>
          <w:tab w:val="left" w:pos="4198"/>
        </w:tabs>
        <w:spacing w:before="1" w:line="446" w:lineRule="auto"/>
        <w:ind w:right="1433" w:firstLine="422"/>
        <w:rPr>
          <w:b/>
          <w:sz w:val="21"/>
        </w:rPr>
      </w:pPr>
      <w:r>
        <w:rPr>
          <w:spacing w:val="-3"/>
          <w:sz w:val="21"/>
        </w:rPr>
        <w:t>消</w:t>
      </w:r>
      <w:r>
        <w:rPr>
          <w:sz w:val="21"/>
        </w:rPr>
        <w:t>防</w:t>
      </w:r>
      <w:r>
        <w:rPr>
          <w:spacing w:val="-3"/>
          <w:sz w:val="21"/>
        </w:rPr>
        <w:t>水</w:t>
      </w:r>
      <w:r>
        <w:rPr>
          <w:sz w:val="21"/>
        </w:rPr>
        <w:t>泵</w:t>
      </w:r>
      <w:r>
        <w:rPr>
          <w:spacing w:val="-15"/>
          <w:sz w:val="21"/>
        </w:rPr>
        <w:t>、</w:t>
      </w:r>
      <w:r>
        <w:rPr>
          <w:sz w:val="21"/>
        </w:rPr>
        <w:t>防</w:t>
      </w:r>
      <w:r>
        <w:rPr>
          <w:spacing w:val="-3"/>
          <w:sz w:val="21"/>
        </w:rPr>
        <w:t>烟和</w:t>
      </w:r>
      <w:r>
        <w:rPr>
          <w:sz w:val="21"/>
        </w:rPr>
        <w:t>排烟</w:t>
      </w:r>
      <w:r>
        <w:rPr>
          <w:spacing w:val="-3"/>
          <w:sz w:val="21"/>
        </w:rPr>
        <w:t>风</w:t>
      </w:r>
      <w:r>
        <w:rPr>
          <w:sz w:val="21"/>
        </w:rPr>
        <w:t>机</w:t>
      </w:r>
      <w:r>
        <w:rPr>
          <w:spacing w:val="-3"/>
          <w:sz w:val="21"/>
        </w:rPr>
        <w:t>的</w:t>
      </w:r>
      <w:r>
        <w:rPr>
          <w:sz w:val="21"/>
        </w:rPr>
        <w:t>控</w:t>
      </w:r>
      <w:r>
        <w:rPr>
          <w:spacing w:val="-3"/>
          <w:sz w:val="21"/>
        </w:rPr>
        <w:t>制</w:t>
      </w:r>
      <w:r>
        <w:rPr>
          <w:sz w:val="21"/>
        </w:rPr>
        <w:t>设</w:t>
      </w:r>
      <w:r>
        <w:rPr>
          <w:spacing w:val="-3"/>
          <w:sz w:val="21"/>
        </w:rPr>
        <w:t>备</w:t>
      </w:r>
      <w:r>
        <w:rPr>
          <w:spacing w:val="-15"/>
          <w:sz w:val="21"/>
        </w:rPr>
        <w:t>，</w:t>
      </w:r>
      <w:r>
        <w:rPr>
          <w:spacing w:val="-3"/>
          <w:sz w:val="21"/>
        </w:rPr>
        <w:t>除</w:t>
      </w:r>
      <w:r>
        <w:rPr>
          <w:sz w:val="21"/>
        </w:rPr>
        <w:t>应采</w:t>
      </w:r>
      <w:r>
        <w:rPr>
          <w:spacing w:val="-3"/>
          <w:sz w:val="21"/>
        </w:rPr>
        <w:t>用</w:t>
      </w:r>
      <w:r>
        <w:rPr>
          <w:sz w:val="21"/>
        </w:rPr>
        <w:t>联</w:t>
      </w:r>
      <w:r>
        <w:rPr>
          <w:spacing w:val="-3"/>
          <w:sz w:val="21"/>
        </w:rPr>
        <w:t>动</w:t>
      </w:r>
      <w:r>
        <w:rPr>
          <w:sz w:val="21"/>
        </w:rPr>
        <w:t>控</w:t>
      </w:r>
      <w:r>
        <w:rPr>
          <w:spacing w:val="-3"/>
          <w:sz w:val="21"/>
        </w:rPr>
        <w:t>制</w:t>
      </w:r>
      <w:r>
        <w:rPr>
          <w:sz w:val="21"/>
        </w:rPr>
        <w:t>方</w:t>
      </w:r>
      <w:r>
        <w:rPr>
          <w:spacing w:val="-3"/>
          <w:sz w:val="21"/>
        </w:rPr>
        <w:t>式外</w:t>
      </w:r>
      <w:r>
        <w:rPr>
          <w:spacing w:val="-15"/>
          <w:sz w:val="21"/>
        </w:rPr>
        <w:t>，</w:t>
      </w:r>
      <w:r>
        <w:rPr>
          <w:sz w:val="21"/>
        </w:rPr>
        <w:t>还应</w:t>
      </w:r>
      <w:r>
        <w:rPr>
          <w:spacing w:val="-3"/>
          <w:sz w:val="21"/>
        </w:rPr>
        <w:t>在</w:t>
      </w:r>
      <w:r>
        <w:rPr>
          <w:sz w:val="21"/>
        </w:rPr>
        <w:t>消</w:t>
      </w:r>
      <w:r>
        <w:rPr>
          <w:spacing w:val="-3"/>
          <w:sz w:val="21"/>
        </w:rPr>
        <w:t>防</w:t>
      </w:r>
      <w:r>
        <w:rPr>
          <w:sz w:val="21"/>
        </w:rPr>
        <w:t>控制室设</w:t>
      </w:r>
      <w:r>
        <w:rPr>
          <w:spacing w:val="-3"/>
          <w:sz w:val="21"/>
        </w:rPr>
        <w:t>置</w:t>
      </w:r>
      <w:r>
        <w:rPr>
          <w:spacing w:val="14"/>
          <w:sz w:val="21"/>
        </w:rPr>
        <w:t xml:space="preserve"> </w:t>
      </w:r>
      <w:r>
        <w:rPr>
          <w:spacing w:val="-3"/>
          <w:sz w:val="21"/>
        </w:rPr>
        <w:t>手</w:t>
      </w:r>
      <w:r>
        <w:rPr>
          <w:sz w:val="21"/>
        </w:rPr>
        <w:t>动</w:t>
      </w:r>
      <w:r>
        <w:rPr>
          <w:spacing w:val="-3"/>
          <w:sz w:val="21"/>
        </w:rPr>
        <w:t>直</w:t>
      </w:r>
      <w:r>
        <w:rPr>
          <w:sz w:val="21"/>
        </w:rPr>
        <w:t>接</w:t>
      </w:r>
      <w:r>
        <w:rPr>
          <w:spacing w:val="-3"/>
          <w:sz w:val="21"/>
        </w:rPr>
        <w:t>控</w:t>
      </w:r>
      <w:r>
        <w:rPr>
          <w:sz w:val="21"/>
        </w:rPr>
        <w:t>制</w:t>
      </w:r>
      <w:r>
        <w:rPr>
          <w:spacing w:val="-3"/>
          <w:sz w:val="21"/>
        </w:rPr>
        <w:t>装置</w:t>
      </w:r>
      <w:r>
        <w:rPr>
          <w:sz w:val="21"/>
        </w:rPr>
        <w:t>。</w:t>
      </w:r>
      <w:r>
        <w:rPr>
          <w:sz w:val="21"/>
        </w:rPr>
        <w:t xml:space="preserve"> </w:t>
      </w:r>
      <w:r>
        <w:rPr>
          <w:sz w:val="21"/>
        </w:rPr>
        <w:tab/>
      </w:r>
      <w:r>
        <w:rPr>
          <w:sz w:val="21"/>
        </w:rPr>
        <w:t xml:space="preserve"> </w:t>
      </w:r>
      <w:r>
        <w:rPr>
          <w:b/>
          <w:w w:val="99"/>
          <w:sz w:val="21"/>
        </w:rPr>
        <w:t xml:space="preserve"> </w:t>
      </w:r>
      <w:r>
        <w:rPr>
          <w:b/>
          <w:sz w:val="21"/>
        </w:rPr>
        <w:tab/>
      </w:r>
      <w:r>
        <w:rPr>
          <w:b/>
          <w:w w:val="99"/>
          <w:sz w:val="21"/>
        </w:rPr>
        <w:t xml:space="preserve">  </w:t>
      </w:r>
      <w:r>
        <w:rPr>
          <w:b/>
          <w:sz w:val="21"/>
        </w:rPr>
        <w:tab/>
      </w:r>
      <w:r>
        <w:rPr>
          <w:b/>
          <w:w w:val="99"/>
          <w:sz w:val="21"/>
        </w:rPr>
        <w:t xml:space="preserve">  </w:t>
      </w:r>
    </w:p>
    <w:p w14:paraId="3F79D3DA" w14:textId="77777777" w:rsidR="00A71EEF" w:rsidRDefault="0081115D">
      <w:pPr>
        <w:pStyle w:val="a4"/>
        <w:numPr>
          <w:ilvl w:val="2"/>
          <w:numId w:val="389"/>
        </w:numPr>
        <w:tabs>
          <w:tab w:val="left" w:pos="1370"/>
          <w:tab w:val="left" w:pos="5458"/>
        </w:tabs>
        <w:spacing w:line="267" w:lineRule="exact"/>
        <w:ind w:left="1369" w:hanging="530"/>
        <w:rPr>
          <w:sz w:val="21"/>
        </w:rPr>
      </w:pPr>
      <w:r>
        <w:rPr>
          <w:spacing w:val="-3"/>
          <w:sz w:val="21"/>
        </w:rPr>
        <w:t>启</w:t>
      </w:r>
      <w:r>
        <w:rPr>
          <w:sz w:val="21"/>
        </w:rPr>
        <w:t>动</w:t>
      </w:r>
      <w:r>
        <w:rPr>
          <w:spacing w:val="-3"/>
          <w:sz w:val="21"/>
        </w:rPr>
        <w:t>电</w:t>
      </w:r>
      <w:r>
        <w:rPr>
          <w:sz w:val="21"/>
        </w:rPr>
        <w:t>流</w:t>
      </w:r>
      <w:r>
        <w:rPr>
          <w:spacing w:val="-3"/>
          <w:sz w:val="21"/>
        </w:rPr>
        <w:t>较</w:t>
      </w:r>
      <w:r>
        <w:rPr>
          <w:sz w:val="21"/>
        </w:rPr>
        <w:t>大</w:t>
      </w:r>
      <w:r>
        <w:rPr>
          <w:spacing w:val="-3"/>
          <w:sz w:val="21"/>
        </w:rPr>
        <w:t>的消</w:t>
      </w:r>
      <w:r>
        <w:rPr>
          <w:sz w:val="21"/>
        </w:rPr>
        <w:t>防设</w:t>
      </w:r>
      <w:r>
        <w:rPr>
          <w:spacing w:val="-3"/>
          <w:sz w:val="21"/>
        </w:rPr>
        <w:t>备</w:t>
      </w:r>
      <w:r>
        <w:rPr>
          <w:sz w:val="21"/>
        </w:rPr>
        <w:t>宜</w:t>
      </w:r>
      <w:r>
        <w:rPr>
          <w:spacing w:val="-3"/>
          <w:sz w:val="21"/>
        </w:rPr>
        <w:t>分</w:t>
      </w:r>
      <w:r>
        <w:rPr>
          <w:sz w:val="21"/>
        </w:rPr>
        <w:t>时</w:t>
      </w:r>
      <w:r>
        <w:rPr>
          <w:spacing w:val="-3"/>
          <w:sz w:val="21"/>
        </w:rPr>
        <w:t>启</w:t>
      </w:r>
      <w:r>
        <w:rPr>
          <w:sz w:val="21"/>
        </w:rPr>
        <w:t>动</w:t>
      </w:r>
      <w:r>
        <w:rPr>
          <w:spacing w:val="-3"/>
          <w:sz w:val="21"/>
        </w:rPr>
        <w:t>。</w:t>
      </w:r>
      <w:r>
        <w:rPr>
          <w:sz w:val="21"/>
        </w:rPr>
        <w:t xml:space="preserve"> </w:t>
      </w:r>
      <w:r>
        <w:rPr>
          <w:sz w:val="21"/>
        </w:rPr>
        <w:tab/>
      </w:r>
      <w:r>
        <w:rPr>
          <w:sz w:val="21"/>
        </w:rPr>
        <w:t xml:space="preserve">  </w:t>
      </w:r>
    </w:p>
    <w:p w14:paraId="3FC13939" w14:textId="77777777" w:rsidR="00A71EEF" w:rsidRDefault="00A71EEF">
      <w:pPr>
        <w:pStyle w:val="a3"/>
        <w:spacing w:before="1"/>
        <w:rPr>
          <w:sz w:val="18"/>
        </w:rPr>
      </w:pPr>
    </w:p>
    <w:p w14:paraId="72BD102D" w14:textId="77777777" w:rsidR="00A71EEF" w:rsidRDefault="0081115D">
      <w:pPr>
        <w:pStyle w:val="a4"/>
        <w:numPr>
          <w:ilvl w:val="2"/>
          <w:numId w:val="389"/>
        </w:numPr>
        <w:tabs>
          <w:tab w:val="left" w:pos="1370"/>
        </w:tabs>
        <w:ind w:left="1369" w:hanging="530"/>
        <w:rPr>
          <w:sz w:val="21"/>
        </w:rPr>
      </w:pPr>
      <w:r>
        <w:rPr>
          <w:spacing w:val="-5"/>
          <w:sz w:val="21"/>
        </w:rPr>
        <w:t>需要火灾自动报警系统联动控制的消防设备，其联动触发信号应采用两个独立的报警</w:t>
      </w:r>
    </w:p>
    <w:p w14:paraId="5A2291B2" w14:textId="77777777" w:rsidR="00A71EEF" w:rsidRDefault="00A71EEF">
      <w:pPr>
        <w:rPr>
          <w:sz w:val="21"/>
        </w:rPr>
        <w:sectPr w:rsidR="00A71EEF">
          <w:pgSz w:w="11910" w:h="16850"/>
          <w:pgMar w:top="1220" w:right="0" w:bottom="1420" w:left="1260" w:header="0" w:footer="1239" w:gutter="0"/>
          <w:cols w:space="720"/>
        </w:sectPr>
      </w:pPr>
    </w:p>
    <w:p w14:paraId="7B3C4389" w14:textId="77777777" w:rsidR="00A71EEF" w:rsidRDefault="0081115D">
      <w:pPr>
        <w:tabs>
          <w:tab w:val="left" w:pos="4618"/>
          <w:tab w:val="left" w:pos="5038"/>
        </w:tabs>
        <w:spacing w:before="47" w:line="446" w:lineRule="auto"/>
        <w:ind w:left="840" w:right="5394" w:hanging="423"/>
        <w:rPr>
          <w:b/>
          <w:sz w:val="21"/>
        </w:rPr>
      </w:pPr>
      <w:r>
        <w:rPr>
          <w:sz w:val="21"/>
        </w:rPr>
        <w:t>触发</w:t>
      </w:r>
      <w:r>
        <w:rPr>
          <w:spacing w:val="-3"/>
          <w:sz w:val="21"/>
        </w:rPr>
        <w:t>装</w:t>
      </w:r>
      <w:r>
        <w:rPr>
          <w:spacing w:val="20"/>
          <w:sz w:val="21"/>
        </w:rPr>
        <w:t xml:space="preserve"> </w:t>
      </w:r>
      <w:r>
        <w:rPr>
          <w:spacing w:val="-3"/>
          <w:sz w:val="21"/>
        </w:rPr>
        <w:t>置</w:t>
      </w:r>
      <w:r>
        <w:rPr>
          <w:sz w:val="21"/>
        </w:rPr>
        <w:t>报</w:t>
      </w:r>
      <w:r>
        <w:rPr>
          <w:spacing w:val="-3"/>
          <w:sz w:val="21"/>
        </w:rPr>
        <w:t>警</w:t>
      </w:r>
      <w:r>
        <w:rPr>
          <w:sz w:val="21"/>
        </w:rPr>
        <w:t>信</w:t>
      </w:r>
      <w:r>
        <w:rPr>
          <w:spacing w:val="-3"/>
          <w:sz w:val="21"/>
        </w:rPr>
        <w:t>号</w:t>
      </w:r>
      <w:r>
        <w:rPr>
          <w:sz w:val="21"/>
        </w:rPr>
        <w:t>的</w:t>
      </w:r>
      <w:r>
        <w:rPr>
          <w:spacing w:val="-3"/>
          <w:sz w:val="21"/>
        </w:rPr>
        <w:t>“</w:t>
      </w:r>
      <w:r>
        <w:rPr>
          <w:spacing w:val="-3"/>
          <w:sz w:val="21"/>
        </w:rPr>
        <w:t>与</w:t>
      </w:r>
      <w:r>
        <w:rPr>
          <w:sz w:val="21"/>
        </w:rPr>
        <w:t>”</w:t>
      </w:r>
      <w:r>
        <w:rPr>
          <w:sz w:val="21"/>
        </w:rPr>
        <w:t>逻</w:t>
      </w:r>
      <w:r>
        <w:rPr>
          <w:spacing w:val="-3"/>
          <w:sz w:val="21"/>
        </w:rPr>
        <w:t>辑</w:t>
      </w:r>
      <w:r>
        <w:rPr>
          <w:sz w:val="21"/>
        </w:rPr>
        <w:t>组</w:t>
      </w:r>
      <w:r>
        <w:rPr>
          <w:spacing w:val="-3"/>
          <w:sz w:val="21"/>
        </w:rPr>
        <w:t>合。</w:t>
      </w:r>
      <w:r>
        <w:rPr>
          <w:b/>
          <w:w w:val="99"/>
          <w:sz w:val="21"/>
        </w:rPr>
        <w:t xml:space="preserve">   </w:t>
      </w:r>
      <w:r>
        <w:rPr>
          <w:b/>
          <w:sz w:val="21"/>
        </w:rPr>
        <w:tab/>
      </w:r>
      <w:r>
        <w:rPr>
          <w:b/>
          <w:w w:val="99"/>
          <w:sz w:val="21"/>
        </w:rPr>
        <w:t xml:space="preserve">  </w:t>
      </w:r>
      <w:r>
        <w:rPr>
          <w:b/>
          <w:sz w:val="21"/>
        </w:rPr>
        <w:tab/>
      </w:r>
      <w:r>
        <w:rPr>
          <w:b/>
          <w:w w:val="99"/>
          <w:sz w:val="21"/>
        </w:rPr>
        <w:t xml:space="preserve">  </w:t>
      </w:r>
      <w:r>
        <w:rPr>
          <w:b/>
          <w:sz w:val="21"/>
        </w:rPr>
        <w:t>4.2</w:t>
      </w:r>
      <w:r>
        <w:rPr>
          <w:b/>
          <w:spacing w:val="3"/>
          <w:sz w:val="21"/>
        </w:rPr>
        <w:t xml:space="preserve"> </w:t>
      </w:r>
      <w:r>
        <w:rPr>
          <w:spacing w:val="-3"/>
          <w:sz w:val="21"/>
        </w:rPr>
        <w:t>自</w:t>
      </w:r>
      <w:r>
        <w:rPr>
          <w:sz w:val="21"/>
        </w:rPr>
        <w:t>动</w:t>
      </w:r>
      <w:r>
        <w:rPr>
          <w:spacing w:val="-3"/>
          <w:sz w:val="21"/>
        </w:rPr>
        <w:t>喷</w:t>
      </w:r>
      <w:r>
        <w:rPr>
          <w:sz w:val="21"/>
        </w:rPr>
        <w:t>水</w:t>
      </w:r>
      <w:r>
        <w:rPr>
          <w:spacing w:val="-3"/>
          <w:sz w:val="21"/>
        </w:rPr>
        <w:t>灭</w:t>
      </w:r>
      <w:r>
        <w:rPr>
          <w:sz w:val="21"/>
        </w:rPr>
        <w:t>火</w:t>
      </w:r>
      <w:r>
        <w:rPr>
          <w:spacing w:val="-3"/>
          <w:sz w:val="21"/>
        </w:rPr>
        <w:t>系</w:t>
      </w:r>
      <w:r>
        <w:rPr>
          <w:sz w:val="21"/>
        </w:rPr>
        <w:t>统</w:t>
      </w:r>
      <w:r>
        <w:rPr>
          <w:spacing w:val="-3"/>
          <w:sz w:val="21"/>
        </w:rPr>
        <w:t>的</w:t>
      </w:r>
      <w:r>
        <w:rPr>
          <w:sz w:val="21"/>
        </w:rPr>
        <w:t>联动</w:t>
      </w:r>
      <w:r>
        <w:rPr>
          <w:spacing w:val="-3"/>
          <w:sz w:val="21"/>
        </w:rPr>
        <w:t>控</w:t>
      </w:r>
      <w:r>
        <w:rPr>
          <w:sz w:val="21"/>
        </w:rPr>
        <w:t>制</w:t>
      </w:r>
      <w:r>
        <w:rPr>
          <w:spacing w:val="-3"/>
          <w:sz w:val="21"/>
        </w:rPr>
        <w:t>设计</w:t>
      </w:r>
      <w:r>
        <w:rPr>
          <w:b/>
          <w:w w:val="99"/>
          <w:sz w:val="21"/>
        </w:rPr>
        <w:t xml:space="preserve"> </w:t>
      </w:r>
    </w:p>
    <w:p w14:paraId="51F7D1DC" w14:textId="77777777" w:rsidR="00A71EEF" w:rsidRDefault="0081115D">
      <w:pPr>
        <w:pStyle w:val="a4"/>
        <w:numPr>
          <w:ilvl w:val="2"/>
          <w:numId w:val="388"/>
        </w:numPr>
        <w:tabs>
          <w:tab w:val="left" w:pos="1424"/>
        </w:tabs>
        <w:spacing w:line="267" w:lineRule="exact"/>
        <w:rPr>
          <w:b/>
          <w:sz w:val="21"/>
        </w:rPr>
      </w:pPr>
      <w:r>
        <w:rPr>
          <w:spacing w:val="-3"/>
          <w:sz w:val="21"/>
        </w:rPr>
        <w:t>湿式系统和干式系统的联动控制设计，应符合下列规定：</w:t>
      </w:r>
      <w:r>
        <w:rPr>
          <w:b/>
          <w:w w:val="99"/>
          <w:sz w:val="21"/>
        </w:rPr>
        <w:t xml:space="preserve"> </w:t>
      </w:r>
    </w:p>
    <w:p w14:paraId="2B3ABEC3" w14:textId="77777777" w:rsidR="00A71EEF" w:rsidRDefault="00A71EEF">
      <w:pPr>
        <w:pStyle w:val="a3"/>
        <w:spacing w:before="2"/>
        <w:rPr>
          <w:b/>
          <w:sz w:val="18"/>
        </w:rPr>
      </w:pPr>
    </w:p>
    <w:p w14:paraId="07B51084" w14:textId="77777777" w:rsidR="00A71EEF" w:rsidRDefault="0081115D">
      <w:pPr>
        <w:pStyle w:val="a4"/>
        <w:numPr>
          <w:ilvl w:val="0"/>
          <w:numId w:val="387"/>
        </w:numPr>
        <w:tabs>
          <w:tab w:val="left" w:pos="1367"/>
        </w:tabs>
        <w:spacing w:line="446" w:lineRule="auto"/>
        <w:ind w:right="1431" w:firstLine="419"/>
        <w:rPr>
          <w:sz w:val="21"/>
        </w:rPr>
      </w:pPr>
      <w:r>
        <w:rPr>
          <w:spacing w:val="-11"/>
          <w:sz w:val="21"/>
        </w:rPr>
        <w:t>联动控制方式，应由湿式报警阀压力开关的动作信号作为触发信号，直接控制启动喷</w:t>
      </w:r>
      <w:r>
        <w:rPr>
          <w:spacing w:val="-11"/>
          <w:sz w:val="21"/>
        </w:rPr>
        <w:t xml:space="preserve"> </w:t>
      </w:r>
      <w:r>
        <w:rPr>
          <w:spacing w:val="-3"/>
          <w:sz w:val="21"/>
        </w:rPr>
        <w:t>淋消防泵，联动控制不应受消防联动控制器处于自动或手动状态影响。</w:t>
      </w:r>
      <w:r>
        <w:rPr>
          <w:sz w:val="21"/>
        </w:rPr>
        <w:t xml:space="preserve"> </w:t>
      </w:r>
    </w:p>
    <w:p w14:paraId="48474AFB" w14:textId="77777777" w:rsidR="00A71EEF" w:rsidRDefault="0081115D">
      <w:pPr>
        <w:pStyle w:val="a4"/>
        <w:numPr>
          <w:ilvl w:val="0"/>
          <w:numId w:val="387"/>
        </w:numPr>
        <w:tabs>
          <w:tab w:val="left" w:pos="1365"/>
        </w:tabs>
        <w:spacing w:line="446" w:lineRule="auto"/>
        <w:ind w:right="1330" w:firstLine="419"/>
        <w:rPr>
          <w:sz w:val="21"/>
        </w:rPr>
      </w:pPr>
      <w:r>
        <w:rPr>
          <w:spacing w:val="-9"/>
          <w:sz w:val="21"/>
        </w:rPr>
        <w:t>手动控制方式，应将喷淋消防泵控制箱</w:t>
      </w:r>
      <w:r>
        <w:rPr>
          <w:sz w:val="21"/>
        </w:rPr>
        <w:t>（</w:t>
      </w:r>
      <w:r>
        <w:rPr>
          <w:spacing w:val="-3"/>
          <w:sz w:val="21"/>
        </w:rPr>
        <w:t>柜</w:t>
      </w:r>
      <w:r>
        <w:rPr>
          <w:spacing w:val="-29"/>
          <w:sz w:val="21"/>
        </w:rPr>
        <w:t>）</w:t>
      </w:r>
      <w:r>
        <w:rPr>
          <w:spacing w:val="-6"/>
          <w:sz w:val="21"/>
        </w:rPr>
        <w:t>的启动、停止按钮用专用线路直接连接至</w:t>
      </w:r>
      <w:r>
        <w:rPr>
          <w:spacing w:val="-9"/>
          <w:sz w:val="21"/>
        </w:rPr>
        <w:t>设置在消防控制室内的消防联动控制器的手动控制盘，直接手动控制喷淋消防泵的启动、停止。</w:t>
      </w:r>
      <w:r>
        <w:rPr>
          <w:sz w:val="21"/>
        </w:rPr>
        <w:t xml:space="preserve"> </w:t>
      </w:r>
    </w:p>
    <w:p w14:paraId="72144D68" w14:textId="77777777" w:rsidR="00A71EEF" w:rsidRDefault="0081115D">
      <w:pPr>
        <w:pStyle w:val="a4"/>
        <w:numPr>
          <w:ilvl w:val="0"/>
          <w:numId w:val="387"/>
        </w:numPr>
        <w:tabs>
          <w:tab w:val="left" w:pos="1367"/>
          <w:tab w:val="left" w:pos="2097"/>
        </w:tabs>
        <w:spacing w:line="446" w:lineRule="auto"/>
        <w:ind w:right="1431" w:firstLine="419"/>
        <w:rPr>
          <w:sz w:val="21"/>
        </w:rPr>
      </w:pPr>
      <w:r>
        <w:rPr>
          <w:sz w:val="21"/>
        </w:rPr>
        <w:t>水</w:t>
      </w:r>
      <w:r>
        <w:rPr>
          <w:spacing w:val="-3"/>
          <w:sz w:val="21"/>
        </w:rPr>
        <w:t>流</w:t>
      </w:r>
      <w:r>
        <w:rPr>
          <w:sz w:val="21"/>
        </w:rPr>
        <w:t>指</w:t>
      </w:r>
      <w:r>
        <w:rPr>
          <w:spacing w:val="-3"/>
          <w:sz w:val="21"/>
        </w:rPr>
        <w:t>示器</w:t>
      </w:r>
      <w:r>
        <w:rPr>
          <w:spacing w:val="-34"/>
          <w:sz w:val="21"/>
        </w:rPr>
        <w:t>、</w:t>
      </w:r>
      <w:r>
        <w:rPr>
          <w:spacing w:val="-3"/>
          <w:sz w:val="21"/>
        </w:rPr>
        <w:t>信</w:t>
      </w:r>
      <w:r>
        <w:rPr>
          <w:sz w:val="21"/>
        </w:rPr>
        <w:t>号</w:t>
      </w:r>
      <w:r>
        <w:rPr>
          <w:spacing w:val="-3"/>
          <w:sz w:val="21"/>
        </w:rPr>
        <w:t>阀</w:t>
      </w:r>
      <w:r>
        <w:rPr>
          <w:spacing w:val="-34"/>
          <w:sz w:val="21"/>
        </w:rPr>
        <w:t>、</w:t>
      </w:r>
      <w:r>
        <w:rPr>
          <w:spacing w:val="-3"/>
          <w:sz w:val="21"/>
        </w:rPr>
        <w:t>压</w:t>
      </w:r>
      <w:r>
        <w:rPr>
          <w:sz w:val="21"/>
        </w:rPr>
        <w:t>力</w:t>
      </w:r>
      <w:r>
        <w:rPr>
          <w:spacing w:val="-3"/>
          <w:sz w:val="21"/>
        </w:rPr>
        <w:t>开</w:t>
      </w:r>
      <w:r>
        <w:rPr>
          <w:sz w:val="21"/>
        </w:rPr>
        <w:t>关</w:t>
      </w:r>
      <w:r>
        <w:rPr>
          <w:spacing w:val="-36"/>
          <w:sz w:val="21"/>
        </w:rPr>
        <w:t>、</w:t>
      </w:r>
      <w:r>
        <w:rPr>
          <w:sz w:val="21"/>
        </w:rPr>
        <w:t>喷</w:t>
      </w:r>
      <w:r>
        <w:rPr>
          <w:spacing w:val="-3"/>
          <w:sz w:val="21"/>
        </w:rPr>
        <w:t>淋</w:t>
      </w:r>
      <w:r>
        <w:rPr>
          <w:sz w:val="21"/>
        </w:rPr>
        <w:t>消</w:t>
      </w:r>
      <w:r>
        <w:rPr>
          <w:spacing w:val="-3"/>
          <w:sz w:val="21"/>
        </w:rPr>
        <w:t>防</w:t>
      </w:r>
      <w:r>
        <w:rPr>
          <w:sz w:val="21"/>
        </w:rPr>
        <w:t>泵</w:t>
      </w:r>
      <w:r>
        <w:rPr>
          <w:spacing w:val="-3"/>
          <w:sz w:val="21"/>
        </w:rPr>
        <w:t>的</w:t>
      </w:r>
      <w:r>
        <w:rPr>
          <w:sz w:val="21"/>
        </w:rPr>
        <w:t>启动</w:t>
      </w:r>
      <w:r>
        <w:rPr>
          <w:spacing w:val="-3"/>
          <w:sz w:val="21"/>
        </w:rPr>
        <w:t>和</w:t>
      </w:r>
      <w:r>
        <w:rPr>
          <w:sz w:val="21"/>
        </w:rPr>
        <w:t>停</w:t>
      </w:r>
      <w:r>
        <w:rPr>
          <w:spacing w:val="-3"/>
          <w:sz w:val="21"/>
        </w:rPr>
        <w:t>止</w:t>
      </w:r>
      <w:r>
        <w:rPr>
          <w:sz w:val="21"/>
        </w:rPr>
        <w:t>的</w:t>
      </w:r>
      <w:r>
        <w:rPr>
          <w:spacing w:val="-3"/>
          <w:sz w:val="21"/>
        </w:rPr>
        <w:t>动</w:t>
      </w:r>
      <w:r>
        <w:rPr>
          <w:sz w:val="21"/>
        </w:rPr>
        <w:t>作</w:t>
      </w:r>
      <w:r>
        <w:rPr>
          <w:spacing w:val="-3"/>
          <w:sz w:val="21"/>
        </w:rPr>
        <w:t>信</w:t>
      </w:r>
      <w:r>
        <w:rPr>
          <w:sz w:val="21"/>
        </w:rPr>
        <w:t>号</w:t>
      </w:r>
      <w:r>
        <w:rPr>
          <w:spacing w:val="-3"/>
          <w:sz w:val="21"/>
        </w:rPr>
        <w:t>应</w:t>
      </w:r>
      <w:r>
        <w:rPr>
          <w:sz w:val="21"/>
        </w:rPr>
        <w:t>反馈</w:t>
      </w:r>
      <w:r>
        <w:rPr>
          <w:spacing w:val="-3"/>
          <w:sz w:val="21"/>
        </w:rPr>
        <w:t>至</w:t>
      </w:r>
      <w:r>
        <w:rPr>
          <w:sz w:val="21"/>
        </w:rPr>
        <w:t>消</w:t>
      </w:r>
      <w:r>
        <w:rPr>
          <w:spacing w:val="-3"/>
          <w:sz w:val="21"/>
        </w:rPr>
        <w:t>防</w:t>
      </w:r>
      <w:r>
        <w:rPr>
          <w:spacing w:val="-3"/>
          <w:sz w:val="21"/>
        </w:rPr>
        <w:t xml:space="preserve"> </w:t>
      </w:r>
      <w:r>
        <w:rPr>
          <w:sz w:val="21"/>
        </w:rPr>
        <w:t>联动控</w:t>
      </w:r>
      <w:r>
        <w:rPr>
          <w:spacing w:val="-3"/>
          <w:sz w:val="21"/>
        </w:rPr>
        <w:t>制</w:t>
      </w:r>
      <w:r>
        <w:rPr>
          <w:sz w:val="21"/>
        </w:rPr>
        <w:t>器</w:t>
      </w:r>
      <w:r>
        <w:rPr>
          <w:spacing w:val="-3"/>
          <w:sz w:val="21"/>
        </w:rPr>
        <w:t>。</w:t>
      </w:r>
      <w:r>
        <w:rPr>
          <w:sz w:val="21"/>
        </w:rPr>
        <w:t xml:space="preserve"> </w:t>
      </w:r>
      <w:r>
        <w:rPr>
          <w:spacing w:val="-2"/>
          <w:sz w:val="21"/>
        </w:rPr>
        <w:t xml:space="preserve"> </w:t>
      </w:r>
      <w:r>
        <w:rPr>
          <w:sz w:val="21"/>
        </w:rPr>
        <w:t xml:space="preserve">  </w:t>
      </w:r>
      <w:r>
        <w:rPr>
          <w:sz w:val="21"/>
        </w:rPr>
        <w:tab/>
      </w:r>
      <w:r>
        <w:rPr>
          <w:sz w:val="21"/>
        </w:rPr>
        <w:t xml:space="preserve">  </w:t>
      </w:r>
    </w:p>
    <w:p w14:paraId="0FEA80E6" w14:textId="77777777" w:rsidR="00A71EEF" w:rsidRDefault="0081115D">
      <w:pPr>
        <w:pStyle w:val="a4"/>
        <w:numPr>
          <w:ilvl w:val="2"/>
          <w:numId w:val="388"/>
        </w:numPr>
        <w:tabs>
          <w:tab w:val="left" w:pos="1371"/>
        </w:tabs>
        <w:ind w:left="1370" w:hanging="531"/>
        <w:rPr>
          <w:b/>
          <w:sz w:val="21"/>
        </w:rPr>
      </w:pPr>
      <w:r>
        <w:rPr>
          <w:spacing w:val="-3"/>
          <w:sz w:val="21"/>
        </w:rPr>
        <w:t>预作用系统的联动控制设计，应符合下列规定：</w:t>
      </w:r>
      <w:r>
        <w:rPr>
          <w:b/>
          <w:w w:val="99"/>
          <w:sz w:val="21"/>
        </w:rPr>
        <w:t xml:space="preserve"> </w:t>
      </w:r>
    </w:p>
    <w:p w14:paraId="325FC39C" w14:textId="77777777" w:rsidR="00A71EEF" w:rsidRDefault="00A71EEF">
      <w:pPr>
        <w:pStyle w:val="a3"/>
        <w:spacing w:before="10"/>
        <w:rPr>
          <w:b/>
          <w:sz w:val="17"/>
        </w:rPr>
      </w:pPr>
    </w:p>
    <w:p w14:paraId="1EDFF929" w14:textId="77777777" w:rsidR="00A71EEF" w:rsidRDefault="0081115D">
      <w:pPr>
        <w:pStyle w:val="a4"/>
        <w:numPr>
          <w:ilvl w:val="0"/>
          <w:numId w:val="386"/>
        </w:numPr>
        <w:tabs>
          <w:tab w:val="left" w:pos="1370"/>
        </w:tabs>
        <w:spacing w:line="446" w:lineRule="auto"/>
        <w:ind w:right="1330" w:firstLine="419"/>
        <w:jc w:val="both"/>
        <w:rPr>
          <w:sz w:val="21"/>
        </w:rPr>
      </w:pPr>
      <w:r>
        <w:rPr>
          <w:sz w:val="21"/>
        </w:rPr>
        <w:t>联动控制方式，应由同一报警区域内两只及以上独立的感烟火灾探测器或一只感烟火灾探测</w:t>
      </w:r>
      <w:r>
        <w:rPr>
          <w:sz w:val="21"/>
        </w:rPr>
        <w:t xml:space="preserve"> </w:t>
      </w:r>
      <w:r>
        <w:rPr>
          <w:sz w:val="21"/>
        </w:rPr>
        <w:t>器与一只手动火灾报警按钮的报警信号，作为预作用阀组开启的联动触发信号。由消防</w:t>
      </w:r>
      <w:r>
        <w:rPr>
          <w:spacing w:val="-9"/>
          <w:sz w:val="21"/>
        </w:rPr>
        <w:t>联动控制器</w:t>
      </w:r>
      <w:r>
        <w:rPr>
          <w:spacing w:val="-9"/>
          <w:sz w:val="21"/>
        </w:rPr>
        <w:t xml:space="preserve"> </w:t>
      </w:r>
      <w:r>
        <w:rPr>
          <w:spacing w:val="-9"/>
          <w:sz w:val="21"/>
        </w:rPr>
        <w:t>控制预作用阀组的开启，使系统转变为湿式系统；当系统设有快速排气装置</w:t>
      </w:r>
      <w:r>
        <w:rPr>
          <w:spacing w:val="-9"/>
          <w:sz w:val="21"/>
        </w:rPr>
        <w:t>时，应联</w:t>
      </w:r>
      <w:r>
        <w:rPr>
          <w:spacing w:val="-3"/>
          <w:sz w:val="21"/>
        </w:rPr>
        <w:t>动控制排气阀</w:t>
      </w:r>
      <w:r>
        <w:rPr>
          <w:spacing w:val="-3"/>
          <w:sz w:val="21"/>
        </w:rPr>
        <w:t xml:space="preserve"> </w:t>
      </w:r>
      <w:r>
        <w:rPr>
          <w:spacing w:val="-3"/>
          <w:sz w:val="21"/>
        </w:rPr>
        <w:t>前的电动阀的开启。湿式系统的联动控制设计应符合本规范第</w:t>
      </w:r>
      <w:r>
        <w:rPr>
          <w:spacing w:val="-3"/>
          <w:sz w:val="21"/>
        </w:rPr>
        <w:t xml:space="preserve"> </w:t>
      </w:r>
      <w:r>
        <w:rPr>
          <w:sz w:val="21"/>
        </w:rPr>
        <w:t>4.2.1</w:t>
      </w:r>
      <w:r>
        <w:rPr>
          <w:spacing w:val="-12"/>
          <w:sz w:val="21"/>
        </w:rPr>
        <w:t xml:space="preserve"> </w:t>
      </w:r>
      <w:r>
        <w:rPr>
          <w:spacing w:val="-12"/>
          <w:sz w:val="21"/>
        </w:rPr>
        <w:t>条的规定。</w:t>
      </w:r>
      <w:r>
        <w:rPr>
          <w:sz w:val="21"/>
        </w:rPr>
        <w:t xml:space="preserve"> </w:t>
      </w:r>
    </w:p>
    <w:p w14:paraId="11666A4C" w14:textId="77777777" w:rsidR="00A71EEF" w:rsidRDefault="0081115D">
      <w:pPr>
        <w:pStyle w:val="a4"/>
        <w:numPr>
          <w:ilvl w:val="0"/>
          <w:numId w:val="386"/>
        </w:numPr>
        <w:tabs>
          <w:tab w:val="left" w:pos="1365"/>
        </w:tabs>
        <w:spacing w:line="446" w:lineRule="auto"/>
        <w:ind w:right="1330" w:firstLine="419"/>
        <w:jc w:val="both"/>
        <w:rPr>
          <w:sz w:val="21"/>
        </w:rPr>
      </w:pPr>
      <w:r>
        <w:rPr>
          <w:spacing w:val="-9"/>
          <w:sz w:val="21"/>
        </w:rPr>
        <w:t>手动控制方式，应将喷淋消防泵控制箱</w:t>
      </w:r>
      <w:r>
        <w:rPr>
          <w:sz w:val="21"/>
        </w:rPr>
        <w:t>（</w:t>
      </w:r>
      <w:r>
        <w:rPr>
          <w:spacing w:val="-3"/>
          <w:sz w:val="21"/>
        </w:rPr>
        <w:t>柜</w:t>
      </w:r>
      <w:r>
        <w:rPr>
          <w:spacing w:val="-29"/>
          <w:sz w:val="21"/>
        </w:rPr>
        <w:t>）</w:t>
      </w:r>
      <w:r>
        <w:rPr>
          <w:spacing w:val="-6"/>
          <w:sz w:val="21"/>
        </w:rPr>
        <w:t>的启动和停止按钮、预作用阀组和快速排</w:t>
      </w:r>
      <w:r>
        <w:rPr>
          <w:sz w:val="21"/>
        </w:rPr>
        <w:t>气阀</w:t>
      </w:r>
      <w:r>
        <w:rPr>
          <w:sz w:val="21"/>
        </w:rPr>
        <w:t xml:space="preserve"> </w:t>
      </w:r>
      <w:r>
        <w:rPr>
          <w:sz w:val="21"/>
        </w:rPr>
        <w:t>入口前的电动阀的启动和停止按钮，用专用线路直接连接至设置在消防控制室内的消防联</w:t>
      </w:r>
      <w:r>
        <w:rPr>
          <w:spacing w:val="-3"/>
          <w:sz w:val="21"/>
        </w:rPr>
        <w:t>动控制器的手动控制盘，直接手动控制喷淋消防泵的启动、停止及预作用阀组和电动阀的开启。</w:t>
      </w:r>
      <w:r>
        <w:rPr>
          <w:sz w:val="21"/>
        </w:rPr>
        <w:t xml:space="preserve"> </w:t>
      </w:r>
    </w:p>
    <w:p w14:paraId="21089544" w14:textId="77777777" w:rsidR="00A71EEF" w:rsidRDefault="0081115D">
      <w:pPr>
        <w:pStyle w:val="a4"/>
        <w:numPr>
          <w:ilvl w:val="0"/>
          <w:numId w:val="386"/>
        </w:numPr>
        <w:tabs>
          <w:tab w:val="left" w:pos="1365"/>
        </w:tabs>
        <w:spacing w:line="446" w:lineRule="auto"/>
        <w:ind w:right="1431" w:firstLine="419"/>
        <w:rPr>
          <w:sz w:val="21"/>
        </w:rPr>
      </w:pPr>
      <w:r>
        <w:rPr>
          <w:spacing w:val="-12"/>
          <w:sz w:val="21"/>
        </w:rPr>
        <w:t>水流指示器、信号阀、压力开关、喷淋消防泵的启动和停止的动作信号，有压气体管</w:t>
      </w:r>
      <w:r>
        <w:rPr>
          <w:spacing w:val="-12"/>
          <w:sz w:val="21"/>
        </w:rPr>
        <w:t xml:space="preserve"> </w:t>
      </w:r>
      <w:r>
        <w:rPr>
          <w:spacing w:val="-3"/>
          <w:sz w:val="21"/>
        </w:rPr>
        <w:t>道气压状态信号和快速排气阀入口前电动阀的动作信号应反馈至消防联动控制器。</w:t>
      </w:r>
      <w:r>
        <w:rPr>
          <w:sz w:val="21"/>
        </w:rPr>
        <w:t xml:space="preserve"> </w:t>
      </w:r>
    </w:p>
    <w:p w14:paraId="61531942" w14:textId="77777777" w:rsidR="00A71EEF" w:rsidRDefault="0081115D">
      <w:pPr>
        <w:ind w:left="838"/>
        <w:rPr>
          <w:sz w:val="21"/>
        </w:rPr>
      </w:pPr>
      <w:r>
        <w:rPr>
          <w:sz w:val="21"/>
        </w:rPr>
        <w:t xml:space="preserve"> </w:t>
      </w:r>
      <w:r>
        <w:rPr>
          <w:b/>
          <w:sz w:val="21"/>
        </w:rPr>
        <w:t>4.2.3</w:t>
      </w:r>
      <w:r>
        <w:rPr>
          <w:b/>
          <w:spacing w:val="-51"/>
          <w:sz w:val="21"/>
        </w:rPr>
        <w:t xml:space="preserve"> </w:t>
      </w:r>
      <w:r>
        <w:rPr>
          <w:spacing w:val="-3"/>
          <w:sz w:val="21"/>
        </w:rPr>
        <w:t>雨淋系统的联动控制设计，应符合下列规定：</w:t>
      </w:r>
      <w:r>
        <w:rPr>
          <w:spacing w:val="-3"/>
          <w:sz w:val="21"/>
        </w:rPr>
        <w:t xml:space="preserve"> </w:t>
      </w:r>
    </w:p>
    <w:p w14:paraId="4BFCE4B9" w14:textId="77777777" w:rsidR="00A71EEF" w:rsidRDefault="00A71EEF">
      <w:pPr>
        <w:pStyle w:val="a3"/>
        <w:spacing w:before="9"/>
        <w:rPr>
          <w:sz w:val="17"/>
        </w:rPr>
      </w:pPr>
    </w:p>
    <w:p w14:paraId="3FDF6EB0" w14:textId="77777777" w:rsidR="00A71EEF" w:rsidRDefault="0081115D">
      <w:pPr>
        <w:pStyle w:val="a4"/>
        <w:numPr>
          <w:ilvl w:val="0"/>
          <w:numId w:val="385"/>
        </w:numPr>
        <w:tabs>
          <w:tab w:val="left" w:pos="1370"/>
        </w:tabs>
        <w:spacing w:before="1" w:line="446" w:lineRule="auto"/>
        <w:ind w:right="1431" w:firstLine="419"/>
        <w:jc w:val="both"/>
        <w:rPr>
          <w:sz w:val="21"/>
        </w:rPr>
      </w:pPr>
      <w:r>
        <w:rPr>
          <w:sz w:val="21"/>
        </w:rPr>
        <w:t>联动控制方式，应由同一报警区域内两只及以上独立的感温火灾探测器或一只感温火</w:t>
      </w:r>
      <w:r>
        <w:rPr>
          <w:spacing w:val="-5"/>
          <w:sz w:val="21"/>
        </w:rPr>
        <w:t>灾探测器与一只手动火灾报警按钮的报警信号，作为雨淋阀组开启的联动触发信号。应由消防联</w:t>
      </w:r>
      <w:r>
        <w:rPr>
          <w:spacing w:val="-4"/>
          <w:sz w:val="21"/>
        </w:rPr>
        <w:t>动控制器</w:t>
      </w:r>
      <w:r>
        <w:rPr>
          <w:spacing w:val="-4"/>
          <w:sz w:val="21"/>
        </w:rPr>
        <w:t xml:space="preserve"> </w:t>
      </w:r>
      <w:r>
        <w:rPr>
          <w:spacing w:val="-4"/>
          <w:sz w:val="21"/>
        </w:rPr>
        <w:t>控制雨淋阀组的开启。</w:t>
      </w:r>
      <w:r>
        <w:rPr>
          <w:sz w:val="21"/>
        </w:rPr>
        <w:t xml:space="preserve"> </w:t>
      </w:r>
    </w:p>
    <w:p w14:paraId="79A63BD6" w14:textId="77777777" w:rsidR="00A71EEF" w:rsidRDefault="0081115D">
      <w:pPr>
        <w:pStyle w:val="a4"/>
        <w:numPr>
          <w:ilvl w:val="0"/>
          <w:numId w:val="385"/>
        </w:numPr>
        <w:tabs>
          <w:tab w:val="left" w:pos="1365"/>
        </w:tabs>
        <w:spacing w:line="446" w:lineRule="auto"/>
        <w:ind w:right="1431" w:firstLine="419"/>
        <w:jc w:val="both"/>
        <w:rPr>
          <w:sz w:val="21"/>
        </w:rPr>
      </w:pPr>
      <w:r>
        <w:rPr>
          <w:spacing w:val="-9"/>
          <w:sz w:val="21"/>
        </w:rPr>
        <w:t>手动控制方式，应将雨淋消防泵控制箱</w:t>
      </w:r>
      <w:r>
        <w:rPr>
          <w:sz w:val="21"/>
        </w:rPr>
        <w:t>（</w:t>
      </w:r>
      <w:r>
        <w:rPr>
          <w:spacing w:val="-3"/>
          <w:sz w:val="21"/>
        </w:rPr>
        <w:t>柜</w:t>
      </w:r>
      <w:r>
        <w:rPr>
          <w:spacing w:val="-29"/>
          <w:sz w:val="21"/>
        </w:rPr>
        <w:t>）</w:t>
      </w:r>
      <w:r>
        <w:rPr>
          <w:spacing w:val="-6"/>
          <w:sz w:val="21"/>
        </w:rPr>
        <w:t>的启动和停止按钮、雨淋阀组的启动和</w:t>
      </w:r>
      <w:r>
        <w:rPr>
          <w:spacing w:val="-6"/>
          <w:sz w:val="21"/>
        </w:rPr>
        <w:t xml:space="preserve"> </w:t>
      </w:r>
      <w:r>
        <w:rPr>
          <w:sz w:val="21"/>
        </w:rPr>
        <w:t>停止按</w:t>
      </w:r>
      <w:r>
        <w:rPr>
          <w:sz w:val="21"/>
        </w:rPr>
        <w:t xml:space="preserve"> </w:t>
      </w:r>
      <w:r>
        <w:rPr>
          <w:sz w:val="21"/>
        </w:rPr>
        <w:t>钮，用专用线路直接连接至设置在消防控制室内的消防联动控制器的手动控制盘，直接</w:t>
      </w:r>
      <w:r>
        <w:rPr>
          <w:spacing w:val="-3"/>
          <w:sz w:val="21"/>
        </w:rPr>
        <w:t>手动控制雨</w:t>
      </w:r>
      <w:r>
        <w:rPr>
          <w:spacing w:val="-3"/>
          <w:sz w:val="21"/>
        </w:rPr>
        <w:t xml:space="preserve"> </w:t>
      </w:r>
      <w:r>
        <w:rPr>
          <w:spacing w:val="-3"/>
          <w:sz w:val="21"/>
        </w:rPr>
        <w:t>淋消防泵的启动、停止及雨淋阀组的开启。</w:t>
      </w:r>
      <w:r>
        <w:rPr>
          <w:spacing w:val="-3"/>
          <w:sz w:val="21"/>
        </w:rPr>
        <w:t xml:space="preserve"> </w:t>
      </w:r>
    </w:p>
    <w:p w14:paraId="79528224" w14:textId="77777777" w:rsidR="00A71EEF" w:rsidRDefault="0081115D">
      <w:pPr>
        <w:pStyle w:val="a4"/>
        <w:numPr>
          <w:ilvl w:val="0"/>
          <w:numId w:val="385"/>
        </w:numPr>
        <w:tabs>
          <w:tab w:val="left" w:pos="1367"/>
        </w:tabs>
        <w:spacing w:line="446" w:lineRule="auto"/>
        <w:ind w:right="1431" w:firstLine="419"/>
        <w:jc w:val="both"/>
        <w:rPr>
          <w:sz w:val="21"/>
        </w:rPr>
      </w:pPr>
      <w:r>
        <w:rPr>
          <w:spacing w:val="-13"/>
          <w:sz w:val="21"/>
        </w:rPr>
        <w:t>水流指示器，压力开关，雨淋阀组、雨淋消防泵的启动和停止的动作信号应反馈至消</w:t>
      </w:r>
      <w:r>
        <w:rPr>
          <w:spacing w:val="-13"/>
          <w:sz w:val="21"/>
        </w:rPr>
        <w:t xml:space="preserve"> </w:t>
      </w:r>
      <w:r>
        <w:rPr>
          <w:spacing w:val="-3"/>
          <w:sz w:val="21"/>
        </w:rPr>
        <w:t>防联动控制器。</w:t>
      </w:r>
      <w:r>
        <w:rPr>
          <w:sz w:val="21"/>
        </w:rPr>
        <w:t xml:space="preserve">   </w:t>
      </w:r>
      <w:r>
        <w:rPr>
          <w:spacing w:val="-1"/>
          <w:sz w:val="21"/>
        </w:rPr>
        <w:t xml:space="preserve"> </w:t>
      </w:r>
      <w:r>
        <w:rPr>
          <w:sz w:val="21"/>
        </w:rPr>
        <w:t xml:space="preserve">  </w:t>
      </w:r>
    </w:p>
    <w:p w14:paraId="6D579397" w14:textId="77777777" w:rsidR="00A71EEF" w:rsidRDefault="00A71EEF">
      <w:pPr>
        <w:spacing w:line="446" w:lineRule="auto"/>
        <w:jc w:val="both"/>
        <w:rPr>
          <w:sz w:val="21"/>
        </w:rPr>
        <w:sectPr w:rsidR="00A71EEF">
          <w:pgSz w:w="11910" w:h="16850"/>
          <w:pgMar w:top="1220" w:right="0" w:bottom="1420" w:left="1260" w:header="0" w:footer="1239" w:gutter="0"/>
          <w:cols w:space="720"/>
        </w:sectPr>
      </w:pPr>
    </w:p>
    <w:p w14:paraId="53C5F314" w14:textId="77777777" w:rsidR="00A71EEF" w:rsidRDefault="0081115D">
      <w:pPr>
        <w:spacing w:before="47"/>
        <w:ind w:left="840"/>
        <w:rPr>
          <w:b/>
          <w:sz w:val="21"/>
        </w:rPr>
      </w:pPr>
      <w:r>
        <w:rPr>
          <w:b/>
          <w:sz w:val="21"/>
        </w:rPr>
        <w:t xml:space="preserve">4.2.4 </w:t>
      </w:r>
      <w:r>
        <w:rPr>
          <w:sz w:val="21"/>
        </w:rPr>
        <w:t>自动控制的水幕系统的联动控制设计，应符合下列规定：</w:t>
      </w:r>
      <w:r>
        <w:rPr>
          <w:b/>
          <w:w w:val="99"/>
          <w:sz w:val="21"/>
        </w:rPr>
        <w:t xml:space="preserve"> </w:t>
      </w:r>
    </w:p>
    <w:p w14:paraId="6C0B1D68" w14:textId="77777777" w:rsidR="00A71EEF" w:rsidRDefault="00A71EEF">
      <w:pPr>
        <w:pStyle w:val="a3"/>
        <w:rPr>
          <w:b/>
          <w:sz w:val="18"/>
        </w:rPr>
      </w:pPr>
    </w:p>
    <w:p w14:paraId="01740224" w14:textId="77777777" w:rsidR="00A71EEF" w:rsidRDefault="0081115D">
      <w:pPr>
        <w:pStyle w:val="a4"/>
        <w:numPr>
          <w:ilvl w:val="0"/>
          <w:numId w:val="384"/>
        </w:numPr>
        <w:tabs>
          <w:tab w:val="left" w:pos="1367"/>
        </w:tabs>
        <w:spacing w:line="446" w:lineRule="auto"/>
        <w:ind w:right="1431" w:firstLine="419"/>
        <w:jc w:val="both"/>
        <w:rPr>
          <w:sz w:val="21"/>
        </w:rPr>
      </w:pPr>
      <w:r>
        <w:rPr>
          <w:spacing w:val="-11"/>
          <w:sz w:val="21"/>
        </w:rPr>
        <w:t>联动控制方式，当自动控制的水幕系统用于防火卷帘的保护时，应由防火卷帘下落到</w:t>
      </w:r>
      <w:r>
        <w:rPr>
          <w:spacing w:val="-11"/>
          <w:sz w:val="21"/>
        </w:rPr>
        <w:t xml:space="preserve"> </w:t>
      </w:r>
      <w:r>
        <w:rPr>
          <w:sz w:val="21"/>
        </w:rPr>
        <w:t>楼板面的动作信号与本报警区域内任一火灾探测器或手动火灾报警按钮的报警信号作为水幕阀组启动的联</w:t>
      </w:r>
      <w:r>
        <w:rPr>
          <w:sz w:val="21"/>
        </w:rPr>
        <w:t xml:space="preserve"> </w:t>
      </w:r>
      <w:r>
        <w:rPr>
          <w:sz w:val="21"/>
        </w:rPr>
        <w:t>动触发信号，并应由消防联动控制器联动控制水幕系统相关控制阀组的启动；仅用</w:t>
      </w:r>
      <w:r>
        <w:rPr>
          <w:spacing w:val="-7"/>
          <w:sz w:val="21"/>
        </w:rPr>
        <w:t>水幕系统</w:t>
      </w:r>
      <w:r>
        <w:rPr>
          <w:spacing w:val="-7"/>
          <w:sz w:val="21"/>
        </w:rPr>
        <w:t>作为防火分隔时，应由该报警区域内两只独立的感温火灾探测器的火灾报警信号作为水</w:t>
      </w:r>
      <w:r>
        <w:rPr>
          <w:spacing w:val="-3"/>
          <w:sz w:val="21"/>
        </w:rPr>
        <w:t>幕阀组启动的联动</w:t>
      </w:r>
      <w:r>
        <w:rPr>
          <w:spacing w:val="-3"/>
          <w:sz w:val="21"/>
        </w:rPr>
        <w:t xml:space="preserve"> </w:t>
      </w:r>
      <w:r>
        <w:rPr>
          <w:spacing w:val="-3"/>
          <w:sz w:val="21"/>
        </w:rPr>
        <w:t>触发信号，并应由消防联动控制器联动控制水幕系统相关控制阀组的启动。</w:t>
      </w:r>
      <w:r>
        <w:rPr>
          <w:spacing w:val="-3"/>
          <w:sz w:val="21"/>
        </w:rPr>
        <w:t xml:space="preserve"> </w:t>
      </w:r>
    </w:p>
    <w:p w14:paraId="5A82CD28" w14:textId="77777777" w:rsidR="00A71EEF" w:rsidRDefault="0081115D">
      <w:pPr>
        <w:pStyle w:val="a4"/>
        <w:numPr>
          <w:ilvl w:val="0"/>
          <w:numId w:val="384"/>
        </w:numPr>
        <w:tabs>
          <w:tab w:val="left" w:pos="1365"/>
        </w:tabs>
        <w:spacing w:line="446" w:lineRule="auto"/>
        <w:ind w:right="1431" w:firstLine="419"/>
        <w:jc w:val="both"/>
        <w:rPr>
          <w:sz w:val="21"/>
        </w:rPr>
      </w:pPr>
      <w:r>
        <w:rPr>
          <w:spacing w:val="-8"/>
          <w:sz w:val="21"/>
        </w:rPr>
        <w:t>手动控制方式，应将水幕系统相关控制阀组和消防泵控制箱</w:t>
      </w:r>
      <w:r>
        <w:rPr>
          <w:sz w:val="21"/>
        </w:rPr>
        <w:t>（</w:t>
      </w:r>
      <w:r>
        <w:rPr>
          <w:spacing w:val="-3"/>
          <w:sz w:val="21"/>
        </w:rPr>
        <w:t>柜</w:t>
      </w:r>
      <w:r>
        <w:rPr>
          <w:spacing w:val="-29"/>
          <w:sz w:val="21"/>
        </w:rPr>
        <w:t>）</w:t>
      </w:r>
      <w:r>
        <w:rPr>
          <w:spacing w:val="-7"/>
          <w:sz w:val="21"/>
        </w:rPr>
        <w:t>的启动、停止按钮</w:t>
      </w:r>
      <w:r>
        <w:rPr>
          <w:spacing w:val="-7"/>
          <w:sz w:val="21"/>
        </w:rPr>
        <w:t xml:space="preserve"> </w:t>
      </w:r>
      <w:r>
        <w:rPr>
          <w:sz w:val="21"/>
        </w:rPr>
        <w:t>用专用</w:t>
      </w:r>
      <w:r>
        <w:rPr>
          <w:sz w:val="21"/>
        </w:rPr>
        <w:t xml:space="preserve"> </w:t>
      </w:r>
      <w:r>
        <w:rPr>
          <w:sz w:val="21"/>
        </w:rPr>
        <w:t>线路直接连接至设置在消防控制室内的消防联动控制器的手动控制盘，并应直接手动控</w:t>
      </w:r>
      <w:r>
        <w:rPr>
          <w:spacing w:val="-3"/>
          <w:sz w:val="21"/>
        </w:rPr>
        <w:t>制消防泵的</w:t>
      </w:r>
      <w:r>
        <w:rPr>
          <w:spacing w:val="-3"/>
          <w:sz w:val="21"/>
        </w:rPr>
        <w:t xml:space="preserve"> </w:t>
      </w:r>
      <w:r>
        <w:rPr>
          <w:spacing w:val="-3"/>
          <w:sz w:val="21"/>
        </w:rPr>
        <w:t>启动、停止及水幕系统相关控制阀组的开启。</w:t>
      </w:r>
      <w:r>
        <w:rPr>
          <w:sz w:val="21"/>
        </w:rPr>
        <w:t xml:space="preserve"> </w:t>
      </w:r>
    </w:p>
    <w:p w14:paraId="67056C91" w14:textId="77777777" w:rsidR="00A71EEF" w:rsidRDefault="0081115D">
      <w:pPr>
        <w:pStyle w:val="a4"/>
        <w:numPr>
          <w:ilvl w:val="0"/>
          <w:numId w:val="384"/>
        </w:numPr>
        <w:tabs>
          <w:tab w:val="left" w:pos="1367"/>
        </w:tabs>
        <w:spacing w:line="446" w:lineRule="auto"/>
        <w:ind w:right="1431" w:firstLine="419"/>
        <w:rPr>
          <w:sz w:val="21"/>
        </w:rPr>
      </w:pPr>
      <w:r>
        <w:rPr>
          <w:spacing w:val="-11"/>
          <w:sz w:val="21"/>
        </w:rPr>
        <w:t>压力开关、水幕系统相关控制阀组和消防泵的启动、停止的动作信号，应反馈至消防</w:t>
      </w:r>
      <w:r>
        <w:rPr>
          <w:spacing w:val="-11"/>
          <w:sz w:val="21"/>
        </w:rPr>
        <w:t xml:space="preserve"> </w:t>
      </w:r>
      <w:r>
        <w:rPr>
          <w:spacing w:val="-3"/>
          <w:sz w:val="21"/>
        </w:rPr>
        <w:t>联动控</w:t>
      </w:r>
      <w:r>
        <w:rPr>
          <w:spacing w:val="-3"/>
          <w:sz w:val="21"/>
        </w:rPr>
        <w:t xml:space="preserve"> </w:t>
      </w:r>
      <w:r>
        <w:rPr>
          <w:spacing w:val="-3"/>
          <w:sz w:val="21"/>
        </w:rPr>
        <w:t>制器。</w:t>
      </w:r>
      <w:r>
        <w:rPr>
          <w:sz w:val="21"/>
        </w:rPr>
        <w:t xml:space="preserve">   </w:t>
      </w:r>
    </w:p>
    <w:p w14:paraId="5622F7B4" w14:textId="77777777" w:rsidR="00A71EEF" w:rsidRDefault="0081115D">
      <w:pPr>
        <w:pStyle w:val="a4"/>
        <w:numPr>
          <w:ilvl w:val="1"/>
          <w:numId w:val="383"/>
        </w:numPr>
        <w:tabs>
          <w:tab w:val="left" w:pos="1159"/>
        </w:tabs>
        <w:spacing w:line="267" w:lineRule="exact"/>
        <w:ind w:hanging="319"/>
        <w:rPr>
          <w:sz w:val="21"/>
        </w:rPr>
      </w:pPr>
      <w:r>
        <w:rPr>
          <w:spacing w:val="-3"/>
          <w:sz w:val="21"/>
        </w:rPr>
        <w:t>消火栓系统的联动控制设计</w:t>
      </w:r>
      <w:r>
        <w:rPr>
          <w:spacing w:val="-3"/>
          <w:sz w:val="21"/>
        </w:rPr>
        <w:t xml:space="preserve"> </w:t>
      </w:r>
    </w:p>
    <w:p w14:paraId="168585FE" w14:textId="77777777" w:rsidR="00A71EEF" w:rsidRDefault="00A71EEF">
      <w:pPr>
        <w:pStyle w:val="a3"/>
        <w:rPr>
          <w:sz w:val="18"/>
        </w:rPr>
      </w:pPr>
    </w:p>
    <w:p w14:paraId="1B720D55" w14:textId="77777777" w:rsidR="00A71EEF" w:rsidRDefault="0081115D">
      <w:pPr>
        <w:pStyle w:val="a4"/>
        <w:numPr>
          <w:ilvl w:val="2"/>
          <w:numId w:val="383"/>
        </w:numPr>
        <w:tabs>
          <w:tab w:val="left" w:pos="1438"/>
        </w:tabs>
        <w:spacing w:line="446" w:lineRule="auto"/>
        <w:ind w:right="1431" w:firstLine="422"/>
        <w:jc w:val="both"/>
        <w:rPr>
          <w:sz w:val="21"/>
        </w:rPr>
      </w:pPr>
      <w:r>
        <w:rPr>
          <w:spacing w:val="-3"/>
          <w:sz w:val="21"/>
        </w:rPr>
        <w:t>联动控制方式，应由消火栓系统出水干管上设置的低压压力开关、高位消防水箱出水</w:t>
      </w:r>
      <w:r>
        <w:rPr>
          <w:sz w:val="21"/>
        </w:rPr>
        <w:t>管上设置</w:t>
      </w:r>
      <w:r>
        <w:rPr>
          <w:sz w:val="21"/>
        </w:rPr>
        <w:t xml:space="preserve"> </w:t>
      </w:r>
      <w:r>
        <w:rPr>
          <w:sz w:val="21"/>
        </w:rPr>
        <w:t>的流量开关或报警阀压力开关等信号作为触发信号，直接控制启动消火栓泵，联动控制不应受消防</w:t>
      </w:r>
      <w:r>
        <w:rPr>
          <w:sz w:val="21"/>
        </w:rPr>
        <w:t xml:space="preserve"> </w:t>
      </w:r>
      <w:r>
        <w:rPr>
          <w:sz w:val="21"/>
        </w:rPr>
        <w:t>联动控制器处于自动或手动状态影响。当设置消火栓按钮时，消火栓按钮的动作信号应作为报警信</w:t>
      </w:r>
      <w:r>
        <w:rPr>
          <w:sz w:val="21"/>
        </w:rPr>
        <w:t xml:space="preserve"> </w:t>
      </w:r>
      <w:r>
        <w:rPr>
          <w:sz w:val="21"/>
        </w:rPr>
        <w:t>号及启动消火栓泵的联动触发信号，由消防联动控制器联动控制消火栓泵的</w:t>
      </w:r>
      <w:r>
        <w:rPr>
          <w:spacing w:val="-1"/>
          <w:sz w:val="21"/>
        </w:rPr>
        <w:t>启动。</w:t>
      </w:r>
      <w:r>
        <w:rPr>
          <w:sz w:val="21"/>
        </w:rPr>
        <w:t xml:space="preserve"> </w:t>
      </w:r>
    </w:p>
    <w:p w14:paraId="0176483B" w14:textId="77777777" w:rsidR="00A71EEF" w:rsidRDefault="0081115D">
      <w:pPr>
        <w:pStyle w:val="a4"/>
        <w:numPr>
          <w:ilvl w:val="2"/>
          <w:numId w:val="383"/>
        </w:numPr>
        <w:tabs>
          <w:tab w:val="left" w:pos="1438"/>
        </w:tabs>
        <w:spacing w:line="446" w:lineRule="auto"/>
        <w:ind w:right="1431" w:firstLine="422"/>
        <w:jc w:val="both"/>
        <w:rPr>
          <w:sz w:val="21"/>
        </w:rPr>
      </w:pPr>
      <w:r>
        <w:rPr>
          <w:spacing w:val="-3"/>
          <w:sz w:val="21"/>
        </w:rPr>
        <w:t>手动控制方式，应将消火栓泵控制箱（</w:t>
      </w:r>
      <w:r>
        <w:rPr>
          <w:sz w:val="21"/>
        </w:rPr>
        <w:t>柜</w:t>
      </w:r>
      <w:r>
        <w:rPr>
          <w:spacing w:val="-3"/>
          <w:sz w:val="21"/>
        </w:rPr>
        <w:t>）的启动、停止按钮用专用线路直接连接至</w:t>
      </w:r>
      <w:r>
        <w:rPr>
          <w:sz w:val="21"/>
        </w:rPr>
        <w:t>设置在消</w:t>
      </w:r>
      <w:r>
        <w:rPr>
          <w:sz w:val="21"/>
        </w:rPr>
        <w:t xml:space="preserve"> </w:t>
      </w:r>
      <w:r>
        <w:rPr>
          <w:sz w:val="21"/>
        </w:rPr>
        <w:t>防控制室内的消防联动控制器的手动控制盘，并应直接手动控制消火栓泵的启动、停止。</w:t>
      </w:r>
      <w:r>
        <w:rPr>
          <w:sz w:val="21"/>
        </w:rPr>
        <w:t xml:space="preserve"> </w:t>
      </w:r>
      <w:r>
        <w:rPr>
          <w:spacing w:val="-3"/>
          <w:sz w:val="21"/>
        </w:rPr>
        <w:t xml:space="preserve"> </w:t>
      </w:r>
      <w:r>
        <w:rPr>
          <w:sz w:val="21"/>
        </w:rPr>
        <w:t xml:space="preserve"> </w:t>
      </w:r>
    </w:p>
    <w:p w14:paraId="31BDA473" w14:textId="77777777" w:rsidR="00A71EEF" w:rsidRDefault="0081115D">
      <w:pPr>
        <w:pStyle w:val="a4"/>
        <w:numPr>
          <w:ilvl w:val="2"/>
          <w:numId w:val="383"/>
        </w:numPr>
        <w:tabs>
          <w:tab w:val="left" w:pos="1370"/>
        </w:tabs>
        <w:spacing w:line="268" w:lineRule="exact"/>
        <w:ind w:left="1369" w:hanging="530"/>
        <w:jc w:val="both"/>
        <w:rPr>
          <w:sz w:val="21"/>
        </w:rPr>
      </w:pPr>
      <w:r>
        <w:rPr>
          <w:spacing w:val="-3"/>
          <w:sz w:val="21"/>
        </w:rPr>
        <w:t>消火栓泵的动作信号应反馈至消防联动控制器。</w:t>
      </w:r>
      <w:r>
        <w:rPr>
          <w:sz w:val="21"/>
        </w:rPr>
        <w:t xml:space="preserve">   </w:t>
      </w:r>
      <w:r>
        <w:rPr>
          <w:spacing w:val="-8"/>
          <w:sz w:val="21"/>
        </w:rPr>
        <w:t xml:space="preserve"> </w:t>
      </w:r>
      <w:r>
        <w:rPr>
          <w:sz w:val="21"/>
        </w:rPr>
        <w:t xml:space="preserve">  </w:t>
      </w:r>
      <w:r>
        <w:rPr>
          <w:sz w:val="21"/>
        </w:rPr>
        <w:t xml:space="preserve"> </w:t>
      </w:r>
      <w:r>
        <w:rPr>
          <w:spacing w:val="-2"/>
          <w:sz w:val="21"/>
        </w:rPr>
        <w:t xml:space="preserve"> </w:t>
      </w:r>
      <w:r>
        <w:rPr>
          <w:sz w:val="21"/>
        </w:rPr>
        <w:t xml:space="preserve">  </w:t>
      </w:r>
    </w:p>
    <w:p w14:paraId="535A9F47" w14:textId="77777777" w:rsidR="00A71EEF" w:rsidRDefault="00A71EEF">
      <w:pPr>
        <w:pStyle w:val="a3"/>
        <w:spacing w:before="11"/>
        <w:rPr>
          <w:sz w:val="17"/>
        </w:rPr>
      </w:pPr>
    </w:p>
    <w:p w14:paraId="569D416B" w14:textId="77777777" w:rsidR="00A71EEF" w:rsidRDefault="0081115D">
      <w:pPr>
        <w:pStyle w:val="a4"/>
        <w:numPr>
          <w:ilvl w:val="1"/>
          <w:numId w:val="383"/>
        </w:numPr>
        <w:tabs>
          <w:tab w:val="left" w:pos="1159"/>
        </w:tabs>
        <w:ind w:hanging="319"/>
        <w:rPr>
          <w:sz w:val="21"/>
        </w:rPr>
      </w:pPr>
      <w:r>
        <w:rPr>
          <w:spacing w:val="-3"/>
          <w:sz w:val="21"/>
        </w:rPr>
        <w:t>气体灭火系统、泡沫灭火系统的联动控制设计</w:t>
      </w:r>
      <w:r>
        <w:rPr>
          <w:sz w:val="21"/>
        </w:rPr>
        <w:t xml:space="preserve"> </w:t>
      </w:r>
    </w:p>
    <w:p w14:paraId="69E38720" w14:textId="77777777" w:rsidR="00A71EEF" w:rsidRDefault="00A71EEF">
      <w:pPr>
        <w:pStyle w:val="a3"/>
        <w:spacing w:before="12"/>
        <w:rPr>
          <w:sz w:val="17"/>
        </w:rPr>
      </w:pPr>
    </w:p>
    <w:p w14:paraId="58C3CDFC" w14:textId="77777777" w:rsidR="00A71EEF" w:rsidRDefault="0081115D">
      <w:pPr>
        <w:pStyle w:val="a4"/>
        <w:numPr>
          <w:ilvl w:val="2"/>
          <w:numId w:val="383"/>
        </w:numPr>
        <w:tabs>
          <w:tab w:val="left" w:pos="1370"/>
        </w:tabs>
        <w:ind w:left="1369" w:hanging="530"/>
        <w:rPr>
          <w:sz w:val="21"/>
        </w:rPr>
      </w:pPr>
      <w:r>
        <w:rPr>
          <w:spacing w:val="-16"/>
          <w:sz w:val="21"/>
        </w:rPr>
        <w:t>气体灭火系统、泡沫灭火系统应分别由专用的气体灭火控制器、泡沫灭火控制器控制。</w:t>
      </w:r>
      <w:r>
        <w:rPr>
          <w:sz w:val="21"/>
        </w:rPr>
        <w:t xml:space="preserve"> </w:t>
      </w:r>
    </w:p>
    <w:p w14:paraId="6AC223F2" w14:textId="77777777" w:rsidR="00A71EEF" w:rsidRDefault="00A71EEF">
      <w:pPr>
        <w:pStyle w:val="a3"/>
        <w:rPr>
          <w:sz w:val="18"/>
        </w:rPr>
      </w:pPr>
    </w:p>
    <w:p w14:paraId="34E9EE3B" w14:textId="77777777" w:rsidR="00A71EEF" w:rsidRDefault="0081115D">
      <w:pPr>
        <w:pStyle w:val="a4"/>
        <w:numPr>
          <w:ilvl w:val="2"/>
          <w:numId w:val="383"/>
        </w:numPr>
        <w:tabs>
          <w:tab w:val="left" w:pos="1370"/>
        </w:tabs>
        <w:spacing w:line="446" w:lineRule="auto"/>
        <w:ind w:right="1433" w:firstLine="422"/>
        <w:rPr>
          <w:b/>
          <w:sz w:val="21"/>
        </w:rPr>
      </w:pPr>
      <w:r>
        <w:rPr>
          <w:spacing w:val="-7"/>
          <w:sz w:val="21"/>
        </w:rPr>
        <w:t>气体灭火控制器、泡沫灭火控制器直接连接火灾探测器时，气体灭火系统、泡沫灭火</w:t>
      </w:r>
      <w:r>
        <w:rPr>
          <w:spacing w:val="-5"/>
          <w:sz w:val="21"/>
        </w:rPr>
        <w:t>系统的自</w:t>
      </w:r>
      <w:r>
        <w:rPr>
          <w:spacing w:val="-5"/>
          <w:sz w:val="21"/>
        </w:rPr>
        <w:t xml:space="preserve"> </w:t>
      </w:r>
      <w:r>
        <w:rPr>
          <w:spacing w:val="-5"/>
          <w:sz w:val="21"/>
        </w:rPr>
        <w:t>动控制方式应符合下列规定：</w:t>
      </w:r>
      <w:r>
        <w:rPr>
          <w:b/>
          <w:w w:val="99"/>
          <w:sz w:val="21"/>
        </w:rPr>
        <w:t xml:space="preserve"> </w:t>
      </w:r>
    </w:p>
    <w:p w14:paraId="0D6515D1" w14:textId="77777777" w:rsidR="00A71EEF" w:rsidRDefault="0081115D">
      <w:pPr>
        <w:pStyle w:val="a4"/>
        <w:numPr>
          <w:ilvl w:val="0"/>
          <w:numId w:val="382"/>
        </w:numPr>
        <w:tabs>
          <w:tab w:val="left" w:pos="1370"/>
        </w:tabs>
        <w:spacing w:line="446" w:lineRule="auto"/>
        <w:ind w:right="1433" w:firstLine="419"/>
        <w:jc w:val="both"/>
        <w:rPr>
          <w:sz w:val="21"/>
        </w:rPr>
      </w:pPr>
      <w:r>
        <w:rPr>
          <w:sz w:val="21"/>
        </w:rPr>
        <w:t>应由同一防护区域内两只独立的火灾探测器的报警信号、一只火灾探测器与一只手动</w:t>
      </w:r>
      <w:r>
        <w:rPr>
          <w:spacing w:val="-1"/>
          <w:sz w:val="21"/>
        </w:rPr>
        <w:t>火灾报</w:t>
      </w:r>
      <w:r>
        <w:rPr>
          <w:spacing w:val="-1"/>
          <w:sz w:val="21"/>
        </w:rPr>
        <w:t xml:space="preserve"> </w:t>
      </w:r>
      <w:r>
        <w:rPr>
          <w:spacing w:val="-1"/>
          <w:sz w:val="21"/>
        </w:rPr>
        <w:t>警按钮的报警信号或防护区外</w:t>
      </w:r>
      <w:r>
        <w:rPr>
          <w:spacing w:val="-1"/>
          <w:sz w:val="21"/>
        </w:rPr>
        <w:t>的紧急启动信号，作为系统的联动触发信号，探测器的组</w:t>
      </w:r>
      <w:r>
        <w:rPr>
          <w:spacing w:val="-5"/>
          <w:sz w:val="21"/>
        </w:rPr>
        <w:t>合宜采用感</w:t>
      </w:r>
      <w:r>
        <w:rPr>
          <w:spacing w:val="-5"/>
          <w:sz w:val="21"/>
        </w:rPr>
        <w:t xml:space="preserve"> </w:t>
      </w:r>
      <w:r>
        <w:rPr>
          <w:spacing w:val="-5"/>
          <w:sz w:val="21"/>
        </w:rPr>
        <w:t>烟火灾探测器和感温火灾探测器，各类探测器应按本规范第</w:t>
      </w:r>
      <w:r>
        <w:rPr>
          <w:spacing w:val="-5"/>
          <w:sz w:val="21"/>
        </w:rPr>
        <w:t xml:space="preserve"> </w:t>
      </w:r>
      <w:r>
        <w:rPr>
          <w:sz w:val="21"/>
        </w:rPr>
        <w:t>6.2</w:t>
      </w:r>
      <w:r>
        <w:rPr>
          <w:spacing w:val="-2"/>
          <w:sz w:val="21"/>
        </w:rPr>
        <w:t xml:space="preserve"> </w:t>
      </w:r>
      <w:r>
        <w:rPr>
          <w:spacing w:val="-2"/>
          <w:sz w:val="21"/>
        </w:rPr>
        <w:t>节的规定分别计算</w:t>
      </w:r>
    </w:p>
    <w:p w14:paraId="7A02B83B" w14:textId="77777777" w:rsidR="00A71EEF" w:rsidRDefault="00A71EEF">
      <w:pPr>
        <w:spacing w:line="446" w:lineRule="auto"/>
        <w:jc w:val="both"/>
        <w:rPr>
          <w:sz w:val="21"/>
        </w:rPr>
        <w:sectPr w:rsidR="00A71EEF">
          <w:pgSz w:w="11910" w:h="16850"/>
          <w:pgMar w:top="1220" w:right="0" w:bottom="1420" w:left="1260" w:header="0" w:footer="1239" w:gutter="0"/>
          <w:cols w:space="720"/>
        </w:sectPr>
      </w:pPr>
    </w:p>
    <w:p w14:paraId="5562B04F" w14:textId="77777777" w:rsidR="00A71EEF" w:rsidRDefault="0081115D">
      <w:pPr>
        <w:pStyle w:val="a3"/>
        <w:spacing w:before="47"/>
        <w:ind w:left="418"/>
      </w:pPr>
      <w:r>
        <w:t>保护面积。</w:t>
      </w:r>
      <w:r>
        <w:t xml:space="preserve"> </w:t>
      </w:r>
    </w:p>
    <w:p w14:paraId="4612B0B9" w14:textId="77777777" w:rsidR="00A71EEF" w:rsidRDefault="00A71EEF">
      <w:pPr>
        <w:pStyle w:val="a3"/>
        <w:rPr>
          <w:sz w:val="18"/>
        </w:rPr>
      </w:pPr>
    </w:p>
    <w:p w14:paraId="561283DF" w14:textId="77777777" w:rsidR="00A71EEF" w:rsidRDefault="0081115D">
      <w:pPr>
        <w:pStyle w:val="a4"/>
        <w:numPr>
          <w:ilvl w:val="0"/>
          <w:numId w:val="382"/>
        </w:numPr>
        <w:tabs>
          <w:tab w:val="left" w:pos="1365"/>
        </w:tabs>
        <w:spacing w:line="446" w:lineRule="auto"/>
        <w:ind w:right="1431" w:firstLine="419"/>
        <w:jc w:val="both"/>
        <w:rPr>
          <w:sz w:val="21"/>
        </w:rPr>
      </w:pPr>
      <w:r>
        <w:rPr>
          <w:spacing w:val="-10"/>
          <w:sz w:val="21"/>
        </w:rPr>
        <w:t>气体灭火控制器、泡沫灭火控制器在接收到满足联动逻辑关系的首个联动触发信号后</w:t>
      </w:r>
      <w:r>
        <w:rPr>
          <w:spacing w:val="-5"/>
          <w:sz w:val="21"/>
        </w:rPr>
        <w:t>，应启动设置在该防护区内的火灾声光警报器，且联动触发信号应为任一防护区域内设置的感烟</w:t>
      </w:r>
      <w:r>
        <w:rPr>
          <w:spacing w:val="-6"/>
          <w:sz w:val="21"/>
        </w:rPr>
        <w:t>火灾探测器、其他类型火灾探测器或手动火灾报警按钮的首次报警信号；在接收到第二个联动触</w:t>
      </w:r>
      <w:r>
        <w:rPr>
          <w:spacing w:val="-8"/>
          <w:sz w:val="21"/>
        </w:rPr>
        <w:t>发信号后，应发出联动控制信号，且联动触发信号应为同一防护区域内与首次报警的火灾探测器</w:t>
      </w:r>
      <w:r>
        <w:rPr>
          <w:spacing w:val="-4"/>
          <w:sz w:val="21"/>
        </w:rPr>
        <w:t>或手动火灾报</w:t>
      </w:r>
      <w:r>
        <w:rPr>
          <w:spacing w:val="-4"/>
          <w:sz w:val="21"/>
        </w:rPr>
        <w:t xml:space="preserve"> </w:t>
      </w:r>
      <w:r>
        <w:rPr>
          <w:spacing w:val="-4"/>
          <w:sz w:val="21"/>
        </w:rPr>
        <w:t>警按钮相邻的感温火灾探测器、火焰探测器或手动火灾报警按钮的报警信号。</w:t>
      </w:r>
      <w:r>
        <w:rPr>
          <w:sz w:val="21"/>
        </w:rPr>
        <w:t xml:space="preserve"> </w:t>
      </w:r>
    </w:p>
    <w:p w14:paraId="1F59D39C" w14:textId="77777777" w:rsidR="00A71EEF" w:rsidRDefault="0081115D">
      <w:pPr>
        <w:pStyle w:val="a4"/>
        <w:numPr>
          <w:ilvl w:val="0"/>
          <w:numId w:val="382"/>
        </w:numPr>
        <w:tabs>
          <w:tab w:val="left" w:pos="1367"/>
        </w:tabs>
        <w:spacing w:line="268" w:lineRule="exact"/>
        <w:ind w:left="1367" w:hanging="529"/>
        <w:rPr>
          <w:sz w:val="21"/>
        </w:rPr>
      </w:pPr>
      <w:r>
        <w:rPr>
          <w:spacing w:val="-3"/>
          <w:sz w:val="21"/>
        </w:rPr>
        <w:t>联动控制信号应包括下列内容：</w:t>
      </w:r>
      <w:r>
        <w:rPr>
          <w:sz w:val="21"/>
        </w:rPr>
        <w:t xml:space="preserve"> </w:t>
      </w:r>
    </w:p>
    <w:p w14:paraId="5417DA18" w14:textId="77777777" w:rsidR="00A71EEF" w:rsidRDefault="00A71EEF">
      <w:pPr>
        <w:pStyle w:val="a3"/>
        <w:rPr>
          <w:sz w:val="18"/>
        </w:rPr>
      </w:pPr>
    </w:p>
    <w:p w14:paraId="32169D11" w14:textId="77777777" w:rsidR="00A71EEF" w:rsidRDefault="0081115D">
      <w:pPr>
        <w:pStyle w:val="a4"/>
        <w:numPr>
          <w:ilvl w:val="0"/>
          <w:numId w:val="381"/>
        </w:numPr>
        <w:tabs>
          <w:tab w:val="left" w:pos="1156"/>
        </w:tabs>
        <w:rPr>
          <w:sz w:val="21"/>
        </w:rPr>
      </w:pPr>
      <w:r>
        <w:rPr>
          <w:spacing w:val="-3"/>
          <w:sz w:val="21"/>
        </w:rPr>
        <w:t>关闭防护区域的送（排</w:t>
      </w:r>
      <w:r>
        <w:rPr>
          <w:sz w:val="21"/>
        </w:rPr>
        <w:t>）</w:t>
      </w:r>
      <w:r>
        <w:rPr>
          <w:spacing w:val="-3"/>
          <w:sz w:val="21"/>
        </w:rPr>
        <w:t>风机及送</w:t>
      </w:r>
      <w:r>
        <w:rPr>
          <w:sz w:val="21"/>
        </w:rPr>
        <w:t>（</w:t>
      </w:r>
      <w:r>
        <w:rPr>
          <w:spacing w:val="-3"/>
          <w:sz w:val="21"/>
        </w:rPr>
        <w:t>排</w:t>
      </w:r>
      <w:r>
        <w:rPr>
          <w:sz w:val="21"/>
        </w:rPr>
        <w:t>）</w:t>
      </w:r>
      <w:r>
        <w:rPr>
          <w:spacing w:val="-3"/>
          <w:sz w:val="21"/>
        </w:rPr>
        <w:t>风阀门：</w:t>
      </w:r>
      <w:r>
        <w:rPr>
          <w:spacing w:val="-3"/>
          <w:sz w:val="21"/>
        </w:rPr>
        <w:t xml:space="preserve"> </w:t>
      </w:r>
    </w:p>
    <w:p w14:paraId="2894608E" w14:textId="77777777" w:rsidR="00A71EEF" w:rsidRDefault="00A71EEF">
      <w:pPr>
        <w:pStyle w:val="a3"/>
        <w:rPr>
          <w:sz w:val="18"/>
        </w:rPr>
      </w:pPr>
    </w:p>
    <w:p w14:paraId="5F48F715" w14:textId="77777777" w:rsidR="00A71EEF" w:rsidRDefault="0081115D">
      <w:pPr>
        <w:pStyle w:val="a4"/>
        <w:numPr>
          <w:ilvl w:val="0"/>
          <w:numId w:val="381"/>
        </w:numPr>
        <w:tabs>
          <w:tab w:val="left" w:pos="1156"/>
        </w:tabs>
        <w:rPr>
          <w:sz w:val="21"/>
        </w:rPr>
      </w:pPr>
      <w:r>
        <w:rPr>
          <w:spacing w:val="-3"/>
          <w:sz w:val="21"/>
        </w:rPr>
        <w:t>停止通风和空气调节系统及关闭设置在该防护区域的电动防火阀；</w:t>
      </w:r>
      <w:r>
        <w:rPr>
          <w:sz w:val="21"/>
        </w:rPr>
        <w:t xml:space="preserve"> </w:t>
      </w:r>
    </w:p>
    <w:p w14:paraId="0D3BD61F" w14:textId="77777777" w:rsidR="00A71EEF" w:rsidRDefault="00A71EEF">
      <w:pPr>
        <w:pStyle w:val="a3"/>
        <w:spacing w:before="2"/>
        <w:rPr>
          <w:sz w:val="18"/>
        </w:rPr>
      </w:pPr>
    </w:p>
    <w:p w14:paraId="4B920F8B" w14:textId="77777777" w:rsidR="00A71EEF" w:rsidRDefault="0081115D">
      <w:pPr>
        <w:pStyle w:val="a4"/>
        <w:numPr>
          <w:ilvl w:val="0"/>
          <w:numId w:val="381"/>
        </w:numPr>
        <w:tabs>
          <w:tab w:val="left" w:pos="1156"/>
        </w:tabs>
        <w:rPr>
          <w:sz w:val="21"/>
        </w:rPr>
      </w:pPr>
      <w:r>
        <w:rPr>
          <w:spacing w:val="-3"/>
          <w:sz w:val="21"/>
        </w:rPr>
        <w:t>联动控制防护区域开口封闭装置的启动，包括关闭防护区域的门、窗；</w:t>
      </w:r>
      <w:r>
        <w:rPr>
          <w:spacing w:val="-3"/>
          <w:sz w:val="21"/>
        </w:rPr>
        <w:t xml:space="preserve"> </w:t>
      </w:r>
    </w:p>
    <w:p w14:paraId="3D6B2EBF" w14:textId="77777777" w:rsidR="00A71EEF" w:rsidRDefault="00A71EEF">
      <w:pPr>
        <w:pStyle w:val="a3"/>
        <w:spacing w:before="12"/>
        <w:rPr>
          <w:sz w:val="17"/>
        </w:rPr>
      </w:pPr>
    </w:p>
    <w:p w14:paraId="53ED3AC4" w14:textId="77777777" w:rsidR="00A71EEF" w:rsidRDefault="0081115D">
      <w:pPr>
        <w:pStyle w:val="a4"/>
        <w:numPr>
          <w:ilvl w:val="0"/>
          <w:numId w:val="381"/>
        </w:numPr>
        <w:tabs>
          <w:tab w:val="left" w:pos="1159"/>
        </w:tabs>
        <w:ind w:left="1158" w:hanging="321"/>
        <w:rPr>
          <w:sz w:val="21"/>
        </w:rPr>
      </w:pPr>
      <w:r>
        <w:rPr>
          <w:sz w:val="21"/>
        </w:rPr>
        <w:t>启动气体灭火装置、泡沫灭火装置，气体灭火控制器、泡沫灭火控制器，可设定不大于</w:t>
      </w:r>
      <w:r>
        <w:rPr>
          <w:sz w:val="21"/>
        </w:rPr>
        <w:t xml:space="preserve"> </w:t>
      </w:r>
    </w:p>
    <w:p w14:paraId="4EF441D3" w14:textId="77777777" w:rsidR="00A71EEF" w:rsidRDefault="00A71EEF">
      <w:pPr>
        <w:pStyle w:val="a3"/>
        <w:spacing w:before="12"/>
        <w:rPr>
          <w:sz w:val="17"/>
        </w:rPr>
      </w:pPr>
    </w:p>
    <w:p w14:paraId="0B8E2694" w14:textId="77777777" w:rsidR="00A71EEF" w:rsidRDefault="0081115D">
      <w:pPr>
        <w:pStyle w:val="a3"/>
        <w:ind w:left="418"/>
        <w:jc w:val="both"/>
      </w:pPr>
      <w:r>
        <w:t xml:space="preserve">30s </w:t>
      </w:r>
      <w:r>
        <w:t>的延迟喷射时间。</w:t>
      </w:r>
      <w:r>
        <w:t xml:space="preserve"> </w:t>
      </w:r>
    </w:p>
    <w:p w14:paraId="676AB6F5" w14:textId="77777777" w:rsidR="00A71EEF" w:rsidRDefault="00A71EEF">
      <w:pPr>
        <w:pStyle w:val="a3"/>
        <w:spacing w:before="2"/>
        <w:rPr>
          <w:sz w:val="18"/>
        </w:rPr>
      </w:pPr>
    </w:p>
    <w:p w14:paraId="03F9C1E1" w14:textId="77777777" w:rsidR="00A71EEF" w:rsidRDefault="0081115D">
      <w:pPr>
        <w:pStyle w:val="a4"/>
        <w:numPr>
          <w:ilvl w:val="0"/>
          <w:numId w:val="382"/>
        </w:numPr>
        <w:tabs>
          <w:tab w:val="left" w:pos="1367"/>
        </w:tabs>
        <w:spacing w:line="446" w:lineRule="auto"/>
        <w:ind w:right="1431" w:firstLine="419"/>
        <w:jc w:val="both"/>
        <w:rPr>
          <w:sz w:val="21"/>
        </w:rPr>
      </w:pPr>
      <w:r>
        <w:rPr>
          <w:spacing w:val="-9"/>
          <w:sz w:val="21"/>
        </w:rPr>
        <w:t>平时无人工作的防护区，可设置为无延迟的喷射，应在接收到满足联动逻辑关系的首</w:t>
      </w:r>
      <w:r>
        <w:rPr>
          <w:spacing w:val="-9"/>
          <w:sz w:val="21"/>
        </w:rPr>
        <w:t xml:space="preserve"> </w:t>
      </w:r>
      <w:r>
        <w:rPr>
          <w:spacing w:val="-2"/>
          <w:sz w:val="21"/>
        </w:rPr>
        <w:t>个联动触发信号后按本条第</w:t>
      </w:r>
      <w:r>
        <w:rPr>
          <w:spacing w:val="-2"/>
          <w:sz w:val="21"/>
        </w:rPr>
        <w:t xml:space="preserve"> </w:t>
      </w:r>
      <w:r>
        <w:rPr>
          <w:sz w:val="21"/>
        </w:rPr>
        <w:t>3</w:t>
      </w:r>
      <w:r>
        <w:rPr>
          <w:spacing w:val="-3"/>
          <w:sz w:val="21"/>
        </w:rPr>
        <w:t xml:space="preserve"> </w:t>
      </w:r>
      <w:r>
        <w:rPr>
          <w:spacing w:val="-3"/>
          <w:sz w:val="21"/>
        </w:rPr>
        <w:t>款规定执行除启动气体灭火装置、泡沫灭火装置外的联动控制；</w:t>
      </w:r>
      <w:r>
        <w:rPr>
          <w:spacing w:val="-3"/>
          <w:sz w:val="21"/>
        </w:rPr>
        <w:t xml:space="preserve"> </w:t>
      </w:r>
      <w:r>
        <w:rPr>
          <w:spacing w:val="-3"/>
          <w:sz w:val="21"/>
        </w:rPr>
        <w:t>在接收到第</w:t>
      </w:r>
      <w:r>
        <w:rPr>
          <w:spacing w:val="-3"/>
          <w:sz w:val="21"/>
        </w:rPr>
        <w:t xml:space="preserve"> </w:t>
      </w:r>
      <w:r>
        <w:rPr>
          <w:spacing w:val="-3"/>
          <w:sz w:val="21"/>
        </w:rPr>
        <w:t>二个联动触发信号后，应启动气体灭火装置、泡沫灭火装置。</w:t>
      </w:r>
      <w:r>
        <w:rPr>
          <w:sz w:val="21"/>
        </w:rPr>
        <w:t xml:space="preserve"> </w:t>
      </w:r>
    </w:p>
    <w:p w14:paraId="1F8F854B" w14:textId="77777777" w:rsidR="00A71EEF" w:rsidRDefault="0081115D">
      <w:pPr>
        <w:pStyle w:val="a4"/>
        <w:numPr>
          <w:ilvl w:val="0"/>
          <w:numId w:val="382"/>
        </w:numPr>
        <w:tabs>
          <w:tab w:val="left" w:pos="1370"/>
        </w:tabs>
        <w:spacing w:line="446" w:lineRule="auto"/>
        <w:ind w:right="1437" w:firstLine="419"/>
        <w:jc w:val="both"/>
        <w:rPr>
          <w:b/>
          <w:sz w:val="21"/>
        </w:rPr>
      </w:pPr>
      <w:r>
        <w:rPr>
          <w:spacing w:val="-1"/>
          <w:sz w:val="21"/>
        </w:rPr>
        <w:t>气体灭火防护区出口外上方应设置表示气体喷洒的火灾声光警报器，指示气体释放的声信号</w:t>
      </w:r>
      <w:r>
        <w:rPr>
          <w:spacing w:val="-1"/>
          <w:sz w:val="21"/>
        </w:rPr>
        <w:t xml:space="preserve"> </w:t>
      </w:r>
      <w:r>
        <w:rPr>
          <w:spacing w:val="-1"/>
          <w:sz w:val="21"/>
        </w:rPr>
        <w:t>应与该保护对象中设置的火灾声警报器的声信号有明显区别。启动气体灭火装置、泡沫灭火装置的</w:t>
      </w:r>
      <w:r>
        <w:rPr>
          <w:spacing w:val="-1"/>
          <w:sz w:val="21"/>
        </w:rPr>
        <w:t xml:space="preserve"> </w:t>
      </w:r>
      <w:r>
        <w:rPr>
          <w:spacing w:val="-1"/>
          <w:sz w:val="21"/>
        </w:rPr>
        <w:t>同时，应启动设置在防护区入口处表示气体喷洒的火灾声光警报器；组合分配系统</w:t>
      </w:r>
      <w:r>
        <w:rPr>
          <w:spacing w:val="-3"/>
          <w:sz w:val="21"/>
        </w:rPr>
        <w:t>应首先开启相应</w:t>
      </w:r>
      <w:r>
        <w:rPr>
          <w:spacing w:val="-3"/>
          <w:sz w:val="21"/>
        </w:rPr>
        <w:t xml:space="preserve"> </w:t>
      </w:r>
      <w:r>
        <w:rPr>
          <w:spacing w:val="-3"/>
          <w:sz w:val="21"/>
        </w:rPr>
        <w:t>防护区域的选择阀，然后启动气体灭火装置、泡沫灭火装置。</w:t>
      </w:r>
      <w:r>
        <w:rPr>
          <w:b/>
          <w:spacing w:val="-3"/>
          <w:w w:val="99"/>
          <w:sz w:val="21"/>
        </w:rPr>
        <w:t xml:space="preserve">  </w:t>
      </w:r>
    </w:p>
    <w:p w14:paraId="5FF95CB2" w14:textId="77777777" w:rsidR="00A71EEF" w:rsidRDefault="0081115D">
      <w:pPr>
        <w:pStyle w:val="a4"/>
        <w:numPr>
          <w:ilvl w:val="2"/>
          <w:numId w:val="383"/>
        </w:numPr>
        <w:tabs>
          <w:tab w:val="left" w:pos="1438"/>
        </w:tabs>
        <w:spacing w:line="446" w:lineRule="auto"/>
        <w:ind w:right="1431" w:firstLine="422"/>
        <w:jc w:val="both"/>
        <w:rPr>
          <w:sz w:val="21"/>
        </w:rPr>
      </w:pPr>
      <w:r>
        <w:rPr>
          <w:spacing w:val="-3"/>
          <w:sz w:val="21"/>
        </w:rPr>
        <w:t>气体灭火控制器、泡沫灭火控制器不直接连接火灾探测器时，气体灭火系统、泡沫灭火系统的</w:t>
      </w:r>
      <w:r>
        <w:rPr>
          <w:spacing w:val="-3"/>
          <w:sz w:val="21"/>
        </w:rPr>
        <w:t xml:space="preserve"> </w:t>
      </w:r>
      <w:r>
        <w:rPr>
          <w:spacing w:val="-3"/>
          <w:sz w:val="21"/>
        </w:rPr>
        <w:t>自动控制方式应符合下列规定：</w:t>
      </w:r>
      <w:r>
        <w:rPr>
          <w:sz w:val="21"/>
        </w:rPr>
        <w:t xml:space="preserve"> </w:t>
      </w:r>
    </w:p>
    <w:p w14:paraId="7C65F951" w14:textId="77777777" w:rsidR="00A71EEF" w:rsidRDefault="0081115D">
      <w:pPr>
        <w:pStyle w:val="a4"/>
        <w:numPr>
          <w:ilvl w:val="0"/>
          <w:numId w:val="380"/>
        </w:numPr>
        <w:tabs>
          <w:tab w:val="left" w:pos="1370"/>
        </w:tabs>
        <w:spacing w:line="446" w:lineRule="auto"/>
        <w:ind w:right="1438" w:firstLine="419"/>
        <w:rPr>
          <w:sz w:val="21"/>
        </w:rPr>
      </w:pPr>
      <w:r>
        <w:rPr>
          <w:spacing w:val="-1"/>
          <w:sz w:val="21"/>
        </w:rPr>
        <w:t>气体灭火系统、泡沫灭火系统的联动触发信号应由火灾报警控制器或消防联动控制器发出</w:t>
      </w:r>
      <w:r>
        <w:rPr>
          <w:spacing w:val="-1"/>
          <w:sz w:val="21"/>
        </w:rPr>
        <w:t>。</w:t>
      </w:r>
      <w:r>
        <w:rPr>
          <w:sz w:val="21"/>
        </w:rPr>
        <w:t xml:space="preserve"> </w:t>
      </w:r>
    </w:p>
    <w:p w14:paraId="6F1AA4C4" w14:textId="77777777" w:rsidR="00A71EEF" w:rsidRDefault="0081115D">
      <w:pPr>
        <w:pStyle w:val="a4"/>
        <w:numPr>
          <w:ilvl w:val="0"/>
          <w:numId w:val="380"/>
        </w:numPr>
        <w:tabs>
          <w:tab w:val="left" w:pos="1365"/>
        </w:tabs>
        <w:spacing w:line="446" w:lineRule="auto"/>
        <w:ind w:right="1431" w:firstLine="419"/>
        <w:rPr>
          <w:b/>
          <w:sz w:val="21"/>
        </w:rPr>
      </w:pPr>
      <w:r>
        <w:rPr>
          <w:spacing w:val="-5"/>
          <w:sz w:val="21"/>
        </w:rPr>
        <w:t>气体灭火系统、泡沫灭火系统的联动触发信号和联动控制均应符合本规范第</w:t>
      </w:r>
      <w:r>
        <w:rPr>
          <w:spacing w:val="-5"/>
          <w:sz w:val="21"/>
        </w:rPr>
        <w:t xml:space="preserve"> </w:t>
      </w:r>
      <w:r>
        <w:rPr>
          <w:sz w:val="21"/>
        </w:rPr>
        <w:t>4.4.2</w:t>
      </w:r>
      <w:r>
        <w:rPr>
          <w:spacing w:val="9"/>
          <w:sz w:val="21"/>
        </w:rPr>
        <w:t xml:space="preserve"> </w:t>
      </w:r>
      <w:r>
        <w:rPr>
          <w:spacing w:val="9"/>
          <w:sz w:val="21"/>
        </w:rPr>
        <w:t>条</w:t>
      </w:r>
      <w:r>
        <w:rPr>
          <w:spacing w:val="3"/>
          <w:sz w:val="21"/>
        </w:rPr>
        <w:t>的规定。</w:t>
      </w:r>
      <w:r>
        <w:rPr>
          <w:b/>
          <w:w w:val="99"/>
          <w:sz w:val="21"/>
        </w:rPr>
        <w:t xml:space="preserve"> </w:t>
      </w:r>
    </w:p>
    <w:p w14:paraId="6C2FD548" w14:textId="77777777" w:rsidR="00A71EEF" w:rsidRDefault="0081115D">
      <w:pPr>
        <w:pStyle w:val="a4"/>
        <w:numPr>
          <w:ilvl w:val="2"/>
          <w:numId w:val="383"/>
        </w:numPr>
        <w:tabs>
          <w:tab w:val="left" w:pos="1370"/>
        </w:tabs>
        <w:ind w:left="1369" w:hanging="530"/>
        <w:rPr>
          <w:sz w:val="21"/>
        </w:rPr>
      </w:pPr>
      <w:r>
        <w:rPr>
          <w:spacing w:val="-3"/>
          <w:sz w:val="21"/>
        </w:rPr>
        <w:t>气体灭火系统、泡沫灭火系统的手动控制方式应符合下列规定：</w:t>
      </w:r>
      <w:r>
        <w:rPr>
          <w:sz w:val="21"/>
        </w:rPr>
        <w:t xml:space="preserve"> </w:t>
      </w:r>
    </w:p>
    <w:p w14:paraId="02162285" w14:textId="77777777" w:rsidR="00A71EEF" w:rsidRDefault="00A71EEF">
      <w:pPr>
        <w:pStyle w:val="a3"/>
        <w:spacing w:before="7"/>
        <w:rPr>
          <w:sz w:val="17"/>
        </w:rPr>
      </w:pPr>
    </w:p>
    <w:p w14:paraId="2637096E" w14:textId="77777777" w:rsidR="00A71EEF" w:rsidRDefault="0081115D">
      <w:pPr>
        <w:pStyle w:val="a4"/>
        <w:numPr>
          <w:ilvl w:val="0"/>
          <w:numId w:val="379"/>
        </w:numPr>
        <w:tabs>
          <w:tab w:val="left" w:pos="1365"/>
        </w:tabs>
        <w:spacing w:line="446" w:lineRule="auto"/>
        <w:ind w:right="1431" w:firstLine="419"/>
        <w:rPr>
          <w:sz w:val="21"/>
        </w:rPr>
      </w:pPr>
      <w:r>
        <w:rPr>
          <w:spacing w:val="-7"/>
          <w:sz w:val="21"/>
        </w:rPr>
        <w:t>在防护区疏散出口的门外应设置气体灭火装置、泡沫灭火装置的手动启动和停止按钮</w:t>
      </w:r>
      <w:r>
        <w:rPr>
          <w:spacing w:val="-1"/>
          <w:sz w:val="21"/>
        </w:rPr>
        <w:t>，手动</w:t>
      </w:r>
      <w:r>
        <w:rPr>
          <w:sz w:val="21"/>
        </w:rPr>
        <w:t xml:space="preserve"> </w:t>
      </w:r>
    </w:p>
    <w:p w14:paraId="287194E2" w14:textId="77777777" w:rsidR="00A71EEF" w:rsidRDefault="00A71EEF">
      <w:pPr>
        <w:spacing w:line="446" w:lineRule="auto"/>
        <w:rPr>
          <w:sz w:val="21"/>
        </w:rPr>
        <w:sectPr w:rsidR="00A71EEF">
          <w:pgSz w:w="11910" w:h="16850"/>
          <w:pgMar w:top="1220" w:right="0" w:bottom="1420" w:left="1260" w:header="0" w:footer="1239" w:gutter="0"/>
          <w:cols w:space="720"/>
        </w:sectPr>
      </w:pPr>
    </w:p>
    <w:p w14:paraId="28697D5E" w14:textId="77777777" w:rsidR="00A71EEF" w:rsidRDefault="0081115D">
      <w:pPr>
        <w:pStyle w:val="a3"/>
        <w:spacing w:before="47" w:line="446" w:lineRule="auto"/>
        <w:ind w:left="418" w:right="1431" w:firstLine="419"/>
        <w:jc w:val="both"/>
      </w:pPr>
      <w:r>
        <w:rPr>
          <w:spacing w:val="-6"/>
        </w:rPr>
        <w:t>启动按钮按下时，气体灭火控制器、泡沫灭火控制器应执行符合本规范第</w:t>
      </w:r>
      <w:r>
        <w:rPr>
          <w:spacing w:val="-6"/>
        </w:rPr>
        <w:t xml:space="preserve"> </w:t>
      </w:r>
      <w:r>
        <w:t>4.4.2</w:t>
      </w:r>
      <w:r>
        <w:rPr>
          <w:spacing w:val="4"/>
        </w:rPr>
        <w:t xml:space="preserve"> </w:t>
      </w:r>
      <w:r>
        <w:rPr>
          <w:spacing w:val="4"/>
        </w:rPr>
        <w:t>条第</w:t>
      </w:r>
      <w:r>
        <w:rPr>
          <w:spacing w:val="4"/>
        </w:rPr>
        <w:t xml:space="preserve"> </w:t>
      </w:r>
      <w:r>
        <w:rPr>
          <w:spacing w:val="-3"/>
        </w:rPr>
        <w:t>3</w:t>
      </w:r>
      <w:r>
        <w:rPr>
          <w:spacing w:val="4"/>
        </w:rPr>
        <w:t xml:space="preserve"> </w:t>
      </w:r>
      <w:r>
        <w:rPr>
          <w:spacing w:val="4"/>
        </w:rPr>
        <w:t>款</w:t>
      </w:r>
      <w:r>
        <w:rPr>
          <w:spacing w:val="21"/>
        </w:rPr>
        <w:t>和第</w:t>
      </w:r>
      <w:r>
        <w:rPr>
          <w:spacing w:val="21"/>
        </w:rPr>
        <w:t xml:space="preserve"> </w:t>
      </w:r>
      <w:r>
        <w:t>5</w:t>
      </w:r>
      <w:r>
        <w:rPr>
          <w:spacing w:val="-3"/>
        </w:rPr>
        <w:t xml:space="preserve"> </w:t>
      </w:r>
      <w:r>
        <w:rPr>
          <w:spacing w:val="-3"/>
        </w:rPr>
        <w:t>款规定的联动操作；手动停止按钮按下时，气体灭火控制器、泡沫灭火控制器应停止正在执行的联动</w:t>
      </w:r>
      <w:r>
        <w:rPr>
          <w:spacing w:val="-3"/>
        </w:rPr>
        <w:t xml:space="preserve"> </w:t>
      </w:r>
      <w:r>
        <w:rPr>
          <w:spacing w:val="-3"/>
        </w:rPr>
        <w:t>操作。</w:t>
      </w:r>
      <w:r>
        <w:t xml:space="preserve"> </w:t>
      </w:r>
    </w:p>
    <w:p w14:paraId="71FB3BC3" w14:textId="77777777" w:rsidR="00A71EEF" w:rsidRDefault="0081115D">
      <w:pPr>
        <w:pStyle w:val="a4"/>
        <w:numPr>
          <w:ilvl w:val="0"/>
          <w:numId w:val="379"/>
        </w:numPr>
        <w:tabs>
          <w:tab w:val="left" w:pos="1365"/>
        </w:tabs>
        <w:spacing w:line="446" w:lineRule="auto"/>
        <w:ind w:right="1431" w:firstLine="419"/>
        <w:rPr>
          <w:sz w:val="21"/>
        </w:rPr>
      </w:pPr>
      <w:r>
        <w:rPr>
          <w:spacing w:val="-10"/>
          <w:sz w:val="21"/>
        </w:rPr>
        <w:t>气体灭火控制器、泡沫灭火控制器上应设置对应于不同防护区的手动启动和停止按钮</w:t>
      </w:r>
      <w:r>
        <w:rPr>
          <w:spacing w:val="-1"/>
          <w:sz w:val="21"/>
        </w:rPr>
        <w:t>，手动</w:t>
      </w:r>
      <w:r>
        <w:rPr>
          <w:sz w:val="21"/>
        </w:rPr>
        <w:t xml:space="preserve"> </w:t>
      </w:r>
    </w:p>
    <w:p w14:paraId="4E30A605" w14:textId="77777777" w:rsidR="00A71EEF" w:rsidRDefault="0081115D">
      <w:pPr>
        <w:pStyle w:val="a3"/>
        <w:spacing w:line="446" w:lineRule="auto"/>
        <w:ind w:left="418" w:right="1431" w:firstLine="419"/>
        <w:jc w:val="both"/>
      </w:pPr>
      <w:r>
        <w:rPr>
          <w:spacing w:val="-6"/>
        </w:rPr>
        <w:t>启动按钮按下时，气体灭火控制器、泡沫灭火控制器应执行符合本规范第</w:t>
      </w:r>
      <w:r>
        <w:rPr>
          <w:spacing w:val="-6"/>
        </w:rPr>
        <w:t xml:space="preserve"> </w:t>
      </w:r>
      <w:r>
        <w:t>4.4.2</w:t>
      </w:r>
      <w:r>
        <w:rPr>
          <w:spacing w:val="4"/>
        </w:rPr>
        <w:t xml:space="preserve"> </w:t>
      </w:r>
      <w:r>
        <w:rPr>
          <w:spacing w:val="4"/>
        </w:rPr>
        <w:t>条第</w:t>
      </w:r>
      <w:r>
        <w:rPr>
          <w:spacing w:val="4"/>
        </w:rPr>
        <w:t xml:space="preserve"> </w:t>
      </w:r>
      <w:r>
        <w:rPr>
          <w:spacing w:val="-3"/>
        </w:rPr>
        <w:t>3</w:t>
      </w:r>
      <w:r>
        <w:rPr>
          <w:spacing w:val="4"/>
        </w:rPr>
        <w:t xml:space="preserve"> </w:t>
      </w:r>
      <w:r>
        <w:rPr>
          <w:spacing w:val="4"/>
        </w:rPr>
        <w:t>款</w:t>
      </w:r>
      <w:r>
        <w:rPr>
          <w:spacing w:val="21"/>
        </w:rPr>
        <w:t>和第</w:t>
      </w:r>
      <w:r>
        <w:rPr>
          <w:spacing w:val="21"/>
        </w:rPr>
        <w:t xml:space="preserve"> </w:t>
      </w:r>
      <w:r>
        <w:t>5</w:t>
      </w:r>
      <w:r>
        <w:rPr>
          <w:spacing w:val="-3"/>
        </w:rPr>
        <w:t xml:space="preserve"> </w:t>
      </w:r>
      <w:r>
        <w:rPr>
          <w:spacing w:val="-3"/>
        </w:rPr>
        <w:t>款规定的联动操作；手动停止按钮按下时，气体灭火控制器、泡沫灭火控制器应停止正在执行的联动操作。</w:t>
      </w:r>
      <w:r>
        <w:t xml:space="preserve"> </w:t>
      </w:r>
      <w:r>
        <w:rPr>
          <w:spacing w:val="-2"/>
        </w:rPr>
        <w:t xml:space="preserve"> </w:t>
      </w:r>
      <w:r>
        <w:t xml:space="preserve">  </w:t>
      </w:r>
    </w:p>
    <w:p w14:paraId="3B5DE329" w14:textId="77777777" w:rsidR="00A71EEF" w:rsidRDefault="0081115D">
      <w:pPr>
        <w:pStyle w:val="a4"/>
        <w:numPr>
          <w:ilvl w:val="2"/>
          <w:numId w:val="383"/>
        </w:numPr>
        <w:tabs>
          <w:tab w:val="left" w:pos="1370"/>
        </w:tabs>
        <w:spacing w:line="446" w:lineRule="auto"/>
        <w:ind w:right="1431" w:firstLine="422"/>
        <w:rPr>
          <w:sz w:val="21"/>
        </w:rPr>
      </w:pPr>
      <w:r>
        <w:rPr>
          <w:spacing w:val="-7"/>
          <w:sz w:val="21"/>
        </w:rPr>
        <w:t>气体灭火装置、泡沫灭火装置启动及喷放各阶段的联动控制及系统的反馈信号，应反</w:t>
      </w:r>
      <w:r>
        <w:rPr>
          <w:spacing w:val="-5"/>
          <w:sz w:val="21"/>
        </w:rPr>
        <w:t>馈至消防</w:t>
      </w:r>
      <w:r>
        <w:rPr>
          <w:spacing w:val="-5"/>
          <w:sz w:val="21"/>
        </w:rPr>
        <w:t xml:space="preserve"> </w:t>
      </w:r>
      <w:r>
        <w:rPr>
          <w:spacing w:val="-5"/>
          <w:sz w:val="21"/>
        </w:rPr>
        <w:t>联动控制器。系统的联动反馈信号应包括下列内容：</w:t>
      </w:r>
      <w:r>
        <w:rPr>
          <w:sz w:val="21"/>
        </w:rPr>
        <w:t xml:space="preserve"> </w:t>
      </w:r>
    </w:p>
    <w:p w14:paraId="1BE07177" w14:textId="77777777" w:rsidR="00A71EEF" w:rsidRDefault="0081115D">
      <w:pPr>
        <w:pStyle w:val="a4"/>
        <w:numPr>
          <w:ilvl w:val="0"/>
          <w:numId w:val="378"/>
        </w:numPr>
        <w:tabs>
          <w:tab w:val="left" w:pos="1367"/>
        </w:tabs>
        <w:rPr>
          <w:sz w:val="21"/>
        </w:rPr>
      </w:pPr>
      <w:r>
        <w:rPr>
          <w:spacing w:val="-3"/>
          <w:sz w:val="21"/>
        </w:rPr>
        <w:t>气体灭火控制器、泡沫灭火控制器直接连接的火灾探测器的报警信号。</w:t>
      </w:r>
      <w:r>
        <w:rPr>
          <w:spacing w:val="-3"/>
          <w:sz w:val="21"/>
        </w:rPr>
        <w:t xml:space="preserve"> </w:t>
      </w:r>
    </w:p>
    <w:p w14:paraId="0C6DA658" w14:textId="77777777" w:rsidR="00A71EEF" w:rsidRDefault="00A71EEF">
      <w:pPr>
        <w:pStyle w:val="a3"/>
        <w:spacing w:before="8"/>
        <w:rPr>
          <w:sz w:val="17"/>
        </w:rPr>
      </w:pPr>
    </w:p>
    <w:p w14:paraId="659335B7" w14:textId="77777777" w:rsidR="00A71EEF" w:rsidRDefault="0081115D">
      <w:pPr>
        <w:pStyle w:val="a4"/>
        <w:numPr>
          <w:ilvl w:val="0"/>
          <w:numId w:val="378"/>
        </w:numPr>
        <w:tabs>
          <w:tab w:val="left" w:pos="1367"/>
        </w:tabs>
        <w:rPr>
          <w:sz w:val="21"/>
        </w:rPr>
      </w:pPr>
      <w:r>
        <w:rPr>
          <w:spacing w:val="-3"/>
          <w:sz w:val="21"/>
        </w:rPr>
        <w:t>选择阀的动作信号。</w:t>
      </w:r>
      <w:r>
        <w:rPr>
          <w:sz w:val="21"/>
        </w:rPr>
        <w:t xml:space="preserve"> </w:t>
      </w:r>
    </w:p>
    <w:p w14:paraId="5B808CB7" w14:textId="77777777" w:rsidR="00A71EEF" w:rsidRDefault="00A71EEF">
      <w:pPr>
        <w:pStyle w:val="a3"/>
        <w:spacing w:before="2"/>
        <w:rPr>
          <w:sz w:val="18"/>
        </w:rPr>
      </w:pPr>
    </w:p>
    <w:p w14:paraId="6DA31D26" w14:textId="77777777" w:rsidR="00A71EEF" w:rsidRDefault="0081115D">
      <w:pPr>
        <w:pStyle w:val="a4"/>
        <w:numPr>
          <w:ilvl w:val="0"/>
          <w:numId w:val="378"/>
        </w:numPr>
        <w:tabs>
          <w:tab w:val="left" w:pos="1367"/>
        </w:tabs>
        <w:jc w:val="both"/>
        <w:rPr>
          <w:sz w:val="21"/>
        </w:rPr>
      </w:pPr>
      <w:r>
        <w:rPr>
          <w:spacing w:val="-3"/>
          <w:sz w:val="21"/>
        </w:rPr>
        <w:t>压力开关的动作信号。</w:t>
      </w:r>
      <w:r>
        <w:rPr>
          <w:spacing w:val="-3"/>
          <w:sz w:val="21"/>
        </w:rPr>
        <w:t xml:space="preserve">  </w:t>
      </w:r>
      <w:r>
        <w:rPr>
          <w:spacing w:val="-2"/>
          <w:sz w:val="21"/>
        </w:rPr>
        <w:t xml:space="preserve"> </w:t>
      </w:r>
      <w:r>
        <w:rPr>
          <w:sz w:val="21"/>
        </w:rPr>
        <w:t xml:space="preserve">  </w:t>
      </w:r>
    </w:p>
    <w:p w14:paraId="25A21E63" w14:textId="77777777" w:rsidR="00A71EEF" w:rsidRDefault="00A71EEF">
      <w:pPr>
        <w:pStyle w:val="a3"/>
        <w:rPr>
          <w:sz w:val="18"/>
        </w:rPr>
      </w:pPr>
    </w:p>
    <w:p w14:paraId="57747EE0" w14:textId="77777777" w:rsidR="00A71EEF" w:rsidRDefault="0081115D">
      <w:pPr>
        <w:pStyle w:val="a4"/>
        <w:numPr>
          <w:ilvl w:val="2"/>
          <w:numId w:val="383"/>
        </w:numPr>
        <w:tabs>
          <w:tab w:val="left" w:pos="1370"/>
        </w:tabs>
        <w:spacing w:line="446" w:lineRule="auto"/>
        <w:ind w:right="1431" w:firstLine="422"/>
        <w:jc w:val="both"/>
        <w:rPr>
          <w:sz w:val="21"/>
        </w:rPr>
      </w:pPr>
      <w:r>
        <w:rPr>
          <w:spacing w:val="-5"/>
          <w:sz w:val="21"/>
        </w:rPr>
        <w:t>在防护区域内设有手动与自动控制转换装置的系统，其手动或自动控制方式的工作状</w:t>
      </w:r>
      <w:r>
        <w:rPr>
          <w:spacing w:val="-1"/>
          <w:sz w:val="21"/>
        </w:rPr>
        <w:t>态应在防</w:t>
      </w:r>
      <w:r>
        <w:rPr>
          <w:spacing w:val="-1"/>
          <w:sz w:val="21"/>
        </w:rPr>
        <w:t xml:space="preserve"> </w:t>
      </w:r>
      <w:r>
        <w:rPr>
          <w:spacing w:val="-1"/>
          <w:sz w:val="21"/>
        </w:rPr>
        <w:t>护区内、外的手动和自动控制状态显示装置上显示，该状态信号应反馈至消防联动控制器。</w:t>
      </w:r>
      <w:r>
        <w:rPr>
          <w:sz w:val="21"/>
        </w:rPr>
        <w:t xml:space="preserve"> </w:t>
      </w:r>
      <w:r>
        <w:rPr>
          <w:spacing w:val="-3"/>
          <w:sz w:val="21"/>
        </w:rPr>
        <w:t xml:space="preserve"> </w:t>
      </w:r>
      <w:r>
        <w:rPr>
          <w:sz w:val="21"/>
        </w:rPr>
        <w:t xml:space="preserve"> </w:t>
      </w:r>
    </w:p>
    <w:p w14:paraId="2B343915" w14:textId="77777777" w:rsidR="00A71EEF" w:rsidRDefault="0081115D">
      <w:pPr>
        <w:pStyle w:val="a4"/>
        <w:numPr>
          <w:ilvl w:val="1"/>
          <w:numId w:val="383"/>
        </w:numPr>
        <w:tabs>
          <w:tab w:val="left" w:pos="1159"/>
        </w:tabs>
        <w:spacing w:line="268" w:lineRule="exact"/>
        <w:ind w:hanging="319"/>
        <w:rPr>
          <w:sz w:val="21"/>
        </w:rPr>
      </w:pPr>
      <w:r>
        <w:rPr>
          <w:spacing w:val="-3"/>
          <w:sz w:val="21"/>
        </w:rPr>
        <w:t>防烟排烟系统的联动控制设计</w:t>
      </w:r>
      <w:r>
        <w:rPr>
          <w:sz w:val="21"/>
        </w:rPr>
        <w:t xml:space="preserve"> </w:t>
      </w:r>
    </w:p>
    <w:p w14:paraId="0D7EAF14" w14:textId="77777777" w:rsidR="00A71EEF" w:rsidRDefault="00A71EEF">
      <w:pPr>
        <w:pStyle w:val="a3"/>
        <w:spacing w:before="12"/>
        <w:rPr>
          <w:sz w:val="17"/>
        </w:rPr>
      </w:pPr>
    </w:p>
    <w:p w14:paraId="500F3A94" w14:textId="77777777" w:rsidR="00A71EEF" w:rsidRDefault="0081115D">
      <w:pPr>
        <w:pStyle w:val="a4"/>
        <w:numPr>
          <w:ilvl w:val="2"/>
          <w:numId w:val="383"/>
        </w:numPr>
        <w:tabs>
          <w:tab w:val="left" w:pos="1370"/>
        </w:tabs>
        <w:ind w:left="1369" w:hanging="530"/>
        <w:rPr>
          <w:sz w:val="21"/>
        </w:rPr>
      </w:pPr>
      <w:r>
        <w:rPr>
          <w:spacing w:val="-3"/>
          <w:sz w:val="21"/>
        </w:rPr>
        <w:t>防烟系统的联动控制方式应符合下列规定：</w:t>
      </w:r>
      <w:r>
        <w:rPr>
          <w:sz w:val="21"/>
        </w:rPr>
        <w:t xml:space="preserve"> </w:t>
      </w:r>
    </w:p>
    <w:p w14:paraId="73470EF6" w14:textId="77777777" w:rsidR="00A71EEF" w:rsidRDefault="00A71EEF">
      <w:pPr>
        <w:pStyle w:val="a3"/>
        <w:spacing w:before="2"/>
        <w:rPr>
          <w:sz w:val="18"/>
        </w:rPr>
      </w:pPr>
    </w:p>
    <w:p w14:paraId="0815F359" w14:textId="77777777" w:rsidR="00A71EEF" w:rsidRDefault="0081115D">
      <w:pPr>
        <w:pStyle w:val="a4"/>
        <w:numPr>
          <w:ilvl w:val="0"/>
          <w:numId w:val="377"/>
        </w:numPr>
        <w:tabs>
          <w:tab w:val="left" w:pos="1370"/>
        </w:tabs>
        <w:spacing w:line="446" w:lineRule="auto"/>
        <w:ind w:right="1437" w:firstLine="419"/>
        <w:jc w:val="both"/>
        <w:rPr>
          <w:sz w:val="21"/>
        </w:rPr>
      </w:pPr>
      <w:r>
        <w:rPr>
          <w:spacing w:val="-1"/>
          <w:sz w:val="21"/>
        </w:rPr>
        <w:t>应由加压送风口所在防火分区内的两只独立的火灾探测器或一只火灾探测器与一只手动火灾</w:t>
      </w:r>
      <w:r>
        <w:rPr>
          <w:spacing w:val="-1"/>
          <w:sz w:val="21"/>
        </w:rPr>
        <w:t xml:space="preserve"> </w:t>
      </w:r>
      <w:r>
        <w:rPr>
          <w:spacing w:val="-1"/>
          <w:sz w:val="21"/>
        </w:rPr>
        <w:t>报警按钮的报警信号，作为送风口开启和加压送风机启动的联动触发信号，并应由消防</w:t>
      </w:r>
      <w:r>
        <w:rPr>
          <w:spacing w:val="-3"/>
          <w:sz w:val="21"/>
        </w:rPr>
        <w:t>联动控制器</w:t>
      </w:r>
      <w:r>
        <w:rPr>
          <w:spacing w:val="-3"/>
          <w:sz w:val="21"/>
        </w:rPr>
        <w:t xml:space="preserve"> </w:t>
      </w:r>
      <w:r>
        <w:rPr>
          <w:spacing w:val="-3"/>
          <w:sz w:val="21"/>
        </w:rPr>
        <w:t>联动控制相关层前室等需要加压送风场所的加压送风口开启和加压送风机启动。</w:t>
      </w:r>
      <w:r>
        <w:rPr>
          <w:sz w:val="21"/>
        </w:rPr>
        <w:t xml:space="preserve"> </w:t>
      </w:r>
    </w:p>
    <w:p w14:paraId="4D255A19" w14:textId="77777777" w:rsidR="00A71EEF" w:rsidRDefault="0081115D">
      <w:pPr>
        <w:pStyle w:val="a4"/>
        <w:numPr>
          <w:ilvl w:val="0"/>
          <w:numId w:val="377"/>
        </w:numPr>
        <w:tabs>
          <w:tab w:val="left" w:pos="1370"/>
        </w:tabs>
        <w:spacing w:line="446" w:lineRule="auto"/>
        <w:ind w:right="1437" w:firstLine="419"/>
        <w:jc w:val="both"/>
        <w:rPr>
          <w:sz w:val="21"/>
        </w:rPr>
      </w:pPr>
      <w:r>
        <w:rPr>
          <w:spacing w:val="-1"/>
          <w:sz w:val="21"/>
        </w:rPr>
        <w:t>应由同一防烟分区内且位于电动挡烟垂壁附近的两只独立的感烟火灾探测器的报警信号，作</w:t>
      </w:r>
      <w:r>
        <w:rPr>
          <w:spacing w:val="-1"/>
          <w:sz w:val="21"/>
        </w:rPr>
        <w:t xml:space="preserve"> </w:t>
      </w:r>
      <w:r>
        <w:rPr>
          <w:spacing w:val="-1"/>
          <w:sz w:val="21"/>
        </w:rPr>
        <w:t>为电动挡烟垂壁降落的联动触发信号，并应由消防联动控制器联动控制电动挡烟垂壁的降落。</w:t>
      </w:r>
      <w:r>
        <w:rPr>
          <w:sz w:val="21"/>
        </w:rPr>
        <w:t xml:space="preserve"> </w:t>
      </w:r>
      <w:r>
        <w:rPr>
          <w:spacing w:val="-3"/>
          <w:sz w:val="21"/>
        </w:rPr>
        <w:t xml:space="preserve"> </w:t>
      </w:r>
      <w:r>
        <w:rPr>
          <w:sz w:val="21"/>
        </w:rPr>
        <w:t xml:space="preserve">   </w:t>
      </w:r>
      <w:r>
        <w:rPr>
          <w:spacing w:val="-1"/>
          <w:sz w:val="21"/>
        </w:rPr>
        <w:t xml:space="preserve"> </w:t>
      </w:r>
      <w:r>
        <w:rPr>
          <w:sz w:val="21"/>
        </w:rPr>
        <w:t xml:space="preserve">  </w:t>
      </w:r>
    </w:p>
    <w:p w14:paraId="2CFE56D6" w14:textId="77777777" w:rsidR="00A71EEF" w:rsidRDefault="0081115D">
      <w:pPr>
        <w:pStyle w:val="a4"/>
        <w:numPr>
          <w:ilvl w:val="2"/>
          <w:numId w:val="383"/>
        </w:numPr>
        <w:tabs>
          <w:tab w:val="left" w:pos="1371"/>
        </w:tabs>
        <w:spacing w:line="268" w:lineRule="exact"/>
        <w:ind w:left="1370" w:hanging="531"/>
        <w:rPr>
          <w:sz w:val="21"/>
        </w:rPr>
      </w:pPr>
      <w:r>
        <w:rPr>
          <w:spacing w:val="-3"/>
          <w:sz w:val="21"/>
        </w:rPr>
        <w:t>排烟系统的联动控制方式应符合下列规定：</w:t>
      </w:r>
      <w:r>
        <w:rPr>
          <w:sz w:val="21"/>
        </w:rPr>
        <w:t xml:space="preserve"> </w:t>
      </w:r>
    </w:p>
    <w:p w14:paraId="34561CD8" w14:textId="77777777" w:rsidR="00A71EEF" w:rsidRDefault="00A71EEF">
      <w:pPr>
        <w:pStyle w:val="a3"/>
        <w:spacing w:before="12"/>
        <w:rPr>
          <w:sz w:val="17"/>
        </w:rPr>
      </w:pPr>
    </w:p>
    <w:p w14:paraId="669D60C9" w14:textId="77777777" w:rsidR="00A71EEF" w:rsidRDefault="0081115D">
      <w:pPr>
        <w:pStyle w:val="a4"/>
        <w:numPr>
          <w:ilvl w:val="0"/>
          <w:numId w:val="376"/>
        </w:numPr>
        <w:tabs>
          <w:tab w:val="left" w:pos="1367"/>
        </w:tabs>
        <w:spacing w:line="446" w:lineRule="auto"/>
        <w:ind w:right="1431" w:firstLine="419"/>
        <w:jc w:val="both"/>
        <w:rPr>
          <w:sz w:val="21"/>
        </w:rPr>
      </w:pPr>
      <w:r>
        <w:rPr>
          <w:spacing w:val="-7"/>
          <w:sz w:val="21"/>
        </w:rPr>
        <w:t>应由同一防烟分区内的两只独立的火灾探测器的报警信号，作为排烟口、排烟窗或排</w:t>
      </w:r>
      <w:r>
        <w:rPr>
          <w:spacing w:val="-7"/>
          <w:sz w:val="21"/>
        </w:rPr>
        <w:t xml:space="preserve"> </w:t>
      </w:r>
      <w:r>
        <w:rPr>
          <w:spacing w:val="-8"/>
          <w:sz w:val="21"/>
        </w:rPr>
        <w:t>烟阀开</w:t>
      </w:r>
      <w:r>
        <w:rPr>
          <w:spacing w:val="-8"/>
          <w:sz w:val="21"/>
        </w:rPr>
        <w:t xml:space="preserve"> </w:t>
      </w:r>
      <w:r>
        <w:rPr>
          <w:spacing w:val="-8"/>
          <w:sz w:val="21"/>
        </w:rPr>
        <w:t>启的联动触发信号，并应由消防联动控制器联动控制排烟口、排烟窗或排烟阀的开启，同</w:t>
      </w:r>
      <w:r>
        <w:rPr>
          <w:spacing w:val="-6"/>
          <w:sz w:val="21"/>
        </w:rPr>
        <w:t>时停止该</w:t>
      </w:r>
      <w:r>
        <w:rPr>
          <w:spacing w:val="-6"/>
          <w:sz w:val="21"/>
        </w:rPr>
        <w:t xml:space="preserve"> </w:t>
      </w:r>
      <w:r>
        <w:rPr>
          <w:spacing w:val="-6"/>
          <w:sz w:val="21"/>
        </w:rPr>
        <w:t>防烟分区的空气调节系统。</w:t>
      </w:r>
      <w:r>
        <w:rPr>
          <w:sz w:val="21"/>
        </w:rPr>
        <w:t xml:space="preserve"> </w:t>
      </w:r>
    </w:p>
    <w:p w14:paraId="3E96E273" w14:textId="77777777" w:rsidR="00A71EEF" w:rsidRDefault="00A71EEF">
      <w:pPr>
        <w:spacing w:line="446" w:lineRule="auto"/>
        <w:jc w:val="both"/>
        <w:rPr>
          <w:sz w:val="21"/>
        </w:rPr>
        <w:sectPr w:rsidR="00A71EEF">
          <w:pgSz w:w="11910" w:h="16850"/>
          <w:pgMar w:top="1220" w:right="0" w:bottom="1420" w:left="1260" w:header="0" w:footer="1239" w:gutter="0"/>
          <w:cols w:space="720"/>
        </w:sectPr>
      </w:pPr>
    </w:p>
    <w:p w14:paraId="3D7A310A" w14:textId="77777777" w:rsidR="00A71EEF" w:rsidRDefault="0081115D">
      <w:pPr>
        <w:pStyle w:val="a4"/>
        <w:numPr>
          <w:ilvl w:val="0"/>
          <w:numId w:val="376"/>
        </w:numPr>
        <w:tabs>
          <w:tab w:val="left" w:pos="1367"/>
        </w:tabs>
        <w:spacing w:before="47" w:line="446" w:lineRule="auto"/>
        <w:ind w:right="1433" w:firstLine="419"/>
        <w:jc w:val="both"/>
        <w:rPr>
          <w:b/>
          <w:sz w:val="21"/>
        </w:rPr>
      </w:pPr>
      <w:r>
        <w:rPr>
          <w:spacing w:val="-11"/>
          <w:sz w:val="21"/>
        </w:rPr>
        <w:t>应由排烟口、排烟窗或排烟阀开启的动作信号，作为排烟风机启动的联动触发信号，</w:t>
      </w:r>
      <w:r>
        <w:rPr>
          <w:spacing w:val="-11"/>
          <w:sz w:val="21"/>
        </w:rPr>
        <w:t xml:space="preserve"> </w:t>
      </w:r>
      <w:r>
        <w:rPr>
          <w:spacing w:val="-3"/>
          <w:sz w:val="21"/>
        </w:rPr>
        <w:t>并应由</w:t>
      </w:r>
      <w:r>
        <w:rPr>
          <w:spacing w:val="-3"/>
          <w:sz w:val="21"/>
        </w:rPr>
        <w:t xml:space="preserve"> </w:t>
      </w:r>
      <w:r>
        <w:rPr>
          <w:spacing w:val="-3"/>
          <w:sz w:val="21"/>
        </w:rPr>
        <w:t>消防联动控制器联动控制排烟风机的启动。</w:t>
      </w:r>
      <w:r>
        <w:rPr>
          <w:b/>
          <w:w w:val="99"/>
          <w:sz w:val="21"/>
        </w:rPr>
        <w:t xml:space="preserve">   </w:t>
      </w:r>
      <w:r>
        <w:rPr>
          <w:b/>
          <w:sz w:val="21"/>
        </w:rPr>
        <w:t xml:space="preserve"> </w:t>
      </w:r>
      <w:r>
        <w:rPr>
          <w:b/>
          <w:spacing w:val="-3"/>
          <w:sz w:val="21"/>
        </w:rPr>
        <w:t xml:space="preserve"> </w:t>
      </w:r>
      <w:r>
        <w:rPr>
          <w:b/>
          <w:w w:val="99"/>
          <w:sz w:val="21"/>
        </w:rPr>
        <w:t xml:space="preserve">  </w:t>
      </w:r>
    </w:p>
    <w:p w14:paraId="13B82F9E" w14:textId="77777777" w:rsidR="00A71EEF" w:rsidRDefault="0081115D">
      <w:pPr>
        <w:pStyle w:val="a4"/>
        <w:numPr>
          <w:ilvl w:val="2"/>
          <w:numId w:val="383"/>
        </w:numPr>
        <w:tabs>
          <w:tab w:val="left" w:pos="1370"/>
        </w:tabs>
        <w:spacing w:line="446" w:lineRule="auto"/>
        <w:ind w:right="1431" w:firstLine="422"/>
        <w:jc w:val="both"/>
        <w:rPr>
          <w:b/>
          <w:sz w:val="21"/>
        </w:rPr>
      </w:pPr>
      <w:r>
        <w:rPr>
          <w:spacing w:val="-7"/>
          <w:sz w:val="21"/>
        </w:rPr>
        <w:t>防烟系统、排烟系统的手动控制方式，应能在消防控制室内的消防联动控制器上手动</w:t>
      </w:r>
      <w:r>
        <w:rPr>
          <w:spacing w:val="-9"/>
          <w:sz w:val="21"/>
        </w:rPr>
        <w:t>控制送风</w:t>
      </w:r>
      <w:r>
        <w:rPr>
          <w:spacing w:val="-9"/>
          <w:sz w:val="21"/>
        </w:rPr>
        <w:t xml:space="preserve"> </w:t>
      </w:r>
      <w:r>
        <w:rPr>
          <w:spacing w:val="-9"/>
          <w:sz w:val="21"/>
        </w:rPr>
        <w:t>口、电动挡烟垂壁、排烟口、排烟窗、排烟阀的开启或关闭及防烟风机、排烟风机等设</w:t>
      </w:r>
      <w:r>
        <w:rPr>
          <w:spacing w:val="-12"/>
          <w:sz w:val="21"/>
        </w:rPr>
        <w:t>备的启动或</w:t>
      </w:r>
      <w:r>
        <w:rPr>
          <w:spacing w:val="-12"/>
          <w:sz w:val="21"/>
        </w:rPr>
        <w:t xml:space="preserve"> </w:t>
      </w:r>
      <w:r>
        <w:rPr>
          <w:spacing w:val="-12"/>
          <w:sz w:val="21"/>
        </w:rPr>
        <w:t>停止，防烟、排烟风机的启动、停止按钮应采用专用线路直接连接至设置在消防控制</w:t>
      </w:r>
      <w:r>
        <w:rPr>
          <w:spacing w:val="-5"/>
          <w:sz w:val="21"/>
        </w:rPr>
        <w:t>室内的消防联</w:t>
      </w:r>
      <w:r>
        <w:rPr>
          <w:spacing w:val="-5"/>
          <w:sz w:val="21"/>
        </w:rPr>
        <w:t xml:space="preserve"> </w:t>
      </w:r>
      <w:r>
        <w:rPr>
          <w:spacing w:val="-5"/>
          <w:sz w:val="21"/>
        </w:rPr>
        <w:t>动控制器的手动控制盘，并应直接手动控制防烟、排烟风机的启动、停止。</w:t>
      </w:r>
      <w:r>
        <w:rPr>
          <w:b/>
          <w:spacing w:val="-5"/>
          <w:w w:val="99"/>
          <w:sz w:val="21"/>
        </w:rPr>
        <w:t xml:space="preserve"> </w:t>
      </w:r>
    </w:p>
    <w:p w14:paraId="1C0771DB" w14:textId="77777777" w:rsidR="00A71EEF" w:rsidRDefault="0081115D">
      <w:pPr>
        <w:pStyle w:val="a4"/>
        <w:numPr>
          <w:ilvl w:val="2"/>
          <w:numId w:val="383"/>
        </w:numPr>
        <w:tabs>
          <w:tab w:val="left" w:pos="1370"/>
        </w:tabs>
        <w:spacing w:line="446" w:lineRule="auto"/>
        <w:ind w:right="1431" w:firstLine="422"/>
        <w:jc w:val="both"/>
        <w:rPr>
          <w:sz w:val="21"/>
        </w:rPr>
      </w:pPr>
      <w:r>
        <w:rPr>
          <w:spacing w:val="-8"/>
          <w:sz w:val="21"/>
        </w:rPr>
        <w:t>送风口、排烟口、排烟窗或排烟阀开启和关闭的动作信号，防烟、排烟风机启动和停</w:t>
      </w:r>
      <w:r>
        <w:rPr>
          <w:spacing w:val="-5"/>
          <w:sz w:val="21"/>
        </w:rPr>
        <w:t>止及电动</w:t>
      </w:r>
      <w:r>
        <w:rPr>
          <w:spacing w:val="-5"/>
          <w:sz w:val="21"/>
        </w:rPr>
        <w:t xml:space="preserve"> </w:t>
      </w:r>
      <w:r>
        <w:rPr>
          <w:spacing w:val="-5"/>
          <w:sz w:val="21"/>
        </w:rPr>
        <w:t>防火阀关闭的动作信号，均应反馈至消防联动控制器。</w:t>
      </w:r>
      <w:r>
        <w:rPr>
          <w:sz w:val="21"/>
        </w:rPr>
        <w:t xml:space="preserve">  </w:t>
      </w:r>
      <w:r>
        <w:rPr>
          <w:spacing w:val="-2"/>
          <w:sz w:val="21"/>
        </w:rPr>
        <w:t xml:space="preserve"> </w:t>
      </w:r>
      <w:r>
        <w:rPr>
          <w:sz w:val="21"/>
        </w:rPr>
        <w:t xml:space="preserve">  </w:t>
      </w:r>
      <w:r>
        <w:rPr>
          <w:sz w:val="21"/>
        </w:rPr>
        <w:t xml:space="preserve"> </w:t>
      </w:r>
      <w:r>
        <w:rPr>
          <w:spacing w:val="-2"/>
          <w:sz w:val="21"/>
        </w:rPr>
        <w:t xml:space="preserve"> </w:t>
      </w:r>
      <w:r>
        <w:rPr>
          <w:sz w:val="21"/>
        </w:rPr>
        <w:t xml:space="preserve">  </w:t>
      </w:r>
    </w:p>
    <w:p w14:paraId="64A78D89" w14:textId="77777777" w:rsidR="00A71EEF" w:rsidRDefault="0081115D">
      <w:pPr>
        <w:pStyle w:val="a4"/>
        <w:numPr>
          <w:ilvl w:val="2"/>
          <w:numId w:val="383"/>
        </w:numPr>
        <w:tabs>
          <w:tab w:val="left" w:pos="1371"/>
        </w:tabs>
        <w:spacing w:line="446" w:lineRule="auto"/>
        <w:ind w:right="1431" w:firstLine="422"/>
        <w:jc w:val="both"/>
        <w:rPr>
          <w:b/>
          <w:sz w:val="21"/>
        </w:rPr>
      </w:pPr>
      <w:r>
        <w:rPr>
          <w:sz w:val="21"/>
        </w:rPr>
        <w:t>排烟风机入口处的总管上设置的</w:t>
      </w:r>
      <w:r>
        <w:rPr>
          <w:sz w:val="21"/>
        </w:rPr>
        <w:t xml:space="preserve"> </w:t>
      </w:r>
      <w:r>
        <w:rPr>
          <w:sz w:val="21"/>
        </w:rPr>
        <w:t>280</w:t>
      </w:r>
      <w:r>
        <w:rPr>
          <w:spacing w:val="-3"/>
          <w:sz w:val="21"/>
        </w:rPr>
        <w:t xml:space="preserve">℃ </w:t>
      </w:r>
      <w:r>
        <w:rPr>
          <w:spacing w:val="-3"/>
          <w:sz w:val="21"/>
        </w:rPr>
        <w:t>排烟防火阀在关闭后应直接联动控制风机停止，排烟</w:t>
      </w:r>
      <w:r>
        <w:rPr>
          <w:spacing w:val="-3"/>
          <w:sz w:val="21"/>
        </w:rPr>
        <w:t xml:space="preserve"> </w:t>
      </w:r>
      <w:r>
        <w:rPr>
          <w:spacing w:val="-3"/>
          <w:sz w:val="21"/>
        </w:rPr>
        <w:t>防火阀及风机的动作信号应反馈至消防联动控制器。</w:t>
      </w:r>
      <w:r>
        <w:rPr>
          <w:spacing w:val="-3"/>
          <w:sz w:val="21"/>
        </w:rPr>
        <w:t xml:space="preserve"> </w:t>
      </w:r>
      <w:r>
        <w:rPr>
          <w:b/>
          <w:w w:val="99"/>
          <w:sz w:val="21"/>
        </w:rPr>
        <w:t xml:space="preserve">  </w:t>
      </w:r>
      <w:r>
        <w:rPr>
          <w:b/>
          <w:sz w:val="21"/>
        </w:rPr>
        <w:t xml:space="preserve"> </w:t>
      </w:r>
      <w:r>
        <w:rPr>
          <w:b/>
          <w:spacing w:val="-3"/>
          <w:sz w:val="21"/>
        </w:rPr>
        <w:t xml:space="preserve"> </w:t>
      </w:r>
      <w:r>
        <w:rPr>
          <w:b/>
          <w:w w:val="99"/>
          <w:sz w:val="21"/>
        </w:rPr>
        <w:t xml:space="preserve">  </w:t>
      </w:r>
    </w:p>
    <w:p w14:paraId="0AEDBCB4" w14:textId="77777777" w:rsidR="00A71EEF" w:rsidRDefault="0081115D">
      <w:pPr>
        <w:pStyle w:val="a4"/>
        <w:numPr>
          <w:ilvl w:val="1"/>
          <w:numId w:val="383"/>
        </w:numPr>
        <w:tabs>
          <w:tab w:val="left" w:pos="1159"/>
        </w:tabs>
        <w:ind w:hanging="319"/>
        <w:rPr>
          <w:sz w:val="21"/>
        </w:rPr>
      </w:pPr>
      <w:r>
        <w:rPr>
          <w:spacing w:val="-3"/>
          <w:sz w:val="21"/>
        </w:rPr>
        <w:t>防火门及防火卷帘系统的联动控制设计</w:t>
      </w:r>
      <w:r>
        <w:rPr>
          <w:sz w:val="21"/>
        </w:rPr>
        <w:t xml:space="preserve"> </w:t>
      </w:r>
    </w:p>
    <w:p w14:paraId="5D6D0980" w14:textId="77777777" w:rsidR="00A71EEF" w:rsidRDefault="00A71EEF">
      <w:pPr>
        <w:pStyle w:val="a3"/>
        <w:spacing w:before="8"/>
        <w:rPr>
          <w:sz w:val="17"/>
        </w:rPr>
      </w:pPr>
    </w:p>
    <w:p w14:paraId="3B12519C" w14:textId="77777777" w:rsidR="00A71EEF" w:rsidRDefault="0081115D">
      <w:pPr>
        <w:pStyle w:val="a4"/>
        <w:numPr>
          <w:ilvl w:val="2"/>
          <w:numId w:val="383"/>
        </w:numPr>
        <w:tabs>
          <w:tab w:val="left" w:pos="1371"/>
        </w:tabs>
        <w:ind w:left="1370" w:hanging="531"/>
        <w:rPr>
          <w:sz w:val="21"/>
        </w:rPr>
      </w:pPr>
      <w:r>
        <w:rPr>
          <w:spacing w:val="-3"/>
          <w:sz w:val="21"/>
        </w:rPr>
        <w:t>防火门系统的联动控制设计，应符合下列规定：</w:t>
      </w:r>
      <w:r>
        <w:rPr>
          <w:sz w:val="21"/>
        </w:rPr>
        <w:t xml:space="preserve"> </w:t>
      </w:r>
    </w:p>
    <w:p w14:paraId="48D1ACE8" w14:textId="77777777" w:rsidR="00A71EEF" w:rsidRDefault="00A71EEF">
      <w:pPr>
        <w:pStyle w:val="a3"/>
        <w:spacing w:before="2"/>
        <w:rPr>
          <w:sz w:val="18"/>
        </w:rPr>
      </w:pPr>
    </w:p>
    <w:p w14:paraId="2EE314F4" w14:textId="77777777" w:rsidR="00A71EEF" w:rsidRDefault="0081115D">
      <w:pPr>
        <w:pStyle w:val="a4"/>
        <w:numPr>
          <w:ilvl w:val="0"/>
          <w:numId w:val="375"/>
        </w:numPr>
        <w:tabs>
          <w:tab w:val="left" w:pos="1370"/>
        </w:tabs>
        <w:spacing w:line="446" w:lineRule="auto"/>
        <w:ind w:right="1330" w:firstLine="419"/>
        <w:jc w:val="both"/>
        <w:rPr>
          <w:sz w:val="21"/>
        </w:rPr>
      </w:pPr>
      <w:r>
        <w:rPr>
          <w:sz w:val="21"/>
        </w:rPr>
        <w:t>应由常开防火门所在防火分区内的两只独立的火灾探测器或一只火灾探测器与一只手动火灾</w:t>
      </w:r>
      <w:r>
        <w:rPr>
          <w:sz w:val="21"/>
        </w:rPr>
        <w:t xml:space="preserve"> </w:t>
      </w:r>
      <w:r>
        <w:rPr>
          <w:sz w:val="21"/>
        </w:rPr>
        <w:t>报警按钮的报警信号，作为常开防火门关闭的联动触发信号，联动触发信号应由火灾报</w:t>
      </w:r>
      <w:r>
        <w:rPr>
          <w:spacing w:val="-8"/>
          <w:sz w:val="21"/>
        </w:rPr>
        <w:t>警控制器或</w:t>
      </w:r>
      <w:r>
        <w:rPr>
          <w:spacing w:val="-8"/>
          <w:sz w:val="21"/>
        </w:rPr>
        <w:t xml:space="preserve"> </w:t>
      </w:r>
      <w:r>
        <w:rPr>
          <w:spacing w:val="-8"/>
          <w:sz w:val="21"/>
        </w:rPr>
        <w:t>消防联动控制器发出，并应由消防联动控制器或防火门监控器联动控制防火门关闭。</w:t>
      </w:r>
      <w:r>
        <w:rPr>
          <w:sz w:val="21"/>
        </w:rPr>
        <w:t xml:space="preserve"> </w:t>
      </w:r>
    </w:p>
    <w:p w14:paraId="58A791DB" w14:textId="77777777" w:rsidR="00A71EEF" w:rsidRDefault="0081115D">
      <w:pPr>
        <w:pStyle w:val="a4"/>
        <w:numPr>
          <w:ilvl w:val="0"/>
          <w:numId w:val="375"/>
        </w:numPr>
        <w:tabs>
          <w:tab w:val="left" w:pos="1367"/>
          <w:tab w:val="left" w:pos="5878"/>
        </w:tabs>
        <w:spacing w:line="446" w:lineRule="auto"/>
        <w:ind w:left="840" w:right="2033" w:hanging="3"/>
        <w:rPr>
          <w:b/>
          <w:sz w:val="21"/>
        </w:rPr>
      </w:pPr>
      <w:r>
        <w:rPr>
          <w:sz w:val="21"/>
        </w:rPr>
        <w:t>疏</w:t>
      </w:r>
      <w:r>
        <w:rPr>
          <w:spacing w:val="-3"/>
          <w:sz w:val="21"/>
        </w:rPr>
        <w:t>散</w:t>
      </w:r>
      <w:r>
        <w:rPr>
          <w:sz w:val="21"/>
        </w:rPr>
        <w:t>通</w:t>
      </w:r>
      <w:r>
        <w:rPr>
          <w:spacing w:val="-3"/>
          <w:sz w:val="21"/>
        </w:rPr>
        <w:t>道</w:t>
      </w:r>
      <w:r>
        <w:rPr>
          <w:sz w:val="21"/>
        </w:rPr>
        <w:t>上</w:t>
      </w:r>
      <w:r>
        <w:rPr>
          <w:spacing w:val="-3"/>
          <w:sz w:val="21"/>
        </w:rPr>
        <w:t>各</w:t>
      </w:r>
      <w:r>
        <w:rPr>
          <w:sz w:val="21"/>
        </w:rPr>
        <w:t>防</w:t>
      </w:r>
      <w:r>
        <w:rPr>
          <w:spacing w:val="-3"/>
          <w:sz w:val="21"/>
        </w:rPr>
        <w:t>火门</w:t>
      </w:r>
      <w:r>
        <w:rPr>
          <w:sz w:val="21"/>
        </w:rPr>
        <w:t>的开</w:t>
      </w:r>
      <w:r>
        <w:rPr>
          <w:spacing w:val="-3"/>
          <w:sz w:val="21"/>
        </w:rPr>
        <w:t>启</w:t>
      </w:r>
      <w:r>
        <w:rPr>
          <w:sz w:val="21"/>
        </w:rPr>
        <w:t>、</w:t>
      </w:r>
      <w:r>
        <w:rPr>
          <w:spacing w:val="-3"/>
          <w:sz w:val="21"/>
        </w:rPr>
        <w:t>关</w:t>
      </w:r>
      <w:r>
        <w:rPr>
          <w:sz w:val="21"/>
        </w:rPr>
        <w:t>闭</w:t>
      </w:r>
      <w:r>
        <w:rPr>
          <w:spacing w:val="-3"/>
          <w:sz w:val="21"/>
        </w:rPr>
        <w:t>及</w:t>
      </w:r>
      <w:r>
        <w:rPr>
          <w:sz w:val="21"/>
        </w:rPr>
        <w:t>故</w:t>
      </w:r>
      <w:r>
        <w:rPr>
          <w:spacing w:val="-3"/>
          <w:sz w:val="21"/>
        </w:rPr>
        <w:t>障</w:t>
      </w:r>
      <w:r>
        <w:rPr>
          <w:sz w:val="21"/>
        </w:rPr>
        <w:t>状</w:t>
      </w:r>
      <w:r>
        <w:rPr>
          <w:spacing w:val="-3"/>
          <w:sz w:val="21"/>
        </w:rPr>
        <w:t>态</w:t>
      </w:r>
      <w:r>
        <w:rPr>
          <w:sz w:val="21"/>
        </w:rPr>
        <w:t>信号</w:t>
      </w:r>
      <w:r>
        <w:rPr>
          <w:spacing w:val="-3"/>
          <w:sz w:val="21"/>
        </w:rPr>
        <w:t>应</w:t>
      </w:r>
      <w:r>
        <w:rPr>
          <w:sz w:val="21"/>
        </w:rPr>
        <w:t>反</w:t>
      </w:r>
      <w:r>
        <w:rPr>
          <w:spacing w:val="-3"/>
          <w:sz w:val="21"/>
        </w:rPr>
        <w:t>馈</w:t>
      </w:r>
      <w:r>
        <w:rPr>
          <w:sz w:val="21"/>
        </w:rPr>
        <w:t>至</w:t>
      </w:r>
      <w:r>
        <w:rPr>
          <w:spacing w:val="-3"/>
          <w:sz w:val="21"/>
        </w:rPr>
        <w:t>防</w:t>
      </w:r>
      <w:r>
        <w:rPr>
          <w:sz w:val="21"/>
        </w:rPr>
        <w:t>火</w:t>
      </w:r>
      <w:r>
        <w:rPr>
          <w:spacing w:val="-3"/>
          <w:sz w:val="21"/>
        </w:rPr>
        <w:t>门</w:t>
      </w:r>
      <w:r>
        <w:rPr>
          <w:sz w:val="21"/>
        </w:rPr>
        <w:t>监</w:t>
      </w:r>
      <w:r>
        <w:rPr>
          <w:spacing w:val="-3"/>
          <w:sz w:val="21"/>
        </w:rPr>
        <w:t>控</w:t>
      </w:r>
      <w:r>
        <w:rPr>
          <w:sz w:val="21"/>
        </w:rPr>
        <w:t>器。</w:t>
      </w:r>
      <w:r>
        <w:rPr>
          <w:b/>
          <w:sz w:val="21"/>
        </w:rPr>
        <w:t>4.6.2</w:t>
      </w:r>
      <w:r>
        <w:rPr>
          <w:b/>
          <w:spacing w:val="23"/>
          <w:sz w:val="21"/>
        </w:rPr>
        <w:t xml:space="preserve"> </w:t>
      </w:r>
      <w:r>
        <w:rPr>
          <w:spacing w:val="-3"/>
          <w:sz w:val="21"/>
        </w:rPr>
        <w:t>防</w:t>
      </w:r>
      <w:r>
        <w:rPr>
          <w:sz w:val="21"/>
        </w:rPr>
        <w:t>火</w:t>
      </w:r>
      <w:r>
        <w:rPr>
          <w:spacing w:val="-3"/>
          <w:sz w:val="21"/>
        </w:rPr>
        <w:t>卷</w:t>
      </w:r>
      <w:r>
        <w:rPr>
          <w:sz w:val="21"/>
        </w:rPr>
        <w:t>帘</w:t>
      </w:r>
      <w:r>
        <w:rPr>
          <w:spacing w:val="-3"/>
          <w:sz w:val="21"/>
        </w:rPr>
        <w:t>的</w:t>
      </w:r>
      <w:r>
        <w:rPr>
          <w:sz w:val="21"/>
        </w:rPr>
        <w:t>升</w:t>
      </w:r>
      <w:r>
        <w:rPr>
          <w:spacing w:val="-3"/>
          <w:sz w:val="21"/>
        </w:rPr>
        <w:t>降应</w:t>
      </w:r>
      <w:r>
        <w:rPr>
          <w:sz w:val="21"/>
        </w:rPr>
        <w:t>由防</w:t>
      </w:r>
      <w:r>
        <w:rPr>
          <w:spacing w:val="-3"/>
          <w:sz w:val="21"/>
        </w:rPr>
        <w:t>火</w:t>
      </w:r>
      <w:r>
        <w:rPr>
          <w:sz w:val="21"/>
        </w:rPr>
        <w:t>卷</w:t>
      </w:r>
      <w:r>
        <w:rPr>
          <w:spacing w:val="-3"/>
          <w:sz w:val="21"/>
        </w:rPr>
        <w:t>帘</w:t>
      </w:r>
      <w:r>
        <w:rPr>
          <w:sz w:val="21"/>
        </w:rPr>
        <w:t>控</w:t>
      </w:r>
      <w:r>
        <w:rPr>
          <w:spacing w:val="-3"/>
          <w:sz w:val="21"/>
        </w:rPr>
        <w:t>制</w:t>
      </w:r>
      <w:r>
        <w:rPr>
          <w:sz w:val="21"/>
        </w:rPr>
        <w:t>器</w:t>
      </w:r>
      <w:r>
        <w:rPr>
          <w:spacing w:val="-3"/>
          <w:sz w:val="21"/>
        </w:rPr>
        <w:t>控</w:t>
      </w:r>
      <w:r>
        <w:rPr>
          <w:sz w:val="21"/>
        </w:rPr>
        <w:t>制</w:t>
      </w:r>
      <w:r>
        <w:rPr>
          <w:spacing w:val="-3"/>
          <w:sz w:val="21"/>
        </w:rPr>
        <w:t>。</w:t>
      </w:r>
      <w:r>
        <w:rPr>
          <w:sz w:val="21"/>
        </w:rPr>
        <w:t xml:space="preserve"> </w:t>
      </w:r>
      <w:r>
        <w:rPr>
          <w:sz w:val="21"/>
        </w:rPr>
        <w:tab/>
      </w:r>
      <w:r>
        <w:rPr>
          <w:b/>
          <w:w w:val="99"/>
          <w:sz w:val="21"/>
        </w:rPr>
        <w:t xml:space="preserve">  </w:t>
      </w:r>
    </w:p>
    <w:p w14:paraId="2F9367C2" w14:textId="77777777" w:rsidR="00A71EEF" w:rsidRDefault="0081115D">
      <w:pPr>
        <w:pStyle w:val="a3"/>
        <w:spacing w:line="267" w:lineRule="exact"/>
        <w:ind w:left="840"/>
      </w:pPr>
      <w:r>
        <w:rPr>
          <w:b/>
        </w:rPr>
        <w:t xml:space="preserve">4.6.3 </w:t>
      </w:r>
      <w:r>
        <w:t>疏散通道上设置的防火卷帘的联动控制设计，应符合下列规定：</w:t>
      </w:r>
      <w:r>
        <w:t xml:space="preserve"> </w:t>
      </w:r>
    </w:p>
    <w:p w14:paraId="45005837" w14:textId="77777777" w:rsidR="00A71EEF" w:rsidRDefault="00A71EEF">
      <w:pPr>
        <w:pStyle w:val="a3"/>
        <w:spacing w:before="1"/>
        <w:rPr>
          <w:sz w:val="18"/>
        </w:rPr>
      </w:pPr>
    </w:p>
    <w:p w14:paraId="39450E8C" w14:textId="77777777" w:rsidR="00A71EEF" w:rsidRDefault="0081115D">
      <w:pPr>
        <w:pStyle w:val="a4"/>
        <w:numPr>
          <w:ilvl w:val="0"/>
          <w:numId w:val="374"/>
        </w:numPr>
        <w:tabs>
          <w:tab w:val="left" w:pos="1370"/>
        </w:tabs>
        <w:spacing w:line="446" w:lineRule="auto"/>
        <w:ind w:right="1431" w:firstLine="419"/>
        <w:jc w:val="both"/>
        <w:rPr>
          <w:sz w:val="21"/>
        </w:rPr>
      </w:pPr>
      <w:r>
        <w:rPr>
          <w:sz w:val="21"/>
        </w:rPr>
        <w:t>联动控制方式，防火分区内任两只独立的感烟火灾探测器或任一只专门用于联动防火</w:t>
      </w:r>
      <w:r>
        <w:rPr>
          <w:spacing w:val="-2"/>
          <w:sz w:val="21"/>
        </w:rPr>
        <w:t>卷帘的感</w:t>
      </w:r>
      <w:r>
        <w:rPr>
          <w:spacing w:val="-2"/>
          <w:sz w:val="21"/>
        </w:rPr>
        <w:t xml:space="preserve"> </w:t>
      </w:r>
      <w:r>
        <w:rPr>
          <w:spacing w:val="-2"/>
          <w:sz w:val="21"/>
        </w:rPr>
        <w:t>烟火灾探测器的报警信号应联动控制防火卷帘下降至距楼板面</w:t>
      </w:r>
      <w:r>
        <w:rPr>
          <w:spacing w:val="-2"/>
          <w:sz w:val="21"/>
        </w:rPr>
        <w:t xml:space="preserve"> </w:t>
      </w:r>
      <w:r>
        <w:rPr>
          <w:sz w:val="21"/>
        </w:rPr>
        <w:t>1.8m</w:t>
      </w:r>
      <w:r>
        <w:rPr>
          <w:spacing w:val="5"/>
          <w:sz w:val="21"/>
        </w:rPr>
        <w:t xml:space="preserve"> </w:t>
      </w:r>
      <w:r>
        <w:rPr>
          <w:spacing w:val="5"/>
          <w:sz w:val="21"/>
        </w:rPr>
        <w:t>处；任一只专门</w:t>
      </w:r>
      <w:r>
        <w:rPr>
          <w:sz w:val="21"/>
        </w:rPr>
        <w:t>用于联动防火</w:t>
      </w:r>
      <w:r>
        <w:rPr>
          <w:sz w:val="21"/>
        </w:rPr>
        <w:t xml:space="preserve"> </w:t>
      </w:r>
      <w:r>
        <w:rPr>
          <w:sz w:val="21"/>
        </w:rPr>
        <w:t>卷帘的感温火灾探测器的报警信号应联动控制防火卷帘下降到楼板面；在卷帘的</w:t>
      </w:r>
      <w:r>
        <w:rPr>
          <w:spacing w:val="-2"/>
          <w:sz w:val="21"/>
        </w:rPr>
        <w:t>任一侧距卷帘纵深</w:t>
      </w:r>
      <w:r>
        <w:rPr>
          <w:spacing w:val="-2"/>
          <w:sz w:val="21"/>
        </w:rPr>
        <w:t xml:space="preserve"> </w:t>
      </w:r>
      <w:r>
        <w:rPr>
          <w:sz w:val="21"/>
        </w:rPr>
        <w:t>0.5</w:t>
      </w:r>
      <w:r>
        <w:rPr>
          <w:sz w:val="21"/>
        </w:rPr>
        <w:t>～</w:t>
      </w:r>
      <w:r>
        <w:rPr>
          <w:sz w:val="21"/>
        </w:rPr>
        <w:t>5m</w:t>
      </w:r>
      <w:r>
        <w:rPr>
          <w:spacing w:val="-2"/>
          <w:sz w:val="21"/>
        </w:rPr>
        <w:t xml:space="preserve"> </w:t>
      </w:r>
      <w:r>
        <w:rPr>
          <w:spacing w:val="-2"/>
          <w:sz w:val="21"/>
        </w:rPr>
        <w:t>内应设置不少于</w:t>
      </w:r>
      <w:r>
        <w:rPr>
          <w:spacing w:val="-2"/>
          <w:sz w:val="21"/>
        </w:rPr>
        <w:t xml:space="preserve"> </w:t>
      </w:r>
      <w:r>
        <w:rPr>
          <w:spacing w:val="-3"/>
          <w:sz w:val="21"/>
        </w:rPr>
        <w:t xml:space="preserve">2 </w:t>
      </w:r>
      <w:r>
        <w:rPr>
          <w:spacing w:val="-3"/>
          <w:sz w:val="21"/>
        </w:rPr>
        <w:t>只专门用于联动防火卷帘的感温火灾探测器。</w:t>
      </w:r>
      <w:r>
        <w:rPr>
          <w:sz w:val="21"/>
        </w:rPr>
        <w:t xml:space="preserve"> </w:t>
      </w:r>
    </w:p>
    <w:p w14:paraId="294BDF29" w14:textId="77777777" w:rsidR="00A71EEF" w:rsidRDefault="0081115D">
      <w:pPr>
        <w:pStyle w:val="a4"/>
        <w:numPr>
          <w:ilvl w:val="0"/>
          <w:numId w:val="374"/>
        </w:numPr>
        <w:tabs>
          <w:tab w:val="left" w:pos="1367"/>
          <w:tab w:val="left" w:pos="8819"/>
        </w:tabs>
        <w:spacing w:line="446" w:lineRule="auto"/>
        <w:ind w:right="1719" w:firstLine="419"/>
        <w:rPr>
          <w:sz w:val="21"/>
        </w:rPr>
      </w:pPr>
      <w:r>
        <w:rPr>
          <w:sz w:val="21"/>
        </w:rPr>
        <w:t>手</w:t>
      </w:r>
      <w:r>
        <w:rPr>
          <w:spacing w:val="-3"/>
          <w:sz w:val="21"/>
        </w:rPr>
        <w:t>动</w:t>
      </w:r>
      <w:r>
        <w:rPr>
          <w:sz w:val="21"/>
        </w:rPr>
        <w:t>控</w:t>
      </w:r>
      <w:r>
        <w:rPr>
          <w:spacing w:val="-3"/>
          <w:sz w:val="21"/>
        </w:rPr>
        <w:t>制</w:t>
      </w:r>
      <w:r>
        <w:rPr>
          <w:sz w:val="21"/>
        </w:rPr>
        <w:t>方</w:t>
      </w:r>
      <w:r>
        <w:rPr>
          <w:spacing w:val="-3"/>
          <w:sz w:val="21"/>
        </w:rPr>
        <w:t>式</w:t>
      </w:r>
      <w:r>
        <w:rPr>
          <w:sz w:val="21"/>
        </w:rPr>
        <w:t>，</w:t>
      </w:r>
      <w:r>
        <w:rPr>
          <w:spacing w:val="-3"/>
          <w:sz w:val="21"/>
        </w:rPr>
        <w:t>应由</w:t>
      </w:r>
      <w:r>
        <w:rPr>
          <w:sz w:val="21"/>
        </w:rPr>
        <w:t>防火</w:t>
      </w:r>
      <w:r>
        <w:rPr>
          <w:spacing w:val="-3"/>
          <w:sz w:val="21"/>
        </w:rPr>
        <w:t>卷</w:t>
      </w:r>
      <w:r>
        <w:rPr>
          <w:sz w:val="21"/>
        </w:rPr>
        <w:t>帘</w:t>
      </w:r>
      <w:r>
        <w:rPr>
          <w:spacing w:val="-3"/>
          <w:sz w:val="21"/>
        </w:rPr>
        <w:t>两</w:t>
      </w:r>
      <w:r>
        <w:rPr>
          <w:sz w:val="21"/>
        </w:rPr>
        <w:t>侧</w:t>
      </w:r>
      <w:r>
        <w:rPr>
          <w:spacing w:val="-3"/>
          <w:sz w:val="21"/>
        </w:rPr>
        <w:t>设</w:t>
      </w:r>
      <w:r>
        <w:rPr>
          <w:sz w:val="21"/>
        </w:rPr>
        <w:t>置</w:t>
      </w:r>
      <w:r>
        <w:rPr>
          <w:spacing w:val="-3"/>
          <w:sz w:val="21"/>
        </w:rPr>
        <w:t>的</w:t>
      </w:r>
      <w:r>
        <w:rPr>
          <w:sz w:val="21"/>
        </w:rPr>
        <w:t>手</w:t>
      </w:r>
      <w:r>
        <w:rPr>
          <w:spacing w:val="-3"/>
          <w:sz w:val="21"/>
        </w:rPr>
        <w:t>动</w:t>
      </w:r>
      <w:r>
        <w:rPr>
          <w:sz w:val="21"/>
        </w:rPr>
        <w:t>控制</w:t>
      </w:r>
      <w:r>
        <w:rPr>
          <w:spacing w:val="-3"/>
          <w:sz w:val="21"/>
        </w:rPr>
        <w:t>按</w:t>
      </w:r>
      <w:r>
        <w:rPr>
          <w:sz w:val="21"/>
        </w:rPr>
        <w:t>钮</w:t>
      </w:r>
      <w:r>
        <w:rPr>
          <w:spacing w:val="-3"/>
          <w:sz w:val="21"/>
        </w:rPr>
        <w:t>控</w:t>
      </w:r>
      <w:r>
        <w:rPr>
          <w:sz w:val="21"/>
        </w:rPr>
        <w:t>制</w:t>
      </w:r>
      <w:r>
        <w:rPr>
          <w:spacing w:val="-3"/>
          <w:sz w:val="21"/>
        </w:rPr>
        <w:t>防</w:t>
      </w:r>
      <w:r>
        <w:rPr>
          <w:sz w:val="21"/>
        </w:rPr>
        <w:t>火</w:t>
      </w:r>
      <w:r>
        <w:rPr>
          <w:spacing w:val="-3"/>
          <w:sz w:val="21"/>
        </w:rPr>
        <w:t>卷</w:t>
      </w:r>
      <w:r>
        <w:rPr>
          <w:sz w:val="21"/>
        </w:rPr>
        <w:t>帘</w:t>
      </w:r>
      <w:r>
        <w:rPr>
          <w:spacing w:val="-3"/>
          <w:sz w:val="21"/>
        </w:rPr>
        <w:t>的</w:t>
      </w:r>
      <w:r>
        <w:rPr>
          <w:sz w:val="21"/>
        </w:rPr>
        <w:t>升降</w:t>
      </w:r>
      <w:r>
        <w:rPr>
          <w:spacing w:val="-3"/>
          <w:sz w:val="21"/>
        </w:rPr>
        <w:t>。</w:t>
      </w:r>
      <w:r>
        <w:rPr>
          <w:spacing w:val="-3"/>
          <w:sz w:val="21"/>
        </w:rPr>
        <w:tab/>
      </w:r>
      <w:r>
        <w:rPr>
          <w:sz w:val="21"/>
        </w:rPr>
        <w:t xml:space="preserve"> </w:t>
      </w:r>
      <w:r>
        <w:rPr>
          <w:b/>
          <w:sz w:val="21"/>
        </w:rPr>
        <w:t>4.6.4</w:t>
      </w:r>
      <w:r>
        <w:rPr>
          <w:b/>
          <w:spacing w:val="3"/>
          <w:sz w:val="21"/>
        </w:rPr>
        <w:t xml:space="preserve"> </w:t>
      </w:r>
      <w:r>
        <w:rPr>
          <w:spacing w:val="-3"/>
          <w:sz w:val="21"/>
        </w:rPr>
        <w:t>非</w:t>
      </w:r>
      <w:r>
        <w:rPr>
          <w:sz w:val="21"/>
        </w:rPr>
        <w:t>疏</w:t>
      </w:r>
      <w:r>
        <w:rPr>
          <w:spacing w:val="-3"/>
          <w:sz w:val="21"/>
        </w:rPr>
        <w:t>散</w:t>
      </w:r>
      <w:r>
        <w:rPr>
          <w:sz w:val="21"/>
        </w:rPr>
        <w:t>通</w:t>
      </w:r>
      <w:r>
        <w:rPr>
          <w:spacing w:val="-3"/>
          <w:sz w:val="21"/>
        </w:rPr>
        <w:t>道</w:t>
      </w:r>
      <w:r>
        <w:rPr>
          <w:sz w:val="21"/>
        </w:rPr>
        <w:t>上</w:t>
      </w:r>
      <w:r>
        <w:rPr>
          <w:spacing w:val="-3"/>
          <w:sz w:val="21"/>
        </w:rPr>
        <w:t>设置</w:t>
      </w:r>
      <w:r>
        <w:rPr>
          <w:sz w:val="21"/>
        </w:rPr>
        <w:t>的防</w:t>
      </w:r>
      <w:r>
        <w:rPr>
          <w:spacing w:val="-3"/>
          <w:sz w:val="21"/>
        </w:rPr>
        <w:t>火</w:t>
      </w:r>
      <w:r>
        <w:rPr>
          <w:sz w:val="21"/>
        </w:rPr>
        <w:t>卷</w:t>
      </w:r>
      <w:r>
        <w:rPr>
          <w:spacing w:val="-3"/>
          <w:sz w:val="21"/>
        </w:rPr>
        <w:t>帘</w:t>
      </w:r>
      <w:r>
        <w:rPr>
          <w:sz w:val="21"/>
        </w:rPr>
        <w:t>的</w:t>
      </w:r>
      <w:r>
        <w:rPr>
          <w:spacing w:val="-3"/>
          <w:sz w:val="21"/>
        </w:rPr>
        <w:t>联</w:t>
      </w:r>
      <w:r>
        <w:rPr>
          <w:sz w:val="21"/>
        </w:rPr>
        <w:t>动</w:t>
      </w:r>
      <w:r>
        <w:rPr>
          <w:spacing w:val="-3"/>
          <w:sz w:val="21"/>
        </w:rPr>
        <w:t>控</w:t>
      </w:r>
      <w:r>
        <w:rPr>
          <w:sz w:val="21"/>
        </w:rPr>
        <w:t>制</w:t>
      </w:r>
      <w:r>
        <w:rPr>
          <w:spacing w:val="-3"/>
          <w:sz w:val="21"/>
        </w:rPr>
        <w:t>设</w:t>
      </w:r>
      <w:r>
        <w:rPr>
          <w:sz w:val="21"/>
        </w:rPr>
        <w:t>计，</w:t>
      </w:r>
      <w:r>
        <w:rPr>
          <w:spacing w:val="-3"/>
          <w:sz w:val="21"/>
        </w:rPr>
        <w:t>应</w:t>
      </w:r>
      <w:r>
        <w:rPr>
          <w:sz w:val="21"/>
        </w:rPr>
        <w:t>符</w:t>
      </w:r>
      <w:r>
        <w:rPr>
          <w:spacing w:val="-3"/>
          <w:sz w:val="21"/>
        </w:rPr>
        <w:t>合</w:t>
      </w:r>
      <w:r>
        <w:rPr>
          <w:sz w:val="21"/>
        </w:rPr>
        <w:t>下</w:t>
      </w:r>
      <w:r>
        <w:rPr>
          <w:spacing w:val="-3"/>
          <w:sz w:val="21"/>
        </w:rPr>
        <w:t>列</w:t>
      </w:r>
      <w:r>
        <w:rPr>
          <w:sz w:val="21"/>
        </w:rPr>
        <w:t>规</w:t>
      </w:r>
      <w:r>
        <w:rPr>
          <w:spacing w:val="-3"/>
          <w:sz w:val="21"/>
        </w:rPr>
        <w:t>定：</w:t>
      </w:r>
      <w:r>
        <w:rPr>
          <w:sz w:val="21"/>
        </w:rPr>
        <w:t xml:space="preserve"> </w:t>
      </w:r>
    </w:p>
    <w:p w14:paraId="5EBCFA9D" w14:textId="77777777" w:rsidR="00A71EEF" w:rsidRDefault="0081115D">
      <w:pPr>
        <w:pStyle w:val="a4"/>
        <w:numPr>
          <w:ilvl w:val="0"/>
          <w:numId w:val="373"/>
        </w:numPr>
        <w:tabs>
          <w:tab w:val="left" w:pos="1367"/>
        </w:tabs>
        <w:spacing w:line="446" w:lineRule="auto"/>
        <w:ind w:right="1431" w:firstLine="419"/>
        <w:rPr>
          <w:sz w:val="21"/>
        </w:rPr>
      </w:pPr>
      <w:r>
        <w:rPr>
          <w:spacing w:val="-11"/>
          <w:sz w:val="21"/>
        </w:rPr>
        <w:t>联动控制方式，应由防火卷帘所在防火分区内任两只独立的火灾探测器的报警信号，</w:t>
      </w:r>
      <w:r>
        <w:rPr>
          <w:spacing w:val="-11"/>
          <w:sz w:val="21"/>
        </w:rPr>
        <w:t xml:space="preserve"> </w:t>
      </w:r>
      <w:r>
        <w:rPr>
          <w:spacing w:val="-3"/>
          <w:sz w:val="21"/>
        </w:rPr>
        <w:t>作为防火</w:t>
      </w:r>
      <w:r>
        <w:rPr>
          <w:spacing w:val="-3"/>
          <w:sz w:val="21"/>
        </w:rPr>
        <w:t xml:space="preserve"> </w:t>
      </w:r>
      <w:r>
        <w:rPr>
          <w:spacing w:val="-3"/>
          <w:sz w:val="21"/>
        </w:rPr>
        <w:t>卷帘下降的联动触发信号，并应联动控制防火卷帘直接下降到楼板面。</w:t>
      </w:r>
      <w:r>
        <w:rPr>
          <w:spacing w:val="-3"/>
          <w:sz w:val="21"/>
        </w:rPr>
        <w:t xml:space="preserve"> </w:t>
      </w:r>
    </w:p>
    <w:p w14:paraId="12E74742" w14:textId="77777777" w:rsidR="00A71EEF" w:rsidRDefault="0081115D">
      <w:pPr>
        <w:pStyle w:val="a4"/>
        <w:numPr>
          <w:ilvl w:val="0"/>
          <w:numId w:val="373"/>
        </w:numPr>
        <w:tabs>
          <w:tab w:val="left" w:pos="1367"/>
        </w:tabs>
        <w:spacing w:line="446" w:lineRule="auto"/>
        <w:ind w:right="1431" w:firstLine="419"/>
        <w:rPr>
          <w:sz w:val="21"/>
        </w:rPr>
      </w:pPr>
      <w:r>
        <w:rPr>
          <w:spacing w:val="-11"/>
          <w:sz w:val="21"/>
        </w:rPr>
        <w:t>手动控制方式，应由防火卷帘两侧设置的手动控制按钮控制防火卷帘的升降，并应能</w:t>
      </w:r>
      <w:r>
        <w:rPr>
          <w:spacing w:val="-11"/>
          <w:sz w:val="21"/>
        </w:rPr>
        <w:t xml:space="preserve"> </w:t>
      </w:r>
      <w:r>
        <w:rPr>
          <w:spacing w:val="-3"/>
          <w:sz w:val="21"/>
        </w:rPr>
        <w:t>在消防控</w:t>
      </w:r>
      <w:r>
        <w:rPr>
          <w:spacing w:val="-3"/>
          <w:sz w:val="21"/>
        </w:rPr>
        <w:t xml:space="preserve"> </w:t>
      </w:r>
      <w:r>
        <w:rPr>
          <w:spacing w:val="-3"/>
          <w:sz w:val="21"/>
        </w:rPr>
        <w:t>制室内的消防联动控制器上手动控制防火卷帘的降落。</w:t>
      </w:r>
      <w:r>
        <w:rPr>
          <w:spacing w:val="-3"/>
          <w:sz w:val="21"/>
        </w:rPr>
        <w:t xml:space="preserve"> </w:t>
      </w:r>
      <w:r>
        <w:rPr>
          <w:sz w:val="21"/>
        </w:rPr>
        <w:t xml:space="preserve">  </w:t>
      </w:r>
    </w:p>
    <w:p w14:paraId="4DA569DF" w14:textId="77777777" w:rsidR="00A71EEF" w:rsidRDefault="00A71EEF">
      <w:pPr>
        <w:spacing w:line="446" w:lineRule="auto"/>
        <w:rPr>
          <w:sz w:val="21"/>
        </w:rPr>
        <w:sectPr w:rsidR="00A71EEF">
          <w:pgSz w:w="11910" w:h="16850"/>
          <w:pgMar w:top="1220" w:right="0" w:bottom="1420" w:left="1260" w:header="0" w:footer="1239" w:gutter="0"/>
          <w:cols w:space="720"/>
        </w:sectPr>
      </w:pPr>
    </w:p>
    <w:p w14:paraId="5DDB6102" w14:textId="77777777" w:rsidR="00A71EEF" w:rsidRDefault="0081115D">
      <w:pPr>
        <w:pStyle w:val="a3"/>
        <w:spacing w:before="47" w:line="446" w:lineRule="auto"/>
        <w:ind w:left="418" w:right="1391" w:firstLine="422"/>
      </w:pPr>
      <w:r>
        <w:rPr>
          <w:b/>
        </w:rPr>
        <w:t xml:space="preserve">4.6.5 </w:t>
      </w:r>
      <w:r>
        <w:t>防火卷帘下降至距楼板面</w:t>
      </w:r>
      <w:r>
        <w:t xml:space="preserve"> 1.8m </w:t>
      </w:r>
      <w:r>
        <w:t>处、下降到楼板面的动作信号和防火卷帘控制器直接连接的</w:t>
      </w:r>
      <w:r>
        <w:t xml:space="preserve"> </w:t>
      </w:r>
      <w:r>
        <w:t>感烟、感温火灾探测器的报警信号，应反馈至消防联动控制器。</w:t>
      </w:r>
      <w:r>
        <w:t xml:space="preserve">   </w:t>
      </w:r>
    </w:p>
    <w:p w14:paraId="44257121" w14:textId="77777777" w:rsidR="00A71EEF" w:rsidRDefault="0081115D">
      <w:pPr>
        <w:pStyle w:val="a4"/>
        <w:numPr>
          <w:ilvl w:val="1"/>
          <w:numId w:val="383"/>
        </w:numPr>
        <w:tabs>
          <w:tab w:val="left" w:pos="1159"/>
        </w:tabs>
        <w:spacing w:line="267" w:lineRule="exact"/>
        <w:ind w:hanging="319"/>
        <w:rPr>
          <w:sz w:val="21"/>
        </w:rPr>
      </w:pPr>
      <w:r>
        <w:rPr>
          <w:spacing w:val="-3"/>
          <w:sz w:val="21"/>
        </w:rPr>
        <w:t>电梯的联动控制设计</w:t>
      </w:r>
      <w:r>
        <w:rPr>
          <w:sz w:val="21"/>
        </w:rPr>
        <w:t xml:space="preserve"> </w:t>
      </w:r>
    </w:p>
    <w:p w14:paraId="6B71CBF0" w14:textId="77777777" w:rsidR="00A71EEF" w:rsidRDefault="00A71EEF">
      <w:pPr>
        <w:pStyle w:val="a3"/>
        <w:spacing w:before="2"/>
        <w:rPr>
          <w:sz w:val="18"/>
        </w:rPr>
      </w:pPr>
    </w:p>
    <w:p w14:paraId="07A9A4EF" w14:textId="77777777" w:rsidR="00A71EEF" w:rsidRDefault="0081115D">
      <w:pPr>
        <w:pStyle w:val="a4"/>
        <w:numPr>
          <w:ilvl w:val="2"/>
          <w:numId w:val="383"/>
        </w:numPr>
        <w:tabs>
          <w:tab w:val="left" w:pos="1371"/>
        </w:tabs>
        <w:spacing w:line="446" w:lineRule="auto"/>
        <w:ind w:right="1444" w:firstLine="422"/>
        <w:rPr>
          <w:sz w:val="21"/>
        </w:rPr>
      </w:pPr>
      <w:r>
        <w:rPr>
          <w:spacing w:val="-1"/>
          <w:sz w:val="21"/>
        </w:rPr>
        <w:t>消防联动控制器应具有发出联动控制信号强制所有电梯停于首层或电梯转换层的功</w:t>
      </w:r>
      <w:r>
        <w:rPr>
          <w:spacing w:val="-1"/>
          <w:sz w:val="21"/>
        </w:rPr>
        <w:t xml:space="preserve"> </w:t>
      </w:r>
      <w:r>
        <w:rPr>
          <w:spacing w:val="-2"/>
          <w:sz w:val="21"/>
        </w:rPr>
        <w:t>能。</w:t>
      </w:r>
      <w:r>
        <w:rPr>
          <w:sz w:val="21"/>
        </w:rPr>
        <w:t xml:space="preserve"> </w:t>
      </w:r>
    </w:p>
    <w:p w14:paraId="12292A49" w14:textId="77777777" w:rsidR="00A71EEF" w:rsidRDefault="0081115D">
      <w:pPr>
        <w:pStyle w:val="a4"/>
        <w:numPr>
          <w:ilvl w:val="2"/>
          <w:numId w:val="383"/>
        </w:numPr>
        <w:tabs>
          <w:tab w:val="left" w:pos="1370"/>
        </w:tabs>
        <w:spacing w:line="446" w:lineRule="auto"/>
        <w:ind w:right="1431" w:firstLine="422"/>
        <w:rPr>
          <w:sz w:val="21"/>
        </w:rPr>
      </w:pPr>
      <w:r>
        <w:rPr>
          <w:spacing w:val="-5"/>
          <w:sz w:val="21"/>
        </w:rPr>
        <w:t>电梯运行状态信息和停于首层或转换层的反馈信号，应传送给消防控制室显示，轿厢</w:t>
      </w:r>
      <w:r>
        <w:rPr>
          <w:spacing w:val="-4"/>
          <w:sz w:val="21"/>
        </w:rPr>
        <w:t>内应设置</w:t>
      </w:r>
      <w:r>
        <w:rPr>
          <w:spacing w:val="-4"/>
          <w:sz w:val="21"/>
        </w:rPr>
        <w:t xml:space="preserve"> </w:t>
      </w:r>
      <w:r>
        <w:rPr>
          <w:spacing w:val="-4"/>
          <w:sz w:val="21"/>
        </w:rPr>
        <w:t>能直接与消防控制室通话的专用电话。</w:t>
      </w:r>
      <w:r>
        <w:rPr>
          <w:sz w:val="21"/>
        </w:rPr>
        <w:t xml:space="preserve">   </w:t>
      </w:r>
    </w:p>
    <w:p w14:paraId="5047F49B" w14:textId="77777777" w:rsidR="00A71EEF" w:rsidRDefault="0081115D">
      <w:pPr>
        <w:pStyle w:val="a4"/>
        <w:numPr>
          <w:ilvl w:val="1"/>
          <w:numId w:val="383"/>
        </w:numPr>
        <w:tabs>
          <w:tab w:val="left" w:pos="1160"/>
        </w:tabs>
        <w:ind w:left="1159" w:hanging="320"/>
        <w:rPr>
          <w:sz w:val="21"/>
        </w:rPr>
      </w:pPr>
      <w:r>
        <w:rPr>
          <w:spacing w:val="-3"/>
          <w:sz w:val="21"/>
        </w:rPr>
        <w:t>火灾警报和消防应急广播系统的联动控制设计</w:t>
      </w:r>
      <w:r>
        <w:rPr>
          <w:sz w:val="21"/>
        </w:rPr>
        <w:t xml:space="preserve"> </w:t>
      </w:r>
    </w:p>
    <w:p w14:paraId="737FC016" w14:textId="77777777" w:rsidR="00A71EEF" w:rsidRDefault="00A71EEF">
      <w:pPr>
        <w:pStyle w:val="a3"/>
        <w:spacing w:before="10"/>
        <w:rPr>
          <w:sz w:val="17"/>
        </w:rPr>
      </w:pPr>
    </w:p>
    <w:p w14:paraId="06F90DC6" w14:textId="77777777" w:rsidR="00A71EEF" w:rsidRDefault="0081115D">
      <w:pPr>
        <w:pStyle w:val="a4"/>
        <w:numPr>
          <w:ilvl w:val="2"/>
          <w:numId w:val="383"/>
        </w:numPr>
        <w:tabs>
          <w:tab w:val="left" w:pos="1370"/>
        </w:tabs>
        <w:spacing w:before="1" w:line="446" w:lineRule="auto"/>
        <w:ind w:right="1431" w:firstLine="422"/>
        <w:jc w:val="both"/>
        <w:rPr>
          <w:sz w:val="21"/>
        </w:rPr>
      </w:pPr>
      <w:r>
        <w:rPr>
          <w:spacing w:val="-5"/>
          <w:sz w:val="21"/>
        </w:rPr>
        <w:t>火灾自动报警系统应设置火灾声光警报器，并应在确认火灾后启动建筑内的所有火灾</w:t>
      </w:r>
      <w:r>
        <w:rPr>
          <w:spacing w:val="-4"/>
          <w:sz w:val="21"/>
        </w:rPr>
        <w:t>声光警报器。</w:t>
      </w:r>
      <w:r>
        <w:rPr>
          <w:sz w:val="21"/>
        </w:rPr>
        <w:t xml:space="preserve">   </w:t>
      </w:r>
      <w:r>
        <w:rPr>
          <w:spacing w:val="-1"/>
          <w:sz w:val="21"/>
        </w:rPr>
        <w:t xml:space="preserve"> </w:t>
      </w:r>
      <w:r>
        <w:rPr>
          <w:sz w:val="21"/>
        </w:rPr>
        <w:t xml:space="preserve">  </w:t>
      </w:r>
    </w:p>
    <w:p w14:paraId="1B92091F" w14:textId="77777777" w:rsidR="00A71EEF" w:rsidRDefault="0081115D">
      <w:pPr>
        <w:pStyle w:val="a4"/>
        <w:numPr>
          <w:ilvl w:val="2"/>
          <w:numId w:val="383"/>
        </w:numPr>
        <w:tabs>
          <w:tab w:val="left" w:pos="1370"/>
        </w:tabs>
        <w:spacing w:line="446" w:lineRule="auto"/>
        <w:ind w:right="1431" w:firstLine="422"/>
        <w:jc w:val="both"/>
        <w:rPr>
          <w:sz w:val="21"/>
        </w:rPr>
      </w:pPr>
      <w:r>
        <w:rPr>
          <w:spacing w:val="-5"/>
          <w:sz w:val="21"/>
        </w:rPr>
        <w:t>未设置消防联动控制器的火灾自动报警系统，火灾声光警报器应由火灾报警控制器控</w:t>
      </w:r>
      <w:r>
        <w:rPr>
          <w:sz w:val="21"/>
        </w:rPr>
        <w:t>制；设置</w:t>
      </w:r>
      <w:r>
        <w:rPr>
          <w:sz w:val="21"/>
        </w:rPr>
        <w:t xml:space="preserve"> </w:t>
      </w:r>
      <w:r>
        <w:rPr>
          <w:sz w:val="21"/>
        </w:rPr>
        <w:t>消防联动控制器的火灾自动报警系统，火灾声光警报器应由火灾报警控制器或消防联</w:t>
      </w:r>
      <w:r>
        <w:rPr>
          <w:spacing w:val="-3"/>
          <w:sz w:val="21"/>
        </w:rPr>
        <w:t>动控制器控制。</w:t>
      </w:r>
      <w:r>
        <w:rPr>
          <w:sz w:val="21"/>
        </w:rPr>
        <w:t xml:space="preserve"> </w:t>
      </w:r>
      <w:r>
        <w:rPr>
          <w:spacing w:val="-3"/>
          <w:sz w:val="21"/>
        </w:rPr>
        <w:t xml:space="preserve"> </w:t>
      </w:r>
      <w:r>
        <w:rPr>
          <w:sz w:val="21"/>
        </w:rPr>
        <w:t xml:space="preserve"> </w:t>
      </w:r>
    </w:p>
    <w:p w14:paraId="4C74B9D6" w14:textId="77777777" w:rsidR="00A71EEF" w:rsidRDefault="0081115D">
      <w:pPr>
        <w:pStyle w:val="a4"/>
        <w:numPr>
          <w:ilvl w:val="2"/>
          <w:numId w:val="383"/>
        </w:numPr>
        <w:tabs>
          <w:tab w:val="left" w:pos="1370"/>
        </w:tabs>
        <w:spacing w:line="446" w:lineRule="auto"/>
        <w:ind w:right="1431" w:firstLine="422"/>
        <w:jc w:val="both"/>
        <w:rPr>
          <w:sz w:val="21"/>
        </w:rPr>
      </w:pPr>
      <w:r>
        <w:rPr>
          <w:spacing w:val="-5"/>
          <w:sz w:val="21"/>
        </w:rPr>
        <w:t>公共场所宜设置具有同一种火灾变调声的火灾声警报器；具有多个报警区域的保护对</w:t>
      </w:r>
      <w:r>
        <w:rPr>
          <w:spacing w:val="-8"/>
          <w:sz w:val="21"/>
        </w:rPr>
        <w:t>象，宜选</w:t>
      </w:r>
      <w:r>
        <w:rPr>
          <w:spacing w:val="-8"/>
          <w:sz w:val="21"/>
        </w:rPr>
        <w:t xml:space="preserve"> </w:t>
      </w:r>
      <w:r>
        <w:rPr>
          <w:spacing w:val="-8"/>
          <w:sz w:val="21"/>
        </w:rPr>
        <w:t>用带有语音提示的火灾声警报器；学校、工厂等各类日常使用电铃的场所，不应使用警</w:t>
      </w:r>
      <w:r>
        <w:rPr>
          <w:spacing w:val="-5"/>
          <w:sz w:val="21"/>
        </w:rPr>
        <w:t>铃作为火灾声警报器。</w:t>
      </w:r>
      <w:r>
        <w:rPr>
          <w:sz w:val="21"/>
        </w:rPr>
        <w:t xml:space="preserve">   </w:t>
      </w:r>
      <w:r>
        <w:rPr>
          <w:sz w:val="21"/>
        </w:rPr>
        <w:t xml:space="preserve"> </w:t>
      </w:r>
      <w:r>
        <w:rPr>
          <w:sz w:val="21"/>
        </w:rPr>
        <w:t xml:space="preserve">  </w:t>
      </w:r>
    </w:p>
    <w:p w14:paraId="350A1CD6" w14:textId="77777777" w:rsidR="00A71EEF" w:rsidRDefault="0081115D">
      <w:pPr>
        <w:pStyle w:val="a4"/>
        <w:numPr>
          <w:ilvl w:val="2"/>
          <w:numId w:val="383"/>
        </w:numPr>
        <w:tabs>
          <w:tab w:val="left" w:pos="1370"/>
        </w:tabs>
        <w:spacing w:line="268" w:lineRule="exact"/>
        <w:ind w:left="1369" w:hanging="530"/>
        <w:jc w:val="both"/>
        <w:rPr>
          <w:sz w:val="21"/>
        </w:rPr>
      </w:pPr>
      <w:r>
        <w:rPr>
          <w:spacing w:val="-3"/>
          <w:sz w:val="21"/>
        </w:rPr>
        <w:t>火灾声警报器设置带有语音提示功能时，应同时设置语音同步器。</w:t>
      </w:r>
      <w:r>
        <w:rPr>
          <w:sz w:val="21"/>
        </w:rPr>
        <w:t xml:space="preserve">   </w:t>
      </w:r>
      <w:r>
        <w:rPr>
          <w:spacing w:val="-8"/>
          <w:sz w:val="21"/>
        </w:rPr>
        <w:t xml:space="preserve"> </w:t>
      </w:r>
      <w:r>
        <w:rPr>
          <w:sz w:val="21"/>
        </w:rPr>
        <w:t xml:space="preserve">  </w:t>
      </w:r>
    </w:p>
    <w:p w14:paraId="60010C44" w14:textId="77777777" w:rsidR="00A71EEF" w:rsidRDefault="00A71EEF">
      <w:pPr>
        <w:pStyle w:val="a3"/>
        <w:spacing w:before="11"/>
        <w:rPr>
          <w:sz w:val="17"/>
        </w:rPr>
      </w:pPr>
    </w:p>
    <w:p w14:paraId="23407455" w14:textId="77777777" w:rsidR="00A71EEF" w:rsidRDefault="0081115D">
      <w:pPr>
        <w:pStyle w:val="a4"/>
        <w:numPr>
          <w:ilvl w:val="2"/>
          <w:numId w:val="383"/>
        </w:numPr>
        <w:tabs>
          <w:tab w:val="left" w:pos="1370"/>
          <w:tab w:val="left" w:pos="2517"/>
        </w:tabs>
        <w:spacing w:line="446" w:lineRule="auto"/>
        <w:ind w:right="1431" w:firstLine="422"/>
        <w:rPr>
          <w:sz w:val="21"/>
        </w:rPr>
      </w:pPr>
      <w:r>
        <w:rPr>
          <w:spacing w:val="-3"/>
          <w:sz w:val="21"/>
        </w:rPr>
        <w:t>同</w:t>
      </w:r>
      <w:r>
        <w:rPr>
          <w:sz w:val="21"/>
        </w:rPr>
        <w:t>一</w:t>
      </w:r>
      <w:r>
        <w:rPr>
          <w:spacing w:val="-3"/>
          <w:sz w:val="21"/>
        </w:rPr>
        <w:t>建</w:t>
      </w:r>
      <w:r>
        <w:rPr>
          <w:sz w:val="21"/>
        </w:rPr>
        <w:t>筑</w:t>
      </w:r>
      <w:r>
        <w:rPr>
          <w:spacing w:val="-3"/>
          <w:sz w:val="21"/>
        </w:rPr>
        <w:t>内</w:t>
      </w:r>
      <w:r>
        <w:rPr>
          <w:sz w:val="21"/>
        </w:rPr>
        <w:t>设</w:t>
      </w:r>
      <w:r>
        <w:rPr>
          <w:spacing w:val="-3"/>
          <w:sz w:val="21"/>
        </w:rPr>
        <w:t>置多</w:t>
      </w:r>
      <w:r>
        <w:rPr>
          <w:sz w:val="21"/>
        </w:rPr>
        <w:t>个火</w:t>
      </w:r>
      <w:r>
        <w:rPr>
          <w:spacing w:val="-3"/>
          <w:sz w:val="21"/>
        </w:rPr>
        <w:t>灾</w:t>
      </w:r>
      <w:r>
        <w:rPr>
          <w:sz w:val="21"/>
        </w:rPr>
        <w:t>声</w:t>
      </w:r>
      <w:r>
        <w:rPr>
          <w:spacing w:val="-3"/>
          <w:sz w:val="21"/>
        </w:rPr>
        <w:t>警</w:t>
      </w:r>
      <w:r>
        <w:rPr>
          <w:sz w:val="21"/>
        </w:rPr>
        <w:t>报</w:t>
      </w:r>
      <w:r>
        <w:rPr>
          <w:spacing w:val="-3"/>
          <w:sz w:val="21"/>
        </w:rPr>
        <w:t>器</w:t>
      </w:r>
      <w:r>
        <w:rPr>
          <w:sz w:val="21"/>
        </w:rPr>
        <w:t>时</w:t>
      </w:r>
      <w:r>
        <w:rPr>
          <w:spacing w:val="-41"/>
          <w:sz w:val="21"/>
        </w:rPr>
        <w:t>，</w:t>
      </w:r>
      <w:r>
        <w:rPr>
          <w:sz w:val="21"/>
        </w:rPr>
        <w:t>火</w:t>
      </w:r>
      <w:r>
        <w:rPr>
          <w:spacing w:val="-3"/>
          <w:sz w:val="21"/>
        </w:rPr>
        <w:t>灾</w:t>
      </w:r>
      <w:r>
        <w:rPr>
          <w:sz w:val="21"/>
        </w:rPr>
        <w:t>自动</w:t>
      </w:r>
      <w:r>
        <w:rPr>
          <w:spacing w:val="-3"/>
          <w:sz w:val="21"/>
        </w:rPr>
        <w:t>报</w:t>
      </w:r>
      <w:r>
        <w:rPr>
          <w:sz w:val="21"/>
        </w:rPr>
        <w:t>警</w:t>
      </w:r>
      <w:r>
        <w:rPr>
          <w:spacing w:val="-3"/>
          <w:sz w:val="21"/>
        </w:rPr>
        <w:t>系</w:t>
      </w:r>
      <w:r>
        <w:rPr>
          <w:sz w:val="21"/>
        </w:rPr>
        <w:t>统</w:t>
      </w:r>
      <w:r>
        <w:rPr>
          <w:spacing w:val="-3"/>
          <w:sz w:val="21"/>
        </w:rPr>
        <w:t>应</w:t>
      </w:r>
      <w:r>
        <w:rPr>
          <w:sz w:val="21"/>
        </w:rPr>
        <w:t>能</w:t>
      </w:r>
      <w:r>
        <w:rPr>
          <w:spacing w:val="-3"/>
          <w:sz w:val="21"/>
        </w:rPr>
        <w:t>同</w:t>
      </w:r>
      <w:r>
        <w:rPr>
          <w:sz w:val="21"/>
        </w:rPr>
        <w:t>时</w:t>
      </w:r>
      <w:r>
        <w:rPr>
          <w:spacing w:val="-3"/>
          <w:sz w:val="21"/>
        </w:rPr>
        <w:t>启</w:t>
      </w:r>
      <w:r>
        <w:rPr>
          <w:sz w:val="21"/>
        </w:rPr>
        <w:t>动和</w:t>
      </w:r>
      <w:r>
        <w:rPr>
          <w:spacing w:val="-3"/>
          <w:sz w:val="21"/>
        </w:rPr>
        <w:t>停</w:t>
      </w:r>
      <w:r>
        <w:rPr>
          <w:sz w:val="21"/>
        </w:rPr>
        <w:t>止</w:t>
      </w:r>
      <w:r>
        <w:rPr>
          <w:spacing w:val="-3"/>
          <w:sz w:val="21"/>
        </w:rPr>
        <w:t>所</w:t>
      </w:r>
      <w:r>
        <w:rPr>
          <w:sz w:val="21"/>
        </w:rPr>
        <w:t>有火灾声</w:t>
      </w:r>
      <w:r>
        <w:rPr>
          <w:spacing w:val="-3"/>
          <w:sz w:val="21"/>
        </w:rPr>
        <w:t>警</w:t>
      </w:r>
      <w:r>
        <w:rPr>
          <w:sz w:val="21"/>
        </w:rPr>
        <w:t>报</w:t>
      </w:r>
      <w:r>
        <w:rPr>
          <w:spacing w:val="-3"/>
          <w:sz w:val="21"/>
        </w:rPr>
        <w:t>器</w:t>
      </w:r>
      <w:r>
        <w:rPr>
          <w:sz w:val="21"/>
        </w:rPr>
        <w:t>工</w:t>
      </w:r>
      <w:r>
        <w:rPr>
          <w:spacing w:val="-3"/>
          <w:sz w:val="21"/>
        </w:rPr>
        <w:t>作。</w:t>
      </w:r>
      <w:r>
        <w:rPr>
          <w:sz w:val="21"/>
        </w:rPr>
        <w:t xml:space="preserve"> </w:t>
      </w:r>
      <w:r>
        <w:rPr>
          <w:sz w:val="21"/>
        </w:rPr>
        <w:tab/>
      </w:r>
      <w:r>
        <w:rPr>
          <w:sz w:val="21"/>
        </w:rPr>
        <w:t xml:space="preserve">  </w:t>
      </w:r>
    </w:p>
    <w:p w14:paraId="7ABB9C5E" w14:textId="77777777" w:rsidR="00A71EEF" w:rsidRDefault="0081115D">
      <w:pPr>
        <w:pStyle w:val="a4"/>
        <w:numPr>
          <w:ilvl w:val="2"/>
          <w:numId w:val="383"/>
        </w:numPr>
        <w:tabs>
          <w:tab w:val="left" w:pos="1371"/>
        </w:tabs>
        <w:spacing w:line="446" w:lineRule="auto"/>
        <w:ind w:right="1433" w:firstLine="422"/>
        <w:rPr>
          <w:sz w:val="21"/>
        </w:rPr>
      </w:pPr>
      <w:r>
        <w:rPr>
          <w:spacing w:val="-2"/>
          <w:sz w:val="21"/>
        </w:rPr>
        <w:t>火灾声警报器单次发出火灾警报时间宜为</w:t>
      </w:r>
      <w:r>
        <w:rPr>
          <w:spacing w:val="-2"/>
          <w:sz w:val="21"/>
        </w:rPr>
        <w:t xml:space="preserve"> </w:t>
      </w:r>
      <w:r>
        <w:rPr>
          <w:sz w:val="21"/>
        </w:rPr>
        <w:t>8</w:t>
      </w:r>
      <w:r>
        <w:rPr>
          <w:sz w:val="21"/>
        </w:rPr>
        <w:t>～</w:t>
      </w:r>
      <w:r>
        <w:rPr>
          <w:sz w:val="21"/>
        </w:rPr>
        <w:t>20s</w:t>
      </w:r>
      <w:r>
        <w:rPr>
          <w:spacing w:val="-2"/>
          <w:sz w:val="21"/>
        </w:rPr>
        <w:t xml:space="preserve">  </w:t>
      </w:r>
      <w:r>
        <w:rPr>
          <w:spacing w:val="-2"/>
          <w:sz w:val="21"/>
        </w:rPr>
        <w:t>，同时设有消防应急广播时，火</w:t>
      </w:r>
      <w:r>
        <w:rPr>
          <w:spacing w:val="-3"/>
          <w:sz w:val="21"/>
        </w:rPr>
        <w:t>灾声警报</w:t>
      </w:r>
      <w:r>
        <w:rPr>
          <w:spacing w:val="-3"/>
          <w:sz w:val="21"/>
        </w:rPr>
        <w:t xml:space="preserve"> </w:t>
      </w:r>
      <w:r>
        <w:rPr>
          <w:spacing w:val="-3"/>
          <w:sz w:val="21"/>
        </w:rPr>
        <w:t>应与消防应急广播交替循环播放。</w:t>
      </w:r>
      <w:r>
        <w:rPr>
          <w:sz w:val="21"/>
        </w:rPr>
        <w:t xml:space="preserve">   </w:t>
      </w:r>
    </w:p>
    <w:p w14:paraId="0A6ACAE5" w14:textId="77777777" w:rsidR="00A71EEF" w:rsidRDefault="0081115D">
      <w:pPr>
        <w:pStyle w:val="a4"/>
        <w:numPr>
          <w:ilvl w:val="2"/>
          <w:numId w:val="383"/>
        </w:numPr>
        <w:tabs>
          <w:tab w:val="left" w:pos="1370"/>
          <w:tab w:val="left" w:pos="7138"/>
          <w:tab w:val="left" w:pos="7558"/>
        </w:tabs>
        <w:ind w:left="1369" w:hanging="530"/>
        <w:rPr>
          <w:sz w:val="21"/>
        </w:rPr>
      </w:pPr>
      <w:r>
        <w:rPr>
          <w:spacing w:val="-3"/>
          <w:sz w:val="21"/>
        </w:rPr>
        <w:t>集</w:t>
      </w:r>
      <w:r>
        <w:rPr>
          <w:sz w:val="21"/>
        </w:rPr>
        <w:t>中</w:t>
      </w:r>
      <w:r>
        <w:rPr>
          <w:spacing w:val="-3"/>
          <w:sz w:val="21"/>
        </w:rPr>
        <w:t>报</w:t>
      </w:r>
      <w:r>
        <w:rPr>
          <w:sz w:val="21"/>
        </w:rPr>
        <w:t>警</w:t>
      </w:r>
      <w:r>
        <w:rPr>
          <w:spacing w:val="-3"/>
          <w:sz w:val="21"/>
        </w:rPr>
        <w:t>系</w:t>
      </w:r>
      <w:r>
        <w:rPr>
          <w:sz w:val="21"/>
        </w:rPr>
        <w:t>统</w:t>
      </w:r>
      <w:r>
        <w:rPr>
          <w:spacing w:val="-3"/>
          <w:sz w:val="21"/>
        </w:rPr>
        <w:t>和控</w:t>
      </w:r>
      <w:r>
        <w:rPr>
          <w:sz w:val="21"/>
        </w:rPr>
        <w:t>制中</w:t>
      </w:r>
      <w:r>
        <w:rPr>
          <w:spacing w:val="-3"/>
          <w:sz w:val="21"/>
        </w:rPr>
        <w:t>心</w:t>
      </w:r>
      <w:r>
        <w:rPr>
          <w:sz w:val="21"/>
        </w:rPr>
        <w:t>报</w:t>
      </w:r>
      <w:r>
        <w:rPr>
          <w:spacing w:val="-3"/>
          <w:sz w:val="21"/>
        </w:rPr>
        <w:t>警</w:t>
      </w:r>
      <w:r>
        <w:rPr>
          <w:sz w:val="21"/>
        </w:rPr>
        <w:t>系</w:t>
      </w:r>
      <w:r>
        <w:rPr>
          <w:spacing w:val="-3"/>
          <w:sz w:val="21"/>
        </w:rPr>
        <w:t>统</w:t>
      </w:r>
      <w:r>
        <w:rPr>
          <w:sz w:val="21"/>
        </w:rPr>
        <w:t>应</w:t>
      </w:r>
      <w:r>
        <w:rPr>
          <w:spacing w:val="-3"/>
          <w:sz w:val="21"/>
        </w:rPr>
        <w:t>设</w:t>
      </w:r>
      <w:r>
        <w:rPr>
          <w:sz w:val="21"/>
        </w:rPr>
        <w:t>置</w:t>
      </w:r>
      <w:r>
        <w:rPr>
          <w:spacing w:val="-3"/>
          <w:sz w:val="21"/>
        </w:rPr>
        <w:t>消</w:t>
      </w:r>
      <w:r>
        <w:rPr>
          <w:sz w:val="21"/>
        </w:rPr>
        <w:t>防应</w:t>
      </w:r>
      <w:r>
        <w:rPr>
          <w:spacing w:val="-3"/>
          <w:sz w:val="21"/>
        </w:rPr>
        <w:t>急</w:t>
      </w:r>
      <w:r>
        <w:rPr>
          <w:sz w:val="21"/>
        </w:rPr>
        <w:t>广</w:t>
      </w:r>
      <w:r>
        <w:rPr>
          <w:spacing w:val="-3"/>
          <w:sz w:val="21"/>
        </w:rPr>
        <w:t>播。</w:t>
      </w:r>
      <w:r>
        <w:rPr>
          <w:sz w:val="21"/>
        </w:rPr>
        <w:t xml:space="preserve"> </w:t>
      </w:r>
      <w:r>
        <w:rPr>
          <w:sz w:val="21"/>
        </w:rPr>
        <w:tab/>
      </w:r>
      <w:r>
        <w:rPr>
          <w:sz w:val="21"/>
        </w:rPr>
        <w:t xml:space="preserve">  </w:t>
      </w:r>
      <w:r>
        <w:rPr>
          <w:sz w:val="21"/>
        </w:rPr>
        <w:tab/>
      </w:r>
      <w:r>
        <w:rPr>
          <w:sz w:val="21"/>
        </w:rPr>
        <w:t xml:space="preserve">  </w:t>
      </w:r>
    </w:p>
    <w:p w14:paraId="3DF679B3" w14:textId="77777777" w:rsidR="00A71EEF" w:rsidRDefault="00A71EEF">
      <w:pPr>
        <w:pStyle w:val="a3"/>
        <w:spacing w:before="12"/>
        <w:rPr>
          <w:sz w:val="17"/>
        </w:rPr>
      </w:pPr>
    </w:p>
    <w:p w14:paraId="33A79EF2" w14:textId="77777777" w:rsidR="00A71EEF" w:rsidRDefault="0081115D">
      <w:pPr>
        <w:pStyle w:val="a4"/>
        <w:numPr>
          <w:ilvl w:val="2"/>
          <w:numId w:val="383"/>
        </w:numPr>
        <w:tabs>
          <w:tab w:val="left" w:pos="1370"/>
          <w:tab w:val="left" w:pos="2517"/>
          <w:tab w:val="left" w:pos="2938"/>
        </w:tabs>
        <w:spacing w:line="446" w:lineRule="auto"/>
        <w:ind w:right="1431" w:firstLine="422"/>
        <w:rPr>
          <w:sz w:val="21"/>
        </w:rPr>
      </w:pPr>
      <w:r>
        <w:rPr>
          <w:spacing w:val="-3"/>
          <w:sz w:val="21"/>
        </w:rPr>
        <w:t>消</w:t>
      </w:r>
      <w:r>
        <w:rPr>
          <w:sz w:val="21"/>
        </w:rPr>
        <w:t>防</w:t>
      </w:r>
      <w:r>
        <w:rPr>
          <w:spacing w:val="-3"/>
          <w:sz w:val="21"/>
        </w:rPr>
        <w:t>应</w:t>
      </w:r>
      <w:r>
        <w:rPr>
          <w:sz w:val="21"/>
        </w:rPr>
        <w:t>急</w:t>
      </w:r>
      <w:r>
        <w:rPr>
          <w:spacing w:val="-3"/>
          <w:sz w:val="21"/>
        </w:rPr>
        <w:t>广</w:t>
      </w:r>
      <w:r>
        <w:rPr>
          <w:sz w:val="21"/>
        </w:rPr>
        <w:t>播</w:t>
      </w:r>
      <w:r>
        <w:rPr>
          <w:spacing w:val="-3"/>
          <w:sz w:val="21"/>
        </w:rPr>
        <w:t>系统</w:t>
      </w:r>
      <w:r>
        <w:rPr>
          <w:sz w:val="21"/>
        </w:rPr>
        <w:t>的联</w:t>
      </w:r>
      <w:r>
        <w:rPr>
          <w:spacing w:val="-3"/>
          <w:sz w:val="21"/>
        </w:rPr>
        <w:t>动</w:t>
      </w:r>
      <w:r>
        <w:rPr>
          <w:sz w:val="21"/>
        </w:rPr>
        <w:t>控</w:t>
      </w:r>
      <w:r>
        <w:rPr>
          <w:spacing w:val="-3"/>
          <w:sz w:val="21"/>
        </w:rPr>
        <w:t>制</w:t>
      </w:r>
      <w:r>
        <w:rPr>
          <w:sz w:val="21"/>
        </w:rPr>
        <w:t>信</w:t>
      </w:r>
      <w:r>
        <w:rPr>
          <w:spacing w:val="-3"/>
          <w:sz w:val="21"/>
        </w:rPr>
        <w:t>号</w:t>
      </w:r>
      <w:r>
        <w:rPr>
          <w:sz w:val="21"/>
        </w:rPr>
        <w:t>应</w:t>
      </w:r>
      <w:r>
        <w:rPr>
          <w:spacing w:val="-3"/>
          <w:sz w:val="21"/>
        </w:rPr>
        <w:t>由</w:t>
      </w:r>
      <w:r>
        <w:rPr>
          <w:sz w:val="21"/>
        </w:rPr>
        <w:t>消</w:t>
      </w:r>
      <w:r>
        <w:rPr>
          <w:spacing w:val="-3"/>
          <w:sz w:val="21"/>
        </w:rPr>
        <w:t>防</w:t>
      </w:r>
      <w:r>
        <w:rPr>
          <w:sz w:val="21"/>
        </w:rPr>
        <w:t>联动</w:t>
      </w:r>
      <w:r>
        <w:rPr>
          <w:spacing w:val="-3"/>
          <w:sz w:val="21"/>
        </w:rPr>
        <w:t>控</w:t>
      </w:r>
      <w:r>
        <w:rPr>
          <w:sz w:val="21"/>
        </w:rPr>
        <w:t>制</w:t>
      </w:r>
      <w:r>
        <w:rPr>
          <w:spacing w:val="-3"/>
          <w:sz w:val="21"/>
        </w:rPr>
        <w:t>器</w:t>
      </w:r>
      <w:r>
        <w:rPr>
          <w:sz w:val="21"/>
        </w:rPr>
        <w:t>发</w:t>
      </w:r>
      <w:r>
        <w:rPr>
          <w:spacing w:val="-3"/>
          <w:sz w:val="21"/>
        </w:rPr>
        <w:t>出</w:t>
      </w:r>
      <w:r>
        <w:rPr>
          <w:spacing w:val="-20"/>
          <w:sz w:val="21"/>
        </w:rPr>
        <w:t>。</w:t>
      </w:r>
      <w:r>
        <w:rPr>
          <w:spacing w:val="-3"/>
          <w:sz w:val="21"/>
        </w:rPr>
        <w:t>当</w:t>
      </w:r>
      <w:r>
        <w:rPr>
          <w:sz w:val="21"/>
        </w:rPr>
        <w:t>确</w:t>
      </w:r>
      <w:r>
        <w:rPr>
          <w:spacing w:val="-3"/>
          <w:sz w:val="21"/>
        </w:rPr>
        <w:t>认</w:t>
      </w:r>
      <w:r>
        <w:rPr>
          <w:sz w:val="21"/>
        </w:rPr>
        <w:t>火灾</w:t>
      </w:r>
      <w:r>
        <w:rPr>
          <w:spacing w:val="-3"/>
          <w:sz w:val="21"/>
        </w:rPr>
        <w:t>后</w:t>
      </w:r>
      <w:r>
        <w:rPr>
          <w:spacing w:val="-20"/>
          <w:sz w:val="21"/>
        </w:rPr>
        <w:t>，</w:t>
      </w:r>
      <w:r>
        <w:rPr>
          <w:spacing w:val="-3"/>
          <w:sz w:val="21"/>
        </w:rPr>
        <w:t>应</w:t>
      </w:r>
      <w:r>
        <w:rPr>
          <w:sz w:val="21"/>
        </w:rPr>
        <w:t>同时向全</w:t>
      </w:r>
      <w:r>
        <w:rPr>
          <w:spacing w:val="-3"/>
          <w:sz w:val="21"/>
        </w:rPr>
        <w:t>楼</w:t>
      </w:r>
      <w:r>
        <w:rPr>
          <w:sz w:val="21"/>
        </w:rPr>
        <w:t>进</w:t>
      </w:r>
      <w:r>
        <w:rPr>
          <w:spacing w:val="-3"/>
          <w:sz w:val="21"/>
        </w:rPr>
        <w:t>行</w:t>
      </w:r>
      <w:r>
        <w:rPr>
          <w:sz w:val="21"/>
        </w:rPr>
        <w:t>广</w:t>
      </w:r>
      <w:r>
        <w:rPr>
          <w:spacing w:val="-3"/>
          <w:sz w:val="21"/>
        </w:rPr>
        <w:t>播。</w:t>
      </w:r>
      <w:r>
        <w:rPr>
          <w:sz w:val="21"/>
        </w:rPr>
        <w:t xml:space="preserve"> </w:t>
      </w:r>
      <w:r>
        <w:rPr>
          <w:sz w:val="21"/>
        </w:rPr>
        <w:tab/>
      </w:r>
      <w:r>
        <w:rPr>
          <w:sz w:val="21"/>
        </w:rPr>
        <w:t xml:space="preserve">  </w:t>
      </w:r>
      <w:r>
        <w:rPr>
          <w:sz w:val="21"/>
        </w:rPr>
        <w:tab/>
      </w:r>
      <w:r>
        <w:rPr>
          <w:sz w:val="21"/>
        </w:rPr>
        <w:t xml:space="preserve">  </w:t>
      </w:r>
    </w:p>
    <w:p w14:paraId="4089785D" w14:textId="77777777" w:rsidR="00A71EEF" w:rsidRDefault="0081115D">
      <w:pPr>
        <w:pStyle w:val="a4"/>
        <w:numPr>
          <w:ilvl w:val="2"/>
          <w:numId w:val="383"/>
        </w:numPr>
        <w:tabs>
          <w:tab w:val="left" w:pos="1370"/>
        </w:tabs>
        <w:spacing w:line="446" w:lineRule="auto"/>
        <w:ind w:right="1328" w:firstLine="422"/>
        <w:rPr>
          <w:sz w:val="21"/>
        </w:rPr>
      </w:pPr>
      <w:r>
        <w:rPr>
          <w:spacing w:val="-3"/>
          <w:sz w:val="21"/>
        </w:rPr>
        <w:t>消防应急广播的单次语音播放时间宜为</w:t>
      </w:r>
      <w:r>
        <w:rPr>
          <w:spacing w:val="-3"/>
          <w:sz w:val="21"/>
        </w:rPr>
        <w:t xml:space="preserve"> </w:t>
      </w:r>
      <w:r>
        <w:rPr>
          <w:sz w:val="21"/>
        </w:rPr>
        <w:t>10</w:t>
      </w:r>
      <w:r>
        <w:rPr>
          <w:sz w:val="21"/>
        </w:rPr>
        <w:t>～</w:t>
      </w:r>
      <w:r>
        <w:rPr>
          <w:sz w:val="21"/>
        </w:rPr>
        <w:t>30s</w:t>
      </w:r>
      <w:r>
        <w:rPr>
          <w:spacing w:val="-7"/>
          <w:sz w:val="21"/>
        </w:rPr>
        <w:t xml:space="preserve"> </w:t>
      </w:r>
      <w:r>
        <w:rPr>
          <w:spacing w:val="-7"/>
          <w:sz w:val="21"/>
        </w:rPr>
        <w:t>，应与火灾声警报器分时交替工作，</w:t>
      </w:r>
      <w:r>
        <w:rPr>
          <w:spacing w:val="-7"/>
          <w:sz w:val="21"/>
        </w:rPr>
        <w:t xml:space="preserve"> </w:t>
      </w:r>
      <w:r>
        <w:rPr>
          <w:spacing w:val="-16"/>
          <w:sz w:val="21"/>
        </w:rPr>
        <w:t>可采取</w:t>
      </w:r>
      <w:r>
        <w:rPr>
          <w:spacing w:val="-16"/>
          <w:sz w:val="21"/>
        </w:rPr>
        <w:t xml:space="preserve"> </w:t>
      </w:r>
      <w:r>
        <w:rPr>
          <w:sz w:val="21"/>
        </w:rPr>
        <w:t>1</w:t>
      </w:r>
      <w:r>
        <w:rPr>
          <w:spacing w:val="-3"/>
          <w:sz w:val="21"/>
        </w:rPr>
        <w:t xml:space="preserve"> </w:t>
      </w:r>
      <w:r>
        <w:rPr>
          <w:spacing w:val="-3"/>
          <w:sz w:val="21"/>
        </w:rPr>
        <w:t>次火灾声警报器播放、</w:t>
      </w:r>
      <w:r>
        <w:rPr>
          <w:sz w:val="21"/>
        </w:rPr>
        <w:t>1</w:t>
      </w:r>
      <w:r>
        <w:rPr>
          <w:spacing w:val="1"/>
          <w:sz w:val="21"/>
        </w:rPr>
        <w:t xml:space="preserve"> </w:t>
      </w:r>
      <w:r>
        <w:rPr>
          <w:spacing w:val="1"/>
          <w:sz w:val="21"/>
        </w:rPr>
        <w:t>次或</w:t>
      </w:r>
      <w:r>
        <w:rPr>
          <w:spacing w:val="1"/>
          <w:sz w:val="21"/>
        </w:rPr>
        <w:t xml:space="preserve"> </w:t>
      </w:r>
      <w:r>
        <w:rPr>
          <w:spacing w:val="-3"/>
          <w:sz w:val="21"/>
        </w:rPr>
        <w:t xml:space="preserve">2 </w:t>
      </w:r>
      <w:r>
        <w:rPr>
          <w:spacing w:val="-3"/>
          <w:sz w:val="21"/>
        </w:rPr>
        <w:t>次消防应急广播播放的交替工作方式循环播放。</w:t>
      </w:r>
      <w:r>
        <w:rPr>
          <w:spacing w:val="-3"/>
          <w:sz w:val="21"/>
        </w:rPr>
        <w:t xml:space="preserve"> </w:t>
      </w:r>
      <w:r>
        <w:rPr>
          <w:sz w:val="21"/>
        </w:rPr>
        <w:t xml:space="preserve"> </w:t>
      </w:r>
    </w:p>
    <w:p w14:paraId="74DB6871" w14:textId="77777777" w:rsidR="00A71EEF" w:rsidRDefault="0081115D">
      <w:pPr>
        <w:pStyle w:val="a4"/>
        <w:numPr>
          <w:ilvl w:val="2"/>
          <w:numId w:val="383"/>
        </w:numPr>
        <w:tabs>
          <w:tab w:val="left" w:pos="1478"/>
        </w:tabs>
        <w:spacing w:line="446" w:lineRule="auto"/>
        <w:ind w:right="1431" w:firstLine="422"/>
        <w:rPr>
          <w:sz w:val="21"/>
        </w:rPr>
      </w:pPr>
      <w:r>
        <w:rPr>
          <w:spacing w:val="-3"/>
          <w:sz w:val="21"/>
        </w:rPr>
        <w:t>在消防控制室应能手动或按预设控制逻辑联动控制选择广播分区、启动或停止应急</w:t>
      </w:r>
      <w:r>
        <w:rPr>
          <w:spacing w:val="-3"/>
          <w:sz w:val="21"/>
        </w:rPr>
        <w:t xml:space="preserve"> </w:t>
      </w:r>
      <w:r>
        <w:rPr>
          <w:spacing w:val="-14"/>
          <w:sz w:val="21"/>
        </w:rPr>
        <w:t>广播系统，</w:t>
      </w:r>
      <w:r>
        <w:rPr>
          <w:spacing w:val="-14"/>
          <w:sz w:val="21"/>
        </w:rPr>
        <w:t xml:space="preserve"> </w:t>
      </w:r>
      <w:r>
        <w:rPr>
          <w:spacing w:val="-14"/>
          <w:sz w:val="21"/>
        </w:rPr>
        <w:t>并应能监听消防应急广播。在通过传声器进行应急广播时，应自动对广播内容进行录</w:t>
      </w:r>
    </w:p>
    <w:p w14:paraId="20429D08" w14:textId="77777777" w:rsidR="00A71EEF" w:rsidRDefault="00A71EEF">
      <w:pPr>
        <w:spacing w:line="446" w:lineRule="auto"/>
        <w:rPr>
          <w:sz w:val="21"/>
        </w:rPr>
        <w:sectPr w:rsidR="00A71EEF">
          <w:footerReference w:type="default" r:id="rId340"/>
          <w:pgSz w:w="11910" w:h="16850"/>
          <w:pgMar w:top="1220" w:right="0" w:bottom="1420" w:left="1260" w:header="0" w:footer="1239" w:gutter="0"/>
          <w:pgNumType w:start="1280"/>
          <w:cols w:space="720"/>
        </w:sectPr>
      </w:pPr>
    </w:p>
    <w:p w14:paraId="368EF7A0" w14:textId="77777777" w:rsidR="00A71EEF" w:rsidRDefault="0081115D">
      <w:pPr>
        <w:pStyle w:val="a3"/>
        <w:spacing w:before="47"/>
        <w:ind w:left="418"/>
      </w:pPr>
      <w:r>
        <w:t>音。</w:t>
      </w:r>
      <w:r>
        <w:t xml:space="preserve"> </w:t>
      </w:r>
    </w:p>
    <w:p w14:paraId="25BE860D" w14:textId="77777777" w:rsidR="00A71EEF" w:rsidRDefault="00A71EEF">
      <w:pPr>
        <w:pStyle w:val="a3"/>
        <w:rPr>
          <w:sz w:val="18"/>
        </w:rPr>
      </w:pPr>
    </w:p>
    <w:p w14:paraId="19295ACB" w14:textId="77777777" w:rsidR="00A71EEF" w:rsidRDefault="0081115D">
      <w:pPr>
        <w:pStyle w:val="a4"/>
        <w:numPr>
          <w:ilvl w:val="2"/>
          <w:numId w:val="383"/>
        </w:numPr>
        <w:tabs>
          <w:tab w:val="left" w:pos="1478"/>
        </w:tabs>
        <w:ind w:left="1477" w:hanging="638"/>
        <w:rPr>
          <w:sz w:val="21"/>
        </w:rPr>
      </w:pPr>
      <w:r>
        <w:rPr>
          <w:spacing w:val="-3"/>
          <w:sz w:val="21"/>
        </w:rPr>
        <w:t>消防控制室内应能显示消防应急广播的广播分区的工作状态。</w:t>
      </w:r>
      <w:r>
        <w:rPr>
          <w:sz w:val="21"/>
        </w:rPr>
        <w:t xml:space="preserve">  </w:t>
      </w:r>
      <w:r>
        <w:rPr>
          <w:spacing w:val="-11"/>
          <w:sz w:val="21"/>
        </w:rPr>
        <w:t xml:space="preserve"> </w:t>
      </w:r>
      <w:r>
        <w:rPr>
          <w:sz w:val="21"/>
        </w:rPr>
        <w:t xml:space="preserve">  </w:t>
      </w:r>
    </w:p>
    <w:p w14:paraId="628CEED1" w14:textId="77777777" w:rsidR="00A71EEF" w:rsidRDefault="00A71EEF">
      <w:pPr>
        <w:pStyle w:val="a3"/>
        <w:rPr>
          <w:sz w:val="18"/>
        </w:rPr>
      </w:pPr>
    </w:p>
    <w:p w14:paraId="53B2B64B" w14:textId="77777777" w:rsidR="00A71EEF" w:rsidRDefault="0081115D">
      <w:pPr>
        <w:pStyle w:val="a4"/>
        <w:numPr>
          <w:ilvl w:val="2"/>
          <w:numId w:val="383"/>
        </w:numPr>
        <w:tabs>
          <w:tab w:val="left" w:pos="1478"/>
        </w:tabs>
        <w:spacing w:line="446" w:lineRule="auto"/>
        <w:ind w:right="1434" w:firstLine="422"/>
        <w:rPr>
          <w:sz w:val="21"/>
        </w:rPr>
      </w:pPr>
      <w:r>
        <w:rPr>
          <w:spacing w:val="-3"/>
          <w:sz w:val="21"/>
        </w:rPr>
        <w:t>消防应急广播与普通广播或背景音乐广播合用时，应具有强制切入消防应急广播的</w:t>
      </w:r>
      <w:r>
        <w:rPr>
          <w:spacing w:val="-3"/>
          <w:sz w:val="21"/>
        </w:rPr>
        <w:t xml:space="preserve"> </w:t>
      </w:r>
      <w:r>
        <w:rPr>
          <w:spacing w:val="-3"/>
          <w:sz w:val="21"/>
        </w:rPr>
        <w:t>功能。</w:t>
      </w:r>
      <w:r>
        <w:rPr>
          <w:sz w:val="21"/>
        </w:rPr>
        <w:t xml:space="preserve"> </w:t>
      </w:r>
    </w:p>
    <w:p w14:paraId="0A084A71" w14:textId="77777777" w:rsidR="00A71EEF" w:rsidRDefault="0081115D">
      <w:pPr>
        <w:pStyle w:val="a4"/>
        <w:numPr>
          <w:ilvl w:val="1"/>
          <w:numId w:val="383"/>
        </w:numPr>
        <w:tabs>
          <w:tab w:val="left" w:pos="1159"/>
        </w:tabs>
        <w:ind w:hanging="319"/>
        <w:rPr>
          <w:sz w:val="21"/>
        </w:rPr>
      </w:pPr>
      <w:r>
        <w:rPr>
          <w:spacing w:val="-3"/>
          <w:sz w:val="21"/>
        </w:rPr>
        <w:t>消防应急照明和疏散指示系统的联动控制设计</w:t>
      </w:r>
      <w:r>
        <w:rPr>
          <w:sz w:val="21"/>
        </w:rPr>
        <w:t xml:space="preserve"> </w:t>
      </w:r>
    </w:p>
    <w:p w14:paraId="7B1C99CE" w14:textId="77777777" w:rsidR="00A71EEF" w:rsidRDefault="00A71EEF">
      <w:pPr>
        <w:pStyle w:val="a3"/>
        <w:spacing w:before="12"/>
        <w:rPr>
          <w:sz w:val="17"/>
        </w:rPr>
      </w:pPr>
    </w:p>
    <w:p w14:paraId="13455BFD" w14:textId="77777777" w:rsidR="00A71EEF" w:rsidRDefault="0081115D">
      <w:pPr>
        <w:pStyle w:val="a4"/>
        <w:numPr>
          <w:ilvl w:val="2"/>
          <w:numId w:val="383"/>
        </w:numPr>
        <w:tabs>
          <w:tab w:val="left" w:pos="1371"/>
        </w:tabs>
        <w:ind w:left="1370" w:hanging="531"/>
        <w:rPr>
          <w:sz w:val="21"/>
        </w:rPr>
      </w:pPr>
      <w:r>
        <w:rPr>
          <w:spacing w:val="-3"/>
          <w:sz w:val="21"/>
        </w:rPr>
        <w:t>消防应急照明和疏散指示系统的联动控制设计，应符合下列规定：</w:t>
      </w:r>
      <w:r>
        <w:rPr>
          <w:sz w:val="21"/>
        </w:rPr>
        <w:t xml:space="preserve"> </w:t>
      </w:r>
    </w:p>
    <w:p w14:paraId="66E6BEF7" w14:textId="77777777" w:rsidR="00A71EEF" w:rsidRDefault="00A71EEF">
      <w:pPr>
        <w:pStyle w:val="a3"/>
        <w:spacing w:before="2"/>
        <w:rPr>
          <w:sz w:val="18"/>
        </w:rPr>
      </w:pPr>
    </w:p>
    <w:p w14:paraId="3D390390" w14:textId="77777777" w:rsidR="00A71EEF" w:rsidRDefault="0081115D">
      <w:pPr>
        <w:pStyle w:val="a4"/>
        <w:numPr>
          <w:ilvl w:val="0"/>
          <w:numId w:val="372"/>
        </w:numPr>
        <w:tabs>
          <w:tab w:val="left" w:pos="1370"/>
        </w:tabs>
        <w:spacing w:line="446" w:lineRule="auto"/>
        <w:ind w:right="1438" w:firstLine="419"/>
        <w:rPr>
          <w:sz w:val="21"/>
        </w:rPr>
      </w:pPr>
      <w:r>
        <w:rPr>
          <w:spacing w:val="-1"/>
          <w:sz w:val="21"/>
        </w:rPr>
        <w:t>集中控制型消防应急照明和疏散指示系统，应由火灾报警控制器或消防联动控制器启</w:t>
      </w:r>
      <w:r>
        <w:rPr>
          <w:spacing w:val="-3"/>
          <w:sz w:val="21"/>
        </w:rPr>
        <w:t>动应急照</w:t>
      </w:r>
      <w:r>
        <w:rPr>
          <w:spacing w:val="-3"/>
          <w:sz w:val="21"/>
        </w:rPr>
        <w:t xml:space="preserve"> </w:t>
      </w:r>
      <w:r>
        <w:rPr>
          <w:spacing w:val="-3"/>
          <w:sz w:val="21"/>
        </w:rPr>
        <w:t>明控制器实现。</w:t>
      </w:r>
      <w:r>
        <w:rPr>
          <w:sz w:val="21"/>
        </w:rPr>
        <w:t xml:space="preserve"> </w:t>
      </w:r>
    </w:p>
    <w:p w14:paraId="4F4A927D" w14:textId="77777777" w:rsidR="00A71EEF" w:rsidRDefault="0081115D">
      <w:pPr>
        <w:pStyle w:val="a4"/>
        <w:numPr>
          <w:ilvl w:val="0"/>
          <w:numId w:val="372"/>
        </w:numPr>
        <w:tabs>
          <w:tab w:val="left" w:pos="1370"/>
        </w:tabs>
        <w:spacing w:line="446" w:lineRule="auto"/>
        <w:ind w:right="1438" w:firstLine="419"/>
        <w:rPr>
          <w:sz w:val="21"/>
        </w:rPr>
      </w:pPr>
      <w:r>
        <w:rPr>
          <w:spacing w:val="-1"/>
          <w:sz w:val="21"/>
        </w:rPr>
        <w:t>集中电源非集中控制型消防应急照明和疏散指示系统，应由消防联动控制器联动应急</w:t>
      </w:r>
      <w:r>
        <w:rPr>
          <w:spacing w:val="-3"/>
          <w:sz w:val="21"/>
        </w:rPr>
        <w:t>照明集中</w:t>
      </w:r>
      <w:r>
        <w:rPr>
          <w:spacing w:val="-3"/>
          <w:sz w:val="21"/>
        </w:rPr>
        <w:t xml:space="preserve"> </w:t>
      </w:r>
      <w:r>
        <w:rPr>
          <w:spacing w:val="-3"/>
          <w:sz w:val="21"/>
        </w:rPr>
        <w:t>电源和应急照明分配电装置实现。</w:t>
      </w:r>
      <w:r>
        <w:rPr>
          <w:sz w:val="21"/>
        </w:rPr>
        <w:t xml:space="preserve"> </w:t>
      </w:r>
    </w:p>
    <w:p w14:paraId="7AE2A3D1" w14:textId="77777777" w:rsidR="00A71EEF" w:rsidRDefault="0081115D">
      <w:pPr>
        <w:pStyle w:val="a4"/>
        <w:numPr>
          <w:ilvl w:val="0"/>
          <w:numId w:val="372"/>
        </w:numPr>
        <w:tabs>
          <w:tab w:val="left" w:pos="1370"/>
          <w:tab w:val="left" w:pos="2938"/>
          <w:tab w:val="left" w:pos="3358"/>
          <w:tab w:val="left" w:pos="3778"/>
        </w:tabs>
        <w:spacing w:line="446" w:lineRule="auto"/>
        <w:ind w:right="1438" w:firstLine="419"/>
        <w:rPr>
          <w:sz w:val="21"/>
        </w:rPr>
      </w:pPr>
      <w:r>
        <w:rPr>
          <w:sz w:val="21"/>
        </w:rPr>
        <w:t>自带电源非集中控制型消防应急照明和疏散指示系统，应由消防联动控制器联动消</w:t>
      </w:r>
      <w:r>
        <w:rPr>
          <w:spacing w:val="-15"/>
          <w:sz w:val="21"/>
        </w:rPr>
        <w:t>防</w:t>
      </w:r>
      <w:r>
        <w:rPr>
          <w:sz w:val="21"/>
        </w:rPr>
        <w:t>应急</w:t>
      </w:r>
      <w:r>
        <w:rPr>
          <w:spacing w:val="-3"/>
          <w:sz w:val="21"/>
        </w:rPr>
        <w:t>照</w:t>
      </w:r>
      <w:r>
        <w:rPr>
          <w:sz w:val="21"/>
        </w:rPr>
        <w:t>明</w:t>
      </w:r>
      <w:r>
        <w:rPr>
          <w:spacing w:val="-3"/>
          <w:sz w:val="21"/>
        </w:rPr>
        <w:t>配</w:t>
      </w:r>
      <w:r>
        <w:rPr>
          <w:sz w:val="21"/>
        </w:rPr>
        <w:t>电</w:t>
      </w:r>
      <w:r>
        <w:rPr>
          <w:spacing w:val="-3"/>
          <w:sz w:val="21"/>
        </w:rPr>
        <w:t>箱</w:t>
      </w:r>
      <w:r>
        <w:rPr>
          <w:sz w:val="21"/>
        </w:rPr>
        <w:t>实</w:t>
      </w:r>
      <w:r>
        <w:rPr>
          <w:spacing w:val="-3"/>
          <w:sz w:val="21"/>
        </w:rPr>
        <w:t>现。</w:t>
      </w:r>
      <w:r>
        <w:rPr>
          <w:sz w:val="21"/>
        </w:rPr>
        <w:t xml:space="preserve"> </w:t>
      </w:r>
      <w:r>
        <w:rPr>
          <w:sz w:val="21"/>
        </w:rPr>
        <w:tab/>
      </w:r>
      <w:r>
        <w:rPr>
          <w:sz w:val="21"/>
        </w:rPr>
        <w:t xml:space="preserve">  </w:t>
      </w:r>
      <w:r>
        <w:rPr>
          <w:sz w:val="21"/>
        </w:rPr>
        <w:tab/>
      </w:r>
      <w:r>
        <w:rPr>
          <w:sz w:val="21"/>
        </w:rPr>
        <w:t xml:space="preserve">  </w:t>
      </w:r>
      <w:r>
        <w:rPr>
          <w:sz w:val="21"/>
        </w:rPr>
        <w:tab/>
      </w:r>
      <w:r>
        <w:rPr>
          <w:sz w:val="21"/>
        </w:rPr>
        <w:t xml:space="preserve">  </w:t>
      </w:r>
    </w:p>
    <w:p w14:paraId="63B38408" w14:textId="77777777" w:rsidR="00A71EEF" w:rsidRDefault="0081115D">
      <w:pPr>
        <w:pStyle w:val="a4"/>
        <w:numPr>
          <w:ilvl w:val="2"/>
          <w:numId w:val="383"/>
        </w:numPr>
        <w:tabs>
          <w:tab w:val="left" w:pos="1438"/>
          <w:tab w:val="left" w:pos="7138"/>
        </w:tabs>
        <w:spacing w:line="446" w:lineRule="auto"/>
        <w:ind w:right="1431" w:firstLine="422"/>
        <w:rPr>
          <w:sz w:val="21"/>
        </w:rPr>
      </w:pPr>
      <w:r>
        <w:rPr>
          <w:sz w:val="21"/>
        </w:rPr>
        <w:t>当</w:t>
      </w:r>
      <w:r>
        <w:rPr>
          <w:spacing w:val="-3"/>
          <w:sz w:val="21"/>
        </w:rPr>
        <w:t>确</w:t>
      </w:r>
      <w:r>
        <w:rPr>
          <w:sz w:val="21"/>
        </w:rPr>
        <w:t>认</w:t>
      </w:r>
      <w:r>
        <w:rPr>
          <w:spacing w:val="-3"/>
          <w:sz w:val="21"/>
        </w:rPr>
        <w:t>火</w:t>
      </w:r>
      <w:r>
        <w:rPr>
          <w:sz w:val="21"/>
        </w:rPr>
        <w:t>灾</w:t>
      </w:r>
      <w:r>
        <w:rPr>
          <w:spacing w:val="-3"/>
          <w:sz w:val="21"/>
        </w:rPr>
        <w:t>后</w:t>
      </w:r>
      <w:r>
        <w:rPr>
          <w:sz w:val="21"/>
        </w:rPr>
        <w:t>，</w:t>
      </w:r>
      <w:r>
        <w:rPr>
          <w:spacing w:val="-3"/>
          <w:sz w:val="21"/>
        </w:rPr>
        <w:t>由</w:t>
      </w:r>
      <w:r>
        <w:rPr>
          <w:sz w:val="21"/>
        </w:rPr>
        <w:t>发生</w:t>
      </w:r>
      <w:r>
        <w:rPr>
          <w:spacing w:val="-3"/>
          <w:sz w:val="21"/>
        </w:rPr>
        <w:t>火</w:t>
      </w:r>
      <w:r>
        <w:rPr>
          <w:sz w:val="21"/>
        </w:rPr>
        <w:t>灾</w:t>
      </w:r>
      <w:r>
        <w:rPr>
          <w:spacing w:val="-3"/>
          <w:sz w:val="21"/>
        </w:rPr>
        <w:t>的</w:t>
      </w:r>
      <w:r>
        <w:rPr>
          <w:sz w:val="21"/>
        </w:rPr>
        <w:t>报</w:t>
      </w:r>
      <w:r>
        <w:rPr>
          <w:spacing w:val="-3"/>
          <w:sz w:val="21"/>
        </w:rPr>
        <w:t>警</w:t>
      </w:r>
      <w:r>
        <w:rPr>
          <w:sz w:val="21"/>
        </w:rPr>
        <w:t>区</w:t>
      </w:r>
      <w:r>
        <w:rPr>
          <w:spacing w:val="-3"/>
          <w:sz w:val="21"/>
        </w:rPr>
        <w:t>域</w:t>
      </w:r>
      <w:r>
        <w:rPr>
          <w:sz w:val="21"/>
        </w:rPr>
        <w:t>开</w:t>
      </w:r>
      <w:r>
        <w:rPr>
          <w:spacing w:val="-3"/>
          <w:sz w:val="21"/>
        </w:rPr>
        <w:t>始</w:t>
      </w:r>
      <w:r>
        <w:rPr>
          <w:sz w:val="21"/>
        </w:rPr>
        <w:t>，顺</w:t>
      </w:r>
      <w:r>
        <w:rPr>
          <w:spacing w:val="-3"/>
          <w:sz w:val="21"/>
        </w:rPr>
        <w:t>序</w:t>
      </w:r>
      <w:r>
        <w:rPr>
          <w:sz w:val="21"/>
        </w:rPr>
        <w:t>启</w:t>
      </w:r>
      <w:r>
        <w:rPr>
          <w:spacing w:val="-3"/>
          <w:sz w:val="21"/>
        </w:rPr>
        <w:t>动</w:t>
      </w:r>
      <w:r>
        <w:rPr>
          <w:sz w:val="21"/>
        </w:rPr>
        <w:t>全</w:t>
      </w:r>
      <w:r>
        <w:rPr>
          <w:spacing w:val="-3"/>
          <w:sz w:val="21"/>
        </w:rPr>
        <w:t>楼</w:t>
      </w:r>
      <w:r>
        <w:rPr>
          <w:sz w:val="21"/>
        </w:rPr>
        <w:t>疏</w:t>
      </w:r>
      <w:r>
        <w:rPr>
          <w:spacing w:val="-3"/>
          <w:sz w:val="21"/>
        </w:rPr>
        <w:t>散</w:t>
      </w:r>
      <w:r>
        <w:rPr>
          <w:sz w:val="21"/>
        </w:rPr>
        <w:t>通</w:t>
      </w:r>
      <w:r>
        <w:rPr>
          <w:spacing w:val="-3"/>
          <w:sz w:val="21"/>
        </w:rPr>
        <w:t>道</w:t>
      </w:r>
      <w:r>
        <w:rPr>
          <w:sz w:val="21"/>
        </w:rPr>
        <w:t>的消</w:t>
      </w:r>
      <w:r>
        <w:rPr>
          <w:spacing w:val="-3"/>
          <w:sz w:val="21"/>
        </w:rPr>
        <w:t>防</w:t>
      </w:r>
      <w:r>
        <w:rPr>
          <w:sz w:val="21"/>
        </w:rPr>
        <w:t>应</w:t>
      </w:r>
      <w:r>
        <w:rPr>
          <w:spacing w:val="-3"/>
          <w:sz w:val="21"/>
        </w:rPr>
        <w:t>急照</w:t>
      </w:r>
      <w:r>
        <w:rPr>
          <w:sz w:val="21"/>
        </w:rPr>
        <w:t>明和疏</w:t>
      </w:r>
      <w:r>
        <w:rPr>
          <w:spacing w:val="-3"/>
          <w:sz w:val="21"/>
        </w:rPr>
        <w:t>散</w:t>
      </w:r>
      <w:r>
        <w:rPr>
          <w:sz w:val="21"/>
        </w:rPr>
        <w:t>指</w:t>
      </w:r>
      <w:r>
        <w:rPr>
          <w:spacing w:val="8"/>
          <w:sz w:val="21"/>
        </w:rPr>
        <w:t xml:space="preserve"> </w:t>
      </w:r>
      <w:r>
        <w:rPr>
          <w:sz w:val="21"/>
        </w:rPr>
        <w:t>示</w:t>
      </w:r>
      <w:r>
        <w:rPr>
          <w:spacing w:val="-3"/>
          <w:sz w:val="21"/>
        </w:rPr>
        <w:t>系</w:t>
      </w:r>
      <w:r>
        <w:rPr>
          <w:sz w:val="21"/>
        </w:rPr>
        <w:t>统</w:t>
      </w:r>
      <w:r>
        <w:rPr>
          <w:spacing w:val="-3"/>
          <w:sz w:val="21"/>
        </w:rPr>
        <w:t>，</w:t>
      </w:r>
      <w:r>
        <w:rPr>
          <w:sz w:val="21"/>
        </w:rPr>
        <w:t>系</w:t>
      </w:r>
      <w:r>
        <w:rPr>
          <w:spacing w:val="-3"/>
          <w:sz w:val="21"/>
        </w:rPr>
        <w:t>统全</w:t>
      </w:r>
      <w:r>
        <w:rPr>
          <w:sz w:val="21"/>
        </w:rPr>
        <w:t>部投</w:t>
      </w:r>
      <w:r>
        <w:rPr>
          <w:spacing w:val="-3"/>
          <w:sz w:val="21"/>
        </w:rPr>
        <w:t>入</w:t>
      </w:r>
      <w:r>
        <w:rPr>
          <w:sz w:val="21"/>
        </w:rPr>
        <w:t>应</w:t>
      </w:r>
      <w:r>
        <w:rPr>
          <w:spacing w:val="-3"/>
          <w:sz w:val="21"/>
        </w:rPr>
        <w:t>急</w:t>
      </w:r>
      <w:r>
        <w:rPr>
          <w:sz w:val="21"/>
        </w:rPr>
        <w:t>状</w:t>
      </w:r>
      <w:r>
        <w:rPr>
          <w:spacing w:val="-3"/>
          <w:sz w:val="21"/>
        </w:rPr>
        <w:t>态</w:t>
      </w:r>
      <w:r>
        <w:rPr>
          <w:sz w:val="21"/>
        </w:rPr>
        <w:t>的</w:t>
      </w:r>
      <w:r>
        <w:rPr>
          <w:spacing w:val="-3"/>
          <w:sz w:val="21"/>
        </w:rPr>
        <w:t>启</w:t>
      </w:r>
      <w:r>
        <w:rPr>
          <w:sz w:val="21"/>
        </w:rPr>
        <w:t>动</w:t>
      </w:r>
      <w:r>
        <w:rPr>
          <w:spacing w:val="-3"/>
          <w:sz w:val="21"/>
        </w:rPr>
        <w:t>时</w:t>
      </w:r>
      <w:r>
        <w:rPr>
          <w:sz w:val="21"/>
        </w:rPr>
        <w:t>间不</w:t>
      </w:r>
      <w:r>
        <w:rPr>
          <w:spacing w:val="-3"/>
          <w:sz w:val="21"/>
        </w:rPr>
        <w:t>应</w:t>
      </w:r>
      <w:r>
        <w:rPr>
          <w:sz w:val="21"/>
        </w:rPr>
        <w:t>大</w:t>
      </w:r>
      <w:r>
        <w:rPr>
          <w:spacing w:val="-3"/>
          <w:sz w:val="21"/>
        </w:rPr>
        <w:t>于</w:t>
      </w:r>
      <w:r>
        <w:rPr>
          <w:spacing w:val="12"/>
          <w:sz w:val="21"/>
        </w:rPr>
        <w:t xml:space="preserve"> </w:t>
      </w:r>
      <w:r>
        <w:rPr>
          <w:sz w:val="21"/>
        </w:rPr>
        <w:t>5s</w:t>
      </w:r>
      <w:r>
        <w:rPr>
          <w:spacing w:val="9"/>
          <w:sz w:val="21"/>
        </w:rPr>
        <w:t xml:space="preserve"> </w:t>
      </w:r>
      <w:r>
        <w:rPr>
          <w:spacing w:val="-3"/>
          <w:sz w:val="21"/>
        </w:rPr>
        <w:t>。</w:t>
      </w:r>
      <w:r>
        <w:rPr>
          <w:sz w:val="21"/>
        </w:rPr>
        <w:t xml:space="preserve"> </w:t>
      </w:r>
      <w:r>
        <w:rPr>
          <w:sz w:val="21"/>
        </w:rPr>
        <w:tab/>
      </w:r>
      <w:r>
        <w:rPr>
          <w:sz w:val="21"/>
        </w:rPr>
        <w:t xml:space="preserve">  </w:t>
      </w:r>
    </w:p>
    <w:p w14:paraId="78DD1187" w14:textId="77777777" w:rsidR="00A71EEF" w:rsidRDefault="0081115D">
      <w:pPr>
        <w:pStyle w:val="a4"/>
        <w:numPr>
          <w:ilvl w:val="1"/>
          <w:numId w:val="383"/>
        </w:numPr>
        <w:tabs>
          <w:tab w:val="left" w:pos="1266"/>
        </w:tabs>
        <w:spacing w:line="267" w:lineRule="exact"/>
        <w:ind w:left="1265" w:hanging="426"/>
        <w:rPr>
          <w:sz w:val="21"/>
        </w:rPr>
      </w:pPr>
      <w:r>
        <w:rPr>
          <w:spacing w:val="-3"/>
          <w:sz w:val="21"/>
        </w:rPr>
        <w:t>相关联动控制设计</w:t>
      </w:r>
      <w:r>
        <w:rPr>
          <w:sz w:val="21"/>
        </w:rPr>
        <w:t xml:space="preserve"> </w:t>
      </w:r>
    </w:p>
    <w:p w14:paraId="53F65417" w14:textId="77777777" w:rsidR="00A71EEF" w:rsidRDefault="00A71EEF">
      <w:pPr>
        <w:pStyle w:val="a3"/>
        <w:spacing w:before="12"/>
        <w:rPr>
          <w:sz w:val="17"/>
        </w:rPr>
      </w:pPr>
    </w:p>
    <w:p w14:paraId="2C04CD80" w14:textId="77777777" w:rsidR="00A71EEF" w:rsidRDefault="0081115D">
      <w:pPr>
        <w:pStyle w:val="a4"/>
        <w:numPr>
          <w:ilvl w:val="2"/>
          <w:numId w:val="383"/>
        </w:numPr>
        <w:tabs>
          <w:tab w:val="left" w:pos="1478"/>
          <w:tab w:val="left" w:pos="6298"/>
        </w:tabs>
        <w:spacing w:line="446" w:lineRule="auto"/>
        <w:ind w:right="1434" w:firstLine="422"/>
        <w:rPr>
          <w:sz w:val="21"/>
        </w:rPr>
      </w:pPr>
      <w:r>
        <w:rPr>
          <w:sz w:val="21"/>
        </w:rPr>
        <w:t>消防</w:t>
      </w:r>
      <w:r>
        <w:rPr>
          <w:spacing w:val="-3"/>
          <w:sz w:val="21"/>
        </w:rPr>
        <w:t>联</w:t>
      </w:r>
      <w:r>
        <w:rPr>
          <w:sz w:val="21"/>
        </w:rPr>
        <w:t>动控</w:t>
      </w:r>
      <w:r>
        <w:rPr>
          <w:spacing w:val="-3"/>
          <w:sz w:val="21"/>
        </w:rPr>
        <w:t>制器</w:t>
      </w:r>
      <w:r>
        <w:rPr>
          <w:sz w:val="21"/>
        </w:rPr>
        <w:t>应具有</w:t>
      </w:r>
      <w:r>
        <w:rPr>
          <w:spacing w:val="-3"/>
          <w:sz w:val="21"/>
        </w:rPr>
        <w:t>切</w:t>
      </w:r>
      <w:r>
        <w:rPr>
          <w:sz w:val="21"/>
        </w:rPr>
        <w:t>断火</w:t>
      </w:r>
      <w:r>
        <w:rPr>
          <w:spacing w:val="-3"/>
          <w:sz w:val="21"/>
        </w:rPr>
        <w:t>灾</w:t>
      </w:r>
      <w:r>
        <w:rPr>
          <w:sz w:val="21"/>
        </w:rPr>
        <w:t>区域</w:t>
      </w:r>
      <w:r>
        <w:rPr>
          <w:spacing w:val="-3"/>
          <w:sz w:val="21"/>
        </w:rPr>
        <w:t>及相</w:t>
      </w:r>
      <w:r>
        <w:rPr>
          <w:sz w:val="21"/>
        </w:rPr>
        <w:t>关区域</w:t>
      </w:r>
      <w:r>
        <w:rPr>
          <w:spacing w:val="-3"/>
          <w:sz w:val="21"/>
        </w:rPr>
        <w:t>的</w:t>
      </w:r>
      <w:r>
        <w:rPr>
          <w:sz w:val="21"/>
        </w:rPr>
        <w:t>非消</w:t>
      </w:r>
      <w:r>
        <w:rPr>
          <w:spacing w:val="-3"/>
          <w:sz w:val="21"/>
        </w:rPr>
        <w:t>防</w:t>
      </w:r>
      <w:r>
        <w:rPr>
          <w:sz w:val="21"/>
        </w:rPr>
        <w:t>电源</w:t>
      </w:r>
      <w:r>
        <w:rPr>
          <w:spacing w:val="-3"/>
          <w:sz w:val="21"/>
        </w:rPr>
        <w:t>的功</w:t>
      </w:r>
      <w:r>
        <w:rPr>
          <w:sz w:val="21"/>
        </w:rPr>
        <w:t>能，当</w:t>
      </w:r>
      <w:r>
        <w:rPr>
          <w:spacing w:val="-3"/>
          <w:sz w:val="21"/>
        </w:rPr>
        <w:t>需</w:t>
      </w:r>
      <w:r>
        <w:rPr>
          <w:sz w:val="21"/>
        </w:rPr>
        <w:t>要切断</w:t>
      </w:r>
      <w:r>
        <w:rPr>
          <w:sz w:val="21"/>
        </w:rPr>
        <w:t xml:space="preserve"> </w:t>
      </w:r>
      <w:r>
        <w:rPr>
          <w:sz w:val="21"/>
        </w:rPr>
        <w:t>正常</w:t>
      </w:r>
      <w:r>
        <w:rPr>
          <w:spacing w:val="-3"/>
          <w:sz w:val="21"/>
        </w:rPr>
        <w:t>照</w:t>
      </w:r>
      <w:r>
        <w:rPr>
          <w:sz w:val="21"/>
        </w:rPr>
        <w:t>明</w:t>
      </w:r>
      <w:r>
        <w:rPr>
          <w:spacing w:val="-3"/>
          <w:sz w:val="21"/>
        </w:rPr>
        <w:t>时</w:t>
      </w:r>
      <w:r>
        <w:rPr>
          <w:sz w:val="21"/>
        </w:rPr>
        <w:t>，</w:t>
      </w:r>
      <w:r>
        <w:rPr>
          <w:spacing w:val="-3"/>
          <w:sz w:val="21"/>
        </w:rPr>
        <w:t>宜</w:t>
      </w:r>
      <w:r>
        <w:rPr>
          <w:sz w:val="21"/>
        </w:rPr>
        <w:t>在</w:t>
      </w:r>
      <w:r>
        <w:rPr>
          <w:spacing w:val="-3"/>
          <w:sz w:val="21"/>
        </w:rPr>
        <w:t>自</w:t>
      </w:r>
      <w:r>
        <w:rPr>
          <w:sz w:val="21"/>
        </w:rPr>
        <w:t>动</w:t>
      </w:r>
      <w:r>
        <w:rPr>
          <w:spacing w:val="-3"/>
          <w:sz w:val="21"/>
        </w:rPr>
        <w:t>喷</w:t>
      </w:r>
      <w:r>
        <w:rPr>
          <w:sz w:val="21"/>
        </w:rPr>
        <w:t>淋系</w:t>
      </w:r>
      <w:r>
        <w:rPr>
          <w:spacing w:val="-3"/>
          <w:sz w:val="21"/>
        </w:rPr>
        <w:t>统</w:t>
      </w:r>
      <w:r>
        <w:rPr>
          <w:sz w:val="21"/>
        </w:rPr>
        <w:t>、</w:t>
      </w:r>
      <w:r>
        <w:rPr>
          <w:spacing w:val="-3"/>
          <w:sz w:val="21"/>
        </w:rPr>
        <w:t>消</w:t>
      </w:r>
      <w:r>
        <w:rPr>
          <w:sz w:val="21"/>
        </w:rPr>
        <w:t>火</w:t>
      </w:r>
      <w:r>
        <w:rPr>
          <w:spacing w:val="-3"/>
          <w:sz w:val="21"/>
        </w:rPr>
        <w:t>栓</w:t>
      </w:r>
      <w:r>
        <w:rPr>
          <w:sz w:val="21"/>
        </w:rPr>
        <w:t>系</w:t>
      </w:r>
      <w:r>
        <w:rPr>
          <w:spacing w:val="-3"/>
          <w:sz w:val="21"/>
        </w:rPr>
        <w:t>统</w:t>
      </w:r>
      <w:r>
        <w:rPr>
          <w:sz w:val="21"/>
        </w:rPr>
        <w:t>动</w:t>
      </w:r>
      <w:r>
        <w:rPr>
          <w:spacing w:val="-3"/>
          <w:sz w:val="21"/>
        </w:rPr>
        <w:t>作</w:t>
      </w:r>
      <w:r>
        <w:rPr>
          <w:sz w:val="21"/>
        </w:rPr>
        <w:t>前切</w:t>
      </w:r>
      <w:r>
        <w:rPr>
          <w:spacing w:val="-3"/>
          <w:sz w:val="21"/>
        </w:rPr>
        <w:t>断。</w:t>
      </w:r>
      <w:r>
        <w:rPr>
          <w:sz w:val="21"/>
        </w:rPr>
        <w:t xml:space="preserve"> </w:t>
      </w:r>
      <w:r>
        <w:rPr>
          <w:sz w:val="21"/>
        </w:rPr>
        <w:tab/>
      </w:r>
      <w:r>
        <w:rPr>
          <w:sz w:val="21"/>
        </w:rPr>
        <w:t xml:space="preserve">  </w:t>
      </w:r>
    </w:p>
    <w:p w14:paraId="4F4C647E" w14:textId="77777777" w:rsidR="00A71EEF" w:rsidRDefault="0081115D">
      <w:pPr>
        <w:pStyle w:val="a4"/>
        <w:numPr>
          <w:ilvl w:val="2"/>
          <w:numId w:val="383"/>
        </w:numPr>
        <w:tabs>
          <w:tab w:val="left" w:pos="1478"/>
          <w:tab w:val="left" w:pos="4618"/>
        </w:tabs>
        <w:spacing w:line="446" w:lineRule="auto"/>
        <w:ind w:right="1434" w:firstLine="422"/>
        <w:rPr>
          <w:sz w:val="21"/>
        </w:rPr>
      </w:pPr>
      <w:r>
        <w:rPr>
          <w:sz w:val="21"/>
        </w:rPr>
        <w:t>消防</w:t>
      </w:r>
      <w:r>
        <w:rPr>
          <w:spacing w:val="-3"/>
          <w:sz w:val="21"/>
        </w:rPr>
        <w:t>联</w:t>
      </w:r>
      <w:r>
        <w:rPr>
          <w:sz w:val="21"/>
        </w:rPr>
        <w:t>动控</w:t>
      </w:r>
      <w:r>
        <w:rPr>
          <w:spacing w:val="-3"/>
          <w:sz w:val="21"/>
        </w:rPr>
        <w:t>制器</w:t>
      </w:r>
      <w:r>
        <w:rPr>
          <w:sz w:val="21"/>
        </w:rPr>
        <w:t>应具有</w:t>
      </w:r>
      <w:r>
        <w:rPr>
          <w:spacing w:val="-3"/>
          <w:sz w:val="21"/>
        </w:rPr>
        <w:t>自</w:t>
      </w:r>
      <w:r>
        <w:rPr>
          <w:sz w:val="21"/>
        </w:rPr>
        <w:t>动打</w:t>
      </w:r>
      <w:r>
        <w:rPr>
          <w:spacing w:val="-3"/>
          <w:sz w:val="21"/>
        </w:rPr>
        <w:t>开</w:t>
      </w:r>
      <w:r>
        <w:rPr>
          <w:sz w:val="21"/>
        </w:rPr>
        <w:t>涉及</w:t>
      </w:r>
      <w:r>
        <w:rPr>
          <w:spacing w:val="-3"/>
          <w:sz w:val="21"/>
        </w:rPr>
        <w:t>疏散</w:t>
      </w:r>
      <w:r>
        <w:rPr>
          <w:sz w:val="21"/>
        </w:rPr>
        <w:t>的电动</w:t>
      </w:r>
      <w:r>
        <w:rPr>
          <w:spacing w:val="-3"/>
          <w:sz w:val="21"/>
        </w:rPr>
        <w:t>栅</w:t>
      </w:r>
      <w:r>
        <w:rPr>
          <w:sz w:val="21"/>
        </w:rPr>
        <w:t>杆等</w:t>
      </w:r>
      <w:r>
        <w:rPr>
          <w:spacing w:val="-3"/>
          <w:sz w:val="21"/>
        </w:rPr>
        <w:t>的</w:t>
      </w:r>
      <w:r>
        <w:rPr>
          <w:sz w:val="21"/>
        </w:rPr>
        <w:t>功能</w:t>
      </w:r>
      <w:r>
        <w:rPr>
          <w:spacing w:val="-3"/>
          <w:sz w:val="21"/>
        </w:rPr>
        <w:t>，宜</w:t>
      </w:r>
      <w:r>
        <w:rPr>
          <w:sz w:val="21"/>
        </w:rPr>
        <w:t>开启相</w:t>
      </w:r>
      <w:r>
        <w:rPr>
          <w:spacing w:val="-3"/>
          <w:sz w:val="21"/>
        </w:rPr>
        <w:t>关</w:t>
      </w:r>
      <w:r>
        <w:rPr>
          <w:sz w:val="21"/>
        </w:rPr>
        <w:t>区域安</w:t>
      </w:r>
      <w:r>
        <w:rPr>
          <w:sz w:val="21"/>
        </w:rPr>
        <w:t xml:space="preserve"> </w:t>
      </w:r>
      <w:r>
        <w:rPr>
          <w:sz w:val="21"/>
        </w:rPr>
        <w:t>全技</w:t>
      </w:r>
      <w:r>
        <w:rPr>
          <w:spacing w:val="-3"/>
          <w:sz w:val="21"/>
        </w:rPr>
        <w:t>术</w:t>
      </w:r>
      <w:r>
        <w:rPr>
          <w:sz w:val="21"/>
        </w:rPr>
        <w:t>防</w:t>
      </w:r>
      <w:r>
        <w:rPr>
          <w:spacing w:val="-3"/>
          <w:sz w:val="21"/>
        </w:rPr>
        <w:t>范</w:t>
      </w:r>
      <w:r>
        <w:rPr>
          <w:sz w:val="21"/>
        </w:rPr>
        <w:t>系</w:t>
      </w:r>
      <w:r>
        <w:rPr>
          <w:spacing w:val="-3"/>
          <w:sz w:val="21"/>
        </w:rPr>
        <w:t>统</w:t>
      </w:r>
      <w:r>
        <w:rPr>
          <w:sz w:val="21"/>
        </w:rPr>
        <w:t>的</w:t>
      </w:r>
      <w:r>
        <w:rPr>
          <w:spacing w:val="-3"/>
          <w:sz w:val="21"/>
        </w:rPr>
        <w:t>摄</w:t>
      </w:r>
      <w:r>
        <w:rPr>
          <w:sz w:val="21"/>
        </w:rPr>
        <w:t>像</w:t>
      </w:r>
      <w:r>
        <w:rPr>
          <w:spacing w:val="-3"/>
          <w:sz w:val="21"/>
        </w:rPr>
        <w:t>机</w:t>
      </w:r>
      <w:r>
        <w:rPr>
          <w:sz w:val="21"/>
        </w:rPr>
        <w:t>监视</w:t>
      </w:r>
      <w:r>
        <w:rPr>
          <w:spacing w:val="-3"/>
          <w:sz w:val="21"/>
        </w:rPr>
        <w:t>火</w:t>
      </w:r>
      <w:r>
        <w:rPr>
          <w:sz w:val="21"/>
        </w:rPr>
        <w:t>灾</w:t>
      </w:r>
      <w:r>
        <w:rPr>
          <w:spacing w:val="-3"/>
          <w:sz w:val="21"/>
        </w:rPr>
        <w:t>现</w:t>
      </w:r>
      <w:r>
        <w:rPr>
          <w:sz w:val="21"/>
        </w:rPr>
        <w:t>场</w:t>
      </w:r>
      <w:r>
        <w:rPr>
          <w:spacing w:val="-3"/>
          <w:sz w:val="21"/>
        </w:rPr>
        <w:t>。</w:t>
      </w:r>
      <w:r>
        <w:rPr>
          <w:sz w:val="21"/>
        </w:rPr>
        <w:t xml:space="preserve"> </w:t>
      </w:r>
      <w:r>
        <w:rPr>
          <w:sz w:val="21"/>
        </w:rPr>
        <w:tab/>
      </w:r>
      <w:r>
        <w:rPr>
          <w:sz w:val="21"/>
        </w:rPr>
        <w:t xml:space="preserve">  </w:t>
      </w:r>
    </w:p>
    <w:p w14:paraId="40B80A11" w14:textId="77777777" w:rsidR="00A71EEF" w:rsidRDefault="0081115D">
      <w:pPr>
        <w:pStyle w:val="a4"/>
        <w:numPr>
          <w:ilvl w:val="2"/>
          <w:numId w:val="383"/>
        </w:numPr>
        <w:tabs>
          <w:tab w:val="left" w:pos="1478"/>
          <w:tab w:val="left" w:pos="4618"/>
        </w:tabs>
        <w:spacing w:line="446" w:lineRule="auto"/>
        <w:ind w:right="1225" w:firstLine="422"/>
        <w:rPr>
          <w:sz w:val="21"/>
        </w:rPr>
      </w:pPr>
      <w:r>
        <w:rPr>
          <w:sz w:val="21"/>
        </w:rPr>
        <w:t>消防</w:t>
      </w:r>
      <w:r>
        <w:rPr>
          <w:spacing w:val="-3"/>
          <w:sz w:val="21"/>
        </w:rPr>
        <w:t>联</w:t>
      </w:r>
      <w:r>
        <w:rPr>
          <w:sz w:val="21"/>
        </w:rPr>
        <w:t>动控</w:t>
      </w:r>
      <w:r>
        <w:rPr>
          <w:spacing w:val="-3"/>
          <w:sz w:val="21"/>
        </w:rPr>
        <w:t>制器</w:t>
      </w:r>
      <w:r>
        <w:rPr>
          <w:sz w:val="21"/>
        </w:rPr>
        <w:t>应具有</w:t>
      </w:r>
      <w:r>
        <w:rPr>
          <w:spacing w:val="-3"/>
          <w:sz w:val="21"/>
        </w:rPr>
        <w:t>打</w:t>
      </w:r>
      <w:r>
        <w:rPr>
          <w:sz w:val="21"/>
        </w:rPr>
        <w:t>开疏</w:t>
      </w:r>
      <w:r>
        <w:rPr>
          <w:spacing w:val="-3"/>
          <w:sz w:val="21"/>
        </w:rPr>
        <w:t>散</w:t>
      </w:r>
      <w:r>
        <w:rPr>
          <w:sz w:val="21"/>
        </w:rPr>
        <w:t>通道</w:t>
      </w:r>
      <w:r>
        <w:rPr>
          <w:spacing w:val="-3"/>
          <w:sz w:val="21"/>
        </w:rPr>
        <w:t>上由</w:t>
      </w:r>
      <w:r>
        <w:rPr>
          <w:sz w:val="21"/>
        </w:rPr>
        <w:t>门禁系</w:t>
      </w:r>
      <w:r>
        <w:rPr>
          <w:spacing w:val="-3"/>
          <w:sz w:val="21"/>
        </w:rPr>
        <w:t>统</w:t>
      </w:r>
      <w:r>
        <w:rPr>
          <w:sz w:val="21"/>
        </w:rPr>
        <w:t>控制</w:t>
      </w:r>
      <w:r>
        <w:rPr>
          <w:spacing w:val="-3"/>
          <w:sz w:val="21"/>
        </w:rPr>
        <w:t>的</w:t>
      </w:r>
      <w:r>
        <w:rPr>
          <w:sz w:val="21"/>
        </w:rPr>
        <w:t>门和</w:t>
      </w:r>
      <w:r>
        <w:rPr>
          <w:spacing w:val="-3"/>
          <w:sz w:val="21"/>
        </w:rPr>
        <w:t>庭院</w:t>
      </w:r>
      <w:r>
        <w:rPr>
          <w:sz w:val="21"/>
        </w:rPr>
        <w:t>电动大</w:t>
      </w:r>
      <w:r>
        <w:rPr>
          <w:spacing w:val="-3"/>
          <w:sz w:val="21"/>
        </w:rPr>
        <w:t>门</w:t>
      </w:r>
      <w:r>
        <w:rPr>
          <w:sz w:val="21"/>
        </w:rPr>
        <w:t>的功</w:t>
      </w:r>
      <w:r>
        <w:rPr>
          <w:spacing w:val="-3"/>
          <w:sz w:val="21"/>
        </w:rPr>
        <w:t>能</w:t>
      </w:r>
      <w:r>
        <w:rPr>
          <w:sz w:val="21"/>
        </w:rPr>
        <w:t>，</w:t>
      </w:r>
      <w:r>
        <w:rPr>
          <w:sz w:val="21"/>
        </w:rPr>
        <w:t xml:space="preserve"> </w:t>
      </w:r>
      <w:r>
        <w:rPr>
          <w:spacing w:val="-1"/>
          <w:sz w:val="21"/>
        </w:rPr>
        <w:t>并</w:t>
      </w:r>
      <w:r>
        <w:rPr>
          <w:sz w:val="21"/>
        </w:rPr>
        <w:t>应</w:t>
      </w:r>
      <w:r>
        <w:rPr>
          <w:spacing w:val="-3"/>
          <w:sz w:val="21"/>
        </w:rPr>
        <w:t>具</w:t>
      </w:r>
      <w:r>
        <w:rPr>
          <w:sz w:val="21"/>
        </w:rPr>
        <w:t>有</w:t>
      </w:r>
      <w:r>
        <w:rPr>
          <w:spacing w:val="-3"/>
          <w:sz w:val="21"/>
        </w:rPr>
        <w:t>打</w:t>
      </w:r>
      <w:r>
        <w:rPr>
          <w:sz w:val="21"/>
        </w:rPr>
        <w:t>开</w:t>
      </w:r>
      <w:r>
        <w:rPr>
          <w:spacing w:val="-3"/>
          <w:sz w:val="21"/>
        </w:rPr>
        <w:t>停</w:t>
      </w:r>
      <w:r>
        <w:rPr>
          <w:sz w:val="21"/>
        </w:rPr>
        <w:t>车</w:t>
      </w:r>
      <w:r>
        <w:rPr>
          <w:spacing w:val="-3"/>
          <w:sz w:val="21"/>
        </w:rPr>
        <w:t>场</w:t>
      </w:r>
      <w:r>
        <w:rPr>
          <w:sz w:val="21"/>
        </w:rPr>
        <w:t>出</w:t>
      </w:r>
      <w:r>
        <w:rPr>
          <w:spacing w:val="-3"/>
          <w:sz w:val="21"/>
        </w:rPr>
        <w:t>入</w:t>
      </w:r>
      <w:r>
        <w:rPr>
          <w:sz w:val="21"/>
        </w:rPr>
        <w:t>口挡</w:t>
      </w:r>
      <w:r>
        <w:rPr>
          <w:spacing w:val="-3"/>
          <w:sz w:val="21"/>
        </w:rPr>
        <w:t>杆</w:t>
      </w:r>
      <w:r>
        <w:rPr>
          <w:sz w:val="21"/>
        </w:rPr>
        <w:t>的</w:t>
      </w:r>
      <w:r>
        <w:rPr>
          <w:spacing w:val="-3"/>
          <w:sz w:val="21"/>
        </w:rPr>
        <w:t>功</w:t>
      </w:r>
      <w:r>
        <w:rPr>
          <w:sz w:val="21"/>
        </w:rPr>
        <w:t>能</w:t>
      </w:r>
      <w:r>
        <w:rPr>
          <w:spacing w:val="-3"/>
          <w:sz w:val="21"/>
        </w:rPr>
        <w:t>。</w:t>
      </w:r>
      <w:r>
        <w:rPr>
          <w:sz w:val="21"/>
        </w:rPr>
        <w:t xml:space="preserve"> </w:t>
      </w:r>
      <w:r>
        <w:rPr>
          <w:sz w:val="21"/>
        </w:rPr>
        <w:tab/>
      </w:r>
      <w:r>
        <w:rPr>
          <w:sz w:val="21"/>
        </w:rPr>
        <w:t xml:space="preserve">  </w:t>
      </w:r>
    </w:p>
    <w:p w14:paraId="6F671546" w14:textId="77777777" w:rsidR="00A71EEF" w:rsidRDefault="0081115D">
      <w:pPr>
        <w:pStyle w:val="4"/>
        <w:spacing w:line="277" w:lineRule="exact"/>
      </w:pPr>
      <w:r>
        <w:t xml:space="preserve">5 </w:t>
      </w:r>
      <w:r>
        <w:t>火灾探测器的选择</w:t>
      </w:r>
      <w:r>
        <w:rPr>
          <w:w w:val="99"/>
        </w:rPr>
        <w:t xml:space="preserve"> </w:t>
      </w:r>
    </w:p>
    <w:p w14:paraId="60A81C3C" w14:textId="77777777" w:rsidR="00A71EEF" w:rsidRDefault="00A71EEF">
      <w:pPr>
        <w:pStyle w:val="a3"/>
        <w:spacing w:before="2"/>
        <w:rPr>
          <w:b/>
          <w:sz w:val="17"/>
        </w:rPr>
      </w:pPr>
    </w:p>
    <w:p w14:paraId="2C5002BD" w14:textId="77777777" w:rsidR="00A71EEF" w:rsidRDefault="0081115D">
      <w:pPr>
        <w:pStyle w:val="a4"/>
        <w:numPr>
          <w:ilvl w:val="1"/>
          <w:numId w:val="371"/>
        </w:numPr>
        <w:tabs>
          <w:tab w:val="left" w:pos="1159"/>
        </w:tabs>
        <w:ind w:hanging="319"/>
        <w:rPr>
          <w:sz w:val="21"/>
        </w:rPr>
      </w:pPr>
      <w:r>
        <w:rPr>
          <w:spacing w:val="-3"/>
          <w:sz w:val="21"/>
        </w:rPr>
        <w:t>一般规定</w:t>
      </w:r>
      <w:r>
        <w:rPr>
          <w:sz w:val="21"/>
        </w:rPr>
        <w:t xml:space="preserve"> </w:t>
      </w:r>
    </w:p>
    <w:p w14:paraId="1485D771" w14:textId="77777777" w:rsidR="00A71EEF" w:rsidRDefault="00A71EEF">
      <w:pPr>
        <w:pStyle w:val="a3"/>
        <w:rPr>
          <w:sz w:val="18"/>
        </w:rPr>
      </w:pPr>
    </w:p>
    <w:p w14:paraId="6DA6C82A" w14:textId="77777777" w:rsidR="00A71EEF" w:rsidRDefault="0081115D">
      <w:pPr>
        <w:pStyle w:val="a4"/>
        <w:numPr>
          <w:ilvl w:val="2"/>
          <w:numId w:val="371"/>
        </w:numPr>
        <w:tabs>
          <w:tab w:val="left" w:pos="1370"/>
        </w:tabs>
        <w:ind w:hanging="530"/>
        <w:rPr>
          <w:sz w:val="21"/>
        </w:rPr>
      </w:pPr>
      <w:r>
        <w:rPr>
          <w:spacing w:val="-3"/>
          <w:sz w:val="21"/>
        </w:rPr>
        <w:t>火灾探测器的选择应符合下列规定：</w:t>
      </w:r>
      <w:r>
        <w:rPr>
          <w:sz w:val="21"/>
        </w:rPr>
        <w:t xml:space="preserve"> </w:t>
      </w:r>
    </w:p>
    <w:p w14:paraId="3259E35A" w14:textId="77777777" w:rsidR="00A71EEF" w:rsidRDefault="00A71EEF">
      <w:pPr>
        <w:pStyle w:val="a3"/>
        <w:spacing w:before="2"/>
        <w:rPr>
          <w:sz w:val="18"/>
        </w:rPr>
      </w:pPr>
    </w:p>
    <w:p w14:paraId="3D73C358" w14:textId="77777777" w:rsidR="00A71EEF" w:rsidRDefault="0081115D">
      <w:pPr>
        <w:pStyle w:val="a4"/>
        <w:numPr>
          <w:ilvl w:val="0"/>
          <w:numId w:val="370"/>
        </w:numPr>
        <w:tabs>
          <w:tab w:val="left" w:pos="1367"/>
        </w:tabs>
        <w:spacing w:line="446" w:lineRule="auto"/>
        <w:ind w:right="1435" w:firstLine="419"/>
        <w:rPr>
          <w:sz w:val="21"/>
        </w:rPr>
      </w:pPr>
      <w:r>
        <w:rPr>
          <w:spacing w:val="-9"/>
          <w:sz w:val="21"/>
        </w:rPr>
        <w:t>对火灾初期有阴燃阶段，产生大量的烟和少量的热，很少或没有火焰辐射的场所，应</w:t>
      </w:r>
      <w:r>
        <w:rPr>
          <w:spacing w:val="-9"/>
          <w:sz w:val="21"/>
        </w:rPr>
        <w:t xml:space="preserve"> </w:t>
      </w:r>
      <w:r>
        <w:rPr>
          <w:spacing w:val="-3"/>
          <w:sz w:val="21"/>
        </w:rPr>
        <w:t>选择感烟火灾探测器。</w:t>
      </w:r>
      <w:r>
        <w:rPr>
          <w:sz w:val="21"/>
        </w:rPr>
        <w:t xml:space="preserve"> </w:t>
      </w:r>
    </w:p>
    <w:p w14:paraId="1D19E408" w14:textId="77777777" w:rsidR="00A71EEF" w:rsidRDefault="0081115D">
      <w:pPr>
        <w:pStyle w:val="a4"/>
        <w:numPr>
          <w:ilvl w:val="0"/>
          <w:numId w:val="370"/>
        </w:numPr>
        <w:tabs>
          <w:tab w:val="left" w:pos="1365"/>
        </w:tabs>
        <w:spacing w:line="446" w:lineRule="auto"/>
        <w:ind w:right="1433" w:firstLine="419"/>
        <w:rPr>
          <w:sz w:val="21"/>
        </w:rPr>
      </w:pPr>
      <w:r>
        <w:rPr>
          <w:spacing w:val="-10"/>
          <w:sz w:val="21"/>
        </w:rPr>
        <w:t>对火灾发展迅速，可产生大量热、烟和火焰辐射的场所，可选择感温火灾探测器、感</w:t>
      </w:r>
      <w:r>
        <w:rPr>
          <w:spacing w:val="-10"/>
          <w:sz w:val="21"/>
        </w:rPr>
        <w:t xml:space="preserve"> </w:t>
      </w:r>
      <w:r>
        <w:rPr>
          <w:spacing w:val="-3"/>
          <w:sz w:val="21"/>
        </w:rPr>
        <w:t>烟火灾探测器、火焰探测器或其组合。</w:t>
      </w:r>
      <w:r>
        <w:rPr>
          <w:sz w:val="21"/>
        </w:rPr>
        <w:t xml:space="preserve"> </w:t>
      </w:r>
    </w:p>
    <w:p w14:paraId="054DD150" w14:textId="77777777" w:rsidR="00A71EEF" w:rsidRDefault="00A71EEF">
      <w:pPr>
        <w:spacing w:line="446" w:lineRule="auto"/>
        <w:rPr>
          <w:sz w:val="21"/>
        </w:rPr>
        <w:sectPr w:rsidR="00A71EEF">
          <w:pgSz w:w="11910" w:h="16850"/>
          <w:pgMar w:top="1220" w:right="0" w:bottom="1420" w:left="1260" w:header="0" w:footer="1239" w:gutter="0"/>
          <w:cols w:space="720"/>
        </w:sectPr>
      </w:pPr>
    </w:p>
    <w:p w14:paraId="1563ABB4" w14:textId="77777777" w:rsidR="00A71EEF" w:rsidRDefault="0081115D">
      <w:pPr>
        <w:pStyle w:val="a4"/>
        <w:numPr>
          <w:ilvl w:val="0"/>
          <w:numId w:val="370"/>
        </w:numPr>
        <w:tabs>
          <w:tab w:val="left" w:pos="1367"/>
        </w:tabs>
        <w:spacing w:before="47"/>
        <w:ind w:left="1367"/>
        <w:rPr>
          <w:sz w:val="21"/>
        </w:rPr>
      </w:pPr>
      <w:r>
        <w:rPr>
          <w:spacing w:val="-3"/>
          <w:sz w:val="21"/>
        </w:rPr>
        <w:t>对火灾发展迅速，有强烈的火焰辐射和少量烟、热的场所，应选择火焰探测器。</w:t>
      </w:r>
      <w:r>
        <w:rPr>
          <w:sz w:val="21"/>
        </w:rPr>
        <w:t xml:space="preserve"> </w:t>
      </w:r>
    </w:p>
    <w:p w14:paraId="2BBED05D" w14:textId="77777777" w:rsidR="00A71EEF" w:rsidRDefault="00A71EEF">
      <w:pPr>
        <w:pStyle w:val="a3"/>
        <w:rPr>
          <w:sz w:val="18"/>
        </w:rPr>
      </w:pPr>
    </w:p>
    <w:p w14:paraId="524C4D8F" w14:textId="77777777" w:rsidR="00A71EEF" w:rsidRDefault="0081115D">
      <w:pPr>
        <w:pStyle w:val="a4"/>
        <w:numPr>
          <w:ilvl w:val="0"/>
          <w:numId w:val="370"/>
        </w:numPr>
        <w:tabs>
          <w:tab w:val="left" w:pos="1367"/>
        </w:tabs>
        <w:ind w:left="1367"/>
        <w:rPr>
          <w:sz w:val="21"/>
        </w:rPr>
      </w:pPr>
      <w:r>
        <w:rPr>
          <w:spacing w:val="-3"/>
          <w:sz w:val="21"/>
        </w:rPr>
        <w:t>对火灾初期有阴燃阶段，且需要早期探测的场所，宜增设一氧化碳火灾探测器。</w:t>
      </w:r>
      <w:r>
        <w:rPr>
          <w:sz w:val="21"/>
        </w:rPr>
        <w:t xml:space="preserve"> </w:t>
      </w:r>
    </w:p>
    <w:p w14:paraId="5448559E" w14:textId="77777777" w:rsidR="00A71EEF" w:rsidRDefault="00A71EEF">
      <w:pPr>
        <w:pStyle w:val="a3"/>
        <w:rPr>
          <w:sz w:val="18"/>
        </w:rPr>
      </w:pPr>
    </w:p>
    <w:p w14:paraId="76097319" w14:textId="77777777" w:rsidR="00A71EEF" w:rsidRDefault="0081115D">
      <w:pPr>
        <w:pStyle w:val="a4"/>
        <w:numPr>
          <w:ilvl w:val="0"/>
          <w:numId w:val="370"/>
        </w:numPr>
        <w:tabs>
          <w:tab w:val="left" w:pos="1367"/>
        </w:tabs>
        <w:ind w:left="1367"/>
        <w:rPr>
          <w:sz w:val="21"/>
        </w:rPr>
      </w:pPr>
      <w:r>
        <w:rPr>
          <w:spacing w:val="-3"/>
          <w:sz w:val="21"/>
        </w:rPr>
        <w:t>对使用、生产可燃气体或可燃蒸气的场所，应选择可燃气体探测器。</w:t>
      </w:r>
      <w:r>
        <w:rPr>
          <w:spacing w:val="-3"/>
          <w:sz w:val="21"/>
        </w:rPr>
        <w:t xml:space="preserve"> </w:t>
      </w:r>
    </w:p>
    <w:p w14:paraId="63918B14" w14:textId="77777777" w:rsidR="00A71EEF" w:rsidRDefault="00A71EEF">
      <w:pPr>
        <w:pStyle w:val="a3"/>
        <w:spacing w:before="1"/>
        <w:rPr>
          <w:sz w:val="18"/>
        </w:rPr>
      </w:pPr>
    </w:p>
    <w:p w14:paraId="619167FD" w14:textId="77777777" w:rsidR="00A71EEF" w:rsidRDefault="0081115D">
      <w:pPr>
        <w:pStyle w:val="a4"/>
        <w:numPr>
          <w:ilvl w:val="0"/>
          <w:numId w:val="370"/>
        </w:numPr>
        <w:tabs>
          <w:tab w:val="left" w:pos="1367"/>
        </w:tabs>
        <w:spacing w:before="1" w:line="446" w:lineRule="auto"/>
        <w:ind w:right="1431" w:firstLine="419"/>
        <w:jc w:val="both"/>
        <w:rPr>
          <w:sz w:val="21"/>
        </w:rPr>
      </w:pPr>
      <w:r>
        <w:rPr>
          <w:spacing w:val="-7"/>
          <w:sz w:val="21"/>
        </w:rPr>
        <w:t>应根据保护场所可能发生火灾的部位和燃烧材料的分析，以及火灾探测器的类型、灵</w:t>
      </w:r>
      <w:r>
        <w:rPr>
          <w:spacing w:val="-7"/>
          <w:sz w:val="21"/>
        </w:rPr>
        <w:t xml:space="preserve"> </w:t>
      </w:r>
      <w:r>
        <w:rPr>
          <w:sz w:val="21"/>
        </w:rPr>
        <w:t>敏度和响</w:t>
      </w:r>
      <w:r>
        <w:rPr>
          <w:sz w:val="21"/>
        </w:rPr>
        <w:t xml:space="preserve"> </w:t>
      </w:r>
      <w:r>
        <w:rPr>
          <w:sz w:val="21"/>
        </w:rPr>
        <w:t>应时间等选择相应的火灾探测器，对火灾形成特征不可预料的场所，可根据模拟试验</w:t>
      </w:r>
      <w:r>
        <w:rPr>
          <w:spacing w:val="-3"/>
          <w:sz w:val="21"/>
        </w:rPr>
        <w:t>的结果选择火灾探测器。</w:t>
      </w:r>
      <w:r>
        <w:rPr>
          <w:sz w:val="21"/>
        </w:rPr>
        <w:t xml:space="preserve"> </w:t>
      </w:r>
    </w:p>
    <w:p w14:paraId="224F3A11" w14:textId="77777777" w:rsidR="00A71EEF" w:rsidRDefault="0081115D">
      <w:pPr>
        <w:pStyle w:val="a4"/>
        <w:numPr>
          <w:ilvl w:val="0"/>
          <w:numId w:val="370"/>
        </w:numPr>
        <w:tabs>
          <w:tab w:val="left" w:pos="1370"/>
        </w:tabs>
        <w:spacing w:line="446" w:lineRule="auto"/>
        <w:ind w:right="1438" w:firstLine="419"/>
        <w:jc w:val="both"/>
        <w:rPr>
          <w:sz w:val="21"/>
        </w:rPr>
      </w:pPr>
      <w:r>
        <w:rPr>
          <w:spacing w:val="-1"/>
          <w:sz w:val="21"/>
        </w:rPr>
        <w:t>同一探测区域内设置多个火灾探测器时，可选择具有复合判断火灾功能的火灾探测器</w:t>
      </w:r>
      <w:r>
        <w:rPr>
          <w:spacing w:val="-3"/>
          <w:sz w:val="21"/>
        </w:rPr>
        <w:t>和火灾报警控制器。</w:t>
      </w:r>
      <w:r>
        <w:rPr>
          <w:sz w:val="21"/>
        </w:rPr>
        <w:t xml:space="preserve"> </w:t>
      </w:r>
      <w:r>
        <w:rPr>
          <w:spacing w:val="-2"/>
          <w:sz w:val="21"/>
        </w:rPr>
        <w:t xml:space="preserve"> </w:t>
      </w:r>
      <w:r>
        <w:rPr>
          <w:sz w:val="21"/>
        </w:rPr>
        <w:t xml:space="preserve">  </w:t>
      </w:r>
    </w:p>
    <w:p w14:paraId="547359E5" w14:textId="77777777" w:rsidR="00A71EEF" w:rsidRDefault="0081115D">
      <w:pPr>
        <w:pStyle w:val="a4"/>
        <w:numPr>
          <w:ilvl w:val="1"/>
          <w:numId w:val="371"/>
        </w:numPr>
        <w:tabs>
          <w:tab w:val="left" w:pos="1160"/>
        </w:tabs>
        <w:spacing w:line="267" w:lineRule="exact"/>
        <w:ind w:left="1159" w:hanging="320"/>
        <w:rPr>
          <w:sz w:val="21"/>
        </w:rPr>
      </w:pPr>
      <w:r>
        <w:rPr>
          <w:spacing w:val="-3"/>
          <w:sz w:val="21"/>
        </w:rPr>
        <w:t>点型火灾探测器的选择</w:t>
      </w:r>
      <w:r>
        <w:rPr>
          <w:spacing w:val="-3"/>
          <w:sz w:val="21"/>
        </w:rPr>
        <w:t xml:space="preserve"> </w:t>
      </w:r>
    </w:p>
    <w:p w14:paraId="684C771D" w14:textId="77777777" w:rsidR="00A71EEF" w:rsidRDefault="00A71EEF">
      <w:pPr>
        <w:pStyle w:val="a3"/>
        <w:rPr>
          <w:sz w:val="18"/>
        </w:rPr>
      </w:pPr>
    </w:p>
    <w:p w14:paraId="588273F7" w14:textId="77777777" w:rsidR="00A71EEF" w:rsidRDefault="0081115D">
      <w:pPr>
        <w:pStyle w:val="a4"/>
        <w:numPr>
          <w:ilvl w:val="2"/>
          <w:numId w:val="371"/>
        </w:numPr>
        <w:tabs>
          <w:tab w:val="left" w:pos="1371"/>
        </w:tabs>
        <w:ind w:left="1370" w:hanging="531"/>
        <w:rPr>
          <w:sz w:val="21"/>
        </w:rPr>
      </w:pPr>
      <w:r>
        <w:rPr>
          <w:spacing w:val="-3"/>
          <w:sz w:val="21"/>
        </w:rPr>
        <w:t>对不同高度的房间，可按表</w:t>
      </w:r>
      <w:r>
        <w:rPr>
          <w:spacing w:val="-3"/>
          <w:sz w:val="21"/>
        </w:rPr>
        <w:t xml:space="preserve"> </w:t>
      </w:r>
      <w:r>
        <w:rPr>
          <w:sz w:val="21"/>
        </w:rPr>
        <w:t>5.2.1</w:t>
      </w:r>
      <w:r>
        <w:rPr>
          <w:spacing w:val="-3"/>
          <w:sz w:val="21"/>
        </w:rPr>
        <w:t xml:space="preserve"> </w:t>
      </w:r>
      <w:r>
        <w:rPr>
          <w:spacing w:val="-3"/>
          <w:sz w:val="21"/>
        </w:rPr>
        <w:t>选择点型火灾探测器。</w:t>
      </w:r>
      <w:r>
        <w:rPr>
          <w:sz w:val="21"/>
        </w:rPr>
        <w:t xml:space="preserve"> </w:t>
      </w:r>
    </w:p>
    <w:p w14:paraId="1FA7C22B" w14:textId="77777777" w:rsidR="00A71EEF" w:rsidRDefault="00A71EEF">
      <w:pPr>
        <w:pStyle w:val="a3"/>
        <w:rPr>
          <w:sz w:val="20"/>
        </w:rPr>
      </w:pPr>
    </w:p>
    <w:p w14:paraId="01D0B3A2" w14:textId="77777777" w:rsidR="00A71EEF" w:rsidRDefault="00A71EEF">
      <w:pPr>
        <w:pStyle w:val="a3"/>
        <w:rPr>
          <w:sz w:val="20"/>
        </w:rPr>
      </w:pPr>
    </w:p>
    <w:p w14:paraId="3E87F052" w14:textId="77777777" w:rsidR="00A71EEF" w:rsidRDefault="00A71EEF">
      <w:pPr>
        <w:pStyle w:val="a3"/>
        <w:rPr>
          <w:sz w:val="20"/>
        </w:rPr>
      </w:pPr>
    </w:p>
    <w:p w14:paraId="001B428D" w14:textId="77777777" w:rsidR="00A71EEF" w:rsidRDefault="00A71EEF">
      <w:pPr>
        <w:pStyle w:val="a3"/>
        <w:rPr>
          <w:sz w:val="20"/>
        </w:rPr>
      </w:pPr>
    </w:p>
    <w:p w14:paraId="30D4CDA7" w14:textId="77777777" w:rsidR="00A71EEF" w:rsidRDefault="00A71EEF">
      <w:pPr>
        <w:pStyle w:val="a3"/>
        <w:rPr>
          <w:sz w:val="20"/>
        </w:rPr>
      </w:pPr>
    </w:p>
    <w:p w14:paraId="6EE23C82" w14:textId="77777777" w:rsidR="00A71EEF" w:rsidRDefault="00A71EEF">
      <w:pPr>
        <w:pStyle w:val="a3"/>
        <w:rPr>
          <w:sz w:val="20"/>
        </w:rPr>
      </w:pPr>
    </w:p>
    <w:p w14:paraId="78384255" w14:textId="77777777" w:rsidR="00A71EEF" w:rsidRDefault="00A71EEF">
      <w:pPr>
        <w:pStyle w:val="a3"/>
        <w:rPr>
          <w:sz w:val="20"/>
        </w:rPr>
      </w:pPr>
    </w:p>
    <w:p w14:paraId="2155A181" w14:textId="77777777" w:rsidR="00A71EEF" w:rsidRDefault="00A71EEF">
      <w:pPr>
        <w:pStyle w:val="a3"/>
        <w:rPr>
          <w:sz w:val="20"/>
        </w:rPr>
      </w:pPr>
    </w:p>
    <w:p w14:paraId="6D21979E" w14:textId="77777777" w:rsidR="00A71EEF" w:rsidRDefault="0081115D">
      <w:pPr>
        <w:pStyle w:val="a3"/>
        <w:spacing w:before="1"/>
        <w:rPr>
          <w:sz w:val="10"/>
        </w:rPr>
      </w:pPr>
      <w:r>
        <w:rPr>
          <w:noProof/>
        </w:rPr>
        <w:drawing>
          <wp:anchor distT="0" distB="0" distL="0" distR="0" simplePos="0" relativeHeight="251634176" behindDoc="0" locked="0" layoutInCell="1" allowOverlap="1" wp14:anchorId="490CC7E1" wp14:editId="0A5CEA11">
            <wp:simplePos x="0" y="0"/>
            <wp:positionH relativeFrom="page">
              <wp:posOffset>1389380</wp:posOffset>
            </wp:positionH>
            <wp:positionV relativeFrom="paragraph">
              <wp:posOffset>107327</wp:posOffset>
            </wp:positionV>
            <wp:extent cx="4942342" cy="1982628"/>
            <wp:effectExtent l="0" t="0" r="0" b="0"/>
            <wp:wrapTopAndBottom/>
            <wp:docPr id="491" name="image2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image286.jpeg"/>
                    <pic:cNvPicPr/>
                  </pic:nvPicPr>
                  <pic:blipFill>
                    <a:blip r:embed="rId341" cstate="print"/>
                    <a:stretch>
                      <a:fillRect/>
                    </a:stretch>
                  </pic:blipFill>
                  <pic:spPr>
                    <a:xfrm>
                      <a:off x="0" y="0"/>
                      <a:ext cx="4942342" cy="1982628"/>
                    </a:xfrm>
                    <a:prstGeom prst="rect">
                      <a:avLst/>
                    </a:prstGeom>
                  </pic:spPr>
                </pic:pic>
              </a:graphicData>
            </a:graphic>
          </wp:anchor>
        </w:drawing>
      </w:r>
    </w:p>
    <w:p w14:paraId="3CC28CB9" w14:textId="77777777" w:rsidR="00A71EEF" w:rsidRDefault="00A71EEF">
      <w:pPr>
        <w:pStyle w:val="a3"/>
        <w:spacing w:before="3"/>
        <w:rPr>
          <w:sz w:val="8"/>
        </w:rPr>
      </w:pPr>
    </w:p>
    <w:p w14:paraId="0E9D66A8" w14:textId="77777777" w:rsidR="00A71EEF" w:rsidRDefault="0081115D">
      <w:pPr>
        <w:pStyle w:val="a3"/>
        <w:spacing w:before="72" w:line="446" w:lineRule="auto"/>
        <w:ind w:left="418" w:right="1383" w:firstLine="419"/>
      </w:pPr>
      <w:r>
        <w:t>注：表中</w:t>
      </w:r>
      <w:r>
        <w:t xml:space="preserve"> A1</w:t>
      </w:r>
      <w:r>
        <w:t>、</w:t>
      </w:r>
      <w:r>
        <w:t>A2</w:t>
      </w:r>
      <w:r>
        <w:t>、</w:t>
      </w:r>
      <w:r>
        <w:t>B</w:t>
      </w:r>
      <w:r>
        <w:t>、</w:t>
      </w:r>
      <w:r>
        <w:t>C</w:t>
      </w:r>
      <w:r>
        <w:t>、</w:t>
      </w:r>
      <w:r>
        <w:t>D</w:t>
      </w:r>
      <w:r>
        <w:t>、</w:t>
      </w:r>
      <w:r>
        <w:t>E</w:t>
      </w:r>
      <w:r>
        <w:t>、</w:t>
      </w:r>
      <w:r>
        <w:t>F</w:t>
      </w:r>
      <w:r>
        <w:t>、</w:t>
      </w:r>
      <w:r>
        <w:t xml:space="preserve">G </w:t>
      </w:r>
      <w:r>
        <w:t>为点型感温探测器的不同类别，其具体参数应符合本规范附录</w:t>
      </w:r>
      <w:r>
        <w:t xml:space="preserve"> C </w:t>
      </w:r>
      <w:r>
        <w:t>的规定。</w:t>
      </w:r>
      <w:r>
        <w:t xml:space="preserve"> </w:t>
      </w:r>
    </w:p>
    <w:p w14:paraId="4777FF84" w14:textId="77777777" w:rsidR="00A71EEF" w:rsidRDefault="0081115D">
      <w:pPr>
        <w:pStyle w:val="a4"/>
        <w:numPr>
          <w:ilvl w:val="2"/>
          <w:numId w:val="371"/>
        </w:numPr>
        <w:tabs>
          <w:tab w:val="left" w:pos="1370"/>
        </w:tabs>
        <w:spacing w:line="267" w:lineRule="exact"/>
        <w:ind w:hanging="530"/>
        <w:rPr>
          <w:sz w:val="21"/>
        </w:rPr>
      </w:pPr>
      <w:r>
        <w:rPr>
          <w:spacing w:val="-3"/>
          <w:sz w:val="21"/>
        </w:rPr>
        <w:t>下列场所宜选择点型感烟火灾探测器：</w:t>
      </w:r>
      <w:r>
        <w:rPr>
          <w:sz w:val="21"/>
        </w:rPr>
        <w:t xml:space="preserve"> </w:t>
      </w:r>
    </w:p>
    <w:p w14:paraId="6192458A" w14:textId="77777777" w:rsidR="00A71EEF" w:rsidRDefault="00A71EEF">
      <w:pPr>
        <w:pStyle w:val="a3"/>
        <w:spacing w:before="1"/>
        <w:rPr>
          <w:sz w:val="18"/>
        </w:rPr>
      </w:pPr>
    </w:p>
    <w:p w14:paraId="4382B020" w14:textId="77777777" w:rsidR="00A71EEF" w:rsidRDefault="0081115D">
      <w:pPr>
        <w:pStyle w:val="a4"/>
        <w:numPr>
          <w:ilvl w:val="0"/>
          <w:numId w:val="369"/>
        </w:numPr>
        <w:tabs>
          <w:tab w:val="left" w:pos="1367"/>
        </w:tabs>
        <w:rPr>
          <w:sz w:val="21"/>
        </w:rPr>
      </w:pPr>
      <w:r>
        <w:rPr>
          <w:spacing w:val="-3"/>
          <w:sz w:val="21"/>
        </w:rPr>
        <w:t>饭店、旅馆、教学楼、办公楼的厅堂、卧室、办公室、商场、列车载客车厢等。</w:t>
      </w:r>
      <w:r>
        <w:rPr>
          <w:sz w:val="21"/>
        </w:rPr>
        <w:t xml:space="preserve"> </w:t>
      </w:r>
    </w:p>
    <w:p w14:paraId="07AB922C" w14:textId="77777777" w:rsidR="00A71EEF" w:rsidRDefault="00A71EEF">
      <w:pPr>
        <w:pStyle w:val="a3"/>
        <w:rPr>
          <w:sz w:val="18"/>
        </w:rPr>
      </w:pPr>
    </w:p>
    <w:p w14:paraId="5C134D97" w14:textId="77777777" w:rsidR="00A71EEF" w:rsidRDefault="0081115D">
      <w:pPr>
        <w:pStyle w:val="a4"/>
        <w:numPr>
          <w:ilvl w:val="0"/>
          <w:numId w:val="369"/>
        </w:numPr>
        <w:tabs>
          <w:tab w:val="left" w:pos="1367"/>
        </w:tabs>
        <w:rPr>
          <w:sz w:val="21"/>
        </w:rPr>
      </w:pPr>
      <w:r>
        <w:rPr>
          <w:spacing w:val="-3"/>
          <w:sz w:val="21"/>
        </w:rPr>
        <w:t>计算机房、通信机房、电影或电视放映室等。</w:t>
      </w:r>
      <w:r>
        <w:rPr>
          <w:sz w:val="21"/>
        </w:rPr>
        <w:t xml:space="preserve"> </w:t>
      </w:r>
    </w:p>
    <w:p w14:paraId="6B948F1E" w14:textId="77777777" w:rsidR="00A71EEF" w:rsidRDefault="00A71EEF">
      <w:pPr>
        <w:pStyle w:val="a3"/>
        <w:rPr>
          <w:sz w:val="18"/>
        </w:rPr>
      </w:pPr>
    </w:p>
    <w:p w14:paraId="3D435601" w14:textId="77777777" w:rsidR="00A71EEF" w:rsidRDefault="0081115D">
      <w:pPr>
        <w:pStyle w:val="a4"/>
        <w:numPr>
          <w:ilvl w:val="0"/>
          <w:numId w:val="369"/>
        </w:numPr>
        <w:tabs>
          <w:tab w:val="left" w:pos="1367"/>
        </w:tabs>
        <w:rPr>
          <w:sz w:val="21"/>
        </w:rPr>
      </w:pPr>
      <w:r>
        <w:rPr>
          <w:spacing w:val="-3"/>
          <w:sz w:val="21"/>
        </w:rPr>
        <w:t>楼梯、走道、电梯机房、车库等。</w:t>
      </w:r>
      <w:r>
        <w:rPr>
          <w:sz w:val="21"/>
        </w:rPr>
        <w:t xml:space="preserve"> </w:t>
      </w:r>
    </w:p>
    <w:p w14:paraId="5B47319D" w14:textId="77777777" w:rsidR="00A71EEF" w:rsidRDefault="00A71EEF">
      <w:pPr>
        <w:pStyle w:val="a3"/>
        <w:spacing w:before="2"/>
        <w:rPr>
          <w:sz w:val="18"/>
        </w:rPr>
      </w:pPr>
    </w:p>
    <w:p w14:paraId="5547384A" w14:textId="77777777" w:rsidR="00A71EEF" w:rsidRDefault="0081115D">
      <w:pPr>
        <w:pStyle w:val="a4"/>
        <w:numPr>
          <w:ilvl w:val="0"/>
          <w:numId w:val="369"/>
        </w:numPr>
        <w:tabs>
          <w:tab w:val="left" w:pos="1367"/>
          <w:tab w:val="left" w:pos="3358"/>
        </w:tabs>
        <w:rPr>
          <w:sz w:val="21"/>
        </w:rPr>
      </w:pPr>
      <w:r>
        <w:rPr>
          <w:sz w:val="21"/>
        </w:rPr>
        <w:t>书</w:t>
      </w:r>
      <w:r>
        <w:rPr>
          <w:spacing w:val="-3"/>
          <w:sz w:val="21"/>
        </w:rPr>
        <w:t>库</w:t>
      </w:r>
      <w:r>
        <w:rPr>
          <w:sz w:val="21"/>
        </w:rPr>
        <w:t>、</w:t>
      </w:r>
      <w:r>
        <w:rPr>
          <w:spacing w:val="-3"/>
          <w:sz w:val="21"/>
        </w:rPr>
        <w:t>档</w:t>
      </w:r>
      <w:r>
        <w:rPr>
          <w:sz w:val="21"/>
        </w:rPr>
        <w:t>案</w:t>
      </w:r>
      <w:r>
        <w:rPr>
          <w:spacing w:val="-3"/>
          <w:sz w:val="21"/>
        </w:rPr>
        <w:t>库</w:t>
      </w:r>
      <w:r>
        <w:rPr>
          <w:sz w:val="21"/>
        </w:rPr>
        <w:t>等</w:t>
      </w:r>
      <w:r>
        <w:rPr>
          <w:spacing w:val="-3"/>
          <w:sz w:val="21"/>
        </w:rPr>
        <w:t>。</w:t>
      </w:r>
      <w:r>
        <w:rPr>
          <w:sz w:val="21"/>
        </w:rPr>
        <w:t xml:space="preserve"> </w:t>
      </w:r>
      <w:r>
        <w:rPr>
          <w:sz w:val="21"/>
        </w:rPr>
        <w:tab/>
      </w:r>
      <w:r>
        <w:rPr>
          <w:sz w:val="21"/>
        </w:rPr>
        <w:t xml:space="preserve">  </w:t>
      </w:r>
    </w:p>
    <w:p w14:paraId="28474A13" w14:textId="77777777" w:rsidR="00A71EEF" w:rsidRDefault="00A71EEF">
      <w:pPr>
        <w:rPr>
          <w:sz w:val="21"/>
        </w:rPr>
        <w:sectPr w:rsidR="00A71EEF">
          <w:pgSz w:w="11910" w:h="16850"/>
          <w:pgMar w:top="1220" w:right="0" w:bottom="1420" w:left="1260" w:header="0" w:footer="1239" w:gutter="0"/>
          <w:cols w:space="720"/>
        </w:sectPr>
      </w:pPr>
    </w:p>
    <w:p w14:paraId="51F1708D" w14:textId="77777777" w:rsidR="00A71EEF" w:rsidRDefault="0081115D">
      <w:pPr>
        <w:pStyle w:val="a4"/>
        <w:numPr>
          <w:ilvl w:val="2"/>
          <w:numId w:val="371"/>
        </w:numPr>
        <w:tabs>
          <w:tab w:val="left" w:pos="1370"/>
        </w:tabs>
        <w:spacing w:before="47"/>
        <w:ind w:hanging="530"/>
        <w:rPr>
          <w:sz w:val="21"/>
        </w:rPr>
      </w:pPr>
      <w:r>
        <w:rPr>
          <w:spacing w:val="-3"/>
          <w:sz w:val="21"/>
        </w:rPr>
        <w:t>符合下列条件之一的场所，不宜选择点型离子感烟火灾探测器：</w:t>
      </w:r>
      <w:r>
        <w:rPr>
          <w:sz w:val="21"/>
        </w:rPr>
        <w:t xml:space="preserve"> </w:t>
      </w:r>
    </w:p>
    <w:p w14:paraId="3677AD29" w14:textId="77777777" w:rsidR="00A71EEF" w:rsidRDefault="00A71EEF">
      <w:pPr>
        <w:pStyle w:val="a3"/>
        <w:rPr>
          <w:sz w:val="18"/>
        </w:rPr>
      </w:pPr>
    </w:p>
    <w:p w14:paraId="283AD2DD" w14:textId="77777777" w:rsidR="00A71EEF" w:rsidRDefault="0081115D">
      <w:pPr>
        <w:pStyle w:val="a4"/>
        <w:numPr>
          <w:ilvl w:val="0"/>
          <w:numId w:val="368"/>
        </w:numPr>
        <w:tabs>
          <w:tab w:val="left" w:pos="1367"/>
        </w:tabs>
        <w:rPr>
          <w:sz w:val="21"/>
        </w:rPr>
      </w:pPr>
      <w:r>
        <w:rPr>
          <w:spacing w:val="-3"/>
          <w:sz w:val="21"/>
        </w:rPr>
        <w:t>相对湿度度经常大于</w:t>
      </w:r>
      <w:r>
        <w:rPr>
          <w:spacing w:val="-3"/>
          <w:sz w:val="21"/>
        </w:rPr>
        <w:t xml:space="preserve"> </w:t>
      </w:r>
      <w:r>
        <w:rPr>
          <w:sz w:val="21"/>
        </w:rPr>
        <w:t>95%</w:t>
      </w:r>
      <w:r>
        <w:rPr>
          <w:spacing w:val="-3"/>
          <w:sz w:val="21"/>
        </w:rPr>
        <w:t xml:space="preserve"> </w:t>
      </w:r>
      <w:r>
        <w:rPr>
          <w:spacing w:val="-3"/>
          <w:sz w:val="21"/>
        </w:rPr>
        <w:t>。</w:t>
      </w:r>
      <w:r>
        <w:rPr>
          <w:sz w:val="21"/>
        </w:rPr>
        <w:t xml:space="preserve"> </w:t>
      </w:r>
    </w:p>
    <w:p w14:paraId="73B8415F" w14:textId="77777777" w:rsidR="00A71EEF" w:rsidRDefault="00A71EEF">
      <w:pPr>
        <w:pStyle w:val="a3"/>
        <w:rPr>
          <w:sz w:val="18"/>
        </w:rPr>
      </w:pPr>
    </w:p>
    <w:p w14:paraId="7EB0D896" w14:textId="77777777" w:rsidR="00A71EEF" w:rsidRDefault="0081115D">
      <w:pPr>
        <w:pStyle w:val="a4"/>
        <w:numPr>
          <w:ilvl w:val="0"/>
          <w:numId w:val="368"/>
        </w:numPr>
        <w:tabs>
          <w:tab w:val="left" w:pos="1367"/>
        </w:tabs>
        <w:rPr>
          <w:sz w:val="21"/>
        </w:rPr>
      </w:pPr>
      <w:r>
        <w:rPr>
          <w:spacing w:val="-3"/>
          <w:sz w:val="21"/>
        </w:rPr>
        <w:t>气流速度大于</w:t>
      </w:r>
      <w:r>
        <w:rPr>
          <w:spacing w:val="-3"/>
          <w:sz w:val="21"/>
        </w:rPr>
        <w:t xml:space="preserve"> </w:t>
      </w:r>
      <w:r>
        <w:rPr>
          <w:sz w:val="21"/>
        </w:rPr>
        <w:t>5m/s</w:t>
      </w:r>
      <w:r>
        <w:rPr>
          <w:spacing w:val="50"/>
          <w:sz w:val="21"/>
        </w:rPr>
        <w:t xml:space="preserve"> </w:t>
      </w:r>
      <w:r>
        <w:rPr>
          <w:spacing w:val="50"/>
          <w:sz w:val="21"/>
        </w:rPr>
        <w:t>。</w:t>
      </w:r>
      <w:r>
        <w:rPr>
          <w:sz w:val="21"/>
        </w:rPr>
        <w:t xml:space="preserve"> </w:t>
      </w:r>
    </w:p>
    <w:p w14:paraId="6171F517" w14:textId="77777777" w:rsidR="00A71EEF" w:rsidRDefault="00A71EEF">
      <w:pPr>
        <w:pStyle w:val="a3"/>
        <w:spacing w:before="1"/>
        <w:rPr>
          <w:sz w:val="18"/>
        </w:rPr>
      </w:pPr>
    </w:p>
    <w:p w14:paraId="6BD46445" w14:textId="77777777" w:rsidR="00A71EEF" w:rsidRDefault="0081115D">
      <w:pPr>
        <w:pStyle w:val="a4"/>
        <w:numPr>
          <w:ilvl w:val="0"/>
          <w:numId w:val="368"/>
        </w:numPr>
        <w:tabs>
          <w:tab w:val="left" w:pos="1367"/>
        </w:tabs>
        <w:spacing w:before="1"/>
        <w:rPr>
          <w:sz w:val="21"/>
        </w:rPr>
      </w:pPr>
      <w:r>
        <w:rPr>
          <w:spacing w:val="-3"/>
          <w:sz w:val="21"/>
        </w:rPr>
        <w:t>有大量粉尘、水雾滞留。</w:t>
      </w:r>
      <w:r>
        <w:rPr>
          <w:sz w:val="21"/>
        </w:rPr>
        <w:t xml:space="preserve"> </w:t>
      </w:r>
    </w:p>
    <w:p w14:paraId="4E17A101" w14:textId="77777777" w:rsidR="00A71EEF" w:rsidRDefault="00A71EEF">
      <w:pPr>
        <w:pStyle w:val="a3"/>
        <w:spacing w:before="12"/>
        <w:rPr>
          <w:sz w:val="17"/>
        </w:rPr>
      </w:pPr>
    </w:p>
    <w:p w14:paraId="7B88799A" w14:textId="77777777" w:rsidR="00A71EEF" w:rsidRDefault="0081115D">
      <w:pPr>
        <w:pStyle w:val="a4"/>
        <w:numPr>
          <w:ilvl w:val="0"/>
          <w:numId w:val="368"/>
        </w:numPr>
        <w:tabs>
          <w:tab w:val="left" w:pos="1367"/>
        </w:tabs>
        <w:rPr>
          <w:sz w:val="21"/>
        </w:rPr>
      </w:pPr>
      <w:r>
        <w:rPr>
          <w:spacing w:val="-3"/>
          <w:sz w:val="21"/>
        </w:rPr>
        <w:t>可能产生腐蚀性气体。</w:t>
      </w:r>
      <w:r>
        <w:rPr>
          <w:spacing w:val="-3"/>
          <w:sz w:val="21"/>
        </w:rPr>
        <w:t xml:space="preserve"> </w:t>
      </w:r>
    </w:p>
    <w:p w14:paraId="3DAE0BC5" w14:textId="77777777" w:rsidR="00A71EEF" w:rsidRDefault="00A71EEF">
      <w:pPr>
        <w:pStyle w:val="a3"/>
        <w:spacing w:before="12"/>
        <w:rPr>
          <w:sz w:val="17"/>
        </w:rPr>
      </w:pPr>
    </w:p>
    <w:p w14:paraId="59066419" w14:textId="77777777" w:rsidR="00A71EEF" w:rsidRDefault="0081115D">
      <w:pPr>
        <w:pStyle w:val="a4"/>
        <w:numPr>
          <w:ilvl w:val="0"/>
          <w:numId w:val="368"/>
        </w:numPr>
        <w:tabs>
          <w:tab w:val="left" w:pos="1367"/>
        </w:tabs>
        <w:rPr>
          <w:sz w:val="21"/>
        </w:rPr>
      </w:pPr>
      <w:r>
        <w:rPr>
          <w:spacing w:val="-3"/>
          <w:sz w:val="21"/>
        </w:rPr>
        <w:t>在正常情况下有烟滞留。</w:t>
      </w:r>
      <w:r>
        <w:rPr>
          <w:sz w:val="21"/>
        </w:rPr>
        <w:t xml:space="preserve"> </w:t>
      </w:r>
    </w:p>
    <w:p w14:paraId="653B039F" w14:textId="77777777" w:rsidR="00A71EEF" w:rsidRDefault="00A71EEF">
      <w:pPr>
        <w:pStyle w:val="a3"/>
        <w:spacing w:before="2"/>
        <w:rPr>
          <w:sz w:val="18"/>
        </w:rPr>
      </w:pPr>
    </w:p>
    <w:p w14:paraId="2406E439" w14:textId="77777777" w:rsidR="00A71EEF" w:rsidRDefault="0081115D">
      <w:pPr>
        <w:pStyle w:val="a4"/>
        <w:numPr>
          <w:ilvl w:val="0"/>
          <w:numId w:val="368"/>
        </w:numPr>
        <w:tabs>
          <w:tab w:val="left" w:pos="1367"/>
          <w:tab w:val="left" w:pos="5038"/>
        </w:tabs>
        <w:rPr>
          <w:sz w:val="21"/>
        </w:rPr>
      </w:pPr>
      <w:r>
        <w:rPr>
          <w:sz w:val="21"/>
        </w:rPr>
        <w:t>产</w:t>
      </w:r>
      <w:r>
        <w:rPr>
          <w:spacing w:val="-3"/>
          <w:sz w:val="21"/>
        </w:rPr>
        <w:t>生</w:t>
      </w:r>
      <w:r>
        <w:rPr>
          <w:sz w:val="21"/>
        </w:rPr>
        <w:t>醇</w:t>
      </w:r>
      <w:r>
        <w:rPr>
          <w:spacing w:val="-3"/>
          <w:sz w:val="21"/>
        </w:rPr>
        <w:t>类</w:t>
      </w:r>
      <w:r>
        <w:rPr>
          <w:sz w:val="21"/>
        </w:rPr>
        <w:t>、</w:t>
      </w:r>
      <w:r>
        <w:rPr>
          <w:spacing w:val="-3"/>
          <w:sz w:val="21"/>
        </w:rPr>
        <w:t>醚</w:t>
      </w:r>
      <w:r>
        <w:rPr>
          <w:sz w:val="21"/>
        </w:rPr>
        <w:t>类</w:t>
      </w:r>
      <w:r>
        <w:rPr>
          <w:spacing w:val="-3"/>
          <w:sz w:val="21"/>
        </w:rPr>
        <w:t>、酮</w:t>
      </w:r>
      <w:r>
        <w:rPr>
          <w:sz w:val="21"/>
        </w:rPr>
        <w:t>类等</w:t>
      </w:r>
      <w:r>
        <w:rPr>
          <w:spacing w:val="-3"/>
          <w:sz w:val="21"/>
        </w:rPr>
        <w:t>有</w:t>
      </w:r>
      <w:r>
        <w:rPr>
          <w:sz w:val="21"/>
        </w:rPr>
        <w:t>机</w:t>
      </w:r>
      <w:r>
        <w:rPr>
          <w:spacing w:val="-3"/>
          <w:sz w:val="21"/>
        </w:rPr>
        <w:t>物</w:t>
      </w:r>
      <w:r>
        <w:rPr>
          <w:sz w:val="21"/>
        </w:rPr>
        <w:t>质</w:t>
      </w:r>
      <w:r>
        <w:rPr>
          <w:spacing w:val="-3"/>
          <w:sz w:val="21"/>
        </w:rPr>
        <w:t>。</w:t>
      </w:r>
      <w:r>
        <w:rPr>
          <w:sz w:val="21"/>
        </w:rPr>
        <w:t xml:space="preserve"> </w:t>
      </w:r>
      <w:r>
        <w:rPr>
          <w:sz w:val="21"/>
        </w:rPr>
        <w:tab/>
      </w:r>
      <w:r>
        <w:rPr>
          <w:sz w:val="21"/>
        </w:rPr>
        <w:t xml:space="preserve">  </w:t>
      </w:r>
    </w:p>
    <w:p w14:paraId="376E230B" w14:textId="77777777" w:rsidR="00A71EEF" w:rsidRDefault="00A71EEF">
      <w:pPr>
        <w:pStyle w:val="a3"/>
        <w:rPr>
          <w:sz w:val="18"/>
        </w:rPr>
      </w:pPr>
    </w:p>
    <w:p w14:paraId="174329A7" w14:textId="77777777" w:rsidR="00A71EEF" w:rsidRDefault="0081115D">
      <w:pPr>
        <w:pStyle w:val="a4"/>
        <w:numPr>
          <w:ilvl w:val="2"/>
          <w:numId w:val="371"/>
        </w:numPr>
        <w:tabs>
          <w:tab w:val="left" w:pos="1370"/>
        </w:tabs>
        <w:ind w:hanging="530"/>
        <w:rPr>
          <w:sz w:val="21"/>
        </w:rPr>
      </w:pPr>
      <w:r>
        <w:rPr>
          <w:spacing w:val="-3"/>
          <w:sz w:val="21"/>
        </w:rPr>
        <w:t>符合下列条件之一的场所，不宜选择点型光电感烟火灾探测器：</w:t>
      </w:r>
      <w:r>
        <w:rPr>
          <w:sz w:val="21"/>
        </w:rPr>
        <w:t xml:space="preserve"> </w:t>
      </w:r>
    </w:p>
    <w:p w14:paraId="06A1982E" w14:textId="77777777" w:rsidR="00A71EEF" w:rsidRDefault="00A71EEF">
      <w:pPr>
        <w:pStyle w:val="a3"/>
        <w:rPr>
          <w:sz w:val="18"/>
        </w:rPr>
      </w:pPr>
    </w:p>
    <w:p w14:paraId="0057CC25" w14:textId="77777777" w:rsidR="00A71EEF" w:rsidRDefault="0081115D">
      <w:pPr>
        <w:pStyle w:val="a4"/>
        <w:numPr>
          <w:ilvl w:val="0"/>
          <w:numId w:val="367"/>
        </w:numPr>
        <w:tabs>
          <w:tab w:val="left" w:pos="1367"/>
        </w:tabs>
        <w:rPr>
          <w:sz w:val="21"/>
        </w:rPr>
      </w:pPr>
      <w:r>
        <w:rPr>
          <w:spacing w:val="-3"/>
          <w:sz w:val="21"/>
        </w:rPr>
        <w:t>有大量粉尘、水雾滞留。</w:t>
      </w:r>
      <w:r>
        <w:rPr>
          <w:sz w:val="21"/>
        </w:rPr>
        <w:t xml:space="preserve"> </w:t>
      </w:r>
    </w:p>
    <w:p w14:paraId="433F5A18" w14:textId="77777777" w:rsidR="00A71EEF" w:rsidRDefault="00A71EEF">
      <w:pPr>
        <w:pStyle w:val="a3"/>
        <w:spacing w:before="2"/>
        <w:rPr>
          <w:sz w:val="18"/>
        </w:rPr>
      </w:pPr>
    </w:p>
    <w:p w14:paraId="70701C77" w14:textId="77777777" w:rsidR="00A71EEF" w:rsidRDefault="0081115D">
      <w:pPr>
        <w:pStyle w:val="a4"/>
        <w:numPr>
          <w:ilvl w:val="0"/>
          <w:numId w:val="367"/>
        </w:numPr>
        <w:tabs>
          <w:tab w:val="left" w:pos="1367"/>
        </w:tabs>
        <w:rPr>
          <w:sz w:val="21"/>
        </w:rPr>
      </w:pPr>
      <w:r>
        <w:rPr>
          <w:spacing w:val="-3"/>
          <w:sz w:val="21"/>
        </w:rPr>
        <w:t>可能产生蒸气和油雾。</w:t>
      </w:r>
      <w:r>
        <w:rPr>
          <w:spacing w:val="-3"/>
          <w:sz w:val="21"/>
        </w:rPr>
        <w:t xml:space="preserve"> </w:t>
      </w:r>
    </w:p>
    <w:p w14:paraId="1800EFFA" w14:textId="77777777" w:rsidR="00A71EEF" w:rsidRDefault="00A71EEF">
      <w:pPr>
        <w:pStyle w:val="a3"/>
        <w:spacing w:before="12"/>
        <w:rPr>
          <w:sz w:val="17"/>
        </w:rPr>
      </w:pPr>
    </w:p>
    <w:p w14:paraId="77030F47" w14:textId="77777777" w:rsidR="00A71EEF" w:rsidRDefault="0081115D">
      <w:pPr>
        <w:pStyle w:val="a4"/>
        <w:numPr>
          <w:ilvl w:val="0"/>
          <w:numId w:val="367"/>
        </w:numPr>
        <w:tabs>
          <w:tab w:val="left" w:pos="1367"/>
        </w:tabs>
        <w:rPr>
          <w:sz w:val="21"/>
        </w:rPr>
      </w:pPr>
      <w:r>
        <w:rPr>
          <w:spacing w:val="-3"/>
          <w:sz w:val="21"/>
        </w:rPr>
        <w:t>高海拔地区。</w:t>
      </w:r>
      <w:r>
        <w:rPr>
          <w:sz w:val="21"/>
        </w:rPr>
        <w:t xml:space="preserve"> </w:t>
      </w:r>
    </w:p>
    <w:p w14:paraId="4B6DFF3E" w14:textId="77777777" w:rsidR="00A71EEF" w:rsidRDefault="00A71EEF">
      <w:pPr>
        <w:pStyle w:val="a3"/>
        <w:spacing w:before="12"/>
        <w:rPr>
          <w:sz w:val="17"/>
        </w:rPr>
      </w:pPr>
    </w:p>
    <w:p w14:paraId="55E5CF74" w14:textId="77777777" w:rsidR="00A71EEF" w:rsidRDefault="0081115D">
      <w:pPr>
        <w:pStyle w:val="a4"/>
        <w:numPr>
          <w:ilvl w:val="0"/>
          <w:numId w:val="367"/>
        </w:numPr>
        <w:tabs>
          <w:tab w:val="left" w:pos="1367"/>
        </w:tabs>
        <w:rPr>
          <w:sz w:val="21"/>
        </w:rPr>
      </w:pPr>
      <w:r>
        <w:rPr>
          <w:spacing w:val="-3"/>
          <w:sz w:val="21"/>
        </w:rPr>
        <w:t>在正常情况下有烟滞留。</w:t>
      </w:r>
      <w:r>
        <w:rPr>
          <w:sz w:val="21"/>
        </w:rPr>
        <w:t xml:space="preserve">   </w:t>
      </w:r>
    </w:p>
    <w:p w14:paraId="6C547E7D" w14:textId="77777777" w:rsidR="00A71EEF" w:rsidRDefault="00A71EEF">
      <w:pPr>
        <w:pStyle w:val="a3"/>
        <w:spacing w:before="2"/>
        <w:rPr>
          <w:sz w:val="18"/>
        </w:rPr>
      </w:pPr>
    </w:p>
    <w:p w14:paraId="00856A17" w14:textId="77777777" w:rsidR="00A71EEF" w:rsidRDefault="0081115D">
      <w:pPr>
        <w:pStyle w:val="a4"/>
        <w:numPr>
          <w:ilvl w:val="2"/>
          <w:numId w:val="371"/>
        </w:numPr>
        <w:tabs>
          <w:tab w:val="left" w:pos="1370"/>
        </w:tabs>
        <w:spacing w:line="446" w:lineRule="auto"/>
        <w:ind w:left="418" w:right="1431" w:firstLine="422"/>
        <w:rPr>
          <w:sz w:val="21"/>
        </w:rPr>
      </w:pPr>
      <w:r>
        <w:rPr>
          <w:spacing w:val="-6"/>
          <w:sz w:val="21"/>
        </w:rPr>
        <w:t>符合下列条件之一的场所，宜选择点型感温火灾探测器；且应根据使用场所的典型应</w:t>
      </w:r>
      <w:r>
        <w:rPr>
          <w:spacing w:val="-4"/>
          <w:sz w:val="21"/>
        </w:rPr>
        <w:t>用温度和</w:t>
      </w:r>
      <w:r>
        <w:rPr>
          <w:spacing w:val="-4"/>
          <w:sz w:val="21"/>
        </w:rPr>
        <w:t xml:space="preserve"> </w:t>
      </w:r>
      <w:r>
        <w:rPr>
          <w:spacing w:val="-4"/>
          <w:sz w:val="21"/>
        </w:rPr>
        <w:t>最高应用温度选择适当类别的感温火灾探测器：</w:t>
      </w:r>
      <w:r>
        <w:rPr>
          <w:sz w:val="21"/>
        </w:rPr>
        <w:t xml:space="preserve"> </w:t>
      </w:r>
    </w:p>
    <w:p w14:paraId="19439E65" w14:textId="77777777" w:rsidR="00A71EEF" w:rsidRDefault="0081115D">
      <w:pPr>
        <w:pStyle w:val="a4"/>
        <w:numPr>
          <w:ilvl w:val="0"/>
          <w:numId w:val="366"/>
        </w:numPr>
        <w:tabs>
          <w:tab w:val="left" w:pos="1367"/>
        </w:tabs>
        <w:spacing w:line="267" w:lineRule="exact"/>
        <w:rPr>
          <w:sz w:val="21"/>
        </w:rPr>
      </w:pPr>
      <w:r>
        <w:rPr>
          <w:spacing w:val="-3"/>
          <w:sz w:val="21"/>
        </w:rPr>
        <w:t>相对湿度经常大于</w:t>
      </w:r>
      <w:r>
        <w:rPr>
          <w:spacing w:val="-3"/>
          <w:sz w:val="21"/>
        </w:rPr>
        <w:t xml:space="preserve"> </w:t>
      </w:r>
      <w:r>
        <w:rPr>
          <w:sz w:val="21"/>
        </w:rPr>
        <w:t xml:space="preserve">95% </w:t>
      </w:r>
      <w:r>
        <w:rPr>
          <w:sz w:val="21"/>
        </w:rPr>
        <w:t>。</w:t>
      </w:r>
      <w:r>
        <w:rPr>
          <w:sz w:val="21"/>
        </w:rPr>
        <w:t xml:space="preserve"> </w:t>
      </w:r>
    </w:p>
    <w:p w14:paraId="52203859" w14:textId="77777777" w:rsidR="00A71EEF" w:rsidRDefault="00A71EEF">
      <w:pPr>
        <w:pStyle w:val="a3"/>
        <w:spacing w:before="2"/>
        <w:rPr>
          <w:sz w:val="18"/>
        </w:rPr>
      </w:pPr>
    </w:p>
    <w:p w14:paraId="391E8164" w14:textId="77777777" w:rsidR="00A71EEF" w:rsidRDefault="0081115D">
      <w:pPr>
        <w:pStyle w:val="a4"/>
        <w:numPr>
          <w:ilvl w:val="0"/>
          <w:numId w:val="366"/>
        </w:numPr>
        <w:tabs>
          <w:tab w:val="left" w:pos="1367"/>
        </w:tabs>
        <w:rPr>
          <w:sz w:val="21"/>
        </w:rPr>
      </w:pPr>
      <w:r>
        <w:rPr>
          <w:spacing w:val="-3"/>
          <w:sz w:val="21"/>
        </w:rPr>
        <w:t>可能发生无烟火灾。</w:t>
      </w:r>
      <w:r>
        <w:rPr>
          <w:sz w:val="21"/>
        </w:rPr>
        <w:t xml:space="preserve"> </w:t>
      </w:r>
    </w:p>
    <w:p w14:paraId="6256AD65" w14:textId="77777777" w:rsidR="00A71EEF" w:rsidRDefault="00A71EEF">
      <w:pPr>
        <w:pStyle w:val="a3"/>
        <w:rPr>
          <w:sz w:val="18"/>
        </w:rPr>
      </w:pPr>
    </w:p>
    <w:p w14:paraId="3246F441" w14:textId="77777777" w:rsidR="00A71EEF" w:rsidRDefault="0081115D">
      <w:pPr>
        <w:pStyle w:val="a4"/>
        <w:numPr>
          <w:ilvl w:val="0"/>
          <w:numId w:val="366"/>
        </w:numPr>
        <w:tabs>
          <w:tab w:val="left" w:pos="1367"/>
        </w:tabs>
        <w:rPr>
          <w:sz w:val="21"/>
        </w:rPr>
      </w:pPr>
      <w:r>
        <w:rPr>
          <w:spacing w:val="-3"/>
          <w:sz w:val="21"/>
        </w:rPr>
        <w:t>有大量粉尘。</w:t>
      </w:r>
      <w:r>
        <w:rPr>
          <w:sz w:val="21"/>
        </w:rPr>
        <w:t xml:space="preserve"> </w:t>
      </w:r>
    </w:p>
    <w:p w14:paraId="67151F0D" w14:textId="77777777" w:rsidR="00A71EEF" w:rsidRDefault="00A71EEF">
      <w:pPr>
        <w:pStyle w:val="a3"/>
        <w:spacing w:before="12"/>
        <w:rPr>
          <w:sz w:val="17"/>
        </w:rPr>
      </w:pPr>
    </w:p>
    <w:p w14:paraId="305533D4" w14:textId="77777777" w:rsidR="00A71EEF" w:rsidRDefault="0081115D">
      <w:pPr>
        <w:pStyle w:val="a4"/>
        <w:numPr>
          <w:ilvl w:val="0"/>
          <w:numId w:val="366"/>
        </w:numPr>
        <w:tabs>
          <w:tab w:val="left" w:pos="1367"/>
        </w:tabs>
        <w:rPr>
          <w:sz w:val="21"/>
        </w:rPr>
      </w:pPr>
      <w:r>
        <w:rPr>
          <w:spacing w:val="-3"/>
          <w:sz w:val="21"/>
        </w:rPr>
        <w:t>吸烟室等在正常情况下有烟或蒸气滞留的场所。</w:t>
      </w:r>
      <w:r>
        <w:rPr>
          <w:spacing w:val="-3"/>
          <w:sz w:val="21"/>
        </w:rPr>
        <w:t xml:space="preserve"> </w:t>
      </w:r>
    </w:p>
    <w:p w14:paraId="4FB21A64" w14:textId="77777777" w:rsidR="00A71EEF" w:rsidRDefault="00A71EEF">
      <w:pPr>
        <w:pStyle w:val="a3"/>
        <w:spacing w:before="2"/>
        <w:rPr>
          <w:sz w:val="18"/>
        </w:rPr>
      </w:pPr>
    </w:p>
    <w:p w14:paraId="7EAB4804" w14:textId="77777777" w:rsidR="00A71EEF" w:rsidRDefault="0081115D">
      <w:pPr>
        <w:pStyle w:val="a4"/>
        <w:numPr>
          <w:ilvl w:val="0"/>
          <w:numId w:val="366"/>
        </w:numPr>
        <w:tabs>
          <w:tab w:val="left" w:pos="1367"/>
        </w:tabs>
        <w:rPr>
          <w:sz w:val="21"/>
        </w:rPr>
      </w:pPr>
      <w:r>
        <w:rPr>
          <w:spacing w:val="-3"/>
          <w:sz w:val="21"/>
        </w:rPr>
        <w:t>厨房、锅炉房、发电机房、烘干车间等不宜安装感烟火灾探测器的场所。</w:t>
      </w:r>
      <w:r>
        <w:rPr>
          <w:spacing w:val="-3"/>
          <w:sz w:val="21"/>
        </w:rPr>
        <w:t xml:space="preserve"> </w:t>
      </w:r>
    </w:p>
    <w:p w14:paraId="0BF6AB8E" w14:textId="77777777" w:rsidR="00A71EEF" w:rsidRDefault="00A71EEF">
      <w:pPr>
        <w:pStyle w:val="a3"/>
        <w:rPr>
          <w:sz w:val="18"/>
        </w:rPr>
      </w:pPr>
    </w:p>
    <w:p w14:paraId="112021DB" w14:textId="77777777" w:rsidR="00A71EEF" w:rsidRDefault="0081115D">
      <w:pPr>
        <w:pStyle w:val="a4"/>
        <w:numPr>
          <w:ilvl w:val="0"/>
          <w:numId w:val="366"/>
        </w:numPr>
        <w:tabs>
          <w:tab w:val="left" w:pos="1367"/>
        </w:tabs>
        <w:rPr>
          <w:sz w:val="21"/>
        </w:rPr>
      </w:pPr>
      <w:r>
        <w:rPr>
          <w:spacing w:val="-3"/>
          <w:sz w:val="21"/>
        </w:rPr>
        <w:t>需要联动熄灭</w:t>
      </w:r>
      <w:r>
        <w:rPr>
          <w:spacing w:val="-3"/>
          <w:sz w:val="21"/>
        </w:rPr>
        <w:t>―</w:t>
      </w:r>
      <w:r>
        <w:rPr>
          <w:spacing w:val="-3"/>
          <w:sz w:val="21"/>
        </w:rPr>
        <w:t>安全出口</w:t>
      </w:r>
      <w:r>
        <w:rPr>
          <w:spacing w:val="-3"/>
          <w:sz w:val="21"/>
        </w:rPr>
        <w:t>‖</w:t>
      </w:r>
      <w:r>
        <w:rPr>
          <w:spacing w:val="-3"/>
          <w:sz w:val="21"/>
        </w:rPr>
        <w:t>标志灯的安全出口内侧。</w:t>
      </w:r>
      <w:r>
        <w:rPr>
          <w:sz w:val="21"/>
        </w:rPr>
        <w:t xml:space="preserve"> </w:t>
      </w:r>
    </w:p>
    <w:p w14:paraId="18BF9C0A" w14:textId="77777777" w:rsidR="00A71EEF" w:rsidRDefault="00A71EEF">
      <w:pPr>
        <w:pStyle w:val="a3"/>
        <w:spacing w:before="12"/>
        <w:rPr>
          <w:sz w:val="17"/>
        </w:rPr>
      </w:pPr>
    </w:p>
    <w:p w14:paraId="09D1D812" w14:textId="77777777" w:rsidR="00A71EEF" w:rsidRDefault="0081115D">
      <w:pPr>
        <w:pStyle w:val="a4"/>
        <w:numPr>
          <w:ilvl w:val="0"/>
          <w:numId w:val="366"/>
        </w:numPr>
        <w:tabs>
          <w:tab w:val="left" w:pos="1367"/>
        </w:tabs>
        <w:rPr>
          <w:sz w:val="21"/>
        </w:rPr>
      </w:pPr>
      <w:r>
        <w:rPr>
          <w:spacing w:val="-3"/>
          <w:sz w:val="21"/>
        </w:rPr>
        <w:t>其他无人滞留且不适合安装感烟火灾探测器，但发生火灾时需要及时报警的场所。</w:t>
      </w:r>
      <w:r>
        <w:rPr>
          <w:sz w:val="21"/>
        </w:rPr>
        <w:t xml:space="preserve"> </w:t>
      </w:r>
      <w:r>
        <w:rPr>
          <w:spacing w:val="-3"/>
          <w:sz w:val="21"/>
        </w:rPr>
        <w:t xml:space="preserve"> </w:t>
      </w:r>
      <w:r>
        <w:rPr>
          <w:sz w:val="21"/>
        </w:rPr>
        <w:t xml:space="preserve"> </w:t>
      </w:r>
    </w:p>
    <w:p w14:paraId="525AD300" w14:textId="77777777" w:rsidR="00A71EEF" w:rsidRDefault="00A71EEF">
      <w:pPr>
        <w:pStyle w:val="a3"/>
        <w:spacing w:before="2"/>
        <w:rPr>
          <w:sz w:val="18"/>
        </w:rPr>
      </w:pPr>
    </w:p>
    <w:p w14:paraId="015D8424" w14:textId="77777777" w:rsidR="00A71EEF" w:rsidRDefault="0081115D">
      <w:pPr>
        <w:pStyle w:val="a4"/>
        <w:numPr>
          <w:ilvl w:val="2"/>
          <w:numId w:val="371"/>
        </w:numPr>
        <w:tabs>
          <w:tab w:val="left" w:pos="1438"/>
        </w:tabs>
        <w:spacing w:line="446" w:lineRule="auto"/>
        <w:ind w:left="418" w:right="1431" w:firstLine="422"/>
        <w:jc w:val="both"/>
        <w:rPr>
          <w:sz w:val="21"/>
        </w:rPr>
      </w:pPr>
      <w:r>
        <w:rPr>
          <w:spacing w:val="-3"/>
          <w:sz w:val="21"/>
        </w:rPr>
        <w:t>可能产生阴燃火或发生火灾不及时报警将造成重大损失的场所，不宜选择点型感温火</w:t>
      </w:r>
      <w:r>
        <w:rPr>
          <w:spacing w:val="-2"/>
          <w:sz w:val="21"/>
        </w:rPr>
        <w:t>灾探测</w:t>
      </w:r>
      <w:r>
        <w:rPr>
          <w:spacing w:val="-2"/>
          <w:sz w:val="21"/>
        </w:rPr>
        <w:t xml:space="preserve"> </w:t>
      </w:r>
      <w:r>
        <w:rPr>
          <w:spacing w:val="-2"/>
          <w:sz w:val="21"/>
        </w:rPr>
        <w:t>器；温度在</w:t>
      </w:r>
      <w:r>
        <w:rPr>
          <w:spacing w:val="-2"/>
          <w:sz w:val="21"/>
        </w:rPr>
        <w:t xml:space="preserve"> </w:t>
      </w:r>
      <w:r>
        <w:rPr>
          <w:sz w:val="21"/>
        </w:rPr>
        <w:t>0</w:t>
      </w:r>
      <w:r>
        <w:rPr>
          <w:spacing w:val="-5"/>
          <w:sz w:val="21"/>
        </w:rPr>
        <w:t xml:space="preserve">℃ </w:t>
      </w:r>
      <w:r>
        <w:rPr>
          <w:spacing w:val="-5"/>
          <w:sz w:val="21"/>
        </w:rPr>
        <w:t>以下的场所，不宜选择定温探测器；温度变化较大的场所，不宜选择具</w:t>
      </w:r>
      <w:r>
        <w:rPr>
          <w:spacing w:val="-4"/>
          <w:sz w:val="21"/>
        </w:rPr>
        <w:t>有差温特性的探测器。</w:t>
      </w:r>
      <w:r>
        <w:rPr>
          <w:sz w:val="21"/>
        </w:rPr>
        <w:t xml:space="preserve">    </w:t>
      </w:r>
      <w:r>
        <w:rPr>
          <w:sz w:val="21"/>
        </w:rPr>
        <w:t xml:space="preserve">  </w:t>
      </w:r>
    </w:p>
    <w:p w14:paraId="7BA30415" w14:textId="77777777" w:rsidR="00A71EEF" w:rsidRDefault="0081115D">
      <w:pPr>
        <w:pStyle w:val="a4"/>
        <w:numPr>
          <w:ilvl w:val="2"/>
          <w:numId w:val="371"/>
        </w:numPr>
        <w:tabs>
          <w:tab w:val="left" w:pos="1370"/>
        </w:tabs>
        <w:spacing w:line="268" w:lineRule="exact"/>
        <w:ind w:hanging="530"/>
        <w:rPr>
          <w:sz w:val="21"/>
        </w:rPr>
      </w:pPr>
      <w:r>
        <w:rPr>
          <w:spacing w:val="-3"/>
          <w:sz w:val="21"/>
        </w:rPr>
        <w:t>符合下列条件之一的场所，宜选择点型火焰探测器或图像型火焰探测器：</w:t>
      </w:r>
      <w:r>
        <w:rPr>
          <w:spacing w:val="-3"/>
          <w:sz w:val="21"/>
        </w:rPr>
        <w:t xml:space="preserve"> </w:t>
      </w:r>
    </w:p>
    <w:p w14:paraId="37E0A3E0" w14:textId="77777777" w:rsidR="00A71EEF" w:rsidRDefault="00A71EEF">
      <w:pPr>
        <w:pStyle w:val="a3"/>
        <w:rPr>
          <w:sz w:val="18"/>
        </w:rPr>
      </w:pPr>
    </w:p>
    <w:p w14:paraId="3FFB8C56" w14:textId="77777777" w:rsidR="00A71EEF" w:rsidRDefault="0081115D">
      <w:pPr>
        <w:pStyle w:val="a4"/>
        <w:numPr>
          <w:ilvl w:val="0"/>
          <w:numId w:val="365"/>
        </w:numPr>
        <w:tabs>
          <w:tab w:val="left" w:pos="1367"/>
        </w:tabs>
        <w:rPr>
          <w:b/>
          <w:sz w:val="21"/>
        </w:rPr>
      </w:pPr>
      <w:r>
        <w:rPr>
          <w:spacing w:val="-3"/>
          <w:sz w:val="21"/>
        </w:rPr>
        <w:t>火灾时有强烈的火焰辐射。</w:t>
      </w:r>
      <w:r>
        <w:rPr>
          <w:b/>
          <w:w w:val="99"/>
          <w:sz w:val="21"/>
        </w:rPr>
        <w:t xml:space="preserve"> </w:t>
      </w:r>
    </w:p>
    <w:p w14:paraId="30438F6B" w14:textId="77777777" w:rsidR="00A71EEF" w:rsidRDefault="00A71EEF">
      <w:pPr>
        <w:pStyle w:val="a3"/>
        <w:rPr>
          <w:b/>
          <w:sz w:val="18"/>
        </w:rPr>
      </w:pPr>
    </w:p>
    <w:p w14:paraId="2AE1BCFC" w14:textId="77777777" w:rsidR="00A71EEF" w:rsidRDefault="0081115D">
      <w:pPr>
        <w:pStyle w:val="a4"/>
        <w:numPr>
          <w:ilvl w:val="0"/>
          <w:numId w:val="365"/>
        </w:numPr>
        <w:tabs>
          <w:tab w:val="left" w:pos="1367"/>
        </w:tabs>
        <w:rPr>
          <w:b/>
          <w:sz w:val="21"/>
        </w:rPr>
      </w:pPr>
      <w:r>
        <w:rPr>
          <w:spacing w:val="-3"/>
          <w:sz w:val="21"/>
        </w:rPr>
        <w:t>可能发生液体燃烧等无阴燃阶段的火灾。</w:t>
      </w:r>
      <w:r>
        <w:rPr>
          <w:b/>
          <w:w w:val="99"/>
          <w:sz w:val="21"/>
        </w:rPr>
        <w:t xml:space="preserve"> </w:t>
      </w:r>
    </w:p>
    <w:p w14:paraId="311BE378" w14:textId="77777777" w:rsidR="00A71EEF" w:rsidRDefault="00A71EEF">
      <w:pPr>
        <w:pStyle w:val="a3"/>
        <w:spacing w:before="1"/>
        <w:rPr>
          <w:b/>
          <w:sz w:val="18"/>
        </w:rPr>
      </w:pPr>
    </w:p>
    <w:p w14:paraId="15F236DB" w14:textId="77777777" w:rsidR="00A71EEF" w:rsidRDefault="0081115D">
      <w:pPr>
        <w:pStyle w:val="a4"/>
        <w:numPr>
          <w:ilvl w:val="0"/>
          <w:numId w:val="365"/>
        </w:numPr>
        <w:tabs>
          <w:tab w:val="left" w:pos="1367"/>
          <w:tab w:val="left" w:pos="4198"/>
        </w:tabs>
        <w:spacing w:before="1"/>
        <w:rPr>
          <w:b/>
          <w:sz w:val="21"/>
        </w:rPr>
      </w:pPr>
      <w:r>
        <w:rPr>
          <w:sz w:val="21"/>
        </w:rPr>
        <w:t>需</w:t>
      </w:r>
      <w:r>
        <w:rPr>
          <w:spacing w:val="-3"/>
          <w:sz w:val="21"/>
        </w:rPr>
        <w:t>要</w:t>
      </w:r>
      <w:r>
        <w:rPr>
          <w:sz w:val="21"/>
        </w:rPr>
        <w:t>对</w:t>
      </w:r>
      <w:r>
        <w:rPr>
          <w:spacing w:val="-3"/>
          <w:sz w:val="21"/>
        </w:rPr>
        <w:t>火</w:t>
      </w:r>
      <w:r>
        <w:rPr>
          <w:sz w:val="21"/>
        </w:rPr>
        <w:t>焰</w:t>
      </w:r>
      <w:r>
        <w:rPr>
          <w:spacing w:val="-3"/>
          <w:sz w:val="21"/>
        </w:rPr>
        <w:t>做</w:t>
      </w:r>
      <w:r>
        <w:rPr>
          <w:sz w:val="21"/>
        </w:rPr>
        <w:t>出</w:t>
      </w:r>
      <w:r>
        <w:rPr>
          <w:spacing w:val="-3"/>
          <w:sz w:val="21"/>
        </w:rPr>
        <w:t>快速</w:t>
      </w:r>
      <w:r>
        <w:rPr>
          <w:sz w:val="21"/>
        </w:rPr>
        <w:t>反应</w:t>
      </w:r>
      <w:r>
        <w:rPr>
          <w:spacing w:val="-3"/>
          <w:sz w:val="21"/>
        </w:rPr>
        <w:t>。</w:t>
      </w:r>
      <w:r>
        <w:rPr>
          <w:b/>
          <w:w w:val="99"/>
          <w:sz w:val="21"/>
        </w:rPr>
        <w:t xml:space="preserve"> </w:t>
      </w:r>
      <w:r>
        <w:rPr>
          <w:b/>
          <w:sz w:val="21"/>
        </w:rPr>
        <w:tab/>
      </w:r>
      <w:r>
        <w:rPr>
          <w:b/>
          <w:w w:val="99"/>
          <w:sz w:val="21"/>
        </w:rPr>
        <w:t xml:space="preserve">  </w:t>
      </w:r>
    </w:p>
    <w:p w14:paraId="082F353F" w14:textId="77777777" w:rsidR="00A71EEF" w:rsidRDefault="00A71EEF">
      <w:pPr>
        <w:rPr>
          <w:sz w:val="21"/>
        </w:rPr>
        <w:sectPr w:rsidR="00A71EEF">
          <w:pgSz w:w="11910" w:h="16850"/>
          <w:pgMar w:top="1220" w:right="0" w:bottom="1420" w:left="1260" w:header="0" w:footer="1239" w:gutter="0"/>
          <w:cols w:space="720"/>
        </w:sectPr>
      </w:pPr>
    </w:p>
    <w:p w14:paraId="161A6285" w14:textId="77777777" w:rsidR="00A71EEF" w:rsidRDefault="0081115D">
      <w:pPr>
        <w:pStyle w:val="a4"/>
        <w:numPr>
          <w:ilvl w:val="2"/>
          <w:numId w:val="371"/>
        </w:numPr>
        <w:tabs>
          <w:tab w:val="left" w:pos="1370"/>
        </w:tabs>
        <w:spacing w:before="47"/>
        <w:ind w:hanging="530"/>
        <w:rPr>
          <w:sz w:val="21"/>
        </w:rPr>
      </w:pPr>
      <w:r>
        <w:rPr>
          <w:spacing w:val="-3"/>
          <w:sz w:val="21"/>
        </w:rPr>
        <w:t>符合下列条件之一的场所，不宜选择点型火焰探测器和图像型火焰探测器：</w:t>
      </w:r>
      <w:r>
        <w:rPr>
          <w:spacing w:val="-3"/>
          <w:sz w:val="21"/>
        </w:rPr>
        <w:t xml:space="preserve"> </w:t>
      </w:r>
    </w:p>
    <w:p w14:paraId="0D423760" w14:textId="77777777" w:rsidR="00A71EEF" w:rsidRDefault="00A71EEF">
      <w:pPr>
        <w:pStyle w:val="a3"/>
        <w:rPr>
          <w:sz w:val="18"/>
        </w:rPr>
      </w:pPr>
    </w:p>
    <w:p w14:paraId="4053140C" w14:textId="77777777" w:rsidR="00A71EEF" w:rsidRDefault="0081115D">
      <w:pPr>
        <w:pStyle w:val="a4"/>
        <w:numPr>
          <w:ilvl w:val="0"/>
          <w:numId w:val="364"/>
        </w:numPr>
        <w:tabs>
          <w:tab w:val="left" w:pos="1367"/>
        </w:tabs>
        <w:rPr>
          <w:sz w:val="21"/>
        </w:rPr>
      </w:pPr>
      <w:r>
        <w:rPr>
          <w:spacing w:val="-3"/>
          <w:sz w:val="21"/>
        </w:rPr>
        <w:t>在火焰出现前有浓烟扩散。</w:t>
      </w:r>
      <w:r>
        <w:rPr>
          <w:sz w:val="21"/>
        </w:rPr>
        <w:t xml:space="preserve"> </w:t>
      </w:r>
    </w:p>
    <w:p w14:paraId="4E34F6B6" w14:textId="77777777" w:rsidR="00A71EEF" w:rsidRDefault="00A71EEF">
      <w:pPr>
        <w:pStyle w:val="a3"/>
        <w:rPr>
          <w:sz w:val="18"/>
        </w:rPr>
      </w:pPr>
    </w:p>
    <w:p w14:paraId="60E9829A" w14:textId="77777777" w:rsidR="00A71EEF" w:rsidRDefault="0081115D">
      <w:pPr>
        <w:pStyle w:val="a4"/>
        <w:numPr>
          <w:ilvl w:val="0"/>
          <w:numId w:val="364"/>
        </w:numPr>
        <w:tabs>
          <w:tab w:val="left" w:pos="1367"/>
        </w:tabs>
        <w:rPr>
          <w:sz w:val="21"/>
        </w:rPr>
      </w:pPr>
      <w:r>
        <w:rPr>
          <w:spacing w:val="-3"/>
          <w:sz w:val="21"/>
        </w:rPr>
        <w:t>探测器的镜头易被污染。</w:t>
      </w:r>
      <w:r>
        <w:rPr>
          <w:sz w:val="21"/>
        </w:rPr>
        <w:t xml:space="preserve"> </w:t>
      </w:r>
    </w:p>
    <w:p w14:paraId="794429A8" w14:textId="77777777" w:rsidR="00A71EEF" w:rsidRDefault="00A71EEF">
      <w:pPr>
        <w:pStyle w:val="a3"/>
        <w:spacing w:before="1"/>
        <w:rPr>
          <w:sz w:val="18"/>
        </w:rPr>
      </w:pPr>
    </w:p>
    <w:p w14:paraId="46FEF875" w14:textId="77777777" w:rsidR="00A71EEF" w:rsidRDefault="0081115D">
      <w:pPr>
        <w:pStyle w:val="a4"/>
        <w:numPr>
          <w:ilvl w:val="0"/>
          <w:numId w:val="364"/>
        </w:numPr>
        <w:tabs>
          <w:tab w:val="left" w:pos="1367"/>
        </w:tabs>
        <w:spacing w:before="1"/>
        <w:rPr>
          <w:sz w:val="21"/>
        </w:rPr>
      </w:pPr>
      <w:r>
        <w:rPr>
          <w:spacing w:val="-3"/>
          <w:sz w:val="21"/>
        </w:rPr>
        <w:t>探测器的</w:t>
      </w:r>
      <w:r>
        <w:rPr>
          <w:spacing w:val="-3"/>
          <w:sz w:val="21"/>
        </w:rPr>
        <w:t>―</w:t>
      </w:r>
      <w:r>
        <w:rPr>
          <w:spacing w:val="-3"/>
          <w:sz w:val="21"/>
        </w:rPr>
        <w:t>视线</w:t>
      </w:r>
      <w:r>
        <w:rPr>
          <w:spacing w:val="-3"/>
          <w:sz w:val="21"/>
        </w:rPr>
        <w:t>‖</w:t>
      </w:r>
      <w:r>
        <w:rPr>
          <w:spacing w:val="-3"/>
          <w:sz w:val="21"/>
        </w:rPr>
        <w:t>易被油雾、烟雾，水雾和冰雪遮挡。</w:t>
      </w:r>
      <w:r>
        <w:rPr>
          <w:sz w:val="21"/>
        </w:rPr>
        <w:t xml:space="preserve"> </w:t>
      </w:r>
    </w:p>
    <w:p w14:paraId="3E8E8608" w14:textId="77777777" w:rsidR="00A71EEF" w:rsidRDefault="00A71EEF">
      <w:pPr>
        <w:pStyle w:val="a3"/>
        <w:spacing w:before="12"/>
        <w:rPr>
          <w:sz w:val="17"/>
        </w:rPr>
      </w:pPr>
    </w:p>
    <w:p w14:paraId="7CB8BF76" w14:textId="77777777" w:rsidR="00A71EEF" w:rsidRDefault="0081115D">
      <w:pPr>
        <w:pStyle w:val="a4"/>
        <w:numPr>
          <w:ilvl w:val="0"/>
          <w:numId w:val="364"/>
        </w:numPr>
        <w:tabs>
          <w:tab w:val="left" w:pos="1367"/>
        </w:tabs>
        <w:rPr>
          <w:b/>
          <w:sz w:val="21"/>
        </w:rPr>
      </w:pPr>
      <w:r>
        <w:rPr>
          <w:spacing w:val="-3"/>
          <w:sz w:val="21"/>
        </w:rPr>
        <w:t>探测区域内的可燃物是金属和无机物。</w:t>
      </w:r>
      <w:r>
        <w:rPr>
          <w:b/>
          <w:w w:val="99"/>
          <w:sz w:val="21"/>
        </w:rPr>
        <w:t xml:space="preserve"> </w:t>
      </w:r>
    </w:p>
    <w:p w14:paraId="56961AE9" w14:textId="77777777" w:rsidR="00A71EEF" w:rsidRDefault="00A71EEF">
      <w:pPr>
        <w:pStyle w:val="a3"/>
        <w:spacing w:before="12"/>
        <w:rPr>
          <w:b/>
          <w:sz w:val="17"/>
        </w:rPr>
      </w:pPr>
    </w:p>
    <w:p w14:paraId="57933F06" w14:textId="77777777" w:rsidR="00A71EEF" w:rsidRDefault="0081115D">
      <w:pPr>
        <w:pStyle w:val="a4"/>
        <w:numPr>
          <w:ilvl w:val="0"/>
          <w:numId w:val="364"/>
        </w:numPr>
        <w:tabs>
          <w:tab w:val="left" w:pos="1367"/>
          <w:tab w:val="left" w:pos="6298"/>
        </w:tabs>
        <w:rPr>
          <w:b/>
          <w:sz w:val="21"/>
        </w:rPr>
      </w:pPr>
      <w:r>
        <w:rPr>
          <w:sz w:val="21"/>
        </w:rPr>
        <w:t>探</w:t>
      </w:r>
      <w:r>
        <w:rPr>
          <w:spacing w:val="-3"/>
          <w:sz w:val="21"/>
        </w:rPr>
        <w:t>测</w:t>
      </w:r>
      <w:r>
        <w:rPr>
          <w:sz w:val="21"/>
        </w:rPr>
        <w:t>器</w:t>
      </w:r>
      <w:r>
        <w:rPr>
          <w:spacing w:val="-3"/>
          <w:sz w:val="21"/>
        </w:rPr>
        <w:t>易</w:t>
      </w:r>
      <w:r>
        <w:rPr>
          <w:sz w:val="21"/>
        </w:rPr>
        <w:t>受</w:t>
      </w:r>
      <w:r>
        <w:rPr>
          <w:spacing w:val="-3"/>
          <w:sz w:val="21"/>
        </w:rPr>
        <w:t>阳</w:t>
      </w:r>
      <w:r>
        <w:rPr>
          <w:sz w:val="21"/>
        </w:rPr>
        <w:t>光</w:t>
      </w:r>
      <w:r>
        <w:rPr>
          <w:spacing w:val="-3"/>
          <w:sz w:val="21"/>
        </w:rPr>
        <w:t>、白</w:t>
      </w:r>
      <w:r>
        <w:rPr>
          <w:sz w:val="21"/>
        </w:rPr>
        <w:t>炽灯</w:t>
      </w:r>
      <w:r>
        <w:rPr>
          <w:spacing w:val="-3"/>
          <w:sz w:val="21"/>
        </w:rPr>
        <w:t>等</w:t>
      </w:r>
      <w:r>
        <w:rPr>
          <w:sz w:val="21"/>
        </w:rPr>
        <w:t>光</w:t>
      </w:r>
      <w:r>
        <w:rPr>
          <w:spacing w:val="-3"/>
          <w:sz w:val="21"/>
        </w:rPr>
        <w:t>源</w:t>
      </w:r>
      <w:r>
        <w:rPr>
          <w:sz w:val="21"/>
        </w:rPr>
        <w:t>直</w:t>
      </w:r>
      <w:r>
        <w:rPr>
          <w:spacing w:val="-3"/>
          <w:sz w:val="21"/>
        </w:rPr>
        <w:t>接</w:t>
      </w:r>
      <w:r>
        <w:rPr>
          <w:sz w:val="21"/>
        </w:rPr>
        <w:t>或</w:t>
      </w:r>
      <w:r>
        <w:rPr>
          <w:spacing w:val="-3"/>
          <w:sz w:val="21"/>
        </w:rPr>
        <w:t>间</w:t>
      </w:r>
      <w:r>
        <w:rPr>
          <w:sz w:val="21"/>
        </w:rPr>
        <w:t>接</w:t>
      </w:r>
      <w:r>
        <w:rPr>
          <w:spacing w:val="-3"/>
          <w:sz w:val="21"/>
        </w:rPr>
        <w:t>照</w:t>
      </w:r>
      <w:r>
        <w:rPr>
          <w:sz w:val="21"/>
        </w:rPr>
        <w:t>射</w:t>
      </w:r>
      <w:r>
        <w:rPr>
          <w:spacing w:val="-3"/>
          <w:sz w:val="21"/>
        </w:rPr>
        <w:t>。</w:t>
      </w:r>
      <w:r>
        <w:rPr>
          <w:b/>
          <w:w w:val="99"/>
          <w:sz w:val="21"/>
        </w:rPr>
        <w:t xml:space="preserve"> </w:t>
      </w:r>
      <w:r>
        <w:rPr>
          <w:b/>
          <w:sz w:val="21"/>
        </w:rPr>
        <w:tab/>
      </w:r>
      <w:r>
        <w:rPr>
          <w:b/>
          <w:w w:val="99"/>
          <w:sz w:val="21"/>
        </w:rPr>
        <w:t xml:space="preserve">  </w:t>
      </w:r>
    </w:p>
    <w:p w14:paraId="46E5B5FA" w14:textId="77777777" w:rsidR="00A71EEF" w:rsidRDefault="00A71EEF">
      <w:pPr>
        <w:pStyle w:val="a3"/>
        <w:spacing w:before="2"/>
        <w:rPr>
          <w:b/>
          <w:sz w:val="18"/>
        </w:rPr>
      </w:pPr>
    </w:p>
    <w:p w14:paraId="758307C4" w14:textId="77777777" w:rsidR="00A71EEF" w:rsidRDefault="0081115D">
      <w:pPr>
        <w:pStyle w:val="a4"/>
        <w:numPr>
          <w:ilvl w:val="2"/>
          <w:numId w:val="371"/>
        </w:numPr>
        <w:tabs>
          <w:tab w:val="left" w:pos="1370"/>
        </w:tabs>
        <w:ind w:hanging="530"/>
        <w:rPr>
          <w:sz w:val="21"/>
        </w:rPr>
      </w:pPr>
      <w:r>
        <w:rPr>
          <w:spacing w:val="-3"/>
          <w:sz w:val="21"/>
        </w:rPr>
        <w:t>探测区域内正常情况下有高温物体的场所，不宜选择单波段红外火焰探测器。</w:t>
      </w:r>
      <w:r>
        <w:rPr>
          <w:sz w:val="21"/>
        </w:rPr>
        <w:t xml:space="preserve"> </w:t>
      </w:r>
    </w:p>
    <w:p w14:paraId="3ECDE323" w14:textId="77777777" w:rsidR="00A71EEF" w:rsidRDefault="00A71EEF">
      <w:pPr>
        <w:pStyle w:val="a3"/>
        <w:rPr>
          <w:sz w:val="18"/>
        </w:rPr>
      </w:pPr>
    </w:p>
    <w:p w14:paraId="7B8F9625" w14:textId="77777777" w:rsidR="00A71EEF" w:rsidRDefault="0081115D">
      <w:pPr>
        <w:pStyle w:val="a4"/>
        <w:numPr>
          <w:ilvl w:val="2"/>
          <w:numId w:val="371"/>
        </w:numPr>
        <w:tabs>
          <w:tab w:val="left" w:pos="1478"/>
          <w:tab w:val="left" w:pos="2517"/>
        </w:tabs>
        <w:spacing w:line="446" w:lineRule="auto"/>
        <w:ind w:left="418" w:right="1431" w:firstLine="422"/>
        <w:rPr>
          <w:sz w:val="21"/>
        </w:rPr>
      </w:pPr>
      <w:r>
        <w:rPr>
          <w:sz w:val="21"/>
        </w:rPr>
        <w:t>正</w:t>
      </w:r>
      <w:r>
        <w:rPr>
          <w:spacing w:val="-3"/>
          <w:sz w:val="21"/>
        </w:rPr>
        <w:t>常</w:t>
      </w:r>
      <w:r>
        <w:rPr>
          <w:sz w:val="21"/>
        </w:rPr>
        <w:t>情</w:t>
      </w:r>
      <w:r>
        <w:rPr>
          <w:spacing w:val="-3"/>
          <w:sz w:val="21"/>
        </w:rPr>
        <w:t>况</w:t>
      </w:r>
      <w:r>
        <w:rPr>
          <w:sz w:val="21"/>
        </w:rPr>
        <w:t>下</w:t>
      </w:r>
      <w:r>
        <w:rPr>
          <w:spacing w:val="-3"/>
          <w:sz w:val="21"/>
        </w:rPr>
        <w:t>有</w:t>
      </w:r>
      <w:r>
        <w:rPr>
          <w:sz w:val="21"/>
        </w:rPr>
        <w:t>明</w:t>
      </w:r>
      <w:r>
        <w:rPr>
          <w:spacing w:val="-3"/>
          <w:sz w:val="21"/>
        </w:rPr>
        <w:t>火</w:t>
      </w:r>
      <w:r>
        <w:rPr>
          <w:sz w:val="21"/>
        </w:rPr>
        <w:t>作</w:t>
      </w:r>
      <w:r>
        <w:rPr>
          <w:spacing w:val="-3"/>
          <w:sz w:val="21"/>
        </w:rPr>
        <w:t>业</w:t>
      </w:r>
      <w:r>
        <w:rPr>
          <w:spacing w:val="-13"/>
          <w:sz w:val="21"/>
        </w:rPr>
        <w:t>，</w:t>
      </w:r>
      <w:r>
        <w:rPr>
          <w:spacing w:val="-3"/>
          <w:sz w:val="21"/>
        </w:rPr>
        <w:t>探</w:t>
      </w:r>
      <w:r>
        <w:rPr>
          <w:sz w:val="21"/>
        </w:rPr>
        <w:t>测</w:t>
      </w:r>
      <w:r>
        <w:rPr>
          <w:spacing w:val="-3"/>
          <w:sz w:val="21"/>
        </w:rPr>
        <w:t>器</w:t>
      </w:r>
      <w:r>
        <w:rPr>
          <w:sz w:val="21"/>
        </w:rPr>
        <w:t>易</w:t>
      </w:r>
      <w:r>
        <w:rPr>
          <w:spacing w:val="-3"/>
          <w:sz w:val="21"/>
        </w:rPr>
        <w:t>受</w:t>
      </w:r>
      <w:r>
        <w:rPr>
          <w:spacing w:val="14"/>
          <w:sz w:val="21"/>
        </w:rPr>
        <w:t xml:space="preserve"> </w:t>
      </w:r>
      <w:r>
        <w:rPr>
          <w:sz w:val="21"/>
        </w:rPr>
        <w:t>X</w:t>
      </w:r>
      <w:r>
        <w:rPr>
          <w:spacing w:val="11"/>
          <w:sz w:val="21"/>
        </w:rPr>
        <w:t xml:space="preserve"> </w:t>
      </w:r>
      <w:r>
        <w:rPr>
          <w:sz w:val="21"/>
        </w:rPr>
        <w:t>射</w:t>
      </w:r>
      <w:r>
        <w:rPr>
          <w:spacing w:val="-3"/>
          <w:sz w:val="21"/>
        </w:rPr>
        <w:t>线</w:t>
      </w:r>
      <w:r>
        <w:rPr>
          <w:spacing w:val="-13"/>
          <w:sz w:val="21"/>
        </w:rPr>
        <w:t>、</w:t>
      </w:r>
      <w:r>
        <w:rPr>
          <w:spacing w:val="-3"/>
          <w:sz w:val="21"/>
        </w:rPr>
        <w:t>弧</w:t>
      </w:r>
      <w:r>
        <w:rPr>
          <w:sz w:val="21"/>
        </w:rPr>
        <w:t>光</w:t>
      </w:r>
      <w:r>
        <w:rPr>
          <w:spacing w:val="-3"/>
          <w:sz w:val="21"/>
        </w:rPr>
        <w:t>和</w:t>
      </w:r>
      <w:r>
        <w:rPr>
          <w:sz w:val="21"/>
        </w:rPr>
        <w:t>闪</w:t>
      </w:r>
      <w:r>
        <w:rPr>
          <w:spacing w:val="-3"/>
          <w:sz w:val="21"/>
        </w:rPr>
        <w:t>电</w:t>
      </w:r>
      <w:r>
        <w:rPr>
          <w:sz w:val="21"/>
        </w:rPr>
        <w:t>等</w:t>
      </w:r>
      <w:r>
        <w:rPr>
          <w:spacing w:val="-3"/>
          <w:sz w:val="21"/>
        </w:rPr>
        <w:t>影</w:t>
      </w:r>
      <w:r>
        <w:rPr>
          <w:sz w:val="21"/>
        </w:rPr>
        <w:t>响</w:t>
      </w:r>
      <w:r>
        <w:rPr>
          <w:spacing w:val="-3"/>
          <w:sz w:val="21"/>
        </w:rPr>
        <w:t>的场</w:t>
      </w:r>
      <w:r>
        <w:rPr>
          <w:sz w:val="21"/>
        </w:rPr>
        <w:t>所</w:t>
      </w:r>
      <w:r>
        <w:rPr>
          <w:spacing w:val="-15"/>
          <w:sz w:val="21"/>
        </w:rPr>
        <w:t>，</w:t>
      </w:r>
      <w:r>
        <w:rPr>
          <w:sz w:val="21"/>
        </w:rPr>
        <w:t>不</w:t>
      </w:r>
      <w:r>
        <w:rPr>
          <w:spacing w:val="-3"/>
          <w:sz w:val="21"/>
        </w:rPr>
        <w:t>宜</w:t>
      </w:r>
      <w:r>
        <w:rPr>
          <w:sz w:val="21"/>
        </w:rPr>
        <w:t>选择紫外</w:t>
      </w:r>
      <w:r>
        <w:rPr>
          <w:spacing w:val="-3"/>
          <w:sz w:val="21"/>
        </w:rPr>
        <w:t>火</w:t>
      </w:r>
      <w:r>
        <w:rPr>
          <w:sz w:val="21"/>
        </w:rPr>
        <w:t>焰</w:t>
      </w:r>
      <w:r>
        <w:rPr>
          <w:spacing w:val="-3"/>
          <w:sz w:val="21"/>
        </w:rPr>
        <w:t>探</w:t>
      </w:r>
      <w:r>
        <w:rPr>
          <w:sz w:val="21"/>
        </w:rPr>
        <w:t>测</w:t>
      </w:r>
      <w:r>
        <w:rPr>
          <w:spacing w:val="-3"/>
          <w:sz w:val="21"/>
        </w:rPr>
        <w:t>器。</w:t>
      </w:r>
      <w:r>
        <w:rPr>
          <w:sz w:val="21"/>
        </w:rPr>
        <w:t xml:space="preserve"> </w:t>
      </w:r>
      <w:r>
        <w:rPr>
          <w:sz w:val="21"/>
        </w:rPr>
        <w:tab/>
      </w:r>
      <w:r>
        <w:rPr>
          <w:sz w:val="21"/>
        </w:rPr>
        <w:t xml:space="preserve">  </w:t>
      </w:r>
    </w:p>
    <w:p w14:paraId="4E8000E0" w14:textId="77777777" w:rsidR="00A71EEF" w:rsidRDefault="0081115D">
      <w:pPr>
        <w:pStyle w:val="a4"/>
        <w:numPr>
          <w:ilvl w:val="2"/>
          <w:numId w:val="371"/>
        </w:numPr>
        <w:tabs>
          <w:tab w:val="left" w:pos="1478"/>
        </w:tabs>
        <w:ind w:left="1477" w:hanging="638"/>
        <w:rPr>
          <w:sz w:val="21"/>
        </w:rPr>
      </w:pPr>
      <w:r>
        <w:rPr>
          <w:spacing w:val="-3"/>
          <w:sz w:val="21"/>
        </w:rPr>
        <w:t>下列场所宜选择可燃气体探测器：</w:t>
      </w:r>
      <w:r>
        <w:rPr>
          <w:sz w:val="21"/>
        </w:rPr>
        <w:t xml:space="preserve"> </w:t>
      </w:r>
    </w:p>
    <w:p w14:paraId="1FAE7FE6" w14:textId="77777777" w:rsidR="00A71EEF" w:rsidRDefault="00A71EEF">
      <w:pPr>
        <w:pStyle w:val="a3"/>
        <w:rPr>
          <w:sz w:val="18"/>
        </w:rPr>
      </w:pPr>
    </w:p>
    <w:p w14:paraId="046D4AF6" w14:textId="77777777" w:rsidR="00A71EEF" w:rsidRDefault="0081115D">
      <w:pPr>
        <w:pStyle w:val="a4"/>
        <w:numPr>
          <w:ilvl w:val="0"/>
          <w:numId w:val="363"/>
        </w:numPr>
        <w:tabs>
          <w:tab w:val="left" w:pos="1367"/>
        </w:tabs>
        <w:rPr>
          <w:b/>
          <w:sz w:val="21"/>
        </w:rPr>
      </w:pPr>
      <w:r>
        <w:rPr>
          <w:spacing w:val="-3"/>
          <w:sz w:val="21"/>
        </w:rPr>
        <w:t>使用可燃气体的场所。</w:t>
      </w:r>
      <w:r>
        <w:rPr>
          <w:b/>
          <w:spacing w:val="-3"/>
          <w:w w:val="99"/>
          <w:sz w:val="21"/>
        </w:rPr>
        <w:t xml:space="preserve"> </w:t>
      </w:r>
    </w:p>
    <w:p w14:paraId="6FE17FE1" w14:textId="77777777" w:rsidR="00A71EEF" w:rsidRDefault="00A71EEF">
      <w:pPr>
        <w:pStyle w:val="a3"/>
        <w:spacing w:before="12"/>
        <w:rPr>
          <w:b/>
          <w:sz w:val="17"/>
        </w:rPr>
      </w:pPr>
    </w:p>
    <w:p w14:paraId="38F3C3A3" w14:textId="77777777" w:rsidR="00A71EEF" w:rsidRDefault="0081115D">
      <w:pPr>
        <w:pStyle w:val="a4"/>
        <w:numPr>
          <w:ilvl w:val="0"/>
          <w:numId w:val="363"/>
        </w:numPr>
        <w:tabs>
          <w:tab w:val="left" w:pos="1367"/>
        </w:tabs>
        <w:rPr>
          <w:b/>
          <w:sz w:val="21"/>
        </w:rPr>
      </w:pPr>
      <w:r>
        <w:rPr>
          <w:spacing w:val="-3"/>
          <w:sz w:val="21"/>
        </w:rPr>
        <w:t>燃气站和燃气表房以及存储液化石油气罐的场所。</w:t>
      </w:r>
      <w:r>
        <w:rPr>
          <w:b/>
          <w:w w:val="99"/>
          <w:sz w:val="21"/>
        </w:rPr>
        <w:t xml:space="preserve"> </w:t>
      </w:r>
    </w:p>
    <w:p w14:paraId="7AA52971" w14:textId="77777777" w:rsidR="00A71EEF" w:rsidRDefault="00A71EEF">
      <w:pPr>
        <w:pStyle w:val="a3"/>
        <w:spacing w:before="2"/>
        <w:rPr>
          <w:b/>
          <w:sz w:val="18"/>
        </w:rPr>
      </w:pPr>
    </w:p>
    <w:p w14:paraId="2D33BD1A" w14:textId="77777777" w:rsidR="00A71EEF" w:rsidRDefault="0081115D">
      <w:pPr>
        <w:pStyle w:val="a4"/>
        <w:numPr>
          <w:ilvl w:val="0"/>
          <w:numId w:val="363"/>
        </w:numPr>
        <w:tabs>
          <w:tab w:val="left" w:pos="1367"/>
        </w:tabs>
        <w:rPr>
          <w:b/>
          <w:sz w:val="21"/>
        </w:rPr>
      </w:pPr>
      <w:r>
        <w:rPr>
          <w:spacing w:val="-3"/>
          <w:sz w:val="21"/>
        </w:rPr>
        <w:t>其他散发可燃气体和可燃蒸气的场所。</w:t>
      </w:r>
      <w:r>
        <w:rPr>
          <w:b/>
          <w:w w:val="99"/>
          <w:sz w:val="21"/>
        </w:rPr>
        <w:t xml:space="preserve">   </w:t>
      </w:r>
    </w:p>
    <w:p w14:paraId="34EA5B66" w14:textId="77777777" w:rsidR="00A71EEF" w:rsidRDefault="00A71EEF">
      <w:pPr>
        <w:pStyle w:val="a3"/>
        <w:rPr>
          <w:b/>
          <w:sz w:val="18"/>
        </w:rPr>
      </w:pPr>
    </w:p>
    <w:p w14:paraId="1DC12070" w14:textId="77777777" w:rsidR="00A71EEF" w:rsidRDefault="0081115D">
      <w:pPr>
        <w:pStyle w:val="a4"/>
        <w:numPr>
          <w:ilvl w:val="2"/>
          <w:numId w:val="371"/>
        </w:numPr>
        <w:tabs>
          <w:tab w:val="left" w:pos="1478"/>
        </w:tabs>
        <w:ind w:left="1477" w:hanging="638"/>
        <w:rPr>
          <w:sz w:val="21"/>
        </w:rPr>
      </w:pPr>
      <w:r>
        <w:rPr>
          <w:spacing w:val="-3"/>
          <w:sz w:val="21"/>
        </w:rPr>
        <w:t>在火灾初期产生一氧化碳的下列场所可选择点型一氧化碳火灾探测器：</w:t>
      </w:r>
      <w:r>
        <w:rPr>
          <w:spacing w:val="-3"/>
          <w:sz w:val="21"/>
        </w:rPr>
        <w:t xml:space="preserve"> </w:t>
      </w:r>
    </w:p>
    <w:p w14:paraId="15062E00" w14:textId="77777777" w:rsidR="00A71EEF" w:rsidRDefault="00A71EEF">
      <w:pPr>
        <w:pStyle w:val="a3"/>
        <w:spacing w:before="12"/>
        <w:rPr>
          <w:sz w:val="17"/>
        </w:rPr>
      </w:pPr>
    </w:p>
    <w:p w14:paraId="291F6A27" w14:textId="77777777" w:rsidR="00A71EEF" w:rsidRDefault="0081115D">
      <w:pPr>
        <w:pStyle w:val="a4"/>
        <w:numPr>
          <w:ilvl w:val="0"/>
          <w:numId w:val="362"/>
        </w:numPr>
        <w:tabs>
          <w:tab w:val="left" w:pos="1367"/>
        </w:tabs>
        <w:rPr>
          <w:b/>
          <w:sz w:val="21"/>
        </w:rPr>
      </w:pPr>
      <w:r>
        <w:rPr>
          <w:spacing w:val="-3"/>
          <w:sz w:val="21"/>
        </w:rPr>
        <w:t>烟不容易对流或顶棚下方有热屏障的场所。</w:t>
      </w:r>
      <w:r>
        <w:rPr>
          <w:b/>
          <w:w w:val="99"/>
          <w:sz w:val="21"/>
        </w:rPr>
        <w:t xml:space="preserve"> </w:t>
      </w:r>
    </w:p>
    <w:p w14:paraId="35381DD4" w14:textId="77777777" w:rsidR="00A71EEF" w:rsidRDefault="00A71EEF">
      <w:pPr>
        <w:pStyle w:val="a3"/>
        <w:spacing w:before="2"/>
        <w:rPr>
          <w:b/>
          <w:sz w:val="18"/>
        </w:rPr>
      </w:pPr>
    </w:p>
    <w:p w14:paraId="44DD28AE" w14:textId="77777777" w:rsidR="00A71EEF" w:rsidRDefault="0081115D">
      <w:pPr>
        <w:pStyle w:val="a4"/>
        <w:numPr>
          <w:ilvl w:val="0"/>
          <w:numId w:val="362"/>
        </w:numPr>
        <w:tabs>
          <w:tab w:val="left" w:pos="1367"/>
        </w:tabs>
        <w:rPr>
          <w:b/>
          <w:sz w:val="21"/>
        </w:rPr>
      </w:pPr>
      <w:r>
        <w:rPr>
          <w:spacing w:val="-3"/>
          <w:sz w:val="21"/>
        </w:rPr>
        <w:t>在棚顶上无法安装其他点型火灾测器的场所。</w:t>
      </w:r>
      <w:r>
        <w:rPr>
          <w:b/>
          <w:w w:val="99"/>
          <w:sz w:val="21"/>
        </w:rPr>
        <w:t xml:space="preserve"> </w:t>
      </w:r>
    </w:p>
    <w:p w14:paraId="736E6CCE" w14:textId="77777777" w:rsidR="00A71EEF" w:rsidRDefault="00A71EEF">
      <w:pPr>
        <w:pStyle w:val="a3"/>
        <w:spacing w:before="12"/>
        <w:rPr>
          <w:b/>
          <w:sz w:val="17"/>
        </w:rPr>
      </w:pPr>
    </w:p>
    <w:p w14:paraId="6E51139E" w14:textId="77777777" w:rsidR="00A71EEF" w:rsidRDefault="0081115D">
      <w:pPr>
        <w:pStyle w:val="a4"/>
        <w:numPr>
          <w:ilvl w:val="0"/>
          <w:numId w:val="362"/>
        </w:numPr>
        <w:tabs>
          <w:tab w:val="left" w:pos="1367"/>
        </w:tabs>
        <w:rPr>
          <w:b/>
          <w:sz w:val="21"/>
        </w:rPr>
      </w:pPr>
      <w:r>
        <w:rPr>
          <w:spacing w:val="-3"/>
          <w:sz w:val="21"/>
        </w:rPr>
        <w:t>需要多信号复合报警的场所。</w:t>
      </w:r>
      <w:r>
        <w:rPr>
          <w:b/>
          <w:w w:val="99"/>
          <w:sz w:val="21"/>
        </w:rPr>
        <w:t xml:space="preserve">   </w:t>
      </w:r>
    </w:p>
    <w:p w14:paraId="376A8D1C" w14:textId="77777777" w:rsidR="00A71EEF" w:rsidRDefault="00A71EEF">
      <w:pPr>
        <w:pStyle w:val="a3"/>
        <w:rPr>
          <w:b/>
          <w:sz w:val="18"/>
        </w:rPr>
      </w:pPr>
    </w:p>
    <w:p w14:paraId="0DB436A1" w14:textId="77777777" w:rsidR="00A71EEF" w:rsidRDefault="0081115D">
      <w:pPr>
        <w:pStyle w:val="a4"/>
        <w:numPr>
          <w:ilvl w:val="2"/>
          <w:numId w:val="371"/>
        </w:numPr>
        <w:tabs>
          <w:tab w:val="left" w:pos="1478"/>
        </w:tabs>
        <w:spacing w:line="446" w:lineRule="auto"/>
        <w:ind w:left="418" w:right="1434" w:firstLine="422"/>
        <w:rPr>
          <w:sz w:val="21"/>
        </w:rPr>
      </w:pPr>
      <w:r>
        <w:rPr>
          <w:spacing w:val="-3"/>
          <w:sz w:val="21"/>
        </w:rPr>
        <w:t>污物较多且必须安装感烟火灾探测器的场所，应选择间断吸气的点型采样吸气式感</w:t>
      </w:r>
      <w:r>
        <w:rPr>
          <w:spacing w:val="-3"/>
          <w:sz w:val="21"/>
        </w:rPr>
        <w:t xml:space="preserve"> </w:t>
      </w:r>
      <w:r>
        <w:rPr>
          <w:spacing w:val="-3"/>
          <w:sz w:val="21"/>
        </w:rPr>
        <w:t>烟火灾探测器或具有过滤网和管路自清洗功能的管路采样吸气式感烟火灾探测器。</w:t>
      </w:r>
      <w:r>
        <w:rPr>
          <w:sz w:val="21"/>
        </w:rPr>
        <w:t xml:space="preserve"> </w:t>
      </w:r>
    </w:p>
    <w:p w14:paraId="55A06E97" w14:textId="77777777" w:rsidR="00A71EEF" w:rsidRDefault="0081115D">
      <w:pPr>
        <w:pStyle w:val="a4"/>
        <w:numPr>
          <w:ilvl w:val="1"/>
          <w:numId w:val="371"/>
        </w:numPr>
        <w:tabs>
          <w:tab w:val="left" w:pos="1160"/>
        </w:tabs>
        <w:ind w:left="1159" w:hanging="320"/>
        <w:rPr>
          <w:sz w:val="21"/>
        </w:rPr>
      </w:pPr>
      <w:r>
        <w:rPr>
          <w:spacing w:val="-3"/>
          <w:sz w:val="21"/>
        </w:rPr>
        <w:t>线型火灾探测器的选择</w:t>
      </w:r>
      <w:r>
        <w:rPr>
          <w:spacing w:val="-3"/>
          <w:sz w:val="21"/>
        </w:rPr>
        <w:t xml:space="preserve"> </w:t>
      </w:r>
    </w:p>
    <w:p w14:paraId="06BF883A" w14:textId="77777777" w:rsidR="00A71EEF" w:rsidRDefault="00A71EEF">
      <w:pPr>
        <w:pStyle w:val="a3"/>
        <w:rPr>
          <w:sz w:val="18"/>
        </w:rPr>
      </w:pPr>
    </w:p>
    <w:p w14:paraId="7CD9C5B9" w14:textId="77777777" w:rsidR="00A71EEF" w:rsidRDefault="0081115D">
      <w:pPr>
        <w:pStyle w:val="a4"/>
        <w:numPr>
          <w:ilvl w:val="2"/>
          <w:numId w:val="371"/>
        </w:numPr>
        <w:tabs>
          <w:tab w:val="left" w:pos="1371"/>
        </w:tabs>
        <w:ind w:left="1370" w:hanging="531"/>
        <w:rPr>
          <w:sz w:val="21"/>
        </w:rPr>
      </w:pPr>
      <w:r>
        <w:rPr>
          <w:spacing w:val="-3"/>
          <w:sz w:val="21"/>
        </w:rPr>
        <w:t>无遮挡的大空间或有特殊要求的房间，宜选择线型光束感烟火灾探测器。</w:t>
      </w:r>
      <w:r>
        <w:rPr>
          <w:spacing w:val="-3"/>
          <w:sz w:val="21"/>
        </w:rPr>
        <w:t xml:space="preserve"> </w:t>
      </w:r>
      <w:r>
        <w:rPr>
          <w:spacing w:val="-9"/>
          <w:sz w:val="21"/>
        </w:rPr>
        <w:t xml:space="preserve"> </w:t>
      </w:r>
      <w:r>
        <w:rPr>
          <w:sz w:val="21"/>
        </w:rPr>
        <w:t xml:space="preserve">  </w:t>
      </w:r>
    </w:p>
    <w:p w14:paraId="4983544D" w14:textId="77777777" w:rsidR="00A71EEF" w:rsidRDefault="00A71EEF">
      <w:pPr>
        <w:pStyle w:val="a3"/>
        <w:spacing w:before="2"/>
        <w:rPr>
          <w:sz w:val="18"/>
        </w:rPr>
      </w:pPr>
    </w:p>
    <w:p w14:paraId="4E45DED2" w14:textId="77777777" w:rsidR="00A71EEF" w:rsidRDefault="0081115D">
      <w:pPr>
        <w:pStyle w:val="a4"/>
        <w:numPr>
          <w:ilvl w:val="2"/>
          <w:numId w:val="371"/>
        </w:numPr>
        <w:tabs>
          <w:tab w:val="left" w:pos="1370"/>
        </w:tabs>
        <w:ind w:hanging="530"/>
        <w:rPr>
          <w:sz w:val="21"/>
        </w:rPr>
      </w:pPr>
      <w:r>
        <w:rPr>
          <w:spacing w:val="-3"/>
          <w:sz w:val="21"/>
        </w:rPr>
        <w:t>符合下列条件之一的场所，不宜选择线型光束感烟火灾探测器：</w:t>
      </w:r>
      <w:r>
        <w:rPr>
          <w:sz w:val="21"/>
        </w:rPr>
        <w:t xml:space="preserve"> </w:t>
      </w:r>
    </w:p>
    <w:p w14:paraId="6981F7C0" w14:textId="77777777" w:rsidR="00A71EEF" w:rsidRDefault="00A71EEF">
      <w:pPr>
        <w:pStyle w:val="a3"/>
        <w:spacing w:before="12"/>
        <w:rPr>
          <w:sz w:val="17"/>
        </w:rPr>
      </w:pPr>
    </w:p>
    <w:p w14:paraId="3A0A7C4F" w14:textId="77777777" w:rsidR="00A71EEF" w:rsidRDefault="0081115D">
      <w:pPr>
        <w:pStyle w:val="a4"/>
        <w:numPr>
          <w:ilvl w:val="0"/>
          <w:numId w:val="361"/>
        </w:numPr>
        <w:tabs>
          <w:tab w:val="left" w:pos="1367"/>
        </w:tabs>
        <w:rPr>
          <w:b/>
          <w:sz w:val="21"/>
        </w:rPr>
      </w:pPr>
      <w:r>
        <w:rPr>
          <w:spacing w:val="-3"/>
          <w:sz w:val="21"/>
        </w:rPr>
        <w:t>有大量粉尘、水雾滞留。</w:t>
      </w:r>
      <w:r>
        <w:rPr>
          <w:b/>
          <w:w w:val="99"/>
          <w:sz w:val="21"/>
        </w:rPr>
        <w:t xml:space="preserve"> </w:t>
      </w:r>
    </w:p>
    <w:p w14:paraId="3F4FAA55" w14:textId="77777777" w:rsidR="00A71EEF" w:rsidRDefault="00A71EEF">
      <w:pPr>
        <w:pStyle w:val="a3"/>
        <w:spacing w:before="12"/>
        <w:rPr>
          <w:b/>
          <w:sz w:val="17"/>
        </w:rPr>
      </w:pPr>
    </w:p>
    <w:p w14:paraId="6E464B3A" w14:textId="77777777" w:rsidR="00A71EEF" w:rsidRDefault="0081115D">
      <w:pPr>
        <w:pStyle w:val="a4"/>
        <w:numPr>
          <w:ilvl w:val="0"/>
          <w:numId w:val="361"/>
        </w:numPr>
        <w:tabs>
          <w:tab w:val="left" w:pos="1367"/>
        </w:tabs>
        <w:rPr>
          <w:sz w:val="21"/>
        </w:rPr>
      </w:pPr>
      <w:r>
        <w:rPr>
          <w:spacing w:val="-3"/>
          <w:sz w:val="21"/>
        </w:rPr>
        <w:t>可能产生蒸气和油雾。</w:t>
      </w:r>
      <w:r>
        <w:rPr>
          <w:spacing w:val="-3"/>
          <w:sz w:val="21"/>
        </w:rPr>
        <w:t xml:space="preserve"> </w:t>
      </w:r>
    </w:p>
    <w:p w14:paraId="19C0F3CC" w14:textId="77777777" w:rsidR="00A71EEF" w:rsidRDefault="00A71EEF">
      <w:pPr>
        <w:pStyle w:val="a3"/>
        <w:spacing w:before="2"/>
        <w:rPr>
          <w:sz w:val="18"/>
        </w:rPr>
      </w:pPr>
    </w:p>
    <w:p w14:paraId="1A55992D" w14:textId="77777777" w:rsidR="00A71EEF" w:rsidRDefault="0081115D">
      <w:pPr>
        <w:pStyle w:val="a4"/>
        <w:numPr>
          <w:ilvl w:val="0"/>
          <w:numId w:val="361"/>
        </w:numPr>
        <w:tabs>
          <w:tab w:val="left" w:pos="1367"/>
        </w:tabs>
        <w:rPr>
          <w:sz w:val="21"/>
        </w:rPr>
      </w:pPr>
      <w:r>
        <w:rPr>
          <w:spacing w:val="-3"/>
          <w:sz w:val="21"/>
        </w:rPr>
        <w:t>在正常情况下有烟滞留。</w:t>
      </w:r>
      <w:r>
        <w:rPr>
          <w:sz w:val="21"/>
        </w:rPr>
        <w:t xml:space="preserve"> </w:t>
      </w:r>
    </w:p>
    <w:p w14:paraId="60E21270" w14:textId="77777777" w:rsidR="00A71EEF" w:rsidRDefault="00A71EEF">
      <w:pPr>
        <w:pStyle w:val="a3"/>
        <w:rPr>
          <w:sz w:val="18"/>
        </w:rPr>
      </w:pPr>
    </w:p>
    <w:p w14:paraId="5BEA2A47" w14:textId="77777777" w:rsidR="00A71EEF" w:rsidRDefault="0081115D">
      <w:pPr>
        <w:pStyle w:val="a4"/>
        <w:numPr>
          <w:ilvl w:val="0"/>
          <w:numId w:val="361"/>
        </w:numPr>
        <w:tabs>
          <w:tab w:val="left" w:pos="1367"/>
          <w:tab w:val="left" w:pos="7558"/>
        </w:tabs>
        <w:rPr>
          <w:sz w:val="21"/>
        </w:rPr>
      </w:pPr>
      <w:r>
        <w:rPr>
          <w:sz w:val="21"/>
        </w:rPr>
        <w:t>固</w:t>
      </w:r>
      <w:r>
        <w:rPr>
          <w:spacing w:val="-3"/>
          <w:sz w:val="21"/>
        </w:rPr>
        <w:t>定</w:t>
      </w:r>
      <w:r>
        <w:rPr>
          <w:sz w:val="21"/>
        </w:rPr>
        <w:t>探</w:t>
      </w:r>
      <w:r>
        <w:rPr>
          <w:spacing w:val="-3"/>
          <w:sz w:val="21"/>
        </w:rPr>
        <w:t>测</w:t>
      </w:r>
      <w:r>
        <w:rPr>
          <w:sz w:val="21"/>
        </w:rPr>
        <w:t>器</w:t>
      </w:r>
      <w:r>
        <w:rPr>
          <w:spacing w:val="-3"/>
          <w:sz w:val="21"/>
        </w:rPr>
        <w:t>的</w:t>
      </w:r>
      <w:r>
        <w:rPr>
          <w:sz w:val="21"/>
        </w:rPr>
        <w:t>建</w:t>
      </w:r>
      <w:r>
        <w:rPr>
          <w:spacing w:val="-3"/>
          <w:sz w:val="21"/>
        </w:rPr>
        <w:t>筑结</w:t>
      </w:r>
      <w:r>
        <w:rPr>
          <w:sz w:val="21"/>
        </w:rPr>
        <w:t>构由</w:t>
      </w:r>
      <w:r>
        <w:rPr>
          <w:spacing w:val="-3"/>
          <w:sz w:val="21"/>
        </w:rPr>
        <w:t>于</w:t>
      </w:r>
      <w:r>
        <w:rPr>
          <w:sz w:val="21"/>
        </w:rPr>
        <w:t>振</w:t>
      </w:r>
      <w:r>
        <w:rPr>
          <w:spacing w:val="-3"/>
          <w:sz w:val="21"/>
        </w:rPr>
        <w:t>动</w:t>
      </w:r>
      <w:r>
        <w:rPr>
          <w:sz w:val="21"/>
        </w:rPr>
        <w:t>等</w:t>
      </w:r>
      <w:r>
        <w:rPr>
          <w:spacing w:val="-3"/>
          <w:sz w:val="21"/>
        </w:rPr>
        <w:t>原</w:t>
      </w:r>
      <w:r>
        <w:rPr>
          <w:sz w:val="21"/>
        </w:rPr>
        <w:t>因</w:t>
      </w:r>
      <w:r>
        <w:rPr>
          <w:spacing w:val="-3"/>
          <w:sz w:val="21"/>
        </w:rPr>
        <w:t>会</w:t>
      </w:r>
      <w:r>
        <w:rPr>
          <w:sz w:val="21"/>
        </w:rPr>
        <w:t>产</w:t>
      </w:r>
      <w:r>
        <w:rPr>
          <w:spacing w:val="-3"/>
          <w:sz w:val="21"/>
        </w:rPr>
        <w:t>生</w:t>
      </w:r>
      <w:r>
        <w:rPr>
          <w:sz w:val="21"/>
        </w:rPr>
        <w:t>较大</w:t>
      </w:r>
      <w:r>
        <w:rPr>
          <w:spacing w:val="-3"/>
          <w:sz w:val="21"/>
        </w:rPr>
        <w:t>位</w:t>
      </w:r>
      <w:r>
        <w:rPr>
          <w:sz w:val="21"/>
        </w:rPr>
        <w:t>移</w:t>
      </w:r>
      <w:r>
        <w:rPr>
          <w:spacing w:val="-3"/>
          <w:sz w:val="21"/>
        </w:rPr>
        <w:t>的</w:t>
      </w:r>
      <w:r>
        <w:rPr>
          <w:sz w:val="21"/>
        </w:rPr>
        <w:t>场</w:t>
      </w:r>
      <w:r>
        <w:rPr>
          <w:spacing w:val="-3"/>
          <w:sz w:val="21"/>
        </w:rPr>
        <w:t>所。</w:t>
      </w:r>
      <w:r>
        <w:rPr>
          <w:sz w:val="21"/>
        </w:rPr>
        <w:t xml:space="preserve"> </w:t>
      </w:r>
      <w:r>
        <w:rPr>
          <w:sz w:val="21"/>
        </w:rPr>
        <w:tab/>
      </w:r>
      <w:r>
        <w:rPr>
          <w:sz w:val="21"/>
        </w:rPr>
        <w:t xml:space="preserve">  </w:t>
      </w:r>
    </w:p>
    <w:p w14:paraId="4164CC98" w14:textId="77777777" w:rsidR="00A71EEF" w:rsidRDefault="00A71EEF">
      <w:pPr>
        <w:pStyle w:val="a3"/>
        <w:rPr>
          <w:sz w:val="18"/>
        </w:rPr>
      </w:pPr>
    </w:p>
    <w:p w14:paraId="5309C526" w14:textId="77777777" w:rsidR="00A71EEF" w:rsidRDefault="0081115D">
      <w:pPr>
        <w:pStyle w:val="a4"/>
        <w:numPr>
          <w:ilvl w:val="2"/>
          <w:numId w:val="371"/>
        </w:numPr>
        <w:tabs>
          <w:tab w:val="left" w:pos="1424"/>
        </w:tabs>
        <w:ind w:left="1423" w:hanging="584"/>
        <w:rPr>
          <w:sz w:val="21"/>
        </w:rPr>
      </w:pPr>
      <w:r>
        <w:rPr>
          <w:spacing w:val="-3"/>
          <w:sz w:val="21"/>
        </w:rPr>
        <w:t>下列场所或部位，宜选择缆式线型感温火灾探测器：</w:t>
      </w:r>
      <w:r>
        <w:rPr>
          <w:sz w:val="21"/>
        </w:rPr>
        <w:t xml:space="preserve"> </w:t>
      </w:r>
    </w:p>
    <w:p w14:paraId="38DD2C28" w14:textId="77777777" w:rsidR="00A71EEF" w:rsidRDefault="00A71EEF">
      <w:pPr>
        <w:pStyle w:val="a3"/>
        <w:spacing w:before="2"/>
        <w:rPr>
          <w:sz w:val="18"/>
        </w:rPr>
      </w:pPr>
    </w:p>
    <w:p w14:paraId="17F3BCD8" w14:textId="77777777" w:rsidR="00A71EEF" w:rsidRDefault="0081115D">
      <w:pPr>
        <w:pStyle w:val="a4"/>
        <w:numPr>
          <w:ilvl w:val="0"/>
          <w:numId w:val="360"/>
        </w:numPr>
        <w:tabs>
          <w:tab w:val="left" w:pos="1367"/>
        </w:tabs>
        <w:rPr>
          <w:b/>
          <w:sz w:val="21"/>
        </w:rPr>
      </w:pPr>
      <w:r>
        <w:rPr>
          <w:spacing w:val="-3"/>
          <w:sz w:val="21"/>
        </w:rPr>
        <w:t>电缆隧道、电缆竖井、电缆夹层、电缆桥架。</w:t>
      </w:r>
      <w:r>
        <w:rPr>
          <w:b/>
          <w:w w:val="99"/>
          <w:sz w:val="21"/>
        </w:rPr>
        <w:t xml:space="preserve"> </w:t>
      </w:r>
    </w:p>
    <w:p w14:paraId="7CA07ACA" w14:textId="77777777" w:rsidR="00A71EEF" w:rsidRDefault="00A71EEF">
      <w:pPr>
        <w:rPr>
          <w:sz w:val="21"/>
        </w:rPr>
        <w:sectPr w:rsidR="00A71EEF">
          <w:pgSz w:w="11910" w:h="16850"/>
          <w:pgMar w:top="1220" w:right="0" w:bottom="1420" w:left="1260" w:header="0" w:footer="1239" w:gutter="0"/>
          <w:cols w:space="720"/>
        </w:sectPr>
      </w:pPr>
    </w:p>
    <w:p w14:paraId="33938CCC" w14:textId="77777777" w:rsidR="00A71EEF" w:rsidRDefault="0081115D">
      <w:pPr>
        <w:pStyle w:val="a4"/>
        <w:numPr>
          <w:ilvl w:val="0"/>
          <w:numId w:val="360"/>
        </w:numPr>
        <w:tabs>
          <w:tab w:val="left" w:pos="1367"/>
        </w:tabs>
        <w:spacing w:before="47"/>
        <w:rPr>
          <w:b/>
          <w:sz w:val="21"/>
        </w:rPr>
      </w:pPr>
      <w:r>
        <w:rPr>
          <w:spacing w:val="-3"/>
          <w:sz w:val="21"/>
        </w:rPr>
        <w:t>不易安装点型探测器的夹层、闷顶。</w:t>
      </w:r>
      <w:r>
        <w:rPr>
          <w:b/>
          <w:w w:val="99"/>
          <w:sz w:val="21"/>
        </w:rPr>
        <w:t xml:space="preserve"> </w:t>
      </w:r>
    </w:p>
    <w:p w14:paraId="3E8D39DD" w14:textId="77777777" w:rsidR="00A71EEF" w:rsidRDefault="00A71EEF">
      <w:pPr>
        <w:pStyle w:val="a3"/>
        <w:rPr>
          <w:b/>
          <w:sz w:val="18"/>
        </w:rPr>
      </w:pPr>
    </w:p>
    <w:p w14:paraId="4AF19F43" w14:textId="77777777" w:rsidR="00A71EEF" w:rsidRDefault="0081115D">
      <w:pPr>
        <w:pStyle w:val="a4"/>
        <w:numPr>
          <w:ilvl w:val="0"/>
          <w:numId w:val="360"/>
        </w:numPr>
        <w:tabs>
          <w:tab w:val="left" w:pos="1367"/>
        </w:tabs>
        <w:rPr>
          <w:b/>
          <w:sz w:val="21"/>
        </w:rPr>
      </w:pPr>
      <w:r>
        <w:rPr>
          <w:spacing w:val="-3"/>
          <w:sz w:val="21"/>
        </w:rPr>
        <w:t>各种皮带输送装置。</w:t>
      </w:r>
      <w:r>
        <w:rPr>
          <w:b/>
          <w:w w:val="99"/>
          <w:sz w:val="21"/>
        </w:rPr>
        <w:t xml:space="preserve"> </w:t>
      </w:r>
    </w:p>
    <w:p w14:paraId="3277AE39" w14:textId="77777777" w:rsidR="00A71EEF" w:rsidRDefault="00A71EEF">
      <w:pPr>
        <w:pStyle w:val="a3"/>
        <w:rPr>
          <w:b/>
          <w:sz w:val="18"/>
        </w:rPr>
      </w:pPr>
    </w:p>
    <w:p w14:paraId="3463953A" w14:textId="77777777" w:rsidR="00A71EEF" w:rsidRDefault="0081115D">
      <w:pPr>
        <w:pStyle w:val="a4"/>
        <w:numPr>
          <w:ilvl w:val="0"/>
          <w:numId w:val="360"/>
        </w:numPr>
        <w:tabs>
          <w:tab w:val="left" w:pos="1367"/>
          <w:tab w:val="left" w:pos="5878"/>
        </w:tabs>
        <w:spacing w:line="446" w:lineRule="auto"/>
        <w:ind w:left="840" w:right="4232" w:hanging="3"/>
        <w:rPr>
          <w:sz w:val="21"/>
        </w:rPr>
      </w:pPr>
      <w:r>
        <w:rPr>
          <w:sz w:val="21"/>
        </w:rPr>
        <w:t>其</w:t>
      </w:r>
      <w:r>
        <w:rPr>
          <w:spacing w:val="-3"/>
          <w:sz w:val="21"/>
        </w:rPr>
        <w:t>他</w:t>
      </w:r>
      <w:r>
        <w:rPr>
          <w:sz w:val="21"/>
        </w:rPr>
        <w:t>环</w:t>
      </w:r>
      <w:r>
        <w:rPr>
          <w:spacing w:val="-3"/>
          <w:sz w:val="21"/>
        </w:rPr>
        <w:t>境</w:t>
      </w:r>
      <w:r>
        <w:rPr>
          <w:sz w:val="21"/>
        </w:rPr>
        <w:t>恶</w:t>
      </w:r>
      <w:r>
        <w:rPr>
          <w:spacing w:val="-3"/>
          <w:sz w:val="21"/>
        </w:rPr>
        <w:t>劣</w:t>
      </w:r>
      <w:r>
        <w:rPr>
          <w:sz w:val="21"/>
        </w:rPr>
        <w:t>不</w:t>
      </w:r>
      <w:r>
        <w:rPr>
          <w:spacing w:val="-3"/>
          <w:sz w:val="21"/>
        </w:rPr>
        <w:t>适合</w:t>
      </w:r>
      <w:r>
        <w:rPr>
          <w:sz w:val="21"/>
        </w:rPr>
        <w:t>点型</w:t>
      </w:r>
      <w:r>
        <w:rPr>
          <w:spacing w:val="-3"/>
          <w:sz w:val="21"/>
        </w:rPr>
        <w:t>探</w:t>
      </w:r>
      <w:r>
        <w:rPr>
          <w:sz w:val="21"/>
        </w:rPr>
        <w:t>测</w:t>
      </w:r>
      <w:r>
        <w:rPr>
          <w:spacing w:val="-3"/>
          <w:sz w:val="21"/>
        </w:rPr>
        <w:t>器</w:t>
      </w:r>
      <w:r>
        <w:rPr>
          <w:sz w:val="21"/>
        </w:rPr>
        <w:t>安</w:t>
      </w:r>
      <w:r>
        <w:rPr>
          <w:spacing w:val="-3"/>
          <w:sz w:val="21"/>
        </w:rPr>
        <w:t>装</w:t>
      </w:r>
      <w:r>
        <w:rPr>
          <w:sz w:val="21"/>
        </w:rPr>
        <w:t>的</w:t>
      </w:r>
      <w:r>
        <w:rPr>
          <w:spacing w:val="-3"/>
          <w:sz w:val="21"/>
        </w:rPr>
        <w:t>场</w:t>
      </w:r>
      <w:r>
        <w:rPr>
          <w:sz w:val="21"/>
        </w:rPr>
        <w:t>所</w:t>
      </w:r>
      <w:r>
        <w:rPr>
          <w:spacing w:val="-3"/>
          <w:sz w:val="21"/>
        </w:rPr>
        <w:t>。</w:t>
      </w:r>
      <w:r>
        <w:rPr>
          <w:spacing w:val="-3"/>
          <w:sz w:val="21"/>
        </w:rPr>
        <w:tab/>
      </w:r>
      <w:r>
        <w:rPr>
          <w:sz w:val="21"/>
        </w:rPr>
        <w:t xml:space="preserve"> </w:t>
      </w:r>
      <w:r>
        <w:rPr>
          <w:b/>
          <w:w w:val="95"/>
          <w:sz w:val="21"/>
        </w:rPr>
        <w:t>5.3.4</w:t>
      </w:r>
      <w:r>
        <w:rPr>
          <w:b/>
          <w:spacing w:val="32"/>
          <w:w w:val="95"/>
          <w:sz w:val="21"/>
        </w:rPr>
        <w:t xml:space="preserve"> </w:t>
      </w:r>
      <w:r>
        <w:rPr>
          <w:spacing w:val="-3"/>
          <w:sz w:val="21"/>
        </w:rPr>
        <w:t>下</w:t>
      </w:r>
      <w:r>
        <w:rPr>
          <w:sz w:val="21"/>
        </w:rPr>
        <w:t>列</w:t>
      </w:r>
      <w:r>
        <w:rPr>
          <w:spacing w:val="-3"/>
          <w:sz w:val="21"/>
        </w:rPr>
        <w:t>场</w:t>
      </w:r>
      <w:r>
        <w:rPr>
          <w:sz w:val="21"/>
        </w:rPr>
        <w:t>所</w:t>
      </w:r>
      <w:r>
        <w:rPr>
          <w:spacing w:val="-3"/>
          <w:sz w:val="21"/>
        </w:rPr>
        <w:t>或</w:t>
      </w:r>
      <w:r>
        <w:rPr>
          <w:sz w:val="21"/>
        </w:rPr>
        <w:t>部</w:t>
      </w:r>
      <w:r>
        <w:rPr>
          <w:spacing w:val="-3"/>
          <w:sz w:val="21"/>
        </w:rPr>
        <w:t>位，</w:t>
      </w:r>
      <w:r>
        <w:rPr>
          <w:sz w:val="21"/>
        </w:rPr>
        <w:t>宜选</w:t>
      </w:r>
      <w:r>
        <w:rPr>
          <w:spacing w:val="-3"/>
          <w:sz w:val="21"/>
        </w:rPr>
        <w:t>择</w:t>
      </w:r>
      <w:r>
        <w:rPr>
          <w:sz w:val="21"/>
        </w:rPr>
        <w:t>线</w:t>
      </w:r>
      <w:r>
        <w:rPr>
          <w:spacing w:val="-3"/>
          <w:sz w:val="21"/>
        </w:rPr>
        <w:t>型</w:t>
      </w:r>
      <w:r>
        <w:rPr>
          <w:sz w:val="21"/>
        </w:rPr>
        <w:t>光</w:t>
      </w:r>
      <w:r>
        <w:rPr>
          <w:spacing w:val="-3"/>
          <w:sz w:val="21"/>
        </w:rPr>
        <w:t>纤</w:t>
      </w:r>
      <w:r>
        <w:rPr>
          <w:sz w:val="21"/>
        </w:rPr>
        <w:t>感</w:t>
      </w:r>
      <w:r>
        <w:rPr>
          <w:spacing w:val="-3"/>
          <w:sz w:val="21"/>
        </w:rPr>
        <w:t>温</w:t>
      </w:r>
      <w:r>
        <w:rPr>
          <w:sz w:val="21"/>
        </w:rPr>
        <w:t>火</w:t>
      </w:r>
      <w:r>
        <w:rPr>
          <w:spacing w:val="-3"/>
          <w:sz w:val="21"/>
        </w:rPr>
        <w:t>灾</w:t>
      </w:r>
      <w:r>
        <w:rPr>
          <w:sz w:val="21"/>
        </w:rPr>
        <w:t>探测</w:t>
      </w:r>
      <w:r>
        <w:rPr>
          <w:spacing w:val="-3"/>
          <w:sz w:val="21"/>
        </w:rPr>
        <w:t>器：</w:t>
      </w:r>
      <w:r>
        <w:rPr>
          <w:sz w:val="21"/>
        </w:rPr>
        <w:t xml:space="preserve"> </w:t>
      </w:r>
    </w:p>
    <w:p w14:paraId="6B60A7B6" w14:textId="77777777" w:rsidR="00A71EEF" w:rsidRDefault="0081115D">
      <w:pPr>
        <w:pStyle w:val="a4"/>
        <w:numPr>
          <w:ilvl w:val="0"/>
          <w:numId w:val="359"/>
        </w:numPr>
        <w:tabs>
          <w:tab w:val="left" w:pos="1367"/>
        </w:tabs>
        <w:rPr>
          <w:sz w:val="21"/>
        </w:rPr>
      </w:pPr>
      <w:r>
        <w:rPr>
          <w:spacing w:val="-3"/>
          <w:sz w:val="21"/>
        </w:rPr>
        <w:t>除液化石油气外的石油储罐。</w:t>
      </w:r>
      <w:r>
        <w:rPr>
          <w:sz w:val="21"/>
        </w:rPr>
        <w:t xml:space="preserve"> </w:t>
      </w:r>
    </w:p>
    <w:p w14:paraId="760EE28E" w14:textId="77777777" w:rsidR="00A71EEF" w:rsidRDefault="00A71EEF">
      <w:pPr>
        <w:pStyle w:val="a3"/>
        <w:spacing w:before="12"/>
        <w:rPr>
          <w:sz w:val="17"/>
        </w:rPr>
      </w:pPr>
    </w:p>
    <w:p w14:paraId="34166217" w14:textId="77777777" w:rsidR="00A71EEF" w:rsidRDefault="0081115D">
      <w:pPr>
        <w:pStyle w:val="a4"/>
        <w:numPr>
          <w:ilvl w:val="0"/>
          <w:numId w:val="359"/>
        </w:numPr>
        <w:tabs>
          <w:tab w:val="left" w:pos="1367"/>
        </w:tabs>
        <w:rPr>
          <w:sz w:val="21"/>
        </w:rPr>
      </w:pPr>
      <w:r>
        <w:rPr>
          <w:spacing w:val="-3"/>
          <w:sz w:val="21"/>
        </w:rPr>
        <w:t>需要设置线型感温火灾探测器的易燃易爆场所。</w:t>
      </w:r>
      <w:r>
        <w:rPr>
          <w:spacing w:val="-3"/>
          <w:sz w:val="21"/>
        </w:rPr>
        <w:t xml:space="preserve"> </w:t>
      </w:r>
    </w:p>
    <w:p w14:paraId="59BDD39C" w14:textId="77777777" w:rsidR="00A71EEF" w:rsidRDefault="00A71EEF">
      <w:pPr>
        <w:pStyle w:val="a3"/>
        <w:spacing w:before="2"/>
        <w:rPr>
          <w:sz w:val="18"/>
        </w:rPr>
      </w:pPr>
    </w:p>
    <w:p w14:paraId="626BFDE8" w14:textId="77777777" w:rsidR="00A71EEF" w:rsidRDefault="0081115D">
      <w:pPr>
        <w:pStyle w:val="a4"/>
        <w:numPr>
          <w:ilvl w:val="0"/>
          <w:numId w:val="359"/>
        </w:numPr>
        <w:tabs>
          <w:tab w:val="left" w:pos="1370"/>
        </w:tabs>
        <w:spacing w:line="446" w:lineRule="auto"/>
        <w:ind w:left="418" w:right="1438" w:firstLine="419"/>
        <w:rPr>
          <w:sz w:val="21"/>
        </w:rPr>
      </w:pPr>
      <w:r>
        <w:rPr>
          <w:spacing w:val="-1"/>
          <w:sz w:val="21"/>
        </w:rPr>
        <w:t>需要监测环境温度的地下空间等场所宜设置具有实时温度监测功能的线型光纤感温火</w:t>
      </w:r>
      <w:r>
        <w:rPr>
          <w:spacing w:val="-2"/>
          <w:sz w:val="21"/>
        </w:rPr>
        <w:t>灾探测器。</w:t>
      </w:r>
      <w:r>
        <w:rPr>
          <w:sz w:val="21"/>
        </w:rPr>
        <w:t xml:space="preserve"> </w:t>
      </w:r>
    </w:p>
    <w:p w14:paraId="63F89F3F" w14:textId="77777777" w:rsidR="00A71EEF" w:rsidRDefault="0081115D">
      <w:pPr>
        <w:pStyle w:val="a4"/>
        <w:numPr>
          <w:ilvl w:val="0"/>
          <w:numId w:val="359"/>
        </w:numPr>
        <w:tabs>
          <w:tab w:val="left" w:pos="1367"/>
        </w:tabs>
        <w:spacing w:line="267" w:lineRule="exact"/>
        <w:rPr>
          <w:sz w:val="21"/>
        </w:rPr>
      </w:pPr>
      <w:r>
        <w:rPr>
          <w:spacing w:val="-3"/>
          <w:sz w:val="21"/>
        </w:rPr>
        <w:t>公路隧道、敷设动力电缆的铁路隧道和城市地铁隧道等。</w:t>
      </w:r>
      <w:r>
        <w:rPr>
          <w:spacing w:val="-3"/>
          <w:sz w:val="21"/>
        </w:rPr>
        <w:t xml:space="preserve"> </w:t>
      </w:r>
      <w:r>
        <w:rPr>
          <w:sz w:val="21"/>
        </w:rPr>
        <w:t xml:space="preserve">  </w:t>
      </w:r>
    </w:p>
    <w:p w14:paraId="5402184A" w14:textId="77777777" w:rsidR="00A71EEF" w:rsidRDefault="00A71EEF">
      <w:pPr>
        <w:pStyle w:val="a3"/>
        <w:spacing w:before="2"/>
        <w:rPr>
          <w:sz w:val="18"/>
        </w:rPr>
      </w:pPr>
    </w:p>
    <w:p w14:paraId="6F6AB801" w14:textId="77777777" w:rsidR="00A71EEF" w:rsidRDefault="0081115D">
      <w:pPr>
        <w:pStyle w:val="a3"/>
        <w:spacing w:line="446" w:lineRule="auto"/>
        <w:ind w:left="418" w:right="1394" w:firstLine="422"/>
      </w:pPr>
      <w:r>
        <w:rPr>
          <w:b/>
        </w:rPr>
        <w:t xml:space="preserve">5.3.5 </w:t>
      </w:r>
      <w:r>
        <w:t>线型定温火灾探测器的选择，应保证其不动作温度符合设置场所的最高环境温度的要求。</w:t>
      </w:r>
      <w:r>
        <w:t xml:space="preserve"> </w:t>
      </w:r>
    </w:p>
    <w:p w14:paraId="6C21F87E" w14:textId="77777777" w:rsidR="00A71EEF" w:rsidRDefault="0081115D">
      <w:pPr>
        <w:pStyle w:val="a4"/>
        <w:numPr>
          <w:ilvl w:val="1"/>
          <w:numId w:val="371"/>
        </w:numPr>
        <w:tabs>
          <w:tab w:val="left" w:pos="1159"/>
        </w:tabs>
        <w:spacing w:line="267" w:lineRule="exact"/>
        <w:ind w:hanging="319"/>
        <w:rPr>
          <w:sz w:val="21"/>
        </w:rPr>
      </w:pPr>
      <w:r>
        <w:rPr>
          <w:spacing w:val="-3"/>
          <w:sz w:val="21"/>
        </w:rPr>
        <w:t>吸气式感烟火灾探测器的选择</w:t>
      </w:r>
      <w:r>
        <w:rPr>
          <w:sz w:val="21"/>
        </w:rPr>
        <w:t xml:space="preserve"> </w:t>
      </w:r>
    </w:p>
    <w:p w14:paraId="6E46FCF8" w14:textId="77777777" w:rsidR="00A71EEF" w:rsidRDefault="00A71EEF">
      <w:pPr>
        <w:pStyle w:val="a3"/>
        <w:spacing w:before="1"/>
        <w:rPr>
          <w:sz w:val="18"/>
        </w:rPr>
      </w:pPr>
    </w:p>
    <w:p w14:paraId="3463B865" w14:textId="77777777" w:rsidR="00A71EEF" w:rsidRDefault="0081115D">
      <w:pPr>
        <w:pStyle w:val="a4"/>
        <w:numPr>
          <w:ilvl w:val="2"/>
          <w:numId w:val="371"/>
        </w:numPr>
        <w:tabs>
          <w:tab w:val="left" w:pos="1371"/>
        </w:tabs>
        <w:spacing w:before="1"/>
        <w:ind w:left="1370" w:hanging="531"/>
        <w:rPr>
          <w:sz w:val="21"/>
        </w:rPr>
      </w:pPr>
      <w:r>
        <w:rPr>
          <w:spacing w:val="-3"/>
          <w:sz w:val="21"/>
        </w:rPr>
        <w:t>下列场所宜选择吸气式感烟火灾探测器：</w:t>
      </w:r>
      <w:r>
        <w:rPr>
          <w:sz w:val="21"/>
        </w:rPr>
        <w:t xml:space="preserve"> </w:t>
      </w:r>
    </w:p>
    <w:p w14:paraId="70A5CFBB" w14:textId="77777777" w:rsidR="00A71EEF" w:rsidRDefault="00A71EEF">
      <w:pPr>
        <w:pStyle w:val="a3"/>
        <w:spacing w:before="12"/>
        <w:rPr>
          <w:sz w:val="17"/>
        </w:rPr>
      </w:pPr>
    </w:p>
    <w:p w14:paraId="241F3F5B" w14:textId="77777777" w:rsidR="00A71EEF" w:rsidRDefault="0081115D">
      <w:pPr>
        <w:pStyle w:val="a4"/>
        <w:numPr>
          <w:ilvl w:val="0"/>
          <w:numId w:val="358"/>
        </w:numPr>
        <w:tabs>
          <w:tab w:val="left" w:pos="1367"/>
        </w:tabs>
        <w:rPr>
          <w:sz w:val="21"/>
        </w:rPr>
      </w:pPr>
      <w:r>
        <w:rPr>
          <w:spacing w:val="-3"/>
          <w:sz w:val="21"/>
        </w:rPr>
        <w:t>具有高速气流的场所。</w:t>
      </w:r>
      <w:r>
        <w:rPr>
          <w:spacing w:val="-3"/>
          <w:sz w:val="21"/>
        </w:rPr>
        <w:t xml:space="preserve"> </w:t>
      </w:r>
    </w:p>
    <w:p w14:paraId="5DCE5ACD" w14:textId="77777777" w:rsidR="00A71EEF" w:rsidRDefault="00A71EEF">
      <w:pPr>
        <w:pStyle w:val="a3"/>
        <w:rPr>
          <w:sz w:val="18"/>
        </w:rPr>
      </w:pPr>
    </w:p>
    <w:p w14:paraId="507E5505" w14:textId="77777777" w:rsidR="00A71EEF" w:rsidRDefault="0081115D">
      <w:pPr>
        <w:pStyle w:val="a4"/>
        <w:numPr>
          <w:ilvl w:val="0"/>
          <w:numId w:val="358"/>
        </w:numPr>
        <w:tabs>
          <w:tab w:val="left" w:pos="1367"/>
        </w:tabs>
        <w:spacing w:line="446" w:lineRule="auto"/>
        <w:ind w:left="418" w:right="1433" w:firstLine="419"/>
        <w:rPr>
          <w:sz w:val="21"/>
        </w:rPr>
      </w:pPr>
      <w:r>
        <w:rPr>
          <w:spacing w:val="-7"/>
          <w:sz w:val="21"/>
        </w:rPr>
        <w:t>点型感烟、感温火灾探测器不适宜的大空间、舞台上方、建筑高度超过</w:t>
      </w:r>
      <w:r>
        <w:rPr>
          <w:spacing w:val="-7"/>
          <w:sz w:val="21"/>
        </w:rPr>
        <w:t xml:space="preserve"> </w:t>
      </w:r>
      <w:r>
        <w:rPr>
          <w:sz w:val="21"/>
        </w:rPr>
        <w:t>12m</w:t>
      </w:r>
      <w:r>
        <w:rPr>
          <w:spacing w:val="2"/>
          <w:sz w:val="21"/>
        </w:rPr>
        <w:t xml:space="preserve"> </w:t>
      </w:r>
      <w:r>
        <w:rPr>
          <w:spacing w:val="2"/>
          <w:sz w:val="21"/>
        </w:rPr>
        <w:t>或有特殊</w:t>
      </w:r>
      <w:r>
        <w:rPr>
          <w:spacing w:val="-2"/>
          <w:sz w:val="21"/>
        </w:rPr>
        <w:t>要求的场所。</w:t>
      </w:r>
      <w:r>
        <w:rPr>
          <w:sz w:val="21"/>
        </w:rPr>
        <w:t xml:space="preserve"> </w:t>
      </w:r>
    </w:p>
    <w:p w14:paraId="199085E6" w14:textId="77777777" w:rsidR="00A71EEF" w:rsidRDefault="0081115D">
      <w:pPr>
        <w:pStyle w:val="a4"/>
        <w:numPr>
          <w:ilvl w:val="0"/>
          <w:numId w:val="358"/>
        </w:numPr>
        <w:tabs>
          <w:tab w:val="left" w:pos="1367"/>
        </w:tabs>
        <w:rPr>
          <w:sz w:val="21"/>
        </w:rPr>
      </w:pPr>
      <w:r>
        <w:rPr>
          <w:spacing w:val="-3"/>
          <w:sz w:val="21"/>
        </w:rPr>
        <w:t>低温场所。</w:t>
      </w:r>
      <w:r>
        <w:rPr>
          <w:sz w:val="21"/>
        </w:rPr>
        <w:t xml:space="preserve"> </w:t>
      </w:r>
    </w:p>
    <w:p w14:paraId="586D7D4E" w14:textId="77777777" w:rsidR="00A71EEF" w:rsidRDefault="00A71EEF">
      <w:pPr>
        <w:pStyle w:val="a3"/>
        <w:spacing w:before="12"/>
        <w:rPr>
          <w:sz w:val="17"/>
        </w:rPr>
      </w:pPr>
    </w:p>
    <w:p w14:paraId="7B6CEE60" w14:textId="77777777" w:rsidR="00A71EEF" w:rsidRDefault="0081115D">
      <w:pPr>
        <w:pStyle w:val="a4"/>
        <w:numPr>
          <w:ilvl w:val="0"/>
          <w:numId w:val="358"/>
        </w:numPr>
        <w:tabs>
          <w:tab w:val="left" w:pos="1367"/>
        </w:tabs>
        <w:rPr>
          <w:sz w:val="21"/>
        </w:rPr>
      </w:pPr>
      <w:r>
        <w:rPr>
          <w:spacing w:val="-3"/>
          <w:sz w:val="21"/>
        </w:rPr>
        <w:t>需要进行隐蔽探测的场所。</w:t>
      </w:r>
      <w:r>
        <w:rPr>
          <w:sz w:val="21"/>
        </w:rPr>
        <w:t xml:space="preserve"> </w:t>
      </w:r>
    </w:p>
    <w:p w14:paraId="1D01DF4C" w14:textId="77777777" w:rsidR="00A71EEF" w:rsidRDefault="00A71EEF">
      <w:pPr>
        <w:pStyle w:val="a3"/>
        <w:spacing w:before="2"/>
        <w:rPr>
          <w:sz w:val="18"/>
        </w:rPr>
      </w:pPr>
    </w:p>
    <w:p w14:paraId="6BE03B5A" w14:textId="77777777" w:rsidR="00A71EEF" w:rsidRDefault="0081115D">
      <w:pPr>
        <w:pStyle w:val="a4"/>
        <w:numPr>
          <w:ilvl w:val="0"/>
          <w:numId w:val="358"/>
        </w:numPr>
        <w:tabs>
          <w:tab w:val="left" w:pos="1367"/>
        </w:tabs>
        <w:rPr>
          <w:sz w:val="21"/>
        </w:rPr>
      </w:pPr>
      <w:r>
        <w:rPr>
          <w:spacing w:val="-3"/>
          <w:sz w:val="21"/>
        </w:rPr>
        <w:t>需要进行火灾早期探测的重要场所。</w:t>
      </w:r>
      <w:r>
        <w:rPr>
          <w:sz w:val="21"/>
        </w:rPr>
        <w:t xml:space="preserve"> </w:t>
      </w:r>
    </w:p>
    <w:p w14:paraId="1451D63F" w14:textId="77777777" w:rsidR="00A71EEF" w:rsidRDefault="00A71EEF">
      <w:pPr>
        <w:pStyle w:val="a3"/>
        <w:rPr>
          <w:sz w:val="18"/>
        </w:rPr>
      </w:pPr>
    </w:p>
    <w:p w14:paraId="2294EDC1" w14:textId="77777777" w:rsidR="00A71EEF" w:rsidRDefault="0081115D">
      <w:pPr>
        <w:pStyle w:val="a4"/>
        <w:numPr>
          <w:ilvl w:val="0"/>
          <w:numId w:val="358"/>
        </w:numPr>
        <w:tabs>
          <w:tab w:val="left" w:pos="1367"/>
          <w:tab w:val="left" w:pos="3778"/>
        </w:tabs>
        <w:rPr>
          <w:sz w:val="21"/>
        </w:rPr>
      </w:pPr>
      <w:r>
        <w:rPr>
          <w:sz w:val="21"/>
        </w:rPr>
        <w:t>人</w:t>
      </w:r>
      <w:r>
        <w:rPr>
          <w:spacing w:val="-3"/>
          <w:sz w:val="21"/>
        </w:rPr>
        <w:t>员</w:t>
      </w:r>
      <w:r>
        <w:rPr>
          <w:sz w:val="21"/>
        </w:rPr>
        <w:t>不</w:t>
      </w:r>
      <w:r>
        <w:rPr>
          <w:spacing w:val="-3"/>
          <w:sz w:val="21"/>
        </w:rPr>
        <w:t>宜</w:t>
      </w:r>
      <w:r>
        <w:rPr>
          <w:sz w:val="21"/>
        </w:rPr>
        <w:t>进</w:t>
      </w:r>
      <w:r>
        <w:rPr>
          <w:spacing w:val="-3"/>
          <w:sz w:val="21"/>
        </w:rPr>
        <w:t>入</w:t>
      </w:r>
      <w:r>
        <w:rPr>
          <w:sz w:val="21"/>
        </w:rPr>
        <w:t>的</w:t>
      </w:r>
      <w:r>
        <w:rPr>
          <w:spacing w:val="-3"/>
          <w:sz w:val="21"/>
        </w:rPr>
        <w:t>场所</w:t>
      </w:r>
      <w:r>
        <w:rPr>
          <w:sz w:val="21"/>
        </w:rPr>
        <w:t>。</w:t>
      </w:r>
      <w:r>
        <w:rPr>
          <w:sz w:val="21"/>
        </w:rPr>
        <w:t xml:space="preserve"> </w:t>
      </w:r>
      <w:r>
        <w:rPr>
          <w:sz w:val="21"/>
        </w:rPr>
        <w:tab/>
      </w:r>
      <w:r>
        <w:rPr>
          <w:sz w:val="21"/>
        </w:rPr>
        <w:t xml:space="preserve">  </w:t>
      </w:r>
    </w:p>
    <w:p w14:paraId="4671C7CD" w14:textId="77777777" w:rsidR="00A71EEF" w:rsidRDefault="00A71EEF">
      <w:pPr>
        <w:pStyle w:val="a3"/>
        <w:spacing w:before="12"/>
        <w:rPr>
          <w:sz w:val="17"/>
        </w:rPr>
      </w:pPr>
    </w:p>
    <w:p w14:paraId="160AD047" w14:textId="77777777" w:rsidR="00A71EEF" w:rsidRDefault="0081115D">
      <w:pPr>
        <w:pStyle w:val="a4"/>
        <w:numPr>
          <w:ilvl w:val="2"/>
          <w:numId w:val="371"/>
        </w:numPr>
        <w:tabs>
          <w:tab w:val="left" w:pos="1371"/>
        </w:tabs>
        <w:spacing w:line="446" w:lineRule="auto"/>
        <w:ind w:left="418" w:right="1431" w:firstLine="422"/>
        <w:rPr>
          <w:sz w:val="21"/>
        </w:rPr>
      </w:pPr>
      <w:r>
        <w:rPr>
          <w:spacing w:val="-7"/>
          <w:sz w:val="21"/>
        </w:rPr>
        <w:t>灰尘比较大的场所，不应选择没有过滤网和管路自清洗功能的管路采样式吸气感烟火</w:t>
      </w:r>
      <w:r>
        <w:rPr>
          <w:spacing w:val="-5"/>
          <w:sz w:val="21"/>
        </w:rPr>
        <w:t>灾探测器。</w:t>
      </w:r>
      <w:r>
        <w:rPr>
          <w:sz w:val="21"/>
        </w:rPr>
        <w:t xml:space="preserve"> </w:t>
      </w:r>
      <w:r>
        <w:rPr>
          <w:spacing w:val="-2"/>
          <w:sz w:val="21"/>
        </w:rPr>
        <w:t xml:space="preserve"> </w:t>
      </w:r>
      <w:r>
        <w:rPr>
          <w:sz w:val="21"/>
        </w:rPr>
        <w:t xml:space="preserve">  </w:t>
      </w:r>
    </w:p>
    <w:p w14:paraId="37E4EE3D" w14:textId="77777777" w:rsidR="00A71EEF" w:rsidRDefault="0081115D">
      <w:pPr>
        <w:pStyle w:val="4"/>
        <w:spacing w:line="277" w:lineRule="exact"/>
      </w:pPr>
      <w:r>
        <w:t xml:space="preserve">6 </w:t>
      </w:r>
      <w:r>
        <w:t>系统设备的设置</w:t>
      </w:r>
      <w:r>
        <w:rPr>
          <w:w w:val="99"/>
        </w:rPr>
        <w:t xml:space="preserve"> </w:t>
      </w:r>
    </w:p>
    <w:p w14:paraId="649467B6" w14:textId="77777777" w:rsidR="00A71EEF" w:rsidRDefault="00A71EEF">
      <w:pPr>
        <w:pStyle w:val="a3"/>
        <w:spacing w:before="4"/>
        <w:rPr>
          <w:b/>
          <w:sz w:val="17"/>
        </w:rPr>
      </w:pPr>
    </w:p>
    <w:p w14:paraId="2C5B8AE2" w14:textId="77777777" w:rsidR="00A71EEF" w:rsidRDefault="0081115D">
      <w:pPr>
        <w:pStyle w:val="a4"/>
        <w:numPr>
          <w:ilvl w:val="1"/>
          <w:numId w:val="357"/>
        </w:numPr>
        <w:tabs>
          <w:tab w:val="left" w:pos="1160"/>
        </w:tabs>
        <w:rPr>
          <w:sz w:val="21"/>
        </w:rPr>
      </w:pPr>
      <w:r>
        <w:rPr>
          <w:spacing w:val="-3"/>
          <w:sz w:val="21"/>
        </w:rPr>
        <w:t>火灾报警控制器和消防联动控制器的设置</w:t>
      </w:r>
      <w:r>
        <w:rPr>
          <w:sz w:val="21"/>
        </w:rPr>
        <w:t xml:space="preserve"> </w:t>
      </w:r>
    </w:p>
    <w:p w14:paraId="4EEBCACE" w14:textId="77777777" w:rsidR="00A71EEF" w:rsidRDefault="00A71EEF">
      <w:pPr>
        <w:pStyle w:val="a3"/>
        <w:spacing w:before="2"/>
        <w:rPr>
          <w:sz w:val="18"/>
        </w:rPr>
      </w:pPr>
    </w:p>
    <w:p w14:paraId="46D01E59" w14:textId="77777777" w:rsidR="00A71EEF" w:rsidRDefault="0081115D">
      <w:pPr>
        <w:pStyle w:val="a4"/>
        <w:numPr>
          <w:ilvl w:val="2"/>
          <w:numId w:val="357"/>
        </w:numPr>
        <w:tabs>
          <w:tab w:val="left" w:pos="1371"/>
        </w:tabs>
        <w:rPr>
          <w:sz w:val="21"/>
        </w:rPr>
      </w:pPr>
      <w:r>
        <w:rPr>
          <w:spacing w:val="-9"/>
          <w:sz w:val="21"/>
        </w:rPr>
        <w:t>火灾报警控制器和消防联动控制器，应设置在消防控制室内或有人值班的房间和场所。</w:t>
      </w:r>
      <w:r>
        <w:rPr>
          <w:sz w:val="21"/>
        </w:rPr>
        <w:t xml:space="preserve"> </w:t>
      </w:r>
    </w:p>
    <w:p w14:paraId="39290A2F" w14:textId="77777777" w:rsidR="00A71EEF" w:rsidRDefault="00A71EEF">
      <w:pPr>
        <w:pStyle w:val="a3"/>
        <w:rPr>
          <w:sz w:val="18"/>
        </w:rPr>
      </w:pPr>
    </w:p>
    <w:p w14:paraId="76787C58" w14:textId="77777777" w:rsidR="00A71EEF" w:rsidRDefault="0081115D">
      <w:pPr>
        <w:pStyle w:val="a4"/>
        <w:numPr>
          <w:ilvl w:val="2"/>
          <w:numId w:val="357"/>
        </w:numPr>
        <w:tabs>
          <w:tab w:val="left" w:pos="1370"/>
        </w:tabs>
        <w:ind w:left="1369" w:hanging="530"/>
        <w:rPr>
          <w:sz w:val="21"/>
        </w:rPr>
      </w:pPr>
      <w:r>
        <w:rPr>
          <w:spacing w:val="-5"/>
          <w:sz w:val="21"/>
        </w:rPr>
        <w:t>火灾报警控制器和消防联动控制器等在消防控制室内的布置，应符合本规范第</w:t>
      </w:r>
      <w:r>
        <w:rPr>
          <w:spacing w:val="-5"/>
          <w:sz w:val="21"/>
        </w:rPr>
        <w:t xml:space="preserve"> </w:t>
      </w:r>
      <w:r>
        <w:rPr>
          <w:sz w:val="21"/>
        </w:rPr>
        <w:t xml:space="preserve">3.4.8  </w:t>
      </w:r>
    </w:p>
    <w:p w14:paraId="074742EB" w14:textId="77777777" w:rsidR="00A71EEF" w:rsidRDefault="00A71EEF">
      <w:pPr>
        <w:pStyle w:val="a3"/>
        <w:rPr>
          <w:sz w:val="18"/>
        </w:rPr>
      </w:pPr>
    </w:p>
    <w:p w14:paraId="53DEEA17" w14:textId="77777777" w:rsidR="00A71EEF" w:rsidRDefault="0081115D">
      <w:pPr>
        <w:pStyle w:val="a3"/>
        <w:ind w:left="418"/>
      </w:pPr>
      <w:r>
        <w:t>条的规</w:t>
      </w:r>
      <w:r>
        <w:t xml:space="preserve"> </w:t>
      </w:r>
      <w:r>
        <w:t>定。</w:t>
      </w:r>
      <w:r>
        <w:t xml:space="preserve">   </w:t>
      </w:r>
    </w:p>
    <w:p w14:paraId="29C76174" w14:textId="77777777" w:rsidR="00A71EEF" w:rsidRDefault="00A71EEF">
      <w:pPr>
        <w:pStyle w:val="a3"/>
        <w:spacing w:before="1"/>
        <w:rPr>
          <w:sz w:val="18"/>
        </w:rPr>
      </w:pPr>
    </w:p>
    <w:p w14:paraId="60F26499" w14:textId="77777777" w:rsidR="00A71EEF" w:rsidRDefault="0081115D">
      <w:pPr>
        <w:pStyle w:val="a4"/>
        <w:numPr>
          <w:ilvl w:val="2"/>
          <w:numId w:val="357"/>
        </w:numPr>
        <w:tabs>
          <w:tab w:val="left" w:pos="1370"/>
        </w:tabs>
        <w:spacing w:before="1"/>
        <w:ind w:left="1369" w:hanging="530"/>
        <w:rPr>
          <w:sz w:val="21"/>
        </w:rPr>
      </w:pPr>
      <w:r>
        <w:rPr>
          <w:spacing w:val="-5"/>
          <w:sz w:val="21"/>
        </w:rPr>
        <w:t>火灾报警控制器和消防联动控制器安装在墙上时，其主显示屏高度宜为</w:t>
      </w:r>
      <w:r>
        <w:rPr>
          <w:spacing w:val="-5"/>
          <w:sz w:val="21"/>
        </w:rPr>
        <w:t xml:space="preserve"> </w:t>
      </w:r>
      <w:r>
        <w:rPr>
          <w:sz w:val="21"/>
        </w:rPr>
        <w:t>1.5</w:t>
      </w:r>
      <w:r>
        <w:rPr>
          <w:sz w:val="21"/>
        </w:rPr>
        <w:t>～</w:t>
      </w:r>
      <w:r>
        <w:rPr>
          <w:sz w:val="21"/>
        </w:rPr>
        <w:t xml:space="preserve">1.8m </w:t>
      </w:r>
      <w:r>
        <w:rPr>
          <w:sz w:val="21"/>
        </w:rPr>
        <w:t>，</w:t>
      </w:r>
    </w:p>
    <w:p w14:paraId="4E0A2A08" w14:textId="77777777" w:rsidR="00A71EEF" w:rsidRDefault="00A71EEF">
      <w:pPr>
        <w:rPr>
          <w:sz w:val="21"/>
        </w:rPr>
        <w:sectPr w:rsidR="00A71EEF">
          <w:pgSz w:w="11910" w:h="16850"/>
          <w:pgMar w:top="1220" w:right="0" w:bottom="1420" w:left="1260" w:header="0" w:footer="1239" w:gutter="0"/>
          <w:cols w:space="720"/>
        </w:sectPr>
      </w:pPr>
    </w:p>
    <w:p w14:paraId="76FB56AF" w14:textId="77777777" w:rsidR="00A71EEF" w:rsidRDefault="0081115D">
      <w:pPr>
        <w:pStyle w:val="a3"/>
        <w:tabs>
          <w:tab w:val="left" w:pos="7558"/>
        </w:tabs>
        <w:spacing w:before="47"/>
        <w:ind w:left="418"/>
      </w:pPr>
      <w:r>
        <w:t>其靠</w:t>
      </w:r>
      <w:r>
        <w:rPr>
          <w:spacing w:val="-3"/>
        </w:rPr>
        <w:t>近</w:t>
      </w:r>
      <w:r>
        <w:t>门</w:t>
      </w:r>
      <w:r>
        <w:rPr>
          <w:spacing w:val="-3"/>
        </w:rPr>
        <w:t>轴</w:t>
      </w:r>
      <w:r>
        <w:t>的</w:t>
      </w:r>
      <w:r>
        <w:rPr>
          <w:spacing w:val="-3"/>
        </w:rPr>
        <w:t>侧</w:t>
      </w:r>
      <w:r>
        <w:t>面</w:t>
      </w:r>
      <w:r>
        <w:rPr>
          <w:spacing w:val="-3"/>
        </w:rPr>
        <w:t>距</w:t>
      </w:r>
      <w:r>
        <w:t>墙</w:t>
      </w:r>
      <w:r>
        <w:rPr>
          <w:spacing w:val="-3"/>
        </w:rPr>
        <w:t>不</w:t>
      </w:r>
      <w:r>
        <w:t>应小</w:t>
      </w:r>
      <w:r>
        <w:rPr>
          <w:spacing w:val="-3"/>
        </w:rPr>
        <w:t>于</w:t>
      </w:r>
      <w:r>
        <w:rPr>
          <w:spacing w:val="8"/>
        </w:rPr>
        <w:t xml:space="preserve"> </w:t>
      </w:r>
      <w:r>
        <w:t>0.5m</w:t>
      </w:r>
      <w:r>
        <w:rPr>
          <w:spacing w:val="7"/>
        </w:rPr>
        <w:t xml:space="preserve"> </w:t>
      </w:r>
      <w:r>
        <w:rPr>
          <w:spacing w:val="-3"/>
        </w:rPr>
        <w:t>，</w:t>
      </w:r>
      <w:r>
        <w:t>正</w:t>
      </w:r>
      <w:r>
        <w:rPr>
          <w:spacing w:val="-3"/>
        </w:rPr>
        <w:t>面</w:t>
      </w:r>
      <w:r>
        <w:t>操</w:t>
      </w:r>
      <w:r>
        <w:rPr>
          <w:spacing w:val="-3"/>
        </w:rPr>
        <w:t>作</w:t>
      </w:r>
      <w:r>
        <w:t>距离</w:t>
      </w:r>
      <w:r>
        <w:rPr>
          <w:spacing w:val="-3"/>
        </w:rPr>
        <w:t>不</w:t>
      </w:r>
      <w:r>
        <w:t>应</w:t>
      </w:r>
      <w:r>
        <w:rPr>
          <w:spacing w:val="-3"/>
        </w:rPr>
        <w:t>小</w:t>
      </w:r>
      <w:r>
        <w:t>于</w:t>
      </w:r>
      <w:r>
        <w:rPr>
          <w:spacing w:val="8"/>
        </w:rPr>
        <w:t xml:space="preserve"> </w:t>
      </w:r>
      <w:r>
        <w:t>1.2m</w:t>
      </w:r>
      <w:r>
        <w:rPr>
          <w:spacing w:val="5"/>
        </w:rPr>
        <w:t xml:space="preserve"> </w:t>
      </w:r>
      <w:r>
        <w:rPr>
          <w:spacing w:val="-3"/>
        </w:rPr>
        <w:t>。</w:t>
      </w:r>
      <w:r>
        <w:t xml:space="preserve"> </w:t>
      </w:r>
      <w:r>
        <w:tab/>
      </w:r>
      <w:r>
        <w:t xml:space="preserve">  </w:t>
      </w:r>
    </w:p>
    <w:p w14:paraId="2339795A" w14:textId="77777777" w:rsidR="00A71EEF" w:rsidRDefault="00A71EEF">
      <w:pPr>
        <w:pStyle w:val="a3"/>
        <w:rPr>
          <w:sz w:val="18"/>
        </w:rPr>
      </w:pPr>
    </w:p>
    <w:p w14:paraId="6EF13C3F" w14:textId="77777777" w:rsidR="00A71EEF" w:rsidRDefault="0081115D">
      <w:pPr>
        <w:pStyle w:val="a4"/>
        <w:numPr>
          <w:ilvl w:val="2"/>
          <w:numId w:val="357"/>
        </w:numPr>
        <w:tabs>
          <w:tab w:val="left" w:pos="1370"/>
        </w:tabs>
        <w:spacing w:line="446" w:lineRule="auto"/>
        <w:ind w:left="418" w:right="1431" w:firstLine="422"/>
        <w:rPr>
          <w:sz w:val="21"/>
        </w:rPr>
      </w:pPr>
      <w:r>
        <w:rPr>
          <w:spacing w:val="-5"/>
          <w:sz w:val="21"/>
        </w:rPr>
        <w:t>集中报警系统和控制中心报警系统中的区域火灾报警控制器在满足下列条件时，可设</w:t>
      </w:r>
      <w:r>
        <w:rPr>
          <w:spacing w:val="-4"/>
          <w:sz w:val="21"/>
        </w:rPr>
        <w:t>置在无人值班的场所：</w:t>
      </w:r>
      <w:r>
        <w:rPr>
          <w:sz w:val="21"/>
        </w:rPr>
        <w:t xml:space="preserve"> </w:t>
      </w:r>
    </w:p>
    <w:p w14:paraId="37A132D3" w14:textId="77777777" w:rsidR="00A71EEF" w:rsidRDefault="0081115D">
      <w:pPr>
        <w:pStyle w:val="a4"/>
        <w:numPr>
          <w:ilvl w:val="0"/>
          <w:numId w:val="356"/>
        </w:numPr>
        <w:tabs>
          <w:tab w:val="left" w:pos="1367"/>
        </w:tabs>
        <w:rPr>
          <w:sz w:val="21"/>
        </w:rPr>
      </w:pPr>
      <w:r>
        <w:rPr>
          <w:spacing w:val="-3"/>
          <w:sz w:val="21"/>
        </w:rPr>
        <w:t>本区域内无需要手动控制的消防联动设备。</w:t>
      </w:r>
      <w:r>
        <w:rPr>
          <w:sz w:val="21"/>
        </w:rPr>
        <w:t xml:space="preserve"> </w:t>
      </w:r>
    </w:p>
    <w:p w14:paraId="3E279EE5" w14:textId="77777777" w:rsidR="00A71EEF" w:rsidRDefault="00A71EEF">
      <w:pPr>
        <w:pStyle w:val="a3"/>
        <w:spacing w:before="12"/>
        <w:rPr>
          <w:sz w:val="17"/>
        </w:rPr>
      </w:pPr>
    </w:p>
    <w:p w14:paraId="110793A8" w14:textId="77777777" w:rsidR="00A71EEF" w:rsidRDefault="0081115D">
      <w:pPr>
        <w:pStyle w:val="a4"/>
        <w:numPr>
          <w:ilvl w:val="0"/>
          <w:numId w:val="356"/>
        </w:numPr>
        <w:tabs>
          <w:tab w:val="left" w:pos="1370"/>
        </w:tabs>
        <w:spacing w:line="446" w:lineRule="auto"/>
        <w:ind w:left="418" w:right="1438" w:firstLine="419"/>
        <w:rPr>
          <w:sz w:val="21"/>
        </w:rPr>
      </w:pPr>
      <w:r>
        <w:rPr>
          <w:spacing w:val="-1"/>
          <w:sz w:val="21"/>
        </w:rPr>
        <w:t>本火灾报警控制器的所有信息在集中火灾报警控制器上均有显示，且能接收起集中控</w:t>
      </w:r>
      <w:r>
        <w:rPr>
          <w:spacing w:val="-3"/>
          <w:sz w:val="21"/>
        </w:rPr>
        <w:t>制功能的</w:t>
      </w:r>
      <w:r>
        <w:rPr>
          <w:spacing w:val="-3"/>
          <w:sz w:val="21"/>
        </w:rPr>
        <w:t xml:space="preserve"> </w:t>
      </w:r>
      <w:r>
        <w:rPr>
          <w:spacing w:val="-3"/>
          <w:sz w:val="21"/>
        </w:rPr>
        <w:t>火灾报警控制器的联动控制信号，并自动启动相应的消防设备。</w:t>
      </w:r>
      <w:r>
        <w:rPr>
          <w:sz w:val="21"/>
        </w:rPr>
        <w:t xml:space="preserve"> </w:t>
      </w:r>
    </w:p>
    <w:p w14:paraId="6AB84D0D" w14:textId="77777777" w:rsidR="00A71EEF" w:rsidRDefault="0081115D">
      <w:pPr>
        <w:pStyle w:val="a4"/>
        <w:numPr>
          <w:ilvl w:val="0"/>
          <w:numId w:val="356"/>
        </w:numPr>
        <w:tabs>
          <w:tab w:val="left" w:pos="1367"/>
          <w:tab w:val="left" w:pos="5038"/>
          <w:tab w:val="left" w:pos="5458"/>
        </w:tabs>
        <w:spacing w:line="446" w:lineRule="auto"/>
        <w:ind w:left="840" w:right="4974" w:hanging="3"/>
        <w:rPr>
          <w:sz w:val="21"/>
        </w:rPr>
      </w:pPr>
      <w:r>
        <w:rPr>
          <w:sz w:val="21"/>
        </w:rPr>
        <w:t>设</w:t>
      </w:r>
      <w:r>
        <w:rPr>
          <w:spacing w:val="-3"/>
          <w:sz w:val="21"/>
        </w:rPr>
        <w:t>置</w:t>
      </w:r>
      <w:r>
        <w:rPr>
          <w:sz w:val="21"/>
        </w:rPr>
        <w:t>的</w:t>
      </w:r>
      <w:r>
        <w:rPr>
          <w:spacing w:val="-3"/>
          <w:sz w:val="21"/>
        </w:rPr>
        <w:t>场</w:t>
      </w:r>
      <w:r>
        <w:rPr>
          <w:sz w:val="21"/>
        </w:rPr>
        <w:t>所</w:t>
      </w:r>
      <w:r>
        <w:rPr>
          <w:spacing w:val="-3"/>
          <w:sz w:val="21"/>
        </w:rPr>
        <w:t>只</w:t>
      </w:r>
      <w:r>
        <w:rPr>
          <w:sz w:val="21"/>
        </w:rPr>
        <w:t>有</w:t>
      </w:r>
      <w:r>
        <w:rPr>
          <w:spacing w:val="-3"/>
          <w:sz w:val="21"/>
        </w:rPr>
        <w:t>值班</w:t>
      </w:r>
      <w:r>
        <w:rPr>
          <w:sz w:val="21"/>
        </w:rPr>
        <w:t>人员</w:t>
      </w:r>
      <w:r>
        <w:rPr>
          <w:spacing w:val="-3"/>
          <w:sz w:val="21"/>
        </w:rPr>
        <w:t>可</w:t>
      </w:r>
      <w:r>
        <w:rPr>
          <w:sz w:val="21"/>
        </w:rPr>
        <w:t>以</w:t>
      </w:r>
      <w:r>
        <w:rPr>
          <w:spacing w:val="-3"/>
          <w:sz w:val="21"/>
        </w:rPr>
        <w:t>进</w:t>
      </w:r>
      <w:r>
        <w:rPr>
          <w:sz w:val="21"/>
        </w:rPr>
        <w:t>入</w:t>
      </w:r>
      <w:r>
        <w:rPr>
          <w:spacing w:val="-3"/>
          <w:sz w:val="21"/>
        </w:rPr>
        <w:t>。</w:t>
      </w:r>
      <w:r>
        <w:rPr>
          <w:spacing w:val="-3"/>
          <w:sz w:val="21"/>
        </w:rPr>
        <w:tab/>
      </w:r>
      <w:r>
        <w:rPr>
          <w:spacing w:val="-3"/>
          <w:sz w:val="21"/>
        </w:rPr>
        <w:tab/>
      </w:r>
      <w:r>
        <w:rPr>
          <w:sz w:val="21"/>
        </w:rPr>
        <w:t xml:space="preserve"> </w:t>
      </w:r>
      <w:r>
        <w:rPr>
          <w:b/>
          <w:sz w:val="21"/>
        </w:rPr>
        <w:t>6.2</w:t>
      </w:r>
      <w:r>
        <w:rPr>
          <w:b/>
          <w:spacing w:val="105"/>
          <w:sz w:val="21"/>
        </w:rPr>
        <w:t xml:space="preserve"> </w:t>
      </w:r>
      <w:r>
        <w:rPr>
          <w:sz w:val="21"/>
        </w:rPr>
        <w:t>火</w:t>
      </w:r>
      <w:r>
        <w:rPr>
          <w:spacing w:val="-3"/>
          <w:sz w:val="21"/>
        </w:rPr>
        <w:t>灾</w:t>
      </w:r>
      <w:r>
        <w:rPr>
          <w:sz w:val="21"/>
        </w:rPr>
        <w:t>探</w:t>
      </w:r>
      <w:r>
        <w:rPr>
          <w:spacing w:val="-3"/>
          <w:sz w:val="21"/>
        </w:rPr>
        <w:t>测</w:t>
      </w:r>
      <w:r>
        <w:rPr>
          <w:sz w:val="21"/>
        </w:rPr>
        <w:t>器的</w:t>
      </w:r>
      <w:r>
        <w:rPr>
          <w:spacing w:val="-3"/>
          <w:sz w:val="21"/>
        </w:rPr>
        <w:t>设置</w:t>
      </w:r>
      <w:r>
        <w:rPr>
          <w:sz w:val="21"/>
        </w:rPr>
        <w:t xml:space="preserve"> </w:t>
      </w:r>
    </w:p>
    <w:p w14:paraId="3B70CE54" w14:textId="77777777" w:rsidR="00A71EEF" w:rsidRDefault="0081115D">
      <w:pPr>
        <w:pStyle w:val="a4"/>
        <w:numPr>
          <w:ilvl w:val="2"/>
          <w:numId w:val="355"/>
        </w:numPr>
        <w:tabs>
          <w:tab w:val="left" w:pos="1371"/>
        </w:tabs>
        <w:spacing w:line="267" w:lineRule="exact"/>
        <w:rPr>
          <w:sz w:val="21"/>
        </w:rPr>
      </w:pPr>
      <w:r>
        <w:rPr>
          <w:spacing w:val="-3"/>
          <w:sz w:val="21"/>
        </w:rPr>
        <w:t>探测器的具体设置部位应按本规范附录</w:t>
      </w:r>
      <w:r>
        <w:rPr>
          <w:spacing w:val="-3"/>
          <w:sz w:val="21"/>
        </w:rPr>
        <w:t xml:space="preserve"> </w:t>
      </w:r>
      <w:r>
        <w:rPr>
          <w:sz w:val="21"/>
        </w:rPr>
        <w:t>D</w:t>
      </w:r>
      <w:r>
        <w:rPr>
          <w:spacing w:val="-3"/>
          <w:sz w:val="21"/>
        </w:rPr>
        <w:t xml:space="preserve"> </w:t>
      </w:r>
      <w:r>
        <w:rPr>
          <w:spacing w:val="-3"/>
          <w:sz w:val="21"/>
        </w:rPr>
        <w:t>采用。</w:t>
      </w:r>
      <w:r>
        <w:rPr>
          <w:sz w:val="21"/>
        </w:rPr>
        <w:t xml:space="preserve"> </w:t>
      </w:r>
    </w:p>
    <w:p w14:paraId="71A847DA" w14:textId="77777777" w:rsidR="00A71EEF" w:rsidRDefault="00A71EEF">
      <w:pPr>
        <w:pStyle w:val="a3"/>
        <w:spacing w:before="2"/>
        <w:rPr>
          <w:sz w:val="18"/>
        </w:rPr>
      </w:pPr>
    </w:p>
    <w:p w14:paraId="5FD96024" w14:textId="77777777" w:rsidR="00A71EEF" w:rsidRDefault="0081115D">
      <w:pPr>
        <w:pStyle w:val="a4"/>
        <w:numPr>
          <w:ilvl w:val="2"/>
          <w:numId w:val="355"/>
        </w:numPr>
        <w:tabs>
          <w:tab w:val="left" w:pos="1370"/>
        </w:tabs>
        <w:ind w:left="1369" w:hanging="530"/>
        <w:rPr>
          <w:sz w:val="21"/>
        </w:rPr>
      </w:pPr>
      <w:r>
        <w:rPr>
          <w:spacing w:val="-3"/>
          <w:sz w:val="21"/>
        </w:rPr>
        <w:t>点型火灾探测器的设置应符合下列规定：</w:t>
      </w:r>
      <w:r>
        <w:rPr>
          <w:sz w:val="21"/>
        </w:rPr>
        <w:t xml:space="preserve"> </w:t>
      </w:r>
    </w:p>
    <w:p w14:paraId="314A3F4A" w14:textId="77777777" w:rsidR="00A71EEF" w:rsidRDefault="00A71EEF">
      <w:pPr>
        <w:pStyle w:val="a3"/>
        <w:rPr>
          <w:sz w:val="18"/>
        </w:rPr>
      </w:pPr>
    </w:p>
    <w:p w14:paraId="086AB72E" w14:textId="77777777" w:rsidR="00A71EEF" w:rsidRDefault="0081115D">
      <w:pPr>
        <w:pStyle w:val="a4"/>
        <w:numPr>
          <w:ilvl w:val="0"/>
          <w:numId w:val="354"/>
        </w:numPr>
        <w:tabs>
          <w:tab w:val="left" w:pos="1367"/>
        </w:tabs>
        <w:rPr>
          <w:sz w:val="21"/>
        </w:rPr>
      </w:pPr>
      <w:r>
        <w:rPr>
          <w:spacing w:val="-3"/>
          <w:sz w:val="21"/>
        </w:rPr>
        <w:t>探测区域的每个房间应至少设置一只火灾探测器。</w:t>
      </w:r>
      <w:r>
        <w:rPr>
          <w:sz w:val="21"/>
        </w:rPr>
        <w:t xml:space="preserve"> </w:t>
      </w:r>
    </w:p>
    <w:p w14:paraId="01020328" w14:textId="77777777" w:rsidR="00A71EEF" w:rsidRDefault="00A71EEF">
      <w:pPr>
        <w:pStyle w:val="a3"/>
        <w:spacing w:before="12"/>
        <w:rPr>
          <w:sz w:val="17"/>
        </w:rPr>
      </w:pPr>
    </w:p>
    <w:p w14:paraId="453FC5C9" w14:textId="77777777" w:rsidR="00A71EEF" w:rsidRDefault="0081115D">
      <w:pPr>
        <w:pStyle w:val="a4"/>
        <w:numPr>
          <w:ilvl w:val="0"/>
          <w:numId w:val="354"/>
        </w:numPr>
        <w:tabs>
          <w:tab w:val="left" w:pos="1367"/>
        </w:tabs>
        <w:spacing w:line="446" w:lineRule="auto"/>
        <w:ind w:left="418" w:right="1330" w:firstLine="419"/>
        <w:rPr>
          <w:sz w:val="21"/>
        </w:rPr>
      </w:pPr>
      <w:r>
        <w:rPr>
          <w:spacing w:val="-2"/>
          <w:sz w:val="21"/>
        </w:rPr>
        <w:t>感烟火灾探测器和</w:t>
      </w:r>
      <w:r>
        <w:rPr>
          <w:spacing w:val="-2"/>
          <w:sz w:val="21"/>
        </w:rPr>
        <w:t xml:space="preserve"> </w:t>
      </w:r>
      <w:r>
        <w:rPr>
          <w:sz w:val="21"/>
        </w:rPr>
        <w:t>A1</w:t>
      </w:r>
      <w:r>
        <w:rPr>
          <w:spacing w:val="-60"/>
          <w:sz w:val="21"/>
        </w:rPr>
        <w:t>、</w:t>
      </w:r>
      <w:r>
        <w:rPr>
          <w:sz w:val="21"/>
        </w:rPr>
        <w:t>A2</w:t>
      </w:r>
      <w:r>
        <w:rPr>
          <w:spacing w:val="-60"/>
          <w:sz w:val="21"/>
        </w:rPr>
        <w:t>、</w:t>
      </w:r>
      <w:r>
        <w:rPr>
          <w:sz w:val="21"/>
        </w:rPr>
        <w:t>B</w:t>
      </w:r>
      <w:r>
        <w:rPr>
          <w:spacing w:val="-6"/>
          <w:sz w:val="21"/>
        </w:rPr>
        <w:t xml:space="preserve"> </w:t>
      </w:r>
      <w:r>
        <w:rPr>
          <w:spacing w:val="-6"/>
          <w:sz w:val="21"/>
        </w:rPr>
        <w:t>型感温火灾探测器的保护面积和保护半径，应按表</w:t>
      </w:r>
      <w:r>
        <w:rPr>
          <w:spacing w:val="-6"/>
          <w:sz w:val="21"/>
        </w:rPr>
        <w:t xml:space="preserve"> </w:t>
      </w:r>
      <w:r>
        <w:rPr>
          <w:sz w:val="21"/>
        </w:rPr>
        <w:t xml:space="preserve">6.2.2 </w:t>
      </w:r>
      <w:r>
        <w:rPr>
          <w:spacing w:val="-3"/>
          <w:sz w:val="21"/>
        </w:rPr>
        <w:t>确定；</w:t>
      </w:r>
      <w:r>
        <w:rPr>
          <w:spacing w:val="-4"/>
          <w:sz w:val="21"/>
        </w:rPr>
        <w:t>C</w:t>
      </w:r>
      <w:r>
        <w:rPr>
          <w:spacing w:val="-5"/>
          <w:sz w:val="21"/>
        </w:rPr>
        <w:t>、</w:t>
      </w:r>
      <w:r>
        <w:rPr>
          <w:sz w:val="21"/>
        </w:rPr>
        <w:t>D</w:t>
      </w:r>
      <w:r>
        <w:rPr>
          <w:spacing w:val="-8"/>
          <w:sz w:val="21"/>
        </w:rPr>
        <w:t>、</w:t>
      </w:r>
      <w:r>
        <w:rPr>
          <w:sz w:val="21"/>
        </w:rPr>
        <w:t>E</w:t>
      </w:r>
      <w:r>
        <w:rPr>
          <w:spacing w:val="-8"/>
          <w:sz w:val="21"/>
        </w:rPr>
        <w:t>、</w:t>
      </w:r>
      <w:r>
        <w:rPr>
          <w:sz w:val="21"/>
        </w:rPr>
        <w:t>F</w:t>
      </w:r>
      <w:r>
        <w:rPr>
          <w:spacing w:val="-5"/>
          <w:sz w:val="21"/>
        </w:rPr>
        <w:t>、</w:t>
      </w:r>
      <w:r>
        <w:rPr>
          <w:spacing w:val="-3"/>
          <w:sz w:val="21"/>
        </w:rPr>
        <w:t>G</w:t>
      </w:r>
      <w:r>
        <w:rPr>
          <w:spacing w:val="-4"/>
          <w:sz w:val="21"/>
        </w:rPr>
        <w:t xml:space="preserve"> </w:t>
      </w:r>
      <w:r>
        <w:rPr>
          <w:spacing w:val="-4"/>
          <w:sz w:val="21"/>
        </w:rPr>
        <w:t>型感温火灾探测器的保护面积和保护半径，应根据生产企业设计说明书确</w:t>
      </w:r>
      <w:r>
        <w:rPr>
          <w:spacing w:val="-3"/>
          <w:sz w:val="21"/>
        </w:rPr>
        <w:t>定，但不应超过表</w:t>
      </w:r>
      <w:r>
        <w:rPr>
          <w:spacing w:val="-3"/>
          <w:sz w:val="21"/>
        </w:rPr>
        <w:t xml:space="preserve"> </w:t>
      </w:r>
      <w:r>
        <w:rPr>
          <w:sz w:val="21"/>
        </w:rPr>
        <w:t>6.2.2</w:t>
      </w:r>
      <w:r>
        <w:rPr>
          <w:spacing w:val="-3"/>
          <w:sz w:val="21"/>
        </w:rPr>
        <w:t xml:space="preserve"> </w:t>
      </w:r>
      <w:r>
        <w:rPr>
          <w:spacing w:val="-3"/>
          <w:sz w:val="21"/>
        </w:rPr>
        <w:t>的规定。</w:t>
      </w:r>
      <w:r>
        <w:rPr>
          <w:sz w:val="21"/>
        </w:rPr>
        <w:t xml:space="preserve"> </w:t>
      </w:r>
    </w:p>
    <w:p w14:paraId="3A9388F6" w14:textId="77777777" w:rsidR="00A71EEF" w:rsidRDefault="00A71EEF">
      <w:pPr>
        <w:pStyle w:val="a3"/>
        <w:rPr>
          <w:sz w:val="20"/>
        </w:rPr>
      </w:pPr>
    </w:p>
    <w:p w14:paraId="48FA1B9C" w14:textId="77777777" w:rsidR="00A71EEF" w:rsidRDefault="00A71EEF">
      <w:pPr>
        <w:pStyle w:val="a3"/>
        <w:rPr>
          <w:sz w:val="20"/>
        </w:rPr>
      </w:pPr>
    </w:p>
    <w:p w14:paraId="3E020C22" w14:textId="77777777" w:rsidR="00A71EEF" w:rsidRDefault="00A71EEF">
      <w:pPr>
        <w:pStyle w:val="a3"/>
        <w:rPr>
          <w:sz w:val="20"/>
        </w:rPr>
      </w:pPr>
    </w:p>
    <w:p w14:paraId="6F9853BC" w14:textId="77777777" w:rsidR="00A71EEF" w:rsidRDefault="00A71EEF">
      <w:pPr>
        <w:pStyle w:val="a3"/>
        <w:rPr>
          <w:sz w:val="20"/>
        </w:rPr>
      </w:pPr>
    </w:p>
    <w:p w14:paraId="41D135E7" w14:textId="77777777" w:rsidR="00A71EEF" w:rsidRDefault="00A71EEF">
      <w:pPr>
        <w:pStyle w:val="a3"/>
        <w:rPr>
          <w:sz w:val="20"/>
        </w:rPr>
      </w:pPr>
    </w:p>
    <w:p w14:paraId="120DBA42" w14:textId="77777777" w:rsidR="00A71EEF" w:rsidRDefault="00A71EEF">
      <w:pPr>
        <w:pStyle w:val="a3"/>
        <w:rPr>
          <w:sz w:val="17"/>
        </w:rPr>
      </w:pPr>
    </w:p>
    <w:p w14:paraId="33AF3990" w14:textId="77777777" w:rsidR="00A71EEF" w:rsidRDefault="0081115D">
      <w:pPr>
        <w:pStyle w:val="a3"/>
        <w:ind w:left="838"/>
      </w:pPr>
      <w:r>
        <w:t xml:space="preserve"> </w:t>
      </w:r>
    </w:p>
    <w:p w14:paraId="64401D01" w14:textId="77777777" w:rsidR="00A71EEF" w:rsidRDefault="00A71EEF">
      <w:pPr>
        <w:sectPr w:rsidR="00A71EEF">
          <w:pgSz w:w="11910" w:h="16850"/>
          <w:pgMar w:top="1220" w:right="0" w:bottom="1420" w:left="1260" w:header="0" w:footer="1239" w:gutter="0"/>
          <w:cols w:space="720"/>
        </w:sectPr>
      </w:pPr>
    </w:p>
    <w:p w14:paraId="0AA5AB73" w14:textId="77777777" w:rsidR="00A71EEF" w:rsidRDefault="0081115D">
      <w:pPr>
        <w:pStyle w:val="a3"/>
        <w:ind w:left="868"/>
        <w:rPr>
          <w:sz w:val="20"/>
        </w:rPr>
      </w:pPr>
      <w:r>
        <w:rPr>
          <w:noProof/>
          <w:sz w:val="20"/>
        </w:rPr>
        <w:drawing>
          <wp:inline distT="0" distB="0" distL="0" distR="0" wp14:anchorId="298C5429" wp14:editId="07857566">
            <wp:extent cx="4772799" cy="2909316"/>
            <wp:effectExtent l="0" t="0" r="0" b="0"/>
            <wp:docPr id="493" name="image2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287.jpeg"/>
                    <pic:cNvPicPr/>
                  </pic:nvPicPr>
                  <pic:blipFill>
                    <a:blip r:embed="rId342" cstate="print"/>
                    <a:stretch>
                      <a:fillRect/>
                    </a:stretch>
                  </pic:blipFill>
                  <pic:spPr>
                    <a:xfrm>
                      <a:off x="0" y="0"/>
                      <a:ext cx="4772799" cy="2909316"/>
                    </a:xfrm>
                    <a:prstGeom prst="rect">
                      <a:avLst/>
                    </a:prstGeom>
                  </pic:spPr>
                </pic:pic>
              </a:graphicData>
            </a:graphic>
          </wp:inline>
        </w:drawing>
      </w:r>
    </w:p>
    <w:p w14:paraId="10AF0677" w14:textId="77777777" w:rsidR="00A71EEF" w:rsidRDefault="00A71EEF">
      <w:pPr>
        <w:pStyle w:val="a3"/>
        <w:rPr>
          <w:sz w:val="20"/>
        </w:rPr>
      </w:pPr>
    </w:p>
    <w:p w14:paraId="2597B2BD" w14:textId="77777777" w:rsidR="00A71EEF" w:rsidRDefault="00A71EEF">
      <w:pPr>
        <w:pStyle w:val="a3"/>
        <w:spacing w:before="10"/>
        <w:rPr>
          <w:sz w:val="28"/>
        </w:rPr>
      </w:pPr>
    </w:p>
    <w:p w14:paraId="47B0B648" w14:textId="77777777" w:rsidR="00A71EEF" w:rsidRDefault="0081115D">
      <w:pPr>
        <w:pStyle w:val="a3"/>
        <w:spacing w:before="72" w:line="446" w:lineRule="auto"/>
        <w:ind w:left="418" w:right="1431" w:firstLine="419"/>
        <w:jc w:val="both"/>
      </w:pPr>
      <w:r>
        <w:t>注：建筑高度不超过</w:t>
      </w:r>
      <w:r>
        <w:t xml:space="preserve"> 14m </w:t>
      </w:r>
      <w:r>
        <w:t>的封闭探测空间，且火灾初期会产生大量的烟时，可设置点型感烟火灾探测器。</w:t>
      </w:r>
      <w:r>
        <w:t xml:space="preserve"> </w:t>
      </w:r>
    </w:p>
    <w:p w14:paraId="614DB5C8" w14:textId="77777777" w:rsidR="00A71EEF" w:rsidRDefault="0081115D">
      <w:pPr>
        <w:pStyle w:val="a4"/>
        <w:numPr>
          <w:ilvl w:val="0"/>
          <w:numId w:val="354"/>
        </w:numPr>
        <w:tabs>
          <w:tab w:val="left" w:pos="1365"/>
        </w:tabs>
        <w:spacing w:line="446" w:lineRule="auto"/>
        <w:ind w:left="418" w:right="1431" w:firstLine="419"/>
        <w:jc w:val="both"/>
        <w:rPr>
          <w:sz w:val="21"/>
        </w:rPr>
      </w:pPr>
      <w:r>
        <w:rPr>
          <w:spacing w:val="-5"/>
          <w:sz w:val="21"/>
        </w:rPr>
        <w:t>感烟火灾探测器、感温火灾探测器的安装间距，应根据探测器的保护面积</w:t>
      </w:r>
      <w:r>
        <w:rPr>
          <w:spacing w:val="-5"/>
          <w:sz w:val="21"/>
        </w:rPr>
        <w:t xml:space="preserve"> </w:t>
      </w:r>
      <w:r>
        <w:rPr>
          <w:sz w:val="21"/>
        </w:rPr>
        <w:t>A</w:t>
      </w:r>
      <w:r>
        <w:rPr>
          <w:spacing w:val="2"/>
          <w:sz w:val="21"/>
        </w:rPr>
        <w:t xml:space="preserve"> </w:t>
      </w:r>
      <w:r>
        <w:rPr>
          <w:spacing w:val="2"/>
          <w:sz w:val="21"/>
        </w:rPr>
        <w:t>和保护半</w:t>
      </w:r>
      <w:r>
        <w:rPr>
          <w:spacing w:val="6"/>
          <w:sz w:val="21"/>
        </w:rPr>
        <w:t>径</w:t>
      </w:r>
      <w:r>
        <w:rPr>
          <w:spacing w:val="6"/>
          <w:sz w:val="21"/>
        </w:rPr>
        <w:t xml:space="preserve"> </w:t>
      </w:r>
      <w:r>
        <w:rPr>
          <w:spacing w:val="-3"/>
          <w:sz w:val="21"/>
        </w:rPr>
        <w:t xml:space="preserve">R </w:t>
      </w:r>
      <w:r>
        <w:rPr>
          <w:spacing w:val="-3"/>
          <w:sz w:val="21"/>
        </w:rPr>
        <w:t>确定，并不应超过本规范附录</w:t>
      </w:r>
      <w:r>
        <w:rPr>
          <w:spacing w:val="-3"/>
          <w:sz w:val="21"/>
        </w:rPr>
        <w:t xml:space="preserve"> </w:t>
      </w:r>
      <w:r>
        <w:rPr>
          <w:sz w:val="21"/>
        </w:rPr>
        <w:t>E</w:t>
      </w:r>
      <w:r>
        <w:rPr>
          <w:spacing w:val="-3"/>
          <w:sz w:val="21"/>
        </w:rPr>
        <w:t xml:space="preserve"> </w:t>
      </w:r>
      <w:r>
        <w:rPr>
          <w:spacing w:val="-3"/>
          <w:sz w:val="21"/>
        </w:rPr>
        <w:t>探测器安装间距的极限曲线</w:t>
      </w:r>
      <w:r>
        <w:rPr>
          <w:spacing w:val="-3"/>
          <w:sz w:val="21"/>
        </w:rPr>
        <w:t xml:space="preserve"> </w:t>
      </w:r>
      <w:r>
        <w:rPr>
          <w:sz w:val="21"/>
        </w:rPr>
        <w:t>D1</w:t>
      </w:r>
      <w:r>
        <w:rPr>
          <w:sz w:val="21"/>
        </w:rPr>
        <w:t>～</w:t>
      </w:r>
      <w:r>
        <w:rPr>
          <w:sz w:val="21"/>
        </w:rPr>
        <w:t>D11</w:t>
      </w:r>
      <w:r>
        <w:rPr>
          <w:sz w:val="21"/>
        </w:rPr>
        <w:t>（</w:t>
      </w:r>
      <w:r>
        <w:rPr>
          <w:spacing w:val="-25"/>
          <w:sz w:val="21"/>
        </w:rPr>
        <w:t>含</w:t>
      </w:r>
      <w:r>
        <w:rPr>
          <w:spacing w:val="-25"/>
          <w:sz w:val="21"/>
        </w:rPr>
        <w:t xml:space="preserve"> </w:t>
      </w:r>
      <w:r>
        <w:rPr>
          <w:sz w:val="21"/>
        </w:rPr>
        <w:t>D´9</w:t>
      </w:r>
      <w:r>
        <w:rPr>
          <w:sz w:val="21"/>
        </w:rPr>
        <w:t>）</w:t>
      </w:r>
      <w:r>
        <w:rPr>
          <w:spacing w:val="-3"/>
          <w:sz w:val="21"/>
        </w:rPr>
        <w:t>规定的范围。</w:t>
      </w:r>
      <w:r>
        <w:rPr>
          <w:sz w:val="21"/>
        </w:rPr>
        <w:t xml:space="preserve"> </w:t>
      </w:r>
    </w:p>
    <w:p w14:paraId="7D439A63" w14:textId="77777777" w:rsidR="00A71EEF" w:rsidRDefault="0081115D">
      <w:pPr>
        <w:pStyle w:val="a4"/>
        <w:numPr>
          <w:ilvl w:val="0"/>
          <w:numId w:val="354"/>
        </w:numPr>
        <w:tabs>
          <w:tab w:val="left" w:pos="1367"/>
        </w:tabs>
        <w:spacing w:line="268" w:lineRule="exact"/>
        <w:rPr>
          <w:sz w:val="21"/>
        </w:rPr>
      </w:pPr>
      <w:r>
        <w:rPr>
          <w:spacing w:val="-3"/>
          <w:sz w:val="21"/>
        </w:rPr>
        <w:t>一个探测区域内所需设置的探测器数量，不应小于公式</w:t>
      </w:r>
      <w:r>
        <w:rPr>
          <w:sz w:val="21"/>
        </w:rPr>
        <w:t>（</w:t>
      </w:r>
      <w:r>
        <w:rPr>
          <w:sz w:val="21"/>
        </w:rPr>
        <w:t>6.2.2</w:t>
      </w:r>
      <w:r>
        <w:rPr>
          <w:sz w:val="21"/>
        </w:rPr>
        <w:t>）</w:t>
      </w:r>
      <w:r>
        <w:rPr>
          <w:spacing w:val="-3"/>
          <w:sz w:val="21"/>
        </w:rPr>
        <w:t>的计算值：</w:t>
      </w:r>
      <w:r>
        <w:rPr>
          <w:sz w:val="21"/>
        </w:rPr>
        <w:t xml:space="preserve"> </w:t>
      </w:r>
    </w:p>
    <w:p w14:paraId="2586B4EA" w14:textId="77777777" w:rsidR="00A71EEF" w:rsidRDefault="00A71EEF">
      <w:pPr>
        <w:pStyle w:val="a3"/>
        <w:rPr>
          <w:sz w:val="20"/>
        </w:rPr>
      </w:pPr>
    </w:p>
    <w:p w14:paraId="3BD72CAE" w14:textId="77777777" w:rsidR="00A71EEF" w:rsidRDefault="00A71EEF">
      <w:pPr>
        <w:pStyle w:val="a3"/>
        <w:rPr>
          <w:sz w:val="20"/>
        </w:rPr>
      </w:pPr>
    </w:p>
    <w:p w14:paraId="48D9E77A" w14:textId="77777777" w:rsidR="00A71EEF" w:rsidRDefault="0081115D">
      <w:pPr>
        <w:pStyle w:val="a3"/>
        <w:spacing w:before="1"/>
      </w:pPr>
      <w:r>
        <w:rPr>
          <w:noProof/>
        </w:rPr>
        <w:drawing>
          <wp:anchor distT="0" distB="0" distL="0" distR="0" simplePos="0" relativeHeight="251635200" behindDoc="0" locked="0" layoutInCell="1" allowOverlap="1" wp14:anchorId="25F58EFE" wp14:editId="587B5DF2">
            <wp:simplePos x="0" y="0"/>
            <wp:positionH relativeFrom="page">
              <wp:posOffset>2466011</wp:posOffset>
            </wp:positionH>
            <wp:positionV relativeFrom="paragraph">
              <wp:posOffset>196675</wp:posOffset>
            </wp:positionV>
            <wp:extent cx="2594277" cy="381000"/>
            <wp:effectExtent l="0" t="0" r="0" b="0"/>
            <wp:wrapTopAndBottom/>
            <wp:docPr id="495" name="image2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image288.jpeg"/>
                    <pic:cNvPicPr/>
                  </pic:nvPicPr>
                  <pic:blipFill>
                    <a:blip r:embed="rId343" cstate="print"/>
                    <a:stretch>
                      <a:fillRect/>
                    </a:stretch>
                  </pic:blipFill>
                  <pic:spPr>
                    <a:xfrm>
                      <a:off x="0" y="0"/>
                      <a:ext cx="2594277" cy="381000"/>
                    </a:xfrm>
                    <a:prstGeom prst="rect">
                      <a:avLst/>
                    </a:prstGeom>
                  </pic:spPr>
                </pic:pic>
              </a:graphicData>
            </a:graphic>
          </wp:anchor>
        </w:drawing>
      </w:r>
    </w:p>
    <w:p w14:paraId="6A920C1C" w14:textId="77777777" w:rsidR="00A71EEF" w:rsidRDefault="00A71EEF">
      <w:pPr>
        <w:pStyle w:val="a3"/>
        <w:rPr>
          <w:sz w:val="20"/>
        </w:rPr>
      </w:pPr>
    </w:p>
    <w:p w14:paraId="7FE77160" w14:textId="77777777" w:rsidR="00A71EEF" w:rsidRDefault="00A71EEF">
      <w:pPr>
        <w:pStyle w:val="a3"/>
        <w:rPr>
          <w:sz w:val="20"/>
        </w:rPr>
      </w:pPr>
    </w:p>
    <w:p w14:paraId="6CF55C98" w14:textId="77777777" w:rsidR="00A71EEF" w:rsidRDefault="00A71EEF">
      <w:pPr>
        <w:pStyle w:val="a3"/>
        <w:spacing w:before="1"/>
        <w:rPr>
          <w:sz w:val="18"/>
        </w:rPr>
      </w:pPr>
    </w:p>
    <w:p w14:paraId="1BEE22A4" w14:textId="77777777" w:rsidR="00A71EEF" w:rsidRDefault="0081115D">
      <w:pPr>
        <w:pStyle w:val="a3"/>
        <w:spacing w:before="1"/>
        <w:ind w:left="838"/>
      </w:pPr>
      <w:r>
        <w:rPr>
          <w:spacing w:val="-1"/>
        </w:rPr>
        <w:t>式中</w:t>
      </w:r>
      <w:r>
        <w:rPr>
          <w:spacing w:val="-1"/>
        </w:rPr>
        <w:t xml:space="preserve">   </w:t>
      </w:r>
      <w:r>
        <w:rPr>
          <w:i/>
          <w:w w:val="96"/>
          <w:sz w:val="22"/>
        </w:rPr>
        <w:t xml:space="preserve"> </w:t>
      </w:r>
      <w:r>
        <w:rPr>
          <w:i/>
          <w:spacing w:val="-3"/>
          <w:w w:val="96"/>
          <w:sz w:val="22"/>
        </w:rPr>
        <w:t>N</w:t>
      </w:r>
      <w:r>
        <w:rPr>
          <w:spacing w:val="-3"/>
        </w:rPr>
        <w:t>——</w:t>
      </w:r>
      <w:r>
        <w:rPr>
          <w:spacing w:val="-3"/>
        </w:rPr>
        <w:t>探测器数量</w:t>
      </w:r>
      <w:r>
        <w:t>（只</w:t>
      </w:r>
      <w:r>
        <w:rPr>
          <w:spacing w:val="-108"/>
        </w:rPr>
        <w:t>）</w:t>
      </w:r>
      <w:r>
        <w:t>，</w:t>
      </w:r>
      <w:r>
        <w:t>N</w:t>
      </w:r>
      <w:r>
        <w:rPr>
          <w:spacing w:val="-3"/>
        </w:rPr>
        <w:t xml:space="preserve"> </w:t>
      </w:r>
      <w:r>
        <w:rPr>
          <w:spacing w:val="-3"/>
        </w:rPr>
        <w:t>应取整数；</w:t>
      </w:r>
      <w:r>
        <w:t xml:space="preserve"> </w:t>
      </w:r>
    </w:p>
    <w:p w14:paraId="19B3A4F4" w14:textId="77777777" w:rsidR="00A71EEF" w:rsidRDefault="00A71EEF">
      <w:pPr>
        <w:pStyle w:val="a3"/>
        <w:spacing w:before="12"/>
        <w:rPr>
          <w:sz w:val="16"/>
        </w:rPr>
      </w:pPr>
    </w:p>
    <w:p w14:paraId="1BCBE109" w14:textId="77777777" w:rsidR="00A71EEF" w:rsidRDefault="0081115D">
      <w:pPr>
        <w:pStyle w:val="a3"/>
        <w:ind w:left="1677"/>
      </w:pPr>
      <w:r>
        <w:rPr>
          <w:i/>
          <w:w w:val="96"/>
          <w:sz w:val="22"/>
        </w:rPr>
        <w:t>S</w:t>
      </w:r>
      <w:r>
        <w:rPr>
          <w:spacing w:val="-3"/>
        </w:rPr>
        <w:t>——</w:t>
      </w:r>
      <w:r>
        <w:rPr>
          <w:spacing w:val="-3"/>
        </w:rPr>
        <w:t>该探测区域面积（㎡</w:t>
      </w:r>
      <w:r>
        <w:rPr>
          <w:spacing w:val="-106"/>
        </w:rPr>
        <w:t>）</w:t>
      </w:r>
      <w:r>
        <w:rPr>
          <w:spacing w:val="-3"/>
        </w:rPr>
        <w:t>；</w:t>
      </w:r>
      <w:r>
        <w:t xml:space="preserve"> </w:t>
      </w:r>
    </w:p>
    <w:p w14:paraId="7784D92D" w14:textId="77777777" w:rsidR="00A71EEF" w:rsidRDefault="00A71EEF">
      <w:pPr>
        <w:pStyle w:val="a3"/>
        <w:spacing w:before="12"/>
        <w:rPr>
          <w:sz w:val="16"/>
        </w:rPr>
      </w:pPr>
    </w:p>
    <w:p w14:paraId="3E8C9B6B" w14:textId="77777777" w:rsidR="00A71EEF" w:rsidRDefault="0081115D">
      <w:pPr>
        <w:pStyle w:val="a3"/>
        <w:spacing w:line="434" w:lineRule="auto"/>
        <w:ind w:left="418" w:right="1330" w:firstLine="1259"/>
      </w:pPr>
      <w:r>
        <w:rPr>
          <w:i/>
          <w:sz w:val="22"/>
        </w:rPr>
        <w:t>K</w:t>
      </w:r>
      <w:r>
        <w:t>——</w:t>
      </w:r>
      <w:r>
        <w:t>修正系数，容纳人数超过</w:t>
      </w:r>
      <w:r>
        <w:t xml:space="preserve"> 10000 </w:t>
      </w:r>
      <w:r>
        <w:t>人的公共场所宜取</w:t>
      </w:r>
      <w:r>
        <w:t xml:space="preserve"> 0.7</w:t>
      </w:r>
      <w:r>
        <w:t>～</w:t>
      </w:r>
      <w:r>
        <w:t>0.8</w:t>
      </w:r>
      <w:r>
        <w:t>；容纳人数为</w:t>
      </w:r>
      <w:r>
        <w:t xml:space="preserve">2000 </w:t>
      </w:r>
      <w:r>
        <w:t>～</w:t>
      </w:r>
      <w:r>
        <w:t xml:space="preserve">10000 </w:t>
      </w:r>
      <w:r>
        <w:t>人的公共场所宜取</w:t>
      </w:r>
      <w:r>
        <w:t xml:space="preserve"> 0.8</w:t>
      </w:r>
      <w:r>
        <w:t>～</w:t>
      </w:r>
      <w:r>
        <w:t xml:space="preserve">0.9 </w:t>
      </w:r>
      <w:r>
        <w:t>，容纳人数为</w:t>
      </w:r>
      <w:r>
        <w:t xml:space="preserve"> 500 </w:t>
      </w:r>
      <w:r>
        <w:t>人～</w:t>
      </w:r>
      <w:r>
        <w:t xml:space="preserve">2000 </w:t>
      </w:r>
      <w:r>
        <w:t>人的公共场所宜取</w:t>
      </w:r>
      <w:r>
        <w:t xml:space="preserve"> </w:t>
      </w:r>
    </w:p>
    <w:p w14:paraId="33332C51" w14:textId="77777777" w:rsidR="00A71EEF" w:rsidRDefault="0081115D">
      <w:pPr>
        <w:pStyle w:val="a3"/>
        <w:spacing w:before="4"/>
        <w:ind w:left="418"/>
      </w:pPr>
      <w:r>
        <w:t>0.9</w:t>
      </w:r>
      <w:r>
        <w:t>～</w:t>
      </w:r>
      <w:r>
        <w:t>1.0</w:t>
      </w:r>
      <w:r>
        <w:rPr>
          <w:spacing w:val="-3"/>
        </w:rPr>
        <w:t xml:space="preserve"> </w:t>
      </w:r>
      <w:r>
        <w:rPr>
          <w:spacing w:val="-3"/>
        </w:rPr>
        <w:t>，其他场所可取</w:t>
      </w:r>
      <w:r>
        <w:rPr>
          <w:spacing w:val="-3"/>
        </w:rPr>
        <w:t xml:space="preserve"> </w:t>
      </w:r>
      <w:r>
        <w:t>1.0</w:t>
      </w:r>
      <w:r>
        <w:rPr>
          <w:spacing w:val="-1"/>
        </w:rPr>
        <w:t xml:space="preserve"> </w:t>
      </w:r>
      <w:r>
        <w:rPr>
          <w:spacing w:val="-1"/>
        </w:rPr>
        <w:t>；</w:t>
      </w:r>
      <w:r>
        <w:rPr>
          <w:i/>
          <w:sz w:val="22"/>
        </w:rPr>
        <w:t>A</w:t>
      </w:r>
      <w:r>
        <w:rPr>
          <w:spacing w:val="-3"/>
        </w:rPr>
        <w:t>——</w:t>
      </w:r>
      <w:r>
        <w:rPr>
          <w:spacing w:val="-3"/>
        </w:rPr>
        <w:t>探测器的保护面积</w:t>
      </w:r>
      <w:r>
        <w:t>（</w:t>
      </w:r>
      <w:r>
        <w:rPr>
          <w:spacing w:val="-3"/>
        </w:rPr>
        <w:t>㎡</w:t>
      </w:r>
      <w:r>
        <w:rPr>
          <w:spacing w:val="-106"/>
        </w:rPr>
        <w:t>）</w:t>
      </w:r>
      <w:r>
        <w:rPr>
          <w:spacing w:val="-3"/>
        </w:rPr>
        <w:t>。</w:t>
      </w:r>
      <w:r>
        <w:t xml:space="preserve"> </w:t>
      </w:r>
    </w:p>
    <w:p w14:paraId="4D37EE1A" w14:textId="77777777" w:rsidR="00A71EEF" w:rsidRDefault="00A71EEF">
      <w:pPr>
        <w:pStyle w:val="a3"/>
        <w:spacing w:before="10"/>
        <w:rPr>
          <w:sz w:val="17"/>
        </w:rPr>
      </w:pPr>
    </w:p>
    <w:p w14:paraId="75B62AA4" w14:textId="77777777" w:rsidR="00A71EEF" w:rsidRDefault="0081115D">
      <w:pPr>
        <w:pStyle w:val="a4"/>
        <w:numPr>
          <w:ilvl w:val="2"/>
          <w:numId w:val="355"/>
        </w:numPr>
        <w:tabs>
          <w:tab w:val="left" w:pos="1370"/>
        </w:tabs>
        <w:ind w:left="1369" w:hanging="530"/>
        <w:rPr>
          <w:sz w:val="21"/>
        </w:rPr>
      </w:pPr>
      <w:r>
        <w:rPr>
          <w:spacing w:val="-3"/>
          <w:sz w:val="21"/>
        </w:rPr>
        <w:t>在有梁的顶棚上设置点型感烟火灾探测器、感温火灾探测器时，应符合下列规定：</w:t>
      </w:r>
      <w:r>
        <w:rPr>
          <w:sz w:val="21"/>
        </w:rPr>
        <w:t xml:space="preserve"> </w:t>
      </w:r>
    </w:p>
    <w:p w14:paraId="688ED58E" w14:textId="77777777" w:rsidR="00A71EEF" w:rsidRDefault="00A71EEF">
      <w:pPr>
        <w:pStyle w:val="a3"/>
        <w:spacing w:before="1"/>
        <w:rPr>
          <w:sz w:val="18"/>
        </w:rPr>
      </w:pPr>
    </w:p>
    <w:p w14:paraId="4AA38BB7" w14:textId="77777777" w:rsidR="00A71EEF" w:rsidRDefault="0081115D">
      <w:pPr>
        <w:pStyle w:val="a4"/>
        <w:numPr>
          <w:ilvl w:val="0"/>
          <w:numId w:val="353"/>
        </w:numPr>
        <w:tabs>
          <w:tab w:val="left" w:pos="1367"/>
        </w:tabs>
        <w:spacing w:before="1"/>
        <w:rPr>
          <w:sz w:val="21"/>
        </w:rPr>
      </w:pPr>
      <w:r>
        <w:rPr>
          <w:spacing w:val="-3"/>
          <w:sz w:val="21"/>
        </w:rPr>
        <w:t>当梁突出顶棚的高度小于</w:t>
      </w:r>
      <w:r>
        <w:rPr>
          <w:spacing w:val="-3"/>
          <w:sz w:val="21"/>
        </w:rPr>
        <w:t xml:space="preserve"> </w:t>
      </w:r>
      <w:r>
        <w:rPr>
          <w:sz w:val="21"/>
        </w:rPr>
        <w:t>200mm</w:t>
      </w:r>
      <w:r>
        <w:rPr>
          <w:spacing w:val="-3"/>
          <w:sz w:val="21"/>
        </w:rPr>
        <w:t xml:space="preserve"> </w:t>
      </w:r>
      <w:r>
        <w:rPr>
          <w:spacing w:val="-3"/>
          <w:sz w:val="21"/>
        </w:rPr>
        <w:t>时，可不计梁对探测器保护面积的影响。</w:t>
      </w:r>
      <w:r>
        <w:rPr>
          <w:spacing w:val="-3"/>
          <w:sz w:val="21"/>
        </w:rPr>
        <w:t xml:space="preserve"> </w:t>
      </w:r>
    </w:p>
    <w:p w14:paraId="7F33D13B" w14:textId="77777777" w:rsidR="00A71EEF" w:rsidRDefault="00A71EEF">
      <w:pPr>
        <w:rPr>
          <w:sz w:val="21"/>
        </w:rPr>
        <w:sectPr w:rsidR="00A71EEF">
          <w:pgSz w:w="11910" w:h="16850"/>
          <w:pgMar w:top="1320" w:right="0" w:bottom="1420" w:left="1260" w:header="0" w:footer="1239" w:gutter="0"/>
          <w:cols w:space="720"/>
        </w:sectPr>
      </w:pPr>
    </w:p>
    <w:p w14:paraId="01EEB7E7" w14:textId="77777777" w:rsidR="00A71EEF" w:rsidRDefault="0081115D">
      <w:pPr>
        <w:pStyle w:val="a4"/>
        <w:numPr>
          <w:ilvl w:val="0"/>
          <w:numId w:val="353"/>
        </w:numPr>
        <w:tabs>
          <w:tab w:val="left" w:pos="1367"/>
        </w:tabs>
        <w:spacing w:before="47" w:line="446" w:lineRule="auto"/>
        <w:ind w:left="418" w:right="1433" w:firstLine="419"/>
        <w:rPr>
          <w:sz w:val="21"/>
        </w:rPr>
      </w:pPr>
      <w:r>
        <w:rPr>
          <w:spacing w:val="-2"/>
          <w:sz w:val="21"/>
        </w:rPr>
        <w:t>当梁突出顶棚的高度为</w:t>
      </w:r>
      <w:r>
        <w:rPr>
          <w:spacing w:val="-2"/>
          <w:sz w:val="21"/>
        </w:rPr>
        <w:t xml:space="preserve"> </w:t>
      </w:r>
      <w:r>
        <w:rPr>
          <w:sz w:val="21"/>
        </w:rPr>
        <w:t>200mm</w:t>
      </w:r>
      <w:r>
        <w:rPr>
          <w:sz w:val="21"/>
        </w:rPr>
        <w:t>～</w:t>
      </w:r>
      <w:r>
        <w:rPr>
          <w:sz w:val="21"/>
        </w:rPr>
        <w:t>600mm</w:t>
      </w:r>
      <w:r>
        <w:rPr>
          <w:spacing w:val="-1"/>
          <w:sz w:val="21"/>
        </w:rPr>
        <w:t xml:space="preserve"> </w:t>
      </w:r>
      <w:r>
        <w:rPr>
          <w:spacing w:val="-1"/>
          <w:sz w:val="21"/>
        </w:rPr>
        <w:t>时，应按本规范附录</w:t>
      </w:r>
      <w:r>
        <w:rPr>
          <w:spacing w:val="-1"/>
          <w:sz w:val="21"/>
        </w:rPr>
        <w:t xml:space="preserve"> </w:t>
      </w:r>
      <w:r>
        <w:rPr>
          <w:sz w:val="21"/>
        </w:rPr>
        <w:t>F</w:t>
      </w:r>
      <w:r>
        <w:rPr>
          <w:spacing w:val="5"/>
          <w:sz w:val="21"/>
        </w:rPr>
        <w:t xml:space="preserve"> </w:t>
      </w:r>
      <w:r>
        <w:rPr>
          <w:spacing w:val="5"/>
          <w:sz w:val="21"/>
        </w:rPr>
        <w:t>、附录</w:t>
      </w:r>
      <w:r>
        <w:rPr>
          <w:spacing w:val="5"/>
          <w:sz w:val="21"/>
        </w:rPr>
        <w:t xml:space="preserve"> </w:t>
      </w:r>
      <w:r>
        <w:rPr>
          <w:spacing w:val="-3"/>
          <w:sz w:val="21"/>
        </w:rPr>
        <w:t>G</w:t>
      </w:r>
      <w:r>
        <w:rPr>
          <w:sz w:val="21"/>
        </w:rPr>
        <w:t xml:space="preserve"> </w:t>
      </w:r>
      <w:r>
        <w:rPr>
          <w:sz w:val="21"/>
        </w:rPr>
        <w:t>确定梁对探</w:t>
      </w:r>
      <w:r>
        <w:rPr>
          <w:spacing w:val="-3"/>
          <w:sz w:val="21"/>
        </w:rPr>
        <w:t>测器保护面积的影响和一只探测器能够保护的梁间区域的数量。</w:t>
      </w:r>
      <w:r>
        <w:rPr>
          <w:sz w:val="21"/>
        </w:rPr>
        <w:t xml:space="preserve"> </w:t>
      </w:r>
    </w:p>
    <w:p w14:paraId="3E11C8F3" w14:textId="77777777" w:rsidR="00A71EEF" w:rsidRDefault="0081115D">
      <w:pPr>
        <w:pStyle w:val="a4"/>
        <w:numPr>
          <w:ilvl w:val="0"/>
          <w:numId w:val="353"/>
        </w:numPr>
        <w:tabs>
          <w:tab w:val="left" w:pos="1365"/>
        </w:tabs>
        <w:spacing w:line="267" w:lineRule="exact"/>
        <w:ind w:left="1364" w:hanging="527"/>
        <w:rPr>
          <w:sz w:val="21"/>
        </w:rPr>
      </w:pPr>
      <w:r>
        <w:rPr>
          <w:spacing w:val="-3"/>
          <w:sz w:val="21"/>
        </w:rPr>
        <w:t>当梁突出顶棚的高度超过</w:t>
      </w:r>
      <w:r>
        <w:rPr>
          <w:spacing w:val="-3"/>
          <w:sz w:val="21"/>
        </w:rPr>
        <w:t xml:space="preserve"> </w:t>
      </w:r>
      <w:r>
        <w:rPr>
          <w:sz w:val="21"/>
        </w:rPr>
        <w:t>600mm</w:t>
      </w:r>
      <w:r>
        <w:rPr>
          <w:spacing w:val="-15"/>
          <w:sz w:val="21"/>
        </w:rPr>
        <w:t xml:space="preserve"> </w:t>
      </w:r>
      <w:r>
        <w:rPr>
          <w:spacing w:val="-15"/>
          <w:sz w:val="21"/>
        </w:rPr>
        <w:t>时，被梁隔断的每个梁间区域应至少设置一只探测器。</w:t>
      </w:r>
      <w:r>
        <w:rPr>
          <w:sz w:val="21"/>
        </w:rPr>
        <w:t xml:space="preserve"> </w:t>
      </w:r>
    </w:p>
    <w:p w14:paraId="4B56D650" w14:textId="77777777" w:rsidR="00A71EEF" w:rsidRDefault="00A71EEF">
      <w:pPr>
        <w:pStyle w:val="a3"/>
        <w:spacing w:before="2"/>
        <w:rPr>
          <w:sz w:val="18"/>
        </w:rPr>
      </w:pPr>
    </w:p>
    <w:p w14:paraId="5D68A935" w14:textId="77777777" w:rsidR="00A71EEF" w:rsidRDefault="0081115D">
      <w:pPr>
        <w:pStyle w:val="a4"/>
        <w:numPr>
          <w:ilvl w:val="0"/>
          <w:numId w:val="353"/>
        </w:numPr>
        <w:tabs>
          <w:tab w:val="left" w:pos="1388"/>
        </w:tabs>
        <w:spacing w:line="446" w:lineRule="auto"/>
        <w:ind w:left="418" w:right="1330" w:firstLine="419"/>
        <w:rPr>
          <w:sz w:val="21"/>
        </w:rPr>
      </w:pPr>
      <w:r>
        <w:rPr>
          <w:spacing w:val="4"/>
          <w:sz w:val="21"/>
        </w:rPr>
        <w:t>当被梁隔断的区域面积超过一只探测器的保护面积时，被隔断的区域应按本规范第</w:t>
      </w:r>
      <w:r>
        <w:rPr>
          <w:sz w:val="21"/>
        </w:rPr>
        <w:t>6.2.2</w:t>
      </w:r>
      <w:r>
        <w:rPr>
          <w:spacing w:val="-2"/>
          <w:sz w:val="21"/>
        </w:rPr>
        <w:t xml:space="preserve"> </w:t>
      </w:r>
      <w:r>
        <w:rPr>
          <w:spacing w:val="-2"/>
          <w:sz w:val="21"/>
        </w:rPr>
        <w:t>条第</w:t>
      </w:r>
      <w:r>
        <w:rPr>
          <w:spacing w:val="-2"/>
          <w:sz w:val="21"/>
        </w:rPr>
        <w:t xml:space="preserve"> </w:t>
      </w:r>
      <w:r>
        <w:rPr>
          <w:sz w:val="21"/>
        </w:rPr>
        <w:t>4</w:t>
      </w:r>
      <w:r>
        <w:rPr>
          <w:spacing w:val="-3"/>
          <w:sz w:val="21"/>
        </w:rPr>
        <w:t xml:space="preserve"> </w:t>
      </w:r>
      <w:r>
        <w:rPr>
          <w:spacing w:val="-3"/>
          <w:sz w:val="21"/>
        </w:rPr>
        <w:t>款规定计算探测器的设置数量。</w:t>
      </w:r>
      <w:r>
        <w:rPr>
          <w:sz w:val="21"/>
        </w:rPr>
        <w:t xml:space="preserve"> </w:t>
      </w:r>
    </w:p>
    <w:p w14:paraId="1330308C" w14:textId="77777777" w:rsidR="00A71EEF" w:rsidRDefault="0081115D">
      <w:pPr>
        <w:pStyle w:val="a4"/>
        <w:numPr>
          <w:ilvl w:val="0"/>
          <w:numId w:val="353"/>
        </w:numPr>
        <w:tabs>
          <w:tab w:val="left" w:pos="1367"/>
        </w:tabs>
        <w:spacing w:line="267" w:lineRule="exact"/>
        <w:rPr>
          <w:sz w:val="21"/>
        </w:rPr>
      </w:pPr>
      <w:r>
        <w:rPr>
          <w:spacing w:val="-3"/>
          <w:sz w:val="21"/>
        </w:rPr>
        <w:t>当梁间净距小于</w:t>
      </w:r>
      <w:r>
        <w:rPr>
          <w:spacing w:val="-3"/>
          <w:sz w:val="21"/>
        </w:rPr>
        <w:t xml:space="preserve"> </w:t>
      </w:r>
      <w:r>
        <w:rPr>
          <w:sz w:val="21"/>
        </w:rPr>
        <w:t>1m</w:t>
      </w:r>
      <w:r>
        <w:rPr>
          <w:spacing w:val="-3"/>
          <w:sz w:val="21"/>
        </w:rPr>
        <w:t xml:space="preserve"> </w:t>
      </w:r>
      <w:r>
        <w:rPr>
          <w:spacing w:val="-3"/>
          <w:sz w:val="21"/>
        </w:rPr>
        <w:t>时，可不计梁对探测器保护面积的影响。</w:t>
      </w:r>
      <w:r>
        <w:rPr>
          <w:sz w:val="21"/>
        </w:rPr>
        <w:t xml:space="preserve"> </w:t>
      </w:r>
    </w:p>
    <w:p w14:paraId="3AC3199E" w14:textId="77777777" w:rsidR="00A71EEF" w:rsidRDefault="00A71EEF">
      <w:pPr>
        <w:pStyle w:val="a3"/>
        <w:spacing w:before="2"/>
        <w:rPr>
          <w:sz w:val="18"/>
        </w:rPr>
      </w:pPr>
    </w:p>
    <w:p w14:paraId="69BA830F" w14:textId="77777777" w:rsidR="00A71EEF" w:rsidRDefault="0081115D">
      <w:pPr>
        <w:pStyle w:val="a4"/>
        <w:numPr>
          <w:ilvl w:val="2"/>
          <w:numId w:val="355"/>
        </w:numPr>
        <w:tabs>
          <w:tab w:val="left" w:pos="1371"/>
        </w:tabs>
        <w:spacing w:line="446" w:lineRule="auto"/>
        <w:ind w:left="418" w:right="1431" w:firstLine="422"/>
        <w:jc w:val="both"/>
        <w:rPr>
          <w:sz w:val="21"/>
        </w:rPr>
      </w:pPr>
      <w:r>
        <w:rPr>
          <w:spacing w:val="-1"/>
          <w:sz w:val="21"/>
        </w:rPr>
        <w:t>在宽度小于</w:t>
      </w:r>
      <w:r>
        <w:rPr>
          <w:spacing w:val="-1"/>
          <w:sz w:val="21"/>
        </w:rPr>
        <w:t xml:space="preserve"> </w:t>
      </w:r>
      <w:r>
        <w:rPr>
          <w:sz w:val="21"/>
        </w:rPr>
        <w:t>3m</w:t>
      </w:r>
      <w:r>
        <w:rPr>
          <w:spacing w:val="-5"/>
          <w:sz w:val="21"/>
        </w:rPr>
        <w:t xml:space="preserve"> </w:t>
      </w:r>
      <w:r>
        <w:rPr>
          <w:spacing w:val="-5"/>
          <w:sz w:val="21"/>
        </w:rPr>
        <w:t>的内走道顶棚上设置点型探测器时，宜居中布置。感温火灾探测器的</w:t>
      </w:r>
      <w:r>
        <w:rPr>
          <w:spacing w:val="-1"/>
          <w:sz w:val="21"/>
        </w:rPr>
        <w:t>安装间距不应超过</w:t>
      </w:r>
      <w:r>
        <w:rPr>
          <w:spacing w:val="-1"/>
          <w:sz w:val="21"/>
        </w:rPr>
        <w:t xml:space="preserve"> </w:t>
      </w:r>
      <w:r>
        <w:rPr>
          <w:sz w:val="21"/>
        </w:rPr>
        <w:t>10m</w:t>
      </w:r>
      <w:r>
        <w:rPr>
          <w:spacing w:val="-2"/>
          <w:sz w:val="21"/>
        </w:rPr>
        <w:t xml:space="preserve"> </w:t>
      </w:r>
      <w:r>
        <w:rPr>
          <w:spacing w:val="-2"/>
          <w:sz w:val="21"/>
        </w:rPr>
        <w:t>；</w:t>
      </w:r>
      <w:r>
        <w:rPr>
          <w:spacing w:val="-2"/>
          <w:sz w:val="21"/>
        </w:rPr>
        <w:t xml:space="preserve"> </w:t>
      </w:r>
      <w:r>
        <w:rPr>
          <w:spacing w:val="-2"/>
          <w:sz w:val="21"/>
        </w:rPr>
        <w:t>感烟火灾探测器的安装间距不应超过</w:t>
      </w:r>
      <w:r>
        <w:rPr>
          <w:spacing w:val="-2"/>
          <w:sz w:val="21"/>
        </w:rPr>
        <w:t xml:space="preserve"> </w:t>
      </w:r>
      <w:r>
        <w:rPr>
          <w:sz w:val="21"/>
        </w:rPr>
        <w:t>15m</w:t>
      </w:r>
      <w:r>
        <w:rPr>
          <w:spacing w:val="-1"/>
          <w:sz w:val="21"/>
        </w:rPr>
        <w:t xml:space="preserve"> </w:t>
      </w:r>
      <w:r>
        <w:rPr>
          <w:spacing w:val="-1"/>
          <w:sz w:val="21"/>
        </w:rPr>
        <w:t>；探测器至端墙的距离，</w:t>
      </w:r>
      <w:r>
        <w:rPr>
          <w:spacing w:val="-1"/>
          <w:sz w:val="21"/>
        </w:rPr>
        <w:t xml:space="preserve"> </w:t>
      </w:r>
      <w:r>
        <w:rPr>
          <w:spacing w:val="-3"/>
          <w:sz w:val="21"/>
        </w:rPr>
        <w:t>不应大于探测器安装间距的</w:t>
      </w:r>
      <w:r>
        <w:rPr>
          <w:spacing w:val="-3"/>
          <w:sz w:val="21"/>
        </w:rPr>
        <w:t xml:space="preserve"> </w:t>
      </w:r>
      <w:r>
        <w:rPr>
          <w:sz w:val="21"/>
        </w:rPr>
        <w:t>1/2</w:t>
      </w:r>
      <w:r>
        <w:rPr>
          <w:spacing w:val="-2"/>
          <w:sz w:val="21"/>
        </w:rPr>
        <w:t xml:space="preserve"> </w:t>
      </w:r>
      <w:r>
        <w:rPr>
          <w:spacing w:val="-2"/>
          <w:sz w:val="21"/>
        </w:rPr>
        <w:t>。</w:t>
      </w:r>
      <w:r>
        <w:rPr>
          <w:sz w:val="21"/>
        </w:rPr>
        <w:t xml:space="preserve"> </w:t>
      </w:r>
    </w:p>
    <w:p w14:paraId="3342CD49" w14:textId="77777777" w:rsidR="00A71EEF" w:rsidRDefault="0081115D">
      <w:pPr>
        <w:pStyle w:val="a4"/>
        <w:numPr>
          <w:ilvl w:val="2"/>
          <w:numId w:val="355"/>
        </w:numPr>
        <w:tabs>
          <w:tab w:val="left" w:pos="1370"/>
        </w:tabs>
        <w:spacing w:line="268" w:lineRule="exact"/>
        <w:ind w:left="1369" w:hanging="530"/>
        <w:rPr>
          <w:sz w:val="21"/>
        </w:rPr>
      </w:pPr>
      <w:r>
        <w:rPr>
          <w:spacing w:val="-3"/>
          <w:sz w:val="21"/>
        </w:rPr>
        <w:t>点型探测器至墙壁、梁边的水平距离，不应小于</w:t>
      </w:r>
      <w:r>
        <w:rPr>
          <w:spacing w:val="-3"/>
          <w:sz w:val="21"/>
        </w:rPr>
        <w:t xml:space="preserve"> </w:t>
      </w:r>
      <w:r>
        <w:rPr>
          <w:sz w:val="21"/>
        </w:rPr>
        <w:t>0.5m</w:t>
      </w:r>
      <w:r>
        <w:rPr>
          <w:spacing w:val="-3"/>
          <w:sz w:val="21"/>
        </w:rPr>
        <w:t xml:space="preserve"> </w:t>
      </w:r>
      <w:r>
        <w:rPr>
          <w:spacing w:val="-3"/>
          <w:sz w:val="21"/>
        </w:rPr>
        <w:t>。</w:t>
      </w:r>
      <w:r>
        <w:rPr>
          <w:sz w:val="21"/>
        </w:rPr>
        <w:t xml:space="preserve"> </w:t>
      </w:r>
    </w:p>
    <w:p w14:paraId="24CA4682" w14:textId="77777777" w:rsidR="00A71EEF" w:rsidRDefault="00A71EEF">
      <w:pPr>
        <w:pStyle w:val="a3"/>
        <w:spacing w:before="12"/>
        <w:rPr>
          <w:sz w:val="17"/>
        </w:rPr>
      </w:pPr>
    </w:p>
    <w:p w14:paraId="7EFFACA9" w14:textId="77777777" w:rsidR="00A71EEF" w:rsidRDefault="0081115D">
      <w:pPr>
        <w:pStyle w:val="a4"/>
        <w:numPr>
          <w:ilvl w:val="2"/>
          <w:numId w:val="355"/>
        </w:numPr>
        <w:tabs>
          <w:tab w:val="left" w:pos="1370"/>
        </w:tabs>
        <w:ind w:left="1369" w:hanging="530"/>
        <w:rPr>
          <w:sz w:val="21"/>
        </w:rPr>
      </w:pPr>
      <w:r>
        <w:rPr>
          <w:spacing w:val="-3"/>
          <w:sz w:val="21"/>
        </w:rPr>
        <w:t>点型探测器周围</w:t>
      </w:r>
      <w:r>
        <w:rPr>
          <w:spacing w:val="-3"/>
          <w:sz w:val="21"/>
        </w:rPr>
        <w:t xml:space="preserve"> </w:t>
      </w:r>
      <w:r>
        <w:rPr>
          <w:sz w:val="21"/>
        </w:rPr>
        <w:t>0.5m</w:t>
      </w:r>
      <w:r>
        <w:rPr>
          <w:spacing w:val="-3"/>
          <w:sz w:val="21"/>
        </w:rPr>
        <w:t xml:space="preserve"> </w:t>
      </w:r>
      <w:r>
        <w:rPr>
          <w:spacing w:val="-3"/>
          <w:sz w:val="21"/>
        </w:rPr>
        <w:t>内，不应有遮挡物。</w:t>
      </w:r>
      <w:r>
        <w:rPr>
          <w:sz w:val="21"/>
        </w:rPr>
        <w:t xml:space="preserve"> </w:t>
      </w:r>
    </w:p>
    <w:p w14:paraId="318FBB84" w14:textId="77777777" w:rsidR="00A71EEF" w:rsidRDefault="00A71EEF">
      <w:pPr>
        <w:pStyle w:val="a3"/>
        <w:rPr>
          <w:sz w:val="18"/>
        </w:rPr>
      </w:pPr>
    </w:p>
    <w:p w14:paraId="721994FC" w14:textId="77777777" w:rsidR="00A71EEF" w:rsidRDefault="0081115D">
      <w:pPr>
        <w:pStyle w:val="a4"/>
        <w:numPr>
          <w:ilvl w:val="2"/>
          <w:numId w:val="355"/>
        </w:numPr>
        <w:tabs>
          <w:tab w:val="left" w:pos="1371"/>
        </w:tabs>
        <w:spacing w:line="446" w:lineRule="auto"/>
        <w:ind w:left="418" w:right="1328" w:firstLine="422"/>
        <w:rPr>
          <w:sz w:val="21"/>
        </w:rPr>
      </w:pPr>
      <w:r>
        <w:rPr>
          <w:spacing w:val="-2"/>
          <w:sz w:val="21"/>
        </w:rPr>
        <w:t>房间被书架、设备或隔断等分隔，其顶部至顶棚或梁的距离小于房间净高的</w:t>
      </w:r>
      <w:r>
        <w:rPr>
          <w:spacing w:val="-2"/>
          <w:sz w:val="21"/>
        </w:rPr>
        <w:t xml:space="preserve"> </w:t>
      </w:r>
      <w:r>
        <w:rPr>
          <w:sz w:val="21"/>
        </w:rPr>
        <w:t>5%</w:t>
      </w:r>
      <w:r>
        <w:rPr>
          <w:spacing w:val="9"/>
          <w:sz w:val="21"/>
        </w:rPr>
        <w:t xml:space="preserve"> </w:t>
      </w:r>
      <w:r>
        <w:rPr>
          <w:spacing w:val="9"/>
          <w:sz w:val="21"/>
        </w:rPr>
        <w:t>时，</w:t>
      </w:r>
      <w:r>
        <w:rPr>
          <w:spacing w:val="9"/>
          <w:sz w:val="21"/>
        </w:rPr>
        <w:t xml:space="preserve"> </w:t>
      </w:r>
      <w:r>
        <w:rPr>
          <w:spacing w:val="-3"/>
          <w:sz w:val="21"/>
        </w:rPr>
        <w:t>每个被隔开的部分应至少安装一只点型探测器。</w:t>
      </w:r>
      <w:r>
        <w:rPr>
          <w:sz w:val="21"/>
        </w:rPr>
        <w:t xml:space="preserve"> </w:t>
      </w:r>
    </w:p>
    <w:p w14:paraId="5A75862D" w14:textId="77777777" w:rsidR="00A71EEF" w:rsidRDefault="0081115D">
      <w:pPr>
        <w:pStyle w:val="a4"/>
        <w:numPr>
          <w:ilvl w:val="2"/>
          <w:numId w:val="355"/>
        </w:numPr>
        <w:tabs>
          <w:tab w:val="left" w:pos="1370"/>
        </w:tabs>
        <w:spacing w:line="446" w:lineRule="auto"/>
        <w:ind w:left="418" w:right="1604" w:firstLine="422"/>
        <w:rPr>
          <w:sz w:val="21"/>
        </w:rPr>
      </w:pPr>
      <w:r>
        <w:rPr>
          <w:spacing w:val="-3"/>
          <w:sz w:val="21"/>
        </w:rPr>
        <w:t>点型探测器至空调送风口边的水平距离不应小于</w:t>
      </w:r>
      <w:r>
        <w:rPr>
          <w:spacing w:val="-3"/>
          <w:sz w:val="21"/>
        </w:rPr>
        <w:t xml:space="preserve"> </w:t>
      </w:r>
      <w:r>
        <w:rPr>
          <w:sz w:val="21"/>
        </w:rPr>
        <w:t>1.5m</w:t>
      </w:r>
      <w:r>
        <w:rPr>
          <w:spacing w:val="-3"/>
          <w:sz w:val="21"/>
        </w:rPr>
        <w:t xml:space="preserve"> </w:t>
      </w:r>
      <w:r>
        <w:rPr>
          <w:spacing w:val="-3"/>
          <w:sz w:val="21"/>
        </w:rPr>
        <w:t>，并宜接近回风口安装。探测器至多孔送风顶棚孔口的水平距离不应小于</w:t>
      </w:r>
      <w:r>
        <w:rPr>
          <w:spacing w:val="-3"/>
          <w:sz w:val="21"/>
        </w:rPr>
        <w:t xml:space="preserve"> </w:t>
      </w:r>
      <w:r>
        <w:rPr>
          <w:sz w:val="21"/>
        </w:rPr>
        <w:t>0.5m</w:t>
      </w:r>
      <w:r>
        <w:rPr>
          <w:spacing w:val="-1"/>
          <w:sz w:val="21"/>
        </w:rPr>
        <w:t xml:space="preserve"> </w:t>
      </w:r>
      <w:r>
        <w:rPr>
          <w:spacing w:val="-1"/>
          <w:sz w:val="21"/>
        </w:rPr>
        <w:t>。</w:t>
      </w:r>
      <w:r>
        <w:rPr>
          <w:sz w:val="21"/>
        </w:rPr>
        <w:t xml:space="preserve"> </w:t>
      </w:r>
    </w:p>
    <w:p w14:paraId="69A94549" w14:textId="77777777" w:rsidR="00A71EEF" w:rsidRDefault="0081115D">
      <w:pPr>
        <w:pStyle w:val="a4"/>
        <w:numPr>
          <w:ilvl w:val="2"/>
          <w:numId w:val="355"/>
        </w:numPr>
        <w:tabs>
          <w:tab w:val="left" w:pos="1370"/>
        </w:tabs>
        <w:ind w:left="1369" w:hanging="530"/>
        <w:rPr>
          <w:sz w:val="21"/>
        </w:rPr>
      </w:pPr>
      <w:r>
        <w:rPr>
          <w:spacing w:val="-3"/>
          <w:sz w:val="21"/>
        </w:rPr>
        <w:t>当屋顶有热屏障时，点型感烟火灾探测器下表面至顶棚或屋顶的距离，应符合表</w:t>
      </w:r>
      <w:r>
        <w:rPr>
          <w:sz w:val="21"/>
        </w:rPr>
        <w:t xml:space="preserve"> </w:t>
      </w:r>
    </w:p>
    <w:p w14:paraId="1DD3F2AA" w14:textId="77777777" w:rsidR="00A71EEF" w:rsidRDefault="00A71EEF">
      <w:pPr>
        <w:pStyle w:val="a3"/>
        <w:spacing w:before="12"/>
        <w:rPr>
          <w:sz w:val="17"/>
        </w:rPr>
      </w:pPr>
    </w:p>
    <w:p w14:paraId="671121DF" w14:textId="77777777" w:rsidR="00A71EEF" w:rsidRDefault="0081115D">
      <w:pPr>
        <w:pStyle w:val="a4"/>
        <w:numPr>
          <w:ilvl w:val="2"/>
          <w:numId w:val="352"/>
        </w:numPr>
        <w:tabs>
          <w:tab w:val="left" w:pos="948"/>
        </w:tabs>
        <w:ind w:hanging="530"/>
        <w:jc w:val="left"/>
        <w:rPr>
          <w:sz w:val="19"/>
        </w:rPr>
      </w:pPr>
      <w:r>
        <w:rPr>
          <w:spacing w:val="-3"/>
          <w:sz w:val="21"/>
        </w:rPr>
        <w:t>的规定。</w:t>
      </w:r>
      <w:r>
        <w:rPr>
          <w:sz w:val="21"/>
        </w:rPr>
        <w:t xml:space="preserve"> </w:t>
      </w:r>
    </w:p>
    <w:p w14:paraId="174D581B" w14:textId="77777777" w:rsidR="00A71EEF" w:rsidRDefault="0081115D">
      <w:pPr>
        <w:pStyle w:val="a3"/>
        <w:spacing w:before="11"/>
      </w:pPr>
      <w:r>
        <w:rPr>
          <w:noProof/>
        </w:rPr>
        <w:drawing>
          <wp:anchor distT="0" distB="0" distL="0" distR="0" simplePos="0" relativeHeight="251636224" behindDoc="0" locked="0" layoutInCell="1" allowOverlap="1" wp14:anchorId="0FCFE52F" wp14:editId="3597EE80">
            <wp:simplePos x="0" y="0"/>
            <wp:positionH relativeFrom="page">
              <wp:posOffset>1227455</wp:posOffset>
            </wp:positionH>
            <wp:positionV relativeFrom="paragraph">
              <wp:posOffset>203010</wp:posOffset>
            </wp:positionV>
            <wp:extent cx="4920023" cy="2538984"/>
            <wp:effectExtent l="0" t="0" r="0" b="0"/>
            <wp:wrapTopAndBottom/>
            <wp:docPr id="497" name="image2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image289.jpeg"/>
                    <pic:cNvPicPr/>
                  </pic:nvPicPr>
                  <pic:blipFill>
                    <a:blip r:embed="rId344" cstate="print"/>
                    <a:stretch>
                      <a:fillRect/>
                    </a:stretch>
                  </pic:blipFill>
                  <pic:spPr>
                    <a:xfrm>
                      <a:off x="0" y="0"/>
                      <a:ext cx="4920023" cy="2538984"/>
                    </a:xfrm>
                    <a:prstGeom prst="rect">
                      <a:avLst/>
                    </a:prstGeom>
                  </pic:spPr>
                </pic:pic>
              </a:graphicData>
            </a:graphic>
          </wp:anchor>
        </w:drawing>
      </w:r>
    </w:p>
    <w:p w14:paraId="0D39D376" w14:textId="77777777" w:rsidR="00A71EEF" w:rsidRDefault="00A71EEF">
      <w:pPr>
        <w:pStyle w:val="a3"/>
        <w:rPr>
          <w:sz w:val="20"/>
        </w:rPr>
      </w:pPr>
    </w:p>
    <w:p w14:paraId="7E720C90" w14:textId="77777777" w:rsidR="00A71EEF" w:rsidRDefault="00A71EEF">
      <w:pPr>
        <w:pStyle w:val="a3"/>
        <w:rPr>
          <w:sz w:val="20"/>
        </w:rPr>
      </w:pPr>
    </w:p>
    <w:p w14:paraId="7858E114" w14:textId="77777777" w:rsidR="00A71EEF" w:rsidRDefault="00A71EEF">
      <w:pPr>
        <w:pStyle w:val="a3"/>
        <w:spacing w:before="5"/>
        <w:rPr>
          <w:sz w:val="19"/>
        </w:rPr>
      </w:pPr>
    </w:p>
    <w:p w14:paraId="04BFA458" w14:textId="77777777" w:rsidR="00A71EEF" w:rsidRDefault="0081115D">
      <w:pPr>
        <w:pStyle w:val="a4"/>
        <w:numPr>
          <w:ilvl w:val="2"/>
          <w:numId w:val="352"/>
        </w:numPr>
        <w:tabs>
          <w:tab w:val="left" w:pos="1478"/>
        </w:tabs>
        <w:ind w:left="1477" w:hanging="638"/>
        <w:jc w:val="left"/>
        <w:rPr>
          <w:sz w:val="19"/>
        </w:rPr>
      </w:pPr>
      <w:r>
        <w:rPr>
          <w:sz w:val="21"/>
        </w:rPr>
        <w:t>锯齿形屋顶和坡度大于</w:t>
      </w:r>
      <w:r>
        <w:rPr>
          <w:sz w:val="21"/>
        </w:rPr>
        <w:t xml:space="preserve"> 15</w:t>
      </w:r>
      <w:r>
        <w:rPr>
          <w:spacing w:val="-3"/>
          <w:sz w:val="21"/>
        </w:rPr>
        <w:t>°</w:t>
      </w:r>
      <w:r>
        <w:rPr>
          <w:spacing w:val="-3"/>
          <w:sz w:val="21"/>
        </w:rPr>
        <w:t>的人字形屋顶，应在每个屋脊处设置一排点型探测器，</w:t>
      </w:r>
    </w:p>
    <w:p w14:paraId="471082FC" w14:textId="77777777" w:rsidR="00A71EEF" w:rsidRDefault="00A71EEF">
      <w:pPr>
        <w:rPr>
          <w:sz w:val="19"/>
        </w:rPr>
        <w:sectPr w:rsidR="00A71EEF">
          <w:pgSz w:w="11910" w:h="16850"/>
          <w:pgMar w:top="1220" w:right="0" w:bottom="1420" w:left="1260" w:header="0" w:footer="1239" w:gutter="0"/>
          <w:cols w:space="720"/>
        </w:sectPr>
      </w:pPr>
    </w:p>
    <w:p w14:paraId="5F7DCE2B" w14:textId="77777777" w:rsidR="00A71EEF" w:rsidRDefault="0081115D">
      <w:pPr>
        <w:pStyle w:val="a3"/>
        <w:spacing w:before="47" w:line="446" w:lineRule="auto"/>
        <w:ind w:left="840" w:right="2972" w:hanging="423"/>
      </w:pPr>
      <w:r>
        <w:t>探测器下表面至屋顶最高处的距离，应符合本规范第</w:t>
      </w:r>
      <w:r>
        <w:t xml:space="preserve"> 6.2.9 </w:t>
      </w:r>
      <w:r>
        <w:t>条的规定。</w:t>
      </w:r>
      <w:r>
        <w:rPr>
          <w:b/>
        </w:rPr>
        <w:t xml:space="preserve">6.2.11 </w:t>
      </w:r>
      <w:r>
        <w:t>点型探测器宜水平安装。当倾斜安装时，倾斜角不应大于</w:t>
      </w:r>
      <w:r>
        <w:t xml:space="preserve"> 45°</w:t>
      </w:r>
      <w:r>
        <w:t>。</w:t>
      </w:r>
      <w:r>
        <w:t xml:space="preserve"> </w:t>
      </w:r>
    </w:p>
    <w:p w14:paraId="785B328A" w14:textId="77777777" w:rsidR="00A71EEF" w:rsidRDefault="0081115D">
      <w:pPr>
        <w:pStyle w:val="a4"/>
        <w:numPr>
          <w:ilvl w:val="2"/>
          <w:numId w:val="351"/>
        </w:numPr>
        <w:tabs>
          <w:tab w:val="left" w:pos="1478"/>
        </w:tabs>
        <w:spacing w:line="267" w:lineRule="exact"/>
        <w:ind w:hanging="638"/>
        <w:rPr>
          <w:sz w:val="21"/>
        </w:rPr>
      </w:pPr>
      <w:r>
        <w:rPr>
          <w:spacing w:val="-3"/>
          <w:sz w:val="21"/>
        </w:rPr>
        <w:t>在电梯井、升降机井设置点型探测器时，其位置宜在井道上方的机房顶棚上。</w:t>
      </w:r>
      <w:r>
        <w:rPr>
          <w:spacing w:val="-3"/>
          <w:sz w:val="21"/>
        </w:rPr>
        <w:t xml:space="preserve"> </w:t>
      </w:r>
    </w:p>
    <w:p w14:paraId="5DAEE00D" w14:textId="77777777" w:rsidR="00A71EEF" w:rsidRDefault="00A71EEF">
      <w:pPr>
        <w:pStyle w:val="a3"/>
        <w:spacing w:before="2"/>
        <w:rPr>
          <w:sz w:val="18"/>
        </w:rPr>
      </w:pPr>
    </w:p>
    <w:p w14:paraId="18D63FBF" w14:textId="77777777" w:rsidR="00A71EEF" w:rsidRDefault="0081115D">
      <w:pPr>
        <w:pStyle w:val="a4"/>
        <w:numPr>
          <w:ilvl w:val="2"/>
          <w:numId w:val="351"/>
        </w:numPr>
        <w:tabs>
          <w:tab w:val="left" w:pos="1478"/>
        </w:tabs>
        <w:ind w:hanging="638"/>
        <w:rPr>
          <w:sz w:val="21"/>
        </w:rPr>
      </w:pPr>
      <w:r>
        <w:rPr>
          <w:spacing w:val="-3"/>
          <w:sz w:val="21"/>
        </w:rPr>
        <w:t>一氧化碳火灾探测器可设置在气体能够扩散到的任何部位。</w:t>
      </w:r>
      <w:r>
        <w:rPr>
          <w:sz w:val="21"/>
        </w:rPr>
        <w:t xml:space="preserve"> </w:t>
      </w:r>
    </w:p>
    <w:p w14:paraId="6E5840E0" w14:textId="77777777" w:rsidR="00A71EEF" w:rsidRDefault="00A71EEF">
      <w:pPr>
        <w:pStyle w:val="a3"/>
        <w:rPr>
          <w:sz w:val="18"/>
        </w:rPr>
      </w:pPr>
    </w:p>
    <w:p w14:paraId="4ABDBDF2" w14:textId="77777777" w:rsidR="00A71EEF" w:rsidRDefault="0081115D">
      <w:pPr>
        <w:pStyle w:val="a4"/>
        <w:numPr>
          <w:ilvl w:val="2"/>
          <w:numId w:val="351"/>
        </w:numPr>
        <w:tabs>
          <w:tab w:val="left" w:pos="1478"/>
        </w:tabs>
        <w:ind w:hanging="638"/>
        <w:rPr>
          <w:sz w:val="21"/>
        </w:rPr>
      </w:pPr>
      <w:r>
        <w:rPr>
          <w:spacing w:val="-3"/>
          <w:sz w:val="21"/>
        </w:rPr>
        <w:t>火焰探测器和图像型火灾探测器的设置，应符合下列规定：</w:t>
      </w:r>
      <w:r>
        <w:rPr>
          <w:sz w:val="21"/>
        </w:rPr>
        <w:t xml:space="preserve"> </w:t>
      </w:r>
    </w:p>
    <w:p w14:paraId="6C2CCE65" w14:textId="77777777" w:rsidR="00A71EEF" w:rsidRDefault="00A71EEF">
      <w:pPr>
        <w:pStyle w:val="a3"/>
        <w:spacing w:before="12"/>
        <w:rPr>
          <w:sz w:val="17"/>
        </w:rPr>
      </w:pPr>
    </w:p>
    <w:p w14:paraId="0DF6DE99" w14:textId="77777777" w:rsidR="00A71EEF" w:rsidRDefault="0081115D">
      <w:pPr>
        <w:pStyle w:val="a4"/>
        <w:numPr>
          <w:ilvl w:val="0"/>
          <w:numId w:val="350"/>
        </w:numPr>
        <w:tabs>
          <w:tab w:val="left" w:pos="1365"/>
        </w:tabs>
        <w:spacing w:line="446" w:lineRule="auto"/>
        <w:ind w:right="1433" w:firstLine="419"/>
        <w:rPr>
          <w:sz w:val="21"/>
        </w:rPr>
      </w:pPr>
      <w:r>
        <w:rPr>
          <w:spacing w:val="-5"/>
          <w:sz w:val="21"/>
        </w:rPr>
        <w:t>应计及探测器的探测视角及最大探测距离，可通过选择探测距离长、火灾报警响应时</w:t>
      </w:r>
      <w:r>
        <w:rPr>
          <w:spacing w:val="-4"/>
          <w:sz w:val="21"/>
        </w:rPr>
        <w:t>间短的火焰探测器，提高保护面积要求和报警时间要求。</w:t>
      </w:r>
      <w:r>
        <w:rPr>
          <w:sz w:val="21"/>
        </w:rPr>
        <w:t xml:space="preserve"> </w:t>
      </w:r>
    </w:p>
    <w:p w14:paraId="52C64841" w14:textId="77777777" w:rsidR="00A71EEF" w:rsidRDefault="0081115D">
      <w:pPr>
        <w:pStyle w:val="a4"/>
        <w:numPr>
          <w:ilvl w:val="0"/>
          <w:numId w:val="350"/>
        </w:numPr>
        <w:tabs>
          <w:tab w:val="left" w:pos="1367"/>
        </w:tabs>
        <w:spacing w:before="1"/>
        <w:ind w:left="1367" w:hanging="529"/>
        <w:rPr>
          <w:sz w:val="21"/>
        </w:rPr>
      </w:pPr>
      <w:r>
        <w:rPr>
          <w:spacing w:val="-3"/>
          <w:sz w:val="21"/>
        </w:rPr>
        <w:t>探测器的探测视角内不应存在遮挡物。</w:t>
      </w:r>
      <w:r>
        <w:rPr>
          <w:sz w:val="21"/>
        </w:rPr>
        <w:t xml:space="preserve"> </w:t>
      </w:r>
    </w:p>
    <w:p w14:paraId="1BCEDA0E" w14:textId="77777777" w:rsidR="00A71EEF" w:rsidRDefault="00A71EEF">
      <w:pPr>
        <w:pStyle w:val="a3"/>
        <w:spacing w:before="12"/>
        <w:rPr>
          <w:sz w:val="17"/>
        </w:rPr>
      </w:pPr>
    </w:p>
    <w:p w14:paraId="699008E6" w14:textId="77777777" w:rsidR="00A71EEF" w:rsidRDefault="0081115D">
      <w:pPr>
        <w:pStyle w:val="a4"/>
        <w:numPr>
          <w:ilvl w:val="0"/>
          <w:numId w:val="350"/>
        </w:numPr>
        <w:tabs>
          <w:tab w:val="left" w:pos="1367"/>
        </w:tabs>
        <w:ind w:left="1367" w:hanging="529"/>
        <w:rPr>
          <w:sz w:val="21"/>
        </w:rPr>
      </w:pPr>
      <w:r>
        <w:rPr>
          <w:spacing w:val="-3"/>
          <w:sz w:val="21"/>
        </w:rPr>
        <w:t>应避免光源直接照射在探测器的探测窗口。</w:t>
      </w:r>
      <w:r>
        <w:rPr>
          <w:sz w:val="21"/>
        </w:rPr>
        <w:t xml:space="preserve"> </w:t>
      </w:r>
    </w:p>
    <w:p w14:paraId="55B25A23" w14:textId="77777777" w:rsidR="00A71EEF" w:rsidRDefault="00A71EEF">
      <w:pPr>
        <w:pStyle w:val="a3"/>
        <w:spacing w:before="2"/>
        <w:rPr>
          <w:sz w:val="18"/>
        </w:rPr>
      </w:pPr>
    </w:p>
    <w:p w14:paraId="3638D0D9" w14:textId="77777777" w:rsidR="00A71EEF" w:rsidRDefault="0081115D">
      <w:pPr>
        <w:pStyle w:val="a4"/>
        <w:numPr>
          <w:ilvl w:val="0"/>
          <w:numId w:val="350"/>
        </w:numPr>
        <w:tabs>
          <w:tab w:val="left" w:pos="1367"/>
        </w:tabs>
        <w:spacing w:line="446" w:lineRule="auto"/>
        <w:ind w:left="840" w:right="36" w:hanging="3"/>
        <w:rPr>
          <w:sz w:val="21"/>
        </w:rPr>
      </w:pPr>
      <w:r>
        <w:rPr>
          <w:spacing w:val="-3"/>
          <w:sz w:val="21"/>
        </w:rPr>
        <w:t>单波段的火焰探测器不应设置在平时有阳光、白炽灯等光源直接或间接照射的场所。</w:t>
      </w:r>
      <w:r>
        <w:rPr>
          <w:spacing w:val="-3"/>
          <w:sz w:val="21"/>
        </w:rPr>
        <w:t xml:space="preserve">         </w:t>
      </w:r>
      <w:r>
        <w:rPr>
          <w:b/>
          <w:spacing w:val="-3"/>
          <w:sz w:val="21"/>
        </w:rPr>
        <w:t xml:space="preserve">6.2.15 </w:t>
      </w:r>
      <w:r>
        <w:rPr>
          <w:spacing w:val="-3"/>
          <w:sz w:val="21"/>
        </w:rPr>
        <w:t>线型光束感烟火灾探测器的设置应符合下列规定：</w:t>
      </w:r>
      <w:r>
        <w:rPr>
          <w:sz w:val="21"/>
        </w:rPr>
        <w:t xml:space="preserve"> </w:t>
      </w:r>
    </w:p>
    <w:p w14:paraId="3CB0F065" w14:textId="77777777" w:rsidR="00A71EEF" w:rsidRDefault="0081115D">
      <w:pPr>
        <w:pStyle w:val="a4"/>
        <w:numPr>
          <w:ilvl w:val="0"/>
          <w:numId w:val="349"/>
        </w:numPr>
        <w:tabs>
          <w:tab w:val="left" w:pos="1367"/>
        </w:tabs>
        <w:spacing w:line="267" w:lineRule="exact"/>
        <w:rPr>
          <w:sz w:val="21"/>
        </w:rPr>
      </w:pPr>
      <w:r>
        <w:rPr>
          <w:spacing w:val="-3"/>
          <w:sz w:val="21"/>
        </w:rPr>
        <w:t>探测器的光束轴线至顶棚的垂直距离宜为</w:t>
      </w:r>
      <w:r>
        <w:rPr>
          <w:spacing w:val="-3"/>
          <w:sz w:val="21"/>
        </w:rPr>
        <w:t xml:space="preserve"> </w:t>
      </w:r>
      <w:r>
        <w:rPr>
          <w:sz w:val="21"/>
        </w:rPr>
        <w:t>0.3</w:t>
      </w:r>
      <w:r>
        <w:rPr>
          <w:sz w:val="21"/>
        </w:rPr>
        <w:t>～</w:t>
      </w:r>
      <w:r>
        <w:rPr>
          <w:sz w:val="21"/>
        </w:rPr>
        <w:t>1.0m</w:t>
      </w:r>
      <w:r>
        <w:rPr>
          <w:spacing w:val="-3"/>
          <w:sz w:val="21"/>
        </w:rPr>
        <w:t xml:space="preserve"> </w:t>
      </w:r>
      <w:r>
        <w:rPr>
          <w:spacing w:val="-3"/>
          <w:sz w:val="21"/>
        </w:rPr>
        <w:t>，距地高度不宜超过</w:t>
      </w:r>
      <w:r>
        <w:rPr>
          <w:spacing w:val="-3"/>
          <w:sz w:val="21"/>
        </w:rPr>
        <w:t xml:space="preserve"> </w:t>
      </w:r>
      <w:r>
        <w:rPr>
          <w:sz w:val="21"/>
        </w:rPr>
        <w:t>20m</w:t>
      </w:r>
      <w:r>
        <w:rPr>
          <w:spacing w:val="-1"/>
          <w:sz w:val="21"/>
        </w:rPr>
        <w:t xml:space="preserve"> </w:t>
      </w:r>
      <w:r>
        <w:rPr>
          <w:spacing w:val="-1"/>
          <w:sz w:val="21"/>
        </w:rPr>
        <w:t>。</w:t>
      </w:r>
      <w:r>
        <w:rPr>
          <w:sz w:val="21"/>
        </w:rPr>
        <w:t xml:space="preserve"> </w:t>
      </w:r>
    </w:p>
    <w:p w14:paraId="6B032B2E" w14:textId="77777777" w:rsidR="00A71EEF" w:rsidRDefault="00A71EEF">
      <w:pPr>
        <w:pStyle w:val="a3"/>
        <w:spacing w:before="1"/>
        <w:rPr>
          <w:sz w:val="18"/>
        </w:rPr>
      </w:pPr>
    </w:p>
    <w:p w14:paraId="739C7167" w14:textId="77777777" w:rsidR="00A71EEF" w:rsidRDefault="0081115D">
      <w:pPr>
        <w:pStyle w:val="a4"/>
        <w:numPr>
          <w:ilvl w:val="0"/>
          <w:numId w:val="349"/>
        </w:numPr>
        <w:tabs>
          <w:tab w:val="left" w:pos="1365"/>
        </w:tabs>
        <w:spacing w:before="1" w:line="446" w:lineRule="auto"/>
        <w:ind w:left="418" w:right="1440" w:firstLine="419"/>
        <w:rPr>
          <w:sz w:val="21"/>
        </w:rPr>
      </w:pPr>
      <w:r>
        <w:rPr>
          <w:spacing w:val="-3"/>
          <w:sz w:val="21"/>
        </w:rPr>
        <w:t>相邻两组探测器的水平距离不应大于</w:t>
      </w:r>
      <w:r>
        <w:rPr>
          <w:spacing w:val="-3"/>
          <w:sz w:val="21"/>
        </w:rPr>
        <w:t xml:space="preserve"> </w:t>
      </w:r>
      <w:r>
        <w:rPr>
          <w:sz w:val="21"/>
        </w:rPr>
        <w:t>14m</w:t>
      </w:r>
      <w:r>
        <w:rPr>
          <w:spacing w:val="-3"/>
          <w:sz w:val="21"/>
        </w:rPr>
        <w:t xml:space="preserve"> </w:t>
      </w:r>
      <w:r>
        <w:rPr>
          <w:spacing w:val="-3"/>
          <w:sz w:val="21"/>
        </w:rPr>
        <w:t>，探测器至侧墙水平距离不应大于</w:t>
      </w:r>
      <w:r>
        <w:rPr>
          <w:spacing w:val="-3"/>
          <w:sz w:val="21"/>
        </w:rPr>
        <w:t xml:space="preserve"> </w:t>
      </w:r>
      <w:r>
        <w:rPr>
          <w:sz w:val="21"/>
        </w:rPr>
        <w:t>7m</w:t>
      </w:r>
      <w:r>
        <w:rPr>
          <w:spacing w:val="-5"/>
          <w:sz w:val="21"/>
        </w:rPr>
        <w:t xml:space="preserve"> </w:t>
      </w:r>
      <w:r>
        <w:rPr>
          <w:spacing w:val="-5"/>
          <w:sz w:val="21"/>
        </w:rPr>
        <w:t>，且</w:t>
      </w:r>
      <w:r>
        <w:rPr>
          <w:spacing w:val="-1"/>
          <w:sz w:val="21"/>
        </w:rPr>
        <w:t>不应小于</w:t>
      </w:r>
      <w:r>
        <w:rPr>
          <w:spacing w:val="-1"/>
          <w:sz w:val="21"/>
        </w:rPr>
        <w:t xml:space="preserve"> </w:t>
      </w:r>
      <w:r>
        <w:rPr>
          <w:sz w:val="21"/>
        </w:rPr>
        <w:t>0.5m</w:t>
      </w:r>
      <w:r>
        <w:rPr>
          <w:spacing w:val="-3"/>
          <w:sz w:val="21"/>
        </w:rPr>
        <w:t xml:space="preserve"> </w:t>
      </w:r>
      <w:r>
        <w:rPr>
          <w:spacing w:val="-3"/>
          <w:sz w:val="21"/>
        </w:rPr>
        <w:t>，探测器的发射器和接收器之间的距离不宜超过</w:t>
      </w:r>
      <w:r>
        <w:rPr>
          <w:spacing w:val="-3"/>
          <w:sz w:val="21"/>
        </w:rPr>
        <w:t xml:space="preserve"> </w:t>
      </w:r>
      <w:r>
        <w:rPr>
          <w:sz w:val="21"/>
        </w:rPr>
        <w:t>100m</w:t>
      </w:r>
      <w:r>
        <w:rPr>
          <w:spacing w:val="-2"/>
          <w:sz w:val="21"/>
        </w:rPr>
        <w:t xml:space="preserve"> </w:t>
      </w:r>
      <w:r>
        <w:rPr>
          <w:spacing w:val="-2"/>
          <w:sz w:val="21"/>
        </w:rPr>
        <w:t>。</w:t>
      </w:r>
      <w:r>
        <w:rPr>
          <w:sz w:val="21"/>
        </w:rPr>
        <w:t xml:space="preserve"> </w:t>
      </w:r>
    </w:p>
    <w:p w14:paraId="53B7799F" w14:textId="77777777" w:rsidR="00A71EEF" w:rsidRDefault="0081115D">
      <w:pPr>
        <w:pStyle w:val="a4"/>
        <w:numPr>
          <w:ilvl w:val="0"/>
          <w:numId w:val="349"/>
        </w:numPr>
        <w:tabs>
          <w:tab w:val="left" w:pos="1367"/>
        </w:tabs>
        <w:spacing w:line="267" w:lineRule="exact"/>
        <w:rPr>
          <w:sz w:val="21"/>
        </w:rPr>
      </w:pPr>
      <w:r>
        <w:rPr>
          <w:spacing w:val="-3"/>
          <w:sz w:val="21"/>
        </w:rPr>
        <w:t>探测器应设置在固定结构上。</w:t>
      </w:r>
      <w:r>
        <w:rPr>
          <w:sz w:val="21"/>
        </w:rPr>
        <w:t xml:space="preserve"> </w:t>
      </w:r>
    </w:p>
    <w:p w14:paraId="40C1B6AF" w14:textId="77777777" w:rsidR="00A71EEF" w:rsidRDefault="00A71EEF">
      <w:pPr>
        <w:pStyle w:val="a3"/>
        <w:spacing w:before="1"/>
        <w:rPr>
          <w:sz w:val="18"/>
        </w:rPr>
      </w:pPr>
    </w:p>
    <w:p w14:paraId="628A1CF5" w14:textId="77777777" w:rsidR="00A71EEF" w:rsidRDefault="0081115D">
      <w:pPr>
        <w:pStyle w:val="a4"/>
        <w:numPr>
          <w:ilvl w:val="0"/>
          <w:numId w:val="349"/>
        </w:numPr>
        <w:tabs>
          <w:tab w:val="left" w:pos="1367"/>
        </w:tabs>
        <w:spacing w:before="1"/>
        <w:rPr>
          <w:sz w:val="21"/>
        </w:rPr>
      </w:pPr>
      <w:r>
        <w:rPr>
          <w:spacing w:val="-3"/>
          <w:sz w:val="21"/>
        </w:rPr>
        <w:t>探测器的设置应保证其接收端避开日光和人工光源直接照射。</w:t>
      </w:r>
      <w:r>
        <w:rPr>
          <w:sz w:val="21"/>
        </w:rPr>
        <w:t xml:space="preserve"> </w:t>
      </w:r>
    </w:p>
    <w:p w14:paraId="6785C47C" w14:textId="77777777" w:rsidR="00A71EEF" w:rsidRDefault="00A71EEF">
      <w:pPr>
        <w:pStyle w:val="a3"/>
        <w:spacing w:before="12"/>
        <w:rPr>
          <w:sz w:val="17"/>
        </w:rPr>
      </w:pPr>
    </w:p>
    <w:p w14:paraId="11CFAEF4" w14:textId="77777777" w:rsidR="00A71EEF" w:rsidRDefault="0081115D">
      <w:pPr>
        <w:pStyle w:val="a4"/>
        <w:numPr>
          <w:ilvl w:val="0"/>
          <w:numId w:val="349"/>
        </w:numPr>
        <w:tabs>
          <w:tab w:val="left" w:pos="1367"/>
        </w:tabs>
        <w:spacing w:line="446" w:lineRule="auto"/>
        <w:ind w:left="418" w:right="1431" w:firstLine="419"/>
        <w:rPr>
          <w:sz w:val="21"/>
        </w:rPr>
      </w:pPr>
      <w:r>
        <w:rPr>
          <w:spacing w:val="-10"/>
          <w:sz w:val="21"/>
        </w:rPr>
        <w:t>选择反射式探测器时，应保证在反射板与探测器间任何部位进行模拟试验时，探测器</w:t>
      </w:r>
      <w:r>
        <w:rPr>
          <w:spacing w:val="-10"/>
          <w:sz w:val="21"/>
        </w:rPr>
        <w:t xml:space="preserve"> </w:t>
      </w:r>
      <w:r>
        <w:rPr>
          <w:spacing w:val="-8"/>
          <w:sz w:val="21"/>
        </w:rPr>
        <w:t>均能正确响应。</w:t>
      </w:r>
      <w:r>
        <w:rPr>
          <w:sz w:val="21"/>
        </w:rPr>
        <w:t xml:space="preserve"> </w:t>
      </w:r>
    </w:p>
    <w:p w14:paraId="67777B50" w14:textId="77777777" w:rsidR="00A71EEF" w:rsidRDefault="0081115D">
      <w:pPr>
        <w:pStyle w:val="a4"/>
        <w:numPr>
          <w:ilvl w:val="2"/>
          <w:numId w:val="348"/>
        </w:numPr>
        <w:tabs>
          <w:tab w:val="left" w:pos="1478"/>
        </w:tabs>
        <w:ind w:hanging="638"/>
        <w:rPr>
          <w:sz w:val="21"/>
        </w:rPr>
      </w:pPr>
      <w:r>
        <w:rPr>
          <w:spacing w:val="-3"/>
          <w:sz w:val="21"/>
        </w:rPr>
        <w:t>线型感温火灾探测器的设置应符合下列规定：</w:t>
      </w:r>
      <w:r>
        <w:rPr>
          <w:spacing w:val="-3"/>
          <w:sz w:val="21"/>
        </w:rPr>
        <w:t xml:space="preserve"> </w:t>
      </w:r>
    </w:p>
    <w:p w14:paraId="6DC2A080" w14:textId="77777777" w:rsidR="00A71EEF" w:rsidRDefault="00A71EEF">
      <w:pPr>
        <w:pStyle w:val="a3"/>
        <w:rPr>
          <w:sz w:val="18"/>
        </w:rPr>
      </w:pPr>
    </w:p>
    <w:p w14:paraId="5E9432AD" w14:textId="77777777" w:rsidR="00A71EEF" w:rsidRDefault="0081115D">
      <w:pPr>
        <w:pStyle w:val="a4"/>
        <w:numPr>
          <w:ilvl w:val="0"/>
          <w:numId w:val="347"/>
        </w:numPr>
        <w:tabs>
          <w:tab w:val="left" w:pos="1367"/>
        </w:tabs>
        <w:spacing w:line="446" w:lineRule="auto"/>
        <w:ind w:right="1433" w:firstLine="419"/>
        <w:rPr>
          <w:sz w:val="21"/>
        </w:rPr>
      </w:pPr>
      <w:r>
        <w:rPr>
          <w:spacing w:val="-10"/>
          <w:sz w:val="21"/>
        </w:rPr>
        <w:t>探测器在保护电缆、堆垛等类似保护对象时，应采用接触式布置；在各种皮带输送装</w:t>
      </w:r>
      <w:r>
        <w:rPr>
          <w:spacing w:val="-10"/>
          <w:sz w:val="21"/>
        </w:rPr>
        <w:t xml:space="preserve"> </w:t>
      </w:r>
      <w:r>
        <w:rPr>
          <w:spacing w:val="-7"/>
          <w:sz w:val="21"/>
        </w:rPr>
        <w:t>置上设置时，宜设置在装置的过热点附近。</w:t>
      </w:r>
      <w:r>
        <w:rPr>
          <w:sz w:val="21"/>
        </w:rPr>
        <w:t xml:space="preserve"> </w:t>
      </w:r>
    </w:p>
    <w:p w14:paraId="76691181" w14:textId="77777777" w:rsidR="00A71EEF" w:rsidRDefault="0081115D">
      <w:pPr>
        <w:pStyle w:val="a4"/>
        <w:numPr>
          <w:ilvl w:val="0"/>
          <w:numId w:val="347"/>
        </w:numPr>
        <w:tabs>
          <w:tab w:val="left" w:pos="1367"/>
        </w:tabs>
        <w:spacing w:line="446" w:lineRule="auto"/>
        <w:ind w:right="1433" w:firstLine="419"/>
        <w:rPr>
          <w:sz w:val="21"/>
        </w:rPr>
      </w:pPr>
      <w:r>
        <w:rPr>
          <w:spacing w:val="-1"/>
          <w:sz w:val="21"/>
        </w:rPr>
        <w:t>设置在顶棚下方的线型感温火灾探测器，至顶棚的距离宜为</w:t>
      </w:r>
      <w:r>
        <w:rPr>
          <w:spacing w:val="-1"/>
          <w:sz w:val="21"/>
        </w:rPr>
        <w:t xml:space="preserve"> </w:t>
      </w:r>
      <w:r>
        <w:rPr>
          <w:sz w:val="21"/>
        </w:rPr>
        <w:t>0.1m</w:t>
      </w:r>
      <w:r>
        <w:rPr>
          <w:spacing w:val="3"/>
          <w:sz w:val="21"/>
        </w:rPr>
        <w:t xml:space="preserve"> </w:t>
      </w:r>
      <w:r>
        <w:rPr>
          <w:spacing w:val="3"/>
          <w:sz w:val="21"/>
        </w:rPr>
        <w:t>。探测器的保护半</w:t>
      </w:r>
      <w:r>
        <w:rPr>
          <w:spacing w:val="-3"/>
          <w:sz w:val="21"/>
        </w:rPr>
        <w:t>径应符合点型感温火灾探测器的保护半径要求；探测器至墙壁的距离宜为</w:t>
      </w:r>
      <w:r>
        <w:rPr>
          <w:spacing w:val="-3"/>
          <w:sz w:val="21"/>
        </w:rPr>
        <w:t xml:space="preserve"> </w:t>
      </w:r>
      <w:r>
        <w:rPr>
          <w:sz w:val="21"/>
        </w:rPr>
        <w:t>1</w:t>
      </w:r>
      <w:r>
        <w:rPr>
          <w:sz w:val="21"/>
        </w:rPr>
        <w:t>～</w:t>
      </w:r>
      <w:r>
        <w:rPr>
          <w:sz w:val="21"/>
        </w:rPr>
        <w:t xml:space="preserve">1.5m </w:t>
      </w:r>
      <w:r>
        <w:rPr>
          <w:sz w:val="21"/>
        </w:rPr>
        <w:t>。</w:t>
      </w:r>
      <w:r>
        <w:rPr>
          <w:sz w:val="21"/>
        </w:rPr>
        <w:t xml:space="preserve"> </w:t>
      </w:r>
    </w:p>
    <w:p w14:paraId="37D168F7" w14:textId="77777777" w:rsidR="00A71EEF" w:rsidRDefault="0081115D">
      <w:pPr>
        <w:pStyle w:val="a4"/>
        <w:numPr>
          <w:ilvl w:val="0"/>
          <w:numId w:val="347"/>
        </w:numPr>
        <w:tabs>
          <w:tab w:val="left" w:pos="1370"/>
        </w:tabs>
        <w:spacing w:line="446" w:lineRule="auto"/>
        <w:ind w:right="1438" w:firstLine="419"/>
        <w:rPr>
          <w:sz w:val="21"/>
        </w:rPr>
      </w:pPr>
      <w:r>
        <w:rPr>
          <w:spacing w:val="-1"/>
          <w:sz w:val="21"/>
        </w:rPr>
        <w:t>光栅光纤感温火灾探测器每个光栅的保护面积和保护半径，应符合点型感温火灾探测</w:t>
      </w:r>
      <w:r>
        <w:rPr>
          <w:spacing w:val="-3"/>
          <w:sz w:val="21"/>
        </w:rPr>
        <w:t>器的保护面积和保护半径要求。</w:t>
      </w:r>
      <w:r>
        <w:rPr>
          <w:sz w:val="21"/>
        </w:rPr>
        <w:t xml:space="preserve"> </w:t>
      </w:r>
    </w:p>
    <w:p w14:paraId="77B4A32B" w14:textId="77777777" w:rsidR="00A71EEF" w:rsidRDefault="0081115D">
      <w:pPr>
        <w:pStyle w:val="a4"/>
        <w:numPr>
          <w:ilvl w:val="0"/>
          <w:numId w:val="347"/>
        </w:numPr>
        <w:tabs>
          <w:tab w:val="left" w:pos="1370"/>
        </w:tabs>
        <w:spacing w:line="446" w:lineRule="auto"/>
        <w:ind w:right="1438" w:firstLine="419"/>
        <w:rPr>
          <w:sz w:val="21"/>
        </w:rPr>
      </w:pPr>
      <w:r>
        <w:rPr>
          <w:spacing w:val="-1"/>
          <w:sz w:val="21"/>
        </w:rPr>
        <w:t>设置线型感温火灾探测器的场所有联动要求时，宜采用两只不同火灾探测器的报警信</w:t>
      </w:r>
      <w:r>
        <w:rPr>
          <w:spacing w:val="-2"/>
          <w:sz w:val="21"/>
        </w:rPr>
        <w:t>号组合。</w:t>
      </w:r>
      <w:r>
        <w:rPr>
          <w:sz w:val="21"/>
        </w:rPr>
        <w:t xml:space="preserve"> </w:t>
      </w:r>
    </w:p>
    <w:p w14:paraId="67E4A7D9" w14:textId="77777777" w:rsidR="00A71EEF" w:rsidRDefault="0081115D">
      <w:pPr>
        <w:pStyle w:val="a4"/>
        <w:numPr>
          <w:ilvl w:val="0"/>
          <w:numId w:val="347"/>
        </w:numPr>
        <w:tabs>
          <w:tab w:val="left" w:pos="1367"/>
        </w:tabs>
        <w:ind w:left="1367"/>
        <w:rPr>
          <w:sz w:val="21"/>
        </w:rPr>
      </w:pPr>
      <w:r>
        <w:rPr>
          <w:spacing w:val="-3"/>
          <w:sz w:val="21"/>
        </w:rPr>
        <w:t>与线型感温火灾探测器连接的模块不宜设置在长期潮湿或温度变化较大的场所。</w:t>
      </w:r>
      <w:r>
        <w:rPr>
          <w:sz w:val="21"/>
        </w:rPr>
        <w:t xml:space="preserve"> </w:t>
      </w:r>
    </w:p>
    <w:p w14:paraId="4A081A28" w14:textId="77777777" w:rsidR="00A71EEF" w:rsidRDefault="00A71EEF">
      <w:pPr>
        <w:rPr>
          <w:sz w:val="21"/>
        </w:rPr>
        <w:sectPr w:rsidR="00A71EEF">
          <w:pgSz w:w="11910" w:h="16850"/>
          <w:pgMar w:top="1220" w:right="0" w:bottom="1420" w:left="1260" w:header="0" w:footer="1239" w:gutter="0"/>
          <w:cols w:space="720"/>
        </w:sectPr>
      </w:pPr>
    </w:p>
    <w:p w14:paraId="33E040B5" w14:textId="77777777" w:rsidR="00A71EEF" w:rsidRDefault="0081115D">
      <w:pPr>
        <w:pStyle w:val="a4"/>
        <w:numPr>
          <w:ilvl w:val="2"/>
          <w:numId w:val="348"/>
        </w:numPr>
        <w:tabs>
          <w:tab w:val="left" w:pos="1478"/>
        </w:tabs>
        <w:spacing w:before="47"/>
        <w:ind w:hanging="638"/>
        <w:rPr>
          <w:sz w:val="21"/>
        </w:rPr>
      </w:pPr>
      <w:r>
        <w:rPr>
          <w:spacing w:val="-3"/>
          <w:sz w:val="21"/>
        </w:rPr>
        <w:t>管路采样式吸气感烟火灾探测器的设置，应符合下列规定：</w:t>
      </w:r>
      <w:r>
        <w:rPr>
          <w:sz w:val="21"/>
        </w:rPr>
        <w:t xml:space="preserve"> </w:t>
      </w:r>
    </w:p>
    <w:p w14:paraId="3D1F20DE" w14:textId="77777777" w:rsidR="00A71EEF" w:rsidRDefault="00A71EEF">
      <w:pPr>
        <w:pStyle w:val="a3"/>
        <w:rPr>
          <w:sz w:val="18"/>
        </w:rPr>
      </w:pPr>
    </w:p>
    <w:p w14:paraId="6E3CB891" w14:textId="77777777" w:rsidR="00A71EEF" w:rsidRDefault="0081115D">
      <w:pPr>
        <w:pStyle w:val="a4"/>
        <w:numPr>
          <w:ilvl w:val="0"/>
          <w:numId w:val="346"/>
        </w:numPr>
        <w:tabs>
          <w:tab w:val="left" w:pos="1367"/>
        </w:tabs>
        <w:spacing w:line="446" w:lineRule="auto"/>
        <w:ind w:right="1325" w:firstLine="419"/>
        <w:rPr>
          <w:sz w:val="21"/>
        </w:rPr>
      </w:pPr>
      <w:r>
        <w:rPr>
          <w:spacing w:val="-5"/>
          <w:sz w:val="21"/>
        </w:rPr>
        <w:t>非高灵敏型探测器的采样管网安装高度不应超过</w:t>
      </w:r>
      <w:r>
        <w:rPr>
          <w:spacing w:val="-5"/>
          <w:sz w:val="21"/>
        </w:rPr>
        <w:t xml:space="preserve"> </w:t>
      </w:r>
      <w:r>
        <w:rPr>
          <w:sz w:val="21"/>
        </w:rPr>
        <w:t>16m</w:t>
      </w:r>
      <w:r>
        <w:rPr>
          <w:spacing w:val="-2"/>
          <w:sz w:val="21"/>
        </w:rPr>
        <w:t xml:space="preserve"> </w:t>
      </w:r>
      <w:r>
        <w:rPr>
          <w:spacing w:val="-2"/>
          <w:sz w:val="21"/>
        </w:rPr>
        <w:t>；高灵敏型探测器的采样管网安</w:t>
      </w:r>
      <w:r>
        <w:rPr>
          <w:spacing w:val="1"/>
          <w:sz w:val="21"/>
        </w:rPr>
        <w:t>装高度可超过</w:t>
      </w:r>
      <w:r>
        <w:rPr>
          <w:spacing w:val="1"/>
          <w:sz w:val="21"/>
        </w:rPr>
        <w:t xml:space="preserve"> </w:t>
      </w:r>
      <w:r>
        <w:rPr>
          <w:sz w:val="21"/>
        </w:rPr>
        <w:t>16m</w:t>
      </w:r>
      <w:r>
        <w:rPr>
          <w:spacing w:val="1"/>
          <w:sz w:val="21"/>
        </w:rPr>
        <w:t xml:space="preserve"> </w:t>
      </w:r>
      <w:r>
        <w:rPr>
          <w:spacing w:val="1"/>
          <w:sz w:val="21"/>
        </w:rPr>
        <w:t>；采样管网安装高度超过</w:t>
      </w:r>
      <w:r>
        <w:rPr>
          <w:spacing w:val="1"/>
          <w:sz w:val="21"/>
        </w:rPr>
        <w:t xml:space="preserve"> </w:t>
      </w:r>
      <w:r>
        <w:rPr>
          <w:sz w:val="21"/>
        </w:rPr>
        <w:t>16m</w:t>
      </w:r>
      <w:r>
        <w:rPr>
          <w:spacing w:val="-3"/>
          <w:sz w:val="21"/>
        </w:rPr>
        <w:t xml:space="preserve"> </w:t>
      </w:r>
      <w:r>
        <w:rPr>
          <w:spacing w:val="-3"/>
          <w:sz w:val="21"/>
        </w:rPr>
        <w:t>时，灵敏度可调的探测器应设置为高灵敏度，</w:t>
      </w:r>
      <w:r>
        <w:rPr>
          <w:spacing w:val="-3"/>
          <w:sz w:val="21"/>
        </w:rPr>
        <w:t xml:space="preserve"> </w:t>
      </w:r>
      <w:r>
        <w:rPr>
          <w:spacing w:val="-3"/>
          <w:sz w:val="21"/>
        </w:rPr>
        <w:t>且应减小采样管长度和采样孔数量。</w:t>
      </w:r>
      <w:r>
        <w:rPr>
          <w:sz w:val="21"/>
        </w:rPr>
        <w:t xml:space="preserve"> </w:t>
      </w:r>
    </w:p>
    <w:p w14:paraId="2A817D4D" w14:textId="77777777" w:rsidR="00A71EEF" w:rsidRDefault="0081115D">
      <w:pPr>
        <w:pStyle w:val="a4"/>
        <w:numPr>
          <w:ilvl w:val="0"/>
          <w:numId w:val="346"/>
        </w:numPr>
        <w:tabs>
          <w:tab w:val="left" w:pos="1367"/>
        </w:tabs>
        <w:spacing w:line="446" w:lineRule="auto"/>
        <w:ind w:right="1433" w:firstLine="419"/>
        <w:rPr>
          <w:sz w:val="21"/>
        </w:rPr>
      </w:pPr>
      <w:r>
        <w:rPr>
          <w:spacing w:val="-9"/>
          <w:sz w:val="21"/>
        </w:rPr>
        <w:t>探测器的每个采样孔的保护面积、保护半径，应符合点型感烟火灾探测器的保护面积</w:t>
      </w:r>
      <w:r>
        <w:rPr>
          <w:spacing w:val="-9"/>
          <w:sz w:val="21"/>
        </w:rPr>
        <w:t xml:space="preserve"> </w:t>
      </w:r>
      <w:r>
        <w:rPr>
          <w:spacing w:val="-3"/>
          <w:sz w:val="21"/>
        </w:rPr>
        <w:t>、保护半径的要求。</w:t>
      </w:r>
      <w:r>
        <w:rPr>
          <w:sz w:val="21"/>
        </w:rPr>
        <w:t xml:space="preserve"> </w:t>
      </w:r>
    </w:p>
    <w:p w14:paraId="44B0B8BB" w14:textId="77777777" w:rsidR="00A71EEF" w:rsidRDefault="0081115D">
      <w:pPr>
        <w:pStyle w:val="a4"/>
        <w:numPr>
          <w:ilvl w:val="0"/>
          <w:numId w:val="346"/>
        </w:numPr>
        <w:tabs>
          <w:tab w:val="left" w:pos="1367"/>
        </w:tabs>
        <w:spacing w:line="446" w:lineRule="auto"/>
        <w:ind w:right="1433" w:firstLine="419"/>
        <w:rPr>
          <w:sz w:val="21"/>
        </w:rPr>
      </w:pPr>
      <w:r>
        <w:rPr>
          <w:spacing w:val="-2"/>
          <w:sz w:val="21"/>
        </w:rPr>
        <w:t>一个探测单元的采样管总长不宜超过</w:t>
      </w:r>
      <w:r>
        <w:rPr>
          <w:spacing w:val="-2"/>
          <w:sz w:val="21"/>
        </w:rPr>
        <w:t xml:space="preserve"> </w:t>
      </w:r>
      <w:r>
        <w:rPr>
          <w:sz w:val="21"/>
        </w:rPr>
        <w:t>200m</w:t>
      </w:r>
      <w:r>
        <w:rPr>
          <w:spacing w:val="2"/>
          <w:sz w:val="21"/>
        </w:rPr>
        <w:t xml:space="preserve"> </w:t>
      </w:r>
      <w:r>
        <w:rPr>
          <w:spacing w:val="2"/>
          <w:sz w:val="21"/>
        </w:rPr>
        <w:t>，单管长度不宜超过</w:t>
      </w:r>
      <w:r>
        <w:rPr>
          <w:spacing w:val="2"/>
          <w:sz w:val="21"/>
        </w:rPr>
        <w:t xml:space="preserve"> </w:t>
      </w:r>
      <w:r>
        <w:rPr>
          <w:sz w:val="21"/>
        </w:rPr>
        <w:t>100m</w:t>
      </w:r>
      <w:r>
        <w:rPr>
          <w:spacing w:val="1"/>
          <w:sz w:val="21"/>
        </w:rPr>
        <w:t xml:space="preserve"> </w:t>
      </w:r>
      <w:r>
        <w:rPr>
          <w:spacing w:val="1"/>
          <w:sz w:val="21"/>
        </w:rPr>
        <w:t>，同一根采样</w:t>
      </w:r>
      <w:r>
        <w:rPr>
          <w:spacing w:val="-3"/>
          <w:sz w:val="21"/>
        </w:rPr>
        <w:t>管不应穿越防火分区。采样孔总数不宜超过</w:t>
      </w:r>
      <w:r>
        <w:rPr>
          <w:spacing w:val="-3"/>
          <w:sz w:val="21"/>
        </w:rPr>
        <w:t xml:space="preserve"> </w:t>
      </w:r>
      <w:r>
        <w:rPr>
          <w:sz w:val="21"/>
        </w:rPr>
        <w:t>100</w:t>
      </w:r>
      <w:r>
        <w:rPr>
          <w:spacing w:val="-3"/>
          <w:sz w:val="21"/>
        </w:rPr>
        <w:t xml:space="preserve"> </w:t>
      </w:r>
      <w:r>
        <w:rPr>
          <w:spacing w:val="-3"/>
          <w:sz w:val="21"/>
        </w:rPr>
        <w:t>个，单管上的采样孔数量不宜超过</w:t>
      </w:r>
      <w:r>
        <w:rPr>
          <w:spacing w:val="-3"/>
          <w:sz w:val="21"/>
        </w:rPr>
        <w:t xml:space="preserve"> </w:t>
      </w:r>
      <w:r>
        <w:rPr>
          <w:sz w:val="21"/>
        </w:rPr>
        <w:t>25</w:t>
      </w:r>
      <w:r>
        <w:rPr>
          <w:spacing w:val="-1"/>
          <w:sz w:val="21"/>
        </w:rPr>
        <w:t xml:space="preserve"> </w:t>
      </w:r>
      <w:r>
        <w:rPr>
          <w:spacing w:val="-1"/>
          <w:sz w:val="21"/>
        </w:rPr>
        <w:t>个。</w:t>
      </w:r>
      <w:r>
        <w:rPr>
          <w:sz w:val="21"/>
        </w:rPr>
        <w:t xml:space="preserve"> </w:t>
      </w:r>
    </w:p>
    <w:p w14:paraId="4AABBBE5" w14:textId="77777777" w:rsidR="00A71EEF" w:rsidRDefault="0081115D">
      <w:pPr>
        <w:pStyle w:val="a4"/>
        <w:numPr>
          <w:ilvl w:val="0"/>
          <w:numId w:val="346"/>
        </w:numPr>
        <w:tabs>
          <w:tab w:val="left" w:pos="1367"/>
        </w:tabs>
        <w:spacing w:line="267" w:lineRule="exact"/>
        <w:ind w:left="1367"/>
        <w:rPr>
          <w:sz w:val="21"/>
        </w:rPr>
      </w:pPr>
      <w:r>
        <w:rPr>
          <w:spacing w:val="-3"/>
          <w:sz w:val="21"/>
        </w:rPr>
        <w:t>当采样管道采用毛细管布</w:t>
      </w:r>
      <w:r>
        <w:rPr>
          <w:spacing w:val="-3"/>
          <w:sz w:val="21"/>
        </w:rPr>
        <w:t>置方式时，毛细管长度不宜超过</w:t>
      </w:r>
      <w:r>
        <w:rPr>
          <w:spacing w:val="-3"/>
          <w:sz w:val="21"/>
        </w:rPr>
        <w:t xml:space="preserve"> </w:t>
      </w:r>
      <w:r>
        <w:rPr>
          <w:sz w:val="21"/>
        </w:rPr>
        <w:t>4m</w:t>
      </w:r>
      <w:r>
        <w:rPr>
          <w:spacing w:val="-2"/>
          <w:sz w:val="21"/>
        </w:rPr>
        <w:t xml:space="preserve"> </w:t>
      </w:r>
      <w:r>
        <w:rPr>
          <w:spacing w:val="-2"/>
          <w:sz w:val="21"/>
        </w:rPr>
        <w:t>。</w:t>
      </w:r>
      <w:r>
        <w:rPr>
          <w:sz w:val="21"/>
        </w:rPr>
        <w:t xml:space="preserve"> </w:t>
      </w:r>
    </w:p>
    <w:p w14:paraId="3954117D" w14:textId="77777777" w:rsidR="00A71EEF" w:rsidRDefault="00A71EEF">
      <w:pPr>
        <w:pStyle w:val="a3"/>
        <w:rPr>
          <w:sz w:val="18"/>
        </w:rPr>
      </w:pPr>
    </w:p>
    <w:p w14:paraId="692FC552" w14:textId="77777777" w:rsidR="00A71EEF" w:rsidRDefault="0081115D">
      <w:pPr>
        <w:pStyle w:val="a4"/>
        <w:numPr>
          <w:ilvl w:val="0"/>
          <w:numId w:val="346"/>
        </w:numPr>
        <w:tabs>
          <w:tab w:val="left" w:pos="1367"/>
        </w:tabs>
        <w:spacing w:before="1"/>
        <w:ind w:left="1367"/>
        <w:rPr>
          <w:sz w:val="21"/>
        </w:rPr>
      </w:pPr>
      <w:r>
        <w:rPr>
          <w:spacing w:val="-3"/>
          <w:sz w:val="21"/>
        </w:rPr>
        <w:t>吸气管路和采样孔应有明显的火灾探测器标识。</w:t>
      </w:r>
      <w:r>
        <w:rPr>
          <w:spacing w:val="-3"/>
          <w:sz w:val="21"/>
        </w:rPr>
        <w:t xml:space="preserve"> </w:t>
      </w:r>
    </w:p>
    <w:p w14:paraId="68B1BD9E" w14:textId="77777777" w:rsidR="00A71EEF" w:rsidRDefault="00A71EEF">
      <w:pPr>
        <w:pStyle w:val="a3"/>
        <w:spacing w:before="12"/>
        <w:rPr>
          <w:sz w:val="17"/>
        </w:rPr>
      </w:pPr>
    </w:p>
    <w:p w14:paraId="05C446A5" w14:textId="77777777" w:rsidR="00A71EEF" w:rsidRDefault="0081115D">
      <w:pPr>
        <w:pStyle w:val="a4"/>
        <w:numPr>
          <w:ilvl w:val="0"/>
          <w:numId w:val="346"/>
        </w:numPr>
        <w:tabs>
          <w:tab w:val="left" w:pos="1367"/>
        </w:tabs>
        <w:ind w:left="1367"/>
        <w:rPr>
          <w:sz w:val="21"/>
        </w:rPr>
      </w:pPr>
      <w:r>
        <w:rPr>
          <w:spacing w:val="-3"/>
          <w:sz w:val="21"/>
        </w:rPr>
        <w:t>有过梁、空间支架的建筑中，采样管路应固定在过梁、空间支架上。</w:t>
      </w:r>
      <w:r>
        <w:rPr>
          <w:spacing w:val="-3"/>
          <w:sz w:val="21"/>
        </w:rPr>
        <w:t xml:space="preserve"> </w:t>
      </w:r>
    </w:p>
    <w:p w14:paraId="55D6DF2A" w14:textId="77777777" w:rsidR="00A71EEF" w:rsidRDefault="00A71EEF">
      <w:pPr>
        <w:pStyle w:val="a3"/>
        <w:spacing w:before="12"/>
        <w:rPr>
          <w:sz w:val="17"/>
        </w:rPr>
      </w:pPr>
    </w:p>
    <w:p w14:paraId="2F3C2314" w14:textId="77777777" w:rsidR="00A71EEF" w:rsidRDefault="0081115D">
      <w:pPr>
        <w:pStyle w:val="a4"/>
        <w:numPr>
          <w:ilvl w:val="0"/>
          <w:numId w:val="346"/>
        </w:numPr>
        <w:tabs>
          <w:tab w:val="left" w:pos="1367"/>
        </w:tabs>
        <w:spacing w:line="446" w:lineRule="auto"/>
        <w:ind w:right="1433" w:firstLine="419"/>
        <w:rPr>
          <w:sz w:val="21"/>
        </w:rPr>
      </w:pPr>
      <w:r>
        <w:rPr>
          <w:spacing w:val="-4"/>
          <w:sz w:val="21"/>
        </w:rPr>
        <w:t>当采样管道布置形式为垂直采样时，每</w:t>
      </w:r>
      <w:r>
        <w:rPr>
          <w:spacing w:val="-4"/>
          <w:sz w:val="21"/>
        </w:rPr>
        <w:t xml:space="preserve"> </w:t>
      </w:r>
      <w:r>
        <w:rPr>
          <w:sz w:val="21"/>
        </w:rPr>
        <w:t xml:space="preserve">2℃ </w:t>
      </w:r>
      <w:r>
        <w:rPr>
          <w:sz w:val="21"/>
        </w:rPr>
        <w:t>温差间隔或</w:t>
      </w:r>
      <w:r>
        <w:rPr>
          <w:sz w:val="21"/>
        </w:rPr>
        <w:t xml:space="preserve"> 3m</w:t>
      </w:r>
      <w:r>
        <w:rPr>
          <w:spacing w:val="-2"/>
          <w:sz w:val="21"/>
        </w:rPr>
        <w:t xml:space="preserve"> </w:t>
      </w:r>
      <w:r>
        <w:rPr>
          <w:spacing w:val="-2"/>
          <w:sz w:val="21"/>
        </w:rPr>
        <w:t>间隔</w:t>
      </w:r>
      <w:r>
        <w:rPr>
          <w:sz w:val="21"/>
        </w:rPr>
        <w:t>（</w:t>
      </w:r>
      <w:r>
        <w:rPr>
          <w:spacing w:val="-3"/>
          <w:sz w:val="21"/>
        </w:rPr>
        <w:t>取最小者</w:t>
      </w:r>
      <w:r>
        <w:rPr>
          <w:spacing w:val="-8"/>
          <w:sz w:val="21"/>
        </w:rPr>
        <w:t>）</w:t>
      </w:r>
      <w:r>
        <w:rPr>
          <w:spacing w:val="-2"/>
          <w:sz w:val="21"/>
        </w:rPr>
        <w:t>应设置</w:t>
      </w:r>
      <w:r>
        <w:rPr>
          <w:spacing w:val="-3"/>
          <w:sz w:val="21"/>
        </w:rPr>
        <w:t>一个采样孔，采样孔不应背对气流方向。</w:t>
      </w:r>
      <w:r>
        <w:rPr>
          <w:sz w:val="21"/>
        </w:rPr>
        <w:t xml:space="preserve"> </w:t>
      </w:r>
    </w:p>
    <w:p w14:paraId="311A816C" w14:textId="77777777" w:rsidR="00A71EEF" w:rsidRDefault="0081115D">
      <w:pPr>
        <w:pStyle w:val="a4"/>
        <w:numPr>
          <w:ilvl w:val="0"/>
          <w:numId w:val="346"/>
        </w:numPr>
        <w:tabs>
          <w:tab w:val="left" w:pos="1367"/>
        </w:tabs>
        <w:spacing w:before="1"/>
        <w:ind w:left="1367"/>
        <w:rPr>
          <w:sz w:val="21"/>
        </w:rPr>
      </w:pPr>
      <w:r>
        <w:rPr>
          <w:spacing w:val="-3"/>
          <w:sz w:val="21"/>
        </w:rPr>
        <w:t>采样管网应按经过确认的设计软件或方法进行设计。</w:t>
      </w:r>
      <w:r>
        <w:rPr>
          <w:sz w:val="21"/>
        </w:rPr>
        <w:t xml:space="preserve"> </w:t>
      </w:r>
    </w:p>
    <w:p w14:paraId="60E3C6D4" w14:textId="77777777" w:rsidR="00A71EEF" w:rsidRDefault="00A71EEF">
      <w:pPr>
        <w:pStyle w:val="a3"/>
        <w:spacing w:before="12"/>
        <w:rPr>
          <w:sz w:val="17"/>
        </w:rPr>
      </w:pPr>
    </w:p>
    <w:p w14:paraId="1D4F8E81" w14:textId="77777777" w:rsidR="00A71EEF" w:rsidRDefault="0081115D">
      <w:pPr>
        <w:pStyle w:val="a4"/>
        <w:numPr>
          <w:ilvl w:val="0"/>
          <w:numId w:val="346"/>
        </w:numPr>
        <w:tabs>
          <w:tab w:val="left" w:pos="1370"/>
        </w:tabs>
        <w:spacing w:line="446" w:lineRule="auto"/>
        <w:ind w:right="1438" w:firstLine="419"/>
        <w:rPr>
          <w:sz w:val="21"/>
        </w:rPr>
      </w:pPr>
      <w:r>
        <w:rPr>
          <w:spacing w:val="-1"/>
          <w:sz w:val="21"/>
        </w:rPr>
        <w:t>探测器的火灾报警信号、故障信号等信息应传给火灾报警控制器，涉及消防联动控制</w:t>
      </w:r>
      <w:r>
        <w:rPr>
          <w:spacing w:val="-3"/>
          <w:sz w:val="21"/>
        </w:rPr>
        <w:t>时，探测器的火灾报警信号还应传给消防联动控制器。</w:t>
      </w:r>
      <w:r>
        <w:rPr>
          <w:sz w:val="21"/>
        </w:rPr>
        <w:t xml:space="preserve"> </w:t>
      </w:r>
    </w:p>
    <w:p w14:paraId="101ABC63" w14:textId="77777777" w:rsidR="00A71EEF" w:rsidRDefault="0081115D">
      <w:pPr>
        <w:pStyle w:val="a4"/>
        <w:numPr>
          <w:ilvl w:val="2"/>
          <w:numId w:val="348"/>
        </w:numPr>
        <w:tabs>
          <w:tab w:val="left" w:pos="1478"/>
        </w:tabs>
        <w:ind w:hanging="638"/>
        <w:rPr>
          <w:sz w:val="21"/>
        </w:rPr>
      </w:pPr>
      <w:r>
        <w:rPr>
          <w:spacing w:val="-3"/>
          <w:sz w:val="21"/>
        </w:rPr>
        <w:t>感烟火灾探测器在格栅吊顶场所的设置，应符合下列规定：</w:t>
      </w:r>
      <w:r>
        <w:rPr>
          <w:sz w:val="21"/>
        </w:rPr>
        <w:t xml:space="preserve"> </w:t>
      </w:r>
    </w:p>
    <w:p w14:paraId="6CB9ED6A" w14:textId="77777777" w:rsidR="00A71EEF" w:rsidRDefault="00A71EEF">
      <w:pPr>
        <w:pStyle w:val="a3"/>
        <w:spacing w:before="12"/>
        <w:rPr>
          <w:sz w:val="17"/>
        </w:rPr>
      </w:pPr>
    </w:p>
    <w:p w14:paraId="33D5F857" w14:textId="77777777" w:rsidR="00A71EEF" w:rsidRDefault="0081115D">
      <w:pPr>
        <w:pStyle w:val="a4"/>
        <w:numPr>
          <w:ilvl w:val="0"/>
          <w:numId w:val="345"/>
        </w:numPr>
        <w:tabs>
          <w:tab w:val="left" w:pos="1367"/>
        </w:tabs>
        <w:rPr>
          <w:sz w:val="21"/>
        </w:rPr>
      </w:pPr>
      <w:r>
        <w:rPr>
          <w:spacing w:val="-3"/>
          <w:sz w:val="21"/>
        </w:rPr>
        <w:t>镂空面积与总面积的比例不大于</w:t>
      </w:r>
      <w:r>
        <w:rPr>
          <w:spacing w:val="-3"/>
          <w:sz w:val="21"/>
        </w:rPr>
        <w:t xml:space="preserve"> </w:t>
      </w:r>
      <w:r>
        <w:rPr>
          <w:sz w:val="21"/>
        </w:rPr>
        <w:t>15</w:t>
      </w:r>
      <w:r>
        <w:rPr>
          <w:spacing w:val="-3"/>
          <w:sz w:val="21"/>
        </w:rPr>
        <w:t xml:space="preserve">% </w:t>
      </w:r>
      <w:r>
        <w:rPr>
          <w:spacing w:val="-3"/>
          <w:sz w:val="21"/>
        </w:rPr>
        <w:t>时，探测器应设置在吊顶下方。</w:t>
      </w:r>
      <w:r>
        <w:rPr>
          <w:spacing w:val="-3"/>
          <w:sz w:val="21"/>
        </w:rPr>
        <w:t xml:space="preserve"> </w:t>
      </w:r>
    </w:p>
    <w:p w14:paraId="32A4ECC2" w14:textId="77777777" w:rsidR="00A71EEF" w:rsidRDefault="00A71EEF">
      <w:pPr>
        <w:pStyle w:val="a3"/>
        <w:spacing w:before="2"/>
        <w:rPr>
          <w:sz w:val="18"/>
        </w:rPr>
      </w:pPr>
    </w:p>
    <w:p w14:paraId="7C1BAF6E" w14:textId="77777777" w:rsidR="00A71EEF" w:rsidRDefault="0081115D">
      <w:pPr>
        <w:pStyle w:val="a4"/>
        <w:numPr>
          <w:ilvl w:val="0"/>
          <w:numId w:val="345"/>
        </w:numPr>
        <w:tabs>
          <w:tab w:val="left" w:pos="1367"/>
        </w:tabs>
        <w:rPr>
          <w:sz w:val="21"/>
        </w:rPr>
      </w:pPr>
      <w:r>
        <w:rPr>
          <w:spacing w:val="-3"/>
          <w:sz w:val="21"/>
        </w:rPr>
        <w:t>镂空面积与总面积的比例大于</w:t>
      </w:r>
      <w:r>
        <w:rPr>
          <w:spacing w:val="-3"/>
          <w:sz w:val="21"/>
        </w:rPr>
        <w:t xml:space="preserve"> </w:t>
      </w:r>
      <w:r>
        <w:rPr>
          <w:sz w:val="21"/>
        </w:rPr>
        <w:t>30%</w:t>
      </w:r>
      <w:r>
        <w:rPr>
          <w:spacing w:val="-3"/>
          <w:sz w:val="21"/>
        </w:rPr>
        <w:t xml:space="preserve"> </w:t>
      </w:r>
      <w:r>
        <w:rPr>
          <w:spacing w:val="-3"/>
          <w:sz w:val="21"/>
        </w:rPr>
        <w:t>时，探测器应设置在吊顶上方。</w:t>
      </w:r>
      <w:r>
        <w:rPr>
          <w:sz w:val="21"/>
        </w:rPr>
        <w:t xml:space="preserve"> </w:t>
      </w:r>
    </w:p>
    <w:p w14:paraId="4D2610D0" w14:textId="77777777" w:rsidR="00A71EEF" w:rsidRDefault="00A71EEF">
      <w:pPr>
        <w:pStyle w:val="a3"/>
        <w:rPr>
          <w:sz w:val="18"/>
        </w:rPr>
      </w:pPr>
    </w:p>
    <w:p w14:paraId="485FCD29" w14:textId="77777777" w:rsidR="00A71EEF" w:rsidRDefault="0081115D">
      <w:pPr>
        <w:pStyle w:val="a4"/>
        <w:numPr>
          <w:ilvl w:val="0"/>
          <w:numId w:val="345"/>
        </w:numPr>
        <w:tabs>
          <w:tab w:val="left" w:pos="1367"/>
        </w:tabs>
        <w:spacing w:line="446" w:lineRule="auto"/>
        <w:ind w:left="418" w:right="1433" w:firstLine="419"/>
        <w:rPr>
          <w:sz w:val="21"/>
        </w:rPr>
      </w:pPr>
      <w:r>
        <w:rPr>
          <w:spacing w:val="1"/>
          <w:sz w:val="21"/>
        </w:rPr>
        <w:t>镂空面积与总面积的比例为</w:t>
      </w:r>
      <w:r>
        <w:rPr>
          <w:spacing w:val="1"/>
          <w:sz w:val="21"/>
        </w:rPr>
        <w:t xml:space="preserve"> </w:t>
      </w:r>
      <w:r>
        <w:rPr>
          <w:sz w:val="21"/>
        </w:rPr>
        <w:t>15%</w:t>
      </w:r>
      <w:r>
        <w:rPr>
          <w:sz w:val="21"/>
        </w:rPr>
        <w:t>～</w:t>
      </w:r>
      <w:r>
        <w:rPr>
          <w:sz w:val="21"/>
        </w:rPr>
        <w:t>30%</w:t>
      </w:r>
      <w:r>
        <w:rPr>
          <w:spacing w:val="-3"/>
          <w:sz w:val="21"/>
        </w:rPr>
        <w:t xml:space="preserve"> </w:t>
      </w:r>
      <w:r>
        <w:rPr>
          <w:spacing w:val="-3"/>
          <w:sz w:val="21"/>
        </w:rPr>
        <w:t>时，探测器的设置部位应根据实际试验结果确定。</w:t>
      </w:r>
      <w:r>
        <w:rPr>
          <w:sz w:val="21"/>
        </w:rPr>
        <w:t xml:space="preserve"> </w:t>
      </w:r>
    </w:p>
    <w:p w14:paraId="1E4E7051" w14:textId="77777777" w:rsidR="00A71EEF" w:rsidRDefault="0081115D">
      <w:pPr>
        <w:pStyle w:val="a4"/>
        <w:numPr>
          <w:ilvl w:val="0"/>
          <w:numId w:val="345"/>
        </w:numPr>
        <w:tabs>
          <w:tab w:val="left" w:pos="1367"/>
        </w:tabs>
        <w:rPr>
          <w:sz w:val="21"/>
        </w:rPr>
      </w:pPr>
      <w:r>
        <w:rPr>
          <w:spacing w:val="-3"/>
          <w:sz w:val="21"/>
        </w:rPr>
        <w:t>探测器设置在吊顶上方且火警确认灯无法观察时，应在吊顶下方设置火警确认灯。</w:t>
      </w:r>
      <w:r>
        <w:rPr>
          <w:sz w:val="21"/>
        </w:rPr>
        <w:t xml:space="preserve"> </w:t>
      </w:r>
    </w:p>
    <w:p w14:paraId="4237A5C6" w14:textId="77777777" w:rsidR="00A71EEF" w:rsidRDefault="00A71EEF">
      <w:pPr>
        <w:pStyle w:val="a3"/>
        <w:spacing w:before="12"/>
        <w:rPr>
          <w:sz w:val="17"/>
        </w:rPr>
      </w:pPr>
    </w:p>
    <w:p w14:paraId="6BDF684E" w14:textId="77777777" w:rsidR="00A71EEF" w:rsidRDefault="0081115D">
      <w:pPr>
        <w:pStyle w:val="a4"/>
        <w:numPr>
          <w:ilvl w:val="0"/>
          <w:numId w:val="345"/>
        </w:numPr>
        <w:tabs>
          <w:tab w:val="left" w:pos="1367"/>
        </w:tabs>
        <w:spacing w:line="446" w:lineRule="auto"/>
        <w:ind w:left="418" w:right="1433" w:firstLine="419"/>
        <w:rPr>
          <w:sz w:val="21"/>
        </w:rPr>
      </w:pPr>
      <w:r>
        <w:rPr>
          <w:spacing w:val="-7"/>
          <w:sz w:val="21"/>
        </w:rPr>
        <w:t>地铁站台等有活塞风影响的场所，镂空面积与总面积的比例为</w:t>
      </w:r>
      <w:r>
        <w:rPr>
          <w:spacing w:val="-7"/>
          <w:sz w:val="21"/>
        </w:rPr>
        <w:t xml:space="preserve"> </w:t>
      </w:r>
      <w:r>
        <w:rPr>
          <w:sz w:val="21"/>
        </w:rPr>
        <w:t>30%</w:t>
      </w:r>
      <w:r>
        <w:rPr>
          <w:sz w:val="21"/>
        </w:rPr>
        <w:t>～</w:t>
      </w:r>
      <w:r>
        <w:rPr>
          <w:sz w:val="21"/>
        </w:rPr>
        <w:t>70</w:t>
      </w:r>
      <w:r>
        <w:rPr>
          <w:spacing w:val="-4"/>
          <w:sz w:val="21"/>
        </w:rPr>
        <w:t xml:space="preserve">% </w:t>
      </w:r>
      <w:r>
        <w:rPr>
          <w:spacing w:val="-4"/>
          <w:sz w:val="21"/>
        </w:rPr>
        <w:t>时，探测器</w:t>
      </w:r>
      <w:r>
        <w:rPr>
          <w:spacing w:val="-3"/>
          <w:sz w:val="21"/>
        </w:rPr>
        <w:t>宜同时设置在吊顶上方和下方。</w:t>
      </w:r>
      <w:r>
        <w:rPr>
          <w:sz w:val="21"/>
        </w:rPr>
        <w:t xml:space="preserve"> </w:t>
      </w:r>
    </w:p>
    <w:p w14:paraId="74B16E32" w14:textId="77777777" w:rsidR="00A71EEF" w:rsidRDefault="0081115D">
      <w:pPr>
        <w:pStyle w:val="a4"/>
        <w:numPr>
          <w:ilvl w:val="2"/>
          <w:numId w:val="348"/>
        </w:numPr>
        <w:tabs>
          <w:tab w:val="left" w:pos="1478"/>
        </w:tabs>
        <w:spacing w:line="446" w:lineRule="auto"/>
        <w:ind w:left="418" w:right="1434" w:firstLine="422"/>
        <w:rPr>
          <w:sz w:val="21"/>
        </w:rPr>
      </w:pPr>
      <w:r>
        <w:rPr>
          <w:spacing w:val="-3"/>
          <w:sz w:val="21"/>
        </w:rPr>
        <w:t>本规范未涉及的其他火灾探测器的</w:t>
      </w:r>
      <w:r>
        <w:rPr>
          <w:spacing w:val="-3"/>
          <w:sz w:val="21"/>
        </w:rPr>
        <w:t>设置应按企业提供的设计手册或使用说明书进行</w:t>
      </w:r>
      <w:r>
        <w:rPr>
          <w:spacing w:val="-3"/>
          <w:sz w:val="21"/>
        </w:rPr>
        <w:t xml:space="preserve"> </w:t>
      </w:r>
      <w:r>
        <w:rPr>
          <w:spacing w:val="-3"/>
          <w:sz w:val="21"/>
        </w:rPr>
        <w:t>设置，必要时可通过模拟保护对象火灾场景等方式对探测器的设置情况进行验证。</w:t>
      </w:r>
      <w:r>
        <w:rPr>
          <w:sz w:val="21"/>
        </w:rPr>
        <w:t xml:space="preserve"> </w:t>
      </w:r>
    </w:p>
    <w:p w14:paraId="55DD69BA" w14:textId="77777777" w:rsidR="00A71EEF" w:rsidRDefault="0081115D">
      <w:pPr>
        <w:pStyle w:val="a4"/>
        <w:numPr>
          <w:ilvl w:val="1"/>
          <w:numId w:val="344"/>
        </w:numPr>
        <w:tabs>
          <w:tab w:val="left" w:pos="1159"/>
        </w:tabs>
        <w:spacing w:line="267" w:lineRule="exact"/>
        <w:ind w:hanging="319"/>
        <w:rPr>
          <w:sz w:val="21"/>
        </w:rPr>
      </w:pPr>
      <w:r>
        <w:rPr>
          <w:spacing w:val="-3"/>
          <w:sz w:val="21"/>
        </w:rPr>
        <w:t>手动火灾报警按钮的设置</w:t>
      </w:r>
      <w:r>
        <w:rPr>
          <w:sz w:val="21"/>
        </w:rPr>
        <w:t xml:space="preserve"> </w:t>
      </w:r>
    </w:p>
    <w:p w14:paraId="2A2DDE43" w14:textId="77777777" w:rsidR="00A71EEF" w:rsidRDefault="00A71EEF">
      <w:pPr>
        <w:pStyle w:val="a3"/>
        <w:spacing w:before="2"/>
        <w:rPr>
          <w:sz w:val="18"/>
        </w:rPr>
      </w:pPr>
    </w:p>
    <w:p w14:paraId="3CB47413" w14:textId="77777777" w:rsidR="00A71EEF" w:rsidRDefault="0081115D">
      <w:pPr>
        <w:pStyle w:val="a4"/>
        <w:numPr>
          <w:ilvl w:val="2"/>
          <w:numId w:val="344"/>
        </w:numPr>
        <w:tabs>
          <w:tab w:val="left" w:pos="1370"/>
        </w:tabs>
        <w:ind w:hanging="530"/>
        <w:rPr>
          <w:sz w:val="21"/>
        </w:rPr>
      </w:pPr>
      <w:r>
        <w:rPr>
          <w:spacing w:val="-5"/>
          <w:sz w:val="21"/>
        </w:rPr>
        <w:t>每个防火分区应至少设置一只手动火灾报警按钮。从一个防火分区内的任何位置到最</w:t>
      </w:r>
    </w:p>
    <w:p w14:paraId="71D5DE88" w14:textId="77777777" w:rsidR="00A71EEF" w:rsidRDefault="00A71EEF">
      <w:pPr>
        <w:rPr>
          <w:sz w:val="21"/>
        </w:rPr>
        <w:sectPr w:rsidR="00A71EEF">
          <w:footerReference w:type="default" r:id="rId345"/>
          <w:pgSz w:w="11910" w:h="16850"/>
          <w:pgMar w:top="1220" w:right="0" w:bottom="1420" w:left="1260" w:header="0" w:footer="1239" w:gutter="0"/>
          <w:pgNumType w:start="1290"/>
          <w:cols w:space="720"/>
        </w:sectPr>
      </w:pPr>
    </w:p>
    <w:p w14:paraId="34C6FB3F" w14:textId="77777777" w:rsidR="00A71EEF" w:rsidRDefault="0081115D">
      <w:pPr>
        <w:pStyle w:val="a3"/>
        <w:tabs>
          <w:tab w:val="left" w:pos="8399"/>
        </w:tabs>
        <w:spacing w:before="47" w:line="446" w:lineRule="auto"/>
        <w:ind w:left="418" w:right="1431"/>
      </w:pPr>
      <w:r>
        <w:t>邻近</w:t>
      </w:r>
      <w:r>
        <w:rPr>
          <w:spacing w:val="-3"/>
        </w:rPr>
        <w:t>的</w:t>
      </w:r>
      <w:r>
        <w:t>手</w:t>
      </w:r>
      <w:r>
        <w:rPr>
          <w:spacing w:val="-3"/>
        </w:rPr>
        <w:t>动</w:t>
      </w:r>
      <w:r>
        <w:t>火</w:t>
      </w:r>
      <w:r>
        <w:rPr>
          <w:spacing w:val="-3"/>
        </w:rPr>
        <w:t>灾</w:t>
      </w:r>
      <w:r>
        <w:t>报</w:t>
      </w:r>
      <w:r>
        <w:rPr>
          <w:spacing w:val="-3"/>
        </w:rPr>
        <w:t>警</w:t>
      </w:r>
      <w:r>
        <w:t>按</w:t>
      </w:r>
      <w:r>
        <w:rPr>
          <w:spacing w:val="-3"/>
        </w:rPr>
        <w:t>钮</w:t>
      </w:r>
      <w:r>
        <w:t>的步</w:t>
      </w:r>
      <w:r>
        <w:rPr>
          <w:spacing w:val="-3"/>
        </w:rPr>
        <w:t>行</w:t>
      </w:r>
      <w:r>
        <w:t>距</w:t>
      </w:r>
      <w:r>
        <w:rPr>
          <w:spacing w:val="-3"/>
        </w:rPr>
        <w:t>离</w:t>
      </w:r>
      <w:r>
        <w:t>不</w:t>
      </w:r>
      <w:r>
        <w:rPr>
          <w:spacing w:val="-3"/>
        </w:rPr>
        <w:t>应</w:t>
      </w:r>
      <w:r>
        <w:t>大</w:t>
      </w:r>
      <w:r>
        <w:rPr>
          <w:spacing w:val="-3"/>
        </w:rPr>
        <w:t>于</w:t>
      </w:r>
      <w:r>
        <w:rPr>
          <w:spacing w:val="40"/>
        </w:rPr>
        <w:t xml:space="preserve"> </w:t>
      </w:r>
      <w:r>
        <w:t>30m</w:t>
      </w:r>
      <w:r>
        <w:rPr>
          <w:spacing w:val="-32"/>
        </w:rPr>
        <w:t>。</w:t>
      </w:r>
      <w:r>
        <w:t>手</w:t>
      </w:r>
      <w:r>
        <w:rPr>
          <w:spacing w:val="-3"/>
        </w:rPr>
        <w:t>动</w:t>
      </w:r>
      <w:r>
        <w:t>火</w:t>
      </w:r>
      <w:r>
        <w:rPr>
          <w:spacing w:val="-3"/>
        </w:rPr>
        <w:t>灾</w:t>
      </w:r>
      <w:r>
        <w:t>报</w:t>
      </w:r>
      <w:r>
        <w:rPr>
          <w:spacing w:val="-3"/>
        </w:rPr>
        <w:t>警</w:t>
      </w:r>
      <w:r>
        <w:t>按</w:t>
      </w:r>
      <w:r>
        <w:rPr>
          <w:spacing w:val="-3"/>
        </w:rPr>
        <w:t>钮</w:t>
      </w:r>
      <w:r>
        <w:t>宜</w:t>
      </w:r>
      <w:r>
        <w:rPr>
          <w:spacing w:val="-3"/>
        </w:rPr>
        <w:t>设</w:t>
      </w:r>
      <w:r>
        <w:t>置在</w:t>
      </w:r>
      <w:r>
        <w:rPr>
          <w:spacing w:val="-3"/>
        </w:rPr>
        <w:t>疏</w:t>
      </w:r>
      <w:r>
        <w:t>散</w:t>
      </w:r>
      <w:r>
        <w:rPr>
          <w:spacing w:val="-3"/>
        </w:rPr>
        <w:t>通</w:t>
      </w:r>
      <w:r>
        <w:t>道</w:t>
      </w:r>
      <w:r>
        <w:rPr>
          <w:spacing w:val="-3"/>
        </w:rPr>
        <w:t>或出</w:t>
      </w:r>
      <w:r>
        <w:t>入口处</w:t>
      </w:r>
      <w:r>
        <w:rPr>
          <w:spacing w:val="-3"/>
        </w:rPr>
        <w:t>。</w:t>
      </w:r>
      <w:r>
        <w:t>列</w:t>
      </w:r>
      <w:r>
        <w:rPr>
          <w:spacing w:val="-3"/>
        </w:rPr>
        <w:t>车</w:t>
      </w:r>
      <w:r>
        <w:t>上</w:t>
      </w:r>
      <w:r>
        <w:rPr>
          <w:spacing w:val="-3"/>
        </w:rPr>
        <w:t>设</w:t>
      </w:r>
      <w:r>
        <w:t>置</w:t>
      </w:r>
      <w:r>
        <w:rPr>
          <w:spacing w:val="-3"/>
        </w:rPr>
        <w:t>的</w:t>
      </w:r>
      <w:r>
        <w:t>手</w:t>
      </w:r>
      <w:r>
        <w:rPr>
          <w:spacing w:val="-3"/>
        </w:rPr>
        <w:t>动</w:t>
      </w:r>
      <w:r>
        <w:t>火灾</w:t>
      </w:r>
      <w:r>
        <w:rPr>
          <w:spacing w:val="-3"/>
        </w:rPr>
        <w:t>报</w:t>
      </w:r>
      <w:r>
        <w:t>警</w:t>
      </w:r>
      <w:r>
        <w:rPr>
          <w:spacing w:val="-3"/>
        </w:rPr>
        <w:t>按</w:t>
      </w:r>
      <w:r>
        <w:t>钮</w:t>
      </w:r>
      <w:r>
        <w:rPr>
          <w:spacing w:val="-3"/>
        </w:rPr>
        <w:t>，</w:t>
      </w:r>
      <w:r>
        <w:t>应</w:t>
      </w:r>
      <w:r>
        <w:rPr>
          <w:spacing w:val="-3"/>
        </w:rPr>
        <w:t>设</w:t>
      </w:r>
      <w:r>
        <w:t>置</w:t>
      </w:r>
      <w:r>
        <w:rPr>
          <w:spacing w:val="-3"/>
        </w:rPr>
        <w:t>在</w:t>
      </w:r>
      <w:r>
        <w:t>每节</w:t>
      </w:r>
      <w:r>
        <w:rPr>
          <w:spacing w:val="-3"/>
        </w:rPr>
        <w:t>车</w:t>
      </w:r>
      <w:r>
        <w:t>厢</w:t>
      </w:r>
      <w:r>
        <w:rPr>
          <w:spacing w:val="-3"/>
        </w:rPr>
        <w:t>的</w:t>
      </w:r>
      <w:r>
        <w:t>出</w:t>
      </w:r>
      <w:r>
        <w:rPr>
          <w:spacing w:val="-3"/>
        </w:rPr>
        <w:t>入</w:t>
      </w:r>
      <w:r>
        <w:t>口</w:t>
      </w:r>
      <w:r>
        <w:rPr>
          <w:spacing w:val="-3"/>
        </w:rPr>
        <w:t>和</w:t>
      </w:r>
      <w:r>
        <w:t>中</w:t>
      </w:r>
      <w:r>
        <w:rPr>
          <w:spacing w:val="-3"/>
        </w:rPr>
        <w:t>间</w:t>
      </w:r>
      <w:r>
        <w:t>部位</w:t>
      </w:r>
      <w:r>
        <w:rPr>
          <w:spacing w:val="-3"/>
        </w:rPr>
        <w:t>。</w:t>
      </w:r>
      <w:r>
        <w:t xml:space="preserve"> </w:t>
      </w:r>
      <w:r>
        <w:tab/>
      </w:r>
      <w:r>
        <w:t xml:space="preserve">  </w:t>
      </w:r>
    </w:p>
    <w:p w14:paraId="50A172D5" w14:textId="77777777" w:rsidR="00A71EEF" w:rsidRDefault="0081115D">
      <w:pPr>
        <w:pStyle w:val="a4"/>
        <w:numPr>
          <w:ilvl w:val="2"/>
          <w:numId w:val="344"/>
        </w:numPr>
        <w:tabs>
          <w:tab w:val="left" w:pos="1370"/>
        </w:tabs>
        <w:spacing w:line="446" w:lineRule="auto"/>
        <w:ind w:left="418" w:right="1431" w:firstLine="422"/>
        <w:rPr>
          <w:sz w:val="21"/>
        </w:rPr>
      </w:pPr>
      <w:r>
        <w:rPr>
          <w:spacing w:val="-5"/>
          <w:sz w:val="21"/>
        </w:rPr>
        <w:t>手动火灾报警按钮应设置在明显和便于操作的部位。当采用壁挂方式安装时，其底边</w:t>
      </w:r>
      <w:r>
        <w:rPr>
          <w:spacing w:val="-11"/>
          <w:sz w:val="21"/>
        </w:rPr>
        <w:t>距地高度</w:t>
      </w:r>
      <w:r>
        <w:rPr>
          <w:spacing w:val="-11"/>
          <w:sz w:val="21"/>
        </w:rPr>
        <w:t xml:space="preserve"> </w:t>
      </w:r>
      <w:r>
        <w:rPr>
          <w:spacing w:val="-11"/>
          <w:sz w:val="21"/>
        </w:rPr>
        <w:t>宜为</w:t>
      </w:r>
      <w:r>
        <w:rPr>
          <w:spacing w:val="-11"/>
          <w:sz w:val="21"/>
        </w:rPr>
        <w:t xml:space="preserve"> </w:t>
      </w:r>
      <w:r>
        <w:rPr>
          <w:sz w:val="21"/>
        </w:rPr>
        <w:t>1.3</w:t>
      </w:r>
      <w:r>
        <w:rPr>
          <w:sz w:val="21"/>
        </w:rPr>
        <w:t>～</w:t>
      </w:r>
      <w:r>
        <w:rPr>
          <w:sz w:val="21"/>
        </w:rPr>
        <w:t>1.5m</w:t>
      </w:r>
      <w:r>
        <w:rPr>
          <w:spacing w:val="-3"/>
          <w:sz w:val="21"/>
        </w:rPr>
        <w:t>，且应有明显的标志。</w:t>
      </w:r>
      <w:r>
        <w:rPr>
          <w:sz w:val="21"/>
        </w:rPr>
        <w:t xml:space="preserve"> </w:t>
      </w:r>
      <w:r>
        <w:rPr>
          <w:spacing w:val="-53"/>
          <w:sz w:val="21"/>
        </w:rPr>
        <w:t xml:space="preserve"> </w:t>
      </w:r>
      <w:r>
        <w:rPr>
          <w:sz w:val="21"/>
        </w:rPr>
        <w:t xml:space="preserve">  </w:t>
      </w:r>
    </w:p>
    <w:p w14:paraId="5CBF3224" w14:textId="77777777" w:rsidR="00A71EEF" w:rsidRDefault="0081115D">
      <w:pPr>
        <w:pStyle w:val="a4"/>
        <w:numPr>
          <w:ilvl w:val="1"/>
          <w:numId w:val="344"/>
        </w:numPr>
        <w:tabs>
          <w:tab w:val="left" w:pos="1159"/>
        </w:tabs>
        <w:ind w:hanging="319"/>
        <w:rPr>
          <w:sz w:val="21"/>
        </w:rPr>
      </w:pPr>
      <w:r>
        <w:rPr>
          <w:spacing w:val="-3"/>
          <w:sz w:val="21"/>
        </w:rPr>
        <w:t>区域显示器的设置</w:t>
      </w:r>
      <w:r>
        <w:rPr>
          <w:sz w:val="21"/>
        </w:rPr>
        <w:t xml:space="preserve"> </w:t>
      </w:r>
    </w:p>
    <w:p w14:paraId="2DF363F9" w14:textId="77777777" w:rsidR="00A71EEF" w:rsidRDefault="00A71EEF">
      <w:pPr>
        <w:pStyle w:val="a3"/>
        <w:spacing w:before="10"/>
        <w:rPr>
          <w:sz w:val="17"/>
        </w:rPr>
      </w:pPr>
    </w:p>
    <w:p w14:paraId="6D4F1993" w14:textId="77777777" w:rsidR="00A71EEF" w:rsidRDefault="0081115D">
      <w:pPr>
        <w:pStyle w:val="a4"/>
        <w:numPr>
          <w:ilvl w:val="2"/>
          <w:numId w:val="344"/>
        </w:numPr>
        <w:tabs>
          <w:tab w:val="left" w:pos="1370"/>
        </w:tabs>
        <w:spacing w:line="446" w:lineRule="auto"/>
        <w:ind w:left="418" w:right="1431" w:firstLine="422"/>
        <w:jc w:val="both"/>
        <w:rPr>
          <w:b/>
          <w:sz w:val="21"/>
        </w:rPr>
      </w:pPr>
      <w:r>
        <w:rPr>
          <w:spacing w:val="-4"/>
          <w:sz w:val="21"/>
        </w:rPr>
        <w:t>每个报警区域宜设置一台区域显示器</w:t>
      </w:r>
      <w:r>
        <w:rPr>
          <w:spacing w:val="-3"/>
          <w:sz w:val="21"/>
        </w:rPr>
        <w:t>（火灾显示盘</w:t>
      </w:r>
      <w:r>
        <w:rPr>
          <w:spacing w:val="-12"/>
          <w:sz w:val="21"/>
        </w:rPr>
        <w:t>）</w:t>
      </w:r>
      <w:r>
        <w:rPr>
          <w:spacing w:val="-6"/>
          <w:sz w:val="21"/>
        </w:rPr>
        <w:t>；宾馆、饭店等场所应在每个报警区域设置一台区域显示器。当一个报警区域包括多个楼层时，宜在每个楼层设置一台仅显示本</w:t>
      </w:r>
      <w:r>
        <w:rPr>
          <w:spacing w:val="-4"/>
          <w:sz w:val="21"/>
        </w:rPr>
        <w:t>楼层的区域显示器。</w:t>
      </w:r>
      <w:r>
        <w:rPr>
          <w:b/>
          <w:spacing w:val="-4"/>
          <w:w w:val="99"/>
          <w:sz w:val="21"/>
        </w:rPr>
        <w:t xml:space="preserve"> </w:t>
      </w:r>
      <w:r>
        <w:rPr>
          <w:b/>
          <w:w w:val="99"/>
          <w:sz w:val="21"/>
        </w:rPr>
        <w:t xml:space="preserve"> </w:t>
      </w:r>
    </w:p>
    <w:p w14:paraId="0E951F9B" w14:textId="77777777" w:rsidR="00A71EEF" w:rsidRDefault="0081115D">
      <w:pPr>
        <w:pStyle w:val="a4"/>
        <w:numPr>
          <w:ilvl w:val="2"/>
          <w:numId w:val="344"/>
        </w:numPr>
        <w:tabs>
          <w:tab w:val="left" w:pos="1370"/>
        </w:tabs>
        <w:spacing w:line="446" w:lineRule="auto"/>
        <w:ind w:left="418" w:right="1431" w:firstLine="422"/>
        <w:jc w:val="both"/>
        <w:rPr>
          <w:sz w:val="21"/>
        </w:rPr>
      </w:pPr>
      <w:r>
        <w:rPr>
          <w:spacing w:val="-5"/>
          <w:sz w:val="21"/>
        </w:rPr>
        <w:t>区域显示器应设置在出入口等明显和便于操作的部位。当采用壁挂方式安装时，其底</w:t>
      </w:r>
      <w:r>
        <w:rPr>
          <w:spacing w:val="-11"/>
          <w:sz w:val="21"/>
        </w:rPr>
        <w:t>边距地高度宜为</w:t>
      </w:r>
      <w:r>
        <w:rPr>
          <w:spacing w:val="-11"/>
          <w:sz w:val="21"/>
        </w:rPr>
        <w:t xml:space="preserve"> </w:t>
      </w:r>
      <w:r>
        <w:rPr>
          <w:sz w:val="21"/>
        </w:rPr>
        <w:t>1.3</w:t>
      </w:r>
      <w:r>
        <w:rPr>
          <w:sz w:val="21"/>
        </w:rPr>
        <w:t>～</w:t>
      </w:r>
      <w:r>
        <w:rPr>
          <w:sz w:val="21"/>
        </w:rPr>
        <w:t>1.5m</w:t>
      </w:r>
      <w:r>
        <w:rPr>
          <w:spacing w:val="-2"/>
          <w:sz w:val="21"/>
        </w:rPr>
        <w:t xml:space="preserve"> </w:t>
      </w:r>
      <w:r>
        <w:rPr>
          <w:spacing w:val="-2"/>
          <w:sz w:val="21"/>
        </w:rPr>
        <w:t>。</w:t>
      </w:r>
      <w:r>
        <w:rPr>
          <w:sz w:val="21"/>
        </w:rPr>
        <w:t xml:space="preserve"> </w:t>
      </w:r>
      <w:r>
        <w:rPr>
          <w:spacing w:val="-53"/>
          <w:sz w:val="21"/>
        </w:rPr>
        <w:t xml:space="preserve"> </w:t>
      </w:r>
      <w:r>
        <w:rPr>
          <w:sz w:val="21"/>
        </w:rPr>
        <w:t xml:space="preserve">  </w:t>
      </w:r>
    </w:p>
    <w:p w14:paraId="09EA32E3" w14:textId="77777777" w:rsidR="00A71EEF" w:rsidRDefault="0081115D">
      <w:pPr>
        <w:pStyle w:val="a4"/>
        <w:numPr>
          <w:ilvl w:val="1"/>
          <w:numId w:val="344"/>
        </w:numPr>
        <w:tabs>
          <w:tab w:val="left" w:pos="1159"/>
        </w:tabs>
        <w:ind w:hanging="319"/>
        <w:rPr>
          <w:b/>
          <w:sz w:val="21"/>
        </w:rPr>
      </w:pPr>
      <w:r>
        <w:rPr>
          <w:spacing w:val="-3"/>
          <w:sz w:val="21"/>
        </w:rPr>
        <w:t>火灾警报器的设置</w:t>
      </w:r>
      <w:r>
        <w:rPr>
          <w:b/>
          <w:w w:val="99"/>
          <w:sz w:val="21"/>
        </w:rPr>
        <w:t xml:space="preserve"> </w:t>
      </w:r>
    </w:p>
    <w:p w14:paraId="78AEDD11" w14:textId="77777777" w:rsidR="00A71EEF" w:rsidRDefault="00A71EEF">
      <w:pPr>
        <w:pStyle w:val="a3"/>
        <w:spacing w:before="12"/>
        <w:rPr>
          <w:b/>
          <w:sz w:val="17"/>
        </w:rPr>
      </w:pPr>
    </w:p>
    <w:p w14:paraId="6763D4A0" w14:textId="77777777" w:rsidR="00A71EEF" w:rsidRDefault="0081115D">
      <w:pPr>
        <w:pStyle w:val="a4"/>
        <w:numPr>
          <w:ilvl w:val="2"/>
          <w:numId w:val="344"/>
        </w:numPr>
        <w:tabs>
          <w:tab w:val="left" w:pos="1438"/>
          <w:tab w:val="left" w:pos="6298"/>
          <w:tab w:val="left" w:pos="6718"/>
        </w:tabs>
        <w:spacing w:line="446" w:lineRule="auto"/>
        <w:ind w:left="418" w:right="1431" w:firstLine="422"/>
        <w:rPr>
          <w:sz w:val="21"/>
        </w:rPr>
      </w:pPr>
      <w:r>
        <w:rPr>
          <w:sz w:val="21"/>
        </w:rPr>
        <w:t>火</w:t>
      </w:r>
      <w:r>
        <w:rPr>
          <w:spacing w:val="-3"/>
          <w:sz w:val="21"/>
        </w:rPr>
        <w:t>灾</w:t>
      </w:r>
      <w:r>
        <w:rPr>
          <w:sz w:val="21"/>
        </w:rPr>
        <w:t>光</w:t>
      </w:r>
      <w:r>
        <w:rPr>
          <w:spacing w:val="-3"/>
          <w:sz w:val="21"/>
        </w:rPr>
        <w:t>警</w:t>
      </w:r>
      <w:r>
        <w:rPr>
          <w:sz w:val="21"/>
        </w:rPr>
        <w:t>报</w:t>
      </w:r>
      <w:r>
        <w:rPr>
          <w:spacing w:val="-3"/>
          <w:sz w:val="21"/>
        </w:rPr>
        <w:t>器</w:t>
      </w:r>
      <w:r>
        <w:rPr>
          <w:sz w:val="21"/>
        </w:rPr>
        <w:t>应</w:t>
      </w:r>
      <w:r>
        <w:rPr>
          <w:spacing w:val="-3"/>
          <w:sz w:val="21"/>
        </w:rPr>
        <w:t>设</w:t>
      </w:r>
      <w:r>
        <w:rPr>
          <w:sz w:val="21"/>
        </w:rPr>
        <w:t>置在</w:t>
      </w:r>
      <w:r>
        <w:rPr>
          <w:spacing w:val="-3"/>
          <w:sz w:val="21"/>
        </w:rPr>
        <w:t>每</w:t>
      </w:r>
      <w:r>
        <w:rPr>
          <w:sz w:val="21"/>
        </w:rPr>
        <w:t>个</w:t>
      </w:r>
      <w:r>
        <w:rPr>
          <w:spacing w:val="-3"/>
          <w:sz w:val="21"/>
        </w:rPr>
        <w:t>楼</w:t>
      </w:r>
      <w:r>
        <w:rPr>
          <w:sz w:val="21"/>
        </w:rPr>
        <w:t>层</w:t>
      </w:r>
      <w:r>
        <w:rPr>
          <w:spacing w:val="-3"/>
          <w:sz w:val="21"/>
        </w:rPr>
        <w:t>的</w:t>
      </w:r>
      <w:r>
        <w:rPr>
          <w:sz w:val="21"/>
        </w:rPr>
        <w:t>楼</w:t>
      </w:r>
      <w:r>
        <w:rPr>
          <w:spacing w:val="-3"/>
          <w:sz w:val="21"/>
        </w:rPr>
        <w:t>梯</w:t>
      </w:r>
      <w:r>
        <w:rPr>
          <w:sz w:val="21"/>
        </w:rPr>
        <w:t>口</w:t>
      </w:r>
      <w:r>
        <w:rPr>
          <w:spacing w:val="-3"/>
          <w:sz w:val="21"/>
        </w:rPr>
        <w:t>、</w:t>
      </w:r>
      <w:r>
        <w:rPr>
          <w:sz w:val="21"/>
        </w:rPr>
        <w:t>消防</w:t>
      </w:r>
      <w:r>
        <w:rPr>
          <w:spacing w:val="-3"/>
          <w:sz w:val="21"/>
        </w:rPr>
        <w:t>电</w:t>
      </w:r>
      <w:r>
        <w:rPr>
          <w:sz w:val="21"/>
        </w:rPr>
        <w:t>梯</w:t>
      </w:r>
      <w:r>
        <w:rPr>
          <w:spacing w:val="-3"/>
          <w:sz w:val="21"/>
        </w:rPr>
        <w:t>前</w:t>
      </w:r>
      <w:r>
        <w:rPr>
          <w:sz w:val="21"/>
        </w:rPr>
        <w:t>室</w:t>
      </w:r>
      <w:r>
        <w:rPr>
          <w:spacing w:val="-3"/>
          <w:sz w:val="21"/>
        </w:rPr>
        <w:t>、</w:t>
      </w:r>
      <w:r>
        <w:rPr>
          <w:sz w:val="21"/>
        </w:rPr>
        <w:t>建</w:t>
      </w:r>
      <w:r>
        <w:rPr>
          <w:spacing w:val="-3"/>
          <w:sz w:val="21"/>
        </w:rPr>
        <w:t>筑</w:t>
      </w:r>
      <w:r>
        <w:rPr>
          <w:sz w:val="21"/>
        </w:rPr>
        <w:t>内</w:t>
      </w:r>
      <w:r>
        <w:rPr>
          <w:spacing w:val="-3"/>
          <w:sz w:val="21"/>
        </w:rPr>
        <w:t>部</w:t>
      </w:r>
      <w:r>
        <w:rPr>
          <w:sz w:val="21"/>
        </w:rPr>
        <w:t>拐角</w:t>
      </w:r>
      <w:r>
        <w:rPr>
          <w:spacing w:val="-3"/>
          <w:sz w:val="21"/>
        </w:rPr>
        <w:t>等</w:t>
      </w:r>
      <w:r>
        <w:rPr>
          <w:sz w:val="21"/>
        </w:rPr>
        <w:t>处</w:t>
      </w:r>
      <w:r>
        <w:rPr>
          <w:spacing w:val="-3"/>
          <w:sz w:val="21"/>
        </w:rPr>
        <w:t>的明</w:t>
      </w:r>
      <w:r>
        <w:rPr>
          <w:sz w:val="21"/>
        </w:rPr>
        <w:t>显部位</w:t>
      </w:r>
      <w:r>
        <w:rPr>
          <w:spacing w:val="-3"/>
          <w:sz w:val="21"/>
        </w:rPr>
        <w:t>，</w:t>
      </w:r>
      <w:r>
        <w:rPr>
          <w:sz w:val="21"/>
        </w:rPr>
        <w:t>且</w:t>
      </w:r>
      <w:r>
        <w:rPr>
          <w:spacing w:val="-3"/>
          <w:sz w:val="21"/>
        </w:rPr>
        <w:t>不</w:t>
      </w:r>
      <w:r>
        <w:rPr>
          <w:sz w:val="21"/>
        </w:rPr>
        <w:t>宜</w:t>
      </w:r>
      <w:r>
        <w:rPr>
          <w:spacing w:val="-3"/>
          <w:sz w:val="21"/>
        </w:rPr>
        <w:t>与</w:t>
      </w:r>
      <w:r>
        <w:rPr>
          <w:sz w:val="21"/>
        </w:rPr>
        <w:t>安</w:t>
      </w:r>
      <w:r>
        <w:rPr>
          <w:spacing w:val="-3"/>
          <w:sz w:val="21"/>
        </w:rPr>
        <w:t>全</w:t>
      </w:r>
      <w:r>
        <w:rPr>
          <w:sz w:val="21"/>
        </w:rPr>
        <w:t>出</w:t>
      </w:r>
      <w:r>
        <w:rPr>
          <w:spacing w:val="-3"/>
          <w:sz w:val="21"/>
        </w:rPr>
        <w:t>口</w:t>
      </w:r>
      <w:r>
        <w:rPr>
          <w:sz w:val="21"/>
        </w:rPr>
        <w:t>指示</w:t>
      </w:r>
      <w:r>
        <w:rPr>
          <w:spacing w:val="-3"/>
          <w:sz w:val="21"/>
        </w:rPr>
        <w:t>标</w:t>
      </w:r>
      <w:r>
        <w:rPr>
          <w:sz w:val="21"/>
        </w:rPr>
        <w:t>志</w:t>
      </w:r>
      <w:r>
        <w:rPr>
          <w:spacing w:val="-3"/>
          <w:sz w:val="21"/>
        </w:rPr>
        <w:t>灯</w:t>
      </w:r>
      <w:r>
        <w:rPr>
          <w:sz w:val="21"/>
        </w:rPr>
        <w:t>具</w:t>
      </w:r>
      <w:r>
        <w:rPr>
          <w:spacing w:val="-3"/>
          <w:sz w:val="21"/>
        </w:rPr>
        <w:t>设</w:t>
      </w:r>
      <w:r>
        <w:rPr>
          <w:sz w:val="21"/>
        </w:rPr>
        <w:t>置</w:t>
      </w:r>
      <w:r>
        <w:rPr>
          <w:spacing w:val="-3"/>
          <w:sz w:val="21"/>
        </w:rPr>
        <w:t>在</w:t>
      </w:r>
      <w:r>
        <w:rPr>
          <w:sz w:val="21"/>
        </w:rPr>
        <w:t>同</w:t>
      </w:r>
      <w:r>
        <w:rPr>
          <w:spacing w:val="-3"/>
          <w:sz w:val="21"/>
        </w:rPr>
        <w:t>一</w:t>
      </w:r>
      <w:r>
        <w:rPr>
          <w:sz w:val="21"/>
        </w:rPr>
        <w:t>面墙</w:t>
      </w:r>
      <w:r>
        <w:rPr>
          <w:spacing w:val="-3"/>
          <w:sz w:val="21"/>
        </w:rPr>
        <w:t>上。</w:t>
      </w:r>
      <w:r>
        <w:rPr>
          <w:sz w:val="21"/>
        </w:rPr>
        <w:t xml:space="preserve"> </w:t>
      </w:r>
      <w:r>
        <w:rPr>
          <w:sz w:val="21"/>
        </w:rPr>
        <w:tab/>
      </w:r>
      <w:r>
        <w:rPr>
          <w:sz w:val="21"/>
        </w:rPr>
        <w:t xml:space="preserve">  </w:t>
      </w:r>
      <w:r>
        <w:rPr>
          <w:sz w:val="21"/>
        </w:rPr>
        <w:tab/>
      </w:r>
      <w:r>
        <w:rPr>
          <w:sz w:val="21"/>
        </w:rPr>
        <w:t xml:space="preserve">  </w:t>
      </w:r>
    </w:p>
    <w:p w14:paraId="7BE0FD46" w14:textId="77777777" w:rsidR="00A71EEF" w:rsidRDefault="0081115D">
      <w:pPr>
        <w:pStyle w:val="a4"/>
        <w:numPr>
          <w:ilvl w:val="2"/>
          <w:numId w:val="344"/>
        </w:numPr>
        <w:tabs>
          <w:tab w:val="left" w:pos="1370"/>
        </w:tabs>
        <w:ind w:hanging="530"/>
        <w:rPr>
          <w:sz w:val="21"/>
        </w:rPr>
      </w:pPr>
      <w:r>
        <w:rPr>
          <w:spacing w:val="-4"/>
          <w:sz w:val="21"/>
        </w:rPr>
        <w:t>每个报警区域内应均匀设置火灾警报器，其声压级不应小于</w:t>
      </w:r>
      <w:r>
        <w:rPr>
          <w:spacing w:val="-4"/>
          <w:sz w:val="21"/>
        </w:rPr>
        <w:t xml:space="preserve"> </w:t>
      </w:r>
      <w:r>
        <w:rPr>
          <w:sz w:val="21"/>
        </w:rPr>
        <w:t>60dB</w:t>
      </w:r>
      <w:r>
        <w:rPr>
          <w:spacing w:val="-5"/>
          <w:sz w:val="21"/>
        </w:rPr>
        <w:t xml:space="preserve"> </w:t>
      </w:r>
      <w:r>
        <w:rPr>
          <w:spacing w:val="-5"/>
          <w:sz w:val="21"/>
        </w:rPr>
        <w:t>；在环境噪声大于</w:t>
      </w:r>
      <w:r>
        <w:rPr>
          <w:sz w:val="21"/>
        </w:rPr>
        <w:t xml:space="preserve"> </w:t>
      </w:r>
    </w:p>
    <w:p w14:paraId="01617001" w14:textId="77777777" w:rsidR="00A71EEF" w:rsidRDefault="00A71EEF">
      <w:pPr>
        <w:pStyle w:val="a3"/>
        <w:spacing w:before="12"/>
        <w:rPr>
          <w:sz w:val="17"/>
        </w:rPr>
      </w:pPr>
    </w:p>
    <w:p w14:paraId="1212765C" w14:textId="77777777" w:rsidR="00A71EEF" w:rsidRDefault="0081115D">
      <w:pPr>
        <w:pStyle w:val="a3"/>
        <w:tabs>
          <w:tab w:val="left" w:pos="5458"/>
        </w:tabs>
        <w:ind w:left="418"/>
      </w:pPr>
      <w:r>
        <w:t>60dB</w:t>
      </w:r>
      <w:r>
        <w:rPr>
          <w:spacing w:val="4"/>
        </w:rPr>
        <w:t xml:space="preserve"> </w:t>
      </w:r>
      <w:r>
        <w:t>的</w:t>
      </w:r>
      <w:r>
        <w:rPr>
          <w:spacing w:val="-3"/>
        </w:rPr>
        <w:t>场</w:t>
      </w:r>
      <w:r>
        <w:t>所</w:t>
      </w:r>
      <w:r>
        <w:rPr>
          <w:spacing w:val="-3"/>
        </w:rPr>
        <w:t>，</w:t>
      </w:r>
      <w:r>
        <w:t>其</w:t>
      </w:r>
      <w:r>
        <w:rPr>
          <w:spacing w:val="-3"/>
        </w:rPr>
        <w:t>声</w:t>
      </w:r>
      <w:r>
        <w:t>压</w:t>
      </w:r>
      <w:r>
        <w:rPr>
          <w:spacing w:val="-3"/>
        </w:rPr>
        <w:t>级应</w:t>
      </w:r>
      <w:r>
        <w:t>高于</w:t>
      </w:r>
      <w:r>
        <w:rPr>
          <w:spacing w:val="-3"/>
        </w:rPr>
        <w:t>背</w:t>
      </w:r>
      <w:r>
        <w:t>景</w:t>
      </w:r>
      <w:r>
        <w:rPr>
          <w:spacing w:val="-3"/>
        </w:rPr>
        <w:t>噪</w:t>
      </w:r>
      <w:r>
        <w:t>声</w:t>
      </w:r>
      <w:r>
        <w:rPr>
          <w:spacing w:val="8"/>
        </w:rPr>
        <w:t xml:space="preserve"> </w:t>
      </w:r>
      <w:r>
        <w:t>15dB</w:t>
      </w:r>
      <w:r>
        <w:rPr>
          <w:spacing w:val="4"/>
        </w:rPr>
        <w:t xml:space="preserve"> </w:t>
      </w:r>
      <w:r>
        <w:rPr>
          <w:spacing w:val="-3"/>
        </w:rPr>
        <w:t>。</w:t>
      </w:r>
      <w:r>
        <w:t xml:space="preserve">   </w:t>
      </w:r>
      <w:r>
        <w:tab/>
      </w:r>
      <w:r>
        <w:t xml:space="preserve">  </w:t>
      </w:r>
    </w:p>
    <w:p w14:paraId="69537067" w14:textId="77777777" w:rsidR="00A71EEF" w:rsidRDefault="00A71EEF">
      <w:pPr>
        <w:pStyle w:val="a3"/>
        <w:spacing w:before="2"/>
        <w:rPr>
          <w:sz w:val="18"/>
        </w:rPr>
      </w:pPr>
    </w:p>
    <w:p w14:paraId="410C019D" w14:textId="77777777" w:rsidR="00A71EEF" w:rsidRDefault="0081115D">
      <w:pPr>
        <w:pStyle w:val="a4"/>
        <w:numPr>
          <w:ilvl w:val="2"/>
          <w:numId w:val="344"/>
        </w:numPr>
        <w:tabs>
          <w:tab w:val="left" w:pos="1370"/>
        </w:tabs>
        <w:ind w:hanging="530"/>
        <w:rPr>
          <w:sz w:val="21"/>
        </w:rPr>
      </w:pPr>
      <w:r>
        <w:rPr>
          <w:spacing w:val="-3"/>
          <w:sz w:val="21"/>
        </w:rPr>
        <w:t>当火灾警报器采用壁挂方式安装时，底边距地面高度应大于</w:t>
      </w:r>
      <w:r>
        <w:rPr>
          <w:spacing w:val="-3"/>
          <w:sz w:val="21"/>
        </w:rPr>
        <w:t xml:space="preserve"> </w:t>
      </w:r>
      <w:r>
        <w:rPr>
          <w:sz w:val="21"/>
        </w:rPr>
        <w:t xml:space="preserve">2.2m </w:t>
      </w:r>
      <w:r>
        <w:rPr>
          <w:sz w:val="21"/>
        </w:rPr>
        <w:t>。</w:t>
      </w:r>
      <w:r>
        <w:rPr>
          <w:sz w:val="21"/>
        </w:rPr>
        <w:t xml:space="preserve"> </w:t>
      </w:r>
      <w:r>
        <w:rPr>
          <w:spacing w:val="-9"/>
          <w:sz w:val="21"/>
        </w:rPr>
        <w:t xml:space="preserve"> </w:t>
      </w:r>
      <w:r>
        <w:rPr>
          <w:sz w:val="21"/>
        </w:rPr>
        <w:t xml:space="preserve">  </w:t>
      </w:r>
    </w:p>
    <w:p w14:paraId="04A6AC45" w14:textId="77777777" w:rsidR="00A71EEF" w:rsidRDefault="00A71EEF">
      <w:pPr>
        <w:pStyle w:val="a3"/>
        <w:rPr>
          <w:sz w:val="18"/>
        </w:rPr>
      </w:pPr>
    </w:p>
    <w:p w14:paraId="092B8A71" w14:textId="77777777" w:rsidR="00A71EEF" w:rsidRDefault="0081115D">
      <w:pPr>
        <w:pStyle w:val="a4"/>
        <w:numPr>
          <w:ilvl w:val="1"/>
          <w:numId w:val="344"/>
        </w:numPr>
        <w:tabs>
          <w:tab w:val="left" w:pos="1159"/>
        </w:tabs>
        <w:ind w:hanging="319"/>
        <w:rPr>
          <w:sz w:val="21"/>
        </w:rPr>
      </w:pPr>
      <w:r>
        <w:rPr>
          <w:spacing w:val="-3"/>
          <w:sz w:val="21"/>
        </w:rPr>
        <w:t>消防应急广播的设置</w:t>
      </w:r>
      <w:r>
        <w:rPr>
          <w:sz w:val="21"/>
        </w:rPr>
        <w:t xml:space="preserve"> </w:t>
      </w:r>
    </w:p>
    <w:p w14:paraId="666ACD71" w14:textId="77777777" w:rsidR="00A71EEF" w:rsidRDefault="00A71EEF">
      <w:pPr>
        <w:pStyle w:val="a3"/>
        <w:spacing w:before="12"/>
        <w:rPr>
          <w:sz w:val="17"/>
        </w:rPr>
      </w:pPr>
    </w:p>
    <w:p w14:paraId="2A585154" w14:textId="77777777" w:rsidR="00A71EEF" w:rsidRDefault="0081115D">
      <w:pPr>
        <w:pStyle w:val="a4"/>
        <w:numPr>
          <w:ilvl w:val="2"/>
          <w:numId w:val="344"/>
        </w:numPr>
        <w:tabs>
          <w:tab w:val="left" w:pos="1370"/>
        </w:tabs>
        <w:ind w:hanging="530"/>
        <w:rPr>
          <w:sz w:val="21"/>
        </w:rPr>
      </w:pPr>
      <w:r>
        <w:rPr>
          <w:spacing w:val="-3"/>
          <w:sz w:val="21"/>
        </w:rPr>
        <w:t>消防应急广播扬声器的设置，应符合下列规定：</w:t>
      </w:r>
      <w:r>
        <w:rPr>
          <w:sz w:val="21"/>
        </w:rPr>
        <w:t xml:space="preserve"> </w:t>
      </w:r>
    </w:p>
    <w:p w14:paraId="1934BEDD" w14:textId="77777777" w:rsidR="00A71EEF" w:rsidRDefault="00A71EEF">
      <w:pPr>
        <w:pStyle w:val="a3"/>
        <w:spacing w:before="2"/>
        <w:rPr>
          <w:sz w:val="18"/>
        </w:rPr>
      </w:pPr>
    </w:p>
    <w:p w14:paraId="178AD25E" w14:textId="77777777" w:rsidR="00A71EEF" w:rsidRDefault="0081115D">
      <w:pPr>
        <w:pStyle w:val="a4"/>
        <w:numPr>
          <w:ilvl w:val="0"/>
          <w:numId w:val="343"/>
        </w:numPr>
        <w:tabs>
          <w:tab w:val="left" w:pos="1370"/>
        </w:tabs>
        <w:spacing w:line="446" w:lineRule="auto"/>
        <w:ind w:right="1325" w:firstLine="419"/>
        <w:jc w:val="both"/>
        <w:rPr>
          <w:sz w:val="21"/>
        </w:rPr>
      </w:pPr>
      <w:r>
        <w:rPr>
          <w:sz w:val="21"/>
        </w:rPr>
        <w:t>民用建筑内扬声器应设置在走道和大厅等公共场所。每个扬声器的额定功率不应小于</w:t>
      </w:r>
      <w:r>
        <w:rPr>
          <w:sz w:val="21"/>
        </w:rPr>
        <w:t>3W</w:t>
      </w:r>
      <w:r>
        <w:rPr>
          <w:spacing w:val="-4"/>
          <w:sz w:val="21"/>
        </w:rPr>
        <w:t xml:space="preserve"> </w:t>
      </w:r>
      <w:r>
        <w:rPr>
          <w:spacing w:val="-4"/>
          <w:sz w:val="21"/>
        </w:rPr>
        <w:t>，</w:t>
      </w:r>
      <w:r>
        <w:rPr>
          <w:spacing w:val="-4"/>
          <w:sz w:val="21"/>
        </w:rPr>
        <w:t xml:space="preserve"> </w:t>
      </w:r>
      <w:r>
        <w:rPr>
          <w:spacing w:val="-4"/>
          <w:sz w:val="21"/>
        </w:rPr>
        <w:t>其数量应能保证从一个防火分区内的任何部位到最近一个扬声器的直线距离不大于</w:t>
      </w:r>
      <w:r>
        <w:rPr>
          <w:spacing w:val="-4"/>
          <w:sz w:val="21"/>
        </w:rPr>
        <w:t xml:space="preserve"> </w:t>
      </w:r>
      <w:r>
        <w:rPr>
          <w:sz w:val="21"/>
        </w:rPr>
        <w:t>25m</w:t>
      </w:r>
      <w:r>
        <w:rPr>
          <w:spacing w:val="4"/>
          <w:sz w:val="21"/>
        </w:rPr>
        <w:t xml:space="preserve"> </w:t>
      </w:r>
      <w:r>
        <w:rPr>
          <w:spacing w:val="4"/>
          <w:sz w:val="21"/>
        </w:rPr>
        <w:t>，</w:t>
      </w:r>
      <w:r>
        <w:rPr>
          <w:spacing w:val="4"/>
          <w:sz w:val="21"/>
        </w:rPr>
        <w:t xml:space="preserve"> </w:t>
      </w:r>
      <w:r>
        <w:rPr>
          <w:spacing w:val="-3"/>
          <w:sz w:val="21"/>
        </w:rPr>
        <w:t>走道末端距最近的扬声器距离不应大于</w:t>
      </w:r>
      <w:r>
        <w:rPr>
          <w:spacing w:val="-3"/>
          <w:sz w:val="21"/>
        </w:rPr>
        <w:t xml:space="preserve"> </w:t>
      </w:r>
      <w:r>
        <w:rPr>
          <w:sz w:val="21"/>
        </w:rPr>
        <w:t>12.5m</w:t>
      </w:r>
      <w:r>
        <w:rPr>
          <w:spacing w:val="-2"/>
          <w:sz w:val="21"/>
        </w:rPr>
        <w:t xml:space="preserve"> </w:t>
      </w:r>
      <w:r>
        <w:rPr>
          <w:spacing w:val="-2"/>
          <w:sz w:val="21"/>
        </w:rPr>
        <w:t>。</w:t>
      </w:r>
      <w:r>
        <w:rPr>
          <w:sz w:val="21"/>
        </w:rPr>
        <w:t xml:space="preserve"> </w:t>
      </w:r>
    </w:p>
    <w:p w14:paraId="43B52ED3" w14:textId="77777777" w:rsidR="00A71EEF" w:rsidRDefault="0081115D">
      <w:pPr>
        <w:pStyle w:val="a4"/>
        <w:numPr>
          <w:ilvl w:val="0"/>
          <w:numId w:val="343"/>
        </w:numPr>
        <w:tabs>
          <w:tab w:val="left" w:pos="1365"/>
        </w:tabs>
        <w:spacing w:line="446" w:lineRule="auto"/>
        <w:ind w:right="1431" w:firstLine="419"/>
        <w:rPr>
          <w:sz w:val="21"/>
        </w:rPr>
      </w:pPr>
      <w:r>
        <w:rPr>
          <w:spacing w:val="-2"/>
          <w:sz w:val="21"/>
        </w:rPr>
        <w:t>在环境噪声大于</w:t>
      </w:r>
      <w:r>
        <w:rPr>
          <w:spacing w:val="-2"/>
          <w:sz w:val="21"/>
        </w:rPr>
        <w:t xml:space="preserve"> </w:t>
      </w:r>
      <w:r>
        <w:rPr>
          <w:sz w:val="21"/>
        </w:rPr>
        <w:t>60dB</w:t>
      </w:r>
      <w:r>
        <w:rPr>
          <w:spacing w:val="-3"/>
          <w:sz w:val="21"/>
        </w:rPr>
        <w:t xml:space="preserve"> </w:t>
      </w:r>
      <w:r>
        <w:rPr>
          <w:spacing w:val="-3"/>
          <w:sz w:val="21"/>
        </w:rPr>
        <w:t>的场所设置的扬声器，在其播放范围内最远点的播放声压级应高于背景噪声</w:t>
      </w:r>
      <w:r>
        <w:rPr>
          <w:spacing w:val="-3"/>
          <w:sz w:val="21"/>
        </w:rPr>
        <w:t xml:space="preserve"> </w:t>
      </w:r>
      <w:r>
        <w:rPr>
          <w:sz w:val="21"/>
        </w:rPr>
        <w:t>15dB</w:t>
      </w:r>
      <w:r>
        <w:rPr>
          <w:spacing w:val="-3"/>
          <w:sz w:val="21"/>
        </w:rPr>
        <w:t xml:space="preserve"> </w:t>
      </w:r>
      <w:r>
        <w:rPr>
          <w:spacing w:val="-3"/>
          <w:sz w:val="21"/>
        </w:rPr>
        <w:t>。</w:t>
      </w:r>
      <w:r>
        <w:rPr>
          <w:sz w:val="21"/>
        </w:rPr>
        <w:t xml:space="preserve"> </w:t>
      </w:r>
    </w:p>
    <w:p w14:paraId="18D223DB" w14:textId="77777777" w:rsidR="00A71EEF" w:rsidRDefault="0081115D">
      <w:pPr>
        <w:pStyle w:val="a4"/>
        <w:numPr>
          <w:ilvl w:val="0"/>
          <w:numId w:val="343"/>
        </w:numPr>
        <w:tabs>
          <w:tab w:val="left" w:pos="1367"/>
        </w:tabs>
        <w:spacing w:line="446" w:lineRule="auto"/>
        <w:ind w:left="840" w:right="4554" w:hanging="3"/>
        <w:rPr>
          <w:sz w:val="21"/>
        </w:rPr>
      </w:pPr>
      <w:r>
        <w:rPr>
          <w:spacing w:val="-3"/>
          <w:sz w:val="21"/>
        </w:rPr>
        <w:t>客房设置专用扬声器时，其功率不宜小于</w:t>
      </w:r>
      <w:r>
        <w:rPr>
          <w:spacing w:val="-3"/>
          <w:sz w:val="21"/>
        </w:rPr>
        <w:t xml:space="preserve"> </w:t>
      </w:r>
      <w:r>
        <w:rPr>
          <w:sz w:val="21"/>
        </w:rPr>
        <w:t>1W</w:t>
      </w:r>
      <w:r>
        <w:rPr>
          <w:spacing w:val="1"/>
          <w:sz w:val="21"/>
        </w:rPr>
        <w:t xml:space="preserve"> </w:t>
      </w:r>
      <w:r>
        <w:rPr>
          <w:spacing w:val="1"/>
          <w:sz w:val="21"/>
        </w:rPr>
        <w:t>。</w:t>
      </w:r>
      <w:r>
        <w:rPr>
          <w:b/>
          <w:spacing w:val="1"/>
          <w:sz w:val="21"/>
        </w:rPr>
        <w:t>6.6.2</w:t>
      </w:r>
      <w:r>
        <w:rPr>
          <w:b/>
          <w:spacing w:val="2"/>
          <w:sz w:val="21"/>
        </w:rPr>
        <w:t xml:space="preserve"> </w:t>
      </w:r>
      <w:r>
        <w:rPr>
          <w:spacing w:val="-3"/>
          <w:sz w:val="21"/>
        </w:rPr>
        <w:t>壁挂扬声器的底边距地面高度应大于</w:t>
      </w:r>
      <w:r>
        <w:rPr>
          <w:spacing w:val="-3"/>
          <w:sz w:val="21"/>
        </w:rPr>
        <w:t xml:space="preserve"> </w:t>
      </w:r>
      <w:r>
        <w:rPr>
          <w:sz w:val="21"/>
        </w:rPr>
        <w:t xml:space="preserve">2.2m </w:t>
      </w:r>
      <w:r>
        <w:rPr>
          <w:sz w:val="21"/>
        </w:rPr>
        <w:t>。</w:t>
      </w:r>
      <w:r>
        <w:rPr>
          <w:sz w:val="21"/>
        </w:rPr>
        <w:t xml:space="preserve"> </w:t>
      </w:r>
      <w:r>
        <w:rPr>
          <w:spacing w:val="-9"/>
          <w:sz w:val="21"/>
        </w:rPr>
        <w:t xml:space="preserve"> </w:t>
      </w:r>
      <w:r>
        <w:rPr>
          <w:sz w:val="21"/>
        </w:rPr>
        <w:t xml:space="preserve">  </w:t>
      </w:r>
    </w:p>
    <w:p w14:paraId="50B63BCF" w14:textId="77777777" w:rsidR="00A71EEF" w:rsidRDefault="0081115D">
      <w:pPr>
        <w:pStyle w:val="a4"/>
        <w:numPr>
          <w:ilvl w:val="1"/>
          <w:numId w:val="344"/>
        </w:numPr>
        <w:tabs>
          <w:tab w:val="left" w:pos="1159"/>
        </w:tabs>
        <w:ind w:hanging="319"/>
        <w:rPr>
          <w:b/>
          <w:sz w:val="21"/>
        </w:rPr>
      </w:pPr>
      <w:r>
        <w:rPr>
          <w:spacing w:val="-3"/>
          <w:sz w:val="21"/>
        </w:rPr>
        <w:t>消防专用电话的设置</w:t>
      </w:r>
      <w:r>
        <w:rPr>
          <w:b/>
          <w:w w:val="99"/>
          <w:sz w:val="21"/>
        </w:rPr>
        <w:t xml:space="preserve"> </w:t>
      </w:r>
    </w:p>
    <w:p w14:paraId="7A215753" w14:textId="77777777" w:rsidR="00A71EEF" w:rsidRDefault="00A71EEF">
      <w:pPr>
        <w:pStyle w:val="a3"/>
        <w:spacing w:before="9"/>
        <w:rPr>
          <w:b/>
          <w:sz w:val="17"/>
        </w:rPr>
      </w:pPr>
    </w:p>
    <w:p w14:paraId="6C201744" w14:textId="77777777" w:rsidR="00A71EEF" w:rsidRDefault="0081115D">
      <w:pPr>
        <w:pStyle w:val="a4"/>
        <w:numPr>
          <w:ilvl w:val="2"/>
          <w:numId w:val="344"/>
        </w:numPr>
        <w:tabs>
          <w:tab w:val="left" w:pos="1370"/>
          <w:tab w:val="left" w:pos="6298"/>
        </w:tabs>
        <w:ind w:hanging="530"/>
        <w:rPr>
          <w:sz w:val="21"/>
        </w:rPr>
      </w:pPr>
      <w:r>
        <w:rPr>
          <w:spacing w:val="-3"/>
          <w:sz w:val="21"/>
        </w:rPr>
        <w:t>消</w:t>
      </w:r>
      <w:r>
        <w:rPr>
          <w:sz w:val="21"/>
        </w:rPr>
        <w:t>防</w:t>
      </w:r>
      <w:r>
        <w:rPr>
          <w:spacing w:val="-3"/>
          <w:sz w:val="21"/>
        </w:rPr>
        <w:t>专</w:t>
      </w:r>
      <w:r>
        <w:rPr>
          <w:sz w:val="21"/>
        </w:rPr>
        <w:t>用</w:t>
      </w:r>
      <w:r>
        <w:rPr>
          <w:spacing w:val="-3"/>
          <w:sz w:val="21"/>
        </w:rPr>
        <w:t>电</w:t>
      </w:r>
      <w:r>
        <w:rPr>
          <w:sz w:val="21"/>
        </w:rPr>
        <w:t>话</w:t>
      </w:r>
      <w:r>
        <w:rPr>
          <w:spacing w:val="-3"/>
          <w:sz w:val="21"/>
        </w:rPr>
        <w:t>网络</w:t>
      </w:r>
      <w:r>
        <w:rPr>
          <w:sz w:val="21"/>
        </w:rPr>
        <w:t>应为</w:t>
      </w:r>
      <w:r>
        <w:rPr>
          <w:spacing w:val="-3"/>
          <w:sz w:val="21"/>
        </w:rPr>
        <w:t>独</w:t>
      </w:r>
      <w:r>
        <w:rPr>
          <w:sz w:val="21"/>
        </w:rPr>
        <w:t>立</w:t>
      </w:r>
      <w:r>
        <w:rPr>
          <w:spacing w:val="-3"/>
          <w:sz w:val="21"/>
        </w:rPr>
        <w:t>的</w:t>
      </w:r>
      <w:r>
        <w:rPr>
          <w:sz w:val="21"/>
        </w:rPr>
        <w:t>消</w:t>
      </w:r>
      <w:r>
        <w:rPr>
          <w:spacing w:val="-3"/>
          <w:sz w:val="21"/>
        </w:rPr>
        <w:t>防</w:t>
      </w:r>
      <w:r>
        <w:rPr>
          <w:sz w:val="21"/>
        </w:rPr>
        <w:t>通</w:t>
      </w:r>
      <w:r>
        <w:rPr>
          <w:spacing w:val="-3"/>
          <w:sz w:val="21"/>
        </w:rPr>
        <w:t>信</w:t>
      </w:r>
      <w:r>
        <w:rPr>
          <w:sz w:val="21"/>
        </w:rPr>
        <w:t>系</w:t>
      </w:r>
      <w:r>
        <w:rPr>
          <w:spacing w:val="-3"/>
          <w:sz w:val="21"/>
        </w:rPr>
        <w:t>统</w:t>
      </w:r>
      <w:r>
        <w:rPr>
          <w:sz w:val="21"/>
        </w:rPr>
        <w:t>。</w:t>
      </w:r>
      <w:r>
        <w:rPr>
          <w:sz w:val="21"/>
        </w:rPr>
        <w:t xml:space="preserve"> </w:t>
      </w:r>
      <w:r>
        <w:rPr>
          <w:spacing w:val="-9"/>
          <w:sz w:val="21"/>
        </w:rPr>
        <w:t xml:space="preserve"> </w:t>
      </w:r>
      <w:r>
        <w:rPr>
          <w:sz w:val="21"/>
        </w:rPr>
        <w:t xml:space="preserve">  </w:t>
      </w:r>
      <w:r>
        <w:rPr>
          <w:sz w:val="21"/>
        </w:rPr>
        <w:tab/>
      </w:r>
      <w:r>
        <w:rPr>
          <w:sz w:val="21"/>
        </w:rPr>
        <w:t xml:space="preserve">  </w:t>
      </w:r>
    </w:p>
    <w:p w14:paraId="26297F52" w14:textId="77777777" w:rsidR="00A71EEF" w:rsidRDefault="00A71EEF">
      <w:pPr>
        <w:pStyle w:val="a3"/>
        <w:spacing w:before="2"/>
        <w:rPr>
          <w:sz w:val="18"/>
        </w:rPr>
      </w:pPr>
    </w:p>
    <w:p w14:paraId="21062AC2" w14:textId="77777777" w:rsidR="00A71EEF" w:rsidRDefault="0081115D">
      <w:pPr>
        <w:pStyle w:val="a4"/>
        <w:numPr>
          <w:ilvl w:val="2"/>
          <w:numId w:val="344"/>
        </w:numPr>
        <w:tabs>
          <w:tab w:val="left" w:pos="1370"/>
          <w:tab w:val="left" w:pos="5458"/>
          <w:tab w:val="left" w:pos="5878"/>
        </w:tabs>
        <w:ind w:hanging="530"/>
        <w:rPr>
          <w:sz w:val="21"/>
        </w:rPr>
      </w:pPr>
      <w:r>
        <w:rPr>
          <w:spacing w:val="-3"/>
          <w:sz w:val="21"/>
        </w:rPr>
        <w:t>消</w:t>
      </w:r>
      <w:r>
        <w:rPr>
          <w:sz w:val="21"/>
        </w:rPr>
        <w:t>防</w:t>
      </w:r>
      <w:r>
        <w:rPr>
          <w:spacing w:val="-3"/>
          <w:sz w:val="21"/>
        </w:rPr>
        <w:t>控</w:t>
      </w:r>
      <w:r>
        <w:rPr>
          <w:sz w:val="21"/>
        </w:rPr>
        <w:t>制</w:t>
      </w:r>
      <w:r>
        <w:rPr>
          <w:spacing w:val="-3"/>
          <w:sz w:val="21"/>
        </w:rPr>
        <w:t>室</w:t>
      </w:r>
      <w:r>
        <w:rPr>
          <w:sz w:val="21"/>
        </w:rPr>
        <w:t>应</w:t>
      </w:r>
      <w:r>
        <w:rPr>
          <w:spacing w:val="-3"/>
          <w:sz w:val="21"/>
        </w:rPr>
        <w:t>设置</w:t>
      </w:r>
      <w:r>
        <w:rPr>
          <w:sz w:val="21"/>
        </w:rPr>
        <w:t>消防</w:t>
      </w:r>
      <w:r>
        <w:rPr>
          <w:spacing w:val="-3"/>
          <w:sz w:val="21"/>
        </w:rPr>
        <w:t>专</w:t>
      </w:r>
      <w:r>
        <w:rPr>
          <w:sz w:val="21"/>
        </w:rPr>
        <w:t>用</w:t>
      </w:r>
      <w:r>
        <w:rPr>
          <w:spacing w:val="-3"/>
          <w:sz w:val="21"/>
        </w:rPr>
        <w:t>电</w:t>
      </w:r>
      <w:r>
        <w:rPr>
          <w:sz w:val="21"/>
        </w:rPr>
        <w:t>话</w:t>
      </w:r>
      <w:r>
        <w:rPr>
          <w:spacing w:val="-3"/>
          <w:sz w:val="21"/>
        </w:rPr>
        <w:t>总</w:t>
      </w:r>
      <w:r>
        <w:rPr>
          <w:sz w:val="21"/>
        </w:rPr>
        <w:t>机</w:t>
      </w:r>
      <w:r>
        <w:rPr>
          <w:spacing w:val="-3"/>
          <w:sz w:val="21"/>
        </w:rPr>
        <w:t>。</w:t>
      </w:r>
      <w:r>
        <w:rPr>
          <w:sz w:val="21"/>
        </w:rPr>
        <w:t xml:space="preserve"> </w:t>
      </w:r>
      <w:r>
        <w:rPr>
          <w:sz w:val="21"/>
        </w:rPr>
        <w:tab/>
      </w:r>
      <w:r>
        <w:rPr>
          <w:sz w:val="21"/>
        </w:rPr>
        <w:t xml:space="preserve">  </w:t>
      </w:r>
      <w:r>
        <w:rPr>
          <w:sz w:val="21"/>
        </w:rPr>
        <w:tab/>
      </w:r>
      <w:r>
        <w:rPr>
          <w:sz w:val="21"/>
        </w:rPr>
        <w:t xml:space="preserve">  </w:t>
      </w:r>
    </w:p>
    <w:p w14:paraId="04A31046" w14:textId="77777777" w:rsidR="00A71EEF" w:rsidRDefault="00A71EEF">
      <w:pPr>
        <w:rPr>
          <w:sz w:val="21"/>
        </w:rPr>
        <w:sectPr w:rsidR="00A71EEF">
          <w:pgSz w:w="11910" w:h="16850"/>
          <w:pgMar w:top="1220" w:right="0" w:bottom="1420" w:left="1260" w:header="0" w:footer="1239" w:gutter="0"/>
          <w:cols w:space="720"/>
        </w:sectPr>
      </w:pPr>
    </w:p>
    <w:p w14:paraId="7EB3FEF4" w14:textId="77777777" w:rsidR="00A71EEF" w:rsidRDefault="0081115D">
      <w:pPr>
        <w:pStyle w:val="a4"/>
        <w:numPr>
          <w:ilvl w:val="2"/>
          <w:numId w:val="344"/>
        </w:numPr>
        <w:tabs>
          <w:tab w:val="left" w:pos="1370"/>
          <w:tab w:val="left" w:pos="7979"/>
        </w:tabs>
        <w:spacing w:before="47"/>
        <w:ind w:hanging="530"/>
        <w:rPr>
          <w:sz w:val="21"/>
        </w:rPr>
      </w:pPr>
      <w:r>
        <w:rPr>
          <w:spacing w:val="-3"/>
          <w:sz w:val="21"/>
        </w:rPr>
        <w:t>多</w:t>
      </w:r>
      <w:r>
        <w:rPr>
          <w:sz w:val="21"/>
        </w:rPr>
        <w:t>线</w:t>
      </w:r>
      <w:r>
        <w:rPr>
          <w:spacing w:val="-3"/>
          <w:sz w:val="21"/>
        </w:rPr>
        <w:t>制</w:t>
      </w:r>
      <w:r>
        <w:rPr>
          <w:sz w:val="21"/>
        </w:rPr>
        <w:t>消</w:t>
      </w:r>
      <w:r>
        <w:rPr>
          <w:spacing w:val="-3"/>
          <w:sz w:val="21"/>
        </w:rPr>
        <w:t>防</w:t>
      </w:r>
      <w:r>
        <w:rPr>
          <w:sz w:val="21"/>
        </w:rPr>
        <w:t>专</w:t>
      </w:r>
      <w:r>
        <w:rPr>
          <w:spacing w:val="-3"/>
          <w:sz w:val="21"/>
        </w:rPr>
        <w:t>用电</w:t>
      </w:r>
      <w:r>
        <w:rPr>
          <w:sz w:val="21"/>
        </w:rPr>
        <w:t>话系</w:t>
      </w:r>
      <w:r>
        <w:rPr>
          <w:spacing w:val="-3"/>
          <w:sz w:val="21"/>
        </w:rPr>
        <w:t>统</w:t>
      </w:r>
      <w:r>
        <w:rPr>
          <w:sz w:val="21"/>
        </w:rPr>
        <w:t>中</w:t>
      </w:r>
      <w:r>
        <w:rPr>
          <w:spacing w:val="-3"/>
          <w:sz w:val="21"/>
        </w:rPr>
        <w:t>的</w:t>
      </w:r>
      <w:r>
        <w:rPr>
          <w:sz w:val="21"/>
        </w:rPr>
        <w:t>每</w:t>
      </w:r>
      <w:r>
        <w:rPr>
          <w:spacing w:val="-3"/>
          <w:sz w:val="21"/>
        </w:rPr>
        <w:t>个</w:t>
      </w:r>
      <w:r>
        <w:rPr>
          <w:sz w:val="21"/>
        </w:rPr>
        <w:t>电</w:t>
      </w:r>
      <w:r>
        <w:rPr>
          <w:spacing w:val="-3"/>
          <w:sz w:val="21"/>
        </w:rPr>
        <w:t>话</w:t>
      </w:r>
      <w:r>
        <w:rPr>
          <w:sz w:val="21"/>
        </w:rPr>
        <w:t>分</w:t>
      </w:r>
      <w:r>
        <w:rPr>
          <w:spacing w:val="-3"/>
          <w:sz w:val="21"/>
        </w:rPr>
        <w:t>机</w:t>
      </w:r>
      <w:r>
        <w:rPr>
          <w:sz w:val="21"/>
        </w:rPr>
        <w:t>应与</w:t>
      </w:r>
      <w:r>
        <w:rPr>
          <w:spacing w:val="-3"/>
          <w:sz w:val="21"/>
        </w:rPr>
        <w:t>总</w:t>
      </w:r>
      <w:r>
        <w:rPr>
          <w:sz w:val="21"/>
        </w:rPr>
        <w:t>机</w:t>
      </w:r>
      <w:r>
        <w:rPr>
          <w:spacing w:val="-3"/>
          <w:sz w:val="21"/>
        </w:rPr>
        <w:t>单</w:t>
      </w:r>
      <w:r>
        <w:rPr>
          <w:sz w:val="21"/>
        </w:rPr>
        <w:t>独</w:t>
      </w:r>
      <w:r>
        <w:rPr>
          <w:spacing w:val="-3"/>
          <w:sz w:val="21"/>
        </w:rPr>
        <w:t>连</w:t>
      </w:r>
      <w:r>
        <w:rPr>
          <w:sz w:val="21"/>
        </w:rPr>
        <w:t>接</w:t>
      </w:r>
      <w:r>
        <w:rPr>
          <w:spacing w:val="-3"/>
          <w:sz w:val="21"/>
        </w:rPr>
        <w:t>。</w:t>
      </w:r>
      <w:r>
        <w:rPr>
          <w:sz w:val="21"/>
        </w:rPr>
        <w:t xml:space="preserve"> </w:t>
      </w:r>
      <w:r>
        <w:rPr>
          <w:spacing w:val="-9"/>
          <w:sz w:val="21"/>
        </w:rPr>
        <w:t xml:space="preserve"> </w:t>
      </w:r>
      <w:r>
        <w:rPr>
          <w:sz w:val="21"/>
        </w:rPr>
        <w:t xml:space="preserve">  </w:t>
      </w:r>
      <w:r>
        <w:rPr>
          <w:sz w:val="21"/>
        </w:rPr>
        <w:tab/>
      </w:r>
      <w:r>
        <w:rPr>
          <w:sz w:val="21"/>
        </w:rPr>
        <w:t xml:space="preserve">  </w:t>
      </w:r>
    </w:p>
    <w:p w14:paraId="5A48D950" w14:textId="77777777" w:rsidR="00A71EEF" w:rsidRDefault="00A71EEF">
      <w:pPr>
        <w:pStyle w:val="a3"/>
        <w:rPr>
          <w:sz w:val="18"/>
        </w:rPr>
      </w:pPr>
    </w:p>
    <w:p w14:paraId="37C5C9E0" w14:textId="77777777" w:rsidR="00A71EEF" w:rsidRDefault="0081115D">
      <w:pPr>
        <w:pStyle w:val="a4"/>
        <w:numPr>
          <w:ilvl w:val="2"/>
          <w:numId w:val="344"/>
        </w:numPr>
        <w:tabs>
          <w:tab w:val="left" w:pos="1370"/>
        </w:tabs>
        <w:ind w:hanging="530"/>
        <w:rPr>
          <w:sz w:val="21"/>
        </w:rPr>
      </w:pPr>
      <w:r>
        <w:rPr>
          <w:spacing w:val="-3"/>
          <w:sz w:val="21"/>
        </w:rPr>
        <w:t>电话分机或电话插孔的设置，应符合下列规定：</w:t>
      </w:r>
      <w:r>
        <w:rPr>
          <w:sz w:val="21"/>
        </w:rPr>
        <w:t xml:space="preserve"> </w:t>
      </w:r>
    </w:p>
    <w:p w14:paraId="39DE5ADC" w14:textId="77777777" w:rsidR="00A71EEF" w:rsidRDefault="00A71EEF">
      <w:pPr>
        <w:pStyle w:val="a3"/>
        <w:rPr>
          <w:sz w:val="18"/>
        </w:rPr>
      </w:pPr>
    </w:p>
    <w:p w14:paraId="22508483" w14:textId="77777777" w:rsidR="00A71EEF" w:rsidRDefault="0081115D">
      <w:pPr>
        <w:pStyle w:val="a4"/>
        <w:numPr>
          <w:ilvl w:val="0"/>
          <w:numId w:val="342"/>
        </w:numPr>
        <w:tabs>
          <w:tab w:val="left" w:pos="1365"/>
        </w:tabs>
        <w:spacing w:line="446" w:lineRule="auto"/>
        <w:ind w:right="1222" w:firstLine="419"/>
        <w:rPr>
          <w:sz w:val="21"/>
        </w:rPr>
      </w:pPr>
      <w:r>
        <w:rPr>
          <w:spacing w:val="-12"/>
          <w:sz w:val="21"/>
        </w:rPr>
        <w:t>消防水泵房、发电机房、配变电室、计算机网络机房、主要通风和空调机房、防排烟机</w:t>
      </w:r>
      <w:r>
        <w:rPr>
          <w:spacing w:val="-12"/>
          <w:sz w:val="21"/>
        </w:rPr>
        <w:t xml:space="preserve"> </w:t>
      </w:r>
      <w:r>
        <w:rPr>
          <w:spacing w:val="-8"/>
          <w:sz w:val="21"/>
        </w:rPr>
        <w:t>房、灭火控制系统操作装置处或控制室、企业消防站、消防值班室、总调度室、消防电梯机房及</w:t>
      </w:r>
      <w:r>
        <w:rPr>
          <w:spacing w:val="-8"/>
          <w:sz w:val="21"/>
        </w:rPr>
        <w:t xml:space="preserve"> </w:t>
      </w:r>
      <w:r>
        <w:rPr>
          <w:spacing w:val="-6"/>
          <w:sz w:val="21"/>
        </w:rPr>
        <w:t>其他与消防联动控制有关的且经常有人值班的机房应设置消防专用电话分机。消防专用电话分机，</w:t>
      </w:r>
      <w:r>
        <w:rPr>
          <w:spacing w:val="-6"/>
          <w:sz w:val="21"/>
        </w:rPr>
        <w:t xml:space="preserve"> </w:t>
      </w:r>
      <w:r>
        <w:rPr>
          <w:spacing w:val="-4"/>
          <w:sz w:val="21"/>
        </w:rPr>
        <w:t>应固定安装在明显且便于使用的部位，并应有区别于普通电话的标识。</w:t>
      </w:r>
      <w:r>
        <w:rPr>
          <w:sz w:val="21"/>
        </w:rPr>
        <w:t xml:space="preserve"> </w:t>
      </w:r>
    </w:p>
    <w:p w14:paraId="05F86039" w14:textId="77777777" w:rsidR="00A71EEF" w:rsidRDefault="0081115D">
      <w:pPr>
        <w:pStyle w:val="a4"/>
        <w:numPr>
          <w:ilvl w:val="0"/>
          <w:numId w:val="342"/>
        </w:numPr>
        <w:tabs>
          <w:tab w:val="left" w:pos="1367"/>
        </w:tabs>
        <w:spacing w:line="446" w:lineRule="auto"/>
        <w:ind w:right="1431" w:firstLine="419"/>
        <w:rPr>
          <w:sz w:val="21"/>
        </w:rPr>
      </w:pPr>
      <w:r>
        <w:rPr>
          <w:spacing w:val="-8"/>
          <w:sz w:val="21"/>
        </w:rPr>
        <w:t>设有手动火灾报警按钮或消火栓按钮等处，宜设置电话插孔，并宜选择带有电话插孔</w:t>
      </w:r>
      <w:r>
        <w:rPr>
          <w:spacing w:val="-8"/>
          <w:sz w:val="21"/>
        </w:rPr>
        <w:t xml:space="preserve"> </w:t>
      </w:r>
      <w:r>
        <w:rPr>
          <w:spacing w:val="-6"/>
          <w:sz w:val="21"/>
        </w:rPr>
        <w:t>的手动火灾报警按钮。</w:t>
      </w:r>
      <w:r>
        <w:rPr>
          <w:sz w:val="21"/>
        </w:rPr>
        <w:t xml:space="preserve"> </w:t>
      </w:r>
    </w:p>
    <w:p w14:paraId="24901AE3" w14:textId="77777777" w:rsidR="00A71EEF" w:rsidRDefault="0081115D">
      <w:pPr>
        <w:pStyle w:val="a4"/>
        <w:numPr>
          <w:ilvl w:val="0"/>
          <w:numId w:val="342"/>
        </w:numPr>
        <w:tabs>
          <w:tab w:val="left" w:pos="1367"/>
        </w:tabs>
        <w:spacing w:line="267" w:lineRule="exact"/>
        <w:ind w:left="1367" w:hanging="529"/>
        <w:rPr>
          <w:sz w:val="21"/>
        </w:rPr>
      </w:pPr>
      <w:r>
        <w:rPr>
          <w:spacing w:val="-1"/>
          <w:sz w:val="21"/>
        </w:rPr>
        <w:t>各避难层应每隔</w:t>
      </w:r>
      <w:r>
        <w:rPr>
          <w:spacing w:val="-1"/>
          <w:sz w:val="21"/>
        </w:rPr>
        <w:t xml:space="preserve"> </w:t>
      </w:r>
      <w:r>
        <w:rPr>
          <w:sz w:val="21"/>
        </w:rPr>
        <w:t>20m</w:t>
      </w:r>
      <w:r>
        <w:rPr>
          <w:spacing w:val="-3"/>
          <w:sz w:val="21"/>
        </w:rPr>
        <w:t xml:space="preserve"> </w:t>
      </w:r>
      <w:r>
        <w:rPr>
          <w:spacing w:val="-3"/>
          <w:sz w:val="21"/>
        </w:rPr>
        <w:t>设置一个消防专用电话分机或电话插孔。</w:t>
      </w:r>
      <w:r>
        <w:rPr>
          <w:sz w:val="21"/>
        </w:rPr>
        <w:t xml:space="preserve"> </w:t>
      </w:r>
    </w:p>
    <w:p w14:paraId="47644870" w14:textId="77777777" w:rsidR="00A71EEF" w:rsidRDefault="00A71EEF">
      <w:pPr>
        <w:pStyle w:val="a3"/>
        <w:spacing w:before="1"/>
        <w:rPr>
          <w:sz w:val="18"/>
        </w:rPr>
      </w:pPr>
    </w:p>
    <w:p w14:paraId="6D3BBF96" w14:textId="77777777" w:rsidR="00A71EEF" w:rsidRDefault="0081115D">
      <w:pPr>
        <w:pStyle w:val="a4"/>
        <w:numPr>
          <w:ilvl w:val="0"/>
          <w:numId w:val="342"/>
        </w:numPr>
        <w:tabs>
          <w:tab w:val="left" w:pos="1367"/>
          <w:tab w:val="left" w:pos="7558"/>
        </w:tabs>
        <w:ind w:left="1367" w:hanging="529"/>
        <w:rPr>
          <w:sz w:val="21"/>
        </w:rPr>
      </w:pPr>
      <w:r>
        <w:rPr>
          <w:sz w:val="21"/>
        </w:rPr>
        <w:t>电</w:t>
      </w:r>
      <w:r>
        <w:rPr>
          <w:spacing w:val="-3"/>
          <w:sz w:val="21"/>
        </w:rPr>
        <w:t>话</w:t>
      </w:r>
      <w:r>
        <w:rPr>
          <w:sz w:val="21"/>
        </w:rPr>
        <w:t>插</w:t>
      </w:r>
      <w:r>
        <w:rPr>
          <w:spacing w:val="-3"/>
          <w:sz w:val="21"/>
        </w:rPr>
        <w:t>孔</w:t>
      </w:r>
      <w:r>
        <w:rPr>
          <w:sz w:val="21"/>
        </w:rPr>
        <w:t>在</w:t>
      </w:r>
      <w:r>
        <w:rPr>
          <w:spacing w:val="-3"/>
          <w:sz w:val="21"/>
        </w:rPr>
        <w:t>墙</w:t>
      </w:r>
      <w:r>
        <w:rPr>
          <w:sz w:val="21"/>
        </w:rPr>
        <w:t>上</w:t>
      </w:r>
      <w:r>
        <w:rPr>
          <w:spacing w:val="-3"/>
          <w:sz w:val="21"/>
        </w:rPr>
        <w:t>安装</w:t>
      </w:r>
      <w:r>
        <w:rPr>
          <w:sz w:val="21"/>
        </w:rPr>
        <w:t>时，</w:t>
      </w:r>
      <w:r>
        <w:rPr>
          <w:spacing w:val="-3"/>
          <w:sz w:val="21"/>
        </w:rPr>
        <w:t>其</w:t>
      </w:r>
      <w:r>
        <w:rPr>
          <w:sz w:val="21"/>
        </w:rPr>
        <w:t>底</w:t>
      </w:r>
      <w:r>
        <w:rPr>
          <w:spacing w:val="-3"/>
          <w:sz w:val="21"/>
        </w:rPr>
        <w:t>边</w:t>
      </w:r>
      <w:r>
        <w:rPr>
          <w:sz w:val="21"/>
        </w:rPr>
        <w:t>距</w:t>
      </w:r>
      <w:r>
        <w:rPr>
          <w:spacing w:val="-3"/>
          <w:sz w:val="21"/>
        </w:rPr>
        <w:t>地</w:t>
      </w:r>
      <w:r>
        <w:rPr>
          <w:sz w:val="21"/>
        </w:rPr>
        <w:t>面</w:t>
      </w:r>
      <w:r>
        <w:rPr>
          <w:spacing w:val="-3"/>
          <w:sz w:val="21"/>
        </w:rPr>
        <w:t>高</w:t>
      </w:r>
      <w:r>
        <w:rPr>
          <w:sz w:val="21"/>
        </w:rPr>
        <w:t>度</w:t>
      </w:r>
      <w:r>
        <w:rPr>
          <w:spacing w:val="-3"/>
          <w:sz w:val="21"/>
        </w:rPr>
        <w:t>宜</w:t>
      </w:r>
      <w:r>
        <w:rPr>
          <w:sz w:val="21"/>
        </w:rPr>
        <w:t>为</w:t>
      </w:r>
      <w:r>
        <w:rPr>
          <w:spacing w:val="13"/>
          <w:sz w:val="21"/>
        </w:rPr>
        <w:t xml:space="preserve"> </w:t>
      </w:r>
      <w:r>
        <w:rPr>
          <w:sz w:val="21"/>
        </w:rPr>
        <w:t>1.3</w:t>
      </w:r>
      <w:r>
        <w:rPr>
          <w:sz w:val="21"/>
        </w:rPr>
        <w:t>～</w:t>
      </w:r>
      <w:r>
        <w:rPr>
          <w:sz w:val="21"/>
        </w:rPr>
        <w:t>1.5m</w:t>
      </w:r>
      <w:r>
        <w:rPr>
          <w:spacing w:val="10"/>
          <w:sz w:val="21"/>
        </w:rPr>
        <w:t xml:space="preserve"> </w:t>
      </w:r>
      <w:r>
        <w:rPr>
          <w:spacing w:val="-3"/>
          <w:sz w:val="21"/>
        </w:rPr>
        <w:t>。</w:t>
      </w:r>
      <w:r>
        <w:rPr>
          <w:sz w:val="21"/>
        </w:rPr>
        <w:t xml:space="preserve"> </w:t>
      </w:r>
      <w:r>
        <w:rPr>
          <w:sz w:val="21"/>
        </w:rPr>
        <w:tab/>
      </w:r>
      <w:r>
        <w:rPr>
          <w:sz w:val="21"/>
        </w:rPr>
        <w:t xml:space="preserve">  </w:t>
      </w:r>
    </w:p>
    <w:p w14:paraId="2831C199" w14:textId="77777777" w:rsidR="00A71EEF" w:rsidRDefault="00A71EEF">
      <w:pPr>
        <w:pStyle w:val="a3"/>
        <w:rPr>
          <w:sz w:val="18"/>
        </w:rPr>
      </w:pPr>
    </w:p>
    <w:p w14:paraId="17DCD7D6" w14:textId="77777777" w:rsidR="00A71EEF" w:rsidRDefault="0081115D">
      <w:pPr>
        <w:pStyle w:val="a4"/>
        <w:numPr>
          <w:ilvl w:val="2"/>
          <w:numId w:val="344"/>
        </w:numPr>
        <w:tabs>
          <w:tab w:val="left" w:pos="1370"/>
        </w:tabs>
        <w:ind w:hanging="530"/>
        <w:rPr>
          <w:sz w:val="21"/>
        </w:rPr>
      </w:pPr>
      <w:r>
        <w:rPr>
          <w:spacing w:val="-3"/>
          <w:sz w:val="21"/>
        </w:rPr>
        <w:t>消防控制室、消防值班室或企业消防站等处，应设置可直接报警的外线电话。</w:t>
      </w:r>
      <w:r>
        <w:rPr>
          <w:sz w:val="21"/>
        </w:rPr>
        <w:t xml:space="preserve"> </w:t>
      </w:r>
    </w:p>
    <w:p w14:paraId="0E50EAA3" w14:textId="77777777" w:rsidR="00A71EEF" w:rsidRDefault="00A71EEF">
      <w:pPr>
        <w:pStyle w:val="a3"/>
        <w:spacing w:before="12"/>
        <w:rPr>
          <w:sz w:val="17"/>
        </w:rPr>
      </w:pPr>
    </w:p>
    <w:p w14:paraId="5146240A" w14:textId="77777777" w:rsidR="00A71EEF" w:rsidRDefault="0081115D">
      <w:pPr>
        <w:pStyle w:val="a4"/>
        <w:numPr>
          <w:ilvl w:val="1"/>
          <w:numId w:val="344"/>
        </w:numPr>
        <w:tabs>
          <w:tab w:val="left" w:pos="1159"/>
        </w:tabs>
        <w:ind w:hanging="319"/>
        <w:rPr>
          <w:b/>
          <w:sz w:val="21"/>
        </w:rPr>
      </w:pPr>
      <w:r>
        <w:rPr>
          <w:spacing w:val="-3"/>
          <w:sz w:val="21"/>
        </w:rPr>
        <w:t>模块的设置</w:t>
      </w:r>
      <w:r>
        <w:rPr>
          <w:b/>
          <w:w w:val="99"/>
          <w:sz w:val="21"/>
        </w:rPr>
        <w:t xml:space="preserve"> </w:t>
      </w:r>
    </w:p>
    <w:p w14:paraId="0AE16FA6" w14:textId="77777777" w:rsidR="00A71EEF" w:rsidRDefault="00A71EEF">
      <w:pPr>
        <w:pStyle w:val="a3"/>
        <w:spacing w:before="2"/>
        <w:rPr>
          <w:b/>
          <w:sz w:val="18"/>
        </w:rPr>
      </w:pPr>
    </w:p>
    <w:p w14:paraId="0584E8E2" w14:textId="77777777" w:rsidR="00A71EEF" w:rsidRDefault="0081115D">
      <w:pPr>
        <w:pStyle w:val="a4"/>
        <w:numPr>
          <w:ilvl w:val="2"/>
          <w:numId w:val="344"/>
        </w:numPr>
        <w:tabs>
          <w:tab w:val="left" w:pos="1371"/>
        </w:tabs>
        <w:ind w:left="1370" w:hanging="531"/>
        <w:rPr>
          <w:sz w:val="21"/>
        </w:rPr>
      </w:pPr>
      <w:r>
        <w:rPr>
          <w:spacing w:val="-3"/>
          <w:sz w:val="21"/>
        </w:rPr>
        <w:t>每个报警区域内的模块宜相对集中设置在本报警区域内的金属模块箱中。</w:t>
      </w:r>
      <w:r>
        <w:rPr>
          <w:spacing w:val="-3"/>
          <w:sz w:val="21"/>
        </w:rPr>
        <w:t xml:space="preserve"> </w:t>
      </w:r>
      <w:r>
        <w:rPr>
          <w:spacing w:val="-9"/>
          <w:sz w:val="21"/>
        </w:rPr>
        <w:t xml:space="preserve"> </w:t>
      </w:r>
      <w:r>
        <w:rPr>
          <w:sz w:val="21"/>
        </w:rPr>
        <w:t xml:space="preserve">  </w:t>
      </w:r>
    </w:p>
    <w:p w14:paraId="56E6D4B5" w14:textId="77777777" w:rsidR="00A71EEF" w:rsidRDefault="00A71EEF">
      <w:pPr>
        <w:pStyle w:val="a3"/>
        <w:rPr>
          <w:sz w:val="18"/>
        </w:rPr>
      </w:pPr>
    </w:p>
    <w:p w14:paraId="707AFCD7" w14:textId="77777777" w:rsidR="00A71EEF" w:rsidRDefault="0081115D">
      <w:pPr>
        <w:pStyle w:val="a4"/>
        <w:numPr>
          <w:ilvl w:val="2"/>
          <w:numId w:val="344"/>
        </w:numPr>
        <w:tabs>
          <w:tab w:val="left" w:pos="1370"/>
          <w:tab w:val="left" w:pos="5878"/>
        </w:tabs>
        <w:ind w:hanging="530"/>
        <w:rPr>
          <w:sz w:val="21"/>
        </w:rPr>
      </w:pPr>
      <w:r>
        <w:rPr>
          <w:spacing w:val="-3"/>
          <w:sz w:val="21"/>
        </w:rPr>
        <w:t>模</w:t>
      </w:r>
      <w:r>
        <w:rPr>
          <w:sz w:val="21"/>
        </w:rPr>
        <w:t>块</w:t>
      </w:r>
      <w:r>
        <w:rPr>
          <w:spacing w:val="-3"/>
          <w:sz w:val="21"/>
        </w:rPr>
        <w:t>严</w:t>
      </w:r>
      <w:r>
        <w:rPr>
          <w:sz w:val="21"/>
        </w:rPr>
        <w:t>禁</w:t>
      </w:r>
      <w:r>
        <w:rPr>
          <w:spacing w:val="-3"/>
          <w:sz w:val="21"/>
        </w:rPr>
        <w:t>设</w:t>
      </w:r>
      <w:r>
        <w:rPr>
          <w:sz w:val="21"/>
        </w:rPr>
        <w:t>置</w:t>
      </w:r>
      <w:r>
        <w:rPr>
          <w:spacing w:val="-3"/>
          <w:sz w:val="21"/>
        </w:rPr>
        <w:t>在配</w:t>
      </w:r>
      <w:r>
        <w:rPr>
          <w:sz w:val="21"/>
        </w:rPr>
        <w:t>电（</w:t>
      </w:r>
      <w:r>
        <w:rPr>
          <w:spacing w:val="-3"/>
          <w:sz w:val="21"/>
        </w:rPr>
        <w:t>控</w:t>
      </w:r>
      <w:r>
        <w:rPr>
          <w:sz w:val="21"/>
        </w:rPr>
        <w:t>制</w:t>
      </w:r>
      <w:r>
        <w:rPr>
          <w:spacing w:val="-3"/>
          <w:sz w:val="21"/>
        </w:rPr>
        <w:t>）</w:t>
      </w:r>
      <w:r>
        <w:rPr>
          <w:sz w:val="21"/>
        </w:rPr>
        <w:t>柜</w:t>
      </w:r>
      <w:r>
        <w:rPr>
          <w:spacing w:val="-3"/>
          <w:sz w:val="21"/>
        </w:rPr>
        <w:t>（</w:t>
      </w:r>
      <w:r>
        <w:rPr>
          <w:sz w:val="21"/>
        </w:rPr>
        <w:t>箱</w:t>
      </w:r>
      <w:r>
        <w:rPr>
          <w:spacing w:val="-3"/>
          <w:sz w:val="21"/>
        </w:rPr>
        <w:t>）</w:t>
      </w:r>
      <w:r>
        <w:rPr>
          <w:sz w:val="21"/>
        </w:rPr>
        <w:t>内</w:t>
      </w:r>
      <w:r>
        <w:rPr>
          <w:spacing w:val="-3"/>
          <w:sz w:val="21"/>
        </w:rPr>
        <w:t>。</w:t>
      </w:r>
      <w:r>
        <w:rPr>
          <w:sz w:val="21"/>
        </w:rPr>
        <w:t xml:space="preserve"> </w:t>
      </w:r>
      <w:r>
        <w:rPr>
          <w:sz w:val="21"/>
        </w:rPr>
        <w:tab/>
      </w:r>
      <w:r>
        <w:rPr>
          <w:sz w:val="21"/>
        </w:rPr>
        <w:t xml:space="preserve">  </w:t>
      </w:r>
    </w:p>
    <w:p w14:paraId="3942C32F" w14:textId="77777777" w:rsidR="00A71EEF" w:rsidRDefault="00A71EEF">
      <w:pPr>
        <w:pStyle w:val="a3"/>
        <w:spacing w:before="12"/>
        <w:rPr>
          <w:sz w:val="17"/>
        </w:rPr>
      </w:pPr>
    </w:p>
    <w:p w14:paraId="5146BE4F" w14:textId="77777777" w:rsidR="00A71EEF" w:rsidRDefault="0081115D">
      <w:pPr>
        <w:pStyle w:val="a4"/>
        <w:numPr>
          <w:ilvl w:val="2"/>
          <w:numId w:val="344"/>
        </w:numPr>
        <w:tabs>
          <w:tab w:val="left" w:pos="1370"/>
          <w:tab w:val="left" w:pos="6718"/>
        </w:tabs>
        <w:ind w:hanging="530"/>
        <w:rPr>
          <w:sz w:val="21"/>
        </w:rPr>
      </w:pPr>
      <w:r>
        <w:rPr>
          <w:spacing w:val="-3"/>
          <w:sz w:val="21"/>
        </w:rPr>
        <w:t>本</w:t>
      </w:r>
      <w:r>
        <w:rPr>
          <w:sz w:val="21"/>
        </w:rPr>
        <w:t>报</w:t>
      </w:r>
      <w:r>
        <w:rPr>
          <w:spacing w:val="-3"/>
          <w:sz w:val="21"/>
        </w:rPr>
        <w:t>警</w:t>
      </w:r>
      <w:r>
        <w:rPr>
          <w:sz w:val="21"/>
        </w:rPr>
        <w:t>区</w:t>
      </w:r>
      <w:r>
        <w:rPr>
          <w:spacing w:val="-3"/>
          <w:sz w:val="21"/>
        </w:rPr>
        <w:t>域</w:t>
      </w:r>
      <w:r>
        <w:rPr>
          <w:sz w:val="21"/>
        </w:rPr>
        <w:t>内</w:t>
      </w:r>
      <w:r>
        <w:rPr>
          <w:spacing w:val="-3"/>
          <w:sz w:val="21"/>
        </w:rPr>
        <w:t>的模</w:t>
      </w:r>
      <w:r>
        <w:rPr>
          <w:sz w:val="21"/>
        </w:rPr>
        <w:t>块不</w:t>
      </w:r>
      <w:r>
        <w:rPr>
          <w:spacing w:val="-3"/>
          <w:sz w:val="21"/>
        </w:rPr>
        <w:t>应</w:t>
      </w:r>
      <w:r>
        <w:rPr>
          <w:sz w:val="21"/>
        </w:rPr>
        <w:t>控</w:t>
      </w:r>
      <w:r>
        <w:rPr>
          <w:spacing w:val="-3"/>
          <w:sz w:val="21"/>
        </w:rPr>
        <w:t>制</w:t>
      </w:r>
      <w:r>
        <w:rPr>
          <w:sz w:val="21"/>
        </w:rPr>
        <w:t>其</w:t>
      </w:r>
      <w:r>
        <w:rPr>
          <w:spacing w:val="-3"/>
          <w:sz w:val="21"/>
        </w:rPr>
        <w:t>他</w:t>
      </w:r>
      <w:r>
        <w:rPr>
          <w:sz w:val="21"/>
        </w:rPr>
        <w:t>报</w:t>
      </w:r>
      <w:r>
        <w:rPr>
          <w:spacing w:val="-3"/>
          <w:sz w:val="21"/>
        </w:rPr>
        <w:t>警</w:t>
      </w:r>
      <w:r>
        <w:rPr>
          <w:sz w:val="21"/>
        </w:rPr>
        <w:t>区</w:t>
      </w:r>
      <w:r>
        <w:rPr>
          <w:spacing w:val="-3"/>
          <w:sz w:val="21"/>
        </w:rPr>
        <w:t>域</w:t>
      </w:r>
      <w:r>
        <w:rPr>
          <w:sz w:val="21"/>
        </w:rPr>
        <w:t>的设</w:t>
      </w:r>
      <w:r>
        <w:rPr>
          <w:spacing w:val="-3"/>
          <w:sz w:val="21"/>
        </w:rPr>
        <w:t>备。</w:t>
      </w:r>
      <w:r>
        <w:rPr>
          <w:sz w:val="21"/>
        </w:rPr>
        <w:t xml:space="preserve"> </w:t>
      </w:r>
      <w:r>
        <w:rPr>
          <w:sz w:val="21"/>
        </w:rPr>
        <w:tab/>
      </w:r>
      <w:r>
        <w:rPr>
          <w:sz w:val="21"/>
        </w:rPr>
        <w:t xml:space="preserve">  </w:t>
      </w:r>
    </w:p>
    <w:p w14:paraId="21FFCD8B" w14:textId="77777777" w:rsidR="00A71EEF" w:rsidRDefault="00A71EEF">
      <w:pPr>
        <w:pStyle w:val="a3"/>
        <w:spacing w:before="2"/>
        <w:rPr>
          <w:sz w:val="18"/>
        </w:rPr>
      </w:pPr>
    </w:p>
    <w:p w14:paraId="6D7D1619" w14:textId="77777777" w:rsidR="00A71EEF" w:rsidRDefault="0081115D">
      <w:pPr>
        <w:pStyle w:val="a4"/>
        <w:numPr>
          <w:ilvl w:val="2"/>
          <w:numId w:val="344"/>
        </w:numPr>
        <w:tabs>
          <w:tab w:val="left" w:pos="1370"/>
        </w:tabs>
        <w:ind w:hanging="530"/>
        <w:rPr>
          <w:sz w:val="21"/>
        </w:rPr>
      </w:pPr>
      <w:r>
        <w:rPr>
          <w:spacing w:val="-3"/>
          <w:sz w:val="21"/>
        </w:rPr>
        <w:t>未集中设置的模块附近应有尺寸不小于</w:t>
      </w:r>
      <w:r>
        <w:rPr>
          <w:spacing w:val="-3"/>
          <w:sz w:val="21"/>
        </w:rPr>
        <w:t xml:space="preserve"> </w:t>
      </w:r>
      <w:r>
        <w:rPr>
          <w:sz w:val="21"/>
        </w:rPr>
        <w:t>100mm×100mm</w:t>
      </w:r>
      <w:r>
        <w:rPr>
          <w:spacing w:val="-3"/>
          <w:sz w:val="21"/>
        </w:rPr>
        <w:t xml:space="preserve"> </w:t>
      </w:r>
      <w:r>
        <w:rPr>
          <w:spacing w:val="-3"/>
          <w:sz w:val="21"/>
        </w:rPr>
        <w:t>的标识。</w:t>
      </w:r>
      <w:r>
        <w:rPr>
          <w:sz w:val="21"/>
        </w:rPr>
        <w:t xml:space="preserve"> </w:t>
      </w:r>
      <w:r>
        <w:rPr>
          <w:spacing w:val="-7"/>
          <w:sz w:val="21"/>
        </w:rPr>
        <w:t xml:space="preserve"> </w:t>
      </w:r>
      <w:r>
        <w:rPr>
          <w:sz w:val="21"/>
        </w:rPr>
        <w:t xml:space="preserve">  </w:t>
      </w:r>
    </w:p>
    <w:p w14:paraId="72C5BDA8" w14:textId="77777777" w:rsidR="00A71EEF" w:rsidRDefault="00A71EEF">
      <w:pPr>
        <w:pStyle w:val="a3"/>
        <w:rPr>
          <w:sz w:val="18"/>
        </w:rPr>
      </w:pPr>
    </w:p>
    <w:p w14:paraId="2709CA8C" w14:textId="77777777" w:rsidR="00A71EEF" w:rsidRDefault="0081115D">
      <w:pPr>
        <w:pStyle w:val="a4"/>
        <w:numPr>
          <w:ilvl w:val="1"/>
          <w:numId w:val="344"/>
        </w:numPr>
        <w:tabs>
          <w:tab w:val="left" w:pos="1159"/>
        </w:tabs>
        <w:ind w:hanging="319"/>
        <w:rPr>
          <w:sz w:val="21"/>
        </w:rPr>
      </w:pPr>
      <w:r>
        <w:rPr>
          <w:spacing w:val="-3"/>
          <w:sz w:val="21"/>
        </w:rPr>
        <w:t>消防控制室图形显示装置的设置</w:t>
      </w:r>
      <w:r>
        <w:rPr>
          <w:sz w:val="21"/>
        </w:rPr>
        <w:t xml:space="preserve"> </w:t>
      </w:r>
    </w:p>
    <w:p w14:paraId="3DAC21B8" w14:textId="77777777" w:rsidR="00A71EEF" w:rsidRDefault="00A71EEF">
      <w:pPr>
        <w:pStyle w:val="a3"/>
        <w:spacing w:before="12"/>
        <w:rPr>
          <w:sz w:val="17"/>
        </w:rPr>
      </w:pPr>
    </w:p>
    <w:p w14:paraId="0F9666EA" w14:textId="77777777" w:rsidR="00A71EEF" w:rsidRDefault="0081115D">
      <w:pPr>
        <w:pStyle w:val="a4"/>
        <w:numPr>
          <w:ilvl w:val="2"/>
          <w:numId w:val="344"/>
        </w:numPr>
        <w:tabs>
          <w:tab w:val="left" w:pos="1371"/>
        </w:tabs>
        <w:spacing w:line="446" w:lineRule="auto"/>
        <w:ind w:left="418" w:right="1431" w:firstLine="422"/>
        <w:rPr>
          <w:sz w:val="21"/>
        </w:rPr>
      </w:pPr>
      <w:r>
        <w:rPr>
          <w:spacing w:val="-5"/>
          <w:sz w:val="21"/>
        </w:rPr>
        <w:t>消防控制室图形显示装置应设置在消防控制室内，并应符合火灾报警控制器的安装设置要求。</w:t>
      </w:r>
      <w:r>
        <w:rPr>
          <w:sz w:val="21"/>
        </w:rPr>
        <w:t xml:space="preserve"> </w:t>
      </w:r>
    </w:p>
    <w:p w14:paraId="17F6D509" w14:textId="77777777" w:rsidR="00A71EEF" w:rsidRDefault="0081115D">
      <w:pPr>
        <w:pStyle w:val="a4"/>
        <w:numPr>
          <w:ilvl w:val="2"/>
          <w:numId w:val="344"/>
        </w:numPr>
        <w:tabs>
          <w:tab w:val="left" w:pos="1370"/>
          <w:tab w:val="left" w:pos="6298"/>
        </w:tabs>
        <w:spacing w:before="1" w:line="446" w:lineRule="auto"/>
        <w:ind w:left="418" w:right="1433" w:firstLine="422"/>
        <w:rPr>
          <w:sz w:val="21"/>
        </w:rPr>
      </w:pPr>
      <w:r>
        <w:rPr>
          <w:spacing w:val="-3"/>
          <w:sz w:val="21"/>
        </w:rPr>
        <w:t>消</w:t>
      </w:r>
      <w:r>
        <w:rPr>
          <w:sz w:val="21"/>
        </w:rPr>
        <w:t>防</w:t>
      </w:r>
      <w:r>
        <w:rPr>
          <w:spacing w:val="-3"/>
          <w:sz w:val="21"/>
        </w:rPr>
        <w:t>控</w:t>
      </w:r>
      <w:r>
        <w:rPr>
          <w:sz w:val="21"/>
        </w:rPr>
        <w:t>制</w:t>
      </w:r>
      <w:r>
        <w:rPr>
          <w:spacing w:val="-3"/>
          <w:sz w:val="21"/>
        </w:rPr>
        <w:t>室</w:t>
      </w:r>
      <w:r>
        <w:rPr>
          <w:sz w:val="21"/>
        </w:rPr>
        <w:t>图</w:t>
      </w:r>
      <w:r>
        <w:rPr>
          <w:spacing w:val="-3"/>
          <w:sz w:val="21"/>
        </w:rPr>
        <w:t>形显</w:t>
      </w:r>
      <w:r>
        <w:rPr>
          <w:sz w:val="21"/>
        </w:rPr>
        <w:t>示装</w:t>
      </w:r>
      <w:r>
        <w:rPr>
          <w:spacing w:val="-3"/>
          <w:sz w:val="21"/>
        </w:rPr>
        <w:t>置</w:t>
      </w:r>
      <w:r>
        <w:rPr>
          <w:sz w:val="21"/>
        </w:rPr>
        <w:t>与</w:t>
      </w:r>
      <w:r>
        <w:rPr>
          <w:spacing w:val="-3"/>
          <w:sz w:val="21"/>
        </w:rPr>
        <w:t>火</w:t>
      </w:r>
      <w:r>
        <w:rPr>
          <w:sz w:val="21"/>
        </w:rPr>
        <w:t>灾</w:t>
      </w:r>
      <w:r>
        <w:rPr>
          <w:spacing w:val="-3"/>
          <w:sz w:val="21"/>
        </w:rPr>
        <w:t>报</w:t>
      </w:r>
      <w:r>
        <w:rPr>
          <w:sz w:val="21"/>
        </w:rPr>
        <w:t>警</w:t>
      </w:r>
      <w:r>
        <w:rPr>
          <w:spacing w:val="-3"/>
          <w:sz w:val="21"/>
        </w:rPr>
        <w:t>控</w:t>
      </w:r>
      <w:r>
        <w:rPr>
          <w:sz w:val="21"/>
        </w:rPr>
        <w:t>制</w:t>
      </w:r>
      <w:r>
        <w:rPr>
          <w:spacing w:val="-3"/>
          <w:sz w:val="21"/>
        </w:rPr>
        <w:t>器</w:t>
      </w:r>
      <w:r>
        <w:rPr>
          <w:spacing w:val="-13"/>
          <w:sz w:val="21"/>
        </w:rPr>
        <w:t>、</w:t>
      </w:r>
      <w:r>
        <w:rPr>
          <w:spacing w:val="-3"/>
          <w:sz w:val="21"/>
        </w:rPr>
        <w:t>消</w:t>
      </w:r>
      <w:r>
        <w:rPr>
          <w:sz w:val="21"/>
        </w:rPr>
        <w:t>防</w:t>
      </w:r>
      <w:r>
        <w:rPr>
          <w:spacing w:val="-3"/>
          <w:sz w:val="21"/>
        </w:rPr>
        <w:t>联</w:t>
      </w:r>
      <w:r>
        <w:rPr>
          <w:sz w:val="21"/>
        </w:rPr>
        <w:t>动</w:t>
      </w:r>
      <w:r>
        <w:rPr>
          <w:spacing w:val="-3"/>
          <w:sz w:val="21"/>
        </w:rPr>
        <w:t>控</w:t>
      </w:r>
      <w:r>
        <w:rPr>
          <w:sz w:val="21"/>
        </w:rPr>
        <w:t>制</w:t>
      </w:r>
      <w:r>
        <w:rPr>
          <w:spacing w:val="-3"/>
          <w:sz w:val="21"/>
        </w:rPr>
        <w:t>器</w:t>
      </w:r>
      <w:r>
        <w:rPr>
          <w:spacing w:val="-13"/>
          <w:sz w:val="21"/>
        </w:rPr>
        <w:t>、</w:t>
      </w:r>
      <w:r>
        <w:rPr>
          <w:spacing w:val="-3"/>
          <w:sz w:val="21"/>
        </w:rPr>
        <w:t>电气</w:t>
      </w:r>
      <w:r>
        <w:rPr>
          <w:sz w:val="21"/>
        </w:rPr>
        <w:t>火灾</w:t>
      </w:r>
      <w:r>
        <w:rPr>
          <w:spacing w:val="-3"/>
          <w:sz w:val="21"/>
        </w:rPr>
        <w:t>监</w:t>
      </w:r>
      <w:r>
        <w:rPr>
          <w:sz w:val="21"/>
        </w:rPr>
        <w:t>控</w:t>
      </w:r>
      <w:r>
        <w:rPr>
          <w:spacing w:val="-3"/>
          <w:sz w:val="21"/>
        </w:rPr>
        <w:t>器</w:t>
      </w:r>
      <w:r>
        <w:rPr>
          <w:spacing w:val="-15"/>
          <w:sz w:val="21"/>
        </w:rPr>
        <w:t>、</w:t>
      </w:r>
      <w:r>
        <w:rPr>
          <w:sz w:val="21"/>
        </w:rPr>
        <w:t>可燃气</w:t>
      </w:r>
      <w:r>
        <w:rPr>
          <w:spacing w:val="-3"/>
          <w:sz w:val="21"/>
        </w:rPr>
        <w:t>体</w:t>
      </w:r>
      <w:r>
        <w:rPr>
          <w:sz w:val="21"/>
        </w:rPr>
        <w:t>报</w:t>
      </w:r>
      <w:r>
        <w:rPr>
          <w:spacing w:val="27"/>
          <w:sz w:val="21"/>
        </w:rPr>
        <w:t xml:space="preserve"> </w:t>
      </w:r>
      <w:r>
        <w:rPr>
          <w:sz w:val="21"/>
        </w:rPr>
        <w:t>警</w:t>
      </w:r>
      <w:r>
        <w:rPr>
          <w:spacing w:val="-3"/>
          <w:sz w:val="21"/>
        </w:rPr>
        <w:t>控</w:t>
      </w:r>
      <w:r>
        <w:rPr>
          <w:sz w:val="21"/>
        </w:rPr>
        <w:t>制</w:t>
      </w:r>
      <w:r>
        <w:rPr>
          <w:spacing w:val="-3"/>
          <w:sz w:val="21"/>
        </w:rPr>
        <w:t>器</w:t>
      </w:r>
      <w:r>
        <w:rPr>
          <w:sz w:val="21"/>
        </w:rPr>
        <w:t>等</w:t>
      </w:r>
      <w:r>
        <w:rPr>
          <w:spacing w:val="-3"/>
          <w:sz w:val="21"/>
        </w:rPr>
        <w:t>消防</w:t>
      </w:r>
      <w:r>
        <w:rPr>
          <w:sz w:val="21"/>
        </w:rPr>
        <w:t>设备</w:t>
      </w:r>
      <w:r>
        <w:rPr>
          <w:spacing w:val="-3"/>
          <w:sz w:val="21"/>
        </w:rPr>
        <w:t>之</w:t>
      </w:r>
      <w:r>
        <w:rPr>
          <w:sz w:val="21"/>
        </w:rPr>
        <w:t>间</w:t>
      </w:r>
      <w:r>
        <w:rPr>
          <w:spacing w:val="-3"/>
          <w:sz w:val="21"/>
        </w:rPr>
        <w:t>，</w:t>
      </w:r>
      <w:r>
        <w:rPr>
          <w:sz w:val="21"/>
        </w:rPr>
        <w:t>应</w:t>
      </w:r>
      <w:r>
        <w:rPr>
          <w:spacing w:val="-3"/>
          <w:sz w:val="21"/>
        </w:rPr>
        <w:t>采</w:t>
      </w:r>
      <w:r>
        <w:rPr>
          <w:sz w:val="21"/>
        </w:rPr>
        <w:t>用</w:t>
      </w:r>
      <w:r>
        <w:rPr>
          <w:spacing w:val="-3"/>
          <w:sz w:val="21"/>
        </w:rPr>
        <w:t>专</w:t>
      </w:r>
      <w:r>
        <w:rPr>
          <w:sz w:val="21"/>
        </w:rPr>
        <w:t>用</w:t>
      </w:r>
      <w:r>
        <w:rPr>
          <w:spacing w:val="-3"/>
          <w:sz w:val="21"/>
        </w:rPr>
        <w:t>线</w:t>
      </w:r>
      <w:r>
        <w:rPr>
          <w:sz w:val="21"/>
        </w:rPr>
        <w:t>路连</w:t>
      </w:r>
      <w:r>
        <w:rPr>
          <w:spacing w:val="-3"/>
          <w:sz w:val="21"/>
        </w:rPr>
        <w:t>接。</w:t>
      </w:r>
      <w:r>
        <w:rPr>
          <w:sz w:val="21"/>
        </w:rPr>
        <w:t xml:space="preserve"> </w:t>
      </w:r>
      <w:r>
        <w:rPr>
          <w:sz w:val="21"/>
        </w:rPr>
        <w:tab/>
      </w:r>
      <w:r>
        <w:rPr>
          <w:sz w:val="21"/>
        </w:rPr>
        <w:t xml:space="preserve">  </w:t>
      </w:r>
    </w:p>
    <w:p w14:paraId="73576C52" w14:textId="77777777" w:rsidR="00A71EEF" w:rsidRDefault="0081115D">
      <w:pPr>
        <w:pStyle w:val="a4"/>
        <w:numPr>
          <w:ilvl w:val="1"/>
          <w:numId w:val="344"/>
        </w:numPr>
        <w:tabs>
          <w:tab w:val="left" w:pos="1264"/>
        </w:tabs>
        <w:ind w:left="1263" w:hanging="424"/>
        <w:rPr>
          <w:sz w:val="21"/>
        </w:rPr>
      </w:pPr>
      <w:r>
        <w:rPr>
          <w:spacing w:val="-3"/>
          <w:sz w:val="21"/>
        </w:rPr>
        <w:t>火灾报警传输设备或用户信息传输装置的设置</w:t>
      </w:r>
      <w:r>
        <w:rPr>
          <w:sz w:val="21"/>
        </w:rPr>
        <w:t xml:space="preserve"> </w:t>
      </w:r>
    </w:p>
    <w:p w14:paraId="7BE36C83" w14:textId="77777777" w:rsidR="00A71EEF" w:rsidRDefault="00A71EEF">
      <w:pPr>
        <w:pStyle w:val="a3"/>
        <w:spacing w:before="12"/>
        <w:rPr>
          <w:sz w:val="17"/>
        </w:rPr>
      </w:pPr>
    </w:p>
    <w:p w14:paraId="5EC6DEFD" w14:textId="77777777" w:rsidR="00A71EEF" w:rsidRDefault="0081115D">
      <w:pPr>
        <w:pStyle w:val="a4"/>
        <w:numPr>
          <w:ilvl w:val="2"/>
          <w:numId w:val="344"/>
        </w:numPr>
        <w:tabs>
          <w:tab w:val="left" w:pos="1478"/>
          <w:tab w:val="left" w:pos="5458"/>
        </w:tabs>
        <w:spacing w:line="446" w:lineRule="auto"/>
        <w:ind w:left="418" w:right="1434" w:firstLine="422"/>
        <w:rPr>
          <w:sz w:val="21"/>
        </w:rPr>
      </w:pPr>
      <w:r>
        <w:rPr>
          <w:sz w:val="21"/>
        </w:rPr>
        <w:t>火灾</w:t>
      </w:r>
      <w:r>
        <w:rPr>
          <w:spacing w:val="-3"/>
          <w:sz w:val="21"/>
        </w:rPr>
        <w:t>报</w:t>
      </w:r>
      <w:r>
        <w:rPr>
          <w:sz w:val="21"/>
        </w:rPr>
        <w:t>警传</w:t>
      </w:r>
      <w:r>
        <w:rPr>
          <w:spacing w:val="-3"/>
          <w:sz w:val="21"/>
        </w:rPr>
        <w:t>输设</w:t>
      </w:r>
      <w:r>
        <w:rPr>
          <w:sz w:val="21"/>
        </w:rPr>
        <w:t>备或用</w:t>
      </w:r>
      <w:r>
        <w:rPr>
          <w:spacing w:val="-3"/>
          <w:sz w:val="21"/>
        </w:rPr>
        <w:t>户</w:t>
      </w:r>
      <w:r>
        <w:rPr>
          <w:sz w:val="21"/>
        </w:rPr>
        <w:t>信息</w:t>
      </w:r>
      <w:r>
        <w:rPr>
          <w:spacing w:val="-3"/>
          <w:sz w:val="21"/>
        </w:rPr>
        <w:t>传</w:t>
      </w:r>
      <w:r>
        <w:rPr>
          <w:sz w:val="21"/>
        </w:rPr>
        <w:t>输装</w:t>
      </w:r>
      <w:r>
        <w:rPr>
          <w:spacing w:val="-3"/>
          <w:sz w:val="21"/>
        </w:rPr>
        <w:t>置，</w:t>
      </w:r>
      <w:r>
        <w:rPr>
          <w:sz w:val="21"/>
        </w:rPr>
        <w:t>应设置</w:t>
      </w:r>
      <w:r>
        <w:rPr>
          <w:spacing w:val="-3"/>
          <w:sz w:val="21"/>
        </w:rPr>
        <w:t>在</w:t>
      </w:r>
      <w:r>
        <w:rPr>
          <w:sz w:val="21"/>
        </w:rPr>
        <w:t>消防</w:t>
      </w:r>
      <w:r>
        <w:rPr>
          <w:spacing w:val="-3"/>
          <w:sz w:val="21"/>
        </w:rPr>
        <w:t>控</w:t>
      </w:r>
      <w:r>
        <w:rPr>
          <w:sz w:val="21"/>
        </w:rPr>
        <w:t>制室</w:t>
      </w:r>
      <w:r>
        <w:rPr>
          <w:spacing w:val="-3"/>
          <w:sz w:val="21"/>
        </w:rPr>
        <w:t>内；</w:t>
      </w:r>
      <w:r>
        <w:rPr>
          <w:sz w:val="21"/>
        </w:rPr>
        <w:t>未设置</w:t>
      </w:r>
      <w:r>
        <w:rPr>
          <w:spacing w:val="-3"/>
          <w:sz w:val="21"/>
        </w:rPr>
        <w:t>消</w:t>
      </w:r>
      <w:r>
        <w:rPr>
          <w:sz w:val="21"/>
        </w:rPr>
        <w:t>防控制</w:t>
      </w:r>
      <w:r>
        <w:rPr>
          <w:sz w:val="21"/>
        </w:rPr>
        <w:t xml:space="preserve"> </w:t>
      </w:r>
      <w:r>
        <w:rPr>
          <w:sz w:val="21"/>
        </w:rPr>
        <w:t>室时</w:t>
      </w:r>
      <w:r>
        <w:rPr>
          <w:spacing w:val="-3"/>
          <w:sz w:val="21"/>
        </w:rPr>
        <w:t>，</w:t>
      </w:r>
      <w:r>
        <w:rPr>
          <w:sz w:val="21"/>
        </w:rPr>
        <w:t>应</w:t>
      </w:r>
      <w:r>
        <w:rPr>
          <w:spacing w:val="22"/>
          <w:sz w:val="21"/>
        </w:rPr>
        <w:t xml:space="preserve"> </w:t>
      </w:r>
      <w:r>
        <w:rPr>
          <w:sz w:val="21"/>
        </w:rPr>
        <w:t>设</w:t>
      </w:r>
      <w:r>
        <w:rPr>
          <w:spacing w:val="-3"/>
          <w:sz w:val="21"/>
        </w:rPr>
        <w:t>置</w:t>
      </w:r>
      <w:r>
        <w:rPr>
          <w:sz w:val="21"/>
        </w:rPr>
        <w:t>在</w:t>
      </w:r>
      <w:r>
        <w:rPr>
          <w:spacing w:val="-3"/>
          <w:sz w:val="21"/>
        </w:rPr>
        <w:t>火</w:t>
      </w:r>
      <w:r>
        <w:rPr>
          <w:sz w:val="21"/>
        </w:rPr>
        <w:t>灾</w:t>
      </w:r>
      <w:r>
        <w:rPr>
          <w:spacing w:val="-3"/>
          <w:sz w:val="21"/>
        </w:rPr>
        <w:t>报警</w:t>
      </w:r>
      <w:r>
        <w:rPr>
          <w:sz w:val="21"/>
        </w:rPr>
        <w:t>控制</w:t>
      </w:r>
      <w:r>
        <w:rPr>
          <w:spacing w:val="-3"/>
          <w:sz w:val="21"/>
        </w:rPr>
        <w:t>器</w:t>
      </w:r>
      <w:r>
        <w:rPr>
          <w:sz w:val="21"/>
        </w:rPr>
        <w:t>附</w:t>
      </w:r>
      <w:r>
        <w:rPr>
          <w:spacing w:val="-3"/>
          <w:sz w:val="21"/>
        </w:rPr>
        <w:t>近</w:t>
      </w:r>
      <w:r>
        <w:rPr>
          <w:sz w:val="21"/>
        </w:rPr>
        <w:t>的</w:t>
      </w:r>
      <w:r>
        <w:rPr>
          <w:spacing w:val="-3"/>
          <w:sz w:val="21"/>
        </w:rPr>
        <w:t>明</w:t>
      </w:r>
      <w:r>
        <w:rPr>
          <w:sz w:val="21"/>
        </w:rPr>
        <w:t>显</w:t>
      </w:r>
      <w:r>
        <w:rPr>
          <w:spacing w:val="-3"/>
          <w:sz w:val="21"/>
        </w:rPr>
        <w:t>部</w:t>
      </w:r>
      <w:r>
        <w:rPr>
          <w:sz w:val="21"/>
        </w:rPr>
        <w:t>位</w:t>
      </w:r>
      <w:r>
        <w:rPr>
          <w:spacing w:val="-3"/>
          <w:sz w:val="21"/>
        </w:rPr>
        <w:t>。</w:t>
      </w:r>
      <w:r>
        <w:rPr>
          <w:sz w:val="21"/>
        </w:rPr>
        <w:t xml:space="preserve"> </w:t>
      </w:r>
      <w:r>
        <w:rPr>
          <w:sz w:val="21"/>
        </w:rPr>
        <w:tab/>
      </w:r>
      <w:r>
        <w:rPr>
          <w:sz w:val="21"/>
        </w:rPr>
        <w:t xml:space="preserve">  </w:t>
      </w:r>
    </w:p>
    <w:p w14:paraId="0E65846D" w14:textId="77777777" w:rsidR="00A71EEF" w:rsidRDefault="0081115D">
      <w:pPr>
        <w:pStyle w:val="a4"/>
        <w:numPr>
          <w:ilvl w:val="2"/>
          <w:numId w:val="344"/>
        </w:numPr>
        <w:tabs>
          <w:tab w:val="left" w:pos="1478"/>
        </w:tabs>
        <w:spacing w:line="446" w:lineRule="auto"/>
        <w:ind w:left="418" w:right="1434" w:firstLine="422"/>
        <w:rPr>
          <w:sz w:val="21"/>
        </w:rPr>
      </w:pPr>
      <w:r>
        <w:rPr>
          <w:spacing w:val="-3"/>
          <w:sz w:val="21"/>
        </w:rPr>
        <w:t>火灾报警传输设备或用户信息传输装置与火灾报警控制器、消防联动控制器等设备</w:t>
      </w:r>
      <w:r>
        <w:rPr>
          <w:spacing w:val="-3"/>
          <w:sz w:val="21"/>
        </w:rPr>
        <w:t xml:space="preserve"> </w:t>
      </w:r>
      <w:r>
        <w:rPr>
          <w:spacing w:val="-3"/>
          <w:sz w:val="21"/>
        </w:rPr>
        <w:t>之间，应采用专用线路连接。</w:t>
      </w:r>
      <w:r>
        <w:rPr>
          <w:sz w:val="21"/>
        </w:rPr>
        <w:t xml:space="preserve"> </w:t>
      </w:r>
      <w:r>
        <w:rPr>
          <w:spacing w:val="-2"/>
          <w:sz w:val="21"/>
        </w:rPr>
        <w:t xml:space="preserve"> </w:t>
      </w:r>
      <w:r>
        <w:rPr>
          <w:sz w:val="21"/>
        </w:rPr>
        <w:t xml:space="preserve">  </w:t>
      </w:r>
    </w:p>
    <w:p w14:paraId="67960E61" w14:textId="77777777" w:rsidR="00A71EEF" w:rsidRDefault="0081115D">
      <w:pPr>
        <w:pStyle w:val="a4"/>
        <w:numPr>
          <w:ilvl w:val="2"/>
          <w:numId w:val="344"/>
        </w:numPr>
        <w:tabs>
          <w:tab w:val="left" w:pos="1478"/>
        </w:tabs>
        <w:spacing w:line="267" w:lineRule="exact"/>
        <w:ind w:left="1477" w:hanging="638"/>
        <w:rPr>
          <w:sz w:val="21"/>
        </w:rPr>
      </w:pPr>
      <w:r>
        <w:rPr>
          <w:spacing w:val="-3"/>
          <w:sz w:val="21"/>
        </w:rPr>
        <w:t>火灾报警传输设备或用户信息传输装置的设置，应保证有足够的操作和检修间距。</w:t>
      </w:r>
      <w:r>
        <w:rPr>
          <w:sz w:val="21"/>
        </w:rPr>
        <w:t xml:space="preserve"> </w:t>
      </w:r>
    </w:p>
    <w:p w14:paraId="02B295B4" w14:textId="77777777" w:rsidR="00A71EEF" w:rsidRDefault="00A71EEF">
      <w:pPr>
        <w:pStyle w:val="a3"/>
        <w:spacing w:before="1"/>
        <w:rPr>
          <w:sz w:val="18"/>
        </w:rPr>
      </w:pPr>
    </w:p>
    <w:p w14:paraId="1825D48A" w14:textId="77777777" w:rsidR="00A71EEF" w:rsidRDefault="0081115D">
      <w:pPr>
        <w:pStyle w:val="a4"/>
        <w:numPr>
          <w:ilvl w:val="2"/>
          <w:numId w:val="344"/>
        </w:numPr>
        <w:tabs>
          <w:tab w:val="left" w:pos="1478"/>
        </w:tabs>
        <w:spacing w:before="1"/>
        <w:ind w:left="1477" w:hanging="638"/>
        <w:rPr>
          <w:sz w:val="21"/>
        </w:rPr>
      </w:pPr>
      <w:r>
        <w:rPr>
          <w:spacing w:val="-3"/>
          <w:sz w:val="21"/>
        </w:rPr>
        <w:t>火灾报警传输设备或用户信息传输装置的手动报警装置，应设置在便于操作的明显</w:t>
      </w:r>
    </w:p>
    <w:p w14:paraId="7E5763CF" w14:textId="77777777" w:rsidR="00A71EEF" w:rsidRDefault="00A71EEF">
      <w:pPr>
        <w:rPr>
          <w:sz w:val="21"/>
        </w:rPr>
        <w:sectPr w:rsidR="00A71EEF">
          <w:pgSz w:w="11910" w:h="16850"/>
          <w:pgMar w:top="1220" w:right="0" w:bottom="1420" w:left="1260" w:header="0" w:footer="1239" w:gutter="0"/>
          <w:cols w:space="720"/>
        </w:sectPr>
      </w:pPr>
    </w:p>
    <w:p w14:paraId="799CFD73" w14:textId="77777777" w:rsidR="00A71EEF" w:rsidRDefault="0081115D">
      <w:pPr>
        <w:pStyle w:val="a3"/>
        <w:spacing w:before="47"/>
        <w:ind w:left="418"/>
      </w:pPr>
      <w:r>
        <w:t>部位。</w:t>
      </w:r>
      <w:r>
        <w:t xml:space="preserve"> </w:t>
      </w:r>
    </w:p>
    <w:p w14:paraId="16B40B5B" w14:textId="77777777" w:rsidR="00A71EEF" w:rsidRDefault="00A71EEF">
      <w:pPr>
        <w:pStyle w:val="a3"/>
        <w:rPr>
          <w:sz w:val="18"/>
        </w:rPr>
      </w:pPr>
    </w:p>
    <w:p w14:paraId="14246F2A" w14:textId="77777777" w:rsidR="00A71EEF" w:rsidRDefault="0081115D">
      <w:pPr>
        <w:pStyle w:val="a4"/>
        <w:numPr>
          <w:ilvl w:val="1"/>
          <w:numId w:val="344"/>
        </w:numPr>
        <w:tabs>
          <w:tab w:val="left" w:pos="1266"/>
        </w:tabs>
        <w:ind w:left="1265" w:hanging="426"/>
        <w:rPr>
          <w:sz w:val="21"/>
        </w:rPr>
      </w:pPr>
      <w:r>
        <w:rPr>
          <w:spacing w:val="-3"/>
          <w:sz w:val="21"/>
        </w:rPr>
        <w:t>防火门监控器的设置</w:t>
      </w:r>
      <w:r>
        <w:rPr>
          <w:sz w:val="21"/>
        </w:rPr>
        <w:t xml:space="preserve"> </w:t>
      </w:r>
    </w:p>
    <w:p w14:paraId="54C94E36" w14:textId="77777777" w:rsidR="00A71EEF" w:rsidRDefault="00A71EEF">
      <w:pPr>
        <w:pStyle w:val="a3"/>
        <w:rPr>
          <w:sz w:val="18"/>
        </w:rPr>
      </w:pPr>
    </w:p>
    <w:p w14:paraId="49CA510C" w14:textId="77777777" w:rsidR="00A71EEF" w:rsidRDefault="0081115D">
      <w:pPr>
        <w:pStyle w:val="a4"/>
        <w:numPr>
          <w:ilvl w:val="2"/>
          <w:numId w:val="344"/>
        </w:numPr>
        <w:tabs>
          <w:tab w:val="left" w:pos="1478"/>
        </w:tabs>
        <w:spacing w:line="446" w:lineRule="auto"/>
        <w:ind w:left="418" w:right="1434" w:firstLine="422"/>
        <w:rPr>
          <w:sz w:val="21"/>
        </w:rPr>
      </w:pPr>
      <w:r>
        <w:rPr>
          <w:spacing w:val="-3"/>
          <w:sz w:val="21"/>
        </w:rPr>
        <w:t>防火门监控器应设置在消防控制室内，未设置消防控制室时，应设置在有人值班的</w:t>
      </w:r>
      <w:r>
        <w:rPr>
          <w:spacing w:val="-3"/>
          <w:sz w:val="21"/>
        </w:rPr>
        <w:t xml:space="preserve"> </w:t>
      </w:r>
      <w:r>
        <w:rPr>
          <w:spacing w:val="-3"/>
          <w:sz w:val="21"/>
        </w:rPr>
        <w:t>场所。</w:t>
      </w:r>
      <w:r>
        <w:rPr>
          <w:spacing w:val="-3"/>
          <w:sz w:val="21"/>
        </w:rPr>
        <w:t xml:space="preserve"> </w:t>
      </w:r>
      <w:r>
        <w:rPr>
          <w:sz w:val="21"/>
        </w:rPr>
        <w:t xml:space="preserve"> </w:t>
      </w:r>
    </w:p>
    <w:p w14:paraId="7194149F" w14:textId="77777777" w:rsidR="00A71EEF" w:rsidRDefault="0081115D">
      <w:pPr>
        <w:pStyle w:val="a4"/>
        <w:numPr>
          <w:ilvl w:val="2"/>
          <w:numId w:val="344"/>
        </w:numPr>
        <w:tabs>
          <w:tab w:val="left" w:pos="1478"/>
          <w:tab w:val="left" w:pos="4198"/>
        </w:tabs>
        <w:spacing w:line="446" w:lineRule="auto"/>
        <w:ind w:left="418" w:right="1433" w:firstLine="422"/>
        <w:rPr>
          <w:sz w:val="21"/>
        </w:rPr>
      </w:pPr>
      <w:r>
        <w:rPr>
          <w:sz w:val="21"/>
        </w:rPr>
        <w:t>电</w:t>
      </w:r>
      <w:r>
        <w:rPr>
          <w:spacing w:val="-3"/>
          <w:sz w:val="21"/>
        </w:rPr>
        <w:t>动</w:t>
      </w:r>
      <w:r>
        <w:rPr>
          <w:sz w:val="21"/>
        </w:rPr>
        <w:t>开</w:t>
      </w:r>
      <w:r>
        <w:rPr>
          <w:spacing w:val="-3"/>
          <w:sz w:val="21"/>
        </w:rPr>
        <w:t>门</w:t>
      </w:r>
      <w:r>
        <w:rPr>
          <w:sz w:val="21"/>
        </w:rPr>
        <w:t>器</w:t>
      </w:r>
      <w:r>
        <w:rPr>
          <w:spacing w:val="-3"/>
          <w:sz w:val="21"/>
        </w:rPr>
        <w:t>的</w:t>
      </w:r>
      <w:r>
        <w:rPr>
          <w:sz w:val="21"/>
        </w:rPr>
        <w:t>手</w:t>
      </w:r>
      <w:r>
        <w:rPr>
          <w:spacing w:val="-3"/>
          <w:sz w:val="21"/>
        </w:rPr>
        <w:t>动</w:t>
      </w:r>
      <w:r>
        <w:rPr>
          <w:sz w:val="21"/>
        </w:rPr>
        <w:t>控制</w:t>
      </w:r>
      <w:r>
        <w:rPr>
          <w:spacing w:val="-3"/>
          <w:sz w:val="21"/>
        </w:rPr>
        <w:t>按</w:t>
      </w:r>
      <w:r>
        <w:rPr>
          <w:sz w:val="21"/>
        </w:rPr>
        <w:t>钮</w:t>
      </w:r>
      <w:r>
        <w:rPr>
          <w:spacing w:val="-3"/>
          <w:sz w:val="21"/>
        </w:rPr>
        <w:t>应</w:t>
      </w:r>
      <w:r>
        <w:rPr>
          <w:sz w:val="21"/>
        </w:rPr>
        <w:t>设</w:t>
      </w:r>
      <w:r>
        <w:rPr>
          <w:spacing w:val="-3"/>
          <w:sz w:val="21"/>
        </w:rPr>
        <w:t>置</w:t>
      </w:r>
      <w:r>
        <w:rPr>
          <w:sz w:val="21"/>
        </w:rPr>
        <w:t>在</w:t>
      </w:r>
      <w:r>
        <w:rPr>
          <w:spacing w:val="-3"/>
          <w:sz w:val="21"/>
        </w:rPr>
        <w:t>防</w:t>
      </w:r>
      <w:r>
        <w:rPr>
          <w:sz w:val="21"/>
        </w:rPr>
        <w:t>火</w:t>
      </w:r>
      <w:r>
        <w:rPr>
          <w:spacing w:val="-3"/>
          <w:sz w:val="21"/>
        </w:rPr>
        <w:t>门</w:t>
      </w:r>
      <w:r>
        <w:rPr>
          <w:sz w:val="21"/>
        </w:rPr>
        <w:t>内侧</w:t>
      </w:r>
      <w:r>
        <w:rPr>
          <w:spacing w:val="-3"/>
          <w:sz w:val="21"/>
        </w:rPr>
        <w:t>墙</w:t>
      </w:r>
      <w:r>
        <w:rPr>
          <w:sz w:val="21"/>
        </w:rPr>
        <w:t>面</w:t>
      </w:r>
      <w:r>
        <w:rPr>
          <w:spacing w:val="-3"/>
          <w:sz w:val="21"/>
        </w:rPr>
        <w:t>上</w:t>
      </w:r>
      <w:r>
        <w:rPr>
          <w:sz w:val="21"/>
        </w:rPr>
        <w:t>，</w:t>
      </w:r>
      <w:r>
        <w:rPr>
          <w:spacing w:val="-3"/>
          <w:sz w:val="21"/>
        </w:rPr>
        <w:t>距</w:t>
      </w:r>
      <w:r>
        <w:rPr>
          <w:sz w:val="21"/>
        </w:rPr>
        <w:t>门</w:t>
      </w:r>
      <w:r>
        <w:rPr>
          <w:spacing w:val="-3"/>
          <w:sz w:val="21"/>
        </w:rPr>
        <w:t>不</w:t>
      </w:r>
      <w:r>
        <w:rPr>
          <w:sz w:val="21"/>
        </w:rPr>
        <w:t>宜</w:t>
      </w:r>
      <w:r>
        <w:rPr>
          <w:spacing w:val="-3"/>
          <w:sz w:val="21"/>
        </w:rPr>
        <w:t>超</w:t>
      </w:r>
      <w:r>
        <w:rPr>
          <w:sz w:val="21"/>
        </w:rPr>
        <w:t>过</w:t>
      </w:r>
      <w:r>
        <w:rPr>
          <w:spacing w:val="33"/>
          <w:sz w:val="21"/>
        </w:rPr>
        <w:t xml:space="preserve"> </w:t>
      </w:r>
      <w:r>
        <w:rPr>
          <w:sz w:val="21"/>
        </w:rPr>
        <w:t>0.5m</w:t>
      </w:r>
      <w:r>
        <w:rPr>
          <w:spacing w:val="34"/>
          <w:sz w:val="21"/>
        </w:rPr>
        <w:t xml:space="preserve"> </w:t>
      </w:r>
      <w:r>
        <w:rPr>
          <w:spacing w:val="-3"/>
          <w:sz w:val="21"/>
        </w:rPr>
        <w:t>，底</w:t>
      </w:r>
      <w:r>
        <w:rPr>
          <w:sz w:val="21"/>
        </w:rPr>
        <w:t>边距</w:t>
      </w:r>
      <w:r>
        <w:rPr>
          <w:spacing w:val="-3"/>
          <w:sz w:val="21"/>
        </w:rPr>
        <w:t>地</w:t>
      </w:r>
      <w:r>
        <w:rPr>
          <w:sz w:val="21"/>
        </w:rPr>
        <w:t>面</w:t>
      </w:r>
      <w:r>
        <w:rPr>
          <w:sz w:val="21"/>
        </w:rPr>
        <w:t xml:space="preserve"> </w:t>
      </w:r>
      <w:r>
        <w:rPr>
          <w:sz w:val="21"/>
        </w:rPr>
        <w:t>高</w:t>
      </w:r>
      <w:r>
        <w:rPr>
          <w:spacing w:val="-3"/>
          <w:sz w:val="21"/>
        </w:rPr>
        <w:t>度</w:t>
      </w:r>
      <w:r>
        <w:rPr>
          <w:sz w:val="21"/>
        </w:rPr>
        <w:t>宜为</w:t>
      </w:r>
      <w:r>
        <w:rPr>
          <w:spacing w:val="1"/>
          <w:sz w:val="21"/>
        </w:rPr>
        <w:t xml:space="preserve"> </w:t>
      </w:r>
      <w:r>
        <w:rPr>
          <w:sz w:val="21"/>
        </w:rPr>
        <w:t>0.9</w:t>
      </w:r>
      <w:r>
        <w:rPr>
          <w:sz w:val="21"/>
        </w:rPr>
        <w:t>～</w:t>
      </w:r>
      <w:r>
        <w:rPr>
          <w:sz w:val="21"/>
        </w:rPr>
        <w:t xml:space="preserve">1.3m </w:t>
      </w:r>
      <w:r>
        <w:rPr>
          <w:spacing w:val="-3"/>
          <w:sz w:val="21"/>
        </w:rPr>
        <w:t>。</w:t>
      </w:r>
      <w:r>
        <w:rPr>
          <w:sz w:val="21"/>
        </w:rPr>
        <w:t xml:space="preserve">  </w:t>
      </w:r>
      <w:r>
        <w:rPr>
          <w:sz w:val="21"/>
        </w:rPr>
        <w:t xml:space="preserve">  </w:t>
      </w:r>
      <w:r>
        <w:rPr>
          <w:sz w:val="21"/>
        </w:rPr>
        <w:tab/>
      </w:r>
      <w:r>
        <w:rPr>
          <w:sz w:val="21"/>
        </w:rPr>
        <w:t xml:space="preserve">  </w:t>
      </w:r>
    </w:p>
    <w:p w14:paraId="58E7FABE" w14:textId="77777777" w:rsidR="00A71EEF" w:rsidRDefault="0081115D">
      <w:pPr>
        <w:pStyle w:val="a4"/>
        <w:numPr>
          <w:ilvl w:val="2"/>
          <w:numId w:val="344"/>
        </w:numPr>
        <w:tabs>
          <w:tab w:val="left" w:pos="1478"/>
        </w:tabs>
        <w:ind w:left="1477" w:hanging="638"/>
        <w:rPr>
          <w:sz w:val="21"/>
        </w:rPr>
      </w:pPr>
      <w:r>
        <w:rPr>
          <w:spacing w:val="-3"/>
          <w:sz w:val="21"/>
        </w:rPr>
        <w:t>防火门监控器的设置应符合火灾报警控制器的安装设置要求。</w:t>
      </w:r>
      <w:r>
        <w:rPr>
          <w:sz w:val="21"/>
        </w:rPr>
        <w:t xml:space="preserve">  </w:t>
      </w:r>
      <w:r>
        <w:rPr>
          <w:spacing w:val="-11"/>
          <w:sz w:val="21"/>
        </w:rPr>
        <w:t xml:space="preserve"> </w:t>
      </w:r>
      <w:r>
        <w:rPr>
          <w:sz w:val="21"/>
        </w:rPr>
        <w:t xml:space="preserve">  </w:t>
      </w:r>
    </w:p>
    <w:p w14:paraId="568B22EA" w14:textId="77777777" w:rsidR="00A71EEF" w:rsidRDefault="00A71EEF">
      <w:pPr>
        <w:pStyle w:val="a3"/>
        <w:spacing w:before="8"/>
        <w:rPr>
          <w:sz w:val="15"/>
        </w:rPr>
      </w:pPr>
    </w:p>
    <w:p w14:paraId="32C74752" w14:textId="77777777" w:rsidR="00A71EEF" w:rsidRDefault="0081115D">
      <w:pPr>
        <w:pStyle w:val="4"/>
      </w:pPr>
      <w:r>
        <w:t xml:space="preserve">7 </w:t>
      </w:r>
      <w:r>
        <w:t>住宅建筑火灾自动报警系统</w:t>
      </w:r>
      <w:r>
        <w:rPr>
          <w:w w:val="99"/>
        </w:rPr>
        <w:t xml:space="preserve"> </w:t>
      </w:r>
    </w:p>
    <w:p w14:paraId="2207E63D" w14:textId="77777777" w:rsidR="00A71EEF" w:rsidRDefault="00A71EEF">
      <w:pPr>
        <w:pStyle w:val="a3"/>
        <w:spacing w:before="4"/>
        <w:rPr>
          <w:b/>
          <w:sz w:val="17"/>
        </w:rPr>
      </w:pPr>
    </w:p>
    <w:p w14:paraId="241876A6" w14:textId="77777777" w:rsidR="00A71EEF" w:rsidRDefault="0081115D">
      <w:pPr>
        <w:pStyle w:val="a4"/>
        <w:numPr>
          <w:ilvl w:val="1"/>
          <w:numId w:val="341"/>
        </w:numPr>
        <w:tabs>
          <w:tab w:val="left" w:pos="1159"/>
        </w:tabs>
        <w:ind w:hanging="319"/>
        <w:rPr>
          <w:sz w:val="21"/>
        </w:rPr>
      </w:pPr>
      <w:r>
        <w:rPr>
          <w:spacing w:val="-3"/>
          <w:sz w:val="21"/>
        </w:rPr>
        <w:t>一般规定</w:t>
      </w:r>
      <w:r>
        <w:rPr>
          <w:sz w:val="21"/>
        </w:rPr>
        <w:t xml:space="preserve"> </w:t>
      </w:r>
    </w:p>
    <w:p w14:paraId="598C7287" w14:textId="77777777" w:rsidR="00A71EEF" w:rsidRDefault="00A71EEF">
      <w:pPr>
        <w:pStyle w:val="a3"/>
        <w:spacing w:before="2"/>
        <w:rPr>
          <w:sz w:val="18"/>
        </w:rPr>
      </w:pPr>
    </w:p>
    <w:p w14:paraId="7C129608" w14:textId="77777777" w:rsidR="00A71EEF" w:rsidRDefault="0081115D">
      <w:pPr>
        <w:pStyle w:val="a4"/>
        <w:numPr>
          <w:ilvl w:val="2"/>
          <w:numId w:val="341"/>
        </w:numPr>
        <w:tabs>
          <w:tab w:val="left" w:pos="1371"/>
        </w:tabs>
        <w:rPr>
          <w:sz w:val="21"/>
        </w:rPr>
      </w:pPr>
      <w:r>
        <w:rPr>
          <w:spacing w:val="-6"/>
          <w:sz w:val="21"/>
        </w:rPr>
        <w:t>住宅建筑火灾自动报警系统可根据实际应用过程中保护对象的具体情况按下列分类：</w:t>
      </w:r>
      <w:r>
        <w:rPr>
          <w:sz w:val="21"/>
        </w:rPr>
        <w:t xml:space="preserve"> </w:t>
      </w:r>
    </w:p>
    <w:p w14:paraId="7012ADCF" w14:textId="77777777" w:rsidR="00A71EEF" w:rsidRDefault="00A71EEF">
      <w:pPr>
        <w:pStyle w:val="a3"/>
        <w:spacing w:before="12"/>
        <w:rPr>
          <w:sz w:val="17"/>
        </w:rPr>
      </w:pPr>
    </w:p>
    <w:p w14:paraId="17A2D69D" w14:textId="77777777" w:rsidR="00A71EEF" w:rsidRDefault="0081115D">
      <w:pPr>
        <w:pStyle w:val="a3"/>
        <w:spacing w:line="446" w:lineRule="auto"/>
        <w:ind w:left="418" w:right="1433" w:firstLine="419"/>
      </w:pPr>
      <w:r>
        <w:t xml:space="preserve"> </w:t>
      </w:r>
      <w:r>
        <w:t>A</w:t>
      </w:r>
      <w:r>
        <w:rPr>
          <w:spacing w:val="-9"/>
        </w:rPr>
        <w:t xml:space="preserve"> </w:t>
      </w:r>
      <w:r>
        <w:rPr>
          <w:spacing w:val="-9"/>
        </w:rPr>
        <w:t>类系统可由火灾报警控制器、手动火灾报警按钮、家用火灾探测器、火灾声警报器、应急</w:t>
      </w:r>
      <w:r>
        <w:rPr>
          <w:spacing w:val="-5"/>
        </w:rPr>
        <w:t>广播等设备组成。</w:t>
      </w:r>
      <w:r>
        <w:t xml:space="preserve"> </w:t>
      </w:r>
    </w:p>
    <w:p w14:paraId="5D0FF49D" w14:textId="77777777" w:rsidR="00A71EEF" w:rsidRDefault="0081115D">
      <w:pPr>
        <w:pStyle w:val="a3"/>
        <w:spacing w:line="446" w:lineRule="auto"/>
        <w:ind w:left="418" w:right="1410" w:firstLine="419"/>
      </w:pPr>
      <w:r>
        <w:t xml:space="preserve">B </w:t>
      </w:r>
      <w:r>
        <w:t>类系统可由控制中心监控设备、家用火灾报警控制器、家用火灾探测器、火灾声警报器等设</w:t>
      </w:r>
      <w:r>
        <w:t xml:space="preserve"> </w:t>
      </w:r>
      <w:r>
        <w:t>备组成。</w:t>
      </w:r>
      <w:r>
        <w:t xml:space="preserve"> </w:t>
      </w:r>
    </w:p>
    <w:p w14:paraId="482811FD" w14:textId="77777777" w:rsidR="00A71EEF" w:rsidRDefault="0081115D">
      <w:pPr>
        <w:pStyle w:val="a3"/>
        <w:spacing w:line="267" w:lineRule="exact"/>
        <w:ind w:left="838"/>
      </w:pPr>
      <w:r>
        <w:t xml:space="preserve">C </w:t>
      </w:r>
      <w:r>
        <w:t>类系统可由家用火灾报警控制器、家用火灾探测器、火灾声警报器等设备组成。</w:t>
      </w:r>
      <w:r>
        <w:t xml:space="preserve"> </w:t>
      </w:r>
    </w:p>
    <w:p w14:paraId="4446E06A" w14:textId="77777777" w:rsidR="00A71EEF" w:rsidRDefault="00A71EEF">
      <w:pPr>
        <w:pStyle w:val="a3"/>
        <w:spacing w:before="2"/>
        <w:rPr>
          <w:sz w:val="18"/>
        </w:rPr>
      </w:pPr>
    </w:p>
    <w:p w14:paraId="6E1C239D" w14:textId="77777777" w:rsidR="00A71EEF" w:rsidRDefault="0081115D">
      <w:pPr>
        <w:pStyle w:val="a3"/>
        <w:tabs>
          <w:tab w:val="left" w:pos="7558"/>
        </w:tabs>
        <w:spacing w:line="446" w:lineRule="auto"/>
        <w:ind w:left="840" w:right="2873" w:hanging="3"/>
      </w:pPr>
      <w:r>
        <w:t xml:space="preserve"> </w:t>
      </w:r>
      <w:r>
        <w:t>D</w:t>
      </w:r>
      <w:r>
        <w:rPr>
          <w:spacing w:val="34"/>
        </w:rPr>
        <w:t xml:space="preserve"> </w:t>
      </w:r>
      <w:r>
        <w:rPr>
          <w:spacing w:val="-3"/>
        </w:rPr>
        <w:t>类</w:t>
      </w:r>
      <w:r>
        <w:t>系</w:t>
      </w:r>
      <w:r>
        <w:rPr>
          <w:spacing w:val="-3"/>
        </w:rPr>
        <w:t>统</w:t>
      </w:r>
      <w:r>
        <w:t>可</w:t>
      </w:r>
      <w:r>
        <w:rPr>
          <w:spacing w:val="-3"/>
        </w:rPr>
        <w:t>由</w:t>
      </w:r>
      <w:r>
        <w:t>独</w:t>
      </w:r>
      <w:r>
        <w:rPr>
          <w:spacing w:val="-3"/>
        </w:rPr>
        <w:t>立</w:t>
      </w:r>
      <w:r>
        <w:t>式</w:t>
      </w:r>
      <w:r>
        <w:rPr>
          <w:spacing w:val="-3"/>
        </w:rPr>
        <w:t>火灾</w:t>
      </w:r>
      <w:r>
        <w:t>探测</w:t>
      </w:r>
      <w:r>
        <w:rPr>
          <w:spacing w:val="-3"/>
        </w:rPr>
        <w:t>报</w:t>
      </w:r>
      <w:r>
        <w:t>警</w:t>
      </w:r>
      <w:r>
        <w:rPr>
          <w:spacing w:val="-3"/>
        </w:rPr>
        <w:t>器</w:t>
      </w:r>
      <w:r>
        <w:t>、</w:t>
      </w:r>
      <w:r>
        <w:rPr>
          <w:spacing w:val="-3"/>
        </w:rPr>
        <w:t>火</w:t>
      </w:r>
      <w:r>
        <w:t>灾</w:t>
      </w:r>
      <w:r>
        <w:rPr>
          <w:spacing w:val="-3"/>
        </w:rPr>
        <w:t>声</w:t>
      </w:r>
      <w:r>
        <w:t>警</w:t>
      </w:r>
      <w:r>
        <w:rPr>
          <w:spacing w:val="-3"/>
        </w:rPr>
        <w:t>报</w:t>
      </w:r>
      <w:r>
        <w:t>器等</w:t>
      </w:r>
      <w:r>
        <w:rPr>
          <w:spacing w:val="-3"/>
        </w:rPr>
        <w:t>设</w:t>
      </w:r>
      <w:r>
        <w:t>备</w:t>
      </w:r>
      <w:r>
        <w:rPr>
          <w:spacing w:val="-3"/>
        </w:rPr>
        <w:t>组</w:t>
      </w:r>
      <w:r>
        <w:t>成</w:t>
      </w:r>
      <w:r>
        <w:rPr>
          <w:spacing w:val="-3"/>
        </w:rPr>
        <w:t>。</w:t>
      </w:r>
      <w:r>
        <w:rPr>
          <w:spacing w:val="-3"/>
        </w:rPr>
        <w:t xml:space="preserve"> </w:t>
      </w:r>
      <w:r>
        <w:t xml:space="preserve">  </w:t>
      </w:r>
      <w:r>
        <w:tab/>
      </w:r>
      <w:r>
        <w:t xml:space="preserve">     </w:t>
      </w:r>
      <w:r>
        <w:rPr>
          <w:b/>
        </w:rPr>
        <w:t>7.1.2</w:t>
      </w:r>
      <w:r>
        <w:rPr>
          <w:b/>
          <w:spacing w:val="1"/>
        </w:rPr>
        <w:t xml:space="preserve"> </w:t>
      </w:r>
      <w:r>
        <w:rPr>
          <w:spacing w:val="-3"/>
        </w:rPr>
        <w:t>住</w:t>
      </w:r>
      <w:r>
        <w:t>宅</w:t>
      </w:r>
      <w:r>
        <w:rPr>
          <w:spacing w:val="-3"/>
        </w:rPr>
        <w:t>建</w:t>
      </w:r>
      <w:r>
        <w:t>筑</w:t>
      </w:r>
      <w:r>
        <w:rPr>
          <w:spacing w:val="-3"/>
        </w:rPr>
        <w:t>火</w:t>
      </w:r>
      <w:r>
        <w:t>灾</w:t>
      </w:r>
      <w:r>
        <w:rPr>
          <w:spacing w:val="-3"/>
        </w:rPr>
        <w:t>自动</w:t>
      </w:r>
      <w:r>
        <w:t>报警</w:t>
      </w:r>
      <w:r>
        <w:rPr>
          <w:spacing w:val="-3"/>
        </w:rPr>
        <w:t>系</w:t>
      </w:r>
      <w:r>
        <w:t>统</w:t>
      </w:r>
      <w:r>
        <w:rPr>
          <w:spacing w:val="-3"/>
        </w:rPr>
        <w:t>的</w:t>
      </w:r>
      <w:r>
        <w:t>选</w:t>
      </w:r>
      <w:r>
        <w:rPr>
          <w:spacing w:val="-3"/>
        </w:rPr>
        <w:t>择</w:t>
      </w:r>
      <w:r>
        <w:t>应</w:t>
      </w:r>
      <w:r>
        <w:rPr>
          <w:spacing w:val="-3"/>
        </w:rPr>
        <w:t>符</w:t>
      </w:r>
      <w:r>
        <w:t>合</w:t>
      </w:r>
      <w:r>
        <w:rPr>
          <w:spacing w:val="-3"/>
        </w:rPr>
        <w:t>下</w:t>
      </w:r>
      <w:r>
        <w:t>列规</w:t>
      </w:r>
      <w:r>
        <w:rPr>
          <w:spacing w:val="-3"/>
        </w:rPr>
        <w:t>定：</w:t>
      </w:r>
      <w:r>
        <w:t xml:space="preserve"> </w:t>
      </w:r>
    </w:p>
    <w:p w14:paraId="488F2776" w14:textId="77777777" w:rsidR="00A71EEF" w:rsidRDefault="0081115D">
      <w:pPr>
        <w:pStyle w:val="a4"/>
        <w:numPr>
          <w:ilvl w:val="0"/>
          <w:numId w:val="340"/>
        </w:numPr>
        <w:tabs>
          <w:tab w:val="left" w:pos="1367"/>
        </w:tabs>
        <w:spacing w:line="267" w:lineRule="exact"/>
        <w:rPr>
          <w:sz w:val="21"/>
        </w:rPr>
      </w:pPr>
      <w:r>
        <w:rPr>
          <w:spacing w:val="-3"/>
          <w:sz w:val="21"/>
        </w:rPr>
        <w:t>有物业集中监控管理且设有需联动控制的消防设施的住宅建筑应选用</w:t>
      </w:r>
      <w:r>
        <w:rPr>
          <w:spacing w:val="-3"/>
          <w:sz w:val="21"/>
        </w:rPr>
        <w:t xml:space="preserve"> A</w:t>
      </w:r>
      <w:r>
        <w:rPr>
          <w:spacing w:val="-2"/>
          <w:sz w:val="21"/>
        </w:rPr>
        <w:t xml:space="preserve"> </w:t>
      </w:r>
      <w:r>
        <w:rPr>
          <w:spacing w:val="-2"/>
          <w:sz w:val="21"/>
        </w:rPr>
        <w:t>类系统。</w:t>
      </w:r>
      <w:r>
        <w:rPr>
          <w:sz w:val="21"/>
        </w:rPr>
        <w:t xml:space="preserve"> </w:t>
      </w:r>
    </w:p>
    <w:p w14:paraId="36E9A339" w14:textId="77777777" w:rsidR="00A71EEF" w:rsidRDefault="00A71EEF">
      <w:pPr>
        <w:pStyle w:val="a3"/>
        <w:spacing w:before="2"/>
        <w:rPr>
          <w:sz w:val="18"/>
        </w:rPr>
      </w:pPr>
    </w:p>
    <w:p w14:paraId="3C2794E1" w14:textId="77777777" w:rsidR="00A71EEF" w:rsidRDefault="0081115D">
      <w:pPr>
        <w:pStyle w:val="a4"/>
        <w:numPr>
          <w:ilvl w:val="0"/>
          <w:numId w:val="340"/>
        </w:numPr>
        <w:tabs>
          <w:tab w:val="left" w:pos="1367"/>
        </w:tabs>
        <w:rPr>
          <w:sz w:val="21"/>
        </w:rPr>
      </w:pPr>
      <w:r>
        <w:rPr>
          <w:spacing w:val="-3"/>
          <w:sz w:val="21"/>
        </w:rPr>
        <w:t>仅有物业集中监控管理的住宅建筑宜选用</w:t>
      </w:r>
      <w:r>
        <w:rPr>
          <w:spacing w:val="-3"/>
          <w:sz w:val="21"/>
        </w:rPr>
        <w:t xml:space="preserve"> </w:t>
      </w:r>
      <w:r>
        <w:rPr>
          <w:sz w:val="21"/>
        </w:rPr>
        <w:t>A</w:t>
      </w:r>
      <w:r>
        <w:rPr>
          <w:spacing w:val="-1"/>
          <w:sz w:val="21"/>
        </w:rPr>
        <w:t xml:space="preserve"> </w:t>
      </w:r>
      <w:r>
        <w:rPr>
          <w:spacing w:val="-1"/>
          <w:sz w:val="21"/>
        </w:rPr>
        <w:t>类或</w:t>
      </w:r>
      <w:r>
        <w:rPr>
          <w:spacing w:val="-1"/>
          <w:sz w:val="21"/>
        </w:rPr>
        <w:t xml:space="preserve"> </w:t>
      </w:r>
      <w:r>
        <w:rPr>
          <w:sz w:val="21"/>
        </w:rPr>
        <w:t>B</w:t>
      </w:r>
      <w:r>
        <w:rPr>
          <w:spacing w:val="-3"/>
          <w:sz w:val="21"/>
        </w:rPr>
        <w:t xml:space="preserve"> </w:t>
      </w:r>
      <w:r>
        <w:rPr>
          <w:spacing w:val="-3"/>
          <w:sz w:val="21"/>
        </w:rPr>
        <w:t>类系统。</w:t>
      </w:r>
      <w:r>
        <w:rPr>
          <w:sz w:val="21"/>
        </w:rPr>
        <w:t xml:space="preserve"> </w:t>
      </w:r>
    </w:p>
    <w:p w14:paraId="5587470A" w14:textId="77777777" w:rsidR="00A71EEF" w:rsidRDefault="00A71EEF">
      <w:pPr>
        <w:pStyle w:val="a3"/>
        <w:rPr>
          <w:sz w:val="18"/>
        </w:rPr>
      </w:pPr>
    </w:p>
    <w:p w14:paraId="41BD3987" w14:textId="77777777" w:rsidR="00A71EEF" w:rsidRDefault="0081115D">
      <w:pPr>
        <w:pStyle w:val="a4"/>
        <w:numPr>
          <w:ilvl w:val="0"/>
          <w:numId w:val="340"/>
        </w:numPr>
        <w:tabs>
          <w:tab w:val="left" w:pos="1367"/>
        </w:tabs>
        <w:rPr>
          <w:sz w:val="21"/>
        </w:rPr>
      </w:pPr>
      <w:r>
        <w:rPr>
          <w:spacing w:val="-3"/>
          <w:sz w:val="21"/>
        </w:rPr>
        <w:t>没有物业集中监控管理的住宅建筑宜选用</w:t>
      </w:r>
      <w:r>
        <w:rPr>
          <w:spacing w:val="-3"/>
          <w:sz w:val="21"/>
        </w:rPr>
        <w:t xml:space="preserve"> </w:t>
      </w:r>
      <w:r>
        <w:rPr>
          <w:sz w:val="21"/>
        </w:rPr>
        <w:t>C</w:t>
      </w:r>
      <w:r>
        <w:rPr>
          <w:spacing w:val="-3"/>
          <w:sz w:val="21"/>
        </w:rPr>
        <w:t xml:space="preserve"> </w:t>
      </w:r>
      <w:r>
        <w:rPr>
          <w:spacing w:val="-3"/>
          <w:sz w:val="21"/>
        </w:rPr>
        <w:t>类系统。</w:t>
      </w:r>
      <w:r>
        <w:rPr>
          <w:sz w:val="21"/>
        </w:rPr>
        <w:t xml:space="preserve"> </w:t>
      </w:r>
    </w:p>
    <w:p w14:paraId="1354C34B" w14:textId="77777777" w:rsidR="00A71EEF" w:rsidRDefault="00A71EEF">
      <w:pPr>
        <w:pStyle w:val="a3"/>
        <w:spacing w:before="12"/>
        <w:rPr>
          <w:sz w:val="17"/>
        </w:rPr>
      </w:pPr>
    </w:p>
    <w:p w14:paraId="35D4C028" w14:textId="77777777" w:rsidR="00A71EEF" w:rsidRDefault="0081115D">
      <w:pPr>
        <w:pStyle w:val="a4"/>
        <w:numPr>
          <w:ilvl w:val="0"/>
          <w:numId w:val="340"/>
        </w:numPr>
        <w:tabs>
          <w:tab w:val="left" w:pos="1367"/>
          <w:tab w:val="left" w:pos="7138"/>
        </w:tabs>
        <w:spacing w:line="446" w:lineRule="auto"/>
        <w:ind w:left="840" w:right="3294" w:hanging="3"/>
        <w:rPr>
          <w:sz w:val="21"/>
        </w:rPr>
      </w:pPr>
      <w:r>
        <w:rPr>
          <w:sz w:val="21"/>
        </w:rPr>
        <w:t>别</w:t>
      </w:r>
      <w:r>
        <w:rPr>
          <w:spacing w:val="-3"/>
          <w:sz w:val="21"/>
        </w:rPr>
        <w:t>墅</w:t>
      </w:r>
      <w:r>
        <w:rPr>
          <w:sz w:val="21"/>
        </w:rPr>
        <w:t>式</w:t>
      </w:r>
      <w:r>
        <w:rPr>
          <w:spacing w:val="-3"/>
          <w:sz w:val="21"/>
        </w:rPr>
        <w:t>住</w:t>
      </w:r>
      <w:r>
        <w:rPr>
          <w:sz w:val="21"/>
        </w:rPr>
        <w:t>宅</w:t>
      </w:r>
      <w:r>
        <w:rPr>
          <w:spacing w:val="-3"/>
          <w:sz w:val="21"/>
        </w:rPr>
        <w:t>和</w:t>
      </w:r>
      <w:r>
        <w:rPr>
          <w:sz w:val="21"/>
        </w:rPr>
        <w:t>已</w:t>
      </w:r>
      <w:r>
        <w:rPr>
          <w:spacing w:val="-3"/>
          <w:sz w:val="21"/>
        </w:rPr>
        <w:t>投入</w:t>
      </w:r>
      <w:r>
        <w:rPr>
          <w:sz w:val="21"/>
        </w:rPr>
        <w:t>使用</w:t>
      </w:r>
      <w:r>
        <w:rPr>
          <w:spacing w:val="-3"/>
          <w:sz w:val="21"/>
        </w:rPr>
        <w:t>的</w:t>
      </w:r>
      <w:r>
        <w:rPr>
          <w:sz w:val="21"/>
        </w:rPr>
        <w:t>住</w:t>
      </w:r>
      <w:r>
        <w:rPr>
          <w:spacing w:val="-3"/>
          <w:sz w:val="21"/>
        </w:rPr>
        <w:t>宅</w:t>
      </w:r>
      <w:r>
        <w:rPr>
          <w:sz w:val="21"/>
        </w:rPr>
        <w:t>建</w:t>
      </w:r>
      <w:r>
        <w:rPr>
          <w:spacing w:val="-3"/>
          <w:sz w:val="21"/>
        </w:rPr>
        <w:t>筑</w:t>
      </w:r>
      <w:r>
        <w:rPr>
          <w:sz w:val="21"/>
        </w:rPr>
        <w:t>可</w:t>
      </w:r>
      <w:r>
        <w:rPr>
          <w:spacing w:val="-3"/>
          <w:sz w:val="21"/>
        </w:rPr>
        <w:t>选</w:t>
      </w:r>
      <w:r>
        <w:rPr>
          <w:sz w:val="21"/>
        </w:rPr>
        <w:t>用</w:t>
      </w:r>
      <w:r>
        <w:rPr>
          <w:spacing w:val="14"/>
          <w:sz w:val="21"/>
        </w:rPr>
        <w:t xml:space="preserve"> </w:t>
      </w:r>
      <w:r>
        <w:rPr>
          <w:spacing w:val="-3"/>
          <w:sz w:val="21"/>
        </w:rPr>
        <w:t>D</w:t>
      </w:r>
      <w:r>
        <w:rPr>
          <w:spacing w:val="12"/>
          <w:sz w:val="21"/>
        </w:rPr>
        <w:t xml:space="preserve"> </w:t>
      </w:r>
      <w:r>
        <w:rPr>
          <w:sz w:val="21"/>
        </w:rPr>
        <w:t>类系</w:t>
      </w:r>
      <w:r>
        <w:rPr>
          <w:spacing w:val="-3"/>
          <w:sz w:val="21"/>
        </w:rPr>
        <w:t>统。</w:t>
      </w:r>
      <w:r>
        <w:rPr>
          <w:sz w:val="21"/>
        </w:rPr>
        <w:t xml:space="preserve"> </w:t>
      </w:r>
      <w:r>
        <w:rPr>
          <w:sz w:val="21"/>
        </w:rPr>
        <w:t xml:space="preserve"> </w:t>
      </w:r>
      <w:r>
        <w:rPr>
          <w:sz w:val="21"/>
        </w:rPr>
        <w:t xml:space="preserve">  </w:t>
      </w:r>
      <w:r>
        <w:rPr>
          <w:sz w:val="21"/>
        </w:rPr>
        <w:tab/>
      </w:r>
      <w:r>
        <w:rPr>
          <w:sz w:val="21"/>
        </w:rPr>
        <w:t xml:space="preserve">  </w:t>
      </w:r>
      <w:r>
        <w:rPr>
          <w:b/>
          <w:sz w:val="21"/>
        </w:rPr>
        <w:t>7.2</w:t>
      </w:r>
      <w:r>
        <w:rPr>
          <w:b/>
          <w:spacing w:val="1"/>
          <w:sz w:val="21"/>
        </w:rPr>
        <w:t xml:space="preserve"> </w:t>
      </w:r>
      <w:r>
        <w:rPr>
          <w:spacing w:val="-3"/>
          <w:sz w:val="21"/>
        </w:rPr>
        <w:t>系</w:t>
      </w:r>
      <w:r>
        <w:rPr>
          <w:sz w:val="21"/>
        </w:rPr>
        <w:t>统</w:t>
      </w:r>
      <w:r>
        <w:rPr>
          <w:spacing w:val="-3"/>
          <w:sz w:val="21"/>
        </w:rPr>
        <w:t>设计</w:t>
      </w:r>
      <w:r>
        <w:rPr>
          <w:sz w:val="21"/>
        </w:rPr>
        <w:t xml:space="preserve"> </w:t>
      </w:r>
    </w:p>
    <w:p w14:paraId="3DDC82F1" w14:textId="77777777" w:rsidR="00A71EEF" w:rsidRDefault="0081115D">
      <w:pPr>
        <w:ind w:left="840"/>
        <w:rPr>
          <w:sz w:val="21"/>
        </w:rPr>
      </w:pPr>
      <w:r>
        <w:rPr>
          <w:b/>
          <w:sz w:val="21"/>
        </w:rPr>
        <w:t xml:space="preserve">7.2.1 </w:t>
      </w:r>
      <w:r>
        <w:rPr>
          <w:sz w:val="21"/>
        </w:rPr>
        <w:t xml:space="preserve">A </w:t>
      </w:r>
      <w:r>
        <w:rPr>
          <w:sz w:val="21"/>
        </w:rPr>
        <w:t>类系统的设计应符合下列规定：</w:t>
      </w:r>
      <w:r>
        <w:rPr>
          <w:sz w:val="21"/>
        </w:rPr>
        <w:t xml:space="preserve"> </w:t>
      </w:r>
    </w:p>
    <w:p w14:paraId="4F982B2C" w14:textId="77777777" w:rsidR="00A71EEF" w:rsidRDefault="00A71EEF">
      <w:pPr>
        <w:pStyle w:val="a3"/>
        <w:rPr>
          <w:sz w:val="18"/>
        </w:rPr>
      </w:pPr>
    </w:p>
    <w:p w14:paraId="1BBD05BD" w14:textId="77777777" w:rsidR="00A71EEF" w:rsidRDefault="0081115D">
      <w:pPr>
        <w:pStyle w:val="a4"/>
        <w:numPr>
          <w:ilvl w:val="0"/>
          <w:numId w:val="339"/>
        </w:numPr>
        <w:tabs>
          <w:tab w:val="left" w:pos="1367"/>
        </w:tabs>
        <w:rPr>
          <w:sz w:val="21"/>
        </w:rPr>
      </w:pPr>
      <w:r>
        <w:rPr>
          <w:spacing w:val="-3"/>
          <w:sz w:val="21"/>
        </w:rPr>
        <w:t>系统在公共部位的设计应符合本规范第</w:t>
      </w:r>
      <w:r>
        <w:rPr>
          <w:spacing w:val="-3"/>
          <w:sz w:val="21"/>
        </w:rPr>
        <w:t xml:space="preserve"> </w:t>
      </w:r>
      <w:r>
        <w:rPr>
          <w:sz w:val="21"/>
        </w:rPr>
        <w:t>3</w:t>
      </w:r>
      <w:r>
        <w:rPr>
          <w:sz w:val="21"/>
        </w:rPr>
        <w:t>～</w:t>
      </w:r>
      <w:r>
        <w:rPr>
          <w:sz w:val="21"/>
        </w:rPr>
        <w:t>6</w:t>
      </w:r>
      <w:r>
        <w:rPr>
          <w:spacing w:val="-3"/>
          <w:sz w:val="21"/>
        </w:rPr>
        <w:t xml:space="preserve"> </w:t>
      </w:r>
      <w:r>
        <w:rPr>
          <w:spacing w:val="-3"/>
          <w:sz w:val="21"/>
        </w:rPr>
        <w:t>章的规定。</w:t>
      </w:r>
      <w:r>
        <w:rPr>
          <w:sz w:val="21"/>
        </w:rPr>
        <w:t xml:space="preserve"> </w:t>
      </w:r>
    </w:p>
    <w:p w14:paraId="3D91D377" w14:textId="77777777" w:rsidR="00A71EEF" w:rsidRDefault="00A71EEF">
      <w:pPr>
        <w:pStyle w:val="a3"/>
        <w:spacing w:before="1"/>
        <w:rPr>
          <w:sz w:val="18"/>
        </w:rPr>
      </w:pPr>
    </w:p>
    <w:p w14:paraId="1E6A51BA" w14:textId="77777777" w:rsidR="00A71EEF" w:rsidRDefault="0081115D">
      <w:pPr>
        <w:pStyle w:val="a4"/>
        <w:numPr>
          <w:ilvl w:val="0"/>
          <w:numId w:val="339"/>
        </w:numPr>
        <w:tabs>
          <w:tab w:val="left" w:pos="1370"/>
        </w:tabs>
        <w:spacing w:before="1" w:line="446" w:lineRule="auto"/>
        <w:ind w:left="418" w:right="1438" w:firstLine="419"/>
        <w:rPr>
          <w:sz w:val="21"/>
        </w:rPr>
      </w:pPr>
      <w:r>
        <w:rPr>
          <w:spacing w:val="-1"/>
          <w:sz w:val="21"/>
        </w:rPr>
        <w:t>住户内设置的家用火灾探测器可接入家用火灾报警控制器，也可直接接入火灾报警控制器。</w:t>
      </w:r>
      <w:r>
        <w:rPr>
          <w:sz w:val="21"/>
        </w:rPr>
        <w:t xml:space="preserve"> </w:t>
      </w:r>
    </w:p>
    <w:p w14:paraId="6FCE09B6" w14:textId="77777777" w:rsidR="00A71EEF" w:rsidRDefault="0081115D">
      <w:pPr>
        <w:pStyle w:val="a4"/>
        <w:numPr>
          <w:ilvl w:val="0"/>
          <w:numId w:val="339"/>
        </w:numPr>
        <w:tabs>
          <w:tab w:val="left" w:pos="1370"/>
        </w:tabs>
        <w:spacing w:line="446" w:lineRule="auto"/>
        <w:ind w:left="418" w:right="1438" w:firstLine="419"/>
        <w:rPr>
          <w:sz w:val="21"/>
        </w:rPr>
      </w:pPr>
      <w:r>
        <w:rPr>
          <w:spacing w:val="-1"/>
          <w:sz w:val="21"/>
        </w:rPr>
        <w:t>设置的家用火灾报警控制器应将火灾报警信息、故障信息等相关信息传输给相连接的</w:t>
      </w:r>
      <w:r>
        <w:rPr>
          <w:spacing w:val="-3"/>
          <w:sz w:val="21"/>
        </w:rPr>
        <w:t>火灾报警控制器。</w:t>
      </w:r>
      <w:r>
        <w:rPr>
          <w:sz w:val="21"/>
        </w:rPr>
        <w:t xml:space="preserve"> </w:t>
      </w:r>
    </w:p>
    <w:p w14:paraId="4E576D59" w14:textId="77777777" w:rsidR="00A71EEF" w:rsidRDefault="00A71EEF">
      <w:pPr>
        <w:spacing w:line="446" w:lineRule="auto"/>
        <w:rPr>
          <w:sz w:val="21"/>
        </w:rPr>
        <w:sectPr w:rsidR="00A71EEF">
          <w:pgSz w:w="11910" w:h="16850"/>
          <w:pgMar w:top="1220" w:right="0" w:bottom="1420" w:left="1260" w:header="0" w:footer="1239" w:gutter="0"/>
          <w:cols w:space="720"/>
        </w:sectPr>
      </w:pPr>
    </w:p>
    <w:p w14:paraId="0B0ACE45" w14:textId="77777777" w:rsidR="00A71EEF" w:rsidRDefault="0081115D">
      <w:pPr>
        <w:pStyle w:val="a4"/>
        <w:numPr>
          <w:ilvl w:val="0"/>
          <w:numId w:val="339"/>
        </w:numPr>
        <w:tabs>
          <w:tab w:val="left" w:pos="1367"/>
          <w:tab w:val="left" w:pos="7558"/>
        </w:tabs>
        <w:spacing w:before="47" w:line="446" w:lineRule="auto"/>
        <w:ind w:left="840" w:right="2873" w:hanging="3"/>
        <w:rPr>
          <w:sz w:val="21"/>
        </w:rPr>
      </w:pPr>
      <w:r>
        <w:rPr>
          <w:sz w:val="21"/>
        </w:rPr>
        <w:t>建</w:t>
      </w:r>
      <w:r>
        <w:rPr>
          <w:spacing w:val="-3"/>
          <w:sz w:val="21"/>
        </w:rPr>
        <w:t>筑</w:t>
      </w:r>
      <w:r>
        <w:rPr>
          <w:sz w:val="21"/>
        </w:rPr>
        <w:t>公</w:t>
      </w:r>
      <w:r>
        <w:rPr>
          <w:spacing w:val="-3"/>
          <w:sz w:val="21"/>
        </w:rPr>
        <w:t>共</w:t>
      </w:r>
      <w:r>
        <w:rPr>
          <w:sz w:val="21"/>
        </w:rPr>
        <w:t>部</w:t>
      </w:r>
      <w:r>
        <w:rPr>
          <w:spacing w:val="-3"/>
          <w:sz w:val="21"/>
        </w:rPr>
        <w:t>位</w:t>
      </w:r>
      <w:r>
        <w:rPr>
          <w:sz w:val="21"/>
        </w:rPr>
        <w:t>设</w:t>
      </w:r>
      <w:r>
        <w:rPr>
          <w:spacing w:val="-3"/>
          <w:sz w:val="21"/>
        </w:rPr>
        <w:t>置的</w:t>
      </w:r>
      <w:r>
        <w:rPr>
          <w:sz w:val="21"/>
        </w:rPr>
        <w:t>火灾</w:t>
      </w:r>
      <w:r>
        <w:rPr>
          <w:spacing w:val="-3"/>
          <w:sz w:val="21"/>
        </w:rPr>
        <w:t>探</w:t>
      </w:r>
      <w:r>
        <w:rPr>
          <w:sz w:val="21"/>
        </w:rPr>
        <w:t>测</w:t>
      </w:r>
      <w:r>
        <w:rPr>
          <w:spacing w:val="-3"/>
          <w:sz w:val="21"/>
        </w:rPr>
        <w:t>器</w:t>
      </w:r>
      <w:r>
        <w:rPr>
          <w:sz w:val="21"/>
        </w:rPr>
        <w:t>应</w:t>
      </w:r>
      <w:r>
        <w:rPr>
          <w:spacing w:val="-3"/>
          <w:sz w:val="21"/>
        </w:rPr>
        <w:t>直</w:t>
      </w:r>
      <w:r>
        <w:rPr>
          <w:sz w:val="21"/>
        </w:rPr>
        <w:t>接</w:t>
      </w:r>
      <w:r>
        <w:rPr>
          <w:spacing w:val="-3"/>
          <w:sz w:val="21"/>
        </w:rPr>
        <w:t>接</w:t>
      </w:r>
      <w:r>
        <w:rPr>
          <w:sz w:val="21"/>
        </w:rPr>
        <w:t>入</w:t>
      </w:r>
      <w:r>
        <w:rPr>
          <w:spacing w:val="-3"/>
          <w:sz w:val="21"/>
        </w:rPr>
        <w:t>火</w:t>
      </w:r>
      <w:r>
        <w:rPr>
          <w:sz w:val="21"/>
        </w:rPr>
        <w:t>灾报</w:t>
      </w:r>
      <w:r>
        <w:rPr>
          <w:spacing w:val="-3"/>
          <w:sz w:val="21"/>
        </w:rPr>
        <w:t>警</w:t>
      </w:r>
      <w:r>
        <w:rPr>
          <w:sz w:val="21"/>
        </w:rPr>
        <w:t>控</w:t>
      </w:r>
      <w:r>
        <w:rPr>
          <w:spacing w:val="-3"/>
          <w:sz w:val="21"/>
        </w:rPr>
        <w:t>制</w:t>
      </w:r>
      <w:r>
        <w:rPr>
          <w:sz w:val="21"/>
        </w:rPr>
        <w:t>器</w:t>
      </w:r>
      <w:r>
        <w:rPr>
          <w:spacing w:val="-3"/>
          <w:sz w:val="21"/>
        </w:rPr>
        <w:t>。</w:t>
      </w:r>
      <w:r>
        <w:rPr>
          <w:spacing w:val="-3"/>
          <w:sz w:val="21"/>
        </w:rPr>
        <w:tab/>
      </w:r>
      <w:r>
        <w:rPr>
          <w:sz w:val="21"/>
        </w:rPr>
        <w:t xml:space="preserve">  </w:t>
      </w:r>
      <w:r>
        <w:rPr>
          <w:b/>
          <w:sz w:val="21"/>
        </w:rPr>
        <w:t xml:space="preserve">7.2.2 </w:t>
      </w:r>
      <w:r>
        <w:rPr>
          <w:sz w:val="21"/>
        </w:rPr>
        <w:t>B</w:t>
      </w:r>
      <w:r>
        <w:rPr>
          <w:spacing w:val="-2"/>
          <w:sz w:val="21"/>
        </w:rPr>
        <w:t xml:space="preserve"> </w:t>
      </w:r>
      <w:r>
        <w:rPr>
          <w:sz w:val="21"/>
        </w:rPr>
        <w:t>类和</w:t>
      </w:r>
      <w:r>
        <w:rPr>
          <w:spacing w:val="-1"/>
          <w:sz w:val="21"/>
        </w:rPr>
        <w:t xml:space="preserve"> </w:t>
      </w:r>
      <w:r>
        <w:rPr>
          <w:sz w:val="21"/>
        </w:rPr>
        <w:t>C</w:t>
      </w:r>
      <w:r>
        <w:rPr>
          <w:spacing w:val="1"/>
          <w:sz w:val="21"/>
        </w:rPr>
        <w:t xml:space="preserve"> </w:t>
      </w:r>
      <w:r>
        <w:rPr>
          <w:spacing w:val="-3"/>
          <w:sz w:val="21"/>
        </w:rPr>
        <w:t>类</w:t>
      </w:r>
      <w:r>
        <w:rPr>
          <w:sz w:val="21"/>
        </w:rPr>
        <w:t>系</w:t>
      </w:r>
      <w:r>
        <w:rPr>
          <w:spacing w:val="-3"/>
          <w:sz w:val="21"/>
        </w:rPr>
        <w:t>统的</w:t>
      </w:r>
      <w:r>
        <w:rPr>
          <w:sz w:val="21"/>
        </w:rPr>
        <w:t>设计</w:t>
      </w:r>
      <w:r>
        <w:rPr>
          <w:spacing w:val="-3"/>
          <w:sz w:val="21"/>
        </w:rPr>
        <w:t>应</w:t>
      </w:r>
      <w:r>
        <w:rPr>
          <w:sz w:val="21"/>
        </w:rPr>
        <w:t>符</w:t>
      </w:r>
      <w:r>
        <w:rPr>
          <w:spacing w:val="-3"/>
          <w:sz w:val="21"/>
        </w:rPr>
        <w:t>合</w:t>
      </w:r>
      <w:r>
        <w:rPr>
          <w:sz w:val="21"/>
        </w:rPr>
        <w:t>下</w:t>
      </w:r>
      <w:r>
        <w:rPr>
          <w:spacing w:val="-3"/>
          <w:sz w:val="21"/>
        </w:rPr>
        <w:t>列</w:t>
      </w:r>
      <w:r>
        <w:rPr>
          <w:sz w:val="21"/>
        </w:rPr>
        <w:t>规</w:t>
      </w:r>
      <w:r>
        <w:rPr>
          <w:spacing w:val="-3"/>
          <w:sz w:val="21"/>
        </w:rPr>
        <w:t>定</w:t>
      </w:r>
      <w:r>
        <w:rPr>
          <w:sz w:val="21"/>
        </w:rPr>
        <w:t>：</w:t>
      </w:r>
      <w:r>
        <w:rPr>
          <w:sz w:val="21"/>
        </w:rPr>
        <w:t xml:space="preserve"> </w:t>
      </w:r>
    </w:p>
    <w:p w14:paraId="3897E5DD" w14:textId="77777777" w:rsidR="00A71EEF" w:rsidRDefault="0081115D">
      <w:pPr>
        <w:pStyle w:val="a4"/>
        <w:numPr>
          <w:ilvl w:val="0"/>
          <w:numId w:val="338"/>
        </w:numPr>
        <w:tabs>
          <w:tab w:val="left" w:pos="1367"/>
        </w:tabs>
        <w:spacing w:line="267" w:lineRule="exact"/>
        <w:rPr>
          <w:sz w:val="21"/>
        </w:rPr>
      </w:pPr>
      <w:r>
        <w:rPr>
          <w:spacing w:val="-3"/>
          <w:sz w:val="21"/>
        </w:rPr>
        <w:t>住户内设置的家用火灾探测器应接入家用火灾报警控制器。</w:t>
      </w:r>
      <w:r>
        <w:rPr>
          <w:sz w:val="21"/>
        </w:rPr>
        <w:t xml:space="preserve"> </w:t>
      </w:r>
    </w:p>
    <w:p w14:paraId="365A1CFD" w14:textId="77777777" w:rsidR="00A71EEF" w:rsidRDefault="00A71EEF">
      <w:pPr>
        <w:pStyle w:val="a3"/>
        <w:spacing w:before="2"/>
        <w:rPr>
          <w:sz w:val="18"/>
        </w:rPr>
      </w:pPr>
    </w:p>
    <w:p w14:paraId="3A16D740" w14:textId="77777777" w:rsidR="00A71EEF" w:rsidRDefault="0081115D">
      <w:pPr>
        <w:pStyle w:val="a4"/>
        <w:numPr>
          <w:ilvl w:val="0"/>
          <w:numId w:val="338"/>
        </w:numPr>
        <w:tabs>
          <w:tab w:val="left" w:pos="1367"/>
        </w:tabs>
        <w:rPr>
          <w:sz w:val="21"/>
        </w:rPr>
      </w:pPr>
      <w:r>
        <w:rPr>
          <w:spacing w:val="-3"/>
          <w:sz w:val="21"/>
        </w:rPr>
        <w:t>家用火灾报警控制器应能启动设置在公共部位的火灾声警报器。</w:t>
      </w:r>
      <w:r>
        <w:rPr>
          <w:sz w:val="21"/>
        </w:rPr>
        <w:t xml:space="preserve"> </w:t>
      </w:r>
    </w:p>
    <w:p w14:paraId="194C74B7" w14:textId="77777777" w:rsidR="00A71EEF" w:rsidRDefault="00A71EEF">
      <w:pPr>
        <w:pStyle w:val="a3"/>
        <w:rPr>
          <w:sz w:val="18"/>
        </w:rPr>
      </w:pPr>
    </w:p>
    <w:p w14:paraId="25264861" w14:textId="77777777" w:rsidR="00A71EEF" w:rsidRDefault="0081115D">
      <w:pPr>
        <w:pStyle w:val="a4"/>
        <w:numPr>
          <w:ilvl w:val="0"/>
          <w:numId w:val="338"/>
        </w:numPr>
        <w:tabs>
          <w:tab w:val="left" w:pos="1367"/>
          <w:tab w:val="left" w:pos="5038"/>
          <w:tab w:val="left" w:pos="5458"/>
        </w:tabs>
        <w:spacing w:line="446" w:lineRule="auto"/>
        <w:ind w:left="418" w:right="1325" w:firstLine="419"/>
        <w:rPr>
          <w:sz w:val="21"/>
        </w:rPr>
      </w:pPr>
      <w:r>
        <w:rPr>
          <w:sz w:val="21"/>
        </w:rPr>
        <w:t>B</w:t>
      </w:r>
      <w:r>
        <w:rPr>
          <w:spacing w:val="54"/>
          <w:sz w:val="21"/>
        </w:rPr>
        <w:t xml:space="preserve"> </w:t>
      </w:r>
      <w:r>
        <w:rPr>
          <w:sz w:val="21"/>
        </w:rPr>
        <w:t>类</w:t>
      </w:r>
      <w:r>
        <w:rPr>
          <w:spacing w:val="-3"/>
          <w:sz w:val="21"/>
        </w:rPr>
        <w:t>系</w:t>
      </w:r>
      <w:r>
        <w:rPr>
          <w:sz w:val="21"/>
        </w:rPr>
        <w:t>统</w:t>
      </w:r>
      <w:r>
        <w:rPr>
          <w:spacing w:val="-3"/>
          <w:sz w:val="21"/>
        </w:rPr>
        <w:t>中</w:t>
      </w:r>
      <w:r>
        <w:rPr>
          <w:sz w:val="21"/>
        </w:rPr>
        <w:t>，</w:t>
      </w:r>
      <w:r>
        <w:rPr>
          <w:spacing w:val="-3"/>
          <w:sz w:val="21"/>
        </w:rPr>
        <w:t>设置</w:t>
      </w:r>
      <w:r>
        <w:rPr>
          <w:sz w:val="21"/>
        </w:rPr>
        <w:t>在每</w:t>
      </w:r>
      <w:r>
        <w:rPr>
          <w:spacing w:val="-3"/>
          <w:sz w:val="21"/>
        </w:rPr>
        <w:t>户</w:t>
      </w:r>
      <w:r>
        <w:rPr>
          <w:sz w:val="21"/>
        </w:rPr>
        <w:t>住</w:t>
      </w:r>
      <w:r>
        <w:rPr>
          <w:spacing w:val="-3"/>
          <w:sz w:val="21"/>
        </w:rPr>
        <w:t>宅</w:t>
      </w:r>
      <w:r>
        <w:rPr>
          <w:sz w:val="21"/>
        </w:rPr>
        <w:t>内</w:t>
      </w:r>
      <w:r>
        <w:rPr>
          <w:spacing w:val="-3"/>
          <w:sz w:val="21"/>
        </w:rPr>
        <w:t>的</w:t>
      </w:r>
      <w:r>
        <w:rPr>
          <w:sz w:val="21"/>
        </w:rPr>
        <w:t>家</w:t>
      </w:r>
      <w:r>
        <w:rPr>
          <w:spacing w:val="-3"/>
          <w:sz w:val="21"/>
        </w:rPr>
        <w:t>用</w:t>
      </w:r>
      <w:r>
        <w:rPr>
          <w:sz w:val="21"/>
        </w:rPr>
        <w:t>火</w:t>
      </w:r>
      <w:r>
        <w:rPr>
          <w:spacing w:val="-3"/>
          <w:sz w:val="21"/>
        </w:rPr>
        <w:t>灾</w:t>
      </w:r>
      <w:r>
        <w:rPr>
          <w:sz w:val="21"/>
        </w:rPr>
        <w:t>报警</w:t>
      </w:r>
      <w:r>
        <w:rPr>
          <w:spacing w:val="-3"/>
          <w:sz w:val="21"/>
        </w:rPr>
        <w:t>控</w:t>
      </w:r>
      <w:r>
        <w:rPr>
          <w:sz w:val="21"/>
        </w:rPr>
        <w:t>制</w:t>
      </w:r>
      <w:r>
        <w:rPr>
          <w:spacing w:val="-3"/>
          <w:sz w:val="21"/>
        </w:rPr>
        <w:t>器</w:t>
      </w:r>
      <w:r>
        <w:rPr>
          <w:sz w:val="21"/>
        </w:rPr>
        <w:t>应</w:t>
      </w:r>
      <w:r>
        <w:rPr>
          <w:spacing w:val="-3"/>
          <w:sz w:val="21"/>
        </w:rPr>
        <w:t>连</w:t>
      </w:r>
      <w:r>
        <w:rPr>
          <w:sz w:val="21"/>
        </w:rPr>
        <w:t>接</w:t>
      </w:r>
      <w:r>
        <w:rPr>
          <w:spacing w:val="-3"/>
          <w:sz w:val="21"/>
        </w:rPr>
        <w:t>到</w:t>
      </w:r>
      <w:r>
        <w:rPr>
          <w:sz w:val="21"/>
        </w:rPr>
        <w:t>控</w:t>
      </w:r>
      <w:r>
        <w:rPr>
          <w:spacing w:val="-3"/>
          <w:sz w:val="21"/>
        </w:rPr>
        <w:t>制</w:t>
      </w:r>
      <w:r>
        <w:rPr>
          <w:sz w:val="21"/>
        </w:rPr>
        <w:t>中心</w:t>
      </w:r>
      <w:r>
        <w:rPr>
          <w:spacing w:val="-3"/>
          <w:sz w:val="21"/>
        </w:rPr>
        <w:t>监</w:t>
      </w:r>
      <w:r>
        <w:rPr>
          <w:sz w:val="21"/>
        </w:rPr>
        <w:t>控</w:t>
      </w:r>
      <w:r>
        <w:rPr>
          <w:spacing w:val="-3"/>
          <w:sz w:val="21"/>
        </w:rPr>
        <w:t>设</w:t>
      </w:r>
      <w:r>
        <w:rPr>
          <w:sz w:val="21"/>
        </w:rPr>
        <w:t>备，</w:t>
      </w:r>
      <w:r>
        <w:rPr>
          <w:sz w:val="21"/>
        </w:rPr>
        <w:t xml:space="preserve"> </w:t>
      </w:r>
      <w:r>
        <w:rPr>
          <w:sz w:val="21"/>
        </w:rPr>
        <w:t>控制</w:t>
      </w:r>
      <w:r>
        <w:rPr>
          <w:spacing w:val="-3"/>
          <w:sz w:val="21"/>
        </w:rPr>
        <w:t>中</w:t>
      </w:r>
      <w:r>
        <w:rPr>
          <w:sz w:val="21"/>
        </w:rPr>
        <w:t>心</w:t>
      </w:r>
      <w:r>
        <w:rPr>
          <w:spacing w:val="20"/>
          <w:sz w:val="21"/>
        </w:rPr>
        <w:t xml:space="preserve"> </w:t>
      </w:r>
      <w:r>
        <w:rPr>
          <w:sz w:val="21"/>
        </w:rPr>
        <w:t>监</w:t>
      </w:r>
      <w:r>
        <w:rPr>
          <w:spacing w:val="-3"/>
          <w:sz w:val="21"/>
        </w:rPr>
        <w:t>控</w:t>
      </w:r>
      <w:r>
        <w:rPr>
          <w:sz w:val="21"/>
        </w:rPr>
        <w:t>设</w:t>
      </w:r>
      <w:r>
        <w:rPr>
          <w:spacing w:val="-3"/>
          <w:sz w:val="21"/>
        </w:rPr>
        <w:t>备</w:t>
      </w:r>
      <w:r>
        <w:rPr>
          <w:sz w:val="21"/>
        </w:rPr>
        <w:t>应</w:t>
      </w:r>
      <w:r>
        <w:rPr>
          <w:spacing w:val="-3"/>
          <w:sz w:val="21"/>
        </w:rPr>
        <w:t>能显</w:t>
      </w:r>
      <w:r>
        <w:rPr>
          <w:sz w:val="21"/>
        </w:rPr>
        <w:t>示发</w:t>
      </w:r>
      <w:r>
        <w:rPr>
          <w:spacing w:val="-3"/>
          <w:sz w:val="21"/>
        </w:rPr>
        <w:t>生</w:t>
      </w:r>
      <w:r>
        <w:rPr>
          <w:sz w:val="21"/>
        </w:rPr>
        <w:t>火</w:t>
      </w:r>
      <w:r>
        <w:rPr>
          <w:spacing w:val="-3"/>
          <w:sz w:val="21"/>
        </w:rPr>
        <w:t>灾</w:t>
      </w:r>
      <w:r>
        <w:rPr>
          <w:sz w:val="21"/>
        </w:rPr>
        <w:t>的</w:t>
      </w:r>
      <w:r>
        <w:rPr>
          <w:spacing w:val="-3"/>
          <w:sz w:val="21"/>
        </w:rPr>
        <w:t>住</w:t>
      </w:r>
      <w:r>
        <w:rPr>
          <w:sz w:val="21"/>
        </w:rPr>
        <w:t>户</w:t>
      </w:r>
      <w:r>
        <w:rPr>
          <w:spacing w:val="-3"/>
          <w:sz w:val="21"/>
        </w:rPr>
        <w:t>。</w:t>
      </w:r>
      <w:r>
        <w:rPr>
          <w:sz w:val="21"/>
        </w:rPr>
        <w:t xml:space="preserve"> </w:t>
      </w:r>
      <w:r>
        <w:rPr>
          <w:sz w:val="21"/>
        </w:rPr>
        <w:tab/>
      </w:r>
      <w:r>
        <w:rPr>
          <w:sz w:val="21"/>
        </w:rPr>
        <w:t xml:space="preserve">  </w:t>
      </w:r>
      <w:r>
        <w:rPr>
          <w:sz w:val="21"/>
        </w:rPr>
        <w:tab/>
      </w:r>
      <w:r>
        <w:rPr>
          <w:sz w:val="21"/>
        </w:rPr>
        <w:t xml:space="preserve">  </w:t>
      </w:r>
    </w:p>
    <w:p w14:paraId="48B3780C" w14:textId="77777777" w:rsidR="00A71EEF" w:rsidRDefault="0081115D">
      <w:pPr>
        <w:pStyle w:val="a4"/>
        <w:numPr>
          <w:ilvl w:val="2"/>
          <w:numId w:val="337"/>
        </w:numPr>
        <w:tabs>
          <w:tab w:val="left" w:pos="1371"/>
        </w:tabs>
        <w:rPr>
          <w:sz w:val="21"/>
        </w:rPr>
      </w:pPr>
      <w:r>
        <w:rPr>
          <w:sz w:val="21"/>
        </w:rPr>
        <w:t>D</w:t>
      </w:r>
      <w:r>
        <w:rPr>
          <w:spacing w:val="-9"/>
          <w:sz w:val="21"/>
        </w:rPr>
        <w:t xml:space="preserve"> </w:t>
      </w:r>
      <w:r>
        <w:rPr>
          <w:spacing w:val="-9"/>
          <w:sz w:val="21"/>
        </w:rPr>
        <w:t>类系统的设计应符合下列规定：</w:t>
      </w:r>
      <w:r>
        <w:rPr>
          <w:sz w:val="21"/>
        </w:rPr>
        <w:t xml:space="preserve"> </w:t>
      </w:r>
    </w:p>
    <w:p w14:paraId="281130CA" w14:textId="77777777" w:rsidR="00A71EEF" w:rsidRDefault="00A71EEF">
      <w:pPr>
        <w:pStyle w:val="a3"/>
        <w:rPr>
          <w:sz w:val="18"/>
        </w:rPr>
      </w:pPr>
    </w:p>
    <w:p w14:paraId="36897359" w14:textId="77777777" w:rsidR="00A71EEF" w:rsidRDefault="0081115D">
      <w:pPr>
        <w:pStyle w:val="a4"/>
        <w:numPr>
          <w:ilvl w:val="0"/>
          <w:numId w:val="336"/>
        </w:numPr>
        <w:tabs>
          <w:tab w:val="left" w:pos="1367"/>
        </w:tabs>
        <w:rPr>
          <w:sz w:val="21"/>
        </w:rPr>
      </w:pPr>
      <w:r>
        <w:rPr>
          <w:spacing w:val="-3"/>
          <w:sz w:val="21"/>
        </w:rPr>
        <w:t>有多个起居室的住户，宜采用互连型独立式火灾探测报警器。</w:t>
      </w:r>
      <w:r>
        <w:rPr>
          <w:sz w:val="21"/>
        </w:rPr>
        <w:t xml:space="preserve"> </w:t>
      </w:r>
    </w:p>
    <w:p w14:paraId="521AFF7D" w14:textId="77777777" w:rsidR="00A71EEF" w:rsidRDefault="00A71EEF">
      <w:pPr>
        <w:pStyle w:val="a3"/>
        <w:spacing w:before="12"/>
        <w:rPr>
          <w:sz w:val="17"/>
        </w:rPr>
      </w:pPr>
    </w:p>
    <w:p w14:paraId="70C8364C" w14:textId="77777777" w:rsidR="00A71EEF" w:rsidRDefault="0081115D">
      <w:pPr>
        <w:pStyle w:val="a4"/>
        <w:numPr>
          <w:ilvl w:val="0"/>
          <w:numId w:val="336"/>
        </w:numPr>
        <w:tabs>
          <w:tab w:val="left" w:pos="1367"/>
          <w:tab w:val="left" w:pos="7558"/>
        </w:tabs>
        <w:rPr>
          <w:sz w:val="21"/>
        </w:rPr>
      </w:pPr>
      <w:r>
        <w:rPr>
          <w:sz w:val="21"/>
        </w:rPr>
        <w:t>宜</w:t>
      </w:r>
      <w:r>
        <w:rPr>
          <w:spacing w:val="-3"/>
          <w:sz w:val="21"/>
        </w:rPr>
        <w:t>选</w:t>
      </w:r>
      <w:r>
        <w:rPr>
          <w:sz w:val="21"/>
        </w:rPr>
        <w:t>择</w:t>
      </w:r>
      <w:r>
        <w:rPr>
          <w:spacing w:val="-3"/>
          <w:sz w:val="21"/>
        </w:rPr>
        <w:t>电</w:t>
      </w:r>
      <w:r>
        <w:rPr>
          <w:sz w:val="21"/>
        </w:rPr>
        <w:t>池</w:t>
      </w:r>
      <w:r>
        <w:rPr>
          <w:spacing w:val="-3"/>
          <w:sz w:val="21"/>
        </w:rPr>
        <w:t>供</w:t>
      </w:r>
      <w:r>
        <w:rPr>
          <w:sz w:val="21"/>
        </w:rPr>
        <w:t>电</w:t>
      </w:r>
      <w:r>
        <w:rPr>
          <w:spacing w:val="-3"/>
          <w:sz w:val="21"/>
        </w:rPr>
        <w:t>时间</w:t>
      </w:r>
      <w:r>
        <w:rPr>
          <w:sz w:val="21"/>
        </w:rPr>
        <w:t>不少</w:t>
      </w:r>
      <w:r>
        <w:rPr>
          <w:spacing w:val="-3"/>
          <w:sz w:val="21"/>
        </w:rPr>
        <w:t>于</w:t>
      </w:r>
      <w:r>
        <w:rPr>
          <w:spacing w:val="16"/>
          <w:sz w:val="21"/>
        </w:rPr>
        <w:t xml:space="preserve"> </w:t>
      </w:r>
      <w:r>
        <w:rPr>
          <w:sz w:val="21"/>
        </w:rPr>
        <w:t>3</w:t>
      </w:r>
      <w:r>
        <w:rPr>
          <w:spacing w:val="12"/>
          <w:sz w:val="21"/>
        </w:rPr>
        <w:t xml:space="preserve"> </w:t>
      </w:r>
      <w:r>
        <w:rPr>
          <w:sz w:val="21"/>
        </w:rPr>
        <w:t>年</w:t>
      </w:r>
      <w:r>
        <w:rPr>
          <w:spacing w:val="-3"/>
          <w:sz w:val="21"/>
        </w:rPr>
        <w:t>的</w:t>
      </w:r>
      <w:r>
        <w:rPr>
          <w:sz w:val="21"/>
        </w:rPr>
        <w:t>独</w:t>
      </w:r>
      <w:r>
        <w:rPr>
          <w:spacing w:val="-3"/>
          <w:sz w:val="21"/>
        </w:rPr>
        <w:t>立</w:t>
      </w:r>
      <w:r>
        <w:rPr>
          <w:sz w:val="21"/>
        </w:rPr>
        <w:t>式</w:t>
      </w:r>
      <w:r>
        <w:rPr>
          <w:spacing w:val="-3"/>
          <w:sz w:val="21"/>
        </w:rPr>
        <w:t>火灾</w:t>
      </w:r>
      <w:r>
        <w:rPr>
          <w:sz w:val="21"/>
        </w:rPr>
        <w:t>探测</w:t>
      </w:r>
      <w:r>
        <w:rPr>
          <w:spacing w:val="-3"/>
          <w:sz w:val="21"/>
        </w:rPr>
        <w:t>报</w:t>
      </w:r>
      <w:r>
        <w:rPr>
          <w:sz w:val="21"/>
        </w:rPr>
        <w:t>警</w:t>
      </w:r>
      <w:r>
        <w:rPr>
          <w:spacing w:val="-3"/>
          <w:sz w:val="21"/>
        </w:rPr>
        <w:t>器。</w:t>
      </w:r>
      <w:r>
        <w:rPr>
          <w:sz w:val="21"/>
        </w:rPr>
        <w:t xml:space="preserve">  </w:t>
      </w:r>
      <w:r>
        <w:rPr>
          <w:sz w:val="21"/>
        </w:rPr>
        <w:t xml:space="preserve">  </w:t>
      </w:r>
      <w:r>
        <w:rPr>
          <w:sz w:val="21"/>
        </w:rPr>
        <w:tab/>
      </w:r>
      <w:r>
        <w:rPr>
          <w:sz w:val="21"/>
        </w:rPr>
        <w:t xml:space="preserve">  </w:t>
      </w:r>
    </w:p>
    <w:p w14:paraId="4BD80449" w14:textId="77777777" w:rsidR="00A71EEF" w:rsidRDefault="00A71EEF">
      <w:pPr>
        <w:pStyle w:val="a3"/>
        <w:spacing w:before="2"/>
        <w:rPr>
          <w:sz w:val="18"/>
        </w:rPr>
      </w:pPr>
    </w:p>
    <w:p w14:paraId="392935F8" w14:textId="77777777" w:rsidR="00A71EEF" w:rsidRDefault="0081115D">
      <w:pPr>
        <w:pStyle w:val="a4"/>
        <w:numPr>
          <w:ilvl w:val="2"/>
          <w:numId w:val="337"/>
        </w:numPr>
        <w:tabs>
          <w:tab w:val="left" w:pos="1424"/>
          <w:tab w:val="left" w:pos="3358"/>
          <w:tab w:val="left" w:pos="3778"/>
        </w:tabs>
        <w:spacing w:line="446" w:lineRule="auto"/>
        <w:ind w:left="418" w:right="1330" w:firstLine="422"/>
        <w:rPr>
          <w:sz w:val="21"/>
        </w:rPr>
      </w:pPr>
      <w:r>
        <w:rPr>
          <w:spacing w:val="-3"/>
          <w:sz w:val="21"/>
        </w:rPr>
        <w:t>采</w:t>
      </w:r>
      <w:r>
        <w:rPr>
          <w:sz w:val="21"/>
        </w:rPr>
        <w:t>用</w:t>
      </w:r>
      <w:r>
        <w:rPr>
          <w:spacing w:val="-3"/>
          <w:sz w:val="21"/>
        </w:rPr>
        <w:t>无</w:t>
      </w:r>
      <w:r>
        <w:rPr>
          <w:sz w:val="21"/>
        </w:rPr>
        <w:t>线</w:t>
      </w:r>
      <w:r>
        <w:rPr>
          <w:spacing w:val="-3"/>
          <w:sz w:val="21"/>
        </w:rPr>
        <w:t>方</w:t>
      </w:r>
      <w:r>
        <w:rPr>
          <w:sz w:val="21"/>
        </w:rPr>
        <w:t>式</w:t>
      </w:r>
      <w:r>
        <w:rPr>
          <w:spacing w:val="-3"/>
          <w:sz w:val="21"/>
        </w:rPr>
        <w:t>将独</w:t>
      </w:r>
      <w:r>
        <w:rPr>
          <w:sz w:val="21"/>
        </w:rPr>
        <w:t>立式</w:t>
      </w:r>
      <w:r>
        <w:rPr>
          <w:spacing w:val="-3"/>
          <w:sz w:val="21"/>
        </w:rPr>
        <w:t>火</w:t>
      </w:r>
      <w:r>
        <w:rPr>
          <w:sz w:val="21"/>
        </w:rPr>
        <w:t>灾</w:t>
      </w:r>
      <w:r>
        <w:rPr>
          <w:spacing w:val="-3"/>
          <w:sz w:val="21"/>
        </w:rPr>
        <w:t>探</w:t>
      </w:r>
      <w:r>
        <w:rPr>
          <w:sz w:val="21"/>
        </w:rPr>
        <w:t>测</w:t>
      </w:r>
      <w:r>
        <w:rPr>
          <w:spacing w:val="-3"/>
          <w:sz w:val="21"/>
        </w:rPr>
        <w:t>报</w:t>
      </w:r>
      <w:r>
        <w:rPr>
          <w:sz w:val="21"/>
        </w:rPr>
        <w:t>警</w:t>
      </w:r>
      <w:r>
        <w:rPr>
          <w:spacing w:val="-3"/>
          <w:sz w:val="21"/>
        </w:rPr>
        <w:t>器</w:t>
      </w:r>
      <w:r>
        <w:rPr>
          <w:sz w:val="21"/>
        </w:rPr>
        <w:t>组</w:t>
      </w:r>
      <w:r>
        <w:rPr>
          <w:spacing w:val="-3"/>
          <w:sz w:val="21"/>
        </w:rPr>
        <w:t>成</w:t>
      </w:r>
      <w:r>
        <w:rPr>
          <w:sz w:val="21"/>
        </w:rPr>
        <w:t>系统</w:t>
      </w:r>
      <w:r>
        <w:rPr>
          <w:spacing w:val="-3"/>
          <w:sz w:val="21"/>
        </w:rPr>
        <w:t>时</w:t>
      </w:r>
      <w:r>
        <w:rPr>
          <w:sz w:val="21"/>
        </w:rPr>
        <w:t>，</w:t>
      </w:r>
      <w:r>
        <w:rPr>
          <w:spacing w:val="-3"/>
          <w:sz w:val="21"/>
        </w:rPr>
        <w:t>系</w:t>
      </w:r>
      <w:r>
        <w:rPr>
          <w:sz w:val="21"/>
        </w:rPr>
        <w:t>统</w:t>
      </w:r>
      <w:r>
        <w:rPr>
          <w:spacing w:val="-3"/>
          <w:sz w:val="21"/>
        </w:rPr>
        <w:t>设</w:t>
      </w:r>
      <w:r>
        <w:rPr>
          <w:sz w:val="21"/>
        </w:rPr>
        <w:t>计</w:t>
      </w:r>
      <w:r>
        <w:rPr>
          <w:spacing w:val="-3"/>
          <w:sz w:val="21"/>
        </w:rPr>
        <w:t>应</w:t>
      </w:r>
      <w:r>
        <w:rPr>
          <w:sz w:val="21"/>
        </w:rPr>
        <w:t>符合</w:t>
      </w:r>
      <w:r>
        <w:rPr>
          <w:spacing w:val="58"/>
          <w:sz w:val="21"/>
        </w:rPr>
        <w:t xml:space="preserve"> </w:t>
      </w:r>
      <w:r>
        <w:rPr>
          <w:sz w:val="21"/>
        </w:rPr>
        <w:t>A</w:t>
      </w:r>
      <w:r>
        <w:rPr>
          <w:spacing w:val="61"/>
          <w:sz w:val="21"/>
        </w:rPr>
        <w:t xml:space="preserve"> </w:t>
      </w:r>
      <w:r>
        <w:rPr>
          <w:spacing w:val="-3"/>
          <w:sz w:val="21"/>
        </w:rPr>
        <w:t>类</w:t>
      </w:r>
      <w:r>
        <w:rPr>
          <w:sz w:val="21"/>
        </w:rPr>
        <w:t>、</w:t>
      </w:r>
      <w:r>
        <w:rPr>
          <w:spacing w:val="-3"/>
          <w:sz w:val="21"/>
        </w:rPr>
        <w:t>B</w:t>
      </w:r>
      <w:r>
        <w:rPr>
          <w:spacing w:val="62"/>
          <w:sz w:val="21"/>
        </w:rPr>
        <w:t xml:space="preserve"> </w:t>
      </w:r>
      <w:r>
        <w:rPr>
          <w:spacing w:val="-3"/>
          <w:sz w:val="21"/>
        </w:rPr>
        <w:t>类或</w:t>
      </w:r>
      <w:r>
        <w:rPr>
          <w:sz w:val="21"/>
        </w:rPr>
        <w:t>C</w:t>
      </w:r>
      <w:r>
        <w:rPr>
          <w:spacing w:val="14"/>
          <w:sz w:val="21"/>
        </w:rPr>
        <w:t xml:space="preserve"> </w:t>
      </w:r>
      <w:r>
        <w:rPr>
          <w:sz w:val="21"/>
        </w:rPr>
        <w:t>类</w:t>
      </w:r>
      <w:r>
        <w:rPr>
          <w:spacing w:val="-3"/>
          <w:sz w:val="21"/>
        </w:rPr>
        <w:t>系</w:t>
      </w:r>
      <w:r>
        <w:rPr>
          <w:sz w:val="21"/>
        </w:rPr>
        <w:t>统</w:t>
      </w:r>
      <w:r>
        <w:rPr>
          <w:spacing w:val="-3"/>
          <w:sz w:val="21"/>
        </w:rPr>
        <w:t>之</w:t>
      </w:r>
      <w:r>
        <w:rPr>
          <w:sz w:val="21"/>
        </w:rPr>
        <w:t>一</w:t>
      </w:r>
      <w:r>
        <w:rPr>
          <w:spacing w:val="-3"/>
          <w:sz w:val="21"/>
        </w:rPr>
        <w:t>的</w:t>
      </w:r>
      <w:r>
        <w:rPr>
          <w:sz w:val="21"/>
        </w:rPr>
        <w:t>设</w:t>
      </w:r>
      <w:r>
        <w:rPr>
          <w:spacing w:val="-3"/>
          <w:sz w:val="21"/>
        </w:rPr>
        <w:t>计</w:t>
      </w:r>
      <w:r>
        <w:rPr>
          <w:sz w:val="21"/>
        </w:rPr>
        <w:t>要</w:t>
      </w:r>
      <w:r>
        <w:rPr>
          <w:spacing w:val="-3"/>
          <w:sz w:val="21"/>
        </w:rPr>
        <w:t>求</w:t>
      </w:r>
      <w:r>
        <w:rPr>
          <w:sz w:val="21"/>
        </w:rPr>
        <w:t>。</w:t>
      </w:r>
      <w:r>
        <w:rPr>
          <w:sz w:val="21"/>
        </w:rPr>
        <w:t xml:space="preserve"> </w:t>
      </w:r>
      <w:r>
        <w:rPr>
          <w:sz w:val="21"/>
        </w:rPr>
        <w:tab/>
      </w:r>
      <w:r>
        <w:rPr>
          <w:sz w:val="21"/>
        </w:rPr>
        <w:t xml:space="preserve">  </w:t>
      </w:r>
      <w:r>
        <w:rPr>
          <w:sz w:val="21"/>
        </w:rPr>
        <w:tab/>
      </w:r>
      <w:r>
        <w:rPr>
          <w:sz w:val="21"/>
        </w:rPr>
        <w:t xml:space="preserve">  </w:t>
      </w:r>
    </w:p>
    <w:p w14:paraId="7D082F93" w14:textId="77777777" w:rsidR="00A71EEF" w:rsidRDefault="0081115D">
      <w:pPr>
        <w:pStyle w:val="a4"/>
        <w:numPr>
          <w:ilvl w:val="1"/>
          <w:numId w:val="335"/>
        </w:numPr>
        <w:tabs>
          <w:tab w:val="left" w:pos="1159"/>
        </w:tabs>
        <w:spacing w:line="267" w:lineRule="exact"/>
        <w:ind w:hanging="319"/>
        <w:rPr>
          <w:sz w:val="21"/>
        </w:rPr>
      </w:pPr>
      <w:r>
        <w:rPr>
          <w:spacing w:val="-3"/>
          <w:sz w:val="21"/>
        </w:rPr>
        <w:t>火灾探测器的设置</w:t>
      </w:r>
      <w:r>
        <w:rPr>
          <w:sz w:val="21"/>
        </w:rPr>
        <w:t xml:space="preserve"> </w:t>
      </w:r>
    </w:p>
    <w:p w14:paraId="3E161B5B" w14:textId="77777777" w:rsidR="00A71EEF" w:rsidRDefault="00A71EEF">
      <w:pPr>
        <w:pStyle w:val="a3"/>
        <w:spacing w:before="2"/>
        <w:rPr>
          <w:sz w:val="18"/>
        </w:rPr>
      </w:pPr>
    </w:p>
    <w:p w14:paraId="71243CC2" w14:textId="77777777" w:rsidR="00A71EEF" w:rsidRDefault="0081115D">
      <w:pPr>
        <w:pStyle w:val="a4"/>
        <w:numPr>
          <w:ilvl w:val="2"/>
          <w:numId w:val="335"/>
        </w:numPr>
        <w:tabs>
          <w:tab w:val="left" w:pos="1370"/>
        </w:tabs>
        <w:ind w:hanging="530"/>
        <w:rPr>
          <w:sz w:val="21"/>
        </w:rPr>
      </w:pPr>
      <w:r>
        <w:rPr>
          <w:spacing w:val="-3"/>
          <w:sz w:val="21"/>
        </w:rPr>
        <w:t>每间卧室、起居室内应至少设置一只感烟火灾探测器。</w:t>
      </w:r>
      <w:r>
        <w:rPr>
          <w:sz w:val="21"/>
        </w:rPr>
        <w:t xml:space="preserve"> </w:t>
      </w:r>
      <w:r>
        <w:rPr>
          <w:spacing w:val="-9"/>
          <w:sz w:val="21"/>
        </w:rPr>
        <w:t xml:space="preserve"> </w:t>
      </w:r>
      <w:r>
        <w:rPr>
          <w:sz w:val="21"/>
        </w:rPr>
        <w:t xml:space="preserve">  </w:t>
      </w:r>
    </w:p>
    <w:p w14:paraId="163BE25A" w14:textId="77777777" w:rsidR="00A71EEF" w:rsidRDefault="00A71EEF">
      <w:pPr>
        <w:pStyle w:val="a3"/>
        <w:rPr>
          <w:sz w:val="18"/>
        </w:rPr>
      </w:pPr>
    </w:p>
    <w:p w14:paraId="1267648D" w14:textId="77777777" w:rsidR="00A71EEF" w:rsidRDefault="0081115D">
      <w:pPr>
        <w:pStyle w:val="a4"/>
        <w:numPr>
          <w:ilvl w:val="2"/>
          <w:numId w:val="335"/>
        </w:numPr>
        <w:tabs>
          <w:tab w:val="left" w:pos="1370"/>
        </w:tabs>
        <w:ind w:hanging="530"/>
        <w:rPr>
          <w:sz w:val="21"/>
        </w:rPr>
      </w:pPr>
      <w:r>
        <w:rPr>
          <w:spacing w:val="-3"/>
          <w:sz w:val="21"/>
        </w:rPr>
        <w:t>可燃气体探测器在厨房设置时，应符合下列规定：</w:t>
      </w:r>
      <w:r>
        <w:rPr>
          <w:sz w:val="21"/>
        </w:rPr>
        <w:t xml:space="preserve"> </w:t>
      </w:r>
    </w:p>
    <w:p w14:paraId="23891E23" w14:textId="77777777" w:rsidR="00A71EEF" w:rsidRDefault="00A71EEF">
      <w:pPr>
        <w:pStyle w:val="a3"/>
        <w:spacing w:before="12"/>
        <w:rPr>
          <w:sz w:val="17"/>
        </w:rPr>
      </w:pPr>
    </w:p>
    <w:p w14:paraId="5E55DEEF" w14:textId="77777777" w:rsidR="00A71EEF" w:rsidRDefault="0081115D">
      <w:pPr>
        <w:pStyle w:val="a4"/>
        <w:numPr>
          <w:ilvl w:val="0"/>
          <w:numId w:val="334"/>
        </w:numPr>
        <w:tabs>
          <w:tab w:val="left" w:pos="1367"/>
        </w:tabs>
        <w:spacing w:line="446" w:lineRule="auto"/>
        <w:ind w:right="1431" w:firstLine="419"/>
        <w:rPr>
          <w:sz w:val="21"/>
        </w:rPr>
      </w:pPr>
      <w:r>
        <w:rPr>
          <w:spacing w:val="-8"/>
          <w:sz w:val="21"/>
        </w:rPr>
        <w:t>使用天然气的用户应选择甲烷探测器，使用液化气的用户应选择丙烷探测器，使用煤</w:t>
      </w:r>
      <w:r>
        <w:rPr>
          <w:spacing w:val="-8"/>
          <w:sz w:val="21"/>
        </w:rPr>
        <w:t xml:space="preserve"> </w:t>
      </w:r>
      <w:r>
        <w:rPr>
          <w:spacing w:val="-6"/>
          <w:sz w:val="21"/>
        </w:rPr>
        <w:t>制气的用</w:t>
      </w:r>
      <w:r>
        <w:rPr>
          <w:spacing w:val="-6"/>
          <w:sz w:val="21"/>
        </w:rPr>
        <w:t xml:space="preserve"> </w:t>
      </w:r>
      <w:r>
        <w:rPr>
          <w:spacing w:val="-6"/>
          <w:sz w:val="21"/>
        </w:rPr>
        <w:t>户应选择一氧化碳探测器。</w:t>
      </w:r>
      <w:r>
        <w:rPr>
          <w:sz w:val="21"/>
        </w:rPr>
        <w:t xml:space="preserve"> </w:t>
      </w:r>
    </w:p>
    <w:p w14:paraId="1F5655D6" w14:textId="77777777" w:rsidR="00A71EEF" w:rsidRDefault="0081115D">
      <w:pPr>
        <w:pStyle w:val="a4"/>
        <w:numPr>
          <w:ilvl w:val="0"/>
          <w:numId w:val="334"/>
        </w:numPr>
        <w:tabs>
          <w:tab w:val="left" w:pos="1367"/>
        </w:tabs>
        <w:ind w:left="1367"/>
        <w:rPr>
          <w:sz w:val="21"/>
        </w:rPr>
      </w:pPr>
      <w:r>
        <w:rPr>
          <w:spacing w:val="-3"/>
          <w:sz w:val="21"/>
        </w:rPr>
        <w:t>连接燃气灶具的软管及接头在橱柜内部时，探测器宜设置在橱柜内部。</w:t>
      </w:r>
      <w:r>
        <w:rPr>
          <w:spacing w:val="-3"/>
          <w:sz w:val="21"/>
        </w:rPr>
        <w:t xml:space="preserve"> </w:t>
      </w:r>
    </w:p>
    <w:p w14:paraId="4E27B281" w14:textId="77777777" w:rsidR="00A71EEF" w:rsidRDefault="00A71EEF">
      <w:pPr>
        <w:pStyle w:val="a3"/>
        <w:spacing w:before="12"/>
        <w:rPr>
          <w:sz w:val="17"/>
        </w:rPr>
      </w:pPr>
    </w:p>
    <w:p w14:paraId="63F7EECE" w14:textId="77777777" w:rsidR="00A71EEF" w:rsidRDefault="0081115D">
      <w:pPr>
        <w:pStyle w:val="a4"/>
        <w:numPr>
          <w:ilvl w:val="0"/>
          <w:numId w:val="334"/>
        </w:numPr>
        <w:tabs>
          <w:tab w:val="left" w:pos="1367"/>
        </w:tabs>
        <w:spacing w:line="446" w:lineRule="auto"/>
        <w:ind w:right="1431" w:firstLine="419"/>
        <w:rPr>
          <w:sz w:val="21"/>
        </w:rPr>
      </w:pPr>
      <w:r>
        <w:rPr>
          <w:spacing w:val="-9"/>
          <w:sz w:val="21"/>
        </w:rPr>
        <w:t>甲烷探测器应设置在厨房顶部，丙烷探测器应设置在厨房下部，一氧化碳探测器可设</w:t>
      </w:r>
      <w:r>
        <w:rPr>
          <w:spacing w:val="-9"/>
          <w:sz w:val="21"/>
        </w:rPr>
        <w:t xml:space="preserve"> </w:t>
      </w:r>
      <w:r>
        <w:rPr>
          <w:spacing w:val="-6"/>
          <w:sz w:val="21"/>
        </w:rPr>
        <w:t>置在厨房下部，也可设置在其他部位。</w:t>
      </w:r>
      <w:r>
        <w:rPr>
          <w:sz w:val="21"/>
        </w:rPr>
        <w:t xml:space="preserve"> </w:t>
      </w:r>
    </w:p>
    <w:p w14:paraId="39913CE9" w14:textId="77777777" w:rsidR="00A71EEF" w:rsidRDefault="0081115D">
      <w:pPr>
        <w:pStyle w:val="a4"/>
        <w:numPr>
          <w:ilvl w:val="0"/>
          <w:numId w:val="334"/>
        </w:numPr>
        <w:tabs>
          <w:tab w:val="left" w:pos="1367"/>
        </w:tabs>
        <w:spacing w:before="1"/>
        <w:ind w:left="1367"/>
        <w:rPr>
          <w:sz w:val="21"/>
        </w:rPr>
      </w:pPr>
      <w:r>
        <w:rPr>
          <w:spacing w:val="-3"/>
          <w:sz w:val="21"/>
        </w:rPr>
        <w:t>可燃气体探测器不宜设置在灶具正上方。</w:t>
      </w:r>
      <w:r>
        <w:rPr>
          <w:sz w:val="21"/>
        </w:rPr>
        <w:t xml:space="preserve"> </w:t>
      </w:r>
    </w:p>
    <w:p w14:paraId="13DA9BF3" w14:textId="77777777" w:rsidR="00A71EEF" w:rsidRDefault="00A71EEF">
      <w:pPr>
        <w:pStyle w:val="a3"/>
        <w:spacing w:before="12"/>
        <w:rPr>
          <w:sz w:val="17"/>
        </w:rPr>
      </w:pPr>
    </w:p>
    <w:p w14:paraId="449D82EF" w14:textId="77777777" w:rsidR="00A71EEF" w:rsidRDefault="0081115D">
      <w:pPr>
        <w:pStyle w:val="a4"/>
        <w:numPr>
          <w:ilvl w:val="0"/>
          <w:numId w:val="334"/>
        </w:numPr>
        <w:tabs>
          <w:tab w:val="left" w:pos="1367"/>
        </w:tabs>
        <w:ind w:left="1367"/>
        <w:rPr>
          <w:sz w:val="21"/>
        </w:rPr>
      </w:pPr>
      <w:r>
        <w:rPr>
          <w:spacing w:val="-3"/>
          <w:sz w:val="21"/>
        </w:rPr>
        <w:t>宜采用具有联动关断燃气关断阀功能的可燃气体探测器。</w:t>
      </w:r>
      <w:r>
        <w:rPr>
          <w:sz w:val="21"/>
        </w:rPr>
        <w:t xml:space="preserve"> </w:t>
      </w:r>
    </w:p>
    <w:p w14:paraId="69B4D381" w14:textId="77777777" w:rsidR="00A71EEF" w:rsidRDefault="00A71EEF">
      <w:pPr>
        <w:pStyle w:val="a3"/>
        <w:spacing w:before="2"/>
        <w:rPr>
          <w:sz w:val="18"/>
        </w:rPr>
      </w:pPr>
    </w:p>
    <w:p w14:paraId="5922DD0B" w14:textId="77777777" w:rsidR="00A71EEF" w:rsidRDefault="0081115D">
      <w:pPr>
        <w:pStyle w:val="a4"/>
        <w:numPr>
          <w:ilvl w:val="0"/>
          <w:numId w:val="334"/>
        </w:numPr>
        <w:tabs>
          <w:tab w:val="left" w:pos="1370"/>
        </w:tabs>
        <w:spacing w:line="446" w:lineRule="auto"/>
        <w:ind w:right="1438" w:firstLine="419"/>
        <w:rPr>
          <w:sz w:val="21"/>
        </w:rPr>
      </w:pPr>
      <w:r>
        <w:rPr>
          <w:spacing w:val="-1"/>
          <w:sz w:val="21"/>
        </w:rPr>
        <w:t>探测器联动的燃气关断阀宜为用户可以自己复位的关断阀，并应具有胶管脱落自动保</w:t>
      </w:r>
      <w:r>
        <w:rPr>
          <w:spacing w:val="-2"/>
          <w:sz w:val="21"/>
        </w:rPr>
        <w:t>护功能。</w:t>
      </w:r>
      <w:r>
        <w:rPr>
          <w:sz w:val="21"/>
        </w:rPr>
        <w:t xml:space="preserve"> </w:t>
      </w:r>
    </w:p>
    <w:p w14:paraId="2986DF64" w14:textId="77777777" w:rsidR="00A71EEF" w:rsidRDefault="0081115D">
      <w:pPr>
        <w:pStyle w:val="a4"/>
        <w:numPr>
          <w:ilvl w:val="1"/>
          <w:numId w:val="335"/>
        </w:numPr>
        <w:tabs>
          <w:tab w:val="left" w:pos="1160"/>
        </w:tabs>
        <w:spacing w:line="267" w:lineRule="exact"/>
        <w:ind w:left="1159" w:hanging="320"/>
        <w:rPr>
          <w:sz w:val="21"/>
        </w:rPr>
      </w:pPr>
      <w:r>
        <w:rPr>
          <w:spacing w:val="-3"/>
          <w:sz w:val="21"/>
        </w:rPr>
        <w:t>家用火灾报警控制器的设置</w:t>
      </w:r>
      <w:r>
        <w:rPr>
          <w:sz w:val="21"/>
        </w:rPr>
        <w:t xml:space="preserve"> </w:t>
      </w:r>
    </w:p>
    <w:p w14:paraId="3634C47D" w14:textId="77777777" w:rsidR="00A71EEF" w:rsidRDefault="00A71EEF">
      <w:pPr>
        <w:pStyle w:val="a3"/>
        <w:spacing w:before="2"/>
        <w:rPr>
          <w:sz w:val="18"/>
        </w:rPr>
      </w:pPr>
    </w:p>
    <w:p w14:paraId="2162BBFD" w14:textId="77777777" w:rsidR="00A71EEF" w:rsidRDefault="0081115D">
      <w:pPr>
        <w:pStyle w:val="a4"/>
        <w:numPr>
          <w:ilvl w:val="2"/>
          <w:numId w:val="335"/>
        </w:numPr>
        <w:tabs>
          <w:tab w:val="left" w:pos="1371"/>
          <w:tab w:val="left" w:pos="5878"/>
        </w:tabs>
        <w:spacing w:line="446" w:lineRule="auto"/>
        <w:ind w:left="418" w:right="1431" w:firstLine="422"/>
        <w:rPr>
          <w:sz w:val="21"/>
        </w:rPr>
      </w:pPr>
      <w:r>
        <w:rPr>
          <w:spacing w:val="-3"/>
          <w:sz w:val="21"/>
        </w:rPr>
        <w:t>家</w:t>
      </w:r>
      <w:r>
        <w:rPr>
          <w:sz w:val="21"/>
        </w:rPr>
        <w:t>用</w:t>
      </w:r>
      <w:r>
        <w:rPr>
          <w:spacing w:val="-3"/>
          <w:sz w:val="21"/>
        </w:rPr>
        <w:t>火</w:t>
      </w:r>
      <w:r>
        <w:rPr>
          <w:sz w:val="21"/>
        </w:rPr>
        <w:t>灾</w:t>
      </w:r>
      <w:r>
        <w:rPr>
          <w:spacing w:val="-3"/>
          <w:sz w:val="21"/>
        </w:rPr>
        <w:t>报</w:t>
      </w:r>
      <w:r>
        <w:rPr>
          <w:sz w:val="21"/>
        </w:rPr>
        <w:t>警</w:t>
      </w:r>
      <w:r>
        <w:rPr>
          <w:spacing w:val="-3"/>
          <w:sz w:val="21"/>
        </w:rPr>
        <w:t>控制</w:t>
      </w:r>
      <w:r>
        <w:rPr>
          <w:sz w:val="21"/>
        </w:rPr>
        <w:t>器应</w:t>
      </w:r>
      <w:r>
        <w:rPr>
          <w:spacing w:val="-3"/>
          <w:sz w:val="21"/>
        </w:rPr>
        <w:t>独</w:t>
      </w:r>
      <w:r>
        <w:rPr>
          <w:sz w:val="21"/>
        </w:rPr>
        <w:t>立</w:t>
      </w:r>
      <w:r>
        <w:rPr>
          <w:spacing w:val="-3"/>
          <w:sz w:val="21"/>
        </w:rPr>
        <w:t>设</w:t>
      </w:r>
      <w:r>
        <w:rPr>
          <w:sz w:val="21"/>
        </w:rPr>
        <w:t>置</w:t>
      </w:r>
      <w:r>
        <w:rPr>
          <w:spacing w:val="-3"/>
          <w:sz w:val="21"/>
        </w:rPr>
        <w:t>在</w:t>
      </w:r>
      <w:r>
        <w:rPr>
          <w:sz w:val="21"/>
        </w:rPr>
        <w:t>每</w:t>
      </w:r>
      <w:r>
        <w:rPr>
          <w:spacing w:val="-3"/>
          <w:sz w:val="21"/>
        </w:rPr>
        <w:t>户</w:t>
      </w:r>
      <w:r>
        <w:rPr>
          <w:sz w:val="21"/>
        </w:rPr>
        <w:t>内</w:t>
      </w:r>
      <w:r>
        <w:rPr>
          <w:spacing w:val="-22"/>
          <w:sz w:val="21"/>
        </w:rPr>
        <w:t>，</w:t>
      </w:r>
      <w:r>
        <w:rPr>
          <w:sz w:val="21"/>
        </w:rPr>
        <w:t>且应</w:t>
      </w:r>
      <w:r>
        <w:rPr>
          <w:spacing w:val="-3"/>
          <w:sz w:val="21"/>
        </w:rPr>
        <w:t>设</w:t>
      </w:r>
      <w:r>
        <w:rPr>
          <w:sz w:val="21"/>
        </w:rPr>
        <w:t>置</w:t>
      </w:r>
      <w:r>
        <w:rPr>
          <w:spacing w:val="-3"/>
          <w:sz w:val="21"/>
        </w:rPr>
        <w:t>在</w:t>
      </w:r>
      <w:r>
        <w:rPr>
          <w:sz w:val="21"/>
        </w:rPr>
        <w:t>明</w:t>
      </w:r>
      <w:r>
        <w:rPr>
          <w:spacing w:val="-3"/>
          <w:sz w:val="21"/>
        </w:rPr>
        <w:t>显</w:t>
      </w:r>
      <w:r>
        <w:rPr>
          <w:sz w:val="21"/>
        </w:rPr>
        <w:t>和</w:t>
      </w:r>
      <w:r>
        <w:rPr>
          <w:spacing w:val="-3"/>
          <w:sz w:val="21"/>
        </w:rPr>
        <w:t>便</w:t>
      </w:r>
      <w:r>
        <w:rPr>
          <w:sz w:val="21"/>
        </w:rPr>
        <w:t>于</w:t>
      </w:r>
      <w:r>
        <w:rPr>
          <w:spacing w:val="-3"/>
          <w:sz w:val="21"/>
        </w:rPr>
        <w:t>操</w:t>
      </w:r>
      <w:r>
        <w:rPr>
          <w:sz w:val="21"/>
        </w:rPr>
        <w:t>作的</w:t>
      </w:r>
      <w:r>
        <w:rPr>
          <w:spacing w:val="-3"/>
          <w:sz w:val="21"/>
        </w:rPr>
        <w:t>部</w:t>
      </w:r>
      <w:r>
        <w:rPr>
          <w:sz w:val="21"/>
        </w:rPr>
        <w:t>位</w:t>
      </w:r>
      <w:r>
        <w:rPr>
          <w:spacing w:val="-22"/>
          <w:sz w:val="21"/>
        </w:rPr>
        <w:t>。</w:t>
      </w:r>
      <w:r>
        <w:rPr>
          <w:sz w:val="21"/>
        </w:rPr>
        <w:t>当采用壁</w:t>
      </w:r>
      <w:r>
        <w:rPr>
          <w:spacing w:val="-3"/>
          <w:sz w:val="21"/>
        </w:rPr>
        <w:t>挂</w:t>
      </w:r>
      <w:r>
        <w:rPr>
          <w:sz w:val="21"/>
        </w:rPr>
        <w:t>方</w:t>
      </w:r>
      <w:r>
        <w:rPr>
          <w:spacing w:val="-3"/>
          <w:sz w:val="21"/>
        </w:rPr>
        <w:t>式</w:t>
      </w:r>
      <w:r>
        <w:rPr>
          <w:sz w:val="21"/>
        </w:rPr>
        <w:t>安</w:t>
      </w:r>
      <w:r>
        <w:rPr>
          <w:spacing w:val="-3"/>
          <w:sz w:val="21"/>
        </w:rPr>
        <w:t>装</w:t>
      </w:r>
      <w:r>
        <w:rPr>
          <w:sz w:val="21"/>
        </w:rPr>
        <w:t>时</w:t>
      </w:r>
      <w:r>
        <w:rPr>
          <w:spacing w:val="-3"/>
          <w:sz w:val="21"/>
        </w:rPr>
        <w:t>，</w:t>
      </w:r>
      <w:r>
        <w:rPr>
          <w:sz w:val="21"/>
        </w:rPr>
        <w:t>其</w:t>
      </w:r>
      <w:r>
        <w:rPr>
          <w:spacing w:val="-3"/>
          <w:sz w:val="21"/>
        </w:rPr>
        <w:t>底</w:t>
      </w:r>
      <w:r>
        <w:rPr>
          <w:sz w:val="21"/>
        </w:rPr>
        <w:t>边距</w:t>
      </w:r>
      <w:r>
        <w:rPr>
          <w:spacing w:val="-3"/>
          <w:sz w:val="21"/>
        </w:rPr>
        <w:t>地</w:t>
      </w:r>
      <w:r>
        <w:rPr>
          <w:sz w:val="21"/>
        </w:rPr>
        <w:t>高</w:t>
      </w:r>
      <w:r>
        <w:rPr>
          <w:spacing w:val="-3"/>
          <w:sz w:val="21"/>
        </w:rPr>
        <w:t>度</w:t>
      </w:r>
      <w:r>
        <w:rPr>
          <w:sz w:val="21"/>
        </w:rPr>
        <w:t>宜</w:t>
      </w:r>
      <w:r>
        <w:rPr>
          <w:spacing w:val="-3"/>
          <w:sz w:val="21"/>
        </w:rPr>
        <w:t>为</w:t>
      </w:r>
      <w:r>
        <w:rPr>
          <w:spacing w:val="10"/>
          <w:sz w:val="21"/>
        </w:rPr>
        <w:t xml:space="preserve"> </w:t>
      </w:r>
      <w:r>
        <w:rPr>
          <w:sz w:val="21"/>
        </w:rPr>
        <w:t>1.3</w:t>
      </w:r>
      <w:r>
        <w:rPr>
          <w:sz w:val="21"/>
        </w:rPr>
        <w:t>～</w:t>
      </w:r>
      <w:r>
        <w:rPr>
          <w:sz w:val="21"/>
        </w:rPr>
        <w:t>1.5m</w:t>
      </w:r>
      <w:r>
        <w:rPr>
          <w:spacing w:val="10"/>
          <w:sz w:val="21"/>
        </w:rPr>
        <w:t xml:space="preserve"> </w:t>
      </w:r>
      <w:r>
        <w:rPr>
          <w:spacing w:val="-3"/>
          <w:sz w:val="21"/>
        </w:rPr>
        <w:t>。</w:t>
      </w:r>
      <w:r>
        <w:rPr>
          <w:sz w:val="21"/>
        </w:rPr>
        <w:t xml:space="preserve"> </w:t>
      </w:r>
      <w:r>
        <w:rPr>
          <w:sz w:val="21"/>
        </w:rPr>
        <w:tab/>
      </w:r>
      <w:r>
        <w:rPr>
          <w:sz w:val="21"/>
        </w:rPr>
        <w:t xml:space="preserve">  </w:t>
      </w:r>
    </w:p>
    <w:p w14:paraId="63D2A4D0" w14:textId="77777777" w:rsidR="00A71EEF" w:rsidRDefault="0081115D">
      <w:pPr>
        <w:pStyle w:val="a4"/>
        <w:numPr>
          <w:ilvl w:val="2"/>
          <w:numId w:val="335"/>
        </w:numPr>
        <w:tabs>
          <w:tab w:val="left" w:pos="1370"/>
        </w:tabs>
        <w:spacing w:line="267" w:lineRule="exact"/>
        <w:ind w:hanging="530"/>
        <w:rPr>
          <w:sz w:val="21"/>
        </w:rPr>
      </w:pPr>
      <w:r>
        <w:rPr>
          <w:spacing w:val="-3"/>
          <w:sz w:val="21"/>
        </w:rPr>
        <w:t>具有可视对讲功能的家用火灾报警控制器宜设置在进户门附近。</w:t>
      </w:r>
      <w:r>
        <w:rPr>
          <w:sz w:val="21"/>
        </w:rPr>
        <w:t xml:space="preserve"> </w:t>
      </w:r>
      <w:r>
        <w:rPr>
          <w:spacing w:val="-9"/>
          <w:sz w:val="21"/>
        </w:rPr>
        <w:t xml:space="preserve"> </w:t>
      </w:r>
      <w:r>
        <w:rPr>
          <w:sz w:val="21"/>
        </w:rPr>
        <w:t xml:space="preserve">  </w:t>
      </w:r>
    </w:p>
    <w:p w14:paraId="2309997B" w14:textId="77777777" w:rsidR="00A71EEF" w:rsidRDefault="00A71EEF">
      <w:pPr>
        <w:pStyle w:val="a3"/>
        <w:spacing w:before="2"/>
        <w:rPr>
          <w:sz w:val="18"/>
        </w:rPr>
      </w:pPr>
    </w:p>
    <w:p w14:paraId="4251B5F6" w14:textId="77777777" w:rsidR="00A71EEF" w:rsidRDefault="0081115D">
      <w:pPr>
        <w:pStyle w:val="a4"/>
        <w:numPr>
          <w:ilvl w:val="1"/>
          <w:numId w:val="335"/>
        </w:numPr>
        <w:tabs>
          <w:tab w:val="left" w:pos="1159"/>
        </w:tabs>
        <w:ind w:hanging="319"/>
        <w:rPr>
          <w:b/>
          <w:sz w:val="21"/>
        </w:rPr>
      </w:pPr>
      <w:r>
        <w:rPr>
          <w:spacing w:val="-3"/>
          <w:sz w:val="21"/>
        </w:rPr>
        <w:t>火灾声警报器的设置</w:t>
      </w:r>
      <w:r>
        <w:rPr>
          <w:b/>
          <w:w w:val="99"/>
          <w:sz w:val="21"/>
        </w:rPr>
        <w:t xml:space="preserve"> </w:t>
      </w:r>
    </w:p>
    <w:p w14:paraId="53BE73A2" w14:textId="77777777" w:rsidR="00A71EEF" w:rsidRDefault="00A71EEF">
      <w:pPr>
        <w:rPr>
          <w:sz w:val="21"/>
        </w:rPr>
        <w:sectPr w:rsidR="00A71EEF">
          <w:pgSz w:w="11910" w:h="16850"/>
          <w:pgMar w:top="1220" w:right="0" w:bottom="1420" w:left="1260" w:header="0" w:footer="1239" w:gutter="0"/>
          <w:cols w:space="720"/>
        </w:sectPr>
      </w:pPr>
    </w:p>
    <w:p w14:paraId="4C6702D0" w14:textId="77777777" w:rsidR="00A71EEF" w:rsidRDefault="0081115D">
      <w:pPr>
        <w:pStyle w:val="a4"/>
        <w:numPr>
          <w:ilvl w:val="2"/>
          <w:numId w:val="335"/>
        </w:numPr>
        <w:tabs>
          <w:tab w:val="left" w:pos="1370"/>
          <w:tab w:val="left" w:pos="4618"/>
          <w:tab w:val="left" w:pos="5038"/>
        </w:tabs>
        <w:spacing w:before="47" w:line="446" w:lineRule="auto"/>
        <w:ind w:left="418" w:right="1431" w:firstLine="422"/>
        <w:rPr>
          <w:sz w:val="21"/>
        </w:rPr>
      </w:pPr>
      <w:r>
        <w:rPr>
          <w:spacing w:val="-3"/>
          <w:sz w:val="21"/>
        </w:rPr>
        <w:t>住</w:t>
      </w:r>
      <w:r>
        <w:rPr>
          <w:sz w:val="21"/>
        </w:rPr>
        <w:t>宅</w:t>
      </w:r>
      <w:r>
        <w:rPr>
          <w:spacing w:val="-3"/>
          <w:sz w:val="21"/>
        </w:rPr>
        <w:t>建</w:t>
      </w:r>
      <w:r>
        <w:rPr>
          <w:sz w:val="21"/>
        </w:rPr>
        <w:t>筑</w:t>
      </w:r>
      <w:r>
        <w:rPr>
          <w:spacing w:val="-3"/>
          <w:sz w:val="21"/>
        </w:rPr>
        <w:t>公</w:t>
      </w:r>
      <w:r>
        <w:rPr>
          <w:sz w:val="21"/>
        </w:rPr>
        <w:t>共</w:t>
      </w:r>
      <w:r>
        <w:rPr>
          <w:spacing w:val="-3"/>
          <w:sz w:val="21"/>
        </w:rPr>
        <w:t>部位</w:t>
      </w:r>
      <w:r>
        <w:rPr>
          <w:sz w:val="21"/>
        </w:rPr>
        <w:t>设置</w:t>
      </w:r>
      <w:r>
        <w:rPr>
          <w:spacing w:val="-3"/>
          <w:sz w:val="21"/>
        </w:rPr>
        <w:t>的</w:t>
      </w:r>
      <w:r>
        <w:rPr>
          <w:sz w:val="21"/>
        </w:rPr>
        <w:t>火</w:t>
      </w:r>
      <w:r>
        <w:rPr>
          <w:spacing w:val="-3"/>
          <w:sz w:val="21"/>
        </w:rPr>
        <w:t>灾</w:t>
      </w:r>
      <w:r>
        <w:rPr>
          <w:sz w:val="21"/>
        </w:rPr>
        <w:t>声</w:t>
      </w:r>
      <w:r>
        <w:rPr>
          <w:spacing w:val="-3"/>
          <w:sz w:val="21"/>
        </w:rPr>
        <w:t>警</w:t>
      </w:r>
      <w:r>
        <w:rPr>
          <w:sz w:val="21"/>
        </w:rPr>
        <w:t>报</w:t>
      </w:r>
      <w:r>
        <w:rPr>
          <w:spacing w:val="-3"/>
          <w:sz w:val="21"/>
        </w:rPr>
        <w:t>器</w:t>
      </w:r>
      <w:r>
        <w:rPr>
          <w:sz w:val="21"/>
        </w:rPr>
        <w:t>应</w:t>
      </w:r>
      <w:r>
        <w:rPr>
          <w:spacing w:val="-3"/>
          <w:sz w:val="21"/>
        </w:rPr>
        <w:t>具</w:t>
      </w:r>
      <w:r>
        <w:rPr>
          <w:sz w:val="21"/>
        </w:rPr>
        <w:t>有语</w:t>
      </w:r>
      <w:r>
        <w:rPr>
          <w:spacing w:val="-3"/>
          <w:sz w:val="21"/>
        </w:rPr>
        <w:t>音</w:t>
      </w:r>
      <w:r>
        <w:rPr>
          <w:sz w:val="21"/>
        </w:rPr>
        <w:t>功</w:t>
      </w:r>
      <w:r>
        <w:rPr>
          <w:spacing w:val="-3"/>
          <w:sz w:val="21"/>
        </w:rPr>
        <w:t>能</w:t>
      </w:r>
      <w:r>
        <w:rPr>
          <w:spacing w:val="-39"/>
          <w:sz w:val="21"/>
        </w:rPr>
        <w:t>，</w:t>
      </w:r>
      <w:r>
        <w:rPr>
          <w:spacing w:val="-3"/>
          <w:sz w:val="21"/>
        </w:rPr>
        <w:t>且</w:t>
      </w:r>
      <w:r>
        <w:rPr>
          <w:sz w:val="21"/>
        </w:rPr>
        <w:t>应</w:t>
      </w:r>
      <w:r>
        <w:rPr>
          <w:spacing w:val="-3"/>
          <w:sz w:val="21"/>
        </w:rPr>
        <w:t>能</w:t>
      </w:r>
      <w:r>
        <w:rPr>
          <w:sz w:val="21"/>
        </w:rPr>
        <w:t>接</w:t>
      </w:r>
      <w:r>
        <w:rPr>
          <w:spacing w:val="-3"/>
          <w:sz w:val="21"/>
        </w:rPr>
        <w:t>受</w:t>
      </w:r>
      <w:r>
        <w:rPr>
          <w:sz w:val="21"/>
        </w:rPr>
        <w:t>联动</w:t>
      </w:r>
      <w:r>
        <w:rPr>
          <w:spacing w:val="-3"/>
          <w:sz w:val="21"/>
        </w:rPr>
        <w:t>控</w:t>
      </w:r>
      <w:r>
        <w:rPr>
          <w:sz w:val="21"/>
        </w:rPr>
        <w:t>制</w:t>
      </w:r>
      <w:r>
        <w:rPr>
          <w:spacing w:val="-3"/>
          <w:sz w:val="21"/>
        </w:rPr>
        <w:t>或</w:t>
      </w:r>
      <w:r>
        <w:rPr>
          <w:sz w:val="21"/>
        </w:rPr>
        <w:t>由手动火</w:t>
      </w:r>
      <w:r>
        <w:rPr>
          <w:spacing w:val="-3"/>
          <w:sz w:val="21"/>
        </w:rPr>
        <w:t>灾</w:t>
      </w:r>
      <w:r>
        <w:rPr>
          <w:sz w:val="21"/>
        </w:rPr>
        <w:t>报</w:t>
      </w:r>
      <w:r>
        <w:rPr>
          <w:spacing w:val="18"/>
          <w:sz w:val="21"/>
        </w:rPr>
        <w:t xml:space="preserve"> </w:t>
      </w:r>
      <w:r>
        <w:rPr>
          <w:sz w:val="21"/>
        </w:rPr>
        <w:t>警</w:t>
      </w:r>
      <w:r>
        <w:rPr>
          <w:spacing w:val="-3"/>
          <w:sz w:val="21"/>
        </w:rPr>
        <w:t>按</w:t>
      </w:r>
      <w:r>
        <w:rPr>
          <w:sz w:val="21"/>
        </w:rPr>
        <w:t>钮</w:t>
      </w:r>
      <w:r>
        <w:rPr>
          <w:spacing w:val="-3"/>
          <w:sz w:val="21"/>
        </w:rPr>
        <w:t>信</w:t>
      </w:r>
      <w:r>
        <w:rPr>
          <w:sz w:val="21"/>
        </w:rPr>
        <w:t>号</w:t>
      </w:r>
      <w:r>
        <w:rPr>
          <w:spacing w:val="-3"/>
          <w:sz w:val="21"/>
        </w:rPr>
        <w:t>直接</w:t>
      </w:r>
      <w:r>
        <w:rPr>
          <w:sz w:val="21"/>
        </w:rPr>
        <w:t>控制</w:t>
      </w:r>
      <w:r>
        <w:rPr>
          <w:spacing w:val="-3"/>
          <w:sz w:val="21"/>
        </w:rPr>
        <w:t>发</w:t>
      </w:r>
      <w:r>
        <w:rPr>
          <w:sz w:val="21"/>
        </w:rPr>
        <w:t>出</w:t>
      </w:r>
      <w:r>
        <w:rPr>
          <w:spacing w:val="-3"/>
          <w:sz w:val="21"/>
        </w:rPr>
        <w:t>警</w:t>
      </w:r>
      <w:r>
        <w:rPr>
          <w:sz w:val="21"/>
        </w:rPr>
        <w:t>报</w:t>
      </w:r>
      <w:r>
        <w:rPr>
          <w:spacing w:val="-3"/>
          <w:sz w:val="21"/>
        </w:rPr>
        <w:t>。</w:t>
      </w:r>
      <w:r>
        <w:rPr>
          <w:sz w:val="21"/>
        </w:rPr>
        <w:t xml:space="preserve"> </w:t>
      </w:r>
      <w:r>
        <w:rPr>
          <w:sz w:val="21"/>
        </w:rPr>
        <w:tab/>
      </w:r>
      <w:r>
        <w:rPr>
          <w:sz w:val="21"/>
        </w:rPr>
        <w:t xml:space="preserve">  </w:t>
      </w:r>
      <w:r>
        <w:rPr>
          <w:sz w:val="21"/>
        </w:rPr>
        <w:tab/>
      </w:r>
      <w:r>
        <w:rPr>
          <w:sz w:val="21"/>
        </w:rPr>
        <w:t xml:space="preserve">  </w:t>
      </w:r>
    </w:p>
    <w:p w14:paraId="26E3D429" w14:textId="77777777" w:rsidR="00A71EEF" w:rsidRDefault="0081115D">
      <w:pPr>
        <w:pStyle w:val="a4"/>
        <w:numPr>
          <w:ilvl w:val="2"/>
          <w:numId w:val="335"/>
        </w:numPr>
        <w:tabs>
          <w:tab w:val="left" w:pos="1371"/>
          <w:tab w:val="left" w:pos="3778"/>
        </w:tabs>
        <w:spacing w:line="446" w:lineRule="auto"/>
        <w:ind w:left="418" w:right="1431" w:firstLine="422"/>
        <w:rPr>
          <w:sz w:val="21"/>
        </w:rPr>
      </w:pPr>
      <w:r>
        <w:rPr>
          <w:sz w:val="21"/>
        </w:rPr>
        <w:t>每</w:t>
      </w:r>
      <w:r>
        <w:rPr>
          <w:spacing w:val="-3"/>
          <w:sz w:val="21"/>
        </w:rPr>
        <w:t>台</w:t>
      </w:r>
      <w:r>
        <w:rPr>
          <w:sz w:val="21"/>
        </w:rPr>
        <w:t>警</w:t>
      </w:r>
      <w:r>
        <w:rPr>
          <w:spacing w:val="-3"/>
          <w:sz w:val="21"/>
        </w:rPr>
        <w:t>报</w:t>
      </w:r>
      <w:r>
        <w:rPr>
          <w:sz w:val="21"/>
        </w:rPr>
        <w:t>器</w:t>
      </w:r>
      <w:r>
        <w:rPr>
          <w:spacing w:val="-3"/>
          <w:sz w:val="21"/>
        </w:rPr>
        <w:t>覆</w:t>
      </w:r>
      <w:r>
        <w:rPr>
          <w:sz w:val="21"/>
        </w:rPr>
        <w:t>盖</w:t>
      </w:r>
      <w:r>
        <w:rPr>
          <w:spacing w:val="-3"/>
          <w:sz w:val="21"/>
        </w:rPr>
        <w:t>的</w:t>
      </w:r>
      <w:r>
        <w:rPr>
          <w:sz w:val="21"/>
        </w:rPr>
        <w:t>楼层</w:t>
      </w:r>
      <w:r>
        <w:rPr>
          <w:spacing w:val="-3"/>
          <w:sz w:val="21"/>
        </w:rPr>
        <w:t>不</w:t>
      </w:r>
      <w:r>
        <w:rPr>
          <w:sz w:val="21"/>
        </w:rPr>
        <w:t>应</w:t>
      </w:r>
      <w:r>
        <w:rPr>
          <w:spacing w:val="-3"/>
          <w:sz w:val="21"/>
        </w:rPr>
        <w:t>超</w:t>
      </w:r>
      <w:r>
        <w:rPr>
          <w:sz w:val="21"/>
        </w:rPr>
        <w:t>过</w:t>
      </w:r>
      <w:r>
        <w:rPr>
          <w:spacing w:val="35"/>
          <w:sz w:val="21"/>
        </w:rPr>
        <w:t xml:space="preserve"> </w:t>
      </w:r>
      <w:r>
        <w:rPr>
          <w:sz w:val="21"/>
        </w:rPr>
        <w:t>3</w:t>
      </w:r>
      <w:r>
        <w:rPr>
          <w:spacing w:val="33"/>
          <w:sz w:val="21"/>
        </w:rPr>
        <w:t xml:space="preserve"> </w:t>
      </w:r>
      <w:r>
        <w:rPr>
          <w:sz w:val="21"/>
        </w:rPr>
        <w:t>层</w:t>
      </w:r>
      <w:r>
        <w:rPr>
          <w:spacing w:val="-3"/>
          <w:sz w:val="21"/>
        </w:rPr>
        <w:t>，且</w:t>
      </w:r>
      <w:r>
        <w:rPr>
          <w:sz w:val="21"/>
        </w:rPr>
        <w:t>首层</w:t>
      </w:r>
      <w:r>
        <w:rPr>
          <w:spacing w:val="-3"/>
          <w:sz w:val="21"/>
        </w:rPr>
        <w:t>明</w:t>
      </w:r>
      <w:r>
        <w:rPr>
          <w:sz w:val="21"/>
        </w:rPr>
        <w:t>显</w:t>
      </w:r>
      <w:r>
        <w:rPr>
          <w:spacing w:val="-3"/>
          <w:sz w:val="21"/>
        </w:rPr>
        <w:t>部</w:t>
      </w:r>
      <w:r>
        <w:rPr>
          <w:sz w:val="21"/>
        </w:rPr>
        <w:t>位</w:t>
      </w:r>
      <w:r>
        <w:rPr>
          <w:spacing w:val="-3"/>
          <w:sz w:val="21"/>
        </w:rPr>
        <w:t>应</w:t>
      </w:r>
      <w:r>
        <w:rPr>
          <w:sz w:val="21"/>
        </w:rPr>
        <w:t>设</w:t>
      </w:r>
      <w:r>
        <w:rPr>
          <w:spacing w:val="-3"/>
          <w:sz w:val="21"/>
        </w:rPr>
        <w:t>置</w:t>
      </w:r>
      <w:r>
        <w:rPr>
          <w:sz w:val="21"/>
        </w:rPr>
        <w:t>用</w:t>
      </w:r>
      <w:r>
        <w:rPr>
          <w:spacing w:val="-3"/>
          <w:sz w:val="21"/>
        </w:rPr>
        <w:t>于</w:t>
      </w:r>
      <w:r>
        <w:rPr>
          <w:sz w:val="21"/>
        </w:rPr>
        <w:t>直接</w:t>
      </w:r>
      <w:r>
        <w:rPr>
          <w:spacing w:val="-3"/>
          <w:sz w:val="21"/>
        </w:rPr>
        <w:t>启</w:t>
      </w:r>
      <w:r>
        <w:rPr>
          <w:sz w:val="21"/>
        </w:rPr>
        <w:t>动</w:t>
      </w:r>
      <w:r>
        <w:rPr>
          <w:spacing w:val="-3"/>
          <w:sz w:val="21"/>
        </w:rPr>
        <w:t>火</w:t>
      </w:r>
      <w:r>
        <w:rPr>
          <w:sz w:val="21"/>
        </w:rPr>
        <w:t>灾声警报</w:t>
      </w:r>
      <w:r>
        <w:rPr>
          <w:spacing w:val="-3"/>
          <w:sz w:val="21"/>
        </w:rPr>
        <w:t>器</w:t>
      </w:r>
      <w:r>
        <w:rPr>
          <w:sz w:val="21"/>
        </w:rPr>
        <w:t>的</w:t>
      </w:r>
      <w:r>
        <w:rPr>
          <w:spacing w:val="-3"/>
          <w:sz w:val="21"/>
        </w:rPr>
        <w:t>手</w:t>
      </w:r>
      <w:r>
        <w:rPr>
          <w:sz w:val="21"/>
        </w:rPr>
        <w:t>动</w:t>
      </w:r>
      <w:r>
        <w:rPr>
          <w:spacing w:val="-3"/>
          <w:sz w:val="21"/>
        </w:rPr>
        <w:t>火</w:t>
      </w:r>
      <w:r>
        <w:rPr>
          <w:sz w:val="21"/>
        </w:rPr>
        <w:t>灾</w:t>
      </w:r>
      <w:r>
        <w:rPr>
          <w:spacing w:val="-3"/>
          <w:sz w:val="21"/>
        </w:rPr>
        <w:t>报</w:t>
      </w:r>
      <w:r>
        <w:rPr>
          <w:sz w:val="21"/>
        </w:rPr>
        <w:t>警</w:t>
      </w:r>
      <w:r>
        <w:rPr>
          <w:spacing w:val="-3"/>
          <w:sz w:val="21"/>
        </w:rPr>
        <w:t>按</w:t>
      </w:r>
      <w:r>
        <w:rPr>
          <w:sz w:val="21"/>
        </w:rPr>
        <w:t>钮</w:t>
      </w:r>
      <w:r>
        <w:rPr>
          <w:spacing w:val="-3"/>
          <w:sz w:val="21"/>
        </w:rPr>
        <w:t>。</w:t>
      </w:r>
      <w:r>
        <w:rPr>
          <w:sz w:val="21"/>
        </w:rPr>
        <w:t xml:space="preserve"> </w:t>
      </w:r>
      <w:r>
        <w:rPr>
          <w:spacing w:val="-2"/>
          <w:sz w:val="21"/>
        </w:rPr>
        <w:t xml:space="preserve"> </w:t>
      </w:r>
      <w:r>
        <w:rPr>
          <w:sz w:val="21"/>
        </w:rPr>
        <w:t xml:space="preserve">  </w:t>
      </w:r>
      <w:r>
        <w:rPr>
          <w:sz w:val="21"/>
        </w:rPr>
        <w:tab/>
      </w:r>
      <w:r>
        <w:rPr>
          <w:sz w:val="21"/>
        </w:rPr>
        <w:t xml:space="preserve">  </w:t>
      </w:r>
    </w:p>
    <w:p w14:paraId="0D4EE045" w14:textId="77777777" w:rsidR="00A71EEF" w:rsidRDefault="0081115D">
      <w:pPr>
        <w:pStyle w:val="a4"/>
        <w:numPr>
          <w:ilvl w:val="1"/>
          <w:numId w:val="335"/>
        </w:numPr>
        <w:tabs>
          <w:tab w:val="left" w:pos="1159"/>
        </w:tabs>
        <w:ind w:hanging="319"/>
        <w:rPr>
          <w:sz w:val="21"/>
        </w:rPr>
      </w:pPr>
      <w:r>
        <w:rPr>
          <w:spacing w:val="-3"/>
          <w:sz w:val="21"/>
        </w:rPr>
        <w:t>应急广播的设置</w:t>
      </w:r>
      <w:r>
        <w:rPr>
          <w:sz w:val="21"/>
        </w:rPr>
        <w:t xml:space="preserve"> </w:t>
      </w:r>
    </w:p>
    <w:p w14:paraId="25FE7376" w14:textId="77777777" w:rsidR="00A71EEF" w:rsidRDefault="00A71EEF">
      <w:pPr>
        <w:pStyle w:val="a3"/>
        <w:spacing w:before="10"/>
        <w:rPr>
          <w:sz w:val="17"/>
        </w:rPr>
      </w:pPr>
    </w:p>
    <w:p w14:paraId="2DA038C8" w14:textId="77777777" w:rsidR="00A71EEF" w:rsidRDefault="0081115D">
      <w:pPr>
        <w:pStyle w:val="a4"/>
        <w:numPr>
          <w:ilvl w:val="2"/>
          <w:numId w:val="335"/>
        </w:numPr>
        <w:tabs>
          <w:tab w:val="left" w:pos="1371"/>
        </w:tabs>
        <w:spacing w:line="446" w:lineRule="auto"/>
        <w:ind w:left="418" w:right="1444" w:firstLine="422"/>
        <w:rPr>
          <w:sz w:val="21"/>
        </w:rPr>
      </w:pPr>
      <w:r>
        <w:rPr>
          <w:spacing w:val="-1"/>
          <w:sz w:val="21"/>
        </w:rPr>
        <w:t>住宅建筑内设置的应急广播应能接受联动控制或由手动火灾报警按钮信号直接控制</w:t>
      </w:r>
      <w:r>
        <w:rPr>
          <w:spacing w:val="-1"/>
          <w:sz w:val="21"/>
        </w:rPr>
        <w:t xml:space="preserve"> </w:t>
      </w:r>
      <w:r>
        <w:rPr>
          <w:spacing w:val="-2"/>
          <w:sz w:val="21"/>
        </w:rPr>
        <w:t>进行广播。</w:t>
      </w:r>
      <w:r>
        <w:rPr>
          <w:sz w:val="21"/>
        </w:rPr>
        <w:t xml:space="preserve"> </w:t>
      </w:r>
    </w:p>
    <w:p w14:paraId="76AF0BFF" w14:textId="77777777" w:rsidR="00A71EEF" w:rsidRDefault="0081115D">
      <w:pPr>
        <w:pStyle w:val="a4"/>
        <w:numPr>
          <w:ilvl w:val="2"/>
          <w:numId w:val="335"/>
        </w:numPr>
        <w:tabs>
          <w:tab w:val="left" w:pos="1371"/>
          <w:tab w:val="left" w:pos="5458"/>
          <w:tab w:val="left" w:pos="5878"/>
        </w:tabs>
        <w:spacing w:before="1"/>
        <w:ind w:left="1370" w:hanging="531"/>
        <w:rPr>
          <w:sz w:val="21"/>
        </w:rPr>
      </w:pPr>
      <w:r>
        <w:rPr>
          <w:spacing w:val="-3"/>
          <w:sz w:val="21"/>
        </w:rPr>
        <w:t>每</w:t>
      </w:r>
      <w:r>
        <w:rPr>
          <w:sz w:val="21"/>
        </w:rPr>
        <w:t>台</w:t>
      </w:r>
      <w:r>
        <w:rPr>
          <w:spacing w:val="-3"/>
          <w:sz w:val="21"/>
        </w:rPr>
        <w:t>扬</w:t>
      </w:r>
      <w:r>
        <w:rPr>
          <w:sz w:val="21"/>
        </w:rPr>
        <w:t>声</w:t>
      </w:r>
      <w:r>
        <w:rPr>
          <w:spacing w:val="-3"/>
          <w:sz w:val="21"/>
        </w:rPr>
        <w:t>器</w:t>
      </w:r>
      <w:r>
        <w:rPr>
          <w:sz w:val="21"/>
        </w:rPr>
        <w:t>覆</w:t>
      </w:r>
      <w:r>
        <w:rPr>
          <w:spacing w:val="-3"/>
          <w:sz w:val="21"/>
        </w:rPr>
        <w:t>盖的</w:t>
      </w:r>
      <w:r>
        <w:rPr>
          <w:sz w:val="21"/>
        </w:rPr>
        <w:t>楼层</w:t>
      </w:r>
      <w:r>
        <w:rPr>
          <w:spacing w:val="-3"/>
          <w:sz w:val="21"/>
        </w:rPr>
        <w:t>不</w:t>
      </w:r>
      <w:r>
        <w:rPr>
          <w:sz w:val="21"/>
        </w:rPr>
        <w:t>应</w:t>
      </w:r>
      <w:r>
        <w:rPr>
          <w:spacing w:val="-3"/>
          <w:sz w:val="21"/>
        </w:rPr>
        <w:t>超</w:t>
      </w:r>
      <w:r>
        <w:rPr>
          <w:sz w:val="21"/>
        </w:rPr>
        <w:t>过</w:t>
      </w:r>
      <w:r>
        <w:rPr>
          <w:spacing w:val="9"/>
          <w:sz w:val="21"/>
        </w:rPr>
        <w:t xml:space="preserve"> </w:t>
      </w:r>
      <w:r>
        <w:rPr>
          <w:spacing w:val="-3"/>
          <w:sz w:val="21"/>
        </w:rPr>
        <w:t>3</w:t>
      </w:r>
      <w:r>
        <w:rPr>
          <w:spacing w:val="9"/>
          <w:sz w:val="21"/>
        </w:rPr>
        <w:t xml:space="preserve"> </w:t>
      </w:r>
      <w:r>
        <w:rPr>
          <w:spacing w:val="-3"/>
          <w:sz w:val="21"/>
        </w:rPr>
        <w:t>层</w:t>
      </w:r>
      <w:r>
        <w:rPr>
          <w:sz w:val="21"/>
        </w:rPr>
        <w:t>。</w:t>
      </w:r>
      <w:r>
        <w:rPr>
          <w:sz w:val="21"/>
        </w:rPr>
        <w:t xml:space="preserve"> </w:t>
      </w:r>
      <w:r>
        <w:rPr>
          <w:sz w:val="21"/>
        </w:rPr>
        <w:tab/>
      </w:r>
      <w:r>
        <w:rPr>
          <w:sz w:val="21"/>
        </w:rPr>
        <w:t xml:space="preserve">  </w:t>
      </w:r>
      <w:r>
        <w:rPr>
          <w:sz w:val="21"/>
        </w:rPr>
        <w:tab/>
      </w:r>
      <w:r>
        <w:rPr>
          <w:sz w:val="21"/>
        </w:rPr>
        <w:t xml:space="preserve">  </w:t>
      </w:r>
    </w:p>
    <w:p w14:paraId="346C3072" w14:textId="77777777" w:rsidR="00A71EEF" w:rsidRDefault="00A71EEF">
      <w:pPr>
        <w:pStyle w:val="a3"/>
        <w:spacing w:before="12"/>
        <w:rPr>
          <w:sz w:val="17"/>
        </w:rPr>
      </w:pPr>
    </w:p>
    <w:p w14:paraId="358B542A" w14:textId="77777777" w:rsidR="00A71EEF" w:rsidRDefault="0081115D">
      <w:pPr>
        <w:pStyle w:val="a4"/>
        <w:numPr>
          <w:ilvl w:val="2"/>
          <w:numId w:val="335"/>
        </w:numPr>
        <w:tabs>
          <w:tab w:val="left" w:pos="1371"/>
          <w:tab w:val="left" w:pos="8399"/>
        </w:tabs>
        <w:ind w:left="1370" w:hanging="531"/>
        <w:rPr>
          <w:sz w:val="21"/>
        </w:rPr>
      </w:pPr>
      <w:r>
        <w:rPr>
          <w:spacing w:val="-3"/>
          <w:sz w:val="21"/>
        </w:rPr>
        <w:t>广</w:t>
      </w:r>
      <w:r>
        <w:rPr>
          <w:sz w:val="21"/>
        </w:rPr>
        <w:t>播</w:t>
      </w:r>
      <w:r>
        <w:rPr>
          <w:spacing w:val="-3"/>
          <w:sz w:val="21"/>
        </w:rPr>
        <w:t>功</w:t>
      </w:r>
      <w:r>
        <w:rPr>
          <w:sz w:val="21"/>
        </w:rPr>
        <w:t>率</w:t>
      </w:r>
      <w:r>
        <w:rPr>
          <w:spacing w:val="-3"/>
          <w:sz w:val="21"/>
        </w:rPr>
        <w:t>放</w:t>
      </w:r>
      <w:r>
        <w:rPr>
          <w:sz w:val="21"/>
        </w:rPr>
        <w:t>大</w:t>
      </w:r>
      <w:r>
        <w:rPr>
          <w:spacing w:val="-3"/>
          <w:sz w:val="21"/>
        </w:rPr>
        <w:t>器应</w:t>
      </w:r>
      <w:r>
        <w:rPr>
          <w:sz w:val="21"/>
        </w:rPr>
        <w:t>具有</w:t>
      </w:r>
      <w:r>
        <w:rPr>
          <w:spacing w:val="-3"/>
          <w:sz w:val="21"/>
        </w:rPr>
        <w:t>消</w:t>
      </w:r>
      <w:r>
        <w:rPr>
          <w:sz w:val="21"/>
        </w:rPr>
        <w:t>防</w:t>
      </w:r>
      <w:r>
        <w:rPr>
          <w:spacing w:val="-3"/>
          <w:sz w:val="21"/>
        </w:rPr>
        <w:t>电</w:t>
      </w:r>
      <w:r>
        <w:rPr>
          <w:sz w:val="21"/>
        </w:rPr>
        <w:t>话</w:t>
      </w:r>
      <w:r>
        <w:rPr>
          <w:spacing w:val="-3"/>
          <w:sz w:val="21"/>
        </w:rPr>
        <w:t>插</w:t>
      </w:r>
      <w:r>
        <w:rPr>
          <w:sz w:val="21"/>
        </w:rPr>
        <w:t>孔</w:t>
      </w:r>
      <w:r>
        <w:rPr>
          <w:spacing w:val="-3"/>
          <w:sz w:val="21"/>
        </w:rPr>
        <w:t>，</w:t>
      </w:r>
      <w:r>
        <w:rPr>
          <w:sz w:val="21"/>
        </w:rPr>
        <w:t>消</w:t>
      </w:r>
      <w:r>
        <w:rPr>
          <w:spacing w:val="-3"/>
          <w:sz w:val="21"/>
        </w:rPr>
        <w:t>防</w:t>
      </w:r>
      <w:r>
        <w:rPr>
          <w:sz w:val="21"/>
        </w:rPr>
        <w:t>电话</w:t>
      </w:r>
      <w:r>
        <w:rPr>
          <w:spacing w:val="-3"/>
          <w:sz w:val="21"/>
        </w:rPr>
        <w:t>插</w:t>
      </w:r>
      <w:r>
        <w:rPr>
          <w:sz w:val="21"/>
        </w:rPr>
        <w:t>入</w:t>
      </w:r>
      <w:r>
        <w:rPr>
          <w:spacing w:val="-3"/>
          <w:sz w:val="21"/>
        </w:rPr>
        <w:t>后</w:t>
      </w:r>
      <w:r>
        <w:rPr>
          <w:sz w:val="21"/>
        </w:rPr>
        <w:t>应</w:t>
      </w:r>
      <w:r>
        <w:rPr>
          <w:spacing w:val="-3"/>
          <w:sz w:val="21"/>
        </w:rPr>
        <w:t>能</w:t>
      </w:r>
      <w:r>
        <w:rPr>
          <w:sz w:val="21"/>
        </w:rPr>
        <w:t>直</w:t>
      </w:r>
      <w:r>
        <w:rPr>
          <w:spacing w:val="-3"/>
          <w:sz w:val="21"/>
        </w:rPr>
        <w:t>接</w:t>
      </w:r>
      <w:r>
        <w:rPr>
          <w:sz w:val="21"/>
        </w:rPr>
        <w:t>讲</w:t>
      </w:r>
      <w:r>
        <w:rPr>
          <w:spacing w:val="-3"/>
          <w:sz w:val="21"/>
        </w:rPr>
        <w:t>话</w:t>
      </w:r>
      <w:r>
        <w:rPr>
          <w:sz w:val="21"/>
        </w:rPr>
        <w:t>。</w:t>
      </w:r>
      <w:r>
        <w:rPr>
          <w:sz w:val="21"/>
        </w:rPr>
        <w:t xml:space="preserve"> </w:t>
      </w:r>
      <w:r>
        <w:rPr>
          <w:sz w:val="21"/>
        </w:rPr>
        <w:tab/>
      </w:r>
      <w:r>
        <w:rPr>
          <w:sz w:val="21"/>
        </w:rPr>
        <w:t xml:space="preserve">   </w:t>
      </w:r>
    </w:p>
    <w:p w14:paraId="3D28A56D" w14:textId="77777777" w:rsidR="00A71EEF" w:rsidRDefault="00A71EEF">
      <w:pPr>
        <w:pStyle w:val="a3"/>
        <w:spacing w:before="2"/>
        <w:rPr>
          <w:sz w:val="18"/>
        </w:rPr>
      </w:pPr>
    </w:p>
    <w:p w14:paraId="5B5F1C17" w14:textId="77777777" w:rsidR="00A71EEF" w:rsidRDefault="0081115D">
      <w:pPr>
        <w:pStyle w:val="a4"/>
        <w:numPr>
          <w:ilvl w:val="2"/>
          <w:numId w:val="335"/>
        </w:numPr>
        <w:tabs>
          <w:tab w:val="left" w:pos="1370"/>
          <w:tab w:val="left" w:pos="3778"/>
        </w:tabs>
        <w:spacing w:line="446" w:lineRule="auto"/>
        <w:ind w:left="418" w:right="1431" w:firstLine="422"/>
        <w:rPr>
          <w:sz w:val="21"/>
        </w:rPr>
      </w:pPr>
      <w:r>
        <w:rPr>
          <w:spacing w:val="-3"/>
          <w:sz w:val="21"/>
        </w:rPr>
        <w:t>广</w:t>
      </w:r>
      <w:r>
        <w:rPr>
          <w:sz w:val="21"/>
        </w:rPr>
        <w:t>播</w:t>
      </w:r>
      <w:r>
        <w:rPr>
          <w:spacing w:val="-3"/>
          <w:sz w:val="21"/>
        </w:rPr>
        <w:t>功</w:t>
      </w:r>
      <w:r>
        <w:rPr>
          <w:sz w:val="21"/>
        </w:rPr>
        <w:t>率</w:t>
      </w:r>
      <w:r>
        <w:rPr>
          <w:spacing w:val="-3"/>
          <w:sz w:val="21"/>
        </w:rPr>
        <w:t>放</w:t>
      </w:r>
      <w:r>
        <w:rPr>
          <w:sz w:val="21"/>
        </w:rPr>
        <w:t>大</w:t>
      </w:r>
      <w:r>
        <w:rPr>
          <w:spacing w:val="-3"/>
          <w:sz w:val="21"/>
        </w:rPr>
        <w:t>器应</w:t>
      </w:r>
      <w:r>
        <w:rPr>
          <w:sz w:val="21"/>
        </w:rPr>
        <w:t>配有</w:t>
      </w:r>
      <w:r>
        <w:rPr>
          <w:spacing w:val="-3"/>
          <w:sz w:val="21"/>
        </w:rPr>
        <w:t>备</w:t>
      </w:r>
      <w:r>
        <w:rPr>
          <w:sz w:val="21"/>
        </w:rPr>
        <w:t>用</w:t>
      </w:r>
      <w:r>
        <w:rPr>
          <w:spacing w:val="-3"/>
          <w:sz w:val="21"/>
        </w:rPr>
        <w:t>电</w:t>
      </w:r>
      <w:r>
        <w:rPr>
          <w:sz w:val="21"/>
        </w:rPr>
        <w:t>池</w:t>
      </w:r>
      <w:r>
        <w:rPr>
          <w:spacing w:val="-22"/>
          <w:sz w:val="21"/>
        </w:rPr>
        <w:t>，</w:t>
      </w:r>
      <w:r>
        <w:rPr>
          <w:sz w:val="21"/>
        </w:rPr>
        <w:t>电</w:t>
      </w:r>
      <w:r>
        <w:rPr>
          <w:spacing w:val="-3"/>
          <w:sz w:val="21"/>
        </w:rPr>
        <w:t>池</w:t>
      </w:r>
      <w:r>
        <w:rPr>
          <w:sz w:val="21"/>
        </w:rPr>
        <w:t>持</w:t>
      </w:r>
      <w:r>
        <w:rPr>
          <w:spacing w:val="-3"/>
          <w:sz w:val="21"/>
        </w:rPr>
        <w:t>续</w:t>
      </w:r>
      <w:r>
        <w:rPr>
          <w:sz w:val="21"/>
        </w:rPr>
        <w:t>工作</w:t>
      </w:r>
      <w:r>
        <w:rPr>
          <w:spacing w:val="-3"/>
          <w:sz w:val="21"/>
        </w:rPr>
        <w:t>不</w:t>
      </w:r>
      <w:r>
        <w:rPr>
          <w:sz w:val="21"/>
        </w:rPr>
        <w:t>能</w:t>
      </w:r>
      <w:r>
        <w:rPr>
          <w:spacing w:val="-3"/>
          <w:sz w:val="21"/>
        </w:rPr>
        <w:t>达</w:t>
      </w:r>
      <w:r>
        <w:rPr>
          <w:sz w:val="21"/>
        </w:rPr>
        <w:t>到</w:t>
      </w:r>
      <w:r>
        <w:rPr>
          <w:spacing w:val="13"/>
          <w:sz w:val="21"/>
        </w:rPr>
        <w:t xml:space="preserve"> </w:t>
      </w:r>
      <w:r>
        <w:rPr>
          <w:sz w:val="21"/>
        </w:rPr>
        <w:t>lh</w:t>
      </w:r>
      <w:r>
        <w:rPr>
          <w:spacing w:val="12"/>
          <w:sz w:val="21"/>
        </w:rPr>
        <w:t xml:space="preserve"> </w:t>
      </w:r>
      <w:r>
        <w:rPr>
          <w:spacing w:val="-3"/>
          <w:sz w:val="21"/>
        </w:rPr>
        <w:t>时</w:t>
      </w:r>
      <w:r>
        <w:rPr>
          <w:spacing w:val="-20"/>
          <w:sz w:val="21"/>
        </w:rPr>
        <w:t>，</w:t>
      </w:r>
      <w:r>
        <w:rPr>
          <w:spacing w:val="-3"/>
          <w:sz w:val="21"/>
        </w:rPr>
        <w:t>应</w:t>
      </w:r>
      <w:r>
        <w:rPr>
          <w:sz w:val="21"/>
        </w:rPr>
        <w:t>能向</w:t>
      </w:r>
      <w:r>
        <w:rPr>
          <w:spacing w:val="-3"/>
          <w:sz w:val="21"/>
        </w:rPr>
        <w:t>消</w:t>
      </w:r>
      <w:r>
        <w:rPr>
          <w:sz w:val="21"/>
        </w:rPr>
        <w:t>防</w:t>
      </w:r>
      <w:r>
        <w:rPr>
          <w:spacing w:val="-3"/>
          <w:sz w:val="21"/>
        </w:rPr>
        <w:t>控</w:t>
      </w:r>
      <w:r>
        <w:rPr>
          <w:sz w:val="21"/>
        </w:rPr>
        <w:t>制室或物</w:t>
      </w:r>
      <w:r>
        <w:rPr>
          <w:spacing w:val="-3"/>
          <w:sz w:val="21"/>
        </w:rPr>
        <w:t>业</w:t>
      </w:r>
      <w:r>
        <w:rPr>
          <w:sz w:val="21"/>
        </w:rPr>
        <w:t>值</w:t>
      </w:r>
      <w:r>
        <w:rPr>
          <w:spacing w:val="-3"/>
          <w:sz w:val="21"/>
        </w:rPr>
        <w:t>班</w:t>
      </w:r>
      <w:r>
        <w:rPr>
          <w:sz w:val="21"/>
        </w:rPr>
        <w:t>室</w:t>
      </w:r>
      <w:r>
        <w:rPr>
          <w:spacing w:val="-3"/>
          <w:sz w:val="21"/>
        </w:rPr>
        <w:t>发</w:t>
      </w:r>
      <w:r>
        <w:rPr>
          <w:sz w:val="21"/>
        </w:rPr>
        <w:t>送</w:t>
      </w:r>
      <w:r>
        <w:rPr>
          <w:spacing w:val="-3"/>
          <w:sz w:val="21"/>
        </w:rPr>
        <w:t>报</w:t>
      </w:r>
      <w:r>
        <w:rPr>
          <w:sz w:val="21"/>
        </w:rPr>
        <w:t>警</w:t>
      </w:r>
      <w:r>
        <w:rPr>
          <w:spacing w:val="-3"/>
          <w:sz w:val="21"/>
        </w:rPr>
        <w:t>信</w:t>
      </w:r>
      <w:r>
        <w:rPr>
          <w:sz w:val="21"/>
        </w:rPr>
        <w:t>息</w:t>
      </w:r>
      <w:r>
        <w:rPr>
          <w:spacing w:val="-3"/>
          <w:sz w:val="21"/>
        </w:rPr>
        <w:t>。</w:t>
      </w:r>
      <w:r>
        <w:rPr>
          <w:sz w:val="21"/>
        </w:rPr>
        <w:t xml:space="preserve"> </w:t>
      </w:r>
      <w:r>
        <w:rPr>
          <w:spacing w:val="-2"/>
          <w:sz w:val="21"/>
        </w:rPr>
        <w:t xml:space="preserve"> </w:t>
      </w:r>
      <w:r>
        <w:rPr>
          <w:sz w:val="21"/>
        </w:rPr>
        <w:t xml:space="preserve">  </w:t>
      </w:r>
      <w:r>
        <w:rPr>
          <w:sz w:val="21"/>
        </w:rPr>
        <w:tab/>
      </w:r>
      <w:r>
        <w:rPr>
          <w:sz w:val="21"/>
        </w:rPr>
        <w:t xml:space="preserve">  </w:t>
      </w:r>
    </w:p>
    <w:p w14:paraId="6AC581DC" w14:textId="77777777" w:rsidR="00A71EEF" w:rsidRDefault="0081115D">
      <w:pPr>
        <w:pStyle w:val="a4"/>
        <w:numPr>
          <w:ilvl w:val="2"/>
          <w:numId w:val="335"/>
        </w:numPr>
        <w:tabs>
          <w:tab w:val="left" w:pos="1371"/>
        </w:tabs>
        <w:spacing w:line="446" w:lineRule="auto"/>
        <w:ind w:left="418" w:right="1431" w:firstLine="422"/>
        <w:rPr>
          <w:sz w:val="21"/>
        </w:rPr>
      </w:pPr>
      <w:r>
        <w:rPr>
          <w:spacing w:val="-5"/>
          <w:sz w:val="21"/>
        </w:rPr>
        <w:t>广播功率放大器应设置在首层内走道侧面墙上，箱体面板应有防止非专业人员打开的措施。</w:t>
      </w:r>
      <w:r>
        <w:rPr>
          <w:sz w:val="21"/>
        </w:rPr>
        <w:t xml:space="preserve"> </w:t>
      </w:r>
    </w:p>
    <w:p w14:paraId="3613B727" w14:textId="77777777" w:rsidR="00A71EEF" w:rsidRDefault="0081115D">
      <w:pPr>
        <w:pStyle w:val="4"/>
        <w:spacing w:line="278" w:lineRule="exact"/>
      </w:pPr>
      <w:r>
        <w:t xml:space="preserve">8 </w:t>
      </w:r>
      <w:r>
        <w:t>可燃气体探测报警系统</w:t>
      </w:r>
      <w:r>
        <w:rPr>
          <w:w w:val="99"/>
        </w:rPr>
        <w:t xml:space="preserve"> </w:t>
      </w:r>
    </w:p>
    <w:p w14:paraId="2D66321B" w14:textId="77777777" w:rsidR="00A71EEF" w:rsidRDefault="00A71EEF">
      <w:pPr>
        <w:pStyle w:val="a3"/>
        <w:spacing w:before="1"/>
        <w:rPr>
          <w:b/>
          <w:sz w:val="17"/>
        </w:rPr>
      </w:pPr>
    </w:p>
    <w:p w14:paraId="449CEE9B" w14:textId="77777777" w:rsidR="00A71EEF" w:rsidRDefault="0081115D">
      <w:pPr>
        <w:pStyle w:val="a4"/>
        <w:numPr>
          <w:ilvl w:val="1"/>
          <w:numId w:val="333"/>
        </w:numPr>
        <w:tabs>
          <w:tab w:val="left" w:pos="1159"/>
        </w:tabs>
        <w:ind w:hanging="319"/>
        <w:rPr>
          <w:b/>
          <w:sz w:val="21"/>
        </w:rPr>
      </w:pPr>
      <w:r>
        <w:rPr>
          <w:spacing w:val="-3"/>
          <w:sz w:val="21"/>
        </w:rPr>
        <w:t>一般规定</w:t>
      </w:r>
      <w:r>
        <w:rPr>
          <w:b/>
          <w:w w:val="99"/>
          <w:sz w:val="21"/>
        </w:rPr>
        <w:t xml:space="preserve"> </w:t>
      </w:r>
    </w:p>
    <w:p w14:paraId="537A7E02" w14:textId="77777777" w:rsidR="00A71EEF" w:rsidRDefault="00A71EEF">
      <w:pPr>
        <w:pStyle w:val="a3"/>
        <w:spacing w:before="2"/>
        <w:rPr>
          <w:b/>
          <w:sz w:val="18"/>
        </w:rPr>
      </w:pPr>
    </w:p>
    <w:p w14:paraId="1D40FA6E" w14:textId="77777777" w:rsidR="00A71EEF" w:rsidRDefault="0081115D">
      <w:pPr>
        <w:pStyle w:val="a4"/>
        <w:numPr>
          <w:ilvl w:val="2"/>
          <w:numId w:val="333"/>
        </w:numPr>
        <w:tabs>
          <w:tab w:val="left" w:pos="1438"/>
        </w:tabs>
        <w:spacing w:line="446" w:lineRule="auto"/>
        <w:ind w:right="1431" w:firstLine="422"/>
        <w:rPr>
          <w:sz w:val="21"/>
        </w:rPr>
      </w:pPr>
      <w:r>
        <w:rPr>
          <w:spacing w:val="-3"/>
          <w:sz w:val="21"/>
        </w:rPr>
        <w:t>可燃气体探测报警系统应由可燃气体报警控制器、可燃气体探测器和火灾声光警报器等组成。</w:t>
      </w:r>
      <w:r>
        <w:rPr>
          <w:spacing w:val="-3"/>
          <w:sz w:val="21"/>
        </w:rPr>
        <w:t xml:space="preserve"> </w:t>
      </w:r>
      <w:r>
        <w:rPr>
          <w:sz w:val="21"/>
        </w:rPr>
        <w:t xml:space="preserve"> </w:t>
      </w:r>
    </w:p>
    <w:p w14:paraId="60D4106C" w14:textId="77777777" w:rsidR="00A71EEF" w:rsidRDefault="0081115D">
      <w:pPr>
        <w:pStyle w:val="a4"/>
        <w:numPr>
          <w:ilvl w:val="2"/>
          <w:numId w:val="333"/>
        </w:numPr>
        <w:tabs>
          <w:tab w:val="left" w:pos="1438"/>
        </w:tabs>
        <w:spacing w:line="446" w:lineRule="auto"/>
        <w:ind w:right="1431" w:firstLine="422"/>
        <w:rPr>
          <w:sz w:val="21"/>
        </w:rPr>
      </w:pPr>
      <w:r>
        <w:rPr>
          <w:spacing w:val="-3"/>
          <w:sz w:val="21"/>
        </w:rPr>
        <w:t>可燃气体探测报警系统应独立组成，可燃气体探测器不应接入火灾报警控制器的探测</w:t>
      </w:r>
      <w:r>
        <w:rPr>
          <w:sz w:val="21"/>
        </w:rPr>
        <w:t>器回路；</w:t>
      </w:r>
      <w:r>
        <w:rPr>
          <w:sz w:val="21"/>
        </w:rPr>
        <w:t xml:space="preserve"> </w:t>
      </w:r>
      <w:r>
        <w:rPr>
          <w:sz w:val="21"/>
        </w:rPr>
        <w:t>当可燃气体的报警信号需接入火灾自动报警系统时，应由可燃气体报警控制器接入。</w:t>
      </w:r>
    </w:p>
    <w:p w14:paraId="4286DD7F" w14:textId="77777777" w:rsidR="00A71EEF" w:rsidRDefault="0081115D">
      <w:pPr>
        <w:pStyle w:val="a3"/>
        <w:tabs>
          <w:tab w:val="left" w:pos="837"/>
        </w:tabs>
        <w:spacing w:line="446" w:lineRule="auto"/>
        <w:ind w:left="418" w:right="1433"/>
      </w:pPr>
      <w:r>
        <w:t xml:space="preserve"> </w:t>
      </w:r>
      <w:r>
        <w:tab/>
      </w:r>
      <w:r>
        <w:rPr>
          <w:b/>
        </w:rPr>
        <w:t>8.1.3</w:t>
      </w:r>
      <w:r>
        <w:rPr>
          <w:b/>
          <w:spacing w:val="37"/>
        </w:rPr>
        <w:t xml:space="preserve"> </w:t>
      </w:r>
      <w:r>
        <w:rPr>
          <w:spacing w:val="-5"/>
        </w:rPr>
        <w:t>石化行业涉及过程控制的可燃气体探测器，可按现行国家标准《石油化工可燃气体和</w:t>
      </w:r>
      <w:r>
        <w:rPr>
          <w:spacing w:val="4"/>
        </w:rPr>
        <w:t>有毒气体检测报警设计规范》</w:t>
      </w:r>
      <w:r>
        <w:t>GB</w:t>
      </w:r>
      <w:r>
        <w:rPr>
          <w:spacing w:val="78"/>
        </w:rPr>
        <w:t xml:space="preserve"> </w:t>
      </w:r>
      <w:r>
        <w:t>50493</w:t>
      </w:r>
      <w:r>
        <w:rPr>
          <w:spacing w:val="3"/>
        </w:rPr>
        <w:t xml:space="preserve"> </w:t>
      </w:r>
      <w:r>
        <w:rPr>
          <w:spacing w:val="3"/>
        </w:rPr>
        <w:t>的有关规定设置，但其报警信号应接入消防控制室。</w:t>
      </w:r>
    </w:p>
    <w:p w14:paraId="4AEC17F2" w14:textId="77777777" w:rsidR="00A71EEF" w:rsidRDefault="0081115D">
      <w:pPr>
        <w:pStyle w:val="a3"/>
        <w:tabs>
          <w:tab w:val="left" w:pos="837"/>
        </w:tabs>
        <w:spacing w:line="446" w:lineRule="auto"/>
        <w:ind w:left="418" w:right="1431"/>
      </w:pPr>
      <w:r>
        <w:t xml:space="preserve"> </w:t>
      </w:r>
      <w:r>
        <w:tab/>
      </w:r>
      <w:r>
        <w:rPr>
          <w:b/>
        </w:rPr>
        <w:t>8.1.4</w:t>
      </w:r>
      <w:r>
        <w:rPr>
          <w:b/>
          <w:spacing w:val="38"/>
        </w:rPr>
        <w:t xml:space="preserve"> </w:t>
      </w:r>
      <w:r>
        <w:rPr>
          <w:spacing w:val="-5"/>
        </w:rPr>
        <w:t>可燃气体报警控制器的报警信息和故障信息，应在消防控制室图形显示装置或起集中</w:t>
      </w:r>
      <w:r>
        <w:rPr>
          <w:spacing w:val="-4"/>
        </w:rPr>
        <w:t>控制功能的火灾报警控制器上显示，但该类信息与火灾报警信息的显示应有区别。</w:t>
      </w:r>
      <w:r>
        <w:t xml:space="preserve"> </w:t>
      </w:r>
    </w:p>
    <w:p w14:paraId="5E5F6B57" w14:textId="77777777" w:rsidR="00A71EEF" w:rsidRDefault="0081115D">
      <w:pPr>
        <w:pStyle w:val="a4"/>
        <w:numPr>
          <w:ilvl w:val="2"/>
          <w:numId w:val="332"/>
        </w:numPr>
        <w:tabs>
          <w:tab w:val="left" w:pos="1370"/>
        </w:tabs>
        <w:spacing w:line="267" w:lineRule="exact"/>
        <w:ind w:hanging="530"/>
        <w:rPr>
          <w:sz w:val="21"/>
        </w:rPr>
      </w:pPr>
      <w:r>
        <w:rPr>
          <w:spacing w:val="-3"/>
          <w:sz w:val="21"/>
        </w:rPr>
        <w:t>可燃气体报警控制器发出报警信号时，应能启动保护区域的火灾声光警报器。</w:t>
      </w:r>
      <w:r>
        <w:rPr>
          <w:spacing w:val="-3"/>
          <w:sz w:val="21"/>
        </w:rPr>
        <w:t xml:space="preserve"> </w:t>
      </w:r>
    </w:p>
    <w:p w14:paraId="0DA5CCF0" w14:textId="77777777" w:rsidR="00A71EEF" w:rsidRDefault="00A71EEF">
      <w:pPr>
        <w:pStyle w:val="a3"/>
        <w:rPr>
          <w:sz w:val="18"/>
        </w:rPr>
      </w:pPr>
    </w:p>
    <w:p w14:paraId="2CB3CEFB" w14:textId="77777777" w:rsidR="00A71EEF" w:rsidRDefault="0081115D">
      <w:pPr>
        <w:pStyle w:val="a4"/>
        <w:numPr>
          <w:ilvl w:val="2"/>
          <w:numId w:val="332"/>
        </w:numPr>
        <w:tabs>
          <w:tab w:val="left" w:pos="1371"/>
          <w:tab w:val="left" w:pos="3358"/>
        </w:tabs>
        <w:spacing w:line="446" w:lineRule="auto"/>
        <w:ind w:left="418" w:right="1431" w:firstLine="422"/>
        <w:rPr>
          <w:sz w:val="21"/>
        </w:rPr>
      </w:pPr>
      <w:r>
        <w:rPr>
          <w:spacing w:val="-3"/>
          <w:sz w:val="21"/>
        </w:rPr>
        <w:t>可</w:t>
      </w:r>
      <w:r>
        <w:rPr>
          <w:sz w:val="21"/>
        </w:rPr>
        <w:t>燃</w:t>
      </w:r>
      <w:r>
        <w:rPr>
          <w:spacing w:val="-3"/>
          <w:sz w:val="21"/>
        </w:rPr>
        <w:t>气</w:t>
      </w:r>
      <w:r>
        <w:rPr>
          <w:sz w:val="21"/>
        </w:rPr>
        <w:t>体</w:t>
      </w:r>
      <w:r>
        <w:rPr>
          <w:spacing w:val="-3"/>
          <w:sz w:val="21"/>
        </w:rPr>
        <w:t>探</w:t>
      </w:r>
      <w:r>
        <w:rPr>
          <w:sz w:val="21"/>
        </w:rPr>
        <w:t>测</w:t>
      </w:r>
      <w:r>
        <w:rPr>
          <w:spacing w:val="-3"/>
          <w:sz w:val="21"/>
        </w:rPr>
        <w:t>报警</w:t>
      </w:r>
      <w:r>
        <w:rPr>
          <w:sz w:val="21"/>
        </w:rPr>
        <w:t>系统</w:t>
      </w:r>
      <w:r>
        <w:rPr>
          <w:spacing w:val="-3"/>
          <w:sz w:val="21"/>
        </w:rPr>
        <w:t>保</w:t>
      </w:r>
      <w:r>
        <w:rPr>
          <w:sz w:val="21"/>
        </w:rPr>
        <w:t>护</w:t>
      </w:r>
      <w:r>
        <w:rPr>
          <w:spacing w:val="-3"/>
          <w:sz w:val="21"/>
        </w:rPr>
        <w:t>区</w:t>
      </w:r>
      <w:r>
        <w:rPr>
          <w:sz w:val="21"/>
        </w:rPr>
        <w:t>域</w:t>
      </w:r>
      <w:r>
        <w:rPr>
          <w:spacing w:val="-3"/>
          <w:sz w:val="21"/>
        </w:rPr>
        <w:t>内</w:t>
      </w:r>
      <w:r>
        <w:rPr>
          <w:sz w:val="21"/>
        </w:rPr>
        <w:t>有</w:t>
      </w:r>
      <w:r>
        <w:rPr>
          <w:spacing w:val="-3"/>
          <w:sz w:val="21"/>
        </w:rPr>
        <w:t>联</w:t>
      </w:r>
      <w:r>
        <w:rPr>
          <w:sz w:val="21"/>
        </w:rPr>
        <w:t>动</w:t>
      </w:r>
      <w:r>
        <w:rPr>
          <w:spacing w:val="-3"/>
          <w:sz w:val="21"/>
        </w:rPr>
        <w:t>和</w:t>
      </w:r>
      <w:r>
        <w:rPr>
          <w:sz w:val="21"/>
        </w:rPr>
        <w:t>警报</w:t>
      </w:r>
      <w:r>
        <w:rPr>
          <w:spacing w:val="-3"/>
          <w:sz w:val="21"/>
        </w:rPr>
        <w:t>要</w:t>
      </w:r>
      <w:r>
        <w:rPr>
          <w:sz w:val="21"/>
        </w:rPr>
        <w:t>求</w:t>
      </w:r>
      <w:r>
        <w:rPr>
          <w:spacing w:val="-3"/>
          <w:sz w:val="21"/>
        </w:rPr>
        <w:t>时</w:t>
      </w:r>
      <w:r>
        <w:rPr>
          <w:spacing w:val="-39"/>
          <w:sz w:val="21"/>
        </w:rPr>
        <w:t>，</w:t>
      </w:r>
      <w:r>
        <w:rPr>
          <w:sz w:val="21"/>
        </w:rPr>
        <w:t>应</w:t>
      </w:r>
      <w:r>
        <w:rPr>
          <w:spacing w:val="-3"/>
          <w:sz w:val="21"/>
        </w:rPr>
        <w:t>由</w:t>
      </w:r>
      <w:r>
        <w:rPr>
          <w:sz w:val="21"/>
        </w:rPr>
        <w:t>可</w:t>
      </w:r>
      <w:r>
        <w:rPr>
          <w:spacing w:val="-3"/>
          <w:sz w:val="21"/>
        </w:rPr>
        <w:t>燃气</w:t>
      </w:r>
      <w:r>
        <w:rPr>
          <w:sz w:val="21"/>
        </w:rPr>
        <w:t>体报</w:t>
      </w:r>
      <w:r>
        <w:rPr>
          <w:spacing w:val="-3"/>
          <w:sz w:val="21"/>
        </w:rPr>
        <w:t>警</w:t>
      </w:r>
      <w:r>
        <w:rPr>
          <w:sz w:val="21"/>
        </w:rPr>
        <w:t>控</w:t>
      </w:r>
      <w:r>
        <w:rPr>
          <w:spacing w:val="-3"/>
          <w:sz w:val="21"/>
        </w:rPr>
        <w:t>制</w:t>
      </w:r>
      <w:r>
        <w:rPr>
          <w:sz w:val="21"/>
        </w:rPr>
        <w:t>器或消防</w:t>
      </w:r>
      <w:r>
        <w:rPr>
          <w:spacing w:val="-3"/>
          <w:sz w:val="21"/>
        </w:rPr>
        <w:t>联</w:t>
      </w:r>
      <w:r>
        <w:rPr>
          <w:sz w:val="21"/>
        </w:rPr>
        <w:t>动</w:t>
      </w:r>
      <w:r>
        <w:rPr>
          <w:spacing w:val="-3"/>
          <w:sz w:val="21"/>
        </w:rPr>
        <w:t>控</w:t>
      </w:r>
      <w:r>
        <w:rPr>
          <w:sz w:val="21"/>
        </w:rPr>
        <w:t>制</w:t>
      </w:r>
      <w:r>
        <w:rPr>
          <w:spacing w:val="-3"/>
          <w:sz w:val="21"/>
        </w:rPr>
        <w:t>器</w:t>
      </w:r>
      <w:r>
        <w:rPr>
          <w:sz w:val="21"/>
        </w:rPr>
        <w:t>联</w:t>
      </w:r>
      <w:r>
        <w:rPr>
          <w:spacing w:val="-3"/>
          <w:sz w:val="21"/>
        </w:rPr>
        <w:t>动</w:t>
      </w:r>
      <w:r>
        <w:rPr>
          <w:sz w:val="21"/>
        </w:rPr>
        <w:t>实</w:t>
      </w:r>
      <w:r>
        <w:rPr>
          <w:spacing w:val="-3"/>
          <w:sz w:val="21"/>
        </w:rPr>
        <w:t>现</w:t>
      </w:r>
      <w:r>
        <w:rPr>
          <w:sz w:val="21"/>
        </w:rPr>
        <w:t>。</w:t>
      </w:r>
      <w:r>
        <w:rPr>
          <w:sz w:val="21"/>
        </w:rPr>
        <w:t xml:space="preserve"> </w:t>
      </w:r>
      <w:r>
        <w:rPr>
          <w:sz w:val="21"/>
        </w:rPr>
        <w:tab/>
      </w:r>
      <w:r>
        <w:rPr>
          <w:sz w:val="21"/>
        </w:rPr>
        <w:t xml:space="preserve">  </w:t>
      </w:r>
    </w:p>
    <w:p w14:paraId="09184B14" w14:textId="77777777" w:rsidR="00A71EEF" w:rsidRDefault="0081115D">
      <w:pPr>
        <w:pStyle w:val="a4"/>
        <w:numPr>
          <w:ilvl w:val="2"/>
          <w:numId w:val="332"/>
        </w:numPr>
        <w:tabs>
          <w:tab w:val="left" w:pos="1371"/>
        </w:tabs>
        <w:spacing w:line="267" w:lineRule="exact"/>
        <w:ind w:left="1370" w:hanging="531"/>
        <w:rPr>
          <w:sz w:val="21"/>
        </w:rPr>
      </w:pPr>
      <w:r>
        <w:rPr>
          <w:spacing w:val="-3"/>
          <w:sz w:val="21"/>
        </w:rPr>
        <w:t>可燃气体探测报警系统设置在有防爆要求的场所时，尚应符合有关防爆要求。</w:t>
      </w:r>
      <w:r>
        <w:rPr>
          <w:sz w:val="21"/>
        </w:rPr>
        <w:t xml:space="preserve"> </w:t>
      </w:r>
    </w:p>
    <w:p w14:paraId="0404F438" w14:textId="77777777" w:rsidR="00A71EEF" w:rsidRDefault="00A71EEF">
      <w:pPr>
        <w:pStyle w:val="a3"/>
        <w:spacing w:before="2"/>
        <w:rPr>
          <w:sz w:val="18"/>
        </w:rPr>
      </w:pPr>
    </w:p>
    <w:p w14:paraId="4D19B36D" w14:textId="77777777" w:rsidR="00A71EEF" w:rsidRDefault="0081115D">
      <w:pPr>
        <w:pStyle w:val="a4"/>
        <w:numPr>
          <w:ilvl w:val="1"/>
          <w:numId w:val="333"/>
        </w:numPr>
        <w:tabs>
          <w:tab w:val="left" w:pos="1160"/>
        </w:tabs>
        <w:ind w:left="1159" w:hanging="320"/>
        <w:rPr>
          <w:sz w:val="21"/>
        </w:rPr>
      </w:pPr>
      <w:r>
        <w:rPr>
          <w:spacing w:val="-3"/>
          <w:sz w:val="21"/>
        </w:rPr>
        <w:t>可燃气体探测器的设置</w:t>
      </w:r>
      <w:r>
        <w:rPr>
          <w:spacing w:val="-3"/>
          <w:sz w:val="21"/>
        </w:rPr>
        <w:t xml:space="preserve"> </w:t>
      </w:r>
    </w:p>
    <w:p w14:paraId="6E054771" w14:textId="77777777" w:rsidR="00A71EEF" w:rsidRDefault="00A71EEF">
      <w:pPr>
        <w:rPr>
          <w:sz w:val="21"/>
        </w:rPr>
        <w:sectPr w:rsidR="00A71EEF">
          <w:pgSz w:w="11910" w:h="16850"/>
          <w:pgMar w:top="1220" w:right="0" w:bottom="1420" w:left="1260" w:header="0" w:footer="1239" w:gutter="0"/>
          <w:cols w:space="720"/>
        </w:sectPr>
      </w:pPr>
    </w:p>
    <w:p w14:paraId="5B92BB00" w14:textId="77777777" w:rsidR="00A71EEF" w:rsidRDefault="0081115D">
      <w:pPr>
        <w:pStyle w:val="a4"/>
        <w:numPr>
          <w:ilvl w:val="2"/>
          <w:numId w:val="333"/>
        </w:numPr>
        <w:tabs>
          <w:tab w:val="left" w:pos="1370"/>
        </w:tabs>
        <w:spacing w:before="47" w:line="446" w:lineRule="auto"/>
        <w:ind w:right="1431" w:firstLine="422"/>
        <w:jc w:val="both"/>
        <w:rPr>
          <w:sz w:val="21"/>
        </w:rPr>
      </w:pPr>
      <w:r>
        <w:rPr>
          <w:spacing w:val="-5"/>
          <w:sz w:val="21"/>
        </w:rPr>
        <w:t>探测气体密度小于空气密度的可燃气体探测器应设置</w:t>
      </w:r>
      <w:r>
        <w:rPr>
          <w:spacing w:val="-5"/>
          <w:sz w:val="21"/>
        </w:rPr>
        <w:t>在被保护空间的顶部，探测气体</w:t>
      </w:r>
      <w:r>
        <w:rPr>
          <w:spacing w:val="-6"/>
          <w:sz w:val="21"/>
        </w:rPr>
        <w:t>密度大于空气密度的可燃气体探测器应设置在被保护空间的下部，探测气体密度与空气密度相当</w:t>
      </w:r>
      <w:r>
        <w:rPr>
          <w:spacing w:val="-4"/>
          <w:sz w:val="21"/>
        </w:rPr>
        <w:t>时，可燃气体探测器可设置在被保护空间的中间部位或顶部。</w:t>
      </w:r>
      <w:r>
        <w:rPr>
          <w:sz w:val="21"/>
        </w:rPr>
        <w:t xml:space="preserve"> </w:t>
      </w:r>
      <w:r>
        <w:rPr>
          <w:spacing w:val="-5"/>
          <w:sz w:val="21"/>
        </w:rPr>
        <w:t xml:space="preserve"> </w:t>
      </w:r>
      <w:r>
        <w:rPr>
          <w:sz w:val="21"/>
        </w:rPr>
        <w:t xml:space="preserve">  </w:t>
      </w:r>
      <w:r>
        <w:rPr>
          <w:sz w:val="21"/>
        </w:rPr>
        <w:t xml:space="preserve"> </w:t>
      </w:r>
      <w:r>
        <w:rPr>
          <w:spacing w:val="-2"/>
          <w:sz w:val="21"/>
        </w:rPr>
        <w:t xml:space="preserve"> </w:t>
      </w:r>
      <w:r>
        <w:rPr>
          <w:sz w:val="21"/>
        </w:rPr>
        <w:t xml:space="preserve">  </w:t>
      </w:r>
    </w:p>
    <w:p w14:paraId="271CE012" w14:textId="77777777" w:rsidR="00A71EEF" w:rsidRDefault="0081115D">
      <w:pPr>
        <w:pStyle w:val="a4"/>
        <w:numPr>
          <w:ilvl w:val="2"/>
          <w:numId w:val="333"/>
        </w:numPr>
        <w:tabs>
          <w:tab w:val="left" w:pos="1370"/>
        </w:tabs>
        <w:spacing w:line="268" w:lineRule="exact"/>
        <w:ind w:left="1369" w:hanging="530"/>
        <w:jc w:val="both"/>
        <w:rPr>
          <w:sz w:val="21"/>
        </w:rPr>
      </w:pPr>
      <w:r>
        <w:rPr>
          <w:spacing w:val="-3"/>
          <w:sz w:val="21"/>
        </w:rPr>
        <w:t>可燃气体探测器宜设置在可能产生可燃气体部位附近。</w:t>
      </w:r>
      <w:r>
        <w:rPr>
          <w:sz w:val="21"/>
        </w:rPr>
        <w:t xml:space="preserve"> </w:t>
      </w:r>
      <w:r>
        <w:rPr>
          <w:spacing w:val="-9"/>
          <w:sz w:val="21"/>
        </w:rPr>
        <w:t xml:space="preserve"> </w:t>
      </w:r>
      <w:r>
        <w:rPr>
          <w:sz w:val="21"/>
        </w:rPr>
        <w:t xml:space="preserve">  </w:t>
      </w:r>
    </w:p>
    <w:p w14:paraId="19CCC9B0" w14:textId="77777777" w:rsidR="00A71EEF" w:rsidRDefault="00A71EEF">
      <w:pPr>
        <w:pStyle w:val="a3"/>
        <w:rPr>
          <w:sz w:val="18"/>
        </w:rPr>
      </w:pPr>
    </w:p>
    <w:p w14:paraId="606232C9" w14:textId="77777777" w:rsidR="00A71EEF" w:rsidRDefault="0081115D">
      <w:pPr>
        <w:pStyle w:val="a4"/>
        <w:numPr>
          <w:ilvl w:val="2"/>
          <w:numId w:val="333"/>
        </w:numPr>
        <w:tabs>
          <w:tab w:val="left" w:pos="1371"/>
        </w:tabs>
        <w:spacing w:line="446" w:lineRule="auto"/>
        <w:ind w:right="1431" w:firstLine="422"/>
        <w:rPr>
          <w:sz w:val="21"/>
        </w:rPr>
      </w:pPr>
      <w:r>
        <w:rPr>
          <w:spacing w:val="-6"/>
          <w:sz w:val="21"/>
        </w:rPr>
        <w:t>点型可燃气体探测器的保护半径，应符合现行国家标准《石油化工可燃气体和有毒气</w:t>
      </w:r>
      <w:r>
        <w:rPr>
          <w:spacing w:val="-4"/>
          <w:sz w:val="21"/>
        </w:rPr>
        <w:t>体检测报</w:t>
      </w:r>
      <w:r>
        <w:rPr>
          <w:spacing w:val="-4"/>
          <w:sz w:val="21"/>
        </w:rPr>
        <w:t xml:space="preserve"> </w:t>
      </w:r>
      <w:r>
        <w:rPr>
          <w:spacing w:val="-4"/>
          <w:sz w:val="21"/>
        </w:rPr>
        <w:t>警设计规范》</w:t>
      </w:r>
      <w:r>
        <w:rPr>
          <w:spacing w:val="-3"/>
          <w:sz w:val="21"/>
        </w:rPr>
        <w:t>GB</w:t>
      </w:r>
      <w:r>
        <w:rPr>
          <w:spacing w:val="1"/>
          <w:sz w:val="21"/>
        </w:rPr>
        <w:t xml:space="preserve"> </w:t>
      </w:r>
      <w:r>
        <w:rPr>
          <w:sz w:val="21"/>
        </w:rPr>
        <w:t>50493</w:t>
      </w:r>
      <w:r>
        <w:rPr>
          <w:spacing w:val="-3"/>
          <w:sz w:val="21"/>
        </w:rPr>
        <w:t xml:space="preserve"> </w:t>
      </w:r>
      <w:r>
        <w:rPr>
          <w:spacing w:val="-3"/>
          <w:sz w:val="21"/>
        </w:rPr>
        <w:t>的有关规定。</w:t>
      </w:r>
      <w:r>
        <w:rPr>
          <w:sz w:val="21"/>
        </w:rPr>
        <w:t xml:space="preserve">   </w:t>
      </w:r>
    </w:p>
    <w:p w14:paraId="32433EA8" w14:textId="77777777" w:rsidR="00A71EEF" w:rsidRDefault="0081115D">
      <w:pPr>
        <w:pStyle w:val="a4"/>
        <w:numPr>
          <w:ilvl w:val="2"/>
          <w:numId w:val="333"/>
        </w:numPr>
        <w:tabs>
          <w:tab w:val="left" w:pos="1370"/>
          <w:tab w:val="left" w:pos="6718"/>
        </w:tabs>
        <w:ind w:left="1369" w:hanging="530"/>
        <w:rPr>
          <w:sz w:val="21"/>
        </w:rPr>
      </w:pPr>
      <w:r>
        <w:rPr>
          <w:spacing w:val="-3"/>
          <w:sz w:val="21"/>
        </w:rPr>
        <w:t>线</w:t>
      </w:r>
      <w:r>
        <w:rPr>
          <w:sz w:val="21"/>
        </w:rPr>
        <w:t>型</w:t>
      </w:r>
      <w:r>
        <w:rPr>
          <w:spacing w:val="-3"/>
          <w:sz w:val="21"/>
        </w:rPr>
        <w:t>可</w:t>
      </w:r>
      <w:r>
        <w:rPr>
          <w:sz w:val="21"/>
        </w:rPr>
        <w:t>燃</w:t>
      </w:r>
      <w:r>
        <w:rPr>
          <w:spacing w:val="-3"/>
          <w:sz w:val="21"/>
        </w:rPr>
        <w:t>气</w:t>
      </w:r>
      <w:r>
        <w:rPr>
          <w:sz w:val="21"/>
        </w:rPr>
        <w:t>体</w:t>
      </w:r>
      <w:r>
        <w:rPr>
          <w:spacing w:val="-3"/>
          <w:sz w:val="21"/>
        </w:rPr>
        <w:t>探测</w:t>
      </w:r>
      <w:r>
        <w:rPr>
          <w:sz w:val="21"/>
        </w:rPr>
        <w:t>器的</w:t>
      </w:r>
      <w:r>
        <w:rPr>
          <w:spacing w:val="-3"/>
          <w:sz w:val="21"/>
        </w:rPr>
        <w:t>保</w:t>
      </w:r>
      <w:r>
        <w:rPr>
          <w:sz w:val="21"/>
        </w:rPr>
        <w:t>护</w:t>
      </w:r>
      <w:r>
        <w:rPr>
          <w:spacing w:val="-3"/>
          <w:sz w:val="21"/>
        </w:rPr>
        <w:t>区</w:t>
      </w:r>
      <w:r>
        <w:rPr>
          <w:sz w:val="21"/>
        </w:rPr>
        <w:t>域</w:t>
      </w:r>
      <w:r>
        <w:rPr>
          <w:spacing w:val="-3"/>
          <w:sz w:val="21"/>
        </w:rPr>
        <w:t>长</w:t>
      </w:r>
      <w:r>
        <w:rPr>
          <w:sz w:val="21"/>
        </w:rPr>
        <w:t>度</w:t>
      </w:r>
      <w:r>
        <w:rPr>
          <w:spacing w:val="-3"/>
          <w:sz w:val="21"/>
        </w:rPr>
        <w:t>不</w:t>
      </w:r>
      <w:r>
        <w:rPr>
          <w:sz w:val="21"/>
        </w:rPr>
        <w:t>宜</w:t>
      </w:r>
      <w:r>
        <w:rPr>
          <w:spacing w:val="-3"/>
          <w:sz w:val="21"/>
        </w:rPr>
        <w:t>大</w:t>
      </w:r>
      <w:r>
        <w:rPr>
          <w:sz w:val="21"/>
        </w:rPr>
        <w:t>于</w:t>
      </w:r>
      <w:r>
        <w:rPr>
          <w:spacing w:val="12"/>
          <w:sz w:val="21"/>
        </w:rPr>
        <w:t xml:space="preserve"> </w:t>
      </w:r>
      <w:r>
        <w:rPr>
          <w:sz w:val="21"/>
        </w:rPr>
        <w:t>60m</w:t>
      </w:r>
      <w:r>
        <w:rPr>
          <w:spacing w:val="12"/>
          <w:sz w:val="21"/>
        </w:rPr>
        <w:t xml:space="preserve"> </w:t>
      </w:r>
      <w:r>
        <w:rPr>
          <w:spacing w:val="-3"/>
          <w:sz w:val="21"/>
        </w:rPr>
        <w:t>。</w:t>
      </w:r>
      <w:r>
        <w:rPr>
          <w:sz w:val="21"/>
        </w:rPr>
        <w:t xml:space="preserve"> </w:t>
      </w:r>
      <w:r>
        <w:rPr>
          <w:sz w:val="21"/>
        </w:rPr>
        <w:tab/>
      </w:r>
      <w:r>
        <w:rPr>
          <w:sz w:val="21"/>
        </w:rPr>
        <w:t xml:space="preserve">  </w:t>
      </w:r>
    </w:p>
    <w:p w14:paraId="58C7939D" w14:textId="77777777" w:rsidR="00A71EEF" w:rsidRDefault="00A71EEF">
      <w:pPr>
        <w:pStyle w:val="a3"/>
        <w:rPr>
          <w:sz w:val="18"/>
        </w:rPr>
      </w:pPr>
    </w:p>
    <w:p w14:paraId="7B76CD0A" w14:textId="77777777" w:rsidR="00A71EEF" w:rsidRDefault="0081115D">
      <w:pPr>
        <w:pStyle w:val="a4"/>
        <w:numPr>
          <w:ilvl w:val="1"/>
          <w:numId w:val="333"/>
        </w:numPr>
        <w:tabs>
          <w:tab w:val="left" w:pos="1160"/>
        </w:tabs>
        <w:ind w:left="1159" w:hanging="320"/>
        <w:rPr>
          <w:b/>
          <w:sz w:val="21"/>
        </w:rPr>
      </w:pPr>
      <w:r>
        <w:rPr>
          <w:spacing w:val="-3"/>
          <w:sz w:val="21"/>
        </w:rPr>
        <w:t>可燃气体报警控制器的设置</w:t>
      </w:r>
      <w:r>
        <w:rPr>
          <w:b/>
          <w:w w:val="99"/>
          <w:sz w:val="21"/>
        </w:rPr>
        <w:t xml:space="preserve"> </w:t>
      </w:r>
    </w:p>
    <w:p w14:paraId="17A50520" w14:textId="77777777" w:rsidR="00A71EEF" w:rsidRDefault="00A71EEF">
      <w:pPr>
        <w:pStyle w:val="a3"/>
        <w:spacing w:before="12"/>
        <w:rPr>
          <w:b/>
          <w:sz w:val="17"/>
        </w:rPr>
      </w:pPr>
    </w:p>
    <w:p w14:paraId="30C26648" w14:textId="77777777" w:rsidR="00A71EEF" w:rsidRDefault="0081115D">
      <w:pPr>
        <w:pStyle w:val="a4"/>
        <w:numPr>
          <w:ilvl w:val="2"/>
          <w:numId w:val="333"/>
        </w:numPr>
        <w:tabs>
          <w:tab w:val="left" w:pos="1371"/>
        </w:tabs>
        <w:spacing w:line="446" w:lineRule="auto"/>
        <w:ind w:right="1328" w:firstLine="422"/>
        <w:rPr>
          <w:sz w:val="21"/>
        </w:rPr>
      </w:pPr>
      <w:r>
        <w:rPr>
          <w:spacing w:val="-13"/>
          <w:sz w:val="21"/>
        </w:rPr>
        <w:t>当有消防控制室时，可燃气体报警控制器可设置在保护区域附近；当无消防控制室时，</w:t>
      </w:r>
      <w:r>
        <w:rPr>
          <w:spacing w:val="-13"/>
          <w:sz w:val="21"/>
        </w:rPr>
        <w:t xml:space="preserve"> </w:t>
      </w:r>
      <w:r>
        <w:rPr>
          <w:spacing w:val="-6"/>
          <w:sz w:val="21"/>
        </w:rPr>
        <w:t>可燃气体报警控制器应设置在有人值班的场所。</w:t>
      </w:r>
      <w:r>
        <w:rPr>
          <w:sz w:val="21"/>
        </w:rPr>
        <w:t xml:space="preserve"> </w:t>
      </w:r>
      <w:r>
        <w:rPr>
          <w:spacing w:val="-2"/>
          <w:sz w:val="21"/>
        </w:rPr>
        <w:t xml:space="preserve"> </w:t>
      </w:r>
      <w:r>
        <w:rPr>
          <w:sz w:val="21"/>
        </w:rPr>
        <w:t xml:space="preserve">  </w:t>
      </w:r>
    </w:p>
    <w:p w14:paraId="2CDAA0D7" w14:textId="77777777" w:rsidR="00A71EEF" w:rsidRDefault="0081115D">
      <w:pPr>
        <w:pStyle w:val="a4"/>
        <w:numPr>
          <w:ilvl w:val="2"/>
          <w:numId w:val="333"/>
        </w:numPr>
        <w:tabs>
          <w:tab w:val="left" w:pos="1370"/>
        </w:tabs>
        <w:ind w:left="1369" w:hanging="530"/>
        <w:rPr>
          <w:sz w:val="21"/>
        </w:rPr>
      </w:pPr>
      <w:r>
        <w:rPr>
          <w:spacing w:val="-3"/>
          <w:sz w:val="21"/>
        </w:rPr>
        <w:t>可燃气体报警控制器的设置应符合火灾报警控制器的安装设置要求。</w:t>
      </w:r>
      <w:r>
        <w:rPr>
          <w:spacing w:val="-3"/>
          <w:sz w:val="21"/>
        </w:rPr>
        <w:t xml:space="preserve"> </w:t>
      </w:r>
      <w:r>
        <w:rPr>
          <w:spacing w:val="-9"/>
          <w:sz w:val="21"/>
        </w:rPr>
        <w:t xml:space="preserve"> </w:t>
      </w:r>
      <w:r>
        <w:rPr>
          <w:sz w:val="21"/>
        </w:rPr>
        <w:t xml:space="preserve">  </w:t>
      </w:r>
    </w:p>
    <w:p w14:paraId="5A5912EC" w14:textId="77777777" w:rsidR="00A71EEF" w:rsidRDefault="00A71EEF">
      <w:pPr>
        <w:pStyle w:val="a3"/>
        <w:spacing w:before="8"/>
        <w:rPr>
          <w:sz w:val="15"/>
        </w:rPr>
      </w:pPr>
    </w:p>
    <w:p w14:paraId="2637D821" w14:textId="77777777" w:rsidR="00A71EEF" w:rsidRDefault="0081115D">
      <w:pPr>
        <w:pStyle w:val="4"/>
      </w:pPr>
      <w:r>
        <w:t xml:space="preserve">9 </w:t>
      </w:r>
      <w:r>
        <w:t>电气火灾监控系统</w:t>
      </w:r>
      <w:r>
        <w:rPr>
          <w:w w:val="99"/>
        </w:rPr>
        <w:t xml:space="preserve"> </w:t>
      </w:r>
    </w:p>
    <w:p w14:paraId="476B2F26" w14:textId="77777777" w:rsidR="00A71EEF" w:rsidRDefault="00A71EEF">
      <w:pPr>
        <w:pStyle w:val="a3"/>
        <w:spacing w:before="6"/>
        <w:rPr>
          <w:b/>
          <w:sz w:val="17"/>
        </w:rPr>
      </w:pPr>
    </w:p>
    <w:p w14:paraId="75FC9161" w14:textId="77777777" w:rsidR="00A71EEF" w:rsidRDefault="0081115D">
      <w:pPr>
        <w:pStyle w:val="a4"/>
        <w:numPr>
          <w:ilvl w:val="1"/>
          <w:numId w:val="331"/>
        </w:numPr>
        <w:tabs>
          <w:tab w:val="left" w:pos="1159"/>
        </w:tabs>
        <w:ind w:hanging="319"/>
        <w:rPr>
          <w:sz w:val="21"/>
        </w:rPr>
      </w:pPr>
      <w:r>
        <w:rPr>
          <w:spacing w:val="-3"/>
          <w:sz w:val="21"/>
        </w:rPr>
        <w:t>一般规定</w:t>
      </w:r>
      <w:r>
        <w:rPr>
          <w:sz w:val="21"/>
        </w:rPr>
        <w:t xml:space="preserve"> </w:t>
      </w:r>
    </w:p>
    <w:p w14:paraId="75622880" w14:textId="77777777" w:rsidR="00A71EEF" w:rsidRDefault="00A71EEF">
      <w:pPr>
        <w:pStyle w:val="a3"/>
        <w:rPr>
          <w:sz w:val="18"/>
        </w:rPr>
      </w:pPr>
    </w:p>
    <w:p w14:paraId="51B8B6DA" w14:textId="77777777" w:rsidR="00A71EEF" w:rsidRDefault="0081115D">
      <w:pPr>
        <w:pStyle w:val="a4"/>
        <w:numPr>
          <w:ilvl w:val="2"/>
          <w:numId w:val="331"/>
        </w:numPr>
        <w:tabs>
          <w:tab w:val="left" w:pos="1371"/>
          <w:tab w:val="left" w:pos="6718"/>
        </w:tabs>
        <w:rPr>
          <w:sz w:val="21"/>
        </w:rPr>
      </w:pPr>
      <w:r>
        <w:rPr>
          <w:spacing w:val="-3"/>
          <w:sz w:val="21"/>
        </w:rPr>
        <w:t>电</w:t>
      </w:r>
      <w:r>
        <w:rPr>
          <w:sz w:val="21"/>
        </w:rPr>
        <w:t>气</w:t>
      </w:r>
      <w:r>
        <w:rPr>
          <w:spacing w:val="-3"/>
          <w:sz w:val="21"/>
        </w:rPr>
        <w:t>火</w:t>
      </w:r>
      <w:r>
        <w:rPr>
          <w:sz w:val="21"/>
        </w:rPr>
        <w:t>灾</w:t>
      </w:r>
      <w:r>
        <w:rPr>
          <w:spacing w:val="-3"/>
          <w:sz w:val="21"/>
        </w:rPr>
        <w:t>监</w:t>
      </w:r>
      <w:r>
        <w:rPr>
          <w:sz w:val="21"/>
        </w:rPr>
        <w:t>控</w:t>
      </w:r>
      <w:r>
        <w:rPr>
          <w:spacing w:val="-3"/>
          <w:sz w:val="21"/>
        </w:rPr>
        <w:t>系统</w:t>
      </w:r>
      <w:r>
        <w:rPr>
          <w:sz w:val="21"/>
        </w:rPr>
        <w:t>可用</w:t>
      </w:r>
      <w:r>
        <w:rPr>
          <w:spacing w:val="-3"/>
          <w:sz w:val="21"/>
        </w:rPr>
        <w:t>于</w:t>
      </w:r>
      <w:r>
        <w:rPr>
          <w:sz w:val="21"/>
        </w:rPr>
        <w:t>具</w:t>
      </w:r>
      <w:r>
        <w:rPr>
          <w:spacing w:val="-3"/>
          <w:sz w:val="21"/>
        </w:rPr>
        <w:t>有</w:t>
      </w:r>
      <w:r>
        <w:rPr>
          <w:sz w:val="21"/>
        </w:rPr>
        <w:t>电</w:t>
      </w:r>
      <w:r>
        <w:rPr>
          <w:spacing w:val="-3"/>
          <w:sz w:val="21"/>
        </w:rPr>
        <w:t>气</w:t>
      </w:r>
      <w:r>
        <w:rPr>
          <w:sz w:val="21"/>
        </w:rPr>
        <w:t>火</w:t>
      </w:r>
      <w:r>
        <w:rPr>
          <w:spacing w:val="-3"/>
          <w:sz w:val="21"/>
        </w:rPr>
        <w:t>灾</w:t>
      </w:r>
      <w:r>
        <w:rPr>
          <w:sz w:val="21"/>
        </w:rPr>
        <w:t>危</w:t>
      </w:r>
      <w:r>
        <w:rPr>
          <w:spacing w:val="-3"/>
          <w:sz w:val="21"/>
        </w:rPr>
        <w:t>险</w:t>
      </w:r>
      <w:r>
        <w:rPr>
          <w:sz w:val="21"/>
        </w:rPr>
        <w:t>的场</w:t>
      </w:r>
      <w:r>
        <w:rPr>
          <w:spacing w:val="-3"/>
          <w:sz w:val="21"/>
        </w:rPr>
        <w:t>所。</w:t>
      </w:r>
      <w:r>
        <w:rPr>
          <w:sz w:val="21"/>
        </w:rPr>
        <w:t xml:space="preserve"> </w:t>
      </w:r>
      <w:r>
        <w:rPr>
          <w:sz w:val="21"/>
        </w:rPr>
        <w:tab/>
      </w:r>
      <w:r>
        <w:rPr>
          <w:sz w:val="21"/>
        </w:rPr>
        <w:t xml:space="preserve">  </w:t>
      </w:r>
    </w:p>
    <w:p w14:paraId="364BA8E1" w14:textId="77777777" w:rsidR="00A71EEF" w:rsidRDefault="00A71EEF">
      <w:pPr>
        <w:pStyle w:val="a3"/>
        <w:spacing w:before="12"/>
        <w:rPr>
          <w:sz w:val="17"/>
        </w:rPr>
      </w:pPr>
    </w:p>
    <w:p w14:paraId="0F9A97DB" w14:textId="77777777" w:rsidR="00A71EEF" w:rsidRDefault="0081115D">
      <w:pPr>
        <w:pStyle w:val="a4"/>
        <w:numPr>
          <w:ilvl w:val="2"/>
          <w:numId w:val="331"/>
        </w:numPr>
        <w:tabs>
          <w:tab w:val="left" w:pos="1370"/>
        </w:tabs>
        <w:ind w:left="1369" w:hanging="530"/>
        <w:rPr>
          <w:sz w:val="21"/>
        </w:rPr>
      </w:pPr>
      <w:r>
        <w:rPr>
          <w:spacing w:val="-3"/>
          <w:sz w:val="21"/>
        </w:rPr>
        <w:t>电气火灾监控系统应由下列部分或全部设备组成：</w:t>
      </w:r>
      <w:r>
        <w:rPr>
          <w:sz w:val="21"/>
        </w:rPr>
        <w:t xml:space="preserve"> </w:t>
      </w:r>
    </w:p>
    <w:p w14:paraId="38C0776A" w14:textId="77777777" w:rsidR="00A71EEF" w:rsidRDefault="00A71EEF">
      <w:pPr>
        <w:pStyle w:val="a3"/>
        <w:spacing w:before="2"/>
        <w:rPr>
          <w:sz w:val="18"/>
        </w:rPr>
      </w:pPr>
    </w:p>
    <w:p w14:paraId="4AB1E297" w14:textId="77777777" w:rsidR="00A71EEF" w:rsidRDefault="0081115D">
      <w:pPr>
        <w:pStyle w:val="a4"/>
        <w:numPr>
          <w:ilvl w:val="0"/>
          <w:numId w:val="330"/>
        </w:numPr>
        <w:tabs>
          <w:tab w:val="left" w:pos="1367"/>
        </w:tabs>
        <w:rPr>
          <w:sz w:val="21"/>
        </w:rPr>
      </w:pPr>
      <w:r>
        <w:rPr>
          <w:spacing w:val="-3"/>
          <w:sz w:val="21"/>
        </w:rPr>
        <w:t>电气火灾监控器。</w:t>
      </w:r>
      <w:r>
        <w:rPr>
          <w:sz w:val="21"/>
        </w:rPr>
        <w:t xml:space="preserve"> </w:t>
      </w:r>
    </w:p>
    <w:p w14:paraId="254EA6D4" w14:textId="77777777" w:rsidR="00A71EEF" w:rsidRDefault="00A71EEF">
      <w:pPr>
        <w:pStyle w:val="a3"/>
        <w:rPr>
          <w:sz w:val="18"/>
        </w:rPr>
      </w:pPr>
    </w:p>
    <w:p w14:paraId="5562E30A" w14:textId="77777777" w:rsidR="00A71EEF" w:rsidRDefault="0081115D">
      <w:pPr>
        <w:pStyle w:val="a4"/>
        <w:numPr>
          <w:ilvl w:val="0"/>
          <w:numId w:val="330"/>
        </w:numPr>
        <w:tabs>
          <w:tab w:val="left" w:pos="1367"/>
        </w:tabs>
        <w:rPr>
          <w:sz w:val="21"/>
        </w:rPr>
      </w:pPr>
      <w:r>
        <w:rPr>
          <w:spacing w:val="-3"/>
          <w:sz w:val="21"/>
        </w:rPr>
        <w:t>剩余电流式电气火灾监控探测器。</w:t>
      </w:r>
      <w:r>
        <w:rPr>
          <w:sz w:val="21"/>
        </w:rPr>
        <w:t xml:space="preserve"> </w:t>
      </w:r>
    </w:p>
    <w:p w14:paraId="4DACD02C" w14:textId="77777777" w:rsidR="00A71EEF" w:rsidRDefault="00A71EEF">
      <w:pPr>
        <w:pStyle w:val="a3"/>
        <w:spacing w:before="12"/>
        <w:rPr>
          <w:sz w:val="17"/>
        </w:rPr>
      </w:pPr>
    </w:p>
    <w:p w14:paraId="79BB0425" w14:textId="77777777" w:rsidR="00A71EEF" w:rsidRDefault="0081115D">
      <w:pPr>
        <w:pStyle w:val="a4"/>
        <w:numPr>
          <w:ilvl w:val="0"/>
          <w:numId w:val="330"/>
        </w:numPr>
        <w:tabs>
          <w:tab w:val="left" w:pos="1367"/>
        </w:tabs>
        <w:rPr>
          <w:sz w:val="21"/>
        </w:rPr>
      </w:pPr>
      <w:r>
        <w:rPr>
          <w:spacing w:val="-3"/>
          <w:sz w:val="21"/>
        </w:rPr>
        <w:t>测温式电气火灾监控探测器。</w:t>
      </w:r>
      <w:r>
        <w:rPr>
          <w:sz w:val="21"/>
        </w:rPr>
        <w:t xml:space="preserve">   </w:t>
      </w:r>
    </w:p>
    <w:p w14:paraId="169AE951" w14:textId="77777777" w:rsidR="00A71EEF" w:rsidRDefault="00A71EEF">
      <w:pPr>
        <w:pStyle w:val="a3"/>
        <w:spacing w:before="2"/>
        <w:rPr>
          <w:sz w:val="18"/>
        </w:rPr>
      </w:pPr>
    </w:p>
    <w:p w14:paraId="4FF5953A" w14:textId="77777777" w:rsidR="00A71EEF" w:rsidRDefault="0081115D">
      <w:pPr>
        <w:pStyle w:val="a4"/>
        <w:numPr>
          <w:ilvl w:val="2"/>
          <w:numId w:val="331"/>
        </w:numPr>
        <w:tabs>
          <w:tab w:val="left" w:pos="1370"/>
        </w:tabs>
        <w:spacing w:line="446" w:lineRule="auto"/>
        <w:ind w:left="418" w:right="1431" w:firstLine="422"/>
        <w:jc w:val="both"/>
        <w:rPr>
          <w:sz w:val="21"/>
        </w:rPr>
      </w:pPr>
      <w:r>
        <w:rPr>
          <w:spacing w:val="-5"/>
          <w:sz w:val="21"/>
        </w:rPr>
        <w:t>电气火灾监控系统应根据建筑物的性质及电气火灾危险性设置，并应根据电气线路敷</w:t>
      </w:r>
      <w:r>
        <w:rPr>
          <w:spacing w:val="-6"/>
          <w:sz w:val="21"/>
        </w:rPr>
        <w:t>设和用电设备的具体情况，确定电气火灾监控探测器的形式与安装位置。在无消防控制室且电气</w:t>
      </w:r>
      <w:r>
        <w:rPr>
          <w:spacing w:val="-4"/>
          <w:sz w:val="21"/>
        </w:rPr>
        <w:t>火灾监控探测器设置数量不超过</w:t>
      </w:r>
      <w:r>
        <w:rPr>
          <w:spacing w:val="-4"/>
          <w:sz w:val="21"/>
        </w:rPr>
        <w:t xml:space="preserve"> </w:t>
      </w:r>
      <w:r>
        <w:rPr>
          <w:sz w:val="21"/>
        </w:rPr>
        <w:t>8</w:t>
      </w:r>
      <w:r>
        <w:rPr>
          <w:spacing w:val="-3"/>
          <w:sz w:val="21"/>
        </w:rPr>
        <w:t xml:space="preserve"> </w:t>
      </w:r>
      <w:r>
        <w:rPr>
          <w:spacing w:val="-3"/>
          <w:sz w:val="21"/>
        </w:rPr>
        <w:t>只时，可采用独立式电气火灾监控探测器。</w:t>
      </w:r>
      <w:r>
        <w:rPr>
          <w:spacing w:val="-3"/>
          <w:sz w:val="21"/>
        </w:rPr>
        <w:t xml:space="preserve"> </w:t>
      </w:r>
      <w:r>
        <w:rPr>
          <w:sz w:val="21"/>
        </w:rPr>
        <w:t xml:space="preserve"> </w:t>
      </w:r>
    </w:p>
    <w:p w14:paraId="1B6AB2E1" w14:textId="77777777" w:rsidR="00A71EEF" w:rsidRDefault="0081115D">
      <w:pPr>
        <w:pStyle w:val="a4"/>
        <w:numPr>
          <w:ilvl w:val="2"/>
          <w:numId w:val="331"/>
        </w:numPr>
        <w:tabs>
          <w:tab w:val="left" w:pos="1370"/>
        </w:tabs>
        <w:spacing w:line="268" w:lineRule="exact"/>
        <w:ind w:left="1369" w:hanging="530"/>
        <w:jc w:val="both"/>
        <w:rPr>
          <w:sz w:val="21"/>
        </w:rPr>
      </w:pPr>
      <w:r>
        <w:rPr>
          <w:spacing w:val="-3"/>
          <w:sz w:val="21"/>
        </w:rPr>
        <w:t>非独立式电气火灾监控探测器不应接入火灾报警控制器的探测器回路。</w:t>
      </w:r>
      <w:r>
        <w:rPr>
          <w:spacing w:val="-3"/>
          <w:sz w:val="21"/>
        </w:rPr>
        <w:t xml:space="preserve">   </w:t>
      </w:r>
      <w:r>
        <w:rPr>
          <w:spacing w:val="-11"/>
          <w:sz w:val="21"/>
        </w:rPr>
        <w:t xml:space="preserve"> </w:t>
      </w:r>
      <w:r>
        <w:rPr>
          <w:sz w:val="21"/>
        </w:rPr>
        <w:t xml:space="preserve">  </w:t>
      </w:r>
    </w:p>
    <w:p w14:paraId="675D2F49" w14:textId="77777777" w:rsidR="00A71EEF" w:rsidRDefault="00A71EEF">
      <w:pPr>
        <w:pStyle w:val="a3"/>
        <w:spacing w:before="12"/>
        <w:rPr>
          <w:sz w:val="17"/>
        </w:rPr>
      </w:pPr>
    </w:p>
    <w:p w14:paraId="7CEC03A5" w14:textId="77777777" w:rsidR="00A71EEF" w:rsidRDefault="0081115D">
      <w:pPr>
        <w:pStyle w:val="a4"/>
        <w:numPr>
          <w:ilvl w:val="2"/>
          <w:numId w:val="331"/>
        </w:numPr>
        <w:tabs>
          <w:tab w:val="left" w:pos="1370"/>
        </w:tabs>
        <w:spacing w:line="446" w:lineRule="auto"/>
        <w:ind w:left="418" w:right="1431" w:firstLine="422"/>
        <w:jc w:val="both"/>
        <w:rPr>
          <w:sz w:val="21"/>
        </w:rPr>
      </w:pPr>
      <w:r>
        <w:rPr>
          <w:spacing w:val="-6"/>
          <w:sz w:val="21"/>
        </w:rPr>
        <w:t>在设置消防控制室的场所，电气火灾监控器的报警信息和故障信息应在消防控制室图形显示装置或起集中控制功能的火灾报警控制器上显示，但该类信息与火灾报警信息的显示应有</w:t>
      </w:r>
      <w:r>
        <w:rPr>
          <w:spacing w:val="-5"/>
          <w:sz w:val="21"/>
        </w:rPr>
        <w:t>区别。</w:t>
      </w:r>
      <w:r>
        <w:rPr>
          <w:sz w:val="21"/>
        </w:rPr>
        <w:t xml:space="preserve"> </w:t>
      </w:r>
      <w:r>
        <w:rPr>
          <w:spacing w:val="-3"/>
          <w:sz w:val="21"/>
        </w:rPr>
        <w:t xml:space="preserve"> </w:t>
      </w:r>
      <w:r>
        <w:rPr>
          <w:sz w:val="21"/>
        </w:rPr>
        <w:t xml:space="preserve">   </w:t>
      </w:r>
      <w:r>
        <w:rPr>
          <w:spacing w:val="-1"/>
          <w:sz w:val="21"/>
        </w:rPr>
        <w:t xml:space="preserve"> </w:t>
      </w:r>
      <w:r>
        <w:rPr>
          <w:sz w:val="21"/>
        </w:rPr>
        <w:t xml:space="preserve">  </w:t>
      </w:r>
    </w:p>
    <w:p w14:paraId="0554C203" w14:textId="77777777" w:rsidR="00A71EEF" w:rsidRDefault="0081115D">
      <w:pPr>
        <w:pStyle w:val="a4"/>
        <w:numPr>
          <w:ilvl w:val="2"/>
          <w:numId w:val="331"/>
        </w:numPr>
        <w:tabs>
          <w:tab w:val="left" w:pos="1370"/>
        </w:tabs>
        <w:spacing w:line="268" w:lineRule="exact"/>
        <w:ind w:left="1369" w:hanging="530"/>
        <w:rPr>
          <w:sz w:val="21"/>
        </w:rPr>
      </w:pPr>
      <w:r>
        <w:rPr>
          <w:spacing w:val="-3"/>
          <w:sz w:val="21"/>
        </w:rPr>
        <w:t>电气火灾监控系统的设置不应影响供电系统的正常工作，不宜自动切断供电电源。</w:t>
      </w:r>
      <w:r>
        <w:rPr>
          <w:spacing w:val="-3"/>
          <w:sz w:val="21"/>
        </w:rPr>
        <w:t xml:space="preserve">  </w:t>
      </w:r>
      <w:r>
        <w:rPr>
          <w:sz w:val="21"/>
        </w:rPr>
        <w:t xml:space="preserve"> </w:t>
      </w:r>
    </w:p>
    <w:p w14:paraId="1FA3A450" w14:textId="77777777" w:rsidR="00A71EEF" w:rsidRDefault="00A71EEF">
      <w:pPr>
        <w:pStyle w:val="a3"/>
        <w:rPr>
          <w:sz w:val="18"/>
        </w:rPr>
      </w:pPr>
    </w:p>
    <w:p w14:paraId="63E365E1" w14:textId="77777777" w:rsidR="00A71EEF" w:rsidRDefault="0081115D">
      <w:pPr>
        <w:pStyle w:val="a4"/>
        <w:numPr>
          <w:ilvl w:val="2"/>
          <w:numId w:val="331"/>
        </w:numPr>
        <w:tabs>
          <w:tab w:val="left" w:pos="1370"/>
          <w:tab w:val="left" w:pos="8399"/>
        </w:tabs>
        <w:ind w:left="1369" w:hanging="530"/>
        <w:rPr>
          <w:sz w:val="21"/>
        </w:rPr>
      </w:pPr>
      <w:r>
        <w:rPr>
          <w:spacing w:val="-3"/>
          <w:sz w:val="21"/>
        </w:rPr>
        <w:t>当</w:t>
      </w:r>
      <w:r>
        <w:rPr>
          <w:sz w:val="21"/>
        </w:rPr>
        <w:t>线</w:t>
      </w:r>
      <w:r>
        <w:rPr>
          <w:spacing w:val="-3"/>
          <w:sz w:val="21"/>
        </w:rPr>
        <w:t>型</w:t>
      </w:r>
      <w:r>
        <w:rPr>
          <w:sz w:val="21"/>
        </w:rPr>
        <w:t>感</w:t>
      </w:r>
      <w:r>
        <w:rPr>
          <w:spacing w:val="-3"/>
          <w:sz w:val="21"/>
        </w:rPr>
        <w:t>温</w:t>
      </w:r>
      <w:r>
        <w:rPr>
          <w:sz w:val="21"/>
        </w:rPr>
        <w:t>火</w:t>
      </w:r>
      <w:r>
        <w:rPr>
          <w:spacing w:val="-3"/>
          <w:sz w:val="21"/>
        </w:rPr>
        <w:t>灾探</w:t>
      </w:r>
      <w:r>
        <w:rPr>
          <w:sz w:val="21"/>
        </w:rPr>
        <w:t>测器</w:t>
      </w:r>
      <w:r>
        <w:rPr>
          <w:spacing w:val="-3"/>
          <w:sz w:val="21"/>
        </w:rPr>
        <w:t>用</w:t>
      </w:r>
      <w:r>
        <w:rPr>
          <w:sz w:val="21"/>
        </w:rPr>
        <w:t>于</w:t>
      </w:r>
      <w:r>
        <w:rPr>
          <w:spacing w:val="-3"/>
          <w:sz w:val="21"/>
        </w:rPr>
        <w:t>电</w:t>
      </w:r>
      <w:r>
        <w:rPr>
          <w:sz w:val="21"/>
        </w:rPr>
        <w:t>气</w:t>
      </w:r>
      <w:r>
        <w:rPr>
          <w:spacing w:val="-3"/>
          <w:sz w:val="21"/>
        </w:rPr>
        <w:t>火</w:t>
      </w:r>
      <w:r>
        <w:rPr>
          <w:sz w:val="21"/>
        </w:rPr>
        <w:t>灾</w:t>
      </w:r>
      <w:r>
        <w:rPr>
          <w:spacing w:val="-3"/>
          <w:sz w:val="21"/>
        </w:rPr>
        <w:t>监</w:t>
      </w:r>
      <w:r>
        <w:rPr>
          <w:sz w:val="21"/>
        </w:rPr>
        <w:t>控</w:t>
      </w:r>
      <w:r>
        <w:rPr>
          <w:spacing w:val="-3"/>
          <w:sz w:val="21"/>
        </w:rPr>
        <w:t>时</w:t>
      </w:r>
      <w:r>
        <w:rPr>
          <w:sz w:val="21"/>
        </w:rPr>
        <w:t>，可</w:t>
      </w:r>
      <w:r>
        <w:rPr>
          <w:spacing w:val="-3"/>
          <w:sz w:val="21"/>
        </w:rPr>
        <w:t>接</w:t>
      </w:r>
      <w:r>
        <w:rPr>
          <w:sz w:val="21"/>
        </w:rPr>
        <w:t>入</w:t>
      </w:r>
      <w:r>
        <w:rPr>
          <w:spacing w:val="-3"/>
          <w:sz w:val="21"/>
        </w:rPr>
        <w:t>电</w:t>
      </w:r>
      <w:r>
        <w:rPr>
          <w:sz w:val="21"/>
        </w:rPr>
        <w:t>气</w:t>
      </w:r>
      <w:r>
        <w:rPr>
          <w:spacing w:val="-3"/>
          <w:sz w:val="21"/>
        </w:rPr>
        <w:t>火</w:t>
      </w:r>
      <w:r>
        <w:rPr>
          <w:sz w:val="21"/>
        </w:rPr>
        <w:t>灾</w:t>
      </w:r>
      <w:r>
        <w:rPr>
          <w:spacing w:val="-3"/>
          <w:sz w:val="21"/>
        </w:rPr>
        <w:t>监</w:t>
      </w:r>
      <w:r>
        <w:rPr>
          <w:sz w:val="21"/>
        </w:rPr>
        <w:t>控</w:t>
      </w:r>
      <w:r>
        <w:rPr>
          <w:spacing w:val="-3"/>
          <w:sz w:val="21"/>
        </w:rPr>
        <w:t>器</w:t>
      </w:r>
      <w:r>
        <w:rPr>
          <w:sz w:val="21"/>
        </w:rPr>
        <w:t>。</w:t>
      </w:r>
      <w:r>
        <w:rPr>
          <w:sz w:val="21"/>
        </w:rPr>
        <w:t xml:space="preserve"> </w:t>
      </w:r>
      <w:r>
        <w:rPr>
          <w:sz w:val="21"/>
        </w:rPr>
        <w:tab/>
      </w:r>
      <w:r>
        <w:rPr>
          <w:sz w:val="21"/>
        </w:rPr>
        <w:t xml:space="preserve">  </w:t>
      </w:r>
    </w:p>
    <w:p w14:paraId="25C85A42" w14:textId="77777777" w:rsidR="00A71EEF" w:rsidRDefault="00A71EEF">
      <w:pPr>
        <w:pStyle w:val="a3"/>
        <w:spacing w:before="2"/>
        <w:rPr>
          <w:sz w:val="18"/>
        </w:rPr>
      </w:pPr>
    </w:p>
    <w:p w14:paraId="123B5093" w14:textId="77777777" w:rsidR="00A71EEF" w:rsidRDefault="0081115D">
      <w:pPr>
        <w:pStyle w:val="a4"/>
        <w:numPr>
          <w:ilvl w:val="1"/>
          <w:numId w:val="331"/>
        </w:numPr>
        <w:tabs>
          <w:tab w:val="left" w:pos="1160"/>
        </w:tabs>
        <w:ind w:left="1159" w:hanging="320"/>
        <w:rPr>
          <w:sz w:val="21"/>
        </w:rPr>
      </w:pPr>
      <w:r>
        <w:rPr>
          <w:spacing w:val="-3"/>
          <w:sz w:val="21"/>
        </w:rPr>
        <w:t>剩余电流式电气火灾监控探测器的设置</w:t>
      </w:r>
      <w:r>
        <w:rPr>
          <w:sz w:val="21"/>
        </w:rPr>
        <w:t xml:space="preserve"> </w:t>
      </w:r>
    </w:p>
    <w:p w14:paraId="088ECC88" w14:textId="77777777" w:rsidR="00A71EEF" w:rsidRDefault="00A71EEF">
      <w:pPr>
        <w:rPr>
          <w:sz w:val="21"/>
        </w:rPr>
        <w:sectPr w:rsidR="00A71EEF">
          <w:pgSz w:w="11910" w:h="16850"/>
          <w:pgMar w:top="1220" w:right="0" w:bottom="1420" w:left="1260" w:header="0" w:footer="1239" w:gutter="0"/>
          <w:cols w:space="720"/>
        </w:sectPr>
      </w:pPr>
    </w:p>
    <w:p w14:paraId="69492890" w14:textId="77777777" w:rsidR="00A71EEF" w:rsidRDefault="0081115D">
      <w:pPr>
        <w:pStyle w:val="a4"/>
        <w:numPr>
          <w:ilvl w:val="2"/>
          <w:numId w:val="331"/>
        </w:numPr>
        <w:tabs>
          <w:tab w:val="left" w:pos="1371"/>
        </w:tabs>
        <w:spacing w:before="47" w:line="446" w:lineRule="auto"/>
        <w:ind w:left="418" w:right="1431" w:firstLine="422"/>
        <w:jc w:val="both"/>
        <w:rPr>
          <w:sz w:val="21"/>
        </w:rPr>
      </w:pPr>
      <w:r>
        <w:rPr>
          <w:spacing w:val="-4"/>
          <w:sz w:val="21"/>
        </w:rPr>
        <w:t>剩余电流式电气火灾监控探测器应以设置在低压配电系统首端为基本原则，宜设置在</w:t>
      </w:r>
      <w:r>
        <w:rPr>
          <w:spacing w:val="-8"/>
          <w:sz w:val="21"/>
        </w:rPr>
        <w:t>第一级配电柜</w:t>
      </w:r>
      <w:r>
        <w:rPr>
          <w:sz w:val="21"/>
        </w:rPr>
        <w:t>（</w:t>
      </w:r>
      <w:r>
        <w:rPr>
          <w:spacing w:val="-3"/>
          <w:sz w:val="21"/>
        </w:rPr>
        <w:t>箱</w:t>
      </w:r>
      <w:r>
        <w:rPr>
          <w:spacing w:val="-29"/>
          <w:sz w:val="21"/>
        </w:rPr>
        <w:t>）</w:t>
      </w:r>
      <w:r>
        <w:rPr>
          <w:spacing w:val="-6"/>
          <w:sz w:val="21"/>
        </w:rPr>
        <w:t>的出线端。在供电线路泄露电流大于</w:t>
      </w:r>
      <w:r>
        <w:rPr>
          <w:spacing w:val="-6"/>
          <w:sz w:val="21"/>
        </w:rPr>
        <w:t xml:space="preserve"> </w:t>
      </w:r>
      <w:r>
        <w:rPr>
          <w:sz w:val="21"/>
        </w:rPr>
        <w:t>500mA</w:t>
      </w:r>
      <w:r>
        <w:rPr>
          <w:spacing w:val="-7"/>
          <w:sz w:val="21"/>
        </w:rPr>
        <w:t xml:space="preserve"> </w:t>
      </w:r>
      <w:r>
        <w:rPr>
          <w:spacing w:val="-7"/>
          <w:sz w:val="21"/>
        </w:rPr>
        <w:t>时，宜在其下一级配电柜</w:t>
      </w:r>
      <w:r>
        <w:rPr>
          <w:sz w:val="21"/>
        </w:rPr>
        <w:t>（</w:t>
      </w:r>
      <w:r>
        <w:rPr>
          <w:spacing w:val="-3"/>
          <w:sz w:val="21"/>
        </w:rPr>
        <w:t>箱</w:t>
      </w:r>
      <w:r>
        <w:rPr>
          <w:sz w:val="21"/>
        </w:rPr>
        <w:t>）</w:t>
      </w:r>
      <w:r>
        <w:rPr>
          <w:sz w:val="21"/>
        </w:rPr>
        <w:t xml:space="preserve"> </w:t>
      </w:r>
      <w:r>
        <w:rPr>
          <w:spacing w:val="-1"/>
          <w:sz w:val="21"/>
        </w:rPr>
        <w:t>设置。</w:t>
      </w:r>
      <w:r>
        <w:rPr>
          <w:sz w:val="21"/>
        </w:rPr>
        <w:t xml:space="preserve"> </w:t>
      </w:r>
      <w:r>
        <w:rPr>
          <w:spacing w:val="-3"/>
          <w:sz w:val="21"/>
        </w:rPr>
        <w:t xml:space="preserve"> </w:t>
      </w:r>
      <w:r>
        <w:rPr>
          <w:sz w:val="21"/>
        </w:rPr>
        <w:t xml:space="preserve">   </w:t>
      </w:r>
      <w:r>
        <w:rPr>
          <w:spacing w:val="-1"/>
          <w:sz w:val="21"/>
        </w:rPr>
        <w:t xml:space="preserve"> </w:t>
      </w:r>
      <w:r>
        <w:rPr>
          <w:sz w:val="21"/>
        </w:rPr>
        <w:t xml:space="preserve">  </w:t>
      </w:r>
    </w:p>
    <w:p w14:paraId="36A60E21" w14:textId="77777777" w:rsidR="00A71EEF" w:rsidRDefault="0081115D">
      <w:pPr>
        <w:pStyle w:val="a4"/>
        <w:numPr>
          <w:ilvl w:val="2"/>
          <w:numId w:val="331"/>
        </w:numPr>
        <w:tabs>
          <w:tab w:val="left" w:pos="1371"/>
        </w:tabs>
        <w:spacing w:line="268" w:lineRule="exact"/>
        <w:rPr>
          <w:sz w:val="21"/>
        </w:rPr>
      </w:pPr>
      <w:r>
        <w:rPr>
          <w:spacing w:val="-2"/>
          <w:sz w:val="21"/>
        </w:rPr>
        <w:t>剩余电流式电气火灾监控探测器不宜设置在</w:t>
      </w:r>
      <w:r>
        <w:rPr>
          <w:spacing w:val="-2"/>
          <w:sz w:val="21"/>
        </w:rPr>
        <w:t xml:space="preserve"> </w:t>
      </w:r>
      <w:r>
        <w:rPr>
          <w:sz w:val="21"/>
        </w:rPr>
        <w:t>IT</w:t>
      </w:r>
      <w:r>
        <w:rPr>
          <w:spacing w:val="-10"/>
          <w:sz w:val="21"/>
        </w:rPr>
        <w:t xml:space="preserve"> </w:t>
      </w:r>
      <w:r>
        <w:rPr>
          <w:spacing w:val="-10"/>
          <w:sz w:val="21"/>
        </w:rPr>
        <w:t>系统的配电线路和消防配电线路中。</w:t>
      </w:r>
      <w:r>
        <w:rPr>
          <w:sz w:val="21"/>
        </w:rPr>
        <w:t xml:space="preserve"> </w:t>
      </w:r>
    </w:p>
    <w:p w14:paraId="1B78DE75" w14:textId="77777777" w:rsidR="00A71EEF" w:rsidRDefault="00A71EEF">
      <w:pPr>
        <w:pStyle w:val="a3"/>
        <w:rPr>
          <w:sz w:val="18"/>
        </w:rPr>
      </w:pPr>
    </w:p>
    <w:p w14:paraId="06FAF983" w14:textId="77777777" w:rsidR="00A71EEF" w:rsidRDefault="0081115D">
      <w:pPr>
        <w:pStyle w:val="a4"/>
        <w:numPr>
          <w:ilvl w:val="2"/>
          <w:numId w:val="331"/>
        </w:numPr>
        <w:tabs>
          <w:tab w:val="left" w:pos="1371"/>
          <w:tab w:val="left" w:pos="5878"/>
        </w:tabs>
        <w:spacing w:line="446" w:lineRule="auto"/>
        <w:ind w:left="418" w:right="1431" w:firstLine="422"/>
        <w:rPr>
          <w:sz w:val="21"/>
        </w:rPr>
      </w:pPr>
      <w:r>
        <w:rPr>
          <w:spacing w:val="-3"/>
          <w:sz w:val="21"/>
        </w:rPr>
        <w:t>选</w:t>
      </w:r>
      <w:r>
        <w:rPr>
          <w:sz w:val="21"/>
        </w:rPr>
        <w:t>择</w:t>
      </w:r>
      <w:r>
        <w:rPr>
          <w:spacing w:val="-3"/>
          <w:sz w:val="21"/>
        </w:rPr>
        <w:t>剩</w:t>
      </w:r>
      <w:r>
        <w:rPr>
          <w:sz w:val="21"/>
        </w:rPr>
        <w:t>余</w:t>
      </w:r>
      <w:r>
        <w:rPr>
          <w:spacing w:val="-3"/>
          <w:sz w:val="21"/>
        </w:rPr>
        <w:t>电</w:t>
      </w:r>
      <w:r>
        <w:rPr>
          <w:sz w:val="21"/>
        </w:rPr>
        <w:t>流</w:t>
      </w:r>
      <w:r>
        <w:rPr>
          <w:spacing w:val="-3"/>
          <w:sz w:val="21"/>
        </w:rPr>
        <w:t>式电</w:t>
      </w:r>
      <w:r>
        <w:rPr>
          <w:sz w:val="21"/>
        </w:rPr>
        <w:t>气火</w:t>
      </w:r>
      <w:r>
        <w:rPr>
          <w:spacing w:val="-3"/>
          <w:sz w:val="21"/>
        </w:rPr>
        <w:t>灾</w:t>
      </w:r>
      <w:r>
        <w:rPr>
          <w:sz w:val="21"/>
        </w:rPr>
        <w:t>监</w:t>
      </w:r>
      <w:r>
        <w:rPr>
          <w:spacing w:val="-3"/>
          <w:sz w:val="21"/>
        </w:rPr>
        <w:t>控</w:t>
      </w:r>
      <w:r>
        <w:rPr>
          <w:sz w:val="21"/>
        </w:rPr>
        <w:t>探</w:t>
      </w:r>
      <w:r>
        <w:rPr>
          <w:spacing w:val="-3"/>
          <w:sz w:val="21"/>
        </w:rPr>
        <w:t>测</w:t>
      </w:r>
      <w:r>
        <w:rPr>
          <w:sz w:val="21"/>
        </w:rPr>
        <w:t>器</w:t>
      </w:r>
      <w:r>
        <w:rPr>
          <w:spacing w:val="-3"/>
          <w:sz w:val="21"/>
        </w:rPr>
        <w:t>时</w:t>
      </w:r>
      <w:r>
        <w:rPr>
          <w:spacing w:val="-20"/>
          <w:sz w:val="21"/>
        </w:rPr>
        <w:t>，</w:t>
      </w:r>
      <w:r>
        <w:rPr>
          <w:spacing w:val="-3"/>
          <w:sz w:val="21"/>
        </w:rPr>
        <w:t>应</w:t>
      </w:r>
      <w:r>
        <w:rPr>
          <w:sz w:val="21"/>
        </w:rPr>
        <w:t>计及</w:t>
      </w:r>
      <w:r>
        <w:rPr>
          <w:spacing w:val="-3"/>
          <w:sz w:val="21"/>
        </w:rPr>
        <w:t>供</w:t>
      </w:r>
      <w:r>
        <w:rPr>
          <w:sz w:val="21"/>
        </w:rPr>
        <w:t>电</w:t>
      </w:r>
      <w:r>
        <w:rPr>
          <w:spacing w:val="-3"/>
          <w:sz w:val="21"/>
        </w:rPr>
        <w:t>系</w:t>
      </w:r>
      <w:r>
        <w:rPr>
          <w:sz w:val="21"/>
        </w:rPr>
        <w:t>统</w:t>
      </w:r>
      <w:r>
        <w:rPr>
          <w:spacing w:val="-3"/>
          <w:sz w:val="21"/>
        </w:rPr>
        <w:t>自</w:t>
      </w:r>
      <w:r>
        <w:rPr>
          <w:sz w:val="21"/>
        </w:rPr>
        <w:t>然</w:t>
      </w:r>
      <w:r>
        <w:rPr>
          <w:spacing w:val="-3"/>
          <w:sz w:val="21"/>
        </w:rPr>
        <w:t>漏</w:t>
      </w:r>
      <w:r>
        <w:rPr>
          <w:sz w:val="21"/>
        </w:rPr>
        <w:t>流</w:t>
      </w:r>
      <w:r>
        <w:rPr>
          <w:spacing w:val="-3"/>
          <w:sz w:val="21"/>
        </w:rPr>
        <w:t>的</w:t>
      </w:r>
      <w:r>
        <w:rPr>
          <w:sz w:val="21"/>
        </w:rPr>
        <w:t>影响</w:t>
      </w:r>
      <w:r>
        <w:rPr>
          <w:spacing w:val="-22"/>
          <w:sz w:val="21"/>
        </w:rPr>
        <w:t>，</w:t>
      </w:r>
      <w:r>
        <w:rPr>
          <w:sz w:val="21"/>
        </w:rPr>
        <w:t>并</w:t>
      </w:r>
      <w:r>
        <w:rPr>
          <w:spacing w:val="-3"/>
          <w:sz w:val="21"/>
        </w:rPr>
        <w:t>应</w:t>
      </w:r>
      <w:r>
        <w:rPr>
          <w:sz w:val="21"/>
        </w:rPr>
        <w:t>选择参数</w:t>
      </w:r>
      <w:r>
        <w:rPr>
          <w:spacing w:val="-3"/>
          <w:sz w:val="21"/>
        </w:rPr>
        <w:t>合</w:t>
      </w:r>
      <w:r>
        <w:rPr>
          <w:sz w:val="21"/>
        </w:rPr>
        <w:t>适</w:t>
      </w:r>
      <w:r>
        <w:rPr>
          <w:spacing w:val="-3"/>
          <w:sz w:val="21"/>
        </w:rPr>
        <w:t>的</w:t>
      </w:r>
      <w:r>
        <w:rPr>
          <w:sz w:val="21"/>
        </w:rPr>
        <w:t>探</w:t>
      </w:r>
      <w:r>
        <w:rPr>
          <w:spacing w:val="-3"/>
          <w:sz w:val="21"/>
        </w:rPr>
        <w:t>测</w:t>
      </w:r>
      <w:r>
        <w:rPr>
          <w:sz w:val="21"/>
        </w:rPr>
        <w:t>器</w:t>
      </w:r>
      <w:r>
        <w:rPr>
          <w:spacing w:val="-3"/>
          <w:sz w:val="21"/>
        </w:rPr>
        <w:t>；</w:t>
      </w:r>
      <w:r>
        <w:rPr>
          <w:sz w:val="21"/>
        </w:rPr>
        <w:t>探</w:t>
      </w:r>
      <w:r>
        <w:rPr>
          <w:spacing w:val="-3"/>
          <w:sz w:val="21"/>
        </w:rPr>
        <w:t>测</w:t>
      </w:r>
      <w:r>
        <w:rPr>
          <w:sz w:val="21"/>
        </w:rPr>
        <w:t>器报</w:t>
      </w:r>
      <w:r>
        <w:rPr>
          <w:spacing w:val="-3"/>
          <w:sz w:val="21"/>
        </w:rPr>
        <w:t>警</w:t>
      </w:r>
      <w:r>
        <w:rPr>
          <w:sz w:val="21"/>
        </w:rPr>
        <w:t>值</w:t>
      </w:r>
      <w:r>
        <w:rPr>
          <w:spacing w:val="-3"/>
          <w:sz w:val="21"/>
        </w:rPr>
        <w:t>宜</w:t>
      </w:r>
      <w:r>
        <w:rPr>
          <w:sz w:val="21"/>
        </w:rPr>
        <w:t>为</w:t>
      </w:r>
      <w:r>
        <w:rPr>
          <w:spacing w:val="7"/>
          <w:sz w:val="21"/>
        </w:rPr>
        <w:t xml:space="preserve"> </w:t>
      </w:r>
      <w:r>
        <w:rPr>
          <w:sz w:val="21"/>
        </w:rPr>
        <w:t>300</w:t>
      </w:r>
      <w:r>
        <w:rPr>
          <w:sz w:val="21"/>
        </w:rPr>
        <w:t>～</w:t>
      </w:r>
      <w:r>
        <w:rPr>
          <w:sz w:val="21"/>
        </w:rPr>
        <w:t>500mA</w:t>
      </w:r>
      <w:r>
        <w:rPr>
          <w:spacing w:val="7"/>
          <w:sz w:val="21"/>
        </w:rPr>
        <w:t xml:space="preserve"> </w:t>
      </w:r>
      <w:r>
        <w:rPr>
          <w:spacing w:val="-3"/>
          <w:sz w:val="21"/>
        </w:rPr>
        <w:t>。</w:t>
      </w:r>
      <w:r>
        <w:rPr>
          <w:sz w:val="21"/>
        </w:rPr>
        <w:t xml:space="preserve"> </w:t>
      </w:r>
      <w:r>
        <w:rPr>
          <w:sz w:val="21"/>
        </w:rPr>
        <w:tab/>
      </w:r>
      <w:r>
        <w:rPr>
          <w:sz w:val="21"/>
        </w:rPr>
        <w:t xml:space="preserve">  </w:t>
      </w:r>
    </w:p>
    <w:p w14:paraId="6542C33F" w14:textId="77777777" w:rsidR="00A71EEF" w:rsidRDefault="0081115D">
      <w:pPr>
        <w:pStyle w:val="a4"/>
        <w:numPr>
          <w:ilvl w:val="2"/>
          <w:numId w:val="331"/>
        </w:numPr>
        <w:tabs>
          <w:tab w:val="left" w:pos="1370"/>
        </w:tabs>
        <w:ind w:left="1369" w:hanging="530"/>
        <w:rPr>
          <w:sz w:val="21"/>
        </w:rPr>
      </w:pPr>
      <w:r>
        <w:rPr>
          <w:spacing w:val="6"/>
          <w:sz w:val="21"/>
        </w:rPr>
        <w:t>具有探测线路故障电弧功能的电气火灾监控探测器，其保护线路的长度不宜大于</w:t>
      </w:r>
      <w:r>
        <w:rPr>
          <w:sz w:val="21"/>
        </w:rPr>
        <w:t xml:space="preserve"> </w:t>
      </w:r>
    </w:p>
    <w:p w14:paraId="4D492B9E" w14:textId="77777777" w:rsidR="00A71EEF" w:rsidRDefault="00A71EEF">
      <w:pPr>
        <w:pStyle w:val="a3"/>
        <w:rPr>
          <w:sz w:val="18"/>
        </w:rPr>
      </w:pPr>
    </w:p>
    <w:p w14:paraId="0B1B1D2D" w14:textId="77777777" w:rsidR="00A71EEF" w:rsidRDefault="0081115D">
      <w:pPr>
        <w:pStyle w:val="a3"/>
        <w:ind w:left="418"/>
      </w:pPr>
      <w:r>
        <w:t>100m</w:t>
      </w:r>
      <w:r>
        <w:t>。</w:t>
      </w:r>
      <w:r>
        <w:t xml:space="preserve"> </w:t>
      </w:r>
    </w:p>
    <w:p w14:paraId="2A3AF37B" w14:textId="77777777" w:rsidR="00A71EEF" w:rsidRDefault="00A71EEF">
      <w:pPr>
        <w:pStyle w:val="a3"/>
        <w:spacing w:before="12"/>
        <w:rPr>
          <w:sz w:val="17"/>
        </w:rPr>
      </w:pPr>
    </w:p>
    <w:p w14:paraId="329B8F00" w14:textId="77777777" w:rsidR="00A71EEF" w:rsidRDefault="0081115D">
      <w:pPr>
        <w:pStyle w:val="a4"/>
        <w:numPr>
          <w:ilvl w:val="1"/>
          <w:numId w:val="331"/>
        </w:numPr>
        <w:tabs>
          <w:tab w:val="left" w:pos="1159"/>
        </w:tabs>
        <w:ind w:hanging="319"/>
        <w:rPr>
          <w:b/>
          <w:sz w:val="21"/>
        </w:rPr>
      </w:pPr>
      <w:r>
        <w:rPr>
          <w:spacing w:val="-3"/>
          <w:sz w:val="21"/>
        </w:rPr>
        <w:t>测温式电气火灾监控探测器的设置</w:t>
      </w:r>
      <w:r>
        <w:rPr>
          <w:b/>
          <w:w w:val="99"/>
          <w:sz w:val="21"/>
        </w:rPr>
        <w:t xml:space="preserve"> </w:t>
      </w:r>
    </w:p>
    <w:p w14:paraId="14C9BA43" w14:textId="77777777" w:rsidR="00A71EEF" w:rsidRDefault="00A71EEF">
      <w:pPr>
        <w:pStyle w:val="a3"/>
        <w:spacing w:before="2"/>
        <w:rPr>
          <w:b/>
          <w:sz w:val="18"/>
        </w:rPr>
      </w:pPr>
    </w:p>
    <w:p w14:paraId="19FB45DA" w14:textId="77777777" w:rsidR="00A71EEF" w:rsidRDefault="0081115D">
      <w:pPr>
        <w:pStyle w:val="a4"/>
        <w:numPr>
          <w:ilvl w:val="2"/>
          <w:numId w:val="331"/>
        </w:numPr>
        <w:tabs>
          <w:tab w:val="left" w:pos="1370"/>
        </w:tabs>
        <w:ind w:left="1369" w:hanging="530"/>
        <w:rPr>
          <w:sz w:val="21"/>
        </w:rPr>
      </w:pPr>
      <w:r>
        <w:rPr>
          <w:spacing w:val="-3"/>
          <w:sz w:val="21"/>
        </w:rPr>
        <w:t>测温式电气火灾监控探测器应设置在电缆接头、端子、重点发热部件等部位。</w:t>
      </w:r>
      <w:r>
        <w:rPr>
          <w:sz w:val="21"/>
        </w:rPr>
        <w:t xml:space="preserve"> </w:t>
      </w:r>
    </w:p>
    <w:p w14:paraId="57B387CC" w14:textId="77777777" w:rsidR="00A71EEF" w:rsidRDefault="00A71EEF">
      <w:pPr>
        <w:pStyle w:val="a3"/>
        <w:spacing w:before="12"/>
        <w:rPr>
          <w:sz w:val="17"/>
        </w:rPr>
      </w:pPr>
    </w:p>
    <w:p w14:paraId="1D6D8184" w14:textId="77777777" w:rsidR="00A71EEF" w:rsidRDefault="0081115D">
      <w:pPr>
        <w:pStyle w:val="a4"/>
        <w:numPr>
          <w:ilvl w:val="2"/>
          <w:numId w:val="331"/>
        </w:numPr>
        <w:tabs>
          <w:tab w:val="left" w:pos="1371"/>
        </w:tabs>
        <w:spacing w:line="446" w:lineRule="auto"/>
        <w:ind w:left="418" w:right="1431" w:firstLine="422"/>
        <w:rPr>
          <w:sz w:val="21"/>
        </w:rPr>
      </w:pPr>
      <w:r>
        <w:rPr>
          <w:spacing w:val="3"/>
          <w:sz w:val="21"/>
        </w:rPr>
        <w:t>保护对象为</w:t>
      </w:r>
      <w:r>
        <w:rPr>
          <w:spacing w:val="3"/>
          <w:sz w:val="21"/>
        </w:rPr>
        <w:t xml:space="preserve"> </w:t>
      </w:r>
      <w:r>
        <w:rPr>
          <w:sz w:val="21"/>
        </w:rPr>
        <w:t>1000V</w:t>
      </w:r>
      <w:r>
        <w:rPr>
          <w:spacing w:val="-3"/>
          <w:sz w:val="21"/>
        </w:rPr>
        <w:t xml:space="preserve"> </w:t>
      </w:r>
      <w:r>
        <w:rPr>
          <w:spacing w:val="-3"/>
          <w:sz w:val="21"/>
        </w:rPr>
        <w:t>及以下的配电线路，测温式电气火灾监控探测器应采用接触式布置。</w:t>
      </w:r>
      <w:r>
        <w:rPr>
          <w:sz w:val="21"/>
        </w:rPr>
        <w:t xml:space="preserve"> </w:t>
      </w:r>
    </w:p>
    <w:p w14:paraId="0D0E67B8" w14:textId="77777777" w:rsidR="00A71EEF" w:rsidRDefault="0081115D">
      <w:pPr>
        <w:pStyle w:val="a4"/>
        <w:numPr>
          <w:ilvl w:val="2"/>
          <w:numId w:val="331"/>
        </w:numPr>
        <w:tabs>
          <w:tab w:val="left" w:pos="1371"/>
        </w:tabs>
        <w:spacing w:line="446" w:lineRule="auto"/>
        <w:ind w:left="418" w:right="1431" w:firstLine="422"/>
        <w:jc w:val="both"/>
        <w:rPr>
          <w:sz w:val="21"/>
        </w:rPr>
      </w:pPr>
      <w:r>
        <w:rPr>
          <w:spacing w:val="3"/>
          <w:sz w:val="21"/>
        </w:rPr>
        <w:t>保护对象为</w:t>
      </w:r>
      <w:r>
        <w:rPr>
          <w:spacing w:val="3"/>
          <w:sz w:val="21"/>
        </w:rPr>
        <w:t xml:space="preserve"> </w:t>
      </w:r>
      <w:r>
        <w:rPr>
          <w:sz w:val="21"/>
        </w:rPr>
        <w:t>1000V</w:t>
      </w:r>
      <w:r>
        <w:rPr>
          <w:spacing w:val="-3"/>
          <w:sz w:val="21"/>
        </w:rPr>
        <w:t xml:space="preserve"> </w:t>
      </w:r>
      <w:r>
        <w:rPr>
          <w:spacing w:val="-3"/>
          <w:sz w:val="21"/>
        </w:rPr>
        <w:t>以上的供电线路，测温式电气火灾监控探测器宜选择光栅光纤测</w:t>
      </w:r>
      <w:r>
        <w:rPr>
          <w:spacing w:val="-5"/>
          <w:sz w:val="21"/>
        </w:rPr>
        <w:t>温式或红外测温式电气火灾监控探测器，光栅光纤测温式电气火灾监控探测器应直接设置在保护</w:t>
      </w:r>
      <w:r>
        <w:rPr>
          <w:spacing w:val="-4"/>
          <w:sz w:val="21"/>
        </w:rPr>
        <w:t>对象的表面。</w:t>
      </w:r>
      <w:r>
        <w:rPr>
          <w:sz w:val="21"/>
        </w:rPr>
        <w:t xml:space="preserve"> </w:t>
      </w:r>
    </w:p>
    <w:p w14:paraId="7CADAB3F" w14:textId="77777777" w:rsidR="00A71EEF" w:rsidRDefault="0081115D">
      <w:pPr>
        <w:pStyle w:val="a4"/>
        <w:numPr>
          <w:ilvl w:val="1"/>
          <w:numId w:val="331"/>
        </w:numPr>
        <w:tabs>
          <w:tab w:val="left" w:pos="1159"/>
        </w:tabs>
        <w:spacing w:line="268" w:lineRule="exact"/>
        <w:ind w:hanging="319"/>
        <w:rPr>
          <w:sz w:val="21"/>
        </w:rPr>
      </w:pPr>
      <w:r>
        <w:rPr>
          <w:spacing w:val="-3"/>
          <w:sz w:val="21"/>
        </w:rPr>
        <w:t>独立式电气火灾监控探测器的设置</w:t>
      </w:r>
      <w:r>
        <w:rPr>
          <w:sz w:val="21"/>
        </w:rPr>
        <w:t xml:space="preserve"> </w:t>
      </w:r>
    </w:p>
    <w:p w14:paraId="2D8F92F0" w14:textId="77777777" w:rsidR="00A71EEF" w:rsidRDefault="00A71EEF">
      <w:pPr>
        <w:pStyle w:val="a3"/>
        <w:rPr>
          <w:sz w:val="18"/>
        </w:rPr>
      </w:pPr>
    </w:p>
    <w:p w14:paraId="7804CF2F" w14:textId="77777777" w:rsidR="00A71EEF" w:rsidRDefault="0081115D">
      <w:pPr>
        <w:pStyle w:val="a4"/>
        <w:numPr>
          <w:ilvl w:val="2"/>
          <w:numId w:val="331"/>
        </w:numPr>
        <w:tabs>
          <w:tab w:val="left" w:pos="1371"/>
        </w:tabs>
        <w:jc w:val="both"/>
        <w:rPr>
          <w:sz w:val="21"/>
        </w:rPr>
      </w:pPr>
      <w:r>
        <w:rPr>
          <w:spacing w:val="-3"/>
          <w:sz w:val="21"/>
        </w:rPr>
        <w:t>独立式电气火灾监控探测器的设置应符合本规范第</w:t>
      </w:r>
      <w:r>
        <w:rPr>
          <w:spacing w:val="-3"/>
          <w:sz w:val="21"/>
        </w:rPr>
        <w:t xml:space="preserve"> </w:t>
      </w:r>
      <w:r>
        <w:rPr>
          <w:sz w:val="21"/>
        </w:rPr>
        <w:t>9.2</w:t>
      </w:r>
      <w:r>
        <w:rPr>
          <w:sz w:val="21"/>
        </w:rPr>
        <w:t>、</w:t>
      </w:r>
      <w:r>
        <w:rPr>
          <w:sz w:val="21"/>
        </w:rPr>
        <w:t>9.3</w:t>
      </w:r>
      <w:r>
        <w:rPr>
          <w:spacing w:val="-2"/>
          <w:sz w:val="21"/>
        </w:rPr>
        <w:t xml:space="preserve"> </w:t>
      </w:r>
      <w:r>
        <w:rPr>
          <w:spacing w:val="-2"/>
          <w:sz w:val="21"/>
        </w:rPr>
        <w:t>节的规定。</w:t>
      </w:r>
      <w:r>
        <w:rPr>
          <w:spacing w:val="-2"/>
          <w:sz w:val="21"/>
        </w:rPr>
        <w:t xml:space="preserve"> </w:t>
      </w:r>
      <w:r>
        <w:rPr>
          <w:spacing w:val="-9"/>
          <w:sz w:val="21"/>
        </w:rPr>
        <w:t xml:space="preserve"> </w:t>
      </w:r>
      <w:r>
        <w:rPr>
          <w:sz w:val="21"/>
        </w:rPr>
        <w:t xml:space="preserve">  </w:t>
      </w:r>
    </w:p>
    <w:p w14:paraId="6B8D41A5" w14:textId="77777777" w:rsidR="00A71EEF" w:rsidRDefault="00A71EEF">
      <w:pPr>
        <w:pStyle w:val="a3"/>
        <w:spacing w:before="12"/>
        <w:rPr>
          <w:sz w:val="17"/>
        </w:rPr>
      </w:pPr>
    </w:p>
    <w:p w14:paraId="251C55A6" w14:textId="77777777" w:rsidR="00A71EEF" w:rsidRDefault="0081115D">
      <w:pPr>
        <w:pStyle w:val="a4"/>
        <w:numPr>
          <w:ilvl w:val="2"/>
          <w:numId w:val="331"/>
        </w:numPr>
        <w:tabs>
          <w:tab w:val="left" w:pos="1371"/>
        </w:tabs>
        <w:spacing w:line="446" w:lineRule="auto"/>
        <w:ind w:left="418" w:right="1431" w:firstLine="422"/>
        <w:jc w:val="both"/>
        <w:rPr>
          <w:b/>
          <w:sz w:val="21"/>
        </w:rPr>
      </w:pPr>
      <w:r>
        <w:rPr>
          <w:spacing w:val="-6"/>
          <w:sz w:val="21"/>
        </w:rPr>
        <w:t>设有火灾自动报警系统时，独立式电气火灾监控探测器的报警信息和故障信息应在消</w:t>
      </w:r>
      <w:r>
        <w:rPr>
          <w:sz w:val="21"/>
        </w:rPr>
        <w:t>防控制室</w:t>
      </w:r>
      <w:r>
        <w:rPr>
          <w:sz w:val="21"/>
        </w:rPr>
        <w:t xml:space="preserve"> </w:t>
      </w:r>
      <w:r>
        <w:rPr>
          <w:sz w:val="21"/>
        </w:rPr>
        <w:t>图形显示装置或集中火灾报警控制器上显示；但该类信息与火灾报警信息的显示应有</w:t>
      </w:r>
      <w:r>
        <w:rPr>
          <w:spacing w:val="-1"/>
          <w:sz w:val="21"/>
        </w:rPr>
        <w:t>区别。</w:t>
      </w:r>
      <w:r>
        <w:rPr>
          <w:b/>
          <w:spacing w:val="-1"/>
          <w:w w:val="99"/>
          <w:sz w:val="21"/>
        </w:rPr>
        <w:t xml:space="preserve"> </w:t>
      </w:r>
      <w:r>
        <w:rPr>
          <w:b/>
          <w:w w:val="99"/>
          <w:sz w:val="21"/>
        </w:rPr>
        <w:t xml:space="preserve"> </w:t>
      </w:r>
    </w:p>
    <w:p w14:paraId="4B0E7AC6" w14:textId="77777777" w:rsidR="00A71EEF" w:rsidRDefault="0081115D">
      <w:pPr>
        <w:pStyle w:val="a4"/>
        <w:numPr>
          <w:ilvl w:val="2"/>
          <w:numId w:val="331"/>
        </w:numPr>
        <w:tabs>
          <w:tab w:val="left" w:pos="1370"/>
        </w:tabs>
        <w:spacing w:line="446" w:lineRule="auto"/>
        <w:ind w:left="418" w:right="1431" w:firstLine="422"/>
        <w:rPr>
          <w:sz w:val="21"/>
        </w:rPr>
      </w:pPr>
      <w:r>
        <w:rPr>
          <w:spacing w:val="-6"/>
          <w:sz w:val="21"/>
        </w:rPr>
        <w:t>未设火灾自动报警系统时，独立式电气火灾监控探测器应将报警信号传至有人值班的</w:t>
      </w:r>
      <w:r>
        <w:rPr>
          <w:spacing w:val="-5"/>
          <w:sz w:val="21"/>
        </w:rPr>
        <w:t>场所。</w:t>
      </w:r>
      <w:r>
        <w:rPr>
          <w:sz w:val="21"/>
        </w:rPr>
        <w:t xml:space="preserve"> </w:t>
      </w:r>
    </w:p>
    <w:p w14:paraId="0588E3FC" w14:textId="77777777" w:rsidR="00A71EEF" w:rsidRDefault="0081115D">
      <w:pPr>
        <w:pStyle w:val="a4"/>
        <w:numPr>
          <w:ilvl w:val="1"/>
          <w:numId w:val="331"/>
        </w:numPr>
        <w:tabs>
          <w:tab w:val="left" w:pos="1159"/>
        </w:tabs>
        <w:ind w:hanging="319"/>
        <w:rPr>
          <w:sz w:val="21"/>
        </w:rPr>
      </w:pPr>
      <w:r>
        <w:rPr>
          <w:spacing w:val="-3"/>
          <w:sz w:val="21"/>
        </w:rPr>
        <w:t>电气火灾监控器的设置。</w:t>
      </w:r>
      <w:r>
        <w:rPr>
          <w:sz w:val="21"/>
        </w:rPr>
        <w:t xml:space="preserve"> </w:t>
      </w:r>
    </w:p>
    <w:p w14:paraId="6F9EFD28" w14:textId="77777777" w:rsidR="00A71EEF" w:rsidRDefault="00A71EEF">
      <w:pPr>
        <w:pStyle w:val="a3"/>
        <w:spacing w:before="11"/>
        <w:rPr>
          <w:sz w:val="17"/>
        </w:rPr>
      </w:pPr>
    </w:p>
    <w:p w14:paraId="4162D3BA" w14:textId="77777777" w:rsidR="00A71EEF" w:rsidRDefault="0081115D">
      <w:pPr>
        <w:pStyle w:val="a4"/>
        <w:numPr>
          <w:ilvl w:val="2"/>
          <w:numId w:val="331"/>
        </w:numPr>
        <w:tabs>
          <w:tab w:val="left" w:pos="1370"/>
        </w:tabs>
        <w:spacing w:before="1" w:line="446" w:lineRule="auto"/>
        <w:ind w:left="418" w:right="1431" w:firstLine="422"/>
        <w:rPr>
          <w:sz w:val="21"/>
        </w:rPr>
      </w:pPr>
      <w:r>
        <w:rPr>
          <w:spacing w:val="-6"/>
          <w:sz w:val="21"/>
        </w:rPr>
        <w:t>设有消防控制室时，电气火灾监控器应设置在消防控制室内或保护区域附近；设置在</w:t>
      </w:r>
      <w:r>
        <w:rPr>
          <w:spacing w:val="-4"/>
          <w:sz w:val="21"/>
        </w:rPr>
        <w:t>保护区域附近时，应将报警信息和故障信息传入消防控制室。</w:t>
      </w:r>
      <w:r>
        <w:rPr>
          <w:spacing w:val="-4"/>
          <w:sz w:val="21"/>
        </w:rPr>
        <w:t xml:space="preserve"> </w:t>
      </w:r>
      <w:r>
        <w:rPr>
          <w:sz w:val="21"/>
        </w:rPr>
        <w:t xml:space="preserve"> </w:t>
      </w:r>
    </w:p>
    <w:p w14:paraId="07616B81" w14:textId="77777777" w:rsidR="00A71EEF" w:rsidRDefault="0081115D">
      <w:pPr>
        <w:pStyle w:val="a4"/>
        <w:numPr>
          <w:ilvl w:val="2"/>
          <w:numId w:val="331"/>
        </w:numPr>
        <w:tabs>
          <w:tab w:val="left" w:pos="1371"/>
        </w:tabs>
        <w:rPr>
          <w:sz w:val="21"/>
        </w:rPr>
      </w:pPr>
      <w:r>
        <w:rPr>
          <w:spacing w:val="-3"/>
          <w:sz w:val="21"/>
        </w:rPr>
        <w:t>未设消防控制室时，电气火灾监控器应设置在有人值班的场所。</w:t>
      </w:r>
      <w:r>
        <w:rPr>
          <w:spacing w:val="-3"/>
          <w:sz w:val="21"/>
        </w:rPr>
        <w:t xml:space="preserve"> </w:t>
      </w:r>
      <w:r>
        <w:rPr>
          <w:sz w:val="21"/>
        </w:rPr>
        <w:t xml:space="preserve"> </w:t>
      </w:r>
    </w:p>
    <w:p w14:paraId="3F65DAAD" w14:textId="77777777" w:rsidR="00A71EEF" w:rsidRDefault="00A71EEF">
      <w:pPr>
        <w:pStyle w:val="a3"/>
        <w:spacing w:before="8"/>
        <w:rPr>
          <w:sz w:val="15"/>
        </w:rPr>
      </w:pPr>
    </w:p>
    <w:p w14:paraId="4182FC22" w14:textId="77777777" w:rsidR="00A71EEF" w:rsidRDefault="0081115D">
      <w:pPr>
        <w:pStyle w:val="4"/>
      </w:pPr>
      <w:r>
        <w:t xml:space="preserve">10 </w:t>
      </w:r>
      <w:r>
        <w:t>系统供电</w:t>
      </w:r>
      <w:r>
        <w:rPr>
          <w:w w:val="99"/>
        </w:rPr>
        <w:t xml:space="preserve"> </w:t>
      </w:r>
    </w:p>
    <w:p w14:paraId="590F83A9" w14:textId="77777777" w:rsidR="00A71EEF" w:rsidRDefault="00A71EEF">
      <w:pPr>
        <w:pStyle w:val="a3"/>
        <w:spacing w:before="6"/>
        <w:rPr>
          <w:b/>
          <w:sz w:val="17"/>
        </w:rPr>
      </w:pPr>
    </w:p>
    <w:p w14:paraId="433AC608" w14:textId="77777777" w:rsidR="00A71EEF" w:rsidRDefault="0081115D">
      <w:pPr>
        <w:pStyle w:val="a4"/>
        <w:numPr>
          <w:ilvl w:val="1"/>
          <w:numId w:val="329"/>
        </w:numPr>
        <w:tabs>
          <w:tab w:val="left" w:pos="1318"/>
        </w:tabs>
        <w:rPr>
          <w:b/>
          <w:sz w:val="21"/>
        </w:rPr>
      </w:pPr>
      <w:r>
        <w:rPr>
          <w:spacing w:val="-3"/>
          <w:sz w:val="21"/>
        </w:rPr>
        <w:t>一般规定</w:t>
      </w:r>
      <w:r>
        <w:rPr>
          <w:b/>
          <w:w w:val="99"/>
          <w:sz w:val="21"/>
        </w:rPr>
        <w:t xml:space="preserve"> </w:t>
      </w:r>
    </w:p>
    <w:p w14:paraId="40CC005D" w14:textId="77777777" w:rsidR="00A71EEF" w:rsidRDefault="00A71EEF">
      <w:pPr>
        <w:rPr>
          <w:sz w:val="21"/>
        </w:rPr>
        <w:sectPr w:rsidR="00A71EEF">
          <w:pgSz w:w="11910" w:h="16850"/>
          <w:pgMar w:top="1220" w:right="0" w:bottom="1420" w:left="1260" w:header="0" w:footer="1239" w:gutter="0"/>
          <w:cols w:space="720"/>
        </w:sectPr>
      </w:pPr>
    </w:p>
    <w:p w14:paraId="6D36D95B" w14:textId="77777777" w:rsidR="00A71EEF" w:rsidRDefault="0081115D">
      <w:pPr>
        <w:pStyle w:val="a4"/>
        <w:numPr>
          <w:ilvl w:val="2"/>
          <w:numId w:val="329"/>
        </w:numPr>
        <w:tabs>
          <w:tab w:val="left" w:pos="1478"/>
          <w:tab w:val="left" w:pos="7138"/>
        </w:tabs>
        <w:spacing w:before="47"/>
        <w:ind w:hanging="638"/>
        <w:rPr>
          <w:sz w:val="21"/>
        </w:rPr>
      </w:pPr>
      <w:r>
        <w:rPr>
          <w:sz w:val="21"/>
        </w:rPr>
        <w:t>火</w:t>
      </w:r>
      <w:r>
        <w:rPr>
          <w:spacing w:val="-3"/>
          <w:sz w:val="21"/>
        </w:rPr>
        <w:t>灾</w:t>
      </w:r>
      <w:r>
        <w:rPr>
          <w:sz w:val="21"/>
        </w:rPr>
        <w:t>自</w:t>
      </w:r>
      <w:r>
        <w:rPr>
          <w:spacing w:val="-3"/>
          <w:sz w:val="21"/>
        </w:rPr>
        <w:t>动</w:t>
      </w:r>
      <w:r>
        <w:rPr>
          <w:sz w:val="21"/>
        </w:rPr>
        <w:t>报</w:t>
      </w:r>
      <w:r>
        <w:rPr>
          <w:spacing w:val="-3"/>
          <w:sz w:val="21"/>
        </w:rPr>
        <w:t>警</w:t>
      </w:r>
      <w:r>
        <w:rPr>
          <w:sz w:val="21"/>
        </w:rPr>
        <w:t>系</w:t>
      </w:r>
      <w:r>
        <w:rPr>
          <w:spacing w:val="-3"/>
          <w:sz w:val="21"/>
        </w:rPr>
        <w:t>统</w:t>
      </w:r>
      <w:r>
        <w:rPr>
          <w:sz w:val="21"/>
        </w:rPr>
        <w:t>应设</w:t>
      </w:r>
      <w:r>
        <w:rPr>
          <w:spacing w:val="-3"/>
          <w:sz w:val="21"/>
        </w:rPr>
        <w:t>置</w:t>
      </w:r>
      <w:r>
        <w:rPr>
          <w:sz w:val="21"/>
        </w:rPr>
        <w:t>交</w:t>
      </w:r>
      <w:r>
        <w:rPr>
          <w:spacing w:val="-3"/>
          <w:sz w:val="21"/>
        </w:rPr>
        <w:t>流</w:t>
      </w:r>
      <w:r>
        <w:rPr>
          <w:sz w:val="21"/>
        </w:rPr>
        <w:t>电</w:t>
      </w:r>
      <w:r>
        <w:rPr>
          <w:spacing w:val="-3"/>
          <w:sz w:val="21"/>
        </w:rPr>
        <w:t>源</w:t>
      </w:r>
      <w:r>
        <w:rPr>
          <w:sz w:val="21"/>
        </w:rPr>
        <w:t>和</w:t>
      </w:r>
      <w:r>
        <w:rPr>
          <w:spacing w:val="-3"/>
          <w:sz w:val="21"/>
        </w:rPr>
        <w:t>蓄</w:t>
      </w:r>
      <w:r>
        <w:rPr>
          <w:sz w:val="21"/>
        </w:rPr>
        <w:t>电</w:t>
      </w:r>
      <w:r>
        <w:rPr>
          <w:spacing w:val="-3"/>
          <w:sz w:val="21"/>
        </w:rPr>
        <w:t>池</w:t>
      </w:r>
      <w:r>
        <w:rPr>
          <w:sz w:val="21"/>
        </w:rPr>
        <w:t>备用</w:t>
      </w:r>
      <w:r>
        <w:rPr>
          <w:spacing w:val="-3"/>
          <w:sz w:val="21"/>
        </w:rPr>
        <w:t>电</w:t>
      </w:r>
      <w:r>
        <w:rPr>
          <w:sz w:val="21"/>
        </w:rPr>
        <w:t>源</w:t>
      </w:r>
      <w:r>
        <w:rPr>
          <w:spacing w:val="-3"/>
          <w:sz w:val="21"/>
        </w:rPr>
        <w:t>。</w:t>
      </w:r>
      <w:r>
        <w:rPr>
          <w:spacing w:val="-12"/>
          <w:sz w:val="21"/>
        </w:rPr>
        <w:t xml:space="preserve"> </w:t>
      </w:r>
      <w:r>
        <w:rPr>
          <w:sz w:val="21"/>
        </w:rPr>
        <w:t xml:space="preserve">  </w:t>
      </w:r>
      <w:r>
        <w:rPr>
          <w:sz w:val="21"/>
        </w:rPr>
        <w:tab/>
      </w:r>
      <w:r>
        <w:rPr>
          <w:sz w:val="21"/>
        </w:rPr>
        <w:t xml:space="preserve">  </w:t>
      </w:r>
    </w:p>
    <w:p w14:paraId="6C3D75A3" w14:textId="77777777" w:rsidR="00A71EEF" w:rsidRDefault="00A71EEF">
      <w:pPr>
        <w:pStyle w:val="a3"/>
        <w:rPr>
          <w:sz w:val="18"/>
        </w:rPr>
      </w:pPr>
    </w:p>
    <w:p w14:paraId="0CD6D88B" w14:textId="77777777" w:rsidR="00A71EEF" w:rsidRDefault="0081115D">
      <w:pPr>
        <w:pStyle w:val="a4"/>
        <w:numPr>
          <w:ilvl w:val="2"/>
          <w:numId w:val="329"/>
        </w:numPr>
        <w:tabs>
          <w:tab w:val="left" w:pos="1478"/>
          <w:tab w:val="left" w:pos="5878"/>
          <w:tab w:val="left" w:pos="6298"/>
        </w:tabs>
        <w:spacing w:line="446" w:lineRule="auto"/>
        <w:ind w:left="418" w:right="1330" w:firstLine="422"/>
        <w:rPr>
          <w:sz w:val="21"/>
        </w:rPr>
      </w:pPr>
      <w:r>
        <w:rPr>
          <w:sz w:val="21"/>
        </w:rPr>
        <w:t>火</w:t>
      </w:r>
      <w:r>
        <w:rPr>
          <w:spacing w:val="-3"/>
          <w:sz w:val="21"/>
        </w:rPr>
        <w:t>灾</w:t>
      </w:r>
      <w:r>
        <w:rPr>
          <w:sz w:val="21"/>
        </w:rPr>
        <w:t>自动</w:t>
      </w:r>
      <w:r>
        <w:rPr>
          <w:spacing w:val="-3"/>
          <w:sz w:val="21"/>
        </w:rPr>
        <w:t>报</w:t>
      </w:r>
      <w:r>
        <w:rPr>
          <w:sz w:val="21"/>
        </w:rPr>
        <w:t>警</w:t>
      </w:r>
      <w:r>
        <w:rPr>
          <w:spacing w:val="-3"/>
          <w:sz w:val="21"/>
        </w:rPr>
        <w:t>系</w:t>
      </w:r>
      <w:r>
        <w:rPr>
          <w:sz w:val="21"/>
        </w:rPr>
        <w:t>统的交</w:t>
      </w:r>
      <w:r>
        <w:rPr>
          <w:spacing w:val="-3"/>
          <w:sz w:val="21"/>
        </w:rPr>
        <w:t>流</w:t>
      </w:r>
      <w:r>
        <w:rPr>
          <w:sz w:val="21"/>
        </w:rPr>
        <w:t>电源</w:t>
      </w:r>
      <w:r>
        <w:rPr>
          <w:spacing w:val="-3"/>
          <w:sz w:val="21"/>
        </w:rPr>
        <w:t>应</w:t>
      </w:r>
      <w:r>
        <w:rPr>
          <w:sz w:val="21"/>
        </w:rPr>
        <w:t>采用</w:t>
      </w:r>
      <w:r>
        <w:rPr>
          <w:spacing w:val="-3"/>
          <w:sz w:val="21"/>
        </w:rPr>
        <w:t>消防</w:t>
      </w:r>
      <w:r>
        <w:rPr>
          <w:sz w:val="21"/>
        </w:rPr>
        <w:t>电源，</w:t>
      </w:r>
      <w:r>
        <w:rPr>
          <w:spacing w:val="-3"/>
          <w:sz w:val="21"/>
        </w:rPr>
        <w:t>备</w:t>
      </w:r>
      <w:r>
        <w:rPr>
          <w:sz w:val="21"/>
        </w:rPr>
        <w:t>用电</w:t>
      </w:r>
      <w:r>
        <w:rPr>
          <w:spacing w:val="-3"/>
          <w:sz w:val="21"/>
        </w:rPr>
        <w:t>源</w:t>
      </w:r>
      <w:r>
        <w:rPr>
          <w:sz w:val="21"/>
        </w:rPr>
        <w:t>可采</w:t>
      </w:r>
      <w:r>
        <w:rPr>
          <w:spacing w:val="-3"/>
          <w:sz w:val="21"/>
        </w:rPr>
        <w:t>用火</w:t>
      </w:r>
      <w:r>
        <w:rPr>
          <w:sz w:val="21"/>
        </w:rPr>
        <w:t>灾报警</w:t>
      </w:r>
      <w:r>
        <w:rPr>
          <w:spacing w:val="-3"/>
          <w:sz w:val="21"/>
        </w:rPr>
        <w:t>控</w:t>
      </w:r>
      <w:r>
        <w:rPr>
          <w:sz w:val="21"/>
        </w:rPr>
        <w:t>制器和消防联动控制器自带的蓄电池电源或消防设备应急电源。当备用电源采用消防设备应急电源时</w:t>
      </w:r>
      <w:r>
        <w:rPr>
          <w:spacing w:val="-16"/>
          <w:sz w:val="21"/>
        </w:rPr>
        <w:t>，</w:t>
      </w:r>
      <w:r>
        <w:rPr>
          <w:sz w:val="21"/>
        </w:rPr>
        <w:t>火灾</w:t>
      </w:r>
      <w:r>
        <w:rPr>
          <w:spacing w:val="-3"/>
          <w:sz w:val="21"/>
        </w:rPr>
        <w:t>报</w:t>
      </w:r>
      <w:r>
        <w:rPr>
          <w:sz w:val="21"/>
        </w:rPr>
        <w:t>警</w:t>
      </w:r>
      <w:r>
        <w:rPr>
          <w:spacing w:val="-3"/>
          <w:sz w:val="21"/>
        </w:rPr>
        <w:t>控</w:t>
      </w:r>
      <w:r>
        <w:rPr>
          <w:sz w:val="21"/>
        </w:rPr>
        <w:t>制</w:t>
      </w:r>
      <w:r>
        <w:rPr>
          <w:spacing w:val="-3"/>
          <w:sz w:val="21"/>
        </w:rPr>
        <w:t>器</w:t>
      </w:r>
      <w:r>
        <w:rPr>
          <w:sz w:val="21"/>
        </w:rPr>
        <w:t>和</w:t>
      </w:r>
      <w:r>
        <w:rPr>
          <w:spacing w:val="-3"/>
          <w:sz w:val="21"/>
        </w:rPr>
        <w:t>消</w:t>
      </w:r>
      <w:r>
        <w:rPr>
          <w:sz w:val="21"/>
        </w:rPr>
        <w:t>防</w:t>
      </w:r>
      <w:r>
        <w:rPr>
          <w:spacing w:val="-3"/>
          <w:sz w:val="21"/>
        </w:rPr>
        <w:t>联</w:t>
      </w:r>
      <w:r>
        <w:rPr>
          <w:sz w:val="21"/>
        </w:rPr>
        <w:t>动控</w:t>
      </w:r>
      <w:r>
        <w:rPr>
          <w:spacing w:val="-3"/>
          <w:sz w:val="21"/>
        </w:rPr>
        <w:t>制</w:t>
      </w:r>
      <w:r>
        <w:rPr>
          <w:sz w:val="21"/>
        </w:rPr>
        <w:t>器</w:t>
      </w:r>
      <w:r>
        <w:rPr>
          <w:spacing w:val="-3"/>
          <w:sz w:val="21"/>
        </w:rPr>
        <w:t>应</w:t>
      </w:r>
      <w:r>
        <w:rPr>
          <w:sz w:val="21"/>
        </w:rPr>
        <w:t>采</w:t>
      </w:r>
      <w:r>
        <w:rPr>
          <w:spacing w:val="-3"/>
          <w:sz w:val="21"/>
        </w:rPr>
        <w:t>用</w:t>
      </w:r>
      <w:r>
        <w:rPr>
          <w:sz w:val="21"/>
        </w:rPr>
        <w:t>单</w:t>
      </w:r>
      <w:r>
        <w:rPr>
          <w:spacing w:val="-3"/>
          <w:sz w:val="21"/>
        </w:rPr>
        <w:t>独</w:t>
      </w:r>
      <w:r>
        <w:rPr>
          <w:sz w:val="21"/>
        </w:rPr>
        <w:t>的</w:t>
      </w:r>
      <w:r>
        <w:rPr>
          <w:spacing w:val="-3"/>
          <w:sz w:val="21"/>
        </w:rPr>
        <w:t>供</w:t>
      </w:r>
      <w:r>
        <w:rPr>
          <w:sz w:val="21"/>
        </w:rPr>
        <w:t>电回</w:t>
      </w:r>
      <w:r>
        <w:rPr>
          <w:spacing w:val="-3"/>
          <w:sz w:val="21"/>
        </w:rPr>
        <w:t>路</w:t>
      </w:r>
      <w:r>
        <w:rPr>
          <w:spacing w:val="-32"/>
          <w:sz w:val="21"/>
        </w:rPr>
        <w:t>，</w:t>
      </w:r>
      <w:r>
        <w:rPr>
          <w:spacing w:val="-3"/>
          <w:sz w:val="21"/>
        </w:rPr>
        <w:t>并</w:t>
      </w:r>
      <w:r>
        <w:rPr>
          <w:sz w:val="21"/>
        </w:rPr>
        <w:t>应</w:t>
      </w:r>
      <w:r>
        <w:rPr>
          <w:spacing w:val="-3"/>
          <w:sz w:val="21"/>
        </w:rPr>
        <w:t>保</w:t>
      </w:r>
      <w:r>
        <w:rPr>
          <w:sz w:val="21"/>
        </w:rPr>
        <w:t>证</w:t>
      </w:r>
      <w:r>
        <w:rPr>
          <w:spacing w:val="-3"/>
          <w:sz w:val="21"/>
        </w:rPr>
        <w:t>在</w:t>
      </w:r>
      <w:r>
        <w:rPr>
          <w:sz w:val="21"/>
        </w:rPr>
        <w:t>系</w:t>
      </w:r>
      <w:r>
        <w:rPr>
          <w:spacing w:val="-3"/>
          <w:sz w:val="21"/>
        </w:rPr>
        <w:t>统</w:t>
      </w:r>
      <w:r>
        <w:rPr>
          <w:sz w:val="21"/>
        </w:rPr>
        <w:t>处于</w:t>
      </w:r>
      <w:r>
        <w:rPr>
          <w:spacing w:val="-3"/>
          <w:sz w:val="21"/>
        </w:rPr>
        <w:t>最</w:t>
      </w:r>
      <w:r>
        <w:rPr>
          <w:sz w:val="21"/>
        </w:rPr>
        <w:t>大</w:t>
      </w:r>
      <w:r>
        <w:rPr>
          <w:spacing w:val="-3"/>
          <w:sz w:val="21"/>
        </w:rPr>
        <w:t>负</w:t>
      </w:r>
      <w:r>
        <w:rPr>
          <w:sz w:val="21"/>
        </w:rPr>
        <w:t>载</w:t>
      </w:r>
      <w:r>
        <w:rPr>
          <w:spacing w:val="-3"/>
          <w:sz w:val="21"/>
        </w:rPr>
        <w:t>状态</w:t>
      </w:r>
      <w:r>
        <w:rPr>
          <w:sz w:val="21"/>
        </w:rPr>
        <w:t>下不影</w:t>
      </w:r>
      <w:r>
        <w:rPr>
          <w:spacing w:val="-3"/>
          <w:sz w:val="21"/>
        </w:rPr>
        <w:t>响</w:t>
      </w:r>
      <w:r>
        <w:rPr>
          <w:sz w:val="21"/>
        </w:rPr>
        <w:t>火</w:t>
      </w:r>
      <w:r>
        <w:rPr>
          <w:spacing w:val="-3"/>
          <w:sz w:val="21"/>
        </w:rPr>
        <w:t>灾</w:t>
      </w:r>
      <w:r>
        <w:rPr>
          <w:sz w:val="21"/>
        </w:rPr>
        <w:t>报</w:t>
      </w:r>
      <w:r>
        <w:rPr>
          <w:spacing w:val="-3"/>
          <w:sz w:val="21"/>
        </w:rPr>
        <w:t>警</w:t>
      </w:r>
      <w:r>
        <w:rPr>
          <w:sz w:val="21"/>
        </w:rPr>
        <w:t>控</w:t>
      </w:r>
      <w:r>
        <w:rPr>
          <w:spacing w:val="-3"/>
          <w:sz w:val="21"/>
        </w:rPr>
        <w:t>制</w:t>
      </w:r>
      <w:r>
        <w:rPr>
          <w:sz w:val="21"/>
        </w:rPr>
        <w:t>器</w:t>
      </w:r>
      <w:r>
        <w:rPr>
          <w:spacing w:val="-3"/>
          <w:sz w:val="21"/>
        </w:rPr>
        <w:t>和</w:t>
      </w:r>
      <w:r>
        <w:rPr>
          <w:sz w:val="21"/>
        </w:rPr>
        <w:t>消防</w:t>
      </w:r>
      <w:r>
        <w:rPr>
          <w:spacing w:val="-3"/>
          <w:sz w:val="21"/>
        </w:rPr>
        <w:t>联</w:t>
      </w:r>
      <w:r>
        <w:rPr>
          <w:sz w:val="21"/>
        </w:rPr>
        <w:t>动</w:t>
      </w:r>
      <w:r>
        <w:rPr>
          <w:spacing w:val="-3"/>
          <w:sz w:val="21"/>
        </w:rPr>
        <w:t>控</w:t>
      </w:r>
      <w:r>
        <w:rPr>
          <w:sz w:val="21"/>
        </w:rPr>
        <w:t>制</w:t>
      </w:r>
      <w:r>
        <w:rPr>
          <w:spacing w:val="-3"/>
          <w:sz w:val="21"/>
        </w:rPr>
        <w:t>器</w:t>
      </w:r>
      <w:r>
        <w:rPr>
          <w:sz w:val="21"/>
        </w:rPr>
        <w:t>的</w:t>
      </w:r>
      <w:r>
        <w:rPr>
          <w:spacing w:val="-3"/>
          <w:sz w:val="21"/>
        </w:rPr>
        <w:t>正</w:t>
      </w:r>
      <w:r>
        <w:rPr>
          <w:sz w:val="21"/>
        </w:rPr>
        <w:t>常</w:t>
      </w:r>
      <w:r>
        <w:rPr>
          <w:spacing w:val="-3"/>
          <w:sz w:val="21"/>
        </w:rPr>
        <w:t>工</w:t>
      </w:r>
      <w:r>
        <w:rPr>
          <w:sz w:val="21"/>
        </w:rPr>
        <w:t>作</w:t>
      </w:r>
      <w:r>
        <w:rPr>
          <w:spacing w:val="-3"/>
          <w:sz w:val="21"/>
        </w:rPr>
        <w:t>。</w:t>
      </w:r>
      <w:r>
        <w:rPr>
          <w:sz w:val="21"/>
        </w:rPr>
        <w:t xml:space="preserve"> </w:t>
      </w:r>
      <w:r>
        <w:rPr>
          <w:sz w:val="21"/>
        </w:rPr>
        <w:tab/>
      </w:r>
      <w:r>
        <w:rPr>
          <w:sz w:val="21"/>
        </w:rPr>
        <w:t xml:space="preserve">  </w:t>
      </w:r>
      <w:r>
        <w:rPr>
          <w:sz w:val="21"/>
        </w:rPr>
        <w:tab/>
      </w:r>
      <w:r>
        <w:rPr>
          <w:sz w:val="21"/>
        </w:rPr>
        <w:t xml:space="preserve">  </w:t>
      </w:r>
    </w:p>
    <w:p w14:paraId="293DF662" w14:textId="77777777" w:rsidR="00A71EEF" w:rsidRDefault="0081115D">
      <w:pPr>
        <w:pStyle w:val="a4"/>
        <w:numPr>
          <w:ilvl w:val="2"/>
          <w:numId w:val="329"/>
        </w:numPr>
        <w:tabs>
          <w:tab w:val="left" w:pos="1478"/>
          <w:tab w:val="left" w:pos="2517"/>
        </w:tabs>
        <w:spacing w:line="446" w:lineRule="auto"/>
        <w:ind w:left="418" w:right="1433" w:firstLine="422"/>
        <w:rPr>
          <w:sz w:val="21"/>
        </w:rPr>
      </w:pPr>
      <w:r>
        <w:rPr>
          <w:spacing w:val="-3"/>
          <w:sz w:val="21"/>
        </w:rPr>
        <w:t>消</w:t>
      </w:r>
      <w:r>
        <w:rPr>
          <w:sz w:val="21"/>
        </w:rPr>
        <w:t>防</w:t>
      </w:r>
      <w:r>
        <w:rPr>
          <w:spacing w:val="-3"/>
          <w:sz w:val="21"/>
        </w:rPr>
        <w:t>控</w:t>
      </w:r>
      <w:r>
        <w:rPr>
          <w:sz w:val="21"/>
        </w:rPr>
        <w:t>制</w:t>
      </w:r>
      <w:r>
        <w:rPr>
          <w:spacing w:val="-3"/>
          <w:sz w:val="21"/>
        </w:rPr>
        <w:t>室</w:t>
      </w:r>
      <w:r>
        <w:rPr>
          <w:sz w:val="21"/>
        </w:rPr>
        <w:t>图</w:t>
      </w:r>
      <w:r>
        <w:rPr>
          <w:spacing w:val="-3"/>
          <w:sz w:val="21"/>
        </w:rPr>
        <w:t>形显</w:t>
      </w:r>
      <w:r>
        <w:rPr>
          <w:sz w:val="21"/>
        </w:rPr>
        <w:t>示装</w:t>
      </w:r>
      <w:r>
        <w:rPr>
          <w:spacing w:val="-3"/>
          <w:sz w:val="21"/>
        </w:rPr>
        <w:t>置</w:t>
      </w:r>
      <w:r>
        <w:rPr>
          <w:spacing w:val="-20"/>
          <w:sz w:val="21"/>
        </w:rPr>
        <w:t>、</w:t>
      </w:r>
      <w:r>
        <w:rPr>
          <w:spacing w:val="-3"/>
          <w:sz w:val="21"/>
        </w:rPr>
        <w:t>消</w:t>
      </w:r>
      <w:r>
        <w:rPr>
          <w:sz w:val="21"/>
        </w:rPr>
        <w:t>防</w:t>
      </w:r>
      <w:r>
        <w:rPr>
          <w:spacing w:val="-3"/>
          <w:sz w:val="21"/>
        </w:rPr>
        <w:t>通</w:t>
      </w:r>
      <w:r>
        <w:rPr>
          <w:sz w:val="21"/>
        </w:rPr>
        <w:t>信</w:t>
      </w:r>
      <w:r>
        <w:rPr>
          <w:spacing w:val="-3"/>
          <w:sz w:val="21"/>
        </w:rPr>
        <w:t>设</w:t>
      </w:r>
      <w:r>
        <w:rPr>
          <w:sz w:val="21"/>
        </w:rPr>
        <w:t>备</w:t>
      </w:r>
      <w:r>
        <w:rPr>
          <w:spacing w:val="-3"/>
          <w:sz w:val="21"/>
        </w:rPr>
        <w:t>等</w:t>
      </w:r>
      <w:r>
        <w:rPr>
          <w:sz w:val="21"/>
        </w:rPr>
        <w:t>的电</w:t>
      </w:r>
      <w:r>
        <w:rPr>
          <w:spacing w:val="-3"/>
          <w:sz w:val="21"/>
        </w:rPr>
        <w:t>源</w:t>
      </w:r>
      <w:r>
        <w:rPr>
          <w:spacing w:val="-20"/>
          <w:sz w:val="21"/>
        </w:rPr>
        <w:t>，</w:t>
      </w:r>
      <w:r>
        <w:rPr>
          <w:spacing w:val="-3"/>
          <w:sz w:val="21"/>
        </w:rPr>
        <w:t>宜</w:t>
      </w:r>
      <w:r>
        <w:rPr>
          <w:sz w:val="21"/>
        </w:rPr>
        <w:t>由</w:t>
      </w:r>
      <w:r>
        <w:rPr>
          <w:spacing w:val="13"/>
          <w:sz w:val="21"/>
        </w:rPr>
        <w:t xml:space="preserve"> </w:t>
      </w:r>
      <w:r>
        <w:rPr>
          <w:sz w:val="21"/>
        </w:rPr>
        <w:t>UPS</w:t>
      </w:r>
      <w:r>
        <w:rPr>
          <w:spacing w:val="9"/>
          <w:sz w:val="21"/>
        </w:rPr>
        <w:t xml:space="preserve"> </w:t>
      </w:r>
      <w:r>
        <w:rPr>
          <w:sz w:val="21"/>
        </w:rPr>
        <w:t>电</w:t>
      </w:r>
      <w:r>
        <w:rPr>
          <w:spacing w:val="-3"/>
          <w:sz w:val="21"/>
        </w:rPr>
        <w:t>源装</w:t>
      </w:r>
      <w:r>
        <w:rPr>
          <w:sz w:val="21"/>
        </w:rPr>
        <w:t>置或</w:t>
      </w:r>
      <w:r>
        <w:rPr>
          <w:spacing w:val="-3"/>
          <w:sz w:val="21"/>
        </w:rPr>
        <w:t>消</w:t>
      </w:r>
      <w:r>
        <w:rPr>
          <w:sz w:val="21"/>
        </w:rPr>
        <w:t>防</w:t>
      </w:r>
      <w:r>
        <w:rPr>
          <w:spacing w:val="-3"/>
          <w:sz w:val="21"/>
        </w:rPr>
        <w:t>设</w:t>
      </w:r>
      <w:r>
        <w:rPr>
          <w:sz w:val="21"/>
        </w:rPr>
        <w:t>备应急</w:t>
      </w:r>
      <w:r>
        <w:rPr>
          <w:spacing w:val="-3"/>
          <w:sz w:val="21"/>
        </w:rPr>
        <w:t>电</w:t>
      </w:r>
      <w:r>
        <w:rPr>
          <w:sz w:val="21"/>
        </w:rPr>
        <w:t>源</w:t>
      </w:r>
      <w:r>
        <w:rPr>
          <w:spacing w:val="-3"/>
          <w:sz w:val="21"/>
        </w:rPr>
        <w:t>供</w:t>
      </w:r>
      <w:r>
        <w:rPr>
          <w:sz w:val="21"/>
        </w:rPr>
        <w:t>电</w:t>
      </w:r>
      <w:r>
        <w:rPr>
          <w:spacing w:val="-3"/>
          <w:sz w:val="21"/>
        </w:rPr>
        <w:t>。</w:t>
      </w:r>
      <w:r>
        <w:rPr>
          <w:sz w:val="21"/>
        </w:rPr>
        <w:t xml:space="preserve"> </w:t>
      </w:r>
      <w:r>
        <w:rPr>
          <w:spacing w:val="-2"/>
          <w:sz w:val="21"/>
        </w:rPr>
        <w:t xml:space="preserve"> </w:t>
      </w:r>
      <w:r>
        <w:rPr>
          <w:sz w:val="21"/>
        </w:rPr>
        <w:t xml:space="preserve">  </w:t>
      </w:r>
      <w:r>
        <w:rPr>
          <w:sz w:val="21"/>
        </w:rPr>
        <w:tab/>
      </w:r>
      <w:r>
        <w:rPr>
          <w:sz w:val="21"/>
        </w:rPr>
        <w:t xml:space="preserve">  </w:t>
      </w:r>
    </w:p>
    <w:p w14:paraId="4921D5AF" w14:textId="77777777" w:rsidR="00A71EEF" w:rsidRDefault="0081115D">
      <w:pPr>
        <w:pStyle w:val="a4"/>
        <w:numPr>
          <w:ilvl w:val="2"/>
          <w:numId w:val="329"/>
        </w:numPr>
        <w:tabs>
          <w:tab w:val="left" w:pos="1478"/>
        </w:tabs>
        <w:ind w:hanging="638"/>
        <w:rPr>
          <w:sz w:val="21"/>
        </w:rPr>
      </w:pPr>
      <w:r>
        <w:rPr>
          <w:spacing w:val="-3"/>
          <w:sz w:val="21"/>
        </w:rPr>
        <w:t>火灾自动报警系统主电源不应设置剩余电流动作保护和过负荷保护装置。</w:t>
      </w:r>
      <w:r>
        <w:rPr>
          <w:spacing w:val="-10"/>
          <w:sz w:val="21"/>
        </w:rPr>
        <w:t xml:space="preserve"> </w:t>
      </w:r>
      <w:r>
        <w:rPr>
          <w:sz w:val="21"/>
        </w:rPr>
        <w:t xml:space="preserve">  </w:t>
      </w:r>
    </w:p>
    <w:p w14:paraId="320F6A60" w14:textId="77777777" w:rsidR="00A71EEF" w:rsidRDefault="00A71EEF">
      <w:pPr>
        <w:pStyle w:val="a3"/>
        <w:spacing w:before="10"/>
        <w:rPr>
          <w:sz w:val="17"/>
        </w:rPr>
      </w:pPr>
    </w:p>
    <w:p w14:paraId="1470A983" w14:textId="77777777" w:rsidR="00A71EEF" w:rsidRDefault="0081115D">
      <w:pPr>
        <w:pStyle w:val="a4"/>
        <w:numPr>
          <w:ilvl w:val="2"/>
          <w:numId w:val="329"/>
        </w:numPr>
        <w:tabs>
          <w:tab w:val="left" w:pos="1478"/>
        </w:tabs>
        <w:ind w:hanging="638"/>
        <w:rPr>
          <w:sz w:val="21"/>
        </w:rPr>
      </w:pPr>
      <w:r>
        <w:rPr>
          <w:spacing w:val="8"/>
          <w:sz w:val="21"/>
        </w:rPr>
        <w:t>消防设备应急电源输出功率应大于火灾自动报警及联动控制系统全负荷功率的</w:t>
      </w:r>
      <w:r>
        <w:rPr>
          <w:sz w:val="21"/>
        </w:rPr>
        <w:t xml:space="preserve"> </w:t>
      </w:r>
    </w:p>
    <w:p w14:paraId="4123C8C0" w14:textId="77777777" w:rsidR="00A71EEF" w:rsidRDefault="00A71EEF">
      <w:pPr>
        <w:pStyle w:val="a3"/>
        <w:spacing w:before="2"/>
        <w:rPr>
          <w:sz w:val="18"/>
        </w:rPr>
      </w:pPr>
    </w:p>
    <w:p w14:paraId="14D95681" w14:textId="77777777" w:rsidR="00A71EEF" w:rsidRDefault="0081115D">
      <w:pPr>
        <w:pStyle w:val="a3"/>
        <w:tabs>
          <w:tab w:val="left" w:pos="2517"/>
        </w:tabs>
        <w:spacing w:line="446" w:lineRule="auto"/>
        <w:ind w:left="418" w:right="1434"/>
      </w:pPr>
      <w:r>
        <w:t>120%</w:t>
      </w:r>
      <w:r>
        <w:rPr>
          <w:spacing w:val="93"/>
        </w:rPr>
        <w:t xml:space="preserve"> </w:t>
      </w:r>
      <w:r>
        <w:t>，蓄电</w:t>
      </w:r>
      <w:r>
        <w:rPr>
          <w:spacing w:val="-3"/>
        </w:rPr>
        <w:t>池</w:t>
      </w:r>
      <w:r>
        <w:t>组的容</w:t>
      </w:r>
      <w:r>
        <w:rPr>
          <w:spacing w:val="-3"/>
        </w:rPr>
        <w:t>量</w:t>
      </w:r>
      <w:r>
        <w:t>应保证火</w:t>
      </w:r>
      <w:r>
        <w:rPr>
          <w:spacing w:val="-3"/>
        </w:rPr>
        <w:t>灾</w:t>
      </w:r>
      <w:r>
        <w:t>自动报</w:t>
      </w:r>
      <w:r>
        <w:rPr>
          <w:spacing w:val="-3"/>
        </w:rPr>
        <w:t>警</w:t>
      </w:r>
      <w:r>
        <w:t>及</w:t>
      </w:r>
      <w:r>
        <w:rPr>
          <w:spacing w:val="-3"/>
        </w:rPr>
        <w:t>联</w:t>
      </w:r>
      <w:r>
        <w:t>动控制系</w:t>
      </w:r>
      <w:r>
        <w:rPr>
          <w:spacing w:val="-3"/>
        </w:rPr>
        <w:t>统</w:t>
      </w:r>
      <w:r>
        <w:t>在火灾</w:t>
      </w:r>
      <w:r>
        <w:rPr>
          <w:spacing w:val="-3"/>
        </w:rPr>
        <w:t>状</w:t>
      </w:r>
      <w:r>
        <w:t>态</w:t>
      </w:r>
      <w:r>
        <w:rPr>
          <w:spacing w:val="-3"/>
        </w:rPr>
        <w:t>同</w:t>
      </w:r>
      <w:r>
        <w:t>时工作负</w:t>
      </w:r>
      <w:r>
        <w:rPr>
          <w:spacing w:val="-3"/>
        </w:rPr>
        <w:t>荷</w:t>
      </w:r>
      <w:r>
        <w:t>条件</w:t>
      </w:r>
      <w:r>
        <w:rPr>
          <w:spacing w:val="-3"/>
        </w:rPr>
        <w:t>下</w:t>
      </w:r>
      <w:r>
        <w:rPr>
          <w:spacing w:val="-11"/>
        </w:rPr>
        <w:t>连</w:t>
      </w:r>
      <w:r>
        <w:t>续工</w:t>
      </w:r>
      <w:r>
        <w:rPr>
          <w:spacing w:val="-3"/>
        </w:rPr>
        <w:t>作</w:t>
      </w:r>
      <w:r>
        <w:rPr>
          <w:spacing w:val="4"/>
        </w:rPr>
        <w:t xml:space="preserve"> </w:t>
      </w:r>
      <w:r>
        <w:t>3h</w:t>
      </w:r>
      <w:r>
        <w:rPr>
          <w:spacing w:val="2"/>
        </w:rPr>
        <w:t xml:space="preserve"> </w:t>
      </w:r>
      <w:r>
        <w:t>以</w:t>
      </w:r>
      <w:r>
        <w:rPr>
          <w:spacing w:val="-3"/>
        </w:rPr>
        <w:t>上。</w:t>
      </w:r>
      <w:r>
        <w:t xml:space="preserve"> </w:t>
      </w:r>
      <w:r>
        <w:tab/>
      </w:r>
      <w:r>
        <w:t xml:space="preserve">  </w:t>
      </w:r>
    </w:p>
    <w:p w14:paraId="70D843CA" w14:textId="77777777" w:rsidR="00A71EEF" w:rsidRDefault="0081115D">
      <w:pPr>
        <w:pStyle w:val="a4"/>
        <w:numPr>
          <w:ilvl w:val="2"/>
          <w:numId w:val="329"/>
        </w:numPr>
        <w:tabs>
          <w:tab w:val="left" w:pos="1478"/>
        </w:tabs>
        <w:spacing w:line="446" w:lineRule="auto"/>
        <w:ind w:left="418" w:right="1434" w:firstLine="422"/>
        <w:rPr>
          <w:sz w:val="21"/>
        </w:rPr>
      </w:pPr>
      <w:r>
        <w:rPr>
          <w:spacing w:val="-3"/>
          <w:sz w:val="21"/>
        </w:rPr>
        <w:t>消防用电设备应采用专用的供电回路，其配电设备应设有明显标志。其配电线路和</w:t>
      </w:r>
      <w:r>
        <w:rPr>
          <w:spacing w:val="-3"/>
          <w:sz w:val="21"/>
        </w:rPr>
        <w:t xml:space="preserve"> </w:t>
      </w:r>
      <w:r>
        <w:rPr>
          <w:spacing w:val="-3"/>
          <w:sz w:val="21"/>
        </w:rPr>
        <w:t>控制回路宜按防火分区划分。</w:t>
      </w:r>
      <w:r>
        <w:rPr>
          <w:sz w:val="21"/>
        </w:rPr>
        <w:t xml:space="preserve"> </w:t>
      </w:r>
      <w:r>
        <w:rPr>
          <w:spacing w:val="-2"/>
          <w:sz w:val="21"/>
        </w:rPr>
        <w:t xml:space="preserve"> </w:t>
      </w:r>
      <w:r>
        <w:rPr>
          <w:sz w:val="21"/>
        </w:rPr>
        <w:t xml:space="preserve">  </w:t>
      </w:r>
    </w:p>
    <w:p w14:paraId="33AD8DAD" w14:textId="77777777" w:rsidR="00A71EEF" w:rsidRDefault="0081115D">
      <w:pPr>
        <w:pStyle w:val="a4"/>
        <w:numPr>
          <w:ilvl w:val="1"/>
          <w:numId w:val="329"/>
        </w:numPr>
        <w:tabs>
          <w:tab w:val="left" w:pos="1318"/>
        </w:tabs>
        <w:rPr>
          <w:sz w:val="21"/>
        </w:rPr>
      </w:pPr>
      <w:r>
        <w:rPr>
          <w:spacing w:val="-3"/>
          <w:sz w:val="21"/>
        </w:rPr>
        <w:t>系统接地</w:t>
      </w:r>
      <w:r>
        <w:rPr>
          <w:sz w:val="21"/>
        </w:rPr>
        <w:t xml:space="preserve"> </w:t>
      </w:r>
    </w:p>
    <w:p w14:paraId="2420F1E7" w14:textId="77777777" w:rsidR="00A71EEF" w:rsidRDefault="00A71EEF">
      <w:pPr>
        <w:pStyle w:val="a3"/>
        <w:spacing w:before="10"/>
        <w:rPr>
          <w:sz w:val="17"/>
        </w:rPr>
      </w:pPr>
    </w:p>
    <w:p w14:paraId="1EECEC68" w14:textId="77777777" w:rsidR="00A71EEF" w:rsidRDefault="0081115D">
      <w:pPr>
        <w:pStyle w:val="a4"/>
        <w:numPr>
          <w:ilvl w:val="2"/>
          <w:numId w:val="329"/>
        </w:numPr>
        <w:tabs>
          <w:tab w:val="left" w:pos="1478"/>
        </w:tabs>
        <w:ind w:hanging="638"/>
        <w:rPr>
          <w:sz w:val="21"/>
        </w:rPr>
      </w:pPr>
      <w:r>
        <w:rPr>
          <w:spacing w:val="-3"/>
          <w:sz w:val="21"/>
        </w:rPr>
        <w:t>火灾自动报警系统接地装置的接地电阻值应符合下列规定：</w:t>
      </w:r>
      <w:r>
        <w:rPr>
          <w:sz w:val="21"/>
        </w:rPr>
        <w:t xml:space="preserve"> </w:t>
      </w:r>
    </w:p>
    <w:p w14:paraId="0236222F" w14:textId="77777777" w:rsidR="00A71EEF" w:rsidRDefault="00A71EEF">
      <w:pPr>
        <w:pStyle w:val="a3"/>
        <w:spacing w:before="2"/>
        <w:rPr>
          <w:sz w:val="18"/>
        </w:rPr>
      </w:pPr>
    </w:p>
    <w:p w14:paraId="71CA14BA" w14:textId="77777777" w:rsidR="00A71EEF" w:rsidRDefault="0081115D">
      <w:pPr>
        <w:pStyle w:val="a4"/>
        <w:numPr>
          <w:ilvl w:val="0"/>
          <w:numId w:val="328"/>
        </w:numPr>
        <w:tabs>
          <w:tab w:val="left" w:pos="1367"/>
        </w:tabs>
        <w:rPr>
          <w:sz w:val="21"/>
        </w:rPr>
      </w:pPr>
      <w:r>
        <w:rPr>
          <w:spacing w:val="-3"/>
          <w:sz w:val="21"/>
        </w:rPr>
        <w:t>采用共用接地装置时，接地电阻值不应大于</w:t>
      </w:r>
      <w:r>
        <w:rPr>
          <w:spacing w:val="-3"/>
          <w:sz w:val="21"/>
        </w:rPr>
        <w:t xml:space="preserve"> </w:t>
      </w:r>
      <w:r>
        <w:rPr>
          <w:sz w:val="21"/>
        </w:rPr>
        <w:t>1Ω</w:t>
      </w:r>
      <w:r>
        <w:rPr>
          <w:spacing w:val="4"/>
          <w:sz w:val="21"/>
        </w:rPr>
        <w:t xml:space="preserve"> </w:t>
      </w:r>
      <w:r>
        <w:rPr>
          <w:spacing w:val="4"/>
          <w:sz w:val="21"/>
        </w:rPr>
        <w:t>。</w:t>
      </w:r>
      <w:r>
        <w:rPr>
          <w:sz w:val="21"/>
        </w:rPr>
        <w:t xml:space="preserve"> </w:t>
      </w:r>
    </w:p>
    <w:p w14:paraId="708A117D" w14:textId="77777777" w:rsidR="00A71EEF" w:rsidRDefault="00A71EEF">
      <w:pPr>
        <w:pStyle w:val="a3"/>
        <w:rPr>
          <w:sz w:val="18"/>
        </w:rPr>
      </w:pPr>
    </w:p>
    <w:p w14:paraId="7BCDEB28" w14:textId="77777777" w:rsidR="00A71EEF" w:rsidRDefault="0081115D">
      <w:pPr>
        <w:pStyle w:val="a4"/>
        <w:numPr>
          <w:ilvl w:val="0"/>
          <w:numId w:val="328"/>
        </w:numPr>
        <w:tabs>
          <w:tab w:val="left" w:pos="1367"/>
        </w:tabs>
        <w:rPr>
          <w:sz w:val="21"/>
        </w:rPr>
      </w:pPr>
      <w:r>
        <w:rPr>
          <w:spacing w:val="-3"/>
          <w:sz w:val="21"/>
        </w:rPr>
        <w:t>采用专用接地装置时，接地电阻值不应大于</w:t>
      </w:r>
      <w:r>
        <w:rPr>
          <w:spacing w:val="-3"/>
          <w:sz w:val="21"/>
        </w:rPr>
        <w:t xml:space="preserve"> </w:t>
      </w:r>
      <w:r>
        <w:rPr>
          <w:sz w:val="21"/>
        </w:rPr>
        <w:t>4Ω</w:t>
      </w:r>
      <w:r>
        <w:rPr>
          <w:spacing w:val="4"/>
          <w:sz w:val="21"/>
        </w:rPr>
        <w:t xml:space="preserve"> </w:t>
      </w:r>
      <w:r>
        <w:rPr>
          <w:spacing w:val="4"/>
          <w:sz w:val="21"/>
        </w:rPr>
        <w:t>。</w:t>
      </w:r>
      <w:r>
        <w:rPr>
          <w:sz w:val="21"/>
        </w:rPr>
        <w:t xml:space="preserve"> </w:t>
      </w:r>
      <w:r>
        <w:rPr>
          <w:spacing w:val="-2"/>
          <w:sz w:val="21"/>
        </w:rPr>
        <w:t xml:space="preserve"> </w:t>
      </w:r>
      <w:r>
        <w:rPr>
          <w:sz w:val="21"/>
        </w:rPr>
        <w:t xml:space="preserve">  </w:t>
      </w:r>
    </w:p>
    <w:p w14:paraId="25C35C63" w14:textId="77777777" w:rsidR="00A71EEF" w:rsidRDefault="00A71EEF">
      <w:pPr>
        <w:pStyle w:val="a3"/>
        <w:spacing w:before="12"/>
        <w:rPr>
          <w:sz w:val="17"/>
        </w:rPr>
      </w:pPr>
    </w:p>
    <w:p w14:paraId="52BC095F" w14:textId="77777777" w:rsidR="00A71EEF" w:rsidRDefault="0081115D">
      <w:pPr>
        <w:pStyle w:val="a4"/>
        <w:numPr>
          <w:ilvl w:val="2"/>
          <w:numId w:val="329"/>
        </w:numPr>
        <w:tabs>
          <w:tab w:val="left" w:pos="1478"/>
        </w:tabs>
        <w:spacing w:line="446" w:lineRule="auto"/>
        <w:ind w:left="418" w:right="1431" w:firstLine="422"/>
        <w:rPr>
          <w:sz w:val="21"/>
        </w:rPr>
      </w:pPr>
      <w:r>
        <w:rPr>
          <w:spacing w:val="-10"/>
          <w:sz w:val="21"/>
        </w:rPr>
        <w:t>消防控制室内的电气和电子设备的金属外壳、机柜、机架和金属管、槽等，应采用等</w:t>
      </w:r>
      <w:r>
        <w:rPr>
          <w:spacing w:val="-6"/>
          <w:sz w:val="21"/>
        </w:rPr>
        <w:t>电位连接。</w:t>
      </w:r>
      <w:r>
        <w:rPr>
          <w:sz w:val="21"/>
        </w:rPr>
        <w:t xml:space="preserve"> </w:t>
      </w:r>
      <w:r>
        <w:rPr>
          <w:spacing w:val="-2"/>
          <w:sz w:val="21"/>
        </w:rPr>
        <w:t xml:space="preserve"> </w:t>
      </w:r>
      <w:r>
        <w:rPr>
          <w:sz w:val="21"/>
        </w:rPr>
        <w:t xml:space="preserve">  </w:t>
      </w:r>
    </w:p>
    <w:p w14:paraId="12C05F53" w14:textId="77777777" w:rsidR="00A71EEF" w:rsidRDefault="0081115D">
      <w:pPr>
        <w:pStyle w:val="a4"/>
        <w:numPr>
          <w:ilvl w:val="2"/>
          <w:numId w:val="329"/>
        </w:numPr>
        <w:tabs>
          <w:tab w:val="left" w:pos="1478"/>
        </w:tabs>
        <w:spacing w:before="1" w:line="446" w:lineRule="auto"/>
        <w:ind w:left="418" w:right="1434" w:firstLine="422"/>
        <w:rPr>
          <w:sz w:val="21"/>
        </w:rPr>
      </w:pPr>
      <w:r>
        <w:rPr>
          <w:spacing w:val="-3"/>
          <w:sz w:val="21"/>
        </w:rPr>
        <w:t>由消防控制室接地板引至各消防电子设备的专用接地线应选用铜芯绝缘导线，其线</w:t>
      </w:r>
      <w:r>
        <w:rPr>
          <w:spacing w:val="-3"/>
          <w:sz w:val="21"/>
        </w:rPr>
        <w:t xml:space="preserve"> </w:t>
      </w:r>
      <w:r>
        <w:rPr>
          <w:spacing w:val="-3"/>
          <w:sz w:val="21"/>
        </w:rPr>
        <w:t>芯截面面积不应小于</w:t>
      </w:r>
      <w:r>
        <w:rPr>
          <w:spacing w:val="-3"/>
          <w:sz w:val="21"/>
        </w:rPr>
        <w:t xml:space="preserve"> </w:t>
      </w:r>
      <w:r>
        <w:rPr>
          <w:sz w:val="21"/>
        </w:rPr>
        <w:t>4mm²</w:t>
      </w:r>
      <w:r>
        <w:rPr>
          <w:spacing w:val="-1"/>
          <w:sz w:val="21"/>
        </w:rPr>
        <w:t xml:space="preserve"> </w:t>
      </w:r>
      <w:r>
        <w:rPr>
          <w:spacing w:val="-1"/>
          <w:sz w:val="21"/>
        </w:rPr>
        <w:t>。</w:t>
      </w:r>
      <w:r>
        <w:rPr>
          <w:sz w:val="21"/>
        </w:rPr>
        <w:t xml:space="preserve">  </w:t>
      </w:r>
      <w:r>
        <w:rPr>
          <w:sz w:val="21"/>
        </w:rPr>
        <w:t xml:space="preserve">  </w:t>
      </w:r>
    </w:p>
    <w:p w14:paraId="7915B682" w14:textId="77777777" w:rsidR="00A71EEF" w:rsidRDefault="0081115D">
      <w:pPr>
        <w:pStyle w:val="a4"/>
        <w:numPr>
          <w:ilvl w:val="2"/>
          <w:numId w:val="329"/>
        </w:numPr>
        <w:tabs>
          <w:tab w:val="left" w:pos="1478"/>
          <w:tab w:val="left" w:pos="2097"/>
        </w:tabs>
        <w:spacing w:line="446" w:lineRule="auto"/>
        <w:ind w:left="418" w:right="1433" w:firstLine="422"/>
        <w:rPr>
          <w:sz w:val="21"/>
        </w:rPr>
      </w:pPr>
      <w:r>
        <w:rPr>
          <w:spacing w:val="-3"/>
          <w:sz w:val="21"/>
        </w:rPr>
        <w:t>消</w:t>
      </w:r>
      <w:r>
        <w:rPr>
          <w:sz w:val="21"/>
        </w:rPr>
        <w:t>防</w:t>
      </w:r>
      <w:r>
        <w:rPr>
          <w:spacing w:val="-3"/>
          <w:sz w:val="21"/>
        </w:rPr>
        <w:t>控</w:t>
      </w:r>
      <w:r>
        <w:rPr>
          <w:sz w:val="21"/>
        </w:rPr>
        <w:t>制</w:t>
      </w:r>
      <w:r>
        <w:rPr>
          <w:spacing w:val="-3"/>
          <w:sz w:val="21"/>
        </w:rPr>
        <w:t>室</w:t>
      </w:r>
      <w:r>
        <w:rPr>
          <w:sz w:val="21"/>
        </w:rPr>
        <w:t>接</w:t>
      </w:r>
      <w:r>
        <w:rPr>
          <w:spacing w:val="-3"/>
          <w:sz w:val="21"/>
        </w:rPr>
        <w:t>地板</w:t>
      </w:r>
      <w:r>
        <w:rPr>
          <w:sz w:val="21"/>
        </w:rPr>
        <w:t>与建</w:t>
      </w:r>
      <w:r>
        <w:rPr>
          <w:spacing w:val="-3"/>
          <w:sz w:val="21"/>
        </w:rPr>
        <w:t>筑</w:t>
      </w:r>
      <w:r>
        <w:rPr>
          <w:sz w:val="21"/>
        </w:rPr>
        <w:t>接</w:t>
      </w:r>
      <w:r>
        <w:rPr>
          <w:spacing w:val="-3"/>
          <w:sz w:val="21"/>
        </w:rPr>
        <w:t>地</w:t>
      </w:r>
      <w:r>
        <w:rPr>
          <w:sz w:val="21"/>
        </w:rPr>
        <w:t>体</w:t>
      </w:r>
      <w:r>
        <w:rPr>
          <w:spacing w:val="-3"/>
          <w:sz w:val="21"/>
        </w:rPr>
        <w:t>之</w:t>
      </w:r>
      <w:r>
        <w:rPr>
          <w:sz w:val="21"/>
        </w:rPr>
        <w:t>间</w:t>
      </w:r>
      <w:r>
        <w:rPr>
          <w:spacing w:val="-41"/>
          <w:sz w:val="21"/>
        </w:rPr>
        <w:t>，</w:t>
      </w:r>
      <w:r>
        <w:rPr>
          <w:sz w:val="21"/>
        </w:rPr>
        <w:t>应</w:t>
      </w:r>
      <w:r>
        <w:rPr>
          <w:spacing w:val="-3"/>
          <w:sz w:val="21"/>
        </w:rPr>
        <w:t>采</w:t>
      </w:r>
      <w:r>
        <w:rPr>
          <w:sz w:val="21"/>
        </w:rPr>
        <w:t>用线</w:t>
      </w:r>
      <w:r>
        <w:rPr>
          <w:spacing w:val="-3"/>
          <w:sz w:val="21"/>
        </w:rPr>
        <w:t>芯</w:t>
      </w:r>
      <w:r>
        <w:rPr>
          <w:sz w:val="21"/>
        </w:rPr>
        <w:t>截</w:t>
      </w:r>
      <w:r>
        <w:rPr>
          <w:spacing w:val="-3"/>
          <w:sz w:val="21"/>
        </w:rPr>
        <w:t>面</w:t>
      </w:r>
      <w:r>
        <w:rPr>
          <w:sz w:val="21"/>
        </w:rPr>
        <w:t>面</w:t>
      </w:r>
      <w:r>
        <w:rPr>
          <w:spacing w:val="-3"/>
          <w:sz w:val="21"/>
        </w:rPr>
        <w:t>积</w:t>
      </w:r>
      <w:r>
        <w:rPr>
          <w:sz w:val="21"/>
        </w:rPr>
        <w:t>不</w:t>
      </w:r>
      <w:r>
        <w:rPr>
          <w:spacing w:val="-3"/>
          <w:sz w:val="21"/>
        </w:rPr>
        <w:t>小</w:t>
      </w:r>
      <w:r>
        <w:rPr>
          <w:sz w:val="21"/>
        </w:rPr>
        <w:t>于</w:t>
      </w:r>
      <w:r>
        <w:rPr>
          <w:spacing w:val="11"/>
          <w:sz w:val="21"/>
        </w:rPr>
        <w:t xml:space="preserve"> </w:t>
      </w:r>
      <w:r>
        <w:rPr>
          <w:sz w:val="21"/>
        </w:rPr>
        <w:t>25mm²</w:t>
      </w:r>
      <w:r>
        <w:rPr>
          <w:spacing w:val="12"/>
          <w:sz w:val="21"/>
        </w:rPr>
        <w:t xml:space="preserve"> </w:t>
      </w:r>
      <w:r>
        <w:rPr>
          <w:spacing w:val="-3"/>
          <w:sz w:val="21"/>
        </w:rPr>
        <w:t>的</w:t>
      </w:r>
      <w:r>
        <w:rPr>
          <w:sz w:val="21"/>
        </w:rPr>
        <w:t>铜</w:t>
      </w:r>
      <w:r>
        <w:rPr>
          <w:spacing w:val="-3"/>
          <w:sz w:val="21"/>
        </w:rPr>
        <w:t>芯</w:t>
      </w:r>
      <w:r>
        <w:rPr>
          <w:sz w:val="21"/>
        </w:rPr>
        <w:t>绝缘导</w:t>
      </w:r>
      <w:r>
        <w:rPr>
          <w:spacing w:val="-3"/>
          <w:sz w:val="21"/>
        </w:rPr>
        <w:t>线</w:t>
      </w:r>
      <w:r>
        <w:rPr>
          <w:sz w:val="21"/>
        </w:rPr>
        <w:t>连</w:t>
      </w:r>
      <w:r>
        <w:rPr>
          <w:spacing w:val="-3"/>
          <w:sz w:val="21"/>
        </w:rPr>
        <w:t>接。</w:t>
      </w:r>
      <w:r>
        <w:rPr>
          <w:sz w:val="21"/>
        </w:rPr>
        <w:t xml:space="preserve"> </w:t>
      </w:r>
      <w:r>
        <w:rPr>
          <w:sz w:val="21"/>
        </w:rPr>
        <w:tab/>
      </w:r>
      <w:r>
        <w:rPr>
          <w:sz w:val="21"/>
        </w:rPr>
        <w:t xml:space="preserve">  </w:t>
      </w:r>
    </w:p>
    <w:p w14:paraId="5107A4BE" w14:textId="77777777" w:rsidR="00A71EEF" w:rsidRDefault="0081115D">
      <w:pPr>
        <w:pStyle w:val="4"/>
        <w:spacing w:line="275" w:lineRule="exact"/>
      </w:pPr>
      <w:r>
        <w:t xml:space="preserve">11 </w:t>
      </w:r>
      <w:r>
        <w:t>布线</w:t>
      </w:r>
      <w:r>
        <w:rPr>
          <w:w w:val="99"/>
        </w:rPr>
        <w:t xml:space="preserve"> </w:t>
      </w:r>
    </w:p>
    <w:p w14:paraId="2D47EF42" w14:textId="77777777" w:rsidR="00A71EEF" w:rsidRDefault="00A71EEF">
      <w:pPr>
        <w:pStyle w:val="a3"/>
        <w:spacing w:before="6"/>
        <w:rPr>
          <w:b/>
          <w:sz w:val="17"/>
        </w:rPr>
      </w:pPr>
    </w:p>
    <w:p w14:paraId="3BB26F79" w14:textId="77777777" w:rsidR="00A71EEF" w:rsidRDefault="0081115D">
      <w:pPr>
        <w:pStyle w:val="a4"/>
        <w:numPr>
          <w:ilvl w:val="1"/>
          <w:numId w:val="327"/>
        </w:numPr>
        <w:tabs>
          <w:tab w:val="left" w:pos="1264"/>
        </w:tabs>
        <w:jc w:val="both"/>
        <w:rPr>
          <w:sz w:val="21"/>
        </w:rPr>
      </w:pPr>
      <w:r>
        <w:rPr>
          <w:spacing w:val="-2"/>
          <w:sz w:val="21"/>
        </w:rPr>
        <w:t>一般规定</w:t>
      </w:r>
      <w:r>
        <w:rPr>
          <w:sz w:val="21"/>
        </w:rPr>
        <w:t xml:space="preserve"> </w:t>
      </w:r>
    </w:p>
    <w:p w14:paraId="476B4D26" w14:textId="77777777" w:rsidR="00A71EEF" w:rsidRDefault="00A71EEF">
      <w:pPr>
        <w:pStyle w:val="a3"/>
        <w:rPr>
          <w:sz w:val="18"/>
        </w:rPr>
      </w:pPr>
    </w:p>
    <w:p w14:paraId="7A7B7CA0" w14:textId="77777777" w:rsidR="00A71EEF" w:rsidRDefault="0081115D">
      <w:pPr>
        <w:pStyle w:val="a4"/>
        <w:numPr>
          <w:ilvl w:val="2"/>
          <w:numId w:val="327"/>
        </w:numPr>
        <w:tabs>
          <w:tab w:val="left" w:pos="1478"/>
        </w:tabs>
        <w:spacing w:line="446" w:lineRule="auto"/>
        <w:ind w:right="1603" w:firstLine="422"/>
        <w:jc w:val="both"/>
        <w:rPr>
          <w:sz w:val="21"/>
        </w:rPr>
      </w:pPr>
      <w:r>
        <w:rPr>
          <w:spacing w:val="-2"/>
          <w:sz w:val="21"/>
        </w:rPr>
        <w:t>火灾自动报警系统的传输线路和</w:t>
      </w:r>
      <w:r>
        <w:rPr>
          <w:spacing w:val="-2"/>
          <w:sz w:val="21"/>
        </w:rPr>
        <w:t xml:space="preserve"> </w:t>
      </w:r>
      <w:r>
        <w:rPr>
          <w:sz w:val="21"/>
        </w:rPr>
        <w:t>50V</w:t>
      </w:r>
      <w:r>
        <w:rPr>
          <w:spacing w:val="-3"/>
          <w:sz w:val="21"/>
        </w:rPr>
        <w:t xml:space="preserve"> </w:t>
      </w:r>
      <w:r>
        <w:rPr>
          <w:spacing w:val="-3"/>
          <w:sz w:val="21"/>
        </w:rPr>
        <w:t>以下供电的控制线路，应采用电压等级不低</w:t>
      </w:r>
      <w:r>
        <w:rPr>
          <w:spacing w:val="-1"/>
          <w:sz w:val="21"/>
        </w:rPr>
        <w:t>于交流</w:t>
      </w:r>
      <w:r>
        <w:rPr>
          <w:spacing w:val="-1"/>
          <w:sz w:val="21"/>
        </w:rPr>
        <w:t xml:space="preserve"> </w:t>
      </w:r>
      <w:r>
        <w:rPr>
          <w:sz w:val="21"/>
        </w:rPr>
        <w:t>300V/500V</w:t>
      </w:r>
      <w:r>
        <w:rPr>
          <w:spacing w:val="-3"/>
          <w:sz w:val="21"/>
        </w:rPr>
        <w:t xml:space="preserve"> </w:t>
      </w:r>
      <w:r>
        <w:rPr>
          <w:spacing w:val="-3"/>
          <w:sz w:val="21"/>
        </w:rPr>
        <w:t>的铜芯绝缘导线或铜芯电缆。采用交流</w:t>
      </w:r>
      <w:r>
        <w:rPr>
          <w:spacing w:val="-3"/>
          <w:sz w:val="21"/>
        </w:rPr>
        <w:t xml:space="preserve"> </w:t>
      </w:r>
      <w:r>
        <w:rPr>
          <w:sz w:val="21"/>
        </w:rPr>
        <w:t>220V/380V</w:t>
      </w:r>
      <w:r>
        <w:rPr>
          <w:spacing w:val="-3"/>
          <w:sz w:val="21"/>
        </w:rPr>
        <w:t xml:space="preserve"> </w:t>
      </w:r>
      <w:r>
        <w:rPr>
          <w:spacing w:val="-3"/>
          <w:sz w:val="21"/>
        </w:rPr>
        <w:t>的供电和控制线路，应</w:t>
      </w:r>
      <w:r>
        <w:rPr>
          <w:spacing w:val="-8"/>
          <w:sz w:val="21"/>
        </w:rPr>
        <w:t>采用电压等级不低于交流</w:t>
      </w:r>
      <w:r>
        <w:rPr>
          <w:spacing w:val="-8"/>
          <w:sz w:val="21"/>
        </w:rPr>
        <w:t xml:space="preserve"> </w:t>
      </w:r>
      <w:r>
        <w:rPr>
          <w:sz w:val="21"/>
        </w:rPr>
        <w:t>450V/750V</w:t>
      </w:r>
      <w:r>
        <w:rPr>
          <w:spacing w:val="-3"/>
          <w:sz w:val="21"/>
        </w:rPr>
        <w:t xml:space="preserve"> </w:t>
      </w:r>
      <w:r>
        <w:rPr>
          <w:spacing w:val="-3"/>
          <w:sz w:val="21"/>
        </w:rPr>
        <w:t>的铜芯绝缘导线或铜芯电缆。</w:t>
      </w:r>
      <w:r>
        <w:rPr>
          <w:sz w:val="21"/>
        </w:rPr>
        <w:t xml:space="preserve"> </w:t>
      </w:r>
    </w:p>
    <w:p w14:paraId="6E68ED73" w14:textId="77777777" w:rsidR="00A71EEF" w:rsidRDefault="00A71EEF">
      <w:pPr>
        <w:spacing w:line="446" w:lineRule="auto"/>
        <w:jc w:val="both"/>
        <w:rPr>
          <w:sz w:val="21"/>
        </w:rPr>
        <w:sectPr w:rsidR="00A71EEF">
          <w:pgSz w:w="11910" w:h="16850"/>
          <w:pgMar w:top="1220" w:right="0" w:bottom="1420" w:left="1260" w:header="0" w:footer="1239" w:gutter="0"/>
          <w:cols w:space="720"/>
        </w:sectPr>
      </w:pPr>
    </w:p>
    <w:p w14:paraId="4A6A4133" w14:textId="77777777" w:rsidR="00A71EEF" w:rsidRDefault="0081115D">
      <w:pPr>
        <w:pStyle w:val="a4"/>
        <w:numPr>
          <w:ilvl w:val="2"/>
          <w:numId w:val="327"/>
        </w:numPr>
        <w:tabs>
          <w:tab w:val="left" w:pos="1478"/>
        </w:tabs>
        <w:spacing w:before="47" w:line="446" w:lineRule="auto"/>
        <w:ind w:right="1496" w:firstLine="422"/>
        <w:jc w:val="both"/>
        <w:rPr>
          <w:sz w:val="21"/>
        </w:rPr>
      </w:pPr>
      <w:r>
        <w:rPr>
          <w:spacing w:val="-3"/>
          <w:sz w:val="21"/>
        </w:rPr>
        <w:t>火灾自动报警系统传输线路的线芯截面选择，除应满足自动报警装置技术条件的要求外，还应满足机械强度的要求。铜芯绝缘导线和铜芯电缆线芯的最小截面面积，不应小于表</w:t>
      </w:r>
      <w:r>
        <w:rPr>
          <w:spacing w:val="-3"/>
          <w:sz w:val="21"/>
        </w:rPr>
        <w:t xml:space="preserve">11.1.2 </w:t>
      </w:r>
      <w:r>
        <w:rPr>
          <w:spacing w:val="-3"/>
          <w:sz w:val="21"/>
        </w:rPr>
        <w:t>的规定。</w:t>
      </w:r>
      <w:r>
        <w:rPr>
          <w:sz w:val="21"/>
        </w:rPr>
        <w:t xml:space="preserve"> </w:t>
      </w:r>
    </w:p>
    <w:p w14:paraId="69541512" w14:textId="77777777" w:rsidR="00A71EEF" w:rsidRDefault="0081115D">
      <w:pPr>
        <w:pStyle w:val="a3"/>
        <w:ind w:left="1168"/>
        <w:rPr>
          <w:sz w:val="20"/>
        </w:rPr>
      </w:pPr>
      <w:r>
        <w:rPr>
          <w:noProof/>
          <w:sz w:val="20"/>
        </w:rPr>
        <w:drawing>
          <wp:inline distT="0" distB="0" distL="0" distR="0" wp14:anchorId="20A587B5" wp14:editId="0953F11E">
            <wp:extent cx="4677976" cy="1463040"/>
            <wp:effectExtent l="0" t="0" r="0" b="0"/>
            <wp:docPr id="499" name="image2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image290.jpeg"/>
                    <pic:cNvPicPr/>
                  </pic:nvPicPr>
                  <pic:blipFill>
                    <a:blip r:embed="rId346" cstate="print"/>
                    <a:stretch>
                      <a:fillRect/>
                    </a:stretch>
                  </pic:blipFill>
                  <pic:spPr>
                    <a:xfrm>
                      <a:off x="0" y="0"/>
                      <a:ext cx="4677976" cy="1463040"/>
                    </a:xfrm>
                    <a:prstGeom prst="rect">
                      <a:avLst/>
                    </a:prstGeom>
                  </pic:spPr>
                </pic:pic>
              </a:graphicData>
            </a:graphic>
          </wp:inline>
        </w:drawing>
      </w:r>
    </w:p>
    <w:p w14:paraId="59B941AF" w14:textId="77777777" w:rsidR="00A71EEF" w:rsidRDefault="00A71EEF">
      <w:pPr>
        <w:pStyle w:val="a3"/>
        <w:rPr>
          <w:sz w:val="20"/>
        </w:rPr>
      </w:pPr>
    </w:p>
    <w:p w14:paraId="3319B0DD" w14:textId="77777777" w:rsidR="00A71EEF" w:rsidRDefault="00A71EEF">
      <w:pPr>
        <w:pStyle w:val="a3"/>
        <w:rPr>
          <w:sz w:val="20"/>
        </w:rPr>
      </w:pPr>
    </w:p>
    <w:p w14:paraId="7BA2E366" w14:textId="77777777" w:rsidR="00A71EEF" w:rsidRDefault="00A71EEF">
      <w:pPr>
        <w:pStyle w:val="a3"/>
        <w:spacing w:before="1"/>
        <w:rPr>
          <w:sz w:val="15"/>
        </w:rPr>
      </w:pPr>
    </w:p>
    <w:p w14:paraId="32FACD72" w14:textId="77777777" w:rsidR="00A71EEF" w:rsidRDefault="0081115D">
      <w:pPr>
        <w:pStyle w:val="a4"/>
        <w:numPr>
          <w:ilvl w:val="2"/>
          <w:numId w:val="327"/>
        </w:numPr>
        <w:tabs>
          <w:tab w:val="left" w:pos="1478"/>
        </w:tabs>
        <w:ind w:left="1477" w:hanging="638"/>
        <w:rPr>
          <w:b/>
          <w:sz w:val="21"/>
        </w:rPr>
      </w:pPr>
      <w:r>
        <w:rPr>
          <w:spacing w:val="-3"/>
          <w:sz w:val="21"/>
        </w:rPr>
        <w:t>火灾自动报警系统的供电线路和传输线路设置在室外时，应埋地敷设。</w:t>
      </w:r>
      <w:r>
        <w:rPr>
          <w:b/>
          <w:spacing w:val="-3"/>
          <w:w w:val="99"/>
          <w:sz w:val="21"/>
        </w:rPr>
        <w:t xml:space="preserve"> </w:t>
      </w:r>
    </w:p>
    <w:p w14:paraId="5AA85EF6" w14:textId="77777777" w:rsidR="00A71EEF" w:rsidRDefault="00A71EEF">
      <w:pPr>
        <w:pStyle w:val="a3"/>
        <w:spacing w:before="12"/>
        <w:rPr>
          <w:b/>
          <w:sz w:val="17"/>
        </w:rPr>
      </w:pPr>
    </w:p>
    <w:p w14:paraId="084FE753" w14:textId="77777777" w:rsidR="00A71EEF" w:rsidRDefault="0081115D">
      <w:pPr>
        <w:pStyle w:val="a4"/>
        <w:numPr>
          <w:ilvl w:val="2"/>
          <w:numId w:val="327"/>
        </w:numPr>
        <w:tabs>
          <w:tab w:val="left" w:pos="1478"/>
        </w:tabs>
        <w:ind w:left="1477" w:hanging="638"/>
        <w:rPr>
          <w:sz w:val="21"/>
        </w:rPr>
      </w:pPr>
      <w:r>
        <w:rPr>
          <w:spacing w:val="-3"/>
          <w:sz w:val="21"/>
        </w:rPr>
        <w:t>火灾自动报警系统的供电线路和传输线路设置在地</w:t>
      </w:r>
      <w:r>
        <w:rPr>
          <w:sz w:val="21"/>
        </w:rPr>
        <w:t>（</w:t>
      </w:r>
      <w:r>
        <w:rPr>
          <w:spacing w:val="-3"/>
          <w:sz w:val="21"/>
        </w:rPr>
        <w:t>水</w:t>
      </w:r>
      <w:r>
        <w:rPr>
          <w:sz w:val="21"/>
        </w:rPr>
        <w:t>）</w:t>
      </w:r>
      <w:r>
        <w:rPr>
          <w:spacing w:val="-3"/>
          <w:sz w:val="21"/>
        </w:rPr>
        <w:t>下隧道或湿度大于</w:t>
      </w:r>
      <w:r>
        <w:rPr>
          <w:spacing w:val="-3"/>
          <w:sz w:val="21"/>
        </w:rPr>
        <w:t xml:space="preserve"> </w:t>
      </w:r>
      <w:r>
        <w:rPr>
          <w:sz w:val="21"/>
        </w:rPr>
        <w:t xml:space="preserve">90% </w:t>
      </w:r>
    </w:p>
    <w:p w14:paraId="7C6A1A77" w14:textId="77777777" w:rsidR="00A71EEF" w:rsidRDefault="00A71EEF">
      <w:pPr>
        <w:pStyle w:val="a3"/>
        <w:spacing w:before="2"/>
        <w:rPr>
          <w:sz w:val="18"/>
        </w:rPr>
      </w:pPr>
    </w:p>
    <w:p w14:paraId="0D8633BB" w14:textId="77777777" w:rsidR="00A71EEF" w:rsidRDefault="0081115D">
      <w:pPr>
        <w:pStyle w:val="a3"/>
        <w:ind w:left="418"/>
        <w:rPr>
          <w:b/>
        </w:rPr>
      </w:pPr>
      <w:r>
        <w:t>的场所时，线路及接线处应做防水处理。</w:t>
      </w:r>
      <w:r>
        <w:rPr>
          <w:b/>
          <w:w w:val="99"/>
        </w:rPr>
        <w:t xml:space="preserve"> </w:t>
      </w:r>
    </w:p>
    <w:p w14:paraId="707B4102" w14:textId="77777777" w:rsidR="00A71EEF" w:rsidRDefault="00A71EEF">
      <w:pPr>
        <w:pStyle w:val="a3"/>
        <w:spacing w:before="12"/>
        <w:rPr>
          <w:b/>
          <w:sz w:val="17"/>
        </w:rPr>
      </w:pPr>
    </w:p>
    <w:p w14:paraId="4379CCC8" w14:textId="77777777" w:rsidR="00A71EEF" w:rsidRDefault="0081115D">
      <w:pPr>
        <w:pStyle w:val="a4"/>
        <w:numPr>
          <w:ilvl w:val="2"/>
          <w:numId w:val="327"/>
        </w:numPr>
        <w:tabs>
          <w:tab w:val="left" w:pos="1478"/>
        </w:tabs>
        <w:ind w:left="1477" w:hanging="638"/>
        <w:rPr>
          <w:sz w:val="21"/>
        </w:rPr>
      </w:pPr>
      <w:r>
        <w:rPr>
          <w:spacing w:val="-3"/>
          <w:sz w:val="21"/>
        </w:rPr>
        <w:t>采用无线通信方式的系统设计，应符合下列规定：</w:t>
      </w:r>
      <w:r>
        <w:rPr>
          <w:sz w:val="21"/>
        </w:rPr>
        <w:t xml:space="preserve"> </w:t>
      </w:r>
    </w:p>
    <w:p w14:paraId="32B1F397" w14:textId="77777777" w:rsidR="00A71EEF" w:rsidRDefault="00A71EEF">
      <w:pPr>
        <w:pStyle w:val="a3"/>
        <w:rPr>
          <w:sz w:val="18"/>
        </w:rPr>
      </w:pPr>
    </w:p>
    <w:p w14:paraId="6FDAC703" w14:textId="77777777" w:rsidR="00A71EEF" w:rsidRDefault="0081115D">
      <w:pPr>
        <w:pStyle w:val="a4"/>
        <w:numPr>
          <w:ilvl w:val="0"/>
          <w:numId w:val="326"/>
        </w:numPr>
        <w:tabs>
          <w:tab w:val="left" w:pos="1367"/>
        </w:tabs>
        <w:rPr>
          <w:sz w:val="21"/>
        </w:rPr>
      </w:pPr>
      <w:r>
        <w:rPr>
          <w:spacing w:val="-3"/>
          <w:sz w:val="21"/>
        </w:rPr>
        <w:t>无线通信模块的设置间距不应大于额定通信距离的</w:t>
      </w:r>
      <w:r>
        <w:rPr>
          <w:spacing w:val="-3"/>
          <w:sz w:val="21"/>
        </w:rPr>
        <w:t xml:space="preserve"> </w:t>
      </w:r>
      <w:r>
        <w:rPr>
          <w:sz w:val="21"/>
        </w:rPr>
        <w:t>75%</w:t>
      </w:r>
      <w:r>
        <w:rPr>
          <w:spacing w:val="-3"/>
          <w:sz w:val="21"/>
        </w:rPr>
        <w:t xml:space="preserve"> </w:t>
      </w:r>
      <w:r>
        <w:rPr>
          <w:spacing w:val="-3"/>
          <w:sz w:val="21"/>
        </w:rPr>
        <w:t>。</w:t>
      </w:r>
      <w:r>
        <w:rPr>
          <w:sz w:val="21"/>
        </w:rPr>
        <w:t xml:space="preserve"> </w:t>
      </w:r>
    </w:p>
    <w:p w14:paraId="3711B228" w14:textId="77777777" w:rsidR="00A71EEF" w:rsidRDefault="00A71EEF">
      <w:pPr>
        <w:pStyle w:val="a3"/>
        <w:spacing w:before="2"/>
        <w:rPr>
          <w:sz w:val="18"/>
        </w:rPr>
      </w:pPr>
    </w:p>
    <w:p w14:paraId="3CEC69F2" w14:textId="77777777" w:rsidR="00A71EEF" w:rsidRDefault="0081115D">
      <w:pPr>
        <w:pStyle w:val="a4"/>
        <w:numPr>
          <w:ilvl w:val="0"/>
          <w:numId w:val="326"/>
        </w:numPr>
        <w:tabs>
          <w:tab w:val="left" w:pos="1367"/>
          <w:tab w:val="left" w:pos="1677"/>
        </w:tabs>
        <w:spacing w:line="446" w:lineRule="auto"/>
        <w:ind w:left="840" w:right="4343" w:hanging="3"/>
        <w:rPr>
          <w:b/>
          <w:sz w:val="21"/>
        </w:rPr>
      </w:pPr>
      <w:r>
        <w:rPr>
          <w:sz w:val="21"/>
        </w:rPr>
        <w:t>无</w:t>
      </w:r>
      <w:r>
        <w:rPr>
          <w:spacing w:val="-3"/>
          <w:sz w:val="21"/>
        </w:rPr>
        <w:t>线</w:t>
      </w:r>
      <w:r>
        <w:rPr>
          <w:sz w:val="21"/>
        </w:rPr>
        <w:t>通</w:t>
      </w:r>
      <w:r>
        <w:rPr>
          <w:spacing w:val="-3"/>
          <w:sz w:val="21"/>
        </w:rPr>
        <w:t>信</w:t>
      </w:r>
      <w:r>
        <w:rPr>
          <w:sz w:val="21"/>
        </w:rPr>
        <w:t>模</w:t>
      </w:r>
      <w:r>
        <w:rPr>
          <w:spacing w:val="-3"/>
          <w:sz w:val="21"/>
        </w:rPr>
        <w:t>块</w:t>
      </w:r>
      <w:r>
        <w:rPr>
          <w:sz w:val="21"/>
        </w:rPr>
        <w:t>应</w:t>
      </w:r>
      <w:r>
        <w:rPr>
          <w:spacing w:val="-3"/>
          <w:sz w:val="21"/>
        </w:rPr>
        <w:t>设置</w:t>
      </w:r>
      <w:r>
        <w:rPr>
          <w:sz w:val="21"/>
        </w:rPr>
        <w:t>在明</w:t>
      </w:r>
      <w:r>
        <w:rPr>
          <w:spacing w:val="-3"/>
          <w:sz w:val="21"/>
        </w:rPr>
        <w:t>显</w:t>
      </w:r>
      <w:r>
        <w:rPr>
          <w:sz w:val="21"/>
        </w:rPr>
        <w:t>部</w:t>
      </w:r>
      <w:r>
        <w:rPr>
          <w:spacing w:val="-3"/>
          <w:sz w:val="21"/>
        </w:rPr>
        <w:t>位</w:t>
      </w:r>
      <w:r>
        <w:rPr>
          <w:sz w:val="21"/>
        </w:rPr>
        <w:t>，</w:t>
      </w:r>
      <w:r>
        <w:rPr>
          <w:spacing w:val="-3"/>
          <w:sz w:val="21"/>
        </w:rPr>
        <w:t>且</w:t>
      </w:r>
      <w:r>
        <w:rPr>
          <w:sz w:val="21"/>
        </w:rPr>
        <w:t>应</w:t>
      </w:r>
      <w:r>
        <w:rPr>
          <w:spacing w:val="-3"/>
          <w:sz w:val="21"/>
        </w:rPr>
        <w:t>有</w:t>
      </w:r>
      <w:r>
        <w:rPr>
          <w:sz w:val="21"/>
        </w:rPr>
        <w:t>明</w:t>
      </w:r>
      <w:r>
        <w:rPr>
          <w:spacing w:val="-3"/>
          <w:sz w:val="21"/>
        </w:rPr>
        <w:t>显</w:t>
      </w:r>
      <w:r>
        <w:rPr>
          <w:sz w:val="21"/>
        </w:rPr>
        <w:t>标识</w:t>
      </w:r>
      <w:r>
        <w:rPr>
          <w:spacing w:val="-3"/>
          <w:sz w:val="21"/>
        </w:rPr>
        <w:t>。</w:t>
      </w:r>
      <w:r>
        <w:rPr>
          <w:b/>
          <w:sz w:val="21"/>
        </w:rPr>
        <w:t>11.2</w:t>
      </w:r>
      <w:r>
        <w:rPr>
          <w:b/>
          <w:sz w:val="21"/>
        </w:rPr>
        <w:tab/>
      </w:r>
      <w:r>
        <w:rPr>
          <w:b/>
          <w:sz w:val="21"/>
        </w:rPr>
        <w:tab/>
      </w:r>
      <w:r>
        <w:rPr>
          <w:sz w:val="21"/>
        </w:rPr>
        <w:t>室内</w:t>
      </w:r>
      <w:r>
        <w:rPr>
          <w:spacing w:val="-3"/>
          <w:sz w:val="21"/>
        </w:rPr>
        <w:t>布线</w:t>
      </w:r>
      <w:r>
        <w:rPr>
          <w:b/>
          <w:w w:val="99"/>
          <w:sz w:val="21"/>
        </w:rPr>
        <w:t xml:space="preserve"> </w:t>
      </w:r>
    </w:p>
    <w:p w14:paraId="54A93258" w14:textId="77777777" w:rsidR="00A71EEF" w:rsidRDefault="0081115D">
      <w:pPr>
        <w:pStyle w:val="a4"/>
        <w:numPr>
          <w:ilvl w:val="2"/>
          <w:numId w:val="325"/>
        </w:numPr>
        <w:tabs>
          <w:tab w:val="left" w:pos="1478"/>
        </w:tabs>
        <w:spacing w:line="446" w:lineRule="auto"/>
        <w:ind w:right="1431" w:firstLine="422"/>
        <w:jc w:val="both"/>
        <w:rPr>
          <w:sz w:val="21"/>
        </w:rPr>
      </w:pPr>
      <w:r>
        <w:rPr>
          <w:spacing w:val="-3"/>
          <w:sz w:val="21"/>
        </w:rPr>
        <w:t>火灾自动报警系统的传输线路应采用金属管、可挠</w:t>
      </w:r>
      <w:r>
        <w:rPr>
          <w:sz w:val="21"/>
        </w:rPr>
        <w:t>（</w:t>
      </w:r>
      <w:r>
        <w:rPr>
          <w:spacing w:val="-2"/>
          <w:sz w:val="21"/>
        </w:rPr>
        <w:t>金属</w:t>
      </w:r>
      <w:r>
        <w:rPr>
          <w:spacing w:val="-3"/>
          <w:sz w:val="21"/>
        </w:rPr>
        <w:t>）电气导管、</w:t>
      </w:r>
      <w:r>
        <w:rPr>
          <w:sz w:val="21"/>
        </w:rPr>
        <w:t>B1</w:t>
      </w:r>
      <w:r>
        <w:rPr>
          <w:spacing w:val="12"/>
          <w:sz w:val="21"/>
        </w:rPr>
        <w:t xml:space="preserve">  </w:t>
      </w:r>
      <w:r>
        <w:rPr>
          <w:spacing w:val="12"/>
          <w:sz w:val="21"/>
        </w:rPr>
        <w:t>级以上</w:t>
      </w:r>
      <w:r>
        <w:rPr>
          <w:spacing w:val="-3"/>
          <w:sz w:val="21"/>
        </w:rPr>
        <w:t>的钢性塑料管或封闭式线槽保护。</w:t>
      </w:r>
      <w:r>
        <w:rPr>
          <w:sz w:val="21"/>
        </w:rPr>
        <w:t xml:space="preserve"> </w:t>
      </w:r>
      <w:r>
        <w:rPr>
          <w:spacing w:val="-2"/>
          <w:sz w:val="21"/>
        </w:rPr>
        <w:t xml:space="preserve"> </w:t>
      </w:r>
      <w:r>
        <w:rPr>
          <w:sz w:val="21"/>
        </w:rPr>
        <w:t xml:space="preserve">  </w:t>
      </w:r>
    </w:p>
    <w:p w14:paraId="79FD341B" w14:textId="77777777" w:rsidR="00A71EEF" w:rsidRDefault="0081115D">
      <w:pPr>
        <w:pStyle w:val="a4"/>
        <w:numPr>
          <w:ilvl w:val="2"/>
          <w:numId w:val="325"/>
        </w:numPr>
        <w:tabs>
          <w:tab w:val="left" w:pos="1478"/>
        </w:tabs>
        <w:spacing w:line="446" w:lineRule="auto"/>
        <w:ind w:right="1434" w:firstLine="422"/>
        <w:jc w:val="both"/>
        <w:rPr>
          <w:sz w:val="21"/>
        </w:rPr>
      </w:pPr>
      <w:r>
        <w:rPr>
          <w:spacing w:val="-3"/>
          <w:sz w:val="21"/>
        </w:rPr>
        <w:t>火灾自动报警系统的供电线路、消防联动控制线路应采用耐火铜芯电线电缆，报警</w:t>
      </w:r>
      <w:r>
        <w:rPr>
          <w:spacing w:val="-3"/>
          <w:sz w:val="21"/>
        </w:rPr>
        <w:t xml:space="preserve"> </w:t>
      </w:r>
      <w:r>
        <w:rPr>
          <w:spacing w:val="-3"/>
          <w:sz w:val="21"/>
        </w:rPr>
        <w:t>总线、消防应急广播和消防专用电话等传输线路应采用阻燃或阻燃耐火电线电缆。</w:t>
      </w:r>
      <w:r>
        <w:rPr>
          <w:sz w:val="21"/>
        </w:rPr>
        <w:t xml:space="preserve"> </w:t>
      </w:r>
    </w:p>
    <w:p w14:paraId="01C4DD5C" w14:textId="77777777" w:rsidR="00A71EEF" w:rsidRDefault="0081115D">
      <w:pPr>
        <w:pStyle w:val="a4"/>
        <w:numPr>
          <w:ilvl w:val="2"/>
          <w:numId w:val="325"/>
        </w:numPr>
        <w:tabs>
          <w:tab w:val="left" w:pos="1479"/>
        </w:tabs>
        <w:spacing w:line="446" w:lineRule="auto"/>
        <w:ind w:right="1431" w:firstLine="422"/>
        <w:jc w:val="both"/>
        <w:rPr>
          <w:sz w:val="21"/>
        </w:rPr>
      </w:pPr>
      <w:r>
        <w:rPr>
          <w:spacing w:val="-3"/>
          <w:sz w:val="21"/>
        </w:rPr>
        <w:t>线路暗敷设时，应采用金属管、可挠（</w:t>
      </w:r>
      <w:r>
        <w:rPr>
          <w:spacing w:val="-2"/>
          <w:sz w:val="21"/>
        </w:rPr>
        <w:t>金属</w:t>
      </w:r>
      <w:r>
        <w:rPr>
          <w:sz w:val="21"/>
        </w:rPr>
        <w:t>）</w:t>
      </w:r>
      <w:r>
        <w:rPr>
          <w:spacing w:val="3"/>
          <w:sz w:val="21"/>
        </w:rPr>
        <w:t>电气导管或</w:t>
      </w:r>
      <w:r>
        <w:rPr>
          <w:spacing w:val="3"/>
          <w:sz w:val="21"/>
        </w:rPr>
        <w:t xml:space="preserve"> </w:t>
      </w:r>
      <w:r>
        <w:rPr>
          <w:sz w:val="21"/>
        </w:rPr>
        <w:t xml:space="preserve">B1 </w:t>
      </w:r>
      <w:r>
        <w:rPr>
          <w:sz w:val="21"/>
        </w:rPr>
        <w:t>级以上的刚性塑料管</w:t>
      </w:r>
      <w:r>
        <w:rPr>
          <w:spacing w:val="-5"/>
          <w:sz w:val="21"/>
        </w:rPr>
        <w:t>保护，并应敷设在不燃烧体的结构层内，且保护层厚度不宜小于</w:t>
      </w:r>
      <w:r>
        <w:rPr>
          <w:spacing w:val="-5"/>
          <w:sz w:val="21"/>
        </w:rPr>
        <w:t xml:space="preserve"> </w:t>
      </w:r>
      <w:r>
        <w:rPr>
          <w:sz w:val="21"/>
        </w:rPr>
        <w:t xml:space="preserve">30mm </w:t>
      </w:r>
      <w:r>
        <w:rPr>
          <w:sz w:val="21"/>
        </w:rPr>
        <w:t>；线路明敷设时，应采用</w:t>
      </w:r>
      <w:r>
        <w:rPr>
          <w:spacing w:val="8"/>
          <w:sz w:val="21"/>
        </w:rPr>
        <w:t>金属管、可挠</w:t>
      </w:r>
      <w:r>
        <w:rPr>
          <w:spacing w:val="6"/>
          <w:sz w:val="21"/>
        </w:rPr>
        <w:t>（</w:t>
      </w:r>
      <w:r>
        <w:rPr>
          <w:spacing w:val="9"/>
          <w:sz w:val="21"/>
        </w:rPr>
        <w:t>金属</w:t>
      </w:r>
      <w:r>
        <w:rPr>
          <w:spacing w:val="6"/>
          <w:sz w:val="21"/>
        </w:rPr>
        <w:t>）</w:t>
      </w:r>
      <w:r>
        <w:rPr>
          <w:spacing w:val="5"/>
          <w:sz w:val="21"/>
        </w:rPr>
        <w:t>电气导管或金属封闭线槽保护。矿物绝缘类不燃性电缆可直接明敷。</w:t>
      </w:r>
    </w:p>
    <w:p w14:paraId="786CB51C" w14:textId="77777777" w:rsidR="00A71EEF" w:rsidRDefault="00A71EEF">
      <w:pPr>
        <w:pStyle w:val="a3"/>
        <w:rPr>
          <w:sz w:val="20"/>
        </w:rPr>
      </w:pPr>
    </w:p>
    <w:p w14:paraId="7D6CF732" w14:textId="77777777" w:rsidR="00A71EEF" w:rsidRDefault="00A71EEF">
      <w:pPr>
        <w:pStyle w:val="a3"/>
        <w:spacing w:before="9"/>
        <w:rPr>
          <w:sz w:val="18"/>
        </w:rPr>
      </w:pPr>
    </w:p>
    <w:p w14:paraId="58542C07" w14:textId="77777777" w:rsidR="00A71EEF" w:rsidRDefault="0081115D">
      <w:pPr>
        <w:pStyle w:val="a4"/>
        <w:numPr>
          <w:ilvl w:val="2"/>
          <w:numId w:val="325"/>
        </w:numPr>
        <w:tabs>
          <w:tab w:val="left" w:pos="1478"/>
        </w:tabs>
        <w:spacing w:line="446" w:lineRule="auto"/>
        <w:ind w:right="1433" w:firstLine="422"/>
        <w:jc w:val="both"/>
        <w:rPr>
          <w:sz w:val="21"/>
        </w:rPr>
      </w:pPr>
      <w:r>
        <w:rPr>
          <w:spacing w:val="-3"/>
          <w:sz w:val="21"/>
        </w:rPr>
        <w:t>火灾自动报警系统用的电缆竖井，宜与电力、照明用的低压配电线路电缆竖井分别</w:t>
      </w:r>
      <w:r>
        <w:rPr>
          <w:spacing w:val="-3"/>
          <w:sz w:val="21"/>
        </w:rPr>
        <w:t xml:space="preserve"> </w:t>
      </w:r>
      <w:r>
        <w:rPr>
          <w:spacing w:val="-7"/>
          <w:sz w:val="21"/>
        </w:rPr>
        <w:t>设置。受条件限制必须合用时，应将火灾</w:t>
      </w:r>
      <w:r>
        <w:rPr>
          <w:spacing w:val="-7"/>
          <w:sz w:val="21"/>
        </w:rPr>
        <w:t>自动报警系统用的电缆和电力、照明用的低压配电线路</w:t>
      </w:r>
      <w:r>
        <w:rPr>
          <w:spacing w:val="-5"/>
          <w:sz w:val="21"/>
        </w:rPr>
        <w:t>电缆分别布置在竖井的两侧。</w:t>
      </w:r>
      <w:r>
        <w:rPr>
          <w:sz w:val="21"/>
        </w:rPr>
        <w:t xml:space="preserve"> </w:t>
      </w:r>
      <w:r>
        <w:rPr>
          <w:spacing w:val="-2"/>
          <w:sz w:val="21"/>
        </w:rPr>
        <w:t xml:space="preserve"> </w:t>
      </w:r>
      <w:r>
        <w:rPr>
          <w:sz w:val="21"/>
        </w:rPr>
        <w:t xml:space="preserve">  </w:t>
      </w:r>
    </w:p>
    <w:p w14:paraId="3029F3EB" w14:textId="77777777" w:rsidR="00A71EEF" w:rsidRDefault="0081115D">
      <w:pPr>
        <w:pStyle w:val="a4"/>
        <w:numPr>
          <w:ilvl w:val="2"/>
          <w:numId w:val="325"/>
        </w:numPr>
        <w:tabs>
          <w:tab w:val="left" w:pos="1478"/>
        </w:tabs>
        <w:spacing w:line="268" w:lineRule="exact"/>
        <w:ind w:left="1477" w:hanging="638"/>
        <w:jc w:val="both"/>
        <w:rPr>
          <w:sz w:val="21"/>
        </w:rPr>
      </w:pPr>
      <w:r>
        <w:rPr>
          <w:spacing w:val="-3"/>
          <w:sz w:val="21"/>
        </w:rPr>
        <w:t>不同电压等级的线缆不应穿入同一根保护管内，当合用同一线槽时，线槽内应有隔</w:t>
      </w:r>
    </w:p>
    <w:p w14:paraId="547F3D03" w14:textId="77777777" w:rsidR="00A71EEF" w:rsidRDefault="00A71EEF">
      <w:pPr>
        <w:spacing w:line="268" w:lineRule="exact"/>
        <w:jc w:val="both"/>
        <w:rPr>
          <w:sz w:val="21"/>
        </w:rPr>
        <w:sectPr w:rsidR="00A71EEF">
          <w:pgSz w:w="11910" w:h="16850"/>
          <w:pgMar w:top="1220" w:right="0" w:bottom="1420" w:left="1260" w:header="0" w:footer="1239" w:gutter="0"/>
          <w:cols w:space="720"/>
        </w:sectPr>
      </w:pPr>
    </w:p>
    <w:p w14:paraId="3054703C" w14:textId="77777777" w:rsidR="00A71EEF" w:rsidRDefault="0081115D">
      <w:pPr>
        <w:pStyle w:val="a3"/>
        <w:spacing w:before="47"/>
        <w:ind w:left="418"/>
      </w:pPr>
      <w:r>
        <w:t>板分隔。</w:t>
      </w:r>
      <w:r>
        <w:t xml:space="preserve"> </w:t>
      </w:r>
    </w:p>
    <w:p w14:paraId="326286F6" w14:textId="77777777" w:rsidR="00A71EEF" w:rsidRDefault="00A71EEF">
      <w:pPr>
        <w:pStyle w:val="a3"/>
        <w:rPr>
          <w:sz w:val="18"/>
        </w:rPr>
      </w:pPr>
    </w:p>
    <w:p w14:paraId="08E06B0E" w14:textId="77777777" w:rsidR="00A71EEF" w:rsidRDefault="0081115D">
      <w:pPr>
        <w:pStyle w:val="a4"/>
        <w:numPr>
          <w:ilvl w:val="2"/>
          <w:numId w:val="325"/>
        </w:numPr>
        <w:tabs>
          <w:tab w:val="left" w:pos="1478"/>
        </w:tabs>
        <w:ind w:left="1477" w:hanging="638"/>
        <w:rPr>
          <w:sz w:val="21"/>
        </w:rPr>
      </w:pPr>
      <w:r>
        <w:rPr>
          <w:spacing w:val="-3"/>
          <w:sz w:val="21"/>
        </w:rPr>
        <w:t>采用穿管水平敷设时，除报警总线外，不同防火分区的线路不应穿入同一根管内。</w:t>
      </w:r>
      <w:r>
        <w:rPr>
          <w:spacing w:val="-3"/>
          <w:sz w:val="21"/>
        </w:rPr>
        <w:t xml:space="preserve"> </w:t>
      </w:r>
      <w:r>
        <w:rPr>
          <w:sz w:val="21"/>
        </w:rPr>
        <w:t xml:space="preserve"> </w:t>
      </w:r>
    </w:p>
    <w:p w14:paraId="2477A9D7" w14:textId="77777777" w:rsidR="00A71EEF" w:rsidRDefault="00A71EEF">
      <w:pPr>
        <w:pStyle w:val="a3"/>
        <w:rPr>
          <w:sz w:val="18"/>
        </w:rPr>
      </w:pPr>
    </w:p>
    <w:p w14:paraId="1DBB67F6" w14:textId="77777777" w:rsidR="00A71EEF" w:rsidRDefault="0081115D">
      <w:pPr>
        <w:pStyle w:val="a4"/>
        <w:numPr>
          <w:ilvl w:val="2"/>
          <w:numId w:val="325"/>
        </w:numPr>
        <w:tabs>
          <w:tab w:val="left" w:pos="1478"/>
        </w:tabs>
        <w:spacing w:line="446" w:lineRule="auto"/>
        <w:ind w:right="1431" w:firstLine="422"/>
        <w:jc w:val="both"/>
        <w:rPr>
          <w:sz w:val="21"/>
        </w:rPr>
      </w:pPr>
      <w:r>
        <w:rPr>
          <w:spacing w:val="-13"/>
          <w:sz w:val="21"/>
        </w:rPr>
        <w:t>从接线盒、线槽等处引到探测器底座盒、控制设备盒、扬声器箱的线路，均应加金属</w:t>
      </w:r>
      <w:r>
        <w:rPr>
          <w:spacing w:val="-6"/>
          <w:sz w:val="21"/>
        </w:rPr>
        <w:t>保护管</w:t>
      </w:r>
      <w:r>
        <w:rPr>
          <w:spacing w:val="-6"/>
          <w:sz w:val="21"/>
        </w:rPr>
        <w:t xml:space="preserve"> </w:t>
      </w:r>
      <w:r>
        <w:rPr>
          <w:spacing w:val="-6"/>
          <w:sz w:val="21"/>
        </w:rPr>
        <w:t>保护。</w:t>
      </w:r>
      <w:r>
        <w:rPr>
          <w:sz w:val="21"/>
        </w:rPr>
        <w:t xml:space="preserve">  </w:t>
      </w:r>
      <w:r>
        <w:rPr>
          <w:spacing w:val="-2"/>
          <w:sz w:val="21"/>
        </w:rPr>
        <w:t xml:space="preserve"> </w:t>
      </w:r>
      <w:r>
        <w:rPr>
          <w:sz w:val="21"/>
        </w:rPr>
        <w:t xml:space="preserve">  </w:t>
      </w:r>
      <w:r>
        <w:rPr>
          <w:sz w:val="21"/>
        </w:rPr>
        <w:t xml:space="preserve"> </w:t>
      </w:r>
      <w:r>
        <w:rPr>
          <w:spacing w:val="-2"/>
          <w:sz w:val="21"/>
        </w:rPr>
        <w:t xml:space="preserve"> </w:t>
      </w:r>
      <w:r>
        <w:rPr>
          <w:sz w:val="21"/>
        </w:rPr>
        <w:t xml:space="preserve">  </w:t>
      </w:r>
    </w:p>
    <w:p w14:paraId="39900D74" w14:textId="77777777" w:rsidR="00A71EEF" w:rsidRDefault="0081115D">
      <w:pPr>
        <w:pStyle w:val="a4"/>
        <w:numPr>
          <w:ilvl w:val="2"/>
          <w:numId w:val="325"/>
        </w:numPr>
        <w:tabs>
          <w:tab w:val="left" w:pos="1478"/>
        </w:tabs>
        <w:spacing w:line="446" w:lineRule="auto"/>
        <w:ind w:right="1433" w:firstLine="422"/>
        <w:jc w:val="both"/>
        <w:rPr>
          <w:sz w:val="21"/>
        </w:rPr>
      </w:pPr>
      <w:r>
        <w:rPr>
          <w:spacing w:val="-3"/>
          <w:sz w:val="21"/>
        </w:rPr>
        <w:t>火灾探测器的传输线路，宜选择不同颜色的绝缘导线或电缆。正极</w:t>
      </w:r>
      <w:r>
        <w:rPr>
          <w:spacing w:val="-3"/>
          <w:sz w:val="21"/>
        </w:rPr>
        <w:t>―</w:t>
      </w:r>
      <w:r>
        <w:rPr>
          <w:spacing w:val="-3"/>
          <w:sz w:val="21"/>
        </w:rPr>
        <w:t>十</w:t>
      </w:r>
      <w:r>
        <w:rPr>
          <w:spacing w:val="-3"/>
          <w:sz w:val="21"/>
        </w:rPr>
        <w:t>‖</w:t>
      </w:r>
      <w:r>
        <w:rPr>
          <w:spacing w:val="-3"/>
          <w:sz w:val="21"/>
        </w:rPr>
        <w:t>线应为红</w:t>
      </w:r>
      <w:r>
        <w:rPr>
          <w:spacing w:val="-3"/>
          <w:sz w:val="21"/>
        </w:rPr>
        <w:t xml:space="preserve"> </w:t>
      </w:r>
      <w:r>
        <w:rPr>
          <w:spacing w:val="-1"/>
          <w:sz w:val="21"/>
        </w:rPr>
        <w:t>色，负极</w:t>
      </w:r>
      <w:r>
        <w:rPr>
          <w:spacing w:val="-1"/>
          <w:sz w:val="21"/>
        </w:rPr>
        <w:t>―</w:t>
      </w:r>
      <w:r>
        <w:rPr>
          <w:spacing w:val="-1"/>
          <w:sz w:val="21"/>
        </w:rPr>
        <w:t>一</w:t>
      </w:r>
      <w:r>
        <w:rPr>
          <w:spacing w:val="-1"/>
          <w:sz w:val="21"/>
        </w:rPr>
        <w:t xml:space="preserve">‖ </w:t>
      </w:r>
      <w:r>
        <w:rPr>
          <w:spacing w:val="-1"/>
          <w:sz w:val="21"/>
        </w:rPr>
        <w:t>线应为蓝色或黑色。同一工程中相同用途导线的颜色应一致，接线端子应有标</w:t>
      </w:r>
      <w:r>
        <w:rPr>
          <w:spacing w:val="-2"/>
          <w:sz w:val="21"/>
        </w:rPr>
        <w:t>号。</w:t>
      </w:r>
      <w:r>
        <w:rPr>
          <w:sz w:val="21"/>
        </w:rPr>
        <w:t xml:space="preserve">   </w:t>
      </w:r>
      <w:r>
        <w:rPr>
          <w:spacing w:val="-1"/>
          <w:sz w:val="21"/>
        </w:rPr>
        <w:t xml:space="preserve"> </w:t>
      </w:r>
      <w:r>
        <w:rPr>
          <w:sz w:val="21"/>
        </w:rPr>
        <w:t xml:space="preserve">  </w:t>
      </w:r>
    </w:p>
    <w:p w14:paraId="6660E0BF" w14:textId="77777777" w:rsidR="00A71EEF" w:rsidRDefault="0081115D">
      <w:pPr>
        <w:pStyle w:val="4"/>
        <w:spacing w:line="277" w:lineRule="exact"/>
      </w:pPr>
      <w:r>
        <w:t xml:space="preserve">12 </w:t>
      </w:r>
      <w:r>
        <w:t>典型场所的火灾自动报警系统</w:t>
      </w:r>
      <w:r>
        <w:rPr>
          <w:w w:val="99"/>
        </w:rPr>
        <w:t xml:space="preserve"> </w:t>
      </w:r>
    </w:p>
    <w:p w14:paraId="2D9AF5C6" w14:textId="77777777" w:rsidR="00A71EEF" w:rsidRDefault="00A71EEF">
      <w:pPr>
        <w:pStyle w:val="a3"/>
        <w:spacing w:before="3"/>
        <w:rPr>
          <w:b/>
          <w:sz w:val="17"/>
        </w:rPr>
      </w:pPr>
    </w:p>
    <w:p w14:paraId="2CD38678" w14:textId="77777777" w:rsidR="00A71EEF" w:rsidRDefault="0081115D">
      <w:pPr>
        <w:pStyle w:val="a4"/>
        <w:numPr>
          <w:ilvl w:val="1"/>
          <w:numId w:val="324"/>
        </w:numPr>
        <w:tabs>
          <w:tab w:val="left" w:pos="1318"/>
        </w:tabs>
        <w:jc w:val="both"/>
        <w:rPr>
          <w:sz w:val="21"/>
        </w:rPr>
      </w:pPr>
      <w:r>
        <w:rPr>
          <w:spacing w:val="-3"/>
          <w:sz w:val="21"/>
        </w:rPr>
        <w:t>道路隧道</w:t>
      </w:r>
      <w:r>
        <w:rPr>
          <w:sz w:val="21"/>
        </w:rPr>
        <w:t xml:space="preserve"> </w:t>
      </w:r>
    </w:p>
    <w:p w14:paraId="49DA85C1" w14:textId="77777777" w:rsidR="00A71EEF" w:rsidRDefault="00A71EEF">
      <w:pPr>
        <w:pStyle w:val="a3"/>
        <w:spacing w:before="2"/>
        <w:rPr>
          <w:sz w:val="18"/>
        </w:rPr>
      </w:pPr>
    </w:p>
    <w:p w14:paraId="5F4A26FC" w14:textId="77777777" w:rsidR="00A71EEF" w:rsidRDefault="0081115D">
      <w:pPr>
        <w:pStyle w:val="a4"/>
        <w:numPr>
          <w:ilvl w:val="2"/>
          <w:numId w:val="324"/>
        </w:numPr>
        <w:tabs>
          <w:tab w:val="left" w:pos="1478"/>
        </w:tabs>
        <w:spacing w:line="446" w:lineRule="auto"/>
        <w:ind w:right="1433" w:firstLine="422"/>
        <w:jc w:val="both"/>
        <w:rPr>
          <w:sz w:val="21"/>
        </w:rPr>
      </w:pPr>
      <w:r>
        <w:rPr>
          <w:spacing w:val="-3"/>
          <w:sz w:val="21"/>
        </w:rPr>
        <w:t>城市道路隧道、特长双向公路隧道和道路中的水底隧道，应同时采用线型光纤感温</w:t>
      </w:r>
      <w:r>
        <w:rPr>
          <w:spacing w:val="-3"/>
          <w:sz w:val="21"/>
        </w:rPr>
        <w:t xml:space="preserve"> </w:t>
      </w:r>
      <w:r>
        <w:rPr>
          <w:spacing w:val="-4"/>
          <w:sz w:val="21"/>
        </w:rPr>
        <w:t>火灾探测</w:t>
      </w:r>
      <w:r>
        <w:rPr>
          <w:spacing w:val="-4"/>
          <w:sz w:val="21"/>
        </w:rPr>
        <w:t xml:space="preserve"> </w:t>
      </w:r>
      <w:r>
        <w:rPr>
          <w:spacing w:val="-4"/>
          <w:sz w:val="21"/>
        </w:rPr>
        <w:t>器和点型红外火焰探测器</w:t>
      </w:r>
      <w:r>
        <w:rPr>
          <w:sz w:val="21"/>
        </w:rPr>
        <w:t>（</w:t>
      </w:r>
      <w:r>
        <w:rPr>
          <w:spacing w:val="-5"/>
          <w:sz w:val="21"/>
        </w:rPr>
        <w:t>或图像型火灾探测器</w:t>
      </w:r>
      <w:r>
        <w:rPr>
          <w:spacing w:val="-5"/>
          <w:sz w:val="21"/>
        </w:rPr>
        <w:t>)</w:t>
      </w:r>
      <w:r>
        <w:rPr>
          <w:spacing w:val="-5"/>
          <w:sz w:val="21"/>
        </w:rPr>
        <w:t>；其他公路隧道应采用线型光纤感温</w:t>
      </w:r>
      <w:r>
        <w:rPr>
          <w:spacing w:val="-4"/>
          <w:sz w:val="21"/>
        </w:rPr>
        <w:t>火灾探测器或</w:t>
      </w:r>
      <w:r>
        <w:rPr>
          <w:spacing w:val="-4"/>
          <w:sz w:val="21"/>
        </w:rPr>
        <w:t xml:space="preserve"> </w:t>
      </w:r>
      <w:r>
        <w:rPr>
          <w:spacing w:val="-4"/>
          <w:sz w:val="21"/>
        </w:rPr>
        <w:t>点型红外火掐探测器。</w:t>
      </w:r>
      <w:r>
        <w:rPr>
          <w:sz w:val="21"/>
        </w:rPr>
        <w:t xml:space="preserve">  </w:t>
      </w:r>
      <w:r>
        <w:rPr>
          <w:spacing w:val="-2"/>
          <w:sz w:val="21"/>
        </w:rPr>
        <w:t xml:space="preserve"> </w:t>
      </w:r>
      <w:r>
        <w:rPr>
          <w:sz w:val="21"/>
        </w:rPr>
        <w:t xml:space="preserve">  </w:t>
      </w:r>
      <w:r>
        <w:rPr>
          <w:sz w:val="21"/>
        </w:rPr>
        <w:t xml:space="preserve"> </w:t>
      </w:r>
      <w:r>
        <w:rPr>
          <w:spacing w:val="-2"/>
          <w:sz w:val="21"/>
        </w:rPr>
        <w:t xml:space="preserve"> </w:t>
      </w:r>
      <w:r>
        <w:rPr>
          <w:sz w:val="21"/>
        </w:rPr>
        <w:t xml:space="preserve">  </w:t>
      </w:r>
      <w:r>
        <w:rPr>
          <w:sz w:val="21"/>
        </w:rPr>
        <w:t xml:space="preserve"> </w:t>
      </w:r>
      <w:r>
        <w:rPr>
          <w:spacing w:val="-2"/>
          <w:sz w:val="21"/>
        </w:rPr>
        <w:t xml:space="preserve"> </w:t>
      </w:r>
      <w:r>
        <w:rPr>
          <w:sz w:val="21"/>
        </w:rPr>
        <w:t xml:space="preserve">  </w:t>
      </w:r>
    </w:p>
    <w:p w14:paraId="3AC684A3" w14:textId="77777777" w:rsidR="00A71EEF" w:rsidRDefault="0081115D">
      <w:pPr>
        <w:pStyle w:val="a4"/>
        <w:numPr>
          <w:ilvl w:val="2"/>
          <w:numId w:val="324"/>
        </w:numPr>
        <w:tabs>
          <w:tab w:val="left" w:pos="1478"/>
          <w:tab w:val="left" w:pos="2938"/>
        </w:tabs>
        <w:spacing w:line="446" w:lineRule="auto"/>
        <w:ind w:right="1328" w:firstLine="422"/>
        <w:rPr>
          <w:sz w:val="21"/>
        </w:rPr>
      </w:pPr>
      <w:r>
        <w:rPr>
          <w:sz w:val="21"/>
        </w:rPr>
        <w:t>线</w:t>
      </w:r>
      <w:r>
        <w:rPr>
          <w:spacing w:val="-3"/>
          <w:sz w:val="21"/>
        </w:rPr>
        <w:t>型</w:t>
      </w:r>
      <w:r>
        <w:rPr>
          <w:sz w:val="21"/>
        </w:rPr>
        <w:t>光</w:t>
      </w:r>
      <w:r>
        <w:rPr>
          <w:spacing w:val="-3"/>
          <w:sz w:val="21"/>
        </w:rPr>
        <w:t>纤</w:t>
      </w:r>
      <w:r>
        <w:rPr>
          <w:sz w:val="21"/>
        </w:rPr>
        <w:t>感</w:t>
      </w:r>
      <w:r>
        <w:rPr>
          <w:spacing w:val="-3"/>
          <w:sz w:val="21"/>
        </w:rPr>
        <w:t>温</w:t>
      </w:r>
      <w:r>
        <w:rPr>
          <w:sz w:val="21"/>
        </w:rPr>
        <w:t>火</w:t>
      </w:r>
      <w:r>
        <w:rPr>
          <w:spacing w:val="-3"/>
          <w:sz w:val="21"/>
        </w:rPr>
        <w:t>灾</w:t>
      </w:r>
      <w:r>
        <w:rPr>
          <w:sz w:val="21"/>
        </w:rPr>
        <w:t>探测</w:t>
      </w:r>
      <w:r>
        <w:rPr>
          <w:spacing w:val="-3"/>
          <w:sz w:val="21"/>
        </w:rPr>
        <w:t>器</w:t>
      </w:r>
      <w:r>
        <w:rPr>
          <w:sz w:val="21"/>
        </w:rPr>
        <w:t>应</w:t>
      </w:r>
      <w:r>
        <w:rPr>
          <w:spacing w:val="-3"/>
          <w:sz w:val="21"/>
        </w:rPr>
        <w:t>设</w:t>
      </w:r>
      <w:r>
        <w:rPr>
          <w:sz w:val="21"/>
        </w:rPr>
        <w:t>置</w:t>
      </w:r>
      <w:r>
        <w:rPr>
          <w:spacing w:val="-3"/>
          <w:sz w:val="21"/>
        </w:rPr>
        <w:t>在</w:t>
      </w:r>
      <w:r>
        <w:rPr>
          <w:sz w:val="21"/>
        </w:rPr>
        <w:t>车</w:t>
      </w:r>
      <w:r>
        <w:rPr>
          <w:spacing w:val="-3"/>
          <w:sz w:val="21"/>
        </w:rPr>
        <w:t>道</w:t>
      </w:r>
      <w:r>
        <w:rPr>
          <w:sz w:val="21"/>
        </w:rPr>
        <w:t>顶</w:t>
      </w:r>
      <w:r>
        <w:rPr>
          <w:spacing w:val="-3"/>
          <w:sz w:val="21"/>
        </w:rPr>
        <w:t>部</w:t>
      </w:r>
      <w:r>
        <w:rPr>
          <w:sz w:val="21"/>
        </w:rPr>
        <w:t>距顶</w:t>
      </w:r>
      <w:r>
        <w:rPr>
          <w:spacing w:val="-3"/>
          <w:sz w:val="21"/>
        </w:rPr>
        <w:t>棚</w:t>
      </w:r>
      <w:r>
        <w:rPr>
          <w:spacing w:val="38"/>
          <w:sz w:val="21"/>
        </w:rPr>
        <w:t xml:space="preserve"> </w:t>
      </w:r>
      <w:r>
        <w:rPr>
          <w:sz w:val="21"/>
        </w:rPr>
        <w:t>100</w:t>
      </w:r>
      <w:r>
        <w:rPr>
          <w:sz w:val="21"/>
        </w:rPr>
        <w:t>～</w:t>
      </w:r>
      <w:r>
        <w:rPr>
          <w:sz w:val="21"/>
        </w:rPr>
        <w:t>200mm</w:t>
      </w:r>
      <w:r>
        <w:rPr>
          <w:spacing w:val="35"/>
          <w:sz w:val="21"/>
        </w:rPr>
        <w:t xml:space="preserve"> </w:t>
      </w:r>
      <w:r>
        <w:rPr>
          <w:sz w:val="21"/>
        </w:rPr>
        <w:t>，</w:t>
      </w:r>
      <w:r>
        <w:rPr>
          <w:spacing w:val="-3"/>
          <w:sz w:val="21"/>
        </w:rPr>
        <w:t>线</w:t>
      </w:r>
      <w:r>
        <w:rPr>
          <w:sz w:val="21"/>
        </w:rPr>
        <w:t>型光</w:t>
      </w:r>
      <w:r>
        <w:rPr>
          <w:spacing w:val="-3"/>
          <w:sz w:val="21"/>
        </w:rPr>
        <w:t>栅</w:t>
      </w:r>
      <w:r>
        <w:rPr>
          <w:sz w:val="21"/>
        </w:rPr>
        <w:t>光</w:t>
      </w:r>
      <w:r>
        <w:rPr>
          <w:spacing w:val="-3"/>
          <w:sz w:val="21"/>
        </w:rPr>
        <w:t>纤</w:t>
      </w:r>
      <w:r>
        <w:rPr>
          <w:sz w:val="21"/>
        </w:rPr>
        <w:t>感温火</w:t>
      </w:r>
      <w:r>
        <w:rPr>
          <w:spacing w:val="8"/>
          <w:sz w:val="21"/>
        </w:rPr>
        <w:t xml:space="preserve"> </w:t>
      </w:r>
      <w:r>
        <w:rPr>
          <w:sz w:val="21"/>
        </w:rPr>
        <w:t>灾</w:t>
      </w:r>
      <w:r>
        <w:rPr>
          <w:spacing w:val="-3"/>
          <w:sz w:val="21"/>
        </w:rPr>
        <w:t>探</w:t>
      </w:r>
      <w:r>
        <w:rPr>
          <w:sz w:val="21"/>
        </w:rPr>
        <w:t>测</w:t>
      </w:r>
      <w:r>
        <w:rPr>
          <w:spacing w:val="-3"/>
          <w:sz w:val="21"/>
        </w:rPr>
        <w:t>器</w:t>
      </w:r>
      <w:r>
        <w:rPr>
          <w:sz w:val="21"/>
        </w:rPr>
        <w:t>的</w:t>
      </w:r>
      <w:r>
        <w:rPr>
          <w:spacing w:val="-3"/>
          <w:sz w:val="21"/>
        </w:rPr>
        <w:t>光</w:t>
      </w:r>
      <w:r>
        <w:rPr>
          <w:sz w:val="21"/>
        </w:rPr>
        <w:t>栅</w:t>
      </w:r>
      <w:r>
        <w:rPr>
          <w:spacing w:val="-3"/>
          <w:sz w:val="21"/>
        </w:rPr>
        <w:t>间距</w:t>
      </w:r>
      <w:r>
        <w:rPr>
          <w:sz w:val="21"/>
        </w:rPr>
        <w:t>不应</w:t>
      </w:r>
      <w:r>
        <w:rPr>
          <w:spacing w:val="-3"/>
          <w:sz w:val="21"/>
        </w:rPr>
        <w:t>大</w:t>
      </w:r>
      <w:r>
        <w:rPr>
          <w:sz w:val="21"/>
        </w:rPr>
        <w:t>于</w:t>
      </w:r>
      <w:r>
        <w:rPr>
          <w:spacing w:val="11"/>
          <w:sz w:val="21"/>
        </w:rPr>
        <w:t xml:space="preserve"> </w:t>
      </w:r>
      <w:r>
        <w:rPr>
          <w:sz w:val="21"/>
        </w:rPr>
        <w:t>10m</w:t>
      </w:r>
      <w:r>
        <w:rPr>
          <w:spacing w:val="8"/>
          <w:sz w:val="21"/>
        </w:rPr>
        <w:t xml:space="preserve"> </w:t>
      </w:r>
      <w:r>
        <w:rPr>
          <w:spacing w:val="-32"/>
          <w:sz w:val="21"/>
        </w:rPr>
        <w:t>；</w:t>
      </w:r>
      <w:r>
        <w:rPr>
          <w:spacing w:val="-3"/>
          <w:sz w:val="21"/>
        </w:rPr>
        <w:t>每</w:t>
      </w:r>
      <w:r>
        <w:rPr>
          <w:sz w:val="21"/>
        </w:rPr>
        <w:t>根</w:t>
      </w:r>
      <w:r>
        <w:rPr>
          <w:spacing w:val="-3"/>
          <w:sz w:val="21"/>
        </w:rPr>
        <w:t>分布</w:t>
      </w:r>
      <w:r>
        <w:rPr>
          <w:sz w:val="21"/>
        </w:rPr>
        <w:t>式线</w:t>
      </w:r>
      <w:r>
        <w:rPr>
          <w:spacing w:val="-3"/>
          <w:sz w:val="21"/>
        </w:rPr>
        <w:t>型</w:t>
      </w:r>
      <w:r>
        <w:rPr>
          <w:sz w:val="21"/>
        </w:rPr>
        <w:t>光</w:t>
      </w:r>
      <w:r>
        <w:rPr>
          <w:spacing w:val="-3"/>
          <w:sz w:val="21"/>
        </w:rPr>
        <w:t>纤</w:t>
      </w:r>
      <w:r>
        <w:rPr>
          <w:sz w:val="21"/>
        </w:rPr>
        <w:t>感</w:t>
      </w:r>
      <w:r>
        <w:rPr>
          <w:spacing w:val="-3"/>
          <w:sz w:val="21"/>
        </w:rPr>
        <w:t>温</w:t>
      </w:r>
      <w:r>
        <w:rPr>
          <w:sz w:val="21"/>
        </w:rPr>
        <w:t>火</w:t>
      </w:r>
      <w:r>
        <w:rPr>
          <w:spacing w:val="-3"/>
          <w:sz w:val="21"/>
        </w:rPr>
        <w:t>灾</w:t>
      </w:r>
      <w:r>
        <w:rPr>
          <w:sz w:val="21"/>
        </w:rPr>
        <w:t>探</w:t>
      </w:r>
      <w:r>
        <w:rPr>
          <w:spacing w:val="-3"/>
          <w:sz w:val="21"/>
        </w:rPr>
        <w:t>测</w:t>
      </w:r>
      <w:r>
        <w:rPr>
          <w:sz w:val="21"/>
        </w:rPr>
        <w:t>器和</w:t>
      </w:r>
      <w:r>
        <w:rPr>
          <w:spacing w:val="-3"/>
          <w:sz w:val="21"/>
        </w:rPr>
        <w:t>线</w:t>
      </w:r>
      <w:r>
        <w:rPr>
          <w:sz w:val="21"/>
        </w:rPr>
        <w:t>型</w:t>
      </w:r>
      <w:r>
        <w:rPr>
          <w:spacing w:val="-3"/>
          <w:sz w:val="21"/>
        </w:rPr>
        <w:t>光</w:t>
      </w:r>
      <w:r>
        <w:rPr>
          <w:sz w:val="21"/>
        </w:rPr>
        <w:t>栅</w:t>
      </w:r>
      <w:r>
        <w:rPr>
          <w:spacing w:val="-3"/>
          <w:sz w:val="21"/>
        </w:rPr>
        <w:t>光</w:t>
      </w:r>
      <w:r>
        <w:rPr>
          <w:sz w:val="21"/>
        </w:rPr>
        <w:t>纤感温</w:t>
      </w:r>
      <w:r>
        <w:rPr>
          <w:spacing w:val="-3"/>
          <w:sz w:val="21"/>
        </w:rPr>
        <w:t>火</w:t>
      </w:r>
      <w:r>
        <w:rPr>
          <w:spacing w:val="12"/>
          <w:sz w:val="21"/>
        </w:rPr>
        <w:t xml:space="preserve"> </w:t>
      </w:r>
      <w:r>
        <w:rPr>
          <w:spacing w:val="-3"/>
          <w:sz w:val="21"/>
        </w:rPr>
        <w:t>灾</w:t>
      </w:r>
      <w:r>
        <w:rPr>
          <w:sz w:val="21"/>
        </w:rPr>
        <w:t>探</w:t>
      </w:r>
      <w:r>
        <w:rPr>
          <w:spacing w:val="-3"/>
          <w:sz w:val="21"/>
        </w:rPr>
        <w:t>测</w:t>
      </w:r>
      <w:r>
        <w:rPr>
          <w:sz w:val="21"/>
        </w:rPr>
        <w:t>保</w:t>
      </w:r>
      <w:r>
        <w:rPr>
          <w:spacing w:val="-3"/>
          <w:sz w:val="21"/>
        </w:rPr>
        <w:t>护</w:t>
      </w:r>
      <w:r>
        <w:rPr>
          <w:sz w:val="21"/>
        </w:rPr>
        <w:t>车</w:t>
      </w:r>
      <w:r>
        <w:rPr>
          <w:spacing w:val="-3"/>
          <w:sz w:val="21"/>
        </w:rPr>
        <w:t>道的</w:t>
      </w:r>
      <w:r>
        <w:rPr>
          <w:sz w:val="21"/>
        </w:rPr>
        <w:t>数量</w:t>
      </w:r>
      <w:r>
        <w:rPr>
          <w:spacing w:val="-3"/>
          <w:sz w:val="21"/>
        </w:rPr>
        <w:t>不</w:t>
      </w:r>
      <w:r>
        <w:rPr>
          <w:sz w:val="21"/>
        </w:rPr>
        <w:t>应</w:t>
      </w:r>
      <w:r>
        <w:rPr>
          <w:spacing w:val="-3"/>
          <w:sz w:val="21"/>
        </w:rPr>
        <w:t>超</w:t>
      </w:r>
      <w:r>
        <w:rPr>
          <w:sz w:val="21"/>
        </w:rPr>
        <w:t>过</w:t>
      </w:r>
      <w:r>
        <w:rPr>
          <w:spacing w:val="12"/>
          <w:sz w:val="21"/>
        </w:rPr>
        <w:t xml:space="preserve"> </w:t>
      </w:r>
      <w:r>
        <w:rPr>
          <w:spacing w:val="-3"/>
          <w:sz w:val="21"/>
        </w:rPr>
        <w:t>2</w:t>
      </w:r>
      <w:r>
        <w:rPr>
          <w:spacing w:val="12"/>
          <w:sz w:val="21"/>
        </w:rPr>
        <w:t xml:space="preserve"> </w:t>
      </w:r>
      <w:r>
        <w:rPr>
          <w:spacing w:val="-3"/>
          <w:sz w:val="21"/>
        </w:rPr>
        <w:t>条</w:t>
      </w:r>
      <w:r>
        <w:rPr>
          <w:spacing w:val="-32"/>
          <w:sz w:val="21"/>
        </w:rPr>
        <w:t>，</w:t>
      </w:r>
      <w:r>
        <w:rPr>
          <w:spacing w:val="-3"/>
          <w:sz w:val="21"/>
        </w:rPr>
        <w:t>点型</w:t>
      </w:r>
      <w:r>
        <w:rPr>
          <w:sz w:val="21"/>
        </w:rPr>
        <w:t>红外</w:t>
      </w:r>
      <w:r>
        <w:rPr>
          <w:spacing w:val="-3"/>
          <w:sz w:val="21"/>
        </w:rPr>
        <w:t>火</w:t>
      </w:r>
      <w:r>
        <w:rPr>
          <w:sz w:val="21"/>
        </w:rPr>
        <w:t>焰</w:t>
      </w:r>
      <w:r>
        <w:rPr>
          <w:spacing w:val="-3"/>
          <w:sz w:val="21"/>
        </w:rPr>
        <w:t>探</w:t>
      </w:r>
      <w:r>
        <w:rPr>
          <w:sz w:val="21"/>
        </w:rPr>
        <w:t>测</w:t>
      </w:r>
      <w:r>
        <w:rPr>
          <w:spacing w:val="-3"/>
          <w:sz w:val="21"/>
        </w:rPr>
        <w:t>器</w:t>
      </w:r>
      <w:r>
        <w:rPr>
          <w:sz w:val="21"/>
        </w:rPr>
        <w:t>或</w:t>
      </w:r>
      <w:r>
        <w:rPr>
          <w:spacing w:val="-3"/>
          <w:sz w:val="21"/>
        </w:rPr>
        <w:t>图</w:t>
      </w:r>
      <w:r>
        <w:rPr>
          <w:sz w:val="21"/>
        </w:rPr>
        <w:t>像</w:t>
      </w:r>
      <w:r>
        <w:rPr>
          <w:spacing w:val="-3"/>
          <w:sz w:val="21"/>
        </w:rPr>
        <w:t>型</w:t>
      </w:r>
      <w:r>
        <w:rPr>
          <w:sz w:val="21"/>
        </w:rPr>
        <w:t>火灾</w:t>
      </w:r>
      <w:r>
        <w:rPr>
          <w:spacing w:val="-3"/>
          <w:sz w:val="21"/>
        </w:rPr>
        <w:t>探</w:t>
      </w:r>
      <w:r>
        <w:rPr>
          <w:sz w:val="21"/>
        </w:rPr>
        <w:t>测</w:t>
      </w:r>
      <w:r>
        <w:rPr>
          <w:spacing w:val="-3"/>
          <w:sz w:val="21"/>
        </w:rPr>
        <w:t>器</w:t>
      </w:r>
      <w:r>
        <w:rPr>
          <w:sz w:val="21"/>
        </w:rPr>
        <w:t>应</w:t>
      </w:r>
      <w:r>
        <w:rPr>
          <w:spacing w:val="-3"/>
          <w:sz w:val="21"/>
        </w:rPr>
        <w:t>设</w:t>
      </w:r>
      <w:r>
        <w:rPr>
          <w:sz w:val="21"/>
        </w:rPr>
        <w:t>置在行</w:t>
      </w:r>
      <w:r>
        <w:rPr>
          <w:spacing w:val="-3"/>
          <w:sz w:val="21"/>
        </w:rPr>
        <w:t>车</w:t>
      </w:r>
      <w:r>
        <w:rPr>
          <w:sz w:val="21"/>
        </w:rPr>
        <w:t>道</w:t>
      </w:r>
      <w:r>
        <w:rPr>
          <w:spacing w:val="-3"/>
          <w:sz w:val="21"/>
        </w:rPr>
        <w:t>侧</w:t>
      </w:r>
      <w:r>
        <w:rPr>
          <w:spacing w:val="14"/>
          <w:sz w:val="21"/>
        </w:rPr>
        <w:t xml:space="preserve"> </w:t>
      </w:r>
      <w:r>
        <w:rPr>
          <w:spacing w:val="-3"/>
          <w:sz w:val="21"/>
        </w:rPr>
        <w:t>面</w:t>
      </w:r>
      <w:r>
        <w:rPr>
          <w:sz w:val="21"/>
        </w:rPr>
        <w:t>墙</w:t>
      </w:r>
      <w:r>
        <w:rPr>
          <w:spacing w:val="-3"/>
          <w:sz w:val="21"/>
        </w:rPr>
        <w:t>上</w:t>
      </w:r>
      <w:r>
        <w:rPr>
          <w:sz w:val="21"/>
        </w:rPr>
        <w:t>距</w:t>
      </w:r>
      <w:r>
        <w:rPr>
          <w:spacing w:val="-3"/>
          <w:sz w:val="21"/>
        </w:rPr>
        <w:t>行车</w:t>
      </w:r>
      <w:r>
        <w:rPr>
          <w:sz w:val="21"/>
        </w:rPr>
        <w:t>道地</w:t>
      </w:r>
      <w:r>
        <w:rPr>
          <w:spacing w:val="-3"/>
          <w:sz w:val="21"/>
        </w:rPr>
        <w:t>面</w:t>
      </w:r>
      <w:r>
        <w:rPr>
          <w:sz w:val="21"/>
        </w:rPr>
        <w:t>高</w:t>
      </w:r>
      <w:r>
        <w:rPr>
          <w:spacing w:val="-3"/>
          <w:sz w:val="21"/>
        </w:rPr>
        <w:t>度</w:t>
      </w:r>
      <w:r>
        <w:rPr>
          <w:spacing w:val="14"/>
          <w:sz w:val="21"/>
        </w:rPr>
        <w:t xml:space="preserve"> </w:t>
      </w:r>
      <w:r>
        <w:rPr>
          <w:sz w:val="21"/>
        </w:rPr>
        <w:t>2.7</w:t>
      </w:r>
      <w:r>
        <w:rPr>
          <w:sz w:val="21"/>
        </w:rPr>
        <w:t>～</w:t>
      </w:r>
      <w:r>
        <w:rPr>
          <w:sz w:val="21"/>
        </w:rPr>
        <w:t>3.5m</w:t>
      </w:r>
      <w:r>
        <w:rPr>
          <w:spacing w:val="12"/>
          <w:sz w:val="21"/>
        </w:rPr>
        <w:t xml:space="preserve"> </w:t>
      </w:r>
      <w:r>
        <w:rPr>
          <w:spacing w:val="-70"/>
          <w:sz w:val="21"/>
        </w:rPr>
        <w:t>，</w:t>
      </w:r>
      <w:r>
        <w:rPr>
          <w:sz w:val="21"/>
        </w:rPr>
        <w:t>并应</w:t>
      </w:r>
      <w:r>
        <w:rPr>
          <w:spacing w:val="-3"/>
          <w:sz w:val="21"/>
        </w:rPr>
        <w:t>保</w:t>
      </w:r>
      <w:r>
        <w:rPr>
          <w:sz w:val="21"/>
        </w:rPr>
        <w:t>证</w:t>
      </w:r>
      <w:r>
        <w:rPr>
          <w:spacing w:val="-3"/>
          <w:sz w:val="21"/>
        </w:rPr>
        <w:t>无</w:t>
      </w:r>
      <w:r>
        <w:rPr>
          <w:sz w:val="21"/>
        </w:rPr>
        <w:t>探</w:t>
      </w:r>
      <w:r>
        <w:rPr>
          <w:spacing w:val="-3"/>
          <w:sz w:val="21"/>
        </w:rPr>
        <w:t>测</w:t>
      </w:r>
      <w:r>
        <w:rPr>
          <w:sz w:val="21"/>
        </w:rPr>
        <w:t>盲</w:t>
      </w:r>
      <w:r>
        <w:rPr>
          <w:spacing w:val="-3"/>
          <w:sz w:val="21"/>
        </w:rPr>
        <w:t>区</w:t>
      </w:r>
      <w:r>
        <w:rPr>
          <w:spacing w:val="-70"/>
          <w:sz w:val="21"/>
        </w:rPr>
        <w:t>；</w:t>
      </w:r>
      <w:r>
        <w:rPr>
          <w:sz w:val="21"/>
        </w:rPr>
        <w:t>在</w:t>
      </w:r>
      <w:r>
        <w:rPr>
          <w:spacing w:val="-3"/>
          <w:sz w:val="21"/>
        </w:rPr>
        <w:t>行</w:t>
      </w:r>
      <w:r>
        <w:rPr>
          <w:sz w:val="21"/>
        </w:rPr>
        <w:t>车道</w:t>
      </w:r>
      <w:r>
        <w:rPr>
          <w:spacing w:val="-3"/>
          <w:sz w:val="21"/>
        </w:rPr>
        <w:t>两</w:t>
      </w:r>
      <w:r>
        <w:rPr>
          <w:sz w:val="21"/>
        </w:rPr>
        <w:t>侧</w:t>
      </w:r>
      <w:r>
        <w:rPr>
          <w:spacing w:val="-3"/>
          <w:sz w:val="21"/>
        </w:rPr>
        <w:t>设</w:t>
      </w:r>
      <w:r>
        <w:rPr>
          <w:sz w:val="21"/>
        </w:rPr>
        <w:t>置</w:t>
      </w:r>
      <w:r>
        <w:rPr>
          <w:spacing w:val="-3"/>
          <w:sz w:val="21"/>
        </w:rPr>
        <w:t>时</w:t>
      </w:r>
      <w:r>
        <w:rPr>
          <w:sz w:val="21"/>
        </w:rPr>
        <w:t>，探测</w:t>
      </w:r>
      <w:r>
        <w:rPr>
          <w:spacing w:val="-3"/>
          <w:sz w:val="21"/>
        </w:rPr>
        <w:t>器</w:t>
      </w:r>
      <w:r>
        <w:rPr>
          <w:sz w:val="21"/>
        </w:rPr>
        <w:t>应</w:t>
      </w:r>
      <w:r>
        <w:rPr>
          <w:spacing w:val="-3"/>
          <w:sz w:val="21"/>
        </w:rPr>
        <w:t>交</w:t>
      </w:r>
      <w:r>
        <w:rPr>
          <w:spacing w:val="10"/>
          <w:sz w:val="21"/>
        </w:rPr>
        <w:t xml:space="preserve"> </w:t>
      </w:r>
      <w:r>
        <w:rPr>
          <w:spacing w:val="-3"/>
          <w:sz w:val="21"/>
        </w:rPr>
        <w:t>错</w:t>
      </w:r>
      <w:r>
        <w:rPr>
          <w:sz w:val="21"/>
        </w:rPr>
        <w:t>设</w:t>
      </w:r>
      <w:r>
        <w:rPr>
          <w:spacing w:val="-3"/>
          <w:sz w:val="21"/>
        </w:rPr>
        <w:t>置。</w:t>
      </w:r>
      <w:r>
        <w:rPr>
          <w:sz w:val="21"/>
        </w:rPr>
        <w:t xml:space="preserve">   </w:t>
      </w:r>
      <w:r>
        <w:rPr>
          <w:sz w:val="21"/>
        </w:rPr>
        <w:tab/>
      </w:r>
      <w:r>
        <w:rPr>
          <w:sz w:val="21"/>
        </w:rPr>
        <w:t xml:space="preserve">  </w:t>
      </w:r>
    </w:p>
    <w:p w14:paraId="6CDB3B0D" w14:textId="77777777" w:rsidR="00A71EEF" w:rsidRDefault="0081115D">
      <w:pPr>
        <w:pStyle w:val="a4"/>
        <w:numPr>
          <w:ilvl w:val="2"/>
          <w:numId w:val="324"/>
        </w:numPr>
        <w:tabs>
          <w:tab w:val="left" w:pos="1478"/>
        </w:tabs>
        <w:spacing w:line="266" w:lineRule="exact"/>
        <w:ind w:left="1477" w:hanging="638"/>
        <w:rPr>
          <w:sz w:val="21"/>
        </w:rPr>
      </w:pPr>
      <w:r>
        <w:rPr>
          <w:spacing w:val="-3"/>
          <w:sz w:val="21"/>
        </w:rPr>
        <w:t>火灾自动报警系统需联动消防设施时，其报警区域长度不宜大于</w:t>
      </w:r>
      <w:r>
        <w:rPr>
          <w:spacing w:val="-3"/>
          <w:sz w:val="21"/>
        </w:rPr>
        <w:t xml:space="preserve"> </w:t>
      </w:r>
      <w:r>
        <w:rPr>
          <w:sz w:val="21"/>
        </w:rPr>
        <w:t>150m</w:t>
      </w:r>
      <w:r>
        <w:rPr>
          <w:spacing w:val="-1"/>
          <w:sz w:val="21"/>
        </w:rPr>
        <w:t xml:space="preserve"> </w:t>
      </w:r>
      <w:r>
        <w:rPr>
          <w:spacing w:val="-1"/>
          <w:sz w:val="21"/>
        </w:rPr>
        <w:t>。</w:t>
      </w:r>
      <w:r>
        <w:rPr>
          <w:spacing w:val="-10"/>
          <w:sz w:val="21"/>
        </w:rPr>
        <w:t xml:space="preserve"> </w:t>
      </w:r>
      <w:r>
        <w:rPr>
          <w:sz w:val="21"/>
        </w:rPr>
        <w:t xml:space="preserve">  </w:t>
      </w:r>
    </w:p>
    <w:p w14:paraId="317559C2" w14:textId="77777777" w:rsidR="00A71EEF" w:rsidRDefault="00A71EEF">
      <w:pPr>
        <w:pStyle w:val="a3"/>
        <w:spacing w:before="1"/>
        <w:rPr>
          <w:sz w:val="18"/>
        </w:rPr>
      </w:pPr>
    </w:p>
    <w:p w14:paraId="7E014103" w14:textId="77777777" w:rsidR="00A71EEF" w:rsidRDefault="0081115D">
      <w:pPr>
        <w:pStyle w:val="a4"/>
        <w:numPr>
          <w:ilvl w:val="2"/>
          <w:numId w:val="324"/>
        </w:numPr>
        <w:tabs>
          <w:tab w:val="left" w:pos="1478"/>
        </w:tabs>
        <w:spacing w:line="446" w:lineRule="auto"/>
        <w:ind w:right="1431" w:firstLine="422"/>
        <w:jc w:val="both"/>
        <w:rPr>
          <w:sz w:val="21"/>
        </w:rPr>
      </w:pPr>
      <w:r>
        <w:rPr>
          <w:spacing w:val="-3"/>
          <w:sz w:val="21"/>
        </w:rPr>
        <w:t>隧道出入口以及隧道内每隔</w:t>
      </w:r>
      <w:r>
        <w:rPr>
          <w:spacing w:val="-3"/>
          <w:sz w:val="21"/>
        </w:rPr>
        <w:t xml:space="preserve"> </w:t>
      </w:r>
      <w:r>
        <w:rPr>
          <w:sz w:val="21"/>
        </w:rPr>
        <w:t>200m</w:t>
      </w:r>
      <w:r>
        <w:rPr>
          <w:spacing w:val="-5"/>
          <w:sz w:val="21"/>
        </w:rPr>
        <w:t xml:space="preserve"> </w:t>
      </w:r>
      <w:r>
        <w:rPr>
          <w:spacing w:val="-5"/>
          <w:sz w:val="21"/>
        </w:rPr>
        <w:t>处应设置报警电话，每隔</w:t>
      </w:r>
      <w:r>
        <w:rPr>
          <w:spacing w:val="-5"/>
          <w:sz w:val="21"/>
        </w:rPr>
        <w:t xml:space="preserve"> </w:t>
      </w:r>
      <w:r>
        <w:rPr>
          <w:sz w:val="21"/>
        </w:rPr>
        <w:t>50m</w:t>
      </w:r>
      <w:r>
        <w:rPr>
          <w:spacing w:val="-3"/>
          <w:sz w:val="21"/>
        </w:rPr>
        <w:t xml:space="preserve"> </w:t>
      </w:r>
      <w:r>
        <w:rPr>
          <w:spacing w:val="-3"/>
          <w:sz w:val="21"/>
        </w:rPr>
        <w:t>处应设置手动火灾</w:t>
      </w:r>
      <w:r>
        <w:rPr>
          <w:spacing w:val="-1"/>
          <w:sz w:val="21"/>
        </w:rPr>
        <w:t>报警按</w:t>
      </w:r>
      <w:r>
        <w:rPr>
          <w:spacing w:val="-1"/>
          <w:sz w:val="21"/>
        </w:rPr>
        <w:t xml:space="preserve"> </w:t>
      </w:r>
      <w:r>
        <w:rPr>
          <w:spacing w:val="-1"/>
          <w:sz w:val="21"/>
        </w:rPr>
        <w:t>钮和闪烁红光的火灾声光警报器。隧道入口前方</w:t>
      </w:r>
      <w:r>
        <w:rPr>
          <w:spacing w:val="-1"/>
          <w:sz w:val="21"/>
        </w:rPr>
        <w:t xml:space="preserve"> </w:t>
      </w:r>
      <w:r>
        <w:rPr>
          <w:sz w:val="21"/>
        </w:rPr>
        <w:t>50</w:t>
      </w:r>
      <w:r>
        <w:rPr>
          <w:sz w:val="21"/>
        </w:rPr>
        <w:t>～</w:t>
      </w:r>
      <w:r>
        <w:rPr>
          <w:sz w:val="21"/>
        </w:rPr>
        <w:t>250m</w:t>
      </w:r>
      <w:r>
        <w:rPr>
          <w:spacing w:val="-1"/>
          <w:sz w:val="21"/>
        </w:rPr>
        <w:t xml:space="preserve"> </w:t>
      </w:r>
      <w:r>
        <w:rPr>
          <w:spacing w:val="-1"/>
          <w:sz w:val="21"/>
        </w:rPr>
        <w:t>内应设置指示隧道内发生火</w:t>
      </w:r>
      <w:r>
        <w:rPr>
          <w:spacing w:val="-3"/>
          <w:sz w:val="21"/>
        </w:rPr>
        <w:t>灾的声光警报装置。</w:t>
      </w:r>
      <w:r>
        <w:rPr>
          <w:sz w:val="21"/>
        </w:rPr>
        <w:t xml:space="preserve"> </w:t>
      </w:r>
      <w:r>
        <w:rPr>
          <w:spacing w:val="-2"/>
          <w:sz w:val="21"/>
        </w:rPr>
        <w:t xml:space="preserve"> </w:t>
      </w:r>
      <w:r>
        <w:rPr>
          <w:sz w:val="21"/>
        </w:rPr>
        <w:t xml:space="preserve">  </w:t>
      </w:r>
      <w:r>
        <w:rPr>
          <w:sz w:val="21"/>
        </w:rPr>
        <w:t xml:space="preserve"> </w:t>
      </w:r>
      <w:r>
        <w:rPr>
          <w:spacing w:val="-2"/>
          <w:sz w:val="21"/>
        </w:rPr>
        <w:t xml:space="preserve"> </w:t>
      </w:r>
      <w:r>
        <w:rPr>
          <w:sz w:val="21"/>
        </w:rPr>
        <w:t xml:space="preserve">  </w:t>
      </w:r>
    </w:p>
    <w:p w14:paraId="1128129E" w14:textId="77777777" w:rsidR="00A71EEF" w:rsidRDefault="0081115D">
      <w:pPr>
        <w:pStyle w:val="a4"/>
        <w:numPr>
          <w:ilvl w:val="2"/>
          <w:numId w:val="324"/>
        </w:numPr>
        <w:tabs>
          <w:tab w:val="left" w:pos="1478"/>
        </w:tabs>
        <w:spacing w:line="446" w:lineRule="auto"/>
        <w:ind w:right="1434" w:firstLine="422"/>
        <w:jc w:val="both"/>
        <w:rPr>
          <w:sz w:val="21"/>
        </w:rPr>
      </w:pPr>
      <w:r>
        <w:rPr>
          <w:spacing w:val="-3"/>
          <w:sz w:val="21"/>
        </w:rPr>
        <w:t>隧道用电缆通道宜设置线型感温火灾探测器，主要设备用房内的配电线路应设置电</w:t>
      </w:r>
      <w:r>
        <w:rPr>
          <w:spacing w:val="-3"/>
          <w:sz w:val="21"/>
        </w:rPr>
        <w:t xml:space="preserve"> </w:t>
      </w:r>
      <w:r>
        <w:rPr>
          <w:spacing w:val="-3"/>
          <w:sz w:val="21"/>
        </w:rPr>
        <w:t>气火灾监控探测器。</w:t>
      </w:r>
      <w:r>
        <w:rPr>
          <w:sz w:val="21"/>
        </w:rPr>
        <w:t xml:space="preserve"> </w:t>
      </w:r>
      <w:r>
        <w:rPr>
          <w:spacing w:val="-2"/>
          <w:sz w:val="21"/>
        </w:rPr>
        <w:t xml:space="preserve"> </w:t>
      </w:r>
      <w:r>
        <w:rPr>
          <w:sz w:val="21"/>
        </w:rPr>
        <w:t xml:space="preserve">  </w:t>
      </w:r>
    </w:p>
    <w:p w14:paraId="495EFB0F" w14:textId="77777777" w:rsidR="00A71EEF" w:rsidRDefault="0081115D">
      <w:pPr>
        <w:pStyle w:val="a4"/>
        <w:numPr>
          <w:ilvl w:val="2"/>
          <w:numId w:val="324"/>
        </w:numPr>
        <w:tabs>
          <w:tab w:val="left" w:pos="1478"/>
        </w:tabs>
        <w:spacing w:line="267" w:lineRule="exact"/>
        <w:ind w:left="1477" w:hanging="638"/>
        <w:rPr>
          <w:sz w:val="21"/>
        </w:rPr>
      </w:pPr>
      <w:r>
        <w:rPr>
          <w:spacing w:val="-3"/>
          <w:sz w:val="21"/>
        </w:rPr>
        <w:t>隧道中设置的火灾自动报警系统宜联动隧道中设置的视频监视系统确认火灾。</w:t>
      </w:r>
      <w:r>
        <w:rPr>
          <w:sz w:val="21"/>
        </w:rPr>
        <w:t xml:space="preserve"> </w:t>
      </w:r>
    </w:p>
    <w:p w14:paraId="5BD2491C" w14:textId="77777777" w:rsidR="00A71EEF" w:rsidRDefault="00A71EEF">
      <w:pPr>
        <w:pStyle w:val="a3"/>
        <w:spacing w:before="1"/>
        <w:rPr>
          <w:sz w:val="18"/>
        </w:rPr>
      </w:pPr>
    </w:p>
    <w:p w14:paraId="2D4BAF22" w14:textId="77777777" w:rsidR="00A71EEF" w:rsidRDefault="0081115D">
      <w:pPr>
        <w:pStyle w:val="a4"/>
        <w:numPr>
          <w:ilvl w:val="2"/>
          <w:numId w:val="324"/>
        </w:numPr>
        <w:tabs>
          <w:tab w:val="left" w:pos="1478"/>
        </w:tabs>
        <w:ind w:left="1477" w:hanging="638"/>
        <w:rPr>
          <w:sz w:val="21"/>
        </w:rPr>
      </w:pPr>
      <w:r>
        <w:rPr>
          <w:spacing w:val="-3"/>
          <w:sz w:val="21"/>
        </w:rPr>
        <w:t>火灾自动报警系统应将火灾报警信号传输给隧道中央控制管理设备。</w:t>
      </w:r>
      <w:r>
        <w:rPr>
          <w:spacing w:val="-10"/>
          <w:sz w:val="21"/>
        </w:rPr>
        <w:t xml:space="preserve"> </w:t>
      </w:r>
      <w:r>
        <w:rPr>
          <w:sz w:val="21"/>
        </w:rPr>
        <w:t xml:space="preserve">  </w:t>
      </w:r>
    </w:p>
    <w:p w14:paraId="4B8A7DC6" w14:textId="77777777" w:rsidR="00A71EEF" w:rsidRDefault="00A71EEF">
      <w:pPr>
        <w:pStyle w:val="a3"/>
        <w:rPr>
          <w:sz w:val="18"/>
        </w:rPr>
      </w:pPr>
    </w:p>
    <w:p w14:paraId="1B07E747" w14:textId="77777777" w:rsidR="00A71EEF" w:rsidRDefault="0081115D">
      <w:pPr>
        <w:pStyle w:val="a4"/>
        <w:numPr>
          <w:ilvl w:val="2"/>
          <w:numId w:val="324"/>
        </w:numPr>
        <w:tabs>
          <w:tab w:val="left" w:pos="1478"/>
        </w:tabs>
        <w:spacing w:line="446" w:lineRule="auto"/>
        <w:ind w:right="1433" w:firstLine="422"/>
        <w:rPr>
          <w:sz w:val="21"/>
        </w:rPr>
      </w:pPr>
      <w:r>
        <w:rPr>
          <w:spacing w:val="-5"/>
          <w:sz w:val="21"/>
        </w:rPr>
        <w:t>消防应急广播可与隧道内设置的有线广播合用，其设置应符合本规范第</w:t>
      </w:r>
      <w:r>
        <w:rPr>
          <w:spacing w:val="-5"/>
          <w:sz w:val="21"/>
        </w:rPr>
        <w:t xml:space="preserve"> </w:t>
      </w:r>
      <w:r>
        <w:rPr>
          <w:sz w:val="21"/>
        </w:rPr>
        <w:t xml:space="preserve">6.6 </w:t>
      </w:r>
      <w:r>
        <w:rPr>
          <w:sz w:val="21"/>
        </w:rPr>
        <w:t>节的规</w:t>
      </w:r>
      <w:r>
        <w:rPr>
          <w:spacing w:val="-2"/>
          <w:sz w:val="21"/>
        </w:rPr>
        <w:t>定。</w:t>
      </w:r>
      <w:r>
        <w:rPr>
          <w:sz w:val="21"/>
        </w:rPr>
        <w:t xml:space="preserve"> </w:t>
      </w:r>
    </w:p>
    <w:p w14:paraId="19405A2C" w14:textId="77777777" w:rsidR="00A71EEF" w:rsidRDefault="0081115D">
      <w:pPr>
        <w:pStyle w:val="a4"/>
        <w:numPr>
          <w:ilvl w:val="2"/>
          <w:numId w:val="324"/>
        </w:numPr>
        <w:tabs>
          <w:tab w:val="left" w:pos="1478"/>
        </w:tabs>
        <w:ind w:left="1477" w:hanging="638"/>
        <w:rPr>
          <w:sz w:val="21"/>
        </w:rPr>
      </w:pPr>
      <w:r>
        <w:rPr>
          <w:spacing w:val="-5"/>
          <w:sz w:val="21"/>
        </w:rPr>
        <w:t>消防专用电话可与隧道内设置的紧急电话合用，其设置应符合本规范第</w:t>
      </w:r>
      <w:r>
        <w:rPr>
          <w:spacing w:val="-5"/>
          <w:sz w:val="21"/>
        </w:rPr>
        <w:t xml:space="preserve"> </w:t>
      </w:r>
      <w:r>
        <w:rPr>
          <w:sz w:val="21"/>
        </w:rPr>
        <w:t>6.7</w:t>
      </w:r>
      <w:r>
        <w:rPr>
          <w:spacing w:val="-3"/>
          <w:sz w:val="21"/>
        </w:rPr>
        <w:t xml:space="preserve"> </w:t>
      </w:r>
      <w:r>
        <w:rPr>
          <w:spacing w:val="-3"/>
          <w:sz w:val="21"/>
        </w:rPr>
        <w:t>节的规</w:t>
      </w:r>
    </w:p>
    <w:p w14:paraId="54D0197B" w14:textId="77777777" w:rsidR="00A71EEF" w:rsidRDefault="00A71EEF">
      <w:pPr>
        <w:rPr>
          <w:sz w:val="21"/>
        </w:rPr>
        <w:sectPr w:rsidR="00A71EEF">
          <w:footerReference w:type="default" r:id="rId347"/>
          <w:pgSz w:w="11910" w:h="16850"/>
          <w:pgMar w:top="1220" w:right="0" w:bottom="1420" w:left="1260" w:header="0" w:footer="1239" w:gutter="0"/>
          <w:pgNumType w:start="1300"/>
          <w:cols w:space="720"/>
        </w:sectPr>
      </w:pPr>
    </w:p>
    <w:p w14:paraId="4E6E792C" w14:textId="77777777" w:rsidR="00A71EEF" w:rsidRDefault="0081115D">
      <w:pPr>
        <w:pStyle w:val="a3"/>
        <w:spacing w:before="47"/>
        <w:ind w:left="418"/>
      </w:pPr>
      <w:r>
        <w:t>定。</w:t>
      </w:r>
      <w:r>
        <w:t xml:space="preserve"> </w:t>
      </w:r>
    </w:p>
    <w:p w14:paraId="7F2B5FA0" w14:textId="77777777" w:rsidR="00A71EEF" w:rsidRDefault="00A71EEF">
      <w:pPr>
        <w:pStyle w:val="a3"/>
        <w:rPr>
          <w:sz w:val="18"/>
        </w:rPr>
      </w:pPr>
    </w:p>
    <w:p w14:paraId="3E008ABD" w14:textId="77777777" w:rsidR="00A71EEF" w:rsidRDefault="0081115D">
      <w:pPr>
        <w:pStyle w:val="a4"/>
        <w:numPr>
          <w:ilvl w:val="2"/>
          <w:numId w:val="324"/>
        </w:numPr>
        <w:tabs>
          <w:tab w:val="left" w:pos="1583"/>
          <w:tab w:val="left" w:pos="7558"/>
        </w:tabs>
        <w:ind w:left="1582" w:hanging="743"/>
        <w:rPr>
          <w:sz w:val="21"/>
        </w:rPr>
      </w:pPr>
      <w:r>
        <w:rPr>
          <w:sz w:val="21"/>
        </w:rPr>
        <w:t>消</w:t>
      </w:r>
      <w:r>
        <w:rPr>
          <w:spacing w:val="-3"/>
          <w:sz w:val="21"/>
        </w:rPr>
        <w:t>防</w:t>
      </w:r>
      <w:r>
        <w:rPr>
          <w:sz w:val="21"/>
        </w:rPr>
        <w:t>联</w:t>
      </w:r>
      <w:r>
        <w:rPr>
          <w:spacing w:val="-3"/>
          <w:sz w:val="21"/>
        </w:rPr>
        <w:t>动</w:t>
      </w:r>
      <w:r>
        <w:rPr>
          <w:sz w:val="21"/>
        </w:rPr>
        <w:t>控</w:t>
      </w:r>
      <w:r>
        <w:rPr>
          <w:spacing w:val="-3"/>
          <w:sz w:val="21"/>
        </w:rPr>
        <w:t>制器</w:t>
      </w:r>
      <w:r>
        <w:rPr>
          <w:sz w:val="21"/>
        </w:rPr>
        <w:t>应能</w:t>
      </w:r>
      <w:r>
        <w:rPr>
          <w:spacing w:val="-3"/>
          <w:sz w:val="21"/>
        </w:rPr>
        <w:t>手</w:t>
      </w:r>
      <w:r>
        <w:rPr>
          <w:sz w:val="21"/>
        </w:rPr>
        <w:t>动</w:t>
      </w:r>
      <w:r>
        <w:rPr>
          <w:spacing w:val="-3"/>
          <w:sz w:val="21"/>
        </w:rPr>
        <w:t>控</w:t>
      </w:r>
      <w:r>
        <w:rPr>
          <w:sz w:val="21"/>
        </w:rPr>
        <w:t>制</w:t>
      </w:r>
      <w:r>
        <w:rPr>
          <w:spacing w:val="-3"/>
          <w:sz w:val="21"/>
        </w:rPr>
        <w:t>与</w:t>
      </w:r>
      <w:r>
        <w:rPr>
          <w:sz w:val="21"/>
        </w:rPr>
        <w:t>正</w:t>
      </w:r>
      <w:r>
        <w:rPr>
          <w:spacing w:val="-3"/>
          <w:sz w:val="21"/>
        </w:rPr>
        <w:t>常</w:t>
      </w:r>
      <w:r>
        <w:rPr>
          <w:sz w:val="21"/>
        </w:rPr>
        <w:t>通</w:t>
      </w:r>
      <w:r>
        <w:rPr>
          <w:spacing w:val="-3"/>
          <w:sz w:val="21"/>
        </w:rPr>
        <w:t>风</w:t>
      </w:r>
      <w:r>
        <w:rPr>
          <w:sz w:val="21"/>
        </w:rPr>
        <w:t>合用</w:t>
      </w:r>
      <w:r>
        <w:rPr>
          <w:spacing w:val="-3"/>
          <w:sz w:val="21"/>
        </w:rPr>
        <w:t>的</w:t>
      </w:r>
      <w:r>
        <w:rPr>
          <w:sz w:val="21"/>
        </w:rPr>
        <w:t>排</w:t>
      </w:r>
      <w:r>
        <w:rPr>
          <w:spacing w:val="-3"/>
          <w:sz w:val="21"/>
        </w:rPr>
        <w:t>烟</w:t>
      </w:r>
      <w:r>
        <w:rPr>
          <w:sz w:val="21"/>
        </w:rPr>
        <w:t>风</w:t>
      </w:r>
      <w:r>
        <w:rPr>
          <w:spacing w:val="-3"/>
          <w:sz w:val="21"/>
        </w:rPr>
        <w:t>机。</w:t>
      </w:r>
      <w:r>
        <w:rPr>
          <w:sz w:val="21"/>
        </w:rPr>
        <w:t xml:space="preserve"> </w:t>
      </w:r>
      <w:r>
        <w:rPr>
          <w:sz w:val="21"/>
        </w:rPr>
        <w:tab/>
      </w:r>
      <w:r>
        <w:rPr>
          <w:sz w:val="21"/>
        </w:rPr>
        <w:t xml:space="preserve">  </w:t>
      </w:r>
    </w:p>
    <w:p w14:paraId="35D75A30" w14:textId="77777777" w:rsidR="00A71EEF" w:rsidRDefault="00A71EEF">
      <w:pPr>
        <w:pStyle w:val="a3"/>
        <w:rPr>
          <w:sz w:val="18"/>
        </w:rPr>
      </w:pPr>
    </w:p>
    <w:p w14:paraId="21ABC200" w14:textId="77777777" w:rsidR="00A71EEF" w:rsidRDefault="0081115D">
      <w:pPr>
        <w:pStyle w:val="a4"/>
        <w:numPr>
          <w:ilvl w:val="2"/>
          <w:numId w:val="324"/>
        </w:numPr>
        <w:tabs>
          <w:tab w:val="left" w:pos="1583"/>
        </w:tabs>
        <w:ind w:left="1582" w:hanging="743"/>
        <w:rPr>
          <w:sz w:val="21"/>
        </w:rPr>
      </w:pPr>
      <w:r>
        <w:rPr>
          <w:spacing w:val="-3"/>
          <w:sz w:val="21"/>
        </w:rPr>
        <w:t>隧道内设置的消防设备的防护等级不应低于</w:t>
      </w:r>
      <w:r>
        <w:rPr>
          <w:spacing w:val="-3"/>
          <w:sz w:val="21"/>
        </w:rPr>
        <w:t xml:space="preserve"> </w:t>
      </w:r>
      <w:r>
        <w:rPr>
          <w:sz w:val="21"/>
        </w:rPr>
        <w:t>IP65</w:t>
      </w:r>
      <w:r>
        <w:rPr>
          <w:spacing w:val="-2"/>
          <w:sz w:val="21"/>
        </w:rPr>
        <w:t xml:space="preserve"> </w:t>
      </w:r>
      <w:r>
        <w:rPr>
          <w:spacing w:val="-2"/>
          <w:sz w:val="21"/>
        </w:rPr>
        <w:t>。</w:t>
      </w:r>
      <w:r>
        <w:rPr>
          <w:sz w:val="21"/>
        </w:rPr>
        <w:t xml:space="preserve"> </w:t>
      </w:r>
      <w:r>
        <w:rPr>
          <w:spacing w:val="-12"/>
          <w:sz w:val="21"/>
        </w:rPr>
        <w:t xml:space="preserve"> </w:t>
      </w:r>
      <w:r>
        <w:rPr>
          <w:sz w:val="21"/>
        </w:rPr>
        <w:t xml:space="preserve">  </w:t>
      </w:r>
    </w:p>
    <w:p w14:paraId="553E3651" w14:textId="77777777" w:rsidR="00A71EEF" w:rsidRDefault="00A71EEF">
      <w:pPr>
        <w:pStyle w:val="a3"/>
        <w:spacing w:before="1"/>
        <w:rPr>
          <w:sz w:val="18"/>
        </w:rPr>
      </w:pPr>
    </w:p>
    <w:p w14:paraId="4EB6A3BB" w14:textId="77777777" w:rsidR="00A71EEF" w:rsidRDefault="0081115D">
      <w:pPr>
        <w:pStyle w:val="a4"/>
        <w:numPr>
          <w:ilvl w:val="1"/>
          <w:numId w:val="324"/>
        </w:numPr>
        <w:tabs>
          <w:tab w:val="left" w:pos="1264"/>
        </w:tabs>
        <w:spacing w:before="1"/>
        <w:ind w:left="1263" w:hanging="424"/>
        <w:rPr>
          <w:sz w:val="21"/>
        </w:rPr>
      </w:pPr>
      <w:r>
        <w:rPr>
          <w:spacing w:val="-3"/>
          <w:sz w:val="21"/>
        </w:rPr>
        <w:t>油罐区</w:t>
      </w:r>
      <w:r>
        <w:rPr>
          <w:sz w:val="21"/>
        </w:rPr>
        <w:t xml:space="preserve"> </w:t>
      </w:r>
    </w:p>
    <w:p w14:paraId="4FB422C3" w14:textId="77777777" w:rsidR="00A71EEF" w:rsidRDefault="00A71EEF">
      <w:pPr>
        <w:pStyle w:val="a3"/>
        <w:spacing w:before="12"/>
        <w:rPr>
          <w:sz w:val="17"/>
        </w:rPr>
      </w:pPr>
    </w:p>
    <w:p w14:paraId="4CA666E9" w14:textId="77777777" w:rsidR="00A71EEF" w:rsidRDefault="0081115D">
      <w:pPr>
        <w:pStyle w:val="a4"/>
        <w:numPr>
          <w:ilvl w:val="2"/>
          <w:numId w:val="324"/>
        </w:numPr>
        <w:tabs>
          <w:tab w:val="left" w:pos="1478"/>
          <w:tab w:val="left" w:pos="5038"/>
          <w:tab w:val="left" w:pos="5458"/>
          <w:tab w:val="left" w:pos="5878"/>
        </w:tabs>
        <w:spacing w:line="446" w:lineRule="auto"/>
        <w:ind w:right="1434" w:firstLine="422"/>
        <w:rPr>
          <w:sz w:val="21"/>
        </w:rPr>
      </w:pPr>
      <w:r>
        <w:rPr>
          <w:sz w:val="21"/>
        </w:rPr>
        <w:t>外</w:t>
      </w:r>
      <w:r>
        <w:rPr>
          <w:spacing w:val="-3"/>
          <w:sz w:val="21"/>
        </w:rPr>
        <w:t>浮</w:t>
      </w:r>
      <w:r>
        <w:rPr>
          <w:sz w:val="21"/>
        </w:rPr>
        <w:t>顶油</w:t>
      </w:r>
      <w:r>
        <w:rPr>
          <w:spacing w:val="-3"/>
          <w:sz w:val="21"/>
        </w:rPr>
        <w:t>罐</w:t>
      </w:r>
      <w:r>
        <w:rPr>
          <w:sz w:val="21"/>
        </w:rPr>
        <w:t>宜</w:t>
      </w:r>
      <w:r>
        <w:rPr>
          <w:spacing w:val="-3"/>
          <w:sz w:val="21"/>
        </w:rPr>
        <w:t>采</w:t>
      </w:r>
      <w:r>
        <w:rPr>
          <w:sz w:val="21"/>
        </w:rPr>
        <w:t>用线型</w:t>
      </w:r>
      <w:r>
        <w:rPr>
          <w:spacing w:val="-3"/>
          <w:sz w:val="21"/>
        </w:rPr>
        <w:t>光</w:t>
      </w:r>
      <w:r>
        <w:rPr>
          <w:sz w:val="21"/>
        </w:rPr>
        <w:t>纤感</w:t>
      </w:r>
      <w:r>
        <w:rPr>
          <w:spacing w:val="-3"/>
          <w:sz w:val="21"/>
        </w:rPr>
        <w:t>温</w:t>
      </w:r>
      <w:r>
        <w:rPr>
          <w:sz w:val="21"/>
        </w:rPr>
        <w:t>火灾</w:t>
      </w:r>
      <w:r>
        <w:rPr>
          <w:spacing w:val="-3"/>
          <w:sz w:val="21"/>
        </w:rPr>
        <w:t>探测</w:t>
      </w:r>
      <w:r>
        <w:rPr>
          <w:sz w:val="21"/>
        </w:rPr>
        <w:t>器，且</w:t>
      </w:r>
      <w:r>
        <w:rPr>
          <w:spacing w:val="-3"/>
          <w:sz w:val="21"/>
        </w:rPr>
        <w:t>每</w:t>
      </w:r>
      <w:r>
        <w:rPr>
          <w:sz w:val="21"/>
        </w:rPr>
        <w:t>只线</w:t>
      </w:r>
      <w:r>
        <w:rPr>
          <w:spacing w:val="-3"/>
          <w:sz w:val="21"/>
        </w:rPr>
        <w:t>型</w:t>
      </w:r>
      <w:r>
        <w:rPr>
          <w:sz w:val="21"/>
        </w:rPr>
        <w:t>光纤</w:t>
      </w:r>
      <w:r>
        <w:rPr>
          <w:spacing w:val="-3"/>
          <w:sz w:val="21"/>
        </w:rPr>
        <w:t>感温</w:t>
      </w:r>
      <w:r>
        <w:rPr>
          <w:sz w:val="21"/>
        </w:rPr>
        <w:t>火灾探</w:t>
      </w:r>
      <w:r>
        <w:rPr>
          <w:spacing w:val="-3"/>
          <w:sz w:val="21"/>
        </w:rPr>
        <w:t>测</w:t>
      </w:r>
      <w:r>
        <w:rPr>
          <w:sz w:val="21"/>
        </w:rPr>
        <w:t>器应只</w:t>
      </w:r>
      <w:r>
        <w:rPr>
          <w:sz w:val="21"/>
        </w:rPr>
        <w:t xml:space="preserve"> </w:t>
      </w:r>
      <w:r>
        <w:rPr>
          <w:sz w:val="21"/>
        </w:rPr>
        <w:t>能保</w:t>
      </w:r>
      <w:r>
        <w:rPr>
          <w:spacing w:val="-3"/>
          <w:sz w:val="21"/>
        </w:rPr>
        <w:t>护</w:t>
      </w:r>
      <w:r>
        <w:rPr>
          <w:sz w:val="21"/>
        </w:rPr>
        <w:t>一</w:t>
      </w:r>
      <w:r>
        <w:rPr>
          <w:spacing w:val="-3"/>
          <w:sz w:val="21"/>
        </w:rPr>
        <w:t>个</w:t>
      </w:r>
      <w:r>
        <w:rPr>
          <w:sz w:val="21"/>
        </w:rPr>
        <w:t>油</w:t>
      </w:r>
      <w:r>
        <w:rPr>
          <w:spacing w:val="-3"/>
          <w:sz w:val="21"/>
        </w:rPr>
        <w:t>罐</w:t>
      </w:r>
      <w:r>
        <w:rPr>
          <w:sz w:val="21"/>
        </w:rPr>
        <w:t>；</w:t>
      </w:r>
      <w:r>
        <w:rPr>
          <w:spacing w:val="-3"/>
          <w:sz w:val="21"/>
        </w:rPr>
        <w:t>并</w:t>
      </w:r>
      <w:r>
        <w:rPr>
          <w:sz w:val="21"/>
        </w:rPr>
        <w:t>应</w:t>
      </w:r>
      <w:r>
        <w:rPr>
          <w:spacing w:val="-3"/>
          <w:sz w:val="21"/>
        </w:rPr>
        <w:t>设</w:t>
      </w:r>
      <w:r>
        <w:rPr>
          <w:sz w:val="21"/>
        </w:rPr>
        <w:t>置在</w:t>
      </w:r>
      <w:r>
        <w:rPr>
          <w:spacing w:val="-3"/>
          <w:sz w:val="21"/>
        </w:rPr>
        <w:t>浮</w:t>
      </w:r>
      <w:r>
        <w:rPr>
          <w:sz w:val="21"/>
        </w:rPr>
        <w:t>盘</w:t>
      </w:r>
      <w:r>
        <w:rPr>
          <w:spacing w:val="-3"/>
          <w:sz w:val="21"/>
        </w:rPr>
        <w:t>的</w:t>
      </w:r>
      <w:r>
        <w:rPr>
          <w:sz w:val="21"/>
        </w:rPr>
        <w:t>堰</w:t>
      </w:r>
      <w:r>
        <w:rPr>
          <w:spacing w:val="-3"/>
          <w:sz w:val="21"/>
        </w:rPr>
        <w:t>板</w:t>
      </w:r>
      <w:r>
        <w:rPr>
          <w:sz w:val="21"/>
        </w:rPr>
        <w:t>上</w:t>
      </w:r>
      <w:r>
        <w:rPr>
          <w:spacing w:val="-3"/>
          <w:sz w:val="21"/>
        </w:rPr>
        <w:t>。</w:t>
      </w:r>
      <w:r>
        <w:rPr>
          <w:sz w:val="21"/>
        </w:rPr>
        <w:t xml:space="preserve"> </w:t>
      </w:r>
      <w:r>
        <w:rPr>
          <w:sz w:val="21"/>
        </w:rPr>
        <w:tab/>
      </w:r>
      <w:r>
        <w:rPr>
          <w:sz w:val="21"/>
        </w:rPr>
        <w:t xml:space="preserve">  </w:t>
      </w:r>
      <w:r>
        <w:rPr>
          <w:sz w:val="21"/>
        </w:rPr>
        <w:tab/>
      </w:r>
      <w:r>
        <w:rPr>
          <w:sz w:val="21"/>
        </w:rPr>
        <w:t xml:space="preserve">  </w:t>
      </w:r>
      <w:r>
        <w:rPr>
          <w:sz w:val="21"/>
        </w:rPr>
        <w:tab/>
      </w:r>
      <w:r>
        <w:rPr>
          <w:sz w:val="21"/>
        </w:rPr>
        <w:t xml:space="preserve">  </w:t>
      </w:r>
    </w:p>
    <w:p w14:paraId="26C6CAD8" w14:textId="77777777" w:rsidR="00A71EEF" w:rsidRDefault="0081115D">
      <w:pPr>
        <w:pStyle w:val="a4"/>
        <w:numPr>
          <w:ilvl w:val="2"/>
          <w:numId w:val="324"/>
        </w:numPr>
        <w:tabs>
          <w:tab w:val="left" w:pos="1478"/>
          <w:tab w:val="left" w:pos="6718"/>
        </w:tabs>
        <w:ind w:left="1477" w:hanging="638"/>
        <w:rPr>
          <w:sz w:val="21"/>
        </w:rPr>
      </w:pPr>
      <w:r>
        <w:rPr>
          <w:spacing w:val="-3"/>
          <w:sz w:val="21"/>
        </w:rPr>
        <w:t>除</w:t>
      </w:r>
      <w:r>
        <w:rPr>
          <w:spacing w:val="-1"/>
          <w:sz w:val="21"/>
        </w:rPr>
        <w:t>浮</w:t>
      </w:r>
      <w:r>
        <w:rPr>
          <w:spacing w:val="-3"/>
          <w:sz w:val="21"/>
        </w:rPr>
        <w:t>顶</w:t>
      </w:r>
      <w:r>
        <w:rPr>
          <w:spacing w:val="-1"/>
          <w:sz w:val="21"/>
        </w:rPr>
        <w:t>和</w:t>
      </w:r>
      <w:r>
        <w:rPr>
          <w:sz w:val="21"/>
        </w:rPr>
        <w:t>卧式</w:t>
      </w:r>
      <w:r>
        <w:rPr>
          <w:spacing w:val="-3"/>
          <w:sz w:val="21"/>
        </w:rPr>
        <w:t>油罐</w:t>
      </w:r>
      <w:r>
        <w:rPr>
          <w:sz w:val="21"/>
        </w:rPr>
        <w:t>外的</w:t>
      </w:r>
      <w:r>
        <w:rPr>
          <w:spacing w:val="-3"/>
          <w:sz w:val="21"/>
        </w:rPr>
        <w:t>其</w:t>
      </w:r>
      <w:r>
        <w:rPr>
          <w:sz w:val="21"/>
        </w:rPr>
        <w:t>他</w:t>
      </w:r>
      <w:r>
        <w:rPr>
          <w:spacing w:val="-3"/>
          <w:sz w:val="21"/>
        </w:rPr>
        <w:t>油</w:t>
      </w:r>
      <w:r>
        <w:rPr>
          <w:sz w:val="21"/>
        </w:rPr>
        <w:t>罐</w:t>
      </w:r>
      <w:r>
        <w:rPr>
          <w:spacing w:val="-3"/>
          <w:sz w:val="21"/>
        </w:rPr>
        <w:t>宜</w:t>
      </w:r>
      <w:r>
        <w:rPr>
          <w:sz w:val="21"/>
        </w:rPr>
        <w:t>采</w:t>
      </w:r>
      <w:r>
        <w:rPr>
          <w:spacing w:val="-3"/>
          <w:sz w:val="21"/>
        </w:rPr>
        <w:t>用</w:t>
      </w:r>
      <w:r>
        <w:rPr>
          <w:sz w:val="21"/>
        </w:rPr>
        <w:t>火</w:t>
      </w:r>
      <w:r>
        <w:rPr>
          <w:spacing w:val="-3"/>
          <w:sz w:val="21"/>
        </w:rPr>
        <w:t>焰</w:t>
      </w:r>
      <w:r>
        <w:rPr>
          <w:sz w:val="21"/>
        </w:rPr>
        <w:t>探测</w:t>
      </w:r>
      <w:r>
        <w:rPr>
          <w:spacing w:val="-3"/>
          <w:sz w:val="21"/>
        </w:rPr>
        <w:t>器。</w:t>
      </w:r>
      <w:r>
        <w:rPr>
          <w:sz w:val="21"/>
        </w:rPr>
        <w:t xml:space="preserve"> </w:t>
      </w:r>
      <w:r>
        <w:rPr>
          <w:sz w:val="21"/>
        </w:rPr>
        <w:tab/>
      </w:r>
      <w:r>
        <w:rPr>
          <w:sz w:val="21"/>
        </w:rPr>
        <w:t xml:space="preserve">  </w:t>
      </w:r>
    </w:p>
    <w:p w14:paraId="33607DE9" w14:textId="77777777" w:rsidR="00A71EEF" w:rsidRDefault="00A71EEF">
      <w:pPr>
        <w:pStyle w:val="a3"/>
        <w:rPr>
          <w:sz w:val="18"/>
        </w:rPr>
      </w:pPr>
    </w:p>
    <w:p w14:paraId="17CB2B63" w14:textId="77777777" w:rsidR="00A71EEF" w:rsidRDefault="0081115D">
      <w:pPr>
        <w:pStyle w:val="a4"/>
        <w:numPr>
          <w:ilvl w:val="2"/>
          <w:numId w:val="324"/>
        </w:numPr>
        <w:tabs>
          <w:tab w:val="left" w:pos="1478"/>
        </w:tabs>
        <w:ind w:left="1477" w:hanging="638"/>
        <w:rPr>
          <w:sz w:val="21"/>
        </w:rPr>
      </w:pPr>
      <w:r>
        <w:rPr>
          <w:spacing w:val="4"/>
          <w:sz w:val="21"/>
        </w:rPr>
        <w:t>采用光栅光纤感温火灾探测器保护外浮顶油罐时，两个相邻光栅间距离不应大于</w:t>
      </w:r>
      <w:r>
        <w:rPr>
          <w:sz w:val="21"/>
        </w:rPr>
        <w:t xml:space="preserve"> </w:t>
      </w:r>
    </w:p>
    <w:p w14:paraId="684C4356" w14:textId="77777777" w:rsidR="00A71EEF" w:rsidRDefault="00A71EEF">
      <w:pPr>
        <w:pStyle w:val="a3"/>
        <w:spacing w:before="12"/>
        <w:rPr>
          <w:sz w:val="17"/>
        </w:rPr>
      </w:pPr>
    </w:p>
    <w:p w14:paraId="50C03A4B" w14:textId="77777777" w:rsidR="00A71EEF" w:rsidRDefault="0081115D">
      <w:pPr>
        <w:pStyle w:val="a3"/>
        <w:ind w:left="418"/>
      </w:pPr>
      <w:r>
        <w:t xml:space="preserve">3m </w:t>
      </w:r>
      <w:r>
        <w:t>。</w:t>
      </w:r>
      <w:r>
        <w:t xml:space="preserve"> </w:t>
      </w:r>
    </w:p>
    <w:p w14:paraId="79893957" w14:textId="77777777" w:rsidR="00A71EEF" w:rsidRDefault="00A71EEF">
      <w:pPr>
        <w:pStyle w:val="a3"/>
        <w:spacing w:before="2"/>
        <w:rPr>
          <w:sz w:val="18"/>
        </w:rPr>
      </w:pPr>
    </w:p>
    <w:p w14:paraId="2069C69A" w14:textId="77777777" w:rsidR="00A71EEF" w:rsidRDefault="0081115D">
      <w:pPr>
        <w:pStyle w:val="a4"/>
        <w:numPr>
          <w:ilvl w:val="2"/>
          <w:numId w:val="324"/>
        </w:numPr>
        <w:tabs>
          <w:tab w:val="left" w:pos="1478"/>
        </w:tabs>
        <w:spacing w:line="446" w:lineRule="auto"/>
        <w:ind w:right="1434" w:firstLine="422"/>
        <w:rPr>
          <w:sz w:val="21"/>
        </w:rPr>
      </w:pPr>
      <w:r>
        <w:rPr>
          <w:spacing w:val="-3"/>
          <w:sz w:val="21"/>
        </w:rPr>
        <w:t>油罐区可在高架杆等高位处设置点型红外火焰探测器或图像型火灾探测器做辅助探</w:t>
      </w:r>
      <w:r>
        <w:rPr>
          <w:spacing w:val="-3"/>
          <w:sz w:val="21"/>
        </w:rPr>
        <w:t xml:space="preserve"> </w:t>
      </w:r>
      <w:r>
        <w:rPr>
          <w:spacing w:val="-3"/>
          <w:sz w:val="21"/>
        </w:rPr>
        <w:t>测。</w:t>
      </w:r>
      <w:r>
        <w:rPr>
          <w:sz w:val="21"/>
        </w:rPr>
        <w:t xml:space="preserve"> </w:t>
      </w:r>
    </w:p>
    <w:p w14:paraId="14F4CF80" w14:textId="77777777" w:rsidR="00A71EEF" w:rsidRDefault="0081115D">
      <w:pPr>
        <w:pStyle w:val="a4"/>
        <w:numPr>
          <w:ilvl w:val="2"/>
          <w:numId w:val="324"/>
        </w:numPr>
        <w:tabs>
          <w:tab w:val="left" w:pos="1478"/>
        </w:tabs>
        <w:spacing w:line="267" w:lineRule="exact"/>
        <w:ind w:left="1477" w:hanging="638"/>
        <w:rPr>
          <w:sz w:val="21"/>
        </w:rPr>
      </w:pPr>
      <w:r>
        <w:rPr>
          <w:spacing w:val="-3"/>
          <w:sz w:val="21"/>
        </w:rPr>
        <w:t>火灾报警信号宜联动报警区域内的工业视频装置确认火灾。</w:t>
      </w:r>
      <w:r>
        <w:rPr>
          <w:spacing w:val="-12"/>
          <w:sz w:val="21"/>
        </w:rPr>
        <w:t xml:space="preserve"> </w:t>
      </w:r>
      <w:r>
        <w:rPr>
          <w:sz w:val="21"/>
        </w:rPr>
        <w:t xml:space="preserve">  </w:t>
      </w:r>
    </w:p>
    <w:p w14:paraId="0EC914E7" w14:textId="77777777" w:rsidR="00A71EEF" w:rsidRDefault="00A71EEF">
      <w:pPr>
        <w:pStyle w:val="a3"/>
        <w:spacing w:before="2"/>
        <w:rPr>
          <w:sz w:val="18"/>
        </w:rPr>
      </w:pPr>
    </w:p>
    <w:p w14:paraId="5333AC9F" w14:textId="77777777" w:rsidR="00A71EEF" w:rsidRDefault="0081115D">
      <w:pPr>
        <w:pStyle w:val="a4"/>
        <w:numPr>
          <w:ilvl w:val="1"/>
          <w:numId w:val="324"/>
        </w:numPr>
        <w:tabs>
          <w:tab w:val="left" w:pos="1318"/>
        </w:tabs>
        <w:jc w:val="both"/>
        <w:rPr>
          <w:sz w:val="21"/>
        </w:rPr>
      </w:pPr>
      <w:r>
        <w:rPr>
          <w:spacing w:val="-3"/>
          <w:sz w:val="21"/>
        </w:rPr>
        <w:t>电缆隧道</w:t>
      </w:r>
      <w:r>
        <w:rPr>
          <w:sz w:val="21"/>
        </w:rPr>
        <w:t xml:space="preserve"> </w:t>
      </w:r>
    </w:p>
    <w:p w14:paraId="00722D47" w14:textId="77777777" w:rsidR="00A71EEF" w:rsidRDefault="00A71EEF">
      <w:pPr>
        <w:pStyle w:val="a3"/>
        <w:rPr>
          <w:sz w:val="18"/>
        </w:rPr>
      </w:pPr>
    </w:p>
    <w:p w14:paraId="373FA448" w14:textId="77777777" w:rsidR="00A71EEF" w:rsidRDefault="0081115D">
      <w:pPr>
        <w:pStyle w:val="a4"/>
        <w:numPr>
          <w:ilvl w:val="2"/>
          <w:numId w:val="324"/>
        </w:numPr>
        <w:tabs>
          <w:tab w:val="left" w:pos="1478"/>
        </w:tabs>
        <w:spacing w:line="446" w:lineRule="auto"/>
        <w:ind w:right="1430" w:firstLine="422"/>
        <w:jc w:val="both"/>
        <w:rPr>
          <w:sz w:val="21"/>
        </w:rPr>
      </w:pPr>
      <w:r>
        <w:rPr>
          <w:spacing w:val="-3"/>
          <w:sz w:val="21"/>
        </w:rPr>
        <w:t>隧道外的电缆接头、端子等发热部位应设置测温式电气火灾监控探测器，探测器的</w:t>
      </w:r>
      <w:r>
        <w:rPr>
          <w:spacing w:val="-3"/>
          <w:sz w:val="21"/>
        </w:rPr>
        <w:t xml:space="preserve"> </w:t>
      </w:r>
      <w:r>
        <w:rPr>
          <w:spacing w:val="-2"/>
          <w:sz w:val="21"/>
        </w:rPr>
        <w:t>设置应符合本规范第</w:t>
      </w:r>
      <w:r>
        <w:rPr>
          <w:spacing w:val="-2"/>
          <w:sz w:val="21"/>
        </w:rPr>
        <w:t xml:space="preserve"> </w:t>
      </w:r>
      <w:r>
        <w:rPr>
          <w:sz w:val="21"/>
        </w:rPr>
        <w:t>9</w:t>
      </w:r>
      <w:r>
        <w:rPr>
          <w:spacing w:val="-3"/>
          <w:sz w:val="21"/>
        </w:rPr>
        <w:t xml:space="preserve"> </w:t>
      </w:r>
      <w:r>
        <w:rPr>
          <w:spacing w:val="-3"/>
          <w:sz w:val="21"/>
        </w:rPr>
        <w:t>章的有关规定；除隧道内所有电缆的燃烧性能均为</w:t>
      </w:r>
      <w:r>
        <w:rPr>
          <w:spacing w:val="-3"/>
          <w:sz w:val="21"/>
        </w:rPr>
        <w:t xml:space="preserve"> A </w:t>
      </w:r>
      <w:r>
        <w:rPr>
          <w:spacing w:val="-3"/>
          <w:sz w:val="21"/>
        </w:rPr>
        <w:t>级外，隧道内应沿</w:t>
      </w:r>
      <w:r>
        <w:rPr>
          <w:spacing w:val="-6"/>
          <w:sz w:val="21"/>
        </w:rPr>
        <w:t>电缆设置线型感温火灾探测器，且在电缆接头、端子等发热部位应保证有效探测长度；隧道内设</w:t>
      </w:r>
      <w:r>
        <w:rPr>
          <w:spacing w:val="-4"/>
          <w:sz w:val="21"/>
        </w:rPr>
        <w:t>置的线型感温火灾探测器可接入电气火灾监控器。</w:t>
      </w:r>
      <w:r>
        <w:rPr>
          <w:sz w:val="21"/>
        </w:rPr>
        <w:t xml:space="preserve">   </w:t>
      </w:r>
      <w:r>
        <w:rPr>
          <w:spacing w:val="-3"/>
          <w:sz w:val="21"/>
        </w:rPr>
        <w:t xml:space="preserve"> </w:t>
      </w:r>
      <w:r>
        <w:rPr>
          <w:sz w:val="21"/>
        </w:rPr>
        <w:t xml:space="preserve">  </w:t>
      </w:r>
      <w:r>
        <w:rPr>
          <w:sz w:val="21"/>
        </w:rPr>
        <w:t xml:space="preserve"> </w:t>
      </w:r>
      <w:r>
        <w:rPr>
          <w:spacing w:val="-2"/>
          <w:sz w:val="21"/>
        </w:rPr>
        <w:t xml:space="preserve"> </w:t>
      </w:r>
      <w:r>
        <w:rPr>
          <w:sz w:val="21"/>
        </w:rPr>
        <w:t xml:space="preserve">  </w:t>
      </w:r>
    </w:p>
    <w:p w14:paraId="1F8E2D6F" w14:textId="77777777" w:rsidR="00A71EEF" w:rsidRDefault="0081115D">
      <w:pPr>
        <w:pStyle w:val="a4"/>
        <w:numPr>
          <w:ilvl w:val="2"/>
          <w:numId w:val="324"/>
        </w:numPr>
        <w:tabs>
          <w:tab w:val="left" w:pos="1478"/>
        </w:tabs>
        <w:spacing w:line="446" w:lineRule="auto"/>
        <w:ind w:right="1434" w:firstLine="422"/>
        <w:jc w:val="both"/>
        <w:rPr>
          <w:b/>
          <w:sz w:val="21"/>
        </w:rPr>
      </w:pPr>
      <w:r>
        <w:rPr>
          <w:spacing w:val="-3"/>
          <w:sz w:val="21"/>
        </w:rPr>
        <w:t>无外部火源进入的电缆隧道应在电缆层上表面设置线型感温火灾探测器；有外部火</w:t>
      </w:r>
      <w:r>
        <w:rPr>
          <w:spacing w:val="-3"/>
          <w:sz w:val="21"/>
        </w:rPr>
        <w:t xml:space="preserve"> </w:t>
      </w:r>
      <w:r>
        <w:rPr>
          <w:spacing w:val="-3"/>
          <w:sz w:val="21"/>
        </w:rPr>
        <w:t>源进入可</w:t>
      </w:r>
      <w:r>
        <w:rPr>
          <w:spacing w:val="-3"/>
          <w:sz w:val="21"/>
        </w:rPr>
        <w:t xml:space="preserve"> </w:t>
      </w:r>
      <w:r>
        <w:rPr>
          <w:spacing w:val="-3"/>
          <w:sz w:val="21"/>
        </w:rPr>
        <w:t>能的电缆隧道在电缆层上表面和隧道顶部，均应设置线型感温火灾探测器。</w:t>
      </w:r>
      <w:r>
        <w:rPr>
          <w:b/>
          <w:spacing w:val="-3"/>
          <w:w w:val="99"/>
          <w:sz w:val="21"/>
        </w:rPr>
        <w:t xml:space="preserve"> </w:t>
      </w:r>
    </w:p>
    <w:p w14:paraId="2C71C102" w14:textId="77777777" w:rsidR="00A71EEF" w:rsidRDefault="0081115D">
      <w:pPr>
        <w:pStyle w:val="a4"/>
        <w:numPr>
          <w:ilvl w:val="2"/>
          <w:numId w:val="324"/>
        </w:numPr>
        <w:tabs>
          <w:tab w:val="left" w:pos="1478"/>
        </w:tabs>
        <w:spacing w:line="446" w:lineRule="auto"/>
        <w:ind w:right="1431" w:firstLine="422"/>
        <w:jc w:val="both"/>
        <w:rPr>
          <w:sz w:val="21"/>
        </w:rPr>
      </w:pPr>
      <w:r>
        <w:rPr>
          <w:spacing w:val="-6"/>
          <w:sz w:val="21"/>
        </w:rPr>
        <w:t>线型感温火灾探测器采用</w:t>
      </w:r>
      <w:r>
        <w:rPr>
          <w:spacing w:val="-6"/>
          <w:sz w:val="21"/>
        </w:rPr>
        <w:t>“S</w:t>
      </w:r>
      <w:r>
        <w:rPr>
          <w:spacing w:val="-4"/>
          <w:sz w:val="21"/>
        </w:rPr>
        <w:t>”</w:t>
      </w:r>
      <w:r>
        <w:rPr>
          <w:spacing w:val="-4"/>
          <w:sz w:val="21"/>
        </w:rPr>
        <w:t>形布置或有外部火源进入可能的电缆隧道内，应采用</w:t>
      </w:r>
      <w:r>
        <w:rPr>
          <w:spacing w:val="-3"/>
          <w:sz w:val="21"/>
        </w:rPr>
        <w:t>能响应火</w:t>
      </w:r>
      <w:r>
        <w:rPr>
          <w:spacing w:val="-3"/>
          <w:sz w:val="21"/>
        </w:rPr>
        <w:t xml:space="preserve"> </w:t>
      </w:r>
      <w:r>
        <w:rPr>
          <w:spacing w:val="-3"/>
          <w:sz w:val="21"/>
        </w:rPr>
        <w:t>焰规模不大于</w:t>
      </w:r>
      <w:r>
        <w:rPr>
          <w:spacing w:val="-3"/>
          <w:sz w:val="21"/>
        </w:rPr>
        <w:t xml:space="preserve"> </w:t>
      </w:r>
      <w:r>
        <w:rPr>
          <w:sz w:val="21"/>
        </w:rPr>
        <w:t>100mm</w:t>
      </w:r>
      <w:r>
        <w:rPr>
          <w:spacing w:val="-3"/>
          <w:sz w:val="21"/>
        </w:rPr>
        <w:t xml:space="preserve"> </w:t>
      </w:r>
      <w:r>
        <w:rPr>
          <w:spacing w:val="-3"/>
          <w:sz w:val="21"/>
        </w:rPr>
        <w:t>的线型感温火灾探测器。</w:t>
      </w:r>
      <w:r>
        <w:rPr>
          <w:sz w:val="21"/>
        </w:rPr>
        <w:t xml:space="preserve">  </w:t>
      </w:r>
      <w:r>
        <w:rPr>
          <w:sz w:val="21"/>
        </w:rPr>
        <w:t xml:space="preserve">  </w:t>
      </w:r>
      <w:r>
        <w:rPr>
          <w:sz w:val="21"/>
        </w:rPr>
        <w:t xml:space="preserve"> </w:t>
      </w:r>
      <w:r>
        <w:rPr>
          <w:spacing w:val="-2"/>
          <w:sz w:val="21"/>
        </w:rPr>
        <w:t xml:space="preserve"> </w:t>
      </w:r>
      <w:r>
        <w:rPr>
          <w:sz w:val="21"/>
        </w:rPr>
        <w:t xml:space="preserve">  </w:t>
      </w:r>
    </w:p>
    <w:p w14:paraId="230640B8" w14:textId="77777777" w:rsidR="00A71EEF" w:rsidRDefault="0081115D">
      <w:pPr>
        <w:pStyle w:val="a4"/>
        <w:numPr>
          <w:ilvl w:val="2"/>
          <w:numId w:val="324"/>
        </w:numPr>
        <w:tabs>
          <w:tab w:val="left" w:pos="1478"/>
          <w:tab w:val="left" w:pos="7138"/>
          <w:tab w:val="left" w:pos="7558"/>
        </w:tabs>
        <w:spacing w:line="446" w:lineRule="auto"/>
        <w:ind w:right="1225" w:firstLine="422"/>
        <w:rPr>
          <w:sz w:val="21"/>
        </w:rPr>
      </w:pPr>
      <w:r>
        <w:rPr>
          <w:sz w:val="21"/>
        </w:rPr>
        <w:t>线型</w:t>
      </w:r>
      <w:r>
        <w:rPr>
          <w:spacing w:val="-3"/>
          <w:sz w:val="21"/>
        </w:rPr>
        <w:t>感</w:t>
      </w:r>
      <w:r>
        <w:rPr>
          <w:sz w:val="21"/>
        </w:rPr>
        <w:t>温火</w:t>
      </w:r>
      <w:r>
        <w:rPr>
          <w:spacing w:val="-3"/>
          <w:sz w:val="21"/>
        </w:rPr>
        <w:t>灾探</w:t>
      </w:r>
      <w:r>
        <w:rPr>
          <w:sz w:val="21"/>
        </w:rPr>
        <w:t>测器应</w:t>
      </w:r>
      <w:r>
        <w:rPr>
          <w:spacing w:val="-3"/>
          <w:sz w:val="21"/>
        </w:rPr>
        <w:t>采</w:t>
      </w:r>
      <w:r>
        <w:rPr>
          <w:sz w:val="21"/>
        </w:rPr>
        <w:t>用接</w:t>
      </w:r>
      <w:r>
        <w:rPr>
          <w:spacing w:val="-3"/>
          <w:sz w:val="21"/>
        </w:rPr>
        <w:t>触</w:t>
      </w:r>
      <w:r>
        <w:rPr>
          <w:sz w:val="21"/>
        </w:rPr>
        <w:t>式的</w:t>
      </w:r>
      <w:r>
        <w:rPr>
          <w:spacing w:val="-3"/>
          <w:sz w:val="21"/>
        </w:rPr>
        <w:t>敷设</w:t>
      </w:r>
      <w:r>
        <w:rPr>
          <w:sz w:val="21"/>
        </w:rPr>
        <w:t>方式对</w:t>
      </w:r>
      <w:r>
        <w:rPr>
          <w:spacing w:val="-3"/>
          <w:sz w:val="21"/>
        </w:rPr>
        <w:t>隧</w:t>
      </w:r>
      <w:r>
        <w:rPr>
          <w:sz w:val="21"/>
        </w:rPr>
        <w:t>道内</w:t>
      </w:r>
      <w:r>
        <w:rPr>
          <w:spacing w:val="-3"/>
          <w:sz w:val="21"/>
        </w:rPr>
        <w:t>的</w:t>
      </w:r>
      <w:r>
        <w:rPr>
          <w:sz w:val="21"/>
        </w:rPr>
        <w:t>所有</w:t>
      </w:r>
      <w:r>
        <w:rPr>
          <w:spacing w:val="-3"/>
          <w:sz w:val="21"/>
        </w:rPr>
        <w:t>的动</w:t>
      </w:r>
      <w:r>
        <w:rPr>
          <w:sz w:val="21"/>
        </w:rPr>
        <w:t>力电缆</w:t>
      </w:r>
      <w:r>
        <w:rPr>
          <w:spacing w:val="-3"/>
          <w:sz w:val="21"/>
        </w:rPr>
        <w:t>进</w:t>
      </w:r>
      <w:r>
        <w:rPr>
          <w:sz w:val="21"/>
        </w:rPr>
        <w:t>行探</w:t>
      </w:r>
      <w:r>
        <w:rPr>
          <w:spacing w:val="-3"/>
          <w:sz w:val="21"/>
        </w:rPr>
        <w:t>测</w:t>
      </w:r>
      <w:r>
        <w:rPr>
          <w:sz w:val="21"/>
        </w:rPr>
        <w:t>；</w:t>
      </w:r>
      <w:r>
        <w:rPr>
          <w:sz w:val="21"/>
        </w:rPr>
        <w:t xml:space="preserve"> </w:t>
      </w:r>
      <w:r>
        <w:rPr>
          <w:sz w:val="21"/>
        </w:rPr>
        <w:t>缆式线型感温火灾探测器应采用</w:t>
      </w:r>
      <w:r>
        <w:rPr>
          <w:sz w:val="21"/>
        </w:rPr>
        <w:t>―S‖</w:t>
      </w:r>
      <w:r>
        <w:rPr>
          <w:sz w:val="21"/>
        </w:rPr>
        <w:t>形布置在每层电缆的上表面，线型光纤感温火灾探测器应</w:t>
      </w:r>
      <w:r>
        <w:rPr>
          <w:sz w:val="21"/>
        </w:rPr>
        <w:t xml:space="preserve"> </w:t>
      </w:r>
      <w:r>
        <w:rPr>
          <w:sz w:val="21"/>
        </w:rPr>
        <w:t>采用</w:t>
      </w:r>
      <w:r>
        <w:rPr>
          <w:spacing w:val="-3"/>
          <w:sz w:val="21"/>
        </w:rPr>
        <w:t>一</w:t>
      </w:r>
      <w:r>
        <w:rPr>
          <w:sz w:val="21"/>
        </w:rPr>
        <w:t>根</w:t>
      </w:r>
      <w:r>
        <w:rPr>
          <w:spacing w:val="-3"/>
          <w:sz w:val="21"/>
        </w:rPr>
        <w:t>感</w:t>
      </w:r>
      <w:r>
        <w:rPr>
          <w:sz w:val="21"/>
        </w:rPr>
        <w:t>温</w:t>
      </w:r>
      <w:r>
        <w:rPr>
          <w:spacing w:val="32"/>
          <w:sz w:val="21"/>
        </w:rPr>
        <w:t xml:space="preserve"> </w:t>
      </w:r>
      <w:r>
        <w:rPr>
          <w:sz w:val="21"/>
        </w:rPr>
        <w:t>光</w:t>
      </w:r>
      <w:r>
        <w:rPr>
          <w:spacing w:val="-3"/>
          <w:sz w:val="21"/>
        </w:rPr>
        <w:t>缆</w:t>
      </w:r>
      <w:r>
        <w:rPr>
          <w:sz w:val="21"/>
        </w:rPr>
        <w:t>保</w:t>
      </w:r>
      <w:r>
        <w:rPr>
          <w:spacing w:val="-3"/>
          <w:sz w:val="21"/>
        </w:rPr>
        <w:t>护一</w:t>
      </w:r>
      <w:r>
        <w:rPr>
          <w:sz w:val="21"/>
        </w:rPr>
        <w:t>根动</w:t>
      </w:r>
      <w:r>
        <w:rPr>
          <w:spacing w:val="-3"/>
          <w:sz w:val="21"/>
        </w:rPr>
        <w:t>力</w:t>
      </w:r>
      <w:r>
        <w:rPr>
          <w:sz w:val="21"/>
        </w:rPr>
        <w:t>电</w:t>
      </w:r>
      <w:r>
        <w:rPr>
          <w:spacing w:val="-3"/>
          <w:sz w:val="21"/>
        </w:rPr>
        <w:t>缆</w:t>
      </w:r>
      <w:r>
        <w:rPr>
          <w:sz w:val="21"/>
        </w:rPr>
        <w:t>的</w:t>
      </w:r>
      <w:r>
        <w:rPr>
          <w:spacing w:val="-3"/>
          <w:sz w:val="21"/>
        </w:rPr>
        <w:t>方</w:t>
      </w:r>
      <w:r>
        <w:rPr>
          <w:sz w:val="21"/>
        </w:rPr>
        <w:t>式</w:t>
      </w:r>
      <w:r>
        <w:rPr>
          <w:spacing w:val="-3"/>
          <w:sz w:val="21"/>
        </w:rPr>
        <w:t>，</w:t>
      </w:r>
      <w:r>
        <w:rPr>
          <w:sz w:val="21"/>
        </w:rPr>
        <w:t>并</w:t>
      </w:r>
      <w:r>
        <w:rPr>
          <w:spacing w:val="-3"/>
          <w:sz w:val="21"/>
        </w:rPr>
        <w:t>应</w:t>
      </w:r>
      <w:r>
        <w:rPr>
          <w:sz w:val="21"/>
        </w:rPr>
        <w:t>沿动</w:t>
      </w:r>
      <w:r>
        <w:rPr>
          <w:spacing w:val="-3"/>
          <w:sz w:val="21"/>
        </w:rPr>
        <w:t>力</w:t>
      </w:r>
      <w:r>
        <w:rPr>
          <w:sz w:val="21"/>
        </w:rPr>
        <w:t>电</w:t>
      </w:r>
      <w:r>
        <w:rPr>
          <w:spacing w:val="-3"/>
          <w:sz w:val="21"/>
        </w:rPr>
        <w:t>缆</w:t>
      </w:r>
      <w:r>
        <w:rPr>
          <w:sz w:val="21"/>
        </w:rPr>
        <w:t>敷</w:t>
      </w:r>
      <w:r>
        <w:rPr>
          <w:spacing w:val="-3"/>
          <w:sz w:val="21"/>
        </w:rPr>
        <w:t>设。</w:t>
      </w:r>
      <w:r>
        <w:rPr>
          <w:sz w:val="21"/>
        </w:rPr>
        <w:t xml:space="preserve"> </w:t>
      </w:r>
      <w:r>
        <w:rPr>
          <w:sz w:val="21"/>
        </w:rPr>
        <w:tab/>
      </w:r>
      <w:r>
        <w:rPr>
          <w:sz w:val="21"/>
        </w:rPr>
        <w:t xml:space="preserve">  </w:t>
      </w:r>
      <w:r>
        <w:rPr>
          <w:sz w:val="21"/>
        </w:rPr>
        <w:tab/>
      </w:r>
      <w:r>
        <w:rPr>
          <w:sz w:val="21"/>
        </w:rPr>
        <w:t xml:space="preserve">  </w:t>
      </w:r>
    </w:p>
    <w:p w14:paraId="41EDA843" w14:textId="77777777" w:rsidR="00A71EEF" w:rsidRDefault="0081115D">
      <w:pPr>
        <w:pStyle w:val="a4"/>
        <w:numPr>
          <w:ilvl w:val="2"/>
          <w:numId w:val="324"/>
        </w:numPr>
        <w:tabs>
          <w:tab w:val="left" w:pos="1478"/>
        </w:tabs>
        <w:spacing w:line="446" w:lineRule="auto"/>
        <w:ind w:right="1430" w:firstLine="422"/>
        <w:jc w:val="both"/>
        <w:rPr>
          <w:sz w:val="21"/>
        </w:rPr>
      </w:pPr>
      <w:r>
        <w:rPr>
          <w:spacing w:val="-3"/>
          <w:sz w:val="21"/>
        </w:rPr>
        <w:t>分布式线型光纤感温火灾探测器在电缆接头、端子等发热部位敷设时，其感温光缆</w:t>
      </w:r>
      <w:r>
        <w:rPr>
          <w:spacing w:val="-3"/>
          <w:sz w:val="21"/>
        </w:rPr>
        <w:t xml:space="preserve"> </w:t>
      </w:r>
      <w:r>
        <w:rPr>
          <w:sz w:val="21"/>
        </w:rPr>
        <w:t>的延展长度不应少于探测单元长度的</w:t>
      </w:r>
      <w:r>
        <w:rPr>
          <w:sz w:val="21"/>
        </w:rPr>
        <w:t xml:space="preserve"> 1.5</w:t>
      </w:r>
      <w:r>
        <w:rPr>
          <w:spacing w:val="-3"/>
          <w:sz w:val="21"/>
        </w:rPr>
        <w:t xml:space="preserve"> </w:t>
      </w:r>
      <w:r>
        <w:rPr>
          <w:spacing w:val="-3"/>
          <w:sz w:val="21"/>
        </w:rPr>
        <w:t>倍；线型光栅光纤感温火灾探测器在电缆接头、端子等发热部位应</w:t>
      </w:r>
      <w:r>
        <w:rPr>
          <w:spacing w:val="-3"/>
          <w:sz w:val="21"/>
        </w:rPr>
        <w:t xml:space="preserve"> </w:t>
      </w:r>
      <w:r>
        <w:rPr>
          <w:spacing w:val="-3"/>
          <w:sz w:val="21"/>
        </w:rPr>
        <w:t>设置感温光栅。</w:t>
      </w:r>
      <w:r>
        <w:rPr>
          <w:sz w:val="21"/>
        </w:rPr>
        <w:t xml:space="preserve">    </w:t>
      </w:r>
      <w:r>
        <w:rPr>
          <w:spacing w:val="-2"/>
          <w:sz w:val="21"/>
        </w:rPr>
        <w:t xml:space="preserve"> </w:t>
      </w:r>
      <w:r>
        <w:rPr>
          <w:sz w:val="21"/>
        </w:rPr>
        <w:t xml:space="preserve">  </w:t>
      </w:r>
    </w:p>
    <w:p w14:paraId="555CEEE0" w14:textId="77777777" w:rsidR="00A71EEF" w:rsidRDefault="0081115D">
      <w:pPr>
        <w:pStyle w:val="a4"/>
        <w:numPr>
          <w:ilvl w:val="2"/>
          <w:numId w:val="324"/>
        </w:numPr>
        <w:tabs>
          <w:tab w:val="left" w:pos="1478"/>
        </w:tabs>
        <w:spacing w:line="268" w:lineRule="exact"/>
        <w:ind w:left="1477" w:hanging="638"/>
        <w:jc w:val="both"/>
        <w:rPr>
          <w:sz w:val="21"/>
        </w:rPr>
      </w:pPr>
      <w:r>
        <w:rPr>
          <w:spacing w:val="-3"/>
          <w:sz w:val="21"/>
        </w:rPr>
        <w:t>其他隧道内设置动力电缆时，除隧道顶部可不设置线型感温火灾探测器外，探测器</w:t>
      </w:r>
    </w:p>
    <w:p w14:paraId="6944EDBA" w14:textId="77777777" w:rsidR="00A71EEF" w:rsidRDefault="00A71EEF">
      <w:pPr>
        <w:spacing w:line="268" w:lineRule="exact"/>
        <w:jc w:val="both"/>
        <w:rPr>
          <w:sz w:val="21"/>
        </w:rPr>
        <w:sectPr w:rsidR="00A71EEF">
          <w:pgSz w:w="11910" w:h="16850"/>
          <w:pgMar w:top="1220" w:right="0" w:bottom="1420" w:left="1260" w:header="0" w:footer="1239" w:gutter="0"/>
          <w:cols w:space="720"/>
        </w:sectPr>
      </w:pPr>
    </w:p>
    <w:p w14:paraId="1460D70F" w14:textId="77777777" w:rsidR="00A71EEF" w:rsidRDefault="0081115D">
      <w:pPr>
        <w:pStyle w:val="a3"/>
        <w:spacing w:before="47" w:line="446" w:lineRule="auto"/>
        <w:ind w:left="840" w:right="6753" w:hanging="423"/>
      </w:pPr>
      <w:r>
        <w:t>设置均应</w:t>
      </w:r>
      <w:r>
        <w:t xml:space="preserve">   </w:t>
      </w:r>
      <w:r>
        <w:t>符合本规范的规定。</w:t>
      </w:r>
      <w:r>
        <w:rPr>
          <w:b/>
        </w:rPr>
        <w:t xml:space="preserve">12.4 </w:t>
      </w:r>
      <w:r>
        <w:t>高度大于</w:t>
      </w:r>
      <w:r>
        <w:t xml:space="preserve"> 12m </w:t>
      </w:r>
      <w:r>
        <w:t>的空间场所</w:t>
      </w:r>
      <w:r>
        <w:t xml:space="preserve"> </w:t>
      </w:r>
    </w:p>
    <w:p w14:paraId="62270FCC" w14:textId="77777777" w:rsidR="00A71EEF" w:rsidRDefault="0081115D">
      <w:pPr>
        <w:pStyle w:val="a4"/>
        <w:numPr>
          <w:ilvl w:val="2"/>
          <w:numId w:val="323"/>
        </w:numPr>
        <w:tabs>
          <w:tab w:val="left" w:pos="1478"/>
        </w:tabs>
        <w:spacing w:line="267" w:lineRule="exact"/>
        <w:ind w:hanging="638"/>
        <w:rPr>
          <w:sz w:val="21"/>
        </w:rPr>
      </w:pPr>
      <w:r>
        <w:rPr>
          <w:spacing w:val="-2"/>
          <w:sz w:val="21"/>
        </w:rPr>
        <w:t>高度大于</w:t>
      </w:r>
      <w:r>
        <w:rPr>
          <w:spacing w:val="-2"/>
          <w:sz w:val="21"/>
        </w:rPr>
        <w:t xml:space="preserve"> </w:t>
      </w:r>
      <w:r>
        <w:rPr>
          <w:sz w:val="21"/>
        </w:rPr>
        <w:t>12m</w:t>
      </w:r>
      <w:r>
        <w:rPr>
          <w:spacing w:val="-3"/>
          <w:sz w:val="21"/>
        </w:rPr>
        <w:t xml:space="preserve"> </w:t>
      </w:r>
      <w:r>
        <w:rPr>
          <w:spacing w:val="-3"/>
          <w:sz w:val="21"/>
        </w:rPr>
        <w:t>的空间场所宜同时选择两种及以上火灾参数的火灾探测器。</w:t>
      </w:r>
      <w:r>
        <w:rPr>
          <w:sz w:val="21"/>
        </w:rPr>
        <w:t xml:space="preserve"> </w:t>
      </w:r>
    </w:p>
    <w:p w14:paraId="0F95EB8A" w14:textId="77777777" w:rsidR="00A71EEF" w:rsidRDefault="00A71EEF">
      <w:pPr>
        <w:pStyle w:val="a3"/>
        <w:spacing w:before="2"/>
        <w:rPr>
          <w:sz w:val="18"/>
        </w:rPr>
      </w:pPr>
    </w:p>
    <w:p w14:paraId="0579CC3A" w14:textId="77777777" w:rsidR="00A71EEF" w:rsidRDefault="0081115D">
      <w:pPr>
        <w:pStyle w:val="a4"/>
        <w:numPr>
          <w:ilvl w:val="2"/>
          <w:numId w:val="323"/>
        </w:numPr>
        <w:tabs>
          <w:tab w:val="left" w:pos="1478"/>
          <w:tab w:val="left" w:pos="4198"/>
        </w:tabs>
        <w:spacing w:line="446" w:lineRule="auto"/>
        <w:ind w:left="418" w:right="1434" w:firstLine="422"/>
        <w:rPr>
          <w:sz w:val="21"/>
        </w:rPr>
      </w:pPr>
      <w:r>
        <w:rPr>
          <w:sz w:val="21"/>
        </w:rPr>
        <w:t>火灾</w:t>
      </w:r>
      <w:r>
        <w:rPr>
          <w:spacing w:val="-3"/>
          <w:sz w:val="21"/>
        </w:rPr>
        <w:t>初</w:t>
      </w:r>
      <w:r>
        <w:rPr>
          <w:sz w:val="21"/>
        </w:rPr>
        <w:t>期产</w:t>
      </w:r>
      <w:r>
        <w:rPr>
          <w:spacing w:val="-3"/>
          <w:sz w:val="21"/>
        </w:rPr>
        <w:t>生大</w:t>
      </w:r>
      <w:r>
        <w:rPr>
          <w:sz w:val="21"/>
        </w:rPr>
        <w:t>量烟的</w:t>
      </w:r>
      <w:r>
        <w:rPr>
          <w:spacing w:val="-3"/>
          <w:sz w:val="21"/>
        </w:rPr>
        <w:t>场</w:t>
      </w:r>
      <w:r>
        <w:rPr>
          <w:sz w:val="21"/>
        </w:rPr>
        <w:t>所，</w:t>
      </w:r>
      <w:r>
        <w:rPr>
          <w:spacing w:val="-3"/>
          <w:sz w:val="21"/>
        </w:rPr>
        <w:t>应</w:t>
      </w:r>
      <w:r>
        <w:rPr>
          <w:sz w:val="21"/>
        </w:rPr>
        <w:t>选择</w:t>
      </w:r>
      <w:r>
        <w:rPr>
          <w:spacing w:val="-3"/>
          <w:sz w:val="21"/>
        </w:rPr>
        <w:t>线型</w:t>
      </w:r>
      <w:r>
        <w:rPr>
          <w:sz w:val="21"/>
        </w:rPr>
        <w:t>光束感</w:t>
      </w:r>
      <w:r>
        <w:rPr>
          <w:spacing w:val="-3"/>
          <w:sz w:val="21"/>
        </w:rPr>
        <w:t>烟</w:t>
      </w:r>
      <w:r>
        <w:rPr>
          <w:sz w:val="21"/>
        </w:rPr>
        <w:t>火灾</w:t>
      </w:r>
      <w:r>
        <w:rPr>
          <w:spacing w:val="-3"/>
          <w:sz w:val="21"/>
        </w:rPr>
        <w:t>探</w:t>
      </w:r>
      <w:r>
        <w:rPr>
          <w:sz w:val="21"/>
        </w:rPr>
        <w:t>测器</w:t>
      </w:r>
      <w:r>
        <w:rPr>
          <w:spacing w:val="-3"/>
          <w:sz w:val="21"/>
        </w:rPr>
        <w:t>、管</w:t>
      </w:r>
      <w:r>
        <w:rPr>
          <w:sz w:val="21"/>
        </w:rPr>
        <w:t>路吸气</w:t>
      </w:r>
      <w:r>
        <w:rPr>
          <w:spacing w:val="-3"/>
          <w:sz w:val="21"/>
        </w:rPr>
        <w:t>式</w:t>
      </w:r>
      <w:r>
        <w:rPr>
          <w:sz w:val="21"/>
        </w:rPr>
        <w:t>感烟火</w:t>
      </w:r>
      <w:r>
        <w:rPr>
          <w:sz w:val="21"/>
        </w:rPr>
        <w:t xml:space="preserve"> </w:t>
      </w:r>
      <w:r>
        <w:rPr>
          <w:sz w:val="21"/>
        </w:rPr>
        <w:t>灾探</w:t>
      </w:r>
      <w:r>
        <w:rPr>
          <w:spacing w:val="-3"/>
          <w:sz w:val="21"/>
        </w:rPr>
        <w:t>测</w:t>
      </w:r>
      <w:r>
        <w:rPr>
          <w:sz w:val="21"/>
        </w:rPr>
        <w:t>器</w:t>
      </w:r>
      <w:r>
        <w:rPr>
          <w:spacing w:val="15"/>
          <w:sz w:val="21"/>
        </w:rPr>
        <w:t xml:space="preserve"> </w:t>
      </w:r>
      <w:r>
        <w:rPr>
          <w:sz w:val="21"/>
        </w:rPr>
        <w:t>或</w:t>
      </w:r>
      <w:r>
        <w:rPr>
          <w:spacing w:val="-3"/>
          <w:sz w:val="21"/>
        </w:rPr>
        <w:t>图</w:t>
      </w:r>
      <w:r>
        <w:rPr>
          <w:sz w:val="21"/>
        </w:rPr>
        <w:t>像</w:t>
      </w:r>
      <w:r>
        <w:rPr>
          <w:spacing w:val="-3"/>
          <w:sz w:val="21"/>
        </w:rPr>
        <w:t>型</w:t>
      </w:r>
      <w:r>
        <w:rPr>
          <w:sz w:val="21"/>
        </w:rPr>
        <w:t>感</w:t>
      </w:r>
      <w:r>
        <w:rPr>
          <w:spacing w:val="-3"/>
          <w:sz w:val="21"/>
        </w:rPr>
        <w:t>烟火</w:t>
      </w:r>
      <w:r>
        <w:rPr>
          <w:sz w:val="21"/>
        </w:rPr>
        <w:t>灾探</w:t>
      </w:r>
      <w:r>
        <w:rPr>
          <w:spacing w:val="-3"/>
          <w:sz w:val="21"/>
        </w:rPr>
        <w:t>测</w:t>
      </w:r>
      <w:r>
        <w:rPr>
          <w:sz w:val="21"/>
        </w:rPr>
        <w:t>器</w:t>
      </w:r>
      <w:r>
        <w:rPr>
          <w:spacing w:val="-3"/>
          <w:sz w:val="21"/>
        </w:rPr>
        <w:t>。</w:t>
      </w:r>
      <w:r>
        <w:rPr>
          <w:sz w:val="21"/>
        </w:rPr>
        <w:t xml:space="preserve"> </w:t>
      </w:r>
      <w:r>
        <w:rPr>
          <w:sz w:val="21"/>
        </w:rPr>
        <w:tab/>
      </w:r>
      <w:r>
        <w:rPr>
          <w:sz w:val="21"/>
        </w:rPr>
        <w:t xml:space="preserve">  </w:t>
      </w:r>
    </w:p>
    <w:p w14:paraId="2C9C7E4D" w14:textId="77777777" w:rsidR="00A71EEF" w:rsidRDefault="0081115D">
      <w:pPr>
        <w:pStyle w:val="a4"/>
        <w:numPr>
          <w:ilvl w:val="2"/>
          <w:numId w:val="323"/>
        </w:numPr>
        <w:tabs>
          <w:tab w:val="left" w:pos="1478"/>
        </w:tabs>
        <w:spacing w:line="267" w:lineRule="exact"/>
        <w:ind w:hanging="638"/>
        <w:rPr>
          <w:sz w:val="21"/>
        </w:rPr>
      </w:pPr>
      <w:r>
        <w:rPr>
          <w:spacing w:val="-3"/>
          <w:sz w:val="21"/>
        </w:rPr>
        <w:t>线型光束感烟火灾探测器的设置应符合下列要求</w:t>
      </w:r>
      <w:r>
        <w:rPr>
          <w:spacing w:val="-3"/>
          <w:sz w:val="21"/>
        </w:rPr>
        <w:t>：</w:t>
      </w:r>
      <w:r>
        <w:rPr>
          <w:sz w:val="21"/>
        </w:rPr>
        <w:t xml:space="preserve"> </w:t>
      </w:r>
    </w:p>
    <w:p w14:paraId="0AA6106A" w14:textId="77777777" w:rsidR="00A71EEF" w:rsidRDefault="00A71EEF">
      <w:pPr>
        <w:pStyle w:val="a3"/>
        <w:spacing w:before="2"/>
        <w:rPr>
          <w:sz w:val="18"/>
        </w:rPr>
      </w:pPr>
    </w:p>
    <w:p w14:paraId="1FD06E14" w14:textId="77777777" w:rsidR="00A71EEF" w:rsidRDefault="0081115D">
      <w:pPr>
        <w:pStyle w:val="a4"/>
        <w:numPr>
          <w:ilvl w:val="0"/>
          <w:numId w:val="322"/>
        </w:numPr>
        <w:tabs>
          <w:tab w:val="left" w:pos="1367"/>
        </w:tabs>
        <w:rPr>
          <w:sz w:val="21"/>
        </w:rPr>
      </w:pPr>
      <w:r>
        <w:rPr>
          <w:spacing w:val="-3"/>
          <w:sz w:val="21"/>
        </w:rPr>
        <w:t>探测器应设置在建筑顶部。</w:t>
      </w:r>
      <w:r>
        <w:rPr>
          <w:sz w:val="21"/>
        </w:rPr>
        <w:t xml:space="preserve"> </w:t>
      </w:r>
    </w:p>
    <w:p w14:paraId="1A1BB841" w14:textId="77777777" w:rsidR="00A71EEF" w:rsidRDefault="00A71EEF">
      <w:pPr>
        <w:pStyle w:val="a3"/>
        <w:rPr>
          <w:sz w:val="18"/>
        </w:rPr>
      </w:pPr>
    </w:p>
    <w:p w14:paraId="347857ED" w14:textId="77777777" w:rsidR="00A71EEF" w:rsidRDefault="0081115D">
      <w:pPr>
        <w:pStyle w:val="a4"/>
        <w:numPr>
          <w:ilvl w:val="0"/>
          <w:numId w:val="322"/>
        </w:numPr>
        <w:tabs>
          <w:tab w:val="left" w:pos="1367"/>
        </w:tabs>
        <w:rPr>
          <w:sz w:val="21"/>
        </w:rPr>
      </w:pPr>
      <w:r>
        <w:rPr>
          <w:spacing w:val="-3"/>
          <w:sz w:val="21"/>
        </w:rPr>
        <w:t>探测器宜采用分层组网的探测方式。</w:t>
      </w:r>
      <w:r>
        <w:rPr>
          <w:sz w:val="21"/>
        </w:rPr>
        <w:t xml:space="preserve"> </w:t>
      </w:r>
    </w:p>
    <w:p w14:paraId="07D1EF6D" w14:textId="77777777" w:rsidR="00A71EEF" w:rsidRDefault="00A71EEF">
      <w:pPr>
        <w:pStyle w:val="a3"/>
        <w:rPr>
          <w:sz w:val="18"/>
        </w:rPr>
      </w:pPr>
    </w:p>
    <w:p w14:paraId="1BDAD149" w14:textId="77777777" w:rsidR="00A71EEF" w:rsidRDefault="0081115D">
      <w:pPr>
        <w:pStyle w:val="a4"/>
        <w:numPr>
          <w:ilvl w:val="0"/>
          <w:numId w:val="322"/>
        </w:numPr>
        <w:tabs>
          <w:tab w:val="left" w:pos="1367"/>
        </w:tabs>
        <w:rPr>
          <w:sz w:val="21"/>
        </w:rPr>
      </w:pPr>
      <w:r>
        <w:rPr>
          <w:spacing w:val="-3"/>
          <w:sz w:val="21"/>
        </w:rPr>
        <w:t>建筑高度不超过</w:t>
      </w:r>
      <w:r>
        <w:rPr>
          <w:spacing w:val="-3"/>
          <w:sz w:val="21"/>
        </w:rPr>
        <w:t xml:space="preserve"> </w:t>
      </w:r>
      <w:r>
        <w:rPr>
          <w:sz w:val="21"/>
        </w:rPr>
        <w:t>16m</w:t>
      </w:r>
      <w:r>
        <w:rPr>
          <w:spacing w:val="-2"/>
          <w:sz w:val="21"/>
        </w:rPr>
        <w:t xml:space="preserve"> </w:t>
      </w:r>
      <w:r>
        <w:rPr>
          <w:spacing w:val="-2"/>
          <w:sz w:val="21"/>
        </w:rPr>
        <w:t>时，宜在</w:t>
      </w:r>
      <w:r>
        <w:rPr>
          <w:spacing w:val="-2"/>
          <w:sz w:val="21"/>
        </w:rPr>
        <w:t xml:space="preserve"> </w:t>
      </w:r>
      <w:r>
        <w:rPr>
          <w:sz w:val="21"/>
        </w:rPr>
        <w:t>6</w:t>
      </w:r>
      <w:r>
        <w:rPr>
          <w:sz w:val="21"/>
        </w:rPr>
        <w:t>～</w:t>
      </w:r>
      <w:r>
        <w:rPr>
          <w:sz w:val="21"/>
        </w:rPr>
        <w:t>7m</w:t>
      </w:r>
      <w:r>
        <w:rPr>
          <w:spacing w:val="-3"/>
          <w:sz w:val="21"/>
        </w:rPr>
        <w:t xml:space="preserve"> </w:t>
      </w:r>
      <w:r>
        <w:rPr>
          <w:spacing w:val="-3"/>
          <w:sz w:val="21"/>
        </w:rPr>
        <w:t>增设一层探测器。</w:t>
      </w:r>
      <w:r>
        <w:rPr>
          <w:sz w:val="21"/>
        </w:rPr>
        <w:t xml:space="preserve"> </w:t>
      </w:r>
    </w:p>
    <w:p w14:paraId="349BA933" w14:textId="77777777" w:rsidR="00A71EEF" w:rsidRDefault="00A71EEF">
      <w:pPr>
        <w:pStyle w:val="a3"/>
        <w:spacing w:before="1"/>
        <w:rPr>
          <w:sz w:val="18"/>
        </w:rPr>
      </w:pPr>
    </w:p>
    <w:p w14:paraId="52B6CE89" w14:textId="77777777" w:rsidR="00A71EEF" w:rsidRDefault="0081115D">
      <w:pPr>
        <w:pStyle w:val="a4"/>
        <w:numPr>
          <w:ilvl w:val="0"/>
          <w:numId w:val="322"/>
        </w:numPr>
        <w:tabs>
          <w:tab w:val="left" w:pos="1367"/>
        </w:tabs>
        <w:spacing w:before="1"/>
        <w:rPr>
          <w:sz w:val="21"/>
        </w:rPr>
      </w:pPr>
      <w:r>
        <w:rPr>
          <w:spacing w:val="-11"/>
          <w:sz w:val="21"/>
        </w:rPr>
        <w:t>建筑高度超过</w:t>
      </w:r>
      <w:r>
        <w:rPr>
          <w:spacing w:val="-11"/>
          <w:sz w:val="21"/>
        </w:rPr>
        <w:t xml:space="preserve"> </w:t>
      </w:r>
      <w:r>
        <w:rPr>
          <w:sz w:val="21"/>
        </w:rPr>
        <w:t>16m</w:t>
      </w:r>
      <w:r>
        <w:rPr>
          <w:spacing w:val="-20"/>
          <w:sz w:val="21"/>
        </w:rPr>
        <w:t xml:space="preserve"> </w:t>
      </w:r>
      <w:r>
        <w:rPr>
          <w:spacing w:val="-20"/>
          <w:sz w:val="21"/>
        </w:rPr>
        <w:t>但不超过</w:t>
      </w:r>
      <w:r>
        <w:rPr>
          <w:spacing w:val="-20"/>
          <w:sz w:val="21"/>
        </w:rPr>
        <w:t xml:space="preserve"> </w:t>
      </w:r>
      <w:r>
        <w:rPr>
          <w:sz w:val="21"/>
        </w:rPr>
        <w:t>26m</w:t>
      </w:r>
      <w:r>
        <w:rPr>
          <w:spacing w:val="-20"/>
          <w:sz w:val="21"/>
        </w:rPr>
        <w:t xml:space="preserve"> </w:t>
      </w:r>
      <w:r>
        <w:rPr>
          <w:spacing w:val="-20"/>
          <w:sz w:val="21"/>
        </w:rPr>
        <w:t>时，宜在</w:t>
      </w:r>
      <w:r>
        <w:rPr>
          <w:spacing w:val="-20"/>
          <w:sz w:val="21"/>
        </w:rPr>
        <w:t xml:space="preserve"> </w:t>
      </w:r>
      <w:r>
        <w:rPr>
          <w:sz w:val="21"/>
        </w:rPr>
        <w:t>6</w:t>
      </w:r>
      <w:r>
        <w:rPr>
          <w:sz w:val="21"/>
        </w:rPr>
        <w:t>～</w:t>
      </w:r>
      <w:r>
        <w:rPr>
          <w:sz w:val="21"/>
        </w:rPr>
        <w:t>7m</w:t>
      </w:r>
      <w:r>
        <w:rPr>
          <w:spacing w:val="-18"/>
          <w:sz w:val="21"/>
        </w:rPr>
        <w:t xml:space="preserve"> </w:t>
      </w:r>
      <w:r>
        <w:rPr>
          <w:spacing w:val="-18"/>
          <w:sz w:val="21"/>
        </w:rPr>
        <w:t>和</w:t>
      </w:r>
      <w:r>
        <w:rPr>
          <w:spacing w:val="-18"/>
          <w:sz w:val="21"/>
        </w:rPr>
        <w:t xml:space="preserve"> </w:t>
      </w:r>
      <w:r>
        <w:rPr>
          <w:sz w:val="21"/>
        </w:rPr>
        <w:t>11</w:t>
      </w:r>
      <w:r>
        <w:rPr>
          <w:sz w:val="21"/>
        </w:rPr>
        <w:t>～</w:t>
      </w:r>
      <w:r>
        <w:rPr>
          <w:sz w:val="21"/>
        </w:rPr>
        <w:t>12m</w:t>
      </w:r>
      <w:r>
        <w:rPr>
          <w:spacing w:val="-3"/>
          <w:sz w:val="21"/>
        </w:rPr>
        <w:t xml:space="preserve"> </w:t>
      </w:r>
      <w:r>
        <w:rPr>
          <w:spacing w:val="-3"/>
          <w:sz w:val="21"/>
        </w:rPr>
        <w:t>处各增设一层探测器。</w:t>
      </w:r>
      <w:r>
        <w:rPr>
          <w:sz w:val="21"/>
        </w:rPr>
        <w:t xml:space="preserve"> </w:t>
      </w:r>
    </w:p>
    <w:p w14:paraId="4A1E42C6" w14:textId="77777777" w:rsidR="00A71EEF" w:rsidRDefault="00A71EEF">
      <w:pPr>
        <w:pStyle w:val="a3"/>
        <w:spacing w:before="12"/>
        <w:rPr>
          <w:sz w:val="17"/>
        </w:rPr>
      </w:pPr>
    </w:p>
    <w:p w14:paraId="05F47A14" w14:textId="77777777" w:rsidR="00A71EEF" w:rsidRDefault="0081115D">
      <w:pPr>
        <w:pStyle w:val="a4"/>
        <w:numPr>
          <w:ilvl w:val="0"/>
          <w:numId w:val="322"/>
        </w:numPr>
        <w:tabs>
          <w:tab w:val="left" w:pos="1367"/>
        </w:tabs>
        <w:spacing w:line="446" w:lineRule="auto"/>
        <w:ind w:left="418" w:right="1433" w:firstLine="419"/>
        <w:rPr>
          <w:sz w:val="21"/>
        </w:rPr>
      </w:pPr>
      <w:r>
        <w:rPr>
          <w:sz w:val="21"/>
        </w:rPr>
        <w:t>由开窗或通风空调形成的对流层为</w:t>
      </w:r>
      <w:r>
        <w:rPr>
          <w:sz w:val="21"/>
        </w:rPr>
        <w:t xml:space="preserve"> 7</w:t>
      </w:r>
      <w:r>
        <w:rPr>
          <w:sz w:val="21"/>
        </w:rPr>
        <w:t>～</w:t>
      </w:r>
      <w:r>
        <w:rPr>
          <w:sz w:val="21"/>
        </w:rPr>
        <w:t>13m</w:t>
      </w:r>
      <w:r>
        <w:rPr>
          <w:spacing w:val="-3"/>
          <w:sz w:val="21"/>
        </w:rPr>
        <w:t xml:space="preserve"> </w:t>
      </w:r>
      <w:r>
        <w:rPr>
          <w:spacing w:val="-3"/>
          <w:sz w:val="21"/>
        </w:rPr>
        <w:t>时，可将增设的一层探测器设置在对流层</w:t>
      </w:r>
      <w:r>
        <w:rPr>
          <w:spacing w:val="-20"/>
          <w:sz w:val="21"/>
        </w:rPr>
        <w:t>下面</w:t>
      </w:r>
      <w:r>
        <w:rPr>
          <w:spacing w:val="-20"/>
          <w:sz w:val="21"/>
        </w:rPr>
        <w:t xml:space="preserve"> </w:t>
      </w:r>
      <w:r>
        <w:rPr>
          <w:sz w:val="21"/>
        </w:rPr>
        <w:t>1m</w:t>
      </w:r>
      <w:r>
        <w:rPr>
          <w:spacing w:val="-3"/>
          <w:sz w:val="21"/>
        </w:rPr>
        <w:t xml:space="preserve"> </w:t>
      </w:r>
      <w:r>
        <w:rPr>
          <w:spacing w:val="-3"/>
          <w:sz w:val="21"/>
        </w:rPr>
        <w:t>处。</w:t>
      </w:r>
      <w:r>
        <w:rPr>
          <w:sz w:val="21"/>
        </w:rPr>
        <w:t xml:space="preserve"> </w:t>
      </w:r>
    </w:p>
    <w:p w14:paraId="0EFC0412" w14:textId="77777777" w:rsidR="00A71EEF" w:rsidRDefault="0081115D">
      <w:pPr>
        <w:pStyle w:val="a4"/>
        <w:numPr>
          <w:ilvl w:val="0"/>
          <w:numId w:val="322"/>
        </w:numPr>
        <w:tabs>
          <w:tab w:val="left" w:pos="1367"/>
          <w:tab w:val="left" w:pos="8399"/>
        </w:tabs>
        <w:rPr>
          <w:sz w:val="21"/>
        </w:rPr>
      </w:pPr>
      <w:r>
        <w:rPr>
          <w:sz w:val="21"/>
        </w:rPr>
        <w:t>分</w:t>
      </w:r>
      <w:r>
        <w:rPr>
          <w:spacing w:val="-3"/>
          <w:sz w:val="21"/>
        </w:rPr>
        <w:t>层</w:t>
      </w:r>
      <w:r>
        <w:rPr>
          <w:sz w:val="21"/>
        </w:rPr>
        <w:t>设</w:t>
      </w:r>
      <w:r>
        <w:rPr>
          <w:spacing w:val="-3"/>
          <w:sz w:val="21"/>
        </w:rPr>
        <w:t>置</w:t>
      </w:r>
      <w:r>
        <w:rPr>
          <w:sz w:val="21"/>
        </w:rPr>
        <w:t>的</w:t>
      </w:r>
      <w:r>
        <w:rPr>
          <w:spacing w:val="-3"/>
          <w:sz w:val="21"/>
        </w:rPr>
        <w:t>探</w:t>
      </w:r>
      <w:r>
        <w:rPr>
          <w:sz w:val="21"/>
        </w:rPr>
        <w:t>测</w:t>
      </w:r>
      <w:r>
        <w:rPr>
          <w:spacing w:val="-3"/>
          <w:sz w:val="21"/>
        </w:rPr>
        <w:t>器保</w:t>
      </w:r>
      <w:r>
        <w:rPr>
          <w:sz w:val="21"/>
        </w:rPr>
        <w:t>护面</w:t>
      </w:r>
      <w:r>
        <w:rPr>
          <w:spacing w:val="-3"/>
          <w:sz w:val="21"/>
        </w:rPr>
        <w:t>积</w:t>
      </w:r>
      <w:r>
        <w:rPr>
          <w:sz w:val="21"/>
        </w:rPr>
        <w:t>可</w:t>
      </w:r>
      <w:r>
        <w:rPr>
          <w:spacing w:val="-3"/>
          <w:sz w:val="21"/>
        </w:rPr>
        <w:t>按</w:t>
      </w:r>
      <w:r>
        <w:rPr>
          <w:sz w:val="21"/>
        </w:rPr>
        <w:t>常</w:t>
      </w:r>
      <w:r>
        <w:rPr>
          <w:spacing w:val="-3"/>
          <w:sz w:val="21"/>
        </w:rPr>
        <w:t>规</w:t>
      </w:r>
      <w:r>
        <w:rPr>
          <w:sz w:val="21"/>
        </w:rPr>
        <w:t>计</w:t>
      </w:r>
      <w:r>
        <w:rPr>
          <w:spacing w:val="-3"/>
          <w:sz w:val="21"/>
        </w:rPr>
        <w:t>算</w:t>
      </w:r>
      <w:r>
        <w:rPr>
          <w:sz w:val="21"/>
        </w:rPr>
        <w:t>，</w:t>
      </w:r>
      <w:r>
        <w:rPr>
          <w:spacing w:val="-3"/>
          <w:sz w:val="21"/>
        </w:rPr>
        <w:t>并</w:t>
      </w:r>
      <w:r>
        <w:rPr>
          <w:sz w:val="21"/>
        </w:rPr>
        <w:t>宜与</w:t>
      </w:r>
      <w:r>
        <w:rPr>
          <w:spacing w:val="-3"/>
          <w:sz w:val="21"/>
        </w:rPr>
        <w:t>下</w:t>
      </w:r>
      <w:r>
        <w:rPr>
          <w:sz w:val="21"/>
        </w:rPr>
        <w:t>层</w:t>
      </w:r>
      <w:r>
        <w:rPr>
          <w:spacing w:val="-3"/>
          <w:sz w:val="21"/>
        </w:rPr>
        <w:t>探</w:t>
      </w:r>
      <w:r>
        <w:rPr>
          <w:sz w:val="21"/>
        </w:rPr>
        <w:t>测</w:t>
      </w:r>
      <w:r>
        <w:rPr>
          <w:spacing w:val="-3"/>
          <w:sz w:val="21"/>
        </w:rPr>
        <w:t>器</w:t>
      </w:r>
      <w:r>
        <w:rPr>
          <w:sz w:val="21"/>
        </w:rPr>
        <w:t>交</w:t>
      </w:r>
      <w:r>
        <w:rPr>
          <w:spacing w:val="-3"/>
          <w:sz w:val="21"/>
        </w:rPr>
        <w:t>错</w:t>
      </w:r>
      <w:r>
        <w:rPr>
          <w:sz w:val="21"/>
        </w:rPr>
        <w:t>布</w:t>
      </w:r>
      <w:r>
        <w:rPr>
          <w:spacing w:val="-3"/>
          <w:sz w:val="21"/>
        </w:rPr>
        <w:t>置</w:t>
      </w:r>
      <w:r>
        <w:rPr>
          <w:sz w:val="21"/>
        </w:rPr>
        <w:t>。</w:t>
      </w:r>
      <w:r>
        <w:rPr>
          <w:sz w:val="21"/>
        </w:rPr>
        <w:t xml:space="preserve"> </w:t>
      </w:r>
      <w:r>
        <w:rPr>
          <w:sz w:val="21"/>
        </w:rPr>
        <w:tab/>
      </w:r>
      <w:r>
        <w:rPr>
          <w:sz w:val="21"/>
        </w:rPr>
        <w:t xml:space="preserve"> </w:t>
      </w:r>
    </w:p>
    <w:p w14:paraId="7534DFDB" w14:textId="77777777" w:rsidR="00A71EEF" w:rsidRDefault="00A71EEF">
      <w:pPr>
        <w:pStyle w:val="a3"/>
        <w:rPr>
          <w:sz w:val="18"/>
        </w:rPr>
      </w:pPr>
    </w:p>
    <w:p w14:paraId="087CD30B" w14:textId="77777777" w:rsidR="00A71EEF" w:rsidRDefault="0081115D">
      <w:pPr>
        <w:tabs>
          <w:tab w:val="left" w:pos="837"/>
        </w:tabs>
        <w:ind w:left="418"/>
        <w:rPr>
          <w:sz w:val="21"/>
        </w:rPr>
      </w:pPr>
      <w:r>
        <w:rPr>
          <w:sz w:val="21"/>
        </w:rPr>
        <w:t xml:space="preserve"> </w:t>
      </w:r>
      <w:r>
        <w:rPr>
          <w:sz w:val="21"/>
        </w:rPr>
        <w:tab/>
      </w:r>
      <w:r>
        <w:rPr>
          <w:b/>
          <w:sz w:val="21"/>
        </w:rPr>
        <w:t xml:space="preserve">12.4.4 </w:t>
      </w:r>
      <w:r>
        <w:rPr>
          <w:spacing w:val="-3"/>
          <w:sz w:val="21"/>
        </w:rPr>
        <w:t>管路吸气式感烟火灾探测器的设置应符合下列要求：</w:t>
      </w:r>
      <w:r>
        <w:rPr>
          <w:sz w:val="21"/>
        </w:rPr>
        <w:t xml:space="preserve"> </w:t>
      </w:r>
    </w:p>
    <w:p w14:paraId="37B8F17D" w14:textId="77777777" w:rsidR="00A71EEF" w:rsidRDefault="00A71EEF">
      <w:pPr>
        <w:pStyle w:val="a3"/>
        <w:spacing w:before="12"/>
        <w:rPr>
          <w:sz w:val="17"/>
        </w:rPr>
      </w:pPr>
    </w:p>
    <w:p w14:paraId="4D150D7E" w14:textId="77777777" w:rsidR="00A71EEF" w:rsidRDefault="0081115D">
      <w:pPr>
        <w:pStyle w:val="a4"/>
        <w:numPr>
          <w:ilvl w:val="0"/>
          <w:numId w:val="321"/>
        </w:numPr>
        <w:tabs>
          <w:tab w:val="left" w:pos="1365"/>
        </w:tabs>
        <w:spacing w:line="446" w:lineRule="auto"/>
        <w:ind w:right="1332" w:firstLine="419"/>
        <w:rPr>
          <w:sz w:val="21"/>
        </w:rPr>
      </w:pPr>
      <w:r>
        <w:rPr>
          <w:spacing w:val="-6"/>
          <w:sz w:val="21"/>
        </w:rPr>
        <w:t>探测器的采样管宜采用水平和垂直结合的布管方式，并应保证至少有两个采样孔在</w:t>
      </w:r>
      <w:r>
        <w:rPr>
          <w:spacing w:val="-6"/>
          <w:sz w:val="21"/>
        </w:rPr>
        <w:t xml:space="preserve"> </w:t>
      </w:r>
      <w:r>
        <w:rPr>
          <w:spacing w:val="-3"/>
          <w:sz w:val="21"/>
        </w:rPr>
        <w:t xml:space="preserve">16m </w:t>
      </w:r>
      <w:r>
        <w:rPr>
          <w:spacing w:val="-2"/>
          <w:sz w:val="21"/>
        </w:rPr>
        <w:t>以</w:t>
      </w:r>
      <w:r>
        <w:rPr>
          <w:spacing w:val="-2"/>
          <w:sz w:val="21"/>
        </w:rPr>
        <w:t xml:space="preserve"> </w:t>
      </w:r>
      <w:r>
        <w:rPr>
          <w:spacing w:val="-2"/>
          <w:sz w:val="21"/>
        </w:rPr>
        <w:t>下，并宜有</w:t>
      </w:r>
      <w:r>
        <w:rPr>
          <w:spacing w:val="-2"/>
          <w:sz w:val="21"/>
        </w:rPr>
        <w:t xml:space="preserve"> </w:t>
      </w:r>
      <w:r>
        <w:rPr>
          <w:sz w:val="21"/>
        </w:rPr>
        <w:t>2</w:t>
      </w:r>
      <w:r>
        <w:rPr>
          <w:spacing w:val="-3"/>
          <w:sz w:val="21"/>
        </w:rPr>
        <w:t xml:space="preserve"> </w:t>
      </w:r>
      <w:r>
        <w:rPr>
          <w:spacing w:val="-3"/>
          <w:sz w:val="21"/>
        </w:rPr>
        <w:t>个采样孔设置在开窗或通风空调对流层下面</w:t>
      </w:r>
      <w:r>
        <w:rPr>
          <w:spacing w:val="-3"/>
          <w:sz w:val="21"/>
        </w:rPr>
        <w:t xml:space="preserve"> </w:t>
      </w:r>
      <w:r>
        <w:rPr>
          <w:sz w:val="21"/>
        </w:rPr>
        <w:t>1m</w:t>
      </w:r>
      <w:r>
        <w:rPr>
          <w:spacing w:val="-2"/>
          <w:sz w:val="21"/>
        </w:rPr>
        <w:t xml:space="preserve"> </w:t>
      </w:r>
      <w:r>
        <w:rPr>
          <w:spacing w:val="-2"/>
          <w:sz w:val="21"/>
        </w:rPr>
        <w:t>处。</w:t>
      </w:r>
      <w:r>
        <w:rPr>
          <w:sz w:val="21"/>
        </w:rPr>
        <w:t xml:space="preserve"> </w:t>
      </w:r>
    </w:p>
    <w:p w14:paraId="3BB386BF" w14:textId="77777777" w:rsidR="00A71EEF" w:rsidRDefault="0081115D">
      <w:pPr>
        <w:pStyle w:val="a4"/>
        <w:numPr>
          <w:ilvl w:val="0"/>
          <w:numId w:val="321"/>
        </w:numPr>
        <w:tabs>
          <w:tab w:val="left" w:pos="1367"/>
          <w:tab w:val="left" w:pos="5878"/>
          <w:tab w:val="left" w:pos="6298"/>
        </w:tabs>
        <w:ind w:left="1367" w:hanging="529"/>
        <w:rPr>
          <w:sz w:val="21"/>
        </w:rPr>
      </w:pPr>
      <w:r>
        <w:rPr>
          <w:sz w:val="21"/>
        </w:rPr>
        <w:t>可</w:t>
      </w:r>
      <w:r>
        <w:rPr>
          <w:spacing w:val="-3"/>
          <w:sz w:val="21"/>
        </w:rPr>
        <w:t>在</w:t>
      </w:r>
      <w:r>
        <w:rPr>
          <w:sz w:val="21"/>
        </w:rPr>
        <w:t>回</w:t>
      </w:r>
      <w:r>
        <w:rPr>
          <w:spacing w:val="-3"/>
          <w:sz w:val="21"/>
        </w:rPr>
        <w:t>风</w:t>
      </w:r>
      <w:r>
        <w:rPr>
          <w:sz w:val="21"/>
        </w:rPr>
        <w:t>口</w:t>
      </w:r>
      <w:r>
        <w:rPr>
          <w:spacing w:val="-3"/>
          <w:sz w:val="21"/>
        </w:rPr>
        <w:t>处</w:t>
      </w:r>
      <w:r>
        <w:rPr>
          <w:sz w:val="21"/>
        </w:rPr>
        <w:t>设</w:t>
      </w:r>
      <w:r>
        <w:rPr>
          <w:spacing w:val="-3"/>
          <w:sz w:val="21"/>
        </w:rPr>
        <w:t>置起</w:t>
      </w:r>
      <w:r>
        <w:rPr>
          <w:sz w:val="21"/>
        </w:rPr>
        <w:t>辅助</w:t>
      </w:r>
      <w:r>
        <w:rPr>
          <w:spacing w:val="-3"/>
          <w:sz w:val="21"/>
        </w:rPr>
        <w:t>报</w:t>
      </w:r>
      <w:r>
        <w:rPr>
          <w:sz w:val="21"/>
        </w:rPr>
        <w:t>警</w:t>
      </w:r>
      <w:r>
        <w:rPr>
          <w:spacing w:val="-3"/>
          <w:sz w:val="21"/>
        </w:rPr>
        <w:t>作</w:t>
      </w:r>
      <w:r>
        <w:rPr>
          <w:sz w:val="21"/>
        </w:rPr>
        <w:t>用</w:t>
      </w:r>
      <w:r>
        <w:rPr>
          <w:spacing w:val="-3"/>
          <w:sz w:val="21"/>
        </w:rPr>
        <w:t>的</w:t>
      </w:r>
      <w:r>
        <w:rPr>
          <w:sz w:val="21"/>
        </w:rPr>
        <w:t>采</w:t>
      </w:r>
      <w:r>
        <w:rPr>
          <w:spacing w:val="-3"/>
          <w:sz w:val="21"/>
        </w:rPr>
        <w:t>样</w:t>
      </w:r>
      <w:r>
        <w:rPr>
          <w:sz w:val="21"/>
        </w:rPr>
        <w:t>孔</w:t>
      </w:r>
      <w:r>
        <w:rPr>
          <w:spacing w:val="-3"/>
          <w:sz w:val="21"/>
        </w:rPr>
        <w:t>。</w:t>
      </w:r>
      <w:r>
        <w:rPr>
          <w:sz w:val="21"/>
        </w:rPr>
        <w:t xml:space="preserve"> </w:t>
      </w:r>
      <w:r>
        <w:rPr>
          <w:sz w:val="21"/>
        </w:rPr>
        <w:tab/>
      </w:r>
      <w:r>
        <w:rPr>
          <w:sz w:val="21"/>
        </w:rPr>
        <w:t xml:space="preserve">  </w:t>
      </w:r>
      <w:r>
        <w:rPr>
          <w:sz w:val="21"/>
        </w:rPr>
        <w:tab/>
      </w:r>
      <w:r>
        <w:rPr>
          <w:sz w:val="21"/>
        </w:rPr>
        <w:t xml:space="preserve">  </w:t>
      </w:r>
    </w:p>
    <w:p w14:paraId="71451D68" w14:textId="77777777" w:rsidR="00A71EEF" w:rsidRDefault="00A71EEF">
      <w:pPr>
        <w:pStyle w:val="a3"/>
        <w:spacing w:before="12"/>
        <w:rPr>
          <w:sz w:val="17"/>
        </w:rPr>
      </w:pPr>
    </w:p>
    <w:p w14:paraId="03861EB0" w14:textId="77777777" w:rsidR="00A71EEF" w:rsidRDefault="0081115D">
      <w:pPr>
        <w:pStyle w:val="a4"/>
        <w:numPr>
          <w:ilvl w:val="2"/>
          <w:numId w:val="320"/>
        </w:numPr>
        <w:tabs>
          <w:tab w:val="left" w:pos="1478"/>
          <w:tab w:val="left" w:pos="5878"/>
        </w:tabs>
        <w:spacing w:line="446" w:lineRule="auto"/>
        <w:ind w:right="1431" w:firstLine="422"/>
        <w:rPr>
          <w:sz w:val="21"/>
        </w:rPr>
      </w:pPr>
      <w:r>
        <w:rPr>
          <w:spacing w:val="-3"/>
          <w:sz w:val="21"/>
        </w:rPr>
        <w:t>火</w:t>
      </w:r>
      <w:r>
        <w:rPr>
          <w:sz w:val="21"/>
        </w:rPr>
        <w:t>灾</w:t>
      </w:r>
      <w:r>
        <w:rPr>
          <w:spacing w:val="-3"/>
          <w:sz w:val="21"/>
        </w:rPr>
        <w:t>初</w:t>
      </w:r>
      <w:r>
        <w:rPr>
          <w:sz w:val="21"/>
        </w:rPr>
        <w:t>期</w:t>
      </w:r>
      <w:r>
        <w:rPr>
          <w:spacing w:val="-3"/>
          <w:sz w:val="21"/>
        </w:rPr>
        <w:t>产</w:t>
      </w:r>
      <w:r>
        <w:rPr>
          <w:sz w:val="21"/>
        </w:rPr>
        <w:t>生</w:t>
      </w:r>
      <w:r>
        <w:rPr>
          <w:spacing w:val="-3"/>
          <w:sz w:val="21"/>
        </w:rPr>
        <w:t>少量</w:t>
      </w:r>
      <w:r>
        <w:rPr>
          <w:sz w:val="21"/>
        </w:rPr>
        <w:t>烟并</w:t>
      </w:r>
      <w:r>
        <w:rPr>
          <w:spacing w:val="-3"/>
          <w:sz w:val="21"/>
        </w:rPr>
        <w:t>产</w:t>
      </w:r>
      <w:r>
        <w:rPr>
          <w:sz w:val="21"/>
        </w:rPr>
        <w:t>生</w:t>
      </w:r>
      <w:r>
        <w:rPr>
          <w:spacing w:val="-3"/>
          <w:sz w:val="21"/>
        </w:rPr>
        <w:t>明</w:t>
      </w:r>
      <w:r>
        <w:rPr>
          <w:sz w:val="21"/>
        </w:rPr>
        <w:t>显</w:t>
      </w:r>
      <w:r>
        <w:rPr>
          <w:spacing w:val="-3"/>
          <w:sz w:val="21"/>
        </w:rPr>
        <w:t>火</w:t>
      </w:r>
      <w:r>
        <w:rPr>
          <w:sz w:val="21"/>
        </w:rPr>
        <w:t>焰</w:t>
      </w:r>
      <w:r>
        <w:rPr>
          <w:spacing w:val="-3"/>
          <w:sz w:val="21"/>
        </w:rPr>
        <w:t>的</w:t>
      </w:r>
      <w:r>
        <w:rPr>
          <w:sz w:val="21"/>
        </w:rPr>
        <w:t>场</w:t>
      </w:r>
      <w:r>
        <w:rPr>
          <w:spacing w:val="-3"/>
          <w:sz w:val="21"/>
        </w:rPr>
        <w:t>所</w:t>
      </w:r>
      <w:r>
        <w:rPr>
          <w:spacing w:val="-39"/>
          <w:sz w:val="21"/>
        </w:rPr>
        <w:t>，</w:t>
      </w:r>
      <w:r>
        <w:rPr>
          <w:sz w:val="21"/>
        </w:rPr>
        <w:t>应</w:t>
      </w:r>
      <w:r>
        <w:rPr>
          <w:spacing w:val="-3"/>
          <w:sz w:val="21"/>
        </w:rPr>
        <w:t>选</w:t>
      </w:r>
      <w:r>
        <w:rPr>
          <w:sz w:val="21"/>
        </w:rPr>
        <w:t>择</w:t>
      </w:r>
      <w:r>
        <w:rPr>
          <w:spacing w:val="14"/>
          <w:sz w:val="21"/>
        </w:rPr>
        <w:t xml:space="preserve"> </w:t>
      </w:r>
      <w:r>
        <w:rPr>
          <w:spacing w:val="-3"/>
          <w:sz w:val="21"/>
        </w:rPr>
        <w:t>1</w:t>
      </w:r>
      <w:r>
        <w:rPr>
          <w:spacing w:val="14"/>
          <w:sz w:val="21"/>
        </w:rPr>
        <w:t xml:space="preserve"> </w:t>
      </w:r>
      <w:r>
        <w:rPr>
          <w:spacing w:val="-3"/>
          <w:sz w:val="21"/>
        </w:rPr>
        <w:t>级</w:t>
      </w:r>
      <w:r>
        <w:rPr>
          <w:sz w:val="21"/>
        </w:rPr>
        <w:t>灵敏</w:t>
      </w:r>
      <w:r>
        <w:rPr>
          <w:spacing w:val="-3"/>
          <w:sz w:val="21"/>
        </w:rPr>
        <w:t>度</w:t>
      </w:r>
      <w:r>
        <w:rPr>
          <w:sz w:val="21"/>
        </w:rPr>
        <w:t>的</w:t>
      </w:r>
      <w:r>
        <w:rPr>
          <w:spacing w:val="-3"/>
          <w:sz w:val="21"/>
        </w:rPr>
        <w:t>点</w:t>
      </w:r>
      <w:r>
        <w:rPr>
          <w:sz w:val="21"/>
        </w:rPr>
        <w:t>型红</w:t>
      </w:r>
      <w:r>
        <w:rPr>
          <w:spacing w:val="-3"/>
          <w:sz w:val="21"/>
        </w:rPr>
        <w:t>外</w:t>
      </w:r>
      <w:r>
        <w:rPr>
          <w:sz w:val="21"/>
        </w:rPr>
        <w:t>火</w:t>
      </w:r>
      <w:r>
        <w:rPr>
          <w:spacing w:val="-3"/>
          <w:sz w:val="21"/>
        </w:rPr>
        <w:t>焰</w:t>
      </w:r>
      <w:r>
        <w:rPr>
          <w:sz w:val="21"/>
        </w:rPr>
        <w:t>探测器</w:t>
      </w:r>
      <w:r>
        <w:rPr>
          <w:spacing w:val="-3"/>
          <w:sz w:val="21"/>
        </w:rPr>
        <w:t>或</w:t>
      </w:r>
      <w:r>
        <w:rPr>
          <w:sz w:val="21"/>
        </w:rPr>
        <w:t>图</w:t>
      </w:r>
      <w:r>
        <w:rPr>
          <w:spacing w:val="25"/>
          <w:sz w:val="21"/>
        </w:rPr>
        <w:t xml:space="preserve"> </w:t>
      </w:r>
      <w:r>
        <w:rPr>
          <w:sz w:val="21"/>
        </w:rPr>
        <w:t>像</w:t>
      </w:r>
      <w:r>
        <w:rPr>
          <w:spacing w:val="-3"/>
          <w:sz w:val="21"/>
        </w:rPr>
        <w:t>型</w:t>
      </w:r>
      <w:r>
        <w:rPr>
          <w:sz w:val="21"/>
        </w:rPr>
        <w:t>火</w:t>
      </w:r>
      <w:r>
        <w:rPr>
          <w:spacing w:val="-3"/>
          <w:sz w:val="21"/>
        </w:rPr>
        <w:t>焰</w:t>
      </w:r>
      <w:r>
        <w:rPr>
          <w:sz w:val="21"/>
        </w:rPr>
        <w:t>探</w:t>
      </w:r>
      <w:r>
        <w:rPr>
          <w:spacing w:val="-3"/>
          <w:sz w:val="21"/>
        </w:rPr>
        <w:t>测器</w:t>
      </w:r>
      <w:r>
        <w:rPr>
          <w:sz w:val="21"/>
        </w:rPr>
        <w:t>，并</w:t>
      </w:r>
      <w:r>
        <w:rPr>
          <w:spacing w:val="-3"/>
          <w:sz w:val="21"/>
        </w:rPr>
        <w:t>应</w:t>
      </w:r>
      <w:r>
        <w:rPr>
          <w:sz w:val="21"/>
        </w:rPr>
        <w:t>降</w:t>
      </w:r>
      <w:r>
        <w:rPr>
          <w:spacing w:val="-3"/>
          <w:sz w:val="21"/>
        </w:rPr>
        <w:t>低</w:t>
      </w:r>
      <w:r>
        <w:rPr>
          <w:sz w:val="21"/>
        </w:rPr>
        <w:t>探</w:t>
      </w:r>
      <w:r>
        <w:rPr>
          <w:spacing w:val="-3"/>
          <w:sz w:val="21"/>
        </w:rPr>
        <w:t>测</w:t>
      </w:r>
      <w:r>
        <w:rPr>
          <w:sz w:val="21"/>
        </w:rPr>
        <w:t>器</w:t>
      </w:r>
      <w:r>
        <w:rPr>
          <w:spacing w:val="-3"/>
          <w:sz w:val="21"/>
        </w:rPr>
        <w:t>设</w:t>
      </w:r>
      <w:r>
        <w:rPr>
          <w:sz w:val="21"/>
        </w:rPr>
        <w:t>置</w:t>
      </w:r>
      <w:r>
        <w:rPr>
          <w:spacing w:val="-3"/>
          <w:sz w:val="21"/>
        </w:rPr>
        <w:t>高</w:t>
      </w:r>
      <w:r>
        <w:rPr>
          <w:sz w:val="21"/>
        </w:rPr>
        <w:t>度</w:t>
      </w:r>
      <w:r>
        <w:rPr>
          <w:spacing w:val="-3"/>
          <w:sz w:val="21"/>
        </w:rPr>
        <w:t>。</w:t>
      </w:r>
      <w:r>
        <w:rPr>
          <w:sz w:val="21"/>
        </w:rPr>
        <w:t xml:space="preserve"> </w:t>
      </w:r>
      <w:r>
        <w:rPr>
          <w:sz w:val="21"/>
        </w:rPr>
        <w:tab/>
      </w:r>
      <w:r>
        <w:rPr>
          <w:sz w:val="21"/>
        </w:rPr>
        <w:t xml:space="preserve">  </w:t>
      </w:r>
    </w:p>
    <w:p w14:paraId="4B53FBD0" w14:textId="77777777" w:rsidR="00A71EEF" w:rsidRDefault="0081115D">
      <w:pPr>
        <w:pStyle w:val="a4"/>
        <w:numPr>
          <w:ilvl w:val="2"/>
          <w:numId w:val="320"/>
        </w:numPr>
        <w:tabs>
          <w:tab w:val="left" w:pos="1478"/>
        </w:tabs>
        <w:spacing w:before="1" w:line="446" w:lineRule="auto"/>
        <w:ind w:right="1434" w:firstLine="422"/>
        <w:rPr>
          <w:sz w:val="21"/>
        </w:rPr>
      </w:pPr>
      <w:r>
        <w:rPr>
          <w:spacing w:val="-3"/>
          <w:sz w:val="21"/>
        </w:rPr>
        <w:t>电气线路应设置电气火灾监控探测器，照明线路上应设置具有探测故障电弧功能的</w:t>
      </w:r>
      <w:r>
        <w:rPr>
          <w:spacing w:val="-3"/>
          <w:sz w:val="21"/>
        </w:rPr>
        <w:t xml:space="preserve"> </w:t>
      </w:r>
      <w:r>
        <w:rPr>
          <w:spacing w:val="-3"/>
          <w:sz w:val="21"/>
        </w:rPr>
        <w:t>电气火灾</w:t>
      </w:r>
      <w:r>
        <w:rPr>
          <w:spacing w:val="-3"/>
          <w:sz w:val="21"/>
        </w:rPr>
        <w:t xml:space="preserve"> </w:t>
      </w:r>
      <w:r>
        <w:rPr>
          <w:spacing w:val="-3"/>
          <w:sz w:val="21"/>
        </w:rPr>
        <w:t>监控探测器。</w:t>
      </w:r>
      <w:r>
        <w:rPr>
          <w:spacing w:val="-3"/>
          <w:sz w:val="21"/>
        </w:rPr>
        <w:t xml:space="preserve"> </w:t>
      </w:r>
    </w:p>
    <w:p w14:paraId="6FF0250A" w14:textId="77777777" w:rsidR="00A71EEF" w:rsidRDefault="00A71EEF">
      <w:pPr>
        <w:pStyle w:val="a3"/>
        <w:rPr>
          <w:sz w:val="20"/>
        </w:rPr>
      </w:pPr>
    </w:p>
    <w:p w14:paraId="6AC9DF99" w14:textId="77777777" w:rsidR="00A71EEF" w:rsidRDefault="00A71EEF">
      <w:pPr>
        <w:pStyle w:val="a3"/>
        <w:rPr>
          <w:sz w:val="20"/>
        </w:rPr>
      </w:pPr>
    </w:p>
    <w:p w14:paraId="5D93F13C" w14:textId="77777777" w:rsidR="00A71EEF" w:rsidRDefault="00A71EEF">
      <w:pPr>
        <w:pStyle w:val="a3"/>
        <w:rPr>
          <w:sz w:val="20"/>
        </w:rPr>
      </w:pPr>
    </w:p>
    <w:p w14:paraId="0F9A5FFE" w14:textId="77777777" w:rsidR="00A71EEF" w:rsidRDefault="00A71EEF">
      <w:pPr>
        <w:pStyle w:val="a3"/>
        <w:rPr>
          <w:sz w:val="20"/>
        </w:rPr>
      </w:pPr>
    </w:p>
    <w:p w14:paraId="30615AE8" w14:textId="77777777" w:rsidR="00A71EEF" w:rsidRDefault="00A71EEF">
      <w:pPr>
        <w:pStyle w:val="a3"/>
        <w:rPr>
          <w:sz w:val="20"/>
        </w:rPr>
      </w:pPr>
    </w:p>
    <w:p w14:paraId="21E942A3" w14:textId="77777777" w:rsidR="00A71EEF" w:rsidRDefault="00A71EEF">
      <w:pPr>
        <w:pStyle w:val="a3"/>
        <w:rPr>
          <w:sz w:val="20"/>
        </w:rPr>
      </w:pPr>
    </w:p>
    <w:p w14:paraId="0CAE1E37" w14:textId="77777777" w:rsidR="00A71EEF" w:rsidRDefault="00A71EEF">
      <w:pPr>
        <w:pStyle w:val="a3"/>
        <w:rPr>
          <w:sz w:val="20"/>
        </w:rPr>
      </w:pPr>
    </w:p>
    <w:p w14:paraId="0EC9E3E6" w14:textId="77777777" w:rsidR="00A71EEF" w:rsidRDefault="00A71EEF">
      <w:pPr>
        <w:pStyle w:val="a3"/>
        <w:rPr>
          <w:sz w:val="20"/>
        </w:rPr>
      </w:pPr>
    </w:p>
    <w:p w14:paraId="72389FB4" w14:textId="77777777" w:rsidR="00A71EEF" w:rsidRDefault="00A71EEF">
      <w:pPr>
        <w:pStyle w:val="a3"/>
        <w:rPr>
          <w:sz w:val="20"/>
        </w:rPr>
      </w:pPr>
    </w:p>
    <w:p w14:paraId="0153C297" w14:textId="77777777" w:rsidR="00A71EEF" w:rsidRDefault="00A71EEF">
      <w:pPr>
        <w:pStyle w:val="a3"/>
        <w:rPr>
          <w:sz w:val="20"/>
        </w:rPr>
      </w:pPr>
    </w:p>
    <w:p w14:paraId="055CDAA0" w14:textId="77777777" w:rsidR="00A71EEF" w:rsidRDefault="00A71EEF">
      <w:pPr>
        <w:pStyle w:val="a3"/>
        <w:spacing w:before="7"/>
        <w:rPr>
          <w:sz w:val="28"/>
        </w:rPr>
      </w:pPr>
    </w:p>
    <w:p w14:paraId="563BCF57" w14:textId="77777777" w:rsidR="00A71EEF" w:rsidRDefault="0081115D">
      <w:pPr>
        <w:pStyle w:val="a3"/>
        <w:spacing w:before="72"/>
        <w:ind w:left="838"/>
      </w:pPr>
      <w:r>
        <w:t xml:space="preserve"> </w:t>
      </w:r>
    </w:p>
    <w:p w14:paraId="4F8E302D" w14:textId="77777777" w:rsidR="00A71EEF" w:rsidRDefault="00A71EEF">
      <w:pPr>
        <w:sectPr w:rsidR="00A71EEF">
          <w:pgSz w:w="11910" w:h="16850"/>
          <w:pgMar w:top="1220" w:right="0" w:bottom="1420" w:left="1260" w:header="0" w:footer="1239" w:gutter="0"/>
          <w:cols w:space="720"/>
        </w:sectPr>
      </w:pPr>
    </w:p>
    <w:p w14:paraId="1CDB1AB2" w14:textId="77777777" w:rsidR="00A71EEF" w:rsidRDefault="00A71EEF">
      <w:pPr>
        <w:pStyle w:val="a3"/>
        <w:rPr>
          <w:sz w:val="20"/>
        </w:rPr>
      </w:pPr>
    </w:p>
    <w:p w14:paraId="1C9BEB2B" w14:textId="77777777" w:rsidR="00A71EEF" w:rsidRDefault="00A71EEF">
      <w:pPr>
        <w:pStyle w:val="a3"/>
        <w:rPr>
          <w:sz w:val="20"/>
        </w:rPr>
      </w:pPr>
    </w:p>
    <w:p w14:paraId="2499958F" w14:textId="77777777" w:rsidR="00A71EEF" w:rsidRDefault="00A71EEF">
      <w:pPr>
        <w:pStyle w:val="a3"/>
        <w:rPr>
          <w:sz w:val="20"/>
        </w:rPr>
      </w:pPr>
    </w:p>
    <w:p w14:paraId="330B469F" w14:textId="77777777" w:rsidR="00A71EEF" w:rsidRDefault="00A71EEF">
      <w:pPr>
        <w:pStyle w:val="a3"/>
        <w:rPr>
          <w:sz w:val="20"/>
        </w:rPr>
      </w:pPr>
    </w:p>
    <w:p w14:paraId="52A11A07" w14:textId="77777777" w:rsidR="00A71EEF" w:rsidRDefault="00A71EEF">
      <w:pPr>
        <w:pStyle w:val="a3"/>
        <w:rPr>
          <w:sz w:val="20"/>
        </w:rPr>
      </w:pPr>
    </w:p>
    <w:p w14:paraId="09705756" w14:textId="77777777" w:rsidR="00A71EEF" w:rsidRDefault="00A71EEF">
      <w:pPr>
        <w:pStyle w:val="a3"/>
        <w:rPr>
          <w:sz w:val="20"/>
        </w:rPr>
      </w:pPr>
    </w:p>
    <w:p w14:paraId="35D33B16" w14:textId="77777777" w:rsidR="00A71EEF" w:rsidRDefault="00A71EEF">
      <w:pPr>
        <w:pStyle w:val="a3"/>
        <w:rPr>
          <w:sz w:val="20"/>
        </w:rPr>
      </w:pPr>
    </w:p>
    <w:p w14:paraId="038E815B" w14:textId="77777777" w:rsidR="00A71EEF" w:rsidRDefault="00A71EEF">
      <w:pPr>
        <w:pStyle w:val="a3"/>
        <w:rPr>
          <w:sz w:val="20"/>
        </w:rPr>
      </w:pPr>
    </w:p>
    <w:p w14:paraId="0D0522AE" w14:textId="77777777" w:rsidR="00A71EEF" w:rsidRDefault="00A71EEF">
      <w:pPr>
        <w:pStyle w:val="a3"/>
        <w:rPr>
          <w:sz w:val="20"/>
        </w:rPr>
      </w:pPr>
    </w:p>
    <w:p w14:paraId="19101D8B" w14:textId="77777777" w:rsidR="00A71EEF" w:rsidRDefault="00A71EEF">
      <w:pPr>
        <w:pStyle w:val="a3"/>
        <w:rPr>
          <w:sz w:val="20"/>
        </w:rPr>
      </w:pPr>
    </w:p>
    <w:p w14:paraId="1A4A170B" w14:textId="77777777" w:rsidR="00A71EEF" w:rsidRDefault="00A71EEF">
      <w:pPr>
        <w:pStyle w:val="a3"/>
        <w:rPr>
          <w:sz w:val="20"/>
        </w:rPr>
      </w:pPr>
    </w:p>
    <w:p w14:paraId="2762C7A8" w14:textId="77777777" w:rsidR="00A71EEF" w:rsidRDefault="00A71EEF">
      <w:pPr>
        <w:pStyle w:val="a3"/>
        <w:rPr>
          <w:sz w:val="20"/>
        </w:rPr>
      </w:pPr>
    </w:p>
    <w:p w14:paraId="13923686" w14:textId="77777777" w:rsidR="00A71EEF" w:rsidRDefault="00A71EEF">
      <w:pPr>
        <w:pStyle w:val="a3"/>
        <w:rPr>
          <w:sz w:val="20"/>
        </w:rPr>
      </w:pPr>
    </w:p>
    <w:p w14:paraId="6B4278E3" w14:textId="77777777" w:rsidR="00A71EEF" w:rsidRDefault="00A71EEF">
      <w:pPr>
        <w:pStyle w:val="a3"/>
        <w:rPr>
          <w:sz w:val="20"/>
        </w:rPr>
      </w:pPr>
    </w:p>
    <w:p w14:paraId="70247DDE" w14:textId="77777777" w:rsidR="00A71EEF" w:rsidRDefault="00A71EEF">
      <w:pPr>
        <w:pStyle w:val="a3"/>
        <w:rPr>
          <w:sz w:val="20"/>
        </w:rPr>
      </w:pPr>
    </w:p>
    <w:p w14:paraId="42FDB2F2" w14:textId="77777777" w:rsidR="00A71EEF" w:rsidRDefault="00A71EEF">
      <w:pPr>
        <w:pStyle w:val="a3"/>
        <w:rPr>
          <w:sz w:val="20"/>
        </w:rPr>
      </w:pPr>
    </w:p>
    <w:p w14:paraId="19C6CD27" w14:textId="77777777" w:rsidR="00A71EEF" w:rsidRDefault="00A71EEF">
      <w:pPr>
        <w:pStyle w:val="a3"/>
        <w:rPr>
          <w:sz w:val="20"/>
        </w:rPr>
      </w:pPr>
    </w:p>
    <w:p w14:paraId="7AB8FF78" w14:textId="77777777" w:rsidR="00A71EEF" w:rsidRDefault="00A71EEF">
      <w:pPr>
        <w:pStyle w:val="a3"/>
        <w:rPr>
          <w:sz w:val="20"/>
        </w:rPr>
      </w:pPr>
    </w:p>
    <w:p w14:paraId="262DA88A" w14:textId="77777777" w:rsidR="00A71EEF" w:rsidRDefault="00A71EEF">
      <w:pPr>
        <w:pStyle w:val="a3"/>
        <w:rPr>
          <w:sz w:val="20"/>
        </w:rPr>
      </w:pPr>
    </w:p>
    <w:p w14:paraId="40A7790B" w14:textId="77777777" w:rsidR="00A71EEF" w:rsidRDefault="00A71EEF">
      <w:pPr>
        <w:pStyle w:val="a3"/>
        <w:rPr>
          <w:sz w:val="20"/>
        </w:rPr>
      </w:pPr>
    </w:p>
    <w:p w14:paraId="73DB7CB3" w14:textId="77777777" w:rsidR="00A71EEF" w:rsidRDefault="00A71EEF">
      <w:pPr>
        <w:pStyle w:val="a3"/>
        <w:rPr>
          <w:sz w:val="20"/>
        </w:rPr>
      </w:pPr>
    </w:p>
    <w:p w14:paraId="464BD9D6" w14:textId="77777777" w:rsidR="00A71EEF" w:rsidRDefault="00A71EEF">
      <w:pPr>
        <w:pStyle w:val="a3"/>
        <w:rPr>
          <w:sz w:val="20"/>
        </w:rPr>
      </w:pPr>
    </w:p>
    <w:p w14:paraId="66F0B57D" w14:textId="77777777" w:rsidR="00A71EEF" w:rsidRDefault="00A71EEF">
      <w:pPr>
        <w:pStyle w:val="a3"/>
        <w:rPr>
          <w:sz w:val="20"/>
        </w:rPr>
      </w:pPr>
    </w:p>
    <w:p w14:paraId="3B6F78F1" w14:textId="77777777" w:rsidR="00A71EEF" w:rsidRDefault="00A71EEF">
      <w:pPr>
        <w:pStyle w:val="a3"/>
        <w:rPr>
          <w:sz w:val="20"/>
        </w:rPr>
      </w:pPr>
    </w:p>
    <w:p w14:paraId="3E7F8B0B" w14:textId="77777777" w:rsidR="00A71EEF" w:rsidRDefault="00A71EEF">
      <w:pPr>
        <w:pStyle w:val="a3"/>
        <w:rPr>
          <w:sz w:val="20"/>
        </w:rPr>
      </w:pPr>
    </w:p>
    <w:p w14:paraId="3E060880" w14:textId="77777777" w:rsidR="00A71EEF" w:rsidRDefault="00A71EEF">
      <w:pPr>
        <w:pStyle w:val="a3"/>
        <w:rPr>
          <w:sz w:val="20"/>
        </w:rPr>
      </w:pPr>
    </w:p>
    <w:p w14:paraId="0880F8BC" w14:textId="77777777" w:rsidR="00A71EEF" w:rsidRDefault="00A71EEF">
      <w:pPr>
        <w:pStyle w:val="a3"/>
        <w:rPr>
          <w:sz w:val="20"/>
        </w:rPr>
      </w:pPr>
    </w:p>
    <w:p w14:paraId="56D2FCCB" w14:textId="77777777" w:rsidR="00A71EEF" w:rsidRDefault="00A71EEF">
      <w:pPr>
        <w:pStyle w:val="a3"/>
        <w:rPr>
          <w:sz w:val="20"/>
        </w:rPr>
      </w:pPr>
    </w:p>
    <w:p w14:paraId="7738CFEF" w14:textId="77777777" w:rsidR="00A71EEF" w:rsidRDefault="00A71EEF">
      <w:pPr>
        <w:pStyle w:val="a3"/>
        <w:rPr>
          <w:sz w:val="20"/>
        </w:rPr>
      </w:pPr>
    </w:p>
    <w:p w14:paraId="598DFC02" w14:textId="77777777" w:rsidR="00A71EEF" w:rsidRDefault="00A71EEF">
      <w:pPr>
        <w:pStyle w:val="a3"/>
        <w:rPr>
          <w:sz w:val="20"/>
        </w:rPr>
      </w:pPr>
    </w:p>
    <w:p w14:paraId="3709C00E" w14:textId="77777777" w:rsidR="00A71EEF" w:rsidRDefault="0081115D">
      <w:pPr>
        <w:pStyle w:val="2"/>
        <w:spacing w:before="231"/>
        <w:ind w:left="2703"/>
        <w:jc w:val="left"/>
      </w:pPr>
      <w:bookmarkStart w:id="26" w:name="_bookmark26"/>
      <w:bookmarkEnd w:id="26"/>
      <w:r>
        <w:t>消防给水及消火栓系统技术规范</w:t>
      </w:r>
      <w:r>
        <w:rPr>
          <w:w w:val="99"/>
        </w:rPr>
        <w:t xml:space="preserve"> </w:t>
      </w:r>
    </w:p>
    <w:p w14:paraId="0C199F13" w14:textId="77777777" w:rsidR="00A71EEF" w:rsidRDefault="00A71EEF">
      <w:pPr>
        <w:pStyle w:val="a3"/>
        <w:rPr>
          <w:b/>
          <w:sz w:val="20"/>
        </w:rPr>
      </w:pPr>
    </w:p>
    <w:p w14:paraId="4DF8420A" w14:textId="77777777" w:rsidR="00A71EEF" w:rsidRDefault="00A71EEF">
      <w:pPr>
        <w:pStyle w:val="a3"/>
        <w:spacing w:before="4"/>
        <w:rPr>
          <w:b/>
          <w:sz w:val="14"/>
        </w:rPr>
      </w:pPr>
    </w:p>
    <w:p w14:paraId="480A64EE" w14:textId="77777777" w:rsidR="00A71EEF" w:rsidRDefault="0081115D">
      <w:pPr>
        <w:pStyle w:val="4"/>
        <w:spacing w:before="67"/>
      </w:pPr>
      <w:r>
        <w:t xml:space="preserve">1 </w:t>
      </w:r>
      <w:r>
        <w:t>总则</w:t>
      </w:r>
      <w:r>
        <w:rPr>
          <w:w w:val="99"/>
        </w:rPr>
        <w:t xml:space="preserve"> </w:t>
      </w:r>
    </w:p>
    <w:p w14:paraId="51CEDC7F" w14:textId="77777777" w:rsidR="00A71EEF" w:rsidRDefault="00A71EEF">
      <w:pPr>
        <w:pStyle w:val="a3"/>
        <w:spacing w:before="4"/>
        <w:rPr>
          <w:b/>
          <w:sz w:val="17"/>
        </w:rPr>
      </w:pPr>
    </w:p>
    <w:p w14:paraId="07EDCC68" w14:textId="77777777" w:rsidR="00A71EEF" w:rsidRDefault="0081115D">
      <w:pPr>
        <w:pStyle w:val="a4"/>
        <w:numPr>
          <w:ilvl w:val="1"/>
          <w:numId w:val="319"/>
        </w:numPr>
        <w:tabs>
          <w:tab w:val="left" w:pos="1213"/>
        </w:tabs>
        <w:spacing w:line="446" w:lineRule="auto"/>
        <w:ind w:right="1445" w:firstLine="422"/>
        <w:rPr>
          <w:sz w:val="21"/>
        </w:rPr>
      </w:pPr>
      <w:r>
        <w:rPr>
          <w:color w:val="333333"/>
          <w:spacing w:val="-3"/>
          <w:sz w:val="21"/>
        </w:rPr>
        <w:t>为了合理设计消防给水及消火栓系统，保障施工质量，规范验收和维护管理，减少火灾危害，保护人身和财产安全，制定本规范。</w:t>
      </w:r>
      <w:r>
        <w:rPr>
          <w:sz w:val="21"/>
        </w:rPr>
        <w:t xml:space="preserve"> </w:t>
      </w:r>
    </w:p>
    <w:p w14:paraId="48C76435" w14:textId="77777777" w:rsidR="00A71EEF" w:rsidRDefault="0081115D">
      <w:pPr>
        <w:pStyle w:val="a4"/>
        <w:numPr>
          <w:ilvl w:val="1"/>
          <w:numId w:val="319"/>
        </w:numPr>
        <w:tabs>
          <w:tab w:val="left" w:pos="1213"/>
        </w:tabs>
        <w:spacing w:line="446" w:lineRule="auto"/>
        <w:ind w:right="1445" w:firstLine="422"/>
        <w:rPr>
          <w:sz w:val="21"/>
        </w:rPr>
      </w:pPr>
      <w:r>
        <w:rPr>
          <w:color w:val="333333"/>
          <w:spacing w:val="-3"/>
          <w:sz w:val="21"/>
        </w:rPr>
        <w:t>本规范适用于新建、扩建、改建的工业、民用、市政等建设工程的消防给水及消火栓系统的设计、施工、验收和维护管理。</w:t>
      </w:r>
      <w:r>
        <w:rPr>
          <w:color w:val="333333"/>
          <w:sz w:val="21"/>
        </w:rPr>
        <w:t xml:space="preserve"> </w:t>
      </w:r>
    </w:p>
    <w:p w14:paraId="245C2876" w14:textId="77777777" w:rsidR="00A71EEF" w:rsidRDefault="0081115D">
      <w:pPr>
        <w:pStyle w:val="a4"/>
        <w:numPr>
          <w:ilvl w:val="1"/>
          <w:numId w:val="319"/>
        </w:numPr>
        <w:tabs>
          <w:tab w:val="left" w:pos="1213"/>
        </w:tabs>
        <w:spacing w:line="446" w:lineRule="auto"/>
        <w:ind w:right="1445" w:firstLine="422"/>
        <w:rPr>
          <w:sz w:val="21"/>
        </w:rPr>
      </w:pPr>
      <w:r>
        <w:rPr>
          <w:color w:val="333333"/>
          <w:spacing w:val="-3"/>
          <w:sz w:val="21"/>
        </w:rPr>
        <w:t>消防给水及消火栓系统的设计、施工、验收和维护管理应遵循国家的有关方针政策，结合工程特点，采取有效的技术措施，做到安全可靠、技术先进、经济适用、保护环境。</w:t>
      </w:r>
      <w:r>
        <w:rPr>
          <w:color w:val="333333"/>
          <w:sz w:val="21"/>
        </w:rPr>
        <w:t xml:space="preserve"> </w:t>
      </w:r>
    </w:p>
    <w:p w14:paraId="7E88FD39" w14:textId="77777777" w:rsidR="00A71EEF" w:rsidRDefault="0081115D">
      <w:pPr>
        <w:pStyle w:val="a4"/>
        <w:numPr>
          <w:ilvl w:val="1"/>
          <w:numId w:val="319"/>
        </w:numPr>
        <w:tabs>
          <w:tab w:val="left" w:pos="1213"/>
        </w:tabs>
        <w:spacing w:line="446" w:lineRule="auto"/>
        <w:ind w:right="1445" w:firstLine="422"/>
        <w:rPr>
          <w:sz w:val="21"/>
        </w:rPr>
      </w:pPr>
      <w:r>
        <w:rPr>
          <w:color w:val="333333"/>
          <w:spacing w:val="-3"/>
          <w:sz w:val="21"/>
        </w:rPr>
        <w:t>工程中采用的消防给水及消火栓系统的组件和设备等应为符合国家现行有关标准和准入制度要求的产品。</w:t>
      </w:r>
      <w:r>
        <w:rPr>
          <w:color w:val="333333"/>
          <w:sz w:val="21"/>
        </w:rPr>
        <w:t xml:space="preserve"> </w:t>
      </w:r>
    </w:p>
    <w:p w14:paraId="6867630C" w14:textId="77777777" w:rsidR="00A71EEF" w:rsidRDefault="00A71EEF">
      <w:pPr>
        <w:spacing w:line="446" w:lineRule="auto"/>
        <w:rPr>
          <w:sz w:val="21"/>
        </w:rPr>
        <w:sectPr w:rsidR="00A71EEF">
          <w:pgSz w:w="11910" w:h="16850"/>
          <w:pgMar w:top="1600" w:right="0" w:bottom="1420" w:left="1260" w:header="0" w:footer="1239" w:gutter="0"/>
          <w:cols w:space="720"/>
        </w:sectPr>
      </w:pPr>
    </w:p>
    <w:p w14:paraId="614FC090" w14:textId="77777777" w:rsidR="00A71EEF" w:rsidRDefault="0081115D">
      <w:pPr>
        <w:pStyle w:val="a4"/>
        <w:numPr>
          <w:ilvl w:val="1"/>
          <w:numId w:val="319"/>
        </w:numPr>
        <w:tabs>
          <w:tab w:val="left" w:pos="1213"/>
        </w:tabs>
        <w:spacing w:before="47" w:line="446" w:lineRule="auto"/>
        <w:ind w:right="1445" w:firstLine="422"/>
        <w:rPr>
          <w:sz w:val="21"/>
        </w:rPr>
      </w:pPr>
      <w:r>
        <w:rPr>
          <w:color w:val="333333"/>
          <w:spacing w:val="-3"/>
          <w:sz w:val="21"/>
        </w:rPr>
        <w:t>消防给水及消火栓系统的设计、施工、验收和维护管理，除应符合本规范外，尚应符合国家现行有关标准的规定。</w:t>
      </w:r>
      <w:r>
        <w:rPr>
          <w:color w:val="333333"/>
          <w:spacing w:val="-3"/>
          <w:sz w:val="21"/>
        </w:rPr>
        <w:t xml:space="preserve"> </w:t>
      </w:r>
    </w:p>
    <w:p w14:paraId="4B9B4228" w14:textId="77777777" w:rsidR="00A71EEF" w:rsidRDefault="0081115D">
      <w:pPr>
        <w:pStyle w:val="4"/>
        <w:spacing w:line="275" w:lineRule="exact"/>
      </w:pPr>
      <w:r>
        <w:t>2</w:t>
      </w:r>
      <w:r>
        <w:rPr>
          <w:spacing w:val="-1"/>
        </w:rPr>
        <w:t xml:space="preserve"> </w:t>
      </w:r>
      <w:r>
        <w:rPr>
          <w:spacing w:val="-1"/>
        </w:rPr>
        <w:t>术语</w:t>
      </w:r>
      <w:r>
        <w:rPr>
          <w:spacing w:val="-1"/>
        </w:rPr>
        <w:t>和符号</w:t>
      </w:r>
      <w:r>
        <w:rPr>
          <w:spacing w:val="-1"/>
          <w:w w:val="99"/>
        </w:rPr>
        <w:t xml:space="preserve"> </w:t>
      </w:r>
    </w:p>
    <w:p w14:paraId="1E45DD50" w14:textId="77777777" w:rsidR="00A71EEF" w:rsidRDefault="00A71EEF">
      <w:pPr>
        <w:pStyle w:val="a3"/>
        <w:spacing w:before="6"/>
        <w:rPr>
          <w:b/>
          <w:sz w:val="17"/>
        </w:rPr>
      </w:pPr>
    </w:p>
    <w:p w14:paraId="7948054C" w14:textId="77777777" w:rsidR="00A71EEF" w:rsidRDefault="0081115D">
      <w:pPr>
        <w:pStyle w:val="a4"/>
        <w:numPr>
          <w:ilvl w:val="1"/>
          <w:numId w:val="318"/>
        </w:numPr>
        <w:tabs>
          <w:tab w:val="left" w:pos="1159"/>
        </w:tabs>
        <w:spacing w:before="1"/>
        <w:ind w:hanging="319"/>
        <w:rPr>
          <w:b/>
          <w:sz w:val="21"/>
        </w:rPr>
      </w:pPr>
      <w:r>
        <w:rPr>
          <w:spacing w:val="-3"/>
          <w:sz w:val="21"/>
        </w:rPr>
        <w:t>术语</w:t>
      </w:r>
      <w:r>
        <w:rPr>
          <w:b/>
          <w:w w:val="99"/>
          <w:sz w:val="21"/>
        </w:rPr>
        <w:t xml:space="preserve"> </w:t>
      </w:r>
    </w:p>
    <w:p w14:paraId="5B004080" w14:textId="77777777" w:rsidR="00A71EEF" w:rsidRDefault="00A71EEF">
      <w:pPr>
        <w:pStyle w:val="a3"/>
        <w:spacing w:before="12"/>
        <w:rPr>
          <w:b/>
          <w:sz w:val="17"/>
        </w:rPr>
      </w:pPr>
    </w:p>
    <w:p w14:paraId="33B74D23" w14:textId="77777777" w:rsidR="00A71EEF" w:rsidRDefault="0081115D">
      <w:pPr>
        <w:pStyle w:val="a4"/>
        <w:numPr>
          <w:ilvl w:val="2"/>
          <w:numId w:val="318"/>
        </w:numPr>
        <w:tabs>
          <w:tab w:val="left" w:pos="1424"/>
        </w:tabs>
        <w:rPr>
          <w:color w:val="333333"/>
          <w:sz w:val="21"/>
        </w:rPr>
      </w:pPr>
      <w:r>
        <w:rPr>
          <w:color w:val="333333"/>
          <w:spacing w:val="-3"/>
          <w:sz w:val="21"/>
        </w:rPr>
        <w:t>消防水源</w:t>
      </w:r>
      <w:r>
        <w:rPr>
          <w:color w:val="333333"/>
          <w:spacing w:val="-3"/>
          <w:sz w:val="21"/>
        </w:rPr>
        <w:t xml:space="preserve"> </w:t>
      </w:r>
      <w:r>
        <w:rPr>
          <w:color w:val="333333"/>
          <w:sz w:val="21"/>
        </w:rPr>
        <w:t>fire</w:t>
      </w:r>
      <w:r>
        <w:rPr>
          <w:color w:val="333333"/>
          <w:spacing w:val="104"/>
          <w:sz w:val="21"/>
        </w:rPr>
        <w:t xml:space="preserve"> </w:t>
      </w:r>
      <w:r>
        <w:rPr>
          <w:color w:val="333333"/>
          <w:sz w:val="21"/>
        </w:rPr>
        <w:t xml:space="preserve">water </w:t>
      </w:r>
    </w:p>
    <w:p w14:paraId="1A16FB01" w14:textId="77777777" w:rsidR="00A71EEF" w:rsidRDefault="00A71EEF">
      <w:pPr>
        <w:pStyle w:val="a3"/>
        <w:spacing w:before="12"/>
        <w:rPr>
          <w:sz w:val="17"/>
        </w:rPr>
      </w:pPr>
    </w:p>
    <w:p w14:paraId="7EA80D2E" w14:textId="77777777" w:rsidR="00A71EEF" w:rsidRDefault="0081115D">
      <w:pPr>
        <w:pStyle w:val="a3"/>
        <w:spacing w:line="446" w:lineRule="auto"/>
        <w:ind w:left="418" w:right="1609" w:firstLine="419"/>
      </w:pPr>
      <w:r>
        <w:t>向水灭火设施、车载或手抬等移动消防水泵、固定消防水泵等提供消防用水的水源，包括市政给水、消防水池、高位消防水池和天然水源等。</w:t>
      </w:r>
      <w:r>
        <w:t xml:space="preserve"> </w:t>
      </w:r>
    </w:p>
    <w:p w14:paraId="100EAA48" w14:textId="77777777" w:rsidR="00A71EEF" w:rsidRDefault="0081115D">
      <w:pPr>
        <w:pStyle w:val="a4"/>
        <w:numPr>
          <w:ilvl w:val="2"/>
          <w:numId w:val="318"/>
        </w:numPr>
        <w:tabs>
          <w:tab w:val="left" w:pos="1424"/>
        </w:tabs>
        <w:spacing w:before="1" w:line="446" w:lineRule="auto"/>
        <w:ind w:left="418" w:right="2604" w:firstLine="422"/>
        <w:rPr>
          <w:sz w:val="21"/>
        </w:rPr>
      </w:pPr>
      <w:r>
        <w:rPr>
          <w:spacing w:val="-3"/>
          <w:sz w:val="21"/>
        </w:rPr>
        <w:t>高压消防给水系统</w:t>
      </w:r>
      <w:r>
        <w:rPr>
          <w:spacing w:val="-3"/>
          <w:sz w:val="21"/>
        </w:rPr>
        <w:t xml:space="preserve"> </w:t>
      </w:r>
      <w:r>
        <w:rPr>
          <w:sz w:val="21"/>
        </w:rPr>
        <w:t>constant</w:t>
      </w:r>
      <w:r>
        <w:rPr>
          <w:spacing w:val="1"/>
          <w:sz w:val="21"/>
        </w:rPr>
        <w:t xml:space="preserve"> </w:t>
      </w:r>
      <w:r>
        <w:rPr>
          <w:sz w:val="21"/>
        </w:rPr>
        <w:t>high</w:t>
      </w:r>
      <w:r>
        <w:rPr>
          <w:spacing w:val="-2"/>
          <w:sz w:val="21"/>
        </w:rPr>
        <w:t xml:space="preserve"> </w:t>
      </w:r>
      <w:r>
        <w:rPr>
          <w:sz w:val="21"/>
        </w:rPr>
        <w:t>pressure</w:t>
      </w:r>
      <w:r>
        <w:rPr>
          <w:spacing w:val="3"/>
          <w:sz w:val="21"/>
        </w:rPr>
        <w:t xml:space="preserve"> </w:t>
      </w:r>
      <w:r>
        <w:rPr>
          <w:sz w:val="21"/>
        </w:rPr>
        <w:t>fire</w:t>
      </w:r>
      <w:r>
        <w:rPr>
          <w:spacing w:val="1"/>
          <w:sz w:val="21"/>
        </w:rPr>
        <w:t xml:space="preserve"> </w:t>
      </w:r>
      <w:r>
        <w:rPr>
          <w:sz w:val="21"/>
        </w:rPr>
        <w:t>protection</w:t>
      </w:r>
      <w:r>
        <w:rPr>
          <w:spacing w:val="-2"/>
          <w:sz w:val="21"/>
        </w:rPr>
        <w:t xml:space="preserve"> </w:t>
      </w:r>
      <w:r>
        <w:rPr>
          <w:sz w:val="21"/>
        </w:rPr>
        <w:t xml:space="preserve">water supply system </w:t>
      </w:r>
    </w:p>
    <w:p w14:paraId="1DA73658" w14:textId="77777777" w:rsidR="00A71EEF" w:rsidRDefault="0081115D">
      <w:pPr>
        <w:pStyle w:val="a3"/>
        <w:spacing w:line="446" w:lineRule="auto"/>
        <w:ind w:left="418" w:right="1609" w:firstLine="419"/>
      </w:pPr>
      <w:r>
        <w:rPr>
          <w:spacing w:val="-3"/>
        </w:rPr>
        <w:t>能始终保持满足水灭火设施所需的工作压力和流量，火灾时无须消防水泵直接加压的供水系统。</w:t>
      </w:r>
      <w:r>
        <w:t xml:space="preserve"> </w:t>
      </w:r>
    </w:p>
    <w:p w14:paraId="32DC8B90" w14:textId="77777777" w:rsidR="00A71EEF" w:rsidRDefault="0081115D">
      <w:pPr>
        <w:pStyle w:val="a4"/>
        <w:numPr>
          <w:ilvl w:val="2"/>
          <w:numId w:val="318"/>
        </w:numPr>
        <w:tabs>
          <w:tab w:val="left" w:pos="1424"/>
        </w:tabs>
        <w:spacing w:line="446" w:lineRule="auto"/>
        <w:ind w:left="418" w:right="1344" w:firstLine="422"/>
        <w:rPr>
          <w:sz w:val="21"/>
        </w:rPr>
      </w:pPr>
      <w:r>
        <w:rPr>
          <w:spacing w:val="-3"/>
          <w:sz w:val="21"/>
        </w:rPr>
        <w:t>临时高压消防给水系统</w:t>
      </w:r>
      <w:r>
        <w:rPr>
          <w:spacing w:val="-3"/>
          <w:sz w:val="21"/>
        </w:rPr>
        <w:t xml:space="preserve"> </w:t>
      </w:r>
      <w:r>
        <w:rPr>
          <w:sz w:val="21"/>
        </w:rPr>
        <w:t>temporary</w:t>
      </w:r>
      <w:r>
        <w:rPr>
          <w:spacing w:val="1"/>
          <w:sz w:val="21"/>
        </w:rPr>
        <w:t xml:space="preserve"> </w:t>
      </w:r>
      <w:r>
        <w:rPr>
          <w:sz w:val="21"/>
        </w:rPr>
        <w:t>high</w:t>
      </w:r>
      <w:r>
        <w:rPr>
          <w:spacing w:val="1"/>
          <w:sz w:val="21"/>
        </w:rPr>
        <w:t xml:space="preserve"> </w:t>
      </w:r>
      <w:r>
        <w:rPr>
          <w:sz w:val="21"/>
        </w:rPr>
        <w:t>pressure</w:t>
      </w:r>
      <w:r>
        <w:rPr>
          <w:spacing w:val="-2"/>
          <w:sz w:val="21"/>
        </w:rPr>
        <w:t xml:space="preserve"> </w:t>
      </w:r>
      <w:r>
        <w:rPr>
          <w:sz w:val="21"/>
        </w:rPr>
        <w:t>fire</w:t>
      </w:r>
      <w:r>
        <w:rPr>
          <w:spacing w:val="2"/>
          <w:sz w:val="21"/>
        </w:rPr>
        <w:t xml:space="preserve"> </w:t>
      </w:r>
      <w:r>
        <w:rPr>
          <w:sz w:val="21"/>
        </w:rPr>
        <w:t>protection</w:t>
      </w:r>
      <w:r>
        <w:rPr>
          <w:spacing w:val="-2"/>
          <w:sz w:val="21"/>
        </w:rPr>
        <w:t xml:space="preserve"> </w:t>
      </w:r>
      <w:r>
        <w:rPr>
          <w:sz w:val="21"/>
        </w:rPr>
        <w:t xml:space="preserve">water  supply system </w:t>
      </w:r>
    </w:p>
    <w:p w14:paraId="51E2D2A0" w14:textId="77777777" w:rsidR="00A71EEF" w:rsidRDefault="0081115D">
      <w:pPr>
        <w:pStyle w:val="a3"/>
        <w:spacing w:line="446" w:lineRule="auto"/>
        <w:ind w:left="418" w:right="1609" w:firstLine="419"/>
      </w:pPr>
      <w:r>
        <w:t>平时不能满足水灭火设施所需的工作压力和流量，火灾时能自动启动消防水泵以满足水灭火设施所需的工作压力和流量的供水系统。</w:t>
      </w:r>
      <w:r>
        <w:t xml:space="preserve"> </w:t>
      </w:r>
    </w:p>
    <w:p w14:paraId="05B730A0" w14:textId="77777777" w:rsidR="00A71EEF" w:rsidRDefault="0081115D">
      <w:pPr>
        <w:pStyle w:val="a4"/>
        <w:numPr>
          <w:ilvl w:val="2"/>
          <w:numId w:val="318"/>
        </w:numPr>
        <w:tabs>
          <w:tab w:val="left" w:pos="1424"/>
        </w:tabs>
        <w:rPr>
          <w:sz w:val="21"/>
        </w:rPr>
      </w:pPr>
      <w:r>
        <w:rPr>
          <w:spacing w:val="-3"/>
          <w:sz w:val="21"/>
        </w:rPr>
        <w:t>低压消防给水系统</w:t>
      </w:r>
      <w:r>
        <w:rPr>
          <w:spacing w:val="-3"/>
          <w:sz w:val="21"/>
        </w:rPr>
        <w:t xml:space="preserve"> </w:t>
      </w:r>
      <w:r>
        <w:rPr>
          <w:sz w:val="21"/>
        </w:rPr>
        <w:t>low</w:t>
      </w:r>
      <w:r>
        <w:rPr>
          <w:spacing w:val="1"/>
          <w:sz w:val="21"/>
        </w:rPr>
        <w:t xml:space="preserve"> </w:t>
      </w:r>
      <w:r>
        <w:rPr>
          <w:sz w:val="21"/>
        </w:rPr>
        <w:t>pressure</w:t>
      </w:r>
      <w:r>
        <w:rPr>
          <w:spacing w:val="1"/>
          <w:sz w:val="21"/>
        </w:rPr>
        <w:t xml:space="preserve"> </w:t>
      </w:r>
      <w:r>
        <w:rPr>
          <w:sz w:val="21"/>
        </w:rPr>
        <w:t>fire</w:t>
      </w:r>
      <w:r>
        <w:rPr>
          <w:spacing w:val="-2"/>
          <w:sz w:val="21"/>
        </w:rPr>
        <w:t xml:space="preserve"> </w:t>
      </w:r>
      <w:r>
        <w:rPr>
          <w:sz w:val="21"/>
        </w:rPr>
        <w:t>protection</w:t>
      </w:r>
      <w:r>
        <w:rPr>
          <w:spacing w:val="-3"/>
          <w:sz w:val="21"/>
        </w:rPr>
        <w:t xml:space="preserve"> </w:t>
      </w:r>
      <w:r>
        <w:rPr>
          <w:sz w:val="21"/>
        </w:rPr>
        <w:t>water</w:t>
      </w:r>
      <w:r>
        <w:rPr>
          <w:spacing w:val="1"/>
          <w:sz w:val="21"/>
        </w:rPr>
        <w:t xml:space="preserve"> </w:t>
      </w:r>
      <w:r>
        <w:rPr>
          <w:sz w:val="21"/>
        </w:rPr>
        <w:t>supply</w:t>
      </w:r>
      <w:r>
        <w:rPr>
          <w:spacing w:val="1"/>
          <w:sz w:val="21"/>
        </w:rPr>
        <w:t xml:space="preserve"> </w:t>
      </w:r>
      <w:r>
        <w:rPr>
          <w:sz w:val="21"/>
        </w:rPr>
        <w:t xml:space="preserve">system </w:t>
      </w:r>
      <w:r>
        <w:rPr>
          <w:spacing w:val="-2"/>
          <w:sz w:val="21"/>
        </w:rPr>
        <w:t xml:space="preserve"> </w:t>
      </w:r>
      <w:r>
        <w:rPr>
          <w:sz w:val="21"/>
        </w:rPr>
        <w:t xml:space="preserve"> </w:t>
      </w:r>
    </w:p>
    <w:p w14:paraId="5FD11E33" w14:textId="77777777" w:rsidR="00A71EEF" w:rsidRDefault="00A71EEF">
      <w:pPr>
        <w:pStyle w:val="a3"/>
        <w:spacing w:before="9"/>
        <w:rPr>
          <w:sz w:val="17"/>
        </w:rPr>
      </w:pPr>
    </w:p>
    <w:p w14:paraId="74806D94" w14:textId="77777777" w:rsidR="00A71EEF" w:rsidRDefault="0081115D">
      <w:pPr>
        <w:pStyle w:val="a3"/>
        <w:spacing w:before="1"/>
        <w:ind w:left="838"/>
      </w:pPr>
      <w:r>
        <w:t>能满足车载或手抬移动消防水泵等取水所需的工作压力和流量的供水系统。</w:t>
      </w:r>
      <w:r>
        <w:t xml:space="preserve"> </w:t>
      </w:r>
    </w:p>
    <w:p w14:paraId="7DF8CBE9" w14:textId="77777777" w:rsidR="00A71EEF" w:rsidRDefault="00A71EEF">
      <w:pPr>
        <w:pStyle w:val="a3"/>
        <w:spacing w:before="12"/>
        <w:rPr>
          <w:sz w:val="17"/>
        </w:rPr>
      </w:pPr>
    </w:p>
    <w:p w14:paraId="4CB3A14E" w14:textId="77777777" w:rsidR="00A71EEF" w:rsidRDefault="0081115D">
      <w:pPr>
        <w:pStyle w:val="a4"/>
        <w:numPr>
          <w:ilvl w:val="2"/>
          <w:numId w:val="318"/>
        </w:numPr>
        <w:tabs>
          <w:tab w:val="left" w:pos="1424"/>
        </w:tabs>
        <w:rPr>
          <w:sz w:val="21"/>
        </w:rPr>
      </w:pPr>
      <w:r>
        <w:rPr>
          <w:spacing w:val="-3"/>
          <w:sz w:val="21"/>
        </w:rPr>
        <w:t>消防水池</w:t>
      </w:r>
      <w:r>
        <w:rPr>
          <w:spacing w:val="-3"/>
          <w:sz w:val="21"/>
        </w:rPr>
        <w:t xml:space="preserve"> </w:t>
      </w:r>
      <w:r>
        <w:rPr>
          <w:sz w:val="21"/>
        </w:rPr>
        <w:t>fire</w:t>
      </w:r>
      <w:r>
        <w:rPr>
          <w:spacing w:val="1"/>
          <w:sz w:val="21"/>
        </w:rPr>
        <w:t xml:space="preserve"> </w:t>
      </w:r>
      <w:r>
        <w:rPr>
          <w:sz w:val="21"/>
        </w:rPr>
        <w:t xml:space="preserve">reservoir </w:t>
      </w:r>
    </w:p>
    <w:p w14:paraId="22400A53" w14:textId="77777777" w:rsidR="00A71EEF" w:rsidRDefault="00A71EEF">
      <w:pPr>
        <w:pStyle w:val="a3"/>
        <w:spacing w:before="2"/>
        <w:rPr>
          <w:sz w:val="18"/>
        </w:rPr>
      </w:pPr>
    </w:p>
    <w:p w14:paraId="0DD8D597" w14:textId="77777777" w:rsidR="00A71EEF" w:rsidRDefault="0081115D">
      <w:pPr>
        <w:pStyle w:val="a3"/>
        <w:ind w:left="838"/>
      </w:pPr>
      <w:r>
        <w:t>人工建造的供固定或移动消防水泵吸水的储水设施。</w:t>
      </w:r>
      <w:r>
        <w:t xml:space="preserve"> </w:t>
      </w:r>
    </w:p>
    <w:p w14:paraId="5286C79D" w14:textId="77777777" w:rsidR="00A71EEF" w:rsidRDefault="00A71EEF">
      <w:pPr>
        <w:pStyle w:val="a3"/>
        <w:rPr>
          <w:sz w:val="18"/>
        </w:rPr>
      </w:pPr>
    </w:p>
    <w:p w14:paraId="17A4AFFF" w14:textId="77777777" w:rsidR="00A71EEF" w:rsidRDefault="0081115D">
      <w:pPr>
        <w:pStyle w:val="a4"/>
        <w:numPr>
          <w:ilvl w:val="2"/>
          <w:numId w:val="318"/>
        </w:numPr>
        <w:tabs>
          <w:tab w:val="left" w:pos="1424"/>
        </w:tabs>
        <w:rPr>
          <w:sz w:val="21"/>
        </w:rPr>
      </w:pPr>
      <w:r>
        <w:rPr>
          <w:spacing w:val="-3"/>
          <w:sz w:val="21"/>
        </w:rPr>
        <w:t>高位消防水池</w:t>
      </w:r>
      <w:r>
        <w:rPr>
          <w:spacing w:val="-3"/>
          <w:sz w:val="21"/>
        </w:rPr>
        <w:t xml:space="preserve"> </w:t>
      </w:r>
      <w:r>
        <w:rPr>
          <w:sz w:val="21"/>
        </w:rPr>
        <w:t>gravity</w:t>
      </w:r>
      <w:r>
        <w:rPr>
          <w:spacing w:val="1"/>
          <w:sz w:val="21"/>
        </w:rPr>
        <w:t xml:space="preserve"> </w:t>
      </w:r>
      <w:r>
        <w:rPr>
          <w:sz w:val="21"/>
        </w:rPr>
        <w:t>fi</w:t>
      </w:r>
      <w:r>
        <w:rPr>
          <w:sz w:val="21"/>
        </w:rPr>
        <w:t xml:space="preserve">re reservoir </w:t>
      </w:r>
    </w:p>
    <w:p w14:paraId="24009AF0" w14:textId="77777777" w:rsidR="00A71EEF" w:rsidRDefault="00A71EEF">
      <w:pPr>
        <w:pStyle w:val="a3"/>
        <w:spacing w:before="12"/>
        <w:rPr>
          <w:sz w:val="17"/>
        </w:rPr>
      </w:pPr>
    </w:p>
    <w:p w14:paraId="46449FBC" w14:textId="77777777" w:rsidR="00A71EEF" w:rsidRDefault="0081115D">
      <w:pPr>
        <w:pStyle w:val="a3"/>
        <w:ind w:left="838"/>
      </w:pPr>
      <w:r>
        <w:t>设置在高处直接向水灭火设施重力供水的储水设施。</w:t>
      </w:r>
      <w:r>
        <w:t xml:space="preserve"> </w:t>
      </w:r>
    </w:p>
    <w:p w14:paraId="51B0D220" w14:textId="77777777" w:rsidR="00A71EEF" w:rsidRDefault="00A71EEF">
      <w:pPr>
        <w:pStyle w:val="a3"/>
        <w:spacing w:before="2"/>
        <w:rPr>
          <w:sz w:val="18"/>
        </w:rPr>
      </w:pPr>
    </w:p>
    <w:p w14:paraId="077A05DF" w14:textId="77777777" w:rsidR="00A71EEF" w:rsidRDefault="0081115D">
      <w:pPr>
        <w:pStyle w:val="a4"/>
        <w:numPr>
          <w:ilvl w:val="2"/>
          <w:numId w:val="318"/>
        </w:numPr>
        <w:tabs>
          <w:tab w:val="left" w:pos="1424"/>
        </w:tabs>
        <w:rPr>
          <w:sz w:val="21"/>
        </w:rPr>
      </w:pPr>
      <w:r>
        <w:rPr>
          <w:spacing w:val="-3"/>
          <w:sz w:val="21"/>
        </w:rPr>
        <w:t>高位消防水箱</w:t>
      </w:r>
      <w:r>
        <w:rPr>
          <w:spacing w:val="-3"/>
          <w:sz w:val="21"/>
        </w:rPr>
        <w:t xml:space="preserve"> </w:t>
      </w:r>
      <w:r>
        <w:rPr>
          <w:sz w:val="21"/>
        </w:rPr>
        <w:t>elevated/gravity</w:t>
      </w:r>
      <w:r>
        <w:rPr>
          <w:spacing w:val="1"/>
          <w:sz w:val="21"/>
        </w:rPr>
        <w:t xml:space="preserve"> </w:t>
      </w:r>
      <w:r>
        <w:rPr>
          <w:sz w:val="21"/>
        </w:rPr>
        <w:t>fire</w:t>
      </w:r>
      <w:r>
        <w:rPr>
          <w:spacing w:val="-2"/>
          <w:sz w:val="21"/>
        </w:rPr>
        <w:t xml:space="preserve"> </w:t>
      </w:r>
      <w:r>
        <w:rPr>
          <w:sz w:val="21"/>
        </w:rPr>
        <w:t xml:space="preserve">tank </w:t>
      </w:r>
    </w:p>
    <w:p w14:paraId="6F3FF33B" w14:textId="77777777" w:rsidR="00A71EEF" w:rsidRDefault="00A71EEF">
      <w:pPr>
        <w:pStyle w:val="a3"/>
        <w:rPr>
          <w:sz w:val="18"/>
        </w:rPr>
      </w:pPr>
    </w:p>
    <w:p w14:paraId="0363199F" w14:textId="77777777" w:rsidR="00A71EEF" w:rsidRDefault="0081115D">
      <w:pPr>
        <w:pStyle w:val="a3"/>
        <w:ind w:left="838"/>
      </w:pPr>
      <w:r>
        <w:t>设置在高处直接向水灭火设施重力供应初期火灾消防用水量的储水设施。</w:t>
      </w:r>
      <w:r>
        <w:t xml:space="preserve"> </w:t>
      </w:r>
    </w:p>
    <w:p w14:paraId="0BDA8D8E" w14:textId="77777777" w:rsidR="00A71EEF" w:rsidRDefault="00A71EEF">
      <w:pPr>
        <w:pStyle w:val="a3"/>
        <w:spacing w:before="12"/>
        <w:rPr>
          <w:sz w:val="17"/>
        </w:rPr>
      </w:pPr>
    </w:p>
    <w:p w14:paraId="5A753B2E" w14:textId="77777777" w:rsidR="00A71EEF" w:rsidRDefault="0081115D">
      <w:pPr>
        <w:pStyle w:val="a4"/>
        <w:numPr>
          <w:ilvl w:val="2"/>
          <w:numId w:val="318"/>
        </w:numPr>
        <w:tabs>
          <w:tab w:val="left" w:pos="1424"/>
        </w:tabs>
        <w:spacing w:line="446" w:lineRule="auto"/>
        <w:ind w:left="838" w:right="3551" w:firstLine="2"/>
        <w:rPr>
          <w:sz w:val="21"/>
        </w:rPr>
      </w:pPr>
      <w:r>
        <w:rPr>
          <w:spacing w:val="-3"/>
          <w:sz w:val="21"/>
        </w:rPr>
        <w:t>消火栓系统</w:t>
      </w:r>
      <w:r>
        <w:rPr>
          <w:spacing w:val="-3"/>
          <w:sz w:val="21"/>
        </w:rPr>
        <w:t xml:space="preserve"> </w:t>
      </w:r>
      <w:r>
        <w:rPr>
          <w:sz w:val="21"/>
        </w:rPr>
        <w:t>hydrant systems/standpipe and hose</w:t>
      </w:r>
      <w:r>
        <w:rPr>
          <w:spacing w:val="-2"/>
          <w:sz w:val="21"/>
        </w:rPr>
        <w:t xml:space="preserve"> </w:t>
      </w:r>
      <w:r>
        <w:rPr>
          <w:sz w:val="21"/>
        </w:rPr>
        <w:t xml:space="preserve">systems </w:t>
      </w:r>
      <w:r>
        <w:rPr>
          <w:spacing w:val="-3"/>
          <w:sz w:val="21"/>
        </w:rPr>
        <w:t>由供水设施、消火栓、配水管网和阀门等组成的系统。</w:t>
      </w:r>
      <w:r>
        <w:rPr>
          <w:sz w:val="21"/>
        </w:rPr>
        <w:t xml:space="preserve"> </w:t>
      </w:r>
    </w:p>
    <w:p w14:paraId="5E6C2F32" w14:textId="77777777" w:rsidR="00A71EEF" w:rsidRDefault="0081115D">
      <w:pPr>
        <w:pStyle w:val="a4"/>
        <w:numPr>
          <w:ilvl w:val="2"/>
          <w:numId w:val="318"/>
        </w:numPr>
        <w:tabs>
          <w:tab w:val="left" w:pos="1424"/>
        </w:tabs>
        <w:spacing w:line="446" w:lineRule="auto"/>
        <w:ind w:left="838" w:right="3445" w:firstLine="2"/>
        <w:rPr>
          <w:sz w:val="21"/>
        </w:rPr>
      </w:pPr>
      <w:r>
        <w:rPr>
          <w:spacing w:val="-3"/>
          <w:sz w:val="21"/>
        </w:rPr>
        <w:t>湿式消火栓系统</w:t>
      </w:r>
      <w:r>
        <w:rPr>
          <w:spacing w:val="-3"/>
          <w:sz w:val="21"/>
        </w:rPr>
        <w:t xml:space="preserve"> </w:t>
      </w:r>
      <w:r>
        <w:rPr>
          <w:sz w:val="21"/>
        </w:rPr>
        <w:t>wet</w:t>
      </w:r>
      <w:r>
        <w:rPr>
          <w:spacing w:val="1"/>
          <w:sz w:val="21"/>
        </w:rPr>
        <w:t xml:space="preserve"> </w:t>
      </w:r>
      <w:r>
        <w:rPr>
          <w:sz w:val="21"/>
        </w:rPr>
        <w:t>hydrant</w:t>
      </w:r>
      <w:r>
        <w:rPr>
          <w:spacing w:val="-2"/>
          <w:sz w:val="21"/>
        </w:rPr>
        <w:t xml:space="preserve"> </w:t>
      </w:r>
      <w:r>
        <w:rPr>
          <w:sz w:val="21"/>
        </w:rPr>
        <w:t>system/wet</w:t>
      </w:r>
      <w:r>
        <w:rPr>
          <w:spacing w:val="1"/>
          <w:sz w:val="21"/>
        </w:rPr>
        <w:t xml:space="preserve"> </w:t>
      </w:r>
      <w:r>
        <w:rPr>
          <w:sz w:val="21"/>
        </w:rPr>
        <w:t>standpipe</w:t>
      </w:r>
      <w:r>
        <w:rPr>
          <w:spacing w:val="1"/>
          <w:sz w:val="21"/>
        </w:rPr>
        <w:t xml:space="preserve"> </w:t>
      </w:r>
      <w:r>
        <w:rPr>
          <w:sz w:val="21"/>
        </w:rPr>
        <w:t xml:space="preserve">system </w:t>
      </w:r>
      <w:r>
        <w:rPr>
          <w:spacing w:val="-3"/>
          <w:sz w:val="21"/>
        </w:rPr>
        <w:t>平时配水管网内充满水的消火栓系统。</w:t>
      </w:r>
      <w:r>
        <w:rPr>
          <w:sz w:val="21"/>
        </w:rPr>
        <w:t xml:space="preserve"> </w:t>
      </w:r>
    </w:p>
    <w:p w14:paraId="775B890C" w14:textId="77777777" w:rsidR="00A71EEF" w:rsidRDefault="0081115D">
      <w:pPr>
        <w:pStyle w:val="a4"/>
        <w:numPr>
          <w:ilvl w:val="2"/>
          <w:numId w:val="318"/>
        </w:numPr>
        <w:tabs>
          <w:tab w:val="left" w:pos="1530"/>
        </w:tabs>
        <w:ind w:left="1529" w:hanging="690"/>
        <w:rPr>
          <w:sz w:val="21"/>
        </w:rPr>
      </w:pPr>
      <w:r>
        <w:rPr>
          <w:spacing w:val="-3"/>
          <w:sz w:val="21"/>
        </w:rPr>
        <w:t>干式消火栓系统</w:t>
      </w:r>
      <w:r>
        <w:rPr>
          <w:spacing w:val="-3"/>
          <w:sz w:val="21"/>
        </w:rPr>
        <w:t xml:space="preserve"> </w:t>
      </w:r>
      <w:r>
        <w:rPr>
          <w:sz w:val="21"/>
        </w:rPr>
        <w:t>dry</w:t>
      </w:r>
      <w:r>
        <w:rPr>
          <w:spacing w:val="1"/>
          <w:sz w:val="21"/>
        </w:rPr>
        <w:t xml:space="preserve"> </w:t>
      </w:r>
      <w:r>
        <w:rPr>
          <w:sz w:val="21"/>
        </w:rPr>
        <w:t>hydrant system/</w:t>
      </w:r>
      <w:r>
        <w:rPr>
          <w:spacing w:val="1"/>
          <w:sz w:val="21"/>
        </w:rPr>
        <w:t xml:space="preserve"> </w:t>
      </w:r>
      <w:r>
        <w:rPr>
          <w:sz w:val="21"/>
        </w:rPr>
        <w:t>dry</w:t>
      </w:r>
      <w:r>
        <w:rPr>
          <w:spacing w:val="-2"/>
          <w:sz w:val="21"/>
        </w:rPr>
        <w:t xml:space="preserve"> </w:t>
      </w:r>
      <w:r>
        <w:rPr>
          <w:sz w:val="21"/>
        </w:rPr>
        <w:t>standpipe</w:t>
      </w:r>
      <w:r>
        <w:rPr>
          <w:spacing w:val="-3"/>
          <w:sz w:val="21"/>
        </w:rPr>
        <w:t xml:space="preserve"> </w:t>
      </w:r>
      <w:r>
        <w:rPr>
          <w:sz w:val="21"/>
        </w:rPr>
        <w:t xml:space="preserve">system </w:t>
      </w:r>
    </w:p>
    <w:p w14:paraId="0DA5832E" w14:textId="77777777" w:rsidR="00A71EEF" w:rsidRDefault="00A71EEF">
      <w:pPr>
        <w:rPr>
          <w:sz w:val="21"/>
        </w:rPr>
        <w:sectPr w:rsidR="00A71EEF">
          <w:pgSz w:w="11910" w:h="16850"/>
          <w:pgMar w:top="1220" w:right="0" w:bottom="1420" w:left="1260" w:header="0" w:footer="1239" w:gutter="0"/>
          <w:cols w:space="720"/>
        </w:sectPr>
      </w:pPr>
    </w:p>
    <w:p w14:paraId="21A62BE4" w14:textId="77777777" w:rsidR="00A71EEF" w:rsidRDefault="0081115D">
      <w:pPr>
        <w:pStyle w:val="a3"/>
        <w:spacing w:before="47"/>
        <w:ind w:left="838"/>
      </w:pPr>
      <w:r>
        <w:t>平时配水管网内不充水，火灾时向配水管网充水的消火栓系统。</w:t>
      </w:r>
      <w:r>
        <w:t xml:space="preserve"> </w:t>
      </w:r>
    </w:p>
    <w:p w14:paraId="7EEE9BCC" w14:textId="77777777" w:rsidR="00A71EEF" w:rsidRDefault="00A71EEF">
      <w:pPr>
        <w:pStyle w:val="a3"/>
        <w:rPr>
          <w:sz w:val="18"/>
        </w:rPr>
      </w:pPr>
    </w:p>
    <w:p w14:paraId="22DBD660" w14:textId="77777777" w:rsidR="00A71EEF" w:rsidRDefault="0081115D">
      <w:pPr>
        <w:pStyle w:val="a4"/>
        <w:numPr>
          <w:ilvl w:val="2"/>
          <w:numId w:val="318"/>
        </w:numPr>
        <w:tabs>
          <w:tab w:val="left" w:pos="1530"/>
        </w:tabs>
        <w:ind w:left="1529" w:hanging="690"/>
        <w:rPr>
          <w:sz w:val="21"/>
        </w:rPr>
      </w:pPr>
      <w:r>
        <w:rPr>
          <w:spacing w:val="-3"/>
          <w:sz w:val="21"/>
        </w:rPr>
        <w:t>静水压力</w:t>
      </w:r>
      <w:r>
        <w:rPr>
          <w:spacing w:val="-3"/>
          <w:sz w:val="21"/>
        </w:rPr>
        <w:t xml:space="preserve"> </w:t>
      </w:r>
      <w:r>
        <w:rPr>
          <w:sz w:val="21"/>
        </w:rPr>
        <w:t>static</w:t>
      </w:r>
      <w:r>
        <w:rPr>
          <w:spacing w:val="-2"/>
          <w:sz w:val="21"/>
        </w:rPr>
        <w:t xml:space="preserve"> </w:t>
      </w:r>
      <w:r>
        <w:rPr>
          <w:sz w:val="21"/>
        </w:rPr>
        <w:t xml:space="preserve">pressure </w:t>
      </w:r>
    </w:p>
    <w:p w14:paraId="66BBDEB0" w14:textId="77777777" w:rsidR="00A71EEF" w:rsidRDefault="00A71EEF">
      <w:pPr>
        <w:pStyle w:val="a3"/>
        <w:rPr>
          <w:sz w:val="18"/>
        </w:rPr>
      </w:pPr>
    </w:p>
    <w:p w14:paraId="505B0085" w14:textId="77777777" w:rsidR="00A71EEF" w:rsidRDefault="0081115D">
      <w:pPr>
        <w:pStyle w:val="a3"/>
        <w:ind w:left="838"/>
      </w:pPr>
      <w:r>
        <w:t>消防给水系统管网内水在静止时管道某一点的压力，简称静压。</w:t>
      </w:r>
      <w:r>
        <w:t xml:space="preserve"> </w:t>
      </w:r>
    </w:p>
    <w:p w14:paraId="4E2FCE73" w14:textId="77777777" w:rsidR="00A71EEF" w:rsidRDefault="00A71EEF">
      <w:pPr>
        <w:pStyle w:val="a3"/>
        <w:spacing w:before="1"/>
        <w:rPr>
          <w:sz w:val="18"/>
        </w:rPr>
      </w:pPr>
    </w:p>
    <w:p w14:paraId="1B0FED58" w14:textId="77777777" w:rsidR="00A71EEF" w:rsidRDefault="0081115D">
      <w:pPr>
        <w:pStyle w:val="a4"/>
        <w:numPr>
          <w:ilvl w:val="2"/>
          <w:numId w:val="318"/>
        </w:numPr>
        <w:tabs>
          <w:tab w:val="left" w:pos="1530"/>
        </w:tabs>
        <w:spacing w:before="1"/>
        <w:ind w:left="1529" w:hanging="690"/>
        <w:rPr>
          <w:sz w:val="21"/>
        </w:rPr>
      </w:pPr>
      <w:r>
        <w:rPr>
          <w:spacing w:val="-3"/>
          <w:sz w:val="21"/>
        </w:rPr>
        <w:t>动水压力</w:t>
      </w:r>
      <w:r>
        <w:rPr>
          <w:spacing w:val="-3"/>
          <w:sz w:val="21"/>
        </w:rPr>
        <w:t xml:space="preserve"> </w:t>
      </w:r>
      <w:r>
        <w:rPr>
          <w:sz w:val="21"/>
        </w:rPr>
        <w:t>residual/running</w:t>
      </w:r>
      <w:r>
        <w:rPr>
          <w:spacing w:val="-2"/>
          <w:sz w:val="21"/>
        </w:rPr>
        <w:t xml:space="preserve"> </w:t>
      </w:r>
      <w:r>
        <w:rPr>
          <w:sz w:val="21"/>
        </w:rPr>
        <w:t xml:space="preserve">pressure </w:t>
      </w:r>
    </w:p>
    <w:p w14:paraId="4D10FB18" w14:textId="77777777" w:rsidR="00A71EEF" w:rsidRDefault="00A71EEF">
      <w:pPr>
        <w:pStyle w:val="a3"/>
        <w:spacing w:before="12"/>
        <w:rPr>
          <w:sz w:val="17"/>
        </w:rPr>
      </w:pPr>
    </w:p>
    <w:p w14:paraId="1F7DB56B" w14:textId="77777777" w:rsidR="00A71EEF" w:rsidRDefault="0081115D">
      <w:pPr>
        <w:pStyle w:val="a3"/>
        <w:spacing w:line="446" w:lineRule="auto"/>
        <w:ind w:left="840" w:right="2134" w:hanging="3"/>
        <w:rPr>
          <w:b/>
        </w:rPr>
      </w:pPr>
      <w:r>
        <w:t>消防给水系统管网内水在流动时管道某一点的总压力与速度压力之差，简称动压。</w:t>
      </w:r>
      <w:r>
        <w:rPr>
          <w:b/>
        </w:rPr>
        <w:t xml:space="preserve">2.2 </w:t>
      </w:r>
      <w:r>
        <w:rPr>
          <w:b/>
        </w:rPr>
        <w:t>符号</w:t>
      </w:r>
      <w:r>
        <w:rPr>
          <w:b/>
          <w:w w:val="99"/>
        </w:rPr>
        <w:t xml:space="preserve"> </w:t>
      </w:r>
    </w:p>
    <w:p w14:paraId="34A57A5A" w14:textId="77777777" w:rsidR="00A71EEF" w:rsidRDefault="0081115D">
      <w:pPr>
        <w:pStyle w:val="a3"/>
        <w:spacing w:line="446" w:lineRule="auto"/>
        <w:ind w:left="838" w:right="6654"/>
      </w:pPr>
      <w:r>
        <w:t>A——</w:t>
      </w:r>
      <w:r>
        <w:t>消防水池进水管断面面积；</w:t>
      </w:r>
      <w:r>
        <w:t xml:space="preserve"> Bmax ——</w:t>
      </w:r>
      <w:r>
        <w:t>最大船宽度；</w:t>
      </w:r>
      <w:r>
        <w:t xml:space="preserve"> </w:t>
      </w:r>
    </w:p>
    <w:p w14:paraId="4B53962D" w14:textId="77777777" w:rsidR="00A71EEF" w:rsidRDefault="0081115D">
      <w:pPr>
        <w:pStyle w:val="a3"/>
        <w:spacing w:line="446" w:lineRule="auto"/>
        <w:ind w:left="838" w:right="7127"/>
      </w:pPr>
      <w:r>
        <w:t>C——</w:t>
      </w:r>
      <w:r>
        <w:t>海澄</w:t>
      </w:r>
      <w:r>
        <w:t>—</w:t>
      </w:r>
      <w:r>
        <w:t>威廉系数；</w:t>
      </w:r>
      <w:r>
        <w:t xml:space="preserve"> Cv——</w:t>
      </w:r>
      <w:r>
        <w:t>流速系数；</w:t>
      </w:r>
      <w:r>
        <w:t xml:space="preserve"> </w:t>
      </w:r>
    </w:p>
    <w:p w14:paraId="60B52120" w14:textId="77777777" w:rsidR="00A71EEF" w:rsidRDefault="0081115D">
      <w:pPr>
        <w:pStyle w:val="a3"/>
        <w:spacing w:line="446" w:lineRule="auto"/>
        <w:ind w:left="838" w:right="6918"/>
      </w:pPr>
      <w:r>
        <w:t>c——</w:t>
      </w:r>
      <w:r>
        <w:t>水击波的传播速度；</w:t>
      </w:r>
      <w:r>
        <w:t xml:space="preserve"> co——</w:t>
      </w:r>
      <w:r>
        <w:t>水中声波的传播速度；</w:t>
      </w:r>
      <w:r>
        <w:t xml:space="preserve"> dg——</w:t>
      </w:r>
      <w:r>
        <w:t>节流管计算内径；</w:t>
      </w:r>
      <w:r>
        <w:t xml:space="preserve"> </w:t>
      </w:r>
    </w:p>
    <w:p w14:paraId="1FC4AE3B" w14:textId="77777777" w:rsidR="00A71EEF" w:rsidRDefault="0081115D">
      <w:pPr>
        <w:pStyle w:val="a3"/>
        <w:spacing w:line="446" w:lineRule="auto"/>
        <w:ind w:left="838" w:right="6287"/>
      </w:pPr>
      <w:r>
        <w:t>dk——</w:t>
      </w:r>
      <w:r>
        <w:t>减压孔板孔口的计算内径；</w:t>
      </w:r>
      <w:r>
        <w:t xml:space="preserve"> di——</w:t>
      </w:r>
      <w:r>
        <w:t>管道计算内径；</w:t>
      </w:r>
      <w:r>
        <w:t xml:space="preserve"> </w:t>
      </w:r>
    </w:p>
    <w:p w14:paraId="575CCC99" w14:textId="77777777" w:rsidR="00A71EEF" w:rsidRDefault="0081115D">
      <w:pPr>
        <w:pStyle w:val="a3"/>
        <w:spacing w:line="446" w:lineRule="auto"/>
        <w:ind w:left="838" w:right="7127"/>
      </w:pPr>
      <w:r>
        <w:t>E——</w:t>
      </w:r>
      <w:r>
        <w:t>管道材料的弹性模量；</w:t>
      </w:r>
      <w:r>
        <w:t xml:space="preserve"> F——</w:t>
      </w:r>
      <w:r>
        <w:t>着火油船冷却面积；</w:t>
      </w:r>
      <w:r>
        <w:t xml:space="preserve"> </w:t>
      </w:r>
    </w:p>
    <w:p w14:paraId="1E21E825" w14:textId="77777777" w:rsidR="00A71EEF" w:rsidRDefault="0081115D">
      <w:pPr>
        <w:pStyle w:val="a3"/>
        <w:spacing w:line="446" w:lineRule="auto"/>
        <w:ind w:left="838" w:right="6654"/>
      </w:pPr>
      <w:r>
        <w:t>fmax ——</w:t>
      </w:r>
      <w:r>
        <w:t>最大船的最大舱面积；</w:t>
      </w:r>
      <w:r>
        <w:t xml:space="preserve"> g——</w:t>
      </w:r>
      <w:r>
        <w:t>重力加速度；</w:t>
      </w:r>
      <w:r>
        <w:t xml:space="preserve"> </w:t>
      </w:r>
    </w:p>
    <w:p w14:paraId="15D38FC3" w14:textId="77777777" w:rsidR="00A71EEF" w:rsidRDefault="0081115D">
      <w:pPr>
        <w:pStyle w:val="a3"/>
        <w:spacing w:line="446" w:lineRule="auto"/>
        <w:ind w:left="838" w:right="3294"/>
      </w:pPr>
      <w:r>
        <w:t>H——</w:t>
      </w:r>
      <w:r>
        <w:t>消防水池最低有效水位至最不利点处水灭火设施的几何高差；</w:t>
      </w:r>
      <w:r>
        <w:t xml:space="preserve"> Hg——</w:t>
      </w:r>
      <w:r>
        <w:t>节流管的水头损失；</w:t>
      </w:r>
      <w:r>
        <w:t xml:space="preserve"> </w:t>
      </w:r>
    </w:p>
    <w:p w14:paraId="703EE7C8" w14:textId="77777777" w:rsidR="00A71EEF" w:rsidRDefault="0081115D">
      <w:pPr>
        <w:pStyle w:val="a3"/>
        <w:spacing w:line="446" w:lineRule="auto"/>
        <w:ind w:left="838" w:right="6573"/>
      </w:pPr>
      <w:r>
        <w:t>Hk—</w:t>
      </w:r>
      <w:r>
        <w:rPr>
          <w:spacing w:val="-3"/>
        </w:rPr>
        <w:t>—</w:t>
      </w:r>
      <w:r>
        <w:rPr>
          <w:spacing w:val="-3"/>
        </w:rPr>
        <w:t>减压孔板的水头损失；</w:t>
      </w:r>
      <w:r>
        <w:rPr>
          <w:spacing w:val="-3"/>
        </w:rPr>
        <w:t xml:space="preserve">  </w:t>
      </w:r>
      <w:r>
        <w:t>i—</w:t>
      </w:r>
      <w:r>
        <w:rPr>
          <w:spacing w:val="-3"/>
        </w:rPr>
        <w:t>—</w:t>
      </w:r>
      <w:r>
        <w:rPr>
          <w:spacing w:val="-3"/>
        </w:rPr>
        <w:t>单位长度管道沿程</w:t>
      </w:r>
      <w:r>
        <w:rPr>
          <w:spacing w:val="-3"/>
        </w:rPr>
        <w:t>水头损失；</w:t>
      </w:r>
      <w:r>
        <w:rPr>
          <w:spacing w:val="-3"/>
        </w:rPr>
        <w:t xml:space="preserve"> </w:t>
      </w:r>
      <w:r>
        <w:t>K—</w:t>
      </w:r>
      <w:r>
        <w:rPr>
          <w:spacing w:val="-3"/>
        </w:rPr>
        <w:t>—</w:t>
      </w:r>
      <w:r>
        <w:rPr>
          <w:spacing w:val="-3"/>
        </w:rPr>
        <w:t>水的体积弹性模量；</w:t>
      </w:r>
      <w:r>
        <w:t xml:space="preserve"> </w:t>
      </w:r>
    </w:p>
    <w:p w14:paraId="384EC97C" w14:textId="77777777" w:rsidR="00A71EEF" w:rsidRDefault="0081115D">
      <w:pPr>
        <w:pStyle w:val="a3"/>
        <w:spacing w:line="446" w:lineRule="auto"/>
        <w:ind w:left="838" w:right="5709"/>
        <w:rPr>
          <w:b/>
        </w:rPr>
      </w:pPr>
      <w:r>
        <w:t>k1——</w:t>
      </w:r>
      <w:r>
        <w:t>管件和阀门当量长度换算系数；</w:t>
      </w:r>
      <w:r>
        <w:t xml:space="preserve"> k2——</w:t>
      </w:r>
      <w:r>
        <w:t>安全系数；</w:t>
      </w:r>
      <w:r>
        <w:rPr>
          <w:b/>
          <w:w w:val="99"/>
        </w:rPr>
        <w:t xml:space="preserve"> </w:t>
      </w:r>
    </w:p>
    <w:p w14:paraId="41946E31" w14:textId="77777777" w:rsidR="00A71EEF" w:rsidRDefault="0081115D">
      <w:pPr>
        <w:pStyle w:val="a3"/>
        <w:spacing w:line="446" w:lineRule="auto"/>
        <w:ind w:left="838" w:right="6654"/>
        <w:rPr>
          <w:b/>
        </w:rPr>
      </w:pPr>
      <w:r>
        <w:t>k3——</w:t>
      </w:r>
      <w:r>
        <w:t>消防水带弯曲折减系数；</w:t>
      </w:r>
      <w:r>
        <w:t xml:space="preserve"> L——</w:t>
      </w:r>
      <w:r>
        <w:t>管道直线段长度；</w:t>
      </w:r>
      <w:r>
        <w:rPr>
          <w:b/>
          <w:w w:val="99"/>
        </w:rPr>
        <w:t xml:space="preserve"> </w:t>
      </w:r>
    </w:p>
    <w:p w14:paraId="765426F6" w14:textId="77777777" w:rsidR="00A71EEF" w:rsidRDefault="00A71EEF">
      <w:pPr>
        <w:spacing w:line="446" w:lineRule="auto"/>
        <w:sectPr w:rsidR="00A71EEF">
          <w:pgSz w:w="11910" w:h="16850"/>
          <w:pgMar w:top="1220" w:right="0" w:bottom="1420" w:left="1260" w:header="0" w:footer="1239" w:gutter="0"/>
          <w:cols w:space="720"/>
        </w:sectPr>
      </w:pPr>
    </w:p>
    <w:p w14:paraId="1567B16B" w14:textId="77777777" w:rsidR="00A71EEF" w:rsidRDefault="0081115D">
      <w:pPr>
        <w:pStyle w:val="a3"/>
        <w:spacing w:before="47" w:line="446" w:lineRule="auto"/>
        <w:ind w:left="838" w:right="7127"/>
      </w:pPr>
      <w:r>
        <w:t>Ld——</w:t>
      </w:r>
      <w:r>
        <w:t>消防水带长度；</w:t>
      </w:r>
      <w:r>
        <w:t xml:space="preserve"> Lj――</w:t>
      </w:r>
      <w:r>
        <w:t>节流管长度；</w:t>
      </w:r>
      <w:r>
        <w:t xml:space="preserve"> </w:t>
      </w:r>
    </w:p>
    <w:p w14:paraId="460E07B3" w14:textId="77777777" w:rsidR="00A71EEF" w:rsidRDefault="0081115D">
      <w:pPr>
        <w:pStyle w:val="a3"/>
        <w:spacing w:line="446" w:lineRule="auto"/>
        <w:ind w:left="838" w:right="6287"/>
      </w:pPr>
      <w:r>
        <w:t>Lmax——</w:t>
      </w:r>
      <w:r>
        <w:t>最大船的最大舱纵向长度；</w:t>
      </w:r>
      <w:r>
        <w:t xml:space="preserve"> Lp——</w:t>
      </w:r>
      <w:r>
        <w:t>管件和阀门等当量长度；</w:t>
      </w:r>
      <w:r>
        <w:t xml:space="preserve"> </w:t>
      </w:r>
    </w:p>
    <w:p w14:paraId="234A2FDA" w14:textId="77777777" w:rsidR="00A71EEF" w:rsidRDefault="0081115D">
      <w:pPr>
        <w:pStyle w:val="a3"/>
        <w:spacing w:line="446" w:lineRule="auto"/>
        <w:ind w:left="838" w:right="5288"/>
      </w:pPr>
      <w:r>
        <w:t>Ls——</w:t>
      </w:r>
      <w:r>
        <w:t>水枪充实水柱长度在平面上的投影长度；</w:t>
      </w:r>
      <w:r>
        <w:t xml:space="preserve"> m——</w:t>
      </w:r>
      <w:r>
        <w:t>建筑同时作用的室内水灭火系统数量；</w:t>
      </w:r>
      <w:r>
        <w:t xml:space="preserve"> n——</w:t>
      </w:r>
      <w:r>
        <w:t>建筑同时作用的室外水灭火系统数量；</w:t>
      </w:r>
      <w:r>
        <w:t xml:space="preserve"> nε——</w:t>
      </w:r>
      <w:r>
        <w:t>管道粗糙系数；</w:t>
      </w:r>
      <w:r>
        <w:t xml:space="preserve"> </w:t>
      </w:r>
    </w:p>
    <w:p w14:paraId="701A7F28" w14:textId="77777777" w:rsidR="00A71EEF" w:rsidRDefault="0081115D">
      <w:pPr>
        <w:pStyle w:val="a3"/>
        <w:spacing w:line="446" w:lineRule="auto"/>
        <w:ind w:left="838" w:right="3606"/>
      </w:pPr>
      <w:r>
        <w:t>P——</w:t>
      </w:r>
      <w:r>
        <w:t>消防给水泵或消防给水系统所需要的设计扬程和设计压力；</w:t>
      </w:r>
      <w:r>
        <w:t xml:space="preserve"> po——</w:t>
      </w:r>
      <w:r>
        <w:t>最不利点处水灭火设施所需的设计压力；</w:t>
      </w:r>
      <w:r>
        <w:t xml:space="preserve"> </w:t>
      </w:r>
    </w:p>
    <w:p w14:paraId="438D0DE1" w14:textId="77777777" w:rsidR="00A71EEF" w:rsidRDefault="0081115D">
      <w:pPr>
        <w:pStyle w:val="a3"/>
        <w:spacing w:line="446" w:lineRule="auto"/>
        <w:ind w:left="838" w:right="6753"/>
      </w:pPr>
      <w:r>
        <w:t>pf——</w:t>
      </w:r>
      <w:r>
        <w:t>管道沿程水头损失；</w:t>
      </w:r>
      <w:r>
        <w:t xml:space="preserve"> pn——</w:t>
      </w:r>
      <w:r>
        <w:t>管道某一点处的压力；</w:t>
      </w:r>
      <w:r>
        <w:t xml:space="preserve"> </w:t>
      </w:r>
    </w:p>
    <w:p w14:paraId="155A3D65" w14:textId="77777777" w:rsidR="00A71EEF" w:rsidRDefault="0081115D">
      <w:pPr>
        <w:pStyle w:val="a3"/>
        <w:spacing w:line="446" w:lineRule="auto"/>
        <w:ind w:left="838" w:right="6287"/>
      </w:pPr>
      <w:r>
        <w:t>pp——</w:t>
      </w:r>
      <w:r>
        <w:t>管件和阀门等局部水头损失；</w:t>
      </w:r>
      <w:r>
        <w:t xml:space="preserve"> pt——</w:t>
      </w:r>
      <w:r>
        <w:t>管道某一点处的总压力；</w:t>
      </w:r>
      <w:r>
        <w:t xml:space="preserve"> pv——</w:t>
      </w:r>
      <w:r>
        <w:t>管道速度压力；</w:t>
      </w:r>
      <w:r>
        <w:t xml:space="preserve"> </w:t>
      </w:r>
    </w:p>
    <w:p w14:paraId="41F1F833" w14:textId="77777777" w:rsidR="00A71EEF" w:rsidRDefault="0081115D">
      <w:pPr>
        <w:pStyle w:val="a3"/>
        <w:spacing w:line="446" w:lineRule="auto"/>
        <w:ind w:left="838" w:right="6865"/>
      </w:pPr>
      <w:r>
        <w:t>Δp</w:t>
      </w:r>
      <w:r>
        <w:rPr>
          <w:spacing w:val="-3"/>
        </w:rPr>
        <w:t>——</w:t>
      </w:r>
      <w:r>
        <w:rPr>
          <w:spacing w:val="-3"/>
        </w:rPr>
        <w:t>水锤最大压力；</w:t>
      </w:r>
      <w:r>
        <w:rPr>
          <w:spacing w:val="-3"/>
        </w:rPr>
        <w:t xml:space="preserve">   </w:t>
      </w:r>
      <w:r>
        <w:t>q—</w:t>
      </w:r>
      <w:r>
        <w:rPr>
          <w:spacing w:val="-3"/>
        </w:rPr>
        <w:t>—</w:t>
      </w:r>
      <w:r>
        <w:rPr>
          <w:spacing w:val="-3"/>
        </w:rPr>
        <w:t>管段消防给水设计流量；</w:t>
      </w:r>
      <w:r>
        <w:t xml:space="preserve"> </w:t>
      </w:r>
    </w:p>
    <w:p w14:paraId="7ACB9251" w14:textId="77777777" w:rsidR="00A71EEF" w:rsidRDefault="0081115D">
      <w:pPr>
        <w:pStyle w:val="a3"/>
        <w:spacing w:line="446" w:lineRule="auto"/>
        <w:ind w:left="838" w:right="5759"/>
      </w:pPr>
      <w:r>
        <w:t>qt—</w:t>
      </w:r>
      <w:r>
        <w:rPr>
          <w:spacing w:val="-3"/>
        </w:rPr>
        <w:t>—</w:t>
      </w:r>
      <w:r>
        <w:rPr>
          <w:spacing w:val="-3"/>
        </w:rPr>
        <w:t>火灾时消防水池的补水流量；</w:t>
      </w:r>
      <w:r>
        <w:rPr>
          <w:spacing w:val="-3"/>
        </w:rPr>
        <w:t xml:space="preserve">  </w:t>
      </w:r>
      <w:r>
        <w:t>q1i</w:t>
      </w:r>
      <w:r>
        <w:rPr>
          <w:spacing w:val="-10"/>
        </w:rPr>
        <w:t>——</w:t>
      </w:r>
      <w:r>
        <w:rPr>
          <w:spacing w:val="-10"/>
        </w:rPr>
        <w:t>室外第</w:t>
      </w:r>
      <w:r>
        <w:rPr>
          <w:spacing w:val="-10"/>
        </w:rPr>
        <w:t xml:space="preserve"> </w:t>
      </w:r>
      <w:r>
        <w:t>i</w:t>
      </w:r>
      <w:r>
        <w:rPr>
          <w:spacing w:val="-9"/>
        </w:rPr>
        <w:t xml:space="preserve"> </w:t>
      </w:r>
      <w:r>
        <w:rPr>
          <w:spacing w:val="-9"/>
        </w:rPr>
        <w:t>种水灭火设施的设计流量；</w:t>
      </w:r>
      <w:r>
        <w:rPr>
          <w:spacing w:val="-9"/>
        </w:rPr>
        <w:t xml:space="preserve"> </w:t>
      </w:r>
      <w:r>
        <w:t>q2i</w:t>
      </w:r>
      <w:r>
        <w:rPr>
          <w:spacing w:val="-10"/>
        </w:rPr>
        <w:t>——</w:t>
      </w:r>
      <w:r>
        <w:rPr>
          <w:spacing w:val="-10"/>
        </w:rPr>
        <w:t>室内第</w:t>
      </w:r>
      <w:r>
        <w:rPr>
          <w:spacing w:val="-10"/>
        </w:rPr>
        <w:t xml:space="preserve"> </w:t>
      </w:r>
      <w:r>
        <w:t>i</w:t>
      </w:r>
      <w:r>
        <w:rPr>
          <w:spacing w:val="-9"/>
        </w:rPr>
        <w:t xml:space="preserve"> </w:t>
      </w:r>
      <w:r>
        <w:rPr>
          <w:spacing w:val="-9"/>
        </w:rPr>
        <w:t>种水灭火设施的设计流量；</w:t>
      </w:r>
      <w:r>
        <w:rPr>
          <w:spacing w:val="-9"/>
        </w:rPr>
        <w:t xml:space="preserve"> </w:t>
      </w:r>
      <w:r>
        <w:t>R—</w:t>
      </w:r>
      <w:r>
        <w:rPr>
          <w:spacing w:val="-3"/>
        </w:rPr>
        <w:t>—</w:t>
      </w:r>
      <w:r>
        <w:rPr>
          <w:spacing w:val="-3"/>
        </w:rPr>
        <w:t>管道水力半径；</w:t>
      </w:r>
      <w:r>
        <w:t xml:space="preserve"> </w:t>
      </w:r>
    </w:p>
    <w:p w14:paraId="6EB92CCD" w14:textId="77777777" w:rsidR="00A71EEF" w:rsidRDefault="0081115D">
      <w:pPr>
        <w:pStyle w:val="a3"/>
        <w:spacing w:line="446" w:lineRule="auto"/>
        <w:ind w:left="838" w:right="7127"/>
      </w:pPr>
      <w:r>
        <w:t>Ro——</w:t>
      </w:r>
      <w:r>
        <w:t>消火栓保护半径；</w:t>
      </w:r>
      <w:r>
        <w:t xml:space="preserve"> Re—</w:t>
      </w:r>
      <w:r>
        <w:t xml:space="preserve">— </w:t>
      </w:r>
      <w:r>
        <w:t>管</w:t>
      </w:r>
      <w:r>
        <w:t xml:space="preserve"> </w:t>
      </w:r>
      <w:r>
        <w:t>道</w:t>
      </w:r>
      <w:r>
        <w:t xml:space="preserve"> </w:t>
      </w:r>
      <w:r>
        <w:t>雷</w:t>
      </w:r>
      <w:r>
        <w:t xml:space="preserve"> </w:t>
      </w:r>
      <w:r>
        <w:t>诺</w:t>
      </w:r>
      <w:r>
        <w:t xml:space="preserve"> </w:t>
      </w:r>
      <w:r>
        <w:t>数</w:t>
      </w:r>
      <w:r>
        <w:t xml:space="preserve"> </w:t>
      </w:r>
      <w:r>
        <w:t>；</w:t>
      </w:r>
      <w:r>
        <w:t xml:space="preserve"> Sk——</w:t>
      </w:r>
      <w:r>
        <w:t>水枪充实水柱长度；</w:t>
      </w:r>
      <w:r>
        <w:t xml:space="preserve"> T——</w:t>
      </w:r>
      <w:r>
        <w:t>水的温度；</w:t>
      </w:r>
      <w:r>
        <w:t xml:space="preserve"> </w:t>
      </w:r>
    </w:p>
    <w:p w14:paraId="50F8AC95" w14:textId="77777777" w:rsidR="00A71EEF" w:rsidRDefault="0081115D">
      <w:pPr>
        <w:pStyle w:val="a3"/>
        <w:spacing w:line="446" w:lineRule="auto"/>
        <w:ind w:left="838" w:right="4974"/>
        <w:jc w:val="both"/>
      </w:pPr>
      <w:r>
        <w:t>t1i ——</w:t>
      </w:r>
      <w:r>
        <w:t>室外第</w:t>
      </w:r>
      <w:r>
        <w:t xml:space="preserve"> i </w:t>
      </w:r>
      <w:r>
        <w:t>种水灭火系统的火灾延续时间；</w:t>
      </w:r>
      <w:r>
        <w:t xml:space="preserve"> t2i ——</w:t>
      </w:r>
      <w:r>
        <w:t>室内第</w:t>
      </w:r>
      <w:r>
        <w:t xml:space="preserve"> i </w:t>
      </w:r>
      <w:r>
        <w:t>种水灭火系统的火灾延续时间；</w:t>
      </w:r>
      <w:r>
        <w:t xml:space="preserve"> υ——</w:t>
      </w:r>
      <w:r>
        <w:t>管道内水的平均流速；</w:t>
      </w:r>
      <w:r>
        <w:t xml:space="preserve"> </w:t>
      </w:r>
    </w:p>
    <w:p w14:paraId="6F01B08F" w14:textId="77777777" w:rsidR="00A71EEF" w:rsidRDefault="00A71EEF">
      <w:pPr>
        <w:spacing w:line="446" w:lineRule="auto"/>
        <w:jc w:val="both"/>
        <w:sectPr w:rsidR="00A71EEF">
          <w:pgSz w:w="11910" w:h="16850"/>
          <w:pgMar w:top="1220" w:right="0" w:bottom="1420" w:left="1260" w:header="0" w:footer="1239" w:gutter="0"/>
          <w:cols w:space="720"/>
        </w:sectPr>
      </w:pPr>
    </w:p>
    <w:p w14:paraId="2EDF5563" w14:textId="77777777" w:rsidR="00A71EEF" w:rsidRDefault="0081115D">
      <w:pPr>
        <w:pStyle w:val="a3"/>
        <w:spacing w:before="47" w:line="446" w:lineRule="auto"/>
        <w:ind w:left="838" w:right="5394"/>
      </w:pPr>
      <w:r>
        <w:t>V—</w:t>
      </w:r>
      <w:r>
        <w:rPr>
          <w:spacing w:val="-3"/>
        </w:rPr>
        <w:t>—</w:t>
      </w:r>
      <w:r>
        <w:rPr>
          <w:spacing w:val="-3"/>
        </w:rPr>
        <w:t>建筑物消防给水一起火灾灭火用水总量；</w:t>
      </w:r>
      <w:r>
        <w:rPr>
          <w:spacing w:val="-3"/>
        </w:rPr>
        <w:t xml:space="preserve"> </w:t>
      </w:r>
      <w:r>
        <w:t>V1—</w:t>
      </w:r>
      <w:r>
        <w:rPr>
          <w:spacing w:val="-3"/>
        </w:rPr>
        <w:t>—</w:t>
      </w:r>
      <w:r>
        <w:rPr>
          <w:spacing w:val="-3"/>
        </w:rPr>
        <w:t>室外消防给水一起火灾灭火用水量</w:t>
      </w:r>
      <w:r>
        <w:rPr>
          <w:spacing w:val="-3"/>
        </w:rPr>
        <w:t xml:space="preserve"> </w:t>
      </w:r>
      <w:r>
        <w:t>V2—</w:t>
      </w:r>
      <w:r>
        <w:rPr>
          <w:spacing w:val="-3"/>
        </w:rPr>
        <w:t>—</w:t>
      </w:r>
      <w:r>
        <w:rPr>
          <w:spacing w:val="-3"/>
        </w:rPr>
        <w:t>室内消防给水一起火灾灭火用水量；</w:t>
      </w:r>
      <w:r>
        <w:rPr>
          <w:spacing w:val="-3"/>
        </w:rPr>
        <w:t xml:space="preserve"> </w:t>
      </w:r>
      <w:r>
        <w:t>Vg―</w:t>
      </w:r>
      <w:r>
        <w:rPr>
          <w:spacing w:val="-3"/>
        </w:rPr>
        <w:t>―</w:t>
      </w:r>
      <w:r>
        <w:rPr>
          <w:spacing w:val="-3"/>
        </w:rPr>
        <w:t>节流管内水的平均流速；</w:t>
      </w:r>
      <w:r>
        <w:t xml:space="preserve"> </w:t>
      </w:r>
    </w:p>
    <w:p w14:paraId="48DB7F1F" w14:textId="77777777" w:rsidR="00A71EEF" w:rsidRDefault="0081115D">
      <w:pPr>
        <w:pStyle w:val="a3"/>
        <w:spacing w:line="446" w:lineRule="auto"/>
        <w:ind w:left="838" w:right="5709"/>
      </w:pPr>
      <w:r>
        <w:t>Vk――</w:t>
      </w:r>
      <w:r>
        <w:t>减压孔板后管道内水的平均流速；</w:t>
      </w:r>
      <w:r>
        <w:t xml:space="preserve"> y——</w:t>
      </w:r>
      <w:r>
        <w:t>系数；</w:t>
      </w:r>
      <w:r>
        <w:t xml:space="preserve"> </w:t>
      </w:r>
    </w:p>
    <w:p w14:paraId="27A89F08" w14:textId="77777777" w:rsidR="00A71EEF" w:rsidRDefault="0081115D">
      <w:pPr>
        <w:pStyle w:val="a3"/>
        <w:spacing w:line="446" w:lineRule="auto"/>
        <w:ind w:left="838" w:right="6654"/>
      </w:pPr>
      <w:r>
        <w:t>λ——</w:t>
      </w:r>
      <w:r>
        <w:t>水头损失沿程阻力系数；</w:t>
      </w:r>
      <w:r>
        <w:t xml:space="preserve"> ρ——</w:t>
      </w:r>
      <w:r>
        <w:t>水的密度；</w:t>
      </w:r>
      <w:r>
        <w:t xml:space="preserve"> </w:t>
      </w:r>
    </w:p>
    <w:p w14:paraId="0AE9B66C" w14:textId="77777777" w:rsidR="00A71EEF" w:rsidRDefault="0081115D">
      <w:pPr>
        <w:pStyle w:val="a3"/>
        <w:spacing w:line="446" w:lineRule="auto"/>
        <w:ind w:left="838" w:right="7177"/>
        <w:jc w:val="both"/>
      </w:pPr>
      <w:r>
        <w:t>μ——</w:t>
      </w:r>
      <w:r>
        <w:t>水的动力黏滞系数；</w:t>
      </w:r>
      <w:r>
        <w:t xml:space="preserve"> ν——</w:t>
      </w:r>
      <w:r>
        <w:t>水的运动黏滞系数；</w:t>
      </w:r>
      <w:r>
        <w:t xml:space="preserve"> ε——</w:t>
      </w:r>
      <w:r>
        <w:t>当量粗糙度；</w:t>
      </w:r>
      <w:r>
        <w:t xml:space="preserve"> </w:t>
      </w:r>
    </w:p>
    <w:p w14:paraId="43080FC5" w14:textId="77777777" w:rsidR="00A71EEF" w:rsidRDefault="0081115D">
      <w:pPr>
        <w:pStyle w:val="a3"/>
        <w:spacing w:line="268" w:lineRule="exact"/>
        <w:ind w:left="838"/>
      </w:pPr>
      <w:r>
        <w:t>ζ1――</w:t>
      </w:r>
      <w:r>
        <w:t>减压孔板的局部阻力系数；</w:t>
      </w:r>
      <w:r>
        <w:t xml:space="preserve"> </w:t>
      </w:r>
    </w:p>
    <w:p w14:paraId="2751DDCC" w14:textId="77777777" w:rsidR="00A71EEF" w:rsidRDefault="00A71EEF">
      <w:pPr>
        <w:pStyle w:val="a3"/>
        <w:spacing w:before="11"/>
        <w:rPr>
          <w:sz w:val="17"/>
        </w:rPr>
      </w:pPr>
    </w:p>
    <w:p w14:paraId="0AB69DCD" w14:textId="77777777" w:rsidR="00A71EEF" w:rsidRDefault="0081115D">
      <w:pPr>
        <w:pStyle w:val="a3"/>
        <w:spacing w:line="446" w:lineRule="auto"/>
        <w:ind w:left="838" w:right="4554"/>
      </w:pPr>
      <w:r>
        <w:t>ζ2――</w:t>
      </w:r>
      <w:r>
        <w:t>节流管中渐缩管与渐扩管的局部阻力系数之和；</w:t>
      </w:r>
      <w:r>
        <w:t xml:space="preserve"> δ——</w:t>
      </w:r>
      <w:r>
        <w:t>管道壁厚。</w:t>
      </w:r>
      <w:r>
        <w:t xml:space="preserve"> </w:t>
      </w:r>
    </w:p>
    <w:p w14:paraId="1AD067EA" w14:textId="77777777" w:rsidR="00A71EEF" w:rsidRDefault="0081115D">
      <w:pPr>
        <w:pStyle w:val="4"/>
        <w:spacing w:line="275" w:lineRule="exact"/>
      </w:pPr>
      <w:r>
        <w:t xml:space="preserve">3 </w:t>
      </w:r>
      <w:r>
        <w:t>基本参数</w:t>
      </w:r>
      <w:r>
        <w:rPr>
          <w:w w:val="99"/>
        </w:rPr>
        <w:t xml:space="preserve"> </w:t>
      </w:r>
    </w:p>
    <w:p w14:paraId="482F3674" w14:textId="77777777" w:rsidR="00A71EEF" w:rsidRDefault="00A71EEF">
      <w:pPr>
        <w:pStyle w:val="a3"/>
        <w:spacing w:before="6"/>
        <w:rPr>
          <w:b/>
          <w:sz w:val="17"/>
        </w:rPr>
      </w:pPr>
    </w:p>
    <w:p w14:paraId="5648CDB1" w14:textId="77777777" w:rsidR="00A71EEF" w:rsidRDefault="0081115D">
      <w:pPr>
        <w:pStyle w:val="a4"/>
        <w:numPr>
          <w:ilvl w:val="1"/>
          <w:numId w:val="317"/>
        </w:numPr>
        <w:tabs>
          <w:tab w:val="left" w:pos="1159"/>
        </w:tabs>
        <w:ind w:hanging="319"/>
        <w:rPr>
          <w:b/>
          <w:sz w:val="21"/>
        </w:rPr>
      </w:pPr>
      <w:r>
        <w:rPr>
          <w:spacing w:val="-3"/>
          <w:sz w:val="21"/>
        </w:rPr>
        <w:t>一般规定</w:t>
      </w:r>
      <w:r>
        <w:rPr>
          <w:b/>
          <w:w w:val="99"/>
          <w:sz w:val="21"/>
        </w:rPr>
        <w:t xml:space="preserve"> </w:t>
      </w:r>
    </w:p>
    <w:p w14:paraId="4207D911" w14:textId="77777777" w:rsidR="00A71EEF" w:rsidRDefault="00A71EEF">
      <w:pPr>
        <w:pStyle w:val="a3"/>
        <w:spacing w:before="12"/>
        <w:rPr>
          <w:b/>
          <w:sz w:val="17"/>
        </w:rPr>
      </w:pPr>
    </w:p>
    <w:p w14:paraId="421F2BE1" w14:textId="77777777" w:rsidR="00A71EEF" w:rsidRDefault="0081115D">
      <w:pPr>
        <w:pStyle w:val="a4"/>
        <w:numPr>
          <w:ilvl w:val="2"/>
          <w:numId w:val="317"/>
        </w:numPr>
        <w:tabs>
          <w:tab w:val="left" w:pos="1424"/>
        </w:tabs>
        <w:spacing w:line="446" w:lineRule="auto"/>
        <w:ind w:right="1445" w:firstLine="422"/>
        <w:rPr>
          <w:sz w:val="21"/>
        </w:rPr>
      </w:pPr>
      <w:r>
        <w:rPr>
          <w:spacing w:val="-3"/>
          <w:sz w:val="21"/>
        </w:rPr>
        <w:t>工厂、仓库、堆场、储罐区或民用建筑的室外消防用水量，应按同一时间内的火灾起数和一起火灾灭火所需室外消防用水量确定。同一时间内的火灾起数应符合下列规定：</w:t>
      </w:r>
      <w:r>
        <w:rPr>
          <w:sz w:val="21"/>
        </w:rPr>
        <w:t xml:space="preserve"> </w:t>
      </w:r>
    </w:p>
    <w:p w14:paraId="40E33440" w14:textId="77777777" w:rsidR="00A71EEF" w:rsidRDefault="0081115D">
      <w:pPr>
        <w:pStyle w:val="a4"/>
        <w:numPr>
          <w:ilvl w:val="0"/>
          <w:numId w:val="316"/>
        </w:numPr>
        <w:tabs>
          <w:tab w:val="left" w:pos="1367"/>
        </w:tabs>
        <w:spacing w:line="269" w:lineRule="exact"/>
        <w:rPr>
          <w:sz w:val="21"/>
        </w:rPr>
      </w:pPr>
      <w:r>
        <w:rPr>
          <w:spacing w:val="-6"/>
          <w:sz w:val="21"/>
        </w:rPr>
        <w:t>工厂、堆场和储罐区等，当占地面积小于等于</w:t>
      </w:r>
      <w:r>
        <w:rPr>
          <w:spacing w:val="-6"/>
          <w:sz w:val="21"/>
        </w:rPr>
        <w:t xml:space="preserve"> </w:t>
      </w:r>
      <w:r>
        <w:rPr>
          <w:sz w:val="21"/>
        </w:rPr>
        <w:t>100hm</w:t>
      </w:r>
      <w:r>
        <w:rPr>
          <w:position w:val="11"/>
          <w:sz w:val="11"/>
        </w:rPr>
        <w:t>2</w:t>
      </w:r>
      <w:r>
        <w:rPr>
          <w:spacing w:val="-3"/>
          <w:sz w:val="21"/>
        </w:rPr>
        <w:t>，且附有居住区人数小于或等于</w:t>
      </w:r>
    </w:p>
    <w:p w14:paraId="67584919" w14:textId="77777777" w:rsidR="00A71EEF" w:rsidRDefault="00A71EEF">
      <w:pPr>
        <w:pStyle w:val="a3"/>
        <w:spacing w:before="3"/>
        <w:rPr>
          <w:sz w:val="17"/>
        </w:rPr>
      </w:pPr>
    </w:p>
    <w:p w14:paraId="40F939B8" w14:textId="77777777" w:rsidR="00A71EEF" w:rsidRDefault="0081115D">
      <w:pPr>
        <w:pStyle w:val="a3"/>
        <w:spacing w:line="446" w:lineRule="auto"/>
        <w:ind w:left="418" w:right="1450"/>
      </w:pPr>
      <w:r>
        <w:t>1.5</w:t>
      </w:r>
      <w:r>
        <w:rPr>
          <w:spacing w:val="-10"/>
        </w:rPr>
        <w:t xml:space="preserve"> </w:t>
      </w:r>
      <w:r>
        <w:rPr>
          <w:spacing w:val="-10"/>
        </w:rPr>
        <w:t>万人时，同一时间内的火灾起数应按</w:t>
      </w:r>
      <w:r>
        <w:rPr>
          <w:spacing w:val="-10"/>
        </w:rPr>
        <w:t xml:space="preserve"> </w:t>
      </w:r>
      <w:r>
        <w:t>1</w:t>
      </w:r>
      <w:r>
        <w:rPr>
          <w:spacing w:val="-11"/>
        </w:rPr>
        <w:t xml:space="preserve"> </w:t>
      </w:r>
      <w:r>
        <w:rPr>
          <w:spacing w:val="-11"/>
        </w:rPr>
        <w:t>起确定；当占地面积小于或等于</w:t>
      </w:r>
      <w:r>
        <w:rPr>
          <w:spacing w:val="-11"/>
        </w:rPr>
        <w:t xml:space="preserve"> </w:t>
      </w:r>
      <w:r>
        <w:t>100hm</w:t>
      </w:r>
      <w:r>
        <w:rPr>
          <w:position w:val="11"/>
          <w:sz w:val="11"/>
        </w:rPr>
        <w:t>2</w:t>
      </w:r>
      <w:r>
        <w:rPr>
          <w:spacing w:val="-3"/>
        </w:rPr>
        <w:t>，且附有居住</w:t>
      </w:r>
      <w:r>
        <w:rPr>
          <w:spacing w:val="-11"/>
        </w:rPr>
        <w:t>区人数大于</w:t>
      </w:r>
      <w:r>
        <w:rPr>
          <w:spacing w:val="-11"/>
        </w:rPr>
        <w:t xml:space="preserve"> </w:t>
      </w:r>
      <w:r>
        <w:t>1.5</w:t>
      </w:r>
      <w:r>
        <w:rPr>
          <w:spacing w:val="-12"/>
        </w:rPr>
        <w:t xml:space="preserve"> </w:t>
      </w:r>
      <w:r>
        <w:rPr>
          <w:spacing w:val="-12"/>
        </w:rPr>
        <w:t>万人时，同一时间内的火灾起数应按</w:t>
      </w:r>
      <w:r>
        <w:rPr>
          <w:spacing w:val="-12"/>
        </w:rPr>
        <w:t xml:space="preserve"> </w:t>
      </w:r>
      <w:r>
        <w:t>2</w:t>
      </w:r>
      <w:r>
        <w:rPr>
          <w:spacing w:val="-13"/>
        </w:rPr>
        <w:t xml:space="preserve"> </w:t>
      </w:r>
      <w:r>
        <w:rPr>
          <w:spacing w:val="-13"/>
        </w:rPr>
        <w:t>起确定，居住区应计</w:t>
      </w:r>
      <w:r>
        <w:rPr>
          <w:spacing w:val="-13"/>
        </w:rPr>
        <w:t xml:space="preserve"> </w:t>
      </w:r>
      <w:r>
        <w:t>1</w:t>
      </w:r>
      <w:r>
        <w:rPr>
          <w:spacing w:val="-8"/>
        </w:rPr>
        <w:t xml:space="preserve"> </w:t>
      </w:r>
      <w:r>
        <w:rPr>
          <w:spacing w:val="-8"/>
        </w:rPr>
        <w:t>起，工厂、堆场</w:t>
      </w:r>
      <w:r>
        <w:rPr>
          <w:spacing w:val="-12"/>
        </w:rPr>
        <w:t>或储罐区应计</w:t>
      </w:r>
      <w:r>
        <w:rPr>
          <w:spacing w:val="-12"/>
        </w:rPr>
        <w:t xml:space="preserve"> </w:t>
      </w:r>
      <w:r>
        <w:t>1</w:t>
      </w:r>
      <w:r>
        <w:rPr>
          <w:spacing w:val="-20"/>
        </w:rPr>
        <w:t xml:space="preserve"> </w:t>
      </w:r>
      <w:r>
        <w:rPr>
          <w:spacing w:val="-20"/>
        </w:rPr>
        <w:t>起；</w:t>
      </w:r>
      <w:r>
        <w:t xml:space="preserve"> </w:t>
      </w:r>
    </w:p>
    <w:p w14:paraId="3428286D" w14:textId="77777777" w:rsidR="00A71EEF" w:rsidRDefault="0081115D">
      <w:pPr>
        <w:pStyle w:val="a4"/>
        <w:numPr>
          <w:ilvl w:val="0"/>
          <w:numId w:val="316"/>
        </w:numPr>
        <w:tabs>
          <w:tab w:val="left" w:pos="1367"/>
        </w:tabs>
        <w:spacing w:line="446" w:lineRule="auto"/>
        <w:ind w:left="418" w:right="1508" w:firstLine="419"/>
        <w:rPr>
          <w:sz w:val="21"/>
        </w:rPr>
      </w:pPr>
      <w:r>
        <w:rPr>
          <w:spacing w:val="-5"/>
          <w:sz w:val="21"/>
        </w:rPr>
        <w:t>工厂、堆场和储罐区等，当占地面积大于</w:t>
      </w:r>
      <w:r>
        <w:rPr>
          <w:spacing w:val="-5"/>
          <w:sz w:val="21"/>
        </w:rPr>
        <w:t xml:space="preserve"> </w:t>
      </w:r>
      <w:r>
        <w:rPr>
          <w:sz w:val="21"/>
        </w:rPr>
        <w:t>100hm</w:t>
      </w:r>
      <w:r>
        <w:rPr>
          <w:position w:val="11"/>
          <w:sz w:val="11"/>
        </w:rPr>
        <w:t>2</w:t>
      </w:r>
      <w:r>
        <w:rPr>
          <w:spacing w:val="-6"/>
          <w:sz w:val="21"/>
        </w:rPr>
        <w:t>，同一时间内的火灾起数应按</w:t>
      </w:r>
      <w:r>
        <w:rPr>
          <w:spacing w:val="-6"/>
          <w:sz w:val="21"/>
        </w:rPr>
        <w:t xml:space="preserve"> </w:t>
      </w:r>
      <w:r>
        <w:rPr>
          <w:sz w:val="21"/>
        </w:rPr>
        <w:t>2</w:t>
      </w:r>
      <w:r>
        <w:rPr>
          <w:spacing w:val="-17"/>
          <w:sz w:val="21"/>
        </w:rPr>
        <w:t xml:space="preserve"> </w:t>
      </w:r>
      <w:r>
        <w:rPr>
          <w:spacing w:val="-17"/>
          <w:sz w:val="21"/>
        </w:rPr>
        <w:t>起确</w:t>
      </w:r>
      <w:r>
        <w:rPr>
          <w:spacing w:val="-3"/>
          <w:sz w:val="21"/>
        </w:rPr>
        <w:t>定，工厂、堆场和储罐区应按需水量最大的两座建筑</w:t>
      </w:r>
      <w:r>
        <w:rPr>
          <w:sz w:val="21"/>
        </w:rPr>
        <w:t>（</w:t>
      </w:r>
      <w:r>
        <w:rPr>
          <w:spacing w:val="-3"/>
          <w:sz w:val="21"/>
        </w:rPr>
        <w:t>或堆场、储罐）</w:t>
      </w:r>
      <w:r>
        <w:rPr>
          <w:spacing w:val="-20"/>
          <w:sz w:val="21"/>
        </w:rPr>
        <w:t>各计</w:t>
      </w:r>
      <w:r>
        <w:rPr>
          <w:spacing w:val="-20"/>
          <w:sz w:val="21"/>
        </w:rPr>
        <w:t xml:space="preserve"> </w:t>
      </w:r>
      <w:r>
        <w:rPr>
          <w:sz w:val="21"/>
        </w:rPr>
        <w:t>1</w:t>
      </w:r>
      <w:r>
        <w:rPr>
          <w:spacing w:val="-18"/>
          <w:sz w:val="21"/>
        </w:rPr>
        <w:t xml:space="preserve"> </w:t>
      </w:r>
      <w:r>
        <w:rPr>
          <w:spacing w:val="-18"/>
          <w:sz w:val="21"/>
        </w:rPr>
        <w:t>起；</w:t>
      </w:r>
      <w:r>
        <w:rPr>
          <w:spacing w:val="-18"/>
          <w:sz w:val="21"/>
        </w:rPr>
        <w:t xml:space="preserve"> </w:t>
      </w:r>
    </w:p>
    <w:p w14:paraId="03A3BC9C" w14:textId="77777777" w:rsidR="00A71EEF" w:rsidRDefault="0081115D">
      <w:pPr>
        <w:pStyle w:val="a4"/>
        <w:numPr>
          <w:ilvl w:val="0"/>
          <w:numId w:val="316"/>
        </w:numPr>
        <w:tabs>
          <w:tab w:val="left" w:pos="1367"/>
        </w:tabs>
        <w:rPr>
          <w:sz w:val="21"/>
        </w:rPr>
      </w:pPr>
      <w:r>
        <w:rPr>
          <w:spacing w:val="-6"/>
          <w:sz w:val="21"/>
        </w:rPr>
        <w:t>仓库和民用建筑同一时间内的火灾起数应按</w:t>
      </w:r>
      <w:r>
        <w:rPr>
          <w:spacing w:val="-6"/>
          <w:sz w:val="21"/>
        </w:rPr>
        <w:t xml:space="preserve"> </w:t>
      </w:r>
      <w:r>
        <w:rPr>
          <w:sz w:val="21"/>
        </w:rPr>
        <w:t>1</w:t>
      </w:r>
      <w:r>
        <w:rPr>
          <w:spacing w:val="-13"/>
          <w:sz w:val="21"/>
        </w:rPr>
        <w:t xml:space="preserve"> </w:t>
      </w:r>
      <w:r>
        <w:rPr>
          <w:spacing w:val="-13"/>
          <w:sz w:val="21"/>
        </w:rPr>
        <w:t>起确定。</w:t>
      </w:r>
      <w:r>
        <w:rPr>
          <w:sz w:val="21"/>
        </w:rPr>
        <w:t xml:space="preserve"> </w:t>
      </w:r>
    </w:p>
    <w:p w14:paraId="3B876C70" w14:textId="77777777" w:rsidR="00A71EEF" w:rsidRDefault="00A71EEF">
      <w:pPr>
        <w:pStyle w:val="a3"/>
        <w:spacing w:before="1"/>
        <w:rPr>
          <w:sz w:val="17"/>
        </w:rPr>
      </w:pPr>
    </w:p>
    <w:p w14:paraId="5557CE44" w14:textId="77777777" w:rsidR="00A71EEF" w:rsidRDefault="0081115D">
      <w:pPr>
        <w:pStyle w:val="a4"/>
        <w:numPr>
          <w:ilvl w:val="2"/>
          <w:numId w:val="317"/>
        </w:numPr>
        <w:tabs>
          <w:tab w:val="left" w:pos="1424"/>
        </w:tabs>
        <w:spacing w:before="1" w:line="446" w:lineRule="auto"/>
        <w:ind w:right="1608" w:firstLine="422"/>
        <w:jc w:val="both"/>
        <w:rPr>
          <w:sz w:val="21"/>
        </w:rPr>
      </w:pPr>
      <w:r>
        <w:rPr>
          <w:spacing w:val="-3"/>
          <w:sz w:val="21"/>
        </w:rPr>
        <w:t>一起火灾灭火所需消防用水的设计流量应由建筑的室外消火栓系统、室内消火栓系统、自动喷水灭火系统、泡沫灭火系统、水喷雾灭火系统、固定消防炮灭火系统、固定冷却水系统等需要同时作用的各种水灭火系统的设计流量组成，并应符合下列规定：</w:t>
      </w:r>
      <w:r>
        <w:rPr>
          <w:spacing w:val="-3"/>
          <w:sz w:val="21"/>
        </w:rPr>
        <w:t xml:space="preserve"> </w:t>
      </w:r>
    </w:p>
    <w:p w14:paraId="2490EEC8" w14:textId="77777777" w:rsidR="00A71EEF" w:rsidRDefault="00A71EEF">
      <w:pPr>
        <w:spacing w:line="446" w:lineRule="auto"/>
        <w:jc w:val="both"/>
        <w:rPr>
          <w:sz w:val="21"/>
        </w:rPr>
        <w:sectPr w:rsidR="00A71EEF">
          <w:pgSz w:w="11910" w:h="16850"/>
          <w:pgMar w:top="1220" w:right="0" w:bottom="1420" w:left="1260" w:header="0" w:footer="1239" w:gutter="0"/>
          <w:cols w:space="720"/>
        </w:sectPr>
      </w:pPr>
    </w:p>
    <w:p w14:paraId="67252D98" w14:textId="77777777" w:rsidR="00A71EEF" w:rsidRDefault="0081115D">
      <w:pPr>
        <w:pStyle w:val="a4"/>
        <w:numPr>
          <w:ilvl w:val="0"/>
          <w:numId w:val="315"/>
        </w:numPr>
        <w:tabs>
          <w:tab w:val="left" w:pos="1367"/>
        </w:tabs>
        <w:spacing w:before="47"/>
        <w:rPr>
          <w:sz w:val="21"/>
        </w:rPr>
      </w:pPr>
      <w:r>
        <w:rPr>
          <w:spacing w:val="-3"/>
          <w:sz w:val="21"/>
        </w:rPr>
        <w:t>应按需要同时作用的各种水灭火系统最大设计流量之和确定；</w:t>
      </w:r>
      <w:r>
        <w:rPr>
          <w:sz w:val="21"/>
        </w:rPr>
        <w:t xml:space="preserve"> </w:t>
      </w:r>
    </w:p>
    <w:p w14:paraId="1853103D" w14:textId="77777777" w:rsidR="00A71EEF" w:rsidRDefault="00A71EEF">
      <w:pPr>
        <w:pStyle w:val="a3"/>
        <w:rPr>
          <w:sz w:val="18"/>
        </w:rPr>
      </w:pPr>
    </w:p>
    <w:p w14:paraId="45A2BCD7" w14:textId="77777777" w:rsidR="00A71EEF" w:rsidRDefault="0081115D">
      <w:pPr>
        <w:pStyle w:val="a4"/>
        <w:numPr>
          <w:ilvl w:val="0"/>
          <w:numId w:val="315"/>
        </w:numPr>
        <w:tabs>
          <w:tab w:val="left" w:pos="1367"/>
        </w:tabs>
        <w:rPr>
          <w:sz w:val="21"/>
        </w:rPr>
      </w:pPr>
      <w:r>
        <w:rPr>
          <w:spacing w:val="-3"/>
          <w:sz w:val="21"/>
        </w:rPr>
        <w:t>两座及以上建筑合用消防给水系统时，应按其中一座设计流量最大者确定；</w:t>
      </w:r>
      <w:r>
        <w:rPr>
          <w:sz w:val="21"/>
        </w:rPr>
        <w:t xml:space="preserve"> </w:t>
      </w:r>
    </w:p>
    <w:p w14:paraId="0F33654A" w14:textId="77777777" w:rsidR="00A71EEF" w:rsidRDefault="00A71EEF">
      <w:pPr>
        <w:pStyle w:val="a3"/>
        <w:rPr>
          <w:sz w:val="18"/>
        </w:rPr>
      </w:pPr>
    </w:p>
    <w:p w14:paraId="41C191EA" w14:textId="77777777" w:rsidR="00A71EEF" w:rsidRDefault="0081115D">
      <w:pPr>
        <w:pStyle w:val="a4"/>
        <w:numPr>
          <w:ilvl w:val="0"/>
          <w:numId w:val="315"/>
        </w:numPr>
        <w:tabs>
          <w:tab w:val="left" w:pos="1367"/>
        </w:tabs>
        <w:spacing w:line="446" w:lineRule="auto"/>
        <w:ind w:left="418" w:right="1505" w:firstLine="419"/>
        <w:rPr>
          <w:sz w:val="21"/>
        </w:rPr>
      </w:pPr>
      <w:r>
        <w:rPr>
          <w:spacing w:val="-3"/>
          <w:sz w:val="21"/>
        </w:rPr>
        <w:t>当消防给水与生活、生产给水合用时，合用系统的给水设计流量应为消防给水设计流</w:t>
      </w:r>
      <w:r>
        <w:rPr>
          <w:spacing w:val="-4"/>
          <w:sz w:val="21"/>
        </w:rPr>
        <w:t>量与生活、生产用水最大小时流量之和。计算生活</w:t>
      </w:r>
      <w:r>
        <w:rPr>
          <w:spacing w:val="-4"/>
          <w:sz w:val="21"/>
        </w:rPr>
        <w:t>用水最大小时流量时，淋浴用水量宜按</w:t>
      </w:r>
      <w:r>
        <w:rPr>
          <w:spacing w:val="-4"/>
          <w:sz w:val="21"/>
        </w:rPr>
        <w:t xml:space="preserve"> </w:t>
      </w:r>
      <w:r>
        <w:rPr>
          <w:sz w:val="21"/>
        </w:rPr>
        <w:t xml:space="preserve">15% </w:t>
      </w:r>
      <w:r>
        <w:rPr>
          <w:spacing w:val="-3"/>
          <w:sz w:val="21"/>
        </w:rPr>
        <w:t>计，浇洒及洗刷等火灾时能停用的用水量可不计。</w:t>
      </w:r>
      <w:r>
        <w:rPr>
          <w:sz w:val="21"/>
        </w:rPr>
        <w:t xml:space="preserve"> </w:t>
      </w:r>
    </w:p>
    <w:p w14:paraId="3A07832B" w14:textId="77777777" w:rsidR="00A71EEF" w:rsidRDefault="0081115D">
      <w:pPr>
        <w:pStyle w:val="a4"/>
        <w:numPr>
          <w:ilvl w:val="2"/>
          <w:numId w:val="317"/>
        </w:numPr>
        <w:tabs>
          <w:tab w:val="left" w:pos="1424"/>
        </w:tabs>
        <w:spacing w:line="446" w:lineRule="auto"/>
        <w:ind w:right="1445" w:firstLine="422"/>
        <w:rPr>
          <w:sz w:val="21"/>
        </w:rPr>
      </w:pPr>
      <w:r>
        <w:rPr>
          <w:spacing w:val="-3"/>
          <w:sz w:val="21"/>
        </w:rPr>
        <w:t>自动喷水灭火系统、泡沫灭火系统、水喷雾灭火系统、固定消防炮灭火系统等水灭火系统的消防给水设计流量，应分别按现行国家标准《自动喷水灭火系统设计规范》</w:t>
      </w:r>
      <w:r>
        <w:rPr>
          <w:sz w:val="21"/>
        </w:rPr>
        <w:t>GB</w:t>
      </w:r>
      <w:r>
        <w:rPr>
          <w:spacing w:val="16"/>
          <w:sz w:val="21"/>
        </w:rPr>
        <w:t xml:space="preserve"> </w:t>
      </w:r>
      <w:r>
        <w:rPr>
          <w:sz w:val="21"/>
        </w:rPr>
        <w:t>50084</w:t>
      </w:r>
      <w:r>
        <w:rPr>
          <w:sz w:val="21"/>
        </w:rPr>
        <w:t>、</w:t>
      </w:r>
    </w:p>
    <w:p w14:paraId="4D3FD533" w14:textId="77777777" w:rsidR="00A71EEF" w:rsidRDefault="0081115D">
      <w:pPr>
        <w:pStyle w:val="a3"/>
        <w:spacing w:line="446" w:lineRule="auto"/>
        <w:ind w:left="418" w:right="1497"/>
        <w:rPr>
          <w:b/>
        </w:rPr>
      </w:pPr>
      <w:r>
        <w:t>《泡沫灭火系统设计规范》</w:t>
      </w:r>
      <w:r>
        <w:t>GB 50151</w:t>
      </w:r>
      <w:r>
        <w:t>、《水喷雾灭火系统设计规范》</w:t>
      </w:r>
      <w:r>
        <w:t xml:space="preserve">GB 50219 </w:t>
      </w:r>
      <w:r>
        <w:t>和《固定消防炮灭火系统设计规范》</w:t>
      </w:r>
      <w:r>
        <w:t xml:space="preserve">GB 50338 </w:t>
      </w:r>
      <w:r>
        <w:t>等的有关规定执行。</w:t>
      </w:r>
      <w:r>
        <w:rPr>
          <w:b/>
          <w:w w:val="99"/>
        </w:rPr>
        <w:t xml:space="preserve"> </w:t>
      </w:r>
    </w:p>
    <w:p w14:paraId="24E2D16F" w14:textId="77777777" w:rsidR="00A71EEF" w:rsidRDefault="0081115D">
      <w:pPr>
        <w:pStyle w:val="a4"/>
        <w:numPr>
          <w:ilvl w:val="2"/>
          <w:numId w:val="317"/>
        </w:numPr>
        <w:tabs>
          <w:tab w:val="left" w:pos="1424"/>
        </w:tabs>
        <w:spacing w:line="446" w:lineRule="auto"/>
        <w:ind w:right="1445" w:firstLine="422"/>
        <w:rPr>
          <w:sz w:val="21"/>
        </w:rPr>
      </w:pPr>
      <w:r>
        <w:rPr>
          <w:spacing w:val="-3"/>
          <w:sz w:val="21"/>
        </w:rPr>
        <w:t>本规范未规定的建筑室内外消火栓设计流量，应根据其火灾危险性、建筑功能性质、耐火等级和建筑体积等相</w:t>
      </w:r>
      <w:r>
        <w:rPr>
          <w:spacing w:val="-3"/>
          <w:sz w:val="21"/>
        </w:rPr>
        <w:t>似建筑确定。</w:t>
      </w:r>
      <w:r>
        <w:rPr>
          <w:sz w:val="21"/>
        </w:rPr>
        <w:t xml:space="preserve"> </w:t>
      </w:r>
    </w:p>
    <w:p w14:paraId="2C8942E0" w14:textId="77777777" w:rsidR="00A71EEF" w:rsidRDefault="0081115D">
      <w:pPr>
        <w:pStyle w:val="a4"/>
        <w:numPr>
          <w:ilvl w:val="1"/>
          <w:numId w:val="314"/>
        </w:numPr>
        <w:tabs>
          <w:tab w:val="left" w:pos="1159"/>
        </w:tabs>
        <w:spacing w:line="267" w:lineRule="exact"/>
        <w:ind w:hanging="319"/>
        <w:rPr>
          <w:sz w:val="21"/>
        </w:rPr>
      </w:pPr>
      <w:r>
        <w:rPr>
          <w:spacing w:val="-3"/>
          <w:sz w:val="21"/>
        </w:rPr>
        <w:t>市政消防给水设计流量</w:t>
      </w:r>
      <w:r>
        <w:rPr>
          <w:spacing w:val="-3"/>
          <w:sz w:val="21"/>
        </w:rPr>
        <w:t xml:space="preserve"> </w:t>
      </w:r>
    </w:p>
    <w:p w14:paraId="28D76404" w14:textId="77777777" w:rsidR="00A71EEF" w:rsidRDefault="00A71EEF">
      <w:pPr>
        <w:pStyle w:val="a3"/>
        <w:rPr>
          <w:sz w:val="18"/>
        </w:rPr>
      </w:pPr>
    </w:p>
    <w:p w14:paraId="6A24C2B8" w14:textId="77777777" w:rsidR="00A71EEF" w:rsidRDefault="0081115D">
      <w:pPr>
        <w:pStyle w:val="a4"/>
        <w:numPr>
          <w:ilvl w:val="2"/>
          <w:numId w:val="314"/>
        </w:numPr>
        <w:tabs>
          <w:tab w:val="left" w:pos="1424"/>
        </w:tabs>
        <w:spacing w:before="1" w:line="446" w:lineRule="auto"/>
        <w:ind w:right="1445" w:firstLine="422"/>
        <w:rPr>
          <w:sz w:val="21"/>
        </w:rPr>
      </w:pPr>
      <w:r>
        <w:rPr>
          <w:spacing w:val="-3"/>
          <w:sz w:val="21"/>
        </w:rPr>
        <w:t>市政消防给水设计流量，应根据当地火灾统计资料、火灾扑救用水量统计资料、灭火用水量保证率、建筑的组成和市政给水管网运行合理性等因素综合分析计算确定。</w:t>
      </w:r>
      <w:r>
        <w:rPr>
          <w:sz w:val="21"/>
        </w:rPr>
        <w:t xml:space="preserve"> </w:t>
      </w:r>
    </w:p>
    <w:p w14:paraId="1F4F01CF" w14:textId="77777777" w:rsidR="00A71EEF" w:rsidRDefault="0081115D">
      <w:pPr>
        <w:pStyle w:val="a4"/>
        <w:numPr>
          <w:ilvl w:val="2"/>
          <w:numId w:val="314"/>
        </w:numPr>
        <w:tabs>
          <w:tab w:val="left" w:pos="1424"/>
        </w:tabs>
        <w:spacing w:line="446" w:lineRule="auto"/>
        <w:ind w:right="1445" w:firstLine="422"/>
        <w:rPr>
          <w:sz w:val="21"/>
        </w:rPr>
      </w:pPr>
      <w:r>
        <w:rPr>
          <w:spacing w:val="-3"/>
          <w:sz w:val="21"/>
        </w:rPr>
        <w:t>城镇市政消防给水设计流量，应按同一时间内的火灾起数和一起火灾灭火设计流量经</w:t>
      </w:r>
      <w:r>
        <w:rPr>
          <w:spacing w:val="-5"/>
          <w:sz w:val="21"/>
        </w:rPr>
        <w:t>计算确定。同一时间内的火灾起数和一起火灾灭火设计流量不应小于表</w:t>
      </w:r>
      <w:r>
        <w:rPr>
          <w:spacing w:val="-5"/>
          <w:sz w:val="21"/>
        </w:rPr>
        <w:t xml:space="preserve"> </w:t>
      </w:r>
      <w:r>
        <w:rPr>
          <w:sz w:val="21"/>
        </w:rPr>
        <w:t>3.2.2</w:t>
      </w:r>
      <w:r>
        <w:rPr>
          <w:spacing w:val="-12"/>
          <w:sz w:val="21"/>
        </w:rPr>
        <w:t xml:space="preserve"> </w:t>
      </w:r>
      <w:r>
        <w:rPr>
          <w:spacing w:val="-12"/>
          <w:sz w:val="21"/>
        </w:rPr>
        <w:t>的规定。</w:t>
      </w:r>
      <w:r>
        <w:rPr>
          <w:spacing w:val="-12"/>
          <w:sz w:val="21"/>
        </w:rPr>
        <w:t xml:space="preserve"> </w:t>
      </w:r>
    </w:p>
    <w:p w14:paraId="35052A6E" w14:textId="77777777" w:rsidR="00A71EEF" w:rsidRDefault="0081115D">
      <w:pPr>
        <w:pStyle w:val="6"/>
        <w:ind w:left="2150"/>
      </w:pPr>
      <w:r>
        <w:t>表</w:t>
      </w:r>
      <w:r>
        <w:t xml:space="preserve"> 3.2.2 </w:t>
      </w:r>
      <w:r>
        <w:t>城镇同一时间内的火灾起数和一起火灾灭火设计流量</w:t>
      </w:r>
      <w:r>
        <w:rPr>
          <w:w w:val="99"/>
        </w:rPr>
        <w:t xml:space="preserve"> </w:t>
      </w:r>
    </w:p>
    <w:p w14:paraId="22399BB3" w14:textId="77777777" w:rsidR="00A71EEF" w:rsidRDefault="00A71EEF">
      <w:pPr>
        <w:pStyle w:val="a3"/>
        <w:rPr>
          <w:b/>
          <w:sz w:val="20"/>
        </w:rPr>
      </w:pPr>
    </w:p>
    <w:p w14:paraId="1716DE6C" w14:textId="77777777" w:rsidR="00A71EEF" w:rsidRDefault="00A71EEF">
      <w:pPr>
        <w:pStyle w:val="a3"/>
        <w:rPr>
          <w:b/>
          <w:sz w:val="20"/>
        </w:rPr>
      </w:pPr>
    </w:p>
    <w:p w14:paraId="635F9825" w14:textId="77777777" w:rsidR="00A71EEF" w:rsidRDefault="00A71EEF">
      <w:pPr>
        <w:pStyle w:val="a3"/>
        <w:rPr>
          <w:b/>
          <w:sz w:val="20"/>
        </w:rPr>
      </w:pPr>
    </w:p>
    <w:p w14:paraId="655CA525" w14:textId="77777777" w:rsidR="00A71EEF" w:rsidRDefault="00A71EEF">
      <w:pPr>
        <w:pStyle w:val="a3"/>
        <w:rPr>
          <w:b/>
          <w:sz w:val="20"/>
        </w:rPr>
      </w:pPr>
    </w:p>
    <w:p w14:paraId="2E387740" w14:textId="77777777" w:rsidR="00A71EEF" w:rsidRDefault="00A71EEF">
      <w:pPr>
        <w:pStyle w:val="a3"/>
        <w:rPr>
          <w:b/>
          <w:sz w:val="20"/>
        </w:rPr>
      </w:pPr>
    </w:p>
    <w:p w14:paraId="4743A0ED" w14:textId="77777777" w:rsidR="00A71EEF" w:rsidRDefault="00A71EEF">
      <w:pPr>
        <w:pStyle w:val="a3"/>
        <w:rPr>
          <w:b/>
          <w:sz w:val="20"/>
        </w:rPr>
      </w:pPr>
    </w:p>
    <w:p w14:paraId="0881734D" w14:textId="77777777" w:rsidR="00A71EEF" w:rsidRDefault="00A71EEF">
      <w:pPr>
        <w:pStyle w:val="a3"/>
        <w:rPr>
          <w:b/>
          <w:sz w:val="20"/>
        </w:rPr>
      </w:pPr>
    </w:p>
    <w:p w14:paraId="69310439" w14:textId="77777777" w:rsidR="00A71EEF" w:rsidRDefault="00A71EEF">
      <w:pPr>
        <w:pStyle w:val="a3"/>
        <w:spacing w:before="6"/>
        <w:rPr>
          <w:b/>
          <w:sz w:val="28"/>
        </w:rPr>
      </w:pPr>
    </w:p>
    <w:p w14:paraId="187BE1D7" w14:textId="77777777" w:rsidR="00A71EEF" w:rsidRDefault="0081115D">
      <w:pPr>
        <w:pStyle w:val="a3"/>
        <w:spacing w:before="71"/>
        <w:ind w:right="495"/>
        <w:jc w:val="center"/>
      </w:pPr>
      <w:r>
        <w:t xml:space="preserve"> </w:t>
      </w:r>
    </w:p>
    <w:p w14:paraId="6393B47E" w14:textId="77777777" w:rsidR="00A71EEF" w:rsidRDefault="00A71EEF">
      <w:pPr>
        <w:jc w:val="center"/>
        <w:sectPr w:rsidR="00A71EEF">
          <w:pgSz w:w="11910" w:h="16850"/>
          <w:pgMar w:top="1220" w:right="0" w:bottom="1420" w:left="1260" w:header="0" w:footer="1239" w:gutter="0"/>
          <w:cols w:space="720"/>
        </w:sectPr>
      </w:pPr>
    </w:p>
    <w:p w14:paraId="3480393D" w14:textId="77777777" w:rsidR="00A71EEF" w:rsidRDefault="0081115D">
      <w:pPr>
        <w:pStyle w:val="a3"/>
        <w:ind w:left="973"/>
        <w:rPr>
          <w:sz w:val="20"/>
        </w:rPr>
      </w:pPr>
      <w:r>
        <w:rPr>
          <w:noProof/>
          <w:sz w:val="20"/>
        </w:rPr>
        <w:drawing>
          <wp:inline distT="0" distB="0" distL="0" distR="0" wp14:anchorId="7455AE83" wp14:editId="1614D4A6">
            <wp:extent cx="4905375" cy="2562225"/>
            <wp:effectExtent l="0" t="0" r="0" b="0"/>
            <wp:docPr id="501" name="image2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image291.jpeg"/>
                    <pic:cNvPicPr/>
                  </pic:nvPicPr>
                  <pic:blipFill>
                    <a:blip r:embed="rId348" cstate="print"/>
                    <a:stretch>
                      <a:fillRect/>
                    </a:stretch>
                  </pic:blipFill>
                  <pic:spPr>
                    <a:xfrm>
                      <a:off x="0" y="0"/>
                      <a:ext cx="4905375" cy="2562225"/>
                    </a:xfrm>
                    <a:prstGeom prst="rect">
                      <a:avLst/>
                    </a:prstGeom>
                  </pic:spPr>
                </pic:pic>
              </a:graphicData>
            </a:graphic>
          </wp:inline>
        </w:drawing>
      </w:r>
    </w:p>
    <w:p w14:paraId="3620AF7A" w14:textId="77777777" w:rsidR="00A71EEF" w:rsidRDefault="00A71EEF">
      <w:pPr>
        <w:pStyle w:val="a3"/>
        <w:spacing w:before="5"/>
        <w:rPr>
          <w:sz w:val="9"/>
        </w:rPr>
      </w:pPr>
    </w:p>
    <w:p w14:paraId="1EF8BEC1" w14:textId="77777777" w:rsidR="00A71EEF" w:rsidRDefault="0081115D">
      <w:pPr>
        <w:pStyle w:val="a4"/>
        <w:numPr>
          <w:ilvl w:val="2"/>
          <w:numId w:val="314"/>
        </w:numPr>
        <w:tabs>
          <w:tab w:val="left" w:pos="1422"/>
        </w:tabs>
        <w:spacing w:before="72" w:line="446" w:lineRule="auto"/>
        <w:ind w:right="1448" w:firstLine="419"/>
        <w:rPr>
          <w:sz w:val="21"/>
        </w:rPr>
      </w:pPr>
      <w:r>
        <w:rPr>
          <w:spacing w:val="-3"/>
          <w:sz w:val="21"/>
        </w:rPr>
        <w:t>工业园区、商务区、居住区等市政消防给水设计流量，宜根据其规划区域的规模和同一时间的火灾起数，以及规划中的各类建筑室内外同时作用的水灭火系统设计流量之和经计算</w:t>
      </w:r>
      <w:r>
        <w:rPr>
          <w:spacing w:val="-3"/>
          <w:sz w:val="21"/>
        </w:rPr>
        <w:t xml:space="preserve"> </w:t>
      </w:r>
      <w:r>
        <w:rPr>
          <w:spacing w:val="-3"/>
          <w:sz w:val="21"/>
        </w:rPr>
        <w:t>分析确定。</w:t>
      </w:r>
      <w:r>
        <w:rPr>
          <w:sz w:val="21"/>
        </w:rPr>
        <w:t xml:space="preserve"> </w:t>
      </w:r>
    </w:p>
    <w:p w14:paraId="47BAA703" w14:textId="77777777" w:rsidR="00A71EEF" w:rsidRDefault="0081115D">
      <w:pPr>
        <w:pStyle w:val="a4"/>
        <w:numPr>
          <w:ilvl w:val="1"/>
          <w:numId w:val="314"/>
        </w:numPr>
        <w:tabs>
          <w:tab w:val="left" w:pos="1159"/>
        </w:tabs>
        <w:spacing w:line="268" w:lineRule="exact"/>
        <w:ind w:hanging="319"/>
        <w:rPr>
          <w:b/>
          <w:sz w:val="21"/>
        </w:rPr>
      </w:pPr>
      <w:r>
        <w:rPr>
          <w:spacing w:val="-3"/>
          <w:sz w:val="21"/>
        </w:rPr>
        <w:t>建筑物室外消火栓设计流量</w:t>
      </w:r>
      <w:r>
        <w:rPr>
          <w:b/>
          <w:w w:val="99"/>
          <w:sz w:val="21"/>
        </w:rPr>
        <w:t xml:space="preserve"> </w:t>
      </w:r>
    </w:p>
    <w:p w14:paraId="5EA60112" w14:textId="77777777" w:rsidR="00A71EEF" w:rsidRDefault="00A71EEF">
      <w:pPr>
        <w:pStyle w:val="a3"/>
        <w:spacing w:before="12"/>
        <w:rPr>
          <w:b/>
          <w:sz w:val="17"/>
        </w:rPr>
      </w:pPr>
    </w:p>
    <w:p w14:paraId="2183E75B" w14:textId="77777777" w:rsidR="00A71EEF" w:rsidRDefault="0081115D">
      <w:pPr>
        <w:pStyle w:val="a4"/>
        <w:numPr>
          <w:ilvl w:val="2"/>
          <w:numId w:val="314"/>
        </w:numPr>
        <w:tabs>
          <w:tab w:val="left" w:pos="1424"/>
        </w:tabs>
        <w:spacing w:line="446" w:lineRule="auto"/>
        <w:ind w:right="1445" w:firstLine="422"/>
        <w:rPr>
          <w:sz w:val="21"/>
        </w:rPr>
      </w:pPr>
      <w:r>
        <w:rPr>
          <w:spacing w:val="-3"/>
          <w:sz w:val="21"/>
        </w:rPr>
        <w:t>建筑物室外消火栓设计流量，应根据建筑物的用途功能、体积、耐火等级、火灾危险性等因素综合分析确定。</w:t>
      </w:r>
      <w:r>
        <w:rPr>
          <w:sz w:val="21"/>
        </w:rPr>
        <w:t xml:space="preserve"> </w:t>
      </w:r>
    </w:p>
    <w:p w14:paraId="5C4F6367" w14:textId="77777777" w:rsidR="00A71EEF" w:rsidRDefault="0081115D">
      <w:pPr>
        <w:pStyle w:val="a4"/>
        <w:numPr>
          <w:ilvl w:val="2"/>
          <w:numId w:val="314"/>
        </w:numPr>
        <w:tabs>
          <w:tab w:val="left" w:pos="1424"/>
        </w:tabs>
        <w:ind w:left="1423"/>
        <w:rPr>
          <w:sz w:val="21"/>
        </w:rPr>
      </w:pPr>
      <w:r>
        <w:rPr>
          <w:spacing w:val="-6"/>
          <w:sz w:val="21"/>
        </w:rPr>
        <w:t>建筑物室外消火栓设计流量不应小于表</w:t>
      </w:r>
      <w:r>
        <w:rPr>
          <w:spacing w:val="-6"/>
          <w:sz w:val="21"/>
        </w:rPr>
        <w:t xml:space="preserve"> </w:t>
      </w:r>
      <w:r>
        <w:rPr>
          <w:sz w:val="21"/>
        </w:rPr>
        <w:t>3.3.2</w:t>
      </w:r>
      <w:r>
        <w:rPr>
          <w:spacing w:val="-13"/>
          <w:sz w:val="21"/>
        </w:rPr>
        <w:t xml:space="preserve"> </w:t>
      </w:r>
      <w:r>
        <w:rPr>
          <w:spacing w:val="-13"/>
          <w:sz w:val="21"/>
        </w:rPr>
        <w:t>的规定。</w:t>
      </w:r>
      <w:r>
        <w:rPr>
          <w:sz w:val="21"/>
        </w:rPr>
        <w:t xml:space="preserve"> </w:t>
      </w:r>
    </w:p>
    <w:p w14:paraId="6CA53BFC" w14:textId="77777777" w:rsidR="00A71EEF" w:rsidRDefault="00A71EEF">
      <w:pPr>
        <w:pStyle w:val="a3"/>
        <w:rPr>
          <w:sz w:val="18"/>
        </w:rPr>
      </w:pPr>
    </w:p>
    <w:p w14:paraId="19FB1D06" w14:textId="77777777" w:rsidR="00A71EEF" w:rsidRDefault="0081115D">
      <w:pPr>
        <w:pStyle w:val="6"/>
        <w:ind w:left="2941"/>
        <w:rPr>
          <w:b w:val="0"/>
        </w:rPr>
      </w:pPr>
      <w:r>
        <w:t>表</w:t>
      </w:r>
      <w:r>
        <w:t xml:space="preserve"> 3.3.2 </w:t>
      </w:r>
      <w:r>
        <w:t>建筑物室外消火栓设计流量（</w:t>
      </w:r>
      <w:r>
        <w:t>L/s</w:t>
      </w:r>
      <w:r>
        <w:t>）</w:t>
      </w:r>
      <w:r>
        <w:rPr>
          <w:b w:val="0"/>
        </w:rPr>
        <w:t xml:space="preserve"> </w:t>
      </w:r>
    </w:p>
    <w:p w14:paraId="51952700" w14:textId="77777777" w:rsidR="00A71EEF" w:rsidRDefault="00A71EEF">
      <w:pPr>
        <w:pStyle w:val="a3"/>
        <w:rPr>
          <w:sz w:val="20"/>
        </w:rPr>
      </w:pPr>
    </w:p>
    <w:p w14:paraId="62061133" w14:textId="77777777" w:rsidR="00A71EEF" w:rsidRDefault="0081115D">
      <w:pPr>
        <w:pStyle w:val="a3"/>
        <w:spacing w:before="10"/>
        <w:rPr>
          <w:sz w:val="10"/>
        </w:rPr>
      </w:pPr>
      <w:r>
        <w:rPr>
          <w:noProof/>
        </w:rPr>
        <w:drawing>
          <wp:anchor distT="0" distB="0" distL="0" distR="0" simplePos="0" relativeHeight="251637248" behindDoc="0" locked="0" layoutInCell="1" allowOverlap="1" wp14:anchorId="382E9DED" wp14:editId="6F6D5AB9">
            <wp:simplePos x="0" y="0"/>
            <wp:positionH relativeFrom="page">
              <wp:posOffset>1437005</wp:posOffset>
            </wp:positionH>
            <wp:positionV relativeFrom="paragraph">
              <wp:posOffset>112966</wp:posOffset>
            </wp:positionV>
            <wp:extent cx="4505325" cy="2781300"/>
            <wp:effectExtent l="0" t="0" r="0" b="0"/>
            <wp:wrapTopAndBottom/>
            <wp:docPr id="503" name="image2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image292.jpeg"/>
                    <pic:cNvPicPr/>
                  </pic:nvPicPr>
                  <pic:blipFill>
                    <a:blip r:embed="rId349" cstate="print"/>
                    <a:stretch>
                      <a:fillRect/>
                    </a:stretch>
                  </pic:blipFill>
                  <pic:spPr>
                    <a:xfrm>
                      <a:off x="0" y="0"/>
                      <a:ext cx="4505325" cy="2781300"/>
                    </a:xfrm>
                    <a:prstGeom prst="rect">
                      <a:avLst/>
                    </a:prstGeom>
                  </pic:spPr>
                </pic:pic>
              </a:graphicData>
            </a:graphic>
          </wp:anchor>
        </w:drawing>
      </w:r>
    </w:p>
    <w:p w14:paraId="1DCEC871" w14:textId="77777777" w:rsidR="00A71EEF" w:rsidRDefault="00A71EEF">
      <w:pPr>
        <w:rPr>
          <w:sz w:val="10"/>
        </w:rPr>
        <w:sectPr w:rsidR="00A71EEF">
          <w:pgSz w:w="11910" w:h="16850"/>
          <w:pgMar w:top="1240" w:right="0" w:bottom="1420" w:left="1260" w:header="0" w:footer="1239" w:gutter="0"/>
          <w:cols w:space="720"/>
        </w:sectPr>
      </w:pPr>
    </w:p>
    <w:p w14:paraId="20EC54A5" w14:textId="77777777" w:rsidR="00A71EEF" w:rsidRDefault="0081115D">
      <w:pPr>
        <w:pStyle w:val="a3"/>
        <w:spacing w:before="167" w:line="446" w:lineRule="auto"/>
        <w:ind w:left="838" w:right="1609" w:firstLine="2"/>
      </w:pPr>
      <w:r>
        <w:rPr>
          <w:b/>
        </w:rPr>
        <w:t>注：</w:t>
      </w:r>
      <w:r>
        <w:t>1.</w:t>
      </w:r>
      <w:r>
        <w:rPr>
          <w:spacing w:val="-3"/>
        </w:rPr>
        <w:t>成组布置的建筑物应按消火栓设计流量较大的相邻两座建筑物的体积之和确定；</w:t>
      </w:r>
      <w:r>
        <w:rPr>
          <w:spacing w:val="-3"/>
        </w:rPr>
        <w:t xml:space="preserve"> </w:t>
      </w:r>
      <w:r>
        <w:t>2.</w:t>
      </w:r>
      <w:r>
        <w:rPr>
          <w:spacing w:val="-3"/>
        </w:rPr>
        <w:t>火车站、码头和机场的中转库房，其室外消火栓设计流量应按相应耐火等级的丙类物品</w:t>
      </w:r>
    </w:p>
    <w:p w14:paraId="2577FD42" w14:textId="77777777" w:rsidR="00A71EEF" w:rsidRDefault="0081115D">
      <w:pPr>
        <w:pStyle w:val="a3"/>
        <w:ind w:left="418"/>
      </w:pPr>
      <w:r>
        <w:t>库房确定；</w:t>
      </w:r>
      <w:r>
        <w:t xml:space="preserve"> </w:t>
      </w:r>
    </w:p>
    <w:p w14:paraId="073B931D" w14:textId="77777777" w:rsidR="00A71EEF" w:rsidRDefault="00A71EEF">
      <w:pPr>
        <w:pStyle w:val="a3"/>
        <w:spacing w:before="12"/>
        <w:rPr>
          <w:sz w:val="17"/>
        </w:rPr>
      </w:pPr>
    </w:p>
    <w:p w14:paraId="1387739D" w14:textId="77777777" w:rsidR="00A71EEF" w:rsidRDefault="0081115D">
      <w:pPr>
        <w:pStyle w:val="a4"/>
        <w:numPr>
          <w:ilvl w:val="0"/>
          <w:numId w:val="313"/>
        </w:numPr>
        <w:tabs>
          <w:tab w:val="left" w:pos="1051"/>
        </w:tabs>
        <w:spacing w:line="446" w:lineRule="auto"/>
        <w:ind w:right="1609" w:firstLine="419"/>
        <w:rPr>
          <w:sz w:val="21"/>
        </w:rPr>
      </w:pPr>
      <w:r>
        <w:rPr>
          <w:spacing w:val="-3"/>
          <w:sz w:val="21"/>
        </w:rPr>
        <w:t>国家级文物保护单位的重点砖木、木结构的建筑物室外消火栓设计流量，按三级耐火等级民用建筑物消火栓设计流量确定；</w:t>
      </w:r>
      <w:r>
        <w:rPr>
          <w:sz w:val="21"/>
        </w:rPr>
        <w:t xml:space="preserve"> </w:t>
      </w:r>
    </w:p>
    <w:p w14:paraId="4E6B0ABA" w14:textId="77777777" w:rsidR="00A71EEF" w:rsidRDefault="0081115D">
      <w:pPr>
        <w:pStyle w:val="a4"/>
        <w:numPr>
          <w:ilvl w:val="0"/>
          <w:numId w:val="313"/>
        </w:numPr>
        <w:tabs>
          <w:tab w:val="left" w:pos="1051"/>
        </w:tabs>
        <w:spacing w:line="446" w:lineRule="auto"/>
        <w:ind w:right="1580" w:firstLine="419"/>
        <w:rPr>
          <w:sz w:val="21"/>
        </w:rPr>
      </w:pPr>
      <w:r>
        <w:rPr>
          <w:spacing w:val="-5"/>
          <w:sz w:val="21"/>
        </w:rPr>
        <w:t>当单座建筑的总建筑面积大于</w:t>
      </w:r>
      <w:r>
        <w:rPr>
          <w:spacing w:val="-5"/>
          <w:sz w:val="21"/>
        </w:rPr>
        <w:t xml:space="preserve"> </w:t>
      </w:r>
      <w:r>
        <w:rPr>
          <w:sz w:val="21"/>
        </w:rPr>
        <w:t>500000m</w:t>
      </w:r>
      <w:r>
        <w:rPr>
          <w:position w:val="11"/>
          <w:sz w:val="11"/>
        </w:rPr>
        <w:t>2</w:t>
      </w:r>
      <w:r>
        <w:rPr>
          <w:spacing w:val="-18"/>
          <w:position w:val="11"/>
          <w:sz w:val="11"/>
        </w:rPr>
        <w:t xml:space="preserve"> </w:t>
      </w:r>
      <w:r>
        <w:rPr>
          <w:spacing w:val="-3"/>
          <w:sz w:val="21"/>
        </w:rPr>
        <w:t>时，建筑物室外消火栓设计流量应按本表规定的最大值增加一倍。</w:t>
      </w:r>
      <w:r>
        <w:rPr>
          <w:sz w:val="21"/>
        </w:rPr>
        <w:t xml:space="preserve"> </w:t>
      </w:r>
    </w:p>
    <w:p w14:paraId="7B87605A" w14:textId="77777777" w:rsidR="00A71EEF" w:rsidRDefault="0081115D">
      <w:pPr>
        <w:pStyle w:val="a4"/>
        <w:numPr>
          <w:ilvl w:val="2"/>
          <w:numId w:val="314"/>
        </w:numPr>
        <w:tabs>
          <w:tab w:val="left" w:pos="1371"/>
        </w:tabs>
        <w:spacing w:line="267" w:lineRule="exact"/>
        <w:ind w:left="1370" w:hanging="531"/>
        <w:rPr>
          <w:sz w:val="19"/>
        </w:rPr>
      </w:pPr>
      <w:r>
        <w:rPr>
          <w:spacing w:val="-5"/>
          <w:sz w:val="21"/>
        </w:rPr>
        <w:t>宿舍、公寓等非住宅类居住建筑的室外消火栓设计流量，应按本规范表</w:t>
      </w:r>
      <w:r>
        <w:rPr>
          <w:spacing w:val="-5"/>
          <w:sz w:val="21"/>
        </w:rPr>
        <w:t xml:space="preserve"> </w:t>
      </w:r>
      <w:r>
        <w:rPr>
          <w:sz w:val="21"/>
        </w:rPr>
        <w:t>3.3.2</w:t>
      </w:r>
      <w:r>
        <w:rPr>
          <w:spacing w:val="-20"/>
          <w:sz w:val="21"/>
        </w:rPr>
        <w:t xml:space="preserve"> </w:t>
      </w:r>
      <w:r>
        <w:rPr>
          <w:spacing w:val="-20"/>
          <w:sz w:val="21"/>
        </w:rPr>
        <w:t>中的</w:t>
      </w:r>
    </w:p>
    <w:p w14:paraId="13885449" w14:textId="77777777" w:rsidR="00A71EEF" w:rsidRDefault="0081115D">
      <w:pPr>
        <w:pStyle w:val="a3"/>
        <w:spacing w:before="9"/>
        <w:rPr>
          <w:sz w:val="13"/>
        </w:rPr>
      </w:pPr>
      <w:r>
        <w:rPr>
          <w:noProof/>
        </w:rPr>
        <w:drawing>
          <wp:anchor distT="0" distB="0" distL="0" distR="0" simplePos="0" relativeHeight="251638272" behindDoc="0" locked="0" layoutInCell="1" allowOverlap="1" wp14:anchorId="513E4BF0" wp14:editId="5DF42335">
            <wp:simplePos x="0" y="0"/>
            <wp:positionH relativeFrom="page">
              <wp:posOffset>1408585</wp:posOffset>
            </wp:positionH>
            <wp:positionV relativeFrom="paragraph">
              <wp:posOffset>136803</wp:posOffset>
            </wp:positionV>
            <wp:extent cx="4581311" cy="609600"/>
            <wp:effectExtent l="0" t="0" r="0" b="0"/>
            <wp:wrapTopAndBottom/>
            <wp:docPr id="505" name="image2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image293.jpeg"/>
                    <pic:cNvPicPr/>
                  </pic:nvPicPr>
                  <pic:blipFill>
                    <a:blip r:embed="rId350" cstate="print"/>
                    <a:stretch>
                      <a:fillRect/>
                    </a:stretch>
                  </pic:blipFill>
                  <pic:spPr>
                    <a:xfrm>
                      <a:off x="0" y="0"/>
                      <a:ext cx="4581311" cy="609600"/>
                    </a:xfrm>
                    <a:prstGeom prst="rect">
                      <a:avLst/>
                    </a:prstGeom>
                  </pic:spPr>
                </pic:pic>
              </a:graphicData>
            </a:graphic>
          </wp:anchor>
        </w:drawing>
      </w:r>
    </w:p>
    <w:p w14:paraId="70162419" w14:textId="77777777" w:rsidR="00A71EEF" w:rsidRDefault="0081115D">
      <w:pPr>
        <w:pStyle w:val="a3"/>
        <w:spacing w:before="163"/>
        <w:ind w:left="418"/>
        <w:rPr>
          <w:b/>
        </w:rPr>
      </w:pPr>
      <w:r>
        <w:t>公共建筑确定。</w:t>
      </w:r>
      <w:r>
        <w:rPr>
          <w:b/>
          <w:w w:val="99"/>
        </w:rPr>
        <w:t xml:space="preserve"> </w:t>
      </w:r>
    </w:p>
    <w:p w14:paraId="1C73BA09" w14:textId="77777777" w:rsidR="00A71EEF" w:rsidRDefault="00A71EEF">
      <w:pPr>
        <w:pStyle w:val="a3"/>
        <w:spacing w:before="12"/>
        <w:rPr>
          <w:b/>
          <w:sz w:val="17"/>
        </w:rPr>
      </w:pPr>
    </w:p>
    <w:p w14:paraId="1EB4B4ED" w14:textId="77777777" w:rsidR="00A71EEF" w:rsidRDefault="0081115D">
      <w:pPr>
        <w:pStyle w:val="a4"/>
        <w:numPr>
          <w:ilvl w:val="1"/>
          <w:numId w:val="314"/>
        </w:numPr>
        <w:tabs>
          <w:tab w:val="left" w:pos="1159"/>
        </w:tabs>
        <w:ind w:hanging="319"/>
        <w:rPr>
          <w:sz w:val="21"/>
        </w:rPr>
      </w:pPr>
      <w:r>
        <w:rPr>
          <w:spacing w:val="-3"/>
          <w:sz w:val="21"/>
        </w:rPr>
        <w:t>构筑物消防给水设计流量</w:t>
      </w:r>
      <w:r>
        <w:rPr>
          <w:spacing w:val="-3"/>
          <w:sz w:val="21"/>
        </w:rPr>
        <w:t xml:space="preserve"> </w:t>
      </w:r>
    </w:p>
    <w:p w14:paraId="158DB0C8" w14:textId="77777777" w:rsidR="00A71EEF" w:rsidRDefault="00A71EEF">
      <w:pPr>
        <w:pStyle w:val="a3"/>
        <w:spacing w:before="2"/>
        <w:rPr>
          <w:sz w:val="18"/>
        </w:rPr>
      </w:pPr>
    </w:p>
    <w:p w14:paraId="77C3A379" w14:textId="77777777" w:rsidR="00A71EEF" w:rsidRDefault="0081115D">
      <w:pPr>
        <w:pStyle w:val="a4"/>
        <w:numPr>
          <w:ilvl w:val="2"/>
          <w:numId w:val="314"/>
        </w:numPr>
        <w:tabs>
          <w:tab w:val="left" w:pos="1424"/>
        </w:tabs>
        <w:spacing w:before="1" w:line="446" w:lineRule="auto"/>
        <w:ind w:right="1445" w:firstLine="422"/>
        <w:rPr>
          <w:sz w:val="21"/>
        </w:rPr>
      </w:pPr>
      <w:r>
        <w:rPr>
          <w:spacing w:val="-3"/>
          <w:sz w:val="21"/>
        </w:rPr>
        <w:t>以煤、天然气、石油及其产品等为原料的工艺生产装置的消防给水设计流量，应根据其规模、火灾危险性等因素综合确定，且应为室外消火栓设计流量、泡沫灭火系统和固定冷却</w:t>
      </w:r>
      <w:r>
        <w:rPr>
          <w:spacing w:val="-3"/>
          <w:sz w:val="21"/>
        </w:rPr>
        <w:t xml:space="preserve"> </w:t>
      </w:r>
      <w:r>
        <w:rPr>
          <w:spacing w:val="-3"/>
          <w:sz w:val="21"/>
        </w:rPr>
        <w:t>水系统等水灭火系统的设计流量之和，并应符合下列规定：</w:t>
      </w:r>
      <w:r>
        <w:rPr>
          <w:sz w:val="21"/>
        </w:rPr>
        <w:t xml:space="preserve"> </w:t>
      </w:r>
    </w:p>
    <w:p w14:paraId="2763495A" w14:textId="77777777" w:rsidR="00A71EEF" w:rsidRDefault="0081115D">
      <w:pPr>
        <w:pStyle w:val="a4"/>
        <w:numPr>
          <w:ilvl w:val="0"/>
          <w:numId w:val="312"/>
        </w:numPr>
        <w:tabs>
          <w:tab w:val="left" w:pos="1367"/>
        </w:tabs>
        <w:spacing w:line="446" w:lineRule="auto"/>
        <w:ind w:right="1505" w:firstLine="419"/>
        <w:jc w:val="both"/>
        <w:rPr>
          <w:sz w:val="21"/>
        </w:rPr>
      </w:pPr>
      <w:r>
        <w:rPr>
          <w:spacing w:val="-3"/>
          <w:sz w:val="21"/>
        </w:rPr>
        <w:t>石油化工厂工艺生产装置的消防给水设计流量，应符合现行国家标准《石油化工企业设计防火规范》</w:t>
      </w:r>
      <w:r>
        <w:rPr>
          <w:sz w:val="21"/>
        </w:rPr>
        <w:t>GB 50160</w:t>
      </w:r>
      <w:r>
        <w:rPr>
          <w:spacing w:val="-10"/>
          <w:sz w:val="21"/>
        </w:rPr>
        <w:t xml:space="preserve"> </w:t>
      </w:r>
      <w:r>
        <w:rPr>
          <w:spacing w:val="-10"/>
          <w:sz w:val="21"/>
        </w:rPr>
        <w:t>的有关规定；</w:t>
      </w:r>
      <w:r>
        <w:rPr>
          <w:sz w:val="21"/>
        </w:rPr>
        <w:t xml:space="preserve"> </w:t>
      </w:r>
    </w:p>
    <w:p w14:paraId="2701C6DB" w14:textId="77777777" w:rsidR="00A71EEF" w:rsidRDefault="0081115D">
      <w:pPr>
        <w:pStyle w:val="a4"/>
        <w:numPr>
          <w:ilvl w:val="0"/>
          <w:numId w:val="312"/>
        </w:numPr>
        <w:tabs>
          <w:tab w:val="left" w:pos="1367"/>
        </w:tabs>
        <w:spacing w:line="448" w:lineRule="auto"/>
        <w:ind w:right="1505" w:firstLine="419"/>
        <w:jc w:val="both"/>
        <w:rPr>
          <w:sz w:val="21"/>
        </w:rPr>
      </w:pPr>
      <w:r>
        <w:rPr>
          <w:spacing w:val="-3"/>
          <w:sz w:val="21"/>
        </w:rPr>
        <w:t>石油天然气工程工艺生产装置的消防给水设计流</w:t>
      </w:r>
      <w:r>
        <w:rPr>
          <w:spacing w:val="-3"/>
          <w:sz w:val="21"/>
        </w:rPr>
        <w:t>量，应符合现行国家标准《石油天然气工程设计防火规范》</w:t>
      </w:r>
      <w:r>
        <w:rPr>
          <w:sz w:val="21"/>
        </w:rPr>
        <w:t>GB</w:t>
      </w:r>
      <w:r>
        <w:rPr>
          <w:spacing w:val="-2"/>
          <w:sz w:val="21"/>
        </w:rPr>
        <w:t xml:space="preserve"> </w:t>
      </w:r>
      <w:r>
        <w:rPr>
          <w:sz w:val="21"/>
        </w:rPr>
        <w:t>50183</w:t>
      </w:r>
      <w:r>
        <w:rPr>
          <w:spacing w:val="-10"/>
          <w:sz w:val="21"/>
        </w:rPr>
        <w:t xml:space="preserve"> </w:t>
      </w:r>
      <w:r>
        <w:rPr>
          <w:spacing w:val="-10"/>
          <w:sz w:val="21"/>
        </w:rPr>
        <w:t>的有关规定。</w:t>
      </w:r>
      <w:r>
        <w:rPr>
          <w:sz w:val="21"/>
        </w:rPr>
        <w:t xml:space="preserve"> </w:t>
      </w:r>
    </w:p>
    <w:p w14:paraId="0A368C24" w14:textId="77777777" w:rsidR="00A71EEF" w:rsidRDefault="0081115D">
      <w:pPr>
        <w:pStyle w:val="a4"/>
        <w:numPr>
          <w:ilvl w:val="2"/>
          <w:numId w:val="314"/>
        </w:numPr>
        <w:tabs>
          <w:tab w:val="left" w:pos="1370"/>
        </w:tabs>
        <w:spacing w:line="446" w:lineRule="auto"/>
        <w:ind w:right="1604" w:firstLine="422"/>
        <w:jc w:val="both"/>
        <w:rPr>
          <w:sz w:val="19"/>
        </w:rPr>
      </w:pPr>
      <w:r>
        <w:rPr>
          <w:spacing w:val="-3"/>
          <w:sz w:val="21"/>
        </w:rPr>
        <w:t>甲、乙、丙类可燃液体储罐的消防给水设计流量应按最大罐组确定，并应按泡沫灭火系统设计流量、固定冷却水系统设计流量与室外消火栓设计流量之和确定，同时应符合下列规定：</w:t>
      </w:r>
      <w:r>
        <w:rPr>
          <w:sz w:val="21"/>
        </w:rPr>
        <w:t xml:space="preserve"> </w:t>
      </w:r>
    </w:p>
    <w:p w14:paraId="69AAE69D" w14:textId="77777777" w:rsidR="00A71EEF" w:rsidRDefault="0081115D">
      <w:pPr>
        <w:pStyle w:val="a4"/>
        <w:numPr>
          <w:ilvl w:val="0"/>
          <w:numId w:val="311"/>
        </w:numPr>
        <w:tabs>
          <w:tab w:val="left" w:pos="1367"/>
        </w:tabs>
        <w:spacing w:line="446" w:lineRule="auto"/>
        <w:ind w:right="1503" w:firstLine="419"/>
        <w:jc w:val="both"/>
        <w:rPr>
          <w:sz w:val="21"/>
        </w:rPr>
      </w:pPr>
      <w:r>
        <w:rPr>
          <w:spacing w:val="-3"/>
          <w:sz w:val="21"/>
        </w:rPr>
        <w:t>泡沫灭火系统设计流量应按系统扑救储罐区一起火灾的固定式、半固定式或移动式泡沫混合液量及泡沫液混合比经计算确定，并应符合现行国家标准《泡沫灭火系统设计规范》</w:t>
      </w:r>
      <w:r>
        <w:rPr>
          <w:sz w:val="21"/>
        </w:rPr>
        <w:t>GB 50151</w:t>
      </w:r>
      <w:r>
        <w:rPr>
          <w:spacing w:val="-10"/>
          <w:sz w:val="21"/>
        </w:rPr>
        <w:t xml:space="preserve"> </w:t>
      </w:r>
      <w:r>
        <w:rPr>
          <w:spacing w:val="-10"/>
          <w:sz w:val="21"/>
        </w:rPr>
        <w:t>的有关规定；</w:t>
      </w:r>
      <w:r>
        <w:rPr>
          <w:sz w:val="21"/>
        </w:rPr>
        <w:t xml:space="preserve"> </w:t>
      </w:r>
    </w:p>
    <w:p w14:paraId="5C5E1550" w14:textId="77777777" w:rsidR="00A71EEF" w:rsidRDefault="0081115D">
      <w:pPr>
        <w:pStyle w:val="a4"/>
        <w:numPr>
          <w:ilvl w:val="0"/>
          <w:numId w:val="311"/>
        </w:numPr>
        <w:tabs>
          <w:tab w:val="left" w:pos="1367"/>
        </w:tabs>
        <w:spacing w:line="446" w:lineRule="auto"/>
        <w:ind w:right="1505" w:firstLine="419"/>
        <w:jc w:val="both"/>
        <w:rPr>
          <w:sz w:val="21"/>
        </w:rPr>
      </w:pPr>
      <w:r>
        <w:rPr>
          <w:spacing w:val="-3"/>
          <w:sz w:val="21"/>
        </w:rPr>
        <w:t>固定冷却水系统设计流量应按着火罐与邻近罐最大设计流量经计算确定，固定式冷却</w:t>
      </w:r>
      <w:r>
        <w:rPr>
          <w:spacing w:val="-8"/>
          <w:sz w:val="21"/>
        </w:rPr>
        <w:t>水系统设计流量应按表</w:t>
      </w:r>
      <w:r>
        <w:rPr>
          <w:spacing w:val="-8"/>
          <w:sz w:val="21"/>
        </w:rPr>
        <w:t xml:space="preserve"> </w:t>
      </w:r>
      <w:r>
        <w:rPr>
          <w:sz w:val="21"/>
        </w:rPr>
        <w:t>3.4.2-1</w:t>
      </w:r>
      <w:r>
        <w:rPr>
          <w:spacing w:val="-27"/>
          <w:sz w:val="21"/>
        </w:rPr>
        <w:t xml:space="preserve"> </w:t>
      </w:r>
      <w:r>
        <w:rPr>
          <w:spacing w:val="-27"/>
          <w:sz w:val="21"/>
        </w:rPr>
        <w:t>或表</w:t>
      </w:r>
      <w:r>
        <w:rPr>
          <w:spacing w:val="-27"/>
          <w:sz w:val="21"/>
        </w:rPr>
        <w:t xml:space="preserve"> </w:t>
      </w:r>
      <w:r>
        <w:rPr>
          <w:sz w:val="21"/>
        </w:rPr>
        <w:t>3.4.2-2</w:t>
      </w:r>
      <w:r>
        <w:rPr>
          <w:spacing w:val="-9"/>
          <w:sz w:val="21"/>
        </w:rPr>
        <w:t xml:space="preserve"> </w:t>
      </w:r>
      <w:r>
        <w:rPr>
          <w:spacing w:val="-9"/>
          <w:sz w:val="21"/>
        </w:rPr>
        <w:t>规定的设计参数经计算确定。</w:t>
      </w:r>
      <w:r>
        <w:rPr>
          <w:sz w:val="21"/>
        </w:rPr>
        <w:t xml:space="preserve"> </w:t>
      </w:r>
    </w:p>
    <w:p w14:paraId="206476B4" w14:textId="77777777" w:rsidR="00A71EEF" w:rsidRDefault="00A71EEF">
      <w:pPr>
        <w:spacing w:line="446" w:lineRule="auto"/>
        <w:jc w:val="both"/>
        <w:rPr>
          <w:sz w:val="21"/>
        </w:rPr>
        <w:sectPr w:rsidR="00A71EEF">
          <w:footerReference w:type="default" r:id="rId351"/>
          <w:pgSz w:w="11910" w:h="16850"/>
          <w:pgMar w:top="1600" w:right="0" w:bottom="1380" w:left="1260" w:header="0" w:footer="1189" w:gutter="0"/>
          <w:pgNumType w:start="1310"/>
          <w:cols w:space="720"/>
        </w:sectPr>
      </w:pPr>
    </w:p>
    <w:p w14:paraId="492AACA9" w14:textId="77777777" w:rsidR="00A71EEF" w:rsidRDefault="0081115D">
      <w:pPr>
        <w:pStyle w:val="6"/>
        <w:spacing w:before="47"/>
        <w:ind w:left="2256"/>
      </w:pPr>
      <w:r>
        <w:t>表</w:t>
      </w:r>
      <w:r>
        <w:t xml:space="preserve"> 3.4.2-1 </w:t>
      </w:r>
      <w:r>
        <w:t>地上立式储罐冷却水系统的保护范围和喷水强度</w:t>
      </w:r>
      <w:r>
        <w:rPr>
          <w:w w:val="99"/>
        </w:rPr>
        <w:t xml:space="preserve"> </w:t>
      </w:r>
    </w:p>
    <w:p w14:paraId="052E9E00" w14:textId="77777777" w:rsidR="00A71EEF" w:rsidRDefault="00A71EEF">
      <w:pPr>
        <w:pStyle w:val="a3"/>
        <w:rPr>
          <w:b/>
          <w:sz w:val="20"/>
        </w:rPr>
      </w:pPr>
    </w:p>
    <w:p w14:paraId="687007DE" w14:textId="77777777" w:rsidR="00A71EEF" w:rsidRDefault="00A71EEF">
      <w:pPr>
        <w:pStyle w:val="a3"/>
        <w:rPr>
          <w:b/>
          <w:sz w:val="20"/>
        </w:rPr>
      </w:pPr>
    </w:p>
    <w:p w14:paraId="2CEAAD63" w14:textId="77777777" w:rsidR="00A71EEF" w:rsidRDefault="00A71EEF">
      <w:pPr>
        <w:pStyle w:val="a3"/>
        <w:rPr>
          <w:b/>
          <w:sz w:val="20"/>
        </w:rPr>
      </w:pPr>
    </w:p>
    <w:p w14:paraId="420A6B5B" w14:textId="77777777" w:rsidR="00A71EEF" w:rsidRDefault="00A71EEF">
      <w:pPr>
        <w:pStyle w:val="a3"/>
        <w:rPr>
          <w:b/>
          <w:sz w:val="20"/>
        </w:rPr>
      </w:pPr>
    </w:p>
    <w:p w14:paraId="24C56B56" w14:textId="77777777" w:rsidR="00A71EEF" w:rsidRDefault="0081115D">
      <w:pPr>
        <w:pStyle w:val="a3"/>
        <w:spacing w:before="8"/>
        <w:rPr>
          <w:b/>
          <w:sz w:val="26"/>
        </w:rPr>
      </w:pPr>
      <w:r>
        <w:rPr>
          <w:noProof/>
        </w:rPr>
        <w:drawing>
          <wp:anchor distT="0" distB="0" distL="0" distR="0" simplePos="0" relativeHeight="251639296" behindDoc="0" locked="0" layoutInCell="1" allowOverlap="1" wp14:anchorId="79F78D1B" wp14:editId="28ED3162">
            <wp:simplePos x="0" y="0"/>
            <wp:positionH relativeFrom="page">
              <wp:posOffset>1456055</wp:posOffset>
            </wp:positionH>
            <wp:positionV relativeFrom="paragraph">
              <wp:posOffset>241387</wp:posOffset>
            </wp:positionV>
            <wp:extent cx="4955908" cy="1741265"/>
            <wp:effectExtent l="0" t="0" r="0" b="0"/>
            <wp:wrapTopAndBottom/>
            <wp:docPr id="507" name="image2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image294.jpeg"/>
                    <pic:cNvPicPr/>
                  </pic:nvPicPr>
                  <pic:blipFill>
                    <a:blip r:embed="rId352" cstate="print"/>
                    <a:stretch>
                      <a:fillRect/>
                    </a:stretch>
                  </pic:blipFill>
                  <pic:spPr>
                    <a:xfrm>
                      <a:off x="0" y="0"/>
                      <a:ext cx="4955908" cy="1741265"/>
                    </a:xfrm>
                    <a:prstGeom prst="rect">
                      <a:avLst/>
                    </a:prstGeom>
                  </pic:spPr>
                </pic:pic>
              </a:graphicData>
            </a:graphic>
          </wp:anchor>
        </w:drawing>
      </w:r>
    </w:p>
    <w:p w14:paraId="44B37D96" w14:textId="77777777" w:rsidR="00A71EEF" w:rsidRDefault="00A71EEF">
      <w:pPr>
        <w:pStyle w:val="a3"/>
        <w:rPr>
          <w:b/>
          <w:sz w:val="20"/>
        </w:rPr>
      </w:pPr>
    </w:p>
    <w:p w14:paraId="34E5B7F0" w14:textId="77777777" w:rsidR="00A71EEF" w:rsidRDefault="00A71EEF">
      <w:pPr>
        <w:pStyle w:val="a3"/>
        <w:spacing w:before="3"/>
        <w:rPr>
          <w:b/>
          <w:sz w:val="25"/>
        </w:rPr>
      </w:pPr>
    </w:p>
    <w:p w14:paraId="6BCE40DC" w14:textId="77777777" w:rsidR="00A71EEF" w:rsidRDefault="0081115D">
      <w:pPr>
        <w:pStyle w:val="a3"/>
        <w:spacing w:before="72" w:line="446" w:lineRule="auto"/>
        <w:ind w:left="418" w:right="1606" w:firstLine="422"/>
      </w:pPr>
      <w:r>
        <w:rPr>
          <w:b/>
        </w:rPr>
        <w:t>注</w:t>
      </w:r>
      <w:r>
        <w:t>：</w:t>
      </w:r>
      <w:r>
        <w:t>1.</w:t>
      </w:r>
      <w:r>
        <w:t>当浮顶、内浮顶罐的浮盘采用易熔材料制作时，内浮顶罐的喷水强度应按固定顶罐计算；</w:t>
      </w:r>
      <w:r>
        <w:t xml:space="preserve"> </w:t>
      </w:r>
    </w:p>
    <w:p w14:paraId="629B2D7C" w14:textId="77777777" w:rsidR="00A71EEF" w:rsidRDefault="0081115D">
      <w:pPr>
        <w:pStyle w:val="a4"/>
        <w:numPr>
          <w:ilvl w:val="0"/>
          <w:numId w:val="310"/>
        </w:numPr>
        <w:tabs>
          <w:tab w:val="left" w:pos="1051"/>
        </w:tabs>
        <w:spacing w:line="267" w:lineRule="exact"/>
        <w:rPr>
          <w:sz w:val="21"/>
        </w:rPr>
      </w:pPr>
      <w:r>
        <w:rPr>
          <w:spacing w:val="-3"/>
          <w:sz w:val="21"/>
        </w:rPr>
        <w:t>当浮顶、内浮顶罐的浮盘为浅盘式时，内浮顶罐的喷水强度应按固定顶罐计算；</w:t>
      </w:r>
      <w:r>
        <w:rPr>
          <w:spacing w:val="-3"/>
          <w:sz w:val="21"/>
        </w:rPr>
        <w:t xml:space="preserve"> </w:t>
      </w:r>
    </w:p>
    <w:p w14:paraId="762CC7BC" w14:textId="77777777" w:rsidR="00A71EEF" w:rsidRDefault="00A71EEF">
      <w:pPr>
        <w:pStyle w:val="a3"/>
        <w:spacing w:before="2"/>
        <w:rPr>
          <w:sz w:val="18"/>
        </w:rPr>
      </w:pPr>
    </w:p>
    <w:p w14:paraId="2EF76166" w14:textId="77777777" w:rsidR="00A71EEF" w:rsidRDefault="0081115D">
      <w:pPr>
        <w:pStyle w:val="a4"/>
        <w:numPr>
          <w:ilvl w:val="0"/>
          <w:numId w:val="310"/>
        </w:numPr>
        <w:tabs>
          <w:tab w:val="left" w:pos="1051"/>
        </w:tabs>
        <w:rPr>
          <w:sz w:val="21"/>
        </w:rPr>
      </w:pPr>
      <w:r>
        <w:rPr>
          <w:spacing w:val="-5"/>
          <w:sz w:val="21"/>
        </w:rPr>
        <w:t>固定冷却水系统邻近罐应按实际冷却面积计算，但不应小于罐壁表面积的</w:t>
      </w:r>
      <w:r>
        <w:rPr>
          <w:spacing w:val="-5"/>
          <w:sz w:val="21"/>
        </w:rPr>
        <w:t xml:space="preserve"> </w:t>
      </w:r>
      <w:r>
        <w:rPr>
          <w:sz w:val="21"/>
        </w:rPr>
        <w:t>1/2</w:t>
      </w:r>
      <w:r>
        <w:rPr>
          <w:sz w:val="21"/>
        </w:rPr>
        <w:t>；</w:t>
      </w:r>
      <w:r>
        <w:rPr>
          <w:sz w:val="21"/>
        </w:rPr>
        <w:t xml:space="preserve"> </w:t>
      </w:r>
    </w:p>
    <w:p w14:paraId="63604152" w14:textId="77777777" w:rsidR="00A71EEF" w:rsidRDefault="00A71EEF">
      <w:pPr>
        <w:pStyle w:val="a3"/>
        <w:spacing w:before="12"/>
        <w:rPr>
          <w:sz w:val="17"/>
        </w:rPr>
      </w:pPr>
    </w:p>
    <w:p w14:paraId="7EB6DAA0" w14:textId="77777777" w:rsidR="00A71EEF" w:rsidRDefault="0081115D">
      <w:pPr>
        <w:pStyle w:val="a4"/>
        <w:numPr>
          <w:ilvl w:val="0"/>
          <w:numId w:val="310"/>
        </w:numPr>
        <w:tabs>
          <w:tab w:val="left" w:pos="1051"/>
        </w:tabs>
        <w:rPr>
          <w:sz w:val="21"/>
        </w:rPr>
      </w:pPr>
      <w:r>
        <w:rPr>
          <w:spacing w:val="-9"/>
          <w:sz w:val="21"/>
        </w:rPr>
        <w:t>距着火固定罐罐壁</w:t>
      </w:r>
      <w:r>
        <w:rPr>
          <w:spacing w:val="-9"/>
          <w:sz w:val="21"/>
        </w:rPr>
        <w:t xml:space="preserve"> </w:t>
      </w:r>
      <w:r>
        <w:rPr>
          <w:sz w:val="21"/>
        </w:rPr>
        <w:t>1.5</w:t>
      </w:r>
      <w:r>
        <w:rPr>
          <w:spacing w:val="-11"/>
          <w:sz w:val="21"/>
        </w:rPr>
        <w:t xml:space="preserve"> </w:t>
      </w:r>
      <w:r>
        <w:rPr>
          <w:spacing w:val="-11"/>
          <w:sz w:val="21"/>
        </w:rPr>
        <w:t>倍着火罐直径范围内的邻近罐应设置冷却水系统，当邻近罐超过</w:t>
      </w:r>
      <w:r>
        <w:rPr>
          <w:spacing w:val="-11"/>
          <w:sz w:val="21"/>
        </w:rPr>
        <w:t xml:space="preserve"> </w:t>
      </w:r>
      <w:r>
        <w:rPr>
          <w:sz w:val="21"/>
        </w:rPr>
        <w:t>3</w:t>
      </w:r>
    </w:p>
    <w:p w14:paraId="47EE2549" w14:textId="77777777" w:rsidR="00A71EEF" w:rsidRDefault="00A71EEF">
      <w:pPr>
        <w:pStyle w:val="a3"/>
        <w:rPr>
          <w:sz w:val="18"/>
        </w:rPr>
      </w:pPr>
    </w:p>
    <w:p w14:paraId="1619306C" w14:textId="77777777" w:rsidR="00A71EEF" w:rsidRDefault="0081115D">
      <w:pPr>
        <w:pStyle w:val="a3"/>
        <w:ind w:left="418"/>
        <w:jc w:val="both"/>
      </w:pPr>
      <w:r>
        <w:t>个时，冷却水系统可按</w:t>
      </w:r>
      <w:r>
        <w:t xml:space="preserve"> 3 </w:t>
      </w:r>
      <w:r>
        <w:t>个罐的设计流量计算；</w:t>
      </w:r>
      <w:r>
        <w:t xml:space="preserve"> </w:t>
      </w:r>
    </w:p>
    <w:p w14:paraId="5F635CF9" w14:textId="77777777" w:rsidR="00A71EEF" w:rsidRDefault="00A71EEF">
      <w:pPr>
        <w:pStyle w:val="a3"/>
        <w:spacing w:before="1"/>
        <w:rPr>
          <w:sz w:val="18"/>
        </w:rPr>
      </w:pPr>
    </w:p>
    <w:p w14:paraId="01F2B013" w14:textId="77777777" w:rsidR="00A71EEF" w:rsidRDefault="0081115D">
      <w:pPr>
        <w:pStyle w:val="a4"/>
        <w:numPr>
          <w:ilvl w:val="0"/>
          <w:numId w:val="310"/>
        </w:numPr>
        <w:tabs>
          <w:tab w:val="left" w:pos="1051"/>
        </w:tabs>
        <w:spacing w:before="1" w:line="446" w:lineRule="auto"/>
        <w:ind w:left="418" w:right="1505" w:firstLine="419"/>
        <w:jc w:val="both"/>
        <w:rPr>
          <w:sz w:val="21"/>
        </w:rPr>
      </w:pPr>
      <w:r>
        <w:rPr>
          <w:spacing w:val="-3"/>
          <w:sz w:val="21"/>
        </w:rPr>
        <w:t>除浮盘采用易熔材料制作的储罐外，当着火罐为浮顶、内浮顶罐时，距着火罐壁的净距</w:t>
      </w:r>
      <w:r>
        <w:rPr>
          <w:spacing w:val="-9"/>
          <w:sz w:val="21"/>
        </w:rPr>
        <w:t>离大于或等于</w:t>
      </w:r>
      <w:r>
        <w:rPr>
          <w:spacing w:val="-9"/>
          <w:sz w:val="21"/>
        </w:rPr>
        <w:t xml:space="preserve"> </w:t>
      </w:r>
      <w:r>
        <w:rPr>
          <w:sz w:val="21"/>
        </w:rPr>
        <w:t>0.4D</w:t>
      </w:r>
      <w:r>
        <w:rPr>
          <w:spacing w:val="-8"/>
          <w:sz w:val="21"/>
        </w:rPr>
        <w:t xml:space="preserve"> </w:t>
      </w:r>
      <w:r>
        <w:rPr>
          <w:spacing w:val="-8"/>
          <w:sz w:val="21"/>
        </w:rPr>
        <w:t>的邻近罐可不设冷却水系统</w:t>
      </w:r>
      <w:r>
        <w:rPr>
          <w:sz w:val="21"/>
        </w:rPr>
        <w:t>，</w:t>
      </w:r>
      <w:r>
        <w:rPr>
          <w:sz w:val="21"/>
        </w:rPr>
        <w:t>D</w:t>
      </w:r>
      <w:r>
        <w:rPr>
          <w:spacing w:val="-8"/>
          <w:sz w:val="21"/>
        </w:rPr>
        <w:t xml:space="preserve"> </w:t>
      </w:r>
      <w:r>
        <w:rPr>
          <w:spacing w:val="-8"/>
          <w:sz w:val="21"/>
        </w:rPr>
        <w:t>为着火油罐与相邻油罐两者中较大油罐的直径；距着火罐壁的净距离小于</w:t>
      </w:r>
      <w:r>
        <w:rPr>
          <w:spacing w:val="-8"/>
          <w:sz w:val="21"/>
        </w:rPr>
        <w:t xml:space="preserve"> </w:t>
      </w:r>
      <w:r>
        <w:rPr>
          <w:sz w:val="21"/>
        </w:rPr>
        <w:t>0.4D</w:t>
      </w:r>
      <w:r>
        <w:rPr>
          <w:spacing w:val="-8"/>
          <w:sz w:val="21"/>
        </w:rPr>
        <w:t xml:space="preserve"> </w:t>
      </w:r>
      <w:r>
        <w:rPr>
          <w:spacing w:val="-8"/>
          <w:sz w:val="21"/>
        </w:rPr>
        <w:t>范围内的相邻油罐受火焰辐射热影响比较大的局部应设置冷</w:t>
      </w:r>
      <w:r>
        <w:rPr>
          <w:spacing w:val="-7"/>
          <w:sz w:val="21"/>
        </w:rPr>
        <w:t>却水系统，且所有相邻油罐的冷却水系统设计流量之和不应小于</w:t>
      </w:r>
      <w:r>
        <w:rPr>
          <w:spacing w:val="-7"/>
          <w:sz w:val="21"/>
        </w:rPr>
        <w:t xml:space="preserve"> </w:t>
      </w:r>
      <w:r>
        <w:rPr>
          <w:sz w:val="21"/>
        </w:rPr>
        <w:t>45L/s</w:t>
      </w:r>
      <w:r>
        <w:rPr>
          <w:sz w:val="21"/>
        </w:rPr>
        <w:t>；</w:t>
      </w:r>
      <w:r>
        <w:rPr>
          <w:sz w:val="21"/>
        </w:rPr>
        <w:t xml:space="preserve"> </w:t>
      </w:r>
    </w:p>
    <w:p w14:paraId="565986CB" w14:textId="77777777" w:rsidR="00A71EEF" w:rsidRDefault="0081115D">
      <w:pPr>
        <w:pStyle w:val="a4"/>
        <w:numPr>
          <w:ilvl w:val="0"/>
          <w:numId w:val="310"/>
        </w:numPr>
        <w:tabs>
          <w:tab w:val="left" w:pos="1051"/>
        </w:tabs>
        <w:spacing w:line="267" w:lineRule="exact"/>
        <w:rPr>
          <w:sz w:val="21"/>
        </w:rPr>
      </w:pPr>
      <w:r>
        <w:rPr>
          <w:spacing w:val="-3"/>
          <w:sz w:val="21"/>
        </w:rPr>
        <w:t>移动式冷却宜为室外消火栓或消防炮。</w:t>
      </w:r>
      <w:r>
        <w:rPr>
          <w:sz w:val="21"/>
        </w:rPr>
        <w:t xml:space="preserve"> </w:t>
      </w:r>
    </w:p>
    <w:p w14:paraId="4394F4F0" w14:textId="77777777" w:rsidR="00A71EEF" w:rsidRDefault="00A71EEF">
      <w:pPr>
        <w:pStyle w:val="a3"/>
        <w:spacing w:before="12"/>
        <w:rPr>
          <w:sz w:val="17"/>
        </w:rPr>
      </w:pPr>
    </w:p>
    <w:p w14:paraId="448567D7" w14:textId="77777777" w:rsidR="00A71EEF" w:rsidRDefault="0081115D">
      <w:pPr>
        <w:pStyle w:val="6"/>
        <w:ind w:left="840"/>
      </w:pPr>
      <w:r>
        <w:t>表</w:t>
      </w:r>
      <w:r>
        <w:t xml:space="preserve"> 3.4.2-2 </w:t>
      </w:r>
      <w:r>
        <w:t>卧式储罐、无覆土地下及半地下立式储罐冷却水系统的保护范围和喷水强度</w:t>
      </w:r>
      <w:r>
        <w:rPr>
          <w:w w:val="99"/>
        </w:rPr>
        <w:t xml:space="preserve"> </w:t>
      </w:r>
    </w:p>
    <w:p w14:paraId="4CED75FA" w14:textId="77777777" w:rsidR="00A71EEF" w:rsidRDefault="0081115D">
      <w:pPr>
        <w:pStyle w:val="a3"/>
        <w:rPr>
          <w:b/>
          <w:sz w:val="16"/>
        </w:rPr>
      </w:pPr>
      <w:r>
        <w:rPr>
          <w:noProof/>
        </w:rPr>
        <w:drawing>
          <wp:anchor distT="0" distB="0" distL="0" distR="0" simplePos="0" relativeHeight="251640320" behindDoc="0" locked="0" layoutInCell="1" allowOverlap="1" wp14:anchorId="2E8C37B9" wp14:editId="544273BF">
            <wp:simplePos x="0" y="0"/>
            <wp:positionH relativeFrom="page">
              <wp:posOffset>1198244</wp:posOffset>
            </wp:positionH>
            <wp:positionV relativeFrom="paragraph">
              <wp:posOffset>155074</wp:posOffset>
            </wp:positionV>
            <wp:extent cx="5189158" cy="1256823"/>
            <wp:effectExtent l="0" t="0" r="0" b="0"/>
            <wp:wrapTopAndBottom/>
            <wp:docPr id="509" name="image2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image295.jpeg"/>
                    <pic:cNvPicPr/>
                  </pic:nvPicPr>
                  <pic:blipFill>
                    <a:blip r:embed="rId353" cstate="print"/>
                    <a:stretch>
                      <a:fillRect/>
                    </a:stretch>
                  </pic:blipFill>
                  <pic:spPr>
                    <a:xfrm>
                      <a:off x="0" y="0"/>
                      <a:ext cx="5189158" cy="1256823"/>
                    </a:xfrm>
                    <a:prstGeom prst="rect">
                      <a:avLst/>
                    </a:prstGeom>
                  </pic:spPr>
                </pic:pic>
              </a:graphicData>
            </a:graphic>
          </wp:anchor>
        </w:drawing>
      </w:r>
    </w:p>
    <w:p w14:paraId="4CD3CD9D" w14:textId="77777777" w:rsidR="00A71EEF" w:rsidRDefault="0081115D">
      <w:pPr>
        <w:pStyle w:val="a3"/>
        <w:spacing w:before="164"/>
        <w:ind w:left="840"/>
      </w:pPr>
      <w:r>
        <w:rPr>
          <w:b/>
        </w:rPr>
        <w:t>注</w:t>
      </w:r>
      <w:r>
        <w:t>：</w:t>
      </w:r>
      <w:r>
        <w:t>1.</w:t>
      </w:r>
      <w:r>
        <w:t>当计算出的着火罐冷却水系统设计流量小于</w:t>
      </w:r>
      <w:r>
        <w:t xml:space="preserve"> 15L/s </w:t>
      </w:r>
      <w:r>
        <w:t>时，应采用</w:t>
      </w:r>
      <w:r>
        <w:t xml:space="preserve"> 15L/s</w:t>
      </w:r>
      <w:r>
        <w:t>；</w:t>
      </w:r>
      <w:r>
        <w:t xml:space="preserve"> </w:t>
      </w:r>
    </w:p>
    <w:p w14:paraId="7483D90C" w14:textId="77777777" w:rsidR="00A71EEF" w:rsidRDefault="00A71EEF">
      <w:pPr>
        <w:sectPr w:rsidR="00A71EEF">
          <w:pgSz w:w="11910" w:h="16850"/>
          <w:pgMar w:top="1220" w:right="0" w:bottom="1420" w:left="1260" w:header="0" w:footer="1189" w:gutter="0"/>
          <w:cols w:space="720"/>
        </w:sectPr>
      </w:pPr>
    </w:p>
    <w:p w14:paraId="012A9979" w14:textId="77777777" w:rsidR="00A71EEF" w:rsidRDefault="0081115D">
      <w:pPr>
        <w:pStyle w:val="a4"/>
        <w:numPr>
          <w:ilvl w:val="0"/>
          <w:numId w:val="309"/>
        </w:numPr>
        <w:tabs>
          <w:tab w:val="left" w:pos="1051"/>
        </w:tabs>
        <w:spacing w:before="47" w:line="446" w:lineRule="auto"/>
        <w:ind w:right="1608" w:firstLine="419"/>
        <w:rPr>
          <w:sz w:val="21"/>
        </w:rPr>
      </w:pPr>
      <w:r>
        <w:rPr>
          <w:spacing w:val="-4"/>
          <w:sz w:val="21"/>
        </w:rPr>
        <w:t>着火罐直径与长度之和的一半范围内的邻近卧式罐应进行冷却；着火罐直径</w:t>
      </w:r>
      <w:r>
        <w:rPr>
          <w:spacing w:val="-4"/>
          <w:sz w:val="21"/>
        </w:rPr>
        <w:t xml:space="preserve"> </w:t>
      </w:r>
      <w:r>
        <w:rPr>
          <w:sz w:val="21"/>
        </w:rPr>
        <w:t>1.5</w:t>
      </w:r>
      <w:r>
        <w:rPr>
          <w:spacing w:val="-10"/>
          <w:sz w:val="21"/>
        </w:rPr>
        <w:t xml:space="preserve"> </w:t>
      </w:r>
      <w:r>
        <w:rPr>
          <w:spacing w:val="-10"/>
          <w:sz w:val="21"/>
        </w:rPr>
        <w:t>倍范围</w:t>
      </w:r>
      <w:r>
        <w:rPr>
          <w:spacing w:val="-5"/>
          <w:sz w:val="21"/>
        </w:rPr>
        <w:t>内的邻近地下、半地下立式罐应冷却；</w:t>
      </w:r>
      <w:r>
        <w:rPr>
          <w:sz w:val="21"/>
        </w:rPr>
        <w:t xml:space="preserve"> </w:t>
      </w:r>
    </w:p>
    <w:p w14:paraId="5A4E7106" w14:textId="77777777" w:rsidR="00A71EEF" w:rsidRDefault="0081115D">
      <w:pPr>
        <w:pStyle w:val="a4"/>
        <w:numPr>
          <w:ilvl w:val="0"/>
          <w:numId w:val="309"/>
        </w:numPr>
        <w:tabs>
          <w:tab w:val="left" w:pos="1051"/>
        </w:tabs>
        <w:spacing w:line="267" w:lineRule="exact"/>
        <w:ind w:left="1050"/>
        <w:rPr>
          <w:sz w:val="21"/>
        </w:rPr>
      </w:pPr>
      <w:r>
        <w:rPr>
          <w:spacing w:val="-10"/>
          <w:sz w:val="21"/>
        </w:rPr>
        <w:t>当邻近储罐超过</w:t>
      </w:r>
      <w:r>
        <w:rPr>
          <w:spacing w:val="-10"/>
          <w:sz w:val="21"/>
        </w:rPr>
        <w:t xml:space="preserve"> </w:t>
      </w:r>
      <w:r>
        <w:rPr>
          <w:sz w:val="21"/>
        </w:rPr>
        <w:t>4</w:t>
      </w:r>
      <w:r>
        <w:rPr>
          <w:spacing w:val="-13"/>
          <w:sz w:val="21"/>
        </w:rPr>
        <w:t xml:space="preserve"> </w:t>
      </w:r>
      <w:r>
        <w:rPr>
          <w:spacing w:val="-13"/>
          <w:sz w:val="21"/>
        </w:rPr>
        <w:t>个时，冷却水系统可按</w:t>
      </w:r>
      <w:r>
        <w:rPr>
          <w:spacing w:val="-13"/>
          <w:sz w:val="21"/>
        </w:rPr>
        <w:t xml:space="preserve"> </w:t>
      </w:r>
      <w:r>
        <w:rPr>
          <w:sz w:val="21"/>
        </w:rPr>
        <w:t>4</w:t>
      </w:r>
      <w:r>
        <w:rPr>
          <w:spacing w:val="-9"/>
          <w:sz w:val="21"/>
        </w:rPr>
        <w:t xml:space="preserve"> </w:t>
      </w:r>
      <w:r>
        <w:rPr>
          <w:spacing w:val="-9"/>
          <w:sz w:val="21"/>
        </w:rPr>
        <w:t>个罐的设计流量计算；</w:t>
      </w:r>
      <w:r>
        <w:rPr>
          <w:sz w:val="21"/>
        </w:rPr>
        <w:t xml:space="preserve"> </w:t>
      </w:r>
    </w:p>
    <w:p w14:paraId="0E52EA9F" w14:textId="77777777" w:rsidR="00A71EEF" w:rsidRDefault="00A71EEF">
      <w:pPr>
        <w:pStyle w:val="a3"/>
        <w:spacing w:before="2"/>
        <w:rPr>
          <w:sz w:val="18"/>
        </w:rPr>
      </w:pPr>
    </w:p>
    <w:p w14:paraId="1DFF82DF" w14:textId="77777777" w:rsidR="00A71EEF" w:rsidRDefault="0081115D">
      <w:pPr>
        <w:pStyle w:val="a4"/>
        <w:numPr>
          <w:ilvl w:val="0"/>
          <w:numId w:val="309"/>
        </w:numPr>
        <w:tabs>
          <w:tab w:val="left" w:pos="1051"/>
        </w:tabs>
        <w:spacing w:line="446" w:lineRule="auto"/>
        <w:ind w:right="1452" w:firstLine="419"/>
        <w:rPr>
          <w:sz w:val="21"/>
        </w:rPr>
      </w:pPr>
      <w:r>
        <w:rPr>
          <w:spacing w:val="-4"/>
          <w:sz w:val="21"/>
        </w:rPr>
        <w:t>当邻近罐采用不燃材料作绝热层时，其冷却水系统喷水强度可按本表减少</w:t>
      </w:r>
      <w:r>
        <w:rPr>
          <w:spacing w:val="-4"/>
          <w:sz w:val="21"/>
        </w:rPr>
        <w:t xml:space="preserve"> </w:t>
      </w:r>
      <w:r>
        <w:rPr>
          <w:sz w:val="21"/>
        </w:rPr>
        <w:t>50%</w:t>
      </w:r>
      <w:r>
        <w:rPr>
          <w:spacing w:val="-1"/>
          <w:sz w:val="21"/>
        </w:rPr>
        <w:t>，但设计流</w:t>
      </w:r>
      <w:r>
        <w:rPr>
          <w:spacing w:val="-12"/>
          <w:sz w:val="21"/>
        </w:rPr>
        <w:t>量不应小于</w:t>
      </w:r>
      <w:r>
        <w:rPr>
          <w:spacing w:val="-12"/>
          <w:sz w:val="21"/>
        </w:rPr>
        <w:t xml:space="preserve"> </w:t>
      </w:r>
      <w:r>
        <w:rPr>
          <w:sz w:val="21"/>
        </w:rPr>
        <w:t>7.5L/s</w:t>
      </w:r>
      <w:r>
        <w:rPr>
          <w:sz w:val="21"/>
        </w:rPr>
        <w:t>；</w:t>
      </w:r>
      <w:r>
        <w:rPr>
          <w:sz w:val="21"/>
        </w:rPr>
        <w:t xml:space="preserve"> </w:t>
      </w:r>
    </w:p>
    <w:p w14:paraId="6E4C65D2" w14:textId="77777777" w:rsidR="00A71EEF" w:rsidRDefault="0081115D">
      <w:pPr>
        <w:pStyle w:val="a4"/>
        <w:numPr>
          <w:ilvl w:val="0"/>
          <w:numId w:val="309"/>
        </w:numPr>
        <w:tabs>
          <w:tab w:val="left" w:pos="1051"/>
        </w:tabs>
        <w:spacing w:line="446" w:lineRule="auto"/>
        <w:ind w:right="1817" w:firstLine="419"/>
        <w:rPr>
          <w:sz w:val="21"/>
        </w:rPr>
      </w:pPr>
      <w:r>
        <w:rPr>
          <w:spacing w:val="-3"/>
          <w:sz w:val="21"/>
        </w:rPr>
        <w:t>无覆土半地下、地下卧式罐冷却水系统的保护范围和喷水强度应按本表地上卧式罐确定。</w:t>
      </w:r>
      <w:r>
        <w:rPr>
          <w:sz w:val="21"/>
        </w:rPr>
        <w:t xml:space="preserve"> </w:t>
      </w:r>
    </w:p>
    <w:p w14:paraId="03EB2E11" w14:textId="77777777" w:rsidR="00A71EEF" w:rsidRDefault="0081115D">
      <w:pPr>
        <w:pStyle w:val="a4"/>
        <w:numPr>
          <w:ilvl w:val="0"/>
          <w:numId w:val="311"/>
        </w:numPr>
        <w:tabs>
          <w:tab w:val="left" w:pos="1367"/>
        </w:tabs>
        <w:ind w:left="1367"/>
        <w:rPr>
          <w:sz w:val="21"/>
        </w:rPr>
      </w:pPr>
      <w:r>
        <w:rPr>
          <w:spacing w:val="-5"/>
          <w:sz w:val="21"/>
        </w:rPr>
        <w:t>当储罐采用固定式冷却水系统时室外消火栓设计流量不应小于表</w:t>
      </w:r>
      <w:r>
        <w:rPr>
          <w:spacing w:val="-5"/>
          <w:sz w:val="21"/>
        </w:rPr>
        <w:t xml:space="preserve"> </w:t>
      </w:r>
      <w:r>
        <w:rPr>
          <w:sz w:val="21"/>
        </w:rPr>
        <w:t>3.4.2-3</w:t>
      </w:r>
      <w:r>
        <w:rPr>
          <w:spacing w:val="-11"/>
          <w:sz w:val="21"/>
        </w:rPr>
        <w:t xml:space="preserve"> </w:t>
      </w:r>
      <w:r>
        <w:rPr>
          <w:spacing w:val="-11"/>
          <w:sz w:val="21"/>
        </w:rPr>
        <w:t>的规定，当</w:t>
      </w:r>
    </w:p>
    <w:p w14:paraId="7052F08E" w14:textId="77777777" w:rsidR="00A71EEF" w:rsidRDefault="00A71EEF">
      <w:pPr>
        <w:pStyle w:val="a3"/>
        <w:spacing w:before="10"/>
        <w:rPr>
          <w:sz w:val="17"/>
        </w:rPr>
      </w:pPr>
    </w:p>
    <w:p w14:paraId="38E36222" w14:textId="77777777" w:rsidR="00A71EEF" w:rsidRDefault="0081115D">
      <w:pPr>
        <w:pStyle w:val="a3"/>
        <w:spacing w:before="1" w:line="446" w:lineRule="auto"/>
        <w:ind w:left="418" w:right="1609"/>
      </w:pPr>
      <w:r>
        <w:rPr>
          <w:spacing w:val="-5"/>
        </w:rPr>
        <w:t>采用移动式冷却水系统时室外消火栓设计流量应按表</w:t>
      </w:r>
      <w:r>
        <w:rPr>
          <w:spacing w:val="-5"/>
        </w:rPr>
        <w:t xml:space="preserve"> </w:t>
      </w:r>
      <w:r>
        <w:t>3.4.2-1</w:t>
      </w:r>
      <w:r>
        <w:rPr>
          <w:spacing w:val="-24"/>
        </w:rPr>
        <w:t xml:space="preserve"> </w:t>
      </w:r>
      <w:r>
        <w:rPr>
          <w:spacing w:val="-24"/>
        </w:rPr>
        <w:t>或表</w:t>
      </w:r>
      <w:r>
        <w:rPr>
          <w:spacing w:val="-24"/>
        </w:rPr>
        <w:t xml:space="preserve"> </w:t>
      </w:r>
      <w:r>
        <w:t>3.4.2-2</w:t>
      </w:r>
      <w:r>
        <w:rPr>
          <w:spacing w:val="-8"/>
        </w:rPr>
        <w:t xml:space="preserve"> </w:t>
      </w:r>
      <w:r>
        <w:rPr>
          <w:spacing w:val="-8"/>
        </w:rPr>
        <w:t>规定的设计参数经</w:t>
      </w:r>
      <w:r>
        <w:rPr>
          <w:spacing w:val="-10"/>
        </w:rPr>
        <w:t>计算确定，且不应小于</w:t>
      </w:r>
      <w:r>
        <w:rPr>
          <w:spacing w:val="-10"/>
        </w:rPr>
        <w:t xml:space="preserve"> </w:t>
      </w:r>
      <w:r>
        <w:t>15L/s</w:t>
      </w:r>
      <w:r>
        <w:rPr>
          <w:spacing w:val="-3"/>
        </w:rPr>
        <w:t>。</w:t>
      </w:r>
      <w:r>
        <w:t xml:space="preserve"> </w:t>
      </w:r>
    </w:p>
    <w:p w14:paraId="06389795" w14:textId="77777777" w:rsidR="00A71EEF" w:rsidRDefault="0081115D">
      <w:pPr>
        <w:pStyle w:val="6"/>
        <w:ind w:left="1622"/>
        <w:rPr>
          <w:b w:val="0"/>
        </w:rPr>
      </w:pPr>
      <w:r>
        <w:t>表</w:t>
      </w:r>
      <w:r>
        <w:t xml:space="preserve"> 3.4.2-3 </w:t>
      </w:r>
      <w:r>
        <w:t>甲、乙、丙类可燃液体地上立式储罐区的室外消火栓设计流量</w:t>
      </w:r>
      <w:r>
        <w:rPr>
          <w:b w:val="0"/>
        </w:rPr>
        <w:t xml:space="preserve"> </w:t>
      </w:r>
    </w:p>
    <w:p w14:paraId="441BF1D1" w14:textId="77777777" w:rsidR="00A71EEF" w:rsidRDefault="0081115D">
      <w:pPr>
        <w:pStyle w:val="a3"/>
        <w:spacing w:before="5"/>
        <w:rPr>
          <w:sz w:val="23"/>
        </w:rPr>
      </w:pPr>
      <w:r>
        <w:rPr>
          <w:noProof/>
        </w:rPr>
        <w:drawing>
          <wp:anchor distT="0" distB="0" distL="0" distR="0" simplePos="0" relativeHeight="251641344" behindDoc="0" locked="0" layoutInCell="1" allowOverlap="1" wp14:anchorId="145F416D" wp14:editId="255DC0AD">
            <wp:simplePos x="0" y="0"/>
            <wp:positionH relativeFrom="page">
              <wp:posOffset>1513205</wp:posOffset>
            </wp:positionH>
            <wp:positionV relativeFrom="paragraph">
              <wp:posOffset>215288</wp:posOffset>
            </wp:positionV>
            <wp:extent cx="4455571" cy="1311021"/>
            <wp:effectExtent l="0" t="0" r="0" b="0"/>
            <wp:wrapTopAndBottom/>
            <wp:docPr id="511" name="image2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image296.jpeg"/>
                    <pic:cNvPicPr/>
                  </pic:nvPicPr>
                  <pic:blipFill>
                    <a:blip r:embed="rId354" cstate="print"/>
                    <a:stretch>
                      <a:fillRect/>
                    </a:stretch>
                  </pic:blipFill>
                  <pic:spPr>
                    <a:xfrm>
                      <a:off x="0" y="0"/>
                      <a:ext cx="4455571" cy="1311021"/>
                    </a:xfrm>
                    <a:prstGeom prst="rect">
                      <a:avLst/>
                    </a:prstGeom>
                  </pic:spPr>
                </pic:pic>
              </a:graphicData>
            </a:graphic>
          </wp:anchor>
        </w:drawing>
      </w:r>
    </w:p>
    <w:p w14:paraId="7F18ABB9" w14:textId="77777777" w:rsidR="00A71EEF" w:rsidRDefault="0081115D">
      <w:pPr>
        <w:pStyle w:val="a4"/>
        <w:numPr>
          <w:ilvl w:val="2"/>
          <w:numId w:val="314"/>
        </w:numPr>
        <w:tabs>
          <w:tab w:val="left" w:pos="1371"/>
        </w:tabs>
        <w:spacing w:before="168" w:line="446" w:lineRule="auto"/>
        <w:ind w:right="1604" w:firstLine="422"/>
        <w:rPr>
          <w:sz w:val="19"/>
        </w:rPr>
      </w:pPr>
      <w:r>
        <w:rPr>
          <w:spacing w:val="-3"/>
          <w:sz w:val="21"/>
        </w:rPr>
        <w:t>甲、乙、丙类可燃液体地上立式储罐冷却水系统保护范围和喷水强度不应小于本规</w:t>
      </w:r>
      <w:r>
        <w:rPr>
          <w:spacing w:val="-15"/>
          <w:sz w:val="21"/>
        </w:rPr>
        <w:t>范表</w:t>
      </w:r>
      <w:r>
        <w:rPr>
          <w:spacing w:val="-15"/>
          <w:sz w:val="21"/>
        </w:rPr>
        <w:t xml:space="preserve"> </w:t>
      </w:r>
      <w:r>
        <w:rPr>
          <w:sz w:val="21"/>
        </w:rPr>
        <w:t>3.4.2-1</w:t>
      </w:r>
      <w:r>
        <w:rPr>
          <w:spacing w:val="-7"/>
          <w:sz w:val="21"/>
        </w:rPr>
        <w:t xml:space="preserve"> </w:t>
      </w:r>
      <w:r>
        <w:rPr>
          <w:spacing w:val="-7"/>
          <w:sz w:val="21"/>
        </w:rPr>
        <w:t>的规定；卧式储罐、无覆土地下及半地下立式储罐冷却水系统保护范围和喷水强</w:t>
      </w:r>
    </w:p>
    <w:p w14:paraId="7080DF60" w14:textId="77777777" w:rsidR="00A71EEF" w:rsidRDefault="0081115D">
      <w:pPr>
        <w:pStyle w:val="a3"/>
        <w:spacing w:line="446" w:lineRule="auto"/>
        <w:ind w:left="418" w:right="1613"/>
      </w:pPr>
      <w:r>
        <w:rPr>
          <w:spacing w:val="-8"/>
        </w:rPr>
        <w:t>度不应小于本规范表</w:t>
      </w:r>
      <w:r>
        <w:rPr>
          <w:spacing w:val="-8"/>
        </w:rPr>
        <w:t xml:space="preserve"> </w:t>
      </w:r>
      <w:r>
        <w:t>3.4.2-2</w:t>
      </w:r>
      <w:r>
        <w:rPr>
          <w:spacing w:val="-11"/>
        </w:rPr>
        <w:t xml:space="preserve"> </w:t>
      </w:r>
      <w:r>
        <w:rPr>
          <w:spacing w:val="-11"/>
        </w:rPr>
        <w:t>的规定；室外消火栓设计流量应按本规范第</w:t>
      </w:r>
      <w:r>
        <w:rPr>
          <w:spacing w:val="-11"/>
        </w:rPr>
        <w:t xml:space="preserve"> </w:t>
      </w:r>
      <w:r>
        <w:t>3.4.2</w:t>
      </w:r>
      <w:r>
        <w:rPr>
          <w:spacing w:val="-25"/>
        </w:rPr>
        <w:t xml:space="preserve"> </w:t>
      </w:r>
      <w:r>
        <w:rPr>
          <w:spacing w:val="-25"/>
        </w:rPr>
        <w:t>条第</w:t>
      </w:r>
      <w:r>
        <w:rPr>
          <w:spacing w:val="-25"/>
        </w:rPr>
        <w:t xml:space="preserve"> </w:t>
      </w:r>
      <w:r>
        <w:t>3</w:t>
      </w:r>
      <w:r>
        <w:rPr>
          <w:spacing w:val="-14"/>
        </w:rPr>
        <w:t xml:space="preserve"> </w:t>
      </w:r>
      <w:r>
        <w:rPr>
          <w:spacing w:val="-14"/>
        </w:rPr>
        <w:t>款的规</w:t>
      </w:r>
      <w:r>
        <w:rPr>
          <w:spacing w:val="-9"/>
        </w:rPr>
        <w:t>定确定。</w:t>
      </w:r>
      <w:r>
        <w:t xml:space="preserve"> </w:t>
      </w:r>
    </w:p>
    <w:p w14:paraId="1B0659CB" w14:textId="77777777" w:rsidR="00A71EEF" w:rsidRDefault="0081115D">
      <w:pPr>
        <w:pStyle w:val="a4"/>
        <w:numPr>
          <w:ilvl w:val="2"/>
          <w:numId w:val="314"/>
        </w:numPr>
        <w:tabs>
          <w:tab w:val="left" w:pos="1424"/>
        </w:tabs>
        <w:spacing w:line="446" w:lineRule="auto"/>
        <w:ind w:right="1445" w:firstLine="422"/>
        <w:rPr>
          <w:sz w:val="21"/>
        </w:rPr>
      </w:pPr>
      <w:r>
        <w:rPr>
          <w:spacing w:val="-3"/>
          <w:sz w:val="21"/>
        </w:rPr>
        <w:t>覆土油罐的室外消火栓设计流量应按最大单罐周长和喷水强度计算确定，喷水强度不</w:t>
      </w:r>
      <w:r>
        <w:rPr>
          <w:spacing w:val="-15"/>
          <w:sz w:val="21"/>
        </w:rPr>
        <w:t>应小于</w:t>
      </w:r>
      <w:r>
        <w:rPr>
          <w:spacing w:val="-15"/>
          <w:sz w:val="21"/>
        </w:rPr>
        <w:t xml:space="preserve"> </w:t>
      </w:r>
      <w:r>
        <w:rPr>
          <w:sz w:val="21"/>
        </w:rPr>
        <w:t>0.30L/</w:t>
      </w:r>
      <w:r>
        <w:rPr>
          <w:sz w:val="21"/>
        </w:rPr>
        <w:t>（</w:t>
      </w:r>
      <w:r>
        <w:rPr>
          <w:sz w:val="21"/>
        </w:rPr>
        <w:t>s·m</w:t>
      </w:r>
      <w:r>
        <w:rPr>
          <w:sz w:val="21"/>
        </w:rPr>
        <w:t>）</w:t>
      </w:r>
      <w:r>
        <w:rPr>
          <w:spacing w:val="-8"/>
          <w:sz w:val="21"/>
        </w:rPr>
        <w:t>；当计算设计流量小于</w:t>
      </w:r>
      <w:r>
        <w:rPr>
          <w:spacing w:val="-8"/>
          <w:sz w:val="21"/>
        </w:rPr>
        <w:t xml:space="preserve"> </w:t>
      </w:r>
      <w:r>
        <w:rPr>
          <w:sz w:val="21"/>
        </w:rPr>
        <w:t>15L/s</w:t>
      </w:r>
      <w:r>
        <w:rPr>
          <w:spacing w:val="-17"/>
          <w:sz w:val="21"/>
        </w:rPr>
        <w:t xml:space="preserve"> </w:t>
      </w:r>
      <w:r>
        <w:rPr>
          <w:spacing w:val="-17"/>
          <w:sz w:val="21"/>
        </w:rPr>
        <w:t>时，应采用</w:t>
      </w:r>
      <w:r>
        <w:rPr>
          <w:spacing w:val="-17"/>
          <w:sz w:val="21"/>
        </w:rPr>
        <w:t xml:space="preserve"> </w:t>
      </w:r>
      <w:r>
        <w:rPr>
          <w:sz w:val="21"/>
        </w:rPr>
        <w:t>15L/s</w:t>
      </w:r>
      <w:r>
        <w:rPr>
          <w:spacing w:val="-3"/>
          <w:sz w:val="21"/>
        </w:rPr>
        <w:t>。</w:t>
      </w:r>
      <w:r>
        <w:rPr>
          <w:sz w:val="21"/>
        </w:rPr>
        <w:t xml:space="preserve"> </w:t>
      </w:r>
    </w:p>
    <w:p w14:paraId="5DAF7438" w14:textId="77777777" w:rsidR="00A71EEF" w:rsidRDefault="0081115D">
      <w:pPr>
        <w:pStyle w:val="a4"/>
        <w:numPr>
          <w:ilvl w:val="2"/>
          <w:numId w:val="314"/>
        </w:numPr>
        <w:tabs>
          <w:tab w:val="left" w:pos="1424"/>
        </w:tabs>
        <w:spacing w:line="446" w:lineRule="auto"/>
        <w:ind w:right="1445" w:firstLine="422"/>
        <w:rPr>
          <w:sz w:val="21"/>
        </w:rPr>
      </w:pPr>
      <w:r>
        <w:rPr>
          <w:spacing w:val="-3"/>
          <w:sz w:val="21"/>
        </w:rPr>
        <w:t>液化烃罐区的消防给水设计流量应按最大罐组确定，并应按固定冷却水系统设计流量与室外消火栓设计流量之和确定，同时应符合下列规定：</w:t>
      </w:r>
      <w:r>
        <w:rPr>
          <w:spacing w:val="-3"/>
          <w:sz w:val="21"/>
        </w:rPr>
        <w:t xml:space="preserve"> </w:t>
      </w:r>
    </w:p>
    <w:p w14:paraId="2F0A8061" w14:textId="77777777" w:rsidR="00A71EEF" w:rsidRDefault="0081115D">
      <w:pPr>
        <w:pStyle w:val="a4"/>
        <w:numPr>
          <w:ilvl w:val="0"/>
          <w:numId w:val="308"/>
        </w:numPr>
        <w:tabs>
          <w:tab w:val="left" w:pos="1367"/>
        </w:tabs>
        <w:rPr>
          <w:sz w:val="21"/>
        </w:rPr>
      </w:pPr>
      <w:r>
        <w:rPr>
          <w:spacing w:val="-7"/>
          <w:sz w:val="21"/>
        </w:rPr>
        <w:t>固定冷却水系统设计流量应按表</w:t>
      </w:r>
      <w:r>
        <w:rPr>
          <w:spacing w:val="-7"/>
          <w:sz w:val="21"/>
        </w:rPr>
        <w:t xml:space="preserve"> </w:t>
      </w:r>
      <w:r>
        <w:rPr>
          <w:sz w:val="21"/>
        </w:rPr>
        <w:t>3.4.5-1</w:t>
      </w:r>
      <w:r>
        <w:rPr>
          <w:spacing w:val="-9"/>
          <w:sz w:val="21"/>
        </w:rPr>
        <w:t xml:space="preserve"> </w:t>
      </w:r>
      <w:r>
        <w:rPr>
          <w:spacing w:val="-9"/>
          <w:sz w:val="21"/>
        </w:rPr>
        <w:t>规定的设计参数经计算确定；室外消火栓设</w:t>
      </w:r>
    </w:p>
    <w:p w14:paraId="40EBE2A1" w14:textId="77777777" w:rsidR="00A71EEF" w:rsidRDefault="00A71EEF">
      <w:pPr>
        <w:pStyle w:val="a3"/>
        <w:spacing w:before="10"/>
        <w:rPr>
          <w:sz w:val="17"/>
        </w:rPr>
      </w:pPr>
    </w:p>
    <w:p w14:paraId="346208B7" w14:textId="77777777" w:rsidR="00A71EEF" w:rsidRDefault="0081115D">
      <w:pPr>
        <w:pStyle w:val="a3"/>
        <w:spacing w:before="1"/>
        <w:ind w:left="418"/>
      </w:pPr>
      <w:r>
        <w:t>计流量不应小于表</w:t>
      </w:r>
      <w:r>
        <w:t xml:space="preserve"> 3.4.5-2 </w:t>
      </w:r>
      <w:r>
        <w:t>的规定值；</w:t>
      </w:r>
      <w:r>
        <w:t xml:space="preserve"> </w:t>
      </w:r>
    </w:p>
    <w:p w14:paraId="2FF5203C" w14:textId="77777777" w:rsidR="00A71EEF" w:rsidRDefault="00A71EEF">
      <w:pPr>
        <w:sectPr w:rsidR="00A71EEF">
          <w:pgSz w:w="11910" w:h="16850"/>
          <w:pgMar w:top="1220" w:right="0" w:bottom="1420" w:left="1260" w:header="0" w:footer="1189" w:gutter="0"/>
          <w:cols w:space="720"/>
        </w:sectPr>
      </w:pPr>
    </w:p>
    <w:p w14:paraId="69E269C6" w14:textId="77777777" w:rsidR="00A71EEF" w:rsidRDefault="0081115D">
      <w:pPr>
        <w:pStyle w:val="a4"/>
        <w:numPr>
          <w:ilvl w:val="0"/>
          <w:numId w:val="308"/>
        </w:numPr>
        <w:tabs>
          <w:tab w:val="left" w:pos="1367"/>
        </w:tabs>
        <w:spacing w:before="57" w:line="446" w:lineRule="auto"/>
        <w:ind w:left="418" w:right="1580" w:firstLine="419"/>
        <w:rPr>
          <w:sz w:val="21"/>
        </w:rPr>
      </w:pPr>
      <w:r>
        <w:rPr>
          <w:spacing w:val="-5"/>
          <w:sz w:val="21"/>
        </w:rPr>
        <w:t>当企业设有独立消防站，且单罐容积小于或等于</w:t>
      </w:r>
      <w:r>
        <w:rPr>
          <w:spacing w:val="-5"/>
          <w:sz w:val="21"/>
        </w:rPr>
        <w:t xml:space="preserve"> </w:t>
      </w:r>
      <w:r>
        <w:rPr>
          <w:sz w:val="21"/>
        </w:rPr>
        <w:t>100m</w:t>
      </w:r>
      <w:r>
        <w:rPr>
          <w:position w:val="11"/>
          <w:sz w:val="11"/>
        </w:rPr>
        <w:t>3</w:t>
      </w:r>
      <w:r>
        <w:rPr>
          <w:spacing w:val="-18"/>
          <w:position w:val="11"/>
          <w:sz w:val="11"/>
        </w:rPr>
        <w:t xml:space="preserve"> </w:t>
      </w:r>
      <w:r>
        <w:rPr>
          <w:spacing w:val="-3"/>
          <w:sz w:val="21"/>
        </w:rPr>
        <w:t>时，可采用室外消火栓等移动</w:t>
      </w:r>
      <w:r>
        <w:rPr>
          <w:spacing w:val="-6"/>
          <w:sz w:val="21"/>
        </w:rPr>
        <w:t>式冷却水系统，其罐区消防给水设计流量应按表</w:t>
      </w:r>
      <w:r>
        <w:rPr>
          <w:spacing w:val="-6"/>
          <w:sz w:val="21"/>
        </w:rPr>
        <w:t xml:space="preserve"> </w:t>
      </w:r>
      <w:r>
        <w:rPr>
          <w:sz w:val="21"/>
        </w:rPr>
        <w:t>3.4.5-1</w:t>
      </w:r>
      <w:r>
        <w:rPr>
          <w:spacing w:val="-9"/>
          <w:sz w:val="21"/>
        </w:rPr>
        <w:t xml:space="preserve"> </w:t>
      </w:r>
      <w:r>
        <w:rPr>
          <w:spacing w:val="-9"/>
          <w:sz w:val="21"/>
        </w:rPr>
        <w:t>的规定经计算确定，但不应低于</w:t>
      </w:r>
      <w:r>
        <w:rPr>
          <w:spacing w:val="-9"/>
          <w:sz w:val="21"/>
        </w:rPr>
        <w:t>100L/s</w:t>
      </w:r>
      <w:r>
        <w:rPr>
          <w:spacing w:val="-3"/>
          <w:sz w:val="21"/>
        </w:rPr>
        <w:t>。</w:t>
      </w:r>
      <w:r>
        <w:rPr>
          <w:sz w:val="21"/>
        </w:rPr>
        <w:t xml:space="preserve"> </w:t>
      </w:r>
    </w:p>
    <w:p w14:paraId="2E00B1D0" w14:textId="77777777" w:rsidR="00A71EEF" w:rsidRDefault="00A71EEF">
      <w:pPr>
        <w:pStyle w:val="a3"/>
        <w:rPr>
          <w:sz w:val="20"/>
        </w:rPr>
      </w:pPr>
    </w:p>
    <w:p w14:paraId="6BB24D14" w14:textId="77777777" w:rsidR="00A71EEF" w:rsidRDefault="00A71EEF">
      <w:pPr>
        <w:pStyle w:val="a3"/>
        <w:rPr>
          <w:sz w:val="20"/>
        </w:rPr>
      </w:pPr>
    </w:p>
    <w:p w14:paraId="3243F446" w14:textId="77777777" w:rsidR="00A71EEF" w:rsidRDefault="00A71EEF">
      <w:pPr>
        <w:pStyle w:val="a3"/>
        <w:rPr>
          <w:sz w:val="20"/>
        </w:rPr>
      </w:pPr>
    </w:p>
    <w:p w14:paraId="73FEEC94" w14:textId="77777777" w:rsidR="00A71EEF" w:rsidRDefault="00A71EEF">
      <w:pPr>
        <w:pStyle w:val="a3"/>
        <w:rPr>
          <w:sz w:val="20"/>
        </w:rPr>
      </w:pPr>
    </w:p>
    <w:p w14:paraId="15C6F117" w14:textId="77777777" w:rsidR="00A71EEF" w:rsidRDefault="00A71EEF">
      <w:pPr>
        <w:pStyle w:val="a3"/>
        <w:rPr>
          <w:sz w:val="20"/>
        </w:rPr>
      </w:pPr>
    </w:p>
    <w:p w14:paraId="0C1BB4A2" w14:textId="77777777" w:rsidR="00A71EEF" w:rsidRDefault="00A71EEF">
      <w:pPr>
        <w:pStyle w:val="a3"/>
        <w:rPr>
          <w:sz w:val="20"/>
        </w:rPr>
      </w:pPr>
    </w:p>
    <w:p w14:paraId="1DED63F3" w14:textId="77777777" w:rsidR="00A71EEF" w:rsidRDefault="00A71EEF">
      <w:pPr>
        <w:pStyle w:val="a3"/>
        <w:rPr>
          <w:sz w:val="20"/>
        </w:rPr>
      </w:pPr>
    </w:p>
    <w:p w14:paraId="3720247D" w14:textId="77777777" w:rsidR="00A71EEF" w:rsidRDefault="00A71EEF">
      <w:pPr>
        <w:pStyle w:val="a3"/>
        <w:rPr>
          <w:sz w:val="20"/>
        </w:rPr>
      </w:pPr>
    </w:p>
    <w:p w14:paraId="6724A6A0" w14:textId="77777777" w:rsidR="00A71EEF" w:rsidRDefault="00A71EEF">
      <w:pPr>
        <w:pStyle w:val="a3"/>
        <w:spacing w:before="5"/>
        <w:rPr>
          <w:sz w:val="29"/>
        </w:rPr>
      </w:pPr>
    </w:p>
    <w:p w14:paraId="04193274" w14:textId="77777777" w:rsidR="00A71EEF" w:rsidRDefault="0081115D">
      <w:pPr>
        <w:pStyle w:val="6"/>
        <w:spacing w:before="72"/>
        <w:ind w:left="2782"/>
        <w:rPr>
          <w:b w:val="0"/>
        </w:rPr>
      </w:pPr>
      <w:r>
        <w:t>表</w:t>
      </w:r>
      <w:r>
        <w:t xml:space="preserve"> 3.4.5-1 </w:t>
      </w:r>
      <w:r>
        <w:t>液化烃储罐固定冷却水系统设计流量</w:t>
      </w:r>
      <w:r>
        <w:rPr>
          <w:b w:val="0"/>
        </w:rPr>
        <w:t xml:space="preserve"> </w:t>
      </w:r>
    </w:p>
    <w:p w14:paraId="55B135F3" w14:textId="77777777" w:rsidR="00A71EEF" w:rsidRDefault="0081115D">
      <w:pPr>
        <w:pStyle w:val="a3"/>
        <w:rPr>
          <w:sz w:val="18"/>
        </w:rPr>
      </w:pPr>
      <w:r>
        <w:rPr>
          <w:noProof/>
        </w:rPr>
        <w:drawing>
          <wp:anchor distT="0" distB="0" distL="0" distR="0" simplePos="0" relativeHeight="251642368" behindDoc="0" locked="0" layoutInCell="1" allowOverlap="1" wp14:anchorId="18B56AAB" wp14:editId="02C9CFFB">
            <wp:simplePos x="0" y="0"/>
            <wp:positionH relativeFrom="page">
              <wp:posOffset>1341755</wp:posOffset>
            </wp:positionH>
            <wp:positionV relativeFrom="paragraph">
              <wp:posOffset>171580</wp:posOffset>
            </wp:positionV>
            <wp:extent cx="4733924" cy="1847850"/>
            <wp:effectExtent l="0" t="0" r="0" b="0"/>
            <wp:wrapTopAndBottom/>
            <wp:docPr id="513" name="image2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image297.jpeg"/>
                    <pic:cNvPicPr/>
                  </pic:nvPicPr>
                  <pic:blipFill>
                    <a:blip r:embed="rId355" cstate="print"/>
                    <a:stretch>
                      <a:fillRect/>
                    </a:stretch>
                  </pic:blipFill>
                  <pic:spPr>
                    <a:xfrm>
                      <a:off x="0" y="0"/>
                      <a:ext cx="4733924" cy="1847850"/>
                    </a:xfrm>
                    <a:prstGeom prst="rect">
                      <a:avLst/>
                    </a:prstGeom>
                  </pic:spPr>
                </pic:pic>
              </a:graphicData>
            </a:graphic>
          </wp:anchor>
        </w:drawing>
      </w:r>
    </w:p>
    <w:p w14:paraId="0A6F92C2" w14:textId="77777777" w:rsidR="00A71EEF" w:rsidRDefault="0081115D">
      <w:pPr>
        <w:pStyle w:val="a3"/>
        <w:spacing w:before="163" w:line="446" w:lineRule="auto"/>
        <w:ind w:left="418" w:right="1609" w:firstLine="419"/>
      </w:pPr>
      <w:r>
        <w:t>注：</w:t>
      </w:r>
      <w:r>
        <w:t>1.</w:t>
      </w:r>
      <w:r>
        <w:t>固定冷却水系统当采用水喷雾系统冷却时喷水强度应符合本规范要求，且系统设置应符合现行国家标准《水喷雾灭火系统设计规范》</w:t>
      </w:r>
      <w:r>
        <w:t xml:space="preserve">GB 50219 </w:t>
      </w:r>
      <w:r>
        <w:t>的有关规定；</w:t>
      </w:r>
      <w:r>
        <w:t xml:space="preserve"> </w:t>
      </w:r>
    </w:p>
    <w:p w14:paraId="755DCA08" w14:textId="77777777" w:rsidR="00A71EEF" w:rsidRDefault="0081115D">
      <w:pPr>
        <w:pStyle w:val="a4"/>
        <w:numPr>
          <w:ilvl w:val="0"/>
          <w:numId w:val="307"/>
        </w:numPr>
        <w:tabs>
          <w:tab w:val="left" w:pos="1051"/>
        </w:tabs>
        <w:spacing w:line="446" w:lineRule="auto"/>
        <w:ind w:right="1609" w:firstLine="419"/>
        <w:rPr>
          <w:sz w:val="21"/>
        </w:rPr>
      </w:pPr>
      <w:r>
        <w:rPr>
          <w:spacing w:val="-3"/>
          <w:sz w:val="21"/>
        </w:rPr>
        <w:t>全冷冻式液化烃储罐，当双防罐、全防罐外壁为钢筋混凝土结构时，罐顶和罐壁的冷却</w:t>
      </w:r>
      <w:r>
        <w:rPr>
          <w:spacing w:val="-5"/>
          <w:sz w:val="21"/>
        </w:rPr>
        <w:t>水量可不计；但管道进出口等局部危险处应设置水喷雾系统冷却，供水强度不应小于</w:t>
      </w:r>
      <w:r>
        <w:rPr>
          <w:spacing w:val="-5"/>
          <w:sz w:val="21"/>
        </w:rPr>
        <w:t xml:space="preserve"> </w:t>
      </w:r>
      <w:r>
        <w:rPr>
          <w:sz w:val="21"/>
        </w:rPr>
        <w:t>20.0L/</w:t>
      </w:r>
    </w:p>
    <w:p w14:paraId="2A1C7F88" w14:textId="77777777" w:rsidR="00A71EEF" w:rsidRDefault="0081115D">
      <w:pPr>
        <w:pStyle w:val="a3"/>
        <w:spacing w:line="267" w:lineRule="exact"/>
        <w:ind w:left="418"/>
      </w:pPr>
      <w:r>
        <w:t>（</w:t>
      </w:r>
      <w:r>
        <w:t>min·m</w:t>
      </w:r>
      <w:r>
        <w:rPr>
          <w:position w:val="11"/>
          <w:sz w:val="11"/>
        </w:rPr>
        <w:t>2</w:t>
      </w:r>
      <w:r>
        <w:t>）；</w:t>
      </w:r>
      <w:r>
        <w:t xml:space="preserve"> </w:t>
      </w:r>
    </w:p>
    <w:p w14:paraId="22554A2B" w14:textId="77777777" w:rsidR="00A71EEF" w:rsidRDefault="00A71EEF">
      <w:pPr>
        <w:pStyle w:val="a3"/>
        <w:spacing w:before="1"/>
        <w:rPr>
          <w:sz w:val="18"/>
        </w:rPr>
      </w:pPr>
    </w:p>
    <w:p w14:paraId="3D0B0B38" w14:textId="77777777" w:rsidR="00A71EEF" w:rsidRDefault="0081115D">
      <w:pPr>
        <w:pStyle w:val="a4"/>
        <w:numPr>
          <w:ilvl w:val="0"/>
          <w:numId w:val="307"/>
        </w:numPr>
        <w:tabs>
          <w:tab w:val="left" w:pos="1051"/>
        </w:tabs>
        <w:spacing w:before="1"/>
        <w:ind w:left="1050"/>
        <w:rPr>
          <w:sz w:val="21"/>
        </w:rPr>
      </w:pPr>
      <w:r>
        <w:rPr>
          <w:spacing w:val="-10"/>
          <w:sz w:val="21"/>
        </w:rPr>
        <w:t>距着火罐罐壁</w:t>
      </w:r>
      <w:r>
        <w:rPr>
          <w:spacing w:val="-10"/>
          <w:sz w:val="21"/>
        </w:rPr>
        <w:t xml:space="preserve"> </w:t>
      </w:r>
      <w:r>
        <w:rPr>
          <w:sz w:val="21"/>
        </w:rPr>
        <w:t>1.5</w:t>
      </w:r>
      <w:r>
        <w:rPr>
          <w:spacing w:val="-11"/>
          <w:sz w:val="21"/>
        </w:rPr>
        <w:t xml:space="preserve"> </w:t>
      </w:r>
      <w:r>
        <w:rPr>
          <w:spacing w:val="-11"/>
          <w:sz w:val="21"/>
        </w:rPr>
        <w:t>倍着火罐直径范围内的邻近罐应计算冷却水系统，当邻近罐超过</w:t>
      </w:r>
      <w:r>
        <w:rPr>
          <w:spacing w:val="-11"/>
          <w:sz w:val="21"/>
        </w:rPr>
        <w:t xml:space="preserve"> </w:t>
      </w:r>
      <w:r>
        <w:rPr>
          <w:sz w:val="21"/>
        </w:rPr>
        <w:t>3</w:t>
      </w:r>
      <w:r>
        <w:rPr>
          <w:spacing w:val="-27"/>
          <w:sz w:val="21"/>
        </w:rPr>
        <w:t xml:space="preserve"> </w:t>
      </w:r>
      <w:r>
        <w:rPr>
          <w:spacing w:val="-27"/>
          <w:sz w:val="21"/>
        </w:rPr>
        <w:t>个</w:t>
      </w:r>
    </w:p>
    <w:p w14:paraId="6BBA34A3" w14:textId="77777777" w:rsidR="00A71EEF" w:rsidRDefault="00A71EEF">
      <w:pPr>
        <w:pStyle w:val="a3"/>
        <w:spacing w:before="12"/>
        <w:rPr>
          <w:sz w:val="17"/>
        </w:rPr>
      </w:pPr>
    </w:p>
    <w:p w14:paraId="6182547D" w14:textId="77777777" w:rsidR="00A71EEF" w:rsidRDefault="0081115D">
      <w:pPr>
        <w:pStyle w:val="a3"/>
        <w:ind w:left="418"/>
      </w:pPr>
      <w:r>
        <w:t>时，冷却水系统可按</w:t>
      </w:r>
      <w:r>
        <w:t xml:space="preserve"> 3 </w:t>
      </w:r>
      <w:r>
        <w:t>个罐的设计流量计算；</w:t>
      </w:r>
      <w:r>
        <w:t xml:space="preserve"> </w:t>
      </w:r>
    </w:p>
    <w:p w14:paraId="5FF0223D" w14:textId="77777777" w:rsidR="00A71EEF" w:rsidRDefault="00A71EEF">
      <w:pPr>
        <w:pStyle w:val="a3"/>
        <w:spacing w:before="12"/>
        <w:rPr>
          <w:sz w:val="17"/>
        </w:rPr>
      </w:pPr>
    </w:p>
    <w:p w14:paraId="1A5E6E68" w14:textId="77777777" w:rsidR="00A71EEF" w:rsidRDefault="0081115D">
      <w:pPr>
        <w:pStyle w:val="a4"/>
        <w:numPr>
          <w:ilvl w:val="0"/>
          <w:numId w:val="307"/>
        </w:numPr>
        <w:tabs>
          <w:tab w:val="left" w:pos="1051"/>
        </w:tabs>
        <w:spacing w:line="446" w:lineRule="auto"/>
        <w:ind w:right="1608" w:firstLine="419"/>
        <w:rPr>
          <w:sz w:val="21"/>
        </w:rPr>
      </w:pPr>
      <w:r>
        <w:rPr>
          <w:spacing w:val="-3"/>
          <w:sz w:val="21"/>
        </w:rPr>
        <w:t>当储罐采用固定消防水炮作为固定冷却设施时，其设计流量不宜小于水喷雾系统计算流</w:t>
      </w:r>
      <w:r>
        <w:rPr>
          <w:spacing w:val="-20"/>
          <w:sz w:val="21"/>
        </w:rPr>
        <w:t>量的</w:t>
      </w:r>
      <w:r>
        <w:rPr>
          <w:spacing w:val="-20"/>
          <w:sz w:val="21"/>
        </w:rPr>
        <w:t xml:space="preserve"> </w:t>
      </w:r>
      <w:r>
        <w:rPr>
          <w:sz w:val="21"/>
        </w:rPr>
        <w:t>1.3</w:t>
      </w:r>
      <w:r>
        <w:rPr>
          <w:spacing w:val="-20"/>
          <w:sz w:val="21"/>
        </w:rPr>
        <w:t xml:space="preserve"> </w:t>
      </w:r>
      <w:r>
        <w:rPr>
          <w:spacing w:val="-20"/>
          <w:sz w:val="21"/>
        </w:rPr>
        <w:t>倍。</w:t>
      </w:r>
      <w:r>
        <w:rPr>
          <w:sz w:val="21"/>
        </w:rPr>
        <w:t xml:space="preserve"> </w:t>
      </w:r>
    </w:p>
    <w:p w14:paraId="33BE4301" w14:textId="77777777" w:rsidR="00A71EEF" w:rsidRDefault="00A71EEF">
      <w:pPr>
        <w:spacing w:line="446" w:lineRule="auto"/>
        <w:rPr>
          <w:sz w:val="21"/>
        </w:rPr>
        <w:sectPr w:rsidR="00A71EEF">
          <w:pgSz w:w="11910" w:h="16850"/>
          <w:pgMar w:top="1200" w:right="0" w:bottom="1420" w:left="1260" w:header="0" w:footer="1189" w:gutter="0"/>
          <w:cols w:space="720"/>
        </w:sectPr>
      </w:pPr>
    </w:p>
    <w:p w14:paraId="251D522F" w14:textId="77777777" w:rsidR="00A71EEF" w:rsidRDefault="0081115D">
      <w:pPr>
        <w:pStyle w:val="6"/>
        <w:spacing w:before="47"/>
        <w:ind w:left="2888"/>
        <w:rPr>
          <w:b w:val="0"/>
        </w:rPr>
      </w:pPr>
      <w:r>
        <w:rPr>
          <w:noProof/>
        </w:rPr>
        <w:drawing>
          <wp:anchor distT="0" distB="0" distL="0" distR="0" simplePos="0" relativeHeight="251643392" behindDoc="0" locked="0" layoutInCell="1" allowOverlap="1" wp14:anchorId="133C89F5" wp14:editId="14853135">
            <wp:simplePos x="0" y="0"/>
            <wp:positionH relativeFrom="page">
              <wp:posOffset>1381760</wp:posOffset>
            </wp:positionH>
            <wp:positionV relativeFrom="paragraph">
              <wp:posOffset>285495</wp:posOffset>
            </wp:positionV>
            <wp:extent cx="4664356" cy="1681448"/>
            <wp:effectExtent l="0" t="0" r="0" b="0"/>
            <wp:wrapTopAndBottom/>
            <wp:docPr id="515" name="image2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image298.jpeg"/>
                    <pic:cNvPicPr/>
                  </pic:nvPicPr>
                  <pic:blipFill>
                    <a:blip r:embed="rId356" cstate="print"/>
                    <a:stretch>
                      <a:fillRect/>
                    </a:stretch>
                  </pic:blipFill>
                  <pic:spPr>
                    <a:xfrm>
                      <a:off x="0" y="0"/>
                      <a:ext cx="4664356" cy="1681448"/>
                    </a:xfrm>
                    <a:prstGeom prst="rect">
                      <a:avLst/>
                    </a:prstGeom>
                  </pic:spPr>
                </pic:pic>
              </a:graphicData>
            </a:graphic>
          </wp:anchor>
        </w:drawing>
      </w:r>
      <w:r>
        <w:t>表</w:t>
      </w:r>
      <w:r>
        <w:t xml:space="preserve"> 3.4.5-2 </w:t>
      </w:r>
      <w:r>
        <w:t>液化烃罐区的室外消火栓设计流量</w:t>
      </w:r>
      <w:r>
        <w:rPr>
          <w:b w:val="0"/>
        </w:rPr>
        <w:t xml:space="preserve"> </w:t>
      </w:r>
    </w:p>
    <w:p w14:paraId="70E6A03A" w14:textId="77777777" w:rsidR="00A71EEF" w:rsidRDefault="0081115D">
      <w:pPr>
        <w:pStyle w:val="a3"/>
        <w:spacing w:before="171"/>
        <w:ind w:left="838"/>
      </w:pPr>
      <w:r>
        <w:t>注：</w:t>
      </w:r>
      <w:r>
        <w:t>1.</w:t>
      </w:r>
      <w:r>
        <w:t>罐区的室外消火栓设计流量应按罐组内最大单罐计；</w:t>
      </w:r>
      <w:r>
        <w:t xml:space="preserve"> </w:t>
      </w:r>
    </w:p>
    <w:p w14:paraId="5A9DB207" w14:textId="77777777" w:rsidR="00A71EEF" w:rsidRDefault="00A71EEF">
      <w:pPr>
        <w:pStyle w:val="a3"/>
        <w:spacing w:before="12"/>
        <w:rPr>
          <w:sz w:val="17"/>
        </w:rPr>
      </w:pPr>
    </w:p>
    <w:p w14:paraId="6EC3922E" w14:textId="77777777" w:rsidR="00A71EEF" w:rsidRDefault="0081115D">
      <w:pPr>
        <w:pStyle w:val="a3"/>
        <w:spacing w:line="446" w:lineRule="auto"/>
        <w:ind w:left="418" w:right="1609" w:firstLine="419"/>
      </w:pPr>
      <w:r>
        <w:t>2.</w:t>
      </w:r>
      <w:r>
        <w:t>当储罐区四周设固定消防水炮作为辅助冷却设施时，辅助冷却水设计流量不应小于室外消火栓设计流量。</w:t>
      </w:r>
      <w:r>
        <w:t xml:space="preserve"> </w:t>
      </w:r>
    </w:p>
    <w:p w14:paraId="5FCBCE2B" w14:textId="77777777" w:rsidR="00A71EEF" w:rsidRDefault="0081115D">
      <w:pPr>
        <w:pStyle w:val="a4"/>
        <w:numPr>
          <w:ilvl w:val="2"/>
          <w:numId w:val="314"/>
        </w:numPr>
        <w:tabs>
          <w:tab w:val="left" w:pos="1424"/>
        </w:tabs>
        <w:spacing w:line="446" w:lineRule="auto"/>
        <w:ind w:right="1606" w:firstLine="422"/>
        <w:rPr>
          <w:sz w:val="21"/>
        </w:rPr>
      </w:pPr>
      <w:r>
        <w:rPr>
          <w:spacing w:val="-11"/>
          <w:sz w:val="21"/>
        </w:rPr>
        <w:t>沸点低于</w:t>
      </w:r>
      <w:r>
        <w:rPr>
          <w:spacing w:val="-11"/>
          <w:sz w:val="21"/>
        </w:rPr>
        <w:t xml:space="preserve"> </w:t>
      </w:r>
      <w:r>
        <w:rPr>
          <w:sz w:val="21"/>
        </w:rPr>
        <w:t>45</w:t>
      </w:r>
      <w:r>
        <w:rPr>
          <w:spacing w:val="-5"/>
          <w:sz w:val="21"/>
        </w:rPr>
        <w:t>℃</w:t>
      </w:r>
      <w:r>
        <w:rPr>
          <w:spacing w:val="-5"/>
          <w:sz w:val="21"/>
        </w:rPr>
        <w:t>甲类液体压力球罐的消防给水设计流量，应按本规范第</w:t>
      </w:r>
      <w:r>
        <w:rPr>
          <w:spacing w:val="-5"/>
          <w:sz w:val="21"/>
        </w:rPr>
        <w:t xml:space="preserve"> </w:t>
      </w:r>
      <w:r>
        <w:rPr>
          <w:sz w:val="21"/>
        </w:rPr>
        <w:t>3.4.5</w:t>
      </w:r>
      <w:r>
        <w:rPr>
          <w:spacing w:val="-12"/>
          <w:sz w:val="21"/>
        </w:rPr>
        <w:t xml:space="preserve"> </w:t>
      </w:r>
      <w:r>
        <w:rPr>
          <w:spacing w:val="-12"/>
          <w:sz w:val="21"/>
        </w:rPr>
        <w:t>条中全</w:t>
      </w:r>
      <w:r>
        <w:rPr>
          <w:spacing w:val="-6"/>
          <w:sz w:val="21"/>
        </w:rPr>
        <w:t>压力式储罐的要求经计算确定。</w:t>
      </w:r>
      <w:r>
        <w:rPr>
          <w:sz w:val="21"/>
        </w:rPr>
        <w:t xml:space="preserve"> </w:t>
      </w:r>
    </w:p>
    <w:p w14:paraId="28B13159" w14:textId="77777777" w:rsidR="00A71EEF" w:rsidRDefault="0081115D">
      <w:pPr>
        <w:pStyle w:val="a4"/>
        <w:numPr>
          <w:ilvl w:val="2"/>
          <w:numId w:val="314"/>
        </w:numPr>
        <w:tabs>
          <w:tab w:val="left" w:pos="1424"/>
        </w:tabs>
        <w:spacing w:line="444" w:lineRule="auto"/>
        <w:ind w:right="1498" w:firstLine="422"/>
        <w:rPr>
          <w:sz w:val="21"/>
        </w:rPr>
      </w:pPr>
      <w:r>
        <w:rPr>
          <w:spacing w:val="-4"/>
          <w:sz w:val="21"/>
        </w:rPr>
        <w:t>全压力式、半冷冻式和全冷冻式液氨储罐的消防给水设计流量，应按本规范第</w:t>
      </w:r>
      <w:r>
        <w:rPr>
          <w:spacing w:val="-4"/>
          <w:sz w:val="21"/>
        </w:rPr>
        <w:t xml:space="preserve"> </w:t>
      </w:r>
      <w:r>
        <w:rPr>
          <w:sz w:val="21"/>
        </w:rPr>
        <w:t xml:space="preserve">3.4.5 </w:t>
      </w:r>
      <w:r>
        <w:rPr>
          <w:spacing w:val="-5"/>
          <w:sz w:val="21"/>
        </w:rPr>
        <w:t>条中全压力式及半冷冻式储罐的要求经计算确定，但喷水强度应按不小于</w:t>
      </w:r>
      <w:r>
        <w:rPr>
          <w:spacing w:val="-5"/>
          <w:sz w:val="21"/>
        </w:rPr>
        <w:t xml:space="preserve"> </w:t>
      </w:r>
      <w:r>
        <w:rPr>
          <w:sz w:val="21"/>
        </w:rPr>
        <w:t>6.0L/</w:t>
      </w:r>
      <w:r>
        <w:rPr>
          <w:sz w:val="21"/>
        </w:rPr>
        <w:t>（</w:t>
      </w:r>
      <w:r>
        <w:rPr>
          <w:sz w:val="21"/>
        </w:rPr>
        <w:t>min·m</w:t>
      </w:r>
      <w:r>
        <w:rPr>
          <w:position w:val="11"/>
          <w:sz w:val="11"/>
        </w:rPr>
        <w:t>2</w:t>
      </w:r>
      <w:r>
        <w:rPr>
          <w:sz w:val="21"/>
        </w:rPr>
        <w:t>）</w:t>
      </w:r>
      <w:r>
        <w:rPr>
          <w:spacing w:val="-3"/>
          <w:sz w:val="21"/>
        </w:rPr>
        <w:t>计算，全冷冻式液氨储罐的冷却水系统设计流量应按全冷冻式液化烃储罐外壁为钢制单防罐的要求计算。</w:t>
      </w:r>
      <w:r>
        <w:rPr>
          <w:sz w:val="21"/>
        </w:rPr>
        <w:t xml:space="preserve"> </w:t>
      </w:r>
    </w:p>
    <w:p w14:paraId="30BEE220" w14:textId="77777777" w:rsidR="00A71EEF" w:rsidRDefault="0081115D">
      <w:pPr>
        <w:pStyle w:val="a4"/>
        <w:numPr>
          <w:ilvl w:val="2"/>
          <w:numId w:val="314"/>
        </w:numPr>
        <w:tabs>
          <w:tab w:val="left" w:pos="1424"/>
        </w:tabs>
        <w:spacing w:line="446" w:lineRule="auto"/>
        <w:ind w:right="1445" w:firstLine="422"/>
        <w:rPr>
          <w:sz w:val="21"/>
        </w:rPr>
      </w:pPr>
      <w:r>
        <w:rPr>
          <w:spacing w:val="-3"/>
          <w:sz w:val="21"/>
        </w:rPr>
        <w:t>空分站，可燃液体、液化烃的</w:t>
      </w:r>
      <w:r>
        <w:rPr>
          <w:spacing w:val="-3"/>
          <w:sz w:val="21"/>
        </w:rPr>
        <w:t>火车和汽车装卸栈台，变电站等室外消火栓设计流量不</w:t>
      </w:r>
      <w:r>
        <w:rPr>
          <w:spacing w:val="-12"/>
          <w:sz w:val="21"/>
        </w:rPr>
        <w:t>应小于表</w:t>
      </w:r>
      <w:r>
        <w:rPr>
          <w:spacing w:val="-12"/>
          <w:sz w:val="21"/>
        </w:rPr>
        <w:t xml:space="preserve"> </w:t>
      </w:r>
      <w:r>
        <w:rPr>
          <w:sz w:val="21"/>
        </w:rPr>
        <w:t>3.4.8</w:t>
      </w:r>
      <w:r>
        <w:rPr>
          <w:spacing w:val="-8"/>
          <w:sz w:val="21"/>
        </w:rPr>
        <w:t xml:space="preserve"> </w:t>
      </w:r>
      <w:r>
        <w:rPr>
          <w:spacing w:val="-8"/>
          <w:sz w:val="21"/>
        </w:rPr>
        <w:t>的规定。当室外变压器采用水喷雾灭火系统全保护时，其室外消火栓给水设计</w:t>
      </w:r>
      <w:r>
        <w:rPr>
          <w:spacing w:val="-13"/>
          <w:sz w:val="21"/>
        </w:rPr>
        <w:t>流量可按表</w:t>
      </w:r>
      <w:r>
        <w:rPr>
          <w:spacing w:val="-13"/>
          <w:sz w:val="21"/>
        </w:rPr>
        <w:t xml:space="preserve"> </w:t>
      </w:r>
      <w:r>
        <w:rPr>
          <w:sz w:val="21"/>
        </w:rPr>
        <w:t>3.4.8</w:t>
      </w:r>
      <w:r>
        <w:rPr>
          <w:spacing w:val="-19"/>
          <w:sz w:val="21"/>
        </w:rPr>
        <w:t xml:space="preserve"> </w:t>
      </w:r>
      <w:r>
        <w:rPr>
          <w:spacing w:val="-19"/>
          <w:sz w:val="21"/>
        </w:rPr>
        <w:t>规定值的</w:t>
      </w:r>
      <w:r>
        <w:rPr>
          <w:spacing w:val="-19"/>
          <w:sz w:val="21"/>
        </w:rPr>
        <w:t xml:space="preserve"> </w:t>
      </w:r>
      <w:r>
        <w:rPr>
          <w:sz w:val="21"/>
        </w:rPr>
        <w:t>50</w:t>
      </w:r>
      <w:r>
        <w:rPr>
          <w:spacing w:val="-9"/>
          <w:sz w:val="21"/>
        </w:rPr>
        <w:t>%</w:t>
      </w:r>
      <w:r>
        <w:rPr>
          <w:spacing w:val="-9"/>
          <w:sz w:val="21"/>
        </w:rPr>
        <w:t>计算，但不应小于</w:t>
      </w:r>
      <w:r>
        <w:rPr>
          <w:spacing w:val="-9"/>
          <w:sz w:val="21"/>
        </w:rPr>
        <w:t xml:space="preserve"> </w:t>
      </w:r>
      <w:r>
        <w:rPr>
          <w:sz w:val="21"/>
        </w:rPr>
        <w:t>15L/s</w:t>
      </w:r>
      <w:r>
        <w:rPr>
          <w:spacing w:val="-3"/>
          <w:sz w:val="21"/>
        </w:rPr>
        <w:t>。</w:t>
      </w:r>
      <w:r>
        <w:rPr>
          <w:sz w:val="21"/>
        </w:rPr>
        <w:t xml:space="preserve"> </w:t>
      </w:r>
    </w:p>
    <w:p w14:paraId="25F5A158" w14:textId="77777777" w:rsidR="00A71EEF" w:rsidRDefault="0081115D">
      <w:pPr>
        <w:pStyle w:val="6"/>
        <w:spacing w:line="268" w:lineRule="exact"/>
        <w:ind w:left="840"/>
      </w:pPr>
      <w:r>
        <w:rPr>
          <w:noProof/>
        </w:rPr>
        <w:drawing>
          <wp:anchor distT="0" distB="0" distL="0" distR="0" simplePos="0" relativeHeight="251644416" behindDoc="0" locked="0" layoutInCell="1" allowOverlap="1" wp14:anchorId="54BD8762" wp14:editId="05FF9F3C">
            <wp:simplePos x="0" y="0"/>
            <wp:positionH relativeFrom="page">
              <wp:posOffset>1341755</wp:posOffset>
            </wp:positionH>
            <wp:positionV relativeFrom="paragraph">
              <wp:posOffset>248431</wp:posOffset>
            </wp:positionV>
            <wp:extent cx="4581525" cy="752475"/>
            <wp:effectExtent l="0" t="0" r="0" b="0"/>
            <wp:wrapTopAndBottom/>
            <wp:docPr id="517" name="image2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image299.jpeg"/>
                    <pic:cNvPicPr/>
                  </pic:nvPicPr>
                  <pic:blipFill>
                    <a:blip r:embed="rId357" cstate="print"/>
                    <a:stretch>
                      <a:fillRect/>
                    </a:stretch>
                  </pic:blipFill>
                  <pic:spPr>
                    <a:xfrm>
                      <a:off x="0" y="0"/>
                      <a:ext cx="4581525" cy="752475"/>
                    </a:xfrm>
                    <a:prstGeom prst="rect">
                      <a:avLst/>
                    </a:prstGeom>
                  </pic:spPr>
                </pic:pic>
              </a:graphicData>
            </a:graphic>
          </wp:anchor>
        </w:drawing>
      </w:r>
      <w:r>
        <w:t>表</w:t>
      </w:r>
      <w:r>
        <w:t xml:space="preserve"> 3.4.8 </w:t>
      </w:r>
      <w:r>
        <w:t>空分站，可燃液体、液化烃的火车和汽车装卸栈台，变电站室外消火栓设计流量</w:t>
      </w:r>
      <w:r>
        <w:rPr>
          <w:w w:val="99"/>
        </w:rPr>
        <w:t xml:space="preserve"> </w:t>
      </w:r>
    </w:p>
    <w:p w14:paraId="5B3B7DE4" w14:textId="77777777" w:rsidR="00A71EEF" w:rsidRDefault="0081115D">
      <w:pPr>
        <w:spacing w:before="179"/>
        <w:ind w:left="840"/>
        <w:rPr>
          <w:b/>
          <w:sz w:val="21"/>
        </w:rPr>
      </w:pPr>
      <w:r>
        <w:rPr>
          <w:b/>
          <w:w w:val="99"/>
          <w:sz w:val="21"/>
        </w:rPr>
        <w:t xml:space="preserve"> </w:t>
      </w:r>
    </w:p>
    <w:p w14:paraId="14597444" w14:textId="77777777" w:rsidR="00A71EEF" w:rsidRDefault="0081115D">
      <w:pPr>
        <w:pStyle w:val="a3"/>
        <w:spacing w:before="12"/>
        <w:rPr>
          <w:b/>
          <w:sz w:val="23"/>
        </w:rPr>
      </w:pPr>
      <w:r>
        <w:rPr>
          <w:noProof/>
        </w:rPr>
        <w:drawing>
          <wp:anchor distT="0" distB="0" distL="0" distR="0" simplePos="0" relativeHeight="251645440" behindDoc="0" locked="0" layoutInCell="1" allowOverlap="1" wp14:anchorId="3A8C721A" wp14:editId="390216DA">
            <wp:simplePos x="0" y="0"/>
            <wp:positionH relativeFrom="page">
              <wp:posOffset>1341755</wp:posOffset>
            </wp:positionH>
            <wp:positionV relativeFrom="paragraph">
              <wp:posOffset>219670</wp:posOffset>
            </wp:positionV>
            <wp:extent cx="4581524" cy="1514475"/>
            <wp:effectExtent l="0" t="0" r="0" b="0"/>
            <wp:wrapTopAndBottom/>
            <wp:docPr id="519" name="image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image300.jpeg"/>
                    <pic:cNvPicPr/>
                  </pic:nvPicPr>
                  <pic:blipFill>
                    <a:blip r:embed="rId358" cstate="print"/>
                    <a:stretch>
                      <a:fillRect/>
                    </a:stretch>
                  </pic:blipFill>
                  <pic:spPr>
                    <a:xfrm>
                      <a:off x="0" y="0"/>
                      <a:ext cx="4581524" cy="1514475"/>
                    </a:xfrm>
                    <a:prstGeom prst="rect">
                      <a:avLst/>
                    </a:prstGeom>
                  </pic:spPr>
                </pic:pic>
              </a:graphicData>
            </a:graphic>
          </wp:anchor>
        </w:drawing>
      </w:r>
    </w:p>
    <w:p w14:paraId="46CDFF6A" w14:textId="77777777" w:rsidR="00A71EEF" w:rsidRDefault="00A71EEF">
      <w:pPr>
        <w:rPr>
          <w:sz w:val="23"/>
        </w:rPr>
        <w:sectPr w:rsidR="00A71EEF">
          <w:pgSz w:w="11910" w:h="16850"/>
          <w:pgMar w:top="1220" w:right="0" w:bottom="1420" w:left="1260" w:header="0" w:footer="1189" w:gutter="0"/>
          <w:cols w:space="720"/>
        </w:sectPr>
      </w:pPr>
    </w:p>
    <w:p w14:paraId="67CC4D83" w14:textId="77777777" w:rsidR="00A71EEF" w:rsidRDefault="0081115D">
      <w:pPr>
        <w:pStyle w:val="a3"/>
        <w:spacing w:before="47" w:line="446" w:lineRule="auto"/>
        <w:ind w:left="418" w:right="1498" w:firstLine="419"/>
      </w:pPr>
      <w:r>
        <w:t>注：当室外油浸变压器单台功率小于</w:t>
      </w:r>
      <w:r>
        <w:t xml:space="preserve"> 300MV·A</w:t>
      </w:r>
      <w:r>
        <w:t>，且周围无其他建筑物和生产生活给水时，</w:t>
      </w:r>
      <w:r>
        <w:t xml:space="preserve"> </w:t>
      </w:r>
      <w:r>
        <w:t>可不设置室外消火栓。</w:t>
      </w:r>
      <w:r>
        <w:t xml:space="preserve"> </w:t>
      </w:r>
    </w:p>
    <w:p w14:paraId="23C689C9" w14:textId="77777777" w:rsidR="00A71EEF" w:rsidRDefault="0081115D">
      <w:pPr>
        <w:pStyle w:val="a4"/>
        <w:numPr>
          <w:ilvl w:val="2"/>
          <w:numId w:val="314"/>
        </w:numPr>
        <w:tabs>
          <w:tab w:val="left" w:pos="1424"/>
        </w:tabs>
        <w:spacing w:line="446" w:lineRule="auto"/>
        <w:ind w:right="1445" w:firstLine="422"/>
        <w:rPr>
          <w:sz w:val="21"/>
        </w:rPr>
      </w:pPr>
      <w:r>
        <w:rPr>
          <w:spacing w:val="-3"/>
          <w:sz w:val="21"/>
        </w:rPr>
        <w:t>装卸油品码头的消防给水设计流量，应按着火油船泡沫灭火设计流量、冷却水系统设计流量、隔离水幕系统设计流量和码头室外消火栓设计流量之和确定，并应符合下列规定：</w:t>
      </w:r>
      <w:r>
        <w:rPr>
          <w:sz w:val="21"/>
        </w:rPr>
        <w:t xml:space="preserve"> </w:t>
      </w:r>
    </w:p>
    <w:p w14:paraId="12A0ACC7" w14:textId="77777777" w:rsidR="00A71EEF" w:rsidRDefault="0081115D">
      <w:pPr>
        <w:pStyle w:val="a3"/>
        <w:spacing w:line="446" w:lineRule="auto"/>
        <w:ind w:left="418" w:right="1609" w:firstLine="419"/>
      </w:pPr>
      <w:r>
        <w:t xml:space="preserve"> </w:t>
      </w:r>
      <w:r>
        <w:t>（</w:t>
      </w:r>
      <w:r>
        <w:t>1</w:t>
      </w:r>
      <w:r>
        <w:t>）</w:t>
      </w:r>
      <w:r>
        <w:rPr>
          <w:spacing w:val="-3"/>
        </w:rPr>
        <w:t>泡沫灭火系统设计流量应按系统扑救着火油船一起火灾的泡沫混合液量及泡沫液混</w:t>
      </w:r>
      <w:r>
        <w:rPr>
          <w:spacing w:val="-4"/>
        </w:rPr>
        <w:t>合比经计算确定，泡沫混合液供给强度、保护范围和连续供给时间不应小于表</w:t>
      </w:r>
      <w:r>
        <w:rPr>
          <w:spacing w:val="-4"/>
        </w:rPr>
        <w:t xml:space="preserve"> </w:t>
      </w:r>
      <w:r>
        <w:t>3.4.9-1</w:t>
      </w:r>
      <w:r>
        <w:rPr>
          <w:spacing w:val="-9"/>
        </w:rPr>
        <w:t xml:space="preserve"> </w:t>
      </w:r>
      <w:r>
        <w:rPr>
          <w:spacing w:val="-9"/>
        </w:rPr>
        <w:t>的规</w:t>
      </w:r>
      <w:r>
        <w:rPr>
          <w:spacing w:val="-5"/>
        </w:rPr>
        <w:t>定，并应符合现行国家标准《泡沫灭火系统设计规范》</w:t>
      </w:r>
      <w:r>
        <w:t>GB 50151</w:t>
      </w:r>
      <w:r>
        <w:rPr>
          <w:spacing w:val="-11"/>
        </w:rPr>
        <w:t xml:space="preserve"> </w:t>
      </w:r>
      <w:r>
        <w:rPr>
          <w:spacing w:val="-11"/>
        </w:rPr>
        <w:t>的有关</w:t>
      </w:r>
      <w:r>
        <w:rPr>
          <w:spacing w:val="-11"/>
        </w:rPr>
        <w:t>规定；</w:t>
      </w:r>
      <w:r>
        <w:rPr>
          <w:spacing w:val="-11"/>
        </w:rPr>
        <w:t xml:space="preserve"> </w:t>
      </w:r>
    </w:p>
    <w:p w14:paraId="39111015" w14:textId="77777777" w:rsidR="00A71EEF" w:rsidRDefault="00A71EEF">
      <w:pPr>
        <w:pStyle w:val="a3"/>
        <w:rPr>
          <w:sz w:val="20"/>
        </w:rPr>
      </w:pPr>
    </w:p>
    <w:p w14:paraId="5EA2BB89" w14:textId="77777777" w:rsidR="00A71EEF" w:rsidRDefault="00A71EEF">
      <w:pPr>
        <w:pStyle w:val="a3"/>
        <w:rPr>
          <w:sz w:val="20"/>
        </w:rPr>
      </w:pPr>
    </w:p>
    <w:p w14:paraId="240162AB" w14:textId="77777777" w:rsidR="00A71EEF" w:rsidRDefault="00A71EEF">
      <w:pPr>
        <w:pStyle w:val="a3"/>
        <w:rPr>
          <w:sz w:val="20"/>
        </w:rPr>
      </w:pPr>
    </w:p>
    <w:p w14:paraId="6433032D" w14:textId="77777777" w:rsidR="00A71EEF" w:rsidRDefault="00A71EEF">
      <w:pPr>
        <w:pStyle w:val="a3"/>
        <w:rPr>
          <w:sz w:val="20"/>
        </w:rPr>
      </w:pPr>
    </w:p>
    <w:p w14:paraId="140DB303" w14:textId="77777777" w:rsidR="00A71EEF" w:rsidRDefault="00A71EEF">
      <w:pPr>
        <w:pStyle w:val="a3"/>
        <w:rPr>
          <w:sz w:val="20"/>
        </w:rPr>
      </w:pPr>
    </w:p>
    <w:p w14:paraId="6C992F83" w14:textId="77777777" w:rsidR="00A71EEF" w:rsidRDefault="00A71EEF">
      <w:pPr>
        <w:pStyle w:val="a3"/>
        <w:rPr>
          <w:sz w:val="20"/>
        </w:rPr>
      </w:pPr>
    </w:p>
    <w:p w14:paraId="4BC0A1FC" w14:textId="77777777" w:rsidR="00A71EEF" w:rsidRDefault="00A71EEF">
      <w:pPr>
        <w:pStyle w:val="a3"/>
        <w:rPr>
          <w:sz w:val="20"/>
        </w:rPr>
      </w:pPr>
    </w:p>
    <w:p w14:paraId="381321E1" w14:textId="77777777" w:rsidR="00A71EEF" w:rsidRDefault="00A71EEF">
      <w:pPr>
        <w:pStyle w:val="a3"/>
        <w:rPr>
          <w:sz w:val="20"/>
        </w:rPr>
      </w:pPr>
    </w:p>
    <w:p w14:paraId="51078CB4" w14:textId="77777777" w:rsidR="00A71EEF" w:rsidRDefault="00A71EEF">
      <w:pPr>
        <w:pStyle w:val="a3"/>
        <w:spacing w:before="5"/>
        <w:rPr>
          <w:sz w:val="29"/>
        </w:rPr>
      </w:pPr>
    </w:p>
    <w:p w14:paraId="29ADB8AC" w14:textId="77777777" w:rsidR="00A71EEF" w:rsidRDefault="0081115D">
      <w:pPr>
        <w:pStyle w:val="6"/>
        <w:spacing w:before="72"/>
        <w:ind w:left="1411"/>
        <w:rPr>
          <w:b w:val="0"/>
        </w:rPr>
      </w:pPr>
      <w:r>
        <w:t>表</w:t>
      </w:r>
      <w:r>
        <w:t xml:space="preserve"> 3.4.9-1 </w:t>
      </w:r>
      <w:r>
        <w:t>油船泡沫灭火系统混合液量的供给强度、保护范围和连续供给时间</w:t>
      </w:r>
      <w:r>
        <w:rPr>
          <w:b w:val="0"/>
        </w:rPr>
        <w:t xml:space="preserve"> </w:t>
      </w:r>
    </w:p>
    <w:p w14:paraId="08926BD0" w14:textId="77777777" w:rsidR="00A71EEF" w:rsidRDefault="00A71EEF">
      <w:pPr>
        <w:pStyle w:val="a3"/>
        <w:rPr>
          <w:sz w:val="20"/>
        </w:rPr>
      </w:pPr>
    </w:p>
    <w:p w14:paraId="743ECF6B" w14:textId="77777777" w:rsidR="00A71EEF" w:rsidRDefault="0081115D">
      <w:pPr>
        <w:pStyle w:val="a3"/>
        <w:spacing w:before="7"/>
        <w:rPr>
          <w:sz w:val="12"/>
        </w:rPr>
      </w:pPr>
      <w:r>
        <w:rPr>
          <w:noProof/>
        </w:rPr>
        <w:drawing>
          <wp:anchor distT="0" distB="0" distL="0" distR="0" simplePos="0" relativeHeight="251646464" behindDoc="0" locked="0" layoutInCell="1" allowOverlap="1" wp14:anchorId="20338702" wp14:editId="73CF1B16">
            <wp:simplePos x="0" y="0"/>
            <wp:positionH relativeFrom="page">
              <wp:posOffset>1304925</wp:posOffset>
            </wp:positionH>
            <wp:positionV relativeFrom="paragraph">
              <wp:posOffset>127083</wp:posOffset>
            </wp:positionV>
            <wp:extent cx="4758265" cy="1136427"/>
            <wp:effectExtent l="0" t="0" r="0" b="0"/>
            <wp:wrapTopAndBottom/>
            <wp:docPr id="521" name="image3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image301.jpeg"/>
                    <pic:cNvPicPr/>
                  </pic:nvPicPr>
                  <pic:blipFill>
                    <a:blip r:embed="rId359" cstate="print"/>
                    <a:stretch>
                      <a:fillRect/>
                    </a:stretch>
                  </pic:blipFill>
                  <pic:spPr>
                    <a:xfrm>
                      <a:off x="0" y="0"/>
                      <a:ext cx="4758265" cy="1136427"/>
                    </a:xfrm>
                    <a:prstGeom prst="rect">
                      <a:avLst/>
                    </a:prstGeom>
                  </pic:spPr>
                </pic:pic>
              </a:graphicData>
            </a:graphic>
          </wp:anchor>
        </w:drawing>
      </w:r>
    </w:p>
    <w:p w14:paraId="28A8394E" w14:textId="77777777" w:rsidR="00A71EEF" w:rsidRDefault="00A71EEF">
      <w:pPr>
        <w:pStyle w:val="a3"/>
        <w:spacing w:before="11"/>
        <w:rPr>
          <w:sz w:val="15"/>
        </w:rPr>
      </w:pPr>
    </w:p>
    <w:p w14:paraId="58AB1B82" w14:textId="77777777" w:rsidR="00A71EEF" w:rsidRDefault="0081115D">
      <w:pPr>
        <w:pStyle w:val="a3"/>
        <w:spacing w:before="1" w:line="446" w:lineRule="auto"/>
        <w:ind w:left="418" w:right="1455" w:firstLine="419"/>
      </w:pPr>
      <w:r>
        <w:t>（</w:t>
      </w:r>
      <w:r>
        <w:t>2</w:t>
      </w:r>
      <w:r>
        <w:t>）油船冷却水系统设计流量应按火灾时着火油舱冷却水保护范围内的油舱甲板面冷却用水量计算确定，冷却水系统保护范围、喷水强度和火灾延续时间不应小于表</w:t>
      </w:r>
      <w:r>
        <w:t xml:space="preserve"> 3.4.9-2 </w:t>
      </w:r>
      <w:r>
        <w:t>的规定；</w:t>
      </w:r>
      <w:r>
        <w:t xml:space="preserve"> </w:t>
      </w:r>
    </w:p>
    <w:p w14:paraId="374B3094" w14:textId="77777777" w:rsidR="00A71EEF" w:rsidRDefault="0081115D">
      <w:pPr>
        <w:pStyle w:val="6"/>
        <w:spacing w:line="267" w:lineRule="exact"/>
        <w:ind w:left="1939"/>
      </w:pPr>
      <w:r>
        <w:rPr>
          <w:noProof/>
        </w:rPr>
        <w:drawing>
          <wp:anchor distT="0" distB="0" distL="0" distR="0" simplePos="0" relativeHeight="251647488" behindDoc="0" locked="0" layoutInCell="1" allowOverlap="1" wp14:anchorId="6B4F0025" wp14:editId="50C56DAC">
            <wp:simplePos x="0" y="0"/>
            <wp:positionH relativeFrom="page">
              <wp:posOffset>1437005</wp:posOffset>
            </wp:positionH>
            <wp:positionV relativeFrom="paragraph">
              <wp:posOffset>251642</wp:posOffset>
            </wp:positionV>
            <wp:extent cx="4486275" cy="1247775"/>
            <wp:effectExtent l="0" t="0" r="0" b="0"/>
            <wp:wrapTopAndBottom/>
            <wp:docPr id="523" name="image3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image302.jpeg"/>
                    <pic:cNvPicPr/>
                  </pic:nvPicPr>
                  <pic:blipFill>
                    <a:blip r:embed="rId360" cstate="print"/>
                    <a:stretch>
                      <a:fillRect/>
                    </a:stretch>
                  </pic:blipFill>
                  <pic:spPr>
                    <a:xfrm>
                      <a:off x="0" y="0"/>
                      <a:ext cx="4486275" cy="1247775"/>
                    </a:xfrm>
                    <a:prstGeom prst="rect">
                      <a:avLst/>
                    </a:prstGeom>
                  </pic:spPr>
                </pic:pic>
              </a:graphicData>
            </a:graphic>
          </wp:anchor>
        </w:drawing>
      </w:r>
      <w:r>
        <w:t>表</w:t>
      </w:r>
      <w:r>
        <w:t xml:space="preserve"> 3.4.9-2 </w:t>
      </w:r>
      <w:r>
        <w:t>油船冷却水系统的保护范围、喷水强度和火灾延续时间</w:t>
      </w:r>
      <w:r>
        <w:rPr>
          <w:w w:val="99"/>
        </w:rPr>
        <w:t xml:space="preserve"> </w:t>
      </w:r>
    </w:p>
    <w:p w14:paraId="5A937C40" w14:textId="77777777" w:rsidR="00A71EEF" w:rsidRDefault="0081115D">
      <w:pPr>
        <w:pStyle w:val="a3"/>
        <w:spacing w:before="164" w:line="446" w:lineRule="auto"/>
        <w:ind w:left="418" w:right="1609" w:firstLine="419"/>
      </w:pPr>
      <w:r>
        <w:t>注：</w:t>
      </w:r>
      <w:r>
        <w:t>1.</w:t>
      </w:r>
      <w:r>
        <w:t>当油船发生火灾时，陆上消防设备所提供的冷却油舱甲板面的冷却设计流量不应小于全部冷却水用量的</w:t>
      </w:r>
      <w:r>
        <w:t xml:space="preserve"> 50%</w:t>
      </w:r>
      <w:r>
        <w:t>；</w:t>
      </w:r>
      <w:r>
        <w:t xml:space="preserve"> </w:t>
      </w:r>
    </w:p>
    <w:p w14:paraId="67127EF6" w14:textId="77777777" w:rsidR="00A71EEF" w:rsidRDefault="0081115D">
      <w:pPr>
        <w:pStyle w:val="a4"/>
        <w:numPr>
          <w:ilvl w:val="0"/>
          <w:numId w:val="306"/>
        </w:numPr>
        <w:tabs>
          <w:tab w:val="left" w:pos="1051"/>
        </w:tabs>
        <w:rPr>
          <w:sz w:val="21"/>
        </w:rPr>
      </w:pPr>
      <w:r>
        <w:rPr>
          <w:spacing w:val="-5"/>
          <w:sz w:val="21"/>
        </w:rPr>
        <w:t>当配备水上消防设施进行监护时，陆上消防设备冷却水供给时间可缩短至</w:t>
      </w:r>
      <w:r>
        <w:rPr>
          <w:spacing w:val="-5"/>
          <w:sz w:val="21"/>
        </w:rPr>
        <w:t xml:space="preserve"> </w:t>
      </w:r>
      <w:r>
        <w:rPr>
          <w:sz w:val="21"/>
        </w:rPr>
        <w:t>4h</w:t>
      </w:r>
      <w:r>
        <w:rPr>
          <w:spacing w:val="-3"/>
          <w:sz w:val="21"/>
        </w:rPr>
        <w:t>。</w:t>
      </w:r>
      <w:r>
        <w:rPr>
          <w:sz w:val="21"/>
        </w:rPr>
        <w:t xml:space="preserve"> </w:t>
      </w:r>
    </w:p>
    <w:p w14:paraId="4B9D89CB" w14:textId="77777777" w:rsidR="00A71EEF" w:rsidRDefault="00A71EEF">
      <w:pPr>
        <w:rPr>
          <w:sz w:val="21"/>
        </w:rPr>
        <w:sectPr w:rsidR="00A71EEF">
          <w:pgSz w:w="11910" w:h="16850"/>
          <w:pgMar w:top="1220" w:right="0" w:bottom="1420" w:left="1260" w:header="0" w:footer="1189" w:gutter="0"/>
          <w:cols w:space="720"/>
        </w:sectPr>
      </w:pPr>
    </w:p>
    <w:p w14:paraId="75BC1632" w14:textId="77777777" w:rsidR="00A71EEF" w:rsidRDefault="0081115D">
      <w:pPr>
        <w:pStyle w:val="a3"/>
        <w:ind w:left="617"/>
        <w:rPr>
          <w:sz w:val="20"/>
        </w:rPr>
      </w:pPr>
      <w:r>
        <w:rPr>
          <w:sz w:val="20"/>
        </w:rPr>
      </w:r>
      <w:r>
        <w:rPr>
          <w:sz w:val="20"/>
        </w:rPr>
        <w:pict w14:anchorId="34206E08">
          <v:group id="_x0000_s1135" style="width:376.4pt;height:136.3pt;mso-position-horizontal-relative:char;mso-position-vertical-relative:line" coordsize="7528,2726">
            <v:shape id="_x0000_s1137" type="#_x0000_t75" style="position:absolute;top:584;width:6963;height:2142">
              <v:imagedata r:id="rId361" o:title=""/>
            </v:shape>
            <v:shape id="_x0000_s1136" type="#_x0000_t75" style="position:absolute;left:268;width:7260;height:1755">
              <v:imagedata r:id="rId362" o:title=""/>
            </v:shape>
            <w10:anchorlock/>
          </v:group>
        </w:pict>
      </w:r>
    </w:p>
    <w:p w14:paraId="4BAC7A1E" w14:textId="77777777" w:rsidR="00A71EEF" w:rsidRDefault="00A71EEF">
      <w:pPr>
        <w:pStyle w:val="a3"/>
        <w:spacing w:before="4"/>
        <w:rPr>
          <w:sz w:val="8"/>
        </w:rPr>
      </w:pPr>
    </w:p>
    <w:p w14:paraId="32D5B7C7" w14:textId="77777777" w:rsidR="00A71EEF" w:rsidRDefault="0081115D">
      <w:pPr>
        <w:pStyle w:val="a4"/>
        <w:numPr>
          <w:ilvl w:val="0"/>
          <w:numId w:val="306"/>
        </w:numPr>
        <w:tabs>
          <w:tab w:val="left" w:pos="1051"/>
        </w:tabs>
        <w:spacing w:before="72"/>
        <w:rPr>
          <w:sz w:val="21"/>
        </w:rPr>
      </w:pPr>
      <w:r>
        <w:rPr>
          <w:spacing w:val="-3"/>
          <w:sz w:val="21"/>
        </w:rPr>
        <w:t>着火油船冷却范围应按下式计算：</w:t>
      </w:r>
      <w:r>
        <w:rPr>
          <w:sz w:val="21"/>
        </w:rPr>
        <w:t xml:space="preserve"> </w:t>
      </w:r>
    </w:p>
    <w:p w14:paraId="4BF80FD4" w14:textId="77777777" w:rsidR="00A71EEF" w:rsidRDefault="00A71EEF">
      <w:pPr>
        <w:pStyle w:val="a3"/>
        <w:rPr>
          <w:sz w:val="18"/>
        </w:rPr>
      </w:pPr>
    </w:p>
    <w:p w14:paraId="06841D3F" w14:textId="77777777" w:rsidR="00A71EEF" w:rsidRDefault="0081115D">
      <w:pPr>
        <w:pStyle w:val="a3"/>
        <w:spacing w:line="446" w:lineRule="auto"/>
        <w:ind w:left="838" w:right="5077"/>
      </w:pPr>
      <w:r>
        <w:t>（</w:t>
      </w:r>
      <w:r>
        <w:t>4</w:t>
      </w:r>
      <w:r>
        <w:t>）隔离水幕系统的设计流量应符合下列规定：</w:t>
      </w:r>
      <w:r>
        <w:t xml:space="preserve"> 1</w:t>
      </w:r>
      <w:r>
        <w:t>）喷水强度宜为</w:t>
      </w:r>
      <w:r>
        <w:t xml:space="preserve"> 1.0</w:t>
      </w:r>
      <w:r>
        <w:t>～</w:t>
      </w:r>
      <w:r>
        <w:t>2.0L/</w:t>
      </w:r>
      <w:r>
        <w:t>（</w:t>
      </w:r>
      <w:r>
        <w:t>s·m</w:t>
      </w:r>
      <w:r>
        <w:t>）；</w:t>
      </w:r>
      <w:r>
        <w:t xml:space="preserve"> </w:t>
      </w:r>
    </w:p>
    <w:p w14:paraId="1562BC93" w14:textId="77777777" w:rsidR="00A71EEF" w:rsidRDefault="0081115D">
      <w:pPr>
        <w:pStyle w:val="a4"/>
        <w:numPr>
          <w:ilvl w:val="0"/>
          <w:numId w:val="305"/>
        </w:numPr>
        <w:tabs>
          <w:tab w:val="left" w:pos="1156"/>
        </w:tabs>
        <w:rPr>
          <w:sz w:val="21"/>
        </w:rPr>
      </w:pPr>
      <w:r>
        <w:rPr>
          <w:spacing w:val="-6"/>
          <w:sz w:val="21"/>
        </w:rPr>
        <w:t>保护范围宜为装卸设备的两端各延伸</w:t>
      </w:r>
      <w:r>
        <w:rPr>
          <w:spacing w:val="-6"/>
          <w:sz w:val="21"/>
        </w:rPr>
        <w:t xml:space="preserve"> </w:t>
      </w:r>
      <w:r>
        <w:rPr>
          <w:sz w:val="21"/>
        </w:rPr>
        <w:t>5m</w:t>
      </w:r>
      <w:r>
        <w:rPr>
          <w:spacing w:val="-7"/>
          <w:sz w:val="21"/>
        </w:rPr>
        <w:t>，水幕喷射高度宜高于被保护对象</w:t>
      </w:r>
      <w:r>
        <w:rPr>
          <w:spacing w:val="-7"/>
          <w:sz w:val="21"/>
        </w:rPr>
        <w:t xml:space="preserve"> </w:t>
      </w:r>
      <w:r>
        <w:rPr>
          <w:sz w:val="21"/>
        </w:rPr>
        <w:t>1.50m</w:t>
      </w:r>
      <w:r>
        <w:rPr>
          <w:sz w:val="21"/>
        </w:rPr>
        <w:t>；</w:t>
      </w:r>
      <w:r>
        <w:rPr>
          <w:sz w:val="21"/>
        </w:rPr>
        <w:t xml:space="preserve"> </w:t>
      </w:r>
    </w:p>
    <w:p w14:paraId="07E92035" w14:textId="77777777" w:rsidR="00A71EEF" w:rsidRDefault="00A71EEF">
      <w:pPr>
        <w:pStyle w:val="a3"/>
        <w:spacing w:before="12"/>
        <w:rPr>
          <w:sz w:val="17"/>
        </w:rPr>
      </w:pPr>
    </w:p>
    <w:p w14:paraId="15854BB3" w14:textId="77777777" w:rsidR="00A71EEF" w:rsidRDefault="0081115D">
      <w:pPr>
        <w:pStyle w:val="a4"/>
        <w:numPr>
          <w:ilvl w:val="0"/>
          <w:numId w:val="305"/>
        </w:numPr>
        <w:tabs>
          <w:tab w:val="left" w:pos="1156"/>
        </w:tabs>
        <w:rPr>
          <w:sz w:val="21"/>
        </w:rPr>
      </w:pPr>
      <w:r>
        <w:rPr>
          <w:spacing w:val="-8"/>
          <w:sz w:val="21"/>
        </w:rPr>
        <w:t>火灾延续时间不应小于</w:t>
      </w:r>
      <w:r>
        <w:rPr>
          <w:spacing w:val="-8"/>
          <w:sz w:val="21"/>
        </w:rPr>
        <w:t xml:space="preserve"> </w:t>
      </w:r>
      <w:r>
        <w:rPr>
          <w:sz w:val="21"/>
        </w:rPr>
        <w:t>1.0h</w:t>
      </w:r>
      <w:r>
        <w:rPr>
          <w:spacing w:val="-3"/>
          <w:sz w:val="21"/>
        </w:rPr>
        <w:t>，并应满足现行国家标准《自动喷水灭火系统设计规范》</w:t>
      </w:r>
      <w:r>
        <w:rPr>
          <w:sz w:val="21"/>
        </w:rPr>
        <w:t xml:space="preserve">GB </w:t>
      </w:r>
    </w:p>
    <w:p w14:paraId="35B5DF94" w14:textId="77777777" w:rsidR="00A71EEF" w:rsidRDefault="00A71EEF">
      <w:pPr>
        <w:pStyle w:val="a3"/>
        <w:spacing w:before="12"/>
        <w:rPr>
          <w:sz w:val="17"/>
        </w:rPr>
      </w:pPr>
    </w:p>
    <w:p w14:paraId="1D4F0A88" w14:textId="77777777" w:rsidR="00A71EEF" w:rsidRDefault="0081115D">
      <w:pPr>
        <w:pStyle w:val="a3"/>
        <w:ind w:left="418"/>
      </w:pPr>
      <w:r>
        <w:t xml:space="preserve">50084 </w:t>
      </w:r>
      <w:r>
        <w:t>的有关规定。</w:t>
      </w:r>
      <w:r>
        <w:t xml:space="preserve"> </w:t>
      </w:r>
    </w:p>
    <w:p w14:paraId="7C53CE1B" w14:textId="77777777" w:rsidR="00A71EEF" w:rsidRDefault="00A71EEF">
      <w:pPr>
        <w:pStyle w:val="a3"/>
        <w:spacing w:before="2"/>
        <w:rPr>
          <w:sz w:val="18"/>
        </w:rPr>
      </w:pPr>
    </w:p>
    <w:p w14:paraId="3616E5AF" w14:textId="77777777" w:rsidR="00A71EEF" w:rsidRDefault="0081115D">
      <w:pPr>
        <w:pStyle w:val="a3"/>
        <w:ind w:left="838"/>
      </w:pPr>
      <w:r>
        <w:t xml:space="preserve"> </w:t>
      </w:r>
      <w:r>
        <w:t>（</w:t>
      </w:r>
      <w:r>
        <w:t>5</w:t>
      </w:r>
      <w:r>
        <w:t>）油品码头的室外消火栓设计流量不应小于表</w:t>
      </w:r>
      <w:r>
        <w:t xml:space="preserve"> 3.4.9-3 </w:t>
      </w:r>
      <w:r>
        <w:t>的规定。</w:t>
      </w:r>
      <w:r>
        <w:t xml:space="preserve"> </w:t>
      </w:r>
    </w:p>
    <w:p w14:paraId="2776386D" w14:textId="77777777" w:rsidR="00A71EEF" w:rsidRDefault="00A71EEF">
      <w:pPr>
        <w:pStyle w:val="a3"/>
        <w:spacing w:before="12"/>
        <w:rPr>
          <w:sz w:val="17"/>
        </w:rPr>
      </w:pPr>
    </w:p>
    <w:p w14:paraId="7D5F7CDE" w14:textId="77777777" w:rsidR="00A71EEF" w:rsidRDefault="0081115D">
      <w:pPr>
        <w:pStyle w:val="6"/>
        <w:ind w:left="2993"/>
      </w:pPr>
      <w:r>
        <w:t>表</w:t>
      </w:r>
      <w:r>
        <w:t xml:space="preserve"> 3.4.9-3 </w:t>
      </w:r>
      <w:r>
        <w:t>油品码头的室外消火栓设计流量</w:t>
      </w:r>
      <w:r>
        <w:rPr>
          <w:w w:val="99"/>
        </w:rPr>
        <w:t xml:space="preserve"> </w:t>
      </w:r>
    </w:p>
    <w:p w14:paraId="53465798" w14:textId="77777777" w:rsidR="00A71EEF" w:rsidRDefault="00A71EEF">
      <w:pPr>
        <w:pStyle w:val="a3"/>
        <w:rPr>
          <w:b/>
          <w:sz w:val="18"/>
        </w:rPr>
      </w:pPr>
    </w:p>
    <w:p w14:paraId="4C9B414D" w14:textId="77777777" w:rsidR="00A71EEF" w:rsidRDefault="0081115D">
      <w:pPr>
        <w:pStyle w:val="a4"/>
        <w:numPr>
          <w:ilvl w:val="2"/>
          <w:numId w:val="314"/>
        </w:numPr>
        <w:tabs>
          <w:tab w:val="left" w:pos="1530"/>
        </w:tabs>
        <w:spacing w:line="444" w:lineRule="auto"/>
        <w:ind w:right="1453" w:firstLine="422"/>
        <w:rPr>
          <w:sz w:val="21"/>
        </w:rPr>
      </w:pPr>
      <w:r>
        <w:rPr>
          <w:spacing w:val="-5"/>
          <w:sz w:val="21"/>
        </w:rPr>
        <w:t>液化石油气船的消防给水设计流量应按着火罐与距着火罐</w:t>
      </w:r>
      <w:r>
        <w:rPr>
          <w:spacing w:val="-5"/>
          <w:sz w:val="21"/>
        </w:rPr>
        <w:t xml:space="preserve"> </w:t>
      </w:r>
      <w:r>
        <w:rPr>
          <w:sz w:val="21"/>
        </w:rPr>
        <w:t>1.5</w:t>
      </w:r>
      <w:r>
        <w:rPr>
          <w:spacing w:val="-8"/>
          <w:sz w:val="21"/>
        </w:rPr>
        <w:t xml:space="preserve"> </w:t>
      </w:r>
      <w:r>
        <w:rPr>
          <w:spacing w:val="-8"/>
          <w:sz w:val="21"/>
        </w:rPr>
        <w:t>倍着火罐直径范</w:t>
      </w:r>
      <w:r>
        <w:rPr>
          <w:spacing w:val="-8"/>
          <w:sz w:val="21"/>
        </w:rPr>
        <w:t>围内</w:t>
      </w:r>
      <w:r>
        <w:rPr>
          <w:spacing w:val="-5"/>
          <w:sz w:val="21"/>
        </w:rPr>
        <w:t>罐组的冷却水系统设计流量与室外消火栓设计流量之和确定；着火罐和邻近罐的冷却面积均应</w:t>
      </w:r>
      <w:r>
        <w:rPr>
          <w:spacing w:val="-5"/>
          <w:sz w:val="21"/>
        </w:rPr>
        <w:t xml:space="preserve"> </w:t>
      </w:r>
      <w:r>
        <w:rPr>
          <w:spacing w:val="-5"/>
          <w:sz w:val="21"/>
        </w:rPr>
        <w:t>取设计船型最大储罐甲板以上部分的表面积，并不应小于储罐总表面积的</w:t>
      </w:r>
      <w:r>
        <w:rPr>
          <w:spacing w:val="-5"/>
          <w:sz w:val="21"/>
        </w:rPr>
        <w:t xml:space="preserve"> </w:t>
      </w:r>
      <w:r>
        <w:rPr>
          <w:sz w:val="21"/>
        </w:rPr>
        <w:t>1/2</w:t>
      </w:r>
      <w:r>
        <w:rPr>
          <w:sz w:val="21"/>
        </w:rPr>
        <w:t>，</w:t>
      </w:r>
      <w:r>
        <w:rPr>
          <w:spacing w:val="-3"/>
          <w:sz w:val="21"/>
        </w:rPr>
        <w:t>着火罐冷却水喷</w:t>
      </w:r>
      <w:r>
        <w:rPr>
          <w:spacing w:val="-11"/>
          <w:sz w:val="21"/>
        </w:rPr>
        <w:t>水强度应为</w:t>
      </w:r>
      <w:r>
        <w:rPr>
          <w:spacing w:val="-11"/>
          <w:sz w:val="21"/>
        </w:rPr>
        <w:t xml:space="preserve"> </w:t>
      </w:r>
      <w:r>
        <w:rPr>
          <w:sz w:val="21"/>
        </w:rPr>
        <w:t>10.0L/</w:t>
      </w:r>
      <w:r>
        <w:rPr>
          <w:sz w:val="21"/>
        </w:rPr>
        <w:t>（</w:t>
      </w:r>
      <w:r>
        <w:rPr>
          <w:sz w:val="21"/>
        </w:rPr>
        <w:t>min·m</w:t>
      </w:r>
      <w:r>
        <w:rPr>
          <w:position w:val="11"/>
          <w:sz w:val="11"/>
        </w:rPr>
        <w:t>2</w:t>
      </w:r>
      <w:r>
        <w:rPr>
          <w:sz w:val="21"/>
        </w:rPr>
        <w:t>）</w:t>
      </w:r>
      <w:r>
        <w:rPr>
          <w:spacing w:val="-7"/>
          <w:sz w:val="21"/>
        </w:rPr>
        <w:t>，邻近罐冷却水喷水强度应为</w:t>
      </w:r>
      <w:r>
        <w:rPr>
          <w:spacing w:val="-7"/>
          <w:sz w:val="21"/>
        </w:rPr>
        <w:t xml:space="preserve"> </w:t>
      </w:r>
      <w:r>
        <w:rPr>
          <w:sz w:val="21"/>
        </w:rPr>
        <w:t>5.0L/</w:t>
      </w:r>
      <w:r>
        <w:rPr>
          <w:sz w:val="21"/>
        </w:rPr>
        <w:t>（</w:t>
      </w:r>
      <w:r>
        <w:rPr>
          <w:sz w:val="21"/>
        </w:rPr>
        <w:t>min·m</w:t>
      </w:r>
      <w:r>
        <w:rPr>
          <w:position w:val="11"/>
          <w:sz w:val="11"/>
        </w:rPr>
        <w:t>2</w:t>
      </w:r>
      <w:r>
        <w:rPr>
          <w:sz w:val="21"/>
        </w:rPr>
        <w:t>）</w:t>
      </w:r>
      <w:r>
        <w:rPr>
          <w:spacing w:val="-2"/>
          <w:sz w:val="21"/>
        </w:rPr>
        <w:t>；室外消火栓设</w:t>
      </w:r>
      <w:r>
        <w:rPr>
          <w:spacing w:val="-8"/>
          <w:sz w:val="21"/>
        </w:rPr>
        <w:t>计流量不应小于本规范表</w:t>
      </w:r>
      <w:r>
        <w:rPr>
          <w:spacing w:val="-8"/>
          <w:sz w:val="21"/>
        </w:rPr>
        <w:t xml:space="preserve"> </w:t>
      </w:r>
      <w:r>
        <w:rPr>
          <w:sz w:val="21"/>
        </w:rPr>
        <w:t>3.4.9-3</w:t>
      </w:r>
      <w:r>
        <w:rPr>
          <w:spacing w:val="-13"/>
          <w:sz w:val="21"/>
        </w:rPr>
        <w:t xml:space="preserve"> </w:t>
      </w:r>
      <w:r>
        <w:rPr>
          <w:spacing w:val="-13"/>
          <w:sz w:val="21"/>
        </w:rPr>
        <w:t>的规定。</w:t>
      </w:r>
      <w:r>
        <w:rPr>
          <w:sz w:val="21"/>
        </w:rPr>
        <w:t xml:space="preserve"> </w:t>
      </w:r>
    </w:p>
    <w:p w14:paraId="7B251411" w14:textId="77777777" w:rsidR="00A71EEF" w:rsidRDefault="0081115D">
      <w:pPr>
        <w:pStyle w:val="a4"/>
        <w:numPr>
          <w:ilvl w:val="2"/>
          <w:numId w:val="314"/>
        </w:numPr>
        <w:tabs>
          <w:tab w:val="left" w:pos="1530"/>
        </w:tabs>
        <w:spacing w:before="2" w:line="446" w:lineRule="auto"/>
        <w:ind w:right="1505" w:firstLine="422"/>
        <w:jc w:val="both"/>
        <w:rPr>
          <w:sz w:val="21"/>
        </w:rPr>
      </w:pPr>
      <w:r>
        <w:rPr>
          <w:spacing w:val="-3"/>
          <w:sz w:val="21"/>
        </w:rPr>
        <w:t>液化石油气加气站的消防给水设计流量，应按固定冷却水系统设计流量与室外消火</w:t>
      </w:r>
      <w:r>
        <w:rPr>
          <w:spacing w:val="-5"/>
          <w:sz w:val="21"/>
        </w:rPr>
        <w:t>栓设计流量之和确定，固定冷却水系统设计流量应按表</w:t>
      </w:r>
      <w:r>
        <w:rPr>
          <w:spacing w:val="-5"/>
          <w:sz w:val="21"/>
        </w:rPr>
        <w:t xml:space="preserve"> </w:t>
      </w:r>
      <w:r>
        <w:rPr>
          <w:sz w:val="21"/>
        </w:rPr>
        <w:t>3.4.11-1</w:t>
      </w:r>
      <w:r>
        <w:rPr>
          <w:spacing w:val="-7"/>
          <w:sz w:val="21"/>
        </w:rPr>
        <w:t xml:space="preserve"> </w:t>
      </w:r>
      <w:r>
        <w:rPr>
          <w:spacing w:val="-7"/>
          <w:sz w:val="21"/>
        </w:rPr>
        <w:t>规定的设计参数经计算确定，</w:t>
      </w:r>
      <w:r>
        <w:rPr>
          <w:spacing w:val="-7"/>
          <w:sz w:val="21"/>
        </w:rPr>
        <w:t xml:space="preserve"> </w:t>
      </w:r>
      <w:r>
        <w:rPr>
          <w:spacing w:val="-8"/>
          <w:sz w:val="21"/>
        </w:rPr>
        <w:t>室外消火栓设计流量不应小于表</w:t>
      </w:r>
      <w:r>
        <w:rPr>
          <w:spacing w:val="-8"/>
          <w:sz w:val="21"/>
        </w:rPr>
        <w:t xml:space="preserve"> </w:t>
      </w:r>
      <w:r>
        <w:rPr>
          <w:sz w:val="21"/>
        </w:rPr>
        <w:t>3.4.11-2</w:t>
      </w:r>
      <w:r>
        <w:rPr>
          <w:spacing w:val="-8"/>
          <w:sz w:val="21"/>
        </w:rPr>
        <w:t xml:space="preserve"> </w:t>
      </w:r>
      <w:r>
        <w:rPr>
          <w:spacing w:val="-8"/>
          <w:sz w:val="21"/>
        </w:rPr>
        <w:t>的规定；当仅采用移动式冷却系统时，室外消火栓的</w:t>
      </w:r>
      <w:r>
        <w:rPr>
          <w:spacing w:val="-12"/>
          <w:sz w:val="21"/>
        </w:rPr>
        <w:t>设计流量应按表</w:t>
      </w:r>
      <w:r>
        <w:rPr>
          <w:spacing w:val="-12"/>
          <w:sz w:val="21"/>
        </w:rPr>
        <w:t xml:space="preserve"> </w:t>
      </w:r>
      <w:r>
        <w:rPr>
          <w:sz w:val="21"/>
        </w:rPr>
        <w:t>3.4.11-1</w:t>
      </w:r>
      <w:r>
        <w:rPr>
          <w:spacing w:val="-12"/>
          <w:sz w:val="21"/>
        </w:rPr>
        <w:t xml:space="preserve"> </w:t>
      </w:r>
      <w:r>
        <w:rPr>
          <w:spacing w:val="-12"/>
          <w:sz w:val="21"/>
        </w:rPr>
        <w:t>规定的设计参数计算，且不应小于</w:t>
      </w:r>
      <w:r>
        <w:rPr>
          <w:spacing w:val="-12"/>
          <w:sz w:val="21"/>
        </w:rPr>
        <w:t xml:space="preserve"> </w:t>
      </w:r>
      <w:r>
        <w:rPr>
          <w:sz w:val="21"/>
        </w:rPr>
        <w:t>15L/s</w:t>
      </w:r>
      <w:r>
        <w:rPr>
          <w:spacing w:val="-3"/>
          <w:sz w:val="21"/>
        </w:rPr>
        <w:t>。</w:t>
      </w:r>
      <w:r>
        <w:rPr>
          <w:sz w:val="21"/>
        </w:rPr>
        <w:t xml:space="preserve"> </w:t>
      </w:r>
    </w:p>
    <w:p w14:paraId="587FBBFF" w14:textId="77777777" w:rsidR="00A71EEF" w:rsidRDefault="0081115D">
      <w:pPr>
        <w:pStyle w:val="6"/>
        <w:spacing w:line="267" w:lineRule="exact"/>
        <w:ind w:left="1778"/>
        <w:jc w:val="both"/>
      </w:pPr>
      <w:r>
        <w:t>表</w:t>
      </w:r>
      <w:r>
        <w:t xml:space="preserve"> 3.4.11-1 </w:t>
      </w:r>
      <w:r>
        <w:t>液化石油气加气站地上储罐冷却系统保护范围和喷水强度</w:t>
      </w:r>
      <w:r>
        <w:rPr>
          <w:w w:val="99"/>
        </w:rPr>
        <w:t xml:space="preserve"> </w:t>
      </w:r>
    </w:p>
    <w:p w14:paraId="375C0E2A" w14:textId="77777777" w:rsidR="00A71EEF" w:rsidRDefault="0081115D">
      <w:pPr>
        <w:pStyle w:val="a3"/>
        <w:spacing w:before="11"/>
        <w:rPr>
          <w:b/>
          <w:sz w:val="24"/>
        </w:rPr>
      </w:pPr>
      <w:r>
        <w:rPr>
          <w:noProof/>
        </w:rPr>
        <w:drawing>
          <wp:anchor distT="0" distB="0" distL="0" distR="0" simplePos="0" relativeHeight="251648512" behindDoc="0" locked="0" layoutInCell="1" allowOverlap="1" wp14:anchorId="5B29F69B" wp14:editId="73E68002">
            <wp:simplePos x="0" y="0"/>
            <wp:positionH relativeFrom="page">
              <wp:posOffset>1304925</wp:posOffset>
            </wp:positionH>
            <wp:positionV relativeFrom="paragraph">
              <wp:posOffset>227196</wp:posOffset>
            </wp:positionV>
            <wp:extent cx="4790992" cy="1422368"/>
            <wp:effectExtent l="0" t="0" r="0" b="0"/>
            <wp:wrapTopAndBottom/>
            <wp:docPr id="525" name="image3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image305.jpeg"/>
                    <pic:cNvPicPr/>
                  </pic:nvPicPr>
                  <pic:blipFill>
                    <a:blip r:embed="rId363" cstate="print"/>
                    <a:stretch>
                      <a:fillRect/>
                    </a:stretch>
                  </pic:blipFill>
                  <pic:spPr>
                    <a:xfrm>
                      <a:off x="0" y="0"/>
                      <a:ext cx="4790992" cy="1422368"/>
                    </a:xfrm>
                    <a:prstGeom prst="rect">
                      <a:avLst/>
                    </a:prstGeom>
                  </pic:spPr>
                </pic:pic>
              </a:graphicData>
            </a:graphic>
          </wp:anchor>
        </w:drawing>
      </w:r>
    </w:p>
    <w:p w14:paraId="619823A4" w14:textId="77777777" w:rsidR="00A71EEF" w:rsidRDefault="00A71EEF">
      <w:pPr>
        <w:rPr>
          <w:sz w:val="24"/>
        </w:rPr>
        <w:sectPr w:rsidR="00A71EEF">
          <w:pgSz w:w="11910" w:h="16850"/>
          <w:pgMar w:top="1080" w:right="0" w:bottom="1380" w:left="1260" w:header="0" w:footer="1189" w:gutter="0"/>
          <w:cols w:space="720"/>
        </w:sectPr>
      </w:pPr>
    </w:p>
    <w:p w14:paraId="249C483C" w14:textId="77777777" w:rsidR="00A71EEF" w:rsidRDefault="0081115D">
      <w:pPr>
        <w:spacing w:before="47"/>
        <w:ind w:right="3114"/>
        <w:jc w:val="right"/>
        <w:rPr>
          <w:sz w:val="21"/>
        </w:rPr>
      </w:pPr>
      <w:r>
        <w:rPr>
          <w:b/>
          <w:spacing w:val="-26"/>
          <w:sz w:val="21"/>
        </w:rPr>
        <w:t>表</w:t>
      </w:r>
      <w:r>
        <w:rPr>
          <w:b/>
          <w:spacing w:val="-26"/>
          <w:sz w:val="21"/>
        </w:rPr>
        <w:t xml:space="preserve"> </w:t>
      </w:r>
      <w:r>
        <w:rPr>
          <w:b/>
          <w:sz w:val="21"/>
        </w:rPr>
        <w:t>3.4.11-2</w:t>
      </w:r>
      <w:r>
        <w:rPr>
          <w:b/>
          <w:spacing w:val="-3"/>
          <w:sz w:val="21"/>
        </w:rPr>
        <w:t xml:space="preserve"> </w:t>
      </w:r>
      <w:r>
        <w:rPr>
          <w:b/>
          <w:spacing w:val="-3"/>
          <w:sz w:val="21"/>
        </w:rPr>
        <w:t>液化石油气加气站室外消火栓设计流量</w:t>
      </w:r>
      <w:r>
        <w:rPr>
          <w:spacing w:val="-3"/>
          <w:sz w:val="21"/>
        </w:rPr>
        <w:t xml:space="preserve"> </w:t>
      </w:r>
    </w:p>
    <w:p w14:paraId="1A8BF0BA" w14:textId="77777777" w:rsidR="00A71EEF" w:rsidRDefault="00A71EEF">
      <w:pPr>
        <w:pStyle w:val="a3"/>
        <w:rPr>
          <w:sz w:val="18"/>
        </w:rPr>
      </w:pPr>
    </w:p>
    <w:p w14:paraId="059EDBA0" w14:textId="77777777" w:rsidR="00A71EEF" w:rsidRDefault="0081115D">
      <w:pPr>
        <w:pStyle w:val="a3"/>
        <w:ind w:right="3080"/>
        <w:jc w:val="right"/>
      </w:pPr>
      <w:r>
        <w:rPr>
          <w:spacing w:val="-6"/>
        </w:rPr>
        <w:t>注：着火罐的直径与长度之和</w:t>
      </w:r>
      <w:r>
        <w:rPr>
          <w:spacing w:val="-6"/>
        </w:rPr>
        <w:t xml:space="preserve"> </w:t>
      </w:r>
      <w:r>
        <w:t>0.75</w:t>
      </w:r>
      <w:r>
        <w:rPr>
          <w:spacing w:val="-8"/>
        </w:rPr>
        <w:t xml:space="preserve"> </w:t>
      </w:r>
      <w:r>
        <w:rPr>
          <w:spacing w:val="-8"/>
        </w:rPr>
        <w:t>倍范围内的邻近地上罐应进行冷却。</w:t>
      </w:r>
      <w:r>
        <w:t xml:space="preserve"> </w:t>
      </w:r>
    </w:p>
    <w:p w14:paraId="3A5C4A9D" w14:textId="77777777" w:rsidR="00A71EEF" w:rsidRDefault="00A71EEF">
      <w:pPr>
        <w:pStyle w:val="a3"/>
        <w:rPr>
          <w:sz w:val="20"/>
        </w:rPr>
      </w:pPr>
    </w:p>
    <w:p w14:paraId="01A73970" w14:textId="77777777" w:rsidR="00A71EEF" w:rsidRDefault="0081115D">
      <w:pPr>
        <w:pStyle w:val="a3"/>
        <w:spacing w:before="5"/>
        <w:rPr>
          <w:sz w:val="14"/>
        </w:rPr>
      </w:pPr>
      <w:r>
        <w:rPr>
          <w:noProof/>
        </w:rPr>
        <w:drawing>
          <wp:anchor distT="0" distB="0" distL="0" distR="0" simplePos="0" relativeHeight="251649536" behindDoc="0" locked="0" layoutInCell="1" allowOverlap="1" wp14:anchorId="6CC9B58D" wp14:editId="1146C090">
            <wp:simplePos x="0" y="0"/>
            <wp:positionH relativeFrom="page">
              <wp:posOffset>1352550</wp:posOffset>
            </wp:positionH>
            <wp:positionV relativeFrom="paragraph">
              <wp:posOffset>142367</wp:posOffset>
            </wp:positionV>
            <wp:extent cx="4818251" cy="1136427"/>
            <wp:effectExtent l="0" t="0" r="0" b="0"/>
            <wp:wrapTopAndBottom/>
            <wp:docPr id="527" name="image3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image306.jpeg"/>
                    <pic:cNvPicPr/>
                  </pic:nvPicPr>
                  <pic:blipFill>
                    <a:blip r:embed="rId364" cstate="print"/>
                    <a:stretch>
                      <a:fillRect/>
                    </a:stretch>
                  </pic:blipFill>
                  <pic:spPr>
                    <a:xfrm>
                      <a:off x="0" y="0"/>
                      <a:ext cx="4818251" cy="1136427"/>
                    </a:xfrm>
                    <a:prstGeom prst="rect">
                      <a:avLst/>
                    </a:prstGeom>
                  </pic:spPr>
                </pic:pic>
              </a:graphicData>
            </a:graphic>
          </wp:anchor>
        </w:drawing>
      </w:r>
    </w:p>
    <w:p w14:paraId="07532D58" w14:textId="77777777" w:rsidR="00A71EEF" w:rsidRDefault="00A71EEF">
      <w:pPr>
        <w:pStyle w:val="a3"/>
        <w:spacing w:before="3"/>
        <w:rPr>
          <w:sz w:val="18"/>
        </w:rPr>
      </w:pPr>
    </w:p>
    <w:p w14:paraId="1CFF5087" w14:textId="77777777" w:rsidR="00A71EEF" w:rsidRDefault="0081115D">
      <w:pPr>
        <w:pStyle w:val="a4"/>
        <w:numPr>
          <w:ilvl w:val="2"/>
          <w:numId w:val="314"/>
        </w:numPr>
        <w:tabs>
          <w:tab w:val="left" w:pos="1530"/>
        </w:tabs>
        <w:spacing w:line="446" w:lineRule="auto"/>
        <w:ind w:right="1549" w:firstLine="422"/>
        <w:rPr>
          <w:sz w:val="21"/>
        </w:rPr>
      </w:pPr>
      <w:r>
        <w:rPr>
          <w:spacing w:val="-3"/>
          <w:sz w:val="21"/>
        </w:rPr>
        <w:t>易燃、可燃材料露天、半露天堆场，可燃气体罐区的室外消火栓设计流量，不应小</w:t>
      </w:r>
      <w:r>
        <w:rPr>
          <w:spacing w:val="-20"/>
          <w:sz w:val="21"/>
        </w:rPr>
        <w:t>于表</w:t>
      </w:r>
      <w:r>
        <w:rPr>
          <w:spacing w:val="-20"/>
          <w:sz w:val="21"/>
        </w:rPr>
        <w:t xml:space="preserve"> </w:t>
      </w:r>
      <w:r>
        <w:rPr>
          <w:sz w:val="21"/>
        </w:rPr>
        <w:t>3.4.12</w:t>
      </w:r>
      <w:r>
        <w:rPr>
          <w:spacing w:val="-13"/>
          <w:sz w:val="21"/>
        </w:rPr>
        <w:t xml:space="preserve"> </w:t>
      </w:r>
      <w:r>
        <w:rPr>
          <w:spacing w:val="-13"/>
          <w:sz w:val="21"/>
        </w:rPr>
        <w:t>的规定。</w:t>
      </w:r>
      <w:r>
        <w:rPr>
          <w:sz w:val="21"/>
        </w:rPr>
        <w:t xml:space="preserve"> </w:t>
      </w:r>
    </w:p>
    <w:p w14:paraId="09C11BEF" w14:textId="77777777" w:rsidR="00A71EEF" w:rsidRDefault="0081115D">
      <w:pPr>
        <w:pStyle w:val="6"/>
        <w:spacing w:line="267" w:lineRule="exact"/>
        <w:ind w:left="1150"/>
        <w:rPr>
          <w:b w:val="0"/>
        </w:rPr>
      </w:pPr>
      <w:r>
        <w:t>表</w:t>
      </w:r>
      <w:r>
        <w:t xml:space="preserve"> 3.4.12 </w:t>
      </w:r>
      <w:r>
        <w:t>易燃、可燃材料露天、半露天堆场，可燃气体罐区的室外消火栓设计流量</w:t>
      </w:r>
      <w:r>
        <w:rPr>
          <w:b w:val="0"/>
        </w:rPr>
        <w:t xml:space="preserve"> </w:t>
      </w:r>
    </w:p>
    <w:p w14:paraId="5059433A" w14:textId="77777777" w:rsidR="00A71EEF" w:rsidRDefault="00A71EEF">
      <w:pPr>
        <w:pStyle w:val="a3"/>
        <w:rPr>
          <w:sz w:val="20"/>
        </w:rPr>
      </w:pPr>
    </w:p>
    <w:p w14:paraId="0B74EE63" w14:textId="77777777" w:rsidR="00A71EEF" w:rsidRDefault="0081115D">
      <w:pPr>
        <w:pStyle w:val="a3"/>
        <w:rPr>
          <w:sz w:val="16"/>
        </w:rPr>
      </w:pPr>
      <w:r>
        <w:rPr>
          <w:noProof/>
        </w:rPr>
        <w:drawing>
          <wp:anchor distT="0" distB="0" distL="0" distR="0" simplePos="0" relativeHeight="251650560" behindDoc="0" locked="0" layoutInCell="1" allowOverlap="1" wp14:anchorId="6255FBCC" wp14:editId="17A9B6C0">
            <wp:simplePos x="0" y="0"/>
            <wp:positionH relativeFrom="page">
              <wp:posOffset>1113155</wp:posOffset>
            </wp:positionH>
            <wp:positionV relativeFrom="paragraph">
              <wp:posOffset>154948</wp:posOffset>
            </wp:positionV>
            <wp:extent cx="5237363" cy="4572000"/>
            <wp:effectExtent l="0" t="0" r="0" b="0"/>
            <wp:wrapTopAndBottom/>
            <wp:docPr id="529" name="image3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image307.jpeg"/>
                    <pic:cNvPicPr/>
                  </pic:nvPicPr>
                  <pic:blipFill>
                    <a:blip r:embed="rId365" cstate="print"/>
                    <a:stretch>
                      <a:fillRect/>
                    </a:stretch>
                  </pic:blipFill>
                  <pic:spPr>
                    <a:xfrm>
                      <a:off x="0" y="0"/>
                      <a:ext cx="5237363" cy="4572000"/>
                    </a:xfrm>
                    <a:prstGeom prst="rect">
                      <a:avLst/>
                    </a:prstGeom>
                  </pic:spPr>
                </pic:pic>
              </a:graphicData>
            </a:graphic>
          </wp:anchor>
        </w:drawing>
      </w:r>
    </w:p>
    <w:p w14:paraId="1FEA13C0" w14:textId="77777777" w:rsidR="00A71EEF" w:rsidRDefault="0081115D">
      <w:pPr>
        <w:pStyle w:val="a3"/>
        <w:spacing w:before="170" w:line="436" w:lineRule="auto"/>
        <w:ind w:left="418" w:right="1545"/>
      </w:pPr>
      <w:r>
        <w:rPr>
          <w:b/>
          <w:w w:val="99"/>
        </w:rPr>
        <w:t xml:space="preserve">   </w:t>
      </w:r>
      <w:r>
        <w:t>注：</w:t>
      </w:r>
      <w:r>
        <w:t>1.</w:t>
      </w:r>
      <w:r>
        <w:t>固定容积的可燃气体储罐的总容积按其几何容积（</w:t>
      </w:r>
      <w:r>
        <w:t>m</w:t>
      </w:r>
      <w:r>
        <w:rPr>
          <w:position w:val="11"/>
          <w:sz w:val="11"/>
        </w:rPr>
        <w:t>3</w:t>
      </w:r>
      <w:r>
        <w:t>）和设计工作压力（绝对压力，</w:t>
      </w:r>
      <w:r>
        <w:t xml:space="preserve"> 10</w:t>
      </w:r>
      <w:r>
        <w:rPr>
          <w:position w:val="11"/>
          <w:sz w:val="11"/>
        </w:rPr>
        <w:t>5</w:t>
      </w:r>
      <w:r>
        <w:t>Pa</w:t>
      </w:r>
      <w:r>
        <w:t>）的乘积计算；</w:t>
      </w:r>
      <w:r>
        <w:t xml:space="preserve"> </w:t>
      </w:r>
    </w:p>
    <w:p w14:paraId="720460AC" w14:textId="77777777" w:rsidR="00A71EEF" w:rsidRDefault="00A71EEF">
      <w:pPr>
        <w:spacing w:line="436" w:lineRule="auto"/>
        <w:sectPr w:rsidR="00A71EEF">
          <w:pgSz w:w="11910" w:h="16850"/>
          <w:pgMar w:top="1220" w:right="0" w:bottom="1420" w:left="1260" w:header="0" w:footer="1189" w:gutter="0"/>
          <w:cols w:space="720"/>
        </w:sectPr>
      </w:pPr>
    </w:p>
    <w:p w14:paraId="2CFDA1F8" w14:textId="77777777" w:rsidR="00A71EEF" w:rsidRDefault="0081115D">
      <w:pPr>
        <w:pStyle w:val="a3"/>
        <w:spacing w:before="47" w:line="441" w:lineRule="auto"/>
        <w:ind w:left="418" w:right="1445" w:firstLine="419"/>
      </w:pPr>
      <w:r>
        <w:t>2.</w:t>
      </w:r>
      <w:r>
        <w:rPr>
          <w:spacing w:val="-5"/>
        </w:rPr>
        <w:t>当稻草、麦秸、芦苇等易燃材料堆垛单垛重量大于</w:t>
      </w:r>
      <w:r>
        <w:rPr>
          <w:spacing w:val="-5"/>
        </w:rPr>
        <w:t xml:space="preserve"> </w:t>
      </w:r>
      <w:r>
        <w:t>5000t</w:t>
      </w:r>
      <w:r>
        <w:rPr>
          <w:spacing w:val="-15"/>
        </w:rPr>
        <w:t xml:space="preserve"> </w:t>
      </w:r>
      <w:r>
        <w:rPr>
          <w:spacing w:val="-15"/>
        </w:rPr>
        <w:t>或总重量大于</w:t>
      </w:r>
      <w:r>
        <w:rPr>
          <w:spacing w:val="-15"/>
        </w:rPr>
        <w:t xml:space="preserve"> </w:t>
      </w:r>
      <w:r>
        <w:t>50000t</w:t>
      </w:r>
      <w:r>
        <w:rPr>
          <w:spacing w:val="-3"/>
        </w:rPr>
        <w:t>、木材等</w:t>
      </w:r>
      <w:r>
        <w:rPr>
          <w:spacing w:val="-6"/>
        </w:rPr>
        <w:t>可燃材料堆垛单垛容量大于</w:t>
      </w:r>
      <w:r>
        <w:rPr>
          <w:spacing w:val="-6"/>
        </w:rPr>
        <w:t xml:space="preserve"> </w:t>
      </w:r>
      <w:r>
        <w:t>5000m</w:t>
      </w:r>
      <w:r>
        <w:rPr>
          <w:position w:val="11"/>
          <w:sz w:val="11"/>
        </w:rPr>
        <w:t xml:space="preserve">3 </w:t>
      </w:r>
      <w:r>
        <w:rPr>
          <w:spacing w:val="-9"/>
        </w:rPr>
        <w:t>或总容量大于</w:t>
      </w:r>
      <w:r>
        <w:rPr>
          <w:spacing w:val="-9"/>
        </w:rPr>
        <w:t xml:space="preserve"> </w:t>
      </w:r>
      <w:r>
        <w:t>50000</w:t>
      </w:r>
      <w:r>
        <w:t>m</w:t>
      </w:r>
      <w:r>
        <w:rPr>
          <w:position w:val="11"/>
          <w:sz w:val="11"/>
        </w:rPr>
        <w:t xml:space="preserve">3 </w:t>
      </w:r>
      <w:r>
        <w:rPr>
          <w:spacing w:val="-3"/>
        </w:rPr>
        <w:t>时，室外消火栓设计流量应按本表规定的最大值增加一倍。</w:t>
      </w:r>
      <w:r>
        <w:t xml:space="preserve"> </w:t>
      </w:r>
    </w:p>
    <w:p w14:paraId="193B67C2" w14:textId="77777777" w:rsidR="00A71EEF" w:rsidRDefault="0081115D">
      <w:pPr>
        <w:pStyle w:val="a4"/>
        <w:numPr>
          <w:ilvl w:val="2"/>
          <w:numId w:val="314"/>
        </w:numPr>
        <w:tabs>
          <w:tab w:val="left" w:pos="1530"/>
        </w:tabs>
        <w:spacing w:before="5"/>
        <w:ind w:left="1529" w:hanging="690"/>
        <w:rPr>
          <w:sz w:val="21"/>
        </w:rPr>
      </w:pPr>
      <w:r>
        <w:rPr>
          <w:spacing w:val="-6"/>
          <w:sz w:val="21"/>
        </w:rPr>
        <w:t>城市交通隧道洞口外室外消火栓设计流量不应小于表</w:t>
      </w:r>
      <w:r>
        <w:rPr>
          <w:spacing w:val="-6"/>
          <w:sz w:val="21"/>
        </w:rPr>
        <w:t xml:space="preserve"> </w:t>
      </w:r>
      <w:r>
        <w:rPr>
          <w:sz w:val="21"/>
        </w:rPr>
        <w:t>3.4.13</w:t>
      </w:r>
      <w:r>
        <w:rPr>
          <w:spacing w:val="-12"/>
          <w:sz w:val="21"/>
        </w:rPr>
        <w:t xml:space="preserve"> </w:t>
      </w:r>
      <w:r>
        <w:rPr>
          <w:spacing w:val="-12"/>
          <w:sz w:val="21"/>
        </w:rPr>
        <w:t>的规定。</w:t>
      </w:r>
      <w:r>
        <w:rPr>
          <w:spacing w:val="-12"/>
          <w:sz w:val="21"/>
        </w:rPr>
        <w:t xml:space="preserve"> </w:t>
      </w:r>
    </w:p>
    <w:p w14:paraId="17084DF4" w14:textId="77777777" w:rsidR="00A71EEF" w:rsidRDefault="00A71EEF">
      <w:pPr>
        <w:pStyle w:val="a3"/>
        <w:rPr>
          <w:sz w:val="20"/>
        </w:rPr>
      </w:pPr>
    </w:p>
    <w:p w14:paraId="34A34044" w14:textId="77777777" w:rsidR="00A71EEF" w:rsidRDefault="00A71EEF">
      <w:pPr>
        <w:pStyle w:val="a3"/>
        <w:rPr>
          <w:sz w:val="20"/>
        </w:rPr>
      </w:pPr>
    </w:p>
    <w:p w14:paraId="75E53423" w14:textId="77777777" w:rsidR="00A71EEF" w:rsidRDefault="00A71EEF">
      <w:pPr>
        <w:pStyle w:val="a3"/>
        <w:rPr>
          <w:sz w:val="20"/>
        </w:rPr>
      </w:pPr>
    </w:p>
    <w:p w14:paraId="750E0ED5" w14:textId="77777777" w:rsidR="00A71EEF" w:rsidRDefault="00A71EEF">
      <w:pPr>
        <w:pStyle w:val="a3"/>
        <w:rPr>
          <w:sz w:val="20"/>
        </w:rPr>
      </w:pPr>
    </w:p>
    <w:p w14:paraId="375C05C7" w14:textId="77777777" w:rsidR="00A71EEF" w:rsidRDefault="00A71EEF">
      <w:pPr>
        <w:pStyle w:val="a3"/>
        <w:rPr>
          <w:sz w:val="20"/>
        </w:rPr>
      </w:pPr>
    </w:p>
    <w:p w14:paraId="60567BA2" w14:textId="77777777" w:rsidR="00A71EEF" w:rsidRDefault="00A71EEF">
      <w:pPr>
        <w:pStyle w:val="a3"/>
        <w:spacing w:before="7"/>
        <w:rPr>
          <w:sz w:val="29"/>
        </w:rPr>
      </w:pPr>
    </w:p>
    <w:p w14:paraId="70D1D59B" w14:textId="77777777" w:rsidR="00A71EEF" w:rsidRDefault="0081115D">
      <w:pPr>
        <w:pStyle w:val="6"/>
        <w:spacing w:before="71"/>
        <w:ind w:left="2624"/>
      </w:pPr>
      <w:r>
        <w:t>表</w:t>
      </w:r>
      <w:r>
        <w:t xml:space="preserve"> 3.4.13 </w:t>
      </w:r>
      <w:r>
        <w:t>城市交通隧道洞口外室外消火栓设计流量</w:t>
      </w:r>
      <w:r>
        <w:rPr>
          <w:w w:val="99"/>
        </w:rPr>
        <w:t xml:space="preserve"> </w:t>
      </w:r>
    </w:p>
    <w:p w14:paraId="3CFCA0C2" w14:textId="77777777" w:rsidR="00A71EEF" w:rsidRDefault="0081115D">
      <w:pPr>
        <w:pStyle w:val="a3"/>
        <w:spacing w:before="5"/>
        <w:rPr>
          <w:b/>
          <w:sz w:val="11"/>
        </w:rPr>
      </w:pPr>
      <w:r>
        <w:rPr>
          <w:noProof/>
        </w:rPr>
        <w:drawing>
          <wp:anchor distT="0" distB="0" distL="0" distR="0" simplePos="0" relativeHeight="251651584" behindDoc="0" locked="0" layoutInCell="1" allowOverlap="1" wp14:anchorId="64D49DF8" wp14:editId="4BBD121A">
            <wp:simplePos x="0" y="0"/>
            <wp:positionH relativeFrom="page">
              <wp:posOffset>1170305</wp:posOffset>
            </wp:positionH>
            <wp:positionV relativeFrom="paragraph">
              <wp:posOffset>117498</wp:posOffset>
            </wp:positionV>
            <wp:extent cx="5107857" cy="1657350"/>
            <wp:effectExtent l="0" t="0" r="0" b="0"/>
            <wp:wrapTopAndBottom/>
            <wp:docPr id="531" name="image3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image308.jpeg"/>
                    <pic:cNvPicPr/>
                  </pic:nvPicPr>
                  <pic:blipFill>
                    <a:blip r:embed="rId366" cstate="print"/>
                    <a:stretch>
                      <a:fillRect/>
                    </a:stretch>
                  </pic:blipFill>
                  <pic:spPr>
                    <a:xfrm>
                      <a:off x="0" y="0"/>
                      <a:ext cx="5107857" cy="1657350"/>
                    </a:xfrm>
                    <a:prstGeom prst="rect">
                      <a:avLst/>
                    </a:prstGeom>
                  </pic:spPr>
                </pic:pic>
              </a:graphicData>
            </a:graphic>
          </wp:anchor>
        </w:drawing>
      </w:r>
    </w:p>
    <w:p w14:paraId="42AFF949" w14:textId="77777777" w:rsidR="00A71EEF" w:rsidRDefault="0081115D">
      <w:pPr>
        <w:pStyle w:val="a4"/>
        <w:numPr>
          <w:ilvl w:val="1"/>
          <w:numId w:val="314"/>
        </w:numPr>
        <w:tabs>
          <w:tab w:val="left" w:pos="1159"/>
        </w:tabs>
        <w:spacing w:before="179"/>
        <w:ind w:hanging="319"/>
        <w:rPr>
          <w:sz w:val="21"/>
        </w:rPr>
      </w:pPr>
      <w:r>
        <w:rPr>
          <w:spacing w:val="-3"/>
          <w:sz w:val="21"/>
        </w:rPr>
        <w:t>室内消火栓设计流量</w:t>
      </w:r>
      <w:r>
        <w:rPr>
          <w:sz w:val="21"/>
        </w:rPr>
        <w:t xml:space="preserve"> </w:t>
      </w:r>
    </w:p>
    <w:p w14:paraId="73FB31F2" w14:textId="77777777" w:rsidR="00A71EEF" w:rsidRDefault="00A71EEF">
      <w:pPr>
        <w:pStyle w:val="a3"/>
        <w:spacing w:before="12"/>
        <w:rPr>
          <w:sz w:val="17"/>
        </w:rPr>
      </w:pPr>
    </w:p>
    <w:p w14:paraId="06B7F53F" w14:textId="77777777" w:rsidR="00A71EEF" w:rsidRDefault="0081115D">
      <w:pPr>
        <w:pStyle w:val="a4"/>
        <w:numPr>
          <w:ilvl w:val="2"/>
          <w:numId w:val="314"/>
        </w:numPr>
        <w:tabs>
          <w:tab w:val="left" w:pos="1371"/>
        </w:tabs>
        <w:spacing w:line="446" w:lineRule="auto"/>
        <w:ind w:right="1604" w:firstLine="422"/>
        <w:rPr>
          <w:sz w:val="19"/>
        </w:rPr>
      </w:pPr>
      <w:r>
        <w:rPr>
          <w:spacing w:val="-3"/>
          <w:sz w:val="21"/>
        </w:rPr>
        <w:t>建筑物室内消火栓设计流量，应根据建筑物的用途功能、体积、高度、耐火等级、火灾危险性等因素综合确定。</w:t>
      </w:r>
      <w:r>
        <w:rPr>
          <w:sz w:val="21"/>
        </w:rPr>
        <w:t xml:space="preserve"> </w:t>
      </w:r>
    </w:p>
    <w:p w14:paraId="5A482DC1" w14:textId="77777777" w:rsidR="00A71EEF" w:rsidRDefault="0081115D">
      <w:pPr>
        <w:pStyle w:val="a4"/>
        <w:numPr>
          <w:ilvl w:val="2"/>
          <w:numId w:val="314"/>
        </w:numPr>
        <w:tabs>
          <w:tab w:val="left" w:pos="1424"/>
        </w:tabs>
        <w:ind w:left="1423"/>
        <w:rPr>
          <w:sz w:val="21"/>
        </w:rPr>
      </w:pPr>
      <w:r>
        <w:rPr>
          <w:spacing w:val="-6"/>
          <w:sz w:val="21"/>
        </w:rPr>
        <w:t>建筑物室内消火栓设计流量不应小于表</w:t>
      </w:r>
      <w:r>
        <w:rPr>
          <w:spacing w:val="-6"/>
          <w:sz w:val="21"/>
        </w:rPr>
        <w:t xml:space="preserve"> </w:t>
      </w:r>
      <w:r>
        <w:rPr>
          <w:sz w:val="21"/>
        </w:rPr>
        <w:t>3.5.2</w:t>
      </w:r>
      <w:r>
        <w:rPr>
          <w:spacing w:val="-13"/>
          <w:sz w:val="21"/>
        </w:rPr>
        <w:t xml:space="preserve"> </w:t>
      </w:r>
      <w:r>
        <w:rPr>
          <w:spacing w:val="-13"/>
          <w:sz w:val="21"/>
        </w:rPr>
        <w:t>的规定。</w:t>
      </w:r>
      <w:r>
        <w:rPr>
          <w:sz w:val="21"/>
        </w:rPr>
        <w:t xml:space="preserve"> </w:t>
      </w:r>
    </w:p>
    <w:p w14:paraId="1E1023FA" w14:textId="77777777" w:rsidR="00A71EEF" w:rsidRDefault="00A71EEF">
      <w:pPr>
        <w:rPr>
          <w:sz w:val="21"/>
        </w:rPr>
        <w:sectPr w:rsidR="00A71EEF">
          <w:pgSz w:w="11910" w:h="16850"/>
          <w:pgMar w:top="1220" w:right="0" w:bottom="1420" w:left="1260" w:header="0" w:footer="1189" w:gutter="0"/>
          <w:cols w:space="720"/>
        </w:sectPr>
      </w:pPr>
    </w:p>
    <w:p w14:paraId="6C40DFA5" w14:textId="77777777" w:rsidR="00A71EEF" w:rsidRDefault="0081115D">
      <w:pPr>
        <w:pStyle w:val="6"/>
        <w:spacing w:before="47"/>
        <w:ind w:right="490"/>
        <w:jc w:val="center"/>
      </w:pPr>
      <w:r>
        <w:rPr>
          <w:noProof/>
        </w:rPr>
        <w:drawing>
          <wp:anchor distT="0" distB="0" distL="0" distR="0" simplePos="0" relativeHeight="251652608" behindDoc="0" locked="0" layoutInCell="1" allowOverlap="1" wp14:anchorId="2F6C5593" wp14:editId="6A1BB1FB">
            <wp:simplePos x="0" y="0"/>
            <wp:positionH relativeFrom="page">
              <wp:posOffset>1332230</wp:posOffset>
            </wp:positionH>
            <wp:positionV relativeFrom="paragraph">
              <wp:posOffset>286130</wp:posOffset>
            </wp:positionV>
            <wp:extent cx="4700077" cy="3509391"/>
            <wp:effectExtent l="0" t="0" r="0" b="0"/>
            <wp:wrapTopAndBottom/>
            <wp:docPr id="533" name="image3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image309.jpeg"/>
                    <pic:cNvPicPr/>
                  </pic:nvPicPr>
                  <pic:blipFill>
                    <a:blip r:embed="rId367" cstate="print"/>
                    <a:stretch>
                      <a:fillRect/>
                    </a:stretch>
                  </pic:blipFill>
                  <pic:spPr>
                    <a:xfrm>
                      <a:off x="0" y="0"/>
                      <a:ext cx="4700077" cy="3509391"/>
                    </a:xfrm>
                    <a:prstGeom prst="rect">
                      <a:avLst/>
                    </a:prstGeom>
                  </pic:spPr>
                </pic:pic>
              </a:graphicData>
            </a:graphic>
          </wp:anchor>
        </w:drawing>
      </w:r>
      <w:r>
        <w:t>表</w:t>
      </w:r>
      <w:r>
        <w:t xml:space="preserve"> 3.5.2 </w:t>
      </w:r>
      <w:r>
        <w:t>建筑物室内消火栓设计流量</w:t>
      </w:r>
      <w:r>
        <w:rPr>
          <w:w w:val="99"/>
        </w:rPr>
        <w:t xml:space="preserve"> </w:t>
      </w:r>
    </w:p>
    <w:p w14:paraId="0FD0B521" w14:textId="77777777" w:rsidR="00A71EEF" w:rsidRDefault="00A71EEF">
      <w:pPr>
        <w:pStyle w:val="a3"/>
        <w:rPr>
          <w:b/>
          <w:sz w:val="20"/>
        </w:rPr>
      </w:pPr>
    </w:p>
    <w:p w14:paraId="54C173F3" w14:textId="77777777" w:rsidR="00A71EEF" w:rsidRDefault="00A71EEF">
      <w:pPr>
        <w:pStyle w:val="a3"/>
        <w:rPr>
          <w:b/>
          <w:sz w:val="20"/>
        </w:rPr>
      </w:pPr>
    </w:p>
    <w:p w14:paraId="1C8A1DA0" w14:textId="77777777" w:rsidR="00A71EEF" w:rsidRDefault="00A71EEF">
      <w:pPr>
        <w:pStyle w:val="a3"/>
        <w:rPr>
          <w:b/>
          <w:sz w:val="20"/>
        </w:rPr>
      </w:pPr>
    </w:p>
    <w:p w14:paraId="799F4FA0" w14:textId="77777777" w:rsidR="00A71EEF" w:rsidRDefault="00A71EEF">
      <w:pPr>
        <w:pStyle w:val="a3"/>
        <w:rPr>
          <w:b/>
          <w:sz w:val="20"/>
        </w:rPr>
      </w:pPr>
    </w:p>
    <w:p w14:paraId="6FBE986B" w14:textId="77777777" w:rsidR="00A71EEF" w:rsidRDefault="00A71EEF">
      <w:pPr>
        <w:pStyle w:val="a3"/>
        <w:rPr>
          <w:b/>
          <w:sz w:val="20"/>
        </w:rPr>
      </w:pPr>
    </w:p>
    <w:p w14:paraId="7DEA4544" w14:textId="77777777" w:rsidR="00A71EEF" w:rsidRDefault="00A71EEF">
      <w:pPr>
        <w:pStyle w:val="a3"/>
        <w:rPr>
          <w:b/>
          <w:sz w:val="20"/>
        </w:rPr>
      </w:pPr>
    </w:p>
    <w:p w14:paraId="1F704069" w14:textId="77777777" w:rsidR="00A71EEF" w:rsidRDefault="00A71EEF">
      <w:pPr>
        <w:pStyle w:val="a3"/>
        <w:rPr>
          <w:b/>
          <w:sz w:val="20"/>
        </w:rPr>
      </w:pPr>
    </w:p>
    <w:p w14:paraId="3063B59E" w14:textId="77777777" w:rsidR="00A71EEF" w:rsidRDefault="00A71EEF">
      <w:pPr>
        <w:pStyle w:val="a3"/>
        <w:rPr>
          <w:b/>
          <w:sz w:val="20"/>
        </w:rPr>
      </w:pPr>
    </w:p>
    <w:p w14:paraId="7C3B2E16" w14:textId="77777777" w:rsidR="00A71EEF" w:rsidRDefault="0081115D">
      <w:pPr>
        <w:spacing w:before="130"/>
        <w:ind w:right="490"/>
        <w:jc w:val="center"/>
        <w:rPr>
          <w:b/>
          <w:sz w:val="21"/>
        </w:rPr>
      </w:pPr>
      <w:r>
        <w:rPr>
          <w:b/>
          <w:w w:val="99"/>
          <w:sz w:val="21"/>
        </w:rPr>
        <w:t xml:space="preserve"> </w:t>
      </w:r>
    </w:p>
    <w:p w14:paraId="0563EAF8" w14:textId="77777777" w:rsidR="00A71EEF" w:rsidRDefault="00A71EEF">
      <w:pPr>
        <w:jc w:val="center"/>
        <w:rPr>
          <w:sz w:val="21"/>
        </w:rPr>
        <w:sectPr w:rsidR="00A71EEF">
          <w:pgSz w:w="11910" w:h="16850"/>
          <w:pgMar w:top="1220" w:right="0" w:bottom="1420" w:left="1260" w:header="0" w:footer="1189" w:gutter="0"/>
          <w:cols w:space="720"/>
        </w:sectPr>
      </w:pPr>
    </w:p>
    <w:p w14:paraId="6539F200" w14:textId="77777777" w:rsidR="00A71EEF" w:rsidRDefault="0081115D">
      <w:pPr>
        <w:pStyle w:val="a3"/>
        <w:ind w:left="943"/>
        <w:rPr>
          <w:sz w:val="20"/>
        </w:rPr>
      </w:pPr>
      <w:r>
        <w:rPr>
          <w:noProof/>
          <w:sz w:val="20"/>
        </w:rPr>
        <w:drawing>
          <wp:inline distT="0" distB="0" distL="0" distR="0" wp14:anchorId="4387D242" wp14:editId="4C9A1347">
            <wp:extent cx="4563899" cy="6324600"/>
            <wp:effectExtent l="0" t="0" r="0" b="0"/>
            <wp:docPr id="535" name="image3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image310.jpeg"/>
                    <pic:cNvPicPr/>
                  </pic:nvPicPr>
                  <pic:blipFill>
                    <a:blip r:embed="rId368" cstate="print"/>
                    <a:stretch>
                      <a:fillRect/>
                    </a:stretch>
                  </pic:blipFill>
                  <pic:spPr>
                    <a:xfrm>
                      <a:off x="0" y="0"/>
                      <a:ext cx="4563899" cy="6324600"/>
                    </a:xfrm>
                    <a:prstGeom prst="rect">
                      <a:avLst/>
                    </a:prstGeom>
                  </pic:spPr>
                </pic:pic>
              </a:graphicData>
            </a:graphic>
          </wp:inline>
        </w:drawing>
      </w:r>
    </w:p>
    <w:p w14:paraId="7B05D5E5" w14:textId="77777777" w:rsidR="00A71EEF" w:rsidRDefault="00A71EEF">
      <w:pPr>
        <w:pStyle w:val="a3"/>
        <w:spacing w:before="9"/>
        <w:rPr>
          <w:b/>
          <w:sz w:val="23"/>
        </w:rPr>
      </w:pPr>
    </w:p>
    <w:p w14:paraId="29EBA19D" w14:textId="77777777" w:rsidR="00A71EEF" w:rsidRDefault="0081115D">
      <w:pPr>
        <w:spacing w:before="72"/>
        <w:ind w:right="490"/>
        <w:jc w:val="center"/>
        <w:rPr>
          <w:b/>
          <w:sz w:val="21"/>
        </w:rPr>
      </w:pPr>
      <w:r>
        <w:rPr>
          <w:b/>
          <w:w w:val="99"/>
          <w:sz w:val="21"/>
        </w:rPr>
        <w:t xml:space="preserve"> </w:t>
      </w:r>
    </w:p>
    <w:p w14:paraId="4FA3BB68" w14:textId="77777777" w:rsidR="00A71EEF" w:rsidRDefault="00A71EEF">
      <w:pPr>
        <w:jc w:val="center"/>
        <w:rPr>
          <w:sz w:val="21"/>
        </w:rPr>
        <w:sectPr w:rsidR="00A71EEF">
          <w:footerReference w:type="default" r:id="rId369"/>
          <w:pgSz w:w="11910" w:h="16850"/>
          <w:pgMar w:top="1520" w:right="0" w:bottom="1420" w:left="1260" w:header="0" w:footer="1228" w:gutter="0"/>
          <w:pgNumType w:start="1320"/>
          <w:cols w:space="720"/>
        </w:sectPr>
      </w:pPr>
    </w:p>
    <w:p w14:paraId="57596789" w14:textId="77777777" w:rsidR="00A71EEF" w:rsidRDefault="0081115D">
      <w:pPr>
        <w:pStyle w:val="a3"/>
        <w:ind w:left="1278"/>
        <w:rPr>
          <w:sz w:val="20"/>
        </w:rPr>
      </w:pPr>
      <w:r>
        <w:rPr>
          <w:noProof/>
          <w:sz w:val="20"/>
        </w:rPr>
        <w:drawing>
          <wp:inline distT="0" distB="0" distL="0" distR="0" wp14:anchorId="4DE27ACF" wp14:editId="048E463F">
            <wp:extent cx="4039969" cy="5371338"/>
            <wp:effectExtent l="0" t="0" r="0" b="0"/>
            <wp:docPr id="537" name="image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image311.jpeg"/>
                    <pic:cNvPicPr/>
                  </pic:nvPicPr>
                  <pic:blipFill>
                    <a:blip r:embed="rId370" cstate="print"/>
                    <a:stretch>
                      <a:fillRect/>
                    </a:stretch>
                  </pic:blipFill>
                  <pic:spPr>
                    <a:xfrm>
                      <a:off x="0" y="0"/>
                      <a:ext cx="4039969" cy="5371338"/>
                    </a:xfrm>
                    <a:prstGeom prst="rect">
                      <a:avLst/>
                    </a:prstGeom>
                  </pic:spPr>
                </pic:pic>
              </a:graphicData>
            </a:graphic>
          </wp:inline>
        </w:drawing>
      </w:r>
    </w:p>
    <w:p w14:paraId="1BE5DC0C" w14:textId="77777777" w:rsidR="00A71EEF" w:rsidRDefault="00A71EEF">
      <w:pPr>
        <w:pStyle w:val="a3"/>
        <w:spacing w:before="1"/>
        <w:rPr>
          <w:b/>
          <w:sz w:val="8"/>
        </w:rPr>
      </w:pPr>
    </w:p>
    <w:p w14:paraId="5C3773B4" w14:textId="77777777" w:rsidR="00A71EEF" w:rsidRDefault="0081115D">
      <w:pPr>
        <w:pStyle w:val="a3"/>
        <w:spacing w:before="72" w:line="446" w:lineRule="auto"/>
        <w:ind w:left="418" w:right="1392" w:firstLine="419"/>
      </w:pPr>
      <w:r>
        <w:t>注：</w:t>
      </w:r>
      <w:r>
        <w:t>1.</w:t>
      </w:r>
      <w:r>
        <w:t>丁、戊类高层厂房（仓库）室内消火栓的设计流量可按本表减少</w:t>
      </w:r>
      <w:r>
        <w:t xml:space="preserve"> 10L/s</w:t>
      </w:r>
      <w:r>
        <w:t>，同时使用消防水枪数量可按本表减少</w:t>
      </w:r>
      <w:r>
        <w:t xml:space="preserve"> 2 </w:t>
      </w:r>
      <w:r>
        <w:t>支；</w:t>
      </w:r>
      <w:r>
        <w:t xml:space="preserve"> </w:t>
      </w:r>
    </w:p>
    <w:p w14:paraId="565E94D5" w14:textId="77777777" w:rsidR="00A71EEF" w:rsidRDefault="0081115D">
      <w:pPr>
        <w:pStyle w:val="a4"/>
        <w:numPr>
          <w:ilvl w:val="0"/>
          <w:numId w:val="304"/>
        </w:numPr>
        <w:tabs>
          <w:tab w:val="left" w:pos="1051"/>
        </w:tabs>
        <w:spacing w:line="446" w:lineRule="auto"/>
        <w:ind w:right="1609" w:firstLine="419"/>
        <w:rPr>
          <w:sz w:val="21"/>
        </w:rPr>
      </w:pPr>
      <w:r>
        <w:rPr>
          <w:spacing w:val="-3"/>
          <w:sz w:val="21"/>
        </w:rPr>
        <w:t>消防软管卷盘、轻便消防水龙及多层住宅楼梯间中的干式消防竖管，其消火栓设计流量可不计入室内消防给水设计流量；</w:t>
      </w:r>
      <w:r>
        <w:rPr>
          <w:sz w:val="21"/>
        </w:rPr>
        <w:t xml:space="preserve"> </w:t>
      </w:r>
    </w:p>
    <w:p w14:paraId="0580A46C" w14:textId="77777777" w:rsidR="00A71EEF" w:rsidRDefault="0081115D">
      <w:pPr>
        <w:pStyle w:val="a4"/>
        <w:numPr>
          <w:ilvl w:val="0"/>
          <w:numId w:val="304"/>
        </w:numPr>
        <w:tabs>
          <w:tab w:val="left" w:pos="1051"/>
        </w:tabs>
        <w:spacing w:line="446" w:lineRule="auto"/>
        <w:ind w:right="1817" w:firstLine="419"/>
        <w:rPr>
          <w:sz w:val="21"/>
        </w:rPr>
      </w:pPr>
      <w:r>
        <w:rPr>
          <w:spacing w:val="-3"/>
          <w:sz w:val="21"/>
        </w:rPr>
        <w:t>当一座多层建筑有多种使用功能时，室内消火栓设计流量应分别按本表中不同功能计算，且应取最大值。</w:t>
      </w:r>
      <w:r>
        <w:rPr>
          <w:sz w:val="21"/>
        </w:rPr>
        <w:t xml:space="preserve"> </w:t>
      </w:r>
    </w:p>
    <w:p w14:paraId="33306C12" w14:textId="77777777" w:rsidR="00A71EEF" w:rsidRDefault="0081115D">
      <w:pPr>
        <w:pStyle w:val="a4"/>
        <w:numPr>
          <w:ilvl w:val="2"/>
          <w:numId w:val="314"/>
        </w:numPr>
        <w:tabs>
          <w:tab w:val="left" w:pos="1424"/>
        </w:tabs>
        <w:spacing w:line="446" w:lineRule="auto"/>
        <w:ind w:right="1445" w:firstLine="422"/>
        <w:rPr>
          <w:sz w:val="21"/>
        </w:rPr>
      </w:pPr>
      <w:r>
        <w:rPr>
          <w:spacing w:val="-3"/>
          <w:sz w:val="21"/>
        </w:rPr>
        <w:t>当建筑物室内设有自动喷水灭火系统、水喷雾灭火系统、泡沫灭火系统或固定消防炮</w:t>
      </w:r>
      <w:r>
        <w:rPr>
          <w:spacing w:val="-5"/>
          <w:sz w:val="21"/>
        </w:rPr>
        <w:t>灭火系统等一种或两种以上自动水灭火系统全保护时，高层建筑当高度不超过</w:t>
      </w:r>
      <w:r>
        <w:rPr>
          <w:spacing w:val="-5"/>
          <w:sz w:val="21"/>
        </w:rPr>
        <w:t xml:space="preserve"> </w:t>
      </w:r>
      <w:r>
        <w:rPr>
          <w:sz w:val="21"/>
        </w:rPr>
        <w:t>50m</w:t>
      </w:r>
      <w:r>
        <w:rPr>
          <w:spacing w:val="-10"/>
          <w:sz w:val="21"/>
        </w:rPr>
        <w:t xml:space="preserve"> </w:t>
      </w:r>
      <w:r>
        <w:rPr>
          <w:spacing w:val="-10"/>
          <w:sz w:val="21"/>
        </w:rPr>
        <w:t>且室内消火栓系统设计流量超过</w:t>
      </w:r>
      <w:r>
        <w:rPr>
          <w:spacing w:val="-10"/>
          <w:sz w:val="21"/>
        </w:rPr>
        <w:t xml:space="preserve"> </w:t>
      </w:r>
      <w:r>
        <w:rPr>
          <w:sz w:val="21"/>
        </w:rPr>
        <w:t>20L/s</w:t>
      </w:r>
      <w:r>
        <w:rPr>
          <w:spacing w:val="-10"/>
          <w:sz w:val="21"/>
        </w:rPr>
        <w:t xml:space="preserve"> </w:t>
      </w:r>
      <w:r>
        <w:rPr>
          <w:spacing w:val="-10"/>
          <w:sz w:val="21"/>
        </w:rPr>
        <w:t>时，其室内消火栓设计流量可按本规范表</w:t>
      </w:r>
      <w:r>
        <w:rPr>
          <w:spacing w:val="-10"/>
          <w:sz w:val="21"/>
        </w:rPr>
        <w:t xml:space="preserve"> </w:t>
      </w:r>
      <w:r>
        <w:rPr>
          <w:sz w:val="21"/>
        </w:rPr>
        <w:t>3.5.2</w:t>
      </w:r>
      <w:r>
        <w:rPr>
          <w:spacing w:val="-26"/>
          <w:sz w:val="21"/>
        </w:rPr>
        <w:t xml:space="preserve"> </w:t>
      </w:r>
      <w:r>
        <w:rPr>
          <w:spacing w:val="-26"/>
          <w:sz w:val="21"/>
        </w:rPr>
        <w:t>减少</w:t>
      </w:r>
      <w:r>
        <w:rPr>
          <w:spacing w:val="-26"/>
          <w:sz w:val="21"/>
        </w:rPr>
        <w:t xml:space="preserve"> </w:t>
      </w:r>
      <w:r>
        <w:rPr>
          <w:sz w:val="21"/>
        </w:rPr>
        <w:t>5L/s</w:t>
      </w:r>
      <w:r>
        <w:rPr>
          <w:spacing w:val="-2"/>
          <w:sz w:val="21"/>
        </w:rPr>
        <w:t>；多层建</w:t>
      </w:r>
      <w:r>
        <w:rPr>
          <w:spacing w:val="-7"/>
          <w:sz w:val="21"/>
        </w:rPr>
        <w:t>筑室内消火栓设计流量可减少</w:t>
      </w:r>
      <w:r>
        <w:rPr>
          <w:spacing w:val="-7"/>
          <w:sz w:val="21"/>
        </w:rPr>
        <w:t xml:space="preserve"> </w:t>
      </w:r>
      <w:r>
        <w:rPr>
          <w:sz w:val="21"/>
        </w:rPr>
        <w:t>50</w:t>
      </w:r>
      <w:r>
        <w:rPr>
          <w:spacing w:val="-9"/>
          <w:sz w:val="21"/>
        </w:rPr>
        <w:t>%</w:t>
      </w:r>
      <w:r>
        <w:rPr>
          <w:spacing w:val="-9"/>
          <w:sz w:val="21"/>
        </w:rPr>
        <w:t>，但不应小于</w:t>
      </w:r>
      <w:r>
        <w:rPr>
          <w:spacing w:val="-9"/>
          <w:sz w:val="21"/>
        </w:rPr>
        <w:t xml:space="preserve"> </w:t>
      </w:r>
      <w:r>
        <w:rPr>
          <w:sz w:val="21"/>
        </w:rPr>
        <w:t>10L/s</w:t>
      </w:r>
      <w:r>
        <w:rPr>
          <w:spacing w:val="-3"/>
          <w:sz w:val="21"/>
        </w:rPr>
        <w:t>。</w:t>
      </w:r>
      <w:r>
        <w:rPr>
          <w:sz w:val="21"/>
        </w:rPr>
        <w:t xml:space="preserve"> </w:t>
      </w:r>
    </w:p>
    <w:p w14:paraId="63AEC827" w14:textId="77777777" w:rsidR="00A71EEF" w:rsidRDefault="00A71EEF">
      <w:pPr>
        <w:spacing w:line="446" w:lineRule="auto"/>
        <w:rPr>
          <w:sz w:val="21"/>
        </w:rPr>
        <w:sectPr w:rsidR="00A71EEF">
          <w:pgSz w:w="11910" w:h="16850"/>
          <w:pgMar w:top="1560" w:right="0" w:bottom="1420" w:left="1260" w:header="0" w:footer="1228" w:gutter="0"/>
          <w:cols w:space="720"/>
        </w:sectPr>
      </w:pPr>
    </w:p>
    <w:p w14:paraId="4341634C" w14:textId="77777777" w:rsidR="00A71EEF" w:rsidRDefault="0081115D">
      <w:pPr>
        <w:pStyle w:val="a4"/>
        <w:numPr>
          <w:ilvl w:val="2"/>
          <w:numId w:val="314"/>
        </w:numPr>
        <w:tabs>
          <w:tab w:val="left" w:pos="1424"/>
        </w:tabs>
        <w:spacing w:before="47" w:line="446" w:lineRule="auto"/>
        <w:ind w:right="1445" w:firstLine="422"/>
        <w:rPr>
          <w:sz w:val="21"/>
        </w:rPr>
      </w:pPr>
      <w:r>
        <w:rPr>
          <w:spacing w:val="-3"/>
          <w:sz w:val="21"/>
        </w:rPr>
        <w:t>宿舍、公寓等非住宅类居住建筑的室内消火栓设计流量，当为多层建筑时，应按本规</w:t>
      </w:r>
      <w:r>
        <w:rPr>
          <w:spacing w:val="-18"/>
          <w:sz w:val="21"/>
        </w:rPr>
        <w:t>范表</w:t>
      </w:r>
      <w:r>
        <w:rPr>
          <w:spacing w:val="-18"/>
          <w:sz w:val="21"/>
        </w:rPr>
        <w:t xml:space="preserve"> </w:t>
      </w:r>
      <w:r>
        <w:rPr>
          <w:sz w:val="21"/>
        </w:rPr>
        <w:t>3.5.2</w:t>
      </w:r>
      <w:r>
        <w:rPr>
          <w:spacing w:val="-10"/>
          <w:sz w:val="21"/>
        </w:rPr>
        <w:t xml:space="preserve"> </w:t>
      </w:r>
      <w:r>
        <w:rPr>
          <w:spacing w:val="-10"/>
          <w:sz w:val="21"/>
        </w:rPr>
        <w:t>中的宿舍、公寓确定，当为高层建筑时，应按本规范表</w:t>
      </w:r>
      <w:r>
        <w:rPr>
          <w:spacing w:val="-10"/>
          <w:sz w:val="21"/>
        </w:rPr>
        <w:t xml:space="preserve"> </w:t>
      </w:r>
      <w:r>
        <w:rPr>
          <w:sz w:val="21"/>
        </w:rPr>
        <w:t>3.5.2</w:t>
      </w:r>
      <w:r>
        <w:rPr>
          <w:spacing w:val="-8"/>
          <w:sz w:val="21"/>
        </w:rPr>
        <w:t xml:space="preserve"> </w:t>
      </w:r>
      <w:r>
        <w:rPr>
          <w:spacing w:val="-8"/>
          <w:sz w:val="21"/>
        </w:rPr>
        <w:t>中的公共建筑确定。</w:t>
      </w:r>
      <w:r>
        <w:rPr>
          <w:sz w:val="21"/>
        </w:rPr>
        <w:t xml:space="preserve"> </w:t>
      </w:r>
    </w:p>
    <w:p w14:paraId="3E8B405D" w14:textId="77777777" w:rsidR="00A71EEF" w:rsidRDefault="0081115D">
      <w:pPr>
        <w:pStyle w:val="a4"/>
        <w:numPr>
          <w:ilvl w:val="2"/>
          <w:numId w:val="314"/>
        </w:numPr>
        <w:tabs>
          <w:tab w:val="left" w:pos="1424"/>
        </w:tabs>
        <w:spacing w:line="267" w:lineRule="exact"/>
        <w:ind w:left="1423"/>
        <w:rPr>
          <w:sz w:val="21"/>
        </w:rPr>
      </w:pPr>
      <w:r>
        <w:rPr>
          <w:spacing w:val="-6"/>
          <w:sz w:val="21"/>
        </w:rPr>
        <w:t>城市交通隧道内室内消火栓设计流量不应小于表</w:t>
      </w:r>
      <w:r>
        <w:rPr>
          <w:spacing w:val="-6"/>
          <w:sz w:val="21"/>
        </w:rPr>
        <w:t xml:space="preserve"> </w:t>
      </w:r>
      <w:r>
        <w:rPr>
          <w:sz w:val="21"/>
        </w:rPr>
        <w:t>3.5.5</w:t>
      </w:r>
      <w:r>
        <w:rPr>
          <w:spacing w:val="-13"/>
          <w:sz w:val="21"/>
        </w:rPr>
        <w:t xml:space="preserve"> </w:t>
      </w:r>
      <w:r>
        <w:rPr>
          <w:spacing w:val="-13"/>
          <w:sz w:val="21"/>
        </w:rPr>
        <w:t>的规定。</w:t>
      </w:r>
      <w:r>
        <w:rPr>
          <w:sz w:val="21"/>
        </w:rPr>
        <w:t xml:space="preserve"> </w:t>
      </w:r>
    </w:p>
    <w:p w14:paraId="7F30FCE2" w14:textId="77777777" w:rsidR="00A71EEF" w:rsidRDefault="00A71EEF">
      <w:pPr>
        <w:pStyle w:val="a3"/>
        <w:spacing w:before="2"/>
        <w:rPr>
          <w:sz w:val="18"/>
        </w:rPr>
      </w:pPr>
    </w:p>
    <w:p w14:paraId="156266C9" w14:textId="77777777" w:rsidR="00A71EEF" w:rsidRDefault="0081115D">
      <w:pPr>
        <w:pStyle w:val="6"/>
        <w:ind w:left="2888"/>
      </w:pPr>
      <w:r>
        <w:t>表</w:t>
      </w:r>
      <w:r>
        <w:t xml:space="preserve"> 3.5.5 </w:t>
      </w:r>
      <w:r>
        <w:t>城市交通隧道内室内消火栓设计流量</w:t>
      </w:r>
      <w:r>
        <w:rPr>
          <w:w w:val="99"/>
        </w:rPr>
        <w:t xml:space="preserve"> </w:t>
      </w:r>
    </w:p>
    <w:p w14:paraId="7B0DEA15" w14:textId="77777777" w:rsidR="00A71EEF" w:rsidRDefault="0081115D">
      <w:pPr>
        <w:pStyle w:val="a3"/>
        <w:spacing w:before="3"/>
        <w:rPr>
          <w:b/>
          <w:sz w:val="24"/>
        </w:rPr>
      </w:pPr>
      <w:r>
        <w:rPr>
          <w:noProof/>
        </w:rPr>
        <w:drawing>
          <wp:anchor distT="0" distB="0" distL="0" distR="0" simplePos="0" relativeHeight="251653632" behindDoc="0" locked="0" layoutInCell="1" allowOverlap="1" wp14:anchorId="612999B4" wp14:editId="13FA7EC9">
            <wp:simplePos x="0" y="0"/>
            <wp:positionH relativeFrom="page">
              <wp:posOffset>1434464</wp:posOffset>
            </wp:positionH>
            <wp:positionV relativeFrom="paragraph">
              <wp:posOffset>222027</wp:posOffset>
            </wp:positionV>
            <wp:extent cx="4804744" cy="1329594"/>
            <wp:effectExtent l="0" t="0" r="0" b="0"/>
            <wp:wrapTopAndBottom/>
            <wp:docPr id="539" name="image3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image312.jpeg"/>
                    <pic:cNvPicPr/>
                  </pic:nvPicPr>
                  <pic:blipFill>
                    <a:blip r:embed="rId371" cstate="print"/>
                    <a:stretch>
                      <a:fillRect/>
                    </a:stretch>
                  </pic:blipFill>
                  <pic:spPr>
                    <a:xfrm>
                      <a:off x="0" y="0"/>
                      <a:ext cx="4804744" cy="1329594"/>
                    </a:xfrm>
                    <a:prstGeom prst="rect">
                      <a:avLst/>
                    </a:prstGeom>
                  </pic:spPr>
                </pic:pic>
              </a:graphicData>
            </a:graphic>
          </wp:anchor>
        </w:drawing>
      </w:r>
    </w:p>
    <w:p w14:paraId="5FDA2941" w14:textId="77777777" w:rsidR="00A71EEF" w:rsidRDefault="0081115D">
      <w:pPr>
        <w:pStyle w:val="a4"/>
        <w:numPr>
          <w:ilvl w:val="2"/>
          <w:numId w:val="314"/>
        </w:numPr>
        <w:tabs>
          <w:tab w:val="left" w:pos="1371"/>
        </w:tabs>
        <w:spacing w:before="158"/>
        <w:ind w:left="1370" w:hanging="531"/>
        <w:rPr>
          <w:sz w:val="19"/>
        </w:rPr>
      </w:pPr>
      <w:r>
        <w:rPr>
          <w:spacing w:val="-6"/>
          <w:sz w:val="21"/>
        </w:rPr>
        <w:t>地铁地下车站室内消火栓设计流量不应小于</w:t>
      </w:r>
      <w:r>
        <w:rPr>
          <w:spacing w:val="-6"/>
          <w:sz w:val="21"/>
        </w:rPr>
        <w:t xml:space="preserve"> </w:t>
      </w:r>
      <w:r>
        <w:rPr>
          <w:sz w:val="21"/>
        </w:rPr>
        <w:t>20L/s</w:t>
      </w:r>
      <w:r>
        <w:rPr>
          <w:spacing w:val="-8"/>
          <w:sz w:val="21"/>
        </w:rPr>
        <w:t>，区间隧道不应小于</w:t>
      </w:r>
      <w:r>
        <w:rPr>
          <w:spacing w:val="-8"/>
          <w:sz w:val="21"/>
        </w:rPr>
        <w:t xml:space="preserve"> </w:t>
      </w:r>
      <w:r>
        <w:rPr>
          <w:sz w:val="21"/>
        </w:rPr>
        <w:t>10L/s</w:t>
      </w:r>
      <w:r>
        <w:rPr>
          <w:spacing w:val="-3"/>
          <w:sz w:val="21"/>
        </w:rPr>
        <w:t>。</w:t>
      </w:r>
      <w:r>
        <w:rPr>
          <w:sz w:val="21"/>
        </w:rPr>
        <w:t xml:space="preserve"> </w:t>
      </w:r>
    </w:p>
    <w:p w14:paraId="4F6D85BE" w14:textId="77777777" w:rsidR="00A71EEF" w:rsidRDefault="00A71EEF">
      <w:pPr>
        <w:pStyle w:val="a3"/>
        <w:rPr>
          <w:sz w:val="18"/>
        </w:rPr>
      </w:pPr>
    </w:p>
    <w:p w14:paraId="37B0AFC7" w14:textId="77777777" w:rsidR="00A71EEF" w:rsidRDefault="0081115D">
      <w:pPr>
        <w:pStyle w:val="a4"/>
        <w:numPr>
          <w:ilvl w:val="1"/>
          <w:numId w:val="314"/>
        </w:numPr>
        <w:tabs>
          <w:tab w:val="left" w:pos="1160"/>
        </w:tabs>
        <w:ind w:left="1159" w:hanging="320"/>
        <w:rPr>
          <w:b/>
          <w:sz w:val="21"/>
        </w:rPr>
      </w:pPr>
      <w:r>
        <w:rPr>
          <w:spacing w:val="-3"/>
          <w:sz w:val="21"/>
        </w:rPr>
        <w:t>消防用水量</w:t>
      </w:r>
      <w:r>
        <w:rPr>
          <w:b/>
          <w:w w:val="99"/>
          <w:sz w:val="21"/>
        </w:rPr>
        <w:t xml:space="preserve"> </w:t>
      </w:r>
    </w:p>
    <w:p w14:paraId="10543266" w14:textId="77777777" w:rsidR="00A71EEF" w:rsidRDefault="00A71EEF">
      <w:pPr>
        <w:pStyle w:val="a3"/>
        <w:spacing w:before="12"/>
        <w:rPr>
          <w:b/>
          <w:sz w:val="17"/>
        </w:rPr>
      </w:pPr>
    </w:p>
    <w:p w14:paraId="091E2303" w14:textId="77777777" w:rsidR="00A71EEF" w:rsidRDefault="0081115D">
      <w:pPr>
        <w:pStyle w:val="a4"/>
        <w:numPr>
          <w:ilvl w:val="2"/>
          <w:numId w:val="314"/>
        </w:numPr>
        <w:tabs>
          <w:tab w:val="left" w:pos="1424"/>
        </w:tabs>
        <w:spacing w:line="446" w:lineRule="auto"/>
        <w:ind w:right="1657" w:firstLine="422"/>
        <w:rPr>
          <w:sz w:val="21"/>
        </w:rPr>
      </w:pPr>
      <w:r>
        <w:rPr>
          <w:spacing w:val="-3"/>
          <w:sz w:val="21"/>
        </w:rPr>
        <w:t>消防给水一起火灾灭火用水量应按需要同时作用的室内、外消防给水用水量之和计算，两座及以上建筑合用时，应取最大者，并应按下列公式计算：</w:t>
      </w:r>
      <w:r>
        <w:rPr>
          <w:sz w:val="21"/>
        </w:rPr>
        <w:t xml:space="preserve"> </w:t>
      </w:r>
    </w:p>
    <w:p w14:paraId="6431E728" w14:textId="77777777" w:rsidR="00A71EEF" w:rsidRDefault="0081115D">
      <w:pPr>
        <w:pStyle w:val="a3"/>
        <w:spacing w:before="5"/>
        <w:rPr>
          <w:sz w:val="18"/>
        </w:rPr>
      </w:pPr>
      <w:r>
        <w:rPr>
          <w:noProof/>
        </w:rPr>
        <w:drawing>
          <wp:anchor distT="0" distB="0" distL="0" distR="0" simplePos="0" relativeHeight="251654656" behindDoc="0" locked="0" layoutInCell="1" allowOverlap="1" wp14:anchorId="0BDEAA2F" wp14:editId="78337349">
            <wp:simplePos x="0" y="0"/>
            <wp:positionH relativeFrom="page">
              <wp:posOffset>1970106</wp:posOffset>
            </wp:positionH>
            <wp:positionV relativeFrom="paragraph">
              <wp:posOffset>174717</wp:posOffset>
            </wp:positionV>
            <wp:extent cx="3484678" cy="2286000"/>
            <wp:effectExtent l="0" t="0" r="0" b="0"/>
            <wp:wrapTopAndBottom/>
            <wp:docPr id="541" name="image3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image313.jpeg"/>
                    <pic:cNvPicPr/>
                  </pic:nvPicPr>
                  <pic:blipFill>
                    <a:blip r:embed="rId372" cstate="print"/>
                    <a:stretch>
                      <a:fillRect/>
                    </a:stretch>
                  </pic:blipFill>
                  <pic:spPr>
                    <a:xfrm>
                      <a:off x="0" y="0"/>
                      <a:ext cx="3484678" cy="2286000"/>
                    </a:xfrm>
                    <a:prstGeom prst="rect">
                      <a:avLst/>
                    </a:prstGeom>
                  </pic:spPr>
                </pic:pic>
              </a:graphicData>
            </a:graphic>
          </wp:anchor>
        </w:drawing>
      </w:r>
    </w:p>
    <w:p w14:paraId="697DC4CB" w14:textId="77777777" w:rsidR="00A71EEF" w:rsidRDefault="00A71EEF">
      <w:pPr>
        <w:pStyle w:val="a3"/>
        <w:rPr>
          <w:sz w:val="20"/>
        </w:rPr>
      </w:pPr>
    </w:p>
    <w:p w14:paraId="18F382BB" w14:textId="77777777" w:rsidR="00A71EEF" w:rsidRDefault="00A71EEF">
      <w:pPr>
        <w:pStyle w:val="a3"/>
        <w:rPr>
          <w:sz w:val="20"/>
        </w:rPr>
      </w:pPr>
    </w:p>
    <w:p w14:paraId="50EAF163" w14:textId="77777777" w:rsidR="00A71EEF" w:rsidRDefault="00A71EEF">
      <w:pPr>
        <w:pStyle w:val="a3"/>
        <w:rPr>
          <w:sz w:val="20"/>
        </w:rPr>
      </w:pPr>
    </w:p>
    <w:p w14:paraId="603B384E" w14:textId="77777777" w:rsidR="00A71EEF" w:rsidRDefault="00A71EEF">
      <w:pPr>
        <w:pStyle w:val="a3"/>
        <w:rPr>
          <w:sz w:val="20"/>
        </w:rPr>
      </w:pPr>
    </w:p>
    <w:p w14:paraId="5AEC0444" w14:textId="77777777" w:rsidR="00A71EEF" w:rsidRDefault="0081115D">
      <w:pPr>
        <w:pStyle w:val="a3"/>
        <w:spacing w:before="4"/>
        <w:rPr>
          <w:sz w:val="22"/>
        </w:rPr>
      </w:pPr>
      <w:r>
        <w:rPr>
          <w:noProof/>
        </w:rPr>
        <w:drawing>
          <wp:anchor distT="0" distB="0" distL="0" distR="0" simplePos="0" relativeHeight="251655680" behindDoc="0" locked="0" layoutInCell="1" allowOverlap="1" wp14:anchorId="68DAA9C8" wp14:editId="27B05E03">
            <wp:simplePos x="0" y="0"/>
            <wp:positionH relativeFrom="page">
              <wp:posOffset>1970211</wp:posOffset>
            </wp:positionH>
            <wp:positionV relativeFrom="paragraph">
              <wp:posOffset>206711</wp:posOffset>
            </wp:positionV>
            <wp:extent cx="2808148" cy="1076325"/>
            <wp:effectExtent l="0" t="0" r="0" b="0"/>
            <wp:wrapTopAndBottom/>
            <wp:docPr id="543" name="image3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image314.jpeg"/>
                    <pic:cNvPicPr/>
                  </pic:nvPicPr>
                  <pic:blipFill>
                    <a:blip r:embed="rId373" cstate="print"/>
                    <a:stretch>
                      <a:fillRect/>
                    </a:stretch>
                  </pic:blipFill>
                  <pic:spPr>
                    <a:xfrm>
                      <a:off x="0" y="0"/>
                      <a:ext cx="2808148" cy="1076325"/>
                    </a:xfrm>
                    <a:prstGeom prst="rect">
                      <a:avLst/>
                    </a:prstGeom>
                  </pic:spPr>
                </pic:pic>
              </a:graphicData>
            </a:graphic>
          </wp:anchor>
        </w:drawing>
      </w:r>
    </w:p>
    <w:p w14:paraId="2B6C8F2E" w14:textId="77777777" w:rsidR="00A71EEF" w:rsidRDefault="00A71EEF">
      <w:pPr>
        <w:pStyle w:val="a3"/>
        <w:spacing w:before="9"/>
        <w:rPr>
          <w:sz w:val="10"/>
        </w:rPr>
      </w:pPr>
    </w:p>
    <w:p w14:paraId="7EBD8F74" w14:textId="77777777" w:rsidR="00A71EEF" w:rsidRDefault="0081115D">
      <w:pPr>
        <w:pStyle w:val="a4"/>
        <w:numPr>
          <w:ilvl w:val="2"/>
          <w:numId w:val="314"/>
        </w:numPr>
        <w:tabs>
          <w:tab w:val="left" w:pos="1417"/>
        </w:tabs>
        <w:spacing w:before="71"/>
        <w:ind w:left="1416" w:hanging="579"/>
        <w:rPr>
          <w:sz w:val="21"/>
        </w:rPr>
      </w:pPr>
      <w:r>
        <w:rPr>
          <w:spacing w:val="-5"/>
          <w:sz w:val="21"/>
        </w:rPr>
        <w:t>不同场所消火栓系统和固定冷却水系统的火灾延续时间不应小于表</w:t>
      </w:r>
      <w:r>
        <w:rPr>
          <w:spacing w:val="-5"/>
          <w:sz w:val="21"/>
        </w:rPr>
        <w:t xml:space="preserve"> </w:t>
      </w:r>
      <w:r>
        <w:rPr>
          <w:sz w:val="21"/>
        </w:rPr>
        <w:t>3.6.2</w:t>
      </w:r>
      <w:r>
        <w:rPr>
          <w:spacing w:val="-13"/>
          <w:sz w:val="21"/>
        </w:rPr>
        <w:t xml:space="preserve"> </w:t>
      </w:r>
      <w:r>
        <w:rPr>
          <w:spacing w:val="-13"/>
          <w:sz w:val="21"/>
        </w:rPr>
        <w:t>的规定。</w:t>
      </w:r>
      <w:r>
        <w:rPr>
          <w:sz w:val="21"/>
        </w:rPr>
        <w:t xml:space="preserve"> </w:t>
      </w:r>
    </w:p>
    <w:p w14:paraId="49355ABD" w14:textId="77777777" w:rsidR="00A71EEF" w:rsidRDefault="00A71EEF">
      <w:pPr>
        <w:rPr>
          <w:sz w:val="21"/>
        </w:rPr>
        <w:sectPr w:rsidR="00A71EEF">
          <w:pgSz w:w="11910" w:h="16850"/>
          <w:pgMar w:top="1220" w:right="0" w:bottom="1420" w:left="1260" w:header="0" w:footer="1228" w:gutter="0"/>
          <w:cols w:space="720"/>
        </w:sectPr>
      </w:pPr>
    </w:p>
    <w:p w14:paraId="1EE6D968" w14:textId="77777777" w:rsidR="00A71EEF" w:rsidRDefault="0081115D">
      <w:pPr>
        <w:pStyle w:val="a3"/>
        <w:ind w:left="381"/>
        <w:rPr>
          <w:sz w:val="20"/>
        </w:rPr>
      </w:pPr>
      <w:r>
        <w:rPr>
          <w:noProof/>
          <w:sz w:val="20"/>
        </w:rPr>
        <w:drawing>
          <wp:inline distT="0" distB="0" distL="0" distR="0" wp14:anchorId="34135256" wp14:editId="644A7E63">
            <wp:extent cx="4681765" cy="3712464"/>
            <wp:effectExtent l="0" t="0" r="0" b="0"/>
            <wp:docPr id="545" name="image3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image315.jpeg"/>
                    <pic:cNvPicPr/>
                  </pic:nvPicPr>
                  <pic:blipFill>
                    <a:blip r:embed="rId374" cstate="print"/>
                    <a:stretch>
                      <a:fillRect/>
                    </a:stretch>
                  </pic:blipFill>
                  <pic:spPr>
                    <a:xfrm>
                      <a:off x="0" y="0"/>
                      <a:ext cx="4681765" cy="3712464"/>
                    </a:xfrm>
                    <a:prstGeom prst="rect">
                      <a:avLst/>
                    </a:prstGeom>
                  </pic:spPr>
                </pic:pic>
              </a:graphicData>
            </a:graphic>
          </wp:inline>
        </w:drawing>
      </w:r>
    </w:p>
    <w:p w14:paraId="192F2EF8" w14:textId="77777777" w:rsidR="00A71EEF" w:rsidRDefault="00A71EEF">
      <w:pPr>
        <w:pStyle w:val="a3"/>
        <w:spacing w:before="1"/>
      </w:pPr>
    </w:p>
    <w:p w14:paraId="42299ECF" w14:textId="77777777" w:rsidR="00A71EEF" w:rsidRDefault="0081115D">
      <w:pPr>
        <w:pStyle w:val="a3"/>
        <w:spacing w:before="71"/>
        <w:ind w:left="418"/>
      </w:pPr>
      <w:r>
        <w:rPr>
          <w:noProof/>
        </w:rPr>
        <w:drawing>
          <wp:anchor distT="0" distB="0" distL="0" distR="0" simplePos="0" relativeHeight="251656704" behindDoc="0" locked="0" layoutInCell="1" allowOverlap="1" wp14:anchorId="18DF914E" wp14:editId="53D6220B">
            <wp:simplePos x="0" y="0"/>
            <wp:positionH relativeFrom="page">
              <wp:posOffset>1065530</wp:posOffset>
            </wp:positionH>
            <wp:positionV relativeFrom="paragraph">
              <wp:posOffset>249301</wp:posOffset>
            </wp:positionV>
            <wp:extent cx="4828502" cy="4914900"/>
            <wp:effectExtent l="0" t="0" r="0" b="0"/>
            <wp:wrapTopAndBottom/>
            <wp:docPr id="547" name="image3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image316.jpeg"/>
                    <pic:cNvPicPr/>
                  </pic:nvPicPr>
                  <pic:blipFill>
                    <a:blip r:embed="rId375" cstate="print"/>
                    <a:stretch>
                      <a:fillRect/>
                    </a:stretch>
                  </pic:blipFill>
                  <pic:spPr>
                    <a:xfrm>
                      <a:off x="0" y="0"/>
                      <a:ext cx="4828502" cy="4914900"/>
                    </a:xfrm>
                    <a:prstGeom prst="rect">
                      <a:avLst/>
                    </a:prstGeom>
                  </pic:spPr>
                </pic:pic>
              </a:graphicData>
            </a:graphic>
          </wp:anchor>
        </w:drawing>
      </w:r>
      <w:r>
        <w:t xml:space="preserve"> </w:t>
      </w:r>
    </w:p>
    <w:p w14:paraId="51BE4650" w14:textId="77777777" w:rsidR="00A71EEF" w:rsidRDefault="00A71EEF">
      <w:pPr>
        <w:sectPr w:rsidR="00A71EEF">
          <w:pgSz w:w="11910" w:h="16850"/>
          <w:pgMar w:top="1080" w:right="0" w:bottom="1420" w:left="1260" w:header="0" w:footer="1228" w:gutter="0"/>
          <w:cols w:space="720"/>
        </w:sectPr>
      </w:pPr>
    </w:p>
    <w:p w14:paraId="0B9C401C" w14:textId="77777777" w:rsidR="00A71EEF" w:rsidRDefault="0081115D">
      <w:pPr>
        <w:pStyle w:val="a4"/>
        <w:numPr>
          <w:ilvl w:val="2"/>
          <w:numId w:val="314"/>
        </w:numPr>
        <w:tabs>
          <w:tab w:val="left" w:pos="1424"/>
        </w:tabs>
        <w:spacing w:before="47" w:line="446" w:lineRule="auto"/>
        <w:ind w:right="1445" w:firstLine="422"/>
        <w:rPr>
          <w:sz w:val="21"/>
        </w:rPr>
      </w:pPr>
      <w:r>
        <w:rPr>
          <w:spacing w:val="-3"/>
          <w:sz w:val="21"/>
        </w:rPr>
        <w:t>自动喷水灭火系统、泡沫灭火系统、水喷雾灭火系统、固定消防炮灭火系统、自动跟踪定位射流灭火系统等水灭火系统的火灾延续时间，应分别按现行国家标准《自动喷水灭火系</w:t>
      </w:r>
      <w:r>
        <w:rPr>
          <w:spacing w:val="-3"/>
          <w:sz w:val="21"/>
        </w:rPr>
        <w:t xml:space="preserve"> </w:t>
      </w:r>
      <w:r>
        <w:rPr>
          <w:spacing w:val="-3"/>
          <w:sz w:val="21"/>
        </w:rPr>
        <w:t>统设计规范》</w:t>
      </w:r>
      <w:r>
        <w:rPr>
          <w:sz w:val="21"/>
        </w:rPr>
        <w:t>GB</w:t>
      </w:r>
      <w:r>
        <w:rPr>
          <w:spacing w:val="9"/>
          <w:sz w:val="21"/>
        </w:rPr>
        <w:t xml:space="preserve"> </w:t>
      </w:r>
      <w:r>
        <w:rPr>
          <w:sz w:val="21"/>
        </w:rPr>
        <w:t>50084</w:t>
      </w:r>
      <w:r>
        <w:rPr>
          <w:spacing w:val="-3"/>
          <w:sz w:val="21"/>
        </w:rPr>
        <w:t>、《泡沫灭火系统设计规范》</w:t>
      </w:r>
      <w:r>
        <w:rPr>
          <w:sz w:val="21"/>
        </w:rPr>
        <w:t>GB</w:t>
      </w:r>
      <w:r>
        <w:rPr>
          <w:spacing w:val="10"/>
          <w:sz w:val="21"/>
        </w:rPr>
        <w:t xml:space="preserve"> </w:t>
      </w:r>
      <w:r>
        <w:rPr>
          <w:sz w:val="21"/>
        </w:rPr>
        <w:t>50151</w:t>
      </w:r>
      <w:r>
        <w:rPr>
          <w:spacing w:val="-3"/>
          <w:sz w:val="21"/>
        </w:rPr>
        <w:t>、《水喷雾灭火系统设计规范》</w:t>
      </w:r>
      <w:r>
        <w:rPr>
          <w:spacing w:val="-3"/>
          <w:sz w:val="21"/>
        </w:rPr>
        <w:t>GB</w:t>
      </w:r>
      <w:r>
        <w:rPr>
          <w:spacing w:val="1"/>
          <w:sz w:val="21"/>
        </w:rPr>
        <w:t xml:space="preserve"> </w:t>
      </w:r>
      <w:r>
        <w:rPr>
          <w:sz w:val="21"/>
        </w:rPr>
        <w:t>50219</w:t>
      </w:r>
      <w:r>
        <w:rPr>
          <w:spacing w:val="-3"/>
          <w:sz w:val="21"/>
        </w:rPr>
        <w:t xml:space="preserve"> </w:t>
      </w:r>
      <w:r>
        <w:rPr>
          <w:spacing w:val="-3"/>
          <w:sz w:val="21"/>
        </w:rPr>
        <w:t>和《固定消防炮灭火系统设计规范》</w:t>
      </w:r>
      <w:r>
        <w:rPr>
          <w:sz w:val="21"/>
        </w:rPr>
        <w:t>GB</w:t>
      </w:r>
      <w:r>
        <w:rPr>
          <w:spacing w:val="2"/>
          <w:sz w:val="21"/>
        </w:rPr>
        <w:t xml:space="preserve"> </w:t>
      </w:r>
      <w:r>
        <w:rPr>
          <w:sz w:val="21"/>
        </w:rPr>
        <w:t>50338</w:t>
      </w:r>
      <w:r>
        <w:rPr>
          <w:spacing w:val="-10"/>
          <w:sz w:val="21"/>
        </w:rPr>
        <w:t xml:space="preserve"> </w:t>
      </w:r>
      <w:r>
        <w:rPr>
          <w:spacing w:val="-10"/>
          <w:sz w:val="21"/>
        </w:rPr>
        <w:t>的有关规定执行。</w:t>
      </w:r>
      <w:r>
        <w:rPr>
          <w:sz w:val="21"/>
        </w:rPr>
        <w:t xml:space="preserve"> </w:t>
      </w:r>
    </w:p>
    <w:p w14:paraId="04542BDF" w14:textId="77777777" w:rsidR="00A71EEF" w:rsidRDefault="0081115D">
      <w:pPr>
        <w:pStyle w:val="a4"/>
        <w:numPr>
          <w:ilvl w:val="2"/>
          <w:numId w:val="314"/>
        </w:numPr>
        <w:tabs>
          <w:tab w:val="left" w:pos="1424"/>
        </w:tabs>
        <w:spacing w:line="446" w:lineRule="auto"/>
        <w:ind w:right="1445" w:firstLine="422"/>
        <w:rPr>
          <w:sz w:val="21"/>
        </w:rPr>
      </w:pPr>
      <w:r>
        <w:rPr>
          <w:spacing w:val="-3"/>
          <w:sz w:val="21"/>
        </w:rPr>
        <w:t>建筑内用于防火分隔的防火分隔水幕和防护冷却水幕的火灾延续时间，不应小于防火分隔水幕或防护冷却火幕设置部位墙体的耐火极限。</w:t>
      </w:r>
      <w:r>
        <w:rPr>
          <w:spacing w:val="-3"/>
          <w:sz w:val="21"/>
        </w:rPr>
        <w:t xml:space="preserve"> </w:t>
      </w:r>
    </w:p>
    <w:p w14:paraId="2C23B83E" w14:textId="77777777" w:rsidR="00A71EEF" w:rsidRDefault="0081115D">
      <w:pPr>
        <w:pStyle w:val="a4"/>
        <w:numPr>
          <w:ilvl w:val="2"/>
          <w:numId w:val="314"/>
        </w:numPr>
        <w:tabs>
          <w:tab w:val="left" w:pos="1424"/>
        </w:tabs>
        <w:spacing w:line="446" w:lineRule="auto"/>
        <w:ind w:right="1448" w:firstLine="422"/>
        <w:rPr>
          <w:sz w:val="21"/>
        </w:rPr>
      </w:pPr>
      <w:r>
        <w:rPr>
          <w:spacing w:val="-5"/>
          <w:sz w:val="21"/>
        </w:rPr>
        <w:t>城市交通隧道的火灾延续时间不应小于表</w:t>
      </w:r>
      <w:r>
        <w:rPr>
          <w:spacing w:val="-5"/>
          <w:sz w:val="21"/>
        </w:rPr>
        <w:t xml:space="preserve"> </w:t>
      </w:r>
      <w:r>
        <w:rPr>
          <w:sz w:val="21"/>
        </w:rPr>
        <w:t>3.6.5</w:t>
      </w:r>
      <w:r>
        <w:rPr>
          <w:spacing w:val="-8"/>
          <w:sz w:val="21"/>
        </w:rPr>
        <w:t xml:space="preserve"> </w:t>
      </w:r>
      <w:r>
        <w:rPr>
          <w:spacing w:val="-8"/>
          <w:sz w:val="21"/>
        </w:rPr>
        <w:t>的规定，一类城市交通隧道的火灾延</w:t>
      </w:r>
      <w:r>
        <w:rPr>
          <w:spacing w:val="-7"/>
          <w:sz w:val="21"/>
        </w:rPr>
        <w:t>续时间应根据火灾危险性分析确定，确有困难时，可按不小于</w:t>
      </w:r>
      <w:r>
        <w:rPr>
          <w:spacing w:val="-7"/>
          <w:sz w:val="21"/>
        </w:rPr>
        <w:t xml:space="preserve"> </w:t>
      </w:r>
      <w:r>
        <w:rPr>
          <w:sz w:val="21"/>
        </w:rPr>
        <w:t>3.0h</w:t>
      </w:r>
      <w:r>
        <w:rPr>
          <w:spacing w:val="-20"/>
          <w:sz w:val="21"/>
        </w:rPr>
        <w:t xml:space="preserve"> </w:t>
      </w:r>
      <w:r>
        <w:rPr>
          <w:spacing w:val="-20"/>
          <w:sz w:val="21"/>
        </w:rPr>
        <w:t>计。</w:t>
      </w:r>
      <w:r>
        <w:rPr>
          <w:sz w:val="21"/>
        </w:rPr>
        <w:t xml:space="preserve"> </w:t>
      </w:r>
    </w:p>
    <w:p w14:paraId="715FFF22" w14:textId="77777777" w:rsidR="00A71EEF" w:rsidRDefault="0081115D">
      <w:pPr>
        <w:pStyle w:val="6"/>
        <w:spacing w:line="267" w:lineRule="exact"/>
        <w:ind w:left="3205"/>
      </w:pPr>
      <w:r>
        <w:t>表</w:t>
      </w:r>
      <w:r>
        <w:t xml:space="preserve"> 3.6.5 </w:t>
      </w:r>
      <w:r>
        <w:t>城市交通隧道的火灾延续时间</w:t>
      </w:r>
      <w:r>
        <w:rPr>
          <w:w w:val="99"/>
        </w:rPr>
        <w:t xml:space="preserve"> </w:t>
      </w:r>
    </w:p>
    <w:p w14:paraId="0ACBA8AD" w14:textId="77777777" w:rsidR="00A71EEF" w:rsidRDefault="00A71EEF">
      <w:pPr>
        <w:pStyle w:val="a3"/>
        <w:rPr>
          <w:b/>
          <w:sz w:val="20"/>
        </w:rPr>
      </w:pPr>
    </w:p>
    <w:p w14:paraId="4212A8EC" w14:textId="77777777" w:rsidR="00A71EEF" w:rsidRDefault="0081115D">
      <w:pPr>
        <w:pStyle w:val="a3"/>
        <w:spacing w:before="1"/>
        <w:rPr>
          <w:b/>
          <w:sz w:val="18"/>
        </w:rPr>
      </w:pPr>
      <w:r>
        <w:rPr>
          <w:noProof/>
        </w:rPr>
        <w:drawing>
          <wp:anchor distT="0" distB="0" distL="0" distR="0" simplePos="0" relativeHeight="251657728" behindDoc="0" locked="0" layoutInCell="1" allowOverlap="1" wp14:anchorId="58E4EF7D" wp14:editId="61C4730A">
            <wp:simplePos x="0" y="0"/>
            <wp:positionH relativeFrom="page">
              <wp:posOffset>1215389</wp:posOffset>
            </wp:positionH>
            <wp:positionV relativeFrom="paragraph">
              <wp:posOffset>172180</wp:posOffset>
            </wp:positionV>
            <wp:extent cx="4678373" cy="1600200"/>
            <wp:effectExtent l="0" t="0" r="0" b="0"/>
            <wp:wrapTopAndBottom/>
            <wp:docPr id="549" name="image3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317.jpeg"/>
                    <pic:cNvPicPr/>
                  </pic:nvPicPr>
                  <pic:blipFill>
                    <a:blip r:embed="rId376" cstate="print"/>
                    <a:stretch>
                      <a:fillRect/>
                    </a:stretch>
                  </pic:blipFill>
                  <pic:spPr>
                    <a:xfrm>
                      <a:off x="0" y="0"/>
                      <a:ext cx="4678373" cy="1600200"/>
                    </a:xfrm>
                    <a:prstGeom prst="rect">
                      <a:avLst/>
                    </a:prstGeom>
                  </pic:spPr>
                </pic:pic>
              </a:graphicData>
            </a:graphic>
          </wp:anchor>
        </w:drawing>
      </w:r>
    </w:p>
    <w:p w14:paraId="60E748CA" w14:textId="77777777" w:rsidR="00A71EEF" w:rsidRDefault="00A71EEF">
      <w:pPr>
        <w:pStyle w:val="a3"/>
        <w:spacing w:before="5"/>
        <w:rPr>
          <w:b/>
          <w:sz w:val="17"/>
        </w:rPr>
      </w:pPr>
    </w:p>
    <w:p w14:paraId="23E04C2B" w14:textId="77777777" w:rsidR="00A71EEF" w:rsidRDefault="0081115D">
      <w:pPr>
        <w:ind w:left="418"/>
        <w:rPr>
          <w:b/>
          <w:sz w:val="24"/>
        </w:rPr>
      </w:pPr>
      <w:r>
        <w:rPr>
          <w:b/>
          <w:sz w:val="24"/>
        </w:rPr>
        <w:t xml:space="preserve">4 </w:t>
      </w:r>
      <w:r>
        <w:rPr>
          <w:b/>
          <w:sz w:val="24"/>
        </w:rPr>
        <w:t>消防水源</w:t>
      </w:r>
      <w:r>
        <w:rPr>
          <w:b/>
          <w:w w:val="99"/>
          <w:sz w:val="24"/>
        </w:rPr>
        <w:t xml:space="preserve"> </w:t>
      </w:r>
    </w:p>
    <w:p w14:paraId="6ED6DED7" w14:textId="77777777" w:rsidR="00A71EEF" w:rsidRDefault="00A71EEF">
      <w:pPr>
        <w:pStyle w:val="a3"/>
        <w:spacing w:before="4"/>
        <w:rPr>
          <w:b/>
          <w:sz w:val="17"/>
        </w:rPr>
      </w:pPr>
    </w:p>
    <w:p w14:paraId="442FDA69" w14:textId="77777777" w:rsidR="00A71EEF" w:rsidRDefault="0081115D">
      <w:pPr>
        <w:pStyle w:val="a4"/>
        <w:numPr>
          <w:ilvl w:val="1"/>
          <w:numId w:val="303"/>
        </w:numPr>
        <w:tabs>
          <w:tab w:val="left" w:pos="1159"/>
        </w:tabs>
        <w:ind w:hanging="319"/>
        <w:rPr>
          <w:sz w:val="21"/>
        </w:rPr>
      </w:pPr>
      <w:r>
        <w:rPr>
          <w:spacing w:val="-3"/>
          <w:sz w:val="21"/>
        </w:rPr>
        <w:t>一般规定</w:t>
      </w:r>
      <w:r>
        <w:rPr>
          <w:sz w:val="21"/>
        </w:rPr>
        <w:t xml:space="preserve"> </w:t>
      </w:r>
    </w:p>
    <w:p w14:paraId="7ADAD52B" w14:textId="77777777" w:rsidR="00A71EEF" w:rsidRDefault="00A71EEF">
      <w:pPr>
        <w:pStyle w:val="a3"/>
        <w:spacing w:before="2"/>
        <w:rPr>
          <w:sz w:val="18"/>
        </w:rPr>
      </w:pPr>
    </w:p>
    <w:p w14:paraId="3830C975" w14:textId="77777777" w:rsidR="00A71EEF" w:rsidRDefault="0081115D">
      <w:pPr>
        <w:pStyle w:val="a4"/>
        <w:numPr>
          <w:ilvl w:val="2"/>
          <w:numId w:val="303"/>
        </w:numPr>
        <w:tabs>
          <w:tab w:val="left" w:pos="1424"/>
        </w:tabs>
        <w:rPr>
          <w:sz w:val="21"/>
        </w:rPr>
      </w:pPr>
      <w:r>
        <w:rPr>
          <w:spacing w:val="-3"/>
          <w:sz w:val="21"/>
        </w:rPr>
        <w:t>在城乡规划区域范围内，市政消防给水应与市政给水管网同步规划、设计与实施。</w:t>
      </w:r>
      <w:r>
        <w:rPr>
          <w:sz w:val="21"/>
        </w:rPr>
        <w:t xml:space="preserve"> </w:t>
      </w:r>
    </w:p>
    <w:p w14:paraId="42AD6AA4" w14:textId="77777777" w:rsidR="00A71EEF" w:rsidRDefault="00A71EEF">
      <w:pPr>
        <w:pStyle w:val="a3"/>
        <w:spacing w:before="12"/>
        <w:rPr>
          <w:sz w:val="17"/>
        </w:rPr>
      </w:pPr>
    </w:p>
    <w:p w14:paraId="11E0E6F4" w14:textId="77777777" w:rsidR="00A71EEF" w:rsidRDefault="0081115D">
      <w:pPr>
        <w:pStyle w:val="a4"/>
        <w:numPr>
          <w:ilvl w:val="2"/>
          <w:numId w:val="303"/>
        </w:numPr>
        <w:tabs>
          <w:tab w:val="left" w:pos="1424"/>
        </w:tabs>
        <w:rPr>
          <w:sz w:val="21"/>
        </w:rPr>
      </w:pPr>
      <w:r>
        <w:rPr>
          <w:spacing w:val="-3"/>
          <w:sz w:val="21"/>
        </w:rPr>
        <w:t>消防水源水质应满足水灭火设施的功能要求。</w:t>
      </w:r>
      <w:r>
        <w:rPr>
          <w:spacing w:val="-3"/>
          <w:sz w:val="21"/>
        </w:rPr>
        <w:t xml:space="preserve"> </w:t>
      </w:r>
    </w:p>
    <w:p w14:paraId="7C08DC27" w14:textId="77777777" w:rsidR="00A71EEF" w:rsidRDefault="00A71EEF">
      <w:pPr>
        <w:pStyle w:val="a3"/>
        <w:rPr>
          <w:sz w:val="18"/>
        </w:rPr>
      </w:pPr>
    </w:p>
    <w:p w14:paraId="7AF2C93D" w14:textId="77777777" w:rsidR="00A71EEF" w:rsidRDefault="0081115D">
      <w:pPr>
        <w:pStyle w:val="a4"/>
        <w:numPr>
          <w:ilvl w:val="2"/>
          <w:numId w:val="303"/>
        </w:numPr>
        <w:tabs>
          <w:tab w:val="left" w:pos="1424"/>
        </w:tabs>
        <w:rPr>
          <w:sz w:val="21"/>
        </w:rPr>
      </w:pPr>
      <w:r>
        <w:rPr>
          <w:spacing w:val="-3"/>
          <w:sz w:val="21"/>
        </w:rPr>
        <w:t>消防水源应符合下列规定：</w:t>
      </w:r>
      <w:r>
        <w:rPr>
          <w:sz w:val="21"/>
        </w:rPr>
        <w:t xml:space="preserve"> </w:t>
      </w:r>
    </w:p>
    <w:p w14:paraId="4F1F19C7" w14:textId="77777777" w:rsidR="00A71EEF" w:rsidRDefault="00A71EEF">
      <w:pPr>
        <w:pStyle w:val="a3"/>
        <w:spacing w:before="2"/>
        <w:rPr>
          <w:sz w:val="18"/>
        </w:rPr>
      </w:pPr>
    </w:p>
    <w:p w14:paraId="772CC16E" w14:textId="77777777" w:rsidR="00A71EEF" w:rsidRDefault="0081115D">
      <w:pPr>
        <w:pStyle w:val="a4"/>
        <w:numPr>
          <w:ilvl w:val="0"/>
          <w:numId w:val="302"/>
        </w:numPr>
        <w:tabs>
          <w:tab w:val="left" w:pos="1367"/>
        </w:tabs>
        <w:rPr>
          <w:sz w:val="21"/>
        </w:rPr>
      </w:pPr>
      <w:r>
        <w:rPr>
          <w:spacing w:val="-3"/>
          <w:sz w:val="21"/>
        </w:rPr>
        <w:t>市政给水、消防水池、天然水源等可作为消防水源，并宜采用市政给水；</w:t>
      </w:r>
      <w:r>
        <w:rPr>
          <w:spacing w:val="-3"/>
          <w:sz w:val="21"/>
        </w:rPr>
        <w:t xml:space="preserve"> </w:t>
      </w:r>
    </w:p>
    <w:p w14:paraId="0B058682" w14:textId="77777777" w:rsidR="00A71EEF" w:rsidRDefault="00A71EEF">
      <w:pPr>
        <w:pStyle w:val="a3"/>
        <w:rPr>
          <w:sz w:val="18"/>
        </w:rPr>
      </w:pPr>
    </w:p>
    <w:p w14:paraId="6E05F247" w14:textId="77777777" w:rsidR="00A71EEF" w:rsidRDefault="0081115D">
      <w:pPr>
        <w:pStyle w:val="a4"/>
        <w:numPr>
          <w:ilvl w:val="0"/>
          <w:numId w:val="302"/>
        </w:numPr>
        <w:tabs>
          <w:tab w:val="left" w:pos="1367"/>
        </w:tabs>
        <w:rPr>
          <w:sz w:val="21"/>
        </w:rPr>
      </w:pPr>
      <w:r>
        <w:rPr>
          <w:spacing w:val="-3"/>
          <w:sz w:val="21"/>
        </w:rPr>
        <w:t>雨水清水池、中水清水池、水景和游泳池可作为备用消防水源。</w:t>
      </w:r>
      <w:r>
        <w:rPr>
          <w:sz w:val="21"/>
        </w:rPr>
        <w:t xml:space="preserve"> </w:t>
      </w:r>
    </w:p>
    <w:p w14:paraId="752C91D0" w14:textId="77777777" w:rsidR="00A71EEF" w:rsidRDefault="00A71EEF">
      <w:pPr>
        <w:pStyle w:val="a3"/>
        <w:spacing w:before="12"/>
        <w:rPr>
          <w:sz w:val="17"/>
        </w:rPr>
      </w:pPr>
    </w:p>
    <w:p w14:paraId="49E2DADD" w14:textId="77777777" w:rsidR="00A71EEF" w:rsidRDefault="0081115D">
      <w:pPr>
        <w:pStyle w:val="a4"/>
        <w:numPr>
          <w:ilvl w:val="2"/>
          <w:numId w:val="303"/>
        </w:numPr>
        <w:tabs>
          <w:tab w:val="left" w:pos="1424"/>
        </w:tabs>
        <w:rPr>
          <w:sz w:val="21"/>
        </w:rPr>
      </w:pPr>
      <w:r>
        <w:rPr>
          <w:spacing w:val="-7"/>
          <w:sz w:val="21"/>
        </w:rPr>
        <w:t>消防给水管道内平时所充水的</w:t>
      </w:r>
      <w:r>
        <w:rPr>
          <w:spacing w:val="-7"/>
          <w:sz w:val="21"/>
        </w:rPr>
        <w:t xml:space="preserve"> </w:t>
      </w:r>
      <w:r>
        <w:rPr>
          <w:sz w:val="21"/>
        </w:rPr>
        <w:t>pH</w:t>
      </w:r>
      <w:r>
        <w:rPr>
          <w:spacing w:val="-23"/>
          <w:sz w:val="21"/>
        </w:rPr>
        <w:t xml:space="preserve"> </w:t>
      </w:r>
      <w:r>
        <w:rPr>
          <w:spacing w:val="-23"/>
          <w:sz w:val="21"/>
        </w:rPr>
        <w:t>值应为</w:t>
      </w:r>
      <w:r>
        <w:rPr>
          <w:spacing w:val="-23"/>
          <w:sz w:val="21"/>
        </w:rPr>
        <w:t xml:space="preserve"> </w:t>
      </w:r>
      <w:r>
        <w:rPr>
          <w:sz w:val="21"/>
        </w:rPr>
        <w:t>6.0</w:t>
      </w:r>
      <w:r>
        <w:rPr>
          <w:sz w:val="21"/>
        </w:rPr>
        <w:t>～</w:t>
      </w:r>
      <w:r>
        <w:rPr>
          <w:sz w:val="21"/>
        </w:rPr>
        <w:t>9.0</w:t>
      </w:r>
      <w:r>
        <w:rPr>
          <w:spacing w:val="-3"/>
          <w:sz w:val="21"/>
        </w:rPr>
        <w:t>。</w:t>
      </w:r>
      <w:r>
        <w:rPr>
          <w:sz w:val="21"/>
        </w:rPr>
        <w:t xml:space="preserve"> </w:t>
      </w:r>
    </w:p>
    <w:p w14:paraId="1EF32555" w14:textId="77777777" w:rsidR="00A71EEF" w:rsidRDefault="00A71EEF">
      <w:pPr>
        <w:pStyle w:val="a3"/>
        <w:spacing w:before="2"/>
        <w:rPr>
          <w:sz w:val="18"/>
        </w:rPr>
      </w:pPr>
    </w:p>
    <w:p w14:paraId="70EBE792" w14:textId="77777777" w:rsidR="00A71EEF" w:rsidRDefault="0081115D">
      <w:pPr>
        <w:pStyle w:val="a4"/>
        <w:numPr>
          <w:ilvl w:val="2"/>
          <w:numId w:val="303"/>
        </w:numPr>
        <w:tabs>
          <w:tab w:val="left" w:pos="1371"/>
        </w:tabs>
        <w:ind w:left="1370" w:hanging="531"/>
        <w:rPr>
          <w:sz w:val="21"/>
        </w:rPr>
      </w:pPr>
      <w:r>
        <w:rPr>
          <w:spacing w:val="-3"/>
          <w:sz w:val="21"/>
        </w:rPr>
        <w:t>严寒、寒冷等冬季结冰地区的消防水池、水塔和高位消防水池等应采取防冻措施。</w:t>
      </w:r>
      <w:r>
        <w:rPr>
          <w:sz w:val="21"/>
        </w:rPr>
        <w:t xml:space="preserve"> </w:t>
      </w:r>
    </w:p>
    <w:p w14:paraId="251FC700" w14:textId="77777777" w:rsidR="00A71EEF" w:rsidRDefault="00A71EEF">
      <w:pPr>
        <w:pStyle w:val="a3"/>
        <w:spacing w:before="12"/>
        <w:rPr>
          <w:sz w:val="17"/>
        </w:rPr>
      </w:pPr>
    </w:p>
    <w:p w14:paraId="4F220153" w14:textId="77777777" w:rsidR="00A71EEF" w:rsidRDefault="0081115D">
      <w:pPr>
        <w:pStyle w:val="a4"/>
        <w:numPr>
          <w:ilvl w:val="2"/>
          <w:numId w:val="303"/>
        </w:numPr>
        <w:tabs>
          <w:tab w:val="left" w:pos="1371"/>
        </w:tabs>
        <w:spacing w:line="446" w:lineRule="auto"/>
        <w:ind w:left="418" w:right="1604" w:firstLine="422"/>
        <w:rPr>
          <w:sz w:val="21"/>
        </w:rPr>
      </w:pPr>
      <w:r>
        <w:rPr>
          <w:spacing w:val="-3"/>
          <w:sz w:val="21"/>
        </w:rPr>
        <w:t>雨水清水池、中水清水池、水景和游泳池必须作为消防水源时，应有保证在任何情况下均能满足消防给水系统所需的水量和水质的技术措施。</w:t>
      </w:r>
      <w:r>
        <w:rPr>
          <w:sz w:val="21"/>
        </w:rPr>
        <w:t xml:space="preserve"> </w:t>
      </w:r>
    </w:p>
    <w:p w14:paraId="66999B13" w14:textId="77777777" w:rsidR="00A71EEF" w:rsidRDefault="0081115D">
      <w:pPr>
        <w:pStyle w:val="a4"/>
        <w:numPr>
          <w:ilvl w:val="1"/>
          <w:numId w:val="303"/>
        </w:numPr>
        <w:tabs>
          <w:tab w:val="left" w:pos="1159"/>
        </w:tabs>
        <w:spacing w:before="1"/>
        <w:ind w:hanging="319"/>
        <w:rPr>
          <w:b/>
          <w:sz w:val="21"/>
        </w:rPr>
      </w:pPr>
      <w:r>
        <w:rPr>
          <w:spacing w:val="-3"/>
          <w:sz w:val="21"/>
        </w:rPr>
        <w:t>市政给水</w:t>
      </w:r>
      <w:r>
        <w:rPr>
          <w:b/>
          <w:w w:val="99"/>
          <w:sz w:val="21"/>
        </w:rPr>
        <w:t xml:space="preserve"> </w:t>
      </w:r>
    </w:p>
    <w:p w14:paraId="2DDF2482" w14:textId="77777777" w:rsidR="00A71EEF" w:rsidRDefault="00A71EEF">
      <w:pPr>
        <w:pStyle w:val="a3"/>
        <w:spacing w:before="12"/>
        <w:rPr>
          <w:b/>
          <w:sz w:val="17"/>
        </w:rPr>
      </w:pPr>
    </w:p>
    <w:p w14:paraId="64886BB0" w14:textId="77777777" w:rsidR="00A71EEF" w:rsidRDefault="0081115D">
      <w:pPr>
        <w:pStyle w:val="a4"/>
        <w:numPr>
          <w:ilvl w:val="2"/>
          <w:numId w:val="303"/>
        </w:numPr>
        <w:tabs>
          <w:tab w:val="left" w:pos="1424"/>
        </w:tabs>
        <w:rPr>
          <w:sz w:val="21"/>
        </w:rPr>
      </w:pPr>
      <w:r>
        <w:rPr>
          <w:spacing w:val="-3"/>
          <w:sz w:val="21"/>
        </w:rPr>
        <w:t>当市政给水管网连续供水时，消防给水系统可采用市政给水管网直接供水。</w:t>
      </w:r>
      <w:r>
        <w:rPr>
          <w:spacing w:val="-3"/>
          <w:sz w:val="21"/>
        </w:rPr>
        <w:t xml:space="preserve"> </w:t>
      </w:r>
    </w:p>
    <w:p w14:paraId="60981E52" w14:textId="77777777" w:rsidR="00A71EEF" w:rsidRDefault="00A71EEF">
      <w:pPr>
        <w:rPr>
          <w:sz w:val="21"/>
        </w:rPr>
        <w:sectPr w:rsidR="00A71EEF">
          <w:pgSz w:w="11910" w:h="16850"/>
          <w:pgMar w:top="1220" w:right="0" w:bottom="1420" w:left="1260" w:header="0" w:footer="1228" w:gutter="0"/>
          <w:cols w:space="720"/>
        </w:sectPr>
      </w:pPr>
    </w:p>
    <w:p w14:paraId="46D01265" w14:textId="77777777" w:rsidR="00A71EEF" w:rsidRDefault="0081115D">
      <w:pPr>
        <w:pStyle w:val="a4"/>
        <w:numPr>
          <w:ilvl w:val="2"/>
          <w:numId w:val="303"/>
        </w:numPr>
        <w:tabs>
          <w:tab w:val="left" w:pos="1371"/>
        </w:tabs>
        <w:spacing w:before="47"/>
        <w:ind w:left="1370" w:hanging="531"/>
        <w:rPr>
          <w:sz w:val="21"/>
        </w:rPr>
      </w:pPr>
      <w:r>
        <w:rPr>
          <w:spacing w:val="-3"/>
          <w:sz w:val="21"/>
        </w:rPr>
        <w:t>用作两路消防供水的市政给水管网应符合下列要求：</w:t>
      </w:r>
      <w:r>
        <w:rPr>
          <w:sz w:val="21"/>
        </w:rPr>
        <w:t xml:space="preserve"> </w:t>
      </w:r>
    </w:p>
    <w:p w14:paraId="375E8808" w14:textId="77777777" w:rsidR="00A71EEF" w:rsidRDefault="00A71EEF">
      <w:pPr>
        <w:pStyle w:val="a3"/>
        <w:rPr>
          <w:sz w:val="18"/>
        </w:rPr>
      </w:pPr>
    </w:p>
    <w:p w14:paraId="40955E7E" w14:textId="77777777" w:rsidR="00A71EEF" w:rsidRDefault="0081115D">
      <w:pPr>
        <w:pStyle w:val="a4"/>
        <w:numPr>
          <w:ilvl w:val="0"/>
          <w:numId w:val="301"/>
        </w:numPr>
        <w:tabs>
          <w:tab w:val="left" w:pos="1367"/>
        </w:tabs>
        <w:rPr>
          <w:sz w:val="21"/>
        </w:rPr>
      </w:pPr>
      <w:r>
        <w:rPr>
          <w:spacing w:val="-3"/>
          <w:sz w:val="21"/>
        </w:rPr>
        <w:t>市政给水厂应至少两条输水干管向市政给水管网输水；</w:t>
      </w:r>
      <w:r>
        <w:rPr>
          <w:sz w:val="21"/>
        </w:rPr>
        <w:t xml:space="preserve"> </w:t>
      </w:r>
    </w:p>
    <w:p w14:paraId="3D56DB78" w14:textId="77777777" w:rsidR="00A71EEF" w:rsidRDefault="00A71EEF">
      <w:pPr>
        <w:pStyle w:val="a3"/>
        <w:rPr>
          <w:sz w:val="18"/>
        </w:rPr>
      </w:pPr>
    </w:p>
    <w:p w14:paraId="482E6050" w14:textId="77777777" w:rsidR="00A71EEF" w:rsidRDefault="0081115D">
      <w:pPr>
        <w:pStyle w:val="a4"/>
        <w:numPr>
          <w:ilvl w:val="0"/>
          <w:numId w:val="301"/>
        </w:numPr>
        <w:tabs>
          <w:tab w:val="left" w:pos="1367"/>
        </w:tabs>
        <w:rPr>
          <w:sz w:val="21"/>
        </w:rPr>
      </w:pPr>
      <w:r>
        <w:rPr>
          <w:spacing w:val="-3"/>
          <w:sz w:val="21"/>
        </w:rPr>
        <w:t>市政给水管网应为环状管网；</w:t>
      </w:r>
      <w:r>
        <w:rPr>
          <w:sz w:val="21"/>
        </w:rPr>
        <w:t xml:space="preserve"> </w:t>
      </w:r>
    </w:p>
    <w:p w14:paraId="3631AF1C" w14:textId="77777777" w:rsidR="00A71EEF" w:rsidRDefault="00A71EEF">
      <w:pPr>
        <w:pStyle w:val="a3"/>
        <w:spacing w:before="1"/>
        <w:rPr>
          <w:sz w:val="18"/>
        </w:rPr>
      </w:pPr>
    </w:p>
    <w:p w14:paraId="2B179B0B" w14:textId="77777777" w:rsidR="00A71EEF" w:rsidRDefault="0081115D">
      <w:pPr>
        <w:pStyle w:val="a4"/>
        <w:numPr>
          <w:ilvl w:val="0"/>
          <w:numId w:val="301"/>
        </w:numPr>
        <w:tabs>
          <w:tab w:val="left" w:pos="1367"/>
        </w:tabs>
        <w:spacing w:before="1" w:line="446" w:lineRule="auto"/>
        <w:ind w:left="840" w:right="2031" w:hanging="3"/>
        <w:rPr>
          <w:b/>
          <w:sz w:val="21"/>
        </w:rPr>
      </w:pPr>
      <w:r>
        <w:rPr>
          <w:spacing w:val="-3"/>
          <w:sz w:val="21"/>
        </w:rPr>
        <w:t>应至少有两条不同的市政给水干管上不少于两条引入管向消防给水系统供水。</w:t>
      </w:r>
      <w:r>
        <w:rPr>
          <w:b/>
          <w:sz w:val="21"/>
        </w:rPr>
        <w:t>4.3</w:t>
      </w:r>
      <w:r>
        <w:rPr>
          <w:b/>
          <w:spacing w:val="1"/>
          <w:sz w:val="21"/>
        </w:rPr>
        <w:t xml:space="preserve"> </w:t>
      </w:r>
      <w:r>
        <w:rPr>
          <w:spacing w:val="-3"/>
          <w:sz w:val="21"/>
        </w:rPr>
        <w:t>消防水池</w:t>
      </w:r>
      <w:r>
        <w:rPr>
          <w:b/>
          <w:w w:val="99"/>
          <w:sz w:val="21"/>
        </w:rPr>
        <w:t xml:space="preserve"> </w:t>
      </w:r>
    </w:p>
    <w:p w14:paraId="43A3AE9E" w14:textId="77777777" w:rsidR="00A71EEF" w:rsidRDefault="0081115D">
      <w:pPr>
        <w:pStyle w:val="a4"/>
        <w:numPr>
          <w:ilvl w:val="2"/>
          <w:numId w:val="300"/>
        </w:numPr>
        <w:tabs>
          <w:tab w:val="left" w:pos="1424"/>
        </w:tabs>
        <w:spacing w:line="267" w:lineRule="exact"/>
        <w:rPr>
          <w:sz w:val="21"/>
        </w:rPr>
      </w:pPr>
      <w:r>
        <w:rPr>
          <w:spacing w:val="-3"/>
          <w:sz w:val="21"/>
        </w:rPr>
        <w:t>符合下列规定之一时，应设置消防水池：</w:t>
      </w:r>
      <w:r>
        <w:rPr>
          <w:sz w:val="21"/>
        </w:rPr>
        <w:t xml:space="preserve"> </w:t>
      </w:r>
    </w:p>
    <w:p w14:paraId="796EB105" w14:textId="77777777" w:rsidR="00A71EEF" w:rsidRDefault="00A71EEF">
      <w:pPr>
        <w:pStyle w:val="a3"/>
        <w:spacing w:before="1"/>
        <w:rPr>
          <w:sz w:val="18"/>
        </w:rPr>
      </w:pPr>
    </w:p>
    <w:p w14:paraId="268A13EA" w14:textId="77777777" w:rsidR="00A71EEF" w:rsidRDefault="0081115D">
      <w:pPr>
        <w:pStyle w:val="a4"/>
        <w:numPr>
          <w:ilvl w:val="0"/>
          <w:numId w:val="299"/>
        </w:numPr>
        <w:tabs>
          <w:tab w:val="left" w:pos="1367"/>
        </w:tabs>
        <w:spacing w:before="1" w:line="446" w:lineRule="auto"/>
        <w:ind w:right="1505" w:firstLine="419"/>
        <w:rPr>
          <w:sz w:val="21"/>
        </w:rPr>
      </w:pPr>
      <w:r>
        <w:rPr>
          <w:spacing w:val="-3"/>
          <w:sz w:val="21"/>
        </w:rPr>
        <w:t>当生产、生活用水量达到最大时，市政给水管网或入户引入管不能满足室内、室外消防给水设计流量；</w:t>
      </w:r>
      <w:r>
        <w:rPr>
          <w:sz w:val="21"/>
        </w:rPr>
        <w:t xml:space="preserve"> </w:t>
      </w:r>
    </w:p>
    <w:p w14:paraId="1A2ABEAB" w14:textId="77777777" w:rsidR="00A71EEF" w:rsidRDefault="0081115D">
      <w:pPr>
        <w:pStyle w:val="a4"/>
        <w:numPr>
          <w:ilvl w:val="0"/>
          <w:numId w:val="299"/>
        </w:numPr>
        <w:tabs>
          <w:tab w:val="left" w:pos="1367"/>
        </w:tabs>
        <w:spacing w:line="446" w:lineRule="auto"/>
        <w:ind w:right="1508" w:firstLine="419"/>
        <w:rPr>
          <w:sz w:val="21"/>
        </w:rPr>
      </w:pPr>
      <w:r>
        <w:rPr>
          <w:spacing w:val="-4"/>
          <w:sz w:val="21"/>
        </w:rPr>
        <w:t>当采用一路消防供水或只有一条入户引入管，且室外消火栓设计流量大于</w:t>
      </w:r>
      <w:r>
        <w:rPr>
          <w:spacing w:val="-4"/>
          <w:sz w:val="21"/>
        </w:rPr>
        <w:t xml:space="preserve"> </w:t>
      </w:r>
      <w:r>
        <w:rPr>
          <w:sz w:val="21"/>
        </w:rPr>
        <w:t>20L/s</w:t>
      </w:r>
      <w:r>
        <w:rPr>
          <w:spacing w:val="-14"/>
          <w:sz w:val="21"/>
        </w:rPr>
        <w:t xml:space="preserve"> </w:t>
      </w:r>
      <w:r>
        <w:rPr>
          <w:spacing w:val="-14"/>
          <w:sz w:val="21"/>
        </w:rPr>
        <w:t>或建</w:t>
      </w:r>
      <w:r>
        <w:rPr>
          <w:spacing w:val="-11"/>
          <w:sz w:val="21"/>
        </w:rPr>
        <w:t>筑高度大于</w:t>
      </w:r>
      <w:r>
        <w:rPr>
          <w:spacing w:val="-11"/>
          <w:sz w:val="21"/>
        </w:rPr>
        <w:t xml:space="preserve"> </w:t>
      </w:r>
      <w:r>
        <w:rPr>
          <w:sz w:val="21"/>
        </w:rPr>
        <w:t>50m</w:t>
      </w:r>
      <w:r>
        <w:rPr>
          <w:spacing w:val="-20"/>
          <w:sz w:val="21"/>
        </w:rPr>
        <w:t xml:space="preserve"> </w:t>
      </w:r>
      <w:r>
        <w:rPr>
          <w:spacing w:val="-20"/>
          <w:sz w:val="21"/>
        </w:rPr>
        <w:t>时；</w:t>
      </w:r>
      <w:r>
        <w:rPr>
          <w:sz w:val="21"/>
        </w:rPr>
        <w:t xml:space="preserve"> </w:t>
      </w:r>
    </w:p>
    <w:p w14:paraId="74E1649C" w14:textId="77777777" w:rsidR="00A71EEF" w:rsidRDefault="0081115D">
      <w:pPr>
        <w:pStyle w:val="a4"/>
        <w:numPr>
          <w:ilvl w:val="0"/>
          <w:numId w:val="299"/>
        </w:numPr>
        <w:tabs>
          <w:tab w:val="left" w:pos="1367"/>
        </w:tabs>
        <w:ind w:left="1367"/>
        <w:rPr>
          <w:sz w:val="21"/>
        </w:rPr>
      </w:pPr>
      <w:r>
        <w:rPr>
          <w:spacing w:val="-3"/>
          <w:sz w:val="21"/>
        </w:rPr>
        <w:t>市政消防给水设计流量小于建筑室内外消防给水设计流量。</w:t>
      </w:r>
      <w:r>
        <w:rPr>
          <w:sz w:val="21"/>
        </w:rPr>
        <w:t xml:space="preserve"> </w:t>
      </w:r>
    </w:p>
    <w:p w14:paraId="05DDA13F" w14:textId="77777777" w:rsidR="00A71EEF" w:rsidRDefault="00A71EEF">
      <w:pPr>
        <w:pStyle w:val="a3"/>
        <w:spacing w:before="10"/>
        <w:rPr>
          <w:sz w:val="17"/>
        </w:rPr>
      </w:pPr>
    </w:p>
    <w:p w14:paraId="227FA902" w14:textId="77777777" w:rsidR="00A71EEF" w:rsidRDefault="0081115D">
      <w:pPr>
        <w:pStyle w:val="a4"/>
        <w:numPr>
          <w:ilvl w:val="2"/>
          <w:numId w:val="300"/>
        </w:numPr>
        <w:tabs>
          <w:tab w:val="left" w:pos="1424"/>
        </w:tabs>
        <w:rPr>
          <w:sz w:val="21"/>
        </w:rPr>
      </w:pPr>
      <w:r>
        <w:rPr>
          <w:spacing w:val="-3"/>
          <w:sz w:val="21"/>
        </w:rPr>
        <w:t>消防水池有效容积的计算应符合下列规定：</w:t>
      </w:r>
      <w:r>
        <w:rPr>
          <w:sz w:val="21"/>
        </w:rPr>
        <w:t xml:space="preserve"> </w:t>
      </w:r>
    </w:p>
    <w:p w14:paraId="16837145" w14:textId="77777777" w:rsidR="00A71EEF" w:rsidRDefault="00A71EEF">
      <w:pPr>
        <w:pStyle w:val="a3"/>
        <w:spacing w:before="2"/>
        <w:rPr>
          <w:sz w:val="18"/>
        </w:rPr>
      </w:pPr>
    </w:p>
    <w:p w14:paraId="4B9D18BE" w14:textId="77777777" w:rsidR="00A71EEF" w:rsidRDefault="0081115D">
      <w:pPr>
        <w:pStyle w:val="a4"/>
        <w:numPr>
          <w:ilvl w:val="0"/>
          <w:numId w:val="298"/>
        </w:numPr>
        <w:tabs>
          <w:tab w:val="left" w:pos="1367"/>
        </w:tabs>
        <w:spacing w:line="446" w:lineRule="auto"/>
        <w:ind w:right="1505" w:firstLine="419"/>
        <w:rPr>
          <w:sz w:val="21"/>
        </w:rPr>
      </w:pPr>
      <w:r>
        <w:rPr>
          <w:spacing w:val="-3"/>
          <w:sz w:val="21"/>
        </w:rPr>
        <w:t>当市政给水管网能保证室外消防给水设计流量时，消防水池的有效容积应满足在火灾延续时间内室内消防用水量的要求；</w:t>
      </w:r>
      <w:r>
        <w:rPr>
          <w:sz w:val="21"/>
        </w:rPr>
        <w:t xml:space="preserve"> </w:t>
      </w:r>
    </w:p>
    <w:p w14:paraId="64CAFF19" w14:textId="77777777" w:rsidR="00A71EEF" w:rsidRDefault="0081115D">
      <w:pPr>
        <w:pStyle w:val="a4"/>
        <w:numPr>
          <w:ilvl w:val="0"/>
          <w:numId w:val="298"/>
        </w:numPr>
        <w:tabs>
          <w:tab w:val="left" w:pos="1367"/>
        </w:tabs>
        <w:spacing w:line="446" w:lineRule="auto"/>
        <w:ind w:right="1505" w:firstLine="419"/>
        <w:rPr>
          <w:sz w:val="21"/>
        </w:rPr>
      </w:pPr>
      <w:r>
        <w:rPr>
          <w:spacing w:val="-3"/>
          <w:sz w:val="21"/>
        </w:rPr>
        <w:t>当市政给水管网不能保证室外消防给水设计流量时，消防水池的有效容积应满足火灾延续时间内室内消防用水量和室外消防用水量不足部分之和的要求。</w:t>
      </w:r>
      <w:r>
        <w:rPr>
          <w:sz w:val="21"/>
        </w:rPr>
        <w:t xml:space="preserve"> </w:t>
      </w:r>
    </w:p>
    <w:p w14:paraId="5AA94643" w14:textId="77777777" w:rsidR="00A71EEF" w:rsidRDefault="0081115D">
      <w:pPr>
        <w:pStyle w:val="a4"/>
        <w:numPr>
          <w:ilvl w:val="2"/>
          <w:numId w:val="300"/>
        </w:numPr>
        <w:tabs>
          <w:tab w:val="left" w:pos="1424"/>
        </w:tabs>
        <w:spacing w:line="441" w:lineRule="auto"/>
        <w:ind w:left="418" w:right="1498" w:firstLine="422"/>
        <w:rPr>
          <w:sz w:val="21"/>
        </w:rPr>
      </w:pPr>
      <w:r>
        <w:rPr>
          <w:spacing w:val="-4"/>
          <w:sz w:val="21"/>
        </w:rPr>
        <w:t>消防水池的给水管应根据其有效容积和补水时间确定，补水时间不宜大于</w:t>
      </w:r>
      <w:r>
        <w:rPr>
          <w:spacing w:val="-4"/>
          <w:sz w:val="21"/>
        </w:rPr>
        <w:t xml:space="preserve"> </w:t>
      </w:r>
      <w:r>
        <w:rPr>
          <w:sz w:val="21"/>
        </w:rPr>
        <w:t>48h</w:t>
      </w:r>
      <w:r>
        <w:rPr>
          <w:sz w:val="21"/>
        </w:rPr>
        <w:t>，但当</w:t>
      </w:r>
      <w:r>
        <w:rPr>
          <w:spacing w:val="-7"/>
          <w:sz w:val="21"/>
        </w:rPr>
        <w:t>消防水池有效总容积大于</w:t>
      </w:r>
      <w:r>
        <w:rPr>
          <w:spacing w:val="-7"/>
          <w:sz w:val="21"/>
        </w:rPr>
        <w:t xml:space="preserve"> </w:t>
      </w:r>
      <w:r>
        <w:rPr>
          <w:sz w:val="21"/>
        </w:rPr>
        <w:t>2000m</w:t>
      </w:r>
      <w:r>
        <w:rPr>
          <w:position w:val="11"/>
          <w:sz w:val="11"/>
        </w:rPr>
        <w:t>3</w:t>
      </w:r>
      <w:r>
        <w:rPr>
          <w:spacing w:val="-25"/>
          <w:position w:val="11"/>
          <w:sz w:val="11"/>
        </w:rPr>
        <w:t xml:space="preserve"> </w:t>
      </w:r>
      <w:r>
        <w:rPr>
          <w:spacing w:val="-9"/>
          <w:sz w:val="21"/>
        </w:rPr>
        <w:t>时，不应大于</w:t>
      </w:r>
      <w:r>
        <w:rPr>
          <w:spacing w:val="-9"/>
          <w:sz w:val="21"/>
        </w:rPr>
        <w:t xml:space="preserve"> </w:t>
      </w:r>
      <w:r>
        <w:rPr>
          <w:sz w:val="21"/>
        </w:rPr>
        <w:t>96h</w:t>
      </w:r>
      <w:r>
        <w:rPr>
          <w:spacing w:val="-3"/>
          <w:sz w:val="21"/>
        </w:rPr>
        <w:t>。消防水池进水管管径应计算确定，且不应</w:t>
      </w:r>
      <w:r>
        <w:rPr>
          <w:spacing w:val="-20"/>
          <w:sz w:val="21"/>
        </w:rPr>
        <w:t>小于</w:t>
      </w:r>
      <w:r>
        <w:rPr>
          <w:spacing w:val="-20"/>
          <w:sz w:val="21"/>
        </w:rPr>
        <w:t xml:space="preserve"> </w:t>
      </w:r>
      <w:r>
        <w:rPr>
          <w:sz w:val="21"/>
        </w:rPr>
        <w:t>DN100</w:t>
      </w:r>
      <w:r>
        <w:rPr>
          <w:spacing w:val="-3"/>
          <w:sz w:val="21"/>
        </w:rPr>
        <w:t>。</w:t>
      </w:r>
      <w:r>
        <w:rPr>
          <w:sz w:val="21"/>
        </w:rPr>
        <w:t xml:space="preserve"> </w:t>
      </w:r>
    </w:p>
    <w:p w14:paraId="2AF94C90" w14:textId="77777777" w:rsidR="00A71EEF" w:rsidRDefault="0081115D">
      <w:pPr>
        <w:pStyle w:val="a4"/>
        <w:numPr>
          <w:ilvl w:val="2"/>
          <w:numId w:val="300"/>
        </w:numPr>
        <w:tabs>
          <w:tab w:val="left" w:pos="1424"/>
        </w:tabs>
        <w:spacing w:before="3" w:line="436" w:lineRule="auto"/>
        <w:ind w:left="418" w:right="1445" w:firstLine="422"/>
        <w:rPr>
          <w:sz w:val="21"/>
        </w:rPr>
      </w:pPr>
      <w:r>
        <w:rPr>
          <w:spacing w:val="-3"/>
          <w:sz w:val="21"/>
        </w:rPr>
        <w:t>当消防水池采用两路消防供水且在火灾情况下连续补水能满足消防要求时，消防水池</w:t>
      </w:r>
      <w:r>
        <w:rPr>
          <w:spacing w:val="-6"/>
          <w:sz w:val="21"/>
        </w:rPr>
        <w:t>的有效容积应根据计算确定，但不应小于</w:t>
      </w:r>
      <w:r>
        <w:rPr>
          <w:spacing w:val="-6"/>
          <w:sz w:val="21"/>
        </w:rPr>
        <w:t xml:space="preserve"> </w:t>
      </w:r>
      <w:r>
        <w:rPr>
          <w:sz w:val="21"/>
        </w:rPr>
        <w:t>100m</w:t>
      </w:r>
      <w:r>
        <w:rPr>
          <w:position w:val="11"/>
          <w:sz w:val="11"/>
        </w:rPr>
        <w:t>3</w:t>
      </w:r>
      <w:r>
        <w:rPr>
          <w:spacing w:val="-6"/>
          <w:sz w:val="21"/>
        </w:rPr>
        <w:t>，当仅设有消火栓系统时不应小于</w:t>
      </w:r>
      <w:r>
        <w:rPr>
          <w:spacing w:val="-6"/>
          <w:sz w:val="21"/>
        </w:rPr>
        <w:t xml:space="preserve"> </w:t>
      </w:r>
      <w:r>
        <w:rPr>
          <w:sz w:val="21"/>
        </w:rPr>
        <w:t>50m</w:t>
      </w:r>
      <w:r>
        <w:rPr>
          <w:position w:val="11"/>
          <w:sz w:val="11"/>
        </w:rPr>
        <w:t>3</w:t>
      </w:r>
      <w:r>
        <w:rPr>
          <w:spacing w:val="-3"/>
          <w:sz w:val="21"/>
        </w:rPr>
        <w:t>。</w:t>
      </w:r>
      <w:r>
        <w:rPr>
          <w:sz w:val="21"/>
        </w:rPr>
        <w:t xml:space="preserve"> </w:t>
      </w:r>
    </w:p>
    <w:p w14:paraId="38FAEA15" w14:textId="77777777" w:rsidR="00A71EEF" w:rsidRDefault="0081115D">
      <w:pPr>
        <w:pStyle w:val="a4"/>
        <w:numPr>
          <w:ilvl w:val="2"/>
          <w:numId w:val="300"/>
        </w:numPr>
        <w:tabs>
          <w:tab w:val="left" w:pos="1424"/>
        </w:tabs>
        <w:spacing w:before="11"/>
        <w:rPr>
          <w:sz w:val="21"/>
        </w:rPr>
      </w:pPr>
      <w:r>
        <w:rPr>
          <w:spacing w:val="-3"/>
          <w:sz w:val="21"/>
        </w:rPr>
        <w:t>火灾时消防水池连续补水应符合下列规定：</w:t>
      </w:r>
      <w:r>
        <w:rPr>
          <w:sz w:val="21"/>
        </w:rPr>
        <w:t xml:space="preserve"> </w:t>
      </w:r>
    </w:p>
    <w:p w14:paraId="0CF30332" w14:textId="77777777" w:rsidR="00A71EEF" w:rsidRDefault="00A71EEF">
      <w:pPr>
        <w:pStyle w:val="a3"/>
        <w:rPr>
          <w:sz w:val="18"/>
        </w:rPr>
      </w:pPr>
    </w:p>
    <w:p w14:paraId="61CE474A" w14:textId="77777777" w:rsidR="00A71EEF" w:rsidRDefault="0081115D">
      <w:pPr>
        <w:pStyle w:val="a4"/>
        <w:numPr>
          <w:ilvl w:val="0"/>
          <w:numId w:val="297"/>
        </w:numPr>
        <w:tabs>
          <w:tab w:val="left" w:pos="1367"/>
        </w:tabs>
        <w:rPr>
          <w:b/>
          <w:sz w:val="21"/>
        </w:rPr>
      </w:pPr>
      <w:r>
        <w:rPr>
          <w:spacing w:val="-3"/>
          <w:sz w:val="21"/>
        </w:rPr>
        <w:t>消防水池应采用两路消防给水；</w:t>
      </w:r>
      <w:r>
        <w:rPr>
          <w:b/>
          <w:w w:val="99"/>
          <w:sz w:val="21"/>
        </w:rPr>
        <w:t xml:space="preserve"> </w:t>
      </w:r>
    </w:p>
    <w:p w14:paraId="4191CF94" w14:textId="77777777" w:rsidR="00A71EEF" w:rsidRDefault="00A71EEF">
      <w:pPr>
        <w:rPr>
          <w:sz w:val="21"/>
        </w:rPr>
        <w:sectPr w:rsidR="00A71EEF">
          <w:pgSz w:w="11910" w:h="16850"/>
          <w:pgMar w:top="1220" w:right="0" w:bottom="1420" w:left="1260" w:header="0" w:footer="1228" w:gutter="0"/>
          <w:cols w:space="720"/>
        </w:sectPr>
      </w:pPr>
    </w:p>
    <w:p w14:paraId="11D5379C" w14:textId="77777777" w:rsidR="00A71EEF" w:rsidRDefault="0081115D">
      <w:pPr>
        <w:pStyle w:val="a4"/>
        <w:numPr>
          <w:ilvl w:val="0"/>
          <w:numId w:val="297"/>
        </w:numPr>
        <w:tabs>
          <w:tab w:val="left" w:pos="1367"/>
        </w:tabs>
        <w:spacing w:before="47" w:line="446" w:lineRule="auto"/>
        <w:ind w:left="418" w:right="1505" w:firstLine="419"/>
        <w:rPr>
          <w:b/>
          <w:sz w:val="21"/>
        </w:rPr>
      </w:pPr>
      <w:r>
        <w:rPr>
          <w:spacing w:val="-3"/>
          <w:sz w:val="21"/>
        </w:rPr>
        <w:t>火灾延续时间内的连续补水流量应按消防水池最不利进水管供水量计算，并可按下式计算：</w:t>
      </w:r>
      <w:r>
        <w:rPr>
          <w:b/>
          <w:w w:val="99"/>
          <w:sz w:val="21"/>
        </w:rPr>
        <w:t xml:space="preserve"> </w:t>
      </w:r>
    </w:p>
    <w:p w14:paraId="3BC32327" w14:textId="77777777" w:rsidR="00A71EEF" w:rsidRDefault="0081115D">
      <w:pPr>
        <w:pStyle w:val="a3"/>
        <w:spacing w:before="4"/>
        <w:rPr>
          <w:b/>
          <w:sz w:val="14"/>
        </w:rPr>
      </w:pPr>
      <w:r>
        <w:rPr>
          <w:noProof/>
        </w:rPr>
        <w:drawing>
          <wp:anchor distT="0" distB="0" distL="0" distR="0" simplePos="0" relativeHeight="251658752" behindDoc="0" locked="0" layoutInCell="1" allowOverlap="1" wp14:anchorId="487E1E4C" wp14:editId="295D3762">
            <wp:simplePos x="0" y="0"/>
            <wp:positionH relativeFrom="page">
              <wp:posOffset>1576705</wp:posOffset>
            </wp:positionH>
            <wp:positionV relativeFrom="paragraph">
              <wp:posOffset>141313</wp:posOffset>
            </wp:positionV>
            <wp:extent cx="3936781" cy="1123950"/>
            <wp:effectExtent l="0" t="0" r="0" b="0"/>
            <wp:wrapTopAndBottom/>
            <wp:docPr id="551" name="image3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image318.jpeg"/>
                    <pic:cNvPicPr/>
                  </pic:nvPicPr>
                  <pic:blipFill>
                    <a:blip r:embed="rId377" cstate="print"/>
                    <a:stretch>
                      <a:fillRect/>
                    </a:stretch>
                  </pic:blipFill>
                  <pic:spPr>
                    <a:xfrm>
                      <a:off x="0" y="0"/>
                      <a:ext cx="3936781" cy="1123950"/>
                    </a:xfrm>
                    <a:prstGeom prst="rect">
                      <a:avLst/>
                    </a:prstGeom>
                  </pic:spPr>
                </pic:pic>
              </a:graphicData>
            </a:graphic>
          </wp:anchor>
        </w:drawing>
      </w:r>
    </w:p>
    <w:p w14:paraId="482873F2" w14:textId="77777777" w:rsidR="00A71EEF" w:rsidRDefault="00A71EEF">
      <w:pPr>
        <w:pStyle w:val="a3"/>
        <w:rPr>
          <w:b/>
          <w:sz w:val="15"/>
        </w:rPr>
      </w:pPr>
    </w:p>
    <w:p w14:paraId="52F4F084" w14:textId="77777777" w:rsidR="00A71EEF" w:rsidRDefault="0081115D">
      <w:pPr>
        <w:pStyle w:val="a4"/>
        <w:numPr>
          <w:ilvl w:val="0"/>
          <w:numId w:val="297"/>
        </w:numPr>
        <w:tabs>
          <w:tab w:val="left" w:pos="1367"/>
        </w:tabs>
        <w:spacing w:line="446" w:lineRule="auto"/>
        <w:ind w:left="418" w:right="1505" w:firstLine="419"/>
        <w:rPr>
          <w:sz w:val="21"/>
        </w:rPr>
      </w:pPr>
      <w:r>
        <w:rPr>
          <w:spacing w:val="-3"/>
          <w:sz w:val="21"/>
        </w:rPr>
        <w:t>消防水池进水管管径和流量应根据市政给水管网或其他给水管网的压力、入户引入管管径、消防水池进水管管径，以及火灾时其他用水量等经水力计算确定，当计算条件不具备</w:t>
      </w:r>
      <w:r>
        <w:rPr>
          <w:spacing w:val="-3"/>
          <w:sz w:val="21"/>
        </w:rPr>
        <w:t xml:space="preserve">  </w:t>
      </w:r>
      <w:r>
        <w:rPr>
          <w:spacing w:val="-7"/>
          <w:sz w:val="21"/>
        </w:rPr>
        <w:t>时，给水管的平均流速不宜大于</w:t>
      </w:r>
      <w:r>
        <w:rPr>
          <w:spacing w:val="-7"/>
          <w:sz w:val="21"/>
        </w:rPr>
        <w:t xml:space="preserve"> </w:t>
      </w:r>
      <w:r>
        <w:rPr>
          <w:sz w:val="21"/>
        </w:rPr>
        <w:t>1.5m/s</w:t>
      </w:r>
      <w:r>
        <w:rPr>
          <w:spacing w:val="-3"/>
          <w:sz w:val="21"/>
        </w:rPr>
        <w:t>。</w:t>
      </w:r>
      <w:r>
        <w:rPr>
          <w:sz w:val="21"/>
        </w:rPr>
        <w:t xml:space="preserve"> </w:t>
      </w:r>
    </w:p>
    <w:p w14:paraId="19BBDD7C" w14:textId="77777777" w:rsidR="00A71EEF" w:rsidRDefault="0081115D">
      <w:pPr>
        <w:pStyle w:val="a4"/>
        <w:numPr>
          <w:ilvl w:val="2"/>
          <w:numId w:val="300"/>
        </w:numPr>
        <w:tabs>
          <w:tab w:val="left" w:pos="1424"/>
        </w:tabs>
        <w:spacing w:line="441" w:lineRule="auto"/>
        <w:ind w:left="418" w:right="1522" w:firstLine="422"/>
        <w:rPr>
          <w:sz w:val="21"/>
        </w:rPr>
      </w:pPr>
      <w:r>
        <w:rPr>
          <w:spacing w:val="-5"/>
          <w:sz w:val="21"/>
        </w:rPr>
        <w:t>消防水池的总蓄水有效容积大于</w:t>
      </w:r>
      <w:r>
        <w:rPr>
          <w:spacing w:val="-5"/>
          <w:sz w:val="21"/>
        </w:rPr>
        <w:t xml:space="preserve"> </w:t>
      </w:r>
      <w:r>
        <w:rPr>
          <w:sz w:val="21"/>
        </w:rPr>
        <w:t>500m</w:t>
      </w:r>
      <w:r>
        <w:rPr>
          <w:position w:val="11"/>
          <w:sz w:val="11"/>
        </w:rPr>
        <w:t>3</w:t>
      </w:r>
      <w:r>
        <w:rPr>
          <w:spacing w:val="-18"/>
          <w:position w:val="11"/>
          <w:sz w:val="11"/>
        </w:rPr>
        <w:t xml:space="preserve"> </w:t>
      </w:r>
      <w:r>
        <w:rPr>
          <w:spacing w:val="-3"/>
          <w:sz w:val="21"/>
        </w:rPr>
        <w:t>时，宜设两格能独立使用的消防水池；当大于</w:t>
      </w:r>
      <w:r>
        <w:rPr>
          <w:spacing w:val="-3"/>
          <w:sz w:val="21"/>
        </w:rPr>
        <w:t>1000m</w:t>
      </w:r>
      <w:r>
        <w:rPr>
          <w:spacing w:val="-3"/>
          <w:position w:val="11"/>
          <w:sz w:val="11"/>
        </w:rPr>
        <w:t>3</w:t>
      </w:r>
      <w:r>
        <w:rPr>
          <w:spacing w:val="-22"/>
          <w:position w:val="11"/>
          <w:sz w:val="11"/>
        </w:rPr>
        <w:t xml:space="preserve"> </w:t>
      </w:r>
      <w:r>
        <w:rPr>
          <w:spacing w:val="-3"/>
          <w:sz w:val="21"/>
        </w:rPr>
        <w:t>时，应设置能独立使用的两座消防水池。每格</w:t>
      </w:r>
      <w:r>
        <w:rPr>
          <w:sz w:val="21"/>
        </w:rPr>
        <w:t>（</w:t>
      </w:r>
      <w:r>
        <w:rPr>
          <w:spacing w:val="-2"/>
          <w:sz w:val="21"/>
        </w:rPr>
        <w:t>或座</w:t>
      </w:r>
      <w:r>
        <w:rPr>
          <w:spacing w:val="-3"/>
          <w:sz w:val="21"/>
        </w:rPr>
        <w:t>）消防水池应设置独立的出水管，</w:t>
      </w:r>
      <w:r>
        <w:rPr>
          <w:spacing w:val="-3"/>
          <w:sz w:val="21"/>
        </w:rPr>
        <w:t xml:space="preserve"> </w:t>
      </w:r>
      <w:r>
        <w:rPr>
          <w:spacing w:val="-3"/>
          <w:sz w:val="21"/>
        </w:rPr>
        <w:t>并应设置满足最低有效水位的连通管，且其管径应能满足消防给水设计流量的要求。</w:t>
      </w:r>
      <w:r>
        <w:rPr>
          <w:sz w:val="21"/>
        </w:rPr>
        <w:t xml:space="preserve"> </w:t>
      </w:r>
    </w:p>
    <w:p w14:paraId="572C963E" w14:textId="77777777" w:rsidR="00A71EEF" w:rsidRDefault="0081115D">
      <w:pPr>
        <w:pStyle w:val="a4"/>
        <w:numPr>
          <w:ilvl w:val="2"/>
          <w:numId w:val="300"/>
        </w:numPr>
        <w:tabs>
          <w:tab w:val="left" w:pos="1424"/>
        </w:tabs>
        <w:rPr>
          <w:sz w:val="21"/>
        </w:rPr>
      </w:pPr>
      <w:r>
        <w:rPr>
          <w:spacing w:val="-3"/>
          <w:sz w:val="21"/>
        </w:rPr>
        <w:t>储存室外消防用水的消防水池或供消防车取水的消防水池，应符合下列规定：</w:t>
      </w:r>
      <w:r>
        <w:rPr>
          <w:sz w:val="21"/>
        </w:rPr>
        <w:t xml:space="preserve"> </w:t>
      </w:r>
    </w:p>
    <w:p w14:paraId="648CAB34" w14:textId="77777777" w:rsidR="00A71EEF" w:rsidRDefault="00A71EEF">
      <w:pPr>
        <w:pStyle w:val="a3"/>
        <w:spacing w:before="6"/>
        <w:rPr>
          <w:sz w:val="17"/>
        </w:rPr>
      </w:pPr>
    </w:p>
    <w:p w14:paraId="0390CC33" w14:textId="77777777" w:rsidR="00A71EEF" w:rsidRDefault="0081115D">
      <w:pPr>
        <w:pStyle w:val="a4"/>
        <w:numPr>
          <w:ilvl w:val="0"/>
          <w:numId w:val="296"/>
        </w:numPr>
        <w:tabs>
          <w:tab w:val="left" w:pos="1367"/>
        </w:tabs>
        <w:rPr>
          <w:sz w:val="21"/>
        </w:rPr>
      </w:pPr>
      <w:r>
        <w:rPr>
          <w:spacing w:val="-3"/>
          <w:sz w:val="21"/>
        </w:rPr>
        <w:t>消防水池应设置取水口</w:t>
      </w:r>
      <w:r>
        <w:rPr>
          <w:sz w:val="21"/>
        </w:rPr>
        <w:t>（</w:t>
      </w:r>
      <w:r>
        <w:rPr>
          <w:spacing w:val="-3"/>
          <w:sz w:val="21"/>
        </w:rPr>
        <w:t>井</w:t>
      </w:r>
      <w:r>
        <w:rPr>
          <w:sz w:val="21"/>
        </w:rPr>
        <w:t>）</w:t>
      </w:r>
      <w:r>
        <w:rPr>
          <w:spacing w:val="-8"/>
          <w:sz w:val="21"/>
        </w:rPr>
        <w:t>，且吸水高度不应大于</w:t>
      </w:r>
      <w:r>
        <w:rPr>
          <w:spacing w:val="-8"/>
          <w:sz w:val="21"/>
        </w:rPr>
        <w:t xml:space="preserve"> </w:t>
      </w:r>
      <w:r>
        <w:rPr>
          <w:sz w:val="21"/>
        </w:rPr>
        <w:t>6.0m</w:t>
      </w:r>
      <w:r>
        <w:rPr>
          <w:sz w:val="21"/>
        </w:rPr>
        <w:t>；</w:t>
      </w:r>
      <w:r>
        <w:rPr>
          <w:sz w:val="21"/>
        </w:rPr>
        <w:t xml:space="preserve"> </w:t>
      </w:r>
    </w:p>
    <w:p w14:paraId="64F67FFD" w14:textId="77777777" w:rsidR="00A71EEF" w:rsidRDefault="00A71EEF">
      <w:pPr>
        <w:pStyle w:val="a3"/>
        <w:spacing w:before="2"/>
        <w:rPr>
          <w:sz w:val="18"/>
        </w:rPr>
      </w:pPr>
    </w:p>
    <w:p w14:paraId="5F990757" w14:textId="77777777" w:rsidR="00A71EEF" w:rsidRDefault="0081115D">
      <w:pPr>
        <w:pStyle w:val="a4"/>
        <w:numPr>
          <w:ilvl w:val="0"/>
          <w:numId w:val="296"/>
        </w:numPr>
        <w:tabs>
          <w:tab w:val="left" w:pos="1367"/>
        </w:tabs>
        <w:rPr>
          <w:b/>
          <w:sz w:val="21"/>
        </w:rPr>
      </w:pPr>
      <w:r>
        <w:rPr>
          <w:spacing w:val="-2"/>
          <w:sz w:val="21"/>
        </w:rPr>
        <w:t>取水口</w:t>
      </w:r>
      <w:r>
        <w:rPr>
          <w:spacing w:val="-3"/>
          <w:sz w:val="21"/>
        </w:rPr>
        <w:t>（</w:t>
      </w:r>
      <w:r>
        <w:rPr>
          <w:sz w:val="21"/>
        </w:rPr>
        <w:t>井</w:t>
      </w:r>
      <w:r>
        <w:rPr>
          <w:spacing w:val="-3"/>
          <w:sz w:val="21"/>
        </w:rPr>
        <w:t>）与建筑物</w:t>
      </w:r>
      <w:r>
        <w:rPr>
          <w:sz w:val="21"/>
        </w:rPr>
        <w:t>（</w:t>
      </w:r>
      <w:r>
        <w:rPr>
          <w:spacing w:val="-3"/>
          <w:sz w:val="21"/>
        </w:rPr>
        <w:t>水泵房除外</w:t>
      </w:r>
      <w:r>
        <w:rPr>
          <w:sz w:val="21"/>
        </w:rPr>
        <w:t>）</w:t>
      </w:r>
      <w:r>
        <w:rPr>
          <w:spacing w:val="-10"/>
          <w:sz w:val="21"/>
        </w:rPr>
        <w:t>的距离不宜小于</w:t>
      </w:r>
      <w:r>
        <w:rPr>
          <w:spacing w:val="-10"/>
          <w:sz w:val="21"/>
        </w:rPr>
        <w:t xml:space="preserve"> </w:t>
      </w:r>
      <w:r>
        <w:rPr>
          <w:sz w:val="21"/>
        </w:rPr>
        <w:t>15m</w:t>
      </w:r>
      <w:r>
        <w:rPr>
          <w:sz w:val="21"/>
        </w:rPr>
        <w:t>；</w:t>
      </w:r>
      <w:r>
        <w:rPr>
          <w:b/>
          <w:w w:val="99"/>
          <w:sz w:val="21"/>
        </w:rPr>
        <w:t xml:space="preserve"> </w:t>
      </w:r>
    </w:p>
    <w:p w14:paraId="0CBB8D2B" w14:textId="77777777" w:rsidR="00A71EEF" w:rsidRDefault="00A71EEF">
      <w:pPr>
        <w:pStyle w:val="a3"/>
        <w:rPr>
          <w:b/>
          <w:sz w:val="18"/>
        </w:rPr>
      </w:pPr>
    </w:p>
    <w:p w14:paraId="12236811" w14:textId="77777777" w:rsidR="00A71EEF" w:rsidRDefault="0081115D">
      <w:pPr>
        <w:pStyle w:val="a4"/>
        <w:numPr>
          <w:ilvl w:val="0"/>
          <w:numId w:val="296"/>
        </w:numPr>
        <w:tabs>
          <w:tab w:val="left" w:pos="1367"/>
        </w:tabs>
        <w:rPr>
          <w:b/>
          <w:sz w:val="21"/>
        </w:rPr>
      </w:pPr>
      <w:r>
        <w:rPr>
          <w:spacing w:val="-2"/>
          <w:sz w:val="21"/>
        </w:rPr>
        <w:t>取水口</w:t>
      </w:r>
      <w:r>
        <w:rPr>
          <w:spacing w:val="-3"/>
          <w:sz w:val="21"/>
        </w:rPr>
        <w:t>（</w:t>
      </w:r>
      <w:r>
        <w:rPr>
          <w:sz w:val="21"/>
        </w:rPr>
        <w:t>井</w:t>
      </w:r>
      <w:r>
        <w:rPr>
          <w:spacing w:val="-3"/>
          <w:sz w:val="21"/>
        </w:rPr>
        <w:t>）</w:t>
      </w:r>
      <w:r>
        <w:rPr>
          <w:spacing w:val="-6"/>
          <w:sz w:val="21"/>
        </w:rPr>
        <w:t>与甲、乙、丙类液体储罐等构筑物的距离不宜小于</w:t>
      </w:r>
      <w:r>
        <w:rPr>
          <w:spacing w:val="-6"/>
          <w:sz w:val="21"/>
        </w:rPr>
        <w:t xml:space="preserve"> </w:t>
      </w:r>
      <w:r>
        <w:rPr>
          <w:sz w:val="21"/>
        </w:rPr>
        <w:t>40m</w:t>
      </w:r>
      <w:r>
        <w:rPr>
          <w:sz w:val="21"/>
        </w:rPr>
        <w:t>；</w:t>
      </w:r>
      <w:r>
        <w:rPr>
          <w:b/>
          <w:w w:val="99"/>
          <w:sz w:val="21"/>
        </w:rPr>
        <w:t xml:space="preserve"> </w:t>
      </w:r>
    </w:p>
    <w:p w14:paraId="735C058D" w14:textId="77777777" w:rsidR="00A71EEF" w:rsidRDefault="00A71EEF">
      <w:pPr>
        <w:pStyle w:val="a3"/>
        <w:spacing w:before="12"/>
        <w:rPr>
          <w:b/>
          <w:sz w:val="17"/>
        </w:rPr>
      </w:pPr>
    </w:p>
    <w:p w14:paraId="2C4DE6F6" w14:textId="77777777" w:rsidR="00A71EEF" w:rsidRDefault="0081115D">
      <w:pPr>
        <w:pStyle w:val="a4"/>
        <w:numPr>
          <w:ilvl w:val="0"/>
          <w:numId w:val="296"/>
        </w:numPr>
        <w:tabs>
          <w:tab w:val="left" w:pos="1367"/>
        </w:tabs>
        <w:spacing w:line="446" w:lineRule="auto"/>
        <w:ind w:left="418" w:right="1767" w:firstLine="419"/>
        <w:rPr>
          <w:sz w:val="21"/>
        </w:rPr>
      </w:pPr>
      <w:r>
        <w:rPr>
          <w:spacing w:val="-2"/>
          <w:sz w:val="21"/>
        </w:rPr>
        <w:t>取水口</w:t>
      </w:r>
      <w:r>
        <w:rPr>
          <w:spacing w:val="-3"/>
          <w:sz w:val="21"/>
        </w:rPr>
        <w:t>（</w:t>
      </w:r>
      <w:r>
        <w:rPr>
          <w:sz w:val="21"/>
        </w:rPr>
        <w:t>井</w:t>
      </w:r>
      <w:r>
        <w:rPr>
          <w:spacing w:val="-3"/>
          <w:sz w:val="21"/>
        </w:rPr>
        <w:t>）</w:t>
      </w:r>
      <w:r>
        <w:rPr>
          <w:spacing w:val="-5"/>
          <w:sz w:val="21"/>
        </w:rPr>
        <w:t>与液化石油气储罐的距离不宜小于</w:t>
      </w:r>
      <w:r>
        <w:rPr>
          <w:spacing w:val="-5"/>
          <w:sz w:val="21"/>
        </w:rPr>
        <w:t xml:space="preserve"> </w:t>
      </w:r>
      <w:r>
        <w:rPr>
          <w:sz w:val="21"/>
        </w:rPr>
        <w:t>60m</w:t>
      </w:r>
      <w:r>
        <w:rPr>
          <w:spacing w:val="-3"/>
          <w:sz w:val="21"/>
        </w:rPr>
        <w:t>，当采取防止辐射热保护措施</w:t>
      </w:r>
      <w:r>
        <w:rPr>
          <w:spacing w:val="-13"/>
          <w:sz w:val="21"/>
        </w:rPr>
        <w:t>时，可为</w:t>
      </w:r>
      <w:r>
        <w:rPr>
          <w:spacing w:val="-13"/>
          <w:sz w:val="21"/>
        </w:rPr>
        <w:t xml:space="preserve"> </w:t>
      </w:r>
      <w:r>
        <w:rPr>
          <w:sz w:val="21"/>
        </w:rPr>
        <w:t>40m</w:t>
      </w:r>
      <w:r>
        <w:rPr>
          <w:spacing w:val="-3"/>
          <w:sz w:val="21"/>
        </w:rPr>
        <w:t>。</w:t>
      </w:r>
      <w:r>
        <w:rPr>
          <w:sz w:val="21"/>
        </w:rPr>
        <w:t xml:space="preserve"> </w:t>
      </w:r>
    </w:p>
    <w:p w14:paraId="43A24535" w14:textId="77777777" w:rsidR="00A71EEF" w:rsidRDefault="0081115D">
      <w:pPr>
        <w:pStyle w:val="a4"/>
        <w:numPr>
          <w:ilvl w:val="2"/>
          <w:numId w:val="300"/>
        </w:numPr>
        <w:tabs>
          <w:tab w:val="left" w:pos="1424"/>
        </w:tabs>
        <w:rPr>
          <w:sz w:val="21"/>
        </w:rPr>
      </w:pPr>
      <w:r>
        <w:rPr>
          <w:spacing w:val="-3"/>
          <w:sz w:val="21"/>
        </w:rPr>
        <w:t>消防用水与其他用水共用的水池，应采取确保消防用水量不作他用的技术措施。</w:t>
      </w:r>
      <w:r>
        <w:rPr>
          <w:sz w:val="21"/>
        </w:rPr>
        <w:t xml:space="preserve"> </w:t>
      </w:r>
    </w:p>
    <w:p w14:paraId="4345D3ED" w14:textId="77777777" w:rsidR="00A71EEF" w:rsidRDefault="00A71EEF">
      <w:pPr>
        <w:pStyle w:val="a3"/>
        <w:rPr>
          <w:sz w:val="18"/>
        </w:rPr>
      </w:pPr>
    </w:p>
    <w:p w14:paraId="68E0047C" w14:textId="77777777" w:rsidR="00A71EEF" w:rsidRDefault="0081115D">
      <w:pPr>
        <w:pStyle w:val="a4"/>
        <w:numPr>
          <w:ilvl w:val="2"/>
          <w:numId w:val="300"/>
        </w:numPr>
        <w:tabs>
          <w:tab w:val="left" w:pos="1424"/>
        </w:tabs>
        <w:rPr>
          <w:b/>
          <w:sz w:val="21"/>
        </w:rPr>
      </w:pPr>
      <w:r>
        <w:rPr>
          <w:spacing w:val="-3"/>
          <w:sz w:val="21"/>
        </w:rPr>
        <w:t>消防水池的出水、排水和水位应符合下列规定：</w:t>
      </w:r>
      <w:r>
        <w:rPr>
          <w:b/>
          <w:w w:val="99"/>
          <w:sz w:val="21"/>
        </w:rPr>
        <w:t xml:space="preserve"> </w:t>
      </w:r>
    </w:p>
    <w:p w14:paraId="7518FDA2" w14:textId="77777777" w:rsidR="00A71EEF" w:rsidRDefault="00A71EEF">
      <w:pPr>
        <w:pStyle w:val="a3"/>
        <w:spacing w:before="2"/>
        <w:rPr>
          <w:b/>
          <w:sz w:val="18"/>
        </w:rPr>
      </w:pPr>
    </w:p>
    <w:p w14:paraId="5AC721F7" w14:textId="77777777" w:rsidR="00A71EEF" w:rsidRDefault="0081115D">
      <w:pPr>
        <w:pStyle w:val="a4"/>
        <w:numPr>
          <w:ilvl w:val="0"/>
          <w:numId w:val="295"/>
        </w:numPr>
        <w:tabs>
          <w:tab w:val="left" w:pos="1367"/>
        </w:tabs>
        <w:rPr>
          <w:sz w:val="21"/>
        </w:rPr>
      </w:pPr>
      <w:r>
        <w:rPr>
          <w:spacing w:val="-3"/>
          <w:sz w:val="21"/>
        </w:rPr>
        <w:t>消防水池的出水管应保证消防水池的有效容积能被全部利用；</w:t>
      </w:r>
      <w:r>
        <w:rPr>
          <w:sz w:val="21"/>
        </w:rPr>
        <w:t xml:space="preserve"> </w:t>
      </w:r>
    </w:p>
    <w:p w14:paraId="246EF326" w14:textId="77777777" w:rsidR="00A71EEF" w:rsidRDefault="00A71EEF">
      <w:pPr>
        <w:pStyle w:val="a3"/>
        <w:spacing w:before="12"/>
        <w:rPr>
          <w:sz w:val="17"/>
        </w:rPr>
      </w:pPr>
    </w:p>
    <w:p w14:paraId="4F72BA4B" w14:textId="77777777" w:rsidR="00A71EEF" w:rsidRDefault="0081115D">
      <w:pPr>
        <w:pStyle w:val="a4"/>
        <w:numPr>
          <w:ilvl w:val="0"/>
          <w:numId w:val="295"/>
        </w:numPr>
        <w:tabs>
          <w:tab w:val="left" w:pos="1367"/>
        </w:tabs>
        <w:spacing w:line="446" w:lineRule="auto"/>
        <w:ind w:left="418" w:right="1505" w:firstLine="419"/>
        <w:rPr>
          <w:sz w:val="21"/>
        </w:rPr>
      </w:pPr>
      <w:r>
        <w:rPr>
          <w:spacing w:val="-3"/>
          <w:sz w:val="21"/>
        </w:rPr>
        <w:t>消防水池应设置就地水位显示装置，并应在消防控制中心或值班室等地点设置显示消防水池水位的装置，同时应有最高和最低报警水位；</w:t>
      </w:r>
      <w:r>
        <w:rPr>
          <w:spacing w:val="-3"/>
          <w:sz w:val="21"/>
        </w:rPr>
        <w:t xml:space="preserve"> </w:t>
      </w:r>
    </w:p>
    <w:p w14:paraId="7F619FA4" w14:textId="77777777" w:rsidR="00A71EEF" w:rsidRDefault="0081115D">
      <w:pPr>
        <w:pStyle w:val="a4"/>
        <w:numPr>
          <w:ilvl w:val="0"/>
          <w:numId w:val="295"/>
        </w:numPr>
        <w:tabs>
          <w:tab w:val="left" w:pos="1367"/>
        </w:tabs>
        <w:rPr>
          <w:sz w:val="21"/>
        </w:rPr>
      </w:pPr>
      <w:r>
        <w:rPr>
          <w:spacing w:val="-3"/>
          <w:sz w:val="21"/>
        </w:rPr>
        <w:t>消防水池应设置溢流水管和排水设施，并应采用间接排水。</w:t>
      </w:r>
      <w:r>
        <w:rPr>
          <w:sz w:val="21"/>
        </w:rPr>
        <w:t xml:space="preserve"> </w:t>
      </w:r>
    </w:p>
    <w:p w14:paraId="5F3652F5" w14:textId="77777777" w:rsidR="00A71EEF" w:rsidRDefault="00A71EEF">
      <w:pPr>
        <w:pStyle w:val="a3"/>
        <w:rPr>
          <w:sz w:val="18"/>
        </w:rPr>
      </w:pPr>
    </w:p>
    <w:p w14:paraId="42196EED" w14:textId="77777777" w:rsidR="00A71EEF" w:rsidRDefault="0081115D">
      <w:pPr>
        <w:pStyle w:val="a4"/>
        <w:numPr>
          <w:ilvl w:val="2"/>
          <w:numId w:val="300"/>
        </w:numPr>
        <w:tabs>
          <w:tab w:val="left" w:pos="1530"/>
        </w:tabs>
        <w:ind w:left="1529" w:hanging="690"/>
        <w:rPr>
          <w:sz w:val="21"/>
        </w:rPr>
      </w:pPr>
      <w:r>
        <w:rPr>
          <w:spacing w:val="-3"/>
          <w:sz w:val="21"/>
        </w:rPr>
        <w:t>消防水池的通气管和呼吸管等应符合下列规定：</w:t>
      </w:r>
      <w:r>
        <w:rPr>
          <w:sz w:val="21"/>
        </w:rPr>
        <w:t xml:space="preserve"> </w:t>
      </w:r>
    </w:p>
    <w:p w14:paraId="64C13F7B" w14:textId="77777777" w:rsidR="00A71EEF" w:rsidRDefault="00A71EEF">
      <w:pPr>
        <w:pStyle w:val="a3"/>
        <w:spacing w:before="12"/>
        <w:rPr>
          <w:sz w:val="17"/>
        </w:rPr>
      </w:pPr>
    </w:p>
    <w:p w14:paraId="64AD332A" w14:textId="77777777" w:rsidR="00A71EEF" w:rsidRDefault="0081115D">
      <w:pPr>
        <w:pStyle w:val="a4"/>
        <w:numPr>
          <w:ilvl w:val="0"/>
          <w:numId w:val="294"/>
        </w:numPr>
        <w:tabs>
          <w:tab w:val="left" w:pos="1367"/>
        </w:tabs>
        <w:spacing w:before="1"/>
        <w:rPr>
          <w:sz w:val="21"/>
        </w:rPr>
      </w:pPr>
      <w:r>
        <w:rPr>
          <w:spacing w:val="-3"/>
          <w:sz w:val="21"/>
        </w:rPr>
        <w:t>消防水池应设置通气管；</w:t>
      </w:r>
      <w:r>
        <w:rPr>
          <w:sz w:val="21"/>
        </w:rPr>
        <w:t xml:space="preserve"> </w:t>
      </w:r>
    </w:p>
    <w:p w14:paraId="6390B829" w14:textId="77777777" w:rsidR="00A71EEF" w:rsidRDefault="00A71EEF">
      <w:pPr>
        <w:pStyle w:val="a3"/>
        <w:spacing w:before="1"/>
        <w:rPr>
          <w:sz w:val="18"/>
        </w:rPr>
      </w:pPr>
    </w:p>
    <w:p w14:paraId="41F5D7EF" w14:textId="77777777" w:rsidR="00A71EEF" w:rsidRDefault="0081115D">
      <w:pPr>
        <w:pStyle w:val="a4"/>
        <w:numPr>
          <w:ilvl w:val="0"/>
          <w:numId w:val="294"/>
        </w:numPr>
        <w:tabs>
          <w:tab w:val="left" w:pos="1367"/>
        </w:tabs>
        <w:rPr>
          <w:sz w:val="21"/>
        </w:rPr>
      </w:pPr>
      <w:r>
        <w:rPr>
          <w:spacing w:val="-3"/>
          <w:sz w:val="21"/>
        </w:rPr>
        <w:t>消防水池通气管、呼吸管和溢流水管等应采取防止虫鼠等进入消防水池的技术措施。</w:t>
      </w:r>
      <w:r>
        <w:rPr>
          <w:sz w:val="21"/>
        </w:rPr>
        <w:t xml:space="preserve"> </w:t>
      </w:r>
    </w:p>
    <w:p w14:paraId="0F69B9E7" w14:textId="77777777" w:rsidR="00A71EEF" w:rsidRDefault="00A71EEF">
      <w:pPr>
        <w:rPr>
          <w:sz w:val="21"/>
        </w:rPr>
        <w:sectPr w:rsidR="00A71EEF">
          <w:pgSz w:w="11910" w:h="16850"/>
          <w:pgMar w:top="1220" w:right="0" w:bottom="1420" w:left="1260" w:header="0" w:footer="1228" w:gutter="0"/>
          <w:cols w:space="720"/>
        </w:sectPr>
      </w:pPr>
    </w:p>
    <w:p w14:paraId="660D90BB" w14:textId="77777777" w:rsidR="00A71EEF" w:rsidRDefault="0081115D">
      <w:pPr>
        <w:pStyle w:val="a4"/>
        <w:numPr>
          <w:ilvl w:val="2"/>
          <w:numId w:val="300"/>
        </w:numPr>
        <w:tabs>
          <w:tab w:val="left" w:pos="1530"/>
        </w:tabs>
        <w:spacing w:before="47" w:line="446" w:lineRule="auto"/>
        <w:ind w:left="418" w:right="1549" w:firstLine="422"/>
        <w:rPr>
          <w:sz w:val="21"/>
        </w:rPr>
      </w:pPr>
      <w:r>
        <w:rPr>
          <w:spacing w:val="-3"/>
          <w:sz w:val="21"/>
        </w:rPr>
        <w:t>高位消防水池的最低有效水位应能满足其所服务的水灭火设施所需的工作压力和流量，且其有效容积应满足火灾延续时间内所需消防用水量，并应符合下列规定：</w:t>
      </w:r>
      <w:r>
        <w:rPr>
          <w:spacing w:val="-3"/>
          <w:sz w:val="21"/>
        </w:rPr>
        <w:t xml:space="preserve"> </w:t>
      </w:r>
    </w:p>
    <w:p w14:paraId="31765084" w14:textId="77777777" w:rsidR="00A71EEF" w:rsidRDefault="0081115D">
      <w:pPr>
        <w:pStyle w:val="a4"/>
        <w:numPr>
          <w:ilvl w:val="0"/>
          <w:numId w:val="293"/>
        </w:numPr>
        <w:tabs>
          <w:tab w:val="left" w:pos="1367"/>
        </w:tabs>
        <w:spacing w:line="267" w:lineRule="exact"/>
        <w:rPr>
          <w:sz w:val="21"/>
        </w:rPr>
      </w:pPr>
      <w:r>
        <w:rPr>
          <w:spacing w:val="-5"/>
          <w:sz w:val="21"/>
        </w:rPr>
        <w:t>高位消防水池的有效容积、出水、排水和水位，应符合本规范第</w:t>
      </w:r>
      <w:r>
        <w:rPr>
          <w:spacing w:val="-5"/>
          <w:sz w:val="21"/>
        </w:rPr>
        <w:t xml:space="preserve"> </w:t>
      </w:r>
      <w:r>
        <w:rPr>
          <w:sz w:val="21"/>
        </w:rPr>
        <w:t>4.3.8</w:t>
      </w:r>
      <w:r>
        <w:rPr>
          <w:spacing w:val="-23"/>
          <w:sz w:val="21"/>
        </w:rPr>
        <w:t xml:space="preserve"> </w:t>
      </w:r>
      <w:r>
        <w:rPr>
          <w:spacing w:val="-23"/>
          <w:sz w:val="21"/>
        </w:rPr>
        <w:t>条和第</w:t>
      </w:r>
      <w:r>
        <w:rPr>
          <w:spacing w:val="-23"/>
          <w:sz w:val="21"/>
        </w:rPr>
        <w:t xml:space="preserve"> </w:t>
      </w:r>
      <w:r>
        <w:rPr>
          <w:sz w:val="21"/>
        </w:rPr>
        <w:t>4.3.9</w:t>
      </w:r>
    </w:p>
    <w:p w14:paraId="22FBB817" w14:textId="77777777" w:rsidR="00A71EEF" w:rsidRDefault="00A71EEF">
      <w:pPr>
        <w:pStyle w:val="a3"/>
        <w:spacing w:before="2"/>
        <w:rPr>
          <w:sz w:val="18"/>
        </w:rPr>
      </w:pPr>
    </w:p>
    <w:p w14:paraId="2DD1FF8E" w14:textId="77777777" w:rsidR="00A71EEF" w:rsidRDefault="0081115D">
      <w:pPr>
        <w:pStyle w:val="a3"/>
        <w:ind w:left="418"/>
      </w:pPr>
      <w:r>
        <w:t>条的规定；</w:t>
      </w:r>
      <w:r>
        <w:t xml:space="preserve"> </w:t>
      </w:r>
    </w:p>
    <w:p w14:paraId="6C45C313" w14:textId="77777777" w:rsidR="00A71EEF" w:rsidRDefault="00A71EEF">
      <w:pPr>
        <w:pStyle w:val="a3"/>
        <w:rPr>
          <w:sz w:val="18"/>
        </w:rPr>
      </w:pPr>
    </w:p>
    <w:p w14:paraId="4B599D99" w14:textId="77777777" w:rsidR="00A71EEF" w:rsidRDefault="0081115D">
      <w:pPr>
        <w:pStyle w:val="a4"/>
        <w:numPr>
          <w:ilvl w:val="0"/>
          <w:numId w:val="293"/>
        </w:numPr>
        <w:tabs>
          <w:tab w:val="left" w:pos="1367"/>
        </w:tabs>
        <w:rPr>
          <w:sz w:val="21"/>
        </w:rPr>
      </w:pPr>
      <w:r>
        <w:rPr>
          <w:spacing w:val="-6"/>
          <w:sz w:val="21"/>
        </w:rPr>
        <w:t>高位消防水池的通气管和呼吸管等应符合本规范第</w:t>
      </w:r>
      <w:r>
        <w:rPr>
          <w:spacing w:val="-6"/>
          <w:sz w:val="21"/>
        </w:rPr>
        <w:t xml:space="preserve"> </w:t>
      </w:r>
      <w:r>
        <w:rPr>
          <w:sz w:val="21"/>
        </w:rPr>
        <w:t>4.3.10</w:t>
      </w:r>
      <w:r>
        <w:rPr>
          <w:spacing w:val="-10"/>
          <w:sz w:val="21"/>
        </w:rPr>
        <w:t xml:space="preserve"> </w:t>
      </w:r>
      <w:r>
        <w:rPr>
          <w:spacing w:val="-10"/>
          <w:sz w:val="21"/>
        </w:rPr>
        <w:t>条的规定；</w:t>
      </w:r>
      <w:r>
        <w:rPr>
          <w:spacing w:val="-10"/>
          <w:sz w:val="21"/>
        </w:rPr>
        <w:t xml:space="preserve"> </w:t>
      </w:r>
    </w:p>
    <w:p w14:paraId="47FFCD6C" w14:textId="77777777" w:rsidR="00A71EEF" w:rsidRDefault="00A71EEF">
      <w:pPr>
        <w:pStyle w:val="a3"/>
        <w:spacing w:before="12"/>
        <w:rPr>
          <w:sz w:val="17"/>
        </w:rPr>
      </w:pPr>
    </w:p>
    <w:p w14:paraId="3B789614" w14:textId="77777777" w:rsidR="00A71EEF" w:rsidRDefault="0081115D">
      <w:pPr>
        <w:pStyle w:val="a4"/>
        <w:numPr>
          <w:ilvl w:val="0"/>
          <w:numId w:val="293"/>
        </w:numPr>
        <w:tabs>
          <w:tab w:val="left" w:pos="1367"/>
        </w:tabs>
        <w:rPr>
          <w:sz w:val="21"/>
        </w:rPr>
      </w:pPr>
      <w:r>
        <w:rPr>
          <w:spacing w:val="-3"/>
          <w:sz w:val="21"/>
        </w:rPr>
        <w:t>除可一路消防供水的建筑物外，向高位消防水池供水的给水管不应少于两条；</w:t>
      </w:r>
      <w:r>
        <w:rPr>
          <w:sz w:val="21"/>
        </w:rPr>
        <w:t xml:space="preserve"> </w:t>
      </w:r>
    </w:p>
    <w:p w14:paraId="1C22620C" w14:textId="77777777" w:rsidR="00A71EEF" w:rsidRDefault="00A71EEF">
      <w:pPr>
        <w:pStyle w:val="a3"/>
        <w:spacing w:before="2"/>
        <w:rPr>
          <w:sz w:val="18"/>
        </w:rPr>
      </w:pPr>
    </w:p>
    <w:p w14:paraId="6E182599" w14:textId="77777777" w:rsidR="00A71EEF" w:rsidRDefault="0081115D">
      <w:pPr>
        <w:pStyle w:val="a4"/>
        <w:numPr>
          <w:ilvl w:val="0"/>
          <w:numId w:val="293"/>
        </w:numPr>
        <w:tabs>
          <w:tab w:val="left" w:pos="1367"/>
        </w:tabs>
        <w:spacing w:line="446" w:lineRule="auto"/>
        <w:ind w:left="418" w:right="1505" w:firstLine="419"/>
        <w:rPr>
          <w:sz w:val="21"/>
        </w:rPr>
      </w:pPr>
      <w:r>
        <w:rPr>
          <w:spacing w:val="-3"/>
          <w:sz w:val="21"/>
        </w:rPr>
        <w:t>当高层民用建筑采用高位消防水池供水的高压消防给水系统时，高位消防水池储存室</w:t>
      </w:r>
      <w:r>
        <w:rPr>
          <w:spacing w:val="-5"/>
          <w:sz w:val="21"/>
        </w:rPr>
        <w:t>内消防用水量确有困难，但火灾时补水可靠，其总有效容积不应小于室内消防用水量的</w:t>
      </w:r>
      <w:r>
        <w:rPr>
          <w:spacing w:val="-5"/>
          <w:sz w:val="21"/>
        </w:rPr>
        <w:t xml:space="preserve"> </w:t>
      </w:r>
      <w:r>
        <w:rPr>
          <w:sz w:val="21"/>
        </w:rPr>
        <w:t>50%</w:t>
      </w:r>
      <w:r>
        <w:rPr>
          <w:sz w:val="21"/>
        </w:rPr>
        <w:t>；</w:t>
      </w:r>
      <w:r>
        <w:rPr>
          <w:sz w:val="21"/>
        </w:rPr>
        <w:t xml:space="preserve"> </w:t>
      </w:r>
    </w:p>
    <w:p w14:paraId="2F67441C" w14:textId="77777777" w:rsidR="00A71EEF" w:rsidRDefault="0081115D">
      <w:pPr>
        <w:pStyle w:val="a4"/>
        <w:numPr>
          <w:ilvl w:val="0"/>
          <w:numId w:val="293"/>
        </w:numPr>
        <w:tabs>
          <w:tab w:val="left" w:pos="1367"/>
        </w:tabs>
        <w:spacing w:line="446" w:lineRule="auto"/>
        <w:ind w:left="418" w:right="1505" w:firstLine="419"/>
        <w:rPr>
          <w:sz w:val="21"/>
        </w:rPr>
      </w:pPr>
      <w:r>
        <w:rPr>
          <w:spacing w:val="-5"/>
          <w:sz w:val="21"/>
        </w:rPr>
        <w:t>高层民用建筑高压消防给水系统的高位消防水池总有效容积大于</w:t>
      </w:r>
      <w:r>
        <w:rPr>
          <w:spacing w:val="-5"/>
          <w:sz w:val="21"/>
        </w:rPr>
        <w:t xml:space="preserve"> </w:t>
      </w:r>
      <w:r>
        <w:rPr>
          <w:sz w:val="21"/>
        </w:rPr>
        <w:t>200m</w:t>
      </w:r>
      <w:r>
        <w:rPr>
          <w:position w:val="11"/>
          <w:sz w:val="11"/>
        </w:rPr>
        <w:t>3</w:t>
      </w:r>
      <w:r>
        <w:rPr>
          <w:spacing w:val="-23"/>
          <w:position w:val="11"/>
          <w:sz w:val="11"/>
        </w:rPr>
        <w:t xml:space="preserve"> </w:t>
      </w:r>
      <w:r>
        <w:rPr>
          <w:spacing w:val="-3"/>
          <w:sz w:val="21"/>
        </w:rPr>
        <w:t>时，宜设置蓄</w:t>
      </w:r>
      <w:r>
        <w:rPr>
          <w:spacing w:val="-5"/>
          <w:sz w:val="21"/>
        </w:rPr>
        <w:t>水有效容积相等且可独立使用的两格；当建筑高度大于</w:t>
      </w:r>
      <w:r>
        <w:rPr>
          <w:spacing w:val="-5"/>
          <w:sz w:val="21"/>
        </w:rPr>
        <w:t xml:space="preserve"> </w:t>
      </w:r>
      <w:r>
        <w:rPr>
          <w:sz w:val="21"/>
        </w:rPr>
        <w:t>100m</w:t>
      </w:r>
      <w:r>
        <w:rPr>
          <w:spacing w:val="-8"/>
          <w:sz w:val="21"/>
        </w:rPr>
        <w:t xml:space="preserve"> </w:t>
      </w:r>
      <w:r>
        <w:rPr>
          <w:spacing w:val="-8"/>
          <w:sz w:val="21"/>
        </w:rPr>
        <w:t>时应设置独立的两座。每格或座应</w:t>
      </w:r>
      <w:r>
        <w:rPr>
          <w:spacing w:val="-5"/>
          <w:sz w:val="21"/>
        </w:rPr>
        <w:t>有一条独立的出水管向消防给水系统供水；</w:t>
      </w:r>
      <w:r>
        <w:rPr>
          <w:sz w:val="21"/>
        </w:rPr>
        <w:t xml:space="preserve"> </w:t>
      </w:r>
    </w:p>
    <w:p w14:paraId="27ACC4CF" w14:textId="77777777" w:rsidR="00A71EEF" w:rsidRDefault="0081115D">
      <w:pPr>
        <w:pStyle w:val="a4"/>
        <w:numPr>
          <w:ilvl w:val="0"/>
          <w:numId w:val="293"/>
        </w:numPr>
        <w:tabs>
          <w:tab w:val="left" w:pos="1367"/>
        </w:tabs>
        <w:spacing w:line="446" w:lineRule="auto"/>
        <w:ind w:left="418" w:right="1508" w:firstLine="419"/>
        <w:rPr>
          <w:b/>
          <w:sz w:val="21"/>
        </w:rPr>
      </w:pPr>
      <w:r>
        <w:rPr>
          <w:spacing w:val="-5"/>
          <w:sz w:val="21"/>
        </w:rPr>
        <w:t>高位消防水池设置在建筑物内时，应采用耐火极限不低于</w:t>
      </w:r>
      <w:r>
        <w:rPr>
          <w:spacing w:val="-5"/>
          <w:sz w:val="21"/>
        </w:rPr>
        <w:t xml:space="preserve"> </w:t>
      </w:r>
      <w:r>
        <w:rPr>
          <w:sz w:val="21"/>
        </w:rPr>
        <w:t>2.00h</w:t>
      </w:r>
      <w:r>
        <w:rPr>
          <w:spacing w:val="-17"/>
          <w:sz w:val="21"/>
        </w:rPr>
        <w:t xml:space="preserve"> </w:t>
      </w:r>
      <w:r>
        <w:rPr>
          <w:spacing w:val="-17"/>
          <w:sz w:val="21"/>
        </w:rPr>
        <w:t>的隔墙和</w:t>
      </w:r>
      <w:r>
        <w:rPr>
          <w:spacing w:val="-17"/>
          <w:sz w:val="21"/>
        </w:rPr>
        <w:t xml:space="preserve"> </w:t>
      </w:r>
      <w:r>
        <w:rPr>
          <w:sz w:val="21"/>
        </w:rPr>
        <w:t>1.50h</w:t>
      </w:r>
      <w:r>
        <w:rPr>
          <w:spacing w:val="-17"/>
          <w:sz w:val="21"/>
        </w:rPr>
        <w:t xml:space="preserve"> </w:t>
      </w:r>
      <w:r>
        <w:rPr>
          <w:spacing w:val="-17"/>
          <w:sz w:val="21"/>
        </w:rPr>
        <w:t>的楼</w:t>
      </w:r>
      <w:r>
        <w:rPr>
          <w:spacing w:val="-3"/>
          <w:sz w:val="21"/>
        </w:rPr>
        <w:t>板与其他部位隔开，并应设甲级防火门；且消防水池及其支承框架与建筑构件应连接牢固。</w:t>
      </w:r>
      <w:r>
        <w:rPr>
          <w:b/>
          <w:w w:val="99"/>
          <w:sz w:val="21"/>
        </w:rPr>
        <w:t xml:space="preserve"> </w:t>
      </w:r>
    </w:p>
    <w:p w14:paraId="2A06FC7D" w14:textId="77777777" w:rsidR="00A71EEF" w:rsidRDefault="0081115D">
      <w:pPr>
        <w:pStyle w:val="a4"/>
        <w:numPr>
          <w:ilvl w:val="1"/>
          <w:numId w:val="292"/>
        </w:numPr>
        <w:tabs>
          <w:tab w:val="left" w:pos="1159"/>
        </w:tabs>
        <w:ind w:hanging="319"/>
        <w:rPr>
          <w:sz w:val="21"/>
        </w:rPr>
      </w:pPr>
      <w:r>
        <w:rPr>
          <w:spacing w:val="-3"/>
          <w:sz w:val="21"/>
        </w:rPr>
        <w:t>天然水源及其他</w:t>
      </w:r>
      <w:r>
        <w:rPr>
          <w:sz w:val="21"/>
        </w:rPr>
        <w:t xml:space="preserve"> </w:t>
      </w:r>
    </w:p>
    <w:p w14:paraId="6910FF3B" w14:textId="77777777" w:rsidR="00A71EEF" w:rsidRDefault="00A71EEF">
      <w:pPr>
        <w:pStyle w:val="a3"/>
        <w:spacing w:before="12"/>
        <w:rPr>
          <w:sz w:val="16"/>
        </w:rPr>
      </w:pPr>
    </w:p>
    <w:p w14:paraId="4C1C60A3" w14:textId="77777777" w:rsidR="00A71EEF" w:rsidRDefault="0081115D">
      <w:pPr>
        <w:pStyle w:val="a4"/>
        <w:numPr>
          <w:ilvl w:val="2"/>
          <w:numId w:val="292"/>
        </w:numPr>
        <w:tabs>
          <w:tab w:val="left" w:pos="1424"/>
        </w:tabs>
        <w:rPr>
          <w:sz w:val="21"/>
        </w:rPr>
      </w:pPr>
      <w:r>
        <w:rPr>
          <w:spacing w:val="-3"/>
          <w:sz w:val="21"/>
        </w:rPr>
        <w:t>井水等地下水源可作为消防水源。</w:t>
      </w:r>
      <w:r>
        <w:rPr>
          <w:sz w:val="21"/>
        </w:rPr>
        <w:t xml:space="preserve"> </w:t>
      </w:r>
    </w:p>
    <w:p w14:paraId="77B41DC2" w14:textId="77777777" w:rsidR="00A71EEF" w:rsidRDefault="00A71EEF">
      <w:pPr>
        <w:pStyle w:val="a3"/>
        <w:spacing w:before="2"/>
        <w:rPr>
          <w:sz w:val="18"/>
        </w:rPr>
      </w:pPr>
    </w:p>
    <w:p w14:paraId="53E6A5CB" w14:textId="77777777" w:rsidR="00A71EEF" w:rsidRDefault="0081115D">
      <w:pPr>
        <w:pStyle w:val="a4"/>
        <w:numPr>
          <w:ilvl w:val="2"/>
          <w:numId w:val="292"/>
        </w:numPr>
        <w:tabs>
          <w:tab w:val="left" w:pos="1424"/>
        </w:tabs>
        <w:spacing w:line="446" w:lineRule="auto"/>
        <w:ind w:left="418" w:right="1445" w:firstLine="422"/>
        <w:rPr>
          <w:sz w:val="21"/>
        </w:rPr>
      </w:pPr>
      <w:r>
        <w:rPr>
          <w:spacing w:val="-3"/>
          <w:sz w:val="21"/>
        </w:rPr>
        <w:t>井水作为消防水源向消防给水系统直接供水时，其最不利水位应满足水泵吸水要求，</w:t>
      </w:r>
      <w:r>
        <w:rPr>
          <w:spacing w:val="-3"/>
          <w:sz w:val="21"/>
        </w:rPr>
        <w:t xml:space="preserve"> </w:t>
      </w:r>
      <w:r>
        <w:rPr>
          <w:spacing w:val="-3"/>
          <w:sz w:val="21"/>
        </w:rPr>
        <w:t>其最小出流量和水泵扬程应满足消防要求，且当需要两路消防供水时，水井不应少于两眼，每</w:t>
      </w:r>
      <w:r>
        <w:rPr>
          <w:spacing w:val="-3"/>
          <w:sz w:val="21"/>
        </w:rPr>
        <w:t xml:space="preserve"> </w:t>
      </w:r>
      <w:r>
        <w:rPr>
          <w:spacing w:val="-3"/>
          <w:sz w:val="21"/>
        </w:rPr>
        <w:t>眼井的深井泵的供电均应采用一级供电负荷。</w:t>
      </w:r>
      <w:r>
        <w:rPr>
          <w:sz w:val="21"/>
        </w:rPr>
        <w:t xml:space="preserve"> </w:t>
      </w:r>
    </w:p>
    <w:p w14:paraId="52734293" w14:textId="77777777" w:rsidR="00A71EEF" w:rsidRDefault="0081115D">
      <w:pPr>
        <w:pStyle w:val="a4"/>
        <w:numPr>
          <w:ilvl w:val="2"/>
          <w:numId w:val="292"/>
        </w:numPr>
        <w:tabs>
          <w:tab w:val="left" w:pos="1424"/>
        </w:tabs>
        <w:spacing w:line="446" w:lineRule="auto"/>
        <w:ind w:left="418" w:right="1445" w:firstLine="422"/>
        <w:rPr>
          <w:sz w:val="21"/>
        </w:rPr>
      </w:pPr>
      <w:r>
        <w:rPr>
          <w:spacing w:val="-3"/>
          <w:sz w:val="21"/>
        </w:rPr>
        <w:t>江、河、湖、海、水库等天然水源的设计枯水流量保证率应根据城乡规模和工业项目</w:t>
      </w:r>
      <w:r>
        <w:rPr>
          <w:spacing w:val="-5"/>
          <w:sz w:val="21"/>
        </w:rPr>
        <w:t>的重要性、火灾危险性和经济合理性等综合因素确定，宜为</w:t>
      </w:r>
      <w:r>
        <w:rPr>
          <w:spacing w:val="-5"/>
          <w:sz w:val="21"/>
        </w:rPr>
        <w:t xml:space="preserve"> </w:t>
      </w:r>
      <w:r>
        <w:rPr>
          <w:sz w:val="21"/>
        </w:rPr>
        <w:t>90%</w:t>
      </w:r>
      <w:r>
        <w:rPr>
          <w:sz w:val="21"/>
        </w:rPr>
        <w:t>～</w:t>
      </w:r>
      <w:r>
        <w:rPr>
          <w:sz w:val="21"/>
        </w:rPr>
        <w:t>97</w:t>
      </w:r>
      <w:r>
        <w:rPr>
          <w:spacing w:val="-3"/>
          <w:sz w:val="21"/>
        </w:rPr>
        <w:t>%</w:t>
      </w:r>
      <w:r>
        <w:rPr>
          <w:spacing w:val="-3"/>
          <w:sz w:val="21"/>
        </w:rPr>
        <w:t>。但村镇的室外消防给水水源</w:t>
      </w:r>
      <w:r>
        <w:rPr>
          <w:spacing w:val="-3"/>
          <w:sz w:val="21"/>
        </w:rPr>
        <w:t>的设计枯水流量保证率可根据当地水源情况适当降低。</w:t>
      </w:r>
      <w:r>
        <w:rPr>
          <w:sz w:val="21"/>
        </w:rPr>
        <w:t xml:space="preserve"> </w:t>
      </w:r>
    </w:p>
    <w:p w14:paraId="2ACDD579" w14:textId="77777777" w:rsidR="00A71EEF" w:rsidRDefault="0081115D">
      <w:pPr>
        <w:pStyle w:val="a4"/>
        <w:numPr>
          <w:ilvl w:val="2"/>
          <w:numId w:val="292"/>
        </w:numPr>
        <w:tabs>
          <w:tab w:val="left" w:pos="1424"/>
        </w:tabs>
        <w:spacing w:line="446" w:lineRule="auto"/>
        <w:ind w:left="418" w:right="1445" w:firstLine="422"/>
        <w:rPr>
          <w:sz w:val="21"/>
        </w:rPr>
      </w:pPr>
      <w:r>
        <w:rPr>
          <w:spacing w:val="-3"/>
          <w:sz w:val="21"/>
        </w:rPr>
        <w:t>当室外消防水源采用天然水源时，应采取防止冰凌、漂浮物、悬浮物等物质堵塞消防水泵的技术措施，并应采取确保安全取水的措施。</w:t>
      </w:r>
      <w:r>
        <w:rPr>
          <w:sz w:val="21"/>
        </w:rPr>
        <w:t xml:space="preserve"> </w:t>
      </w:r>
    </w:p>
    <w:p w14:paraId="35835528" w14:textId="77777777" w:rsidR="00A71EEF" w:rsidRDefault="0081115D">
      <w:pPr>
        <w:pStyle w:val="a4"/>
        <w:numPr>
          <w:ilvl w:val="2"/>
          <w:numId w:val="292"/>
        </w:numPr>
        <w:tabs>
          <w:tab w:val="left" w:pos="1424"/>
        </w:tabs>
        <w:spacing w:line="267" w:lineRule="exact"/>
        <w:rPr>
          <w:sz w:val="21"/>
        </w:rPr>
      </w:pPr>
      <w:r>
        <w:rPr>
          <w:spacing w:val="-3"/>
          <w:sz w:val="21"/>
        </w:rPr>
        <w:t>当天然水源等作为消防水源时，应符合下列规定：</w:t>
      </w:r>
      <w:r>
        <w:rPr>
          <w:sz w:val="21"/>
        </w:rPr>
        <w:t xml:space="preserve"> </w:t>
      </w:r>
    </w:p>
    <w:p w14:paraId="0A669CFA" w14:textId="77777777" w:rsidR="00A71EEF" w:rsidRDefault="00A71EEF">
      <w:pPr>
        <w:pStyle w:val="a3"/>
        <w:rPr>
          <w:sz w:val="18"/>
        </w:rPr>
      </w:pPr>
    </w:p>
    <w:p w14:paraId="1DA0D433" w14:textId="77777777" w:rsidR="00A71EEF" w:rsidRDefault="0081115D">
      <w:pPr>
        <w:pStyle w:val="a4"/>
        <w:numPr>
          <w:ilvl w:val="0"/>
          <w:numId w:val="291"/>
        </w:numPr>
        <w:tabs>
          <w:tab w:val="left" w:pos="1367"/>
        </w:tabs>
        <w:spacing w:line="446" w:lineRule="auto"/>
        <w:ind w:right="1505" w:firstLine="419"/>
        <w:rPr>
          <w:sz w:val="21"/>
        </w:rPr>
      </w:pPr>
      <w:r>
        <w:rPr>
          <w:spacing w:val="-3"/>
          <w:sz w:val="21"/>
        </w:rPr>
        <w:t>当地表水作为室外消防水源时，应采取确保消防车、固定和移动消防水泵在枯水位取</w:t>
      </w:r>
      <w:r>
        <w:rPr>
          <w:spacing w:val="-5"/>
          <w:sz w:val="21"/>
        </w:rPr>
        <w:t>水的技术措施；当消防车取水时，最大吸水高度不应超过</w:t>
      </w:r>
      <w:r>
        <w:rPr>
          <w:spacing w:val="-5"/>
          <w:sz w:val="21"/>
        </w:rPr>
        <w:t xml:space="preserve"> </w:t>
      </w:r>
      <w:r>
        <w:rPr>
          <w:sz w:val="21"/>
        </w:rPr>
        <w:t>6.0m</w:t>
      </w:r>
      <w:r>
        <w:rPr>
          <w:sz w:val="21"/>
        </w:rPr>
        <w:t>；</w:t>
      </w:r>
      <w:r>
        <w:rPr>
          <w:sz w:val="21"/>
        </w:rPr>
        <w:t xml:space="preserve"> </w:t>
      </w:r>
    </w:p>
    <w:p w14:paraId="3DF976E7" w14:textId="77777777" w:rsidR="00A71EEF" w:rsidRDefault="0081115D">
      <w:pPr>
        <w:pStyle w:val="a4"/>
        <w:numPr>
          <w:ilvl w:val="0"/>
          <w:numId w:val="291"/>
        </w:numPr>
        <w:tabs>
          <w:tab w:val="left" w:pos="1367"/>
        </w:tabs>
        <w:spacing w:line="267" w:lineRule="exact"/>
        <w:ind w:left="1367"/>
        <w:rPr>
          <w:sz w:val="21"/>
        </w:rPr>
      </w:pPr>
      <w:r>
        <w:rPr>
          <w:spacing w:val="-3"/>
          <w:sz w:val="21"/>
        </w:rPr>
        <w:t>当井水作为消防水源时，还应设置探测水井水位的水位测试装置。</w:t>
      </w:r>
      <w:r>
        <w:rPr>
          <w:sz w:val="21"/>
        </w:rPr>
        <w:t xml:space="preserve"> </w:t>
      </w:r>
    </w:p>
    <w:p w14:paraId="2653559C" w14:textId="77777777" w:rsidR="00A71EEF" w:rsidRDefault="00A71EEF">
      <w:pPr>
        <w:spacing w:line="267" w:lineRule="exact"/>
        <w:rPr>
          <w:sz w:val="21"/>
        </w:rPr>
        <w:sectPr w:rsidR="00A71EEF">
          <w:pgSz w:w="11910" w:h="16850"/>
          <w:pgMar w:top="1220" w:right="0" w:bottom="1420" w:left="1260" w:header="0" w:footer="1228" w:gutter="0"/>
          <w:cols w:space="720"/>
        </w:sectPr>
      </w:pPr>
    </w:p>
    <w:p w14:paraId="66080568" w14:textId="77777777" w:rsidR="00A71EEF" w:rsidRDefault="0081115D">
      <w:pPr>
        <w:pStyle w:val="a4"/>
        <w:numPr>
          <w:ilvl w:val="2"/>
          <w:numId w:val="292"/>
        </w:numPr>
        <w:tabs>
          <w:tab w:val="left" w:pos="1424"/>
        </w:tabs>
        <w:spacing w:before="47" w:line="446" w:lineRule="auto"/>
        <w:ind w:left="418" w:right="1505" w:firstLine="422"/>
        <w:rPr>
          <w:sz w:val="21"/>
        </w:rPr>
      </w:pPr>
      <w:r>
        <w:rPr>
          <w:spacing w:val="-3"/>
          <w:sz w:val="21"/>
        </w:rPr>
        <w:t>天然水源消防车取水口的设置位置和设施，应符合现行国家标准《室外给水设计规</w:t>
      </w:r>
      <w:r>
        <w:rPr>
          <w:spacing w:val="-3"/>
          <w:sz w:val="21"/>
        </w:rPr>
        <w:t xml:space="preserve"> </w:t>
      </w:r>
      <w:r>
        <w:rPr>
          <w:spacing w:val="-3"/>
          <w:sz w:val="21"/>
        </w:rPr>
        <w:t>范》</w:t>
      </w:r>
      <w:r>
        <w:rPr>
          <w:spacing w:val="-3"/>
          <w:sz w:val="21"/>
        </w:rPr>
        <w:t>GB</w:t>
      </w:r>
      <w:r>
        <w:rPr>
          <w:spacing w:val="16"/>
          <w:sz w:val="21"/>
        </w:rPr>
        <w:t xml:space="preserve"> </w:t>
      </w:r>
      <w:r>
        <w:rPr>
          <w:sz w:val="21"/>
        </w:rPr>
        <w:t>50013</w:t>
      </w:r>
      <w:r>
        <w:rPr>
          <w:spacing w:val="-10"/>
          <w:sz w:val="21"/>
        </w:rPr>
        <w:t xml:space="preserve"> </w:t>
      </w:r>
      <w:r>
        <w:rPr>
          <w:spacing w:val="-10"/>
          <w:sz w:val="21"/>
        </w:rPr>
        <w:t>中有关地表水取水的规定，且取水头部宜设置格栅，其栅条间距不宜小于</w:t>
      </w:r>
      <w:r>
        <w:rPr>
          <w:spacing w:val="-10"/>
          <w:sz w:val="21"/>
        </w:rPr>
        <w:t xml:space="preserve"> </w:t>
      </w:r>
      <w:r>
        <w:rPr>
          <w:sz w:val="21"/>
        </w:rPr>
        <w:t>50mm</w:t>
      </w:r>
      <w:r>
        <w:rPr>
          <w:sz w:val="21"/>
        </w:rPr>
        <w:t>，</w:t>
      </w:r>
      <w:r>
        <w:rPr>
          <w:sz w:val="21"/>
        </w:rPr>
        <w:t xml:space="preserve"> </w:t>
      </w:r>
      <w:r>
        <w:rPr>
          <w:spacing w:val="-3"/>
          <w:sz w:val="21"/>
        </w:rPr>
        <w:t>也可采用过滤管。</w:t>
      </w:r>
      <w:r>
        <w:rPr>
          <w:sz w:val="21"/>
        </w:rPr>
        <w:t xml:space="preserve"> </w:t>
      </w:r>
    </w:p>
    <w:p w14:paraId="5CC44869" w14:textId="77777777" w:rsidR="00A71EEF" w:rsidRDefault="0081115D">
      <w:pPr>
        <w:pStyle w:val="a4"/>
        <w:numPr>
          <w:ilvl w:val="2"/>
          <w:numId w:val="292"/>
        </w:numPr>
        <w:tabs>
          <w:tab w:val="left" w:pos="1424"/>
        </w:tabs>
        <w:spacing w:line="446" w:lineRule="auto"/>
        <w:ind w:left="418" w:right="1445" w:firstLine="422"/>
        <w:rPr>
          <w:b/>
          <w:sz w:val="21"/>
        </w:rPr>
      </w:pPr>
      <w:r>
        <w:rPr>
          <w:spacing w:val="-3"/>
          <w:sz w:val="21"/>
        </w:rPr>
        <w:t>设有消防车取水口的天然水源，应设置消防车到达取水口的消防车道和消防车回车场或回车道。</w:t>
      </w:r>
      <w:r>
        <w:rPr>
          <w:b/>
          <w:w w:val="99"/>
          <w:sz w:val="21"/>
        </w:rPr>
        <w:t xml:space="preserve"> </w:t>
      </w:r>
    </w:p>
    <w:p w14:paraId="711AD7FB" w14:textId="77777777" w:rsidR="00A71EEF" w:rsidRDefault="0081115D">
      <w:pPr>
        <w:pStyle w:val="4"/>
        <w:spacing w:line="275" w:lineRule="exact"/>
      </w:pPr>
      <w:r>
        <w:t xml:space="preserve">5 </w:t>
      </w:r>
      <w:r>
        <w:t>供水设施</w:t>
      </w:r>
      <w:r>
        <w:rPr>
          <w:w w:val="99"/>
        </w:rPr>
        <w:t xml:space="preserve"> </w:t>
      </w:r>
    </w:p>
    <w:p w14:paraId="2DDCB158" w14:textId="77777777" w:rsidR="00A71EEF" w:rsidRDefault="00A71EEF">
      <w:pPr>
        <w:pStyle w:val="a3"/>
        <w:spacing w:before="5"/>
        <w:rPr>
          <w:b/>
          <w:sz w:val="17"/>
        </w:rPr>
      </w:pPr>
    </w:p>
    <w:p w14:paraId="068C4BDF" w14:textId="77777777" w:rsidR="00A71EEF" w:rsidRDefault="0081115D">
      <w:pPr>
        <w:pStyle w:val="a4"/>
        <w:numPr>
          <w:ilvl w:val="1"/>
          <w:numId w:val="290"/>
        </w:numPr>
        <w:tabs>
          <w:tab w:val="left" w:pos="1160"/>
        </w:tabs>
        <w:spacing w:before="1"/>
        <w:rPr>
          <w:sz w:val="21"/>
        </w:rPr>
      </w:pPr>
      <w:r>
        <w:rPr>
          <w:spacing w:val="-3"/>
          <w:sz w:val="21"/>
        </w:rPr>
        <w:t>消防水泵</w:t>
      </w:r>
      <w:r>
        <w:rPr>
          <w:sz w:val="21"/>
        </w:rPr>
        <w:t xml:space="preserve"> </w:t>
      </w:r>
    </w:p>
    <w:p w14:paraId="4F4767C1" w14:textId="77777777" w:rsidR="00A71EEF" w:rsidRDefault="00A71EEF">
      <w:pPr>
        <w:pStyle w:val="a3"/>
        <w:rPr>
          <w:sz w:val="18"/>
        </w:rPr>
      </w:pPr>
    </w:p>
    <w:p w14:paraId="0164245E" w14:textId="77777777" w:rsidR="00A71EEF" w:rsidRDefault="0081115D">
      <w:pPr>
        <w:pStyle w:val="a4"/>
        <w:numPr>
          <w:ilvl w:val="2"/>
          <w:numId w:val="290"/>
        </w:numPr>
        <w:tabs>
          <w:tab w:val="left" w:pos="1424"/>
        </w:tabs>
        <w:spacing w:line="446" w:lineRule="auto"/>
        <w:ind w:right="1445" w:firstLine="422"/>
        <w:rPr>
          <w:sz w:val="21"/>
        </w:rPr>
      </w:pPr>
      <w:r>
        <w:rPr>
          <w:spacing w:val="-3"/>
          <w:sz w:val="21"/>
        </w:rPr>
        <w:t>消防水泵宜根据可靠性、安装场所、消防水源、消防给水设计流量和扬程等综合因素确定水泵的形式，水泵驱动器宜采用电动机或柴油机直接传动，消防水泵不应采用双电动机或</w:t>
      </w:r>
      <w:r>
        <w:rPr>
          <w:spacing w:val="-3"/>
          <w:sz w:val="21"/>
        </w:rPr>
        <w:t xml:space="preserve"> </w:t>
      </w:r>
      <w:r>
        <w:rPr>
          <w:spacing w:val="-3"/>
          <w:sz w:val="21"/>
        </w:rPr>
        <w:t>基于柴油机等组成的双动力驱动水泵。</w:t>
      </w:r>
      <w:r>
        <w:rPr>
          <w:sz w:val="21"/>
        </w:rPr>
        <w:t xml:space="preserve"> </w:t>
      </w:r>
    </w:p>
    <w:p w14:paraId="79D3E809" w14:textId="77777777" w:rsidR="00A71EEF" w:rsidRDefault="0081115D">
      <w:pPr>
        <w:pStyle w:val="a4"/>
        <w:numPr>
          <w:ilvl w:val="2"/>
          <w:numId w:val="290"/>
        </w:numPr>
        <w:tabs>
          <w:tab w:val="left" w:pos="1424"/>
        </w:tabs>
        <w:spacing w:line="446" w:lineRule="auto"/>
        <w:ind w:right="1445" w:firstLine="422"/>
        <w:rPr>
          <w:sz w:val="21"/>
        </w:rPr>
      </w:pPr>
      <w:r>
        <w:rPr>
          <w:spacing w:val="-3"/>
          <w:sz w:val="21"/>
        </w:rPr>
        <w:t>消防水泵机组应由水泵、驱动器和专用控制柜等组成；一组消防水泵可由同一消防给水系统的工作泵和备用泵组成。</w:t>
      </w:r>
      <w:r>
        <w:rPr>
          <w:sz w:val="21"/>
        </w:rPr>
        <w:t xml:space="preserve"> </w:t>
      </w:r>
    </w:p>
    <w:p w14:paraId="5179A2D2" w14:textId="77777777" w:rsidR="00A71EEF" w:rsidRDefault="0081115D">
      <w:pPr>
        <w:pStyle w:val="a4"/>
        <w:numPr>
          <w:ilvl w:val="2"/>
          <w:numId w:val="290"/>
        </w:numPr>
        <w:tabs>
          <w:tab w:val="left" w:pos="1424"/>
        </w:tabs>
        <w:spacing w:line="446" w:lineRule="auto"/>
        <w:ind w:right="1445" w:firstLine="422"/>
        <w:rPr>
          <w:sz w:val="21"/>
        </w:rPr>
      </w:pPr>
      <w:r>
        <w:rPr>
          <w:spacing w:val="-3"/>
          <w:sz w:val="21"/>
        </w:rPr>
        <w:t>消防水泵生产厂商应提供完整的水泵流量扬程性能曲线，并应标示流量、扬程、气蚀余量、功率和效率等参数。</w:t>
      </w:r>
      <w:r>
        <w:rPr>
          <w:spacing w:val="-3"/>
          <w:sz w:val="21"/>
        </w:rPr>
        <w:t xml:space="preserve"> </w:t>
      </w:r>
    </w:p>
    <w:p w14:paraId="426839EA" w14:textId="77777777" w:rsidR="00A71EEF" w:rsidRDefault="0081115D">
      <w:pPr>
        <w:pStyle w:val="a4"/>
        <w:numPr>
          <w:ilvl w:val="2"/>
          <w:numId w:val="290"/>
        </w:numPr>
        <w:tabs>
          <w:tab w:val="left" w:pos="1424"/>
        </w:tabs>
        <w:spacing w:line="267" w:lineRule="exact"/>
        <w:ind w:left="1423"/>
        <w:rPr>
          <w:sz w:val="21"/>
        </w:rPr>
      </w:pPr>
      <w:r>
        <w:rPr>
          <w:spacing w:val="-6"/>
          <w:sz w:val="21"/>
        </w:rPr>
        <w:t>单台消防水泵的最小额定流量不应小于</w:t>
      </w:r>
      <w:r>
        <w:rPr>
          <w:spacing w:val="-6"/>
          <w:sz w:val="21"/>
        </w:rPr>
        <w:t xml:space="preserve"> </w:t>
      </w:r>
      <w:r>
        <w:rPr>
          <w:sz w:val="21"/>
        </w:rPr>
        <w:t>10L/s</w:t>
      </w:r>
      <w:r>
        <w:rPr>
          <w:sz w:val="21"/>
        </w:rPr>
        <w:t>，</w:t>
      </w:r>
      <w:r>
        <w:rPr>
          <w:spacing w:val="-8"/>
          <w:sz w:val="21"/>
        </w:rPr>
        <w:t>最大额定流量不宜大于</w:t>
      </w:r>
      <w:r>
        <w:rPr>
          <w:spacing w:val="-8"/>
          <w:sz w:val="21"/>
        </w:rPr>
        <w:t xml:space="preserve"> </w:t>
      </w:r>
      <w:r>
        <w:rPr>
          <w:sz w:val="21"/>
        </w:rPr>
        <w:t>320L/s</w:t>
      </w:r>
      <w:r>
        <w:rPr>
          <w:spacing w:val="-3"/>
          <w:sz w:val="21"/>
        </w:rPr>
        <w:t>。</w:t>
      </w:r>
      <w:r>
        <w:rPr>
          <w:sz w:val="21"/>
        </w:rPr>
        <w:t xml:space="preserve"> </w:t>
      </w:r>
    </w:p>
    <w:p w14:paraId="3382A7DE" w14:textId="77777777" w:rsidR="00A71EEF" w:rsidRDefault="00A71EEF">
      <w:pPr>
        <w:pStyle w:val="a3"/>
        <w:rPr>
          <w:sz w:val="18"/>
        </w:rPr>
      </w:pPr>
    </w:p>
    <w:p w14:paraId="366EABAB" w14:textId="77777777" w:rsidR="00A71EEF" w:rsidRDefault="0081115D">
      <w:pPr>
        <w:pStyle w:val="a4"/>
        <w:numPr>
          <w:ilvl w:val="2"/>
          <w:numId w:val="290"/>
        </w:numPr>
        <w:tabs>
          <w:tab w:val="left" w:pos="1424"/>
        </w:tabs>
        <w:spacing w:line="446" w:lineRule="auto"/>
        <w:ind w:right="1445" w:firstLine="422"/>
        <w:rPr>
          <w:sz w:val="21"/>
        </w:rPr>
      </w:pPr>
      <w:r>
        <w:rPr>
          <w:spacing w:val="-3"/>
          <w:sz w:val="21"/>
        </w:rPr>
        <w:t>当消防水泵采用离心</w:t>
      </w:r>
      <w:r>
        <w:rPr>
          <w:spacing w:val="-3"/>
          <w:sz w:val="21"/>
        </w:rPr>
        <w:t>泵时，泵的形式宜根据流量、扬程、气蚀余量、功率和效率、转速、噪声，以及安装场所的环境要求等因素综合确定。</w:t>
      </w:r>
      <w:r>
        <w:rPr>
          <w:sz w:val="21"/>
        </w:rPr>
        <w:t xml:space="preserve"> </w:t>
      </w:r>
    </w:p>
    <w:p w14:paraId="4EBC858E" w14:textId="77777777" w:rsidR="00A71EEF" w:rsidRDefault="0081115D">
      <w:pPr>
        <w:pStyle w:val="a4"/>
        <w:numPr>
          <w:ilvl w:val="2"/>
          <w:numId w:val="290"/>
        </w:numPr>
        <w:tabs>
          <w:tab w:val="left" w:pos="1424"/>
        </w:tabs>
        <w:spacing w:line="267" w:lineRule="exact"/>
        <w:ind w:left="1423"/>
        <w:rPr>
          <w:sz w:val="21"/>
        </w:rPr>
      </w:pPr>
      <w:r>
        <w:rPr>
          <w:spacing w:val="-3"/>
          <w:sz w:val="21"/>
        </w:rPr>
        <w:t>消防水泵的选择和应用应符合下列规定：</w:t>
      </w:r>
      <w:r>
        <w:rPr>
          <w:sz w:val="21"/>
        </w:rPr>
        <w:t xml:space="preserve"> </w:t>
      </w:r>
    </w:p>
    <w:p w14:paraId="315C6889" w14:textId="77777777" w:rsidR="00A71EEF" w:rsidRDefault="00A71EEF">
      <w:pPr>
        <w:pStyle w:val="a3"/>
        <w:spacing w:before="2"/>
        <w:rPr>
          <w:sz w:val="18"/>
        </w:rPr>
      </w:pPr>
    </w:p>
    <w:p w14:paraId="41232257" w14:textId="77777777" w:rsidR="00A71EEF" w:rsidRDefault="0081115D">
      <w:pPr>
        <w:pStyle w:val="a4"/>
        <w:numPr>
          <w:ilvl w:val="0"/>
          <w:numId w:val="289"/>
        </w:numPr>
        <w:tabs>
          <w:tab w:val="left" w:pos="1367"/>
        </w:tabs>
        <w:rPr>
          <w:sz w:val="21"/>
        </w:rPr>
      </w:pPr>
      <w:r>
        <w:rPr>
          <w:spacing w:val="-3"/>
          <w:sz w:val="21"/>
        </w:rPr>
        <w:t>消防水泵的性能应满足消防给水系统所需流量和压力的要求；</w:t>
      </w:r>
      <w:r>
        <w:rPr>
          <w:sz w:val="21"/>
        </w:rPr>
        <w:t xml:space="preserve"> </w:t>
      </w:r>
    </w:p>
    <w:p w14:paraId="7BE943E3" w14:textId="77777777" w:rsidR="00A71EEF" w:rsidRDefault="00A71EEF">
      <w:pPr>
        <w:pStyle w:val="a3"/>
        <w:rPr>
          <w:sz w:val="18"/>
        </w:rPr>
      </w:pPr>
    </w:p>
    <w:p w14:paraId="3EDE44F7" w14:textId="77777777" w:rsidR="00A71EEF" w:rsidRDefault="0081115D">
      <w:pPr>
        <w:pStyle w:val="a4"/>
        <w:numPr>
          <w:ilvl w:val="0"/>
          <w:numId w:val="289"/>
        </w:numPr>
        <w:tabs>
          <w:tab w:val="left" w:pos="1367"/>
        </w:tabs>
        <w:spacing w:line="446" w:lineRule="auto"/>
        <w:ind w:left="418" w:right="1505" w:firstLine="419"/>
        <w:rPr>
          <w:sz w:val="21"/>
        </w:rPr>
      </w:pPr>
      <w:r>
        <w:rPr>
          <w:spacing w:val="-3"/>
          <w:sz w:val="21"/>
        </w:rPr>
        <w:t>消防水泵所配驱动器的功率应满足所选水泵流量扬程性能曲线上任何一点运行所需功率的要求；</w:t>
      </w:r>
      <w:r>
        <w:rPr>
          <w:sz w:val="21"/>
        </w:rPr>
        <w:t xml:space="preserve"> </w:t>
      </w:r>
    </w:p>
    <w:p w14:paraId="700887FA" w14:textId="77777777" w:rsidR="00A71EEF" w:rsidRDefault="0081115D">
      <w:pPr>
        <w:pStyle w:val="a4"/>
        <w:numPr>
          <w:ilvl w:val="0"/>
          <w:numId w:val="289"/>
        </w:numPr>
        <w:tabs>
          <w:tab w:val="left" w:pos="1367"/>
        </w:tabs>
        <w:rPr>
          <w:sz w:val="21"/>
        </w:rPr>
      </w:pPr>
      <w:r>
        <w:rPr>
          <w:spacing w:val="-3"/>
          <w:sz w:val="21"/>
        </w:rPr>
        <w:t>当采用电动机驱动的消防水泵时，应选择电动机干式安装的消防水泵；</w:t>
      </w:r>
      <w:r>
        <w:rPr>
          <w:spacing w:val="-3"/>
          <w:sz w:val="21"/>
        </w:rPr>
        <w:t xml:space="preserve"> </w:t>
      </w:r>
    </w:p>
    <w:p w14:paraId="12557045" w14:textId="77777777" w:rsidR="00A71EEF" w:rsidRDefault="00A71EEF">
      <w:pPr>
        <w:pStyle w:val="a3"/>
        <w:spacing w:before="12"/>
        <w:rPr>
          <w:sz w:val="17"/>
        </w:rPr>
      </w:pPr>
    </w:p>
    <w:p w14:paraId="72C0B0A6" w14:textId="77777777" w:rsidR="00A71EEF" w:rsidRDefault="0081115D">
      <w:pPr>
        <w:pStyle w:val="a4"/>
        <w:numPr>
          <w:ilvl w:val="0"/>
          <w:numId w:val="289"/>
        </w:numPr>
        <w:tabs>
          <w:tab w:val="left" w:pos="1367"/>
        </w:tabs>
        <w:spacing w:line="446" w:lineRule="auto"/>
        <w:ind w:left="418" w:right="1505" w:firstLine="419"/>
        <w:rPr>
          <w:sz w:val="21"/>
        </w:rPr>
      </w:pPr>
      <w:r>
        <w:rPr>
          <w:spacing w:val="-3"/>
          <w:sz w:val="21"/>
        </w:rPr>
        <w:t>流量扬程性能曲线应为无驼峰、无拐点的光滑曲线，零流量时的压力不应大于设计工</w:t>
      </w:r>
      <w:r>
        <w:rPr>
          <w:spacing w:val="-13"/>
          <w:sz w:val="21"/>
        </w:rPr>
        <w:t>作压力的</w:t>
      </w:r>
      <w:r>
        <w:rPr>
          <w:spacing w:val="-13"/>
          <w:sz w:val="21"/>
        </w:rPr>
        <w:t xml:space="preserve"> </w:t>
      </w:r>
      <w:r>
        <w:rPr>
          <w:sz w:val="21"/>
        </w:rPr>
        <w:t>140</w:t>
      </w:r>
      <w:r>
        <w:rPr>
          <w:spacing w:val="-7"/>
          <w:sz w:val="21"/>
        </w:rPr>
        <w:t>%</w:t>
      </w:r>
      <w:r>
        <w:rPr>
          <w:spacing w:val="-7"/>
          <w:sz w:val="21"/>
        </w:rPr>
        <w:t>，且宜大于设计工作压力的</w:t>
      </w:r>
      <w:r>
        <w:rPr>
          <w:spacing w:val="-7"/>
          <w:sz w:val="21"/>
        </w:rPr>
        <w:t xml:space="preserve"> </w:t>
      </w:r>
      <w:r>
        <w:rPr>
          <w:sz w:val="21"/>
        </w:rPr>
        <w:t>120%</w:t>
      </w:r>
      <w:r>
        <w:rPr>
          <w:sz w:val="21"/>
        </w:rPr>
        <w:t>；</w:t>
      </w:r>
      <w:r>
        <w:rPr>
          <w:sz w:val="21"/>
        </w:rPr>
        <w:t xml:space="preserve"> </w:t>
      </w:r>
    </w:p>
    <w:p w14:paraId="6545C93D" w14:textId="77777777" w:rsidR="00A71EEF" w:rsidRDefault="0081115D">
      <w:pPr>
        <w:pStyle w:val="a4"/>
        <w:numPr>
          <w:ilvl w:val="0"/>
          <w:numId w:val="289"/>
        </w:numPr>
        <w:tabs>
          <w:tab w:val="left" w:pos="1367"/>
        </w:tabs>
        <w:rPr>
          <w:sz w:val="21"/>
        </w:rPr>
      </w:pPr>
      <w:r>
        <w:rPr>
          <w:spacing w:val="-8"/>
          <w:sz w:val="21"/>
        </w:rPr>
        <w:t>当出流量为设计流量的</w:t>
      </w:r>
      <w:r>
        <w:rPr>
          <w:spacing w:val="-8"/>
          <w:sz w:val="21"/>
        </w:rPr>
        <w:t xml:space="preserve"> </w:t>
      </w:r>
      <w:r>
        <w:rPr>
          <w:sz w:val="21"/>
        </w:rPr>
        <w:t>150</w:t>
      </w:r>
      <w:r>
        <w:rPr>
          <w:spacing w:val="-6"/>
          <w:sz w:val="21"/>
        </w:rPr>
        <w:t>%</w:t>
      </w:r>
      <w:r>
        <w:rPr>
          <w:spacing w:val="-6"/>
          <w:sz w:val="21"/>
        </w:rPr>
        <w:t>时，其出口压力不应低于设计工作压力的</w:t>
      </w:r>
      <w:r>
        <w:rPr>
          <w:spacing w:val="-6"/>
          <w:sz w:val="21"/>
        </w:rPr>
        <w:t xml:space="preserve"> </w:t>
      </w:r>
      <w:r>
        <w:rPr>
          <w:spacing w:val="-3"/>
          <w:sz w:val="21"/>
        </w:rPr>
        <w:t>65%</w:t>
      </w:r>
      <w:r>
        <w:rPr>
          <w:spacing w:val="-3"/>
          <w:sz w:val="21"/>
        </w:rPr>
        <w:t>；</w:t>
      </w:r>
      <w:r>
        <w:rPr>
          <w:sz w:val="21"/>
        </w:rPr>
        <w:t xml:space="preserve"> </w:t>
      </w:r>
    </w:p>
    <w:p w14:paraId="41460998" w14:textId="77777777" w:rsidR="00A71EEF" w:rsidRDefault="00A71EEF">
      <w:pPr>
        <w:pStyle w:val="a3"/>
        <w:rPr>
          <w:sz w:val="18"/>
        </w:rPr>
      </w:pPr>
    </w:p>
    <w:p w14:paraId="36EADD4B" w14:textId="77777777" w:rsidR="00A71EEF" w:rsidRDefault="0081115D">
      <w:pPr>
        <w:pStyle w:val="a4"/>
        <w:numPr>
          <w:ilvl w:val="0"/>
          <w:numId w:val="289"/>
        </w:numPr>
        <w:tabs>
          <w:tab w:val="left" w:pos="1367"/>
        </w:tabs>
        <w:rPr>
          <w:sz w:val="21"/>
        </w:rPr>
      </w:pPr>
      <w:r>
        <w:rPr>
          <w:spacing w:val="-3"/>
          <w:sz w:val="21"/>
        </w:rPr>
        <w:t>泵轴的密封方式和材料应满足消防水泵在低流量时运转的要求；</w:t>
      </w:r>
      <w:r>
        <w:rPr>
          <w:sz w:val="21"/>
        </w:rPr>
        <w:t xml:space="preserve"> </w:t>
      </w:r>
    </w:p>
    <w:p w14:paraId="6B384E40" w14:textId="77777777" w:rsidR="00A71EEF" w:rsidRDefault="00A71EEF">
      <w:pPr>
        <w:pStyle w:val="a3"/>
        <w:rPr>
          <w:sz w:val="18"/>
        </w:rPr>
      </w:pPr>
    </w:p>
    <w:p w14:paraId="6A1EDC71" w14:textId="77777777" w:rsidR="00A71EEF" w:rsidRDefault="0081115D">
      <w:pPr>
        <w:pStyle w:val="a4"/>
        <w:numPr>
          <w:ilvl w:val="0"/>
          <w:numId w:val="289"/>
        </w:numPr>
        <w:tabs>
          <w:tab w:val="left" w:pos="1367"/>
        </w:tabs>
        <w:rPr>
          <w:sz w:val="21"/>
        </w:rPr>
      </w:pPr>
      <w:r>
        <w:rPr>
          <w:spacing w:val="-5"/>
          <w:sz w:val="21"/>
        </w:rPr>
        <w:t>消防给水同一泵组的消防水泵型号宜一致，且工作泵不宜超过</w:t>
      </w:r>
      <w:r>
        <w:rPr>
          <w:spacing w:val="-5"/>
          <w:sz w:val="21"/>
        </w:rPr>
        <w:t xml:space="preserve"> </w:t>
      </w:r>
      <w:r>
        <w:rPr>
          <w:sz w:val="21"/>
        </w:rPr>
        <w:t>3</w:t>
      </w:r>
      <w:r>
        <w:rPr>
          <w:spacing w:val="-14"/>
          <w:sz w:val="21"/>
        </w:rPr>
        <w:t xml:space="preserve"> </w:t>
      </w:r>
      <w:r>
        <w:rPr>
          <w:spacing w:val="-14"/>
          <w:sz w:val="21"/>
        </w:rPr>
        <w:t>台；</w:t>
      </w:r>
      <w:r>
        <w:rPr>
          <w:spacing w:val="-14"/>
          <w:sz w:val="21"/>
        </w:rPr>
        <w:t xml:space="preserve"> </w:t>
      </w:r>
    </w:p>
    <w:p w14:paraId="3CFBCA2C" w14:textId="77777777" w:rsidR="00A71EEF" w:rsidRDefault="00A71EEF">
      <w:pPr>
        <w:pStyle w:val="a3"/>
        <w:spacing w:before="1"/>
        <w:rPr>
          <w:sz w:val="18"/>
        </w:rPr>
      </w:pPr>
    </w:p>
    <w:p w14:paraId="2287BBC6" w14:textId="77777777" w:rsidR="00A71EEF" w:rsidRDefault="0081115D">
      <w:pPr>
        <w:pStyle w:val="a4"/>
        <w:numPr>
          <w:ilvl w:val="0"/>
          <w:numId w:val="289"/>
        </w:numPr>
        <w:tabs>
          <w:tab w:val="left" w:pos="1367"/>
        </w:tabs>
        <w:spacing w:before="1"/>
        <w:rPr>
          <w:sz w:val="21"/>
        </w:rPr>
      </w:pPr>
      <w:r>
        <w:rPr>
          <w:spacing w:val="-3"/>
          <w:sz w:val="21"/>
        </w:rPr>
        <w:t>多台消防水泵并联时，应校核流量叠加对消防水泵出口压力的影响。</w:t>
      </w:r>
      <w:r>
        <w:rPr>
          <w:spacing w:val="-3"/>
          <w:sz w:val="21"/>
        </w:rPr>
        <w:t xml:space="preserve"> </w:t>
      </w:r>
    </w:p>
    <w:p w14:paraId="4C3B60D6" w14:textId="77777777" w:rsidR="00A71EEF" w:rsidRDefault="00A71EEF">
      <w:pPr>
        <w:rPr>
          <w:sz w:val="21"/>
        </w:rPr>
        <w:sectPr w:rsidR="00A71EEF">
          <w:pgSz w:w="11910" w:h="16850"/>
          <w:pgMar w:top="1220" w:right="0" w:bottom="1420" w:left="1260" w:header="0" w:footer="1228" w:gutter="0"/>
          <w:cols w:space="720"/>
        </w:sectPr>
      </w:pPr>
    </w:p>
    <w:p w14:paraId="1CFEDDA4" w14:textId="77777777" w:rsidR="00A71EEF" w:rsidRDefault="0081115D">
      <w:pPr>
        <w:pStyle w:val="a4"/>
        <w:numPr>
          <w:ilvl w:val="2"/>
          <w:numId w:val="290"/>
        </w:numPr>
        <w:tabs>
          <w:tab w:val="left" w:pos="1424"/>
        </w:tabs>
        <w:spacing w:before="47"/>
        <w:ind w:left="1423"/>
        <w:rPr>
          <w:sz w:val="21"/>
        </w:rPr>
      </w:pPr>
      <w:r>
        <w:rPr>
          <w:spacing w:val="-3"/>
          <w:sz w:val="21"/>
        </w:rPr>
        <w:t>消防水泵的主要材质应符合下列规定：</w:t>
      </w:r>
      <w:r>
        <w:rPr>
          <w:sz w:val="21"/>
        </w:rPr>
        <w:t xml:space="preserve"> </w:t>
      </w:r>
    </w:p>
    <w:p w14:paraId="7889A5A1" w14:textId="77777777" w:rsidR="00A71EEF" w:rsidRDefault="00A71EEF">
      <w:pPr>
        <w:pStyle w:val="a3"/>
        <w:rPr>
          <w:sz w:val="18"/>
        </w:rPr>
      </w:pPr>
    </w:p>
    <w:p w14:paraId="53A41583" w14:textId="77777777" w:rsidR="00A71EEF" w:rsidRDefault="0081115D">
      <w:pPr>
        <w:pStyle w:val="a3"/>
        <w:ind w:left="838"/>
      </w:pPr>
      <w:r>
        <w:t xml:space="preserve"> </w:t>
      </w:r>
      <w:r>
        <w:t>（</w:t>
      </w:r>
      <w:r>
        <w:t>1</w:t>
      </w:r>
      <w:r>
        <w:t>）水泵外壳宜为球墨铸铁；</w:t>
      </w:r>
      <w:r>
        <w:t xml:space="preserve"> </w:t>
      </w:r>
    </w:p>
    <w:p w14:paraId="58DA1E87" w14:textId="77777777" w:rsidR="00A71EEF" w:rsidRDefault="00A71EEF">
      <w:pPr>
        <w:pStyle w:val="a3"/>
        <w:rPr>
          <w:sz w:val="18"/>
        </w:rPr>
      </w:pPr>
    </w:p>
    <w:p w14:paraId="42D1F603" w14:textId="77777777" w:rsidR="00A71EEF" w:rsidRDefault="0081115D">
      <w:pPr>
        <w:pStyle w:val="a3"/>
        <w:ind w:left="838"/>
      </w:pPr>
      <w:r>
        <w:t>（</w:t>
      </w:r>
      <w:r>
        <w:t>2</w:t>
      </w:r>
      <w:r>
        <w:t>）叶轮宜为青铜或不锈钢。</w:t>
      </w:r>
      <w:r>
        <w:t xml:space="preserve"> </w:t>
      </w:r>
    </w:p>
    <w:p w14:paraId="0BD7AA2F" w14:textId="77777777" w:rsidR="00A71EEF" w:rsidRDefault="00A71EEF">
      <w:pPr>
        <w:pStyle w:val="a3"/>
        <w:spacing w:before="1"/>
        <w:rPr>
          <w:sz w:val="18"/>
        </w:rPr>
      </w:pPr>
    </w:p>
    <w:p w14:paraId="6BA87F6C" w14:textId="77777777" w:rsidR="00A71EEF" w:rsidRDefault="0081115D">
      <w:pPr>
        <w:pStyle w:val="a4"/>
        <w:numPr>
          <w:ilvl w:val="2"/>
          <w:numId w:val="290"/>
        </w:numPr>
        <w:tabs>
          <w:tab w:val="left" w:pos="1424"/>
        </w:tabs>
        <w:spacing w:before="1"/>
        <w:ind w:left="1423"/>
        <w:rPr>
          <w:sz w:val="21"/>
        </w:rPr>
      </w:pPr>
      <w:r>
        <w:rPr>
          <w:spacing w:val="-3"/>
          <w:sz w:val="21"/>
        </w:rPr>
        <w:t>当采用柴油机消防水泵时应符合下列规定：</w:t>
      </w:r>
      <w:r>
        <w:rPr>
          <w:sz w:val="21"/>
        </w:rPr>
        <w:t xml:space="preserve"> </w:t>
      </w:r>
    </w:p>
    <w:p w14:paraId="3A2D54D6" w14:textId="77777777" w:rsidR="00A71EEF" w:rsidRDefault="00A71EEF">
      <w:pPr>
        <w:pStyle w:val="a3"/>
        <w:spacing w:before="12"/>
        <w:rPr>
          <w:sz w:val="17"/>
        </w:rPr>
      </w:pPr>
    </w:p>
    <w:p w14:paraId="781C604B" w14:textId="77777777" w:rsidR="00A71EEF" w:rsidRDefault="0081115D">
      <w:pPr>
        <w:pStyle w:val="a4"/>
        <w:numPr>
          <w:ilvl w:val="0"/>
          <w:numId w:val="288"/>
        </w:numPr>
        <w:tabs>
          <w:tab w:val="left" w:pos="1367"/>
        </w:tabs>
        <w:rPr>
          <w:sz w:val="21"/>
        </w:rPr>
      </w:pPr>
      <w:r>
        <w:rPr>
          <w:spacing w:val="-3"/>
          <w:sz w:val="21"/>
        </w:rPr>
        <w:t>柴油机消防水泵应采用压缩式点火型柴油机；</w:t>
      </w:r>
      <w:r>
        <w:rPr>
          <w:sz w:val="21"/>
        </w:rPr>
        <w:t xml:space="preserve"> </w:t>
      </w:r>
    </w:p>
    <w:p w14:paraId="73A7132E" w14:textId="77777777" w:rsidR="00A71EEF" w:rsidRDefault="00A71EEF">
      <w:pPr>
        <w:pStyle w:val="a3"/>
        <w:spacing w:before="12"/>
        <w:rPr>
          <w:sz w:val="17"/>
        </w:rPr>
      </w:pPr>
    </w:p>
    <w:p w14:paraId="6B97C850" w14:textId="77777777" w:rsidR="00A71EEF" w:rsidRDefault="0081115D">
      <w:pPr>
        <w:pStyle w:val="a4"/>
        <w:numPr>
          <w:ilvl w:val="0"/>
          <w:numId w:val="288"/>
        </w:numPr>
        <w:tabs>
          <w:tab w:val="left" w:pos="1367"/>
        </w:tabs>
        <w:rPr>
          <w:sz w:val="21"/>
        </w:rPr>
      </w:pPr>
      <w:r>
        <w:rPr>
          <w:spacing w:val="-3"/>
          <w:sz w:val="21"/>
        </w:rPr>
        <w:t>柴油机的额定功率应校核海拔高度和环境温度对柴油机功率的影响；</w:t>
      </w:r>
      <w:r>
        <w:rPr>
          <w:spacing w:val="-3"/>
          <w:sz w:val="21"/>
        </w:rPr>
        <w:t xml:space="preserve"> </w:t>
      </w:r>
    </w:p>
    <w:p w14:paraId="38ECA7F7" w14:textId="77777777" w:rsidR="00A71EEF" w:rsidRDefault="00A71EEF">
      <w:pPr>
        <w:pStyle w:val="a3"/>
        <w:spacing w:before="2"/>
        <w:rPr>
          <w:sz w:val="18"/>
        </w:rPr>
      </w:pPr>
    </w:p>
    <w:p w14:paraId="69F46ECB" w14:textId="77777777" w:rsidR="00A71EEF" w:rsidRDefault="0081115D">
      <w:pPr>
        <w:pStyle w:val="a4"/>
        <w:numPr>
          <w:ilvl w:val="0"/>
          <w:numId w:val="288"/>
        </w:numPr>
        <w:tabs>
          <w:tab w:val="left" w:pos="1367"/>
        </w:tabs>
        <w:rPr>
          <w:sz w:val="21"/>
        </w:rPr>
      </w:pPr>
      <w:r>
        <w:rPr>
          <w:spacing w:val="-5"/>
          <w:sz w:val="21"/>
        </w:rPr>
        <w:t>柴油机消防水泵应具备连续工作的性能，试验运行时间不应小于</w:t>
      </w:r>
      <w:r>
        <w:rPr>
          <w:spacing w:val="-5"/>
          <w:sz w:val="21"/>
        </w:rPr>
        <w:t xml:space="preserve"> </w:t>
      </w:r>
      <w:r>
        <w:rPr>
          <w:sz w:val="21"/>
        </w:rPr>
        <w:t>24h</w:t>
      </w:r>
      <w:r>
        <w:rPr>
          <w:sz w:val="21"/>
        </w:rPr>
        <w:t>；</w:t>
      </w:r>
      <w:r>
        <w:rPr>
          <w:sz w:val="21"/>
        </w:rPr>
        <w:t xml:space="preserve"> </w:t>
      </w:r>
    </w:p>
    <w:p w14:paraId="614B4733" w14:textId="77777777" w:rsidR="00A71EEF" w:rsidRDefault="00A71EEF">
      <w:pPr>
        <w:pStyle w:val="a3"/>
        <w:rPr>
          <w:sz w:val="18"/>
        </w:rPr>
      </w:pPr>
    </w:p>
    <w:p w14:paraId="1FF7471F" w14:textId="77777777" w:rsidR="00A71EEF" w:rsidRDefault="0081115D">
      <w:pPr>
        <w:pStyle w:val="a4"/>
        <w:numPr>
          <w:ilvl w:val="0"/>
          <w:numId w:val="288"/>
        </w:numPr>
        <w:tabs>
          <w:tab w:val="left" w:pos="1367"/>
        </w:tabs>
        <w:rPr>
          <w:sz w:val="21"/>
        </w:rPr>
      </w:pPr>
      <w:r>
        <w:rPr>
          <w:spacing w:val="-3"/>
          <w:sz w:val="21"/>
        </w:rPr>
        <w:t>柴油机消防水泵的蓄电池应保证消防水泵随时自动启泵的要求；</w:t>
      </w:r>
      <w:r>
        <w:rPr>
          <w:sz w:val="21"/>
        </w:rPr>
        <w:t xml:space="preserve"> </w:t>
      </w:r>
    </w:p>
    <w:p w14:paraId="6C7030B3" w14:textId="77777777" w:rsidR="00A71EEF" w:rsidRDefault="00A71EEF">
      <w:pPr>
        <w:pStyle w:val="a3"/>
        <w:rPr>
          <w:sz w:val="18"/>
        </w:rPr>
      </w:pPr>
    </w:p>
    <w:p w14:paraId="270924F6" w14:textId="77777777" w:rsidR="00A71EEF" w:rsidRDefault="0081115D">
      <w:pPr>
        <w:pStyle w:val="a4"/>
        <w:numPr>
          <w:ilvl w:val="0"/>
          <w:numId w:val="288"/>
        </w:numPr>
        <w:tabs>
          <w:tab w:val="left" w:pos="1367"/>
        </w:tabs>
        <w:rPr>
          <w:sz w:val="21"/>
        </w:rPr>
      </w:pPr>
      <w:r>
        <w:rPr>
          <w:spacing w:val="-3"/>
          <w:sz w:val="21"/>
        </w:rPr>
        <w:t>柴油机消防水泵的供油箱应根据火灾延续时间确定，且油箱最小有效容积应按</w:t>
      </w:r>
    </w:p>
    <w:p w14:paraId="24DBB46E" w14:textId="77777777" w:rsidR="00A71EEF" w:rsidRDefault="00A71EEF">
      <w:pPr>
        <w:pStyle w:val="a3"/>
        <w:spacing w:before="2"/>
        <w:rPr>
          <w:sz w:val="18"/>
        </w:rPr>
      </w:pPr>
    </w:p>
    <w:p w14:paraId="1BA5A93E" w14:textId="77777777" w:rsidR="00A71EEF" w:rsidRDefault="0081115D">
      <w:pPr>
        <w:pStyle w:val="a3"/>
        <w:ind w:left="418"/>
      </w:pPr>
      <w:r>
        <w:t xml:space="preserve">1.5L/kW </w:t>
      </w:r>
      <w:r>
        <w:t>配置，柴油机消防水泵油箱内储存的燃料不应小于</w:t>
      </w:r>
      <w:r>
        <w:t xml:space="preserve"> 50%</w:t>
      </w:r>
      <w:r>
        <w:t>的储量。</w:t>
      </w:r>
      <w:r>
        <w:t xml:space="preserve"> </w:t>
      </w:r>
    </w:p>
    <w:p w14:paraId="3D5A7BBA" w14:textId="77777777" w:rsidR="00A71EEF" w:rsidRDefault="00A71EEF">
      <w:pPr>
        <w:pStyle w:val="a3"/>
        <w:spacing w:before="12"/>
        <w:rPr>
          <w:sz w:val="17"/>
        </w:rPr>
      </w:pPr>
    </w:p>
    <w:p w14:paraId="53495DFE" w14:textId="77777777" w:rsidR="00A71EEF" w:rsidRDefault="0081115D">
      <w:pPr>
        <w:pStyle w:val="a4"/>
        <w:numPr>
          <w:ilvl w:val="2"/>
          <w:numId w:val="290"/>
        </w:numPr>
        <w:tabs>
          <w:tab w:val="left" w:pos="1424"/>
        </w:tabs>
        <w:ind w:left="1423"/>
        <w:rPr>
          <w:sz w:val="21"/>
        </w:rPr>
      </w:pPr>
      <w:r>
        <w:rPr>
          <w:spacing w:val="-3"/>
          <w:sz w:val="21"/>
        </w:rPr>
        <w:t>轴流深井泵宜安装于水井、消防水池和其他消防水源上，并应符合下列规定：</w:t>
      </w:r>
      <w:r>
        <w:rPr>
          <w:sz w:val="21"/>
        </w:rPr>
        <w:t xml:space="preserve"> </w:t>
      </w:r>
    </w:p>
    <w:p w14:paraId="40A7C7CB" w14:textId="77777777" w:rsidR="00A71EEF" w:rsidRDefault="00A71EEF">
      <w:pPr>
        <w:pStyle w:val="a3"/>
        <w:spacing w:before="12"/>
        <w:rPr>
          <w:sz w:val="17"/>
        </w:rPr>
      </w:pPr>
    </w:p>
    <w:p w14:paraId="7FA88D82" w14:textId="77777777" w:rsidR="00A71EEF" w:rsidRDefault="0081115D">
      <w:pPr>
        <w:pStyle w:val="a4"/>
        <w:numPr>
          <w:ilvl w:val="0"/>
          <w:numId w:val="287"/>
        </w:numPr>
        <w:tabs>
          <w:tab w:val="left" w:pos="1367"/>
        </w:tabs>
        <w:spacing w:line="446" w:lineRule="auto"/>
        <w:ind w:right="1450" w:firstLine="419"/>
        <w:rPr>
          <w:sz w:val="21"/>
        </w:rPr>
      </w:pPr>
      <w:r>
        <w:rPr>
          <w:spacing w:val="-3"/>
          <w:sz w:val="21"/>
        </w:rPr>
        <w:t>轴流深井泵安装于水井时，其淹没深度应满足其可靠运行的要求，在水泵出流量为</w:t>
      </w:r>
      <w:r>
        <w:rPr>
          <w:spacing w:val="-3"/>
          <w:sz w:val="21"/>
        </w:rPr>
        <w:t>150</w:t>
      </w:r>
      <w:r>
        <w:rPr>
          <w:spacing w:val="-4"/>
          <w:sz w:val="21"/>
        </w:rPr>
        <w:t>%</w:t>
      </w:r>
      <w:r>
        <w:rPr>
          <w:spacing w:val="-4"/>
          <w:sz w:val="21"/>
        </w:rPr>
        <w:t>设计流量时，其最低淹没深度应是第一个水泵叶轮底部水位线以上不少于</w:t>
      </w:r>
      <w:r>
        <w:rPr>
          <w:spacing w:val="-4"/>
          <w:sz w:val="21"/>
        </w:rPr>
        <w:t xml:space="preserve"> </w:t>
      </w:r>
      <w:r>
        <w:rPr>
          <w:sz w:val="21"/>
        </w:rPr>
        <w:t>3.20m</w:t>
      </w:r>
      <w:r>
        <w:rPr>
          <w:spacing w:val="-1"/>
          <w:sz w:val="21"/>
        </w:rPr>
        <w:t>，且海拔高</w:t>
      </w:r>
      <w:r>
        <w:rPr>
          <w:spacing w:val="-13"/>
          <w:sz w:val="21"/>
        </w:rPr>
        <w:t>度每增加</w:t>
      </w:r>
      <w:r>
        <w:rPr>
          <w:spacing w:val="-13"/>
          <w:sz w:val="21"/>
        </w:rPr>
        <w:t xml:space="preserve"> </w:t>
      </w:r>
      <w:r>
        <w:rPr>
          <w:sz w:val="21"/>
        </w:rPr>
        <w:t>300m</w:t>
      </w:r>
      <w:r>
        <w:rPr>
          <w:spacing w:val="-7"/>
          <w:sz w:val="21"/>
        </w:rPr>
        <w:t>，深井泵的最低淹没深度应至少增加</w:t>
      </w:r>
      <w:r>
        <w:rPr>
          <w:spacing w:val="-7"/>
          <w:sz w:val="21"/>
        </w:rPr>
        <w:t xml:space="preserve"> </w:t>
      </w:r>
      <w:r>
        <w:rPr>
          <w:sz w:val="21"/>
        </w:rPr>
        <w:t>0.30m</w:t>
      </w:r>
      <w:r>
        <w:rPr>
          <w:sz w:val="21"/>
        </w:rPr>
        <w:t>；</w:t>
      </w:r>
      <w:r>
        <w:rPr>
          <w:sz w:val="21"/>
        </w:rPr>
        <w:t xml:space="preserve"> </w:t>
      </w:r>
    </w:p>
    <w:p w14:paraId="0049C178" w14:textId="77777777" w:rsidR="00A71EEF" w:rsidRDefault="0081115D">
      <w:pPr>
        <w:pStyle w:val="a4"/>
        <w:numPr>
          <w:ilvl w:val="0"/>
          <w:numId w:val="287"/>
        </w:numPr>
        <w:tabs>
          <w:tab w:val="left" w:pos="1367"/>
        </w:tabs>
        <w:spacing w:line="446" w:lineRule="auto"/>
        <w:ind w:right="1505" w:firstLine="419"/>
        <w:rPr>
          <w:sz w:val="21"/>
        </w:rPr>
      </w:pPr>
      <w:r>
        <w:rPr>
          <w:spacing w:val="-3"/>
          <w:sz w:val="21"/>
        </w:rPr>
        <w:t>轴流深井泵安装在消防水池等消防水源上时，其第一个水泵叶轮底部应低于消防水池的最低有效水位线，且淹没深度应根据水力条件经计算确定，并应满足消防水池等消防水源有</w:t>
      </w:r>
      <w:r>
        <w:rPr>
          <w:spacing w:val="-5"/>
          <w:sz w:val="21"/>
        </w:rPr>
        <w:t>效储水量或有效水位能全部被利用的要求；当水泵设计流量大于</w:t>
      </w:r>
      <w:r>
        <w:rPr>
          <w:spacing w:val="-5"/>
          <w:sz w:val="21"/>
        </w:rPr>
        <w:t xml:space="preserve"> </w:t>
      </w:r>
      <w:r>
        <w:rPr>
          <w:sz w:val="21"/>
        </w:rPr>
        <w:t>125L/s</w:t>
      </w:r>
      <w:r>
        <w:rPr>
          <w:spacing w:val="-7"/>
          <w:sz w:val="21"/>
        </w:rPr>
        <w:t xml:space="preserve"> </w:t>
      </w:r>
      <w:r>
        <w:rPr>
          <w:spacing w:val="-7"/>
          <w:sz w:val="21"/>
        </w:rPr>
        <w:t>时，应根据水泵性能确</w:t>
      </w:r>
      <w:r>
        <w:rPr>
          <w:spacing w:val="-5"/>
          <w:sz w:val="21"/>
        </w:rPr>
        <w:t>定淹没深度，并应满足水泵气蚀余量的要求；</w:t>
      </w:r>
      <w:r>
        <w:rPr>
          <w:sz w:val="21"/>
        </w:rPr>
        <w:t xml:space="preserve"> </w:t>
      </w:r>
    </w:p>
    <w:p w14:paraId="288FDB35" w14:textId="77777777" w:rsidR="00A71EEF" w:rsidRDefault="0081115D">
      <w:pPr>
        <w:pStyle w:val="a4"/>
        <w:numPr>
          <w:ilvl w:val="0"/>
          <w:numId w:val="287"/>
        </w:numPr>
        <w:tabs>
          <w:tab w:val="left" w:pos="1367"/>
        </w:tabs>
        <w:spacing w:line="446" w:lineRule="auto"/>
        <w:ind w:right="1611" w:firstLine="419"/>
        <w:rPr>
          <w:sz w:val="21"/>
        </w:rPr>
      </w:pPr>
      <w:r>
        <w:rPr>
          <w:spacing w:val="-5"/>
          <w:sz w:val="21"/>
        </w:rPr>
        <w:t>轴流深井泵的出水管与消防给水管网连接应符合本规范第</w:t>
      </w:r>
      <w:r>
        <w:rPr>
          <w:spacing w:val="-5"/>
          <w:sz w:val="21"/>
        </w:rPr>
        <w:t xml:space="preserve"> </w:t>
      </w:r>
      <w:r>
        <w:rPr>
          <w:sz w:val="21"/>
        </w:rPr>
        <w:t>5.1.13</w:t>
      </w:r>
      <w:r>
        <w:rPr>
          <w:spacing w:val="-24"/>
          <w:sz w:val="21"/>
        </w:rPr>
        <w:t xml:space="preserve"> </w:t>
      </w:r>
      <w:r>
        <w:rPr>
          <w:spacing w:val="-24"/>
          <w:sz w:val="21"/>
        </w:rPr>
        <w:t>条第</w:t>
      </w:r>
      <w:r>
        <w:rPr>
          <w:spacing w:val="-24"/>
          <w:sz w:val="21"/>
        </w:rPr>
        <w:t xml:space="preserve"> </w:t>
      </w:r>
      <w:r>
        <w:rPr>
          <w:sz w:val="21"/>
        </w:rPr>
        <w:t>3</w:t>
      </w:r>
      <w:r>
        <w:rPr>
          <w:spacing w:val="-10"/>
          <w:sz w:val="21"/>
        </w:rPr>
        <w:t xml:space="preserve"> </w:t>
      </w:r>
      <w:r>
        <w:rPr>
          <w:spacing w:val="-10"/>
          <w:sz w:val="21"/>
        </w:rPr>
        <w:t>款的有关规</w:t>
      </w:r>
      <w:r>
        <w:rPr>
          <w:spacing w:val="-7"/>
          <w:sz w:val="21"/>
        </w:rPr>
        <w:t>定；</w:t>
      </w:r>
      <w:r>
        <w:rPr>
          <w:sz w:val="21"/>
        </w:rPr>
        <w:t xml:space="preserve"> </w:t>
      </w:r>
    </w:p>
    <w:p w14:paraId="31D94617" w14:textId="77777777" w:rsidR="00A71EEF" w:rsidRDefault="0081115D">
      <w:pPr>
        <w:pStyle w:val="a4"/>
        <w:numPr>
          <w:ilvl w:val="0"/>
          <w:numId w:val="287"/>
        </w:numPr>
        <w:tabs>
          <w:tab w:val="left" w:pos="1367"/>
        </w:tabs>
        <w:spacing w:line="267" w:lineRule="exact"/>
        <w:ind w:left="1367"/>
        <w:rPr>
          <w:sz w:val="21"/>
        </w:rPr>
      </w:pPr>
      <w:r>
        <w:rPr>
          <w:spacing w:val="-6"/>
          <w:sz w:val="21"/>
        </w:rPr>
        <w:t>轴流深井泵出水管的阀门设置应符合本规范第</w:t>
      </w:r>
      <w:r>
        <w:rPr>
          <w:spacing w:val="-6"/>
          <w:sz w:val="21"/>
        </w:rPr>
        <w:t xml:space="preserve"> </w:t>
      </w:r>
      <w:r>
        <w:rPr>
          <w:sz w:val="21"/>
        </w:rPr>
        <w:t>5.1.13</w:t>
      </w:r>
      <w:r>
        <w:rPr>
          <w:spacing w:val="-28"/>
          <w:sz w:val="21"/>
        </w:rPr>
        <w:t xml:space="preserve"> </w:t>
      </w:r>
      <w:r>
        <w:rPr>
          <w:spacing w:val="-28"/>
          <w:sz w:val="21"/>
        </w:rPr>
        <w:t>条第</w:t>
      </w:r>
      <w:r>
        <w:rPr>
          <w:spacing w:val="-28"/>
          <w:sz w:val="21"/>
        </w:rPr>
        <w:t xml:space="preserve"> </w:t>
      </w:r>
      <w:r>
        <w:rPr>
          <w:sz w:val="21"/>
        </w:rPr>
        <w:t>5</w:t>
      </w:r>
      <w:r>
        <w:rPr>
          <w:spacing w:val="-23"/>
          <w:sz w:val="21"/>
        </w:rPr>
        <w:t xml:space="preserve"> </w:t>
      </w:r>
      <w:r>
        <w:rPr>
          <w:spacing w:val="-23"/>
          <w:sz w:val="21"/>
        </w:rPr>
        <w:t>款和第</w:t>
      </w:r>
      <w:r>
        <w:rPr>
          <w:spacing w:val="-23"/>
          <w:sz w:val="21"/>
        </w:rPr>
        <w:t xml:space="preserve"> </w:t>
      </w:r>
      <w:r>
        <w:rPr>
          <w:sz w:val="21"/>
        </w:rPr>
        <w:t>6</w:t>
      </w:r>
      <w:r>
        <w:rPr>
          <w:spacing w:val="-12"/>
          <w:sz w:val="21"/>
        </w:rPr>
        <w:t xml:space="preserve"> </w:t>
      </w:r>
      <w:r>
        <w:rPr>
          <w:spacing w:val="-12"/>
          <w:sz w:val="21"/>
        </w:rPr>
        <w:t>款的规定；</w:t>
      </w:r>
      <w:r>
        <w:rPr>
          <w:sz w:val="21"/>
        </w:rPr>
        <w:t xml:space="preserve"> </w:t>
      </w:r>
    </w:p>
    <w:p w14:paraId="7762AD4E" w14:textId="77777777" w:rsidR="00A71EEF" w:rsidRDefault="00A71EEF">
      <w:pPr>
        <w:pStyle w:val="a3"/>
        <w:spacing w:before="1"/>
        <w:rPr>
          <w:sz w:val="18"/>
        </w:rPr>
      </w:pPr>
    </w:p>
    <w:p w14:paraId="1F9F7815" w14:textId="77777777" w:rsidR="00A71EEF" w:rsidRDefault="0081115D">
      <w:pPr>
        <w:pStyle w:val="a4"/>
        <w:numPr>
          <w:ilvl w:val="0"/>
          <w:numId w:val="287"/>
        </w:numPr>
        <w:tabs>
          <w:tab w:val="left" w:pos="1367"/>
        </w:tabs>
        <w:spacing w:line="446" w:lineRule="auto"/>
        <w:ind w:right="1714" w:firstLine="419"/>
        <w:rPr>
          <w:sz w:val="21"/>
        </w:rPr>
      </w:pPr>
      <w:r>
        <w:rPr>
          <w:spacing w:val="-3"/>
          <w:sz w:val="21"/>
        </w:rPr>
        <w:t>当消防水池最低水位低于离心水泵出</w:t>
      </w:r>
      <w:r>
        <w:rPr>
          <w:spacing w:val="-3"/>
          <w:sz w:val="21"/>
        </w:rPr>
        <w:t>水管中心线或水源水位不能保证离心水泵吸水时，可采用轴流深井泵，并应采用湿式深坑的安装方式安装于消防水池等消防水源上；</w:t>
      </w:r>
      <w:r>
        <w:rPr>
          <w:sz w:val="21"/>
        </w:rPr>
        <w:t xml:space="preserve"> </w:t>
      </w:r>
    </w:p>
    <w:p w14:paraId="43CE8316" w14:textId="77777777" w:rsidR="00A71EEF" w:rsidRDefault="0081115D">
      <w:pPr>
        <w:pStyle w:val="a4"/>
        <w:numPr>
          <w:ilvl w:val="0"/>
          <w:numId w:val="287"/>
        </w:numPr>
        <w:tabs>
          <w:tab w:val="left" w:pos="1367"/>
        </w:tabs>
        <w:spacing w:line="267" w:lineRule="exact"/>
        <w:ind w:left="1367"/>
        <w:rPr>
          <w:sz w:val="21"/>
        </w:rPr>
      </w:pPr>
      <w:r>
        <w:rPr>
          <w:spacing w:val="-3"/>
          <w:sz w:val="21"/>
        </w:rPr>
        <w:t>当轴流深井泵的电动机露天设置时，应有防雨功能；</w:t>
      </w:r>
      <w:r>
        <w:rPr>
          <w:sz w:val="21"/>
        </w:rPr>
        <w:t xml:space="preserve"> </w:t>
      </w:r>
    </w:p>
    <w:p w14:paraId="6487CB71" w14:textId="77777777" w:rsidR="00A71EEF" w:rsidRDefault="00A71EEF">
      <w:pPr>
        <w:pStyle w:val="a3"/>
        <w:spacing w:before="2"/>
        <w:rPr>
          <w:sz w:val="18"/>
        </w:rPr>
      </w:pPr>
    </w:p>
    <w:p w14:paraId="48948FD5" w14:textId="77777777" w:rsidR="00A71EEF" w:rsidRDefault="0081115D">
      <w:pPr>
        <w:pStyle w:val="a4"/>
        <w:numPr>
          <w:ilvl w:val="0"/>
          <w:numId w:val="287"/>
        </w:numPr>
        <w:tabs>
          <w:tab w:val="left" w:pos="1367"/>
        </w:tabs>
        <w:spacing w:line="446" w:lineRule="auto"/>
        <w:ind w:left="840" w:right="2235" w:hanging="3"/>
        <w:rPr>
          <w:sz w:val="21"/>
        </w:rPr>
      </w:pPr>
      <w:r>
        <w:rPr>
          <w:spacing w:val="-3"/>
          <w:sz w:val="21"/>
        </w:rPr>
        <w:t>其他应符合现行国家标准《室外给水设计规范》</w:t>
      </w:r>
      <w:r>
        <w:rPr>
          <w:sz w:val="21"/>
        </w:rPr>
        <w:t>GB</w:t>
      </w:r>
      <w:r>
        <w:rPr>
          <w:spacing w:val="5"/>
          <w:sz w:val="21"/>
        </w:rPr>
        <w:t xml:space="preserve"> </w:t>
      </w:r>
      <w:r>
        <w:rPr>
          <w:sz w:val="21"/>
        </w:rPr>
        <w:t>50013</w:t>
      </w:r>
      <w:r>
        <w:rPr>
          <w:spacing w:val="-10"/>
          <w:sz w:val="21"/>
        </w:rPr>
        <w:t xml:space="preserve"> </w:t>
      </w:r>
      <w:r>
        <w:rPr>
          <w:spacing w:val="-10"/>
          <w:sz w:val="21"/>
        </w:rPr>
        <w:t>的有关规定。</w:t>
      </w:r>
      <w:r>
        <w:rPr>
          <w:b/>
          <w:sz w:val="21"/>
        </w:rPr>
        <w:t>5.1.10</w:t>
      </w:r>
      <w:r>
        <w:rPr>
          <w:b/>
          <w:spacing w:val="16"/>
          <w:sz w:val="21"/>
        </w:rPr>
        <w:t xml:space="preserve"> </w:t>
      </w:r>
      <w:r>
        <w:rPr>
          <w:spacing w:val="-3"/>
          <w:sz w:val="21"/>
        </w:rPr>
        <w:t>消防水泵应设置备用泵，其性能应与工作泵性能一致，但下列建筑除外：</w:t>
      </w:r>
      <w:r>
        <w:rPr>
          <w:spacing w:val="-3"/>
          <w:sz w:val="21"/>
        </w:rPr>
        <w:t xml:space="preserve"> </w:t>
      </w:r>
    </w:p>
    <w:p w14:paraId="065EB9CC" w14:textId="77777777" w:rsidR="00A71EEF" w:rsidRDefault="0081115D">
      <w:pPr>
        <w:pStyle w:val="a4"/>
        <w:numPr>
          <w:ilvl w:val="0"/>
          <w:numId w:val="286"/>
        </w:numPr>
        <w:tabs>
          <w:tab w:val="left" w:pos="1367"/>
        </w:tabs>
        <w:spacing w:line="267" w:lineRule="exact"/>
        <w:rPr>
          <w:sz w:val="21"/>
        </w:rPr>
      </w:pPr>
      <w:r>
        <w:rPr>
          <w:spacing w:val="-11"/>
          <w:sz w:val="21"/>
        </w:rPr>
        <w:t>建筑高度小于</w:t>
      </w:r>
      <w:r>
        <w:rPr>
          <w:spacing w:val="-11"/>
          <w:sz w:val="21"/>
        </w:rPr>
        <w:t xml:space="preserve"> </w:t>
      </w:r>
      <w:r>
        <w:rPr>
          <w:sz w:val="21"/>
        </w:rPr>
        <w:t>54m</w:t>
      </w:r>
      <w:r>
        <w:rPr>
          <w:spacing w:val="-12"/>
          <w:sz w:val="21"/>
        </w:rPr>
        <w:t xml:space="preserve"> </w:t>
      </w:r>
      <w:r>
        <w:rPr>
          <w:spacing w:val="-12"/>
          <w:sz w:val="21"/>
        </w:rPr>
        <w:t>的住宅和室外消防给水设计流量小于等于</w:t>
      </w:r>
      <w:r>
        <w:rPr>
          <w:spacing w:val="-12"/>
          <w:sz w:val="21"/>
        </w:rPr>
        <w:t xml:space="preserve"> </w:t>
      </w:r>
      <w:r>
        <w:rPr>
          <w:sz w:val="21"/>
        </w:rPr>
        <w:t>25L/s</w:t>
      </w:r>
      <w:r>
        <w:rPr>
          <w:spacing w:val="-12"/>
          <w:sz w:val="21"/>
        </w:rPr>
        <w:t xml:space="preserve"> </w:t>
      </w:r>
      <w:r>
        <w:rPr>
          <w:spacing w:val="-12"/>
          <w:sz w:val="21"/>
        </w:rPr>
        <w:t>的建筑；</w:t>
      </w:r>
      <w:r>
        <w:rPr>
          <w:spacing w:val="-12"/>
          <w:sz w:val="21"/>
        </w:rPr>
        <w:t xml:space="preserve"> </w:t>
      </w:r>
    </w:p>
    <w:p w14:paraId="7B0A6B4C" w14:textId="77777777" w:rsidR="00A71EEF" w:rsidRDefault="00A71EEF">
      <w:pPr>
        <w:pStyle w:val="a3"/>
        <w:spacing w:before="2"/>
        <w:rPr>
          <w:sz w:val="18"/>
        </w:rPr>
      </w:pPr>
    </w:p>
    <w:p w14:paraId="59C3388C" w14:textId="77777777" w:rsidR="00A71EEF" w:rsidRDefault="0081115D">
      <w:pPr>
        <w:pStyle w:val="a4"/>
        <w:numPr>
          <w:ilvl w:val="0"/>
          <w:numId w:val="286"/>
        </w:numPr>
        <w:tabs>
          <w:tab w:val="left" w:pos="1367"/>
        </w:tabs>
        <w:rPr>
          <w:sz w:val="21"/>
        </w:rPr>
      </w:pPr>
      <w:r>
        <w:rPr>
          <w:spacing w:val="-7"/>
          <w:sz w:val="21"/>
        </w:rPr>
        <w:t>室内消防给水设计流量小于等于</w:t>
      </w:r>
      <w:r>
        <w:rPr>
          <w:spacing w:val="-7"/>
          <w:sz w:val="21"/>
        </w:rPr>
        <w:t xml:space="preserve"> </w:t>
      </w:r>
      <w:r>
        <w:rPr>
          <w:sz w:val="21"/>
        </w:rPr>
        <w:t>10L/s</w:t>
      </w:r>
      <w:r>
        <w:rPr>
          <w:spacing w:val="-12"/>
          <w:sz w:val="21"/>
        </w:rPr>
        <w:t xml:space="preserve"> </w:t>
      </w:r>
      <w:r>
        <w:rPr>
          <w:spacing w:val="-12"/>
          <w:sz w:val="21"/>
        </w:rPr>
        <w:t>的建筑。</w:t>
      </w:r>
      <w:r>
        <w:rPr>
          <w:spacing w:val="-12"/>
          <w:sz w:val="21"/>
        </w:rPr>
        <w:t xml:space="preserve"> </w:t>
      </w:r>
    </w:p>
    <w:p w14:paraId="315D291A" w14:textId="77777777" w:rsidR="00A71EEF" w:rsidRDefault="00A71EEF">
      <w:pPr>
        <w:rPr>
          <w:sz w:val="21"/>
        </w:rPr>
        <w:sectPr w:rsidR="00A71EEF">
          <w:pgSz w:w="11910" w:h="16850"/>
          <w:pgMar w:top="1220" w:right="0" w:bottom="1420" w:left="1260" w:header="0" w:footer="1228" w:gutter="0"/>
          <w:cols w:space="720"/>
        </w:sectPr>
      </w:pPr>
    </w:p>
    <w:p w14:paraId="5DFEA6E8" w14:textId="77777777" w:rsidR="00A71EEF" w:rsidRDefault="0081115D">
      <w:pPr>
        <w:pStyle w:val="a3"/>
        <w:spacing w:before="47"/>
        <w:ind w:left="840"/>
      </w:pPr>
      <w:r>
        <w:rPr>
          <w:b/>
        </w:rPr>
        <w:t xml:space="preserve">5.1.11 </w:t>
      </w:r>
      <w:r>
        <w:t>一组消防水泵应在消防水泵房内设置流量和压力测试装置，并应符合下列规定：</w:t>
      </w:r>
      <w:r>
        <w:t xml:space="preserve"> </w:t>
      </w:r>
    </w:p>
    <w:p w14:paraId="0D55F1AB" w14:textId="77777777" w:rsidR="00A71EEF" w:rsidRDefault="00A71EEF">
      <w:pPr>
        <w:pStyle w:val="a3"/>
        <w:rPr>
          <w:sz w:val="18"/>
        </w:rPr>
      </w:pPr>
    </w:p>
    <w:p w14:paraId="3524E95D" w14:textId="77777777" w:rsidR="00A71EEF" w:rsidRDefault="0081115D">
      <w:pPr>
        <w:pStyle w:val="a4"/>
        <w:numPr>
          <w:ilvl w:val="0"/>
          <w:numId w:val="285"/>
        </w:numPr>
        <w:tabs>
          <w:tab w:val="left" w:pos="1367"/>
        </w:tabs>
        <w:spacing w:line="446" w:lineRule="auto"/>
        <w:ind w:right="1558" w:firstLine="419"/>
        <w:rPr>
          <w:sz w:val="21"/>
        </w:rPr>
      </w:pPr>
      <w:r>
        <w:rPr>
          <w:spacing w:val="-6"/>
          <w:sz w:val="21"/>
        </w:rPr>
        <w:t>单台消防给水泵的流量不大于</w:t>
      </w:r>
      <w:r>
        <w:rPr>
          <w:spacing w:val="-6"/>
          <w:sz w:val="21"/>
        </w:rPr>
        <w:t xml:space="preserve"> </w:t>
      </w:r>
      <w:r>
        <w:rPr>
          <w:sz w:val="21"/>
        </w:rPr>
        <w:t>20L/s</w:t>
      </w:r>
      <w:r>
        <w:rPr>
          <w:spacing w:val="-7"/>
          <w:sz w:val="21"/>
        </w:rPr>
        <w:t>、设计工作压力不大于</w:t>
      </w:r>
      <w:r>
        <w:rPr>
          <w:spacing w:val="-7"/>
          <w:sz w:val="21"/>
        </w:rPr>
        <w:t xml:space="preserve"> </w:t>
      </w:r>
      <w:r>
        <w:rPr>
          <w:sz w:val="21"/>
        </w:rPr>
        <w:t>0.50MPa</w:t>
      </w:r>
      <w:r>
        <w:rPr>
          <w:spacing w:val="-8"/>
          <w:sz w:val="21"/>
        </w:rPr>
        <w:t xml:space="preserve"> </w:t>
      </w:r>
      <w:r>
        <w:rPr>
          <w:spacing w:val="-8"/>
          <w:sz w:val="21"/>
        </w:rPr>
        <w:t>时，泵组应预留</w:t>
      </w:r>
      <w:r>
        <w:rPr>
          <w:spacing w:val="-5"/>
          <w:sz w:val="21"/>
        </w:rPr>
        <w:t>测量用流量计和压力计接口，其他泵组宜设置泵组流量和压力测试装置；</w:t>
      </w:r>
      <w:r>
        <w:rPr>
          <w:sz w:val="21"/>
        </w:rPr>
        <w:t xml:space="preserve"> </w:t>
      </w:r>
    </w:p>
    <w:p w14:paraId="6419701F" w14:textId="77777777" w:rsidR="00A71EEF" w:rsidRDefault="0081115D">
      <w:pPr>
        <w:pStyle w:val="a4"/>
        <w:numPr>
          <w:ilvl w:val="0"/>
          <w:numId w:val="285"/>
        </w:numPr>
        <w:tabs>
          <w:tab w:val="left" w:pos="1367"/>
        </w:tabs>
        <w:spacing w:line="446" w:lineRule="auto"/>
        <w:ind w:right="1558" w:firstLine="419"/>
        <w:rPr>
          <w:sz w:val="21"/>
        </w:rPr>
      </w:pPr>
      <w:r>
        <w:rPr>
          <w:spacing w:val="-6"/>
          <w:sz w:val="21"/>
        </w:rPr>
        <w:t>消防水泵流量检测装置的计量精度应为</w:t>
      </w:r>
      <w:r>
        <w:rPr>
          <w:spacing w:val="-6"/>
          <w:sz w:val="21"/>
        </w:rPr>
        <w:t xml:space="preserve"> </w:t>
      </w:r>
      <w:r>
        <w:rPr>
          <w:sz w:val="21"/>
        </w:rPr>
        <w:t>0.4</w:t>
      </w:r>
      <w:r>
        <w:rPr>
          <w:spacing w:val="-12"/>
          <w:sz w:val="21"/>
        </w:rPr>
        <w:t xml:space="preserve"> </w:t>
      </w:r>
      <w:r>
        <w:rPr>
          <w:spacing w:val="-12"/>
          <w:sz w:val="21"/>
        </w:rPr>
        <w:t>级，最大量程的</w:t>
      </w:r>
      <w:r>
        <w:rPr>
          <w:spacing w:val="-12"/>
          <w:sz w:val="21"/>
        </w:rPr>
        <w:t xml:space="preserve"> </w:t>
      </w:r>
      <w:r>
        <w:rPr>
          <w:sz w:val="21"/>
        </w:rPr>
        <w:t>75</w:t>
      </w:r>
      <w:r>
        <w:rPr>
          <w:spacing w:val="-3"/>
          <w:sz w:val="21"/>
        </w:rPr>
        <w:t>%</w:t>
      </w:r>
      <w:r>
        <w:rPr>
          <w:spacing w:val="-3"/>
          <w:sz w:val="21"/>
        </w:rPr>
        <w:t>应大于最大一台消防</w:t>
      </w:r>
      <w:r>
        <w:rPr>
          <w:spacing w:val="-9"/>
          <w:sz w:val="21"/>
        </w:rPr>
        <w:t>水泵设计流量值的</w:t>
      </w:r>
      <w:r>
        <w:rPr>
          <w:spacing w:val="-9"/>
          <w:sz w:val="21"/>
        </w:rPr>
        <w:t xml:space="preserve"> </w:t>
      </w:r>
      <w:r>
        <w:rPr>
          <w:sz w:val="21"/>
        </w:rPr>
        <w:t>175%</w:t>
      </w:r>
      <w:r>
        <w:rPr>
          <w:sz w:val="21"/>
        </w:rPr>
        <w:t>；</w:t>
      </w:r>
      <w:r>
        <w:rPr>
          <w:sz w:val="21"/>
        </w:rPr>
        <w:t xml:space="preserve"> </w:t>
      </w:r>
    </w:p>
    <w:p w14:paraId="3EEF3F36" w14:textId="77777777" w:rsidR="00A71EEF" w:rsidRDefault="0081115D">
      <w:pPr>
        <w:pStyle w:val="a4"/>
        <w:numPr>
          <w:ilvl w:val="0"/>
          <w:numId w:val="285"/>
        </w:numPr>
        <w:tabs>
          <w:tab w:val="left" w:pos="1367"/>
        </w:tabs>
        <w:spacing w:line="446" w:lineRule="auto"/>
        <w:ind w:right="1558" w:firstLine="419"/>
        <w:rPr>
          <w:sz w:val="21"/>
        </w:rPr>
      </w:pPr>
      <w:r>
        <w:rPr>
          <w:spacing w:val="-6"/>
          <w:sz w:val="21"/>
        </w:rPr>
        <w:t>消防水泵压力检测装置的计量精度应为</w:t>
      </w:r>
      <w:r>
        <w:rPr>
          <w:spacing w:val="-6"/>
          <w:sz w:val="21"/>
        </w:rPr>
        <w:t xml:space="preserve"> </w:t>
      </w:r>
      <w:r>
        <w:rPr>
          <w:sz w:val="21"/>
        </w:rPr>
        <w:t>0.5</w:t>
      </w:r>
      <w:r>
        <w:rPr>
          <w:spacing w:val="-12"/>
          <w:sz w:val="21"/>
        </w:rPr>
        <w:t xml:space="preserve"> </w:t>
      </w:r>
      <w:r>
        <w:rPr>
          <w:spacing w:val="-12"/>
          <w:sz w:val="21"/>
        </w:rPr>
        <w:t>级，最大量程的</w:t>
      </w:r>
      <w:r>
        <w:rPr>
          <w:spacing w:val="-12"/>
          <w:sz w:val="21"/>
        </w:rPr>
        <w:t xml:space="preserve"> </w:t>
      </w:r>
      <w:r>
        <w:rPr>
          <w:sz w:val="21"/>
        </w:rPr>
        <w:t>75</w:t>
      </w:r>
      <w:r>
        <w:rPr>
          <w:spacing w:val="-3"/>
          <w:sz w:val="21"/>
        </w:rPr>
        <w:t>%</w:t>
      </w:r>
      <w:r>
        <w:rPr>
          <w:spacing w:val="-3"/>
          <w:sz w:val="21"/>
        </w:rPr>
        <w:t>应大于最大一台消防</w:t>
      </w:r>
      <w:r>
        <w:rPr>
          <w:spacing w:val="-9"/>
          <w:sz w:val="21"/>
        </w:rPr>
        <w:t>水泵设计压力值的</w:t>
      </w:r>
      <w:r>
        <w:rPr>
          <w:spacing w:val="-9"/>
          <w:sz w:val="21"/>
        </w:rPr>
        <w:t xml:space="preserve"> </w:t>
      </w:r>
      <w:r>
        <w:rPr>
          <w:sz w:val="21"/>
        </w:rPr>
        <w:t>165%</w:t>
      </w:r>
      <w:r>
        <w:rPr>
          <w:sz w:val="21"/>
        </w:rPr>
        <w:t>；</w:t>
      </w:r>
      <w:r>
        <w:rPr>
          <w:sz w:val="21"/>
        </w:rPr>
        <w:t xml:space="preserve"> </w:t>
      </w:r>
    </w:p>
    <w:p w14:paraId="7B58CE4F" w14:textId="77777777" w:rsidR="00A71EEF" w:rsidRDefault="0081115D">
      <w:pPr>
        <w:pStyle w:val="a4"/>
        <w:numPr>
          <w:ilvl w:val="0"/>
          <w:numId w:val="285"/>
        </w:numPr>
        <w:tabs>
          <w:tab w:val="left" w:pos="1367"/>
        </w:tabs>
        <w:spacing w:line="446" w:lineRule="auto"/>
        <w:ind w:left="840" w:right="2979" w:hanging="3"/>
        <w:rPr>
          <w:sz w:val="21"/>
        </w:rPr>
      </w:pPr>
      <w:r>
        <w:rPr>
          <w:spacing w:val="-7"/>
          <w:sz w:val="21"/>
        </w:rPr>
        <w:t>每台消防水泵出水管上应设置</w:t>
      </w:r>
      <w:r>
        <w:rPr>
          <w:spacing w:val="-7"/>
          <w:sz w:val="21"/>
        </w:rPr>
        <w:t xml:space="preserve"> </w:t>
      </w:r>
      <w:r>
        <w:rPr>
          <w:sz w:val="21"/>
        </w:rPr>
        <w:t>DN</w:t>
      </w:r>
      <w:r>
        <w:rPr>
          <w:sz w:val="21"/>
        </w:rPr>
        <w:t>65</w:t>
      </w:r>
      <w:r>
        <w:rPr>
          <w:spacing w:val="-8"/>
          <w:sz w:val="21"/>
        </w:rPr>
        <w:t xml:space="preserve"> </w:t>
      </w:r>
      <w:r>
        <w:rPr>
          <w:spacing w:val="-8"/>
          <w:sz w:val="21"/>
        </w:rPr>
        <w:t>的试水管，并应采取排水措施。</w:t>
      </w:r>
      <w:r>
        <w:rPr>
          <w:b/>
          <w:sz w:val="21"/>
        </w:rPr>
        <w:t xml:space="preserve">5.1.12 </w:t>
      </w:r>
      <w:r>
        <w:rPr>
          <w:spacing w:val="-3"/>
          <w:sz w:val="21"/>
        </w:rPr>
        <w:t>消防水泵吸水应符合下列规定：</w:t>
      </w:r>
      <w:r>
        <w:rPr>
          <w:sz w:val="21"/>
        </w:rPr>
        <w:t xml:space="preserve"> </w:t>
      </w:r>
    </w:p>
    <w:p w14:paraId="18EFA8C8" w14:textId="77777777" w:rsidR="00A71EEF" w:rsidRDefault="0081115D">
      <w:pPr>
        <w:pStyle w:val="a4"/>
        <w:numPr>
          <w:ilvl w:val="0"/>
          <w:numId w:val="284"/>
        </w:numPr>
        <w:tabs>
          <w:tab w:val="left" w:pos="1367"/>
        </w:tabs>
        <w:rPr>
          <w:sz w:val="21"/>
        </w:rPr>
      </w:pPr>
      <w:r>
        <w:rPr>
          <w:spacing w:val="-3"/>
          <w:sz w:val="21"/>
        </w:rPr>
        <w:t>消防水泵应采取自灌式吸水；</w:t>
      </w:r>
      <w:r>
        <w:rPr>
          <w:sz w:val="21"/>
        </w:rPr>
        <w:t xml:space="preserve"> </w:t>
      </w:r>
    </w:p>
    <w:p w14:paraId="3D2AD2B4" w14:textId="77777777" w:rsidR="00A71EEF" w:rsidRDefault="00A71EEF">
      <w:pPr>
        <w:pStyle w:val="a3"/>
        <w:spacing w:before="10"/>
        <w:rPr>
          <w:sz w:val="17"/>
        </w:rPr>
      </w:pPr>
    </w:p>
    <w:p w14:paraId="2EE21943" w14:textId="77777777" w:rsidR="00A71EEF" w:rsidRDefault="0081115D">
      <w:pPr>
        <w:pStyle w:val="a4"/>
        <w:numPr>
          <w:ilvl w:val="0"/>
          <w:numId w:val="284"/>
        </w:numPr>
        <w:tabs>
          <w:tab w:val="left" w:pos="1367"/>
        </w:tabs>
        <w:spacing w:line="446" w:lineRule="auto"/>
        <w:ind w:left="418" w:right="1505" w:firstLine="419"/>
        <w:rPr>
          <w:sz w:val="21"/>
        </w:rPr>
      </w:pPr>
      <w:r>
        <w:rPr>
          <w:spacing w:val="-3"/>
          <w:sz w:val="21"/>
        </w:rPr>
        <w:t>消防水泵从市政管网直接抽水时，应在消防水泵出水管上设置有空气隔断的倒流防止器；</w:t>
      </w:r>
      <w:r>
        <w:rPr>
          <w:sz w:val="21"/>
        </w:rPr>
        <w:t xml:space="preserve"> </w:t>
      </w:r>
    </w:p>
    <w:p w14:paraId="32EFD8F6" w14:textId="77777777" w:rsidR="00A71EEF" w:rsidRDefault="0081115D">
      <w:pPr>
        <w:pStyle w:val="a4"/>
        <w:numPr>
          <w:ilvl w:val="0"/>
          <w:numId w:val="284"/>
        </w:numPr>
        <w:tabs>
          <w:tab w:val="left" w:pos="1367"/>
        </w:tabs>
        <w:rPr>
          <w:sz w:val="21"/>
        </w:rPr>
      </w:pPr>
      <w:r>
        <w:rPr>
          <w:spacing w:val="-3"/>
          <w:sz w:val="21"/>
        </w:rPr>
        <w:t>当吸水口处无吸水井时，吸水口处应设置旋流防止器。</w:t>
      </w:r>
      <w:r>
        <w:rPr>
          <w:sz w:val="21"/>
        </w:rPr>
        <w:t xml:space="preserve"> </w:t>
      </w:r>
    </w:p>
    <w:p w14:paraId="366322FE" w14:textId="77777777" w:rsidR="00A71EEF" w:rsidRDefault="00A71EEF">
      <w:pPr>
        <w:pStyle w:val="a3"/>
        <w:rPr>
          <w:sz w:val="18"/>
        </w:rPr>
      </w:pPr>
    </w:p>
    <w:p w14:paraId="14424B02" w14:textId="77777777" w:rsidR="00A71EEF" w:rsidRDefault="0081115D">
      <w:pPr>
        <w:pStyle w:val="a4"/>
        <w:numPr>
          <w:ilvl w:val="2"/>
          <w:numId w:val="283"/>
        </w:numPr>
        <w:tabs>
          <w:tab w:val="left" w:pos="1478"/>
        </w:tabs>
        <w:ind w:hanging="638"/>
        <w:rPr>
          <w:sz w:val="21"/>
        </w:rPr>
      </w:pPr>
      <w:r>
        <w:rPr>
          <w:spacing w:val="-3"/>
          <w:sz w:val="21"/>
        </w:rPr>
        <w:t>离心式消防水泵吸水管、出水管和阀门等，应符合下列规定：</w:t>
      </w:r>
      <w:r>
        <w:rPr>
          <w:sz w:val="21"/>
        </w:rPr>
        <w:t xml:space="preserve"> </w:t>
      </w:r>
    </w:p>
    <w:p w14:paraId="4E44524F" w14:textId="77777777" w:rsidR="00A71EEF" w:rsidRDefault="00A71EEF">
      <w:pPr>
        <w:pStyle w:val="a3"/>
        <w:spacing w:before="12"/>
        <w:rPr>
          <w:sz w:val="17"/>
        </w:rPr>
      </w:pPr>
    </w:p>
    <w:p w14:paraId="2E167E96" w14:textId="77777777" w:rsidR="00A71EEF" w:rsidRDefault="0081115D">
      <w:pPr>
        <w:pStyle w:val="a4"/>
        <w:numPr>
          <w:ilvl w:val="0"/>
          <w:numId w:val="282"/>
        </w:numPr>
        <w:tabs>
          <w:tab w:val="left" w:pos="1367"/>
        </w:tabs>
        <w:spacing w:line="446" w:lineRule="auto"/>
        <w:ind w:right="1505" w:firstLine="419"/>
        <w:rPr>
          <w:sz w:val="21"/>
        </w:rPr>
      </w:pPr>
      <w:r>
        <w:rPr>
          <w:spacing w:val="-3"/>
          <w:sz w:val="21"/>
        </w:rPr>
        <w:t>一组消防水泵，吸水管不应少于两条，当其中一条损坏或检修时，其余吸水管应仍能通过全部消防给水设计流量；</w:t>
      </w:r>
      <w:r>
        <w:rPr>
          <w:sz w:val="21"/>
        </w:rPr>
        <w:t xml:space="preserve"> </w:t>
      </w:r>
    </w:p>
    <w:p w14:paraId="30030AD3" w14:textId="77777777" w:rsidR="00A71EEF" w:rsidRDefault="0081115D">
      <w:pPr>
        <w:pStyle w:val="a4"/>
        <w:numPr>
          <w:ilvl w:val="0"/>
          <w:numId w:val="282"/>
        </w:numPr>
        <w:tabs>
          <w:tab w:val="left" w:pos="1367"/>
        </w:tabs>
        <w:ind w:left="1367"/>
        <w:rPr>
          <w:sz w:val="21"/>
        </w:rPr>
      </w:pPr>
      <w:r>
        <w:rPr>
          <w:spacing w:val="-3"/>
          <w:sz w:val="21"/>
        </w:rPr>
        <w:t>消防水泵吸水管布置应避免形成气囊；</w:t>
      </w:r>
      <w:r>
        <w:rPr>
          <w:sz w:val="21"/>
        </w:rPr>
        <w:t xml:space="preserve"> </w:t>
      </w:r>
    </w:p>
    <w:p w14:paraId="7FC2FB51" w14:textId="77777777" w:rsidR="00A71EEF" w:rsidRDefault="00A71EEF">
      <w:pPr>
        <w:pStyle w:val="a3"/>
        <w:rPr>
          <w:sz w:val="18"/>
        </w:rPr>
      </w:pPr>
    </w:p>
    <w:p w14:paraId="76305B3E" w14:textId="77777777" w:rsidR="00A71EEF" w:rsidRDefault="0081115D">
      <w:pPr>
        <w:pStyle w:val="a4"/>
        <w:numPr>
          <w:ilvl w:val="0"/>
          <w:numId w:val="282"/>
        </w:numPr>
        <w:tabs>
          <w:tab w:val="left" w:pos="1367"/>
        </w:tabs>
        <w:spacing w:line="446" w:lineRule="auto"/>
        <w:ind w:right="1505" w:firstLine="419"/>
        <w:rPr>
          <w:sz w:val="21"/>
        </w:rPr>
      </w:pPr>
      <w:r>
        <w:rPr>
          <w:spacing w:val="-3"/>
          <w:sz w:val="21"/>
        </w:rPr>
        <w:t>一组消防水泵应设不少于两条的输水干管与消防给水环状管网连接，当其中一条输水管检修时，其余输水管应仍能供应全部消防给水设计流量；</w:t>
      </w:r>
      <w:r>
        <w:rPr>
          <w:sz w:val="21"/>
        </w:rPr>
        <w:t xml:space="preserve"> </w:t>
      </w:r>
    </w:p>
    <w:p w14:paraId="38294D70" w14:textId="77777777" w:rsidR="00A71EEF" w:rsidRDefault="0081115D">
      <w:pPr>
        <w:pStyle w:val="a4"/>
        <w:numPr>
          <w:ilvl w:val="0"/>
          <w:numId w:val="282"/>
        </w:numPr>
        <w:tabs>
          <w:tab w:val="left" w:pos="1367"/>
        </w:tabs>
        <w:spacing w:line="446" w:lineRule="auto"/>
        <w:ind w:right="1505" w:firstLine="419"/>
        <w:rPr>
          <w:sz w:val="21"/>
        </w:rPr>
      </w:pPr>
      <w:r>
        <w:rPr>
          <w:spacing w:val="-3"/>
          <w:sz w:val="21"/>
        </w:rPr>
        <w:t>消防水泵吸水口的淹没深度应满足消防水泵在最低水位运行安全的要求，吸水管喇叭口在消防水池最低有效水位下的淹没深度应根据吸水管喇叭口的水流速度和水力条件确定，但</w:t>
      </w:r>
      <w:r>
        <w:rPr>
          <w:spacing w:val="-13"/>
          <w:sz w:val="21"/>
        </w:rPr>
        <w:t>不应小于</w:t>
      </w:r>
      <w:r>
        <w:rPr>
          <w:spacing w:val="-13"/>
          <w:sz w:val="21"/>
        </w:rPr>
        <w:t xml:space="preserve"> </w:t>
      </w:r>
      <w:r>
        <w:rPr>
          <w:sz w:val="21"/>
        </w:rPr>
        <w:t>600mm</w:t>
      </w:r>
      <w:r>
        <w:rPr>
          <w:spacing w:val="-6"/>
          <w:sz w:val="21"/>
        </w:rPr>
        <w:t>，当采用旋流防止器时，淹没深度不应小于</w:t>
      </w:r>
      <w:r>
        <w:rPr>
          <w:spacing w:val="-6"/>
          <w:sz w:val="21"/>
        </w:rPr>
        <w:t xml:space="preserve"> </w:t>
      </w:r>
      <w:r>
        <w:rPr>
          <w:sz w:val="21"/>
        </w:rPr>
        <w:t>200mm</w:t>
      </w:r>
      <w:r>
        <w:rPr>
          <w:sz w:val="21"/>
        </w:rPr>
        <w:t>；</w:t>
      </w:r>
      <w:r>
        <w:rPr>
          <w:sz w:val="21"/>
        </w:rPr>
        <w:t xml:space="preserve"> </w:t>
      </w:r>
    </w:p>
    <w:p w14:paraId="238C9B87" w14:textId="77777777" w:rsidR="00A71EEF" w:rsidRDefault="0081115D">
      <w:pPr>
        <w:pStyle w:val="a4"/>
        <w:numPr>
          <w:ilvl w:val="0"/>
          <w:numId w:val="282"/>
        </w:numPr>
        <w:tabs>
          <w:tab w:val="left" w:pos="1367"/>
        </w:tabs>
        <w:spacing w:line="446" w:lineRule="auto"/>
        <w:ind w:right="1505" w:firstLine="419"/>
        <w:rPr>
          <w:sz w:val="21"/>
        </w:rPr>
      </w:pPr>
      <w:r>
        <w:rPr>
          <w:spacing w:val="-3"/>
          <w:sz w:val="21"/>
        </w:rPr>
        <w:t>消防水泵的吸水管上应设置明杆闸阀或带自锁装置的蝶阀，但当设置暗杆阀门时应设</w:t>
      </w:r>
      <w:r>
        <w:rPr>
          <w:spacing w:val="-7"/>
          <w:sz w:val="21"/>
        </w:rPr>
        <w:t>有开启刻度和标志；当管径超过</w:t>
      </w:r>
      <w:r>
        <w:rPr>
          <w:spacing w:val="-7"/>
          <w:sz w:val="21"/>
        </w:rPr>
        <w:t xml:space="preserve"> </w:t>
      </w:r>
      <w:r>
        <w:rPr>
          <w:sz w:val="21"/>
        </w:rPr>
        <w:t>DN300</w:t>
      </w:r>
      <w:r>
        <w:rPr>
          <w:spacing w:val="-9"/>
          <w:sz w:val="21"/>
        </w:rPr>
        <w:t xml:space="preserve"> </w:t>
      </w:r>
      <w:r>
        <w:rPr>
          <w:spacing w:val="-9"/>
          <w:sz w:val="21"/>
        </w:rPr>
        <w:t>时，宜设置电动阀门；</w:t>
      </w:r>
      <w:r>
        <w:rPr>
          <w:sz w:val="21"/>
        </w:rPr>
        <w:t xml:space="preserve"> </w:t>
      </w:r>
    </w:p>
    <w:p w14:paraId="64375BB7" w14:textId="77777777" w:rsidR="00A71EEF" w:rsidRDefault="0081115D">
      <w:pPr>
        <w:pStyle w:val="a4"/>
        <w:numPr>
          <w:ilvl w:val="0"/>
          <w:numId w:val="282"/>
        </w:numPr>
        <w:tabs>
          <w:tab w:val="left" w:pos="1367"/>
        </w:tabs>
        <w:spacing w:line="446" w:lineRule="auto"/>
        <w:ind w:right="1505" w:firstLine="419"/>
        <w:rPr>
          <w:sz w:val="21"/>
        </w:rPr>
      </w:pPr>
      <w:r>
        <w:rPr>
          <w:spacing w:val="-3"/>
          <w:sz w:val="21"/>
        </w:rPr>
        <w:t>消防水泵的</w:t>
      </w:r>
      <w:r>
        <w:rPr>
          <w:spacing w:val="-3"/>
          <w:sz w:val="21"/>
        </w:rPr>
        <w:t>出水管上应设止回阀、明杆闸阀；当采用蝶阀时，应带有自锁装置；当管</w:t>
      </w:r>
      <w:r>
        <w:rPr>
          <w:spacing w:val="-15"/>
          <w:sz w:val="21"/>
        </w:rPr>
        <w:t>径大于</w:t>
      </w:r>
      <w:r>
        <w:rPr>
          <w:spacing w:val="-15"/>
          <w:sz w:val="21"/>
        </w:rPr>
        <w:t xml:space="preserve"> </w:t>
      </w:r>
      <w:r>
        <w:rPr>
          <w:sz w:val="21"/>
        </w:rPr>
        <w:t>DN300</w:t>
      </w:r>
      <w:r>
        <w:rPr>
          <w:spacing w:val="-9"/>
          <w:sz w:val="21"/>
        </w:rPr>
        <w:t xml:space="preserve"> </w:t>
      </w:r>
      <w:r>
        <w:rPr>
          <w:spacing w:val="-9"/>
          <w:sz w:val="21"/>
        </w:rPr>
        <w:t>时，宜设置电动阀门；</w:t>
      </w:r>
      <w:r>
        <w:rPr>
          <w:sz w:val="21"/>
        </w:rPr>
        <w:t xml:space="preserve"> </w:t>
      </w:r>
    </w:p>
    <w:p w14:paraId="3AC654DF" w14:textId="77777777" w:rsidR="00A71EEF" w:rsidRDefault="0081115D">
      <w:pPr>
        <w:pStyle w:val="a4"/>
        <w:numPr>
          <w:ilvl w:val="0"/>
          <w:numId w:val="282"/>
        </w:numPr>
        <w:tabs>
          <w:tab w:val="left" w:pos="1367"/>
        </w:tabs>
        <w:spacing w:line="267" w:lineRule="exact"/>
        <w:ind w:left="1367"/>
        <w:rPr>
          <w:sz w:val="21"/>
        </w:rPr>
      </w:pPr>
      <w:r>
        <w:rPr>
          <w:spacing w:val="-7"/>
          <w:sz w:val="21"/>
        </w:rPr>
        <w:t>消防水泵吸水管的直径小于</w:t>
      </w:r>
      <w:r>
        <w:rPr>
          <w:spacing w:val="-7"/>
          <w:sz w:val="21"/>
        </w:rPr>
        <w:t xml:space="preserve"> </w:t>
      </w:r>
      <w:r>
        <w:rPr>
          <w:sz w:val="21"/>
        </w:rPr>
        <w:t>DN250</w:t>
      </w:r>
      <w:r>
        <w:rPr>
          <w:spacing w:val="-14"/>
          <w:sz w:val="21"/>
        </w:rPr>
        <w:t xml:space="preserve"> </w:t>
      </w:r>
      <w:r>
        <w:rPr>
          <w:spacing w:val="-14"/>
          <w:sz w:val="21"/>
        </w:rPr>
        <w:t>时，其流速宜为</w:t>
      </w:r>
      <w:r>
        <w:rPr>
          <w:spacing w:val="-14"/>
          <w:sz w:val="21"/>
        </w:rPr>
        <w:t xml:space="preserve"> </w:t>
      </w:r>
      <w:r>
        <w:rPr>
          <w:sz w:val="21"/>
        </w:rPr>
        <w:t>1.0</w:t>
      </w:r>
      <w:r>
        <w:rPr>
          <w:sz w:val="21"/>
        </w:rPr>
        <w:t>～</w:t>
      </w:r>
      <w:r>
        <w:rPr>
          <w:sz w:val="21"/>
        </w:rPr>
        <w:t>1.2m/s</w:t>
      </w:r>
      <w:r>
        <w:rPr>
          <w:spacing w:val="-10"/>
          <w:sz w:val="21"/>
        </w:rPr>
        <w:t>；直径大于</w:t>
      </w:r>
      <w:r>
        <w:rPr>
          <w:spacing w:val="-10"/>
          <w:sz w:val="21"/>
        </w:rPr>
        <w:t xml:space="preserve"> </w:t>
      </w:r>
      <w:r>
        <w:rPr>
          <w:sz w:val="21"/>
        </w:rPr>
        <w:t>DN250</w:t>
      </w:r>
    </w:p>
    <w:p w14:paraId="65B2BD3C" w14:textId="77777777" w:rsidR="00A71EEF" w:rsidRDefault="00A71EEF">
      <w:pPr>
        <w:pStyle w:val="a3"/>
        <w:spacing w:before="1"/>
        <w:rPr>
          <w:sz w:val="18"/>
        </w:rPr>
      </w:pPr>
    </w:p>
    <w:p w14:paraId="151298EA" w14:textId="77777777" w:rsidR="00A71EEF" w:rsidRDefault="0081115D">
      <w:pPr>
        <w:pStyle w:val="a3"/>
        <w:ind w:left="418"/>
      </w:pPr>
      <w:r>
        <w:t>时，宜为</w:t>
      </w:r>
      <w:r>
        <w:t xml:space="preserve"> 1.2</w:t>
      </w:r>
      <w:r>
        <w:t>～</w:t>
      </w:r>
      <w:r>
        <w:t>1.6m/s</w:t>
      </w:r>
      <w:r>
        <w:t>；</w:t>
      </w:r>
      <w:r>
        <w:t xml:space="preserve"> </w:t>
      </w:r>
    </w:p>
    <w:p w14:paraId="058114FD" w14:textId="77777777" w:rsidR="00A71EEF" w:rsidRDefault="00A71EEF">
      <w:pPr>
        <w:sectPr w:rsidR="00A71EEF">
          <w:footerReference w:type="default" r:id="rId378"/>
          <w:pgSz w:w="11910" w:h="16850"/>
          <w:pgMar w:top="1220" w:right="0" w:bottom="1420" w:left="1260" w:header="0" w:footer="1239" w:gutter="0"/>
          <w:pgNumType w:start="1330"/>
          <w:cols w:space="720"/>
        </w:sectPr>
      </w:pPr>
    </w:p>
    <w:p w14:paraId="440EE86E" w14:textId="77777777" w:rsidR="00A71EEF" w:rsidRDefault="0081115D">
      <w:pPr>
        <w:pStyle w:val="a4"/>
        <w:numPr>
          <w:ilvl w:val="0"/>
          <w:numId w:val="282"/>
        </w:numPr>
        <w:tabs>
          <w:tab w:val="left" w:pos="1367"/>
        </w:tabs>
        <w:spacing w:before="47"/>
        <w:ind w:left="1367"/>
        <w:rPr>
          <w:sz w:val="21"/>
        </w:rPr>
      </w:pPr>
      <w:r>
        <w:rPr>
          <w:spacing w:val="-7"/>
          <w:sz w:val="21"/>
        </w:rPr>
        <w:t>消防水泵出水管的直径小于</w:t>
      </w:r>
      <w:r>
        <w:rPr>
          <w:spacing w:val="-7"/>
          <w:sz w:val="21"/>
        </w:rPr>
        <w:t xml:space="preserve"> </w:t>
      </w:r>
      <w:r>
        <w:rPr>
          <w:sz w:val="21"/>
        </w:rPr>
        <w:t>DN250</w:t>
      </w:r>
      <w:r>
        <w:rPr>
          <w:spacing w:val="-14"/>
          <w:sz w:val="21"/>
        </w:rPr>
        <w:t xml:space="preserve"> </w:t>
      </w:r>
      <w:r>
        <w:rPr>
          <w:spacing w:val="-14"/>
          <w:sz w:val="21"/>
        </w:rPr>
        <w:t>时，其流速宜为</w:t>
      </w:r>
      <w:r>
        <w:rPr>
          <w:spacing w:val="-14"/>
          <w:sz w:val="21"/>
        </w:rPr>
        <w:t xml:space="preserve"> </w:t>
      </w:r>
      <w:r>
        <w:rPr>
          <w:sz w:val="21"/>
        </w:rPr>
        <w:t>1.5</w:t>
      </w:r>
      <w:r>
        <w:rPr>
          <w:sz w:val="21"/>
        </w:rPr>
        <w:t>～</w:t>
      </w:r>
      <w:r>
        <w:rPr>
          <w:sz w:val="21"/>
        </w:rPr>
        <w:t>2.0m/s</w:t>
      </w:r>
      <w:r>
        <w:rPr>
          <w:spacing w:val="-10"/>
          <w:sz w:val="21"/>
        </w:rPr>
        <w:t>；直径大于</w:t>
      </w:r>
      <w:r>
        <w:rPr>
          <w:spacing w:val="-10"/>
          <w:sz w:val="21"/>
        </w:rPr>
        <w:t xml:space="preserve"> </w:t>
      </w:r>
      <w:r>
        <w:rPr>
          <w:sz w:val="21"/>
        </w:rPr>
        <w:t>DN250</w:t>
      </w:r>
    </w:p>
    <w:p w14:paraId="0AF7987C" w14:textId="77777777" w:rsidR="00A71EEF" w:rsidRDefault="00A71EEF">
      <w:pPr>
        <w:pStyle w:val="a3"/>
        <w:rPr>
          <w:sz w:val="18"/>
        </w:rPr>
      </w:pPr>
    </w:p>
    <w:p w14:paraId="57A17C53" w14:textId="77777777" w:rsidR="00A71EEF" w:rsidRDefault="0081115D">
      <w:pPr>
        <w:pStyle w:val="a3"/>
        <w:ind w:left="418"/>
      </w:pPr>
      <w:r>
        <w:t>时，宜为</w:t>
      </w:r>
      <w:r>
        <w:t xml:space="preserve"> 2.0</w:t>
      </w:r>
      <w:r>
        <w:t>～</w:t>
      </w:r>
      <w:r>
        <w:t>2.5m/s</w:t>
      </w:r>
      <w:r>
        <w:t>；</w:t>
      </w:r>
      <w:r>
        <w:t xml:space="preserve"> </w:t>
      </w:r>
    </w:p>
    <w:p w14:paraId="692B6D97" w14:textId="77777777" w:rsidR="00A71EEF" w:rsidRDefault="00A71EEF">
      <w:pPr>
        <w:pStyle w:val="a3"/>
        <w:rPr>
          <w:sz w:val="18"/>
        </w:rPr>
      </w:pPr>
    </w:p>
    <w:p w14:paraId="42183A35" w14:textId="77777777" w:rsidR="00A71EEF" w:rsidRDefault="0081115D">
      <w:pPr>
        <w:pStyle w:val="a4"/>
        <w:numPr>
          <w:ilvl w:val="0"/>
          <w:numId w:val="282"/>
        </w:numPr>
        <w:tabs>
          <w:tab w:val="left" w:pos="1367"/>
        </w:tabs>
        <w:spacing w:line="446" w:lineRule="auto"/>
        <w:ind w:right="1505" w:firstLine="419"/>
        <w:rPr>
          <w:sz w:val="21"/>
        </w:rPr>
      </w:pPr>
      <w:r>
        <w:rPr>
          <w:spacing w:val="-3"/>
          <w:sz w:val="21"/>
        </w:rPr>
        <w:t>吸水井的布置应满足井内水流顺畅、流速均匀、不产生涡漩的要求，并应便于安装施工；</w:t>
      </w:r>
      <w:r>
        <w:rPr>
          <w:sz w:val="21"/>
        </w:rPr>
        <w:t xml:space="preserve"> </w:t>
      </w:r>
    </w:p>
    <w:p w14:paraId="367DE2DD" w14:textId="77777777" w:rsidR="00A71EEF" w:rsidRDefault="0081115D">
      <w:pPr>
        <w:pStyle w:val="a4"/>
        <w:numPr>
          <w:ilvl w:val="0"/>
          <w:numId w:val="282"/>
        </w:numPr>
        <w:tabs>
          <w:tab w:val="left" w:pos="1473"/>
        </w:tabs>
        <w:spacing w:line="446" w:lineRule="auto"/>
        <w:ind w:right="1817" w:firstLine="419"/>
        <w:rPr>
          <w:sz w:val="21"/>
        </w:rPr>
      </w:pPr>
      <w:r>
        <w:rPr>
          <w:spacing w:val="-3"/>
          <w:sz w:val="21"/>
        </w:rPr>
        <w:t>消防水泵的吸水管、出水管道穿越外墙时，应采用防水套管；当穿越墙体和楼板时，应符合本规范第</w:t>
      </w:r>
      <w:r>
        <w:rPr>
          <w:spacing w:val="-3"/>
          <w:sz w:val="21"/>
        </w:rPr>
        <w:t xml:space="preserve"> </w:t>
      </w:r>
      <w:r>
        <w:rPr>
          <w:sz w:val="21"/>
        </w:rPr>
        <w:t>12.3.19</w:t>
      </w:r>
      <w:r>
        <w:rPr>
          <w:spacing w:val="-14"/>
          <w:sz w:val="21"/>
        </w:rPr>
        <w:t xml:space="preserve"> </w:t>
      </w:r>
      <w:r>
        <w:rPr>
          <w:spacing w:val="-14"/>
          <w:sz w:val="21"/>
        </w:rPr>
        <w:t>条第</w:t>
      </w:r>
      <w:r>
        <w:rPr>
          <w:spacing w:val="-14"/>
          <w:sz w:val="21"/>
        </w:rPr>
        <w:t xml:space="preserve"> </w:t>
      </w:r>
      <w:r>
        <w:rPr>
          <w:sz w:val="21"/>
        </w:rPr>
        <w:t>5</w:t>
      </w:r>
      <w:r>
        <w:rPr>
          <w:spacing w:val="-12"/>
          <w:sz w:val="21"/>
        </w:rPr>
        <w:t xml:space="preserve"> </w:t>
      </w:r>
      <w:r>
        <w:rPr>
          <w:spacing w:val="-12"/>
          <w:sz w:val="21"/>
        </w:rPr>
        <w:t>款的要求；</w:t>
      </w:r>
      <w:r>
        <w:rPr>
          <w:sz w:val="21"/>
        </w:rPr>
        <w:t xml:space="preserve"> </w:t>
      </w:r>
    </w:p>
    <w:p w14:paraId="1675096F" w14:textId="77777777" w:rsidR="00A71EEF" w:rsidRDefault="0081115D">
      <w:pPr>
        <w:pStyle w:val="a4"/>
        <w:numPr>
          <w:ilvl w:val="0"/>
          <w:numId w:val="282"/>
        </w:numPr>
        <w:tabs>
          <w:tab w:val="left" w:pos="1473"/>
        </w:tabs>
        <w:spacing w:line="446" w:lineRule="auto"/>
        <w:ind w:right="1609" w:firstLine="419"/>
        <w:rPr>
          <w:sz w:val="21"/>
        </w:rPr>
      </w:pPr>
      <w:r>
        <w:rPr>
          <w:spacing w:val="-3"/>
          <w:sz w:val="21"/>
        </w:rPr>
        <w:t>消防水泵的吸水管穿越消防水池时，应采用柔性套管；采用刚性防水套管时应在水</w:t>
      </w:r>
      <w:r>
        <w:rPr>
          <w:spacing w:val="-6"/>
          <w:sz w:val="21"/>
        </w:rPr>
        <w:t>泵吸水管上设置柔性接头，且管径不应大于</w:t>
      </w:r>
      <w:r>
        <w:rPr>
          <w:spacing w:val="-6"/>
          <w:sz w:val="21"/>
        </w:rPr>
        <w:t xml:space="preserve"> </w:t>
      </w:r>
      <w:r>
        <w:rPr>
          <w:sz w:val="21"/>
        </w:rPr>
        <w:t>DN150</w:t>
      </w:r>
      <w:r>
        <w:rPr>
          <w:sz w:val="21"/>
        </w:rPr>
        <w:t>。</w:t>
      </w:r>
      <w:r>
        <w:rPr>
          <w:sz w:val="21"/>
        </w:rPr>
        <w:t xml:space="preserve"> </w:t>
      </w:r>
    </w:p>
    <w:p w14:paraId="22F7B64D" w14:textId="77777777" w:rsidR="00A71EEF" w:rsidRDefault="0081115D">
      <w:pPr>
        <w:pStyle w:val="a4"/>
        <w:numPr>
          <w:ilvl w:val="2"/>
          <w:numId w:val="283"/>
        </w:numPr>
        <w:tabs>
          <w:tab w:val="left" w:pos="1478"/>
        </w:tabs>
        <w:spacing w:line="267" w:lineRule="exact"/>
        <w:ind w:hanging="638"/>
        <w:rPr>
          <w:sz w:val="21"/>
        </w:rPr>
      </w:pPr>
      <w:r>
        <w:rPr>
          <w:spacing w:val="-3"/>
          <w:sz w:val="21"/>
        </w:rPr>
        <w:t>当有两路消防供水且允许消防水泵直接吸水时，应符合下列规定：</w:t>
      </w:r>
      <w:r>
        <w:rPr>
          <w:spacing w:val="-3"/>
          <w:sz w:val="21"/>
        </w:rPr>
        <w:t xml:space="preserve"> </w:t>
      </w:r>
    </w:p>
    <w:p w14:paraId="14196CAF" w14:textId="77777777" w:rsidR="00A71EEF" w:rsidRDefault="00A71EEF">
      <w:pPr>
        <w:pStyle w:val="a3"/>
        <w:spacing w:before="1"/>
        <w:rPr>
          <w:sz w:val="18"/>
        </w:rPr>
      </w:pPr>
    </w:p>
    <w:p w14:paraId="2E6B3EB5" w14:textId="77777777" w:rsidR="00A71EEF" w:rsidRDefault="0081115D">
      <w:pPr>
        <w:pStyle w:val="a4"/>
        <w:numPr>
          <w:ilvl w:val="0"/>
          <w:numId w:val="281"/>
        </w:numPr>
        <w:tabs>
          <w:tab w:val="left" w:pos="1367"/>
        </w:tabs>
        <w:rPr>
          <w:sz w:val="21"/>
        </w:rPr>
      </w:pPr>
      <w:r>
        <w:rPr>
          <w:spacing w:val="-3"/>
          <w:sz w:val="21"/>
        </w:rPr>
        <w:t>每一路消防供水应满足消防给水设计流量和火灾时必须保证的其他用水；</w:t>
      </w:r>
      <w:r>
        <w:rPr>
          <w:spacing w:val="-3"/>
          <w:sz w:val="21"/>
        </w:rPr>
        <w:t xml:space="preserve"> </w:t>
      </w:r>
    </w:p>
    <w:p w14:paraId="63516404" w14:textId="77777777" w:rsidR="00A71EEF" w:rsidRDefault="00A71EEF">
      <w:pPr>
        <w:pStyle w:val="a3"/>
        <w:rPr>
          <w:sz w:val="18"/>
        </w:rPr>
      </w:pPr>
    </w:p>
    <w:p w14:paraId="4476EB7C" w14:textId="77777777" w:rsidR="00A71EEF" w:rsidRDefault="0081115D">
      <w:pPr>
        <w:pStyle w:val="a4"/>
        <w:numPr>
          <w:ilvl w:val="0"/>
          <w:numId w:val="281"/>
        </w:numPr>
        <w:tabs>
          <w:tab w:val="left" w:pos="1367"/>
        </w:tabs>
        <w:rPr>
          <w:sz w:val="21"/>
        </w:rPr>
      </w:pPr>
      <w:r>
        <w:rPr>
          <w:spacing w:val="-6"/>
          <w:sz w:val="21"/>
        </w:rPr>
        <w:t>火灾时室外给水管网的压力从地面算起不应</w:t>
      </w:r>
      <w:r>
        <w:rPr>
          <w:spacing w:val="-6"/>
          <w:sz w:val="21"/>
        </w:rPr>
        <w:t>小于</w:t>
      </w:r>
      <w:r>
        <w:rPr>
          <w:spacing w:val="-6"/>
          <w:sz w:val="21"/>
        </w:rPr>
        <w:t xml:space="preserve"> </w:t>
      </w:r>
      <w:r>
        <w:rPr>
          <w:sz w:val="21"/>
        </w:rPr>
        <w:t>0.10MPa</w:t>
      </w:r>
      <w:r>
        <w:rPr>
          <w:sz w:val="21"/>
        </w:rPr>
        <w:t>；</w:t>
      </w:r>
      <w:r>
        <w:rPr>
          <w:sz w:val="21"/>
        </w:rPr>
        <w:t xml:space="preserve"> </w:t>
      </w:r>
    </w:p>
    <w:p w14:paraId="2134BB75" w14:textId="77777777" w:rsidR="00A71EEF" w:rsidRDefault="00A71EEF">
      <w:pPr>
        <w:pStyle w:val="a3"/>
        <w:spacing w:before="12"/>
        <w:rPr>
          <w:sz w:val="17"/>
        </w:rPr>
      </w:pPr>
    </w:p>
    <w:p w14:paraId="7F082EF3" w14:textId="77777777" w:rsidR="00A71EEF" w:rsidRDefault="0081115D">
      <w:pPr>
        <w:pStyle w:val="a4"/>
        <w:numPr>
          <w:ilvl w:val="0"/>
          <w:numId w:val="281"/>
        </w:numPr>
        <w:tabs>
          <w:tab w:val="left" w:pos="1367"/>
        </w:tabs>
        <w:spacing w:line="446" w:lineRule="auto"/>
        <w:ind w:left="418" w:right="1505" w:firstLine="419"/>
        <w:rPr>
          <w:sz w:val="21"/>
        </w:rPr>
      </w:pPr>
      <w:r>
        <w:rPr>
          <w:spacing w:val="-3"/>
          <w:sz w:val="21"/>
        </w:rPr>
        <w:t>消防水泵扬程应按室外给水管网的最低水压计算，并应以室外给水的最高水压校核消防水泵的工作工况。</w:t>
      </w:r>
      <w:r>
        <w:rPr>
          <w:sz w:val="21"/>
        </w:rPr>
        <w:t xml:space="preserve"> </w:t>
      </w:r>
    </w:p>
    <w:p w14:paraId="77FE0A00" w14:textId="77777777" w:rsidR="00A71EEF" w:rsidRDefault="0081115D">
      <w:pPr>
        <w:pStyle w:val="a4"/>
        <w:numPr>
          <w:ilvl w:val="2"/>
          <w:numId w:val="283"/>
        </w:numPr>
        <w:tabs>
          <w:tab w:val="left" w:pos="1478"/>
        </w:tabs>
        <w:spacing w:before="1"/>
        <w:ind w:hanging="638"/>
        <w:rPr>
          <w:sz w:val="21"/>
        </w:rPr>
      </w:pPr>
      <w:r>
        <w:rPr>
          <w:spacing w:val="-3"/>
          <w:sz w:val="21"/>
        </w:rPr>
        <w:t>消防水泵吸水管可设置管道过滤器，管道过滤器的过水面积应大于管道过水面积的</w:t>
      </w:r>
    </w:p>
    <w:p w14:paraId="67D2873A" w14:textId="77777777" w:rsidR="00A71EEF" w:rsidRDefault="00A71EEF">
      <w:pPr>
        <w:pStyle w:val="a3"/>
        <w:spacing w:before="12"/>
        <w:rPr>
          <w:sz w:val="17"/>
        </w:rPr>
      </w:pPr>
    </w:p>
    <w:p w14:paraId="129AA533" w14:textId="77777777" w:rsidR="00A71EEF" w:rsidRDefault="0081115D">
      <w:pPr>
        <w:pStyle w:val="a3"/>
        <w:ind w:left="418"/>
      </w:pPr>
      <w:r>
        <w:t xml:space="preserve">4 </w:t>
      </w:r>
      <w:r>
        <w:t>倍，且孔径不宜小于</w:t>
      </w:r>
      <w:r>
        <w:t xml:space="preserve"> 3mm</w:t>
      </w:r>
      <w:r>
        <w:t>。</w:t>
      </w:r>
      <w:r>
        <w:t xml:space="preserve"> </w:t>
      </w:r>
    </w:p>
    <w:p w14:paraId="51C042EF" w14:textId="77777777" w:rsidR="00A71EEF" w:rsidRDefault="00A71EEF">
      <w:pPr>
        <w:pStyle w:val="a3"/>
        <w:spacing w:before="2"/>
        <w:rPr>
          <w:sz w:val="18"/>
        </w:rPr>
      </w:pPr>
    </w:p>
    <w:p w14:paraId="57D4A782" w14:textId="77777777" w:rsidR="00A71EEF" w:rsidRDefault="0081115D">
      <w:pPr>
        <w:pStyle w:val="a4"/>
        <w:numPr>
          <w:ilvl w:val="2"/>
          <w:numId w:val="283"/>
        </w:numPr>
        <w:tabs>
          <w:tab w:val="left" w:pos="1478"/>
        </w:tabs>
        <w:ind w:hanging="638"/>
        <w:rPr>
          <w:sz w:val="21"/>
        </w:rPr>
      </w:pPr>
      <w:r>
        <w:rPr>
          <w:spacing w:val="-3"/>
          <w:sz w:val="21"/>
        </w:rPr>
        <w:t>临时高压消防给水系统应采取防止消防水泵低流量空转过热的技术措施。</w:t>
      </w:r>
      <w:r>
        <w:rPr>
          <w:spacing w:val="-3"/>
          <w:sz w:val="21"/>
        </w:rPr>
        <w:t xml:space="preserve"> </w:t>
      </w:r>
    </w:p>
    <w:p w14:paraId="142B1A85" w14:textId="77777777" w:rsidR="00A71EEF" w:rsidRDefault="00A71EEF">
      <w:pPr>
        <w:pStyle w:val="a3"/>
        <w:spacing w:before="12"/>
        <w:rPr>
          <w:sz w:val="17"/>
        </w:rPr>
      </w:pPr>
    </w:p>
    <w:p w14:paraId="54A51032" w14:textId="77777777" w:rsidR="00A71EEF" w:rsidRDefault="0081115D">
      <w:pPr>
        <w:pStyle w:val="a4"/>
        <w:numPr>
          <w:ilvl w:val="2"/>
          <w:numId w:val="283"/>
        </w:numPr>
        <w:tabs>
          <w:tab w:val="left" w:pos="1478"/>
        </w:tabs>
        <w:ind w:hanging="638"/>
        <w:rPr>
          <w:sz w:val="21"/>
        </w:rPr>
      </w:pPr>
      <w:r>
        <w:rPr>
          <w:spacing w:val="-3"/>
          <w:sz w:val="21"/>
        </w:rPr>
        <w:t>消防水泵吸水管和出水管上应设置压力表，并应符合下列规定：</w:t>
      </w:r>
      <w:r>
        <w:rPr>
          <w:sz w:val="21"/>
        </w:rPr>
        <w:t xml:space="preserve"> </w:t>
      </w:r>
    </w:p>
    <w:p w14:paraId="5B6B2AA0" w14:textId="77777777" w:rsidR="00A71EEF" w:rsidRDefault="00A71EEF">
      <w:pPr>
        <w:pStyle w:val="a3"/>
        <w:spacing w:before="12"/>
        <w:rPr>
          <w:sz w:val="17"/>
        </w:rPr>
      </w:pPr>
    </w:p>
    <w:p w14:paraId="394F1B82" w14:textId="77777777" w:rsidR="00A71EEF" w:rsidRDefault="0081115D">
      <w:pPr>
        <w:pStyle w:val="a4"/>
        <w:numPr>
          <w:ilvl w:val="0"/>
          <w:numId w:val="280"/>
        </w:numPr>
        <w:tabs>
          <w:tab w:val="left" w:pos="1367"/>
        </w:tabs>
        <w:rPr>
          <w:sz w:val="21"/>
        </w:rPr>
      </w:pPr>
      <w:r>
        <w:rPr>
          <w:spacing w:val="-5"/>
          <w:sz w:val="21"/>
        </w:rPr>
        <w:t>消防水泵出水管压力表的最大量程不应低于其设计工作压力的</w:t>
      </w:r>
      <w:r>
        <w:rPr>
          <w:spacing w:val="-5"/>
          <w:sz w:val="21"/>
        </w:rPr>
        <w:t xml:space="preserve"> </w:t>
      </w:r>
      <w:r>
        <w:rPr>
          <w:sz w:val="21"/>
        </w:rPr>
        <w:t>2</w:t>
      </w:r>
      <w:r>
        <w:rPr>
          <w:spacing w:val="-8"/>
          <w:sz w:val="21"/>
        </w:rPr>
        <w:t xml:space="preserve"> </w:t>
      </w:r>
      <w:r>
        <w:rPr>
          <w:spacing w:val="-8"/>
          <w:sz w:val="21"/>
        </w:rPr>
        <w:t>倍，且不应低于</w:t>
      </w:r>
    </w:p>
    <w:p w14:paraId="2ADF2CD5" w14:textId="77777777" w:rsidR="00A71EEF" w:rsidRDefault="00A71EEF">
      <w:pPr>
        <w:pStyle w:val="a3"/>
        <w:spacing w:before="2"/>
        <w:rPr>
          <w:sz w:val="18"/>
        </w:rPr>
      </w:pPr>
    </w:p>
    <w:p w14:paraId="4EC7C2B7" w14:textId="77777777" w:rsidR="00A71EEF" w:rsidRDefault="0081115D">
      <w:pPr>
        <w:pStyle w:val="a3"/>
        <w:ind w:left="418"/>
      </w:pPr>
      <w:r>
        <w:t>1.60MPa</w:t>
      </w:r>
      <w:r>
        <w:t>；</w:t>
      </w:r>
      <w:r>
        <w:t xml:space="preserve"> </w:t>
      </w:r>
    </w:p>
    <w:p w14:paraId="6085D06D" w14:textId="77777777" w:rsidR="00A71EEF" w:rsidRDefault="00A71EEF">
      <w:pPr>
        <w:pStyle w:val="a3"/>
        <w:rPr>
          <w:sz w:val="18"/>
        </w:rPr>
      </w:pPr>
    </w:p>
    <w:p w14:paraId="0899DFA9" w14:textId="77777777" w:rsidR="00A71EEF" w:rsidRDefault="0081115D">
      <w:pPr>
        <w:pStyle w:val="a4"/>
        <w:numPr>
          <w:ilvl w:val="0"/>
          <w:numId w:val="280"/>
        </w:numPr>
        <w:tabs>
          <w:tab w:val="left" w:pos="1367"/>
        </w:tabs>
        <w:spacing w:line="446" w:lineRule="auto"/>
        <w:ind w:left="418" w:right="1505" w:firstLine="419"/>
        <w:rPr>
          <w:sz w:val="21"/>
        </w:rPr>
      </w:pPr>
      <w:r>
        <w:rPr>
          <w:spacing w:val="-3"/>
          <w:sz w:val="21"/>
        </w:rPr>
        <w:t>消防水泵吸水管宜设置真空表、压力表或真空压力表，压力表的最大量程应根据工程</w:t>
      </w:r>
      <w:r>
        <w:rPr>
          <w:spacing w:val="-7"/>
          <w:sz w:val="21"/>
        </w:rPr>
        <w:t>具体情况确定，但不应低于</w:t>
      </w:r>
      <w:r>
        <w:rPr>
          <w:spacing w:val="-7"/>
          <w:sz w:val="21"/>
        </w:rPr>
        <w:t xml:space="preserve"> </w:t>
      </w:r>
      <w:r>
        <w:rPr>
          <w:sz w:val="21"/>
        </w:rPr>
        <w:t>0.70MPa</w:t>
      </w:r>
      <w:r>
        <w:rPr>
          <w:spacing w:val="-3"/>
          <w:sz w:val="21"/>
        </w:rPr>
        <w:t>，真空表的最大量程宜为</w:t>
      </w:r>
      <w:r>
        <w:rPr>
          <w:sz w:val="21"/>
        </w:rPr>
        <w:t>-0.10MPa</w:t>
      </w:r>
      <w:r>
        <w:rPr>
          <w:sz w:val="21"/>
        </w:rPr>
        <w:t>；</w:t>
      </w:r>
      <w:r>
        <w:rPr>
          <w:sz w:val="21"/>
        </w:rPr>
        <w:t xml:space="preserve"> </w:t>
      </w:r>
    </w:p>
    <w:p w14:paraId="122605C1" w14:textId="77777777" w:rsidR="00A71EEF" w:rsidRDefault="0081115D">
      <w:pPr>
        <w:pStyle w:val="a4"/>
        <w:numPr>
          <w:ilvl w:val="0"/>
          <w:numId w:val="280"/>
        </w:numPr>
        <w:tabs>
          <w:tab w:val="left" w:pos="1367"/>
        </w:tabs>
        <w:spacing w:line="446" w:lineRule="auto"/>
        <w:ind w:left="418" w:right="1558" w:firstLine="419"/>
        <w:rPr>
          <w:sz w:val="21"/>
        </w:rPr>
      </w:pPr>
      <w:r>
        <w:rPr>
          <w:spacing w:val="-7"/>
          <w:sz w:val="21"/>
        </w:rPr>
        <w:t>压力表的直径不应小于</w:t>
      </w:r>
      <w:r>
        <w:rPr>
          <w:spacing w:val="-7"/>
          <w:sz w:val="21"/>
        </w:rPr>
        <w:t xml:space="preserve"> </w:t>
      </w:r>
      <w:r>
        <w:rPr>
          <w:sz w:val="21"/>
        </w:rPr>
        <w:t>100mm</w:t>
      </w:r>
      <w:r>
        <w:rPr>
          <w:spacing w:val="-7"/>
          <w:sz w:val="21"/>
        </w:rPr>
        <w:t>，应采用直径不小于</w:t>
      </w:r>
      <w:r>
        <w:rPr>
          <w:spacing w:val="-7"/>
          <w:sz w:val="21"/>
        </w:rPr>
        <w:t xml:space="preserve"> </w:t>
      </w:r>
      <w:r>
        <w:rPr>
          <w:sz w:val="21"/>
        </w:rPr>
        <w:t>6mm</w:t>
      </w:r>
      <w:r>
        <w:rPr>
          <w:spacing w:val="-8"/>
          <w:sz w:val="21"/>
        </w:rPr>
        <w:t xml:space="preserve"> </w:t>
      </w:r>
      <w:r>
        <w:rPr>
          <w:spacing w:val="-8"/>
          <w:sz w:val="21"/>
        </w:rPr>
        <w:t>的管道与消防水泵进出口管相</w:t>
      </w:r>
      <w:r>
        <w:rPr>
          <w:spacing w:val="-5"/>
          <w:sz w:val="21"/>
        </w:rPr>
        <w:t>接，并应设置关断阀门。</w:t>
      </w:r>
      <w:r>
        <w:rPr>
          <w:sz w:val="21"/>
        </w:rPr>
        <w:t xml:space="preserve"> </w:t>
      </w:r>
    </w:p>
    <w:p w14:paraId="57B768CC" w14:textId="77777777" w:rsidR="00A71EEF" w:rsidRDefault="0081115D">
      <w:pPr>
        <w:pStyle w:val="a4"/>
        <w:numPr>
          <w:ilvl w:val="1"/>
          <w:numId w:val="279"/>
        </w:numPr>
        <w:tabs>
          <w:tab w:val="left" w:pos="1159"/>
        </w:tabs>
        <w:spacing w:line="267" w:lineRule="exact"/>
        <w:ind w:hanging="319"/>
        <w:rPr>
          <w:sz w:val="21"/>
        </w:rPr>
      </w:pPr>
      <w:r>
        <w:rPr>
          <w:spacing w:val="-3"/>
          <w:sz w:val="21"/>
        </w:rPr>
        <w:t>高位消防水箱</w:t>
      </w:r>
      <w:r>
        <w:rPr>
          <w:sz w:val="21"/>
        </w:rPr>
        <w:t xml:space="preserve"> </w:t>
      </w:r>
    </w:p>
    <w:p w14:paraId="323C2FFA" w14:textId="77777777" w:rsidR="00A71EEF" w:rsidRDefault="00A71EEF">
      <w:pPr>
        <w:pStyle w:val="a3"/>
        <w:spacing w:before="2"/>
        <w:rPr>
          <w:sz w:val="18"/>
        </w:rPr>
      </w:pPr>
    </w:p>
    <w:p w14:paraId="4A0969CE" w14:textId="77777777" w:rsidR="00A71EEF" w:rsidRDefault="0081115D">
      <w:pPr>
        <w:pStyle w:val="a4"/>
        <w:numPr>
          <w:ilvl w:val="2"/>
          <w:numId w:val="279"/>
        </w:numPr>
        <w:tabs>
          <w:tab w:val="left" w:pos="1424"/>
        </w:tabs>
        <w:spacing w:line="446" w:lineRule="auto"/>
        <w:ind w:right="1657" w:firstLine="422"/>
        <w:rPr>
          <w:sz w:val="21"/>
        </w:rPr>
      </w:pPr>
      <w:r>
        <w:rPr>
          <w:spacing w:val="-3"/>
          <w:sz w:val="21"/>
        </w:rPr>
        <w:t>临时高压消防给水系统的高位消防水箱的有效容积应满足初期火灾消防用水量的要求，并应符合下列规定：</w:t>
      </w:r>
      <w:r>
        <w:rPr>
          <w:sz w:val="21"/>
        </w:rPr>
        <w:t xml:space="preserve"> </w:t>
      </w:r>
    </w:p>
    <w:p w14:paraId="662CD176" w14:textId="77777777" w:rsidR="00A71EEF" w:rsidRDefault="0081115D">
      <w:pPr>
        <w:pStyle w:val="a4"/>
        <w:numPr>
          <w:ilvl w:val="0"/>
          <w:numId w:val="278"/>
        </w:numPr>
        <w:tabs>
          <w:tab w:val="left" w:pos="1367"/>
        </w:tabs>
        <w:spacing w:line="439" w:lineRule="auto"/>
        <w:ind w:right="1606" w:firstLine="419"/>
        <w:rPr>
          <w:sz w:val="21"/>
        </w:rPr>
      </w:pPr>
      <w:r>
        <w:rPr>
          <w:spacing w:val="-7"/>
          <w:sz w:val="21"/>
        </w:rPr>
        <w:t>一类高层公共建筑，不应小于</w:t>
      </w:r>
      <w:r>
        <w:rPr>
          <w:spacing w:val="-7"/>
          <w:sz w:val="21"/>
        </w:rPr>
        <w:t xml:space="preserve"> </w:t>
      </w:r>
      <w:r>
        <w:rPr>
          <w:sz w:val="21"/>
        </w:rPr>
        <w:t>36m</w:t>
      </w:r>
      <w:r>
        <w:rPr>
          <w:position w:val="11"/>
          <w:sz w:val="11"/>
        </w:rPr>
        <w:t>3</w:t>
      </w:r>
      <w:r>
        <w:rPr>
          <w:spacing w:val="-8"/>
          <w:sz w:val="21"/>
        </w:rPr>
        <w:t>，但当建筑高度大于</w:t>
      </w:r>
      <w:r>
        <w:rPr>
          <w:spacing w:val="-8"/>
          <w:sz w:val="21"/>
        </w:rPr>
        <w:t xml:space="preserve"> </w:t>
      </w:r>
      <w:r>
        <w:rPr>
          <w:sz w:val="21"/>
        </w:rPr>
        <w:t>100m</w:t>
      </w:r>
      <w:r>
        <w:rPr>
          <w:spacing w:val="-14"/>
          <w:sz w:val="21"/>
        </w:rPr>
        <w:t xml:space="preserve"> </w:t>
      </w:r>
      <w:r>
        <w:rPr>
          <w:spacing w:val="-14"/>
          <w:sz w:val="21"/>
        </w:rPr>
        <w:t>时，不应小于</w:t>
      </w:r>
      <w:r>
        <w:rPr>
          <w:spacing w:val="-14"/>
          <w:sz w:val="21"/>
        </w:rPr>
        <w:t xml:space="preserve"> </w:t>
      </w:r>
      <w:r>
        <w:rPr>
          <w:sz w:val="21"/>
        </w:rPr>
        <w:t>50m</w:t>
      </w:r>
      <w:r>
        <w:rPr>
          <w:position w:val="11"/>
          <w:sz w:val="11"/>
        </w:rPr>
        <w:t>3</w:t>
      </w:r>
      <w:r>
        <w:rPr>
          <w:sz w:val="21"/>
        </w:rPr>
        <w:t>，当</w:t>
      </w:r>
      <w:r>
        <w:rPr>
          <w:spacing w:val="-10"/>
          <w:sz w:val="21"/>
        </w:rPr>
        <w:t>建筑高度大于</w:t>
      </w:r>
      <w:r>
        <w:rPr>
          <w:spacing w:val="-10"/>
          <w:sz w:val="21"/>
        </w:rPr>
        <w:t xml:space="preserve"> </w:t>
      </w:r>
      <w:r>
        <w:rPr>
          <w:sz w:val="21"/>
        </w:rPr>
        <w:t>150m</w:t>
      </w:r>
      <w:r>
        <w:rPr>
          <w:spacing w:val="-17"/>
          <w:sz w:val="21"/>
        </w:rPr>
        <w:t xml:space="preserve"> </w:t>
      </w:r>
      <w:r>
        <w:rPr>
          <w:spacing w:val="-17"/>
          <w:sz w:val="21"/>
        </w:rPr>
        <w:t>时，不应小于</w:t>
      </w:r>
      <w:r>
        <w:rPr>
          <w:spacing w:val="-17"/>
          <w:sz w:val="21"/>
        </w:rPr>
        <w:t xml:space="preserve"> </w:t>
      </w:r>
      <w:r>
        <w:rPr>
          <w:sz w:val="21"/>
        </w:rPr>
        <w:t>100m</w:t>
      </w:r>
      <w:r>
        <w:rPr>
          <w:position w:val="11"/>
          <w:sz w:val="11"/>
        </w:rPr>
        <w:t>3</w:t>
      </w:r>
      <w:r>
        <w:rPr>
          <w:sz w:val="21"/>
        </w:rPr>
        <w:t>；</w:t>
      </w:r>
      <w:r>
        <w:rPr>
          <w:sz w:val="21"/>
        </w:rPr>
        <w:t xml:space="preserve"> </w:t>
      </w:r>
    </w:p>
    <w:p w14:paraId="606C7C99" w14:textId="77777777" w:rsidR="00A71EEF" w:rsidRDefault="00A71EEF">
      <w:pPr>
        <w:spacing w:line="439" w:lineRule="auto"/>
        <w:rPr>
          <w:sz w:val="21"/>
        </w:rPr>
        <w:sectPr w:rsidR="00A71EEF">
          <w:pgSz w:w="11910" w:h="16850"/>
          <w:pgMar w:top="1220" w:right="0" w:bottom="1420" w:left="1260" w:header="0" w:footer="1239" w:gutter="0"/>
          <w:cols w:space="720"/>
        </w:sectPr>
      </w:pPr>
    </w:p>
    <w:p w14:paraId="3CF4E687" w14:textId="77777777" w:rsidR="00A71EEF" w:rsidRDefault="0081115D">
      <w:pPr>
        <w:pStyle w:val="a4"/>
        <w:numPr>
          <w:ilvl w:val="0"/>
          <w:numId w:val="278"/>
        </w:numPr>
        <w:tabs>
          <w:tab w:val="left" w:pos="1367"/>
        </w:tabs>
        <w:spacing w:before="57" w:line="436" w:lineRule="auto"/>
        <w:ind w:right="1503" w:firstLine="419"/>
        <w:rPr>
          <w:sz w:val="21"/>
        </w:rPr>
      </w:pPr>
      <w:r>
        <w:rPr>
          <w:spacing w:val="-4"/>
          <w:sz w:val="21"/>
        </w:rPr>
        <w:t>多层公共建筑、二类高层公共建筑和一类高层住宅，不应小于</w:t>
      </w:r>
      <w:r>
        <w:rPr>
          <w:spacing w:val="-4"/>
          <w:sz w:val="21"/>
        </w:rPr>
        <w:t xml:space="preserve"> </w:t>
      </w:r>
      <w:r>
        <w:rPr>
          <w:sz w:val="21"/>
        </w:rPr>
        <w:t>18m</w:t>
      </w:r>
      <w:r>
        <w:rPr>
          <w:position w:val="11"/>
          <w:sz w:val="11"/>
        </w:rPr>
        <w:t>3</w:t>
      </w:r>
      <w:r>
        <w:rPr>
          <w:spacing w:val="-3"/>
          <w:sz w:val="21"/>
        </w:rPr>
        <w:t>，当一类高层住宅</w:t>
      </w:r>
      <w:r>
        <w:rPr>
          <w:spacing w:val="-11"/>
          <w:sz w:val="21"/>
        </w:rPr>
        <w:t>建筑高度超过</w:t>
      </w:r>
      <w:r>
        <w:rPr>
          <w:spacing w:val="-11"/>
          <w:sz w:val="21"/>
        </w:rPr>
        <w:t xml:space="preserve"> </w:t>
      </w:r>
      <w:r>
        <w:rPr>
          <w:sz w:val="21"/>
        </w:rPr>
        <w:t>100m</w:t>
      </w:r>
      <w:r>
        <w:rPr>
          <w:spacing w:val="-17"/>
          <w:sz w:val="21"/>
        </w:rPr>
        <w:t xml:space="preserve"> </w:t>
      </w:r>
      <w:r>
        <w:rPr>
          <w:spacing w:val="-17"/>
          <w:sz w:val="21"/>
        </w:rPr>
        <w:t>时，不应小于</w:t>
      </w:r>
      <w:r>
        <w:rPr>
          <w:spacing w:val="-17"/>
          <w:sz w:val="21"/>
        </w:rPr>
        <w:t xml:space="preserve"> </w:t>
      </w:r>
      <w:r>
        <w:rPr>
          <w:sz w:val="21"/>
        </w:rPr>
        <w:t>36m</w:t>
      </w:r>
      <w:r>
        <w:rPr>
          <w:position w:val="11"/>
          <w:sz w:val="11"/>
        </w:rPr>
        <w:t>3</w:t>
      </w:r>
      <w:r>
        <w:rPr>
          <w:sz w:val="21"/>
        </w:rPr>
        <w:t>；</w:t>
      </w:r>
      <w:r>
        <w:rPr>
          <w:sz w:val="21"/>
        </w:rPr>
        <w:t xml:space="preserve"> </w:t>
      </w:r>
    </w:p>
    <w:p w14:paraId="1A3CA6EE" w14:textId="77777777" w:rsidR="00A71EEF" w:rsidRDefault="0081115D">
      <w:pPr>
        <w:pStyle w:val="a4"/>
        <w:numPr>
          <w:ilvl w:val="0"/>
          <w:numId w:val="278"/>
        </w:numPr>
        <w:tabs>
          <w:tab w:val="left" w:pos="1367"/>
        </w:tabs>
        <w:spacing w:line="278" w:lineRule="exact"/>
        <w:ind w:left="1367"/>
        <w:rPr>
          <w:sz w:val="21"/>
        </w:rPr>
      </w:pPr>
      <w:r>
        <w:rPr>
          <w:spacing w:val="-8"/>
          <w:sz w:val="21"/>
        </w:rPr>
        <w:t>二类高层住宅，不应小于</w:t>
      </w:r>
      <w:r>
        <w:rPr>
          <w:spacing w:val="-8"/>
          <w:sz w:val="21"/>
        </w:rPr>
        <w:t xml:space="preserve"> </w:t>
      </w:r>
      <w:r>
        <w:rPr>
          <w:sz w:val="21"/>
        </w:rPr>
        <w:t>12m</w:t>
      </w:r>
      <w:r>
        <w:rPr>
          <w:position w:val="11"/>
          <w:sz w:val="11"/>
        </w:rPr>
        <w:t>3</w:t>
      </w:r>
      <w:r>
        <w:rPr>
          <w:sz w:val="21"/>
        </w:rPr>
        <w:t>；</w:t>
      </w:r>
      <w:r>
        <w:rPr>
          <w:sz w:val="21"/>
        </w:rPr>
        <w:t xml:space="preserve"> </w:t>
      </w:r>
    </w:p>
    <w:p w14:paraId="23DCC2CB" w14:textId="77777777" w:rsidR="00A71EEF" w:rsidRDefault="00A71EEF">
      <w:pPr>
        <w:pStyle w:val="a3"/>
        <w:spacing w:before="5"/>
        <w:rPr>
          <w:sz w:val="17"/>
        </w:rPr>
      </w:pPr>
    </w:p>
    <w:p w14:paraId="6729A06A" w14:textId="77777777" w:rsidR="00A71EEF" w:rsidRDefault="0081115D">
      <w:pPr>
        <w:pStyle w:val="a4"/>
        <w:numPr>
          <w:ilvl w:val="0"/>
          <w:numId w:val="278"/>
        </w:numPr>
        <w:tabs>
          <w:tab w:val="left" w:pos="1367"/>
        </w:tabs>
        <w:ind w:left="1367"/>
        <w:rPr>
          <w:sz w:val="21"/>
        </w:rPr>
      </w:pPr>
      <w:r>
        <w:rPr>
          <w:spacing w:val="-11"/>
          <w:sz w:val="21"/>
        </w:rPr>
        <w:t>建筑高度大于</w:t>
      </w:r>
      <w:r>
        <w:rPr>
          <w:spacing w:val="-11"/>
          <w:sz w:val="21"/>
        </w:rPr>
        <w:t xml:space="preserve"> </w:t>
      </w:r>
      <w:r>
        <w:rPr>
          <w:sz w:val="21"/>
        </w:rPr>
        <w:t>21m</w:t>
      </w:r>
      <w:r>
        <w:rPr>
          <w:spacing w:val="-13"/>
          <w:sz w:val="21"/>
        </w:rPr>
        <w:t xml:space="preserve"> </w:t>
      </w:r>
      <w:r>
        <w:rPr>
          <w:spacing w:val="-13"/>
          <w:sz w:val="21"/>
        </w:rPr>
        <w:t>的多层住宅，不应小于</w:t>
      </w:r>
      <w:r>
        <w:rPr>
          <w:spacing w:val="-13"/>
          <w:sz w:val="21"/>
        </w:rPr>
        <w:t xml:space="preserve"> </w:t>
      </w:r>
      <w:r>
        <w:rPr>
          <w:sz w:val="21"/>
        </w:rPr>
        <w:t>6m</w:t>
      </w:r>
      <w:r>
        <w:rPr>
          <w:position w:val="11"/>
          <w:sz w:val="11"/>
        </w:rPr>
        <w:t>3</w:t>
      </w:r>
      <w:r>
        <w:rPr>
          <w:sz w:val="21"/>
        </w:rPr>
        <w:t>；</w:t>
      </w:r>
      <w:r>
        <w:rPr>
          <w:sz w:val="21"/>
        </w:rPr>
        <w:t xml:space="preserve"> </w:t>
      </w:r>
    </w:p>
    <w:p w14:paraId="42FBE4F7" w14:textId="77777777" w:rsidR="00A71EEF" w:rsidRDefault="00A71EEF">
      <w:pPr>
        <w:pStyle w:val="a3"/>
        <w:spacing w:before="2"/>
        <w:rPr>
          <w:sz w:val="17"/>
        </w:rPr>
      </w:pPr>
    </w:p>
    <w:p w14:paraId="548BA521" w14:textId="77777777" w:rsidR="00A71EEF" w:rsidRDefault="0081115D">
      <w:pPr>
        <w:pStyle w:val="a4"/>
        <w:numPr>
          <w:ilvl w:val="0"/>
          <w:numId w:val="278"/>
        </w:numPr>
        <w:tabs>
          <w:tab w:val="left" w:pos="1367"/>
        </w:tabs>
        <w:ind w:left="1367"/>
        <w:rPr>
          <w:sz w:val="21"/>
        </w:rPr>
      </w:pPr>
      <w:r>
        <w:rPr>
          <w:spacing w:val="-6"/>
          <w:sz w:val="21"/>
        </w:rPr>
        <w:t>工业建筑室内消防给水设计流量当小于或等于</w:t>
      </w:r>
      <w:r>
        <w:rPr>
          <w:spacing w:val="-6"/>
          <w:sz w:val="21"/>
        </w:rPr>
        <w:t xml:space="preserve"> </w:t>
      </w:r>
      <w:r>
        <w:rPr>
          <w:sz w:val="21"/>
        </w:rPr>
        <w:t>25L/s</w:t>
      </w:r>
      <w:r>
        <w:rPr>
          <w:spacing w:val="-16"/>
          <w:sz w:val="21"/>
        </w:rPr>
        <w:t xml:space="preserve"> </w:t>
      </w:r>
      <w:r>
        <w:rPr>
          <w:spacing w:val="-16"/>
          <w:sz w:val="21"/>
        </w:rPr>
        <w:t>时，不应小于</w:t>
      </w:r>
      <w:r>
        <w:rPr>
          <w:spacing w:val="-16"/>
          <w:sz w:val="21"/>
        </w:rPr>
        <w:t xml:space="preserve"> </w:t>
      </w:r>
      <w:r>
        <w:rPr>
          <w:sz w:val="21"/>
        </w:rPr>
        <w:t>12m</w:t>
      </w:r>
      <w:r>
        <w:rPr>
          <w:position w:val="11"/>
          <w:sz w:val="11"/>
        </w:rPr>
        <w:t>3</w:t>
      </w:r>
      <w:r>
        <w:rPr>
          <w:spacing w:val="-15"/>
          <w:sz w:val="21"/>
        </w:rPr>
        <w:t>，大于</w:t>
      </w:r>
      <w:r>
        <w:rPr>
          <w:spacing w:val="-15"/>
          <w:sz w:val="21"/>
        </w:rPr>
        <w:t xml:space="preserve"> </w:t>
      </w:r>
      <w:r>
        <w:rPr>
          <w:sz w:val="21"/>
        </w:rPr>
        <w:t>25L/s</w:t>
      </w:r>
    </w:p>
    <w:p w14:paraId="0C4AD52F" w14:textId="77777777" w:rsidR="00A71EEF" w:rsidRDefault="00A71EEF">
      <w:pPr>
        <w:pStyle w:val="a3"/>
        <w:spacing w:before="2"/>
        <w:rPr>
          <w:sz w:val="17"/>
        </w:rPr>
      </w:pPr>
    </w:p>
    <w:p w14:paraId="2DE118A8" w14:textId="77777777" w:rsidR="00A71EEF" w:rsidRDefault="0081115D">
      <w:pPr>
        <w:pStyle w:val="a3"/>
        <w:spacing w:before="1"/>
        <w:ind w:left="418"/>
      </w:pPr>
      <w:r>
        <w:t>时不应小于</w:t>
      </w:r>
      <w:r>
        <w:t xml:space="preserve"> 18m</w:t>
      </w:r>
      <w:r>
        <w:rPr>
          <w:position w:val="11"/>
          <w:sz w:val="11"/>
        </w:rPr>
        <w:t>3</w:t>
      </w:r>
      <w:r>
        <w:t>；</w:t>
      </w:r>
      <w:r>
        <w:t xml:space="preserve"> </w:t>
      </w:r>
    </w:p>
    <w:p w14:paraId="2F7BC1CB" w14:textId="77777777" w:rsidR="00A71EEF" w:rsidRDefault="00A71EEF">
      <w:pPr>
        <w:pStyle w:val="a3"/>
        <w:spacing w:before="4"/>
        <w:rPr>
          <w:sz w:val="17"/>
        </w:rPr>
      </w:pPr>
    </w:p>
    <w:p w14:paraId="39C65DA4" w14:textId="77777777" w:rsidR="00A71EEF" w:rsidRDefault="0081115D">
      <w:pPr>
        <w:pStyle w:val="a4"/>
        <w:numPr>
          <w:ilvl w:val="0"/>
          <w:numId w:val="278"/>
        </w:numPr>
        <w:tabs>
          <w:tab w:val="left" w:pos="1367"/>
        </w:tabs>
        <w:spacing w:line="436" w:lineRule="auto"/>
        <w:ind w:right="1445" w:firstLine="419"/>
        <w:rPr>
          <w:sz w:val="21"/>
        </w:rPr>
      </w:pPr>
      <w:r>
        <w:rPr>
          <w:spacing w:val="-9"/>
          <w:sz w:val="21"/>
        </w:rPr>
        <w:t>总建筑面积大于</w:t>
      </w:r>
      <w:r>
        <w:rPr>
          <w:spacing w:val="-9"/>
          <w:sz w:val="21"/>
        </w:rPr>
        <w:t xml:space="preserve"> </w:t>
      </w:r>
      <w:r>
        <w:rPr>
          <w:sz w:val="21"/>
        </w:rPr>
        <w:t>10000m</w:t>
      </w:r>
      <w:r>
        <w:rPr>
          <w:position w:val="11"/>
          <w:sz w:val="11"/>
        </w:rPr>
        <w:t>2</w:t>
      </w:r>
      <w:r>
        <w:rPr>
          <w:spacing w:val="-25"/>
          <w:position w:val="11"/>
          <w:sz w:val="11"/>
        </w:rPr>
        <w:t xml:space="preserve"> </w:t>
      </w:r>
      <w:r>
        <w:rPr>
          <w:spacing w:val="-13"/>
          <w:sz w:val="21"/>
        </w:rPr>
        <w:t>且小于</w:t>
      </w:r>
      <w:r>
        <w:rPr>
          <w:spacing w:val="-13"/>
          <w:sz w:val="21"/>
        </w:rPr>
        <w:t xml:space="preserve"> </w:t>
      </w:r>
      <w:r>
        <w:rPr>
          <w:sz w:val="21"/>
        </w:rPr>
        <w:t>30000m</w:t>
      </w:r>
      <w:r>
        <w:rPr>
          <w:position w:val="11"/>
          <w:sz w:val="11"/>
        </w:rPr>
        <w:t>2</w:t>
      </w:r>
      <w:r>
        <w:rPr>
          <w:spacing w:val="-28"/>
          <w:position w:val="11"/>
          <w:sz w:val="11"/>
        </w:rPr>
        <w:t xml:space="preserve"> </w:t>
      </w:r>
      <w:r>
        <w:rPr>
          <w:spacing w:val="-7"/>
          <w:sz w:val="21"/>
        </w:rPr>
        <w:t>的商店建筑，不应小于</w:t>
      </w:r>
      <w:r>
        <w:rPr>
          <w:spacing w:val="-7"/>
          <w:sz w:val="21"/>
        </w:rPr>
        <w:t xml:space="preserve"> </w:t>
      </w:r>
      <w:r>
        <w:rPr>
          <w:sz w:val="21"/>
        </w:rPr>
        <w:t>36m</w:t>
      </w:r>
      <w:r>
        <w:rPr>
          <w:position w:val="11"/>
          <w:sz w:val="11"/>
        </w:rPr>
        <w:t>3</w:t>
      </w:r>
      <w:r>
        <w:rPr>
          <w:spacing w:val="-3"/>
          <w:sz w:val="21"/>
        </w:rPr>
        <w:t>，总建筑面积大于</w:t>
      </w:r>
      <w:r>
        <w:rPr>
          <w:spacing w:val="-3"/>
          <w:sz w:val="21"/>
        </w:rPr>
        <w:t>30000m</w:t>
      </w:r>
      <w:r>
        <w:rPr>
          <w:spacing w:val="-3"/>
          <w:position w:val="11"/>
          <w:sz w:val="11"/>
        </w:rPr>
        <w:t>2</w:t>
      </w:r>
      <w:r>
        <w:rPr>
          <w:spacing w:val="-31"/>
          <w:position w:val="11"/>
          <w:sz w:val="11"/>
        </w:rPr>
        <w:t xml:space="preserve"> </w:t>
      </w:r>
      <w:r>
        <w:rPr>
          <w:spacing w:val="-9"/>
          <w:sz w:val="21"/>
        </w:rPr>
        <w:t>的商店，不应小于</w:t>
      </w:r>
      <w:r>
        <w:rPr>
          <w:spacing w:val="-9"/>
          <w:sz w:val="21"/>
        </w:rPr>
        <w:t xml:space="preserve"> </w:t>
      </w:r>
      <w:r>
        <w:rPr>
          <w:sz w:val="21"/>
        </w:rPr>
        <w:t>50m</w:t>
      </w:r>
      <w:r>
        <w:rPr>
          <w:position w:val="11"/>
          <w:sz w:val="11"/>
        </w:rPr>
        <w:t>3</w:t>
      </w:r>
      <w:r>
        <w:rPr>
          <w:spacing w:val="-10"/>
          <w:sz w:val="21"/>
        </w:rPr>
        <w:t>，当与本条第</w:t>
      </w:r>
      <w:r>
        <w:rPr>
          <w:spacing w:val="-10"/>
          <w:sz w:val="21"/>
        </w:rPr>
        <w:t xml:space="preserve"> </w:t>
      </w:r>
      <w:r>
        <w:rPr>
          <w:sz w:val="21"/>
        </w:rPr>
        <w:t>1</w:t>
      </w:r>
      <w:r>
        <w:rPr>
          <w:spacing w:val="-9"/>
          <w:sz w:val="21"/>
        </w:rPr>
        <w:t xml:space="preserve"> </w:t>
      </w:r>
      <w:r>
        <w:rPr>
          <w:spacing w:val="-9"/>
          <w:sz w:val="21"/>
        </w:rPr>
        <w:t>款规定不一致时应取其较大值。</w:t>
      </w:r>
      <w:r>
        <w:rPr>
          <w:spacing w:val="-9"/>
          <w:sz w:val="21"/>
        </w:rPr>
        <w:t xml:space="preserve"> </w:t>
      </w:r>
    </w:p>
    <w:p w14:paraId="0A032EB4" w14:textId="77777777" w:rsidR="00A71EEF" w:rsidRDefault="0081115D">
      <w:pPr>
        <w:pStyle w:val="a4"/>
        <w:numPr>
          <w:ilvl w:val="2"/>
          <w:numId w:val="279"/>
        </w:numPr>
        <w:tabs>
          <w:tab w:val="left" w:pos="1371"/>
        </w:tabs>
        <w:spacing w:before="10" w:line="446" w:lineRule="auto"/>
        <w:ind w:right="1604" w:firstLine="422"/>
        <w:rPr>
          <w:sz w:val="21"/>
        </w:rPr>
      </w:pPr>
      <w:r>
        <w:rPr>
          <w:spacing w:val="-3"/>
          <w:sz w:val="21"/>
        </w:rPr>
        <w:t>高位消防水箱的设置位置应高于其所服务的水灭火设施，且最低有效水位应满足水灭火设施最不利点处的静水压力，并应按下列规定确定：</w:t>
      </w:r>
      <w:r>
        <w:rPr>
          <w:sz w:val="21"/>
        </w:rPr>
        <w:t xml:space="preserve"> </w:t>
      </w:r>
    </w:p>
    <w:p w14:paraId="372365DD" w14:textId="77777777" w:rsidR="00A71EEF" w:rsidRDefault="0081115D">
      <w:pPr>
        <w:pStyle w:val="a4"/>
        <w:numPr>
          <w:ilvl w:val="0"/>
          <w:numId w:val="277"/>
        </w:numPr>
        <w:tabs>
          <w:tab w:val="left" w:pos="1367"/>
        </w:tabs>
        <w:rPr>
          <w:sz w:val="21"/>
        </w:rPr>
      </w:pPr>
      <w:r>
        <w:rPr>
          <w:spacing w:val="-7"/>
          <w:sz w:val="21"/>
        </w:rPr>
        <w:t>一类高层公共建筑，不应低于</w:t>
      </w:r>
      <w:r>
        <w:rPr>
          <w:spacing w:val="-7"/>
          <w:sz w:val="21"/>
        </w:rPr>
        <w:t xml:space="preserve"> </w:t>
      </w:r>
      <w:r>
        <w:rPr>
          <w:sz w:val="21"/>
        </w:rPr>
        <w:t>0.10MPa</w:t>
      </w:r>
      <w:r>
        <w:rPr>
          <w:spacing w:val="-8"/>
          <w:sz w:val="21"/>
        </w:rPr>
        <w:t>，但当建筑高度超过</w:t>
      </w:r>
      <w:r>
        <w:rPr>
          <w:spacing w:val="-8"/>
          <w:sz w:val="21"/>
        </w:rPr>
        <w:t xml:space="preserve"> </w:t>
      </w:r>
      <w:r>
        <w:rPr>
          <w:sz w:val="21"/>
        </w:rPr>
        <w:t>100m</w:t>
      </w:r>
      <w:r>
        <w:rPr>
          <w:spacing w:val="-10"/>
          <w:sz w:val="21"/>
        </w:rPr>
        <w:t xml:space="preserve"> </w:t>
      </w:r>
      <w:r>
        <w:rPr>
          <w:spacing w:val="-10"/>
          <w:sz w:val="21"/>
        </w:rPr>
        <w:t>时，不应低于</w:t>
      </w:r>
    </w:p>
    <w:p w14:paraId="6407AB25" w14:textId="77777777" w:rsidR="00A71EEF" w:rsidRDefault="00A71EEF">
      <w:pPr>
        <w:pStyle w:val="a3"/>
        <w:spacing w:before="12"/>
        <w:rPr>
          <w:sz w:val="17"/>
        </w:rPr>
      </w:pPr>
    </w:p>
    <w:p w14:paraId="153D9ECF" w14:textId="77777777" w:rsidR="00A71EEF" w:rsidRDefault="0081115D">
      <w:pPr>
        <w:pStyle w:val="a3"/>
        <w:ind w:left="418"/>
      </w:pPr>
      <w:r>
        <w:t>0.15MPa</w:t>
      </w:r>
      <w:r>
        <w:t>；</w:t>
      </w:r>
      <w:r>
        <w:t xml:space="preserve"> </w:t>
      </w:r>
    </w:p>
    <w:p w14:paraId="7802220B" w14:textId="77777777" w:rsidR="00A71EEF" w:rsidRDefault="00A71EEF">
      <w:pPr>
        <w:pStyle w:val="a3"/>
        <w:spacing w:before="2"/>
        <w:rPr>
          <w:sz w:val="18"/>
        </w:rPr>
      </w:pPr>
    </w:p>
    <w:p w14:paraId="04E0FEB4" w14:textId="77777777" w:rsidR="00A71EEF" w:rsidRDefault="0081115D">
      <w:pPr>
        <w:pStyle w:val="a4"/>
        <w:numPr>
          <w:ilvl w:val="0"/>
          <w:numId w:val="277"/>
        </w:numPr>
        <w:tabs>
          <w:tab w:val="left" w:pos="1367"/>
        </w:tabs>
        <w:spacing w:line="446" w:lineRule="auto"/>
        <w:ind w:left="418" w:right="1558" w:firstLine="419"/>
        <w:rPr>
          <w:sz w:val="21"/>
        </w:rPr>
      </w:pPr>
      <w:r>
        <w:rPr>
          <w:spacing w:val="-4"/>
          <w:sz w:val="21"/>
        </w:rPr>
        <w:t>高层住宅、二类高层公共建筑、多层公共建筑，不应低于</w:t>
      </w:r>
      <w:r>
        <w:rPr>
          <w:spacing w:val="-4"/>
          <w:sz w:val="21"/>
        </w:rPr>
        <w:t xml:space="preserve"> </w:t>
      </w:r>
      <w:r>
        <w:rPr>
          <w:sz w:val="21"/>
        </w:rPr>
        <w:t>0.07MPa</w:t>
      </w:r>
      <w:r>
        <w:rPr>
          <w:spacing w:val="-3"/>
          <w:sz w:val="21"/>
        </w:rPr>
        <w:t>，多层住宅不宜低</w:t>
      </w:r>
      <w:r>
        <w:rPr>
          <w:spacing w:val="-29"/>
          <w:sz w:val="21"/>
        </w:rPr>
        <w:t>于</w:t>
      </w:r>
      <w:r>
        <w:rPr>
          <w:spacing w:val="-29"/>
          <w:sz w:val="21"/>
        </w:rPr>
        <w:t xml:space="preserve"> </w:t>
      </w:r>
      <w:r>
        <w:rPr>
          <w:sz w:val="21"/>
        </w:rPr>
        <w:t>0.07MPa</w:t>
      </w:r>
      <w:r>
        <w:rPr>
          <w:sz w:val="21"/>
        </w:rPr>
        <w:t>；</w:t>
      </w:r>
      <w:r>
        <w:rPr>
          <w:sz w:val="21"/>
        </w:rPr>
        <w:t xml:space="preserve"> </w:t>
      </w:r>
    </w:p>
    <w:p w14:paraId="4697F8DC" w14:textId="77777777" w:rsidR="00A71EEF" w:rsidRDefault="0081115D">
      <w:pPr>
        <w:pStyle w:val="a4"/>
        <w:numPr>
          <w:ilvl w:val="0"/>
          <w:numId w:val="277"/>
        </w:numPr>
        <w:tabs>
          <w:tab w:val="left" w:pos="1367"/>
        </w:tabs>
        <w:spacing w:line="446" w:lineRule="auto"/>
        <w:ind w:left="838" w:right="1817" w:firstLine="0"/>
        <w:rPr>
          <w:sz w:val="21"/>
        </w:rPr>
      </w:pPr>
      <w:r>
        <w:rPr>
          <w:spacing w:val="-3"/>
          <w:sz w:val="21"/>
        </w:rPr>
        <w:t>工业建筑不应低于</w:t>
      </w:r>
      <w:r>
        <w:rPr>
          <w:spacing w:val="-3"/>
          <w:sz w:val="21"/>
        </w:rPr>
        <w:t xml:space="preserve"> </w:t>
      </w:r>
      <w:r>
        <w:rPr>
          <w:sz w:val="21"/>
        </w:rPr>
        <w:t>0.10MPa</w:t>
      </w:r>
      <w:r>
        <w:rPr>
          <w:spacing w:val="-3"/>
          <w:sz w:val="21"/>
        </w:rPr>
        <w:t>，当建筑体积小于</w:t>
      </w:r>
      <w:r>
        <w:rPr>
          <w:spacing w:val="-3"/>
          <w:sz w:val="21"/>
        </w:rPr>
        <w:t xml:space="preserve"> </w:t>
      </w:r>
      <w:r>
        <w:rPr>
          <w:sz w:val="21"/>
        </w:rPr>
        <w:t>20000m</w:t>
      </w:r>
      <w:r>
        <w:rPr>
          <w:position w:val="11"/>
          <w:sz w:val="11"/>
        </w:rPr>
        <w:t>3</w:t>
      </w:r>
      <w:r>
        <w:rPr>
          <w:spacing w:val="24"/>
          <w:position w:val="11"/>
          <w:sz w:val="11"/>
        </w:rPr>
        <w:t xml:space="preserve"> </w:t>
      </w:r>
      <w:r>
        <w:rPr>
          <w:spacing w:val="-2"/>
          <w:sz w:val="21"/>
        </w:rPr>
        <w:t>时，不宜低于</w:t>
      </w:r>
      <w:r>
        <w:rPr>
          <w:spacing w:val="-2"/>
          <w:sz w:val="21"/>
        </w:rPr>
        <w:t xml:space="preserve"> </w:t>
      </w:r>
      <w:r>
        <w:rPr>
          <w:sz w:val="21"/>
        </w:rPr>
        <w:t>0.07MPa</w:t>
      </w:r>
      <w:r>
        <w:rPr>
          <w:sz w:val="21"/>
        </w:rPr>
        <w:t>；</w:t>
      </w:r>
      <w:r>
        <w:rPr>
          <w:sz w:val="21"/>
        </w:rPr>
        <w:t xml:space="preserve"> 4</w:t>
      </w:r>
      <w:r>
        <w:rPr>
          <w:spacing w:val="-3"/>
          <w:sz w:val="21"/>
        </w:rPr>
        <w:t xml:space="preserve"> </w:t>
      </w:r>
      <w:r>
        <w:rPr>
          <w:spacing w:val="-3"/>
          <w:sz w:val="21"/>
        </w:rPr>
        <w:t>自动喷水灭火系统等自动水灭火系统应根据喷头灭火需求压力确定，但最小不应小于</w:t>
      </w:r>
    </w:p>
    <w:p w14:paraId="4F32F5F9" w14:textId="77777777" w:rsidR="00A71EEF" w:rsidRDefault="0081115D">
      <w:pPr>
        <w:pStyle w:val="a3"/>
        <w:ind w:left="418"/>
      </w:pPr>
      <w:r>
        <w:t>0.10MPa</w:t>
      </w:r>
      <w:r>
        <w:t>；</w:t>
      </w:r>
      <w:r>
        <w:t xml:space="preserve"> </w:t>
      </w:r>
    </w:p>
    <w:p w14:paraId="71133A6E" w14:textId="77777777" w:rsidR="00A71EEF" w:rsidRDefault="00A71EEF">
      <w:pPr>
        <w:pStyle w:val="a3"/>
        <w:rPr>
          <w:sz w:val="17"/>
        </w:rPr>
      </w:pPr>
    </w:p>
    <w:p w14:paraId="09B57A29" w14:textId="77777777" w:rsidR="00A71EEF" w:rsidRDefault="0081115D">
      <w:pPr>
        <w:pStyle w:val="a3"/>
        <w:spacing w:line="446" w:lineRule="auto"/>
        <w:ind w:left="840" w:right="2130" w:hanging="3"/>
      </w:pPr>
      <w:r>
        <w:t>（</w:t>
      </w:r>
      <w:r>
        <w:t>5</w:t>
      </w:r>
      <w:r>
        <w:t>）当高位消防水箱不能满足本条第</w:t>
      </w:r>
      <w:r>
        <w:t xml:space="preserve"> 1 </w:t>
      </w:r>
      <w:r>
        <w:t>款～第</w:t>
      </w:r>
      <w:r>
        <w:t xml:space="preserve"> 4 </w:t>
      </w:r>
      <w:r>
        <w:t>款的静压要求时，应设稳压泵。</w:t>
      </w:r>
      <w:r>
        <w:rPr>
          <w:b/>
        </w:rPr>
        <w:t xml:space="preserve">5.2.3 </w:t>
      </w:r>
      <w:r>
        <w:t>高位消防水箱可采用热浸锌镀锌钢板、钢筋混凝土、不锈钢板等建造。</w:t>
      </w:r>
      <w:r>
        <w:t xml:space="preserve"> </w:t>
      </w:r>
    </w:p>
    <w:p w14:paraId="121C3576" w14:textId="77777777" w:rsidR="00A71EEF" w:rsidRDefault="0081115D">
      <w:pPr>
        <w:pStyle w:val="a4"/>
        <w:numPr>
          <w:ilvl w:val="2"/>
          <w:numId w:val="276"/>
        </w:numPr>
        <w:tabs>
          <w:tab w:val="left" w:pos="1370"/>
        </w:tabs>
        <w:spacing w:before="1"/>
        <w:ind w:hanging="530"/>
        <w:rPr>
          <w:sz w:val="21"/>
        </w:rPr>
      </w:pPr>
      <w:r>
        <w:rPr>
          <w:spacing w:val="-3"/>
          <w:sz w:val="21"/>
        </w:rPr>
        <w:t>高位消防水箱的设置应符合下列规定：</w:t>
      </w:r>
      <w:r>
        <w:rPr>
          <w:sz w:val="21"/>
        </w:rPr>
        <w:t xml:space="preserve"> </w:t>
      </w:r>
    </w:p>
    <w:p w14:paraId="5F3BBD0B" w14:textId="77777777" w:rsidR="00A71EEF" w:rsidRDefault="00A71EEF">
      <w:pPr>
        <w:pStyle w:val="a3"/>
        <w:spacing w:before="12"/>
        <w:rPr>
          <w:sz w:val="17"/>
        </w:rPr>
      </w:pPr>
    </w:p>
    <w:p w14:paraId="11D02C49" w14:textId="77777777" w:rsidR="00A71EEF" w:rsidRDefault="0081115D">
      <w:pPr>
        <w:pStyle w:val="a4"/>
        <w:numPr>
          <w:ilvl w:val="0"/>
          <w:numId w:val="275"/>
        </w:numPr>
        <w:tabs>
          <w:tab w:val="left" w:pos="1367"/>
        </w:tabs>
        <w:spacing w:line="446" w:lineRule="auto"/>
        <w:ind w:right="1505" w:firstLine="419"/>
        <w:rPr>
          <w:sz w:val="21"/>
        </w:rPr>
      </w:pPr>
      <w:r>
        <w:rPr>
          <w:spacing w:val="-3"/>
          <w:sz w:val="21"/>
        </w:rPr>
        <w:t>当高位消防水箱在屋顶露天设置时，水箱的人孔以及进出水管的阀门等应采取锁具或阀门箱等保护措施；</w:t>
      </w:r>
      <w:r>
        <w:rPr>
          <w:sz w:val="21"/>
        </w:rPr>
        <w:t xml:space="preserve"> </w:t>
      </w:r>
    </w:p>
    <w:p w14:paraId="7A3FA576" w14:textId="77777777" w:rsidR="00A71EEF" w:rsidRDefault="0081115D">
      <w:pPr>
        <w:pStyle w:val="a4"/>
        <w:numPr>
          <w:ilvl w:val="0"/>
          <w:numId w:val="275"/>
        </w:numPr>
        <w:tabs>
          <w:tab w:val="left" w:pos="1367"/>
        </w:tabs>
        <w:spacing w:line="446" w:lineRule="auto"/>
        <w:ind w:right="1505" w:firstLine="419"/>
        <w:rPr>
          <w:sz w:val="21"/>
        </w:rPr>
      </w:pPr>
      <w:r>
        <w:rPr>
          <w:spacing w:val="-3"/>
          <w:sz w:val="21"/>
        </w:rPr>
        <w:t>严寒、寒冷等冬季冰冻地区的消防水箱应设置在消防水箱间内，其他地区宜设置在室内，当必须在屋顶露天设置时，应采取防冻隔热等安全措施；</w:t>
      </w:r>
      <w:r>
        <w:rPr>
          <w:sz w:val="21"/>
        </w:rPr>
        <w:t xml:space="preserve"> </w:t>
      </w:r>
    </w:p>
    <w:p w14:paraId="76BBA1DD" w14:textId="77777777" w:rsidR="00A71EEF" w:rsidRDefault="0081115D">
      <w:pPr>
        <w:pStyle w:val="a4"/>
        <w:numPr>
          <w:ilvl w:val="0"/>
          <w:numId w:val="275"/>
        </w:numPr>
        <w:tabs>
          <w:tab w:val="left" w:pos="1367"/>
        </w:tabs>
        <w:ind w:left="1367"/>
        <w:rPr>
          <w:sz w:val="21"/>
        </w:rPr>
      </w:pPr>
      <w:r>
        <w:rPr>
          <w:spacing w:val="-3"/>
          <w:sz w:val="21"/>
        </w:rPr>
        <w:t>高位消防水箱与基础应牢固连接。</w:t>
      </w:r>
      <w:r>
        <w:rPr>
          <w:sz w:val="21"/>
        </w:rPr>
        <w:t xml:space="preserve"> </w:t>
      </w:r>
    </w:p>
    <w:p w14:paraId="173DA12F" w14:textId="77777777" w:rsidR="00A71EEF" w:rsidRDefault="00A71EEF">
      <w:pPr>
        <w:pStyle w:val="a3"/>
        <w:rPr>
          <w:sz w:val="18"/>
        </w:rPr>
      </w:pPr>
    </w:p>
    <w:p w14:paraId="325D5254" w14:textId="77777777" w:rsidR="00A71EEF" w:rsidRDefault="0081115D">
      <w:pPr>
        <w:pStyle w:val="a4"/>
        <w:numPr>
          <w:ilvl w:val="2"/>
          <w:numId w:val="276"/>
        </w:numPr>
        <w:tabs>
          <w:tab w:val="left" w:pos="1370"/>
        </w:tabs>
        <w:spacing w:line="446" w:lineRule="auto"/>
        <w:ind w:left="418" w:right="1604" w:firstLine="422"/>
        <w:rPr>
          <w:sz w:val="21"/>
        </w:rPr>
      </w:pPr>
      <w:r>
        <w:rPr>
          <w:spacing w:val="-3"/>
          <w:sz w:val="21"/>
        </w:rPr>
        <w:t>高位消防水箱间应通风良好，不应结冰，当必须设置在严寒、寒冷等冬季结冰地区</w:t>
      </w:r>
      <w:r>
        <w:rPr>
          <w:spacing w:val="-5"/>
          <w:sz w:val="21"/>
        </w:rPr>
        <w:t>的非采暖房间时，应采取防冻措施，环境温度或水温不应低于</w:t>
      </w:r>
      <w:r>
        <w:rPr>
          <w:spacing w:val="-5"/>
          <w:sz w:val="21"/>
        </w:rPr>
        <w:t xml:space="preserve"> </w:t>
      </w:r>
      <w:r>
        <w:rPr>
          <w:sz w:val="21"/>
        </w:rPr>
        <w:t>5</w:t>
      </w:r>
      <w:r>
        <w:rPr>
          <w:spacing w:val="-2"/>
          <w:sz w:val="21"/>
        </w:rPr>
        <w:t>℃</w:t>
      </w:r>
      <w:r>
        <w:rPr>
          <w:spacing w:val="-2"/>
          <w:sz w:val="21"/>
        </w:rPr>
        <w:t>。</w:t>
      </w:r>
      <w:r>
        <w:rPr>
          <w:sz w:val="21"/>
        </w:rPr>
        <w:t xml:space="preserve"> </w:t>
      </w:r>
    </w:p>
    <w:p w14:paraId="412C3A94" w14:textId="77777777" w:rsidR="00A71EEF" w:rsidRDefault="0081115D">
      <w:pPr>
        <w:pStyle w:val="a4"/>
        <w:numPr>
          <w:ilvl w:val="2"/>
          <w:numId w:val="276"/>
        </w:numPr>
        <w:tabs>
          <w:tab w:val="left" w:pos="1370"/>
        </w:tabs>
        <w:ind w:hanging="530"/>
        <w:rPr>
          <w:sz w:val="21"/>
        </w:rPr>
      </w:pPr>
      <w:r>
        <w:rPr>
          <w:spacing w:val="-3"/>
          <w:sz w:val="21"/>
        </w:rPr>
        <w:t>高位消防水箱应符合下列规定：</w:t>
      </w:r>
      <w:r>
        <w:rPr>
          <w:sz w:val="21"/>
        </w:rPr>
        <w:t xml:space="preserve"> </w:t>
      </w:r>
    </w:p>
    <w:p w14:paraId="58D02657" w14:textId="77777777" w:rsidR="00A71EEF" w:rsidRDefault="00A71EEF">
      <w:pPr>
        <w:rPr>
          <w:sz w:val="21"/>
        </w:rPr>
        <w:sectPr w:rsidR="00A71EEF">
          <w:pgSz w:w="11910" w:h="16850"/>
          <w:pgMar w:top="1200" w:right="0" w:bottom="1420" w:left="1260" w:header="0" w:footer="1239" w:gutter="0"/>
          <w:cols w:space="720"/>
        </w:sectPr>
      </w:pPr>
    </w:p>
    <w:p w14:paraId="445BCAFF" w14:textId="77777777" w:rsidR="00A71EEF" w:rsidRDefault="0081115D">
      <w:pPr>
        <w:pStyle w:val="a4"/>
        <w:numPr>
          <w:ilvl w:val="0"/>
          <w:numId w:val="274"/>
        </w:numPr>
        <w:tabs>
          <w:tab w:val="left" w:pos="1367"/>
        </w:tabs>
        <w:spacing w:before="47"/>
        <w:rPr>
          <w:sz w:val="21"/>
        </w:rPr>
      </w:pPr>
      <w:r>
        <w:rPr>
          <w:spacing w:val="-5"/>
          <w:sz w:val="21"/>
        </w:rPr>
        <w:t>高位消防水箱的有效容积、出水、排水和水位等，应符合本规范第</w:t>
      </w:r>
      <w:r>
        <w:rPr>
          <w:spacing w:val="-5"/>
          <w:sz w:val="21"/>
        </w:rPr>
        <w:t xml:space="preserve"> </w:t>
      </w:r>
      <w:r>
        <w:rPr>
          <w:sz w:val="21"/>
        </w:rPr>
        <w:t>4.3.8</w:t>
      </w:r>
      <w:r>
        <w:rPr>
          <w:spacing w:val="-15"/>
          <w:sz w:val="21"/>
        </w:rPr>
        <w:t xml:space="preserve"> </w:t>
      </w:r>
      <w:r>
        <w:rPr>
          <w:spacing w:val="-15"/>
          <w:sz w:val="21"/>
        </w:rPr>
        <w:t>条和第</w:t>
      </w:r>
    </w:p>
    <w:p w14:paraId="108767FD" w14:textId="77777777" w:rsidR="00A71EEF" w:rsidRDefault="00A71EEF">
      <w:pPr>
        <w:pStyle w:val="a3"/>
        <w:rPr>
          <w:sz w:val="18"/>
        </w:rPr>
      </w:pPr>
    </w:p>
    <w:p w14:paraId="35AD1619" w14:textId="77777777" w:rsidR="00A71EEF" w:rsidRDefault="0081115D">
      <w:pPr>
        <w:pStyle w:val="a3"/>
        <w:ind w:left="418"/>
        <w:jc w:val="both"/>
      </w:pPr>
      <w:r>
        <w:t xml:space="preserve">4.3.9 </w:t>
      </w:r>
      <w:r>
        <w:t>条的规定；</w:t>
      </w:r>
      <w:r>
        <w:t xml:space="preserve"> </w:t>
      </w:r>
    </w:p>
    <w:p w14:paraId="4C3597F8" w14:textId="77777777" w:rsidR="00A71EEF" w:rsidRDefault="00A71EEF">
      <w:pPr>
        <w:pStyle w:val="a3"/>
        <w:rPr>
          <w:sz w:val="18"/>
        </w:rPr>
      </w:pPr>
    </w:p>
    <w:p w14:paraId="3F13EB99" w14:textId="77777777" w:rsidR="00A71EEF" w:rsidRDefault="0081115D">
      <w:pPr>
        <w:pStyle w:val="a4"/>
        <w:numPr>
          <w:ilvl w:val="0"/>
          <w:numId w:val="274"/>
        </w:numPr>
        <w:tabs>
          <w:tab w:val="left" w:pos="1367"/>
        </w:tabs>
        <w:spacing w:line="446" w:lineRule="auto"/>
        <w:ind w:left="418" w:right="1503" w:firstLine="419"/>
        <w:jc w:val="both"/>
        <w:rPr>
          <w:sz w:val="21"/>
        </w:rPr>
      </w:pPr>
      <w:r>
        <w:rPr>
          <w:spacing w:val="-3"/>
          <w:sz w:val="21"/>
        </w:rPr>
        <w:t>高位消防水箱的最低有效水位应根据出水管喇叭口和防止旋流器的淹没深度确定，当</w:t>
      </w:r>
      <w:r>
        <w:rPr>
          <w:spacing w:val="-6"/>
          <w:sz w:val="21"/>
        </w:rPr>
        <w:t>采用出水管喇叭口时，应符合本规范第</w:t>
      </w:r>
      <w:r>
        <w:rPr>
          <w:spacing w:val="-6"/>
          <w:sz w:val="21"/>
        </w:rPr>
        <w:t xml:space="preserve"> </w:t>
      </w:r>
      <w:r>
        <w:rPr>
          <w:sz w:val="21"/>
        </w:rPr>
        <w:t>5.1.13</w:t>
      </w:r>
      <w:r>
        <w:rPr>
          <w:spacing w:val="-23"/>
          <w:sz w:val="21"/>
        </w:rPr>
        <w:t xml:space="preserve"> </w:t>
      </w:r>
      <w:r>
        <w:rPr>
          <w:spacing w:val="-23"/>
          <w:sz w:val="21"/>
        </w:rPr>
        <w:t>条第</w:t>
      </w:r>
      <w:r>
        <w:rPr>
          <w:spacing w:val="-23"/>
          <w:sz w:val="21"/>
        </w:rPr>
        <w:t xml:space="preserve"> </w:t>
      </w:r>
      <w:r>
        <w:rPr>
          <w:sz w:val="21"/>
        </w:rPr>
        <w:t>4</w:t>
      </w:r>
      <w:r>
        <w:rPr>
          <w:spacing w:val="-8"/>
          <w:sz w:val="21"/>
        </w:rPr>
        <w:t xml:space="preserve"> </w:t>
      </w:r>
      <w:r>
        <w:rPr>
          <w:spacing w:val="-8"/>
          <w:sz w:val="21"/>
        </w:rPr>
        <w:t>款的规定；当采用防止旋流器时应根据产</w:t>
      </w:r>
      <w:r>
        <w:rPr>
          <w:spacing w:val="-10"/>
          <w:sz w:val="21"/>
        </w:rPr>
        <w:t>品确定，且不应小于</w:t>
      </w:r>
      <w:r>
        <w:rPr>
          <w:spacing w:val="-10"/>
          <w:sz w:val="21"/>
        </w:rPr>
        <w:t xml:space="preserve"> </w:t>
      </w:r>
      <w:r>
        <w:rPr>
          <w:sz w:val="21"/>
        </w:rPr>
        <w:t>150mm</w:t>
      </w:r>
      <w:r>
        <w:rPr>
          <w:spacing w:val="-10"/>
          <w:sz w:val="21"/>
        </w:rPr>
        <w:t xml:space="preserve"> </w:t>
      </w:r>
      <w:r>
        <w:rPr>
          <w:spacing w:val="-10"/>
          <w:sz w:val="21"/>
        </w:rPr>
        <w:t>的保护高度；</w:t>
      </w:r>
      <w:r>
        <w:rPr>
          <w:sz w:val="21"/>
        </w:rPr>
        <w:t xml:space="preserve"> </w:t>
      </w:r>
    </w:p>
    <w:p w14:paraId="7A4212A3" w14:textId="77777777" w:rsidR="00A71EEF" w:rsidRDefault="0081115D">
      <w:pPr>
        <w:pStyle w:val="a4"/>
        <w:numPr>
          <w:ilvl w:val="0"/>
          <w:numId w:val="274"/>
        </w:numPr>
        <w:tabs>
          <w:tab w:val="left" w:pos="1367"/>
        </w:tabs>
        <w:spacing w:line="268" w:lineRule="exact"/>
        <w:jc w:val="both"/>
        <w:rPr>
          <w:sz w:val="21"/>
        </w:rPr>
      </w:pPr>
      <w:r>
        <w:rPr>
          <w:spacing w:val="-6"/>
          <w:sz w:val="21"/>
        </w:rPr>
        <w:t>高位消防水箱的通气管、呼吸管等应符合本规范第</w:t>
      </w:r>
      <w:r>
        <w:rPr>
          <w:spacing w:val="-6"/>
          <w:sz w:val="21"/>
        </w:rPr>
        <w:t xml:space="preserve"> </w:t>
      </w:r>
      <w:r>
        <w:rPr>
          <w:sz w:val="21"/>
        </w:rPr>
        <w:t>4.3.10</w:t>
      </w:r>
      <w:r>
        <w:rPr>
          <w:spacing w:val="-10"/>
          <w:sz w:val="21"/>
        </w:rPr>
        <w:t xml:space="preserve"> </w:t>
      </w:r>
      <w:r>
        <w:rPr>
          <w:spacing w:val="-10"/>
          <w:sz w:val="21"/>
        </w:rPr>
        <w:t>条的规定；</w:t>
      </w:r>
      <w:r>
        <w:rPr>
          <w:spacing w:val="-10"/>
          <w:sz w:val="21"/>
        </w:rPr>
        <w:t xml:space="preserve"> </w:t>
      </w:r>
    </w:p>
    <w:p w14:paraId="53D1F10C" w14:textId="77777777" w:rsidR="00A71EEF" w:rsidRDefault="00A71EEF">
      <w:pPr>
        <w:pStyle w:val="a3"/>
        <w:spacing w:before="1"/>
        <w:rPr>
          <w:sz w:val="18"/>
        </w:rPr>
      </w:pPr>
    </w:p>
    <w:p w14:paraId="381940B0" w14:textId="77777777" w:rsidR="00A71EEF" w:rsidRDefault="0081115D">
      <w:pPr>
        <w:pStyle w:val="a4"/>
        <w:numPr>
          <w:ilvl w:val="0"/>
          <w:numId w:val="274"/>
        </w:numPr>
        <w:tabs>
          <w:tab w:val="left" w:pos="1367"/>
        </w:tabs>
        <w:spacing w:before="1" w:line="446" w:lineRule="auto"/>
        <w:ind w:left="418" w:right="1505" w:firstLine="419"/>
        <w:jc w:val="both"/>
        <w:rPr>
          <w:sz w:val="21"/>
        </w:rPr>
      </w:pPr>
      <w:r>
        <w:rPr>
          <w:spacing w:val="-3"/>
          <w:sz w:val="21"/>
        </w:rPr>
        <w:t>高位消防水箱外壁与建筑本体结构墙面或其他池壁之间的净距，应满足施工或装配的</w:t>
      </w:r>
      <w:r>
        <w:rPr>
          <w:spacing w:val="-6"/>
          <w:sz w:val="21"/>
        </w:rPr>
        <w:t>需要，无管道的侧面，净距不宜小于</w:t>
      </w:r>
      <w:r>
        <w:rPr>
          <w:spacing w:val="-6"/>
          <w:sz w:val="21"/>
        </w:rPr>
        <w:t xml:space="preserve"> </w:t>
      </w:r>
      <w:r>
        <w:rPr>
          <w:sz w:val="21"/>
        </w:rPr>
        <w:t>0.7m</w:t>
      </w:r>
      <w:r>
        <w:rPr>
          <w:spacing w:val="-5"/>
          <w:sz w:val="21"/>
        </w:rPr>
        <w:t>；安装有管道的侧面，净距不宜小于</w:t>
      </w:r>
      <w:r>
        <w:rPr>
          <w:spacing w:val="-5"/>
          <w:sz w:val="21"/>
        </w:rPr>
        <w:t xml:space="preserve"> </w:t>
      </w:r>
      <w:r>
        <w:rPr>
          <w:sz w:val="21"/>
        </w:rPr>
        <w:t>1.0m</w:t>
      </w:r>
      <w:r>
        <w:rPr>
          <w:spacing w:val="-1"/>
          <w:sz w:val="21"/>
        </w:rPr>
        <w:t>，且管道外</w:t>
      </w:r>
      <w:r>
        <w:rPr>
          <w:spacing w:val="-5"/>
          <w:sz w:val="21"/>
        </w:rPr>
        <w:t>壁与建筑本体墙面之间的通道宽度不宜小于</w:t>
      </w:r>
      <w:r>
        <w:rPr>
          <w:spacing w:val="-5"/>
          <w:sz w:val="21"/>
        </w:rPr>
        <w:t xml:space="preserve"> </w:t>
      </w:r>
      <w:r>
        <w:rPr>
          <w:sz w:val="21"/>
        </w:rPr>
        <w:t>0.6m</w:t>
      </w:r>
      <w:r>
        <w:rPr>
          <w:spacing w:val="-3"/>
          <w:sz w:val="21"/>
        </w:rPr>
        <w:t>，设有人孔的水箱顶，其顶面与其上面的建筑</w:t>
      </w:r>
      <w:r>
        <w:rPr>
          <w:spacing w:val="-7"/>
          <w:sz w:val="21"/>
        </w:rPr>
        <w:t>物本体板底的净空不应小于</w:t>
      </w:r>
      <w:r>
        <w:rPr>
          <w:spacing w:val="-7"/>
          <w:sz w:val="21"/>
        </w:rPr>
        <w:t xml:space="preserve"> </w:t>
      </w:r>
      <w:r>
        <w:rPr>
          <w:sz w:val="21"/>
        </w:rPr>
        <w:t>0.8m</w:t>
      </w:r>
      <w:r>
        <w:rPr>
          <w:sz w:val="21"/>
        </w:rPr>
        <w:t>；</w:t>
      </w:r>
      <w:r>
        <w:rPr>
          <w:sz w:val="21"/>
        </w:rPr>
        <w:t xml:space="preserve"> </w:t>
      </w:r>
    </w:p>
    <w:p w14:paraId="3BD365EC" w14:textId="77777777" w:rsidR="00A71EEF" w:rsidRDefault="0081115D">
      <w:pPr>
        <w:pStyle w:val="a4"/>
        <w:numPr>
          <w:ilvl w:val="0"/>
          <w:numId w:val="274"/>
        </w:numPr>
        <w:tabs>
          <w:tab w:val="left" w:pos="1367"/>
        </w:tabs>
        <w:spacing w:line="446" w:lineRule="auto"/>
        <w:ind w:left="418" w:right="1560" w:firstLine="419"/>
        <w:jc w:val="both"/>
        <w:rPr>
          <w:sz w:val="21"/>
        </w:rPr>
      </w:pPr>
      <w:r>
        <w:rPr>
          <w:spacing w:val="-6"/>
          <w:sz w:val="21"/>
        </w:rPr>
        <w:t>进水管的管径应满足消防水箱</w:t>
      </w:r>
      <w:r>
        <w:rPr>
          <w:spacing w:val="-6"/>
          <w:sz w:val="21"/>
        </w:rPr>
        <w:t xml:space="preserve"> </w:t>
      </w:r>
      <w:r>
        <w:rPr>
          <w:sz w:val="21"/>
        </w:rPr>
        <w:t>8h</w:t>
      </w:r>
      <w:r>
        <w:rPr>
          <w:spacing w:val="-11"/>
          <w:sz w:val="21"/>
        </w:rPr>
        <w:t xml:space="preserve"> </w:t>
      </w:r>
      <w:r>
        <w:rPr>
          <w:spacing w:val="-11"/>
          <w:sz w:val="21"/>
        </w:rPr>
        <w:t>充满水的要求，但管径不应小于</w:t>
      </w:r>
      <w:r>
        <w:rPr>
          <w:spacing w:val="-11"/>
          <w:sz w:val="21"/>
        </w:rPr>
        <w:t xml:space="preserve"> </w:t>
      </w:r>
      <w:r>
        <w:rPr>
          <w:sz w:val="21"/>
        </w:rPr>
        <w:t>DN32</w:t>
      </w:r>
      <w:r>
        <w:rPr>
          <w:spacing w:val="-1"/>
          <w:sz w:val="21"/>
        </w:rPr>
        <w:t>，进水管宜设</w:t>
      </w:r>
      <w:r>
        <w:rPr>
          <w:spacing w:val="-3"/>
          <w:sz w:val="21"/>
        </w:rPr>
        <w:t>置液位阀或浮球阀；</w:t>
      </w:r>
      <w:r>
        <w:rPr>
          <w:sz w:val="21"/>
        </w:rPr>
        <w:t xml:space="preserve"> </w:t>
      </w:r>
    </w:p>
    <w:p w14:paraId="37F9DB3D" w14:textId="77777777" w:rsidR="00A71EEF" w:rsidRDefault="0081115D">
      <w:pPr>
        <w:pStyle w:val="a4"/>
        <w:numPr>
          <w:ilvl w:val="0"/>
          <w:numId w:val="274"/>
        </w:numPr>
        <w:tabs>
          <w:tab w:val="left" w:pos="1367"/>
        </w:tabs>
        <w:spacing w:line="446" w:lineRule="auto"/>
        <w:ind w:left="418" w:right="1505" w:firstLine="419"/>
        <w:jc w:val="both"/>
        <w:rPr>
          <w:sz w:val="21"/>
        </w:rPr>
      </w:pPr>
      <w:r>
        <w:rPr>
          <w:spacing w:val="-3"/>
          <w:sz w:val="21"/>
        </w:rPr>
        <w:t>进水管应在溢流水位以上接入，进水管口的最低点高出溢流边缘的高度应等于进水管</w:t>
      </w:r>
      <w:r>
        <w:rPr>
          <w:spacing w:val="-8"/>
          <w:sz w:val="21"/>
        </w:rPr>
        <w:t>管径，但最小不应小于</w:t>
      </w:r>
      <w:r>
        <w:rPr>
          <w:spacing w:val="-8"/>
          <w:sz w:val="21"/>
        </w:rPr>
        <w:t xml:space="preserve"> </w:t>
      </w:r>
      <w:r>
        <w:rPr>
          <w:sz w:val="21"/>
        </w:rPr>
        <w:t>100mm</w:t>
      </w:r>
      <w:r>
        <w:rPr>
          <w:spacing w:val="-9"/>
          <w:sz w:val="21"/>
        </w:rPr>
        <w:t>，最</w:t>
      </w:r>
      <w:r>
        <w:rPr>
          <w:spacing w:val="-9"/>
          <w:sz w:val="21"/>
        </w:rPr>
        <w:t>大不应大于</w:t>
      </w:r>
      <w:r>
        <w:rPr>
          <w:spacing w:val="-9"/>
          <w:sz w:val="21"/>
        </w:rPr>
        <w:t xml:space="preserve"> </w:t>
      </w:r>
      <w:r>
        <w:rPr>
          <w:sz w:val="21"/>
        </w:rPr>
        <w:t>150mm</w:t>
      </w:r>
      <w:r>
        <w:rPr>
          <w:sz w:val="21"/>
        </w:rPr>
        <w:t>；</w:t>
      </w:r>
      <w:r>
        <w:rPr>
          <w:sz w:val="21"/>
        </w:rPr>
        <w:t xml:space="preserve"> </w:t>
      </w:r>
    </w:p>
    <w:p w14:paraId="075C7819" w14:textId="77777777" w:rsidR="00A71EEF" w:rsidRDefault="0081115D">
      <w:pPr>
        <w:pStyle w:val="a4"/>
        <w:numPr>
          <w:ilvl w:val="0"/>
          <w:numId w:val="274"/>
        </w:numPr>
        <w:tabs>
          <w:tab w:val="left" w:pos="1367"/>
        </w:tabs>
        <w:spacing w:line="446" w:lineRule="auto"/>
        <w:ind w:left="418" w:right="1505" w:firstLine="419"/>
        <w:rPr>
          <w:sz w:val="21"/>
        </w:rPr>
      </w:pPr>
      <w:r>
        <w:rPr>
          <w:spacing w:val="-3"/>
          <w:sz w:val="21"/>
        </w:rPr>
        <w:t>当进水管为淹没出流时，应在进水管上设置防止倒流的措施或在管道上设置虹吸破坏</w:t>
      </w:r>
      <w:r>
        <w:rPr>
          <w:spacing w:val="-5"/>
          <w:sz w:val="21"/>
        </w:rPr>
        <w:t>孔和真空破坏器，虹吸破坏孔的孔径不宜小于管径的</w:t>
      </w:r>
      <w:r>
        <w:rPr>
          <w:spacing w:val="-5"/>
          <w:sz w:val="21"/>
        </w:rPr>
        <w:t xml:space="preserve"> </w:t>
      </w:r>
      <w:r>
        <w:rPr>
          <w:sz w:val="21"/>
        </w:rPr>
        <w:t>1/5</w:t>
      </w:r>
      <w:r>
        <w:rPr>
          <w:spacing w:val="-9"/>
          <w:sz w:val="21"/>
        </w:rPr>
        <w:t>，且不应小于</w:t>
      </w:r>
      <w:r>
        <w:rPr>
          <w:spacing w:val="-9"/>
          <w:sz w:val="21"/>
        </w:rPr>
        <w:t xml:space="preserve"> </w:t>
      </w:r>
      <w:r>
        <w:rPr>
          <w:sz w:val="21"/>
        </w:rPr>
        <w:t>25mm</w:t>
      </w:r>
      <w:r>
        <w:rPr>
          <w:spacing w:val="-3"/>
          <w:sz w:val="21"/>
        </w:rPr>
        <w:t>。但当采用生活给水系统补水时，进水管不应淹没出流；</w:t>
      </w:r>
      <w:r>
        <w:rPr>
          <w:sz w:val="21"/>
        </w:rPr>
        <w:t xml:space="preserve"> </w:t>
      </w:r>
    </w:p>
    <w:p w14:paraId="01780EC2" w14:textId="77777777" w:rsidR="00A71EEF" w:rsidRDefault="0081115D">
      <w:pPr>
        <w:pStyle w:val="a4"/>
        <w:numPr>
          <w:ilvl w:val="0"/>
          <w:numId w:val="274"/>
        </w:numPr>
        <w:tabs>
          <w:tab w:val="left" w:pos="1367"/>
        </w:tabs>
        <w:spacing w:line="446" w:lineRule="auto"/>
        <w:ind w:left="418" w:right="1558" w:firstLine="419"/>
        <w:rPr>
          <w:sz w:val="21"/>
        </w:rPr>
      </w:pPr>
      <w:r>
        <w:rPr>
          <w:spacing w:val="-6"/>
          <w:sz w:val="21"/>
        </w:rPr>
        <w:t>溢流管的直径不应小于进水管直径的</w:t>
      </w:r>
      <w:r>
        <w:rPr>
          <w:spacing w:val="-6"/>
          <w:sz w:val="21"/>
        </w:rPr>
        <w:t xml:space="preserve"> </w:t>
      </w:r>
      <w:r>
        <w:rPr>
          <w:sz w:val="21"/>
        </w:rPr>
        <w:t>2</w:t>
      </w:r>
      <w:r>
        <w:rPr>
          <w:spacing w:val="-12"/>
          <w:sz w:val="21"/>
        </w:rPr>
        <w:t xml:space="preserve"> </w:t>
      </w:r>
      <w:r>
        <w:rPr>
          <w:spacing w:val="-12"/>
          <w:sz w:val="21"/>
        </w:rPr>
        <w:t>倍，且不应小于</w:t>
      </w:r>
      <w:r>
        <w:rPr>
          <w:spacing w:val="-12"/>
          <w:sz w:val="21"/>
        </w:rPr>
        <w:t xml:space="preserve"> </w:t>
      </w:r>
      <w:r>
        <w:rPr>
          <w:sz w:val="21"/>
        </w:rPr>
        <w:t>DN100</w:t>
      </w:r>
      <w:r>
        <w:rPr>
          <w:spacing w:val="-3"/>
          <w:sz w:val="21"/>
        </w:rPr>
        <w:t>，溢流管的喇叭口直径</w:t>
      </w:r>
      <w:r>
        <w:rPr>
          <w:spacing w:val="-8"/>
          <w:sz w:val="21"/>
        </w:rPr>
        <w:t>不应小于溢流管直径的</w:t>
      </w:r>
      <w:r>
        <w:rPr>
          <w:spacing w:val="-8"/>
          <w:sz w:val="21"/>
        </w:rPr>
        <w:t xml:space="preserve"> </w:t>
      </w:r>
      <w:r>
        <w:rPr>
          <w:sz w:val="21"/>
        </w:rPr>
        <w:t>1.5</w:t>
      </w:r>
      <w:r>
        <w:rPr>
          <w:sz w:val="21"/>
        </w:rPr>
        <w:t>～</w:t>
      </w:r>
      <w:r>
        <w:rPr>
          <w:sz w:val="21"/>
        </w:rPr>
        <w:t>2.5</w:t>
      </w:r>
      <w:r>
        <w:rPr>
          <w:spacing w:val="-20"/>
          <w:sz w:val="21"/>
        </w:rPr>
        <w:t xml:space="preserve"> </w:t>
      </w:r>
      <w:r>
        <w:rPr>
          <w:spacing w:val="-20"/>
          <w:sz w:val="21"/>
        </w:rPr>
        <w:t>倍；</w:t>
      </w:r>
      <w:r>
        <w:rPr>
          <w:sz w:val="21"/>
        </w:rPr>
        <w:t xml:space="preserve"> </w:t>
      </w:r>
    </w:p>
    <w:p w14:paraId="75DADA60" w14:textId="77777777" w:rsidR="00A71EEF" w:rsidRDefault="0081115D">
      <w:pPr>
        <w:pStyle w:val="a4"/>
        <w:numPr>
          <w:ilvl w:val="0"/>
          <w:numId w:val="274"/>
        </w:numPr>
        <w:tabs>
          <w:tab w:val="left" w:pos="1367"/>
        </w:tabs>
        <w:rPr>
          <w:sz w:val="21"/>
        </w:rPr>
      </w:pPr>
      <w:r>
        <w:rPr>
          <w:spacing w:val="-5"/>
          <w:sz w:val="21"/>
        </w:rPr>
        <w:t>高位消防水箱出水管管径应满足消防给水设计流量的出水要求，且不应小于</w:t>
      </w:r>
      <w:r>
        <w:rPr>
          <w:spacing w:val="-5"/>
          <w:sz w:val="21"/>
        </w:rPr>
        <w:t xml:space="preserve"> </w:t>
      </w:r>
      <w:r>
        <w:rPr>
          <w:sz w:val="21"/>
        </w:rPr>
        <w:t>DN100</w:t>
      </w:r>
      <w:r>
        <w:rPr>
          <w:sz w:val="21"/>
        </w:rPr>
        <w:t>；</w:t>
      </w:r>
      <w:r>
        <w:rPr>
          <w:sz w:val="21"/>
        </w:rPr>
        <w:t xml:space="preserve"> </w:t>
      </w:r>
    </w:p>
    <w:p w14:paraId="67F89407" w14:textId="77777777" w:rsidR="00A71EEF" w:rsidRDefault="00A71EEF">
      <w:pPr>
        <w:pStyle w:val="a3"/>
        <w:spacing w:before="7"/>
        <w:rPr>
          <w:sz w:val="17"/>
        </w:rPr>
      </w:pPr>
    </w:p>
    <w:p w14:paraId="4653BF5D" w14:textId="77777777" w:rsidR="00A71EEF" w:rsidRDefault="0081115D">
      <w:pPr>
        <w:pStyle w:val="a4"/>
        <w:numPr>
          <w:ilvl w:val="0"/>
          <w:numId w:val="274"/>
        </w:numPr>
        <w:tabs>
          <w:tab w:val="left" w:pos="1473"/>
        </w:tabs>
        <w:spacing w:line="446" w:lineRule="auto"/>
        <w:ind w:left="418" w:right="1608" w:firstLine="419"/>
        <w:rPr>
          <w:sz w:val="21"/>
        </w:rPr>
      </w:pPr>
      <w:r>
        <w:rPr>
          <w:spacing w:val="-3"/>
          <w:sz w:val="21"/>
        </w:rPr>
        <w:t>高位消防水箱出水管应位于高位消防水箱最低水位以下，并应设置防止消防用水进入高位消防水箱的止回阀；</w:t>
      </w:r>
      <w:r>
        <w:rPr>
          <w:spacing w:val="-3"/>
          <w:sz w:val="21"/>
        </w:rPr>
        <w:t xml:space="preserve"> </w:t>
      </w:r>
    </w:p>
    <w:p w14:paraId="15E11F11" w14:textId="77777777" w:rsidR="00A71EEF" w:rsidRDefault="0081115D">
      <w:pPr>
        <w:pStyle w:val="a4"/>
        <w:numPr>
          <w:ilvl w:val="0"/>
          <w:numId w:val="274"/>
        </w:numPr>
        <w:tabs>
          <w:tab w:val="left" w:pos="1473"/>
        </w:tabs>
        <w:spacing w:line="446" w:lineRule="auto"/>
        <w:ind w:left="840" w:right="3397" w:hanging="3"/>
        <w:rPr>
          <w:sz w:val="21"/>
        </w:rPr>
      </w:pPr>
      <w:r>
        <w:rPr>
          <w:spacing w:val="-3"/>
          <w:sz w:val="21"/>
        </w:rPr>
        <w:t>高位消防水箱的进、出水管应设置带有指示启闭装置的阀门。</w:t>
      </w:r>
      <w:r>
        <w:rPr>
          <w:b/>
          <w:sz w:val="21"/>
        </w:rPr>
        <w:t>5.3</w:t>
      </w:r>
      <w:r>
        <w:rPr>
          <w:b/>
          <w:spacing w:val="1"/>
          <w:sz w:val="21"/>
        </w:rPr>
        <w:t xml:space="preserve"> </w:t>
      </w:r>
      <w:r>
        <w:rPr>
          <w:spacing w:val="-3"/>
          <w:sz w:val="21"/>
        </w:rPr>
        <w:t>稳压泵</w:t>
      </w:r>
      <w:r>
        <w:rPr>
          <w:sz w:val="21"/>
        </w:rPr>
        <w:t xml:space="preserve"> </w:t>
      </w:r>
    </w:p>
    <w:p w14:paraId="78717F34" w14:textId="77777777" w:rsidR="00A71EEF" w:rsidRDefault="0081115D">
      <w:pPr>
        <w:ind w:left="840"/>
        <w:rPr>
          <w:sz w:val="21"/>
        </w:rPr>
      </w:pPr>
      <w:r>
        <w:rPr>
          <w:b/>
          <w:sz w:val="21"/>
        </w:rPr>
        <w:t xml:space="preserve">5.3.1 </w:t>
      </w:r>
      <w:r>
        <w:rPr>
          <w:sz w:val="21"/>
        </w:rPr>
        <w:t>稳压泵宜采用离心泵，并宜符合下列规定：</w:t>
      </w:r>
      <w:r>
        <w:rPr>
          <w:sz w:val="21"/>
        </w:rPr>
        <w:t xml:space="preserve"> </w:t>
      </w:r>
    </w:p>
    <w:p w14:paraId="3529D84A" w14:textId="77777777" w:rsidR="00A71EEF" w:rsidRDefault="00A71EEF">
      <w:pPr>
        <w:pStyle w:val="a3"/>
        <w:spacing w:before="12"/>
        <w:rPr>
          <w:sz w:val="17"/>
        </w:rPr>
      </w:pPr>
    </w:p>
    <w:p w14:paraId="215B6607" w14:textId="77777777" w:rsidR="00A71EEF" w:rsidRDefault="0081115D">
      <w:pPr>
        <w:pStyle w:val="a4"/>
        <w:numPr>
          <w:ilvl w:val="0"/>
          <w:numId w:val="273"/>
        </w:numPr>
        <w:tabs>
          <w:tab w:val="left" w:pos="1367"/>
        </w:tabs>
        <w:rPr>
          <w:b/>
          <w:sz w:val="21"/>
        </w:rPr>
      </w:pPr>
      <w:r>
        <w:rPr>
          <w:spacing w:val="-3"/>
          <w:sz w:val="21"/>
        </w:rPr>
        <w:t>宜采用单吸单级或单吸多级离心泵；</w:t>
      </w:r>
      <w:r>
        <w:rPr>
          <w:b/>
          <w:w w:val="99"/>
          <w:sz w:val="21"/>
        </w:rPr>
        <w:t xml:space="preserve"> </w:t>
      </w:r>
    </w:p>
    <w:p w14:paraId="4A65D789" w14:textId="77777777" w:rsidR="00A71EEF" w:rsidRDefault="00A71EEF">
      <w:pPr>
        <w:pStyle w:val="a3"/>
        <w:rPr>
          <w:b/>
          <w:sz w:val="18"/>
        </w:rPr>
      </w:pPr>
    </w:p>
    <w:p w14:paraId="400A7710" w14:textId="77777777" w:rsidR="00A71EEF" w:rsidRDefault="0081115D">
      <w:pPr>
        <w:pStyle w:val="a4"/>
        <w:numPr>
          <w:ilvl w:val="0"/>
          <w:numId w:val="273"/>
        </w:numPr>
        <w:tabs>
          <w:tab w:val="left" w:pos="1367"/>
        </w:tabs>
        <w:spacing w:line="446" w:lineRule="auto"/>
        <w:ind w:left="840" w:right="4763" w:hanging="3"/>
        <w:rPr>
          <w:sz w:val="21"/>
        </w:rPr>
      </w:pPr>
      <w:r>
        <w:rPr>
          <w:spacing w:val="-3"/>
          <w:sz w:val="21"/>
        </w:rPr>
        <w:t>泵外壳和叶轮等主要部件的材质宜采用不锈钢。</w:t>
      </w:r>
      <w:r>
        <w:rPr>
          <w:b/>
          <w:spacing w:val="-3"/>
          <w:sz w:val="21"/>
        </w:rPr>
        <w:t>5.3.2</w:t>
      </w:r>
      <w:r>
        <w:rPr>
          <w:b/>
          <w:spacing w:val="3"/>
          <w:sz w:val="21"/>
        </w:rPr>
        <w:t xml:space="preserve"> </w:t>
      </w:r>
      <w:r>
        <w:rPr>
          <w:spacing w:val="-3"/>
          <w:sz w:val="21"/>
        </w:rPr>
        <w:t>稳压泵的设计流量应符合下列规定：</w:t>
      </w:r>
      <w:r>
        <w:rPr>
          <w:sz w:val="21"/>
        </w:rPr>
        <w:t xml:space="preserve"> </w:t>
      </w:r>
    </w:p>
    <w:p w14:paraId="6C8687E9" w14:textId="77777777" w:rsidR="00A71EEF" w:rsidRDefault="00A71EEF">
      <w:pPr>
        <w:spacing w:line="446" w:lineRule="auto"/>
        <w:rPr>
          <w:sz w:val="21"/>
        </w:rPr>
        <w:sectPr w:rsidR="00A71EEF">
          <w:pgSz w:w="11910" w:h="16850"/>
          <w:pgMar w:top="1220" w:right="0" w:bottom="1420" w:left="1260" w:header="0" w:footer="1239" w:gutter="0"/>
          <w:cols w:space="720"/>
        </w:sectPr>
      </w:pPr>
    </w:p>
    <w:p w14:paraId="0018F374" w14:textId="77777777" w:rsidR="00A71EEF" w:rsidRDefault="0081115D">
      <w:pPr>
        <w:pStyle w:val="a4"/>
        <w:numPr>
          <w:ilvl w:val="0"/>
          <w:numId w:val="272"/>
        </w:numPr>
        <w:tabs>
          <w:tab w:val="left" w:pos="1367"/>
        </w:tabs>
        <w:spacing w:before="47"/>
        <w:rPr>
          <w:sz w:val="21"/>
        </w:rPr>
      </w:pPr>
      <w:r>
        <w:rPr>
          <w:spacing w:val="-3"/>
          <w:sz w:val="21"/>
        </w:rPr>
        <w:t>稳压泵的设计流量不应小于消防给水系统管网的正常泄漏量和系统自动启动流量；</w:t>
      </w:r>
      <w:r>
        <w:rPr>
          <w:sz w:val="21"/>
        </w:rPr>
        <w:t xml:space="preserve"> </w:t>
      </w:r>
    </w:p>
    <w:p w14:paraId="58405BB7" w14:textId="77777777" w:rsidR="00A71EEF" w:rsidRDefault="00A71EEF">
      <w:pPr>
        <w:pStyle w:val="a3"/>
        <w:rPr>
          <w:sz w:val="18"/>
        </w:rPr>
      </w:pPr>
    </w:p>
    <w:p w14:paraId="380B6CA0" w14:textId="77777777" w:rsidR="00A71EEF" w:rsidRDefault="0081115D">
      <w:pPr>
        <w:pStyle w:val="a4"/>
        <w:numPr>
          <w:ilvl w:val="0"/>
          <w:numId w:val="272"/>
        </w:numPr>
        <w:tabs>
          <w:tab w:val="left" w:pos="1367"/>
        </w:tabs>
        <w:spacing w:line="446" w:lineRule="auto"/>
        <w:ind w:left="418" w:right="1505" w:firstLine="419"/>
        <w:rPr>
          <w:sz w:val="21"/>
        </w:rPr>
      </w:pPr>
      <w:r>
        <w:rPr>
          <w:spacing w:val="-3"/>
          <w:sz w:val="21"/>
        </w:rPr>
        <w:t>消防给水系统管网的正常泄漏量应根据管道材质、接口形式等确定，当没有管网泄漏</w:t>
      </w:r>
      <w:r>
        <w:rPr>
          <w:spacing w:val="-5"/>
          <w:sz w:val="21"/>
        </w:rPr>
        <w:t>量数据时，稳压泵的设计流量宜按消防给水设计流量的</w:t>
      </w:r>
      <w:r>
        <w:rPr>
          <w:spacing w:val="-5"/>
          <w:sz w:val="21"/>
        </w:rPr>
        <w:t xml:space="preserve"> </w:t>
      </w:r>
      <w:r>
        <w:rPr>
          <w:sz w:val="21"/>
        </w:rPr>
        <w:t>1%</w:t>
      </w:r>
      <w:r>
        <w:rPr>
          <w:sz w:val="21"/>
        </w:rPr>
        <w:t>～</w:t>
      </w:r>
      <w:r>
        <w:rPr>
          <w:sz w:val="21"/>
        </w:rPr>
        <w:t>3</w:t>
      </w:r>
      <w:r>
        <w:rPr>
          <w:spacing w:val="-9"/>
          <w:sz w:val="21"/>
        </w:rPr>
        <w:t>%</w:t>
      </w:r>
      <w:r>
        <w:rPr>
          <w:spacing w:val="-9"/>
          <w:sz w:val="21"/>
        </w:rPr>
        <w:t>计，且不宜小于</w:t>
      </w:r>
      <w:r>
        <w:rPr>
          <w:spacing w:val="-9"/>
          <w:sz w:val="21"/>
        </w:rPr>
        <w:t xml:space="preserve"> </w:t>
      </w:r>
      <w:r>
        <w:rPr>
          <w:sz w:val="21"/>
        </w:rPr>
        <w:t>1L/s</w:t>
      </w:r>
      <w:r>
        <w:rPr>
          <w:sz w:val="21"/>
        </w:rPr>
        <w:t>；</w:t>
      </w:r>
      <w:r>
        <w:rPr>
          <w:sz w:val="21"/>
        </w:rPr>
        <w:t xml:space="preserve"> </w:t>
      </w:r>
    </w:p>
    <w:p w14:paraId="295301E1" w14:textId="77777777" w:rsidR="00A71EEF" w:rsidRDefault="0081115D">
      <w:pPr>
        <w:pStyle w:val="a4"/>
        <w:numPr>
          <w:ilvl w:val="0"/>
          <w:numId w:val="272"/>
        </w:numPr>
        <w:tabs>
          <w:tab w:val="left" w:pos="1367"/>
        </w:tabs>
        <w:spacing w:line="446" w:lineRule="auto"/>
        <w:ind w:left="840" w:right="2662" w:hanging="3"/>
        <w:rPr>
          <w:sz w:val="21"/>
        </w:rPr>
      </w:pPr>
      <w:r>
        <w:rPr>
          <w:spacing w:val="-3"/>
          <w:sz w:val="21"/>
        </w:rPr>
        <w:t>消防给水系统所采用报警阀压力开关等自动启动流量应根据产品确定。</w:t>
      </w:r>
      <w:r>
        <w:rPr>
          <w:b/>
          <w:spacing w:val="-3"/>
          <w:sz w:val="21"/>
        </w:rPr>
        <w:t xml:space="preserve">5.3.3 </w:t>
      </w:r>
      <w:r>
        <w:rPr>
          <w:spacing w:val="-3"/>
          <w:sz w:val="21"/>
        </w:rPr>
        <w:t>稳压泵的设计压力应符合下列要求：</w:t>
      </w:r>
      <w:r>
        <w:rPr>
          <w:sz w:val="21"/>
        </w:rPr>
        <w:t xml:space="preserve"> </w:t>
      </w:r>
    </w:p>
    <w:p w14:paraId="707BE0B7" w14:textId="77777777" w:rsidR="00A71EEF" w:rsidRDefault="0081115D">
      <w:pPr>
        <w:pStyle w:val="a4"/>
        <w:numPr>
          <w:ilvl w:val="0"/>
          <w:numId w:val="271"/>
        </w:numPr>
        <w:tabs>
          <w:tab w:val="left" w:pos="1367"/>
        </w:tabs>
        <w:spacing w:line="267" w:lineRule="exact"/>
        <w:rPr>
          <w:sz w:val="21"/>
        </w:rPr>
      </w:pPr>
      <w:r>
        <w:rPr>
          <w:spacing w:val="-3"/>
          <w:sz w:val="21"/>
        </w:rPr>
        <w:t>稳压泵的设计压力应满足系统自动启动和管网充满水的要求；</w:t>
      </w:r>
      <w:r>
        <w:rPr>
          <w:sz w:val="21"/>
        </w:rPr>
        <w:t xml:space="preserve"> </w:t>
      </w:r>
    </w:p>
    <w:p w14:paraId="5B68AD5D" w14:textId="77777777" w:rsidR="00A71EEF" w:rsidRDefault="00A71EEF">
      <w:pPr>
        <w:pStyle w:val="a3"/>
        <w:spacing w:before="2"/>
        <w:rPr>
          <w:sz w:val="18"/>
        </w:rPr>
      </w:pPr>
    </w:p>
    <w:p w14:paraId="59CF9D61" w14:textId="77777777" w:rsidR="00A71EEF" w:rsidRDefault="0081115D">
      <w:pPr>
        <w:pStyle w:val="a4"/>
        <w:numPr>
          <w:ilvl w:val="0"/>
          <w:numId w:val="271"/>
        </w:numPr>
        <w:tabs>
          <w:tab w:val="left" w:pos="1367"/>
        </w:tabs>
        <w:spacing w:line="446" w:lineRule="auto"/>
        <w:ind w:left="418" w:right="1505" w:firstLine="419"/>
        <w:jc w:val="both"/>
        <w:rPr>
          <w:sz w:val="21"/>
        </w:rPr>
      </w:pPr>
      <w:r>
        <w:rPr>
          <w:spacing w:val="-3"/>
          <w:sz w:val="21"/>
        </w:rPr>
        <w:t>稳压泵的设计压力应保持系统自动启泵压力设置点处的压力在准工作状态时大于系统</w:t>
      </w:r>
      <w:r>
        <w:rPr>
          <w:spacing w:val="-6"/>
          <w:sz w:val="21"/>
        </w:rPr>
        <w:t>设置自动启泵压力值，且增加值宜为</w:t>
      </w:r>
      <w:r>
        <w:rPr>
          <w:spacing w:val="-6"/>
          <w:sz w:val="21"/>
        </w:rPr>
        <w:t xml:space="preserve"> </w:t>
      </w:r>
      <w:r>
        <w:rPr>
          <w:sz w:val="21"/>
        </w:rPr>
        <w:t>0.07</w:t>
      </w:r>
      <w:r>
        <w:rPr>
          <w:sz w:val="21"/>
        </w:rPr>
        <w:t>～</w:t>
      </w:r>
      <w:r>
        <w:rPr>
          <w:sz w:val="21"/>
        </w:rPr>
        <w:t>0.10MPa</w:t>
      </w:r>
      <w:r>
        <w:rPr>
          <w:sz w:val="21"/>
        </w:rPr>
        <w:t>；</w:t>
      </w:r>
      <w:r>
        <w:rPr>
          <w:sz w:val="21"/>
        </w:rPr>
        <w:t xml:space="preserve"> </w:t>
      </w:r>
    </w:p>
    <w:p w14:paraId="0CD56EDA" w14:textId="77777777" w:rsidR="00A71EEF" w:rsidRDefault="0081115D">
      <w:pPr>
        <w:pStyle w:val="a4"/>
        <w:numPr>
          <w:ilvl w:val="0"/>
          <w:numId w:val="271"/>
        </w:numPr>
        <w:tabs>
          <w:tab w:val="left" w:pos="1367"/>
        </w:tabs>
        <w:spacing w:line="446" w:lineRule="auto"/>
        <w:ind w:left="418" w:right="1505" w:firstLine="419"/>
        <w:jc w:val="both"/>
        <w:rPr>
          <w:sz w:val="21"/>
        </w:rPr>
      </w:pPr>
      <w:r>
        <w:rPr>
          <w:spacing w:val="-3"/>
          <w:sz w:val="21"/>
        </w:rPr>
        <w:t>稳压泵的设计压力应保持系统最不利点处水灭火设施在准工作状态时的静水压力应大</w:t>
      </w:r>
      <w:r>
        <w:rPr>
          <w:spacing w:val="-28"/>
          <w:sz w:val="21"/>
        </w:rPr>
        <w:t>于</w:t>
      </w:r>
      <w:r>
        <w:rPr>
          <w:spacing w:val="-28"/>
          <w:sz w:val="21"/>
        </w:rPr>
        <w:t xml:space="preserve"> </w:t>
      </w:r>
      <w:r>
        <w:rPr>
          <w:sz w:val="21"/>
        </w:rPr>
        <w:t>0.15MPa</w:t>
      </w:r>
      <w:r>
        <w:rPr>
          <w:spacing w:val="-3"/>
          <w:sz w:val="21"/>
        </w:rPr>
        <w:t>。</w:t>
      </w:r>
      <w:r>
        <w:rPr>
          <w:sz w:val="21"/>
        </w:rPr>
        <w:t xml:space="preserve"> </w:t>
      </w:r>
    </w:p>
    <w:p w14:paraId="730A6826" w14:textId="77777777" w:rsidR="00A71EEF" w:rsidRDefault="0081115D">
      <w:pPr>
        <w:pStyle w:val="a4"/>
        <w:numPr>
          <w:ilvl w:val="2"/>
          <w:numId w:val="270"/>
        </w:numPr>
        <w:tabs>
          <w:tab w:val="left" w:pos="1424"/>
        </w:tabs>
        <w:spacing w:line="446" w:lineRule="auto"/>
        <w:ind w:right="1445" w:firstLine="422"/>
        <w:jc w:val="both"/>
        <w:rPr>
          <w:sz w:val="21"/>
        </w:rPr>
      </w:pPr>
      <w:r>
        <w:rPr>
          <w:spacing w:val="-3"/>
          <w:sz w:val="21"/>
        </w:rPr>
        <w:t>设置稳压泵的临时高压消防给水系统应设置防止稳压泵频繁启停的技术措施，当采用</w:t>
      </w:r>
      <w:r>
        <w:rPr>
          <w:spacing w:val="-5"/>
          <w:sz w:val="21"/>
        </w:rPr>
        <w:t>气压水罐时，其调节容积应根据稳压泵启泵次数不大于</w:t>
      </w:r>
      <w:r>
        <w:rPr>
          <w:spacing w:val="-5"/>
          <w:sz w:val="21"/>
        </w:rPr>
        <w:t xml:space="preserve"> </w:t>
      </w:r>
      <w:r>
        <w:rPr>
          <w:sz w:val="21"/>
        </w:rPr>
        <w:t>15</w:t>
      </w:r>
      <w:r>
        <w:rPr>
          <w:spacing w:val="-21"/>
          <w:sz w:val="21"/>
        </w:rPr>
        <w:t xml:space="preserve"> </w:t>
      </w:r>
      <w:r>
        <w:rPr>
          <w:spacing w:val="-21"/>
          <w:sz w:val="21"/>
        </w:rPr>
        <w:t>次</w:t>
      </w:r>
      <w:r>
        <w:rPr>
          <w:sz w:val="21"/>
        </w:rPr>
        <w:t>/h</w:t>
      </w:r>
      <w:r>
        <w:rPr>
          <w:spacing w:val="-7"/>
          <w:sz w:val="21"/>
        </w:rPr>
        <w:t xml:space="preserve"> </w:t>
      </w:r>
      <w:r>
        <w:rPr>
          <w:spacing w:val="-7"/>
          <w:sz w:val="21"/>
        </w:rPr>
        <w:t>计算确定，但有效储水容积不宜</w:t>
      </w:r>
      <w:r>
        <w:rPr>
          <w:spacing w:val="-23"/>
          <w:sz w:val="21"/>
        </w:rPr>
        <w:t>小于</w:t>
      </w:r>
      <w:r>
        <w:rPr>
          <w:spacing w:val="-23"/>
          <w:sz w:val="21"/>
        </w:rPr>
        <w:t xml:space="preserve"> </w:t>
      </w:r>
      <w:r>
        <w:rPr>
          <w:sz w:val="21"/>
        </w:rPr>
        <w:t>150L</w:t>
      </w:r>
      <w:r>
        <w:rPr>
          <w:spacing w:val="-3"/>
          <w:sz w:val="21"/>
        </w:rPr>
        <w:t>。</w:t>
      </w:r>
      <w:r>
        <w:rPr>
          <w:sz w:val="21"/>
        </w:rPr>
        <w:t xml:space="preserve"> </w:t>
      </w:r>
    </w:p>
    <w:p w14:paraId="714A7A87" w14:textId="77777777" w:rsidR="00A71EEF" w:rsidRDefault="0081115D">
      <w:pPr>
        <w:pStyle w:val="a4"/>
        <w:numPr>
          <w:ilvl w:val="2"/>
          <w:numId w:val="270"/>
        </w:numPr>
        <w:tabs>
          <w:tab w:val="left" w:pos="1370"/>
        </w:tabs>
        <w:spacing w:line="268" w:lineRule="exact"/>
        <w:ind w:left="1369" w:hanging="530"/>
        <w:rPr>
          <w:sz w:val="21"/>
        </w:rPr>
      </w:pPr>
      <w:r>
        <w:rPr>
          <w:spacing w:val="-3"/>
          <w:sz w:val="21"/>
        </w:rPr>
        <w:t>稳压泵吸水管应设置明杆闸阀，稳压泵出水管应设置消声止回阀和明杆闸阀。</w:t>
      </w:r>
      <w:r>
        <w:rPr>
          <w:sz w:val="21"/>
        </w:rPr>
        <w:t xml:space="preserve"> </w:t>
      </w:r>
    </w:p>
    <w:p w14:paraId="514B8FA4" w14:textId="77777777" w:rsidR="00A71EEF" w:rsidRDefault="00A71EEF">
      <w:pPr>
        <w:pStyle w:val="a3"/>
        <w:spacing w:before="10"/>
        <w:rPr>
          <w:sz w:val="17"/>
        </w:rPr>
      </w:pPr>
    </w:p>
    <w:p w14:paraId="5AD2777E" w14:textId="77777777" w:rsidR="00A71EEF" w:rsidRDefault="0081115D">
      <w:pPr>
        <w:pStyle w:val="a4"/>
        <w:numPr>
          <w:ilvl w:val="2"/>
          <w:numId w:val="270"/>
        </w:numPr>
        <w:tabs>
          <w:tab w:val="left" w:pos="1370"/>
        </w:tabs>
        <w:ind w:left="1369" w:hanging="530"/>
        <w:rPr>
          <w:sz w:val="21"/>
        </w:rPr>
      </w:pPr>
      <w:r>
        <w:rPr>
          <w:spacing w:val="-3"/>
          <w:sz w:val="21"/>
        </w:rPr>
        <w:t>稳压泵应设置备用泵。</w:t>
      </w:r>
      <w:r>
        <w:rPr>
          <w:sz w:val="21"/>
        </w:rPr>
        <w:t xml:space="preserve"> </w:t>
      </w:r>
    </w:p>
    <w:p w14:paraId="573F12B6" w14:textId="77777777" w:rsidR="00A71EEF" w:rsidRDefault="00A71EEF">
      <w:pPr>
        <w:pStyle w:val="a3"/>
        <w:spacing w:before="2"/>
        <w:rPr>
          <w:sz w:val="18"/>
        </w:rPr>
      </w:pPr>
    </w:p>
    <w:p w14:paraId="29BDA636" w14:textId="77777777" w:rsidR="00A71EEF" w:rsidRDefault="0081115D">
      <w:pPr>
        <w:pStyle w:val="a4"/>
        <w:numPr>
          <w:ilvl w:val="1"/>
          <w:numId w:val="269"/>
        </w:numPr>
        <w:tabs>
          <w:tab w:val="left" w:pos="1160"/>
        </w:tabs>
        <w:rPr>
          <w:sz w:val="21"/>
        </w:rPr>
      </w:pPr>
      <w:r>
        <w:rPr>
          <w:spacing w:val="-3"/>
          <w:sz w:val="21"/>
        </w:rPr>
        <w:t>消防水泵接合器</w:t>
      </w:r>
      <w:r>
        <w:rPr>
          <w:sz w:val="21"/>
        </w:rPr>
        <w:t xml:space="preserve"> </w:t>
      </w:r>
    </w:p>
    <w:p w14:paraId="6B9E3424" w14:textId="77777777" w:rsidR="00A71EEF" w:rsidRDefault="00A71EEF">
      <w:pPr>
        <w:pStyle w:val="a3"/>
        <w:rPr>
          <w:sz w:val="18"/>
        </w:rPr>
      </w:pPr>
    </w:p>
    <w:p w14:paraId="2F4330B5" w14:textId="77777777" w:rsidR="00A71EEF" w:rsidRDefault="0081115D">
      <w:pPr>
        <w:pStyle w:val="a4"/>
        <w:numPr>
          <w:ilvl w:val="2"/>
          <w:numId w:val="269"/>
        </w:numPr>
        <w:tabs>
          <w:tab w:val="left" w:pos="1370"/>
        </w:tabs>
        <w:ind w:hanging="530"/>
        <w:rPr>
          <w:sz w:val="21"/>
        </w:rPr>
      </w:pPr>
      <w:r>
        <w:rPr>
          <w:spacing w:val="-3"/>
          <w:sz w:val="21"/>
        </w:rPr>
        <w:t>下列场所的室内消火栓给水系统应设置消防水泵接合器：</w:t>
      </w:r>
      <w:r>
        <w:rPr>
          <w:sz w:val="21"/>
        </w:rPr>
        <w:t xml:space="preserve"> </w:t>
      </w:r>
    </w:p>
    <w:p w14:paraId="3FB04B52" w14:textId="77777777" w:rsidR="00A71EEF" w:rsidRDefault="00A71EEF">
      <w:pPr>
        <w:pStyle w:val="a3"/>
        <w:spacing w:before="12"/>
        <w:rPr>
          <w:sz w:val="17"/>
        </w:rPr>
      </w:pPr>
    </w:p>
    <w:p w14:paraId="69467223" w14:textId="77777777" w:rsidR="00A71EEF" w:rsidRDefault="0081115D">
      <w:pPr>
        <w:pStyle w:val="a4"/>
        <w:numPr>
          <w:ilvl w:val="0"/>
          <w:numId w:val="268"/>
        </w:numPr>
        <w:tabs>
          <w:tab w:val="left" w:pos="1367"/>
        </w:tabs>
        <w:rPr>
          <w:sz w:val="21"/>
        </w:rPr>
      </w:pPr>
      <w:r>
        <w:rPr>
          <w:spacing w:val="-3"/>
          <w:sz w:val="21"/>
        </w:rPr>
        <w:t>高层民用建筑；</w:t>
      </w:r>
      <w:r>
        <w:rPr>
          <w:sz w:val="21"/>
        </w:rPr>
        <w:t xml:space="preserve"> </w:t>
      </w:r>
    </w:p>
    <w:p w14:paraId="4E959164" w14:textId="77777777" w:rsidR="00A71EEF" w:rsidRDefault="00A71EEF">
      <w:pPr>
        <w:pStyle w:val="a3"/>
        <w:spacing w:before="2"/>
        <w:rPr>
          <w:sz w:val="18"/>
        </w:rPr>
      </w:pPr>
    </w:p>
    <w:p w14:paraId="5AF779A6" w14:textId="77777777" w:rsidR="00A71EEF" w:rsidRDefault="0081115D">
      <w:pPr>
        <w:pStyle w:val="a4"/>
        <w:numPr>
          <w:ilvl w:val="0"/>
          <w:numId w:val="268"/>
        </w:numPr>
        <w:tabs>
          <w:tab w:val="left" w:pos="1367"/>
        </w:tabs>
        <w:rPr>
          <w:sz w:val="21"/>
        </w:rPr>
      </w:pPr>
      <w:r>
        <w:rPr>
          <w:spacing w:val="-3"/>
          <w:sz w:val="21"/>
        </w:rPr>
        <w:t>设有消防给水的住宅、超过五层的其他多层民用建筑；</w:t>
      </w:r>
      <w:r>
        <w:rPr>
          <w:sz w:val="21"/>
        </w:rPr>
        <w:t xml:space="preserve"> </w:t>
      </w:r>
    </w:p>
    <w:p w14:paraId="6302CAB7" w14:textId="77777777" w:rsidR="00A71EEF" w:rsidRDefault="00A71EEF">
      <w:pPr>
        <w:pStyle w:val="a3"/>
        <w:spacing w:before="3"/>
        <w:rPr>
          <w:sz w:val="17"/>
        </w:rPr>
      </w:pPr>
    </w:p>
    <w:p w14:paraId="7D27C085" w14:textId="77777777" w:rsidR="00A71EEF" w:rsidRDefault="0081115D">
      <w:pPr>
        <w:pStyle w:val="a4"/>
        <w:numPr>
          <w:ilvl w:val="0"/>
          <w:numId w:val="268"/>
        </w:numPr>
        <w:tabs>
          <w:tab w:val="left" w:pos="1367"/>
        </w:tabs>
        <w:spacing w:line="446" w:lineRule="auto"/>
        <w:ind w:left="418" w:right="1580" w:firstLine="419"/>
        <w:rPr>
          <w:sz w:val="21"/>
        </w:rPr>
      </w:pPr>
      <w:r>
        <w:rPr>
          <w:spacing w:val="-16"/>
          <w:sz w:val="21"/>
        </w:rPr>
        <w:t>超过</w:t>
      </w:r>
      <w:r>
        <w:rPr>
          <w:spacing w:val="-16"/>
          <w:sz w:val="21"/>
        </w:rPr>
        <w:t xml:space="preserve"> </w:t>
      </w:r>
      <w:r>
        <w:rPr>
          <w:sz w:val="21"/>
        </w:rPr>
        <w:t>2</w:t>
      </w:r>
      <w:r>
        <w:rPr>
          <w:spacing w:val="-12"/>
          <w:sz w:val="21"/>
        </w:rPr>
        <w:t xml:space="preserve"> </w:t>
      </w:r>
      <w:r>
        <w:rPr>
          <w:spacing w:val="-12"/>
          <w:sz w:val="21"/>
        </w:rPr>
        <w:t>层或建筑面积大于</w:t>
      </w:r>
      <w:r>
        <w:rPr>
          <w:spacing w:val="-12"/>
          <w:sz w:val="21"/>
        </w:rPr>
        <w:t xml:space="preserve"> </w:t>
      </w:r>
      <w:r>
        <w:rPr>
          <w:sz w:val="21"/>
        </w:rPr>
        <w:t>10000m</w:t>
      </w:r>
      <w:r>
        <w:rPr>
          <w:position w:val="11"/>
          <w:sz w:val="11"/>
        </w:rPr>
        <w:t>2</w:t>
      </w:r>
      <w:r>
        <w:rPr>
          <w:spacing w:val="-24"/>
          <w:position w:val="11"/>
          <w:sz w:val="11"/>
        </w:rPr>
        <w:t xml:space="preserve"> </w:t>
      </w:r>
      <w:r>
        <w:rPr>
          <w:spacing w:val="-3"/>
          <w:sz w:val="21"/>
        </w:rPr>
        <w:t>的地下或半地下建筑</w:t>
      </w:r>
      <w:r>
        <w:rPr>
          <w:sz w:val="21"/>
        </w:rPr>
        <w:t>（</w:t>
      </w:r>
      <w:r>
        <w:rPr>
          <w:spacing w:val="-3"/>
          <w:sz w:val="21"/>
        </w:rPr>
        <w:t>室</w:t>
      </w:r>
      <w:r>
        <w:rPr>
          <w:sz w:val="21"/>
        </w:rPr>
        <w:t>）</w:t>
      </w:r>
      <w:r>
        <w:rPr>
          <w:spacing w:val="-3"/>
          <w:sz w:val="21"/>
        </w:rPr>
        <w:t>、室内消火栓设计流量</w:t>
      </w:r>
      <w:r>
        <w:rPr>
          <w:spacing w:val="-20"/>
          <w:sz w:val="21"/>
        </w:rPr>
        <w:t>大于</w:t>
      </w:r>
      <w:r>
        <w:rPr>
          <w:spacing w:val="-20"/>
          <w:sz w:val="21"/>
        </w:rPr>
        <w:t xml:space="preserve"> </w:t>
      </w:r>
      <w:r>
        <w:rPr>
          <w:sz w:val="21"/>
        </w:rPr>
        <w:t>10L/s</w:t>
      </w:r>
      <w:r>
        <w:rPr>
          <w:spacing w:val="-8"/>
          <w:sz w:val="21"/>
        </w:rPr>
        <w:t xml:space="preserve"> </w:t>
      </w:r>
      <w:r>
        <w:rPr>
          <w:spacing w:val="-8"/>
          <w:sz w:val="21"/>
        </w:rPr>
        <w:t>平战结合的人防工程；</w:t>
      </w:r>
      <w:r>
        <w:rPr>
          <w:sz w:val="21"/>
        </w:rPr>
        <w:t xml:space="preserve"> </w:t>
      </w:r>
    </w:p>
    <w:p w14:paraId="791199AF" w14:textId="77777777" w:rsidR="00A71EEF" w:rsidRDefault="0081115D">
      <w:pPr>
        <w:pStyle w:val="a4"/>
        <w:numPr>
          <w:ilvl w:val="0"/>
          <w:numId w:val="268"/>
        </w:numPr>
        <w:tabs>
          <w:tab w:val="left" w:pos="1367"/>
        </w:tabs>
        <w:rPr>
          <w:sz w:val="21"/>
        </w:rPr>
      </w:pPr>
      <w:r>
        <w:rPr>
          <w:spacing w:val="-3"/>
          <w:sz w:val="21"/>
        </w:rPr>
        <w:t>高层工业建筑和超过四层的多层工业建筑；</w:t>
      </w:r>
      <w:r>
        <w:rPr>
          <w:sz w:val="21"/>
        </w:rPr>
        <w:t xml:space="preserve"> </w:t>
      </w:r>
    </w:p>
    <w:p w14:paraId="3341DA04" w14:textId="77777777" w:rsidR="00A71EEF" w:rsidRDefault="00A71EEF">
      <w:pPr>
        <w:pStyle w:val="a3"/>
        <w:spacing w:before="12"/>
        <w:rPr>
          <w:sz w:val="17"/>
        </w:rPr>
      </w:pPr>
    </w:p>
    <w:p w14:paraId="0055A6A5" w14:textId="77777777" w:rsidR="00A71EEF" w:rsidRDefault="0081115D">
      <w:pPr>
        <w:pStyle w:val="a4"/>
        <w:numPr>
          <w:ilvl w:val="0"/>
          <w:numId w:val="268"/>
        </w:numPr>
        <w:tabs>
          <w:tab w:val="left" w:pos="1367"/>
        </w:tabs>
        <w:rPr>
          <w:sz w:val="21"/>
        </w:rPr>
      </w:pPr>
      <w:r>
        <w:rPr>
          <w:spacing w:val="-3"/>
          <w:sz w:val="21"/>
        </w:rPr>
        <w:t>城市交通隧道。</w:t>
      </w:r>
      <w:r>
        <w:rPr>
          <w:sz w:val="21"/>
        </w:rPr>
        <w:t xml:space="preserve"> </w:t>
      </w:r>
    </w:p>
    <w:p w14:paraId="70E6BD96" w14:textId="77777777" w:rsidR="00A71EEF" w:rsidRDefault="00A71EEF">
      <w:pPr>
        <w:pStyle w:val="a3"/>
        <w:spacing w:before="12"/>
        <w:rPr>
          <w:sz w:val="17"/>
        </w:rPr>
      </w:pPr>
    </w:p>
    <w:p w14:paraId="5F0425CB" w14:textId="77777777" w:rsidR="00A71EEF" w:rsidRDefault="0081115D">
      <w:pPr>
        <w:pStyle w:val="a4"/>
        <w:numPr>
          <w:ilvl w:val="2"/>
          <w:numId w:val="269"/>
        </w:numPr>
        <w:tabs>
          <w:tab w:val="left" w:pos="1424"/>
        </w:tabs>
        <w:spacing w:line="446" w:lineRule="auto"/>
        <w:ind w:left="418" w:right="1445" w:firstLine="422"/>
        <w:rPr>
          <w:sz w:val="21"/>
        </w:rPr>
      </w:pPr>
      <w:r>
        <w:rPr>
          <w:spacing w:val="-3"/>
          <w:sz w:val="21"/>
        </w:rPr>
        <w:t>自动喷水灭火系统、水喷雾灭火系统、泡沫灭火系统和固定消防炮灭火系统等水灭火系统，均应设置消防水泵接合器。</w:t>
      </w:r>
      <w:r>
        <w:rPr>
          <w:sz w:val="21"/>
        </w:rPr>
        <w:t xml:space="preserve"> </w:t>
      </w:r>
    </w:p>
    <w:p w14:paraId="3D2AC02D" w14:textId="77777777" w:rsidR="00A71EEF" w:rsidRDefault="0081115D">
      <w:pPr>
        <w:pStyle w:val="a4"/>
        <w:numPr>
          <w:ilvl w:val="2"/>
          <w:numId w:val="269"/>
        </w:numPr>
        <w:tabs>
          <w:tab w:val="left" w:pos="1424"/>
        </w:tabs>
        <w:spacing w:before="1" w:line="446" w:lineRule="auto"/>
        <w:ind w:left="418" w:right="1448" w:firstLine="422"/>
        <w:rPr>
          <w:sz w:val="21"/>
        </w:rPr>
      </w:pPr>
      <w:r>
        <w:rPr>
          <w:spacing w:val="-6"/>
          <w:sz w:val="21"/>
        </w:rPr>
        <w:t>消防水泵接合器的给水流量宜按每个</w:t>
      </w:r>
      <w:r>
        <w:rPr>
          <w:spacing w:val="-6"/>
          <w:sz w:val="21"/>
        </w:rPr>
        <w:t xml:space="preserve"> </w:t>
      </w:r>
      <w:r>
        <w:rPr>
          <w:sz w:val="21"/>
        </w:rPr>
        <w:t>10</w:t>
      </w:r>
      <w:r>
        <w:rPr>
          <w:sz w:val="21"/>
        </w:rPr>
        <w:t>～</w:t>
      </w:r>
      <w:r>
        <w:rPr>
          <w:sz w:val="21"/>
        </w:rPr>
        <w:t>15L/s</w:t>
      </w:r>
      <w:r>
        <w:rPr>
          <w:spacing w:val="-8"/>
          <w:sz w:val="21"/>
        </w:rPr>
        <w:t xml:space="preserve"> </w:t>
      </w:r>
      <w:r>
        <w:rPr>
          <w:spacing w:val="-8"/>
          <w:sz w:val="21"/>
        </w:rPr>
        <w:t>计算。每种水灭火系统的消防水泵接</w:t>
      </w:r>
      <w:r>
        <w:rPr>
          <w:spacing w:val="-7"/>
          <w:sz w:val="21"/>
        </w:rPr>
        <w:t>合器设置的数量应按系统设计流量经计算确定，但当计算数量超过</w:t>
      </w:r>
      <w:r>
        <w:rPr>
          <w:spacing w:val="-7"/>
          <w:sz w:val="21"/>
        </w:rPr>
        <w:t xml:space="preserve"> </w:t>
      </w:r>
      <w:r>
        <w:rPr>
          <w:sz w:val="21"/>
        </w:rPr>
        <w:t>3</w:t>
      </w:r>
      <w:r>
        <w:rPr>
          <w:spacing w:val="-8"/>
          <w:sz w:val="21"/>
        </w:rPr>
        <w:t xml:space="preserve"> </w:t>
      </w:r>
      <w:r>
        <w:rPr>
          <w:spacing w:val="-8"/>
          <w:sz w:val="21"/>
        </w:rPr>
        <w:t>个时，可根据供水可靠性</w:t>
      </w:r>
      <w:r>
        <w:rPr>
          <w:spacing w:val="-8"/>
          <w:sz w:val="21"/>
        </w:rPr>
        <w:t xml:space="preserve"> </w:t>
      </w:r>
      <w:r>
        <w:rPr>
          <w:spacing w:val="-6"/>
          <w:sz w:val="21"/>
        </w:rPr>
        <w:t>适当减少；</w:t>
      </w:r>
      <w:r>
        <w:rPr>
          <w:sz w:val="21"/>
        </w:rPr>
        <w:t xml:space="preserve"> </w:t>
      </w:r>
    </w:p>
    <w:p w14:paraId="2C1B599D" w14:textId="77777777" w:rsidR="00A71EEF" w:rsidRDefault="00A71EEF">
      <w:pPr>
        <w:spacing w:line="446" w:lineRule="auto"/>
        <w:rPr>
          <w:sz w:val="21"/>
        </w:rPr>
        <w:sectPr w:rsidR="00A71EEF">
          <w:pgSz w:w="11910" w:h="16850"/>
          <w:pgMar w:top="1220" w:right="0" w:bottom="1420" w:left="1260" w:header="0" w:footer="1239" w:gutter="0"/>
          <w:cols w:space="720"/>
        </w:sectPr>
      </w:pPr>
    </w:p>
    <w:p w14:paraId="304998A7" w14:textId="77777777" w:rsidR="00A71EEF" w:rsidRDefault="0081115D">
      <w:pPr>
        <w:pStyle w:val="a4"/>
        <w:numPr>
          <w:ilvl w:val="2"/>
          <w:numId w:val="269"/>
        </w:numPr>
        <w:tabs>
          <w:tab w:val="left" w:pos="1371"/>
        </w:tabs>
        <w:spacing w:before="47" w:line="446" w:lineRule="auto"/>
        <w:ind w:left="418" w:right="1604" w:firstLine="422"/>
        <w:rPr>
          <w:sz w:val="21"/>
        </w:rPr>
      </w:pPr>
      <w:r>
        <w:rPr>
          <w:spacing w:val="-3"/>
          <w:sz w:val="21"/>
        </w:rPr>
        <w:t>临时高压消防给水系统向多栋建筑供水时，消防水泵接合器应在每座建筑附近就近设置。</w:t>
      </w:r>
      <w:r>
        <w:rPr>
          <w:sz w:val="21"/>
        </w:rPr>
        <w:t xml:space="preserve"> </w:t>
      </w:r>
    </w:p>
    <w:p w14:paraId="1272167D" w14:textId="77777777" w:rsidR="00A71EEF" w:rsidRDefault="0081115D">
      <w:pPr>
        <w:pStyle w:val="a4"/>
        <w:numPr>
          <w:ilvl w:val="2"/>
          <w:numId w:val="269"/>
        </w:numPr>
        <w:tabs>
          <w:tab w:val="left" w:pos="1424"/>
        </w:tabs>
        <w:spacing w:line="267" w:lineRule="exact"/>
        <w:ind w:left="1423" w:hanging="584"/>
        <w:rPr>
          <w:sz w:val="21"/>
        </w:rPr>
      </w:pPr>
      <w:r>
        <w:rPr>
          <w:spacing w:val="-3"/>
          <w:sz w:val="21"/>
        </w:rPr>
        <w:t>消防水泵接合器的供水范围，应根据当地消防车的供水流量和压力确定。</w:t>
      </w:r>
      <w:r>
        <w:rPr>
          <w:spacing w:val="-3"/>
          <w:sz w:val="21"/>
        </w:rPr>
        <w:t xml:space="preserve"> </w:t>
      </w:r>
    </w:p>
    <w:p w14:paraId="3DD56864" w14:textId="77777777" w:rsidR="00A71EEF" w:rsidRDefault="00A71EEF">
      <w:pPr>
        <w:pStyle w:val="a3"/>
        <w:spacing w:before="2"/>
        <w:rPr>
          <w:sz w:val="18"/>
        </w:rPr>
      </w:pPr>
    </w:p>
    <w:p w14:paraId="3F1299E6" w14:textId="77777777" w:rsidR="00A71EEF" w:rsidRDefault="0081115D">
      <w:pPr>
        <w:pStyle w:val="a4"/>
        <w:numPr>
          <w:ilvl w:val="2"/>
          <w:numId w:val="269"/>
        </w:numPr>
        <w:tabs>
          <w:tab w:val="left" w:pos="1424"/>
        </w:tabs>
        <w:spacing w:line="446" w:lineRule="auto"/>
        <w:ind w:left="418" w:right="1445" w:firstLine="422"/>
        <w:rPr>
          <w:sz w:val="21"/>
        </w:rPr>
      </w:pPr>
      <w:r>
        <w:rPr>
          <w:spacing w:val="-3"/>
          <w:sz w:val="21"/>
        </w:rPr>
        <w:t>消防给水为竖向分区供水时，在消防车供水压力范围内的分区，应分别设置水泵接合器；当建筑高度超过消防车供水高度时，消防给水应在设备层等方便操作的地点设置手抬泵或</w:t>
      </w:r>
      <w:r>
        <w:rPr>
          <w:spacing w:val="-3"/>
          <w:sz w:val="21"/>
        </w:rPr>
        <w:t xml:space="preserve"> </w:t>
      </w:r>
      <w:r>
        <w:rPr>
          <w:spacing w:val="-3"/>
          <w:sz w:val="21"/>
        </w:rPr>
        <w:t>移动泵接力供水的吸水和加压接口。</w:t>
      </w:r>
      <w:r>
        <w:rPr>
          <w:sz w:val="21"/>
        </w:rPr>
        <w:t xml:space="preserve"> </w:t>
      </w:r>
    </w:p>
    <w:p w14:paraId="47A6D0AA" w14:textId="77777777" w:rsidR="00A71EEF" w:rsidRDefault="0081115D">
      <w:pPr>
        <w:pStyle w:val="a4"/>
        <w:numPr>
          <w:ilvl w:val="2"/>
          <w:numId w:val="269"/>
        </w:numPr>
        <w:tabs>
          <w:tab w:val="left" w:pos="1424"/>
        </w:tabs>
        <w:spacing w:line="446" w:lineRule="auto"/>
        <w:ind w:left="418" w:right="1445" w:firstLine="422"/>
        <w:rPr>
          <w:sz w:val="21"/>
        </w:rPr>
      </w:pPr>
      <w:r>
        <w:rPr>
          <w:spacing w:val="-3"/>
          <w:sz w:val="21"/>
        </w:rPr>
        <w:t>水泵接合器应设在室外便于消防车使用的地点，且距室外消火栓或消防水池的距离不</w:t>
      </w:r>
      <w:r>
        <w:rPr>
          <w:spacing w:val="-15"/>
          <w:sz w:val="21"/>
        </w:rPr>
        <w:t>宜小于</w:t>
      </w:r>
      <w:r>
        <w:rPr>
          <w:spacing w:val="-15"/>
          <w:sz w:val="21"/>
        </w:rPr>
        <w:t xml:space="preserve"> </w:t>
      </w:r>
      <w:r>
        <w:rPr>
          <w:sz w:val="21"/>
        </w:rPr>
        <w:t>15m</w:t>
      </w:r>
      <w:r>
        <w:rPr>
          <w:spacing w:val="-11"/>
          <w:sz w:val="21"/>
        </w:rPr>
        <w:t>，并不宜大于</w:t>
      </w:r>
      <w:r>
        <w:rPr>
          <w:spacing w:val="-11"/>
          <w:sz w:val="21"/>
        </w:rPr>
        <w:t xml:space="preserve"> </w:t>
      </w:r>
      <w:r>
        <w:rPr>
          <w:sz w:val="21"/>
        </w:rPr>
        <w:t>40m</w:t>
      </w:r>
      <w:r>
        <w:rPr>
          <w:spacing w:val="-3"/>
          <w:sz w:val="21"/>
        </w:rPr>
        <w:t>。</w:t>
      </w:r>
      <w:r>
        <w:rPr>
          <w:sz w:val="21"/>
        </w:rPr>
        <w:t xml:space="preserve"> </w:t>
      </w:r>
    </w:p>
    <w:p w14:paraId="659FE7DE" w14:textId="77777777" w:rsidR="00A71EEF" w:rsidRDefault="0081115D">
      <w:pPr>
        <w:pStyle w:val="a4"/>
        <w:numPr>
          <w:ilvl w:val="2"/>
          <w:numId w:val="269"/>
        </w:numPr>
        <w:tabs>
          <w:tab w:val="left" w:pos="1424"/>
        </w:tabs>
        <w:spacing w:line="446" w:lineRule="auto"/>
        <w:ind w:left="418" w:right="1503" w:firstLine="422"/>
        <w:jc w:val="both"/>
        <w:rPr>
          <w:sz w:val="21"/>
        </w:rPr>
      </w:pPr>
      <w:r>
        <w:rPr>
          <w:spacing w:val="-5"/>
          <w:sz w:val="21"/>
        </w:rPr>
        <w:t>墙壁消防水泵接合器的安装高度距地面宜为</w:t>
      </w:r>
      <w:r>
        <w:rPr>
          <w:spacing w:val="-5"/>
          <w:sz w:val="21"/>
        </w:rPr>
        <w:t xml:space="preserve"> </w:t>
      </w:r>
      <w:r>
        <w:rPr>
          <w:sz w:val="21"/>
        </w:rPr>
        <w:t>0.70m</w:t>
      </w:r>
      <w:r>
        <w:rPr>
          <w:spacing w:val="-3"/>
          <w:sz w:val="21"/>
        </w:rPr>
        <w:t>；与墙面上的门、窗、孔、洞的净</w:t>
      </w:r>
      <w:r>
        <w:rPr>
          <w:spacing w:val="-8"/>
          <w:sz w:val="21"/>
        </w:rPr>
        <w:t>距离不应小于</w:t>
      </w:r>
      <w:r>
        <w:rPr>
          <w:spacing w:val="-8"/>
          <w:sz w:val="21"/>
        </w:rPr>
        <w:t xml:space="preserve"> </w:t>
      </w:r>
      <w:r>
        <w:rPr>
          <w:sz w:val="21"/>
        </w:rPr>
        <w:t>2.0m</w:t>
      </w:r>
      <w:r>
        <w:rPr>
          <w:spacing w:val="-3"/>
          <w:sz w:val="21"/>
        </w:rPr>
        <w:t>，且不应安装在玻璃幕墙下方；地下消防水泵接合器的安装，应使进水口与井盖底面的距离不大于</w:t>
      </w:r>
      <w:r>
        <w:rPr>
          <w:spacing w:val="-3"/>
          <w:sz w:val="21"/>
        </w:rPr>
        <w:t xml:space="preserve"> </w:t>
      </w:r>
      <w:r>
        <w:rPr>
          <w:sz w:val="21"/>
        </w:rPr>
        <w:t>0.4m</w:t>
      </w:r>
      <w:r>
        <w:rPr>
          <w:spacing w:val="-3"/>
          <w:sz w:val="21"/>
        </w:rPr>
        <w:t>，且不应小于井盖的半径。</w:t>
      </w:r>
      <w:r>
        <w:rPr>
          <w:sz w:val="21"/>
        </w:rPr>
        <w:t xml:space="preserve"> </w:t>
      </w:r>
    </w:p>
    <w:p w14:paraId="428F0EE2" w14:textId="77777777" w:rsidR="00A71EEF" w:rsidRDefault="0081115D">
      <w:pPr>
        <w:pStyle w:val="a4"/>
        <w:numPr>
          <w:ilvl w:val="2"/>
          <w:numId w:val="269"/>
        </w:numPr>
        <w:tabs>
          <w:tab w:val="left" w:pos="1424"/>
        </w:tabs>
        <w:spacing w:line="446" w:lineRule="auto"/>
        <w:ind w:left="840" w:right="1553" w:firstLine="0"/>
        <w:jc w:val="both"/>
        <w:rPr>
          <w:sz w:val="21"/>
        </w:rPr>
      </w:pPr>
      <w:r>
        <w:rPr>
          <w:spacing w:val="-3"/>
          <w:sz w:val="21"/>
        </w:rPr>
        <w:t>水泵接合器处应设置永久性标志铭牌，并应标明供水系统、供水范围和额定压力。</w:t>
      </w:r>
      <w:r>
        <w:rPr>
          <w:b/>
          <w:sz w:val="21"/>
        </w:rPr>
        <w:t>5.5</w:t>
      </w:r>
      <w:r>
        <w:rPr>
          <w:b/>
          <w:spacing w:val="1"/>
          <w:sz w:val="21"/>
        </w:rPr>
        <w:t xml:space="preserve"> </w:t>
      </w:r>
      <w:r>
        <w:rPr>
          <w:spacing w:val="-3"/>
          <w:sz w:val="21"/>
        </w:rPr>
        <w:t>消防水泵房</w:t>
      </w:r>
      <w:r>
        <w:rPr>
          <w:sz w:val="21"/>
        </w:rPr>
        <w:t xml:space="preserve"> </w:t>
      </w:r>
    </w:p>
    <w:p w14:paraId="053AC8C6" w14:textId="77777777" w:rsidR="00A71EEF" w:rsidRDefault="0081115D">
      <w:pPr>
        <w:ind w:left="840"/>
        <w:jc w:val="both"/>
        <w:rPr>
          <w:sz w:val="21"/>
        </w:rPr>
      </w:pPr>
      <w:r>
        <w:rPr>
          <w:b/>
          <w:sz w:val="21"/>
        </w:rPr>
        <w:t>5.5.1</w:t>
      </w:r>
      <w:r>
        <w:rPr>
          <w:b/>
          <w:spacing w:val="-51"/>
          <w:sz w:val="21"/>
        </w:rPr>
        <w:t xml:space="preserve"> </w:t>
      </w:r>
      <w:r>
        <w:rPr>
          <w:spacing w:val="-3"/>
          <w:sz w:val="21"/>
        </w:rPr>
        <w:t>消防水泵房应设置起重设施，并应符合下列规定：</w:t>
      </w:r>
      <w:r>
        <w:rPr>
          <w:sz w:val="21"/>
        </w:rPr>
        <w:t xml:space="preserve"> </w:t>
      </w:r>
    </w:p>
    <w:p w14:paraId="3B351126" w14:textId="77777777" w:rsidR="00A71EEF" w:rsidRDefault="00A71EEF">
      <w:pPr>
        <w:pStyle w:val="a3"/>
        <w:spacing w:before="8"/>
        <w:rPr>
          <w:sz w:val="17"/>
        </w:rPr>
      </w:pPr>
    </w:p>
    <w:p w14:paraId="7DDFA1A3" w14:textId="77777777" w:rsidR="00A71EEF" w:rsidRDefault="0081115D">
      <w:pPr>
        <w:pStyle w:val="a4"/>
        <w:numPr>
          <w:ilvl w:val="0"/>
          <w:numId w:val="267"/>
        </w:numPr>
        <w:tabs>
          <w:tab w:val="left" w:pos="1367"/>
        </w:tabs>
        <w:rPr>
          <w:sz w:val="21"/>
        </w:rPr>
      </w:pPr>
      <w:r>
        <w:rPr>
          <w:spacing w:val="-8"/>
          <w:sz w:val="21"/>
        </w:rPr>
        <w:t>消防水泵的重量小于</w:t>
      </w:r>
      <w:r>
        <w:rPr>
          <w:spacing w:val="-8"/>
          <w:sz w:val="21"/>
        </w:rPr>
        <w:t xml:space="preserve"> </w:t>
      </w:r>
      <w:r>
        <w:rPr>
          <w:sz w:val="21"/>
        </w:rPr>
        <w:t>0.5t</w:t>
      </w:r>
      <w:r>
        <w:rPr>
          <w:spacing w:val="-9"/>
          <w:sz w:val="21"/>
        </w:rPr>
        <w:t xml:space="preserve"> </w:t>
      </w:r>
      <w:r>
        <w:rPr>
          <w:spacing w:val="-9"/>
          <w:sz w:val="21"/>
        </w:rPr>
        <w:t>时，宜设置固定吊钩或移动吊架；</w:t>
      </w:r>
      <w:r>
        <w:rPr>
          <w:sz w:val="21"/>
        </w:rPr>
        <w:t xml:space="preserve"> </w:t>
      </w:r>
    </w:p>
    <w:p w14:paraId="0748EB52" w14:textId="77777777" w:rsidR="00A71EEF" w:rsidRDefault="00A71EEF">
      <w:pPr>
        <w:pStyle w:val="a3"/>
        <w:spacing w:before="2"/>
        <w:rPr>
          <w:sz w:val="18"/>
        </w:rPr>
      </w:pPr>
    </w:p>
    <w:p w14:paraId="13785B12" w14:textId="77777777" w:rsidR="00A71EEF" w:rsidRDefault="0081115D">
      <w:pPr>
        <w:pStyle w:val="a4"/>
        <w:numPr>
          <w:ilvl w:val="0"/>
          <w:numId w:val="267"/>
        </w:numPr>
        <w:tabs>
          <w:tab w:val="left" w:pos="1367"/>
        </w:tabs>
        <w:rPr>
          <w:sz w:val="21"/>
        </w:rPr>
      </w:pPr>
      <w:r>
        <w:rPr>
          <w:spacing w:val="-9"/>
          <w:sz w:val="21"/>
        </w:rPr>
        <w:t>消防水泵的重量为</w:t>
      </w:r>
      <w:r>
        <w:rPr>
          <w:spacing w:val="-9"/>
          <w:sz w:val="21"/>
        </w:rPr>
        <w:t xml:space="preserve"> </w:t>
      </w:r>
      <w:r>
        <w:rPr>
          <w:sz w:val="21"/>
        </w:rPr>
        <w:t>0.5</w:t>
      </w:r>
      <w:r>
        <w:rPr>
          <w:sz w:val="21"/>
        </w:rPr>
        <w:t>～</w:t>
      </w:r>
      <w:r>
        <w:rPr>
          <w:sz w:val="21"/>
        </w:rPr>
        <w:t>3t</w:t>
      </w:r>
      <w:r>
        <w:rPr>
          <w:spacing w:val="-9"/>
          <w:sz w:val="21"/>
        </w:rPr>
        <w:t xml:space="preserve"> </w:t>
      </w:r>
      <w:r>
        <w:rPr>
          <w:spacing w:val="-9"/>
          <w:sz w:val="21"/>
        </w:rPr>
        <w:t>时，宜设置手动起重设备；</w:t>
      </w:r>
      <w:r>
        <w:rPr>
          <w:sz w:val="21"/>
        </w:rPr>
        <w:t xml:space="preserve"> </w:t>
      </w:r>
    </w:p>
    <w:p w14:paraId="0B4A7073" w14:textId="77777777" w:rsidR="00A71EEF" w:rsidRDefault="00A71EEF">
      <w:pPr>
        <w:pStyle w:val="a3"/>
        <w:spacing w:before="12"/>
        <w:rPr>
          <w:sz w:val="17"/>
        </w:rPr>
      </w:pPr>
    </w:p>
    <w:p w14:paraId="41C89404" w14:textId="77777777" w:rsidR="00A71EEF" w:rsidRDefault="0081115D">
      <w:pPr>
        <w:pStyle w:val="a4"/>
        <w:numPr>
          <w:ilvl w:val="0"/>
          <w:numId w:val="267"/>
        </w:numPr>
        <w:tabs>
          <w:tab w:val="left" w:pos="1367"/>
        </w:tabs>
        <w:spacing w:line="446" w:lineRule="auto"/>
        <w:ind w:left="840" w:right="4448" w:hanging="3"/>
        <w:rPr>
          <w:sz w:val="21"/>
        </w:rPr>
      </w:pPr>
      <w:r>
        <w:rPr>
          <w:spacing w:val="-8"/>
          <w:sz w:val="21"/>
        </w:rPr>
        <w:t>消防水泵的重量大于</w:t>
      </w:r>
      <w:r>
        <w:rPr>
          <w:spacing w:val="-8"/>
          <w:sz w:val="21"/>
        </w:rPr>
        <w:t xml:space="preserve"> </w:t>
      </w:r>
      <w:r>
        <w:rPr>
          <w:sz w:val="21"/>
        </w:rPr>
        <w:t>3t</w:t>
      </w:r>
      <w:r>
        <w:rPr>
          <w:spacing w:val="-8"/>
          <w:sz w:val="21"/>
        </w:rPr>
        <w:t xml:space="preserve"> </w:t>
      </w:r>
      <w:r>
        <w:rPr>
          <w:spacing w:val="-8"/>
          <w:sz w:val="21"/>
        </w:rPr>
        <w:t>时，应设置电动起重设备。</w:t>
      </w:r>
      <w:r>
        <w:rPr>
          <w:b/>
          <w:sz w:val="21"/>
        </w:rPr>
        <w:t>5.5.2</w:t>
      </w:r>
      <w:r>
        <w:rPr>
          <w:b/>
          <w:spacing w:val="3"/>
          <w:sz w:val="21"/>
        </w:rPr>
        <w:t xml:space="preserve"> </w:t>
      </w:r>
      <w:r>
        <w:rPr>
          <w:spacing w:val="-3"/>
          <w:sz w:val="21"/>
        </w:rPr>
        <w:t>消防水泵机组的布置应符合下列规定：</w:t>
      </w:r>
      <w:r>
        <w:rPr>
          <w:sz w:val="21"/>
        </w:rPr>
        <w:t xml:space="preserve"> </w:t>
      </w:r>
    </w:p>
    <w:p w14:paraId="46E325AF" w14:textId="77777777" w:rsidR="00A71EEF" w:rsidRDefault="0081115D">
      <w:pPr>
        <w:pStyle w:val="a4"/>
        <w:numPr>
          <w:ilvl w:val="0"/>
          <w:numId w:val="266"/>
        </w:numPr>
        <w:tabs>
          <w:tab w:val="left" w:pos="1367"/>
        </w:tabs>
        <w:spacing w:line="446" w:lineRule="auto"/>
        <w:ind w:right="1457" w:firstLine="419"/>
        <w:rPr>
          <w:sz w:val="21"/>
        </w:rPr>
      </w:pPr>
      <w:r>
        <w:rPr>
          <w:spacing w:val="-5"/>
          <w:sz w:val="21"/>
        </w:rPr>
        <w:t>相邻两个机组及机组至墙壁间的净距，当电机容量小于</w:t>
      </w:r>
      <w:r>
        <w:rPr>
          <w:spacing w:val="-5"/>
          <w:sz w:val="21"/>
        </w:rPr>
        <w:t xml:space="preserve"> </w:t>
      </w:r>
      <w:r>
        <w:rPr>
          <w:sz w:val="21"/>
        </w:rPr>
        <w:t>22kW</w:t>
      </w:r>
      <w:r>
        <w:rPr>
          <w:spacing w:val="-14"/>
          <w:sz w:val="21"/>
        </w:rPr>
        <w:t xml:space="preserve"> </w:t>
      </w:r>
      <w:r>
        <w:rPr>
          <w:spacing w:val="-14"/>
          <w:sz w:val="21"/>
        </w:rPr>
        <w:t>时，不宜小于</w:t>
      </w:r>
      <w:r>
        <w:rPr>
          <w:spacing w:val="-14"/>
          <w:sz w:val="21"/>
        </w:rPr>
        <w:t xml:space="preserve"> </w:t>
      </w:r>
      <w:r>
        <w:rPr>
          <w:sz w:val="21"/>
        </w:rPr>
        <w:t>0.60m</w:t>
      </w:r>
      <w:r>
        <w:rPr>
          <w:spacing w:val="-2"/>
          <w:sz w:val="21"/>
        </w:rPr>
        <w:t>；当</w:t>
      </w:r>
      <w:r>
        <w:rPr>
          <w:spacing w:val="-9"/>
          <w:sz w:val="21"/>
        </w:rPr>
        <w:t>电动机容量不小于</w:t>
      </w:r>
      <w:r>
        <w:rPr>
          <w:spacing w:val="-9"/>
          <w:sz w:val="21"/>
        </w:rPr>
        <w:t xml:space="preserve"> </w:t>
      </w:r>
      <w:r>
        <w:rPr>
          <w:sz w:val="21"/>
        </w:rPr>
        <w:t>22kW</w:t>
      </w:r>
      <w:r>
        <w:rPr>
          <w:spacing w:val="-10"/>
          <w:sz w:val="21"/>
        </w:rPr>
        <w:t>，且不大于</w:t>
      </w:r>
      <w:r>
        <w:rPr>
          <w:spacing w:val="-10"/>
          <w:sz w:val="21"/>
        </w:rPr>
        <w:t xml:space="preserve"> </w:t>
      </w:r>
      <w:r>
        <w:rPr>
          <w:sz w:val="21"/>
        </w:rPr>
        <w:t>55kW</w:t>
      </w:r>
      <w:r>
        <w:rPr>
          <w:spacing w:val="-16"/>
          <w:sz w:val="21"/>
        </w:rPr>
        <w:t xml:space="preserve"> </w:t>
      </w:r>
      <w:r>
        <w:rPr>
          <w:spacing w:val="-16"/>
          <w:sz w:val="21"/>
        </w:rPr>
        <w:t>时，不宜小于</w:t>
      </w:r>
      <w:r>
        <w:rPr>
          <w:spacing w:val="-16"/>
          <w:sz w:val="21"/>
        </w:rPr>
        <w:t xml:space="preserve"> </w:t>
      </w:r>
      <w:r>
        <w:rPr>
          <w:sz w:val="21"/>
        </w:rPr>
        <w:t>0.8m</w:t>
      </w:r>
      <w:r>
        <w:rPr>
          <w:spacing w:val="-8"/>
          <w:sz w:val="21"/>
        </w:rPr>
        <w:t>；当电动机容量大于</w:t>
      </w:r>
      <w:r>
        <w:rPr>
          <w:spacing w:val="-8"/>
          <w:sz w:val="21"/>
        </w:rPr>
        <w:t xml:space="preserve"> </w:t>
      </w:r>
      <w:r>
        <w:rPr>
          <w:sz w:val="21"/>
        </w:rPr>
        <w:t>55kW</w:t>
      </w:r>
      <w:r>
        <w:rPr>
          <w:spacing w:val="-14"/>
          <w:sz w:val="21"/>
        </w:rPr>
        <w:t xml:space="preserve"> </w:t>
      </w:r>
      <w:r>
        <w:rPr>
          <w:spacing w:val="-14"/>
          <w:sz w:val="21"/>
        </w:rPr>
        <w:t>且小于</w:t>
      </w:r>
      <w:r>
        <w:rPr>
          <w:spacing w:val="-14"/>
          <w:sz w:val="21"/>
        </w:rPr>
        <w:t>255kW</w:t>
      </w:r>
      <w:r>
        <w:rPr>
          <w:spacing w:val="-16"/>
          <w:sz w:val="21"/>
        </w:rPr>
        <w:t xml:space="preserve"> </w:t>
      </w:r>
      <w:r>
        <w:rPr>
          <w:spacing w:val="-16"/>
          <w:sz w:val="21"/>
        </w:rPr>
        <w:t>时，不宜小于</w:t>
      </w:r>
      <w:r>
        <w:rPr>
          <w:spacing w:val="-16"/>
          <w:sz w:val="21"/>
        </w:rPr>
        <w:t xml:space="preserve"> </w:t>
      </w:r>
      <w:r>
        <w:rPr>
          <w:sz w:val="21"/>
        </w:rPr>
        <w:t>1.2m</w:t>
      </w:r>
      <w:r>
        <w:rPr>
          <w:spacing w:val="-8"/>
          <w:sz w:val="21"/>
        </w:rPr>
        <w:t>；当电动机容量大于</w:t>
      </w:r>
      <w:r>
        <w:rPr>
          <w:spacing w:val="-8"/>
          <w:sz w:val="21"/>
        </w:rPr>
        <w:t xml:space="preserve"> </w:t>
      </w:r>
      <w:r>
        <w:rPr>
          <w:sz w:val="21"/>
        </w:rPr>
        <w:t>255kW</w:t>
      </w:r>
      <w:r>
        <w:rPr>
          <w:spacing w:val="-16"/>
          <w:sz w:val="21"/>
        </w:rPr>
        <w:t xml:space="preserve"> </w:t>
      </w:r>
      <w:r>
        <w:rPr>
          <w:spacing w:val="-16"/>
          <w:sz w:val="21"/>
        </w:rPr>
        <w:t>时，不宜小于</w:t>
      </w:r>
      <w:r>
        <w:rPr>
          <w:spacing w:val="-16"/>
          <w:sz w:val="21"/>
        </w:rPr>
        <w:t xml:space="preserve"> </w:t>
      </w:r>
      <w:r>
        <w:rPr>
          <w:sz w:val="21"/>
        </w:rPr>
        <w:t>1.5m</w:t>
      </w:r>
      <w:r>
        <w:rPr>
          <w:sz w:val="21"/>
        </w:rPr>
        <w:t>；</w:t>
      </w:r>
      <w:r>
        <w:rPr>
          <w:sz w:val="21"/>
        </w:rPr>
        <w:t xml:space="preserve"> </w:t>
      </w:r>
    </w:p>
    <w:p w14:paraId="13298850" w14:textId="77777777" w:rsidR="00A71EEF" w:rsidRDefault="0081115D">
      <w:pPr>
        <w:pStyle w:val="a4"/>
        <w:numPr>
          <w:ilvl w:val="0"/>
          <w:numId w:val="266"/>
        </w:numPr>
        <w:tabs>
          <w:tab w:val="left" w:pos="1367"/>
        </w:tabs>
        <w:spacing w:line="446" w:lineRule="auto"/>
        <w:ind w:right="1822" w:firstLine="419"/>
        <w:rPr>
          <w:sz w:val="21"/>
        </w:rPr>
      </w:pPr>
      <w:r>
        <w:rPr>
          <w:spacing w:val="-5"/>
          <w:sz w:val="21"/>
        </w:rPr>
        <w:t>当消防水泵就地检修时，应至少在每个机组一侧设消防水泵机组宽度加</w:t>
      </w:r>
      <w:r>
        <w:rPr>
          <w:spacing w:val="-5"/>
          <w:sz w:val="21"/>
        </w:rPr>
        <w:t xml:space="preserve"> </w:t>
      </w:r>
      <w:r>
        <w:rPr>
          <w:sz w:val="21"/>
        </w:rPr>
        <w:t>0.5m</w:t>
      </w:r>
      <w:r>
        <w:rPr>
          <w:spacing w:val="-13"/>
          <w:sz w:val="21"/>
        </w:rPr>
        <w:t xml:space="preserve"> </w:t>
      </w:r>
      <w:r>
        <w:rPr>
          <w:spacing w:val="-13"/>
          <w:sz w:val="21"/>
        </w:rPr>
        <w:t>的通</w:t>
      </w:r>
      <w:r>
        <w:rPr>
          <w:spacing w:val="-6"/>
          <w:sz w:val="21"/>
        </w:rPr>
        <w:t>道，并应保证消防水泵轴和电动机转子在检修时能拆卸；</w:t>
      </w:r>
      <w:r>
        <w:rPr>
          <w:sz w:val="21"/>
        </w:rPr>
        <w:t xml:space="preserve"> </w:t>
      </w:r>
    </w:p>
    <w:p w14:paraId="3B5F2175" w14:textId="77777777" w:rsidR="00A71EEF" w:rsidRDefault="0081115D">
      <w:pPr>
        <w:pStyle w:val="a4"/>
        <w:numPr>
          <w:ilvl w:val="0"/>
          <w:numId w:val="266"/>
        </w:numPr>
        <w:tabs>
          <w:tab w:val="left" w:pos="1367"/>
        </w:tabs>
        <w:spacing w:line="267" w:lineRule="exact"/>
        <w:ind w:left="1367"/>
        <w:rPr>
          <w:sz w:val="21"/>
        </w:rPr>
      </w:pPr>
      <w:r>
        <w:rPr>
          <w:spacing w:val="-6"/>
          <w:sz w:val="21"/>
        </w:rPr>
        <w:t>消防水泵房的主要通道宽度不应小于</w:t>
      </w:r>
      <w:r>
        <w:rPr>
          <w:spacing w:val="-6"/>
          <w:sz w:val="21"/>
        </w:rPr>
        <w:t xml:space="preserve"> </w:t>
      </w:r>
      <w:r>
        <w:rPr>
          <w:sz w:val="21"/>
        </w:rPr>
        <w:t>1.2m</w:t>
      </w:r>
      <w:r>
        <w:rPr>
          <w:spacing w:val="-3"/>
          <w:sz w:val="21"/>
        </w:rPr>
        <w:t>。</w:t>
      </w:r>
      <w:r>
        <w:rPr>
          <w:sz w:val="21"/>
        </w:rPr>
        <w:t xml:space="preserve"> </w:t>
      </w:r>
    </w:p>
    <w:p w14:paraId="4B93486A" w14:textId="77777777" w:rsidR="00A71EEF" w:rsidRDefault="00A71EEF">
      <w:pPr>
        <w:pStyle w:val="a3"/>
        <w:spacing w:before="1"/>
        <w:rPr>
          <w:sz w:val="18"/>
        </w:rPr>
      </w:pPr>
    </w:p>
    <w:p w14:paraId="6C4DEC36" w14:textId="77777777" w:rsidR="00A71EEF" w:rsidRDefault="0081115D">
      <w:pPr>
        <w:pStyle w:val="a4"/>
        <w:numPr>
          <w:ilvl w:val="2"/>
          <w:numId w:val="265"/>
        </w:numPr>
        <w:tabs>
          <w:tab w:val="left" w:pos="1424"/>
        </w:tabs>
        <w:spacing w:line="446" w:lineRule="auto"/>
        <w:ind w:right="1604" w:firstLine="422"/>
        <w:rPr>
          <w:sz w:val="21"/>
        </w:rPr>
      </w:pPr>
      <w:r>
        <w:rPr>
          <w:spacing w:val="-5"/>
          <w:sz w:val="21"/>
        </w:rPr>
        <w:t>当采用柴油机消防水泵时，机组间的净距宜按本规范第</w:t>
      </w:r>
      <w:r>
        <w:rPr>
          <w:spacing w:val="-5"/>
          <w:sz w:val="21"/>
        </w:rPr>
        <w:t xml:space="preserve"> </w:t>
      </w:r>
      <w:r>
        <w:rPr>
          <w:sz w:val="21"/>
        </w:rPr>
        <w:t>5.5.2</w:t>
      </w:r>
      <w:r>
        <w:rPr>
          <w:spacing w:val="-13"/>
          <w:sz w:val="21"/>
        </w:rPr>
        <w:t xml:space="preserve"> </w:t>
      </w:r>
      <w:r>
        <w:rPr>
          <w:spacing w:val="-13"/>
          <w:sz w:val="21"/>
        </w:rPr>
        <w:t>条规定值增加</w:t>
      </w:r>
      <w:r>
        <w:rPr>
          <w:spacing w:val="-13"/>
          <w:sz w:val="21"/>
        </w:rPr>
        <w:t xml:space="preserve"> </w:t>
      </w:r>
      <w:r>
        <w:rPr>
          <w:sz w:val="21"/>
        </w:rPr>
        <w:t>0.2m</w:t>
      </w:r>
      <w:r>
        <w:rPr>
          <w:sz w:val="21"/>
        </w:rPr>
        <w:t>，</w:t>
      </w:r>
      <w:r>
        <w:rPr>
          <w:sz w:val="21"/>
        </w:rPr>
        <w:t xml:space="preserve"> </w:t>
      </w:r>
      <w:r>
        <w:rPr>
          <w:spacing w:val="-11"/>
          <w:sz w:val="21"/>
        </w:rPr>
        <w:t>但不应小于</w:t>
      </w:r>
      <w:r>
        <w:rPr>
          <w:spacing w:val="-11"/>
          <w:sz w:val="21"/>
        </w:rPr>
        <w:t xml:space="preserve"> </w:t>
      </w:r>
      <w:r>
        <w:rPr>
          <w:sz w:val="21"/>
        </w:rPr>
        <w:t>1.2m</w:t>
      </w:r>
      <w:r>
        <w:rPr>
          <w:spacing w:val="-3"/>
          <w:sz w:val="21"/>
        </w:rPr>
        <w:t>。</w:t>
      </w:r>
      <w:r>
        <w:rPr>
          <w:sz w:val="21"/>
        </w:rPr>
        <w:t xml:space="preserve"> </w:t>
      </w:r>
    </w:p>
    <w:p w14:paraId="046BCE6E" w14:textId="77777777" w:rsidR="00A71EEF" w:rsidRDefault="00A71EEF">
      <w:pPr>
        <w:spacing w:line="446" w:lineRule="auto"/>
        <w:rPr>
          <w:sz w:val="21"/>
        </w:rPr>
        <w:sectPr w:rsidR="00A71EEF">
          <w:pgSz w:w="11910" w:h="16850"/>
          <w:pgMar w:top="1220" w:right="0" w:bottom="1420" w:left="1260" w:header="0" w:footer="1239" w:gutter="0"/>
          <w:cols w:space="720"/>
        </w:sectPr>
      </w:pPr>
    </w:p>
    <w:p w14:paraId="36DAFA59" w14:textId="77777777" w:rsidR="00A71EEF" w:rsidRDefault="0081115D">
      <w:pPr>
        <w:pStyle w:val="a4"/>
        <w:numPr>
          <w:ilvl w:val="2"/>
          <w:numId w:val="265"/>
        </w:numPr>
        <w:tabs>
          <w:tab w:val="left" w:pos="1424"/>
        </w:tabs>
        <w:spacing w:before="47" w:line="446" w:lineRule="auto"/>
        <w:ind w:right="1445" w:firstLine="422"/>
        <w:jc w:val="both"/>
        <w:rPr>
          <w:sz w:val="21"/>
        </w:rPr>
      </w:pPr>
      <w:r>
        <w:rPr>
          <w:spacing w:val="-3"/>
          <w:sz w:val="21"/>
        </w:rPr>
        <w:t>当消防水泵房内设有集中检修场地时，其面积应根据水泵或电动机外形尺寸确定，并</w:t>
      </w:r>
      <w:r>
        <w:rPr>
          <w:spacing w:val="-7"/>
          <w:sz w:val="21"/>
        </w:rPr>
        <w:t>应在周围留有宽度不小于</w:t>
      </w:r>
      <w:r>
        <w:rPr>
          <w:spacing w:val="-7"/>
          <w:sz w:val="21"/>
        </w:rPr>
        <w:t xml:space="preserve"> </w:t>
      </w:r>
      <w:r>
        <w:rPr>
          <w:sz w:val="21"/>
        </w:rPr>
        <w:t>0.7m</w:t>
      </w:r>
      <w:r>
        <w:rPr>
          <w:spacing w:val="-8"/>
          <w:sz w:val="21"/>
        </w:rPr>
        <w:t xml:space="preserve"> </w:t>
      </w:r>
      <w:r>
        <w:rPr>
          <w:spacing w:val="-8"/>
          <w:sz w:val="21"/>
        </w:rPr>
        <w:t>的通道。地下式泵房宜利用空间设集中检修场地。对于装有深井</w:t>
      </w:r>
      <w:r>
        <w:rPr>
          <w:spacing w:val="-5"/>
          <w:sz w:val="21"/>
        </w:rPr>
        <w:t>水泵的湿式竖井泵房，还应设堆放泵管的场地。</w:t>
      </w:r>
      <w:r>
        <w:rPr>
          <w:sz w:val="21"/>
        </w:rPr>
        <w:t xml:space="preserve"> </w:t>
      </w:r>
    </w:p>
    <w:p w14:paraId="09C2FE81" w14:textId="77777777" w:rsidR="00A71EEF" w:rsidRDefault="0081115D">
      <w:pPr>
        <w:pStyle w:val="a4"/>
        <w:numPr>
          <w:ilvl w:val="2"/>
          <w:numId w:val="265"/>
        </w:numPr>
        <w:tabs>
          <w:tab w:val="left" w:pos="1424"/>
        </w:tabs>
        <w:spacing w:line="446" w:lineRule="auto"/>
        <w:ind w:right="1445" w:firstLine="422"/>
        <w:jc w:val="both"/>
        <w:rPr>
          <w:sz w:val="21"/>
        </w:rPr>
      </w:pPr>
      <w:r>
        <w:rPr>
          <w:spacing w:val="-3"/>
          <w:sz w:val="21"/>
        </w:rPr>
        <w:t>消防水泵房内的架空水管道，不应阻碍通道和跨越电气设备，当必须跨越时，应采取保证通道畅通和保护电气设备的措施。</w:t>
      </w:r>
      <w:r>
        <w:rPr>
          <w:sz w:val="21"/>
        </w:rPr>
        <w:t xml:space="preserve"> </w:t>
      </w:r>
    </w:p>
    <w:p w14:paraId="18AA49FF" w14:textId="77777777" w:rsidR="00A71EEF" w:rsidRDefault="0081115D">
      <w:pPr>
        <w:pStyle w:val="a4"/>
        <w:numPr>
          <w:ilvl w:val="2"/>
          <w:numId w:val="265"/>
        </w:numPr>
        <w:tabs>
          <w:tab w:val="left" w:pos="1424"/>
        </w:tabs>
        <w:spacing w:line="446" w:lineRule="auto"/>
        <w:ind w:right="1445" w:firstLine="422"/>
        <w:jc w:val="both"/>
        <w:rPr>
          <w:sz w:val="21"/>
        </w:rPr>
      </w:pPr>
      <w:r>
        <w:rPr>
          <w:spacing w:val="-3"/>
          <w:sz w:val="21"/>
        </w:rPr>
        <w:t>独立的消防水泵房地面层的地坪至屋盖或天花</w:t>
      </w:r>
      <w:r>
        <w:rPr>
          <w:spacing w:val="-3"/>
          <w:sz w:val="21"/>
        </w:rPr>
        <w:t>板等的突出构件底部间的净高，除应按通风采光等条件确定外，且应符合下列规定：</w:t>
      </w:r>
      <w:r>
        <w:rPr>
          <w:sz w:val="21"/>
        </w:rPr>
        <w:t xml:space="preserve"> </w:t>
      </w:r>
    </w:p>
    <w:p w14:paraId="57E578C7" w14:textId="77777777" w:rsidR="00A71EEF" w:rsidRDefault="0081115D">
      <w:pPr>
        <w:pStyle w:val="a4"/>
        <w:numPr>
          <w:ilvl w:val="0"/>
          <w:numId w:val="264"/>
        </w:numPr>
        <w:tabs>
          <w:tab w:val="left" w:pos="1367"/>
        </w:tabs>
        <w:rPr>
          <w:sz w:val="21"/>
        </w:rPr>
      </w:pPr>
      <w:r>
        <w:rPr>
          <w:spacing w:val="-6"/>
          <w:sz w:val="21"/>
        </w:rPr>
        <w:t>当采用固定吊钩或移动吊架时，其值不应小于</w:t>
      </w:r>
      <w:r>
        <w:rPr>
          <w:spacing w:val="-6"/>
          <w:sz w:val="21"/>
        </w:rPr>
        <w:t xml:space="preserve"> </w:t>
      </w:r>
      <w:r>
        <w:rPr>
          <w:sz w:val="21"/>
        </w:rPr>
        <w:t>3.0m</w:t>
      </w:r>
      <w:r>
        <w:rPr>
          <w:sz w:val="21"/>
        </w:rPr>
        <w:t>；</w:t>
      </w:r>
      <w:r>
        <w:rPr>
          <w:sz w:val="21"/>
        </w:rPr>
        <w:t xml:space="preserve"> </w:t>
      </w:r>
    </w:p>
    <w:p w14:paraId="19574C87" w14:textId="77777777" w:rsidR="00A71EEF" w:rsidRDefault="00A71EEF">
      <w:pPr>
        <w:pStyle w:val="a3"/>
        <w:spacing w:before="9"/>
        <w:rPr>
          <w:sz w:val="17"/>
        </w:rPr>
      </w:pPr>
    </w:p>
    <w:p w14:paraId="451F8F8A" w14:textId="77777777" w:rsidR="00A71EEF" w:rsidRDefault="0081115D">
      <w:pPr>
        <w:pStyle w:val="a4"/>
        <w:numPr>
          <w:ilvl w:val="0"/>
          <w:numId w:val="264"/>
        </w:numPr>
        <w:tabs>
          <w:tab w:val="left" w:pos="1367"/>
        </w:tabs>
        <w:spacing w:before="1" w:line="446" w:lineRule="auto"/>
        <w:ind w:left="418" w:right="1507" w:firstLine="419"/>
        <w:rPr>
          <w:sz w:val="21"/>
        </w:rPr>
      </w:pPr>
      <w:r>
        <w:rPr>
          <w:spacing w:val="-5"/>
          <w:sz w:val="21"/>
        </w:rPr>
        <w:t>当采用单轨起重机时，应保持吊起物底部与吊运所越过物体顶部之间有</w:t>
      </w:r>
      <w:r>
        <w:rPr>
          <w:spacing w:val="-5"/>
          <w:sz w:val="21"/>
        </w:rPr>
        <w:t xml:space="preserve"> </w:t>
      </w:r>
      <w:r>
        <w:rPr>
          <w:sz w:val="21"/>
        </w:rPr>
        <w:t>0.50m</w:t>
      </w:r>
      <w:r>
        <w:rPr>
          <w:spacing w:val="-11"/>
          <w:sz w:val="21"/>
        </w:rPr>
        <w:t xml:space="preserve"> </w:t>
      </w:r>
      <w:r>
        <w:rPr>
          <w:spacing w:val="-11"/>
          <w:sz w:val="21"/>
        </w:rPr>
        <w:t>以上的</w:t>
      </w:r>
      <w:r>
        <w:rPr>
          <w:spacing w:val="-9"/>
          <w:sz w:val="21"/>
        </w:rPr>
        <w:t>净距；</w:t>
      </w:r>
      <w:r>
        <w:rPr>
          <w:sz w:val="21"/>
        </w:rPr>
        <w:t xml:space="preserve"> </w:t>
      </w:r>
    </w:p>
    <w:p w14:paraId="66D27952" w14:textId="77777777" w:rsidR="00A71EEF" w:rsidRDefault="0081115D">
      <w:pPr>
        <w:pStyle w:val="a4"/>
        <w:numPr>
          <w:ilvl w:val="0"/>
          <w:numId w:val="264"/>
        </w:numPr>
        <w:tabs>
          <w:tab w:val="left" w:pos="1367"/>
        </w:tabs>
        <w:spacing w:line="446" w:lineRule="auto"/>
        <w:ind w:left="418" w:right="1505" w:firstLine="419"/>
        <w:rPr>
          <w:sz w:val="21"/>
        </w:rPr>
      </w:pPr>
      <w:r>
        <w:rPr>
          <w:spacing w:val="-5"/>
          <w:sz w:val="21"/>
        </w:rPr>
        <w:t>当采用桁架式起重机时，除应符合本条第</w:t>
      </w:r>
      <w:r>
        <w:rPr>
          <w:spacing w:val="-5"/>
          <w:sz w:val="21"/>
        </w:rPr>
        <w:t xml:space="preserve"> </w:t>
      </w:r>
      <w:r>
        <w:rPr>
          <w:sz w:val="21"/>
        </w:rPr>
        <w:t>2</w:t>
      </w:r>
      <w:r>
        <w:rPr>
          <w:spacing w:val="-7"/>
          <w:sz w:val="21"/>
        </w:rPr>
        <w:t xml:space="preserve"> </w:t>
      </w:r>
      <w:r>
        <w:rPr>
          <w:spacing w:val="-7"/>
          <w:sz w:val="21"/>
        </w:rPr>
        <w:t>款的规定外，还应另外增加起重机安装和</w:t>
      </w:r>
      <w:r>
        <w:rPr>
          <w:spacing w:val="-5"/>
          <w:sz w:val="21"/>
        </w:rPr>
        <w:t>检修空间的高度。</w:t>
      </w:r>
      <w:r>
        <w:rPr>
          <w:sz w:val="21"/>
        </w:rPr>
        <w:t xml:space="preserve"> </w:t>
      </w:r>
    </w:p>
    <w:p w14:paraId="338536FA" w14:textId="77777777" w:rsidR="00A71EEF" w:rsidRDefault="0081115D">
      <w:pPr>
        <w:pStyle w:val="a4"/>
        <w:numPr>
          <w:ilvl w:val="2"/>
          <w:numId w:val="265"/>
        </w:numPr>
        <w:tabs>
          <w:tab w:val="left" w:pos="1424"/>
        </w:tabs>
        <w:spacing w:line="446" w:lineRule="auto"/>
        <w:ind w:right="1445" w:firstLine="422"/>
        <w:rPr>
          <w:sz w:val="21"/>
        </w:rPr>
      </w:pPr>
      <w:r>
        <w:rPr>
          <w:spacing w:val="-3"/>
          <w:sz w:val="21"/>
        </w:rPr>
        <w:t>当采用轴流深井水泵时，水泵房净高应按消防水泵吊装和维修的要求确定，当高度过高时，应根据水泵传动轴长度产品规格选择较短规格的产品。</w:t>
      </w:r>
      <w:r>
        <w:rPr>
          <w:sz w:val="21"/>
        </w:rPr>
        <w:t xml:space="preserve"> </w:t>
      </w:r>
    </w:p>
    <w:p w14:paraId="189AD5C9" w14:textId="77777777" w:rsidR="00A71EEF" w:rsidRDefault="0081115D">
      <w:pPr>
        <w:pStyle w:val="a4"/>
        <w:numPr>
          <w:ilvl w:val="2"/>
          <w:numId w:val="265"/>
        </w:numPr>
        <w:tabs>
          <w:tab w:val="left" w:pos="1424"/>
        </w:tabs>
        <w:spacing w:line="267" w:lineRule="exact"/>
        <w:ind w:left="1423"/>
        <w:rPr>
          <w:sz w:val="21"/>
        </w:rPr>
      </w:pPr>
      <w:r>
        <w:rPr>
          <w:spacing w:val="-3"/>
          <w:sz w:val="21"/>
        </w:rPr>
        <w:t>消防水泵房应至少有一个可以搬运最大设备的门。</w:t>
      </w:r>
      <w:r>
        <w:rPr>
          <w:sz w:val="21"/>
        </w:rPr>
        <w:t xml:space="preserve"> </w:t>
      </w:r>
    </w:p>
    <w:p w14:paraId="07084602" w14:textId="77777777" w:rsidR="00A71EEF" w:rsidRDefault="00A71EEF">
      <w:pPr>
        <w:pStyle w:val="a3"/>
        <w:spacing w:before="1"/>
        <w:rPr>
          <w:sz w:val="18"/>
        </w:rPr>
      </w:pPr>
    </w:p>
    <w:p w14:paraId="637260DD" w14:textId="77777777" w:rsidR="00A71EEF" w:rsidRDefault="0081115D">
      <w:pPr>
        <w:pStyle w:val="a4"/>
        <w:numPr>
          <w:ilvl w:val="2"/>
          <w:numId w:val="265"/>
        </w:numPr>
        <w:tabs>
          <w:tab w:val="left" w:pos="1424"/>
        </w:tabs>
        <w:spacing w:line="446" w:lineRule="auto"/>
        <w:ind w:right="1445" w:firstLine="422"/>
        <w:rPr>
          <w:sz w:val="21"/>
        </w:rPr>
      </w:pPr>
      <w:r>
        <w:rPr>
          <w:spacing w:val="-3"/>
          <w:sz w:val="21"/>
        </w:rPr>
        <w:t>消防水泵房的设计应根据具体情况设计相应的采暖、通风和排水设施，并应符合下列规定：</w:t>
      </w:r>
      <w:r>
        <w:rPr>
          <w:sz w:val="21"/>
        </w:rPr>
        <w:t xml:space="preserve"> </w:t>
      </w:r>
    </w:p>
    <w:p w14:paraId="35FAE995" w14:textId="77777777" w:rsidR="00A71EEF" w:rsidRDefault="0081115D">
      <w:pPr>
        <w:pStyle w:val="a4"/>
        <w:numPr>
          <w:ilvl w:val="0"/>
          <w:numId w:val="263"/>
        </w:numPr>
        <w:tabs>
          <w:tab w:val="left" w:pos="1367"/>
        </w:tabs>
        <w:spacing w:line="267" w:lineRule="exact"/>
        <w:rPr>
          <w:sz w:val="21"/>
        </w:rPr>
      </w:pPr>
      <w:r>
        <w:rPr>
          <w:spacing w:val="-6"/>
          <w:sz w:val="21"/>
        </w:rPr>
        <w:t>严寒、寒冷等冬季结冰地区采暖温度不应低于</w:t>
      </w:r>
      <w:r>
        <w:rPr>
          <w:spacing w:val="-6"/>
          <w:sz w:val="21"/>
        </w:rPr>
        <w:t xml:space="preserve"> </w:t>
      </w:r>
      <w:r>
        <w:rPr>
          <w:sz w:val="21"/>
        </w:rPr>
        <w:t>10℃</w:t>
      </w:r>
      <w:r>
        <w:rPr>
          <w:spacing w:val="-7"/>
          <w:sz w:val="21"/>
        </w:rPr>
        <w:t>，但当无人值守时不应低于</w:t>
      </w:r>
      <w:r>
        <w:rPr>
          <w:spacing w:val="-7"/>
          <w:sz w:val="21"/>
        </w:rPr>
        <w:t xml:space="preserve"> </w:t>
      </w:r>
      <w:r>
        <w:rPr>
          <w:sz w:val="21"/>
        </w:rPr>
        <w:t>5℃</w:t>
      </w:r>
      <w:r>
        <w:rPr>
          <w:sz w:val="21"/>
        </w:rPr>
        <w:t>；</w:t>
      </w:r>
      <w:r>
        <w:rPr>
          <w:sz w:val="21"/>
        </w:rPr>
        <w:t xml:space="preserve"> </w:t>
      </w:r>
    </w:p>
    <w:p w14:paraId="75DFD729" w14:textId="77777777" w:rsidR="00A71EEF" w:rsidRDefault="00A71EEF">
      <w:pPr>
        <w:pStyle w:val="a3"/>
        <w:spacing w:before="2"/>
        <w:rPr>
          <w:sz w:val="18"/>
        </w:rPr>
      </w:pPr>
    </w:p>
    <w:p w14:paraId="274E3E86" w14:textId="77777777" w:rsidR="00A71EEF" w:rsidRDefault="0081115D">
      <w:pPr>
        <w:pStyle w:val="a4"/>
        <w:numPr>
          <w:ilvl w:val="0"/>
          <w:numId w:val="263"/>
        </w:numPr>
        <w:tabs>
          <w:tab w:val="left" w:pos="1367"/>
        </w:tabs>
        <w:rPr>
          <w:sz w:val="21"/>
        </w:rPr>
      </w:pPr>
      <w:r>
        <w:rPr>
          <w:spacing w:val="-8"/>
          <w:sz w:val="21"/>
        </w:rPr>
        <w:t>消防水泵房的通风宜按</w:t>
      </w:r>
      <w:r>
        <w:rPr>
          <w:spacing w:val="-8"/>
          <w:sz w:val="21"/>
        </w:rPr>
        <w:t xml:space="preserve"> </w:t>
      </w:r>
      <w:r>
        <w:rPr>
          <w:sz w:val="21"/>
        </w:rPr>
        <w:t>6</w:t>
      </w:r>
      <w:r>
        <w:rPr>
          <w:spacing w:val="-28"/>
          <w:sz w:val="21"/>
        </w:rPr>
        <w:t xml:space="preserve"> </w:t>
      </w:r>
      <w:r>
        <w:rPr>
          <w:spacing w:val="-28"/>
          <w:sz w:val="21"/>
        </w:rPr>
        <w:t>次</w:t>
      </w:r>
      <w:r>
        <w:rPr>
          <w:sz w:val="21"/>
        </w:rPr>
        <w:t>/h</w:t>
      </w:r>
      <w:r>
        <w:rPr>
          <w:spacing w:val="-16"/>
          <w:sz w:val="21"/>
        </w:rPr>
        <w:t xml:space="preserve"> </w:t>
      </w:r>
      <w:r>
        <w:rPr>
          <w:spacing w:val="-16"/>
          <w:sz w:val="21"/>
        </w:rPr>
        <w:t>设计；</w:t>
      </w:r>
      <w:r>
        <w:rPr>
          <w:sz w:val="21"/>
        </w:rPr>
        <w:t xml:space="preserve"> </w:t>
      </w:r>
    </w:p>
    <w:p w14:paraId="7FC1739E" w14:textId="77777777" w:rsidR="00A71EEF" w:rsidRDefault="00A71EEF">
      <w:pPr>
        <w:pStyle w:val="a3"/>
        <w:rPr>
          <w:sz w:val="18"/>
        </w:rPr>
      </w:pPr>
    </w:p>
    <w:p w14:paraId="3B7D658A" w14:textId="77777777" w:rsidR="00A71EEF" w:rsidRDefault="0081115D">
      <w:pPr>
        <w:pStyle w:val="a4"/>
        <w:numPr>
          <w:ilvl w:val="0"/>
          <w:numId w:val="263"/>
        </w:numPr>
        <w:tabs>
          <w:tab w:val="left" w:pos="1367"/>
        </w:tabs>
        <w:rPr>
          <w:sz w:val="21"/>
        </w:rPr>
      </w:pPr>
      <w:r>
        <w:rPr>
          <w:spacing w:val="-3"/>
          <w:sz w:val="21"/>
        </w:rPr>
        <w:t>消防水泵房应设置排水设施。</w:t>
      </w:r>
      <w:r>
        <w:rPr>
          <w:sz w:val="21"/>
        </w:rPr>
        <w:t xml:space="preserve"> </w:t>
      </w:r>
    </w:p>
    <w:p w14:paraId="54AD43C3" w14:textId="77777777" w:rsidR="00A71EEF" w:rsidRDefault="00A71EEF">
      <w:pPr>
        <w:pStyle w:val="a3"/>
        <w:rPr>
          <w:sz w:val="18"/>
        </w:rPr>
      </w:pPr>
    </w:p>
    <w:p w14:paraId="160D6782" w14:textId="77777777" w:rsidR="00A71EEF" w:rsidRDefault="0081115D">
      <w:pPr>
        <w:pStyle w:val="a4"/>
        <w:numPr>
          <w:ilvl w:val="2"/>
          <w:numId w:val="265"/>
        </w:numPr>
        <w:tabs>
          <w:tab w:val="left" w:pos="1478"/>
        </w:tabs>
        <w:spacing w:line="446" w:lineRule="auto"/>
        <w:ind w:right="1498" w:firstLine="422"/>
        <w:rPr>
          <w:sz w:val="21"/>
        </w:rPr>
      </w:pPr>
      <w:r>
        <w:rPr>
          <w:spacing w:val="-3"/>
          <w:sz w:val="21"/>
        </w:rPr>
        <w:t>消防水泵不宜设在有防振或有安静要求房间的上一层、下一层和毗邻位置，当必须时，应采取</w:t>
      </w:r>
      <w:r>
        <w:rPr>
          <w:spacing w:val="-3"/>
          <w:sz w:val="21"/>
        </w:rPr>
        <w:t>下列降噪减振措施：</w:t>
      </w:r>
      <w:r>
        <w:rPr>
          <w:sz w:val="21"/>
        </w:rPr>
        <w:t xml:space="preserve"> </w:t>
      </w:r>
    </w:p>
    <w:p w14:paraId="1B48ADA3" w14:textId="77777777" w:rsidR="00A71EEF" w:rsidRDefault="0081115D">
      <w:pPr>
        <w:pStyle w:val="a4"/>
        <w:numPr>
          <w:ilvl w:val="0"/>
          <w:numId w:val="262"/>
        </w:numPr>
        <w:tabs>
          <w:tab w:val="left" w:pos="1367"/>
        </w:tabs>
        <w:rPr>
          <w:b/>
          <w:sz w:val="21"/>
        </w:rPr>
      </w:pPr>
      <w:r>
        <w:rPr>
          <w:spacing w:val="-3"/>
          <w:sz w:val="21"/>
        </w:rPr>
        <w:t>消防水泵应采用低噪声水泵；</w:t>
      </w:r>
      <w:r>
        <w:rPr>
          <w:b/>
          <w:w w:val="99"/>
          <w:sz w:val="21"/>
        </w:rPr>
        <w:t xml:space="preserve"> </w:t>
      </w:r>
    </w:p>
    <w:p w14:paraId="4E39FDA9" w14:textId="77777777" w:rsidR="00A71EEF" w:rsidRDefault="00A71EEF">
      <w:pPr>
        <w:pStyle w:val="a3"/>
        <w:spacing w:before="12"/>
        <w:rPr>
          <w:b/>
          <w:sz w:val="17"/>
        </w:rPr>
      </w:pPr>
    </w:p>
    <w:p w14:paraId="21C5261F" w14:textId="77777777" w:rsidR="00A71EEF" w:rsidRDefault="0081115D">
      <w:pPr>
        <w:pStyle w:val="a4"/>
        <w:numPr>
          <w:ilvl w:val="0"/>
          <w:numId w:val="262"/>
        </w:numPr>
        <w:tabs>
          <w:tab w:val="left" w:pos="1367"/>
        </w:tabs>
        <w:rPr>
          <w:b/>
          <w:sz w:val="21"/>
        </w:rPr>
      </w:pPr>
      <w:r>
        <w:rPr>
          <w:spacing w:val="-3"/>
          <w:sz w:val="21"/>
        </w:rPr>
        <w:t>消防水泵机组应设隔振装置；</w:t>
      </w:r>
      <w:r>
        <w:rPr>
          <w:b/>
          <w:w w:val="99"/>
          <w:sz w:val="21"/>
        </w:rPr>
        <w:t xml:space="preserve"> </w:t>
      </w:r>
    </w:p>
    <w:p w14:paraId="2354320E" w14:textId="77777777" w:rsidR="00A71EEF" w:rsidRDefault="00A71EEF">
      <w:pPr>
        <w:pStyle w:val="a3"/>
        <w:spacing w:before="2"/>
        <w:rPr>
          <w:b/>
          <w:sz w:val="18"/>
        </w:rPr>
      </w:pPr>
    </w:p>
    <w:p w14:paraId="7010FECD" w14:textId="77777777" w:rsidR="00A71EEF" w:rsidRDefault="0081115D">
      <w:pPr>
        <w:pStyle w:val="a4"/>
        <w:numPr>
          <w:ilvl w:val="0"/>
          <w:numId w:val="262"/>
        </w:numPr>
        <w:tabs>
          <w:tab w:val="left" w:pos="1367"/>
        </w:tabs>
        <w:rPr>
          <w:b/>
          <w:sz w:val="21"/>
        </w:rPr>
      </w:pPr>
      <w:r>
        <w:rPr>
          <w:spacing w:val="-3"/>
          <w:sz w:val="21"/>
        </w:rPr>
        <w:t>消防水泵吸水管和出水管上应设隔振装置；</w:t>
      </w:r>
      <w:r>
        <w:rPr>
          <w:b/>
          <w:w w:val="99"/>
          <w:sz w:val="21"/>
        </w:rPr>
        <w:t xml:space="preserve"> </w:t>
      </w:r>
    </w:p>
    <w:p w14:paraId="570BF5C2" w14:textId="77777777" w:rsidR="00A71EEF" w:rsidRDefault="00A71EEF">
      <w:pPr>
        <w:pStyle w:val="a3"/>
        <w:rPr>
          <w:b/>
          <w:sz w:val="18"/>
        </w:rPr>
      </w:pPr>
    </w:p>
    <w:p w14:paraId="00DFF3EA" w14:textId="77777777" w:rsidR="00A71EEF" w:rsidRDefault="0081115D">
      <w:pPr>
        <w:pStyle w:val="a4"/>
        <w:numPr>
          <w:ilvl w:val="0"/>
          <w:numId w:val="262"/>
        </w:numPr>
        <w:tabs>
          <w:tab w:val="left" w:pos="1367"/>
        </w:tabs>
        <w:rPr>
          <w:b/>
          <w:sz w:val="21"/>
        </w:rPr>
      </w:pPr>
      <w:r>
        <w:rPr>
          <w:spacing w:val="-3"/>
          <w:sz w:val="21"/>
        </w:rPr>
        <w:t>消防水泵房内管道支架和管道穿墙和穿楼板处，应采取防止固体传声的措施；</w:t>
      </w:r>
      <w:r>
        <w:rPr>
          <w:b/>
          <w:w w:val="99"/>
          <w:sz w:val="21"/>
        </w:rPr>
        <w:t xml:space="preserve"> </w:t>
      </w:r>
    </w:p>
    <w:p w14:paraId="2A9D02B8" w14:textId="77777777" w:rsidR="00A71EEF" w:rsidRDefault="00A71EEF">
      <w:pPr>
        <w:pStyle w:val="a3"/>
        <w:spacing w:before="12"/>
        <w:rPr>
          <w:b/>
          <w:sz w:val="17"/>
        </w:rPr>
      </w:pPr>
    </w:p>
    <w:p w14:paraId="647E14D9" w14:textId="77777777" w:rsidR="00A71EEF" w:rsidRDefault="0081115D">
      <w:pPr>
        <w:pStyle w:val="a4"/>
        <w:numPr>
          <w:ilvl w:val="0"/>
          <w:numId w:val="262"/>
        </w:numPr>
        <w:tabs>
          <w:tab w:val="left" w:pos="1367"/>
        </w:tabs>
        <w:rPr>
          <w:b/>
          <w:sz w:val="21"/>
        </w:rPr>
      </w:pPr>
      <w:r>
        <w:rPr>
          <w:spacing w:val="-3"/>
          <w:sz w:val="21"/>
        </w:rPr>
        <w:t>在消防水泵房内墙应采取隔声吸音的技术措施。</w:t>
      </w:r>
      <w:r>
        <w:rPr>
          <w:b/>
          <w:spacing w:val="-3"/>
          <w:w w:val="99"/>
          <w:sz w:val="21"/>
        </w:rPr>
        <w:t xml:space="preserve"> </w:t>
      </w:r>
    </w:p>
    <w:p w14:paraId="53F2C387" w14:textId="77777777" w:rsidR="00A71EEF" w:rsidRDefault="00A71EEF">
      <w:pPr>
        <w:rPr>
          <w:sz w:val="21"/>
        </w:rPr>
        <w:sectPr w:rsidR="00A71EEF">
          <w:pgSz w:w="11910" w:h="16850"/>
          <w:pgMar w:top="1220" w:right="0" w:bottom="1420" w:left="1260" w:header="0" w:footer="1239" w:gutter="0"/>
          <w:cols w:space="720"/>
        </w:sectPr>
      </w:pPr>
    </w:p>
    <w:p w14:paraId="2343E969" w14:textId="77777777" w:rsidR="00A71EEF" w:rsidRDefault="0081115D">
      <w:pPr>
        <w:pStyle w:val="a4"/>
        <w:numPr>
          <w:ilvl w:val="2"/>
          <w:numId w:val="265"/>
        </w:numPr>
        <w:tabs>
          <w:tab w:val="left" w:pos="1527"/>
        </w:tabs>
        <w:spacing w:before="47"/>
        <w:ind w:left="1526" w:hanging="689"/>
        <w:rPr>
          <w:sz w:val="21"/>
        </w:rPr>
      </w:pPr>
      <w:r>
        <w:rPr>
          <w:spacing w:val="-3"/>
          <w:sz w:val="21"/>
        </w:rPr>
        <w:t>消防水泵出水管应进行停泵水锤压力计算，并宜按下列公式计算，当计算所得的水</w:t>
      </w:r>
    </w:p>
    <w:p w14:paraId="7F5E330A" w14:textId="77777777" w:rsidR="00A71EEF" w:rsidRDefault="0081115D">
      <w:pPr>
        <w:pStyle w:val="a3"/>
        <w:spacing w:before="6"/>
        <w:rPr>
          <w:sz w:val="27"/>
        </w:rPr>
      </w:pPr>
      <w:r>
        <w:rPr>
          <w:noProof/>
        </w:rPr>
        <w:drawing>
          <wp:anchor distT="0" distB="0" distL="0" distR="0" simplePos="0" relativeHeight="251659776" behindDoc="0" locked="0" layoutInCell="1" allowOverlap="1" wp14:anchorId="7822620C" wp14:editId="5A185015">
            <wp:simplePos x="0" y="0"/>
            <wp:positionH relativeFrom="page">
              <wp:posOffset>1875960</wp:posOffset>
            </wp:positionH>
            <wp:positionV relativeFrom="paragraph">
              <wp:posOffset>248604</wp:posOffset>
            </wp:positionV>
            <wp:extent cx="3471584" cy="654081"/>
            <wp:effectExtent l="0" t="0" r="0" b="0"/>
            <wp:wrapTopAndBottom/>
            <wp:docPr id="553" name="image3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image319.jpeg"/>
                    <pic:cNvPicPr/>
                  </pic:nvPicPr>
                  <pic:blipFill>
                    <a:blip r:embed="rId379" cstate="print"/>
                    <a:stretch>
                      <a:fillRect/>
                    </a:stretch>
                  </pic:blipFill>
                  <pic:spPr>
                    <a:xfrm>
                      <a:off x="0" y="0"/>
                      <a:ext cx="3471584" cy="654081"/>
                    </a:xfrm>
                    <a:prstGeom prst="rect">
                      <a:avLst/>
                    </a:prstGeom>
                  </pic:spPr>
                </pic:pic>
              </a:graphicData>
            </a:graphic>
          </wp:anchor>
        </w:drawing>
      </w:r>
      <w:r>
        <w:rPr>
          <w:noProof/>
        </w:rPr>
        <w:drawing>
          <wp:anchor distT="0" distB="0" distL="0" distR="0" simplePos="0" relativeHeight="251660800" behindDoc="0" locked="0" layoutInCell="1" allowOverlap="1" wp14:anchorId="71C51ADB" wp14:editId="31A42C9C">
            <wp:simplePos x="0" y="0"/>
            <wp:positionH relativeFrom="page">
              <wp:posOffset>2070152</wp:posOffset>
            </wp:positionH>
            <wp:positionV relativeFrom="paragraph">
              <wp:posOffset>1007965</wp:posOffset>
            </wp:positionV>
            <wp:extent cx="3348075" cy="238125"/>
            <wp:effectExtent l="0" t="0" r="0" b="0"/>
            <wp:wrapTopAndBottom/>
            <wp:docPr id="555" name="image3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image320.jpeg"/>
                    <pic:cNvPicPr/>
                  </pic:nvPicPr>
                  <pic:blipFill>
                    <a:blip r:embed="rId380" cstate="print"/>
                    <a:stretch>
                      <a:fillRect/>
                    </a:stretch>
                  </pic:blipFill>
                  <pic:spPr>
                    <a:xfrm>
                      <a:off x="0" y="0"/>
                      <a:ext cx="3348075" cy="238125"/>
                    </a:xfrm>
                    <a:prstGeom prst="rect">
                      <a:avLst/>
                    </a:prstGeom>
                  </pic:spPr>
                </pic:pic>
              </a:graphicData>
            </a:graphic>
          </wp:anchor>
        </w:drawing>
      </w:r>
    </w:p>
    <w:p w14:paraId="5BD8F4ED" w14:textId="77777777" w:rsidR="00A71EEF" w:rsidRDefault="00A71EEF">
      <w:pPr>
        <w:pStyle w:val="a3"/>
        <w:spacing w:before="8"/>
        <w:rPr>
          <w:sz w:val="7"/>
        </w:rPr>
      </w:pPr>
    </w:p>
    <w:p w14:paraId="2D391053" w14:textId="77777777" w:rsidR="00A71EEF" w:rsidRDefault="00A71EEF">
      <w:pPr>
        <w:pStyle w:val="a3"/>
        <w:spacing w:before="11"/>
        <w:rPr>
          <w:sz w:val="20"/>
        </w:rPr>
      </w:pPr>
    </w:p>
    <w:p w14:paraId="01340D08" w14:textId="77777777" w:rsidR="00A71EEF" w:rsidRDefault="0081115D">
      <w:pPr>
        <w:pStyle w:val="a3"/>
        <w:spacing w:line="446" w:lineRule="auto"/>
        <w:ind w:left="418" w:right="1608"/>
      </w:pPr>
      <w:r>
        <w:t>锤压力值超过管道试验压力值时，应采取消除停泵水锤的技术措施。停泵水锤消除装置应装设在消防水泵出水总管上，以及消防给水系统管网其他适当的位置：</w:t>
      </w:r>
      <w:r>
        <w:t xml:space="preserve"> </w:t>
      </w:r>
    </w:p>
    <w:p w14:paraId="44E4AD52" w14:textId="77777777" w:rsidR="00A71EEF" w:rsidRDefault="0081115D">
      <w:pPr>
        <w:pStyle w:val="a3"/>
        <w:spacing w:before="4"/>
        <w:rPr>
          <w:sz w:val="23"/>
        </w:rPr>
      </w:pPr>
      <w:r>
        <w:rPr>
          <w:noProof/>
        </w:rPr>
        <w:drawing>
          <wp:anchor distT="0" distB="0" distL="0" distR="0" simplePos="0" relativeHeight="251661824" behindDoc="0" locked="0" layoutInCell="1" allowOverlap="1" wp14:anchorId="025029A1" wp14:editId="5859A781">
            <wp:simplePos x="0" y="0"/>
            <wp:positionH relativeFrom="page">
              <wp:posOffset>1633926</wp:posOffset>
            </wp:positionH>
            <wp:positionV relativeFrom="paragraph">
              <wp:posOffset>215028</wp:posOffset>
            </wp:positionV>
            <wp:extent cx="2066817" cy="627888"/>
            <wp:effectExtent l="0" t="0" r="0" b="0"/>
            <wp:wrapTopAndBottom/>
            <wp:docPr id="557" name="image3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image321.jpeg"/>
                    <pic:cNvPicPr/>
                  </pic:nvPicPr>
                  <pic:blipFill>
                    <a:blip r:embed="rId381" cstate="print"/>
                    <a:stretch>
                      <a:fillRect/>
                    </a:stretch>
                  </pic:blipFill>
                  <pic:spPr>
                    <a:xfrm>
                      <a:off x="0" y="0"/>
                      <a:ext cx="2066817" cy="627888"/>
                    </a:xfrm>
                    <a:prstGeom prst="rect">
                      <a:avLst/>
                    </a:prstGeom>
                  </pic:spPr>
                </pic:pic>
              </a:graphicData>
            </a:graphic>
          </wp:anchor>
        </w:drawing>
      </w:r>
    </w:p>
    <w:p w14:paraId="13D9EC39" w14:textId="77777777" w:rsidR="00A71EEF" w:rsidRDefault="00A71EEF">
      <w:pPr>
        <w:pStyle w:val="a3"/>
        <w:spacing w:before="8"/>
        <w:rPr>
          <w:sz w:val="9"/>
        </w:rPr>
      </w:pPr>
    </w:p>
    <w:p w14:paraId="2A4805F3" w14:textId="77777777" w:rsidR="00A71EEF" w:rsidRDefault="0081115D">
      <w:pPr>
        <w:pStyle w:val="a4"/>
        <w:numPr>
          <w:ilvl w:val="2"/>
          <w:numId w:val="265"/>
        </w:numPr>
        <w:tabs>
          <w:tab w:val="left" w:pos="1530"/>
        </w:tabs>
        <w:spacing w:before="71"/>
        <w:ind w:left="1529" w:hanging="690"/>
        <w:rPr>
          <w:sz w:val="21"/>
        </w:rPr>
      </w:pPr>
      <w:r>
        <w:rPr>
          <w:spacing w:val="-3"/>
          <w:sz w:val="21"/>
        </w:rPr>
        <w:t>消防水泵房应符合下列规定：</w:t>
      </w:r>
      <w:r>
        <w:rPr>
          <w:sz w:val="21"/>
        </w:rPr>
        <w:t xml:space="preserve"> </w:t>
      </w:r>
    </w:p>
    <w:p w14:paraId="2818FA72" w14:textId="77777777" w:rsidR="00A71EEF" w:rsidRDefault="00A71EEF">
      <w:pPr>
        <w:pStyle w:val="a3"/>
        <w:rPr>
          <w:sz w:val="18"/>
        </w:rPr>
      </w:pPr>
    </w:p>
    <w:p w14:paraId="614C9F9C" w14:textId="77777777" w:rsidR="00A71EEF" w:rsidRDefault="0081115D">
      <w:pPr>
        <w:pStyle w:val="a4"/>
        <w:numPr>
          <w:ilvl w:val="0"/>
          <w:numId w:val="261"/>
        </w:numPr>
        <w:tabs>
          <w:tab w:val="left" w:pos="1367"/>
        </w:tabs>
        <w:rPr>
          <w:sz w:val="21"/>
        </w:rPr>
      </w:pPr>
      <w:r>
        <w:rPr>
          <w:spacing w:val="-3"/>
          <w:sz w:val="21"/>
        </w:rPr>
        <w:t>独立建造的消防水泵房耐火等级不应低于二级；</w:t>
      </w:r>
      <w:r>
        <w:rPr>
          <w:spacing w:val="-3"/>
          <w:sz w:val="21"/>
        </w:rPr>
        <w:t xml:space="preserve"> </w:t>
      </w:r>
    </w:p>
    <w:p w14:paraId="5394065A" w14:textId="77777777" w:rsidR="00A71EEF" w:rsidRDefault="00A71EEF">
      <w:pPr>
        <w:pStyle w:val="a3"/>
        <w:spacing w:before="12"/>
        <w:rPr>
          <w:sz w:val="17"/>
        </w:rPr>
      </w:pPr>
    </w:p>
    <w:p w14:paraId="70C48D00" w14:textId="77777777" w:rsidR="00A71EEF" w:rsidRDefault="0081115D">
      <w:pPr>
        <w:pStyle w:val="a4"/>
        <w:numPr>
          <w:ilvl w:val="0"/>
          <w:numId w:val="261"/>
        </w:numPr>
        <w:tabs>
          <w:tab w:val="left" w:pos="1367"/>
        </w:tabs>
        <w:spacing w:line="448" w:lineRule="auto"/>
        <w:ind w:left="418" w:right="1505" w:firstLine="419"/>
        <w:rPr>
          <w:sz w:val="21"/>
        </w:rPr>
      </w:pPr>
      <w:r>
        <w:rPr>
          <w:noProof/>
        </w:rPr>
        <w:drawing>
          <wp:anchor distT="0" distB="0" distL="0" distR="0" simplePos="0" relativeHeight="251781632" behindDoc="0" locked="0" layoutInCell="1" allowOverlap="1" wp14:anchorId="027BEB8B" wp14:editId="6707D849">
            <wp:simplePos x="0" y="0"/>
            <wp:positionH relativeFrom="page">
              <wp:posOffset>1179830</wp:posOffset>
            </wp:positionH>
            <wp:positionV relativeFrom="paragraph">
              <wp:posOffset>614302</wp:posOffset>
            </wp:positionV>
            <wp:extent cx="4405452" cy="2810125"/>
            <wp:effectExtent l="0" t="0" r="0" b="0"/>
            <wp:wrapNone/>
            <wp:docPr id="559" name="image3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image322.jpeg"/>
                    <pic:cNvPicPr/>
                  </pic:nvPicPr>
                  <pic:blipFill>
                    <a:blip r:embed="rId382" cstate="print"/>
                    <a:stretch>
                      <a:fillRect/>
                    </a:stretch>
                  </pic:blipFill>
                  <pic:spPr>
                    <a:xfrm>
                      <a:off x="0" y="0"/>
                      <a:ext cx="4405452" cy="2810125"/>
                    </a:xfrm>
                    <a:prstGeom prst="rect">
                      <a:avLst/>
                    </a:prstGeom>
                  </pic:spPr>
                </pic:pic>
              </a:graphicData>
            </a:graphic>
          </wp:anchor>
        </w:drawing>
      </w:r>
      <w:r>
        <w:rPr>
          <w:spacing w:val="-3"/>
          <w:sz w:val="21"/>
        </w:rPr>
        <w:t>附设在建筑物内的消防水泵房，不应设置在地下三层及以下，或室内地面与室外出入</w:t>
      </w:r>
      <w:r>
        <w:rPr>
          <w:spacing w:val="-10"/>
          <w:sz w:val="21"/>
        </w:rPr>
        <w:t>口地坪高差大于</w:t>
      </w:r>
      <w:r>
        <w:rPr>
          <w:spacing w:val="-10"/>
          <w:sz w:val="21"/>
        </w:rPr>
        <w:t xml:space="preserve"> </w:t>
      </w:r>
      <w:r>
        <w:rPr>
          <w:sz w:val="21"/>
        </w:rPr>
        <w:t>10m</w:t>
      </w:r>
      <w:r>
        <w:rPr>
          <w:spacing w:val="-10"/>
          <w:sz w:val="21"/>
        </w:rPr>
        <w:t xml:space="preserve"> </w:t>
      </w:r>
      <w:r>
        <w:rPr>
          <w:spacing w:val="-10"/>
          <w:sz w:val="21"/>
        </w:rPr>
        <w:t>的地下楼层；</w:t>
      </w:r>
      <w:r>
        <w:rPr>
          <w:spacing w:val="-10"/>
          <w:sz w:val="21"/>
        </w:rPr>
        <w:t xml:space="preserve"> </w:t>
      </w:r>
    </w:p>
    <w:p w14:paraId="3F621ED4" w14:textId="77777777" w:rsidR="00A71EEF" w:rsidRDefault="00A71EEF">
      <w:pPr>
        <w:pStyle w:val="a3"/>
        <w:rPr>
          <w:sz w:val="20"/>
        </w:rPr>
      </w:pPr>
    </w:p>
    <w:p w14:paraId="32457F29" w14:textId="77777777" w:rsidR="00A71EEF" w:rsidRDefault="00A71EEF">
      <w:pPr>
        <w:pStyle w:val="a3"/>
        <w:rPr>
          <w:sz w:val="20"/>
        </w:rPr>
      </w:pPr>
    </w:p>
    <w:p w14:paraId="2F2C2110" w14:textId="77777777" w:rsidR="00A71EEF" w:rsidRDefault="00A71EEF">
      <w:pPr>
        <w:pStyle w:val="a3"/>
        <w:rPr>
          <w:sz w:val="20"/>
        </w:rPr>
      </w:pPr>
    </w:p>
    <w:p w14:paraId="4AFD1C22" w14:textId="77777777" w:rsidR="00A71EEF" w:rsidRDefault="00A71EEF">
      <w:pPr>
        <w:pStyle w:val="a3"/>
        <w:rPr>
          <w:sz w:val="20"/>
        </w:rPr>
      </w:pPr>
    </w:p>
    <w:p w14:paraId="6B2D1C77" w14:textId="77777777" w:rsidR="00A71EEF" w:rsidRDefault="00A71EEF">
      <w:pPr>
        <w:pStyle w:val="a3"/>
        <w:rPr>
          <w:sz w:val="20"/>
        </w:rPr>
      </w:pPr>
    </w:p>
    <w:p w14:paraId="3CA9F273" w14:textId="77777777" w:rsidR="00A71EEF" w:rsidRDefault="00A71EEF">
      <w:pPr>
        <w:pStyle w:val="a3"/>
        <w:rPr>
          <w:sz w:val="20"/>
        </w:rPr>
      </w:pPr>
    </w:p>
    <w:p w14:paraId="5EC6EAEF" w14:textId="77777777" w:rsidR="00A71EEF" w:rsidRDefault="00A71EEF">
      <w:pPr>
        <w:pStyle w:val="a3"/>
        <w:rPr>
          <w:sz w:val="20"/>
        </w:rPr>
      </w:pPr>
    </w:p>
    <w:p w14:paraId="102FC5C4" w14:textId="77777777" w:rsidR="00A71EEF" w:rsidRDefault="00A71EEF">
      <w:pPr>
        <w:pStyle w:val="a3"/>
        <w:rPr>
          <w:sz w:val="20"/>
        </w:rPr>
      </w:pPr>
    </w:p>
    <w:p w14:paraId="13C2BC1C" w14:textId="77777777" w:rsidR="00A71EEF" w:rsidRDefault="00A71EEF">
      <w:pPr>
        <w:pStyle w:val="a3"/>
        <w:rPr>
          <w:sz w:val="20"/>
        </w:rPr>
      </w:pPr>
    </w:p>
    <w:p w14:paraId="30B731B9" w14:textId="77777777" w:rsidR="00A71EEF" w:rsidRDefault="00A71EEF">
      <w:pPr>
        <w:pStyle w:val="a3"/>
        <w:rPr>
          <w:sz w:val="20"/>
        </w:rPr>
      </w:pPr>
    </w:p>
    <w:p w14:paraId="7EFB5ED8" w14:textId="77777777" w:rsidR="00A71EEF" w:rsidRDefault="00A71EEF">
      <w:pPr>
        <w:pStyle w:val="a3"/>
        <w:rPr>
          <w:sz w:val="20"/>
        </w:rPr>
      </w:pPr>
    </w:p>
    <w:p w14:paraId="0C72801B" w14:textId="77777777" w:rsidR="00A71EEF" w:rsidRDefault="00A71EEF">
      <w:pPr>
        <w:pStyle w:val="a3"/>
        <w:rPr>
          <w:sz w:val="20"/>
        </w:rPr>
      </w:pPr>
    </w:p>
    <w:p w14:paraId="1FA93432" w14:textId="77777777" w:rsidR="00A71EEF" w:rsidRDefault="00A71EEF">
      <w:pPr>
        <w:pStyle w:val="a3"/>
        <w:rPr>
          <w:sz w:val="20"/>
        </w:rPr>
      </w:pPr>
    </w:p>
    <w:p w14:paraId="39443855" w14:textId="77777777" w:rsidR="00A71EEF" w:rsidRDefault="00A71EEF">
      <w:pPr>
        <w:pStyle w:val="a3"/>
        <w:rPr>
          <w:sz w:val="20"/>
        </w:rPr>
      </w:pPr>
    </w:p>
    <w:p w14:paraId="0931EA60" w14:textId="77777777" w:rsidR="00A71EEF" w:rsidRDefault="00A71EEF">
      <w:pPr>
        <w:pStyle w:val="a3"/>
        <w:rPr>
          <w:sz w:val="20"/>
        </w:rPr>
      </w:pPr>
    </w:p>
    <w:p w14:paraId="5AF92204" w14:textId="77777777" w:rsidR="00A71EEF" w:rsidRDefault="00A71EEF">
      <w:pPr>
        <w:pStyle w:val="a3"/>
        <w:rPr>
          <w:sz w:val="20"/>
        </w:rPr>
      </w:pPr>
    </w:p>
    <w:p w14:paraId="229AD5B0" w14:textId="77777777" w:rsidR="00A71EEF" w:rsidRDefault="00A71EEF">
      <w:pPr>
        <w:pStyle w:val="a3"/>
        <w:rPr>
          <w:sz w:val="20"/>
        </w:rPr>
      </w:pPr>
    </w:p>
    <w:p w14:paraId="2904796F" w14:textId="77777777" w:rsidR="00A71EEF" w:rsidRDefault="00A71EEF">
      <w:pPr>
        <w:pStyle w:val="a3"/>
        <w:spacing w:before="5"/>
        <w:rPr>
          <w:sz w:val="17"/>
        </w:rPr>
      </w:pPr>
    </w:p>
    <w:p w14:paraId="2BB36F84" w14:textId="77777777" w:rsidR="00A71EEF" w:rsidRDefault="0081115D">
      <w:pPr>
        <w:pStyle w:val="a3"/>
        <w:spacing w:before="1" w:line="446" w:lineRule="auto"/>
        <w:ind w:left="818" w:right="1522" w:hanging="312"/>
      </w:pPr>
      <w:r>
        <w:t xml:space="preserve">    </w:t>
      </w:r>
      <w:r>
        <w:t>（</w:t>
      </w:r>
      <w:r>
        <w:t>3</w:t>
      </w:r>
      <w:r>
        <w:t>）</w:t>
      </w:r>
      <w:r>
        <w:rPr>
          <w:spacing w:val="-5"/>
        </w:rPr>
        <w:t>附设在建筑物内的消防水泵房，应采用耐火极限不低于</w:t>
      </w:r>
      <w:r>
        <w:rPr>
          <w:spacing w:val="-5"/>
        </w:rPr>
        <w:t xml:space="preserve"> </w:t>
      </w:r>
      <w:r>
        <w:t>2.0h</w:t>
      </w:r>
      <w:r>
        <w:rPr>
          <w:spacing w:val="-18"/>
        </w:rPr>
        <w:t xml:space="preserve"> </w:t>
      </w:r>
      <w:r>
        <w:rPr>
          <w:spacing w:val="-18"/>
        </w:rPr>
        <w:t>的隔墙和</w:t>
      </w:r>
      <w:r>
        <w:rPr>
          <w:spacing w:val="-18"/>
        </w:rPr>
        <w:t xml:space="preserve"> </w:t>
      </w:r>
      <w:r>
        <w:t>1.50h</w:t>
      </w:r>
      <w:r>
        <w:rPr>
          <w:spacing w:val="-12"/>
        </w:rPr>
        <w:t xml:space="preserve"> </w:t>
      </w:r>
      <w:r>
        <w:rPr>
          <w:spacing w:val="-12"/>
        </w:rPr>
        <w:t>的楼板</w:t>
      </w:r>
      <w:r>
        <w:rPr>
          <w:spacing w:val="-6"/>
        </w:rPr>
        <w:t>与其他部位隔开，其疏散门应直通安全出口，且开向疏散走道的门应采用甲级防火门。</w:t>
      </w:r>
      <w:r>
        <w:t xml:space="preserve"> </w:t>
      </w:r>
    </w:p>
    <w:p w14:paraId="1DC9ECC7" w14:textId="77777777" w:rsidR="00A71EEF" w:rsidRDefault="0081115D">
      <w:pPr>
        <w:pStyle w:val="a4"/>
        <w:numPr>
          <w:ilvl w:val="2"/>
          <w:numId w:val="265"/>
        </w:numPr>
        <w:tabs>
          <w:tab w:val="left" w:pos="1530"/>
        </w:tabs>
        <w:spacing w:line="446" w:lineRule="auto"/>
        <w:ind w:right="1758" w:firstLine="422"/>
        <w:rPr>
          <w:sz w:val="21"/>
        </w:rPr>
      </w:pPr>
      <w:r>
        <w:rPr>
          <w:spacing w:val="-3"/>
          <w:sz w:val="21"/>
        </w:rPr>
        <w:t>当采用柴油机消防水泵时宜设置独立消防水泵房，并应设置满足柴油机运行的通风、排烟和阻火设施。</w:t>
      </w:r>
      <w:r>
        <w:rPr>
          <w:sz w:val="21"/>
        </w:rPr>
        <w:t xml:space="preserve"> </w:t>
      </w:r>
    </w:p>
    <w:p w14:paraId="668D4F41" w14:textId="77777777" w:rsidR="00A71EEF" w:rsidRDefault="0081115D">
      <w:pPr>
        <w:pStyle w:val="a4"/>
        <w:numPr>
          <w:ilvl w:val="2"/>
          <w:numId w:val="265"/>
        </w:numPr>
        <w:tabs>
          <w:tab w:val="left" w:pos="1530"/>
        </w:tabs>
        <w:spacing w:line="267" w:lineRule="exact"/>
        <w:ind w:left="1529" w:hanging="690"/>
        <w:rPr>
          <w:sz w:val="21"/>
        </w:rPr>
      </w:pPr>
      <w:r>
        <w:rPr>
          <w:spacing w:val="-3"/>
          <w:sz w:val="21"/>
        </w:rPr>
        <w:t>消防水泵房应采取防水淹没的技术措施。</w:t>
      </w:r>
      <w:r>
        <w:rPr>
          <w:sz w:val="21"/>
        </w:rPr>
        <w:t xml:space="preserve"> </w:t>
      </w:r>
    </w:p>
    <w:p w14:paraId="56265CF5" w14:textId="77777777" w:rsidR="00A71EEF" w:rsidRDefault="00A71EEF">
      <w:pPr>
        <w:spacing w:line="267" w:lineRule="exact"/>
        <w:rPr>
          <w:sz w:val="21"/>
        </w:rPr>
        <w:sectPr w:rsidR="00A71EEF">
          <w:pgSz w:w="11910" w:h="16850"/>
          <w:pgMar w:top="1220" w:right="0" w:bottom="1420" w:left="1260" w:header="0" w:footer="1239" w:gutter="0"/>
          <w:cols w:space="720"/>
        </w:sectPr>
      </w:pPr>
    </w:p>
    <w:p w14:paraId="18C915DF" w14:textId="77777777" w:rsidR="00A71EEF" w:rsidRDefault="0081115D">
      <w:pPr>
        <w:pStyle w:val="a4"/>
        <w:numPr>
          <w:ilvl w:val="2"/>
          <w:numId w:val="265"/>
        </w:numPr>
        <w:tabs>
          <w:tab w:val="left" w:pos="1530"/>
        </w:tabs>
        <w:spacing w:before="47" w:line="446" w:lineRule="auto"/>
        <w:ind w:right="1548" w:firstLine="422"/>
        <w:jc w:val="both"/>
        <w:rPr>
          <w:sz w:val="21"/>
        </w:rPr>
      </w:pPr>
      <w:r>
        <w:rPr>
          <w:spacing w:val="-4"/>
          <w:sz w:val="21"/>
        </w:rPr>
        <w:t>独立消防水泵房的抗震应满足当地地震要求，且宜按本地区抗震设防烈度提高</w:t>
      </w:r>
      <w:r>
        <w:rPr>
          <w:spacing w:val="-4"/>
          <w:sz w:val="21"/>
        </w:rPr>
        <w:t xml:space="preserve"> </w:t>
      </w:r>
      <w:r>
        <w:rPr>
          <w:sz w:val="21"/>
        </w:rPr>
        <w:t>1</w:t>
      </w:r>
      <w:r>
        <w:rPr>
          <w:spacing w:val="-19"/>
          <w:sz w:val="21"/>
        </w:rPr>
        <w:t xml:space="preserve"> </w:t>
      </w:r>
      <w:r>
        <w:rPr>
          <w:spacing w:val="-19"/>
          <w:sz w:val="21"/>
        </w:rPr>
        <w:t>度</w:t>
      </w:r>
      <w:r>
        <w:rPr>
          <w:spacing w:val="-11"/>
          <w:sz w:val="21"/>
        </w:rPr>
        <w:t>采取抗震措施，但不宜做提高</w:t>
      </w:r>
      <w:r>
        <w:rPr>
          <w:spacing w:val="-11"/>
          <w:sz w:val="21"/>
        </w:rPr>
        <w:t xml:space="preserve"> </w:t>
      </w:r>
      <w:r>
        <w:rPr>
          <w:sz w:val="21"/>
        </w:rPr>
        <w:t>1</w:t>
      </w:r>
      <w:r>
        <w:rPr>
          <w:spacing w:val="-8"/>
          <w:sz w:val="21"/>
        </w:rPr>
        <w:t xml:space="preserve"> </w:t>
      </w:r>
      <w:r>
        <w:rPr>
          <w:spacing w:val="-8"/>
          <w:sz w:val="21"/>
        </w:rPr>
        <w:t>度抗震计算，并应符合现行国家标准《室外给水排水和燃气热</w:t>
      </w:r>
      <w:r>
        <w:rPr>
          <w:spacing w:val="-5"/>
          <w:sz w:val="21"/>
        </w:rPr>
        <w:t>力工程抗震设计规范》</w:t>
      </w:r>
      <w:r>
        <w:rPr>
          <w:sz w:val="21"/>
        </w:rPr>
        <w:t>GB</w:t>
      </w:r>
      <w:r>
        <w:rPr>
          <w:spacing w:val="-2"/>
          <w:sz w:val="21"/>
        </w:rPr>
        <w:t xml:space="preserve"> </w:t>
      </w:r>
      <w:r>
        <w:rPr>
          <w:sz w:val="21"/>
        </w:rPr>
        <w:t>50032</w:t>
      </w:r>
      <w:r>
        <w:rPr>
          <w:spacing w:val="-10"/>
          <w:sz w:val="21"/>
        </w:rPr>
        <w:t xml:space="preserve"> </w:t>
      </w:r>
      <w:r>
        <w:rPr>
          <w:spacing w:val="-10"/>
          <w:sz w:val="21"/>
        </w:rPr>
        <w:t>的有关规定。</w:t>
      </w:r>
      <w:r>
        <w:rPr>
          <w:sz w:val="21"/>
        </w:rPr>
        <w:t xml:space="preserve"> </w:t>
      </w:r>
    </w:p>
    <w:p w14:paraId="7558D0F1" w14:textId="77777777" w:rsidR="00A71EEF" w:rsidRDefault="0081115D">
      <w:pPr>
        <w:pStyle w:val="a4"/>
        <w:numPr>
          <w:ilvl w:val="2"/>
          <w:numId w:val="265"/>
        </w:numPr>
        <w:tabs>
          <w:tab w:val="left" w:pos="1530"/>
        </w:tabs>
        <w:spacing w:line="268" w:lineRule="exact"/>
        <w:ind w:left="1529" w:hanging="690"/>
        <w:jc w:val="both"/>
        <w:rPr>
          <w:sz w:val="21"/>
        </w:rPr>
      </w:pPr>
      <w:r>
        <w:rPr>
          <w:spacing w:val="-3"/>
          <w:sz w:val="21"/>
        </w:rPr>
        <w:t>消防水泵和控制柜应采取安全保护措施。</w:t>
      </w:r>
      <w:r>
        <w:rPr>
          <w:sz w:val="21"/>
        </w:rPr>
        <w:t xml:space="preserve"> </w:t>
      </w:r>
    </w:p>
    <w:p w14:paraId="6B54B1F2" w14:textId="77777777" w:rsidR="00A71EEF" w:rsidRDefault="00A71EEF">
      <w:pPr>
        <w:pStyle w:val="a3"/>
        <w:spacing w:before="8"/>
        <w:rPr>
          <w:sz w:val="15"/>
        </w:rPr>
      </w:pPr>
    </w:p>
    <w:p w14:paraId="2B3B8F9F" w14:textId="77777777" w:rsidR="00A71EEF" w:rsidRDefault="0081115D">
      <w:pPr>
        <w:pStyle w:val="4"/>
      </w:pPr>
      <w:r>
        <w:t xml:space="preserve">6 </w:t>
      </w:r>
      <w:r>
        <w:t>给水形式</w:t>
      </w:r>
      <w:r>
        <w:rPr>
          <w:w w:val="99"/>
        </w:rPr>
        <w:t xml:space="preserve"> </w:t>
      </w:r>
    </w:p>
    <w:p w14:paraId="2701803C" w14:textId="77777777" w:rsidR="00A71EEF" w:rsidRDefault="00A71EEF">
      <w:pPr>
        <w:pStyle w:val="a3"/>
        <w:spacing w:before="4"/>
        <w:rPr>
          <w:b/>
          <w:sz w:val="17"/>
        </w:rPr>
      </w:pPr>
    </w:p>
    <w:p w14:paraId="7FA13D7B" w14:textId="77777777" w:rsidR="00A71EEF" w:rsidRDefault="0081115D">
      <w:pPr>
        <w:pStyle w:val="a4"/>
        <w:numPr>
          <w:ilvl w:val="1"/>
          <w:numId w:val="260"/>
        </w:numPr>
        <w:tabs>
          <w:tab w:val="left" w:pos="1160"/>
        </w:tabs>
        <w:rPr>
          <w:sz w:val="24"/>
        </w:rPr>
      </w:pPr>
      <w:r>
        <w:rPr>
          <w:spacing w:val="-3"/>
          <w:sz w:val="21"/>
        </w:rPr>
        <w:t>一般规定</w:t>
      </w:r>
      <w:r>
        <w:rPr>
          <w:color w:val="333333"/>
          <w:sz w:val="24"/>
        </w:rPr>
        <w:t xml:space="preserve"> </w:t>
      </w:r>
    </w:p>
    <w:p w14:paraId="67C0A705" w14:textId="77777777" w:rsidR="00A71EEF" w:rsidRDefault="00A71EEF">
      <w:pPr>
        <w:pStyle w:val="a3"/>
        <w:spacing w:before="2"/>
        <w:rPr>
          <w:sz w:val="18"/>
        </w:rPr>
      </w:pPr>
    </w:p>
    <w:p w14:paraId="64D45716" w14:textId="77777777" w:rsidR="00A71EEF" w:rsidRDefault="0081115D">
      <w:pPr>
        <w:pStyle w:val="a4"/>
        <w:numPr>
          <w:ilvl w:val="2"/>
          <w:numId w:val="260"/>
        </w:numPr>
        <w:tabs>
          <w:tab w:val="left" w:pos="1424"/>
        </w:tabs>
        <w:spacing w:line="446" w:lineRule="auto"/>
        <w:ind w:right="1608" w:firstLine="422"/>
        <w:jc w:val="both"/>
        <w:rPr>
          <w:sz w:val="21"/>
        </w:rPr>
      </w:pPr>
      <w:r>
        <w:rPr>
          <w:spacing w:val="-3"/>
          <w:sz w:val="21"/>
        </w:rPr>
        <w:t>消防给水系统应根据建筑的用途功能、体积、高度、耐火等级、火灾危险性、重要性、次生灾害、商务连续性、水源条件等因素综合确定其可靠性和供水方式，并应满足水灭火系统所需流量和压力的要求。</w:t>
      </w:r>
      <w:r>
        <w:rPr>
          <w:sz w:val="21"/>
        </w:rPr>
        <w:t xml:space="preserve"> </w:t>
      </w:r>
    </w:p>
    <w:p w14:paraId="411DD2E4" w14:textId="77777777" w:rsidR="00A71EEF" w:rsidRDefault="0081115D">
      <w:pPr>
        <w:pStyle w:val="a4"/>
        <w:numPr>
          <w:ilvl w:val="2"/>
          <w:numId w:val="260"/>
        </w:numPr>
        <w:tabs>
          <w:tab w:val="left" w:pos="1370"/>
        </w:tabs>
        <w:spacing w:line="268" w:lineRule="exact"/>
        <w:ind w:left="1369" w:hanging="530"/>
        <w:rPr>
          <w:sz w:val="21"/>
        </w:rPr>
      </w:pPr>
      <w:r>
        <w:rPr>
          <w:spacing w:val="-3"/>
          <w:sz w:val="21"/>
        </w:rPr>
        <w:t>城镇消防给水宜采用城镇市政给水管网供应，并应符合下列规定：</w:t>
      </w:r>
      <w:r>
        <w:rPr>
          <w:sz w:val="21"/>
        </w:rPr>
        <w:t xml:space="preserve"> </w:t>
      </w:r>
    </w:p>
    <w:p w14:paraId="30303DE2" w14:textId="77777777" w:rsidR="00A71EEF" w:rsidRDefault="00A71EEF">
      <w:pPr>
        <w:pStyle w:val="a3"/>
        <w:spacing w:before="12"/>
        <w:rPr>
          <w:sz w:val="17"/>
        </w:rPr>
      </w:pPr>
    </w:p>
    <w:p w14:paraId="45C2E4C3" w14:textId="77777777" w:rsidR="00A71EEF" w:rsidRDefault="0081115D">
      <w:pPr>
        <w:pStyle w:val="a4"/>
        <w:numPr>
          <w:ilvl w:val="0"/>
          <w:numId w:val="259"/>
        </w:numPr>
        <w:tabs>
          <w:tab w:val="left" w:pos="1367"/>
        </w:tabs>
        <w:spacing w:line="446" w:lineRule="auto"/>
        <w:ind w:right="1452" w:firstLine="419"/>
        <w:rPr>
          <w:sz w:val="21"/>
        </w:rPr>
      </w:pPr>
      <w:r>
        <w:rPr>
          <w:spacing w:val="-3"/>
          <w:sz w:val="21"/>
        </w:rPr>
        <w:t>城镇市政给水管网及输水干管应符合现行国家标准《室外给水设计规范》</w:t>
      </w:r>
      <w:r>
        <w:rPr>
          <w:sz w:val="21"/>
        </w:rPr>
        <w:t>GB</w:t>
      </w:r>
      <w:r>
        <w:rPr>
          <w:spacing w:val="23"/>
          <w:sz w:val="21"/>
        </w:rPr>
        <w:t xml:space="preserve"> </w:t>
      </w:r>
      <w:r>
        <w:rPr>
          <w:sz w:val="21"/>
        </w:rPr>
        <w:t>50013</w:t>
      </w:r>
      <w:r>
        <w:rPr>
          <w:spacing w:val="-21"/>
          <w:sz w:val="21"/>
        </w:rPr>
        <w:t xml:space="preserve"> </w:t>
      </w:r>
      <w:r>
        <w:rPr>
          <w:spacing w:val="-21"/>
          <w:sz w:val="21"/>
        </w:rPr>
        <w:t>的</w:t>
      </w:r>
      <w:r>
        <w:rPr>
          <w:spacing w:val="-11"/>
          <w:sz w:val="21"/>
        </w:rPr>
        <w:t>有关规定。</w:t>
      </w:r>
      <w:r>
        <w:rPr>
          <w:sz w:val="21"/>
        </w:rPr>
        <w:t xml:space="preserve"> </w:t>
      </w:r>
    </w:p>
    <w:p w14:paraId="60CEE8A0" w14:textId="77777777" w:rsidR="00A71EEF" w:rsidRDefault="0081115D">
      <w:pPr>
        <w:pStyle w:val="a4"/>
        <w:numPr>
          <w:ilvl w:val="0"/>
          <w:numId w:val="259"/>
        </w:numPr>
        <w:tabs>
          <w:tab w:val="left" w:pos="1367"/>
        </w:tabs>
        <w:ind w:left="1367"/>
        <w:rPr>
          <w:sz w:val="21"/>
        </w:rPr>
      </w:pPr>
      <w:r>
        <w:rPr>
          <w:spacing w:val="-3"/>
          <w:sz w:val="21"/>
        </w:rPr>
        <w:t>工业园区、商务区和居住区宜采用两路消防供水。</w:t>
      </w:r>
      <w:r>
        <w:rPr>
          <w:sz w:val="21"/>
        </w:rPr>
        <w:t xml:space="preserve"> </w:t>
      </w:r>
    </w:p>
    <w:p w14:paraId="7CBF2F84" w14:textId="77777777" w:rsidR="00A71EEF" w:rsidRDefault="00A71EEF">
      <w:pPr>
        <w:pStyle w:val="a3"/>
        <w:rPr>
          <w:sz w:val="18"/>
        </w:rPr>
      </w:pPr>
    </w:p>
    <w:p w14:paraId="4D8EE2A6" w14:textId="77777777" w:rsidR="00A71EEF" w:rsidRDefault="0081115D">
      <w:pPr>
        <w:pStyle w:val="a4"/>
        <w:numPr>
          <w:ilvl w:val="0"/>
          <w:numId w:val="259"/>
        </w:numPr>
        <w:tabs>
          <w:tab w:val="left" w:pos="1367"/>
        </w:tabs>
        <w:spacing w:line="446" w:lineRule="auto"/>
        <w:ind w:right="1505" w:firstLine="419"/>
        <w:rPr>
          <w:sz w:val="21"/>
        </w:rPr>
      </w:pPr>
      <w:r>
        <w:rPr>
          <w:spacing w:val="-3"/>
          <w:sz w:val="21"/>
        </w:rPr>
        <w:t>当采用天然水源作为消防水源时，每个天然水源消防取水口宜按一个市政消火栓计算或根据消防车停放数量确定。</w:t>
      </w:r>
      <w:r>
        <w:rPr>
          <w:sz w:val="21"/>
        </w:rPr>
        <w:t xml:space="preserve"> </w:t>
      </w:r>
    </w:p>
    <w:p w14:paraId="7D99D258" w14:textId="77777777" w:rsidR="00A71EEF" w:rsidRDefault="0081115D">
      <w:pPr>
        <w:pStyle w:val="a4"/>
        <w:numPr>
          <w:ilvl w:val="0"/>
          <w:numId w:val="259"/>
        </w:numPr>
        <w:tabs>
          <w:tab w:val="left" w:pos="1367"/>
        </w:tabs>
        <w:spacing w:line="446" w:lineRule="auto"/>
        <w:ind w:right="1505" w:firstLine="419"/>
        <w:rPr>
          <w:sz w:val="21"/>
        </w:rPr>
      </w:pPr>
      <w:r>
        <w:rPr>
          <w:spacing w:val="-3"/>
          <w:sz w:val="21"/>
        </w:rPr>
        <w:t>当市政给水为间歇供水或供水能力不足时，宜建设市政消防水池，且建筑消防水池宜有作为市政消防给水的技术措施。</w:t>
      </w:r>
      <w:r>
        <w:rPr>
          <w:sz w:val="21"/>
        </w:rPr>
        <w:t xml:space="preserve"> </w:t>
      </w:r>
    </w:p>
    <w:p w14:paraId="11276438" w14:textId="77777777" w:rsidR="00A71EEF" w:rsidRDefault="0081115D">
      <w:pPr>
        <w:pStyle w:val="a4"/>
        <w:numPr>
          <w:ilvl w:val="0"/>
          <w:numId w:val="259"/>
        </w:numPr>
        <w:tabs>
          <w:tab w:val="left" w:pos="1367"/>
        </w:tabs>
        <w:spacing w:line="267" w:lineRule="exact"/>
        <w:ind w:left="1367"/>
        <w:rPr>
          <w:sz w:val="21"/>
        </w:rPr>
      </w:pPr>
      <w:r>
        <w:rPr>
          <w:spacing w:val="-5"/>
          <w:sz w:val="21"/>
        </w:rPr>
        <w:t>城市避难场所宜设置独立的城市消防水池，且每座容量不宜小于</w:t>
      </w:r>
      <w:r>
        <w:rPr>
          <w:spacing w:val="-5"/>
          <w:sz w:val="21"/>
        </w:rPr>
        <w:t xml:space="preserve"> </w:t>
      </w:r>
      <w:r>
        <w:rPr>
          <w:sz w:val="21"/>
        </w:rPr>
        <w:t>200m</w:t>
      </w:r>
      <w:r>
        <w:rPr>
          <w:position w:val="11"/>
          <w:sz w:val="11"/>
        </w:rPr>
        <w:t>3</w:t>
      </w:r>
      <w:r>
        <w:rPr>
          <w:spacing w:val="-3"/>
          <w:sz w:val="21"/>
        </w:rPr>
        <w:t>。</w:t>
      </w:r>
      <w:r>
        <w:rPr>
          <w:sz w:val="21"/>
        </w:rPr>
        <w:t xml:space="preserve"> </w:t>
      </w:r>
    </w:p>
    <w:p w14:paraId="2F3C81B3" w14:textId="77777777" w:rsidR="00A71EEF" w:rsidRDefault="00A71EEF">
      <w:pPr>
        <w:pStyle w:val="a3"/>
        <w:spacing w:before="2"/>
        <w:rPr>
          <w:sz w:val="18"/>
        </w:rPr>
      </w:pPr>
    </w:p>
    <w:p w14:paraId="3F488333" w14:textId="77777777" w:rsidR="00A71EEF" w:rsidRDefault="0081115D">
      <w:pPr>
        <w:pStyle w:val="a4"/>
        <w:numPr>
          <w:ilvl w:val="2"/>
          <w:numId w:val="260"/>
        </w:numPr>
        <w:tabs>
          <w:tab w:val="left" w:pos="1424"/>
        </w:tabs>
        <w:spacing w:line="446" w:lineRule="auto"/>
        <w:ind w:right="1657" w:firstLine="422"/>
        <w:rPr>
          <w:sz w:val="21"/>
        </w:rPr>
      </w:pPr>
      <w:r>
        <w:rPr>
          <w:spacing w:val="-3"/>
          <w:sz w:val="21"/>
        </w:rPr>
        <w:t>建筑物室外宜采用低压消防给水系统，当采用市政给水管网供水时，应符合下列规定：</w:t>
      </w:r>
      <w:r>
        <w:rPr>
          <w:sz w:val="21"/>
        </w:rPr>
        <w:t xml:space="preserve"> </w:t>
      </w:r>
    </w:p>
    <w:p w14:paraId="5BDE06D4" w14:textId="77777777" w:rsidR="00A71EEF" w:rsidRDefault="0081115D">
      <w:pPr>
        <w:pStyle w:val="a4"/>
        <w:numPr>
          <w:ilvl w:val="0"/>
          <w:numId w:val="258"/>
        </w:numPr>
        <w:tabs>
          <w:tab w:val="left" w:pos="1367"/>
        </w:tabs>
        <w:spacing w:line="267" w:lineRule="exact"/>
        <w:rPr>
          <w:sz w:val="21"/>
        </w:rPr>
      </w:pPr>
      <w:r>
        <w:rPr>
          <w:spacing w:val="-6"/>
          <w:sz w:val="21"/>
        </w:rPr>
        <w:t>应采用两路消防供水，除建筑高度超过</w:t>
      </w:r>
      <w:r>
        <w:rPr>
          <w:spacing w:val="-6"/>
          <w:sz w:val="21"/>
        </w:rPr>
        <w:t xml:space="preserve"> </w:t>
      </w:r>
      <w:r>
        <w:rPr>
          <w:sz w:val="21"/>
        </w:rPr>
        <w:t>54m</w:t>
      </w:r>
      <w:r>
        <w:rPr>
          <w:spacing w:val="-8"/>
          <w:sz w:val="21"/>
        </w:rPr>
        <w:t xml:space="preserve"> </w:t>
      </w:r>
      <w:r>
        <w:rPr>
          <w:spacing w:val="-8"/>
          <w:sz w:val="21"/>
        </w:rPr>
        <w:t>的住宅外，室外消火栓设计流量小于等于</w:t>
      </w:r>
    </w:p>
    <w:p w14:paraId="6FB8E1E8" w14:textId="77777777" w:rsidR="00A71EEF" w:rsidRDefault="00A71EEF">
      <w:pPr>
        <w:pStyle w:val="a3"/>
        <w:spacing w:before="2"/>
        <w:rPr>
          <w:sz w:val="18"/>
        </w:rPr>
      </w:pPr>
    </w:p>
    <w:p w14:paraId="22BF7AE4" w14:textId="77777777" w:rsidR="00A71EEF" w:rsidRDefault="0081115D">
      <w:pPr>
        <w:pStyle w:val="a3"/>
        <w:ind w:left="418"/>
      </w:pPr>
      <w:r>
        <w:t xml:space="preserve">20L/s </w:t>
      </w:r>
      <w:r>
        <w:t>时可采用一路消防供水；</w:t>
      </w:r>
      <w:r>
        <w:t xml:space="preserve"> </w:t>
      </w:r>
    </w:p>
    <w:p w14:paraId="26DA4F2D" w14:textId="77777777" w:rsidR="00A71EEF" w:rsidRDefault="00A71EEF">
      <w:pPr>
        <w:pStyle w:val="a3"/>
        <w:spacing w:before="12"/>
        <w:rPr>
          <w:sz w:val="17"/>
        </w:rPr>
      </w:pPr>
    </w:p>
    <w:p w14:paraId="201C3CBA" w14:textId="77777777" w:rsidR="00A71EEF" w:rsidRDefault="0081115D">
      <w:pPr>
        <w:pStyle w:val="a4"/>
        <w:numPr>
          <w:ilvl w:val="0"/>
          <w:numId w:val="258"/>
        </w:numPr>
        <w:tabs>
          <w:tab w:val="left" w:pos="1367"/>
        </w:tabs>
        <w:rPr>
          <w:sz w:val="21"/>
        </w:rPr>
      </w:pPr>
      <w:r>
        <w:rPr>
          <w:spacing w:val="-3"/>
          <w:sz w:val="21"/>
        </w:rPr>
        <w:t>室外消火栓应由市政给水管网直接供水。</w:t>
      </w:r>
      <w:r>
        <w:rPr>
          <w:sz w:val="21"/>
        </w:rPr>
        <w:t xml:space="preserve"> </w:t>
      </w:r>
    </w:p>
    <w:p w14:paraId="76527B11" w14:textId="77777777" w:rsidR="00A71EEF" w:rsidRDefault="00A71EEF">
      <w:pPr>
        <w:pStyle w:val="a3"/>
        <w:rPr>
          <w:sz w:val="18"/>
        </w:rPr>
      </w:pPr>
    </w:p>
    <w:p w14:paraId="554830AA" w14:textId="77777777" w:rsidR="00A71EEF" w:rsidRDefault="0081115D">
      <w:pPr>
        <w:pStyle w:val="a4"/>
        <w:numPr>
          <w:ilvl w:val="2"/>
          <w:numId w:val="260"/>
        </w:numPr>
        <w:tabs>
          <w:tab w:val="left" w:pos="1424"/>
        </w:tabs>
        <w:ind w:left="1423"/>
        <w:jc w:val="both"/>
        <w:rPr>
          <w:sz w:val="21"/>
        </w:rPr>
      </w:pPr>
      <w:r>
        <w:rPr>
          <w:spacing w:val="-3"/>
          <w:sz w:val="21"/>
        </w:rPr>
        <w:t>工艺装置区、储罐区、堆场等构筑物室外消防给水，应符合下列规定：</w:t>
      </w:r>
      <w:r>
        <w:rPr>
          <w:spacing w:val="-3"/>
          <w:sz w:val="21"/>
        </w:rPr>
        <w:t xml:space="preserve"> </w:t>
      </w:r>
    </w:p>
    <w:p w14:paraId="4D7FBC67" w14:textId="77777777" w:rsidR="00A71EEF" w:rsidRDefault="00A71EEF">
      <w:pPr>
        <w:pStyle w:val="a3"/>
        <w:spacing w:before="1"/>
        <w:rPr>
          <w:sz w:val="18"/>
        </w:rPr>
      </w:pPr>
    </w:p>
    <w:p w14:paraId="386BA2AC" w14:textId="77777777" w:rsidR="00A71EEF" w:rsidRDefault="0081115D">
      <w:pPr>
        <w:pStyle w:val="a4"/>
        <w:numPr>
          <w:ilvl w:val="0"/>
          <w:numId w:val="257"/>
        </w:numPr>
        <w:tabs>
          <w:tab w:val="left" w:pos="1367"/>
        </w:tabs>
        <w:spacing w:before="1" w:line="446" w:lineRule="auto"/>
        <w:ind w:right="1450" w:firstLine="419"/>
        <w:jc w:val="both"/>
        <w:rPr>
          <w:sz w:val="21"/>
        </w:rPr>
      </w:pPr>
      <w:r>
        <w:rPr>
          <w:spacing w:val="-3"/>
          <w:sz w:val="21"/>
        </w:rPr>
        <w:t>工艺装置区、储罐区等场所应采用高压或临时高压消防给水系统，但当无泡沫灭火系</w:t>
      </w:r>
      <w:r>
        <w:rPr>
          <w:spacing w:val="-4"/>
          <w:sz w:val="21"/>
        </w:rPr>
        <w:t>统、固定冷却水系统和消防炮，室外消防给水设计流量不大于</w:t>
      </w:r>
      <w:r>
        <w:rPr>
          <w:spacing w:val="-4"/>
          <w:sz w:val="21"/>
        </w:rPr>
        <w:t xml:space="preserve"> </w:t>
      </w:r>
      <w:r>
        <w:rPr>
          <w:sz w:val="21"/>
        </w:rPr>
        <w:t>30L/s</w:t>
      </w:r>
      <w:r>
        <w:rPr>
          <w:spacing w:val="-3"/>
          <w:sz w:val="21"/>
        </w:rPr>
        <w:t>，且在城镇消防站保护范围内时，可采用低压消防给水系统；</w:t>
      </w:r>
      <w:r>
        <w:rPr>
          <w:sz w:val="21"/>
        </w:rPr>
        <w:t xml:space="preserve"> </w:t>
      </w:r>
    </w:p>
    <w:p w14:paraId="144C5F81" w14:textId="77777777" w:rsidR="00A71EEF" w:rsidRDefault="00A71EEF">
      <w:pPr>
        <w:spacing w:line="446" w:lineRule="auto"/>
        <w:jc w:val="both"/>
        <w:rPr>
          <w:sz w:val="21"/>
        </w:rPr>
        <w:sectPr w:rsidR="00A71EEF">
          <w:pgSz w:w="11910" w:h="16850"/>
          <w:pgMar w:top="1220" w:right="0" w:bottom="1420" w:left="1260" w:header="0" w:footer="1239" w:gutter="0"/>
          <w:cols w:space="720"/>
        </w:sectPr>
      </w:pPr>
    </w:p>
    <w:p w14:paraId="50F8821F" w14:textId="77777777" w:rsidR="00A71EEF" w:rsidRDefault="0081115D">
      <w:pPr>
        <w:pStyle w:val="a4"/>
        <w:numPr>
          <w:ilvl w:val="0"/>
          <w:numId w:val="257"/>
        </w:numPr>
        <w:tabs>
          <w:tab w:val="left" w:pos="1367"/>
        </w:tabs>
        <w:spacing w:before="47" w:line="446" w:lineRule="auto"/>
        <w:ind w:right="1505" w:firstLine="419"/>
        <w:rPr>
          <w:sz w:val="21"/>
        </w:rPr>
      </w:pPr>
      <w:r>
        <w:rPr>
          <w:spacing w:val="-3"/>
          <w:sz w:val="21"/>
        </w:rPr>
        <w:t>堆场等场所宜采用低压消防给水系统，但当可燃物堆场规模大、堆垛高、易起火、扑救难度大，应采用高压或临时高压消防给水系统。</w:t>
      </w:r>
      <w:r>
        <w:rPr>
          <w:sz w:val="21"/>
        </w:rPr>
        <w:t xml:space="preserve"> </w:t>
      </w:r>
    </w:p>
    <w:p w14:paraId="68A4CA2F" w14:textId="77777777" w:rsidR="00A71EEF" w:rsidRDefault="0081115D">
      <w:pPr>
        <w:pStyle w:val="a4"/>
        <w:numPr>
          <w:ilvl w:val="2"/>
          <w:numId w:val="260"/>
        </w:numPr>
        <w:tabs>
          <w:tab w:val="left" w:pos="1370"/>
        </w:tabs>
        <w:spacing w:line="446" w:lineRule="auto"/>
        <w:ind w:right="1505" w:firstLine="422"/>
        <w:rPr>
          <w:sz w:val="21"/>
        </w:rPr>
      </w:pPr>
      <w:r>
        <w:rPr>
          <w:spacing w:val="-2"/>
          <w:sz w:val="21"/>
        </w:rPr>
        <w:t>市政消火栓或消防车从消防水池吸水向建筑供应室外消防给水时，应符合下列规</w:t>
      </w:r>
      <w:r>
        <w:rPr>
          <w:spacing w:val="-2"/>
          <w:sz w:val="21"/>
        </w:rPr>
        <w:t xml:space="preserve"> </w:t>
      </w:r>
      <w:r>
        <w:rPr>
          <w:spacing w:val="-2"/>
          <w:sz w:val="21"/>
        </w:rPr>
        <w:t>定</w:t>
      </w:r>
      <w:r>
        <w:rPr>
          <w:spacing w:val="-3"/>
          <w:sz w:val="21"/>
        </w:rPr>
        <w:t>：供消防车吸水的室外消防水池的每个取水口宜按一个室外消火栓计算，且其保护半径不应大</w:t>
      </w:r>
      <w:r>
        <w:rPr>
          <w:spacing w:val="-24"/>
          <w:sz w:val="21"/>
        </w:rPr>
        <w:t>于</w:t>
      </w:r>
      <w:r>
        <w:rPr>
          <w:spacing w:val="-24"/>
          <w:sz w:val="21"/>
        </w:rPr>
        <w:t xml:space="preserve"> </w:t>
      </w:r>
      <w:r>
        <w:rPr>
          <w:sz w:val="21"/>
        </w:rPr>
        <w:t>150m</w:t>
      </w:r>
      <w:r>
        <w:rPr>
          <w:spacing w:val="-9"/>
          <w:sz w:val="21"/>
        </w:rPr>
        <w:t>；距建筑外缘</w:t>
      </w:r>
      <w:r>
        <w:rPr>
          <w:spacing w:val="-9"/>
          <w:sz w:val="21"/>
        </w:rPr>
        <w:t xml:space="preserve"> </w:t>
      </w:r>
      <w:r>
        <w:rPr>
          <w:sz w:val="21"/>
        </w:rPr>
        <w:t>5</w:t>
      </w:r>
      <w:r>
        <w:rPr>
          <w:sz w:val="21"/>
        </w:rPr>
        <w:t>～</w:t>
      </w:r>
      <w:r>
        <w:rPr>
          <w:sz w:val="21"/>
        </w:rPr>
        <w:t>150m</w:t>
      </w:r>
      <w:r>
        <w:rPr>
          <w:spacing w:val="-9"/>
          <w:sz w:val="21"/>
        </w:rPr>
        <w:t xml:space="preserve"> </w:t>
      </w:r>
      <w:r>
        <w:rPr>
          <w:spacing w:val="-9"/>
          <w:sz w:val="21"/>
        </w:rPr>
        <w:t>的市政消火栓可计入建筑室外消火栓的数量，但当为消防水泵接</w:t>
      </w:r>
      <w:r>
        <w:rPr>
          <w:spacing w:val="-7"/>
          <w:sz w:val="21"/>
        </w:rPr>
        <w:t>合器供水时，距建筑外缘</w:t>
      </w:r>
      <w:r>
        <w:rPr>
          <w:spacing w:val="-7"/>
          <w:sz w:val="21"/>
        </w:rPr>
        <w:t xml:space="preserve"> </w:t>
      </w:r>
      <w:r>
        <w:rPr>
          <w:sz w:val="21"/>
        </w:rPr>
        <w:t>5</w:t>
      </w:r>
      <w:r>
        <w:rPr>
          <w:sz w:val="21"/>
        </w:rPr>
        <w:t>～</w:t>
      </w:r>
      <w:r>
        <w:rPr>
          <w:sz w:val="21"/>
        </w:rPr>
        <w:t>40m</w:t>
      </w:r>
      <w:r>
        <w:rPr>
          <w:spacing w:val="-8"/>
          <w:sz w:val="21"/>
        </w:rPr>
        <w:t xml:space="preserve"> </w:t>
      </w:r>
      <w:r>
        <w:rPr>
          <w:spacing w:val="-8"/>
          <w:sz w:val="21"/>
        </w:rPr>
        <w:t>的市政消火栓可计入建筑室外消火栓的数量；当市政给水管网</w:t>
      </w:r>
      <w:r>
        <w:rPr>
          <w:spacing w:val="-4"/>
          <w:sz w:val="21"/>
        </w:rPr>
        <w:t>为环状时，符合本条上述内容的室外消火栓出流量宜计入建筑室外消火栓设计流量；但当市政</w:t>
      </w:r>
      <w:r>
        <w:rPr>
          <w:spacing w:val="-3"/>
          <w:sz w:val="21"/>
        </w:rPr>
        <w:t>给水管网为枝状时，计入建筑的室外消火栓设计流量不宜超过一个市政消火栓的出流量。</w:t>
      </w:r>
      <w:r>
        <w:rPr>
          <w:sz w:val="21"/>
        </w:rPr>
        <w:t xml:space="preserve"> </w:t>
      </w:r>
    </w:p>
    <w:p w14:paraId="14ED4EA2" w14:textId="77777777" w:rsidR="00A71EEF" w:rsidRDefault="0081115D">
      <w:pPr>
        <w:pStyle w:val="a4"/>
        <w:numPr>
          <w:ilvl w:val="2"/>
          <w:numId w:val="260"/>
        </w:numPr>
        <w:tabs>
          <w:tab w:val="left" w:pos="1424"/>
        </w:tabs>
        <w:spacing w:line="267" w:lineRule="exact"/>
        <w:ind w:left="1423"/>
        <w:rPr>
          <w:sz w:val="21"/>
        </w:rPr>
      </w:pPr>
      <w:r>
        <w:rPr>
          <w:spacing w:val="-3"/>
          <w:sz w:val="21"/>
        </w:rPr>
        <w:t>当室外</w:t>
      </w:r>
      <w:r>
        <w:rPr>
          <w:spacing w:val="-3"/>
          <w:sz w:val="21"/>
        </w:rPr>
        <w:t>采用高压或临时高压消防给水系统时，宜与室内消防给水合用。</w:t>
      </w:r>
      <w:r>
        <w:rPr>
          <w:spacing w:val="-3"/>
          <w:sz w:val="21"/>
        </w:rPr>
        <w:t xml:space="preserve"> </w:t>
      </w:r>
    </w:p>
    <w:p w14:paraId="6EEE635B" w14:textId="77777777" w:rsidR="00A71EEF" w:rsidRDefault="00A71EEF">
      <w:pPr>
        <w:pStyle w:val="a3"/>
        <w:rPr>
          <w:sz w:val="18"/>
        </w:rPr>
      </w:pPr>
    </w:p>
    <w:p w14:paraId="4A669757" w14:textId="77777777" w:rsidR="00A71EEF" w:rsidRDefault="0081115D">
      <w:pPr>
        <w:pStyle w:val="a4"/>
        <w:numPr>
          <w:ilvl w:val="2"/>
          <w:numId w:val="260"/>
        </w:numPr>
        <w:tabs>
          <w:tab w:val="left" w:pos="1424"/>
        </w:tabs>
        <w:ind w:left="1423"/>
        <w:rPr>
          <w:sz w:val="21"/>
        </w:rPr>
      </w:pPr>
      <w:r>
        <w:rPr>
          <w:spacing w:val="-3"/>
          <w:sz w:val="21"/>
        </w:rPr>
        <w:t>独立的室外临时高压消防给水系统宜采用稳压泵维持系统的充水和压力。</w:t>
      </w:r>
      <w:r>
        <w:rPr>
          <w:sz w:val="21"/>
        </w:rPr>
        <w:t xml:space="preserve"> </w:t>
      </w:r>
    </w:p>
    <w:p w14:paraId="5CC8B30E" w14:textId="77777777" w:rsidR="00A71EEF" w:rsidRDefault="00A71EEF">
      <w:pPr>
        <w:pStyle w:val="a3"/>
        <w:spacing w:before="12"/>
        <w:rPr>
          <w:sz w:val="17"/>
        </w:rPr>
      </w:pPr>
    </w:p>
    <w:p w14:paraId="1A8A00BF" w14:textId="77777777" w:rsidR="00A71EEF" w:rsidRDefault="0081115D">
      <w:pPr>
        <w:pStyle w:val="a4"/>
        <w:numPr>
          <w:ilvl w:val="2"/>
          <w:numId w:val="260"/>
        </w:numPr>
        <w:tabs>
          <w:tab w:val="left" w:pos="1424"/>
        </w:tabs>
        <w:spacing w:line="446" w:lineRule="auto"/>
        <w:ind w:right="1445" w:firstLine="422"/>
        <w:rPr>
          <w:sz w:val="21"/>
        </w:rPr>
      </w:pPr>
      <w:r>
        <w:rPr>
          <w:spacing w:val="-3"/>
          <w:sz w:val="21"/>
        </w:rPr>
        <w:t>室内应采用高压或临时高压消防给水系统，且不应与生产生活给水系统合用；但当自动喷水灭火系统局部应用系统和仅设有消防软管卷盘或轻便水龙的室内消防给水系统时，可与</w:t>
      </w:r>
      <w:r>
        <w:rPr>
          <w:spacing w:val="-3"/>
          <w:sz w:val="21"/>
        </w:rPr>
        <w:t xml:space="preserve"> </w:t>
      </w:r>
      <w:r>
        <w:rPr>
          <w:spacing w:val="-3"/>
          <w:sz w:val="21"/>
        </w:rPr>
        <w:t>生产生活给水系统合用。</w:t>
      </w:r>
      <w:r>
        <w:rPr>
          <w:sz w:val="21"/>
        </w:rPr>
        <w:t xml:space="preserve"> </w:t>
      </w:r>
    </w:p>
    <w:p w14:paraId="3B4B5F00" w14:textId="77777777" w:rsidR="00A71EEF" w:rsidRDefault="0081115D">
      <w:pPr>
        <w:pStyle w:val="a4"/>
        <w:numPr>
          <w:ilvl w:val="2"/>
          <w:numId w:val="260"/>
        </w:numPr>
        <w:tabs>
          <w:tab w:val="left" w:pos="1424"/>
        </w:tabs>
        <w:spacing w:line="268" w:lineRule="exact"/>
        <w:ind w:left="1423"/>
        <w:rPr>
          <w:sz w:val="21"/>
        </w:rPr>
      </w:pPr>
      <w:r>
        <w:rPr>
          <w:spacing w:val="-3"/>
          <w:sz w:val="21"/>
        </w:rPr>
        <w:t>室内采用临时高压消防给水系统时，高位消防水箱的设置应符合下列规定：</w:t>
      </w:r>
      <w:r>
        <w:rPr>
          <w:spacing w:val="-3"/>
          <w:sz w:val="21"/>
        </w:rPr>
        <w:t xml:space="preserve"> </w:t>
      </w:r>
    </w:p>
    <w:p w14:paraId="55886501" w14:textId="77777777" w:rsidR="00A71EEF" w:rsidRDefault="00A71EEF">
      <w:pPr>
        <w:pStyle w:val="a3"/>
        <w:spacing w:before="3"/>
        <w:rPr>
          <w:sz w:val="17"/>
        </w:rPr>
      </w:pPr>
    </w:p>
    <w:p w14:paraId="6C97C7AE" w14:textId="77777777" w:rsidR="00A71EEF" w:rsidRDefault="0081115D">
      <w:pPr>
        <w:pStyle w:val="a4"/>
        <w:numPr>
          <w:ilvl w:val="0"/>
          <w:numId w:val="256"/>
        </w:numPr>
        <w:tabs>
          <w:tab w:val="left" w:pos="1367"/>
        </w:tabs>
        <w:spacing w:line="446" w:lineRule="auto"/>
        <w:ind w:right="1791" w:firstLine="419"/>
        <w:rPr>
          <w:sz w:val="21"/>
        </w:rPr>
      </w:pPr>
      <w:r>
        <w:rPr>
          <w:spacing w:val="-6"/>
          <w:sz w:val="21"/>
        </w:rPr>
        <w:t>高层民用建筑、总建筑面积大于</w:t>
      </w:r>
      <w:r>
        <w:rPr>
          <w:spacing w:val="-6"/>
          <w:sz w:val="21"/>
        </w:rPr>
        <w:t xml:space="preserve"> </w:t>
      </w:r>
      <w:r>
        <w:rPr>
          <w:sz w:val="21"/>
        </w:rPr>
        <w:t>10000m</w:t>
      </w:r>
      <w:r>
        <w:rPr>
          <w:position w:val="11"/>
          <w:sz w:val="11"/>
        </w:rPr>
        <w:t>2</w:t>
      </w:r>
      <w:r>
        <w:rPr>
          <w:spacing w:val="-24"/>
          <w:position w:val="11"/>
          <w:sz w:val="11"/>
        </w:rPr>
        <w:t xml:space="preserve"> </w:t>
      </w:r>
      <w:r>
        <w:rPr>
          <w:spacing w:val="-10"/>
          <w:sz w:val="21"/>
        </w:rPr>
        <w:t>且层数超过</w:t>
      </w:r>
      <w:r>
        <w:rPr>
          <w:spacing w:val="-10"/>
          <w:sz w:val="21"/>
        </w:rPr>
        <w:t xml:space="preserve"> </w:t>
      </w:r>
      <w:r>
        <w:rPr>
          <w:sz w:val="21"/>
        </w:rPr>
        <w:t>2</w:t>
      </w:r>
      <w:r>
        <w:rPr>
          <w:spacing w:val="-8"/>
          <w:sz w:val="21"/>
        </w:rPr>
        <w:t xml:space="preserve"> </w:t>
      </w:r>
      <w:r>
        <w:rPr>
          <w:spacing w:val="-8"/>
          <w:sz w:val="21"/>
        </w:rPr>
        <w:t>层的公共建筑和其他重要建</w:t>
      </w:r>
      <w:r>
        <w:rPr>
          <w:spacing w:val="-5"/>
          <w:sz w:val="21"/>
        </w:rPr>
        <w:t>筑，必须设置高位消防水箱；</w:t>
      </w:r>
      <w:r>
        <w:rPr>
          <w:sz w:val="21"/>
        </w:rPr>
        <w:t xml:space="preserve"> </w:t>
      </w:r>
    </w:p>
    <w:p w14:paraId="15D442C5" w14:textId="77777777" w:rsidR="00A71EEF" w:rsidRDefault="0081115D">
      <w:pPr>
        <w:pStyle w:val="a4"/>
        <w:numPr>
          <w:ilvl w:val="0"/>
          <w:numId w:val="256"/>
        </w:numPr>
        <w:tabs>
          <w:tab w:val="left" w:pos="1367"/>
        </w:tabs>
        <w:spacing w:line="446" w:lineRule="auto"/>
        <w:ind w:right="1505" w:firstLine="419"/>
        <w:rPr>
          <w:sz w:val="21"/>
        </w:rPr>
      </w:pPr>
      <w:r>
        <w:rPr>
          <w:spacing w:val="-3"/>
          <w:sz w:val="21"/>
        </w:rPr>
        <w:t>其他建筑应设置高位消防水箱，但当设置高位消防水箱确有困难，且采用安全可靠的消防给水形式时，可不设高位消防水箱，但应设稳压泵；</w:t>
      </w:r>
      <w:r>
        <w:rPr>
          <w:sz w:val="21"/>
        </w:rPr>
        <w:t xml:space="preserve"> </w:t>
      </w:r>
    </w:p>
    <w:p w14:paraId="0B122A0E" w14:textId="77777777" w:rsidR="00A71EEF" w:rsidRDefault="0081115D">
      <w:pPr>
        <w:pStyle w:val="a4"/>
        <w:numPr>
          <w:ilvl w:val="0"/>
          <w:numId w:val="256"/>
        </w:numPr>
        <w:tabs>
          <w:tab w:val="left" w:pos="1367"/>
        </w:tabs>
        <w:spacing w:line="446" w:lineRule="auto"/>
        <w:ind w:right="1505" w:firstLine="419"/>
        <w:rPr>
          <w:sz w:val="21"/>
        </w:rPr>
      </w:pPr>
      <w:r>
        <w:rPr>
          <w:spacing w:val="-3"/>
          <w:sz w:val="21"/>
        </w:rPr>
        <w:t>当市政供水管网的供水能力在满足生产、生活最大小时用水量后，仍能满足初期火灾所需的消防流量和压力时，市政直接供水可替代高位消防水箱。</w:t>
      </w:r>
      <w:r>
        <w:rPr>
          <w:sz w:val="21"/>
        </w:rPr>
        <w:t xml:space="preserve"> </w:t>
      </w:r>
    </w:p>
    <w:p w14:paraId="52E40E30" w14:textId="77777777" w:rsidR="00A71EEF" w:rsidRDefault="0081115D">
      <w:pPr>
        <w:pStyle w:val="a4"/>
        <w:numPr>
          <w:ilvl w:val="2"/>
          <w:numId w:val="260"/>
        </w:numPr>
        <w:tabs>
          <w:tab w:val="left" w:pos="1478"/>
        </w:tabs>
        <w:spacing w:line="267" w:lineRule="exact"/>
        <w:ind w:left="1477" w:hanging="638"/>
        <w:rPr>
          <w:sz w:val="21"/>
        </w:rPr>
      </w:pPr>
      <w:r>
        <w:rPr>
          <w:spacing w:val="-3"/>
          <w:sz w:val="21"/>
        </w:rPr>
        <w:t>当室内临时高压消防给水系统仅采用稳压泵稳压，且为室外消火栓设计流量大于</w:t>
      </w:r>
    </w:p>
    <w:p w14:paraId="12011CA2" w14:textId="77777777" w:rsidR="00A71EEF" w:rsidRDefault="00A71EEF">
      <w:pPr>
        <w:pStyle w:val="a3"/>
        <w:spacing w:before="1"/>
        <w:rPr>
          <w:sz w:val="18"/>
        </w:rPr>
      </w:pPr>
    </w:p>
    <w:p w14:paraId="4FB43A7B" w14:textId="77777777" w:rsidR="00A71EEF" w:rsidRDefault="0081115D">
      <w:pPr>
        <w:pStyle w:val="a3"/>
        <w:ind w:left="418"/>
      </w:pPr>
      <w:r>
        <w:t xml:space="preserve">20L/s </w:t>
      </w:r>
      <w:r>
        <w:t>的建筑和建筑高度大于</w:t>
      </w:r>
      <w:r>
        <w:t xml:space="preserve"> 54m </w:t>
      </w:r>
      <w:r>
        <w:t>的住宅时，消防水泵的供电或备用动力应符合下列要求：</w:t>
      </w:r>
      <w:r>
        <w:t xml:space="preserve"> </w:t>
      </w:r>
    </w:p>
    <w:p w14:paraId="50347366" w14:textId="77777777" w:rsidR="00A71EEF" w:rsidRDefault="00A71EEF">
      <w:pPr>
        <w:pStyle w:val="a3"/>
        <w:rPr>
          <w:sz w:val="18"/>
        </w:rPr>
      </w:pPr>
    </w:p>
    <w:p w14:paraId="073BED6B" w14:textId="77777777" w:rsidR="00A71EEF" w:rsidRDefault="0081115D">
      <w:pPr>
        <w:pStyle w:val="a4"/>
        <w:numPr>
          <w:ilvl w:val="0"/>
          <w:numId w:val="255"/>
        </w:numPr>
        <w:tabs>
          <w:tab w:val="left" w:pos="1367"/>
        </w:tabs>
        <w:spacing w:line="446" w:lineRule="auto"/>
        <w:ind w:right="1505" w:firstLine="419"/>
        <w:rPr>
          <w:sz w:val="21"/>
        </w:rPr>
      </w:pPr>
      <w:r>
        <w:rPr>
          <w:spacing w:val="-3"/>
          <w:sz w:val="21"/>
        </w:rPr>
        <w:t>消防水泵应按一级负荷要求供电，当不能满足一级负荷</w:t>
      </w:r>
      <w:r>
        <w:rPr>
          <w:spacing w:val="-3"/>
          <w:sz w:val="21"/>
        </w:rPr>
        <w:t>要求供电时应采用柴油发电机组作备用动力；</w:t>
      </w:r>
      <w:r>
        <w:rPr>
          <w:sz w:val="21"/>
        </w:rPr>
        <w:t xml:space="preserve"> </w:t>
      </w:r>
    </w:p>
    <w:p w14:paraId="210FE1CA" w14:textId="77777777" w:rsidR="00A71EEF" w:rsidRDefault="0081115D">
      <w:pPr>
        <w:pStyle w:val="a4"/>
        <w:numPr>
          <w:ilvl w:val="0"/>
          <w:numId w:val="255"/>
        </w:numPr>
        <w:tabs>
          <w:tab w:val="left" w:pos="1367"/>
        </w:tabs>
        <w:ind w:left="1367"/>
        <w:rPr>
          <w:sz w:val="21"/>
        </w:rPr>
      </w:pPr>
      <w:r>
        <w:rPr>
          <w:spacing w:val="-3"/>
          <w:sz w:val="21"/>
        </w:rPr>
        <w:t>工业建筑备用泵宜采用柴油机消防水泵。</w:t>
      </w:r>
      <w:r>
        <w:rPr>
          <w:sz w:val="21"/>
        </w:rPr>
        <w:t xml:space="preserve"> </w:t>
      </w:r>
    </w:p>
    <w:p w14:paraId="7955B388" w14:textId="77777777" w:rsidR="00A71EEF" w:rsidRDefault="00A71EEF">
      <w:pPr>
        <w:pStyle w:val="a3"/>
        <w:rPr>
          <w:sz w:val="18"/>
        </w:rPr>
      </w:pPr>
    </w:p>
    <w:p w14:paraId="67D56E9A" w14:textId="77777777" w:rsidR="00A71EEF" w:rsidRDefault="0081115D">
      <w:pPr>
        <w:pStyle w:val="a4"/>
        <w:numPr>
          <w:ilvl w:val="2"/>
          <w:numId w:val="260"/>
        </w:numPr>
        <w:tabs>
          <w:tab w:val="left" w:pos="1530"/>
        </w:tabs>
        <w:ind w:left="1529" w:hanging="690"/>
        <w:rPr>
          <w:sz w:val="21"/>
        </w:rPr>
      </w:pPr>
      <w:r>
        <w:rPr>
          <w:spacing w:val="-3"/>
          <w:sz w:val="21"/>
        </w:rPr>
        <w:t>建筑群共用临时高压消防给水系统时，应符合下列规定：</w:t>
      </w:r>
      <w:r>
        <w:rPr>
          <w:sz w:val="21"/>
        </w:rPr>
        <w:t xml:space="preserve"> </w:t>
      </w:r>
    </w:p>
    <w:p w14:paraId="0200F014" w14:textId="77777777" w:rsidR="00A71EEF" w:rsidRDefault="00A71EEF">
      <w:pPr>
        <w:pStyle w:val="a3"/>
        <w:spacing w:before="2"/>
        <w:rPr>
          <w:sz w:val="17"/>
        </w:rPr>
      </w:pPr>
    </w:p>
    <w:p w14:paraId="7906D27B" w14:textId="77777777" w:rsidR="00A71EEF" w:rsidRDefault="0081115D">
      <w:pPr>
        <w:pStyle w:val="a4"/>
        <w:numPr>
          <w:ilvl w:val="0"/>
          <w:numId w:val="254"/>
        </w:numPr>
        <w:tabs>
          <w:tab w:val="left" w:pos="1367"/>
        </w:tabs>
        <w:rPr>
          <w:sz w:val="21"/>
        </w:rPr>
      </w:pPr>
      <w:r>
        <w:rPr>
          <w:spacing w:val="-6"/>
          <w:sz w:val="21"/>
        </w:rPr>
        <w:t>工矿企业消防供水的最大保护半径不宜超过</w:t>
      </w:r>
      <w:r>
        <w:rPr>
          <w:spacing w:val="-6"/>
          <w:sz w:val="21"/>
        </w:rPr>
        <w:t xml:space="preserve"> </w:t>
      </w:r>
      <w:r>
        <w:rPr>
          <w:sz w:val="21"/>
        </w:rPr>
        <w:t>1200m</w:t>
      </w:r>
      <w:r>
        <w:rPr>
          <w:spacing w:val="-8"/>
          <w:sz w:val="21"/>
        </w:rPr>
        <w:t>，且占地面积不宜大于</w:t>
      </w:r>
      <w:r>
        <w:rPr>
          <w:spacing w:val="-8"/>
          <w:sz w:val="21"/>
        </w:rPr>
        <w:t xml:space="preserve"> </w:t>
      </w:r>
      <w:r>
        <w:rPr>
          <w:sz w:val="21"/>
        </w:rPr>
        <w:t>200hm</w:t>
      </w:r>
      <w:r>
        <w:rPr>
          <w:position w:val="11"/>
          <w:sz w:val="11"/>
        </w:rPr>
        <w:t>2</w:t>
      </w:r>
      <w:r>
        <w:rPr>
          <w:sz w:val="21"/>
        </w:rPr>
        <w:t>；</w:t>
      </w:r>
      <w:r>
        <w:rPr>
          <w:sz w:val="21"/>
        </w:rPr>
        <w:t xml:space="preserve"> </w:t>
      </w:r>
    </w:p>
    <w:p w14:paraId="15C5A0C4" w14:textId="77777777" w:rsidR="00A71EEF" w:rsidRDefault="00A71EEF">
      <w:pPr>
        <w:pStyle w:val="a3"/>
        <w:spacing w:before="5"/>
        <w:rPr>
          <w:sz w:val="17"/>
        </w:rPr>
      </w:pPr>
    </w:p>
    <w:p w14:paraId="59B52EC8" w14:textId="77777777" w:rsidR="00A71EEF" w:rsidRDefault="0081115D">
      <w:pPr>
        <w:pStyle w:val="a4"/>
        <w:numPr>
          <w:ilvl w:val="0"/>
          <w:numId w:val="254"/>
        </w:numPr>
        <w:tabs>
          <w:tab w:val="left" w:pos="1367"/>
        </w:tabs>
        <w:rPr>
          <w:sz w:val="21"/>
        </w:rPr>
      </w:pPr>
      <w:r>
        <w:rPr>
          <w:spacing w:val="-6"/>
          <w:sz w:val="21"/>
        </w:rPr>
        <w:t>居住小区消防供水的最大保护建筑面积不宜超过</w:t>
      </w:r>
      <w:r>
        <w:rPr>
          <w:spacing w:val="-6"/>
          <w:sz w:val="21"/>
        </w:rPr>
        <w:t xml:space="preserve"> </w:t>
      </w:r>
      <w:r>
        <w:rPr>
          <w:sz w:val="21"/>
        </w:rPr>
        <w:t>500000m</w:t>
      </w:r>
      <w:r>
        <w:rPr>
          <w:position w:val="11"/>
          <w:sz w:val="11"/>
        </w:rPr>
        <w:t>2</w:t>
      </w:r>
      <w:r>
        <w:rPr>
          <w:sz w:val="21"/>
        </w:rPr>
        <w:t>；</w:t>
      </w:r>
      <w:r>
        <w:rPr>
          <w:sz w:val="21"/>
        </w:rPr>
        <w:t xml:space="preserve"> </w:t>
      </w:r>
    </w:p>
    <w:p w14:paraId="16D0959C" w14:textId="77777777" w:rsidR="00A71EEF" w:rsidRDefault="00A71EEF">
      <w:pPr>
        <w:rPr>
          <w:sz w:val="21"/>
        </w:rPr>
        <w:sectPr w:rsidR="00A71EEF">
          <w:pgSz w:w="11910" w:h="16850"/>
          <w:pgMar w:top="1220" w:right="0" w:bottom="1420" w:left="1260" w:header="0" w:footer="1239" w:gutter="0"/>
          <w:cols w:space="720"/>
        </w:sectPr>
      </w:pPr>
    </w:p>
    <w:p w14:paraId="5B084B2D" w14:textId="77777777" w:rsidR="00A71EEF" w:rsidRDefault="0081115D">
      <w:pPr>
        <w:pStyle w:val="a4"/>
        <w:numPr>
          <w:ilvl w:val="0"/>
          <w:numId w:val="254"/>
        </w:numPr>
        <w:tabs>
          <w:tab w:val="left" w:pos="1367"/>
        </w:tabs>
        <w:spacing w:before="47"/>
        <w:rPr>
          <w:sz w:val="21"/>
        </w:rPr>
      </w:pPr>
      <w:r>
        <w:rPr>
          <w:spacing w:val="-3"/>
          <w:sz w:val="21"/>
        </w:rPr>
        <w:t>公共建筑宜为同一产权或物业管理单位。</w:t>
      </w:r>
      <w:r>
        <w:rPr>
          <w:sz w:val="21"/>
        </w:rPr>
        <w:t xml:space="preserve"> </w:t>
      </w:r>
    </w:p>
    <w:p w14:paraId="6838DE74" w14:textId="77777777" w:rsidR="00A71EEF" w:rsidRDefault="00A71EEF">
      <w:pPr>
        <w:pStyle w:val="a3"/>
        <w:rPr>
          <w:sz w:val="18"/>
        </w:rPr>
      </w:pPr>
    </w:p>
    <w:p w14:paraId="68BAF190" w14:textId="77777777" w:rsidR="00A71EEF" w:rsidRDefault="0081115D">
      <w:pPr>
        <w:pStyle w:val="a4"/>
        <w:numPr>
          <w:ilvl w:val="2"/>
          <w:numId w:val="260"/>
        </w:numPr>
        <w:tabs>
          <w:tab w:val="left" w:pos="1530"/>
        </w:tabs>
        <w:spacing w:line="446" w:lineRule="auto"/>
        <w:ind w:right="1549" w:firstLine="422"/>
        <w:jc w:val="both"/>
        <w:rPr>
          <w:sz w:val="21"/>
        </w:rPr>
      </w:pPr>
      <w:r>
        <w:rPr>
          <w:spacing w:val="-3"/>
          <w:sz w:val="21"/>
        </w:rPr>
        <w:t>当市政给水管网能满足生产生活和消防给水设计流量，且市政允许消防水泵直接吸水时，临时高压消防给水系统的消防水泵宜直接从市政给水管网吸水，但城镇市政消防给水设计流量宜大于建筑的室内外消防给水设计流量之和。</w:t>
      </w:r>
      <w:r>
        <w:rPr>
          <w:spacing w:val="-3"/>
          <w:sz w:val="21"/>
        </w:rPr>
        <w:t xml:space="preserve"> </w:t>
      </w:r>
    </w:p>
    <w:p w14:paraId="66D210F4" w14:textId="77777777" w:rsidR="00A71EEF" w:rsidRDefault="0081115D">
      <w:pPr>
        <w:pStyle w:val="a4"/>
        <w:numPr>
          <w:ilvl w:val="2"/>
          <w:numId w:val="260"/>
        </w:numPr>
        <w:tabs>
          <w:tab w:val="left" w:pos="1530"/>
        </w:tabs>
        <w:spacing w:line="444" w:lineRule="auto"/>
        <w:ind w:right="1448" w:firstLine="422"/>
        <w:rPr>
          <w:sz w:val="21"/>
        </w:rPr>
      </w:pPr>
      <w:r>
        <w:rPr>
          <w:spacing w:val="-7"/>
          <w:sz w:val="21"/>
        </w:rPr>
        <w:t>当建筑物高度超过</w:t>
      </w:r>
      <w:r>
        <w:rPr>
          <w:spacing w:val="-7"/>
          <w:sz w:val="21"/>
        </w:rPr>
        <w:t xml:space="preserve"> </w:t>
      </w:r>
      <w:r>
        <w:rPr>
          <w:sz w:val="21"/>
        </w:rPr>
        <w:t>100m</w:t>
      </w:r>
      <w:r>
        <w:rPr>
          <w:spacing w:val="-8"/>
          <w:sz w:val="21"/>
        </w:rPr>
        <w:t xml:space="preserve"> </w:t>
      </w:r>
      <w:r>
        <w:rPr>
          <w:spacing w:val="-8"/>
          <w:sz w:val="21"/>
        </w:rPr>
        <w:t>时，室内消防给水系统应分析比较多种系统的可靠性，采用</w:t>
      </w:r>
      <w:r>
        <w:rPr>
          <w:spacing w:val="-5"/>
          <w:sz w:val="21"/>
        </w:rPr>
        <w:t>安全可靠的消防给水形式；当采用常高压消防给水系统时，但高位消防水池无法满足上部楼层</w:t>
      </w:r>
      <w:r>
        <w:rPr>
          <w:spacing w:val="-5"/>
          <w:sz w:val="21"/>
        </w:rPr>
        <w:t xml:space="preserve"> </w:t>
      </w:r>
      <w:r>
        <w:rPr>
          <w:spacing w:val="-4"/>
          <w:sz w:val="21"/>
        </w:rPr>
        <w:t>所需的压力和流量时，上部楼层应采用临时高压消防给水系统，该系统的高位消防水箱的有效</w:t>
      </w:r>
      <w:r>
        <w:rPr>
          <w:spacing w:val="-4"/>
          <w:sz w:val="21"/>
        </w:rPr>
        <w:t xml:space="preserve"> </w:t>
      </w:r>
      <w:r>
        <w:rPr>
          <w:spacing w:val="-9"/>
          <w:sz w:val="21"/>
        </w:rPr>
        <w:t>容积应按本规范第</w:t>
      </w:r>
      <w:r>
        <w:rPr>
          <w:spacing w:val="-9"/>
          <w:sz w:val="21"/>
        </w:rPr>
        <w:t xml:space="preserve"> </w:t>
      </w:r>
      <w:r>
        <w:rPr>
          <w:sz w:val="21"/>
        </w:rPr>
        <w:t>5.2.1</w:t>
      </w:r>
      <w:r>
        <w:rPr>
          <w:spacing w:val="-11"/>
          <w:sz w:val="21"/>
        </w:rPr>
        <w:t xml:space="preserve"> </w:t>
      </w:r>
      <w:r>
        <w:rPr>
          <w:spacing w:val="-11"/>
          <w:sz w:val="21"/>
        </w:rPr>
        <w:t>条的规定根据该系统供水高度确定</w:t>
      </w:r>
      <w:r>
        <w:rPr>
          <w:spacing w:val="-11"/>
          <w:sz w:val="21"/>
        </w:rPr>
        <w:t>，且不应小于</w:t>
      </w:r>
      <w:r>
        <w:rPr>
          <w:spacing w:val="-11"/>
          <w:sz w:val="21"/>
        </w:rPr>
        <w:t xml:space="preserve"> </w:t>
      </w:r>
      <w:r>
        <w:rPr>
          <w:sz w:val="21"/>
        </w:rPr>
        <w:t>18m</w:t>
      </w:r>
      <w:r>
        <w:rPr>
          <w:position w:val="11"/>
          <w:sz w:val="11"/>
        </w:rPr>
        <w:t>3</w:t>
      </w:r>
      <w:r>
        <w:rPr>
          <w:sz w:val="21"/>
        </w:rPr>
        <w:t>。</w:t>
      </w:r>
      <w:r>
        <w:rPr>
          <w:sz w:val="21"/>
        </w:rPr>
        <w:t xml:space="preserve"> </w:t>
      </w:r>
    </w:p>
    <w:p w14:paraId="23E15335" w14:textId="77777777" w:rsidR="00A71EEF" w:rsidRDefault="0081115D">
      <w:pPr>
        <w:pStyle w:val="a4"/>
        <w:numPr>
          <w:ilvl w:val="1"/>
          <w:numId w:val="260"/>
        </w:numPr>
        <w:tabs>
          <w:tab w:val="left" w:pos="1159"/>
        </w:tabs>
        <w:spacing w:line="268" w:lineRule="exact"/>
        <w:ind w:left="1158" w:hanging="319"/>
        <w:rPr>
          <w:sz w:val="21"/>
        </w:rPr>
      </w:pPr>
      <w:r>
        <w:rPr>
          <w:spacing w:val="-3"/>
          <w:sz w:val="21"/>
        </w:rPr>
        <w:t>分区供水</w:t>
      </w:r>
      <w:r>
        <w:rPr>
          <w:sz w:val="21"/>
        </w:rPr>
        <w:t xml:space="preserve"> </w:t>
      </w:r>
    </w:p>
    <w:p w14:paraId="1641E7AE" w14:textId="77777777" w:rsidR="00A71EEF" w:rsidRDefault="00A71EEF">
      <w:pPr>
        <w:pStyle w:val="a3"/>
        <w:spacing w:before="1"/>
        <w:rPr>
          <w:sz w:val="18"/>
        </w:rPr>
      </w:pPr>
    </w:p>
    <w:p w14:paraId="7961C65D" w14:textId="77777777" w:rsidR="00A71EEF" w:rsidRDefault="0081115D">
      <w:pPr>
        <w:pStyle w:val="a4"/>
        <w:numPr>
          <w:ilvl w:val="2"/>
          <w:numId w:val="260"/>
        </w:numPr>
        <w:tabs>
          <w:tab w:val="left" w:pos="1424"/>
        </w:tabs>
        <w:ind w:left="1423"/>
        <w:rPr>
          <w:sz w:val="21"/>
        </w:rPr>
      </w:pPr>
      <w:r>
        <w:rPr>
          <w:spacing w:val="-3"/>
          <w:sz w:val="21"/>
        </w:rPr>
        <w:t>符合下列条件时，消防给水系统应分区供水：</w:t>
      </w:r>
      <w:r>
        <w:rPr>
          <w:spacing w:val="-3"/>
          <w:sz w:val="21"/>
        </w:rPr>
        <w:t xml:space="preserve"> </w:t>
      </w:r>
    </w:p>
    <w:p w14:paraId="3703DAEB" w14:textId="77777777" w:rsidR="00A71EEF" w:rsidRDefault="00A71EEF">
      <w:pPr>
        <w:pStyle w:val="a3"/>
        <w:spacing w:before="12"/>
        <w:rPr>
          <w:sz w:val="17"/>
        </w:rPr>
      </w:pPr>
    </w:p>
    <w:p w14:paraId="29F22A09" w14:textId="77777777" w:rsidR="00A71EEF" w:rsidRDefault="0081115D">
      <w:pPr>
        <w:pStyle w:val="a4"/>
        <w:numPr>
          <w:ilvl w:val="0"/>
          <w:numId w:val="253"/>
        </w:numPr>
        <w:tabs>
          <w:tab w:val="left" w:pos="1367"/>
        </w:tabs>
        <w:rPr>
          <w:sz w:val="21"/>
        </w:rPr>
      </w:pPr>
      <w:r>
        <w:rPr>
          <w:spacing w:val="-9"/>
          <w:sz w:val="21"/>
        </w:rPr>
        <w:t>系统工作压力大于</w:t>
      </w:r>
      <w:r>
        <w:rPr>
          <w:spacing w:val="-9"/>
          <w:sz w:val="21"/>
        </w:rPr>
        <w:t xml:space="preserve"> </w:t>
      </w:r>
      <w:r>
        <w:rPr>
          <w:sz w:val="21"/>
        </w:rPr>
        <w:t>2.40MPa</w:t>
      </w:r>
      <w:r>
        <w:rPr>
          <w:sz w:val="21"/>
        </w:rPr>
        <w:t>；</w:t>
      </w:r>
      <w:r>
        <w:rPr>
          <w:sz w:val="21"/>
        </w:rPr>
        <w:t xml:space="preserve"> </w:t>
      </w:r>
    </w:p>
    <w:p w14:paraId="4A436BBE" w14:textId="77777777" w:rsidR="00A71EEF" w:rsidRDefault="00A71EEF">
      <w:pPr>
        <w:pStyle w:val="a3"/>
        <w:spacing w:before="12"/>
        <w:rPr>
          <w:sz w:val="17"/>
        </w:rPr>
      </w:pPr>
    </w:p>
    <w:p w14:paraId="17893503" w14:textId="77777777" w:rsidR="00A71EEF" w:rsidRDefault="0081115D">
      <w:pPr>
        <w:pStyle w:val="a4"/>
        <w:numPr>
          <w:ilvl w:val="0"/>
          <w:numId w:val="253"/>
        </w:numPr>
        <w:tabs>
          <w:tab w:val="left" w:pos="1367"/>
        </w:tabs>
        <w:rPr>
          <w:sz w:val="21"/>
        </w:rPr>
      </w:pPr>
      <w:r>
        <w:rPr>
          <w:spacing w:val="-8"/>
          <w:sz w:val="21"/>
        </w:rPr>
        <w:t>消火栓栓口处静压大于</w:t>
      </w:r>
      <w:r>
        <w:rPr>
          <w:spacing w:val="-8"/>
          <w:sz w:val="21"/>
        </w:rPr>
        <w:t xml:space="preserve"> </w:t>
      </w:r>
      <w:r>
        <w:rPr>
          <w:sz w:val="21"/>
        </w:rPr>
        <w:t>1.0MPa</w:t>
      </w:r>
      <w:r>
        <w:rPr>
          <w:sz w:val="21"/>
        </w:rPr>
        <w:t>；</w:t>
      </w:r>
      <w:r>
        <w:rPr>
          <w:sz w:val="21"/>
        </w:rPr>
        <w:t xml:space="preserve"> </w:t>
      </w:r>
      <w:r>
        <w:rPr>
          <w:spacing w:val="-2"/>
          <w:sz w:val="21"/>
        </w:rPr>
        <w:t xml:space="preserve"> </w:t>
      </w:r>
      <w:r>
        <w:rPr>
          <w:sz w:val="21"/>
        </w:rPr>
        <w:t xml:space="preserve"> </w:t>
      </w:r>
    </w:p>
    <w:p w14:paraId="05C37787" w14:textId="77777777" w:rsidR="00A71EEF" w:rsidRDefault="00A71EEF">
      <w:pPr>
        <w:pStyle w:val="a3"/>
        <w:spacing w:before="2"/>
        <w:rPr>
          <w:sz w:val="18"/>
        </w:rPr>
      </w:pPr>
    </w:p>
    <w:p w14:paraId="36CD3BCD" w14:textId="77777777" w:rsidR="00A71EEF" w:rsidRDefault="0081115D">
      <w:pPr>
        <w:pStyle w:val="a4"/>
        <w:numPr>
          <w:ilvl w:val="0"/>
          <w:numId w:val="253"/>
        </w:numPr>
        <w:tabs>
          <w:tab w:val="left" w:pos="1367"/>
        </w:tabs>
        <w:rPr>
          <w:sz w:val="21"/>
        </w:rPr>
      </w:pPr>
      <w:r>
        <w:rPr>
          <w:spacing w:val="-6"/>
          <w:sz w:val="21"/>
        </w:rPr>
        <w:t>自动水灭火系统报警阀处的工作压力大于</w:t>
      </w:r>
      <w:r>
        <w:rPr>
          <w:spacing w:val="-6"/>
          <w:sz w:val="21"/>
        </w:rPr>
        <w:t xml:space="preserve"> </w:t>
      </w:r>
      <w:r>
        <w:rPr>
          <w:sz w:val="21"/>
        </w:rPr>
        <w:t>1.60MPa</w:t>
      </w:r>
      <w:r>
        <w:rPr>
          <w:spacing w:val="-9"/>
          <w:sz w:val="21"/>
        </w:rPr>
        <w:t xml:space="preserve"> </w:t>
      </w:r>
      <w:r>
        <w:rPr>
          <w:spacing w:val="-9"/>
          <w:sz w:val="21"/>
        </w:rPr>
        <w:t>或喷头处的工作压力大于</w:t>
      </w:r>
    </w:p>
    <w:p w14:paraId="7A7C056E" w14:textId="77777777" w:rsidR="00A71EEF" w:rsidRDefault="00A71EEF">
      <w:pPr>
        <w:pStyle w:val="a3"/>
        <w:rPr>
          <w:sz w:val="18"/>
        </w:rPr>
      </w:pPr>
    </w:p>
    <w:p w14:paraId="02E944A0" w14:textId="77777777" w:rsidR="00A71EEF" w:rsidRDefault="0081115D">
      <w:pPr>
        <w:pStyle w:val="a3"/>
        <w:ind w:left="418"/>
      </w:pPr>
      <w:r>
        <w:t>1.20MPa</w:t>
      </w:r>
      <w:r>
        <w:t>。</w:t>
      </w:r>
      <w:r>
        <w:t xml:space="preserve"> </w:t>
      </w:r>
    </w:p>
    <w:p w14:paraId="49FA64BF" w14:textId="77777777" w:rsidR="00A71EEF" w:rsidRDefault="00A71EEF">
      <w:pPr>
        <w:pStyle w:val="a3"/>
        <w:rPr>
          <w:sz w:val="18"/>
        </w:rPr>
      </w:pPr>
    </w:p>
    <w:p w14:paraId="25F7DD31" w14:textId="77777777" w:rsidR="00A71EEF" w:rsidRDefault="0081115D">
      <w:pPr>
        <w:pStyle w:val="a4"/>
        <w:numPr>
          <w:ilvl w:val="2"/>
          <w:numId w:val="260"/>
        </w:numPr>
        <w:tabs>
          <w:tab w:val="left" w:pos="1424"/>
        </w:tabs>
        <w:spacing w:line="446" w:lineRule="auto"/>
        <w:ind w:right="1657" w:firstLine="422"/>
        <w:rPr>
          <w:sz w:val="21"/>
        </w:rPr>
      </w:pPr>
      <w:r>
        <w:rPr>
          <w:spacing w:val="-3"/>
          <w:sz w:val="21"/>
        </w:rPr>
        <w:t>分区供水形式应根据系统压力、建筑特征，经技术经济和安全可靠性等综合因素确定，可采用消防水泵并行或串联、减压水箱和减压阀减压的形式，但当系统的工作压力大于</w:t>
      </w:r>
      <w:r>
        <w:rPr>
          <w:spacing w:val="-3"/>
          <w:sz w:val="21"/>
        </w:rPr>
        <w:t>2.40MPa</w:t>
      </w:r>
      <w:r>
        <w:rPr>
          <w:spacing w:val="-9"/>
          <w:sz w:val="21"/>
        </w:rPr>
        <w:t xml:space="preserve"> </w:t>
      </w:r>
      <w:r>
        <w:rPr>
          <w:spacing w:val="-9"/>
          <w:sz w:val="21"/>
        </w:rPr>
        <w:t>时，应采用消防水泵串联或减压水箱分区供水形式。</w:t>
      </w:r>
      <w:r>
        <w:rPr>
          <w:sz w:val="21"/>
        </w:rPr>
        <w:t xml:space="preserve"> </w:t>
      </w:r>
    </w:p>
    <w:p w14:paraId="30ED5733" w14:textId="77777777" w:rsidR="00A71EEF" w:rsidRDefault="0081115D">
      <w:pPr>
        <w:pStyle w:val="a4"/>
        <w:numPr>
          <w:ilvl w:val="2"/>
          <w:numId w:val="260"/>
        </w:numPr>
        <w:tabs>
          <w:tab w:val="left" w:pos="1370"/>
        </w:tabs>
        <w:spacing w:line="446" w:lineRule="auto"/>
        <w:ind w:right="1604" w:firstLine="422"/>
        <w:rPr>
          <w:sz w:val="21"/>
        </w:rPr>
      </w:pPr>
      <w:r>
        <w:rPr>
          <w:spacing w:val="-3"/>
          <w:sz w:val="21"/>
        </w:rPr>
        <w:t>采用消防水泵串联分区供水时，宜采用消防水泵转输水箱串联供水方式，并应符合下列规定：</w:t>
      </w:r>
      <w:r>
        <w:rPr>
          <w:sz w:val="21"/>
        </w:rPr>
        <w:t xml:space="preserve"> </w:t>
      </w:r>
    </w:p>
    <w:p w14:paraId="1C37146C" w14:textId="77777777" w:rsidR="00A71EEF" w:rsidRDefault="0081115D">
      <w:pPr>
        <w:pStyle w:val="a4"/>
        <w:numPr>
          <w:ilvl w:val="0"/>
          <w:numId w:val="252"/>
        </w:numPr>
        <w:tabs>
          <w:tab w:val="left" w:pos="1367"/>
        </w:tabs>
        <w:spacing w:line="446" w:lineRule="auto"/>
        <w:ind w:right="1505" w:firstLine="419"/>
        <w:rPr>
          <w:sz w:val="21"/>
        </w:rPr>
      </w:pPr>
      <w:r>
        <w:rPr>
          <w:spacing w:val="-4"/>
          <w:sz w:val="21"/>
        </w:rPr>
        <w:t>当采用消防水泵转输水箱串联时，转输水箱的有效储水容积不应小于</w:t>
      </w:r>
      <w:r>
        <w:rPr>
          <w:spacing w:val="-4"/>
          <w:sz w:val="21"/>
        </w:rPr>
        <w:t xml:space="preserve"> </w:t>
      </w:r>
      <w:r>
        <w:rPr>
          <w:sz w:val="21"/>
        </w:rPr>
        <w:t>60m</w:t>
      </w:r>
      <w:r>
        <w:rPr>
          <w:position w:val="11"/>
          <w:sz w:val="11"/>
        </w:rPr>
        <w:t>3</w:t>
      </w:r>
      <w:r>
        <w:rPr>
          <w:spacing w:val="-3"/>
          <w:sz w:val="21"/>
        </w:rPr>
        <w:t>，转输水箱可作为高位消防水箱；</w:t>
      </w:r>
      <w:r>
        <w:rPr>
          <w:sz w:val="21"/>
        </w:rPr>
        <w:t xml:space="preserve"> </w:t>
      </w:r>
    </w:p>
    <w:p w14:paraId="0817455C" w14:textId="77777777" w:rsidR="00A71EEF" w:rsidRDefault="0081115D">
      <w:pPr>
        <w:pStyle w:val="a4"/>
        <w:numPr>
          <w:ilvl w:val="0"/>
          <w:numId w:val="252"/>
        </w:numPr>
        <w:tabs>
          <w:tab w:val="left" w:pos="1367"/>
        </w:tabs>
        <w:ind w:left="1367"/>
        <w:rPr>
          <w:sz w:val="21"/>
        </w:rPr>
      </w:pPr>
      <w:r>
        <w:rPr>
          <w:spacing w:val="-3"/>
          <w:sz w:val="21"/>
        </w:rPr>
        <w:t>串联转输水箱的溢流管宜连接到消防水池；</w:t>
      </w:r>
      <w:r>
        <w:rPr>
          <w:sz w:val="21"/>
        </w:rPr>
        <w:t xml:space="preserve"> </w:t>
      </w:r>
    </w:p>
    <w:p w14:paraId="7FCC90E4" w14:textId="77777777" w:rsidR="00A71EEF" w:rsidRDefault="00A71EEF">
      <w:pPr>
        <w:pStyle w:val="a3"/>
        <w:spacing w:before="1"/>
        <w:rPr>
          <w:sz w:val="17"/>
        </w:rPr>
      </w:pPr>
    </w:p>
    <w:p w14:paraId="65DF7D0D" w14:textId="77777777" w:rsidR="00A71EEF" w:rsidRDefault="0081115D">
      <w:pPr>
        <w:pStyle w:val="a4"/>
        <w:numPr>
          <w:ilvl w:val="0"/>
          <w:numId w:val="252"/>
        </w:numPr>
        <w:tabs>
          <w:tab w:val="left" w:pos="1367"/>
        </w:tabs>
        <w:spacing w:line="446" w:lineRule="auto"/>
        <w:ind w:right="1505" w:firstLine="419"/>
        <w:rPr>
          <w:sz w:val="21"/>
        </w:rPr>
      </w:pPr>
      <w:r>
        <w:rPr>
          <w:spacing w:val="-3"/>
          <w:sz w:val="21"/>
        </w:rPr>
        <w:t>当采用消防水泵直接串联时，应采取确保供水可靠性的措施，且消防</w:t>
      </w:r>
      <w:r>
        <w:rPr>
          <w:spacing w:val="-3"/>
          <w:sz w:val="21"/>
        </w:rPr>
        <w:t>水泵从低区到高区应能依次顺序启动；</w:t>
      </w:r>
      <w:r>
        <w:rPr>
          <w:sz w:val="21"/>
        </w:rPr>
        <w:t xml:space="preserve"> </w:t>
      </w:r>
    </w:p>
    <w:p w14:paraId="49CD503C" w14:textId="77777777" w:rsidR="00A71EEF" w:rsidRDefault="0081115D">
      <w:pPr>
        <w:pStyle w:val="a4"/>
        <w:numPr>
          <w:ilvl w:val="0"/>
          <w:numId w:val="252"/>
        </w:numPr>
        <w:tabs>
          <w:tab w:val="left" w:pos="1367"/>
        </w:tabs>
        <w:spacing w:line="446" w:lineRule="auto"/>
        <w:ind w:right="1505" w:firstLine="419"/>
        <w:rPr>
          <w:sz w:val="21"/>
        </w:rPr>
      </w:pPr>
      <w:r>
        <w:rPr>
          <w:spacing w:val="-3"/>
          <w:sz w:val="21"/>
        </w:rPr>
        <w:t>当采用消防水泵直接串联时，应校核系统供水压力，并应在串联消防水泵出水管上设置减压型倒流防止器。</w:t>
      </w:r>
      <w:r>
        <w:rPr>
          <w:sz w:val="21"/>
        </w:rPr>
        <w:t xml:space="preserve"> </w:t>
      </w:r>
    </w:p>
    <w:p w14:paraId="648BF8F1" w14:textId="77777777" w:rsidR="00A71EEF" w:rsidRDefault="0081115D">
      <w:pPr>
        <w:pStyle w:val="a4"/>
        <w:numPr>
          <w:ilvl w:val="2"/>
          <w:numId w:val="260"/>
        </w:numPr>
        <w:tabs>
          <w:tab w:val="left" w:pos="1424"/>
        </w:tabs>
        <w:spacing w:line="267" w:lineRule="exact"/>
        <w:ind w:left="1423"/>
        <w:rPr>
          <w:sz w:val="21"/>
        </w:rPr>
      </w:pPr>
      <w:r>
        <w:rPr>
          <w:spacing w:val="-3"/>
          <w:sz w:val="21"/>
        </w:rPr>
        <w:t>采用减压阀减压分区供水时应符合下列规定：</w:t>
      </w:r>
      <w:r>
        <w:rPr>
          <w:spacing w:val="-3"/>
          <w:sz w:val="21"/>
        </w:rPr>
        <w:t xml:space="preserve"> </w:t>
      </w:r>
    </w:p>
    <w:p w14:paraId="68DA2C03" w14:textId="77777777" w:rsidR="00A71EEF" w:rsidRDefault="00A71EEF">
      <w:pPr>
        <w:pStyle w:val="a3"/>
        <w:spacing w:before="2"/>
        <w:rPr>
          <w:sz w:val="18"/>
        </w:rPr>
      </w:pPr>
    </w:p>
    <w:p w14:paraId="14D74F9A" w14:textId="77777777" w:rsidR="00A71EEF" w:rsidRDefault="0081115D">
      <w:pPr>
        <w:pStyle w:val="a4"/>
        <w:numPr>
          <w:ilvl w:val="0"/>
          <w:numId w:val="251"/>
        </w:numPr>
        <w:tabs>
          <w:tab w:val="left" w:pos="1367"/>
        </w:tabs>
        <w:rPr>
          <w:sz w:val="21"/>
        </w:rPr>
      </w:pPr>
      <w:r>
        <w:rPr>
          <w:spacing w:val="-3"/>
          <w:sz w:val="21"/>
        </w:rPr>
        <w:t>消防给水所采用的减压阀性能应安全可靠，并应满足消防给水的要求；</w:t>
      </w:r>
      <w:r>
        <w:rPr>
          <w:spacing w:val="-3"/>
          <w:sz w:val="21"/>
        </w:rPr>
        <w:t xml:space="preserve"> </w:t>
      </w:r>
    </w:p>
    <w:p w14:paraId="231578A0" w14:textId="77777777" w:rsidR="00A71EEF" w:rsidRDefault="00A71EEF">
      <w:pPr>
        <w:rPr>
          <w:sz w:val="21"/>
        </w:rPr>
        <w:sectPr w:rsidR="00A71EEF">
          <w:footerReference w:type="default" r:id="rId383"/>
          <w:pgSz w:w="11910" w:h="16850"/>
          <w:pgMar w:top="1220" w:right="0" w:bottom="1420" w:left="1260" w:header="0" w:footer="1239" w:gutter="0"/>
          <w:pgNumType w:start="1340"/>
          <w:cols w:space="720"/>
        </w:sectPr>
      </w:pPr>
    </w:p>
    <w:p w14:paraId="09C15603" w14:textId="77777777" w:rsidR="00A71EEF" w:rsidRDefault="0081115D">
      <w:pPr>
        <w:pStyle w:val="a4"/>
        <w:numPr>
          <w:ilvl w:val="0"/>
          <w:numId w:val="251"/>
        </w:numPr>
        <w:tabs>
          <w:tab w:val="left" w:pos="1367"/>
        </w:tabs>
        <w:spacing w:before="47" w:line="446" w:lineRule="auto"/>
        <w:ind w:left="418" w:right="1505" w:firstLine="419"/>
        <w:rPr>
          <w:sz w:val="21"/>
        </w:rPr>
      </w:pPr>
      <w:r>
        <w:rPr>
          <w:spacing w:val="-3"/>
          <w:sz w:val="21"/>
        </w:rPr>
        <w:t>减压阀应根据消防给水设计流量和压力选择，且设计流量应在减压阀流量压力特性曲</w:t>
      </w:r>
      <w:r>
        <w:rPr>
          <w:spacing w:val="-8"/>
          <w:sz w:val="21"/>
        </w:rPr>
        <w:t>线的有效段内，并校核在</w:t>
      </w:r>
      <w:r>
        <w:rPr>
          <w:spacing w:val="-8"/>
          <w:sz w:val="21"/>
        </w:rPr>
        <w:t xml:space="preserve"> </w:t>
      </w:r>
      <w:r>
        <w:rPr>
          <w:sz w:val="21"/>
        </w:rPr>
        <w:t>150%</w:t>
      </w:r>
      <w:r>
        <w:rPr>
          <w:spacing w:val="-6"/>
          <w:sz w:val="21"/>
        </w:rPr>
        <w:t>设计流量时，减压阀的出口动压不应小于设计值的</w:t>
      </w:r>
      <w:r>
        <w:rPr>
          <w:spacing w:val="-6"/>
          <w:sz w:val="21"/>
        </w:rPr>
        <w:t xml:space="preserve"> </w:t>
      </w:r>
      <w:r>
        <w:rPr>
          <w:sz w:val="21"/>
        </w:rPr>
        <w:t>65%</w:t>
      </w:r>
      <w:r>
        <w:rPr>
          <w:sz w:val="21"/>
        </w:rPr>
        <w:t>；</w:t>
      </w:r>
      <w:r>
        <w:rPr>
          <w:sz w:val="21"/>
        </w:rPr>
        <w:t xml:space="preserve"> </w:t>
      </w:r>
    </w:p>
    <w:p w14:paraId="590D7A4B" w14:textId="77777777" w:rsidR="00A71EEF" w:rsidRDefault="0081115D">
      <w:pPr>
        <w:pStyle w:val="a4"/>
        <w:numPr>
          <w:ilvl w:val="0"/>
          <w:numId w:val="251"/>
        </w:numPr>
        <w:tabs>
          <w:tab w:val="left" w:pos="1367"/>
        </w:tabs>
        <w:spacing w:line="267" w:lineRule="exact"/>
        <w:rPr>
          <w:sz w:val="21"/>
        </w:rPr>
      </w:pPr>
      <w:r>
        <w:rPr>
          <w:spacing w:val="-3"/>
          <w:sz w:val="21"/>
        </w:rPr>
        <w:t>每一供水分区应设不少于两组减压阀组，每组减压阀组宜设置备用减压阀；</w:t>
      </w:r>
      <w:r>
        <w:rPr>
          <w:sz w:val="21"/>
        </w:rPr>
        <w:t xml:space="preserve"> </w:t>
      </w:r>
    </w:p>
    <w:p w14:paraId="75197AD7" w14:textId="77777777" w:rsidR="00A71EEF" w:rsidRDefault="00A71EEF">
      <w:pPr>
        <w:pStyle w:val="a3"/>
        <w:spacing w:before="2"/>
        <w:rPr>
          <w:sz w:val="18"/>
        </w:rPr>
      </w:pPr>
    </w:p>
    <w:p w14:paraId="6D8A8403" w14:textId="77777777" w:rsidR="00A71EEF" w:rsidRDefault="0081115D">
      <w:pPr>
        <w:pStyle w:val="a4"/>
        <w:numPr>
          <w:ilvl w:val="0"/>
          <w:numId w:val="251"/>
        </w:numPr>
        <w:tabs>
          <w:tab w:val="left" w:pos="1367"/>
        </w:tabs>
        <w:rPr>
          <w:sz w:val="21"/>
        </w:rPr>
      </w:pPr>
      <w:r>
        <w:rPr>
          <w:spacing w:val="-3"/>
          <w:sz w:val="21"/>
        </w:rPr>
        <w:t>减压阀仅应设置在单向流动的供水管上，不应设置在有双向流动的输水干管上；</w:t>
      </w:r>
      <w:r>
        <w:rPr>
          <w:sz w:val="21"/>
        </w:rPr>
        <w:t xml:space="preserve"> </w:t>
      </w:r>
    </w:p>
    <w:p w14:paraId="75F7554E" w14:textId="77777777" w:rsidR="00A71EEF" w:rsidRDefault="00A71EEF">
      <w:pPr>
        <w:pStyle w:val="a3"/>
        <w:rPr>
          <w:sz w:val="18"/>
        </w:rPr>
      </w:pPr>
    </w:p>
    <w:p w14:paraId="2C909908" w14:textId="77777777" w:rsidR="00A71EEF" w:rsidRDefault="0081115D">
      <w:pPr>
        <w:pStyle w:val="a4"/>
        <w:numPr>
          <w:ilvl w:val="0"/>
          <w:numId w:val="251"/>
        </w:numPr>
        <w:tabs>
          <w:tab w:val="left" w:pos="1367"/>
        </w:tabs>
        <w:jc w:val="both"/>
        <w:rPr>
          <w:sz w:val="21"/>
        </w:rPr>
      </w:pPr>
      <w:r>
        <w:rPr>
          <w:spacing w:val="-6"/>
          <w:sz w:val="21"/>
        </w:rPr>
        <w:t>减压阀宜采用比例式减压阀，当超过</w:t>
      </w:r>
      <w:r>
        <w:rPr>
          <w:spacing w:val="-6"/>
          <w:sz w:val="21"/>
        </w:rPr>
        <w:t xml:space="preserve"> </w:t>
      </w:r>
      <w:r>
        <w:rPr>
          <w:sz w:val="21"/>
        </w:rPr>
        <w:t>1.20MPa</w:t>
      </w:r>
      <w:r>
        <w:rPr>
          <w:spacing w:val="-9"/>
          <w:sz w:val="21"/>
        </w:rPr>
        <w:t xml:space="preserve"> </w:t>
      </w:r>
      <w:r>
        <w:rPr>
          <w:spacing w:val="-9"/>
          <w:sz w:val="21"/>
        </w:rPr>
        <w:t>时，宜采用先导式减压阀；</w:t>
      </w:r>
      <w:r>
        <w:rPr>
          <w:spacing w:val="-9"/>
          <w:sz w:val="21"/>
        </w:rPr>
        <w:t xml:space="preserve"> </w:t>
      </w:r>
    </w:p>
    <w:p w14:paraId="424B9FF2" w14:textId="77777777" w:rsidR="00A71EEF" w:rsidRDefault="00A71EEF">
      <w:pPr>
        <w:pStyle w:val="a3"/>
        <w:spacing w:before="12"/>
        <w:rPr>
          <w:sz w:val="17"/>
        </w:rPr>
      </w:pPr>
    </w:p>
    <w:p w14:paraId="6A43F129" w14:textId="77777777" w:rsidR="00A71EEF" w:rsidRDefault="0081115D">
      <w:pPr>
        <w:pStyle w:val="a4"/>
        <w:numPr>
          <w:ilvl w:val="0"/>
          <w:numId w:val="251"/>
        </w:numPr>
        <w:tabs>
          <w:tab w:val="left" w:pos="1367"/>
        </w:tabs>
        <w:spacing w:line="446" w:lineRule="auto"/>
        <w:ind w:left="418" w:right="1558" w:firstLine="419"/>
        <w:jc w:val="both"/>
        <w:rPr>
          <w:sz w:val="21"/>
        </w:rPr>
      </w:pPr>
      <w:r>
        <w:rPr>
          <w:spacing w:val="-5"/>
          <w:sz w:val="21"/>
        </w:rPr>
        <w:t>减压阀的阀前阀后压力比值不宜大于</w:t>
      </w:r>
      <w:r>
        <w:rPr>
          <w:spacing w:val="-5"/>
          <w:sz w:val="21"/>
        </w:rPr>
        <w:t xml:space="preserve"> </w:t>
      </w:r>
      <w:r>
        <w:rPr>
          <w:sz w:val="21"/>
        </w:rPr>
        <w:t>3:1</w:t>
      </w:r>
      <w:r>
        <w:rPr>
          <w:spacing w:val="-3"/>
          <w:sz w:val="21"/>
        </w:rPr>
        <w:t>，当一级减压阀减压不能满足要求时，可采用减压阀串联减压，但串联减压不应大于两级，第二级减压阀宜采用先导式减压阀，阀前后压</w:t>
      </w:r>
      <w:r>
        <w:rPr>
          <w:spacing w:val="-11"/>
          <w:sz w:val="21"/>
        </w:rPr>
        <w:t>力差不宜超过</w:t>
      </w:r>
      <w:r>
        <w:rPr>
          <w:spacing w:val="-11"/>
          <w:sz w:val="21"/>
        </w:rPr>
        <w:t xml:space="preserve"> </w:t>
      </w:r>
      <w:r>
        <w:rPr>
          <w:sz w:val="21"/>
        </w:rPr>
        <w:t>0.40MPa</w:t>
      </w:r>
      <w:r>
        <w:rPr>
          <w:sz w:val="21"/>
        </w:rPr>
        <w:t>；</w:t>
      </w:r>
      <w:r>
        <w:rPr>
          <w:sz w:val="21"/>
        </w:rPr>
        <w:t xml:space="preserve"> </w:t>
      </w:r>
    </w:p>
    <w:p w14:paraId="4B87A176" w14:textId="77777777" w:rsidR="00A71EEF" w:rsidRDefault="0081115D">
      <w:pPr>
        <w:pStyle w:val="a4"/>
        <w:numPr>
          <w:ilvl w:val="0"/>
          <w:numId w:val="251"/>
        </w:numPr>
        <w:tabs>
          <w:tab w:val="left" w:pos="1367"/>
        </w:tabs>
        <w:spacing w:line="446" w:lineRule="auto"/>
        <w:ind w:left="418" w:right="1505" w:firstLine="419"/>
        <w:rPr>
          <w:sz w:val="21"/>
        </w:rPr>
      </w:pPr>
      <w:r>
        <w:rPr>
          <w:spacing w:val="-3"/>
          <w:sz w:val="21"/>
        </w:rPr>
        <w:t>减压阀后应设置安全阀，安全阀的开启压力应能满足系统安全，且不应影响系统的供水安全性。</w:t>
      </w:r>
      <w:r>
        <w:rPr>
          <w:sz w:val="21"/>
        </w:rPr>
        <w:t xml:space="preserve"> </w:t>
      </w:r>
    </w:p>
    <w:p w14:paraId="2D4A1777" w14:textId="77777777" w:rsidR="00A71EEF" w:rsidRDefault="0081115D">
      <w:pPr>
        <w:pStyle w:val="a4"/>
        <w:numPr>
          <w:ilvl w:val="2"/>
          <w:numId w:val="260"/>
        </w:numPr>
        <w:tabs>
          <w:tab w:val="left" w:pos="1424"/>
        </w:tabs>
        <w:ind w:left="1423"/>
        <w:rPr>
          <w:sz w:val="21"/>
        </w:rPr>
      </w:pPr>
      <w:r>
        <w:rPr>
          <w:spacing w:val="-3"/>
          <w:sz w:val="21"/>
        </w:rPr>
        <w:t>采用减压水箱减压分区供水时应符合下列规定：</w:t>
      </w:r>
      <w:r>
        <w:rPr>
          <w:sz w:val="21"/>
        </w:rPr>
        <w:t xml:space="preserve"> </w:t>
      </w:r>
    </w:p>
    <w:p w14:paraId="0E7303C7" w14:textId="77777777" w:rsidR="00A71EEF" w:rsidRDefault="00A71EEF">
      <w:pPr>
        <w:pStyle w:val="a3"/>
        <w:spacing w:before="11"/>
        <w:rPr>
          <w:sz w:val="17"/>
        </w:rPr>
      </w:pPr>
    </w:p>
    <w:p w14:paraId="6D64B112" w14:textId="77777777" w:rsidR="00A71EEF" w:rsidRDefault="0081115D">
      <w:pPr>
        <w:pStyle w:val="a4"/>
        <w:numPr>
          <w:ilvl w:val="0"/>
          <w:numId w:val="250"/>
        </w:numPr>
        <w:tabs>
          <w:tab w:val="left" w:pos="1367"/>
        </w:tabs>
        <w:jc w:val="both"/>
        <w:rPr>
          <w:sz w:val="21"/>
        </w:rPr>
      </w:pPr>
      <w:r>
        <w:rPr>
          <w:spacing w:val="-5"/>
          <w:sz w:val="21"/>
        </w:rPr>
        <w:t>减压水箱的有效容积、出水、排水、水位和设置场所，应符合本规范第</w:t>
      </w:r>
      <w:r>
        <w:rPr>
          <w:spacing w:val="-5"/>
          <w:sz w:val="21"/>
        </w:rPr>
        <w:t xml:space="preserve"> </w:t>
      </w:r>
      <w:r>
        <w:rPr>
          <w:sz w:val="21"/>
        </w:rPr>
        <w:t>4.3.8</w:t>
      </w:r>
      <w:r>
        <w:rPr>
          <w:spacing w:val="-15"/>
          <w:sz w:val="21"/>
        </w:rPr>
        <w:t xml:space="preserve"> </w:t>
      </w:r>
      <w:r>
        <w:rPr>
          <w:spacing w:val="-15"/>
          <w:sz w:val="21"/>
        </w:rPr>
        <w:t>条、第</w:t>
      </w:r>
    </w:p>
    <w:p w14:paraId="4AEA0031" w14:textId="77777777" w:rsidR="00A71EEF" w:rsidRDefault="00A71EEF">
      <w:pPr>
        <w:pStyle w:val="a3"/>
        <w:spacing w:before="2"/>
        <w:rPr>
          <w:sz w:val="18"/>
        </w:rPr>
      </w:pPr>
    </w:p>
    <w:p w14:paraId="0E162CFF" w14:textId="77777777" w:rsidR="00A71EEF" w:rsidRDefault="0081115D">
      <w:pPr>
        <w:pStyle w:val="a3"/>
        <w:ind w:left="418"/>
      </w:pPr>
      <w:r>
        <w:t xml:space="preserve">4.3.9 </w:t>
      </w:r>
      <w:r>
        <w:t>条、第</w:t>
      </w:r>
      <w:r>
        <w:t xml:space="preserve"> 5.2.5 </w:t>
      </w:r>
      <w:r>
        <w:t>条和</w:t>
      </w:r>
      <w:r>
        <w:t xml:space="preserve"> 5.2.6 </w:t>
      </w:r>
      <w:r>
        <w:t>条第</w:t>
      </w:r>
      <w:r>
        <w:t xml:space="preserve"> 2 </w:t>
      </w:r>
      <w:r>
        <w:t>款的规定；</w:t>
      </w:r>
      <w:r>
        <w:t xml:space="preserve"> </w:t>
      </w:r>
    </w:p>
    <w:p w14:paraId="03C8FA46" w14:textId="77777777" w:rsidR="00A71EEF" w:rsidRDefault="00A71EEF">
      <w:pPr>
        <w:pStyle w:val="a3"/>
        <w:rPr>
          <w:sz w:val="18"/>
        </w:rPr>
      </w:pPr>
    </w:p>
    <w:p w14:paraId="5035F56B" w14:textId="77777777" w:rsidR="00A71EEF" w:rsidRDefault="0081115D">
      <w:pPr>
        <w:pStyle w:val="a4"/>
        <w:numPr>
          <w:ilvl w:val="0"/>
          <w:numId w:val="250"/>
        </w:numPr>
        <w:tabs>
          <w:tab w:val="left" w:pos="1367"/>
        </w:tabs>
        <w:spacing w:line="446" w:lineRule="auto"/>
        <w:ind w:left="418" w:right="1613" w:firstLine="419"/>
        <w:rPr>
          <w:sz w:val="21"/>
        </w:rPr>
      </w:pPr>
      <w:r>
        <w:rPr>
          <w:spacing w:val="-5"/>
          <w:sz w:val="21"/>
        </w:rPr>
        <w:t>减压水箱的布置和通气管、呼吸管等，应符合本规范第</w:t>
      </w:r>
      <w:r>
        <w:rPr>
          <w:spacing w:val="-5"/>
          <w:sz w:val="21"/>
        </w:rPr>
        <w:t xml:space="preserve"> </w:t>
      </w:r>
      <w:r>
        <w:rPr>
          <w:sz w:val="21"/>
        </w:rPr>
        <w:t>5.2.6</w:t>
      </w:r>
      <w:r>
        <w:rPr>
          <w:spacing w:val="-26"/>
          <w:sz w:val="21"/>
        </w:rPr>
        <w:t xml:space="preserve"> </w:t>
      </w:r>
      <w:r>
        <w:rPr>
          <w:spacing w:val="-26"/>
          <w:sz w:val="21"/>
        </w:rPr>
        <w:t>条第</w:t>
      </w:r>
      <w:r>
        <w:rPr>
          <w:spacing w:val="-26"/>
          <w:sz w:val="21"/>
        </w:rPr>
        <w:t xml:space="preserve"> </w:t>
      </w:r>
      <w:r>
        <w:rPr>
          <w:sz w:val="21"/>
        </w:rPr>
        <w:t>3</w:t>
      </w:r>
      <w:r>
        <w:rPr>
          <w:spacing w:val="-25"/>
          <w:sz w:val="21"/>
        </w:rPr>
        <w:t xml:space="preserve"> </w:t>
      </w:r>
      <w:r>
        <w:rPr>
          <w:spacing w:val="-25"/>
          <w:sz w:val="21"/>
        </w:rPr>
        <w:t>款</w:t>
      </w:r>
      <w:r>
        <w:rPr>
          <w:sz w:val="21"/>
        </w:rPr>
        <w:t>～</w:t>
      </w:r>
      <w:r>
        <w:rPr>
          <w:spacing w:val="-24"/>
          <w:sz w:val="21"/>
        </w:rPr>
        <w:t>第</w:t>
      </w:r>
      <w:r>
        <w:rPr>
          <w:spacing w:val="-24"/>
          <w:sz w:val="21"/>
        </w:rPr>
        <w:t xml:space="preserve"> </w:t>
      </w:r>
      <w:r>
        <w:rPr>
          <w:sz w:val="21"/>
        </w:rPr>
        <w:t>11</w:t>
      </w:r>
      <w:r>
        <w:rPr>
          <w:spacing w:val="-18"/>
          <w:sz w:val="21"/>
        </w:rPr>
        <w:t xml:space="preserve"> </w:t>
      </w:r>
      <w:r>
        <w:rPr>
          <w:spacing w:val="-18"/>
          <w:sz w:val="21"/>
        </w:rPr>
        <w:t>款的</w:t>
      </w:r>
      <w:r>
        <w:rPr>
          <w:spacing w:val="-1"/>
          <w:sz w:val="21"/>
        </w:rPr>
        <w:t>规定；</w:t>
      </w:r>
      <w:r>
        <w:rPr>
          <w:sz w:val="21"/>
        </w:rPr>
        <w:t xml:space="preserve"> </w:t>
      </w:r>
    </w:p>
    <w:p w14:paraId="4114E73B" w14:textId="77777777" w:rsidR="00A71EEF" w:rsidRDefault="0081115D">
      <w:pPr>
        <w:pStyle w:val="a4"/>
        <w:numPr>
          <w:ilvl w:val="0"/>
          <w:numId w:val="250"/>
        </w:numPr>
        <w:tabs>
          <w:tab w:val="left" w:pos="1367"/>
        </w:tabs>
        <w:spacing w:line="269" w:lineRule="exact"/>
        <w:rPr>
          <w:sz w:val="21"/>
        </w:rPr>
      </w:pPr>
      <w:r>
        <w:rPr>
          <w:spacing w:val="-7"/>
          <w:sz w:val="21"/>
        </w:rPr>
        <w:t>减压水箱的有效容积不应小于</w:t>
      </w:r>
      <w:r>
        <w:rPr>
          <w:spacing w:val="-7"/>
          <w:sz w:val="21"/>
        </w:rPr>
        <w:t xml:space="preserve"> </w:t>
      </w:r>
      <w:r>
        <w:rPr>
          <w:sz w:val="21"/>
        </w:rPr>
        <w:t>18m</w:t>
      </w:r>
      <w:r>
        <w:rPr>
          <w:position w:val="11"/>
          <w:sz w:val="11"/>
        </w:rPr>
        <w:t>3</w:t>
      </w:r>
      <w:r>
        <w:rPr>
          <w:spacing w:val="-3"/>
          <w:sz w:val="21"/>
        </w:rPr>
        <w:t>，且宜分为两格；</w:t>
      </w:r>
      <w:r>
        <w:rPr>
          <w:sz w:val="21"/>
        </w:rPr>
        <w:t xml:space="preserve"> </w:t>
      </w:r>
    </w:p>
    <w:p w14:paraId="59F7A8B6" w14:textId="77777777" w:rsidR="00A71EEF" w:rsidRDefault="00A71EEF">
      <w:pPr>
        <w:pStyle w:val="a3"/>
        <w:rPr>
          <w:sz w:val="18"/>
        </w:rPr>
      </w:pPr>
    </w:p>
    <w:p w14:paraId="0D1025A3" w14:textId="77777777" w:rsidR="00A71EEF" w:rsidRDefault="0081115D">
      <w:pPr>
        <w:pStyle w:val="a4"/>
        <w:numPr>
          <w:ilvl w:val="0"/>
          <w:numId w:val="250"/>
        </w:numPr>
        <w:tabs>
          <w:tab w:val="left" w:pos="1367"/>
        </w:tabs>
        <w:spacing w:line="446" w:lineRule="auto"/>
        <w:ind w:left="418" w:right="1505" w:firstLine="419"/>
        <w:rPr>
          <w:sz w:val="21"/>
        </w:rPr>
      </w:pPr>
      <w:r>
        <w:rPr>
          <w:spacing w:val="-3"/>
          <w:sz w:val="21"/>
        </w:rPr>
        <w:t>减压水箱应有两条进、出水管，且每条进、出水管应满足消防给水系统所需消防用水量的要求；</w:t>
      </w:r>
      <w:r>
        <w:rPr>
          <w:sz w:val="21"/>
        </w:rPr>
        <w:t xml:space="preserve"> </w:t>
      </w:r>
    </w:p>
    <w:p w14:paraId="3F8097AF" w14:textId="77777777" w:rsidR="00A71EEF" w:rsidRDefault="0081115D">
      <w:pPr>
        <w:pStyle w:val="a4"/>
        <w:numPr>
          <w:ilvl w:val="0"/>
          <w:numId w:val="250"/>
        </w:numPr>
        <w:tabs>
          <w:tab w:val="left" w:pos="1367"/>
        </w:tabs>
        <w:rPr>
          <w:sz w:val="21"/>
        </w:rPr>
      </w:pPr>
      <w:r>
        <w:rPr>
          <w:spacing w:val="-3"/>
          <w:sz w:val="21"/>
        </w:rPr>
        <w:t>减压水箱进水管的水位控制应可靠，宜采用水位控制阀；</w:t>
      </w:r>
      <w:r>
        <w:rPr>
          <w:sz w:val="21"/>
        </w:rPr>
        <w:t xml:space="preserve"> </w:t>
      </w:r>
    </w:p>
    <w:p w14:paraId="4347FAA0" w14:textId="77777777" w:rsidR="00A71EEF" w:rsidRDefault="00A71EEF">
      <w:pPr>
        <w:pStyle w:val="a3"/>
        <w:rPr>
          <w:sz w:val="18"/>
        </w:rPr>
      </w:pPr>
    </w:p>
    <w:p w14:paraId="3B66B51A" w14:textId="77777777" w:rsidR="00A71EEF" w:rsidRDefault="0081115D">
      <w:pPr>
        <w:pStyle w:val="a4"/>
        <w:numPr>
          <w:ilvl w:val="0"/>
          <w:numId w:val="250"/>
        </w:numPr>
        <w:tabs>
          <w:tab w:val="left" w:pos="1367"/>
        </w:tabs>
        <w:spacing w:line="446" w:lineRule="auto"/>
        <w:ind w:left="418" w:right="1714" w:firstLine="419"/>
        <w:rPr>
          <w:sz w:val="21"/>
        </w:rPr>
      </w:pPr>
      <w:r>
        <w:rPr>
          <w:spacing w:val="-3"/>
          <w:sz w:val="21"/>
        </w:rPr>
        <w:t>减压水箱进水管应设置防冲击和溢水的技术措施，并宜在进水管上设置紧急关闭阀门，溢流水宜回流到消防水池。</w:t>
      </w:r>
      <w:r>
        <w:rPr>
          <w:sz w:val="21"/>
        </w:rPr>
        <w:t xml:space="preserve"> </w:t>
      </w:r>
    </w:p>
    <w:p w14:paraId="6E3E6C47" w14:textId="77777777" w:rsidR="00A71EEF" w:rsidRDefault="0081115D">
      <w:pPr>
        <w:pStyle w:val="4"/>
        <w:spacing w:line="277" w:lineRule="exact"/>
      </w:pPr>
      <w:r>
        <w:t xml:space="preserve">7 </w:t>
      </w:r>
      <w:r>
        <w:t>消火栓系统</w:t>
      </w:r>
      <w:r>
        <w:rPr>
          <w:w w:val="99"/>
        </w:rPr>
        <w:t xml:space="preserve"> </w:t>
      </w:r>
    </w:p>
    <w:p w14:paraId="6BCCC4B8" w14:textId="77777777" w:rsidR="00A71EEF" w:rsidRDefault="00A71EEF">
      <w:pPr>
        <w:pStyle w:val="a3"/>
        <w:spacing w:before="4"/>
        <w:rPr>
          <w:b/>
          <w:sz w:val="17"/>
        </w:rPr>
      </w:pPr>
    </w:p>
    <w:p w14:paraId="29A3BA76" w14:textId="77777777" w:rsidR="00A71EEF" w:rsidRDefault="0081115D">
      <w:pPr>
        <w:pStyle w:val="a4"/>
        <w:numPr>
          <w:ilvl w:val="1"/>
          <w:numId w:val="249"/>
        </w:numPr>
        <w:tabs>
          <w:tab w:val="left" w:pos="1159"/>
        </w:tabs>
        <w:ind w:hanging="319"/>
        <w:rPr>
          <w:sz w:val="21"/>
        </w:rPr>
      </w:pPr>
      <w:r>
        <w:rPr>
          <w:spacing w:val="-3"/>
          <w:sz w:val="21"/>
        </w:rPr>
        <w:t>系统选择</w:t>
      </w:r>
      <w:r>
        <w:rPr>
          <w:sz w:val="21"/>
        </w:rPr>
        <w:t xml:space="preserve"> </w:t>
      </w:r>
    </w:p>
    <w:p w14:paraId="0934FED6" w14:textId="77777777" w:rsidR="00A71EEF" w:rsidRDefault="00A71EEF">
      <w:pPr>
        <w:pStyle w:val="a3"/>
        <w:spacing w:before="12"/>
        <w:rPr>
          <w:sz w:val="17"/>
        </w:rPr>
      </w:pPr>
    </w:p>
    <w:p w14:paraId="51211389" w14:textId="77777777" w:rsidR="00A71EEF" w:rsidRDefault="0081115D">
      <w:pPr>
        <w:pStyle w:val="a4"/>
        <w:numPr>
          <w:ilvl w:val="2"/>
          <w:numId w:val="249"/>
        </w:numPr>
        <w:tabs>
          <w:tab w:val="left" w:pos="1424"/>
        </w:tabs>
        <w:rPr>
          <w:sz w:val="21"/>
        </w:rPr>
      </w:pPr>
      <w:r>
        <w:rPr>
          <w:spacing w:val="-3"/>
          <w:sz w:val="21"/>
        </w:rPr>
        <w:t>市政消火栓和建筑室外消火栓应采用湿式消火栓系统。</w:t>
      </w:r>
      <w:r>
        <w:rPr>
          <w:sz w:val="21"/>
        </w:rPr>
        <w:t xml:space="preserve"> </w:t>
      </w:r>
    </w:p>
    <w:p w14:paraId="7CF746A8" w14:textId="77777777" w:rsidR="00A71EEF" w:rsidRDefault="00A71EEF">
      <w:pPr>
        <w:pStyle w:val="a3"/>
        <w:spacing w:before="2"/>
        <w:rPr>
          <w:sz w:val="18"/>
        </w:rPr>
      </w:pPr>
    </w:p>
    <w:p w14:paraId="355E9DB5" w14:textId="77777777" w:rsidR="00A71EEF" w:rsidRDefault="0081115D">
      <w:pPr>
        <w:pStyle w:val="a4"/>
        <w:numPr>
          <w:ilvl w:val="2"/>
          <w:numId w:val="249"/>
        </w:numPr>
        <w:tabs>
          <w:tab w:val="left" w:pos="1424"/>
        </w:tabs>
        <w:rPr>
          <w:sz w:val="21"/>
        </w:rPr>
      </w:pPr>
      <w:r>
        <w:rPr>
          <w:spacing w:val="-8"/>
          <w:sz w:val="21"/>
        </w:rPr>
        <w:t>室内环境温度不低于</w:t>
      </w:r>
      <w:r>
        <w:rPr>
          <w:spacing w:val="-8"/>
          <w:sz w:val="21"/>
        </w:rPr>
        <w:t xml:space="preserve"> </w:t>
      </w:r>
      <w:r>
        <w:rPr>
          <w:sz w:val="21"/>
        </w:rPr>
        <w:t>4</w:t>
      </w:r>
      <w:r>
        <w:rPr>
          <w:spacing w:val="-10"/>
          <w:sz w:val="21"/>
        </w:rPr>
        <w:t>℃</w:t>
      </w:r>
      <w:r>
        <w:rPr>
          <w:spacing w:val="-10"/>
          <w:sz w:val="21"/>
        </w:rPr>
        <w:t>，且不高于</w:t>
      </w:r>
      <w:r>
        <w:rPr>
          <w:spacing w:val="-10"/>
          <w:sz w:val="21"/>
        </w:rPr>
        <w:t xml:space="preserve"> </w:t>
      </w:r>
      <w:r>
        <w:rPr>
          <w:sz w:val="21"/>
        </w:rPr>
        <w:t>70</w:t>
      </w:r>
      <w:r>
        <w:rPr>
          <w:spacing w:val="-3"/>
          <w:sz w:val="21"/>
        </w:rPr>
        <w:t>℃</w:t>
      </w:r>
      <w:r>
        <w:rPr>
          <w:spacing w:val="-3"/>
          <w:sz w:val="21"/>
        </w:rPr>
        <w:t>的场所，应采用湿式室内消火栓系统。</w:t>
      </w:r>
      <w:r>
        <w:rPr>
          <w:spacing w:val="-3"/>
          <w:sz w:val="21"/>
        </w:rPr>
        <w:t xml:space="preserve"> </w:t>
      </w:r>
    </w:p>
    <w:p w14:paraId="09D4FA34" w14:textId="77777777" w:rsidR="00A71EEF" w:rsidRDefault="00A71EEF">
      <w:pPr>
        <w:pStyle w:val="a3"/>
        <w:rPr>
          <w:sz w:val="18"/>
        </w:rPr>
      </w:pPr>
    </w:p>
    <w:p w14:paraId="4A8F6160" w14:textId="77777777" w:rsidR="00A71EEF" w:rsidRDefault="0081115D">
      <w:pPr>
        <w:pStyle w:val="a4"/>
        <w:numPr>
          <w:ilvl w:val="2"/>
          <w:numId w:val="249"/>
        </w:numPr>
        <w:tabs>
          <w:tab w:val="left" w:pos="1424"/>
        </w:tabs>
        <w:rPr>
          <w:sz w:val="21"/>
        </w:rPr>
      </w:pPr>
      <w:r>
        <w:rPr>
          <w:spacing w:val="-9"/>
          <w:sz w:val="21"/>
        </w:rPr>
        <w:t>室内环境温度低于</w:t>
      </w:r>
      <w:r>
        <w:rPr>
          <w:spacing w:val="-9"/>
          <w:sz w:val="21"/>
        </w:rPr>
        <w:t xml:space="preserve"> </w:t>
      </w:r>
      <w:r>
        <w:rPr>
          <w:sz w:val="21"/>
        </w:rPr>
        <w:t>4</w:t>
      </w:r>
      <w:r>
        <w:rPr>
          <w:spacing w:val="-12"/>
          <w:sz w:val="21"/>
        </w:rPr>
        <w:t>℃</w:t>
      </w:r>
      <w:r>
        <w:rPr>
          <w:spacing w:val="-12"/>
          <w:sz w:val="21"/>
        </w:rPr>
        <w:t>或高于</w:t>
      </w:r>
      <w:r>
        <w:rPr>
          <w:spacing w:val="-12"/>
          <w:sz w:val="21"/>
        </w:rPr>
        <w:t xml:space="preserve"> </w:t>
      </w:r>
      <w:r>
        <w:rPr>
          <w:sz w:val="21"/>
        </w:rPr>
        <w:t>70</w:t>
      </w:r>
      <w:r>
        <w:rPr>
          <w:spacing w:val="-3"/>
          <w:sz w:val="21"/>
        </w:rPr>
        <w:t>℃</w:t>
      </w:r>
      <w:r>
        <w:rPr>
          <w:spacing w:val="-3"/>
          <w:sz w:val="21"/>
        </w:rPr>
        <w:t>的场所，宜采用干式消火栓系统。</w:t>
      </w:r>
      <w:r>
        <w:rPr>
          <w:sz w:val="21"/>
        </w:rPr>
        <w:t xml:space="preserve"> </w:t>
      </w:r>
    </w:p>
    <w:p w14:paraId="79977A76" w14:textId="77777777" w:rsidR="00A71EEF" w:rsidRDefault="00A71EEF">
      <w:pPr>
        <w:pStyle w:val="a3"/>
        <w:spacing w:before="12"/>
        <w:rPr>
          <w:sz w:val="17"/>
        </w:rPr>
      </w:pPr>
    </w:p>
    <w:p w14:paraId="4341F1DC" w14:textId="77777777" w:rsidR="00A71EEF" w:rsidRDefault="0081115D">
      <w:pPr>
        <w:pStyle w:val="a4"/>
        <w:numPr>
          <w:ilvl w:val="2"/>
          <w:numId w:val="249"/>
        </w:numPr>
        <w:tabs>
          <w:tab w:val="left" w:pos="1424"/>
        </w:tabs>
        <w:spacing w:line="446" w:lineRule="auto"/>
        <w:ind w:left="418" w:right="1445" w:firstLine="422"/>
        <w:rPr>
          <w:sz w:val="21"/>
        </w:rPr>
      </w:pPr>
      <w:r>
        <w:rPr>
          <w:spacing w:val="-8"/>
          <w:sz w:val="21"/>
        </w:rPr>
        <w:t>建筑高度不大于</w:t>
      </w:r>
      <w:r>
        <w:rPr>
          <w:spacing w:val="-8"/>
          <w:sz w:val="21"/>
        </w:rPr>
        <w:t xml:space="preserve"> </w:t>
      </w:r>
      <w:r>
        <w:rPr>
          <w:sz w:val="21"/>
        </w:rPr>
        <w:t>27m</w:t>
      </w:r>
      <w:r>
        <w:rPr>
          <w:spacing w:val="-8"/>
          <w:sz w:val="21"/>
        </w:rPr>
        <w:t xml:space="preserve"> </w:t>
      </w:r>
      <w:r>
        <w:rPr>
          <w:spacing w:val="-8"/>
          <w:sz w:val="21"/>
        </w:rPr>
        <w:t>的多层住宅建筑设置室内湿式消火栓系统确有困难时，可设置干</w:t>
      </w:r>
      <w:r>
        <w:rPr>
          <w:spacing w:val="-6"/>
          <w:sz w:val="21"/>
        </w:rPr>
        <w:t>式消防竖管。</w:t>
      </w:r>
      <w:r>
        <w:rPr>
          <w:sz w:val="21"/>
        </w:rPr>
        <w:t xml:space="preserve"> </w:t>
      </w:r>
    </w:p>
    <w:p w14:paraId="53E85B77" w14:textId="77777777" w:rsidR="00A71EEF" w:rsidRDefault="00A71EEF">
      <w:pPr>
        <w:spacing w:line="446" w:lineRule="auto"/>
        <w:rPr>
          <w:sz w:val="21"/>
        </w:rPr>
        <w:sectPr w:rsidR="00A71EEF">
          <w:pgSz w:w="11910" w:h="16850"/>
          <w:pgMar w:top="1220" w:right="0" w:bottom="1420" w:left="1260" w:header="0" w:footer="1239" w:gutter="0"/>
          <w:cols w:space="720"/>
        </w:sectPr>
      </w:pPr>
    </w:p>
    <w:p w14:paraId="1409B634" w14:textId="77777777" w:rsidR="00A71EEF" w:rsidRDefault="0081115D">
      <w:pPr>
        <w:pStyle w:val="a4"/>
        <w:numPr>
          <w:ilvl w:val="2"/>
          <w:numId w:val="249"/>
        </w:numPr>
        <w:tabs>
          <w:tab w:val="left" w:pos="1424"/>
        </w:tabs>
        <w:spacing w:before="47" w:line="446" w:lineRule="auto"/>
        <w:ind w:left="418" w:right="1445" w:firstLine="422"/>
        <w:rPr>
          <w:sz w:val="21"/>
        </w:rPr>
      </w:pPr>
      <w:r>
        <w:rPr>
          <w:spacing w:val="-3"/>
          <w:sz w:val="21"/>
        </w:rPr>
        <w:t>严寒、寒冷等冬季结冰地区城市隧道及其他构筑物的消火栓系统，应采取防冻措施，</w:t>
      </w:r>
      <w:r>
        <w:rPr>
          <w:spacing w:val="-3"/>
          <w:sz w:val="21"/>
        </w:rPr>
        <w:t xml:space="preserve"> </w:t>
      </w:r>
      <w:r>
        <w:rPr>
          <w:spacing w:val="-3"/>
          <w:sz w:val="21"/>
        </w:rPr>
        <w:t>并宜采用干式消火栓系统和干式室外消火栓。</w:t>
      </w:r>
      <w:r>
        <w:rPr>
          <w:sz w:val="21"/>
        </w:rPr>
        <w:t xml:space="preserve"> </w:t>
      </w:r>
    </w:p>
    <w:p w14:paraId="539FB7CA" w14:textId="77777777" w:rsidR="00A71EEF" w:rsidRDefault="0081115D">
      <w:pPr>
        <w:pStyle w:val="a4"/>
        <w:numPr>
          <w:ilvl w:val="2"/>
          <w:numId w:val="249"/>
        </w:numPr>
        <w:tabs>
          <w:tab w:val="left" w:pos="1424"/>
        </w:tabs>
        <w:spacing w:line="267" w:lineRule="exact"/>
        <w:rPr>
          <w:sz w:val="21"/>
        </w:rPr>
      </w:pPr>
      <w:r>
        <w:rPr>
          <w:spacing w:val="-6"/>
          <w:sz w:val="21"/>
        </w:rPr>
        <w:t>干式消火栓系统的充水时间不应大于</w:t>
      </w:r>
      <w:r>
        <w:rPr>
          <w:spacing w:val="-6"/>
          <w:sz w:val="21"/>
        </w:rPr>
        <w:t xml:space="preserve"> </w:t>
      </w:r>
      <w:r>
        <w:rPr>
          <w:sz w:val="21"/>
        </w:rPr>
        <w:t>5min</w:t>
      </w:r>
      <w:r>
        <w:rPr>
          <w:spacing w:val="-3"/>
          <w:sz w:val="21"/>
        </w:rPr>
        <w:t>，并应符合下列规定：</w:t>
      </w:r>
      <w:r>
        <w:rPr>
          <w:sz w:val="21"/>
        </w:rPr>
        <w:t xml:space="preserve"> </w:t>
      </w:r>
    </w:p>
    <w:p w14:paraId="315AA47D" w14:textId="77777777" w:rsidR="00A71EEF" w:rsidRDefault="00A71EEF">
      <w:pPr>
        <w:pStyle w:val="a3"/>
        <w:spacing w:before="2"/>
        <w:rPr>
          <w:sz w:val="18"/>
        </w:rPr>
      </w:pPr>
    </w:p>
    <w:p w14:paraId="7D651CA8" w14:textId="77777777" w:rsidR="00A71EEF" w:rsidRDefault="0081115D">
      <w:pPr>
        <w:pStyle w:val="a4"/>
        <w:numPr>
          <w:ilvl w:val="0"/>
          <w:numId w:val="248"/>
        </w:numPr>
        <w:tabs>
          <w:tab w:val="left" w:pos="1367"/>
        </w:tabs>
        <w:spacing w:line="446" w:lineRule="auto"/>
        <w:ind w:right="1505" w:firstLine="419"/>
        <w:rPr>
          <w:sz w:val="21"/>
        </w:rPr>
      </w:pPr>
      <w:r>
        <w:rPr>
          <w:spacing w:val="-3"/>
          <w:sz w:val="21"/>
        </w:rPr>
        <w:t>在供水干管上宜设干式报警阀、雨淋阀或电磁阀、电动阀等快速启闭装置，当采用电</w:t>
      </w:r>
      <w:r>
        <w:rPr>
          <w:spacing w:val="-8"/>
          <w:sz w:val="21"/>
        </w:rPr>
        <w:t>动阀时开启时间不应超过</w:t>
      </w:r>
      <w:r>
        <w:rPr>
          <w:spacing w:val="-8"/>
          <w:sz w:val="21"/>
        </w:rPr>
        <w:t xml:space="preserve"> </w:t>
      </w:r>
      <w:r>
        <w:rPr>
          <w:sz w:val="21"/>
        </w:rPr>
        <w:t>30s</w:t>
      </w:r>
      <w:r>
        <w:rPr>
          <w:sz w:val="21"/>
        </w:rPr>
        <w:t>；</w:t>
      </w:r>
      <w:r>
        <w:rPr>
          <w:sz w:val="21"/>
        </w:rPr>
        <w:t xml:space="preserve"> </w:t>
      </w:r>
    </w:p>
    <w:p w14:paraId="2B0963A6" w14:textId="77777777" w:rsidR="00A71EEF" w:rsidRDefault="0081115D">
      <w:pPr>
        <w:pStyle w:val="a4"/>
        <w:numPr>
          <w:ilvl w:val="0"/>
          <w:numId w:val="248"/>
        </w:numPr>
        <w:tabs>
          <w:tab w:val="left" w:pos="1367"/>
        </w:tabs>
        <w:spacing w:line="446" w:lineRule="auto"/>
        <w:ind w:right="1505" w:firstLine="419"/>
        <w:rPr>
          <w:sz w:val="21"/>
        </w:rPr>
      </w:pPr>
      <w:r>
        <w:rPr>
          <w:spacing w:val="-3"/>
          <w:sz w:val="21"/>
        </w:rPr>
        <w:t>当采用雨淋阀、电磁阀和电动阀时，在消火栓箱处应设置直接开启快速启闭装置的手动按钮；</w:t>
      </w:r>
      <w:r>
        <w:rPr>
          <w:sz w:val="21"/>
        </w:rPr>
        <w:t xml:space="preserve"> </w:t>
      </w:r>
    </w:p>
    <w:p w14:paraId="2240B2A5" w14:textId="77777777" w:rsidR="00A71EEF" w:rsidRDefault="0081115D">
      <w:pPr>
        <w:pStyle w:val="a4"/>
        <w:numPr>
          <w:ilvl w:val="0"/>
          <w:numId w:val="248"/>
        </w:numPr>
        <w:tabs>
          <w:tab w:val="left" w:pos="1367"/>
        </w:tabs>
        <w:spacing w:line="446" w:lineRule="auto"/>
        <w:ind w:left="840" w:right="5394" w:hanging="3"/>
        <w:rPr>
          <w:sz w:val="21"/>
        </w:rPr>
      </w:pPr>
      <w:r>
        <w:rPr>
          <w:spacing w:val="-3"/>
          <w:sz w:val="21"/>
        </w:rPr>
        <w:t>在系统管道的最高处应设置快速排气阀。</w:t>
      </w:r>
      <w:r>
        <w:rPr>
          <w:b/>
          <w:sz w:val="21"/>
        </w:rPr>
        <w:t>7.2</w:t>
      </w:r>
      <w:r>
        <w:rPr>
          <w:b/>
          <w:spacing w:val="1"/>
          <w:sz w:val="21"/>
        </w:rPr>
        <w:t xml:space="preserve"> </w:t>
      </w:r>
      <w:r>
        <w:rPr>
          <w:spacing w:val="-3"/>
          <w:sz w:val="21"/>
        </w:rPr>
        <w:t>市政消火栓</w:t>
      </w:r>
      <w:r>
        <w:rPr>
          <w:sz w:val="21"/>
        </w:rPr>
        <w:t xml:space="preserve"> </w:t>
      </w:r>
    </w:p>
    <w:p w14:paraId="27122787" w14:textId="77777777" w:rsidR="00A71EEF" w:rsidRDefault="0081115D">
      <w:pPr>
        <w:pStyle w:val="a4"/>
        <w:numPr>
          <w:ilvl w:val="2"/>
          <w:numId w:val="247"/>
        </w:numPr>
        <w:tabs>
          <w:tab w:val="left" w:pos="1424"/>
        </w:tabs>
        <w:spacing w:line="446" w:lineRule="auto"/>
        <w:ind w:right="1445" w:firstLine="422"/>
        <w:rPr>
          <w:sz w:val="21"/>
        </w:rPr>
      </w:pPr>
      <w:r>
        <w:rPr>
          <w:spacing w:val="-3"/>
          <w:sz w:val="21"/>
        </w:rPr>
        <w:t>市政消火栓宜采用地上式室外消火栓；在严寒、寒冷等冬季结冰地区宜采用干式</w:t>
      </w:r>
      <w:r>
        <w:rPr>
          <w:spacing w:val="-3"/>
          <w:sz w:val="21"/>
        </w:rPr>
        <w:t>地上式室外消火栓，严寒地区宜增置消防水鹤。当采用地下式室外消火栓，地下消火栓井的直径不</w:t>
      </w:r>
      <w:r>
        <w:rPr>
          <w:spacing w:val="-3"/>
          <w:sz w:val="21"/>
        </w:rPr>
        <w:t xml:space="preserve"> </w:t>
      </w:r>
      <w:r>
        <w:rPr>
          <w:spacing w:val="-15"/>
          <w:sz w:val="21"/>
        </w:rPr>
        <w:t>宜小于</w:t>
      </w:r>
      <w:r>
        <w:rPr>
          <w:spacing w:val="-15"/>
          <w:sz w:val="21"/>
        </w:rPr>
        <w:t xml:space="preserve"> </w:t>
      </w:r>
      <w:r>
        <w:rPr>
          <w:sz w:val="21"/>
        </w:rPr>
        <w:t>1.5m</w:t>
      </w:r>
      <w:r>
        <w:rPr>
          <w:spacing w:val="-3"/>
          <w:sz w:val="21"/>
        </w:rPr>
        <w:t>，且当地下式室外消火栓的取水口在冰冻线以上时，应采取保温措施。</w:t>
      </w:r>
      <w:r>
        <w:rPr>
          <w:spacing w:val="-3"/>
          <w:sz w:val="21"/>
        </w:rPr>
        <w:t xml:space="preserve"> </w:t>
      </w:r>
    </w:p>
    <w:p w14:paraId="7E8339BC" w14:textId="77777777" w:rsidR="00A71EEF" w:rsidRDefault="0081115D">
      <w:pPr>
        <w:pStyle w:val="a4"/>
        <w:numPr>
          <w:ilvl w:val="2"/>
          <w:numId w:val="247"/>
        </w:numPr>
        <w:tabs>
          <w:tab w:val="left" w:pos="1370"/>
        </w:tabs>
        <w:spacing w:line="268" w:lineRule="exact"/>
        <w:ind w:left="1369" w:hanging="530"/>
        <w:rPr>
          <w:sz w:val="21"/>
        </w:rPr>
      </w:pPr>
      <w:r>
        <w:rPr>
          <w:spacing w:val="-8"/>
          <w:sz w:val="21"/>
        </w:rPr>
        <w:t>市政消火栓宜采用直径</w:t>
      </w:r>
      <w:r>
        <w:rPr>
          <w:spacing w:val="-8"/>
          <w:sz w:val="21"/>
        </w:rPr>
        <w:t xml:space="preserve"> </w:t>
      </w:r>
      <w:r>
        <w:rPr>
          <w:sz w:val="21"/>
        </w:rPr>
        <w:t>DN150</w:t>
      </w:r>
      <w:r>
        <w:rPr>
          <w:spacing w:val="-8"/>
          <w:sz w:val="21"/>
        </w:rPr>
        <w:t xml:space="preserve"> </w:t>
      </w:r>
      <w:r>
        <w:rPr>
          <w:spacing w:val="-8"/>
          <w:sz w:val="21"/>
        </w:rPr>
        <w:t>的室外消火栓，并应符合下列要求。</w:t>
      </w:r>
      <w:r>
        <w:rPr>
          <w:sz w:val="21"/>
        </w:rPr>
        <w:t xml:space="preserve"> </w:t>
      </w:r>
    </w:p>
    <w:p w14:paraId="0B4ADD62" w14:textId="77777777" w:rsidR="00A71EEF" w:rsidRDefault="00A71EEF">
      <w:pPr>
        <w:pStyle w:val="a3"/>
        <w:spacing w:before="11"/>
        <w:rPr>
          <w:sz w:val="17"/>
        </w:rPr>
      </w:pPr>
    </w:p>
    <w:p w14:paraId="521BA449" w14:textId="77777777" w:rsidR="00A71EEF" w:rsidRDefault="0081115D">
      <w:pPr>
        <w:pStyle w:val="a4"/>
        <w:numPr>
          <w:ilvl w:val="0"/>
          <w:numId w:val="246"/>
        </w:numPr>
        <w:tabs>
          <w:tab w:val="left" w:pos="1367"/>
        </w:tabs>
        <w:rPr>
          <w:sz w:val="21"/>
        </w:rPr>
      </w:pPr>
      <w:r>
        <w:rPr>
          <w:spacing w:val="-7"/>
          <w:sz w:val="21"/>
        </w:rPr>
        <w:t>室外地上式消火栓应有一个直径为</w:t>
      </w:r>
      <w:r>
        <w:rPr>
          <w:spacing w:val="-7"/>
          <w:sz w:val="21"/>
        </w:rPr>
        <w:t xml:space="preserve"> </w:t>
      </w:r>
      <w:r>
        <w:rPr>
          <w:sz w:val="21"/>
        </w:rPr>
        <w:t>150mm</w:t>
      </w:r>
      <w:r>
        <w:rPr>
          <w:spacing w:val="-36"/>
          <w:sz w:val="21"/>
        </w:rPr>
        <w:t xml:space="preserve"> </w:t>
      </w:r>
      <w:r>
        <w:rPr>
          <w:spacing w:val="-36"/>
          <w:sz w:val="21"/>
        </w:rPr>
        <w:t>或</w:t>
      </w:r>
      <w:r>
        <w:rPr>
          <w:spacing w:val="-36"/>
          <w:sz w:val="21"/>
        </w:rPr>
        <w:t xml:space="preserve"> </w:t>
      </w:r>
      <w:r>
        <w:rPr>
          <w:sz w:val="21"/>
        </w:rPr>
        <w:t>100mm</w:t>
      </w:r>
      <w:r>
        <w:rPr>
          <w:spacing w:val="-16"/>
          <w:sz w:val="21"/>
        </w:rPr>
        <w:t xml:space="preserve"> </w:t>
      </w:r>
      <w:r>
        <w:rPr>
          <w:spacing w:val="-16"/>
          <w:sz w:val="21"/>
        </w:rPr>
        <w:t>和两个直径为</w:t>
      </w:r>
      <w:r>
        <w:rPr>
          <w:spacing w:val="-16"/>
          <w:sz w:val="21"/>
        </w:rPr>
        <w:t xml:space="preserve"> </w:t>
      </w:r>
      <w:r>
        <w:rPr>
          <w:sz w:val="21"/>
        </w:rPr>
        <w:t>65mm</w:t>
      </w:r>
      <w:r>
        <w:rPr>
          <w:spacing w:val="-13"/>
          <w:sz w:val="21"/>
        </w:rPr>
        <w:t xml:space="preserve"> </w:t>
      </w:r>
      <w:r>
        <w:rPr>
          <w:spacing w:val="-13"/>
          <w:sz w:val="21"/>
        </w:rPr>
        <w:t>的栓口；</w:t>
      </w:r>
      <w:r>
        <w:rPr>
          <w:sz w:val="21"/>
        </w:rPr>
        <w:t xml:space="preserve"> </w:t>
      </w:r>
    </w:p>
    <w:p w14:paraId="097A5A64" w14:textId="77777777" w:rsidR="00A71EEF" w:rsidRDefault="00A71EEF">
      <w:pPr>
        <w:pStyle w:val="a3"/>
        <w:spacing w:before="12"/>
        <w:rPr>
          <w:sz w:val="17"/>
        </w:rPr>
      </w:pPr>
    </w:p>
    <w:p w14:paraId="35EA67F3" w14:textId="77777777" w:rsidR="00A71EEF" w:rsidRDefault="0081115D">
      <w:pPr>
        <w:pStyle w:val="a4"/>
        <w:numPr>
          <w:ilvl w:val="0"/>
          <w:numId w:val="246"/>
        </w:numPr>
        <w:tabs>
          <w:tab w:val="left" w:pos="1367"/>
        </w:tabs>
        <w:rPr>
          <w:sz w:val="21"/>
        </w:rPr>
      </w:pPr>
      <w:r>
        <w:rPr>
          <w:spacing w:val="-7"/>
          <w:sz w:val="21"/>
        </w:rPr>
        <w:t>室外地下式消火栓应有直径为</w:t>
      </w:r>
      <w:r>
        <w:rPr>
          <w:spacing w:val="-7"/>
          <w:sz w:val="21"/>
        </w:rPr>
        <w:t xml:space="preserve"> </w:t>
      </w:r>
      <w:r>
        <w:rPr>
          <w:sz w:val="21"/>
        </w:rPr>
        <w:t>100mm</w:t>
      </w:r>
      <w:r>
        <w:rPr>
          <w:spacing w:val="-37"/>
          <w:sz w:val="21"/>
        </w:rPr>
        <w:t xml:space="preserve"> </w:t>
      </w:r>
      <w:r>
        <w:rPr>
          <w:spacing w:val="-37"/>
          <w:sz w:val="21"/>
        </w:rPr>
        <w:t>和</w:t>
      </w:r>
      <w:r>
        <w:rPr>
          <w:spacing w:val="-37"/>
          <w:sz w:val="21"/>
        </w:rPr>
        <w:t xml:space="preserve"> </w:t>
      </w:r>
      <w:r>
        <w:rPr>
          <w:sz w:val="21"/>
        </w:rPr>
        <w:t>65mm</w:t>
      </w:r>
      <w:r>
        <w:rPr>
          <w:spacing w:val="-10"/>
          <w:sz w:val="21"/>
        </w:rPr>
        <w:t xml:space="preserve"> </w:t>
      </w:r>
      <w:r>
        <w:rPr>
          <w:spacing w:val="-10"/>
          <w:sz w:val="21"/>
        </w:rPr>
        <w:t>的栓口各一个。</w:t>
      </w:r>
      <w:r>
        <w:rPr>
          <w:sz w:val="21"/>
        </w:rPr>
        <w:t xml:space="preserve"> </w:t>
      </w:r>
    </w:p>
    <w:p w14:paraId="7CA2A2E6" w14:textId="77777777" w:rsidR="00A71EEF" w:rsidRDefault="00A71EEF">
      <w:pPr>
        <w:pStyle w:val="a3"/>
        <w:spacing w:before="2"/>
        <w:rPr>
          <w:sz w:val="18"/>
        </w:rPr>
      </w:pPr>
    </w:p>
    <w:p w14:paraId="065058A7" w14:textId="77777777" w:rsidR="00A71EEF" w:rsidRDefault="0081115D">
      <w:pPr>
        <w:pStyle w:val="a4"/>
        <w:numPr>
          <w:ilvl w:val="2"/>
          <w:numId w:val="247"/>
        </w:numPr>
        <w:tabs>
          <w:tab w:val="left" w:pos="1424"/>
        </w:tabs>
        <w:ind w:left="1423"/>
        <w:rPr>
          <w:sz w:val="21"/>
        </w:rPr>
      </w:pPr>
      <w:r>
        <w:rPr>
          <w:spacing w:val="-5"/>
          <w:sz w:val="21"/>
        </w:rPr>
        <w:t>市政消火栓宜在道路的一侧设置，并宜靠近十字路口，但当市政道路宽度超过</w:t>
      </w:r>
      <w:r>
        <w:rPr>
          <w:spacing w:val="-5"/>
          <w:sz w:val="21"/>
        </w:rPr>
        <w:t xml:space="preserve"> </w:t>
      </w:r>
      <w:r>
        <w:rPr>
          <w:sz w:val="21"/>
        </w:rPr>
        <w:t>60m</w:t>
      </w:r>
    </w:p>
    <w:p w14:paraId="5365C553" w14:textId="77777777" w:rsidR="00A71EEF" w:rsidRDefault="00A71EEF">
      <w:pPr>
        <w:pStyle w:val="a3"/>
        <w:spacing w:before="12"/>
        <w:rPr>
          <w:sz w:val="17"/>
        </w:rPr>
      </w:pPr>
    </w:p>
    <w:p w14:paraId="024FE603" w14:textId="77777777" w:rsidR="00A71EEF" w:rsidRDefault="0081115D">
      <w:pPr>
        <w:pStyle w:val="a3"/>
        <w:ind w:left="418"/>
      </w:pPr>
      <w:r>
        <w:t>时，应在道路的两侧交叉错落设置市政消火栓。</w:t>
      </w:r>
      <w:r>
        <w:t xml:space="preserve"> </w:t>
      </w:r>
    </w:p>
    <w:p w14:paraId="4E37A0EF" w14:textId="77777777" w:rsidR="00A71EEF" w:rsidRDefault="00A71EEF">
      <w:pPr>
        <w:pStyle w:val="a3"/>
        <w:rPr>
          <w:sz w:val="18"/>
        </w:rPr>
      </w:pPr>
    </w:p>
    <w:p w14:paraId="4725D23C" w14:textId="77777777" w:rsidR="00A71EEF" w:rsidRDefault="0081115D">
      <w:pPr>
        <w:pStyle w:val="a4"/>
        <w:numPr>
          <w:ilvl w:val="2"/>
          <w:numId w:val="247"/>
        </w:numPr>
        <w:tabs>
          <w:tab w:val="left" w:pos="1424"/>
        </w:tabs>
        <w:ind w:left="1423"/>
        <w:rPr>
          <w:sz w:val="21"/>
        </w:rPr>
      </w:pPr>
      <w:r>
        <w:rPr>
          <w:spacing w:val="-3"/>
          <w:sz w:val="21"/>
        </w:rPr>
        <w:t>市政桥桥头和城市交通隧道出入口等市政公用设施处，应设置市政消火栓。</w:t>
      </w:r>
      <w:r>
        <w:rPr>
          <w:spacing w:val="-3"/>
          <w:sz w:val="21"/>
        </w:rPr>
        <w:t xml:space="preserve"> </w:t>
      </w:r>
    </w:p>
    <w:p w14:paraId="10FF1760" w14:textId="77777777" w:rsidR="00A71EEF" w:rsidRDefault="00A71EEF">
      <w:pPr>
        <w:pStyle w:val="a3"/>
        <w:spacing w:before="2"/>
        <w:rPr>
          <w:sz w:val="18"/>
        </w:rPr>
      </w:pPr>
    </w:p>
    <w:p w14:paraId="25306D9B" w14:textId="77777777" w:rsidR="00A71EEF" w:rsidRDefault="0081115D">
      <w:pPr>
        <w:pStyle w:val="a4"/>
        <w:numPr>
          <w:ilvl w:val="2"/>
          <w:numId w:val="247"/>
        </w:numPr>
        <w:tabs>
          <w:tab w:val="left" w:pos="1424"/>
        </w:tabs>
        <w:ind w:left="1423"/>
        <w:rPr>
          <w:sz w:val="21"/>
        </w:rPr>
      </w:pPr>
      <w:r>
        <w:rPr>
          <w:spacing w:val="-7"/>
          <w:sz w:val="21"/>
        </w:rPr>
        <w:t>市政消火栓的保护半径不应超过</w:t>
      </w:r>
      <w:r>
        <w:rPr>
          <w:spacing w:val="-7"/>
          <w:sz w:val="21"/>
        </w:rPr>
        <w:t xml:space="preserve"> </w:t>
      </w:r>
      <w:r>
        <w:rPr>
          <w:sz w:val="21"/>
        </w:rPr>
        <w:t>150m</w:t>
      </w:r>
      <w:r>
        <w:rPr>
          <w:spacing w:val="-10"/>
          <w:sz w:val="21"/>
        </w:rPr>
        <w:t>，间距不应大于</w:t>
      </w:r>
      <w:r>
        <w:rPr>
          <w:spacing w:val="-10"/>
          <w:sz w:val="21"/>
        </w:rPr>
        <w:t xml:space="preserve"> </w:t>
      </w:r>
      <w:r>
        <w:rPr>
          <w:sz w:val="21"/>
        </w:rPr>
        <w:t>120m</w:t>
      </w:r>
      <w:r>
        <w:rPr>
          <w:spacing w:val="-3"/>
          <w:sz w:val="21"/>
        </w:rPr>
        <w:t>。</w:t>
      </w:r>
      <w:r>
        <w:rPr>
          <w:sz w:val="21"/>
        </w:rPr>
        <w:t xml:space="preserve"> </w:t>
      </w:r>
    </w:p>
    <w:p w14:paraId="4DE9A1D5" w14:textId="77777777" w:rsidR="00A71EEF" w:rsidRDefault="00A71EEF">
      <w:pPr>
        <w:pStyle w:val="a3"/>
        <w:rPr>
          <w:sz w:val="18"/>
        </w:rPr>
      </w:pPr>
    </w:p>
    <w:p w14:paraId="16F25002" w14:textId="77777777" w:rsidR="00A71EEF" w:rsidRDefault="0081115D">
      <w:pPr>
        <w:pStyle w:val="a4"/>
        <w:numPr>
          <w:ilvl w:val="2"/>
          <w:numId w:val="247"/>
        </w:numPr>
        <w:tabs>
          <w:tab w:val="left" w:pos="1424"/>
        </w:tabs>
        <w:spacing w:line="446" w:lineRule="auto"/>
        <w:ind w:right="1445" w:firstLine="422"/>
        <w:rPr>
          <w:sz w:val="21"/>
        </w:rPr>
      </w:pPr>
      <w:r>
        <w:rPr>
          <w:spacing w:val="-3"/>
          <w:sz w:val="21"/>
        </w:rPr>
        <w:t>市政消火栓应布置在消防车易于接近的人行道和绿地等地点，且不应妨碍交通，并应符合下列规定：</w:t>
      </w:r>
      <w:r>
        <w:rPr>
          <w:sz w:val="21"/>
        </w:rPr>
        <w:t xml:space="preserve"> </w:t>
      </w:r>
    </w:p>
    <w:p w14:paraId="68F41838" w14:textId="77777777" w:rsidR="00A71EEF" w:rsidRDefault="0081115D">
      <w:pPr>
        <w:pStyle w:val="a4"/>
        <w:numPr>
          <w:ilvl w:val="0"/>
          <w:numId w:val="245"/>
        </w:numPr>
        <w:tabs>
          <w:tab w:val="left" w:pos="1367"/>
        </w:tabs>
        <w:rPr>
          <w:sz w:val="21"/>
        </w:rPr>
      </w:pPr>
      <w:r>
        <w:rPr>
          <w:spacing w:val="-7"/>
          <w:sz w:val="21"/>
        </w:rPr>
        <w:t>市政消火栓距路边不宜小于</w:t>
      </w:r>
      <w:r>
        <w:rPr>
          <w:spacing w:val="-7"/>
          <w:sz w:val="21"/>
        </w:rPr>
        <w:t xml:space="preserve"> </w:t>
      </w:r>
      <w:r>
        <w:rPr>
          <w:sz w:val="21"/>
        </w:rPr>
        <w:t>0.5m</w:t>
      </w:r>
      <w:r>
        <w:rPr>
          <w:spacing w:val="-10"/>
          <w:sz w:val="21"/>
        </w:rPr>
        <w:t>，并不应大于</w:t>
      </w:r>
      <w:r>
        <w:rPr>
          <w:spacing w:val="-10"/>
          <w:sz w:val="21"/>
        </w:rPr>
        <w:t xml:space="preserve"> </w:t>
      </w:r>
      <w:r>
        <w:rPr>
          <w:sz w:val="21"/>
        </w:rPr>
        <w:t>2.0m</w:t>
      </w:r>
      <w:r>
        <w:rPr>
          <w:sz w:val="21"/>
        </w:rPr>
        <w:t>；</w:t>
      </w:r>
      <w:r>
        <w:rPr>
          <w:sz w:val="21"/>
        </w:rPr>
        <w:t xml:space="preserve"> </w:t>
      </w:r>
    </w:p>
    <w:p w14:paraId="7751FEB9" w14:textId="77777777" w:rsidR="00A71EEF" w:rsidRDefault="00A71EEF">
      <w:pPr>
        <w:pStyle w:val="a3"/>
        <w:spacing w:before="12"/>
        <w:rPr>
          <w:sz w:val="17"/>
        </w:rPr>
      </w:pPr>
    </w:p>
    <w:p w14:paraId="1FA5EC01" w14:textId="77777777" w:rsidR="00A71EEF" w:rsidRDefault="0081115D">
      <w:pPr>
        <w:pStyle w:val="a4"/>
        <w:numPr>
          <w:ilvl w:val="0"/>
          <w:numId w:val="245"/>
        </w:numPr>
        <w:tabs>
          <w:tab w:val="left" w:pos="1367"/>
        </w:tabs>
        <w:rPr>
          <w:sz w:val="21"/>
        </w:rPr>
      </w:pPr>
      <w:r>
        <w:rPr>
          <w:spacing w:val="-6"/>
          <w:sz w:val="21"/>
        </w:rPr>
        <w:t>市政消火栓距建筑外墙或外墙边缘不宜小于</w:t>
      </w:r>
      <w:r>
        <w:rPr>
          <w:spacing w:val="-6"/>
          <w:sz w:val="21"/>
        </w:rPr>
        <w:t xml:space="preserve"> </w:t>
      </w:r>
      <w:r>
        <w:rPr>
          <w:sz w:val="21"/>
        </w:rPr>
        <w:t>5.0m</w:t>
      </w:r>
      <w:r>
        <w:rPr>
          <w:sz w:val="21"/>
        </w:rPr>
        <w:t>；</w:t>
      </w:r>
      <w:r>
        <w:rPr>
          <w:sz w:val="21"/>
        </w:rPr>
        <w:t xml:space="preserve"> </w:t>
      </w:r>
    </w:p>
    <w:p w14:paraId="3B5BB250" w14:textId="77777777" w:rsidR="00A71EEF" w:rsidRDefault="00A71EEF">
      <w:pPr>
        <w:pStyle w:val="a3"/>
        <w:spacing w:before="12"/>
        <w:rPr>
          <w:sz w:val="17"/>
        </w:rPr>
      </w:pPr>
    </w:p>
    <w:p w14:paraId="47D479A2" w14:textId="77777777" w:rsidR="00A71EEF" w:rsidRDefault="0081115D">
      <w:pPr>
        <w:pStyle w:val="a4"/>
        <w:numPr>
          <w:ilvl w:val="0"/>
          <w:numId w:val="245"/>
        </w:numPr>
        <w:tabs>
          <w:tab w:val="left" w:pos="1367"/>
        </w:tabs>
        <w:rPr>
          <w:sz w:val="21"/>
        </w:rPr>
      </w:pPr>
      <w:r>
        <w:rPr>
          <w:spacing w:val="-3"/>
          <w:sz w:val="21"/>
        </w:rPr>
        <w:t>市政消火栓应避免设置在机械易撞击的地点，确有困难时，应采取防撞措施。</w:t>
      </w:r>
      <w:r>
        <w:rPr>
          <w:sz w:val="21"/>
        </w:rPr>
        <w:t xml:space="preserve"> </w:t>
      </w:r>
    </w:p>
    <w:p w14:paraId="3D4B1C23" w14:textId="77777777" w:rsidR="00A71EEF" w:rsidRDefault="00A71EEF">
      <w:pPr>
        <w:pStyle w:val="a3"/>
        <w:spacing w:before="2"/>
        <w:rPr>
          <w:sz w:val="18"/>
        </w:rPr>
      </w:pPr>
    </w:p>
    <w:p w14:paraId="05832DDB" w14:textId="77777777" w:rsidR="00A71EEF" w:rsidRDefault="0081115D">
      <w:pPr>
        <w:pStyle w:val="a4"/>
        <w:numPr>
          <w:ilvl w:val="2"/>
          <w:numId w:val="247"/>
        </w:numPr>
        <w:tabs>
          <w:tab w:val="left" w:pos="1424"/>
        </w:tabs>
        <w:ind w:left="1423"/>
        <w:rPr>
          <w:sz w:val="21"/>
        </w:rPr>
      </w:pPr>
      <w:r>
        <w:rPr>
          <w:spacing w:val="-3"/>
          <w:sz w:val="21"/>
        </w:rPr>
        <w:t>市政给水管网的阀门设置应便于市政消火栓的使用和维护，并应符合现行国家标准</w:t>
      </w:r>
    </w:p>
    <w:p w14:paraId="1482D472" w14:textId="77777777" w:rsidR="00A71EEF" w:rsidRDefault="00A71EEF">
      <w:pPr>
        <w:pStyle w:val="a3"/>
        <w:rPr>
          <w:sz w:val="18"/>
        </w:rPr>
      </w:pPr>
    </w:p>
    <w:p w14:paraId="7A1CE17E" w14:textId="77777777" w:rsidR="00A71EEF" w:rsidRDefault="0081115D">
      <w:pPr>
        <w:pStyle w:val="a3"/>
        <w:ind w:left="418"/>
      </w:pPr>
      <w:r>
        <w:t>《室外给水设计规范》</w:t>
      </w:r>
      <w:r>
        <w:t xml:space="preserve">GB 50013 </w:t>
      </w:r>
      <w:r>
        <w:t>的有关规定。</w:t>
      </w:r>
      <w:r>
        <w:t xml:space="preserve"> </w:t>
      </w:r>
    </w:p>
    <w:p w14:paraId="410394F0" w14:textId="77777777" w:rsidR="00A71EEF" w:rsidRDefault="00A71EEF">
      <w:pPr>
        <w:pStyle w:val="a3"/>
        <w:rPr>
          <w:sz w:val="18"/>
        </w:rPr>
      </w:pPr>
    </w:p>
    <w:p w14:paraId="41757FE6" w14:textId="77777777" w:rsidR="00A71EEF" w:rsidRDefault="0081115D">
      <w:pPr>
        <w:pStyle w:val="a4"/>
        <w:numPr>
          <w:ilvl w:val="2"/>
          <w:numId w:val="247"/>
        </w:numPr>
        <w:tabs>
          <w:tab w:val="left" w:pos="1424"/>
        </w:tabs>
        <w:spacing w:line="446" w:lineRule="auto"/>
        <w:ind w:right="1500" w:firstLine="422"/>
        <w:rPr>
          <w:sz w:val="21"/>
        </w:rPr>
      </w:pPr>
      <w:r>
        <w:rPr>
          <w:spacing w:val="-4"/>
          <w:sz w:val="21"/>
        </w:rPr>
        <w:t>当市政给水管网设有市政消火栓时，其平时运行工作压力不应小于</w:t>
      </w:r>
      <w:r>
        <w:rPr>
          <w:spacing w:val="-4"/>
          <w:sz w:val="21"/>
        </w:rPr>
        <w:t xml:space="preserve"> </w:t>
      </w:r>
      <w:r>
        <w:rPr>
          <w:sz w:val="21"/>
        </w:rPr>
        <w:t>0.14MPa</w:t>
      </w:r>
      <w:r>
        <w:rPr>
          <w:spacing w:val="-2"/>
          <w:sz w:val="21"/>
        </w:rPr>
        <w:t>，火灾时</w:t>
      </w:r>
      <w:r>
        <w:rPr>
          <w:spacing w:val="-6"/>
          <w:sz w:val="21"/>
        </w:rPr>
        <w:t>水力最不利市政消火栓的出流量不应小于</w:t>
      </w:r>
      <w:r>
        <w:rPr>
          <w:spacing w:val="-6"/>
          <w:sz w:val="21"/>
        </w:rPr>
        <w:t xml:space="preserve"> </w:t>
      </w:r>
      <w:r>
        <w:rPr>
          <w:sz w:val="21"/>
        </w:rPr>
        <w:t>15L/s</w:t>
      </w:r>
      <w:r>
        <w:rPr>
          <w:spacing w:val="-6"/>
          <w:sz w:val="21"/>
        </w:rPr>
        <w:t>，且供水压力从地面算起不应小于</w:t>
      </w:r>
      <w:r>
        <w:rPr>
          <w:spacing w:val="-6"/>
          <w:sz w:val="21"/>
        </w:rPr>
        <w:t xml:space="preserve"> </w:t>
      </w:r>
      <w:r>
        <w:rPr>
          <w:sz w:val="21"/>
        </w:rPr>
        <w:t>0.10MPa</w:t>
      </w:r>
      <w:r>
        <w:rPr>
          <w:spacing w:val="-3"/>
          <w:sz w:val="21"/>
        </w:rPr>
        <w:t>。</w:t>
      </w:r>
      <w:r>
        <w:rPr>
          <w:sz w:val="21"/>
        </w:rPr>
        <w:t xml:space="preserve"> </w:t>
      </w:r>
    </w:p>
    <w:p w14:paraId="53B863AF" w14:textId="77777777" w:rsidR="00A71EEF" w:rsidRDefault="00A71EEF">
      <w:pPr>
        <w:spacing w:line="446" w:lineRule="auto"/>
        <w:rPr>
          <w:sz w:val="21"/>
        </w:rPr>
        <w:sectPr w:rsidR="00A71EEF">
          <w:pgSz w:w="11910" w:h="16850"/>
          <w:pgMar w:top="1220" w:right="0" w:bottom="1420" w:left="1260" w:header="0" w:footer="1239" w:gutter="0"/>
          <w:cols w:space="720"/>
        </w:sectPr>
      </w:pPr>
    </w:p>
    <w:p w14:paraId="63D51533" w14:textId="77777777" w:rsidR="00A71EEF" w:rsidRDefault="0081115D">
      <w:pPr>
        <w:pStyle w:val="a4"/>
        <w:numPr>
          <w:ilvl w:val="2"/>
          <w:numId w:val="247"/>
        </w:numPr>
        <w:tabs>
          <w:tab w:val="left" w:pos="1424"/>
        </w:tabs>
        <w:spacing w:before="47" w:line="446" w:lineRule="auto"/>
        <w:ind w:right="1498" w:firstLine="422"/>
        <w:rPr>
          <w:sz w:val="21"/>
        </w:rPr>
      </w:pPr>
      <w:r>
        <w:rPr>
          <w:spacing w:val="-4"/>
          <w:sz w:val="21"/>
        </w:rPr>
        <w:t>严寒地区在城市主要干道上设置消防水鹤的布置间距宜为</w:t>
      </w:r>
      <w:r>
        <w:rPr>
          <w:spacing w:val="-4"/>
          <w:sz w:val="21"/>
        </w:rPr>
        <w:t xml:space="preserve"> </w:t>
      </w:r>
      <w:r>
        <w:rPr>
          <w:sz w:val="21"/>
        </w:rPr>
        <w:t>1000m</w:t>
      </w:r>
      <w:r>
        <w:rPr>
          <w:spacing w:val="-3"/>
          <w:sz w:val="21"/>
        </w:rPr>
        <w:t>，连接消防水鹤的市</w:t>
      </w:r>
      <w:r>
        <w:rPr>
          <w:spacing w:val="-8"/>
          <w:sz w:val="21"/>
        </w:rPr>
        <w:t>政给水管的管径不宜小于</w:t>
      </w:r>
      <w:r>
        <w:rPr>
          <w:spacing w:val="-8"/>
          <w:sz w:val="21"/>
        </w:rPr>
        <w:t xml:space="preserve"> </w:t>
      </w:r>
      <w:r>
        <w:rPr>
          <w:sz w:val="21"/>
        </w:rPr>
        <w:t>DN200</w:t>
      </w:r>
      <w:r>
        <w:rPr>
          <w:spacing w:val="-3"/>
          <w:sz w:val="21"/>
        </w:rPr>
        <w:t>。</w:t>
      </w:r>
      <w:r>
        <w:rPr>
          <w:sz w:val="21"/>
        </w:rPr>
        <w:t xml:space="preserve"> </w:t>
      </w:r>
    </w:p>
    <w:p w14:paraId="009B4390" w14:textId="77777777" w:rsidR="00A71EEF" w:rsidRDefault="0081115D">
      <w:pPr>
        <w:pStyle w:val="a4"/>
        <w:numPr>
          <w:ilvl w:val="2"/>
          <w:numId w:val="247"/>
        </w:numPr>
        <w:tabs>
          <w:tab w:val="left" w:pos="1530"/>
        </w:tabs>
        <w:spacing w:line="446" w:lineRule="auto"/>
        <w:ind w:right="2230" w:firstLine="422"/>
        <w:rPr>
          <w:sz w:val="21"/>
        </w:rPr>
      </w:pPr>
      <w:r>
        <w:rPr>
          <w:spacing w:val="-5"/>
          <w:sz w:val="21"/>
        </w:rPr>
        <w:t>火灾时消防水鹤的出流量不宜低于</w:t>
      </w:r>
      <w:r>
        <w:rPr>
          <w:spacing w:val="-5"/>
          <w:sz w:val="21"/>
        </w:rPr>
        <w:t xml:space="preserve"> </w:t>
      </w:r>
      <w:r>
        <w:rPr>
          <w:sz w:val="21"/>
        </w:rPr>
        <w:t>30L/s</w:t>
      </w:r>
      <w:r>
        <w:rPr>
          <w:spacing w:val="-3"/>
          <w:sz w:val="21"/>
        </w:rPr>
        <w:t>，且供水压力从地面算起不应小于</w:t>
      </w:r>
      <w:r>
        <w:rPr>
          <w:spacing w:val="-3"/>
          <w:sz w:val="21"/>
        </w:rPr>
        <w:t>0.10MPa</w:t>
      </w:r>
      <w:r>
        <w:rPr>
          <w:spacing w:val="-3"/>
          <w:sz w:val="21"/>
        </w:rPr>
        <w:t>。</w:t>
      </w:r>
      <w:r>
        <w:rPr>
          <w:sz w:val="21"/>
        </w:rPr>
        <w:t xml:space="preserve"> </w:t>
      </w:r>
    </w:p>
    <w:p w14:paraId="5F7B8C5B" w14:textId="77777777" w:rsidR="00A71EEF" w:rsidRDefault="0081115D">
      <w:pPr>
        <w:pStyle w:val="a4"/>
        <w:numPr>
          <w:ilvl w:val="2"/>
          <w:numId w:val="247"/>
        </w:numPr>
        <w:tabs>
          <w:tab w:val="left" w:pos="1530"/>
        </w:tabs>
        <w:spacing w:line="446" w:lineRule="auto"/>
        <w:ind w:left="840" w:right="5017" w:firstLine="0"/>
        <w:rPr>
          <w:sz w:val="21"/>
        </w:rPr>
      </w:pPr>
      <w:r>
        <w:rPr>
          <w:spacing w:val="-3"/>
          <w:sz w:val="21"/>
        </w:rPr>
        <w:t>地下式市政消火栓应有明显的永久性标志。</w:t>
      </w:r>
      <w:r>
        <w:rPr>
          <w:b/>
          <w:sz w:val="21"/>
        </w:rPr>
        <w:t>7.3</w:t>
      </w:r>
      <w:r>
        <w:rPr>
          <w:b/>
          <w:spacing w:val="1"/>
          <w:sz w:val="21"/>
        </w:rPr>
        <w:t xml:space="preserve"> </w:t>
      </w:r>
      <w:r>
        <w:rPr>
          <w:spacing w:val="-3"/>
          <w:sz w:val="21"/>
        </w:rPr>
        <w:t>室外消火栓</w:t>
      </w:r>
      <w:r>
        <w:rPr>
          <w:sz w:val="21"/>
        </w:rPr>
        <w:t xml:space="preserve"> </w:t>
      </w:r>
    </w:p>
    <w:p w14:paraId="21C45CDF" w14:textId="77777777" w:rsidR="00A71EEF" w:rsidRDefault="0081115D">
      <w:pPr>
        <w:pStyle w:val="a4"/>
        <w:numPr>
          <w:ilvl w:val="2"/>
          <w:numId w:val="244"/>
        </w:numPr>
        <w:tabs>
          <w:tab w:val="left" w:pos="1424"/>
        </w:tabs>
        <w:spacing w:line="446" w:lineRule="auto"/>
        <w:ind w:right="1659" w:firstLine="422"/>
        <w:rPr>
          <w:sz w:val="21"/>
        </w:rPr>
      </w:pPr>
      <w:r>
        <w:rPr>
          <w:spacing w:val="-5"/>
          <w:sz w:val="21"/>
        </w:rPr>
        <w:t>建筑室外消火栓的布置除应符合本节的规定外，还应符合本规范第</w:t>
      </w:r>
      <w:r>
        <w:rPr>
          <w:spacing w:val="-5"/>
          <w:sz w:val="21"/>
        </w:rPr>
        <w:t xml:space="preserve"> </w:t>
      </w:r>
      <w:r>
        <w:rPr>
          <w:sz w:val="21"/>
        </w:rPr>
        <w:t>7.2</w:t>
      </w:r>
      <w:r>
        <w:rPr>
          <w:spacing w:val="-9"/>
          <w:sz w:val="21"/>
        </w:rPr>
        <w:t xml:space="preserve"> </w:t>
      </w:r>
      <w:r>
        <w:rPr>
          <w:spacing w:val="-9"/>
          <w:sz w:val="21"/>
        </w:rPr>
        <w:t>节的有关规</w:t>
      </w:r>
      <w:r>
        <w:rPr>
          <w:spacing w:val="-6"/>
          <w:sz w:val="21"/>
        </w:rPr>
        <w:t>定。</w:t>
      </w:r>
      <w:r>
        <w:rPr>
          <w:sz w:val="21"/>
        </w:rPr>
        <w:t xml:space="preserve"> </w:t>
      </w:r>
    </w:p>
    <w:p w14:paraId="052BA5D7" w14:textId="77777777" w:rsidR="00A71EEF" w:rsidRDefault="0081115D">
      <w:pPr>
        <w:pStyle w:val="a4"/>
        <w:numPr>
          <w:ilvl w:val="2"/>
          <w:numId w:val="244"/>
        </w:numPr>
        <w:tabs>
          <w:tab w:val="left" w:pos="1424"/>
        </w:tabs>
        <w:spacing w:line="446" w:lineRule="auto"/>
        <w:ind w:right="1445" w:firstLine="422"/>
        <w:rPr>
          <w:sz w:val="21"/>
        </w:rPr>
      </w:pPr>
      <w:r>
        <w:rPr>
          <w:spacing w:val="-3"/>
          <w:sz w:val="21"/>
        </w:rPr>
        <w:t>建筑室外消火栓的数量应根据室外消火栓设计流量和保护半径经计算确定，保护半径</w:t>
      </w:r>
      <w:r>
        <w:rPr>
          <w:spacing w:val="-13"/>
          <w:sz w:val="21"/>
        </w:rPr>
        <w:t>不应大于</w:t>
      </w:r>
      <w:r>
        <w:rPr>
          <w:spacing w:val="-13"/>
          <w:sz w:val="21"/>
        </w:rPr>
        <w:t xml:space="preserve"> </w:t>
      </w:r>
      <w:r>
        <w:rPr>
          <w:sz w:val="21"/>
        </w:rPr>
        <w:t>150.0m</w:t>
      </w:r>
      <w:r>
        <w:rPr>
          <w:spacing w:val="-7"/>
          <w:sz w:val="21"/>
        </w:rPr>
        <w:t>，每个室外消火栓的出流量宜按</w:t>
      </w:r>
      <w:r>
        <w:rPr>
          <w:spacing w:val="-7"/>
          <w:sz w:val="21"/>
        </w:rPr>
        <w:t xml:space="preserve"> </w:t>
      </w:r>
      <w:r>
        <w:rPr>
          <w:sz w:val="21"/>
        </w:rPr>
        <w:t>10</w:t>
      </w:r>
      <w:r>
        <w:rPr>
          <w:sz w:val="21"/>
        </w:rPr>
        <w:t>～</w:t>
      </w:r>
      <w:r>
        <w:rPr>
          <w:sz w:val="21"/>
        </w:rPr>
        <w:t>15L/s</w:t>
      </w:r>
      <w:r>
        <w:rPr>
          <w:spacing w:val="-15"/>
          <w:sz w:val="21"/>
        </w:rPr>
        <w:t xml:space="preserve"> </w:t>
      </w:r>
      <w:r>
        <w:rPr>
          <w:spacing w:val="-15"/>
          <w:sz w:val="21"/>
        </w:rPr>
        <w:t>计算。</w:t>
      </w:r>
      <w:r>
        <w:rPr>
          <w:sz w:val="21"/>
        </w:rPr>
        <w:t xml:space="preserve"> </w:t>
      </w:r>
    </w:p>
    <w:p w14:paraId="7685DFE0" w14:textId="77777777" w:rsidR="00A71EEF" w:rsidRDefault="0081115D">
      <w:pPr>
        <w:pStyle w:val="a4"/>
        <w:numPr>
          <w:ilvl w:val="2"/>
          <w:numId w:val="244"/>
        </w:numPr>
        <w:tabs>
          <w:tab w:val="left" w:pos="1424"/>
        </w:tabs>
        <w:spacing w:line="446" w:lineRule="auto"/>
        <w:ind w:right="1445" w:firstLine="422"/>
        <w:rPr>
          <w:sz w:val="21"/>
        </w:rPr>
      </w:pPr>
      <w:r>
        <w:rPr>
          <w:spacing w:val="-3"/>
          <w:sz w:val="21"/>
        </w:rPr>
        <w:t>室外消火栓宜沿建筑周围均匀布置，且不宜集中布置在建筑一侧；建筑消防扑救面一</w:t>
      </w:r>
      <w:r>
        <w:rPr>
          <w:spacing w:val="-7"/>
          <w:sz w:val="21"/>
        </w:rPr>
        <w:t>侧的室外消火栓数量不宜少于</w:t>
      </w:r>
      <w:r>
        <w:rPr>
          <w:spacing w:val="-7"/>
          <w:sz w:val="21"/>
        </w:rPr>
        <w:t xml:space="preserve"> </w:t>
      </w:r>
      <w:r>
        <w:rPr>
          <w:sz w:val="21"/>
        </w:rPr>
        <w:t>2</w:t>
      </w:r>
      <w:r>
        <w:rPr>
          <w:spacing w:val="-20"/>
          <w:sz w:val="21"/>
        </w:rPr>
        <w:t xml:space="preserve"> </w:t>
      </w:r>
      <w:r>
        <w:rPr>
          <w:spacing w:val="-20"/>
          <w:sz w:val="21"/>
        </w:rPr>
        <w:t>个。</w:t>
      </w:r>
      <w:r>
        <w:rPr>
          <w:sz w:val="21"/>
        </w:rPr>
        <w:t xml:space="preserve"> </w:t>
      </w:r>
    </w:p>
    <w:p w14:paraId="08EA8C1D" w14:textId="77777777" w:rsidR="00A71EEF" w:rsidRDefault="0081115D">
      <w:pPr>
        <w:pStyle w:val="a4"/>
        <w:numPr>
          <w:ilvl w:val="2"/>
          <w:numId w:val="244"/>
        </w:numPr>
        <w:tabs>
          <w:tab w:val="left" w:pos="1424"/>
        </w:tabs>
        <w:spacing w:line="446" w:lineRule="auto"/>
        <w:ind w:right="1445" w:firstLine="422"/>
        <w:rPr>
          <w:sz w:val="21"/>
        </w:rPr>
      </w:pPr>
      <w:r>
        <w:rPr>
          <w:spacing w:val="-3"/>
          <w:sz w:val="21"/>
        </w:rPr>
        <w:t>人防工程、地下工程等建筑应在出入口附近设置室外消火栓，且距出入口的距离不宜</w:t>
      </w:r>
      <w:r>
        <w:rPr>
          <w:spacing w:val="-20"/>
          <w:sz w:val="21"/>
        </w:rPr>
        <w:t>小于</w:t>
      </w:r>
      <w:r>
        <w:rPr>
          <w:spacing w:val="-20"/>
          <w:sz w:val="21"/>
        </w:rPr>
        <w:t xml:space="preserve"> </w:t>
      </w:r>
      <w:r>
        <w:rPr>
          <w:sz w:val="21"/>
        </w:rPr>
        <w:t>5m</w:t>
      </w:r>
      <w:r>
        <w:rPr>
          <w:spacing w:val="-10"/>
          <w:sz w:val="21"/>
        </w:rPr>
        <w:t>，并不宜大于</w:t>
      </w:r>
      <w:r>
        <w:rPr>
          <w:spacing w:val="-10"/>
          <w:sz w:val="21"/>
        </w:rPr>
        <w:t xml:space="preserve"> </w:t>
      </w:r>
      <w:r>
        <w:rPr>
          <w:sz w:val="21"/>
        </w:rPr>
        <w:t>40m</w:t>
      </w:r>
      <w:r>
        <w:rPr>
          <w:sz w:val="21"/>
        </w:rPr>
        <w:t>。</w:t>
      </w:r>
      <w:r>
        <w:rPr>
          <w:sz w:val="21"/>
        </w:rPr>
        <w:t xml:space="preserve"> </w:t>
      </w:r>
    </w:p>
    <w:p w14:paraId="290DF234" w14:textId="77777777" w:rsidR="00A71EEF" w:rsidRDefault="0081115D">
      <w:pPr>
        <w:pStyle w:val="a4"/>
        <w:numPr>
          <w:ilvl w:val="2"/>
          <w:numId w:val="244"/>
        </w:numPr>
        <w:tabs>
          <w:tab w:val="left" w:pos="1424"/>
        </w:tabs>
        <w:spacing w:line="446" w:lineRule="auto"/>
        <w:ind w:right="1604" w:firstLine="422"/>
        <w:rPr>
          <w:sz w:val="21"/>
        </w:rPr>
      </w:pPr>
      <w:r>
        <w:rPr>
          <w:spacing w:val="-4"/>
          <w:sz w:val="21"/>
        </w:rPr>
        <w:t>停车场的室外消火栓宜沿停车场周边设置，且与最近一排汽车的距离不宜小于</w:t>
      </w:r>
      <w:r>
        <w:rPr>
          <w:spacing w:val="-4"/>
          <w:sz w:val="21"/>
        </w:rPr>
        <w:t xml:space="preserve"> </w:t>
      </w:r>
      <w:r>
        <w:rPr>
          <w:sz w:val="21"/>
        </w:rPr>
        <w:t>7m</w:t>
      </w:r>
      <w:r>
        <w:rPr>
          <w:sz w:val="21"/>
        </w:rPr>
        <w:t>，</w:t>
      </w:r>
      <w:r>
        <w:rPr>
          <w:sz w:val="21"/>
        </w:rPr>
        <w:t xml:space="preserve"> </w:t>
      </w:r>
      <w:r>
        <w:rPr>
          <w:spacing w:val="-8"/>
          <w:sz w:val="21"/>
        </w:rPr>
        <w:t>距加油站或油库不宜小于</w:t>
      </w:r>
      <w:r>
        <w:rPr>
          <w:spacing w:val="-8"/>
          <w:sz w:val="21"/>
        </w:rPr>
        <w:t xml:space="preserve"> </w:t>
      </w:r>
      <w:r>
        <w:rPr>
          <w:sz w:val="21"/>
        </w:rPr>
        <w:t>15m</w:t>
      </w:r>
      <w:r>
        <w:rPr>
          <w:spacing w:val="-3"/>
          <w:sz w:val="21"/>
        </w:rPr>
        <w:t>。</w:t>
      </w:r>
      <w:r>
        <w:rPr>
          <w:sz w:val="21"/>
        </w:rPr>
        <w:t xml:space="preserve"> </w:t>
      </w:r>
    </w:p>
    <w:p w14:paraId="17117B2D" w14:textId="77777777" w:rsidR="00A71EEF" w:rsidRDefault="0081115D">
      <w:pPr>
        <w:pStyle w:val="a4"/>
        <w:numPr>
          <w:ilvl w:val="2"/>
          <w:numId w:val="244"/>
        </w:numPr>
        <w:tabs>
          <w:tab w:val="left" w:pos="1424"/>
        </w:tabs>
        <w:spacing w:line="446" w:lineRule="auto"/>
        <w:ind w:right="1445" w:firstLine="422"/>
        <w:rPr>
          <w:sz w:val="21"/>
        </w:rPr>
      </w:pPr>
      <w:r>
        <w:rPr>
          <w:spacing w:val="-3"/>
          <w:sz w:val="21"/>
        </w:rPr>
        <w:t>甲、乙、丙类液体储罐区和液化烃罐罐区等构筑物的室外消火栓，应设在防火堤或防</w:t>
      </w:r>
      <w:r>
        <w:rPr>
          <w:spacing w:val="-5"/>
          <w:sz w:val="21"/>
        </w:rPr>
        <w:t>护墙外，数量应根据每个罐的设计流量经计算确定，但距罐壁</w:t>
      </w:r>
      <w:r>
        <w:rPr>
          <w:spacing w:val="-5"/>
          <w:sz w:val="21"/>
        </w:rPr>
        <w:t xml:space="preserve"> </w:t>
      </w:r>
      <w:r>
        <w:rPr>
          <w:sz w:val="21"/>
        </w:rPr>
        <w:t>15m</w:t>
      </w:r>
      <w:r>
        <w:rPr>
          <w:spacing w:val="-8"/>
          <w:sz w:val="21"/>
        </w:rPr>
        <w:t xml:space="preserve"> </w:t>
      </w:r>
      <w:r>
        <w:rPr>
          <w:spacing w:val="-8"/>
          <w:sz w:val="21"/>
        </w:rPr>
        <w:t>范围内的</w:t>
      </w:r>
      <w:r>
        <w:rPr>
          <w:spacing w:val="-8"/>
          <w:sz w:val="21"/>
        </w:rPr>
        <w:t>消火栓，不应计算</w:t>
      </w:r>
      <w:r>
        <w:rPr>
          <w:spacing w:val="-5"/>
          <w:sz w:val="21"/>
        </w:rPr>
        <w:t>在该罐可使用的数量内。</w:t>
      </w:r>
      <w:r>
        <w:rPr>
          <w:sz w:val="21"/>
        </w:rPr>
        <w:t xml:space="preserve"> </w:t>
      </w:r>
    </w:p>
    <w:p w14:paraId="14AF2F5D" w14:textId="77777777" w:rsidR="00A71EEF" w:rsidRDefault="0081115D">
      <w:pPr>
        <w:pStyle w:val="a4"/>
        <w:numPr>
          <w:ilvl w:val="2"/>
          <w:numId w:val="244"/>
        </w:numPr>
        <w:tabs>
          <w:tab w:val="left" w:pos="1424"/>
        </w:tabs>
        <w:spacing w:line="446" w:lineRule="auto"/>
        <w:ind w:right="1445" w:firstLine="422"/>
        <w:rPr>
          <w:sz w:val="21"/>
        </w:rPr>
      </w:pPr>
      <w:r>
        <w:rPr>
          <w:spacing w:val="-3"/>
          <w:sz w:val="21"/>
        </w:rPr>
        <w:t>工艺装置区等采用高压或临时高压消防给水系统的场所，其周围应设置室外消火栓，</w:t>
      </w:r>
      <w:r>
        <w:rPr>
          <w:spacing w:val="-3"/>
          <w:sz w:val="21"/>
        </w:rPr>
        <w:t xml:space="preserve"> </w:t>
      </w:r>
      <w:r>
        <w:rPr>
          <w:spacing w:val="-5"/>
          <w:sz w:val="21"/>
        </w:rPr>
        <w:t>数量应根据设计流量经计算确定，且间距不应大于</w:t>
      </w:r>
      <w:r>
        <w:rPr>
          <w:spacing w:val="-5"/>
          <w:sz w:val="21"/>
        </w:rPr>
        <w:t xml:space="preserve"> </w:t>
      </w:r>
      <w:r>
        <w:rPr>
          <w:sz w:val="21"/>
        </w:rPr>
        <w:t>60.0m</w:t>
      </w:r>
      <w:r>
        <w:rPr>
          <w:spacing w:val="-7"/>
          <w:sz w:val="21"/>
        </w:rPr>
        <w:t>。当工艺装置区宽度大于</w:t>
      </w:r>
      <w:r>
        <w:rPr>
          <w:spacing w:val="-7"/>
          <w:sz w:val="21"/>
        </w:rPr>
        <w:t xml:space="preserve"> </w:t>
      </w:r>
      <w:r>
        <w:rPr>
          <w:sz w:val="21"/>
        </w:rPr>
        <w:t>120.0m</w:t>
      </w:r>
      <w:r>
        <w:rPr>
          <w:spacing w:val="-18"/>
          <w:sz w:val="21"/>
        </w:rPr>
        <w:t xml:space="preserve"> </w:t>
      </w:r>
      <w:r>
        <w:rPr>
          <w:spacing w:val="-18"/>
          <w:sz w:val="21"/>
        </w:rPr>
        <w:t>时，</w:t>
      </w:r>
      <w:r>
        <w:rPr>
          <w:spacing w:val="-18"/>
          <w:sz w:val="21"/>
        </w:rPr>
        <w:t xml:space="preserve"> </w:t>
      </w:r>
      <w:r>
        <w:rPr>
          <w:spacing w:val="-3"/>
          <w:sz w:val="21"/>
        </w:rPr>
        <w:t>宜在该装置区内的路边设置室外消火栓。</w:t>
      </w:r>
      <w:r>
        <w:rPr>
          <w:sz w:val="21"/>
        </w:rPr>
        <w:t xml:space="preserve"> </w:t>
      </w:r>
    </w:p>
    <w:p w14:paraId="1FB8B73D" w14:textId="77777777" w:rsidR="00A71EEF" w:rsidRDefault="0081115D">
      <w:pPr>
        <w:pStyle w:val="a4"/>
        <w:numPr>
          <w:ilvl w:val="2"/>
          <w:numId w:val="244"/>
        </w:numPr>
        <w:tabs>
          <w:tab w:val="left" w:pos="1424"/>
        </w:tabs>
        <w:spacing w:line="446" w:lineRule="auto"/>
        <w:ind w:right="1445" w:firstLine="422"/>
        <w:rPr>
          <w:sz w:val="21"/>
        </w:rPr>
      </w:pPr>
      <w:r>
        <w:rPr>
          <w:spacing w:val="-3"/>
          <w:sz w:val="21"/>
        </w:rPr>
        <w:t>当工艺装置区、罐区、堆场、可燃气体和液体码头等构筑物的面积较大或高度较高，</w:t>
      </w:r>
      <w:r>
        <w:rPr>
          <w:spacing w:val="-3"/>
          <w:sz w:val="21"/>
        </w:rPr>
        <w:t xml:space="preserve"> </w:t>
      </w:r>
      <w:r>
        <w:rPr>
          <w:spacing w:val="-3"/>
          <w:sz w:val="21"/>
        </w:rPr>
        <w:t>室外消火栓的充实水柱无法完全覆盖时，宜在适当部位设置室外固定消防炮。</w:t>
      </w:r>
      <w:r>
        <w:rPr>
          <w:spacing w:val="-3"/>
          <w:sz w:val="21"/>
        </w:rPr>
        <w:t xml:space="preserve"> </w:t>
      </w:r>
    </w:p>
    <w:p w14:paraId="0C5A5855" w14:textId="77777777" w:rsidR="00A71EEF" w:rsidRDefault="00A71EEF">
      <w:pPr>
        <w:pStyle w:val="a3"/>
        <w:rPr>
          <w:sz w:val="20"/>
        </w:rPr>
      </w:pPr>
    </w:p>
    <w:p w14:paraId="00FB7F10" w14:textId="77777777" w:rsidR="00A71EEF" w:rsidRDefault="00A71EEF">
      <w:pPr>
        <w:pStyle w:val="a3"/>
        <w:spacing w:before="4"/>
        <w:rPr>
          <w:sz w:val="18"/>
        </w:rPr>
      </w:pPr>
    </w:p>
    <w:p w14:paraId="4B46358B" w14:textId="77777777" w:rsidR="00A71EEF" w:rsidRDefault="0081115D">
      <w:pPr>
        <w:pStyle w:val="a4"/>
        <w:numPr>
          <w:ilvl w:val="2"/>
          <w:numId w:val="244"/>
        </w:numPr>
        <w:tabs>
          <w:tab w:val="left" w:pos="1424"/>
        </w:tabs>
        <w:spacing w:line="446" w:lineRule="auto"/>
        <w:ind w:right="1445" w:firstLine="422"/>
        <w:rPr>
          <w:sz w:val="21"/>
        </w:rPr>
      </w:pPr>
      <w:r>
        <w:rPr>
          <w:spacing w:val="-3"/>
          <w:sz w:val="21"/>
        </w:rPr>
        <w:t>当工艺装置区、储罐区、堆场等构筑物采用高压或临时高压消防给水系统时，消火栓的设置应符合下列规定：</w:t>
      </w:r>
      <w:r>
        <w:rPr>
          <w:sz w:val="21"/>
        </w:rPr>
        <w:t xml:space="preserve"> </w:t>
      </w:r>
    </w:p>
    <w:p w14:paraId="5F810032" w14:textId="77777777" w:rsidR="00A71EEF" w:rsidRDefault="0081115D">
      <w:pPr>
        <w:pStyle w:val="a4"/>
        <w:numPr>
          <w:ilvl w:val="0"/>
          <w:numId w:val="243"/>
        </w:numPr>
        <w:tabs>
          <w:tab w:val="left" w:pos="1367"/>
        </w:tabs>
        <w:rPr>
          <w:sz w:val="21"/>
        </w:rPr>
      </w:pPr>
      <w:r>
        <w:rPr>
          <w:spacing w:val="-3"/>
          <w:sz w:val="21"/>
        </w:rPr>
        <w:t>室外消火栓处宜配置消防水带和消防水枪；</w:t>
      </w:r>
      <w:r>
        <w:rPr>
          <w:sz w:val="21"/>
        </w:rPr>
        <w:t xml:space="preserve"> </w:t>
      </w:r>
    </w:p>
    <w:p w14:paraId="72F15647" w14:textId="77777777" w:rsidR="00A71EEF" w:rsidRDefault="00A71EEF">
      <w:pPr>
        <w:rPr>
          <w:sz w:val="21"/>
        </w:rPr>
        <w:sectPr w:rsidR="00A71EEF">
          <w:pgSz w:w="11910" w:h="16850"/>
          <w:pgMar w:top="1220" w:right="0" w:bottom="1420" w:left="1260" w:header="0" w:footer="1239" w:gutter="0"/>
          <w:cols w:space="720"/>
        </w:sectPr>
      </w:pPr>
    </w:p>
    <w:p w14:paraId="2F87D303" w14:textId="77777777" w:rsidR="00A71EEF" w:rsidRDefault="0081115D">
      <w:pPr>
        <w:pStyle w:val="a4"/>
        <w:numPr>
          <w:ilvl w:val="0"/>
          <w:numId w:val="243"/>
        </w:numPr>
        <w:tabs>
          <w:tab w:val="left" w:pos="1367"/>
        </w:tabs>
        <w:spacing w:before="47" w:line="446" w:lineRule="auto"/>
        <w:ind w:left="418" w:right="1505" w:firstLine="419"/>
        <w:rPr>
          <w:sz w:val="21"/>
        </w:rPr>
      </w:pPr>
      <w:r>
        <w:rPr>
          <w:spacing w:val="-3"/>
          <w:sz w:val="21"/>
        </w:rPr>
        <w:t>工艺装置休息平台等处需要设置的消火栓的场所应采用室内消火栓，并应符合本规范</w:t>
      </w:r>
      <w:r>
        <w:rPr>
          <w:spacing w:val="-28"/>
          <w:sz w:val="21"/>
        </w:rPr>
        <w:t>第</w:t>
      </w:r>
      <w:r>
        <w:rPr>
          <w:spacing w:val="-28"/>
          <w:sz w:val="21"/>
        </w:rPr>
        <w:t xml:space="preserve"> </w:t>
      </w:r>
      <w:r>
        <w:rPr>
          <w:sz w:val="21"/>
        </w:rPr>
        <w:t>7.4</w:t>
      </w:r>
      <w:r>
        <w:rPr>
          <w:spacing w:val="-10"/>
          <w:sz w:val="21"/>
        </w:rPr>
        <w:t xml:space="preserve"> </w:t>
      </w:r>
      <w:r>
        <w:rPr>
          <w:spacing w:val="-10"/>
          <w:sz w:val="21"/>
        </w:rPr>
        <w:t>节的有关规定。</w:t>
      </w:r>
      <w:r>
        <w:rPr>
          <w:sz w:val="21"/>
        </w:rPr>
        <w:t xml:space="preserve"> </w:t>
      </w:r>
    </w:p>
    <w:p w14:paraId="08B6DF41" w14:textId="77777777" w:rsidR="00A71EEF" w:rsidRDefault="0081115D">
      <w:pPr>
        <w:pStyle w:val="a4"/>
        <w:numPr>
          <w:ilvl w:val="2"/>
          <w:numId w:val="244"/>
        </w:numPr>
        <w:tabs>
          <w:tab w:val="left" w:pos="1478"/>
        </w:tabs>
        <w:spacing w:line="446" w:lineRule="auto"/>
        <w:ind w:right="1496" w:firstLine="422"/>
        <w:rPr>
          <w:sz w:val="21"/>
        </w:rPr>
      </w:pPr>
      <w:r>
        <w:rPr>
          <w:spacing w:val="-3"/>
          <w:sz w:val="21"/>
        </w:rPr>
        <w:t>室外消防给水引入管当设有倒流防止器，且火灾时因其水头损失导致室外消火栓不</w:t>
      </w:r>
      <w:r>
        <w:rPr>
          <w:spacing w:val="-10"/>
          <w:sz w:val="21"/>
        </w:rPr>
        <w:t>能满足</w:t>
      </w:r>
      <w:r>
        <w:rPr>
          <w:spacing w:val="-10"/>
          <w:sz w:val="21"/>
        </w:rPr>
        <w:t>本规范第</w:t>
      </w:r>
      <w:r>
        <w:rPr>
          <w:spacing w:val="-10"/>
          <w:sz w:val="21"/>
        </w:rPr>
        <w:t xml:space="preserve"> </w:t>
      </w:r>
      <w:r>
        <w:rPr>
          <w:sz w:val="21"/>
        </w:rPr>
        <w:t>7.2.8</w:t>
      </w:r>
      <w:r>
        <w:rPr>
          <w:spacing w:val="-9"/>
          <w:sz w:val="21"/>
        </w:rPr>
        <w:t xml:space="preserve"> </w:t>
      </w:r>
      <w:r>
        <w:rPr>
          <w:spacing w:val="-9"/>
          <w:sz w:val="21"/>
        </w:rPr>
        <w:t>条的要求时，应在该倒流防止器前设置一个室外消火栓。</w:t>
      </w:r>
      <w:r>
        <w:rPr>
          <w:spacing w:val="-9"/>
          <w:sz w:val="21"/>
        </w:rPr>
        <w:t xml:space="preserve"> </w:t>
      </w:r>
    </w:p>
    <w:p w14:paraId="6A9F66D3" w14:textId="77777777" w:rsidR="00A71EEF" w:rsidRDefault="0081115D">
      <w:pPr>
        <w:pStyle w:val="a4"/>
        <w:numPr>
          <w:ilvl w:val="1"/>
          <w:numId w:val="242"/>
        </w:numPr>
        <w:tabs>
          <w:tab w:val="left" w:pos="1159"/>
        </w:tabs>
        <w:ind w:hanging="319"/>
        <w:rPr>
          <w:sz w:val="21"/>
        </w:rPr>
      </w:pPr>
      <w:r>
        <w:rPr>
          <w:spacing w:val="-3"/>
          <w:sz w:val="21"/>
        </w:rPr>
        <w:t>室内消火栓</w:t>
      </w:r>
      <w:r>
        <w:rPr>
          <w:sz w:val="21"/>
        </w:rPr>
        <w:t xml:space="preserve"> </w:t>
      </w:r>
    </w:p>
    <w:p w14:paraId="00389EEC" w14:textId="77777777" w:rsidR="00A71EEF" w:rsidRDefault="00A71EEF">
      <w:pPr>
        <w:pStyle w:val="a3"/>
        <w:spacing w:before="10"/>
        <w:rPr>
          <w:sz w:val="17"/>
        </w:rPr>
      </w:pPr>
    </w:p>
    <w:p w14:paraId="1735774A" w14:textId="77777777" w:rsidR="00A71EEF" w:rsidRDefault="0081115D">
      <w:pPr>
        <w:pStyle w:val="a4"/>
        <w:numPr>
          <w:ilvl w:val="2"/>
          <w:numId w:val="242"/>
        </w:numPr>
        <w:tabs>
          <w:tab w:val="left" w:pos="1424"/>
        </w:tabs>
        <w:spacing w:line="446" w:lineRule="auto"/>
        <w:ind w:right="1445" w:firstLine="422"/>
        <w:rPr>
          <w:sz w:val="21"/>
        </w:rPr>
      </w:pPr>
      <w:r>
        <w:rPr>
          <w:spacing w:val="-3"/>
          <w:sz w:val="21"/>
        </w:rPr>
        <w:t>室内消火栓的选型应根据使用者、火灾危险性、火灾类型和不同灭火功能等因素综合确定。</w:t>
      </w:r>
      <w:r>
        <w:rPr>
          <w:sz w:val="21"/>
        </w:rPr>
        <w:t xml:space="preserve"> </w:t>
      </w:r>
    </w:p>
    <w:p w14:paraId="792E0428" w14:textId="77777777" w:rsidR="00A71EEF" w:rsidRDefault="0081115D">
      <w:pPr>
        <w:pStyle w:val="a4"/>
        <w:numPr>
          <w:ilvl w:val="2"/>
          <w:numId w:val="242"/>
        </w:numPr>
        <w:tabs>
          <w:tab w:val="left" w:pos="1424"/>
        </w:tabs>
        <w:spacing w:before="1"/>
        <w:ind w:left="1423"/>
        <w:rPr>
          <w:sz w:val="21"/>
        </w:rPr>
      </w:pPr>
      <w:r>
        <w:rPr>
          <w:spacing w:val="-3"/>
          <w:sz w:val="21"/>
        </w:rPr>
        <w:t>室内消火栓的配置应符合下列要求：</w:t>
      </w:r>
      <w:r>
        <w:rPr>
          <w:sz w:val="21"/>
        </w:rPr>
        <w:t xml:space="preserve"> </w:t>
      </w:r>
    </w:p>
    <w:p w14:paraId="75627C87" w14:textId="77777777" w:rsidR="00A71EEF" w:rsidRDefault="00A71EEF">
      <w:pPr>
        <w:pStyle w:val="a3"/>
        <w:spacing w:before="12"/>
        <w:rPr>
          <w:sz w:val="17"/>
        </w:rPr>
      </w:pPr>
    </w:p>
    <w:p w14:paraId="5E503F27" w14:textId="77777777" w:rsidR="00A71EEF" w:rsidRDefault="0081115D">
      <w:pPr>
        <w:pStyle w:val="a4"/>
        <w:numPr>
          <w:ilvl w:val="0"/>
          <w:numId w:val="241"/>
        </w:numPr>
        <w:tabs>
          <w:tab w:val="left" w:pos="1367"/>
        </w:tabs>
        <w:jc w:val="both"/>
        <w:rPr>
          <w:sz w:val="21"/>
        </w:rPr>
      </w:pPr>
      <w:r>
        <w:rPr>
          <w:spacing w:val="-15"/>
          <w:sz w:val="21"/>
        </w:rPr>
        <w:t>应采用</w:t>
      </w:r>
      <w:r>
        <w:rPr>
          <w:spacing w:val="-15"/>
          <w:sz w:val="21"/>
        </w:rPr>
        <w:t xml:space="preserve"> </w:t>
      </w:r>
      <w:r>
        <w:rPr>
          <w:sz w:val="21"/>
        </w:rPr>
        <w:t>DN65</w:t>
      </w:r>
      <w:r>
        <w:rPr>
          <w:spacing w:val="-8"/>
          <w:sz w:val="21"/>
        </w:rPr>
        <w:t xml:space="preserve"> </w:t>
      </w:r>
      <w:r>
        <w:rPr>
          <w:spacing w:val="-8"/>
          <w:sz w:val="21"/>
        </w:rPr>
        <w:t>室内消火栓，并可与消防软管卷盘或轻便水龙设置在同一箱体内；</w:t>
      </w:r>
      <w:r>
        <w:rPr>
          <w:spacing w:val="-8"/>
          <w:sz w:val="21"/>
        </w:rPr>
        <w:t xml:space="preserve"> </w:t>
      </w:r>
    </w:p>
    <w:p w14:paraId="47939B9A" w14:textId="77777777" w:rsidR="00A71EEF" w:rsidRDefault="00A71EEF">
      <w:pPr>
        <w:pStyle w:val="a3"/>
        <w:spacing w:before="2"/>
        <w:rPr>
          <w:sz w:val="18"/>
        </w:rPr>
      </w:pPr>
    </w:p>
    <w:p w14:paraId="04C53406" w14:textId="77777777" w:rsidR="00A71EEF" w:rsidRDefault="0081115D">
      <w:pPr>
        <w:pStyle w:val="a4"/>
        <w:numPr>
          <w:ilvl w:val="0"/>
          <w:numId w:val="241"/>
        </w:numPr>
        <w:tabs>
          <w:tab w:val="left" w:pos="1367"/>
        </w:tabs>
        <w:spacing w:line="446" w:lineRule="auto"/>
        <w:ind w:left="418" w:right="1450" w:firstLine="419"/>
        <w:jc w:val="both"/>
        <w:rPr>
          <w:sz w:val="21"/>
        </w:rPr>
      </w:pPr>
      <w:r>
        <w:rPr>
          <w:spacing w:val="-8"/>
          <w:sz w:val="21"/>
        </w:rPr>
        <w:t>应配置公称直径</w:t>
      </w:r>
      <w:r>
        <w:rPr>
          <w:spacing w:val="-8"/>
          <w:sz w:val="21"/>
        </w:rPr>
        <w:t xml:space="preserve"> </w:t>
      </w:r>
      <w:r>
        <w:rPr>
          <w:sz w:val="21"/>
        </w:rPr>
        <w:t>65</w:t>
      </w:r>
      <w:r>
        <w:rPr>
          <w:spacing w:val="-10"/>
          <w:sz w:val="21"/>
        </w:rPr>
        <w:t xml:space="preserve"> </w:t>
      </w:r>
      <w:r>
        <w:rPr>
          <w:spacing w:val="-10"/>
          <w:sz w:val="21"/>
        </w:rPr>
        <w:t>有内衬里的消防水带，长度不宜超过</w:t>
      </w:r>
      <w:r>
        <w:rPr>
          <w:spacing w:val="-10"/>
          <w:sz w:val="21"/>
        </w:rPr>
        <w:t xml:space="preserve"> </w:t>
      </w:r>
      <w:r>
        <w:rPr>
          <w:sz w:val="21"/>
        </w:rPr>
        <w:t>25.0m</w:t>
      </w:r>
      <w:r>
        <w:rPr>
          <w:spacing w:val="-3"/>
          <w:sz w:val="21"/>
        </w:rPr>
        <w:t>；消防软管卷盘应配置内径不小于</w:t>
      </w:r>
      <w:r>
        <w:rPr>
          <w:sz w:val="21"/>
        </w:rPr>
        <w:t>ф19</w:t>
      </w:r>
      <w:r>
        <w:rPr>
          <w:spacing w:val="-11"/>
          <w:sz w:val="21"/>
        </w:rPr>
        <w:t xml:space="preserve"> </w:t>
      </w:r>
      <w:r>
        <w:rPr>
          <w:spacing w:val="-11"/>
          <w:sz w:val="21"/>
        </w:rPr>
        <w:t>的消防软管，其长度宜为</w:t>
      </w:r>
      <w:r>
        <w:rPr>
          <w:spacing w:val="-11"/>
          <w:sz w:val="21"/>
        </w:rPr>
        <w:t xml:space="preserve"> </w:t>
      </w:r>
      <w:r>
        <w:rPr>
          <w:sz w:val="21"/>
        </w:rPr>
        <w:t>30.0m</w:t>
      </w:r>
      <w:r>
        <w:rPr>
          <w:spacing w:val="-7"/>
          <w:sz w:val="21"/>
        </w:rPr>
        <w:t>；轻便水龙应配置公称直径</w:t>
      </w:r>
      <w:r>
        <w:rPr>
          <w:spacing w:val="-7"/>
          <w:sz w:val="21"/>
        </w:rPr>
        <w:t xml:space="preserve"> </w:t>
      </w:r>
      <w:r>
        <w:rPr>
          <w:sz w:val="21"/>
        </w:rPr>
        <w:t>25</w:t>
      </w:r>
      <w:r>
        <w:rPr>
          <w:spacing w:val="-8"/>
          <w:sz w:val="21"/>
        </w:rPr>
        <w:t xml:space="preserve"> </w:t>
      </w:r>
      <w:r>
        <w:rPr>
          <w:spacing w:val="-8"/>
          <w:sz w:val="21"/>
        </w:rPr>
        <w:t>有内衬里的消防</w:t>
      </w:r>
      <w:r>
        <w:rPr>
          <w:spacing w:val="-12"/>
          <w:sz w:val="21"/>
        </w:rPr>
        <w:t>水带，长度宜为</w:t>
      </w:r>
      <w:r>
        <w:rPr>
          <w:spacing w:val="-12"/>
          <w:sz w:val="21"/>
        </w:rPr>
        <w:t xml:space="preserve"> </w:t>
      </w:r>
      <w:r>
        <w:rPr>
          <w:sz w:val="21"/>
        </w:rPr>
        <w:t>30.0m</w:t>
      </w:r>
      <w:r>
        <w:rPr>
          <w:sz w:val="21"/>
        </w:rPr>
        <w:t>；</w:t>
      </w:r>
      <w:r>
        <w:rPr>
          <w:sz w:val="21"/>
        </w:rPr>
        <w:t xml:space="preserve"> </w:t>
      </w:r>
    </w:p>
    <w:p w14:paraId="1C696BD3" w14:textId="77777777" w:rsidR="00A71EEF" w:rsidRDefault="0081115D">
      <w:pPr>
        <w:pStyle w:val="a4"/>
        <w:numPr>
          <w:ilvl w:val="0"/>
          <w:numId w:val="241"/>
        </w:numPr>
        <w:tabs>
          <w:tab w:val="left" w:pos="1367"/>
        </w:tabs>
        <w:spacing w:line="446" w:lineRule="auto"/>
        <w:ind w:left="418" w:right="1452" w:firstLine="419"/>
        <w:rPr>
          <w:sz w:val="21"/>
        </w:rPr>
      </w:pPr>
      <w:r>
        <w:rPr>
          <w:spacing w:val="-8"/>
          <w:sz w:val="21"/>
        </w:rPr>
        <w:t>宜配置当量喷嘴直径</w:t>
      </w:r>
      <w:r>
        <w:rPr>
          <w:spacing w:val="-8"/>
          <w:sz w:val="21"/>
        </w:rPr>
        <w:t xml:space="preserve"> </w:t>
      </w:r>
      <w:r>
        <w:rPr>
          <w:sz w:val="21"/>
        </w:rPr>
        <w:t>16mm</w:t>
      </w:r>
      <w:r>
        <w:rPr>
          <w:spacing w:val="-34"/>
          <w:sz w:val="21"/>
        </w:rPr>
        <w:t xml:space="preserve"> </w:t>
      </w:r>
      <w:r>
        <w:rPr>
          <w:spacing w:val="-34"/>
          <w:sz w:val="21"/>
        </w:rPr>
        <w:t>或</w:t>
      </w:r>
      <w:r>
        <w:rPr>
          <w:spacing w:val="-34"/>
          <w:sz w:val="21"/>
        </w:rPr>
        <w:t xml:space="preserve"> </w:t>
      </w:r>
      <w:r>
        <w:rPr>
          <w:sz w:val="21"/>
        </w:rPr>
        <w:t>19mm</w:t>
      </w:r>
      <w:r>
        <w:rPr>
          <w:spacing w:val="-12"/>
          <w:sz w:val="21"/>
        </w:rPr>
        <w:t xml:space="preserve"> </w:t>
      </w:r>
      <w:r>
        <w:rPr>
          <w:spacing w:val="-12"/>
          <w:sz w:val="21"/>
        </w:rPr>
        <w:t>的消防水枪，但当消火栓设计流量为</w:t>
      </w:r>
      <w:r>
        <w:rPr>
          <w:spacing w:val="-12"/>
          <w:sz w:val="21"/>
        </w:rPr>
        <w:t xml:space="preserve"> </w:t>
      </w:r>
      <w:r>
        <w:rPr>
          <w:sz w:val="21"/>
        </w:rPr>
        <w:t>2.5L/s</w:t>
      </w:r>
      <w:r>
        <w:rPr>
          <w:spacing w:val="-18"/>
          <w:sz w:val="21"/>
        </w:rPr>
        <w:t xml:space="preserve"> </w:t>
      </w:r>
      <w:r>
        <w:rPr>
          <w:spacing w:val="-18"/>
          <w:sz w:val="21"/>
        </w:rPr>
        <w:t>时宜</w:t>
      </w:r>
      <w:r>
        <w:rPr>
          <w:spacing w:val="-12"/>
          <w:sz w:val="21"/>
        </w:rPr>
        <w:t>配置当量喷嘴直径</w:t>
      </w:r>
      <w:r>
        <w:rPr>
          <w:spacing w:val="-12"/>
          <w:sz w:val="21"/>
        </w:rPr>
        <w:t xml:space="preserve"> </w:t>
      </w:r>
      <w:r>
        <w:rPr>
          <w:sz w:val="21"/>
        </w:rPr>
        <w:t>11mm</w:t>
      </w:r>
      <w:r>
        <w:rPr>
          <w:spacing w:val="-31"/>
          <w:sz w:val="21"/>
        </w:rPr>
        <w:t xml:space="preserve"> </w:t>
      </w:r>
      <w:r>
        <w:rPr>
          <w:spacing w:val="-31"/>
          <w:sz w:val="21"/>
        </w:rPr>
        <w:t>或</w:t>
      </w:r>
      <w:r>
        <w:rPr>
          <w:spacing w:val="-31"/>
          <w:sz w:val="21"/>
        </w:rPr>
        <w:t xml:space="preserve"> </w:t>
      </w:r>
      <w:r>
        <w:rPr>
          <w:sz w:val="21"/>
        </w:rPr>
        <w:t>13mm</w:t>
      </w:r>
      <w:r>
        <w:rPr>
          <w:spacing w:val="-11"/>
          <w:sz w:val="21"/>
        </w:rPr>
        <w:t xml:space="preserve"> </w:t>
      </w:r>
      <w:r>
        <w:rPr>
          <w:spacing w:val="-11"/>
          <w:sz w:val="21"/>
        </w:rPr>
        <w:t>的消防水枪；消防软管卷盘和轻便水龙应配置当量喷嘴直径</w:t>
      </w:r>
      <w:r>
        <w:rPr>
          <w:spacing w:val="-11"/>
          <w:sz w:val="21"/>
        </w:rPr>
        <w:t xml:space="preserve"> </w:t>
      </w:r>
      <w:r>
        <w:rPr>
          <w:sz w:val="21"/>
        </w:rPr>
        <w:t xml:space="preserve">6mm </w:t>
      </w:r>
      <w:r>
        <w:rPr>
          <w:spacing w:val="-3"/>
          <w:sz w:val="21"/>
        </w:rPr>
        <w:t>的消防水枪。</w:t>
      </w:r>
      <w:r>
        <w:rPr>
          <w:sz w:val="21"/>
        </w:rPr>
        <w:t xml:space="preserve"> </w:t>
      </w:r>
    </w:p>
    <w:p w14:paraId="135A467C" w14:textId="77777777" w:rsidR="00A71EEF" w:rsidRDefault="0081115D">
      <w:pPr>
        <w:pStyle w:val="a4"/>
        <w:numPr>
          <w:ilvl w:val="2"/>
          <w:numId w:val="242"/>
        </w:numPr>
        <w:tabs>
          <w:tab w:val="left" w:pos="1424"/>
        </w:tabs>
        <w:spacing w:line="268" w:lineRule="exact"/>
        <w:ind w:left="1423"/>
        <w:rPr>
          <w:sz w:val="21"/>
        </w:rPr>
      </w:pPr>
      <w:r>
        <w:rPr>
          <w:spacing w:val="-3"/>
          <w:sz w:val="21"/>
        </w:rPr>
        <w:t>设置室内消火栓的建筑，包括设备层在内的各层均应设置消火栓。</w:t>
      </w:r>
      <w:r>
        <w:rPr>
          <w:sz w:val="21"/>
        </w:rPr>
        <w:t xml:space="preserve"> </w:t>
      </w:r>
    </w:p>
    <w:p w14:paraId="094ECBCE" w14:textId="77777777" w:rsidR="00A71EEF" w:rsidRDefault="00A71EEF">
      <w:pPr>
        <w:pStyle w:val="a3"/>
        <w:spacing w:before="11"/>
        <w:rPr>
          <w:sz w:val="17"/>
        </w:rPr>
      </w:pPr>
    </w:p>
    <w:p w14:paraId="2EED5FA0" w14:textId="77777777" w:rsidR="00A71EEF" w:rsidRDefault="0081115D">
      <w:pPr>
        <w:pStyle w:val="a4"/>
        <w:numPr>
          <w:ilvl w:val="2"/>
          <w:numId w:val="242"/>
        </w:numPr>
        <w:tabs>
          <w:tab w:val="left" w:pos="1424"/>
        </w:tabs>
        <w:spacing w:line="446" w:lineRule="auto"/>
        <w:ind w:right="1657" w:firstLine="422"/>
        <w:rPr>
          <w:sz w:val="21"/>
        </w:rPr>
      </w:pPr>
      <w:r>
        <w:rPr>
          <w:spacing w:val="-3"/>
          <w:sz w:val="21"/>
        </w:rPr>
        <w:t>屋顶设有直升机停机坪的建筑，应在停机坪出入口处或非电器设备机房处设置消火</w:t>
      </w:r>
      <w:r>
        <w:rPr>
          <w:spacing w:val="-6"/>
          <w:sz w:val="21"/>
        </w:rPr>
        <w:t>栓，且距停机坪机位边缘的距离不应小于</w:t>
      </w:r>
      <w:r>
        <w:rPr>
          <w:spacing w:val="-6"/>
          <w:sz w:val="21"/>
        </w:rPr>
        <w:t xml:space="preserve"> </w:t>
      </w:r>
      <w:r>
        <w:rPr>
          <w:sz w:val="21"/>
        </w:rPr>
        <w:t>5.0m</w:t>
      </w:r>
      <w:r>
        <w:rPr>
          <w:spacing w:val="-3"/>
          <w:sz w:val="21"/>
        </w:rPr>
        <w:t>。</w:t>
      </w:r>
      <w:r>
        <w:rPr>
          <w:sz w:val="21"/>
        </w:rPr>
        <w:t xml:space="preserve"> </w:t>
      </w:r>
    </w:p>
    <w:p w14:paraId="637A4308" w14:textId="77777777" w:rsidR="00A71EEF" w:rsidRDefault="0081115D">
      <w:pPr>
        <w:pStyle w:val="a4"/>
        <w:numPr>
          <w:ilvl w:val="2"/>
          <w:numId w:val="242"/>
        </w:numPr>
        <w:tabs>
          <w:tab w:val="left" w:pos="1424"/>
        </w:tabs>
        <w:ind w:left="1423"/>
        <w:rPr>
          <w:sz w:val="21"/>
        </w:rPr>
      </w:pPr>
      <w:r>
        <w:rPr>
          <w:spacing w:val="-3"/>
          <w:sz w:val="21"/>
        </w:rPr>
        <w:t>消防电梯前室应设置室内消火栓，并应计入消火栓使用数量。</w:t>
      </w:r>
      <w:r>
        <w:rPr>
          <w:sz w:val="21"/>
        </w:rPr>
        <w:t xml:space="preserve"> </w:t>
      </w:r>
    </w:p>
    <w:p w14:paraId="646A75CD" w14:textId="77777777" w:rsidR="00A71EEF" w:rsidRDefault="00A71EEF">
      <w:pPr>
        <w:pStyle w:val="a3"/>
        <w:rPr>
          <w:sz w:val="18"/>
        </w:rPr>
      </w:pPr>
    </w:p>
    <w:p w14:paraId="633628E4" w14:textId="77777777" w:rsidR="00A71EEF" w:rsidRDefault="0081115D">
      <w:pPr>
        <w:pStyle w:val="a4"/>
        <w:numPr>
          <w:ilvl w:val="2"/>
          <w:numId w:val="242"/>
        </w:numPr>
        <w:tabs>
          <w:tab w:val="left" w:pos="1424"/>
        </w:tabs>
        <w:spacing w:line="444" w:lineRule="auto"/>
        <w:ind w:right="1445" w:firstLine="422"/>
        <w:rPr>
          <w:sz w:val="21"/>
        </w:rPr>
      </w:pPr>
      <w:r>
        <w:rPr>
          <w:spacing w:val="-6"/>
          <w:sz w:val="21"/>
        </w:rPr>
        <w:t>室内消火栓的布置应满足同一平面有</w:t>
      </w:r>
      <w:r>
        <w:rPr>
          <w:spacing w:val="-6"/>
          <w:sz w:val="21"/>
        </w:rPr>
        <w:t xml:space="preserve"> </w:t>
      </w:r>
      <w:r>
        <w:rPr>
          <w:sz w:val="21"/>
        </w:rPr>
        <w:t>2</w:t>
      </w:r>
      <w:r>
        <w:rPr>
          <w:spacing w:val="-14"/>
          <w:sz w:val="21"/>
        </w:rPr>
        <w:t xml:space="preserve"> </w:t>
      </w:r>
      <w:r>
        <w:rPr>
          <w:spacing w:val="-14"/>
          <w:sz w:val="21"/>
        </w:rPr>
        <w:t>支消防水枪的</w:t>
      </w:r>
      <w:r>
        <w:rPr>
          <w:spacing w:val="-14"/>
          <w:sz w:val="21"/>
        </w:rPr>
        <w:t xml:space="preserve"> </w:t>
      </w:r>
      <w:r>
        <w:rPr>
          <w:sz w:val="21"/>
        </w:rPr>
        <w:t>2</w:t>
      </w:r>
      <w:r>
        <w:rPr>
          <w:spacing w:val="-8"/>
          <w:sz w:val="21"/>
        </w:rPr>
        <w:t xml:space="preserve"> </w:t>
      </w:r>
      <w:r>
        <w:rPr>
          <w:spacing w:val="-8"/>
          <w:sz w:val="21"/>
        </w:rPr>
        <w:t>股充实水柱同时达到任何部位的要求，但建筑高度小于或等于</w:t>
      </w:r>
      <w:r>
        <w:rPr>
          <w:spacing w:val="-8"/>
          <w:sz w:val="21"/>
        </w:rPr>
        <w:t xml:space="preserve"> </w:t>
      </w:r>
      <w:r>
        <w:rPr>
          <w:sz w:val="21"/>
        </w:rPr>
        <w:t>24.0m</w:t>
      </w:r>
      <w:r>
        <w:rPr>
          <w:spacing w:val="-7"/>
          <w:sz w:val="21"/>
        </w:rPr>
        <w:t xml:space="preserve"> </w:t>
      </w:r>
      <w:r>
        <w:rPr>
          <w:spacing w:val="-7"/>
          <w:sz w:val="21"/>
        </w:rPr>
        <w:t>且体积小于或等于</w:t>
      </w:r>
      <w:r>
        <w:rPr>
          <w:spacing w:val="-7"/>
          <w:sz w:val="21"/>
        </w:rPr>
        <w:t xml:space="preserve"> </w:t>
      </w:r>
      <w:r>
        <w:rPr>
          <w:sz w:val="21"/>
        </w:rPr>
        <w:t>5000m</w:t>
      </w:r>
      <w:r>
        <w:rPr>
          <w:position w:val="11"/>
          <w:sz w:val="11"/>
        </w:rPr>
        <w:t>3</w:t>
      </w:r>
      <w:r>
        <w:rPr>
          <w:spacing w:val="-26"/>
          <w:position w:val="11"/>
          <w:sz w:val="11"/>
        </w:rPr>
        <w:t xml:space="preserve"> </w:t>
      </w:r>
      <w:r>
        <w:rPr>
          <w:spacing w:val="-3"/>
          <w:sz w:val="21"/>
        </w:rPr>
        <w:t>的多层仓库、建筑高度小于或</w:t>
      </w:r>
      <w:r>
        <w:rPr>
          <w:spacing w:val="-19"/>
          <w:sz w:val="21"/>
        </w:rPr>
        <w:t>等于</w:t>
      </w:r>
      <w:r>
        <w:rPr>
          <w:spacing w:val="-19"/>
          <w:sz w:val="21"/>
        </w:rPr>
        <w:t xml:space="preserve"> </w:t>
      </w:r>
      <w:r>
        <w:rPr>
          <w:sz w:val="21"/>
        </w:rPr>
        <w:t>54m</w:t>
      </w:r>
      <w:r>
        <w:rPr>
          <w:spacing w:val="-11"/>
          <w:sz w:val="21"/>
        </w:rPr>
        <w:t xml:space="preserve"> </w:t>
      </w:r>
      <w:r>
        <w:rPr>
          <w:spacing w:val="-11"/>
          <w:sz w:val="21"/>
        </w:rPr>
        <w:t>且每单元设置一部疏散楼梯的住宅，以及本规范表</w:t>
      </w:r>
      <w:r>
        <w:rPr>
          <w:spacing w:val="-11"/>
          <w:sz w:val="21"/>
        </w:rPr>
        <w:t xml:space="preserve"> </w:t>
      </w:r>
      <w:r>
        <w:rPr>
          <w:sz w:val="21"/>
        </w:rPr>
        <w:t>3.5.2</w:t>
      </w:r>
      <w:r>
        <w:rPr>
          <w:spacing w:val="-15"/>
          <w:sz w:val="21"/>
        </w:rPr>
        <w:t xml:space="preserve"> </w:t>
      </w:r>
      <w:r>
        <w:rPr>
          <w:spacing w:val="-15"/>
          <w:sz w:val="21"/>
        </w:rPr>
        <w:t>中规定可采用</w:t>
      </w:r>
      <w:r>
        <w:rPr>
          <w:spacing w:val="-15"/>
          <w:sz w:val="21"/>
        </w:rPr>
        <w:t xml:space="preserve"> </w:t>
      </w:r>
      <w:r>
        <w:rPr>
          <w:sz w:val="21"/>
        </w:rPr>
        <w:t>1</w:t>
      </w:r>
      <w:r>
        <w:rPr>
          <w:spacing w:val="-10"/>
          <w:sz w:val="21"/>
        </w:rPr>
        <w:t xml:space="preserve"> </w:t>
      </w:r>
      <w:r>
        <w:rPr>
          <w:spacing w:val="-10"/>
          <w:sz w:val="21"/>
        </w:rPr>
        <w:t>支消防水枪</w:t>
      </w:r>
      <w:r>
        <w:rPr>
          <w:spacing w:val="-12"/>
          <w:sz w:val="21"/>
        </w:rPr>
        <w:t>的场所，可采用</w:t>
      </w:r>
      <w:r>
        <w:rPr>
          <w:spacing w:val="-12"/>
          <w:sz w:val="21"/>
        </w:rPr>
        <w:t xml:space="preserve"> </w:t>
      </w:r>
      <w:r>
        <w:rPr>
          <w:sz w:val="21"/>
        </w:rPr>
        <w:t>1</w:t>
      </w:r>
      <w:r>
        <w:rPr>
          <w:spacing w:val="-16"/>
          <w:sz w:val="21"/>
        </w:rPr>
        <w:t xml:space="preserve"> </w:t>
      </w:r>
      <w:r>
        <w:rPr>
          <w:spacing w:val="-16"/>
          <w:sz w:val="21"/>
        </w:rPr>
        <w:t>支消防水枪的</w:t>
      </w:r>
      <w:r>
        <w:rPr>
          <w:spacing w:val="-16"/>
          <w:sz w:val="21"/>
        </w:rPr>
        <w:t xml:space="preserve"> </w:t>
      </w:r>
      <w:r>
        <w:rPr>
          <w:sz w:val="21"/>
        </w:rPr>
        <w:t>1</w:t>
      </w:r>
      <w:r>
        <w:rPr>
          <w:spacing w:val="-9"/>
          <w:sz w:val="21"/>
        </w:rPr>
        <w:t xml:space="preserve"> </w:t>
      </w:r>
      <w:r>
        <w:rPr>
          <w:spacing w:val="-9"/>
          <w:sz w:val="21"/>
        </w:rPr>
        <w:t>股充实水柱到达室内任何部位。</w:t>
      </w:r>
      <w:r>
        <w:rPr>
          <w:sz w:val="21"/>
        </w:rPr>
        <w:t xml:space="preserve"> </w:t>
      </w:r>
    </w:p>
    <w:p w14:paraId="2FCB907D" w14:textId="77777777" w:rsidR="00A71EEF" w:rsidRDefault="0081115D">
      <w:pPr>
        <w:pStyle w:val="a4"/>
        <w:numPr>
          <w:ilvl w:val="2"/>
          <w:numId w:val="242"/>
        </w:numPr>
        <w:tabs>
          <w:tab w:val="left" w:pos="1424"/>
        </w:tabs>
        <w:spacing w:line="267" w:lineRule="exact"/>
        <w:ind w:left="1423"/>
        <w:rPr>
          <w:sz w:val="21"/>
        </w:rPr>
      </w:pPr>
      <w:r>
        <w:rPr>
          <w:spacing w:val="-3"/>
          <w:sz w:val="21"/>
        </w:rPr>
        <w:t>建筑室内消火栓的设置位置应满足火灾扑救要求，并应符合下列规定：</w:t>
      </w:r>
      <w:r>
        <w:rPr>
          <w:spacing w:val="-3"/>
          <w:sz w:val="21"/>
        </w:rPr>
        <w:t xml:space="preserve"> </w:t>
      </w:r>
    </w:p>
    <w:p w14:paraId="2F72E733" w14:textId="77777777" w:rsidR="00A71EEF" w:rsidRDefault="00A71EEF">
      <w:pPr>
        <w:pStyle w:val="a3"/>
        <w:spacing w:before="2"/>
        <w:rPr>
          <w:sz w:val="18"/>
        </w:rPr>
      </w:pPr>
    </w:p>
    <w:p w14:paraId="661C568F" w14:textId="77777777" w:rsidR="00A71EEF" w:rsidRDefault="0081115D">
      <w:pPr>
        <w:pStyle w:val="a4"/>
        <w:numPr>
          <w:ilvl w:val="0"/>
          <w:numId w:val="240"/>
        </w:numPr>
        <w:tabs>
          <w:tab w:val="left" w:pos="1367"/>
        </w:tabs>
        <w:spacing w:line="446" w:lineRule="auto"/>
        <w:ind w:right="1505" w:firstLine="419"/>
        <w:rPr>
          <w:sz w:val="21"/>
        </w:rPr>
      </w:pPr>
      <w:r>
        <w:rPr>
          <w:spacing w:val="-3"/>
          <w:sz w:val="21"/>
        </w:rPr>
        <w:t>室内消火栓应设置在楼梯间及其休息平台和前室、走道等明显易于取用，以及便于火灾扑救的位置；</w:t>
      </w:r>
      <w:r>
        <w:rPr>
          <w:sz w:val="21"/>
        </w:rPr>
        <w:t xml:space="preserve"> </w:t>
      </w:r>
    </w:p>
    <w:p w14:paraId="68318D47" w14:textId="77777777" w:rsidR="00A71EEF" w:rsidRDefault="0081115D">
      <w:pPr>
        <w:pStyle w:val="a4"/>
        <w:numPr>
          <w:ilvl w:val="0"/>
          <w:numId w:val="240"/>
        </w:numPr>
        <w:tabs>
          <w:tab w:val="left" w:pos="1367"/>
        </w:tabs>
        <w:spacing w:line="267" w:lineRule="exact"/>
        <w:ind w:left="1367"/>
        <w:rPr>
          <w:sz w:val="21"/>
        </w:rPr>
      </w:pPr>
      <w:r>
        <w:rPr>
          <w:spacing w:val="-3"/>
          <w:sz w:val="21"/>
        </w:rPr>
        <w:t>住宅的室内消火栓宜设置在楼梯间及其休息平台；</w:t>
      </w:r>
      <w:r>
        <w:rPr>
          <w:sz w:val="21"/>
        </w:rPr>
        <w:t xml:space="preserve"> </w:t>
      </w:r>
    </w:p>
    <w:p w14:paraId="5005DB1F" w14:textId="77777777" w:rsidR="00A71EEF" w:rsidRDefault="00A71EEF">
      <w:pPr>
        <w:pStyle w:val="a3"/>
        <w:spacing w:before="2"/>
        <w:rPr>
          <w:sz w:val="18"/>
        </w:rPr>
      </w:pPr>
    </w:p>
    <w:p w14:paraId="0BB4178C" w14:textId="77777777" w:rsidR="00A71EEF" w:rsidRDefault="0081115D">
      <w:pPr>
        <w:pStyle w:val="a4"/>
        <w:numPr>
          <w:ilvl w:val="0"/>
          <w:numId w:val="240"/>
        </w:numPr>
        <w:tabs>
          <w:tab w:val="left" w:pos="1367"/>
        </w:tabs>
        <w:ind w:left="1367"/>
        <w:rPr>
          <w:sz w:val="21"/>
        </w:rPr>
      </w:pPr>
      <w:r>
        <w:rPr>
          <w:spacing w:val="-3"/>
          <w:sz w:val="21"/>
        </w:rPr>
        <w:t>汽车库内消火栓的设置不应影响汽车的通行和车位的设置，并应确保消火栓的开启；</w:t>
      </w:r>
      <w:r>
        <w:rPr>
          <w:sz w:val="21"/>
        </w:rPr>
        <w:t xml:space="preserve"> </w:t>
      </w:r>
    </w:p>
    <w:p w14:paraId="16F7FCD3" w14:textId="77777777" w:rsidR="00A71EEF" w:rsidRDefault="00A71EEF">
      <w:pPr>
        <w:rPr>
          <w:sz w:val="21"/>
        </w:rPr>
        <w:sectPr w:rsidR="00A71EEF">
          <w:pgSz w:w="11910" w:h="16850"/>
          <w:pgMar w:top="1220" w:right="0" w:bottom="1420" w:left="1260" w:header="0" w:footer="1239" w:gutter="0"/>
          <w:cols w:space="720"/>
        </w:sectPr>
      </w:pPr>
    </w:p>
    <w:p w14:paraId="42AAEF83" w14:textId="77777777" w:rsidR="00A71EEF" w:rsidRDefault="0081115D">
      <w:pPr>
        <w:pStyle w:val="a4"/>
        <w:numPr>
          <w:ilvl w:val="0"/>
          <w:numId w:val="240"/>
        </w:numPr>
        <w:tabs>
          <w:tab w:val="left" w:pos="1367"/>
        </w:tabs>
        <w:spacing w:before="47"/>
        <w:ind w:left="1367"/>
        <w:rPr>
          <w:sz w:val="21"/>
        </w:rPr>
      </w:pPr>
      <w:r>
        <w:rPr>
          <w:spacing w:val="-3"/>
          <w:sz w:val="21"/>
        </w:rPr>
        <w:t>同一楼梯间及其附近不同层设置的消火栓，其平面位置宜相同；</w:t>
      </w:r>
      <w:r>
        <w:rPr>
          <w:sz w:val="21"/>
        </w:rPr>
        <w:t xml:space="preserve"> </w:t>
      </w:r>
    </w:p>
    <w:p w14:paraId="32B34BA8" w14:textId="77777777" w:rsidR="00A71EEF" w:rsidRDefault="00A71EEF">
      <w:pPr>
        <w:pStyle w:val="a3"/>
        <w:rPr>
          <w:sz w:val="18"/>
        </w:rPr>
      </w:pPr>
    </w:p>
    <w:p w14:paraId="236A486B" w14:textId="77777777" w:rsidR="00A71EEF" w:rsidRDefault="0081115D">
      <w:pPr>
        <w:pStyle w:val="a4"/>
        <w:numPr>
          <w:ilvl w:val="0"/>
          <w:numId w:val="240"/>
        </w:numPr>
        <w:tabs>
          <w:tab w:val="left" w:pos="1367"/>
        </w:tabs>
        <w:ind w:left="1367"/>
        <w:rPr>
          <w:sz w:val="21"/>
        </w:rPr>
      </w:pPr>
      <w:r>
        <w:rPr>
          <w:spacing w:val="-3"/>
          <w:sz w:val="21"/>
        </w:rPr>
        <w:t>冷库的室内消火栓应设置在常温穿堂或楼梯间内。</w:t>
      </w:r>
      <w:r>
        <w:rPr>
          <w:sz w:val="21"/>
        </w:rPr>
        <w:t xml:space="preserve"> </w:t>
      </w:r>
    </w:p>
    <w:p w14:paraId="3F690949" w14:textId="77777777" w:rsidR="00A71EEF" w:rsidRDefault="00A71EEF">
      <w:pPr>
        <w:pStyle w:val="a3"/>
        <w:rPr>
          <w:sz w:val="18"/>
        </w:rPr>
      </w:pPr>
    </w:p>
    <w:p w14:paraId="3B961C3F" w14:textId="77777777" w:rsidR="00A71EEF" w:rsidRDefault="0081115D">
      <w:pPr>
        <w:pStyle w:val="a4"/>
        <w:numPr>
          <w:ilvl w:val="2"/>
          <w:numId w:val="242"/>
        </w:numPr>
        <w:tabs>
          <w:tab w:val="left" w:pos="1424"/>
        </w:tabs>
        <w:ind w:left="1423"/>
        <w:rPr>
          <w:sz w:val="21"/>
        </w:rPr>
      </w:pPr>
      <w:r>
        <w:rPr>
          <w:spacing w:val="-3"/>
          <w:sz w:val="21"/>
        </w:rPr>
        <w:t>建筑室内消火栓栓口的安装高度应便于消防水龙带的连接和使用，其距地面高度宜为</w:t>
      </w:r>
    </w:p>
    <w:p w14:paraId="08C677DA" w14:textId="77777777" w:rsidR="00A71EEF" w:rsidRDefault="00A71EEF">
      <w:pPr>
        <w:pStyle w:val="a3"/>
        <w:spacing w:before="1"/>
        <w:rPr>
          <w:sz w:val="18"/>
        </w:rPr>
      </w:pPr>
    </w:p>
    <w:p w14:paraId="40F0AD4D" w14:textId="77777777" w:rsidR="00A71EEF" w:rsidRDefault="0081115D">
      <w:pPr>
        <w:pStyle w:val="a3"/>
        <w:spacing w:before="1"/>
        <w:ind w:left="418"/>
      </w:pPr>
      <w:r>
        <w:t>1.1m</w:t>
      </w:r>
      <w:r>
        <w:t>；其出水方向应便于消防水带的敷设，并宜与设置消火栓的墙面成</w:t>
      </w:r>
      <w:r>
        <w:t xml:space="preserve"> 90º</w:t>
      </w:r>
      <w:r>
        <w:t>角或向下。</w:t>
      </w:r>
      <w:r>
        <w:t xml:space="preserve"> </w:t>
      </w:r>
    </w:p>
    <w:p w14:paraId="6C354B45" w14:textId="77777777" w:rsidR="00A71EEF" w:rsidRDefault="00A71EEF">
      <w:pPr>
        <w:pStyle w:val="a3"/>
        <w:spacing w:before="12"/>
        <w:rPr>
          <w:sz w:val="17"/>
        </w:rPr>
      </w:pPr>
    </w:p>
    <w:p w14:paraId="53959046" w14:textId="77777777" w:rsidR="00A71EEF" w:rsidRDefault="0081115D">
      <w:pPr>
        <w:pStyle w:val="a4"/>
        <w:numPr>
          <w:ilvl w:val="2"/>
          <w:numId w:val="242"/>
        </w:numPr>
        <w:tabs>
          <w:tab w:val="left" w:pos="1424"/>
        </w:tabs>
        <w:spacing w:line="446" w:lineRule="auto"/>
        <w:ind w:right="1657" w:firstLine="422"/>
        <w:rPr>
          <w:sz w:val="21"/>
        </w:rPr>
      </w:pPr>
      <w:r>
        <w:rPr>
          <w:spacing w:val="-3"/>
          <w:sz w:val="21"/>
        </w:rPr>
        <w:t>设有室内消火栓的建筑应设置带有压力表的试验消火栓，其设置位置应符合下列规定：</w:t>
      </w:r>
      <w:r>
        <w:rPr>
          <w:sz w:val="21"/>
        </w:rPr>
        <w:t xml:space="preserve"> </w:t>
      </w:r>
    </w:p>
    <w:p w14:paraId="2BCCB129" w14:textId="77777777" w:rsidR="00A71EEF" w:rsidRDefault="0081115D">
      <w:pPr>
        <w:pStyle w:val="a4"/>
        <w:numPr>
          <w:ilvl w:val="0"/>
          <w:numId w:val="239"/>
        </w:numPr>
        <w:tabs>
          <w:tab w:val="left" w:pos="1367"/>
        </w:tabs>
        <w:spacing w:line="446" w:lineRule="auto"/>
        <w:ind w:right="1505" w:firstLine="419"/>
        <w:rPr>
          <w:sz w:val="21"/>
        </w:rPr>
      </w:pPr>
      <w:r>
        <w:rPr>
          <w:spacing w:val="-3"/>
          <w:sz w:val="21"/>
        </w:rPr>
        <w:t>多层和高层建筑应在其屋顶设置，严寒、寒冷等冬季结冰地区可设置在顶层出口处或水箱间内等便于操作和防冻的位置；</w:t>
      </w:r>
      <w:r>
        <w:rPr>
          <w:sz w:val="21"/>
        </w:rPr>
        <w:t xml:space="preserve"> </w:t>
      </w:r>
    </w:p>
    <w:p w14:paraId="66B542AA" w14:textId="77777777" w:rsidR="00A71EEF" w:rsidRDefault="0081115D">
      <w:pPr>
        <w:pStyle w:val="a4"/>
        <w:numPr>
          <w:ilvl w:val="0"/>
          <w:numId w:val="239"/>
        </w:numPr>
        <w:tabs>
          <w:tab w:val="left" w:pos="1367"/>
        </w:tabs>
        <w:spacing w:line="267" w:lineRule="exact"/>
        <w:ind w:left="1367"/>
        <w:rPr>
          <w:sz w:val="21"/>
        </w:rPr>
      </w:pPr>
      <w:r>
        <w:rPr>
          <w:spacing w:val="-3"/>
          <w:sz w:val="21"/>
        </w:rPr>
        <w:t>单层建筑宜设置在水力最不利处，且应靠近出入口。</w:t>
      </w:r>
      <w:r>
        <w:rPr>
          <w:sz w:val="21"/>
        </w:rPr>
        <w:t xml:space="preserve"> </w:t>
      </w:r>
    </w:p>
    <w:p w14:paraId="52CB6C9E" w14:textId="77777777" w:rsidR="00A71EEF" w:rsidRDefault="00A71EEF">
      <w:pPr>
        <w:pStyle w:val="a3"/>
        <w:spacing w:before="2"/>
        <w:rPr>
          <w:sz w:val="18"/>
        </w:rPr>
      </w:pPr>
    </w:p>
    <w:p w14:paraId="6112C2B6" w14:textId="77777777" w:rsidR="00A71EEF" w:rsidRDefault="0081115D">
      <w:pPr>
        <w:pStyle w:val="a4"/>
        <w:numPr>
          <w:ilvl w:val="2"/>
          <w:numId w:val="242"/>
        </w:numPr>
        <w:tabs>
          <w:tab w:val="left" w:pos="1530"/>
        </w:tabs>
        <w:ind w:left="1529" w:hanging="690"/>
        <w:rPr>
          <w:sz w:val="21"/>
        </w:rPr>
      </w:pPr>
      <w:r>
        <w:rPr>
          <w:spacing w:val="-3"/>
          <w:sz w:val="21"/>
        </w:rPr>
        <w:t>室内消火栓宜按直线距离计算其布置间距，并应符合下列规定：</w:t>
      </w:r>
      <w:r>
        <w:rPr>
          <w:sz w:val="21"/>
        </w:rPr>
        <w:t xml:space="preserve"> </w:t>
      </w:r>
    </w:p>
    <w:p w14:paraId="27C4ADBD" w14:textId="77777777" w:rsidR="00A71EEF" w:rsidRDefault="00A71EEF">
      <w:pPr>
        <w:pStyle w:val="a3"/>
        <w:spacing w:before="12"/>
        <w:rPr>
          <w:sz w:val="17"/>
        </w:rPr>
      </w:pPr>
    </w:p>
    <w:p w14:paraId="3F49FB89" w14:textId="77777777" w:rsidR="00A71EEF" w:rsidRDefault="0081115D">
      <w:pPr>
        <w:pStyle w:val="a3"/>
        <w:ind w:left="838"/>
      </w:pPr>
      <w:r>
        <w:t>消火栓按</w:t>
      </w:r>
      <w:r>
        <w:t xml:space="preserve"> 2 </w:t>
      </w:r>
      <w:r>
        <w:t>支消防水枪的</w:t>
      </w:r>
      <w:r>
        <w:t xml:space="preserve"> 2 </w:t>
      </w:r>
      <w:r>
        <w:t>股充实水柱布置的建筑物，消火栓的布置间距不应大于</w:t>
      </w:r>
      <w:r>
        <w:t xml:space="preserve"> 30.0m</w:t>
      </w:r>
      <w:r>
        <w:t>；</w:t>
      </w:r>
      <w:r>
        <w:t xml:space="preserve"> </w:t>
      </w:r>
    </w:p>
    <w:p w14:paraId="14438260" w14:textId="77777777" w:rsidR="00A71EEF" w:rsidRDefault="00A71EEF">
      <w:pPr>
        <w:pStyle w:val="a3"/>
        <w:spacing w:before="12"/>
        <w:rPr>
          <w:sz w:val="17"/>
        </w:rPr>
      </w:pPr>
    </w:p>
    <w:p w14:paraId="7CED5AEA" w14:textId="77777777" w:rsidR="00A71EEF" w:rsidRDefault="0081115D">
      <w:pPr>
        <w:pStyle w:val="a3"/>
        <w:ind w:left="838"/>
      </w:pPr>
      <w:r>
        <w:t>消火栓按</w:t>
      </w:r>
      <w:r>
        <w:t xml:space="preserve"> 1 </w:t>
      </w:r>
      <w:r>
        <w:t>支消防水枪的</w:t>
      </w:r>
      <w:r>
        <w:t xml:space="preserve"> 1 </w:t>
      </w:r>
      <w:r>
        <w:t>股充实水柱布置的的建筑物，消火栓的布置间距不应大于</w:t>
      </w:r>
    </w:p>
    <w:p w14:paraId="38C5AC22" w14:textId="77777777" w:rsidR="00A71EEF" w:rsidRDefault="00A71EEF">
      <w:pPr>
        <w:pStyle w:val="a3"/>
        <w:spacing w:before="2"/>
        <w:rPr>
          <w:sz w:val="18"/>
        </w:rPr>
      </w:pPr>
    </w:p>
    <w:p w14:paraId="12696833" w14:textId="77777777" w:rsidR="00A71EEF" w:rsidRDefault="0081115D">
      <w:pPr>
        <w:pStyle w:val="a3"/>
        <w:ind w:left="418"/>
      </w:pPr>
      <w:r>
        <w:t>50.0m</w:t>
      </w:r>
      <w:r>
        <w:t>。</w:t>
      </w:r>
      <w:r>
        <w:t xml:space="preserve"> </w:t>
      </w:r>
    </w:p>
    <w:p w14:paraId="70CF29D1" w14:textId="77777777" w:rsidR="00A71EEF" w:rsidRDefault="00A71EEF">
      <w:pPr>
        <w:pStyle w:val="a3"/>
        <w:rPr>
          <w:sz w:val="18"/>
        </w:rPr>
      </w:pPr>
    </w:p>
    <w:p w14:paraId="56842718" w14:textId="77777777" w:rsidR="00A71EEF" w:rsidRDefault="0081115D">
      <w:pPr>
        <w:pStyle w:val="a4"/>
        <w:numPr>
          <w:ilvl w:val="2"/>
          <w:numId w:val="242"/>
        </w:numPr>
        <w:tabs>
          <w:tab w:val="left" w:pos="1530"/>
        </w:tabs>
        <w:ind w:left="1529" w:hanging="690"/>
        <w:rPr>
          <w:sz w:val="21"/>
        </w:rPr>
      </w:pPr>
      <w:r>
        <w:rPr>
          <w:spacing w:val="-3"/>
          <w:sz w:val="21"/>
        </w:rPr>
        <w:t>消防软管卷盘和轻便水龙的用水量可不计入消防用水总量。</w:t>
      </w:r>
      <w:r>
        <w:rPr>
          <w:sz w:val="21"/>
        </w:rPr>
        <w:t xml:space="preserve"> </w:t>
      </w:r>
    </w:p>
    <w:p w14:paraId="26DC9A6A" w14:textId="77777777" w:rsidR="00A71EEF" w:rsidRDefault="00A71EEF">
      <w:pPr>
        <w:pStyle w:val="a3"/>
        <w:rPr>
          <w:sz w:val="18"/>
        </w:rPr>
      </w:pPr>
    </w:p>
    <w:p w14:paraId="781C8E0D" w14:textId="77777777" w:rsidR="00A71EEF" w:rsidRDefault="0081115D">
      <w:pPr>
        <w:pStyle w:val="a4"/>
        <w:numPr>
          <w:ilvl w:val="2"/>
          <w:numId w:val="242"/>
        </w:numPr>
        <w:tabs>
          <w:tab w:val="left" w:pos="1530"/>
        </w:tabs>
        <w:ind w:left="1529" w:hanging="690"/>
        <w:rPr>
          <w:sz w:val="21"/>
        </w:rPr>
      </w:pPr>
      <w:r>
        <w:rPr>
          <w:spacing w:val="-3"/>
          <w:sz w:val="21"/>
        </w:rPr>
        <w:t>室内消火栓栓口压力和消防水枪充实水柱，应符合下列规定：</w:t>
      </w:r>
      <w:r>
        <w:rPr>
          <w:sz w:val="21"/>
        </w:rPr>
        <w:t xml:space="preserve"> </w:t>
      </w:r>
    </w:p>
    <w:p w14:paraId="7A8275BD" w14:textId="77777777" w:rsidR="00A71EEF" w:rsidRDefault="00A71EEF">
      <w:pPr>
        <w:pStyle w:val="a3"/>
        <w:spacing w:before="1"/>
        <w:rPr>
          <w:sz w:val="18"/>
        </w:rPr>
      </w:pPr>
    </w:p>
    <w:p w14:paraId="79EBDEF3" w14:textId="77777777" w:rsidR="00A71EEF" w:rsidRDefault="0081115D">
      <w:pPr>
        <w:pStyle w:val="a3"/>
        <w:spacing w:before="1"/>
        <w:ind w:left="838"/>
      </w:pPr>
      <w:r>
        <w:t>消火栓栓口动压力不应大于</w:t>
      </w:r>
      <w:r>
        <w:t xml:space="preserve"> 0.50MPa</w:t>
      </w:r>
      <w:r>
        <w:t>，当大于</w:t>
      </w:r>
      <w:r>
        <w:t xml:space="preserve"> 0.70MPa </w:t>
      </w:r>
      <w:r>
        <w:t>时必须设置减压装置；</w:t>
      </w:r>
      <w:r>
        <w:t xml:space="preserve"> </w:t>
      </w:r>
    </w:p>
    <w:p w14:paraId="68D503E4" w14:textId="77777777" w:rsidR="00A71EEF" w:rsidRDefault="00A71EEF">
      <w:pPr>
        <w:pStyle w:val="a3"/>
        <w:spacing w:before="12"/>
        <w:rPr>
          <w:sz w:val="17"/>
        </w:rPr>
      </w:pPr>
    </w:p>
    <w:p w14:paraId="4F032628" w14:textId="77777777" w:rsidR="00A71EEF" w:rsidRDefault="0081115D">
      <w:pPr>
        <w:pStyle w:val="a3"/>
        <w:spacing w:line="446" w:lineRule="auto"/>
        <w:ind w:left="418" w:right="1505" w:firstLine="419"/>
      </w:pPr>
      <w:r>
        <w:rPr>
          <w:spacing w:val="-5"/>
        </w:rPr>
        <w:t>高层建筑、厂房、库房和室内净空高度超过</w:t>
      </w:r>
      <w:r>
        <w:rPr>
          <w:spacing w:val="-5"/>
        </w:rPr>
        <w:t xml:space="preserve"> </w:t>
      </w:r>
      <w:r>
        <w:t>8m</w:t>
      </w:r>
      <w:r>
        <w:rPr>
          <w:spacing w:val="-7"/>
        </w:rPr>
        <w:t xml:space="preserve"> </w:t>
      </w:r>
      <w:r>
        <w:rPr>
          <w:spacing w:val="-7"/>
        </w:rPr>
        <w:t>的民用建筑等场所，消火栓栓口动压不应小</w:t>
      </w:r>
      <w:r>
        <w:rPr>
          <w:spacing w:val="-30"/>
        </w:rPr>
        <w:t>于</w:t>
      </w:r>
      <w:r>
        <w:rPr>
          <w:spacing w:val="-30"/>
        </w:rPr>
        <w:t xml:space="preserve"> </w:t>
      </w:r>
      <w:r>
        <w:t>0.35MPa</w:t>
      </w:r>
      <w:r>
        <w:rPr>
          <w:spacing w:val="-7"/>
        </w:rPr>
        <w:t>，且消防水枪充实水柱应按</w:t>
      </w:r>
      <w:r>
        <w:rPr>
          <w:spacing w:val="-7"/>
        </w:rPr>
        <w:t xml:space="preserve"> </w:t>
      </w:r>
      <w:r>
        <w:t>13m</w:t>
      </w:r>
      <w:r>
        <w:rPr>
          <w:spacing w:val="-8"/>
        </w:rPr>
        <w:t xml:space="preserve"> </w:t>
      </w:r>
      <w:r>
        <w:rPr>
          <w:spacing w:val="-8"/>
        </w:rPr>
        <w:t>计算；其他场所，消火栓栓口动压不应小于</w:t>
      </w:r>
      <w:r>
        <w:rPr>
          <w:spacing w:val="-8"/>
        </w:rPr>
        <w:t>0.25MPa</w:t>
      </w:r>
      <w:r>
        <w:rPr>
          <w:spacing w:val="-9"/>
        </w:rPr>
        <w:t>，且消防水枪充实水柱应按</w:t>
      </w:r>
      <w:r>
        <w:rPr>
          <w:spacing w:val="-9"/>
        </w:rPr>
        <w:t xml:space="preserve"> </w:t>
      </w:r>
      <w:r>
        <w:t>10m</w:t>
      </w:r>
      <w:r>
        <w:rPr>
          <w:spacing w:val="-15"/>
        </w:rPr>
        <w:t xml:space="preserve"> </w:t>
      </w:r>
      <w:r>
        <w:rPr>
          <w:spacing w:val="-15"/>
        </w:rPr>
        <w:t>计算。</w:t>
      </w:r>
      <w:r>
        <w:t xml:space="preserve"> </w:t>
      </w:r>
    </w:p>
    <w:p w14:paraId="46DBAEB0" w14:textId="77777777" w:rsidR="00A71EEF" w:rsidRDefault="0081115D">
      <w:pPr>
        <w:pStyle w:val="a4"/>
        <w:numPr>
          <w:ilvl w:val="2"/>
          <w:numId w:val="242"/>
        </w:numPr>
        <w:tabs>
          <w:tab w:val="left" w:pos="1530"/>
        </w:tabs>
        <w:spacing w:line="446" w:lineRule="auto"/>
        <w:ind w:right="1551" w:firstLine="422"/>
        <w:rPr>
          <w:sz w:val="21"/>
        </w:rPr>
      </w:pPr>
      <w:r>
        <w:rPr>
          <w:spacing w:val="-8"/>
          <w:sz w:val="21"/>
        </w:rPr>
        <w:t>建筑高度不大于</w:t>
      </w:r>
      <w:r>
        <w:rPr>
          <w:spacing w:val="-8"/>
          <w:sz w:val="21"/>
        </w:rPr>
        <w:t xml:space="preserve"> </w:t>
      </w:r>
      <w:r>
        <w:rPr>
          <w:sz w:val="21"/>
        </w:rPr>
        <w:t>27m</w:t>
      </w:r>
      <w:r>
        <w:rPr>
          <w:spacing w:val="-8"/>
          <w:sz w:val="21"/>
        </w:rPr>
        <w:t xml:space="preserve"> </w:t>
      </w:r>
      <w:r>
        <w:rPr>
          <w:spacing w:val="-8"/>
          <w:sz w:val="21"/>
        </w:rPr>
        <w:t>的住宅，当设置消火栓时，可采用干式消防竖管，并应符合下</w:t>
      </w:r>
      <w:r>
        <w:rPr>
          <w:spacing w:val="-6"/>
          <w:sz w:val="21"/>
        </w:rPr>
        <w:t>列规定：</w:t>
      </w:r>
      <w:r>
        <w:rPr>
          <w:sz w:val="21"/>
        </w:rPr>
        <w:t xml:space="preserve"> </w:t>
      </w:r>
    </w:p>
    <w:p w14:paraId="74C96DD3" w14:textId="77777777" w:rsidR="00A71EEF" w:rsidRDefault="0081115D">
      <w:pPr>
        <w:pStyle w:val="a3"/>
        <w:spacing w:line="446" w:lineRule="auto"/>
        <w:ind w:left="838" w:right="3606"/>
      </w:pPr>
      <w:r>
        <w:t>干式消防竖管宜设置在楼梯间休息平台，且仅应配置消火栓栓口；</w:t>
      </w:r>
      <w:r>
        <w:t xml:space="preserve"> </w:t>
      </w:r>
      <w:r>
        <w:t>干式消防竖管应设置消防车供水的接口；</w:t>
      </w:r>
      <w:r>
        <w:t xml:space="preserve"> </w:t>
      </w:r>
    </w:p>
    <w:p w14:paraId="6E873A53" w14:textId="77777777" w:rsidR="00A71EEF" w:rsidRDefault="0081115D">
      <w:pPr>
        <w:pStyle w:val="a3"/>
        <w:spacing w:line="446" w:lineRule="auto"/>
        <w:ind w:left="838" w:right="4026"/>
      </w:pPr>
      <w:r>
        <w:t>消防车供水接口应设置在首层便于消防车接近和安全的地点；</w:t>
      </w:r>
      <w:r>
        <w:t xml:space="preserve"> </w:t>
      </w:r>
      <w:r>
        <w:t>竖管顶端应设置自动排气阀。</w:t>
      </w:r>
      <w:r>
        <w:t xml:space="preserve"> </w:t>
      </w:r>
    </w:p>
    <w:p w14:paraId="54D579F6" w14:textId="77777777" w:rsidR="00A71EEF" w:rsidRDefault="0081115D">
      <w:pPr>
        <w:pStyle w:val="a4"/>
        <w:numPr>
          <w:ilvl w:val="2"/>
          <w:numId w:val="242"/>
        </w:numPr>
        <w:tabs>
          <w:tab w:val="left" w:pos="1530"/>
        </w:tabs>
        <w:ind w:left="1529" w:hanging="690"/>
        <w:rPr>
          <w:sz w:val="21"/>
        </w:rPr>
      </w:pPr>
      <w:r>
        <w:rPr>
          <w:spacing w:val="-6"/>
          <w:sz w:val="21"/>
        </w:rPr>
        <w:t>住宅户内宜在生活给水管道上预留一个接</w:t>
      </w:r>
      <w:r>
        <w:rPr>
          <w:spacing w:val="-6"/>
          <w:sz w:val="21"/>
        </w:rPr>
        <w:t xml:space="preserve"> </w:t>
      </w:r>
      <w:r>
        <w:rPr>
          <w:sz w:val="21"/>
        </w:rPr>
        <w:t>DN15</w:t>
      </w:r>
      <w:r>
        <w:rPr>
          <w:spacing w:val="-9"/>
          <w:sz w:val="21"/>
        </w:rPr>
        <w:t xml:space="preserve"> </w:t>
      </w:r>
      <w:r>
        <w:rPr>
          <w:spacing w:val="-9"/>
          <w:sz w:val="21"/>
        </w:rPr>
        <w:t>消防软管或轻便水龙的接口。</w:t>
      </w:r>
      <w:r>
        <w:rPr>
          <w:sz w:val="21"/>
        </w:rPr>
        <w:t xml:space="preserve"> </w:t>
      </w:r>
    </w:p>
    <w:p w14:paraId="1CB4BD4B" w14:textId="77777777" w:rsidR="00A71EEF" w:rsidRDefault="00A71EEF">
      <w:pPr>
        <w:pStyle w:val="a3"/>
        <w:spacing w:before="9"/>
        <w:rPr>
          <w:sz w:val="17"/>
        </w:rPr>
      </w:pPr>
    </w:p>
    <w:p w14:paraId="5CCEA170" w14:textId="77777777" w:rsidR="00A71EEF" w:rsidRDefault="0081115D">
      <w:pPr>
        <w:pStyle w:val="a3"/>
        <w:ind w:left="838"/>
      </w:pPr>
      <w:r>
        <w:t xml:space="preserve"> </w:t>
      </w:r>
    </w:p>
    <w:p w14:paraId="7E14328E" w14:textId="77777777" w:rsidR="00A71EEF" w:rsidRDefault="00A71EEF">
      <w:pPr>
        <w:sectPr w:rsidR="00A71EEF">
          <w:pgSz w:w="11910" w:h="16850"/>
          <w:pgMar w:top="1220" w:right="0" w:bottom="1420" w:left="1260" w:header="0" w:footer="1239" w:gutter="0"/>
          <w:cols w:space="720"/>
        </w:sectPr>
      </w:pPr>
    </w:p>
    <w:p w14:paraId="67E46EDD" w14:textId="77777777" w:rsidR="00A71EEF" w:rsidRDefault="0081115D">
      <w:pPr>
        <w:pStyle w:val="a4"/>
        <w:numPr>
          <w:ilvl w:val="2"/>
          <w:numId w:val="242"/>
        </w:numPr>
        <w:tabs>
          <w:tab w:val="left" w:pos="1530"/>
        </w:tabs>
        <w:spacing w:before="47" w:line="446" w:lineRule="auto"/>
        <w:ind w:right="1549" w:firstLine="422"/>
        <w:rPr>
          <w:sz w:val="21"/>
        </w:rPr>
      </w:pPr>
      <w:r>
        <w:rPr>
          <w:spacing w:val="-3"/>
          <w:sz w:val="21"/>
        </w:rPr>
        <w:t>跃层住宅和商业网点的室内消火栓应至少满足一股充实水柱到达室内任何部位，并宜设置在户门附近。</w:t>
      </w:r>
      <w:r>
        <w:rPr>
          <w:sz w:val="21"/>
        </w:rPr>
        <w:t xml:space="preserve"> </w:t>
      </w:r>
    </w:p>
    <w:p w14:paraId="417E0919" w14:textId="77777777" w:rsidR="00A71EEF" w:rsidRDefault="0081115D">
      <w:pPr>
        <w:pStyle w:val="a4"/>
        <w:numPr>
          <w:ilvl w:val="2"/>
          <w:numId w:val="242"/>
        </w:numPr>
        <w:tabs>
          <w:tab w:val="left" w:pos="1530"/>
        </w:tabs>
        <w:spacing w:line="446" w:lineRule="auto"/>
        <w:ind w:left="838" w:right="3966" w:firstLine="2"/>
        <w:rPr>
          <w:sz w:val="21"/>
        </w:rPr>
      </w:pPr>
      <w:r>
        <w:rPr>
          <w:spacing w:val="-3"/>
          <w:sz w:val="21"/>
        </w:rPr>
        <w:t>城市交通隧道室内消火栓系统的设置应符合下列规定：</w:t>
      </w:r>
      <w:r>
        <w:rPr>
          <w:spacing w:val="-3"/>
          <w:sz w:val="21"/>
        </w:rPr>
        <w:t xml:space="preserve"> </w:t>
      </w:r>
      <w:r>
        <w:rPr>
          <w:spacing w:val="-3"/>
          <w:sz w:val="21"/>
        </w:rPr>
        <w:t>隧道内宜设置独立的消防给水系统；</w:t>
      </w:r>
      <w:r>
        <w:rPr>
          <w:sz w:val="21"/>
        </w:rPr>
        <w:t xml:space="preserve"> </w:t>
      </w:r>
    </w:p>
    <w:p w14:paraId="1B2FE4BE" w14:textId="77777777" w:rsidR="00A71EEF" w:rsidRDefault="0081115D">
      <w:pPr>
        <w:pStyle w:val="a3"/>
        <w:spacing w:line="446" w:lineRule="auto"/>
        <w:ind w:left="418" w:right="1392" w:firstLine="419"/>
      </w:pPr>
      <w:r>
        <w:t>管道内的消防供水压力应保证用水量达到最大时，最低压力不应小于</w:t>
      </w:r>
      <w:r>
        <w:t xml:space="preserve"> 0.30MPa</w:t>
      </w:r>
      <w:r>
        <w:t>，但当消火栓栓口处的出水压力超过</w:t>
      </w:r>
      <w:r>
        <w:t xml:space="preserve"> 0.70MPa </w:t>
      </w:r>
      <w:r>
        <w:t>时，应设置减压设施；</w:t>
      </w:r>
      <w:r>
        <w:t xml:space="preserve"> </w:t>
      </w:r>
    </w:p>
    <w:p w14:paraId="17670CA4" w14:textId="77777777" w:rsidR="00A71EEF" w:rsidRDefault="0081115D">
      <w:pPr>
        <w:pStyle w:val="a3"/>
        <w:ind w:left="838"/>
      </w:pPr>
      <w:r>
        <w:t>在隧道出入口处应设置消防水泵接合器和室外消火栓；</w:t>
      </w:r>
      <w:r>
        <w:t xml:space="preserve"> </w:t>
      </w:r>
    </w:p>
    <w:p w14:paraId="675CAB38" w14:textId="77777777" w:rsidR="00A71EEF" w:rsidRDefault="00A71EEF">
      <w:pPr>
        <w:pStyle w:val="a3"/>
        <w:spacing w:before="11"/>
        <w:rPr>
          <w:sz w:val="17"/>
        </w:rPr>
      </w:pPr>
    </w:p>
    <w:p w14:paraId="692173A9" w14:textId="77777777" w:rsidR="00A71EEF" w:rsidRDefault="0081115D">
      <w:pPr>
        <w:pStyle w:val="a3"/>
        <w:spacing w:line="446" w:lineRule="auto"/>
        <w:ind w:left="838" w:right="1352"/>
      </w:pPr>
      <w:r>
        <w:rPr>
          <w:spacing w:val="-7"/>
        </w:rPr>
        <w:t>消火栓的间距不应大于</w:t>
      </w:r>
      <w:r>
        <w:rPr>
          <w:spacing w:val="-7"/>
        </w:rPr>
        <w:t xml:space="preserve"> </w:t>
      </w:r>
      <w:r>
        <w:t>50m</w:t>
      </w:r>
      <w:r>
        <w:t>，</w:t>
      </w:r>
      <w:r>
        <w:rPr>
          <w:spacing w:val="-6"/>
        </w:rPr>
        <w:t>双向同行车道或单行通行但大于</w:t>
      </w:r>
      <w:r>
        <w:rPr>
          <w:spacing w:val="-6"/>
        </w:rPr>
        <w:t xml:space="preserve"> </w:t>
      </w:r>
      <w:r>
        <w:t>3</w:t>
      </w:r>
      <w:r>
        <w:rPr>
          <w:spacing w:val="-8"/>
        </w:rPr>
        <w:t xml:space="preserve"> </w:t>
      </w:r>
      <w:r>
        <w:rPr>
          <w:spacing w:val="-8"/>
        </w:rPr>
        <w:t>车道时，应双面间隔设置；</w:t>
      </w:r>
      <w:r>
        <w:rPr>
          <w:spacing w:val="-8"/>
        </w:rPr>
        <w:t xml:space="preserve"> </w:t>
      </w:r>
      <w:r>
        <w:rPr>
          <w:spacing w:val="-5"/>
        </w:rPr>
        <w:t>隧道内允许通行危险化学品的机动车，且隧道长度超过</w:t>
      </w:r>
      <w:r>
        <w:rPr>
          <w:spacing w:val="-5"/>
        </w:rPr>
        <w:t xml:space="preserve"> </w:t>
      </w:r>
      <w:r>
        <w:t>3000m</w:t>
      </w:r>
      <w:r>
        <w:rPr>
          <w:spacing w:val="-8"/>
        </w:rPr>
        <w:t xml:space="preserve"> </w:t>
      </w:r>
      <w:r>
        <w:rPr>
          <w:spacing w:val="-8"/>
        </w:rPr>
        <w:t>时，应配置水雾或泡沫消防</w:t>
      </w:r>
    </w:p>
    <w:p w14:paraId="435EFEF3" w14:textId="77777777" w:rsidR="00A71EEF" w:rsidRDefault="0081115D">
      <w:pPr>
        <w:pStyle w:val="a3"/>
        <w:ind w:left="418"/>
      </w:pPr>
      <w:r>
        <w:t>水枪。</w:t>
      </w:r>
      <w:r>
        <w:t xml:space="preserve"> </w:t>
      </w:r>
    </w:p>
    <w:p w14:paraId="2E6780FA" w14:textId="77777777" w:rsidR="00A71EEF" w:rsidRDefault="00A71EEF">
      <w:pPr>
        <w:pStyle w:val="a3"/>
        <w:spacing w:before="8"/>
        <w:rPr>
          <w:sz w:val="15"/>
        </w:rPr>
      </w:pPr>
    </w:p>
    <w:p w14:paraId="53CBC259" w14:textId="77777777" w:rsidR="00A71EEF" w:rsidRDefault="0081115D">
      <w:pPr>
        <w:pStyle w:val="4"/>
      </w:pPr>
      <w:r>
        <w:t xml:space="preserve">8 </w:t>
      </w:r>
      <w:r>
        <w:t>管网</w:t>
      </w:r>
      <w:r>
        <w:rPr>
          <w:w w:val="99"/>
        </w:rPr>
        <w:t xml:space="preserve"> </w:t>
      </w:r>
    </w:p>
    <w:p w14:paraId="4AEBADC4" w14:textId="77777777" w:rsidR="00A71EEF" w:rsidRDefault="00A71EEF">
      <w:pPr>
        <w:pStyle w:val="a3"/>
        <w:spacing w:before="3"/>
        <w:rPr>
          <w:b/>
          <w:sz w:val="17"/>
        </w:rPr>
      </w:pPr>
    </w:p>
    <w:p w14:paraId="4E762573" w14:textId="77777777" w:rsidR="00A71EEF" w:rsidRDefault="0081115D">
      <w:pPr>
        <w:pStyle w:val="a4"/>
        <w:numPr>
          <w:ilvl w:val="1"/>
          <w:numId w:val="238"/>
        </w:numPr>
        <w:tabs>
          <w:tab w:val="left" w:pos="1160"/>
        </w:tabs>
        <w:spacing w:before="1"/>
        <w:rPr>
          <w:sz w:val="21"/>
        </w:rPr>
      </w:pPr>
      <w:r>
        <w:rPr>
          <w:spacing w:val="-3"/>
          <w:sz w:val="21"/>
        </w:rPr>
        <w:t>一般规定</w:t>
      </w:r>
      <w:r>
        <w:rPr>
          <w:sz w:val="21"/>
        </w:rPr>
        <w:t xml:space="preserve"> </w:t>
      </w:r>
    </w:p>
    <w:p w14:paraId="2587802D" w14:textId="77777777" w:rsidR="00A71EEF" w:rsidRDefault="00A71EEF">
      <w:pPr>
        <w:pStyle w:val="a3"/>
        <w:spacing w:before="1"/>
        <w:rPr>
          <w:sz w:val="18"/>
        </w:rPr>
      </w:pPr>
    </w:p>
    <w:p w14:paraId="5A4CF831" w14:textId="77777777" w:rsidR="00A71EEF" w:rsidRDefault="0081115D">
      <w:pPr>
        <w:pStyle w:val="a4"/>
        <w:numPr>
          <w:ilvl w:val="2"/>
          <w:numId w:val="238"/>
        </w:numPr>
        <w:tabs>
          <w:tab w:val="left" w:pos="1424"/>
        </w:tabs>
        <w:spacing w:before="1"/>
        <w:rPr>
          <w:sz w:val="21"/>
        </w:rPr>
      </w:pPr>
      <w:r>
        <w:rPr>
          <w:spacing w:val="-3"/>
          <w:sz w:val="21"/>
        </w:rPr>
        <w:t>当市政给水管网设有市政消火栓时，应符合下列规定：</w:t>
      </w:r>
      <w:r>
        <w:rPr>
          <w:sz w:val="21"/>
        </w:rPr>
        <w:t xml:space="preserve"> </w:t>
      </w:r>
    </w:p>
    <w:p w14:paraId="55DA5255" w14:textId="77777777" w:rsidR="00A71EEF" w:rsidRDefault="00A71EEF">
      <w:pPr>
        <w:pStyle w:val="a3"/>
        <w:spacing w:before="12"/>
        <w:rPr>
          <w:sz w:val="17"/>
        </w:rPr>
      </w:pPr>
    </w:p>
    <w:p w14:paraId="33955B40" w14:textId="77777777" w:rsidR="00A71EEF" w:rsidRDefault="0081115D">
      <w:pPr>
        <w:pStyle w:val="a3"/>
        <w:spacing w:line="446" w:lineRule="auto"/>
        <w:ind w:left="418" w:right="1609" w:firstLine="419"/>
      </w:pPr>
      <w:r>
        <w:rPr>
          <w:spacing w:val="-5"/>
        </w:rPr>
        <w:t>设有市政消火栓的市政给水管网宜为环状管网，但当城镇人口小于</w:t>
      </w:r>
      <w:r>
        <w:rPr>
          <w:spacing w:val="-5"/>
        </w:rPr>
        <w:t xml:space="preserve"> </w:t>
      </w:r>
      <w:r>
        <w:t>2.5</w:t>
      </w:r>
      <w:r>
        <w:rPr>
          <w:spacing w:val="-7"/>
        </w:rPr>
        <w:t xml:space="preserve"> </w:t>
      </w:r>
      <w:r>
        <w:rPr>
          <w:spacing w:val="-7"/>
        </w:rPr>
        <w:t>万人时，可为枝状</w:t>
      </w:r>
      <w:r>
        <w:rPr>
          <w:spacing w:val="-6"/>
        </w:rPr>
        <w:t>管网；</w:t>
      </w:r>
      <w:r>
        <w:t xml:space="preserve"> </w:t>
      </w:r>
    </w:p>
    <w:p w14:paraId="03DA6DF6" w14:textId="77777777" w:rsidR="00A71EEF" w:rsidRDefault="0081115D">
      <w:pPr>
        <w:pStyle w:val="a3"/>
        <w:spacing w:line="446" w:lineRule="auto"/>
        <w:ind w:left="418" w:right="1510" w:firstLine="419"/>
      </w:pPr>
      <w:r>
        <w:rPr>
          <w:spacing w:val="-5"/>
        </w:rPr>
        <w:t>接市政消火栓的环状给水管网的管径不应小于</w:t>
      </w:r>
      <w:r>
        <w:rPr>
          <w:spacing w:val="-5"/>
        </w:rPr>
        <w:t xml:space="preserve"> </w:t>
      </w:r>
      <w:r>
        <w:t>DN150</w:t>
      </w:r>
      <w:r>
        <w:rPr>
          <w:spacing w:val="-6"/>
        </w:rPr>
        <w:t>，枝状管网的管径不宜小于</w:t>
      </w:r>
      <w:r>
        <w:rPr>
          <w:spacing w:val="-6"/>
        </w:rPr>
        <w:t xml:space="preserve"> </w:t>
      </w:r>
      <w:r>
        <w:t>DN200</w:t>
      </w:r>
      <w:r>
        <w:rPr>
          <w:spacing w:val="-3"/>
        </w:rPr>
        <w:t>。当</w:t>
      </w:r>
      <w:r>
        <w:rPr>
          <w:spacing w:val="-8"/>
        </w:rPr>
        <w:t>城镇人口小于</w:t>
      </w:r>
      <w:r>
        <w:rPr>
          <w:spacing w:val="-8"/>
        </w:rPr>
        <w:t xml:space="preserve"> </w:t>
      </w:r>
      <w:r>
        <w:t>2.5</w:t>
      </w:r>
      <w:r>
        <w:rPr>
          <w:spacing w:val="-8"/>
        </w:rPr>
        <w:t xml:space="preserve"> </w:t>
      </w:r>
      <w:r>
        <w:rPr>
          <w:spacing w:val="-8"/>
        </w:rPr>
        <w:t>万人时，接市政消火栓的给水管网的管径可适当减少，环状管网时不应小于</w:t>
      </w:r>
      <w:r>
        <w:rPr>
          <w:spacing w:val="-8"/>
        </w:rPr>
        <w:t>DN100</w:t>
      </w:r>
      <w:r>
        <w:rPr>
          <w:spacing w:val="-9"/>
        </w:rPr>
        <w:t>，枝状管网时不宜小于</w:t>
      </w:r>
      <w:r>
        <w:rPr>
          <w:spacing w:val="-9"/>
        </w:rPr>
        <w:t xml:space="preserve"> </w:t>
      </w:r>
      <w:r>
        <w:t>DN150</w:t>
      </w:r>
      <w:r>
        <w:t>；</w:t>
      </w:r>
      <w:r>
        <w:t xml:space="preserve"> </w:t>
      </w:r>
    </w:p>
    <w:p w14:paraId="6DB92352" w14:textId="77777777" w:rsidR="00A71EEF" w:rsidRDefault="0081115D">
      <w:pPr>
        <w:pStyle w:val="a3"/>
        <w:spacing w:line="446" w:lineRule="auto"/>
        <w:ind w:left="418" w:right="1450" w:firstLine="419"/>
      </w:pPr>
      <w:r>
        <w:rPr>
          <w:spacing w:val="-3"/>
        </w:rPr>
        <w:t>工业园区、商务区和居住区等区域采用两路消防供水，当其中一条引入管发生故障时，其</w:t>
      </w:r>
      <w:r>
        <w:rPr>
          <w:spacing w:val="-3"/>
        </w:rPr>
        <w:t xml:space="preserve"> </w:t>
      </w:r>
      <w:r>
        <w:rPr>
          <w:spacing w:val="-5"/>
        </w:rPr>
        <w:t>余引入管在保证满足</w:t>
      </w:r>
      <w:r>
        <w:rPr>
          <w:spacing w:val="-5"/>
        </w:rPr>
        <w:t xml:space="preserve"> </w:t>
      </w:r>
      <w:r>
        <w:t>70</w:t>
      </w:r>
      <w:r>
        <w:rPr>
          <w:spacing w:val="-3"/>
        </w:rPr>
        <w:t>%</w:t>
      </w:r>
      <w:r>
        <w:rPr>
          <w:spacing w:val="-3"/>
        </w:rPr>
        <w:t>生产生活给水的最大小时设计流量条件下，应仍能满足本规范规定的消防给水设计流量。</w:t>
      </w:r>
      <w:r>
        <w:t xml:space="preserve"> </w:t>
      </w:r>
    </w:p>
    <w:p w14:paraId="728D0064" w14:textId="77777777" w:rsidR="00A71EEF" w:rsidRDefault="0081115D">
      <w:pPr>
        <w:pStyle w:val="a4"/>
        <w:numPr>
          <w:ilvl w:val="2"/>
          <w:numId w:val="238"/>
        </w:numPr>
        <w:tabs>
          <w:tab w:val="left" w:pos="1424"/>
        </w:tabs>
        <w:spacing w:line="446" w:lineRule="auto"/>
        <w:ind w:left="838" w:right="5757" w:firstLine="2"/>
        <w:rPr>
          <w:sz w:val="21"/>
        </w:rPr>
      </w:pPr>
      <w:r>
        <w:rPr>
          <w:spacing w:val="-3"/>
          <w:sz w:val="21"/>
        </w:rPr>
        <w:t>下列消防给水应采用环状给水管网：</w:t>
      </w:r>
      <w:r>
        <w:rPr>
          <w:spacing w:val="-3"/>
          <w:sz w:val="21"/>
        </w:rPr>
        <w:t xml:space="preserve"> </w:t>
      </w:r>
      <w:r>
        <w:rPr>
          <w:spacing w:val="-3"/>
          <w:sz w:val="21"/>
        </w:rPr>
        <w:t>向两栋或两座及以上建筑供水时；</w:t>
      </w:r>
      <w:r>
        <w:rPr>
          <w:sz w:val="21"/>
        </w:rPr>
        <w:t xml:space="preserve"> </w:t>
      </w:r>
    </w:p>
    <w:p w14:paraId="2654E30F" w14:textId="77777777" w:rsidR="00A71EEF" w:rsidRDefault="0081115D">
      <w:pPr>
        <w:pStyle w:val="a3"/>
        <w:spacing w:line="267" w:lineRule="exact"/>
        <w:ind w:left="838"/>
      </w:pPr>
      <w:r>
        <w:t>向两种及以上水灭火系统供水时；</w:t>
      </w:r>
      <w:r>
        <w:t xml:space="preserve"> </w:t>
      </w:r>
    </w:p>
    <w:p w14:paraId="21976B20" w14:textId="77777777" w:rsidR="00A71EEF" w:rsidRDefault="00A71EEF">
      <w:pPr>
        <w:pStyle w:val="a3"/>
        <w:rPr>
          <w:sz w:val="18"/>
        </w:rPr>
      </w:pPr>
    </w:p>
    <w:p w14:paraId="48F578B3" w14:textId="77777777" w:rsidR="00A71EEF" w:rsidRDefault="0081115D">
      <w:pPr>
        <w:pStyle w:val="a3"/>
        <w:spacing w:line="446" w:lineRule="auto"/>
        <w:ind w:left="838" w:right="4866"/>
      </w:pPr>
      <w:r>
        <w:t>采用设有高位消防水箱的临时高压消防给水系统时；</w:t>
      </w:r>
      <w:r>
        <w:t xml:space="preserve"> </w:t>
      </w:r>
      <w:r>
        <w:t>向两个及以上报警阀控制的自动水灭火系统供水时。</w:t>
      </w:r>
      <w:r>
        <w:t xml:space="preserve"> </w:t>
      </w:r>
    </w:p>
    <w:p w14:paraId="0C244F36" w14:textId="77777777" w:rsidR="00A71EEF" w:rsidRDefault="0081115D">
      <w:pPr>
        <w:pStyle w:val="a4"/>
        <w:numPr>
          <w:ilvl w:val="2"/>
          <w:numId w:val="238"/>
        </w:numPr>
        <w:tabs>
          <w:tab w:val="left" w:pos="1424"/>
        </w:tabs>
        <w:spacing w:line="446" w:lineRule="auto"/>
        <w:ind w:left="418" w:right="1445" w:firstLine="422"/>
        <w:rPr>
          <w:sz w:val="21"/>
        </w:rPr>
      </w:pPr>
      <w:r>
        <w:rPr>
          <w:spacing w:val="-3"/>
          <w:sz w:val="21"/>
        </w:rPr>
        <w:t>向室外、室内环状消防给水管网供水的输水干管不应少于两条，当其中一条发生故障时，其余的输水干管应仍能满足消防给水设计流量。</w:t>
      </w:r>
      <w:r>
        <w:rPr>
          <w:spacing w:val="-3"/>
          <w:sz w:val="21"/>
        </w:rPr>
        <w:t xml:space="preserve"> </w:t>
      </w:r>
    </w:p>
    <w:p w14:paraId="67FF7879" w14:textId="77777777" w:rsidR="00A71EEF" w:rsidRDefault="00A71EEF">
      <w:pPr>
        <w:spacing w:line="446" w:lineRule="auto"/>
        <w:rPr>
          <w:sz w:val="21"/>
        </w:rPr>
        <w:sectPr w:rsidR="00A71EEF">
          <w:pgSz w:w="11910" w:h="16850"/>
          <w:pgMar w:top="1220" w:right="0" w:bottom="1420" w:left="1260" w:header="0" w:footer="1239" w:gutter="0"/>
          <w:cols w:space="720"/>
        </w:sectPr>
      </w:pPr>
    </w:p>
    <w:p w14:paraId="4EBD9A17" w14:textId="77777777" w:rsidR="00A71EEF" w:rsidRDefault="0081115D">
      <w:pPr>
        <w:pStyle w:val="a4"/>
        <w:numPr>
          <w:ilvl w:val="2"/>
          <w:numId w:val="238"/>
        </w:numPr>
        <w:tabs>
          <w:tab w:val="left" w:pos="1424"/>
        </w:tabs>
        <w:spacing w:before="47"/>
        <w:rPr>
          <w:sz w:val="21"/>
        </w:rPr>
      </w:pPr>
      <w:r>
        <w:rPr>
          <w:spacing w:val="-3"/>
          <w:sz w:val="21"/>
        </w:rPr>
        <w:t>室外消防给水管网应符合下列规定：</w:t>
      </w:r>
      <w:r>
        <w:rPr>
          <w:sz w:val="21"/>
        </w:rPr>
        <w:t xml:space="preserve"> </w:t>
      </w:r>
    </w:p>
    <w:p w14:paraId="5ACD3FEB" w14:textId="77777777" w:rsidR="00A71EEF" w:rsidRDefault="00A71EEF">
      <w:pPr>
        <w:pStyle w:val="a3"/>
        <w:rPr>
          <w:sz w:val="18"/>
        </w:rPr>
      </w:pPr>
    </w:p>
    <w:p w14:paraId="0F19F2DD" w14:textId="77777777" w:rsidR="00A71EEF" w:rsidRDefault="0081115D">
      <w:pPr>
        <w:pStyle w:val="a3"/>
        <w:spacing w:line="446" w:lineRule="auto"/>
        <w:ind w:left="418" w:right="1609" w:firstLine="419"/>
      </w:pPr>
      <w:r>
        <w:t>室外消防给水采用两路消防供水时应采用环状管网，但当采用一路消防供水时可采用枝状管网；</w:t>
      </w:r>
      <w:r>
        <w:t xml:space="preserve"> </w:t>
      </w:r>
    </w:p>
    <w:p w14:paraId="7186CF9D" w14:textId="77777777" w:rsidR="00A71EEF" w:rsidRDefault="0081115D">
      <w:pPr>
        <w:pStyle w:val="a3"/>
        <w:ind w:left="838"/>
      </w:pPr>
      <w:r>
        <w:t>管道的直径应根据流量、流速和压力要求经计算确定，但不应小于</w:t>
      </w:r>
      <w:r>
        <w:t xml:space="preserve"> DN100</w:t>
      </w:r>
      <w:r>
        <w:t>；</w:t>
      </w:r>
      <w:r>
        <w:t xml:space="preserve"> </w:t>
      </w:r>
    </w:p>
    <w:p w14:paraId="5BD7B73D" w14:textId="77777777" w:rsidR="00A71EEF" w:rsidRDefault="00A71EEF">
      <w:pPr>
        <w:pStyle w:val="a3"/>
        <w:spacing w:before="12"/>
        <w:rPr>
          <w:sz w:val="17"/>
        </w:rPr>
      </w:pPr>
    </w:p>
    <w:p w14:paraId="7D9D8D14" w14:textId="77777777" w:rsidR="00A71EEF" w:rsidRDefault="0081115D">
      <w:pPr>
        <w:pStyle w:val="a3"/>
        <w:spacing w:line="446" w:lineRule="auto"/>
        <w:ind w:left="838" w:right="1664"/>
      </w:pPr>
      <w:r>
        <w:rPr>
          <w:spacing w:val="-2"/>
        </w:rPr>
        <w:t>消防给水管道应采用阀门分成若干独立段，每段内室外消</w:t>
      </w:r>
      <w:r>
        <w:rPr>
          <w:spacing w:val="-2"/>
        </w:rPr>
        <w:t>火栓的数量不宜超过</w:t>
      </w:r>
      <w:r>
        <w:rPr>
          <w:spacing w:val="-2"/>
        </w:rPr>
        <w:t xml:space="preserve"> </w:t>
      </w:r>
      <w:r>
        <w:t>5</w:t>
      </w:r>
      <w:r>
        <w:rPr>
          <w:spacing w:val="17"/>
        </w:rPr>
        <w:t xml:space="preserve"> </w:t>
      </w:r>
      <w:r>
        <w:rPr>
          <w:spacing w:val="17"/>
        </w:rPr>
        <w:t>个；</w:t>
      </w:r>
      <w:r>
        <w:rPr>
          <w:spacing w:val="17"/>
        </w:rPr>
        <w:t xml:space="preserve"> </w:t>
      </w:r>
      <w:r>
        <w:rPr>
          <w:spacing w:val="-3"/>
        </w:rPr>
        <w:t>管道设计的其他要求应符合现行国家标准《室外给水设计规范》</w:t>
      </w:r>
      <w:r>
        <w:t>GB</w:t>
      </w:r>
      <w:r>
        <w:rPr>
          <w:spacing w:val="14"/>
        </w:rPr>
        <w:t xml:space="preserve"> </w:t>
      </w:r>
      <w:r>
        <w:t>50013</w:t>
      </w:r>
      <w:r>
        <w:rPr>
          <w:spacing w:val="-9"/>
        </w:rPr>
        <w:t xml:space="preserve"> </w:t>
      </w:r>
      <w:r>
        <w:rPr>
          <w:spacing w:val="-9"/>
        </w:rPr>
        <w:t>的有关规定。</w:t>
      </w:r>
      <w:r>
        <w:rPr>
          <w:spacing w:val="-9"/>
        </w:rPr>
        <w:t xml:space="preserve"> </w:t>
      </w:r>
    </w:p>
    <w:p w14:paraId="203A2404" w14:textId="77777777" w:rsidR="00A71EEF" w:rsidRDefault="0081115D">
      <w:pPr>
        <w:pStyle w:val="a4"/>
        <w:numPr>
          <w:ilvl w:val="2"/>
          <w:numId w:val="238"/>
        </w:numPr>
        <w:tabs>
          <w:tab w:val="left" w:pos="1424"/>
        </w:tabs>
        <w:rPr>
          <w:sz w:val="21"/>
        </w:rPr>
      </w:pPr>
      <w:r>
        <w:rPr>
          <w:spacing w:val="-3"/>
          <w:sz w:val="21"/>
        </w:rPr>
        <w:t>室内消防给水管网应符合下列规定：</w:t>
      </w:r>
      <w:r>
        <w:rPr>
          <w:sz w:val="21"/>
        </w:rPr>
        <w:t xml:space="preserve"> </w:t>
      </w:r>
    </w:p>
    <w:p w14:paraId="718468B8" w14:textId="77777777" w:rsidR="00A71EEF" w:rsidRDefault="00A71EEF">
      <w:pPr>
        <w:pStyle w:val="a3"/>
        <w:rPr>
          <w:sz w:val="18"/>
        </w:rPr>
      </w:pPr>
    </w:p>
    <w:p w14:paraId="7FB24EAE" w14:textId="77777777" w:rsidR="00A71EEF" w:rsidRDefault="0081115D">
      <w:pPr>
        <w:pStyle w:val="a3"/>
        <w:spacing w:line="446" w:lineRule="auto"/>
        <w:ind w:left="418" w:right="1391" w:firstLine="419"/>
      </w:pPr>
      <w:r>
        <w:t>室内消火栓系统管网应布置成环状，当室外消火栓设计流量不大于</w:t>
      </w:r>
      <w:r>
        <w:t xml:space="preserve"> 20L/s</w:t>
      </w:r>
      <w:r>
        <w:t>，且室内消火栓不超过</w:t>
      </w:r>
      <w:r>
        <w:t xml:space="preserve"> 10 </w:t>
      </w:r>
      <w:r>
        <w:t>个时，除本规范第</w:t>
      </w:r>
      <w:r>
        <w:t xml:space="preserve"> 8.1.2 </w:t>
      </w:r>
      <w:r>
        <w:t>条外，可布置成枝状；</w:t>
      </w:r>
      <w:r>
        <w:t xml:space="preserve"> </w:t>
      </w:r>
    </w:p>
    <w:p w14:paraId="76816284" w14:textId="77777777" w:rsidR="00A71EEF" w:rsidRDefault="0081115D">
      <w:pPr>
        <w:pStyle w:val="a3"/>
        <w:spacing w:line="446" w:lineRule="auto"/>
        <w:ind w:left="418" w:right="1609" w:firstLine="419"/>
      </w:pPr>
      <w:r>
        <w:rPr>
          <w:spacing w:val="-3"/>
        </w:rPr>
        <w:t>当由室外生产生活消防合用系统直接供水时，合用系统除应满足室外消防给水设计流量以及生产和生活最大小时设计流量的要求外，还应满足室内消防给水系统的设计流量和压力要</w:t>
      </w:r>
      <w:r>
        <w:rPr>
          <w:spacing w:val="-3"/>
        </w:rPr>
        <w:t xml:space="preserve"> </w:t>
      </w:r>
      <w:r>
        <w:rPr>
          <w:spacing w:val="-3"/>
        </w:rPr>
        <w:t>求；</w:t>
      </w:r>
      <w:r>
        <w:t xml:space="preserve"> </w:t>
      </w:r>
    </w:p>
    <w:p w14:paraId="5CAD6527" w14:textId="77777777" w:rsidR="00A71EEF" w:rsidRDefault="0081115D">
      <w:pPr>
        <w:pStyle w:val="a3"/>
        <w:spacing w:line="446" w:lineRule="auto"/>
        <w:ind w:left="418" w:right="1609" w:firstLine="419"/>
      </w:pPr>
      <w:r>
        <w:t>室内消防管道管径应根据系统设计流量、流速和压力要求经计算确定；室内消火栓竖管管径应根据竖管最低流量经计算确定，但不应小于</w:t>
      </w:r>
      <w:r>
        <w:t xml:space="preserve"> DN100</w:t>
      </w:r>
      <w:r>
        <w:t>。</w:t>
      </w:r>
      <w:r>
        <w:t xml:space="preserve"> </w:t>
      </w:r>
    </w:p>
    <w:p w14:paraId="030E651C" w14:textId="77777777" w:rsidR="00A71EEF" w:rsidRDefault="0081115D">
      <w:pPr>
        <w:pStyle w:val="a4"/>
        <w:numPr>
          <w:ilvl w:val="2"/>
          <w:numId w:val="238"/>
        </w:numPr>
        <w:tabs>
          <w:tab w:val="left" w:pos="1424"/>
        </w:tabs>
        <w:spacing w:line="267" w:lineRule="exact"/>
        <w:rPr>
          <w:sz w:val="21"/>
        </w:rPr>
      </w:pPr>
      <w:r>
        <w:rPr>
          <w:spacing w:val="-3"/>
          <w:sz w:val="21"/>
        </w:rPr>
        <w:t>室内消火栓环状给水管道检修时应符合下列规定：</w:t>
      </w:r>
      <w:r>
        <w:rPr>
          <w:sz w:val="21"/>
        </w:rPr>
        <w:t xml:space="preserve"> </w:t>
      </w:r>
    </w:p>
    <w:p w14:paraId="5A4991C7" w14:textId="77777777" w:rsidR="00A71EEF" w:rsidRDefault="00A71EEF">
      <w:pPr>
        <w:pStyle w:val="a3"/>
        <w:spacing w:before="1"/>
        <w:rPr>
          <w:sz w:val="18"/>
        </w:rPr>
      </w:pPr>
    </w:p>
    <w:p w14:paraId="536A5862" w14:textId="77777777" w:rsidR="00A71EEF" w:rsidRDefault="0081115D">
      <w:pPr>
        <w:pStyle w:val="a3"/>
        <w:ind w:left="838"/>
      </w:pPr>
      <w:r>
        <w:t>室内消火栓竖管应保证检修管道时关闭停用的竖管不超过</w:t>
      </w:r>
      <w:r>
        <w:t xml:space="preserve"> 1 </w:t>
      </w:r>
      <w:r>
        <w:t>根，当竖管超过</w:t>
      </w:r>
      <w:r>
        <w:t xml:space="preserve"> 4 </w:t>
      </w:r>
      <w:r>
        <w:t>根时，可关</w:t>
      </w:r>
    </w:p>
    <w:p w14:paraId="31CD9752" w14:textId="77777777" w:rsidR="00A71EEF" w:rsidRDefault="00A71EEF">
      <w:pPr>
        <w:pStyle w:val="a3"/>
        <w:spacing w:before="12"/>
        <w:rPr>
          <w:sz w:val="17"/>
        </w:rPr>
      </w:pPr>
    </w:p>
    <w:p w14:paraId="3732F7F6" w14:textId="77777777" w:rsidR="00A71EEF" w:rsidRDefault="0081115D">
      <w:pPr>
        <w:pStyle w:val="a3"/>
        <w:ind w:left="418"/>
      </w:pPr>
      <w:r>
        <w:t>闭不相邻的</w:t>
      </w:r>
      <w:r>
        <w:t xml:space="preserve"> 2 </w:t>
      </w:r>
      <w:r>
        <w:t>根；</w:t>
      </w:r>
      <w:r>
        <w:t xml:space="preserve"> </w:t>
      </w:r>
    </w:p>
    <w:p w14:paraId="395F63AC" w14:textId="77777777" w:rsidR="00A71EEF" w:rsidRDefault="00A71EEF">
      <w:pPr>
        <w:pStyle w:val="a3"/>
        <w:spacing w:before="12"/>
        <w:rPr>
          <w:sz w:val="17"/>
        </w:rPr>
      </w:pPr>
    </w:p>
    <w:p w14:paraId="1B7F8604" w14:textId="77777777" w:rsidR="00A71EEF" w:rsidRDefault="0081115D">
      <w:pPr>
        <w:pStyle w:val="a3"/>
        <w:spacing w:before="1"/>
        <w:ind w:left="838"/>
      </w:pPr>
      <w:r>
        <w:t>每根竖管与供水横干管相接处应设置阀门。</w:t>
      </w:r>
      <w:r>
        <w:t xml:space="preserve"> </w:t>
      </w:r>
    </w:p>
    <w:p w14:paraId="06451AB4" w14:textId="77777777" w:rsidR="00A71EEF" w:rsidRDefault="00A71EEF">
      <w:pPr>
        <w:pStyle w:val="a3"/>
        <w:spacing w:before="1"/>
        <w:rPr>
          <w:sz w:val="18"/>
        </w:rPr>
      </w:pPr>
    </w:p>
    <w:p w14:paraId="241E174D" w14:textId="77777777" w:rsidR="00A71EEF" w:rsidRDefault="0081115D">
      <w:pPr>
        <w:pStyle w:val="a4"/>
        <w:numPr>
          <w:ilvl w:val="2"/>
          <w:numId w:val="238"/>
        </w:numPr>
        <w:tabs>
          <w:tab w:val="left" w:pos="1424"/>
        </w:tabs>
        <w:spacing w:line="446" w:lineRule="auto"/>
        <w:ind w:left="418" w:right="1445" w:firstLine="422"/>
        <w:rPr>
          <w:sz w:val="21"/>
        </w:rPr>
      </w:pPr>
      <w:r>
        <w:rPr>
          <w:spacing w:val="-3"/>
          <w:sz w:val="21"/>
        </w:rPr>
        <w:t>室内消火栓给水管网宜与自动喷水等其他水灭火系统的管网分开设置；当合用消防泵时，供水管路沿水流方向应在报警阀前分开设置。</w:t>
      </w:r>
      <w:r>
        <w:rPr>
          <w:sz w:val="21"/>
        </w:rPr>
        <w:t xml:space="preserve"> </w:t>
      </w:r>
    </w:p>
    <w:p w14:paraId="3170A962" w14:textId="77777777" w:rsidR="00A71EEF" w:rsidRDefault="0081115D">
      <w:pPr>
        <w:pStyle w:val="a4"/>
        <w:numPr>
          <w:ilvl w:val="2"/>
          <w:numId w:val="238"/>
        </w:numPr>
        <w:tabs>
          <w:tab w:val="left" w:pos="1424"/>
        </w:tabs>
        <w:spacing w:line="446" w:lineRule="auto"/>
        <w:ind w:left="418" w:right="1606" w:firstLine="422"/>
        <w:rPr>
          <w:sz w:val="21"/>
        </w:rPr>
      </w:pPr>
      <w:r>
        <w:rPr>
          <w:spacing w:val="-5"/>
          <w:sz w:val="21"/>
        </w:rPr>
        <w:t>消防给水管道的设计流速不宜大于</w:t>
      </w:r>
      <w:r>
        <w:rPr>
          <w:spacing w:val="-5"/>
          <w:sz w:val="21"/>
        </w:rPr>
        <w:t xml:space="preserve"> </w:t>
      </w:r>
      <w:r>
        <w:rPr>
          <w:sz w:val="21"/>
        </w:rPr>
        <w:t>2.5m/s</w:t>
      </w:r>
      <w:r>
        <w:rPr>
          <w:spacing w:val="-3"/>
          <w:sz w:val="21"/>
        </w:rPr>
        <w:t>，自动水灭火系统管道设计流速，应符合现行国家标准《自动喷水灭火系统设计规范》</w:t>
      </w:r>
      <w:r>
        <w:rPr>
          <w:sz w:val="21"/>
        </w:rPr>
        <w:t>GB</w:t>
      </w:r>
      <w:r>
        <w:rPr>
          <w:spacing w:val="32"/>
          <w:sz w:val="21"/>
        </w:rPr>
        <w:t xml:space="preserve">  </w:t>
      </w:r>
      <w:r>
        <w:rPr>
          <w:sz w:val="21"/>
        </w:rPr>
        <w:t>50084</w:t>
      </w:r>
      <w:r>
        <w:rPr>
          <w:spacing w:val="-3"/>
          <w:sz w:val="21"/>
        </w:rPr>
        <w:t>、《泡沫灭火系统设计规范》</w:t>
      </w:r>
      <w:r>
        <w:rPr>
          <w:sz w:val="21"/>
        </w:rPr>
        <w:t>GB 50151</w:t>
      </w:r>
      <w:r>
        <w:rPr>
          <w:spacing w:val="-3"/>
          <w:sz w:val="21"/>
        </w:rPr>
        <w:t>、《水喷雾灭火系统设计规范》</w:t>
      </w:r>
      <w:r>
        <w:rPr>
          <w:sz w:val="21"/>
        </w:rPr>
        <w:t>GB</w:t>
      </w:r>
      <w:r>
        <w:rPr>
          <w:spacing w:val="10"/>
          <w:sz w:val="21"/>
        </w:rPr>
        <w:t xml:space="preserve"> </w:t>
      </w:r>
      <w:r>
        <w:rPr>
          <w:sz w:val="21"/>
        </w:rPr>
        <w:t>50219</w:t>
      </w:r>
      <w:r>
        <w:rPr>
          <w:spacing w:val="-3"/>
          <w:sz w:val="21"/>
        </w:rPr>
        <w:t xml:space="preserve"> </w:t>
      </w:r>
      <w:r>
        <w:rPr>
          <w:spacing w:val="-3"/>
          <w:sz w:val="21"/>
        </w:rPr>
        <w:t>和《固定消防炮灭火系统设计规范》</w:t>
      </w:r>
      <w:r>
        <w:rPr>
          <w:sz w:val="21"/>
        </w:rPr>
        <w:t>GB</w:t>
      </w:r>
      <w:r>
        <w:rPr>
          <w:spacing w:val="11"/>
          <w:sz w:val="21"/>
        </w:rPr>
        <w:t xml:space="preserve"> </w:t>
      </w:r>
      <w:r>
        <w:rPr>
          <w:sz w:val="21"/>
        </w:rPr>
        <w:t xml:space="preserve">50338 </w:t>
      </w:r>
      <w:r>
        <w:rPr>
          <w:spacing w:val="-6"/>
          <w:sz w:val="21"/>
        </w:rPr>
        <w:t>的有关规定，但任何消防管道的给水流速不应大于</w:t>
      </w:r>
      <w:r>
        <w:rPr>
          <w:spacing w:val="-6"/>
          <w:sz w:val="21"/>
        </w:rPr>
        <w:t xml:space="preserve"> </w:t>
      </w:r>
      <w:r>
        <w:rPr>
          <w:sz w:val="21"/>
        </w:rPr>
        <w:t>7m/s</w:t>
      </w:r>
      <w:r>
        <w:rPr>
          <w:spacing w:val="-3"/>
          <w:sz w:val="21"/>
        </w:rPr>
        <w:t>。</w:t>
      </w:r>
      <w:r>
        <w:rPr>
          <w:sz w:val="21"/>
        </w:rPr>
        <w:t xml:space="preserve"> </w:t>
      </w:r>
    </w:p>
    <w:p w14:paraId="4A1EE839" w14:textId="77777777" w:rsidR="00A71EEF" w:rsidRDefault="0081115D">
      <w:pPr>
        <w:pStyle w:val="a4"/>
        <w:numPr>
          <w:ilvl w:val="1"/>
          <w:numId w:val="238"/>
        </w:numPr>
        <w:tabs>
          <w:tab w:val="left" w:pos="1159"/>
        </w:tabs>
        <w:spacing w:line="269" w:lineRule="exact"/>
        <w:ind w:left="1158" w:hanging="319"/>
        <w:rPr>
          <w:sz w:val="21"/>
        </w:rPr>
      </w:pPr>
      <w:r>
        <w:rPr>
          <w:spacing w:val="-3"/>
          <w:sz w:val="21"/>
        </w:rPr>
        <w:t>管道设计</w:t>
      </w:r>
      <w:r>
        <w:rPr>
          <w:sz w:val="21"/>
        </w:rPr>
        <w:t xml:space="preserve"> </w:t>
      </w:r>
    </w:p>
    <w:p w14:paraId="1EBFA176" w14:textId="77777777" w:rsidR="00A71EEF" w:rsidRDefault="00A71EEF">
      <w:pPr>
        <w:pStyle w:val="a3"/>
        <w:spacing w:before="11"/>
        <w:rPr>
          <w:sz w:val="17"/>
        </w:rPr>
      </w:pPr>
    </w:p>
    <w:p w14:paraId="38A1DBAC" w14:textId="77777777" w:rsidR="00A71EEF" w:rsidRDefault="0081115D">
      <w:pPr>
        <w:pStyle w:val="a4"/>
        <w:numPr>
          <w:ilvl w:val="2"/>
          <w:numId w:val="238"/>
        </w:numPr>
        <w:tabs>
          <w:tab w:val="left" w:pos="1424"/>
        </w:tabs>
        <w:spacing w:line="446" w:lineRule="auto"/>
        <w:ind w:left="418" w:right="1445" w:firstLine="422"/>
        <w:rPr>
          <w:sz w:val="21"/>
        </w:rPr>
      </w:pPr>
      <w:r>
        <w:rPr>
          <w:spacing w:val="-3"/>
          <w:sz w:val="21"/>
        </w:rPr>
        <w:t>消防给水系统中采用的设备、器材、管材管件、阀门和配件等系统组件的产品工作压力等级，应大于消防给水系统的系统工作压力，且应保证系统在可能最大运行压力时安全可</w:t>
      </w:r>
    </w:p>
    <w:p w14:paraId="34752AFB" w14:textId="77777777" w:rsidR="00A71EEF" w:rsidRDefault="0081115D">
      <w:pPr>
        <w:pStyle w:val="a3"/>
        <w:ind w:left="418"/>
      </w:pPr>
      <w:r>
        <w:t>靠。</w:t>
      </w:r>
      <w:r>
        <w:t xml:space="preserve"> </w:t>
      </w:r>
    </w:p>
    <w:p w14:paraId="0DFE9C54" w14:textId="77777777" w:rsidR="00A71EEF" w:rsidRDefault="00A71EEF">
      <w:pPr>
        <w:sectPr w:rsidR="00A71EEF">
          <w:pgSz w:w="11910" w:h="16850"/>
          <w:pgMar w:top="1220" w:right="0" w:bottom="1420" w:left="1260" w:header="0" w:footer="1239" w:gutter="0"/>
          <w:cols w:space="720"/>
        </w:sectPr>
      </w:pPr>
    </w:p>
    <w:p w14:paraId="7BBFFE61" w14:textId="77777777" w:rsidR="00A71EEF" w:rsidRDefault="0081115D">
      <w:pPr>
        <w:pStyle w:val="a4"/>
        <w:numPr>
          <w:ilvl w:val="2"/>
          <w:numId w:val="238"/>
        </w:numPr>
        <w:tabs>
          <w:tab w:val="left" w:pos="1371"/>
        </w:tabs>
        <w:spacing w:before="47" w:line="446" w:lineRule="auto"/>
        <w:ind w:left="418" w:right="1604" w:firstLine="422"/>
        <w:rPr>
          <w:sz w:val="21"/>
        </w:rPr>
      </w:pPr>
      <w:r>
        <w:rPr>
          <w:spacing w:val="-3"/>
          <w:sz w:val="21"/>
        </w:rPr>
        <w:t>低压消防给水系统的系统工作压力应根据市政给水管网和其他给水管网等的系统工</w:t>
      </w:r>
      <w:r>
        <w:rPr>
          <w:spacing w:val="-8"/>
          <w:sz w:val="21"/>
        </w:rPr>
        <w:t>作压力确定，且不应小于</w:t>
      </w:r>
      <w:r>
        <w:rPr>
          <w:spacing w:val="-8"/>
          <w:sz w:val="21"/>
        </w:rPr>
        <w:t xml:space="preserve"> </w:t>
      </w:r>
      <w:r>
        <w:rPr>
          <w:sz w:val="21"/>
        </w:rPr>
        <w:t>0.60MPa</w:t>
      </w:r>
      <w:r>
        <w:rPr>
          <w:spacing w:val="-3"/>
          <w:sz w:val="21"/>
        </w:rPr>
        <w:t>。</w:t>
      </w:r>
      <w:r>
        <w:rPr>
          <w:sz w:val="21"/>
        </w:rPr>
        <w:t xml:space="preserve"> </w:t>
      </w:r>
    </w:p>
    <w:p w14:paraId="0F8ED477" w14:textId="77777777" w:rsidR="00A71EEF" w:rsidRDefault="0081115D">
      <w:pPr>
        <w:pStyle w:val="a4"/>
        <w:numPr>
          <w:ilvl w:val="2"/>
          <w:numId w:val="238"/>
        </w:numPr>
        <w:tabs>
          <w:tab w:val="left" w:pos="1424"/>
        </w:tabs>
        <w:spacing w:line="446" w:lineRule="auto"/>
        <w:ind w:left="418" w:right="1445" w:firstLine="422"/>
        <w:rPr>
          <w:sz w:val="21"/>
        </w:rPr>
      </w:pPr>
      <w:r>
        <w:rPr>
          <w:spacing w:val="-3"/>
          <w:sz w:val="21"/>
        </w:rPr>
        <w:t>高压和临时高压消防给水系统的系统工作压力应根据系统在供水时，可能的最大运行供水压力确定，并应符合下列规定：</w:t>
      </w:r>
      <w:r>
        <w:rPr>
          <w:sz w:val="21"/>
        </w:rPr>
        <w:t xml:space="preserve"> </w:t>
      </w:r>
    </w:p>
    <w:p w14:paraId="75798B34" w14:textId="77777777" w:rsidR="00A71EEF" w:rsidRDefault="0081115D">
      <w:pPr>
        <w:pStyle w:val="a3"/>
        <w:spacing w:line="446" w:lineRule="auto"/>
        <w:ind w:left="418" w:right="1609" w:firstLine="419"/>
      </w:pPr>
      <w:r>
        <w:rPr>
          <w:spacing w:val="-3"/>
        </w:rPr>
        <w:t>高位消防水池、水塔供水的高压消防给水系统的系统工作压力，应为高位消防水池、水塔最大静压</w:t>
      </w:r>
      <w:r>
        <w:rPr>
          <w:spacing w:val="-3"/>
        </w:rPr>
        <w:t>；</w:t>
      </w:r>
      <w:r>
        <w:t xml:space="preserve"> </w:t>
      </w:r>
    </w:p>
    <w:p w14:paraId="52DE5003" w14:textId="77777777" w:rsidR="00A71EEF" w:rsidRDefault="0081115D">
      <w:pPr>
        <w:pStyle w:val="a3"/>
        <w:spacing w:line="446" w:lineRule="auto"/>
        <w:ind w:left="418" w:right="1608" w:firstLine="419"/>
      </w:pPr>
      <w:r>
        <w:rPr>
          <w:spacing w:val="-3"/>
        </w:rPr>
        <w:t>市政给水管网直接供水的高压消防给水系统的系统工作压力，应根据市政给水管网的工作压力确定；</w:t>
      </w:r>
      <w:r>
        <w:t xml:space="preserve"> </w:t>
      </w:r>
    </w:p>
    <w:p w14:paraId="35B06253" w14:textId="77777777" w:rsidR="00A71EEF" w:rsidRDefault="0081115D">
      <w:pPr>
        <w:pStyle w:val="a3"/>
        <w:spacing w:line="446" w:lineRule="auto"/>
        <w:ind w:left="418" w:right="1609" w:firstLine="419"/>
      </w:pPr>
      <w:r>
        <w:t>采用高位消防水箱稳压的临时高压消防给水系统的系统工作压力，应为消防水泵零流量时的压力与水泵吸水口最大静水压力之和；</w:t>
      </w:r>
      <w:r>
        <w:t xml:space="preserve"> </w:t>
      </w:r>
    </w:p>
    <w:p w14:paraId="4AB8DED2" w14:textId="77777777" w:rsidR="00A71EEF" w:rsidRDefault="0081115D">
      <w:pPr>
        <w:pStyle w:val="a3"/>
        <w:spacing w:line="446" w:lineRule="auto"/>
        <w:ind w:left="418" w:right="1817" w:firstLine="419"/>
      </w:pPr>
      <w:r>
        <w:t>采用稳压泵稳压的临时高压消防给水系统的系统工作压力，应取消防水泵零流量时的压力、消防水泵吸水口最大静压二者之和与稳压泵维持系统压力时两者其中的较大值。</w:t>
      </w:r>
      <w:r>
        <w:t xml:space="preserve"> </w:t>
      </w:r>
    </w:p>
    <w:p w14:paraId="314901DF" w14:textId="77777777" w:rsidR="00A71EEF" w:rsidRDefault="0081115D">
      <w:pPr>
        <w:pStyle w:val="a4"/>
        <w:numPr>
          <w:ilvl w:val="2"/>
          <w:numId w:val="238"/>
        </w:numPr>
        <w:tabs>
          <w:tab w:val="left" w:pos="1424"/>
        </w:tabs>
        <w:spacing w:line="446" w:lineRule="auto"/>
        <w:ind w:left="418" w:right="1445" w:firstLine="422"/>
        <w:rPr>
          <w:sz w:val="21"/>
        </w:rPr>
      </w:pPr>
      <w:r>
        <w:rPr>
          <w:spacing w:val="-3"/>
          <w:sz w:val="21"/>
        </w:rPr>
        <w:t>埋地管道宜采用球墨铸铁管、钢丝网骨架塑料复合管和加强防腐的钢管等管材，室内外架空管道应采用热浸锌镀锌钢管等金属管材，并应按下列因素对管道的综合</w:t>
      </w:r>
      <w:r>
        <w:rPr>
          <w:spacing w:val="-3"/>
          <w:sz w:val="21"/>
        </w:rPr>
        <w:t>影响选择管材和</w:t>
      </w:r>
      <w:r>
        <w:rPr>
          <w:spacing w:val="-3"/>
          <w:sz w:val="21"/>
        </w:rPr>
        <w:t xml:space="preserve"> </w:t>
      </w:r>
      <w:r>
        <w:rPr>
          <w:spacing w:val="-3"/>
          <w:sz w:val="21"/>
        </w:rPr>
        <w:t>设计管道：</w:t>
      </w:r>
      <w:r>
        <w:rPr>
          <w:sz w:val="21"/>
        </w:rPr>
        <w:t xml:space="preserve"> </w:t>
      </w:r>
    </w:p>
    <w:p w14:paraId="58D98AD9" w14:textId="77777777" w:rsidR="00A71EEF" w:rsidRDefault="0081115D">
      <w:pPr>
        <w:pStyle w:val="a4"/>
        <w:numPr>
          <w:ilvl w:val="0"/>
          <w:numId w:val="237"/>
        </w:numPr>
        <w:tabs>
          <w:tab w:val="left" w:pos="1367"/>
        </w:tabs>
        <w:spacing w:line="268" w:lineRule="exact"/>
        <w:rPr>
          <w:sz w:val="21"/>
        </w:rPr>
      </w:pPr>
      <w:r>
        <w:rPr>
          <w:spacing w:val="-3"/>
          <w:sz w:val="21"/>
        </w:rPr>
        <w:t>系统工作压力；</w:t>
      </w:r>
      <w:r>
        <w:rPr>
          <w:sz w:val="21"/>
        </w:rPr>
        <w:t xml:space="preserve"> </w:t>
      </w:r>
    </w:p>
    <w:p w14:paraId="2CB08192" w14:textId="77777777" w:rsidR="00A71EEF" w:rsidRDefault="00A71EEF">
      <w:pPr>
        <w:pStyle w:val="a3"/>
        <w:spacing w:before="8"/>
        <w:rPr>
          <w:sz w:val="17"/>
        </w:rPr>
      </w:pPr>
    </w:p>
    <w:p w14:paraId="0A67969C" w14:textId="77777777" w:rsidR="00A71EEF" w:rsidRDefault="0081115D">
      <w:pPr>
        <w:pStyle w:val="a4"/>
        <w:numPr>
          <w:ilvl w:val="0"/>
          <w:numId w:val="237"/>
        </w:numPr>
        <w:tabs>
          <w:tab w:val="left" w:pos="1367"/>
        </w:tabs>
        <w:rPr>
          <w:sz w:val="21"/>
        </w:rPr>
      </w:pPr>
      <w:r>
        <w:rPr>
          <w:spacing w:val="-3"/>
          <w:sz w:val="21"/>
        </w:rPr>
        <w:t>覆土深度；</w:t>
      </w:r>
      <w:r>
        <w:rPr>
          <w:sz w:val="21"/>
        </w:rPr>
        <w:t xml:space="preserve"> </w:t>
      </w:r>
    </w:p>
    <w:p w14:paraId="4309869C" w14:textId="77777777" w:rsidR="00A71EEF" w:rsidRDefault="00A71EEF">
      <w:pPr>
        <w:pStyle w:val="a3"/>
        <w:spacing w:before="12"/>
        <w:rPr>
          <w:sz w:val="17"/>
        </w:rPr>
      </w:pPr>
    </w:p>
    <w:p w14:paraId="5F7DE164" w14:textId="77777777" w:rsidR="00A71EEF" w:rsidRDefault="0081115D">
      <w:pPr>
        <w:pStyle w:val="a4"/>
        <w:numPr>
          <w:ilvl w:val="0"/>
          <w:numId w:val="237"/>
        </w:numPr>
        <w:tabs>
          <w:tab w:val="left" w:pos="1367"/>
        </w:tabs>
        <w:rPr>
          <w:sz w:val="21"/>
        </w:rPr>
      </w:pPr>
      <w:r>
        <w:rPr>
          <w:spacing w:val="-3"/>
          <w:sz w:val="21"/>
        </w:rPr>
        <w:t>土壤的性质；</w:t>
      </w:r>
      <w:r>
        <w:rPr>
          <w:sz w:val="21"/>
        </w:rPr>
        <w:t xml:space="preserve"> </w:t>
      </w:r>
    </w:p>
    <w:p w14:paraId="7B3CA78B" w14:textId="77777777" w:rsidR="00A71EEF" w:rsidRDefault="00A71EEF">
      <w:pPr>
        <w:pStyle w:val="a3"/>
        <w:spacing w:before="2"/>
        <w:rPr>
          <w:sz w:val="18"/>
        </w:rPr>
      </w:pPr>
    </w:p>
    <w:p w14:paraId="60F4871D" w14:textId="77777777" w:rsidR="00A71EEF" w:rsidRDefault="0081115D">
      <w:pPr>
        <w:pStyle w:val="a4"/>
        <w:numPr>
          <w:ilvl w:val="0"/>
          <w:numId w:val="237"/>
        </w:numPr>
        <w:tabs>
          <w:tab w:val="left" w:pos="1367"/>
        </w:tabs>
        <w:rPr>
          <w:sz w:val="21"/>
        </w:rPr>
      </w:pPr>
      <w:r>
        <w:rPr>
          <w:spacing w:val="-3"/>
          <w:sz w:val="21"/>
        </w:rPr>
        <w:t>管道的耐腐蚀能力；</w:t>
      </w:r>
      <w:r>
        <w:rPr>
          <w:sz w:val="21"/>
        </w:rPr>
        <w:t xml:space="preserve"> </w:t>
      </w:r>
    </w:p>
    <w:p w14:paraId="1FF05B0C" w14:textId="77777777" w:rsidR="00A71EEF" w:rsidRDefault="00A71EEF">
      <w:pPr>
        <w:pStyle w:val="a3"/>
        <w:rPr>
          <w:sz w:val="18"/>
        </w:rPr>
      </w:pPr>
    </w:p>
    <w:p w14:paraId="62E1AA55" w14:textId="77777777" w:rsidR="00A71EEF" w:rsidRDefault="0081115D">
      <w:pPr>
        <w:pStyle w:val="a4"/>
        <w:numPr>
          <w:ilvl w:val="0"/>
          <w:numId w:val="237"/>
        </w:numPr>
        <w:tabs>
          <w:tab w:val="left" w:pos="1367"/>
        </w:tabs>
        <w:rPr>
          <w:sz w:val="21"/>
        </w:rPr>
      </w:pPr>
      <w:r>
        <w:rPr>
          <w:spacing w:val="-3"/>
          <w:sz w:val="21"/>
        </w:rPr>
        <w:t>可能受到土壤、建筑基础、机动车和铁路等其他附加荷载的影响；</w:t>
      </w:r>
      <w:r>
        <w:rPr>
          <w:sz w:val="21"/>
        </w:rPr>
        <w:t xml:space="preserve"> </w:t>
      </w:r>
    </w:p>
    <w:p w14:paraId="065069F5" w14:textId="77777777" w:rsidR="00A71EEF" w:rsidRDefault="00A71EEF">
      <w:pPr>
        <w:pStyle w:val="a3"/>
        <w:rPr>
          <w:sz w:val="18"/>
        </w:rPr>
      </w:pPr>
    </w:p>
    <w:p w14:paraId="55FD7EC5" w14:textId="77777777" w:rsidR="00A71EEF" w:rsidRDefault="0081115D">
      <w:pPr>
        <w:pStyle w:val="a4"/>
        <w:numPr>
          <w:ilvl w:val="0"/>
          <w:numId w:val="237"/>
        </w:numPr>
        <w:tabs>
          <w:tab w:val="left" w:pos="1367"/>
        </w:tabs>
        <w:rPr>
          <w:sz w:val="21"/>
        </w:rPr>
      </w:pPr>
      <w:r>
        <w:rPr>
          <w:spacing w:val="-3"/>
          <w:sz w:val="21"/>
        </w:rPr>
        <w:t>管道穿越伸缩缝和沉降缝。</w:t>
      </w:r>
      <w:r>
        <w:rPr>
          <w:sz w:val="21"/>
        </w:rPr>
        <w:t xml:space="preserve"> </w:t>
      </w:r>
    </w:p>
    <w:p w14:paraId="78F53031" w14:textId="77777777" w:rsidR="00A71EEF" w:rsidRDefault="00A71EEF">
      <w:pPr>
        <w:pStyle w:val="a3"/>
        <w:spacing w:before="2"/>
        <w:rPr>
          <w:sz w:val="18"/>
        </w:rPr>
      </w:pPr>
    </w:p>
    <w:p w14:paraId="7146C5D4" w14:textId="77777777" w:rsidR="00A71EEF" w:rsidRDefault="0081115D">
      <w:pPr>
        <w:pStyle w:val="a4"/>
        <w:numPr>
          <w:ilvl w:val="2"/>
          <w:numId w:val="238"/>
        </w:numPr>
        <w:tabs>
          <w:tab w:val="left" w:pos="1424"/>
        </w:tabs>
        <w:spacing w:line="446" w:lineRule="auto"/>
        <w:ind w:left="418" w:right="1445" w:firstLine="422"/>
        <w:rPr>
          <w:sz w:val="21"/>
        </w:rPr>
      </w:pPr>
      <w:r>
        <w:rPr>
          <w:spacing w:val="-6"/>
          <w:sz w:val="21"/>
        </w:rPr>
        <w:t>埋地管道当系统工作压力不大于</w:t>
      </w:r>
      <w:r>
        <w:rPr>
          <w:spacing w:val="-6"/>
          <w:sz w:val="21"/>
        </w:rPr>
        <w:t xml:space="preserve"> </w:t>
      </w:r>
      <w:r>
        <w:rPr>
          <w:sz w:val="21"/>
        </w:rPr>
        <w:t>1.20MPa</w:t>
      </w:r>
      <w:r>
        <w:rPr>
          <w:spacing w:val="-8"/>
          <w:sz w:val="21"/>
        </w:rPr>
        <w:t xml:space="preserve"> </w:t>
      </w:r>
      <w:r>
        <w:rPr>
          <w:spacing w:val="-8"/>
          <w:sz w:val="21"/>
        </w:rPr>
        <w:t>时，宜采用球墨铸铁管或钢丝网骨架塑料复合管给水管道；当系统工作压力大于</w:t>
      </w:r>
      <w:r>
        <w:rPr>
          <w:spacing w:val="-8"/>
          <w:sz w:val="21"/>
        </w:rPr>
        <w:t xml:space="preserve"> </w:t>
      </w:r>
      <w:r>
        <w:rPr>
          <w:sz w:val="21"/>
        </w:rPr>
        <w:t>1.20MPa</w:t>
      </w:r>
      <w:r>
        <w:rPr>
          <w:spacing w:val="-13"/>
          <w:sz w:val="21"/>
        </w:rPr>
        <w:t xml:space="preserve"> </w:t>
      </w:r>
      <w:r>
        <w:rPr>
          <w:spacing w:val="-13"/>
          <w:sz w:val="21"/>
        </w:rPr>
        <w:t>小于</w:t>
      </w:r>
      <w:r>
        <w:rPr>
          <w:spacing w:val="-13"/>
          <w:sz w:val="21"/>
        </w:rPr>
        <w:t xml:space="preserve"> </w:t>
      </w:r>
      <w:r>
        <w:rPr>
          <w:sz w:val="21"/>
        </w:rPr>
        <w:t>1.60MPa</w:t>
      </w:r>
      <w:r>
        <w:rPr>
          <w:spacing w:val="-9"/>
          <w:sz w:val="21"/>
        </w:rPr>
        <w:t xml:space="preserve"> </w:t>
      </w:r>
      <w:r>
        <w:rPr>
          <w:spacing w:val="-9"/>
          <w:sz w:val="21"/>
        </w:rPr>
        <w:t>时，宜采用钢丝网骨架塑料复合</w:t>
      </w:r>
    </w:p>
    <w:p w14:paraId="432043F0" w14:textId="77777777" w:rsidR="00A71EEF" w:rsidRDefault="0081115D">
      <w:pPr>
        <w:pStyle w:val="a3"/>
        <w:spacing w:line="446" w:lineRule="auto"/>
        <w:ind w:left="418" w:right="1450"/>
      </w:pPr>
      <w:r>
        <w:rPr>
          <w:spacing w:val="-5"/>
        </w:rPr>
        <w:t>管、加厚钢管和无缝钢管；当系统工作压力大于</w:t>
      </w:r>
      <w:r>
        <w:rPr>
          <w:spacing w:val="-5"/>
        </w:rPr>
        <w:t xml:space="preserve"> </w:t>
      </w:r>
      <w:r>
        <w:t>1.60MPa</w:t>
      </w:r>
      <w:r>
        <w:rPr>
          <w:spacing w:val="-8"/>
        </w:rPr>
        <w:t xml:space="preserve"> </w:t>
      </w:r>
      <w:r>
        <w:rPr>
          <w:spacing w:val="-8"/>
        </w:rPr>
        <w:t>时，宜采用无缝钢管。钢管连接宜采</w:t>
      </w:r>
      <w:r>
        <w:rPr>
          <w:spacing w:val="-5"/>
        </w:rPr>
        <w:t>用沟槽连接件</w:t>
      </w:r>
      <w:r>
        <w:rPr>
          <w:spacing w:val="-3"/>
        </w:rPr>
        <w:t>（</w:t>
      </w:r>
      <w:r>
        <w:rPr>
          <w:spacing w:val="-2"/>
        </w:rPr>
        <w:t>卡箍</w:t>
      </w:r>
      <w:r>
        <w:t>）</w:t>
      </w:r>
      <w:r>
        <w:rPr>
          <w:spacing w:val="-5"/>
        </w:rPr>
        <w:t>和法兰，当采用沟槽连接件连接时，公称直径小于等于</w:t>
      </w:r>
      <w:r>
        <w:rPr>
          <w:spacing w:val="-5"/>
        </w:rPr>
        <w:t xml:space="preserve"> </w:t>
      </w:r>
      <w:r>
        <w:t>DN250</w:t>
      </w:r>
      <w:r>
        <w:rPr>
          <w:spacing w:val="-11"/>
        </w:rPr>
        <w:t xml:space="preserve"> </w:t>
      </w:r>
      <w:r>
        <w:rPr>
          <w:spacing w:val="-11"/>
        </w:rPr>
        <w:t>的沟槽式</w:t>
      </w:r>
      <w:r>
        <w:rPr>
          <w:spacing w:val="-9"/>
        </w:rPr>
        <w:t>管接头系统工作压力不应大于</w:t>
      </w:r>
      <w:r>
        <w:rPr>
          <w:spacing w:val="-9"/>
        </w:rPr>
        <w:t xml:space="preserve"> </w:t>
      </w:r>
      <w:r>
        <w:t>2.50MPa</w:t>
      </w:r>
      <w:r>
        <w:rPr>
          <w:spacing w:val="-7"/>
        </w:rPr>
        <w:t>，公称直径大于或等于</w:t>
      </w:r>
      <w:r>
        <w:rPr>
          <w:spacing w:val="-7"/>
        </w:rPr>
        <w:t xml:space="preserve"> </w:t>
      </w:r>
      <w:r>
        <w:t>DN300</w:t>
      </w:r>
      <w:r>
        <w:rPr>
          <w:spacing w:val="-8"/>
        </w:rPr>
        <w:t xml:space="preserve"> </w:t>
      </w:r>
      <w:r>
        <w:rPr>
          <w:spacing w:val="-8"/>
        </w:rPr>
        <w:t>的沟槽式管接头系统工作压</w:t>
      </w:r>
      <w:r>
        <w:rPr>
          <w:spacing w:val="-13"/>
        </w:rPr>
        <w:t>力不应大于</w:t>
      </w:r>
      <w:r>
        <w:rPr>
          <w:spacing w:val="-13"/>
        </w:rPr>
        <w:t xml:space="preserve"> </w:t>
      </w:r>
      <w:r>
        <w:t>1.60MPa</w:t>
      </w:r>
      <w:r>
        <w:rPr>
          <w:spacing w:val="-3"/>
        </w:rPr>
        <w:t>。</w:t>
      </w:r>
      <w:r>
        <w:t xml:space="preserve"> </w:t>
      </w:r>
    </w:p>
    <w:p w14:paraId="47DB13A5" w14:textId="77777777" w:rsidR="00A71EEF" w:rsidRDefault="0081115D">
      <w:pPr>
        <w:pStyle w:val="a4"/>
        <w:numPr>
          <w:ilvl w:val="2"/>
          <w:numId w:val="238"/>
        </w:numPr>
        <w:tabs>
          <w:tab w:val="left" w:pos="1424"/>
        </w:tabs>
        <w:rPr>
          <w:sz w:val="21"/>
        </w:rPr>
      </w:pPr>
      <w:r>
        <w:rPr>
          <w:spacing w:val="-3"/>
          <w:sz w:val="21"/>
        </w:rPr>
        <w:t>埋地金属管道的管顶覆土应符合下列规定：</w:t>
      </w:r>
      <w:r>
        <w:rPr>
          <w:sz w:val="21"/>
        </w:rPr>
        <w:t xml:space="preserve"> </w:t>
      </w:r>
    </w:p>
    <w:p w14:paraId="3A8D8964" w14:textId="77777777" w:rsidR="00A71EEF" w:rsidRDefault="00A71EEF">
      <w:pPr>
        <w:rPr>
          <w:sz w:val="21"/>
        </w:rPr>
        <w:sectPr w:rsidR="00A71EEF">
          <w:pgSz w:w="11910" w:h="16850"/>
          <w:pgMar w:top="1220" w:right="0" w:bottom="1420" w:left="1260" w:header="0" w:footer="1239" w:gutter="0"/>
          <w:cols w:space="720"/>
        </w:sectPr>
      </w:pPr>
    </w:p>
    <w:p w14:paraId="62DCA31C" w14:textId="77777777" w:rsidR="00A71EEF" w:rsidRDefault="0081115D">
      <w:pPr>
        <w:pStyle w:val="a3"/>
        <w:spacing w:before="47"/>
        <w:ind w:left="838"/>
      </w:pPr>
      <w:r>
        <w:t>管道最小管顶覆土应按地面荷载、埋深荷载和冰冻线对管道的综合影响确定；</w:t>
      </w:r>
      <w:r>
        <w:t xml:space="preserve"> </w:t>
      </w:r>
    </w:p>
    <w:p w14:paraId="456A4496" w14:textId="77777777" w:rsidR="00A71EEF" w:rsidRDefault="00A71EEF">
      <w:pPr>
        <w:pStyle w:val="a3"/>
        <w:rPr>
          <w:sz w:val="18"/>
        </w:rPr>
      </w:pPr>
    </w:p>
    <w:p w14:paraId="18D5F90C" w14:textId="77777777" w:rsidR="00A71EEF" w:rsidRDefault="0081115D">
      <w:pPr>
        <w:pStyle w:val="a3"/>
        <w:spacing w:line="446" w:lineRule="auto"/>
        <w:ind w:left="418" w:right="1391" w:firstLine="419"/>
      </w:pPr>
      <w:r>
        <w:t>管道最小管顶覆土不应小于</w:t>
      </w:r>
      <w:r>
        <w:t xml:space="preserve"> 0.70m</w:t>
      </w:r>
      <w:r>
        <w:t>；但当在机动车道下时管道最小管顶覆土应经计算确定，</w:t>
      </w:r>
      <w:r>
        <w:t xml:space="preserve"> </w:t>
      </w:r>
      <w:r>
        <w:t>并不宜小于</w:t>
      </w:r>
      <w:r>
        <w:t xml:space="preserve"> 0.90m</w:t>
      </w:r>
      <w:r>
        <w:t>；</w:t>
      </w:r>
      <w:r>
        <w:t xml:space="preserve"> </w:t>
      </w:r>
    </w:p>
    <w:p w14:paraId="63C010EE" w14:textId="77777777" w:rsidR="00A71EEF" w:rsidRDefault="0081115D">
      <w:pPr>
        <w:pStyle w:val="a3"/>
        <w:ind w:left="838"/>
      </w:pPr>
      <w:r>
        <w:t>管道最小管顶覆土应至少在冰冻线以下</w:t>
      </w:r>
      <w:r>
        <w:t xml:space="preserve"> 0.30m</w:t>
      </w:r>
      <w:r>
        <w:t>。</w:t>
      </w:r>
      <w:r>
        <w:t xml:space="preserve"> </w:t>
      </w:r>
    </w:p>
    <w:p w14:paraId="5A5676EA" w14:textId="77777777" w:rsidR="00A71EEF" w:rsidRDefault="00A71EEF">
      <w:pPr>
        <w:pStyle w:val="a3"/>
        <w:spacing w:before="12"/>
        <w:rPr>
          <w:sz w:val="17"/>
        </w:rPr>
      </w:pPr>
    </w:p>
    <w:p w14:paraId="421CE3E5" w14:textId="77777777" w:rsidR="00A71EEF" w:rsidRDefault="0081115D">
      <w:pPr>
        <w:pStyle w:val="a4"/>
        <w:numPr>
          <w:ilvl w:val="2"/>
          <w:numId w:val="238"/>
        </w:numPr>
        <w:tabs>
          <w:tab w:val="left" w:pos="1424"/>
        </w:tabs>
        <w:spacing w:line="446" w:lineRule="auto"/>
        <w:ind w:left="838" w:right="3865" w:firstLine="2"/>
        <w:rPr>
          <w:sz w:val="21"/>
        </w:rPr>
      </w:pPr>
      <w:r>
        <w:rPr>
          <w:spacing w:val="-3"/>
          <w:sz w:val="21"/>
        </w:rPr>
        <w:t>埋地管道采用钢丝网骨架塑料复合管时应符合下列规定：</w:t>
      </w:r>
      <w:r>
        <w:rPr>
          <w:spacing w:val="-3"/>
          <w:sz w:val="21"/>
        </w:rPr>
        <w:t xml:space="preserve"> </w:t>
      </w:r>
      <w:r>
        <w:rPr>
          <w:spacing w:val="-3"/>
          <w:sz w:val="21"/>
        </w:rPr>
        <w:t>钢丝网骨架塑料复合管的聚乙烯</w:t>
      </w:r>
      <w:r>
        <w:rPr>
          <w:sz w:val="21"/>
        </w:rPr>
        <w:t>（</w:t>
      </w:r>
      <w:r>
        <w:rPr>
          <w:sz w:val="21"/>
        </w:rPr>
        <w:t>PE</w:t>
      </w:r>
      <w:r>
        <w:rPr>
          <w:sz w:val="21"/>
        </w:rPr>
        <w:t>）</w:t>
      </w:r>
      <w:r>
        <w:rPr>
          <w:spacing w:val="-4"/>
          <w:sz w:val="21"/>
        </w:rPr>
        <w:t>原材料不应低于</w:t>
      </w:r>
      <w:r>
        <w:rPr>
          <w:spacing w:val="-4"/>
          <w:sz w:val="21"/>
        </w:rPr>
        <w:t xml:space="preserve"> </w:t>
      </w:r>
      <w:r>
        <w:rPr>
          <w:sz w:val="21"/>
        </w:rPr>
        <w:t>PE80</w:t>
      </w:r>
      <w:r>
        <w:rPr>
          <w:sz w:val="21"/>
        </w:rPr>
        <w:t>；</w:t>
      </w:r>
      <w:r>
        <w:rPr>
          <w:sz w:val="21"/>
        </w:rPr>
        <w:t xml:space="preserve"> </w:t>
      </w:r>
      <w:r>
        <w:rPr>
          <w:spacing w:val="-6"/>
          <w:sz w:val="21"/>
        </w:rPr>
        <w:t>钢丝网骨架塑料复合管的内环向应力不应低于</w:t>
      </w:r>
      <w:r>
        <w:rPr>
          <w:spacing w:val="-6"/>
          <w:sz w:val="21"/>
        </w:rPr>
        <w:t xml:space="preserve"> </w:t>
      </w:r>
      <w:r>
        <w:rPr>
          <w:sz w:val="21"/>
        </w:rPr>
        <w:t>8.0MPa</w:t>
      </w:r>
      <w:r>
        <w:rPr>
          <w:sz w:val="21"/>
        </w:rPr>
        <w:t>；</w:t>
      </w:r>
      <w:r>
        <w:rPr>
          <w:sz w:val="21"/>
        </w:rPr>
        <w:t xml:space="preserve"> </w:t>
      </w:r>
    </w:p>
    <w:p w14:paraId="695FAFD1" w14:textId="77777777" w:rsidR="00A71EEF" w:rsidRDefault="0081115D">
      <w:pPr>
        <w:pStyle w:val="a3"/>
        <w:spacing w:line="268" w:lineRule="exact"/>
        <w:ind w:left="838"/>
      </w:pPr>
      <w:r>
        <w:t>钢丝网骨架塑料复合管的复合层应满足静压稳定性和剥离强度的要求；</w:t>
      </w:r>
      <w:r>
        <w:t xml:space="preserve"> </w:t>
      </w:r>
    </w:p>
    <w:p w14:paraId="16E8C6C9" w14:textId="77777777" w:rsidR="00A71EEF" w:rsidRDefault="00A71EEF">
      <w:pPr>
        <w:pStyle w:val="a3"/>
        <w:rPr>
          <w:sz w:val="18"/>
        </w:rPr>
      </w:pPr>
    </w:p>
    <w:p w14:paraId="7B1EC909" w14:textId="77777777" w:rsidR="00A71EEF" w:rsidRDefault="0081115D">
      <w:pPr>
        <w:pStyle w:val="a3"/>
        <w:spacing w:line="446" w:lineRule="auto"/>
        <w:ind w:left="418" w:right="1608" w:firstLine="419"/>
        <w:jc w:val="both"/>
      </w:pPr>
      <w:r>
        <w:t>钢丝网骨架塑料复合管及配套管件的熔体质量流动速率（</w:t>
      </w:r>
      <w:r>
        <w:t>MFR</w:t>
      </w:r>
      <w:r>
        <w:t>）</w:t>
      </w:r>
      <w:r>
        <w:t xml:space="preserve"> </w:t>
      </w:r>
      <w:r>
        <w:t>，应按现行国家标准《热塑性塑料熔体质量</w:t>
      </w:r>
      <w:r>
        <w:t>流动速率和熔体体积流动速率的测定》</w:t>
      </w:r>
      <w:r>
        <w:t xml:space="preserve">GB/T 3682 </w:t>
      </w:r>
      <w:r>
        <w:t>规定的试验方法进行试验时，加工前后</w:t>
      </w:r>
      <w:r>
        <w:t xml:space="preserve">MFR </w:t>
      </w:r>
      <w:r>
        <w:t>变化不应超过</w:t>
      </w:r>
      <w:r>
        <w:t>±20%</w:t>
      </w:r>
      <w:r>
        <w:t>；</w:t>
      </w:r>
      <w:r>
        <w:t xml:space="preserve"> </w:t>
      </w:r>
    </w:p>
    <w:p w14:paraId="67134B10" w14:textId="77777777" w:rsidR="00A71EEF" w:rsidRDefault="0081115D">
      <w:pPr>
        <w:pStyle w:val="a3"/>
        <w:spacing w:line="268" w:lineRule="exact"/>
        <w:ind w:left="838"/>
      </w:pPr>
      <w:r>
        <w:t>管材及连接管件应采用同一品牌产品，连接方式应采用可靠的电熔连接或机械连接；</w:t>
      </w:r>
      <w:r>
        <w:t xml:space="preserve"> </w:t>
      </w:r>
    </w:p>
    <w:p w14:paraId="6A339B1F" w14:textId="77777777" w:rsidR="00A71EEF" w:rsidRDefault="00A71EEF">
      <w:pPr>
        <w:pStyle w:val="a3"/>
        <w:spacing w:before="2"/>
        <w:rPr>
          <w:sz w:val="18"/>
        </w:rPr>
      </w:pPr>
    </w:p>
    <w:p w14:paraId="58D2ED32" w14:textId="77777777" w:rsidR="00A71EEF" w:rsidRDefault="0081115D">
      <w:pPr>
        <w:pStyle w:val="a3"/>
        <w:spacing w:line="446" w:lineRule="auto"/>
        <w:ind w:left="418" w:right="1450" w:firstLine="419"/>
      </w:pPr>
      <w:r>
        <w:t>6</w:t>
      </w:r>
      <w:r>
        <w:rPr>
          <w:spacing w:val="-8"/>
        </w:rPr>
        <w:t xml:space="preserve"> </w:t>
      </w:r>
      <w:r>
        <w:rPr>
          <w:spacing w:val="-8"/>
        </w:rPr>
        <w:t>管材耐静压强度应符合现行行业标准《埋地聚乙烯给水管道工程技术规程》</w:t>
      </w:r>
      <w:r>
        <w:t>CJJ 101</w:t>
      </w:r>
      <w:r>
        <w:rPr>
          <w:spacing w:val="4"/>
        </w:rPr>
        <w:t xml:space="preserve"> </w:t>
      </w:r>
      <w:r>
        <w:rPr>
          <w:spacing w:val="4"/>
        </w:rPr>
        <w:t>的有</w:t>
      </w:r>
      <w:r>
        <w:rPr>
          <w:spacing w:val="-3"/>
        </w:rPr>
        <w:t>关规定和设计要求；</w:t>
      </w:r>
      <w:r>
        <w:t xml:space="preserve"> </w:t>
      </w:r>
    </w:p>
    <w:p w14:paraId="2EE27773" w14:textId="77777777" w:rsidR="00A71EEF" w:rsidRDefault="0081115D">
      <w:pPr>
        <w:pStyle w:val="a3"/>
        <w:spacing w:line="446" w:lineRule="auto"/>
        <w:ind w:left="418" w:right="1391" w:firstLine="419"/>
      </w:pPr>
      <w:r>
        <w:t>钢丝网骨架塑料复合管道最小管顶覆土深度，在人行道下不宜小于</w:t>
      </w:r>
      <w:r>
        <w:t xml:space="preserve"> 0.80m</w:t>
      </w:r>
      <w:r>
        <w:t>，在轻型车行道下不应小于</w:t>
      </w:r>
      <w:r>
        <w:t xml:space="preserve"> 1.0</w:t>
      </w:r>
      <w:r>
        <w:t>ｍ，且应在冰冻线下</w:t>
      </w:r>
      <w:r>
        <w:t xml:space="preserve"> 0.3m</w:t>
      </w:r>
      <w:r>
        <w:t>；在重型汽车道路或铁路、高速公路下应设置保护套</w:t>
      </w:r>
    </w:p>
    <w:p w14:paraId="410D39EA" w14:textId="77777777" w:rsidR="00A71EEF" w:rsidRDefault="0081115D">
      <w:pPr>
        <w:pStyle w:val="a3"/>
        <w:ind w:left="418"/>
      </w:pPr>
      <w:r>
        <w:t>管，套管与钢丝网骨架</w:t>
      </w:r>
      <w:r>
        <w:t>塑料复合管的净距不应小于</w:t>
      </w:r>
      <w:r>
        <w:t xml:space="preserve"> 100mm</w:t>
      </w:r>
      <w:r>
        <w:t>；</w:t>
      </w:r>
      <w:r>
        <w:t xml:space="preserve"> </w:t>
      </w:r>
    </w:p>
    <w:p w14:paraId="33739642" w14:textId="77777777" w:rsidR="00A71EEF" w:rsidRDefault="00A71EEF">
      <w:pPr>
        <w:pStyle w:val="a3"/>
        <w:spacing w:before="10"/>
        <w:rPr>
          <w:sz w:val="17"/>
        </w:rPr>
      </w:pPr>
    </w:p>
    <w:p w14:paraId="74582A0E" w14:textId="77777777" w:rsidR="00A71EEF" w:rsidRDefault="0081115D">
      <w:pPr>
        <w:pStyle w:val="a3"/>
        <w:spacing w:line="446" w:lineRule="auto"/>
        <w:ind w:left="418" w:right="1556" w:firstLine="419"/>
        <w:jc w:val="both"/>
      </w:pPr>
      <w:r>
        <w:rPr>
          <w:spacing w:val="-4"/>
        </w:rPr>
        <w:t>钢丝网骨架塑料复合管道与热力管道间的距离，应在保证聚乙烯管道表面温度不超过</w:t>
      </w:r>
      <w:r>
        <w:rPr>
          <w:spacing w:val="-4"/>
        </w:rPr>
        <w:t xml:space="preserve"> </w:t>
      </w:r>
      <w:r>
        <w:t xml:space="preserve">40℃ </w:t>
      </w:r>
      <w:r>
        <w:rPr>
          <w:spacing w:val="-6"/>
        </w:rPr>
        <w:t>的条件下计算确定，但最小净距不应小于</w:t>
      </w:r>
      <w:r>
        <w:rPr>
          <w:spacing w:val="-6"/>
        </w:rPr>
        <w:t xml:space="preserve"> </w:t>
      </w:r>
      <w:r>
        <w:t>1.50</w:t>
      </w:r>
      <w:r>
        <w:t>ｍ。</w:t>
      </w:r>
      <w:r>
        <w:t xml:space="preserve"> </w:t>
      </w:r>
    </w:p>
    <w:p w14:paraId="7552513F" w14:textId="77777777" w:rsidR="00A71EEF" w:rsidRDefault="0081115D">
      <w:pPr>
        <w:pStyle w:val="a4"/>
        <w:numPr>
          <w:ilvl w:val="2"/>
          <w:numId w:val="238"/>
        </w:numPr>
        <w:tabs>
          <w:tab w:val="left" w:pos="1424"/>
        </w:tabs>
        <w:spacing w:line="446" w:lineRule="auto"/>
        <w:ind w:left="418" w:right="1558" w:firstLine="422"/>
        <w:jc w:val="both"/>
        <w:rPr>
          <w:sz w:val="21"/>
        </w:rPr>
      </w:pPr>
      <w:r>
        <w:rPr>
          <w:spacing w:val="-6"/>
          <w:sz w:val="21"/>
        </w:rPr>
        <w:t>架空管道当系统工作压力小于等于</w:t>
      </w:r>
      <w:r>
        <w:rPr>
          <w:spacing w:val="-6"/>
          <w:sz w:val="21"/>
        </w:rPr>
        <w:t xml:space="preserve"> </w:t>
      </w:r>
      <w:r>
        <w:rPr>
          <w:sz w:val="21"/>
        </w:rPr>
        <w:t>1.20MPa</w:t>
      </w:r>
      <w:r>
        <w:rPr>
          <w:spacing w:val="-3"/>
          <w:sz w:val="21"/>
        </w:rPr>
        <w:t xml:space="preserve"> </w:t>
      </w:r>
      <w:r>
        <w:rPr>
          <w:spacing w:val="-3"/>
          <w:sz w:val="21"/>
        </w:rPr>
        <w:t>时，可采用热浸锌镀锌钢管；当系统工</w:t>
      </w:r>
      <w:r>
        <w:rPr>
          <w:spacing w:val="-10"/>
          <w:sz w:val="21"/>
        </w:rPr>
        <w:t>作压力大于</w:t>
      </w:r>
      <w:r>
        <w:rPr>
          <w:spacing w:val="-10"/>
          <w:sz w:val="21"/>
        </w:rPr>
        <w:t xml:space="preserve"> </w:t>
      </w:r>
      <w:r>
        <w:rPr>
          <w:sz w:val="21"/>
        </w:rPr>
        <w:t>1.20MPa</w:t>
      </w:r>
      <w:r>
        <w:rPr>
          <w:spacing w:val="-3"/>
          <w:sz w:val="21"/>
        </w:rPr>
        <w:t xml:space="preserve"> </w:t>
      </w:r>
      <w:r>
        <w:rPr>
          <w:spacing w:val="-3"/>
          <w:sz w:val="21"/>
        </w:rPr>
        <w:t>时，应采用热浸镀锌加厚钢管或热浸镀锌无缝钢管；当系统工作压力大于</w:t>
      </w:r>
      <w:r>
        <w:rPr>
          <w:spacing w:val="-3"/>
          <w:sz w:val="21"/>
        </w:rPr>
        <w:t xml:space="preserve">1.60MPa </w:t>
      </w:r>
      <w:r>
        <w:rPr>
          <w:spacing w:val="-3"/>
          <w:sz w:val="21"/>
        </w:rPr>
        <w:t>时，应采用热浸镀锌无缝钢管。</w:t>
      </w:r>
      <w:r>
        <w:rPr>
          <w:sz w:val="21"/>
        </w:rPr>
        <w:t xml:space="preserve"> </w:t>
      </w:r>
    </w:p>
    <w:p w14:paraId="7203C8F5" w14:textId="77777777" w:rsidR="00A71EEF" w:rsidRDefault="0081115D">
      <w:pPr>
        <w:pStyle w:val="a4"/>
        <w:numPr>
          <w:ilvl w:val="2"/>
          <w:numId w:val="238"/>
        </w:numPr>
        <w:tabs>
          <w:tab w:val="left" w:pos="1424"/>
        </w:tabs>
        <w:spacing w:line="446" w:lineRule="auto"/>
        <w:ind w:left="418" w:right="1445" w:firstLine="422"/>
        <w:rPr>
          <w:sz w:val="21"/>
        </w:rPr>
      </w:pPr>
      <w:r>
        <w:rPr>
          <w:spacing w:val="-3"/>
          <w:sz w:val="21"/>
        </w:rPr>
        <w:t>架空管道的连接宜采用沟槽连接件</w:t>
      </w:r>
      <w:r>
        <w:rPr>
          <w:sz w:val="21"/>
        </w:rPr>
        <w:t>（</w:t>
      </w:r>
      <w:r>
        <w:rPr>
          <w:spacing w:val="-2"/>
          <w:sz w:val="21"/>
        </w:rPr>
        <w:t>卡箍</w:t>
      </w:r>
      <w:r>
        <w:rPr>
          <w:spacing w:val="-3"/>
          <w:sz w:val="21"/>
        </w:rPr>
        <w:t>）、螺纹、法兰、卡压等方式，不宜采用焊</w:t>
      </w:r>
      <w:r>
        <w:rPr>
          <w:spacing w:val="-7"/>
          <w:sz w:val="21"/>
        </w:rPr>
        <w:t>接连接。当管径小于或等于</w:t>
      </w:r>
      <w:r>
        <w:rPr>
          <w:spacing w:val="-7"/>
          <w:sz w:val="21"/>
        </w:rPr>
        <w:t xml:space="preserve"> </w:t>
      </w:r>
      <w:r>
        <w:rPr>
          <w:sz w:val="21"/>
        </w:rPr>
        <w:t>DN50</w:t>
      </w:r>
      <w:r>
        <w:rPr>
          <w:spacing w:val="-11"/>
          <w:sz w:val="21"/>
        </w:rPr>
        <w:t xml:space="preserve"> </w:t>
      </w:r>
      <w:r>
        <w:rPr>
          <w:spacing w:val="-11"/>
          <w:sz w:val="21"/>
        </w:rPr>
        <w:t>时，应采用螺纹和卡压连接，当管径大于</w:t>
      </w:r>
      <w:r>
        <w:rPr>
          <w:spacing w:val="-11"/>
          <w:sz w:val="21"/>
        </w:rPr>
        <w:t xml:space="preserve"> </w:t>
      </w:r>
      <w:r>
        <w:rPr>
          <w:sz w:val="21"/>
        </w:rPr>
        <w:t>DN50</w:t>
      </w:r>
      <w:r>
        <w:rPr>
          <w:spacing w:val="-10"/>
          <w:sz w:val="21"/>
        </w:rPr>
        <w:t xml:space="preserve"> </w:t>
      </w:r>
      <w:r>
        <w:rPr>
          <w:spacing w:val="-10"/>
          <w:sz w:val="21"/>
        </w:rPr>
        <w:t>时，应采用沟</w:t>
      </w:r>
      <w:r>
        <w:rPr>
          <w:spacing w:val="-5"/>
          <w:sz w:val="21"/>
        </w:rPr>
        <w:t>槽连接件连接、法兰连接，当安装空间较小时应采用沟槽连接件连接。</w:t>
      </w:r>
      <w:r>
        <w:rPr>
          <w:sz w:val="21"/>
        </w:rPr>
        <w:t xml:space="preserve"> </w:t>
      </w:r>
    </w:p>
    <w:p w14:paraId="16414E93" w14:textId="77777777" w:rsidR="00A71EEF" w:rsidRDefault="0081115D">
      <w:pPr>
        <w:pStyle w:val="a4"/>
        <w:numPr>
          <w:ilvl w:val="2"/>
          <w:numId w:val="238"/>
        </w:numPr>
        <w:tabs>
          <w:tab w:val="left" w:pos="1530"/>
        </w:tabs>
        <w:spacing w:line="446" w:lineRule="auto"/>
        <w:ind w:left="418" w:right="1445" w:firstLine="422"/>
        <w:rPr>
          <w:sz w:val="21"/>
        </w:rPr>
      </w:pPr>
      <w:r>
        <w:rPr>
          <w:spacing w:val="-5"/>
          <w:sz w:val="21"/>
        </w:rPr>
        <w:t>架空充水管道应设置在环境温度不低于</w:t>
      </w:r>
      <w:r>
        <w:rPr>
          <w:spacing w:val="-5"/>
          <w:sz w:val="21"/>
        </w:rPr>
        <w:t xml:space="preserve"> </w:t>
      </w:r>
      <w:r>
        <w:rPr>
          <w:sz w:val="21"/>
        </w:rPr>
        <w:t>5</w:t>
      </w:r>
      <w:r>
        <w:rPr>
          <w:spacing w:val="-6"/>
          <w:sz w:val="21"/>
        </w:rPr>
        <w:t>℃</w:t>
      </w:r>
      <w:r>
        <w:rPr>
          <w:spacing w:val="-6"/>
          <w:sz w:val="21"/>
        </w:rPr>
        <w:t>的区域，当环境温度低于</w:t>
      </w:r>
      <w:r>
        <w:rPr>
          <w:spacing w:val="-6"/>
          <w:sz w:val="21"/>
        </w:rPr>
        <w:t xml:space="preserve"> </w:t>
      </w:r>
      <w:r>
        <w:rPr>
          <w:sz w:val="21"/>
        </w:rPr>
        <w:t>5℃</w:t>
      </w:r>
      <w:r>
        <w:rPr>
          <w:spacing w:val="-3"/>
          <w:sz w:val="21"/>
        </w:rPr>
        <w:t>时，应采取防冻措施；室外架空管道当温差变化较大时应校核管道系统的膨胀和收缩，并应采取相应的技</w:t>
      </w:r>
      <w:r>
        <w:rPr>
          <w:spacing w:val="-3"/>
          <w:sz w:val="21"/>
        </w:rPr>
        <w:t xml:space="preserve"> </w:t>
      </w:r>
      <w:r>
        <w:rPr>
          <w:spacing w:val="-3"/>
          <w:sz w:val="21"/>
        </w:rPr>
        <w:t>术措施。</w:t>
      </w:r>
      <w:r>
        <w:rPr>
          <w:sz w:val="21"/>
        </w:rPr>
        <w:t xml:space="preserve"> </w:t>
      </w:r>
    </w:p>
    <w:p w14:paraId="627022B6" w14:textId="77777777" w:rsidR="00A71EEF" w:rsidRDefault="00A71EEF">
      <w:pPr>
        <w:spacing w:line="446" w:lineRule="auto"/>
        <w:rPr>
          <w:sz w:val="21"/>
        </w:rPr>
        <w:sectPr w:rsidR="00A71EEF">
          <w:pgSz w:w="11910" w:h="16850"/>
          <w:pgMar w:top="1220" w:right="0" w:bottom="1420" w:left="1260" w:header="0" w:footer="1239" w:gutter="0"/>
          <w:cols w:space="720"/>
        </w:sectPr>
      </w:pPr>
    </w:p>
    <w:p w14:paraId="02F07AA2" w14:textId="77777777" w:rsidR="00A71EEF" w:rsidRDefault="0081115D">
      <w:pPr>
        <w:pStyle w:val="a4"/>
        <w:numPr>
          <w:ilvl w:val="2"/>
          <w:numId w:val="238"/>
        </w:numPr>
        <w:tabs>
          <w:tab w:val="left" w:pos="1530"/>
        </w:tabs>
        <w:spacing w:before="47" w:line="446" w:lineRule="auto"/>
        <w:ind w:left="418" w:right="1549" w:firstLine="422"/>
        <w:rPr>
          <w:sz w:val="21"/>
        </w:rPr>
      </w:pPr>
      <w:r>
        <w:rPr>
          <w:spacing w:val="-3"/>
          <w:sz w:val="21"/>
        </w:rPr>
        <w:t>埋地管道的地基、基础、垫层、回填土压实密度等的要求，应根据刚性管或柔性管管材的性质，结合管道埋设处的具</w:t>
      </w:r>
      <w:r>
        <w:rPr>
          <w:spacing w:val="-3"/>
          <w:sz w:val="21"/>
        </w:rPr>
        <w:t>体情况，按现行国家标准《给水排水管道工程施工验收标</w:t>
      </w:r>
      <w:r>
        <w:rPr>
          <w:spacing w:val="-3"/>
          <w:sz w:val="21"/>
        </w:rPr>
        <w:t xml:space="preserve">  </w:t>
      </w:r>
      <w:r>
        <w:rPr>
          <w:spacing w:val="-3"/>
          <w:sz w:val="21"/>
        </w:rPr>
        <w:t>准》</w:t>
      </w:r>
      <w:r>
        <w:rPr>
          <w:spacing w:val="-3"/>
          <w:sz w:val="21"/>
        </w:rPr>
        <w:t>GB</w:t>
      </w:r>
      <w:r>
        <w:rPr>
          <w:spacing w:val="7"/>
          <w:sz w:val="21"/>
        </w:rPr>
        <w:t xml:space="preserve"> </w:t>
      </w:r>
      <w:r>
        <w:rPr>
          <w:sz w:val="21"/>
        </w:rPr>
        <w:t>50268</w:t>
      </w:r>
      <w:r>
        <w:rPr>
          <w:spacing w:val="-3"/>
          <w:sz w:val="21"/>
        </w:rPr>
        <w:t xml:space="preserve"> </w:t>
      </w:r>
      <w:r>
        <w:rPr>
          <w:spacing w:val="-3"/>
          <w:sz w:val="21"/>
        </w:rPr>
        <w:t>和《给水排水工程管道结构设计规范》</w:t>
      </w:r>
      <w:r>
        <w:rPr>
          <w:sz w:val="21"/>
        </w:rPr>
        <w:t>GB</w:t>
      </w:r>
      <w:r>
        <w:rPr>
          <w:spacing w:val="7"/>
          <w:sz w:val="21"/>
        </w:rPr>
        <w:t xml:space="preserve"> </w:t>
      </w:r>
      <w:r>
        <w:rPr>
          <w:sz w:val="21"/>
        </w:rPr>
        <w:t>50332</w:t>
      </w:r>
      <w:r>
        <w:rPr>
          <w:spacing w:val="-3"/>
          <w:sz w:val="21"/>
        </w:rPr>
        <w:t xml:space="preserve"> </w:t>
      </w:r>
      <w:r>
        <w:rPr>
          <w:spacing w:val="-3"/>
          <w:sz w:val="21"/>
        </w:rPr>
        <w:t>的有关规定执行。当埋地管直</w:t>
      </w:r>
      <w:r>
        <w:rPr>
          <w:spacing w:val="-13"/>
          <w:sz w:val="21"/>
        </w:rPr>
        <w:t>径不小于</w:t>
      </w:r>
      <w:r>
        <w:rPr>
          <w:spacing w:val="-13"/>
          <w:sz w:val="21"/>
        </w:rPr>
        <w:t xml:space="preserve"> </w:t>
      </w:r>
      <w:r>
        <w:rPr>
          <w:sz w:val="21"/>
        </w:rPr>
        <w:t>DN100</w:t>
      </w:r>
      <w:r>
        <w:rPr>
          <w:spacing w:val="-3"/>
          <w:sz w:val="21"/>
        </w:rPr>
        <w:t xml:space="preserve"> </w:t>
      </w:r>
      <w:r>
        <w:rPr>
          <w:spacing w:val="-3"/>
          <w:sz w:val="21"/>
        </w:rPr>
        <w:t>时，应在管道弯头、三通和堵头等位置设置钢筋混凝土支墩。</w:t>
      </w:r>
      <w:r>
        <w:rPr>
          <w:spacing w:val="-3"/>
          <w:sz w:val="21"/>
        </w:rPr>
        <w:t xml:space="preserve"> </w:t>
      </w:r>
    </w:p>
    <w:p w14:paraId="5E9D5C83" w14:textId="77777777" w:rsidR="00A71EEF" w:rsidRDefault="0081115D">
      <w:pPr>
        <w:pStyle w:val="a4"/>
        <w:numPr>
          <w:ilvl w:val="2"/>
          <w:numId w:val="238"/>
        </w:numPr>
        <w:tabs>
          <w:tab w:val="left" w:pos="1530"/>
        </w:tabs>
        <w:spacing w:line="267" w:lineRule="exact"/>
        <w:ind w:left="1529" w:hanging="690"/>
        <w:rPr>
          <w:sz w:val="21"/>
        </w:rPr>
      </w:pPr>
      <w:r>
        <w:rPr>
          <w:spacing w:val="-3"/>
          <w:sz w:val="21"/>
        </w:rPr>
        <w:t>消防给水管道不宜穿越建筑基础，当必须穿越时，应采取防护套管等保护措施。</w:t>
      </w:r>
      <w:r>
        <w:rPr>
          <w:spacing w:val="-3"/>
          <w:sz w:val="21"/>
        </w:rPr>
        <w:t xml:space="preserve"> </w:t>
      </w:r>
    </w:p>
    <w:p w14:paraId="55F2E841" w14:textId="77777777" w:rsidR="00A71EEF" w:rsidRDefault="00A71EEF">
      <w:pPr>
        <w:pStyle w:val="a3"/>
        <w:rPr>
          <w:sz w:val="18"/>
        </w:rPr>
      </w:pPr>
    </w:p>
    <w:p w14:paraId="62C4EE36" w14:textId="77777777" w:rsidR="00A71EEF" w:rsidRDefault="0081115D">
      <w:pPr>
        <w:pStyle w:val="a4"/>
        <w:numPr>
          <w:ilvl w:val="2"/>
          <w:numId w:val="238"/>
        </w:numPr>
        <w:tabs>
          <w:tab w:val="left" w:pos="1530"/>
        </w:tabs>
        <w:spacing w:line="446" w:lineRule="auto"/>
        <w:ind w:left="418" w:right="1758" w:firstLine="422"/>
        <w:rPr>
          <w:sz w:val="21"/>
        </w:rPr>
      </w:pPr>
      <w:r>
        <w:rPr>
          <w:spacing w:val="-3"/>
          <w:sz w:val="21"/>
        </w:rPr>
        <w:t>埋地钢管和铸铁管，应根据土壤和地下水腐蚀性等因素确定管外壁防腐措施；海边、空气潮湿等空气中含有腐蚀性介质的场所的架空管道外壁，应采取相应的防腐措施。</w:t>
      </w:r>
      <w:r>
        <w:rPr>
          <w:sz w:val="21"/>
        </w:rPr>
        <w:t xml:space="preserve"> </w:t>
      </w:r>
    </w:p>
    <w:p w14:paraId="37F37D56" w14:textId="77777777" w:rsidR="00A71EEF" w:rsidRDefault="0081115D">
      <w:pPr>
        <w:pStyle w:val="a4"/>
        <w:numPr>
          <w:ilvl w:val="1"/>
          <w:numId w:val="238"/>
        </w:numPr>
        <w:tabs>
          <w:tab w:val="left" w:pos="1160"/>
        </w:tabs>
        <w:rPr>
          <w:sz w:val="21"/>
        </w:rPr>
      </w:pPr>
      <w:r>
        <w:rPr>
          <w:spacing w:val="-3"/>
          <w:sz w:val="21"/>
        </w:rPr>
        <w:t>阀门及其他</w:t>
      </w:r>
      <w:r>
        <w:rPr>
          <w:sz w:val="21"/>
        </w:rPr>
        <w:t xml:space="preserve"> </w:t>
      </w:r>
    </w:p>
    <w:p w14:paraId="131C1F6A" w14:textId="77777777" w:rsidR="00A71EEF" w:rsidRDefault="00A71EEF">
      <w:pPr>
        <w:pStyle w:val="a3"/>
        <w:rPr>
          <w:sz w:val="18"/>
        </w:rPr>
      </w:pPr>
    </w:p>
    <w:p w14:paraId="38EDF0D0" w14:textId="77777777" w:rsidR="00A71EEF" w:rsidRDefault="0081115D">
      <w:pPr>
        <w:pStyle w:val="a4"/>
        <w:numPr>
          <w:ilvl w:val="2"/>
          <w:numId w:val="238"/>
        </w:numPr>
        <w:tabs>
          <w:tab w:val="left" w:pos="1424"/>
        </w:tabs>
        <w:rPr>
          <w:sz w:val="21"/>
        </w:rPr>
      </w:pPr>
      <w:r>
        <w:rPr>
          <w:spacing w:val="-3"/>
          <w:sz w:val="21"/>
        </w:rPr>
        <w:t>消防给水系统的阀门选择应符合下列规定：</w:t>
      </w:r>
      <w:r>
        <w:rPr>
          <w:sz w:val="21"/>
        </w:rPr>
        <w:t xml:space="preserve"> </w:t>
      </w:r>
    </w:p>
    <w:p w14:paraId="1B3C2418" w14:textId="77777777" w:rsidR="00A71EEF" w:rsidRDefault="00A71EEF">
      <w:pPr>
        <w:pStyle w:val="a3"/>
        <w:spacing w:before="2"/>
        <w:rPr>
          <w:sz w:val="18"/>
        </w:rPr>
      </w:pPr>
    </w:p>
    <w:p w14:paraId="6D417FF6" w14:textId="77777777" w:rsidR="00A71EEF" w:rsidRDefault="0081115D">
      <w:pPr>
        <w:pStyle w:val="a3"/>
        <w:spacing w:line="446" w:lineRule="auto"/>
        <w:ind w:left="418" w:right="1609" w:firstLine="419"/>
      </w:pPr>
      <w:r>
        <w:t>埋地管道的阀门宜采用带启闭刻度的暗杆闸阀，当设置在阀门井内时可采用耐腐蚀的明杆闸阀；</w:t>
      </w:r>
      <w:r>
        <w:t xml:space="preserve"> </w:t>
      </w:r>
    </w:p>
    <w:p w14:paraId="04D6F901" w14:textId="77777777" w:rsidR="00A71EEF" w:rsidRDefault="0081115D">
      <w:pPr>
        <w:pStyle w:val="a3"/>
        <w:spacing w:line="446" w:lineRule="auto"/>
        <w:ind w:left="838" w:right="2977"/>
      </w:pPr>
      <w:r>
        <w:rPr>
          <w:spacing w:val="-3"/>
        </w:rPr>
        <w:t>室内架空管道的阀门宜采用蝶阀、明杆闸阀或带启闭刻度的暗杆闸阀等；</w:t>
      </w:r>
      <w:r>
        <w:rPr>
          <w:spacing w:val="-3"/>
        </w:rPr>
        <w:t xml:space="preserve"> </w:t>
      </w:r>
      <w:r>
        <w:rPr>
          <w:spacing w:val="-3"/>
        </w:rPr>
        <w:t>室外架空管道宜采用带启闭刻度的暗杆闸阀或耐腐蚀的明杆闸阀；</w:t>
      </w:r>
      <w:r>
        <w:t xml:space="preserve"> </w:t>
      </w:r>
    </w:p>
    <w:p w14:paraId="461B5FEC" w14:textId="77777777" w:rsidR="00A71EEF" w:rsidRDefault="0081115D">
      <w:pPr>
        <w:pStyle w:val="a3"/>
        <w:spacing w:line="446" w:lineRule="auto"/>
        <w:ind w:left="418" w:right="1817" w:firstLine="419"/>
      </w:pPr>
      <w:r>
        <w:t>埋地管道的阀门应采用球墨铸铁阀门，室内架空管道的阀门应采用球墨铸铁或不锈钢阀门，室外架空管道的阀门应采用球墨铸铁阀门或不锈钢阀门。</w:t>
      </w:r>
      <w:r>
        <w:t xml:space="preserve"> </w:t>
      </w:r>
    </w:p>
    <w:p w14:paraId="233BC24B" w14:textId="77777777" w:rsidR="00A71EEF" w:rsidRDefault="0081115D">
      <w:pPr>
        <w:pStyle w:val="a4"/>
        <w:numPr>
          <w:ilvl w:val="2"/>
          <w:numId w:val="238"/>
        </w:numPr>
        <w:tabs>
          <w:tab w:val="left" w:pos="1424"/>
        </w:tabs>
        <w:rPr>
          <w:sz w:val="21"/>
        </w:rPr>
      </w:pPr>
      <w:r>
        <w:rPr>
          <w:spacing w:val="-3"/>
          <w:sz w:val="21"/>
        </w:rPr>
        <w:t>消防给水系统管道的最高点处宜设置自动排气阀。</w:t>
      </w:r>
      <w:r>
        <w:rPr>
          <w:sz w:val="21"/>
        </w:rPr>
        <w:t xml:space="preserve"> </w:t>
      </w:r>
    </w:p>
    <w:p w14:paraId="46997DC1" w14:textId="77777777" w:rsidR="00A71EEF" w:rsidRDefault="00A71EEF">
      <w:pPr>
        <w:pStyle w:val="a3"/>
        <w:spacing w:before="10"/>
        <w:rPr>
          <w:sz w:val="17"/>
        </w:rPr>
      </w:pPr>
    </w:p>
    <w:p w14:paraId="097A2C09" w14:textId="77777777" w:rsidR="00A71EEF" w:rsidRDefault="0081115D">
      <w:pPr>
        <w:pStyle w:val="a4"/>
        <w:numPr>
          <w:ilvl w:val="2"/>
          <w:numId w:val="238"/>
        </w:numPr>
        <w:tabs>
          <w:tab w:val="left" w:pos="1424"/>
        </w:tabs>
        <w:rPr>
          <w:sz w:val="21"/>
        </w:rPr>
      </w:pPr>
      <w:r>
        <w:rPr>
          <w:spacing w:val="-5"/>
          <w:sz w:val="21"/>
        </w:rPr>
        <w:t>消防水泵出水管上的止回阀宜采用水锤消除止回阀，当消防水泵供水高度超过</w:t>
      </w:r>
      <w:r>
        <w:rPr>
          <w:spacing w:val="-5"/>
          <w:sz w:val="21"/>
        </w:rPr>
        <w:t xml:space="preserve"> </w:t>
      </w:r>
      <w:r>
        <w:rPr>
          <w:sz w:val="21"/>
        </w:rPr>
        <w:t>24m</w:t>
      </w:r>
    </w:p>
    <w:p w14:paraId="2EF7FD5C" w14:textId="77777777" w:rsidR="00A71EEF" w:rsidRDefault="00A71EEF">
      <w:pPr>
        <w:pStyle w:val="a3"/>
        <w:spacing w:before="12"/>
        <w:rPr>
          <w:sz w:val="17"/>
        </w:rPr>
      </w:pPr>
    </w:p>
    <w:p w14:paraId="7ABF6CB6" w14:textId="77777777" w:rsidR="00A71EEF" w:rsidRDefault="0081115D">
      <w:pPr>
        <w:pStyle w:val="a3"/>
        <w:ind w:left="418"/>
      </w:pPr>
      <w:r>
        <w:t>时，应采用水锤消除器。当消防水泵出水管上设有囊式气压水罐时，可不设水锤消除设施。</w:t>
      </w:r>
      <w:r>
        <w:t xml:space="preserve"> </w:t>
      </w:r>
    </w:p>
    <w:p w14:paraId="1CBA8E76" w14:textId="77777777" w:rsidR="00A71EEF" w:rsidRDefault="00A71EEF">
      <w:pPr>
        <w:pStyle w:val="a3"/>
        <w:spacing w:before="2"/>
        <w:rPr>
          <w:sz w:val="18"/>
        </w:rPr>
      </w:pPr>
    </w:p>
    <w:p w14:paraId="3BF80096" w14:textId="77777777" w:rsidR="00A71EEF" w:rsidRDefault="0081115D">
      <w:pPr>
        <w:pStyle w:val="a4"/>
        <w:numPr>
          <w:ilvl w:val="2"/>
          <w:numId w:val="238"/>
        </w:numPr>
        <w:tabs>
          <w:tab w:val="left" w:pos="1424"/>
        </w:tabs>
        <w:rPr>
          <w:sz w:val="21"/>
        </w:rPr>
      </w:pPr>
      <w:r>
        <w:rPr>
          <w:spacing w:val="-3"/>
          <w:sz w:val="21"/>
        </w:rPr>
        <w:t>减压阀的设置应符合下列规定：</w:t>
      </w:r>
      <w:r>
        <w:rPr>
          <w:sz w:val="21"/>
        </w:rPr>
        <w:t xml:space="preserve"> </w:t>
      </w:r>
    </w:p>
    <w:p w14:paraId="343B4B6A" w14:textId="77777777" w:rsidR="00A71EEF" w:rsidRDefault="00A71EEF">
      <w:pPr>
        <w:pStyle w:val="a3"/>
        <w:rPr>
          <w:sz w:val="18"/>
        </w:rPr>
      </w:pPr>
    </w:p>
    <w:p w14:paraId="61C901F0" w14:textId="77777777" w:rsidR="00A71EEF" w:rsidRDefault="0081115D">
      <w:pPr>
        <w:pStyle w:val="a3"/>
        <w:spacing w:line="436" w:lineRule="auto"/>
        <w:ind w:left="838" w:right="1556"/>
      </w:pPr>
      <w:r>
        <w:rPr>
          <w:spacing w:val="-3"/>
        </w:rPr>
        <w:t>减压阀应设置在报警阀组入口前，当连接两个及以上报警阀组时，应设置备用减压阀；</w:t>
      </w:r>
      <w:r>
        <w:rPr>
          <w:spacing w:val="-3"/>
        </w:rPr>
        <w:t xml:space="preserve">  </w:t>
      </w:r>
      <w:r>
        <w:rPr>
          <w:spacing w:val="-5"/>
        </w:rPr>
        <w:t>减压阀的进口处应设置过滤器，过滤器的孔网直径不宜小于</w:t>
      </w:r>
      <w:r>
        <w:rPr>
          <w:spacing w:val="-5"/>
        </w:rPr>
        <w:t xml:space="preserve"> </w:t>
      </w:r>
      <w:r>
        <w:t>4</w:t>
      </w:r>
      <w:r>
        <w:t>～</w:t>
      </w:r>
      <w:r>
        <w:t>5</w:t>
      </w:r>
      <w:r>
        <w:rPr>
          <w:spacing w:val="-20"/>
        </w:rPr>
        <w:t xml:space="preserve"> </w:t>
      </w:r>
      <w:r>
        <w:rPr>
          <w:spacing w:val="-20"/>
        </w:rPr>
        <w:t>目</w:t>
      </w:r>
      <w:r>
        <w:t>/cm</w:t>
      </w:r>
      <w:r>
        <w:rPr>
          <w:position w:val="11"/>
          <w:sz w:val="11"/>
        </w:rPr>
        <w:t>2</w:t>
      </w:r>
      <w:r>
        <w:rPr>
          <w:spacing w:val="-3"/>
        </w:rPr>
        <w:t>，过流面积不应小</w:t>
      </w:r>
    </w:p>
    <w:p w14:paraId="775C4B9F" w14:textId="77777777" w:rsidR="00A71EEF" w:rsidRDefault="0081115D">
      <w:pPr>
        <w:pStyle w:val="a3"/>
        <w:spacing w:before="11"/>
        <w:ind w:left="418"/>
      </w:pPr>
      <w:r>
        <w:t>于管道截面积的</w:t>
      </w:r>
      <w:r>
        <w:t xml:space="preserve"> 4 </w:t>
      </w:r>
      <w:r>
        <w:t>倍；</w:t>
      </w:r>
      <w:r>
        <w:t xml:space="preserve"> </w:t>
      </w:r>
    </w:p>
    <w:p w14:paraId="2ACE0122" w14:textId="77777777" w:rsidR="00A71EEF" w:rsidRDefault="00A71EEF">
      <w:pPr>
        <w:pStyle w:val="a3"/>
        <w:rPr>
          <w:sz w:val="18"/>
        </w:rPr>
      </w:pPr>
    </w:p>
    <w:p w14:paraId="3C0E3E42" w14:textId="77777777" w:rsidR="00A71EEF" w:rsidRDefault="0081115D">
      <w:pPr>
        <w:pStyle w:val="a3"/>
        <w:spacing w:line="446" w:lineRule="auto"/>
        <w:ind w:left="418" w:right="1391" w:firstLine="419"/>
      </w:pPr>
      <w:r>
        <w:t>过滤器和减压阀前后应设压力表，压力表的表盘直径不应小于</w:t>
      </w:r>
      <w:r>
        <w:t xml:space="preserve"> 100mm</w:t>
      </w:r>
      <w:r>
        <w:t>，最大量程宜为设计压力的</w:t>
      </w:r>
      <w:r>
        <w:t xml:space="preserve"> 2 </w:t>
      </w:r>
      <w:r>
        <w:t>倍；</w:t>
      </w:r>
      <w:r>
        <w:t xml:space="preserve"> </w:t>
      </w:r>
    </w:p>
    <w:p w14:paraId="097739B4" w14:textId="77777777" w:rsidR="00A71EEF" w:rsidRDefault="0081115D">
      <w:pPr>
        <w:pStyle w:val="a3"/>
        <w:spacing w:line="446" w:lineRule="auto"/>
        <w:ind w:left="838" w:right="6129"/>
      </w:pPr>
      <w:r>
        <w:t>过滤器前和减压阀后应设置控制阀门；</w:t>
      </w:r>
      <w:r>
        <w:t xml:space="preserve"> </w:t>
      </w:r>
      <w:r>
        <w:t>减压阀后应设置压力试验排水阀；</w:t>
      </w:r>
      <w:r>
        <w:t xml:space="preserve"> </w:t>
      </w:r>
    </w:p>
    <w:p w14:paraId="3DED6C0F" w14:textId="77777777" w:rsidR="00A71EEF" w:rsidRDefault="0081115D">
      <w:pPr>
        <w:pStyle w:val="a3"/>
        <w:spacing w:line="446" w:lineRule="auto"/>
        <w:ind w:left="838" w:right="5709"/>
      </w:pPr>
      <w:r>
        <w:t>减压阀应设置流量检测测试接口或流量计；</w:t>
      </w:r>
      <w:r>
        <w:t xml:space="preserve"> </w:t>
      </w:r>
      <w:r>
        <w:t>垂直安装的减压阀，水流方向宜向下；</w:t>
      </w:r>
      <w:r>
        <w:t xml:space="preserve"> </w:t>
      </w:r>
    </w:p>
    <w:p w14:paraId="585741BB" w14:textId="77777777" w:rsidR="00A71EEF" w:rsidRDefault="00A71EEF">
      <w:pPr>
        <w:spacing w:line="446" w:lineRule="auto"/>
        <w:sectPr w:rsidR="00A71EEF">
          <w:footerReference w:type="default" r:id="rId384"/>
          <w:pgSz w:w="11910" w:h="16850"/>
          <w:pgMar w:top="1220" w:right="0" w:bottom="1420" w:left="1260" w:header="0" w:footer="1239" w:gutter="0"/>
          <w:pgNumType w:start="1350"/>
          <w:cols w:space="720"/>
        </w:sectPr>
      </w:pPr>
    </w:p>
    <w:p w14:paraId="26818B50" w14:textId="77777777" w:rsidR="00A71EEF" w:rsidRDefault="0081115D">
      <w:pPr>
        <w:pStyle w:val="a3"/>
        <w:spacing w:before="47" w:line="446" w:lineRule="auto"/>
        <w:ind w:left="838" w:right="4657"/>
      </w:pPr>
      <w:r>
        <w:rPr>
          <w:spacing w:val="-3"/>
        </w:rPr>
        <w:t>比例式减压阀宜垂直安装，可调式减压阀宜水平安装；</w:t>
      </w:r>
      <w:r>
        <w:rPr>
          <w:spacing w:val="-3"/>
        </w:rPr>
        <w:t xml:space="preserve"> </w:t>
      </w:r>
      <w:r>
        <w:rPr>
          <w:spacing w:val="-3"/>
        </w:rPr>
        <w:t>减压阀和控制阀门宜有保护或锁定调节配件的装置；</w:t>
      </w:r>
      <w:r>
        <w:rPr>
          <w:spacing w:val="-3"/>
        </w:rPr>
        <w:t xml:space="preserve">  </w:t>
      </w:r>
      <w:r>
        <w:rPr>
          <w:spacing w:val="-3"/>
        </w:rPr>
        <w:t>接减压阀的管段不应有气堵、气阻。</w:t>
      </w:r>
      <w:r>
        <w:t xml:space="preserve"> </w:t>
      </w:r>
    </w:p>
    <w:p w14:paraId="52CA3083" w14:textId="77777777" w:rsidR="00A71EEF" w:rsidRDefault="00A71EEF">
      <w:pPr>
        <w:pStyle w:val="a3"/>
        <w:rPr>
          <w:sz w:val="20"/>
        </w:rPr>
      </w:pPr>
    </w:p>
    <w:p w14:paraId="31B3F120" w14:textId="77777777" w:rsidR="00A71EEF" w:rsidRDefault="00A71EEF">
      <w:pPr>
        <w:pStyle w:val="a3"/>
        <w:rPr>
          <w:sz w:val="20"/>
        </w:rPr>
      </w:pPr>
    </w:p>
    <w:p w14:paraId="5F3622CD" w14:textId="77777777" w:rsidR="00A71EEF" w:rsidRDefault="00A71EEF">
      <w:pPr>
        <w:pStyle w:val="a3"/>
        <w:rPr>
          <w:sz w:val="20"/>
        </w:rPr>
      </w:pPr>
    </w:p>
    <w:p w14:paraId="3AE20BEF" w14:textId="77777777" w:rsidR="00A71EEF" w:rsidRDefault="00A71EEF">
      <w:pPr>
        <w:pStyle w:val="a3"/>
        <w:spacing w:before="11"/>
        <w:rPr>
          <w:sz w:val="17"/>
        </w:rPr>
      </w:pPr>
    </w:p>
    <w:p w14:paraId="0CF0942A" w14:textId="77777777" w:rsidR="00A71EEF" w:rsidRDefault="0081115D">
      <w:pPr>
        <w:pStyle w:val="a4"/>
        <w:numPr>
          <w:ilvl w:val="2"/>
          <w:numId w:val="238"/>
        </w:numPr>
        <w:tabs>
          <w:tab w:val="left" w:pos="1424"/>
        </w:tabs>
        <w:spacing w:line="446" w:lineRule="auto"/>
        <w:ind w:left="418" w:right="1445" w:firstLine="422"/>
        <w:rPr>
          <w:sz w:val="21"/>
        </w:rPr>
      </w:pPr>
      <w:r>
        <w:rPr>
          <w:spacing w:val="-3"/>
          <w:sz w:val="21"/>
        </w:rPr>
        <w:t>室内消防给水系统由生活、生</w:t>
      </w:r>
      <w:r>
        <w:rPr>
          <w:spacing w:val="-3"/>
          <w:sz w:val="21"/>
        </w:rPr>
        <w:t>产给水系统管网直接供水时，应在引入管处设置倒流防止器。当消防给水系统采用有空气隔断的倒流防止器时，该倒流防止器应设置在清洁卫生的场</w:t>
      </w:r>
      <w:r>
        <w:rPr>
          <w:spacing w:val="-3"/>
          <w:sz w:val="21"/>
        </w:rPr>
        <w:t xml:space="preserve"> </w:t>
      </w:r>
      <w:r>
        <w:rPr>
          <w:spacing w:val="-3"/>
          <w:sz w:val="21"/>
        </w:rPr>
        <w:t>所，其排水口应采取防止被水淹没的技术措施。</w:t>
      </w:r>
      <w:r>
        <w:rPr>
          <w:sz w:val="21"/>
        </w:rPr>
        <w:t xml:space="preserve"> </w:t>
      </w:r>
    </w:p>
    <w:p w14:paraId="0470B58D" w14:textId="77777777" w:rsidR="00A71EEF" w:rsidRDefault="0081115D">
      <w:pPr>
        <w:pStyle w:val="a4"/>
        <w:numPr>
          <w:ilvl w:val="2"/>
          <w:numId w:val="238"/>
        </w:numPr>
        <w:tabs>
          <w:tab w:val="left" w:pos="1424"/>
        </w:tabs>
        <w:spacing w:line="268" w:lineRule="exact"/>
        <w:rPr>
          <w:sz w:val="21"/>
        </w:rPr>
      </w:pPr>
      <w:r>
        <w:rPr>
          <w:spacing w:val="-3"/>
          <w:sz w:val="21"/>
        </w:rPr>
        <w:t>在寒冷、严寒地区，室外阀门井应采取防冻措施。</w:t>
      </w:r>
      <w:r>
        <w:rPr>
          <w:sz w:val="21"/>
        </w:rPr>
        <w:t xml:space="preserve"> </w:t>
      </w:r>
    </w:p>
    <w:p w14:paraId="72F18EBA" w14:textId="77777777" w:rsidR="00A71EEF" w:rsidRDefault="00A71EEF">
      <w:pPr>
        <w:pStyle w:val="a3"/>
        <w:spacing w:before="2"/>
        <w:rPr>
          <w:sz w:val="18"/>
        </w:rPr>
      </w:pPr>
    </w:p>
    <w:p w14:paraId="37FD71BA" w14:textId="77777777" w:rsidR="00A71EEF" w:rsidRDefault="0081115D">
      <w:pPr>
        <w:pStyle w:val="a4"/>
        <w:numPr>
          <w:ilvl w:val="2"/>
          <w:numId w:val="238"/>
        </w:numPr>
        <w:tabs>
          <w:tab w:val="left" w:pos="1424"/>
        </w:tabs>
        <w:rPr>
          <w:sz w:val="21"/>
        </w:rPr>
      </w:pPr>
      <w:r>
        <w:rPr>
          <w:spacing w:val="-3"/>
          <w:sz w:val="21"/>
        </w:rPr>
        <w:t>消防给水系统的室内外消火栓、阀门等设置位置，应设置永久性固定标识。</w:t>
      </w:r>
      <w:r>
        <w:rPr>
          <w:spacing w:val="-3"/>
          <w:sz w:val="21"/>
        </w:rPr>
        <w:t xml:space="preserve"> </w:t>
      </w:r>
    </w:p>
    <w:p w14:paraId="1100C5AA" w14:textId="77777777" w:rsidR="00A71EEF" w:rsidRDefault="00A71EEF">
      <w:pPr>
        <w:pStyle w:val="a3"/>
        <w:spacing w:before="8"/>
        <w:rPr>
          <w:sz w:val="15"/>
        </w:rPr>
      </w:pPr>
    </w:p>
    <w:p w14:paraId="65ABBD1C" w14:textId="77777777" w:rsidR="00A71EEF" w:rsidRDefault="0081115D">
      <w:pPr>
        <w:pStyle w:val="4"/>
      </w:pPr>
      <w:r>
        <w:t xml:space="preserve">9 </w:t>
      </w:r>
      <w:r>
        <w:t>消防排水</w:t>
      </w:r>
      <w:r>
        <w:rPr>
          <w:w w:val="99"/>
        </w:rPr>
        <w:t xml:space="preserve"> </w:t>
      </w:r>
    </w:p>
    <w:p w14:paraId="0882B76A" w14:textId="77777777" w:rsidR="00A71EEF" w:rsidRDefault="00A71EEF">
      <w:pPr>
        <w:pStyle w:val="a3"/>
        <w:spacing w:before="4"/>
        <w:rPr>
          <w:b/>
          <w:sz w:val="17"/>
        </w:rPr>
      </w:pPr>
    </w:p>
    <w:p w14:paraId="19C301A0" w14:textId="77777777" w:rsidR="00A71EEF" w:rsidRDefault="0081115D">
      <w:pPr>
        <w:pStyle w:val="a4"/>
        <w:numPr>
          <w:ilvl w:val="1"/>
          <w:numId w:val="236"/>
        </w:numPr>
        <w:tabs>
          <w:tab w:val="left" w:pos="1159"/>
        </w:tabs>
        <w:ind w:hanging="319"/>
        <w:rPr>
          <w:sz w:val="21"/>
        </w:rPr>
      </w:pPr>
      <w:r>
        <w:rPr>
          <w:spacing w:val="-3"/>
          <w:sz w:val="21"/>
        </w:rPr>
        <w:t>一般规定</w:t>
      </w:r>
      <w:r>
        <w:rPr>
          <w:sz w:val="21"/>
        </w:rPr>
        <w:t xml:space="preserve"> </w:t>
      </w:r>
    </w:p>
    <w:p w14:paraId="69221FBA" w14:textId="77777777" w:rsidR="00A71EEF" w:rsidRDefault="00A71EEF">
      <w:pPr>
        <w:pStyle w:val="a3"/>
        <w:spacing w:before="2"/>
        <w:rPr>
          <w:sz w:val="18"/>
        </w:rPr>
      </w:pPr>
    </w:p>
    <w:p w14:paraId="5D282325" w14:textId="77777777" w:rsidR="00A71EEF" w:rsidRDefault="0081115D">
      <w:pPr>
        <w:pStyle w:val="a4"/>
        <w:numPr>
          <w:ilvl w:val="2"/>
          <w:numId w:val="236"/>
        </w:numPr>
        <w:tabs>
          <w:tab w:val="left" w:pos="1424"/>
        </w:tabs>
        <w:rPr>
          <w:sz w:val="21"/>
        </w:rPr>
      </w:pPr>
      <w:r>
        <w:rPr>
          <w:spacing w:val="-3"/>
          <w:sz w:val="21"/>
        </w:rPr>
        <w:t>设有消防给水系统的建设工程宜采取消防排水措施。</w:t>
      </w:r>
      <w:r>
        <w:rPr>
          <w:sz w:val="21"/>
        </w:rPr>
        <w:t xml:space="preserve"> </w:t>
      </w:r>
    </w:p>
    <w:p w14:paraId="67D936F4" w14:textId="77777777" w:rsidR="00A71EEF" w:rsidRDefault="00A71EEF">
      <w:pPr>
        <w:pStyle w:val="a3"/>
        <w:rPr>
          <w:sz w:val="18"/>
        </w:rPr>
      </w:pPr>
    </w:p>
    <w:p w14:paraId="131E19CB" w14:textId="77777777" w:rsidR="00A71EEF" w:rsidRDefault="0081115D">
      <w:pPr>
        <w:pStyle w:val="a4"/>
        <w:numPr>
          <w:ilvl w:val="2"/>
          <w:numId w:val="236"/>
        </w:numPr>
        <w:tabs>
          <w:tab w:val="left" w:pos="1424"/>
        </w:tabs>
        <w:spacing w:line="446" w:lineRule="auto"/>
        <w:ind w:left="418" w:right="1445" w:firstLine="422"/>
        <w:rPr>
          <w:sz w:val="21"/>
        </w:rPr>
      </w:pPr>
      <w:r>
        <w:rPr>
          <w:spacing w:val="-3"/>
          <w:sz w:val="21"/>
        </w:rPr>
        <w:t>排水措施应满足财产和消防设施安全，以及系统调试和日常维护管理等安全和功能的需要。</w:t>
      </w:r>
      <w:r>
        <w:rPr>
          <w:sz w:val="21"/>
        </w:rPr>
        <w:t xml:space="preserve"> </w:t>
      </w:r>
    </w:p>
    <w:p w14:paraId="04D02A7C" w14:textId="77777777" w:rsidR="00A71EEF" w:rsidRDefault="0081115D">
      <w:pPr>
        <w:pStyle w:val="a4"/>
        <w:numPr>
          <w:ilvl w:val="1"/>
          <w:numId w:val="236"/>
        </w:numPr>
        <w:tabs>
          <w:tab w:val="left" w:pos="1160"/>
        </w:tabs>
        <w:ind w:left="1159" w:hanging="320"/>
        <w:rPr>
          <w:sz w:val="21"/>
        </w:rPr>
      </w:pPr>
      <w:r>
        <w:rPr>
          <w:spacing w:val="-3"/>
          <w:sz w:val="21"/>
        </w:rPr>
        <w:t>消防排水</w:t>
      </w:r>
      <w:r>
        <w:rPr>
          <w:sz w:val="21"/>
        </w:rPr>
        <w:t xml:space="preserve"> </w:t>
      </w:r>
    </w:p>
    <w:p w14:paraId="40FA9131" w14:textId="77777777" w:rsidR="00A71EEF" w:rsidRDefault="00A71EEF">
      <w:pPr>
        <w:pStyle w:val="a3"/>
        <w:spacing w:before="12"/>
        <w:rPr>
          <w:sz w:val="17"/>
        </w:rPr>
      </w:pPr>
    </w:p>
    <w:p w14:paraId="67A0DCD7" w14:textId="77777777" w:rsidR="00A71EEF" w:rsidRDefault="0081115D">
      <w:pPr>
        <w:pStyle w:val="a4"/>
        <w:numPr>
          <w:ilvl w:val="2"/>
          <w:numId w:val="236"/>
        </w:numPr>
        <w:tabs>
          <w:tab w:val="left" w:pos="1424"/>
        </w:tabs>
        <w:rPr>
          <w:sz w:val="21"/>
        </w:rPr>
      </w:pPr>
      <w:r>
        <w:rPr>
          <w:spacing w:val="-3"/>
          <w:sz w:val="21"/>
        </w:rPr>
        <w:t>下列建筑物和场所内应采取消防排水措施：</w:t>
      </w:r>
      <w:r>
        <w:rPr>
          <w:sz w:val="21"/>
        </w:rPr>
        <w:t xml:space="preserve"> </w:t>
      </w:r>
    </w:p>
    <w:p w14:paraId="21450E5B" w14:textId="77777777" w:rsidR="00A71EEF" w:rsidRDefault="00A71EEF">
      <w:pPr>
        <w:pStyle w:val="a3"/>
        <w:spacing w:before="12"/>
        <w:rPr>
          <w:sz w:val="17"/>
        </w:rPr>
      </w:pPr>
    </w:p>
    <w:p w14:paraId="71448243" w14:textId="77777777" w:rsidR="00A71EEF" w:rsidRDefault="0081115D">
      <w:pPr>
        <w:pStyle w:val="a4"/>
        <w:numPr>
          <w:ilvl w:val="0"/>
          <w:numId w:val="235"/>
        </w:numPr>
        <w:tabs>
          <w:tab w:val="left" w:pos="1367"/>
        </w:tabs>
        <w:rPr>
          <w:sz w:val="21"/>
        </w:rPr>
      </w:pPr>
      <w:r>
        <w:rPr>
          <w:spacing w:val="-3"/>
          <w:sz w:val="21"/>
        </w:rPr>
        <w:t>消防水泵房；</w:t>
      </w:r>
      <w:r>
        <w:rPr>
          <w:sz w:val="21"/>
        </w:rPr>
        <w:t xml:space="preserve"> </w:t>
      </w:r>
    </w:p>
    <w:p w14:paraId="6C462FEF" w14:textId="77777777" w:rsidR="00A71EEF" w:rsidRDefault="00A71EEF">
      <w:pPr>
        <w:pStyle w:val="a3"/>
        <w:spacing w:before="2"/>
        <w:rPr>
          <w:sz w:val="18"/>
        </w:rPr>
      </w:pPr>
    </w:p>
    <w:p w14:paraId="5BA9DDBB" w14:textId="77777777" w:rsidR="00A71EEF" w:rsidRDefault="0081115D">
      <w:pPr>
        <w:pStyle w:val="a4"/>
        <w:numPr>
          <w:ilvl w:val="0"/>
          <w:numId w:val="235"/>
        </w:numPr>
        <w:tabs>
          <w:tab w:val="left" w:pos="1367"/>
        </w:tabs>
        <w:rPr>
          <w:sz w:val="21"/>
        </w:rPr>
      </w:pPr>
      <w:r>
        <w:rPr>
          <w:spacing w:val="-3"/>
          <w:sz w:val="21"/>
        </w:rPr>
        <w:t>设有消防给水系统的地下室；</w:t>
      </w:r>
      <w:r>
        <w:rPr>
          <w:sz w:val="21"/>
        </w:rPr>
        <w:t xml:space="preserve"> </w:t>
      </w:r>
    </w:p>
    <w:p w14:paraId="1EAC3D28" w14:textId="77777777" w:rsidR="00A71EEF" w:rsidRDefault="00A71EEF">
      <w:pPr>
        <w:pStyle w:val="a3"/>
        <w:rPr>
          <w:sz w:val="18"/>
        </w:rPr>
      </w:pPr>
    </w:p>
    <w:p w14:paraId="50B2E26D" w14:textId="77777777" w:rsidR="00A71EEF" w:rsidRDefault="0081115D">
      <w:pPr>
        <w:pStyle w:val="a4"/>
        <w:numPr>
          <w:ilvl w:val="0"/>
          <w:numId w:val="235"/>
        </w:numPr>
        <w:tabs>
          <w:tab w:val="left" w:pos="1367"/>
        </w:tabs>
        <w:rPr>
          <w:sz w:val="21"/>
        </w:rPr>
      </w:pPr>
      <w:r>
        <w:rPr>
          <w:spacing w:val="-3"/>
          <w:sz w:val="21"/>
        </w:rPr>
        <w:t>消防电梯的井底；</w:t>
      </w:r>
      <w:r>
        <w:rPr>
          <w:sz w:val="21"/>
        </w:rPr>
        <w:t xml:space="preserve"> </w:t>
      </w:r>
    </w:p>
    <w:p w14:paraId="79A54098" w14:textId="77777777" w:rsidR="00A71EEF" w:rsidRDefault="00A71EEF">
      <w:pPr>
        <w:pStyle w:val="a3"/>
        <w:rPr>
          <w:sz w:val="18"/>
        </w:rPr>
      </w:pPr>
    </w:p>
    <w:p w14:paraId="53ABEE9E" w14:textId="77777777" w:rsidR="00A71EEF" w:rsidRDefault="0081115D">
      <w:pPr>
        <w:pStyle w:val="a4"/>
        <w:numPr>
          <w:ilvl w:val="0"/>
          <w:numId w:val="235"/>
        </w:numPr>
        <w:tabs>
          <w:tab w:val="left" w:pos="1367"/>
        </w:tabs>
        <w:rPr>
          <w:sz w:val="21"/>
        </w:rPr>
      </w:pPr>
      <w:r>
        <w:rPr>
          <w:spacing w:val="-3"/>
          <w:sz w:val="21"/>
        </w:rPr>
        <w:t>仓库。</w:t>
      </w:r>
      <w:r>
        <w:rPr>
          <w:sz w:val="21"/>
        </w:rPr>
        <w:t xml:space="preserve"> </w:t>
      </w:r>
    </w:p>
    <w:p w14:paraId="05EE16B8" w14:textId="77777777" w:rsidR="00A71EEF" w:rsidRDefault="00A71EEF">
      <w:pPr>
        <w:pStyle w:val="a3"/>
        <w:spacing w:before="2"/>
        <w:rPr>
          <w:sz w:val="18"/>
        </w:rPr>
      </w:pPr>
    </w:p>
    <w:p w14:paraId="19EA32DD" w14:textId="77777777" w:rsidR="00A71EEF" w:rsidRDefault="0081115D">
      <w:pPr>
        <w:pStyle w:val="a4"/>
        <w:numPr>
          <w:ilvl w:val="2"/>
          <w:numId w:val="236"/>
        </w:numPr>
        <w:tabs>
          <w:tab w:val="left" w:pos="1424"/>
        </w:tabs>
        <w:rPr>
          <w:sz w:val="21"/>
        </w:rPr>
      </w:pPr>
      <w:r>
        <w:rPr>
          <w:spacing w:val="-3"/>
          <w:sz w:val="21"/>
        </w:rPr>
        <w:t>室内消防排水系统应符合下列规定：</w:t>
      </w:r>
      <w:r>
        <w:rPr>
          <w:sz w:val="21"/>
        </w:rPr>
        <w:t xml:space="preserve"> </w:t>
      </w:r>
    </w:p>
    <w:p w14:paraId="48AE0D98" w14:textId="77777777" w:rsidR="00A71EEF" w:rsidRDefault="00A71EEF">
      <w:pPr>
        <w:pStyle w:val="a3"/>
        <w:spacing w:before="12"/>
        <w:rPr>
          <w:sz w:val="17"/>
        </w:rPr>
      </w:pPr>
    </w:p>
    <w:p w14:paraId="584C5ABB" w14:textId="77777777" w:rsidR="00A71EEF" w:rsidRDefault="0081115D">
      <w:pPr>
        <w:pStyle w:val="a4"/>
        <w:numPr>
          <w:ilvl w:val="0"/>
          <w:numId w:val="234"/>
        </w:numPr>
        <w:tabs>
          <w:tab w:val="left" w:pos="1367"/>
        </w:tabs>
        <w:rPr>
          <w:sz w:val="21"/>
        </w:rPr>
      </w:pPr>
      <w:r>
        <w:rPr>
          <w:spacing w:val="-3"/>
          <w:sz w:val="21"/>
        </w:rPr>
        <w:t>室内消防排水宜排入室外雨水管道；</w:t>
      </w:r>
      <w:r>
        <w:rPr>
          <w:sz w:val="21"/>
        </w:rPr>
        <w:t xml:space="preserve"> </w:t>
      </w:r>
    </w:p>
    <w:p w14:paraId="0441A1F6" w14:textId="77777777" w:rsidR="00A71EEF" w:rsidRDefault="00A71EEF">
      <w:pPr>
        <w:pStyle w:val="a3"/>
        <w:spacing w:before="12"/>
        <w:rPr>
          <w:sz w:val="17"/>
        </w:rPr>
      </w:pPr>
    </w:p>
    <w:p w14:paraId="64EF0EAA" w14:textId="77777777" w:rsidR="00A71EEF" w:rsidRDefault="0081115D">
      <w:pPr>
        <w:pStyle w:val="a4"/>
        <w:numPr>
          <w:ilvl w:val="0"/>
          <w:numId w:val="234"/>
        </w:numPr>
        <w:tabs>
          <w:tab w:val="left" w:pos="1367"/>
        </w:tabs>
        <w:rPr>
          <w:sz w:val="21"/>
        </w:rPr>
      </w:pPr>
      <w:r>
        <w:rPr>
          <w:spacing w:val="-3"/>
          <w:sz w:val="21"/>
        </w:rPr>
        <w:t>当存有少量可燃液体时，排水管道应设置水封，并宜间接排入室外污水管道；</w:t>
      </w:r>
      <w:r>
        <w:rPr>
          <w:sz w:val="21"/>
        </w:rPr>
        <w:t xml:space="preserve"> </w:t>
      </w:r>
    </w:p>
    <w:p w14:paraId="421287B8" w14:textId="77777777" w:rsidR="00A71EEF" w:rsidRDefault="00A71EEF">
      <w:pPr>
        <w:pStyle w:val="a3"/>
        <w:spacing w:before="2"/>
        <w:rPr>
          <w:sz w:val="18"/>
        </w:rPr>
      </w:pPr>
    </w:p>
    <w:p w14:paraId="5BED7043" w14:textId="77777777" w:rsidR="00A71EEF" w:rsidRDefault="0081115D">
      <w:pPr>
        <w:pStyle w:val="a4"/>
        <w:numPr>
          <w:ilvl w:val="0"/>
          <w:numId w:val="234"/>
        </w:numPr>
        <w:tabs>
          <w:tab w:val="left" w:pos="1367"/>
        </w:tabs>
        <w:rPr>
          <w:sz w:val="21"/>
        </w:rPr>
      </w:pPr>
      <w:r>
        <w:rPr>
          <w:spacing w:val="-3"/>
          <w:sz w:val="21"/>
        </w:rPr>
        <w:t>地下室的消防排水设施宜与地下室其他地面废水排水设施共用。</w:t>
      </w:r>
      <w:r>
        <w:rPr>
          <w:sz w:val="21"/>
        </w:rPr>
        <w:t xml:space="preserve"> </w:t>
      </w:r>
    </w:p>
    <w:p w14:paraId="3EF8B30D" w14:textId="77777777" w:rsidR="00A71EEF" w:rsidRDefault="00A71EEF">
      <w:pPr>
        <w:pStyle w:val="a3"/>
        <w:rPr>
          <w:sz w:val="18"/>
        </w:rPr>
      </w:pPr>
    </w:p>
    <w:p w14:paraId="65F9C519" w14:textId="77777777" w:rsidR="00A71EEF" w:rsidRDefault="0081115D">
      <w:pPr>
        <w:pStyle w:val="a4"/>
        <w:numPr>
          <w:ilvl w:val="2"/>
          <w:numId w:val="236"/>
        </w:numPr>
        <w:tabs>
          <w:tab w:val="left" w:pos="1424"/>
        </w:tabs>
        <w:spacing w:line="446" w:lineRule="auto"/>
        <w:ind w:left="838" w:right="5125" w:firstLine="2"/>
        <w:rPr>
          <w:sz w:val="21"/>
        </w:rPr>
      </w:pPr>
      <w:r>
        <w:rPr>
          <w:spacing w:val="-3"/>
          <w:sz w:val="21"/>
        </w:rPr>
        <w:t>消防电梯的井底排水设施应符合下列规定：</w:t>
      </w:r>
      <w:r>
        <w:rPr>
          <w:spacing w:val="-3"/>
          <w:sz w:val="21"/>
        </w:rPr>
        <w:t xml:space="preserve"> </w:t>
      </w:r>
      <w:r>
        <w:rPr>
          <w:spacing w:val="-7"/>
          <w:sz w:val="21"/>
        </w:rPr>
        <w:t>排水泵集水井的有效容量不应小于</w:t>
      </w:r>
      <w:r>
        <w:rPr>
          <w:spacing w:val="-7"/>
          <w:sz w:val="21"/>
        </w:rPr>
        <w:t xml:space="preserve"> </w:t>
      </w:r>
      <w:r>
        <w:rPr>
          <w:sz w:val="21"/>
        </w:rPr>
        <w:t>2.00m3</w:t>
      </w:r>
      <w:r>
        <w:rPr>
          <w:sz w:val="21"/>
        </w:rPr>
        <w:t>；</w:t>
      </w:r>
      <w:r>
        <w:rPr>
          <w:sz w:val="21"/>
        </w:rPr>
        <w:t xml:space="preserve"> </w:t>
      </w:r>
    </w:p>
    <w:p w14:paraId="3A0B45F2" w14:textId="77777777" w:rsidR="00A71EEF" w:rsidRDefault="0081115D">
      <w:pPr>
        <w:pStyle w:val="a3"/>
        <w:ind w:left="838"/>
      </w:pPr>
      <w:r>
        <w:t>排水泵的排水量不应小于</w:t>
      </w:r>
      <w:r>
        <w:t xml:space="preserve"> 10L/s</w:t>
      </w:r>
      <w:r>
        <w:t>。</w:t>
      </w:r>
      <w:r>
        <w:t xml:space="preserve"> </w:t>
      </w:r>
    </w:p>
    <w:p w14:paraId="5D872409" w14:textId="77777777" w:rsidR="00A71EEF" w:rsidRDefault="00A71EEF">
      <w:pPr>
        <w:sectPr w:rsidR="00A71EEF">
          <w:pgSz w:w="11910" w:h="16850"/>
          <w:pgMar w:top="1220" w:right="0" w:bottom="1420" w:left="1260" w:header="0" w:footer="1239" w:gutter="0"/>
          <w:cols w:space="720"/>
        </w:sectPr>
      </w:pPr>
    </w:p>
    <w:p w14:paraId="247E6648" w14:textId="77777777" w:rsidR="00A71EEF" w:rsidRDefault="0081115D">
      <w:pPr>
        <w:pStyle w:val="a4"/>
        <w:numPr>
          <w:ilvl w:val="2"/>
          <w:numId w:val="236"/>
        </w:numPr>
        <w:tabs>
          <w:tab w:val="left" w:pos="1371"/>
        </w:tabs>
        <w:spacing w:before="47"/>
        <w:ind w:left="1370" w:hanging="531"/>
        <w:rPr>
          <w:sz w:val="21"/>
        </w:rPr>
      </w:pPr>
      <w:r>
        <w:rPr>
          <w:spacing w:val="-3"/>
          <w:sz w:val="21"/>
        </w:rPr>
        <w:t>室内消防排水设施应采取防止倒灌的技术措施。</w:t>
      </w:r>
      <w:r>
        <w:rPr>
          <w:sz w:val="21"/>
        </w:rPr>
        <w:t xml:space="preserve"> </w:t>
      </w:r>
    </w:p>
    <w:p w14:paraId="2026990C" w14:textId="77777777" w:rsidR="00A71EEF" w:rsidRDefault="00A71EEF">
      <w:pPr>
        <w:pStyle w:val="a3"/>
        <w:rPr>
          <w:sz w:val="18"/>
        </w:rPr>
      </w:pPr>
    </w:p>
    <w:p w14:paraId="03CA2061" w14:textId="77777777" w:rsidR="00A71EEF" w:rsidRDefault="0081115D">
      <w:pPr>
        <w:pStyle w:val="a4"/>
        <w:numPr>
          <w:ilvl w:val="1"/>
          <w:numId w:val="236"/>
        </w:numPr>
        <w:tabs>
          <w:tab w:val="left" w:pos="1159"/>
        </w:tabs>
        <w:ind w:hanging="319"/>
        <w:rPr>
          <w:sz w:val="21"/>
        </w:rPr>
      </w:pPr>
      <w:r>
        <w:rPr>
          <w:spacing w:val="-3"/>
          <w:sz w:val="21"/>
        </w:rPr>
        <w:t>测试排水</w:t>
      </w:r>
      <w:r>
        <w:rPr>
          <w:sz w:val="21"/>
        </w:rPr>
        <w:t xml:space="preserve"> </w:t>
      </w:r>
    </w:p>
    <w:p w14:paraId="7C48D37F" w14:textId="77777777" w:rsidR="00A71EEF" w:rsidRDefault="00A71EEF">
      <w:pPr>
        <w:pStyle w:val="a3"/>
        <w:rPr>
          <w:sz w:val="18"/>
        </w:rPr>
      </w:pPr>
    </w:p>
    <w:p w14:paraId="10E69A10" w14:textId="77777777" w:rsidR="00A71EEF" w:rsidRDefault="0081115D">
      <w:pPr>
        <w:pStyle w:val="a4"/>
        <w:numPr>
          <w:ilvl w:val="2"/>
          <w:numId w:val="236"/>
        </w:numPr>
        <w:tabs>
          <w:tab w:val="left" w:pos="1424"/>
        </w:tabs>
        <w:rPr>
          <w:sz w:val="21"/>
        </w:rPr>
      </w:pPr>
      <w:r>
        <w:rPr>
          <w:spacing w:val="-3"/>
          <w:sz w:val="21"/>
        </w:rPr>
        <w:t>消防给水系统试验装置处应设置专用排水设施，排水管径应符合下列规定：</w:t>
      </w:r>
      <w:r>
        <w:rPr>
          <w:spacing w:val="-3"/>
          <w:sz w:val="21"/>
        </w:rPr>
        <w:t xml:space="preserve"> </w:t>
      </w:r>
    </w:p>
    <w:p w14:paraId="79B11314" w14:textId="77777777" w:rsidR="00A71EEF" w:rsidRDefault="00A71EEF">
      <w:pPr>
        <w:pStyle w:val="a3"/>
        <w:spacing w:before="1"/>
        <w:rPr>
          <w:sz w:val="18"/>
        </w:rPr>
      </w:pPr>
    </w:p>
    <w:p w14:paraId="1935DA1C" w14:textId="77777777" w:rsidR="00A71EEF" w:rsidRDefault="0081115D">
      <w:pPr>
        <w:pStyle w:val="a3"/>
        <w:spacing w:before="1" w:line="446" w:lineRule="auto"/>
        <w:ind w:left="418" w:right="1609" w:firstLine="419"/>
      </w:pPr>
      <w:r>
        <w:t>自动喷水灭火系统等自动水灭火系统末端试水装置处的排水立管管径，应根据末端试水装置的泄流量确定，并不宜小于</w:t>
      </w:r>
      <w:r>
        <w:t xml:space="preserve"> DN75</w:t>
      </w:r>
      <w:r>
        <w:t>；</w:t>
      </w:r>
      <w:r>
        <w:t xml:space="preserve"> </w:t>
      </w:r>
    </w:p>
    <w:p w14:paraId="41FD10C1" w14:textId="77777777" w:rsidR="00A71EEF" w:rsidRDefault="0081115D">
      <w:pPr>
        <w:pStyle w:val="a3"/>
        <w:spacing w:line="267" w:lineRule="exact"/>
        <w:ind w:left="838"/>
      </w:pPr>
      <w:r>
        <w:t>报警阀处的排水立管宜为</w:t>
      </w:r>
      <w:r>
        <w:t xml:space="preserve"> DN100</w:t>
      </w:r>
      <w:r>
        <w:t>；</w:t>
      </w:r>
      <w:r>
        <w:t xml:space="preserve"> </w:t>
      </w:r>
    </w:p>
    <w:p w14:paraId="247898E0" w14:textId="77777777" w:rsidR="00A71EEF" w:rsidRDefault="00A71EEF">
      <w:pPr>
        <w:pStyle w:val="a3"/>
        <w:spacing w:before="1"/>
        <w:rPr>
          <w:sz w:val="18"/>
        </w:rPr>
      </w:pPr>
    </w:p>
    <w:p w14:paraId="418D9E45" w14:textId="77777777" w:rsidR="00A71EEF" w:rsidRDefault="0081115D">
      <w:pPr>
        <w:pStyle w:val="a3"/>
        <w:spacing w:before="1"/>
        <w:ind w:left="838"/>
      </w:pPr>
      <w:r>
        <w:t>减压阀处的压力试验排水管道直径应根据减压阀流量确定，但不应小于</w:t>
      </w:r>
      <w:r>
        <w:t xml:space="preserve"> DN100</w:t>
      </w:r>
      <w:r>
        <w:t>。</w:t>
      </w:r>
      <w:r>
        <w:t xml:space="preserve"> </w:t>
      </w:r>
    </w:p>
    <w:p w14:paraId="70FD8F2F" w14:textId="77777777" w:rsidR="00A71EEF" w:rsidRDefault="00A71EEF">
      <w:pPr>
        <w:pStyle w:val="a3"/>
        <w:spacing w:before="12"/>
        <w:rPr>
          <w:sz w:val="17"/>
        </w:rPr>
      </w:pPr>
    </w:p>
    <w:p w14:paraId="4A6B0146" w14:textId="77777777" w:rsidR="00A71EEF" w:rsidRDefault="0081115D">
      <w:pPr>
        <w:pStyle w:val="a4"/>
        <w:numPr>
          <w:ilvl w:val="2"/>
          <w:numId w:val="236"/>
        </w:numPr>
        <w:tabs>
          <w:tab w:val="left" w:pos="1424"/>
        </w:tabs>
        <w:rPr>
          <w:sz w:val="21"/>
        </w:rPr>
      </w:pPr>
      <w:r>
        <w:rPr>
          <w:spacing w:val="-3"/>
          <w:sz w:val="21"/>
        </w:rPr>
        <w:t>试验排水可回收部分宜排入专用消防水池循环再利用。</w:t>
      </w:r>
      <w:r>
        <w:rPr>
          <w:sz w:val="21"/>
        </w:rPr>
        <w:t xml:space="preserve"> </w:t>
      </w:r>
    </w:p>
    <w:p w14:paraId="061CB65F" w14:textId="77777777" w:rsidR="00A71EEF" w:rsidRDefault="00A71EEF">
      <w:pPr>
        <w:pStyle w:val="a3"/>
        <w:spacing w:before="8"/>
        <w:rPr>
          <w:sz w:val="15"/>
        </w:rPr>
      </w:pPr>
    </w:p>
    <w:p w14:paraId="168D091F" w14:textId="77777777" w:rsidR="00A71EEF" w:rsidRDefault="0081115D">
      <w:pPr>
        <w:pStyle w:val="4"/>
      </w:pPr>
      <w:r>
        <w:t xml:space="preserve">10 </w:t>
      </w:r>
      <w:r>
        <w:t>水力计算</w:t>
      </w:r>
      <w:r>
        <w:rPr>
          <w:w w:val="99"/>
        </w:rPr>
        <w:t xml:space="preserve"> </w:t>
      </w:r>
    </w:p>
    <w:p w14:paraId="3BA39CFD" w14:textId="77777777" w:rsidR="00A71EEF" w:rsidRDefault="00A71EEF">
      <w:pPr>
        <w:pStyle w:val="a3"/>
        <w:spacing w:before="7"/>
        <w:rPr>
          <w:b/>
          <w:sz w:val="17"/>
        </w:rPr>
      </w:pPr>
    </w:p>
    <w:p w14:paraId="0ECA6EA1" w14:textId="77777777" w:rsidR="00A71EEF" w:rsidRDefault="0081115D">
      <w:pPr>
        <w:pStyle w:val="a4"/>
        <w:numPr>
          <w:ilvl w:val="1"/>
          <w:numId w:val="233"/>
        </w:numPr>
        <w:tabs>
          <w:tab w:val="left" w:pos="1266"/>
        </w:tabs>
        <w:ind w:hanging="426"/>
        <w:rPr>
          <w:sz w:val="21"/>
        </w:rPr>
      </w:pPr>
      <w:r>
        <w:rPr>
          <w:spacing w:val="-3"/>
          <w:sz w:val="21"/>
        </w:rPr>
        <w:t>水力计算</w:t>
      </w:r>
      <w:r>
        <w:rPr>
          <w:sz w:val="21"/>
        </w:rPr>
        <w:t xml:space="preserve"> </w:t>
      </w:r>
    </w:p>
    <w:p w14:paraId="0702CC5E" w14:textId="77777777" w:rsidR="00A71EEF" w:rsidRDefault="00A71EEF">
      <w:pPr>
        <w:pStyle w:val="a3"/>
        <w:spacing w:before="12"/>
        <w:rPr>
          <w:sz w:val="17"/>
        </w:rPr>
      </w:pPr>
    </w:p>
    <w:p w14:paraId="1166D644" w14:textId="77777777" w:rsidR="00A71EEF" w:rsidRDefault="0081115D">
      <w:pPr>
        <w:pStyle w:val="a4"/>
        <w:numPr>
          <w:ilvl w:val="2"/>
          <w:numId w:val="233"/>
        </w:numPr>
        <w:tabs>
          <w:tab w:val="left" w:pos="1530"/>
        </w:tabs>
        <w:spacing w:line="446" w:lineRule="auto"/>
        <w:ind w:right="1549" w:firstLine="422"/>
        <w:rPr>
          <w:sz w:val="21"/>
        </w:rPr>
      </w:pPr>
      <w:r>
        <w:rPr>
          <w:spacing w:val="-3"/>
          <w:sz w:val="21"/>
        </w:rPr>
        <w:t>消防给水的设计压力应满足所服务的各种水灭火系统最不利点处水灭火设施的压力要求。</w:t>
      </w:r>
      <w:r>
        <w:rPr>
          <w:sz w:val="21"/>
        </w:rPr>
        <w:t xml:space="preserve"> </w:t>
      </w:r>
    </w:p>
    <w:p w14:paraId="3136B74F" w14:textId="77777777" w:rsidR="00A71EEF" w:rsidRDefault="0081115D">
      <w:pPr>
        <w:pStyle w:val="a4"/>
        <w:numPr>
          <w:ilvl w:val="2"/>
          <w:numId w:val="233"/>
        </w:numPr>
        <w:tabs>
          <w:tab w:val="left" w:pos="1530"/>
        </w:tabs>
        <w:spacing w:line="446" w:lineRule="auto"/>
        <w:ind w:right="1549" w:firstLine="422"/>
        <w:rPr>
          <w:sz w:val="21"/>
        </w:rPr>
      </w:pPr>
      <w:r>
        <w:rPr>
          <w:spacing w:val="-3"/>
          <w:sz w:val="21"/>
        </w:rPr>
        <w:t>消防给水管道单位长度管道沿程水头损失应根据管材、水力条件等因素选择，可按下列公式计算：</w:t>
      </w:r>
      <w:r>
        <w:rPr>
          <w:sz w:val="21"/>
        </w:rPr>
        <w:t xml:space="preserve"> </w:t>
      </w:r>
    </w:p>
    <w:p w14:paraId="1B232BEA" w14:textId="77777777" w:rsidR="00A71EEF" w:rsidRDefault="0081115D">
      <w:pPr>
        <w:pStyle w:val="a3"/>
        <w:spacing w:line="267" w:lineRule="exact"/>
        <w:ind w:left="838"/>
      </w:pPr>
      <w:r>
        <w:t>（</w:t>
      </w:r>
      <w:r>
        <w:t>1</w:t>
      </w:r>
      <w:r>
        <w:t>）消防给水管道或室外塑料管可采用下列公式计算：</w:t>
      </w:r>
      <w:r>
        <w:t xml:space="preserve"> </w:t>
      </w:r>
    </w:p>
    <w:p w14:paraId="2F587E29" w14:textId="77777777" w:rsidR="00A71EEF" w:rsidRDefault="00A71EEF">
      <w:pPr>
        <w:pStyle w:val="a3"/>
        <w:rPr>
          <w:sz w:val="20"/>
        </w:rPr>
      </w:pPr>
    </w:p>
    <w:p w14:paraId="70ECAFAD" w14:textId="77777777" w:rsidR="00A71EEF" w:rsidRDefault="0081115D">
      <w:pPr>
        <w:pStyle w:val="a3"/>
        <w:spacing w:before="6"/>
        <w:rPr>
          <w:sz w:val="10"/>
        </w:rPr>
      </w:pPr>
      <w:r>
        <w:rPr>
          <w:noProof/>
        </w:rPr>
        <w:drawing>
          <wp:anchor distT="0" distB="0" distL="0" distR="0" simplePos="0" relativeHeight="251662848" behindDoc="0" locked="0" layoutInCell="1" allowOverlap="1" wp14:anchorId="3301497B" wp14:editId="536CBFCF">
            <wp:simplePos x="0" y="0"/>
            <wp:positionH relativeFrom="page">
              <wp:posOffset>1932304</wp:posOffset>
            </wp:positionH>
            <wp:positionV relativeFrom="paragraph">
              <wp:posOffset>110307</wp:posOffset>
            </wp:positionV>
            <wp:extent cx="3253740" cy="2124075"/>
            <wp:effectExtent l="0" t="0" r="0" b="0"/>
            <wp:wrapTopAndBottom/>
            <wp:docPr id="561" name="imag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image323.png"/>
                    <pic:cNvPicPr/>
                  </pic:nvPicPr>
                  <pic:blipFill>
                    <a:blip r:embed="rId385" cstate="print"/>
                    <a:stretch>
                      <a:fillRect/>
                    </a:stretch>
                  </pic:blipFill>
                  <pic:spPr>
                    <a:xfrm>
                      <a:off x="0" y="0"/>
                      <a:ext cx="3253740" cy="2124075"/>
                    </a:xfrm>
                    <a:prstGeom prst="rect">
                      <a:avLst/>
                    </a:prstGeom>
                  </pic:spPr>
                </pic:pic>
              </a:graphicData>
            </a:graphic>
          </wp:anchor>
        </w:drawing>
      </w:r>
    </w:p>
    <w:p w14:paraId="431C764F" w14:textId="77777777" w:rsidR="00A71EEF" w:rsidRDefault="00A71EEF">
      <w:pPr>
        <w:pStyle w:val="a3"/>
        <w:rPr>
          <w:sz w:val="20"/>
        </w:rPr>
      </w:pPr>
    </w:p>
    <w:p w14:paraId="35F39548" w14:textId="77777777" w:rsidR="00A71EEF" w:rsidRDefault="00A71EEF">
      <w:pPr>
        <w:pStyle w:val="a3"/>
        <w:spacing w:before="5"/>
        <w:rPr>
          <w:sz w:val="25"/>
        </w:rPr>
      </w:pPr>
    </w:p>
    <w:p w14:paraId="5CB2CA2A" w14:textId="77777777" w:rsidR="00A71EEF" w:rsidRDefault="0081115D">
      <w:pPr>
        <w:pStyle w:val="a3"/>
        <w:spacing w:before="71"/>
        <w:ind w:left="838"/>
      </w:pPr>
      <w:r>
        <w:t>式中：</w:t>
      </w:r>
      <w:r>
        <w:rPr>
          <w:i/>
          <w:sz w:val="22"/>
        </w:rPr>
        <w:t>i</w:t>
      </w:r>
      <w:r>
        <w:t>——</w:t>
      </w:r>
      <w:r>
        <w:t>单位长度管道沿程水头损失（</w:t>
      </w:r>
      <w:r>
        <w:t>MPa/m</w:t>
      </w:r>
      <w:r>
        <w:t>）；</w:t>
      </w:r>
      <w:r>
        <w:t xml:space="preserve"> </w:t>
      </w:r>
    </w:p>
    <w:p w14:paraId="52029362" w14:textId="77777777" w:rsidR="00A71EEF" w:rsidRDefault="00A71EEF">
      <w:pPr>
        <w:pStyle w:val="a3"/>
        <w:spacing w:before="2"/>
        <w:rPr>
          <w:sz w:val="17"/>
        </w:rPr>
      </w:pPr>
    </w:p>
    <w:p w14:paraId="47DD068B" w14:textId="77777777" w:rsidR="00A71EEF" w:rsidRDefault="0081115D">
      <w:pPr>
        <w:pStyle w:val="a3"/>
        <w:ind w:left="838"/>
      </w:pPr>
      <w:r>
        <w:rPr>
          <w:i/>
          <w:sz w:val="22"/>
        </w:rPr>
        <w:t>di</w:t>
      </w:r>
      <w:r>
        <w:t>——</w:t>
      </w:r>
      <w:r>
        <w:t>管道的内径（</w:t>
      </w:r>
      <w:r>
        <w:t>m</w:t>
      </w:r>
      <w:r>
        <w:t>）；</w:t>
      </w:r>
      <w:r>
        <w:t xml:space="preserve"> </w:t>
      </w:r>
    </w:p>
    <w:p w14:paraId="0550EA93" w14:textId="77777777" w:rsidR="00A71EEF" w:rsidRDefault="00A71EEF">
      <w:pPr>
        <w:pStyle w:val="a3"/>
        <w:rPr>
          <w:sz w:val="17"/>
        </w:rPr>
      </w:pPr>
    </w:p>
    <w:p w14:paraId="0C43C858" w14:textId="77777777" w:rsidR="00A71EEF" w:rsidRDefault="0081115D">
      <w:pPr>
        <w:pStyle w:val="a3"/>
        <w:ind w:left="838"/>
      </w:pPr>
      <w:r>
        <w:rPr>
          <w:i/>
          <w:sz w:val="22"/>
        </w:rPr>
        <w:t>v</w:t>
      </w:r>
      <w:r>
        <w:t>——</w:t>
      </w:r>
      <w:r>
        <w:t>管道内水的平均流速（</w:t>
      </w:r>
      <w:r>
        <w:t>m/s</w:t>
      </w:r>
      <w:r>
        <w:t>）；</w:t>
      </w:r>
      <w:r>
        <w:t xml:space="preserve"> </w:t>
      </w:r>
    </w:p>
    <w:p w14:paraId="1F69A1A0" w14:textId="77777777" w:rsidR="00A71EEF" w:rsidRDefault="0081115D">
      <w:pPr>
        <w:pStyle w:val="a3"/>
        <w:spacing w:before="36" w:line="502" w:lineRule="exact"/>
        <w:ind w:left="838" w:right="7127"/>
      </w:pPr>
      <w:r>
        <w:rPr>
          <w:i/>
          <w:sz w:val="22"/>
        </w:rPr>
        <w:t>ρ</w:t>
      </w:r>
      <w:r>
        <w:t>——</w:t>
      </w:r>
      <w:r>
        <w:t>水的密度（</w:t>
      </w:r>
      <w:r>
        <w:t>kg/m³</w:t>
      </w:r>
      <w:r>
        <w:t>）；</w:t>
      </w:r>
      <w:r>
        <w:t xml:space="preserve"> </w:t>
      </w:r>
      <w:r>
        <w:rPr>
          <w:i/>
          <w:sz w:val="22"/>
        </w:rPr>
        <w:t>λ</w:t>
      </w:r>
      <w:r>
        <w:t>——</w:t>
      </w:r>
      <w:r>
        <w:t>沿程损失阻力系数；</w:t>
      </w:r>
      <w:r>
        <w:t xml:space="preserve"> </w:t>
      </w:r>
    </w:p>
    <w:p w14:paraId="326A3FCE" w14:textId="77777777" w:rsidR="00A71EEF" w:rsidRDefault="00A71EEF">
      <w:pPr>
        <w:spacing w:line="502" w:lineRule="exact"/>
        <w:sectPr w:rsidR="00A71EEF">
          <w:pgSz w:w="11910" w:h="16850"/>
          <w:pgMar w:top="1220" w:right="0" w:bottom="1420" w:left="1260" w:header="0" w:footer="1239" w:gutter="0"/>
          <w:cols w:space="720"/>
        </w:sectPr>
      </w:pPr>
    </w:p>
    <w:p w14:paraId="311EA305" w14:textId="77777777" w:rsidR="00A71EEF" w:rsidRDefault="0081115D">
      <w:pPr>
        <w:pStyle w:val="a3"/>
        <w:spacing w:before="57"/>
        <w:ind w:left="838"/>
      </w:pPr>
      <w:r>
        <w:rPr>
          <w:i/>
          <w:sz w:val="22"/>
        </w:rPr>
        <w:t>ε</w:t>
      </w:r>
      <w:r>
        <w:t>——</w:t>
      </w:r>
      <w:r>
        <w:t>当量粗糙度，可按表</w:t>
      </w:r>
      <w:r>
        <w:t xml:space="preserve"> 10.1.2 </w:t>
      </w:r>
      <w:r>
        <w:t>取值（</w:t>
      </w:r>
      <w:r>
        <w:t>m</w:t>
      </w:r>
      <w:r>
        <w:t>）；</w:t>
      </w:r>
      <w:r>
        <w:t xml:space="preserve"> </w:t>
      </w:r>
    </w:p>
    <w:p w14:paraId="7F60C0D8" w14:textId="77777777" w:rsidR="00A71EEF" w:rsidRDefault="00A71EEF">
      <w:pPr>
        <w:pStyle w:val="a3"/>
        <w:rPr>
          <w:sz w:val="17"/>
        </w:rPr>
      </w:pPr>
    </w:p>
    <w:p w14:paraId="3DD309FE" w14:textId="77777777" w:rsidR="00A71EEF" w:rsidRDefault="0081115D">
      <w:pPr>
        <w:pStyle w:val="a3"/>
        <w:ind w:left="838"/>
      </w:pPr>
      <w:r>
        <w:rPr>
          <w:i/>
          <w:sz w:val="22"/>
        </w:rPr>
        <w:t>Re</w:t>
      </w:r>
      <w:r>
        <w:t>——</w:t>
      </w:r>
      <w:r>
        <w:t>雷诺数，无量纲；</w:t>
      </w:r>
      <w:r>
        <w:t xml:space="preserve"> </w:t>
      </w:r>
    </w:p>
    <w:p w14:paraId="643321EC" w14:textId="77777777" w:rsidR="00A71EEF" w:rsidRDefault="00A71EEF">
      <w:pPr>
        <w:pStyle w:val="a3"/>
        <w:rPr>
          <w:sz w:val="17"/>
        </w:rPr>
      </w:pPr>
    </w:p>
    <w:p w14:paraId="18A953F9" w14:textId="77777777" w:rsidR="00A71EEF" w:rsidRDefault="0081115D">
      <w:pPr>
        <w:pStyle w:val="a3"/>
        <w:ind w:left="838"/>
      </w:pPr>
      <w:r>
        <w:rPr>
          <w:i/>
          <w:sz w:val="22"/>
        </w:rPr>
        <w:t>μ</w:t>
      </w:r>
      <w:r>
        <w:t>——</w:t>
      </w:r>
      <w:r>
        <w:t>水的动力黏滞系数（</w:t>
      </w:r>
      <w:r>
        <w:t>Pa/s</w:t>
      </w:r>
      <w:r>
        <w:t>）；</w:t>
      </w:r>
      <w:r>
        <w:t xml:space="preserve"> </w:t>
      </w:r>
    </w:p>
    <w:p w14:paraId="330726E3" w14:textId="77777777" w:rsidR="00A71EEF" w:rsidRDefault="00A71EEF">
      <w:pPr>
        <w:pStyle w:val="a3"/>
        <w:rPr>
          <w:sz w:val="20"/>
        </w:rPr>
      </w:pPr>
    </w:p>
    <w:p w14:paraId="346BAB7B" w14:textId="77777777" w:rsidR="00A71EEF" w:rsidRDefault="00A71EEF">
      <w:pPr>
        <w:pStyle w:val="a3"/>
        <w:rPr>
          <w:sz w:val="20"/>
        </w:rPr>
      </w:pPr>
    </w:p>
    <w:p w14:paraId="219E5F6F" w14:textId="77777777" w:rsidR="00A71EEF" w:rsidRDefault="00A71EEF">
      <w:pPr>
        <w:pStyle w:val="a3"/>
        <w:rPr>
          <w:sz w:val="20"/>
        </w:rPr>
      </w:pPr>
    </w:p>
    <w:p w14:paraId="53BFDF51" w14:textId="77777777" w:rsidR="00A71EEF" w:rsidRDefault="00A71EEF">
      <w:pPr>
        <w:pStyle w:val="a3"/>
        <w:rPr>
          <w:sz w:val="20"/>
        </w:rPr>
      </w:pPr>
    </w:p>
    <w:p w14:paraId="02E716E6" w14:textId="77777777" w:rsidR="00A71EEF" w:rsidRDefault="00A71EEF">
      <w:pPr>
        <w:pStyle w:val="a3"/>
        <w:rPr>
          <w:sz w:val="20"/>
        </w:rPr>
      </w:pPr>
    </w:p>
    <w:p w14:paraId="76661B51" w14:textId="77777777" w:rsidR="00A71EEF" w:rsidRDefault="00A71EEF">
      <w:pPr>
        <w:pStyle w:val="a3"/>
        <w:spacing w:before="8"/>
        <w:rPr>
          <w:sz w:val="28"/>
        </w:rPr>
      </w:pPr>
    </w:p>
    <w:p w14:paraId="4632E13F" w14:textId="77777777" w:rsidR="00A71EEF" w:rsidRDefault="0081115D">
      <w:pPr>
        <w:pStyle w:val="a3"/>
        <w:spacing w:before="71" w:line="424" w:lineRule="auto"/>
        <w:ind w:left="838" w:right="6445"/>
      </w:pPr>
      <w:r>
        <w:rPr>
          <w:i/>
          <w:sz w:val="22"/>
        </w:rPr>
        <w:t>v</w:t>
      </w:r>
      <w:r>
        <w:t>——</w:t>
      </w:r>
      <w:r>
        <w:t>水的运动黏滞系数（</w:t>
      </w:r>
      <w:r>
        <w:t>Pa/s</w:t>
      </w:r>
      <w:r>
        <w:t>）；</w:t>
      </w:r>
      <w:r>
        <w:t xml:space="preserve"> </w:t>
      </w:r>
      <w:r>
        <w:rPr>
          <w:i/>
          <w:sz w:val="22"/>
        </w:rPr>
        <w:t>T</w:t>
      </w:r>
      <w:r>
        <w:t>——</w:t>
      </w:r>
      <w:r>
        <w:t>水的温度，宜取</w:t>
      </w:r>
      <w:r>
        <w:t xml:space="preserve"> 10℃</w:t>
      </w:r>
      <w:r>
        <w:t>。</w:t>
      </w:r>
      <w:r>
        <w:t xml:space="preserve"> </w:t>
      </w:r>
    </w:p>
    <w:p w14:paraId="28F8112B" w14:textId="77777777" w:rsidR="00A71EEF" w:rsidRDefault="0081115D">
      <w:pPr>
        <w:pStyle w:val="a3"/>
        <w:spacing w:before="12"/>
        <w:ind w:left="418"/>
      </w:pPr>
      <w:r>
        <w:t xml:space="preserve">   </w:t>
      </w:r>
      <w:r>
        <w:t>（</w:t>
      </w:r>
      <w:r>
        <w:t>2</w:t>
      </w:r>
      <w:r>
        <w:t>）内衬水泥砂浆球墨铸铁管可按下列公式计算：</w:t>
      </w:r>
      <w:r>
        <w:t xml:space="preserve">    </w:t>
      </w:r>
    </w:p>
    <w:p w14:paraId="4FB76BF2" w14:textId="77777777" w:rsidR="00A71EEF" w:rsidRDefault="00A71EEF">
      <w:pPr>
        <w:pStyle w:val="a3"/>
        <w:rPr>
          <w:sz w:val="20"/>
        </w:rPr>
      </w:pPr>
    </w:p>
    <w:p w14:paraId="4AB50E23" w14:textId="77777777" w:rsidR="00A71EEF" w:rsidRDefault="0081115D">
      <w:pPr>
        <w:pStyle w:val="a3"/>
        <w:spacing w:before="8"/>
        <w:rPr>
          <w:sz w:val="24"/>
        </w:rPr>
      </w:pPr>
      <w:r>
        <w:rPr>
          <w:noProof/>
        </w:rPr>
        <w:drawing>
          <wp:anchor distT="0" distB="0" distL="0" distR="0" simplePos="0" relativeHeight="251663872" behindDoc="0" locked="0" layoutInCell="1" allowOverlap="1" wp14:anchorId="0E075706" wp14:editId="4AA22718">
            <wp:simplePos x="0" y="0"/>
            <wp:positionH relativeFrom="page">
              <wp:posOffset>1575640</wp:posOffset>
            </wp:positionH>
            <wp:positionV relativeFrom="paragraph">
              <wp:posOffset>225140</wp:posOffset>
            </wp:positionV>
            <wp:extent cx="3598529" cy="1762125"/>
            <wp:effectExtent l="0" t="0" r="0" b="0"/>
            <wp:wrapTopAndBottom/>
            <wp:docPr id="563" name="image3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image324.jpeg"/>
                    <pic:cNvPicPr/>
                  </pic:nvPicPr>
                  <pic:blipFill>
                    <a:blip r:embed="rId386" cstate="print"/>
                    <a:stretch>
                      <a:fillRect/>
                    </a:stretch>
                  </pic:blipFill>
                  <pic:spPr>
                    <a:xfrm>
                      <a:off x="0" y="0"/>
                      <a:ext cx="3598529" cy="1762125"/>
                    </a:xfrm>
                    <a:prstGeom prst="rect">
                      <a:avLst/>
                    </a:prstGeom>
                  </pic:spPr>
                </pic:pic>
              </a:graphicData>
            </a:graphic>
          </wp:anchor>
        </w:drawing>
      </w:r>
    </w:p>
    <w:p w14:paraId="1EEC2BC9" w14:textId="77777777" w:rsidR="00A71EEF" w:rsidRDefault="0081115D">
      <w:pPr>
        <w:pStyle w:val="a3"/>
        <w:spacing w:before="156" w:after="39"/>
        <w:ind w:left="418"/>
      </w:pPr>
      <w:r>
        <w:t>（</w:t>
      </w:r>
      <w:r>
        <w:t>3</w:t>
      </w:r>
      <w:r>
        <w:t>）室内外输配水管道可按下式计算：</w:t>
      </w:r>
      <w:r>
        <w:t xml:space="preserve"> </w:t>
      </w:r>
    </w:p>
    <w:p w14:paraId="6558740A" w14:textId="77777777" w:rsidR="00A71EEF" w:rsidRDefault="0081115D">
      <w:pPr>
        <w:pStyle w:val="a3"/>
        <w:ind w:left="1663"/>
        <w:rPr>
          <w:sz w:val="20"/>
        </w:rPr>
      </w:pPr>
      <w:r>
        <w:rPr>
          <w:noProof/>
          <w:sz w:val="20"/>
        </w:rPr>
        <w:drawing>
          <wp:inline distT="0" distB="0" distL="0" distR="0" wp14:anchorId="49C29A1C" wp14:editId="499F0E92">
            <wp:extent cx="3728114" cy="762000"/>
            <wp:effectExtent l="0" t="0" r="0" b="0"/>
            <wp:docPr id="565" name="image3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image325.jpeg"/>
                    <pic:cNvPicPr/>
                  </pic:nvPicPr>
                  <pic:blipFill>
                    <a:blip r:embed="rId387" cstate="print"/>
                    <a:stretch>
                      <a:fillRect/>
                    </a:stretch>
                  </pic:blipFill>
                  <pic:spPr>
                    <a:xfrm>
                      <a:off x="0" y="0"/>
                      <a:ext cx="3728114" cy="762000"/>
                    </a:xfrm>
                    <a:prstGeom prst="rect">
                      <a:avLst/>
                    </a:prstGeom>
                  </pic:spPr>
                </pic:pic>
              </a:graphicData>
            </a:graphic>
          </wp:inline>
        </w:drawing>
      </w:r>
    </w:p>
    <w:p w14:paraId="0D68A26A" w14:textId="77777777" w:rsidR="00A71EEF" w:rsidRDefault="00A71EEF">
      <w:pPr>
        <w:pStyle w:val="a3"/>
        <w:rPr>
          <w:sz w:val="20"/>
        </w:rPr>
      </w:pPr>
    </w:p>
    <w:p w14:paraId="022B7CE0" w14:textId="77777777" w:rsidR="00A71EEF" w:rsidRDefault="00A71EEF">
      <w:pPr>
        <w:pStyle w:val="a3"/>
        <w:rPr>
          <w:sz w:val="20"/>
        </w:rPr>
      </w:pPr>
    </w:p>
    <w:p w14:paraId="596251F9" w14:textId="77777777" w:rsidR="00A71EEF" w:rsidRDefault="0081115D">
      <w:pPr>
        <w:pStyle w:val="6"/>
        <w:spacing w:before="170"/>
        <w:ind w:left="2729"/>
      </w:pPr>
      <w:r>
        <w:t>表</w:t>
      </w:r>
      <w:r>
        <w:t xml:space="preserve"> 10.1.2 </w:t>
      </w:r>
      <w:r>
        <w:t>各种管道水头损失计算参数</w:t>
      </w:r>
      <w:r>
        <w:rPr>
          <w:i/>
          <w:sz w:val="22"/>
        </w:rPr>
        <w:t>ε</w:t>
      </w:r>
      <w:r>
        <w:t>、</w:t>
      </w:r>
      <w:r>
        <w:rPr>
          <w:i/>
          <w:sz w:val="22"/>
        </w:rPr>
        <w:t>nε</w:t>
      </w:r>
      <w:r>
        <w:t>、</w:t>
      </w:r>
      <w:r>
        <w:rPr>
          <w:i/>
          <w:sz w:val="22"/>
        </w:rPr>
        <w:t>C</w:t>
      </w:r>
      <w:r>
        <w:rPr>
          <w:w w:val="99"/>
        </w:rPr>
        <w:t xml:space="preserve"> </w:t>
      </w:r>
    </w:p>
    <w:p w14:paraId="2BEFAAEE" w14:textId="77777777" w:rsidR="00A71EEF" w:rsidRDefault="0081115D">
      <w:pPr>
        <w:pStyle w:val="a3"/>
        <w:spacing w:before="2"/>
        <w:rPr>
          <w:b/>
          <w:sz w:val="27"/>
        </w:rPr>
      </w:pPr>
      <w:r>
        <w:rPr>
          <w:noProof/>
        </w:rPr>
        <w:drawing>
          <wp:anchor distT="0" distB="0" distL="0" distR="0" simplePos="0" relativeHeight="251664896" behindDoc="0" locked="0" layoutInCell="1" allowOverlap="1" wp14:anchorId="75FECE2D" wp14:editId="4B389E11">
            <wp:simplePos x="0" y="0"/>
            <wp:positionH relativeFrom="page">
              <wp:posOffset>1791970</wp:posOffset>
            </wp:positionH>
            <wp:positionV relativeFrom="paragraph">
              <wp:posOffset>246141</wp:posOffset>
            </wp:positionV>
            <wp:extent cx="4072198" cy="1885950"/>
            <wp:effectExtent l="0" t="0" r="0" b="0"/>
            <wp:wrapTopAndBottom/>
            <wp:docPr id="567" name="image3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326.jpeg"/>
                    <pic:cNvPicPr/>
                  </pic:nvPicPr>
                  <pic:blipFill>
                    <a:blip r:embed="rId388" cstate="print"/>
                    <a:stretch>
                      <a:fillRect/>
                    </a:stretch>
                  </pic:blipFill>
                  <pic:spPr>
                    <a:xfrm>
                      <a:off x="0" y="0"/>
                      <a:ext cx="4072198" cy="1885950"/>
                    </a:xfrm>
                    <a:prstGeom prst="rect">
                      <a:avLst/>
                    </a:prstGeom>
                  </pic:spPr>
                </pic:pic>
              </a:graphicData>
            </a:graphic>
          </wp:anchor>
        </w:drawing>
      </w:r>
    </w:p>
    <w:p w14:paraId="247D4567" w14:textId="77777777" w:rsidR="00A71EEF" w:rsidRDefault="00A71EEF">
      <w:pPr>
        <w:rPr>
          <w:sz w:val="27"/>
        </w:rPr>
        <w:sectPr w:rsidR="00A71EEF">
          <w:pgSz w:w="11910" w:h="16850"/>
          <w:pgMar w:top="1200" w:right="0" w:bottom="1420" w:left="1260" w:header="0" w:footer="1239" w:gutter="0"/>
          <w:cols w:space="720"/>
        </w:sectPr>
      </w:pPr>
    </w:p>
    <w:p w14:paraId="74DC4B32" w14:textId="77777777" w:rsidR="00A71EEF" w:rsidRDefault="0081115D">
      <w:pPr>
        <w:pStyle w:val="a4"/>
        <w:numPr>
          <w:ilvl w:val="2"/>
          <w:numId w:val="233"/>
        </w:numPr>
        <w:tabs>
          <w:tab w:val="left" w:pos="1530"/>
        </w:tabs>
        <w:spacing w:before="47"/>
        <w:ind w:left="1529" w:hanging="690"/>
        <w:rPr>
          <w:sz w:val="21"/>
        </w:rPr>
      </w:pPr>
      <w:r>
        <w:rPr>
          <w:spacing w:val="-3"/>
          <w:sz w:val="21"/>
        </w:rPr>
        <w:t>管道速度压力可按下式计算：</w:t>
      </w:r>
      <w:r>
        <w:rPr>
          <w:sz w:val="21"/>
        </w:rPr>
        <w:t xml:space="preserve"> </w:t>
      </w:r>
    </w:p>
    <w:p w14:paraId="423DA1A5" w14:textId="77777777" w:rsidR="00A71EEF" w:rsidRDefault="0081115D">
      <w:pPr>
        <w:pStyle w:val="a3"/>
        <w:spacing w:before="12"/>
        <w:rPr>
          <w:sz w:val="19"/>
        </w:rPr>
      </w:pPr>
      <w:r>
        <w:rPr>
          <w:noProof/>
        </w:rPr>
        <w:drawing>
          <wp:anchor distT="0" distB="0" distL="0" distR="0" simplePos="0" relativeHeight="251665920" behindDoc="0" locked="0" layoutInCell="1" allowOverlap="1" wp14:anchorId="5614C69E" wp14:editId="7614906F">
            <wp:simplePos x="0" y="0"/>
            <wp:positionH relativeFrom="page">
              <wp:posOffset>1532255</wp:posOffset>
            </wp:positionH>
            <wp:positionV relativeFrom="paragraph">
              <wp:posOffset>187412</wp:posOffset>
            </wp:positionV>
            <wp:extent cx="4561840" cy="838200"/>
            <wp:effectExtent l="0" t="0" r="0" b="0"/>
            <wp:wrapTopAndBottom/>
            <wp:docPr id="569" name="image3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image327.jpeg"/>
                    <pic:cNvPicPr/>
                  </pic:nvPicPr>
                  <pic:blipFill>
                    <a:blip r:embed="rId389" cstate="print"/>
                    <a:stretch>
                      <a:fillRect/>
                    </a:stretch>
                  </pic:blipFill>
                  <pic:spPr>
                    <a:xfrm>
                      <a:off x="0" y="0"/>
                      <a:ext cx="4561840" cy="838200"/>
                    </a:xfrm>
                    <a:prstGeom prst="rect">
                      <a:avLst/>
                    </a:prstGeom>
                  </pic:spPr>
                </pic:pic>
              </a:graphicData>
            </a:graphic>
          </wp:anchor>
        </w:drawing>
      </w:r>
    </w:p>
    <w:p w14:paraId="516F00BF" w14:textId="77777777" w:rsidR="00A71EEF" w:rsidRDefault="00A71EEF">
      <w:pPr>
        <w:pStyle w:val="a3"/>
        <w:rPr>
          <w:sz w:val="15"/>
        </w:rPr>
      </w:pPr>
    </w:p>
    <w:p w14:paraId="2A7C7601" w14:textId="77777777" w:rsidR="00A71EEF" w:rsidRDefault="0081115D">
      <w:pPr>
        <w:pStyle w:val="a4"/>
        <w:numPr>
          <w:ilvl w:val="2"/>
          <w:numId w:val="233"/>
        </w:numPr>
        <w:tabs>
          <w:tab w:val="left" w:pos="1527"/>
        </w:tabs>
        <w:ind w:left="1526"/>
        <w:rPr>
          <w:sz w:val="21"/>
        </w:rPr>
      </w:pPr>
      <w:r>
        <w:rPr>
          <w:spacing w:val="-3"/>
          <w:sz w:val="21"/>
        </w:rPr>
        <w:t>管道压力可按下式计算：</w:t>
      </w:r>
      <w:r>
        <w:rPr>
          <w:sz w:val="21"/>
        </w:rPr>
        <w:t xml:space="preserve"> </w:t>
      </w:r>
    </w:p>
    <w:p w14:paraId="03C7DD4F" w14:textId="77777777" w:rsidR="00A71EEF" w:rsidRDefault="00A71EEF">
      <w:pPr>
        <w:pStyle w:val="a3"/>
        <w:spacing w:before="2"/>
        <w:rPr>
          <w:sz w:val="17"/>
        </w:rPr>
      </w:pPr>
    </w:p>
    <w:p w14:paraId="2581C41E" w14:textId="77777777" w:rsidR="00A71EEF" w:rsidRDefault="0081115D">
      <w:pPr>
        <w:ind w:left="3377"/>
        <w:rPr>
          <w:sz w:val="21"/>
        </w:rPr>
      </w:pPr>
      <w:r>
        <w:rPr>
          <w:i/>
          <w:position w:val="1"/>
        </w:rPr>
        <w:t>P</w:t>
      </w:r>
      <w:r>
        <w:rPr>
          <w:sz w:val="11"/>
        </w:rPr>
        <w:t>n</w:t>
      </w:r>
      <w:r>
        <w:rPr>
          <w:sz w:val="11"/>
        </w:rPr>
        <w:t>＝</w:t>
      </w:r>
      <w:r>
        <w:rPr>
          <w:i/>
          <w:position w:val="1"/>
        </w:rPr>
        <w:t>P</w:t>
      </w:r>
      <w:r>
        <w:rPr>
          <w:sz w:val="11"/>
        </w:rPr>
        <w:t>t</w:t>
      </w:r>
      <w:r>
        <w:rPr>
          <w:sz w:val="11"/>
        </w:rPr>
        <w:t>－</w:t>
      </w:r>
      <w:r>
        <w:rPr>
          <w:i/>
          <w:position w:val="1"/>
        </w:rPr>
        <w:t>P</w:t>
      </w:r>
      <w:r>
        <w:rPr>
          <w:sz w:val="11"/>
        </w:rPr>
        <w:t xml:space="preserve">v </w:t>
      </w:r>
      <w:r>
        <w:rPr>
          <w:position w:val="1"/>
          <w:sz w:val="21"/>
        </w:rPr>
        <w:t>（</w:t>
      </w:r>
      <w:r>
        <w:rPr>
          <w:position w:val="1"/>
          <w:sz w:val="21"/>
        </w:rPr>
        <w:t>10.1.4</w:t>
      </w:r>
      <w:r>
        <w:rPr>
          <w:position w:val="1"/>
          <w:sz w:val="21"/>
        </w:rPr>
        <w:t>）</w:t>
      </w:r>
      <w:r>
        <w:rPr>
          <w:position w:val="1"/>
          <w:sz w:val="21"/>
        </w:rPr>
        <w:t xml:space="preserve"> </w:t>
      </w:r>
    </w:p>
    <w:p w14:paraId="7E4D7103" w14:textId="77777777" w:rsidR="00A71EEF" w:rsidRDefault="00A71EEF">
      <w:pPr>
        <w:pStyle w:val="a3"/>
        <w:spacing w:before="2"/>
        <w:rPr>
          <w:sz w:val="17"/>
        </w:rPr>
      </w:pPr>
    </w:p>
    <w:p w14:paraId="7BF5702E" w14:textId="77777777" w:rsidR="00A71EEF" w:rsidRDefault="0081115D">
      <w:pPr>
        <w:pStyle w:val="a3"/>
        <w:ind w:left="838"/>
      </w:pPr>
      <w:r>
        <w:rPr>
          <w:position w:val="1"/>
        </w:rPr>
        <w:t>式中：</w:t>
      </w:r>
      <w:r>
        <w:rPr>
          <w:i/>
          <w:position w:val="1"/>
          <w:sz w:val="22"/>
        </w:rPr>
        <w:t>P</w:t>
      </w:r>
      <w:r>
        <w:rPr>
          <w:sz w:val="11"/>
        </w:rPr>
        <w:t>n</w:t>
      </w:r>
      <w:r>
        <w:rPr>
          <w:position w:val="1"/>
        </w:rPr>
        <w:t>——</w:t>
      </w:r>
      <w:r>
        <w:rPr>
          <w:position w:val="1"/>
        </w:rPr>
        <w:t>管道某一点处压力（</w:t>
      </w:r>
      <w:r>
        <w:rPr>
          <w:position w:val="1"/>
        </w:rPr>
        <w:t>MPa</w:t>
      </w:r>
      <w:r>
        <w:rPr>
          <w:position w:val="1"/>
        </w:rPr>
        <w:t>）；</w:t>
      </w:r>
      <w:r>
        <w:rPr>
          <w:position w:val="1"/>
        </w:rPr>
        <w:t xml:space="preserve"> </w:t>
      </w:r>
    </w:p>
    <w:p w14:paraId="11DD8ABA" w14:textId="77777777" w:rsidR="00A71EEF" w:rsidRDefault="00A71EEF">
      <w:pPr>
        <w:pStyle w:val="a3"/>
        <w:rPr>
          <w:sz w:val="17"/>
        </w:rPr>
      </w:pPr>
    </w:p>
    <w:p w14:paraId="7B1FB857" w14:textId="77777777" w:rsidR="00A71EEF" w:rsidRDefault="0081115D">
      <w:pPr>
        <w:pStyle w:val="a3"/>
        <w:ind w:left="838"/>
      </w:pPr>
      <w:r>
        <w:rPr>
          <w:i/>
          <w:position w:val="1"/>
          <w:sz w:val="22"/>
        </w:rPr>
        <w:t>P</w:t>
      </w:r>
      <w:r>
        <w:rPr>
          <w:sz w:val="11"/>
        </w:rPr>
        <w:t>t</w:t>
      </w:r>
      <w:r>
        <w:rPr>
          <w:position w:val="1"/>
        </w:rPr>
        <w:t>——</w:t>
      </w:r>
      <w:r>
        <w:rPr>
          <w:position w:val="1"/>
        </w:rPr>
        <w:t>管道某一点处总压力（</w:t>
      </w:r>
      <w:r>
        <w:rPr>
          <w:position w:val="1"/>
        </w:rPr>
        <w:t>MPa</w:t>
      </w:r>
      <w:r>
        <w:rPr>
          <w:position w:val="1"/>
        </w:rPr>
        <w:t>）。</w:t>
      </w:r>
      <w:r>
        <w:rPr>
          <w:position w:val="1"/>
        </w:rPr>
        <w:t xml:space="preserve"> </w:t>
      </w:r>
    </w:p>
    <w:p w14:paraId="0AEFD958" w14:textId="77777777" w:rsidR="00A71EEF" w:rsidRDefault="00A71EEF">
      <w:pPr>
        <w:pStyle w:val="a3"/>
        <w:spacing w:before="10"/>
        <w:rPr>
          <w:sz w:val="17"/>
        </w:rPr>
      </w:pPr>
    </w:p>
    <w:p w14:paraId="2E71C2A3" w14:textId="77777777" w:rsidR="00A71EEF" w:rsidRDefault="0081115D">
      <w:pPr>
        <w:pStyle w:val="a4"/>
        <w:numPr>
          <w:ilvl w:val="2"/>
          <w:numId w:val="233"/>
        </w:numPr>
        <w:tabs>
          <w:tab w:val="left" w:pos="1530"/>
        </w:tabs>
        <w:ind w:left="1529" w:hanging="690"/>
        <w:rPr>
          <w:sz w:val="21"/>
        </w:rPr>
      </w:pPr>
      <w:r>
        <w:rPr>
          <w:spacing w:val="-3"/>
          <w:sz w:val="21"/>
        </w:rPr>
        <w:t>管道沿程水头损失宜按下式计算：</w:t>
      </w:r>
      <w:r>
        <w:rPr>
          <w:sz w:val="21"/>
        </w:rPr>
        <w:t xml:space="preserve"> </w:t>
      </w:r>
    </w:p>
    <w:p w14:paraId="5D44AD7F" w14:textId="77777777" w:rsidR="00A71EEF" w:rsidRDefault="00A71EEF">
      <w:pPr>
        <w:pStyle w:val="a3"/>
        <w:spacing w:before="4"/>
        <w:rPr>
          <w:sz w:val="17"/>
        </w:rPr>
      </w:pPr>
    </w:p>
    <w:p w14:paraId="2EC0C983" w14:textId="77777777" w:rsidR="00A71EEF" w:rsidRDefault="0081115D">
      <w:pPr>
        <w:ind w:left="3408"/>
        <w:rPr>
          <w:sz w:val="21"/>
        </w:rPr>
      </w:pPr>
      <w:r>
        <w:rPr>
          <w:i/>
          <w:position w:val="1"/>
        </w:rPr>
        <w:t>P</w:t>
      </w:r>
      <w:r>
        <w:rPr>
          <w:sz w:val="11"/>
        </w:rPr>
        <w:t>f</w:t>
      </w:r>
      <w:r>
        <w:rPr>
          <w:position w:val="1"/>
          <w:sz w:val="21"/>
        </w:rPr>
        <w:t>＝</w:t>
      </w:r>
      <w:r>
        <w:rPr>
          <w:i/>
          <w:position w:val="1"/>
        </w:rPr>
        <w:t>iL</w:t>
      </w:r>
      <w:r>
        <w:rPr>
          <w:i/>
        </w:rPr>
        <w:t xml:space="preserve"> </w:t>
      </w:r>
      <w:r>
        <w:rPr>
          <w:position w:val="1"/>
          <w:sz w:val="21"/>
        </w:rPr>
        <w:t>（</w:t>
      </w:r>
      <w:r>
        <w:rPr>
          <w:position w:val="1"/>
          <w:sz w:val="21"/>
        </w:rPr>
        <w:t>10.1.5</w:t>
      </w:r>
      <w:r>
        <w:rPr>
          <w:position w:val="1"/>
          <w:sz w:val="21"/>
        </w:rPr>
        <w:t>）</w:t>
      </w:r>
      <w:r>
        <w:rPr>
          <w:position w:val="1"/>
          <w:sz w:val="21"/>
        </w:rPr>
        <w:t xml:space="preserve"> </w:t>
      </w:r>
    </w:p>
    <w:p w14:paraId="34FF8167" w14:textId="77777777" w:rsidR="00A71EEF" w:rsidRDefault="00A71EEF">
      <w:pPr>
        <w:pStyle w:val="a3"/>
        <w:rPr>
          <w:sz w:val="17"/>
        </w:rPr>
      </w:pPr>
    </w:p>
    <w:p w14:paraId="49142BF4" w14:textId="77777777" w:rsidR="00A71EEF" w:rsidRDefault="0081115D">
      <w:pPr>
        <w:pStyle w:val="a3"/>
        <w:ind w:left="838"/>
      </w:pPr>
      <w:r>
        <w:rPr>
          <w:position w:val="1"/>
        </w:rPr>
        <w:t>式中：</w:t>
      </w:r>
      <w:r>
        <w:rPr>
          <w:i/>
          <w:position w:val="1"/>
          <w:sz w:val="22"/>
        </w:rPr>
        <w:t>P</w:t>
      </w:r>
      <w:r>
        <w:rPr>
          <w:sz w:val="11"/>
        </w:rPr>
        <w:t>f</w:t>
      </w:r>
      <w:r>
        <w:rPr>
          <w:position w:val="1"/>
        </w:rPr>
        <w:t>——</w:t>
      </w:r>
      <w:r>
        <w:rPr>
          <w:position w:val="1"/>
        </w:rPr>
        <w:t>管道沿程水头损失（</w:t>
      </w:r>
      <w:r>
        <w:rPr>
          <w:position w:val="1"/>
        </w:rPr>
        <w:t>MPa</w:t>
      </w:r>
      <w:r>
        <w:rPr>
          <w:position w:val="1"/>
        </w:rPr>
        <w:t>）；</w:t>
      </w:r>
      <w:r>
        <w:rPr>
          <w:position w:val="1"/>
        </w:rPr>
        <w:t xml:space="preserve"> </w:t>
      </w:r>
    </w:p>
    <w:p w14:paraId="25E6F9D2" w14:textId="77777777" w:rsidR="00A71EEF" w:rsidRDefault="00A71EEF">
      <w:pPr>
        <w:pStyle w:val="a3"/>
        <w:rPr>
          <w:sz w:val="17"/>
        </w:rPr>
      </w:pPr>
    </w:p>
    <w:p w14:paraId="290AC063" w14:textId="77777777" w:rsidR="00A71EEF" w:rsidRDefault="0081115D">
      <w:pPr>
        <w:pStyle w:val="a3"/>
        <w:ind w:left="838"/>
      </w:pPr>
      <w:r>
        <w:rPr>
          <w:i/>
          <w:sz w:val="22"/>
        </w:rPr>
        <w:t>L</w:t>
      </w:r>
      <w:r>
        <w:t>——</w:t>
      </w:r>
      <w:r>
        <w:t>管道直线段的长度（</w:t>
      </w:r>
      <w:r>
        <w:t>m</w:t>
      </w:r>
      <w:r>
        <w:t>）。</w:t>
      </w:r>
      <w:r>
        <w:t xml:space="preserve"> </w:t>
      </w:r>
    </w:p>
    <w:p w14:paraId="1C835A4D" w14:textId="77777777" w:rsidR="00A71EEF" w:rsidRDefault="00A71EEF">
      <w:pPr>
        <w:pStyle w:val="a3"/>
        <w:spacing w:before="11"/>
        <w:rPr>
          <w:sz w:val="17"/>
        </w:rPr>
      </w:pPr>
    </w:p>
    <w:p w14:paraId="762C089F" w14:textId="77777777" w:rsidR="00A71EEF" w:rsidRDefault="0081115D">
      <w:pPr>
        <w:pStyle w:val="a4"/>
        <w:numPr>
          <w:ilvl w:val="2"/>
          <w:numId w:val="233"/>
        </w:numPr>
        <w:tabs>
          <w:tab w:val="left" w:pos="1527"/>
        </w:tabs>
        <w:spacing w:before="1" w:line="446" w:lineRule="auto"/>
        <w:ind w:right="1508" w:firstLine="419"/>
        <w:jc w:val="both"/>
        <w:rPr>
          <w:sz w:val="21"/>
        </w:rPr>
      </w:pPr>
      <w:r>
        <w:rPr>
          <w:noProof/>
        </w:rPr>
        <w:drawing>
          <wp:anchor distT="0" distB="0" distL="0" distR="0" simplePos="0" relativeHeight="251769344" behindDoc="1" locked="0" layoutInCell="1" allowOverlap="1" wp14:anchorId="0DF5E7E4" wp14:editId="2DCDC928">
            <wp:simplePos x="0" y="0"/>
            <wp:positionH relativeFrom="page">
              <wp:posOffset>1437005</wp:posOffset>
            </wp:positionH>
            <wp:positionV relativeFrom="paragraph">
              <wp:posOffset>855345</wp:posOffset>
            </wp:positionV>
            <wp:extent cx="5058410" cy="814705"/>
            <wp:effectExtent l="0" t="0" r="0" b="0"/>
            <wp:wrapNone/>
            <wp:docPr id="571" name="image3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image328.jpeg"/>
                    <pic:cNvPicPr/>
                  </pic:nvPicPr>
                  <pic:blipFill>
                    <a:blip r:embed="rId390" cstate="print"/>
                    <a:stretch>
                      <a:fillRect/>
                    </a:stretch>
                  </pic:blipFill>
                  <pic:spPr>
                    <a:xfrm>
                      <a:off x="0" y="0"/>
                      <a:ext cx="5058410" cy="814705"/>
                    </a:xfrm>
                    <a:prstGeom prst="rect">
                      <a:avLst/>
                    </a:prstGeom>
                  </pic:spPr>
                </pic:pic>
              </a:graphicData>
            </a:graphic>
          </wp:anchor>
        </w:drawing>
      </w:r>
      <w:r>
        <w:rPr>
          <w:spacing w:val="-3"/>
          <w:sz w:val="21"/>
        </w:rPr>
        <w:t>管道局部水头损失宜按下式计算。当资料不全时，局部水头损失可按根据管道沿程</w:t>
      </w:r>
      <w:r>
        <w:rPr>
          <w:spacing w:val="-10"/>
          <w:sz w:val="21"/>
        </w:rPr>
        <w:t>水头损失的</w:t>
      </w:r>
      <w:r>
        <w:rPr>
          <w:spacing w:val="-10"/>
          <w:sz w:val="21"/>
        </w:rPr>
        <w:t xml:space="preserve"> </w:t>
      </w:r>
      <w:r>
        <w:rPr>
          <w:sz w:val="21"/>
        </w:rPr>
        <w:t>10%</w:t>
      </w:r>
      <w:r>
        <w:rPr>
          <w:sz w:val="21"/>
        </w:rPr>
        <w:t>～</w:t>
      </w:r>
      <w:r>
        <w:rPr>
          <w:sz w:val="21"/>
        </w:rPr>
        <w:t>30</w:t>
      </w:r>
      <w:r>
        <w:rPr>
          <w:spacing w:val="-5"/>
          <w:sz w:val="21"/>
        </w:rPr>
        <w:t>%</w:t>
      </w:r>
      <w:r>
        <w:rPr>
          <w:spacing w:val="-5"/>
          <w:sz w:val="21"/>
        </w:rPr>
        <w:t>估算，消防给水干管和室内消火栓可按</w:t>
      </w:r>
      <w:r>
        <w:rPr>
          <w:spacing w:val="-5"/>
          <w:sz w:val="21"/>
        </w:rPr>
        <w:t xml:space="preserve"> </w:t>
      </w:r>
      <w:r>
        <w:rPr>
          <w:sz w:val="21"/>
        </w:rPr>
        <w:t>10%</w:t>
      </w:r>
      <w:r>
        <w:rPr>
          <w:sz w:val="21"/>
        </w:rPr>
        <w:t>～</w:t>
      </w:r>
      <w:r>
        <w:rPr>
          <w:sz w:val="21"/>
        </w:rPr>
        <w:t>20</w:t>
      </w:r>
      <w:r>
        <w:rPr>
          <w:spacing w:val="-3"/>
          <w:sz w:val="21"/>
        </w:rPr>
        <w:t>%</w:t>
      </w:r>
      <w:r>
        <w:rPr>
          <w:spacing w:val="-3"/>
          <w:sz w:val="21"/>
        </w:rPr>
        <w:t>计，自动喷水等支管较多</w:t>
      </w:r>
      <w:r>
        <w:rPr>
          <w:spacing w:val="-15"/>
          <w:sz w:val="21"/>
        </w:rPr>
        <w:t>时可按</w:t>
      </w:r>
      <w:r>
        <w:rPr>
          <w:spacing w:val="-15"/>
          <w:sz w:val="21"/>
        </w:rPr>
        <w:t xml:space="preserve"> </w:t>
      </w:r>
      <w:r>
        <w:rPr>
          <w:sz w:val="21"/>
        </w:rPr>
        <w:t>30</w:t>
      </w:r>
      <w:r>
        <w:rPr>
          <w:spacing w:val="-1"/>
          <w:sz w:val="21"/>
        </w:rPr>
        <w:t>%</w:t>
      </w:r>
      <w:r>
        <w:rPr>
          <w:spacing w:val="-1"/>
          <w:sz w:val="21"/>
        </w:rPr>
        <w:t>计。</w:t>
      </w:r>
      <w:r>
        <w:rPr>
          <w:sz w:val="21"/>
        </w:rPr>
        <w:t xml:space="preserve"> </w:t>
      </w:r>
    </w:p>
    <w:p w14:paraId="1253B500" w14:textId="77777777" w:rsidR="00A71EEF" w:rsidRDefault="00A71EEF">
      <w:pPr>
        <w:spacing w:line="446" w:lineRule="auto"/>
        <w:jc w:val="both"/>
        <w:rPr>
          <w:sz w:val="21"/>
        </w:rPr>
        <w:sectPr w:rsidR="00A71EEF">
          <w:pgSz w:w="11910" w:h="16850"/>
          <w:pgMar w:top="1220" w:right="0" w:bottom="1420" w:left="1260" w:header="0" w:footer="1239" w:gutter="0"/>
          <w:cols w:space="720"/>
        </w:sectPr>
      </w:pPr>
    </w:p>
    <w:p w14:paraId="30537095" w14:textId="77777777" w:rsidR="00A71EEF" w:rsidRDefault="0081115D">
      <w:pPr>
        <w:pStyle w:val="6"/>
        <w:spacing w:before="47"/>
        <w:ind w:left="3202"/>
      </w:pPr>
      <w:r>
        <w:t>表</w:t>
      </w:r>
      <w:r>
        <w:t xml:space="preserve"> 10.1.6-1 </w:t>
      </w:r>
      <w:r>
        <w:t>管件和阀门当量长度（</w:t>
      </w:r>
      <w:r>
        <w:t>m</w:t>
      </w:r>
      <w:r>
        <w:t>）</w:t>
      </w:r>
      <w:r>
        <w:rPr>
          <w:w w:val="99"/>
        </w:rPr>
        <w:t xml:space="preserve"> </w:t>
      </w:r>
    </w:p>
    <w:p w14:paraId="0C12C4B8" w14:textId="77777777" w:rsidR="00A71EEF" w:rsidRDefault="0081115D">
      <w:pPr>
        <w:pStyle w:val="a3"/>
        <w:spacing w:before="5"/>
        <w:rPr>
          <w:b/>
          <w:sz w:val="25"/>
        </w:rPr>
      </w:pPr>
      <w:r>
        <w:pict w14:anchorId="4AAAC744">
          <v:group id="_x0000_s1132" style="position:absolute;margin-left:87.65pt;margin-top:18.25pt;width:428.3pt;height:397.55pt;z-index:-251491840;mso-wrap-distance-left:0;mso-wrap-distance-right:0;mso-position-horizontal-relative:page" coordorigin="1753,365" coordsize="8566,7951">
            <v:shape id="_x0000_s1134" type="#_x0000_t75" style="position:absolute;left:1753;top:2975;width:8565;height:5341">
              <v:imagedata r:id="rId391" o:title=""/>
            </v:shape>
            <v:shape id="_x0000_s1133" type="#_x0000_t75" style="position:absolute;left:1754;top:365;width:8565;height:2685">
              <v:imagedata r:id="rId392" o:title=""/>
            </v:shape>
            <w10:wrap type="topAndBottom" anchorx="page"/>
          </v:group>
        </w:pict>
      </w:r>
    </w:p>
    <w:p w14:paraId="47119059" w14:textId="77777777" w:rsidR="00A71EEF" w:rsidRDefault="00A71EEF">
      <w:pPr>
        <w:pStyle w:val="a3"/>
        <w:spacing w:before="2"/>
        <w:rPr>
          <w:b/>
          <w:sz w:val="15"/>
        </w:rPr>
      </w:pPr>
    </w:p>
    <w:p w14:paraId="07DB8771" w14:textId="77777777" w:rsidR="00A71EEF" w:rsidRDefault="0081115D">
      <w:pPr>
        <w:pStyle w:val="a3"/>
        <w:ind w:left="840"/>
      </w:pPr>
      <w:r>
        <w:t>注：</w:t>
      </w:r>
      <w:r>
        <w:t>1.</w:t>
      </w:r>
      <w:r>
        <w:t>当异径接头的出口直径不变而入口直径提高</w:t>
      </w:r>
      <w:r>
        <w:t xml:space="preserve"> Ⅰ</w:t>
      </w:r>
      <w:r>
        <w:t>级时，其当量长度应增大</w:t>
      </w:r>
      <w:r>
        <w:t xml:space="preserve"> 0.5 </w:t>
      </w:r>
      <w:r>
        <w:t>倍；提</w:t>
      </w:r>
    </w:p>
    <w:p w14:paraId="0BE7BD1D" w14:textId="77777777" w:rsidR="00A71EEF" w:rsidRDefault="00A71EEF">
      <w:pPr>
        <w:pStyle w:val="a3"/>
        <w:spacing w:before="12"/>
        <w:rPr>
          <w:sz w:val="17"/>
        </w:rPr>
      </w:pPr>
    </w:p>
    <w:p w14:paraId="544ECAD0" w14:textId="77777777" w:rsidR="00A71EEF" w:rsidRDefault="0081115D">
      <w:pPr>
        <w:pStyle w:val="a3"/>
        <w:ind w:left="418"/>
      </w:pPr>
      <w:r>
        <w:t>高</w:t>
      </w:r>
      <w:r>
        <w:t xml:space="preserve"> 2 </w:t>
      </w:r>
      <w:r>
        <w:t>级或</w:t>
      </w:r>
      <w:r>
        <w:t xml:space="preserve"> 2 </w:t>
      </w:r>
      <w:r>
        <w:t>级以上时，其当量长度应增加</w:t>
      </w:r>
      <w:r>
        <w:t xml:space="preserve"> 1.0 </w:t>
      </w:r>
      <w:r>
        <w:t>倍；</w:t>
      </w:r>
      <w:r>
        <w:t xml:space="preserve"> </w:t>
      </w:r>
    </w:p>
    <w:p w14:paraId="6DC78020" w14:textId="77777777" w:rsidR="00A71EEF" w:rsidRDefault="00A71EEF">
      <w:pPr>
        <w:pStyle w:val="a3"/>
        <w:rPr>
          <w:sz w:val="18"/>
        </w:rPr>
      </w:pPr>
    </w:p>
    <w:p w14:paraId="198B416A" w14:textId="77777777" w:rsidR="00A71EEF" w:rsidRDefault="0081115D">
      <w:pPr>
        <w:pStyle w:val="a3"/>
        <w:spacing w:line="446" w:lineRule="auto"/>
        <w:ind w:left="418" w:right="1505" w:firstLine="419"/>
      </w:pPr>
      <w:r>
        <w:t xml:space="preserve"> </w:t>
      </w:r>
      <w:r>
        <w:t>2.</w:t>
      </w:r>
      <w:r>
        <w:rPr>
          <w:spacing w:val="-6"/>
        </w:rPr>
        <w:t>表中当量长度是在海澄威廉系数</w:t>
      </w:r>
      <w:r>
        <w:rPr>
          <w:spacing w:val="-6"/>
        </w:rPr>
        <w:t xml:space="preserve"> </w:t>
      </w:r>
      <w:r>
        <w:t>C=120</w:t>
      </w:r>
      <w:r>
        <w:rPr>
          <w:spacing w:val="-8"/>
        </w:rPr>
        <w:t xml:space="preserve"> </w:t>
      </w:r>
      <w:r>
        <w:rPr>
          <w:spacing w:val="-8"/>
        </w:rPr>
        <w:t>的条件下测得，当选择的管材不同时，当量长度</w:t>
      </w:r>
      <w:r>
        <w:rPr>
          <w:spacing w:val="-5"/>
        </w:rPr>
        <w:t>应根据下列系数作调整：</w:t>
      </w:r>
      <w:r>
        <w:t xml:space="preserve"> </w:t>
      </w:r>
    </w:p>
    <w:p w14:paraId="0E5947AB" w14:textId="77777777" w:rsidR="00A71EEF" w:rsidRDefault="0081115D">
      <w:pPr>
        <w:pStyle w:val="a3"/>
        <w:spacing w:line="269" w:lineRule="exact"/>
        <w:ind w:left="838"/>
      </w:pPr>
      <w:r>
        <w:rPr>
          <w:position w:val="1"/>
        </w:rPr>
        <w:t>C=100</w:t>
      </w:r>
      <w:r>
        <w:rPr>
          <w:position w:val="1"/>
        </w:rPr>
        <w:t>，</w:t>
      </w:r>
      <w:r>
        <w:rPr>
          <w:position w:val="1"/>
        </w:rPr>
        <w:t>k</w:t>
      </w:r>
      <w:r>
        <w:rPr>
          <w:sz w:val="11"/>
        </w:rPr>
        <w:t>1</w:t>
      </w:r>
      <w:r>
        <w:rPr>
          <w:position w:val="1"/>
        </w:rPr>
        <w:t>=0.713</w:t>
      </w:r>
      <w:r>
        <w:rPr>
          <w:position w:val="1"/>
        </w:rPr>
        <w:t>；</w:t>
      </w:r>
      <w:r>
        <w:rPr>
          <w:position w:val="1"/>
        </w:rPr>
        <w:t>C=120</w:t>
      </w:r>
      <w:r>
        <w:rPr>
          <w:position w:val="1"/>
        </w:rPr>
        <w:t>，</w:t>
      </w:r>
      <w:r>
        <w:rPr>
          <w:position w:val="1"/>
        </w:rPr>
        <w:t>k</w:t>
      </w:r>
      <w:r>
        <w:rPr>
          <w:sz w:val="11"/>
        </w:rPr>
        <w:t>1</w:t>
      </w:r>
      <w:r>
        <w:rPr>
          <w:position w:val="1"/>
        </w:rPr>
        <w:t>=1.0</w:t>
      </w:r>
      <w:r>
        <w:rPr>
          <w:position w:val="1"/>
        </w:rPr>
        <w:t>；</w:t>
      </w:r>
      <w:r>
        <w:rPr>
          <w:position w:val="1"/>
        </w:rPr>
        <w:t>C=130</w:t>
      </w:r>
      <w:r>
        <w:rPr>
          <w:position w:val="1"/>
        </w:rPr>
        <w:t>，</w:t>
      </w:r>
      <w:r>
        <w:rPr>
          <w:position w:val="1"/>
        </w:rPr>
        <w:t>k</w:t>
      </w:r>
      <w:r>
        <w:rPr>
          <w:sz w:val="11"/>
        </w:rPr>
        <w:t>1</w:t>
      </w:r>
      <w:r>
        <w:rPr>
          <w:position w:val="1"/>
        </w:rPr>
        <w:t>=1.16</w:t>
      </w:r>
      <w:r>
        <w:rPr>
          <w:position w:val="1"/>
        </w:rPr>
        <w:t>；</w:t>
      </w:r>
      <w:r>
        <w:rPr>
          <w:position w:val="1"/>
        </w:rPr>
        <w:t>C=140</w:t>
      </w:r>
      <w:r>
        <w:rPr>
          <w:position w:val="1"/>
        </w:rPr>
        <w:t>，</w:t>
      </w:r>
      <w:r>
        <w:rPr>
          <w:position w:val="1"/>
        </w:rPr>
        <w:t>k</w:t>
      </w:r>
      <w:r>
        <w:rPr>
          <w:sz w:val="11"/>
        </w:rPr>
        <w:t>1</w:t>
      </w:r>
      <w:r>
        <w:rPr>
          <w:position w:val="1"/>
        </w:rPr>
        <w:t>=1.33</w:t>
      </w:r>
      <w:r>
        <w:rPr>
          <w:position w:val="1"/>
        </w:rPr>
        <w:t>；</w:t>
      </w:r>
      <w:r>
        <w:rPr>
          <w:position w:val="1"/>
        </w:rPr>
        <w:t>C=150</w:t>
      </w:r>
      <w:r>
        <w:rPr>
          <w:position w:val="1"/>
        </w:rPr>
        <w:t>，</w:t>
      </w:r>
      <w:r>
        <w:rPr>
          <w:position w:val="1"/>
        </w:rPr>
        <w:t>k</w:t>
      </w:r>
      <w:r>
        <w:rPr>
          <w:sz w:val="11"/>
        </w:rPr>
        <w:t>1</w:t>
      </w:r>
      <w:r>
        <w:rPr>
          <w:position w:val="1"/>
        </w:rPr>
        <w:t>=1.51</w:t>
      </w:r>
      <w:r>
        <w:rPr>
          <w:position w:val="1"/>
        </w:rPr>
        <w:t>；</w:t>
      </w:r>
      <w:r>
        <w:rPr>
          <w:position w:val="1"/>
        </w:rPr>
        <w:t xml:space="preserve"> </w:t>
      </w:r>
    </w:p>
    <w:p w14:paraId="121F1B87" w14:textId="77777777" w:rsidR="00A71EEF" w:rsidRDefault="00A71EEF">
      <w:pPr>
        <w:pStyle w:val="a3"/>
        <w:rPr>
          <w:sz w:val="18"/>
        </w:rPr>
      </w:pPr>
    </w:p>
    <w:p w14:paraId="4E6FCA8E" w14:textId="77777777" w:rsidR="00A71EEF" w:rsidRDefault="0081115D">
      <w:pPr>
        <w:pStyle w:val="a3"/>
        <w:ind w:left="838"/>
      </w:pPr>
      <w:r>
        <w:t>3.</w:t>
      </w:r>
      <w:r>
        <w:t>表中没有提供管件和阀门当量长度</w:t>
      </w:r>
      <w:r>
        <w:t>时，可按</w:t>
      </w:r>
      <w:r>
        <w:t xml:space="preserve"> 10.1.6-2 </w:t>
      </w:r>
      <w:r>
        <w:t>提供的参数经计算确定。</w:t>
      </w:r>
      <w:r>
        <w:t xml:space="preserve"> </w:t>
      </w:r>
    </w:p>
    <w:p w14:paraId="31BA927D" w14:textId="77777777" w:rsidR="00A71EEF" w:rsidRDefault="00A71EEF">
      <w:pPr>
        <w:sectPr w:rsidR="00A71EEF">
          <w:pgSz w:w="11910" w:h="16850"/>
          <w:pgMar w:top="1220" w:right="0" w:bottom="1420" w:left="1260" w:header="0" w:footer="1239" w:gutter="0"/>
          <w:cols w:space="720"/>
        </w:sectPr>
      </w:pPr>
    </w:p>
    <w:p w14:paraId="5D928446" w14:textId="77777777" w:rsidR="00A71EEF" w:rsidRDefault="0081115D">
      <w:pPr>
        <w:pStyle w:val="6"/>
        <w:spacing w:before="47"/>
        <w:ind w:left="2729"/>
        <w:rPr>
          <w:b w:val="0"/>
        </w:rPr>
      </w:pPr>
      <w:r>
        <w:t>表</w:t>
      </w:r>
      <w:r>
        <w:t xml:space="preserve"> 10.1.6-2 </w:t>
      </w:r>
      <w:r>
        <w:t>各种管件和阀门的当量长度折算系数</w:t>
      </w:r>
      <w:r>
        <w:rPr>
          <w:b w:val="0"/>
        </w:rPr>
        <w:t xml:space="preserve"> </w:t>
      </w:r>
    </w:p>
    <w:p w14:paraId="58E95A7A" w14:textId="77777777" w:rsidR="00A71EEF" w:rsidRDefault="0081115D">
      <w:pPr>
        <w:pStyle w:val="a3"/>
        <w:spacing w:before="5"/>
        <w:rPr>
          <w:sz w:val="18"/>
        </w:rPr>
      </w:pPr>
      <w:r>
        <w:rPr>
          <w:noProof/>
        </w:rPr>
        <w:drawing>
          <wp:anchor distT="0" distB="0" distL="0" distR="0" simplePos="0" relativeHeight="251666944" behindDoc="0" locked="0" layoutInCell="1" allowOverlap="1" wp14:anchorId="14AB5D56" wp14:editId="0D2879B9">
            <wp:simplePos x="0" y="0"/>
            <wp:positionH relativeFrom="page">
              <wp:posOffset>1227455</wp:posOffset>
            </wp:positionH>
            <wp:positionV relativeFrom="paragraph">
              <wp:posOffset>174712</wp:posOffset>
            </wp:positionV>
            <wp:extent cx="4838700" cy="2790825"/>
            <wp:effectExtent l="0" t="0" r="0" b="0"/>
            <wp:wrapTopAndBottom/>
            <wp:docPr id="573" name="image3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image331.jpeg"/>
                    <pic:cNvPicPr/>
                  </pic:nvPicPr>
                  <pic:blipFill>
                    <a:blip r:embed="rId393" cstate="print"/>
                    <a:stretch>
                      <a:fillRect/>
                    </a:stretch>
                  </pic:blipFill>
                  <pic:spPr>
                    <a:xfrm>
                      <a:off x="0" y="0"/>
                      <a:ext cx="4838700" cy="2790825"/>
                    </a:xfrm>
                    <a:prstGeom prst="rect">
                      <a:avLst/>
                    </a:prstGeom>
                  </pic:spPr>
                </pic:pic>
              </a:graphicData>
            </a:graphic>
          </wp:anchor>
        </w:drawing>
      </w:r>
    </w:p>
    <w:p w14:paraId="0B40ED7D" w14:textId="77777777" w:rsidR="00A71EEF" w:rsidRDefault="0081115D">
      <w:pPr>
        <w:pStyle w:val="a4"/>
        <w:numPr>
          <w:ilvl w:val="2"/>
          <w:numId w:val="233"/>
        </w:numPr>
        <w:tabs>
          <w:tab w:val="left" w:pos="1530"/>
        </w:tabs>
        <w:spacing w:before="179" w:after="38"/>
        <w:ind w:left="1529" w:hanging="690"/>
        <w:rPr>
          <w:sz w:val="21"/>
        </w:rPr>
      </w:pPr>
      <w:r>
        <w:rPr>
          <w:spacing w:val="-3"/>
          <w:sz w:val="21"/>
        </w:rPr>
        <w:t>消防水泵或消防给水所需要的设计扬程或设计压力，宜按下式计算：</w:t>
      </w:r>
      <w:r>
        <w:rPr>
          <w:spacing w:val="-3"/>
          <w:sz w:val="21"/>
        </w:rPr>
        <w:t xml:space="preserve"> </w:t>
      </w:r>
    </w:p>
    <w:p w14:paraId="54E38EDA" w14:textId="77777777" w:rsidR="00A71EEF" w:rsidRDefault="0081115D">
      <w:pPr>
        <w:pStyle w:val="a3"/>
        <w:ind w:left="1872"/>
        <w:rPr>
          <w:sz w:val="20"/>
        </w:rPr>
      </w:pPr>
      <w:r>
        <w:rPr>
          <w:noProof/>
          <w:sz w:val="20"/>
        </w:rPr>
        <w:drawing>
          <wp:inline distT="0" distB="0" distL="0" distR="0" wp14:anchorId="64D25AA3" wp14:editId="74EC1466">
            <wp:extent cx="4257119" cy="253364"/>
            <wp:effectExtent l="0" t="0" r="0" b="0"/>
            <wp:docPr id="575" name="image3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image332.jpeg"/>
                    <pic:cNvPicPr/>
                  </pic:nvPicPr>
                  <pic:blipFill>
                    <a:blip r:embed="rId394" cstate="print"/>
                    <a:stretch>
                      <a:fillRect/>
                    </a:stretch>
                  </pic:blipFill>
                  <pic:spPr>
                    <a:xfrm>
                      <a:off x="0" y="0"/>
                      <a:ext cx="4257119" cy="253364"/>
                    </a:xfrm>
                    <a:prstGeom prst="rect">
                      <a:avLst/>
                    </a:prstGeom>
                  </pic:spPr>
                </pic:pic>
              </a:graphicData>
            </a:graphic>
          </wp:inline>
        </w:drawing>
      </w:r>
    </w:p>
    <w:p w14:paraId="38EC351C" w14:textId="77777777" w:rsidR="00A71EEF" w:rsidRDefault="00A71EEF">
      <w:pPr>
        <w:pStyle w:val="a3"/>
        <w:rPr>
          <w:sz w:val="22"/>
        </w:rPr>
      </w:pPr>
    </w:p>
    <w:p w14:paraId="58BE4CEF" w14:textId="77777777" w:rsidR="00A71EEF" w:rsidRDefault="0081115D">
      <w:pPr>
        <w:pStyle w:val="a3"/>
        <w:ind w:left="838"/>
      </w:pPr>
      <w:r>
        <w:t>式中：</w:t>
      </w:r>
      <w:r>
        <w:rPr>
          <w:i/>
          <w:sz w:val="22"/>
        </w:rPr>
        <w:t>P</w:t>
      </w:r>
      <w:r>
        <w:t>——</w:t>
      </w:r>
      <w:r>
        <w:t>消防水泵或消防给水系统所需要的设计扬程或设计压力</w:t>
      </w:r>
      <w:r>
        <w:t>(MPa)</w:t>
      </w:r>
      <w:r>
        <w:t>；</w:t>
      </w:r>
      <w:r>
        <w:t xml:space="preserve"> </w:t>
      </w:r>
    </w:p>
    <w:p w14:paraId="179A5DE5" w14:textId="77777777" w:rsidR="00A71EEF" w:rsidRDefault="0081115D">
      <w:pPr>
        <w:pStyle w:val="a3"/>
        <w:spacing w:before="162" w:line="350" w:lineRule="auto"/>
        <w:ind w:left="418" w:right="1545" w:firstLine="419"/>
      </w:pPr>
      <w:r>
        <w:rPr>
          <w:i/>
          <w:position w:val="1"/>
          <w:sz w:val="22"/>
        </w:rPr>
        <w:t>k</w:t>
      </w:r>
      <w:r>
        <w:rPr>
          <w:sz w:val="11"/>
        </w:rPr>
        <w:t>2</w:t>
      </w:r>
      <w:r>
        <w:rPr>
          <w:position w:val="1"/>
        </w:rPr>
        <w:t>——</w:t>
      </w:r>
      <w:r>
        <w:rPr>
          <w:position w:val="1"/>
        </w:rPr>
        <w:t>安全系数，可取</w:t>
      </w:r>
      <w:r>
        <w:rPr>
          <w:position w:val="1"/>
        </w:rPr>
        <w:t xml:space="preserve"> 1.20</w:t>
      </w:r>
      <w:r>
        <w:rPr>
          <w:rFonts w:ascii="微软雅黑" w:eastAsia="微软雅黑" w:hAnsi="微软雅黑" w:hint="eastAsia"/>
          <w:position w:val="1"/>
        </w:rPr>
        <w:t>〜</w:t>
      </w:r>
      <w:r>
        <w:rPr>
          <w:position w:val="1"/>
        </w:rPr>
        <w:t>1.40</w:t>
      </w:r>
      <w:r>
        <w:rPr>
          <w:position w:val="1"/>
        </w:rPr>
        <w:t>；宜根据管道的复杂程度和不可预见发生的管道变更所</w:t>
      </w:r>
      <w:r>
        <w:t>带来的不确定性；</w:t>
      </w:r>
      <w:r>
        <w:t xml:space="preserve"> </w:t>
      </w:r>
    </w:p>
    <w:p w14:paraId="1810D157" w14:textId="77777777" w:rsidR="00A71EEF" w:rsidRDefault="0081115D">
      <w:pPr>
        <w:pStyle w:val="a3"/>
        <w:spacing w:before="98" w:line="441" w:lineRule="auto"/>
        <w:ind w:left="418" w:right="1450" w:firstLine="419"/>
        <w:jc w:val="both"/>
      </w:pPr>
      <w:r>
        <w:t xml:space="preserve"> </w:t>
      </w:r>
      <w:r>
        <w:rPr>
          <w:i/>
          <w:sz w:val="22"/>
        </w:rPr>
        <w:t>H</w:t>
      </w:r>
      <w:r>
        <w:rPr>
          <w:spacing w:val="-3"/>
        </w:rPr>
        <w:t>——</w:t>
      </w:r>
      <w:r>
        <w:rPr>
          <w:spacing w:val="-3"/>
        </w:rPr>
        <w:t>当消防水泵从消防水池吸水时</w:t>
      </w:r>
      <w:r>
        <w:t>，</w:t>
      </w:r>
      <w:r>
        <w:t>H</w:t>
      </w:r>
      <w:r>
        <w:rPr>
          <w:spacing w:val="-6"/>
        </w:rPr>
        <w:t xml:space="preserve"> </w:t>
      </w:r>
      <w:r>
        <w:rPr>
          <w:spacing w:val="-6"/>
        </w:rPr>
        <w:t>为最低有效水位至最不利水灭火设施的几何高差；</w:t>
      </w:r>
      <w:r>
        <w:rPr>
          <w:spacing w:val="-6"/>
        </w:rPr>
        <w:t xml:space="preserve"> </w:t>
      </w:r>
      <w:r>
        <w:rPr>
          <w:spacing w:val="-4"/>
        </w:rPr>
        <w:t>当消防水泵从市政给水管网直接吸水时，</w:t>
      </w:r>
      <w:r>
        <w:t>H</w:t>
      </w:r>
      <w:r>
        <w:rPr>
          <w:spacing w:val="-5"/>
        </w:rPr>
        <w:t xml:space="preserve"> </w:t>
      </w:r>
      <w:r>
        <w:rPr>
          <w:spacing w:val="-5"/>
        </w:rPr>
        <w:t>为火灾时市政给水管网在消防水泵入口处的设计压力</w:t>
      </w:r>
      <w:r>
        <w:rPr>
          <w:spacing w:val="-4"/>
        </w:rPr>
        <w:t>值的高程至最不利水灭火设施的几何高差</w:t>
      </w:r>
      <w:r>
        <w:t>（</w:t>
      </w:r>
      <w:r>
        <w:t>m)</w:t>
      </w:r>
      <w:r>
        <w:t>；</w:t>
      </w:r>
      <w:r>
        <w:t xml:space="preserve"> </w:t>
      </w:r>
    </w:p>
    <w:p w14:paraId="583BC474" w14:textId="77777777" w:rsidR="00A71EEF" w:rsidRDefault="0081115D">
      <w:pPr>
        <w:pStyle w:val="a3"/>
        <w:spacing w:line="273" w:lineRule="exact"/>
        <w:ind w:left="838"/>
      </w:pPr>
      <w:r>
        <w:rPr>
          <w:i/>
          <w:position w:val="1"/>
          <w:sz w:val="22"/>
        </w:rPr>
        <w:t>P</w:t>
      </w:r>
      <w:r>
        <w:rPr>
          <w:sz w:val="11"/>
        </w:rPr>
        <w:t>0</w:t>
      </w:r>
      <w:r>
        <w:rPr>
          <w:position w:val="1"/>
        </w:rPr>
        <w:t>——</w:t>
      </w:r>
      <w:r>
        <w:rPr>
          <w:position w:val="1"/>
        </w:rPr>
        <w:t>最不利点水灭火设施所需的设计压力（</w:t>
      </w:r>
      <w:r>
        <w:rPr>
          <w:position w:val="1"/>
        </w:rPr>
        <w:t>MPa)</w:t>
      </w:r>
      <w:r>
        <w:rPr>
          <w:position w:val="1"/>
        </w:rPr>
        <w:t>。</w:t>
      </w:r>
      <w:r>
        <w:rPr>
          <w:position w:val="1"/>
        </w:rPr>
        <w:t xml:space="preserve"> </w:t>
      </w:r>
    </w:p>
    <w:p w14:paraId="07EC8BC8" w14:textId="77777777" w:rsidR="00A71EEF" w:rsidRDefault="00A71EEF">
      <w:pPr>
        <w:pStyle w:val="a3"/>
        <w:rPr>
          <w:sz w:val="18"/>
        </w:rPr>
      </w:pPr>
    </w:p>
    <w:p w14:paraId="18BB31E1" w14:textId="77777777" w:rsidR="00A71EEF" w:rsidRDefault="0081115D">
      <w:pPr>
        <w:pStyle w:val="a4"/>
        <w:numPr>
          <w:ilvl w:val="2"/>
          <w:numId w:val="233"/>
        </w:numPr>
        <w:tabs>
          <w:tab w:val="left" w:pos="1530"/>
        </w:tabs>
        <w:spacing w:line="446" w:lineRule="auto"/>
        <w:ind w:right="1549" w:firstLine="422"/>
        <w:rPr>
          <w:sz w:val="21"/>
        </w:rPr>
      </w:pPr>
      <w:r>
        <w:rPr>
          <w:spacing w:val="-3"/>
          <w:sz w:val="21"/>
        </w:rPr>
        <w:t>市政给水管网直接向消防给水系统供水时，消防给水入户引入管的工作压力应根据市政供水公司确定值进行复核计算。</w:t>
      </w:r>
      <w:r>
        <w:rPr>
          <w:sz w:val="21"/>
        </w:rPr>
        <w:t xml:space="preserve"> </w:t>
      </w:r>
    </w:p>
    <w:p w14:paraId="60753D62" w14:textId="77777777" w:rsidR="00A71EEF" w:rsidRDefault="0081115D">
      <w:pPr>
        <w:pStyle w:val="a4"/>
        <w:numPr>
          <w:ilvl w:val="2"/>
          <w:numId w:val="233"/>
        </w:numPr>
        <w:tabs>
          <w:tab w:val="left" w:pos="1530"/>
        </w:tabs>
        <w:spacing w:line="267" w:lineRule="exact"/>
        <w:ind w:left="1529" w:hanging="690"/>
        <w:rPr>
          <w:sz w:val="21"/>
        </w:rPr>
      </w:pPr>
      <w:r>
        <w:rPr>
          <w:spacing w:val="-3"/>
          <w:sz w:val="21"/>
        </w:rPr>
        <w:t>消火栓系统管网水力计算应符合下列规定：</w:t>
      </w:r>
      <w:r>
        <w:rPr>
          <w:sz w:val="21"/>
        </w:rPr>
        <w:t xml:space="preserve"> </w:t>
      </w:r>
    </w:p>
    <w:p w14:paraId="0CC0BEBB" w14:textId="77777777" w:rsidR="00A71EEF" w:rsidRDefault="00A71EEF">
      <w:pPr>
        <w:pStyle w:val="a3"/>
        <w:spacing w:before="2"/>
        <w:rPr>
          <w:sz w:val="18"/>
        </w:rPr>
      </w:pPr>
    </w:p>
    <w:p w14:paraId="5961D583" w14:textId="77777777" w:rsidR="00A71EEF" w:rsidRDefault="0081115D">
      <w:pPr>
        <w:pStyle w:val="a3"/>
        <w:spacing w:line="446" w:lineRule="auto"/>
        <w:ind w:left="418" w:right="1609" w:firstLine="419"/>
      </w:pPr>
      <w:r>
        <w:t>室外消火栓系统的管网在水力计算时不应简化，应根据枝状或事故状态下环状管网进行水力计算；</w:t>
      </w:r>
      <w:r>
        <w:t xml:space="preserve"> </w:t>
      </w:r>
    </w:p>
    <w:p w14:paraId="1948EAAB" w14:textId="77777777" w:rsidR="00A71EEF" w:rsidRDefault="0081115D">
      <w:pPr>
        <w:pStyle w:val="a3"/>
        <w:spacing w:line="267" w:lineRule="exact"/>
        <w:ind w:left="838"/>
      </w:pPr>
      <w:r>
        <w:t>室内消火栓系统管网在水力计算时</w:t>
      </w:r>
      <w:r>
        <w:t>，可简化为枝状管网。</w:t>
      </w:r>
      <w:r>
        <w:t xml:space="preserve"> </w:t>
      </w:r>
    </w:p>
    <w:p w14:paraId="1D5F6110" w14:textId="77777777" w:rsidR="00A71EEF" w:rsidRDefault="00A71EEF">
      <w:pPr>
        <w:pStyle w:val="a3"/>
        <w:spacing w:before="3"/>
        <w:rPr>
          <w:sz w:val="18"/>
        </w:rPr>
      </w:pPr>
    </w:p>
    <w:p w14:paraId="6F1B6C77" w14:textId="77777777" w:rsidR="00A71EEF" w:rsidRDefault="0081115D">
      <w:pPr>
        <w:pStyle w:val="a3"/>
        <w:spacing w:line="446" w:lineRule="auto"/>
        <w:ind w:left="418" w:right="1608" w:firstLine="419"/>
        <w:jc w:val="both"/>
      </w:pPr>
      <w:r>
        <w:rPr>
          <w:spacing w:val="-6"/>
        </w:rPr>
        <w:t>室内消火栓系统的竖管流量应按本规范第</w:t>
      </w:r>
      <w:r>
        <w:rPr>
          <w:spacing w:val="-6"/>
        </w:rPr>
        <w:t xml:space="preserve"> </w:t>
      </w:r>
      <w:r>
        <w:t>8.1.6</w:t>
      </w:r>
      <w:r>
        <w:rPr>
          <w:spacing w:val="-23"/>
        </w:rPr>
        <w:t xml:space="preserve"> </w:t>
      </w:r>
      <w:r>
        <w:rPr>
          <w:spacing w:val="-23"/>
        </w:rPr>
        <w:t>条第</w:t>
      </w:r>
      <w:r>
        <w:rPr>
          <w:spacing w:val="-23"/>
        </w:rPr>
        <w:t xml:space="preserve"> </w:t>
      </w:r>
      <w:r>
        <w:t>1</w:t>
      </w:r>
      <w:r>
        <w:rPr>
          <w:spacing w:val="-8"/>
        </w:rPr>
        <w:t xml:space="preserve"> </w:t>
      </w:r>
      <w:r>
        <w:rPr>
          <w:spacing w:val="-8"/>
        </w:rPr>
        <w:t>款规定可关闭竖管数量最大时，剩</w:t>
      </w:r>
      <w:r>
        <w:rPr>
          <w:spacing w:val="-5"/>
        </w:rPr>
        <w:t>余一组最不利的竖管确定该组竖管中每根竖管平均分摊室内消火栓设计流量，且不应小于本规</w:t>
      </w:r>
      <w:r>
        <w:rPr>
          <w:spacing w:val="-20"/>
        </w:rPr>
        <w:t>范表</w:t>
      </w:r>
      <w:r>
        <w:rPr>
          <w:spacing w:val="-20"/>
        </w:rPr>
        <w:t xml:space="preserve"> </w:t>
      </w:r>
      <w:r>
        <w:t>3.5.2</w:t>
      </w:r>
      <w:r>
        <w:rPr>
          <w:spacing w:val="-8"/>
        </w:rPr>
        <w:t xml:space="preserve"> </w:t>
      </w:r>
      <w:r>
        <w:rPr>
          <w:spacing w:val="-8"/>
        </w:rPr>
        <w:t>规定的竖管流量。室内消火栓系统供水横干管的流量应为室内消火栓设计流量。</w:t>
      </w:r>
      <w:r>
        <w:rPr>
          <w:spacing w:val="-8"/>
        </w:rPr>
        <w:t xml:space="preserve"> </w:t>
      </w:r>
    </w:p>
    <w:p w14:paraId="0A1D0047" w14:textId="77777777" w:rsidR="00A71EEF" w:rsidRDefault="00A71EEF">
      <w:pPr>
        <w:spacing w:line="446" w:lineRule="auto"/>
        <w:jc w:val="both"/>
        <w:sectPr w:rsidR="00A71EEF">
          <w:pgSz w:w="11910" w:h="16850"/>
          <w:pgMar w:top="1220" w:right="0" w:bottom="1420" w:left="1260" w:header="0" w:footer="1239" w:gutter="0"/>
          <w:cols w:space="720"/>
        </w:sectPr>
      </w:pPr>
    </w:p>
    <w:p w14:paraId="15A05EC4" w14:textId="77777777" w:rsidR="00A71EEF" w:rsidRDefault="0081115D">
      <w:pPr>
        <w:pStyle w:val="a4"/>
        <w:numPr>
          <w:ilvl w:val="1"/>
          <w:numId w:val="233"/>
        </w:numPr>
        <w:tabs>
          <w:tab w:val="left" w:pos="1264"/>
        </w:tabs>
        <w:spacing w:before="47"/>
        <w:ind w:left="1263" w:hanging="424"/>
        <w:rPr>
          <w:sz w:val="21"/>
        </w:rPr>
      </w:pPr>
      <w:r>
        <w:rPr>
          <w:spacing w:val="-3"/>
          <w:sz w:val="21"/>
        </w:rPr>
        <w:t>消火栓</w:t>
      </w:r>
      <w:r>
        <w:rPr>
          <w:sz w:val="21"/>
        </w:rPr>
        <w:t xml:space="preserve"> </w:t>
      </w:r>
    </w:p>
    <w:p w14:paraId="446036CE" w14:textId="77777777" w:rsidR="00A71EEF" w:rsidRDefault="00A71EEF">
      <w:pPr>
        <w:pStyle w:val="a3"/>
        <w:rPr>
          <w:sz w:val="18"/>
        </w:rPr>
      </w:pPr>
    </w:p>
    <w:p w14:paraId="3A23601E" w14:textId="77777777" w:rsidR="00A71EEF" w:rsidRDefault="0081115D">
      <w:pPr>
        <w:pStyle w:val="a4"/>
        <w:numPr>
          <w:ilvl w:val="2"/>
          <w:numId w:val="233"/>
        </w:numPr>
        <w:tabs>
          <w:tab w:val="left" w:pos="1475"/>
        </w:tabs>
        <w:ind w:left="1474" w:hanging="637"/>
        <w:rPr>
          <w:sz w:val="21"/>
        </w:rPr>
      </w:pPr>
      <w:r>
        <w:rPr>
          <w:spacing w:val="-3"/>
          <w:sz w:val="21"/>
        </w:rPr>
        <w:t>室内消火栓的保护半径可按下式计算：</w:t>
      </w:r>
      <w:r>
        <w:rPr>
          <w:spacing w:val="-3"/>
          <w:sz w:val="21"/>
        </w:rPr>
        <w:t xml:space="preserve"> </w:t>
      </w:r>
    </w:p>
    <w:p w14:paraId="7A2B2C39" w14:textId="77777777" w:rsidR="00A71EEF" w:rsidRDefault="0081115D">
      <w:pPr>
        <w:pStyle w:val="a3"/>
        <w:spacing w:before="9"/>
        <w:rPr>
          <w:sz w:val="28"/>
        </w:rPr>
      </w:pPr>
      <w:r>
        <w:pict w14:anchorId="1FD7908E">
          <v:group id="_x0000_s1129" style="position:absolute;margin-left:102.8pt;margin-top:20.35pt;width:429.4pt;height:163.1pt;z-index:-251490816;mso-wrap-distance-left:0;mso-wrap-distance-right:0;mso-position-horizontal-relative:page" coordorigin="2056,407" coordsize="8588,3262">
            <v:shape id="_x0000_s1131" type="#_x0000_t75" style="position:absolute;left:2057;top:407;width:8360;height:1899">
              <v:imagedata r:id="rId395" o:title=""/>
            </v:shape>
            <v:shape id="_x0000_s1130" type="#_x0000_t75" style="position:absolute;left:2056;top:1995;width:8588;height:1674">
              <v:imagedata r:id="rId396" o:title=""/>
            </v:shape>
            <w10:wrap type="topAndBottom" anchorx="page"/>
          </v:group>
        </w:pict>
      </w:r>
    </w:p>
    <w:p w14:paraId="654C71ED" w14:textId="77777777" w:rsidR="00A71EEF" w:rsidRDefault="0081115D">
      <w:pPr>
        <w:pStyle w:val="a4"/>
        <w:numPr>
          <w:ilvl w:val="1"/>
          <w:numId w:val="233"/>
        </w:numPr>
        <w:tabs>
          <w:tab w:val="left" w:pos="1264"/>
        </w:tabs>
        <w:spacing w:before="169"/>
        <w:ind w:left="1263" w:hanging="424"/>
        <w:rPr>
          <w:sz w:val="21"/>
        </w:rPr>
      </w:pPr>
      <w:r>
        <w:rPr>
          <w:spacing w:val="-3"/>
          <w:sz w:val="21"/>
        </w:rPr>
        <w:t>减压计算</w:t>
      </w:r>
      <w:r>
        <w:rPr>
          <w:sz w:val="21"/>
        </w:rPr>
        <w:t xml:space="preserve"> </w:t>
      </w:r>
    </w:p>
    <w:p w14:paraId="40BB8E9A" w14:textId="77777777" w:rsidR="00A71EEF" w:rsidRDefault="00A71EEF">
      <w:pPr>
        <w:pStyle w:val="a3"/>
        <w:spacing w:before="12"/>
        <w:rPr>
          <w:sz w:val="17"/>
        </w:rPr>
      </w:pPr>
    </w:p>
    <w:p w14:paraId="765A8D4C" w14:textId="77777777" w:rsidR="00A71EEF" w:rsidRDefault="0081115D">
      <w:pPr>
        <w:pStyle w:val="a4"/>
        <w:numPr>
          <w:ilvl w:val="2"/>
          <w:numId w:val="233"/>
        </w:numPr>
        <w:tabs>
          <w:tab w:val="left" w:pos="1530"/>
        </w:tabs>
        <w:ind w:left="1529" w:hanging="690"/>
        <w:rPr>
          <w:sz w:val="21"/>
        </w:rPr>
      </w:pPr>
      <w:r>
        <w:rPr>
          <w:spacing w:val="-3"/>
          <w:sz w:val="21"/>
        </w:rPr>
        <w:t>减压孔板应符合下列规定：</w:t>
      </w:r>
      <w:r>
        <w:rPr>
          <w:sz w:val="21"/>
        </w:rPr>
        <w:t xml:space="preserve"> </w:t>
      </w:r>
    </w:p>
    <w:p w14:paraId="0AEB9745" w14:textId="77777777" w:rsidR="00A71EEF" w:rsidRDefault="00A71EEF">
      <w:pPr>
        <w:pStyle w:val="a3"/>
        <w:spacing w:before="2"/>
        <w:rPr>
          <w:sz w:val="18"/>
        </w:rPr>
      </w:pPr>
    </w:p>
    <w:p w14:paraId="0B16F2E2" w14:textId="77777777" w:rsidR="00A71EEF" w:rsidRDefault="0081115D">
      <w:pPr>
        <w:pStyle w:val="a3"/>
        <w:spacing w:line="446" w:lineRule="auto"/>
        <w:ind w:left="838" w:right="1347"/>
      </w:pPr>
      <w:r>
        <w:rPr>
          <w:spacing w:val="-8"/>
        </w:rPr>
        <w:t>应设在直径不小于</w:t>
      </w:r>
      <w:r>
        <w:rPr>
          <w:spacing w:val="-8"/>
        </w:rPr>
        <w:t xml:space="preserve"> </w:t>
      </w:r>
      <w:r>
        <w:t>50mm</w:t>
      </w:r>
      <w:r>
        <w:rPr>
          <w:spacing w:val="-5"/>
        </w:rPr>
        <w:t xml:space="preserve"> </w:t>
      </w:r>
      <w:r>
        <w:rPr>
          <w:spacing w:val="-5"/>
        </w:rPr>
        <w:t>的水平直管段上，前后管段的长度均不宜小于该管段直径的</w:t>
      </w:r>
      <w:r>
        <w:rPr>
          <w:spacing w:val="-5"/>
        </w:rPr>
        <w:t xml:space="preserve"> </w:t>
      </w:r>
      <w:r>
        <w:t>5</w:t>
      </w:r>
      <w:r>
        <w:rPr>
          <w:spacing w:val="-18"/>
        </w:rPr>
        <w:t xml:space="preserve"> </w:t>
      </w:r>
      <w:r>
        <w:rPr>
          <w:spacing w:val="-18"/>
        </w:rPr>
        <w:t>倍；</w:t>
      </w:r>
      <w:r>
        <w:rPr>
          <w:spacing w:val="-18"/>
        </w:rPr>
        <w:t xml:space="preserve"> </w:t>
      </w:r>
      <w:r>
        <w:rPr>
          <w:spacing w:val="-7"/>
        </w:rPr>
        <w:t>孔口直径不应小于设置管段直径的</w:t>
      </w:r>
      <w:r>
        <w:rPr>
          <w:spacing w:val="-7"/>
        </w:rPr>
        <w:t xml:space="preserve"> </w:t>
      </w:r>
      <w:r>
        <w:t>30</w:t>
      </w:r>
      <w:r>
        <w:rPr>
          <w:spacing w:val="-9"/>
        </w:rPr>
        <w:t>%</w:t>
      </w:r>
      <w:r>
        <w:rPr>
          <w:spacing w:val="-9"/>
        </w:rPr>
        <w:t>，且不应小于</w:t>
      </w:r>
      <w:r>
        <w:rPr>
          <w:spacing w:val="-9"/>
        </w:rPr>
        <w:t xml:space="preserve"> </w:t>
      </w:r>
      <w:r>
        <w:t>20mm</w:t>
      </w:r>
      <w:r>
        <w:t>；</w:t>
      </w:r>
      <w:r>
        <w:t xml:space="preserve"> </w:t>
      </w:r>
    </w:p>
    <w:p w14:paraId="0A708027" w14:textId="77777777" w:rsidR="00A71EEF" w:rsidRDefault="0081115D">
      <w:pPr>
        <w:pStyle w:val="a3"/>
        <w:spacing w:line="267" w:lineRule="exact"/>
        <w:ind w:left="838"/>
      </w:pPr>
      <w:r>
        <w:t>应采用不锈钢板材制作。</w:t>
      </w:r>
      <w:r>
        <w:t xml:space="preserve"> </w:t>
      </w:r>
    </w:p>
    <w:p w14:paraId="18F1068D" w14:textId="77777777" w:rsidR="00A71EEF" w:rsidRDefault="00A71EEF">
      <w:pPr>
        <w:pStyle w:val="a3"/>
        <w:spacing w:before="1"/>
        <w:rPr>
          <w:sz w:val="18"/>
        </w:rPr>
      </w:pPr>
    </w:p>
    <w:p w14:paraId="71951368" w14:textId="77777777" w:rsidR="00A71EEF" w:rsidRDefault="0081115D">
      <w:pPr>
        <w:pStyle w:val="a4"/>
        <w:numPr>
          <w:ilvl w:val="2"/>
          <w:numId w:val="233"/>
        </w:numPr>
        <w:tabs>
          <w:tab w:val="left" w:pos="1530"/>
        </w:tabs>
        <w:spacing w:before="1"/>
        <w:ind w:left="1529" w:hanging="690"/>
        <w:rPr>
          <w:sz w:val="21"/>
        </w:rPr>
      </w:pPr>
      <w:r>
        <w:rPr>
          <w:spacing w:val="-3"/>
          <w:sz w:val="21"/>
        </w:rPr>
        <w:t>节流管应符合下列规定：</w:t>
      </w:r>
      <w:r>
        <w:rPr>
          <w:sz w:val="21"/>
        </w:rPr>
        <w:t xml:space="preserve"> </w:t>
      </w:r>
    </w:p>
    <w:p w14:paraId="7F1661DB" w14:textId="77777777" w:rsidR="00A71EEF" w:rsidRDefault="00A71EEF">
      <w:pPr>
        <w:pStyle w:val="a3"/>
        <w:spacing w:before="12"/>
        <w:rPr>
          <w:sz w:val="17"/>
        </w:rPr>
      </w:pPr>
    </w:p>
    <w:p w14:paraId="18B5101D" w14:textId="77777777" w:rsidR="00A71EEF" w:rsidRDefault="0081115D">
      <w:pPr>
        <w:pStyle w:val="a3"/>
        <w:spacing w:line="446" w:lineRule="auto"/>
        <w:ind w:left="838" w:right="6340"/>
      </w:pPr>
      <w:r>
        <w:t>直径宜按上游管段直径的</w:t>
      </w:r>
      <w:r>
        <w:t xml:space="preserve"> 1/2 </w:t>
      </w:r>
      <w:r>
        <w:t>确定；</w:t>
      </w:r>
      <w:r>
        <w:t xml:space="preserve"> </w:t>
      </w:r>
      <w:r>
        <w:t>长度不宜小于</w:t>
      </w:r>
      <w:r>
        <w:t xml:space="preserve"> 1m</w:t>
      </w:r>
      <w:r>
        <w:t>；</w:t>
      </w:r>
      <w:r>
        <w:t xml:space="preserve"> </w:t>
      </w:r>
    </w:p>
    <w:p w14:paraId="7537DE41" w14:textId="77777777" w:rsidR="00A71EEF" w:rsidRDefault="0081115D">
      <w:pPr>
        <w:pStyle w:val="a3"/>
        <w:ind w:left="838"/>
      </w:pPr>
      <w:r>
        <w:t>节流管内水的平均流速不应大于</w:t>
      </w:r>
      <w:r>
        <w:t xml:space="preserve"> 20m/s</w:t>
      </w:r>
      <w:r>
        <w:t>。</w:t>
      </w:r>
      <w:r>
        <w:t xml:space="preserve"> </w:t>
      </w:r>
    </w:p>
    <w:p w14:paraId="7B566CE1" w14:textId="77777777" w:rsidR="00A71EEF" w:rsidRDefault="00A71EEF">
      <w:pPr>
        <w:pStyle w:val="a3"/>
        <w:spacing w:before="12"/>
        <w:rPr>
          <w:sz w:val="17"/>
        </w:rPr>
      </w:pPr>
    </w:p>
    <w:p w14:paraId="3D9BEAF3" w14:textId="77777777" w:rsidR="00A71EEF" w:rsidRDefault="0081115D">
      <w:pPr>
        <w:pStyle w:val="a4"/>
        <w:numPr>
          <w:ilvl w:val="2"/>
          <w:numId w:val="233"/>
        </w:numPr>
        <w:tabs>
          <w:tab w:val="left" w:pos="1530"/>
        </w:tabs>
        <w:ind w:left="1529" w:hanging="690"/>
        <w:rPr>
          <w:sz w:val="21"/>
        </w:rPr>
      </w:pPr>
      <w:r>
        <w:rPr>
          <w:spacing w:val="-3"/>
          <w:sz w:val="21"/>
        </w:rPr>
        <w:t>减压孔板的水头损失，应按下列公式计算：</w:t>
      </w:r>
      <w:r>
        <w:rPr>
          <w:sz w:val="21"/>
        </w:rPr>
        <w:t xml:space="preserve"> </w:t>
      </w:r>
    </w:p>
    <w:p w14:paraId="219145D2" w14:textId="77777777" w:rsidR="00A71EEF" w:rsidRDefault="00A71EEF">
      <w:pPr>
        <w:pStyle w:val="a3"/>
        <w:rPr>
          <w:sz w:val="20"/>
        </w:rPr>
      </w:pPr>
    </w:p>
    <w:p w14:paraId="5D303F16" w14:textId="77777777" w:rsidR="00A71EEF" w:rsidRDefault="0081115D">
      <w:pPr>
        <w:pStyle w:val="a3"/>
        <w:spacing w:before="7"/>
        <w:rPr>
          <w:sz w:val="13"/>
        </w:rPr>
      </w:pPr>
      <w:r>
        <w:rPr>
          <w:noProof/>
        </w:rPr>
        <w:drawing>
          <wp:anchor distT="0" distB="0" distL="0" distR="0" simplePos="0" relativeHeight="251667968" behindDoc="0" locked="0" layoutInCell="1" allowOverlap="1" wp14:anchorId="2BD16909" wp14:editId="1BB742C2">
            <wp:simplePos x="0" y="0"/>
            <wp:positionH relativeFrom="page">
              <wp:posOffset>1890395</wp:posOffset>
            </wp:positionH>
            <wp:positionV relativeFrom="paragraph">
              <wp:posOffset>135239</wp:posOffset>
            </wp:positionV>
            <wp:extent cx="3982492" cy="1495425"/>
            <wp:effectExtent l="0" t="0" r="0" b="0"/>
            <wp:wrapTopAndBottom/>
            <wp:docPr id="577" name="image3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image335.jpeg"/>
                    <pic:cNvPicPr/>
                  </pic:nvPicPr>
                  <pic:blipFill>
                    <a:blip r:embed="rId397" cstate="print"/>
                    <a:stretch>
                      <a:fillRect/>
                    </a:stretch>
                  </pic:blipFill>
                  <pic:spPr>
                    <a:xfrm>
                      <a:off x="0" y="0"/>
                      <a:ext cx="3982492" cy="1495425"/>
                    </a:xfrm>
                    <a:prstGeom prst="rect">
                      <a:avLst/>
                    </a:prstGeom>
                  </pic:spPr>
                </pic:pic>
              </a:graphicData>
            </a:graphic>
          </wp:anchor>
        </w:drawing>
      </w:r>
    </w:p>
    <w:p w14:paraId="1EF118DE" w14:textId="77777777" w:rsidR="00A71EEF" w:rsidRDefault="00A71EEF">
      <w:pPr>
        <w:pStyle w:val="a3"/>
        <w:rPr>
          <w:sz w:val="20"/>
        </w:rPr>
      </w:pPr>
    </w:p>
    <w:p w14:paraId="2253C961" w14:textId="77777777" w:rsidR="00A71EEF" w:rsidRDefault="00A71EEF">
      <w:pPr>
        <w:pStyle w:val="a3"/>
        <w:spacing w:before="7"/>
        <w:rPr>
          <w:sz w:val="26"/>
        </w:rPr>
      </w:pPr>
    </w:p>
    <w:p w14:paraId="036141B8" w14:textId="77777777" w:rsidR="00A71EEF" w:rsidRDefault="0081115D">
      <w:pPr>
        <w:pStyle w:val="a3"/>
        <w:spacing w:before="71"/>
        <w:ind w:left="838"/>
      </w:pPr>
      <w:r>
        <w:rPr>
          <w:position w:val="1"/>
        </w:rPr>
        <w:t>式中：</w:t>
      </w:r>
      <w:r>
        <w:rPr>
          <w:i/>
          <w:position w:val="1"/>
          <w:sz w:val="22"/>
        </w:rPr>
        <w:t>H</w:t>
      </w:r>
      <w:r>
        <w:rPr>
          <w:sz w:val="11"/>
        </w:rPr>
        <w:t>k</w:t>
      </w:r>
      <w:r>
        <w:rPr>
          <w:position w:val="1"/>
        </w:rPr>
        <w:t>——</w:t>
      </w:r>
      <w:r>
        <w:rPr>
          <w:position w:val="1"/>
        </w:rPr>
        <w:t>减压孔板的水头损失（</w:t>
      </w:r>
      <w:r>
        <w:rPr>
          <w:position w:val="1"/>
        </w:rPr>
        <w:t>MPa</w:t>
      </w:r>
      <w:r>
        <w:rPr>
          <w:position w:val="1"/>
        </w:rPr>
        <w:t>）；</w:t>
      </w:r>
      <w:r>
        <w:rPr>
          <w:position w:val="1"/>
        </w:rPr>
        <w:t xml:space="preserve"> </w:t>
      </w:r>
    </w:p>
    <w:p w14:paraId="4522DB27" w14:textId="77777777" w:rsidR="00A71EEF" w:rsidRDefault="00A71EEF">
      <w:pPr>
        <w:pStyle w:val="a3"/>
        <w:spacing w:before="2"/>
        <w:rPr>
          <w:sz w:val="17"/>
        </w:rPr>
      </w:pPr>
    </w:p>
    <w:p w14:paraId="653E408E" w14:textId="77777777" w:rsidR="00A71EEF" w:rsidRDefault="0081115D">
      <w:pPr>
        <w:pStyle w:val="a3"/>
        <w:ind w:left="838"/>
      </w:pPr>
      <w:r>
        <w:rPr>
          <w:i/>
          <w:position w:val="1"/>
          <w:sz w:val="22"/>
        </w:rPr>
        <w:t>V</w:t>
      </w:r>
      <w:r>
        <w:rPr>
          <w:sz w:val="11"/>
        </w:rPr>
        <w:t>k</w:t>
      </w:r>
      <w:r>
        <w:rPr>
          <w:position w:val="1"/>
        </w:rPr>
        <w:t>——</w:t>
      </w:r>
      <w:r>
        <w:rPr>
          <w:position w:val="1"/>
        </w:rPr>
        <w:t>减压孔板后管道内水的平均流速（</w:t>
      </w:r>
      <w:r>
        <w:rPr>
          <w:position w:val="1"/>
        </w:rPr>
        <w:t>m/s</w:t>
      </w:r>
      <w:r>
        <w:rPr>
          <w:position w:val="1"/>
        </w:rPr>
        <w:t>）；</w:t>
      </w:r>
      <w:r>
        <w:rPr>
          <w:position w:val="1"/>
        </w:rPr>
        <w:t xml:space="preserve"> </w:t>
      </w:r>
    </w:p>
    <w:p w14:paraId="203F7C2D" w14:textId="77777777" w:rsidR="00A71EEF" w:rsidRDefault="00A71EEF">
      <w:pPr>
        <w:sectPr w:rsidR="00A71EEF">
          <w:pgSz w:w="11910" w:h="16850"/>
          <w:pgMar w:top="1220" w:right="0" w:bottom="1420" w:left="1260" w:header="0" w:footer="1239" w:gutter="0"/>
          <w:cols w:space="720"/>
        </w:sectPr>
      </w:pPr>
    </w:p>
    <w:p w14:paraId="3E8B961A" w14:textId="77777777" w:rsidR="00A71EEF" w:rsidRDefault="0081115D">
      <w:pPr>
        <w:pStyle w:val="a3"/>
        <w:spacing w:before="57"/>
        <w:ind w:left="838"/>
      </w:pPr>
      <w:r>
        <w:rPr>
          <w:i/>
          <w:sz w:val="22"/>
        </w:rPr>
        <w:t>g</w:t>
      </w:r>
      <w:r>
        <w:t>——</w:t>
      </w:r>
      <w:r>
        <w:t>重力加速度（</w:t>
      </w:r>
      <w:r>
        <w:t>m/s</w:t>
      </w:r>
      <w:r>
        <w:rPr>
          <w:position w:val="11"/>
          <w:sz w:val="11"/>
        </w:rPr>
        <w:t>2</w:t>
      </w:r>
      <w:r>
        <w:t>）；</w:t>
      </w:r>
      <w:r>
        <w:t xml:space="preserve"> </w:t>
      </w:r>
    </w:p>
    <w:p w14:paraId="0C0A2F6D" w14:textId="77777777" w:rsidR="00A71EEF" w:rsidRDefault="0081115D">
      <w:pPr>
        <w:pStyle w:val="a3"/>
        <w:spacing w:before="137"/>
        <w:ind w:left="838"/>
      </w:pPr>
      <w:r>
        <w:rPr>
          <w:spacing w:val="-1"/>
        </w:rPr>
        <w:t xml:space="preserve"> </w:t>
      </w:r>
      <w:r>
        <w:rPr>
          <w:noProof/>
          <w:spacing w:val="-1"/>
          <w:position w:val="2"/>
        </w:rPr>
        <w:drawing>
          <wp:inline distT="0" distB="0" distL="0" distR="0" wp14:anchorId="6088C0B3" wp14:editId="79558404">
            <wp:extent cx="172719" cy="180975"/>
            <wp:effectExtent l="0" t="0" r="0" b="0"/>
            <wp:docPr id="579" name="image3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image336.png"/>
                    <pic:cNvPicPr/>
                  </pic:nvPicPr>
                  <pic:blipFill>
                    <a:blip r:embed="rId398" cstate="print"/>
                    <a:stretch>
                      <a:fillRect/>
                    </a:stretch>
                  </pic:blipFill>
                  <pic:spPr>
                    <a:xfrm>
                      <a:off x="0" y="0"/>
                      <a:ext cx="172719" cy="180975"/>
                    </a:xfrm>
                    <a:prstGeom prst="rect">
                      <a:avLst/>
                    </a:prstGeom>
                  </pic:spPr>
                </pic:pic>
              </a:graphicData>
            </a:graphic>
          </wp:inline>
        </w:drawing>
      </w:r>
      <w:r>
        <w:rPr>
          <w:rFonts w:ascii="Times New Roman" w:eastAsia="Times New Roman" w:hAnsi="Times New Roman"/>
          <w:spacing w:val="-24"/>
        </w:rPr>
        <w:t xml:space="preserve"> </w:t>
      </w:r>
      <w:r>
        <w:rPr>
          <w:spacing w:val="-6"/>
        </w:rPr>
        <w:t>——</w:t>
      </w:r>
      <w:r>
        <w:rPr>
          <w:spacing w:val="-6"/>
        </w:rPr>
        <w:t>减压孔板的局部阻力系数，也可按表</w:t>
      </w:r>
      <w:r>
        <w:rPr>
          <w:spacing w:val="-6"/>
        </w:rPr>
        <w:t xml:space="preserve"> </w:t>
      </w:r>
      <w:r>
        <w:t>10.3.3</w:t>
      </w:r>
      <w:r>
        <w:rPr>
          <w:spacing w:val="-16"/>
        </w:rPr>
        <w:t xml:space="preserve"> </w:t>
      </w:r>
      <w:r>
        <w:rPr>
          <w:spacing w:val="-16"/>
        </w:rPr>
        <w:t>取值；</w:t>
      </w:r>
      <w:r>
        <w:t xml:space="preserve"> </w:t>
      </w:r>
    </w:p>
    <w:p w14:paraId="7DCA231D" w14:textId="77777777" w:rsidR="00A71EEF" w:rsidRDefault="0081115D">
      <w:pPr>
        <w:pStyle w:val="a3"/>
        <w:spacing w:before="220"/>
        <w:ind w:left="838"/>
      </w:pPr>
      <w:r>
        <w:rPr>
          <w:i/>
          <w:position w:val="1"/>
          <w:sz w:val="22"/>
        </w:rPr>
        <w:t>d</w:t>
      </w:r>
      <w:r>
        <w:rPr>
          <w:sz w:val="11"/>
        </w:rPr>
        <w:t>k</w:t>
      </w:r>
      <w:r>
        <w:rPr>
          <w:position w:val="1"/>
        </w:rPr>
        <w:t>——</w:t>
      </w:r>
      <w:r>
        <w:rPr>
          <w:position w:val="1"/>
        </w:rPr>
        <w:t>减压孔板孔口的计算内径；取值应按减压孔板孔口直径减</w:t>
      </w:r>
      <w:r>
        <w:rPr>
          <w:position w:val="1"/>
        </w:rPr>
        <w:t xml:space="preserve"> 1mm </w:t>
      </w:r>
      <w:r>
        <w:rPr>
          <w:position w:val="1"/>
        </w:rPr>
        <w:t>确定（</w:t>
      </w:r>
      <w:r>
        <w:rPr>
          <w:position w:val="1"/>
        </w:rPr>
        <w:t>m</w:t>
      </w:r>
      <w:r>
        <w:rPr>
          <w:position w:val="1"/>
        </w:rPr>
        <w:t>）；</w:t>
      </w:r>
      <w:r>
        <w:rPr>
          <w:position w:val="1"/>
        </w:rPr>
        <w:t xml:space="preserve"> </w:t>
      </w:r>
    </w:p>
    <w:p w14:paraId="4EB20A6B" w14:textId="77777777" w:rsidR="00A71EEF" w:rsidRDefault="00A71EEF">
      <w:pPr>
        <w:pStyle w:val="a3"/>
        <w:spacing w:before="1"/>
        <w:rPr>
          <w:sz w:val="17"/>
        </w:rPr>
      </w:pPr>
    </w:p>
    <w:p w14:paraId="1F468084" w14:textId="77777777" w:rsidR="00A71EEF" w:rsidRDefault="0081115D">
      <w:pPr>
        <w:pStyle w:val="a3"/>
        <w:spacing w:before="1"/>
        <w:ind w:left="838"/>
      </w:pPr>
      <w:r>
        <w:rPr>
          <w:i/>
          <w:position w:val="1"/>
          <w:sz w:val="22"/>
        </w:rPr>
        <w:t>d</w:t>
      </w:r>
      <w:r>
        <w:rPr>
          <w:sz w:val="11"/>
        </w:rPr>
        <w:t>i</w:t>
      </w:r>
      <w:r>
        <w:rPr>
          <w:position w:val="1"/>
        </w:rPr>
        <w:t>——</w:t>
      </w:r>
      <w:r>
        <w:rPr>
          <w:position w:val="1"/>
        </w:rPr>
        <w:t>管道的内径（</w:t>
      </w:r>
      <w:r>
        <w:rPr>
          <w:position w:val="1"/>
        </w:rPr>
        <w:t>m</w:t>
      </w:r>
      <w:r>
        <w:rPr>
          <w:position w:val="1"/>
        </w:rPr>
        <w:t>）。</w:t>
      </w:r>
      <w:r>
        <w:rPr>
          <w:position w:val="1"/>
        </w:rPr>
        <w:t xml:space="preserve"> </w:t>
      </w:r>
    </w:p>
    <w:p w14:paraId="6EBD1307" w14:textId="77777777" w:rsidR="00A71EEF" w:rsidRDefault="00A71EEF">
      <w:pPr>
        <w:pStyle w:val="a3"/>
        <w:spacing w:before="9"/>
        <w:rPr>
          <w:sz w:val="17"/>
        </w:rPr>
      </w:pPr>
    </w:p>
    <w:p w14:paraId="668FF3E5" w14:textId="77777777" w:rsidR="00A71EEF" w:rsidRDefault="0081115D">
      <w:pPr>
        <w:pStyle w:val="6"/>
        <w:spacing w:before="1"/>
        <w:ind w:left="3469"/>
      </w:pPr>
      <w:r>
        <w:t>表</w:t>
      </w:r>
      <w:r>
        <w:t xml:space="preserve"> 10.3.3 </w:t>
      </w:r>
      <w:r>
        <w:t>减压孔板局部阻力系数</w:t>
      </w:r>
      <w:r>
        <w:rPr>
          <w:w w:val="99"/>
        </w:rPr>
        <w:t xml:space="preserve"> </w:t>
      </w:r>
    </w:p>
    <w:p w14:paraId="3B8C77E0" w14:textId="77777777" w:rsidR="00A71EEF" w:rsidRDefault="0081115D">
      <w:pPr>
        <w:pStyle w:val="a3"/>
        <w:rPr>
          <w:b/>
          <w:sz w:val="16"/>
        </w:rPr>
      </w:pPr>
      <w:r>
        <w:rPr>
          <w:noProof/>
        </w:rPr>
        <w:drawing>
          <wp:anchor distT="0" distB="0" distL="0" distR="0" simplePos="0" relativeHeight="251668992" behindDoc="0" locked="0" layoutInCell="1" allowOverlap="1" wp14:anchorId="60B68A5B" wp14:editId="55E6BD78">
            <wp:simplePos x="0" y="0"/>
            <wp:positionH relativeFrom="page">
              <wp:posOffset>1275080</wp:posOffset>
            </wp:positionH>
            <wp:positionV relativeFrom="paragraph">
              <wp:posOffset>155464</wp:posOffset>
            </wp:positionV>
            <wp:extent cx="4951989" cy="933259"/>
            <wp:effectExtent l="0" t="0" r="0" b="0"/>
            <wp:wrapTopAndBottom/>
            <wp:docPr id="581" name="image3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image337.jpeg"/>
                    <pic:cNvPicPr/>
                  </pic:nvPicPr>
                  <pic:blipFill>
                    <a:blip r:embed="rId399" cstate="print"/>
                    <a:stretch>
                      <a:fillRect/>
                    </a:stretch>
                  </pic:blipFill>
                  <pic:spPr>
                    <a:xfrm>
                      <a:off x="0" y="0"/>
                      <a:ext cx="4951989" cy="933259"/>
                    </a:xfrm>
                    <a:prstGeom prst="rect">
                      <a:avLst/>
                    </a:prstGeom>
                  </pic:spPr>
                </pic:pic>
              </a:graphicData>
            </a:graphic>
          </wp:anchor>
        </w:drawing>
      </w:r>
    </w:p>
    <w:p w14:paraId="16DFA47E" w14:textId="77777777" w:rsidR="00A71EEF" w:rsidRDefault="00A71EEF">
      <w:pPr>
        <w:pStyle w:val="a3"/>
        <w:rPr>
          <w:b/>
          <w:sz w:val="20"/>
        </w:rPr>
      </w:pPr>
    </w:p>
    <w:p w14:paraId="1CB640A1" w14:textId="77777777" w:rsidR="00A71EEF" w:rsidRDefault="00A71EEF">
      <w:pPr>
        <w:pStyle w:val="a3"/>
        <w:rPr>
          <w:b/>
          <w:sz w:val="20"/>
        </w:rPr>
      </w:pPr>
    </w:p>
    <w:p w14:paraId="16DA2593" w14:textId="77777777" w:rsidR="00A71EEF" w:rsidRDefault="0081115D">
      <w:pPr>
        <w:pStyle w:val="a4"/>
        <w:numPr>
          <w:ilvl w:val="2"/>
          <w:numId w:val="233"/>
        </w:numPr>
        <w:tabs>
          <w:tab w:val="left" w:pos="1530"/>
        </w:tabs>
        <w:spacing w:before="151"/>
        <w:ind w:left="1529" w:hanging="690"/>
        <w:rPr>
          <w:sz w:val="21"/>
        </w:rPr>
      </w:pPr>
      <w:r>
        <w:rPr>
          <w:spacing w:val="-3"/>
          <w:sz w:val="21"/>
        </w:rPr>
        <w:t>节流管的水头损失，应按下式计算：</w:t>
      </w:r>
      <w:r>
        <w:rPr>
          <w:sz w:val="21"/>
        </w:rPr>
        <w:t xml:space="preserve"> </w:t>
      </w:r>
    </w:p>
    <w:p w14:paraId="49E03E03" w14:textId="77777777" w:rsidR="00A71EEF" w:rsidRDefault="0081115D">
      <w:pPr>
        <w:pStyle w:val="a3"/>
        <w:spacing w:before="7"/>
        <w:rPr>
          <w:sz w:val="26"/>
        </w:rPr>
      </w:pPr>
      <w:r>
        <w:rPr>
          <w:noProof/>
        </w:rPr>
        <w:drawing>
          <wp:anchor distT="0" distB="0" distL="0" distR="0" simplePos="0" relativeHeight="251670016" behindDoc="0" locked="0" layoutInCell="1" allowOverlap="1" wp14:anchorId="0FFF7A77" wp14:editId="5709E0D9">
            <wp:simplePos x="0" y="0"/>
            <wp:positionH relativeFrom="page">
              <wp:posOffset>1395094</wp:posOffset>
            </wp:positionH>
            <wp:positionV relativeFrom="paragraph">
              <wp:posOffset>241133</wp:posOffset>
            </wp:positionV>
            <wp:extent cx="5179154" cy="466725"/>
            <wp:effectExtent l="0" t="0" r="0" b="0"/>
            <wp:wrapTopAndBottom/>
            <wp:docPr id="583" name="image3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image338.jpeg"/>
                    <pic:cNvPicPr/>
                  </pic:nvPicPr>
                  <pic:blipFill>
                    <a:blip r:embed="rId400" cstate="print"/>
                    <a:stretch>
                      <a:fillRect/>
                    </a:stretch>
                  </pic:blipFill>
                  <pic:spPr>
                    <a:xfrm>
                      <a:off x="0" y="0"/>
                      <a:ext cx="5179154" cy="466725"/>
                    </a:xfrm>
                    <a:prstGeom prst="rect">
                      <a:avLst/>
                    </a:prstGeom>
                  </pic:spPr>
                </pic:pic>
              </a:graphicData>
            </a:graphic>
          </wp:anchor>
        </w:drawing>
      </w:r>
    </w:p>
    <w:p w14:paraId="3AB7C91D" w14:textId="77777777" w:rsidR="00A71EEF" w:rsidRDefault="00A71EEF">
      <w:pPr>
        <w:pStyle w:val="a3"/>
        <w:spacing w:before="5"/>
        <w:rPr>
          <w:sz w:val="15"/>
        </w:rPr>
      </w:pPr>
    </w:p>
    <w:p w14:paraId="37AB3713" w14:textId="77777777" w:rsidR="00A71EEF" w:rsidRDefault="0081115D">
      <w:pPr>
        <w:pStyle w:val="a3"/>
        <w:ind w:left="838"/>
      </w:pPr>
      <w:r>
        <w:rPr>
          <w:position w:val="1"/>
        </w:rPr>
        <w:t>式中：</w:t>
      </w:r>
      <w:r>
        <w:rPr>
          <w:i/>
          <w:position w:val="1"/>
          <w:sz w:val="22"/>
        </w:rPr>
        <w:t>H</w:t>
      </w:r>
      <w:r>
        <w:rPr>
          <w:i/>
          <w:sz w:val="11"/>
        </w:rPr>
        <w:t>g</w:t>
      </w:r>
      <w:r>
        <w:rPr>
          <w:position w:val="1"/>
        </w:rPr>
        <w:t>——</w:t>
      </w:r>
      <w:r>
        <w:rPr>
          <w:position w:val="1"/>
        </w:rPr>
        <w:t>节流管的水头损失（</w:t>
      </w:r>
      <w:r>
        <w:rPr>
          <w:position w:val="1"/>
        </w:rPr>
        <w:t>MPa</w:t>
      </w:r>
      <w:r>
        <w:rPr>
          <w:position w:val="1"/>
        </w:rPr>
        <w:t>）；</w:t>
      </w:r>
      <w:r>
        <w:rPr>
          <w:position w:val="1"/>
        </w:rPr>
        <w:t xml:space="preserve"> </w:t>
      </w:r>
    </w:p>
    <w:p w14:paraId="3E6CB011" w14:textId="77777777" w:rsidR="00A71EEF" w:rsidRDefault="0081115D">
      <w:pPr>
        <w:pStyle w:val="a3"/>
        <w:spacing w:before="107"/>
        <w:ind w:left="838"/>
      </w:pPr>
      <w:r>
        <w:rPr>
          <w:noProof/>
          <w:position w:val="2"/>
        </w:rPr>
        <w:drawing>
          <wp:inline distT="0" distB="0" distL="0" distR="0" wp14:anchorId="3103D8D2" wp14:editId="7BA1D105">
            <wp:extent cx="180975" cy="197485"/>
            <wp:effectExtent l="0" t="0" r="0" b="0"/>
            <wp:docPr id="585" name="image3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image339.jpeg"/>
                    <pic:cNvPicPr/>
                  </pic:nvPicPr>
                  <pic:blipFill>
                    <a:blip r:embed="rId401" cstate="print"/>
                    <a:stretch>
                      <a:fillRect/>
                    </a:stretch>
                  </pic:blipFill>
                  <pic:spPr>
                    <a:xfrm>
                      <a:off x="0" y="0"/>
                      <a:ext cx="180975" cy="197485"/>
                    </a:xfrm>
                    <a:prstGeom prst="rect">
                      <a:avLst/>
                    </a:prstGeom>
                  </pic:spPr>
                </pic:pic>
              </a:graphicData>
            </a:graphic>
          </wp:inline>
        </w:drawing>
      </w:r>
      <w:r>
        <w:rPr>
          <w:spacing w:val="-5"/>
        </w:rPr>
        <w:t>——</w:t>
      </w:r>
      <w:r>
        <w:rPr>
          <w:spacing w:val="-5"/>
        </w:rPr>
        <w:t>节流管中渐缩管与渐扩管的局部阻力系数之和，取值</w:t>
      </w:r>
      <w:r>
        <w:rPr>
          <w:spacing w:val="-5"/>
        </w:rPr>
        <w:t xml:space="preserve"> </w:t>
      </w:r>
      <w:r>
        <w:t>0.7</w:t>
      </w:r>
      <w:r>
        <w:t>；</w:t>
      </w:r>
      <w:r>
        <w:t xml:space="preserve"> </w:t>
      </w:r>
    </w:p>
    <w:p w14:paraId="6AAB3FAF" w14:textId="77777777" w:rsidR="00A71EEF" w:rsidRDefault="0081115D">
      <w:pPr>
        <w:pStyle w:val="a3"/>
        <w:spacing w:before="222"/>
        <w:ind w:left="838"/>
      </w:pPr>
      <w:r>
        <w:rPr>
          <w:i/>
          <w:position w:val="1"/>
          <w:sz w:val="22"/>
        </w:rPr>
        <w:t>V</w:t>
      </w:r>
      <w:r>
        <w:rPr>
          <w:sz w:val="11"/>
        </w:rPr>
        <w:t>g</w:t>
      </w:r>
      <w:r>
        <w:rPr>
          <w:position w:val="1"/>
        </w:rPr>
        <w:t>——</w:t>
      </w:r>
      <w:r>
        <w:rPr>
          <w:position w:val="1"/>
        </w:rPr>
        <w:t>节流管内水的平均流速（</w:t>
      </w:r>
      <w:r>
        <w:rPr>
          <w:position w:val="1"/>
        </w:rPr>
        <w:t>m/s</w:t>
      </w:r>
      <w:r>
        <w:rPr>
          <w:position w:val="1"/>
        </w:rPr>
        <w:t>）；</w:t>
      </w:r>
      <w:r>
        <w:rPr>
          <w:position w:val="1"/>
        </w:rPr>
        <w:t xml:space="preserve"> </w:t>
      </w:r>
    </w:p>
    <w:p w14:paraId="46B70FAA" w14:textId="77777777" w:rsidR="00A71EEF" w:rsidRDefault="00A71EEF">
      <w:pPr>
        <w:pStyle w:val="a3"/>
        <w:spacing w:before="12"/>
        <w:rPr>
          <w:sz w:val="16"/>
        </w:rPr>
      </w:pPr>
    </w:p>
    <w:p w14:paraId="77E0C698" w14:textId="77777777" w:rsidR="00A71EEF" w:rsidRDefault="0081115D">
      <w:pPr>
        <w:pStyle w:val="a3"/>
        <w:ind w:left="838"/>
      </w:pPr>
      <w:r>
        <w:rPr>
          <w:i/>
          <w:position w:val="1"/>
          <w:sz w:val="22"/>
        </w:rPr>
        <w:t>d</w:t>
      </w:r>
      <w:r>
        <w:rPr>
          <w:sz w:val="11"/>
        </w:rPr>
        <w:t>g</w:t>
      </w:r>
      <w:r>
        <w:rPr>
          <w:position w:val="1"/>
        </w:rPr>
        <w:t>——</w:t>
      </w:r>
      <w:r>
        <w:rPr>
          <w:position w:val="1"/>
        </w:rPr>
        <w:t>节流管的计算内径，取值应按节流管内径减</w:t>
      </w:r>
      <w:r>
        <w:rPr>
          <w:position w:val="1"/>
        </w:rPr>
        <w:t xml:space="preserve"> 1mm </w:t>
      </w:r>
      <w:r>
        <w:rPr>
          <w:position w:val="1"/>
        </w:rPr>
        <w:t>确定（</w:t>
      </w:r>
      <w:r>
        <w:rPr>
          <w:position w:val="1"/>
        </w:rPr>
        <w:t>m</w:t>
      </w:r>
      <w:r>
        <w:rPr>
          <w:position w:val="1"/>
        </w:rPr>
        <w:t>）；</w:t>
      </w:r>
      <w:r>
        <w:rPr>
          <w:position w:val="1"/>
        </w:rPr>
        <w:t xml:space="preserve"> </w:t>
      </w:r>
    </w:p>
    <w:p w14:paraId="052FAD42" w14:textId="77777777" w:rsidR="00A71EEF" w:rsidRDefault="00A71EEF">
      <w:pPr>
        <w:pStyle w:val="a3"/>
        <w:spacing w:before="12"/>
        <w:rPr>
          <w:sz w:val="16"/>
        </w:rPr>
      </w:pPr>
    </w:p>
    <w:p w14:paraId="11167028" w14:textId="77777777" w:rsidR="00A71EEF" w:rsidRDefault="0081115D">
      <w:pPr>
        <w:pStyle w:val="a3"/>
        <w:ind w:left="838"/>
      </w:pPr>
      <w:r>
        <w:rPr>
          <w:i/>
          <w:position w:val="1"/>
          <w:sz w:val="22"/>
        </w:rPr>
        <w:t>L</w:t>
      </w:r>
      <w:r>
        <w:rPr>
          <w:sz w:val="11"/>
        </w:rPr>
        <w:t>j</w:t>
      </w:r>
      <w:r>
        <w:rPr>
          <w:position w:val="1"/>
        </w:rPr>
        <w:t>——</w:t>
      </w:r>
      <w:r>
        <w:rPr>
          <w:position w:val="1"/>
        </w:rPr>
        <w:t>节流管的长度（</w:t>
      </w:r>
      <w:r>
        <w:rPr>
          <w:position w:val="1"/>
        </w:rPr>
        <w:t>m</w:t>
      </w:r>
      <w:r>
        <w:rPr>
          <w:position w:val="1"/>
        </w:rPr>
        <w:t>）。</w:t>
      </w:r>
      <w:r>
        <w:rPr>
          <w:position w:val="1"/>
        </w:rPr>
        <w:t xml:space="preserve"> </w:t>
      </w:r>
    </w:p>
    <w:p w14:paraId="24D96455" w14:textId="77777777" w:rsidR="00A71EEF" w:rsidRDefault="00A71EEF">
      <w:pPr>
        <w:pStyle w:val="a3"/>
        <w:rPr>
          <w:sz w:val="18"/>
        </w:rPr>
      </w:pPr>
    </w:p>
    <w:p w14:paraId="42EAD464" w14:textId="77777777" w:rsidR="00A71EEF" w:rsidRDefault="0081115D">
      <w:pPr>
        <w:pStyle w:val="a4"/>
        <w:numPr>
          <w:ilvl w:val="2"/>
          <w:numId w:val="233"/>
        </w:numPr>
        <w:tabs>
          <w:tab w:val="left" w:pos="1530"/>
        </w:tabs>
        <w:ind w:left="1529" w:hanging="690"/>
        <w:rPr>
          <w:sz w:val="21"/>
        </w:rPr>
      </w:pPr>
      <w:r>
        <w:rPr>
          <w:spacing w:val="-3"/>
          <w:sz w:val="21"/>
        </w:rPr>
        <w:t>减压阀的水头损失计算应符合下列规定：</w:t>
      </w:r>
      <w:r>
        <w:rPr>
          <w:sz w:val="21"/>
        </w:rPr>
        <w:t xml:space="preserve"> </w:t>
      </w:r>
    </w:p>
    <w:p w14:paraId="45E2CD0E" w14:textId="77777777" w:rsidR="00A71EEF" w:rsidRDefault="00A71EEF">
      <w:pPr>
        <w:pStyle w:val="a3"/>
        <w:spacing w:before="12"/>
        <w:rPr>
          <w:sz w:val="17"/>
        </w:rPr>
      </w:pPr>
    </w:p>
    <w:p w14:paraId="28E16BED" w14:textId="77777777" w:rsidR="00A71EEF" w:rsidRDefault="0081115D">
      <w:pPr>
        <w:pStyle w:val="a3"/>
        <w:ind w:left="838"/>
      </w:pPr>
      <w:r>
        <w:t>应根据产品技术参数确定，当无资料时，减压阀阀前后静压与动压差应按不小于</w:t>
      </w:r>
      <w:r>
        <w:t xml:space="preserve"> 0.10MPa </w:t>
      </w:r>
    </w:p>
    <w:p w14:paraId="6AF634C4" w14:textId="77777777" w:rsidR="00A71EEF" w:rsidRDefault="00A71EEF">
      <w:pPr>
        <w:pStyle w:val="a3"/>
        <w:rPr>
          <w:sz w:val="18"/>
        </w:rPr>
      </w:pPr>
    </w:p>
    <w:p w14:paraId="025342F6" w14:textId="77777777" w:rsidR="00A71EEF" w:rsidRDefault="0081115D">
      <w:pPr>
        <w:pStyle w:val="a3"/>
        <w:ind w:left="418"/>
      </w:pPr>
      <w:r>
        <w:t>计算；</w:t>
      </w:r>
      <w:r>
        <w:t xml:space="preserve"> </w:t>
      </w:r>
    </w:p>
    <w:p w14:paraId="4F3C7F4E" w14:textId="77777777" w:rsidR="00A71EEF" w:rsidRDefault="00A71EEF">
      <w:pPr>
        <w:pStyle w:val="a3"/>
        <w:spacing w:before="2"/>
        <w:rPr>
          <w:sz w:val="18"/>
        </w:rPr>
      </w:pPr>
    </w:p>
    <w:p w14:paraId="5EECA60F" w14:textId="77777777" w:rsidR="00A71EEF" w:rsidRDefault="0081115D">
      <w:pPr>
        <w:pStyle w:val="a3"/>
        <w:ind w:left="838"/>
      </w:pPr>
      <w:r>
        <w:t>减压阀串联减压时，应计算第一级减压阀的水头损失对第二级减压阀出水动压的影响。</w:t>
      </w:r>
      <w:r>
        <w:t xml:space="preserve"> </w:t>
      </w:r>
    </w:p>
    <w:p w14:paraId="37AB6C4F" w14:textId="77777777" w:rsidR="00A71EEF" w:rsidRDefault="00A71EEF">
      <w:pPr>
        <w:pStyle w:val="a3"/>
        <w:spacing w:before="8"/>
        <w:rPr>
          <w:sz w:val="15"/>
        </w:rPr>
      </w:pPr>
    </w:p>
    <w:p w14:paraId="4666EAE4" w14:textId="77777777" w:rsidR="00A71EEF" w:rsidRDefault="0081115D">
      <w:pPr>
        <w:pStyle w:val="4"/>
      </w:pPr>
      <w:r>
        <w:t xml:space="preserve">11 </w:t>
      </w:r>
      <w:r>
        <w:t>控制与操作</w:t>
      </w:r>
      <w:r>
        <w:rPr>
          <w:w w:val="99"/>
        </w:rPr>
        <w:t xml:space="preserve"> </w:t>
      </w:r>
    </w:p>
    <w:p w14:paraId="754DFEA6" w14:textId="77777777" w:rsidR="00A71EEF" w:rsidRDefault="00A71EEF">
      <w:pPr>
        <w:pStyle w:val="a3"/>
        <w:spacing w:before="4"/>
        <w:rPr>
          <w:b/>
          <w:sz w:val="17"/>
        </w:rPr>
      </w:pPr>
    </w:p>
    <w:p w14:paraId="4C2F0DA1" w14:textId="77777777" w:rsidR="00A71EEF" w:rsidRDefault="0081115D">
      <w:pPr>
        <w:pStyle w:val="a4"/>
        <w:numPr>
          <w:ilvl w:val="1"/>
          <w:numId w:val="232"/>
        </w:numPr>
        <w:tabs>
          <w:tab w:val="left" w:pos="1318"/>
        </w:tabs>
        <w:spacing w:line="446" w:lineRule="auto"/>
        <w:ind w:right="1448" w:firstLine="2"/>
        <w:rPr>
          <w:sz w:val="21"/>
        </w:rPr>
      </w:pPr>
      <w:r>
        <w:rPr>
          <w:spacing w:val="-3"/>
          <w:sz w:val="21"/>
        </w:rPr>
        <w:t>消防水泵控制柜应设置在消防水泵房或专用消防水泵控制室内，并应符合下列要求：</w:t>
      </w:r>
      <w:r>
        <w:rPr>
          <w:spacing w:val="-3"/>
          <w:sz w:val="21"/>
        </w:rPr>
        <w:t xml:space="preserve"> </w:t>
      </w:r>
      <w:r>
        <w:rPr>
          <w:spacing w:val="-3"/>
          <w:sz w:val="21"/>
        </w:rPr>
        <w:t>消防水泵控制柜在平时应使消防水泵处于自动启泵状态；</w:t>
      </w:r>
      <w:r>
        <w:rPr>
          <w:sz w:val="21"/>
        </w:rPr>
        <w:t xml:space="preserve"> </w:t>
      </w:r>
    </w:p>
    <w:p w14:paraId="442AC5E9" w14:textId="77777777" w:rsidR="00A71EEF" w:rsidRDefault="0081115D">
      <w:pPr>
        <w:pStyle w:val="a3"/>
        <w:spacing w:line="446" w:lineRule="auto"/>
        <w:ind w:left="418" w:right="1609" w:firstLine="419"/>
      </w:pPr>
      <w:r>
        <w:t>当自动水灭火系统为开式系统，且设置自动启动确有困难时，经论证后消防水泵可设置在手动启动状态，并应确保</w:t>
      </w:r>
      <w:r>
        <w:t xml:space="preserve"> 24h </w:t>
      </w:r>
      <w:r>
        <w:t>有人工值班。</w:t>
      </w:r>
      <w:r>
        <w:t xml:space="preserve"> </w:t>
      </w:r>
    </w:p>
    <w:p w14:paraId="37F74F1E" w14:textId="77777777" w:rsidR="00A71EEF" w:rsidRDefault="0081115D">
      <w:pPr>
        <w:pStyle w:val="a4"/>
        <w:numPr>
          <w:ilvl w:val="1"/>
          <w:numId w:val="232"/>
        </w:numPr>
        <w:tabs>
          <w:tab w:val="left" w:pos="1318"/>
        </w:tabs>
        <w:ind w:left="1318"/>
        <w:rPr>
          <w:sz w:val="21"/>
        </w:rPr>
      </w:pPr>
      <w:r>
        <w:rPr>
          <w:spacing w:val="-3"/>
          <w:sz w:val="21"/>
        </w:rPr>
        <w:t>消防水泵不应设置自动停泵的控制功能，停泵应由具有管理权限的工作人员根据火灾</w:t>
      </w:r>
    </w:p>
    <w:p w14:paraId="25A2F2B7" w14:textId="77777777" w:rsidR="00A71EEF" w:rsidRDefault="00A71EEF">
      <w:pPr>
        <w:rPr>
          <w:sz w:val="21"/>
        </w:rPr>
        <w:sectPr w:rsidR="00A71EEF">
          <w:pgSz w:w="11910" w:h="16850"/>
          <w:pgMar w:top="1200" w:right="0" w:bottom="1420" w:left="1260" w:header="0" w:footer="1239" w:gutter="0"/>
          <w:cols w:space="720"/>
        </w:sectPr>
      </w:pPr>
    </w:p>
    <w:p w14:paraId="77460E86" w14:textId="77777777" w:rsidR="00A71EEF" w:rsidRDefault="0081115D">
      <w:pPr>
        <w:pStyle w:val="a3"/>
        <w:spacing w:before="47"/>
        <w:ind w:left="418"/>
      </w:pPr>
      <w:r>
        <w:t>扑救情况确定。</w:t>
      </w:r>
      <w:r>
        <w:t xml:space="preserve"> </w:t>
      </w:r>
    </w:p>
    <w:p w14:paraId="55A825C9" w14:textId="77777777" w:rsidR="00A71EEF" w:rsidRDefault="00A71EEF">
      <w:pPr>
        <w:pStyle w:val="a3"/>
        <w:rPr>
          <w:sz w:val="18"/>
        </w:rPr>
      </w:pPr>
    </w:p>
    <w:p w14:paraId="2EBE7AA5" w14:textId="77777777" w:rsidR="00A71EEF" w:rsidRDefault="0081115D">
      <w:pPr>
        <w:pStyle w:val="a4"/>
        <w:numPr>
          <w:ilvl w:val="1"/>
          <w:numId w:val="232"/>
        </w:numPr>
        <w:tabs>
          <w:tab w:val="left" w:pos="1318"/>
        </w:tabs>
        <w:ind w:left="1318"/>
        <w:jc w:val="both"/>
        <w:rPr>
          <w:sz w:val="21"/>
        </w:rPr>
      </w:pPr>
      <w:r>
        <w:rPr>
          <w:spacing w:val="-5"/>
          <w:sz w:val="21"/>
        </w:rPr>
        <w:t>消防水泵应确保从接到启泵信号到水泵正常运转的自动启动时间不应大于</w:t>
      </w:r>
      <w:r>
        <w:rPr>
          <w:spacing w:val="-5"/>
          <w:sz w:val="21"/>
        </w:rPr>
        <w:t xml:space="preserve"> </w:t>
      </w:r>
      <w:r>
        <w:rPr>
          <w:sz w:val="21"/>
        </w:rPr>
        <w:t>2min</w:t>
      </w:r>
      <w:r>
        <w:rPr>
          <w:spacing w:val="-1"/>
          <w:sz w:val="21"/>
        </w:rPr>
        <w:t xml:space="preserve"> </w:t>
      </w:r>
      <w:r>
        <w:rPr>
          <w:spacing w:val="-1"/>
          <w:sz w:val="21"/>
        </w:rPr>
        <w:t>。</w:t>
      </w:r>
      <w:r>
        <w:rPr>
          <w:sz w:val="21"/>
        </w:rPr>
        <w:t xml:space="preserve"> </w:t>
      </w:r>
    </w:p>
    <w:p w14:paraId="5C73D1A0" w14:textId="77777777" w:rsidR="00A71EEF" w:rsidRDefault="00A71EEF">
      <w:pPr>
        <w:pStyle w:val="a3"/>
        <w:rPr>
          <w:sz w:val="18"/>
        </w:rPr>
      </w:pPr>
    </w:p>
    <w:p w14:paraId="623DBE1D" w14:textId="77777777" w:rsidR="00A71EEF" w:rsidRDefault="0081115D">
      <w:pPr>
        <w:pStyle w:val="a4"/>
        <w:numPr>
          <w:ilvl w:val="1"/>
          <w:numId w:val="232"/>
        </w:numPr>
        <w:tabs>
          <w:tab w:val="left" w:pos="1318"/>
        </w:tabs>
        <w:spacing w:line="446" w:lineRule="auto"/>
        <w:ind w:left="418" w:right="1551" w:firstLine="422"/>
        <w:jc w:val="both"/>
        <w:rPr>
          <w:sz w:val="21"/>
        </w:rPr>
      </w:pPr>
      <w:r>
        <w:rPr>
          <w:spacing w:val="-3"/>
          <w:sz w:val="21"/>
        </w:rPr>
        <w:t>消防水泵应由消防水泵出水干管上设置的压力开关、高位消防水箱出水管上的流量开关，或报警阀压力开关等开关信号应能直接自动启动消防水泵。消防水泵房内的压力开关宜引入消防水泵控制柜内。</w:t>
      </w:r>
      <w:r>
        <w:rPr>
          <w:sz w:val="21"/>
        </w:rPr>
        <w:t xml:space="preserve"> </w:t>
      </w:r>
    </w:p>
    <w:p w14:paraId="75B35A50" w14:textId="77777777" w:rsidR="00A71EEF" w:rsidRDefault="0081115D">
      <w:pPr>
        <w:pStyle w:val="a4"/>
        <w:numPr>
          <w:ilvl w:val="1"/>
          <w:numId w:val="232"/>
        </w:numPr>
        <w:tabs>
          <w:tab w:val="left" w:pos="1318"/>
        </w:tabs>
        <w:spacing w:line="268" w:lineRule="exact"/>
        <w:ind w:left="1318"/>
        <w:jc w:val="both"/>
        <w:rPr>
          <w:sz w:val="21"/>
        </w:rPr>
      </w:pPr>
      <w:r>
        <w:rPr>
          <w:spacing w:val="-3"/>
          <w:sz w:val="21"/>
        </w:rPr>
        <w:t>消防水泵应能手动启停和自动启动。</w:t>
      </w:r>
      <w:r>
        <w:rPr>
          <w:sz w:val="21"/>
        </w:rPr>
        <w:t xml:space="preserve"> </w:t>
      </w:r>
    </w:p>
    <w:p w14:paraId="7C9CB1F5" w14:textId="77777777" w:rsidR="00A71EEF" w:rsidRDefault="00A71EEF">
      <w:pPr>
        <w:pStyle w:val="a3"/>
        <w:spacing w:before="1"/>
        <w:rPr>
          <w:sz w:val="18"/>
        </w:rPr>
      </w:pPr>
    </w:p>
    <w:p w14:paraId="226410CC" w14:textId="77777777" w:rsidR="00A71EEF" w:rsidRDefault="0081115D">
      <w:pPr>
        <w:pStyle w:val="a4"/>
        <w:numPr>
          <w:ilvl w:val="1"/>
          <w:numId w:val="232"/>
        </w:numPr>
        <w:tabs>
          <w:tab w:val="left" w:pos="1318"/>
        </w:tabs>
        <w:spacing w:before="1" w:line="446" w:lineRule="auto"/>
        <w:ind w:left="418" w:right="1551" w:firstLine="422"/>
        <w:jc w:val="both"/>
        <w:rPr>
          <w:sz w:val="21"/>
        </w:rPr>
      </w:pPr>
      <w:r>
        <w:rPr>
          <w:spacing w:val="-3"/>
          <w:sz w:val="21"/>
        </w:rPr>
        <w:t>稳压泵应由消防给水管网或气压水罐上设置的稳压泵自动启停泵压力开关或压力变送器控制。</w:t>
      </w:r>
      <w:r>
        <w:rPr>
          <w:sz w:val="21"/>
        </w:rPr>
        <w:t xml:space="preserve"> </w:t>
      </w:r>
    </w:p>
    <w:p w14:paraId="73E52145" w14:textId="77777777" w:rsidR="00A71EEF" w:rsidRDefault="0081115D">
      <w:pPr>
        <w:pStyle w:val="a4"/>
        <w:numPr>
          <w:ilvl w:val="1"/>
          <w:numId w:val="232"/>
        </w:numPr>
        <w:tabs>
          <w:tab w:val="left" w:pos="1318"/>
        </w:tabs>
        <w:spacing w:line="267" w:lineRule="exact"/>
        <w:ind w:left="1318"/>
        <w:jc w:val="both"/>
        <w:rPr>
          <w:sz w:val="21"/>
        </w:rPr>
      </w:pPr>
      <w:r>
        <w:rPr>
          <w:spacing w:val="-3"/>
          <w:sz w:val="21"/>
        </w:rPr>
        <w:t>消防控制室或值班室，应具有下列控制和显示功能：</w:t>
      </w:r>
      <w:r>
        <w:rPr>
          <w:sz w:val="21"/>
        </w:rPr>
        <w:t xml:space="preserve"> </w:t>
      </w:r>
    </w:p>
    <w:p w14:paraId="383A58FD" w14:textId="77777777" w:rsidR="00A71EEF" w:rsidRDefault="00A71EEF">
      <w:pPr>
        <w:pStyle w:val="a3"/>
        <w:spacing w:before="1"/>
        <w:rPr>
          <w:sz w:val="18"/>
        </w:rPr>
      </w:pPr>
    </w:p>
    <w:p w14:paraId="3174C4BE" w14:textId="77777777" w:rsidR="00A71EEF" w:rsidRDefault="0081115D">
      <w:pPr>
        <w:pStyle w:val="a3"/>
        <w:spacing w:before="1" w:line="446" w:lineRule="auto"/>
        <w:ind w:left="838" w:right="3817"/>
      </w:pPr>
      <w:r>
        <w:t>消防控制柜或控制盘应设置专用线路连接的手动直接启泵按钮；</w:t>
      </w:r>
      <w:r>
        <w:t xml:space="preserve"> </w:t>
      </w:r>
      <w:r>
        <w:t>消防控制柜或控</w:t>
      </w:r>
      <w:r>
        <w:t>制盘应能显示消防水泵和稳压泵的运行状态；</w:t>
      </w:r>
      <w:r>
        <w:t xml:space="preserve"> </w:t>
      </w:r>
    </w:p>
    <w:p w14:paraId="67AC76E7" w14:textId="77777777" w:rsidR="00A71EEF" w:rsidRDefault="0081115D">
      <w:pPr>
        <w:pStyle w:val="a3"/>
        <w:spacing w:line="446" w:lineRule="auto"/>
        <w:ind w:left="418" w:right="1817" w:firstLine="419"/>
      </w:pPr>
      <w:r>
        <w:t>消防控制柜或控制盘应能显示消防水池、高位消防水箱等水源的高水位、低水位报警信号，以及正常水位。</w:t>
      </w:r>
      <w:r>
        <w:t xml:space="preserve"> </w:t>
      </w:r>
    </w:p>
    <w:p w14:paraId="5E5A5980" w14:textId="77777777" w:rsidR="00A71EEF" w:rsidRDefault="0081115D">
      <w:pPr>
        <w:pStyle w:val="a4"/>
        <w:numPr>
          <w:ilvl w:val="1"/>
          <w:numId w:val="232"/>
        </w:numPr>
        <w:tabs>
          <w:tab w:val="left" w:pos="1318"/>
        </w:tabs>
        <w:ind w:left="1318"/>
        <w:rPr>
          <w:sz w:val="21"/>
        </w:rPr>
      </w:pPr>
      <w:r>
        <w:rPr>
          <w:spacing w:val="-3"/>
          <w:sz w:val="21"/>
        </w:rPr>
        <w:t>消防水泵、稳压泵应设置就地强制启停泵按钮，并应有保护装置。</w:t>
      </w:r>
      <w:r>
        <w:rPr>
          <w:sz w:val="21"/>
        </w:rPr>
        <w:t xml:space="preserve"> </w:t>
      </w:r>
    </w:p>
    <w:p w14:paraId="4B287EAF" w14:textId="77777777" w:rsidR="00A71EEF" w:rsidRDefault="00A71EEF">
      <w:pPr>
        <w:pStyle w:val="a3"/>
        <w:spacing w:before="9"/>
        <w:rPr>
          <w:sz w:val="17"/>
        </w:rPr>
      </w:pPr>
    </w:p>
    <w:p w14:paraId="6B90CABA" w14:textId="77777777" w:rsidR="00A71EEF" w:rsidRDefault="0081115D">
      <w:pPr>
        <w:pStyle w:val="a4"/>
        <w:numPr>
          <w:ilvl w:val="1"/>
          <w:numId w:val="232"/>
        </w:numPr>
        <w:tabs>
          <w:tab w:val="left" w:pos="1318"/>
        </w:tabs>
        <w:spacing w:before="1" w:line="446" w:lineRule="auto"/>
        <w:ind w:left="418" w:right="1500" w:firstLine="422"/>
        <w:rPr>
          <w:sz w:val="21"/>
        </w:rPr>
      </w:pPr>
      <w:r>
        <w:rPr>
          <w:spacing w:val="-4"/>
          <w:sz w:val="21"/>
        </w:rPr>
        <w:t>消防水泵控制柜设置在专用消防水泵控制室时，其防护等级不应低于</w:t>
      </w:r>
      <w:r>
        <w:rPr>
          <w:spacing w:val="-4"/>
          <w:sz w:val="21"/>
        </w:rPr>
        <w:t xml:space="preserve"> </w:t>
      </w:r>
      <w:r>
        <w:rPr>
          <w:sz w:val="21"/>
        </w:rPr>
        <w:t>IP30</w:t>
      </w:r>
      <w:r>
        <w:rPr>
          <w:spacing w:val="-3"/>
          <w:sz w:val="21"/>
        </w:rPr>
        <w:t>；与消防水</w:t>
      </w:r>
      <w:r>
        <w:rPr>
          <w:spacing w:val="-6"/>
          <w:sz w:val="21"/>
        </w:rPr>
        <w:t>泵设置在同一空间时，其防护等级不应低于</w:t>
      </w:r>
      <w:r>
        <w:rPr>
          <w:spacing w:val="-6"/>
          <w:sz w:val="21"/>
        </w:rPr>
        <w:t xml:space="preserve"> </w:t>
      </w:r>
      <w:r>
        <w:rPr>
          <w:sz w:val="21"/>
        </w:rPr>
        <w:t>IP55</w:t>
      </w:r>
      <w:r>
        <w:rPr>
          <w:sz w:val="21"/>
        </w:rPr>
        <w:t>。</w:t>
      </w:r>
      <w:r>
        <w:rPr>
          <w:sz w:val="21"/>
        </w:rPr>
        <w:t xml:space="preserve"> </w:t>
      </w:r>
    </w:p>
    <w:p w14:paraId="2CBE2287" w14:textId="77777777" w:rsidR="00A71EEF" w:rsidRDefault="0081115D">
      <w:pPr>
        <w:pStyle w:val="a4"/>
        <w:numPr>
          <w:ilvl w:val="1"/>
          <w:numId w:val="232"/>
        </w:numPr>
        <w:tabs>
          <w:tab w:val="left" w:pos="1424"/>
        </w:tabs>
        <w:spacing w:line="446" w:lineRule="auto"/>
        <w:ind w:left="418" w:right="1445" w:firstLine="422"/>
        <w:rPr>
          <w:sz w:val="21"/>
        </w:rPr>
      </w:pPr>
      <w:r>
        <w:rPr>
          <w:spacing w:val="-3"/>
          <w:sz w:val="21"/>
        </w:rPr>
        <w:t>消防水泵控制柜应采取防止被水淹没的措施。在高温潮湿环境下，消防水泵控制柜内应设置自动防潮除湿的装置。</w:t>
      </w:r>
      <w:r>
        <w:rPr>
          <w:sz w:val="21"/>
        </w:rPr>
        <w:t xml:space="preserve"> </w:t>
      </w:r>
    </w:p>
    <w:p w14:paraId="153F70AF" w14:textId="77777777" w:rsidR="00A71EEF" w:rsidRDefault="0081115D">
      <w:pPr>
        <w:pStyle w:val="a4"/>
        <w:numPr>
          <w:ilvl w:val="1"/>
          <w:numId w:val="232"/>
        </w:numPr>
        <w:tabs>
          <w:tab w:val="left" w:pos="1424"/>
        </w:tabs>
        <w:spacing w:line="446" w:lineRule="auto"/>
        <w:ind w:left="418" w:right="1445" w:firstLine="422"/>
        <w:rPr>
          <w:sz w:val="21"/>
        </w:rPr>
      </w:pPr>
      <w:r>
        <w:rPr>
          <w:spacing w:val="-3"/>
          <w:sz w:val="21"/>
        </w:rPr>
        <w:t>当消防给水分区供水采用转输消防水泵时，转输泵宜在消防水泵启动后再启动；当消防给水分区供水采用串联消防水泵时，上区消防水泵宜在下区消防水泵启动后再启动。</w:t>
      </w:r>
      <w:r>
        <w:rPr>
          <w:spacing w:val="-3"/>
          <w:sz w:val="21"/>
        </w:rPr>
        <w:t xml:space="preserve"> </w:t>
      </w:r>
    </w:p>
    <w:p w14:paraId="3DD2A2AC" w14:textId="77777777" w:rsidR="00A71EEF" w:rsidRDefault="0081115D">
      <w:pPr>
        <w:pStyle w:val="a4"/>
        <w:numPr>
          <w:ilvl w:val="1"/>
          <w:numId w:val="232"/>
        </w:numPr>
        <w:tabs>
          <w:tab w:val="left" w:pos="1424"/>
        </w:tabs>
        <w:spacing w:line="446" w:lineRule="auto"/>
        <w:ind w:left="418" w:right="1445" w:firstLine="422"/>
        <w:rPr>
          <w:b/>
          <w:sz w:val="21"/>
        </w:rPr>
      </w:pPr>
      <w:r>
        <w:rPr>
          <w:spacing w:val="-3"/>
          <w:sz w:val="21"/>
        </w:rPr>
        <w:t>消防水泵控制柜应设置机械应急启泵功能，并应保证在控制柜内的控制线路发生故障时由有管理权限的人员在紧急时启动消防水泵。机械应急启动时，应确保消防水泵在报警</w:t>
      </w:r>
      <w:r>
        <w:rPr>
          <w:spacing w:val="-3"/>
          <w:sz w:val="21"/>
        </w:rPr>
        <w:t xml:space="preserve"> </w:t>
      </w:r>
      <w:r>
        <w:rPr>
          <w:sz w:val="21"/>
        </w:rPr>
        <w:t>5.0min</w:t>
      </w:r>
      <w:r>
        <w:rPr>
          <w:spacing w:val="-10"/>
          <w:sz w:val="21"/>
        </w:rPr>
        <w:t xml:space="preserve"> </w:t>
      </w:r>
      <w:r>
        <w:rPr>
          <w:spacing w:val="-10"/>
          <w:sz w:val="21"/>
        </w:rPr>
        <w:t>内正常工作。</w:t>
      </w:r>
      <w:r>
        <w:rPr>
          <w:b/>
          <w:w w:val="99"/>
          <w:sz w:val="21"/>
        </w:rPr>
        <w:t xml:space="preserve"> </w:t>
      </w:r>
    </w:p>
    <w:p w14:paraId="54B763B2" w14:textId="77777777" w:rsidR="00A71EEF" w:rsidRDefault="0081115D">
      <w:pPr>
        <w:pStyle w:val="a4"/>
        <w:numPr>
          <w:ilvl w:val="1"/>
          <w:numId w:val="232"/>
        </w:numPr>
        <w:tabs>
          <w:tab w:val="left" w:pos="1424"/>
        </w:tabs>
        <w:spacing w:line="268" w:lineRule="exact"/>
        <w:ind w:left="1423" w:hanging="584"/>
        <w:rPr>
          <w:sz w:val="21"/>
        </w:rPr>
      </w:pPr>
      <w:r>
        <w:rPr>
          <w:spacing w:val="-3"/>
          <w:sz w:val="21"/>
        </w:rPr>
        <w:t>消防水泵控制柜前面板的明显部位应设置紧急时打开柜门的装置。</w:t>
      </w:r>
      <w:r>
        <w:rPr>
          <w:sz w:val="21"/>
        </w:rPr>
        <w:t xml:space="preserve"> </w:t>
      </w:r>
    </w:p>
    <w:p w14:paraId="1A787AE2" w14:textId="77777777" w:rsidR="00A71EEF" w:rsidRDefault="00A71EEF">
      <w:pPr>
        <w:pStyle w:val="a3"/>
        <w:spacing w:before="12"/>
        <w:rPr>
          <w:sz w:val="17"/>
        </w:rPr>
      </w:pPr>
    </w:p>
    <w:p w14:paraId="1B0EF410" w14:textId="77777777" w:rsidR="00A71EEF" w:rsidRDefault="0081115D">
      <w:pPr>
        <w:pStyle w:val="a4"/>
        <w:numPr>
          <w:ilvl w:val="1"/>
          <w:numId w:val="232"/>
        </w:numPr>
        <w:tabs>
          <w:tab w:val="left" w:pos="1424"/>
        </w:tabs>
        <w:spacing w:line="446" w:lineRule="auto"/>
        <w:ind w:left="418" w:right="1445" w:firstLine="422"/>
        <w:rPr>
          <w:sz w:val="21"/>
        </w:rPr>
      </w:pPr>
      <w:r>
        <w:rPr>
          <w:spacing w:val="-3"/>
          <w:sz w:val="21"/>
        </w:rPr>
        <w:t>火灾时消防水泵应工频运行，消防水泵应工频直接启泵；当功率较大时，宜采用星三角和自耦降压变压器启动，不宜采用有源器件启动。</w:t>
      </w:r>
      <w:r>
        <w:rPr>
          <w:spacing w:val="-3"/>
          <w:sz w:val="21"/>
        </w:rPr>
        <w:t xml:space="preserve"> </w:t>
      </w:r>
    </w:p>
    <w:p w14:paraId="27B5D9FD" w14:textId="77777777" w:rsidR="00A71EEF" w:rsidRDefault="0081115D">
      <w:pPr>
        <w:pStyle w:val="a3"/>
        <w:spacing w:line="446" w:lineRule="auto"/>
        <w:ind w:left="418" w:right="1714" w:firstLine="419"/>
      </w:pPr>
      <w:r>
        <w:t xml:space="preserve"> </w:t>
      </w:r>
      <w:r>
        <w:t>消防水泵准工作状态的自动巡检应采用变频运行，定期人工巡检应工频满负荷运行并出流。</w:t>
      </w:r>
      <w:r>
        <w:t xml:space="preserve"> </w:t>
      </w:r>
    </w:p>
    <w:p w14:paraId="06788007" w14:textId="77777777" w:rsidR="00A71EEF" w:rsidRDefault="00A71EEF">
      <w:pPr>
        <w:spacing w:line="446" w:lineRule="auto"/>
        <w:sectPr w:rsidR="00A71EEF">
          <w:pgSz w:w="11910" w:h="16850"/>
          <w:pgMar w:top="1220" w:right="0" w:bottom="1420" w:left="1260" w:header="0" w:footer="1239" w:gutter="0"/>
          <w:cols w:space="720"/>
        </w:sectPr>
      </w:pPr>
    </w:p>
    <w:p w14:paraId="57D43A19" w14:textId="77777777" w:rsidR="00A71EEF" w:rsidRDefault="0081115D">
      <w:pPr>
        <w:pStyle w:val="a4"/>
        <w:numPr>
          <w:ilvl w:val="1"/>
          <w:numId w:val="232"/>
        </w:numPr>
        <w:tabs>
          <w:tab w:val="left" w:pos="1424"/>
        </w:tabs>
        <w:spacing w:before="47"/>
        <w:ind w:left="1423" w:hanging="584"/>
        <w:rPr>
          <w:sz w:val="21"/>
        </w:rPr>
      </w:pPr>
      <w:r>
        <w:rPr>
          <w:spacing w:val="-5"/>
          <w:sz w:val="21"/>
        </w:rPr>
        <w:t>当工频启动消防水泵</w:t>
      </w:r>
      <w:r>
        <w:rPr>
          <w:spacing w:val="-5"/>
          <w:sz w:val="21"/>
        </w:rPr>
        <w:t>时，从接通电路到水泵达到额定转速的时间不宜大于表</w:t>
      </w:r>
      <w:r>
        <w:rPr>
          <w:spacing w:val="-5"/>
          <w:sz w:val="21"/>
        </w:rPr>
        <w:t xml:space="preserve"> </w:t>
      </w:r>
      <w:r>
        <w:rPr>
          <w:sz w:val="21"/>
        </w:rPr>
        <w:t>11.0.15</w:t>
      </w:r>
    </w:p>
    <w:p w14:paraId="03C5BBB6" w14:textId="77777777" w:rsidR="00A71EEF" w:rsidRDefault="00A71EEF">
      <w:pPr>
        <w:pStyle w:val="a3"/>
        <w:rPr>
          <w:sz w:val="18"/>
        </w:rPr>
      </w:pPr>
    </w:p>
    <w:p w14:paraId="53BED470" w14:textId="77777777" w:rsidR="00A71EEF" w:rsidRDefault="0081115D">
      <w:pPr>
        <w:pStyle w:val="a3"/>
        <w:ind w:left="418"/>
      </w:pPr>
      <w:r>
        <w:t>的规定值。</w:t>
      </w:r>
      <w:r>
        <w:t xml:space="preserve"> </w:t>
      </w:r>
    </w:p>
    <w:p w14:paraId="5AE8A3AE" w14:textId="77777777" w:rsidR="00A71EEF" w:rsidRDefault="00A71EEF">
      <w:pPr>
        <w:pStyle w:val="a3"/>
        <w:rPr>
          <w:sz w:val="18"/>
        </w:rPr>
      </w:pPr>
    </w:p>
    <w:p w14:paraId="29DC1FA2" w14:textId="77777777" w:rsidR="00A71EEF" w:rsidRDefault="0081115D">
      <w:pPr>
        <w:pStyle w:val="6"/>
        <w:ind w:right="492"/>
        <w:jc w:val="center"/>
      </w:pPr>
      <w:r>
        <w:rPr>
          <w:noProof/>
        </w:rPr>
        <w:drawing>
          <wp:anchor distT="0" distB="0" distL="0" distR="0" simplePos="0" relativeHeight="251671040" behindDoc="0" locked="0" layoutInCell="1" allowOverlap="1" wp14:anchorId="09DC99C4" wp14:editId="6F03ABDF">
            <wp:simplePos x="0" y="0"/>
            <wp:positionH relativeFrom="page">
              <wp:posOffset>1227455</wp:posOffset>
            </wp:positionH>
            <wp:positionV relativeFrom="paragraph">
              <wp:posOffset>231647</wp:posOffset>
            </wp:positionV>
            <wp:extent cx="5051162" cy="829818"/>
            <wp:effectExtent l="0" t="0" r="0" b="0"/>
            <wp:wrapTopAndBottom/>
            <wp:docPr id="587" name="image3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image340.jpeg"/>
                    <pic:cNvPicPr/>
                  </pic:nvPicPr>
                  <pic:blipFill>
                    <a:blip r:embed="rId402" cstate="print"/>
                    <a:stretch>
                      <a:fillRect/>
                    </a:stretch>
                  </pic:blipFill>
                  <pic:spPr>
                    <a:xfrm>
                      <a:off x="0" y="0"/>
                      <a:ext cx="5051162" cy="829818"/>
                    </a:xfrm>
                    <a:prstGeom prst="rect">
                      <a:avLst/>
                    </a:prstGeom>
                  </pic:spPr>
                </pic:pic>
              </a:graphicData>
            </a:graphic>
          </wp:anchor>
        </w:drawing>
      </w:r>
      <w:r>
        <w:t>表</w:t>
      </w:r>
      <w:r>
        <w:t xml:space="preserve"> 11.0.15 </w:t>
      </w:r>
      <w:r>
        <w:t>工频泵启动时间</w:t>
      </w:r>
      <w:r>
        <w:rPr>
          <w:w w:val="99"/>
        </w:rPr>
        <w:t xml:space="preserve"> </w:t>
      </w:r>
    </w:p>
    <w:p w14:paraId="7CB64005" w14:textId="77777777" w:rsidR="00A71EEF" w:rsidRDefault="0081115D">
      <w:pPr>
        <w:pStyle w:val="a4"/>
        <w:numPr>
          <w:ilvl w:val="1"/>
          <w:numId w:val="232"/>
        </w:numPr>
        <w:tabs>
          <w:tab w:val="left" w:pos="1424"/>
        </w:tabs>
        <w:spacing w:before="159" w:line="448" w:lineRule="auto"/>
        <w:ind w:right="3654" w:firstLine="2"/>
        <w:rPr>
          <w:sz w:val="21"/>
        </w:rPr>
      </w:pPr>
      <w:r>
        <w:rPr>
          <w:spacing w:val="-3"/>
          <w:sz w:val="21"/>
        </w:rPr>
        <w:t>电动驱动消防水泵自动巡检时，巡检功能应符合下列规定：</w:t>
      </w:r>
      <w:r>
        <w:rPr>
          <w:spacing w:val="-3"/>
          <w:sz w:val="21"/>
        </w:rPr>
        <w:t xml:space="preserve"> </w:t>
      </w:r>
      <w:r>
        <w:rPr>
          <w:spacing w:val="-9"/>
          <w:sz w:val="21"/>
        </w:rPr>
        <w:t>巡检周期不宜大于</w:t>
      </w:r>
      <w:r>
        <w:rPr>
          <w:spacing w:val="-9"/>
          <w:sz w:val="21"/>
        </w:rPr>
        <w:t xml:space="preserve"> </w:t>
      </w:r>
      <w:r>
        <w:rPr>
          <w:sz w:val="21"/>
        </w:rPr>
        <w:t>7d</w:t>
      </w:r>
      <w:r>
        <w:rPr>
          <w:spacing w:val="-3"/>
          <w:sz w:val="21"/>
        </w:rPr>
        <w:t>，且应能按需要任意设定；</w:t>
      </w:r>
      <w:r>
        <w:rPr>
          <w:sz w:val="21"/>
        </w:rPr>
        <w:t xml:space="preserve"> </w:t>
      </w:r>
    </w:p>
    <w:p w14:paraId="76C30C87" w14:textId="77777777" w:rsidR="00A71EEF" w:rsidRDefault="0081115D">
      <w:pPr>
        <w:pStyle w:val="a3"/>
        <w:spacing w:line="264" w:lineRule="exact"/>
        <w:ind w:left="838"/>
      </w:pPr>
      <w:r>
        <w:t>以低频交流电源逐台驱动消防水泵，使每台消防水泵低速转动的时间不应少于</w:t>
      </w:r>
      <w:r>
        <w:t xml:space="preserve"> 2min</w:t>
      </w:r>
      <w:r>
        <w:t>；</w:t>
      </w:r>
      <w:r>
        <w:t xml:space="preserve"> </w:t>
      </w:r>
    </w:p>
    <w:p w14:paraId="33C49C0B" w14:textId="77777777" w:rsidR="00A71EEF" w:rsidRDefault="00A71EEF">
      <w:pPr>
        <w:pStyle w:val="a3"/>
        <w:spacing w:before="12"/>
        <w:rPr>
          <w:sz w:val="17"/>
        </w:rPr>
      </w:pPr>
    </w:p>
    <w:p w14:paraId="18A3155C" w14:textId="77777777" w:rsidR="00A71EEF" w:rsidRDefault="0081115D">
      <w:pPr>
        <w:pStyle w:val="a3"/>
        <w:spacing w:line="446" w:lineRule="auto"/>
        <w:ind w:left="838" w:right="1505"/>
      </w:pPr>
      <w:r>
        <w:rPr>
          <w:spacing w:val="-3"/>
        </w:rPr>
        <w:t>对消防水泵控制柜一次回路中的主要低压器件宜有巡检功能，并应检查器件的动作状态；</w:t>
      </w:r>
      <w:r>
        <w:rPr>
          <w:spacing w:val="-3"/>
        </w:rPr>
        <w:t xml:space="preserve"> </w:t>
      </w:r>
      <w:r>
        <w:rPr>
          <w:spacing w:val="-3"/>
        </w:rPr>
        <w:t>当有启泵信号时，应立即退出巡检，进入工作状态；</w:t>
      </w:r>
      <w:r>
        <w:rPr>
          <w:spacing w:val="-3"/>
        </w:rPr>
        <w:t xml:space="preserve"> </w:t>
      </w:r>
    </w:p>
    <w:p w14:paraId="43772936" w14:textId="77777777" w:rsidR="00A71EEF" w:rsidRDefault="0081115D">
      <w:pPr>
        <w:pStyle w:val="a3"/>
        <w:spacing w:line="446" w:lineRule="auto"/>
        <w:ind w:left="838" w:right="4657"/>
      </w:pPr>
      <w:r>
        <w:t>发现故障时，应有声光报警，并应有记录和储存功能；</w:t>
      </w:r>
      <w:r>
        <w:t xml:space="preserve"> </w:t>
      </w:r>
      <w:r>
        <w:t>自动巡检时，应设置电源自动切换功能的检查。</w:t>
      </w:r>
      <w:r>
        <w:t xml:space="preserve"> </w:t>
      </w:r>
    </w:p>
    <w:p w14:paraId="4D74DEB3" w14:textId="77777777" w:rsidR="00A71EEF" w:rsidRDefault="0081115D">
      <w:pPr>
        <w:pStyle w:val="a4"/>
        <w:numPr>
          <w:ilvl w:val="1"/>
          <w:numId w:val="232"/>
        </w:numPr>
        <w:tabs>
          <w:tab w:val="left" w:pos="1424"/>
        </w:tabs>
        <w:spacing w:before="1" w:line="446" w:lineRule="auto"/>
        <w:ind w:right="5336" w:firstLine="2"/>
        <w:rPr>
          <w:sz w:val="21"/>
        </w:rPr>
      </w:pPr>
      <w:r>
        <w:rPr>
          <w:spacing w:val="-3"/>
          <w:sz w:val="21"/>
        </w:rPr>
        <w:t>消防水泵的双电源切换应符合下列规定：</w:t>
      </w:r>
      <w:r>
        <w:rPr>
          <w:spacing w:val="-3"/>
          <w:sz w:val="21"/>
        </w:rPr>
        <w:t xml:space="preserve"> </w:t>
      </w:r>
      <w:r>
        <w:rPr>
          <w:spacing w:val="-7"/>
          <w:sz w:val="21"/>
        </w:rPr>
        <w:t>双路电源自动切换时间不应大于</w:t>
      </w:r>
      <w:r>
        <w:rPr>
          <w:spacing w:val="-7"/>
          <w:sz w:val="21"/>
        </w:rPr>
        <w:t xml:space="preserve"> </w:t>
      </w:r>
      <w:r>
        <w:rPr>
          <w:sz w:val="21"/>
        </w:rPr>
        <w:t>2s</w:t>
      </w:r>
      <w:r>
        <w:rPr>
          <w:sz w:val="21"/>
        </w:rPr>
        <w:t>；</w:t>
      </w:r>
      <w:r>
        <w:rPr>
          <w:sz w:val="21"/>
        </w:rPr>
        <w:t xml:space="preserve"> </w:t>
      </w:r>
    </w:p>
    <w:p w14:paraId="179049F4" w14:textId="77777777" w:rsidR="00A71EEF" w:rsidRDefault="0081115D">
      <w:pPr>
        <w:pStyle w:val="a3"/>
        <w:spacing w:line="267" w:lineRule="exact"/>
        <w:ind w:left="838"/>
      </w:pPr>
      <w:r>
        <w:t>当一路电源与内燃机动力的切换时间不应大于</w:t>
      </w:r>
      <w:r>
        <w:t xml:space="preserve"> 15s</w:t>
      </w:r>
      <w:r>
        <w:t>。</w:t>
      </w:r>
      <w:r>
        <w:t xml:space="preserve"> </w:t>
      </w:r>
    </w:p>
    <w:p w14:paraId="1571CFB7" w14:textId="77777777" w:rsidR="00A71EEF" w:rsidRDefault="00A71EEF">
      <w:pPr>
        <w:pStyle w:val="a3"/>
        <w:spacing w:before="1"/>
        <w:rPr>
          <w:sz w:val="18"/>
        </w:rPr>
      </w:pPr>
    </w:p>
    <w:p w14:paraId="4A3A4A30" w14:textId="77777777" w:rsidR="00A71EEF" w:rsidRDefault="0081115D">
      <w:pPr>
        <w:pStyle w:val="a4"/>
        <w:numPr>
          <w:ilvl w:val="1"/>
          <w:numId w:val="232"/>
        </w:numPr>
        <w:tabs>
          <w:tab w:val="left" w:pos="1424"/>
        </w:tabs>
        <w:spacing w:before="1" w:line="446" w:lineRule="auto"/>
        <w:ind w:left="418" w:right="1445" w:firstLine="422"/>
        <w:rPr>
          <w:sz w:val="21"/>
        </w:rPr>
      </w:pPr>
      <w:r>
        <w:rPr>
          <w:spacing w:val="-3"/>
          <w:sz w:val="21"/>
        </w:rPr>
        <w:t>消防水泵控制柜应有显示消防水泵工作状态和故障状态的输出端子及远程控制消防水泵启动的输入端子。控制柜应具有自动巡检可调、显示巡检状态和信号等功能，且对话界</w:t>
      </w:r>
      <w:r>
        <w:rPr>
          <w:spacing w:val="-3"/>
          <w:sz w:val="21"/>
        </w:rPr>
        <w:t>面应</w:t>
      </w:r>
      <w:r>
        <w:rPr>
          <w:spacing w:val="-3"/>
          <w:sz w:val="21"/>
        </w:rPr>
        <w:t xml:space="preserve"> </w:t>
      </w:r>
      <w:r>
        <w:rPr>
          <w:spacing w:val="-3"/>
          <w:sz w:val="21"/>
        </w:rPr>
        <w:t>有汉语语言，图标应便于识别和操作。</w:t>
      </w:r>
      <w:r>
        <w:rPr>
          <w:sz w:val="21"/>
        </w:rPr>
        <w:t xml:space="preserve"> </w:t>
      </w:r>
    </w:p>
    <w:p w14:paraId="393D01CF" w14:textId="77777777" w:rsidR="00A71EEF" w:rsidRDefault="0081115D">
      <w:pPr>
        <w:pStyle w:val="a4"/>
        <w:numPr>
          <w:ilvl w:val="1"/>
          <w:numId w:val="232"/>
        </w:numPr>
        <w:tabs>
          <w:tab w:val="left" w:pos="1424"/>
        </w:tabs>
        <w:spacing w:line="446" w:lineRule="auto"/>
        <w:ind w:left="418" w:right="1445" w:firstLine="422"/>
        <w:rPr>
          <w:sz w:val="21"/>
        </w:rPr>
      </w:pPr>
      <w:r>
        <w:rPr>
          <w:spacing w:val="-3"/>
          <w:sz w:val="21"/>
        </w:rPr>
        <w:t>消火栓按钮不宜作为直接启动消防水泵的开关，但可作为发出报警信号的开关或启动干式消火栓系统的快速启闭装置等。</w:t>
      </w:r>
      <w:r>
        <w:rPr>
          <w:sz w:val="21"/>
        </w:rPr>
        <w:t xml:space="preserve"> </w:t>
      </w:r>
    </w:p>
    <w:p w14:paraId="747B2B07" w14:textId="77777777" w:rsidR="00A71EEF" w:rsidRDefault="0081115D">
      <w:pPr>
        <w:pStyle w:val="4"/>
        <w:spacing w:line="276" w:lineRule="exact"/>
      </w:pPr>
      <w:r>
        <w:t xml:space="preserve">12 </w:t>
      </w:r>
      <w:r>
        <w:t>施工</w:t>
      </w:r>
      <w:r>
        <w:rPr>
          <w:w w:val="99"/>
        </w:rPr>
        <w:t xml:space="preserve"> </w:t>
      </w:r>
    </w:p>
    <w:p w14:paraId="342E9AAA" w14:textId="77777777" w:rsidR="00A71EEF" w:rsidRDefault="00A71EEF">
      <w:pPr>
        <w:pStyle w:val="a3"/>
        <w:spacing w:before="4"/>
        <w:rPr>
          <w:b/>
          <w:sz w:val="17"/>
        </w:rPr>
      </w:pPr>
    </w:p>
    <w:p w14:paraId="7AF02D9E" w14:textId="77777777" w:rsidR="00A71EEF" w:rsidRDefault="0081115D">
      <w:pPr>
        <w:pStyle w:val="a4"/>
        <w:numPr>
          <w:ilvl w:val="1"/>
          <w:numId w:val="231"/>
        </w:numPr>
        <w:tabs>
          <w:tab w:val="left" w:pos="1266"/>
        </w:tabs>
        <w:ind w:hanging="426"/>
        <w:rPr>
          <w:b/>
          <w:sz w:val="21"/>
        </w:rPr>
      </w:pPr>
      <w:r>
        <w:rPr>
          <w:spacing w:val="-3"/>
          <w:sz w:val="21"/>
        </w:rPr>
        <w:t>一般规定</w:t>
      </w:r>
      <w:r>
        <w:rPr>
          <w:b/>
          <w:w w:val="99"/>
          <w:sz w:val="21"/>
        </w:rPr>
        <w:t xml:space="preserve"> </w:t>
      </w:r>
    </w:p>
    <w:p w14:paraId="6B12F9A3" w14:textId="77777777" w:rsidR="00A71EEF" w:rsidRDefault="00A71EEF">
      <w:pPr>
        <w:pStyle w:val="a3"/>
        <w:rPr>
          <w:b/>
          <w:sz w:val="18"/>
        </w:rPr>
      </w:pPr>
    </w:p>
    <w:p w14:paraId="51FFCA24" w14:textId="77777777" w:rsidR="00A71EEF" w:rsidRDefault="0081115D">
      <w:pPr>
        <w:pStyle w:val="a4"/>
        <w:numPr>
          <w:ilvl w:val="2"/>
          <w:numId w:val="231"/>
        </w:numPr>
        <w:tabs>
          <w:tab w:val="left" w:pos="1530"/>
        </w:tabs>
        <w:ind w:hanging="690"/>
        <w:rPr>
          <w:sz w:val="21"/>
        </w:rPr>
      </w:pPr>
      <w:r>
        <w:rPr>
          <w:spacing w:val="-3"/>
          <w:sz w:val="21"/>
        </w:rPr>
        <w:t>消防给水及消火栓系统的施工必须由具有相应等级资质的施工队伍承担。</w:t>
      </w:r>
      <w:r>
        <w:rPr>
          <w:spacing w:val="-3"/>
          <w:sz w:val="21"/>
        </w:rPr>
        <w:t xml:space="preserve"> </w:t>
      </w:r>
    </w:p>
    <w:p w14:paraId="5CFA9E85" w14:textId="77777777" w:rsidR="00A71EEF" w:rsidRDefault="00A71EEF">
      <w:pPr>
        <w:pStyle w:val="a3"/>
        <w:spacing w:before="12"/>
        <w:rPr>
          <w:sz w:val="17"/>
        </w:rPr>
      </w:pPr>
    </w:p>
    <w:p w14:paraId="15A02D2F" w14:textId="77777777" w:rsidR="00A71EEF" w:rsidRDefault="0081115D">
      <w:pPr>
        <w:pStyle w:val="a4"/>
        <w:numPr>
          <w:ilvl w:val="2"/>
          <w:numId w:val="231"/>
        </w:numPr>
        <w:tabs>
          <w:tab w:val="left" w:pos="1530"/>
        </w:tabs>
        <w:spacing w:line="446" w:lineRule="auto"/>
        <w:ind w:left="418" w:right="1757" w:firstLine="422"/>
        <w:rPr>
          <w:sz w:val="21"/>
        </w:rPr>
      </w:pPr>
      <w:r>
        <w:rPr>
          <w:spacing w:val="-4"/>
          <w:sz w:val="21"/>
        </w:rPr>
        <w:t>消防给水及消火栓系统分部工程、子分部工程、分项工程，宜按本规范附录</w:t>
      </w:r>
      <w:r>
        <w:rPr>
          <w:spacing w:val="-4"/>
          <w:sz w:val="21"/>
        </w:rPr>
        <w:t xml:space="preserve"> </w:t>
      </w:r>
      <w:r>
        <w:rPr>
          <w:sz w:val="21"/>
        </w:rPr>
        <w:t>A</w:t>
      </w:r>
      <w:r>
        <w:rPr>
          <w:spacing w:val="-18"/>
          <w:sz w:val="21"/>
        </w:rPr>
        <w:t xml:space="preserve"> </w:t>
      </w:r>
      <w:r>
        <w:rPr>
          <w:spacing w:val="-18"/>
          <w:sz w:val="21"/>
        </w:rPr>
        <w:t>划</w:t>
      </w:r>
      <w:r>
        <w:rPr>
          <w:spacing w:val="-11"/>
          <w:sz w:val="21"/>
        </w:rPr>
        <w:t>分。</w:t>
      </w:r>
      <w:r>
        <w:rPr>
          <w:sz w:val="21"/>
        </w:rPr>
        <w:t xml:space="preserve"> </w:t>
      </w:r>
    </w:p>
    <w:p w14:paraId="3CF227E3" w14:textId="77777777" w:rsidR="00A71EEF" w:rsidRDefault="0081115D">
      <w:pPr>
        <w:pStyle w:val="a4"/>
        <w:numPr>
          <w:ilvl w:val="2"/>
          <w:numId w:val="231"/>
        </w:numPr>
        <w:tabs>
          <w:tab w:val="left" w:pos="1530"/>
        </w:tabs>
        <w:spacing w:before="1" w:line="446" w:lineRule="auto"/>
        <w:ind w:left="418" w:right="1549" w:firstLine="422"/>
        <w:rPr>
          <w:sz w:val="21"/>
        </w:rPr>
      </w:pPr>
      <w:r>
        <w:rPr>
          <w:spacing w:val="-3"/>
          <w:sz w:val="21"/>
        </w:rPr>
        <w:t>系统施工应按设计要求编制施工方案或施工组织设计。施工现场应具有相应的施工</w:t>
      </w:r>
      <w:r>
        <w:rPr>
          <w:spacing w:val="-5"/>
          <w:sz w:val="21"/>
        </w:rPr>
        <w:t>技术标准、施工质量管理体系和工程质量检验制度，并应按本规范附录</w:t>
      </w:r>
      <w:r>
        <w:rPr>
          <w:spacing w:val="-5"/>
          <w:sz w:val="21"/>
        </w:rPr>
        <w:t xml:space="preserve"> </w:t>
      </w:r>
      <w:r>
        <w:rPr>
          <w:sz w:val="21"/>
        </w:rPr>
        <w:t>B</w:t>
      </w:r>
      <w:r>
        <w:rPr>
          <w:spacing w:val="-8"/>
          <w:sz w:val="21"/>
        </w:rPr>
        <w:t xml:space="preserve"> </w:t>
      </w:r>
      <w:r>
        <w:rPr>
          <w:spacing w:val="-8"/>
          <w:sz w:val="21"/>
        </w:rPr>
        <w:t>的要求填写有关记</w:t>
      </w:r>
    </w:p>
    <w:p w14:paraId="30F0F1B4" w14:textId="77777777" w:rsidR="00A71EEF" w:rsidRDefault="00A71EEF">
      <w:pPr>
        <w:spacing w:line="446" w:lineRule="auto"/>
        <w:rPr>
          <w:sz w:val="21"/>
        </w:rPr>
        <w:sectPr w:rsidR="00A71EEF">
          <w:footerReference w:type="default" r:id="rId403"/>
          <w:pgSz w:w="11910" w:h="16850"/>
          <w:pgMar w:top="1220" w:right="0" w:bottom="1420" w:left="1260" w:header="0" w:footer="1239" w:gutter="0"/>
          <w:pgNumType w:start="1360"/>
          <w:cols w:space="720"/>
        </w:sectPr>
      </w:pPr>
    </w:p>
    <w:p w14:paraId="26754FBF" w14:textId="77777777" w:rsidR="00A71EEF" w:rsidRDefault="0081115D">
      <w:pPr>
        <w:pStyle w:val="a3"/>
        <w:spacing w:before="47"/>
        <w:ind w:left="418"/>
      </w:pPr>
      <w:r>
        <w:t>录。</w:t>
      </w:r>
      <w:r>
        <w:t xml:space="preserve"> </w:t>
      </w:r>
    </w:p>
    <w:p w14:paraId="7D81258E" w14:textId="77777777" w:rsidR="00A71EEF" w:rsidRDefault="00A71EEF">
      <w:pPr>
        <w:pStyle w:val="a3"/>
        <w:rPr>
          <w:sz w:val="18"/>
        </w:rPr>
      </w:pPr>
    </w:p>
    <w:p w14:paraId="5E8AAA40" w14:textId="77777777" w:rsidR="00A71EEF" w:rsidRDefault="0081115D">
      <w:pPr>
        <w:pStyle w:val="a4"/>
        <w:numPr>
          <w:ilvl w:val="2"/>
          <w:numId w:val="231"/>
        </w:numPr>
        <w:tabs>
          <w:tab w:val="left" w:pos="1530"/>
        </w:tabs>
        <w:spacing w:line="446" w:lineRule="auto"/>
        <w:ind w:left="838" w:right="4446" w:firstLine="2"/>
        <w:rPr>
          <w:sz w:val="21"/>
        </w:rPr>
      </w:pPr>
      <w:r>
        <w:rPr>
          <w:spacing w:val="-3"/>
          <w:sz w:val="21"/>
        </w:rPr>
        <w:t>消防给水及消火栓系统施工前应具备下列条件：</w:t>
      </w:r>
      <w:r>
        <w:rPr>
          <w:spacing w:val="-3"/>
          <w:sz w:val="21"/>
        </w:rPr>
        <w:t xml:space="preserve"> </w:t>
      </w:r>
      <w:r>
        <w:rPr>
          <w:spacing w:val="-3"/>
          <w:sz w:val="21"/>
        </w:rPr>
        <w:t>施工图应经国家相关机构审查审核批准或备案后再施工；</w:t>
      </w:r>
      <w:r>
        <w:rPr>
          <w:sz w:val="21"/>
        </w:rPr>
        <w:t xml:space="preserve"> </w:t>
      </w:r>
    </w:p>
    <w:p w14:paraId="08B24839" w14:textId="77777777" w:rsidR="00A71EEF" w:rsidRDefault="0081115D">
      <w:pPr>
        <w:pStyle w:val="a3"/>
        <w:spacing w:line="446" w:lineRule="auto"/>
        <w:ind w:left="418" w:right="1609" w:firstLine="419"/>
      </w:pPr>
      <w:r>
        <w:t>平面图、系统图（展开系统原理图）、详图等图纸及说明书、设备表、材料表等技术文件应齐全；</w:t>
      </w:r>
      <w:r>
        <w:t xml:space="preserve"> </w:t>
      </w:r>
    </w:p>
    <w:p w14:paraId="3A89668F" w14:textId="77777777" w:rsidR="00A71EEF" w:rsidRDefault="0081115D">
      <w:pPr>
        <w:pStyle w:val="a3"/>
        <w:spacing w:line="267" w:lineRule="exact"/>
        <w:ind w:left="838"/>
      </w:pPr>
      <w:r>
        <w:t>设计单位应向施工、建设、监理单位进行技术交底；</w:t>
      </w:r>
      <w:r>
        <w:t xml:space="preserve"> </w:t>
      </w:r>
    </w:p>
    <w:p w14:paraId="44304A19" w14:textId="77777777" w:rsidR="00A71EEF" w:rsidRDefault="00A71EEF">
      <w:pPr>
        <w:pStyle w:val="a3"/>
        <w:spacing w:before="2"/>
        <w:rPr>
          <w:sz w:val="18"/>
        </w:rPr>
      </w:pPr>
    </w:p>
    <w:p w14:paraId="0B978C3C" w14:textId="77777777" w:rsidR="00A71EEF" w:rsidRDefault="0081115D">
      <w:pPr>
        <w:pStyle w:val="a3"/>
        <w:spacing w:line="446" w:lineRule="auto"/>
        <w:ind w:left="838" w:right="2977"/>
      </w:pPr>
      <w:r>
        <w:rPr>
          <w:spacing w:val="-3"/>
        </w:rPr>
        <w:t>系统主要设备、组件、管材管件及其他设备、材料，应能保证正常施工；</w:t>
      </w:r>
      <w:r>
        <w:rPr>
          <w:spacing w:val="-3"/>
        </w:rPr>
        <w:t xml:space="preserve"> </w:t>
      </w:r>
      <w:r>
        <w:rPr>
          <w:spacing w:val="-3"/>
        </w:rPr>
        <w:t>施工现场及施工中使用的水、电、气应满足施工要求。</w:t>
      </w:r>
      <w:r>
        <w:t xml:space="preserve"> </w:t>
      </w:r>
    </w:p>
    <w:p w14:paraId="4FEB8388" w14:textId="77777777" w:rsidR="00A71EEF" w:rsidRDefault="0081115D">
      <w:pPr>
        <w:pStyle w:val="a4"/>
        <w:numPr>
          <w:ilvl w:val="2"/>
          <w:numId w:val="231"/>
        </w:numPr>
        <w:tabs>
          <w:tab w:val="left" w:pos="1530"/>
        </w:tabs>
        <w:spacing w:line="446" w:lineRule="auto"/>
        <w:ind w:left="418" w:right="1549" w:firstLine="422"/>
        <w:rPr>
          <w:sz w:val="21"/>
        </w:rPr>
      </w:pPr>
      <w:r>
        <w:rPr>
          <w:spacing w:val="-3"/>
          <w:sz w:val="21"/>
        </w:rPr>
        <w:t>消防给水及消火栓系统工程的施工，应按批准的工程设计文件和施工技术标准进行施工。</w:t>
      </w:r>
      <w:r>
        <w:rPr>
          <w:sz w:val="21"/>
        </w:rPr>
        <w:t xml:space="preserve"> </w:t>
      </w:r>
    </w:p>
    <w:p w14:paraId="1921D8EB" w14:textId="77777777" w:rsidR="00A71EEF" w:rsidRDefault="0081115D">
      <w:pPr>
        <w:pStyle w:val="a4"/>
        <w:numPr>
          <w:ilvl w:val="2"/>
          <w:numId w:val="231"/>
        </w:numPr>
        <w:tabs>
          <w:tab w:val="left" w:pos="1530"/>
        </w:tabs>
        <w:spacing w:line="446" w:lineRule="auto"/>
        <w:ind w:left="838" w:right="2494" w:firstLine="2"/>
        <w:rPr>
          <w:sz w:val="21"/>
        </w:rPr>
      </w:pPr>
      <w:r>
        <w:rPr>
          <w:spacing w:val="-3"/>
          <w:sz w:val="21"/>
        </w:rPr>
        <w:t>消防给水及消火栓系统工程的施工过程质量控制，应按下列规定进行：</w:t>
      </w:r>
      <w:r>
        <w:rPr>
          <w:spacing w:val="-3"/>
          <w:sz w:val="21"/>
        </w:rPr>
        <w:t xml:space="preserve"> </w:t>
      </w:r>
      <w:r>
        <w:rPr>
          <w:spacing w:val="-3"/>
          <w:sz w:val="21"/>
        </w:rPr>
        <w:t>应校对审核图纸复核是否同施工现场一致；</w:t>
      </w:r>
      <w:r>
        <w:rPr>
          <w:sz w:val="21"/>
        </w:rPr>
        <w:t xml:space="preserve"> </w:t>
      </w:r>
    </w:p>
    <w:p w14:paraId="428B610C" w14:textId="77777777" w:rsidR="00A71EEF" w:rsidRDefault="0081115D">
      <w:pPr>
        <w:pStyle w:val="a3"/>
        <w:spacing w:line="446" w:lineRule="auto"/>
        <w:ind w:left="418" w:right="1609" w:firstLine="419"/>
      </w:pPr>
      <w:r>
        <w:t>各工序应按施工技术标准进行质量控制，每道工序完成后，应进行检查，并应检查合格后再进行下道工序；</w:t>
      </w:r>
      <w:r>
        <w:t xml:space="preserve"> </w:t>
      </w:r>
    </w:p>
    <w:p w14:paraId="7816F39B" w14:textId="77777777" w:rsidR="00A71EEF" w:rsidRDefault="0081115D">
      <w:pPr>
        <w:pStyle w:val="a3"/>
        <w:spacing w:line="446" w:lineRule="auto"/>
        <w:ind w:left="838" w:right="2134"/>
      </w:pPr>
      <w:r>
        <w:rPr>
          <w:spacing w:val="-3"/>
        </w:rPr>
        <w:t>相关各专业工种之间应进行交接检验，并应经监理工程师签证后再进行下道工序；</w:t>
      </w:r>
      <w:r>
        <w:rPr>
          <w:spacing w:val="-3"/>
        </w:rPr>
        <w:t xml:space="preserve"> </w:t>
      </w:r>
      <w:r>
        <w:rPr>
          <w:spacing w:val="-3"/>
        </w:rPr>
        <w:t>安装工程完工后，施工单位应按相关专</w:t>
      </w:r>
      <w:r>
        <w:rPr>
          <w:spacing w:val="-3"/>
        </w:rPr>
        <w:t>业调试规定进行调试；</w:t>
      </w:r>
      <w:r>
        <w:t xml:space="preserve"> </w:t>
      </w:r>
    </w:p>
    <w:p w14:paraId="238C70E1" w14:textId="77777777" w:rsidR="00A71EEF" w:rsidRDefault="0081115D">
      <w:pPr>
        <w:pStyle w:val="a3"/>
        <w:spacing w:line="446" w:lineRule="auto"/>
        <w:ind w:left="838" w:right="1714"/>
      </w:pPr>
      <w:r>
        <w:rPr>
          <w:spacing w:val="-3"/>
        </w:rPr>
        <w:t>调试完工后，施工单位应向建设单位提供质量控制资料和各类施工过程质量检查记录；</w:t>
      </w:r>
      <w:r>
        <w:rPr>
          <w:spacing w:val="-3"/>
        </w:rPr>
        <w:t xml:space="preserve"> </w:t>
      </w:r>
      <w:r>
        <w:rPr>
          <w:spacing w:val="-3"/>
        </w:rPr>
        <w:t>施工过程质量检查组织应由监理工程师组织施工单位人员组成；</w:t>
      </w:r>
      <w:r>
        <w:t xml:space="preserve"> </w:t>
      </w:r>
    </w:p>
    <w:p w14:paraId="5DD32D0C" w14:textId="77777777" w:rsidR="00A71EEF" w:rsidRDefault="0081115D">
      <w:pPr>
        <w:pStyle w:val="a3"/>
        <w:ind w:left="838"/>
      </w:pPr>
      <w:r>
        <w:t>施工过程质量检查记录应按本规范表</w:t>
      </w:r>
      <w:r>
        <w:t xml:space="preserve"> C.0.1 </w:t>
      </w:r>
      <w:r>
        <w:t>的要求填写。</w:t>
      </w:r>
      <w:r>
        <w:t xml:space="preserve"> </w:t>
      </w:r>
    </w:p>
    <w:p w14:paraId="0973FFE0" w14:textId="77777777" w:rsidR="00A71EEF" w:rsidRDefault="00A71EEF">
      <w:pPr>
        <w:pStyle w:val="a3"/>
        <w:spacing w:before="8"/>
        <w:rPr>
          <w:sz w:val="17"/>
        </w:rPr>
      </w:pPr>
    </w:p>
    <w:p w14:paraId="422BF809" w14:textId="77777777" w:rsidR="00A71EEF" w:rsidRDefault="0081115D">
      <w:pPr>
        <w:pStyle w:val="a4"/>
        <w:numPr>
          <w:ilvl w:val="2"/>
          <w:numId w:val="231"/>
        </w:numPr>
        <w:tabs>
          <w:tab w:val="left" w:pos="1530"/>
        </w:tabs>
        <w:ind w:hanging="690"/>
        <w:rPr>
          <w:sz w:val="21"/>
        </w:rPr>
      </w:pPr>
      <w:r>
        <w:rPr>
          <w:spacing w:val="-6"/>
          <w:sz w:val="21"/>
        </w:rPr>
        <w:t>消防给水及消火栓系统质量控制资料应按本规范附录</w:t>
      </w:r>
      <w:r>
        <w:rPr>
          <w:spacing w:val="-6"/>
          <w:sz w:val="21"/>
        </w:rPr>
        <w:t xml:space="preserve"> </w:t>
      </w:r>
      <w:r>
        <w:rPr>
          <w:sz w:val="21"/>
        </w:rPr>
        <w:t>D</w:t>
      </w:r>
      <w:r>
        <w:rPr>
          <w:spacing w:val="-10"/>
          <w:sz w:val="21"/>
        </w:rPr>
        <w:t xml:space="preserve"> </w:t>
      </w:r>
      <w:r>
        <w:rPr>
          <w:spacing w:val="-10"/>
          <w:sz w:val="21"/>
        </w:rPr>
        <w:t>的要求填写。</w:t>
      </w:r>
      <w:r>
        <w:rPr>
          <w:spacing w:val="-10"/>
          <w:sz w:val="21"/>
        </w:rPr>
        <w:t xml:space="preserve"> </w:t>
      </w:r>
    </w:p>
    <w:p w14:paraId="2BD74BEF" w14:textId="77777777" w:rsidR="00A71EEF" w:rsidRDefault="00A71EEF">
      <w:pPr>
        <w:pStyle w:val="a3"/>
        <w:rPr>
          <w:sz w:val="18"/>
        </w:rPr>
      </w:pPr>
    </w:p>
    <w:p w14:paraId="7D88E16B" w14:textId="77777777" w:rsidR="00A71EEF" w:rsidRDefault="0081115D">
      <w:pPr>
        <w:pStyle w:val="a4"/>
        <w:numPr>
          <w:ilvl w:val="2"/>
          <w:numId w:val="231"/>
        </w:numPr>
        <w:tabs>
          <w:tab w:val="left" w:pos="1530"/>
        </w:tabs>
        <w:spacing w:line="446" w:lineRule="auto"/>
        <w:ind w:left="418" w:right="1549" w:firstLine="422"/>
        <w:rPr>
          <w:sz w:val="21"/>
        </w:rPr>
      </w:pPr>
      <w:r>
        <w:rPr>
          <w:spacing w:val="-3"/>
          <w:sz w:val="21"/>
        </w:rPr>
        <w:t>分部工程质量验收应由建设单位组织施工、监理和设计等单位相关人员进行，并应</w:t>
      </w:r>
      <w:r>
        <w:rPr>
          <w:spacing w:val="6"/>
          <w:sz w:val="21"/>
        </w:rPr>
        <w:t>按本规范附录</w:t>
      </w:r>
      <w:r>
        <w:rPr>
          <w:sz w:val="21"/>
        </w:rPr>
        <w:t>E</w:t>
      </w:r>
      <w:r>
        <w:rPr>
          <w:spacing w:val="-9"/>
          <w:sz w:val="21"/>
        </w:rPr>
        <w:t xml:space="preserve"> </w:t>
      </w:r>
      <w:r>
        <w:rPr>
          <w:spacing w:val="-9"/>
          <w:sz w:val="21"/>
        </w:rPr>
        <w:t>的要求填写消防给水及消火栓系统工程验收记录。</w:t>
      </w:r>
      <w:r>
        <w:rPr>
          <w:sz w:val="21"/>
        </w:rPr>
        <w:t xml:space="preserve"> </w:t>
      </w:r>
    </w:p>
    <w:p w14:paraId="073CBEA9" w14:textId="77777777" w:rsidR="00A71EEF" w:rsidRDefault="0081115D">
      <w:pPr>
        <w:pStyle w:val="a4"/>
        <w:numPr>
          <w:ilvl w:val="2"/>
          <w:numId w:val="231"/>
        </w:numPr>
        <w:tabs>
          <w:tab w:val="left" w:pos="1530"/>
        </w:tabs>
        <w:spacing w:line="446" w:lineRule="auto"/>
        <w:ind w:left="418" w:right="1448" w:firstLine="422"/>
        <w:rPr>
          <w:sz w:val="21"/>
        </w:rPr>
      </w:pPr>
      <w:r>
        <w:rPr>
          <w:spacing w:val="-5"/>
          <w:sz w:val="21"/>
        </w:rPr>
        <w:t>当建筑物仅设有消防软管卷盘或轻便水龙和</w:t>
      </w:r>
      <w:r>
        <w:rPr>
          <w:spacing w:val="-5"/>
          <w:sz w:val="21"/>
        </w:rPr>
        <w:t xml:space="preserve"> </w:t>
      </w:r>
      <w:r>
        <w:rPr>
          <w:sz w:val="21"/>
        </w:rPr>
        <w:t>DN25</w:t>
      </w:r>
      <w:r>
        <w:rPr>
          <w:spacing w:val="-8"/>
          <w:sz w:val="21"/>
        </w:rPr>
        <w:t xml:space="preserve"> </w:t>
      </w:r>
      <w:r>
        <w:rPr>
          <w:spacing w:val="-8"/>
          <w:sz w:val="21"/>
        </w:rPr>
        <w:t>消火栓时，其施工验收维护管理等</w:t>
      </w:r>
      <w:r>
        <w:rPr>
          <w:spacing w:val="-5"/>
          <w:sz w:val="21"/>
        </w:rPr>
        <w:t>应符合现行国家标准《建筑给水排水及采暖工程施工及验收规范》</w:t>
      </w:r>
      <w:r>
        <w:rPr>
          <w:sz w:val="21"/>
        </w:rPr>
        <w:t>GB</w:t>
      </w:r>
      <w:r>
        <w:rPr>
          <w:spacing w:val="6"/>
          <w:sz w:val="21"/>
        </w:rPr>
        <w:t xml:space="preserve"> </w:t>
      </w:r>
      <w:r>
        <w:rPr>
          <w:sz w:val="21"/>
        </w:rPr>
        <w:t>50242</w:t>
      </w:r>
      <w:r>
        <w:rPr>
          <w:spacing w:val="-10"/>
          <w:sz w:val="21"/>
        </w:rPr>
        <w:t xml:space="preserve"> </w:t>
      </w:r>
      <w:r>
        <w:rPr>
          <w:spacing w:val="-10"/>
          <w:sz w:val="21"/>
        </w:rPr>
        <w:t>的有关规定。</w:t>
      </w:r>
      <w:r>
        <w:rPr>
          <w:spacing w:val="-10"/>
          <w:sz w:val="21"/>
        </w:rPr>
        <w:t xml:space="preserve"> </w:t>
      </w:r>
    </w:p>
    <w:p w14:paraId="406B0561" w14:textId="77777777" w:rsidR="00A71EEF" w:rsidRDefault="0081115D">
      <w:pPr>
        <w:pStyle w:val="a4"/>
        <w:numPr>
          <w:ilvl w:val="1"/>
          <w:numId w:val="231"/>
        </w:numPr>
        <w:tabs>
          <w:tab w:val="left" w:pos="1264"/>
        </w:tabs>
        <w:ind w:left="1263" w:hanging="424"/>
        <w:rPr>
          <w:b/>
          <w:sz w:val="21"/>
        </w:rPr>
      </w:pPr>
      <w:r>
        <w:rPr>
          <w:spacing w:val="-3"/>
          <w:sz w:val="21"/>
        </w:rPr>
        <w:t>进场检验</w:t>
      </w:r>
      <w:r>
        <w:rPr>
          <w:b/>
          <w:w w:val="99"/>
          <w:sz w:val="21"/>
        </w:rPr>
        <w:t xml:space="preserve"> </w:t>
      </w:r>
    </w:p>
    <w:p w14:paraId="64BA259D" w14:textId="77777777" w:rsidR="00A71EEF" w:rsidRDefault="00A71EEF">
      <w:pPr>
        <w:pStyle w:val="a3"/>
        <w:spacing w:before="12"/>
        <w:rPr>
          <w:b/>
          <w:sz w:val="17"/>
        </w:rPr>
      </w:pPr>
    </w:p>
    <w:p w14:paraId="5441EDE5" w14:textId="77777777" w:rsidR="00A71EEF" w:rsidRDefault="0081115D">
      <w:pPr>
        <w:pStyle w:val="a4"/>
        <w:numPr>
          <w:ilvl w:val="2"/>
          <w:numId w:val="231"/>
        </w:numPr>
        <w:tabs>
          <w:tab w:val="left" w:pos="1530"/>
        </w:tabs>
        <w:spacing w:line="446" w:lineRule="auto"/>
        <w:ind w:left="418" w:right="1549" w:firstLine="422"/>
        <w:rPr>
          <w:sz w:val="21"/>
        </w:rPr>
      </w:pPr>
      <w:r>
        <w:rPr>
          <w:spacing w:val="-3"/>
          <w:sz w:val="21"/>
        </w:rPr>
        <w:t>消防给水及消火栓系统施工前应对采用的主要设备、系统组件、管材管件及其他设备、材料进行进场检查，并应符合下列要求：</w:t>
      </w:r>
      <w:r>
        <w:rPr>
          <w:sz w:val="21"/>
        </w:rPr>
        <w:t xml:space="preserve"> </w:t>
      </w:r>
    </w:p>
    <w:p w14:paraId="00505FAF" w14:textId="77777777" w:rsidR="00A71EEF" w:rsidRDefault="0081115D">
      <w:pPr>
        <w:pStyle w:val="a3"/>
        <w:ind w:left="838"/>
      </w:pPr>
      <w:r>
        <w:t>主要设备、系统组件、管材管件及其他设备、材料，应符合国家现行相关产品标准的规</w:t>
      </w:r>
    </w:p>
    <w:p w14:paraId="267368DC" w14:textId="77777777" w:rsidR="00A71EEF" w:rsidRDefault="00A71EEF">
      <w:pPr>
        <w:sectPr w:rsidR="00A71EEF">
          <w:pgSz w:w="11910" w:h="16850"/>
          <w:pgMar w:top="1220" w:right="0" w:bottom="1420" w:left="1260" w:header="0" w:footer="1239" w:gutter="0"/>
          <w:cols w:space="720"/>
        </w:sectPr>
      </w:pPr>
    </w:p>
    <w:p w14:paraId="348A80D0" w14:textId="77777777" w:rsidR="00A71EEF" w:rsidRDefault="0081115D">
      <w:pPr>
        <w:pStyle w:val="a3"/>
        <w:spacing w:before="47"/>
        <w:ind w:left="418"/>
      </w:pPr>
      <w:r>
        <w:t>定，并应具有出厂合格证或质量认证书；</w:t>
      </w:r>
      <w:r>
        <w:t xml:space="preserve"> </w:t>
      </w:r>
    </w:p>
    <w:p w14:paraId="407C78F7" w14:textId="77777777" w:rsidR="00A71EEF" w:rsidRDefault="00A71EEF">
      <w:pPr>
        <w:pStyle w:val="a3"/>
        <w:rPr>
          <w:sz w:val="18"/>
        </w:rPr>
      </w:pPr>
    </w:p>
    <w:p w14:paraId="02396790" w14:textId="77777777" w:rsidR="00A71EEF" w:rsidRDefault="0081115D">
      <w:pPr>
        <w:pStyle w:val="a3"/>
        <w:ind w:left="838"/>
      </w:pPr>
      <w:r>
        <w:t>消防水泵、消火栓、消防水带、消防水枪、消防软管卷盘或轻便水龙、报警阀组、电动</w:t>
      </w:r>
    </w:p>
    <w:p w14:paraId="6F46ABE4" w14:textId="77777777" w:rsidR="00A71EEF" w:rsidRDefault="00A71EEF">
      <w:pPr>
        <w:pStyle w:val="a3"/>
        <w:rPr>
          <w:sz w:val="18"/>
        </w:rPr>
      </w:pPr>
    </w:p>
    <w:p w14:paraId="053D4CF5" w14:textId="77777777" w:rsidR="00A71EEF" w:rsidRDefault="0081115D">
      <w:pPr>
        <w:pStyle w:val="a3"/>
        <w:spacing w:line="446" w:lineRule="auto"/>
        <w:ind w:left="418" w:right="1505"/>
      </w:pPr>
      <w:r>
        <w:t>（磁）</w:t>
      </w:r>
      <w:r>
        <w:t xml:space="preserve"> </w:t>
      </w:r>
      <w:r>
        <w:t>阀、压力开关、流量开关、消防水泵接合器、沟槽连接件等系统主要设备和组件，应经国家消防产品质量监督检验中心检测合格；</w:t>
      </w:r>
      <w:r>
        <w:t xml:space="preserve"> </w:t>
      </w:r>
    </w:p>
    <w:p w14:paraId="1BBE189D" w14:textId="77777777" w:rsidR="00A71EEF" w:rsidRDefault="0081115D">
      <w:pPr>
        <w:pStyle w:val="a3"/>
        <w:spacing w:line="446" w:lineRule="auto"/>
        <w:ind w:left="418" w:right="1608" w:firstLine="419"/>
        <w:jc w:val="both"/>
      </w:pPr>
      <w:r>
        <w:t>稳压泵、气压水罐、消防水箱、自动排气阀、信号阀、止回阀、安全阀、减压阀、倒流防止器、蝶阀、闸阀、流量计、压力表、水位计等，应经相应国家产品质量监督检验中心检测合格；</w:t>
      </w:r>
      <w:r>
        <w:t xml:space="preserve"> </w:t>
      </w:r>
    </w:p>
    <w:p w14:paraId="66C30F0E" w14:textId="77777777" w:rsidR="00A71EEF" w:rsidRDefault="0081115D">
      <w:pPr>
        <w:pStyle w:val="a3"/>
        <w:spacing w:line="446" w:lineRule="auto"/>
        <w:ind w:left="418" w:right="1609" w:firstLine="419"/>
      </w:pPr>
      <w:r>
        <w:t>气压水罐、组合式消防水池、屋顶消防水箱、地下水取水和地表水取水设施，以及其附件等，应符合国家现行相关产品标准的规定。</w:t>
      </w:r>
      <w:r>
        <w:t xml:space="preserve"> </w:t>
      </w:r>
    </w:p>
    <w:p w14:paraId="64258BFD" w14:textId="77777777" w:rsidR="00A71EEF" w:rsidRDefault="0081115D">
      <w:pPr>
        <w:pStyle w:val="a3"/>
        <w:ind w:left="838"/>
      </w:pPr>
      <w:r>
        <w:t>检查数量：全数检查。</w:t>
      </w:r>
      <w:r>
        <w:t xml:space="preserve"> </w:t>
      </w:r>
    </w:p>
    <w:p w14:paraId="0F784513" w14:textId="77777777" w:rsidR="00A71EEF" w:rsidRDefault="00A71EEF">
      <w:pPr>
        <w:pStyle w:val="a3"/>
        <w:spacing w:before="11"/>
        <w:rPr>
          <w:sz w:val="17"/>
        </w:rPr>
      </w:pPr>
    </w:p>
    <w:p w14:paraId="13FEAD6A" w14:textId="77777777" w:rsidR="00A71EEF" w:rsidRDefault="0081115D">
      <w:pPr>
        <w:pStyle w:val="a3"/>
        <w:ind w:left="838"/>
      </w:pPr>
      <w:r>
        <w:t>检查方法：检查相关资料。</w:t>
      </w:r>
      <w:r>
        <w:t xml:space="preserve"> </w:t>
      </w:r>
    </w:p>
    <w:p w14:paraId="2C4F883C" w14:textId="77777777" w:rsidR="00A71EEF" w:rsidRDefault="00A71EEF">
      <w:pPr>
        <w:pStyle w:val="a3"/>
        <w:spacing w:before="12"/>
        <w:rPr>
          <w:sz w:val="17"/>
        </w:rPr>
      </w:pPr>
    </w:p>
    <w:p w14:paraId="022A3FA4" w14:textId="77777777" w:rsidR="00A71EEF" w:rsidRDefault="0081115D">
      <w:pPr>
        <w:pStyle w:val="a4"/>
        <w:numPr>
          <w:ilvl w:val="2"/>
          <w:numId w:val="231"/>
        </w:numPr>
        <w:tabs>
          <w:tab w:val="left" w:pos="1530"/>
        </w:tabs>
        <w:ind w:hanging="690"/>
        <w:rPr>
          <w:sz w:val="21"/>
        </w:rPr>
      </w:pPr>
      <w:r>
        <w:rPr>
          <w:spacing w:val="-3"/>
          <w:sz w:val="21"/>
        </w:rPr>
        <w:t>消防水泵和稳压泵的检验应符合下列要求：</w:t>
      </w:r>
      <w:r>
        <w:rPr>
          <w:sz w:val="21"/>
        </w:rPr>
        <w:t xml:space="preserve"> </w:t>
      </w:r>
    </w:p>
    <w:p w14:paraId="29D821E3" w14:textId="77777777" w:rsidR="00A71EEF" w:rsidRDefault="00A71EEF">
      <w:pPr>
        <w:pStyle w:val="a3"/>
        <w:spacing w:before="2"/>
        <w:rPr>
          <w:sz w:val="18"/>
        </w:rPr>
      </w:pPr>
    </w:p>
    <w:p w14:paraId="6398DADB" w14:textId="77777777" w:rsidR="00A71EEF" w:rsidRDefault="0081115D">
      <w:pPr>
        <w:pStyle w:val="a3"/>
        <w:ind w:left="838"/>
      </w:pPr>
      <w:r>
        <w:t>消防水泵和稳压泵的流量、压力和电机功率应满足设计要求；</w:t>
      </w:r>
      <w:r>
        <w:t xml:space="preserve"> </w:t>
      </w:r>
    </w:p>
    <w:p w14:paraId="7A10E8C9" w14:textId="77777777" w:rsidR="00A71EEF" w:rsidRDefault="00A71EEF">
      <w:pPr>
        <w:pStyle w:val="a3"/>
        <w:rPr>
          <w:sz w:val="18"/>
        </w:rPr>
      </w:pPr>
    </w:p>
    <w:p w14:paraId="75BF5011" w14:textId="77777777" w:rsidR="00A71EEF" w:rsidRDefault="0081115D">
      <w:pPr>
        <w:pStyle w:val="a3"/>
        <w:ind w:left="838"/>
      </w:pPr>
      <w:r>
        <w:t>消防水泵产品质量应符合现行国家标准《消防泵》</w:t>
      </w:r>
      <w:r>
        <w:t>GB 6245</w:t>
      </w:r>
      <w:r>
        <w:t>、《离心泵技术条件（</w:t>
      </w:r>
      <w:r>
        <w:t>Ⅰ</w:t>
      </w:r>
      <w:r>
        <w:t>）类》</w:t>
      </w:r>
    </w:p>
    <w:p w14:paraId="476F8F7E" w14:textId="77777777" w:rsidR="00A71EEF" w:rsidRDefault="00A71EEF">
      <w:pPr>
        <w:pStyle w:val="a3"/>
        <w:rPr>
          <w:sz w:val="18"/>
        </w:rPr>
      </w:pPr>
    </w:p>
    <w:p w14:paraId="1DE09D3B" w14:textId="77777777" w:rsidR="00A71EEF" w:rsidRDefault="0081115D">
      <w:pPr>
        <w:pStyle w:val="a3"/>
        <w:ind w:left="418"/>
      </w:pPr>
      <w:r>
        <w:t xml:space="preserve">GB/T 16907 </w:t>
      </w:r>
      <w:r>
        <w:t>或《离心泵技术条件（</w:t>
      </w:r>
      <w:r>
        <w:t>Ⅱ</w:t>
      </w:r>
      <w:r>
        <w:t>类）》</w:t>
      </w:r>
      <w:r>
        <w:t xml:space="preserve">GB /T 5656 </w:t>
      </w:r>
      <w:r>
        <w:t>的有关规定；</w:t>
      </w:r>
      <w:r>
        <w:t xml:space="preserve"> </w:t>
      </w:r>
    </w:p>
    <w:p w14:paraId="4CFCACB6" w14:textId="77777777" w:rsidR="00A71EEF" w:rsidRDefault="00A71EEF">
      <w:pPr>
        <w:pStyle w:val="a3"/>
        <w:spacing w:before="1"/>
        <w:rPr>
          <w:sz w:val="18"/>
        </w:rPr>
      </w:pPr>
    </w:p>
    <w:p w14:paraId="147A9883" w14:textId="77777777" w:rsidR="00A71EEF" w:rsidRDefault="0081115D">
      <w:pPr>
        <w:pStyle w:val="a3"/>
        <w:spacing w:before="1" w:line="446" w:lineRule="auto"/>
        <w:ind w:left="418" w:right="1819" w:firstLine="419"/>
      </w:pPr>
      <w:r>
        <w:t>稳压泵产品质量应符合现行国家标准《离心泵技术条件（</w:t>
      </w:r>
      <w:r>
        <w:t>Ⅱ</w:t>
      </w:r>
      <w:r>
        <w:t>类）》</w:t>
      </w:r>
      <w:r>
        <w:t xml:space="preserve">GB/T 5656 </w:t>
      </w:r>
      <w:r>
        <w:t>的有关规定；</w:t>
      </w:r>
      <w:r>
        <w:t xml:space="preserve"> </w:t>
      </w:r>
    </w:p>
    <w:p w14:paraId="3E399DA0" w14:textId="77777777" w:rsidR="00A71EEF" w:rsidRDefault="0081115D">
      <w:pPr>
        <w:pStyle w:val="a3"/>
        <w:spacing w:line="446" w:lineRule="auto"/>
        <w:ind w:left="838" w:right="3606"/>
      </w:pPr>
      <w:r>
        <w:t>消防水泵和稳压泵的电机功率应满足水泵全性能曲线运行的要求；</w:t>
      </w:r>
      <w:r>
        <w:t xml:space="preserve"> </w:t>
      </w:r>
      <w:r>
        <w:t>泵及电机的外观表面不应有碰损，轴心不应有偏心。</w:t>
      </w:r>
      <w:r>
        <w:t xml:space="preserve"> </w:t>
      </w:r>
    </w:p>
    <w:p w14:paraId="4360DA44" w14:textId="77777777" w:rsidR="00A71EEF" w:rsidRDefault="0081115D">
      <w:pPr>
        <w:pStyle w:val="a3"/>
        <w:ind w:left="838"/>
      </w:pPr>
      <w:r>
        <w:t>检查数量：全数检查。</w:t>
      </w:r>
      <w:r>
        <w:t xml:space="preserve"> </w:t>
      </w:r>
    </w:p>
    <w:p w14:paraId="75A2460E" w14:textId="77777777" w:rsidR="00A71EEF" w:rsidRDefault="00A71EEF">
      <w:pPr>
        <w:pStyle w:val="a3"/>
        <w:spacing w:before="10"/>
        <w:rPr>
          <w:sz w:val="17"/>
        </w:rPr>
      </w:pPr>
    </w:p>
    <w:p w14:paraId="6D6681BE" w14:textId="77777777" w:rsidR="00A71EEF" w:rsidRDefault="0081115D">
      <w:pPr>
        <w:pStyle w:val="a3"/>
        <w:ind w:left="838"/>
      </w:pPr>
      <w:r>
        <w:t>检查方法：直观检查和查验认证文件。</w:t>
      </w:r>
      <w:r>
        <w:t xml:space="preserve"> </w:t>
      </w:r>
    </w:p>
    <w:p w14:paraId="108C3D34" w14:textId="77777777" w:rsidR="00A71EEF" w:rsidRDefault="00A71EEF">
      <w:pPr>
        <w:pStyle w:val="a3"/>
        <w:spacing w:before="2"/>
        <w:rPr>
          <w:sz w:val="18"/>
        </w:rPr>
      </w:pPr>
    </w:p>
    <w:p w14:paraId="6F14AC02" w14:textId="77777777" w:rsidR="00A71EEF" w:rsidRDefault="0081115D">
      <w:pPr>
        <w:pStyle w:val="a4"/>
        <w:numPr>
          <w:ilvl w:val="2"/>
          <w:numId w:val="231"/>
        </w:numPr>
        <w:tabs>
          <w:tab w:val="left" w:pos="1530"/>
        </w:tabs>
        <w:ind w:hanging="690"/>
        <w:rPr>
          <w:sz w:val="21"/>
        </w:rPr>
      </w:pPr>
      <w:r>
        <w:rPr>
          <w:spacing w:val="-3"/>
          <w:sz w:val="21"/>
        </w:rPr>
        <w:t>消火栓的现场检验应符合下列要求：</w:t>
      </w:r>
      <w:r>
        <w:rPr>
          <w:sz w:val="21"/>
        </w:rPr>
        <w:t xml:space="preserve"> </w:t>
      </w:r>
    </w:p>
    <w:p w14:paraId="0717CACE" w14:textId="77777777" w:rsidR="00A71EEF" w:rsidRDefault="00A71EEF">
      <w:pPr>
        <w:pStyle w:val="a3"/>
        <w:spacing w:before="12"/>
        <w:rPr>
          <w:sz w:val="17"/>
        </w:rPr>
      </w:pPr>
    </w:p>
    <w:p w14:paraId="36CC00E7" w14:textId="77777777" w:rsidR="00A71EEF" w:rsidRDefault="0081115D">
      <w:pPr>
        <w:pStyle w:val="a3"/>
        <w:spacing w:line="446" w:lineRule="auto"/>
        <w:ind w:left="838" w:right="2612"/>
      </w:pPr>
      <w:r>
        <w:rPr>
          <w:spacing w:val="-3"/>
        </w:rPr>
        <w:t>室外消火栓应符合现行国家标准《室外消火栓》</w:t>
      </w:r>
      <w:r>
        <w:t>GB</w:t>
      </w:r>
      <w:r>
        <w:rPr>
          <w:spacing w:val="11"/>
        </w:rPr>
        <w:t xml:space="preserve"> </w:t>
      </w:r>
      <w:r>
        <w:t>4452</w:t>
      </w:r>
      <w:r>
        <w:rPr>
          <w:spacing w:val="-8"/>
        </w:rPr>
        <w:t xml:space="preserve"> </w:t>
      </w:r>
      <w:r>
        <w:rPr>
          <w:spacing w:val="-8"/>
        </w:rPr>
        <w:t>的性能和质量要求；</w:t>
      </w:r>
      <w:r>
        <w:rPr>
          <w:spacing w:val="-8"/>
        </w:rPr>
        <w:t xml:space="preserve"> </w:t>
      </w:r>
      <w:r>
        <w:rPr>
          <w:spacing w:val="-3"/>
        </w:rPr>
        <w:t>室内消火栓应符合现行国家标准《室内消火栓》</w:t>
      </w:r>
      <w:r>
        <w:t>GB</w:t>
      </w:r>
      <w:r>
        <w:rPr>
          <w:spacing w:val="11"/>
        </w:rPr>
        <w:t xml:space="preserve"> </w:t>
      </w:r>
      <w:r>
        <w:t>3445</w:t>
      </w:r>
      <w:r>
        <w:rPr>
          <w:spacing w:val="-8"/>
        </w:rPr>
        <w:t xml:space="preserve"> </w:t>
      </w:r>
      <w:r>
        <w:rPr>
          <w:spacing w:val="-8"/>
        </w:rPr>
        <w:t>的性能和质量要求；</w:t>
      </w:r>
      <w:r>
        <w:rPr>
          <w:spacing w:val="-8"/>
        </w:rPr>
        <w:t xml:space="preserve"> </w:t>
      </w:r>
      <w:r>
        <w:rPr>
          <w:spacing w:val="-3"/>
        </w:rPr>
        <w:t>消防水带应符合现行国家标准《消防水带》</w:t>
      </w:r>
      <w:r>
        <w:t>GB</w:t>
      </w:r>
      <w:r>
        <w:rPr>
          <w:spacing w:val="37"/>
        </w:rPr>
        <w:t xml:space="preserve">  </w:t>
      </w:r>
      <w:r>
        <w:t>6246</w:t>
      </w:r>
      <w:r>
        <w:rPr>
          <w:spacing w:val="-2"/>
        </w:rPr>
        <w:t xml:space="preserve">  </w:t>
      </w:r>
      <w:r>
        <w:rPr>
          <w:spacing w:val="-2"/>
        </w:rPr>
        <w:t>的性能和质量要求；</w:t>
      </w:r>
      <w:r>
        <w:rPr>
          <w:spacing w:val="-2"/>
        </w:rPr>
        <w:t xml:space="preserve"> </w:t>
      </w:r>
      <w:r>
        <w:rPr>
          <w:spacing w:val="-3"/>
        </w:rPr>
        <w:t>消防水枪应符合现行国家标准《消防水枪》</w:t>
      </w:r>
      <w:r>
        <w:t>GB</w:t>
      </w:r>
      <w:r>
        <w:rPr>
          <w:spacing w:val="5"/>
        </w:rPr>
        <w:t xml:space="preserve"> </w:t>
      </w:r>
      <w:r>
        <w:t>8181</w:t>
      </w:r>
      <w:r>
        <w:rPr>
          <w:spacing w:val="-8"/>
        </w:rPr>
        <w:t xml:space="preserve"> </w:t>
      </w:r>
      <w:r>
        <w:rPr>
          <w:spacing w:val="-8"/>
        </w:rPr>
        <w:t>的性能和质量要求；</w:t>
      </w:r>
      <w:r>
        <w:t xml:space="preserve"> </w:t>
      </w:r>
    </w:p>
    <w:p w14:paraId="4B4B5D02" w14:textId="77777777" w:rsidR="00A71EEF" w:rsidRDefault="0081115D">
      <w:pPr>
        <w:pStyle w:val="a3"/>
        <w:spacing w:line="267" w:lineRule="exact"/>
        <w:ind w:left="838"/>
      </w:pPr>
      <w:r>
        <w:t>消火栓、消防水带、消防水枪的商标、制造厂等标志应齐全；</w:t>
      </w:r>
      <w:r>
        <w:t xml:space="preserve"> </w:t>
      </w:r>
    </w:p>
    <w:p w14:paraId="253BED52" w14:textId="77777777" w:rsidR="00A71EEF" w:rsidRDefault="00A71EEF">
      <w:pPr>
        <w:pStyle w:val="a3"/>
        <w:spacing w:before="2"/>
        <w:rPr>
          <w:sz w:val="18"/>
        </w:rPr>
      </w:pPr>
    </w:p>
    <w:p w14:paraId="070C233B" w14:textId="77777777" w:rsidR="00A71EEF" w:rsidRDefault="0081115D">
      <w:pPr>
        <w:pStyle w:val="a3"/>
        <w:ind w:left="838"/>
      </w:pPr>
      <w:r>
        <w:t>消火栓、消防水带、消防水枪的型号、规格等技术参数应符合设计要求；</w:t>
      </w:r>
      <w:r>
        <w:t xml:space="preserve"> </w:t>
      </w:r>
    </w:p>
    <w:p w14:paraId="77B04A00" w14:textId="77777777" w:rsidR="00A71EEF" w:rsidRDefault="00A71EEF">
      <w:pPr>
        <w:sectPr w:rsidR="00A71EEF">
          <w:pgSz w:w="11910" w:h="16850"/>
          <w:pgMar w:top="1220" w:right="0" w:bottom="1420" w:left="1260" w:header="0" w:footer="1239" w:gutter="0"/>
          <w:cols w:space="720"/>
        </w:sectPr>
      </w:pPr>
    </w:p>
    <w:p w14:paraId="4113CB59" w14:textId="77777777" w:rsidR="00A71EEF" w:rsidRDefault="0081115D">
      <w:pPr>
        <w:pStyle w:val="a3"/>
        <w:spacing w:before="47" w:line="446" w:lineRule="auto"/>
        <w:ind w:left="418" w:right="1608" w:firstLine="419"/>
        <w:jc w:val="both"/>
      </w:pPr>
      <w:r>
        <w:t>消火栓外观应无加工缺陷和机械损伤；铸件表面应无结疤、毛刺、裂纹和缩孔等缺陷；铸铁阀体外部应涂红色油漆，内表面应涂防锈漆，手轮应涂黑色油漆；外部漆膜应光滑、平整、色泽一致，应无气泡、流痕、皱纹等缺陷，并应无明显碰、划等现象。</w:t>
      </w:r>
      <w:r>
        <w:t xml:space="preserve"> </w:t>
      </w:r>
    </w:p>
    <w:p w14:paraId="2F6CFE28" w14:textId="77777777" w:rsidR="00A71EEF" w:rsidRDefault="0081115D">
      <w:pPr>
        <w:pStyle w:val="a3"/>
        <w:spacing w:line="268" w:lineRule="exact"/>
        <w:ind w:left="838"/>
      </w:pPr>
      <w:r>
        <w:t>消火栓螺纹密封面应无伤痕、毛刺、缺丝或断丝现象</w:t>
      </w:r>
      <w:r>
        <w:t>；</w:t>
      </w:r>
      <w:r>
        <w:t xml:space="preserve"> </w:t>
      </w:r>
    </w:p>
    <w:p w14:paraId="035F22CC" w14:textId="77777777" w:rsidR="00A71EEF" w:rsidRDefault="00A71EEF">
      <w:pPr>
        <w:pStyle w:val="a3"/>
        <w:rPr>
          <w:sz w:val="18"/>
        </w:rPr>
      </w:pPr>
    </w:p>
    <w:p w14:paraId="73C68C8D" w14:textId="77777777" w:rsidR="00A71EEF" w:rsidRDefault="0081115D">
      <w:pPr>
        <w:pStyle w:val="a3"/>
        <w:spacing w:line="446" w:lineRule="auto"/>
        <w:ind w:left="838" w:right="1505"/>
      </w:pPr>
      <w:r>
        <w:rPr>
          <w:spacing w:val="-3"/>
        </w:rPr>
        <w:t>消火栓的螺纹出水口和快速连接卡扣应无缺陷和机械损伤，并应能满足使用功能的要求；</w:t>
      </w:r>
      <w:r>
        <w:rPr>
          <w:spacing w:val="-3"/>
        </w:rPr>
        <w:t xml:space="preserve"> </w:t>
      </w:r>
      <w:r>
        <w:rPr>
          <w:spacing w:val="-3"/>
        </w:rPr>
        <w:t>消火栓阀杆升降或开启应平稳、灵活，不应有卡涩和松动现象；</w:t>
      </w:r>
      <w:r>
        <w:t xml:space="preserve"> </w:t>
      </w:r>
    </w:p>
    <w:p w14:paraId="230AF004" w14:textId="77777777" w:rsidR="00A71EEF" w:rsidRDefault="0081115D">
      <w:pPr>
        <w:pStyle w:val="a3"/>
        <w:spacing w:line="446" w:lineRule="auto"/>
        <w:ind w:left="418" w:right="1609" w:firstLine="419"/>
      </w:pPr>
      <w:r>
        <w:t>旋转型消火栓其内部构造应合理，转动部件应为铜或不锈钢，并应保证旋转可靠、无卡涩和漏水现象；</w:t>
      </w:r>
      <w:r>
        <w:t xml:space="preserve"> </w:t>
      </w:r>
    </w:p>
    <w:p w14:paraId="75A6876A" w14:textId="77777777" w:rsidR="00A71EEF" w:rsidRDefault="0081115D">
      <w:pPr>
        <w:pStyle w:val="a3"/>
        <w:spacing w:line="267" w:lineRule="exact"/>
        <w:ind w:left="838"/>
      </w:pPr>
      <w:r>
        <w:t>减压稳压消火栓应保证可靠、无堵塞现象；</w:t>
      </w:r>
      <w:r>
        <w:t xml:space="preserve"> </w:t>
      </w:r>
    </w:p>
    <w:p w14:paraId="10A5F608" w14:textId="77777777" w:rsidR="00A71EEF" w:rsidRDefault="00A71EEF">
      <w:pPr>
        <w:pStyle w:val="a3"/>
        <w:spacing w:before="1"/>
        <w:rPr>
          <w:sz w:val="18"/>
        </w:rPr>
      </w:pPr>
    </w:p>
    <w:p w14:paraId="49DC4295" w14:textId="77777777" w:rsidR="00A71EEF" w:rsidRDefault="0081115D">
      <w:pPr>
        <w:pStyle w:val="a3"/>
        <w:spacing w:before="1"/>
        <w:ind w:left="838"/>
      </w:pPr>
      <w:r>
        <w:t>活动部件应转动灵活，材料应耐腐蚀，不应卡涩或脱扣；</w:t>
      </w:r>
      <w:r>
        <w:t xml:space="preserve"> </w:t>
      </w:r>
    </w:p>
    <w:p w14:paraId="21F33861" w14:textId="77777777" w:rsidR="00A71EEF" w:rsidRDefault="00A71EEF">
      <w:pPr>
        <w:pStyle w:val="a3"/>
        <w:spacing w:before="12"/>
        <w:rPr>
          <w:sz w:val="17"/>
        </w:rPr>
      </w:pPr>
    </w:p>
    <w:p w14:paraId="0AC6AA72" w14:textId="77777777" w:rsidR="00A71EEF" w:rsidRDefault="0081115D">
      <w:pPr>
        <w:pStyle w:val="a3"/>
        <w:spacing w:line="446" w:lineRule="auto"/>
        <w:ind w:left="418" w:right="1452" w:firstLine="419"/>
      </w:pPr>
      <w:r>
        <w:rPr>
          <w:spacing w:val="-3"/>
        </w:rPr>
        <w:t>消火栓固定接口应进行密封性能试验，应以无渗漏、无损伤为合格。试验数量宜从每批中</w:t>
      </w:r>
      <w:r>
        <w:rPr>
          <w:spacing w:val="-3"/>
        </w:rPr>
        <w:t xml:space="preserve"> </w:t>
      </w:r>
      <w:r>
        <w:rPr>
          <w:spacing w:val="-18"/>
        </w:rPr>
        <w:t>抽查</w:t>
      </w:r>
      <w:r>
        <w:rPr>
          <w:spacing w:val="-18"/>
        </w:rPr>
        <w:t xml:space="preserve"> </w:t>
      </w:r>
      <w:r>
        <w:t>1</w:t>
      </w:r>
      <w:r>
        <w:rPr>
          <w:spacing w:val="-8"/>
        </w:rPr>
        <w:t>%</w:t>
      </w:r>
      <w:r>
        <w:rPr>
          <w:spacing w:val="-8"/>
        </w:rPr>
        <w:t>，但不应少于</w:t>
      </w:r>
      <w:r>
        <w:rPr>
          <w:spacing w:val="-8"/>
        </w:rPr>
        <w:t xml:space="preserve"> </w:t>
      </w:r>
      <w:r>
        <w:t>5</w:t>
      </w:r>
      <w:r>
        <w:rPr>
          <w:spacing w:val="-12"/>
        </w:rPr>
        <w:t xml:space="preserve"> </w:t>
      </w:r>
      <w:r>
        <w:rPr>
          <w:spacing w:val="-12"/>
        </w:rPr>
        <w:t>个，应缓慢而均匀地升压</w:t>
      </w:r>
      <w:r>
        <w:rPr>
          <w:spacing w:val="-12"/>
        </w:rPr>
        <w:t xml:space="preserve"> </w:t>
      </w:r>
      <w:r>
        <w:t>1.6MPa</w:t>
      </w:r>
      <w:r>
        <w:rPr>
          <w:spacing w:val="-11"/>
        </w:rPr>
        <w:t>，应保压</w:t>
      </w:r>
      <w:r>
        <w:rPr>
          <w:spacing w:val="-11"/>
        </w:rPr>
        <w:t xml:space="preserve"> </w:t>
      </w:r>
      <w:r>
        <w:t>2min</w:t>
      </w:r>
      <w:r>
        <w:rPr>
          <w:spacing w:val="-3"/>
        </w:rPr>
        <w:t>。当两个及两个以上不合</w:t>
      </w:r>
      <w:r>
        <w:rPr>
          <w:spacing w:val="-6"/>
        </w:rPr>
        <w:t>格时，不应使用该批消火栓。当仅有</w:t>
      </w:r>
      <w:r>
        <w:rPr>
          <w:spacing w:val="-6"/>
        </w:rPr>
        <w:t xml:space="preserve"> </w:t>
      </w:r>
      <w:r>
        <w:t>1</w:t>
      </w:r>
      <w:r>
        <w:rPr>
          <w:spacing w:val="-11"/>
        </w:rPr>
        <w:t xml:space="preserve"> </w:t>
      </w:r>
      <w:r>
        <w:rPr>
          <w:spacing w:val="-11"/>
        </w:rPr>
        <w:t>个不合格时，应再抽查</w:t>
      </w:r>
      <w:r>
        <w:rPr>
          <w:spacing w:val="-11"/>
        </w:rPr>
        <w:t xml:space="preserve"> </w:t>
      </w:r>
      <w:r>
        <w:t>2</w:t>
      </w:r>
      <w:r>
        <w:rPr>
          <w:spacing w:val="-9"/>
        </w:rPr>
        <w:t>%</w:t>
      </w:r>
      <w:r>
        <w:rPr>
          <w:spacing w:val="-9"/>
        </w:rPr>
        <w:t>，但不应少于</w:t>
      </w:r>
      <w:r>
        <w:rPr>
          <w:spacing w:val="-9"/>
        </w:rPr>
        <w:t xml:space="preserve"> </w:t>
      </w:r>
      <w:r>
        <w:t>10</w:t>
      </w:r>
      <w:r>
        <w:rPr>
          <w:spacing w:val="-9"/>
        </w:rPr>
        <w:t xml:space="preserve"> </w:t>
      </w:r>
      <w:r>
        <w:rPr>
          <w:spacing w:val="-9"/>
        </w:rPr>
        <w:t>个，并应重新</w:t>
      </w:r>
      <w:r>
        <w:rPr>
          <w:spacing w:val="-5"/>
        </w:rPr>
        <w:t>进行密封性能试验；当仍有不合格时，亦不应使用该批消火栓；</w:t>
      </w:r>
      <w:r>
        <w:t xml:space="preserve"> </w:t>
      </w:r>
    </w:p>
    <w:p w14:paraId="02859CA7" w14:textId="77777777" w:rsidR="00A71EEF" w:rsidRDefault="0081115D">
      <w:pPr>
        <w:pStyle w:val="a3"/>
        <w:spacing w:line="267" w:lineRule="exact"/>
        <w:ind w:left="838"/>
      </w:pPr>
      <w:r>
        <w:t>消防水带的织物层应编织得均匀，表面应整洁；应无跳双经、断双经、跳纬及划伤，衬里</w:t>
      </w:r>
    </w:p>
    <w:p w14:paraId="5AD75FD9" w14:textId="77777777" w:rsidR="00A71EEF" w:rsidRDefault="00A71EEF">
      <w:pPr>
        <w:pStyle w:val="a3"/>
        <w:spacing w:before="2"/>
        <w:rPr>
          <w:sz w:val="18"/>
        </w:rPr>
      </w:pPr>
    </w:p>
    <w:p w14:paraId="1384F5FB" w14:textId="77777777" w:rsidR="00A71EEF" w:rsidRDefault="0081115D">
      <w:pPr>
        <w:pStyle w:val="a3"/>
        <w:ind w:left="418"/>
      </w:pPr>
      <w:r>
        <w:t>（或覆盖层）的厚度应均匀，表面应光滑平整、无折皱或其他缺陷；</w:t>
      </w:r>
      <w:r>
        <w:t xml:space="preserve"> </w:t>
      </w:r>
    </w:p>
    <w:p w14:paraId="6EDD691C" w14:textId="77777777" w:rsidR="00A71EEF" w:rsidRDefault="00A71EEF">
      <w:pPr>
        <w:pStyle w:val="a3"/>
        <w:spacing w:before="12"/>
        <w:rPr>
          <w:sz w:val="17"/>
        </w:rPr>
      </w:pPr>
    </w:p>
    <w:p w14:paraId="3F164996" w14:textId="77777777" w:rsidR="00A71EEF" w:rsidRDefault="0081115D">
      <w:pPr>
        <w:pStyle w:val="a3"/>
        <w:spacing w:line="446" w:lineRule="auto"/>
        <w:ind w:left="418" w:right="1500" w:firstLine="419"/>
      </w:pPr>
      <w:r>
        <w:t>消防水枪的外观质量应符合本条第</w:t>
      </w:r>
      <w:r>
        <w:t xml:space="preserve"> 4 </w:t>
      </w:r>
      <w:r>
        <w:t>款的有关规定，消防水枪的进出口口径应满足设计要求；</w:t>
      </w:r>
      <w:r>
        <w:t xml:space="preserve"> </w:t>
      </w:r>
    </w:p>
    <w:p w14:paraId="5511E76B" w14:textId="77777777" w:rsidR="00A71EEF" w:rsidRDefault="0081115D">
      <w:pPr>
        <w:pStyle w:val="a3"/>
        <w:ind w:left="838"/>
      </w:pPr>
      <w:r>
        <w:t>消火栓箱应符合现行国家标准《消火栓箱》</w:t>
      </w:r>
      <w:r>
        <w:t xml:space="preserve">GB 14561 </w:t>
      </w:r>
      <w:r>
        <w:t>的性能和质量要求；</w:t>
      </w:r>
      <w:r>
        <w:t xml:space="preserve"> </w:t>
      </w:r>
    </w:p>
    <w:p w14:paraId="2AE7CB3D" w14:textId="77777777" w:rsidR="00A71EEF" w:rsidRDefault="00A71EEF">
      <w:pPr>
        <w:pStyle w:val="a3"/>
        <w:rPr>
          <w:sz w:val="18"/>
        </w:rPr>
      </w:pPr>
    </w:p>
    <w:p w14:paraId="196CB50F" w14:textId="77777777" w:rsidR="00A71EEF" w:rsidRDefault="0081115D">
      <w:pPr>
        <w:pStyle w:val="a3"/>
        <w:ind w:left="838"/>
      </w:pPr>
      <w:r>
        <w:t>消防软管卷盘和轻</w:t>
      </w:r>
      <w:r>
        <w:t>便水龙应符合现行国家标准《消防软管卷盘》</w:t>
      </w:r>
      <w:r>
        <w:t xml:space="preserve">GB 15090 </w:t>
      </w:r>
      <w:r>
        <w:t>和现行行业标准</w:t>
      </w:r>
    </w:p>
    <w:p w14:paraId="7A6AC861" w14:textId="77777777" w:rsidR="00A71EEF" w:rsidRDefault="00A71EEF">
      <w:pPr>
        <w:pStyle w:val="a3"/>
        <w:spacing w:before="12"/>
        <w:rPr>
          <w:sz w:val="17"/>
        </w:rPr>
      </w:pPr>
    </w:p>
    <w:p w14:paraId="6D961976" w14:textId="77777777" w:rsidR="00A71EEF" w:rsidRDefault="0081115D">
      <w:pPr>
        <w:pStyle w:val="a3"/>
        <w:spacing w:before="1" w:line="446" w:lineRule="auto"/>
        <w:ind w:left="838" w:right="5867" w:hanging="420"/>
      </w:pPr>
      <w:r>
        <w:t>《轻便消防水龙》</w:t>
      </w:r>
      <w:r>
        <w:t xml:space="preserve">GA 180 </w:t>
      </w:r>
      <w:r>
        <w:t>的性能和质量要求。外观和一般检查数量：全数检查。</w:t>
      </w:r>
      <w:r>
        <w:t xml:space="preserve"> </w:t>
      </w:r>
    </w:p>
    <w:p w14:paraId="325BB72F" w14:textId="77777777" w:rsidR="00A71EEF" w:rsidRDefault="0081115D">
      <w:pPr>
        <w:pStyle w:val="a3"/>
        <w:ind w:left="838"/>
      </w:pPr>
      <w:r>
        <w:t>检查方法：直观和尺量检查。</w:t>
      </w:r>
      <w:r>
        <w:t xml:space="preserve"> </w:t>
      </w:r>
    </w:p>
    <w:p w14:paraId="038F4E89" w14:textId="77777777" w:rsidR="00A71EEF" w:rsidRDefault="00A71EEF">
      <w:pPr>
        <w:pStyle w:val="a3"/>
        <w:spacing w:before="12"/>
        <w:rPr>
          <w:sz w:val="17"/>
        </w:rPr>
      </w:pPr>
    </w:p>
    <w:p w14:paraId="2BC483AF" w14:textId="77777777" w:rsidR="00A71EEF" w:rsidRDefault="0081115D">
      <w:pPr>
        <w:pStyle w:val="a3"/>
        <w:ind w:left="838"/>
      </w:pPr>
      <w:r>
        <w:t>性能检查数量：抽查符合本条第</w:t>
      </w:r>
      <w:r>
        <w:t xml:space="preserve"> 14 </w:t>
      </w:r>
      <w:r>
        <w:t>款的规定。</w:t>
      </w:r>
      <w:r>
        <w:t xml:space="preserve"> </w:t>
      </w:r>
    </w:p>
    <w:p w14:paraId="2CFCA6F8" w14:textId="77777777" w:rsidR="00A71EEF" w:rsidRDefault="00A71EEF">
      <w:pPr>
        <w:pStyle w:val="a3"/>
        <w:spacing w:before="1"/>
        <w:rPr>
          <w:sz w:val="18"/>
        </w:rPr>
      </w:pPr>
    </w:p>
    <w:p w14:paraId="739E3C20" w14:textId="77777777" w:rsidR="00A71EEF" w:rsidRDefault="0081115D">
      <w:pPr>
        <w:pStyle w:val="a3"/>
        <w:spacing w:before="1"/>
        <w:ind w:left="838"/>
      </w:pPr>
      <w:r>
        <w:t>检查方法：直观检查及在专用试验装置上测试，主要测试设备有试压泵、压力表、秒表。</w:t>
      </w:r>
      <w:r>
        <w:t xml:space="preserve"> </w:t>
      </w:r>
    </w:p>
    <w:p w14:paraId="18759522" w14:textId="77777777" w:rsidR="00A71EEF" w:rsidRDefault="00A71EEF">
      <w:pPr>
        <w:pStyle w:val="a3"/>
        <w:spacing w:before="12"/>
        <w:rPr>
          <w:sz w:val="17"/>
        </w:rPr>
      </w:pPr>
    </w:p>
    <w:p w14:paraId="71E6F66A" w14:textId="77777777" w:rsidR="00A71EEF" w:rsidRDefault="0081115D">
      <w:pPr>
        <w:pStyle w:val="a4"/>
        <w:numPr>
          <w:ilvl w:val="2"/>
          <w:numId w:val="231"/>
        </w:numPr>
        <w:tabs>
          <w:tab w:val="left" w:pos="1530"/>
        </w:tabs>
        <w:spacing w:line="446" w:lineRule="auto"/>
        <w:ind w:left="418" w:right="1549" w:firstLine="422"/>
        <w:jc w:val="both"/>
        <w:rPr>
          <w:sz w:val="21"/>
        </w:rPr>
      </w:pPr>
      <w:r>
        <w:rPr>
          <w:spacing w:val="-3"/>
          <w:sz w:val="21"/>
        </w:rPr>
        <w:t>消防炮、洒水喷头、泡沫产生装置、泡沫比例混合装置、泡沫液压力储罐和泡沫喷头等水灭火系统的专用组件的进场检查，应符合现行国家标准《自动喷水灭火系统施工及验收规范》</w:t>
      </w:r>
      <w:r>
        <w:rPr>
          <w:sz w:val="21"/>
        </w:rPr>
        <w:t>GB50261</w:t>
      </w:r>
      <w:r>
        <w:rPr>
          <w:spacing w:val="-3"/>
          <w:sz w:val="21"/>
        </w:rPr>
        <w:t>、《泡沫灭火系统施工及验收规范》</w:t>
      </w:r>
      <w:r>
        <w:rPr>
          <w:sz w:val="21"/>
        </w:rPr>
        <w:t>GB50281</w:t>
      </w:r>
      <w:r>
        <w:rPr>
          <w:spacing w:val="-3"/>
          <w:sz w:val="21"/>
        </w:rPr>
        <w:t xml:space="preserve"> </w:t>
      </w:r>
      <w:r>
        <w:rPr>
          <w:spacing w:val="-3"/>
          <w:sz w:val="21"/>
        </w:rPr>
        <w:t>等的有关规定。</w:t>
      </w:r>
      <w:r>
        <w:rPr>
          <w:sz w:val="21"/>
        </w:rPr>
        <w:t xml:space="preserve"> </w:t>
      </w:r>
    </w:p>
    <w:p w14:paraId="44884222" w14:textId="77777777" w:rsidR="00A71EEF" w:rsidRDefault="00A71EEF">
      <w:pPr>
        <w:spacing w:line="446" w:lineRule="auto"/>
        <w:jc w:val="both"/>
        <w:rPr>
          <w:sz w:val="21"/>
        </w:rPr>
        <w:sectPr w:rsidR="00A71EEF">
          <w:pgSz w:w="11910" w:h="16850"/>
          <w:pgMar w:top="1220" w:right="0" w:bottom="1420" w:left="1260" w:header="0" w:footer="1239" w:gutter="0"/>
          <w:cols w:space="720"/>
        </w:sectPr>
      </w:pPr>
    </w:p>
    <w:p w14:paraId="3A5DF57B" w14:textId="77777777" w:rsidR="00A71EEF" w:rsidRDefault="0081115D">
      <w:pPr>
        <w:pStyle w:val="a4"/>
        <w:numPr>
          <w:ilvl w:val="2"/>
          <w:numId w:val="231"/>
        </w:numPr>
        <w:tabs>
          <w:tab w:val="left" w:pos="1530"/>
        </w:tabs>
        <w:spacing w:before="47"/>
        <w:ind w:hanging="690"/>
        <w:jc w:val="both"/>
        <w:rPr>
          <w:sz w:val="21"/>
        </w:rPr>
      </w:pPr>
      <w:r>
        <w:rPr>
          <w:spacing w:val="-3"/>
          <w:sz w:val="21"/>
        </w:rPr>
        <w:t>管材、管件应进行现场外观检查，并应符合下列要求：</w:t>
      </w:r>
      <w:r>
        <w:rPr>
          <w:sz w:val="21"/>
        </w:rPr>
        <w:t xml:space="preserve"> </w:t>
      </w:r>
    </w:p>
    <w:p w14:paraId="419F5570" w14:textId="77777777" w:rsidR="00A71EEF" w:rsidRDefault="00A71EEF">
      <w:pPr>
        <w:pStyle w:val="a3"/>
        <w:rPr>
          <w:sz w:val="18"/>
        </w:rPr>
      </w:pPr>
    </w:p>
    <w:p w14:paraId="189D76CB" w14:textId="77777777" w:rsidR="00A71EEF" w:rsidRDefault="0081115D">
      <w:pPr>
        <w:pStyle w:val="a3"/>
        <w:spacing w:line="446" w:lineRule="auto"/>
        <w:ind w:left="418" w:right="1608" w:firstLine="419"/>
        <w:jc w:val="both"/>
      </w:pPr>
      <w:r>
        <w:t>镀锌钢管应为内外壁热镀锌钢管，钢管内外表面的镀锌层不应有脱落、锈蚀等现象，球墨铸铁管球墨铸铁内涂水泥层和外涂防腐涂层不应脱落，不应有锈蚀等现象，钢丝网骨架塑料复合管管道壁厚度均匀、内</w:t>
      </w:r>
      <w:r>
        <w:t>外壁应无划痕，各种管材管件应符合表</w:t>
      </w:r>
      <w:r>
        <w:t xml:space="preserve"> 12.2.5 </w:t>
      </w:r>
      <w:r>
        <w:t>所列相应标准；</w:t>
      </w:r>
      <w:r>
        <w:t xml:space="preserve"> </w:t>
      </w:r>
    </w:p>
    <w:p w14:paraId="6BE2F9B3" w14:textId="77777777" w:rsidR="00A71EEF" w:rsidRDefault="0081115D">
      <w:pPr>
        <w:pStyle w:val="6"/>
        <w:spacing w:line="268" w:lineRule="exact"/>
        <w:ind w:left="3363"/>
        <w:jc w:val="both"/>
      </w:pPr>
      <w:r>
        <w:t>表</w:t>
      </w:r>
      <w:r>
        <w:t xml:space="preserve"> 12.2.5 </w:t>
      </w:r>
      <w:r>
        <w:t>消防给水管材及管件标准</w:t>
      </w:r>
      <w:r>
        <w:rPr>
          <w:w w:val="99"/>
        </w:rPr>
        <w:t xml:space="preserve"> </w:t>
      </w:r>
    </w:p>
    <w:p w14:paraId="7D922B74" w14:textId="77777777" w:rsidR="00A71EEF" w:rsidRDefault="0081115D">
      <w:pPr>
        <w:pStyle w:val="a3"/>
        <w:spacing w:before="9"/>
        <w:rPr>
          <w:b/>
          <w:sz w:val="29"/>
        </w:rPr>
      </w:pPr>
      <w:r>
        <w:rPr>
          <w:noProof/>
        </w:rPr>
        <w:drawing>
          <wp:anchor distT="0" distB="0" distL="0" distR="0" simplePos="0" relativeHeight="251672064" behindDoc="0" locked="0" layoutInCell="1" allowOverlap="1" wp14:anchorId="7AE588A3" wp14:editId="52B7D484">
            <wp:simplePos x="0" y="0"/>
            <wp:positionH relativeFrom="page">
              <wp:posOffset>1360805</wp:posOffset>
            </wp:positionH>
            <wp:positionV relativeFrom="paragraph">
              <wp:posOffset>266985</wp:posOffset>
            </wp:positionV>
            <wp:extent cx="5055803" cy="2591657"/>
            <wp:effectExtent l="0" t="0" r="0" b="0"/>
            <wp:wrapTopAndBottom/>
            <wp:docPr id="589" name="image3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image341.jpeg"/>
                    <pic:cNvPicPr/>
                  </pic:nvPicPr>
                  <pic:blipFill>
                    <a:blip r:embed="rId404" cstate="print"/>
                    <a:stretch>
                      <a:fillRect/>
                    </a:stretch>
                  </pic:blipFill>
                  <pic:spPr>
                    <a:xfrm>
                      <a:off x="0" y="0"/>
                      <a:ext cx="5055803" cy="2591657"/>
                    </a:xfrm>
                    <a:prstGeom prst="rect">
                      <a:avLst/>
                    </a:prstGeom>
                  </pic:spPr>
                </pic:pic>
              </a:graphicData>
            </a:graphic>
          </wp:anchor>
        </w:drawing>
      </w:r>
    </w:p>
    <w:p w14:paraId="6B9A02D7" w14:textId="77777777" w:rsidR="00A71EEF" w:rsidRDefault="0081115D">
      <w:pPr>
        <w:pStyle w:val="a3"/>
        <w:spacing w:before="148"/>
        <w:ind w:left="838"/>
      </w:pPr>
      <w:r>
        <w:t>表面应无裂纹、缩孔、夹渣、折叠和重皮；</w:t>
      </w:r>
      <w:r>
        <w:t xml:space="preserve"> </w:t>
      </w:r>
    </w:p>
    <w:p w14:paraId="0E6BDC22" w14:textId="77777777" w:rsidR="00A71EEF" w:rsidRDefault="00A71EEF">
      <w:pPr>
        <w:pStyle w:val="a3"/>
        <w:spacing w:before="12"/>
        <w:rPr>
          <w:sz w:val="17"/>
        </w:rPr>
      </w:pPr>
    </w:p>
    <w:p w14:paraId="5AE8B8BA" w14:textId="77777777" w:rsidR="00A71EEF" w:rsidRDefault="0081115D">
      <w:pPr>
        <w:pStyle w:val="a3"/>
        <w:spacing w:line="446" w:lineRule="auto"/>
        <w:ind w:left="838" w:right="1402"/>
      </w:pPr>
      <w:r>
        <w:rPr>
          <w:spacing w:val="-5"/>
        </w:rPr>
        <w:t>管材管件不应有妨碍使用的凹凸不平的缺陷，其尺寸公差应符合本规范表</w:t>
      </w:r>
      <w:r>
        <w:rPr>
          <w:spacing w:val="-5"/>
        </w:rPr>
        <w:t xml:space="preserve"> </w:t>
      </w:r>
      <w:r>
        <w:t>12.2.5</w:t>
      </w:r>
      <w:r>
        <w:rPr>
          <w:spacing w:val="-11"/>
        </w:rPr>
        <w:t xml:space="preserve"> </w:t>
      </w:r>
      <w:r>
        <w:rPr>
          <w:spacing w:val="-11"/>
        </w:rPr>
        <w:t>的规定；</w:t>
      </w:r>
      <w:r>
        <w:rPr>
          <w:spacing w:val="-11"/>
        </w:rPr>
        <w:t xml:space="preserve"> </w:t>
      </w:r>
      <w:r>
        <w:rPr>
          <w:spacing w:val="-3"/>
        </w:rPr>
        <w:t>螺纹密封面应完整、无损伤、无毛刺；</w:t>
      </w:r>
      <w:r>
        <w:t xml:space="preserve"> </w:t>
      </w:r>
    </w:p>
    <w:p w14:paraId="2D039023" w14:textId="77777777" w:rsidR="00A71EEF" w:rsidRDefault="0081115D">
      <w:pPr>
        <w:pStyle w:val="a3"/>
        <w:spacing w:line="446" w:lineRule="auto"/>
        <w:ind w:left="838" w:right="1925"/>
        <w:jc w:val="both"/>
      </w:pPr>
      <w:r>
        <w:rPr>
          <w:spacing w:val="-3"/>
        </w:rPr>
        <w:t>非金属密封垫片应质地柔韧、无老化变质或分层现象，表面应无折损、皱纹等缺陷；</w:t>
      </w:r>
      <w:r>
        <w:rPr>
          <w:spacing w:val="-3"/>
        </w:rPr>
        <w:t xml:space="preserve"> </w:t>
      </w:r>
      <w:r>
        <w:rPr>
          <w:spacing w:val="-3"/>
        </w:rPr>
        <w:t>法兰密封面应完整光洁，不应有毛刺及径向沟槽；螺纹法兰的螺纹应完整、无损伤；</w:t>
      </w:r>
      <w:r>
        <w:rPr>
          <w:spacing w:val="-3"/>
        </w:rPr>
        <w:t xml:space="preserve"> </w:t>
      </w:r>
      <w:r>
        <w:rPr>
          <w:spacing w:val="-8"/>
        </w:rPr>
        <w:t>不圆度应符合本规范表</w:t>
      </w:r>
      <w:r>
        <w:rPr>
          <w:spacing w:val="-8"/>
        </w:rPr>
        <w:t xml:space="preserve"> </w:t>
      </w:r>
      <w:r>
        <w:t>12.2.5</w:t>
      </w:r>
      <w:r>
        <w:rPr>
          <w:spacing w:val="-13"/>
        </w:rPr>
        <w:t xml:space="preserve"> </w:t>
      </w:r>
      <w:r>
        <w:rPr>
          <w:spacing w:val="-13"/>
        </w:rPr>
        <w:t>的规定；</w:t>
      </w:r>
      <w:r>
        <w:t xml:space="preserve"> </w:t>
      </w:r>
    </w:p>
    <w:p w14:paraId="7CBD5D03" w14:textId="77777777" w:rsidR="00A71EEF" w:rsidRDefault="0081115D">
      <w:pPr>
        <w:pStyle w:val="a3"/>
        <w:spacing w:line="446" w:lineRule="auto"/>
        <w:ind w:left="418" w:right="1609" w:firstLine="419"/>
      </w:pPr>
      <w:r>
        <w:t>球墨铸铁管承口的内工作面和插口的外工作面应光滑、轮廓清晰，不应有影响接口密封性的缺陷；</w:t>
      </w:r>
      <w:r>
        <w:t xml:space="preserve"> </w:t>
      </w:r>
    </w:p>
    <w:p w14:paraId="07A6352D" w14:textId="77777777" w:rsidR="00A71EEF" w:rsidRDefault="0081115D">
      <w:pPr>
        <w:pStyle w:val="a3"/>
        <w:spacing w:line="446" w:lineRule="auto"/>
        <w:ind w:left="838" w:right="1714"/>
      </w:pPr>
      <w:r>
        <w:rPr>
          <w:spacing w:val="-3"/>
        </w:rPr>
        <w:t>钢丝网骨架塑料</w:t>
      </w:r>
      <w:r>
        <w:t>（</w:t>
      </w:r>
      <w:r>
        <w:t>PE</w:t>
      </w:r>
      <w:r>
        <w:t>）</w:t>
      </w:r>
      <w:r>
        <w:rPr>
          <w:spacing w:val="-3"/>
        </w:rPr>
        <w:t>复合管内外壁应光滑、无划痕，钢丝骨料与塑料应黏结牢固等。检查数量：全数检查。</w:t>
      </w:r>
      <w:r>
        <w:t xml:space="preserve"> </w:t>
      </w:r>
    </w:p>
    <w:p w14:paraId="0E52C735" w14:textId="77777777" w:rsidR="00A71EEF" w:rsidRDefault="0081115D">
      <w:pPr>
        <w:pStyle w:val="a3"/>
        <w:ind w:left="838"/>
      </w:pPr>
      <w:r>
        <w:t>检查方法：直观和尺量检查。</w:t>
      </w:r>
      <w:r>
        <w:t xml:space="preserve"> </w:t>
      </w:r>
    </w:p>
    <w:p w14:paraId="18B0F726" w14:textId="77777777" w:rsidR="00A71EEF" w:rsidRDefault="00A71EEF">
      <w:pPr>
        <w:pStyle w:val="a3"/>
        <w:spacing w:before="9"/>
        <w:rPr>
          <w:sz w:val="17"/>
        </w:rPr>
      </w:pPr>
    </w:p>
    <w:p w14:paraId="58063DCD" w14:textId="77777777" w:rsidR="00A71EEF" w:rsidRDefault="0081115D">
      <w:pPr>
        <w:pStyle w:val="a4"/>
        <w:numPr>
          <w:ilvl w:val="2"/>
          <w:numId w:val="231"/>
        </w:numPr>
        <w:tabs>
          <w:tab w:val="left" w:pos="1530"/>
        </w:tabs>
        <w:ind w:hanging="690"/>
        <w:rPr>
          <w:sz w:val="21"/>
        </w:rPr>
      </w:pPr>
      <w:r>
        <w:rPr>
          <w:spacing w:val="-3"/>
          <w:sz w:val="21"/>
        </w:rPr>
        <w:t>阀门及其附件的现场检验应符合下列要求：</w:t>
      </w:r>
      <w:r>
        <w:rPr>
          <w:sz w:val="21"/>
        </w:rPr>
        <w:t xml:space="preserve"> </w:t>
      </w:r>
    </w:p>
    <w:p w14:paraId="027DC8E1" w14:textId="77777777" w:rsidR="00A71EEF" w:rsidRDefault="00A71EEF">
      <w:pPr>
        <w:pStyle w:val="a3"/>
        <w:spacing w:before="2"/>
        <w:rPr>
          <w:sz w:val="18"/>
        </w:rPr>
      </w:pPr>
    </w:p>
    <w:p w14:paraId="2E900654" w14:textId="77777777" w:rsidR="00A71EEF" w:rsidRDefault="0081115D">
      <w:pPr>
        <w:pStyle w:val="a3"/>
        <w:spacing w:line="446" w:lineRule="auto"/>
        <w:ind w:left="838" w:right="2554"/>
      </w:pPr>
      <w:r>
        <w:rPr>
          <w:spacing w:val="-3"/>
        </w:rPr>
        <w:t>阀门的商标、型号、规格等标志应齐全，阀门的型</w:t>
      </w:r>
      <w:r>
        <w:rPr>
          <w:spacing w:val="-3"/>
        </w:rPr>
        <w:t>号、规格应符合设计要求；</w:t>
      </w:r>
      <w:r>
        <w:rPr>
          <w:spacing w:val="-3"/>
        </w:rPr>
        <w:t xml:space="preserve"> </w:t>
      </w:r>
      <w:r>
        <w:rPr>
          <w:spacing w:val="-3"/>
        </w:rPr>
        <w:t>阀门及其附件应配备齐全，不应有加工缺陷和机械损伤；</w:t>
      </w:r>
      <w:r>
        <w:t xml:space="preserve"> </w:t>
      </w:r>
    </w:p>
    <w:p w14:paraId="664F8CE6" w14:textId="77777777" w:rsidR="00A71EEF" w:rsidRDefault="00A71EEF">
      <w:pPr>
        <w:spacing w:line="446" w:lineRule="auto"/>
        <w:sectPr w:rsidR="00A71EEF">
          <w:pgSz w:w="11910" w:h="16850"/>
          <w:pgMar w:top="1220" w:right="0" w:bottom="1420" w:left="1260" w:header="0" w:footer="1239" w:gutter="0"/>
          <w:cols w:space="720"/>
        </w:sectPr>
      </w:pPr>
    </w:p>
    <w:p w14:paraId="14DD2FDF" w14:textId="77777777" w:rsidR="00A71EEF" w:rsidRDefault="0081115D">
      <w:pPr>
        <w:pStyle w:val="a3"/>
        <w:spacing w:before="47" w:line="446" w:lineRule="auto"/>
        <w:ind w:left="418" w:right="1817" w:firstLine="419"/>
      </w:pPr>
      <w:r>
        <w:t>报警阀和水力警铃的现场检验，应符合现行国家标准《自动喷水灭火系统施工及验收规范》</w:t>
      </w:r>
      <w:r>
        <w:t xml:space="preserve">GB 50261 </w:t>
      </w:r>
      <w:r>
        <w:t>的有关规定；</w:t>
      </w:r>
      <w:r>
        <w:t xml:space="preserve"> </w:t>
      </w:r>
    </w:p>
    <w:p w14:paraId="04822919" w14:textId="77777777" w:rsidR="00A71EEF" w:rsidRDefault="0081115D">
      <w:pPr>
        <w:pStyle w:val="a3"/>
        <w:spacing w:line="446" w:lineRule="auto"/>
        <w:ind w:left="418" w:right="1404" w:firstLine="419"/>
      </w:pPr>
      <w:r>
        <w:rPr>
          <w:spacing w:val="-3"/>
        </w:rPr>
        <w:t>闸阀、截止阀、球阀、蝶阀和信号阀等通用阀门，应符合现行国家标准《通用阀门</w:t>
      </w:r>
      <w:r>
        <w:rPr>
          <w:spacing w:val="-3"/>
        </w:rPr>
        <w:t xml:space="preserve">   </w:t>
      </w:r>
      <w:r>
        <w:rPr>
          <w:spacing w:val="-3"/>
        </w:rPr>
        <w:t>压力试验》</w:t>
      </w:r>
      <w:r>
        <w:t>GB/T</w:t>
      </w:r>
      <w:r>
        <w:rPr>
          <w:spacing w:val="5"/>
        </w:rPr>
        <w:t xml:space="preserve"> </w:t>
      </w:r>
      <w:r>
        <w:t>13927</w:t>
      </w:r>
      <w:r>
        <w:rPr>
          <w:spacing w:val="-9"/>
        </w:rPr>
        <w:t xml:space="preserve"> </w:t>
      </w:r>
      <w:r>
        <w:rPr>
          <w:spacing w:val="-9"/>
        </w:rPr>
        <w:t>和《自动喷水灭火系统</w:t>
      </w:r>
      <w:r>
        <w:rPr>
          <w:spacing w:val="-9"/>
        </w:rPr>
        <w:t xml:space="preserve">   </w:t>
      </w:r>
      <w:r>
        <w:rPr>
          <w:spacing w:val="-9"/>
        </w:rPr>
        <w:t>第</w:t>
      </w:r>
      <w:r>
        <w:rPr>
          <w:spacing w:val="-9"/>
        </w:rPr>
        <w:t xml:space="preserve"> </w:t>
      </w:r>
      <w:r>
        <w:t>6</w:t>
      </w:r>
      <w:r>
        <w:rPr>
          <w:spacing w:val="-9"/>
        </w:rPr>
        <w:t xml:space="preserve"> </w:t>
      </w:r>
      <w:r>
        <w:rPr>
          <w:spacing w:val="-9"/>
        </w:rPr>
        <w:t>部分：通用阀门》</w:t>
      </w:r>
      <w:r>
        <w:t>GB</w:t>
      </w:r>
      <w:r>
        <w:rPr>
          <w:spacing w:val="5"/>
        </w:rPr>
        <w:t xml:space="preserve"> </w:t>
      </w:r>
      <w:r>
        <w:t>5135.6</w:t>
      </w:r>
      <w:r>
        <w:rPr>
          <w:spacing w:val="-9"/>
        </w:rPr>
        <w:t xml:space="preserve"> </w:t>
      </w:r>
      <w:r>
        <w:rPr>
          <w:spacing w:val="-9"/>
        </w:rPr>
        <w:t>等的有关规定；</w:t>
      </w:r>
      <w:r>
        <w:t xml:space="preserve"> </w:t>
      </w:r>
    </w:p>
    <w:p w14:paraId="106F6892" w14:textId="77777777" w:rsidR="00A71EEF" w:rsidRDefault="0081115D">
      <w:pPr>
        <w:pStyle w:val="a3"/>
        <w:spacing w:line="446" w:lineRule="auto"/>
        <w:ind w:left="838" w:right="1503"/>
      </w:pPr>
      <w:r>
        <w:rPr>
          <w:spacing w:val="-3"/>
        </w:rPr>
        <w:t>消防水泵接合器应符合现行国家标准《消防水泵接合器》</w:t>
      </w:r>
      <w:r>
        <w:t>GB</w:t>
      </w:r>
      <w:r>
        <w:rPr>
          <w:spacing w:val="3"/>
        </w:rPr>
        <w:t xml:space="preserve">  </w:t>
      </w:r>
      <w:r>
        <w:t>3446</w:t>
      </w:r>
      <w:r>
        <w:rPr>
          <w:spacing w:val="2"/>
        </w:rPr>
        <w:t xml:space="preserve"> </w:t>
      </w:r>
      <w:r>
        <w:rPr>
          <w:spacing w:val="2"/>
        </w:rPr>
        <w:t>的性能和质量要求；</w:t>
      </w:r>
      <w:r>
        <w:rPr>
          <w:spacing w:val="2"/>
        </w:rPr>
        <w:t xml:space="preserve"> </w:t>
      </w:r>
      <w:r>
        <w:rPr>
          <w:spacing w:val="-2"/>
        </w:rPr>
        <w:t>自动排气阀、减压阀、泄压阀、止回阀等阀门性能，应符合现行国家标准《通用阀门</w:t>
      </w:r>
      <w:r>
        <w:rPr>
          <w:spacing w:val="-2"/>
        </w:rPr>
        <w:t xml:space="preserve">   </w:t>
      </w:r>
      <w:r>
        <w:rPr>
          <w:spacing w:val="-2"/>
        </w:rPr>
        <w:t>压</w:t>
      </w:r>
    </w:p>
    <w:p w14:paraId="1D0B5D44" w14:textId="77777777" w:rsidR="00A71EEF" w:rsidRDefault="0081115D">
      <w:pPr>
        <w:pStyle w:val="a3"/>
        <w:spacing w:line="446" w:lineRule="auto"/>
        <w:ind w:left="418" w:right="1611"/>
        <w:jc w:val="both"/>
      </w:pPr>
      <w:r>
        <w:t>力试验》</w:t>
      </w:r>
      <w:r>
        <w:t>GB/T 13927</w:t>
      </w:r>
      <w:r>
        <w:t>、《自动喷水灭火系统</w:t>
      </w:r>
      <w:r>
        <w:t xml:space="preserve">  </w:t>
      </w:r>
      <w:r>
        <w:t>第</w:t>
      </w:r>
      <w:r>
        <w:t xml:space="preserve"> 6 </w:t>
      </w:r>
      <w:r>
        <w:t>部分：通用阀门》</w:t>
      </w:r>
      <w:r>
        <w:t>GB 5135.6</w:t>
      </w:r>
      <w:r>
        <w:t>、《压力释放装置</w:t>
      </w:r>
      <w:r>
        <w:t xml:space="preserve">  </w:t>
      </w:r>
      <w:r>
        <w:t>性能试验规范》</w:t>
      </w:r>
      <w:r>
        <w:t>GB/T 12242</w:t>
      </w:r>
      <w:r>
        <w:t>、《减压阀</w:t>
      </w:r>
      <w:r>
        <w:t xml:space="preserve">   </w:t>
      </w:r>
      <w:r>
        <w:t>性能试验方法》</w:t>
      </w:r>
      <w:r>
        <w:t>GB/T 12245</w:t>
      </w:r>
      <w:r>
        <w:t>、《安全阀一般要求》</w:t>
      </w:r>
      <w:r>
        <w:t>GB/T 12241</w:t>
      </w:r>
      <w:r>
        <w:t>、《阀门的检验与试验》</w:t>
      </w:r>
      <w:r>
        <w:t xml:space="preserve">JB/T 9092 </w:t>
      </w:r>
      <w:r>
        <w:t>等的有关规定；</w:t>
      </w:r>
      <w:r>
        <w:t xml:space="preserve"> </w:t>
      </w:r>
    </w:p>
    <w:p w14:paraId="5805C455" w14:textId="77777777" w:rsidR="00A71EEF" w:rsidRDefault="0081115D">
      <w:pPr>
        <w:pStyle w:val="a3"/>
        <w:spacing w:line="446" w:lineRule="auto"/>
        <w:ind w:left="838" w:right="2134"/>
      </w:pPr>
      <w:r>
        <w:rPr>
          <w:spacing w:val="-3"/>
        </w:rPr>
        <w:t>阀门应有清晰的铭牌、安全操作指示标志、产品</w:t>
      </w:r>
      <w:r>
        <w:rPr>
          <w:spacing w:val="-3"/>
        </w:rPr>
        <w:t>说明书和水流方向的永久性标志。检查数量：全数检查。</w:t>
      </w:r>
      <w:r>
        <w:t xml:space="preserve"> </w:t>
      </w:r>
    </w:p>
    <w:p w14:paraId="7049C76B" w14:textId="77777777" w:rsidR="00A71EEF" w:rsidRDefault="0081115D">
      <w:pPr>
        <w:pStyle w:val="a3"/>
        <w:spacing w:line="267" w:lineRule="exact"/>
        <w:ind w:left="838"/>
      </w:pPr>
      <w:r>
        <w:t>检查方法：直观检查及在专用试验装置上测试，主要测试设备有试压泵、压力表、秒表。</w:t>
      </w:r>
      <w:r>
        <w:t xml:space="preserve"> </w:t>
      </w:r>
    </w:p>
    <w:p w14:paraId="59744C34" w14:textId="77777777" w:rsidR="00A71EEF" w:rsidRDefault="00A71EEF">
      <w:pPr>
        <w:pStyle w:val="a3"/>
        <w:spacing w:before="12"/>
        <w:rPr>
          <w:sz w:val="17"/>
        </w:rPr>
      </w:pPr>
    </w:p>
    <w:p w14:paraId="5D9C5C4D" w14:textId="77777777" w:rsidR="00A71EEF" w:rsidRDefault="0081115D">
      <w:pPr>
        <w:pStyle w:val="a4"/>
        <w:numPr>
          <w:ilvl w:val="2"/>
          <w:numId w:val="231"/>
        </w:numPr>
        <w:tabs>
          <w:tab w:val="left" w:pos="1530"/>
        </w:tabs>
        <w:ind w:hanging="690"/>
        <w:rPr>
          <w:sz w:val="21"/>
        </w:rPr>
      </w:pPr>
      <w:r>
        <w:rPr>
          <w:spacing w:val="-3"/>
          <w:sz w:val="21"/>
        </w:rPr>
        <w:t>消防水泵控制柜的检验应符合下列要求：</w:t>
      </w:r>
      <w:r>
        <w:rPr>
          <w:sz w:val="21"/>
        </w:rPr>
        <w:t xml:space="preserve"> </w:t>
      </w:r>
    </w:p>
    <w:p w14:paraId="528DE803" w14:textId="77777777" w:rsidR="00A71EEF" w:rsidRDefault="00A71EEF">
      <w:pPr>
        <w:pStyle w:val="a3"/>
        <w:rPr>
          <w:sz w:val="18"/>
        </w:rPr>
      </w:pPr>
    </w:p>
    <w:p w14:paraId="290AA677" w14:textId="77777777" w:rsidR="00A71EEF" w:rsidRDefault="0081115D">
      <w:pPr>
        <w:pStyle w:val="a3"/>
        <w:spacing w:line="446" w:lineRule="auto"/>
        <w:ind w:left="418" w:right="1505" w:firstLine="419"/>
      </w:pPr>
      <w:r>
        <w:rPr>
          <w:spacing w:val="-5"/>
        </w:rPr>
        <w:t>消防水泵控制柜的控制功能应符合本规范第</w:t>
      </w:r>
      <w:r>
        <w:rPr>
          <w:spacing w:val="-5"/>
        </w:rPr>
        <w:t xml:space="preserve"> </w:t>
      </w:r>
      <w:r>
        <w:t>11</w:t>
      </w:r>
      <w:r>
        <w:rPr>
          <w:spacing w:val="-7"/>
        </w:rPr>
        <w:t xml:space="preserve"> </w:t>
      </w:r>
      <w:r>
        <w:rPr>
          <w:spacing w:val="-7"/>
        </w:rPr>
        <w:t>章和设计要求，并应经国家批准的质量监督</w:t>
      </w:r>
      <w:r>
        <w:rPr>
          <w:spacing w:val="-5"/>
        </w:rPr>
        <w:t>检验中心检测合格的产品；</w:t>
      </w:r>
      <w:r>
        <w:rPr>
          <w:spacing w:val="-5"/>
        </w:rPr>
        <w:t xml:space="preserve"> </w:t>
      </w:r>
    </w:p>
    <w:p w14:paraId="18A0E1E0" w14:textId="77777777" w:rsidR="00A71EEF" w:rsidRDefault="0081115D">
      <w:pPr>
        <w:pStyle w:val="a3"/>
        <w:ind w:left="838"/>
      </w:pPr>
      <w:r>
        <w:t>控制柜体应端正，表面应平整，涂层颜色应均匀一致，应无眩光，并应符合现行国家标准</w:t>
      </w:r>
    </w:p>
    <w:p w14:paraId="6F05FC27" w14:textId="77777777" w:rsidR="00A71EEF" w:rsidRDefault="00A71EEF">
      <w:pPr>
        <w:pStyle w:val="a3"/>
        <w:spacing w:before="12"/>
        <w:rPr>
          <w:sz w:val="17"/>
        </w:rPr>
      </w:pPr>
    </w:p>
    <w:p w14:paraId="53A763B2" w14:textId="77777777" w:rsidR="00A71EEF" w:rsidRDefault="0081115D">
      <w:pPr>
        <w:pStyle w:val="a3"/>
        <w:spacing w:line="446" w:lineRule="auto"/>
        <w:ind w:left="418" w:right="1558"/>
      </w:pPr>
      <w:r>
        <w:rPr>
          <w:spacing w:val="-9"/>
        </w:rPr>
        <w:t>《高度进制为</w:t>
      </w:r>
      <w:r>
        <w:rPr>
          <w:spacing w:val="-9"/>
        </w:rPr>
        <w:t xml:space="preserve"> </w:t>
      </w:r>
      <w:r>
        <w:t>20mm</w:t>
      </w:r>
      <w:r>
        <w:rPr>
          <w:spacing w:val="-8"/>
        </w:rPr>
        <w:t xml:space="preserve"> </w:t>
      </w:r>
      <w:r>
        <w:rPr>
          <w:spacing w:val="-8"/>
        </w:rPr>
        <w:t>的面板、架和柜的基本尺寸系列》</w:t>
      </w:r>
      <w:r>
        <w:t>GB/T 3047.1</w:t>
      </w:r>
      <w:r>
        <w:rPr>
          <w:spacing w:val="-8"/>
        </w:rPr>
        <w:t xml:space="preserve"> </w:t>
      </w:r>
      <w:r>
        <w:rPr>
          <w:spacing w:val="-8"/>
        </w:rPr>
        <w:t>的有关规定，且控制柜外表</w:t>
      </w:r>
      <w:r>
        <w:rPr>
          <w:spacing w:val="-5"/>
        </w:rPr>
        <w:t>面不应有明显的磕碰伤痕和变形掉漆；</w:t>
      </w:r>
      <w:r>
        <w:t xml:space="preserve"> </w:t>
      </w:r>
    </w:p>
    <w:p w14:paraId="57A8837F" w14:textId="77777777" w:rsidR="00A71EEF" w:rsidRDefault="0081115D">
      <w:pPr>
        <w:pStyle w:val="a3"/>
        <w:spacing w:line="446" w:lineRule="auto"/>
        <w:ind w:left="418" w:right="1609" w:firstLine="419"/>
      </w:pPr>
      <w:r>
        <w:t>控制柜面板应设有电源电压、电流、水泵（启）停状况、巡检状况、火警及故障的声光报警等显示；</w:t>
      </w:r>
      <w:r>
        <w:t xml:space="preserve"> </w:t>
      </w:r>
    </w:p>
    <w:p w14:paraId="76C98530" w14:textId="77777777" w:rsidR="00A71EEF" w:rsidRDefault="0081115D">
      <w:pPr>
        <w:pStyle w:val="a3"/>
        <w:spacing w:line="446" w:lineRule="auto"/>
        <w:ind w:left="418" w:right="1392" w:firstLine="419"/>
      </w:pPr>
      <w:r>
        <w:t>控制柜导线的颜色应符合现行国家标准《电工成套装置中的导线颜色》</w:t>
      </w:r>
      <w:r>
        <w:t xml:space="preserve">GB/T 2681 </w:t>
      </w:r>
      <w:r>
        <w:t>的有关规定；</w:t>
      </w:r>
      <w:r>
        <w:t xml:space="preserve"> </w:t>
      </w:r>
    </w:p>
    <w:p w14:paraId="2C076B6A" w14:textId="77777777" w:rsidR="00A71EEF" w:rsidRDefault="0081115D">
      <w:pPr>
        <w:pStyle w:val="a3"/>
        <w:ind w:left="838"/>
      </w:pPr>
      <w:r>
        <w:t>面板上的按钮、开关、指示灯应易于操作和观察且有功能标示，并应符合现行国家标准</w:t>
      </w:r>
    </w:p>
    <w:p w14:paraId="33B0876B" w14:textId="77777777" w:rsidR="00A71EEF" w:rsidRDefault="00A71EEF">
      <w:pPr>
        <w:pStyle w:val="a3"/>
        <w:spacing w:before="10"/>
        <w:rPr>
          <w:sz w:val="17"/>
        </w:rPr>
      </w:pPr>
    </w:p>
    <w:p w14:paraId="1647D968" w14:textId="77777777" w:rsidR="00A71EEF" w:rsidRDefault="0081115D">
      <w:pPr>
        <w:pStyle w:val="a3"/>
        <w:spacing w:line="446" w:lineRule="auto"/>
        <w:ind w:left="418" w:right="1431"/>
      </w:pPr>
      <w:r>
        <w:t>《电工成套装置中的导线颜色》</w:t>
      </w:r>
      <w:r>
        <w:t xml:space="preserve">GB/T 2681 </w:t>
      </w:r>
      <w:r>
        <w:t>和《电工成套装置中的指示灯和按钮的颜色》</w:t>
      </w:r>
      <w:r>
        <w:t xml:space="preserve">GB/T 2682 </w:t>
      </w:r>
      <w:r>
        <w:t>的有关规定；</w:t>
      </w:r>
      <w:r>
        <w:t xml:space="preserve"> </w:t>
      </w:r>
    </w:p>
    <w:p w14:paraId="5D6C33D6" w14:textId="77777777" w:rsidR="00A71EEF" w:rsidRDefault="0081115D">
      <w:pPr>
        <w:pStyle w:val="a3"/>
        <w:spacing w:before="1" w:line="446" w:lineRule="auto"/>
        <w:ind w:left="418" w:right="1455" w:firstLine="419"/>
      </w:pPr>
      <w:r>
        <w:rPr>
          <w:spacing w:val="-3"/>
        </w:rPr>
        <w:t>控制柜内的电器元件及材料的选用：应符合现行国家标准《控制用电磁继电器可靠性试验</w:t>
      </w:r>
      <w:r>
        <w:rPr>
          <w:spacing w:val="-3"/>
        </w:rPr>
        <w:t xml:space="preserve"> </w:t>
      </w:r>
      <w:r>
        <w:rPr>
          <w:spacing w:val="-3"/>
        </w:rPr>
        <w:t>通则》</w:t>
      </w:r>
      <w:r>
        <w:t>GB/T</w:t>
      </w:r>
      <w:r>
        <w:rPr>
          <w:spacing w:val="16"/>
        </w:rPr>
        <w:t xml:space="preserve"> </w:t>
      </w:r>
      <w:r>
        <w:t>15510</w:t>
      </w:r>
      <w:r>
        <w:rPr>
          <w:spacing w:val="-8"/>
        </w:rPr>
        <w:t xml:space="preserve"> </w:t>
      </w:r>
      <w:r>
        <w:rPr>
          <w:spacing w:val="-8"/>
        </w:rPr>
        <w:t>等的有关规定，并应安装合理，其工作位置应符合产品使用说明书的规定；</w:t>
      </w:r>
      <w:r>
        <w:t xml:space="preserve"> </w:t>
      </w:r>
    </w:p>
    <w:p w14:paraId="1B0D7668" w14:textId="77777777" w:rsidR="00A71EEF" w:rsidRDefault="00A71EEF">
      <w:pPr>
        <w:spacing w:line="446" w:lineRule="auto"/>
        <w:sectPr w:rsidR="00A71EEF">
          <w:pgSz w:w="11910" w:h="16850"/>
          <w:pgMar w:top="1220" w:right="0" w:bottom="1420" w:left="1260" w:header="0" w:footer="1239" w:gutter="0"/>
          <w:cols w:space="720"/>
        </w:sectPr>
      </w:pPr>
    </w:p>
    <w:p w14:paraId="6E842934" w14:textId="77777777" w:rsidR="00A71EEF" w:rsidRDefault="0081115D">
      <w:pPr>
        <w:pStyle w:val="a3"/>
        <w:spacing w:before="47" w:line="446" w:lineRule="auto"/>
        <w:ind w:left="418" w:right="1452" w:firstLine="419"/>
      </w:pPr>
      <w:r>
        <w:rPr>
          <w:spacing w:val="-5"/>
        </w:rPr>
        <w:t>控制柜应按现行国家标准《电工电子产品基本环境试验</w:t>
      </w:r>
      <w:r>
        <w:rPr>
          <w:spacing w:val="-5"/>
        </w:rPr>
        <w:t xml:space="preserve">  </w:t>
      </w:r>
      <w:r>
        <w:rPr>
          <w:spacing w:val="-5"/>
        </w:rPr>
        <w:t>第</w:t>
      </w:r>
      <w:r>
        <w:rPr>
          <w:spacing w:val="-5"/>
        </w:rPr>
        <w:t xml:space="preserve"> </w:t>
      </w:r>
      <w:r>
        <w:t>2</w:t>
      </w:r>
      <w:r>
        <w:rPr>
          <w:spacing w:val="-2"/>
        </w:rPr>
        <w:t xml:space="preserve"> </w:t>
      </w:r>
      <w:r>
        <w:rPr>
          <w:spacing w:val="-2"/>
        </w:rPr>
        <w:t>部分：试验方法</w:t>
      </w:r>
      <w:r>
        <w:rPr>
          <w:spacing w:val="-2"/>
        </w:rPr>
        <w:t xml:space="preserve">  </w:t>
      </w:r>
      <w:r>
        <w:rPr>
          <w:spacing w:val="-2"/>
        </w:rPr>
        <w:t>试验</w:t>
      </w:r>
      <w:r>
        <w:t>A</w:t>
      </w:r>
      <w:r>
        <w:t>：</w:t>
      </w:r>
      <w:r>
        <w:t xml:space="preserve"> </w:t>
      </w:r>
      <w:r>
        <w:rPr>
          <w:spacing w:val="-1"/>
        </w:rPr>
        <w:t>低温》</w:t>
      </w:r>
      <w:r>
        <w:t>GB/T</w:t>
      </w:r>
      <w:r>
        <w:rPr>
          <w:spacing w:val="11"/>
        </w:rPr>
        <w:t xml:space="preserve"> </w:t>
      </w:r>
      <w:r>
        <w:t>2423.1</w:t>
      </w:r>
      <w:r>
        <w:rPr>
          <w:spacing w:val="-9"/>
        </w:rPr>
        <w:t xml:space="preserve"> </w:t>
      </w:r>
      <w:r>
        <w:rPr>
          <w:spacing w:val="-9"/>
        </w:rPr>
        <w:t>的有关规定进行低温实验检测，检测结果不应产生影响正常工作</w:t>
      </w:r>
      <w:r>
        <w:rPr>
          <w:spacing w:val="-9"/>
        </w:rPr>
        <w:t>的故障；</w:t>
      </w:r>
      <w:r>
        <w:rPr>
          <w:spacing w:val="-9"/>
        </w:rPr>
        <w:t xml:space="preserve"> </w:t>
      </w:r>
    </w:p>
    <w:p w14:paraId="5F2D9D49" w14:textId="77777777" w:rsidR="00A71EEF" w:rsidRDefault="0081115D">
      <w:pPr>
        <w:pStyle w:val="a3"/>
        <w:spacing w:line="446" w:lineRule="auto"/>
        <w:ind w:left="418" w:right="1452" w:firstLine="419"/>
      </w:pPr>
      <w:r>
        <w:rPr>
          <w:spacing w:val="-5"/>
        </w:rPr>
        <w:t>控制柜应按现行国家标准《电工电子产品基本环境试验</w:t>
      </w:r>
      <w:r>
        <w:rPr>
          <w:spacing w:val="-5"/>
        </w:rPr>
        <w:t xml:space="preserve">  </w:t>
      </w:r>
      <w:r>
        <w:rPr>
          <w:spacing w:val="-5"/>
        </w:rPr>
        <w:t>第</w:t>
      </w:r>
      <w:r>
        <w:rPr>
          <w:spacing w:val="-5"/>
        </w:rPr>
        <w:t xml:space="preserve"> </w:t>
      </w:r>
      <w:r>
        <w:t>2</w:t>
      </w:r>
      <w:r>
        <w:rPr>
          <w:spacing w:val="-2"/>
        </w:rPr>
        <w:t xml:space="preserve"> </w:t>
      </w:r>
      <w:r>
        <w:rPr>
          <w:spacing w:val="-2"/>
        </w:rPr>
        <w:t>部分：试验方法</w:t>
      </w:r>
      <w:r>
        <w:rPr>
          <w:spacing w:val="-2"/>
        </w:rPr>
        <w:t xml:space="preserve">  </w:t>
      </w:r>
      <w:r>
        <w:rPr>
          <w:spacing w:val="-2"/>
        </w:rPr>
        <w:t>试验</w:t>
      </w:r>
      <w:r>
        <w:t>B</w:t>
      </w:r>
      <w:r>
        <w:t>：</w:t>
      </w:r>
      <w:r>
        <w:t xml:space="preserve"> </w:t>
      </w:r>
      <w:r>
        <w:rPr>
          <w:spacing w:val="-1"/>
        </w:rPr>
        <w:t>高温》</w:t>
      </w:r>
      <w:r>
        <w:t>GB/T</w:t>
      </w:r>
      <w:r>
        <w:rPr>
          <w:spacing w:val="11"/>
        </w:rPr>
        <w:t xml:space="preserve"> </w:t>
      </w:r>
      <w:r>
        <w:t>2423.2</w:t>
      </w:r>
      <w:r>
        <w:rPr>
          <w:spacing w:val="-9"/>
        </w:rPr>
        <w:t xml:space="preserve"> </w:t>
      </w:r>
      <w:r>
        <w:rPr>
          <w:spacing w:val="-9"/>
        </w:rPr>
        <w:t>的有关规定进行高温试验检测，检测结果不应产生影响正常工作的故障；</w:t>
      </w:r>
      <w:r>
        <w:rPr>
          <w:spacing w:val="-9"/>
        </w:rPr>
        <w:t xml:space="preserve"> </w:t>
      </w:r>
    </w:p>
    <w:p w14:paraId="73F7DAD9" w14:textId="77777777" w:rsidR="00A71EEF" w:rsidRDefault="0081115D">
      <w:pPr>
        <w:pStyle w:val="a3"/>
        <w:spacing w:line="446" w:lineRule="auto"/>
        <w:ind w:left="418" w:right="1347" w:firstLine="419"/>
      </w:pPr>
      <w:r>
        <w:rPr>
          <w:spacing w:val="-5"/>
        </w:rPr>
        <w:t>控制柜应按现行行业标准《固定消防给水设备的性能要求和试验方法</w:t>
      </w:r>
      <w:r>
        <w:rPr>
          <w:spacing w:val="-5"/>
        </w:rPr>
        <w:t xml:space="preserve">   </w:t>
      </w:r>
      <w:r>
        <w:rPr>
          <w:spacing w:val="-5"/>
        </w:rPr>
        <w:t>第</w:t>
      </w:r>
      <w:r>
        <w:rPr>
          <w:spacing w:val="-5"/>
        </w:rPr>
        <w:t xml:space="preserve"> </w:t>
      </w:r>
      <w:r>
        <w:t>2</w:t>
      </w:r>
      <w:r>
        <w:rPr>
          <w:spacing w:val="-10"/>
        </w:rPr>
        <w:t xml:space="preserve"> </w:t>
      </w:r>
      <w:r>
        <w:rPr>
          <w:spacing w:val="-10"/>
        </w:rPr>
        <w:t>部分：消防自</w:t>
      </w:r>
      <w:r>
        <w:rPr>
          <w:spacing w:val="-5"/>
        </w:rPr>
        <w:t>动恒压给水设备》</w:t>
      </w:r>
      <w:r>
        <w:t>GA 30.2</w:t>
      </w:r>
      <w:r>
        <w:rPr>
          <w:spacing w:val="-8"/>
        </w:rPr>
        <w:t xml:space="preserve"> </w:t>
      </w:r>
      <w:r>
        <w:rPr>
          <w:spacing w:val="-8"/>
        </w:rPr>
        <w:t>的有关规定进行湿热试验检测，检测结果不应产生影响工作的故障；</w:t>
      </w:r>
      <w:r>
        <w:t xml:space="preserve"> </w:t>
      </w:r>
    </w:p>
    <w:p w14:paraId="0693B52A" w14:textId="77777777" w:rsidR="00A71EEF" w:rsidRDefault="0081115D">
      <w:pPr>
        <w:pStyle w:val="a3"/>
        <w:spacing w:line="446" w:lineRule="auto"/>
        <w:ind w:left="418" w:right="1450" w:firstLine="419"/>
        <w:jc w:val="both"/>
      </w:pPr>
      <w:r>
        <w:rPr>
          <w:spacing w:val="-5"/>
        </w:rPr>
        <w:t>控制柜应按现行行业标准《固定消防给水设备的性能要求和试验方法</w:t>
      </w:r>
      <w:r>
        <w:rPr>
          <w:spacing w:val="-5"/>
        </w:rPr>
        <w:t xml:space="preserve">  </w:t>
      </w:r>
      <w:r>
        <w:rPr>
          <w:spacing w:val="-5"/>
        </w:rPr>
        <w:t>第</w:t>
      </w:r>
      <w:r>
        <w:rPr>
          <w:spacing w:val="-5"/>
        </w:rPr>
        <w:t xml:space="preserve"> </w:t>
      </w:r>
      <w:r>
        <w:t>2</w:t>
      </w:r>
      <w:r>
        <w:rPr>
          <w:spacing w:val="-10"/>
        </w:rPr>
        <w:t xml:space="preserve"> </w:t>
      </w:r>
      <w:r>
        <w:rPr>
          <w:spacing w:val="-10"/>
        </w:rPr>
        <w:t>部分：消防自</w:t>
      </w:r>
      <w:r>
        <w:rPr>
          <w:spacing w:val="-5"/>
        </w:rPr>
        <w:t>动恒压给水设备》</w:t>
      </w:r>
      <w:r>
        <w:t>GA 30.2</w:t>
      </w:r>
      <w:r>
        <w:rPr>
          <w:spacing w:val="-8"/>
        </w:rPr>
        <w:t xml:space="preserve"> </w:t>
      </w:r>
      <w:r>
        <w:rPr>
          <w:spacing w:val="-8"/>
        </w:rPr>
        <w:t>的有关规定进行振动试验检测，检测结果柜体结构及内部零部件应完</w:t>
      </w:r>
      <w:r>
        <w:rPr>
          <w:spacing w:val="-5"/>
        </w:rPr>
        <w:t>好无损，并不应产生影响正常工作的故障；</w:t>
      </w:r>
      <w:r>
        <w:t xml:space="preserve"> </w:t>
      </w:r>
    </w:p>
    <w:p w14:paraId="6B99C952" w14:textId="77777777" w:rsidR="00A71EEF" w:rsidRDefault="0081115D">
      <w:pPr>
        <w:pStyle w:val="a3"/>
        <w:spacing w:line="446" w:lineRule="auto"/>
        <w:ind w:left="418" w:right="1455" w:firstLine="419"/>
        <w:jc w:val="both"/>
      </w:pPr>
      <w:r>
        <w:rPr>
          <w:spacing w:val="-4"/>
        </w:rPr>
        <w:t>控制柜温升值应按现行国家标准《低压成套开关设备和控制设备</w:t>
      </w:r>
      <w:r>
        <w:rPr>
          <w:spacing w:val="-4"/>
        </w:rPr>
        <w:t xml:space="preserve">  </w:t>
      </w:r>
      <w:r>
        <w:rPr>
          <w:spacing w:val="-4"/>
        </w:rPr>
        <w:t>第</w:t>
      </w:r>
      <w:r>
        <w:rPr>
          <w:spacing w:val="-4"/>
        </w:rPr>
        <w:t xml:space="preserve"> </w:t>
      </w:r>
      <w:r>
        <w:t>1</w:t>
      </w:r>
      <w:r>
        <w:rPr>
          <w:spacing w:val="-9"/>
        </w:rPr>
        <w:t xml:space="preserve"> </w:t>
      </w:r>
      <w:r>
        <w:rPr>
          <w:spacing w:val="-9"/>
        </w:rPr>
        <w:t>部分：形式试验和</w:t>
      </w:r>
      <w:r>
        <w:rPr>
          <w:spacing w:val="-5"/>
        </w:rPr>
        <w:t>部分形式试验成套设备》</w:t>
      </w:r>
      <w:r>
        <w:t>GB/T 7251.1</w:t>
      </w:r>
      <w:r>
        <w:rPr>
          <w:spacing w:val="-8"/>
        </w:rPr>
        <w:t xml:space="preserve"> </w:t>
      </w:r>
      <w:r>
        <w:rPr>
          <w:spacing w:val="-8"/>
        </w:rPr>
        <w:t>的有关规定进行试验检测，检测结果不应产生影响正常工</w:t>
      </w:r>
      <w:r>
        <w:rPr>
          <w:spacing w:val="-6"/>
        </w:rPr>
        <w:t>作的故障；</w:t>
      </w:r>
      <w:r>
        <w:t xml:space="preserve"> </w:t>
      </w:r>
    </w:p>
    <w:p w14:paraId="05CD506B" w14:textId="77777777" w:rsidR="00A71EEF" w:rsidRDefault="0081115D">
      <w:pPr>
        <w:pStyle w:val="a3"/>
        <w:spacing w:line="446" w:lineRule="auto"/>
        <w:ind w:left="418" w:right="1558" w:firstLine="419"/>
        <w:jc w:val="both"/>
      </w:pPr>
      <w:r>
        <w:rPr>
          <w:spacing w:val="-3"/>
        </w:rPr>
        <w:t>控制柜中各带电回路之间及带电间隙和爬电距离，应按现行行业标准《固定消防给水设备</w:t>
      </w:r>
      <w:r>
        <w:rPr>
          <w:spacing w:val="-6"/>
        </w:rPr>
        <w:t>的性能要求和试验方法</w:t>
      </w:r>
      <w:r>
        <w:rPr>
          <w:spacing w:val="-6"/>
        </w:rPr>
        <w:t xml:space="preserve">  </w:t>
      </w:r>
      <w:r>
        <w:rPr>
          <w:spacing w:val="-6"/>
        </w:rPr>
        <w:t>第</w:t>
      </w:r>
      <w:r>
        <w:rPr>
          <w:spacing w:val="-6"/>
        </w:rPr>
        <w:t xml:space="preserve"> </w:t>
      </w:r>
      <w:r>
        <w:t>2</w:t>
      </w:r>
      <w:r>
        <w:rPr>
          <w:spacing w:val="-9"/>
        </w:rPr>
        <w:t xml:space="preserve"> </w:t>
      </w:r>
      <w:r>
        <w:rPr>
          <w:spacing w:val="-9"/>
        </w:rPr>
        <w:t>部分：消防自动恒压给水设备》</w:t>
      </w:r>
      <w:r>
        <w:t>GA 30.2</w:t>
      </w:r>
      <w:r>
        <w:rPr>
          <w:spacing w:val="-9"/>
        </w:rPr>
        <w:t xml:space="preserve"> </w:t>
      </w:r>
      <w:r>
        <w:rPr>
          <w:spacing w:val="-9"/>
        </w:rPr>
        <w:t>的有关规定进行试验检</w:t>
      </w:r>
      <w:r>
        <w:rPr>
          <w:spacing w:val="-5"/>
        </w:rPr>
        <w:t>测，检测结果不应产生影响正常工作的故障；</w:t>
      </w:r>
      <w:r>
        <w:t xml:space="preserve"> </w:t>
      </w:r>
    </w:p>
    <w:p w14:paraId="3092D5A4" w14:textId="77777777" w:rsidR="00A71EEF" w:rsidRDefault="0081115D">
      <w:pPr>
        <w:pStyle w:val="a3"/>
        <w:spacing w:line="446" w:lineRule="auto"/>
        <w:ind w:left="418" w:right="1450" w:firstLine="419"/>
      </w:pPr>
      <w:r>
        <w:rPr>
          <w:spacing w:val="-3"/>
        </w:rPr>
        <w:t>金属柜体上应有接地点，且其标志、线号标记、线径应按现行行业标准《固定消防给水设</w:t>
      </w:r>
      <w:r>
        <w:rPr>
          <w:spacing w:val="-3"/>
        </w:rPr>
        <w:t xml:space="preserve"> </w:t>
      </w:r>
      <w:r>
        <w:rPr>
          <w:spacing w:val="-5"/>
        </w:rPr>
        <w:t>备的性能要求和试验方法</w:t>
      </w:r>
      <w:r>
        <w:rPr>
          <w:spacing w:val="-5"/>
        </w:rPr>
        <w:t xml:space="preserve">  </w:t>
      </w:r>
      <w:r>
        <w:rPr>
          <w:spacing w:val="-5"/>
        </w:rPr>
        <w:t>第</w:t>
      </w:r>
      <w:r>
        <w:rPr>
          <w:spacing w:val="-5"/>
        </w:rPr>
        <w:t xml:space="preserve"> </w:t>
      </w:r>
      <w:r>
        <w:t>2</w:t>
      </w:r>
      <w:r>
        <w:rPr>
          <w:spacing w:val="-9"/>
        </w:rPr>
        <w:t xml:space="preserve"> </w:t>
      </w:r>
      <w:r>
        <w:rPr>
          <w:spacing w:val="-9"/>
        </w:rPr>
        <w:t>部分：消防自动恒压给水设备》</w:t>
      </w:r>
      <w:r>
        <w:t>GA30.2</w:t>
      </w:r>
      <w:r>
        <w:rPr>
          <w:spacing w:val="-9"/>
        </w:rPr>
        <w:t xml:space="preserve"> </w:t>
      </w:r>
      <w:r>
        <w:rPr>
          <w:spacing w:val="-9"/>
        </w:rPr>
        <w:t>的有关规定检测绝缘电</w:t>
      </w:r>
      <w:r>
        <w:rPr>
          <w:spacing w:val="-6"/>
        </w:rPr>
        <w:t>阻；控制柜中带电端子与机壳之间的绝缘电阻应大于</w:t>
      </w:r>
      <w:r>
        <w:rPr>
          <w:spacing w:val="-6"/>
        </w:rPr>
        <w:t xml:space="preserve"> </w:t>
      </w:r>
      <w:r>
        <w:t>20MΩ</w:t>
      </w:r>
      <w:r>
        <w:rPr>
          <w:spacing w:val="-3"/>
        </w:rPr>
        <w:t>，电源接线端子与地之间的绝缘电阻</w:t>
      </w:r>
      <w:r>
        <w:rPr>
          <w:spacing w:val="-15"/>
        </w:rPr>
        <w:t>应大于</w:t>
      </w:r>
      <w:r>
        <w:rPr>
          <w:spacing w:val="-15"/>
        </w:rPr>
        <w:t xml:space="preserve"> </w:t>
      </w:r>
      <w:r>
        <w:t>50MΩ</w:t>
      </w:r>
      <w:r>
        <w:t>；</w:t>
      </w:r>
      <w:r>
        <w:t xml:space="preserve"> </w:t>
      </w:r>
    </w:p>
    <w:p w14:paraId="0C1AB3F9" w14:textId="77777777" w:rsidR="00A71EEF" w:rsidRDefault="0081115D">
      <w:pPr>
        <w:pStyle w:val="a3"/>
        <w:spacing w:line="446" w:lineRule="auto"/>
        <w:ind w:left="418" w:right="1391" w:firstLine="419"/>
      </w:pPr>
      <w:r>
        <w:t>控制柜的</w:t>
      </w:r>
      <w:r>
        <w:t>介电强度试验应按现行国家标准《电气控制设备》</w:t>
      </w:r>
      <w:r>
        <w:t xml:space="preserve">GB/T 3739 </w:t>
      </w:r>
      <w:r>
        <w:t>的有关规定进行介电强度测试，测试结果应无击穿、无闪络；</w:t>
      </w:r>
      <w:r>
        <w:t xml:space="preserve"> </w:t>
      </w:r>
    </w:p>
    <w:p w14:paraId="7776FE31" w14:textId="77777777" w:rsidR="00A71EEF" w:rsidRDefault="0081115D">
      <w:pPr>
        <w:pStyle w:val="a3"/>
        <w:ind w:left="838"/>
      </w:pPr>
      <w:r>
        <w:t>在控制柜的明显部位应设置标志牌和控制原理图等；</w:t>
      </w:r>
      <w:r>
        <w:t xml:space="preserve"> </w:t>
      </w:r>
    </w:p>
    <w:p w14:paraId="2B029A7C" w14:textId="77777777" w:rsidR="00A71EEF" w:rsidRDefault="00A71EEF">
      <w:pPr>
        <w:pStyle w:val="a3"/>
        <w:spacing w:before="5"/>
        <w:rPr>
          <w:sz w:val="17"/>
        </w:rPr>
      </w:pPr>
    </w:p>
    <w:p w14:paraId="1DED441E" w14:textId="77777777" w:rsidR="00A71EEF" w:rsidRDefault="0081115D">
      <w:pPr>
        <w:pStyle w:val="a3"/>
        <w:spacing w:line="446" w:lineRule="auto"/>
        <w:ind w:left="418" w:right="1609" w:firstLine="419"/>
      </w:pPr>
      <w:r>
        <w:t>设备型号、规格、数量、标牌、线路图纸及说明书、设备表、材料表等技术文件应齐全，</w:t>
      </w:r>
      <w:r>
        <w:t xml:space="preserve"> </w:t>
      </w:r>
      <w:r>
        <w:t>并应符合设计要求。</w:t>
      </w:r>
      <w:r>
        <w:t xml:space="preserve"> </w:t>
      </w:r>
    </w:p>
    <w:p w14:paraId="325AE7CD" w14:textId="77777777" w:rsidR="00A71EEF" w:rsidRDefault="0081115D">
      <w:pPr>
        <w:pStyle w:val="a3"/>
        <w:ind w:left="838"/>
      </w:pPr>
      <w:r>
        <w:t>检查数量：全数检查。</w:t>
      </w:r>
      <w:r>
        <w:t xml:space="preserve"> </w:t>
      </w:r>
    </w:p>
    <w:p w14:paraId="647B6016" w14:textId="77777777" w:rsidR="00A71EEF" w:rsidRDefault="00A71EEF">
      <w:pPr>
        <w:pStyle w:val="a3"/>
        <w:rPr>
          <w:sz w:val="18"/>
        </w:rPr>
      </w:pPr>
    </w:p>
    <w:p w14:paraId="6C222A2B" w14:textId="77777777" w:rsidR="00A71EEF" w:rsidRDefault="0081115D">
      <w:pPr>
        <w:pStyle w:val="a3"/>
        <w:ind w:left="838"/>
      </w:pPr>
      <w:r>
        <w:t>检查方法：直观检查和查验认证文件。</w:t>
      </w:r>
      <w:r>
        <w:t xml:space="preserve"> </w:t>
      </w:r>
    </w:p>
    <w:p w14:paraId="75B8AF53" w14:textId="77777777" w:rsidR="00A71EEF" w:rsidRDefault="00A71EEF">
      <w:pPr>
        <w:pStyle w:val="a3"/>
        <w:spacing w:before="12"/>
        <w:rPr>
          <w:sz w:val="17"/>
        </w:rPr>
      </w:pPr>
    </w:p>
    <w:p w14:paraId="492AFF29" w14:textId="77777777" w:rsidR="00A71EEF" w:rsidRDefault="0081115D">
      <w:pPr>
        <w:pStyle w:val="a4"/>
        <w:numPr>
          <w:ilvl w:val="2"/>
          <w:numId w:val="231"/>
        </w:numPr>
        <w:tabs>
          <w:tab w:val="left" w:pos="1530"/>
        </w:tabs>
        <w:spacing w:line="446" w:lineRule="auto"/>
        <w:ind w:left="838" w:right="1445" w:firstLine="2"/>
        <w:rPr>
          <w:sz w:val="21"/>
        </w:rPr>
      </w:pPr>
      <w:r>
        <w:rPr>
          <w:spacing w:val="-3"/>
          <w:sz w:val="21"/>
        </w:rPr>
        <w:t>压力开关、流量开关、水位显示与控制开关等仪表的进场检验，应符合下列要求：</w:t>
      </w:r>
      <w:r>
        <w:rPr>
          <w:spacing w:val="-3"/>
          <w:sz w:val="21"/>
        </w:rPr>
        <w:t xml:space="preserve"> </w:t>
      </w:r>
      <w:r>
        <w:rPr>
          <w:spacing w:val="-3"/>
          <w:sz w:val="21"/>
        </w:rPr>
        <w:t>性能规格应满足设计要求；</w:t>
      </w:r>
      <w:r>
        <w:rPr>
          <w:spacing w:val="-3"/>
          <w:sz w:val="21"/>
        </w:rPr>
        <w:t xml:space="preserve"> </w:t>
      </w:r>
    </w:p>
    <w:p w14:paraId="118B930D" w14:textId="77777777" w:rsidR="00A71EEF" w:rsidRDefault="00A71EEF">
      <w:pPr>
        <w:spacing w:line="446" w:lineRule="auto"/>
        <w:rPr>
          <w:sz w:val="21"/>
        </w:rPr>
        <w:sectPr w:rsidR="00A71EEF">
          <w:pgSz w:w="11910" w:h="16850"/>
          <w:pgMar w:top="1220" w:right="0" w:bottom="1420" w:left="1260" w:header="0" w:footer="1239" w:gutter="0"/>
          <w:cols w:space="720"/>
        </w:sectPr>
      </w:pPr>
    </w:p>
    <w:p w14:paraId="32951451" w14:textId="77777777" w:rsidR="00A71EEF" w:rsidRDefault="0081115D">
      <w:pPr>
        <w:pStyle w:val="a3"/>
        <w:spacing w:before="47" w:line="446" w:lineRule="auto"/>
        <w:ind w:left="418" w:right="1611" w:firstLine="419"/>
      </w:pPr>
      <w:r>
        <w:rPr>
          <w:spacing w:val="-4"/>
        </w:rPr>
        <w:t>压力开关应符合现行国家标准《自动</w:t>
      </w:r>
      <w:r>
        <w:rPr>
          <w:spacing w:val="-4"/>
        </w:rPr>
        <w:t>喷水灭火系统</w:t>
      </w:r>
      <w:r>
        <w:rPr>
          <w:spacing w:val="-4"/>
        </w:rPr>
        <w:t xml:space="preserve"> </w:t>
      </w:r>
      <w:r>
        <w:rPr>
          <w:spacing w:val="-4"/>
        </w:rPr>
        <w:t>第</w:t>
      </w:r>
      <w:r>
        <w:rPr>
          <w:spacing w:val="-4"/>
        </w:rPr>
        <w:t xml:space="preserve"> </w:t>
      </w:r>
      <w:r>
        <w:t>10</w:t>
      </w:r>
      <w:r>
        <w:rPr>
          <w:spacing w:val="-10"/>
        </w:rPr>
        <w:t xml:space="preserve"> </w:t>
      </w:r>
      <w:r>
        <w:rPr>
          <w:spacing w:val="-10"/>
        </w:rPr>
        <w:t>部分：压力开关》</w:t>
      </w:r>
      <w:r>
        <w:t>GB</w:t>
      </w:r>
      <w:r>
        <w:rPr>
          <w:spacing w:val="8"/>
        </w:rPr>
        <w:t xml:space="preserve"> </w:t>
      </w:r>
      <w:r>
        <w:t xml:space="preserve">5135.10 </w:t>
      </w:r>
      <w:r>
        <w:rPr>
          <w:spacing w:val="-3"/>
        </w:rPr>
        <w:t>的性能和质量要求；</w:t>
      </w:r>
      <w:r>
        <w:t xml:space="preserve"> </w:t>
      </w:r>
    </w:p>
    <w:p w14:paraId="1C3942EA" w14:textId="77777777" w:rsidR="00A71EEF" w:rsidRDefault="0081115D">
      <w:pPr>
        <w:pStyle w:val="a3"/>
        <w:spacing w:line="446" w:lineRule="auto"/>
        <w:ind w:left="838" w:right="1505"/>
      </w:pPr>
      <w:r>
        <w:rPr>
          <w:spacing w:val="-3"/>
        </w:rPr>
        <w:t>水位显示与控制开关应符合现行国家标准《水位测量仪器》</w:t>
      </w:r>
      <w:r>
        <w:t>GB/T</w:t>
      </w:r>
      <w:r>
        <w:rPr>
          <w:spacing w:val="57"/>
        </w:rPr>
        <w:t xml:space="preserve"> </w:t>
      </w:r>
      <w:r>
        <w:t>11828</w:t>
      </w:r>
      <w:r>
        <w:rPr>
          <w:spacing w:val="-3"/>
        </w:rPr>
        <w:t xml:space="preserve"> </w:t>
      </w:r>
      <w:r>
        <w:rPr>
          <w:spacing w:val="-3"/>
        </w:rPr>
        <w:t>等的有关规定；</w:t>
      </w:r>
      <w:r>
        <w:rPr>
          <w:spacing w:val="-3"/>
        </w:rPr>
        <w:t xml:space="preserve"> </w:t>
      </w:r>
      <w:r>
        <w:rPr>
          <w:spacing w:val="-6"/>
        </w:rPr>
        <w:t>流量开关应能在管道流速为</w:t>
      </w:r>
      <w:r>
        <w:rPr>
          <w:spacing w:val="-6"/>
        </w:rPr>
        <w:t xml:space="preserve"> </w:t>
      </w:r>
      <w:r>
        <w:t>0.1</w:t>
      </w:r>
      <w:r>
        <w:t>～</w:t>
      </w:r>
      <w:r>
        <w:t>10m/s</w:t>
      </w:r>
      <w:r>
        <w:rPr>
          <w:spacing w:val="-7"/>
        </w:rPr>
        <w:t xml:space="preserve"> </w:t>
      </w:r>
      <w:r>
        <w:rPr>
          <w:spacing w:val="-7"/>
        </w:rPr>
        <w:t>时可靠启动，其他性能宜符合现行国家标准《自动</w:t>
      </w:r>
    </w:p>
    <w:p w14:paraId="5BC8DC87" w14:textId="77777777" w:rsidR="00A71EEF" w:rsidRDefault="0081115D">
      <w:pPr>
        <w:pStyle w:val="a3"/>
        <w:spacing w:line="446" w:lineRule="auto"/>
        <w:ind w:left="838" w:right="3975" w:hanging="420"/>
      </w:pPr>
      <w:r>
        <w:rPr>
          <w:spacing w:val="-7"/>
        </w:rPr>
        <w:t>喷水灭火系统</w:t>
      </w:r>
      <w:r>
        <w:rPr>
          <w:spacing w:val="-7"/>
        </w:rPr>
        <w:t xml:space="preserve">  </w:t>
      </w:r>
      <w:r>
        <w:rPr>
          <w:spacing w:val="-7"/>
        </w:rPr>
        <w:t>第</w:t>
      </w:r>
      <w:r>
        <w:rPr>
          <w:spacing w:val="-7"/>
        </w:rPr>
        <w:t xml:space="preserve"> </w:t>
      </w:r>
      <w:r>
        <w:t>7</w:t>
      </w:r>
      <w:r>
        <w:rPr>
          <w:spacing w:val="-9"/>
        </w:rPr>
        <w:t xml:space="preserve"> </w:t>
      </w:r>
      <w:r>
        <w:rPr>
          <w:spacing w:val="-9"/>
        </w:rPr>
        <w:t>部分：水流指示器》</w:t>
      </w:r>
      <w:r>
        <w:t>GB</w:t>
      </w:r>
      <w:r>
        <w:rPr>
          <w:spacing w:val="5"/>
        </w:rPr>
        <w:t xml:space="preserve"> </w:t>
      </w:r>
      <w:r>
        <w:t>5135.7</w:t>
      </w:r>
      <w:r>
        <w:rPr>
          <w:spacing w:val="-9"/>
        </w:rPr>
        <w:t xml:space="preserve"> </w:t>
      </w:r>
      <w:r>
        <w:rPr>
          <w:spacing w:val="-9"/>
        </w:rPr>
        <w:t>的有关规定；</w:t>
      </w:r>
      <w:r>
        <w:rPr>
          <w:spacing w:val="-9"/>
        </w:rPr>
        <w:t xml:space="preserve"> </w:t>
      </w:r>
      <w:r>
        <w:rPr>
          <w:spacing w:val="-3"/>
        </w:rPr>
        <w:t>外观完整不应有损伤。</w:t>
      </w:r>
      <w:r>
        <w:t xml:space="preserve"> </w:t>
      </w:r>
    </w:p>
    <w:p w14:paraId="43C118DC" w14:textId="77777777" w:rsidR="00A71EEF" w:rsidRDefault="0081115D">
      <w:pPr>
        <w:pStyle w:val="a3"/>
        <w:ind w:left="838"/>
      </w:pPr>
      <w:r>
        <w:rPr>
          <w:spacing w:val="-3"/>
        </w:rPr>
        <w:t>检查数量：全数检查。</w:t>
      </w:r>
      <w:r>
        <w:t xml:space="preserve"> </w:t>
      </w:r>
    </w:p>
    <w:p w14:paraId="61E38663" w14:textId="77777777" w:rsidR="00A71EEF" w:rsidRDefault="00A71EEF">
      <w:pPr>
        <w:pStyle w:val="a3"/>
        <w:spacing w:before="11"/>
        <w:rPr>
          <w:sz w:val="17"/>
        </w:rPr>
      </w:pPr>
    </w:p>
    <w:p w14:paraId="70A77554" w14:textId="77777777" w:rsidR="00A71EEF" w:rsidRDefault="0081115D">
      <w:pPr>
        <w:spacing w:line="446" w:lineRule="auto"/>
        <w:ind w:left="840" w:right="6129" w:hanging="3"/>
        <w:rPr>
          <w:b/>
          <w:sz w:val="21"/>
        </w:rPr>
      </w:pPr>
      <w:r>
        <w:rPr>
          <w:sz w:val="21"/>
        </w:rPr>
        <w:t>检查方法：直观检查和查验认证文件。</w:t>
      </w:r>
      <w:r>
        <w:rPr>
          <w:b/>
          <w:sz w:val="21"/>
        </w:rPr>
        <w:t xml:space="preserve">12.3 </w:t>
      </w:r>
      <w:r>
        <w:rPr>
          <w:sz w:val="21"/>
        </w:rPr>
        <w:t>施工</w:t>
      </w:r>
      <w:r>
        <w:rPr>
          <w:b/>
          <w:w w:val="99"/>
          <w:sz w:val="21"/>
        </w:rPr>
        <w:t xml:space="preserve"> </w:t>
      </w:r>
    </w:p>
    <w:p w14:paraId="634D10E6" w14:textId="77777777" w:rsidR="00A71EEF" w:rsidRDefault="0081115D">
      <w:pPr>
        <w:pStyle w:val="a4"/>
        <w:numPr>
          <w:ilvl w:val="2"/>
          <w:numId w:val="230"/>
        </w:numPr>
        <w:tabs>
          <w:tab w:val="left" w:pos="1530"/>
        </w:tabs>
        <w:ind w:hanging="690"/>
        <w:rPr>
          <w:sz w:val="21"/>
        </w:rPr>
      </w:pPr>
      <w:r>
        <w:rPr>
          <w:spacing w:val="-3"/>
          <w:sz w:val="21"/>
        </w:rPr>
        <w:t>消防给水及消火栓系统的安装应符合下列要求：</w:t>
      </w:r>
      <w:r>
        <w:rPr>
          <w:sz w:val="21"/>
        </w:rPr>
        <w:t xml:space="preserve"> </w:t>
      </w:r>
    </w:p>
    <w:p w14:paraId="1E8E2B49" w14:textId="77777777" w:rsidR="00A71EEF" w:rsidRDefault="00A71EEF">
      <w:pPr>
        <w:pStyle w:val="a3"/>
        <w:spacing w:before="12"/>
        <w:rPr>
          <w:sz w:val="17"/>
        </w:rPr>
      </w:pPr>
    </w:p>
    <w:p w14:paraId="4F1F604B" w14:textId="77777777" w:rsidR="00A71EEF" w:rsidRDefault="0081115D">
      <w:pPr>
        <w:pStyle w:val="a3"/>
        <w:spacing w:line="446" w:lineRule="auto"/>
        <w:ind w:left="418" w:right="1609" w:firstLine="419"/>
      </w:pPr>
      <w:r>
        <w:t>消防水泵、消防水箱、消防水池、消防气压给水设备、消防水泵接合器等供水设施及其附属管道安装前，应清除其内部污垢和杂物；</w:t>
      </w:r>
      <w:r>
        <w:t xml:space="preserve"> </w:t>
      </w:r>
    </w:p>
    <w:p w14:paraId="01BDEFBF" w14:textId="77777777" w:rsidR="00A71EEF" w:rsidRDefault="0081115D">
      <w:pPr>
        <w:pStyle w:val="a3"/>
        <w:spacing w:line="446" w:lineRule="auto"/>
        <w:ind w:left="838" w:right="1925"/>
      </w:pPr>
      <w:r>
        <w:rPr>
          <w:spacing w:val="-3"/>
        </w:rPr>
        <w:t>消防供水设施应采取安全可靠的防护措施，其安装位置应便于日常操作和维护管理；</w:t>
      </w:r>
      <w:r>
        <w:rPr>
          <w:spacing w:val="-3"/>
        </w:rPr>
        <w:t xml:space="preserve"> </w:t>
      </w:r>
      <w:r>
        <w:rPr>
          <w:spacing w:val="-3"/>
        </w:rPr>
        <w:t>管道的安装应采用符合管材的施工工艺，管道安装中断时，其敞口处应封闭。</w:t>
      </w:r>
      <w:r>
        <w:rPr>
          <w:spacing w:val="-3"/>
        </w:rPr>
        <w:t xml:space="preserve"> </w:t>
      </w:r>
    </w:p>
    <w:p w14:paraId="6EA32556" w14:textId="77777777" w:rsidR="00A71EEF" w:rsidRDefault="0081115D">
      <w:pPr>
        <w:pStyle w:val="a4"/>
        <w:numPr>
          <w:ilvl w:val="2"/>
          <w:numId w:val="230"/>
        </w:numPr>
        <w:tabs>
          <w:tab w:val="left" w:pos="1530"/>
        </w:tabs>
        <w:spacing w:line="267" w:lineRule="exact"/>
        <w:ind w:hanging="690"/>
        <w:rPr>
          <w:sz w:val="21"/>
        </w:rPr>
      </w:pPr>
      <w:r>
        <w:rPr>
          <w:spacing w:val="-3"/>
          <w:sz w:val="21"/>
        </w:rPr>
        <w:t>消防水泵的安装应符合下列要求：</w:t>
      </w:r>
      <w:r>
        <w:rPr>
          <w:sz w:val="21"/>
        </w:rPr>
        <w:t xml:space="preserve"> </w:t>
      </w:r>
    </w:p>
    <w:p w14:paraId="03DC41DE" w14:textId="77777777" w:rsidR="00A71EEF" w:rsidRDefault="00A71EEF">
      <w:pPr>
        <w:pStyle w:val="a3"/>
        <w:spacing w:before="2"/>
        <w:rPr>
          <w:sz w:val="18"/>
        </w:rPr>
      </w:pPr>
    </w:p>
    <w:p w14:paraId="33D7A22A" w14:textId="77777777" w:rsidR="00A71EEF" w:rsidRDefault="0081115D">
      <w:pPr>
        <w:pStyle w:val="a3"/>
        <w:spacing w:line="446" w:lineRule="auto"/>
        <w:ind w:left="418" w:right="1609" w:firstLine="419"/>
      </w:pPr>
      <w:r>
        <w:t>消防水泵安装前应校核产品合格证，以及其规格、型号和性能与设计要求应一致，并应根据安装使用说明书安装；</w:t>
      </w:r>
      <w:r>
        <w:t xml:space="preserve"> </w:t>
      </w:r>
    </w:p>
    <w:p w14:paraId="7274E7CB" w14:textId="77777777" w:rsidR="00A71EEF" w:rsidRDefault="0081115D">
      <w:pPr>
        <w:pStyle w:val="a3"/>
        <w:spacing w:line="446" w:lineRule="auto"/>
        <w:ind w:left="418" w:right="1817" w:firstLine="419"/>
      </w:pPr>
      <w:r>
        <w:t>消防水泵安装前应复核水泵基础混凝土强度、隔振装置、坐标、</w:t>
      </w:r>
      <w:r>
        <w:t>标高、尺寸和螺栓孔位置；</w:t>
      </w:r>
      <w:r>
        <w:t xml:space="preserve"> </w:t>
      </w:r>
    </w:p>
    <w:p w14:paraId="09ED3BFA" w14:textId="77777777" w:rsidR="00A71EEF" w:rsidRDefault="0081115D">
      <w:pPr>
        <w:pStyle w:val="a3"/>
        <w:spacing w:line="446" w:lineRule="auto"/>
        <w:ind w:left="418" w:right="1608" w:firstLine="419"/>
      </w:pPr>
      <w:r>
        <w:t>消防水泵的安装应符合现行国家标准《机械设备安装工程施工及验收通用规范》</w:t>
      </w:r>
      <w:r>
        <w:t xml:space="preserve">GB 50231 </w:t>
      </w:r>
      <w:r>
        <w:t>和《风机、压缩机、泵安装工程施工及验收规范》</w:t>
      </w:r>
      <w:r>
        <w:t xml:space="preserve">GB 50275 </w:t>
      </w:r>
      <w:r>
        <w:t>的有关规定；</w:t>
      </w:r>
      <w:r>
        <w:t xml:space="preserve"> </w:t>
      </w:r>
    </w:p>
    <w:p w14:paraId="6D22A894" w14:textId="77777777" w:rsidR="00A71EEF" w:rsidRDefault="0081115D">
      <w:pPr>
        <w:pStyle w:val="a3"/>
        <w:spacing w:line="446" w:lineRule="auto"/>
        <w:ind w:left="418" w:right="1609" w:firstLine="419"/>
      </w:pPr>
      <w:r>
        <w:t>消防水泵安装前应复核消防水泵之间，以及消防水泵与墙或其他设备之间的间距，并应满足安装、运行和维护管理的要求；</w:t>
      </w:r>
      <w:r>
        <w:t xml:space="preserve"> </w:t>
      </w:r>
    </w:p>
    <w:p w14:paraId="65AA2FE6" w14:textId="77777777" w:rsidR="00A71EEF" w:rsidRDefault="0081115D">
      <w:pPr>
        <w:pStyle w:val="a3"/>
        <w:spacing w:line="446" w:lineRule="auto"/>
        <w:ind w:left="418" w:right="1608" w:firstLine="419"/>
        <w:jc w:val="both"/>
      </w:pPr>
      <w:r>
        <w:t>消防水泵吸水管上的控制阀应在消防水泵固定于基础上后再进行安装，其直径不应小于消防水泵吸水口直径，且不应采用没有可靠锁定装置的控制阀，控制阀应采用沟槽式或法兰式阀门；</w:t>
      </w:r>
      <w:r>
        <w:t xml:space="preserve"> </w:t>
      </w:r>
    </w:p>
    <w:p w14:paraId="4CFC6764" w14:textId="77777777" w:rsidR="00A71EEF" w:rsidRDefault="0081115D">
      <w:pPr>
        <w:pStyle w:val="a3"/>
        <w:spacing w:line="446" w:lineRule="auto"/>
        <w:ind w:left="418" w:right="1609" w:firstLine="419"/>
      </w:pPr>
      <w:r>
        <w:t>当消防水泵和消防水池位于独立的两个基础上且相互为刚性连接时，吸水管上应加设柔性连接管；</w:t>
      </w:r>
      <w:r>
        <w:t xml:space="preserve"> </w:t>
      </w:r>
    </w:p>
    <w:p w14:paraId="0A174332" w14:textId="77777777" w:rsidR="00A71EEF" w:rsidRDefault="00A71EEF">
      <w:pPr>
        <w:spacing w:line="446" w:lineRule="auto"/>
        <w:sectPr w:rsidR="00A71EEF">
          <w:pgSz w:w="11910" w:h="16850"/>
          <w:pgMar w:top="1220" w:right="0" w:bottom="1420" w:left="1260" w:header="0" w:footer="1239" w:gutter="0"/>
          <w:cols w:space="720"/>
        </w:sectPr>
      </w:pPr>
    </w:p>
    <w:p w14:paraId="39797CCD" w14:textId="77777777" w:rsidR="00A71EEF" w:rsidRDefault="0081115D">
      <w:pPr>
        <w:pStyle w:val="a3"/>
        <w:spacing w:before="47" w:line="446" w:lineRule="auto"/>
        <w:ind w:left="418" w:right="1609" w:firstLine="419"/>
      </w:pPr>
      <w:r>
        <w:t>吸水管水平管段上不应有气囊和漏气现象。变径连接时，应采用偏心异径管件并应采用管顶平接；</w:t>
      </w:r>
      <w:r>
        <w:t xml:space="preserve"> </w:t>
      </w:r>
    </w:p>
    <w:p w14:paraId="04B5A1B0" w14:textId="77777777" w:rsidR="00A71EEF" w:rsidRDefault="0081115D">
      <w:pPr>
        <w:pStyle w:val="a3"/>
        <w:spacing w:line="446" w:lineRule="auto"/>
        <w:ind w:left="418" w:right="1608" w:firstLine="419"/>
        <w:jc w:val="both"/>
      </w:pPr>
      <w:r>
        <w:t>消防水泵出水管上应安装消声止回阀、控制阀和压力表；系统的总出水管上还应安装压力表和压力开关；安装压力表时应加设缓冲装置。压力表和</w:t>
      </w:r>
      <w:r>
        <w:t>缓冲装置之间应安装旋塞；压力表量程在没有设计要求时，应为系统工作压力的</w:t>
      </w:r>
      <w:r>
        <w:t xml:space="preserve"> 2 </w:t>
      </w:r>
      <w:r>
        <w:t>倍～</w:t>
      </w:r>
      <w:r>
        <w:t xml:space="preserve">2.5 </w:t>
      </w:r>
      <w:r>
        <w:t>倍；</w:t>
      </w:r>
      <w:r>
        <w:t xml:space="preserve"> </w:t>
      </w:r>
    </w:p>
    <w:p w14:paraId="47088EEA" w14:textId="77777777" w:rsidR="00A71EEF" w:rsidRDefault="0081115D">
      <w:pPr>
        <w:pStyle w:val="a3"/>
        <w:spacing w:line="446" w:lineRule="auto"/>
        <w:ind w:left="418" w:right="1609" w:firstLine="419"/>
      </w:pPr>
      <w:r>
        <w:t>消防水泵的隔振装置、进出水管柔性接头的安装应符合设计要求，并应有产品说明和安装使用说明。</w:t>
      </w:r>
      <w:r>
        <w:t xml:space="preserve"> </w:t>
      </w:r>
    </w:p>
    <w:p w14:paraId="2E5F86C4" w14:textId="77777777" w:rsidR="00A71EEF" w:rsidRDefault="0081115D">
      <w:pPr>
        <w:pStyle w:val="a3"/>
        <w:ind w:left="838"/>
      </w:pPr>
      <w:r>
        <w:t>检查数量：全数检查。</w:t>
      </w:r>
      <w:r>
        <w:t xml:space="preserve"> </w:t>
      </w:r>
    </w:p>
    <w:p w14:paraId="21C1EC4A" w14:textId="77777777" w:rsidR="00A71EEF" w:rsidRDefault="00A71EEF">
      <w:pPr>
        <w:pStyle w:val="a3"/>
        <w:spacing w:before="9"/>
        <w:rPr>
          <w:sz w:val="17"/>
        </w:rPr>
      </w:pPr>
    </w:p>
    <w:p w14:paraId="2792999E" w14:textId="77777777" w:rsidR="00A71EEF" w:rsidRDefault="0081115D">
      <w:pPr>
        <w:pStyle w:val="a3"/>
        <w:spacing w:before="1"/>
        <w:ind w:left="838"/>
      </w:pPr>
      <w:r>
        <w:t>检查方法：核实设计图、核对产品的性能检验报告、直观检查。</w:t>
      </w:r>
      <w:r>
        <w:t xml:space="preserve"> </w:t>
      </w:r>
    </w:p>
    <w:p w14:paraId="3E1C07DB" w14:textId="77777777" w:rsidR="00A71EEF" w:rsidRDefault="00A71EEF">
      <w:pPr>
        <w:pStyle w:val="a3"/>
        <w:spacing w:before="1"/>
        <w:rPr>
          <w:sz w:val="18"/>
        </w:rPr>
      </w:pPr>
    </w:p>
    <w:p w14:paraId="54664502" w14:textId="77777777" w:rsidR="00A71EEF" w:rsidRDefault="0081115D">
      <w:pPr>
        <w:pStyle w:val="a4"/>
        <w:numPr>
          <w:ilvl w:val="2"/>
          <w:numId w:val="230"/>
        </w:numPr>
        <w:tabs>
          <w:tab w:val="left" w:pos="1530"/>
        </w:tabs>
        <w:spacing w:before="1" w:line="446" w:lineRule="auto"/>
        <w:ind w:left="838" w:right="1654" w:firstLine="2"/>
        <w:rPr>
          <w:sz w:val="21"/>
        </w:rPr>
      </w:pPr>
      <w:r>
        <w:rPr>
          <w:spacing w:val="-3"/>
          <w:sz w:val="21"/>
        </w:rPr>
        <w:t>天然水源取水口、地下水井、消防水池和消防水箱安装施工，应符合下列要求：</w:t>
      </w:r>
      <w:r>
        <w:rPr>
          <w:spacing w:val="-3"/>
          <w:sz w:val="21"/>
        </w:rPr>
        <w:t xml:space="preserve"> </w:t>
      </w:r>
      <w:r>
        <w:rPr>
          <w:spacing w:val="-3"/>
          <w:sz w:val="21"/>
        </w:rPr>
        <w:t>天然水源取水口、地下水井、消防水池和消防水箱的水位、出水量、有效容积、安装位</w:t>
      </w:r>
    </w:p>
    <w:p w14:paraId="72723F81" w14:textId="77777777" w:rsidR="00A71EEF" w:rsidRDefault="0081115D">
      <w:pPr>
        <w:pStyle w:val="a3"/>
        <w:spacing w:line="267" w:lineRule="exact"/>
        <w:ind w:left="418"/>
      </w:pPr>
      <w:r>
        <w:t>置，应符合设计要求；</w:t>
      </w:r>
      <w:r>
        <w:t xml:space="preserve"> </w:t>
      </w:r>
    </w:p>
    <w:p w14:paraId="23FB39A4" w14:textId="77777777" w:rsidR="00A71EEF" w:rsidRDefault="00A71EEF">
      <w:pPr>
        <w:pStyle w:val="a3"/>
        <w:spacing w:before="1"/>
        <w:rPr>
          <w:sz w:val="18"/>
        </w:rPr>
      </w:pPr>
    </w:p>
    <w:p w14:paraId="77DF1321" w14:textId="77777777" w:rsidR="00A71EEF" w:rsidRDefault="0081115D">
      <w:pPr>
        <w:pStyle w:val="a3"/>
        <w:ind w:left="838"/>
      </w:pPr>
      <w:r>
        <w:t>天然水源取水口、地下水井、消防水池、消防水箱的施工和安装，应符合现行国家标准</w:t>
      </w:r>
    </w:p>
    <w:p w14:paraId="43EDCEED" w14:textId="77777777" w:rsidR="00A71EEF" w:rsidRDefault="00A71EEF">
      <w:pPr>
        <w:pStyle w:val="a3"/>
        <w:rPr>
          <w:sz w:val="18"/>
        </w:rPr>
      </w:pPr>
    </w:p>
    <w:p w14:paraId="15283058" w14:textId="77777777" w:rsidR="00A71EEF" w:rsidRDefault="0081115D">
      <w:pPr>
        <w:pStyle w:val="a3"/>
        <w:spacing w:line="446" w:lineRule="auto"/>
        <w:ind w:left="418" w:right="1497"/>
      </w:pPr>
      <w:r>
        <w:t>《给水排水构筑物工程施工及验收规范》</w:t>
      </w:r>
      <w:r>
        <w:t>GB 50141</w:t>
      </w:r>
      <w:r>
        <w:t>、《供水管井技术规范》</w:t>
      </w:r>
      <w:r>
        <w:t xml:space="preserve">GB 50296 </w:t>
      </w:r>
      <w:r>
        <w:t>和《建筑给水排水及采暖工程施工质量验收规范》</w:t>
      </w:r>
      <w:r>
        <w:t xml:space="preserve">GB 50242 </w:t>
      </w:r>
      <w:r>
        <w:t>的有关规定；</w:t>
      </w:r>
      <w:r>
        <w:t xml:space="preserve"> </w:t>
      </w:r>
    </w:p>
    <w:p w14:paraId="41D35611" w14:textId="77777777" w:rsidR="00A71EEF" w:rsidRDefault="0081115D">
      <w:pPr>
        <w:pStyle w:val="a3"/>
        <w:spacing w:line="446" w:lineRule="auto"/>
        <w:ind w:left="838" w:right="1609"/>
      </w:pPr>
      <w:r>
        <w:rPr>
          <w:spacing w:val="-3"/>
        </w:rPr>
        <w:t>消防水池和消防水箱出水管或水泵吸水管应满足最低有效水位出水不掺气的技术要求；</w:t>
      </w:r>
      <w:r>
        <w:rPr>
          <w:spacing w:val="-3"/>
        </w:rPr>
        <w:t xml:space="preserve"> </w:t>
      </w:r>
      <w:r>
        <w:rPr>
          <w:spacing w:val="-3"/>
        </w:rPr>
        <w:t>安装时池外壁与建筑本体结构墙面或其他池壁之间的净距，应满足施工、装配和检修的需</w:t>
      </w:r>
    </w:p>
    <w:p w14:paraId="6399A98F" w14:textId="77777777" w:rsidR="00A71EEF" w:rsidRDefault="0081115D">
      <w:pPr>
        <w:pStyle w:val="a3"/>
        <w:spacing w:line="267" w:lineRule="exact"/>
        <w:ind w:left="418"/>
      </w:pPr>
      <w:r>
        <w:t>要；</w:t>
      </w:r>
      <w:r>
        <w:t xml:space="preserve"> </w:t>
      </w:r>
    </w:p>
    <w:p w14:paraId="190AB58F" w14:textId="77777777" w:rsidR="00A71EEF" w:rsidRDefault="00A71EEF">
      <w:pPr>
        <w:pStyle w:val="a3"/>
        <w:spacing w:before="2"/>
        <w:rPr>
          <w:sz w:val="18"/>
        </w:rPr>
      </w:pPr>
    </w:p>
    <w:p w14:paraId="4AE3E3EC" w14:textId="77777777" w:rsidR="00A71EEF" w:rsidRDefault="0081115D">
      <w:pPr>
        <w:pStyle w:val="a3"/>
        <w:spacing w:line="446" w:lineRule="auto"/>
        <w:ind w:left="418" w:right="1505" w:firstLine="419"/>
        <w:jc w:val="both"/>
      </w:pPr>
      <w:r>
        <w:rPr>
          <w:spacing w:val="-3"/>
        </w:rPr>
        <w:t>钢筋混凝土制作的消防水池和消防水箱的进出水等管道应加设防水套管，钢板等制作的消防水池和消防水箱</w:t>
      </w:r>
      <w:r>
        <w:rPr>
          <w:spacing w:val="-3"/>
        </w:rPr>
        <w:t>的进出水等管道宜采用法兰连接，对有振动的管道应加设柔性接头。组合式消防水池或消防水箱的进水管、出水管接头宜采用法兰连接，采用其他连接时应做防锈处理；</w:t>
      </w:r>
      <w:r>
        <w:t xml:space="preserve"> </w:t>
      </w:r>
    </w:p>
    <w:p w14:paraId="23ABBEAF" w14:textId="77777777" w:rsidR="00A71EEF" w:rsidRDefault="0081115D">
      <w:pPr>
        <w:pStyle w:val="a3"/>
        <w:spacing w:line="446" w:lineRule="auto"/>
        <w:ind w:left="418" w:right="1609" w:firstLine="419"/>
      </w:pPr>
      <w:r>
        <w:t>消防水池、消防水箱的溢流管、泄水管不应与生产或生活用水的排水系统直接相连，应采用间接排水方式。</w:t>
      </w:r>
      <w:r>
        <w:t xml:space="preserve"> </w:t>
      </w:r>
    </w:p>
    <w:p w14:paraId="0EBF1346" w14:textId="77777777" w:rsidR="00A71EEF" w:rsidRDefault="0081115D">
      <w:pPr>
        <w:pStyle w:val="a3"/>
        <w:spacing w:line="267" w:lineRule="exact"/>
        <w:ind w:left="838"/>
      </w:pPr>
      <w:r>
        <w:t>检查数量：全数检查。</w:t>
      </w:r>
      <w:r>
        <w:t xml:space="preserve"> </w:t>
      </w:r>
    </w:p>
    <w:p w14:paraId="535313C9" w14:textId="77777777" w:rsidR="00A71EEF" w:rsidRDefault="00A71EEF">
      <w:pPr>
        <w:pStyle w:val="a3"/>
        <w:spacing w:before="1"/>
        <w:rPr>
          <w:sz w:val="18"/>
        </w:rPr>
      </w:pPr>
    </w:p>
    <w:p w14:paraId="352AD811" w14:textId="77777777" w:rsidR="00A71EEF" w:rsidRDefault="0081115D">
      <w:pPr>
        <w:pStyle w:val="a3"/>
        <w:ind w:left="838"/>
      </w:pPr>
      <w:r>
        <w:t>检查方法：核实设计图、直观检查。</w:t>
      </w:r>
      <w:r>
        <w:t xml:space="preserve"> </w:t>
      </w:r>
    </w:p>
    <w:p w14:paraId="47AFDA0B" w14:textId="77777777" w:rsidR="00A71EEF" w:rsidRDefault="00A71EEF">
      <w:pPr>
        <w:pStyle w:val="a3"/>
        <w:rPr>
          <w:sz w:val="18"/>
        </w:rPr>
      </w:pPr>
    </w:p>
    <w:p w14:paraId="404CB7FB" w14:textId="77777777" w:rsidR="00A71EEF" w:rsidRDefault="0081115D">
      <w:pPr>
        <w:pStyle w:val="a4"/>
        <w:numPr>
          <w:ilvl w:val="2"/>
          <w:numId w:val="230"/>
        </w:numPr>
        <w:tabs>
          <w:tab w:val="left" w:pos="1530"/>
        </w:tabs>
        <w:ind w:hanging="690"/>
        <w:rPr>
          <w:sz w:val="21"/>
        </w:rPr>
      </w:pPr>
      <w:r>
        <w:rPr>
          <w:spacing w:val="-3"/>
          <w:sz w:val="21"/>
        </w:rPr>
        <w:t>气压水罐安装应符合下列要求：</w:t>
      </w:r>
      <w:r>
        <w:rPr>
          <w:sz w:val="21"/>
        </w:rPr>
        <w:t xml:space="preserve"> </w:t>
      </w:r>
    </w:p>
    <w:p w14:paraId="5A3AE5CF" w14:textId="77777777" w:rsidR="00A71EEF" w:rsidRDefault="00A71EEF">
      <w:pPr>
        <w:pStyle w:val="a3"/>
        <w:rPr>
          <w:sz w:val="18"/>
        </w:rPr>
      </w:pPr>
    </w:p>
    <w:p w14:paraId="208F16EF" w14:textId="77777777" w:rsidR="00A71EEF" w:rsidRDefault="0081115D">
      <w:pPr>
        <w:pStyle w:val="a3"/>
        <w:ind w:left="838"/>
      </w:pPr>
      <w:r>
        <w:t>气压水罐有效容积、气压、水位及设计压力应符合设计要求；</w:t>
      </w:r>
      <w:r>
        <w:t xml:space="preserve"> </w:t>
      </w:r>
    </w:p>
    <w:p w14:paraId="2C6F9568" w14:textId="77777777" w:rsidR="00A71EEF" w:rsidRDefault="00A71EEF">
      <w:pPr>
        <w:pStyle w:val="a3"/>
        <w:spacing w:before="1"/>
        <w:rPr>
          <w:sz w:val="18"/>
        </w:rPr>
      </w:pPr>
    </w:p>
    <w:p w14:paraId="4FC394AA" w14:textId="77777777" w:rsidR="00A71EEF" w:rsidRDefault="0081115D">
      <w:pPr>
        <w:pStyle w:val="a3"/>
        <w:spacing w:before="1"/>
        <w:ind w:left="838"/>
      </w:pPr>
      <w:r>
        <w:t>气压水罐安装位置和间距、进水管及出水管方向应符合设计要求；出水管上应设止回阀；</w:t>
      </w:r>
      <w:r>
        <w:t xml:space="preserve"> </w:t>
      </w:r>
    </w:p>
    <w:p w14:paraId="1D2B2E74" w14:textId="77777777" w:rsidR="00A71EEF" w:rsidRDefault="00A71EEF">
      <w:pPr>
        <w:sectPr w:rsidR="00A71EEF">
          <w:pgSz w:w="11910" w:h="16850"/>
          <w:pgMar w:top="1220" w:right="0" w:bottom="1420" w:left="1260" w:header="0" w:footer="1239" w:gutter="0"/>
          <w:cols w:space="720"/>
        </w:sectPr>
      </w:pPr>
    </w:p>
    <w:p w14:paraId="1CA1D2D0" w14:textId="77777777" w:rsidR="00A71EEF" w:rsidRDefault="0081115D">
      <w:pPr>
        <w:pStyle w:val="a3"/>
        <w:spacing w:before="47" w:line="446" w:lineRule="auto"/>
        <w:ind w:left="838" w:right="6549"/>
      </w:pPr>
      <w:r>
        <w:t>气压水罐宜有有效水容积指示器。检查数量：全数检查。</w:t>
      </w:r>
      <w:r>
        <w:t xml:space="preserve"> </w:t>
      </w:r>
    </w:p>
    <w:p w14:paraId="072131A9" w14:textId="77777777" w:rsidR="00A71EEF" w:rsidRDefault="0081115D">
      <w:pPr>
        <w:pStyle w:val="a3"/>
        <w:spacing w:line="267" w:lineRule="exact"/>
        <w:ind w:left="838"/>
      </w:pPr>
      <w:r>
        <w:t>检查方法：核实设计图、核对产品的性能检验报告、直观检查。</w:t>
      </w:r>
      <w:r>
        <w:t xml:space="preserve"> </w:t>
      </w:r>
    </w:p>
    <w:p w14:paraId="1F7AC76F" w14:textId="77777777" w:rsidR="00A71EEF" w:rsidRDefault="00A71EEF">
      <w:pPr>
        <w:pStyle w:val="a3"/>
        <w:spacing w:before="2"/>
        <w:rPr>
          <w:sz w:val="18"/>
        </w:rPr>
      </w:pPr>
    </w:p>
    <w:p w14:paraId="4441B927" w14:textId="77777777" w:rsidR="00A71EEF" w:rsidRDefault="0081115D">
      <w:pPr>
        <w:pStyle w:val="a4"/>
        <w:numPr>
          <w:ilvl w:val="2"/>
          <w:numId w:val="230"/>
        </w:numPr>
        <w:tabs>
          <w:tab w:val="left" w:pos="1530"/>
        </w:tabs>
        <w:ind w:hanging="690"/>
        <w:jc w:val="both"/>
        <w:rPr>
          <w:sz w:val="21"/>
        </w:rPr>
      </w:pPr>
      <w:r>
        <w:rPr>
          <w:spacing w:val="-3"/>
          <w:sz w:val="21"/>
        </w:rPr>
        <w:t>稳压泵的安装应符合下列要求：</w:t>
      </w:r>
      <w:r>
        <w:rPr>
          <w:sz w:val="21"/>
        </w:rPr>
        <w:t xml:space="preserve"> </w:t>
      </w:r>
    </w:p>
    <w:p w14:paraId="2868E01E" w14:textId="77777777" w:rsidR="00A71EEF" w:rsidRDefault="00A71EEF">
      <w:pPr>
        <w:pStyle w:val="a3"/>
        <w:rPr>
          <w:sz w:val="18"/>
        </w:rPr>
      </w:pPr>
    </w:p>
    <w:p w14:paraId="5A6A954C" w14:textId="77777777" w:rsidR="00A71EEF" w:rsidRDefault="0081115D">
      <w:pPr>
        <w:pStyle w:val="a3"/>
        <w:ind w:left="838"/>
      </w:pPr>
      <w:r>
        <w:t>规格、型号、流量和扬程应符合设计要求，并应有产品合格证和安装使用说明书；</w:t>
      </w:r>
      <w:r>
        <w:t xml:space="preserve"> </w:t>
      </w:r>
    </w:p>
    <w:p w14:paraId="45EE5981" w14:textId="77777777" w:rsidR="00A71EEF" w:rsidRDefault="00A71EEF">
      <w:pPr>
        <w:pStyle w:val="a3"/>
        <w:spacing w:before="12"/>
        <w:rPr>
          <w:sz w:val="17"/>
        </w:rPr>
      </w:pPr>
    </w:p>
    <w:p w14:paraId="63EC7BFC" w14:textId="77777777" w:rsidR="00A71EEF" w:rsidRDefault="0081115D">
      <w:pPr>
        <w:pStyle w:val="a3"/>
        <w:ind w:left="838"/>
      </w:pPr>
      <w:r>
        <w:t>稳压泵的安装应符合现行国家标准《机械设备安装工程施工及验收通用规范》</w:t>
      </w:r>
      <w:r>
        <w:t xml:space="preserve">GB 50231 </w:t>
      </w:r>
      <w:r>
        <w:t>和</w:t>
      </w:r>
    </w:p>
    <w:p w14:paraId="025D4F63" w14:textId="77777777" w:rsidR="00A71EEF" w:rsidRDefault="00A71EEF">
      <w:pPr>
        <w:pStyle w:val="a3"/>
        <w:spacing w:before="2"/>
        <w:rPr>
          <w:sz w:val="18"/>
        </w:rPr>
      </w:pPr>
    </w:p>
    <w:p w14:paraId="50BB3E77" w14:textId="77777777" w:rsidR="00A71EEF" w:rsidRDefault="0081115D">
      <w:pPr>
        <w:pStyle w:val="a3"/>
        <w:spacing w:line="446" w:lineRule="auto"/>
        <w:ind w:left="838" w:right="3555" w:hanging="420"/>
      </w:pPr>
      <w:r>
        <w:t>《风机、压缩机、泵安装工程施工及验收规范》</w:t>
      </w:r>
      <w:r>
        <w:t xml:space="preserve">GB 50275 </w:t>
      </w:r>
      <w:r>
        <w:t>的有关规定。检</w:t>
      </w:r>
      <w:r>
        <w:t>查数量：全数检查。</w:t>
      </w:r>
      <w:r>
        <w:t xml:space="preserve"> </w:t>
      </w:r>
    </w:p>
    <w:p w14:paraId="3A58293C" w14:textId="77777777" w:rsidR="00A71EEF" w:rsidRDefault="0081115D">
      <w:pPr>
        <w:pStyle w:val="a3"/>
        <w:spacing w:line="267" w:lineRule="exact"/>
        <w:ind w:left="838"/>
      </w:pPr>
      <w:r>
        <w:t>检查方法：尺量和直观检查。</w:t>
      </w:r>
      <w:r>
        <w:t xml:space="preserve"> </w:t>
      </w:r>
    </w:p>
    <w:p w14:paraId="6332B0A5" w14:textId="77777777" w:rsidR="00A71EEF" w:rsidRDefault="00A71EEF">
      <w:pPr>
        <w:pStyle w:val="a3"/>
        <w:spacing w:before="2"/>
        <w:rPr>
          <w:sz w:val="18"/>
        </w:rPr>
      </w:pPr>
    </w:p>
    <w:p w14:paraId="2AAF9F95" w14:textId="77777777" w:rsidR="00A71EEF" w:rsidRDefault="0081115D">
      <w:pPr>
        <w:pStyle w:val="a4"/>
        <w:numPr>
          <w:ilvl w:val="2"/>
          <w:numId w:val="230"/>
        </w:numPr>
        <w:tabs>
          <w:tab w:val="left" w:pos="1530"/>
        </w:tabs>
        <w:ind w:hanging="690"/>
        <w:jc w:val="both"/>
        <w:rPr>
          <w:sz w:val="21"/>
        </w:rPr>
      </w:pPr>
      <w:r>
        <w:rPr>
          <w:spacing w:val="-3"/>
          <w:sz w:val="21"/>
        </w:rPr>
        <w:t>消防水泵接合器的安装应符合下列规定：</w:t>
      </w:r>
      <w:r>
        <w:rPr>
          <w:sz w:val="21"/>
        </w:rPr>
        <w:t xml:space="preserve"> </w:t>
      </w:r>
    </w:p>
    <w:p w14:paraId="2E89D159" w14:textId="77777777" w:rsidR="00A71EEF" w:rsidRDefault="00A71EEF">
      <w:pPr>
        <w:pStyle w:val="a3"/>
        <w:spacing w:before="12"/>
        <w:rPr>
          <w:sz w:val="17"/>
        </w:rPr>
      </w:pPr>
    </w:p>
    <w:p w14:paraId="78312257" w14:textId="77777777" w:rsidR="00A71EEF" w:rsidRDefault="0081115D">
      <w:pPr>
        <w:pStyle w:val="a3"/>
        <w:spacing w:line="446" w:lineRule="auto"/>
        <w:ind w:left="418" w:right="1608" w:firstLine="419"/>
        <w:jc w:val="both"/>
      </w:pPr>
      <w:r>
        <w:t>消防水泵接合器的安装，应按接口、本体、连接管、止回阀、安全阀、放空管、控制阀的顺序进行，止回阀的安装方向应使消防用水能从消防水泵接合器进入系统，整体式消防水泵接合器的安装，应按其使用安装说明书进行；</w:t>
      </w:r>
      <w:r>
        <w:t xml:space="preserve"> </w:t>
      </w:r>
    </w:p>
    <w:p w14:paraId="0FFF49BC" w14:textId="77777777" w:rsidR="00A71EEF" w:rsidRDefault="0081115D">
      <w:pPr>
        <w:pStyle w:val="a3"/>
        <w:spacing w:line="268" w:lineRule="exact"/>
        <w:ind w:left="838"/>
      </w:pPr>
      <w:r>
        <w:t>消防水泵接合器的设置位置应符合设计要求；</w:t>
      </w:r>
      <w:r>
        <w:t xml:space="preserve"> </w:t>
      </w:r>
    </w:p>
    <w:p w14:paraId="4FBC7AF3" w14:textId="77777777" w:rsidR="00A71EEF" w:rsidRDefault="00A71EEF">
      <w:pPr>
        <w:pStyle w:val="a3"/>
        <w:rPr>
          <w:sz w:val="18"/>
        </w:rPr>
      </w:pPr>
    </w:p>
    <w:p w14:paraId="0CC5AB53" w14:textId="77777777" w:rsidR="00A71EEF" w:rsidRDefault="0081115D">
      <w:pPr>
        <w:pStyle w:val="a3"/>
        <w:spacing w:line="446" w:lineRule="auto"/>
        <w:ind w:left="418" w:right="1609" w:firstLine="419"/>
      </w:pPr>
      <w:r>
        <w:t>消防水泵接合器永久性固定标志应能识别其所对应的消防给水系统或水灭火系统，当有分区时应有分区标识；</w:t>
      </w:r>
      <w:r>
        <w:t xml:space="preserve"> </w:t>
      </w:r>
    </w:p>
    <w:p w14:paraId="164A49F9" w14:textId="77777777" w:rsidR="00A71EEF" w:rsidRDefault="0081115D">
      <w:pPr>
        <w:pStyle w:val="a3"/>
        <w:spacing w:line="446" w:lineRule="auto"/>
        <w:ind w:left="418" w:right="1609" w:firstLine="419"/>
      </w:pPr>
      <w:r>
        <w:t>地下消防水泵接合器应采用铸有</w:t>
      </w:r>
      <w:r>
        <w:t>“</w:t>
      </w:r>
      <w:r>
        <w:t>消防水泵接合器</w:t>
      </w:r>
      <w:r>
        <w:t>”</w:t>
      </w:r>
      <w:r>
        <w:t>标志的铸铁井盖，并应在其附近设置指示其位置的永久性固定标志；</w:t>
      </w:r>
      <w:r>
        <w:t xml:space="preserve"> </w:t>
      </w:r>
    </w:p>
    <w:p w14:paraId="3B049F7D" w14:textId="77777777" w:rsidR="00A71EEF" w:rsidRDefault="0081115D">
      <w:pPr>
        <w:pStyle w:val="a3"/>
        <w:ind w:left="838"/>
      </w:pPr>
      <w:r>
        <w:t>墙壁消防水泵接合器的安装应符合设计要求。设计无要求时，其安装高度距地面宜为</w:t>
      </w:r>
    </w:p>
    <w:p w14:paraId="3B674392" w14:textId="77777777" w:rsidR="00A71EEF" w:rsidRDefault="00A71EEF">
      <w:pPr>
        <w:pStyle w:val="a3"/>
        <w:spacing w:before="12"/>
        <w:rPr>
          <w:sz w:val="17"/>
        </w:rPr>
      </w:pPr>
    </w:p>
    <w:p w14:paraId="0398049F" w14:textId="77777777" w:rsidR="00A71EEF" w:rsidRDefault="0081115D">
      <w:pPr>
        <w:pStyle w:val="a3"/>
        <w:ind w:left="418"/>
      </w:pPr>
      <w:r>
        <w:t>0.7m</w:t>
      </w:r>
      <w:r>
        <w:t>；与墙面上的门、窗、孔、洞的净距离不应小于</w:t>
      </w:r>
      <w:r>
        <w:t xml:space="preserve"> 2.0m</w:t>
      </w:r>
      <w:r>
        <w:t>，且不应安装在玻璃幕墙下方；</w:t>
      </w:r>
      <w:r>
        <w:t xml:space="preserve"> </w:t>
      </w:r>
    </w:p>
    <w:p w14:paraId="79F5ED4C" w14:textId="77777777" w:rsidR="00A71EEF" w:rsidRDefault="00A71EEF">
      <w:pPr>
        <w:pStyle w:val="a3"/>
        <w:rPr>
          <w:sz w:val="18"/>
        </w:rPr>
      </w:pPr>
    </w:p>
    <w:p w14:paraId="6A9D7CE2" w14:textId="77777777" w:rsidR="00A71EEF" w:rsidRDefault="0081115D">
      <w:pPr>
        <w:pStyle w:val="a3"/>
        <w:spacing w:line="446" w:lineRule="auto"/>
        <w:ind w:left="418" w:right="1498" w:firstLine="419"/>
      </w:pPr>
      <w:r>
        <w:t>地下消防水泵接合器的安装，应使进水口与井盖底面的距离不大于</w:t>
      </w:r>
      <w:r>
        <w:t xml:space="preserve"> 0.4m</w:t>
      </w:r>
      <w:r>
        <w:t>，且不应小于井盖的半径；</w:t>
      </w:r>
      <w:r>
        <w:t xml:space="preserve"> </w:t>
      </w:r>
    </w:p>
    <w:p w14:paraId="36CCE91B" w14:textId="77777777" w:rsidR="00A71EEF" w:rsidRDefault="0081115D">
      <w:pPr>
        <w:pStyle w:val="a3"/>
        <w:spacing w:line="446" w:lineRule="auto"/>
        <w:ind w:left="838" w:right="2765"/>
      </w:pPr>
      <w:r>
        <w:rPr>
          <w:spacing w:val="-3"/>
        </w:rPr>
        <w:t>消火栓水泵接合器与消防通道之间不应</w:t>
      </w:r>
      <w:r>
        <w:rPr>
          <w:spacing w:val="-3"/>
        </w:rPr>
        <w:t>设有妨碍消防车加压供水的障碍物；</w:t>
      </w:r>
      <w:r>
        <w:rPr>
          <w:spacing w:val="-3"/>
        </w:rPr>
        <w:t xml:space="preserve"> </w:t>
      </w:r>
      <w:r>
        <w:rPr>
          <w:spacing w:val="-3"/>
        </w:rPr>
        <w:t>地下消防水泵接合器井的砌筑应有防水和排水措施。</w:t>
      </w:r>
      <w:r>
        <w:rPr>
          <w:spacing w:val="-3"/>
        </w:rPr>
        <w:t xml:space="preserve"> </w:t>
      </w:r>
    </w:p>
    <w:p w14:paraId="6E178613" w14:textId="77777777" w:rsidR="00A71EEF" w:rsidRDefault="0081115D">
      <w:pPr>
        <w:pStyle w:val="a3"/>
        <w:ind w:left="838"/>
      </w:pPr>
      <w:r>
        <w:t>检查数量：全数检查。</w:t>
      </w:r>
      <w:r>
        <w:t xml:space="preserve"> </w:t>
      </w:r>
    </w:p>
    <w:p w14:paraId="177F7BDE" w14:textId="77777777" w:rsidR="00A71EEF" w:rsidRDefault="00A71EEF">
      <w:pPr>
        <w:pStyle w:val="a3"/>
        <w:spacing w:before="12"/>
        <w:rPr>
          <w:sz w:val="17"/>
        </w:rPr>
      </w:pPr>
    </w:p>
    <w:p w14:paraId="10BFBBF5" w14:textId="77777777" w:rsidR="00A71EEF" w:rsidRDefault="0081115D">
      <w:pPr>
        <w:pStyle w:val="a3"/>
        <w:ind w:left="838"/>
      </w:pPr>
      <w:r>
        <w:t>检查方法：核实设计图、核对产品的性能检验报告、直观检查。</w:t>
      </w:r>
      <w:r>
        <w:t xml:space="preserve"> </w:t>
      </w:r>
    </w:p>
    <w:p w14:paraId="269A6459" w14:textId="77777777" w:rsidR="00A71EEF" w:rsidRDefault="00A71EEF">
      <w:pPr>
        <w:pStyle w:val="a3"/>
        <w:rPr>
          <w:sz w:val="18"/>
        </w:rPr>
      </w:pPr>
    </w:p>
    <w:p w14:paraId="0C08629B" w14:textId="77777777" w:rsidR="00A71EEF" w:rsidRDefault="0081115D">
      <w:pPr>
        <w:pStyle w:val="a4"/>
        <w:numPr>
          <w:ilvl w:val="2"/>
          <w:numId w:val="230"/>
        </w:numPr>
        <w:tabs>
          <w:tab w:val="left" w:pos="1530"/>
        </w:tabs>
        <w:spacing w:line="446" w:lineRule="auto"/>
        <w:ind w:left="838" w:right="5017" w:firstLine="2"/>
        <w:rPr>
          <w:sz w:val="21"/>
        </w:rPr>
      </w:pPr>
      <w:r>
        <w:rPr>
          <w:spacing w:val="-3"/>
          <w:sz w:val="21"/>
        </w:rPr>
        <w:t>市政和室外消火栓的安装应符合下列规定：</w:t>
      </w:r>
      <w:r>
        <w:rPr>
          <w:spacing w:val="-3"/>
          <w:sz w:val="21"/>
        </w:rPr>
        <w:t xml:space="preserve"> </w:t>
      </w:r>
      <w:r>
        <w:rPr>
          <w:spacing w:val="-3"/>
          <w:sz w:val="21"/>
        </w:rPr>
        <w:t>市政和室外消火栓的选型、规格应符合设计要求；</w:t>
      </w:r>
      <w:r>
        <w:rPr>
          <w:spacing w:val="-3"/>
          <w:sz w:val="21"/>
        </w:rPr>
        <w:t xml:space="preserve"> </w:t>
      </w:r>
    </w:p>
    <w:p w14:paraId="38BB9798" w14:textId="77777777" w:rsidR="00A71EEF" w:rsidRDefault="00A71EEF">
      <w:pPr>
        <w:spacing w:line="446" w:lineRule="auto"/>
        <w:rPr>
          <w:sz w:val="21"/>
        </w:rPr>
        <w:sectPr w:rsidR="00A71EEF">
          <w:pgSz w:w="11910" w:h="16850"/>
          <w:pgMar w:top="1220" w:right="0" w:bottom="1420" w:left="1260" w:header="0" w:footer="1239" w:gutter="0"/>
          <w:cols w:space="720"/>
        </w:sectPr>
      </w:pPr>
    </w:p>
    <w:p w14:paraId="0FB38068" w14:textId="77777777" w:rsidR="00A71EEF" w:rsidRDefault="0081115D">
      <w:pPr>
        <w:pStyle w:val="a3"/>
        <w:spacing w:before="47" w:line="446" w:lineRule="auto"/>
        <w:ind w:left="418" w:right="1431" w:firstLine="419"/>
      </w:pPr>
      <w:r>
        <w:t>管道和阀门的施工和安装，应符合现行国家标准《给水排水管道工程施工及验收规范》</w:t>
      </w:r>
      <w:r>
        <w:t>GB 50268</w:t>
      </w:r>
      <w:r>
        <w:t>、《建筑给水排水及采暖工程施工质量验收规范》</w:t>
      </w:r>
      <w:r>
        <w:t xml:space="preserve">GB 50242 </w:t>
      </w:r>
      <w:r>
        <w:t>的有关规定；</w:t>
      </w:r>
      <w:r>
        <w:t xml:space="preserve"> </w:t>
      </w:r>
    </w:p>
    <w:p w14:paraId="7451D59E" w14:textId="77777777" w:rsidR="00A71EEF" w:rsidRDefault="0081115D">
      <w:pPr>
        <w:pStyle w:val="a3"/>
        <w:spacing w:line="446" w:lineRule="auto"/>
        <w:ind w:left="418" w:right="1609" w:firstLine="419"/>
      </w:pPr>
      <w:r>
        <w:t>地下式消火栓顶部进水口或顶部出水口应正对井口。顶部进水口或顶部出水口与消防井盖底面的距离不应大于</w:t>
      </w:r>
      <w:r>
        <w:t xml:space="preserve"> 0.4m</w:t>
      </w:r>
      <w:r>
        <w:t>，井内应有足够的操作空间，并应做好防水措施；</w:t>
      </w:r>
      <w:r>
        <w:t xml:space="preserve"> </w:t>
      </w:r>
    </w:p>
    <w:p w14:paraId="027D0550" w14:textId="77777777" w:rsidR="00A71EEF" w:rsidRDefault="0081115D">
      <w:pPr>
        <w:pStyle w:val="a3"/>
        <w:ind w:left="838"/>
      </w:pPr>
      <w:r>
        <w:t>地下式室外消火栓应设置永久性固定标志；</w:t>
      </w:r>
      <w:r>
        <w:t xml:space="preserve"> </w:t>
      </w:r>
    </w:p>
    <w:p w14:paraId="11418BBB" w14:textId="77777777" w:rsidR="00A71EEF" w:rsidRDefault="00A71EEF">
      <w:pPr>
        <w:pStyle w:val="a3"/>
        <w:spacing w:before="10"/>
        <w:rPr>
          <w:sz w:val="17"/>
        </w:rPr>
      </w:pPr>
    </w:p>
    <w:p w14:paraId="1A9A4B39" w14:textId="77777777" w:rsidR="00A71EEF" w:rsidRDefault="0081115D">
      <w:pPr>
        <w:pStyle w:val="a3"/>
        <w:spacing w:line="446" w:lineRule="auto"/>
        <w:ind w:left="838" w:right="1608"/>
      </w:pPr>
      <w:r>
        <w:rPr>
          <w:spacing w:val="-3"/>
        </w:rPr>
        <w:t>当室外消火栓安装部位火灾时存在可能落物危险时，上方应采取防坠落物撞击的措施；</w:t>
      </w:r>
      <w:r>
        <w:rPr>
          <w:spacing w:val="-3"/>
        </w:rPr>
        <w:t xml:space="preserve"> </w:t>
      </w:r>
      <w:r>
        <w:rPr>
          <w:spacing w:val="-3"/>
        </w:rPr>
        <w:t>市政和室外消火栓安装位置应符合设计要求，且不应妨碍交通，在易碰撞的</w:t>
      </w:r>
      <w:r>
        <w:rPr>
          <w:spacing w:val="-3"/>
        </w:rPr>
        <w:t>地点应设置防</w:t>
      </w:r>
    </w:p>
    <w:p w14:paraId="2C447C5C" w14:textId="77777777" w:rsidR="00A71EEF" w:rsidRDefault="0081115D">
      <w:pPr>
        <w:pStyle w:val="a3"/>
        <w:spacing w:before="1"/>
        <w:ind w:left="418"/>
      </w:pPr>
      <w:r>
        <w:t>撞设施。</w:t>
      </w:r>
      <w:r>
        <w:t xml:space="preserve"> </w:t>
      </w:r>
    </w:p>
    <w:p w14:paraId="5A63A72B" w14:textId="77777777" w:rsidR="00A71EEF" w:rsidRDefault="00A71EEF">
      <w:pPr>
        <w:pStyle w:val="a3"/>
        <w:spacing w:before="12"/>
        <w:rPr>
          <w:sz w:val="17"/>
        </w:rPr>
      </w:pPr>
    </w:p>
    <w:p w14:paraId="3C10FCFB" w14:textId="77777777" w:rsidR="00A71EEF" w:rsidRDefault="0081115D">
      <w:pPr>
        <w:pStyle w:val="a3"/>
        <w:ind w:left="838"/>
      </w:pPr>
      <w:r>
        <w:t>检查数量：按数量抽查</w:t>
      </w:r>
      <w:r>
        <w:t xml:space="preserve"> 30%</w:t>
      </w:r>
      <w:r>
        <w:t>，但不应小于</w:t>
      </w:r>
      <w:r>
        <w:t xml:space="preserve"> 10 </w:t>
      </w:r>
      <w:r>
        <w:t>个。</w:t>
      </w:r>
      <w:r>
        <w:t xml:space="preserve"> </w:t>
      </w:r>
    </w:p>
    <w:p w14:paraId="72C5F349" w14:textId="77777777" w:rsidR="00A71EEF" w:rsidRDefault="00A71EEF">
      <w:pPr>
        <w:pStyle w:val="a3"/>
        <w:spacing w:before="2"/>
        <w:rPr>
          <w:sz w:val="18"/>
        </w:rPr>
      </w:pPr>
    </w:p>
    <w:p w14:paraId="2F132A03" w14:textId="77777777" w:rsidR="00A71EEF" w:rsidRDefault="0081115D">
      <w:pPr>
        <w:pStyle w:val="a3"/>
        <w:ind w:left="838"/>
      </w:pPr>
      <w:r>
        <w:t>检查方法：核实设计图、核对产品的性能检验报告、直观检查。</w:t>
      </w:r>
      <w:r>
        <w:t xml:space="preserve"> </w:t>
      </w:r>
    </w:p>
    <w:p w14:paraId="0D3F7D8D" w14:textId="77777777" w:rsidR="00A71EEF" w:rsidRDefault="00A71EEF">
      <w:pPr>
        <w:pStyle w:val="a3"/>
        <w:spacing w:before="12"/>
        <w:rPr>
          <w:sz w:val="17"/>
        </w:rPr>
      </w:pPr>
    </w:p>
    <w:p w14:paraId="57C03023" w14:textId="77777777" w:rsidR="00A71EEF" w:rsidRDefault="0081115D">
      <w:pPr>
        <w:pStyle w:val="a4"/>
        <w:numPr>
          <w:ilvl w:val="2"/>
          <w:numId w:val="230"/>
        </w:numPr>
        <w:tabs>
          <w:tab w:val="left" w:pos="1530"/>
        </w:tabs>
        <w:spacing w:line="446" w:lineRule="auto"/>
        <w:ind w:left="838" w:right="5437" w:firstLine="2"/>
        <w:rPr>
          <w:sz w:val="21"/>
        </w:rPr>
      </w:pPr>
      <w:r>
        <w:rPr>
          <w:spacing w:val="-3"/>
          <w:sz w:val="21"/>
        </w:rPr>
        <w:t>市政消防水鹤的安装应符合下列规定：</w:t>
      </w:r>
      <w:r>
        <w:rPr>
          <w:spacing w:val="-3"/>
          <w:sz w:val="21"/>
        </w:rPr>
        <w:t xml:space="preserve"> </w:t>
      </w:r>
      <w:r>
        <w:rPr>
          <w:spacing w:val="-3"/>
          <w:sz w:val="21"/>
        </w:rPr>
        <w:t>市政消防水鹤的选型、规格应符合设计要求；</w:t>
      </w:r>
      <w:r>
        <w:rPr>
          <w:sz w:val="21"/>
        </w:rPr>
        <w:t xml:space="preserve"> </w:t>
      </w:r>
    </w:p>
    <w:p w14:paraId="0303851C" w14:textId="77777777" w:rsidR="00A71EEF" w:rsidRDefault="0081115D">
      <w:pPr>
        <w:pStyle w:val="a3"/>
        <w:spacing w:line="446" w:lineRule="auto"/>
        <w:ind w:left="418" w:right="1431" w:firstLine="419"/>
      </w:pPr>
      <w:r>
        <w:t>管道和阀门的施工和安装，应符合现行国家标准《给水排水管道工程施工及验收规范》</w:t>
      </w:r>
      <w:r>
        <w:t>GB 50268</w:t>
      </w:r>
      <w:r>
        <w:t>、《建筑给水排水及采暖工程施工质量验收规范》</w:t>
      </w:r>
      <w:r>
        <w:t xml:space="preserve">GB 50242 </w:t>
      </w:r>
      <w:r>
        <w:t>的有关规定；</w:t>
      </w:r>
      <w:r>
        <w:t xml:space="preserve"> </w:t>
      </w:r>
    </w:p>
    <w:p w14:paraId="39164735" w14:textId="77777777" w:rsidR="00A71EEF" w:rsidRDefault="0081115D">
      <w:pPr>
        <w:pStyle w:val="a3"/>
        <w:spacing w:line="446" w:lineRule="auto"/>
        <w:ind w:left="838" w:right="2134"/>
      </w:pPr>
      <w:r>
        <w:rPr>
          <w:spacing w:val="-3"/>
        </w:rPr>
        <w:t>市政消防水鹤的安装空间应满足使用要求，并不应妨碍市政道路和人行道的畅通。检查数量：全数检查。</w:t>
      </w:r>
      <w:r>
        <w:t xml:space="preserve"> </w:t>
      </w:r>
    </w:p>
    <w:p w14:paraId="26B69366" w14:textId="77777777" w:rsidR="00A71EEF" w:rsidRDefault="0081115D">
      <w:pPr>
        <w:pStyle w:val="a3"/>
        <w:ind w:left="838"/>
      </w:pPr>
      <w:r>
        <w:t>检查方法：核实设计图、核对产品的性能检验报告、直观检查。</w:t>
      </w:r>
      <w:r>
        <w:t xml:space="preserve"> </w:t>
      </w:r>
    </w:p>
    <w:p w14:paraId="4541840D" w14:textId="77777777" w:rsidR="00A71EEF" w:rsidRDefault="00A71EEF">
      <w:pPr>
        <w:pStyle w:val="a3"/>
        <w:spacing w:before="10"/>
        <w:rPr>
          <w:sz w:val="17"/>
        </w:rPr>
      </w:pPr>
    </w:p>
    <w:p w14:paraId="7D73B1F2" w14:textId="77777777" w:rsidR="00A71EEF" w:rsidRDefault="0081115D">
      <w:pPr>
        <w:pStyle w:val="a4"/>
        <w:numPr>
          <w:ilvl w:val="2"/>
          <w:numId w:val="230"/>
        </w:numPr>
        <w:tabs>
          <w:tab w:val="left" w:pos="1478"/>
        </w:tabs>
        <w:ind w:left="1477" w:hanging="638"/>
        <w:rPr>
          <w:sz w:val="21"/>
        </w:rPr>
      </w:pPr>
      <w:r>
        <w:rPr>
          <w:spacing w:val="-3"/>
          <w:sz w:val="21"/>
        </w:rPr>
        <w:t>室内消火栓及消防软管卷盘或轻便水龙的安装应符合下列规定：</w:t>
      </w:r>
      <w:r>
        <w:rPr>
          <w:sz w:val="21"/>
        </w:rPr>
        <w:t xml:space="preserve"> </w:t>
      </w:r>
    </w:p>
    <w:p w14:paraId="5A7E9F34" w14:textId="77777777" w:rsidR="00A71EEF" w:rsidRDefault="00A71EEF">
      <w:pPr>
        <w:pStyle w:val="a3"/>
        <w:spacing w:before="2"/>
        <w:rPr>
          <w:sz w:val="18"/>
        </w:rPr>
      </w:pPr>
    </w:p>
    <w:p w14:paraId="46AE6555" w14:textId="77777777" w:rsidR="00A71EEF" w:rsidRDefault="0081115D">
      <w:pPr>
        <w:pStyle w:val="a3"/>
        <w:ind w:left="838"/>
      </w:pPr>
      <w:r>
        <w:t>室内消火栓及消防软管卷盘和轻便水龙的选型、规格应符合设计要求；</w:t>
      </w:r>
      <w:r>
        <w:t xml:space="preserve"> </w:t>
      </w:r>
    </w:p>
    <w:p w14:paraId="2B7246BF" w14:textId="77777777" w:rsidR="00A71EEF" w:rsidRDefault="00A71EEF">
      <w:pPr>
        <w:pStyle w:val="a3"/>
        <w:rPr>
          <w:sz w:val="18"/>
        </w:rPr>
      </w:pPr>
    </w:p>
    <w:p w14:paraId="5A10D132" w14:textId="77777777" w:rsidR="00A71EEF" w:rsidRDefault="0081115D">
      <w:pPr>
        <w:pStyle w:val="a3"/>
        <w:spacing w:line="446" w:lineRule="auto"/>
        <w:ind w:left="418" w:right="1609" w:firstLine="419"/>
      </w:pPr>
      <w:r>
        <w:t>同一建筑物内设置的消火栓、消防软管卷盘和轻便水龙应采用统一规格的栓口、消防水枪和水带及配件；</w:t>
      </w:r>
      <w:r>
        <w:t xml:space="preserve"> </w:t>
      </w:r>
    </w:p>
    <w:p w14:paraId="523653C3" w14:textId="77777777" w:rsidR="00A71EEF" w:rsidRDefault="0081115D">
      <w:pPr>
        <w:pStyle w:val="a3"/>
        <w:ind w:left="838"/>
      </w:pPr>
      <w:r>
        <w:t>试验用消火栓栓口处应设置压力表；</w:t>
      </w:r>
      <w:r>
        <w:t xml:space="preserve"> </w:t>
      </w:r>
    </w:p>
    <w:p w14:paraId="09384F90" w14:textId="77777777" w:rsidR="00A71EEF" w:rsidRDefault="00A71EEF">
      <w:pPr>
        <w:pStyle w:val="a3"/>
        <w:rPr>
          <w:sz w:val="18"/>
        </w:rPr>
      </w:pPr>
    </w:p>
    <w:p w14:paraId="5050F41E" w14:textId="77777777" w:rsidR="00A71EEF" w:rsidRDefault="0081115D">
      <w:pPr>
        <w:pStyle w:val="a3"/>
        <w:spacing w:line="446" w:lineRule="auto"/>
        <w:ind w:left="418" w:right="1609" w:firstLine="419"/>
      </w:pPr>
      <w:r>
        <w:t>当消火栓设置减压装置时，应检查减压装置符合设计要求，且安装时应有防止砂石等杂物进入栓口的措施；</w:t>
      </w:r>
      <w:r>
        <w:t xml:space="preserve"> </w:t>
      </w:r>
    </w:p>
    <w:p w14:paraId="4CB21490" w14:textId="77777777" w:rsidR="00A71EEF" w:rsidRDefault="0081115D">
      <w:pPr>
        <w:pStyle w:val="a3"/>
        <w:spacing w:line="446" w:lineRule="auto"/>
        <w:ind w:left="418" w:right="1609" w:firstLine="419"/>
      </w:pPr>
      <w:r>
        <w:t>室内消火栓及消防软管卷盘和轻便水龙应设置明显的永久性固定标志，当室内消火栓因美观要求需要隐蔽安装时，应有明显的标志，并应便于开启使用；</w:t>
      </w:r>
      <w:r>
        <w:t xml:space="preserve"> </w:t>
      </w:r>
    </w:p>
    <w:p w14:paraId="66CBC734" w14:textId="77777777" w:rsidR="00A71EEF" w:rsidRDefault="0081115D">
      <w:pPr>
        <w:pStyle w:val="a3"/>
        <w:spacing w:line="267" w:lineRule="exact"/>
        <w:ind w:left="838"/>
      </w:pPr>
      <w:r>
        <w:t>消火栓栓口出水方向宜向下或与设置消火栓的墙面成</w:t>
      </w:r>
      <w:r>
        <w:t xml:space="preserve"> 90°</w:t>
      </w:r>
      <w:r>
        <w:t>角，栓口不应安装在门</w:t>
      </w:r>
      <w:r>
        <w:t>轴侧；</w:t>
      </w:r>
      <w:r>
        <w:t xml:space="preserve"> </w:t>
      </w:r>
    </w:p>
    <w:p w14:paraId="32A60F80" w14:textId="77777777" w:rsidR="00A71EEF" w:rsidRDefault="00A71EEF">
      <w:pPr>
        <w:pStyle w:val="a3"/>
        <w:spacing w:before="1"/>
        <w:rPr>
          <w:sz w:val="18"/>
        </w:rPr>
      </w:pPr>
    </w:p>
    <w:p w14:paraId="27AD73C6" w14:textId="77777777" w:rsidR="00A71EEF" w:rsidRDefault="0081115D">
      <w:pPr>
        <w:pStyle w:val="a3"/>
        <w:spacing w:before="1"/>
        <w:ind w:left="838"/>
      </w:pPr>
      <w:r>
        <w:t>消火栓栓口中心距地面应为</w:t>
      </w:r>
      <w:r>
        <w:t xml:space="preserve"> 1.1m</w:t>
      </w:r>
      <w:r>
        <w:t>，特殊地点的高度可特殊对待，允许偏差</w:t>
      </w:r>
      <w:r>
        <w:t>±20mm</w:t>
      </w:r>
      <w:r>
        <w:t>。</w:t>
      </w:r>
      <w:r>
        <w:t xml:space="preserve"> </w:t>
      </w:r>
    </w:p>
    <w:p w14:paraId="443F3757" w14:textId="77777777" w:rsidR="00A71EEF" w:rsidRDefault="00A71EEF">
      <w:pPr>
        <w:sectPr w:rsidR="00A71EEF">
          <w:footerReference w:type="default" r:id="rId405"/>
          <w:pgSz w:w="11910" w:h="16850"/>
          <w:pgMar w:top="1220" w:right="0" w:bottom="1420" w:left="1260" w:header="0" w:footer="1239" w:gutter="0"/>
          <w:pgNumType w:start="1370"/>
          <w:cols w:space="720"/>
        </w:sectPr>
      </w:pPr>
    </w:p>
    <w:p w14:paraId="483AD83A" w14:textId="77777777" w:rsidR="00A71EEF" w:rsidRDefault="0081115D">
      <w:pPr>
        <w:pStyle w:val="a3"/>
        <w:spacing w:before="47"/>
        <w:ind w:left="838"/>
      </w:pPr>
      <w:r>
        <w:t>检查数量：按数量抽查</w:t>
      </w:r>
      <w:r>
        <w:t xml:space="preserve"> 30%</w:t>
      </w:r>
      <w:r>
        <w:t>，但不应小于</w:t>
      </w:r>
      <w:r>
        <w:t xml:space="preserve"> 10 </w:t>
      </w:r>
      <w:r>
        <w:t>个。</w:t>
      </w:r>
      <w:r>
        <w:t xml:space="preserve"> </w:t>
      </w:r>
    </w:p>
    <w:p w14:paraId="1485F7D3" w14:textId="77777777" w:rsidR="00A71EEF" w:rsidRDefault="00A71EEF">
      <w:pPr>
        <w:pStyle w:val="a3"/>
        <w:rPr>
          <w:sz w:val="18"/>
        </w:rPr>
      </w:pPr>
    </w:p>
    <w:p w14:paraId="72810974" w14:textId="77777777" w:rsidR="00A71EEF" w:rsidRDefault="0081115D">
      <w:pPr>
        <w:pStyle w:val="a3"/>
        <w:ind w:left="838"/>
      </w:pPr>
      <w:r>
        <w:t>检验方法：核实设计图、核对产品的性能检验报告、直观检查。</w:t>
      </w:r>
      <w:r>
        <w:t xml:space="preserve"> </w:t>
      </w:r>
    </w:p>
    <w:p w14:paraId="5B54A2FF" w14:textId="77777777" w:rsidR="00A71EEF" w:rsidRDefault="00A71EEF">
      <w:pPr>
        <w:pStyle w:val="a3"/>
        <w:rPr>
          <w:sz w:val="18"/>
        </w:rPr>
      </w:pPr>
    </w:p>
    <w:p w14:paraId="58FDF437" w14:textId="77777777" w:rsidR="00A71EEF" w:rsidRDefault="0081115D">
      <w:pPr>
        <w:pStyle w:val="a4"/>
        <w:numPr>
          <w:ilvl w:val="2"/>
          <w:numId w:val="230"/>
        </w:numPr>
        <w:tabs>
          <w:tab w:val="left" w:pos="1635"/>
        </w:tabs>
        <w:ind w:left="1634" w:hanging="795"/>
        <w:rPr>
          <w:sz w:val="21"/>
        </w:rPr>
      </w:pPr>
      <w:r>
        <w:rPr>
          <w:spacing w:val="-3"/>
          <w:sz w:val="21"/>
        </w:rPr>
        <w:t>消火栓箱的安装应符合下列规定：</w:t>
      </w:r>
      <w:r>
        <w:rPr>
          <w:sz w:val="21"/>
        </w:rPr>
        <w:t xml:space="preserve"> </w:t>
      </w:r>
    </w:p>
    <w:p w14:paraId="218ECB2F" w14:textId="77777777" w:rsidR="00A71EEF" w:rsidRDefault="00A71EEF">
      <w:pPr>
        <w:pStyle w:val="a3"/>
        <w:spacing w:before="1"/>
        <w:rPr>
          <w:sz w:val="18"/>
        </w:rPr>
      </w:pPr>
    </w:p>
    <w:p w14:paraId="7E157E72" w14:textId="77777777" w:rsidR="00A71EEF" w:rsidRDefault="0081115D">
      <w:pPr>
        <w:pStyle w:val="a3"/>
        <w:spacing w:before="1" w:line="446" w:lineRule="auto"/>
        <w:ind w:left="418" w:right="1392" w:firstLine="419"/>
      </w:pPr>
      <w:r>
        <w:t>消火栓的启闭阀门设置位置应便于操作使用，阀门的中心距箱侧面应为</w:t>
      </w:r>
      <w:r>
        <w:t xml:space="preserve"> 140mm</w:t>
      </w:r>
      <w:r>
        <w:t>，距箱后内表面应为</w:t>
      </w:r>
      <w:r>
        <w:t xml:space="preserve"> 100mm</w:t>
      </w:r>
      <w:r>
        <w:t>，允许偏差</w:t>
      </w:r>
      <w:r>
        <w:t>±5mm</w:t>
      </w:r>
      <w:r>
        <w:t>；</w:t>
      </w:r>
      <w:r>
        <w:t xml:space="preserve"> </w:t>
      </w:r>
    </w:p>
    <w:p w14:paraId="19A0DA58" w14:textId="77777777" w:rsidR="00A71EEF" w:rsidRDefault="0081115D">
      <w:pPr>
        <w:pStyle w:val="a3"/>
        <w:spacing w:line="446" w:lineRule="auto"/>
        <w:ind w:left="838" w:right="2345"/>
      </w:pPr>
      <w:r>
        <w:rPr>
          <w:spacing w:val="-3"/>
        </w:rPr>
        <w:t>室内消火栓箱的安装应平正、牢固，暗装的消火栓箱不应破坏隔墙的耐火性能；</w:t>
      </w:r>
      <w:r>
        <w:rPr>
          <w:spacing w:val="-3"/>
        </w:rPr>
        <w:t xml:space="preserve"> </w:t>
      </w:r>
      <w:r>
        <w:rPr>
          <w:spacing w:val="-3"/>
        </w:rPr>
        <w:t>箱体安装的垂直度允许偏差为</w:t>
      </w:r>
      <w:r>
        <w:rPr>
          <w:spacing w:val="-3"/>
        </w:rPr>
        <w:t>±</w:t>
      </w:r>
      <w:r>
        <w:t>3mm</w:t>
      </w:r>
      <w:r>
        <w:t>；</w:t>
      </w:r>
      <w:r>
        <w:t xml:space="preserve"> </w:t>
      </w:r>
    </w:p>
    <w:p w14:paraId="4AE5306B" w14:textId="77777777" w:rsidR="00A71EEF" w:rsidRDefault="0081115D">
      <w:pPr>
        <w:pStyle w:val="a3"/>
        <w:ind w:left="838"/>
      </w:pPr>
      <w:r>
        <w:t>消火栓箱门的开启不应小于</w:t>
      </w:r>
      <w:r>
        <w:t xml:space="preserve"> 120°</w:t>
      </w:r>
      <w:r>
        <w:t>；</w:t>
      </w:r>
      <w:r>
        <w:t xml:space="preserve"> </w:t>
      </w:r>
    </w:p>
    <w:p w14:paraId="557F5987" w14:textId="77777777" w:rsidR="00A71EEF" w:rsidRDefault="00A71EEF">
      <w:pPr>
        <w:pStyle w:val="a3"/>
        <w:spacing w:before="10"/>
        <w:rPr>
          <w:sz w:val="17"/>
        </w:rPr>
      </w:pPr>
    </w:p>
    <w:p w14:paraId="119A7606" w14:textId="77777777" w:rsidR="00A71EEF" w:rsidRDefault="0081115D">
      <w:pPr>
        <w:pStyle w:val="a3"/>
        <w:spacing w:line="446" w:lineRule="auto"/>
        <w:ind w:left="418" w:right="1609" w:firstLine="419"/>
      </w:pPr>
      <w:r>
        <w:t>安装消火栓水龙带，水龙带与消防水枪和快速接头绑扎好后，应根据箱内构造将水龙带放置；</w:t>
      </w:r>
      <w:r>
        <w:t xml:space="preserve"> </w:t>
      </w:r>
    </w:p>
    <w:p w14:paraId="6DAE7FD2" w14:textId="77777777" w:rsidR="00A71EEF" w:rsidRDefault="0081115D">
      <w:pPr>
        <w:pStyle w:val="a3"/>
        <w:spacing w:line="446" w:lineRule="auto"/>
        <w:ind w:left="418" w:right="1503" w:firstLine="419"/>
      </w:pPr>
      <w:r>
        <w:rPr>
          <w:spacing w:val="-4"/>
        </w:rPr>
        <w:t>双向开门消火栓箱应有耐火等级应符合设计要求，当设计没有要求时应至少满足</w:t>
      </w:r>
      <w:r>
        <w:rPr>
          <w:spacing w:val="-4"/>
        </w:rPr>
        <w:t xml:space="preserve"> </w:t>
      </w:r>
      <w:r>
        <w:t>1h</w:t>
      </w:r>
      <w:r>
        <w:rPr>
          <w:spacing w:val="-10"/>
        </w:rPr>
        <w:t xml:space="preserve"> </w:t>
      </w:r>
      <w:r>
        <w:rPr>
          <w:spacing w:val="-10"/>
        </w:rPr>
        <w:t>耐火极</w:t>
      </w:r>
      <w:r>
        <w:rPr>
          <w:spacing w:val="-6"/>
        </w:rPr>
        <w:t>限的要求；</w:t>
      </w:r>
      <w:r>
        <w:t xml:space="preserve"> </w:t>
      </w:r>
    </w:p>
    <w:p w14:paraId="5A6A8B9B" w14:textId="77777777" w:rsidR="00A71EEF" w:rsidRDefault="0081115D">
      <w:pPr>
        <w:pStyle w:val="a3"/>
        <w:spacing w:line="446" w:lineRule="auto"/>
        <w:ind w:left="838" w:right="5077"/>
      </w:pPr>
      <w:r>
        <w:rPr>
          <w:spacing w:val="-3"/>
        </w:rPr>
        <w:t>消火栓箱门上应用红色字体注明</w:t>
      </w:r>
      <w:r>
        <w:rPr>
          <w:spacing w:val="-3"/>
        </w:rPr>
        <w:t>“</w:t>
      </w:r>
      <w:r>
        <w:rPr>
          <w:spacing w:val="-3"/>
        </w:rPr>
        <w:t>消火栓</w:t>
      </w:r>
      <w:r>
        <w:rPr>
          <w:spacing w:val="-3"/>
        </w:rPr>
        <w:t>”</w:t>
      </w:r>
      <w:r>
        <w:rPr>
          <w:spacing w:val="-3"/>
        </w:rPr>
        <w:t>字样。</w:t>
      </w:r>
      <w:r>
        <w:rPr>
          <w:spacing w:val="-5"/>
        </w:rPr>
        <w:t>检查数量：按数量抽查</w:t>
      </w:r>
      <w:r>
        <w:rPr>
          <w:spacing w:val="-5"/>
        </w:rPr>
        <w:t xml:space="preserve"> </w:t>
      </w:r>
      <w:r>
        <w:t>30</w:t>
      </w:r>
      <w:r>
        <w:rPr>
          <w:spacing w:val="-5"/>
        </w:rPr>
        <w:t>%</w:t>
      </w:r>
      <w:r>
        <w:rPr>
          <w:spacing w:val="-5"/>
        </w:rPr>
        <w:t>，但不应小于</w:t>
      </w:r>
      <w:r>
        <w:rPr>
          <w:spacing w:val="-5"/>
        </w:rPr>
        <w:t xml:space="preserve"> </w:t>
      </w:r>
      <w:r>
        <w:t>10</w:t>
      </w:r>
      <w:r>
        <w:rPr>
          <w:spacing w:val="-8"/>
        </w:rPr>
        <w:t xml:space="preserve"> </w:t>
      </w:r>
      <w:r>
        <w:rPr>
          <w:spacing w:val="-8"/>
        </w:rPr>
        <w:t>个。检</w:t>
      </w:r>
      <w:r>
        <w:rPr>
          <w:spacing w:val="-4"/>
        </w:rPr>
        <w:t>验方法：直观和尺量检查。</w:t>
      </w:r>
      <w:r>
        <w:t xml:space="preserve"> </w:t>
      </w:r>
    </w:p>
    <w:p w14:paraId="447A9DF0" w14:textId="77777777" w:rsidR="00A71EEF" w:rsidRDefault="0081115D">
      <w:pPr>
        <w:pStyle w:val="a4"/>
        <w:numPr>
          <w:ilvl w:val="2"/>
          <w:numId w:val="230"/>
        </w:numPr>
        <w:tabs>
          <w:tab w:val="left" w:pos="1635"/>
        </w:tabs>
        <w:spacing w:line="268" w:lineRule="exact"/>
        <w:ind w:left="1634" w:hanging="795"/>
        <w:rPr>
          <w:sz w:val="21"/>
        </w:rPr>
      </w:pPr>
      <w:r>
        <w:rPr>
          <w:spacing w:val="-3"/>
          <w:sz w:val="21"/>
        </w:rPr>
        <w:t>当管道采用螺纹、法兰、承插、卡压等方式连接时，应符合下列要求：</w:t>
      </w:r>
      <w:r>
        <w:rPr>
          <w:spacing w:val="-3"/>
          <w:sz w:val="21"/>
        </w:rPr>
        <w:t xml:space="preserve"> </w:t>
      </w:r>
    </w:p>
    <w:p w14:paraId="2F09D7DB" w14:textId="77777777" w:rsidR="00A71EEF" w:rsidRDefault="00A71EEF">
      <w:pPr>
        <w:pStyle w:val="a3"/>
        <w:spacing w:before="12"/>
        <w:rPr>
          <w:sz w:val="17"/>
        </w:rPr>
      </w:pPr>
    </w:p>
    <w:p w14:paraId="27AAB3F8" w14:textId="77777777" w:rsidR="00A71EEF" w:rsidRDefault="0081115D">
      <w:pPr>
        <w:pStyle w:val="a3"/>
        <w:spacing w:line="446" w:lineRule="auto"/>
        <w:ind w:left="418" w:right="1556" w:firstLine="419"/>
      </w:pPr>
      <w:r>
        <w:rPr>
          <w:spacing w:val="-3"/>
        </w:rPr>
        <w:t>采用螺纹连接时，热浸镀锌钢管的管件宜采用现行国家标准《可锻铸铁管路连接件》</w:t>
      </w:r>
      <w:r>
        <w:t>GB 3287</w:t>
      </w:r>
      <w:r>
        <w:rPr>
          <w:spacing w:val="-3"/>
        </w:rPr>
        <w:t>、《可锻铸铁管路连接件验收规则》</w:t>
      </w:r>
      <w:r>
        <w:t>GB 3288</w:t>
      </w:r>
      <w:r>
        <w:rPr>
          <w:spacing w:val="-3"/>
        </w:rPr>
        <w:t>、《可锻铸铁管路连接件形式尺寸》</w:t>
      </w:r>
      <w:r>
        <w:t xml:space="preserve">GB 3289 </w:t>
      </w:r>
      <w:r>
        <w:rPr>
          <w:spacing w:val="-3"/>
        </w:rPr>
        <w:t>的有关规定，热浸镀锌无缝钢管的管件宜采用现行国家标准《锻钢制螺纹管件》</w:t>
      </w:r>
      <w:r>
        <w:t>GB/T 14626</w:t>
      </w:r>
      <w:r>
        <w:rPr>
          <w:spacing w:val="-21"/>
        </w:rPr>
        <w:t xml:space="preserve"> </w:t>
      </w:r>
      <w:r>
        <w:rPr>
          <w:spacing w:val="-21"/>
        </w:rPr>
        <w:t>的</w:t>
      </w:r>
      <w:r>
        <w:rPr>
          <w:spacing w:val="-11"/>
        </w:rPr>
        <w:t>有关规定；</w:t>
      </w:r>
      <w:r>
        <w:t xml:space="preserve"> </w:t>
      </w:r>
    </w:p>
    <w:p w14:paraId="5AC6E88A" w14:textId="77777777" w:rsidR="00A71EEF" w:rsidRDefault="0081115D">
      <w:pPr>
        <w:pStyle w:val="a3"/>
        <w:spacing w:line="267" w:lineRule="exact"/>
        <w:ind w:left="838"/>
      </w:pPr>
      <w:r>
        <w:t>螺纹连接时螺纹应符合现行国家标准《</w:t>
      </w:r>
      <w:r>
        <w:t>55º</w:t>
      </w:r>
      <w:r>
        <w:t>密封管螺纹第</w:t>
      </w:r>
      <w:r>
        <w:t xml:space="preserve"> 2 </w:t>
      </w:r>
      <w:r>
        <w:t>部分：圆锥内螺纹与圆锥外螺</w:t>
      </w:r>
    </w:p>
    <w:p w14:paraId="1BD3DFDC" w14:textId="77777777" w:rsidR="00A71EEF" w:rsidRDefault="00A71EEF">
      <w:pPr>
        <w:pStyle w:val="a3"/>
        <w:spacing w:before="2"/>
        <w:rPr>
          <w:sz w:val="18"/>
        </w:rPr>
      </w:pPr>
    </w:p>
    <w:p w14:paraId="2A3FB9B7" w14:textId="77777777" w:rsidR="00A71EEF" w:rsidRDefault="0081115D">
      <w:pPr>
        <w:pStyle w:val="a3"/>
        <w:spacing w:line="446" w:lineRule="auto"/>
        <w:ind w:left="838" w:right="1347" w:hanging="420"/>
      </w:pPr>
      <w:r>
        <w:t>纹》</w:t>
      </w:r>
      <w:r>
        <w:t>GB 7306.2</w:t>
      </w:r>
      <w:r>
        <w:rPr>
          <w:spacing w:val="-8"/>
        </w:rPr>
        <w:t xml:space="preserve"> </w:t>
      </w:r>
      <w:r>
        <w:rPr>
          <w:spacing w:val="-8"/>
        </w:rPr>
        <w:t>的有关规定，宜采用密封胶带作为螺纹接口的密封，密封带应在阳螺纹上施加；</w:t>
      </w:r>
      <w:r>
        <w:rPr>
          <w:spacing w:val="-8"/>
        </w:rPr>
        <w:t xml:space="preserve"> </w:t>
      </w:r>
      <w:r>
        <w:rPr>
          <w:spacing w:val="-5"/>
        </w:rPr>
        <w:t>法兰连接时法兰的密封面形式和压力等级应与消防给水系统技术要求相符合；法兰类型宜</w:t>
      </w:r>
    </w:p>
    <w:p w14:paraId="69C45D32" w14:textId="77777777" w:rsidR="00A71EEF" w:rsidRDefault="0081115D">
      <w:pPr>
        <w:pStyle w:val="a3"/>
        <w:spacing w:line="446" w:lineRule="auto"/>
        <w:ind w:left="418" w:right="1608"/>
      </w:pPr>
      <w:r>
        <w:t>根据连接形式采用平焊法兰、对焊法兰和螺纹法兰等，法兰选择应符合现行国家标准《钢制管法兰类型与参数》</w:t>
      </w:r>
      <w:r>
        <w:t>GB 9112</w:t>
      </w:r>
      <w:r>
        <w:t>、《整体钢制管法兰》</w:t>
      </w:r>
      <w:r>
        <w:t>GB/T</w:t>
      </w:r>
      <w:r>
        <w:t xml:space="preserve"> 9113</w:t>
      </w:r>
      <w:r>
        <w:t>、《钢制对焊无缝管件》</w:t>
      </w:r>
      <w:r>
        <w:t xml:space="preserve">GB/T 12459 </w:t>
      </w:r>
      <w:r>
        <w:t>和《管法兰用聚四氟乙烯包覆垫片》</w:t>
      </w:r>
      <w:r>
        <w:t xml:space="preserve">GB/T 13404 </w:t>
      </w:r>
      <w:r>
        <w:t>的有关规定；</w:t>
      </w:r>
      <w:r>
        <w:t xml:space="preserve"> </w:t>
      </w:r>
    </w:p>
    <w:p w14:paraId="2D383E74" w14:textId="77777777" w:rsidR="00A71EEF" w:rsidRDefault="00A71EEF">
      <w:pPr>
        <w:spacing w:line="446" w:lineRule="auto"/>
        <w:sectPr w:rsidR="00A71EEF">
          <w:pgSz w:w="11910" w:h="16850"/>
          <w:pgMar w:top="1220" w:right="0" w:bottom="1420" w:left="1260" w:header="0" w:footer="1239" w:gutter="0"/>
          <w:cols w:space="720"/>
        </w:sectPr>
      </w:pPr>
    </w:p>
    <w:p w14:paraId="61C0A235" w14:textId="77777777" w:rsidR="00A71EEF" w:rsidRDefault="0081115D">
      <w:pPr>
        <w:pStyle w:val="a3"/>
        <w:spacing w:before="47" w:line="446" w:lineRule="auto"/>
        <w:ind w:left="418" w:right="1558" w:firstLine="419"/>
        <w:jc w:val="both"/>
      </w:pPr>
      <w:r>
        <w:rPr>
          <w:spacing w:val="-3"/>
        </w:rPr>
        <w:t>当热浸镀锌钢管采用法兰连接时应选用螺纹法兰，当必须焊接连接时，法兰焊接应符合现行国家标准《现场设备、工业管道焊接工程施工规范》</w:t>
      </w:r>
      <w:r>
        <w:t>GB 50236</w:t>
      </w:r>
      <w:r>
        <w:rPr>
          <w:spacing w:val="-8"/>
        </w:rPr>
        <w:t xml:space="preserve"> </w:t>
      </w:r>
      <w:r>
        <w:rPr>
          <w:spacing w:val="-8"/>
        </w:rPr>
        <w:t>和《工业金属管道工程施工规范》</w:t>
      </w:r>
      <w:r>
        <w:rPr>
          <w:spacing w:val="-8"/>
        </w:rPr>
        <w:t>GB 50235</w:t>
      </w:r>
      <w:r>
        <w:rPr>
          <w:spacing w:val="-11"/>
        </w:rPr>
        <w:t xml:space="preserve"> </w:t>
      </w:r>
      <w:r>
        <w:rPr>
          <w:spacing w:val="-11"/>
        </w:rPr>
        <w:t>的有关规定；</w:t>
      </w:r>
      <w:r>
        <w:rPr>
          <w:spacing w:val="-11"/>
        </w:rPr>
        <w:t xml:space="preserve"> </w:t>
      </w:r>
    </w:p>
    <w:p w14:paraId="361BC2B1" w14:textId="77777777" w:rsidR="00A71EEF" w:rsidRDefault="0081115D">
      <w:pPr>
        <w:pStyle w:val="a3"/>
        <w:spacing w:line="268" w:lineRule="exact"/>
        <w:ind w:left="838"/>
      </w:pPr>
      <w:r>
        <w:t>球墨铸铁管承插连接时，应符合现行国家标准《给水排水管道工程施工及验收规范》</w:t>
      </w:r>
    </w:p>
    <w:p w14:paraId="6208C84E" w14:textId="77777777" w:rsidR="00A71EEF" w:rsidRDefault="00A71EEF">
      <w:pPr>
        <w:pStyle w:val="a3"/>
        <w:rPr>
          <w:sz w:val="18"/>
        </w:rPr>
      </w:pPr>
    </w:p>
    <w:p w14:paraId="05F94789" w14:textId="77777777" w:rsidR="00A71EEF" w:rsidRDefault="0081115D">
      <w:pPr>
        <w:pStyle w:val="a3"/>
        <w:ind w:left="418"/>
      </w:pPr>
      <w:r>
        <w:t xml:space="preserve">GB50268 </w:t>
      </w:r>
      <w:r>
        <w:t>的有关规定；</w:t>
      </w:r>
      <w:r>
        <w:t xml:space="preserve"> </w:t>
      </w:r>
    </w:p>
    <w:p w14:paraId="4739F529" w14:textId="77777777" w:rsidR="00A71EEF" w:rsidRDefault="00A71EEF">
      <w:pPr>
        <w:pStyle w:val="a3"/>
        <w:spacing w:before="12"/>
        <w:rPr>
          <w:sz w:val="17"/>
        </w:rPr>
      </w:pPr>
    </w:p>
    <w:p w14:paraId="157F0E0C" w14:textId="77777777" w:rsidR="00A71EEF" w:rsidRDefault="0081115D">
      <w:pPr>
        <w:pStyle w:val="a3"/>
        <w:ind w:left="838"/>
      </w:pPr>
      <w:r>
        <w:t>钢丝网骨架塑料复合管施工安装时除应符合本规范的有关规定外，还应符合现行行业标准</w:t>
      </w:r>
    </w:p>
    <w:p w14:paraId="464AA844" w14:textId="77777777" w:rsidR="00A71EEF" w:rsidRDefault="00A71EEF">
      <w:pPr>
        <w:pStyle w:val="a3"/>
        <w:spacing w:before="2"/>
        <w:rPr>
          <w:sz w:val="18"/>
        </w:rPr>
      </w:pPr>
    </w:p>
    <w:p w14:paraId="3926249A" w14:textId="77777777" w:rsidR="00A71EEF" w:rsidRDefault="0081115D">
      <w:pPr>
        <w:pStyle w:val="a3"/>
        <w:ind w:left="418"/>
      </w:pPr>
      <w:r>
        <w:t>《埋地聚乙烯给水管道工程技术规程》</w:t>
      </w:r>
      <w:r>
        <w:t xml:space="preserve">CJJ 101 </w:t>
      </w:r>
      <w:r>
        <w:t>的有关规定；</w:t>
      </w:r>
      <w:r>
        <w:t xml:space="preserve"> </w:t>
      </w:r>
    </w:p>
    <w:p w14:paraId="0756F101" w14:textId="77777777" w:rsidR="00A71EEF" w:rsidRDefault="00A71EEF">
      <w:pPr>
        <w:pStyle w:val="a3"/>
        <w:rPr>
          <w:sz w:val="18"/>
        </w:rPr>
      </w:pPr>
    </w:p>
    <w:p w14:paraId="2D686AA9" w14:textId="77777777" w:rsidR="00A71EEF" w:rsidRDefault="0081115D">
      <w:pPr>
        <w:pStyle w:val="a3"/>
        <w:spacing w:line="446" w:lineRule="auto"/>
        <w:ind w:left="838" w:right="2242"/>
      </w:pPr>
      <w:r>
        <w:rPr>
          <w:spacing w:val="-10"/>
        </w:rPr>
        <w:t>管径大于</w:t>
      </w:r>
      <w:r>
        <w:rPr>
          <w:spacing w:val="-10"/>
        </w:rPr>
        <w:t xml:space="preserve"> </w:t>
      </w:r>
      <w:r>
        <w:t>DN50</w:t>
      </w:r>
      <w:r>
        <w:rPr>
          <w:spacing w:val="-8"/>
        </w:rPr>
        <w:t xml:space="preserve"> </w:t>
      </w:r>
      <w:r>
        <w:rPr>
          <w:spacing w:val="-8"/>
        </w:rPr>
        <w:t>的管道不应使用螺纹活接头，在管道变径处应采用单体异径接头。</w:t>
      </w:r>
      <w:r>
        <w:rPr>
          <w:spacing w:val="-10"/>
        </w:rPr>
        <w:t>检查数量：按数量抽查</w:t>
      </w:r>
      <w:r>
        <w:rPr>
          <w:spacing w:val="-10"/>
        </w:rPr>
        <w:t xml:space="preserve"> </w:t>
      </w:r>
      <w:r>
        <w:t>30</w:t>
      </w:r>
      <w:r>
        <w:rPr>
          <w:spacing w:val="-9"/>
        </w:rPr>
        <w:t>%</w:t>
      </w:r>
      <w:r>
        <w:rPr>
          <w:spacing w:val="-9"/>
        </w:rPr>
        <w:t>，但不应小于</w:t>
      </w:r>
      <w:r>
        <w:rPr>
          <w:spacing w:val="-9"/>
        </w:rPr>
        <w:t xml:space="preserve"> </w:t>
      </w:r>
      <w:r>
        <w:t>10</w:t>
      </w:r>
      <w:r>
        <w:rPr>
          <w:spacing w:val="-19"/>
        </w:rPr>
        <w:t xml:space="preserve"> </w:t>
      </w:r>
      <w:r>
        <w:rPr>
          <w:spacing w:val="-19"/>
        </w:rPr>
        <w:t>个。</w:t>
      </w:r>
      <w:r>
        <w:rPr>
          <w:spacing w:val="-19"/>
        </w:rPr>
        <w:t xml:space="preserve"> </w:t>
      </w:r>
    </w:p>
    <w:p w14:paraId="19D0B12F" w14:textId="77777777" w:rsidR="00A71EEF" w:rsidRDefault="0081115D">
      <w:pPr>
        <w:pStyle w:val="a3"/>
        <w:ind w:left="838"/>
      </w:pPr>
      <w:r>
        <w:t>检验方法：直观和尺量检查。</w:t>
      </w:r>
      <w:r>
        <w:t xml:space="preserve"> </w:t>
      </w:r>
    </w:p>
    <w:p w14:paraId="762A1F1A" w14:textId="77777777" w:rsidR="00A71EEF" w:rsidRDefault="00A71EEF">
      <w:pPr>
        <w:pStyle w:val="a3"/>
        <w:spacing w:before="12"/>
        <w:rPr>
          <w:sz w:val="17"/>
        </w:rPr>
      </w:pPr>
    </w:p>
    <w:p w14:paraId="48F83024" w14:textId="77777777" w:rsidR="00A71EEF" w:rsidRDefault="0081115D">
      <w:pPr>
        <w:pStyle w:val="a4"/>
        <w:numPr>
          <w:ilvl w:val="2"/>
          <w:numId w:val="230"/>
        </w:numPr>
        <w:tabs>
          <w:tab w:val="left" w:pos="1635"/>
        </w:tabs>
        <w:ind w:left="1634" w:hanging="795"/>
        <w:rPr>
          <w:sz w:val="21"/>
        </w:rPr>
      </w:pPr>
      <w:r>
        <w:rPr>
          <w:spacing w:val="-3"/>
          <w:sz w:val="21"/>
        </w:rPr>
        <w:t>沟槽连接件（</w:t>
      </w:r>
      <w:r>
        <w:rPr>
          <w:spacing w:val="-2"/>
          <w:sz w:val="21"/>
        </w:rPr>
        <w:t>卡箍</w:t>
      </w:r>
      <w:r>
        <w:rPr>
          <w:sz w:val="21"/>
        </w:rPr>
        <w:t>）</w:t>
      </w:r>
      <w:r>
        <w:rPr>
          <w:spacing w:val="-3"/>
          <w:sz w:val="21"/>
        </w:rPr>
        <w:t>连接应符合下列规定：</w:t>
      </w:r>
      <w:r>
        <w:rPr>
          <w:spacing w:val="-3"/>
          <w:sz w:val="21"/>
        </w:rPr>
        <w:t xml:space="preserve"> </w:t>
      </w:r>
    </w:p>
    <w:p w14:paraId="745BAD1E" w14:textId="77777777" w:rsidR="00A71EEF" w:rsidRDefault="00A71EEF">
      <w:pPr>
        <w:pStyle w:val="a3"/>
        <w:rPr>
          <w:sz w:val="18"/>
        </w:rPr>
      </w:pPr>
    </w:p>
    <w:p w14:paraId="7C0D4225" w14:textId="77777777" w:rsidR="00A71EEF" w:rsidRDefault="0081115D">
      <w:pPr>
        <w:pStyle w:val="a3"/>
        <w:spacing w:line="446" w:lineRule="auto"/>
        <w:ind w:left="418" w:right="1609" w:firstLine="419"/>
      </w:pPr>
      <w:r>
        <w:t>沟槽式连接件（管接头）、钢管沟槽深度和钢管壁厚等，应符合现行国家标准《自动喷水灭火系统第</w:t>
      </w:r>
      <w:r>
        <w:t xml:space="preserve"> 11 </w:t>
      </w:r>
      <w:r>
        <w:t>部分：沟槽式管接件》</w:t>
      </w:r>
      <w:r>
        <w:t xml:space="preserve">GB 5135.11 </w:t>
      </w:r>
      <w:r>
        <w:t>的有关规定；</w:t>
      </w:r>
      <w:r>
        <w:t xml:space="preserve"> </w:t>
      </w:r>
    </w:p>
    <w:p w14:paraId="23AF7529" w14:textId="77777777" w:rsidR="00A71EEF" w:rsidRDefault="0081115D">
      <w:pPr>
        <w:pStyle w:val="a3"/>
        <w:spacing w:line="446" w:lineRule="auto"/>
        <w:ind w:left="418" w:right="1817" w:firstLine="419"/>
      </w:pPr>
      <w:r>
        <w:t>有振动的场所和埋地管道应采用柔性接头，其他场所宜采用刚性接头，当采用刚性接头时，每隔</w:t>
      </w:r>
      <w:r>
        <w:t xml:space="preserve"> 4</w:t>
      </w:r>
      <w:r>
        <w:t>～</w:t>
      </w:r>
      <w:r>
        <w:t xml:space="preserve">5 </w:t>
      </w:r>
      <w:r>
        <w:t>个刚性接头应设置一个挠性接头，埋地连接时螺栓和螺母应采用不锈钢件；</w:t>
      </w:r>
      <w:r>
        <w:t xml:space="preserve"> </w:t>
      </w:r>
    </w:p>
    <w:p w14:paraId="1D2E7924" w14:textId="77777777" w:rsidR="00A71EEF" w:rsidRDefault="0081115D">
      <w:pPr>
        <w:pStyle w:val="a3"/>
        <w:spacing w:line="446" w:lineRule="auto"/>
        <w:ind w:left="418" w:right="1608" w:firstLine="419"/>
        <w:jc w:val="both"/>
      </w:pPr>
      <w:r>
        <w:t>沟槽式管件连接时，其管道连接沟槽和开孔应用专用滚槽机和开孔机加工，并应做防腐处理；连接前应检查沟槽和孔洞尺寸，加工质量应符合技术要求；沟槽、孔洞处不应有毛刺、破损性裂纹和脏物；</w:t>
      </w:r>
      <w:r>
        <w:t xml:space="preserve"> </w:t>
      </w:r>
    </w:p>
    <w:p w14:paraId="1AEA2C5A" w14:textId="77777777" w:rsidR="00A71EEF" w:rsidRDefault="0081115D">
      <w:pPr>
        <w:pStyle w:val="a3"/>
        <w:spacing w:line="446" w:lineRule="auto"/>
        <w:ind w:left="418" w:right="1608" w:firstLine="419"/>
      </w:pPr>
      <w:r>
        <w:t>沟槽式管件的凸边应卡进沟槽后再紧固螺栓，两边应同时紧固，紧固时发现橡胶圈起皱应更换新橡胶圈；</w:t>
      </w:r>
      <w:r>
        <w:t xml:space="preserve"> </w:t>
      </w:r>
    </w:p>
    <w:p w14:paraId="24B43D1B" w14:textId="77777777" w:rsidR="00A71EEF" w:rsidRDefault="0081115D">
      <w:pPr>
        <w:pStyle w:val="a3"/>
        <w:spacing w:line="446" w:lineRule="auto"/>
        <w:ind w:left="418" w:right="1507" w:firstLine="419"/>
      </w:pPr>
      <w:r>
        <w:rPr>
          <w:spacing w:val="-3"/>
        </w:rPr>
        <w:t>机械三通连接时，应检查机械三通与孔洞的间隙，各部位应均匀，然后再紧固到位；机械</w:t>
      </w:r>
      <w:r>
        <w:rPr>
          <w:spacing w:val="-7"/>
        </w:rPr>
        <w:t>三通开孔间距不应小于</w:t>
      </w:r>
      <w:r>
        <w:rPr>
          <w:spacing w:val="-7"/>
        </w:rPr>
        <w:t xml:space="preserve"> </w:t>
      </w:r>
      <w:r>
        <w:t>1m</w:t>
      </w:r>
      <w:r>
        <w:rPr>
          <w:spacing w:val="-6"/>
        </w:rPr>
        <w:t>，机械四通开孔间距不应小于</w:t>
      </w:r>
      <w:r>
        <w:rPr>
          <w:spacing w:val="-6"/>
        </w:rPr>
        <w:t xml:space="preserve"> </w:t>
      </w:r>
      <w:r>
        <w:t>2m</w:t>
      </w:r>
      <w:r>
        <w:rPr>
          <w:spacing w:val="-3"/>
        </w:rPr>
        <w:t>；机械三通、机械四通连接时支管的</w:t>
      </w:r>
      <w:r>
        <w:rPr>
          <w:spacing w:val="-10"/>
        </w:rPr>
        <w:t>直径应满足表</w:t>
      </w:r>
      <w:r>
        <w:rPr>
          <w:spacing w:val="-10"/>
        </w:rPr>
        <w:t xml:space="preserve"> </w:t>
      </w:r>
      <w:r>
        <w:t>12.3.12</w:t>
      </w:r>
      <w:r>
        <w:rPr>
          <w:spacing w:val="-7"/>
        </w:rPr>
        <w:t xml:space="preserve"> </w:t>
      </w:r>
      <w:r>
        <w:rPr>
          <w:spacing w:val="-7"/>
        </w:rPr>
        <w:t>的规定，当主管与支管连接不符合表</w:t>
      </w:r>
      <w:r>
        <w:rPr>
          <w:spacing w:val="-7"/>
        </w:rPr>
        <w:t xml:space="preserve"> </w:t>
      </w:r>
      <w:r>
        <w:t>12.3.12</w:t>
      </w:r>
      <w:r>
        <w:rPr>
          <w:spacing w:val="-8"/>
        </w:rPr>
        <w:t xml:space="preserve"> </w:t>
      </w:r>
      <w:r>
        <w:rPr>
          <w:spacing w:val="-8"/>
        </w:rPr>
        <w:t>时应采用沟槽式三通、四</w:t>
      </w:r>
      <w:r>
        <w:rPr>
          <w:spacing w:val="-6"/>
        </w:rPr>
        <w:t>通管件连接；</w:t>
      </w:r>
      <w:r>
        <w:t xml:space="preserve"> </w:t>
      </w:r>
    </w:p>
    <w:p w14:paraId="3199086E" w14:textId="77777777" w:rsidR="00A71EEF" w:rsidRDefault="0081115D">
      <w:pPr>
        <w:pStyle w:val="6"/>
        <w:spacing w:line="269" w:lineRule="exact"/>
        <w:ind w:left="2782"/>
        <w:rPr>
          <w:b w:val="0"/>
        </w:rPr>
      </w:pPr>
      <w:r>
        <w:t>表</w:t>
      </w:r>
      <w:r>
        <w:t xml:space="preserve"> 12.3.12 </w:t>
      </w:r>
      <w:r>
        <w:t>机械三通、机械四通连接时支管直径</w:t>
      </w:r>
      <w:r>
        <w:rPr>
          <w:b w:val="0"/>
        </w:rPr>
        <w:t xml:space="preserve"> </w:t>
      </w:r>
    </w:p>
    <w:p w14:paraId="56E532B6" w14:textId="77777777" w:rsidR="00A71EEF" w:rsidRDefault="0081115D">
      <w:pPr>
        <w:pStyle w:val="a3"/>
        <w:spacing w:before="12"/>
        <w:rPr>
          <w:sz w:val="17"/>
        </w:rPr>
      </w:pPr>
      <w:r>
        <w:rPr>
          <w:noProof/>
        </w:rPr>
        <w:drawing>
          <wp:anchor distT="0" distB="0" distL="0" distR="0" simplePos="0" relativeHeight="251673088" behindDoc="0" locked="0" layoutInCell="1" allowOverlap="1" wp14:anchorId="7160BD2B" wp14:editId="27460612">
            <wp:simplePos x="0" y="0"/>
            <wp:positionH relativeFrom="page">
              <wp:posOffset>1071880</wp:posOffset>
            </wp:positionH>
            <wp:positionV relativeFrom="paragraph">
              <wp:posOffset>170813</wp:posOffset>
            </wp:positionV>
            <wp:extent cx="5302802" cy="980694"/>
            <wp:effectExtent l="0" t="0" r="0" b="0"/>
            <wp:wrapTopAndBottom/>
            <wp:docPr id="591" name="image3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image342.jpeg"/>
                    <pic:cNvPicPr/>
                  </pic:nvPicPr>
                  <pic:blipFill>
                    <a:blip r:embed="rId406" cstate="print"/>
                    <a:stretch>
                      <a:fillRect/>
                    </a:stretch>
                  </pic:blipFill>
                  <pic:spPr>
                    <a:xfrm>
                      <a:off x="0" y="0"/>
                      <a:ext cx="5302802" cy="980694"/>
                    </a:xfrm>
                    <a:prstGeom prst="rect">
                      <a:avLst/>
                    </a:prstGeom>
                  </pic:spPr>
                </pic:pic>
              </a:graphicData>
            </a:graphic>
          </wp:anchor>
        </w:drawing>
      </w:r>
    </w:p>
    <w:p w14:paraId="31D74649" w14:textId="77777777" w:rsidR="00A71EEF" w:rsidRDefault="00A71EEF">
      <w:pPr>
        <w:rPr>
          <w:sz w:val="17"/>
        </w:rPr>
        <w:sectPr w:rsidR="00A71EEF">
          <w:pgSz w:w="11910" w:h="16850"/>
          <w:pgMar w:top="1220" w:right="0" w:bottom="1420" w:left="1260" w:header="0" w:footer="1239" w:gutter="0"/>
          <w:cols w:space="720"/>
        </w:sectPr>
      </w:pPr>
    </w:p>
    <w:p w14:paraId="2AB03404" w14:textId="77777777" w:rsidR="00A71EEF" w:rsidRDefault="0081115D">
      <w:pPr>
        <w:pStyle w:val="a3"/>
        <w:spacing w:before="47"/>
        <w:ind w:left="838"/>
      </w:pPr>
      <w:r>
        <w:t>配水干管</w:t>
      </w:r>
      <w:r>
        <w:t>(</w:t>
      </w:r>
      <w:r>
        <w:t>立管</w:t>
      </w:r>
      <w:r>
        <w:t>)</w:t>
      </w:r>
      <w:r>
        <w:t>与配水管</w:t>
      </w:r>
      <w:r>
        <w:t>(</w:t>
      </w:r>
      <w:r>
        <w:t>水平管</w:t>
      </w:r>
      <w:r>
        <w:t>)</w:t>
      </w:r>
      <w:r>
        <w:t>连接，应采用沟槽式管件，不应采用机械三通；</w:t>
      </w:r>
      <w:r>
        <w:t xml:space="preserve"> </w:t>
      </w:r>
    </w:p>
    <w:p w14:paraId="44C83A98" w14:textId="77777777" w:rsidR="00A71EEF" w:rsidRDefault="00A71EEF">
      <w:pPr>
        <w:pStyle w:val="a3"/>
        <w:rPr>
          <w:sz w:val="18"/>
        </w:rPr>
      </w:pPr>
    </w:p>
    <w:p w14:paraId="507CBB73" w14:textId="77777777" w:rsidR="00A71EEF" w:rsidRDefault="0081115D">
      <w:pPr>
        <w:pStyle w:val="a3"/>
        <w:spacing w:line="446" w:lineRule="auto"/>
        <w:ind w:left="418" w:right="1817" w:firstLine="419"/>
      </w:pPr>
      <w:r>
        <w:t>埋地的沟槽式管件的螺栓、螺帽应做防腐处理。水泵房内的埋地管道连接应采用挠性接头。</w:t>
      </w:r>
      <w:r>
        <w:t xml:space="preserve"> </w:t>
      </w:r>
    </w:p>
    <w:p w14:paraId="5C3009A3" w14:textId="77777777" w:rsidR="00A71EEF" w:rsidRDefault="0081115D">
      <w:pPr>
        <w:pStyle w:val="a3"/>
        <w:spacing w:line="446" w:lineRule="auto"/>
        <w:ind w:left="418" w:right="1609" w:firstLine="419"/>
      </w:pPr>
      <w:r>
        <w:t>采用沟槽连接件连接管道变径和转弯时，宜采用沟槽式异径管件和弯头；当需要采用补芯时，三通上可用一个，四通上不应超过二个；公称直径大于</w:t>
      </w:r>
      <w:r>
        <w:t xml:space="preserve"> 50mm </w:t>
      </w:r>
      <w:r>
        <w:t>的管道不宜采用活接头；</w:t>
      </w:r>
      <w:r>
        <w:t xml:space="preserve"> </w:t>
      </w:r>
    </w:p>
    <w:p w14:paraId="39EE8A68" w14:textId="77777777" w:rsidR="00A71EEF" w:rsidRDefault="0081115D">
      <w:pPr>
        <w:pStyle w:val="a3"/>
        <w:spacing w:line="446" w:lineRule="auto"/>
        <w:ind w:left="418" w:right="1450" w:firstLine="419"/>
      </w:pPr>
      <w:r>
        <w:rPr>
          <w:spacing w:val="-3"/>
        </w:rPr>
        <w:t>沟槽连接件应采用三元乙丙橡胶</w:t>
      </w:r>
      <w:r>
        <w:t>（</w:t>
      </w:r>
      <w:r>
        <w:t>EDPM</w:t>
      </w:r>
      <w:r>
        <w:t>）</w:t>
      </w:r>
      <w:r>
        <w:t>C</w:t>
      </w:r>
      <w:r>
        <w:rPr>
          <w:spacing w:val="-7"/>
        </w:rPr>
        <w:t xml:space="preserve"> </w:t>
      </w:r>
      <w:r>
        <w:rPr>
          <w:spacing w:val="-7"/>
        </w:rPr>
        <w:t>型密封胶圈，弹性应良好，应无破损和变形，安</w:t>
      </w:r>
      <w:r>
        <w:rPr>
          <w:spacing w:val="-15"/>
        </w:rPr>
        <w:t>装压紧后</w:t>
      </w:r>
      <w:r>
        <w:rPr>
          <w:spacing w:val="-15"/>
        </w:rPr>
        <w:t xml:space="preserve"> </w:t>
      </w:r>
      <w:r>
        <w:t>C</w:t>
      </w:r>
      <w:r>
        <w:rPr>
          <w:spacing w:val="-8"/>
        </w:rPr>
        <w:t xml:space="preserve"> </w:t>
      </w:r>
      <w:r>
        <w:rPr>
          <w:spacing w:val="-8"/>
        </w:rPr>
        <w:t>型密封胶圈中间应有空隙。</w:t>
      </w:r>
      <w:r>
        <w:t xml:space="preserve"> </w:t>
      </w:r>
    </w:p>
    <w:p w14:paraId="0F40899B" w14:textId="77777777" w:rsidR="00A71EEF" w:rsidRDefault="0081115D">
      <w:pPr>
        <w:pStyle w:val="a3"/>
        <w:spacing w:line="446" w:lineRule="auto"/>
        <w:ind w:left="838" w:right="5447"/>
      </w:pPr>
      <w:r>
        <w:rPr>
          <w:spacing w:val="-8"/>
        </w:rPr>
        <w:t>检查数量：按数量抽查</w:t>
      </w:r>
      <w:r>
        <w:rPr>
          <w:spacing w:val="-8"/>
        </w:rPr>
        <w:t xml:space="preserve"> </w:t>
      </w:r>
      <w:r>
        <w:t>30</w:t>
      </w:r>
      <w:r>
        <w:rPr>
          <w:spacing w:val="-9"/>
        </w:rPr>
        <w:t>%</w:t>
      </w:r>
      <w:r>
        <w:rPr>
          <w:spacing w:val="-9"/>
        </w:rPr>
        <w:t>，不应少于</w:t>
      </w:r>
      <w:r>
        <w:rPr>
          <w:spacing w:val="-9"/>
        </w:rPr>
        <w:t xml:space="preserve"> </w:t>
      </w:r>
      <w:r>
        <w:t>10</w:t>
      </w:r>
      <w:r>
        <w:rPr>
          <w:spacing w:val="-18"/>
        </w:rPr>
        <w:t xml:space="preserve"> </w:t>
      </w:r>
      <w:r>
        <w:rPr>
          <w:spacing w:val="-18"/>
        </w:rPr>
        <w:t>件。</w:t>
      </w:r>
      <w:r>
        <w:rPr>
          <w:spacing w:val="-7"/>
        </w:rPr>
        <w:t>检验方法：直观和尺量检查。</w:t>
      </w:r>
      <w:r>
        <w:t xml:space="preserve"> </w:t>
      </w:r>
    </w:p>
    <w:p w14:paraId="39EBC046" w14:textId="77777777" w:rsidR="00A71EEF" w:rsidRDefault="0081115D">
      <w:pPr>
        <w:pStyle w:val="a4"/>
        <w:numPr>
          <w:ilvl w:val="2"/>
          <w:numId w:val="230"/>
        </w:numPr>
        <w:tabs>
          <w:tab w:val="left" w:pos="1583"/>
        </w:tabs>
        <w:ind w:left="1582" w:hanging="743"/>
        <w:rPr>
          <w:sz w:val="21"/>
        </w:rPr>
      </w:pPr>
      <w:r>
        <w:rPr>
          <w:spacing w:val="-3"/>
          <w:sz w:val="21"/>
        </w:rPr>
        <w:t>钢丝网骨架塑料复合管材、管件以及管道附件的连接，应符合下列要求：</w:t>
      </w:r>
      <w:r>
        <w:rPr>
          <w:sz w:val="21"/>
        </w:rPr>
        <w:t xml:space="preserve"> </w:t>
      </w:r>
    </w:p>
    <w:p w14:paraId="243C036A" w14:textId="77777777" w:rsidR="00A71EEF" w:rsidRDefault="00A71EEF">
      <w:pPr>
        <w:pStyle w:val="a3"/>
        <w:spacing w:before="10"/>
        <w:rPr>
          <w:sz w:val="17"/>
        </w:rPr>
      </w:pPr>
    </w:p>
    <w:p w14:paraId="2D5BC603" w14:textId="77777777" w:rsidR="00A71EEF" w:rsidRDefault="0081115D">
      <w:pPr>
        <w:pStyle w:val="a3"/>
        <w:spacing w:line="446" w:lineRule="auto"/>
        <w:ind w:left="418" w:right="1608" w:firstLine="419"/>
        <w:jc w:val="both"/>
      </w:pPr>
      <w:r>
        <w:t>钢丝网骨架塑料复合管材、管件以及管道附件，应采用同一品牌的产品；管道连接宜采用同种牌号级别，且压力等级相同的管材、管件以及管道附件。不同牌号的管材以及管道附件之间的连接，应经过试验，并应判定连接质量能得到保证后再连接；</w:t>
      </w:r>
      <w:r>
        <w:t xml:space="preserve"> </w:t>
      </w:r>
    </w:p>
    <w:p w14:paraId="34C82606" w14:textId="77777777" w:rsidR="00A71EEF" w:rsidRDefault="0081115D">
      <w:pPr>
        <w:pStyle w:val="a3"/>
        <w:spacing w:line="446" w:lineRule="auto"/>
        <w:ind w:left="418" w:right="1609" w:firstLine="419"/>
      </w:pPr>
      <w:r>
        <w:t>连接应采用电熔连接或机械连接，电熔连接宜采用电熔承插连接和电熔鞍形连接；机械连接宜采用锁紧型和非锁紧型承插式连接、法兰连接、钢塑过渡连接；</w:t>
      </w:r>
      <w:r>
        <w:t xml:space="preserve"> </w:t>
      </w:r>
    </w:p>
    <w:p w14:paraId="7D679236" w14:textId="77777777" w:rsidR="00A71EEF" w:rsidRDefault="0081115D">
      <w:pPr>
        <w:pStyle w:val="a3"/>
        <w:spacing w:line="446" w:lineRule="auto"/>
        <w:ind w:left="418" w:right="1505" w:firstLine="419"/>
      </w:pPr>
      <w:r>
        <w:rPr>
          <w:spacing w:val="-3"/>
        </w:rPr>
        <w:t>钢丝网骨架塑料复合管给水管道与金属管道或金属管道附件的连接，应采用法兰或钢塑过</w:t>
      </w:r>
      <w:r>
        <w:rPr>
          <w:spacing w:val="-6"/>
        </w:rPr>
        <w:t>渡接头连接，与直径小于或等于</w:t>
      </w:r>
      <w:r>
        <w:rPr>
          <w:spacing w:val="-6"/>
        </w:rPr>
        <w:t xml:space="preserve"> </w:t>
      </w:r>
      <w:r>
        <w:t>DN50</w:t>
      </w:r>
      <w:r>
        <w:rPr>
          <w:spacing w:val="-7"/>
        </w:rPr>
        <w:t xml:space="preserve"> </w:t>
      </w:r>
      <w:r>
        <w:rPr>
          <w:spacing w:val="-7"/>
        </w:rPr>
        <w:t>的镀锌管道或内衬塑镀锌管的连接</w:t>
      </w:r>
      <w:r>
        <w:rPr>
          <w:spacing w:val="-7"/>
        </w:rPr>
        <w:t>，宜采用锁紧型承插式</w:t>
      </w:r>
      <w:r>
        <w:rPr>
          <w:spacing w:val="-6"/>
        </w:rPr>
        <w:t>连接；</w:t>
      </w:r>
      <w:r>
        <w:t xml:space="preserve"> </w:t>
      </w:r>
    </w:p>
    <w:p w14:paraId="09612040" w14:textId="77777777" w:rsidR="00A71EEF" w:rsidRDefault="0081115D">
      <w:pPr>
        <w:pStyle w:val="a3"/>
        <w:spacing w:line="268" w:lineRule="exact"/>
        <w:ind w:left="838"/>
      </w:pPr>
      <w:r>
        <w:t>管道各种连接应采用相应的专用连接工具；</w:t>
      </w:r>
      <w:r>
        <w:t xml:space="preserve"> </w:t>
      </w:r>
    </w:p>
    <w:p w14:paraId="6E1EE9D3" w14:textId="77777777" w:rsidR="00A71EEF" w:rsidRDefault="00A71EEF">
      <w:pPr>
        <w:pStyle w:val="a3"/>
        <w:spacing w:before="12"/>
        <w:rPr>
          <w:sz w:val="17"/>
        </w:rPr>
      </w:pPr>
    </w:p>
    <w:p w14:paraId="32FD34CC" w14:textId="77777777" w:rsidR="00A71EEF" w:rsidRDefault="0081115D">
      <w:pPr>
        <w:pStyle w:val="a3"/>
        <w:spacing w:line="446" w:lineRule="auto"/>
        <w:ind w:left="418" w:right="1609" w:firstLine="419"/>
      </w:pPr>
      <w:r>
        <w:t>钢丝网骨架塑料复合管材、管件与金属管、管道附件的连接，当采用钢制喷塑或球墨铸铁过渡管件时，其过渡管件的压力等级不应低于管材公称压力；</w:t>
      </w:r>
      <w:r>
        <w:t xml:space="preserve"> </w:t>
      </w:r>
    </w:p>
    <w:p w14:paraId="36DF3460" w14:textId="77777777" w:rsidR="00A71EEF" w:rsidRDefault="0081115D">
      <w:pPr>
        <w:pStyle w:val="a3"/>
        <w:spacing w:line="446" w:lineRule="auto"/>
        <w:ind w:left="418" w:right="1609" w:firstLine="419"/>
      </w:pPr>
      <w:r>
        <w:t>在</w:t>
      </w:r>
      <w:r>
        <w:t>-5℃</w:t>
      </w:r>
      <w:r>
        <w:t>以下或大风环境条件下进行热熔或电熔连接操作时，应采取保护措施，或调整连接机具的工艺参数；</w:t>
      </w:r>
      <w:r>
        <w:t xml:space="preserve"> </w:t>
      </w:r>
    </w:p>
    <w:p w14:paraId="2BE91E8B" w14:textId="77777777" w:rsidR="00A71EEF" w:rsidRDefault="0081115D">
      <w:pPr>
        <w:pStyle w:val="a3"/>
        <w:spacing w:line="446" w:lineRule="auto"/>
        <w:ind w:left="418" w:right="1608" w:firstLine="419"/>
        <w:jc w:val="both"/>
      </w:pPr>
      <w:r>
        <w:t>管材、管件以及管道附件存放处与施工现场温差较大时，连接前应将钢丝网骨架塑料复合管管材、管件以及管道附件在施工现场放置一段时间，并应使管材的温度与施工现场的温度相当；</w:t>
      </w:r>
      <w:r>
        <w:t xml:space="preserve"> </w:t>
      </w:r>
    </w:p>
    <w:p w14:paraId="294581E8" w14:textId="77777777" w:rsidR="00A71EEF" w:rsidRDefault="0081115D">
      <w:pPr>
        <w:pStyle w:val="a3"/>
        <w:spacing w:line="446" w:lineRule="auto"/>
        <w:ind w:left="418" w:right="1609" w:firstLine="419"/>
      </w:pPr>
      <w:r>
        <w:t>管道连接时，管材切割应采用专用割刀</w:t>
      </w:r>
      <w:r>
        <w:t>或切管工具，切割断面应平整、光滑、无毛刺，且应垂直于管轴线；</w:t>
      </w:r>
      <w:r>
        <w:t xml:space="preserve"> </w:t>
      </w:r>
    </w:p>
    <w:p w14:paraId="6A9558BA" w14:textId="77777777" w:rsidR="00A71EEF" w:rsidRDefault="00A71EEF">
      <w:pPr>
        <w:spacing w:line="446" w:lineRule="auto"/>
        <w:sectPr w:rsidR="00A71EEF">
          <w:pgSz w:w="11910" w:h="16850"/>
          <w:pgMar w:top="1220" w:right="0" w:bottom="1420" w:left="1260" w:header="0" w:footer="1239" w:gutter="0"/>
          <w:cols w:space="720"/>
        </w:sectPr>
      </w:pPr>
    </w:p>
    <w:p w14:paraId="7E79C14A" w14:textId="77777777" w:rsidR="00A71EEF" w:rsidRDefault="0081115D">
      <w:pPr>
        <w:pStyle w:val="a3"/>
        <w:spacing w:before="47" w:line="446" w:lineRule="auto"/>
        <w:ind w:left="838" w:right="2715"/>
      </w:pPr>
      <w:r>
        <w:rPr>
          <w:spacing w:val="-5"/>
        </w:rPr>
        <w:t>管道合拢连接的时间宜为常年平均温度，且宜为第二天上午的</w:t>
      </w:r>
      <w:r>
        <w:rPr>
          <w:spacing w:val="-5"/>
        </w:rPr>
        <w:t xml:space="preserve"> </w:t>
      </w:r>
      <w:r>
        <w:t>8</w:t>
      </w:r>
      <w:r>
        <w:rPr>
          <w:spacing w:val="-25"/>
        </w:rPr>
        <w:t xml:space="preserve"> </w:t>
      </w:r>
      <w:r>
        <w:rPr>
          <w:spacing w:val="-25"/>
        </w:rPr>
        <w:t>点</w:t>
      </w:r>
      <w:r>
        <w:t>～</w:t>
      </w:r>
      <w:r>
        <w:t>10</w:t>
      </w:r>
      <w:r>
        <w:rPr>
          <w:spacing w:val="-17"/>
        </w:rPr>
        <w:t xml:space="preserve"> </w:t>
      </w:r>
      <w:r>
        <w:rPr>
          <w:spacing w:val="-17"/>
        </w:rPr>
        <w:t>点；</w:t>
      </w:r>
      <w:r>
        <w:rPr>
          <w:spacing w:val="-17"/>
        </w:rPr>
        <w:t xml:space="preserve"> </w:t>
      </w:r>
      <w:r>
        <w:rPr>
          <w:spacing w:val="-7"/>
        </w:rPr>
        <w:t>管道连接后，应及时检查接头外观质量。</w:t>
      </w:r>
      <w:r>
        <w:t xml:space="preserve"> </w:t>
      </w:r>
    </w:p>
    <w:p w14:paraId="1FF93F67" w14:textId="77777777" w:rsidR="00A71EEF" w:rsidRDefault="0081115D">
      <w:pPr>
        <w:pStyle w:val="a3"/>
        <w:spacing w:line="446" w:lineRule="auto"/>
        <w:ind w:left="838" w:right="5447"/>
      </w:pPr>
      <w:r>
        <w:rPr>
          <w:spacing w:val="-8"/>
        </w:rPr>
        <w:t>检查数量：按数量抽查</w:t>
      </w:r>
      <w:r>
        <w:rPr>
          <w:spacing w:val="-8"/>
        </w:rPr>
        <w:t xml:space="preserve"> </w:t>
      </w:r>
      <w:r>
        <w:t>30</w:t>
      </w:r>
      <w:r>
        <w:rPr>
          <w:spacing w:val="-9"/>
        </w:rPr>
        <w:t>%</w:t>
      </w:r>
      <w:r>
        <w:rPr>
          <w:spacing w:val="-9"/>
        </w:rPr>
        <w:t>，不应少于</w:t>
      </w:r>
      <w:r>
        <w:rPr>
          <w:spacing w:val="-9"/>
        </w:rPr>
        <w:t xml:space="preserve"> </w:t>
      </w:r>
      <w:r>
        <w:t>10</w:t>
      </w:r>
      <w:r>
        <w:rPr>
          <w:spacing w:val="-18"/>
        </w:rPr>
        <w:t xml:space="preserve"> </w:t>
      </w:r>
      <w:r>
        <w:rPr>
          <w:spacing w:val="-18"/>
        </w:rPr>
        <w:t>件。</w:t>
      </w:r>
      <w:r>
        <w:rPr>
          <w:spacing w:val="-7"/>
        </w:rPr>
        <w:t>检验方法：直观检查。</w:t>
      </w:r>
      <w:r>
        <w:t xml:space="preserve"> </w:t>
      </w:r>
    </w:p>
    <w:p w14:paraId="38020E49" w14:textId="77777777" w:rsidR="00A71EEF" w:rsidRDefault="0081115D">
      <w:pPr>
        <w:pStyle w:val="a4"/>
        <w:numPr>
          <w:ilvl w:val="2"/>
          <w:numId w:val="230"/>
        </w:numPr>
        <w:tabs>
          <w:tab w:val="left" w:pos="1635"/>
        </w:tabs>
        <w:spacing w:line="446" w:lineRule="auto"/>
        <w:ind w:left="838" w:right="3231" w:firstLine="2"/>
        <w:rPr>
          <w:sz w:val="21"/>
        </w:rPr>
      </w:pPr>
      <w:r>
        <w:rPr>
          <w:spacing w:val="-3"/>
          <w:sz w:val="21"/>
        </w:rPr>
        <w:t>钢丝网骨架塑料复合管材、管件电熔连接，应符合下列要求：</w:t>
      </w:r>
      <w:r>
        <w:rPr>
          <w:spacing w:val="-3"/>
          <w:sz w:val="21"/>
        </w:rPr>
        <w:t xml:space="preserve"> </w:t>
      </w:r>
      <w:r>
        <w:rPr>
          <w:spacing w:val="-3"/>
          <w:sz w:val="21"/>
        </w:rPr>
        <w:t>电熔连接机具输出电流、电压应稳定，并应符合电熔连接工艺要求；</w:t>
      </w:r>
      <w:r>
        <w:rPr>
          <w:sz w:val="21"/>
        </w:rPr>
        <w:t xml:space="preserve"> </w:t>
      </w:r>
    </w:p>
    <w:p w14:paraId="41EAE561" w14:textId="77777777" w:rsidR="00A71EEF" w:rsidRDefault="0081115D">
      <w:pPr>
        <w:pStyle w:val="a3"/>
        <w:spacing w:line="446" w:lineRule="auto"/>
        <w:ind w:left="418" w:right="1609" w:firstLine="419"/>
      </w:pPr>
      <w:r>
        <w:rPr>
          <w:spacing w:val="-3"/>
        </w:rPr>
        <w:t>电熔连接机具与电熔管件应正确连通，连接时，通电加热的电压和加热时间应符合电熔连接机具和电熔管件生产企业的规定；</w:t>
      </w:r>
      <w:r>
        <w:t xml:space="preserve"> </w:t>
      </w:r>
    </w:p>
    <w:p w14:paraId="6B6E926D" w14:textId="77777777" w:rsidR="00A71EEF" w:rsidRDefault="0081115D">
      <w:pPr>
        <w:pStyle w:val="a3"/>
        <w:spacing w:line="446" w:lineRule="auto"/>
        <w:ind w:left="838" w:right="3606"/>
      </w:pPr>
      <w:r>
        <w:rPr>
          <w:spacing w:val="-3"/>
        </w:rPr>
        <w:t>电熔连接冷却期间，不应移动连接件或在连接件上施加任何外力；</w:t>
      </w:r>
      <w:r>
        <w:rPr>
          <w:spacing w:val="-3"/>
        </w:rPr>
        <w:t xml:space="preserve"> </w:t>
      </w:r>
      <w:r>
        <w:rPr>
          <w:spacing w:val="-3"/>
        </w:rPr>
        <w:t>电熔承插连接应符合下列规定：</w:t>
      </w:r>
      <w:r>
        <w:t xml:space="preserve"> </w:t>
      </w:r>
    </w:p>
    <w:p w14:paraId="0BF457C9" w14:textId="77777777" w:rsidR="00A71EEF" w:rsidRDefault="0081115D">
      <w:pPr>
        <w:pStyle w:val="a3"/>
        <w:spacing w:line="446" w:lineRule="auto"/>
        <w:ind w:left="838" w:right="1714"/>
      </w:pPr>
      <w:r>
        <w:rPr>
          <w:spacing w:val="-3"/>
        </w:rPr>
        <w:t>测量管件承口长度，并在管材插入端标出插入长度标记，用专用工具刮除插入段表皮；</w:t>
      </w:r>
      <w:r>
        <w:rPr>
          <w:spacing w:val="-3"/>
        </w:rPr>
        <w:t xml:space="preserve"> </w:t>
      </w:r>
      <w:r>
        <w:rPr>
          <w:spacing w:val="-3"/>
        </w:rPr>
        <w:t>用洁净棉布擦净管材、管件连接面上的污物；</w:t>
      </w:r>
      <w:r>
        <w:t xml:space="preserve"> </w:t>
      </w:r>
    </w:p>
    <w:p w14:paraId="37D87AFC" w14:textId="77777777" w:rsidR="00A71EEF" w:rsidRDefault="0081115D">
      <w:pPr>
        <w:pStyle w:val="a3"/>
        <w:ind w:left="838"/>
      </w:pPr>
      <w:r>
        <w:rPr>
          <w:spacing w:val="-3"/>
        </w:rPr>
        <w:t>将管材插入管件承口内，直至长度标记位置；</w:t>
      </w:r>
      <w:r>
        <w:t xml:space="preserve"> </w:t>
      </w:r>
    </w:p>
    <w:p w14:paraId="06F2DB89" w14:textId="77777777" w:rsidR="00A71EEF" w:rsidRDefault="00A71EEF">
      <w:pPr>
        <w:pStyle w:val="a3"/>
        <w:spacing w:before="8"/>
        <w:rPr>
          <w:sz w:val="17"/>
        </w:rPr>
      </w:pPr>
    </w:p>
    <w:p w14:paraId="2DDCBCE9" w14:textId="77777777" w:rsidR="00A71EEF" w:rsidRDefault="0081115D">
      <w:pPr>
        <w:pStyle w:val="a3"/>
        <w:spacing w:before="1" w:line="446" w:lineRule="auto"/>
        <w:ind w:left="418" w:right="1609" w:firstLine="419"/>
      </w:pPr>
      <w:r>
        <w:t>通电前，应校直两对应的待连接件，使其在同一轴线上，用整圆工具保持管材插入端的圆度。</w:t>
      </w:r>
      <w:r>
        <w:t xml:space="preserve"> </w:t>
      </w:r>
    </w:p>
    <w:p w14:paraId="0847FB95" w14:textId="77777777" w:rsidR="00A71EEF" w:rsidRDefault="0081115D">
      <w:pPr>
        <w:pStyle w:val="a3"/>
        <w:ind w:left="838"/>
      </w:pPr>
      <w:r>
        <w:t>电熔鞍形连接应符合下列规定：</w:t>
      </w:r>
      <w:r>
        <w:t xml:space="preserve"> </w:t>
      </w:r>
    </w:p>
    <w:p w14:paraId="4C8B3ACD" w14:textId="77777777" w:rsidR="00A71EEF" w:rsidRDefault="00A71EEF">
      <w:pPr>
        <w:pStyle w:val="a3"/>
        <w:spacing w:before="12"/>
        <w:rPr>
          <w:sz w:val="17"/>
        </w:rPr>
      </w:pPr>
    </w:p>
    <w:p w14:paraId="145BA2BE" w14:textId="77777777" w:rsidR="00A71EEF" w:rsidRDefault="0081115D">
      <w:pPr>
        <w:pStyle w:val="a4"/>
        <w:numPr>
          <w:ilvl w:val="0"/>
          <w:numId w:val="229"/>
        </w:numPr>
        <w:tabs>
          <w:tab w:val="left" w:pos="1156"/>
        </w:tabs>
        <w:rPr>
          <w:sz w:val="21"/>
        </w:rPr>
      </w:pPr>
      <w:r>
        <w:rPr>
          <w:spacing w:val="-3"/>
          <w:sz w:val="21"/>
        </w:rPr>
        <w:t>电熔鞍形连接应采用机械装置固定干管连接部位的管段，并确保管道的直线度和圆度；</w:t>
      </w:r>
      <w:r>
        <w:rPr>
          <w:sz w:val="21"/>
        </w:rPr>
        <w:t xml:space="preserve"> </w:t>
      </w:r>
    </w:p>
    <w:p w14:paraId="1A7F0574" w14:textId="77777777" w:rsidR="00A71EEF" w:rsidRDefault="00A71EEF">
      <w:pPr>
        <w:pStyle w:val="a3"/>
        <w:spacing w:before="12"/>
        <w:rPr>
          <w:sz w:val="17"/>
        </w:rPr>
      </w:pPr>
    </w:p>
    <w:p w14:paraId="1600EFFC" w14:textId="77777777" w:rsidR="00A71EEF" w:rsidRDefault="0081115D">
      <w:pPr>
        <w:pStyle w:val="a4"/>
        <w:numPr>
          <w:ilvl w:val="0"/>
          <w:numId w:val="229"/>
        </w:numPr>
        <w:tabs>
          <w:tab w:val="left" w:pos="1156"/>
        </w:tabs>
        <w:rPr>
          <w:sz w:val="21"/>
        </w:rPr>
      </w:pPr>
      <w:r>
        <w:rPr>
          <w:spacing w:val="-3"/>
          <w:sz w:val="21"/>
        </w:rPr>
        <w:t>干管连接部位上的污物应使用洁净棉布擦净，并用专用工具刮除干管连接部位表皮；</w:t>
      </w:r>
      <w:r>
        <w:rPr>
          <w:sz w:val="21"/>
        </w:rPr>
        <w:t xml:space="preserve"> </w:t>
      </w:r>
    </w:p>
    <w:p w14:paraId="3D035CE8" w14:textId="77777777" w:rsidR="00A71EEF" w:rsidRDefault="00A71EEF">
      <w:pPr>
        <w:pStyle w:val="a3"/>
        <w:spacing w:before="2"/>
        <w:rPr>
          <w:sz w:val="18"/>
        </w:rPr>
      </w:pPr>
    </w:p>
    <w:p w14:paraId="450FF943" w14:textId="77777777" w:rsidR="00A71EEF" w:rsidRDefault="0081115D">
      <w:pPr>
        <w:pStyle w:val="a4"/>
        <w:numPr>
          <w:ilvl w:val="0"/>
          <w:numId w:val="229"/>
        </w:numPr>
        <w:tabs>
          <w:tab w:val="left" w:pos="1156"/>
        </w:tabs>
        <w:rPr>
          <w:sz w:val="21"/>
        </w:rPr>
      </w:pPr>
      <w:r>
        <w:rPr>
          <w:spacing w:val="-3"/>
          <w:sz w:val="21"/>
        </w:rPr>
        <w:t>通电前，应将电熔鞍形连接管件用机械装置固定在干管连接部位。</w:t>
      </w:r>
      <w:r>
        <w:rPr>
          <w:sz w:val="21"/>
        </w:rPr>
        <w:t xml:space="preserve"> </w:t>
      </w:r>
    </w:p>
    <w:p w14:paraId="10DA5609" w14:textId="77777777" w:rsidR="00A71EEF" w:rsidRDefault="00A71EEF">
      <w:pPr>
        <w:pStyle w:val="a3"/>
        <w:rPr>
          <w:sz w:val="18"/>
        </w:rPr>
      </w:pPr>
    </w:p>
    <w:p w14:paraId="232350D1" w14:textId="77777777" w:rsidR="00A71EEF" w:rsidRDefault="0081115D">
      <w:pPr>
        <w:pStyle w:val="a3"/>
        <w:spacing w:line="446" w:lineRule="auto"/>
        <w:ind w:left="838" w:right="5447"/>
      </w:pPr>
      <w:r>
        <w:rPr>
          <w:spacing w:val="-8"/>
        </w:rPr>
        <w:t>检查数量：按数量抽查</w:t>
      </w:r>
      <w:r>
        <w:rPr>
          <w:spacing w:val="-8"/>
        </w:rPr>
        <w:t xml:space="preserve"> </w:t>
      </w:r>
      <w:r>
        <w:t>30</w:t>
      </w:r>
      <w:r>
        <w:rPr>
          <w:spacing w:val="-9"/>
        </w:rPr>
        <w:t>%</w:t>
      </w:r>
      <w:r>
        <w:rPr>
          <w:spacing w:val="-9"/>
        </w:rPr>
        <w:t>，不应少于</w:t>
      </w:r>
      <w:r>
        <w:rPr>
          <w:spacing w:val="-9"/>
        </w:rPr>
        <w:t xml:space="preserve"> </w:t>
      </w:r>
      <w:r>
        <w:t>10</w:t>
      </w:r>
      <w:r>
        <w:rPr>
          <w:spacing w:val="-18"/>
        </w:rPr>
        <w:t xml:space="preserve"> </w:t>
      </w:r>
      <w:r>
        <w:rPr>
          <w:spacing w:val="-18"/>
        </w:rPr>
        <w:t>件。</w:t>
      </w:r>
      <w:r>
        <w:rPr>
          <w:spacing w:val="-7"/>
        </w:rPr>
        <w:t>检验方法：直观检查。</w:t>
      </w:r>
      <w:r>
        <w:t xml:space="preserve"> </w:t>
      </w:r>
    </w:p>
    <w:p w14:paraId="1CE02896" w14:textId="77777777" w:rsidR="00A71EEF" w:rsidRDefault="0081115D">
      <w:pPr>
        <w:pStyle w:val="a4"/>
        <w:numPr>
          <w:ilvl w:val="2"/>
          <w:numId w:val="230"/>
        </w:numPr>
        <w:tabs>
          <w:tab w:val="left" w:pos="1635"/>
        </w:tabs>
        <w:ind w:left="1634" w:hanging="795"/>
        <w:rPr>
          <w:sz w:val="21"/>
        </w:rPr>
      </w:pPr>
      <w:r>
        <w:rPr>
          <w:spacing w:val="-3"/>
          <w:sz w:val="21"/>
        </w:rPr>
        <w:t>钢丝网骨架塑料复合管管材、管件法兰连接应符合下列要求：</w:t>
      </w:r>
      <w:r>
        <w:rPr>
          <w:sz w:val="21"/>
        </w:rPr>
        <w:t xml:space="preserve"> </w:t>
      </w:r>
    </w:p>
    <w:p w14:paraId="5E81C0FB" w14:textId="77777777" w:rsidR="00A71EEF" w:rsidRDefault="00A71EEF">
      <w:pPr>
        <w:pStyle w:val="a3"/>
        <w:spacing w:before="12"/>
        <w:rPr>
          <w:sz w:val="17"/>
        </w:rPr>
      </w:pPr>
    </w:p>
    <w:p w14:paraId="32D549C1" w14:textId="77777777" w:rsidR="00A71EEF" w:rsidRDefault="0081115D">
      <w:pPr>
        <w:pStyle w:val="a3"/>
        <w:spacing w:line="446" w:lineRule="auto"/>
        <w:ind w:left="418" w:right="1608" w:firstLine="419"/>
      </w:pPr>
      <w:r>
        <w:rPr>
          <w:spacing w:val="-3"/>
        </w:rPr>
        <w:t>钢丝网骨架塑料复合管管端法兰盘（背压松套法兰</w:t>
      </w:r>
      <w:r>
        <w:t>）</w:t>
      </w:r>
      <w:r>
        <w:rPr>
          <w:spacing w:val="-3"/>
        </w:rPr>
        <w:t>连接，应先将法兰盘（</w:t>
      </w:r>
      <w:r>
        <w:rPr>
          <w:spacing w:val="-1"/>
        </w:rPr>
        <w:t>背压松套法</w:t>
      </w:r>
      <w:r>
        <w:rPr>
          <w:spacing w:val="-1"/>
        </w:rPr>
        <w:t xml:space="preserve"> </w:t>
      </w:r>
      <w:r>
        <w:rPr>
          <w:spacing w:val="-1"/>
        </w:rPr>
        <w:t>兰）</w:t>
      </w:r>
      <w:r>
        <w:rPr>
          <w:spacing w:val="-3"/>
        </w:rPr>
        <w:t>套入待连接的聚乙烯法兰连接件</w:t>
      </w:r>
      <w:r>
        <w:t>（</w:t>
      </w:r>
      <w:r>
        <w:rPr>
          <w:spacing w:val="-3"/>
        </w:rPr>
        <w:t>跟形管端）的端部，再将法兰连接件</w:t>
      </w:r>
      <w:r>
        <w:t>（</w:t>
      </w:r>
      <w:r>
        <w:rPr>
          <w:spacing w:val="-3"/>
        </w:rPr>
        <w:t>跟形管端</w:t>
      </w:r>
      <w:r>
        <w:t>）</w:t>
      </w:r>
      <w:r>
        <w:rPr>
          <w:spacing w:val="-2"/>
        </w:rPr>
        <w:t>平口</w:t>
      </w:r>
      <w:r>
        <w:rPr>
          <w:spacing w:val="-8"/>
        </w:rPr>
        <w:t>端与管道按本规范第</w:t>
      </w:r>
      <w:r>
        <w:rPr>
          <w:spacing w:val="-8"/>
        </w:rPr>
        <w:t xml:space="preserve"> </w:t>
      </w:r>
      <w:r>
        <w:t>12.3.13</w:t>
      </w:r>
      <w:r>
        <w:rPr>
          <w:spacing w:val="-27"/>
        </w:rPr>
        <w:t xml:space="preserve"> </w:t>
      </w:r>
      <w:r>
        <w:rPr>
          <w:spacing w:val="-27"/>
        </w:rPr>
        <w:t>条第</w:t>
      </w:r>
      <w:r>
        <w:rPr>
          <w:spacing w:val="-27"/>
        </w:rPr>
        <w:t xml:space="preserve"> </w:t>
      </w:r>
      <w:r>
        <w:t>2</w:t>
      </w:r>
      <w:r>
        <w:rPr>
          <w:spacing w:val="-8"/>
        </w:rPr>
        <w:t xml:space="preserve"> </w:t>
      </w:r>
      <w:r>
        <w:rPr>
          <w:spacing w:val="-8"/>
        </w:rPr>
        <w:t>款电熔连接的要求进行连接；</w:t>
      </w:r>
      <w:r>
        <w:t xml:space="preserve"> </w:t>
      </w:r>
    </w:p>
    <w:p w14:paraId="3B7B5285" w14:textId="77777777" w:rsidR="00A71EEF" w:rsidRDefault="0081115D">
      <w:pPr>
        <w:pStyle w:val="a3"/>
        <w:spacing w:line="446" w:lineRule="auto"/>
        <w:ind w:left="418" w:right="1450" w:firstLine="419"/>
      </w:pPr>
      <w:r>
        <w:rPr>
          <w:spacing w:val="-3"/>
        </w:rPr>
        <w:t>两法兰盘上螺孔应对中，法兰面应相互平行，螺孔与螺栓直径应配套，螺栓长短应一致，</w:t>
      </w:r>
      <w:r>
        <w:rPr>
          <w:spacing w:val="-3"/>
        </w:rPr>
        <w:t xml:space="preserve"> </w:t>
      </w:r>
      <w:r>
        <w:rPr>
          <w:spacing w:val="-4"/>
        </w:rPr>
        <w:t>螺帽应在同一侧；紧固法兰盘上螺栓时应按对称顺序分次均匀紧固，螺栓拧紧后宜伸出螺帽</w:t>
      </w:r>
      <w:r>
        <w:rPr>
          <w:spacing w:val="-4"/>
        </w:rPr>
        <w:t xml:space="preserve"> </w:t>
      </w:r>
      <w:r>
        <w:t>1</w:t>
      </w:r>
      <w:r>
        <w:t>～</w:t>
      </w:r>
      <w:r>
        <w:t xml:space="preserve"> 3</w:t>
      </w:r>
      <w:r>
        <w:rPr>
          <w:spacing w:val="-15"/>
        </w:rPr>
        <w:t xml:space="preserve"> </w:t>
      </w:r>
      <w:r>
        <w:rPr>
          <w:spacing w:val="-15"/>
        </w:rPr>
        <w:t>丝扣；</w:t>
      </w:r>
      <w:r>
        <w:t xml:space="preserve"> </w:t>
      </w:r>
    </w:p>
    <w:p w14:paraId="05199741" w14:textId="77777777" w:rsidR="00A71EEF" w:rsidRDefault="00A71EEF">
      <w:pPr>
        <w:spacing w:line="446" w:lineRule="auto"/>
        <w:sectPr w:rsidR="00A71EEF">
          <w:pgSz w:w="11910" w:h="16850"/>
          <w:pgMar w:top="1220" w:right="0" w:bottom="1420" w:left="1260" w:header="0" w:footer="1239" w:gutter="0"/>
          <w:cols w:space="720"/>
        </w:sectPr>
      </w:pPr>
    </w:p>
    <w:p w14:paraId="41CC5169" w14:textId="77777777" w:rsidR="00A71EEF" w:rsidRDefault="0081115D">
      <w:pPr>
        <w:pStyle w:val="a3"/>
        <w:spacing w:before="47" w:line="446" w:lineRule="auto"/>
        <w:ind w:left="418" w:right="1602" w:firstLine="419"/>
      </w:pPr>
      <w:r>
        <w:t>法兰垫片材质应符合现行国家标准《钢制管法兰类型与参数》</w:t>
      </w:r>
      <w:r>
        <w:t xml:space="preserve">GB 9112 </w:t>
      </w:r>
      <w:r>
        <w:t>和《整体钢制管法兰》</w:t>
      </w:r>
      <w:r>
        <w:t xml:space="preserve">GB/T 9113 </w:t>
      </w:r>
      <w:r>
        <w:t>的有关规定，松套法兰表面宜采用喷塑防腐处理；</w:t>
      </w:r>
      <w:r>
        <w:t xml:space="preserve"> </w:t>
      </w:r>
    </w:p>
    <w:p w14:paraId="565BF6D8" w14:textId="77777777" w:rsidR="00A71EEF" w:rsidRDefault="0081115D">
      <w:pPr>
        <w:pStyle w:val="a3"/>
        <w:spacing w:line="446" w:lineRule="auto"/>
        <w:ind w:left="838" w:right="4657"/>
      </w:pPr>
      <w:r>
        <w:t>法兰盘应采用钢质法兰盘且应采用磷化镀铬防腐处理。检查数量：按数量抽查</w:t>
      </w:r>
      <w:r>
        <w:t xml:space="preserve"> 30%</w:t>
      </w:r>
      <w:r>
        <w:t>，不应少于</w:t>
      </w:r>
      <w:r>
        <w:t xml:space="preserve"> 10 </w:t>
      </w:r>
      <w:r>
        <w:t>件。</w:t>
      </w:r>
      <w:r>
        <w:t xml:space="preserve"> </w:t>
      </w:r>
    </w:p>
    <w:p w14:paraId="2119A42C" w14:textId="77777777" w:rsidR="00A71EEF" w:rsidRDefault="0081115D">
      <w:pPr>
        <w:pStyle w:val="a3"/>
        <w:ind w:left="838"/>
      </w:pPr>
      <w:r>
        <w:t>检验方法：直观检查。</w:t>
      </w:r>
      <w:r>
        <w:t xml:space="preserve"> </w:t>
      </w:r>
    </w:p>
    <w:p w14:paraId="6FBBEE71" w14:textId="77777777" w:rsidR="00A71EEF" w:rsidRDefault="00A71EEF">
      <w:pPr>
        <w:pStyle w:val="a3"/>
        <w:spacing w:before="10"/>
        <w:rPr>
          <w:sz w:val="17"/>
        </w:rPr>
      </w:pPr>
    </w:p>
    <w:p w14:paraId="17B769AD" w14:textId="77777777" w:rsidR="00A71EEF" w:rsidRDefault="0081115D">
      <w:pPr>
        <w:pStyle w:val="a4"/>
        <w:numPr>
          <w:ilvl w:val="2"/>
          <w:numId w:val="230"/>
        </w:numPr>
        <w:tabs>
          <w:tab w:val="left" w:pos="1635"/>
        </w:tabs>
        <w:ind w:left="1634" w:hanging="795"/>
        <w:rPr>
          <w:sz w:val="21"/>
        </w:rPr>
      </w:pPr>
      <w:r>
        <w:rPr>
          <w:spacing w:val="-3"/>
          <w:sz w:val="21"/>
        </w:rPr>
        <w:t>钢丝网骨架塑料复合管道钢塑过渡接头连接应符合下列要求：</w:t>
      </w:r>
      <w:r>
        <w:rPr>
          <w:sz w:val="21"/>
        </w:rPr>
        <w:t xml:space="preserve"> </w:t>
      </w:r>
    </w:p>
    <w:p w14:paraId="725DD8CD" w14:textId="77777777" w:rsidR="00A71EEF" w:rsidRDefault="00A71EEF">
      <w:pPr>
        <w:pStyle w:val="a3"/>
        <w:spacing w:before="2"/>
        <w:rPr>
          <w:sz w:val="18"/>
        </w:rPr>
      </w:pPr>
    </w:p>
    <w:p w14:paraId="15533134" w14:textId="77777777" w:rsidR="00A71EEF" w:rsidRDefault="0081115D">
      <w:pPr>
        <w:pStyle w:val="a3"/>
        <w:spacing w:line="446" w:lineRule="auto"/>
        <w:ind w:left="418" w:right="1609" w:firstLine="419"/>
      </w:pPr>
      <w:r>
        <w:t>钢塑过渡接头的钢丝网骨架塑料复合管管端与聚乙烯管道连接，应符合热熔连接或电熔连接的规定；</w:t>
      </w:r>
      <w:r>
        <w:t xml:space="preserve"> </w:t>
      </w:r>
    </w:p>
    <w:p w14:paraId="33934DC4" w14:textId="77777777" w:rsidR="00A71EEF" w:rsidRDefault="0081115D">
      <w:pPr>
        <w:pStyle w:val="a3"/>
        <w:spacing w:line="446" w:lineRule="auto"/>
        <w:ind w:left="418" w:right="1817" w:firstLine="419"/>
      </w:pPr>
      <w:r>
        <w:t>钢塑过渡接头钢管端与金属管道连接应符合相应的钢管焊接、法兰连接或机械连接的</w:t>
      </w:r>
      <w:r>
        <w:t>规定；</w:t>
      </w:r>
      <w:r>
        <w:t xml:space="preserve"> </w:t>
      </w:r>
    </w:p>
    <w:p w14:paraId="351B22AF" w14:textId="77777777" w:rsidR="00A71EEF" w:rsidRDefault="0081115D">
      <w:pPr>
        <w:pStyle w:val="a3"/>
        <w:spacing w:line="446" w:lineRule="auto"/>
        <w:ind w:left="418" w:right="1609" w:firstLine="419"/>
      </w:pPr>
      <w:r>
        <w:t>钢塑过渡接头钢管端与钢管应采用法兰连接，不得采用焊接连接，当必须焊接时，应采取降温措施；</w:t>
      </w:r>
      <w:r>
        <w:t xml:space="preserve"> </w:t>
      </w:r>
    </w:p>
    <w:p w14:paraId="6D0E5C2D" w14:textId="77777777" w:rsidR="00A71EEF" w:rsidRDefault="0081115D">
      <w:pPr>
        <w:pStyle w:val="a3"/>
        <w:spacing w:line="446" w:lineRule="auto"/>
        <w:ind w:left="418" w:right="1505" w:firstLine="419"/>
      </w:pPr>
      <w:r>
        <w:rPr>
          <w:spacing w:val="-8"/>
        </w:rPr>
        <w:t>公称外径大于或等于</w:t>
      </w:r>
      <w:r>
        <w:rPr>
          <w:spacing w:val="-8"/>
        </w:rPr>
        <w:t xml:space="preserve"> </w:t>
      </w:r>
      <w:r>
        <w:t>dn110</w:t>
      </w:r>
      <w:r>
        <w:rPr>
          <w:spacing w:val="-10"/>
        </w:rPr>
        <w:t xml:space="preserve"> </w:t>
      </w:r>
      <w:r>
        <w:rPr>
          <w:spacing w:val="-10"/>
        </w:rPr>
        <w:t>的钢丝网骨架塑料复合管与管径大于或等于</w:t>
      </w:r>
      <w:r>
        <w:rPr>
          <w:spacing w:val="-10"/>
        </w:rPr>
        <w:t xml:space="preserve"> </w:t>
      </w:r>
      <w:r>
        <w:t>DN100</w:t>
      </w:r>
      <w:r>
        <w:rPr>
          <w:spacing w:val="-10"/>
        </w:rPr>
        <w:t xml:space="preserve"> </w:t>
      </w:r>
      <w:r>
        <w:rPr>
          <w:spacing w:val="-10"/>
        </w:rPr>
        <w:t>的金属管连</w:t>
      </w:r>
      <w:r>
        <w:rPr>
          <w:spacing w:val="-5"/>
        </w:rPr>
        <w:t>接时，可采用人字形柔性接口配件，配件两端的密封胶圈应分别与聚乙烯管和金属管相配套；</w:t>
      </w:r>
      <w:r>
        <w:t xml:space="preserve"> </w:t>
      </w:r>
    </w:p>
    <w:p w14:paraId="5AF32AEC" w14:textId="77777777" w:rsidR="00A71EEF" w:rsidRDefault="0081115D">
      <w:pPr>
        <w:pStyle w:val="a3"/>
        <w:spacing w:line="446" w:lineRule="auto"/>
        <w:ind w:left="838" w:right="2977"/>
      </w:pPr>
      <w:r>
        <w:rPr>
          <w:spacing w:val="-3"/>
        </w:rPr>
        <w:t>钢丝网骨架塑料复合管和金属管、阀门相连接时，规格尺寸应相互配套。</w:t>
      </w:r>
      <w:r>
        <w:rPr>
          <w:spacing w:val="-8"/>
        </w:rPr>
        <w:t>检查数量：按数量抽查</w:t>
      </w:r>
      <w:r>
        <w:rPr>
          <w:spacing w:val="-8"/>
        </w:rPr>
        <w:t xml:space="preserve"> </w:t>
      </w:r>
      <w:r>
        <w:t>30</w:t>
      </w:r>
      <w:r>
        <w:rPr>
          <w:spacing w:val="-10"/>
        </w:rPr>
        <w:t>%</w:t>
      </w:r>
      <w:r>
        <w:rPr>
          <w:spacing w:val="-10"/>
        </w:rPr>
        <w:t>，不应少于</w:t>
      </w:r>
      <w:r>
        <w:rPr>
          <w:spacing w:val="-10"/>
        </w:rPr>
        <w:t xml:space="preserve"> </w:t>
      </w:r>
      <w:r>
        <w:t>10</w:t>
      </w:r>
      <w:r>
        <w:rPr>
          <w:spacing w:val="-19"/>
        </w:rPr>
        <w:t xml:space="preserve"> </w:t>
      </w:r>
      <w:r>
        <w:rPr>
          <w:spacing w:val="-19"/>
        </w:rPr>
        <w:t>件。</w:t>
      </w:r>
      <w:r>
        <w:rPr>
          <w:spacing w:val="-19"/>
        </w:rPr>
        <w:t xml:space="preserve"> </w:t>
      </w:r>
    </w:p>
    <w:p w14:paraId="3DC29440" w14:textId="77777777" w:rsidR="00A71EEF" w:rsidRDefault="0081115D">
      <w:pPr>
        <w:pStyle w:val="a3"/>
        <w:ind w:left="838"/>
      </w:pPr>
      <w:r>
        <w:t>检验方法：直观检查。</w:t>
      </w:r>
      <w:r>
        <w:t xml:space="preserve"> </w:t>
      </w:r>
    </w:p>
    <w:p w14:paraId="6CBE2008" w14:textId="77777777" w:rsidR="00A71EEF" w:rsidRDefault="00A71EEF">
      <w:pPr>
        <w:pStyle w:val="a3"/>
        <w:spacing w:before="8"/>
        <w:rPr>
          <w:sz w:val="17"/>
        </w:rPr>
      </w:pPr>
    </w:p>
    <w:p w14:paraId="54DFC95E" w14:textId="77777777" w:rsidR="00A71EEF" w:rsidRDefault="0081115D">
      <w:pPr>
        <w:pStyle w:val="a4"/>
        <w:numPr>
          <w:ilvl w:val="2"/>
          <w:numId w:val="230"/>
        </w:numPr>
        <w:tabs>
          <w:tab w:val="left" w:pos="1635"/>
        </w:tabs>
        <w:ind w:left="1634" w:hanging="795"/>
        <w:rPr>
          <w:sz w:val="21"/>
        </w:rPr>
      </w:pPr>
      <w:r>
        <w:rPr>
          <w:spacing w:val="-3"/>
          <w:sz w:val="21"/>
        </w:rPr>
        <w:t>埋地管道的连接方式和基础支墩应符合下列要求：</w:t>
      </w:r>
      <w:r>
        <w:rPr>
          <w:sz w:val="21"/>
        </w:rPr>
        <w:t xml:space="preserve"> </w:t>
      </w:r>
    </w:p>
    <w:p w14:paraId="283CFBBC" w14:textId="77777777" w:rsidR="00A71EEF" w:rsidRDefault="00A71EEF">
      <w:pPr>
        <w:pStyle w:val="a3"/>
        <w:spacing w:before="2"/>
        <w:rPr>
          <w:sz w:val="18"/>
        </w:rPr>
      </w:pPr>
    </w:p>
    <w:p w14:paraId="469213F1" w14:textId="77777777" w:rsidR="00A71EEF" w:rsidRDefault="0081115D">
      <w:pPr>
        <w:pStyle w:val="a3"/>
        <w:spacing w:line="446" w:lineRule="auto"/>
        <w:ind w:left="838" w:right="1714"/>
      </w:pPr>
      <w:r>
        <w:rPr>
          <w:spacing w:val="-10"/>
        </w:rPr>
        <w:t>地震裂度在</w:t>
      </w:r>
      <w:r>
        <w:rPr>
          <w:spacing w:val="-10"/>
        </w:rPr>
        <w:t xml:space="preserve"> </w:t>
      </w:r>
      <w:r>
        <w:t>7</w:t>
      </w:r>
      <w:r>
        <w:rPr>
          <w:spacing w:val="-24"/>
        </w:rPr>
        <w:t xml:space="preserve"> </w:t>
      </w:r>
      <w:r>
        <w:rPr>
          <w:spacing w:val="-24"/>
        </w:rPr>
        <w:t>度及</w:t>
      </w:r>
      <w:r>
        <w:rPr>
          <w:spacing w:val="-24"/>
        </w:rPr>
        <w:t xml:space="preserve"> </w:t>
      </w:r>
      <w:r>
        <w:t>7</w:t>
      </w:r>
      <w:r>
        <w:rPr>
          <w:spacing w:val="-9"/>
        </w:rPr>
        <w:t xml:space="preserve"> </w:t>
      </w:r>
      <w:r>
        <w:rPr>
          <w:spacing w:val="-9"/>
        </w:rPr>
        <w:t>度以上时宜采用柔性连接的金属管道或钢丝网骨架塑料复合管等；</w:t>
      </w:r>
      <w:r>
        <w:rPr>
          <w:spacing w:val="-9"/>
        </w:rPr>
        <w:t xml:space="preserve"> </w:t>
      </w:r>
      <w:r>
        <w:rPr>
          <w:spacing w:val="-3"/>
        </w:rPr>
        <w:t>当采用球墨铸铁时宜采用承插连接；</w:t>
      </w:r>
      <w:r>
        <w:t xml:space="preserve"> </w:t>
      </w:r>
    </w:p>
    <w:p w14:paraId="6D13EAAD" w14:textId="77777777" w:rsidR="00A71EEF" w:rsidRDefault="0081115D">
      <w:pPr>
        <w:pStyle w:val="a3"/>
        <w:spacing w:line="446" w:lineRule="auto"/>
        <w:ind w:left="838" w:right="5077"/>
      </w:pPr>
      <w:r>
        <w:t>当采用焊接钢管时宜采用法兰和沟槽连接件连接；</w:t>
      </w:r>
      <w:r>
        <w:t xml:space="preserve"> </w:t>
      </w:r>
      <w:r>
        <w:t>当采用钢丝网骨架塑料复合管时应采用电熔连接；</w:t>
      </w:r>
      <w:r>
        <w:t xml:space="preserve"> </w:t>
      </w:r>
    </w:p>
    <w:p w14:paraId="301EDECB" w14:textId="77777777" w:rsidR="00A71EEF" w:rsidRDefault="0081115D">
      <w:pPr>
        <w:pStyle w:val="a3"/>
        <w:spacing w:line="446" w:lineRule="auto"/>
        <w:ind w:left="418" w:right="1609" w:firstLine="419"/>
      </w:pPr>
      <w:r>
        <w:t>埋地管道的施工时除符合本规范的有关规定外，还应符合现行国家标准《给水排水管道工程施工及验收规范》</w:t>
      </w:r>
      <w:r>
        <w:t xml:space="preserve">GB 50268 </w:t>
      </w:r>
      <w:r>
        <w:t>的有关规定；</w:t>
      </w:r>
      <w:r>
        <w:t xml:space="preserve"> </w:t>
      </w:r>
    </w:p>
    <w:p w14:paraId="2B55D39C" w14:textId="77777777" w:rsidR="00A71EEF" w:rsidRDefault="0081115D">
      <w:pPr>
        <w:pStyle w:val="a3"/>
        <w:spacing w:line="446" w:lineRule="auto"/>
        <w:ind w:left="418" w:right="1609" w:firstLine="419"/>
      </w:pPr>
      <w:r>
        <w:t>埋地消防给水管道的基础和支墩应符合设计要求，当设计对支墩没有要求时，应在管道三通或转弯处设置混凝土支墩。</w:t>
      </w:r>
      <w:r>
        <w:t xml:space="preserve"> </w:t>
      </w:r>
    </w:p>
    <w:p w14:paraId="16A3D48D" w14:textId="77777777" w:rsidR="00A71EEF" w:rsidRDefault="0081115D">
      <w:pPr>
        <w:pStyle w:val="a3"/>
        <w:spacing w:line="446" w:lineRule="auto"/>
        <w:ind w:left="838" w:right="7600"/>
      </w:pPr>
      <w:r>
        <w:t>检查数量</w:t>
      </w:r>
      <w:r>
        <w:t>：全部检查。检验方法：直观检查。</w:t>
      </w:r>
      <w:r>
        <w:t xml:space="preserve"> </w:t>
      </w:r>
    </w:p>
    <w:p w14:paraId="261DE6A3" w14:textId="77777777" w:rsidR="00A71EEF" w:rsidRDefault="00A71EEF">
      <w:pPr>
        <w:spacing w:line="446" w:lineRule="auto"/>
        <w:sectPr w:rsidR="00A71EEF">
          <w:pgSz w:w="11910" w:h="16850"/>
          <w:pgMar w:top="1220" w:right="0" w:bottom="1420" w:left="1260" w:header="0" w:footer="1239" w:gutter="0"/>
          <w:cols w:space="720"/>
        </w:sectPr>
      </w:pPr>
    </w:p>
    <w:p w14:paraId="6425C4A5" w14:textId="77777777" w:rsidR="00A71EEF" w:rsidRDefault="0081115D">
      <w:pPr>
        <w:pStyle w:val="a4"/>
        <w:numPr>
          <w:ilvl w:val="2"/>
          <w:numId w:val="230"/>
        </w:numPr>
        <w:tabs>
          <w:tab w:val="left" w:pos="1583"/>
        </w:tabs>
        <w:spacing w:before="47" w:line="446" w:lineRule="auto"/>
        <w:ind w:left="418" w:right="1601" w:firstLine="422"/>
        <w:rPr>
          <w:sz w:val="21"/>
        </w:rPr>
      </w:pPr>
      <w:r>
        <w:rPr>
          <w:spacing w:val="-3"/>
          <w:sz w:val="21"/>
        </w:rPr>
        <w:t>架空管道应采用热浸镀锌钢管，并宜采用沟槽连接件、螺纹、法兰和卡压等方式连接；架空管道不应安装使用钢丝网骨架塑料复合管等非金属管道。</w:t>
      </w:r>
      <w:r>
        <w:rPr>
          <w:sz w:val="21"/>
        </w:rPr>
        <w:t xml:space="preserve"> </w:t>
      </w:r>
    </w:p>
    <w:p w14:paraId="17F5C815" w14:textId="77777777" w:rsidR="00A71EEF" w:rsidRDefault="0081115D">
      <w:pPr>
        <w:pStyle w:val="a3"/>
        <w:spacing w:line="446" w:lineRule="auto"/>
        <w:ind w:left="838" w:right="7600"/>
      </w:pPr>
      <w:r>
        <w:t>检查数量：全部检查。检验方法：直观检查。</w:t>
      </w:r>
      <w:r>
        <w:t xml:space="preserve"> </w:t>
      </w:r>
    </w:p>
    <w:p w14:paraId="4B0994CF" w14:textId="77777777" w:rsidR="00A71EEF" w:rsidRDefault="0081115D">
      <w:pPr>
        <w:pStyle w:val="a4"/>
        <w:numPr>
          <w:ilvl w:val="2"/>
          <w:numId w:val="230"/>
        </w:numPr>
        <w:tabs>
          <w:tab w:val="left" w:pos="1635"/>
        </w:tabs>
        <w:ind w:left="1634" w:hanging="795"/>
        <w:rPr>
          <w:sz w:val="21"/>
        </w:rPr>
      </w:pPr>
      <w:r>
        <w:rPr>
          <w:spacing w:val="-3"/>
          <w:sz w:val="21"/>
        </w:rPr>
        <w:t>架空管道的安装位置应符合设计要求，并应符合下列规定：</w:t>
      </w:r>
      <w:r>
        <w:rPr>
          <w:sz w:val="21"/>
        </w:rPr>
        <w:t xml:space="preserve"> </w:t>
      </w:r>
    </w:p>
    <w:p w14:paraId="499EB878" w14:textId="77777777" w:rsidR="00A71EEF" w:rsidRDefault="00A71EEF">
      <w:pPr>
        <w:pStyle w:val="a3"/>
        <w:spacing w:before="10"/>
        <w:rPr>
          <w:sz w:val="17"/>
        </w:rPr>
      </w:pPr>
    </w:p>
    <w:p w14:paraId="6917A351" w14:textId="77777777" w:rsidR="00A71EEF" w:rsidRDefault="0081115D">
      <w:pPr>
        <w:pStyle w:val="a3"/>
        <w:spacing w:line="446" w:lineRule="auto"/>
        <w:ind w:left="838" w:right="1508"/>
      </w:pPr>
      <w:r>
        <w:rPr>
          <w:spacing w:val="-3"/>
        </w:rPr>
        <w:t>架空管道的安装不应影响建筑功能的正常使用，不应影响和妨碍通行以及门窗等开启；</w:t>
      </w:r>
      <w:r>
        <w:rPr>
          <w:spacing w:val="-3"/>
        </w:rPr>
        <w:t xml:space="preserve">  </w:t>
      </w:r>
      <w:r>
        <w:rPr>
          <w:spacing w:val="-5"/>
        </w:rPr>
        <w:t>当设计无要求时，管道的中心线与梁、柱、楼板等的最小距离应符合表</w:t>
      </w:r>
      <w:r>
        <w:rPr>
          <w:spacing w:val="-5"/>
        </w:rPr>
        <w:t xml:space="preserve"> </w:t>
      </w:r>
      <w:r>
        <w:t>12.3.19</w:t>
      </w:r>
      <w:r>
        <w:rPr>
          <w:spacing w:val="-11"/>
        </w:rPr>
        <w:t xml:space="preserve"> </w:t>
      </w:r>
      <w:r>
        <w:rPr>
          <w:spacing w:val="-11"/>
        </w:rPr>
        <w:t>的规定；</w:t>
      </w:r>
      <w:r>
        <w:t xml:space="preserve"> </w:t>
      </w:r>
    </w:p>
    <w:p w14:paraId="4AE13E74" w14:textId="77777777" w:rsidR="00A71EEF" w:rsidRDefault="0081115D">
      <w:pPr>
        <w:pStyle w:val="6"/>
        <w:spacing w:before="1"/>
        <w:ind w:left="2465"/>
      </w:pPr>
      <w:r>
        <w:t>表</w:t>
      </w:r>
      <w:r>
        <w:t xml:space="preserve"> 12.3.19 </w:t>
      </w:r>
      <w:r>
        <w:t>管道的中心线与梁、柱、楼板等的最小距离</w:t>
      </w:r>
      <w:r>
        <w:rPr>
          <w:w w:val="99"/>
        </w:rPr>
        <w:t xml:space="preserve"> </w:t>
      </w:r>
    </w:p>
    <w:p w14:paraId="3E25D4C9" w14:textId="77777777" w:rsidR="00A71EEF" w:rsidRDefault="0081115D">
      <w:pPr>
        <w:pStyle w:val="a3"/>
        <w:spacing w:before="5"/>
        <w:rPr>
          <w:b/>
          <w:sz w:val="23"/>
        </w:rPr>
      </w:pPr>
      <w:r>
        <w:rPr>
          <w:noProof/>
        </w:rPr>
        <w:drawing>
          <wp:anchor distT="0" distB="0" distL="0" distR="0" simplePos="0" relativeHeight="251674112" behindDoc="0" locked="0" layoutInCell="1" allowOverlap="1" wp14:anchorId="4463A64C" wp14:editId="3DEF8F92">
            <wp:simplePos x="0" y="0"/>
            <wp:positionH relativeFrom="page">
              <wp:posOffset>1408430</wp:posOffset>
            </wp:positionH>
            <wp:positionV relativeFrom="paragraph">
              <wp:posOffset>215598</wp:posOffset>
            </wp:positionV>
            <wp:extent cx="5365719" cy="666750"/>
            <wp:effectExtent l="0" t="0" r="0" b="0"/>
            <wp:wrapTopAndBottom/>
            <wp:docPr id="593" name="image3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image343.jpeg"/>
                    <pic:cNvPicPr/>
                  </pic:nvPicPr>
                  <pic:blipFill>
                    <a:blip r:embed="rId407" cstate="print"/>
                    <a:stretch>
                      <a:fillRect/>
                    </a:stretch>
                  </pic:blipFill>
                  <pic:spPr>
                    <a:xfrm>
                      <a:off x="0" y="0"/>
                      <a:ext cx="5365719" cy="666750"/>
                    </a:xfrm>
                    <a:prstGeom prst="rect">
                      <a:avLst/>
                    </a:prstGeom>
                  </pic:spPr>
                </pic:pic>
              </a:graphicData>
            </a:graphic>
          </wp:anchor>
        </w:drawing>
      </w:r>
    </w:p>
    <w:p w14:paraId="4C610B65" w14:textId="77777777" w:rsidR="00A71EEF" w:rsidRDefault="0081115D">
      <w:pPr>
        <w:pStyle w:val="a3"/>
        <w:spacing w:before="163" w:line="446" w:lineRule="auto"/>
        <w:ind w:left="838" w:right="1609"/>
      </w:pPr>
      <w:r>
        <w:rPr>
          <w:spacing w:val="-3"/>
        </w:rPr>
        <w:t>消防给水管穿过地下室外墙、构筑物墙壁以及屋面等有防水要求处时，应设防水套管；</w:t>
      </w:r>
      <w:r>
        <w:rPr>
          <w:spacing w:val="-3"/>
        </w:rPr>
        <w:t xml:space="preserve"> </w:t>
      </w:r>
      <w:r>
        <w:rPr>
          <w:spacing w:val="-3"/>
        </w:rPr>
        <w:t>消防给水管穿过建筑物承重墙或基础时，应预留洞口，洞口高度应保证管顶上部净空不小</w:t>
      </w:r>
    </w:p>
    <w:p w14:paraId="41FEFC81" w14:textId="77777777" w:rsidR="00A71EEF" w:rsidRDefault="0081115D">
      <w:pPr>
        <w:pStyle w:val="a3"/>
        <w:ind w:left="418"/>
      </w:pPr>
      <w:r>
        <w:t>于建筑物的沉降量，不宜小于</w:t>
      </w:r>
      <w:r>
        <w:t xml:space="preserve"> 0.1m</w:t>
      </w:r>
      <w:r>
        <w:t>，并应填充不透水的弹性材料；</w:t>
      </w:r>
      <w:r>
        <w:t xml:space="preserve"> </w:t>
      </w:r>
    </w:p>
    <w:p w14:paraId="6E29C065" w14:textId="77777777" w:rsidR="00A71EEF" w:rsidRDefault="00A71EEF">
      <w:pPr>
        <w:pStyle w:val="a3"/>
        <w:spacing w:before="12"/>
        <w:rPr>
          <w:sz w:val="17"/>
        </w:rPr>
      </w:pPr>
    </w:p>
    <w:p w14:paraId="52C6D33C" w14:textId="77777777" w:rsidR="00A71EEF" w:rsidRDefault="0081115D">
      <w:pPr>
        <w:pStyle w:val="a3"/>
        <w:spacing w:line="446" w:lineRule="auto"/>
        <w:ind w:left="418" w:right="1609" w:firstLine="419"/>
      </w:pPr>
      <w:r>
        <w:t>消防给水管穿过墙体或楼板时应加设套管，套管长度不应小于墙体厚度，或应高出楼面或地面</w:t>
      </w:r>
      <w:r>
        <w:t xml:space="preserve"> 50mm</w:t>
      </w:r>
      <w:r>
        <w:t>；套管与管道的间隙应采用不燃材料填塞，管道的接口不应位于套管内；</w:t>
      </w:r>
      <w:r>
        <w:t xml:space="preserve"> </w:t>
      </w:r>
    </w:p>
    <w:p w14:paraId="30A2780B" w14:textId="77777777" w:rsidR="00A71EEF" w:rsidRDefault="0081115D">
      <w:pPr>
        <w:pStyle w:val="a3"/>
        <w:spacing w:line="446" w:lineRule="auto"/>
        <w:ind w:left="838" w:right="2554"/>
      </w:pPr>
      <w:r>
        <w:rPr>
          <w:spacing w:val="-3"/>
        </w:rPr>
        <w:t>消防给水管必须穿过伸缩缝及沉降缝时，应采用波纹管和补偿器等技术措施；</w:t>
      </w:r>
      <w:r>
        <w:rPr>
          <w:spacing w:val="-3"/>
        </w:rPr>
        <w:t xml:space="preserve"> </w:t>
      </w:r>
      <w:r>
        <w:rPr>
          <w:spacing w:val="-3"/>
        </w:rPr>
        <w:t>消防给水管可能发生冰冻时，应采取防冻技术措施；</w:t>
      </w:r>
      <w:r>
        <w:rPr>
          <w:spacing w:val="-3"/>
        </w:rPr>
        <w:t xml:space="preserve"> </w:t>
      </w:r>
    </w:p>
    <w:p w14:paraId="63E41044" w14:textId="77777777" w:rsidR="00A71EEF" w:rsidRDefault="0081115D">
      <w:pPr>
        <w:pStyle w:val="a3"/>
        <w:spacing w:line="446" w:lineRule="auto"/>
        <w:ind w:left="838" w:right="2554"/>
      </w:pPr>
      <w:r>
        <w:rPr>
          <w:spacing w:val="-3"/>
        </w:rPr>
        <w:t>通过及敷设在有腐蚀性气体的房间内时，管外壁应刷防腐漆或缠绕防腐材料。</w:t>
      </w:r>
      <w:r>
        <w:rPr>
          <w:spacing w:val="-8"/>
        </w:rPr>
        <w:t>检查数量：按数量抽查</w:t>
      </w:r>
      <w:r>
        <w:rPr>
          <w:spacing w:val="-8"/>
        </w:rPr>
        <w:t xml:space="preserve"> </w:t>
      </w:r>
      <w:r>
        <w:t>30</w:t>
      </w:r>
      <w:r>
        <w:rPr>
          <w:spacing w:val="-10"/>
        </w:rPr>
        <w:t>%</w:t>
      </w:r>
      <w:r>
        <w:rPr>
          <w:spacing w:val="-10"/>
        </w:rPr>
        <w:t>，不应少于</w:t>
      </w:r>
      <w:r>
        <w:rPr>
          <w:spacing w:val="-10"/>
        </w:rPr>
        <w:t xml:space="preserve"> </w:t>
      </w:r>
      <w:r>
        <w:t>10</w:t>
      </w:r>
      <w:r>
        <w:rPr>
          <w:spacing w:val="-19"/>
        </w:rPr>
        <w:t xml:space="preserve"> </w:t>
      </w:r>
      <w:r>
        <w:rPr>
          <w:spacing w:val="-19"/>
        </w:rPr>
        <w:t>件。</w:t>
      </w:r>
      <w:r>
        <w:rPr>
          <w:spacing w:val="-19"/>
        </w:rPr>
        <w:t xml:space="preserve"> </w:t>
      </w:r>
    </w:p>
    <w:p w14:paraId="3F50EB7A" w14:textId="77777777" w:rsidR="00A71EEF" w:rsidRDefault="0081115D">
      <w:pPr>
        <w:pStyle w:val="a3"/>
        <w:spacing w:line="267" w:lineRule="exact"/>
        <w:ind w:left="838"/>
      </w:pPr>
      <w:r>
        <w:t>检验方法：尺量检查。</w:t>
      </w:r>
      <w:r>
        <w:t xml:space="preserve"> </w:t>
      </w:r>
    </w:p>
    <w:p w14:paraId="1E667AF1" w14:textId="77777777" w:rsidR="00A71EEF" w:rsidRDefault="00A71EEF">
      <w:pPr>
        <w:pStyle w:val="a3"/>
        <w:spacing w:before="2"/>
        <w:rPr>
          <w:sz w:val="18"/>
        </w:rPr>
      </w:pPr>
    </w:p>
    <w:p w14:paraId="5C873E4D" w14:textId="77777777" w:rsidR="00A71EEF" w:rsidRDefault="0081115D">
      <w:pPr>
        <w:pStyle w:val="a4"/>
        <w:numPr>
          <w:ilvl w:val="2"/>
          <w:numId w:val="230"/>
        </w:numPr>
        <w:tabs>
          <w:tab w:val="left" w:pos="1635"/>
        </w:tabs>
        <w:ind w:left="1634" w:hanging="795"/>
        <w:rPr>
          <w:sz w:val="21"/>
        </w:rPr>
      </w:pPr>
      <w:r>
        <w:rPr>
          <w:spacing w:val="-3"/>
          <w:sz w:val="21"/>
        </w:rPr>
        <w:t>架空管道的支吊架应符合下列规定：</w:t>
      </w:r>
      <w:r>
        <w:rPr>
          <w:sz w:val="21"/>
        </w:rPr>
        <w:t xml:space="preserve"> </w:t>
      </w:r>
    </w:p>
    <w:p w14:paraId="4B6DE624" w14:textId="77777777" w:rsidR="00A71EEF" w:rsidRDefault="00A71EEF">
      <w:pPr>
        <w:pStyle w:val="a3"/>
        <w:spacing w:before="12"/>
        <w:rPr>
          <w:sz w:val="17"/>
        </w:rPr>
      </w:pPr>
    </w:p>
    <w:p w14:paraId="5222C892" w14:textId="77777777" w:rsidR="00A71EEF" w:rsidRDefault="0081115D">
      <w:pPr>
        <w:pStyle w:val="a3"/>
        <w:spacing w:line="446" w:lineRule="auto"/>
        <w:ind w:left="418" w:right="1609" w:firstLine="419"/>
      </w:pPr>
      <w:r>
        <w:t>架空管道支架、吊架、防晃或固定支架的安装应固定牢固，其形式、材质及施工应符合设计要求；</w:t>
      </w:r>
      <w:r>
        <w:t xml:space="preserve"> </w:t>
      </w:r>
    </w:p>
    <w:p w14:paraId="1B756C8C" w14:textId="77777777" w:rsidR="00A71EEF" w:rsidRDefault="0081115D">
      <w:pPr>
        <w:pStyle w:val="a3"/>
        <w:spacing w:line="446" w:lineRule="auto"/>
        <w:ind w:left="418" w:right="1609" w:firstLine="419"/>
      </w:pPr>
      <w:r>
        <w:rPr>
          <w:spacing w:val="-5"/>
        </w:rPr>
        <w:t>设计的吊架在管道的每一支撑点处应能承受</w:t>
      </w:r>
      <w:r>
        <w:rPr>
          <w:spacing w:val="-5"/>
        </w:rPr>
        <w:t xml:space="preserve"> </w:t>
      </w:r>
      <w:r>
        <w:t>5</w:t>
      </w:r>
      <w:r>
        <w:rPr>
          <w:spacing w:val="-7"/>
        </w:rPr>
        <w:t xml:space="preserve"> </w:t>
      </w:r>
      <w:r>
        <w:rPr>
          <w:spacing w:val="-7"/>
        </w:rPr>
        <w:t>倍于充满水的管重，且管道系统支撑点应支</w:t>
      </w:r>
      <w:r>
        <w:rPr>
          <w:spacing w:val="-5"/>
        </w:rPr>
        <w:t>撑整个消防给水系统；</w:t>
      </w:r>
      <w:r>
        <w:t xml:space="preserve"> </w:t>
      </w:r>
    </w:p>
    <w:p w14:paraId="02D1F2BB" w14:textId="77777777" w:rsidR="00A71EEF" w:rsidRDefault="00A71EEF">
      <w:pPr>
        <w:spacing w:line="446" w:lineRule="auto"/>
        <w:sectPr w:rsidR="00A71EEF">
          <w:pgSz w:w="11910" w:h="16850"/>
          <w:pgMar w:top="1220" w:right="0" w:bottom="1420" w:left="1260" w:header="0" w:footer="1239" w:gutter="0"/>
          <w:cols w:space="720"/>
        </w:sectPr>
      </w:pPr>
    </w:p>
    <w:p w14:paraId="4B59A86E" w14:textId="77777777" w:rsidR="00A71EEF" w:rsidRDefault="0081115D">
      <w:pPr>
        <w:pStyle w:val="a3"/>
        <w:spacing w:before="47" w:line="446" w:lineRule="auto"/>
        <w:ind w:left="418" w:right="1609" w:firstLine="419"/>
      </w:pPr>
      <w:r>
        <w:rPr>
          <w:spacing w:val="-3"/>
        </w:rPr>
        <w:t>管道支架的支撑点宜设在建筑物的结构上，其结构在管道悬吊点应能承受充满水管道重量</w:t>
      </w:r>
      <w:r>
        <w:rPr>
          <w:spacing w:val="-11"/>
        </w:rPr>
        <w:t>另加至少</w:t>
      </w:r>
      <w:r>
        <w:rPr>
          <w:spacing w:val="-11"/>
        </w:rPr>
        <w:t xml:space="preserve"> </w:t>
      </w:r>
      <w:r>
        <w:t>114kg</w:t>
      </w:r>
      <w:r>
        <w:rPr>
          <w:spacing w:val="-10"/>
        </w:rPr>
        <w:t xml:space="preserve"> </w:t>
      </w:r>
      <w:r>
        <w:rPr>
          <w:spacing w:val="-10"/>
        </w:rPr>
        <w:t>的阀门、法兰和接头等附加荷载，充水管道的参考重量可按表</w:t>
      </w:r>
      <w:r>
        <w:rPr>
          <w:spacing w:val="-10"/>
        </w:rPr>
        <w:t xml:space="preserve"> </w:t>
      </w:r>
      <w:r>
        <w:t>12.3.20-1</w:t>
      </w:r>
      <w:r>
        <w:rPr>
          <w:spacing w:val="-20"/>
        </w:rPr>
        <w:t xml:space="preserve"> </w:t>
      </w:r>
      <w:r>
        <w:rPr>
          <w:spacing w:val="-20"/>
        </w:rPr>
        <w:t>选</w:t>
      </w:r>
      <w:r>
        <w:rPr>
          <w:spacing w:val="-12"/>
        </w:rPr>
        <w:t>取；</w:t>
      </w:r>
      <w:r>
        <w:t xml:space="preserve"> </w:t>
      </w:r>
    </w:p>
    <w:p w14:paraId="499F5C27" w14:textId="77777777" w:rsidR="00A71EEF" w:rsidRDefault="0081115D">
      <w:pPr>
        <w:pStyle w:val="6"/>
        <w:spacing w:line="268" w:lineRule="exact"/>
        <w:ind w:left="3413"/>
      </w:pPr>
      <w:r>
        <w:t>表</w:t>
      </w:r>
      <w:r>
        <w:t xml:space="preserve"> 12.3.20-1 </w:t>
      </w:r>
      <w:r>
        <w:t>充水管道的参考重量</w:t>
      </w:r>
      <w:r>
        <w:rPr>
          <w:w w:val="99"/>
        </w:rPr>
        <w:t xml:space="preserve"> </w:t>
      </w:r>
    </w:p>
    <w:p w14:paraId="019F2CFF" w14:textId="77777777" w:rsidR="00A71EEF" w:rsidRDefault="0081115D">
      <w:pPr>
        <w:pStyle w:val="a3"/>
        <w:spacing w:before="10"/>
        <w:rPr>
          <w:b/>
          <w:sz w:val="29"/>
        </w:rPr>
      </w:pPr>
      <w:r>
        <w:rPr>
          <w:noProof/>
        </w:rPr>
        <w:drawing>
          <wp:anchor distT="0" distB="0" distL="0" distR="0" simplePos="0" relativeHeight="251675136" behindDoc="0" locked="0" layoutInCell="1" allowOverlap="1" wp14:anchorId="2A63A557" wp14:editId="4BCAB127">
            <wp:simplePos x="0" y="0"/>
            <wp:positionH relativeFrom="page">
              <wp:posOffset>1240155</wp:posOffset>
            </wp:positionH>
            <wp:positionV relativeFrom="paragraph">
              <wp:posOffset>267168</wp:posOffset>
            </wp:positionV>
            <wp:extent cx="4933913" cy="990600"/>
            <wp:effectExtent l="0" t="0" r="0" b="0"/>
            <wp:wrapTopAndBottom/>
            <wp:docPr id="595" name="image3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image344.jpeg"/>
                    <pic:cNvPicPr/>
                  </pic:nvPicPr>
                  <pic:blipFill>
                    <a:blip r:embed="rId408" cstate="print"/>
                    <a:stretch>
                      <a:fillRect/>
                    </a:stretch>
                  </pic:blipFill>
                  <pic:spPr>
                    <a:xfrm>
                      <a:off x="0" y="0"/>
                      <a:ext cx="4933913" cy="990600"/>
                    </a:xfrm>
                    <a:prstGeom prst="rect">
                      <a:avLst/>
                    </a:prstGeom>
                  </pic:spPr>
                </pic:pic>
              </a:graphicData>
            </a:graphic>
          </wp:anchor>
        </w:drawing>
      </w:r>
    </w:p>
    <w:p w14:paraId="528DEA88" w14:textId="77777777" w:rsidR="00A71EEF" w:rsidRDefault="0081115D">
      <w:pPr>
        <w:pStyle w:val="a3"/>
        <w:spacing w:before="163" w:line="446" w:lineRule="auto"/>
        <w:ind w:left="838" w:right="4343"/>
      </w:pPr>
      <w:r>
        <w:t>注：</w:t>
      </w:r>
      <w:r>
        <w:t>1</w:t>
      </w:r>
      <w:r>
        <w:rPr>
          <w:spacing w:val="-9"/>
        </w:rPr>
        <w:t>.</w:t>
      </w:r>
      <w:r>
        <w:rPr>
          <w:spacing w:val="-9"/>
        </w:rPr>
        <w:t>计算管重量按</w:t>
      </w:r>
      <w:r>
        <w:rPr>
          <w:spacing w:val="-9"/>
        </w:rPr>
        <w:t xml:space="preserve"> </w:t>
      </w:r>
      <w:r>
        <w:t>10kg</w:t>
      </w:r>
      <w:r>
        <w:rPr>
          <w:spacing w:val="-17"/>
        </w:rPr>
        <w:t xml:space="preserve"> </w:t>
      </w:r>
      <w:r>
        <w:rPr>
          <w:spacing w:val="-17"/>
        </w:rPr>
        <w:t>化整，不足</w:t>
      </w:r>
      <w:r>
        <w:rPr>
          <w:spacing w:val="-17"/>
        </w:rPr>
        <w:t xml:space="preserve"> </w:t>
      </w:r>
      <w:r>
        <w:t>20kg</w:t>
      </w:r>
      <w:r>
        <w:rPr>
          <w:spacing w:val="-35"/>
        </w:rPr>
        <w:t xml:space="preserve"> </w:t>
      </w:r>
      <w:r>
        <w:rPr>
          <w:spacing w:val="-35"/>
        </w:rPr>
        <w:t>按</w:t>
      </w:r>
      <w:r>
        <w:rPr>
          <w:spacing w:val="-35"/>
        </w:rPr>
        <w:t xml:space="preserve"> </w:t>
      </w:r>
      <w:r>
        <w:t>20kg</w:t>
      </w:r>
      <w:r>
        <w:rPr>
          <w:spacing w:val="-15"/>
        </w:rPr>
        <w:t xml:space="preserve"> </w:t>
      </w:r>
      <w:r>
        <w:rPr>
          <w:spacing w:val="-15"/>
        </w:rPr>
        <w:t>计算；</w:t>
      </w:r>
      <w:r>
        <w:rPr>
          <w:spacing w:val="-15"/>
        </w:rPr>
        <w:t xml:space="preserve"> </w:t>
      </w:r>
      <w:r>
        <w:t>2.</w:t>
      </w:r>
      <w:r>
        <w:rPr>
          <w:spacing w:val="-3"/>
        </w:rPr>
        <w:t xml:space="preserve"> </w:t>
      </w:r>
      <w:r>
        <w:rPr>
          <w:spacing w:val="-3"/>
        </w:rPr>
        <w:t>表中管重不包括阀门重量。</w:t>
      </w:r>
      <w:r>
        <w:t xml:space="preserve"> </w:t>
      </w:r>
    </w:p>
    <w:p w14:paraId="296B5094" w14:textId="77777777" w:rsidR="00A71EEF" w:rsidRDefault="0081115D">
      <w:pPr>
        <w:pStyle w:val="a3"/>
        <w:ind w:left="838"/>
      </w:pPr>
      <w:r>
        <w:t>管道支架或吊架的设置间距不应大于表</w:t>
      </w:r>
      <w:r>
        <w:t xml:space="preserve"> 12.3.20-2 </w:t>
      </w:r>
      <w:r>
        <w:t>的要求；</w:t>
      </w:r>
      <w:r>
        <w:t xml:space="preserve"> </w:t>
      </w:r>
    </w:p>
    <w:p w14:paraId="14FF15A9" w14:textId="77777777" w:rsidR="00A71EEF" w:rsidRDefault="00A71EEF">
      <w:pPr>
        <w:pStyle w:val="a3"/>
        <w:spacing w:before="12"/>
        <w:rPr>
          <w:sz w:val="17"/>
        </w:rPr>
      </w:pPr>
    </w:p>
    <w:p w14:paraId="18EEAA58" w14:textId="77777777" w:rsidR="00A71EEF" w:rsidRDefault="0081115D">
      <w:pPr>
        <w:pStyle w:val="6"/>
        <w:ind w:left="3097"/>
      </w:pPr>
      <w:r>
        <w:t>表</w:t>
      </w:r>
      <w:r>
        <w:t xml:space="preserve"> 12.3.20-2 </w:t>
      </w:r>
      <w:r>
        <w:t>管道支架或吊架的设置间距</w:t>
      </w:r>
      <w:r>
        <w:rPr>
          <w:w w:val="99"/>
        </w:rPr>
        <w:t xml:space="preserve"> </w:t>
      </w:r>
    </w:p>
    <w:p w14:paraId="1709C36B" w14:textId="77777777" w:rsidR="00A71EEF" w:rsidRDefault="00A71EEF">
      <w:pPr>
        <w:pStyle w:val="a3"/>
        <w:rPr>
          <w:b/>
          <w:sz w:val="20"/>
        </w:rPr>
      </w:pPr>
    </w:p>
    <w:p w14:paraId="6C9AA45A" w14:textId="77777777" w:rsidR="00A71EEF" w:rsidRDefault="0081115D">
      <w:pPr>
        <w:pStyle w:val="a3"/>
        <w:rPr>
          <w:b/>
          <w:sz w:val="17"/>
        </w:rPr>
      </w:pPr>
      <w:r>
        <w:rPr>
          <w:noProof/>
        </w:rPr>
        <w:drawing>
          <wp:anchor distT="0" distB="0" distL="0" distR="0" simplePos="0" relativeHeight="251676160" behindDoc="0" locked="0" layoutInCell="1" allowOverlap="1" wp14:anchorId="39FB0800" wp14:editId="6E6EB1E0">
            <wp:simplePos x="0" y="0"/>
            <wp:positionH relativeFrom="page">
              <wp:posOffset>1170305</wp:posOffset>
            </wp:positionH>
            <wp:positionV relativeFrom="paragraph">
              <wp:posOffset>163131</wp:posOffset>
            </wp:positionV>
            <wp:extent cx="4913572" cy="810767"/>
            <wp:effectExtent l="0" t="0" r="0" b="0"/>
            <wp:wrapTopAndBottom/>
            <wp:docPr id="597" name="image3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image345.jpeg"/>
                    <pic:cNvPicPr/>
                  </pic:nvPicPr>
                  <pic:blipFill>
                    <a:blip r:embed="rId409" cstate="print"/>
                    <a:stretch>
                      <a:fillRect/>
                    </a:stretch>
                  </pic:blipFill>
                  <pic:spPr>
                    <a:xfrm>
                      <a:off x="0" y="0"/>
                      <a:ext cx="4913572" cy="810767"/>
                    </a:xfrm>
                    <a:prstGeom prst="rect">
                      <a:avLst/>
                    </a:prstGeom>
                  </pic:spPr>
                </pic:pic>
              </a:graphicData>
            </a:graphic>
          </wp:anchor>
        </w:drawing>
      </w:r>
    </w:p>
    <w:p w14:paraId="03A011A7" w14:textId="77777777" w:rsidR="00A71EEF" w:rsidRDefault="0081115D">
      <w:pPr>
        <w:pStyle w:val="a3"/>
        <w:spacing w:before="161" w:line="446" w:lineRule="auto"/>
        <w:ind w:left="838" w:right="5497"/>
      </w:pPr>
      <w:r>
        <w:t>当管道穿梁安装时，穿梁处宜作为一个吊架；</w:t>
      </w:r>
      <w:r>
        <w:t xml:space="preserve"> </w:t>
      </w:r>
      <w:r>
        <w:t>下列部位应设置固定支架或防晃支架：</w:t>
      </w:r>
      <w:r>
        <w:t xml:space="preserve"> </w:t>
      </w:r>
    </w:p>
    <w:p w14:paraId="2ED1D802" w14:textId="77777777" w:rsidR="00A71EEF" w:rsidRDefault="0081115D">
      <w:pPr>
        <w:pStyle w:val="a4"/>
        <w:numPr>
          <w:ilvl w:val="0"/>
          <w:numId w:val="228"/>
        </w:numPr>
        <w:tabs>
          <w:tab w:val="left" w:pos="1156"/>
        </w:tabs>
        <w:rPr>
          <w:sz w:val="21"/>
        </w:rPr>
      </w:pPr>
      <w:r>
        <w:rPr>
          <w:spacing w:val="-6"/>
          <w:sz w:val="21"/>
        </w:rPr>
        <w:t>配水管宜在中点设一个防晃支架，但当管径小于</w:t>
      </w:r>
      <w:r>
        <w:rPr>
          <w:spacing w:val="-6"/>
          <w:sz w:val="21"/>
        </w:rPr>
        <w:t xml:space="preserve"> </w:t>
      </w:r>
      <w:r>
        <w:rPr>
          <w:sz w:val="21"/>
        </w:rPr>
        <w:t>DN50</w:t>
      </w:r>
      <w:r>
        <w:rPr>
          <w:spacing w:val="-12"/>
          <w:sz w:val="21"/>
        </w:rPr>
        <w:t xml:space="preserve"> </w:t>
      </w:r>
      <w:r>
        <w:rPr>
          <w:spacing w:val="-12"/>
          <w:sz w:val="21"/>
        </w:rPr>
        <w:t>时可不设；</w:t>
      </w:r>
      <w:r>
        <w:rPr>
          <w:sz w:val="21"/>
        </w:rPr>
        <w:t xml:space="preserve"> </w:t>
      </w:r>
    </w:p>
    <w:p w14:paraId="4358A23D" w14:textId="77777777" w:rsidR="00A71EEF" w:rsidRDefault="00A71EEF">
      <w:pPr>
        <w:pStyle w:val="a3"/>
        <w:spacing w:before="12"/>
        <w:rPr>
          <w:sz w:val="17"/>
        </w:rPr>
      </w:pPr>
    </w:p>
    <w:p w14:paraId="3A54CC03" w14:textId="77777777" w:rsidR="00A71EEF" w:rsidRDefault="0081115D">
      <w:pPr>
        <w:pStyle w:val="a4"/>
        <w:numPr>
          <w:ilvl w:val="0"/>
          <w:numId w:val="228"/>
        </w:numPr>
        <w:tabs>
          <w:tab w:val="left" w:pos="1156"/>
        </w:tabs>
        <w:spacing w:before="1" w:line="446" w:lineRule="auto"/>
        <w:ind w:left="418" w:right="1430" w:firstLine="419"/>
        <w:jc w:val="both"/>
        <w:rPr>
          <w:sz w:val="21"/>
        </w:rPr>
      </w:pPr>
      <w:r>
        <w:rPr>
          <w:spacing w:val="-9"/>
          <w:sz w:val="21"/>
        </w:rPr>
        <w:t>配水干管及配水管，配水支管的长度超过</w:t>
      </w:r>
      <w:r>
        <w:rPr>
          <w:spacing w:val="-9"/>
          <w:sz w:val="21"/>
        </w:rPr>
        <w:t xml:space="preserve"> </w:t>
      </w:r>
      <w:r>
        <w:rPr>
          <w:spacing w:val="-7"/>
          <w:sz w:val="21"/>
        </w:rPr>
        <w:t>15m</w:t>
      </w:r>
      <w:r>
        <w:rPr>
          <w:spacing w:val="-18"/>
          <w:sz w:val="21"/>
        </w:rPr>
        <w:t>，每</w:t>
      </w:r>
      <w:r>
        <w:rPr>
          <w:spacing w:val="-18"/>
          <w:sz w:val="21"/>
        </w:rPr>
        <w:t xml:space="preserve"> </w:t>
      </w:r>
      <w:r>
        <w:rPr>
          <w:sz w:val="21"/>
        </w:rPr>
        <w:t>15m</w:t>
      </w:r>
      <w:r>
        <w:rPr>
          <w:spacing w:val="-12"/>
          <w:sz w:val="21"/>
        </w:rPr>
        <w:t xml:space="preserve"> </w:t>
      </w:r>
      <w:r>
        <w:rPr>
          <w:spacing w:val="-12"/>
          <w:sz w:val="21"/>
        </w:rPr>
        <w:t>长度内应至少设</w:t>
      </w:r>
      <w:r>
        <w:rPr>
          <w:spacing w:val="-12"/>
          <w:sz w:val="21"/>
        </w:rPr>
        <w:t xml:space="preserve"> </w:t>
      </w:r>
      <w:r>
        <w:rPr>
          <w:sz w:val="21"/>
        </w:rPr>
        <w:t>1</w:t>
      </w:r>
      <w:r>
        <w:rPr>
          <w:spacing w:val="-12"/>
          <w:sz w:val="21"/>
        </w:rPr>
        <w:t xml:space="preserve"> </w:t>
      </w:r>
      <w:r>
        <w:rPr>
          <w:spacing w:val="-12"/>
          <w:sz w:val="21"/>
        </w:rPr>
        <w:t>个防晃支架，</w:t>
      </w:r>
      <w:r>
        <w:rPr>
          <w:spacing w:val="-12"/>
          <w:sz w:val="21"/>
        </w:rPr>
        <w:t xml:space="preserve"> </w:t>
      </w:r>
      <w:r>
        <w:rPr>
          <w:spacing w:val="5"/>
          <w:sz w:val="21"/>
        </w:rPr>
        <w:t>但当管径不大于</w:t>
      </w:r>
      <w:r>
        <w:rPr>
          <w:sz w:val="21"/>
        </w:rPr>
        <w:t>DN40</w:t>
      </w:r>
      <w:r>
        <w:rPr>
          <w:spacing w:val="-13"/>
          <w:sz w:val="21"/>
        </w:rPr>
        <w:t xml:space="preserve"> </w:t>
      </w:r>
      <w:r>
        <w:rPr>
          <w:spacing w:val="-13"/>
          <w:sz w:val="21"/>
        </w:rPr>
        <w:t>可不设；</w:t>
      </w:r>
      <w:r>
        <w:rPr>
          <w:spacing w:val="-13"/>
          <w:sz w:val="21"/>
        </w:rPr>
        <w:t xml:space="preserve"> </w:t>
      </w:r>
    </w:p>
    <w:p w14:paraId="62235E5D" w14:textId="77777777" w:rsidR="00A71EEF" w:rsidRDefault="0081115D">
      <w:pPr>
        <w:pStyle w:val="a4"/>
        <w:numPr>
          <w:ilvl w:val="0"/>
          <w:numId w:val="228"/>
        </w:numPr>
        <w:tabs>
          <w:tab w:val="left" w:pos="1156"/>
        </w:tabs>
        <w:jc w:val="both"/>
        <w:rPr>
          <w:sz w:val="21"/>
        </w:rPr>
      </w:pPr>
      <w:r>
        <w:rPr>
          <w:spacing w:val="-13"/>
          <w:sz w:val="21"/>
        </w:rPr>
        <w:t>管径大于</w:t>
      </w:r>
      <w:r>
        <w:rPr>
          <w:spacing w:val="-13"/>
          <w:sz w:val="21"/>
        </w:rPr>
        <w:t xml:space="preserve"> </w:t>
      </w:r>
      <w:r>
        <w:rPr>
          <w:sz w:val="21"/>
        </w:rPr>
        <w:t>DN50</w:t>
      </w:r>
      <w:r>
        <w:rPr>
          <w:spacing w:val="-11"/>
          <w:sz w:val="21"/>
        </w:rPr>
        <w:t xml:space="preserve"> </w:t>
      </w:r>
      <w:r>
        <w:rPr>
          <w:spacing w:val="-11"/>
          <w:sz w:val="21"/>
        </w:rPr>
        <w:t>的管道拐弯、三通及四通位置处应设</w:t>
      </w:r>
      <w:r>
        <w:rPr>
          <w:spacing w:val="-11"/>
          <w:sz w:val="21"/>
        </w:rPr>
        <w:t xml:space="preserve"> </w:t>
      </w:r>
      <w:r>
        <w:rPr>
          <w:sz w:val="21"/>
        </w:rPr>
        <w:t>1</w:t>
      </w:r>
      <w:r>
        <w:rPr>
          <w:spacing w:val="-10"/>
          <w:sz w:val="21"/>
        </w:rPr>
        <w:t xml:space="preserve"> </w:t>
      </w:r>
      <w:r>
        <w:rPr>
          <w:spacing w:val="-10"/>
          <w:sz w:val="21"/>
        </w:rPr>
        <w:t>个防晃支架；</w:t>
      </w:r>
      <w:r>
        <w:rPr>
          <w:sz w:val="21"/>
        </w:rPr>
        <w:t xml:space="preserve"> </w:t>
      </w:r>
    </w:p>
    <w:p w14:paraId="01E7F65F" w14:textId="77777777" w:rsidR="00A71EEF" w:rsidRDefault="00A71EEF">
      <w:pPr>
        <w:pStyle w:val="a3"/>
        <w:spacing w:before="12"/>
        <w:rPr>
          <w:sz w:val="17"/>
        </w:rPr>
      </w:pPr>
    </w:p>
    <w:p w14:paraId="3AE35328" w14:textId="77777777" w:rsidR="00A71EEF" w:rsidRDefault="0081115D">
      <w:pPr>
        <w:pStyle w:val="a4"/>
        <w:numPr>
          <w:ilvl w:val="0"/>
          <w:numId w:val="228"/>
        </w:numPr>
        <w:tabs>
          <w:tab w:val="left" w:pos="1156"/>
        </w:tabs>
        <w:spacing w:line="446" w:lineRule="auto"/>
        <w:ind w:left="418" w:right="1431" w:firstLine="419"/>
        <w:jc w:val="both"/>
        <w:rPr>
          <w:sz w:val="21"/>
        </w:rPr>
      </w:pPr>
      <w:r>
        <w:rPr>
          <w:spacing w:val="-10"/>
          <w:sz w:val="21"/>
        </w:rPr>
        <w:t>防晃支架的强度，应满足管道、配件及管内水的重量再加</w:t>
      </w:r>
      <w:r>
        <w:rPr>
          <w:spacing w:val="-10"/>
          <w:sz w:val="21"/>
        </w:rPr>
        <w:t xml:space="preserve"> </w:t>
      </w:r>
      <w:r>
        <w:rPr>
          <w:sz w:val="21"/>
        </w:rPr>
        <w:t>50</w:t>
      </w:r>
      <w:r>
        <w:rPr>
          <w:spacing w:val="-3"/>
          <w:sz w:val="21"/>
        </w:rPr>
        <w:t>%</w:t>
      </w:r>
      <w:r>
        <w:rPr>
          <w:spacing w:val="-3"/>
          <w:sz w:val="21"/>
        </w:rPr>
        <w:t>的水平方向推力时不损坏或</w:t>
      </w:r>
      <w:r>
        <w:rPr>
          <w:spacing w:val="-8"/>
          <w:sz w:val="21"/>
        </w:rPr>
        <w:t>不产生永久变形；当管道穿梁安装时，管道再用紧固件固定于混凝土结构上，宜可作为</w:t>
      </w:r>
      <w:r>
        <w:rPr>
          <w:spacing w:val="-8"/>
          <w:sz w:val="21"/>
        </w:rPr>
        <w:t xml:space="preserve"> </w:t>
      </w:r>
      <w:r>
        <w:rPr>
          <w:sz w:val="21"/>
        </w:rPr>
        <w:t>1</w:t>
      </w:r>
      <w:r>
        <w:rPr>
          <w:spacing w:val="-10"/>
          <w:sz w:val="21"/>
        </w:rPr>
        <w:t xml:space="preserve"> </w:t>
      </w:r>
      <w:r>
        <w:rPr>
          <w:spacing w:val="-10"/>
          <w:sz w:val="21"/>
        </w:rPr>
        <w:t>个防晃</w:t>
      </w:r>
      <w:r>
        <w:rPr>
          <w:spacing w:val="-6"/>
          <w:sz w:val="21"/>
        </w:rPr>
        <w:t>支架处理。</w:t>
      </w:r>
      <w:r>
        <w:rPr>
          <w:sz w:val="21"/>
        </w:rPr>
        <w:t xml:space="preserve"> </w:t>
      </w:r>
    </w:p>
    <w:p w14:paraId="3DFA0BA9" w14:textId="77777777" w:rsidR="00A71EEF" w:rsidRDefault="0081115D">
      <w:pPr>
        <w:pStyle w:val="a3"/>
        <w:spacing w:line="446" w:lineRule="auto"/>
        <w:ind w:left="838" w:right="5447"/>
      </w:pPr>
      <w:r>
        <w:rPr>
          <w:spacing w:val="-8"/>
        </w:rPr>
        <w:t>检查数量：按数量抽查</w:t>
      </w:r>
      <w:r>
        <w:rPr>
          <w:spacing w:val="-8"/>
        </w:rPr>
        <w:t xml:space="preserve"> </w:t>
      </w:r>
      <w:r>
        <w:t>30</w:t>
      </w:r>
      <w:r>
        <w:rPr>
          <w:spacing w:val="-9"/>
        </w:rPr>
        <w:t>%</w:t>
      </w:r>
      <w:r>
        <w:rPr>
          <w:spacing w:val="-9"/>
        </w:rPr>
        <w:t>，不应少于</w:t>
      </w:r>
      <w:r>
        <w:rPr>
          <w:spacing w:val="-9"/>
        </w:rPr>
        <w:t xml:space="preserve"> </w:t>
      </w:r>
      <w:r>
        <w:t>10</w:t>
      </w:r>
      <w:r>
        <w:rPr>
          <w:spacing w:val="-18"/>
        </w:rPr>
        <w:t xml:space="preserve"> </w:t>
      </w:r>
      <w:r>
        <w:rPr>
          <w:spacing w:val="-18"/>
        </w:rPr>
        <w:t>件。</w:t>
      </w:r>
      <w:r>
        <w:rPr>
          <w:spacing w:val="-7"/>
        </w:rPr>
        <w:t>检验方法：尺量检查。</w:t>
      </w:r>
      <w:r>
        <w:t xml:space="preserve"> </w:t>
      </w:r>
    </w:p>
    <w:p w14:paraId="3C9E32FA" w14:textId="77777777" w:rsidR="00A71EEF" w:rsidRDefault="0081115D">
      <w:pPr>
        <w:pStyle w:val="a4"/>
        <w:numPr>
          <w:ilvl w:val="2"/>
          <w:numId w:val="230"/>
        </w:numPr>
        <w:tabs>
          <w:tab w:val="left" w:pos="1640"/>
        </w:tabs>
        <w:ind w:left="1639" w:hanging="800"/>
        <w:rPr>
          <w:sz w:val="21"/>
        </w:rPr>
      </w:pPr>
      <w:r>
        <w:rPr>
          <w:spacing w:val="-6"/>
          <w:sz w:val="21"/>
        </w:rPr>
        <w:t>架空管道每段管道设置的防晃支架不应少于</w:t>
      </w:r>
      <w:r>
        <w:rPr>
          <w:spacing w:val="-6"/>
          <w:sz w:val="21"/>
        </w:rPr>
        <w:t xml:space="preserve"> </w:t>
      </w:r>
      <w:r>
        <w:rPr>
          <w:sz w:val="21"/>
        </w:rPr>
        <w:t>1</w:t>
      </w:r>
      <w:r>
        <w:rPr>
          <w:spacing w:val="-8"/>
          <w:sz w:val="21"/>
        </w:rPr>
        <w:t xml:space="preserve"> </w:t>
      </w:r>
      <w:r>
        <w:rPr>
          <w:spacing w:val="-8"/>
          <w:sz w:val="21"/>
        </w:rPr>
        <w:t>个；当管道改变方向时，应增设防晃</w:t>
      </w:r>
    </w:p>
    <w:p w14:paraId="1C167FD5" w14:textId="77777777" w:rsidR="00A71EEF" w:rsidRDefault="00A71EEF">
      <w:pPr>
        <w:pStyle w:val="a3"/>
        <w:spacing w:before="11"/>
        <w:rPr>
          <w:sz w:val="17"/>
        </w:rPr>
      </w:pPr>
    </w:p>
    <w:p w14:paraId="2632CE25" w14:textId="77777777" w:rsidR="00A71EEF" w:rsidRDefault="0081115D">
      <w:pPr>
        <w:pStyle w:val="a3"/>
        <w:spacing w:before="1"/>
        <w:ind w:left="418"/>
      </w:pPr>
      <w:r>
        <w:t>支架；立管应在其始端和终端设防晃支架或采用管卡固定。</w:t>
      </w:r>
      <w:r>
        <w:t xml:space="preserve"> </w:t>
      </w:r>
    </w:p>
    <w:p w14:paraId="061B2B06" w14:textId="77777777" w:rsidR="00A71EEF" w:rsidRDefault="00A71EEF">
      <w:pPr>
        <w:sectPr w:rsidR="00A71EEF">
          <w:pgSz w:w="11910" w:h="16850"/>
          <w:pgMar w:top="1220" w:right="0" w:bottom="1420" w:left="1260" w:header="0" w:footer="1239" w:gutter="0"/>
          <w:cols w:space="720"/>
        </w:sectPr>
      </w:pPr>
    </w:p>
    <w:p w14:paraId="5B4E46E4" w14:textId="77777777" w:rsidR="00A71EEF" w:rsidRDefault="0081115D">
      <w:pPr>
        <w:pStyle w:val="a3"/>
        <w:spacing w:before="47" w:line="446" w:lineRule="auto"/>
        <w:ind w:left="838" w:right="5447"/>
      </w:pPr>
      <w:r>
        <w:rPr>
          <w:spacing w:val="-8"/>
        </w:rPr>
        <w:t>检查数量：按数量抽查</w:t>
      </w:r>
      <w:r>
        <w:rPr>
          <w:spacing w:val="-8"/>
        </w:rPr>
        <w:t xml:space="preserve"> </w:t>
      </w:r>
      <w:r>
        <w:t>30</w:t>
      </w:r>
      <w:r>
        <w:rPr>
          <w:spacing w:val="-9"/>
        </w:rPr>
        <w:t>%</w:t>
      </w:r>
      <w:r>
        <w:rPr>
          <w:spacing w:val="-9"/>
        </w:rPr>
        <w:t>，不应少于</w:t>
      </w:r>
      <w:r>
        <w:rPr>
          <w:spacing w:val="-9"/>
        </w:rPr>
        <w:t xml:space="preserve"> </w:t>
      </w:r>
      <w:r>
        <w:t>10</w:t>
      </w:r>
      <w:r>
        <w:rPr>
          <w:spacing w:val="-18"/>
        </w:rPr>
        <w:t xml:space="preserve"> </w:t>
      </w:r>
      <w:r>
        <w:rPr>
          <w:spacing w:val="-18"/>
        </w:rPr>
        <w:t>件。</w:t>
      </w:r>
      <w:r>
        <w:rPr>
          <w:spacing w:val="-7"/>
        </w:rPr>
        <w:t>检验方法：直观检查。</w:t>
      </w:r>
      <w:r>
        <w:t xml:space="preserve"> </w:t>
      </w:r>
    </w:p>
    <w:p w14:paraId="65027E21" w14:textId="77777777" w:rsidR="00A71EEF" w:rsidRDefault="0081115D">
      <w:pPr>
        <w:pStyle w:val="a4"/>
        <w:numPr>
          <w:ilvl w:val="2"/>
          <w:numId w:val="230"/>
        </w:numPr>
        <w:tabs>
          <w:tab w:val="left" w:pos="1650"/>
        </w:tabs>
        <w:spacing w:line="267" w:lineRule="exact"/>
        <w:ind w:left="1649" w:hanging="810"/>
        <w:rPr>
          <w:sz w:val="21"/>
        </w:rPr>
      </w:pPr>
      <w:r>
        <w:rPr>
          <w:spacing w:val="-3"/>
          <w:sz w:val="21"/>
        </w:rPr>
        <w:t>埋地钢管应做防腐处理，防腐层材质和结构应符合设计要求，并应按现行国家标准</w:t>
      </w:r>
    </w:p>
    <w:p w14:paraId="2BADA802" w14:textId="77777777" w:rsidR="00A71EEF" w:rsidRDefault="00A71EEF">
      <w:pPr>
        <w:pStyle w:val="a3"/>
        <w:spacing w:before="2"/>
        <w:rPr>
          <w:sz w:val="18"/>
        </w:rPr>
      </w:pPr>
    </w:p>
    <w:p w14:paraId="40131D68" w14:textId="77777777" w:rsidR="00A71EEF" w:rsidRDefault="0081115D">
      <w:pPr>
        <w:pStyle w:val="a3"/>
        <w:spacing w:line="446" w:lineRule="auto"/>
        <w:ind w:left="418" w:right="1431"/>
        <w:jc w:val="both"/>
      </w:pPr>
      <w:r>
        <w:rPr>
          <w:spacing w:val="-5"/>
        </w:rPr>
        <w:t>《给水排水管道工程施工及验收规范》</w:t>
      </w:r>
      <w:r>
        <w:t>GB 50268</w:t>
      </w:r>
      <w:r>
        <w:rPr>
          <w:spacing w:val="-10"/>
        </w:rPr>
        <w:t xml:space="preserve"> </w:t>
      </w:r>
      <w:r>
        <w:rPr>
          <w:spacing w:val="-10"/>
        </w:rPr>
        <w:t>的有关规定施工；室外埋地球墨铸铁给水管要求</w:t>
      </w:r>
      <w:r>
        <w:rPr>
          <w:spacing w:val="-8"/>
        </w:rPr>
        <w:t>外壁应刷沥青漆防腐；埋地管道连接用的螺栓、螺母以及垫片等附件应采用防腐蚀材料，或涂覆</w:t>
      </w:r>
      <w:r>
        <w:rPr>
          <w:spacing w:val="-5"/>
        </w:rPr>
        <w:t>沥青涂层等防腐涂层；埋地钢丝网骨架塑料复合管不应做防腐处理。</w:t>
      </w:r>
      <w:r>
        <w:t xml:space="preserve"> </w:t>
      </w:r>
    </w:p>
    <w:p w14:paraId="385BFFF7" w14:textId="77777777" w:rsidR="00A71EEF" w:rsidRDefault="0081115D">
      <w:pPr>
        <w:pStyle w:val="a3"/>
        <w:spacing w:line="268" w:lineRule="exact"/>
        <w:ind w:left="838"/>
        <w:jc w:val="both"/>
      </w:pPr>
      <w:r>
        <w:t>检查数量：按数量抽查</w:t>
      </w:r>
      <w:r>
        <w:t xml:space="preserve"> 30%</w:t>
      </w:r>
      <w:r>
        <w:t>，不应少于</w:t>
      </w:r>
      <w:r>
        <w:t xml:space="preserve"> 10 </w:t>
      </w:r>
      <w:r>
        <w:t>件。</w:t>
      </w:r>
      <w:r>
        <w:t xml:space="preserve"> </w:t>
      </w:r>
    </w:p>
    <w:p w14:paraId="3C7770C3" w14:textId="77777777" w:rsidR="00A71EEF" w:rsidRDefault="00A71EEF">
      <w:pPr>
        <w:pStyle w:val="a3"/>
        <w:rPr>
          <w:sz w:val="18"/>
        </w:rPr>
      </w:pPr>
    </w:p>
    <w:p w14:paraId="4D2DAE00" w14:textId="77777777" w:rsidR="00A71EEF" w:rsidRDefault="0081115D">
      <w:pPr>
        <w:pStyle w:val="a3"/>
        <w:ind w:left="838"/>
      </w:pPr>
      <w:r>
        <w:t>检验方法：放水试验、观察、核对隐蔽工程记录，必要时局部解剖检查。</w:t>
      </w:r>
      <w:r>
        <w:t xml:space="preserve"> </w:t>
      </w:r>
    </w:p>
    <w:p w14:paraId="6C790293" w14:textId="77777777" w:rsidR="00A71EEF" w:rsidRDefault="00A71EEF">
      <w:pPr>
        <w:pStyle w:val="a3"/>
        <w:rPr>
          <w:sz w:val="18"/>
        </w:rPr>
      </w:pPr>
    </w:p>
    <w:p w14:paraId="7964B3AA" w14:textId="77777777" w:rsidR="00A71EEF" w:rsidRDefault="0081115D">
      <w:pPr>
        <w:pStyle w:val="a4"/>
        <w:numPr>
          <w:ilvl w:val="2"/>
          <w:numId w:val="230"/>
        </w:numPr>
        <w:tabs>
          <w:tab w:val="left" w:pos="1635"/>
        </w:tabs>
        <w:ind w:left="1634" w:hanging="795"/>
        <w:rPr>
          <w:sz w:val="21"/>
        </w:rPr>
      </w:pPr>
      <w:r>
        <w:rPr>
          <w:spacing w:val="-12"/>
          <w:sz w:val="21"/>
        </w:rPr>
        <w:t>地震裂度在</w:t>
      </w:r>
      <w:r>
        <w:rPr>
          <w:spacing w:val="-12"/>
          <w:sz w:val="21"/>
        </w:rPr>
        <w:t xml:space="preserve"> </w:t>
      </w:r>
      <w:r>
        <w:rPr>
          <w:sz w:val="21"/>
        </w:rPr>
        <w:t>7</w:t>
      </w:r>
      <w:r>
        <w:rPr>
          <w:spacing w:val="-29"/>
          <w:sz w:val="21"/>
        </w:rPr>
        <w:t xml:space="preserve"> </w:t>
      </w:r>
      <w:r>
        <w:rPr>
          <w:spacing w:val="-29"/>
          <w:sz w:val="21"/>
        </w:rPr>
        <w:t>度及</w:t>
      </w:r>
      <w:r>
        <w:rPr>
          <w:spacing w:val="-29"/>
          <w:sz w:val="21"/>
        </w:rPr>
        <w:t xml:space="preserve"> </w:t>
      </w:r>
      <w:r>
        <w:rPr>
          <w:sz w:val="21"/>
        </w:rPr>
        <w:t>7</w:t>
      </w:r>
      <w:r>
        <w:rPr>
          <w:spacing w:val="-9"/>
          <w:sz w:val="21"/>
        </w:rPr>
        <w:t xml:space="preserve"> </w:t>
      </w:r>
      <w:r>
        <w:rPr>
          <w:spacing w:val="-9"/>
          <w:sz w:val="21"/>
        </w:rPr>
        <w:t>度以上时，架空管道保护应符合下列要求：</w:t>
      </w:r>
      <w:r>
        <w:rPr>
          <w:sz w:val="21"/>
        </w:rPr>
        <w:t xml:space="preserve"> </w:t>
      </w:r>
    </w:p>
    <w:p w14:paraId="274D811D" w14:textId="77777777" w:rsidR="00A71EEF" w:rsidRDefault="00A71EEF">
      <w:pPr>
        <w:pStyle w:val="a3"/>
        <w:spacing w:before="2"/>
        <w:rPr>
          <w:sz w:val="18"/>
        </w:rPr>
      </w:pPr>
    </w:p>
    <w:p w14:paraId="635EEEDA" w14:textId="77777777" w:rsidR="00A71EEF" w:rsidRDefault="0081115D">
      <w:pPr>
        <w:pStyle w:val="a3"/>
        <w:spacing w:line="446" w:lineRule="auto"/>
        <w:ind w:left="838" w:right="1925"/>
      </w:pPr>
      <w:r>
        <w:rPr>
          <w:spacing w:val="-3"/>
        </w:rPr>
        <w:t>地震区的消防给水管道宜采用沟槽连接件的柔性接头或间隙保护系统的安全可靠性；</w:t>
      </w:r>
      <w:r>
        <w:rPr>
          <w:spacing w:val="-3"/>
        </w:rPr>
        <w:t xml:space="preserve"> </w:t>
      </w:r>
      <w:r>
        <w:rPr>
          <w:spacing w:val="-3"/>
        </w:rPr>
        <w:t>应用支架将管道牢固地固定在建筑上；</w:t>
      </w:r>
      <w:r>
        <w:t xml:space="preserve"> </w:t>
      </w:r>
    </w:p>
    <w:p w14:paraId="4BFE1FAD" w14:textId="77777777" w:rsidR="00A71EEF" w:rsidRDefault="0081115D">
      <w:pPr>
        <w:pStyle w:val="a3"/>
        <w:spacing w:line="267" w:lineRule="exact"/>
        <w:ind w:left="838"/>
      </w:pPr>
      <w:r>
        <w:t>管道应有固定部分和活动部分组成；</w:t>
      </w:r>
      <w:r>
        <w:t xml:space="preserve"> </w:t>
      </w:r>
    </w:p>
    <w:p w14:paraId="6F11FAB3" w14:textId="77777777" w:rsidR="00A71EEF" w:rsidRDefault="00A71EEF">
      <w:pPr>
        <w:pStyle w:val="a3"/>
        <w:spacing w:before="1"/>
        <w:rPr>
          <w:sz w:val="18"/>
        </w:rPr>
      </w:pPr>
    </w:p>
    <w:p w14:paraId="1FCB907A" w14:textId="77777777" w:rsidR="00A71EEF" w:rsidRDefault="0081115D">
      <w:pPr>
        <w:pStyle w:val="a3"/>
        <w:spacing w:before="1" w:line="446" w:lineRule="auto"/>
        <w:ind w:left="418" w:right="1410" w:firstLine="419"/>
      </w:pPr>
      <w:r>
        <w:t>当系统管道穿越连接地面以上部分建筑物的地震接缝时，无论管径大小，均应设带柔性配件的管道地震保护装置；</w:t>
      </w:r>
      <w:r>
        <w:t xml:space="preserve"> </w:t>
      </w:r>
    </w:p>
    <w:p w14:paraId="5F725E14" w14:textId="77777777" w:rsidR="00A71EEF" w:rsidRDefault="0081115D">
      <w:pPr>
        <w:pStyle w:val="a3"/>
        <w:spacing w:line="446" w:lineRule="auto"/>
        <w:ind w:left="418" w:right="1433" w:firstLine="419"/>
      </w:pPr>
      <w:r>
        <w:rPr>
          <w:spacing w:val="-7"/>
        </w:rPr>
        <w:t>所有穿越墙、楼板、平台以及基础的管道，包括泄水管，水泵接合器连接管及其他辅助管道</w:t>
      </w:r>
      <w:r>
        <w:rPr>
          <w:spacing w:val="-5"/>
        </w:rPr>
        <w:t>的周围应留有间隙；</w:t>
      </w:r>
      <w:r>
        <w:t xml:space="preserve"> </w:t>
      </w:r>
    </w:p>
    <w:p w14:paraId="4190033A" w14:textId="77777777" w:rsidR="00A71EEF" w:rsidRDefault="0081115D">
      <w:pPr>
        <w:pStyle w:val="a3"/>
        <w:spacing w:line="446" w:lineRule="auto"/>
        <w:ind w:left="418" w:right="1431" w:firstLine="419"/>
      </w:pPr>
      <w:r>
        <w:rPr>
          <w:spacing w:val="-3"/>
        </w:rPr>
        <w:t>管道周围的间隙，</w:t>
      </w:r>
      <w:r>
        <w:rPr>
          <w:spacing w:val="-3"/>
        </w:rPr>
        <w:t>DN25</w:t>
      </w:r>
      <w:r>
        <w:rPr>
          <w:spacing w:val="-3"/>
        </w:rPr>
        <w:t>～</w:t>
      </w:r>
      <w:r>
        <w:rPr>
          <w:spacing w:val="-3"/>
        </w:rPr>
        <w:t>DN80</w:t>
      </w:r>
      <w:r>
        <w:rPr>
          <w:spacing w:val="-12"/>
        </w:rPr>
        <w:t xml:space="preserve"> </w:t>
      </w:r>
      <w:r>
        <w:rPr>
          <w:spacing w:val="-12"/>
        </w:rPr>
        <w:t>管径的管道，不应小于</w:t>
      </w:r>
      <w:r>
        <w:rPr>
          <w:spacing w:val="-12"/>
        </w:rPr>
        <w:t xml:space="preserve"> </w:t>
      </w:r>
      <w:r>
        <w:rPr>
          <w:spacing w:val="-3"/>
        </w:rPr>
        <w:t>25mm</w:t>
      </w:r>
      <w:r>
        <w:rPr>
          <w:spacing w:val="-3"/>
        </w:rPr>
        <w:t>，</w:t>
      </w:r>
      <w:r>
        <w:rPr>
          <w:spacing w:val="-3"/>
        </w:rPr>
        <w:t>DN100</w:t>
      </w:r>
      <w:r>
        <w:rPr>
          <w:spacing w:val="-10"/>
        </w:rPr>
        <w:t xml:space="preserve"> </w:t>
      </w:r>
      <w:r>
        <w:rPr>
          <w:spacing w:val="-10"/>
        </w:rPr>
        <w:t>及以上管径的管道，不应</w:t>
      </w:r>
      <w:r>
        <w:rPr>
          <w:spacing w:val="-25"/>
        </w:rPr>
        <w:t>小于</w:t>
      </w:r>
      <w:r>
        <w:rPr>
          <w:spacing w:val="-25"/>
        </w:rPr>
        <w:t xml:space="preserve"> </w:t>
      </w:r>
      <w:r>
        <w:t>50mm</w:t>
      </w:r>
      <w:r>
        <w:rPr>
          <w:spacing w:val="-3"/>
        </w:rPr>
        <w:t>；间隙内应填充腻子等防火柔性材料；</w:t>
      </w:r>
      <w:r>
        <w:t xml:space="preserve"> </w:t>
      </w:r>
    </w:p>
    <w:p w14:paraId="4CD8995E" w14:textId="77777777" w:rsidR="00A71EEF" w:rsidRDefault="0081115D">
      <w:pPr>
        <w:pStyle w:val="a3"/>
        <w:ind w:left="838"/>
      </w:pPr>
      <w:r>
        <w:t>竖向支撑应符合下列规定：</w:t>
      </w:r>
      <w:r>
        <w:t xml:space="preserve"> </w:t>
      </w:r>
    </w:p>
    <w:p w14:paraId="2C808810" w14:textId="77777777" w:rsidR="00A71EEF" w:rsidRDefault="00A71EEF">
      <w:pPr>
        <w:pStyle w:val="a3"/>
        <w:spacing w:before="10"/>
        <w:rPr>
          <w:sz w:val="17"/>
        </w:rPr>
      </w:pPr>
    </w:p>
    <w:p w14:paraId="59F08A47" w14:textId="77777777" w:rsidR="00A71EEF" w:rsidRDefault="0081115D">
      <w:pPr>
        <w:pStyle w:val="a4"/>
        <w:numPr>
          <w:ilvl w:val="0"/>
          <w:numId w:val="227"/>
        </w:numPr>
        <w:tabs>
          <w:tab w:val="left" w:pos="1156"/>
        </w:tabs>
        <w:rPr>
          <w:sz w:val="21"/>
        </w:rPr>
      </w:pPr>
      <w:r>
        <w:rPr>
          <w:spacing w:val="-3"/>
          <w:sz w:val="21"/>
        </w:rPr>
        <w:t>系统管道应有承受横向和纵向水平载荷的支撑；</w:t>
      </w:r>
      <w:r>
        <w:rPr>
          <w:sz w:val="21"/>
        </w:rPr>
        <w:t xml:space="preserve"> </w:t>
      </w:r>
    </w:p>
    <w:p w14:paraId="7BF5B608" w14:textId="77777777" w:rsidR="00A71EEF" w:rsidRDefault="00A71EEF">
      <w:pPr>
        <w:pStyle w:val="a3"/>
        <w:rPr>
          <w:sz w:val="18"/>
        </w:rPr>
      </w:pPr>
    </w:p>
    <w:p w14:paraId="1C5554DC" w14:textId="77777777" w:rsidR="00A71EEF" w:rsidRDefault="0081115D">
      <w:pPr>
        <w:pStyle w:val="a4"/>
        <w:numPr>
          <w:ilvl w:val="0"/>
          <w:numId w:val="227"/>
        </w:numPr>
        <w:tabs>
          <w:tab w:val="left" w:pos="1156"/>
        </w:tabs>
        <w:rPr>
          <w:sz w:val="21"/>
        </w:rPr>
      </w:pPr>
      <w:r>
        <w:rPr>
          <w:spacing w:val="-3"/>
          <w:sz w:val="21"/>
        </w:rPr>
        <w:t>竖向支撑应牢固且同心，支撑的所有部件和配件应在同一直线上</w:t>
      </w:r>
      <w:r>
        <w:rPr>
          <w:sz w:val="21"/>
        </w:rPr>
        <w:t xml:space="preserve"> </w:t>
      </w:r>
    </w:p>
    <w:p w14:paraId="10A52A75" w14:textId="77777777" w:rsidR="00A71EEF" w:rsidRDefault="00A71EEF">
      <w:pPr>
        <w:pStyle w:val="a3"/>
        <w:spacing w:before="1"/>
        <w:rPr>
          <w:sz w:val="18"/>
        </w:rPr>
      </w:pPr>
    </w:p>
    <w:p w14:paraId="2B5A7643" w14:textId="77777777" w:rsidR="00A71EEF" w:rsidRDefault="0081115D">
      <w:pPr>
        <w:pStyle w:val="a4"/>
        <w:numPr>
          <w:ilvl w:val="0"/>
          <w:numId w:val="227"/>
        </w:numPr>
        <w:tabs>
          <w:tab w:val="left" w:pos="1156"/>
        </w:tabs>
        <w:spacing w:before="1"/>
        <w:rPr>
          <w:sz w:val="21"/>
        </w:rPr>
      </w:pPr>
      <w:r>
        <w:rPr>
          <w:spacing w:val="-6"/>
          <w:sz w:val="21"/>
        </w:rPr>
        <w:t>对供水主管，竖向支撑的间距不应大于</w:t>
      </w:r>
      <w:r>
        <w:rPr>
          <w:spacing w:val="-6"/>
          <w:sz w:val="21"/>
        </w:rPr>
        <w:t xml:space="preserve"> </w:t>
      </w:r>
      <w:r>
        <w:rPr>
          <w:sz w:val="21"/>
        </w:rPr>
        <w:t>24m</w:t>
      </w:r>
      <w:r>
        <w:rPr>
          <w:sz w:val="21"/>
        </w:rPr>
        <w:t>；</w:t>
      </w:r>
      <w:r>
        <w:rPr>
          <w:sz w:val="21"/>
        </w:rPr>
        <w:t xml:space="preserve"> </w:t>
      </w:r>
    </w:p>
    <w:p w14:paraId="4877C52D" w14:textId="77777777" w:rsidR="00A71EEF" w:rsidRDefault="00A71EEF">
      <w:pPr>
        <w:pStyle w:val="a3"/>
        <w:spacing w:before="12"/>
        <w:rPr>
          <w:sz w:val="17"/>
        </w:rPr>
      </w:pPr>
    </w:p>
    <w:p w14:paraId="35D42B36" w14:textId="77777777" w:rsidR="00A71EEF" w:rsidRDefault="0081115D">
      <w:pPr>
        <w:pStyle w:val="a4"/>
        <w:numPr>
          <w:ilvl w:val="0"/>
          <w:numId w:val="227"/>
        </w:numPr>
        <w:tabs>
          <w:tab w:val="left" w:pos="1156"/>
        </w:tabs>
        <w:rPr>
          <w:sz w:val="21"/>
        </w:rPr>
      </w:pPr>
      <w:r>
        <w:rPr>
          <w:spacing w:val="-3"/>
          <w:sz w:val="21"/>
        </w:rPr>
        <w:t>立管的顶部应采用四个方向的支撑固定；</w:t>
      </w:r>
      <w:r>
        <w:rPr>
          <w:sz w:val="21"/>
        </w:rPr>
        <w:t xml:space="preserve"> </w:t>
      </w:r>
    </w:p>
    <w:p w14:paraId="278A849F" w14:textId="77777777" w:rsidR="00A71EEF" w:rsidRDefault="00A71EEF">
      <w:pPr>
        <w:pStyle w:val="a3"/>
        <w:spacing w:before="12"/>
        <w:rPr>
          <w:sz w:val="17"/>
        </w:rPr>
      </w:pPr>
    </w:p>
    <w:p w14:paraId="080E7E9D" w14:textId="77777777" w:rsidR="00A71EEF" w:rsidRDefault="0081115D">
      <w:pPr>
        <w:pStyle w:val="a4"/>
        <w:numPr>
          <w:ilvl w:val="0"/>
          <w:numId w:val="227"/>
        </w:numPr>
        <w:tabs>
          <w:tab w:val="left" w:pos="1156"/>
        </w:tabs>
        <w:rPr>
          <w:sz w:val="21"/>
        </w:rPr>
      </w:pPr>
      <w:r>
        <w:rPr>
          <w:spacing w:val="-6"/>
          <w:sz w:val="21"/>
        </w:rPr>
        <w:t>供水主管上的横向固定支架，其间距不应大于</w:t>
      </w:r>
      <w:r>
        <w:rPr>
          <w:spacing w:val="-6"/>
          <w:sz w:val="21"/>
        </w:rPr>
        <w:t xml:space="preserve"> </w:t>
      </w:r>
      <w:r>
        <w:rPr>
          <w:sz w:val="21"/>
        </w:rPr>
        <w:t>12m</w:t>
      </w:r>
      <w:r>
        <w:rPr>
          <w:spacing w:val="-3"/>
          <w:sz w:val="21"/>
        </w:rPr>
        <w:t>。</w:t>
      </w:r>
      <w:r>
        <w:rPr>
          <w:sz w:val="21"/>
        </w:rPr>
        <w:t xml:space="preserve"> </w:t>
      </w:r>
    </w:p>
    <w:p w14:paraId="2F1BFF04" w14:textId="77777777" w:rsidR="00A71EEF" w:rsidRDefault="00A71EEF">
      <w:pPr>
        <w:pStyle w:val="a3"/>
        <w:spacing w:before="2"/>
        <w:rPr>
          <w:sz w:val="18"/>
        </w:rPr>
      </w:pPr>
    </w:p>
    <w:p w14:paraId="6012F5D9" w14:textId="77777777" w:rsidR="00A71EEF" w:rsidRDefault="0081115D">
      <w:pPr>
        <w:pStyle w:val="a3"/>
        <w:spacing w:line="446" w:lineRule="auto"/>
        <w:ind w:left="838" w:right="5447"/>
      </w:pPr>
      <w:r>
        <w:rPr>
          <w:spacing w:val="-8"/>
        </w:rPr>
        <w:t>检查数量：按数量抽查</w:t>
      </w:r>
      <w:r>
        <w:rPr>
          <w:spacing w:val="-8"/>
        </w:rPr>
        <w:t xml:space="preserve"> </w:t>
      </w:r>
      <w:r>
        <w:t>30</w:t>
      </w:r>
      <w:r>
        <w:rPr>
          <w:spacing w:val="-9"/>
        </w:rPr>
        <w:t>%</w:t>
      </w:r>
      <w:r>
        <w:rPr>
          <w:spacing w:val="-9"/>
        </w:rPr>
        <w:t>，不应少于</w:t>
      </w:r>
      <w:r>
        <w:rPr>
          <w:spacing w:val="-9"/>
        </w:rPr>
        <w:t xml:space="preserve"> </w:t>
      </w:r>
      <w:r>
        <w:t>10</w:t>
      </w:r>
      <w:r>
        <w:rPr>
          <w:spacing w:val="-18"/>
        </w:rPr>
        <w:t xml:space="preserve"> </w:t>
      </w:r>
      <w:r>
        <w:rPr>
          <w:spacing w:val="-18"/>
        </w:rPr>
        <w:t>件。</w:t>
      </w:r>
      <w:r>
        <w:rPr>
          <w:spacing w:val="-7"/>
        </w:rPr>
        <w:t>检验方法：直观检查。</w:t>
      </w:r>
      <w:r>
        <w:t xml:space="preserve"> </w:t>
      </w:r>
    </w:p>
    <w:p w14:paraId="526E64EA" w14:textId="77777777" w:rsidR="00A71EEF" w:rsidRDefault="0081115D">
      <w:pPr>
        <w:pStyle w:val="a4"/>
        <w:numPr>
          <w:ilvl w:val="2"/>
          <w:numId w:val="230"/>
        </w:numPr>
        <w:tabs>
          <w:tab w:val="left" w:pos="1583"/>
        </w:tabs>
        <w:spacing w:line="446" w:lineRule="auto"/>
        <w:ind w:left="418" w:right="1328" w:firstLine="422"/>
        <w:rPr>
          <w:sz w:val="21"/>
        </w:rPr>
      </w:pPr>
      <w:r>
        <w:rPr>
          <w:spacing w:val="-3"/>
          <w:sz w:val="21"/>
        </w:rPr>
        <w:t>架空管道外应刷红色油漆或涂红色环圈标志，并应注明管道名称和水流方向标识。</w:t>
      </w:r>
      <w:r>
        <w:rPr>
          <w:spacing w:val="-3"/>
          <w:sz w:val="21"/>
        </w:rPr>
        <w:t xml:space="preserve"> </w:t>
      </w:r>
      <w:r>
        <w:rPr>
          <w:spacing w:val="-12"/>
          <w:sz w:val="21"/>
        </w:rPr>
        <w:t>红色环圈标志，宽度不应小于</w:t>
      </w:r>
      <w:r>
        <w:rPr>
          <w:spacing w:val="-12"/>
          <w:sz w:val="21"/>
        </w:rPr>
        <w:t xml:space="preserve"> </w:t>
      </w:r>
      <w:r>
        <w:rPr>
          <w:spacing w:val="-11"/>
          <w:sz w:val="21"/>
        </w:rPr>
        <w:t>20mm</w:t>
      </w:r>
      <w:r>
        <w:rPr>
          <w:spacing w:val="-10"/>
          <w:sz w:val="21"/>
        </w:rPr>
        <w:t>，间隔不宜大于</w:t>
      </w:r>
      <w:r>
        <w:rPr>
          <w:spacing w:val="-10"/>
          <w:sz w:val="21"/>
        </w:rPr>
        <w:t xml:space="preserve"> </w:t>
      </w:r>
      <w:r>
        <w:rPr>
          <w:spacing w:val="-16"/>
          <w:sz w:val="21"/>
        </w:rPr>
        <w:t>4m</w:t>
      </w:r>
      <w:r>
        <w:rPr>
          <w:spacing w:val="-8"/>
          <w:sz w:val="21"/>
        </w:rPr>
        <w:t>，在一个独立的单元内环圈不宜少于</w:t>
      </w:r>
      <w:r>
        <w:rPr>
          <w:spacing w:val="-8"/>
          <w:sz w:val="21"/>
        </w:rPr>
        <w:t xml:space="preserve"> </w:t>
      </w:r>
      <w:r>
        <w:rPr>
          <w:sz w:val="21"/>
        </w:rPr>
        <w:t>2</w:t>
      </w:r>
      <w:r>
        <w:rPr>
          <w:spacing w:val="-18"/>
          <w:sz w:val="21"/>
        </w:rPr>
        <w:t xml:space="preserve"> </w:t>
      </w:r>
      <w:r>
        <w:rPr>
          <w:spacing w:val="-18"/>
          <w:sz w:val="21"/>
        </w:rPr>
        <w:t>处。</w:t>
      </w:r>
      <w:r>
        <w:rPr>
          <w:sz w:val="21"/>
        </w:rPr>
        <w:t xml:space="preserve"> </w:t>
      </w:r>
    </w:p>
    <w:p w14:paraId="7022521A" w14:textId="77777777" w:rsidR="00A71EEF" w:rsidRDefault="00A71EEF">
      <w:pPr>
        <w:spacing w:line="446" w:lineRule="auto"/>
        <w:rPr>
          <w:sz w:val="21"/>
        </w:rPr>
        <w:sectPr w:rsidR="00A71EEF">
          <w:pgSz w:w="11910" w:h="16850"/>
          <w:pgMar w:top="1220" w:right="0" w:bottom="1420" w:left="1260" w:header="0" w:footer="1239" w:gutter="0"/>
          <w:cols w:space="720"/>
        </w:sectPr>
      </w:pPr>
    </w:p>
    <w:p w14:paraId="6FB49B44" w14:textId="77777777" w:rsidR="00A71EEF" w:rsidRDefault="0081115D">
      <w:pPr>
        <w:pStyle w:val="a3"/>
        <w:spacing w:before="47" w:line="446" w:lineRule="auto"/>
        <w:ind w:left="838" w:right="5447"/>
      </w:pPr>
      <w:r>
        <w:rPr>
          <w:spacing w:val="-8"/>
        </w:rPr>
        <w:t>检查数量：按数量抽查</w:t>
      </w:r>
      <w:r>
        <w:rPr>
          <w:spacing w:val="-8"/>
        </w:rPr>
        <w:t xml:space="preserve"> </w:t>
      </w:r>
      <w:r>
        <w:t>30</w:t>
      </w:r>
      <w:r>
        <w:rPr>
          <w:spacing w:val="-9"/>
        </w:rPr>
        <w:t>%</w:t>
      </w:r>
      <w:r>
        <w:rPr>
          <w:spacing w:val="-9"/>
        </w:rPr>
        <w:t>，不应少于</w:t>
      </w:r>
      <w:r>
        <w:rPr>
          <w:spacing w:val="-9"/>
        </w:rPr>
        <w:t xml:space="preserve"> </w:t>
      </w:r>
      <w:r>
        <w:t>10</w:t>
      </w:r>
      <w:r>
        <w:rPr>
          <w:spacing w:val="-18"/>
        </w:rPr>
        <w:t xml:space="preserve"> </w:t>
      </w:r>
      <w:r>
        <w:rPr>
          <w:spacing w:val="-18"/>
        </w:rPr>
        <w:t>件。</w:t>
      </w:r>
      <w:r>
        <w:rPr>
          <w:spacing w:val="-7"/>
        </w:rPr>
        <w:t>检验方法：直观检查。</w:t>
      </w:r>
      <w:r>
        <w:t xml:space="preserve"> </w:t>
      </w:r>
    </w:p>
    <w:p w14:paraId="7EB56839" w14:textId="77777777" w:rsidR="00A71EEF" w:rsidRDefault="0081115D">
      <w:pPr>
        <w:pStyle w:val="a4"/>
        <w:numPr>
          <w:ilvl w:val="2"/>
          <w:numId w:val="230"/>
        </w:numPr>
        <w:tabs>
          <w:tab w:val="left" w:pos="1583"/>
        </w:tabs>
        <w:spacing w:line="267" w:lineRule="exact"/>
        <w:ind w:left="1582" w:hanging="743"/>
        <w:rPr>
          <w:sz w:val="21"/>
        </w:rPr>
      </w:pPr>
      <w:r>
        <w:rPr>
          <w:spacing w:val="-3"/>
          <w:sz w:val="21"/>
        </w:rPr>
        <w:t>消防给水系统阀门的安装应符合下列要求：</w:t>
      </w:r>
      <w:r>
        <w:rPr>
          <w:spacing w:val="-3"/>
          <w:sz w:val="21"/>
        </w:rPr>
        <w:t xml:space="preserve"> </w:t>
      </w:r>
    </w:p>
    <w:p w14:paraId="106C61E6" w14:textId="77777777" w:rsidR="00A71EEF" w:rsidRDefault="00A71EEF">
      <w:pPr>
        <w:pStyle w:val="a3"/>
        <w:spacing w:before="2"/>
        <w:rPr>
          <w:sz w:val="18"/>
        </w:rPr>
      </w:pPr>
    </w:p>
    <w:p w14:paraId="28F46C87" w14:textId="77777777" w:rsidR="00A71EEF" w:rsidRDefault="0081115D">
      <w:pPr>
        <w:pStyle w:val="a3"/>
        <w:ind w:left="838"/>
      </w:pPr>
      <w:r>
        <w:t>各类阀门型号、规格及公称压力应符合设计要求。</w:t>
      </w:r>
      <w:r>
        <w:t xml:space="preserve"> </w:t>
      </w:r>
    </w:p>
    <w:p w14:paraId="43F444D2" w14:textId="77777777" w:rsidR="00A71EEF" w:rsidRDefault="00A71EEF">
      <w:pPr>
        <w:pStyle w:val="a3"/>
        <w:rPr>
          <w:sz w:val="18"/>
        </w:rPr>
      </w:pPr>
    </w:p>
    <w:p w14:paraId="0D00F499" w14:textId="77777777" w:rsidR="00A71EEF" w:rsidRDefault="0081115D">
      <w:pPr>
        <w:pStyle w:val="a3"/>
        <w:spacing w:line="446" w:lineRule="auto"/>
        <w:ind w:left="418" w:right="1410" w:firstLine="419"/>
      </w:pPr>
      <w:r>
        <w:t>阀门的设置应便于安装维修和操作，且安装空间应能满足阀门完全启闭的要求，并应作出标志；</w:t>
      </w:r>
      <w:r>
        <w:t xml:space="preserve"> </w:t>
      </w:r>
    </w:p>
    <w:p w14:paraId="78B44FEB" w14:textId="77777777" w:rsidR="00A71EEF" w:rsidRDefault="0081115D">
      <w:pPr>
        <w:pStyle w:val="a3"/>
        <w:ind w:left="838"/>
      </w:pPr>
      <w:r>
        <w:t>阀门应有明显的启闭标志；</w:t>
      </w:r>
      <w:r>
        <w:t xml:space="preserve"> </w:t>
      </w:r>
    </w:p>
    <w:p w14:paraId="386AEF5F" w14:textId="77777777" w:rsidR="00A71EEF" w:rsidRDefault="00A71EEF">
      <w:pPr>
        <w:pStyle w:val="a3"/>
        <w:rPr>
          <w:sz w:val="18"/>
        </w:rPr>
      </w:pPr>
    </w:p>
    <w:p w14:paraId="796DD2DE" w14:textId="77777777" w:rsidR="00A71EEF" w:rsidRDefault="0081115D">
      <w:pPr>
        <w:pStyle w:val="a3"/>
        <w:spacing w:line="446" w:lineRule="auto"/>
        <w:ind w:left="838" w:right="1925"/>
      </w:pPr>
      <w:r>
        <w:rPr>
          <w:spacing w:val="-3"/>
        </w:rPr>
        <w:t>消防给水系统干</w:t>
      </w:r>
      <w:r>
        <w:rPr>
          <w:spacing w:val="-3"/>
        </w:rPr>
        <w:t>管与水灭火系统连接处应设置独立阀门，并应保证各系统独立使用。检查数量：全部检查。</w:t>
      </w:r>
      <w:r>
        <w:t xml:space="preserve"> </w:t>
      </w:r>
    </w:p>
    <w:p w14:paraId="053F9A2B" w14:textId="77777777" w:rsidR="00A71EEF" w:rsidRDefault="0081115D">
      <w:pPr>
        <w:pStyle w:val="a3"/>
        <w:ind w:left="838"/>
      </w:pPr>
      <w:r>
        <w:rPr>
          <w:spacing w:val="-3"/>
        </w:rPr>
        <w:t>检查方法：直观检查。</w:t>
      </w:r>
      <w:r>
        <w:t xml:space="preserve"> </w:t>
      </w:r>
    </w:p>
    <w:p w14:paraId="740A1F7C" w14:textId="77777777" w:rsidR="00A71EEF" w:rsidRDefault="00A71EEF">
      <w:pPr>
        <w:pStyle w:val="a3"/>
        <w:spacing w:before="12"/>
        <w:rPr>
          <w:sz w:val="17"/>
        </w:rPr>
      </w:pPr>
    </w:p>
    <w:p w14:paraId="4366DD45" w14:textId="77777777" w:rsidR="00A71EEF" w:rsidRDefault="0081115D">
      <w:pPr>
        <w:pStyle w:val="a4"/>
        <w:numPr>
          <w:ilvl w:val="2"/>
          <w:numId w:val="230"/>
        </w:numPr>
        <w:tabs>
          <w:tab w:val="left" w:pos="1635"/>
        </w:tabs>
        <w:ind w:left="1634" w:hanging="795"/>
        <w:rPr>
          <w:sz w:val="21"/>
        </w:rPr>
      </w:pPr>
      <w:r>
        <w:rPr>
          <w:spacing w:val="-3"/>
          <w:sz w:val="21"/>
        </w:rPr>
        <w:t>消防给水系统减压阀的安装应符合下列要求：</w:t>
      </w:r>
      <w:r>
        <w:rPr>
          <w:sz w:val="21"/>
        </w:rPr>
        <w:t xml:space="preserve"> </w:t>
      </w:r>
    </w:p>
    <w:p w14:paraId="5C437868" w14:textId="77777777" w:rsidR="00A71EEF" w:rsidRDefault="00A71EEF">
      <w:pPr>
        <w:pStyle w:val="a3"/>
        <w:spacing w:before="12"/>
        <w:rPr>
          <w:sz w:val="17"/>
        </w:rPr>
      </w:pPr>
    </w:p>
    <w:p w14:paraId="236F0D8B" w14:textId="77777777" w:rsidR="00A71EEF" w:rsidRDefault="0081115D">
      <w:pPr>
        <w:pStyle w:val="a3"/>
        <w:spacing w:line="446" w:lineRule="auto"/>
        <w:ind w:left="838" w:right="3606"/>
      </w:pPr>
      <w:r>
        <w:t>安装位置处的减压阀的型号、规格、压力、流量应符合设计要求；</w:t>
      </w:r>
      <w:r>
        <w:t xml:space="preserve"> </w:t>
      </w:r>
      <w:r>
        <w:t>减压阀安装应在供水管网试压、冲洗合格后进行；</w:t>
      </w:r>
      <w:r>
        <w:t xml:space="preserve"> </w:t>
      </w:r>
    </w:p>
    <w:p w14:paraId="76674637" w14:textId="77777777" w:rsidR="00A71EEF" w:rsidRDefault="0081115D">
      <w:pPr>
        <w:pStyle w:val="a3"/>
        <w:spacing w:before="1" w:line="446" w:lineRule="auto"/>
        <w:ind w:left="838" w:right="5497"/>
      </w:pPr>
      <w:r>
        <w:t>减压阀水流方向应与供水管网水流方向一致；</w:t>
      </w:r>
      <w:r>
        <w:t xml:space="preserve"> </w:t>
      </w:r>
      <w:r>
        <w:t>减压阀前应有过滤器；</w:t>
      </w:r>
      <w:r>
        <w:t xml:space="preserve"> </w:t>
      </w:r>
    </w:p>
    <w:p w14:paraId="72FD9913" w14:textId="77777777" w:rsidR="00A71EEF" w:rsidRDefault="0081115D">
      <w:pPr>
        <w:pStyle w:val="a3"/>
        <w:ind w:left="838"/>
      </w:pPr>
      <w:r>
        <w:t>减压阀前后应安装压力表；</w:t>
      </w:r>
      <w:r>
        <w:t xml:space="preserve"> </w:t>
      </w:r>
    </w:p>
    <w:p w14:paraId="05E659BA" w14:textId="77777777" w:rsidR="00A71EEF" w:rsidRDefault="00A71EEF">
      <w:pPr>
        <w:pStyle w:val="a3"/>
        <w:spacing w:before="12"/>
        <w:rPr>
          <w:sz w:val="17"/>
        </w:rPr>
      </w:pPr>
    </w:p>
    <w:p w14:paraId="710CF6BB" w14:textId="77777777" w:rsidR="00A71EEF" w:rsidRDefault="0081115D">
      <w:pPr>
        <w:pStyle w:val="a3"/>
        <w:spacing w:line="446" w:lineRule="auto"/>
        <w:ind w:left="838" w:right="6337"/>
      </w:pPr>
      <w:r>
        <w:t>减压阀处应有压力试验用排水设施。检查数量：全数检查。</w:t>
      </w:r>
      <w:r>
        <w:t xml:space="preserve"> </w:t>
      </w:r>
    </w:p>
    <w:p w14:paraId="19624CB0" w14:textId="77777777" w:rsidR="00A71EEF" w:rsidRDefault="0081115D">
      <w:pPr>
        <w:pStyle w:val="a3"/>
        <w:ind w:left="838"/>
      </w:pPr>
      <w:r>
        <w:t>检验方法：核实设计图、核对产品的性能检验报告、直观检查。</w:t>
      </w:r>
      <w:r>
        <w:t xml:space="preserve"> </w:t>
      </w:r>
    </w:p>
    <w:p w14:paraId="6B24AD03" w14:textId="77777777" w:rsidR="00A71EEF" w:rsidRDefault="00A71EEF">
      <w:pPr>
        <w:pStyle w:val="a3"/>
        <w:rPr>
          <w:sz w:val="18"/>
        </w:rPr>
      </w:pPr>
    </w:p>
    <w:p w14:paraId="790E4B51" w14:textId="77777777" w:rsidR="00A71EEF" w:rsidRDefault="0081115D">
      <w:pPr>
        <w:pStyle w:val="a4"/>
        <w:numPr>
          <w:ilvl w:val="2"/>
          <w:numId w:val="230"/>
        </w:numPr>
        <w:tabs>
          <w:tab w:val="left" w:pos="1635"/>
        </w:tabs>
        <w:ind w:left="1634" w:hanging="795"/>
        <w:rPr>
          <w:sz w:val="21"/>
        </w:rPr>
      </w:pPr>
      <w:r>
        <w:rPr>
          <w:spacing w:val="-3"/>
          <w:sz w:val="21"/>
        </w:rPr>
        <w:t>控制柜的安装应符合下列要求：</w:t>
      </w:r>
      <w:r>
        <w:rPr>
          <w:sz w:val="21"/>
        </w:rPr>
        <w:t xml:space="preserve"> </w:t>
      </w:r>
    </w:p>
    <w:p w14:paraId="346C4CC0" w14:textId="77777777" w:rsidR="00A71EEF" w:rsidRDefault="00A71EEF">
      <w:pPr>
        <w:pStyle w:val="a3"/>
        <w:spacing w:before="12"/>
        <w:rPr>
          <w:sz w:val="17"/>
        </w:rPr>
      </w:pPr>
    </w:p>
    <w:p w14:paraId="39C93200" w14:textId="77777777" w:rsidR="00A71EEF" w:rsidRDefault="0081115D">
      <w:pPr>
        <w:pStyle w:val="a3"/>
        <w:ind w:left="838"/>
      </w:pPr>
      <w:r>
        <w:t>控制柜的基座其水平度误差不大于</w:t>
      </w:r>
      <w:r>
        <w:t>±2mm</w:t>
      </w:r>
      <w:r>
        <w:t>，并应做防腐处理及防水措施；</w:t>
      </w:r>
      <w:r>
        <w:t xml:space="preserve"> </w:t>
      </w:r>
    </w:p>
    <w:p w14:paraId="768FF214" w14:textId="77777777" w:rsidR="00A71EEF" w:rsidRDefault="00A71EEF">
      <w:pPr>
        <w:pStyle w:val="a3"/>
        <w:spacing w:before="2"/>
        <w:rPr>
          <w:sz w:val="18"/>
        </w:rPr>
      </w:pPr>
    </w:p>
    <w:p w14:paraId="0B46DF6E" w14:textId="77777777" w:rsidR="00A71EEF" w:rsidRDefault="0081115D">
      <w:pPr>
        <w:pStyle w:val="a3"/>
        <w:spacing w:line="446" w:lineRule="auto"/>
        <w:ind w:left="838" w:right="2662"/>
      </w:pPr>
      <w:r>
        <w:t>控制柜与基座应采用不小于</w:t>
      </w:r>
      <w:r>
        <w:t xml:space="preserve">ф12mm </w:t>
      </w:r>
      <w:r>
        <w:t>的螺栓固定，每只柜不应少于</w:t>
      </w:r>
      <w:r>
        <w:t xml:space="preserve"> 4 </w:t>
      </w:r>
      <w:r>
        <w:t>只螺栓；</w:t>
      </w:r>
      <w:r>
        <w:t xml:space="preserve"> </w:t>
      </w:r>
      <w:r>
        <w:t>做控制柜的上下进出线口时，不应破坏控制柜的防护等级。</w:t>
      </w:r>
      <w:r>
        <w:t xml:space="preserve"> </w:t>
      </w:r>
    </w:p>
    <w:p w14:paraId="38F643AC" w14:textId="77777777" w:rsidR="00A71EEF" w:rsidRDefault="0081115D">
      <w:pPr>
        <w:pStyle w:val="a3"/>
        <w:spacing w:line="446" w:lineRule="auto"/>
        <w:ind w:left="838" w:right="7600"/>
        <w:jc w:val="both"/>
        <w:rPr>
          <w:b/>
        </w:rPr>
      </w:pPr>
      <w:r>
        <w:t>检查数量：全部检查。检查方法：直观检查。</w:t>
      </w:r>
      <w:r>
        <w:rPr>
          <w:b/>
        </w:rPr>
        <w:t xml:space="preserve">12.4 </w:t>
      </w:r>
      <w:r>
        <w:t>试压和冲洗</w:t>
      </w:r>
      <w:r>
        <w:rPr>
          <w:b/>
          <w:w w:val="99"/>
        </w:rPr>
        <w:t xml:space="preserve"> </w:t>
      </w:r>
    </w:p>
    <w:p w14:paraId="5A8EE69D" w14:textId="77777777" w:rsidR="00A71EEF" w:rsidRDefault="0081115D">
      <w:pPr>
        <w:pStyle w:val="a4"/>
        <w:numPr>
          <w:ilvl w:val="2"/>
          <w:numId w:val="226"/>
        </w:numPr>
        <w:tabs>
          <w:tab w:val="left" w:pos="1530"/>
        </w:tabs>
        <w:spacing w:line="446" w:lineRule="auto"/>
        <w:ind w:right="4026" w:firstLine="2"/>
        <w:jc w:val="both"/>
        <w:rPr>
          <w:sz w:val="21"/>
        </w:rPr>
      </w:pPr>
      <w:r>
        <w:rPr>
          <w:spacing w:val="-3"/>
          <w:sz w:val="21"/>
        </w:rPr>
        <w:t>消防给水及消火栓系统试压和冲洗应符合下列要求：</w:t>
      </w:r>
      <w:r>
        <w:rPr>
          <w:spacing w:val="-3"/>
          <w:sz w:val="21"/>
        </w:rPr>
        <w:t xml:space="preserve"> </w:t>
      </w:r>
      <w:r>
        <w:rPr>
          <w:spacing w:val="-3"/>
          <w:sz w:val="21"/>
        </w:rPr>
        <w:t>管网安装完毕后，应对其进行强度试验、冲洗和严密性试验；</w:t>
      </w:r>
      <w:r>
        <w:rPr>
          <w:sz w:val="21"/>
        </w:rPr>
        <w:t xml:space="preserve"> </w:t>
      </w:r>
    </w:p>
    <w:p w14:paraId="3731F9AA" w14:textId="77777777" w:rsidR="00A71EEF" w:rsidRDefault="00A71EEF">
      <w:pPr>
        <w:spacing w:line="446" w:lineRule="auto"/>
        <w:jc w:val="both"/>
        <w:rPr>
          <w:sz w:val="21"/>
        </w:rPr>
        <w:sectPr w:rsidR="00A71EEF">
          <w:pgSz w:w="11910" w:h="16850"/>
          <w:pgMar w:top="1220" w:right="0" w:bottom="1420" w:left="1260" w:header="0" w:footer="1239" w:gutter="0"/>
          <w:cols w:space="720"/>
        </w:sectPr>
      </w:pPr>
    </w:p>
    <w:p w14:paraId="1343C66D" w14:textId="77777777" w:rsidR="00A71EEF" w:rsidRDefault="0081115D">
      <w:pPr>
        <w:pStyle w:val="a3"/>
        <w:spacing w:before="47"/>
        <w:ind w:left="838"/>
      </w:pPr>
      <w:r>
        <w:t>强度试验和严密性试验宜用水进行。干式消火栓系统应做水压试验和气压试验；</w:t>
      </w:r>
      <w:r>
        <w:t xml:space="preserve"> </w:t>
      </w:r>
    </w:p>
    <w:p w14:paraId="2A200B02" w14:textId="77777777" w:rsidR="00A71EEF" w:rsidRDefault="00A71EEF">
      <w:pPr>
        <w:pStyle w:val="a3"/>
        <w:rPr>
          <w:sz w:val="18"/>
        </w:rPr>
      </w:pPr>
    </w:p>
    <w:p w14:paraId="2A53032D" w14:textId="77777777" w:rsidR="00A71EEF" w:rsidRDefault="0081115D">
      <w:pPr>
        <w:pStyle w:val="a3"/>
        <w:spacing w:line="446" w:lineRule="auto"/>
        <w:ind w:left="418" w:right="1609" w:firstLine="419"/>
      </w:pPr>
      <w:r>
        <w:t>系统试压完成后，应及时拆除所有临时盲板及试验用的管道，并应与记录核对无误，且应按本规范表</w:t>
      </w:r>
      <w:r>
        <w:t xml:space="preserve"> C.0.2 </w:t>
      </w:r>
      <w:r>
        <w:t>的格式填写记录；</w:t>
      </w:r>
      <w:r>
        <w:t xml:space="preserve"> </w:t>
      </w:r>
    </w:p>
    <w:p w14:paraId="4DAD98B5" w14:textId="77777777" w:rsidR="00A71EEF" w:rsidRDefault="0081115D">
      <w:pPr>
        <w:pStyle w:val="a3"/>
        <w:spacing w:line="446" w:lineRule="auto"/>
        <w:ind w:left="418" w:right="1609" w:firstLine="419"/>
      </w:pPr>
      <w:r>
        <w:t>管网冲洗应在试压合格后分段进行。冲洗顺序应先室外，后室内；先地下，后地上；室内部分的冲洗应按供水干管、水平管和立管的顺序进行；</w:t>
      </w:r>
      <w:r>
        <w:t xml:space="preserve"> </w:t>
      </w:r>
    </w:p>
    <w:p w14:paraId="17C83CE9" w14:textId="77777777" w:rsidR="00A71EEF" w:rsidRDefault="0081115D">
      <w:pPr>
        <w:pStyle w:val="a3"/>
        <w:spacing w:line="267" w:lineRule="exact"/>
        <w:ind w:left="838"/>
      </w:pPr>
      <w:r>
        <w:t>系统试压前应具备下列条件：</w:t>
      </w:r>
      <w:r>
        <w:t xml:space="preserve"> </w:t>
      </w:r>
    </w:p>
    <w:p w14:paraId="77D5725C" w14:textId="77777777" w:rsidR="00A71EEF" w:rsidRDefault="00A71EEF">
      <w:pPr>
        <w:pStyle w:val="a3"/>
        <w:spacing w:before="2"/>
        <w:rPr>
          <w:sz w:val="18"/>
        </w:rPr>
      </w:pPr>
    </w:p>
    <w:p w14:paraId="52912AB5" w14:textId="77777777" w:rsidR="00A71EEF" w:rsidRDefault="0081115D">
      <w:pPr>
        <w:pStyle w:val="a3"/>
        <w:ind w:left="838"/>
      </w:pPr>
      <w:r>
        <w:t xml:space="preserve">1 </w:t>
      </w:r>
      <w:r>
        <w:t>埋地管</w:t>
      </w:r>
      <w:r>
        <w:t>道的位置及管道基础、支墩等经复查应符合设计要求；</w:t>
      </w:r>
      <w:r>
        <w:t xml:space="preserve"> </w:t>
      </w:r>
    </w:p>
    <w:p w14:paraId="26204230" w14:textId="77777777" w:rsidR="00A71EEF" w:rsidRDefault="00A71EEF">
      <w:pPr>
        <w:pStyle w:val="a3"/>
        <w:rPr>
          <w:sz w:val="18"/>
        </w:rPr>
      </w:pPr>
    </w:p>
    <w:p w14:paraId="3E97FC83" w14:textId="77777777" w:rsidR="00A71EEF" w:rsidRDefault="0081115D">
      <w:pPr>
        <w:pStyle w:val="a4"/>
        <w:numPr>
          <w:ilvl w:val="0"/>
          <w:numId w:val="225"/>
        </w:numPr>
        <w:tabs>
          <w:tab w:val="left" w:pos="1156"/>
        </w:tabs>
        <w:rPr>
          <w:sz w:val="21"/>
        </w:rPr>
      </w:pPr>
      <w:r>
        <w:rPr>
          <w:spacing w:val="-8"/>
          <w:sz w:val="21"/>
        </w:rPr>
        <w:t>试压用的压力表不应少于</w:t>
      </w:r>
      <w:r>
        <w:rPr>
          <w:spacing w:val="-8"/>
          <w:sz w:val="21"/>
        </w:rPr>
        <w:t xml:space="preserve"> </w:t>
      </w:r>
      <w:r>
        <w:rPr>
          <w:sz w:val="21"/>
        </w:rPr>
        <w:t>2</w:t>
      </w:r>
      <w:r>
        <w:rPr>
          <w:spacing w:val="-14"/>
          <w:sz w:val="21"/>
        </w:rPr>
        <w:t xml:space="preserve"> </w:t>
      </w:r>
      <w:r>
        <w:rPr>
          <w:spacing w:val="-14"/>
          <w:sz w:val="21"/>
        </w:rPr>
        <w:t>只；精度不应低于</w:t>
      </w:r>
      <w:r>
        <w:rPr>
          <w:spacing w:val="-14"/>
          <w:sz w:val="21"/>
        </w:rPr>
        <w:t xml:space="preserve"> </w:t>
      </w:r>
      <w:r>
        <w:rPr>
          <w:sz w:val="21"/>
        </w:rPr>
        <w:t>1.5</w:t>
      </w:r>
      <w:r>
        <w:rPr>
          <w:spacing w:val="-12"/>
          <w:sz w:val="21"/>
        </w:rPr>
        <w:t xml:space="preserve"> </w:t>
      </w:r>
      <w:r>
        <w:rPr>
          <w:spacing w:val="-12"/>
          <w:sz w:val="21"/>
        </w:rPr>
        <w:t>级，量程应为试验压力值的</w:t>
      </w:r>
      <w:r>
        <w:rPr>
          <w:spacing w:val="-12"/>
          <w:sz w:val="21"/>
        </w:rPr>
        <w:t xml:space="preserve"> </w:t>
      </w:r>
      <w:r>
        <w:rPr>
          <w:sz w:val="21"/>
        </w:rPr>
        <w:t>1.5</w:t>
      </w:r>
      <w:r>
        <w:rPr>
          <w:spacing w:val="-28"/>
          <w:sz w:val="21"/>
        </w:rPr>
        <w:t xml:space="preserve"> </w:t>
      </w:r>
      <w:r>
        <w:rPr>
          <w:spacing w:val="-28"/>
          <w:sz w:val="21"/>
        </w:rPr>
        <w:t>倍</w:t>
      </w:r>
      <w:r>
        <w:rPr>
          <w:spacing w:val="-3"/>
          <w:sz w:val="21"/>
        </w:rPr>
        <w:t>～</w:t>
      </w:r>
    </w:p>
    <w:p w14:paraId="67BEF598" w14:textId="77777777" w:rsidR="00A71EEF" w:rsidRDefault="00A71EEF">
      <w:pPr>
        <w:pStyle w:val="a3"/>
        <w:spacing w:before="12"/>
        <w:rPr>
          <w:sz w:val="17"/>
        </w:rPr>
      </w:pPr>
    </w:p>
    <w:p w14:paraId="23E0B76A" w14:textId="77777777" w:rsidR="00A71EEF" w:rsidRDefault="0081115D">
      <w:pPr>
        <w:pStyle w:val="a3"/>
        <w:ind w:left="418"/>
      </w:pPr>
      <w:r>
        <w:t xml:space="preserve">2 </w:t>
      </w:r>
      <w:r>
        <w:t>倍；</w:t>
      </w:r>
      <w:r>
        <w:t xml:space="preserve"> </w:t>
      </w:r>
    </w:p>
    <w:p w14:paraId="7EE92642" w14:textId="77777777" w:rsidR="00A71EEF" w:rsidRDefault="00A71EEF">
      <w:pPr>
        <w:pStyle w:val="a3"/>
        <w:spacing w:before="2"/>
        <w:rPr>
          <w:sz w:val="18"/>
        </w:rPr>
      </w:pPr>
    </w:p>
    <w:p w14:paraId="516DC07D" w14:textId="77777777" w:rsidR="00A71EEF" w:rsidRDefault="0081115D">
      <w:pPr>
        <w:pStyle w:val="a4"/>
        <w:numPr>
          <w:ilvl w:val="0"/>
          <w:numId w:val="225"/>
        </w:numPr>
        <w:tabs>
          <w:tab w:val="left" w:pos="1156"/>
        </w:tabs>
        <w:rPr>
          <w:sz w:val="21"/>
        </w:rPr>
      </w:pPr>
      <w:r>
        <w:rPr>
          <w:spacing w:val="-3"/>
          <w:sz w:val="21"/>
        </w:rPr>
        <w:t>试压冲洗方案已经批准；</w:t>
      </w:r>
      <w:r>
        <w:rPr>
          <w:spacing w:val="-3"/>
          <w:sz w:val="21"/>
        </w:rPr>
        <w:t xml:space="preserve"> </w:t>
      </w:r>
    </w:p>
    <w:p w14:paraId="7A7E67D4" w14:textId="77777777" w:rsidR="00A71EEF" w:rsidRDefault="00A71EEF">
      <w:pPr>
        <w:pStyle w:val="a3"/>
        <w:rPr>
          <w:sz w:val="18"/>
        </w:rPr>
      </w:pPr>
    </w:p>
    <w:p w14:paraId="5E6229D9" w14:textId="77777777" w:rsidR="00A71EEF" w:rsidRDefault="0081115D">
      <w:pPr>
        <w:pStyle w:val="a4"/>
        <w:numPr>
          <w:ilvl w:val="0"/>
          <w:numId w:val="225"/>
        </w:numPr>
        <w:tabs>
          <w:tab w:val="left" w:pos="1156"/>
        </w:tabs>
        <w:spacing w:line="446" w:lineRule="auto"/>
        <w:ind w:left="418" w:right="1505" w:firstLine="419"/>
        <w:rPr>
          <w:sz w:val="21"/>
        </w:rPr>
      </w:pPr>
      <w:r>
        <w:rPr>
          <w:spacing w:val="-3"/>
          <w:sz w:val="21"/>
        </w:rPr>
        <w:t>对不能参与试压的设备、仪表、阀门及附件应加以隔离或拆除；加设的临时盲板应具有突出于法兰的边耳，且应做明显标志，并记录临时盲板的数量。</w:t>
      </w:r>
      <w:r>
        <w:rPr>
          <w:sz w:val="21"/>
        </w:rPr>
        <w:t xml:space="preserve"> </w:t>
      </w:r>
    </w:p>
    <w:p w14:paraId="76EC5128" w14:textId="77777777" w:rsidR="00A71EEF" w:rsidRDefault="0081115D">
      <w:pPr>
        <w:pStyle w:val="a3"/>
        <w:spacing w:line="446" w:lineRule="auto"/>
        <w:ind w:left="418" w:right="1817" w:firstLine="419"/>
      </w:pPr>
      <w:r>
        <w:t>系统试压过程中，当出现泄漏时，应停止试压，并应放空管网中的试验介质，消除缺陷后，应重新再试；</w:t>
      </w:r>
      <w:r>
        <w:t xml:space="preserve"> </w:t>
      </w:r>
    </w:p>
    <w:p w14:paraId="62F257E0" w14:textId="77777777" w:rsidR="00A71EEF" w:rsidRDefault="0081115D">
      <w:pPr>
        <w:pStyle w:val="a3"/>
        <w:spacing w:line="267" w:lineRule="exact"/>
        <w:ind w:left="838"/>
      </w:pPr>
      <w:r>
        <w:t>管网冲冼宜用水进行。冲洗前，应对系统的仪表采取保护措施；</w:t>
      </w:r>
      <w:r>
        <w:t xml:space="preserve"> </w:t>
      </w:r>
    </w:p>
    <w:p w14:paraId="06221F65" w14:textId="77777777" w:rsidR="00A71EEF" w:rsidRDefault="00A71EEF">
      <w:pPr>
        <w:pStyle w:val="a3"/>
        <w:spacing w:before="1"/>
        <w:rPr>
          <w:sz w:val="18"/>
        </w:rPr>
      </w:pPr>
    </w:p>
    <w:p w14:paraId="661B1232" w14:textId="77777777" w:rsidR="00A71EEF" w:rsidRDefault="0081115D">
      <w:pPr>
        <w:pStyle w:val="a3"/>
        <w:spacing w:before="1" w:line="446" w:lineRule="auto"/>
        <w:ind w:left="838" w:right="2554"/>
      </w:pPr>
      <w:r>
        <w:rPr>
          <w:spacing w:val="-3"/>
        </w:rPr>
        <w:t>冲洗前，应对管道防晃支架、支吊架等进行检查，必要时应采取加固措施；</w:t>
      </w:r>
      <w:r>
        <w:rPr>
          <w:spacing w:val="-3"/>
        </w:rPr>
        <w:t xml:space="preserve">  </w:t>
      </w:r>
      <w:r>
        <w:rPr>
          <w:spacing w:val="-3"/>
        </w:rPr>
        <w:t>对不能经受冲冼的设备和冲冼后可能存留脏物、杂物的管段，应进行清理；</w:t>
      </w:r>
      <w:r>
        <w:rPr>
          <w:spacing w:val="-3"/>
        </w:rPr>
        <w:t xml:space="preserve">  </w:t>
      </w:r>
      <w:r>
        <w:rPr>
          <w:spacing w:val="-8"/>
        </w:rPr>
        <w:t>冲洗管道直径大于</w:t>
      </w:r>
      <w:r>
        <w:rPr>
          <w:spacing w:val="-8"/>
        </w:rPr>
        <w:t xml:space="preserve"> </w:t>
      </w:r>
      <w:r>
        <w:t>DN100</w:t>
      </w:r>
      <w:r>
        <w:rPr>
          <w:spacing w:val="-8"/>
        </w:rPr>
        <w:t xml:space="preserve"> </w:t>
      </w:r>
      <w:r>
        <w:rPr>
          <w:spacing w:val="-8"/>
        </w:rPr>
        <w:t>时，应对其死角和底部进行振动，但不应损伤管道；</w:t>
      </w:r>
      <w:r>
        <w:rPr>
          <w:spacing w:val="-8"/>
        </w:rPr>
        <w:t xml:space="preserve"> </w:t>
      </w:r>
      <w:r>
        <w:rPr>
          <w:spacing w:val="-9"/>
        </w:rPr>
        <w:t>管网冲洗合格后，应按本规范表</w:t>
      </w:r>
      <w:r>
        <w:rPr>
          <w:spacing w:val="-9"/>
        </w:rPr>
        <w:t xml:space="preserve"> </w:t>
      </w:r>
      <w:r>
        <w:t>C.0.3</w:t>
      </w:r>
      <w:r>
        <w:rPr>
          <w:spacing w:val="-9"/>
        </w:rPr>
        <w:t xml:space="preserve"> </w:t>
      </w:r>
      <w:r>
        <w:rPr>
          <w:spacing w:val="-9"/>
        </w:rPr>
        <w:t>的要求填写记录；</w:t>
      </w:r>
      <w:r>
        <w:t xml:space="preserve"> </w:t>
      </w:r>
    </w:p>
    <w:p w14:paraId="37960452" w14:textId="77777777" w:rsidR="00A71EEF" w:rsidRDefault="0081115D">
      <w:pPr>
        <w:pStyle w:val="a3"/>
        <w:spacing w:line="446" w:lineRule="auto"/>
        <w:ind w:left="838" w:right="1925"/>
      </w:pPr>
      <w:r>
        <w:rPr>
          <w:spacing w:val="-3"/>
        </w:rPr>
        <w:t>水压试验和水冲洗宜采用生活用水进行，不应使用海水或含有腐蚀性化学物质的水。</w:t>
      </w:r>
      <w:r>
        <w:rPr>
          <w:spacing w:val="-3"/>
        </w:rPr>
        <w:t>检查数量：全数检查。</w:t>
      </w:r>
      <w:r>
        <w:t xml:space="preserve"> </w:t>
      </w:r>
    </w:p>
    <w:p w14:paraId="113096CF" w14:textId="77777777" w:rsidR="00A71EEF" w:rsidRDefault="0081115D">
      <w:pPr>
        <w:pStyle w:val="a3"/>
        <w:ind w:left="838"/>
      </w:pPr>
      <w:r>
        <w:rPr>
          <w:spacing w:val="-3"/>
        </w:rPr>
        <w:t>检查方法：直观检查。</w:t>
      </w:r>
      <w:r>
        <w:t xml:space="preserve"> </w:t>
      </w:r>
    </w:p>
    <w:p w14:paraId="10162E96" w14:textId="77777777" w:rsidR="00A71EEF" w:rsidRDefault="00A71EEF">
      <w:pPr>
        <w:pStyle w:val="a3"/>
        <w:spacing w:before="10"/>
        <w:rPr>
          <w:sz w:val="17"/>
        </w:rPr>
      </w:pPr>
    </w:p>
    <w:p w14:paraId="3E05EA7D" w14:textId="77777777" w:rsidR="00A71EEF" w:rsidRDefault="0081115D">
      <w:pPr>
        <w:pStyle w:val="a4"/>
        <w:numPr>
          <w:ilvl w:val="2"/>
          <w:numId w:val="226"/>
        </w:numPr>
        <w:tabs>
          <w:tab w:val="left" w:pos="1530"/>
        </w:tabs>
        <w:spacing w:line="446" w:lineRule="auto"/>
        <w:ind w:right="3445" w:firstLine="2"/>
        <w:rPr>
          <w:sz w:val="21"/>
        </w:rPr>
      </w:pPr>
      <w:r>
        <w:rPr>
          <w:spacing w:val="-6"/>
          <w:sz w:val="21"/>
        </w:rPr>
        <w:t>压力管道水压强度试验的试验压力应符合表</w:t>
      </w:r>
      <w:r>
        <w:rPr>
          <w:spacing w:val="-6"/>
          <w:sz w:val="21"/>
        </w:rPr>
        <w:t xml:space="preserve"> </w:t>
      </w:r>
      <w:r>
        <w:rPr>
          <w:sz w:val="21"/>
        </w:rPr>
        <w:t>12.4.2</w:t>
      </w:r>
      <w:r>
        <w:rPr>
          <w:spacing w:val="-12"/>
          <w:sz w:val="21"/>
        </w:rPr>
        <w:t xml:space="preserve"> </w:t>
      </w:r>
      <w:r>
        <w:rPr>
          <w:spacing w:val="-12"/>
          <w:sz w:val="21"/>
        </w:rPr>
        <w:t>的规定。</w:t>
      </w:r>
      <w:r>
        <w:rPr>
          <w:spacing w:val="-3"/>
          <w:sz w:val="21"/>
        </w:rPr>
        <w:t>检查数量：全数检查。</w:t>
      </w:r>
      <w:r>
        <w:rPr>
          <w:sz w:val="21"/>
        </w:rPr>
        <w:t xml:space="preserve"> </w:t>
      </w:r>
    </w:p>
    <w:p w14:paraId="04018785" w14:textId="77777777" w:rsidR="00A71EEF" w:rsidRDefault="0081115D">
      <w:pPr>
        <w:pStyle w:val="a3"/>
        <w:ind w:left="838"/>
      </w:pPr>
      <w:r>
        <w:t>检查方法：直观检查。</w:t>
      </w:r>
      <w:r>
        <w:t xml:space="preserve"> </w:t>
      </w:r>
    </w:p>
    <w:p w14:paraId="49B89F14" w14:textId="77777777" w:rsidR="00A71EEF" w:rsidRDefault="00A71EEF">
      <w:pPr>
        <w:pStyle w:val="a3"/>
        <w:spacing w:before="12"/>
        <w:rPr>
          <w:sz w:val="17"/>
        </w:rPr>
      </w:pPr>
    </w:p>
    <w:p w14:paraId="4ABBB116" w14:textId="77777777" w:rsidR="00A71EEF" w:rsidRDefault="0081115D">
      <w:pPr>
        <w:pStyle w:val="6"/>
        <w:ind w:left="2941"/>
        <w:rPr>
          <w:b w:val="0"/>
        </w:rPr>
      </w:pPr>
      <w:r>
        <w:t>表</w:t>
      </w:r>
      <w:r>
        <w:t xml:space="preserve"> 12.4.2 </w:t>
      </w:r>
      <w:r>
        <w:t>压力管道水压强度试验的试验压力</w:t>
      </w:r>
      <w:r>
        <w:rPr>
          <w:b w:val="0"/>
        </w:rPr>
        <w:t xml:space="preserve"> </w:t>
      </w:r>
    </w:p>
    <w:p w14:paraId="1D856546" w14:textId="77777777" w:rsidR="00A71EEF" w:rsidRDefault="00A71EEF">
      <w:pPr>
        <w:sectPr w:rsidR="00A71EEF">
          <w:footerReference w:type="default" r:id="rId410"/>
          <w:pgSz w:w="11910" w:h="16850"/>
          <w:pgMar w:top="1220" w:right="0" w:bottom="1420" w:left="1260" w:header="0" w:footer="1239" w:gutter="0"/>
          <w:pgNumType w:start="1380"/>
          <w:cols w:space="720"/>
        </w:sectPr>
      </w:pPr>
    </w:p>
    <w:p w14:paraId="218ADE76" w14:textId="77777777" w:rsidR="00A71EEF" w:rsidRDefault="0081115D">
      <w:pPr>
        <w:pStyle w:val="a3"/>
        <w:ind w:left="582"/>
        <w:rPr>
          <w:sz w:val="20"/>
        </w:rPr>
      </w:pPr>
      <w:r>
        <w:rPr>
          <w:noProof/>
          <w:sz w:val="20"/>
        </w:rPr>
        <w:drawing>
          <wp:inline distT="0" distB="0" distL="0" distR="0" wp14:anchorId="27AAE253" wp14:editId="61B95F0B">
            <wp:extent cx="4996814" cy="1962150"/>
            <wp:effectExtent l="0" t="0" r="0" b="0"/>
            <wp:docPr id="599" name="image3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image346.jpeg"/>
                    <pic:cNvPicPr/>
                  </pic:nvPicPr>
                  <pic:blipFill>
                    <a:blip r:embed="rId411" cstate="print"/>
                    <a:stretch>
                      <a:fillRect/>
                    </a:stretch>
                  </pic:blipFill>
                  <pic:spPr>
                    <a:xfrm>
                      <a:off x="0" y="0"/>
                      <a:ext cx="4996814" cy="1962150"/>
                    </a:xfrm>
                    <a:prstGeom prst="rect">
                      <a:avLst/>
                    </a:prstGeom>
                  </pic:spPr>
                </pic:pic>
              </a:graphicData>
            </a:graphic>
          </wp:inline>
        </w:drawing>
      </w:r>
    </w:p>
    <w:p w14:paraId="678518E6" w14:textId="77777777" w:rsidR="00A71EEF" w:rsidRDefault="00A71EEF">
      <w:pPr>
        <w:pStyle w:val="a3"/>
        <w:rPr>
          <w:sz w:val="9"/>
        </w:rPr>
      </w:pPr>
    </w:p>
    <w:p w14:paraId="78192D0E" w14:textId="77777777" w:rsidR="00A71EEF" w:rsidRDefault="0081115D">
      <w:pPr>
        <w:pStyle w:val="a4"/>
        <w:numPr>
          <w:ilvl w:val="2"/>
          <w:numId w:val="226"/>
        </w:numPr>
        <w:tabs>
          <w:tab w:val="left" w:pos="1530"/>
        </w:tabs>
        <w:spacing w:before="72" w:line="446" w:lineRule="auto"/>
        <w:ind w:left="418" w:right="1549" w:firstLine="422"/>
        <w:jc w:val="both"/>
        <w:rPr>
          <w:sz w:val="21"/>
        </w:rPr>
      </w:pPr>
      <w:r>
        <w:rPr>
          <w:spacing w:val="-3"/>
          <w:sz w:val="21"/>
        </w:rPr>
        <w:t>水压强度试验的测试点应设在系统管网的最低点。对管网注水时，应将管网内的空</w:t>
      </w:r>
      <w:r>
        <w:rPr>
          <w:spacing w:val="-5"/>
          <w:sz w:val="21"/>
        </w:rPr>
        <w:t>气排净，并应缓慢升压，达到试验压力后，稳压</w:t>
      </w:r>
      <w:r>
        <w:rPr>
          <w:spacing w:val="-5"/>
          <w:sz w:val="21"/>
        </w:rPr>
        <w:t xml:space="preserve"> </w:t>
      </w:r>
      <w:r>
        <w:rPr>
          <w:sz w:val="21"/>
        </w:rPr>
        <w:t>30min</w:t>
      </w:r>
      <w:r>
        <w:rPr>
          <w:spacing w:val="-8"/>
          <w:sz w:val="21"/>
        </w:rPr>
        <w:t xml:space="preserve"> </w:t>
      </w:r>
      <w:r>
        <w:rPr>
          <w:spacing w:val="-8"/>
          <w:sz w:val="21"/>
        </w:rPr>
        <w:t>后，管网应无泄漏、无变形，且压力降</w:t>
      </w:r>
      <w:r>
        <w:rPr>
          <w:spacing w:val="-5"/>
          <w:sz w:val="21"/>
        </w:rPr>
        <w:t>不应大于</w:t>
      </w:r>
      <w:r>
        <w:rPr>
          <w:spacing w:val="-5"/>
          <w:sz w:val="21"/>
        </w:rPr>
        <w:t xml:space="preserve"> </w:t>
      </w:r>
      <w:r>
        <w:rPr>
          <w:sz w:val="21"/>
        </w:rPr>
        <w:t>0.05MPa</w:t>
      </w:r>
      <w:r>
        <w:rPr>
          <w:spacing w:val="-3"/>
          <w:sz w:val="21"/>
        </w:rPr>
        <w:t>。</w:t>
      </w:r>
      <w:r>
        <w:rPr>
          <w:sz w:val="21"/>
        </w:rPr>
        <w:t xml:space="preserve"> </w:t>
      </w:r>
    </w:p>
    <w:p w14:paraId="78E27BCD" w14:textId="77777777" w:rsidR="00A71EEF" w:rsidRDefault="0081115D">
      <w:pPr>
        <w:pStyle w:val="a3"/>
        <w:spacing w:line="446" w:lineRule="auto"/>
        <w:ind w:left="838" w:right="7600"/>
      </w:pPr>
      <w:r>
        <w:t>检查数量：全数检查。检查方法：直观检查。</w:t>
      </w:r>
      <w:r>
        <w:t xml:space="preserve"> </w:t>
      </w:r>
    </w:p>
    <w:p w14:paraId="23B46248" w14:textId="77777777" w:rsidR="00A71EEF" w:rsidRDefault="0081115D">
      <w:pPr>
        <w:pStyle w:val="a4"/>
        <w:numPr>
          <w:ilvl w:val="2"/>
          <w:numId w:val="226"/>
        </w:numPr>
        <w:tabs>
          <w:tab w:val="left" w:pos="1530"/>
        </w:tabs>
        <w:spacing w:line="446" w:lineRule="auto"/>
        <w:ind w:left="418" w:right="1549" w:firstLine="422"/>
        <w:rPr>
          <w:sz w:val="21"/>
        </w:rPr>
      </w:pPr>
      <w:r>
        <w:rPr>
          <w:spacing w:val="-3"/>
          <w:sz w:val="21"/>
        </w:rPr>
        <w:t>水压严密性试验应在水压强度试验和管网冲洗合格后进行。试验压力应为系统工作</w:t>
      </w:r>
      <w:r>
        <w:rPr>
          <w:spacing w:val="-12"/>
          <w:sz w:val="21"/>
        </w:rPr>
        <w:t>压力，稳压</w:t>
      </w:r>
      <w:r>
        <w:rPr>
          <w:spacing w:val="-12"/>
          <w:sz w:val="21"/>
        </w:rPr>
        <w:t xml:space="preserve"> </w:t>
      </w:r>
      <w:r>
        <w:rPr>
          <w:sz w:val="21"/>
        </w:rPr>
        <w:t>24h</w:t>
      </w:r>
      <w:r>
        <w:rPr>
          <w:spacing w:val="-3"/>
          <w:sz w:val="21"/>
        </w:rPr>
        <w:t>，应无泄漏。</w:t>
      </w:r>
      <w:r>
        <w:rPr>
          <w:spacing w:val="-3"/>
          <w:sz w:val="21"/>
        </w:rPr>
        <w:t xml:space="preserve"> </w:t>
      </w:r>
    </w:p>
    <w:p w14:paraId="5A2B32E8" w14:textId="77777777" w:rsidR="00A71EEF" w:rsidRDefault="0081115D">
      <w:pPr>
        <w:pStyle w:val="a3"/>
        <w:spacing w:line="446" w:lineRule="auto"/>
        <w:ind w:left="838" w:right="7600"/>
      </w:pPr>
      <w:r>
        <w:t>检查数量：全数检查。检查方法：直观检查。</w:t>
      </w:r>
      <w:r>
        <w:t xml:space="preserve"> </w:t>
      </w:r>
    </w:p>
    <w:p w14:paraId="464CC473" w14:textId="77777777" w:rsidR="00A71EEF" w:rsidRDefault="0081115D">
      <w:pPr>
        <w:pStyle w:val="a4"/>
        <w:numPr>
          <w:ilvl w:val="2"/>
          <w:numId w:val="226"/>
        </w:numPr>
        <w:tabs>
          <w:tab w:val="left" w:pos="1530"/>
        </w:tabs>
        <w:ind w:left="1529" w:hanging="690"/>
        <w:rPr>
          <w:sz w:val="21"/>
        </w:rPr>
      </w:pPr>
      <w:r>
        <w:rPr>
          <w:spacing w:val="-7"/>
          <w:sz w:val="21"/>
        </w:rPr>
        <w:t>水压试验时环境温度不宜低于</w:t>
      </w:r>
      <w:r>
        <w:rPr>
          <w:spacing w:val="-7"/>
          <w:sz w:val="21"/>
        </w:rPr>
        <w:t xml:space="preserve"> </w:t>
      </w:r>
      <w:r>
        <w:rPr>
          <w:sz w:val="21"/>
        </w:rPr>
        <w:t>5</w:t>
      </w:r>
      <w:r>
        <w:rPr>
          <w:spacing w:val="-10"/>
          <w:sz w:val="21"/>
        </w:rPr>
        <w:t>℃</w:t>
      </w:r>
      <w:r>
        <w:rPr>
          <w:spacing w:val="-10"/>
          <w:sz w:val="21"/>
        </w:rPr>
        <w:t>，当低于</w:t>
      </w:r>
      <w:r>
        <w:rPr>
          <w:spacing w:val="-10"/>
          <w:sz w:val="21"/>
        </w:rPr>
        <w:t xml:space="preserve"> </w:t>
      </w:r>
      <w:r>
        <w:rPr>
          <w:sz w:val="21"/>
        </w:rPr>
        <w:t>5</w:t>
      </w:r>
      <w:r>
        <w:rPr>
          <w:spacing w:val="-3"/>
          <w:sz w:val="21"/>
        </w:rPr>
        <w:t>℃</w:t>
      </w:r>
      <w:r>
        <w:rPr>
          <w:spacing w:val="-3"/>
          <w:sz w:val="21"/>
        </w:rPr>
        <w:t>时，水压试验应采取防冻措施。</w:t>
      </w:r>
      <w:r>
        <w:rPr>
          <w:sz w:val="21"/>
        </w:rPr>
        <w:t xml:space="preserve"> </w:t>
      </w:r>
    </w:p>
    <w:p w14:paraId="0A194546" w14:textId="77777777" w:rsidR="00A71EEF" w:rsidRDefault="00A71EEF">
      <w:pPr>
        <w:pStyle w:val="a3"/>
        <w:spacing w:before="9"/>
        <w:rPr>
          <w:sz w:val="17"/>
        </w:rPr>
      </w:pPr>
    </w:p>
    <w:p w14:paraId="06834B93" w14:textId="77777777" w:rsidR="00A71EEF" w:rsidRDefault="0081115D">
      <w:pPr>
        <w:pStyle w:val="a3"/>
        <w:ind w:left="838"/>
      </w:pPr>
      <w:r>
        <w:t>检查数量：全数检查。</w:t>
      </w:r>
      <w:r>
        <w:t xml:space="preserve"> </w:t>
      </w:r>
    </w:p>
    <w:p w14:paraId="75F70244" w14:textId="77777777" w:rsidR="00A71EEF" w:rsidRDefault="00A71EEF">
      <w:pPr>
        <w:pStyle w:val="a3"/>
        <w:rPr>
          <w:sz w:val="18"/>
        </w:rPr>
      </w:pPr>
    </w:p>
    <w:p w14:paraId="201EEFEE" w14:textId="77777777" w:rsidR="00A71EEF" w:rsidRDefault="0081115D">
      <w:pPr>
        <w:pStyle w:val="a3"/>
        <w:ind w:left="838"/>
      </w:pPr>
      <w:r>
        <w:t>检查方法：用温度计检查。</w:t>
      </w:r>
      <w:r>
        <w:t xml:space="preserve"> </w:t>
      </w:r>
    </w:p>
    <w:p w14:paraId="5DE72F70" w14:textId="77777777" w:rsidR="00A71EEF" w:rsidRDefault="00A71EEF">
      <w:pPr>
        <w:pStyle w:val="a3"/>
        <w:spacing w:before="1"/>
        <w:rPr>
          <w:sz w:val="18"/>
        </w:rPr>
      </w:pPr>
    </w:p>
    <w:p w14:paraId="0913BB73" w14:textId="77777777" w:rsidR="00A71EEF" w:rsidRDefault="0081115D">
      <w:pPr>
        <w:pStyle w:val="a4"/>
        <w:numPr>
          <w:ilvl w:val="2"/>
          <w:numId w:val="226"/>
        </w:numPr>
        <w:tabs>
          <w:tab w:val="left" w:pos="1530"/>
        </w:tabs>
        <w:spacing w:before="1" w:line="446" w:lineRule="auto"/>
        <w:ind w:left="418" w:right="1549" w:firstLine="422"/>
        <w:rPr>
          <w:sz w:val="21"/>
        </w:rPr>
      </w:pPr>
      <w:r>
        <w:rPr>
          <w:spacing w:val="-3"/>
          <w:sz w:val="21"/>
        </w:rPr>
        <w:t>消防给水系统的水源干管、进户管和室内埋地管道应在回填前单独或与系统同时进行水压强度试验和水压严密性试验。</w:t>
      </w:r>
      <w:r>
        <w:rPr>
          <w:sz w:val="21"/>
        </w:rPr>
        <w:t xml:space="preserve"> </w:t>
      </w:r>
    </w:p>
    <w:p w14:paraId="550AE37F" w14:textId="77777777" w:rsidR="00A71EEF" w:rsidRDefault="0081115D">
      <w:pPr>
        <w:pStyle w:val="a3"/>
        <w:spacing w:line="267" w:lineRule="exact"/>
        <w:ind w:left="838"/>
      </w:pPr>
      <w:r>
        <w:t>检查数量：全数检查。</w:t>
      </w:r>
      <w:r>
        <w:t xml:space="preserve"> </w:t>
      </w:r>
    </w:p>
    <w:p w14:paraId="1DC66C3C" w14:textId="77777777" w:rsidR="00A71EEF" w:rsidRDefault="00A71EEF">
      <w:pPr>
        <w:pStyle w:val="a3"/>
        <w:spacing w:before="1"/>
        <w:rPr>
          <w:sz w:val="18"/>
        </w:rPr>
      </w:pPr>
    </w:p>
    <w:p w14:paraId="6032FF41" w14:textId="77777777" w:rsidR="00A71EEF" w:rsidRDefault="0081115D">
      <w:pPr>
        <w:pStyle w:val="a3"/>
        <w:spacing w:before="1"/>
        <w:ind w:left="838"/>
      </w:pPr>
      <w:r>
        <w:t>检查方法：观察和检查水压强度试验和水压严密性试验记录。</w:t>
      </w:r>
      <w:r>
        <w:t xml:space="preserve"> </w:t>
      </w:r>
    </w:p>
    <w:p w14:paraId="1F774911" w14:textId="77777777" w:rsidR="00A71EEF" w:rsidRDefault="00A71EEF">
      <w:pPr>
        <w:pStyle w:val="a3"/>
        <w:spacing w:before="12"/>
        <w:rPr>
          <w:sz w:val="17"/>
        </w:rPr>
      </w:pPr>
    </w:p>
    <w:p w14:paraId="3E3ACC98" w14:textId="77777777" w:rsidR="00A71EEF" w:rsidRDefault="0081115D">
      <w:pPr>
        <w:pStyle w:val="a4"/>
        <w:numPr>
          <w:ilvl w:val="2"/>
          <w:numId w:val="226"/>
        </w:numPr>
        <w:tabs>
          <w:tab w:val="left" w:pos="1530"/>
        </w:tabs>
        <w:spacing w:line="446" w:lineRule="auto"/>
        <w:ind w:left="418" w:right="1553" w:firstLine="422"/>
        <w:rPr>
          <w:sz w:val="21"/>
        </w:rPr>
      </w:pPr>
      <w:r>
        <w:rPr>
          <w:spacing w:val="-5"/>
          <w:sz w:val="21"/>
        </w:rPr>
        <w:t>气压严密性试验的介质宜采用空气或氮气，试验压力应为</w:t>
      </w:r>
      <w:r>
        <w:rPr>
          <w:spacing w:val="-5"/>
          <w:sz w:val="21"/>
        </w:rPr>
        <w:t xml:space="preserve"> </w:t>
      </w:r>
      <w:r>
        <w:rPr>
          <w:sz w:val="21"/>
        </w:rPr>
        <w:t>0.28MPa</w:t>
      </w:r>
      <w:r>
        <w:rPr>
          <w:spacing w:val="-10"/>
          <w:sz w:val="21"/>
        </w:rPr>
        <w:t>,</w:t>
      </w:r>
      <w:r>
        <w:rPr>
          <w:spacing w:val="-10"/>
          <w:sz w:val="21"/>
        </w:rPr>
        <w:t>且稳压</w:t>
      </w:r>
      <w:r>
        <w:rPr>
          <w:spacing w:val="-10"/>
          <w:sz w:val="21"/>
        </w:rPr>
        <w:t xml:space="preserve"> </w:t>
      </w:r>
      <w:r>
        <w:rPr>
          <w:sz w:val="21"/>
        </w:rPr>
        <w:t>24h</w:t>
      </w:r>
      <w:r>
        <w:rPr>
          <w:spacing w:val="-2"/>
          <w:sz w:val="21"/>
        </w:rPr>
        <w:t>，压</w:t>
      </w:r>
      <w:r>
        <w:rPr>
          <w:spacing w:val="-10"/>
          <w:sz w:val="21"/>
        </w:rPr>
        <w:t>力降不应大于</w:t>
      </w:r>
      <w:r>
        <w:rPr>
          <w:spacing w:val="-10"/>
          <w:sz w:val="21"/>
        </w:rPr>
        <w:t xml:space="preserve"> </w:t>
      </w:r>
      <w:r>
        <w:rPr>
          <w:sz w:val="21"/>
        </w:rPr>
        <w:t>0.01MPa</w:t>
      </w:r>
      <w:r>
        <w:rPr>
          <w:sz w:val="21"/>
        </w:rPr>
        <w:t>。</w:t>
      </w:r>
      <w:r>
        <w:rPr>
          <w:sz w:val="21"/>
        </w:rPr>
        <w:t xml:space="preserve"> </w:t>
      </w:r>
    </w:p>
    <w:p w14:paraId="70C7BEA1" w14:textId="77777777" w:rsidR="00A71EEF" w:rsidRDefault="0081115D">
      <w:pPr>
        <w:pStyle w:val="a3"/>
        <w:spacing w:line="446" w:lineRule="auto"/>
        <w:ind w:left="838" w:right="7600"/>
      </w:pPr>
      <w:r>
        <w:t>检查数量：全数检查。检查方法：直观检查。</w:t>
      </w:r>
      <w:r>
        <w:t xml:space="preserve"> </w:t>
      </w:r>
    </w:p>
    <w:p w14:paraId="39E91768" w14:textId="77777777" w:rsidR="00A71EEF" w:rsidRDefault="0081115D">
      <w:pPr>
        <w:pStyle w:val="a4"/>
        <w:numPr>
          <w:ilvl w:val="2"/>
          <w:numId w:val="226"/>
        </w:numPr>
        <w:tabs>
          <w:tab w:val="left" w:pos="1530"/>
        </w:tabs>
        <w:spacing w:line="446" w:lineRule="auto"/>
        <w:ind w:left="418" w:right="1758" w:firstLine="422"/>
        <w:rPr>
          <w:sz w:val="21"/>
        </w:rPr>
      </w:pPr>
      <w:r>
        <w:rPr>
          <w:spacing w:val="-3"/>
          <w:sz w:val="21"/>
        </w:rPr>
        <w:t>管网冲洗的水流流速、流量不应小于系统设计的水流流速、流量；管网冲洗宜分区、分段进行；水平管网冲洗时，其排水管位置应低于冲洗管网。</w:t>
      </w:r>
      <w:r>
        <w:rPr>
          <w:sz w:val="21"/>
        </w:rPr>
        <w:t xml:space="preserve"> </w:t>
      </w:r>
    </w:p>
    <w:p w14:paraId="3E33C06E" w14:textId="77777777" w:rsidR="00A71EEF" w:rsidRDefault="00A71EEF">
      <w:pPr>
        <w:spacing w:line="446" w:lineRule="auto"/>
        <w:rPr>
          <w:sz w:val="21"/>
        </w:rPr>
        <w:sectPr w:rsidR="00A71EEF">
          <w:pgSz w:w="11910" w:h="16850"/>
          <w:pgMar w:top="1120" w:right="0" w:bottom="1420" w:left="1260" w:header="0" w:footer="1239" w:gutter="0"/>
          <w:cols w:space="720"/>
        </w:sectPr>
      </w:pPr>
    </w:p>
    <w:p w14:paraId="626A1905" w14:textId="77777777" w:rsidR="00A71EEF" w:rsidRDefault="0081115D">
      <w:pPr>
        <w:pStyle w:val="a3"/>
        <w:spacing w:before="47"/>
        <w:ind w:left="838"/>
      </w:pPr>
      <w:r>
        <w:t>检查数量：全数检查。</w:t>
      </w:r>
      <w:r>
        <w:t xml:space="preserve"> </w:t>
      </w:r>
    </w:p>
    <w:p w14:paraId="1B4EC596" w14:textId="77777777" w:rsidR="00A71EEF" w:rsidRDefault="00A71EEF">
      <w:pPr>
        <w:pStyle w:val="a3"/>
        <w:rPr>
          <w:sz w:val="18"/>
        </w:rPr>
      </w:pPr>
    </w:p>
    <w:p w14:paraId="37FECD21" w14:textId="77777777" w:rsidR="00A71EEF" w:rsidRDefault="0081115D">
      <w:pPr>
        <w:pStyle w:val="a3"/>
        <w:ind w:left="838"/>
      </w:pPr>
      <w:r>
        <w:t>检查方法：使用流量计和直观检查。</w:t>
      </w:r>
      <w:r>
        <w:t xml:space="preserve"> </w:t>
      </w:r>
    </w:p>
    <w:p w14:paraId="45104953" w14:textId="77777777" w:rsidR="00A71EEF" w:rsidRDefault="00A71EEF">
      <w:pPr>
        <w:pStyle w:val="a3"/>
        <w:rPr>
          <w:sz w:val="18"/>
        </w:rPr>
      </w:pPr>
    </w:p>
    <w:p w14:paraId="1CD9C2EE" w14:textId="77777777" w:rsidR="00A71EEF" w:rsidRDefault="0081115D">
      <w:pPr>
        <w:pStyle w:val="a4"/>
        <w:numPr>
          <w:ilvl w:val="2"/>
          <w:numId w:val="226"/>
        </w:numPr>
        <w:tabs>
          <w:tab w:val="left" w:pos="1530"/>
        </w:tabs>
        <w:spacing w:line="446" w:lineRule="auto"/>
        <w:ind w:right="3966" w:firstLine="2"/>
        <w:rPr>
          <w:sz w:val="21"/>
        </w:rPr>
      </w:pPr>
      <w:r>
        <w:rPr>
          <w:spacing w:val="-3"/>
          <w:sz w:val="21"/>
        </w:rPr>
        <w:t>管网冲洗的水流方向应与灭火时管网的水流方向一致。检查数量：全数检查。</w:t>
      </w:r>
      <w:r>
        <w:rPr>
          <w:sz w:val="21"/>
        </w:rPr>
        <w:t xml:space="preserve"> </w:t>
      </w:r>
    </w:p>
    <w:p w14:paraId="6917ECC4" w14:textId="77777777" w:rsidR="00A71EEF" w:rsidRDefault="0081115D">
      <w:pPr>
        <w:pStyle w:val="a3"/>
        <w:ind w:left="838"/>
      </w:pPr>
      <w:r>
        <w:t>检查方法：直观检查。</w:t>
      </w:r>
      <w:r>
        <w:t xml:space="preserve"> </w:t>
      </w:r>
    </w:p>
    <w:p w14:paraId="55E2FFE8" w14:textId="77777777" w:rsidR="00A71EEF" w:rsidRDefault="00A71EEF">
      <w:pPr>
        <w:pStyle w:val="a3"/>
        <w:spacing w:before="12"/>
        <w:rPr>
          <w:sz w:val="17"/>
        </w:rPr>
      </w:pPr>
    </w:p>
    <w:p w14:paraId="008045EB" w14:textId="77777777" w:rsidR="00A71EEF" w:rsidRDefault="0081115D">
      <w:pPr>
        <w:pStyle w:val="a4"/>
        <w:numPr>
          <w:ilvl w:val="2"/>
          <w:numId w:val="226"/>
        </w:numPr>
        <w:tabs>
          <w:tab w:val="left" w:pos="1635"/>
        </w:tabs>
        <w:spacing w:line="446" w:lineRule="auto"/>
        <w:ind w:left="418" w:right="1443" w:firstLine="422"/>
        <w:rPr>
          <w:sz w:val="21"/>
        </w:rPr>
      </w:pPr>
      <w:r>
        <w:rPr>
          <w:spacing w:val="-3"/>
          <w:sz w:val="21"/>
        </w:rPr>
        <w:t>管网冲洗应连续进行。当出口处水的颜色、透明度与入口处水的颜色、透明度基本一致时，冲洗可结束。</w:t>
      </w:r>
      <w:r>
        <w:rPr>
          <w:sz w:val="21"/>
        </w:rPr>
        <w:t xml:space="preserve"> </w:t>
      </w:r>
    </w:p>
    <w:p w14:paraId="54070BA8" w14:textId="77777777" w:rsidR="00A71EEF" w:rsidRDefault="0081115D">
      <w:pPr>
        <w:pStyle w:val="a3"/>
        <w:spacing w:line="446" w:lineRule="auto"/>
        <w:ind w:left="838" w:right="7600"/>
      </w:pPr>
      <w:r>
        <w:t>检查数量：全数检查。检查方法：直观检查。</w:t>
      </w:r>
      <w:r>
        <w:t xml:space="preserve"> </w:t>
      </w:r>
    </w:p>
    <w:p w14:paraId="2D570A38" w14:textId="77777777" w:rsidR="00A71EEF" w:rsidRDefault="0081115D">
      <w:pPr>
        <w:pStyle w:val="a4"/>
        <w:numPr>
          <w:ilvl w:val="2"/>
          <w:numId w:val="226"/>
        </w:numPr>
        <w:tabs>
          <w:tab w:val="left" w:pos="1635"/>
        </w:tabs>
        <w:spacing w:line="446" w:lineRule="auto"/>
        <w:ind w:left="418" w:right="1443" w:firstLine="422"/>
        <w:rPr>
          <w:sz w:val="21"/>
        </w:rPr>
      </w:pPr>
      <w:r>
        <w:rPr>
          <w:spacing w:val="-3"/>
          <w:sz w:val="21"/>
        </w:rPr>
        <w:t>管网冲洗宜设临时专用排水管道，其排放应畅通和安全。排水管道的截面面积不应</w:t>
      </w:r>
      <w:r>
        <w:rPr>
          <w:spacing w:val="-7"/>
          <w:sz w:val="21"/>
        </w:rPr>
        <w:t>小于被冲洗管道截面面积的</w:t>
      </w:r>
      <w:r>
        <w:rPr>
          <w:spacing w:val="-7"/>
          <w:sz w:val="21"/>
        </w:rPr>
        <w:t xml:space="preserve"> </w:t>
      </w:r>
      <w:r>
        <w:rPr>
          <w:sz w:val="21"/>
        </w:rPr>
        <w:t>60</w:t>
      </w:r>
      <w:r>
        <w:rPr>
          <w:spacing w:val="-2"/>
          <w:sz w:val="21"/>
        </w:rPr>
        <w:t>%</w:t>
      </w:r>
      <w:r>
        <w:rPr>
          <w:spacing w:val="-2"/>
          <w:sz w:val="21"/>
        </w:rPr>
        <w:t>。</w:t>
      </w:r>
      <w:r>
        <w:rPr>
          <w:sz w:val="21"/>
        </w:rPr>
        <w:t xml:space="preserve"> </w:t>
      </w:r>
    </w:p>
    <w:p w14:paraId="7F2FD1A5" w14:textId="77777777" w:rsidR="00A71EEF" w:rsidRDefault="0081115D">
      <w:pPr>
        <w:pStyle w:val="a3"/>
        <w:spacing w:line="267" w:lineRule="exact"/>
        <w:ind w:left="838"/>
      </w:pPr>
      <w:r>
        <w:t>检查数量：全数检查。</w:t>
      </w:r>
      <w:r>
        <w:t xml:space="preserve"> </w:t>
      </w:r>
    </w:p>
    <w:p w14:paraId="688A95D5" w14:textId="77777777" w:rsidR="00A71EEF" w:rsidRDefault="00A71EEF">
      <w:pPr>
        <w:pStyle w:val="a3"/>
        <w:spacing w:before="2"/>
        <w:rPr>
          <w:sz w:val="18"/>
        </w:rPr>
      </w:pPr>
    </w:p>
    <w:p w14:paraId="27A305FD" w14:textId="77777777" w:rsidR="00A71EEF" w:rsidRDefault="0081115D">
      <w:pPr>
        <w:pStyle w:val="a3"/>
        <w:ind w:left="838"/>
      </w:pPr>
      <w:r>
        <w:t>检查方法：直观和尺量、试水检查。</w:t>
      </w:r>
      <w:r>
        <w:t xml:space="preserve"> </w:t>
      </w:r>
    </w:p>
    <w:p w14:paraId="34298D2F" w14:textId="77777777" w:rsidR="00A71EEF" w:rsidRDefault="00A71EEF">
      <w:pPr>
        <w:pStyle w:val="a3"/>
        <w:rPr>
          <w:sz w:val="18"/>
        </w:rPr>
      </w:pPr>
    </w:p>
    <w:p w14:paraId="391A087C" w14:textId="77777777" w:rsidR="00A71EEF" w:rsidRDefault="0081115D">
      <w:pPr>
        <w:pStyle w:val="a4"/>
        <w:numPr>
          <w:ilvl w:val="2"/>
          <w:numId w:val="226"/>
        </w:numPr>
        <w:tabs>
          <w:tab w:val="left" w:pos="1635"/>
        </w:tabs>
        <w:spacing w:line="446" w:lineRule="auto"/>
        <w:ind w:left="418" w:right="1443" w:firstLine="422"/>
        <w:rPr>
          <w:sz w:val="21"/>
        </w:rPr>
      </w:pPr>
      <w:r>
        <w:rPr>
          <w:spacing w:val="-3"/>
          <w:sz w:val="21"/>
        </w:rPr>
        <w:t>管网的地上管道与地下管道连接前，应在管道连接处加设堵头后，对地下管道进行冲洗。</w:t>
      </w:r>
      <w:r>
        <w:rPr>
          <w:sz w:val="21"/>
        </w:rPr>
        <w:t xml:space="preserve"> </w:t>
      </w:r>
    </w:p>
    <w:p w14:paraId="36C450AB" w14:textId="77777777" w:rsidR="00A71EEF" w:rsidRDefault="0081115D">
      <w:pPr>
        <w:pStyle w:val="a3"/>
        <w:spacing w:line="446" w:lineRule="auto"/>
        <w:ind w:left="838" w:right="7600"/>
      </w:pPr>
      <w:r>
        <w:t>检查数量：全数检查。检查方法：直观检查。</w:t>
      </w:r>
      <w:r>
        <w:t xml:space="preserve"> </w:t>
      </w:r>
    </w:p>
    <w:p w14:paraId="24577EDF" w14:textId="77777777" w:rsidR="00A71EEF" w:rsidRDefault="0081115D">
      <w:pPr>
        <w:pStyle w:val="a4"/>
        <w:numPr>
          <w:ilvl w:val="2"/>
          <w:numId w:val="226"/>
        </w:numPr>
        <w:tabs>
          <w:tab w:val="left" w:pos="1635"/>
        </w:tabs>
        <w:spacing w:line="446" w:lineRule="auto"/>
        <w:ind w:right="4703" w:firstLine="2"/>
        <w:rPr>
          <w:sz w:val="21"/>
        </w:rPr>
      </w:pPr>
      <w:r>
        <w:rPr>
          <w:spacing w:val="-3"/>
          <w:sz w:val="21"/>
        </w:rPr>
        <w:t>管网冲洗结束后，应将管网内的水排除干净。检查数量：全数检查。</w:t>
      </w:r>
      <w:r>
        <w:rPr>
          <w:sz w:val="21"/>
        </w:rPr>
        <w:t xml:space="preserve"> </w:t>
      </w:r>
    </w:p>
    <w:p w14:paraId="4BAB072E" w14:textId="77777777" w:rsidR="00A71EEF" w:rsidRDefault="0081115D">
      <w:pPr>
        <w:pStyle w:val="a3"/>
        <w:ind w:left="838"/>
      </w:pPr>
      <w:r>
        <w:t>检查方法：直观检查。</w:t>
      </w:r>
      <w:r>
        <w:t xml:space="preserve"> </w:t>
      </w:r>
    </w:p>
    <w:p w14:paraId="7B3F4533" w14:textId="77777777" w:rsidR="00A71EEF" w:rsidRDefault="00A71EEF">
      <w:pPr>
        <w:pStyle w:val="a3"/>
        <w:spacing w:before="10"/>
        <w:rPr>
          <w:sz w:val="17"/>
        </w:rPr>
      </w:pPr>
    </w:p>
    <w:p w14:paraId="454EBF65" w14:textId="77777777" w:rsidR="00A71EEF" w:rsidRDefault="0081115D">
      <w:pPr>
        <w:pStyle w:val="a4"/>
        <w:numPr>
          <w:ilvl w:val="2"/>
          <w:numId w:val="226"/>
        </w:numPr>
        <w:tabs>
          <w:tab w:val="left" w:pos="1635"/>
        </w:tabs>
        <w:spacing w:line="446" w:lineRule="auto"/>
        <w:ind w:right="1760" w:firstLine="2"/>
        <w:rPr>
          <w:sz w:val="21"/>
        </w:rPr>
      </w:pPr>
      <w:r>
        <w:rPr>
          <w:spacing w:val="-3"/>
          <w:sz w:val="21"/>
        </w:rPr>
        <w:t>干式消火栓系统管网冲洗结束，管网内水排除干净后，宜采用压缩空气吹干。检查数量：全数检查。</w:t>
      </w:r>
      <w:r>
        <w:rPr>
          <w:sz w:val="21"/>
        </w:rPr>
        <w:t xml:space="preserve"> </w:t>
      </w:r>
    </w:p>
    <w:p w14:paraId="791167EB" w14:textId="77777777" w:rsidR="00A71EEF" w:rsidRDefault="0081115D">
      <w:pPr>
        <w:pStyle w:val="a3"/>
        <w:ind w:left="838"/>
      </w:pPr>
      <w:r>
        <w:t>检查方法：直观检查。</w:t>
      </w:r>
      <w:r>
        <w:t xml:space="preserve"> </w:t>
      </w:r>
    </w:p>
    <w:p w14:paraId="2BCCA798" w14:textId="77777777" w:rsidR="00A71EEF" w:rsidRDefault="00A71EEF">
      <w:pPr>
        <w:pStyle w:val="a3"/>
        <w:spacing w:before="8"/>
        <w:rPr>
          <w:sz w:val="15"/>
        </w:rPr>
      </w:pPr>
    </w:p>
    <w:p w14:paraId="65464A8F" w14:textId="77777777" w:rsidR="00A71EEF" w:rsidRDefault="0081115D">
      <w:pPr>
        <w:pStyle w:val="4"/>
      </w:pPr>
      <w:r>
        <w:t xml:space="preserve">13 </w:t>
      </w:r>
      <w:r>
        <w:t>系统调试与验收</w:t>
      </w:r>
      <w:r>
        <w:rPr>
          <w:w w:val="99"/>
        </w:rPr>
        <w:t xml:space="preserve"> </w:t>
      </w:r>
    </w:p>
    <w:p w14:paraId="54A72FB5" w14:textId="77777777" w:rsidR="00A71EEF" w:rsidRDefault="00A71EEF">
      <w:pPr>
        <w:pStyle w:val="a3"/>
        <w:spacing w:before="6"/>
        <w:rPr>
          <w:b/>
          <w:sz w:val="17"/>
        </w:rPr>
      </w:pPr>
    </w:p>
    <w:p w14:paraId="2CDE11D7" w14:textId="77777777" w:rsidR="00A71EEF" w:rsidRDefault="0081115D">
      <w:pPr>
        <w:pStyle w:val="a4"/>
        <w:numPr>
          <w:ilvl w:val="1"/>
          <w:numId w:val="224"/>
        </w:numPr>
        <w:tabs>
          <w:tab w:val="left" w:pos="1264"/>
        </w:tabs>
        <w:rPr>
          <w:b/>
          <w:sz w:val="21"/>
        </w:rPr>
      </w:pPr>
      <w:r>
        <w:rPr>
          <w:spacing w:val="-3"/>
          <w:sz w:val="21"/>
        </w:rPr>
        <w:t>系统调试</w:t>
      </w:r>
      <w:r>
        <w:rPr>
          <w:b/>
          <w:w w:val="99"/>
          <w:sz w:val="21"/>
        </w:rPr>
        <w:t xml:space="preserve"> </w:t>
      </w:r>
    </w:p>
    <w:p w14:paraId="5E5F2BD6" w14:textId="77777777" w:rsidR="00A71EEF" w:rsidRDefault="00A71EEF">
      <w:pPr>
        <w:pStyle w:val="a3"/>
        <w:rPr>
          <w:b/>
          <w:sz w:val="18"/>
        </w:rPr>
      </w:pPr>
    </w:p>
    <w:p w14:paraId="04219C91" w14:textId="77777777" w:rsidR="00A71EEF" w:rsidRDefault="0081115D">
      <w:pPr>
        <w:pStyle w:val="a4"/>
        <w:numPr>
          <w:ilvl w:val="2"/>
          <w:numId w:val="224"/>
        </w:numPr>
        <w:tabs>
          <w:tab w:val="left" w:pos="1530"/>
        </w:tabs>
        <w:ind w:hanging="690"/>
        <w:rPr>
          <w:sz w:val="21"/>
        </w:rPr>
      </w:pPr>
      <w:r>
        <w:rPr>
          <w:spacing w:val="-3"/>
          <w:sz w:val="21"/>
        </w:rPr>
        <w:t>消防给水及消火栓系统调试应在系统施工完成后进行，并应具备下列条件：</w:t>
      </w:r>
      <w:r>
        <w:rPr>
          <w:spacing w:val="-3"/>
          <w:sz w:val="21"/>
        </w:rPr>
        <w:t xml:space="preserve"> </w:t>
      </w:r>
    </w:p>
    <w:p w14:paraId="188028C4" w14:textId="77777777" w:rsidR="00A71EEF" w:rsidRDefault="00A71EEF">
      <w:pPr>
        <w:pStyle w:val="a3"/>
        <w:rPr>
          <w:sz w:val="18"/>
        </w:rPr>
      </w:pPr>
    </w:p>
    <w:p w14:paraId="07A8A2A0" w14:textId="77777777" w:rsidR="00A71EEF" w:rsidRDefault="0081115D">
      <w:pPr>
        <w:pStyle w:val="a3"/>
        <w:spacing w:line="446" w:lineRule="auto"/>
        <w:ind w:left="418" w:right="1609" w:firstLine="419"/>
      </w:pPr>
      <w:r>
        <w:t>天然水源取水口、地下水井、消防水池、高位消防水池、高位消防水箱等蓄水和供水设施水位、出水量、已储水量等符合设计要求；</w:t>
      </w:r>
      <w:r>
        <w:t xml:space="preserve"> </w:t>
      </w:r>
    </w:p>
    <w:p w14:paraId="6B73892C" w14:textId="77777777" w:rsidR="00A71EEF" w:rsidRDefault="00A71EEF">
      <w:pPr>
        <w:spacing w:line="446" w:lineRule="auto"/>
        <w:sectPr w:rsidR="00A71EEF">
          <w:pgSz w:w="11910" w:h="16850"/>
          <w:pgMar w:top="1220" w:right="0" w:bottom="1420" w:left="1260" w:header="0" w:footer="1239" w:gutter="0"/>
          <w:cols w:space="720"/>
        </w:sectPr>
      </w:pPr>
    </w:p>
    <w:p w14:paraId="4A624DE7" w14:textId="77777777" w:rsidR="00A71EEF" w:rsidRDefault="0081115D">
      <w:pPr>
        <w:pStyle w:val="a3"/>
        <w:spacing w:before="47"/>
        <w:ind w:left="838"/>
      </w:pPr>
      <w:r>
        <w:t>消防水泵、稳压泵和稳压设施等处于准工作状态；</w:t>
      </w:r>
      <w:r>
        <w:t xml:space="preserve"> </w:t>
      </w:r>
    </w:p>
    <w:p w14:paraId="38536691" w14:textId="77777777" w:rsidR="00A71EEF" w:rsidRDefault="00A71EEF">
      <w:pPr>
        <w:pStyle w:val="a3"/>
        <w:rPr>
          <w:sz w:val="18"/>
        </w:rPr>
      </w:pPr>
    </w:p>
    <w:p w14:paraId="7292A5BC" w14:textId="77777777" w:rsidR="00A71EEF" w:rsidRDefault="0081115D">
      <w:pPr>
        <w:pStyle w:val="a3"/>
        <w:spacing w:line="446" w:lineRule="auto"/>
        <w:ind w:left="838" w:right="4446"/>
      </w:pPr>
      <w:r>
        <w:t>系统供电正常，若柴油机泵油箱应充满油并能正常工作；</w:t>
      </w:r>
      <w:r>
        <w:t xml:space="preserve"> </w:t>
      </w:r>
      <w:r>
        <w:t>消防给水系统管网内已经充满水；</w:t>
      </w:r>
      <w:r>
        <w:t xml:space="preserve"> </w:t>
      </w:r>
    </w:p>
    <w:p w14:paraId="7EED0E0F" w14:textId="77777777" w:rsidR="00A71EEF" w:rsidRDefault="0081115D">
      <w:pPr>
        <w:pStyle w:val="a3"/>
        <w:spacing w:line="446" w:lineRule="auto"/>
        <w:ind w:left="418" w:right="1817" w:firstLine="419"/>
      </w:pPr>
      <w:r>
        <w:t>湿式消火栓系统管网内已充满水，手动干式、干式消火栓系统管网内的气压符合设计要求；</w:t>
      </w:r>
      <w:r>
        <w:t xml:space="preserve"> </w:t>
      </w:r>
    </w:p>
    <w:p w14:paraId="674163E3" w14:textId="77777777" w:rsidR="00A71EEF" w:rsidRDefault="0081115D">
      <w:pPr>
        <w:pStyle w:val="a3"/>
        <w:spacing w:line="267" w:lineRule="exact"/>
        <w:ind w:left="838"/>
      </w:pPr>
      <w:r>
        <w:t>系统自动控制处于准工作状态；</w:t>
      </w:r>
      <w:r>
        <w:t xml:space="preserve"> </w:t>
      </w:r>
    </w:p>
    <w:p w14:paraId="52A1E0D8" w14:textId="77777777" w:rsidR="00A71EEF" w:rsidRDefault="00A71EEF">
      <w:pPr>
        <w:pStyle w:val="a3"/>
        <w:spacing w:before="2"/>
        <w:rPr>
          <w:sz w:val="18"/>
        </w:rPr>
      </w:pPr>
    </w:p>
    <w:p w14:paraId="273B8F18" w14:textId="77777777" w:rsidR="00A71EEF" w:rsidRDefault="0081115D">
      <w:pPr>
        <w:pStyle w:val="a3"/>
        <w:ind w:left="838"/>
      </w:pPr>
      <w:r>
        <w:t>减压阀和阀门等处于正常工作位置。</w:t>
      </w:r>
      <w:r>
        <w:t xml:space="preserve"> </w:t>
      </w:r>
    </w:p>
    <w:p w14:paraId="32ED5047" w14:textId="77777777" w:rsidR="00A71EEF" w:rsidRDefault="00A71EEF">
      <w:pPr>
        <w:pStyle w:val="a3"/>
        <w:rPr>
          <w:sz w:val="18"/>
        </w:rPr>
      </w:pPr>
    </w:p>
    <w:p w14:paraId="552D9559" w14:textId="77777777" w:rsidR="00A71EEF" w:rsidRDefault="0081115D">
      <w:pPr>
        <w:pStyle w:val="a4"/>
        <w:numPr>
          <w:ilvl w:val="2"/>
          <w:numId w:val="224"/>
        </w:numPr>
        <w:tabs>
          <w:tab w:val="left" w:pos="1530"/>
        </w:tabs>
        <w:spacing w:line="446" w:lineRule="auto"/>
        <w:ind w:left="838" w:right="6489" w:firstLine="2"/>
        <w:rPr>
          <w:sz w:val="21"/>
        </w:rPr>
      </w:pPr>
      <w:r>
        <w:rPr>
          <w:spacing w:val="-3"/>
          <w:sz w:val="21"/>
        </w:rPr>
        <w:t>系统调试应包括下列内容：</w:t>
      </w:r>
      <w:r>
        <w:rPr>
          <w:spacing w:val="-3"/>
          <w:sz w:val="21"/>
        </w:rPr>
        <w:t xml:space="preserve"> </w:t>
      </w:r>
      <w:r>
        <w:rPr>
          <w:spacing w:val="-3"/>
          <w:sz w:val="21"/>
        </w:rPr>
        <w:t>水源调试和测试；</w:t>
      </w:r>
      <w:r>
        <w:rPr>
          <w:sz w:val="21"/>
        </w:rPr>
        <w:t xml:space="preserve"> </w:t>
      </w:r>
    </w:p>
    <w:p w14:paraId="50C76434" w14:textId="77777777" w:rsidR="00A71EEF" w:rsidRDefault="0081115D">
      <w:pPr>
        <w:pStyle w:val="a3"/>
        <w:ind w:left="838"/>
      </w:pPr>
      <w:r>
        <w:t>消防水泵调试；</w:t>
      </w:r>
      <w:r>
        <w:t xml:space="preserve"> </w:t>
      </w:r>
    </w:p>
    <w:p w14:paraId="0C5BF5D0" w14:textId="77777777" w:rsidR="00A71EEF" w:rsidRDefault="00A71EEF">
      <w:pPr>
        <w:pStyle w:val="a3"/>
        <w:spacing w:before="12"/>
        <w:rPr>
          <w:sz w:val="17"/>
        </w:rPr>
      </w:pPr>
    </w:p>
    <w:p w14:paraId="3EF1D4A6" w14:textId="77777777" w:rsidR="00A71EEF" w:rsidRDefault="0081115D">
      <w:pPr>
        <w:pStyle w:val="a3"/>
        <w:spacing w:line="446" w:lineRule="auto"/>
        <w:ind w:left="838" w:right="7389"/>
      </w:pPr>
      <w:r>
        <w:rPr>
          <w:spacing w:val="-3"/>
        </w:rPr>
        <w:t>稳压泵或稳压设施调试；</w:t>
      </w:r>
      <w:r>
        <w:rPr>
          <w:spacing w:val="-3"/>
        </w:rPr>
        <w:t xml:space="preserve"> </w:t>
      </w:r>
      <w:r>
        <w:rPr>
          <w:spacing w:val="-3"/>
        </w:rPr>
        <w:t>减压阀调试；</w:t>
      </w:r>
      <w:r>
        <w:t xml:space="preserve"> </w:t>
      </w:r>
    </w:p>
    <w:p w14:paraId="5E77C4F6" w14:textId="77777777" w:rsidR="00A71EEF" w:rsidRDefault="0081115D">
      <w:pPr>
        <w:pStyle w:val="a3"/>
        <w:ind w:left="838"/>
      </w:pPr>
      <w:r>
        <w:rPr>
          <w:spacing w:val="-3"/>
        </w:rPr>
        <w:t>消火栓调试；</w:t>
      </w:r>
      <w:r>
        <w:t xml:space="preserve"> </w:t>
      </w:r>
    </w:p>
    <w:p w14:paraId="33CBF758" w14:textId="77777777" w:rsidR="00A71EEF" w:rsidRDefault="00A71EEF">
      <w:pPr>
        <w:pStyle w:val="a3"/>
        <w:rPr>
          <w:sz w:val="18"/>
        </w:rPr>
      </w:pPr>
    </w:p>
    <w:p w14:paraId="32DCCCFA" w14:textId="77777777" w:rsidR="00A71EEF" w:rsidRDefault="0081115D">
      <w:pPr>
        <w:pStyle w:val="a3"/>
        <w:ind w:left="838"/>
      </w:pPr>
      <w:r>
        <w:t>自动控制探测器调试；</w:t>
      </w:r>
      <w:r>
        <w:t xml:space="preserve"> </w:t>
      </w:r>
    </w:p>
    <w:p w14:paraId="5BB05CC6" w14:textId="77777777" w:rsidR="00A71EEF" w:rsidRDefault="00A71EEF">
      <w:pPr>
        <w:pStyle w:val="a3"/>
        <w:spacing w:before="12"/>
        <w:rPr>
          <w:sz w:val="17"/>
        </w:rPr>
      </w:pPr>
    </w:p>
    <w:p w14:paraId="17E3FC7C" w14:textId="77777777" w:rsidR="00A71EEF" w:rsidRDefault="0081115D">
      <w:pPr>
        <w:pStyle w:val="a3"/>
        <w:spacing w:line="446" w:lineRule="auto"/>
        <w:ind w:left="418" w:right="1609" w:firstLine="419"/>
      </w:pPr>
      <w:r>
        <w:t>干式消火栓系统的报警阀等快速启闭装置调试，并应包含报警阀的附件电动或磁阀等阀门的调试；</w:t>
      </w:r>
      <w:r>
        <w:t xml:space="preserve"> </w:t>
      </w:r>
    </w:p>
    <w:p w14:paraId="2059F1BF" w14:textId="77777777" w:rsidR="00A71EEF" w:rsidRDefault="0081115D">
      <w:pPr>
        <w:pStyle w:val="a3"/>
        <w:spacing w:line="446" w:lineRule="auto"/>
        <w:ind w:left="838" w:right="8229"/>
      </w:pPr>
      <w:r>
        <w:t>排水设施调试；</w:t>
      </w:r>
      <w:r>
        <w:t xml:space="preserve"> </w:t>
      </w:r>
      <w:r>
        <w:t>联锁控制试验。</w:t>
      </w:r>
      <w:r>
        <w:t xml:space="preserve"> </w:t>
      </w:r>
    </w:p>
    <w:p w14:paraId="359BF7EA" w14:textId="77777777" w:rsidR="00A71EEF" w:rsidRDefault="0081115D">
      <w:pPr>
        <w:pStyle w:val="a4"/>
        <w:numPr>
          <w:ilvl w:val="2"/>
          <w:numId w:val="224"/>
        </w:numPr>
        <w:tabs>
          <w:tab w:val="left" w:pos="1530"/>
        </w:tabs>
        <w:ind w:hanging="690"/>
        <w:rPr>
          <w:sz w:val="21"/>
        </w:rPr>
      </w:pPr>
      <w:r>
        <w:rPr>
          <w:spacing w:val="-3"/>
          <w:sz w:val="21"/>
        </w:rPr>
        <w:t>水源调试和测试应符合下列要求：</w:t>
      </w:r>
      <w:r>
        <w:rPr>
          <w:sz w:val="21"/>
        </w:rPr>
        <w:t xml:space="preserve"> </w:t>
      </w:r>
    </w:p>
    <w:p w14:paraId="3B82A972" w14:textId="77777777" w:rsidR="00A71EEF" w:rsidRDefault="00A71EEF">
      <w:pPr>
        <w:pStyle w:val="a3"/>
        <w:rPr>
          <w:sz w:val="18"/>
        </w:rPr>
      </w:pPr>
    </w:p>
    <w:p w14:paraId="1EAB414C" w14:textId="77777777" w:rsidR="00A71EEF" w:rsidRDefault="0081115D">
      <w:pPr>
        <w:pStyle w:val="a3"/>
        <w:spacing w:line="446" w:lineRule="auto"/>
        <w:ind w:left="418" w:right="1608" w:firstLine="419"/>
        <w:jc w:val="both"/>
      </w:pPr>
      <w:r>
        <w:t>按设计要求核实高位消防水箱、高位消防水池、消防水池的容积，高位消防水池、高位消防水箱设置高度应符合设计要求；消防储水应有不作他用的技术措施。当有江河湖海、水库和水塘等天然水源作为消防水源时应验证其枯水位、洪水位和常水位的流量符合设计要求。地下水井的常水位、出水量等应符合设计要求；</w:t>
      </w:r>
      <w:r>
        <w:t xml:space="preserve"> </w:t>
      </w:r>
    </w:p>
    <w:p w14:paraId="2AF4D402" w14:textId="77777777" w:rsidR="00A71EEF" w:rsidRDefault="0081115D">
      <w:pPr>
        <w:pStyle w:val="a3"/>
        <w:spacing w:line="446" w:lineRule="auto"/>
        <w:ind w:left="418" w:right="1817" w:firstLine="419"/>
      </w:pPr>
      <w:r>
        <w:t>消防水泵直接从市政管网吸水时，应测试市政供水的压力和流量能否满足设计要求的流量；</w:t>
      </w:r>
      <w:r>
        <w:t xml:space="preserve"> </w:t>
      </w:r>
    </w:p>
    <w:p w14:paraId="0D760A93" w14:textId="77777777" w:rsidR="00A71EEF" w:rsidRDefault="0081115D">
      <w:pPr>
        <w:pStyle w:val="a3"/>
        <w:spacing w:line="446" w:lineRule="auto"/>
        <w:ind w:left="418" w:right="1609" w:firstLine="419"/>
      </w:pPr>
      <w:r>
        <w:t>应按设计要求核实消防水泵接合器的数量和供水能力，并应通过消防车车载移动泵供水进行试验验证；</w:t>
      </w:r>
      <w:r>
        <w:t xml:space="preserve"> </w:t>
      </w:r>
    </w:p>
    <w:p w14:paraId="04806593" w14:textId="77777777" w:rsidR="00A71EEF" w:rsidRDefault="0081115D">
      <w:pPr>
        <w:pStyle w:val="a3"/>
        <w:ind w:left="838"/>
      </w:pPr>
      <w:r>
        <w:t>应核实地下水井的常水位和设计抽升流量时的水位。</w:t>
      </w:r>
      <w:r>
        <w:t xml:space="preserve"> </w:t>
      </w:r>
    </w:p>
    <w:p w14:paraId="4CC56668" w14:textId="77777777" w:rsidR="00A71EEF" w:rsidRDefault="00A71EEF">
      <w:pPr>
        <w:sectPr w:rsidR="00A71EEF">
          <w:pgSz w:w="11910" w:h="16850"/>
          <w:pgMar w:top="1220" w:right="0" w:bottom="1420" w:left="1260" w:header="0" w:footer="1239" w:gutter="0"/>
          <w:cols w:space="720"/>
        </w:sectPr>
      </w:pPr>
    </w:p>
    <w:p w14:paraId="4BF691DA" w14:textId="77777777" w:rsidR="00A71EEF" w:rsidRDefault="0081115D">
      <w:pPr>
        <w:pStyle w:val="a3"/>
        <w:spacing w:before="47"/>
        <w:ind w:left="838"/>
      </w:pPr>
      <w:r>
        <w:t>检查数量：全数检查。</w:t>
      </w:r>
      <w:r>
        <w:t xml:space="preserve"> </w:t>
      </w:r>
    </w:p>
    <w:p w14:paraId="4D462B84" w14:textId="77777777" w:rsidR="00A71EEF" w:rsidRDefault="00A71EEF">
      <w:pPr>
        <w:pStyle w:val="a3"/>
        <w:rPr>
          <w:sz w:val="18"/>
        </w:rPr>
      </w:pPr>
    </w:p>
    <w:p w14:paraId="18004032" w14:textId="77777777" w:rsidR="00A71EEF" w:rsidRDefault="0081115D">
      <w:pPr>
        <w:pStyle w:val="a3"/>
        <w:ind w:left="838"/>
      </w:pPr>
      <w:r>
        <w:t>检查方法：直观检查和进行通水试验。</w:t>
      </w:r>
      <w:r>
        <w:t xml:space="preserve"> </w:t>
      </w:r>
    </w:p>
    <w:p w14:paraId="5CAB7E73" w14:textId="77777777" w:rsidR="00A71EEF" w:rsidRDefault="00A71EEF">
      <w:pPr>
        <w:pStyle w:val="a3"/>
        <w:rPr>
          <w:sz w:val="18"/>
        </w:rPr>
      </w:pPr>
    </w:p>
    <w:p w14:paraId="3A1EFC23" w14:textId="77777777" w:rsidR="00A71EEF" w:rsidRDefault="0081115D">
      <w:pPr>
        <w:pStyle w:val="a4"/>
        <w:numPr>
          <w:ilvl w:val="2"/>
          <w:numId w:val="224"/>
        </w:numPr>
        <w:tabs>
          <w:tab w:val="left" w:pos="1530"/>
        </w:tabs>
        <w:ind w:hanging="690"/>
        <w:rPr>
          <w:sz w:val="21"/>
        </w:rPr>
      </w:pPr>
      <w:r>
        <w:rPr>
          <w:spacing w:val="-3"/>
          <w:sz w:val="21"/>
        </w:rPr>
        <w:t>消防水泵调试应符合下列要求：</w:t>
      </w:r>
      <w:r>
        <w:rPr>
          <w:sz w:val="21"/>
        </w:rPr>
        <w:t xml:space="preserve"> </w:t>
      </w:r>
    </w:p>
    <w:p w14:paraId="51BB95F1" w14:textId="77777777" w:rsidR="00A71EEF" w:rsidRDefault="00A71EEF">
      <w:pPr>
        <w:pStyle w:val="a3"/>
        <w:spacing w:before="1"/>
        <w:rPr>
          <w:sz w:val="18"/>
        </w:rPr>
      </w:pPr>
    </w:p>
    <w:p w14:paraId="2474267A" w14:textId="77777777" w:rsidR="00A71EEF" w:rsidRDefault="0081115D">
      <w:pPr>
        <w:pStyle w:val="a3"/>
        <w:spacing w:before="1" w:line="446" w:lineRule="auto"/>
        <w:ind w:left="418" w:right="1609" w:firstLine="419"/>
      </w:pPr>
      <w:r>
        <w:rPr>
          <w:spacing w:val="-5"/>
        </w:rPr>
        <w:t>以自动直接启动或手动直接启动消防水泵时，消防水泵应在</w:t>
      </w:r>
      <w:r>
        <w:rPr>
          <w:spacing w:val="-5"/>
        </w:rPr>
        <w:t xml:space="preserve"> </w:t>
      </w:r>
      <w:r>
        <w:t>55s</w:t>
      </w:r>
      <w:r>
        <w:rPr>
          <w:spacing w:val="-7"/>
        </w:rPr>
        <w:t xml:space="preserve"> </w:t>
      </w:r>
      <w:r>
        <w:rPr>
          <w:spacing w:val="-7"/>
        </w:rPr>
        <w:t>内投入正常运行，且应无</w:t>
      </w:r>
      <w:r>
        <w:rPr>
          <w:spacing w:val="-5"/>
        </w:rPr>
        <w:t>不良噪声和振动；</w:t>
      </w:r>
      <w:r>
        <w:t xml:space="preserve"> </w:t>
      </w:r>
    </w:p>
    <w:p w14:paraId="16F4EDB1" w14:textId="77777777" w:rsidR="00A71EEF" w:rsidRDefault="0081115D">
      <w:pPr>
        <w:pStyle w:val="a3"/>
        <w:spacing w:line="267" w:lineRule="exact"/>
        <w:ind w:left="838"/>
      </w:pPr>
      <w:r>
        <w:t xml:space="preserve">2min </w:t>
      </w:r>
      <w:r>
        <w:t>内投入正常运行；</w:t>
      </w:r>
      <w:r>
        <w:t xml:space="preserve"> </w:t>
      </w:r>
    </w:p>
    <w:p w14:paraId="4D4F4AD5" w14:textId="77777777" w:rsidR="00A71EEF" w:rsidRDefault="00A71EEF">
      <w:pPr>
        <w:pStyle w:val="a3"/>
        <w:spacing w:before="1"/>
        <w:rPr>
          <w:sz w:val="18"/>
        </w:rPr>
      </w:pPr>
    </w:p>
    <w:p w14:paraId="75F6BBAC" w14:textId="77777777" w:rsidR="00A71EEF" w:rsidRDefault="0081115D">
      <w:pPr>
        <w:pStyle w:val="a3"/>
        <w:spacing w:before="1" w:line="446" w:lineRule="auto"/>
        <w:ind w:left="418" w:right="1609" w:firstLine="419"/>
      </w:pPr>
      <w:r>
        <w:t>消防水泵安装后应进行现场性能测试，其性能应与生产厂商提供的数据相符，并应满足消防给水设计流量和压力的要求；</w:t>
      </w:r>
      <w:r>
        <w:t xml:space="preserve"> </w:t>
      </w:r>
    </w:p>
    <w:p w14:paraId="158A9DB6" w14:textId="77777777" w:rsidR="00A71EEF" w:rsidRDefault="0081115D">
      <w:pPr>
        <w:pStyle w:val="a3"/>
        <w:spacing w:line="267" w:lineRule="exact"/>
        <w:ind w:left="838"/>
      </w:pPr>
      <w:r>
        <w:t>消防水泵零流量时的压力不应超过设计工作压力的</w:t>
      </w:r>
      <w:r>
        <w:t xml:space="preserve"> 140%</w:t>
      </w:r>
      <w:r>
        <w:t>；当出流量为设计工作流量的</w:t>
      </w:r>
      <w:r>
        <w:t xml:space="preserve"> 150%</w:t>
      </w:r>
    </w:p>
    <w:p w14:paraId="01D11C13" w14:textId="77777777" w:rsidR="00A71EEF" w:rsidRDefault="00A71EEF">
      <w:pPr>
        <w:pStyle w:val="a3"/>
        <w:spacing w:before="1"/>
        <w:rPr>
          <w:sz w:val="18"/>
        </w:rPr>
      </w:pPr>
    </w:p>
    <w:p w14:paraId="4E2EA6EB" w14:textId="77777777" w:rsidR="00A71EEF" w:rsidRDefault="0081115D">
      <w:pPr>
        <w:pStyle w:val="a3"/>
        <w:ind w:left="418"/>
      </w:pPr>
      <w:r>
        <w:t>时，其出口压力不应低于设计工作压力的</w:t>
      </w:r>
      <w:r>
        <w:t xml:space="preserve"> 65%</w:t>
      </w:r>
      <w:r>
        <w:t>。</w:t>
      </w:r>
      <w:r>
        <w:t xml:space="preserve"> </w:t>
      </w:r>
    </w:p>
    <w:p w14:paraId="6EC6710B" w14:textId="77777777" w:rsidR="00A71EEF" w:rsidRDefault="00A71EEF">
      <w:pPr>
        <w:pStyle w:val="a3"/>
        <w:rPr>
          <w:sz w:val="18"/>
        </w:rPr>
      </w:pPr>
    </w:p>
    <w:p w14:paraId="4DEBA483" w14:textId="77777777" w:rsidR="00A71EEF" w:rsidRDefault="0081115D">
      <w:pPr>
        <w:pStyle w:val="a3"/>
        <w:spacing w:line="446" w:lineRule="auto"/>
        <w:ind w:left="838" w:right="7389"/>
      </w:pPr>
      <w:r>
        <w:rPr>
          <w:spacing w:val="-3"/>
        </w:rPr>
        <w:t>检查数量：全数检查。</w:t>
      </w:r>
      <w:r>
        <w:rPr>
          <w:spacing w:val="-3"/>
        </w:rPr>
        <w:t xml:space="preserve">  </w:t>
      </w:r>
      <w:r>
        <w:rPr>
          <w:spacing w:val="-3"/>
        </w:rPr>
        <w:t>检查方法：用秒表检查。</w:t>
      </w:r>
      <w:r>
        <w:t xml:space="preserve"> </w:t>
      </w:r>
    </w:p>
    <w:p w14:paraId="6413169F" w14:textId="77777777" w:rsidR="00A71EEF" w:rsidRDefault="0081115D">
      <w:pPr>
        <w:pStyle w:val="a4"/>
        <w:numPr>
          <w:ilvl w:val="2"/>
          <w:numId w:val="224"/>
        </w:numPr>
        <w:tabs>
          <w:tab w:val="left" w:pos="1530"/>
        </w:tabs>
        <w:ind w:hanging="690"/>
        <w:rPr>
          <w:sz w:val="21"/>
        </w:rPr>
      </w:pPr>
      <w:r>
        <w:rPr>
          <w:spacing w:val="-3"/>
          <w:sz w:val="21"/>
        </w:rPr>
        <w:t>稳压泵应按设计要求进行调试，并应符合下列规定：</w:t>
      </w:r>
      <w:r>
        <w:rPr>
          <w:sz w:val="21"/>
        </w:rPr>
        <w:t xml:space="preserve"> </w:t>
      </w:r>
    </w:p>
    <w:p w14:paraId="4B57B438" w14:textId="77777777" w:rsidR="00A71EEF" w:rsidRDefault="00A71EEF">
      <w:pPr>
        <w:pStyle w:val="a3"/>
        <w:rPr>
          <w:sz w:val="18"/>
        </w:rPr>
      </w:pPr>
    </w:p>
    <w:p w14:paraId="7EA995BE" w14:textId="77777777" w:rsidR="00A71EEF" w:rsidRDefault="0081115D">
      <w:pPr>
        <w:pStyle w:val="a3"/>
        <w:spacing w:line="446" w:lineRule="auto"/>
        <w:ind w:left="418" w:right="1609" w:firstLine="419"/>
      </w:pPr>
      <w:r>
        <w:t>当达到设计启动压力时，稳压泵应立即启动；当达到系统停泵压力时，稳压泵应自动停止运行；稳压泵启停应达到设计压力要求；</w:t>
      </w:r>
      <w:r>
        <w:t xml:space="preserve"> </w:t>
      </w:r>
    </w:p>
    <w:p w14:paraId="4AE28C37" w14:textId="77777777" w:rsidR="00A71EEF" w:rsidRDefault="0081115D">
      <w:pPr>
        <w:pStyle w:val="a3"/>
        <w:ind w:left="838"/>
      </w:pPr>
      <w:r>
        <w:t>能满足系统自动启动要求，且当消防主泵启动时，稳压泵应停止运行；</w:t>
      </w:r>
      <w:r>
        <w:t xml:space="preserve"> </w:t>
      </w:r>
    </w:p>
    <w:p w14:paraId="7029ECEC" w14:textId="77777777" w:rsidR="00A71EEF" w:rsidRDefault="00A71EEF">
      <w:pPr>
        <w:pStyle w:val="a3"/>
        <w:spacing w:before="12"/>
        <w:rPr>
          <w:sz w:val="17"/>
        </w:rPr>
      </w:pPr>
    </w:p>
    <w:p w14:paraId="13731CDD" w14:textId="77777777" w:rsidR="00A71EEF" w:rsidRDefault="0081115D">
      <w:pPr>
        <w:pStyle w:val="a3"/>
        <w:ind w:left="838"/>
      </w:pPr>
      <w:r>
        <w:t>稳压泵在正常工作时每小时的启停次数应符合设计要求，且不应大于</w:t>
      </w:r>
      <w:r>
        <w:t xml:space="preserve"> 15 </w:t>
      </w:r>
      <w:r>
        <w:t>次</w:t>
      </w:r>
      <w:r>
        <w:t>/h</w:t>
      </w:r>
      <w:r>
        <w:t>；</w:t>
      </w:r>
      <w:r>
        <w:t xml:space="preserve"> </w:t>
      </w:r>
    </w:p>
    <w:p w14:paraId="4226F8F7" w14:textId="77777777" w:rsidR="00A71EEF" w:rsidRDefault="00A71EEF">
      <w:pPr>
        <w:pStyle w:val="a3"/>
        <w:spacing w:before="12"/>
        <w:rPr>
          <w:sz w:val="17"/>
        </w:rPr>
      </w:pPr>
    </w:p>
    <w:p w14:paraId="6C29FBC9" w14:textId="77777777" w:rsidR="00A71EEF" w:rsidRDefault="0081115D">
      <w:pPr>
        <w:pStyle w:val="a3"/>
        <w:spacing w:line="446" w:lineRule="auto"/>
        <w:ind w:left="838" w:right="4446"/>
      </w:pPr>
      <w:r>
        <w:rPr>
          <w:spacing w:val="-3"/>
        </w:rPr>
        <w:t>稳压泵启停时系统压力应平稳，且稳压泵不应频繁启停。检查数量：全数检查。</w:t>
      </w:r>
      <w:r>
        <w:t xml:space="preserve"> </w:t>
      </w:r>
    </w:p>
    <w:p w14:paraId="21AD48FB" w14:textId="77777777" w:rsidR="00A71EEF" w:rsidRDefault="0081115D">
      <w:pPr>
        <w:pStyle w:val="a3"/>
        <w:spacing w:before="1"/>
        <w:ind w:left="838"/>
      </w:pPr>
      <w:r>
        <w:rPr>
          <w:spacing w:val="-3"/>
        </w:rPr>
        <w:t>检查方法：直观检查。</w:t>
      </w:r>
      <w:r>
        <w:t xml:space="preserve"> </w:t>
      </w:r>
    </w:p>
    <w:p w14:paraId="0FD57B83" w14:textId="77777777" w:rsidR="00A71EEF" w:rsidRDefault="00A71EEF">
      <w:pPr>
        <w:pStyle w:val="a3"/>
        <w:spacing w:before="12"/>
        <w:rPr>
          <w:sz w:val="17"/>
        </w:rPr>
      </w:pPr>
    </w:p>
    <w:p w14:paraId="0BEFF828" w14:textId="77777777" w:rsidR="00A71EEF" w:rsidRDefault="0081115D">
      <w:pPr>
        <w:pStyle w:val="a4"/>
        <w:numPr>
          <w:ilvl w:val="2"/>
          <w:numId w:val="224"/>
        </w:numPr>
        <w:tabs>
          <w:tab w:val="left" w:pos="1530"/>
        </w:tabs>
        <w:ind w:hanging="690"/>
        <w:rPr>
          <w:sz w:val="21"/>
        </w:rPr>
      </w:pPr>
      <w:r>
        <w:rPr>
          <w:spacing w:val="-3"/>
          <w:sz w:val="21"/>
        </w:rPr>
        <w:t>干式消火栓系统快速启闭装置调试应符合下列要求：</w:t>
      </w:r>
      <w:r>
        <w:rPr>
          <w:sz w:val="21"/>
        </w:rPr>
        <w:t xml:space="preserve"> </w:t>
      </w:r>
    </w:p>
    <w:p w14:paraId="100FC66A" w14:textId="77777777" w:rsidR="00A71EEF" w:rsidRDefault="00A71EEF">
      <w:pPr>
        <w:pStyle w:val="a3"/>
        <w:spacing w:before="2"/>
        <w:rPr>
          <w:sz w:val="18"/>
        </w:rPr>
      </w:pPr>
    </w:p>
    <w:p w14:paraId="483B869B" w14:textId="77777777" w:rsidR="00A71EEF" w:rsidRDefault="0081115D">
      <w:pPr>
        <w:pStyle w:val="a3"/>
        <w:spacing w:line="446" w:lineRule="auto"/>
        <w:ind w:left="418" w:right="1609" w:firstLine="419"/>
      </w:pPr>
      <w:r>
        <w:t>干式消火栓系统调试时，开启系统试验阀或按下消火栓按钮，干式消火栓系统快速启闭装置的启动时间、系统启动压力、水流到试验装置出口所需时间，均应符合设计要求；</w:t>
      </w:r>
      <w:r>
        <w:t xml:space="preserve"> </w:t>
      </w:r>
    </w:p>
    <w:p w14:paraId="2EA7C7B2" w14:textId="77777777" w:rsidR="00A71EEF" w:rsidRDefault="0081115D">
      <w:pPr>
        <w:pStyle w:val="a3"/>
        <w:spacing w:line="446" w:lineRule="auto"/>
        <w:ind w:left="838" w:right="2977"/>
      </w:pPr>
      <w:r>
        <w:rPr>
          <w:spacing w:val="-3"/>
        </w:rPr>
        <w:t>快速启闭装置后的管道容积应符合设计要求，并应满足充水时间的要求；</w:t>
      </w:r>
      <w:r>
        <w:rPr>
          <w:spacing w:val="-3"/>
        </w:rPr>
        <w:t xml:space="preserve"> </w:t>
      </w:r>
      <w:r>
        <w:rPr>
          <w:spacing w:val="-3"/>
        </w:rPr>
        <w:t>干式报警阀在充气压力下降到设定值时应能及时启动；</w:t>
      </w:r>
      <w:r>
        <w:t xml:space="preserve"> </w:t>
      </w:r>
    </w:p>
    <w:p w14:paraId="75A4B3E7" w14:textId="77777777" w:rsidR="00A71EEF" w:rsidRDefault="0081115D">
      <w:pPr>
        <w:pStyle w:val="a3"/>
        <w:spacing w:line="446" w:lineRule="auto"/>
        <w:ind w:left="418" w:right="1609" w:firstLine="419"/>
      </w:pPr>
      <w:r>
        <w:t>干式报警阀充气系统在设定低压点时应启动，在设定高压点时应停止充气，当压力低于设定低压点时应报警；</w:t>
      </w:r>
      <w:r>
        <w:t xml:space="preserve"> </w:t>
      </w:r>
    </w:p>
    <w:p w14:paraId="4A96A69E" w14:textId="77777777" w:rsidR="00A71EEF" w:rsidRDefault="0081115D">
      <w:pPr>
        <w:pStyle w:val="a3"/>
        <w:ind w:left="838"/>
      </w:pPr>
      <w:r>
        <w:t>干式报警阀当设有加速排气器时，应验证其可靠工作。</w:t>
      </w:r>
      <w:r>
        <w:t xml:space="preserve"> </w:t>
      </w:r>
    </w:p>
    <w:p w14:paraId="1082E56D" w14:textId="77777777" w:rsidR="00A71EEF" w:rsidRDefault="00A71EEF">
      <w:pPr>
        <w:sectPr w:rsidR="00A71EEF">
          <w:pgSz w:w="11910" w:h="16850"/>
          <w:pgMar w:top="1220" w:right="0" w:bottom="1420" w:left="1260" w:header="0" w:footer="1239" w:gutter="0"/>
          <w:cols w:space="720"/>
        </w:sectPr>
      </w:pPr>
    </w:p>
    <w:p w14:paraId="08A83AE7" w14:textId="77777777" w:rsidR="00A71EEF" w:rsidRDefault="0081115D">
      <w:pPr>
        <w:pStyle w:val="a3"/>
        <w:spacing w:before="47"/>
        <w:ind w:left="838"/>
      </w:pPr>
      <w:r>
        <w:t>检查数量：全数检查。</w:t>
      </w:r>
      <w:r>
        <w:t xml:space="preserve"> </w:t>
      </w:r>
    </w:p>
    <w:p w14:paraId="38E85B27" w14:textId="77777777" w:rsidR="00A71EEF" w:rsidRDefault="00A71EEF">
      <w:pPr>
        <w:pStyle w:val="a3"/>
        <w:rPr>
          <w:sz w:val="18"/>
        </w:rPr>
      </w:pPr>
    </w:p>
    <w:p w14:paraId="44FDB997" w14:textId="77777777" w:rsidR="00A71EEF" w:rsidRDefault="0081115D">
      <w:pPr>
        <w:pStyle w:val="a3"/>
        <w:ind w:left="838"/>
      </w:pPr>
      <w:r>
        <w:t>检查方法：使用压力表、秒表、声强计和直观检查。</w:t>
      </w:r>
      <w:r>
        <w:t xml:space="preserve"> </w:t>
      </w:r>
    </w:p>
    <w:p w14:paraId="54C5A833" w14:textId="77777777" w:rsidR="00A71EEF" w:rsidRDefault="00A71EEF">
      <w:pPr>
        <w:pStyle w:val="a3"/>
        <w:rPr>
          <w:sz w:val="18"/>
        </w:rPr>
      </w:pPr>
    </w:p>
    <w:p w14:paraId="3DD29E45" w14:textId="77777777" w:rsidR="00A71EEF" w:rsidRDefault="0081115D">
      <w:pPr>
        <w:pStyle w:val="a4"/>
        <w:numPr>
          <w:ilvl w:val="2"/>
          <w:numId w:val="224"/>
        </w:numPr>
        <w:tabs>
          <w:tab w:val="left" w:pos="1530"/>
        </w:tabs>
        <w:ind w:hanging="690"/>
        <w:rPr>
          <w:sz w:val="21"/>
        </w:rPr>
      </w:pPr>
      <w:r>
        <w:rPr>
          <w:spacing w:val="-3"/>
          <w:sz w:val="21"/>
        </w:rPr>
        <w:t>减压阀调试应符合下列要求：</w:t>
      </w:r>
      <w:r>
        <w:rPr>
          <w:sz w:val="21"/>
        </w:rPr>
        <w:t xml:space="preserve"> </w:t>
      </w:r>
    </w:p>
    <w:p w14:paraId="540E8C90" w14:textId="77777777" w:rsidR="00A71EEF" w:rsidRDefault="00A71EEF">
      <w:pPr>
        <w:pStyle w:val="a3"/>
        <w:spacing w:before="1"/>
        <w:rPr>
          <w:sz w:val="18"/>
        </w:rPr>
      </w:pPr>
    </w:p>
    <w:p w14:paraId="4D3365CD" w14:textId="77777777" w:rsidR="00A71EEF" w:rsidRDefault="0081115D">
      <w:pPr>
        <w:pStyle w:val="a3"/>
        <w:spacing w:before="1"/>
        <w:ind w:left="838"/>
      </w:pPr>
      <w:r>
        <w:t>减压阀的阀前阀后动静压力应满足设计要求；</w:t>
      </w:r>
      <w:r>
        <w:t xml:space="preserve"> </w:t>
      </w:r>
    </w:p>
    <w:p w14:paraId="47D53C1E" w14:textId="77777777" w:rsidR="00A71EEF" w:rsidRDefault="00A71EEF">
      <w:pPr>
        <w:pStyle w:val="a3"/>
        <w:spacing w:before="12"/>
        <w:rPr>
          <w:sz w:val="17"/>
        </w:rPr>
      </w:pPr>
    </w:p>
    <w:p w14:paraId="5A703226" w14:textId="77777777" w:rsidR="00A71EEF" w:rsidRDefault="0081115D">
      <w:pPr>
        <w:pStyle w:val="a3"/>
        <w:spacing w:line="446" w:lineRule="auto"/>
        <w:ind w:left="418" w:right="1498" w:firstLine="419"/>
      </w:pPr>
      <w:r>
        <w:t>减压阀的出流量应满足设计要求，当出流量为设计流量的</w:t>
      </w:r>
      <w:r>
        <w:t xml:space="preserve"> 150%</w:t>
      </w:r>
      <w:r>
        <w:t>时，阀后动压不应小于额定设计工作压力的</w:t>
      </w:r>
      <w:r>
        <w:t xml:space="preserve"> 65%</w:t>
      </w:r>
      <w:r>
        <w:t>；</w:t>
      </w:r>
      <w:r>
        <w:t xml:space="preserve"> </w:t>
      </w:r>
    </w:p>
    <w:p w14:paraId="1D40C12F" w14:textId="77777777" w:rsidR="00A71EEF" w:rsidRDefault="0081115D">
      <w:pPr>
        <w:pStyle w:val="a3"/>
        <w:ind w:left="838"/>
      </w:pPr>
      <w:r>
        <w:t>减压阀在小流量、设计流量和设计流量的</w:t>
      </w:r>
      <w:r>
        <w:t xml:space="preserve"> 150%</w:t>
      </w:r>
      <w:r>
        <w:t>时不应出现噪声明显增加；</w:t>
      </w:r>
      <w:r>
        <w:t xml:space="preserve"> </w:t>
      </w:r>
    </w:p>
    <w:p w14:paraId="583FF8B2" w14:textId="77777777" w:rsidR="00A71EEF" w:rsidRDefault="00A71EEF">
      <w:pPr>
        <w:pStyle w:val="a3"/>
        <w:rPr>
          <w:sz w:val="18"/>
        </w:rPr>
      </w:pPr>
    </w:p>
    <w:p w14:paraId="2934AF97" w14:textId="77777777" w:rsidR="00A71EEF" w:rsidRDefault="0081115D">
      <w:pPr>
        <w:pStyle w:val="a3"/>
        <w:spacing w:line="446" w:lineRule="auto"/>
        <w:ind w:left="838" w:right="5497"/>
      </w:pPr>
      <w:r>
        <w:t>测试减压阀的阀后动静压差应符合设计要求。检查数量：全数检查。</w:t>
      </w:r>
      <w:r>
        <w:t xml:space="preserve"> </w:t>
      </w:r>
    </w:p>
    <w:p w14:paraId="6540EF0C" w14:textId="77777777" w:rsidR="00A71EEF" w:rsidRDefault="0081115D">
      <w:pPr>
        <w:pStyle w:val="a3"/>
        <w:ind w:left="838"/>
      </w:pPr>
      <w:r>
        <w:t>检查方法：使用压力表、流量计、声强计和直观检查。</w:t>
      </w:r>
      <w:r>
        <w:t xml:space="preserve"> </w:t>
      </w:r>
    </w:p>
    <w:p w14:paraId="071F8C3C" w14:textId="77777777" w:rsidR="00A71EEF" w:rsidRDefault="00A71EEF">
      <w:pPr>
        <w:pStyle w:val="a3"/>
        <w:spacing w:before="12"/>
        <w:rPr>
          <w:sz w:val="17"/>
        </w:rPr>
      </w:pPr>
    </w:p>
    <w:p w14:paraId="60538A59" w14:textId="77777777" w:rsidR="00A71EEF" w:rsidRDefault="0081115D">
      <w:pPr>
        <w:pStyle w:val="a4"/>
        <w:numPr>
          <w:ilvl w:val="2"/>
          <w:numId w:val="224"/>
        </w:numPr>
        <w:tabs>
          <w:tab w:val="left" w:pos="1530"/>
        </w:tabs>
        <w:ind w:hanging="690"/>
        <w:rPr>
          <w:sz w:val="21"/>
        </w:rPr>
      </w:pPr>
      <w:r>
        <w:rPr>
          <w:spacing w:val="-3"/>
          <w:sz w:val="21"/>
        </w:rPr>
        <w:t>消火栓的调试和测试应符合下列规定：</w:t>
      </w:r>
      <w:r>
        <w:rPr>
          <w:spacing w:val="-3"/>
          <w:sz w:val="21"/>
        </w:rPr>
        <w:t xml:space="preserve"> </w:t>
      </w:r>
    </w:p>
    <w:p w14:paraId="7FEF6D24" w14:textId="77777777" w:rsidR="00A71EEF" w:rsidRDefault="00A71EEF">
      <w:pPr>
        <w:pStyle w:val="a3"/>
        <w:spacing w:before="12"/>
        <w:rPr>
          <w:sz w:val="17"/>
        </w:rPr>
      </w:pPr>
    </w:p>
    <w:p w14:paraId="1F3B051A" w14:textId="77777777" w:rsidR="00A71EEF" w:rsidRDefault="0081115D">
      <w:pPr>
        <w:pStyle w:val="a3"/>
        <w:spacing w:before="1"/>
        <w:ind w:left="838"/>
      </w:pPr>
      <w:r>
        <w:t>试验消火栓动作时，应检测消防水泵是否在本规范规定的时间内自动启动；</w:t>
      </w:r>
      <w:r>
        <w:t xml:space="preserve"> </w:t>
      </w:r>
    </w:p>
    <w:p w14:paraId="363F7636" w14:textId="77777777" w:rsidR="00A71EEF" w:rsidRDefault="00A71EEF">
      <w:pPr>
        <w:pStyle w:val="a3"/>
        <w:spacing w:before="1"/>
        <w:rPr>
          <w:sz w:val="18"/>
        </w:rPr>
      </w:pPr>
    </w:p>
    <w:p w14:paraId="3BA6BF33" w14:textId="77777777" w:rsidR="00A71EEF" w:rsidRDefault="0081115D">
      <w:pPr>
        <w:pStyle w:val="a3"/>
        <w:spacing w:line="446" w:lineRule="auto"/>
        <w:ind w:left="418" w:right="1609" w:firstLine="419"/>
      </w:pPr>
      <w:r>
        <w:t>试验消火栓动作时，应测试其出流量、压力和充实水柱的长度；并应根据消防水泵的性能曲线核实消防水泵供水能力；</w:t>
      </w:r>
      <w:r>
        <w:t xml:space="preserve"> </w:t>
      </w:r>
    </w:p>
    <w:p w14:paraId="0701C93E" w14:textId="77777777" w:rsidR="00A71EEF" w:rsidRDefault="0081115D">
      <w:pPr>
        <w:pStyle w:val="a3"/>
        <w:spacing w:line="267" w:lineRule="exact"/>
        <w:ind w:left="838"/>
      </w:pPr>
      <w:r>
        <w:t>应检查旋转型消火栓的性能能否满足其性能要求；</w:t>
      </w:r>
      <w:r>
        <w:t xml:space="preserve"> </w:t>
      </w:r>
    </w:p>
    <w:p w14:paraId="6A920E76" w14:textId="77777777" w:rsidR="00A71EEF" w:rsidRDefault="00A71EEF">
      <w:pPr>
        <w:pStyle w:val="a3"/>
        <w:spacing w:before="2"/>
        <w:rPr>
          <w:sz w:val="18"/>
        </w:rPr>
      </w:pPr>
    </w:p>
    <w:p w14:paraId="0041B4E4" w14:textId="77777777" w:rsidR="00A71EEF" w:rsidRDefault="0081115D">
      <w:pPr>
        <w:pStyle w:val="a3"/>
        <w:spacing w:line="446" w:lineRule="auto"/>
        <w:ind w:left="838" w:right="2345"/>
      </w:pPr>
      <w:r>
        <w:rPr>
          <w:spacing w:val="-3"/>
        </w:rPr>
        <w:t>应采用专用检测工具，测试减压稳压型消火栓的阀后动静压是否满足设计要求。检查数量：全数检查。</w:t>
      </w:r>
      <w:r>
        <w:t xml:space="preserve"> </w:t>
      </w:r>
    </w:p>
    <w:p w14:paraId="73C53124" w14:textId="77777777" w:rsidR="00A71EEF" w:rsidRDefault="0081115D">
      <w:pPr>
        <w:pStyle w:val="a3"/>
        <w:spacing w:line="267" w:lineRule="exact"/>
        <w:ind w:left="838"/>
      </w:pPr>
      <w:r>
        <w:t>检查方法：使用压力表、流量计和直观检查。</w:t>
      </w:r>
      <w:r>
        <w:t xml:space="preserve"> </w:t>
      </w:r>
    </w:p>
    <w:p w14:paraId="6EFB399F" w14:textId="77777777" w:rsidR="00A71EEF" w:rsidRDefault="00A71EEF">
      <w:pPr>
        <w:pStyle w:val="a3"/>
        <w:spacing w:before="2"/>
        <w:rPr>
          <w:sz w:val="18"/>
        </w:rPr>
      </w:pPr>
    </w:p>
    <w:p w14:paraId="36DE879E" w14:textId="77777777" w:rsidR="00A71EEF" w:rsidRDefault="0081115D">
      <w:pPr>
        <w:pStyle w:val="a4"/>
        <w:numPr>
          <w:ilvl w:val="2"/>
          <w:numId w:val="224"/>
        </w:numPr>
        <w:tabs>
          <w:tab w:val="left" w:pos="1530"/>
        </w:tabs>
        <w:spacing w:line="446" w:lineRule="auto"/>
        <w:ind w:left="838" w:right="2074" w:firstLine="2"/>
        <w:rPr>
          <w:sz w:val="21"/>
        </w:rPr>
      </w:pPr>
      <w:r>
        <w:rPr>
          <w:spacing w:val="-3"/>
          <w:sz w:val="21"/>
        </w:rPr>
        <w:t>调试过程中，系统排出的水应通过排水设施全部排走，并应符合下列规定：</w:t>
      </w:r>
      <w:r>
        <w:rPr>
          <w:spacing w:val="-3"/>
          <w:sz w:val="21"/>
        </w:rPr>
        <w:t xml:space="preserve"> </w:t>
      </w:r>
      <w:r>
        <w:rPr>
          <w:spacing w:val="-3"/>
          <w:sz w:val="21"/>
        </w:rPr>
        <w:t>消防电梯排水设施的自动控制和排水能力应进行测试；</w:t>
      </w:r>
      <w:r>
        <w:rPr>
          <w:sz w:val="21"/>
        </w:rPr>
        <w:t xml:space="preserve"> </w:t>
      </w:r>
    </w:p>
    <w:p w14:paraId="12057FCF" w14:textId="77777777" w:rsidR="00A71EEF" w:rsidRDefault="0081115D">
      <w:pPr>
        <w:pStyle w:val="a3"/>
        <w:spacing w:line="446" w:lineRule="auto"/>
        <w:ind w:left="418" w:right="1609" w:firstLine="419"/>
      </w:pPr>
      <w:r>
        <w:t>报警阀排水试验管处和末端试水装置处排水设施的排水能力应进行测试，且在地面不应有积水；</w:t>
      </w:r>
      <w:r>
        <w:t xml:space="preserve"> </w:t>
      </w:r>
    </w:p>
    <w:p w14:paraId="7804DFA5" w14:textId="77777777" w:rsidR="00A71EEF" w:rsidRDefault="0081115D">
      <w:pPr>
        <w:pStyle w:val="a3"/>
        <w:ind w:left="838"/>
      </w:pPr>
      <w:r>
        <w:t>试验消火栓处的排水能力应满足试验要求；</w:t>
      </w:r>
      <w:r>
        <w:t xml:space="preserve"> </w:t>
      </w:r>
    </w:p>
    <w:p w14:paraId="6E04A6AA" w14:textId="77777777" w:rsidR="00A71EEF" w:rsidRDefault="00A71EEF">
      <w:pPr>
        <w:pStyle w:val="a3"/>
        <w:spacing w:before="10"/>
        <w:rPr>
          <w:sz w:val="17"/>
        </w:rPr>
      </w:pPr>
    </w:p>
    <w:p w14:paraId="437AACFC" w14:textId="77777777" w:rsidR="00A71EEF" w:rsidRDefault="0081115D">
      <w:pPr>
        <w:pStyle w:val="a3"/>
        <w:spacing w:before="1" w:line="446" w:lineRule="auto"/>
        <w:ind w:left="838" w:right="3606"/>
      </w:pPr>
      <w:r>
        <w:t>消防水泵房排水设施的排水能力应进行测试，并应符合设计要求。检查数量：全数检查。</w:t>
      </w:r>
      <w:r>
        <w:t xml:space="preserve"> </w:t>
      </w:r>
    </w:p>
    <w:p w14:paraId="544B28AC" w14:textId="77777777" w:rsidR="00A71EEF" w:rsidRDefault="0081115D">
      <w:pPr>
        <w:pStyle w:val="a3"/>
        <w:ind w:left="838"/>
      </w:pPr>
      <w:r>
        <w:t>检查方法：使用压力表、流量计、专用测试工具和直观检查。</w:t>
      </w:r>
      <w:r>
        <w:t xml:space="preserve"> </w:t>
      </w:r>
    </w:p>
    <w:p w14:paraId="62642241" w14:textId="77777777" w:rsidR="00A71EEF" w:rsidRDefault="00A71EEF">
      <w:pPr>
        <w:pStyle w:val="a3"/>
        <w:spacing w:before="12"/>
        <w:rPr>
          <w:sz w:val="17"/>
        </w:rPr>
      </w:pPr>
    </w:p>
    <w:p w14:paraId="3682F44D" w14:textId="77777777" w:rsidR="00A71EEF" w:rsidRDefault="0081115D">
      <w:pPr>
        <w:pStyle w:val="a4"/>
        <w:numPr>
          <w:ilvl w:val="2"/>
          <w:numId w:val="224"/>
        </w:numPr>
        <w:tabs>
          <w:tab w:val="left" w:pos="1635"/>
        </w:tabs>
        <w:ind w:left="1634" w:hanging="795"/>
        <w:rPr>
          <w:sz w:val="21"/>
        </w:rPr>
      </w:pPr>
      <w:r>
        <w:rPr>
          <w:spacing w:val="-3"/>
          <w:sz w:val="21"/>
        </w:rPr>
        <w:t>控制柜调试和测试应符合下列要求：</w:t>
      </w:r>
      <w:r>
        <w:rPr>
          <w:sz w:val="21"/>
        </w:rPr>
        <w:t xml:space="preserve"> </w:t>
      </w:r>
    </w:p>
    <w:p w14:paraId="58E2FBE6" w14:textId="77777777" w:rsidR="00A71EEF" w:rsidRDefault="00A71EEF">
      <w:pPr>
        <w:pStyle w:val="a3"/>
        <w:spacing w:before="2"/>
        <w:rPr>
          <w:sz w:val="18"/>
        </w:rPr>
      </w:pPr>
    </w:p>
    <w:p w14:paraId="16E67CCD" w14:textId="77777777" w:rsidR="00A71EEF" w:rsidRDefault="0081115D">
      <w:pPr>
        <w:pStyle w:val="a3"/>
        <w:ind w:left="838"/>
      </w:pPr>
      <w:r>
        <w:t>应首先空载调试控制柜的控制功能，并应对各个控制程序进行试验验证；</w:t>
      </w:r>
      <w:r>
        <w:t xml:space="preserve"> </w:t>
      </w:r>
    </w:p>
    <w:p w14:paraId="234E7A93" w14:textId="77777777" w:rsidR="00A71EEF" w:rsidRDefault="00A71EEF">
      <w:pPr>
        <w:sectPr w:rsidR="00A71EEF">
          <w:pgSz w:w="11910" w:h="16850"/>
          <w:pgMar w:top="1220" w:right="0" w:bottom="1420" w:left="1260" w:header="0" w:footer="1239" w:gutter="0"/>
          <w:cols w:space="720"/>
        </w:sectPr>
      </w:pPr>
    </w:p>
    <w:p w14:paraId="14C1126D" w14:textId="77777777" w:rsidR="00A71EEF" w:rsidRDefault="0081115D">
      <w:pPr>
        <w:pStyle w:val="a3"/>
        <w:spacing w:before="47" w:line="446" w:lineRule="auto"/>
        <w:ind w:left="418" w:right="1609" w:firstLine="419"/>
      </w:pPr>
      <w:r>
        <w:t>当空载调试合格后，应加负载调试控制柜的控制功能，并应对各个负载电流的状况进行试验检测和验证；</w:t>
      </w:r>
      <w:r>
        <w:t xml:space="preserve"> </w:t>
      </w:r>
    </w:p>
    <w:p w14:paraId="4DEC9BD7" w14:textId="77777777" w:rsidR="00A71EEF" w:rsidRDefault="0081115D">
      <w:pPr>
        <w:pStyle w:val="a3"/>
        <w:spacing w:line="446" w:lineRule="auto"/>
        <w:ind w:left="838" w:right="1609"/>
      </w:pPr>
      <w:r>
        <w:rPr>
          <w:spacing w:val="-3"/>
        </w:rPr>
        <w:t>应检查显示功能，并应对电压、电流、故障、声光报警等功能进行试验检测和验证；</w:t>
      </w:r>
      <w:r>
        <w:rPr>
          <w:spacing w:val="-3"/>
        </w:rPr>
        <w:t xml:space="preserve">   </w:t>
      </w:r>
      <w:r>
        <w:rPr>
          <w:spacing w:val="-3"/>
        </w:rPr>
        <w:t>应调试自动巡检功能，并应对各泵的巡检动作、时间、周期、频率和转速等进行试验检测</w:t>
      </w:r>
    </w:p>
    <w:p w14:paraId="09236272" w14:textId="77777777" w:rsidR="00A71EEF" w:rsidRDefault="0081115D">
      <w:pPr>
        <w:pStyle w:val="a3"/>
        <w:ind w:left="418"/>
      </w:pPr>
      <w:r>
        <w:t>和验证；</w:t>
      </w:r>
      <w:r>
        <w:t xml:space="preserve"> </w:t>
      </w:r>
    </w:p>
    <w:p w14:paraId="2D847300" w14:textId="77777777" w:rsidR="00A71EEF" w:rsidRDefault="00A71EEF">
      <w:pPr>
        <w:pStyle w:val="a3"/>
        <w:spacing w:before="10"/>
        <w:rPr>
          <w:sz w:val="17"/>
        </w:rPr>
      </w:pPr>
    </w:p>
    <w:p w14:paraId="4D3C9AB2" w14:textId="77777777" w:rsidR="00A71EEF" w:rsidRDefault="0081115D">
      <w:pPr>
        <w:pStyle w:val="a3"/>
        <w:spacing w:line="446" w:lineRule="auto"/>
        <w:ind w:left="838" w:right="6129"/>
      </w:pPr>
      <w:r>
        <w:t>应试验消防水泵的各种强制启泵功能。检查数量：全数检查。</w:t>
      </w:r>
      <w:r>
        <w:t xml:space="preserve"> </w:t>
      </w:r>
    </w:p>
    <w:p w14:paraId="29077462" w14:textId="77777777" w:rsidR="00A71EEF" w:rsidRDefault="0081115D">
      <w:pPr>
        <w:pStyle w:val="a3"/>
        <w:spacing w:before="1"/>
        <w:ind w:left="838"/>
      </w:pPr>
      <w:r>
        <w:t>检查方法：使用电压表、电流表、秒表等仪表和直观检查。</w:t>
      </w:r>
      <w:r>
        <w:t xml:space="preserve"> </w:t>
      </w:r>
    </w:p>
    <w:p w14:paraId="1E08A5A7" w14:textId="77777777" w:rsidR="00A71EEF" w:rsidRDefault="00A71EEF">
      <w:pPr>
        <w:pStyle w:val="a3"/>
        <w:spacing w:before="12"/>
        <w:rPr>
          <w:sz w:val="17"/>
        </w:rPr>
      </w:pPr>
    </w:p>
    <w:p w14:paraId="4CC7A72C" w14:textId="77777777" w:rsidR="00A71EEF" w:rsidRDefault="0081115D">
      <w:pPr>
        <w:pStyle w:val="a4"/>
        <w:numPr>
          <w:ilvl w:val="2"/>
          <w:numId w:val="224"/>
        </w:numPr>
        <w:tabs>
          <w:tab w:val="left" w:pos="1635"/>
        </w:tabs>
        <w:ind w:left="1634" w:hanging="795"/>
        <w:rPr>
          <w:sz w:val="21"/>
        </w:rPr>
      </w:pPr>
      <w:r>
        <w:rPr>
          <w:spacing w:val="-6"/>
          <w:sz w:val="21"/>
        </w:rPr>
        <w:t>联锁试验应符合下列要求，并应按本规范表</w:t>
      </w:r>
      <w:r>
        <w:rPr>
          <w:spacing w:val="-6"/>
          <w:sz w:val="21"/>
        </w:rPr>
        <w:t xml:space="preserve"> </w:t>
      </w:r>
      <w:r>
        <w:rPr>
          <w:sz w:val="21"/>
        </w:rPr>
        <w:t>C.0.4</w:t>
      </w:r>
      <w:r>
        <w:rPr>
          <w:spacing w:val="-9"/>
          <w:sz w:val="21"/>
        </w:rPr>
        <w:t xml:space="preserve"> </w:t>
      </w:r>
      <w:r>
        <w:rPr>
          <w:spacing w:val="-9"/>
          <w:sz w:val="21"/>
        </w:rPr>
        <w:t>的要求进行记录：</w:t>
      </w:r>
      <w:r>
        <w:rPr>
          <w:spacing w:val="-9"/>
          <w:sz w:val="21"/>
        </w:rPr>
        <w:t xml:space="preserve"> </w:t>
      </w:r>
    </w:p>
    <w:p w14:paraId="226522F8" w14:textId="77777777" w:rsidR="00A71EEF" w:rsidRDefault="00A71EEF">
      <w:pPr>
        <w:pStyle w:val="a3"/>
        <w:spacing w:before="2"/>
        <w:rPr>
          <w:sz w:val="18"/>
        </w:rPr>
      </w:pPr>
    </w:p>
    <w:p w14:paraId="1CFB51B9" w14:textId="77777777" w:rsidR="00A71EEF" w:rsidRDefault="0081115D">
      <w:pPr>
        <w:pStyle w:val="a3"/>
        <w:spacing w:line="446" w:lineRule="auto"/>
        <w:ind w:left="418" w:right="1505" w:firstLine="419"/>
      </w:pPr>
      <w:r>
        <w:rPr>
          <w:spacing w:val="-6"/>
        </w:rPr>
        <w:t>干式消火栓系统联锁试验，当打开</w:t>
      </w:r>
      <w:r>
        <w:rPr>
          <w:spacing w:val="-6"/>
        </w:rPr>
        <w:t xml:space="preserve"> </w:t>
      </w:r>
      <w:r>
        <w:t>1</w:t>
      </w:r>
      <w:r>
        <w:rPr>
          <w:spacing w:val="-13"/>
        </w:rPr>
        <w:t xml:space="preserve"> </w:t>
      </w:r>
      <w:r>
        <w:rPr>
          <w:spacing w:val="-13"/>
        </w:rPr>
        <w:t>个消火栓或模拟</w:t>
      </w:r>
      <w:r>
        <w:rPr>
          <w:spacing w:val="-13"/>
        </w:rPr>
        <w:t xml:space="preserve"> </w:t>
      </w:r>
      <w:r>
        <w:t>1</w:t>
      </w:r>
      <w:r>
        <w:rPr>
          <w:spacing w:val="-9"/>
        </w:rPr>
        <w:t xml:space="preserve"> </w:t>
      </w:r>
      <w:r>
        <w:rPr>
          <w:spacing w:val="-9"/>
        </w:rPr>
        <w:t>个消火栓的排气量排气时，干式报警阀</w:t>
      </w:r>
      <w:r>
        <w:rPr>
          <w:spacing w:val="-3"/>
        </w:rPr>
        <w:t>（</w:t>
      </w:r>
      <w:r>
        <w:rPr>
          <w:spacing w:val="-2"/>
        </w:rPr>
        <w:t>电动阀</w:t>
      </w:r>
      <w:r>
        <w:rPr>
          <w:spacing w:val="-3"/>
        </w:rPr>
        <w:t>/</w:t>
      </w:r>
      <w:r>
        <w:rPr>
          <w:spacing w:val="-2"/>
        </w:rPr>
        <w:t>电磁阀</w:t>
      </w:r>
      <w:r>
        <w:rPr>
          <w:spacing w:val="-3"/>
        </w:rPr>
        <w:t>）应及时启动，压力开关应发出信号或联锁启动消防防水泵，水力警铃动作应发出机械报警信号；</w:t>
      </w:r>
      <w:r>
        <w:t xml:space="preserve"> </w:t>
      </w:r>
    </w:p>
    <w:p w14:paraId="707AE093" w14:textId="77777777" w:rsidR="00A71EEF" w:rsidRDefault="0081115D">
      <w:pPr>
        <w:pStyle w:val="a3"/>
        <w:spacing w:line="446" w:lineRule="auto"/>
        <w:ind w:left="418" w:right="1608" w:firstLine="419"/>
        <w:jc w:val="both"/>
      </w:pPr>
      <w:r>
        <w:t>消防给水系统的试验管放水时，管网压力应持续降低，消防水泵出水干管上压力开关应能自动启动消防水泵；消防给水系统的试验管放水或高位消防水箱排水管放水时，高位消防水箱出水管上的流量开关应动作，且应能自动启动消防水泵；</w:t>
      </w:r>
      <w:r>
        <w:t xml:space="preserve"> </w:t>
      </w:r>
    </w:p>
    <w:p w14:paraId="35065459" w14:textId="77777777" w:rsidR="00A71EEF" w:rsidRDefault="0081115D">
      <w:pPr>
        <w:pStyle w:val="a3"/>
        <w:spacing w:line="446" w:lineRule="auto"/>
        <w:ind w:left="838" w:right="3714"/>
      </w:pPr>
      <w:r>
        <w:t>自动启动时间应符合设计要求和本规范第</w:t>
      </w:r>
      <w:r>
        <w:t xml:space="preserve"> 11.0.3 </w:t>
      </w:r>
      <w:r>
        <w:t>条的有关规定。检查数量：全数检查。</w:t>
      </w:r>
      <w:r>
        <w:t xml:space="preserve"> </w:t>
      </w:r>
    </w:p>
    <w:p w14:paraId="4EDEB85E" w14:textId="77777777" w:rsidR="00A71EEF" w:rsidRDefault="0081115D">
      <w:pPr>
        <w:spacing w:line="446" w:lineRule="auto"/>
        <w:ind w:left="840" w:right="7600" w:hanging="3"/>
        <w:rPr>
          <w:sz w:val="21"/>
        </w:rPr>
      </w:pPr>
      <w:r>
        <w:rPr>
          <w:sz w:val="21"/>
        </w:rPr>
        <w:t>检查方法：直</w:t>
      </w:r>
      <w:r>
        <w:rPr>
          <w:sz w:val="21"/>
        </w:rPr>
        <w:t>观检查。</w:t>
      </w:r>
      <w:r>
        <w:rPr>
          <w:b/>
          <w:sz w:val="21"/>
        </w:rPr>
        <w:t xml:space="preserve">13.2 </w:t>
      </w:r>
      <w:r>
        <w:rPr>
          <w:sz w:val="21"/>
        </w:rPr>
        <w:t>系统验收</w:t>
      </w:r>
      <w:r>
        <w:rPr>
          <w:sz w:val="21"/>
        </w:rPr>
        <w:t xml:space="preserve"> </w:t>
      </w:r>
    </w:p>
    <w:p w14:paraId="5153C66A" w14:textId="77777777" w:rsidR="00A71EEF" w:rsidRDefault="0081115D">
      <w:pPr>
        <w:pStyle w:val="a4"/>
        <w:numPr>
          <w:ilvl w:val="2"/>
          <w:numId w:val="223"/>
        </w:numPr>
        <w:tabs>
          <w:tab w:val="left" w:pos="1530"/>
        </w:tabs>
        <w:spacing w:line="446" w:lineRule="auto"/>
        <w:ind w:right="1549" w:firstLine="422"/>
        <w:rPr>
          <w:sz w:val="21"/>
        </w:rPr>
      </w:pPr>
      <w:r>
        <w:rPr>
          <w:spacing w:val="-3"/>
          <w:sz w:val="21"/>
        </w:rPr>
        <w:t>系统竣工后，必须进行工程验收，验收应由建设单位组织质检、设计、施工、监理参加，验收不合格不应投入使用。</w:t>
      </w:r>
      <w:r>
        <w:rPr>
          <w:sz w:val="21"/>
        </w:rPr>
        <w:t xml:space="preserve"> </w:t>
      </w:r>
    </w:p>
    <w:p w14:paraId="15EFA94D" w14:textId="77777777" w:rsidR="00A71EEF" w:rsidRDefault="0081115D">
      <w:pPr>
        <w:pStyle w:val="a4"/>
        <w:numPr>
          <w:ilvl w:val="2"/>
          <w:numId w:val="223"/>
        </w:numPr>
        <w:tabs>
          <w:tab w:val="left" w:pos="1530"/>
        </w:tabs>
        <w:ind w:left="1529" w:hanging="690"/>
        <w:rPr>
          <w:sz w:val="21"/>
        </w:rPr>
      </w:pPr>
      <w:r>
        <w:rPr>
          <w:spacing w:val="-6"/>
          <w:sz w:val="21"/>
        </w:rPr>
        <w:t>消防给水及消火栓系统工程验收应按本规范附录</w:t>
      </w:r>
      <w:r>
        <w:rPr>
          <w:spacing w:val="-6"/>
          <w:sz w:val="21"/>
        </w:rPr>
        <w:t xml:space="preserve"> </w:t>
      </w:r>
      <w:r>
        <w:rPr>
          <w:sz w:val="21"/>
        </w:rPr>
        <w:t>E</w:t>
      </w:r>
      <w:r>
        <w:rPr>
          <w:spacing w:val="-10"/>
          <w:sz w:val="21"/>
        </w:rPr>
        <w:t xml:space="preserve"> </w:t>
      </w:r>
      <w:r>
        <w:rPr>
          <w:spacing w:val="-10"/>
          <w:sz w:val="21"/>
        </w:rPr>
        <w:t>的要求填写。</w:t>
      </w:r>
      <w:r>
        <w:rPr>
          <w:sz w:val="21"/>
        </w:rPr>
        <w:t xml:space="preserve"> </w:t>
      </w:r>
    </w:p>
    <w:p w14:paraId="263EABD1" w14:textId="77777777" w:rsidR="00A71EEF" w:rsidRDefault="00A71EEF">
      <w:pPr>
        <w:pStyle w:val="a3"/>
        <w:spacing w:before="8"/>
        <w:rPr>
          <w:sz w:val="17"/>
        </w:rPr>
      </w:pPr>
    </w:p>
    <w:p w14:paraId="4D523748" w14:textId="77777777" w:rsidR="00A71EEF" w:rsidRDefault="0081115D">
      <w:pPr>
        <w:pStyle w:val="a4"/>
        <w:numPr>
          <w:ilvl w:val="2"/>
          <w:numId w:val="223"/>
        </w:numPr>
        <w:tabs>
          <w:tab w:val="left" w:pos="1530"/>
        </w:tabs>
        <w:spacing w:line="446" w:lineRule="auto"/>
        <w:ind w:left="838" w:right="5228" w:firstLine="2"/>
        <w:rPr>
          <w:sz w:val="21"/>
        </w:rPr>
      </w:pPr>
      <w:r>
        <w:rPr>
          <w:spacing w:val="-3"/>
          <w:sz w:val="21"/>
        </w:rPr>
        <w:t>系统验收时，施工单位应提供下列资料：</w:t>
      </w:r>
      <w:r>
        <w:rPr>
          <w:spacing w:val="-3"/>
          <w:sz w:val="21"/>
        </w:rPr>
        <w:t xml:space="preserve"> </w:t>
      </w:r>
      <w:r>
        <w:rPr>
          <w:spacing w:val="-3"/>
          <w:sz w:val="21"/>
        </w:rPr>
        <w:t>竣工验收申请报告、设计文件、竣工资料；</w:t>
      </w:r>
      <w:r>
        <w:rPr>
          <w:sz w:val="21"/>
        </w:rPr>
        <w:t xml:space="preserve"> </w:t>
      </w:r>
    </w:p>
    <w:p w14:paraId="661FB47F" w14:textId="77777777" w:rsidR="00A71EEF" w:rsidRDefault="0081115D">
      <w:pPr>
        <w:pStyle w:val="a3"/>
        <w:spacing w:line="446" w:lineRule="auto"/>
        <w:ind w:left="838" w:right="6337"/>
      </w:pPr>
      <w:r>
        <w:t>消防给水及消火栓系统的调试报告；</w:t>
      </w:r>
      <w:r>
        <w:t xml:space="preserve"> </w:t>
      </w:r>
      <w:r>
        <w:t>工程质量事故处理报告；</w:t>
      </w:r>
      <w:r>
        <w:t xml:space="preserve"> </w:t>
      </w:r>
    </w:p>
    <w:p w14:paraId="695C6931" w14:textId="77777777" w:rsidR="00A71EEF" w:rsidRDefault="0081115D">
      <w:pPr>
        <w:pStyle w:val="a3"/>
        <w:spacing w:line="267" w:lineRule="exact"/>
        <w:ind w:left="838"/>
      </w:pPr>
      <w:r>
        <w:t>施工现场质量管理检查记录；</w:t>
      </w:r>
      <w:r>
        <w:t xml:space="preserve"> </w:t>
      </w:r>
    </w:p>
    <w:p w14:paraId="193C5CB6" w14:textId="77777777" w:rsidR="00A71EEF" w:rsidRDefault="00A71EEF">
      <w:pPr>
        <w:pStyle w:val="a3"/>
        <w:spacing w:before="2"/>
        <w:rPr>
          <w:sz w:val="18"/>
        </w:rPr>
      </w:pPr>
    </w:p>
    <w:p w14:paraId="3BBD78C6" w14:textId="77777777" w:rsidR="00A71EEF" w:rsidRDefault="0081115D">
      <w:pPr>
        <w:pStyle w:val="a3"/>
        <w:ind w:left="838"/>
      </w:pPr>
      <w:r>
        <w:t>消防给水及消火栓系统施工过程质量管理检查记录；</w:t>
      </w:r>
      <w:r>
        <w:t xml:space="preserve"> </w:t>
      </w:r>
    </w:p>
    <w:p w14:paraId="6ECF28C8" w14:textId="77777777" w:rsidR="00A71EEF" w:rsidRDefault="00A71EEF">
      <w:pPr>
        <w:sectPr w:rsidR="00A71EEF">
          <w:pgSz w:w="11910" w:h="16850"/>
          <w:pgMar w:top="1220" w:right="0" w:bottom="1420" w:left="1260" w:header="0" w:footer="1239" w:gutter="0"/>
          <w:cols w:space="720"/>
        </w:sectPr>
      </w:pPr>
    </w:p>
    <w:p w14:paraId="1C5C6D3B" w14:textId="77777777" w:rsidR="00A71EEF" w:rsidRDefault="0081115D">
      <w:pPr>
        <w:pStyle w:val="a3"/>
        <w:spacing w:before="47"/>
        <w:ind w:left="838"/>
      </w:pPr>
      <w:r>
        <w:t>消防给水及消火栓系统质量控制检查资料。</w:t>
      </w:r>
      <w:r>
        <w:t xml:space="preserve"> </w:t>
      </w:r>
    </w:p>
    <w:p w14:paraId="20D72B8E" w14:textId="77777777" w:rsidR="00A71EEF" w:rsidRDefault="00A71EEF">
      <w:pPr>
        <w:pStyle w:val="a3"/>
        <w:rPr>
          <w:sz w:val="18"/>
        </w:rPr>
      </w:pPr>
    </w:p>
    <w:p w14:paraId="79AEA61F" w14:textId="77777777" w:rsidR="00A71EEF" w:rsidRDefault="0081115D">
      <w:pPr>
        <w:pStyle w:val="a4"/>
        <w:numPr>
          <w:ilvl w:val="2"/>
          <w:numId w:val="223"/>
        </w:numPr>
        <w:tabs>
          <w:tab w:val="left" w:pos="1530"/>
        </w:tabs>
        <w:ind w:left="1529" w:hanging="690"/>
        <w:rPr>
          <w:sz w:val="21"/>
        </w:rPr>
      </w:pPr>
      <w:r>
        <w:rPr>
          <w:spacing w:val="-3"/>
          <w:sz w:val="21"/>
        </w:rPr>
        <w:t>水源的检查验收应符合下列要求：</w:t>
      </w:r>
      <w:r>
        <w:rPr>
          <w:sz w:val="21"/>
        </w:rPr>
        <w:t xml:space="preserve"> </w:t>
      </w:r>
    </w:p>
    <w:p w14:paraId="3C27F4AA" w14:textId="77777777" w:rsidR="00A71EEF" w:rsidRDefault="00A71EEF">
      <w:pPr>
        <w:pStyle w:val="a3"/>
        <w:rPr>
          <w:sz w:val="18"/>
        </w:rPr>
      </w:pPr>
    </w:p>
    <w:p w14:paraId="63E1EBE8" w14:textId="77777777" w:rsidR="00A71EEF" w:rsidRDefault="0081115D">
      <w:pPr>
        <w:pStyle w:val="a3"/>
        <w:spacing w:line="446" w:lineRule="auto"/>
        <w:ind w:left="418" w:right="1608" w:firstLine="419"/>
      </w:pPr>
      <w:r>
        <w:t>应检查室外给水管网的进水管管径及供水能力，并应检查高位消防水箱、高位消防水池和消防水池等的有效容积和水位测量装置等应符合设计要求；</w:t>
      </w:r>
      <w:r>
        <w:t xml:space="preserve"> </w:t>
      </w:r>
    </w:p>
    <w:p w14:paraId="6D240E6D" w14:textId="77777777" w:rsidR="00A71EEF" w:rsidRDefault="0081115D">
      <w:pPr>
        <w:pStyle w:val="a3"/>
        <w:ind w:left="838"/>
      </w:pPr>
      <w:r>
        <w:t>当采用地表天然水源作为消防水源时，其水位、水量、水质等应符合设计要求；</w:t>
      </w:r>
      <w:r>
        <w:t xml:space="preserve"> </w:t>
      </w:r>
    </w:p>
    <w:p w14:paraId="1B4A6210" w14:textId="77777777" w:rsidR="00A71EEF" w:rsidRDefault="00A71EEF">
      <w:pPr>
        <w:pStyle w:val="a3"/>
        <w:spacing w:before="12"/>
        <w:rPr>
          <w:sz w:val="17"/>
        </w:rPr>
      </w:pPr>
    </w:p>
    <w:p w14:paraId="0FA0BA09" w14:textId="77777777" w:rsidR="00A71EEF" w:rsidRDefault="0081115D">
      <w:pPr>
        <w:pStyle w:val="a3"/>
        <w:spacing w:line="446" w:lineRule="auto"/>
        <w:ind w:left="418" w:right="1609" w:firstLine="419"/>
      </w:pPr>
      <w:r>
        <w:t>应根据有效水文资料检查天然水源枯水期最低水位、常水位和洪水位时确保消防用水应符合设计要求。</w:t>
      </w:r>
      <w:r>
        <w:t xml:space="preserve"> </w:t>
      </w:r>
    </w:p>
    <w:p w14:paraId="240DA3EB" w14:textId="77777777" w:rsidR="00A71EEF" w:rsidRDefault="0081115D">
      <w:pPr>
        <w:pStyle w:val="a3"/>
        <w:spacing w:line="446" w:lineRule="auto"/>
        <w:ind w:left="418" w:right="1609" w:firstLine="419"/>
      </w:pPr>
      <w:r>
        <w:t>应根据地下水井抽水试验资料确定常水位、最低水位、出水量和水位测量装置等技术参数和装备应符合设计要求。</w:t>
      </w:r>
      <w:r>
        <w:t xml:space="preserve"> </w:t>
      </w:r>
    </w:p>
    <w:p w14:paraId="3A562E23" w14:textId="77777777" w:rsidR="00A71EEF" w:rsidRDefault="0081115D">
      <w:pPr>
        <w:pStyle w:val="a3"/>
        <w:ind w:left="838"/>
      </w:pPr>
      <w:r>
        <w:t>检查数量：全数检查。</w:t>
      </w:r>
      <w:r>
        <w:t xml:space="preserve"> </w:t>
      </w:r>
    </w:p>
    <w:p w14:paraId="1734BE4C" w14:textId="77777777" w:rsidR="00A71EEF" w:rsidRDefault="00A71EEF">
      <w:pPr>
        <w:pStyle w:val="a3"/>
        <w:rPr>
          <w:sz w:val="18"/>
        </w:rPr>
      </w:pPr>
    </w:p>
    <w:p w14:paraId="5D752B52" w14:textId="77777777" w:rsidR="00A71EEF" w:rsidRDefault="0081115D">
      <w:pPr>
        <w:pStyle w:val="a3"/>
        <w:ind w:left="838"/>
      </w:pPr>
      <w:r>
        <w:t>检查方法：对照设计资料直观检查。</w:t>
      </w:r>
      <w:r>
        <w:t xml:space="preserve"> </w:t>
      </w:r>
    </w:p>
    <w:p w14:paraId="730BCE17" w14:textId="77777777" w:rsidR="00A71EEF" w:rsidRDefault="00A71EEF">
      <w:pPr>
        <w:pStyle w:val="a3"/>
        <w:spacing w:before="12"/>
        <w:rPr>
          <w:sz w:val="17"/>
        </w:rPr>
      </w:pPr>
    </w:p>
    <w:p w14:paraId="26EE3860" w14:textId="77777777" w:rsidR="00A71EEF" w:rsidRDefault="0081115D">
      <w:pPr>
        <w:pStyle w:val="a4"/>
        <w:numPr>
          <w:ilvl w:val="2"/>
          <w:numId w:val="223"/>
        </w:numPr>
        <w:tabs>
          <w:tab w:val="left" w:pos="1530"/>
        </w:tabs>
        <w:ind w:left="1529" w:hanging="690"/>
        <w:jc w:val="both"/>
        <w:rPr>
          <w:sz w:val="21"/>
        </w:rPr>
      </w:pPr>
      <w:r>
        <w:rPr>
          <w:spacing w:val="-3"/>
          <w:sz w:val="21"/>
        </w:rPr>
        <w:t>消防水泵房的验收应符合下列要求：</w:t>
      </w:r>
      <w:r>
        <w:rPr>
          <w:sz w:val="21"/>
        </w:rPr>
        <w:t xml:space="preserve"> </w:t>
      </w:r>
    </w:p>
    <w:p w14:paraId="1BF583A2" w14:textId="77777777" w:rsidR="00A71EEF" w:rsidRDefault="00A71EEF">
      <w:pPr>
        <w:pStyle w:val="a3"/>
        <w:spacing w:before="2"/>
        <w:rPr>
          <w:sz w:val="18"/>
        </w:rPr>
      </w:pPr>
    </w:p>
    <w:p w14:paraId="34C79FA4" w14:textId="77777777" w:rsidR="00A71EEF" w:rsidRDefault="0081115D">
      <w:pPr>
        <w:pStyle w:val="a3"/>
        <w:spacing w:line="446" w:lineRule="auto"/>
        <w:ind w:left="418" w:right="1923" w:firstLine="419"/>
        <w:jc w:val="both"/>
      </w:pPr>
      <w:r>
        <w:t>消防水泵房的建筑防火要求应符合设计要求和现行国家标准《建筑设计防火规范》</w:t>
      </w:r>
      <w:r>
        <w:t xml:space="preserve">GB 50016 </w:t>
      </w:r>
      <w:r>
        <w:t>的有关规定；</w:t>
      </w:r>
      <w:r>
        <w:t xml:space="preserve"> </w:t>
      </w:r>
    </w:p>
    <w:p w14:paraId="69441C7C" w14:textId="77777777" w:rsidR="00A71EEF" w:rsidRDefault="0081115D">
      <w:pPr>
        <w:pStyle w:val="a3"/>
        <w:spacing w:line="446" w:lineRule="auto"/>
        <w:ind w:left="838" w:right="4446"/>
        <w:jc w:val="both"/>
      </w:pPr>
      <w:r>
        <w:t>消防水泵房设置的应急照明、安全出口应符合设计要求；</w:t>
      </w:r>
      <w:r>
        <w:t xml:space="preserve"> </w:t>
      </w:r>
      <w:r>
        <w:t>消防水泵房的采暖通风、排水和防洪等应符合设计要求；</w:t>
      </w:r>
      <w:r>
        <w:t xml:space="preserve"> </w:t>
      </w:r>
      <w:r>
        <w:t>消防水泵房的设备进出和维修安装空间应满足设备要求；</w:t>
      </w:r>
      <w:r>
        <w:t xml:space="preserve"> </w:t>
      </w:r>
      <w:r>
        <w:t>消防水泵控制柜的安装位置和防护等级应符合设计要求。检查数量：全数检查。</w:t>
      </w:r>
      <w:r>
        <w:t xml:space="preserve"> </w:t>
      </w:r>
    </w:p>
    <w:p w14:paraId="7505ACF1" w14:textId="77777777" w:rsidR="00A71EEF" w:rsidRDefault="0081115D">
      <w:pPr>
        <w:pStyle w:val="a3"/>
        <w:spacing w:line="268" w:lineRule="exact"/>
        <w:ind w:left="838"/>
      </w:pPr>
      <w:r>
        <w:t>检查方法：对照图纸直观检查。</w:t>
      </w:r>
      <w:r>
        <w:t xml:space="preserve"> </w:t>
      </w:r>
    </w:p>
    <w:p w14:paraId="75C888F7" w14:textId="77777777" w:rsidR="00A71EEF" w:rsidRDefault="00A71EEF">
      <w:pPr>
        <w:pStyle w:val="a3"/>
        <w:spacing w:before="10"/>
        <w:rPr>
          <w:sz w:val="17"/>
        </w:rPr>
      </w:pPr>
    </w:p>
    <w:p w14:paraId="293B6FD5" w14:textId="77777777" w:rsidR="00A71EEF" w:rsidRDefault="0081115D">
      <w:pPr>
        <w:pStyle w:val="a4"/>
        <w:numPr>
          <w:ilvl w:val="2"/>
          <w:numId w:val="223"/>
        </w:numPr>
        <w:tabs>
          <w:tab w:val="left" w:pos="1478"/>
        </w:tabs>
        <w:ind w:left="1477" w:hanging="638"/>
        <w:rPr>
          <w:sz w:val="21"/>
        </w:rPr>
      </w:pPr>
      <w:r>
        <w:rPr>
          <w:spacing w:val="-3"/>
          <w:sz w:val="21"/>
        </w:rPr>
        <w:t>消防水泵验收应符合下列要求：</w:t>
      </w:r>
      <w:r>
        <w:rPr>
          <w:sz w:val="21"/>
        </w:rPr>
        <w:t xml:space="preserve"> </w:t>
      </w:r>
    </w:p>
    <w:p w14:paraId="683DFAD8" w14:textId="77777777" w:rsidR="00A71EEF" w:rsidRDefault="00A71EEF">
      <w:pPr>
        <w:pStyle w:val="a3"/>
        <w:spacing w:before="2"/>
        <w:rPr>
          <w:sz w:val="18"/>
        </w:rPr>
      </w:pPr>
    </w:p>
    <w:p w14:paraId="2CCD20B6" w14:textId="77777777" w:rsidR="00A71EEF" w:rsidRDefault="0081115D">
      <w:pPr>
        <w:pStyle w:val="a3"/>
        <w:ind w:left="838"/>
      </w:pPr>
      <w:r>
        <w:t>消防水泵运转应平稳，应无不良噪声的振动；</w:t>
      </w:r>
      <w:r>
        <w:t xml:space="preserve"> </w:t>
      </w:r>
    </w:p>
    <w:p w14:paraId="546CC3B4" w14:textId="77777777" w:rsidR="00A71EEF" w:rsidRDefault="00A71EEF">
      <w:pPr>
        <w:pStyle w:val="a3"/>
        <w:spacing w:before="12"/>
        <w:rPr>
          <w:sz w:val="17"/>
        </w:rPr>
      </w:pPr>
    </w:p>
    <w:p w14:paraId="6B9CA535" w14:textId="77777777" w:rsidR="00A71EEF" w:rsidRDefault="0081115D">
      <w:pPr>
        <w:pStyle w:val="a3"/>
        <w:spacing w:before="1" w:line="446" w:lineRule="auto"/>
        <w:ind w:left="418" w:right="1608" w:firstLine="419"/>
        <w:jc w:val="both"/>
      </w:pPr>
      <w:r>
        <w:t>工作泵、备用泵、吸水管、出水管及出水管上的泄压阀、水锤消除设施、止回阀、信号阀等的规格、型号、数量，应符合设计要求；吸水管、出水管上的控制阀应锁定在常开位置，并应有明显</w:t>
      </w:r>
      <w:r>
        <w:t>标记；</w:t>
      </w:r>
      <w:r>
        <w:t xml:space="preserve"> </w:t>
      </w:r>
    </w:p>
    <w:p w14:paraId="737AD3C4" w14:textId="77777777" w:rsidR="00A71EEF" w:rsidRDefault="0081115D">
      <w:pPr>
        <w:pStyle w:val="a3"/>
        <w:spacing w:line="268" w:lineRule="exact"/>
        <w:ind w:left="838"/>
      </w:pPr>
      <w:r>
        <w:t>消防水泵应采用自灌式引水方式，并应保证全部有效储水被有效利用；</w:t>
      </w:r>
      <w:r>
        <w:t xml:space="preserve"> </w:t>
      </w:r>
    </w:p>
    <w:p w14:paraId="4A1B0D99" w14:textId="77777777" w:rsidR="00A71EEF" w:rsidRDefault="00A71EEF">
      <w:pPr>
        <w:pStyle w:val="a3"/>
        <w:spacing w:before="12"/>
        <w:rPr>
          <w:sz w:val="17"/>
        </w:rPr>
      </w:pPr>
    </w:p>
    <w:p w14:paraId="0AE5891E" w14:textId="77777777" w:rsidR="00A71EEF" w:rsidRDefault="0081115D">
      <w:pPr>
        <w:pStyle w:val="a3"/>
        <w:spacing w:line="446" w:lineRule="auto"/>
        <w:ind w:left="418" w:right="1609" w:firstLine="419"/>
      </w:pPr>
      <w:r>
        <w:t>分别开启系统中的每一个末端试水装置、试水阀和试验消火栓，水流指示器、压力开关、压力开关（管网）、高位消防水箱流量开关等信号的功能，均应符合设计要求；</w:t>
      </w:r>
      <w:r>
        <w:t xml:space="preserve"> </w:t>
      </w:r>
    </w:p>
    <w:p w14:paraId="22C9F1E8" w14:textId="77777777" w:rsidR="00A71EEF" w:rsidRDefault="00A71EEF">
      <w:pPr>
        <w:spacing w:line="446" w:lineRule="auto"/>
        <w:sectPr w:rsidR="00A71EEF">
          <w:pgSz w:w="11910" w:h="16850"/>
          <w:pgMar w:top="1220" w:right="0" w:bottom="1420" w:left="1260" w:header="0" w:footer="1239" w:gutter="0"/>
          <w:cols w:space="720"/>
        </w:sectPr>
      </w:pPr>
    </w:p>
    <w:p w14:paraId="385218FD" w14:textId="77777777" w:rsidR="00A71EEF" w:rsidRDefault="0081115D">
      <w:pPr>
        <w:pStyle w:val="a3"/>
        <w:spacing w:before="47" w:line="446" w:lineRule="auto"/>
        <w:ind w:left="418" w:right="1609" w:firstLine="419"/>
        <w:jc w:val="both"/>
      </w:pPr>
      <w:r>
        <w:t>打开消防水泵出水管上试水阀，当采用主电源启动消防水泵时，消防水泵应启动正常；关掉主电源，主、备电源应能正常切换；备用泵启动和相互切换正常；消防水泵就地和远程启停功能应正常；</w:t>
      </w:r>
      <w:r>
        <w:t xml:space="preserve"> </w:t>
      </w:r>
    </w:p>
    <w:p w14:paraId="4095753B" w14:textId="77777777" w:rsidR="00A71EEF" w:rsidRDefault="0081115D">
      <w:pPr>
        <w:pStyle w:val="a3"/>
        <w:spacing w:line="446" w:lineRule="auto"/>
        <w:ind w:left="838" w:right="1928"/>
      </w:pPr>
      <w:r>
        <w:rPr>
          <w:spacing w:val="-5"/>
        </w:rPr>
        <w:t>消防水泵停泵时，水锤消除设施后的压力不应超过水泵出口设计工作压力的</w:t>
      </w:r>
      <w:r>
        <w:rPr>
          <w:spacing w:val="-5"/>
        </w:rPr>
        <w:t xml:space="preserve"> </w:t>
      </w:r>
      <w:r>
        <w:t>1.4</w:t>
      </w:r>
      <w:r>
        <w:rPr>
          <w:spacing w:val="-17"/>
        </w:rPr>
        <w:t xml:space="preserve"> </w:t>
      </w:r>
      <w:r>
        <w:rPr>
          <w:spacing w:val="-17"/>
        </w:rPr>
        <w:t>倍；</w:t>
      </w:r>
      <w:r>
        <w:rPr>
          <w:spacing w:val="-17"/>
        </w:rPr>
        <w:t xml:space="preserve"> </w:t>
      </w:r>
      <w:r>
        <w:rPr>
          <w:spacing w:val="-3"/>
        </w:rPr>
        <w:t>消防水泵启动控制应置于自动启动挡；</w:t>
      </w:r>
      <w:r>
        <w:t xml:space="preserve"> </w:t>
      </w:r>
    </w:p>
    <w:p w14:paraId="40BF31AC" w14:textId="77777777" w:rsidR="00A71EEF" w:rsidRDefault="0081115D">
      <w:pPr>
        <w:pStyle w:val="a3"/>
        <w:spacing w:line="446" w:lineRule="auto"/>
        <w:ind w:left="838" w:right="2134"/>
      </w:pPr>
      <w:r>
        <w:rPr>
          <w:spacing w:val="-3"/>
        </w:rPr>
        <w:t>采用固定和移动式流量计和压力表测试消防水泵的性能，水泵性能应满足设计要求检查数量：全数检查。</w:t>
      </w:r>
      <w:r>
        <w:t xml:space="preserve"> </w:t>
      </w:r>
    </w:p>
    <w:p w14:paraId="01E17A24" w14:textId="77777777" w:rsidR="00A71EEF" w:rsidRDefault="0081115D">
      <w:pPr>
        <w:pStyle w:val="a3"/>
        <w:ind w:left="838"/>
      </w:pPr>
      <w:r>
        <w:t>检查方法：直观检查和采用仪表检测。</w:t>
      </w:r>
      <w:r>
        <w:t xml:space="preserve"> </w:t>
      </w:r>
    </w:p>
    <w:p w14:paraId="421764B6" w14:textId="77777777" w:rsidR="00A71EEF" w:rsidRDefault="00A71EEF">
      <w:pPr>
        <w:pStyle w:val="a3"/>
        <w:spacing w:before="9"/>
        <w:rPr>
          <w:sz w:val="17"/>
        </w:rPr>
      </w:pPr>
    </w:p>
    <w:p w14:paraId="167F655A" w14:textId="77777777" w:rsidR="00A71EEF" w:rsidRDefault="0081115D">
      <w:pPr>
        <w:pStyle w:val="a4"/>
        <w:numPr>
          <w:ilvl w:val="2"/>
          <w:numId w:val="223"/>
        </w:numPr>
        <w:tabs>
          <w:tab w:val="left" w:pos="1530"/>
        </w:tabs>
        <w:spacing w:before="1" w:line="446" w:lineRule="auto"/>
        <w:ind w:left="838" w:right="6129" w:firstLine="2"/>
        <w:rPr>
          <w:sz w:val="21"/>
        </w:rPr>
      </w:pPr>
      <w:r>
        <w:rPr>
          <w:spacing w:val="-3"/>
          <w:sz w:val="21"/>
        </w:rPr>
        <w:t>稳压泵验收应符合下列要求：</w:t>
      </w:r>
      <w:r>
        <w:rPr>
          <w:spacing w:val="-3"/>
          <w:sz w:val="21"/>
        </w:rPr>
        <w:t xml:space="preserve"> </w:t>
      </w:r>
      <w:r>
        <w:rPr>
          <w:spacing w:val="-3"/>
          <w:sz w:val="21"/>
        </w:rPr>
        <w:t>稳压泵的型号性能等应符合设计要求；</w:t>
      </w:r>
      <w:r>
        <w:rPr>
          <w:sz w:val="21"/>
        </w:rPr>
        <w:t xml:space="preserve"> </w:t>
      </w:r>
    </w:p>
    <w:p w14:paraId="305FDFE6" w14:textId="77777777" w:rsidR="00A71EEF" w:rsidRDefault="0081115D">
      <w:pPr>
        <w:pStyle w:val="a3"/>
        <w:spacing w:line="446" w:lineRule="auto"/>
        <w:ind w:left="838" w:right="2977"/>
      </w:pPr>
      <w:r>
        <w:rPr>
          <w:spacing w:val="-3"/>
        </w:rPr>
        <w:t>稳压泵的控制应</w:t>
      </w:r>
      <w:r>
        <w:rPr>
          <w:spacing w:val="-3"/>
        </w:rPr>
        <w:t>符合设计要求，并应有防止稳压泵频繁启动的技术措施；</w:t>
      </w:r>
      <w:r>
        <w:rPr>
          <w:spacing w:val="-3"/>
        </w:rPr>
        <w:t xml:space="preserve"> </w:t>
      </w:r>
      <w:r>
        <w:rPr>
          <w:spacing w:val="-12"/>
        </w:rPr>
        <w:t>稳压泵在</w:t>
      </w:r>
      <w:r>
        <w:rPr>
          <w:spacing w:val="-12"/>
        </w:rPr>
        <w:t xml:space="preserve"> </w:t>
      </w:r>
      <w:r>
        <w:t>1h</w:t>
      </w:r>
      <w:r>
        <w:rPr>
          <w:spacing w:val="-11"/>
        </w:rPr>
        <w:t xml:space="preserve"> </w:t>
      </w:r>
      <w:r>
        <w:rPr>
          <w:spacing w:val="-11"/>
        </w:rPr>
        <w:t>内的启停次数应符合设计要求，并不宜大于</w:t>
      </w:r>
      <w:r>
        <w:rPr>
          <w:spacing w:val="-11"/>
        </w:rPr>
        <w:t xml:space="preserve"> </w:t>
      </w:r>
      <w:r>
        <w:t>15</w:t>
      </w:r>
      <w:r>
        <w:rPr>
          <w:spacing w:val="-26"/>
        </w:rPr>
        <w:t xml:space="preserve"> </w:t>
      </w:r>
      <w:r>
        <w:rPr>
          <w:spacing w:val="-26"/>
        </w:rPr>
        <w:t>次</w:t>
      </w:r>
      <w:r>
        <w:t>/h</w:t>
      </w:r>
      <w:r>
        <w:t>；</w:t>
      </w:r>
      <w:r>
        <w:t xml:space="preserve"> </w:t>
      </w:r>
    </w:p>
    <w:p w14:paraId="691D48DA" w14:textId="77777777" w:rsidR="00A71EEF" w:rsidRDefault="0081115D">
      <w:pPr>
        <w:pStyle w:val="a3"/>
        <w:spacing w:line="446" w:lineRule="auto"/>
        <w:ind w:left="838" w:right="1925"/>
      </w:pPr>
      <w:r>
        <w:rPr>
          <w:spacing w:val="-3"/>
        </w:rPr>
        <w:t>稳压泵供电应正常，自动手动启停应正常；关掉主电源，主、备电源应能正常切换；</w:t>
      </w:r>
      <w:r>
        <w:rPr>
          <w:spacing w:val="-3"/>
        </w:rPr>
        <w:t xml:space="preserve"> </w:t>
      </w:r>
      <w:r>
        <w:rPr>
          <w:spacing w:val="-3"/>
        </w:rPr>
        <w:t>检查数量：全数检查。</w:t>
      </w:r>
      <w:r>
        <w:t xml:space="preserve"> </w:t>
      </w:r>
    </w:p>
    <w:p w14:paraId="2380CC48" w14:textId="77777777" w:rsidR="00A71EEF" w:rsidRDefault="0081115D">
      <w:pPr>
        <w:pStyle w:val="a3"/>
        <w:spacing w:line="267" w:lineRule="exact"/>
        <w:ind w:left="838"/>
      </w:pPr>
      <w:r>
        <w:rPr>
          <w:spacing w:val="-3"/>
        </w:rPr>
        <w:t>检查方法：直观检查。</w:t>
      </w:r>
      <w:r>
        <w:t xml:space="preserve"> </w:t>
      </w:r>
    </w:p>
    <w:p w14:paraId="1F29AE04" w14:textId="77777777" w:rsidR="00A71EEF" w:rsidRDefault="00A71EEF">
      <w:pPr>
        <w:pStyle w:val="a3"/>
        <w:spacing w:before="1"/>
        <w:rPr>
          <w:sz w:val="18"/>
        </w:rPr>
      </w:pPr>
    </w:p>
    <w:p w14:paraId="1D058A59" w14:textId="77777777" w:rsidR="00A71EEF" w:rsidRDefault="0081115D">
      <w:pPr>
        <w:pStyle w:val="a4"/>
        <w:numPr>
          <w:ilvl w:val="2"/>
          <w:numId w:val="223"/>
        </w:numPr>
        <w:tabs>
          <w:tab w:val="left" w:pos="1530"/>
        </w:tabs>
        <w:ind w:left="1529" w:hanging="690"/>
        <w:rPr>
          <w:sz w:val="21"/>
        </w:rPr>
      </w:pPr>
      <w:r>
        <w:rPr>
          <w:spacing w:val="-3"/>
          <w:sz w:val="21"/>
        </w:rPr>
        <w:t>减压阀验收应符合下列要求：</w:t>
      </w:r>
      <w:r>
        <w:rPr>
          <w:sz w:val="21"/>
        </w:rPr>
        <w:t xml:space="preserve"> </w:t>
      </w:r>
    </w:p>
    <w:p w14:paraId="78994954" w14:textId="77777777" w:rsidR="00A71EEF" w:rsidRDefault="00A71EEF">
      <w:pPr>
        <w:pStyle w:val="a3"/>
        <w:rPr>
          <w:sz w:val="18"/>
        </w:rPr>
      </w:pPr>
    </w:p>
    <w:p w14:paraId="2B9F02EB" w14:textId="77777777" w:rsidR="00A71EEF" w:rsidRDefault="0081115D">
      <w:pPr>
        <w:pStyle w:val="a3"/>
        <w:ind w:left="838"/>
      </w:pPr>
      <w:r>
        <w:t>减压阀的型号、规格、设计压力和设计流量应符合设计要求；</w:t>
      </w:r>
      <w:r>
        <w:t xml:space="preserve"> </w:t>
      </w:r>
    </w:p>
    <w:p w14:paraId="0E3FBE53" w14:textId="77777777" w:rsidR="00A71EEF" w:rsidRDefault="00A71EEF">
      <w:pPr>
        <w:pStyle w:val="a3"/>
        <w:spacing w:before="12"/>
        <w:rPr>
          <w:sz w:val="17"/>
        </w:rPr>
      </w:pPr>
    </w:p>
    <w:p w14:paraId="3E753E89" w14:textId="77777777" w:rsidR="00A71EEF" w:rsidRDefault="0081115D">
      <w:pPr>
        <w:pStyle w:val="a3"/>
        <w:ind w:left="838"/>
      </w:pPr>
      <w:r>
        <w:t>减压阀阀前应有过滤器，过滤器的过滤面积和孔径应符合设计要求和本规范第</w:t>
      </w:r>
      <w:r>
        <w:t xml:space="preserve"> 8.3.4 </w:t>
      </w:r>
      <w:r>
        <w:t>条第</w:t>
      </w:r>
      <w:r>
        <w:t xml:space="preserve"> 2</w:t>
      </w:r>
    </w:p>
    <w:p w14:paraId="32ECD314" w14:textId="77777777" w:rsidR="00A71EEF" w:rsidRDefault="00A71EEF">
      <w:pPr>
        <w:pStyle w:val="a3"/>
        <w:spacing w:before="2"/>
        <w:rPr>
          <w:sz w:val="18"/>
        </w:rPr>
      </w:pPr>
    </w:p>
    <w:p w14:paraId="426A80C7" w14:textId="77777777" w:rsidR="00A71EEF" w:rsidRDefault="0081115D">
      <w:pPr>
        <w:pStyle w:val="a3"/>
        <w:ind w:left="418"/>
      </w:pPr>
      <w:r>
        <w:t>款的规定；</w:t>
      </w:r>
      <w:r>
        <w:t xml:space="preserve"> </w:t>
      </w:r>
    </w:p>
    <w:p w14:paraId="0ADB3C52" w14:textId="77777777" w:rsidR="00A71EEF" w:rsidRDefault="00A71EEF">
      <w:pPr>
        <w:pStyle w:val="a3"/>
        <w:rPr>
          <w:sz w:val="18"/>
        </w:rPr>
      </w:pPr>
    </w:p>
    <w:p w14:paraId="17A5CA18" w14:textId="77777777" w:rsidR="00A71EEF" w:rsidRDefault="0081115D">
      <w:pPr>
        <w:pStyle w:val="a3"/>
        <w:spacing w:line="446" w:lineRule="auto"/>
        <w:ind w:left="838" w:right="5709"/>
      </w:pPr>
      <w:r>
        <w:t>减压阀阀前阀后动静压力应符合设计要求；</w:t>
      </w:r>
      <w:r>
        <w:t xml:space="preserve"> </w:t>
      </w:r>
      <w:r>
        <w:t>减压阀处应有试验用压力排水管道；</w:t>
      </w:r>
      <w:r>
        <w:t xml:space="preserve"> </w:t>
      </w:r>
    </w:p>
    <w:p w14:paraId="4E46A5F4" w14:textId="77777777" w:rsidR="00A71EEF" w:rsidRDefault="0081115D">
      <w:pPr>
        <w:pStyle w:val="a3"/>
        <w:ind w:left="838"/>
      </w:pPr>
      <w:r>
        <w:t>减压阀在小流量、设计流量和设计流量的</w:t>
      </w:r>
      <w:r>
        <w:t xml:space="preserve"> 150%</w:t>
      </w:r>
      <w:r>
        <w:t>时不应出现噪声明显增加或管道出现喘振；</w:t>
      </w:r>
      <w:r>
        <w:t xml:space="preserve"> </w:t>
      </w:r>
    </w:p>
    <w:p w14:paraId="07595411" w14:textId="77777777" w:rsidR="00A71EEF" w:rsidRDefault="00A71EEF">
      <w:pPr>
        <w:pStyle w:val="a3"/>
        <w:spacing w:before="12"/>
        <w:rPr>
          <w:sz w:val="17"/>
        </w:rPr>
      </w:pPr>
    </w:p>
    <w:p w14:paraId="08FABC2A" w14:textId="77777777" w:rsidR="00A71EEF" w:rsidRDefault="0081115D">
      <w:pPr>
        <w:pStyle w:val="a3"/>
        <w:spacing w:line="446" w:lineRule="auto"/>
        <w:ind w:left="838" w:right="5077"/>
      </w:pPr>
      <w:r>
        <w:t>减压阀的水头损失应小于设计阀后静压和动压差。检查数量：全数检查。</w:t>
      </w:r>
      <w:r>
        <w:t xml:space="preserve"> </w:t>
      </w:r>
    </w:p>
    <w:p w14:paraId="16113C46" w14:textId="77777777" w:rsidR="00A71EEF" w:rsidRDefault="0081115D">
      <w:pPr>
        <w:pStyle w:val="a3"/>
        <w:ind w:left="838"/>
      </w:pPr>
      <w:r>
        <w:t>检查方法：使用压力表、流量计和直观检查。</w:t>
      </w:r>
      <w:r>
        <w:t xml:space="preserve"> </w:t>
      </w:r>
    </w:p>
    <w:p w14:paraId="2E4218EE" w14:textId="77777777" w:rsidR="00A71EEF" w:rsidRDefault="00A71EEF">
      <w:pPr>
        <w:pStyle w:val="a3"/>
        <w:rPr>
          <w:sz w:val="18"/>
        </w:rPr>
      </w:pPr>
    </w:p>
    <w:p w14:paraId="38C33196" w14:textId="77777777" w:rsidR="00A71EEF" w:rsidRDefault="0081115D">
      <w:pPr>
        <w:pStyle w:val="a4"/>
        <w:numPr>
          <w:ilvl w:val="2"/>
          <w:numId w:val="223"/>
        </w:numPr>
        <w:tabs>
          <w:tab w:val="left" w:pos="1530"/>
        </w:tabs>
        <w:spacing w:line="446" w:lineRule="auto"/>
        <w:ind w:left="838" w:right="3126" w:firstLine="2"/>
        <w:rPr>
          <w:sz w:val="21"/>
        </w:rPr>
      </w:pPr>
      <w:r>
        <w:rPr>
          <w:spacing w:val="-3"/>
          <w:sz w:val="21"/>
        </w:rPr>
        <w:t>消防水池、高位消防水池和高位消防水箱验收应符合下列要求：</w:t>
      </w:r>
      <w:r>
        <w:rPr>
          <w:spacing w:val="-3"/>
          <w:sz w:val="21"/>
        </w:rPr>
        <w:t xml:space="preserve"> </w:t>
      </w:r>
      <w:r>
        <w:rPr>
          <w:spacing w:val="-3"/>
          <w:sz w:val="21"/>
        </w:rPr>
        <w:t>设置位置应符合设计要求；</w:t>
      </w:r>
      <w:r>
        <w:rPr>
          <w:spacing w:val="-3"/>
          <w:sz w:val="21"/>
        </w:rPr>
        <w:t xml:space="preserve"> </w:t>
      </w:r>
    </w:p>
    <w:p w14:paraId="33521A24" w14:textId="77777777" w:rsidR="00A71EEF" w:rsidRDefault="00A71EEF">
      <w:pPr>
        <w:spacing w:line="446" w:lineRule="auto"/>
        <w:rPr>
          <w:sz w:val="21"/>
        </w:rPr>
        <w:sectPr w:rsidR="00A71EEF">
          <w:pgSz w:w="11910" w:h="16850"/>
          <w:pgMar w:top="1220" w:right="0" w:bottom="1420" w:left="1260" w:header="0" w:footer="1239" w:gutter="0"/>
          <w:cols w:space="720"/>
        </w:sectPr>
      </w:pPr>
    </w:p>
    <w:p w14:paraId="6FC197F7" w14:textId="77777777" w:rsidR="00A71EEF" w:rsidRDefault="0081115D">
      <w:pPr>
        <w:pStyle w:val="a3"/>
        <w:spacing w:before="47" w:line="446" w:lineRule="auto"/>
        <w:ind w:left="418" w:right="1609" w:firstLine="419"/>
      </w:pPr>
      <w:r>
        <w:t>消防水池、高位消防水池和高位消防水箱的有效容积、水位、报警水位等，应符合设计要求；</w:t>
      </w:r>
      <w:r>
        <w:t xml:space="preserve"> </w:t>
      </w:r>
    </w:p>
    <w:p w14:paraId="70EFC41B" w14:textId="77777777" w:rsidR="00A71EEF" w:rsidRDefault="0081115D">
      <w:pPr>
        <w:pStyle w:val="a3"/>
        <w:spacing w:line="446" w:lineRule="auto"/>
        <w:ind w:left="838" w:right="2765"/>
      </w:pPr>
      <w:r>
        <w:rPr>
          <w:spacing w:val="-3"/>
        </w:rPr>
        <w:t>进出水管、溢流管、排水管等应符合设计要求，且溢流管应采用间接排水；</w:t>
      </w:r>
      <w:r>
        <w:rPr>
          <w:spacing w:val="-3"/>
        </w:rPr>
        <w:t xml:space="preserve"> </w:t>
      </w:r>
      <w:r>
        <w:rPr>
          <w:spacing w:val="-3"/>
        </w:rPr>
        <w:t>管道、阀门和进水浮球阀等应便于检修，人孔和爬梯位置应合理；</w:t>
      </w:r>
      <w:r>
        <w:t xml:space="preserve"> </w:t>
      </w:r>
    </w:p>
    <w:p w14:paraId="394336DF" w14:textId="77777777" w:rsidR="00A71EEF" w:rsidRDefault="0081115D">
      <w:pPr>
        <w:pStyle w:val="a3"/>
        <w:spacing w:line="446" w:lineRule="auto"/>
        <w:ind w:left="838" w:right="3397"/>
      </w:pPr>
      <w:r>
        <w:rPr>
          <w:spacing w:val="-3"/>
        </w:rPr>
        <w:t>消防水池吸水井、吸</w:t>
      </w:r>
      <w:r>
        <w:t>（</w:t>
      </w:r>
      <w:r>
        <w:rPr>
          <w:spacing w:val="-3"/>
        </w:rPr>
        <w:t>出</w:t>
      </w:r>
      <w:r>
        <w:t>）</w:t>
      </w:r>
      <w:r>
        <w:rPr>
          <w:spacing w:val="-3"/>
        </w:rPr>
        <w:t>水管喇叭口等设置位置应符合设计要求。检查数量：全数检查。</w:t>
      </w:r>
      <w:r>
        <w:t xml:space="preserve"> </w:t>
      </w:r>
    </w:p>
    <w:p w14:paraId="629CD49D" w14:textId="77777777" w:rsidR="00A71EEF" w:rsidRDefault="0081115D">
      <w:pPr>
        <w:pStyle w:val="a3"/>
        <w:ind w:left="838"/>
      </w:pPr>
      <w:r>
        <w:rPr>
          <w:spacing w:val="-3"/>
        </w:rPr>
        <w:t>检查方法：直观检查。</w:t>
      </w:r>
      <w:r>
        <w:t xml:space="preserve"> </w:t>
      </w:r>
    </w:p>
    <w:p w14:paraId="35956F71" w14:textId="77777777" w:rsidR="00A71EEF" w:rsidRDefault="00A71EEF">
      <w:pPr>
        <w:pStyle w:val="a3"/>
        <w:spacing w:before="11"/>
        <w:rPr>
          <w:sz w:val="17"/>
        </w:rPr>
      </w:pPr>
    </w:p>
    <w:p w14:paraId="40E104D0" w14:textId="77777777" w:rsidR="00A71EEF" w:rsidRDefault="0081115D">
      <w:pPr>
        <w:pStyle w:val="a4"/>
        <w:numPr>
          <w:ilvl w:val="2"/>
          <w:numId w:val="223"/>
        </w:numPr>
        <w:tabs>
          <w:tab w:val="left" w:pos="1635"/>
        </w:tabs>
        <w:ind w:left="1634" w:hanging="795"/>
        <w:rPr>
          <w:sz w:val="21"/>
        </w:rPr>
      </w:pPr>
      <w:r>
        <w:rPr>
          <w:spacing w:val="-3"/>
          <w:sz w:val="21"/>
        </w:rPr>
        <w:t>气压水罐验收应符合下列要求</w:t>
      </w:r>
      <w:r>
        <w:rPr>
          <w:sz w:val="21"/>
        </w:rPr>
        <w:t xml:space="preserve"> </w:t>
      </w:r>
    </w:p>
    <w:p w14:paraId="13827356" w14:textId="77777777" w:rsidR="00A71EEF" w:rsidRDefault="00A71EEF">
      <w:pPr>
        <w:pStyle w:val="a3"/>
        <w:spacing w:before="12"/>
        <w:rPr>
          <w:sz w:val="17"/>
        </w:rPr>
      </w:pPr>
    </w:p>
    <w:p w14:paraId="0E8F6092" w14:textId="77777777" w:rsidR="00A71EEF" w:rsidRDefault="0081115D">
      <w:pPr>
        <w:pStyle w:val="a3"/>
        <w:spacing w:line="446" w:lineRule="auto"/>
        <w:ind w:left="838" w:right="3397"/>
      </w:pPr>
      <w:r>
        <w:t>气压水罐的有效容积、调节容积和稳压泵启泵次数应符合设计要求；</w:t>
      </w:r>
      <w:r>
        <w:t xml:space="preserve"> </w:t>
      </w:r>
      <w:r>
        <w:t>气压水罐气侧压力应符合设计要求。</w:t>
      </w:r>
      <w:r>
        <w:t xml:space="preserve"> </w:t>
      </w:r>
    </w:p>
    <w:p w14:paraId="2D78689A" w14:textId="77777777" w:rsidR="00A71EEF" w:rsidRDefault="0081115D">
      <w:pPr>
        <w:pStyle w:val="a3"/>
        <w:spacing w:line="446" w:lineRule="auto"/>
        <w:ind w:left="838" w:right="7600"/>
      </w:pPr>
      <w:r>
        <w:t>检查数量：全数检查。检查方法：直观检查。</w:t>
      </w:r>
      <w:r>
        <w:t xml:space="preserve"> </w:t>
      </w:r>
    </w:p>
    <w:p w14:paraId="7F51B22F" w14:textId="77777777" w:rsidR="00A71EEF" w:rsidRDefault="0081115D">
      <w:pPr>
        <w:pStyle w:val="a4"/>
        <w:numPr>
          <w:ilvl w:val="2"/>
          <w:numId w:val="223"/>
        </w:numPr>
        <w:tabs>
          <w:tab w:val="left" w:pos="1635"/>
        </w:tabs>
        <w:spacing w:line="446" w:lineRule="auto"/>
        <w:ind w:left="838" w:right="4283" w:firstLine="2"/>
        <w:rPr>
          <w:sz w:val="21"/>
        </w:rPr>
      </w:pPr>
      <w:r>
        <w:rPr>
          <w:spacing w:val="-3"/>
          <w:sz w:val="21"/>
        </w:rPr>
        <w:t>干式消火栓系统报警阀组的验收应符合下列要求：</w:t>
      </w:r>
      <w:r>
        <w:rPr>
          <w:spacing w:val="-3"/>
          <w:sz w:val="21"/>
        </w:rPr>
        <w:t xml:space="preserve"> </w:t>
      </w:r>
      <w:r>
        <w:rPr>
          <w:spacing w:val="-3"/>
          <w:sz w:val="21"/>
        </w:rPr>
        <w:t>报警阀组的各组件应符合产品标准要求；</w:t>
      </w:r>
      <w:r>
        <w:rPr>
          <w:sz w:val="21"/>
        </w:rPr>
        <w:t xml:space="preserve"> </w:t>
      </w:r>
    </w:p>
    <w:p w14:paraId="7C2DB7E5" w14:textId="77777777" w:rsidR="00A71EEF" w:rsidRDefault="0081115D">
      <w:pPr>
        <w:pStyle w:val="a3"/>
        <w:spacing w:line="267" w:lineRule="exact"/>
        <w:ind w:left="838"/>
      </w:pPr>
      <w:r>
        <w:t>打开系统流量压力检测装置放水阀，测试的流量、压力应符合设计要求；</w:t>
      </w:r>
      <w:r>
        <w:t xml:space="preserve"> </w:t>
      </w:r>
    </w:p>
    <w:p w14:paraId="00F4D218" w14:textId="77777777" w:rsidR="00A71EEF" w:rsidRDefault="00A71EEF">
      <w:pPr>
        <w:pStyle w:val="a3"/>
        <w:spacing w:before="2"/>
        <w:rPr>
          <w:sz w:val="18"/>
        </w:rPr>
      </w:pPr>
    </w:p>
    <w:p w14:paraId="4B2C869C" w14:textId="77777777" w:rsidR="00A71EEF" w:rsidRDefault="0081115D">
      <w:pPr>
        <w:pStyle w:val="a3"/>
        <w:spacing w:line="446" w:lineRule="auto"/>
        <w:ind w:left="418" w:right="1392" w:firstLine="419"/>
      </w:pPr>
      <w:r>
        <w:t>水力警铃的设置位置应正确。测试时，水力警铃喷嘴处压力不应小于</w:t>
      </w:r>
      <w:r>
        <w:t xml:space="preserve"> 0.05MPa</w:t>
      </w:r>
      <w:r>
        <w:t>，且距水力警铃</w:t>
      </w:r>
      <w:r>
        <w:t xml:space="preserve"> 3m </w:t>
      </w:r>
      <w:r>
        <w:t>远处警铃声声强不应小于</w:t>
      </w:r>
      <w:r>
        <w:t xml:space="preserve"> 70dB</w:t>
      </w:r>
      <w:r>
        <w:t>；</w:t>
      </w:r>
      <w:r>
        <w:t xml:space="preserve"> </w:t>
      </w:r>
    </w:p>
    <w:p w14:paraId="0634E8BE" w14:textId="77777777" w:rsidR="00A71EEF" w:rsidRDefault="0081115D">
      <w:pPr>
        <w:pStyle w:val="a3"/>
        <w:spacing w:line="446" w:lineRule="auto"/>
        <w:ind w:left="838" w:right="6969"/>
      </w:pPr>
      <w:r>
        <w:t>打开手动试水阀动作应可靠；</w:t>
      </w:r>
      <w:r>
        <w:t xml:space="preserve"> </w:t>
      </w:r>
      <w:r>
        <w:t>控制阀均应锁定在常开位置；</w:t>
      </w:r>
      <w:r>
        <w:t xml:space="preserve"> </w:t>
      </w:r>
    </w:p>
    <w:p w14:paraId="36D16657" w14:textId="77777777" w:rsidR="00A71EEF" w:rsidRDefault="0081115D">
      <w:pPr>
        <w:pStyle w:val="a3"/>
        <w:spacing w:line="446" w:lineRule="auto"/>
        <w:ind w:left="838" w:right="3606"/>
      </w:pPr>
      <w:r>
        <w:rPr>
          <w:spacing w:val="-3"/>
        </w:rPr>
        <w:t>与空气压缩机或火灾自</w:t>
      </w:r>
      <w:r>
        <w:rPr>
          <w:spacing w:val="-3"/>
        </w:rPr>
        <w:t>动报警系统的联锁控制，应符合设计要求。检查数量：全数检查。</w:t>
      </w:r>
      <w:r>
        <w:t xml:space="preserve"> </w:t>
      </w:r>
    </w:p>
    <w:p w14:paraId="1A4FDC9E" w14:textId="77777777" w:rsidR="00A71EEF" w:rsidRDefault="0081115D">
      <w:pPr>
        <w:pStyle w:val="a3"/>
        <w:ind w:left="838"/>
      </w:pPr>
      <w:r>
        <w:rPr>
          <w:spacing w:val="-3"/>
        </w:rPr>
        <w:t>检查方法：直观检查。</w:t>
      </w:r>
      <w:r>
        <w:t xml:space="preserve"> </w:t>
      </w:r>
    </w:p>
    <w:p w14:paraId="04CF580B" w14:textId="77777777" w:rsidR="00A71EEF" w:rsidRDefault="00A71EEF">
      <w:pPr>
        <w:pStyle w:val="a3"/>
        <w:spacing w:before="10"/>
        <w:rPr>
          <w:sz w:val="17"/>
        </w:rPr>
      </w:pPr>
    </w:p>
    <w:p w14:paraId="21714BC8" w14:textId="77777777" w:rsidR="00A71EEF" w:rsidRDefault="0081115D">
      <w:pPr>
        <w:pStyle w:val="a4"/>
        <w:numPr>
          <w:ilvl w:val="2"/>
          <w:numId w:val="223"/>
        </w:numPr>
        <w:tabs>
          <w:tab w:val="left" w:pos="1635"/>
        </w:tabs>
        <w:ind w:left="1634" w:hanging="795"/>
        <w:rPr>
          <w:sz w:val="21"/>
        </w:rPr>
      </w:pPr>
      <w:r>
        <w:rPr>
          <w:spacing w:val="-3"/>
          <w:sz w:val="21"/>
        </w:rPr>
        <w:t>管网验收应符合下列要求：</w:t>
      </w:r>
      <w:r>
        <w:rPr>
          <w:sz w:val="21"/>
        </w:rPr>
        <w:t xml:space="preserve"> </w:t>
      </w:r>
    </w:p>
    <w:p w14:paraId="1274EA76" w14:textId="77777777" w:rsidR="00A71EEF" w:rsidRDefault="00A71EEF">
      <w:pPr>
        <w:pStyle w:val="a3"/>
        <w:spacing w:before="12"/>
        <w:rPr>
          <w:sz w:val="17"/>
        </w:rPr>
      </w:pPr>
    </w:p>
    <w:p w14:paraId="2A536A30" w14:textId="77777777" w:rsidR="00A71EEF" w:rsidRDefault="0081115D">
      <w:pPr>
        <w:pStyle w:val="a3"/>
        <w:spacing w:line="446" w:lineRule="auto"/>
        <w:ind w:left="418" w:right="1609" w:firstLine="419"/>
      </w:pPr>
      <w:r>
        <w:t>管道的材质、管径、接头、连接方式及采取的防腐、防冻措施，应符合设计要求，管道标识应符合设计要求；</w:t>
      </w:r>
      <w:r>
        <w:t xml:space="preserve"> </w:t>
      </w:r>
    </w:p>
    <w:p w14:paraId="5D1D8B8D" w14:textId="77777777" w:rsidR="00A71EEF" w:rsidRDefault="0081115D">
      <w:pPr>
        <w:pStyle w:val="a3"/>
        <w:spacing w:before="1" w:line="446" w:lineRule="auto"/>
        <w:ind w:left="838" w:right="4866"/>
      </w:pPr>
      <w:r>
        <w:rPr>
          <w:spacing w:val="-3"/>
        </w:rPr>
        <w:t>管网排水坡度及辅助排水设施，应符合设计要求；</w:t>
      </w:r>
      <w:r>
        <w:rPr>
          <w:spacing w:val="-3"/>
        </w:rPr>
        <w:t xml:space="preserve">  </w:t>
      </w:r>
      <w:r>
        <w:rPr>
          <w:spacing w:val="-3"/>
        </w:rPr>
        <w:t>系统中的试验消火栓、自动排气阀应符合设计要求；</w:t>
      </w:r>
      <w:r>
        <w:rPr>
          <w:spacing w:val="-3"/>
        </w:rPr>
        <w:t xml:space="preserve"> </w:t>
      </w:r>
    </w:p>
    <w:p w14:paraId="517F9170" w14:textId="77777777" w:rsidR="00A71EEF" w:rsidRDefault="00A71EEF">
      <w:pPr>
        <w:spacing w:line="446" w:lineRule="auto"/>
        <w:sectPr w:rsidR="00A71EEF">
          <w:pgSz w:w="11910" w:h="16850"/>
          <w:pgMar w:top="1220" w:right="0" w:bottom="1420" w:left="1260" w:header="0" w:footer="1239" w:gutter="0"/>
          <w:cols w:space="720"/>
        </w:sectPr>
      </w:pPr>
    </w:p>
    <w:p w14:paraId="25FB6123" w14:textId="77777777" w:rsidR="00A71EEF" w:rsidRDefault="0081115D">
      <w:pPr>
        <w:pStyle w:val="a3"/>
        <w:spacing w:before="47" w:line="446" w:lineRule="auto"/>
        <w:ind w:left="418" w:right="1817" w:firstLine="419"/>
      </w:pPr>
      <w:r>
        <w:t>管网不同部位安装的报警阀组、闸阀、止回阀、电磁阀、信号阀、水流指示器、减压孔板、节流管、减压阀、柔性接头、排水管、排气阀、泄压阀等，均应符合设计要求；</w:t>
      </w:r>
      <w:r>
        <w:t xml:space="preserve"> </w:t>
      </w:r>
    </w:p>
    <w:p w14:paraId="37CA4153" w14:textId="77777777" w:rsidR="00A71EEF" w:rsidRDefault="0081115D">
      <w:pPr>
        <w:pStyle w:val="a3"/>
        <w:spacing w:line="267" w:lineRule="exact"/>
        <w:ind w:left="838"/>
      </w:pPr>
      <w:r>
        <w:t>干式消火栓系统允许的最大充水时间不应大于</w:t>
      </w:r>
      <w:r>
        <w:t xml:space="preserve"> 5min</w:t>
      </w:r>
      <w:r>
        <w:t>；</w:t>
      </w:r>
      <w:r>
        <w:t xml:space="preserve"> </w:t>
      </w:r>
    </w:p>
    <w:p w14:paraId="6538DD2C" w14:textId="77777777" w:rsidR="00A71EEF" w:rsidRDefault="00A71EEF">
      <w:pPr>
        <w:pStyle w:val="a3"/>
        <w:spacing w:before="2"/>
        <w:rPr>
          <w:sz w:val="18"/>
        </w:rPr>
      </w:pPr>
    </w:p>
    <w:p w14:paraId="5189E0E3" w14:textId="77777777" w:rsidR="00A71EEF" w:rsidRDefault="0081115D">
      <w:pPr>
        <w:pStyle w:val="a3"/>
        <w:ind w:left="838"/>
      </w:pPr>
      <w:r>
        <w:t>干式消火栓系统报警阀后的管道仅应设置消火栓和有信号显示的阀门；</w:t>
      </w:r>
      <w:r>
        <w:t xml:space="preserve"> </w:t>
      </w:r>
    </w:p>
    <w:p w14:paraId="318540A1" w14:textId="77777777" w:rsidR="00A71EEF" w:rsidRDefault="00A71EEF">
      <w:pPr>
        <w:pStyle w:val="a3"/>
        <w:rPr>
          <w:sz w:val="18"/>
        </w:rPr>
      </w:pPr>
    </w:p>
    <w:p w14:paraId="600D23FF" w14:textId="77777777" w:rsidR="00A71EEF" w:rsidRDefault="0081115D">
      <w:pPr>
        <w:pStyle w:val="a3"/>
        <w:ind w:left="838"/>
      </w:pPr>
      <w:r>
        <w:t>架空管道的立管、配水支管、配水管、配水干管设置的支架，应符合本规范第</w:t>
      </w:r>
      <w:r>
        <w:t xml:space="preserve"> 12.3.19</w:t>
      </w:r>
      <w:r>
        <w:t>～</w:t>
      </w:r>
    </w:p>
    <w:p w14:paraId="732AE0B9" w14:textId="77777777" w:rsidR="00A71EEF" w:rsidRDefault="00A71EEF">
      <w:pPr>
        <w:pStyle w:val="a3"/>
        <w:spacing w:before="12"/>
        <w:rPr>
          <w:sz w:val="17"/>
        </w:rPr>
      </w:pPr>
    </w:p>
    <w:p w14:paraId="4EFC1969" w14:textId="77777777" w:rsidR="00A71EEF" w:rsidRDefault="0081115D">
      <w:pPr>
        <w:pStyle w:val="a3"/>
        <w:ind w:left="418"/>
      </w:pPr>
      <w:r>
        <w:t xml:space="preserve">12.3.23 </w:t>
      </w:r>
      <w:r>
        <w:t>条的规定；</w:t>
      </w:r>
      <w:r>
        <w:t xml:space="preserve"> </w:t>
      </w:r>
    </w:p>
    <w:p w14:paraId="3867A2E4" w14:textId="77777777" w:rsidR="00A71EEF" w:rsidRDefault="00A71EEF">
      <w:pPr>
        <w:pStyle w:val="a3"/>
        <w:spacing w:before="2"/>
        <w:rPr>
          <w:sz w:val="18"/>
        </w:rPr>
      </w:pPr>
    </w:p>
    <w:p w14:paraId="7AE0E52F" w14:textId="77777777" w:rsidR="00A71EEF" w:rsidRDefault="0081115D">
      <w:pPr>
        <w:pStyle w:val="a3"/>
        <w:ind w:left="838"/>
      </w:pPr>
      <w:r>
        <w:t>室外埋地管道应符合本规范第</w:t>
      </w:r>
      <w:r>
        <w:t xml:space="preserve"> 12.3.17</w:t>
      </w:r>
      <w:r>
        <w:t>、</w:t>
      </w:r>
      <w:r>
        <w:t xml:space="preserve">12.3.22 </w:t>
      </w:r>
      <w:r>
        <w:t>条等的规定。</w:t>
      </w:r>
      <w:r>
        <w:t xml:space="preserve"> </w:t>
      </w:r>
    </w:p>
    <w:p w14:paraId="20C52C8B" w14:textId="77777777" w:rsidR="00A71EEF" w:rsidRDefault="00A71EEF">
      <w:pPr>
        <w:pStyle w:val="a3"/>
        <w:rPr>
          <w:sz w:val="18"/>
        </w:rPr>
      </w:pPr>
    </w:p>
    <w:p w14:paraId="474A9CB3" w14:textId="77777777" w:rsidR="00A71EEF" w:rsidRDefault="0081115D">
      <w:pPr>
        <w:pStyle w:val="a3"/>
        <w:spacing w:line="446" w:lineRule="auto"/>
        <w:ind w:left="418" w:right="1661" w:firstLine="419"/>
      </w:pPr>
      <w:r>
        <w:rPr>
          <w:spacing w:val="-9"/>
        </w:rPr>
        <w:t>检查数量：本条第</w:t>
      </w:r>
      <w:r>
        <w:rPr>
          <w:spacing w:val="-9"/>
        </w:rPr>
        <w:t xml:space="preserve"> </w:t>
      </w:r>
      <w:r>
        <w:t>7</w:t>
      </w:r>
      <w:r>
        <w:rPr>
          <w:spacing w:val="-22"/>
        </w:rPr>
        <w:t xml:space="preserve"> </w:t>
      </w:r>
      <w:r>
        <w:rPr>
          <w:spacing w:val="-22"/>
        </w:rPr>
        <w:t>款抽查</w:t>
      </w:r>
      <w:r>
        <w:rPr>
          <w:spacing w:val="-22"/>
        </w:rPr>
        <w:t xml:space="preserve"> </w:t>
      </w:r>
      <w:r>
        <w:t>20</w:t>
      </w:r>
      <w:r>
        <w:rPr>
          <w:spacing w:val="-9"/>
        </w:rPr>
        <w:t>%</w:t>
      </w:r>
      <w:r>
        <w:rPr>
          <w:spacing w:val="-9"/>
        </w:rPr>
        <w:t>，且不应少于</w:t>
      </w:r>
      <w:r>
        <w:rPr>
          <w:spacing w:val="-9"/>
        </w:rPr>
        <w:t xml:space="preserve"> </w:t>
      </w:r>
      <w:r>
        <w:t>5</w:t>
      </w:r>
      <w:r>
        <w:rPr>
          <w:spacing w:val="-16"/>
        </w:rPr>
        <w:t xml:space="preserve"> </w:t>
      </w:r>
      <w:r>
        <w:rPr>
          <w:spacing w:val="-16"/>
        </w:rPr>
        <w:t>处；本条第</w:t>
      </w:r>
      <w:r>
        <w:rPr>
          <w:spacing w:val="-16"/>
        </w:rPr>
        <w:t xml:space="preserve"> </w:t>
      </w:r>
      <w:r>
        <w:t>1</w:t>
      </w:r>
      <w:r>
        <w:rPr>
          <w:spacing w:val="-26"/>
        </w:rPr>
        <w:t xml:space="preserve"> </w:t>
      </w:r>
      <w:r>
        <w:rPr>
          <w:spacing w:val="-26"/>
        </w:rPr>
        <w:t>款</w:t>
      </w:r>
      <w:r>
        <w:rPr>
          <w:spacing w:val="-3"/>
        </w:rPr>
        <w:t>～</w:t>
      </w:r>
      <w:r>
        <w:rPr>
          <w:spacing w:val="-25"/>
        </w:rPr>
        <w:t>第</w:t>
      </w:r>
      <w:r>
        <w:rPr>
          <w:spacing w:val="-25"/>
        </w:rPr>
        <w:t xml:space="preserve"> </w:t>
      </w:r>
      <w:r>
        <w:t>6</w:t>
      </w:r>
      <w:r>
        <w:rPr>
          <w:spacing w:val="-22"/>
        </w:rPr>
        <w:t xml:space="preserve"> </w:t>
      </w:r>
      <w:r>
        <w:rPr>
          <w:spacing w:val="-22"/>
        </w:rPr>
        <w:t>款、第</w:t>
      </w:r>
      <w:r>
        <w:rPr>
          <w:spacing w:val="-22"/>
        </w:rPr>
        <w:t xml:space="preserve"> </w:t>
      </w:r>
      <w:r>
        <w:t>8</w:t>
      </w:r>
      <w:r>
        <w:rPr>
          <w:spacing w:val="-12"/>
        </w:rPr>
        <w:t xml:space="preserve"> </w:t>
      </w:r>
      <w:r>
        <w:rPr>
          <w:spacing w:val="-12"/>
        </w:rPr>
        <w:t>款全数抽</w:t>
      </w:r>
      <w:r>
        <w:rPr>
          <w:spacing w:val="-8"/>
        </w:rPr>
        <w:t>查。</w:t>
      </w:r>
      <w:r>
        <w:t xml:space="preserve"> </w:t>
      </w:r>
    </w:p>
    <w:p w14:paraId="146A4E74" w14:textId="77777777" w:rsidR="00A71EEF" w:rsidRDefault="0081115D">
      <w:pPr>
        <w:pStyle w:val="a3"/>
        <w:ind w:left="838"/>
      </w:pPr>
      <w:r>
        <w:t>检查方法：直观和尺量检查、秒表测量。</w:t>
      </w:r>
      <w:r>
        <w:t xml:space="preserve"> </w:t>
      </w:r>
    </w:p>
    <w:p w14:paraId="4D50804C" w14:textId="77777777" w:rsidR="00A71EEF" w:rsidRDefault="00A71EEF">
      <w:pPr>
        <w:pStyle w:val="a3"/>
        <w:spacing w:before="12"/>
        <w:rPr>
          <w:sz w:val="17"/>
        </w:rPr>
      </w:pPr>
    </w:p>
    <w:p w14:paraId="2456BA61" w14:textId="77777777" w:rsidR="00A71EEF" w:rsidRDefault="0081115D">
      <w:pPr>
        <w:pStyle w:val="a4"/>
        <w:numPr>
          <w:ilvl w:val="2"/>
          <w:numId w:val="222"/>
        </w:numPr>
        <w:tabs>
          <w:tab w:val="left" w:pos="1635"/>
        </w:tabs>
        <w:rPr>
          <w:sz w:val="21"/>
        </w:rPr>
      </w:pPr>
      <w:r>
        <w:rPr>
          <w:spacing w:val="-3"/>
          <w:sz w:val="21"/>
        </w:rPr>
        <w:t>消火栓验收应符合下列要求：</w:t>
      </w:r>
      <w:r>
        <w:rPr>
          <w:sz w:val="21"/>
        </w:rPr>
        <w:t xml:space="preserve"> </w:t>
      </w:r>
    </w:p>
    <w:p w14:paraId="2E38DBC1" w14:textId="77777777" w:rsidR="00A71EEF" w:rsidRDefault="00A71EEF">
      <w:pPr>
        <w:pStyle w:val="a3"/>
        <w:rPr>
          <w:sz w:val="18"/>
        </w:rPr>
      </w:pPr>
    </w:p>
    <w:p w14:paraId="56533DA6" w14:textId="77777777" w:rsidR="00A71EEF" w:rsidRDefault="0081115D">
      <w:pPr>
        <w:pStyle w:val="a3"/>
        <w:spacing w:line="446" w:lineRule="auto"/>
        <w:ind w:left="418" w:right="1608" w:firstLine="419"/>
      </w:pPr>
      <w:r>
        <w:rPr>
          <w:spacing w:val="-5"/>
        </w:rPr>
        <w:t>消火栓的设置场所、位置、规格、型号应符合设计要求和本规范第</w:t>
      </w:r>
      <w:r>
        <w:rPr>
          <w:spacing w:val="-5"/>
        </w:rPr>
        <w:t xml:space="preserve"> </w:t>
      </w:r>
      <w:r>
        <w:t>7.2</w:t>
      </w:r>
      <w:r>
        <w:rPr>
          <w:spacing w:val="-23"/>
        </w:rPr>
        <w:t xml:space="preserve"> </w:t>
      </w:r>
      <w:r>
        <w:rPr>
          <w:spacing w:val="-23"/>
        </w:rPr>
        <w:t>节</w:t>
      </w:r>
      <w:r>
        <w:rPr>
          <w:spacing w:val="-3"/>
        </w:rPr>
        <w:t>～</w:t>
      </w:r>
      <w:r>
        <w:rPr>
          <w:spacing w:val="-21"/>
        </w:rPr>
        <w:t>第</w:t>
      </w:r>
      <w:r>
        <w:rPr>
          <w:spacing w:val="-21"/>
        </w:rPr>
        <w:t xml:space="preserve"> </w:t>
      </w:r>
      <w:r>
        <w:t>7.4</w:t>
      </w:r>
      <w:r>
        <w:rPr>
          <w:spacing w:val="-13"/>
        </w:rPr>
        <w:t xml:space="preserve"> </w:t>
      </w:r>
      <w:r>
        <w:rPr>
          <w:spacing w:val="-13"/>
        </w:rPr>
        <w:t>节的有</w:t>
      </w:r>
      <w:r>
        <w:rPr>
          <w:spacing w:val="-9"/>
        </w:rPr>
        <w:t>关规定；</w:t>
      </w:r>
      <w:r>
        <w:t xml:space="preserve"> </w:t>
      </w:r>
    </w:p>
    <w:p w14:paraId="5270EE88" w14:textId="77777777" w:rsidR="00A71EEF" w:rsidRDefault="0081115D">
      <w:pPr>
        <w:pStyle w:val="a3"/>
        <w:ind w:left="838"/>
      </w:pPr>
      <w:r>
        <w:t>室内消火栓的安装高度应符合设计要求；</w:t>
      </w:r>
      <w:r>
        <w:t xml:space="preserve"> </w:t>
      </w:r>
    </w:p>
    <w:p w14:paraId="517BC074" w14:textId="77777777" w:rsidR="00A71EEF" w:rsidRDefault="00A71EEF">
      <w:pPr>
        <w:pStyle w:val="a3"/>
        <w:spacing w:before="12"/>
        <w:rPr>
          <w:sz w:val="17"/>
        </w:rPr>
      </w:pPr>
    </w:p>
    <w:p w14:paraId="1393154F" w14:textId="77777777" w:rsidR="00A71EEF" w:rsidRDefault="0081115D">
      <w:pPr>
        <w:pStyle w:val="a3"/>
        <w:spacing w:line="446" w:lineRule="auto"/>
        <w:ind w:left="418" w:right="1608" w:firstLine="419"/>
      </w:pPr>
      <w:r>
        <w:rPr>
          <w:spacing w:val="-5"/>
        </w:rPr>
        <w:t>消火栓的设置位置应符合设计要求和本规范第</w:t>
      </w:r>
      <w:r>
        <w:rPr>
          <w:spacing w:val="-5"/>
        </w:rPr>
        <w:t xml:space="preserve"> </w:t>
      </w:r>
      <w:r>
        <w:t>7</w:t>
      </w:r>
      <w:r>
        <w:rPr>
          <w:spacing w:val="-7"/>
        </w:rPr>
        <w:t xml:space="preserve"> </w:t>
      </w:r>
      <w:r>
        <w:rPr>
          <w:spacing w:val="-7"/>
        </w:rPr>
        <w:t>章的有关规定，并应符合消防救援和火灾</w:t>
      </w:r>
      <w:r>
        <w:rPr>
          <w:spacing w:val="-5"/>
        </w:rPr>
        <w:t>扑救工艺的要求；</w:t>
      </w:r>
      <w:r>
        <w:t xml:space="preserve"> </w:t>
      </w:r>
    </w:p>
    <w:p w14:paraId="0CA53226" w14:textId="77777777" w:rsidR="00A71EEF" w:rsidRDefault="0081115D">
      <w:pPr>
        <w:pStyle w:val="a3"/>
        <w:ind w:left="838"/>
      </w:pPr>
      <w:r>
        <w:t>消火栓的减压装置和活动部件应灵活可靠，栓后压力应符合设计要求。</w:t>
      </w:r>
      <w:r>
        <w:t xml:space="preserve"> </w:t>
      </w:r>
    </w:p>
    <w:p w14:paraId="388182FE" w14:textId="77777777" w:rsidR="00A71EEF" w:rsidRDefault="00A71EEF">
      <w:pPr>
        <w:pStyle w:val="a3"/>
        <w:rPr>
          <w:sz w:val="18"/>
        </w:rPr>
      </w:pPr>
    </w:p>
    <w:p w14:paraId="5B8B2409" w14:textId="77777777" w:rsidR="00A71EEF" w:rsidRDefault="0081115D">
      <w:pPr>
        <w:pStyle w:val="a3"/>
        <w:ind w:left="838"/>
      </w:pPr>
      <w:r>
        <w:t>检查数量：抽查消火栓数量</w:t>
      </w:r>
      <w:r>
        <w:t xml:space="preserve"> 10</w:t>
      </w:r>
      <w:r>
        <w:t>％，且总数每个供水分区不应少于</w:t>
      </w:r>
      <w:r>
        <w:t xml:space="preserve"> 10 </w:t>
      </w:r>
      <w:r>
        <w:t>个</w:t>
      </w:r>
      <w:r>
        <w:t xml:space="preserve">, </w:t>
      </w:r>
      <w:r>
        <w:t>合格率应为</w:t>
      </w:r>
    </w:p>
    <w:p w14:paraId="03F25E57" w14:textId="77777777" w:rsidR="00A71EEF" w:rsidRDefault="00A71EEF">
      <w:pPr>
        <w:pStyle w:val="a3"/>
        <w:spacing w:before="2"/>
        <w:rPr>
          <w:sz w:val="18"/>
        </w:rPr>
      </w:pPr>
    </w:p>
    <w:p w14:paraId="0419E6C2" w14:textId="77777777" w:rsidR="00A71EEF" w:rsidRDefault="0081115D">
      <w:pPr>
        <w:pStyle w:val="a3"/>
        <w:ind w:left="418"/>
      </w:pPr>
      <w:r>
        <w:t>100%</w:t>
      </w:r>
      <w:r>
        <w:t>。</w:t>
      </w:r>
      <w:r>
        <w:t xml:space="preserve"> </w:t>
      </w:r>
    </w:p>
    <w:p w14:paraId="70B647F6" w14:textId="77777777" w:rsidR="00A71EEF" w:rsidRDefault="00A71EEF">
      <w:pPr>
        <w:pStyle w:val="a3"/>
        <w:rPr>
          <w:sz w:val="18"/>
        </w:rPr>
      </w:pPr>
    </w:p>
    <w:p w14:paraId="1BF39E02" w14:textId="77777777" w:rsidR="00A71EEF" w:rsidRDefault="0081115D">
      <w:pPr>
        <w:pStyle w:val="a3"/>
        <w:ind w:left="838"/>
      </w:pPr>
      <w:r>
        <w:t>检查方法：对照图纸尺量检查。</w:t>
      </w:r>
      <w:r>
        <w:t xml:space="preserve"> </w:t>
      </w:r>
    </w:p>
    <w:p w14:paraId="6C016D18" w14:textId="77777777" w:rsidR="00A71EEF" w:rsidRDefault="00A71EEF">
      <w:pPr>
        <w:pStyle w:val="a3"/>
        <w:spacing w:before="12"/>
        <w:rPr>
          <w:sz w:val="17"/>
        </w:rPr>
      </w:pPr>
    </w:p>
    <w:p w14:paraId="0DC31EAB" w14:textId="77777777" w:rsidR="00A71EEF" w:rsidRDefault="0081115D">
      <w:pPr>
        <w:pStyle w:val="a4"/>
        <w:numPr>
          <w:ilvl w:val="2"/>
          <w:numId w:val="222"/>
        </w:numPr>
        <w:tabs>
          <w:tab w:val="left" w:pos="1635"/>
        </w:tabs>
        <w:spacing w:line="446" w:lineRule="auto"/>
        <w:ind w:left="418" w:right="1443" w:firstLine="422"/>
        <w:rPr>
          <w:sz w:val="21"/>
        </w:rPr>
      </w:pPr>
      <w:r>
        <w:rPr>
          <w:spacing w:val="-3"/>
          <w:sz w:val="21"/>
        </w:rPr>
        <w:t>消防水泵接合器数量及进水管位置应符合设计要求，消防水泵接合器应采用消防车车载消防水泵进行充水试验，且供水最不利点的压力、流量应符合设计要求；当有分区供水时</w:t>
      </w:r>
      <w:r>
        <w:rPr>
          <w:spacing w:val="-3"/>
          <w:sz w:val="21"/>
        </w:rPr>
        <w:t xml:space="preserve"> </w:t>
      </w:r>
      <w:r>
        <w:rPr>
          <w:spacing w:val="-3"/>
          <w:sz w:val="21"/>
        </w:rPr>
        <w:t>应确定消防车的最大供水高度和接力泵的设置位置的合理性。</w:t>
      </w:r>
      <w:r>
        <w:rPr>
          <w:sz w:val="21"/>
        </w:rPr>
        <w:t xml:space="preserve"> </w:t>
      </w:r>
    </w:p>
    <w:p w14:paraId="117C3DCC" w14:textId="77777777" w:rsidR="00A71EEF" w:rsidRDefault="0081115D">
      <w:pPr>
        <w:pStyle w:val="a3"/>
        <w:spacing w:line="268" w:lineRule="exact"/>
        <w:ind w:left="838"/>
      </w:pPr>
      <w:r>
        <w:t>检查数量：全数检查。</w:t>
      </w:r>
      <w:r>
        <w:t xml:space="preserve"> </w:t>
      </w:r>
    </w:p>
    <w:p w14:paraId="665B6D02" w14:textId="77777777" w:rsidR="00A71EEF" w:rsidRDefault="00A71EEF">
      <w:pPr>
        <w:pStyle w:val="a3"/>
        <w:spacing w:before="2"/>
        <w:rPr>
          <w:sz w:val="18"/>
        </w:rPr>
      </w:pPr>
    </w:p>
    <w:p w14:paraId="5C71E4E1" w14:textId="77777777" w:rsidR="00A71EEF" w:rsidRDefault="0081115D">
      <w:pPr>
        <w:pStyle w:val="a3"/>
        <w:ind w:left="838"/>
      </w:pPr>
      <w:r>
        <w:t>检查方法：使用流量计、压力表和直观检查。</w:t>
      </w:r>
      <w:r>
        <w:t xml:space="preserve"> </w:t>
      </w:r>
    </w:p>
    <w:p w14:paraId="18666EF2" w14:textId="77777777" w:rsidR="00A71EEF" w:rsidRDefault="00A71EEF">
      <w:pPr>
        <w:pStyle w:val="a3"/>
        <w:rPr>
          <w:sz w:val="18"/>
        </w:rPr>
      </w:pPr>
    </w:p>
    <w:p w14:paraId="2CBB0046" w14:textId="77777777" w:rsidR="00A71EEF" w:rsidRDefault="0081115D">
      <w:pPr>
        <w:pStyle w:val="a4"/>
        <w:numPr>
          <w:ilvl w:val="2"/>
          <w:numId w:val="222"/>
        </w:numPr>
        <w:tabs>
          <w:tab w:val="left" w:pos="1635"/>
        </w:tabs>
        <w:spacing w:line="446" w:lineRule="auto"/>
        <w:ind w:left="418" w:right="1443" w:firstLine="422"/>
        <w:rPr>
          <w:sz w:val="21"/>
        </w:rPr>
      </w:pPr>
      <w:r>
        <w:rPr>
          <w:spacing w:val="-3"/>
          <w:sz w:val="21"/>
        </w:rPr>
        <w:t>消防给水系统流量、压力的验收，应通过系统流量、压力检测装置和末端试水装置进行放水试验，系统流量、压力和消火栓充实水柱等应符合设计要求。</w:t>
      </w:r>
      <w:r>
        <w:rPr>
          <w:sz w:val="21"/>
        </w:rPr>
        <w:t xml:space="preserve"> </w:t>
      </w:r>
    </w:p>
    <w:p w14:paraId="1D06466A" w14:textId="77777777" w:rsidR="00A71EEF" w:rsidRDefault="0081115D">
      <w:pPr>
        <w:pStyle w:val="a3"/>
        <w:ind w:left="838"/>
      </w:pPr>
      <w:r>
        <w:t>检查数量：全数检查。</w:t>
      </w:r>
      <w:r>
        <w:t xml:space="preserve"> </w:t>
      </w:r>
    </w:p>
    <w:p w14:paraId="14C800D7" w14:textId="77777777" w:rsidR="00A71EEF" w:rsidRDefault="00A71EEF">
      <w:pPr>
        <w:sectPr w:rsidR="00A71EEF">
          <w:footerReference w:type="default" r:id="rId412"/>
          <w:pgSz w:w="11910" w:h="16850"/>
          <w:pgMar w:top="1220" w:right="0" w:bottom="1420" w:left="1260" w:header="0" w:footer="1239" w:gutter="0"/>
          <w:pgNumType w:start="1390"/>
          <w:cols w:space="720"/>
        </w:sectPr>
      </w:pPr>
    </w:p>
    <w:p w14:paraId="57D4F1A6" w14:textId="77777777" w:rsidR="00A71EEF" w:rsidRDefault="0081115D">
      <w:pPr>
        <w:pStyle w:val="a3"/>
        <w:spacing w:before="47"/>
        <w:ind w:left="838"/>
      </w:pPr>
      <w:r>
        <w:t>检查方法：直观检查。</w:t>
      </w:r>
      <w:r>
        <w:t xml:space="preserve"> </w:t>
      </w:r>
    </w:p>
    <w:p w14:paraId="1F475A54" w14:textId="77777777" w:rsidR="00A71EEF" w:rsidRDefault="00A71EEF">
      <w:pPr>
        <w:pStyle w:val="a3"/>
        <w:rPr>
          <w:sz w:val="18"/>
        </w:rPr>
      </w:pPr>
    </w:p>
    <w:p w14:paraId="0F610702" w14:textId="77777777" w:rsidR="00A71EEF" w:rsidRDefault="0081115D">
      <w:pPr>
        <w:pStyle w:val="a4"/>
        <w:numPr>
          <w:ilvl w:val="2"/>
          <w:numId w:val="222"/>
        </w:numPr>
        <w:tabs>
          <w:tab w:val="left" w:pos="1635"/>
        </w:tabs>
        <w:rPr>
          <w:sz w:val="21"/>
        </w:rPr>
      </w:pPr>
      <w:r>
        <w:rPr>
          <w:spacing w:val="-3"/>
          <w:sz w:val="21"/>
        </w:rPr>
        <w:t>控制柜的验收应符合下列要求：</w:t>
      </w:r>
      <w:r>
        <w:rPr>
          <w:sz w:val="21"/>
        </w:rPr>
        <w:t xml:space="preserve"> </w:t>
      </w:r>
    </w:p>
    <w:p w14:paraId="18569DF0" w14:textId="77777777" w:rsidR="00A71EEF" w:rsidRDefault="00A71EEF">
      <w:pPr>
        <w:pStyle w:val="a3"/>
        <w:rPr>
          <w:sz w:val="18"/>
        </w:rPr>
      </w:pPr>
    </w:p>
    <w:p w14:paraId="4DF5BB3B" w14:textId="77777777" w:rsidR="00A71EEF" w:rsidRDefault="0081115D">
      <w:pPr>
        <w:pStyle w:val="a3"/>
        <w:spacing w:line="446" w:lineRule="auto"/>
        <w:ind w:left="838" w:right="5497"/>
      </w:pPr>
      <w:r>
        <w:t>控制柜的规格、型号、数量应符合设计要求；</w:t>
      </w:r>
      <w:r>
        <w:t xml:space="preserve"> </w:t>
      </w:r>
      <w:r>
        <w:t>控制柜的图纸塑封后应牢固粘贴于柜门内侧；</w:t>
      </w:r>
      <w:r>
        <w:t xml:space="preserve"> </w:t>
      </w:r>
    </w:p>
    <w:p w14:paraId="671CA55E" w14:textId="77777777" w:rsidR="00A71EEF" w:rsidRDefault="0081115D">
      <w:pPr>
        <w:pStyle w:val="a3"/>
        <w:ind w:left="838"/>
      </w:pPr>
      <w:r>
        <w:t>控制柜的动作应符合设计要求和本规范第</w:t>
      </w:r>
      <w:r>
        <w:t xml:space="preserve"> 11 </w:t>
      </w:r>
      <w:r>
        <w:t>章的有关规定；</w:t>
      </w:r>
      <w:r>
        <w:t xml:space="preserve"> </w:t>
      </w:r>
    </w:p>
    <w:p w14:paraId="5100E64F" w14:textId="77777777" w:rsidR="00A71EEF" w:rsidRDefault="00A71EEF">
      <w:pPr>
        <w:pStyle w:val="a3"/>
        <w:spacing w:before="12"/>
        <w:rPr>
          <w:sz w:val="17"/>
        </w:rPr>
      </w:pPr>
    </w:p>
    <w:p w14:paraId="2A903267" w14:textId="77777777" w:rsidR="00A71EEF" w:rsidRDefault="0081115D">
      <w:pPr>
        <w:pStyle w:val="a3"/>
        <w:spacing w:line="446" w:lineRule="auto"/>
        <w:ind w:left="838" w:right="4134"/>
      </w:pPr>
      <w:r>
        <w:t>控制柜的质量应符合产品标准和本规范第</w:t>
      </w:r>
      <w:r>
        <w:t xml:space="preserve"> 12.2.7 </w:t>
      </w:r>
      <w:r>
        <w:t>条的要求。主、备用电源自动切换装置的设置应符合设计要求。</w:t>
      </w:r>
      <w:r>
        <w:t xml:space="preserve"> </w:t>
      </w:r>
    </w:p>
    <w:p w14:paraId="78EA5AC1" w14:textId="77777777" w:rsidR="00A71EEF" w:rsidRDefault="0081115D">
      <w:pPr>
        <w:pStyle w:val="a3"/>
        <w:spacing w:line="446" w:lineRule="auto"/>
        <w:ind w:left="838" w:right="7600"/>
      </w:pPr>
      <w:r>
        <w:t>检查数量：全数检查。检查方法：直观检查。</w:t>
      </w:r>
      <w:r>
        <w:t xml:space="preserve"> </w:t>
      </w:r>
    </w:p>
    <w:p w14:paraId="51A886F0" w14:textId="77777777" w:rsidR="00A71EEF" w:rsidRDefault="0081115D">
      <w:pPr>
        <w:pStyle w:val="a4"/>
        <w:numPr>
          <w:ilvl w:val="2"/>
          <w:numId w:val="222"/>
        </w:numPr>
        <w:tabs>
          <w:tab w:val="left" w:pos="1635"/>
        </w:tabs>
        <w:spacing w:line="446" w:lineRule="auto"/>
        <w:ind w:left="838" w:right="4071" w:firstLine="2"/>
        <w:rPr>
          <w:sz w:val="21"/>
        </w:rPr>
      </w:pPr>
      <w:r>
        <w:rPr>
          <w:spacing w:val="-3"/>
          <w:sz w:val="21"/>
        </w:rPr>
        <w:t>应进行系统模拟灭火功能试验，且应符合下列要求：</w:t>
      </w:r>
      <w:r>
        <w:rPr>
          <w:spacing w:val="-3"/>
          <w:sz w:val="21"/>
        </w:rPr>
        <w:t xml:space="preserve"> </w:t>
      </w:r>
      <w:r>
        <w:rPr>
          <w:spacing w:val="-3"/>
          <w:sz w:val="21"/>
        </w:rPr>
        <w:t>干式消火栓报警阀动作，水力警铃应鸣响压力开关动作；</w:t>
      </w:r>
      <w:r>
        <w:rPr>
          <w:sz w:val="21"/>
        </w:rPr>
        <w:t xml:space="preserve"> </w:t>
      </w:r>
    </w:p>
    <w:p w14:paraId="494D8386" w14:textId="77777777" w:rsidR="00A71EEF" w:rsidRDefault="0081115D">
      <w:pPr>
        <w:pStyle w:val="a3"/>
        <w:spacing w:line="446" w:lineRule="auto"/>
        <w:ind w:left="418" w:right="1609" w:firstLine="419"/>
      </w:pPr>
      <w:r>
        <w:t>流量开关、低压压力开关和报警阀压力开关等动作，应能自动启动消防水泵及与其联锁的相关设备，并应有反馈信号显示；</w:t>
      </w:r>
      <w:r>
        <w:t xml:space="preserve"> </w:t>
      </w:r>
    </w:p>
    <w:p w14:paraId="3DBB7975" w14:textId="77777777" w:rsidR="00A71EEF" w:rsidRDefault="0081115D">
      <w:pPr>
        <w:pStyle w:val="a3"/>
        <w:ind w:left="838"/>
      </w:pPr>
      <w:r>
        <w:t>消防水泵启动后，应有反馈信号显示；</w:t>
      </w:r>
      <w:r>
        <w:t xml:space="preserve"> </w:t>
      </w:r>
    </w:p>
    <w:p w14:paraId="5C2F45CF" w14:textId="77777777" w:rsidR="00A71EEF" w:rsidRDefault="00A71EEF">
      <w:pPr>
        <w:pStyle w:val="a3"/>
        <w:spacing w:before="10"/>
        <w:rPr>
          <w:sz w:val="17"/>
        </w:rPr>
      </w:pPr>
    </w:p>
    <w:p w14:paraId="1C95FAE8" w14:textId="77777777" w:rsidR="00A71EEF" w:rsidRDefault="0081115D">
      <w:pPr>
        <w:pStyle w:val="a3"/>
        <w:spacing w:line="446" w:lineRule="auto"/>
        <w:ind w:left="838" w:right="2977"/>
      </w:pPr>
      <w:r>
        <w:rPr>
          <w:spacing w:val="-3"/>
        </w:rPr>
        <w:t>干式消火栓系统的干式报警阀的加速排气器动作后，应有反馈信号显示；</w:t>
      </w:r>
      <w:r>
        <w:rPr>
          <w:spacing w:val="-3"/>
        </w:rPr>
        <w:t xml:space="preserve"> </w:t>
      </w:r>
      <w:r>
        <w:rPr>
          <w:spacing w:val="-3"/>
        </w:rPr>
        <w:t>其他消防联动控制设备启动后，应有反馈信号显示。</w:t>
      </w:r>
      <w:r>
        <w:rPr>
          <w:spacing w:val="-3"/>
        </w:rPr>
        <w:t xml:space="preserve"> </w:t>
      </w:r>
    </w:p>
    <w:p w14:paraId="40C74E8D" w14:textId="77777777" w:rsidR="00A71EEF" w:rsidRDefault="0081115D">
      <w:pPr>
        <w:pStyle w:val="a3"/>
        <w:spacing w:line="446" w:lineRule="auto"/>
        <w:ind w:left="838" w:right="7600"/>
      </w:pPr>
      <w:r>
        <w:t>检查数量：全数检查。检查方法：直观检查。</w:t>
      </w:r>
      <w:r>
        <w:t xml:space="preserve"> </w:t>
      </w:r>
    </w:p>
    <w:p w14:paraId="391D60DF" w14:textId="77777777" w:rsidR="00A71EEF" w:rsidRDefault="0081115D">
      <w:pPr>
        <w:pStyle w:val="a4"/>
        <w:numPr>
          <w:ilvl w:val="2"/>
          <w:numId w:val="222"/>
        </w:numPr>
        <w:tabs>
          <w:tab w:val="left" w:pos="1635"/>
        </w:tabs>
        <w:spacing w:line="446" w:lineRule="auto"/>
        <w:ind w:left="838" w:right="4703" w:firstLine="2"/>
        <w:rPr>
          <w:sz w:val="21"/>
        </w:rPr>
      </w:pPr>
      <w:r>
        <w:rPr>
          <w:spacing w:val="-3"/>
          <w:sz w:val="21"/>
        </w:rPr>
        <w:t>系统工程质量验收判定条件应符合下列规定：</w:t>
      </w:r>
      <w:r>
        <w:rPr>
          <w:spacing w:val="-3"/>
          <w:sz w:val="21"/>
        </w:rPr>
        <w:t xml:space="preserve"> </w:t>
      </w:r>
      <w:r>
        <w:rPr>
          <w:spacing w:val="-7"/>
          <w:sz w:val="21"/>
        </w:rPr>
        <w:t>系统工程质量缺陷应按本规范附录</w:t>
      </w:r>
      <w:r>
        <w:rPr>
          <w:spacing w:val="-7"/>
          <w:sz w:val="21"/>
        </w:rPr>
        <w:t xml:space="preserve"> </w:t>
      </w:r>
      <w:r>
        <w:rPr>
          <w:sz w:val="21"/>
        </w:rPr>
        <w:t>F</w:t>
      </w:r>
      <w:r>
        <w:rPr>
          <w:spacing w:val="-12"/>
          <w:sz w:val="21"/>
        </w:rPr>
        <w:t xml:space="preserve"> </w:t>
      </w:r>
      <w:r>
        <w:rPr>
          <w:spacing w:val="-12"/>
          <w:sz w:val="21"/>
        </w:rPr>
        <w:t>要求划分。</w:t>
      </w:r>
      <w:r>
        <w:rPr>
          <w:sz w:val="21"/>
        </w:rPr>
        <w:t xml:space="preserve"> </w:t>
      </w:r>
    </w:p>
    <w:p w14:paraId="371A2933" w14:textId="77777777" w:rsidR="00A71EEF" w:rsidRDefault="0081115D">
      <w:pPr>
        <w:pStyle w:val="a3"/>
        <w:spacing w:line="446" w:lineRule="auto"/>
        <w:ind w:left="838" w:right="4239"/>
      </w:pPr>
      <w:r>
        <w:t>系统验收合格判定应为</w:t>
      </w:r>
      <w:r>
        <w:t xml:space="preserve"> A=0</w:t>
      </w:r>
      <w:r>
        <w:t>，且</w:t>
      </w:r>
      <w:r>
        <w:t xml:space="preserve"> B≤2</w:t>
      </w:r>
      <w:r>
        <w:t>，且</w:t>
      </w:r>
      <w:r>
        <w:t>B</w:t>
      </w:r>
      <w:r>
        <w:t>＋</w:t>
      </w:r>
      <w:r>
        <w:t xml:space="preserve">C≤6 </w:t>
      </w:r>
      <w:r>
        <w:t>为合格；</w:t>
      </w:r>
      <w:r>
        <w:t xml:space="preserve"> </w:t>
      </w:r>
      <w:r>
        <w:t>系统验收当不符合本条第</w:t>
      </w:r>
      <w:r>
        <w:t xml:space="preserve"> 2 </w:t>
      </w:r>
      <w:r>
        <w:t>款要求时应为不</w:t>
      </w:r>
      <w:r>
        <w:t>合格。</w:t>
      </w:r>
      <w:r>
        <w:t xml:space="preserve"> </w:t>
      </w:r>
    </w:p>
    <w:p w14:paraId="01AB495F" w14:textId="77777777" w:rsidR="00A71EEF" w:rsidRDefault="0081115D">
      <w:pPr>
        <w:pStyle w:val="4"/>
        <w:spacing w:line="277" w:lineRule="exact"/>
      </w:pPr>
      <w:r>
        <w:t xml:space="preserve">14 </w:t>
      </w:r>
      <w:r>
        <w:t>维护管理</w:t>
      </w:r>
      <w:r>
        <w:rPr>
          <w:w w:val="99"/>
        </w:rPr>
        <w:t xml:space="preserve"> </w:t>
      </w:r>
    </w:p>
    <w:p w14:paraId="232A6BB3" w14:textId="77777777" w:rsidR="00A71EEF" w:rsidRDefault="00A71EEF">
      <w:pPr>
        <w:pStyle w:val="a3"/>
        <w:spacing w:before="2"/>
        <w:rPr>
          <w:b/>
          <w:sz w:val="17"/>
        </w:rPr>
      </w:pPr>
    </w:p>
    <w:p w14:paraId="2D726F9F" w14:textId="77777777" w:rsidR="00A71EEF" w:rsidRDefault="0081115D">
      <w:pPr>
        <w:pStyle w:val="a4"/>
        <w:numPr>
          <w:ilvl w:val="1"/>
          <w:numId w:val="221"/>
        </w:numPr>
        <w:tabs>
          <w:tab w:val="left" w:pos="1318"/>
        </w:tabs>
        <w:spacing w:line="446" w:lineRule="auto"/>
        <w:ind w:right="1551" w:firstLine="422"/>
        <w:rPr>
          <w:sz w:val="21"/>
        </w:rPr>
      </w:pPr>
      <w:r>
        <w:rPr>
          <w:spacing w:val="-3"/>
          <w:sz w:val="21"/>
        </w:rPr>
        <w:t>消防给水及消火栓系统应有管理、检查检测、维护保养的操作规程；并应保证系统处</w:t>
      </w:r>
      <w:r>
        <w:rPr>
          <w:spacing w:val="-6"/>
          <w:sz w:val="21"/>
        </w:rPr>
        <w:t>于准工作状态。维护管理应按本规范附录</w:t>
      </w:r>
      <w:r>
        <w:rPr>
          <w:spacing w:val="-6"/>
          <w:sz w:val="21"/>
        </w:rPr>
        <w:t xml:space="preserve"> </w:t>
      </w:r>
      <w:r>
        <w:rPr>
          <w:sz w:val="21"/>
        </w:rPr>
        <w:t>G</w:t>
      </w:r>
      <w:r>
        <w:rPr>
          <w:spacing w:val="-9"/>
          <w:sz w:val="21"/>
        </w:rPr>
        <w:t xml:space="preserve"> </w:t>
      </w:r>
      <w:r>
        <w:rPr>
          <w:spacing w:val="-9"/>
          <w:sz w:val="21"/>
        </w:rPr>
        <w:t>的要求进行。</w:t>
      </w:r>
      <w:r>
        <w:rPr>
          <w:sz w:val="21"/>
        </w:rPr>
        <w:t xml:space="preserve"> </w:t>
      </w:r>
    </w:p>
    <w:p w14:paraId="1A30FD15" w14:textId="77777777" w:rsidR="00A71EEF" w:rsidRDefault="0081115D">
      <w:pPr>
        <w:pStyle w:val="a4"/>
        <w:numPr>
          <w:ilvl w:val="1"/>
          <w:numId w:val="221"/>
        </w:numPr>
        <w:tabs>
          <w:tab w:val="left" w:pos="1318"/>
        </w:tabs>
        <w:ind w:left="1318"/>
        <w:rPr>
          <w:sz w:val="21"/>
        </w:rPr>
      </w:pPr>
      <w:r>
        <w:rPr>
          <w:spacing w:val="-3"/>
          <w:sz w:val="21"/>
        </w:rPr>
        <w:t>维护管理人员应掌握和熟悉消防给水系统的原理、性能和操作规程。</w:t>
      </w:r>
      <w:r>
        <w:rPr>
          <w:spacing w:val="-3"/>
          <w:sz w:val="21"/>
        </w:rPr>
        <w:t xml:space="preserve"> </w:t>
      </w:r>
    </w:p>
    <w:p w14:paraId="6469CBB2" w14:textId="77777777" w:rsidR="00A71EEF" w:rsidRDefault="00A71EEF">
      <w:pPr>
        <w:pStyle w:val="a3"/>
        <w:rPr>
          <w:sz w:val="18"/>
        </w:rPr>
      </w:pPr>
    </w:p>
    <w:p w14:paraId="49B846ED" w14:textId="77777777" w:rsidR="00A71EEF" w:rsidRDefault="0081115D">
      <w:pPr>
        <w:pStyle w:val="a4"/>
        <w:numPr>
          <w:ilvl w:val="1"/>
          <w:numId w:val="221"/>
        </w:numPr>
        <w:tabs>
          <w:tab w:val="left" w:pos="1318"/>
        </w:tabs>
        <w:ind w:left="1318"/>
        <w:rPr>
          <w:sz w:val="21"/>
        </w:rPr>
      </w:pPr>
      <w:r>
        <w:rPr>
          <w:spacing w:val="-3"/>
          <w:sz w:val="21"/>
        </w:rPr>
        <w:t>水源的维护管理应符合下列规定：</w:t>
      </w:r>
      <w:r>
        <w:rPr>
          <w:sz w:val="21"/>
        </w:rPr>
        <w:t xml:space="preserve"> </w:t>
      </w:r>
    </w:p>
    <w:p w14:paraId="3D85D514" w14:textId="77777777" w:rsidR="00A71EEF" w:rsidRDefault="00A71EEF">
      <w:pPr>
        <w:pStyle w:val="a3"/>
        <w:spacing w:before="2"/>
        <w:rPr>
          <w:sz w:val="18"/>
        </w:rPr>
      </w:pPr>
    </w:p>
    <w:p w14:paraId="524C3815" w14:textId="77777777" w:rsidR="00A71EEF" w:rsidRDefault="0081115D">
      <w:pPr>
        <w:pStyle w:val="a3"/>
        <w:ind w:left="838"/>
      </w:pPr>
      <w:r>
        <w:t>每季度应监测市政给水管网的压力和供水能力；</w:t>
      </w:r>
      <w:r>
        <w:t xml:space="preserve"> </w:t>
      </w:r>
    </w:p>
    <w:p w14:paraId="511052F9" w14:textId="77777777" w:rsidR="00A71EEF" w:rsidRDefault="00A71EEF">
      <w:pPr>
        <w:sectPr w:rsidR="00A71EEF">
          <w:pgSz w:w="11910" w:h="16850"/>
          <w:pgMar w:top="1220" w:right="0" w:bottom="1420" w:left="1260" w:header="0" w:footer="1239" w:gutter="0"/>
          <w:cols w:space="720"/>
        </w:sectPr>
      </w:pPr>
    </w:p>
    <w:p w14:paraId="7A4BF006" w14:textId="77777777" w:rsidR="00A71EEF" w:rsidRDefault="0081115D">
      <w:pPr>
        <w:pStyle w:val="a3"/>
        <w:spacing w:before="47" w:line="446" w:lineRule="auto"/>
        <w:ind w:left="418" w:right="1609" w:firstLine="419"/>
      </w:pPr>
      <w:r>
        <w:t>每年应对天然河湖等地表水消防水源的常水位、枯水位、洪水位，以及枯水位流量或蓄水量等进行一次检测；</w:t>
      </w:r>
      <w:r>
        <w:t xml:space="preserve"> </w:t>
      </w:r>
    </w:p>
    <w:p w14:paraId="4E4400A7" w14:textId="77777777" w:rsidR="00A71EEF" w:rsidRDefault="0081115D">
      <w:pPr>
        <w:pStyle w:val="a3"/>
        <w:spacing w:line="446" w:lineRule="auto"/>
        <w:ind w:left="418" w:right="1817" w:firstLine="419"/>
      </w:pPr>
      <w:r>
        <w:t>每年应对水井等地下水消防水源的常水位、最低水位、最高水位和出水量等进行一次测定；</w:t>
      </w:r>
      <w:r>
        <w:t xml:space="preserve"> </w:t>
      </w:r>
    </w:p>
    <w:p w14:paraId="21D9E4DB" w14:textId="77777777" w:rsidR="00A71EEF" w:rsidRDefault="0081115D">
      <w:pPr>
        <w:pStyle w:val="a3"/>
        <w:spacing w:line="446" w:lineRule="auto"/>
        <w:ind w:left="418" w:right="1817" w:firstLine="419"/>
      </w:pPr>
      <w:r>
        <w:t>每月应对消防水池、高位消防水池、高位消防水箱等消防水源设施的水位等进行一次检测；消防水池（箱）玻璃水位计两端的角阀在不进行水位观察时应关闭；</w:t>
      </w:r>
      <w:r>
        <w:t xml:space="preserve"> </w:t>
      </w:r>
    </w:p>
    <w:p w14:paraId="3F2D6566" w14:textId="77777777" w:rsidR="00A71EEF" w:rsidRDefault="0081115D">
      <w:pPr>
        <w:pStyle w:val="a3"/>
        <w:spacing w:line="446" w:lineRule="auto"/>
        <w:ind w:left="418" w:right="1391" w:firstLine="419"/>
      </w:pPr>
      <w:r>
        <w:t>在冬季每天应对消防储水设施进行室内温度和水温检测，当结冰或室内温度低于</w:t>
      </w:r>
      <w:r>
        <w:t xml:space="preserve"> 5℃</w:t>
      </w:r>
      <w:r>
        <w:t>时，应采取确保不结冰和室温不低于</w:t>
      </w:r>
      <w:r>
        <w:t xml:space="preserve"> 5℃</w:t>
      </w:r>
      <w:r>
        <w:t>的措施。</w:t>
      </w:r>
      <w:r>
        <w:t xml:space="preserve"> </w:t>
      </w:r>
    </w:p>
    <w:p w14:paraId="4B97CA9A" w14:textId="77777777" w:rsidR="00A71EEF" w:rsidRDefault="0081115D">
      <w:pPr>
        <w:pStyle w:val="a4"/>
        <w:numPr>
          <w:ilvl w:val="1"/>
          <w:numId w:val="221"/>
        </w:numPr>
        <w:tabs>
          <w:tab w:val="left" w:pos="1318"/>
        </w:tabs>
        <w:spacing w:line="446" w:lineRule="auto"/>
        <w:ind w:left="838" w:right="3759" w:firstLine="2"/>
        <w:rPr>
          <w:sz w:val="21"/>
        </w:rPr>
      </w:pPr>
      <w:r>
        <w:rPr>
          <w:spacing w:val="-3"/>
          <w:sz w:val="21"/>
        </w:rPr>
        <w:t>消防水泵和稳压泵等供水设施的维护管理应符合下列规定：</w:t>
      </w:r>
      <w:r>
        <w:rPr>
          <w:spacing w:val="-3"/>
          <w:sz w:val="21"/>
        </w:rPr>
        <w:t xml:space="preserve"> </w:t>
      </w:r>
      <w:r>
        <w:rPr>
          <w:spacing w:val="-3"/>
          <w:sz w:val="21"/>
        </w:rPr>
        <w:t>每月</w:t>
      </w:r>
      <w:r>
        <w:rPr>
          <w:spacing w:val="-3"/>
          <w:sz w:val="21"/>
        </w:rPr>
        <w:t>应手动启动消防水泵运转一次，并应检查供电电源的情况；</w:t>
      </w:r>
      <w:r>
        <w:rPr>
          <w:sz w:val="21"/>
        </w:rPr>
        <w:t xml:space="preserve"> </w:t>
      </w:r>
    </w:p>
    <w:p w14:paraId="194459E7" w14:textId="77777777" w:rsidR="00A71EEF" w:rsidRDefault="0081115D">
      <w:pPr>
        <w:pStyle w:val="a3"/>
        <w:spacing w:line="446" w:lineRule="auto"/>
        <w:ind w:left="418" w:right="1609" w:firstLine="419"/>
      </w:pPr>
      <w:r>
        <w:t>每周应模拟消防水泵自动控制的条件自动启动消防水泵运转一次，且应自动记录自动巡检情况，每月应检测记录；</w:t>
      </w:r>
      <w:r>
        <w:t xml:space="preserve"> </w:t>
      </w:r>
    </w:p>
    <w:p w14:paraId="6E39B23B" w14:textId="77777777" w:rsidR="00A71EEF" w:rsidRDefault="0081115D">
      <w:pPr>
        <w:pStyle w:val="a3"/>
        <w:ind w:left="838"/>
      </w:pPr>
      <w:r>
        <w:t>每日应对稳压泵的停泵启泵压力和启泵次数等进行检查和记录运行情况；</w:t>
      </w:r>
      <w:r>
        <w:t xml:space="preserve"> </w:t>
      </w:r>
    </w:p>
    <w:p w14:paraId="36776DEE" w14:textId="77777777" w:rsidR="00A71EEF" w:rsidRDefault="00A71EEF">
      <w:pPr>
        <w:pStyle w:val="a3"/>
        <w:spacing w:before="8"/>
        <w:rPr>
          <w:sz w:val="17"/>
        </w:rPr>
      </w:pPr>
    </w:p>
    <w:p w14:paraId="1EC11DE7" w14:textId="77777777" w:rsidR="00A71EEF" w:rsidRDefault="0081115D">
      <w:pPr>
        <w:pStyle w:val="a3"/>
        <w:spacing w:before="1" w:line="446" w:lineRule="auto"/>
        <w:ind w:left="418" w:right="1609" w:firstLine="419"/>
      </w:pPr>
      <w:r>
        <w:t>每日应对柴油机消防水泵的启动电池的电量进行检测，每周应检查储油箱的储油量，每月应手动启动柴油机消防水泵运行一次；</w:t>
      </w:r>
      <w:r>
        <w:t xml:space="preserve"> </w:t>
      </w:r>
    </w:p>
    <w:p w14:paraId="71A4E39B" w14:textId="77777777" w:rsidR="00A71EEF" w:rsidRDefault="0081115D">
      <w:pPr>
        <w:pStyle w:val="a3"/>
        <w:spacing w:line="446" w:lineRule="auto"/>
        <w:ind w:left="838" w:right="4657"/>
      </w:pPr>
      <w:r>
        <w:rPr>
          <w:spacing w:val="-3"/>
        </w:rPr>
        <w:t>每季度应对消防水泵的出流量和压力进行一次试验；</w:t>
      </w:r>
      <w:r>
        <w:rPr>
          <w:spacing w:val="-3"/>
        </w:rPr>
        <w:t xml:space="preserve">  </w:t>
      </w:r>
      <w:r>
        <w:rPr>
          <w:spacing w:val="-3"/>
        </w:rPr>
        <w:t>每月应对气压水罐的压力和有效容积等进行一次检测。</w:t>
      </w:r>
      <w:r>
        <w:t xml:space="preserve"> </w:t>
      </w:r>
    </w:p>
    <w:p w14:paraId="5DBCB674" w14:textId="77777777" w:rsidR="00A71EEF" w:rsidRDefault="0081115D">
      <w:pPr>
        <w:pStyle w:val="a4"/>
        <w:numPr>
          <w:ilvl w:val="1"/>
          <w:numId w:val="221"/>
        </w:numPr>
        <w:tabs>
          <w:tab w:val="left" w:pos="1318"/>
        </w:tabs>
        <w:spacing w:line="267" w:lineRule="exact"/>
        <w:ind w:left="1318"/>
        <w:rPr>
          <w:sz w:val="21"/>
        </w:rPr>
      </w:pPr>
      <w:r>
        <w:rPr>
          <w:spacing w:val="-3"/>
          <w:sz w:val="21"/>
        </w:rPr>
        <w:t>减压阀的维护管理应符合下列规定：</w:t>
      </w:r>
      <w:r>
        <w:rPr>
          <w:sz w:val="21"/>
        </w:rPr>
        <w:t xml:space="preserve"> </w:t>
      </w:r>
    </w:p>
    <w:p w14:paraId="2BB077CD" w14:textId="77777777" w:rsidR="00A71EEF" w:rsidRDefault="00A71EEF">
      <w:pPr>
        <w:pStyle w:val="a3"/>
        <w:spacing w:before="1"/>
        <w:rPr>
          <w:sz w:val="18"/>
        </w:rPr>
      </w:pPr>
    </w:p>
    <w:p w14:paraId="2BF0D063" w14:textId="77777777" w:rsidR="00A71EEF" w:rsidRDefault="0081115D">
      <w:pPr>
        <w:pStyle w:val="a3"/>
        <w:spacing w:line="446" w:lineRule="auto"/>
        <w:ind w:left="418" w:right="1609" w:firstLine="419"/>
      </w:pPr>
      <w:r>
        <w:t>每月应对减压阀组进行一次放水试验，并应检测和记录减压阀前后的压力，当不符合设计值时应采取满足系统要求的调试和维修等措施；</w:t>
      </w:r>
      <w:r>
        <w:t xml:space="preserve"> </w:t>
      </w:r>
    </w:p>
    <w:p w14:paraId="5077226E" w14:textId="77777777" w:rsidR="00A71EEF" w:rsidRDefault="0081115D">
      <w:pPr>
        <w:pStyle w:val="a3"/>
        <w:spacing w:line="267" w:lineRule="exact"/>
        <w:ind w:left="838"/>
      </w:pPr>
      <w:r>
        <w:t>每年应对减压阀的流量和压力进行一次试验。</w:t>
      </w:r>
      <w:r>
        <w:t xml:space="preserve"> </w:t>
      </w:r>
    </w:p>
    <w:p w14:paraId="0570C635" w14:textId="77777777" w:rsidR="00A71EEF" w:rsidRDefault="00A71EEF">
      <w:pPr>
        <w:pStyle w:val="a3"/>
        <w:spacing w:before="2"/>
        <w:rPr>
          <w:sz w:val="18"/>
        </w:rPr>
      </w:pPr>
    </w:p>
    <w:p w14:paraId="5270967A" w14:textId="77777777" w:rsidR="00A71EEF" w:rsidRDefault="0081115D">
      <w:pPr>
        <w:pStyle w:val="a4"/>
        <w:numPr>
          <w:ilvl w:val="1"/>
          <w:numId w:val="221"/>
        </w:numPr>
        <w:tabs>
          <w:tab w:val="left" w:pos="1318"/>
        </w:tabs>
        <w:ind w:left="1318"/>
        <w:rPr>
          <w:sz w:val="21"/>
        </w:rPr>
      </w:pPr>
      <w:r>
        <w:rPr>
          <w:spacing w:val="-3"/>
          <w:sz w:val="21"/>
        </w:rPr>
        <w:t>阀门的维护管理应符合下列规定：</w:t>
      </w:r>
      <w:r>
        <w:rPr>
          <w:sz w:val="21"/>
        </w:rPr>
        <w:t xml:space="preserve"> </w:t>
      </w:r>
    </w:p>
    <w:p w14:paraId="44499B24" w14:textId="77777777" w:rsidR="00A71EEF" w:rsidRDefault="00A71EEF">
      <w:pPr>
        <w:pStyle w:val="a3"/>
        <w:rPr>
          <w:sz w:val="18"/>
        </w:rPr>
      </w:pPr>
    </w:p>
    <w:p w14:paraId="56D17F3B" w14:textId="77777777" w:rsidR="00A71EEF" w:rsidRDefault="0081115D">
      <w:pPr>
        <w:pStyle w:val="a3"/>
        <w:spacing w:line="446" w:lineRule="auto"/>
        <w:ind w:left="838" w:right="2765"/>
      </w:pPr>
      <w:r>
        <w:rPr>
          <w:spacing w:val="-3"/>
        </w:rPr>
        <w:t>雨林阀的附属电磁阀应每月检查并应作启动试验，动作失常时应及时更换；</w:t>
      </w:r>
      <w:r>
        <w:rPr>
          <w:spacing w:val="-3"/>
        </w:rPr>
        <w:t xml:space="preserve"> </w:t>
      </w:r>
      <w:r>
        <w:rPr>
          <w:spacing w:val="-3"/>
        </w:rPr>
        <w:t>每月应对电动阀和电磁阀的供电和启闭性能进行检测；</w:t>
      </w:r>
      <w:r>
        <w:t xml:space="preserve"> </w:t>
      </w:r>
    </w:p>
    <w:p w14:paraId="3E0ADB64" w14:textId="77777777" w:rsidR="00A71EEF" w:rsidRDefault="0081115D">
      <w:pPr>
        <w:pStyle w:val="a3"/>
        <w:spacing w:line="446" w:lineRule="auto"/>
        <w:ind w:left="418" w:right="1609" w:firstLine="419"/>
      </w:pPr>
      <w:r>
        <w:t>系统上所有的控制阀门均应采用铅封或锁链固定在开</w:t>
      </w:r>
      <w:r>
        <w:t>启或规定的状态，每月应对铅封、锁链进行一次检查，当有破坏或损坏时应及时修理更换；</w:t>
      </w:r>
      <w:r>
        <w:t xml:space="preserve"> </w:t>
      </w:r>
    </w:p>
    <w:p w14:paraId="418F66D1" w14:textId="77777777" w:rsidR="00A71EEF" w:rsidRDefault="0081115D">
      <w:pPr>
        <w:pStyle w:val="a3"/>
        <w:spacing w:line="446" w:lineRule="auto"/>
        <w:ind w:left="418" w:right="1609" w:firstLine="419"/>
      </w:pPr>
      <w:r>
        <w:t>每季度应对室外阀门井中，进水管上的控制阀门进行一次检查，并应核实其处于全开启状态；</w:t>
      </w:r>
      <w:r>
        <w:t xml:space="preserve"> </w:t>
      </w:r>
    </w:p>
    <w:p w14:paraId="35683173" w14:textId="77777777" w:rsidR="00A71EEF" w:rsidRDefault="00A71EEF">
      <w:pPr>
        <w:spacing w:line="446" w:lineRule="auto"/>
        <w:sectPr w:rsidR="00A71EEF">
          <w:pgSz w:w="11910" w:h="16850"/>
          <w:pgMar w:top="1220" w:right="0" w:bottom="1420" w:left="1260" w:header="0" w:footer="1239" w:gutter="0"/>
          <w:cols w:space="720"/>
        </w:sectPr>
      </w:pPr>
    </w:p>
    <w:p w14:paraId="793DD43A" w14:textId="77777777" w:rsidR="00A71EEF" w:rsidRDefault="0081115D">
      <w:pPr>
        <w:pStyle w:val="a3"/>
        <w:spacing w:before="47"/>
        <w:ind w:left="838"/>
      </w:pPr>
      <w:r>
        <w:t>每天应对水源控制阀、报警阀组进行外观检查，并应保证系统处于无故障状态；</w:t>
      </w:r>
      <w:r>
        <w:t xml:space="preserve"> </w:t>
      </w:r>
    </w:p>
    <w:p w14:paraId="5403B1E6" w14:textId="77777777" w:rsidR="00A71EEF" w:rsidRDefault="00A71EEF">
      <w:pPr>
        <w:pStyle w:val="a3"/>
        <w:rPr>
          <w:sz w:val="18"/>
        </w:rPr>
      </w:pPr>
    </w:p>
    <w:p w14:paraId="2CCCB613" w14:textId="77777777" w:rsidR="00A71EEF" w:rsidRDefault="0081115D">
      <w:pPr>
        <w:pStyle w:val="a3"/>
        <w:spacing w:line="446" w:lineRule="auto"/>
        <w:ind w:left="418" w:right="1609" w:firstLine="419"/>
      </w:pPr>
      <w:r>
        <w:t>每季度应对系统所有的末端试水阀和报警阀的放水试验阀进行一次放水试验，并应检查系统启动、报警功能以及出水情况是否正常；</w:t>
      </w:r>
      <w:r>
        <w:t xml:space="preserve"> </w:t>
      </w:r>
    </w:p>
    <w:p w14:paraId="4471B17F" w14:textId="77777777" w:rsidR="00A71EEF" w:rsidRDefault="0081115D">
      <w:pPr>
        <w:pStyle w:val="a3"/>
        <w:spacing w:line="446" w:lineRule="auto"/>
        <w:ind w:left="418" w:right="1558" w:firstLine="419"/>
        <w:jc w:val="both"/>
      </w:pPr>
      <w:r>
        <w:rPr>
          <w:spacing w:val="-3"/>
        </w:rPr>
        <w:t>在市政供水阀门处于完全开启状态时，每月应对倒流防止器的压差进行检测，且应符合国家现行标准《减压型倒流防止器》</w:t>
      </w:r>
      <w:r>
        <w:t>GB/T 25178</w:t>
      </w:r>
      <w:r>
        <w:rPr>
          <w:spacing w:val="-3"/>
        </w:rPr>
        <w:t>、《低阻力倒流防止器》</w:t>
      </w:r>
      <w:r>
        <w:t>JB/T 11151</w:t>
      </w:r>
      <w:r>
        <w:rPr>
          <w:spacing w:val="-10"/>
        </w:rPr>
        <w:t xml:space="preserve"> </w:t>
      </w:r>
      <w:r>
        <w:rPr>
          <w:spacing w:val="-10"/>
        </w:rPr>
        <w:t>和《双止回</w:t>
      </w:r>
      <w:r>
        <w:rPr>
          <w:spacing w:val="-5"/>
        </w:rPr>
        <w:t>阀倒流防止器》</w:t>
      </w:r>
      <w:r>
        <w:t>CJ/T 160</w:t>
      </w:r>
      <w:r>
        <w:rPr>
          <w:spacing w:val="-10"/>
        </w:rPr>
        <w:t xml:space="preserve"> </w:t>
      </w:r>
      <w:r>
        <w:rPr>
          <w:spacing w:val="-10"/>
        </w:rPr>
        <w:t>等的有关规定。</w:t>
      </w:r>
      <w:r>
        <w:t xml:space="preserve"> </w:t>
      </w:r>
    </w:p>
    <w:p w14:paraId="58B3309F" w14:textId="77777777" w:rsidR="00A71EEF" w:rsidRDefault="0081115D">
      <w:pPr>
        <w:pStyle w:val="a4"/>
        <w:numPr>
          <w:ilvl w:val="1"/>
          <w:numId w:val="221"/>
        </w:numPr>
        <w:tabs>
          <w:tab w:val="left" w:pos="1318"/>
        </w:tabs>
        <w:spacing w:line="268" w:lineRule="exact"/>
        <w:ind w:left="1318"/>
        <w:rPr>
          <w:sz w:val="21"/>
        </w:rPr>
      </w:pPr>
      <w:r>
        <w:rPr>
          <w:spacing w:val="-3"/>
          <w:sz w:val="21"/>
        </w:rPr>
        <w:t>每季度应对消火栓进行一次外观和漏水检查，发现有不正常的消火栓应及时更换。</w:t>
      </w:r>
      <w:r>
        <w:rPr>
          <w:sz w:val="21"/>
        </w:rPr>
        <w:t xml:space="preserve"> </w:t>
      </w:r>
    </w:p>
    <w:p w14:paraId="6D5D3BA5" w14:textId="77777777" w:rsidR="00A71EEF" w:rsidRDefault="00A71EEF">
      <w:pPr>
        <w:pStyle w:val="a3"/>
        <w:rPr>
          <w:sz w:val="18"/>
        </w:rPr>
      </w:pPr>
    </w:p>
    <w:p w14:paraId="2CC61AC2" w14:textId="77777777" w:rsidR="00A71EEF" w:rsidRDefault="0081115D">
      <w:pPr>
        <w:pStyle w:val="a4"/>
        <w:numPr>
          <w:ilvl w:val="1"/>
          <w:numId w:val="221"/>
        </w:numPr>
        <w:tabs>
          <w:tab w:val="left" w:pos="1318"/>
        </w:tabs>
        <w:spacing w:line="446" w:lineRule="auto"/>
        <w:ind w:right="1760" w:firstLine="422"/>
        <w:rPr>
          <w:sz w:val="21"/>
        </w:rPr>
      </w:pPr>
      <w:r>
        <w:rPr>
          <w:spacing w:val="-3"/>
          <w:sz w:val="21"/>
        </w:rPr>
        <w:t>每季度应对消防水泵接合器的接口及附件进行检查一次，并应保证接口完好、无渗漏、闷盖齐</w:t>
      </w:r>
      <w:r>
        <w:rPr>
          <w:spacing w:val="-3"/>
          <w:sz w:val="21"/>
        </w:rPr>
        <w:t>全。</w:t>
      </w:r>
      <w:r>
        <w:rPr>
          <w:sz w:val="21"/>
        </w:rPr>
        <w:t xml:space="preserve"> </w:t>
      </w:r>
    </w:p>
    <w:p w14:paraId="46FD5B05" w14:textId="77777777" w:rsidR="00A71EEF" w:rsidRDefault="0081115D">
      <w:pPr>
        <w:pStyle w:val="a4"/>
        <w:numPr>
          <w:ilvl w:val="1"/>
          <w:numId w:val="221"/>
        </w:numPr>
        <w:tabs>
          <w:tab w:val="left" w:pos="1318"/>
        </w:tabs>
        <w:spacing w:line="446" w:lineRule="auto"/>
        <w:ind w:right="1551" w:firstLine="422"/>
        <w:rPr>
          <w:sz w:val="21"/>
        </w:rPr>
      </w:pPr>
      <w:r>
        <w:rPr>
          <w:spacing w:val="-3"/>
          <w:sz w:val="21"/>
        </w:rPr>
        <w:t>每年应对系统过滤器进行至少一次排渣，并应检查过滤器是否处于完好状态，当堵塞或损坏时应及时检修。</w:t>
      </w:r>
      <w:r>
        <w:rPr>
          <w:sz w:val="21"/>
        </w:rPr>
        <w:t xml:space="preserve"> </w:t>
      </w:r>
    </w:p>
    <w:p w14:paraId="0099A0CB" w14:textId="77777777" w:rsidR="00A71EEF" w:rsidRDefault="0081115D">
      <w:pPr>
        <w:pStyle w:val="a4"/>
        <w:numPr>
          <w:ilvl w:val="1"/>
          <w:numId w:val="221"/>
        </w:numPr>
        <w:tabs>
          <w:tab w:val="left" w:pos="1424"/>
        </w:tabs>
        <w:spacing w:line="446" w:lineRule="auto"/>
        <w:ind w:right="1445" w:firstLine="422"/>
        <w:rPr>
          <w:sz w:val="21"/>
        </w:rPr>
      </w:pPr>
      <w:r>
        <w:rPr>
          <w:spacing w:val="-3"/>
          <w:sz w:val="21"/>
        </w:rPr>
        <w:t>每年应检查消防水池、消防水箱等蓄水设施的结构材料是否完好，发现问题时应及时处理。</w:t>
      </w:r>
      <w:r>
        <w:rPr>
          <w:sz w:val="21"/>
        </w:rPr>
        <w:t xml:space="preserve"> </w:t>
      </w:r>
    </w:p>
    <w:p w14:paraId="20BA3449" w14:textId="77777777" w:rsidR="00A71EEF" w:rsidRDefault="0081115D">
      <w:pPr>
        <w:pStyle w:val="a4"/>
        <w:numPr>
          <w:ilvl w:val="1"/>
          <w:numId w:val="221"/>
        </w:numPr>
        <w:tabs>
          <w:tab w:val="left" w:pos="1424"/>
        </w:tabs>
        <w:spacing w:line="446" w:lineRule="auto"/>
        <w:ind w:right="1445" w:firstLine="422"/>
        <w:rPr>
          <w:sz w:val="21"/>
        </w:rPr>
      </w:pPr>
      <w:r>
        <w:rPr>
          <w:spacing w:val="-3"/>
          <w:sz w:val="21"/>
        </w:rPr>
        <w:t>建筑的使用性质功能或障碍物的改变，影响到消防给水及消火栓系统功能而需要进行修改时，应重新进行设计。</w:t>
      </w:r>
      <w:r>
        <w:rPr>
          <w:spacing w:val="-3"/>
          <w:sz w:val="21"/>
        </w:rPr>
        <w:t xml:space="preserve"> </w:t>
      </w:r>
    </w:p>
    <w:p w14:paraId="22749244" w14:textId="77777777" w:rsidR="00A71EEF" w:rsidRDefault="0081115D">
      <w:pPr>
        <w:pStyle w:val="a4"/>
        <w:numPr>
          <w:ilvl w:val="1"/>
          <w:numId w:val="221"/>
        </w:numPr>
        <w:tabs>
          <w:tab w:val="left" w:pos="1424"/>
        </w:tabs>
        <w:spacing w:line="446" w:lineRule="auto"/>
        <w:ind w:right="1445" w:firstLine="422"/>
        <w:rPr>
          <w:sz w:val="21"/>
        </w:rPr>
      </w:pPr>
      <w:r>
        <w:rPr>
          <w:spacing w:val="-3"/>
          <w:sz w:val="21"/>
        </w:rPr>
        <w:t>消火栓、消防水泵接合器、消防水泵房、消防水泵、减压阀、报警阀和阀门等，应有明确的标识。</w:t>
      </w:r>
      <w:r>
        <w:rPr>
          <w:sz w:val="21"/>
        </w:rPr>
        <w:t xml:space="preserve"> </w:t>
      </w:r>
    </w:p>
    <w:p w14:paraId="6D1BED17" w14:textId="77777777" w:rsidR="00A71EEF" w:rsidRDefault="0081115D">
      <w:pPr>
        <w:pStyle w:val="a4"/>
        <w:numPr>
          <w:ilvl w:val="1"/>
          <w:numId w:val="221"/>
        </w:numPr>
        <w:tabs>
          <w:tab w:val="left" w:pos="1424"/>
        </w:tabs>
        <w:spacing w:line="446" w:lineRule="auto"/>
        <w:ind w:right="1445" w:firstLine="422"/>
        <w:rPr>
          <w:sz w:val="21"/>
        </w:rPr>
      </w:pPr>
      <w:r>
        <w:rPr>
          <w:spacing w:val="-3"/>
          <w:sz w:val="21"/>
        </w:rPr>
        <w:t>消防给水及消火栓系统应有产权单位负责管理，并应使系统处于随时满足消防的需求和安全状态。</w:t>
      </w:r>
      <w:r>
        <w:rPr>
          <w:sz w:val="21"/>
        </w:rPr>
        <w:t xml:space="preserve"> </w:t>
      </w:r>
    </w:p>
    <w:p w14:paraId="63637E42" w14:textId="77777777" w:rsidR="00A71EEF" w:rsidRDefault="0081115D">
      <w:pPr>
        <w:pStyle w:val="a4"/>
        <w:numPr>
          <w:ilvl w:val="1"/>
          <w:numId w:val="221"/>
        </w:numPr>
        <w:tabs>
          <w:tab w:val="left" w:pos="1424"/>
        </w:tabs>
        <w:ind w:left="1423" w:hanging="584"/>
        <w:rPr>
          <w:sz w:val="21"/>
        </w:rPr>
      </w:pPr>
      <w:r>
        <w:rPr>
          <w:spacing w:val="-3"/>
          <w:sz w:val="21"/>
        </w:rPr>
        <w:t>永久性地表水天然水源消防取水口应有防止水</w:t>
      </w:r>
      <w:r>
        <w:rPr>
          <w:spacing w:val="-3"/>
          <w:sz w:val="21"/>
        </w:rPr>
        <w:t>生生物繁殖的管理技术措施。</w:t>
      </w:r>
      <w:r>
        <w:rPr>
          <w:spacing w:val="-3"/>
          <w:sz w:val="21"/>
        </w:rPr>
        <w:t xml:space="preserve"> </w:t>
      </w:r>
    </w:p>
    <w:p w14:paraId="7AEF859C" w14:textId="77777777" w:rsidR="00A71EEF" w:rsidRDefault="00A71EEF">
      <w:pPr>
        <w:pStyle w:val="a3"/>
        <w:spacing w:before="8"/>
        <w:rPr>
          <w:sz w:val="17"/>
        </w:rPr>
      </w:pPr>
    </w:p>
    <w:p w14:paraId="51E5B77E" w14:textId="77777777" w:rsidR="00A71EEF" w:rsidRDefault="0081115D">
      <w:pPr>
        <w:pStyle w:val="a4"/>
        <w:numPr>
          <w:ilvl w:val="1"/>
          <w:numId w:val="221"/>
        </w:numPr>
        <w:tabs>
          <w:tab w:val="left" w:pos="1424"/>
        </w:tabs>
        <w:spacing w:line="446" w:lineRule="auto"/>
        <w:ind w:right="1445" w:firstLine="422"/>
        <w:rPr>
          <w:sz w:val="21"/>
        </w:rPr>
      </w:pPr>
      <w:r>
        <w:rPr>
          <w:spacing w:val="-3"/>
          <w:sz w:val="21"/>
        </w:rPr>
        <w:t>消防给水及消火栓系统发生故障，需停水进行修理前，应向主管值班人员报告，并应取得维护负责人的同意，同时应临场监督，应在采取防范措施后再动工。</w:t>
      </w:r>
      <w:r>
        <w:rPr>
          <w:sz w:val="21"/>
        </w:rPr>
        <w:t xml:space="preserve"> </w:t>
      </w:r>
    </w:p>
    <w:p w14:paraId="74BD467F" w14:textId="77777777" w:rsidR="00A71EEF" w:rsidRDefault="00A71EEF">
      <w:pPr>
        <w:pStyle w:val="a3"/>
        <w:rPr>
          <w:sz w:val="20"/>
        </w:rPr>
      </w:pPr>
    </w:p>
    <w:p w14:paraId="1C465B4B" w14:textId="77777777" w:rsidR="00A71EEF" w:rsidRDefault="00A71EEF">
      <w:pPr>
        <w:pStyle w:val="a3"/>
        <w:rPr>
          <w:sz w:val="20"/>
        </w:rPr>
      </w:pPr>
    </w:p>
    <w:p w14:paraId="5229081D" w14:textId="77777777" w:rsidR="00A71EEF" w:rsidRDefault="00A71EEF">
      <w:pPr>
        <w:pStyle w:val="a3"/>
        <w:rPr>
          <w:sz w:val="20"/>
        </w:rPr>
      </w:pPr>
    </w:p>
    <w:p w14:paraId="0B291F66" w14:textId="77777777" w:rsidR="00A71EEF" w:rsidRDefault="00A71EEF">
      <w:pPr>
        <w:pStyle w:val="a3"/>
        <w:rPr>
          <w:sz w:val="20"/>
        </w:rPr>
      </w:pPr>
    </w:p>
    <w:p w14:paraId="43A63DE2" w14:textId="77777777" w:rsidR="00A71EEF" w:rsidRDefault="00A71EEF">
      <w:pPr>
        <w:pStyle w:val="a3"/>
        <w:rPr>
          <w:sz w:val="20"/>
        </w:rPr>
      </w:pPr>
    </w:p>
    <w:p w14:paraId="5BA0D8EC" w14:textId="77777777" w:rsidR="00A71EEF" w:rsidRDefault="00A71EEF">
      <w:pPr>
        <w:pStyle w:val="a3"/>
        <w:rPr>
          <w:sz w:val="20"/>
        </w:rPr>
      </w:pPr>
    </w:p>
    <w:p w14:paraId="44AEBD0F" w14:textId="77777777" w:rsidR="00A71EEF" w:rsidRDefault="00A71EEF">
      <w:pPr>
        <w:pStyle w:val="a3"/>
        <w:rPr>
          <w:sz w:val="20"/>
        </w:rPr>
      </w:pPr>
    </w:p>
    <w:p w14:paraId="7E97D4CB" w14:textId="77777777" w:rsidR="00A71EEF" w:rsidRDefault="00A71EEF">
      <w:pPr>
        <w:pStyle w:val="a3"/>
        <w:rPr>
          <w:sz w:val="20"/>
        </w:rPr>
      </w:pPr>
    </w:p>
    <w:p w14:paraId="21CB629D" w14:textId="77777777" w:rsidR="00A71EEF" w:rsidRDefault="00A71EEF">
      <w:pPr>
        <w:pStyle w:val="a3"/>
        <w:spacing w:before="8"/>
        <w:rPr>
          <w:sz w:val="29"/>
        </w:rPr>
      </w:pPr>
    </w:p>
    <w:p w14:paraId="1292E60C" w14:textId="77777777" w:rsidR="00A71EEF" w:rsidRDefault="0081115D">
      <w:pPr>
        <w:pStyle w:val="a3"/>
        <w:spacing w:before="72"/>
        <w:ind w:left="838"/>
      </w:pPr>
      <w:r>
        <w:t xml:space="preserve"> </w:t>
      </w:r>
    </w:p>
    <w:p w14:paraId="28901900" w14:textId="77777777" w:rsidR="00A71EEF" w:rsidRDefault="00A71EEF">
      <w:pPr>
        <w:sectPr w:rsidR="00A71EEF">
          <w:pgSz w:w="11910" w:h="16850"/>
          <w:pgMar w:top="1220" w:right="0" w:bottom="1420" w:left="1260" w:header="0" w:footer="1239" w:gutter="0"/>
          <w:cols w:space="720"/>
        </w:sectPr>
      </w:pPr>
    </w:p>
    <w:p w14:paraId="3B1BE925" w14:textId="77777777" w:rsidR="00A71EEF" w:rsidRDefault="00A71EEF">
      <w:pPr>
        <w:pStyle w:val="a3"/>
        <w:rPr>
          <w:sz w:val="20"/>
        </w:rPr>
      </w:pPr>
    </w:p>
    <w:p w14:paraId="38CC099B" w14:textId="77777777" w:rsidR="00A71EEF" w:rsidRDefault="00A71EEF">
      <w:pPr>
        <w:pStyle w:val="a3"/>
        <w:rPr>
          <w:sz w:val="20"/>
        </w:rPr>
      </w:pPr>
    </w:p>
    <w:p w14:paraId="06995EFF" w14:textId="77777777" w:rsidR="00A71EEF" w:rsidRDefault="00A71EEF">
      <w:pPr>
        <w:pStyle w:val="a3"/>
        <w:rPr>
          <w:sz w:val="20"/>
        </w:rPr>
      </w:pPr>
    </w:p>
    <w:p w14:paraId="44DE0E64" w14:textId="77777777" w:rsidR="00A71EEF" w:rsidRDefault="00A71EEF">
      <w:pPr>
        <w:pStyle w:val="a3"/>
        <w:rPr>
          <w:sz w:val="20"/>
        </w:rPr>
      </w:pPr>
    </w:p>
    <w:p w14:paraId="15DADD2F" w14:textId="77777777" w:rsidR="00A71EEF" w:rsidRDefault="00A71EEF">
      <w:pPr>
        <w:pStyle w:val="a3"/>
        <w:rPr>
          <w:sz w:val="20"/>
        </w:rPr>
      </w:pPr>
    </w:p>
    <w:p w14:paraId="08641929" w14:textId="77777777" w:rsidR="00A71EEF" w:rsidRDefault="00A71EEF">
      <w:pPr>
        <w:pStyle w:val="a3"/>
        <w:rPr>
          <w:sz w:val="20"/>
        </w:rPr>
      </w:pPr>
    </w:p>
    <w:p w14:paraId="0325FF82" w14:textId="77777777" w:rsidR="00A71EEF" w:rsidRDefault="00A71EEF">
      <w:pPr>
        <w:pStyle w:val="a3"/>
        <w:rPr>
          <w:sz w:val="20"/>
        </w:rPr>
      </w:pPr>
    </w:p>
    <w:p w14:paraId="63C7C7E3" w14:textId="77777777" w:rsidR="00A71EEF" w:rsidRDefault="00A71EEF">
      <w:pPr>
        <w:pStyle w:val="a3"/>
        <w:rPr>
          <w:sz w:val="20"/>
        </w:rPr>
      </w:pPr>
    </w:p>
    <w:p w14:paraId="024C2903" w14:textId="77777777" w:rsidR="00A71EEF" w:rsidRDefault="00A71EEF">
      <w:pPr>
        <w:pStyle w:val="a3"/>
        <w:rPr>
          <w:sz w:val="20"/>
        </w:rPr>
      </w:pPr>
    </w:p>
    <w:p w14:paraId="3ECDFE87" w14:textId="77777777" w:rsidR="00A71EEF" w:rsidRDefault="00A71EEF">
      <w:pPr>
        <w:pStyle w:val="a3"/>
        <w:rPr>
          <w:sz w:val="20"/>
        </w:rPr>
      </w:pPr>
    </w:p>
    <w:p w14:paraId="7FAA61D9" w14:textId="77777777" w:rsidR="00A71EEF" w:rsidRDefault="00A71EEF">
      <w:pPr>
        <w:pStyle w:val="a3"/>
        <w:rPr>
          <w:sz w:val="20"/>
        </w:rPr>
      </w:pPr>
    </w:p>
    <w:p w14:paraId="4678CCC0" w14:textId="77777777" w:rsidR="00A71EEF" w:rsidRDefault="00A71EEF">
      <w:pPr>
        <w:pStyle w:val="a3"/>
        <w:spacing w:before="8"/>
      </w:pPr>
    </w:p>
    <w:p w14:paraId="2353B29A" w14:textId="77777777" w:rsidR="00A71EEF" w:rsidRDefault="0081115D">
      <w:pPr>
        <w:pStyle w:val="a3"/>
        <w:spacing w:before="72"/>
        <w:ind w:left="3298"/>
      </w:pPr>
      <w:r>
        <w:t xml:space="preserve"> </w:t>
      </w:r>
    </w:p>
    <w:p w14:paraId="5CF7710C" w14:textId="77777777" w:rsidR="00A71EEF" w:rsidRDefault="00A71EEF">
      <w:pPr>
        <w:sectPr w:rsidR="00A71EEF">
          <w:pgSz w:w="11910" w:h="16850"/>
          <w:pgMar w:top="1600" w:right="0" w:bottom="1420" w:left="1260" w:header="0" w:footer="1239" w:gutter="0"/>
          <w:cols w:space="720"/>
        </w:sectPr>
      </w:pPr>
    </w:p>
    <w:p w14:paraId="1BB8AE8E" w14:textId="77777777" w:rsidR="00A71EEF" w:rsidRDefault="0081115D">
      <w:pPr>
        <w:pStyle w:val="2"/>
        <w:ind w:left="2251"/>
        <w:jc w:val="left"/>
      </w:pPr>
      <w:bookmarkStart w:id="27" w:name="_bookmark27"/>
      <w:bookmarkEnd w:id="27"/>
      <w:r>
        <w:t>汽车库、修车库、停车场设计防火规范</w:t>
      </w:r>
      <w:r>
        <w:rPr>
          <w:w w:val="99"/>
        </w:rPr>
        <w:t xml:space="preserve"> </w:t>
      </w:r>
    </w:p>
    <w:p w14:paraId="170D4538" w14:textId="77777777" w:rsidR="00A71EEF" w:rsidRDefault="00A71EEF">
      <w:pPr>
        <w:pStyle w:val="a3"/>
        <w:rPr>
          <w:b/>
          <w:sz w:val="20"/>
        </w:rPr>
      </w:pPr>
    </w:p>
    <w:p w14:paraId="732541B1" w14:textId="77777777" w:rsidR="00A71EEF" w:rsidRDefault="00A71EEF">
      <w:pPr>
        <w:pStyle w:val="a3"/>
        <w:spacing w:before="5"/>
        <w:rPr>
          <w:b/>
          <w:sz w:val="14"/>
        </w:rPr>
      </w:pPr>
    </w:p>
    <w:p w14:paraId="77562706" w14:textId="77777777" w:rsidR="00A71EEF" w:rsidRDefault="0081115D">
      <w:pPr>
        <w:pStyle w:val="4"/>
        <w:numPr>
          <w:ilvl w:val="0"/>
          <w:numId w:val="220"/>
        </w:numPr>
        <w:tabs>
          <w:tab w:val="left" w:pos="601"/>
        </w:tabs>
        <w:spacing w:before="66"/>
      </w:pPr>
      <w:r>
        <w:t>总则</w:t>
      </w:r>
      <w:r>
        <w:rPr>
          <w:w w:val="99"/>
        </w:rPr>
        <w:t xml:space="preserve"> </w:t>
      </w:r>
    </w:p>
    <w:p w14:paraId="3F23F79B" w14:textId="77777777" w:rsidR="00A71EEF" w:rsidRDefault="00A71EEF">
      <w:pPr>
        <w:pStyle w:val="a3"/>
        <w:spacing w:before="4"/>
        <w:rPr>
          <w:b/>
          <w:sz w:val="17"/>
        </w:rPr>
      </w:pPr>
    </w:p>
    <w:p w14:paraId="61DEDAD6" w14:textId="77777777" w:rsidR="00A71EEF" w:rsidRDefault="0081115D">
      <w:pPr>
        <w:pStyle w:val="a4"/>
        <w:numPr>
          <w:ilvl w:val="1"/>
          <w:numId w:val="220"/>
        </w:numPr>
        <w:tabs>
          <w:tab w:val="left" w:pos="1160"/>
        </w:tabs>
        <w:spacing w:line="446" w:lineRule="auto"/>
        <w:ind w:right="1813" w:firstLine="422"/>
        <w:rPr>
          <w:sz w:val="21"/>
        </w:rPr>
      </w:pPr>
      <w:r>
        <w:rPr>
          <w:spacing w:val="-3"/>
          <w:sz w:val="21"/>
        </w:rPr>
        <w:t>为了防止和减少汽车库、修车库、停车场的火灾危险和危害，保护人身和财产的安全，制定</w:t>
      </w:r>
      <w:r>
        <w:rPr>
          <w:spacing w:val="-3"/>
          <w:sz w:val="21"/>
        </w:rPr>
        <w:t xml:space="preserve"> </w:t>
      </w:r>
      <w:r>
        <w:rPr>
          <w:spacing w:val="-3"/>
          <w:sz w:val="21"/>
        </w:rPr>
        <w:t>本规范。</w:t>
      </w:r>
      <w:r>
        <w:rPr>
          <w:spacing w:val="-3"/>
          <w:sz w:val="21"/>
        </w:rPr>
        <w:t xml:space="preserve"> </w:t>
      </w:r>
      <w:r>
        <w:rPr>
          <w:sz w:val="21"/>
        </w:rPr>
        <w:t xml:space="preserve"> </w:t>
      </w:r>
    </w:p>
    <w:p w14:paraId="3D7E224D" w14:textId="77777777" w:rsidR="00A71EEF" w:rsidRDefault="0081115D">
      <w:pPr>
        <w:pStyle w:val="a4"/>
        <w:numPr>
          <w:ilvl w:val="1"/>
          <w:numId w:val="220"/>
        </w:numPr>
        <w:tabs>
          <w:tab w:val="left" w:pos="1159"/>
        </w:tabs>
        <w:spacing w:line="446" w:lineRule="auto"/>
        <w:ind w:right="1604" w:firstLine="422"/>
        <w:rPr>
          <w:sz w:val="21"/>
        </w:rPr>
      </w:pPr>
      <w:r>
        <w:rPr>
          <w:spacing w:val="-3"/>
          <w:sz w:val="21"/>
        </w:rPr>
        <w:t>本规范适用于新建、扩建和改建的汽车库、修车库、停车场的防火设计，不适用于消防站的</w:t>
      </w:r>
      <w:r>
        <w:rPr>
          <w:spacing w:val="-3"/>
          <w:sz w:val="21"/>
        </w:rPr>
        <w:t xml:space="preserve"> </w:t>
      </w:r>
      <w:r>
        <w:rPr>
          <w:spacing w:val="-3"/>
          <w:sz w:val="21"/>
        </w:rPr>
        <w:t>汽车库、修车库、停车场的防火设计。</w:t>
      </w:r>
      <w:r>
        <w:rPr>
          <w:spacing w:val="-3"/>
          <w:sz w:val="21"/>
        </w:rPr>
        <w:t xml:space="preserve"> </w:t>
      </w:r>
      <w:r>
        <w:rPr>
          <w:sz w:val="21"/>
        </w:rPr>
        <w:t xml:space="preserve"> </w:t>
      </w:r>
    </w:p>
    <w:p w14:paraId="2AF6C6A8" w14:textId="77777777" w:rsidR="00A71EEF" w:rsidRDefault="0081115D">
      <w:pPr>
        <w:pStyle w:val="a4"/>
        <w:numPr>
          <w:ilvl w:val="1"/>
          <w:numId w:val="220"/>
        </w:numPr>
        <w:tabs>
          <w:tab w:val="left" w:pos="1159"/>
          <w:tab w:val="left" w:pos="6447"/>
        </w:tabs>
        <w:spacing w:line="446" w:lineRule="auto"/>
        <w:ind w:right="1594" w:firstLine="422"/>
        <w:rPr>
          <w:sz w:val="21"/>
        </w:rPr>
      </w:pPr>
      <w:r>
        <w:rPr>
          <w:spacing w:val="-3"/>
          <w:sz w:val="21"/>
        </w:rPr>
        <w:t>汽</w:t>
      </w:r>
      <w:r>
        <w:rPr>
          <w:sz w:val="21"/>
        </w:rPr>
        <w:t>车库</w:t>
      </w:r>
      <w:r>
        <w:rPr>
          <w:spacing w:val="-3"/>
          <w:sz w:val="21"/>
        </w:rPr>
        <w:t>、</w:t>
      </w:r>
      <w:r>
        <w:rPr>
          <w:sz w:val="21"/>
        </w:rPr>
        <w:t>修</w:t>
      </w:r>
      <w:r>
        <w:rPr>
          <w:spacing w:val="-3"/>
          <w:sz w:val="21"/>
        </w:rPr>
        <w:t>车</w:t>
      </w:r>
      <w:r>
        <w:rPr>
          <w:sz w:val="21"/>
        </w:rPr>
        <w:t>库</w:t>
      </w:r>
      <w:r>
        <w:rPr>
          <w:spacing w:val="-3"/>
          <w:sz w:val="21"/>
        </w:rPr>
        <w:t>、停</w:t>
      </w:r>
      <w:r>
        <w:rPr>
          <w:sz w:val="21"/>
        </w:rPr>
        <w:t>车</w:t>
      </w:r>
      <w:r>
        <w:rPr>
          <w:spacing w:val="-3"/>
          <w:sz w:val="21"/>
        </w:rPr>
        <w:t>场</w:t>
      </w:r>
      <w:r>
        <w:rPr>
          <w:spacing w:val="4"/>
          <w:sz w:val="21"/>
        </w:rPr>
        <w:t>的</w:t>
      </w:r>
      <w:r>
        <w:rPr>
          <w:spacing w:val="-3"/>
          <w:sz w:val="21"/>
        </w:rPr>
        <w:t>防</w:t>
      </w:r>
      <w:r>
        <w:rPr>
          <w:sz w:val="21"/>
        </w:rPr>
        <w:t>火</w:t>
      </w:r>
      <w:r>
        <w:rPr>
          <w:spacing w:val="-3"/>
          <w:sz w:val="21"/>
        </w:rPr>
        <w:t>设</w:t>
      </w:r>
      <w:r>
        <w:rPr>
          <w:sz w:val="21"/>
        </w:rPr>
        <w:t>计</w:t>
      </w:r>
      <w:r>
        <w:rPr>
          <w:spacing w:val="-3"/>
          <w:sz w:val="21"/>
        </w:rPr>
        <w:t>，</w:t>
      </w:r>
      <w:r>
        <w:rPr>
          <w:sz w:val="21"/>
        </w:rPr>
        <w:t>应</w:t>
      </w:r>
      <w:r>
        <w:rPr>
          <w:spacing w:val="-3"/>
          <w:sz w:val="21"/>
        </w:rPr>
        <w:t>结合</w:t>
      </w:r>
      <w:r>
        <w:rPr>
          <w:sz w:val="21"/>
        </w:rPr>
        <w:t>汽</w:t>
      </w:r>
      <w:r>
        <w:rPr>
          <w:spacing w:val="-3"/>
          <w:sz w:val="21"/>
        </w:rPr>
        <w:t>车</w:t>
      </w:r>
      <w:r>
        <w:rPr>
          <w:spacing w:val="4"/>
          <w:sz w:val="21"/>
        </w:rPr>
        <w:t>库</w:t>
      </w:r>
      <w:r>
        <w:rPr>
          <w:spacing w:val="-3"/>
          <w:sz w:val="21"/>
        </w:rPr>
        <w:t>、</w:t>
      </w:r>
      <w:r>
        <w:rPr>
          <w:sz w:val="21"/>
        </w:rPr>
        <w:t>修</w:t>
      </w:r>
      <w:r>
        <w:rPr>
          <w:spacing w:val="-3"/>
          <w:sz w:val="21"/>
        </w:rPr>
        <w:t>车</w:t>
      </w:r>
      <w:r>
        <w:rPr>
          <w:sz w:val="21"/>
        </w:rPr>
        <w:t>库</w:t>
      </w:r>
      <w:r>
        <w:rPr>
          <w:spacing w:val="-3"/>
          <w:sz w:val="21"/>
        </w:rPr>
        <w:t>、</w:t>
      </w:r>
      <w:r>
        <w:rPr>
          <w:sz w:val="21"/>
        </w:rPr>
        <w:t>停</w:t>
      </w:r>
      <w:r>
        <w:rPr>
          <w:spacing w:val="-3"/>
          <w:sz w:val="21"/>
        </w:rPr>
        <w:t>车场</w:t>
      </w:r>
      <w:r>
        <w:rPr>
          <w:sz w:val="21"/>
        </w:rPr>
        <w:t>的</w:t>
      </w:r>
      <w:r>
        <w:rPr>
          <w:spacing w:val="-3"/>
          <w:sz w:val="21"/>
        </w:rPr>
        <w:t>特</w:t>
      </w:r>
      <w:r>
        <w:rPr>
          <w:spacing w:val="4"/>
          <w:sz w:val="21"/>
        </w:rPr>
        <w:t>点</w:t>
      </w:r>
      <w:r>
        <w:rPr>
          <w:spacing w:val="-3"/>
          <w:sz w:val="21"/>
        </w:rPr>
        <w:t>，</w:t>
      </w:r>
      <w:r>
        <w:rPr>
          <w:sz w:val="21"/>
        </w:rPr>
        <w:t>采取有效的</w:t>
      </w:r>
      <w:r>
        <w:rPr>
          <w:spacing w:val="29"/>
          <w:sz w:val="21"/>
        </w:rPr>
        <w:t xml:space="preserve"> </w:t>
      </w:r>
      <w:r>
        <w:rPr>
          <w:sz w:val="21"/>
        </w:rPr>
        <w:t>防</w:t>
      </w:r>
      <w:r>
        <w:rPr>
          <w:spacing w:val="-3"/>
          <w:sz w:val="21"/>
        </w:rPr>
        <w:t>火</w:t>
      </w:r>
      <w:r>
        <w:rPr>
          <w:spacing w:val="-8"/>
          <w:sz w:val="21"/>
        </w:rPr>
        <w:t>措</w:t>
      </w:r>
      <w:r>
        <w:rPr>
          <w:spacing w:val="-3"/>
          <w:sz w:val="21"/>
        </w:rPr>
        <w:t>施</w:t>
      </w:r>
      <w:r>
        <w:rPr>
          <w:spacing w:val="-5"/>
          <w:sz w:val="21"/>
        </w:rPr>
        <w:t>，</w:t>
      </w:r>
      <w:r>
        <w:rPr>
          <w:spacing w:val="-3"/>
          <w:sz w:val="21"/>
        </w:rPr>
        <w:t>并</w:t>
      </w:r>
      <w:r>
        <w:rPr>
          <w:spacing w:val="-5"/>
          <w:sz w:val="21"/>
        </w:rPr>
        <w:t>应</w:t>
      </w:r>
      <w:r>
        <w:rPr>
          <w:spacing w:val="-3"/>
          <w:sz w:val="21"/>
        </w:rPr>
        <w:t>做</w:t>
      </w:r>
      <w:r>
        <w:rPr>
          <w:spacing w:val="-5"/>
          <w:sz w:val="21"/>
        </w:rPr>
        <w:t>到</w:t>
      </w:r>
      <w:r>
        <w:rPr>
          <w:spacing w:val="-3"/>
          <w:sz w:val="21"/>
        </w:rPr>
        <w:t>安</w:t>
      </w:r>
      <w:r>
        <w:rPr>
          <w:spacing w:val="-8"/>
          <w:sz w:val="21"/>
        </w:rPr>
        <w:t>全</w:t>
      </w:r>
      <w:r>
        <w:rPr>
          <w:sz w:val="21"/>
        </w:rPr>
        <w:t>可</w:t>
      </w:r>
      <w:r>
        <w:rPr>
          <w:spacing w:val="-3"/>
          <w:sz w:val="21"/>
        </w:rPr>
        <w:t>靠</w:t>
      </w:r>
      <w:r>
        <w:rPr>
          <w:spacing w:val="-8"/>
          <w:sz w:val="21"/>
        </w:rPr>
        <w:t>、</w:t>
      </w:r>
      <w:r>
        <w:rPr>
          <w:spacing w:val="-3"/>
          <w:sz w:val="21"/>
        </w:rPr>
        <w:t>技</w:t>
      </w:r>
      <w:r>
        <w:rPr>
          <w:spacing w:val="-5"/>
          <w:sz w:val="21"/>
        </w:rPr>
        <w:t>术</w:t>
      </w:r>
      <w:r>
        <w:rPr>
          <w:spacing w:val="-3"/>
          <w:sz w:val="21"/>
        </w:rPr>
        <w:t>先</w:t>
      </w:r>
      <w:r>
        <w:rPr>
          <w:spacing w:val="-8"/>
          <w:sz w:val="21"/>
        </w:rPr>
        <w:t>进</w:t>
      </w:r>
      <w:r>
        <w:rPr>
          <w:sz w:val="21"/>
        </w:rPr>
        <w:t>、</w:t>
      </w:r>
      <w:r>
        <w:rPr>
          <w:spacing w:val="-5"/>
          <w:sz w:val="21"/>
        </w:rPr>
        <w:t>经</w:t>
      </w:r>
      <w:r>
        <w:rPr>
          <w:spacing w:val="-3"/>
          <w:sz w:val="21"/>
        </w:rPr>
        <w:t>济</w:t>
      </w:r>
      <w:r>
        <w:rPr>
          <w:spacing w:val="-8"/>
          <w:sz w:val="21"/>
        </w:rPr>
        <w:t>合</w:t>
      </w:r>
      <w:r>
        <w:rPr>
          <w:sz w:val="21"/>
        </w:rPr>
        <w:t>理</w:t>
      </w:r>
      <w:r>
        <w:rPr>
          <w:spacing w:val="-3"/>
          <w:sz w:val="21"/>
        </w:rPr>
        <w:t>。</w:t>
      </w:r>
      <w:r>
        <w:rPr>
          <w:sz w:val="21"/>
        </w:rPr>
        <w:t xml:space="preserve"> </w:t>
      </w:r>
      <w:r>
        <w:rPr>
          <w:sz w:val="21"/>
        </w:rPr>
        <w:tab/>
      </w:r>
      <w:r>
        <w:rPr>
          <w:sz w:val="21"/>
        </w:rPr>
        <w:t xml:space="preserve"> </w:t>
      </w:r>
    </w:p>
    <w:p w14:paraId="582FD6F9" w14:textId="77777777" w:rsidR="00A71EEF" w:rsidRDefault="0081115D">
      <w:pPr>
        <w:pStyle w:val="a4"/>
        <w:numPr>
          <w:ilvl w:val="1"/>
          <w:numId w:val="220"/>
        </w:numPr>
        <w:tabs>
          <w:tab w:val="left" w:pos="1159"/>
        </w:tabs>
        <w:spacing w:line="446" w:lineRule="auto"/>
        <w:ind w:right="1594" w:firstLine="422"/>
        <w:rPr>
          <w:sz w:val="21"/>
        </w:rPr>
      </w:pPr>
      <w:r>
        <w:rPr>
          <w:spacing w:val="-3"/>
          <w:sz w:val="21"/>
        </w:rPr>
        <w:t>汽车库、修车库、停车场的防火设计，除应符合本规范外，尚应符合国家现行有关标准的规</w:t>
      </w:r>
      <w:r>
        <w:rPr>
          <w:spacing w:val="-3"/>
          <w:sz w:val="21"/>
        </w:rPr>
        <w:t xml:space="preserve"> </w:t>
      </w:r>
      <w:r>
        <w:rPr>
          <w:spacing w:val="-3"/>
          <w:sz w:val="21"/>
        </w:rPr>
        <w:t>定。</w:t>
      </w:r>
      <w:r>
        <w:rPr>
          <w:spacing w:val="-3"/>
          <w:sz w:val="21"/>
        </w:rPr>
        <w:t xml:space="preserve"> </w:t>
      </w:r>
      <w:r>
        <w:rPr>
          <w:sz w:val="21"/>
        </w:rPr>
        <w:t xml:space="preserve"> </w:t>
      </w:r>
    </w:p>
    <w:p w14:paraId="3E56F449" w14:textId="77777777" w:rsidR="00A71EEF" w:rsidRDefault="0081115D">
      <w:pPr>
        <w:pStyle w:val="4"/>
        <w:spacing w:line="277" w:lineRule="exact"/>
      </w:pPr>
      <w:r>
        <w:t xml:space="preserve">2 </w:t>
      </w:r>
      <w:r>
        <w:t>术语</w:t>
      </w:r>
      <w:r>
        <w:rPr>
          <w:w w:val="99"/>
        </w:rPr>
        <w:t xml:space="preserve"> </w:t>
      </w:r>
    </w:p>
    <w:p w14:paraId="28E66897" w14:textId="77777777" w:rsidR="00A71EEF" w:rsidRDefault="00A71EEF">
      <w:pPr>
        <w:pStyle w:val="a3"/>
        <w:spacing w:before="2"/>
        <w:rPr>
          <w:b/>
          <w:sz w:val="17"/>
        </w:rPr>
      </w:pPr>
    </w:p>
    <w:p w14:paraId="2A473B0E" w14:textId="77777777" w:rsidR="00A71EEF" w:rsidRDefault="0081115D">
      <w:pPr>
        <w:pStyle w:val="a4"/>
        <w:numPr>
          <w:ilvl w:val="1"/>
          <w:numId w:val="219"/>
        </w:numPr>
        <w:tabs>
          <w:tab w:val="left" w:pos="1160"/>
        </w:tabs>
        <w:spacing w:line="446" w:lineRule="auto"/>
        <w:ind w:right="1707" w:firstLine="422"/>
        <w:rPr>
          <w:sz w:val="21"/>
        </w:rPr>
      </w:pPr>
      <w:r>
        <w:rPr>
          <w:spacing w:val="-1"/>
          <w:sz w:val="21"/>
        </w:rPr>
        <w:t>汽车库</w:t>
      </w:r>
      <w:r>
        <w:rPr>
          <w:spacing w:val="-1"/>
          <w:sz w:val="21"/>
        </w:rPr>
        <w:t xml:space="preserve"> </w:t>
      </w:r>
      <w:r>
        <w:rPr>
          <w:spacing w:val="-3"/>
          <w:sz w:val="21"/>
        </w:rPr>
        <w:t>garage</w:t>
      </w:r>
      <w:r>
        <w:rPr>
          <w:spacing w:val="-8"/>
          <w:sz w:val="21"/>
        </w:rPr>
        <w:t xml:space="preserve"> </w:t>
      </w:r>
      <w:r>
        <w:rPr>
          <w:spacing w:val="-8"/>
          <w:sz w:val="21"/>
        </w:rPr>
        <w:t>用于停放由内燃机驱动且无轨道的客车、货车、工程车等汽车的建筑</w:t>
      </w:r>
      <w:r>
        <w:rPr>
          <w:spacing w:val="-5"/>
          <w:sz w:val="21"/>
        </w:rPr>
        <w:t>物。</w:t>
      </w:r>
      <w:r>
        <w:rPr>
          <w:spacing w:val="-3"/>
          <w:sz w:val="21"/>
        </w:rPr>
        <w:t xml:space="preserve"> </w:t>
      </w:r>
      <w:r>
        <w:rPr>
          <w:sz w:val="21"/>
        </w:rPr>
        <w:t xml:space="preserve"> </w:t>
      </w:r>
    </w:p>
    <w:p w14:paraId="09B14588" w14:textId="77777777" w:rsidR="00A71EEF" w:rsidRDefault="0081115D">
      <w:pPr>
        <w:pStyle w:val="a4"/>
        <w:numPr>
          <w:ilvl w:val="1"/>
          <w:numId w:val="219"/>
        </w:numPr>
        <w:tabs>
          <w:tab w:val="left" w:pos="1159"/>
        </w:tabs>
        <w:spacing w:line="446" w:lineRule="auto"/>
        <w:ind w:right="1587" w:firstLine="422"/>
        <w:rPr>
          <w:sz w:val="21"/>
        </w:rPr>
      </w:pPr>
      <w:r>
        <w:rPr>
          <w:spacing w:val="-2"/>
          <w:sz w:val="21"/>
        </w:rPr>
        <w:t>修车库</w:t>
      </w:r>
      <w:r>
        <w:rPr>
          <w:spacing w:val="-2"/>
          <w:sz w:val="21"/>
        </w:rPr>
        <w:t xml:space="preserve"> </w:t>
      </w:r>
      <w:r>
        <w:rPr>
          <w:spacing w:val="-3"/>
          <w:sz w:val="21"/>
        </w:rPr>
        <w:t>motor</w:t>
      </w:r>
      <w:r>
        <w:rPr>
          <w:spacing w:val="8"/>
          <w:sz w:val="21"/>
        </w:rPr>
        <w:t xml:space="preserve"> </w:t>
      </w:r>
      <w:r>
        <w:rPr>
          <w:spacing w:val="-3"/>
          <w:sz w:val="21"/>
        </w:rPr>
        <w:t>repair</w:t>
      </w:r>
      <w:r>
        <w:rPr>
          <w:spacing w:val="7"/>
          <w:sz w:val="21"/>
        </w:rPr>
        <w:t xml:space="preserve"> </w:t>
      </w:r>
      <w:r>
        <w:rPr>
          <w:sz w:val="21"/>
        </w:rPr>
        <w:t>shop</w:t>
      </w:r>
      <w:r>
        <w:rPr>
          <w:spacing w:val="-8"/>
          <w:sz w:val="21"/>
        </w:rPr>
        <w:t xml:space="preserve"> </w:t>
      </w:r>
      <w:r>
        <w:rPr>
          <w:spacing w:val="-8"/>
          <w:sz w:val="21"/>
        </w:rPr>
        <w:t>用于保养、修理由内燃机驱动且无轨道的客车、货车、工程车等汽车的建</w:t>
      </w:r>
      <w:r>
        <w:rPr>
          <w:spacing w:val="-5"/>
          <w:sz w:val="21"/>
        </w:rPr>
        <w:t>（</w:t>
      </w:r>
      <w:r>
        <w:rPr>
          <w:spacing w:val="-3"/>
          <w:sz w:val="21"/>
        </w:rPr>
        <w:t>构）</w:t>
      </w:r>
      <w:r>
        <w:rPr>
          <w:spacing w:val="-5"/>
          <w:sz w:val="21"/>
        </w:rPr>
        <w:t>筑物。</w:t>
      </w:r>
      <w:r>
        <w:rPr>
          <w:spacing w:val="-3"/>
          <w:sz w:val="21"/>
        </w:rPr>
        <w:t xml:space="preserve"> </w:t>
      </w:r>
      <w:r>
        <w:rPr>
          <w:sz w:val="21"/>
        </w:rPr>
        <w:t xml:space="preserve"> </w:t>
      </w:r>
    </w:p>
    <w:p w14:paraId="70C523C8" w14:textId="77777777" w:rsidR="00A71EEF" w:rsidRDefault="0081115D">
      <w:pPr>
        <w:pStyle w:val="a4"/>
        <w:numPr>
          <w:ilvl w:val="1"/>
          <w:numId w:val="219"/>
        </w:numPr>
        <w:tabs>
          <w:tab w:val="left" w:pos="1160"/>
        </w:tabs>
        <w:spacing w:line="446" w:lineRule="auto"/>
        <w:ind w:right="1599" w:firstLine="422"/>
        <w:rPr>
          <w:sz w:val="21"/>
        </w:rPr>
      </w:pPr>
      <w:r>
        <w:rPr>
          <w:spacing w:val="-2"/>
          <w:sz w:val="21"/>
        </w:rPr>
        <w:t>停车场</w:t>
      </w:r>
      <w:r>
        <w:rPr>
          <w:spacing w:val="-2"/>
          <w:sz w:val="21"/>
        </w:rPr>
        <w:t xml:space="preserve"> </w:t>
      </w:r>
      <w:r>
        <w:rPr>
          <w:sz w:val="21"/>
        </w:rPr>
        <w:t>parking</w:t>
      </w:r>
      <w:r>
        <w:rPr>
          <w:spacing w:val="8"/>
          <w:sz w:val="21"/>
        </w:rPr>
        <w:t xml:space="preserve"> </w:t>
      </w:r>
      <w:r>
        <w:rPr>
          <w:spacing w:val="-3"/>
          <w:sz w:val="21"/>
        </w:rPr>
        <w:t>lot</w:t>
      </w:r>
      <w:r>
        <w:rPr>
          <w:spacing w:val="-8"/>
          <w:sz w:val="21"/>
        </w:rPr>
        <w:t xml:space="preserve"> </w:t>
      </w:r>
      <w:r>
        <w:rPr>
          <w:spacing w:val="-8"/>
          <w:sz w:val="21"/>
        </w:rPr>
        <w:t>专用于停放由内燃机驱动且无轨道的客车、货车、工程车等汽车</w:t>
      </w:r>
      <w:r>
        <w:rPr>
          <w:spacing w:val="-6"/>
          <w:sz w:val="21"/>
        </w:rPr>
        <w:t>的露天场地或构筑物。</w:t>
      </w:r>
      <w:r>
        <w:rPr>
          <w:spacing w:val="-2"/>
          <w:sz w:val="21"/>
        </w:rPr>
        <w:t xml:space="preserve"> </w:t>
      </w:r>
      <w:r>
        <w:rPr>
          <w:sz w:val="21"/>
        </w:rPr>
        <w:t xml:space="preserve"> </w:t>
      </w:r>
    </w:p>
    <w:p w14:paraId="55FAA465" w14:textId="77777777" w:rsidR="00A71EEF" w:rsidRDefault="0081115D">
      <w:pPr>
        <w:pStyle w:val="a4"/>
        <w:numPr>
          <w:ilvl w:val="1"/>
          <w:numId w:val="219"/>
        </w:numPr>
        <w:tabs>
          <w:tab w:val="left" w:pos="1160"/>
        </w:tabs>
        <w:spacing w:line="446" w:lineRule="auto"/>
        <w:ind w:right="1700" w:firstLine="422"/>
        <w:rPr>
          <w:sz w:val="21"/>
        </w:rPr>
      </w:pPr>
      <w:r>
        <w:rPr>
          <w:spacing w:val="-4"/>
          <w:sz w:val="21"/>
        </w:rPr>
        <w:t>地下汽车库</w:t>
      </w:r>
      <w:r>
        <w:rPr>
          <w:spacing w:val="-4"/>
          <w:sz w:val="21"/>
        </w:rPr>
        <w:t xml:space="preserve"> </w:t>
      </w:r>
      <w:r>
        <w:rPr>
          <w:sz w:val="21"/>
        </w:rPr>
        <w:t>underground garage</w:t>
      </w:r>
      <w:r>
        <w:rPr>
          <w:spacing w:val="-8"/>
          <w:sz w:val="21"/>
        </w:rPr>
        <w:t xml:space="preserve"> </w:t>
      </w:r>
      <w:r>
        <w:rPr>
          <w:spacing w:val="-8"/>
          <w:sz w:val="21"/>
        </w:rPr>
        <w:t>地下室内地坪面与室外地坪面的高度之差大于该层</w:t>
      </w:r>
      <w:r>
        <w:rPr>
          <w:spacing w:val="-6"/>
          <w:sz w:val="21"/>
        </w:rPr>
        <w:t>车库净高</w:t>
      </w:r>
      <w:r>
        <w:rPr>
          <w:sz w:val="21"/>
        </w:rPr>
        <w:t>1/2</w:t>
      </w:r>
      <w:r>
        <w:rPr>
          <w:spacing w:val="-7"/>
          <w:sz w:val="21"/>
        </w:rPr>
        <w:t>的汽车库。</w:t>
      </w:r>
      <w:r>
        <w:rPr>
          <w:sz w:val="21"/>
        </w:rPr>
        <w:t xml:space="preserve"> </w:t>
      </w:r>
    </w:p>
    <w:p w14:paraId="0B819089" w14:textId="77777777" w:rsidR="00A71EEF" w:rsidRDefault="0081115D">
      <w:pPr>
        <w:pStyle w:val="a4"/>
        <w:numPr>
          <w:ilvl w:val="1"/>
          <w:numId w:val="219"/>
        </w:numPr>
        <w:tabs>
          <w:tab w:val="left" w:pos="1159"/>
        </w:tabs>
        <w:spacing w:line="446" w:lineRule="auto"/>
        <w:ind w:right="1793" w:firstLine="422"/>
        <w:rPr>
          <w:sz w:val="21"/>
        </w:rPr>
      </w:pPr>
      <w:r>
        <w:rPr>
          <w:spacing w:val="-4"/>
          <w:sz w:val="21"/>
        </w:rPr>
        <w:t>半地下汽车库</w:t>
      </w:r>
      <w:r>
        <w:rPr>
          <w:spacing w:val="-4"/>
          <w:sz w:val="21"/>
        </w:rPr>
        <w:t xml:space="preserve"> </w:t>
      </w:r>
      <w:r>
        <w:rPr>
          <w:sz w:val="21"/>
        </w:rPr>
        <w:t>semi-underground</w:t>
      </w:r>
      <w:r>
        <w:rPr>
          <w:spacing w:val="1"/>
          <w:sz w:val="21"/>
        </w:rPr>
        <w:t xml:space="preserve"> </w:t>
      </w:r>
      <w:r>
        <w:rPr>
          <w:spacing w:val="-3"/>
          <w:sz w:val="21"/>
        </w:rPr>
        <w:t>garage</w:t>
      </w:r>
      <w:r>
        <w:rPr>
          <w:spacing w:val="-7"/>
          <w:sz w:val="21"/>
        </w:rPr>
        <w:t xml:space="preserve"> </w:t>
      </w:r>
      <w:r>
        <w:rPr>
          <w:spacing w:val="-7"/>
          <w:sz w:val="21"/>
        </w:rPr>
        <w:t>地下室内地坪面与室外地坪面的高度之差大于该层车库净高</w:t>
      </w:r>
      <w:r>
        <w:rPr>
          <w:sz w:val="21"/>
        </w:rPr>
        <w:t>1/3</w:t>
      </w:r>
      <w:r>
        <w:rPr>
          <w:spacing w:val="-5"/>
          <w:sz w:val="21"/>
        </w:rPr>
        <w:t>且不大于</w:t>
      </w:r>
      <w:r>
        <w:rPr>
          <w:spacing w:val="-106"/>
          <w:sz w:val="21"/>
        </w:rPr>
        <w:t>1</w:t>
      </w:r>
      <w:r>
        <w:rPr>
          <w:spacing w:val="-2"/>
          <w:sz w:val="21"/>
        </w:rPr>
        <w:t xml:space="preserve"> </w:t>
      </w:r>
      <w:r>
        <w:rPr>
          <w:spacing w:val="-4"/>
          <w:sz w:val="21"/>
        </w:rPr>
        <w:t>/2</w:t>
      </w:r>
      <w:r>
        <w:rPr>
          <w:spacing w:val="-5"/>
          <w:sz w:val="21"/>
        </w:rPr>
        <w:t>的汽车库。</w:t>
      </w:r>
      <w:r>
        <w:rPr>
          <w:spacing w:val="-3"/>
          <w:sz w:val="21"/>
        </w:rPr>
        <w:t xml:space="preserve"> </w:t>
      </w:r>
      <w:r>
        <w:rPr>
          <w:sz w:val="21"/>
        </w:rPr>
        <w:t xml:space="preserve"> </w:t>
      </w:r>
    </w:p>
    <w:p w14:paraId="04928315" w14:textId="77777777" w:rsidR="00A71EEF" w:rsidRDefault="0081115D">
      <w:pPr>
        <w:pStyle w:val="a4"/>
        <w:numPr>
          <w:ilvl w:val="1"/>
          <w:numId w:val="219"/>
        </w:numPr>
        <w:tabs>
          <w:tab w:val="left" w:pos="1160"/>
        </w:tabs>
        <w:spacing w:line="267" w:lineRule="exact"/>
        <w:ind w:left="1159"/>
        <w:rPr>
          <w:b/>
          <w:sz w:val="21"/>
        </w:rPr>
      </w:pPr>
      <w:r>
        <w:rPr>
          <w:spacing w:val="-5"/>
          <w:sz w:val="21"/>
        </w:rPr>
        <w:t>多层汽车库</w:t>
      </w:r>
      <w:r>
        <w:rPr>
          <w:spacing w:val="-5"/>
          <w:sz w:val="21"/>
        </w:rPr>
        <w:t xml:space="preserve"> </w:t>
      </w:r>
      <w:r>
        <w:rPr>
          <w:sz w:val="21"/>
        </w:rPr>
        <w:t>multi-storey</w:t>
      </w:r>
      <w:r>
        <w:rPr>
          <w:spacing w:val="-3"/>
          <w:sz w:val="21"/>
        </w:rPr>
        <w:t xml:space="preserve"> </w:t>
      </w:r>
      <w:r>
        <w:rPr>
          <w:sz w:val="21"/>
        </w:rPr>
        <w:t>garage</w:t>
      </w:r>
      <w:r>
        <w:rPr>
          <w:spacing w:val="-3"/>
          <w:sz w:val="21"/>
        </w:rPr>
        <w:t xml:space="preserve"> </w:t>
      </w:r>
      <w:r>
        <w:rPr>
          <w:b/>
          <w:w w:val="99"/>
          <w:sz w:val="21"/>
        </w:rPr>
        <w:t xml:space="preserve"> </w:t>
      </w:r>
    </w:p>
    <w:p w14:paraId="03BB6FA9" w14:textId="77777777" w:rsidR="00A71EEF" w:rsidRDefault="00A71EEF">
      <w:pPr>
        <w:pStyle w:val="a3"/>
        <w:rPr>
          <w:b/>
          <w:sz w:val="18"/>
        </w:rPr>
      </w:pPr>
    </w:p>
    <w:p w14:paraId="48B74E42" w14:textId="77777777" w:rsidR="00A71EEF" w:rsidRDefault="0081115D">
      <w:pPr>
        <w:pStyle w:val="a3"/>
        <w:spacing w:line="446" w:lineRule="auto"/>
        <w:ind w:left="418" w:right="1810" w:firstLine="419"/>
        <w:rPr>
          <w:b/>
        </w:rPr>
      </w:pPr>
      <w:r>
        <w:rPr>
          <w:spacing w:val="-5"/>
        </w:rPr>
        <w:t>建筑高度小于或等于</w:t>
      </w:r>
      <w:r>
        <w:t>24m</w:t>
      </w:r>
      <w:r>
        <w:rPr>
          <w:spacing w:val="-8"/>
        </w:rPr>
        <w:t>的两层及以上的汽车库或设在多层建筑内地面层以上楼层的汽车</w:t>
      </w:r>
      <w:r>
        <w:rPr>
          <w:spacing w:val="-5"/>
        </w:rPr>
        <w:t>库。</w:t>
      </w:r>
      <w:r>
        <w:rPr>
          <w:spacing w:val="-3"/>
        </w:rPr>
        <w:t xml:space="preserve"> </w:t>
      </w:r>
      <w:r>
        <w:rPr>
          <w:b/>
          <w:w w:val="99"/>
        </w:rPr>
        <w:t xml:space="preserve"> </w:t>
      </w:r>
    </w:p>
    <w:p w14:paraId="3B4205BB" w14:textId="77777777" w:rsidR="00A71EEF" w:rsidRDefault="0081115D">
      <w:pPr>
        <w:pStyle w:val="a4"/>
        <w:numPr>
          <w:ilvl w:val="1"/>
          <w:numId w:val="219"/>
        </w:numPr>
        <w:tabs>
          <w:tab w:val="left" w:pos="1160"/>
        </w:tabs>
        <w:spacing w:line="267" w:lineRule="exact"/>
        <w:ind w:left="1159"/>
        <w:rPr>
          <w:sz w:val="21"/>
        </w:rPr>
      </w:pPr>
      <w:r>
        <w:rPr>
          <w:spacing w:val="-5"/>
          <w:sz w:val="21"/>
        </w:rPr>
        <w:t>高层汽车库</w:t>
      </w:r>
      <w:r>
        <w:rPr>
          <w:spacing w:val="-5"/>
          <w:sz w:val="21"/>
        </w:rPr>
        <w:t xml:space="preserve"> </w:t>
      </w:r>
      <w:r>
        <w:rPr>
          <w:sz w:val="21"/>
        </w:rPr>
        <w:t>high-rise</w:t>
      </w:r>
      <w:r>
        <w:rPr>
          <w:spacing w:val="1"/>
          <w:sz w:val="21"/>
        </w:rPr>
        <w:t xml:space="preserve"> </w:t>
      </w:r>
      <w:r>
        <w:rPr>
          <w:spacing w:val="-3"/>
          <w:sz w:val="21"/>
        </w:rPr>
        <w:t xml:space="preserve">garage </w:t>
      </w:r>
      <w:r>
        <w:rPr>
          <w:sz w:val="21"/>
        </w:rPr>
        <w:t xml:space="preserve"> </w:t>
      </w:r>
    </w:p>
    <w:p w14:paraId="6EE2A2E9" w14:textId="77777777" w:rsidR="00A71EEF" w:rsidRDefault="00A71EEF">
      <w:pPr>
        <w:pStyle w:val="a3"/>
        <w:spacing w:before="2"/>
        <w:rPr>
          <w:sz w:val="18"/>
        </w:rPr>
      </w:pPr>
    </w:p>
    <w:p w14:paraId="0790A588" w14:textId="77777777" w:rsidR="00A71EEF" w:rsidRDefault="0081115D">
      <w:pPr>
        <w:pStyle w:val="a3"/>
        <w:tabs>
          <w:tab w:val="left" w:pos="7684"/>
        </w:tabs>
        <w:ind w:left="838"/>
        <w:rPr>
          <w:sz w:val="24"/>
        </w:rPr>
      </w:pPr>
      <w:r>
        <w:rPr>
          <w:spacing w:val="-2"/>
        </w:rPr>
        <w:t>建</w:t>
      </w:r>
      <w:r>
        <w:rPr>
          <w:spacing w:val="-3"/>
        </w:rPr>
        <w:t>筑</w:t>
      </w:r>
      <w:r>
        <w:rPr>
          <w:spacing w:val="-5"/>
        </w:rPr>
        <w:t>高</w:t>
      </w:r>
      <w:r>
        <w:rPr>
          <w:spacing w:val="-3"/>
        </w:rPr>
        <w:t>度</w:t>
      </w:r>
      <w:r>
        <w:rPr>
          <w:spacing w:val="-8"/>
        </w:rPr>
        <w:t>大</w:t>
      </w:r>
      <w:r>
        <w:rPr>
          <w:spacing w:val="-3"/>
        </w:rPr>
        <w:t>于</w:t>
      </w:r>
      <w:r>
        <w:rPr>
          <w:spacing w:val="-1"/>
        </w:rPr>
        <w:t>24m</w:t>
      </w:r>
      <w:r>
        <w:rPr>
          <w:spacing w:val="-5"/>
        </w:rPr>
        <w:t>的</w:t>
      </w:r>
      <w:r>
        <w:rPr>
          <w:spacing w:val="-3"/>
        </w:rPr>
        <w:t>汽</w:t>
      </w:r>
      <w:r>
        <w:rPr>
          <w:spacing w:val="-5"/>
        </w:rPr>
        <w:t>车</w:t>
      </w:r>
      <w:r>
        <w:rPr>
          <w:spacing w:val="-3"/>
        </w:rPr>
        <w:t>库</w:t>
      </w:r>
      <w:r>
        <w:rPr>
          <w:spacing w:val="-1"/>
        </w:rPr>
        <w:t>或</w:t>
      </w:r>
      <w:r>
        <w:rPr>
          <w:spacing w:val="-8"/>
        </w:rPr>
        <w:t>设</w:t>
      </w:r>
      <w:r>
        <w:rPr>
          <w:spacing w:val="-3"/>
        </w:rPr>
        <w:t>在</w:t>
      </w:r>
      <w:r>
        <w:rPr>
          <w:spacing w:val="-5"/>
        </w:rPr>
        <w:t>高</w:t>
      </w:r>
      <w:r>
        <w:rPr>
          <w:spacing w:val="-3"/>
        </w:rPr>
        <w:t>层</w:t>
      </w:r>
      <w:r>
        <w:rPr>
          <w:spacing w:val="-8"/>
        </w:rPr>
        <w:t>建</w:t>
      </w:r>
      <w:r>
        <w:rPr>
          <w:spacing w:val="-3"/>
        </w:rPr>
        <w:t>筑</w:t>
      </w:r>
      <w:r>
        <w:rPr>
          <w:spacing w:val="-5"/>
        </w:rPr>
        <w:t>内</w:t>
      </w:r>
      <w:r>
        <w:rPr>
          <w:spacing w:val="-1"/>
        </w:rPr>
        <w:t>地</w:t>
      </w:r>
      <w:r>
        <w:rPr>
          <w:spacing w:val="-8"/>
        </w:rPr>
        <w:t>面</w:t>
      </w:r>
      <w:r>
        <w:rPr>
          <w:spacing w:val="-3"/>
        </w:rPr>
        <w:t>层</w:t>
      </w:r>
      <w:r>
        <w:rPr>
          <w:spacing w:val="-1"/>
        </w:rPr>
        <w:t>以</w:t>
      </w:r>
      <w:r>
        <w:rPr>
          <w:spacing w:val="-8"/>
        </w:rPr>
        <w:t>上</w:t>
      </w:r>
      <w:r>
        <w:rPr>
          <w:spacing w:val="-3"/>
        </w:rPr>
        <w:t>楼</w:t>
      </w:r>
      <w:r>
        <w:rPr>
          <w:spacing w:val="-5"/>
        </w:rPr>
        <w:t>层</w:t>
      </w:r>
      <w:r>
        <w:rPr>
          <w:spacing w:val="-3"/>
        </w:rPr>
        <w:t>的</w:t>
      </w:r>
      <w:r>
        <w:rPr>
          <w:spacing w:val="-8"/>
        </w:rPr>
        <w:t>汽</w:t>
      </w:r>
      <w:r>
        <w:rPr>
          <w:spacing w:val="-3"/>
        </w:rPr>
        <w:t>车</w:t>
      </w:r>
      <w:r>
        <w:rPr>
          <w:spacing w:val="-5"/>
        </w:rPr>
        <w:t>库</w:t>
      </w:r>
      <w:r>
        <w:rPr>
          <w:spacing w:val="-3"/>
        </w:rPr>
        <w:t>。</w:t>
      </w:r>
      <w:r>
        <w:t xml:space="preserve"> </w:t>
      </w:r>
      <w:r>
        <w:tab/>
      </w:r>
      <w:r>
        <w:rPr>
          <w:sz w:val="24"/>
        </w:rPr>
        <w:t xml:space="preserve"> </w:t>
      </w:r>
    </w:p>
    <w:p w14:paraId="532B00A3" w14:textId="77777777" w:rsidR="00A71EEF" w:rsidRDefault="00A71EEF">
      <w:pPr>
        <w:pStyle w:val="a3"/>
        <w:spacing w:before="12"/>
        <w:rPr>
          <w:sz w:val="17"/>
        </w:rPr>
      </w:pPr>
    </w:p>
    <w:p w14:paraId="33C449D4" w14:textId="77777777" w:rsidR="00A71EEF" w:rsidRDefault="0081115D">
      <w:pPr>
        <w:pStyle w:val="a4"/>
        <w:numPr>
          <w:ilvl w:val="1"/>
          <w:numId w:val="219"/>
        </w:numPr>
        <w:tabs>
          <w:tab w:val="left" w:pos="1160"/>
        </w:tabs>
        <w:ind w:left="1159"/>
        <w:rPr>
          <w:sz w:val="21"/>
        </w:rPr>
      </w:pPr>
      <w:r>
        <w:rPr>
          <w:spacing w:val="-5"/>
          <w:sz w:val="21"/>
        </w:rPr>
        <w:t>机械式汽车库</w:t>
      </w:r>
      <w:r>
        <w:rPr>
          <w:spacing w:val="-5"/>
          <w:sz w:val="21"/>
        </w:rPr>
        <w:t xml:space="preserve"> </w:t>
      </w:r>
      <w:r>
        <w:rPr>
          <w:sz w:val="21"/>
        </w:rPr>
        <w:t>mechanical</w:t>
      </w:r>
      <w:r>
        <w:rPr>
          <w:spacing w:val="-3"/>
          <w:sz w:val="21"/>
        </w:rPr>
        <w:t xml:space="preserve"> </w:t>
      </w:r>
      <w:r>
        <w:rPr>
          <w:sz w:val="21"/>
        </w:rPr>
        <w:t>garage</w:t>
      </w:r>
      <w:r>
        <w:rPr>
          <w:spacing w:val="-3"/>
          <w:sz w:val="21"/>
        </w:rPr>
        <w:t xml:space="preserve"> </w:t>
      </w:r>
      <w:r>
        <w:rPr>
          <w:sz w:val="21"/>
        </w:rPr>
        <w:t xml:space="preserve"> </w:t>
      </w:r>
    </w:p>
    <w:p w14:paraId="0C5110FA" w14:textId="77777777" w:rsidR="00A71EEF" w:rsidRDefault="00A71EEF">
      <w:pPr>
        <w:rPr>
          <w:sz w:val="21"/>
        </w:rPr>
        <w:sectPr w:rsidR="00A71EEF">
          <w:pgSz w:w="11910" w:h="16850"/>
          <w:pgMar w:top="1140" w:right="0" w:bottom="1420" w:left="1260" w:header="0" w:footer="1239" w:gutter="0"/>
          <w:cols w:space="720"/>
        </w:sectPr>
      </w:pPr>
    </w:p>
    <w:p w14:paraId="1D04FAD3" w14:textId="77777777" w:rsidR="00A71EEF" w:rsidRDefault="0081115D">
      <w:pPr>
        <w:pStyle w:val="a3"/>
        <w:spacing w:before="67"/>
        <w:ind w:left="838"/>
        <w:rPr>
          <w:sz w:val="24"/>
        </w:rPr>
      </w:pPr>
      <w:r>
        <w:t>采用机械设备进行垂直或水平移动等形式停放汽车的汽车库。</w:t>
      </w:r>
      <w:r>
        <w:t xml:space="preserve"> </w:t>
      </w:r>
      <w:r>
        <w:rPr>
          <w:sz w:val="24"/>
        </w:rPr>
        <w:t xml:space="preserve"> </w:t>
      </w:r>
    </w:p>
    <w:p w14:paraId="63172660" w14:textId="77777777" w:rsidR="00A71EEF" w:rsidRDefault="00A71EEF">
      <w:pPr>
        <w:pStyle w:val="a3"/>
        <w:rPr>
          <w:sz w:val="18"/>
        </w:rPr>
      </w:pPr>
    </w:p>
    <w:p w14:paraId="0A2813C9" w14:textId="77777777" w:rsidR="00A71EEF" w:rsidRDefault="0081115D">
      <w:pPr>
        <w:pStyle w:val="a4"/>
        <w:numPr>
          <w:ilvl w:val="1"/>
          <w:numId w:val="219"/>
        </w:numPr>
        <w:tabs>
          <w:tab w:val="left" w:pos="1160"/>
        </w:tabs>
        <w:ind w:left="1159"/>
        <w:rPr>
          <w:sz w:val="21"/>
        </w:rPr>
      </w:pPr>
      <w:r>
        <w:rPr>
          <w:spacing w:val="-5"/>
          <w:sz w:val="21"/>
        </w:rPr>
        <w:t>敞开式汽车库</w:t>
      </w:r>
      <w:r>
        <w:rPr>
          <w:spacing w:val="-5"/>
          <w:sz w:val="21"/>
        </w:rPr>
        <w:t xml:space="preserve"> </w:t>
      </w:r>
      <w:r>
        <w:rPr>
          <w:sz w:val="21"/>
        </w:rPr>
        <w:t>open</w:t>
      </w:r>
      <w:r>
        <w:rPr>
          <w:spacing w:val="1"/>
          <w:sz w:val="21"/>
        </w:rPr>
        <w:t xml:space="preserve"> </w:t>
      </w:r>
      <w:r>
        <w:rPr>
          <w:sz w:val="21"/>
        </w:rPr>
        <w:t>garage</w:t>
      </w:r>
      <w:r>
        <w:rPr>
          <w:spacing w:val="-3"/>
          <w:sz w:val="21"/>
        </w:rPr>
        <w:t xml:space="preserve"> </w:t>
      </w:r>
      <w:r>
        <w:rPr>
          <w:sz w:val="21"/>
        </w:rPr>
        <w:t xml:space="preserve"> </w:t>
      </w:r>
    </w:p>
    <w:p w14:paraId="3E8BB081" w14:textId="77777777" w:rsidR="00A71EEF" w:rsidRDefault="00A71EEF">
      <w:pPr>
        <w:pStyle w:val="a3"/>
        <w:rPr>
          <w:sz w:val="18"/>
        </w:rPr>
      </w:pPr>
    </w:p>
    <w:p w14:paraId="0FFF1E55" w14:textId="77777777" w:rsidR="00A71EEF" w:rsidRDefault="0081115D">
      <w:pPr>
        <w:pStyle w:val="a3"/>
        <w:tabs>
          <w:tab w:val="left" w:pos="4776"/>
        </w:tabs>
        <w:spacing w:line="446" w:lineRule="auto"/>
        <w:ind w:left="418" w:right="1704" w:firstLine="419"/>
      </w:pPr>
      <w:r>
        <w:t>任</w:t>
      </w:r>
      <w:r>
        <w:rPr>
          <w:spacing w:val="-3"/>
        </w:rPr>
        <w:t>一</w:t>
      </w:r>
      <w:r>
        <w:rPr>
          <w:spacing w:val="-5"/>
        </w:rPr>
        <w:t>层</w:t>
      </w:r>
      <w:r>
        <w:rPr>
          <w:spacing w:val="-3"/>
        </w:rPr>
        <w:t>车</w:t>
      </w:r>
      <w:r>
        <w:rPr>
          <w:spacing w:val="-8"/>
        </w:rPr>
        <w:t>库</w:t>
      </w:r>
      <w:r>
        <w:rPr>
          <w:spacing w:val="-3"/>
        </w:rPr>
        <w:t>外</w:t>
      </w:r>
      <w:r>
        <w:rPr>
          <w:spacing w:val="-5"/>
        </w:rPr>
        <w:t>墙</w:t>
      </w:r>
      <w:r>
        <w:rPr>
          <w:spacing w:val="-3"/>
        </w:rPr>
        <w:t>敞</w:t>
      </w:r>
      <w:r>
        <w:rPr>
          <w:spacing w:val="-7"/>
        </w:rPr>
        <w:t>开</w:t>
      </w:r>
      <w:r>
        <w:rPr>
          <w:spacing w:val="-3"/>
        </w:rPr>
        <w:t>面</w:t>
      </w:r>
      <w:r>
        <w:rPr>
          <w:spacing w:val="-8"/>
        </w:rPr>
        <w:t>积</w:t>
      </w:r>
      <w:r>
        <w:t>大</w:t>
      </w:r>
      <w:r>
        <w:rPr>
          <w:spacing w:val="-3"/>
        </w:rPr>
        <w:t>于</w:t>
      </w:r>
      <w:r>
        <w:rPr>
          <w:spacing w:val="-5"/>
        </w:rPr>
        <w:t>该</w:t>
      </w:r>
      <w:r>
        <w:rPr>
          <w:spacing w:val="-3"/>
        </w:rPr>
        <w:t>层</w:t>
      </w:r>
      <w:r>
        <w:rPr>
          <w:spacing w:val="-8"/>
        </w:rPr>
        <w:t>四</w:t>
      </w:r>
      <w:r>
        <w:rPr>
          <w:spacing w:val="-3"/>
        </w:rPr>
        <w:t>周</w:t>
      </w:r>
      <w:r>
        <w:rPr>
          <w:spacing w:val="-5"/>
        </w:rPr>
        <w:t>外</w:t>
      </w:r>
      <w:r>
        <w:rPr>
          <w:spacing w:val="-3"/>
        </w:rPr>
        <w:t>墙</w:t>
      </w:r>
      <w:r>
        <w:rPr>
          <w:spacing w:val="-8"/>
        </w:rPr>
        <w:t>体</w:t>
      </w:r>
      <w:r>
        <w:t>总</w:t>
      </w:r>
      <w:r>
        <w:rPr>
          <w:spacing w:val="-8"/>
        </w:rPr>
        <w:t>面</w:t>
      </w:r>
      <w:r>
        <w:t>积的</w:t>
      </w:r>
      <w:r>
        <w:rPr>
          <w:spacing w:val="-83"/>
        </w:rPr>
        <w:t xml:space="preserve"> </w:t>
      </w:r>
      <w:r>
        <w:rPr>
          <w:spacing w:val="-4"/>
        </w:rPr>
        <w:t>25</w:t>
      </w:r>
      <w:r>
        <w:rPr>
          <w:spacing w:val="-4"/>
        </w:rPr>
        <w:t>％，</w:t>
      </w:r>
      <w:r>
        <w:rPr>
          <w:spacing w:val="-8"/>
        </w:rPr>
        <w:t>敞</w:t>
      </w:r>
      <w:r>
        <w:rPr>
          <w:spacing w:val="-3"/>
        </w:rPr>
        <w:t>开</w:t>
      </w:r>
      <w:r>
        <w:rPr>
          <w:spacing w:val="-5"/>
        </w:rPr>
        <w:t>区</w:t>
      </w:r>
      <w:r>
        <w:rPr>
          <w:spacing w:val="-3"/>
        </w:rPr>
        <w:t>域</w:t>
      </w:r>
      <w:r>
        <w:rPr>
          <w:spacing w:val="-8"/>
        </w:rPr>
        <w:t>均</w:t>
      </w:r>
      <w:r>
        <w:rPr>
          <w:spacing w:val="-7"/>
        </w:rPr>
        <w:t>匀</w:t>
      </w:r>
      <w:r>
        <w:t>布</w:t>
      </w:r>
      <w:r>
        <w:rPr>
          <w:spacing w:val="-3"/>
        </w:rPr>
        <w:t>置</w:t>
      </w:r>
      <w:r>
        <w:rPr>
          <w:spacing w:val="-5"/>
        </w:rPr>
        <w:t>在</w:t>
      </w:r>
      <w:r>
        <w:rPr>
          <w:spacing w:val="-3"/>
        </w:rPr>
        <w:t>外</w:t>
      </w:r>
      <w:r>
        <w:rPr>
          <w:spacing w:val="-8"/>
        </w:rPr>
        <w:t>墙</w:t>
      </w:r>
      <w:r>
        <w:t>上</w:t>
      </w:r>
      <w:r>
        <w:rPr>
          <w:spacing w:val="-5"/>
        </w:rPr>
        <w:t>且</w:t>
      </w:r>
      <w:r>
        <w:rPr>
          <w:spacing w:val="-3"/>
        </w:rPr>
        <w:t>其</w:t>
      </w:r>
      <w:r>
        <w:rPr>
          <w:spacing w:val="22"/>
        </w:rPr>
        <w:t xml:space="preserve"> </w:t>
      </w:r>
      <w:r>
        <w:rPr>
          <w:spacing w:val="-3"/>
        </w:rPr>
        <w:t>长度</w:t>
      </w:r>
      <w:r>
        <w:rPr>
          <w:spacing w:val="-5"/>
        </w:rPr>
        <w:t>不</w:t>
      </w:r>
      <w:r>
        <w:rPr>
          <w:spacing w:val="-3"/>
        </w:rPr>
        <w:t>小</w:t>
      </w:r>
      <w:r>
        <w:rPr>
          <w:spacing w:val="-8"/>
        </w:rPr>
        <w:t>于</w:t>
      </w:r>
      <w:r>
        <w:rPr>
          <w:spacing w:val="-3"/>
        </w:rPr>
        <w:t>车</w:t>
      </w:r>
      <w:r>
        <w:rPr>
          <w:spacing w:val="-5"/>
        </w:rPr>
        <w:t>库</w:t>
      </w:r>
      <w:r>
        <w:t>周</w:t>
      </w:r>
      <w:r>
        <w:rPr>
          <w:spacing w:val="-8"/>
        </w:rPr>
        <w:t>长</w:t>
      </w:r>
      <w:r>
        <w:t>的</w:t>
      </w:r>
      <w:r>
        <w:rPr>
          <w:spacing w:val="-3"/>
        </w:rPr>
        <w:t>50</w:t>
      </w:r>
      <w:r>
        <w:rPr>
          <w:spacing w:val="-3"/>
        </w:rPr>
        <w:t>％的</w:t>
      </w:r>
      <w:r>
        <w:rPr>
          <w:spacing w:val="-8"/>
        </w:rPr>
        <w:t>汽</w:t>
      </w:r>
      <w:r>
        <w:rPr>
          <w:spacing w:val="-3"/>
        </w:rPr>
        <w:t>车</w:t>
      </w:r>
      <w:r>
        <w:rPr>
          <w:spacing w:val="-5"/>
        </w:rPr>
        <w:t>库</w:t>
      </w:r>
      <w:r>
        <w:rPr>
          <w:spacing w:val="-3"/>
        </w:rPr>
        <w:t>。</w:t>
      </w:r>
      <w:r>
        <w:t xml:space="preserve"> </w:t>
      </w:r>
      <w:r>
        <w:tab/>
      </w:r>
      <w:r>
        <w:t xml:space="preserve"> </w:t>
      </w:r>
    </w:p>
    <w:p w14:paraId="493B51B5" w14:textId="77777777" w:rsidR="00A71EEF" w:rsidRDefault="0081115D">
      <w:pPr>
        <w:pStyle w:val="4"/>
        <w:spacing w:line="277" w:lineRule="exact"/>
      </w:pPr>
      <w:r>
        <w:t xml:space="preserve">3 </w:t>
      </w:r>
      <w:r>
        <w:t>分类和耐火等级</w:t>
      </w:r>
      <w:r>
        <w:rPr>
          <w:w w:val="99"/>
        </w:rPr>
        <w:t xml:space="preserve"> </w:t>
      </w:r>
    </w:p>
    <w:p w14:paraId="03BA7AC1" w14:textId="77777777" w:rsidR="00A71EEF" w:rsidRDefault="00A71EEF">
      <w:pPr>
        <w:pStyle w:val="a3"/>
        <w:spacing w:before="3"/>
        <w:rPr>
          <w:b/>
          <w:sz w:val="17"/>
        </w:rPr>
      </w:pPr>
    </w:p>
    <w:p w14:paraId="2403E41B" w14:textId="77777777" w:rsidR="00A71EEF" w:rsidRDefault="0081115D">
      <w:pPr>
        <w:pStyle w:val="a4"/>
        <w:numPr>
          <w:ilvl w:val="1"/>
          <w:numId w:val="218"/>
        </w:numPr>
        <w:tabs>
          <w:tab w:val="left" w:pos="1159"/>
        </w:tabs>
        <w:spacing w:before="1"/>
        <w:ind w:hanging="319"/>
        <w:rPr>
          <w:sz w:val="21"/>
        </w:rPr>
      </w:pPr>
      <w:r>
        <w:rPr>
          <w:spacing w:val="-29"/>
          <w:sz w:val="21"/>
        </w:rPr>
        <w:t>汽车库、修车库、停车场的分类应根据停车</w:t>
      </w:r>
      <w:r>
        <w:rPr>
          <w:spacing w:val="-5"/>
          <w:sz w:val="21"/>
        </w:rPr>
        <w:t>（</w:t>
      </w:r>
      <w:r>
        <w:rPr>
          <w:spacing w:val="-2"/>
          <w:sz w:val="21"/>
        </w:rPr>
        <w:t>车位</w:t>
      </w:r>
      <w:r>
        <w:rPr>
          <w:spacing w:val="-132"/>
          <w:sz w:val="21"/>
        </w:rPr>
        <w:t>）</w:t>
      </w:r>
      <w:r>
        <w:rPr>
          <w:spacing w:val="-6"/>
          <w:sz w:val="21"/>
        </w:rPr>
        <w:t>数量和总建筑面积确定</w:t>
      </w:r>
      <w:r>
        <w:rPr>
          <w:spacing w:val="-27"/>
          <w:sz w:val="21"/>
        </w:rPr>
        <w:t>，并应符合表</w:t>
      </w:r>
      <w:r>
        <w:rPr>
          <w:sz w:val="21"/>
        </w:rPr>
        <w:t xml:space="preserve"> </w:t>
      </w:r>
    </w:p>
    <w:p w14:paraId="445296CE" w14:textId="77777777" w:rsidR="00A71EEF" w:rsidRDefault="00A71EEF">
      <w:pPr>
        <w:pStyle w:val="a3"/>
        <w:spacing w:before="1"/>
        <w:rPr>
          <w:sz w:val="18"/>
        </w:rPr>
      </w:pPr>
    </w:p>
    <w:p w14:paraId="2F70431D" w14:textId="77777777" w:rsidR="00A71EEF" w:rsidRDefault="0081115D">
      <w:pPr>
        <w:pStyle w:val="a3"/>
        <w:spacing w:before="1"/>
        <w:ind w:left="418"/>
      </w:pPr>
      <w:r>
        <w:t xml:space="preserve">3.0.1 </w:t>
      </w:r>
      <w:r>
        <w:t>的规定。</w:t>
      </w:r>
      <w:r>
        <w:t xml:space="preserve"> </w:t>
      </w:r>
    </w:p>
    <w:p w14:paraId="00CB870E" w14:textId="77777777" w:rsidR="00A71EEF" w:rsidRDefault="00A71EEF">
      <w:pPr>
        <w:pStyle w:val="a3"/>
        <w:spacing w:before="12"/>
        <w:rPr>
          <w:sz w:val="17"/>
        </w:rPr>
      </w:pPr>
    </w:p>
    <w:p w14:paraId="1B08DD8F" w14:textId="77777777" w:rsidR="00A71EEF" w:rsidRDefault="0081115D">
      <w:pPr>
        <w:pStyle w:val="6"/>
        <w:spacing w:after="40"/>
        <w:ind w:left="2732"/>
      </w:pPr>
      <w:r>
        <w:t>表</w:t>
      </w:r>
      <w:r>
        <w:t xml:space="preserve">3.0.1 </w:t>
      </w:r>
      <w:r>
        <w:t>汽车库、修车库、停车场的防火分类</w:t>
      </w:r>
      <w:r>
        <w:rPr>
          <w:w w:val="99"/>
        </w:rPr>
        <w:t xml:space="preserve"> </w:t>
      </w:r>
    </w:p>
    <w:tbl>
      <w:tblPr>
        <w:tblStyle w:val="TableNormal"/>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7"/>
        <w:gridCol w:w="2033"/>
        <w:gridCol w:w="1267"/>
        <w:gridCol w:w="1742"/>
        <w:gridCol w:w="1440"/>
        <w:gridCol w:w="988"/>
      </w:tblGrid>
      <w:tr w:rsidR="00A71EEF" w14:paraId="161FA26C" w14:textId="77777777">
        <w:trPr>
          <w:trHeight w:val="561"/>
        </w:trPr>
        <w:tc>
          <w:tcPr>
            <w:tcW w:w="3180" w:type="dxa"/>
            <w:gridSpan w:val="2"/>
          </w:tcPr>
          <w:p w14:paraId="3E2876A4" w14:textId="77777777" w:rsidR="00A71EEF" w:rsidRDefault="00A71EEF">
            <w:pPr>
              <w:pStyle w:val="TableParagraph"/>
              <w:rPr>
                <w:b/>
                <w:sz w:val="15"/>
              </w:rPr>
            </w:pPr>
          </w:p>
          <w:p w14:paraId="315C3FB1" w14:textId="77777777" w:rsidR="00A71EEF" w:rsidRDefault="0081115D">
            <w:pPr>
              <w:pStyle w:val="TableParagraph"/>
              <w:spacing w:before="1"/>
              <w:ind w:left="1412" w:right="1297"/>
              <w:jc w:val="center"/>
              <w:rPr>
                <w:sz w:val="21"/>
              </w:rPr>
            </w:pPr>
            <w:r>
              <w:rPr>
                <w:sz w:val="21"/>
              </w:rPr>
              <w:t>名称</w:t>
            </w:r>
            <w:r>
              <w:rPr>
                <w:sz w:val="21"/>
              </w:rPr>
              <w:t xml:space="preserve"> </w:t>
            </w:r>
          </w:p>
        </w:tc>
        <w:tc>
          <w:tcPr>
            <w:tcW w:w="1267" w:type="dxa"/>
          </w:tcPr>
          <w:p w14:paraId="3B043DD2" w14:textId="77777777" w:rsidR="00A71EEF" w:rsidRDefault="00A71EEF">
            <w:pPr>
              <w:pStyle w:val="TableParagraph"/>
              <w:rPr>
                <w:b/>
                <w:sz w:val="15"/>
              </w:rPr>
            </w:pPr>
          </w:p>
          <w:p w14:paraId="2CC476EF" w14:textId="77777777" w:rsidR="00A71EEF" w:rsidRDefault="0081115D">
            <w:pPr>
              <w:pStyle w:val="TableParagraph"/>
              <w:spacing w:before="1"/>
              <w:ind w:left="528"/>
              <w:rPr>
                <w:sz w:val="21"/>
              </w:rPr>
            </w:pPr>
            <w:r>
              <w:rPr>
                <w:sz w:val="21"/>
              </w:rPr>
              <w:t xml:space="preserve">Ⅰ </w:t>
            </w:r>
          </w:p>
        </w:tc>
        <w:tc>
          <w:tcPr>
            <w:tcW w:w="1742" w:type="dxa"/>
          </w:tcPr>
          <w:p w14:paraId="081379E8" w14:textId="77777777" w:rsidR="00A71EEF" w:rsidRDefault="00A71EEF">
            <w:pPr>
              <w:pStyle w:val="TableParagraph"/>
              <w:rPr>
                <w:b/>
                <w:sz w:val="15"/>
              </w:rPr>
            </w:pPr>
          </w:p>
          <w:p w14:paraId="6E386CE8" w14:textId="77777777" w:rsidR="00A71EEF" w:rsidRDefault="0081115D">
            <w:pPr>
              <w:pStyle w:val="TableParagraph"/>
              <w:spacing w:before="1"/>
              <w:ind w:left="799" w:right="682"/>
              <w:jc w:val="center"/>
              <w:rPr>
                <w:sz w:val="21"/>
              </w:rPr>
            </w:pPr>
            <w:r>
              <w:rPr>
                <w:sz w:val="21"/>
              </w:rPr>
              <w:t xml:space="preserve">Ⅱ </w:t>
            </w:r>
          </w:p>
        </w:tc>
        <w:tc>
          <w:tcPr>
            <w:tcW w:w="1440" w:type="dxa"/>
          </w:tcPr>
          <w:p w14:paraId="05B6DFE5" w14:textId="77777777" w:rsidR="00A71EEF" w:rsidRDefault="00A71EEF">
            <w:pPr>
              <w:pStyle w:val="TableParagraph"/>
              <w:rPr>
                <w:b/>
                <w:sz w:val="15"/>
              </w:rPr>
            </w:pPr>
          </w:p>
          <w:p w14:paraId="53B7FEF9" w14:textId="77777777" w:rsidR="00A71EEF" w:rsidRDefault="0081115D">
            <w:pPr>
              <w:pStyle w:val="TableParagraph"/>
              <w:spacing w:before="1"/>
              <w:ind w:left="373"/>
              <w:rPr>
                <w:sz w:val="21"/>
              </w:rPr>
            </w:pPr>
            <w:r>
              <w:rPr>
                <w:sz w:val="21"/>
              </w:rPr>
              <w:t xml:space="preserve">Ⅲ </w:t>
            </w:r>
          </w:p>
        </w:tc>
        <w:tc>
          <w:tcPr>
            <w:tcW w:w="988" w:type="dxa"/>
          </w:tcPr>
          <w:p w14:paraId="54BD8BCB" w14:textId="77777777" w:rsidR="00A71EEF" w:rsidRDefault="00A71EEF">
            <w:pPr>
              <w:pStyle w:val="TableParagraph"/>
              <w:rPr>
                <w:b/>
                <w:sz w:val="15"/>
              </w:rPr>
            </w:pPr>
          </w:p>
          <w:p w14:paraId="06A8D5D3" w14:textId="77777777" w:rsidR="00A71EEF" w:rsidRDefault="0081115D">
            <w:pPr>
              <w:pStyle w:val="TableParagraph"/>
              <w:spacing w:before="1"/>
              <w:ind w:left="390"/>
              <w:rPr>
                <w:sz w:val="21"/>
              </w:rPr>
            </w:pPr>
            <w:r>
              <w:rPr>
                <w:sz w:val="21"/>
              </w:rPr>
              <w:t xml:space="preserve">Ⅳ </w:t>
            </w:r>
          </w:p>
        </w:tc>
      </w:tr>
      <w:tr w:rsidR="00A71EEF" w14:paraId="33E32FF1" w14:textId="77777777">
        <w:trPr>
          <w:trHeight w:val="566"/>
        </w:trPr>
        <w:tc>
          <w:tcPr>
            <w:tcW w:w="1147" w:type="dxa"/>
            <w:vMerge w:val="restart"/>
          </w:tcPr>
          <w:p w14:paraId="56A6C780" w14:textId="77777777" w:rsidR="00A71EEF" w:rsidRDefault="00A71EEF">
            <w:pPr>
              <w:pStyle w:val="TableParagraph"/>
              <w:spacing w:before="11"/>
              <w:rPr>
                <w:b/>
                <w:sz w:val="14"/>
              </w:rPr>
            </w:pPr>
          </w:p>
          <w:p w14:paraId="5740512A" w14:textId="77777777" w:rsidR="00A71EEF" w:rsidRDefault="0081115D">
            <w:pPr>
              <w:pStyle w:val="TableParagraph"/>
              <w:ind w:left="107"/>
              <w:rPr>
                <w:sz w:val="21"/>
              </w:rPr>
            </w:pPr>
            <w:r>
              <w:rPr>
                <w:sz w:val="21"/>
              </w:rPr>
              <w:t xml:space="preserve"> </w:t>
            </w:r>
          </w:p>
          <w:p w14:paraId="5976A607" w14:textId="77777777" w:rsidR="00A71EEF" w:rsidRDefault="00A71EEF">
            <w:pPr>
              <w:pStyle w:val="TableParagraph"/>
              <w:spacing w:before="12"/>
              <w:rPr>
                <w:b/>
                <w:sz w:val="17"/>
              </w:rPr>
            </w:pPr>
          </w:p>
          <w:p w14:paraId="37CC385B" w14:textId="77777777" w:rsidR="00A71EEF" w:rsidRDefault="0081115D">
            <w:pPr>
              <w:pStyle w:val="TableParagraph"/>
              <w:ind w:left="107"/>
              <w:rPr>
                <w:sz w:val="21"/>
              </w:rPr>
            </w:pPr>
            <w:r>
              <w:rPr>
                <w:sz w:val="21"/>
              </w:rPr>
              <w:t>汽车库</w:t>
            </w:r>
            <w:r>
              <w:rPr>
                <w:sz w:val="21"/>
              </w:rPr>
              <w:t xml:space="preserve"> </w:t>
            </w:r>
          </w:p>
        </w:tc>
        <w:tc>
          <w:tcPr>
            <w:tcW w:w="2033" w:type="dxa"/>
          </w:tcPr>
          <w:p w14:paraId="309ABE6C" w14:textId="77777777" w:rsidR="00A71EEF" w:rsidRDefault="00A71EEF">
            <w:pPr>
              <w:pStyle w:val="TableParagraph"/>
              <w:spacing w:before="11"/>
              <w:rPr>
                <w:b/>
                <w:sz w:val="14"/>
              </w:rPr>
            </w:pPr>
          </w:p>
          <w:p w14:paraId="3B87F406" w14:textId="77777777" w:rsidR="00A71EEF" w:rsidRDefault="0081115D">
            <w:pPr>
              <w:pStyle w:val="TableParagraph"/>
              <w:ind w:left="107"/>
              <w:rPr>
                <w:sz w:val="21"/>
              </w:rPr>
            </w:pPr>
            <w:r>
              <w:rPr>
                <w:sz w:val="21"/>
              </w:rPr>
              <w:t>停车数量（辆）</w:t>
            </w:r>
            <w:r>
              <w:rPr>
                <w:sz w:val="21"/>
              </w:rPr>
              <w:t xml:space="preserve"> </w:t>
            </w:r>
          </w:p>
        </w:tc>
        <w:tc>
          <w:tcPr>
            <w:tcW w:w="1267" w:type="dxa"/>
          </w:tcPr>
          <w:p w14:paraId="69A96C42" w14:textId="77777777" w:rsidR="00A71EEF" w:rsidRDefault="00A71EEF">
            <w:pPr>
              <w:pStyle w:val="TableParagraph"/>
              <w:spacing w:before="11"/>
              <w:rPr>
                <w:b/>
                <w:sz w:val="14"/>
              </w:rPr>
            </w:pPr>
          </w:p>
          <w:p w14:paraId="23AB1744" w14:textId="77777777" w:rsidR="00A71EEF" w:rsidRDefault="0081115D">
            <w:pPr>
              <w:pStyle w:val="TableParagraph"/>
              <w:ind w:left="108"/>
              <w:rPr>
                <w:sz w:val="21"/>
              </w:rPr>
            </w:pPr>
            <w:r>
              <w:rPr>
                <w:sz w:val="21"/>
              </w:rPr>
              <w:t xml:space="preserve">&gt;300 </w:t>
            </w:r>
          </w:p>
        </w:tc>
        <w:tc>
          <w:tcPr>
            <w:tcW w:w="1742" w:type="dxa"/>
          </w:tcPr>
          <w:p w14:paraId="75A845C5" w14:textId="77777777" w:rsidR="00A71EEF" w:rsidRDefault="00A71EEF">
            <w:pPr>
              <w:pStyle w:val="TableParagraph"/>
              <w:spacing w:before="11"/>
              <w:rPr>
                <w:b/>
                <w:sz w:val="14"/>
              </w:rPr>
            </w:pPr>
          </w:p>
          <w:p w14:paraId="53898E00" w14:textId="77777777" w:rsidR="00A71EEF" w:rsidRDefault="0081115D">
            <w:pPr>
              <w:pStyle w:val="TableParagraph"/>
              <w:ind w:left="108"/>
              <w:rPr>
                <w:sz w:val="21"/>
              </w:rPr>
            </w:pPr>
            <w:r>
              <w:rPr>
                <w:sz w:val="21"/>
              </w:rPr>
              <w:t>151</w:t>
            </w:r>
            <w:r>
              <w:rPr>
                <w:sz w:val="21"/>
              </w:rPr>
              <w:t>～</w:t>
            </w:r>
            <w:r>
              <w:rPr>
                <w:sz w:val="21"/>
              </w:rPr>
              <w:t xml:space="preserve">300 </w:t>
            </w:r>
          </w:p>
        </w:tc>
        <w:tc>
          <w:tcPr>
            <w:tcW w:w="1440" w:type="dxa"/>
          </w:tcPr>
          <w:p w14:paraId="5F198485" w14:textId="77777777" w:rsidR="00A71EEF" w:rsidRDefault="00A71EEF">
            <w:pPr>
              <w:pStyle w:val="TableParagraph"/>
              <w:spacing w:before="11"/>
              <w:rPr>
                <w:b/>
                <w:sz w:val="14"/>
              </w:rPr>
            </w:pPr>
          </w:p>
          <w:p w14:paraId="70FDB915" w14:textId="77777777" w:rsidR="00A71EEF" w:rsidRDefault="0081115D">
            <w:pPr>
              <w:pStyle w:val="TableParagraph"/>
              <w:ind w:left="109"/>
              <w:rPr>
                <w:sz w:val="21"/>
              </w:rPr>
            </w:pPr>
            <w:r>
              <w:rPr>
                <w:sz w:val="21"/>
              </w:rPr>
              <w:t>51</w:t>
            </w:r>
            <w:r>
              <w:rPr>
                <w:sz w:val="21"/>
              </w:rPr>
              <w:t>～</w:t>
            </w:r>
            <w:r>
              <w:rPr>
                <w:sz w:val="21"/>
              </w:rPr>
              <w:t xml:space="preserve">150 </w:t>
            </w:r>
          </w:p>
        </w:tc>
        <w:tc>
          <w:tcPr>
            <w:tcW w:w="988" w:type="dxa"/>
          </w:tcPr>
          <w:p w14:paraId="50B24181" w14:textId="77777777" w:rsidR="00A71EEF" w:rsidRDefault="00A71EEF">
            <w:pPr>
              <w:pStyle w:val="TableParagraph"/>
              <w:spacing w:before="11"/>
              <w:rPr>
                <w:b/>
                <w:sz w:val="14"/>
              </w:rPr>
            </w:pPr>
          </w:p>
          <w:p w14:paraId="6187DAD6" w14:textId="77777777" w:rsidR="00A71EEF" w:rsidRDefault="0081115D">
            <w:pPr>
              <w:pStyle w:val="TableParagraph"/>
              <w:ind w:left="287"/>
              <w:rPr>
                <w:sz w:val="21"/>
              </w:rPr>
            </w:pPr>
            <w:r>
              <w:rPr>
                <w:sz w:val="21"/>
              </w:rPr>
              <w:t xml:space="preserve">≤50 </w:t>
            </w:r>
          </w:p>
        </w:tc>
      </w:tr>
      <w:tr w:rsidR="00A71EEF" w14:paraId="39F7E052" w14:textId="77777777">
        <w:trPr>
          <w:trHeight w:val="561"/>
        </w:trPr>
        <w:tc>
          <w:tcPr>
            <w:tcW w:w="1147" w:type="dxa"/>
            <w:vMerge/>
            <w:tcBorders>
              <w:top w:val="nil"/>
            </w:tcBorders>
          </w:tcPr>
          <w:p w14:paraId="2DB2EF1E" w14:textId="77777777" w:rsidR="00A71EEF" w:rsidRDefault="00A71EEF">
            <w:pPr>
              <w:rPr>
                <w:sz w:val="2"/>
                <w:szCs w:val="2"/>
              </w:rPr>
            </w:pPr>
          </w:p>
        </w:tc>
        <w:tc>
          <w:tcPr>
            <w:tcW w:w="2033" w:type="dxa"/>
          </w:tcPr>
          <w:p w14:paraId="448C1F13" w14:textId="77777777" w:rsidR="00A71EEF" w:rsidRDefault="00A71EEF">
            <w:pPr>
              <w:pStyle w:val="TableParagraph"/>
              <w:spacing w:before="11"/>
              <w:rPr>
                <w:b/>
                <w:sz w:val="14"/>
              </w:rPr>
            </w:pPr>
          </w:p>
          <w:p w14:paraId="4E90F930" w14:textId="77777777" w:rsidR="00A71EEF" w:rsidRDefault="0081115D">
            <w:pPr>
              <w:pStyle w:val="TableParagraph"/>
              <w:ind w:left="107"/>
              <w:rPr>
                <w:sz w:val="21"/>
              </w:rPr>
            </w:pPr>
            <w:r>
              <w:rPr>
                <w:sz w:val="21"/>
              </w:rPr>
              <w:t>总建筑面积</w:t>
            </w:r>
            <w:r>
              <w:rPr>
                <w:sz w:val="21"/>
              </w:rPr>
              <w:t>S</w:t>
            </w:r>
            <w:r>
              <w:rPr>
                <w:sz w:val="21"/>
              </w:rPr>
              <w:t>（㎡）</w:t>
            </w:r>
            <w:r>
              <w:rPr>
                <w:sz w:val="21"/>
              </w:rPr>
              <w:t xml:space="preserve"> </w:t>
            </w:r>
          </w:p>
        </w:tc>
        <w:tc>
          <w:tcPr>
            <w:tcW w:w="1267" w:type="dxa"/>
          </w:tcPr>
          <w:p w14:paraId="2AB485BF" w14:textId="77777777" w:rsidR="00A71EEF" w:rsidRDefault="00A71EEF">
            <w:pPr>
              <w:pStyle w:val="TableParagraph"/>
              <w:spacing w:before="11"/>
              <w:rPr>
                <w:b/>
                <w:sz w:val="14"/>
              </w:rPr>
            </w:pPr>
          </w:p>
          <w:p w14:paraId="6A7BCC06" w14:textId="77777777" w:rsidR="00A71EEF" w:rsidRDefault="0081115D">
            <w:pPr>
              <w:pStyle w:val="TableParagraph"/>
              <w:ind w:left="108"/>
              <w:rPr>
                <w:sz w:val="21"/>
              </w:rPr>
            </w:pPr>
            <w:r>
              <w:rPr>
                <w:sz w:val="21"/>
              </w:rPr>
              <w:t xml:space="preserve">S&gt;10000 </w:t>
            </w:r>
          </w:p>
        </w:tc>
        <w:tc>
          <w:tcPr>
            <w:tcW w:w="1742" w:type="dxa"/>
          </w:tcPr>
          <w:p w14:paraId="2A4EE1A4" w14:textId="77777777" w:rsidR="00A71EEF" w:rsidRDefault="00A71EEF">
            <w:pPr>
              <w:pStyle w:val="TableParagraph"/>
              <w:spacing w:before="11"/>
              <w:rPr>
                <w:b/>
                <w:sz w:val="14"/>
              </w:rPr>
            </w:pPr>
          </w:p>
          <w:p w14:paraId="2F3313CA" w14:textId="77777777" w:rsidR="00A71EEF" w:rsidRDefault="0081115D">
            <w:pPr>
              <w:pStyle w:val="TableParagraph"/>
              <w:ind w:left="108"/>
              <w:rPr>
                <w:sz w:val="21"/>
              </w:rPr>
            </w:pPr>
            <w:r>
              <w:rPr>
                <w:sz w:val="21"/>
              </w:rPr>
              <w:t>5000</w:t>
            </w:r>
            <w:r>
              <w:rPr>
                <w:sz w:val="21"/>
              </w:rPr>
              <w:t>＜</w:t>
            </w:r>
            <w:r>
              <w:rPr>
                <w:sz w:val="21"/>
              </w:rPr>
              <w:t>S ≤</w:t>
            </w:r>
          </w:p>
        </w:tc>
        <w:tc>
          <w:tcPr>
            <w:tcW w:w="1440" w:type="dxa"/>
          </w:tcPr>
          <w:p w14:paraId="558B0399" w14:textId="77777777" w:rsidR="00A71EEF" w:rsidRDefault="00A71EEF">
            <w:pPr>
              <w:pStyle w:val="TableParagraph"/>
              <w:spacing w:before="11"/>
              <w:rPr>
                <w:b/>
                <w:sz w:val="14"/>
              </w:rPr>
            </w:pPr>
          </w:p>
          <w:p w14:paraId="5115EEE8" w14:textId="77777777" w:rsidR="00A71EEF" w:rsidRDefault="0081115D">
            <w:pPr>
              <w:pStyle w:val="TableParagraph"/>
              <w:ind w:left="109"/>
              <w:rPr>
                <w:sz w:val="21"/>
              </w:rPr>
            </w:pPr>
            <w:r>
              <w:rPr>
                <w:sz w:val="21"/>
              </w:rPr>
              <w:t>2000</w:t>
            </w:r>
            <w:r>
              <w:rPr>
                <w:sz w:val="21"/>
              </w:rPr>
              <w:t>＜</w:t>
            </w:r>
            <w:r>
              <w:rPr>
                <w:sz w:val="21"/>
              </w:rPr>
              <w:t>S ≤</w:t>
            </w:r>
          </w:p>
        </w:tc>
        <w:tc>
          <w:tcPr>
            <w:tcW w:w="988" w:type="dxa"/>
          </w:tcPr>
          <w:p w14:paraId="517B0A74" w14:textId="77777777" w:rsidR="00A71EEF" w:rsidRDefault="00A71EEF">
            <w:pPr>
              <w:pStyle w:val="TableParagraph"/>
              <w:spacing w:before="11"/>
              <w:rPr>
                <w:b/>
                <w:sz w:val="14"/>
              </w:rPr>
            </w:pPr>
          </w:p>
          <w:p w14:paraId="784CEB9D" w14:textId="77777777" w:rsidR="00A71EEF" w:rsidRDefault="0081115D">
            <w:pPr>
              <w:pStyle w:val="TableParagraph"/>
              <w:ind w:left="109"/>
              <w:rPr>
                <w:sz w:val="21"/>
              </w:rPr>
            </w:pPr>
            <w:r>
              <w:rPr>
                <w:sz w:val="21"/>
              </w:rPr>
              <w:t xml:space="preserve">S≤2000 </w:t>
            </w:r>
          </w:p>
        </w:tc>
      </w:tr>
      <w:tr w:rsidR="00A71EEF" w14:paraId="41C42DE4" w14:textId="77777777">
        <w:trPr>
          <w:trHeight w:val="568"/>
        </w:trPr>
        <w:tc>
          <w:tcPr>
            <w:tcW w:w="1147" w:type="dxa"/>
            <w:vMerge w:val="restart"/>
          </w:tcPr>
          <w:p w14:paraId="75656E0C" w14:textId="77777777" w:rsidR="00A71EEF" w:rsidRDefault="00A71EEF">
            <w:pPr>
              <w:pStyle w:val="TableParagraph"/>
              <w:spacing w:before="11"/>
              <w:rPr>
                <w:b/>
                <w:sz w:val="14"/>
              </w:rPr>
            </w:pPr>
          </w:p>
          <w:p w14:paraId="4F3BAE68" w14:textId="77777777" w:rsidR="00A71EEF" w:rsidRDefault="0081115D">
            <w:pPr>
              <w:pStyle w:val="TableParagraph"/>
              <w:ind w:left="107"/>
              <w:rPr>
                <w:sz w:val="21"/>
              </w:rPr>
            </w:pPr>
            <w:r>
              <w:rPr>
                <w:sz w:val="21"/>
              </w:rPr>
              <w:t xml:space="preserve"> </w:t>
            </w:r>
          </w:p>
          <w:p w14:paraId="3F9EA2EC" w14:textId="77777777" w:rsidR="00A71EEF" w:rsidRDefault="00A71EEF">
            <w:pPr>
              <w:pStyle w:val="TableParagraph"/>
              <w:spacing w:before="12"/>
              <w:rPr>
                <w:b/>
                <w:sz w:val="17"/>
              </w:rPr>
            </w:pPr>
          </w:p>
          <w:p w14:paraId="43DD1B17" w14:textId="77777777" w:rsidR="00A71EEF" w:rsidRDefault="0081115D">
            <w:pPr>
              <w:pStyle w:val="TableParagraph"/>
              <w:ind w:left="107"/>
              <w:rPr>
                <w:sz w:val="21"/>
              </w:rPr>
            </w:pPr>
            <w:r>
              <w:rPr>
                <w:sz w:val="21"/>
              </w:rPr>
              <w:t>修车库</w:t>
            </w:r>
            <w:r>
              <w:rPr>
                <w:sz w:val="21"/>
              </w:rPr>
              <w:t xml:space="preserve"> </w:t>
            </w:r>
          </w:p>
        </w:tc>
        <w:tc>
          <w:tcPr>
            <w:tcW w:w="2033" w:type="dxa"/>
          </w:tcPr>
          <w:p w14:paraId="146515A7" w14:textId="77777777" w:rsidR="00A71EEF" w:rsidRDefault="00A71EEF">
            <w:pPr>
              <w:pStyle w:val="TableParagraph"/>
              <w:spacing w:before="11"/>
              <w:rPr>
                <w:b/>
                <w:sz w:val="14"/>
              </w:rPr>
            </w:pPr>
          </w:p>
          <w:p w14:paraId="04FC6869" w14:textId="77777777" w:rsidR="00A71EEF" w:rsidRDefault="0081115D">
            <w:pPr>
              <w:pStyle w:val="TableParagraph"/>
              <w:ind w:left="107"/>
              <w:rPr>
                <w:sz w:val="21"/>
              </w:rPr>
            </w:pPr>
            <w:r>
              <w:rPr>
                <w:sz w:val="21"/>
              </w:rPr>
              <w:t>车位数（个）</w:t>
            </w:r>
            <w:r>
              <w:rPr>
                <w:sz w:val="21"/>
              </w:rPr>
              <w:t xml:space="preserve"> </w:t>
            </w:r>
          </w:p>
        </w:tc>
        <w:tc>
          <w:tcPr>
            <w:tcW w:w="1267" w:type="dxa"/>
          </w:tcPr>
          <w:p w14:paraId="623E3539" w14:textId="77777777" w:rsidR="00A71EEF" w:rsidRDefault="00A71EEF">
            <w:pPr>
              <w:pStyle w:val="TableParagraph"/>
              <w:spacing w:before="11"/>
              <w:rPr>
                <w:b/>
                <w:sz w:val="14"/>
              </w:rPr>
            </w:pPr>
          </w:p>
          <w:p w14:paraId="078CA493" w14:textId="77777777" w:rsidR="00A71EEF" w:rsidRDefault="0081115D">
            <w:pPr>
              <w:pStyle w:val="TableParagraph"/>
              <w:ind w:left="475"/>
              <w:rPr>
                <w:sz w:val="21"/>
              </w:rPr>
            </w:pPr>
            <w:r>
              <w:rPr>
                <w:sz w:val="21"/>
              </w:rPr>
              <w:t xml:space="preserve">&gt;15 </w:t>
            </w:r>
          </w:p>
        </w:tc>
        <w:tc>
          <w:tcPr>
            <w:tcW w:w="1742" w:type="dxa"/>
          </w:tcPr>
          <w:p w14:paraId="39925F37" w14:textId="77777777" w:rsidR="00A71EEF" w:rsidRDefault="00A71EEF">
            <w:pPr>
              <w:pStyle w:val="TableParagraph"/>
              <w:spacing w:before="11"/>
              <w:rPr>
                <w:b/>
                <w:sz w:val="14"/>
              </w:rPr>
            </w:pPr>
          </w:p>
          <w:p w14:paraId="3F5B8338" w14:textId="77777777" w:rsidR="00A71EEF" w:rsidRDefault="0081115D">
            <w:pPr>
              <w:pStyle w:val="TableParagraph"/>
              <w:ind w:left="608"/>
              <w:rPr>
                <w:sz w:val="21"/>
              </w:rPr>
            </w:pPr>
            <w:r>
              <w:rPr>
                <w:sz w:val="21"/>
              </w:rPr>
              <w:t>6</w:t>
            </w:r>
            <w:r>
              <w:rPr>
                <w:sz w:val="21"/>
              </w:rPr>
              <w:t>～</w:t>
            </w:r>
            <w:r>
              <w:rPr>
                <w:sz w:val="21"/>
              </w:rPr>
              <w:t xml:space="preserve">15 </w:t>
            </w:r>
          </w:p>
        </w:tc>
        <w:tc>
          <w:tcPr>
            <w:tcW w:w="1440" w:type="dxa"/>
          </w:tcPr>
          <w:p w14:paraId="34C5C4B3" w14:textId="77777777" w:rsidR="00A71EEF" w:rsidRDefault="00A71EEF">
            <w:pPr>
              <w:pStyle w:val="TableParagraph"/>
              <w:spacing w:before="11"/>
              <w:rPr>
                <w:b/>
                <w:sz w:val="14"/>
              </w:rPr>
            </w:pPr>
          </w:p>
          <w:p w14:paraId="2217DA33" w14:textId="77777777" w:rsidR="00A71EEF" w:rsidRDefault="0081115D">
            <w:pPr>
              <w:pStyle w:val="TableParagraph"/>
              <w:ind w:left="270"/>
              <w:rPr>
                <w:sz w:val="21"/>
              </w:rPr>
            </w:pPr>
            <w:r>
              <w:rPr>
                <w:sz w:val="21"/>
              </w:rPr>
              <w:t>3</w:t>
            </w:r>
            <w:r>
              <w:rPr>
                <w:sz w:val="21"/>
              </w:rPr>
              <w:t>～</w:t>
            </w:r>
            <w:r>
              <w:rPr>
                <w:sz w:val="21"/>
              </w:rPr>
              <w:t xml:space="preserve">5 </w:t>
            </w:r>
          </w:p>
        </w:tc>
        <w:tc>
          <w:tcPr>
            <w:tcW w:w="988" w:type="dxa"/>
          </w:tcPr>
          <w:p w14:paraId="081AA1D6" w14:textId="77777777" w:rsidR="00A71EEF" w:rsidRDefault="00A71EEF">
            <w:pPr>
              <w:pStyle w:val="TableParagraph"/>
              <w:spacing w:before="11"/>
              <w:rPr>
                <w:b/>
                <w:sz w:val="14"/>
              </w:rPr>
            </w:pPr>
          </w:p>
          <w:p w14:paraId="00BF30EA" w14:textId="77777777" w:rsidR="00A71EEF" w:rsidRDefault="0081115D">
            <w:pPr>
              <w:pStyle w:val="TableParagraph"/>
              <w:ind w:left="340"/>
              <w:rPr>
                <w:sz w:val="21"/>
              </w:rPr>
            </w:pPr>
            <w:r>
              <w:rPr>
                <w:sz w:val="21"/>
              </w:rPr>
              <w:t xml:space="preserve">≤2 </w:t>
            </w:r>
          </w:p>
        </w:tc>
      </w:tr>
      <w:tr w:rsidR="00A71EEF" w14:paraId="63EF20E8" w14:textId="77777777">
        <w:trPr>
          <w:trHeight w:val="552"/>
        </w:trPr>
        <w:tc>
          <w:tcPr>
            <w:tcW w:w="1147" w:type="dxa"/>
            <w:vMerge/>
            <w:tcBorders>
              <w:top w:val="nil"/>
            </w:tcBorders>
          </w:tcPr>
          <w:p w14:paraId="1E21561A" w14:textId="77777777" w:rsidR="00A71EEF" w:rsidRDefault="00A71EEF">
            <w:pPr>
              <w:rPr>
                <w:sz w:val="2"/>
                <w:szCs w:val="2"/>
              </w:rPr>
            </w:pPr>
          </w:p>
        </w:tc>
        <w:tc>
          <w:tcPr>
            <w:tcW w:w="2033" w:type="dxa"/>
          </w:tcPr>
          <w:p w14:paraId="7FF0F351" w14:textId="77777777" w:rsidR="00A71EEF" w:rsidRDefault="00A71EEF">
            <w:pPr>
              <w:pStyle w:val="TableParagraph"/>
              <w:spacing w:before="11"/>
              <w:rPr>
                <w:b/>
                <w:sz w:val="14"/>
              </w:rPr>
            </w:pPr>
          </w:p>
          <w:p w14:paraId="59B35C64" w14:textId="77777777" w:rsidR="00A71EEF" w:rsidRDefault="0081115D">
            <w:pPr>
              <w:pStyle w:val="TableParagraph"/>
              <w:ind w:left="107"/>
              <w:rPr>
                <w:sz w:val="21"/>
              </w:rPr>
            </w:pPr>
            <w:r>
              <w:rPr>
                <w:spacing w:val="-5"/>
                <w:sz w:val="21"/>
              </w:rPr>
              <w:t>总建筑面积</w:t>
            </w:r>
            <w:r>
              <w:rPr>
                <w:spacing w:val="-106"/>
                <w:sz w:val="21"/>
              </w:rPr>
              <w:t>S</w:t>
            </w:r>
            <w:r>
              <w:rPr>
                <w:spacing w:val="4"/>
                <w:sz w:val="21"/>
              </w:rPr>
              <w:t xml:space="preserve"> </w:t>
            </w:r>
            <w:r>
              <w:rPr>
                <w:spacing w:val="-8"/>
                <w:sz w:val="21"/>
              </w:rPr>
              <w:t>（</w:t>
            </w:r>
            <w:r>
              <w:rPr>
                <w:sz w:val="21"/>
              </w:rPr>
              <w:t>㎡</w:t>
            </w:r>
            <w:r>
              <w:rPr>
                <w:spacing w:val="-3"/>
                <w:sz w:val="21"/>
              </w:rPr>
              <w:t>）</w:t>
            </w:r>
            <w:r>
              <w:rPr>
                <w:sz w:val="21"/>
              </w:rPr>
              <w:t xml:space="preserve"> </w:t>
            </w:r>
          </w:p>
        </w:tc>
        <w:tc>
          <w:tcPr>
            <w:tcW w:w="1267" w:type="dxa"/>
          </w:tcPr>
          <w:p w14:paraId="50EC4CCE" w14:textId="77777777" w:rsidR="00A71EEF" w:rsidRDefault="00A71EEF">
            <w:pPr>
              <w:pStyle w:val="TableParagraph"/>
              <w:spacing w:before="11"/>
              <w:rPr>
                <w:b/>
                <w:sz w:val="14"/>
              </w:rPr>
            </w:pPr>
          </w:p>
          <w:p w14:paraId="144B6AEF" w14:textId="77777777" w:rsidR="00A71EEF" w:rsidRDefault="0081115D">
            <w:pPr>
              <w:pStyle w:val="TableParagraph"/>
              <w:ind w:left="108"/>
              <w:rPr>
                <w:sz w:val="21"/>
              </w:rPr>
            </w:pPr>
            <w:r>
              <w:rPr>
                <w:sz w:val="21"/>
              </w:rPr>
              <w:t xml:space="preserve">S&gt;3000 </w:t>
            </w:r>
          </w:p>
        </w:tc>
        <w:tc>
          <w:tcPr>
            <w:tcW w:w="1742" w:type="dxa"/>
          </w:tcPr>
          <w:p w14:paraId="2C51FC1C" w14:textId="77777777" w:rsidR="00A71EEF" w:rsidRDefault="00A71EEF">
            <w:pPr>
              <w:pStyle w:val="TableParagraph"/>
              <w:spacing w:before="11"/>
              <w:rPr>
                <w:b/>
                <w:sz w:val="14"/>
              </w:rPr>
            </w:pPr>
          </w:p>
          <w:p w14:paraId="60419B3B" w14:textId="77777777" w:rsidR="00A71EEF" w:rsidRDefault="0081115D">
            <w:pPr>
              <w:pStyle w:val="TableParagraph"/>
              <w:ind w:left="108"/>
              <w:rPr>
                <w:sz w:val="21"/>
              </w:rPr>
            </w:pPr>
            <w:r>
              <w:rPr>
                <w:sz w:val="21"/>
              </w:rPr>
              <w:t>1000</w:t>
            </w:r>
            <w:r>
              <w:rPr>
                <w:sz w:val="21"/>
              </w:rPr>
              <w:t>＜</w:t>
            </w:r>
            <w:r>
              <w:rPr>
                <w:sz w:val="21"/>
              </w:rPr>
              <w:t xml:space="preserve">S ≤3000 </w:t>
            </w:r>
          </w:p>
        </w:tc>
        <w:tc>
          <w:tcPr>
            <w:tcW w:w="1440" w:type="dxa"/>
          </w:tcPr>
          <w:p w14:paraId="4FED1733" w14:textId="77777777" w:rsidR="00A71EEF" w:rsidRDefault="00A71EEF">
            <w:pPr>
              <w:pStyle w:val="TableParagraph"/>
              <w:spacing w:before="11"/>
              <w:rPr>
                <w:b/>
                <w:sz w:val="14"/>
              </w:rPr>
            </w:pPr>
          </w:p>
          <w:p w14:paraId="559FE787" w14:textId="77777777" w:rsidR="00A71EEF" w:rsidRDefault="0081115D">
            <w:pPr>
              <w:pStyle w:val="TableParagraph"/>
              <w:ind w:left="109"/>
              <w:rPr>
                <w:sz w:val="21"/>
              </w:rPr>
            </w:pPr>
            <w:r>
              <w:rPr>
                <w:sz w:val="21"/>
              </w:rPr>
              <w:t>500</w:t>
            </w:r>
            <w:r>
              <w:rPr>
                <w:sz w:val="21"/>
              </w:rPr>
              <w:t>＜</w:t>
            </w:r>
            <w:r>
              <w:rPr>
                <w:sz w:val="21"/>
              </w:rPr>
              <w:t>S ≤</w:t>
            </w:r>
          </w:p>
        </w:tc>
        <w:tc>
          <w:tcPr>
            <w:tcW w:w="988" w:type="dxa"/>
          </w:tcPr>
          <w:p w14:paraId="72820460" w14:textId="77777777" w:rsidR="00A71EEF" w:rsidRDefault="00A71EEF">
            <w:pPr>
              <w:pStyle w:val="TableParagraph"/>
              <w:spacing w:before="11"/>
              <w:rPr>
                <w:b/>
                <w:sz w:val="14"/>
              </w:rPr>
            </w:pPr>
          </w:p>
          <w:p w14:paraId="00EECB05" w14:textId="77777777" w:rsidR="00A71EEF" w:rsidRDefault="0081115D">
            <w:pPr>
              <w:pStyle w:val="TableParagraph"/>
              <w:ind w:left="109"/>
              <w:rPr>
                <w:sz w:val="21"/>
              </w:rPr>
            </w:pPr>
            <w:r>
              <w:rPr>
                <w:sz w:val="21"/>
              </w:rPr>
              <w:t xml:space="preserve">S≤500 </w:t>
            </w:r>
          </w:p>
        </w:tc>
      </w:tr>
      <w:tr w:rsidR="00A71EEF" w14:paraId="79471404" w14:textId="77777777">
        <w:trPr>
          <w:trHeight w:val="686"/>
        </w:trPr>
        <w:tc>
          <w:tcPr>
            <w:tcW w:w="1147" w:type="dxa"/>
          </w:tcPr>
          <w:p w14:paraId="67CE56EC" w14:textId="77777777" w:rsidR="00A71EEF" w:rsidRDefault="00A71EEF">
            <w:pPr>
              <w:pStyle w:val="TableParagraph"/>
              <w:spacing w:before="11"/>
              <w:rPr>
                <w:b/>
                <w:sz w:val="14"/>
              </w:rPr>
            </w:pPr>
          </w:p>
          <w:p w14:paraId="71E97D97" w14:textId="77777777" w:rsidR="00A71EEF" w:rsidRDefault="0081115D">
            <w:pPr>
              <w:pStyle w:val="TableParagraph"/>
              <w:ind w:left="107"/>
              <w:rPr>
                <w:sz w:val="21"/>
              </w:rPr>
            </w:pPr>
            <w:r>
              <w:rPr>
                <w:sz w:val="21"/>
              </w:rPr>
              <w:t>停车场</w:t>
            </w:r>
            <w:r>
              <w:rPr>
                <w:sz w:val="21"/>
              </w:rPr>
              <w:t xml:space="preserve"> </w:t>
            </w:r>
          </w:p>
        </w:tc>
        <w:tc>
          <w:tcPr>
            <w:tcW w:w="2033" w:type="dxa"/>
          </w:tcPr>
          <w:p w14:paraId="2583EC3D" w14:textId="77777777" w:rsidR="00A71EEF" w:rsidRDefault="00A71EEF">
            <w:pPr>
              <w:pStyle w:val="TableParagraph"/>
              <w:spacing w:before="11"/>
              <w:rPr>
                <w:b/>
                <w:sz w:val="14"/>
              </w:rPr>
            </w:pPr>
          </w:p>
          <w:p w14:paraId="510AA6AB" w14:textId="77777777" w:rsidR="00A71EEF" w:rsidRDefault="0081115D">
            <w:pPr>
              <w:pStyle w:val="TableParagraph"/>
              <w:ind w:left="107"/>
              <w:rPr>
                <w:sz w:val="21"/>
              </w:rPr>
            </w:pPr>
            <w:r>
              <w:rPr>
                <w:sz w:val="21"/>
              </w:rPr>
              <w:t>停车数量（辆）</w:t>
            </w:r>
            <w:r>
              <w:rPr>
                <w:sz w:val="21"/>
              </w:rPr>
              <w:t xml:space="preserve"> </w:t>
            </w:r>
          </w:p>
        </w:tc>
        <w:tc>
          <w:tcPr>
            <w:tcW w:w="1267" w:type="dxa"/>
          </w:tcPr>
          <w:p w14:paraId="20A8C50A" w14:textId="77777777" w:rsidR="00A71EEF" w:rsidRDefault="00A71EEF">
            <w:pPr>
              <w:pStyle w:val="TableParagraph"/>
              <w:spacing w:before="11"/>
              <w:rPr>
                <w:b/>
                <w:sz w:val="14"/>
              </w:rPr>
            </w:pPr>
          </w:p>
          <w:p w14:paraId="059BDF16" w14:textId="77777777" w:rsidR="00A71EEF" w:rsidRDefault="0081115D">
            <w:pPr>
              <w:pStyle w:val="TableParagraph"/>
              <w:ind w:left="108"/>
              <w:rPr>
                <w:sz w:val="21"/>
              </w:rPr>
            </w:pPr>
            <w:r>
              <w:rPr>
                <w:sz w:val="21"/>
              </w:rPr>
              <w:t xml:space="preserve">&gt;400 </w:t>
            </w:r>
          </w:p>
        </w:tc>
        <w:tc>
          <w:tcPr>
            <w:tcW w:w="1742" w:type="dxa"/>
          </w:tcPr>
          <w:p w14:paraId="47CA0949" w14:textId="77777777" w:rsidR="00A71EEF" w:rsidRDefault="00A71EEF">
            <w:pPr>
              <w:pStyle w:val="TableParagraph"/>
              <w:spacing w:before="11"/>
              <w:rPr>
                <w:b/>
                <w:sz w:val="14"/>
              </w:rPr>
            </w:pPr>
          </w:p>
          <w:p w14:paraId="2CD31B80" w14:textId="77777777" w:rsidR="00A71EEF" w:rsidRDefault="0081115D">
            <w:pPr>
              <w:pStyle w:val="TableParagraph"/>
              <w:ind w:left="108"/>
              <w:rPr>
                <w:sz w:val="21"/>
              </w:rPr>
            </w:pPr>
            <w:r>
              <w:rPr>
                <w:sz w:val="21"/>
              </w:rPr>
              <w:t>251</w:t>
            </w:r>
            <w:r>
              <w:rPr>
                <w:sz w:val="21"/>
              </w:rPr>
              <w:t>～</w:t>
            </w:r>
            <w:r>
              <w:rPr>
                <w:sz w:val="21"/>
              </w:rPr>
              <w:t xml:space="preserve">400 </w:t>
            </w:r>
          </w:p>
        </w:tc>
        <w:tc>
          <w:tcPr>
            <w:tcW w:w="1440" w:type="dxa"/>
          </w:tcPr>
          <w:p w14:paraId="39D2B925" w14:textId="77777777" w:rsidR="00A71EEF" w:rsidRDefault="00A71EEF">
            <w:pPr>
              <w:pStyle w:val="TableParagraph"/>
              <w:spacing w:before="11"/>
              <w:rPr>
                <w:b/>
                <w:sz w:val="14"/>
              </w:rPr>
            </w:pPr>
          </w:p>
          <w:p w14:paraId="64158A65" w14:textId="77777777" w:rsidR="00A71EEF" w:rsidRDefault="0081115D">
            <w:pPr>
              <w:pStyle w:val="TableParagraph"/>
              <w:ind w:left="109"/>
              <w:rPr>
                <w:sz w:val="21"/>
              </w:rPr>
            </w:pPr>
            <w:r>
              <w:rPr>
                <w:sz w:val="21"/>
              </w:rPr>
              <w:t>101</w:t>
            </w:r>
            <w:r>
              <w:rPr>
                <w:sz w:val="21"/>
              </w:rPr>
              <w:t>～</w:t>
            </w:r>
            <w:r>
              <w:rPr>
                <w:sz w:val="21"/>
              </w:rPr>
              <w:t xml:space="preserve">250 </w:t>
            </w:r>
          </w:p>
        </w:tc>
        <w:tc>
          <w:tcPr>
            <w:tcW w:w="988" w:type="dxa"/>
          </w:tcPr>
          <w:p w14:paraId="296B293F" w14:textId="77777777" w:rsidR="00A71EEF" w:rsidRDefault="00A71EEF">
            <w:pPr>
              <w:pStyle w:val="TableParagraph"/>
              <w:spacing w:before="11"/>
              <w:rPr>
                <w:b/>
                <w:sz w:val="14"/>
              </w:rPr>
            </w:pPr>
          </w:p>
          <w:p w14:paraId="0F1A2696" w14:textId="77777777" w:rsidR="00A71EEF" w:rsidRDefault="0081115D">
            <w:pPr>
              <w:pStyle w:val="TableParagraph"/>
              <w:ind w:left="109"/>
              <w:rPr>
                <w:sz w:val="21"/>
              </w:rPr>
            </w:pPr>
            <w:r>
              <w:rPr>
                <w:sz w:val="21"/>
              </w:rPr>
              <w:t xml:space="preserve">≤100 </w:t>
            </w:r>
          </w:p>
        </w:tc>
      </w:tr>
    </w:tbl>
    <w:p w14:paraId="36D7E141" w14:textId="77777777" w:rsidR="00A71EEF" w:rsidRDefault="00A71EEF">
      <w:pPr>
        <w:pStyle w:val="a3"/>
        <w:spacing w:before="11"/>
        <w:rPr>
          <w:b/>
          <w:sz w:val="14"/>
        </w:rPr>
      </w:pPr>
    </w:p>
    <w:p w14:paraId="12E94193" w14:textId="77777777" w:rsidR="00A71EEF" w:rsidRDefault="0081115D">
      <w:pPr>
        <w:pStyle w:val="a3"/>
        <w:spacing w:line="446" w:lineRule="auto"/>
        <w:ind w:left="418" w:right="1411" w:firstLine="419"/>
      </w:pPr>
      <w:r>
        <w:t>注：</w:t>
      </w:r>
      <w:r>
        <w:t>1.</w:t>
      </w:r>
      <w:r>
        <w:t>当屋面露天停车场与下部汽车库共用汽车坡道时，其停车数量应计算在汽车库的车辆总数内。</w:t>
      </w:r>
      <w:r>
        <w:t xml:space="preserve">  </w:t>
      </w:r>
    </w:p>
    <w:p w14:paraId="19855868" w14:textId="77777777" w:rsidR="00A71EEF" w:rsidRDefault="0081115D">
      <w:pPr>
        <w:pStyle w:val="a4"/>
        <w:numPr>
          <w:ilvl w:val="0"/>
          <w:numId w:val="217"/>
        </w:numPr>
        <w:tabs>
          <w:tab w:val="left" w:pos="1055"/>
        </w:tabs>
        <w:rPr>
          <w:sz w:val="21"/>
        </w:rPr>
      </w:pPr>
      <w:r>
        <w:rPr>
          <w:spacing w:val="-4"/>
          <w:sz w:val="21"/>
        </w:rPr>
        <w:t>室外坡道、屋面露天停车场的建筑面积可不计入汽车库的建筑面积之内。</w:t>
      </w:r>
      <w:r>
        <w:rPr>
          <w:spacing w:val="-3"/>
          <w:sz w:val="21"/>
        </w:rPr>
        <w:t xml:space="preserve"> </w:t>
      </w:r>
      <w:r>
        <w:rPr>
          <w:sz w:val="21"/>
        </w:rPr>
        <w:t xml:space="preserve"> </w:t>
      </w:r>
    </w:p>
    <w:p w14:paraId="2B9D4382" w14:textId="77777777" w:rsidR="00A71EEF" w:rsidRDefault="00A71EEF">
      <w:pPr>
        <w:pStyle w:val="a3"/>
        <w:spacing w:before="12"/>
        <w:rPr>
          <w:sz w:val="17"/>
        </w:rPr>
      </w:pPr>
    </w:p>
    <w:p w14:paraId="4B338EC5" w14:textId="77777777" w:rsidR="00A71EEF" w:rsidRDefault="0081115D">
      <w:pPr>
        <w:pStyle w:val="a4"/>
        <w:numPr>
          <w:ilvl w:val="0"/>
          <w:numId w:val="217"/>
        </w:numPr>
        <w:tabs>
          <w:tab w:val="left" w:pos="1071"/>
        </w:tabs>
        <w:spacing w:line="448" w:lineRule="auto"/>
        <w:ind w:left="418" w:right="4967" w:firstLine="424"/>
        <w:rPr>
          <w:sz w:val="21"/>
        </w:rPr>
      </w:pPr>
      <w:r>
        <w:rPr>
          <w:spacing w:val="12"/>
          <w:sz w:val="21"/>
        </w:rPr>
        <w:t>公交汽车库的建筑面积可按本表的规定值增加</w:t>
      </w:r>
      <w:r>
        <w:rPr>
          <w:spacing w:val="12"/>
          <w:sz w:val="21"/>
        </w:rPr>
        <w:t>2.0</w:t>
      </w:r>
      <w:r>
        <w:rPr>
          <w:spacing w:val="-33"/>
          <w:sz w:val="21"/>
        </w:rPr>
        <w:t xml:space="preserve"> </w:t>
      </w:r>
      <w:r>
        <w:rPr>
          <w:spacing w:val="-33"/>
          <w:sz w:val="21"/>
        </w:rPr>
        <w:t>倍。</w:t>
      </w:r>
      <w:r>
        <w:rPr>
          <w:spacing w:val="-3"/>
          <w:sz w:val="21"/>
        </w:rPr>
        <w:t xml:space="preserve"> </w:t>
      </w:r>
      <w:r>
        <w:rPr>
          <w:sz w:val="21"/>
        </w:rPr>
        <w:t xml:space="preserve"> </w:t>
      </w:r>
    </w:p>
    <w:p w14:paraId="13F8EC6B" w14:textId="77777777" w:rsidR="00A71EEF" w:rsidRDefault="0081115D">
      <w:pPr>
        <w:pStyle w:val="a4"/>
        <w:numPr>
          <w:ilvl w:val="1"/>
          <w:numId w:val="218"/>
        </w:numPr>
        <w:tabs>
          <w:tab w:val="left" w:pos="1159"/>
          <w:tab w:val="left" w:pos="3336"/>
        </w:tabs>
        <w:spacing w:line="446" w:lineRule="auto"/>
        <w:ind w:left="418" w:right="1591" w:firstLine="422"/>
        <w:rPr>
          <w:sz w:val="21"/>
        </w:rPr>
      </w:pPr>
      <w:r>
        <w:rPr>
          <w:spacing w:val="-3"/>
          <w:sz w:val="21"/>
        </w:rPr>
        <w:t>汽</w:t>
      </w:r>
      <w:r>
        <w:rPr>
          <w:sz w:val="21"/>
        </w:rPr>
        <w:t>车库</w:t>
      </w:r>
      <w:r>
        <w:rPr>
          <w:spacing w:val="-3"/>
          <w:sz w:val="21"/>
        </w:rPr>
        <w:t>、</w:t>
      </w:r>
      <w:r>
        <w:rPr>
          <w:sz w:val="21"/>
        </w:rPr>
        <w:t>修</w:t>
      </w:r>
      <w:r>
        <w:rPr>
          <w:spacing w:val="-3"/>
          <w:sz w:val="21"/>
        </w:rPr>
        <w:t>车</w:t>
      </w:r>
      <w:r>
        <w:rPr>
          <w:sz w:val="21"/>
        </w:rPr>
        <w:t>库</w:t>
      </w:r>
      <w:r>
        <w:rPr>
          <w:spacing w:val="-3"/>
          <w:sz w:val="21"/>
        </w:rPr>
        <w:t>的耐</w:t>
      </w:r>
      <w:r>
        <w:rPr>
          <w:sz w:val="21"/>
        </w:rPr>
        <w:t>火</w:t>
      </w:r>
      <w:r>
        <w:rPr>
          <w:spacing w:val="-3"/>
          <w:sz w:val="21"/>
        </w:rPr>
        <w:t>等</w:t>
      </w:r>
      <w:r>
        <w:rPr>
          <w:spacing w:val="4"/>
          <w:sz w:val="21"/>
        </w:rPr>
        <w:t>级</w:t>
      </w:r>
      <w:r>
        <w:rPr>
          <w:spacing w:val="-3"/>
          <w:sz w:val="21"/>
        </w:rPr>
        <w:t>应</w:t>
      </w:r>
      <w:r>
        <w:rPr>
          <w:sz w:val="21"/>
        </w:rPr>
        <w:t>分</w:t>
      </w:r>
      <w:r>
        <w:rPr>
          <w:spacing w:val="-3"/>
          <w:sz w:val="21"/>
        </w:rPr>
        <w:t>为</w:t>
      </w:r>
      <w:r>
        <w:rPr>
          <w:sz w:val="21"/>
        </w:rPr>
        <w:t>一</w:t>
      </w:r>
      <w:r>
        <w:rPr>
          <w:spacing w:val="-3"/>
          <w:sz w:val="21"/>
        </w:rPr>
        <w:t>级</w:t>
      </w:r>
      <w:r>
        <w:rPr>
          <w:sz w:val="21"/>
        </w:rPr>
        <w:t>、</w:t>
      </w:r>
      <w:r>
        <w:rPr>
          <w:spacing w:val="-3"/>
          <w:sz w:val="21"/>
        </w:rPr>
        <w:t>二级</w:t>
      </w:r>
      <w:r>
        <w:rPr>
          <w:sz w:val="21"/>
        </w:rPr>
        <w:t>和</w:t>
      </w:r>
      <w:r>
        <w:rPr>
          <w:spacing w:val="-3"/>
          <w:sz w:val="21"/>
        </w:rPr>
        <w:t>三</w:t>
      </w:r>
      <w:r>
        <w:rPr>
          <w:spacing w:val="4"/>
          <w:sz w:val="21"/>
        </w:rPr>
        <w:t>级</w:t>
      </w:r>
      <w:r>
        <w:rPr>
          <w:spacing w:val="-3"/>
          <w:sz w:val="21"/>
        </w:rPr>
        <w:t>，</w:t>
      </w:r>
      <w:r>
        <w:rPr>
          <w:sz w:val="21"/>
        </w:rPr>
        <w:t>其</w:t>
      </w:r>
      <w:r>
        <w:rPr>
          <w:spacing w:val="-3"/>
          <w:sz w:val="21"/>
        </w:rPr>
        <w:t>构</w:t>
      </w:r>
      <w:r>
        <w:rPr>
          <w:sz w:val="21"/>
        </w:rPr>
        <w:t>件</w:t>
      </w:r>
      <w:r>
        <w:rPr>
          <w:spacing w:val="-3"/>
          <w:sz w:val="21"/>
        </w:rPr>
        <w:t>的</w:t>
      </w:r>
      <w:r>
        <w:rPr>
          <w:sz w:val="21"/>
        </w:rPr>
        <w:t>燃</w:t>
      </w:r>
      <w:r>
        <w:rPr>
          <w:spacing w:val="-3"/>
          <w:sz w:val="21"/>
        </w:rPr>
        <w:t>烧性</w:t>
      </w:r>
      <w:r>
        <w:rPr>
          <w:sz w:val="21"/>
        </w:rPr>
        <w:t>能</w:t>
      </w:r>
      <w:r>
        <w:rPr>
          <w:spacing w:val="-3"/>
          <w:sz w:val="21"/>
        </w:rPr>
        <w:t>和</w:t>
      </w:r>
      <w:r>
        <w:rPr>
          <w:spacing w:val="4"/>
          <w:sz w:val="21"/>
        </w:rPr>
        <w:t>耐</w:t>
      </w:r>
      <w:r>
        <w:rPr>
          <w:spacing w:val="-3"/>
          <w:sz w:val="21"/>
        </w:rPr>
        <w:t>火</w:t>
      </w:r>
      <w:r>
        <w:rPr>
          <w:sz w:val="21"/>
        </w:rPr>
        <w:t>极限</w:t>
      </w:r>
      <w:r>
        <w:rPr>
          <w:spacing w:val="-1"/>
          <w:sz w:val="21"/>
        </w:rPr>
        <w:t>均不应</w:t>
      </w:r>
      <w:r>
        <w:rPr>
          <w:spacing w:val="-3"/>
          <w:sz w:val="21"/>
        </w:rPr>
        <w:t>低</w:t>
      </w:r>
      <w:r>
        <w:rPr>
          <w:spacing w:val="-8"/>
          <w:sz w:val="21"/>
        </w:rPr>
        <w:t>于</w:t>
      </w:r>
      <w:r>
        <w:rPr>
          <w:spacing w:val="-3"/>
          <w:sz w:val="21"/>
        </w:rPr>
        <w:t>表</w:t>
      </w:r>
      <w:r>
        <w:rPr>
          <w:spacing w:val="-1"/>
          <w:sz w:val="21"/>
        </w:rPr>
        <w:t>3.0.2</w:t>
      </w:r>
      <w:r>
        <w:rPr>
          <w:spacing w:val="-8"/>
          <w:sz w:val="21"/>
        </w:rPr>
        <w:t>的</w:t>
      </w:r>
      <w:r>
        <w:rPr>
          <w:sz w:val="21"/>
        </w:rPr>
        <w:t>规</w:t>
      </w:r>
      <w:r>
        <w:rPr>
          <w:spacing w:val="-8"/>
          <w:sz w:val="21"/>
        </w:rPr>
        <w:t>定</w:t>
      </w:r>
      <w:r>
        <w:rPr>
          <w:spacing w:val="-3"/>
          <w:sz w:val="21"/>
        </w:rPr>
        <w:t>。</w:t>
      </w:r>
      <w:r>
        <w:rPr>
          <w:sz w:val="21"/>
        </w:rPr>
        <w:t xml:space="preserve"> </w:t>
      </w:r>
      <w:r>
        <w:rPr>
          <w:sz w:val="21"/>
        </w:rPr>
        <w:tab/>
      </w:r>
      <w:r>
        <w:rPr>
          <w:sz w:val="21"/>
        </w:rPr>
        <w:t xml:space="preserve"> </w:t>
      </w:r>
    </w:p>
    <w:p w14:paraId="4F9277F9" w14:textId="77777777" w:rsidR="00A71EEF" w:rsidRDefault="0081115D">
      <w:pPr>
        <w:pStyle w:val="6"/>
        <w:spacing w:after="35"/>
        <w:ind w:left="2155"/>
      </w:pPr>
      <w:r>
        <w:t>表</w:t>
      </w:r>
      <w:r>
        <w:t xml:space="preserve">3.0.2 </w:t>
      </w:r>
      <w:r>
        <w:t>汽车库、修车库构件的燃烧性能和耐火极限（</w:t>
      </w:r>
      <w:r>
        <w:t>h</w:t>
      </w:r>
      <w:r>
        <w:t>）</w:t>
      </w:r>
      <w:r>
        <w:rPr>
          <w:w w:val="99"/>
        </w:rPr>
        <w:t xml:space="preserve"> </w:t>
      </w: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
        <w:gridCol w:w="2729"/>
        <w:gridCol w:w="1706"/>
        <w:gridCol w:w="1598"/>
        <w:gridCol w:w="1594"/>
      </w:tblGrid>
      <w:tr w:rsidR="00A71EEF" w14:paraId="0A4C02F7" w14:textId="77777777">
        <w:trPr>
          <w:trHeight w:val="633"/>
        </w:trPr>
        <w:tc>
          <w:tcPr>
            <w:tcW w:w="3547" w:type="dxa"/>
            <w:gridSpan w:val="2"/>
            <w:vMerge w:val="restart"/>
          </w:tcPr>
          <w:p w14:paraId="411160A7" w14:textId="77777777" w:rsidR="00A71EEF" w:rsidRDefault="00A71EEF">
            <w:pPr>
              <w:pStyle w:val="TableParagraph"/>
              <w:spacing w:before="11"/>
              <w:rPr>
                <w:b/>
                <w:sz w:val="14"/>
              </w:rPr>
            </w:pPr>
          </w:p>
          <w:p w14:paraId="52B5AE4C" w14:textId="77777777" w:rsidR="00A71EEF" w:rsidRDefault="0081115D">
            <w:pPr>
              <w:pStyle w:val="TableParagraph"/>
              <w:ind w:left="107"/>
              <w:rPr>
                <w:sz w:val="21"/>
              </w:rPr>
            </w:pPr>
            <w:r>
              <w:rPr>
                <w:sz w:val="21"/>
              </w:rPr>
              <w:t xml:space="preserve"> </w:t>
            </w:r>
          </w:p>
          <w:p w14:paraId="1EEC8C54" w14:textId="77777777" w:rsidR="00A71EEF" w:rsidRDefault="00A71EEF">
            <w:pPr>
              <w:pStyle w:val="TableParagraph"/>
              <w:spacing w:before="2"/>
              <w:rPr>
                <w:b/>
                <w:sz w:val="18"/>
              </w:rPr>
            </w:pPr>
          </w:p>
          <w:p w14:paraId="73D02983" w14:textId="77777777" w:rsidR="00A71EEF" w:rsidRDefault="0081115D">
            <w:pPr>
              <w:pStyle w:val="TableParagraph"/>
              <w:ind w:left="107"/>
              <w:rPr>
                <w:sz w:val="21"/>
              </w:rPr>
            </w:pPr>
            <w:r>
              <w:rPr>
                <w:sz w:val="21"/>
              </w:rPr>
              <w:t>建筑构件名称</w:t>
            </w:r>
            <w:r>
              <w:rPr>
                <w:sz w:val="21"/>
              </w:rPr>
              <w:t xml:space="preserve"> </w:t>
            </w:r>
          </w:p>
        </w:tc>
        <w:tc>
          <w:tcPr>
            <w:tcW w:w="4898" w:type="dxa"/>
            <w:gridSpan w:val="3"/>
          </w:tcPr>
          <w:p w14:paraId="13D56CDF" w14:textId="77777777" w:rsidR="00A71EEF" w:rsidRDefault="00A71EEF">
            <w:pPr>
              <w:pStyle w:val="TableParagraph"/>
              <w:spacing w:before="11"/>
              <w:rPr>
                <w:b/>
                <w:sz w:val="14"/>
              </w:rPr>
            </w:pPr>
          </w:p>
          <w:p w14:paraId="7DBE583C" w14:textId="77777777" w:rsidR="00A71EEF" w:rsidRDefault="0081115D">
            <w:pPr>
              <w:pStyle w:val="TableParagraph"/>
              <w:ind w:left="2061" w:right="1946"/>
              <w:jc w:val="center"/>
              <w:rPr>
                <w:sz w:val="21"/>
              </w:rPr>
            </w:pPr>
            <w:r>
              <w:rPr>
                <w:sz w:val="21"/>
              </w:rPr>
              <w:t>耐火等级</w:t>
            </w:r>
            <w:r>
              <w:rPr>
                <w:sz w:val="21"/>
              </w:rPr>
              <w:t xml:space="preserve"> </w:t>
            </w:r>
          </w:p>
        </w:tc>
      </w:tr>
      <w:tr w:rsidR="00A71EEF" w14:paraId="7C27C572" w14:textId="77777777">
        <w:trPr>
          <w:trHeight w:val="597"/>
        </w:trPr>
        <w:tc>
          <w:tcPr>
            <w:tcW w:w="3547" w:type="dxa"/>
            <w:gridSpan w:val="2"/>
            <w:vMerge/>
            <w:tcBorders>
              <w:top w:val="nil"/>
            </w:tcBorders>
          </w:tcPr>
          <w:p w14:paraId="211A794D" w14:textId="77777777" w:rsidR="00A71EEF" w:rsidRDefault="00A71EEF">
            <w:pPr>
              <w:rPr>
                <w:sz w:val="2"/>
                <w:szCs w:val="2"/>
              </w:rPr>
            </w:pPr>
          </w:p>
        </w:tc>
        <w:tc>
          <w:tcPr>
            <w:tcW w:w="1706" w:type="dxa"/>
          </w:tcPr>
          <w:p w14:paraId="0FAC41F6" w14:textId="77777777" w:rsidR="00A71EEF" w:rsidRDefault="00A71EEF">
            <w:pPr>
              <w:pStyle w:val="TableParagraph"/>
              <w:spacing w:before="11"/>
              <w:rPr>
                <w:b/>
                <w:sz w:val="14"/>
              </w:rPr>
            </w:pPr>
          </w:p>
          <w:p w14:paraId="5E6B3CAD" w14:textId="77777777" w:rsidR="00A71EEF" w:rsidRDefault="0081115D">
            <w:pPr>
              <w:pStyle w:val="TableParagraph"/>
              <w:ind w:left="336"/>
              <w:rPr>
                <w:sz w:val="21"/>
              </w:rPr>
            </w:pPr>
            <w:r>
              <w:rPr>
                <w:sz w:val="21"/>
              </w:rPr>
              <w:t>一级</w:t>
            </w:r>
            <w:r>
              <w:rPr>
                <w:sz w:val="21"/>
              </w:rPr>
              <w:t xml:space="preserve"> </w:t>
            </w:r>
          </w:p>
        </w:tc>
        <w:tc>
          <w:tcPr>
            <w:tcW w:w="1598" w:type="dxa"/>
          </w:tcPr>
          <w:p w14:paraId="5303AF89" w14:textId="77777777" w:rsidR="00A71EEF" w:rsidRDefault="00A71EEF">
            <w:pPr>
              <w:pStyle w:val="TableParagraph"/>
              <w:spacing w:before="11"/>
              <w:rPr>
                <w:b/>
                <w:sz w:val="14"/>
              </w:rPr>
            </w:pPr>
          </w:p>
          <w:p w14:paraId="4F71E9D1" w14:textId="77777777" w:rsidR="00A71EEF" w:rsidRDefault="0081115D">
            <w:pPr>
              <w:pStyle w:val="TableParagraph"/>
              <w:ind w:left="284"/>
              <w:rPr>
                <w:sz w:val="21"/>
              </w:rPr>
            </w:pPr>
            <w:r>
              <w:rPr>
                <w:sz w:val="21"/>
              </w:rPr>
              <w:t>二级</w:t>
            </w:r>
            <w:r>
              <w:rPr>
                <w:sz w:val="21"/>
              </w:rPr>
              <w:t xml:space="preserve"> </w:t>
            </w:r>
          </w:p>
        </w:tc>
        <w:tc>
          <w:tcPr>
            <w:tcW w:w="1594" w:type="dxa"/>
          </w:tcPr>
          <w:p w14:paraId="6023E8F7" w14:textId="77777777" w:rsidR="00A71EEF" w:rsidRDefault="00A71EEF">
            <w:pPr>
              <w:pStyle w:val="TableParagraph"/>
              <w:spacing w:before="11"/>
              <w:rPr>
                <w:b/>
                <w:sz w:val="14"/>
              </w:rPr>
            </w:pPr>
          </w:p>
          <w:p w14:paraId="5CAD371A" w14:textId="77777777" w:rsidR="00A71EEF" w:rsidRDefault="0081115D">
            <w:pPr>
              <w:pStyle w:val="TableParagraph"/>
              <w:ind w:left="587"/>
              <w:rPr>
                <w:sz w:val="21"/>
              </w:rPr>
            </w:pPr>
            <w:r>
              <w:rPr>
                <w:sz w:val="21"/>
              </w:rPr>
              <w:t>三级</w:t>
            </w:r>
            <w:r>
              <w:rPr>
                <w:sz w:val="21"/>
              </w:rPr>
              <w:t xml:space="preserve"> </w:t>
            </w:r>
          </w:p>
        </w:tc>
      </w:tr>
      <w:tr w:rsidR="00A71EEF" w14:paraId="05D7AA10" w14:textId="77777777">
        <w:trPr>
          <w:trHeight w:val="508"/>
        </w:trPr>
        <w:tc>
          <w:tcPr>
            <w:tcW w:w="818" w:type="dxa"/>
            <w:vMerge w:val="restart"/>
          </w:tcPr>
          <w:p w14:paraId="1CCEA0ED" w14:textId="77777777" w:rsidR="00A71EEF" w:rsidRDefault="00A71EEF">
            <w:pPr>
              <w:pStyle w:val="TableParagraph"/>
              <w:spacing w:before="11"/>
              <w:rPr>
                <w:b/>
                <w:sz w:val="14"/>
              </w:rPr>
            </w:pPr>
          </w:p>
          <w:p w14:paraId="3E0056F9" w14:textId="77777777" w:rsidR="00A71EEF" w:rsidRDefault="0081115D">
            <w:pPr>
              <w:pStyle w:val="TableParagraph"/>
              <w:ind w:left="107"/>
              <w:rPr>
                <w:sz w:val="21"/>
              </w:rPr>
            </w:pPr>
            <w:r>
              <w:rPr>
                <w:sz w:val="21"/>
              </w:rPr>
              <w:t xml:space="preserve"> </w:t>
            </w:r>
          </w:p>
          <w:p w14:paraId="2E15751C" w14:textId="77777777" w:rsidR="00A71EEF" w:rsidRDefault="00A71EEF">
            <w:pPr>
              <w:pStyle w:val="TableParagraph"/>
              <w:rPr>
                <w:b/>
                <w:sz w:val="18"/>
              </w:rPr>
            </w:pPr>
          </w:p>
          <w:p w14:paraId="083A872C" w14:textId="77777777" w:rsidR="00A71EEF" w:rsidRDefault="0081115D">
            <w:pPr>
              <w:pStyle w:val="TableParagraph"/>
              <w:ind w:left="107"/>
              <w:rPr>
                <w:sz w:val="21"/>
              </w:rPr>
            </w:pPr>
            <w:r>
              <w:rPr>
                <w:sz w:val="21"/>
              </w:rPr>
              <w:t>墙</w:t>
            </w:r>
            <w:r>
              <w:rPr>
                <w:sz w:val="21"/>
              </w:rPr>
              <w:t xml:space="preserve"> </w:t>
            </w:r>
          </w:p>
        </w:tc>
        <w:tc>
          <w:tcPr>
            <w:tcW w:w="2729" w:type="dxa"/>
          </w:tcPr>
          <w:p w14:paraId="486047D9" w14:textId="77777777" w:rsidR="00A71EEF" w:rsidRDefault="00A71EEF">
            <w:pPr>
              <w:pStyle w:val="TableParagraph"/>
              <w:spacing w:before="11"/>
              <w:rPr>
                <w:b/>
                <w:sz w:val="14"/>
              </w:rPr>
            </w:pPr>
          </w:p>
          <w:p w14:paraId="30B137C2" w14:textId="77777777" w:rsidR="00A71EEF" w:rsidRDefault="0081115D">
            <w:pPr>
              <w:pStyle w:val="TableParagraph"/>
              <w:ind w:left="484"/>
              <w:rPr>
                <w:sz w:val="21"/>
              </w:rPr>
            </w:pPr>
            <w:r>
              <w:rPr>
                <w:sz w:val="21"/>
              </w:rPr>
              <w:t>防火墙</w:t>
            </w:r>
            <w:r>
              <w:rPr>
                <w:sz w:val="21"/>
              </w:rPr>
              <w:t xml:space="preserve"> </w:t>
            </w:r>
          </w:p>
        </w:tc>
        <w:tc>
          <w:tcPr>
            <w:tcW w:w="1706" w:type="dxa"/>
          </w:tcPr>
          <w:p w14:paraId="19B4E4D8" w14:textId="77777777" w:rsidR="00A71EEF" w:rsidRDefault="00A71EEF">
            <w:pPr>
              <w:pStyle w:val="TableParagraph"/>
              <w:spacing w:before="11"/>
              <w:rPr>
                <w:b/>
                <w:sz w:val="14"/>
              </w:rPr>
            </w:pPr>
          </w:p>
          <w:p w14:paraId="4BBC045D" w14:textId="77777777" w:rsidR="00A71EEF" w:rsidRDefault="0081115D">
            <w:pPr>
              <w:pStyle w:val="TableParagraph"/>
              <w:ind w:left="108"/>
              <w:rPr>
                <w:sz w:val="21"/>
              </w:rPr>
            </w:pPr>
            <w:r>
              <w:rPr>
                <w:sz w:val="21"/>
              </w:rPr>
              <w:t>不燃性</w:t>
            </w:r>
            <w:r>
              <w:rPr>
                <w:sz w:val="21"/>
              </w:rPr>
              <w:t xml:space="preserve">3.00 </w:t>
            </w:r>
          </w:p>
        </w:tc>
        <w:tc>
          <w:tcPr>
            <w:tcW w:w="1598" w:type="dxa"/>
          </w:tcPr>
          <w:p w14:paraId="07005215" w14:textId="77777777" w:rsidR="00A71EEF" w:rsidRDefault="00A71EEF">
            <w:pPr>
              <w:pStyle w:val="TableParagraph"/>
              <w:spacing w:before="11"/>
              <w:rPr>
                <w:b/>
                <w:sz w:val="14"/>
              </w:rPr>
            </w:pPr>
          </w:p>
          <w:p w14:paraId="3259B17E" w14:textId="77777777" w:rsidR="00A71EEF" w:rsidRDefault="0081115D">
            <w:pPr>
              <w:pStyle w:val="TableParagraph"/>
              <w:ind w:left="111"/>
              <w:rPr>
                <w:sz w:val="21"/>
              </w:rPr>
            </w:pPr>
            <w:r>
              <w:rPr>
                <w:sz w:val="21"/>
              </w:rPr>
              <w:t>不燃性</w:t>
            </w:r>
            <w:r>
              <w:rPr>
                <w:sz w:val="21"/>
              </w:rPr>
              <w:t xml:space="preserve">3.00 </w:t>
            </w:r>
          </w:p>
        </w:tc>
        <w:tc>
          <w:tcPr>
            <w:tcW w:w="1594" w:type="dxa"/>
          </w:tcPr>
          <w:p w14:paraId="35FAFBA7" w14:textId="77777777" w:rsidR="00A71EEF" w:rsidRDefault="00A71EEF">
            <w:pPr>
              <w:pStyle w:val="TableParagraph"/>
              <w:spacing w:before="11"/>
              <w:rPr>
                <w:b/>
                <w:sz w:val="14"/>
              </w:rPr>
            </w:pPr>
          </w:p>
          <w:p w14:paraId="7894F714" w14:textId="77777777" w:rsidR="00A71EEF" w:rsidRDefault="0081115D">
            <w:pPr>
              <w:pStyle w:val="TableParagraph"/>
              <w:ind w:left="110"/>
              <w:rPr>
                <w:sz w:val="21"/>
              </w:rPr>
            </w:pPr>
            <w:r>
              <w:rPr>
                <w:sz w:val="21"/>
              </w:rPr>
              <w:t>不燃性</w:t>
            </w:r>
            <w:r>
              <w:rPr>
                <w:sz w:val="21"/>
              </w:rPr>
              <w:t xml:space="preserve">3.00 </w:t>
            </w:r>
          </w:p>
        </w:tc>
      </w:tr>
      <w:tr w:rsidR="00A71EEF" w14:paraId="050A2A1F" w14:textId="77777777">
        <w:trPr>
          <w:trHeight w:val="546"/>
        </w:trPr>
        <w:tc>
          <w:tcPr>
            <w:tcW w:w="818" w:type="dxa"/>
            <w:vMerge/>
            <w:tcBorders>
              <w:top w:val="nil"/>
            </w:tcBorders>
          </w:tcPr>
          <w:p w14:paraId="3DA3DB97" w14:textId="77777777" w:rsidR="00A71EEF" w:rsidRDefault="00A71EEF">
            <w:pPr>
              <w:rPr>
                <w:sz w:val="2"/>
                <w:szCs w:val="2"/>
              </w:rPr>
            </w:pPr>
          </w:p>
        </w:tc>
        <w:tc>
          <w:tcPr>
            <w:tcW w:w="2729" w:type="dxa"/>
          </w:tcPr>
          <w:p w14:paraId="522BF709" w14:textId="77777777" w:rsidR="00A71EEF" w:rsidRDefault="00A71EEF">
            <w:pPr>
              <w:pStyle w:val="TableParagraph"/>
              <w:spacing w:before="11"/>
              <w:rPr>
                <w:b/>
                <w:sz w:val="14"/>
              </w:rPr>
            </w:pPr>
          </w:p>
          <w:p w14:paraId="7BB10389" w14:textId="77777777" w:rsidR="00A71EEF" w:rsidRDefault="0081115D">
            <w:pPr>
              <w:pStyle w:val="TableParagraph"/>
              <w:ind w:left="484"/>
              <w:rPr>
                <w:sz w:val="21"/>
              </w:rPr>
            </w:pPr>
            <w:r>
              <w:rPr>
                <w:sz w:val="21"/>
              </w:rPr>
              <w:t>承重墙</w:t>
            </w:r>
            <w:r>
              <w:rPr>
                <w:sz w:val="21"/>
              </w:rPr>
              <w:t xml:space="preserve"> </w:t>
            </w:r>
          </w:p>
        </w:tc>
        <w:tc>
          <w:tcPr>
            <w:tcW w:w="1706" w:type="dxa"/>
          </w:tcPr>
          <w:p w14:paraId="50E194DB" w14:textId="77777777" w:rsidR="00A71EEF" w:rsidRDefault="00A71EEF">
            <w:pPr>
              <w:pStyle w:val="TableParagraph"/>
              <w:spacing w:before="11"/>
              <w:rPr>
                <w:b/>
                <w:sz w:val="14"/>
              </w:rPr>
            </w:pPr>
          </w:p>
          <w:p w14:paraId="79187996" w14:textId="77777777" w:rsidR="00A71EEF" w:rsidRDefault="0081115D">
            <w:pPr>
              <w:pStyle w:val="TableParagraph"/>
              <w:ind w:left="108"/>
              <w:rPr>
                <w:sz w:val="21"/>
              </w:rPr>
            </w:pPr>
            <w:r>
              <w:rPr>
                <w:sz w:val="21"/>
              </w:rPr>
              <w:t>不燃性</w:t>
            </w:r>
            <w:r>
              <w:rPr>
                <w:sz w:val="21"/>
              </w:rPr>
              <w:t xml:space="preserve">3.00 </w:t>
            </w:r>
          </w:p>
        </w:tc>
        <w:tc>
          <w:tcPr>
            <w:tcW w:w="1598" w:type="dxa"/>
          </w:tcPr>
          <w:p w14:paraId="3AFD5C24" w14:textId="77777777" w:rsidR="00A71EEF" w:rsidRDefault="00A71EEF">
            <w:pPr>
              <w:pStyle w:val="TableParagraph"/>
              <w:spacing w:before="11"/>
              <w:rPr>
                <w:b/>
                <w:sz w:val="14"/>
              </w:rPr>
            </w:pPr>
          </w:p>
          <w:p w14:paraId="24C4933E" w14:textId="77777777" w:rsidR="00A71EEF" w:rsidRDefault="0081115D">
            <w:pPr>
              <w:pStyle w:val="TableParagraph"/>
              <w:ind w:left="111"/>
              <w:rPr>
                <w:sz w:val="21"/>
              </w:rPr>
            </w:pPr>
            <w:r>
              <w:rPr>
                <w:sz w:val="21"/>
              </w:rPr>
              <w:t>不燃性</w:t>
            </w:r>
            <w:r>
              <w:rPr>
                <w:sz w:val="21"/>
              </w:rPr>
              <w:t xml:space="preserve">2.50 </w:t>
            </w:r>
          </w:p>
        </w:tc>
        <w:tc>
          <w:tcPr>
            <w:tcW w:w="1594" w:type="dxa"/>
          </w:tcPr>
          <w:p w14:paraId="245173E9" w14:textId="77777777" w:rsidR="00A71EEF" w:rsidRDefault="00A71EEF">
            <w:pPr>
              <w:pStyle w:val="TableParagraph"/>
              <w:spacing w:before="11"/>
              <w:rPr>
                <w:b/>
                <w:sz w:val="14"/>
              </w:rPr>
            </w:pPr>
          </w:p>
          <w:p w14:paraId="63D888EF" w14:textId="77777777" w:rsidR="00A71EEF" w:rsidRDefault="0081115D">
            <w:pPr>
              <w:pStyle w:val="TableParagraph"/>
              <w:ind w:left="110"/>
              <w:rPr>
                <w:sz w:val="21"/>
              </w:rPr>
            </w:pPr>
            <w:r>
              <w:rPr>
                <w:sz w:val="21"/>
              </w:rPr>
              <w:t>不燃性</w:t>
            </w:r>
            <w:r>
              <w:rPr>
                <w:sz w:val="21"/>
              </w:rPr>
              <w:t xml:space="preserve">2.00 </w:t>
            </w:r>
          </w:p>
        </w:tc>
      </w:tr>
    </w:tbl>
    <w:p w14:paraId="71FE8CF3" w14:textId="77777777" w:rsidR="00A71EEF" w:rsidRDefault="00A71EEF">
      <w:pPr>
        <w:rPr>
          <w:sz w:val="21"/>
        </w:rPr>
        <w:sectPr w:rsidR="00A71EEF">
          <w:pgSz w:w="11910" w:h="16850"/>
          <w:pgMar w:top="1200" w:right="0" w:bottom="1420" w:left="1260" w:header="0" w:footer="1239" w:gutter="0"/>
          <w:cols w:space="720"/>
        </w:sectPr>
      </w:pP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
        <w:gridCol w:w="2729"/>
        <w:gridCol w:w="1706"/>
        <w:gridCol w:w="1598"/>
        <w:gridCol w:w="1594"/>
      </w:tblGrid>
      <w:tr w:rsidR="00A71EEF" w14:paraId="1267FE79" w14:textId="77777777">
        <w:trPr>
          <w:trHeight w:val="551"/>
        </w:trPr>
        <w:tc>
          <w:tcPr>
            <w:tcW w:w="818" w:type="dxa"/>
            <w:vMerge w:val="restart"/>
          </w:tcPr>
          <w:p w14:paraId="4D722E21" w14:textId="77777777" w:rsidR="00A71EEF" w:rsidRDefault="00A71EEF">
            <w:pPr>
              <w:pStyle w:val="TableParagraph"/>
              <w:rPr>
                <w:rFonts w:ascii="Times New Roman"/>
                <w:sz w:val="20"/>
              </w:rPr>
            </w:pPr>
          </w:p>
        </w:tc>
        <w:tc>
          <w:tcPr>
            <w:tcW w:w="2729" w:type="dxa"/>
          </w:tcPr>
          <w:p w14:paraId="3060788A" w14:textId="77777777" w:rsidR="00A71EEF" w:rsidRDefault="00A71EEF">
            <w:pPr>
              <w:pStyle w:val="TableParagraph"/>
              <w:spacing w:before="8"/>
              <w:rPr>
                <w:b/>
                <w:sz w:val="14"/>
              </w:rPr>
            </w:pPr>
          </w:p>
          <w:p w14:paraId="7FFD03B8" w14:textId="77777777" w:rsidR="00A71EEF" w:rsidRDefault="0081115D">
            <w:pPr>
              <w:pStyle w:val="TableParagraph"/>
              <w:ind w:left="108"/>
              <w:rPr>
                <w:sz w:val="21"/>
              </w:rPr>
            </w:pPr>
            <w:r>
              <w:rPr>
                <w:sz w:val="21"/>
              </w:rPr>
              <w:t>楼梯间和前室的墙、防火隔</w:t>
            </w:r>
          </w:p>
        </w:tc>
        <w:tc>
          <w:tcPr>
            <w:tcW w:w="1706" w:type="dxa"/>
          </w:tcPr>
          <w:p w14:paraId="2884B5E3" w14:textId="77777777" w:rsidR="00A71EEF" w:rsidRDefault="00A71EEF">
            <w:pPr>
              <w:pStyle w:val="TableParagraph"/>
              <w:spacing w:before="8"/>
              <w:rPr>
                <w:b/>
                <w:sz w:val="14"/>
              </w:rPr>
            </w:pPr>
          </w:p>
          <w:p w14:paraId="06428BAD" w14:textId="77777777" w:rsidR="00A71EEF" w:rsidRDefault="0081115D">
            <w:pPr>
              <w:pStyle w:val="TableParagraph"/>
              <w:ind w:left="108"/>
              <w:rPr>
                <w:sz w:val="21"/>
              </w:rPr>
            </w:pPr>
            <w:r>
              <w:rPr>
                <w:sz w:val="21"/>
              </w:rPr>
              <w:t>不燃性</w:t>
            </w:r>
            <w:r>
              <w:rPr>
                <w:sz w:val="21"/>
              </w:rPr>
              <w:t xml:space="preserve">2.00 </w:t>
            </w:r>
          </w:p>
        </w:tc>
        <w:tc>
          <w:tcPr>
            <w:tcW w:w="1598" w:type="dxa"/>
          </w:tcPr>
          <w:p w14:paraId="41F526E4" w14:textId="77777777" w:rsidR="00A71EEF" w:rsidRDefault="00A71EEF">
            <w:pPr>
              <w:pStyle w:val="TableParagraph"/>
              <w:spacing w:before="8"/>
              <w:rPr>
                <w:b/>
                <w:sz w:val="14"/>
              </w:rPr>
            </w:pPr>
          </w:p>
          <w:p w14:paraId="74E1D7C2" w14:textId="77777777" w:rsidR="00A71EEF" w:rsidRDefault="0081115D">
            <w:pPr>
              <w:pStyle w:val="TableParagraph"/>
              <w:ind w:left="111"/>
              <w:rPr>
                <w:sz w:val="21"/>
              </w:rPr>
            </w:pPr>
            <w:r>
              <w:rPr>
                <w:spacing w:val="-4"/>
                <w:sz w:val="21"/>
              </w:rPr>
              <w:t>不燃性</w:t>
            </w:r>
            <w:r>
              <w:rPr>
                <w:spacing w:val="-106"/>
                <w:sz w:val="21"/>
              </w:rPr>
              <w:t>2</w:t>
            </w:r>
            <w:r>
              <w:rPr>
                <w:sz w:val="21"/>
              </w:rPr>
              <w:t xml:space="preserve"> .00 </w:t>
            </w:r>
          </w:p>
        </w:tc>
        <w:tc>
          <w:tcPr>
            <w:tcW w:w="1594" w:type="dxa"/>
          </w:tcPr>
          <w:p w14:paraId="171F3300" w14:textId="77777777" w:rsidR="00A71EEF" w:rsidRDefault="00A71EEF">
            <w:pPr>
              <w:pStyle w:val="TableParagraph"/>
              <w:spacing w:before="8"/>
              <w:rPr>
                <w:b/>
                <w:sz w:val="14"/>
              </w:rPr>
            </w:pPr>
          </w:p>
          <w:p w14:paraId="22F454DA" w14:textId="77777777" w:rsidR="00A71EEF" w:rsidRDefault="0081115D">
            <w:pPr>
              <w:pStyle w:val="TableParagraph"/>
              <w:ind w:left="110"/>
              <w:rPr>
                <w:sz w:val="21"/>
              </w:rPr>
            </w:pPr>
            <w:r>
              <w:rPr>
                <w:sz w:val="21"/>
              </w:rPr>
              <w:t>不燃性</w:t>
            </w:r>
            <w:r>
              <w:rPr>
                <w:sz w:val="21"/>
              </w:rPr>
              <w:t xml:space="preserve">2.00 </w:t>
            </w:r>
          </w:p>
        </w:tc>
      </w:tr>
      <w:tr w:rsidR="00A71EEF" w14:paraId="5EF284A9" w14:textId="77777777">
        <w:trPr>
          <w:trHeight w:val="563"/>
        </w:trPr>
        <w:tc>
          <w:tcPr>
            <w:tcW w:w="818" w:type="dxa"/>
            <w:vMerge/>
            <w:tcBorders>
              <w:top w:val="nil"/>
            </w:tcBorders>
          </w:tcPr>
          <w:p w14:paraId="3A9A222D" w14:textId="77777777" w:rsidR="00A71EEF" w:rsidRDefault="00A71EEF">
            <w:pPr>
              <w:rPr>
                <w:sz w:val="2"/>
                <w:szCs w:val="2"/>
              </w:rPr>
            </w:pPr>
          </w:p>
        </w:tc>
        <w:tc>
          <w:tcPr>
            <w:tcW w:w="2729" w:type="dxa"/>
          </w:tcPr>
          <w:p w14:paraId="461DF75B" w14:textId="77777777" w:rsidR="00A71EEF" w:rsidRDefault="00A71EEF">
            <w:pPr>
              <w:pStyle w:val="TableParagraph"/>
              <w:spacing w:before="10"/>
              <w:rPr>
                <w:b/>
                <w:sz w:val="14"/>
              </w:rPr>
            </w:pPr>
          </w:p>
          <w:p w14:paraId="06A74431" w14:textId="77777777" w:rsidR="00A71EEF" w:rsidRDefault="0081115D">
            <w:pPr>
              <w:pStyle w:val="TableParagraph"/>
              <w:ind w:left="108"/>
              <w:rPr>
                <w:sz w:val="21"/>
              </w:rPr>
            </w:pPr>
            <w:r>
              <w:rPr>
                <w:sz w:val="21"/>
              </w:rPr>
              <w:t>隔墙、非承重外墙</w:t>
            </w:r>
            <w:r>
              <w:rPr>
                <w:sz w:val="21"/>
              </w:rPr>
              <w:t xml:space="preserve"> </w:t>
            </w:r>
          </w:p>
        </w:tc>
        <w:tc>
          <w:tcPr>
            <w:tcW w:w="1706" w:type="dxa"/>
          </w:tcPr>
          <w:p w14:paraId="59EFAF04" w14:textId="77777777" w:rsidR="00A71EEF" w:rsidRDefault="00A71EEF">
            <w:pPr>
              <w:pStyle w:val="TableParagraph"/>
              <w:spacing w:before="10"/>
              <w:rPr>
                <w:b/>
                <w:sz w:val="14"/>
              </w:rPr>
            </w:pPr>
          </w:p>
          <w:p w14:paraId="5B1A1487" w14:textId="77777777" w:rsidR="00A71EEF" w:rsidRDefault="0081115D">
            <w:pPr>
              <w:pStyle w:val="TableParagraph"/>
              <w:ind w:left="108"/>
              <w:rPr>
                <w:sz w:val="21"/>
              </w:rPr>
            </w:pPr>
            <w:r>
              <w:rPr>
                <w:sz w:val="21"/>
              </w:rPr>
              <w:t>不燃性</w:t>
            </w:r>
            <w:r>
              <w:rPr>
                <w:sz w:val="21"/>
              </w:rPr>
              <w:t xml:space="preserve">1.00 </w:t>
            </w:r>
          </w:p>
        </w:tc>
        <w:tc>
          <w:tcPr>
            <w:tcW w:w="1598" w:type="dxa"/>
          </w:tcPr>
          <w:p w14:paraId="12926459" w14:textId="77777777" w:rsidR="00A71EEF" w:rsidRDefault="00A71EEF">
            <w:pPr>
              <w:pStyle w:val="TableParagraph"/>
              <w:spacing w:before="10"/>
              <w:rPr>
                <w:b/>
                <w:sz w:val="14"/>
              </w:rPr>
            </w:pPr>
          </w:p>
          <w:p w14:paraId="152073FD" w14:textId="77777777" w:rsidR="00A71EEF" w:rsidRDefault="0081115D">
            <w:pPr>
              <w:pStyle w:val="TableParagraph"/>
              <w:ind w:left="111"/>
              <w:rPr>
                <w:sz w:val="21"/>
              </w:rPr>
            </w:pPr>
            <w:r>
              <w:rPr>
                <w:sz w:val="21"/>
              </w:rPr>
              <w:t>不燃性</w:t>
            </w:r>
            <w:r>
              <w:rPr>
                <w:sz w:val="21"/>
              </w:rPr>
              <w:t xml:space="preserve">1.00 </w:t>
            </w:r>
          </w:p>
        </w:tc>
        <w:tc>
          <w:tcPr>
            <w:tcW w:w="1594" w:type="dxa"/>
          </w:tcPr>
          <w:p w14:paraId="190E7998" w14:textId="77777777" w:rsidR="00A71EEF" w:rsidRDefault="00A71EEF">
            <w:pPr>
              <w:pStyle w:val="TableParagraph"/>
              <w:spacing w:before="10"/>
              <w:rPr>
                <w:b/>
                <w:sz w:val="14"/>
              </w:rPr>
            </w:pPr>
          </w:p>
          <w:p w14:paraId="5B5B7709" w14:textId="77777777" w:rsidR="00A71EEF" w:rsidRDefault="0081115D">
            <w:pPr>
              <w:pStyle w:val="TableParagraph"/>
              <w:ind w:left="110"/>
              <w:rPr>
                <w:sz w:val="21"/>
              </w:rPr>
            </w:pPr>
            <w:r>
              <w:rPr>
                <w:sz w:val="21"/>
              </w:rPr>
              <w:t>不燃性</w:t>
            </w:r>
            <w:r>
              <w:rPr>
                <w:sz w:val="21"/>
              </w:rPr>
              <w:t xml:space="preserve">0.50 </w:t>
            </w:r>
          </w:p>
        </w:tc>
      </w:tr>
      <w:tr w:rsidR="00A71EEF" w14:paraId="34CE73A6" w14:textId="77777777">
        <w:trPr>
          <w:trHeight w:val="678"/>
        </w:trPr>
        <w:tc>
          <w:tcPr>
            <w:tcW w:w="3547" w:type="dxa"/>
            <w:gridSpan w:val="2"/>
          </w:tcPr>
          <w:p w14:paraId="18D832EB" w14:textId="77777777" w:rsidR="00A71EEF" w:rsidRDefault="00A71EEF">
            <w:pPr>
              <w:pStyle w:val="TableParagraph"/>
              <w:spacing w:before="8"/>
              <w:rPr>
                <w:b/>
                <w:sz w:val="14"/>
              </w:rPr>
            </w:pPr>
          </w:p>
          <w:p w14:paraId="39262DF3" w14:textId="77777777" w:rsidR="00A71EEF" w:rsidRDefault="0081115D">
            <w:pPr>
              <w:pStyle w:val="TableParagraph"/>
              <w:ind w:left="1491" w:right="1376"/>
              <w:jc w:val="center"/>
              <w:rPr>
                <w:sz w:val="21"/>
              </w:rPr>
            </w:pPr>
            <w:r>
              <w:rPr>
                <w:sz w:val="21"/>
              </w:rPr>
              <w:t>柱</w:t>
            </w:r>
            <w:r>
              <w:rPr>
                <w:sz w:val="21"/>
              </w:rPr>
              <w:t xml:space="preserve"> </w:t>
            </w:r>
          </w:p>
        </w:tc>
        <w:tc>
          <w:tcPr>
            <w:tcW w:w="1706" w:type="dxa"/>
          </w:tcPr>
          <w:p w14:paraId="08BD8F2F" w14:textId="77777777" w:rsidR="00A71EEF" w:rsidRDefault="00A71EEF">
            <w:pPr>
              <w:pStyle w:val="TableParagraph"/>
              <w:spacing w:before="8"/>
              <w:rPr>
                <w:b/>
                <w:sz w:val="14"/>
              </w:rPr>
            </w:pPr>
          </w:p>
          <w:p w14:paraId="6B2AB19F" w14:textId="77777777" w:rsidR="00A71EEF" w:rsidRDefault="0081115D">
            <w:pPr>
              <w:pStyle w:val="TableParagraph"/>
              <w:ind w:left="108"/>
              <w:rPr>
                <w:sz w:val="21"/>
              </w:rPr>
            </w:pPr>
            <w:r>
              <w:rPr>
                <w:sz w:val="21"/>
              </w:rPr>
              <w:t>不燃性</w:t>
            </w:r>
            <w:r>
              <w:rPr>
                <w:sz w:val="21"/>
              </w:rPr>
              <w:t xml:space="preserve">3.00 </w:t>
            </w:r>
          </w:p>
        </w:tc>
        <w:tc>
          <w:tcPr>
            <w:tcW w:w="1598" w:type="dxa"/>
          </w:tcPr>
          <w:p w14:paraId="5FED1FC3" w14:textId="77777777" w:rsidR="00A71EEF" w:rsidRDefault="00A71EEF">
            <w:pPr>
              <w:pStyle w:val="TableParagraph"/>
              <w:spacing w:before="8"/>
              <w:rPr>
                <w:b/>
                <w:sz w:val="14"/>
              </w:rPr>
            </w:pPr>
          </w:p>
          <w:p w14:paraId="26E8778C" w14:textId="77777777" w:rsidR="00A71EEF" w:rsidRDefault="0081115D">
            <w:pPr>
              <w:pStyle w:val="TableParagraph"/>
              <w:ind w:left="111"/>
              <w:rPr>
                <w:sz w:val="21"/>
              </w:rPr>
            </w:pPr>
            <w:r>
              <w:rPr>
                <w:sz w:val="21"/>
              </w:rPr>
              <w:t>不燃性</w:t>
            </w:r>
            <w:r>
              <w:rPr>
                <w:sz w:val="21"/>
              </w:rPr>
              <w:t xml:space="preserve">2.50 </w:t>
            </w:r>
          </w:p>
        </w:tc>
        <w:tc>
          <w:tcPr>
            <w:tcW w:w="1594" w:type="dxa"/>
          </w:tcPr>
          <w:p w14:paraId="3F3F0B6E" w14:textId="77777777" w:rsidR="00A71EEF" w:rsidRDefault="00A71EEF">
            <w:pPr>
              <w:pStyle w:val="TableParagraph"/>
              <w:spacing w:before="8"/>
              <w:rPr>
                <w:b/>
                <w:sz w:val="14"/>
              </w:rPr>
            </w:pPr>
          </w:p>
          <w:p w14:paraId="70A63F11" w14:textId="77777777" w:rsidR="00A71EEF" w:rsidRDefault="0081115D">
            <w:pPr>
              <w:pStyle w:val="TableParagraph"/>
              <w:ind w:left="110"/>
              <w:rPr>
                <w:sz w:val="21"/>
              </w:rPr>
            </w:pPr>
            <w:r>
              <w:rPr>
                <w:sz w:val="21"/>
              </w:rPr>
              <w:t>不燃性</w:t>
            </w:r>
            <w:r>
              <w:rPr>
                <w:sz w:val="21"/>
              </w:rPr>
              <w:t xml:space="preserve">2.00 </w:t>
            </w:r>
          </w:p>
        </w:tc>
      </w:tr>
      <w:tr w:rsidR="00A71EEF" w14:paraId="695DA6A6" w14:textId="77777777">
        <w:trPr>
          <w:trHeight w:val="563"/>
        </w:trPr>
        <w:tc>
          <w:tcPr>
            <w:tcW w:w="3547" w:type="dxa"/>
            <w:gridSpan w:val="2"/>
          </w:tcPr>
          <w:p w14:paraId="6F378689" w14:textId="77777777" w:rsidR="00A71EEF" w:rsidRDefault="00A71EEF">
            <w:pPr>
              <w:pStyle w:val="TableParagraph"/>
              <w:spacing w:before="8"/>
              <w:rPr>
                <w:b/>
                <w:sz w:val="14"/>
              </w:rPr>
            </w:pPr>
          </w:p>
          <w:p w14:paraId="403130CD" w14:textId="77777777" w:rsidR="00A71EEF" w:rsidRDefault="0081115D">
            <w:pPr>
              <w:pStyle w:val="TableParagraph"/>
              <w:ind w:left="1491" w:right="1376"/>
              <w:jc w:val="center"/>
              <w:rPr>
                <w:sz w:val="21"/>
              </w:rPr>
            </w:pPr>
            <w:r>
              <w:rPr>
                <w:sz w:val="21"/>
              </w:rPr>
              <w:t>梁</w:t>
            </w:r>
            <w:r>
              <w:rPr>
                <w:sz w:val="21"/>
              </w:rPr>
              <w:t xml:space="preserve"> </w:t>
            </w:r>
          </w:p>
        </w:tc>
        <w:tc>
          <w:tcPr>
            <w:tcW w:w="1706" w:type="dxa"/>
          </w:tcPr>
          <w:p w14:paraId="3A2A0C34" w14:textId="77777777" w:rsidR="00A71EEF" w:rsidRDefault="00A71EEF">
            <w:pPr>
              <w:pStyle w:val="TableParagraph"/>
              <w:spacing w:before="8"/>
              <w:rPr>
                <w:b/>
                <w:sz w:val="14"/>
              </w:rPr>
            </w:pPr>
          </w:p>
          <w:p w14:paraId="7A22F7A9" w14:textId="77777777" w:rsidR="00A71EEF" w:rsidRDefault="0081115D">
            <w:pPr>
              <w:pStyle w:val="TableParagraph"/>
              <w:ind w:left="108"/>
              <w:rPr>
                <w:sz w:val="21"/>
              </w:rPr>
            </w:pPr>
            <w:r>
              <w:rPr>
                <w:sz w:val="21"/>
              </w:rPr>
              <w:t>不燃性</w:t>
            </w:r>
            <w:r>
              <w:rPr>
                <w:sz w:val="21"/>
              </w:rPr>
              <w:t xml:space="preserve">2.00 </w:t>
            </w:r>
          </w:p>
        </w:tc>
        <w:tc>
          <w:tcPr>
            <w:tcW w:w="1598" w:type="dxa"/>
          </w:tcPr>
          <w:p w14:paraId="2A840741" w14:textId="77777777" w:rsidR="00A71EEF" w:rsidRDefault="00A71EEF">
            <w:pPr>
              <w:pStyle w:val="TableParagraph"/>
              <w:spacing w:before="8"/>
              <w:rPr>
                <w:b/>
                <w:sz w:val="14"/>
              </w:rPr>
            </w:pPr>
          </w:p>
          <w:p w14:paraId="26172201" w14:textId="77777777" w:rsidR="00A71EEF" w:rsidRDefault="0081115D">
            <w:pPr>
              <w:pStyle w:val="TableParagraph"/>
              <w:ind w:left="111"/>
              <w:rPr>
                <w:sz w:val="21"/>
              </w:rPr>
            </w:pPr>
            <w:r>
              <w:rPr>
                <w:spacing w:val="-4"/>
                <w:sz w:val="21"/>
              </w:rPr>
              <w:t>不燃性</w:t>
            </w:r>
            <w:r>
              <w:rPr>
                <w:spacing w:val="-106"/>
                <w:sz w:val="21"/>
              </w:rPr>
              <w:t>1</w:t>
            </w:r>
            <w:r>
              <w:rPr>
                <w:sz w:val="21"/>
              </w:rPr>
              <w:t xml:space="preserve"> .50 </w:t>
            </w:r>
          </w:p>
        </w:tc>
        <w:tc>
          <w:tcPr>
            <w:tcW w:w="1594" w:type="dxa"/>
          </w:tcPr>
          <w:p w14:paraId="60804E96" w14:textId="77777777" w:rsidR="00A71EEF" w:rsidRDefault="00A71EEF">
            <w:pPr>
              <w:pStyle w:val="TableParagraph"/>
              <w:spacing w:before="8"/>
              <w:rPr>
                <w:b/>
                <w:sz w:val="14"/>
              </w:rPr>
            </w:pPr>
          </w:p>
          <w:p w14:paraId="3553C29C" w14:textId="77777777" w:rsidR="00A71EEF" w:rsidRDefault="0081115D">
            <w:pPr>
              <w:pStyle w:val="TableParagraph"/>
              <w:ind w:left="110"/>
              <w:rPr>
                <w:sz w:val="21"/>
              </w:rPr>
            </w:pPr>
            <w:r>
              <w:rPr>
                <w:sz w:val="21"/>
              </w:rPr>
              <w:t>不燃性</w:t>
            </w:r>
            <w:r>
              <w:rPr>
                <w:sz w:val="21"/>
              </w:rPr>
              <w:t xml:space="preserve">1.00 </w:t>
            </w:r>
          </w:p>
        </w:tc>
      </w:tr>
      <w:tr w:rsidR="00A71EEF" w14:paraId="29177CB1" w14:textId="77777777">
        <w:trPr>
          <w:trHeight w:val="554"/>
        </w:trPr>
        <w:tc>
          <w:tcPr>
            <w:tcW w:w="3547" w:type="dxa"/>
            <w:gridSpan w:val="2"/>
          </w:tcPr>
          <w:p w14:paraId="48CF0F30" w14:textId="77777777" w:rsidR="00A71EEF" w:rsidRDefault="00A71EEF">
            <w:pPr>
              <w:pStyle w:val="TableParagraph"/>
              <w:spacing w:before="8"/>
              <w:rPr>
                <w:b/>
                <w:sz w:val="14"/>
              </w:rPr>
            </w:pPr>
          </w:p>
          <w:p w14:paraId="4A8678F5" w14:textId="77777777" w:rsidR="00A71EEF" w:rsidRDefault="0081115D">
            <w:pPr>
              <w:pStyle w:val="TableParagraph"/>
              <w:ind w:left="1491" w:right="1376"/>
              <w:jc w:val="center"/>
              <w:rPr>
                <w:sz w:val="21"/>
              </w:rPr>
            </w:pPr>
            <w:r>
              <w:rPr>
                <w:sz w:val="21"/>
              </w:rPr>
              <w:t>楼</w:t>
            </w:r>
            <w:r>
              <w:rPr>
                <w:sz w:val="21"/>
              </w:rPr>
              <w:t xml:space="preserve">  </w:t>
            </w:r>
            <w:r>
              <w:rPr>
                <w:sz w:val="21"/>
              </w:rPr>
              <w:t>板</w:t>
            </w:r>
            <w:r>
              <w:rPr>
                <w:sz w:val="21"/>
              </w:rPr>
              <w:t xml:space="preserve"> </w:t>
            </w:r>
          </w:p>
        </w:tc>
        <w:tc>
          <w:tcPr>
            <w:tcW w:w="1706" w:type="dxa"/>
          </w:tcPr>
          <w:p w14:paraId="23DB24A6" w14:textId="77777777" w:rsidR="00A71EEF" w:rsidRDefault="00A71EEF">
            <w:pPr>
              <w:pStyle w:val="TableParagraph"/>
              <w:spacing w:before="8"/>
              <w:rPr>
                <w:b/>
                <w:sz w:val="14"/>
              </w:rPr>
            </w:pPr>
          </w:p>
          <w:p w14:paraId="2919BF62" w14:textId="77777777" w:rsidR="00A71EEF" w:rsidRDefault="0081115D">
            <w:pPr>
              <w:pStyle w:val="TableParagraph"/>
              <w:ind w:left="108"/>
              <w:rPr>
                <w:sz w:val="21"/>
              </w:rPr>
            </w:pPr>
            <w:r>
              <w:rPr>
                <w:sz w:val="21"/>
              </w:rPr>
              <w:t>不燃性</w:t>
            </w:r>
            <w:r>
              <w:rPr>
                <w:sz w:val="21"/>
              </w:rPr>
              <w:t xml:space="preserve">1.50 </w:t>
            </w:r>
          </w:p>
        </w:tc>
        <w:tc>
          <w:tcPr>
            <w:tcW w:w="1598" w:type="dxa"/>
          </w:tcPr>
          <w:p w14:paraId="5BCFEC97" w14:textId="77777777" w:rsidR="00A71EEF" w:rsidRDefault="00A71EEF">
            <w:pPr>
              <w:pStyle w:val="TableParagraph"/>
              <w:spacing w:before="8"/>
              <w:rPr>
                <w:b/>
                <w:sz w:val="14"/>
              </w:rPr>
            </w:pPr>
          </w:p>
          <w:p w14:paraId="52B43C77" w14:textId="77777777" w:rsidR="00A71EEF" w:rsidRDefault="0081115D">
            <w:pPr>
              <w:pStyle w:val="TableParagraph"/>
              <w:ind w:left="111"/>
              <w:rPr>
                <w:sz w:val="21"/>
              </w:rPr>
            </w:pPr>
            <w:r>
              <w:rPr>
                <w:sz w:val="21"/>
              </w:rPr>
              <w:t>不燃性</w:t>
            </w:r>
            <w:r>
              <w:rPr>
                <w:sz w:val="21"/>
              </w:rPr>
              <w:t xml:space="preserve">1.00 </w:t>
            </w:r>
          </w:p>
        </w:tc>
        <w:tc>
          <w:tcPr>
            <w:tcW w:w="1594" w:type="dxa"/>
          </w:tcPr>
          <w:p w14:paraId="67807260" w14:textId="77777777" w:rsidR="00A71EEF" w:rsidRDefault="00A71EEF">
            <w:pPr>
              <w:pStyle w:val="TableParagraph"/>
              <w:spacing w:before="8"/>
              <w:rPr>
                <w:b/>
                <w:sz w:val="14"/>
              </w:rPr>
            </w:pPr>
          </w:p>
          <w:p w14:paraId="45B0C236" w14:textId="77777777" w:rsidR="00A71EEF" w:rsidRDefault="0081115D">
            <w:pPr>
              <w:pStyle w:val="TableParagraph"/>
              <w:ind w:left="110"/>
              <w:rPr>
                <w:sz w:val="21"/>
              </w:rPr>
            </w:pPr>
            <w:r>
              <w:rPr>
                <w:sz w:val="21"/>
              </w:rPr>
              <w:t>不燃性</w:t>
            </w:r>
            <w:r>
              <w:rPr>
                <w:sz w:val="21"/>
              </w:rPr>
              <w:t xml:space="preserve">0.50 </w:t>
            </w:r>
          </w:p>
        </w:tc>
      </w:tr>
      <w:tr w:rsidR="00A71EEF" w14:paraId="38095755" w14:textId="77777777">
        <w:trPr>
          <w:trHeight w:val="691"/>
        </w:trPr>
        <w:tc>
          <w:tcPr>
            <w:tcW w:w="3547" w:type="dxa"/>
            <w:gridSpan w:val="2"/>
          </w:tcPr>
          <w:p w14:paraId="05175B6F" w14:textId="77777777" w:rsidR="00A71EEF" w:rsidRDefault="00A71EEF">
            <w:pPr>
              <w:pStyle w:val="TableParagraph"/>
              <w:spacing w:before="8"/>
              <w:rPr>
                <w:b/>
                <w:sz w:val="14"/>
              </w:rPr>
            </w:pPr>
          </w:p>
          <w:p w14:paraId="6C1B6F96" w14:textId="77777777" w:rsidR="00A71EEF" w:rsidRDefault="0081115D">
            <w:pPr>
              <w:pStyle w:val="TableParagraph"/>
              <w:ind w:left="107"/>
              <w:rPr>
                <w:sz w:val="21"/>
              </w:rPr>
            </w:pPr>
            <w:r>
              <w:rPr>
                <w:sz w:val="21"/>
              </w:rPr>
              <w:t>疏散楼梯、坡道</w:t>
            </w:r>
            <w:r>
              <w:rPr>
                <w:sz w:val="21"/>
              </w:rPr>
              <w:t xml:space="preserve"> </w:t>
            </w:r>
          </w:p>
        </w:tc>
        <w:tc>
          <w:tcPr>
            <w:tcW w:w="1706" w:type="dxa"/>
          </w:tcPr>
          <w:p w14:paraId="7394CB85" w14:textId="77777777" w:rsidR="00A71EEF" w:rsidRDefault="00A71EEF">
            <w:pPr>
              <w:pStyle w:val="TableParagraph"/>
              <w:spacing w:before="8"/>
              <w:rPr>
                <w:b/>
                <w:sz w:val="14"/>
              </w:rPr>
            </w:pPr>
          </w:p>
          <w:p w14:paraId="2E509B3D" w14:textId="77777777" w:rsidR="00A71EEF" w:rsidRDefault="0081115D">
            <w:pPr>
              <w:pStyle w:val="TableParagraph"/>
              <w:ind w:left="108"/>
              <w:rPr>
                <w:sz w:val="21"/>
              </w:rPr>
            </w:pPr>
            <w:r>
              <w:rPr>
                <w:sz w:val="21"/>
              </w:rPr>
              <w:t>不燃性</w:t>
            </w:r>
            <w:r>
              <w:rPr>
                <w:sz w:val="21"/>
              </w:rPr>
              <w:t xml:space="preserve">1.50 </w:t>
            </w:r>
          </w:p>
        </w:tc>
        <w:tc>
          <w:tcPr>
            <w:tcW w:w="1598" w:type="dxa"/>
          </w:tcPr>
          <w:p w14:paraId="6560389E" w14:textId="77777777" w:rsidR="00A71EEF" w:rsidRDefault="00A71EEF">
            <w:pPr>
              <w:pStyle w:val="TableParagraph"/>
              <w:spacing w:before="8"/>
              <w:rPr>
                <w:b/>
                <w:sz w:val="14"/>
              </w:rPr>
            </w:pPr>
          </w:p>
          <w:p w14:paraId="3768EDD9" w14:textId="77777777" w:rsidR="00A71EEF" w:rsidRDefault="0081115D">
            <w:pPr>
              <w:pStyle w:val="TableParagraph"/>
              <w:ind w:left="111"/>
              <w:rPr>
                <w:sz w:val="21"/>
              </w:rPr>
            </w:pPr>
            <w:r>
              <w:rPr>
                <w:sz w:val="21"/>
              </w:rPr>
              <w:t>不燃性</w:t>
            </w:r>
            <w:r>
              <w:rPr>
                <w:sz w:val="21"/>
              </w:rPr>
              <w:t xml:space="preserve">1.00 </w:t>
            </w:r>
          </w:p>
        </w:tc>
        <w:tc>
          <w:tcPr>
            <w:tcW w:w="1594" w:type="dxa"/>
          </w:tcPr>
          <w:p w14:paraId="4F797F9D" w14:textId="77777777" w:rsidR="00A71EEF" w:rsidRDefault="00A71EEF">
            <w:pPr>
              <w:pStyle w:val="TableParagraph"/>
              <w:spacing w:before="8"/>
              <w:rPr>
                <w:b/>
                <w:sz w:val="14"/>
              </w:rPr>
            </w:pPr>
          </w:p>
          <w:p w14:paraId="03218574" w14:textId="77777777" w:rsidR="00A71EEF" w:rsidRDefault="0081115D">
            <w:pPr>
              <w:pStyle w:val="TableParagraph"/>
              <w:ind w:left="110"/>
              <w:rPr>
                <w:sz w:val="21"/>
              </w:rPr>
            </w:pPr>
            <w:r>
              <w:rPr>
                <w:sz w:val="21"/>
              </w:rPr>
              <w:t>不燃性</w:t>
            </w:r>
            <w:r>
              <w:rPr>
                <w:sz w:val="21"/>
              </w:rPr>
              <w:t xml:space="preserve">1.00 </w:t>
            </w:r>
          </w:p>
        </w:tc>
      </w:tr>
      <w:tr w:rsidR="00A71EEF" w14:paraId="1D92AE63" w14:textId="77777777">
        <w:trPr>
          <w:trHeight w:val="558"/>
        </w:trPr>
        <w:tc>
          <w:tcPr>
            <w:tcW w:w="3547" w:type="dxa"/>
            <w:gridSpan w:val="2"/>
          </w:tcPr>
          <w:p w14:paraId="59682774" w14:textId="77777777" w:rsidR="00A71EEF" w:rsidRDefault="00A71EEF">
            <w:pPr>
              <w:pStyle w:val="TableParagraph"/>
              <w:spacing w:before="8"/>
              <w:rPr>
                <w:b/>
                <w:sz w:val="14"/>
              </w:rPr>
            </w:pPr>
          </w:p>
          <w:p w14:paraId="0BBE7A3D" w14:textId="77777777" w:rsidR="00A71EEF" w:rsidRDefault="0081115D">
            <w:pPr>
              <w:pStyle w:val="TableParagraph"/>
              <w:ind w:left="107"/>
              <w:rPr>
                <w:sz w:val="21"/>
              </w:rPr>
            </w:pPr>
            <w:r>
              <w:rPr>
                <w:sz w:val="21"/>
              </w:rPr>
              <w:t>屋顶承重构件</w:t>
            </w:r>
            <w:r>
              <w:rPr>
                <w:sz w:val="21"/>
              </w:rPr>
              <w:t xml:space="preserve"> </w:t>
            </w:r>
          </w:p>
        </w:tc>
        <w:tc>
          <w:tcPr>
            <w:tcW w:w="1706" w:type="dxa"/>
          </w:tcPr>
          <w:p w14:paraId="25643B9F" w14:textId="77777777" w:rsidR="00A71EEF" w:rsidRDefault="00A71EEF">
            <w:pPr>
              <w:pStyle w:val="TableParagraph"/>
              <w:spacing w:before="8"/>
              <w:rPr>
                <w:b/>
                <w:sz w:val="14"/>
              </w:rPr>
            </w:pPr>
          </w:p>
          <w:p w14:paraId="115004DA" w14:textId="77777777" w:rsidR="00A71EEF" w:rsidRDefault="0081115D">
            <w:pPr>
              <w:pStyle w:val="TableParagraph"/>
              <w:ind w:left="108"/>
              <w:rPr>
                <w:sz w:val="21"/>
              </w:rPr>
            </w:pPr>
            <w:r>
              <w:rPr>
                <w:sz w:val="21"/>
              </w:rPr>
              <w:t>不燃性</w:t>
            </w:r>
            <w:r>
              <w:rPr>
                <w:sz w:val="21"/>
              </w:rPr>
              <w:t xml:space="preserve">1.50 </w:t>
            </w:r>
          </w:p>
        </w:tc>
        <w:tc>
          <w:tcPr>
            <w:tcW w:w="1598" w:type="dxa"/>
          </w:tcPr>
          <w:p w14:paraId="45D6DA9D" w14:textId="77777777" w:rsidR="00A71EEF" w:rsidRDefault="00A71EEF">
            <w:pPr>
              <w:pStyle w:val="TableParagraph"/>
              <w:spacing w:before="8"/>
              <w:rPr>
                <w:b/>
                <w:sz w:val="14"/>
              </w:rPr>
            </w:pPr>
          </w:p>
          <w:p w14:paraId="5E8D9472" w14:textId="77777777" w:rsidR="00A71EEF" w:rsidRDefault="0081115D">
            <w:pPr>
              <w:pStyle w:val="TableParagraph"/>
              <w:ind w:left="111"/>
              <w:rPr>
                <w:sz w:val="21"/>
              </w:rPr>
            </w:pPr>
            <w:r>
              <w:rPr>
                <w:spacing w:val="-4"/>
                <w:sz w:val="21"/>
              </w:rPr>
              <w:t>不燃性</w:t>
            </w:r>
            <w:r>
              <w:rPr>
                <w:spacing w:val="-106"/>
                <w:sz w:val="21"/>
              </w:rPr>
              <w:t>1</w:t>
            </w:r>
            <w:r>
              <w:rPr>
                <w:sz w:val="21"/>
              </w:rPr>
              <w:t xml:space="preserve"> .00 </w:t>
            </w:r>
          </w:p>
        </w:tc>
        <w:tc>
          <w:tcPr>
            <w:tcW w:w="1594" w:type="dxa"/>
          </w:tcPr>
          <w:p w14:paraId="7884CA54" w14:textId="77777777" w:rsidR="00A71EEF" w:rsidRDefault="00A71EEF">
            <w:pPr>
              <w:pStyle w:val="TableParagraph"/>
              <w:spacing w:before="8"/>
              <w:rPr>
                <w:b/>
                <w:sz w:val="14"/>
              </w:rPr>
            </w:pPr>
          </w:p>
          <w:p w14:paraId="1952EE75" w14:textId="77777777" w:rsidR="00A71EEF" w:rsidRDefault="0081115D">
            <w:pPr>
              <w:pStyle w:val="TableParagraph"/>
              <w:ind w:left="110"/>
              <w:rPr>
                <w:sz w:val="21"/>
              </w:rPr>
            </w:pPr>
            <w:r>
              <w:rPr>
                <w:sz w:val="21"/>
              </w:rPr>
              <w:t>可燃性</w:t>
            </w:r>
            <w:r>
              <w:rPr>
                <w:sz w:val="21"/>
              </w:rPr>
              <w:t xml:space="preserve">0.50 </w:t>
            </w:r>
          </w:p>
        </w:tc>
      </w:tr>
      <w:tr w:rsidR="00A71EEF" w14:paraId="043EED6B" w14:textId="77777777">
        <w:trPr>
          <w:trHeight w:val="553"/>
        </w:trPr>
        <w:tc>
          <w:tcPr>
            <w:tcW w:w="3547" w:type="dxa"/>
            <w:gridSpan w:val="2"/>
          </w:tcPr>
          <w:p w14:paraId="1F38C211" w14:textId="77777777" w:rsidR="00A71EEF" w:rsidRDefault="00A71EEF">
            <w:pPr>
              <w:pStyle w:val="TableParagraph"/>
              <w:spacing w:before="8"/>
              <w:rPr>
                <w:b/>
                <w:sz w:val="14"/>
              </w:rPr>
            </w:pPr>
          </w:p>
          <w:p w14:paraId="5F79BF32" w14:textId="77777777" w:rsidR="00A71EEF" w:rsidRDefault="0081115D">
            <w:pPr>
              <w:pStyle w:val="TableParagraph"/>
              <w:ind w:left="107"/>
              <w:rPr>
                <w:sz w:val="21"/>
              </w:rPr>
            </w:pPr>
            <w:r>
              <w:rPr>
                <w:sz w:val="21"/>
              </w:rPr>
              <w:t>吊顶（包括吊顶格栅）</w:t>
            </w:r>
            <w:r>
              <w:rPr>
                <w:sz w:val="21"/>
              </w:rPr>
              <w:t xml:space="preserve"> </w:t>
            </w:r>
          </w:p>
        </w:tc>
        <w:tc>
          <w:tcPr>
            <w:tcW w:w="1706" w:type="dxa"/>
          </w:tcPr>
          <w:p w14:paraId="5CA8C3C5" w14:textId="77777777" w:rsidR="00A71EEF" w:rsidRDefault="00A71EEF">
            <w:pPr>
              <w:pStyle w:val="TableParagraph"/>
              <w:spacing w:before="8"/>
              <w:rPr>
                <w:b/>
                <w:sz w:val="14"/>
              </w:rPr>
            </w:pPr>
          </w:p>
          <w:p w14:paraId="516B37E7" w14:textId="77777777" w:rsidR="00A71EEF" w:rsidRDefault="0081115D">
            <w:pPr>
              <w:pStyle w:val="TableParagraph"/>
              <w:ind w:left="108"/>
              <w:rPr>
                <w:sz w:val="21"/>
              </w:rPr>
            </w:pPr>
            <w:r>
              <w:rPr>
                <w:sz w:val="21"/>
              </w:rPr>
              <w:t>不燃性</w:t>
            </w:r>
            <w:r>
              <w:rPr>
                <w:sz w:val="21"/>
              </w:rPr>
              <w:t xml:space="preserve">0.25 </w:t>
            </w:r>
          </w:p>
        </w:tc>
        <w:tc>
          <w:tcPr>
            <w:tcW w:w="1598" w:type="dxa"/>
          </w:tcPr>
          <w:p w14:paraId="194C82DF" w14:textId="77777777" w:rsidR="00A71EEF" w:rsidRDefault="00A71EEF">
            <w:pPr>
              <w:pStyle w:val="TableParagraph"/>
              <w:spacing w:before="8"/>
              <w:rPr>
                <w:b/>
                <w:sz w:val="14"/>
              </w:rPr>
            </w:pPr>
          </w:p>
          <w:p w14:paraId="27455258" w14:textId="77777777" w:rsidR="00A71EEF" w:rsidRDefault="0081115D">
            <w:pPr>
              <w:pStyle w:val="TableParagraph"/>
              <w:ind w:left="111"/>
              <w:rPr>
                <w:sz w:val="21"/>
              </w:rPr>
            </w:pPr>
            <w:r>
              <w:rPr>
                <w:sz w:val="21"/>
              </w:rPr>
              <w:t>不燃性</w:t>
            </w:r>
            <w:r>
              <w:rPr>
                <w:sz w:val="21"/>
              </w:rPr>
              <w:t xml:space="preserve">0.25 </w:t>
            </w:r>
          </w:p>
        </w:tc>
        <w:tc>
          <w:tcPr>
            <w:tcW w:w="1594" w:type="dxa"/>
          </w:tcPr>
          <w:p w14:paraId="2974CFB0" w14:textId="77777777" w:rsidR="00A71EEF" w:rsidRDefault="00A71EEF">
            <w:pPr>
              <w:pStyle w:val="TableParagraph"/>
              <w:spacing w:before="8"/>
              <w:rPr>
                <w:b/>
                <w:sz w:val="14"/>
              </w:rPr>
            </w:pPr>
          </w:p>
          <w:p w14:paraId="015064FD" w14:textId="77777777" w:rsidR="00A71EEF" w:rsidRDefault="0081115D">
            <w:pPr>
              <w:pStyle w:val="TableParagraph"/>
              <w:ind w:left="110"/>
              <w:rPr>
                <w:sz w:val="21"/>
              </w:rPr>
            </w:pPr>
            <w:r>
              <w:rPr>
                <w:sz w:val="21"/>
              </w:rPr>
              <w:t>难燃性</w:t>
            </w:r>
            <w:r>
              <w:rPr>
                <w:sz w:val="21"/>
              </w:rPr>
              <w:t xml:space="preserve">0.15 </w:t>
            </w:r>
          </w:p>
        </w:tc>
      </w:tr>
    </w:tbl>
    <w:p w14:paraId="7D26DB7D" w14:textId="77777777" w:rsidR="00A71EEF" w:rsidRDefault="00A71EEF">
      <w:pPr>
        <w:pStyle w:val="a3"/>
        <w:rPr>
          <w:b/>
          <w:sz w:val="9"/>
        </w:rPr>
      </w:pPr>
    </w:p>
    <w:p w14:paraId="56BF49E5" w14:textId="77777777" w:rsidR="00A71EEF" w:rsidRDefault="0081115D">
      <w:pPr>
        <w:pStyle w:val="a3"/>
        <w:spacing w:before="72" w:line="436" w:lineRule="auto"/>
        <w:ind w:left="418" w:right="1436" w:firstLine="427"/>
      </w:pPr>
      <w:r>
        <w:rPr>
          <w:spacing w:val="-9"/>
        </w:rPr>
        <w:t>注：预制钢筋混凝土构件的节点缝隙或金属承重构件的外露部位应加设防火保护层，其耐火</w:t>
      </w:r>
      <w:r>
        <w:rPr>
          <w:spacing w:val="7"/>
        </w:rPr>
        <w:t>极限</w:t>
      </w:r>
      <w:r>
        <w:rPr>
          <w:spacing w:val="-2"/>
          <w:position w:val="1"/>
        </w:rPr>
        <w:t>不应低于表中相</w:t>
      </w:r>
      <w:r>
        <w:rPr>
          <w:spacing w:val="-2"/>
          <w:position w:val="1"/>
        </w:rPr>
        <w:t xml:space="preserve"> </w:t>
      </w:r>
      <w:r>
        <w:rPr>
          <w:spacing w:val="-3"/>
        </w:rPr>
        <w:t>应构件的规定。</w:t>
      </w:r>
      <w:r>
        <w:rPr>
          <w:spacing w:val="-3"/>
        </w:rPr>
        <w:t xml:space="preserve"> </w:t>
      </w:r>
    </w:p>
    <w:p w14:paraId="0382BDF9" w14:textId="77777777" w:rsidR="00A71EEF" w:rsidRDefault="0081115D">
      <w:pPr>
        <w:pStyle w:val="a4"/>
        <w:numPr>
          <w:ilvl w:val="1"/>
          <w:numId w:val="218"/>
        </w:numPr>
        <w:tabs>
          <w:tab w:val="left" w:pos="1159"/>
        </w:tabs>
        <w:spacing w:before="11"/>
        <w:ind w:hanging="319"/>
        <w:rPr>
          <w:b/>
          <w:sz w:val="21"/>
        </w:rPr>
      </w:pPr>
      <w:r>
        <w:rPr>
          <w:spacing w:val="-8"/>
          <w:sz w:val="21"/>
        </w:rPr>
        <w:t>汽车库和修车库的耐火等级应符合下列规定：</w:t>
      </w:r>
      <w:r>
        <w:rPr>
          <w:b/>
          <w:w w:val="99"/>
          <w:sz w:val="21"/>
        </w:rPr>
        <w:t xml:space="preserve"> </w:t>
      </w:r>
    </w:p>
    <w:p w14:paraId="49BE9C86" w14:textId="77777777" w:rsidR="00A71EEF" w:rsidRDefault="00A71EEF">
      <w:pPr>
        <w:pStyle w:val="a3"/>
        <w:rPr>
          <w:b/>
          <w:sz w:val="18"/>
        </w:rPr>
      </w:pPr>
    </w:p>
    <w:p w14:paraId="30879AD2" w14:textId="77777777" w:rsidR="00A71EEF" w:rsidRDefault="0081115D">
      <w:pPr>
        <w:pStyle w:val="a3"/>
        <w:ind w:left="838"/>
        <w:rPr>
          <w:b/>
        </w:rPr>
      </w:pPr>
      <w:r>
        <w:t>地下、半地下和高层汽车库应为一级。</w:t>
      </w:r>
      <w:r>
        <w:rPr>
          <w:b/>
          <w:w w:val="99"/>
        </w:rPr>
        <w:t xml:space="preserve"> </w:t>
      </w:r>
    </w:p>
    <w:p w14:paraId="5D4B3178" w14:textId="77777777" w:rsidR="00A71EEF" w:rsidRDefault="00A71EEF">
      <w:pPr>
        <w:pStyle w:val="a3"/>
        <w:rPr>
          <w:b/>
          <w:sz w:val="18"/>
        </w:rPr>
      </w:pPr>
    </w:p>
    <w:p w14:paraId="28B5B7DD" w14:textId="77777777" w:rsidR="00A71EEF" w:rsidRDefault="0081115D">
      <w:pPr>
        <w:pStyle w:val="a3"/>
        <w:spacing w:line="446" w:lineRule="auto"/>
        <w:ind w:left="838" w:right="2951"/>
        <w:rPr>
          <w:b/>
        </w:rPr>
      </w:pPr>
      <w:r>
        <w:rPr>
          <w:spacing w:val="-14"/>
        </w:rPr>
        <w:t>甲、乙类物品运输车的汽车库、修车库和</w:t>
      </w:r>
      <w:r>
        <w:rPr>
          <w:spacing w:val="-14"/>
        </w:rPr>
        <w:t>Ⅰ</w:t>
      </w:r>
      <w:r>
        <w:rPr>
          <w:spacing w:val="-14"/>
        </w:rPr>
        <w:t>类汽车库、修车库，应为一级；</w:t>
      </w:r>
      <w:r>
        <w:rPr>
          <w:spacing w:val="-14"/>
        </w:rPr>
        <w:t xml:space="preserve"> </w:t>
      </w:r>
      <w:r>
        <w:rPr>
          <w:spacing w:val="-8"/>
        </w:rPr>
        <w:t>Ⅱ</w:t>
      </w:r>
      <w:r>
        <w:rPr>
          <w:spacing w:val="-8"/>
        </w:rPr>
        <w:t>、</w:t>
      </w:r>
      <w:r>
        <w:rPr>
          <w:spacing w:val="-8"/>
        </w:rPr>
        <w:t>Ⅲ</w:t>
      </w:r>
      <w:r>
        <w:rPr>
          <w:spacing w:val="-8"/>
        </w:rPr>
        <w:t>类汽车库、修车库的耐火等级不应低于二级。</w:t>
      </w:r>
      <w:r>
        <w:rPr>
          <w:b/>
          <w:spacing w:val="-8"/>
          <w:w w:val="99"/>
        </w:rPr>
        <w:t xml:space="preserve"> </w:t>
      </w:r>
    </w:p>
    <w:p w14:paraId="5E5B6902" w14:textId="77777777" w:rsidR="00A71EEF" w:rsidRDefault="0081115D">
      <w:pPr>
        <w:pStyle w:val="a3"/>
        <w:ind w:left="830"/>
        <w:rPr>
          <w:b/>
        </w:rPr>
      </w:pPr>
      <w:r>
        <w:t xml:space="preserve"> </w:t>
      </w:r>
      <w:r>
        <w:t>Ⅳ</w:t>
      </w:r>
      <w:r>
        <w:t>类汽车库、修车库的耐火等级不应低于三级。</w:t>
      </w:r>
      <w:r>
        <w:t xml:space="preserve"> </w:t>
      </w:r>
      <w:r>
        <w:rPr>
          <w:b/>
          <w:w w:val="99"/>
        </w:rPr>
        <w:t xml:space="preserve"> </w:t>
      </w:r>
    </w:p>
    <w:p w14:paraId="73D855C1" w14:textId="77777777" w:rsidR="00A71EEF" w:rsidRDefault="00A71EEF">
      <w:pPr>
        <w:pStyle w:val="a3"/>
        <w:spacing w:before="7"/>
        <w:rPr>
          <w:b/>
          <w:sz w:val="15"/>
        </w:rPr>
      </w:pPr>
    </w:p>
    <w:p w14:paraId="4D5EB9C2" w14:textId="77777777" w:rsidR="00A71EEF" w:rsidRDefault="0081115D">
      <w:pPr>
        <w:pStyle w:val="4"/>
        <w:spacing w:before="1"/>
      </w:pPr>
      <w:r>
        <w:t xml:space="preserve">4 </w:t>
      </w:r>
      <w:r>
        <w:t>总平面布局和平面布置</w:t>
      </w:r>
      <w:r>
        <w:rPr>
          <w:w w:val="99"/>
        </w:rPr>
        <w:t xml:space="preserve"> </w:t>
      </w:r>
    </w:p>
    <w:p w14:paraId="46093000" w14:textId="77777777" w:rsidR="00A71EEF" w:rsidRDefault="00A71EEF">
      <w:pPr>
        <w:pStyle w:val="a3"/>
        <w:spacing w:before="6"/>
        <w:rPr>
          <w:b/>
          <w:sz w:val="17"/>
        </w:rPr>
      </w:pPr>
    </w:p>
    <w:p w14:paraId="698358BF" w14:textId="77777777" w:rsidR="00A71EEF" w:rsidRDefault="0081115D">
      <w:pPr>
        <w:pStyle w:val="a4"/>
        <w:numPr>
          <w:ilvl w:val="1"/>
          <w:numId w:val="216"/>
        </w:numPr>
        <w:tabs>
          <w:tab w:val="left" w:pos="1159"/>
        </w:tabs>
        <w:ind w:hanging="319"/>
        <w:rPr>
          <w:b/>
          <w:sz w:val="21"/>
        </w:rPr>
      </w:pPr>
      <w:r>
        <w:rPr>
          <w:spacing w:val="-3"/>
          <w:sz w:val="21"/>
        </w:rPr>
        <w:t>一般规定</w:t>
      </w:r>
      <w:r>
        <w:rPr>
          <w:b/>
          <w:w w:val="99"/>
          <w:sz w:val="21"/>
        </w:rPr>
        <w:t xml:space="preserve"> </w:t>
      </w:r>
    </w:p>
    <w:p w14:paraId="6EF0950A" w14:textId="77777777" w:rsidR="00A71EEF" w:rsidRDefault="00A71EEF">
      <w:pPr>
        <w:pStyle w:val="a3"/>
        <w:spacing w:before="12"/>
        <w:rPr>
          <w:b/>
          <w:sz w:val="17"/>
        </w:rPr>
      </w:pPr>
    </w:p>
    <w:p w14:paraId="1E9291ED" w14:textId="77777777" w:rsidR="00A71EEF" w:rsidRDefault="0081115D">
      <w:pPr>
        <w:pStyle w:val="a4"/>
        <w:numPr>
          <w:ilvl w:val="2"/>
          <w:numId w:val="216"/>
        </w:numPr>
        <w:tabs>
          <w:tab w:val="left" w:pos="1371"/>
        </w:tabs>
        <w:spacing w:line="446" w:lineRule="auto"/>
        <w:ind w:right="1604" w:firstLine="422"/>
        <w:rPr>
          <w:sz w:val="21"/>
        </w:rPr>
      </w:pPr>
      <w:r>
        <w:rPr>
          <w:spacing w:val="-3"/>
          <w:sz w:val="21"/>
        </w:rPr>
        <w:t>汽车库、修车库、停车场的选址和总平面设计，应根据城市规划要求，合理确定汽车库、修车库、停车场的位置、防火间距、消防车道和消防水源等。</w:t>
      </w:r>
      <w:r>
        <w:rPr>
          <w:sz w:val="21"/>
        </w:rPr>
        <w:t xml:space="preserve"> </w:t>
      </w:r>
    </w:p>
    <w:p w14:paraId="77F4FD26" w14:textId="77777777" w:rsidR="00A71EEF" w:rsidRDefault="0081115D">
      <w:pPr>
        <w:pStyle w:val="a4"/>
        <w:numPr>
          <w:ilvl w:val="2"/>
          <w:numId w:val="216"/>
        </w:numPr>
        <w:tabs>
          <w:tab w:val="left" w:pos="1370"/>
        </w:tabs>
        <w:spacing w:before="1" w:line="446" w:lineRule="auto"/>
        <w:ind w:right="1604" w:firstLine="422"/>
        <w:rPr>
          <w:sz w:val="21"/>
        </w:rPr>
      </w:pPr>
      <w:r>
        <w:rPr>
          <w:spacing w:val="-3"/>
          <w:sz w:val="21"/>
        </w:rPr>
        <w:t>汽车库、修车库、停车场不应布置在易燃、可燃液体或可燃气体的生产装置区和贮存区内。</w:t>
      </w:r>
      <w:r>
        <w:rPr>
          <w:sz w:val="21"/>
        </w:rPr>
        <w:t xml:space="preserve"> </w:t>
      </w:r>
    </w:p>
    <w:p w14:paraId="0CA082A9" w14:textId="77777777" w:rsidR="00A71EEF" w:rsidRDefault="0081115D">
      <w:pPr>
        <w:pStyle w:val="a4"/>
        <w:numPr>
          <w:ilvl w:val="2"/>
          <w:numId w:val="216"/>
        </w:numPr>
        <w:tabs>
          <w:tab w:val="left" w:pos="1370"/>
        </w:tabs>
        <w:spacing w:line="267" w:lineRule="exact"/>
        <w:ind w:left="1369" w:hanging="530"/>
        <w:rPr>
          <w:sz w:val="21"/>
        </w:rPr>
      </w:pPr>
      <w:r>
        <w:rPr>
          <w:spacing w:val="-3"/>
          <w:sz w:val="21"/>
        </w:rPr>
        <w:t>汽车库不应与火灾危险性为甲、乙类的厂房、仓库贴邻或组合建造。</w:t>
      </w:r>
      <w:r>
        <w:rPr>
          <w:spacing w:val="-3"/>
          <w:sz w:val="21"/>
        </w:rPr>
        <w:t xml:space="preserve">  </w:t>
      </w:r>
      <w:r>
        <w:rPr>
          <w:spacing w:val="-3"/>
          <w:sz w:val="21"/>
        </w:rPr>
        <w:t xml:space="preserve"> </w:t>
      </w:r>
    </w:p>
    <w:p w14:paraId="04C13795" w14:textId="77777777" w:rsidR="00A71EEF" w:rsidRDefault="00A71EEF">
      <w:pPr>
        <w:pStyle w:val="a3"/>
        <w:spacing w:before="1"/>
        <w:rPr>
          <w:sz w:val="18"/>
        </w:rPr>
      </w:pPr>
    </w:p>
    <w:p w14:paraId="037E0CB9" w14:textId="77777777" w:rsidR="00A71EEF" w:rsidRDefault="0081115D">
      <w:pPr>
        <w:pStyle w:val="a4"/>
        <w:numPr>
          <w:ilvl w:val="2"/>
          <w:numId w:val="216"/>
        </w:numPr>
        <w:tabs>
          <w:tab w:val="left" w:pos="1370"/>
        </w:tabs>
        <w:spacing w:before="1" w:line="446" w:lineRule="auto"/>
        <w:ind w:right="1604" w:firstLine="422"/>
        <w:jc w:val="both"/>
        <w:rPr>
          <w:sz w:val="21"/>
        </w:rPr>
      </w:pPr>
      <w:r>
        <w:rPr>
          <w:spacing w:val="-3"/>
          <w:sz w:val="21"/>
        </w:rPr>
        <w:t>汽车库不应与托儿所、幼儿园、老年人建筑，中小学校的教学楼，病房楼等组合建造。当符合下列要求时，汽车库可设置在托儿所、幼儿园、老年人建筑，中小学校的教学楼，</w:t>
      </w:r>
      <w:r>
        <w:rPr>
          <w:spacing w:val="-3"/>
          <w:sz w:val="21"/>
        </w:rPr>
        <w:t xml:space="preserve"> </w:t>
      </w:r>
      <w:r>
        <w:rPr>
          <w:spacing w:val="-3"/>
          <w:sz w:val="21"/>
        </w:rPr>
        <w:t>病房楼等的地下部分：</w:t>
      </w:r>
      <w:r>
        <w:rPr>
          <w:sz w:val="21"/>
        </w:rPr>
        <w:t xml:space="preserve"> </w:t>
      </w:r>
    </w:p>
    <w:p w14:paraId="15BAD486" w14:textId="77777777" w:rsidR="00A71EEF" w:rsidRDefault="0081115D">
      <w:pPr>
        <w:pStyle w:val="a3"/>
        <w:spacing w:line="268" w:lineRule="exact"/>
        <w:ind w:left="838"/>
      </w:pPr>
      <w:r>
        <w:t>汽车库与托儿所、幼儿园、老年人建筑，中小学</w:t>
      </w:r>
      <w:r>
        <w:t>校的教学楼，病房楼等建筑之间，应采用</w:t>
      </w:r>
    </w:p>
    <w:p w14:paraId="3B77DED0" w14:textId="77777777" w:rsidR="00A71EEF" w:rsidRDefault="00A71EEF">
      <w:pPr>
        <w:spacing w:line="268" w:lineRule="exact"/>
        <w:sectPr w:rsidR="00A71EEF">
          <w:pgSz w:w="11910" w:h="16850"/>
          <w:pgMar w:top="1080" w:right="0" w:bottom="1420" w:left="1260" w:header="0" w:footer="1239" w:gutter="0"/>
          <w:cols w:space="720"/>
        </w:sectPr>
      </w:pPr>
    </w:p>
    <w:p w14:paraId="00ABAC01" w14:textId="77777777" w:rsidR="00A71EEF" w:rsidRDefault="0081115D">
      <w:pPr>
        <w:pStyle w:val="a3"/>
        <w:spacing w:before="47"/>
        <w:ind w:left="418"/>
      </w:pPr>
      <w:r>
        <w:t>耐火极限不低于</w:t>
      </w:r>
      <w:r>
        <w:t xml:space="preserve"> 2.00h </w:t>
      </w:r>
      <w:r>
        <w:t>的楼板完全分隔；</w:t>
      </w:r>
      <w:r>
        <w:t xml:space="preserve"> </w:t>
      </w:r>
    </w:p>
    <w:p w14:paraId="54F25F0E" w14:textId="77777777" w:rsidR="00A71EEF" w:rsidRDefault="00A71EEF">
      <w:pPr>
        <w:pStyle w:val="a3"/>
        <w:rPr>
          <w:sz w:val="18"/>
        </w:rPr>
      </w:pPr>
    </w:p>
    <w:p w14:paraId="71357ADE" w14:textId="77777777" w:rsidR="00A71EEF" w:rsidRDefault="0081115D">
      <w:pPr>
        <w:pStyle w:val="a3"/>
        <w:spacing w:line="446" w:lineRule="auto"/>
        <w:ind w:left="418" w:right="1609" w:firstLine="419"/>
      </w:pPr>
      <w:r>
        <w:t>汽车库与托儿所、幼儿园、老年人建筑，中小学校的教学楼，病房楼等的安全出口和疏散楼梯应分别独立设置。</w:t>
      </w:r>
      <w:r>
        <w:t xml:space="preserve"> </w:t>
      </w:r>
    </w:p>
    <w:p w14:paraId="2BB799B3" w14:textId="77777777" w:rsidR="00A71EEF" w:rsidRDefault="0081115D">
      <w:pPr>
        <w:pStyle w:val="a4"/>
        <w:numPr>
          <w:ilvl w:val="2"/>
          <w:numId w:val="216"/>
        </w:numPr>
        <w:tabs>
          <w:tab w:val="left" w:pos="1371"/>
        </w:tabs>
        <w:spacing w:line="446" w:lineRule="auto"/>
        <w:ind w:right="1604" w:firstLine="422"/>
        <w:rPr>
          <w:sz w:val="21"/>
        </w:rPr>
      </w:pPr>
      <w:r>
        <w:rPr>
          <w:spacing w:val="-3"/>
          <w:sz w:val="21"/>
        </w:rPr>
        <w:t>甲、乙类物品运输车的汽车库、修车库应为单层建筑，且应独立建造。当停车数量</w:t>
      </w:r>
      <w:r>
        <w:rPr>
          <w:spacing w:val="-15"/>
          <w:sz w:val="21"/>
        </w:rPr>
        <w:t>不大于</w:t>
      </w:r>
      <w:r>
        <w:rPr>
          <w:spacing w:val="-15"/>
          <w:sz w:val="21"/>
        </w:rPr>
        <w:t xml:space="preserve"> </w:t>
      </w:r>
      <w:r>
        <w:rPr>
          <w:sz w:val="21"/>
        </w:rPr>
        <w:t>3</w:t>
      </w:r>
      <w:r>
        <w:rPr>
          <w:spacing w:val="-9"/>
          <w:sz w:val="21"/>
        </w:rPr>
        <w:t xml:space="preserve"> </w:t>
      </w:r>
      <w:r>
        <w:rPr>
          <w:spacing w:val="-9"/>
          <w:sz w:val="21"/>
        </w:rPr>
        <w:t>辆时，可与一、二级耐火等级的</w:t>
      </w:r>
      <w:r>
        <w:rPr>
          <w:spacing w:val="-9"/>
          <w:sz w:val="21"/>
        </w:rPr>
        <w:t>Ⅳ</w:t>
      </w:r>
      <w:r>
        <w:rPr>
          <w:spacing w:val="-9"/>
          <w:sz w:val="21"/>
        </w:rPr>
        <w:t>类汽车库贴邻，但应采用防火墙隔开。</w:t>
      </w:r>
      <w:r>
        <w:rPr>
          <w:spacing w:val="-9"/>
          <w:sz w:val="21"/>
        </w:rPr>
        <w:t xml:space="preserve"> </w:t>
      </w:r>
    </w:p>
    <w:p w14:paraId="3D903607" w14:textId="77777777" w:rsidR="00A71EEF" w:rsidRDefault="0081115D">
      <w:pPr>
        <w:pStyle w:val="a4"/>
        <w:numPr>
          <w:ilvl w:val="2"/>
          <w:numId w:val="216"/>
        </w:numPr>
        <w:tabs>
          <w:tab w:val="left" w:pos="1371"/>
        </w:tabs>
        <w:spacing w:line="446" w:lineRule="auto"/>
        <w:ind w:right="1604" w:firstLine="422"/>
        <w:jc w:val="both"/>
        <w:rPr>
          <w:sz w:val="21"/>
        </w:rPr>
      </w:pPr>
      <w:r>
        <w:rPr>
          <w:spacing w:val="-3"/>
          <w:sz w:val="21"/>
        </w:rPr>
        <w:t>Ⅰ</w:t>
      </w:r>
      <w:r>
        <w:rPr>
          <w:spacing w:val="-3"/>
          <w:sz w:val="21"/>
        </w:rPr>
        <w:t>类修车库应单独建造；</w:t>
      </w:r>
      <w:r>
        <w:rPr>
          <w:spacing w:val="-3"/>
          <w:sz w:val="21"/>
        </w:rPr>
        <w:t>Ⅱ</w:t>
      </w:r>
      <w:r>
        <w:rPr>
          <w:spacing w:val="-3"/>
          <w:sz w:val="21"/>
        </w:rPr>
        <w:t>、</w:t>
      </w:r>
      <w:r>
        <w:rPr>
          <w:spacing w:val="-3"/>
          <w:sz w:val="21"/>
        </w:rPr>
        <w:t>Ⅲ</w:t>
      </w:r>
      <w:r>
        <w:rPr>
          <w:spacing w:val="-3"/>
          <w:sz w:val="21"/>
        </w:rPr>
        <w:t>、</w:t>
      </w:r>
      <w:r>
        <w:rPr>
          <w:spacing w:val="-3"/>
          <w:sz w:val="21"/>
        </w:rPr>
        <w:t>Ⅳ</w:t>
      </w:r>
      <w:r>
        <w:rPr>
          <w:spacing w:val="-3"/>
          <w:sz w:val="21"/>
        </w:rPr>
        <w:t>类修车库可设置在一、二级耐火等级建筑的首层或与其贴邻，但不得与甲、乙类厂房、仓库、明火作业的车间或托儿所、幼儿园、中小学校的教学楼、老年人建筑、病房楼及人员密集场所组合建造或贴邻。</w:t>
      </w:r>
      <w:r>
        <w:rPr>
          <w:sz w:val="21"/>
        </w:rPr>
        <w:t xml:space="preserve"> </w:t>
      </w:r>
    </w:p>
    <w:p w14:paraId="607587C1" w14:textId="77777777" w:rsidR="00A71EEF" w:rsidRDefault="0081115D">
      <w:pPr>
        <w:pStyle w:val="a4"/>
        <w:numPr>
          <w:ilvl w:val="2"/>
          <w:numId w:val="216"/>
        </w:numPr>
        <w:tabs>
          <w:tab w:val="left" w:pos="1370"/>
        </w:tabs>
        <w:spacing w:line="446" w:lineRule="auto"/>
        <w:ind w:right="1604" w:firstLine="422"/>
        <w:rPr>
          <w:sz w:val="21"/>
        </w:rPr>
      </w:pPr>
      <w:r>
        <w:rPr>
          <w:spacing w:val="-3"/>
          <w:sz w:val="21"/>
        </w:rPr>
        <w:t>为汽车库、修车库服务的下列附属建筑，可与汽车库、修车库贴邻，但应采用防火墙隔开，并应设置直通室外的安全出口：</w:t>
      </w:r>
      <w:r>
        <w:rPr>
          <w:sz w:val="21"/>
        </w:rPr>
        <w:t xml:space="preserve"> </w:t>
      </w:r>
    </w:p>
    <w:p w14:paraId="17E5CF75" w14:textId="77777777" w:rsidR="00A71EEF" w:rsidRDefault="0081115D">
      <w:pPr>
        <w:pStyle w:val="a3"/>
        <w:ind w:left="838"/>
      </w:pPr>
      <w:r>
        <w:t>贮存量不超过</w:t>
      </w:r>
      <w:r>
        <w:t xml:space="preserve"> 1.0t </w:t>
      </w:r>
      <w:r>
        <w:t>的甲类物品库房；</w:t>
      </w:r>
      <w:r>
        <w:t xml:space="preserve"> </w:t>
      </w:r>
    </w:p>
    <w:p w14:paraId="665474E6" w14:textId="77777777" w:rsidR="00A71EEF" w:rsidRDefault="00A71EEF">
      <w:pPr>
        <w:pStyle w:val="a3"/>
        <w:spacing w:before="12"/>
        <w:rPr>
          <w:sz w:val="16"/>
        </w:rPr>
      </w:pPr>
    </w:p>
    <w:p w14:paraId="51157AA3" w14:textId="77777777" w:rsidR="00A71EEF" w:rsidRDefault="0081115D">
      <w:pPr>
        <w:pStyle w:val="a3"/>
        <w:spacing w:line="446" w:lineRule="auto"/>
        <w:ind w:left="838" w:right="1556"/>
      </w:pPr>
      <w:r>
        <w:rPr>
          <w:spacing w:val="-7"/>
        </w:rPr>
        <w:t>总安装容量不大于</w:t>
      </w:r>
      <w:r>
        <w:rPr>
          <w:spacing w:val="-7"/>
        </w:rPr>
        <w:t xml:space="preserve"> </w:t>
      </w:r>
      <w:r>
        <w:t>5.0m</w:t>
      </w:r>
      <w:r>
        <w:rPr>
          <w:position w:val="11"/>
          <w:sz w:val="11"/>
        </w:rPr>
        <w:t>3</w:t>
      </w:r>
      <w:r>
        <w:t>/h</w:t>
      </w:r>
      <w:r>
        <w:rPr>
          <w:spacing w:val="-10"/>
        </w:rPr>
        <w:t xml:space="preserve"> </w:t>
      </w:r>
      <w:r>
        <w:rPr>
          <w:spacing w:val="-10"/>
        </w:rPr>
        <w:t>的乙炔发生器间和贮存量不超过</w:t>
      </w:r>
      <w:r>
        <w:rPr>
          <w:spacing w:val="-10"/>
        </w:rPr>
        <w:t xml:space="preserve"> </w:t>
      </w:r>
      <w:r>
        <w:t>5</w:t>
      </w:r>
      <w:r>
        <w:rPr>
          <w:spacing w:val="-8"/>
        </w:rPr>
        <w:t xml:space="preserve"> </w:t>
      </w:r>
      <w:r>
        <w:rPr>
          <w:spacing w:val="-8"/>
        </w:rPr>
        <w:t>个标准钢瓶的乙炔气瓶库；</w:t>
      </w:r>
      <w:r>
        <w:rPr>
          <w:spacing w:val="-8"/>
        </w:rPr>
        <w:t xml:space="preserve"> </w:t>
      </w:r>
      <w:r>
        <w:t>1</w:t>
      </w:r>
      <w:r>
        <w:rPr>
          <w:spacing w:val="-12"/>
        </w:rPr>
        <w:t xml:space="preserve"> </w:t>
      </w:r>
      <w:r>
        <w:rPr>
          <w:spacing w:val="-12"/>
        </w:rPr>
        <w:t>个车位的非封闭喷漆间或不大于</w:t>
      </w:r>
      <w:r>
        <w:rPr>
          <w:spacing w:val="-12"/>
        </w:rPr>
        <w:t xml:space="preserve"> </w:t>
      </w:r>
      <w:r>
        <w:t>2</w:t>
      </w:r>
      <w:r>
        <w:rPr>
          <w:spacing w:val="-8"/>
        </w:rPr>
        <w:t xml:space="preserve"> </w:t>
      </w:r>
      <w:r>
        <w:rPr>
          <w:spacing w:val="-8"/>
        </w:rPr>
        <w:t>个车位的封闭喷漆间；</w:t>
      </w:r>
      <w:r>
        <w:t xml:space="preserve"> </w:t>
      </w:r>
    </w:p>
    <w:p w14:paraId="400EAC50" w14:textId="77777777" w:rsidR="00A71EEF" w:rsidRDefault="0081115D">
      <w:pPr>
        <w:pStyle w:val="a3"/>
        <w:spacing w:line="269" w:lineRule="exact"/>
        <w:ind w:left="838"/>
      </w:pPr>
      <w:r>
        <w:t>建筑面积不大于</w:t>
      </w:r>
      <w:r>
        <w:t xml:space="preserve"> 200m</w:t>
      </w:r>
      <w:r>
        <w:rPr>
          <w:position w:val="11"/>
          <w:sz w:val="11"/>
        </w:rPr>
        <w:t xml:space="preserve">2 </w:t>
      </w:r>
      <w:r>
        <w:t>的充电间和其他甲类生产场所。</w:t>
      </w:r>
      <w:r>
        <w:t xml:space="preserve"> </w:t>
      </w:r>
    </w:p>
    <w:p w14:paraId="0DF53E86" w14:textId="77777777" w:rsidR="00A71EEF" w:rsidRDefault="00A71EEF">
      <w:pPr>
        <w:pStyle w:val="a3"/>
        <w:spacing w:before="12"/>
        <w:rPr>
          <w:sz w:val="17"/>
        </w:rPr>
      </w:pPr>
    </w:p>
    <w:p w14:paraId="146C5CC5" w14:textId="77777777" w:rsidR="00A71EEF" w:rsidRDefault="0081115D">
      <w:pPr>
        <w:pStyle w:val="a4"/>
        <w:numPr>
          <w:ilvl w:val="2"/>
          <w:numId w:val="216"/>
        </w:numPr>
        <w:tabs>
          <w:tab w:val="left" w:pos="1370"/>
        </w:tabs>
        <w:spacing w:line="446" w:lineRule="auto"/>
        <w:ind w:right="1604" w:firstLine="422"/>
        <w:rPr>
          <w:sz w:val="21"/>
        </w:rPr>
      </w:pPr>
      <w:r>
        <w:rPr>
          <w:spacing w:val="-3"/>
          <w:sz w:val="21"/>
        </w:rPr>
        <w:t>地下、半地下汽车库内不应设置修理车位、喷漆间、充电间、乙炔间和甲、乙类物品库房。</w:t>
      </w:r>
      <w:r>
        <w:rPr>
          <w:sz w:val="21"/>
        </w:rPr>
        <w:t xml:space="preserve"> </w:t>
      </w:r>
    </w:p>
    <w:p w14:paraId="1C2FACFD" w14:textId="77777777" w:rsidR="00A71EEF" w:rsidRDefault="0081115D">
      <w:pPr>
        <w:pStyle w:val="a4"/>
        <w:numPr>
          <w:ilvl w:val="2"/>
          <w:numId w:val="216"/>
        </w:numPr>
        <w:tabs>
          <w:tab w:val="left" w:pos="1370"/>
        </w:tabs>
        <w:spacing w:line="446" w:lineRule="auto"/>
        <w:ind w:right="1604" w:firstLine="422"/>
        <w:rPr>
          <w:sz w:val="21"/>
        </w:rPr>
      </w:pPr>
      <w:r>
        <w:rPr>
          <w:spacing w:val="-3"/>
          <w:sz w:val="21"/>
        </w:rPr>
        <w:t>汽车库和修车库内不应设置汽油罐、加油机、液化石油气或液化天然气储罐、加气机。</w:t>
      </w:r>
      <w:r>
        <w:rPr>
          <w:sz w:val="21"/>
        </w:rPr>
        <w:t xml:space="preserve"> </w:t>
      </w:r>
    </w:p>
    <w:p w14:paraId="6C0C1AF5" w14:textId="77777777" w:rsidR="00A71EEF" w:rsidRDefault="0081115D">
      <w:pPr>
        <w:pStyle w:val="a4"/>
        <w:numPr>
          <w:ilvl w:val="2"/>
          <w:numId w:val="216"/>
        </w:numPr>
        <w:tabs>
          <w:tab w:val="left" w:pos="1478"/>
        </w:tabs>
        <w:ind w:left="1477" w:hanging="638"/>
        <w:rPr>
          <w:sz w:val="21"/>
        </w:rPr>
      </w:pPr>
      <w:r>
        <w:rPr>
          <w:spacing w:val="-3"/>
          <w:sz w:val="21"/>
        </w:rPr>
        <w:t>停放易燃液体、液化石油气罐车的汽车库内，不得设置地下室和地沟。</w:t>
      </w:r>
      <w:r>
        <w:rPr>
          <w:spacing w:val="-3"/>
          <w:sz w:val="21"/>
        </w:rPr>
        <w:t xml:space="preserve"> </w:t>
      </w:r>
    </w:p>
    <w:p w14:paraId="277319EC" w14:textId="77777777" w:rsidR="00A71EEF" w:rsidRDefault="00A71EEF">
      <w:pPr>
        <w:pStyle w:val="a3"/>
        <w:rPr>
          <w:sz w:val="18"/>
        </w:rPr>
      </w:pPr>
    </w:p>
    <w:p w14:paraId="05B64263" w14:textId="77777777" w:rsidR="00A71EEF" w:rsidRDefault="0081115D">
      <w:pPr>
        <w:pStyle w:val="a4"/>
        <w:numPr>
          <w:ilvl w:val="2"/>
          <w:numId w:val="216"/>
        </w:numPr>
        <w:tabs>
          <w:tab w:val="left" w:pos="1478"/>
        </w:tabs>
        <w:spacing w:line="446" w:lineRule="auto"/>
        <w:ind w:right="1608" w:firstLine="422"/>
        <w:rPr>
          <w:sz w:val="21"/>
        </w:rPr>
      </w:pPr>
      <w:r>
        <w:rPr>
          <w:spacing w:val="-3"/>
          <w:sz w:val="21"/>
        </w:rPr>
        <w:t>燃油或燃气锅炉、油浸变压器、充有可燃油的高压电容器和多油开关等，不应设置在汽车库、修车库内。当受条件限制必须贴邻汽车库、修车库布置时，应符合现行国家标准</w:t>
      </w:r>
    </w:p>
    <w:p w14:paraId="3C1D86AA" w14:textId="77777777" w:rsidR="00A71EEF" w:rsidRDefault="0081115D">
      <w:pPr>
        <w:pStyle w:val="a3"/>
        <w:ind w:left="418"/>
      </w:pPr>
      <w:r>
        <w:t>《建筑设计防火规范》</w:t>
      </w:r>
      <w:r>
        <w:t xml:space="preserve">GB 50016 </w:t>
      </w:r>
      <w:r>
        <w:t>的有关规定。</w:t>
      </w:r>
      <w:r>
        <w:t xml:space="preserve"> </w:t>
      </w:r>
    </w:p>
    <w:p w14:paraId="53C3F229" w14:textId="77777777" w:rsidR="00A71EEF" w:rsidRDefault="00A71EEF">
      <w:pPr>
        <w:pStyle w:val="a3"/>
        <w:spacing w:before="12"/>
        <w:rPr>
          <w:sz w:val="17"/>
        </w:rPr>
      </w:pPr>
    </w:p>
    <w:p w14:paraId="1F2DF6E6" w14:textId="77777777" w:rsidR="00A71EEF" w:rsidRDefault="0081115D">
      <w:pPr>
        <w:pStyle w:val="a4"/>
        <w:numPr>
          <w:ilvl w:val="2"/>
          <w:numId w:val="216"/>
        </w:numPr>
        <w:tabs>
          <w:tab w:val="left" w:pos="1478"/>
        </w:tabs>
        <w:ind w:left="1477" w:hanging="638"/>
        <w:rPr>
          <w:sz w:val="21"/>
        </w:rPr>
      </w:pPr>
      <w:r>
        <w:rPr>
          <w:spacing w:val="-3"/>
          <w:sz w:val="21"/>
        </w:rPr>
        <w:t>Ⅰ</w:t>
      </w:r>
      <w:r>
        <w:rPr>
          <w:spacing w:val="-3"/>
          <w:sz w:val="21"/>
        </w:rPr>
        <w:t>、</w:t>
      </w:r>
      <w:r>
        <w:rPr>
          <w:spacing w:val="-3"/>
          <w:sz w:val="21"/>
        </w:rPr>
        <w:t>Ⅱ</w:t>
      </w:r>
      <w:r>
        <w:rPr>
          <w:spacing w:val="-3"/>
          <w:sz w:val="21"/>
        </w:rPr>
        <w:t>类汽车库、停车场宜设置耐火等级不低于二级的灭火器材间。</w:t>
      </w:r>
      <w:r>
        <w:rPr>
          <w:spacing w:val="-3"/>
          <w:sz w:val="21"/>
        </w:rPr>
        <w:t xml:space="preserve"> </w:t>
      </w:r>
    </w:p>
    <w:p w14:paraId="41658D87" w14:textId="77777777" w:rsidR="00A71EEF" w:rsidRDefault="00A71EEF">
      <w:pPr>
        <w:pStyle w:val="a3"/>
        <w:rPr>
          <w:sz w:val="18"/>
        </w:rPr>
      </w:pPr>
    </w:p>
    <w:p w14:paraId="6FF341D1" w14:textId="77777777" w:rsidR="00A71EEF" w:rsidRDefault="0081115D">
      <w:pPr>
        <w:pStyle w:val="a4"/>
        <w:numPr>
          <w:ilvl w:val="1"/>
          <w:numId w:val="216"/>
        </w:numPr>
        <w:tabs>
          <w:tab w:val="left" w:pos="1160"/>
        </w:tabs>
        <w:ind w:left="1159" w:hanging="320"/>
        <w:rPr>
          <w:sz w:val="21"/>
        </w:rPr>
      </w:pPr>
      <w:r>
        <w:rPr>
          <w:spacing w:val="-3"/>
          <w:sz w:val="21"/>
        </w:rPr>
        <w:t>防火间距</w:t>
      </w:r>
      <w:r>
        <w:rPr>
          <w:sz w:val="21"/>
        </w:rPr>
        <w:t xml:space="preserve"> </w:t>
      </w:r>
    </w:p>
    <w:p w14:paraId="6230DD98" w14:textId="77777777" w:rsidR="00A71EEF" w:rsidRDefault="00A71EEF">
      <w:pPr>
        <w:pStyle w:val="a3"/>
        <w:spacing w:before="2"/>
        <w:rPr>
          <w:sz w:val="18"/>
        </w:rPr>
      </w:pPr>
    </w:p>
    <w:p w14:paraId="07B1F500" w14:textId="77777777" w:rsidR="00A71EEF" w:rsidRDefault="0081115D">
      <w:pPr>
        <w:pStyle w:val="a4"/>
        <w:numPr>
          <w:ilvl w:val="2"/>
          <w:numId w:val="216"/>
        </w:numPr>
        <w:tabs>
          <w:tab w:val="left" w:pos="1371"/>
        </w:tabs>
        <w:spacing w:line="446" w:lineRule="auto"/>
        <w:ind w:right="1609" w:firstLine="422"/>
        <w:rPr>
          <w:sz w:val="21"/>
        </w:rPr>
      </w:pPr>
      <w:r>
        <w:rPr>
          <w:spacing w:val="-3"/>
          <w:sz w:val="21"/>
        </w:rPr>
        <w:t>除本规范另有规定外，汽车库、修车库、停车场之间及汽车库、修车库、停车场与</w:t>
      </w:r>
      <w:r>
        <w:rPr>
          <w:spacing w:val="-5"/>
          <w:sz w:val="21"/>
        </w:rPr>
        <w:t>除甲类物品仓库外的其他建筑物的防火间距，不应小于表</w:t>
      </w:r>
      <w:r>
        <w:rPr>
          <w:spacing w:val="-5"/>
          <w:sz w:val="21"/>
        </w:rPr>
        <w:t xml:space="preserve"> </w:t>
      </w:r>
      <w:r>
        <w:rPr>
          <w:sz w:val="21"/>
        </w:rPr>
        <w:t>4.2.1</w:t>
      </w:r>
      <w:r>
        <w:rPr>
          <w:spacing w:val="-7"/>
          <w:sz w:val="21"/>
        </w:rPr>
        <w:t xml:space="preserve"> </w:t>
      </w:r>
      <w:r>
        <w:rPr>
          <w:spacing w:val="-7"/>
          <w:sz w:val="21"/>
        </w:rPr>
        <w:t>的规定。其中，高层汽车库与</w:t>
      </w:r>
      <w:r>
        <w:rPr>
          <w:spacing w:val="-6"/>
          <w:sz w:val="21"/>
        </w:rPr>
        <w:t>其他建筑物，汽车库、修车库与高层建筑的防火间距应按表</w:t>
      </w:r>
      <w:r>
        <w:rPr>
          <w:spacing w:val="-6"/>
          <w:sz w:val="21"/>
        </w:rPr>
        <w:t xml:space="preserve"> </w:t>
      </w:r>
      <w:r>
        <w:rPr>
          <w:sz w:val="21"/>
        </w:rPr>
        <w:t>4.2.1</w:t>
      </w:r>
      <w:r>
        <w:rPr>
          <w:spacing w:val="-15"/>
          <w:sz w:val="21"/>
        </w:rPr>
        <w:t xml:space="preserve"> </w:t>
      </w:r>
      <w:r>
        <w:rPr>
          <w:spacing w:val="-15"/>
          <w:sz w:val="21"/>
        </w:rPr>
        <w:t>的规定值增加</w:t>
      </w:r>
      <w:r>
        <w:rPr>
          <w:spacing w:val="-15"/>
          <w:sz w:val="21"/>
        </w:rPr>
        <w:t xml:space="preserve"> </w:t>
      </w:r>
      <w:r>
        <w:rPr>
          <w:sz w:val="21"/>
        </w:rPr>
        <w:t>3m</w:t>
      </w:r>
      <w:r>
        <w:rPr>
          <w:spacing w:val="-2"/>
          <w:sz w:val="21"/>
        </w:rPr>
        <w:t>；汽车库</w:t>
      </w:r>
      <w:r>
        <w:rPr>
          <w:spacing w:val="-6"/>
          <w:sz w:val="21"/>
        </w:rPr>
        <w:t>、修车库与甲类厂房的防火间距应按表</w:t>
      </w:r>
      <w:r>
        <w:rPr>
          <w:spacing w:val="-6"/>
          <w:sz w:val="21"/>
        </w:rPr>
        <w:t xml:space="preserve"> </w:t>
      </w:r>
      <w:r>
        <w:rPr>
          <w:sz w:val="21"/>
        </w:rPr>
        <w:t>4.2.1</w:t>
      </w:r>
      <w:r>
        <w:rPr>
          <w:spacing w:val="-17"/>
          <w:sz w:val="21"/>
        </w:rPr>
        <w:t xml:space="preserve"> </w:t>
      </w:r>
      <w:r>
        <w:rPr>
          <w:spacing w:val="-17"/>
          <w:sz w:val="21"/>
        </w:rPr>
        <w:t>的规定值增加</w:t>
      </w:r>
      <w:r>
        <w:rPr>
          <w:spacing w:val="-17"/>
          <w:sz w:val="21"/>
        </w:rPr>
        <w:t xml:space="preserve"> </w:t>
      </w:r>
      <w:r>
        <w:rPr>
          <w:sz w:val="21"/>
        </w:rPr>
        <w:t>2m</w:t>
      </w:r>
      <w:r>
        <w:rPr>
          <w:spacing w:val="-3"/>
          <w:sz w:val="21"/>
        </w:rPr>
        <w:t>。</w:t>
      </w:r>
      <w:r>
        <w:rPr>
          <w:sz w:val="21"/>
        </w:rPr>
        <w:t xml:space="preserve"> </w:t>
      </w:r>
    </w:p>
    <w:p w14:paraId="5110C03D" w14:textId="77777777" w:rsidR="00A71EEF" w:rsidRDefault="00A71EEF">
      <w:pPr>
        <w:spacing w:line="446" w:lineRule="auto"/>
        <w:rPr>
          <w:sz w:val="21"/>
        </w:rPr>
        <w:sectPr w:rsidR="00A71EEF">
          <w:pgSz w:w="11910" w:h="16850"/>
          <w:pgMar w:top="1220" w:right="0" w:bottom="1420" w:left="1260" w:header="0" w:footer="1239" w:gutter="0"/>
          <w:cols w:space="720"/>
        </w:sectPr>
      </w:pPr>
    </w:p>
    <w:p w14:paraId="0AABC9B1" w14:textId="77777777" w:rsidR="00A71EEF" w:rsidRDefault="0081115D">
      <w:pPr>
        <w:pStyle w:val="a3"/>
        <w:ind w:left="463"/>
        <w:rPr>
          <w:sz w:val="20"/>
        </w:rPr>
      </w:pPr>
      <w:r>
        <w:rPr>
          <w:noProof/>
          <w:sz w:val="20"/>
        </w:rPr>
        <w:drawing>
          <wp:inline distT="0" distB="0" distL="0" distR="0" wp14:anchorId="1F80217C" wp14:editId="11914886">
            <wp:extent cx="5419725" cy="1533525"/>
            <wp:effectExtent l="0" t="0" r="0" b="0"/>
            <wp:docPr id="601" name="image3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image347.jpeg"/>
                    <pic:cNvPicPr/>
                  </pic:nvPicPr>
                  <pic:blipFill>
                    <a:blip r:embed="rId413" cstate="print"/>
                    <a:stretch>
                      <a:fillRect/>
                    </a:stretch>
                  </pic:blipFill>
                  <pic:spPr>
                    <a:xfrm>
                      <a:off x="0" y="0"/>
                      <a:ext cx="5419725" cy="1533525"/>
                    </a:xfrm>
                    <a:prstGeom prst="rect">
                      <a:avLst/>
                    </a:prstGeom>
                  </pic:spPr>
                </pic:pic>
              </a:graphicData>
            </a:graphic>
          </wp:inline>
        </w:drawing>
      </w:r>
    </w:p>
    <w:p w14:paraId="7B65437E" w14:textId="77777777" w:rsidR="00A71EEF" w:rsidRDefault="00A71EEF">
      <w:pPr>
        <w:pStyle w:val="a3"/>
        <w:rPr>
          <w:sz w:val="20"/>
        </w:rPr>
      </w:pPr>
    </w:p>
    <w:p w14:paraId="76DB41D0" w14:textId="77777777" w:rsidR="00A71EEF" w:rsidRDefault="00A71EEF">
      <w:pPr>
        <w:pStyle w:val="a3"/>
        <w:rPr>
          <w:sz w:val="20"/>
        </w:rPr>
      </w:pPr>
    </w:p>
    <w:p w14:paraId="5478D14E" w14:textId="77777777" w:rsidR="00A71EEF" w:rsidRDefault="00A71EEF">
      <w:pPr>
        <w:pStyle w:val="a3"/>
        <w:rPr>
          <w:sz w:val="20"/>
        </w:rPr>
      </w:pPr>
    </w:p>
    <w:p w14:paraId="3A028A35" w14:textId="77777777" w:rsidR="00A71EEF" w:rsidRDefault="00A71EEF">
      <w:pPr>
        <w:pStyle w:val="a3"/>
        <w:rPr>
          <w:sz w:val="20"/>
        </w:rPr>
      </w:pPr>
    </w:p>
    <w:p w14:paraId="0E7CEA2D" w14:textId="77777777" w:rsidR="00A71EEF" w:rsidRDefault="00A71EEF">
      <w:pPr>
        <w:pStyle w:val="a3"/>
        <w:rPr>
          <w:sz w:val="20"/>
        </w:rPr>
      </w:pPr>
    </w:p>
    <w:p w14:paraId="6930686F" w14:textId="77777777" w:rsidR="00A71EEF" w:rsidRDefault="00A71EEF">
      <w:pPr>
        <w:pStyle w:val="a3"/>
        <w:rPr>
          <w:sz w:val="20"/>
        </w:rPr>
      </w:pPr>
    </w:p>
    <w:p w14:paraId="01234AFC" w14:textId="77777777" w:rsidR="00A71EEF" w:rsidRDefault="00A71EEF">
      <w:pPr>
        <w:pStyle w:val="a3"/>
        <w:rPr>
          <w:sz w:val="20"/>
        </w:rPr>
      </w:pPr>
    </w:p>
    <w:p w14:paraId="42006529" w14:textId="77777777" w:rsidR="00A71EEF" w:rsidRDefault="00A71EEF">
      <w:pPr>
        <w:pStyle w:val="a3"/>
        <w:rPr>
          <w:sz w:val="20"/>
        </w:rPr>
      </w:pPr>
    </w:p>
    <w:p w14:paraId="2435B7E7" w14:textId="77777777" w:rsidR="00A71EEF" w:rsidRDefault="00A71EEF">
      <w:pPr>
        <w:pStyle w:val="a3"/>
        <w:rPr>
          <w:sz w:val="20"/>
        </w:rPr>
      </w:pPr>
    </w:p>
    <w:p w14:paraId="3BDCEE56" w14:textId="77777777" w:rsidR="00A71EEF" w:rsidRDefault="00A71EEF">
      <w:pPr>
        <w:pStyle w:val="a3"/>
        <w:spacing w:before="5"/>
        <w:rPr>
          <w:sz w:val="25"/>
        </w:rPr>
      </w:pPr>
    </w:p>
    <w:p w14:paraId="25B035C8" w14:textId="77777777" w:rsidR="00A71EEF" w:rsidRDefault="0081115D">
      <w:pPr>
        <w:pStyle w:val="a3"/>
        <w:spacing w:before="71" w:line="446" w:lineRule="auto"/>
        <w:ind w:left="418" w:right="1609" w:firstLine="419"/>
      </w:pPr>
      <w:r>
        <w:t>注：</w:t>
      </w:r>
      <w:r>
        <w:t>1.</w:t>
      </w:r>
      <w:r>
        <w:t>防火间距应按相邻建筑物外墙的最近距离算起，如外墙有凸出的可燃物构件时，则应从其凸出部分外缘算起，停车场从靠近建筑物的最近停车位置边缘算起。</w:t>
      </w:r>
      <w:r>
        <w:t xml:space="preserve"> </w:t>
      </w:r>
    </w:p>
    <w:p w14:paraId="740BF9A4" w14:textId="77777777" w:rsidR="00A71EEF" w:rsidRDefault="0081115D">
      <w:pPr>
        <w:pStyle w:val="a3"/>
        <w:spacing w:line="446" w:lineRule="auto"/>
        <w:ind w:left="418" w:right="1707" w:firstLine="419"/>
      </w:pPr>
      <w:r>
        <w:t>2.</w:t>
      </w:r>
      <w:r>
        <w:t>厂房、仓库的火灾危险性分类应符合现行国家标准《建筑设计防火规范》</w:t>
      </w:r>
      <w:r>
        <w:t xml:space="preserve">GB 50016 </w:t>
      </w:r>
      <w:r>
        <w:t>的有关规定。</w:t>
      </w:r>
      <w:r>
        <w:t xml:space="preserve"> </w:t>
      </w:r>
    </w:p>
    <w:p w14:paraId="0A750D6E" w14:textId="77777777" w:rsidR="00A71EEF" w:rsidRDefault="0081115D">
      <w:pPr>
        <w:pStyle w:val="a4"/>
        <w:numPr>
          <w:ilvl w:val="2"/>
          <w:numId w:val="216"/>
        </w:numPr>
        <w:tabs>
          <w:tab w:val="left" w:pos="1371"/>
        </w:tabs>
        <w:spacing w:line="446" w:lineRule="auto"/>
        <w:ind w:right="1604" w:firstLine="422"/>
        <w:rPr>
          <w:sz w:val="21"/>
        </w:rPr>
      </w:pPr>
      <w:r>
        <w:rPr>
          <w:spacing w:val="-3"/>
          <w:sz w:val="21"/>
        </w:rPr>
        <w:t>汽车库、修车库之间或汽车库、修车库与其他建筑之间的防火间距可适当减少，但应符合下列规定：</w:t>
      </w:r>
      <w:r>
        <w:rPr>
          <w:sz w:val="21"/>
        </w:rPr>
        <w:t xml:space="preserve"> </w:t>
      </w:r>
    </w:p>
    <w:p w14:paraId="4790EA62" w14:textId="77777777" w:rsidR="00A71EEF" w:rsidRDefault="0081115D">
      <w:pPr>
        <w:pStyle w:val="a3"/>
        <w:spacing w:line="446" w:lineRule="auto"/>
        <w:ind w:left="418" w:right="1608" w:firstLine="419"/>
      </w:pPr>
      <w:r>
        <w:rPr>
          <w:spacing w:val="-3"/>
        </w:rPr>
        <w:t>当两座建筑相邻较高一面外墙为无门、窗、洞口的防火墙或当较高一面外墙比较低一座</w:t>
      </w:r>
      <w:r>
        <w:rPr>
          <w:spacing w:val="-3"/>
        </w:rPr>
        <w:t xml:space="preserve"> </w:t>
      </w:r>
      <w:r>
        <w:rPr>
          <w:spacing w:val="-6"/>
        </w:rPr>
        <w:t>一、二级耐火等级建筑屋面高</w:t>
      </w:r>
      <w:r>
        <w:rPr>
          <w:spacing w:val="-6"/>
        </w:rPr>
        <w:t xml:space="preserve"> </w:t>
      </w:r>
      <w:r>
        <w:t>15m</w:t>
      </w:r>
      <w:r>
        <w:rPr>
          <w:spacing w:val="-7"/>
        </w:rPr>
        <w:t xml:space="preserve"> </w:t>
      </w:r>
      <w:r>
        <w:rPr>
          <w:spacing w:val="-7"/>
        </w:rPr>
        <w:t>及以下范围内的外墙为无门、窗、洞口的防火墙时，其防火</w:t>
      </w:r>
      <w:r>
        <w:rPr>
          <w:spacing w:val="-5"/>
        </w:rPr>
        <w:t>间距可不限；</w:t>
      </w:r>
      <w:r>
        <w:t xml:space="preserve"> </w:t>
      </w:r>
    </w:p>
    <w:p w14:paraId="1D7C9F00" w14:textId="77777777" w:rsidR="00A71EEF" w:rsidRDefault="0081115D">
      <w:pPr>
        <w:pStyle w:val="a3"/>
        <w:spacing w:line="446" w:lineRule="auto"/>
        <w:ind w:left="418" w:right="1609" w:firstLine="419"/>
      </w:pPr>
      <w:r>
        <w:t>当两座建筑相邻较高一面外墙上，同较低建筑等高的以下范围内的墙为无门、窗、洞口的防火墙时，其防火间距可按本规范表</w:t>
      </w:r>
      <w:r>
        <w:t xml:space="preserve"> 4.2.1 </w:t>
      </w:r>
      <w:r>
        <w:t>的规定值减小</w:t>
      </w:r>
      <w:r>
        <w:t xml:space="preserve"> 50</w:t>
      </w:r>
      <w:r>
        <w:t>％；</w:t>
      </w:r>
      <w:r>
        <w:t xml:space="preserve"> </w:t>
      </w:r>
    </w:p>
    <w:p w14:paraId="50EC7DF8" w14:textId="77777777" w:rsidR="00A71EEF" w:rsidRDefault="0081115D">
      <w:pPr>
        <w:pStyle w:val="a3"/>
        <w:spacing w:line="446" w:lineRule="auto"/>
        <w:ind w:left="418" w:right="1609" w:firstLine="419"/>
        <w:jc w:val="both"/>
      </w:pPr>
      <w:r>
        <w:rPr>
          <w:spacing w:val="-5"/>
        </w:rPr>
        <w:t>相邻的两座一、二级耐火等级建筑，当较高一面外墙的耐火极限不低于</w:t>
      </w:r>
      <w:r>
        <w:rPr>
          <w:spacing w:val="-5"/>
        </w:rPr>
        <w:t xml:space="preserve"> </w:t>
      </w:r>
      <w:r>
        <w:t>2.00h</w:t>
      </w:r>
      <w:r>
        <w:t>，</w:t>
      </w:r>
      <w:r>
        <w:rPr>
          <w:spacing w:val="-3"/>
        </w:rPr>
        <w:t>墙上开口</w:t>
      </w:r>
      <w:r>
        <w:rPr>
          <w:spacing w:val="-5"/>
        </w:rPr>
        <w:t>部位设置甲级防火门、窗或耐火极限不低于</w:t>
      </w:r>
      <w:r>
        <w:rPr>
          <w:spacing w:val="-5"/>
        </w:rPr>
        <w:t xml:space="preserve"> </w:t>
      </w:r>
      <w:r>
        <w:t>2.00h</w:t>
      </w:r>
      <w:r>
        <w:rPr>
          <w:spacing w:val="-7"/>
        </w:rPr>
        <w:t xml:space="preserve"> </w:t>
      </w:r>
      <w:r>
        <w:rPr>
          <w:spacing w:val="-7"/>
        </w:rPr>
        <w:t>的防火卷帘、水幕等防火设施时，其防火间</w:t>
      </w:r>
      <w:r>
        <w:rPr>
          <w:spacing w:val="-10"/>
        </w:rPr>
        <w:t>距可减小，但不应小于</w:t>
      </w:r>
      <w:r>
        <w:rPr>
          <w:spacing w:val="-10"/>
        </w:rPr>
        <w:t xml:space="preserve"> </w:t>
      </w:r>
      <w:r>
        <w:t>4m</w:t>
      </w:r>
      <w:r>
        <w:t>；</w:t>
      </w:r>
      <w:r>
        <w:t xml:space="preserve"> </w:t>
      </w:r>
    </w:p>
    <w:p w14:paraId="1BA96B10" w14:textId="77777777" w:rsidR="00A71EEF" w:rsidRDefault="0081115D">
      <w:pPr>
        <w:pStyle w:val="a3"/>
        <w:spacing w:line="268" w:lineRule="exact"/>
        <w:ind w:left="838"/>
      </w:pPr>
      <w:r>
        <w:t>相邻的两座一、二级耐火等级建筑，当较低一座的屋顶无开口，屋顶的耐火极限不低于</w:t>
      </w:r>
    </w:p>
    <w:p w14:paraId="4D7D01BB" w14:textId="77777777" w:rsidR="00A71EEF" w:rsidRDefault="00A71EEF">
      <w:pPr>
        <w:pStyle w:val="a3"/>
        <w:spacing w:before="9"/>
        <w:rPr>
          <w:sz w:val="17"/>
        </w:rPr>
      </w:pPr>
    </w:p>
    <w:p w14:paraId="4FB83042" w14:textId="77777777" w:rsidR="00A71EEF" w:rsidRDefault="0081115D">
      <w:pPr>
        <w:pStyle w:val="a3"/>
        <w:ind w:left="418"/>
      </w:pPr>
      <w:r>
        <w:t>1.0</w:t>
      </w:r>
      <w:r>
        <w:t>0h</w:t>
      </w:r>
      <w:r>
        <w:t>，且较低一面外墙为防火墙时，其防火间距可减小，但不应小于</w:t>
      </w:r>
      <w:r>
        <w:t xml:space="preserve"> 4m</w:t>
      </w:r>
      <w:r>
        <w:t>。</w:t>
      </w:r>
      <w:r>
        <w:t xml:space="preserve"> </w:t>
      </w:r>
    </w:p>
    <w:p w14:paraId="68203F32" w14:textId="77777777" w:rsidR="00A71EEF" w:rsidRDefault="00A71EEF">
      <w:pPr>
        <w:pStyle w:val="a3"/>
        <w:rPr>
          <w:sz w:val="18"/>
        </w:rPr>
      </w:pPr>
    </w:p>
    <w:p w14:paraId="38255E98" w14:textId="77777777" w:rsidR="00A71EEF" w:rsidRDefault="0081115D">
      <w:pPr>
        <w:pStyle w:val="a4"/>
        <w:numPr>
          <w:ilvl w:val="2"/>
          <w:numId w:val="216"/>
        </w:numPr>
        <w:tabs>
          <w:tab w:val="left" w:pos="1371"/>
        </w:tabs>
        <w:spacing w:line="446" w:lineRule="auto"/>
        <w:ind w:right="1604" w:firstLine="422"/>
        <w:jc w:val="both"/>
        <w:rPr>
          <w:sz w:val="21"/>
        </w:rPr>
      </w:pPr>
      <w:r>
        <w:rPr>
          <w:spacing w:val="-3"/>
          <w:sz w:val="21"/>
        </w:rPr>
        <w:t>停车场与相邻的一、二级耐火等级建筑之间，当相邻建筑的外墙为无门、窗、洞口</w:t>
      </w:r>
      <w:r>
        <w:rPr>
          <w:spacing w:val="-6"/>
          <w:sz w:val="21"/>
        </w:rPr>
        <w:t>的防火墙，或比停车部位高</w:t>
      </w:r>
      <w:r>
        <w:rPr>
          <w:spacing w:val="-6"/>
          <w:sz w:val="21"/>
        </w:rPr>
        <w:t xml:space="preserve"> </w:t>
      </w:r>
      <w:r>
        <w:rPr>
          <w:sz w:val="21"/>
        </w:rPr>
        <w:t>15m</w:t>
      </w:r>
      <w:r>
        <w:rPr>
          <w:spacing w:val="-7"/>
          <w:sz w:val="21"/>
        </w:rPr>
        <w:t xml:space="preserve"> </w:t>
      </w:r>
      <w:r>
        <w:rPr>
          <w:spacing w:val="-7"/>
          <w:sz w:val="21"/>
        </w:rPr>
        <w:t>范围以下的外墙均为无门、窗、洞口的防火墙时，防火间距可</w:t>
      </w:r>
    </w:p>
    <w:p w14:paraId="0CAAC99C" w14:textId="77777777" w:rsidR="00A71EEF" w:rsidRDefault="00A71EEF">
      <w:pPr>
        <w:spacing w:line="446" w:lineRule="auto"/>
        <w:jc w:val="both"/>
        <w:rPr>
          <w:sz w:val="21"/>
        </w:rPr>
        <w:sectPr w:rsidR="00A71EEF">
          <w:pgSz w:w="11910" w:h="16850"/>
          <w:pgMar w:top="1080" w:right="0" w:bottom="1420" w:left="1260" w:header="0" w:footer="1239" w:gutter="0"/>
          <w:cols w:space="720"/>
        </w:sectPr>
      </w:pPr>
    </w:p>
    <w:p w14:paraId="0F0517BA" w14:textId="77777777" w:rsidR="00A71EEF" w:rsidRDefault="0081115D">
      <w:pPr>
        <w:pStyle w:val="a3"/>
        <w:spacing w:before="47"/>
        <w:ind w:left="418"/>
      </w:pPr>
      <w:r>
        <w:t>不限。</w:t>
      </w:r>
      <w:r>
        <w:t xml:space="preserve"> </w:t>
      </w:r>
    </w:p>
    <w:p w14:paraId="516BFAEF" w14:textId="77777777" w:rsidR="00A71EEF" w:rsidRDefault="00A71EEF">
      <w:pPr>
        <w:pStyle w:val="a3"/>
        <w:rPr>
          <w:sz w:val="20"/>
        </w:rPr>
      </w:pPr>
    </w:p>
    <w:p w14:paraId="36867DCA" w14:textId="77777777" w:rsidR="00A71EEF" w:rsidRDefault="0081115D">
      <w:pPr>
        <w:pStyle w:val="a3"/>
        <w:spacing w:before="4"/>
        <w:rPr>
          <w:sz w:val="16"/>
        </w:rPr>
      </w:pPr>
      <w:r>
        <w:rPr>
          <w:noProof/>
        </w:rPr>
        <w:drawing>
          <wp:anchor distT="0" distB="0" distL="0" distR="0" simplePos="0" relativeHeight="251677184" behindDoc="0" locked="0" layoutInCell="1" allowOverlap="1" wp14:anchorId="0D97F22F" wp14:editId="19329CB7">
            <wp:simplePos x="0" y="0"/>
            <wp:positionH relativeFrom="page">
              <wp:posOffset>1179830</wp:posOffset>
            </wp:positionH>
            <wp:positionV relativeFrom="paragraph">
              <wp:posOffset>158043</wp:posOffset>
            </wp:positionV>
            <wp:extent cx="4981575" cy="2038350"/>
            <wp:effectExtent l="0" t="0" r="0" b="0"/>
            <wp:wrapTopAndBottom/>
            <wp:docPr id="603" name="image3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image348.jpeg"/>
                    <pic:cNvPicPr/>
                  </pic:nvPicPr>
                  <pic:blipFill>
                    <a:blip r:embed="rId414" cstate="print"/>
                    <a:stretch>
                      <a:fillRect/>
                    </a:stretch>
                  </pic:blipFill>
                  <pic:spPr>
                    <a:xfrm>
                      <a:off x="0" y="0"/>
                      <a:ext cx="4981575" cy="2038350"/>
                    </a:xfrm>
                    <a:prstGeom prst="rect">
                      <a:avLst/>
                    </a:prstGeom>
                  </pic:spPr>
                </pic:pic>
              </a:graphicData>
            </a:graphic>
          </wp:anchor>
        </w:drawing>
      </w:r>
    </w:p>
    <w:p w14:paraId="6094757D" w14:textId="77777777" w:rsidR="00A71EEF" w:rsidRDefault="0081115D">
      <w:pPr>
        <w:pStyle w:val="a4"/>
        <w:numPr>
          <w:ilvl w:val="2"/>
          <w:numId w:val="216"/>
        </w:numPr>
        <w:tabs>
          <w:tab w:val="left" w:pos="1370"/>
        </w:tabs>
        <w:spacing w:before="162" w:line="446" w:lineRule="auto"/>
        <w:ind w:left="838" w:right="1606" w:firstLine="2"/>
        <w:rPr>
          <w:sz w:val="21"/>
        </w:rPr>
      </w:pPr>
      <w:r>
        <w:rPr>
          <w:spacing w:val="-5"/>
          <w:sz w:val="21"/>
        </w:rPr>
        <w:t>汽车库、修车库、停车场与甲类物品仓库的防火间距不应小于表</w:t>
      </w:r>
      <w:r>
        <w:rPr>
          <w:spacing w:val="-5"/>
          <w:sz w:val="21"/>
        </w:rPr>
        <w:t xml:space="preserve"> </w:t>
      </w:r>
      <w:r>
        <w:rPr>
          <w:sz w:val="21"/>
        </w:rPr>
        <w:t>4.2.4</w:t>
      </w:r>
      <w:r>
        <w:rPr>
          <w:spacing w:val="-6"/>
          <w:sz w:val="21"/>
        </w:rPr>
        <w:t xml:space="preserve"> </w:t>
      </w:r>
      <w:r>
        <w:rPr>
          <w:spacing w:val="-6"/>
          <w:sz w:val="21"/>
        </w:rPr>
        <w:t>的规定。</w:t>
      </w:r>
      <w:r>
        <w:rPr>
          <w:spacing w:val="-6"/>
          <w:sz w:val="21"/>
        </w:rPr>
        <w:t xml:space="preserve"> </w:t>
      </w:r>
      <w:r>
        <w:rPr>
          <w:spacing w:val="-6"/>
          <w:sz w:val="21"/>
        </w:rPr>
        <w:t>注：</w:t>
      </w:r>
      <w:r>
        <w:rPr>
          <w:spacing w:val="-6"/>
          <w:sz w:val="21"/>
        </w:rPr>
        <w:t>1</w:t>
      </w:r>
      <w:r>
        <w:rPr>
          <w:spacing w:val="-4"/>
          <w:sz w:val="21"/>
        </w:rPr>
        <w:t>.</w:t>
      </w:r>
      <w:r>
        <w:rPr>
          <w:spacing w:val="-4"/>
          <w:sz w:val="21"/>
        </w:rPr>
        <w:t>甲类物品的分项应符合现行国家标准《建筑设计防火规范》</w:t>
      </w:r>
      <w:r>
        <w:rPr>
          <w:sz w:val="21"/>
        </w:rPr>
        <w:t>GB</w:t>
      </w:r>
      <w:r>
        <w:rPr>
          <w:spacing w:val="5"/>
          <w:sz w:val="21"/>
        </w:rPr>
        <w:t xml:space="preserve"> </w:t>
      </w:r>
      <w:r>
        <w:rPr>
          <w:sz w:val="21"/>
        </w:rPr>
        <w:t>50016</w:t>
      </w:r>
      <w:r>
        <w:rPr>
          <w:spacing w:val="-12"/>
          <w:sz w:val="21"/>
        </w:rPr>
        <w:t xml:space="preserve"> </w:t>
      </w:r>
      <w:r>
        <w:rPr>
          <w:spacing w:val="-12"/>
          <w:sz w:val="21"/>
        </w:rPr>
        <w:t>的有关规</w:t>
      </w:r>
    </w:p>
    <w:p w14:paraId="3A6C24B6" w14:textId="77777777" w:rsidR="00A71EEF" w:rsidRDefault="0081115D">
      <w:pPr>
        <w:pStyle w:val="a3"/>
        <w:ind w:left="418"/>
      </w:pPr>
      <w:r>
        <w:t>定。</w:t>
      </w:r>
      <w:r>
        <w:t xml:space="preserve"> </w:t>
      </w:r>
    </w:p>
    <w:p w14:paraId="61C92DF6" w14:textId="77777777" w:rsidR="00A71EEF" w:rsidRDefault="00A71EEF">
      <w:pPr>
        <w:pStyle w:val="a3"/>
        <w:spacing w:before="12"/>
        <w:rPr>
          <w:sz w:val="17"/>
        </w:rPr>
      </w:pPr>
    </w:p>
    <w:p w14:paraId="7DF51A05" w14:textId="77777777" w:rsidR="00A71EEF" w:rsidRDefault="0081115D">
      <w:pPr>
        <w:pStyle w:val="a3"/>
        <w:spacing w:line="446" w:lineRule="auto"/>
        <w:ind w:left="418" w:right="1609" w:firstLine="419"/>
      </w:pPr>
      <w:r>
        <w:t>2.</w:t>
      </w:r>
      <w:r>
        <w:t>甲、乙类物品运输车的汽车库、修车库、停车场与甲类物品仓库的防火间距应按本表的规定值增加</w:t>
      </w:r>
      <w:r>
        <w:t xml:space="preserve"> 5m</w:t>
      </w:r>
      <w:r>
        <w:t>。</w:t>
      </w:r>
      <w:r>
        <w:t xml:space="preserve"> </w:t>
      </w:r>
    </w:p>
    <w:p w14:paraId="3EF421FC" w14:textId="77777777" w:rsidR="00A71EEF" w:rsidRDefault="0081115D">
      <w:pPr>
        <w:pStyle w:val="a4"/>
        <w:numPr>
          <w:ilvl w:val="2"/>
          <w:numId w:val="216"/>
        </w:numPr>
        <w:tabs>
          <w:tab w:val="left" w:pos="1371"/>
        </w:tabs>
        <w:ind w:left="1370"/>
        <w:rPr>
          <w:sz w:val="21"/>
        </w:rPr>
      </w:pPr>
      <w:r>
        <w:rPr>
          <w:spacing w:val="-3"/>
          <w:sz w:val="21"/>
        </w:rPr>
        <w:t>甲、乙类物品运输车的汽车库、修车库、停车场与民用建筑的防火间距不应小于</w:t>
      </w:r>
    </w:p>
    <w:p w14:paraId="36C8973D" w14:textId="77777777" w:rsidR="00A71EEF" w:rsidRDefault="00A71EEF">
      <w:pPr>
        <w:pStyle w:val="a3"/>
        <w:rPr>
          <w:sz w:val="18"/>
        </w:rPr>
      </w:pPr>
    </w:p>
    <w:p w14:paraId="485EDF11" w14:textId="77777777" w:rsidR="00A71EEF" w:rsidRDefault="0081115D">
      <w:pPr>
        <w:pStyle w:val="a3"/>
        <w:spacing w:line="446" w:lineRule="auto"/>
        <w:ind w:left="418" w:right="1707"/>
      </w:pPr>
      <w:r>
        <w:t>25m</w:t>
      </w:r>
      <w:r>
        <w:t>，与重要公共建筑的防火间距不应小于</w:t>
      </w:r>
      <w:r>
        <w:t xml:space="preserve"> 50m</w:t>
      </w:r>
      <w:r>
        <w:t>。甲类物品运输车的汽车库、修车库、停车场与明火或散发火花地点的防火间距不应小于</w:t>
      </w:r>
      <w:r>
        <w:t xml:space="preserve"> 30m</w:t>
      </w:r>
      <w:r>
        <w:t>，与厂房、仓库的防火间距应按本规范表</w:t>
      </w:r>
    </w:p>
    <w:p w14:paraId="7AA07C31" w14:textId="77777777" w:rsidR="00A71EEF" w:rsidRDefault="0081115D">
      <w:pPr>
        <w:pStyle w:val="a3"/>
        <w:ind w:left="418"/>
      </w:pPr>
      <w:r>
        <w:t xml:space="preserve">4.2.1 </w:t>
      </w:r>
      <w:r>
        <w:t>的规定值增加</w:t>
      </w:r>
      <w:r>
        <w:t xml:space="preserve"> 2m</w:t>
      </w:r>
      <w:r>
        <w:t>。</w:t>
      </w:r>
      <w:r>
        <w:t xml:space="preserve"> </w:t>
      </w:r>
    </w:p>
    <w:p w14:paraId="79C96F04" w14:textId="77777777" w:rsidR="00A71EEF" w:rsidRDefault="00A71EEF">
      <w:pPr>
        <w:sectPr w:rsidR="00A71EEF">
          <w:footerReference w:type="default" r:id="rId415"/>
          <w:pgSz w:w="11910" w:h="16850"/>
          <w:pgMar w:top="1220" w:right="0" w:bottom="1420" w:left="1260" w:header="0" w:footer="1239" w:gutter="0"/>
          <w:pgNumType w:start="1400"/>
          <w:cols w:space="720"/>
        </w:sectPr>
      </w:pPr>
    </w:p>
    <w:p w14:paraId="3FB4D92D" w14:textId="77777777" w:rsidR="00A71EEF" w:rsidRDefault="0081115D">
      <w:pPr>
        <w:pStyle w:val="a3"/>
        <w:ind w:left="118"/>
        <w:rPr>
          <w:sz w:val="20"/>
        </w:rPr>
      </w:pPr>
      <w:r>
        <w:rPr>
          <w:sz w:val="20"/>
        </w:rPr>
      </w:r>
      <w:r>
        <w:rPr>
          <w:sz w:val="20"/>
        </w:rPr>
        <w:pict w14:anchorId="77C8A1DA">
          <v:group id="_x0000_s1126" style="width:434.25pt;height:369.75pt;mso-position-horizontal-relative:char;mso-position-vertical-relative:line" coordsize="8685,7395">
            <v:shape id="_x0000_s1128" type="#_x0000_t75" style="position:absolute;left:780;top:820;width:7905;height:5220">
              <v:imagedata r:id="rId416" o:title=""/>
            </v:shape>
            <v:shape id="_x0000_s1127" type="#_x0000_t75" style="position:absolute;width:8596;height:7395">
              <v:imagedata r:id="rId417" o:title=""/>
            </v:shape>
            <w10:anchorlock/>
          </v:group>
        </w:pict>
      </w:r>
    </w:p>
    <w:p w14:paraId="17FC5C68" w14:textId="77777777" w:rsidR="00A71EEF" w:rsidRDefault="00A71EEF">
      <w:pPr>
        <w:pStyle w:val="a3"/>
        <w:spacing w:before="6"/>
        <w:rPr>
          <w:sz w:val="9"/>
        </w:rPr>
      </w:pPr>
    </w:p>
    <w:p w14:paraId="4771B914" w14:textId="77777777" w:rsidR="00A71EEF" w:rsidRDefault="0081115D">
      <w:pPr>
        <w:pStyle w:val="a4"/>
        <w:numPr>
          <w:ilvl w:val="2"/>
          <w:numId w:val="215"/>
        </w:numPr>
        <w:tabs>
          <w:tab w:val="left" w:pos="1370"/>
        </w:tabs>
        <w:spacing w:before="72" w:line="446" w:lineRule="auto"/>
        <w:ind w:right="1603" w:firstLine="422"/>
        <w:rPr>
          <w:sz w:val="21"/>
        </w:rPr>
      </w:pPr>
      <w:r>
        <w:rPr>
          <w:spacing w:val="-3"/>
          <w:sz w:val="21"/>
        </w:rPr>
        <w:t>汽车库、修车库、停车场与易燃、可燃液体储罐，可燃气体储罐，以及液化石油气</w:t>
      </w:r>
      <w:r>
        <w:rPr>
          <w:spacing w:val="-7"/>
          <w:sz w:val="21"/>
        </w:rPr>
        <w:t>储罐的防火间距，不应小于表</w:t>
      </w:r>
      <w:r>
        <w:rPr>
          <w:spacing w:val="-7"/>
          <w:sz w:val="21"/>
        </w:rPr>
        <w:t xml:space="preserve"> </w:t>
      </w:r>
      <w:r>
        <w:rPr>
          <w:sz w:val="21"/>
        </w:rPr>
        <w:t>4.2.6</w:t>
      </w:r>
      <w:r>
        <w:rPr>
          <w:spacing w:val="-13"/>
          <w:sz w:val="21"/>
        </w:rPr>
        <w:t xml:space="preserve"> </w:t>
      </w:r>
      <w:r>
        <w:rPr>
          <w:spacing w:val="-13"/>
          <w:sz w:val="21"/>
        </w:rPr>
        <w:t>的规定。</w:t>
      </w:r>
      <w:r>
        <w:rPr>
          <w:sz w:val="21"/>
        </w:rPr>
        <w:t xml:space="preserve"> </w:t>
      </w:r>
    </w:p>
    <w:p w14:paraId="70D6100D" w14:textId="77777777" w:rsidR="00A71EEF" w:rsidRDefault="0081115D">
      <w:pPr>
        <w:pStyle w:val="a3"/>
        <w:spacing w:line="446" w:lineRule="auto"/>
        <w:ind w:left="418" w:right="1609" w:firstLine="419"/>
      </w:pPr>
      <w:r>
        <w:t>注：</w:t>
      </w:r>
      <w:r>
        <w:t>1.</w:t>
      </w:r>
      <w:r>
        <w:t>防火间距应从距汽车库、修车库、停车场最近的储罐外壁算起，但设有防火堤的储罐，其防火堤外侧基脚线距汽车库、修车库、停车场的距离不应小于</w:t>
      </w:r>
      <w:r>
        <w:t xml:space="preserve"> 10m</w:t>
      </w:r>
      <w:r>
        <w:t>。</w:t>
      </w:r>
      <w:r>
        <w:t xml:space="preserve"> </w:t>
      </w:r>
    </w:p>
    <w:p w14:paraId="5F32B01E" w14:textId="77777777" w:rsidR="00A71EEF" w:rsidRDefault="0081115D">
      <w:pPr>
        <w:pStyle w:val="a4"/>
        <w:numPr>
          <w:ilvl w:val="0"/>
          <w:numId w:val="214"/>
        </w:numPr>
        <w:tabs>
          <w:tab w:val="left" w:pos="1051"/>
        </w:tabs>
        <w:spacing w:line="267" w:lineRule="exact"/>
        <w:rPr>
          <w:sz w:val="21"/>
        </w:rPr>
      </w:pPr>
      <w:r>
        <w:rPr>
          <w:spacing w:val="-3"/>
          <w:sz w:val="21"/>
        </w:rPr>
        <w:t>计算易燃、可燃液体储罐区总容量时，</w:t>
      </w:r>
      <w:r>
        <w:rPr>
          <w:sz w:val="21"/>
        </w:rPr>
        <w:t>1m3</w:t>
      </w:r>
      <w:r>
        <w:rPr>
          <w:spacing w:val="-16"/>
          <w:sz w:val="21"/>
        </w:rPr>
        <w:t xml:space="preserve"> </w:t>
      </w:r>
      <w:r>
        <w:rPr>
          <w:spacing w:val="-16"/>
          <w:sz w:val="21"/>
        </w:rPr>
        <w:t>的易燃液体按</w:t>
      </w:r>
      <w:r>
        <w:rPr>
          <w:spacing w:val="-16"/>
          <w:sz w:val="21"/>
        </w:rPr>
        <w:t xml:space="preserve"> </w:t>
      </w:r>
      <w:r>
        <w:rPr>
          <w:sz w:val="21"/>
        </w:rPr>
        <w:t>5m3</w:t>
      </w:r>
      <w:r>
        <w:rPr>
          <w:spacing w:val="-9"/>
          <w:sz w:val="21"/>
        </w:rPr>
        <w:t xml:space="preserve"> </w:t>
      </w:r>
      <w:r>
        <w:rPr>
          <w:spacing w:val="-9"/>
          <w:sz w:val="21"/>
        </w:rPr>
        <w:t>的可燃液体计算。</w:t>
      </w:r>
      <w:r>
        <w:rPr>
          <w:sz w:val="21"/>
        </w:rPr>
        <w:t xml:space="preserve"> </w:t>
      </w:r>
    </w:p>
    <w:p w14:paraId="369B503B" w14:textId="77777777" w:rsidR="00A71EEF" w:rsidRDefault="00A71EEF">
      <w:pPr>
        <w:pStyle w:val="a3"/>
        <w:spacing w:before="2"/>
        <w:rPr>
          <w:sz w:val="18"/>
        </w:rPr>
      </w:pPr>
    </w:p>
    <w:p w14:paraId="7F61BF65" w14:textId="77777777" w:rsidR="00A71EEF" w:rsidRDefault="0081115D">
      <w:pPr>
        <w:pStyle w:val="a4"/>
        <w:numPr>
          <w:ilvl w:val="0"/>
          <w:numId w:val="214"/>
        </w:numPr>
        <w:tabs>
          <w:tab w:val="left" w:pos="1051"/>
        </w:tabs>
        <w:spacing w:line="446" w:lineRule="auto"/>
        <w:ind w:left="418" w:right="1608" w:firstLine="419"/>
        <w:rPr>
          <w:sz w:val="21"/>
        </w:rPr>
      </w:pPr>
      <w:r>
        <w:rPr>
          <w:spacing w:val="-3"/>
          <w:sz w:val="21"/>
        </w:rPr>
        <w:t>干式可燃气体储罐与</w:t>
      </w:r>
      <w:r>
        <w:rPr>
          <w:spacing w:val="-3"/>
          <w:sz w:val="21"/>
        </w:rPr>
        <w:t>汽车库、修车库、停车场的防火间距，当可燃气体的密度比空气大</w:t>
      </w:r>
      <w:r>
        <w:rPr>
          <w:spacing w:val="-5"/>
          <w:sz w:val="21"/>
        </w:rPr>
        <w:t>时，应按本表对湿式可燃气体储罐的规定增加</w:t>
      </w:r>
      <w:r>
        <w:rPr>
          <w:spacing w:val="-5"/>
          <w:sz w:val="21"/>
        </w:rPr>
        <w:t xml:space="preserve"> </w:t>
      </w:r>
      <w:r>
        <w:rPr>
          <w:sz w:val="21"/>
        </w:rPr>
        <w:t>25</w:t>
      </w:r>
      <w:r>
        <w:rPr>
          <w:spacing w:val="-3"/>
          <w:sz w:val="21"/>
        </w:rPr>
        <w:t>％；当可燃气体的密度比空气小时，可执行本表对湿式可燃气体储罐的规定。固定容积的可燃气体储罐与汽车库、修车库、停车场的防火间距，不应小于本表对湿式可燃气体储罐的规定。固定容积的可燃气体储罐的总容积按储罐几何容积</w:t>
      </w:r>
      <w:r>
        <w:rPr>
          <w:sz w:val="21"/>
        </w:rPr>
        <w:t>（</w:t>
      </w:r>
      <w:r>
        <w:rPr>
          <w:sz w:val="21"/>
        </w:rPr>
        <w:t>m3</w:t>
      </w:r>
      <w:r>
        <w:rPr>
          <w:sz w:val="21"/>
        </w:rPr>
        <w:t>）</w:t>
      </w:r>
      <w:r>
        <w:rPr>
          <w:spacing w:val="-3"/>
          <w:sz w:val="21"/>
        </w:rPr>
        <w:t>和设计储存压力（绝对压力</w:t>
      </w:r>
      <w:r>
        <w:rPr>
          <w:sz w:val="21"/>
        </w:rPr>
        <w:t>，</w:t>
      </w:r>
      <w:r>
        <w:rPr>
          <w:sz w:val="21"/>
        </w:rPr>
        <w:t>105Pa</w:t>
      </w:r>
      <w:r>
        <w:rPr>
          <w:sz w:val="21"/>
        </w:rPr>
        <w:t>）</w:t>
      </w:r>
      <w:r>
        <w:rPr>
          <w:spacing w:val="-3"/>
          <w:sz w:val="21"/>
        </w:rPr>
        <w:t>的乘积计算。</w:t>
      </w:r>
      <w:r>
        <w:rPr>
          <w:sz w:val="21"/>
        </w:rPr>
        <w:t xml:space="preserve"> </w:t>
      </w:r>
    </w:p>
    <w:p w14:paraId="63F88F55" w14:textId="77777777" w:rsidR="00A71EEF" w:rsidRDefault="0081115D">
      <w:pPr>
        <w:pStyle w:val="a4"/>
        <w:numPr>
          <w:ilvl w:val="0"/>
          <w:numId w:val="214"/>
        </w:numPr>
        <w:tabs>
          <w:tab w:val="left" w:pos="1051"/>
        </w:tabs>
        <w:spacing w:line="446" w:lineRule="auto"/>
        <w:ind w:left="418" w:right="1609" w:firstLine="419"/>
        <w:rPr>
          <w:sz w:val="21"/>
        </w:rPr>
      </w:pPr>
      <w:r>
        <w:rPr>
          <w:spacing w:val="-12"/>
          <w:sz w:val="21"/>
        </w:rPr>
        <w:t>容积小于</w:t>
      </w:r>
      <w:r>
        <w:rPr>
          <w:spacing w:val="-12"/>
          <w:sz w:val="21"/>
        </w:rPr>
        <w:t xml:space="preserve"> </w:t>
      </w:r>
      <w:r>
        <w:rPr>
          <w:sz w:val="21"/>
        </w:rPr>
        <w:t>1m3</w:t>
      </w:r>
      <w:r>
        <w:rPr>
          <w:spacing w:val="-11"/>
          <w:sz w:val="21"/>
        </w:rPr>
        <w:t xml:space="preserve"> </w:t>
      </w:r>
      <w:r>
        <w:rPr>
          <w:spacing w:val="-11"/>
          <w:sz w:val="21"/>
        </w:rPr>
        <w:t>的易燃液体储罐或小于</w:t>
      </w:r>
      <w:r>
        <w:rPr>
          <w:spacing w:val="-11"/>
          <w:sz w:val="21"/>
        </w:rPr>
        <w:t xml:space="preserve"> </w:t>
      </w:r>
      <w:r>
        <w:rPr>
          <w:sz w:val="21"/>
        </w:rPr>
        <w:t>5m3</w:t>
      </w:r>
      <w:r>
        <w:rPr>
          <w:spacing w:val="-8"/>
          <w:sz w:val="21"/>
        </w:rPr>
        <w:t xml:space="preserve"> </w:t>
      </w:r>
      <w:r>
        <w:rPr>
          <w:spacing w:val="-8"/>
          <w:sz w:val="21"/>
        </w:rPr>
        <w:t>的可燃液体储罐与汽车库、修车库、停车场的</w:t>
      </w:r>
      <w:r>
        <w:rPr>
          <w:spacing w:val="-5"/>
          <w:sz w:val="21"/>
        </w:rPr>
        <w:t>防火间距，当采用防火墙隔开时，其防火间距可不限。</w:t>
      </w:r>
      <w:r>
        <w:rPr>
          <w:sz w:val="21"/>
        </w:rPr>
        <w:t xml:space="preserve"> </w:t>
      </w:r>
    </w:p>
    <w:p w14:paraId="519FA3A4" w14:textId="77777777" w:rsidR="00A71EEF" w:rsidRDefault="00A71EEF">
      <w:pPr>
        <w:spacing w:line="446" w:lineRule="auto"/>
        <w:rPr>
          <w:sz w:val="21"/>
        </w:rPr>
        <w:sectPr w:rsidR="00A71EEF">
          <w:pgSz w:w="11910" w:h="16850"/>
          <w:pgMar w:top="1480" w:right="0" w:bottom="1420" w:left="1260" w:header="0" w:footer="1239" w:gutter="0"/>
          <w:cols w:space="720"/>
        </w:sectPr>
      </w:pPr>
    </w:p>
    <w:p w14:paraId="7455BCC4" w14:textId="77777777" w:rsidR="00A71EEF" w:rsidRDefault="0081115D">
      <w:pPr>
        <w:pStyle w:val="a4"/>
        <w:numPr>
          <w:ilvl w:val="2"/>
          <w:numId w:val="215"/>
        </w:numPr>
        <w:tabs>
          <w:tab w:val="left" w:pos="1370"/>
        </w:tabs>
        <w:spacing w:before="47"/>
        <w:ind w:left="1369" w:hanging="530"/>
        <w:rPr>
          <w:sz w:val="21"/>
        </w:rPr>
      </w:pPr>
      <w:r>
        <w:rPr>
          <w:spacing w:val="-3"/>
          <w:sz w:val="21"/>
        </w:rPr>
        <w:t>汽车库、修车库、停车场与可燃材料露天、半露天堆场的防火间距不应小于表</w:t>
      </w:r>
    </w:p>
    <w:p w14:paraId="1837A484" w14:textId="77777777" w:rsidR="00A71EEF" w:rsidRDefault="00A71EEF">
      <w:pPr>
        <w:pStyle w:val="a3"/>
        <w:rPr>
          <w:sz w:val="18"/>
        </w:rPr>
      </w:pPr>
    </w:p>
    <w:p w14:paraId="29AF126D" w14:textId="77777777" w:rsidR="00A71EEF" w:rsidRDefault="0081115D">
      <w:pPr>
        <w:pStyle w:val="a4"/>
        <w:numPr>
          <w:ilvl w:val="2"/>
          <w:numId w:val="213"/>
        </w:numPr>
        <w:tabs>
          <w:tab w:val="left" w:pos="997"/>
        </w:tabs>
        <w:jc w:val="left"/>
        <w:rPr>
          <w:sz w:val="21"/>
        </w:rPr>
      </w:pPr>
      <w:r>
        <w:rPr>
          <w:spacing w:val="-3"/>
          <w:sz w:val="21"/>
        </w:rPr>
        <w:t>的规定。</w:t>
      </w:r>
      <w:r>
        <w:rPr>
          <w:sz w:val="21"/>
        </w:rPr>
        <w:t xml:space="preserve"> </w:t>
      </w:r>
    </w:p>
    <w:p w14:paraId="3C62BB76" w14:textId="77777777" w:rsidR="00A71EEF" w:rsidRDefault="0081115D">
      <w:pPr>
        <w:pStyle w:val="a3"/>
        <w:spacing w:before="2"/>
        <w:rPr>
          <w:sz w:val="10"/>
        </w:rPr>
      </w:pPr>
      <w:r>
        <w:rPr>
          <w:noProof/>
        </w:rPr>
        <w:drawing>
          <wp:anchor distT="0" distB="0" distL="0" distR="0" simplePos="0" relativeHeight="251678208" behindDoc="0" locked="0" layoutInCell="1" allowOverlap="1" wp14:anchorId="66F62E51" wp14:editId="0D5BB8AA">
            <wp:simplePos x="0" y="0"/>
            <wp:positionH relativeFrom="page">
              <wp:posOffset>1017905</wp:posOffset>
            </wp:positionH>
            <wp:positionV relativeFrom="paragraph">
              <wp:posOffset>107600</wp:posOffset>
            </wp:positionV>
            <wp:extent cx="5199958" cy="5781675"/>
            <wp:effectExtent l="0" t="0" r="0" b="0"/>
            <wp:wrapTopAndBottom/>
            <wp:docPr id="605" name="image3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image351.jpeg"/>
                    <pic:cNvPicPr/>
                  </pic:nvPicPr>
                  <pic:blipFill>
                    <a:blip r:embed="rId418" cstate="print"/>
                    <a:stretch>
                      <a:fillRect/>
                    </a:stretch>
                  </pic:blipFill>
                  <pic:spPr>
                    <a:xfrm>
                      <a:off x="0" y="0"/>
                      <a:ext cx="5199958" cy="5781675"/>
                    </a:xfrm>
                    <a:prstGeom prst="rect">
                      <a:avLst/>
                    </a:prstGeom>
                  </pic:spPr>
                </pic:pic>
              </a:graphicData>
            </a:graphic>
          </wp:anchor>
        </w:drawing>
      </w:r>
    </w:p>
    <w:p w14:paraId="32BE6BDE" w14:textId="77777777" w:rsidR="00A71EEF" w:rsidRDefault="00A71EEF">
      <w:pPr>
        <w:pStyle w:val="a3"/>
        <w:spacing w:before="4"/>
        <w:rPr>
          <w:sz w:val="16"/>
        </w:rPr>
      </w:pPr>
    </w:p>
    <w:p w14:paraId="4E3D00DC" w14:textId="77777777" w:rsidR="00A71EEF" w:rsidRDefault="0081115D">
      <w:pPr>
        <w:pStyle w:val="a4"/>
        <w:numPr>
          <w:ilvl w:val="2"/>
          <w:numId w:val="213"/>
        </w:numPr>
        <w:tabs>
          <w:tab w:val="left" w:pos="1371"/>
        </w:tabs>
        <w:spacing w:line="446" w:lineRule="auto"/>
        <w:ind w:left="418" w:right="1604" w:firstLine="422"/>
        <w:jc w:val="left"/>
        <w:rPr>
          <w:sz w:val="19"/>
        </w:rPr>
      </w:pPr>
      <w:r>
        <w:rPr>
          <w:spacing w:val="-3"/>
          <w:sz w:val="21"/>
        </w:rPr>
        <w:t>汽车库、修车库、停车场与燃气调压站、液化石油气的瓶装供应站的防火间距，应符合现行国家标准《城镇燃气设计规范》</w:t>
      </w:r>
      <w:r>
        <w:rPr>
          <w:sz w:val="21"/>
        </w:rPr>
        <w:t>GB</w:t>
      </w:r>
      <w:r>
        <w:rPr>
          <w:spacing w:val="1"/>
          <w:sz w:val="21"/>
        </w:rPr>
        <w:t xml:space="preserve"> </w:t>
      </w:r>
      <w:r>
        <w:rPr>
          <w:sz w:val="21"/>
        </w:rPr>
        <w:t>50028</w:t>
      </w:r>
      <w:r>
        <w:rPr>
          <w:spacing w:val="-10"/>
          <w:sz w:val="21"/>
        </w:rPr>
        <w:t xml:space="preserve"> </w:t>
      </w:r>
      <w:r>
        <w:rPr>
          <w:spacing w:val="-10"/>
          <w:sz w:val="21"/>
        </w:rPr>
        <w:t>的有关规定。</w:t>
      </w:r>
      <w:r>
        <w:rPr>
          <w:sz w:val="21"/>
        </w:rPr>
        <w:t xml:space="preserve"> </w:t>
      </w:r>
    </w:p>
    <w:p w14:paraId="1556D044" w14:textId="77777777" w:rsidR="00A71EEF" w:rsidRDefault="0081115D">
      <w:pPr>
        <w:pStyle w:val="a4"/>
        <w:numPr>
          <w:ilvl w:val="2"/>
          <w:numId w:val="213"/>
        </w:numPr>
        <w:tabs>
          <w:tab w:val="left" w:pos="1371"/>
        </w:tabs>
        <w:spacing w:line="446" w:lineRule="auto"/>
        <w:ind w:left="418" w:right="1604" w:firstLine="422"/>
        <w:jc w:val="left"/>
        <w:rPr>
          <w:sz w:val="19"/>
        </w:rPr>
      </w:pPr>
      <w:r>
        <w:rPr>
          <w:spacing w:val="-3"/>
          <w:sz w:val="21"/>
        </w:rPr>
        <w:t>汽车库、修车库、停车场与石油库、汽车加油加气站的防火间距，应符合现行国家标准《石油库设计规范》</w:t>
      </w:r>
      <w:r>
        <w:rPr>
          <w:sz w:val="21"/>
        </w:rPr>
        <w:t>GB</w:t>
      </w:r>
      <w:r>
        <w:rPr>
          <w:spacing w:val="9"/>
          <w:sz w:val="21"/>
        </w:rPr>
        <w:t xml:space="preserve"> </w:t>
      </w:r>
      <w:r>
        <w:rPr>
          <w:sz w:val="21"/>
        </w:rPr>
        <w:t>50074</w:t>
      </w:r>
      <w:r>
        <w:rPr>
          <w:spacing w:val="-9"/>
          <w:sz w:val="21"/>
        </w:rPr>
        <w:t xml:space="preserve"> </w:t>
      </w:r>
      <w:r>
        <w:rPr>
          <w:spacing w:val="-9"/>
          <w:sz w:val="21"/>
        </w:rPr>
        <w:t>和《汽车加油加气站设计与施工规范》</w:t>
      </w:r>
      <w:r>
        <w:rPr>
          <w:sz w:val="21"/>
        </w:rPr>
        <w:t>GB</w:t>
      </w:r>
      <w:r>
        <w:rPr>
          <w:spacing w:val="6"/>
          <w:sz w:val="21"/>
        </w:rPr>
        <w:t xml:space="preserve"> </w:t>
      </w:r>
      <w:r>
        <w:rPr>
          <w:sz w:val="21"/>
        </w:rPr>
        <w:t>50156</w:t>
      </w:r>
      <w:r>
        <w:rPr>
          <w:spacing w:val="-12"/>
          <w:sz w:val="21"/>
        </w:rPr>
        <w:t xml:space="preserve"> </w:t>
      </w:r>
      <w:r>
        <w:rPr>
          <w:spacing w:val="-12"/>
          <w:sz w:val="21"/>
        </w:rPr>
        <w:t>的有关规</w:t>
      </w:r>
      <w:r>
        <w:rPr>
          <w:spacing w:val="-8"/>
          <w:sz w:val="21"/>
        </w:rPr>
        <w:t>定。</w:t>
      </w:r>
      <w:r>
        <w:rPr>
          <w:sz w:val="21"/>
        </w:rPr>
        <w:t xml:space="preserve"> </w:t>
      </w:r>
    </w:p>
    <w:p w14:paraId="3E807A19" w14:textId="77777777" w:rsidR="00A71EEF" w:rsidRDefault="0081115D">
      <w:pPr>
        <w:pStyle w:val="a4"/>
        <w:numPr>
          <w:ilvl w:val="2"/>
          <w:numId w:val="213"/>
        </w:numPr>
        <w:tabs>
          <w:tab w:val="left" w:pos="1478"/>
        </w:tabs>
        <w:spacing w:line="446" w:lineRule="auto"/>
        <w:ind w:left="418" w:right="1604" w:firstLine="422"/>
        <w:jc w:val="left"/>
        <w:rPr>
          <w:sz w:val="19"/>
        </w:rPr>
      </w:pPr>
      <w:r>
        <w:rPr>
          <w:spacing w:val="-5"/>
          <w:sz w:val="21"/>
        </w:rPr>
        <w:t>停车场的汽车宜分组停放，每组的停车数量不宜大于</w:t>
      </w:r>
      <w:r>
        <w:rPr>
          <w:spacing w:val="-5"/>
          <w:sz w:val="21"/>
        </w:rPr>
        <w:t xml:space="preserve"> </w:t>
      </w:r>
      <w:r>
        <w:rPr>
          <w:sz w:val="21"/>
        </w:rPr>
        <w:t>50</w:t>
      </w:r>
      <w:r>
        <w:rPr>
          <w:spacing w:val="-8"/>
          <w:sz w:val="21"/>
        </w:rPr>
        <w:t xml:space="preserve"> </w:t>
      </w:r>
      <w:r>
        <w:rPr>
          <w:spacing w:val="-8"/>
          <w:sz w:val="21"/>
        </w:rPr>
        <w:t>辆，组之间的防火间距不</w:t>
      </w:r>
      <w:r>
        <w:rPr>
          <w:spacing w:val="-17"/>
          <w:sz w:val="21"/>
        </w:rPr>
        <w:t>应小于</w:t>
      </w:r>
      <w:r>
        <w:rPr>
          <w:spacing w:val="-17"/>
          <w:sz w:val="21"/>
        </w:rPr>
        <w:t xml:space="preserve"> </w:t>
      </w:r>
      <w:r>
        <w:rPr>
          <w:sz w:val="21"/>
        </w:rPr>
        <w:t>6m</w:t>
      </w:r>
      <w:r>
        <w:rPr>
          <w:spacing w:val="-3"/>
          <w:sz w:val="21"/>
        </w:rPr>
        <w:t>。</w:t>
      </w:r>
      <w:r>
        <w:rPr>
          <w:sz w:val="21"/>
        </w:rPr>
        <w:t xml:space="preserve"> </w:t>
      </w:r>
    </w:p>
    <w:p w14:paraId="61D8F02A" w14:textId="77777777" w:rsidR="00A71EEF" w:rsidRDefault="0081115D">
      <w:pPr>
        <w:pStyle w:val="a4"/>
        <w:numPr>
          <w:ilvl w:val="2"/>
          <w:numId w:val="213"/>
        </w:numPr>
        <w:tabs>
          <w:tab w:val="left" w:pos="1478"/>
        </w:tabs>
        <w:ind w:left="1477" w:hanging="638"/>
        <w:jc w:val="left"/>
        <w:rPr>
          <w:sz w:val="19"/>
        </w:rPr>
      </w:pPr>
      <w:r>
        <w:rPr>
          <w:spacing w:val="-3"/>
          <w:sz w:val="21"/>
        </w:rPr>
        <w:t>屋面停车区域与建筑其他部分或相邻其他建筑物的防火间距，应按地面停车场与</w:t>
      </w:r>
    </w:p>
    <w:p w14:paraId="5A82685A" w14:textId="77777777" w:rsidR="00A71EEF" w:rsidRDefault="00A71EEF">
      <w:pPr>
        <w:rPr>
          <w:sz w:val="19"/>
        </w:rPr>
        <w:sectPr w:rsidR="00A71EEF">
          <w:pgSz w:w="11910" w:h="16850"/>
          <w:pgMar w:top="1220" w:right="0" w:bottom="1420" w:left="1260" w:header="0" w:footer="1239" w:gutter="0"/>
          <w:cols w:space="720"/>
        </w:sectPr>
      </w:pPr>
    </w:p>
    <w:p w14:paraId="57EA3084" w14:textId="77777777" w:rsidR="00A71EEF" w:rsidRDefault="0081115D">
      <w:pPr>
        <w:spacing w:before="47" w:line="446" w:lineRule="auto"/>
        <w:ind w:left="840" w:right="7809" w:hanging="423"/>
        <w:rPr>
          <w:b/>
          <w:sz w:val="21"/>
        </w:rPr>
      </w:pPr>
      <w:r>
        <w:rPr>
          <w:spacing w:val="-3"/>
          <w:sz w:val="21"/>
        </w:rPr>
        <w:t>建筑的防火间距确定。</w:t>
      </w:r>
      <w:r>
        <w:rPr>
          <w:spacing w:val="-3"/>
          <w:sz w:val="21"/>
        </w:rPr>
        <w:t xml:space="preserve"> </w:t>
      </w:r>
      <w:r>
        <w:rPr>
          <w:b/>
          <w:spacing w:val="-3"/>
          <w:sz w:val="21"/>
        </w:rPr>
        <w:t xml:space="preserve">4.3 </w:t>
      </w:r>
      <w:r>
        <w:rPr>
          <w:spacing w:val="-3"/>
          <w:sz w:val="21"/>
        </w:rPr>
        <w:t>消防车道</w:t>
      </w:r>
      <w:r>
        <w:rPr>
          <w:b/>
          <w:w w:val="99"/>
          <w:sz w:val="21"/>
        </w:rPr>
        <w:t xml:space="preserve"> </w:t>
      </w:r>
    </w:p>
    <w:p w14:paraId="4E542067" w14:textId="77777777" w:rsidR="00A71EEF" w:rsidRDefault="0081115D">
      <w:pPr>
        <w:pStyle w:val="a4"/>
        <w:numPr>
          <w:ilvl w:val="2"/>
          <w:numId w:val="212"/>
        </w:numPr>
        <w:tabs>
          <w:tab w:val="left" w:pos="1370"/>
        </w:tabs>
        <w:spacing w:line="267" w:lineRule="exact"/>
        <w:ind w:hanging="530"/>
        <w:rPr>
          <w:sz w:val="21"/>
        </w:rPr>
      </w:pPr>
      <w:r>
        <w:rPr>
          <w:spacing w:val="-3"/>
          <w:sz w:val="21"/>
        </w:rPr>
        <w:t>汽车库、修车库周围应设置消防车道。</w:t>
      </w:r>
      <w:r>
        <w:rPr>
          <w:sz w:val="21"/>
        </w:rPr>
        <w:t xml:space="preserve"> </w:t>
      </w:r>
    </w:p>
    <w:p w14:paraId="0C6BF134" w14:textId="77777777" w:rsidR="00A71EEF" w:rsidRDefault="00A71EEF">
      <w:pPr>
        <w:pStyle w:val="a3"/>
        <w:spacing w:before="2"/>
        <w:rPr>
          <w:sz w:val="18"/>
        </w:rPr>
      </w:pPr>
    </w:p>
    <w:p w14:paraId="24110CF1" w14:textId="77777777" w:rsidR="00A71EEF" w:rsidRDefault="0081115D">
      <w:pPr>
        <w:pStyle w:val="a4"/>
        <w:numPr>
          <w:ilvl w:val="2"/>
          <w:numId w:val="212"/>
        </w:numPr>
        <w:tabs>
          <w:tab w:val="left" w:pos="1370"/>
        </w:tabs>
        <w:ind w:hanging="530"/>
        <w:rPr>
          <w:sz w:val="21"/>
        </w:rPr>
      </w:pPr>
      <w:r>
        <w:rPr>
          <w:spacing w:val="-3"/>
          <w:sz w:val="21"/>
        </w:rPr>
        <w:t>消防车道的设置应符合下列要求：</w:t>
      </w:r>
      <w:r>
        <w:rPr>
          <w:sz w:val="21"/>
        </w:rPr>
        <w:t xml:space="preserve"> </w:t>
      </w:r>
    </w:p>
    <w:p w14:paraId="3D2A441B" w14:textId="77777777" w:rsidR="00A71EEF" w:rsidRDefault="00A71EEF">
      <w:pPr>
        <w:pStyle w:val="a3"/>
        <w:rPr>
          <w:sz w:val="18"/>
        </w:rPr>
      </w:pPr>
    </w:p>
    <w:p w14:paraId="19838F63" w14:textId="77777777" w:rsidR="00A71EEF" w:rsidRDefault="0081115D">
      <w:pPr>
        <w:pStyle w:val="a3"/>
        <w:spacing w:line="446" w:lineRule="auto"/>
        <w:ind w:left="418" w:right="1714" w:firstLine="419"/>
      </w:pPr>
      <w:r>
        <w:t xml:space="preserve"> </w:t>
      </w:r>
      <w:r>
        <w:t>除</w:t>
      </w:r>
      <w:r>
        <w:t>Ⅳ</w:t>
      </w:r>
      <w:r>
        <w:t>类汽车库和修车库以外，消防车道应为环形，当设置环形车道有困难时，可沿建筑物的一个长边和另一边设置；</w:t>
      </w:r>
      <w:r>
        <w:t xml:space="preserve"> </w:t>
      </w:r>
    </w:p>
    <w:p w14:paraId="672078B1" w14:textId="77777777" w:rsidR="00A71EEF" w:rsidRDefault="0081115D">
      <w:pPr>
        <w:pStyle w:val="a3"/>
        <w:ind w:left="838"/>
      </w:pPr>
      <w:r>
        <w:t>尽头式消防车道应设置回车道或回车场，回车场的面积不应小于</w:t>
      </w:r>
      <w:r>
        <w:t xml:space="preserve"> 12m×12m</w:t>
      </w:r>
      <w:r>
        <w:t>；</w:t>
      </w:r>
      <w:r>
        <w:t xml:space="preserve"> </w:t>
      </w:r>
    </w:p>
    <w:p w14:paraId="63C31330" w14:textId="77777777" w:rsidR="00A71EEF" w:rsidRDefault="00A71EEF">
      <w:pPr>
        <w:pStyle w:val="a3"/>
        <w:rPr>
          <w:sz w:val="18"/>
        </w:rPr>
      </w:pPr>
    </w:p>
    <w:p w14:paraId="4DC40010" w14:textId="77777777" w:rsidR="00A71EEF" w:rsidRDefault="0081115D">
      <w:pPr>
        <w:pStyle w:val="a3"/>
        <w:ind w:left="838"/>
      </w:pPr>
      <w:r>
        <w:t>消防车道的宽度不应小于</w:t>
      </w:r>
      <w:r>
        <w:t xml:space="preserve"> 4m</w:t>
      </w:r>
      <w:r>
        <w:t>。</w:t>
      </w:r>
      <w:r>
        <w:t xml:space="preserve"> </w:t>
      </w:r>
    </w:p>
    <w:p w14:paraId="734347AB" w14:textId="77777777" w:rsidR="00A71EEF" w:rsidRDefault="00A71EEF">
      <w:pPr>
        <w:pStyle w:val="a3"/>
        <w:spacing w:before="12"/>
        <w:rPr>
          <w:sz w:val="17"/>
        </w:rPr>
      </w:pPr>
    </w:p>
    <w:p w14:paraId="77214D80" w14:textId="77777777" w:rsidR="00A71EEF" w:rsidRDefault="0081115D">
      <w:pPr>
        <w:pStyle w:val="a4"/>
        <w:numPr>
          <w:ilvl w:val="2"/>
          <w:numId w:val="212"/>
        </w:numPr>
        <w:tabs>
          <w:tab w:val="left" w:pos="1370"/>
        </w:tabs>
        <w:spacing w:line="446" w:lineRule="auto"/>
        <w:ind w:left="418" w:right="1762" w:firstLine="422"/>
        <w:rPr>
          <w:sz w:val="21"/>
        </w:rPr>
      </w:pPr>
      <w:r>
        <w:rPr>
          <w:spacing w:val="-5"/>
          <w:sz w:val="21"/>
        </w:rPr>
        <w:t>穿过汽车库、修车库、停车场的消防车道，其净空高度和净宽度均不应小于</w:t>
      </w:r>
      <w:r>
        <w:rPr>
          <w:spacing w:val="-5"/>
          <w:sz w:val="21"/>
        </w:rPr>
        <w:t xml:space="preserve"> </w:t>
      </w:r>
      <w:r>
        <w:rPr>
          <w:sz w:val="21"/>
        </w:rPr>
        <w:t>4m</w:t>
      </w:r>
      <w:r>
        <w:rPr>
          <w:sz w:val="21"/>
        </w:rPr>
        <w:t>；</w:t>
      </w:r>
      <w:r>
        <w:rPr>
          <w:sz w:val="21"/>
        </w:rPr>
        <w:t xml:space="preserve"> </w:t>
      </w:r>
      <w:r>
        <w:rPr>
          <w:spacing w:val="-5"/>
          <w:sz w:val="21"/>
        </w:rPr>
        <w:t>当消防车道上空遇有障碍物时，路面与障碍物之间的净空高度不应小于</w:t>
      </w:r>
      <w:r>
        <w:rPr>
          <w:spacing w:val="-5"/>
          <w:sz w:val="21"/>
        </w:rPr>
        <w:t xml:space="preserve"> </w:t>
      </w:r>
      <w:r>
        <w:rPr>
          <w:sz w:val="21"/>
        </w:rPr>
        <w:t>4m</w:t>
      </w:r>
      <w:r>
        <w:rPr>
          <w:spacing w:val="-3"/>
          <w:sz w:val="21"/>
        </w:rPr>
        <w:t>。</w:t>
      </w:r>
      <w:r>
        <w:rPr>
          <w:sz w:val="21"/>
        </w:rPr>
        <w:t xml:space="preserve"> </w:t>
      </w:r>
    </w:p>
    <w:p w14:paraId="53A7145F" w14:textId="77777777" w:rsidR="00A71EEF" w:rsidRDefault="0081115D">
      <w:pPr>
        <w:pStyle w:val="4"/>
        <w:spacing w:line="277" w:lineRule="exact"/>
      </w:pPr>
      <w:r>
        <w:t xml:space="preserve">5 </w:t>
      </w:r>
      <w:r>
        <w:t>防火分隔和建筑构造</w:t>
      </w:r>
      <w:r>
        <w:rPr>
          <w:w w:val="99"/>
        </w:rPr>
        <w:t xml:space="preserve"> </w:t>
      </w:r>
    </w:p>
    <w:p w14:paraId="4BC55781" w14:textId="77777777" w:rsidR="00A71EEF" w:rsidRDefault="00A71EEF">
      <w:pPr>
        <w:pStyle w:val="a3"/>
        <w:spacing w:before="4"/>
        <w:rPr>
          <w:b/>
          <w:sz w:val="17"/>
        </w:rPr>
      </w:pPr>
    </w:p>
    <w:p w14:paraId="6CBAC547" w14:textId="77777777" w:rsidR="00A71EEF" w:rsidRDefault="0081115D">
      <w:pPr>
        <w:pStyle w:val="a4"/>
        <w:numPr>
          <w:ilvl w:val="1"/>
          <w:numId w:val="211"/>
        </w:numPr>
        <w:tabs>
          <w:tab w:val="left" w:pos="1159"/>
        </w:tabs>
        <w:ind w:hanging="319"/>
        <w:rPr>
          <w:b/>
          <w:sz w:val="21"/>
        </w:rPr>
      </w:pPr>
      <w:r>
        <w:rPr>
          <w:spacing w:val="-3"/>
          <w:sz w:val="21"/>
        </w:rPr>
        <w:t>防火分隔</w:t>
      </w:r>
      <w:r>
        <w:rPr>
          <w:b/>
          <w:w w:val="99"/>
          <w:sz w:val="21"/>
        </w:rPr>
        <w:t xml:space="preserve"> </w:t>
      </w:r>
    </w:p>
    <w:p w14:paraId="542F37B1" w14:textId="77777777" w:rsidR="00A71EEF" w:rsidRDefault="00A71EEF">
      <w:pPr>
        <w:pStyle w:val="a3"/>
        <w:spacing w:before="2"/>
        <w:rPr>
          <w:b/>
          <w:sz w:val="18"/>
        </w:rPr>
      </w:pPr>
    </w:p>
    <w:p w14:paraId="327867BB" w14:textId="77777777" w:rsidR="00A71EEF" w:rsidRDefault="0081115D">
      <w:pPr>
        <w:pStyle w:val="a4"/>
        <w:numPr>
          <w:ilvl w:val="2"/>
          <w:numId w:val="211"/>
        </w:numPr>
        <w:tabs>
          <w:tab w:val="left" w:pos="1371"/>
        </w:tabs>
        <w:rPr>
          <w:sz w:val="21"/>
        </w:rPr>
      </w:pPr>
      <w:r>
        <w:rPr>
          <w:noProof/>
        </w:rPr>
        <w:drawing>
          <wp:anchor distT="0" distB="0" distL="0" distR="0" simplePos="0" relativeHeight="251679232" behindDoc="0" locked="0" layoutInCell="1" allowOverlap="1" wp14:anchorId="12C80011" wp14:editId="1DB74965">
            <wp:simplePos x="0" y="0"/>
            <wp:positionH relativeFrom="page">
              <wp:posOffset>1084580</wp:posOffset>
            </wp:positionH>
            <wp:positionV relativeFrom="paragraph">
              <wp:posOffset>226441</wp:posOffset>
            </wp:positionV>
            <wp:extent cx="5403215" cy="1628775"/>
            <wp:effectExtent l="0" t="0" r="0" b="0"/>
            <wp:wrapTopAndBottom/>
            <wp:docPr id="607" name="image3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image352.jpeg"/>
                    <pic:cNvPicPr/>
                  </pic:nvPicPr>
                  <pic:blipFill>
                    <a:blip r:embed="rId419" cstate="print"/>
                    <a:stretch>
                      <a:fillRect/>
                    </a:stretch>
                  </pic:blipFill>
                  <pic:spPr>
                    <a:xfrm>
                      <a:off x="0" y="0"/>
                      <a:ext cx="5403215" cy="1628775"/>
                    </a:xfrm>
                    <a:prstGeom prst="rect">
                      <a:avLst/>
                    </a:prstGeom>
                  </pic:spPr>
                </pic:pic>
              </a:graphicData>
            </a:graphic>
          </wp:anchor>
        </w:drawing>
      </w:r>
      <w:r>
        <w:rPr>
          <w:spacing w:val="-6"/>
          <w:sz w:val="21"/>
        </w:rPr>
        <w:t>汽车库防火分区的最大允许建筑面积应符合表</w:t>
      </w:r>
      <w:r>
        <w:rPr>
          <w:spacing w:val="-6"/>
          <w:sz w:val="21"/>
        </w:rPr>
        <w:t xml:space="preserve"> </w:t>
      </w:r>
      <w:r>
        <w:rPr>
          <w:sz w:val="21"/>
        </w:rPr>
        <w:t>5.1.1</w:t>
      </w:r>
      <w:r>
        <w:rPr>
          <w:spacing w:val="-9"/>
          <w:sz w:val="21"/>
        </w:rPr>
        <w:t xml:space="preserve"> </w:t>
      </w:r>
      <w:r>
        <w:rPr>
          <w:spacing w:val="-9"/>
          <w:sz w:val="21"/>
        </w:rPr>
        <w:t>的规定。其中，敞开式、错</w:t>
      </w:r>
    </w:p>
    <w:p w14:paraId="50303006" w14:textId="77777777" w:rsidR="00A71EEF" w:rsidRDefault="0081115D">
      <w:pPr>
        <w:pStyle w:val="a3"/>
        <w:spacing w:before="179" w:line="446" w:lineRule="auto"/>
        <w:ind w:left="418" w:right="1608"/>
        <w:jc w:val="both"/>
      </w:pPr>
      <w:r>
        <w:rPr>
          <w:spacing w:val="-3"/>
        </w:rPr>
        <w:t>层式、斜楼板式汽</w:t>
      </w:r>
      <w:r>
        <w:rPr>
          <w:spacing w:val="-3"/>
        </w:rPr>
        <w:t>车库的上下连通层面积应叠加计算，每个防火分区的最大允许建筑面积不应</w:t>
      </w:r>
      <w:r>
        <w:rPr>
          <w:spacing w:val="-13"/>
        </w:rPr>
        <w:t>大于表</w:t>
      </w:r>
      <w:r>
        <w:rPr>
          <w:spacing w:val="-13"/>
        </w:rPr>
        <w:t xml:space="preserve"> </w:t>
      </w:r>
      <w:r>
        <w:t>5.1.1</w:t>
      </w:r>
      <w:r>
        <w:rPr>
          <w:spacing w:val="-19"/>
        </w:rPr>
        <w:t xml:space="preserve"> </w:t>
      </w:r>
      <w:r>
        <w:rPr>
          <w:spacing w:val="-19"/>
        </w:rPr>
        <w:t>规定的</w:t>
      </w:r>
      <w:r>
        <w:rPr>
          <w:spacing w:val="-19"/>
        </w:rPr>
        <w:t xml:space="preserve"> </w:t>
      </w:r>
      <w:r>
        <w:t>2.0</w:t>
      </w:r>
      <w:r>
        <w:rPr>
          <w:spacing w:val="-8"/>
        </w:rPr>
        <w:t xml:space="preserve"> </w:t>
      </w:r>
      <w:r>
        <w:rPr>
          <w:spacing w:val="-8"/>
        </w:rPr>
        <w:t>倍；室内有车道且有人员停留的机械式汽车库，其防火分区最大允许</w:t>
      </w:r>
      <w:r>
        <w:rPr>
          <w:spacing w:val="-12"/>
        </w:rPr>
        <w:t>建筑面积应按表</w:t>
      </w:r>
      <w:r>
        <w:rPr>
          <w:spacing w:val="-12"/>
        </w:rPr>
        <w:t xml:space="preserve"> </w:t>
      </w:r>
      <w:r>
        <w:t>5.1.1</w:t>
      </w:r>
      <w:r>
        <w:rPr>
          <w:spacing w:val="-17"/>
        </w:rPr>
        <w:t xml:space="preserve"> </w:t>
      </w:r>
      <w:r>
        <w:rPr>
          <w:spacing w:val="-17"/>
        </w:rPr>
        <w:t>的规定减少</w:t>
      </w:r>
      <w:r>
        <w:rPr>
          <w:spacing w:val="-17"/>
        </w:rPr>
        <w:t xml:space="preserve"> </w:t>
      </w:r>
      <w:r>
        <w:t>35</w:t>
      </w:r>
      <w:r>
        <w:rPr>
          <w:spacing w:val="-2"/>
        </w:rPr>
        <w:t>％。</w:t>
      </w:r>
      <w:r>
        <w:t xml:space="preserve"> </w:t>
      </w:r>
    </w:p>
    <w:p w14:paraId="63AF2DC5" w14:textId="77777777" w:rsidR="00A71EEF" w:rsidRDefault="0081115D">
      <w:pPr>
        <w:pStyle w:val="a3"/>
        <w:spacing w:line="446" w:lineRule="auto"/>
        <w:ind w:left="418" w:right="1609" w:firstLine="419"/>
      </w:pPr>
      <w:r>
        <w:t>注：除本规范另有规定外，防火分区之间应采用符合本规范规定的防火墙、防火卷帘等分隔。</w:t>
      </w:r>
      <w:r>
        <w:t xml:space="preserve"> </w:t>
      </w:r>
    </w:p>
    <w:p w14:paraId="527BC55E" w14:textId="77777777" w:rsidR="00A71EEF" w:rsidRDefault="0081115D">
      <w:pPr>
        <w:pStyle w:val="a4"/>
        <w:numPr>
          <w:ilvl w:val="2"/>
          <w:numId w:val="211"/>
        </w:numPr>
        <w:tabs>
          <w:tab w:val="left" w:pos="1371"/>
        </w:tabs>
        <w:spacing w:line="446" w:lineRule="auto"/>
        <w:ind w:left="418" w:right="1604" w:firstLine="422"/>
        <w:rPr>
          <w:sz w:val="21"/>
        </w:rPr>
      </w:pPr>
      <w:r>
        <w:rPr>
          <w:spacing w:val="-3"/>
          <w:sz w:val="21"/>
        </w:rPr>
        <w:t>设置自动灭火系统的汽车库，其每个防火分区的最大允许建筑面积不应大于本规范</w:t>
      </w:r>
      <w:r>
        <w:rPr>
          <w:spacing w:val="-28"/>
          <w:sz w:val="21"/>
        </w:rPr>
        <w:t>第</w:t>
      </w:r>
      <w:r>
        <w:rPr>
          <w:spacing w:val="-28"/>
          <w:sz w:val="21"/>
        </w:rPr>
        <w:t xml:space="preserve"> </w:t>
      </w:r>
      <w:r>
        <w:rPr>
          <w:sz w:val="21"/>
        </w:rPr>
        <w:t>5.1.1</w:t>
      </w:r>
      <w:r>
        <w:rPr>
          <w:spacing w:val="-19"/>
          <w:sz w:val="21"/>
        </w:rPr>
        <w:t xml:space="preserve"> </w:t>
      </w:r>
      <w:r>
        <w:rPr>
          <w:spacing w:val="-19"/>
          <w:sz w:val="21"/>
        </w:rPr>
        <w:t>条规定的</w:t>
      </w:r>
      <w:r>
        <w:rPr>
          <w:spacing w:val="-19"/>
          <w:sz w:val="21"/>
        </w:rPr>
        <w:t xml:space="preserve"> </w:t>
      </w:r>
      <w:r>
        <w:rPr>
          <w:sz w:val="21"/>
        </w:rPr>
        <w:t>2.0</w:t>
      </w:r>
      <w:r>
        <w:rPr>
          <w:spacing w:val="-19"/>
          <w:sz w:val="21"/>
        </w:rPr>
        <w:t xml:space="preserve"> </w:t>
      </w:r>
      <w:r>
        <w:rPr>
          <w:spacing w:val="-19"/>
          <w:sz w:val="21"/>
        </w:rPr>
        <w:t>倍。</w:t>
      </w:r>
      <w:r>
        <w:rPr>
          <w:spacing w:val="-19"/>
          <w:sz w:val="21"/>
        </w:rPr>
        <w:t xml:space="preserve"> </w:t>
      </w:r>
    </w:p>
    <w:p w14:paraId="714F8914" w14:textId="77777777" w:rsidR="00A71EEF" w:rsidRDefault="0081115D">
      <w:pPr>
        <w:pStyle w:val="a4"/>
        <w:numPr>
          <w:ilvl w:val="2"/>
          <w:numId w:val="211"/>
        </w:numPr>
        <w:tabs>
          <w:tab w:val="left" w:pos="1370"/>
        </w:tabs>
        <w:ind w:left="1369" w:hanging="530"/>
        <w:rPr>
          <w:sz w:val="21"/>
        </w:rPr>
      </w:pPr>
      <w:r>
        <w:rPr>
          <w:spacing w:val="-3"/>
          <w:sz w:val="21"/>
        </w:rPr>
        <w:t>室内无车道且无人员停留的机械式汽车库，应符合下列规定：</w:t>
      </w:r>
      <w:r>
        <w:rPr>
          <w:spacing w:val="-3"/>
          <w:sz w:val="21"/>
        </w:rPr>
        <w:t xml:space="preserve"> </w:t>
      </w:r>
      <w:r>
        <w:rPr>
          <w:spacing w:val="-2"/>
          <w:sz w:val="21"/>
        </w:rPr>
        <w:t xml:space="preserve"> </w:t>
      </w:r>
      <w:r>
        <w:rPr>
          <w:sz w:val="21"/>
        </w:rPr>
        <w:t xml:space="preserve"> </w:t>
      </w:r>
    </w:p>
    <w:p w14:paraId="134AAD9E" w14:textId="77777777" w:rsidR="00A71EEF" w:rsidRDefault="00A71EEF">
      <w:pPr>
        <w:pStyle w:val="a3"/>
        <w:spacing w:before="9"/>
        <w:rPr>
          <w:sz w:val="17"/>
        </w:rPr>
      </w:pPr>
    </w:p>
    <w:p w14:paraId="32F348DC" w14:textId="77777777" w:rsidR="00A71EEF" w:rsidRDefault="0081115D">
      <w:pPr>
        <w:pStyle w:val="a3"/>
        <w:ind w:left="838"/>
      </w:pPr>
      <w:r>
        <w:t>当停车数量超过</w:t>
      </w:r>
      <w:r>
        <w:t xml:space="preserve"> 100 </w:t>
      </w:r>
      <w:r>
        <w:t>辆时，应采用无门、窗、洞口的防火墙分隔为多个停车数量不大于</w:t>
      </w:r>
    </w:p>
    <w:p w14:paraId="3A3EFE2F" w14:textId="77777777" w:rsidR="00A71EEF" w:rsidRDefault="00A71EEF">
      <w:pPr>
        <w:pStyle w:val="a3"/>
        <w:spacing w:before="2"/>
        <w:rPr>
          <w:sz w:val="18"/>
        </w:rPr>
      </w:pPr>
    </w:p>
    <w:p w14:paraId="1DAA17E2" w14:textId="77777777" w:rsidR="00A71EEF" w:rsidRDefault="0081115D">
      <w:pPr>
        <w:pStyle w:val="a3"/>
        <w:ind w:left="418"/>
        <w:jc w:val="both"/>
      </w:pPr>
      <w:r>
        <w:t xml:space="preserve">100 </w:t>
      </w:r>
      <w:r>
        <w:t>辆的区域，但当采用防火隔墙和耐火极限不低于</w:t>
      </w:r>
      <w:r>
        <w:t xml:space="preserve"> 1.00h </w:t>
      </w:r>
      <w:r>
        <w:t>的不燃性楼板分隔成多个停车单</w:t>
      </w:r>
      <w:r>
        <w:t xml:space="preserve"> </w:t>
      </w:r>
    </w:p>
    <w:p w14:paraId="21630588" w14:textId="77777777" w:rsidR="00A71EEF" w:rsidRDefault="00A71EEF">
      <w:pPr>
        <w:jc w:val="both"/>
        <w:sectPr w:rsidR="00A71EEF">
          <w:pgSz w:w="11910" w:h="16850"/>
          <w:pgMar w:top="1220" w:right="0" w:bottom="1420" w:left="1260" w:header="0" w:footer="1239" w:gutter="0"/>
          <w:cols w:space="720"/>
        </w:sectPr>
      </w:pPr>
    </w:p>
    <w:p w14:paraId="6ED7F05F" w14:textId="77777777" w:rsidR="00A71EEF" w:rsidRDefault="0081115D">
      <w:pPr>
        <w:pStyle w:val="a3"/>
        <w:spacing w:before="47"/>
        <w:ind w:left="418"/>
      </w:pPr>
      <w:r>
        <w:t>元，且停车单元内的停车数量不大于</w:t>
      </w:r>
      <w:r>
        <w:t xml:space="preserve"> 3 </w:t>
      </w:r>
      <w:r>
        <w:t>辆时，应分隔为停车数量不大于</w:t>
      </w:r>
      <w:r>
        <w:t xml:space="preserve"> 300 </w:t>
      </w:r>
      <w:r>
        <w:t>辆的区域；</w:t>
      </w:r>
      <w:r>
        <w:t xml:space="preserve">  </w:t>
      </w:r>
      <w:r>
        <w:t xml:space="preserve"> </w:t>
      </w:r>
    </w:p>
    <w:p w14:paraId="6D2D4EAA" w14:textId="77777777" w:rsidR="00A71EEF" w:rsidRDefault="00A71EEF">
      <w:pPr>
        <w:pStyle w:val="a3"/>
        <w:rPr>
          <w:sz w:val="18"/>
        </w:rPr>
      </w:pPr>
    </w:p>
    <w:p w14:paraId="7E2FCE29" w14:textId="77777777" w:rsidR="00A71EEF" w:rsidRDefault="0081115D">
      <w:pPr>
        <w:pStyle w:val="a3"/>
        <w:spacing w:line="446" w:lineRule="auto"/>
        <w:ind w:left="418" w:right="1609" w:firstLine="419"/>
      </w:pPr>
      <w:r>
        <w:t>汽车库内应设置火灾自动报警系统和自动喷水灭火系统，自动喷水灭火系统应选用快速响应喷头；</w:t>
      </w:r>
      <w:r>
        <w:t xml:space="preserve"> </w:t>
      </w:r>
    </w:p>
    <w:p w14:paraId="0B04E539" w14:textId="77777777" w:rsidR="00A71EEF" w:rsidRDefault="0081115D">
      <w:pPr>
        <w:pStyle w:val="a3"/>
        <w:ind w:left="838"/>
      </w:pPr>
      <w:r>
        <w:t>楼梯间及停车区的检修通道上应设置室内消火栓；</w:t>
      </w:r>
      <w:r>
        <w:t xml:space="preserve"> </w:t>
      </w:r>
    </w:p>
    <w:p w14:paraId="55DA6597" w14:textId="77777777" w:rsidR="00A71EEF" w:rsidRDefault="00A71EEF">
      <w:pPr>
        <w:pStyle w:val="a3"/>
        <w:spacing w:before="12"/>
        <w:rPr>
          <w:sz w:val="17"/>
        </w:rPr>
      </w:pPr>
    </w:p>
    <w:p w14:paraId="3678404D" w14:textId="77777777" w:rsidR="00A71EEF" w:rsidRDefault="0081115D">
      <w:pPr>
        <w:pStyle w:val="a3"/>
        <w:ind w:left="838"/>
      </w:pPr>
      <w:r>
        <w:t>汽车库内应设置排烟设施，排烟口应设置在运输车辆的通道顶部。</w:t>
      </w:r>
      <w:r>
        <w:t xml:space="preserve"> </w:t>
      </w:r>
    </w:p>
    <w:p w14:paraId="3E4799C6" w14:textId="77777777" w:rsidR="00A71EEF" w:rsidRDefault="00A71EEF">
      <w:pPr>
        <w:pStyle w:val="a3"/>
        <w:rPr>
          <w:sz w:val="18"/>
        </w:rPr>
      </w:pPr>
    </w:p>
    <w:p w14:paraId="5BE30590" w14:textId="77777777" w:rsidR="00A71EEF" w:rsidRDefault="0081115D">
      <w:pPr>
        <w:pStyle w:val="a4"/>
        <w:numPr>
          <w:ilvl w:val="2"/>
          <w:numId w:val="211"/>
        </w:numPr>
        <w:tabs>
          <w:tab w:val="left" w:pos="1370"/>
        </w:tabs>
        <w:spacing w:line="439" w:lineRule="auto"/>
        <w:ind w:left="418" w:right="1707" w:firstLine="422"/>
        <w:rPr>
          <w:sz w:val="21"/>
        </w:rPr>
      </w:pPr>
      <w:r>
        <w:rPr>
          <w:spacing w:val="-3"/>
          <w:sz w:val="21"/>
        </w:rPr>
        <w:t>甲、乙类物品运输车的汽车库、修车库，每个防火分区的最大允许建筑面积不应大</w:t>
      </w:r>
      <w:r>
        <w:rPr>
          <w:spacing w:val="-29"/>
          <w:sz w:val="21"/>
        </w:rPr>
        <w:t>于</w:t>
      </w:r>
      <w:r>
        <w:rPr>
          <w:spacing w:val="-29"/>
          <w:sz w:val="21"/>
        </w:rPr>
        <w:t xml:space="preserve"> </w:t>
      </w:r>
      <w:r>
        <w:rPr>
          <w:sz w:val="21"/>
        </w:rPr>
        <w:t>500m</w:t>
      </w:r>
      <w:r>
        <w:rPr>
          <w:position w:val="11"/>
          <w:sz w:val="11"/>
        </w:rPr>
        <w:t>2</w:t>
      </w:r>
      <w:r>
        <w:rPr>
          <w:spacing w:val="-3"/>
          <w:sz w:val="21"/>
        </w:rPr>
        <w:t>。</w:t>
      </w:r>
      <w:r>
        <w:rPr>
          <w:sz w:val="21"/>
        </w:rPr>
        <w:t xml:space="preserve"> </w:t>
      </w:r>
    </w:p>
    <w:p w14:paraId="2F594DD7" w14:textId="77777777" w:rsidR="00A71EEF" w:rsidRDefault="0081115D">
      <w:pPr>
        <w:pStyle w:val="a4"/>
        <w:numPr>
          <w:ilvl w:val="2"/>
          <w:numId w:val="211"/>
        </w:numPr>
        <w:tabs>
          <w:tab w:val="left" w:pos="1370"/>
        </w:tabs>
        <w:spacing w:line="441" w:lineRule="auto"/>
        <w:ind w:left="418" w:right="1608" w:firstLine="422"/>
        <w:rPr>
          <w:sz w:val="21"/>
        </w:rPr>
      </w:pPr>
      <w:r>
        <w:rPr>
          <w:spacing w:val="-5"/>
          <w:sz w:val="21"/>
        </w:rPr>
        <w:t>修车库每个防火分区的最大允许建筑面积不应大于</w:t>
      </w:r>
      <w:r>
        <w:rPr>
          <w:spacing w:val="-5"/>
          <w:sz w:val="21"/>
        </w:rPr>
        <w:t xml:space="preserve"> </w:t>
      </w:r>
      <w:r>
        <w:rPr>
          <w:sz w:val="21"/>
        </w:rPr>
        <w:t>2000m</w:t>
      </w:r>
      <w:r>
        <w:rPr>
          <w:position w:val="11"/>
          <w:sz w:val="11"/>
        </w:rPr>
        <w:t>2</w:t>
      </w:r>
      <w:r>
        <w:rPr>
          <w:spacing w:val="-3"/>
          <w:sz w:val="21"/>
        </w:rPr>
        <w:t>，当修车部位与相邻使用有机溶剂的清洗和喷漆工段采用防火墙分隔时，每个防火分区的最大允许建筑面积不应大于</w:t>
      </w:r>
      <w:r>
        <w:rPr>
          <w:spacing w:val="-3"/>
          <w:sz w:val="21"/>
        </w:rPr>
        <w:t>4000m</w:t>
      </w:r>
      <w:r>
        <w:rPr>
          <w:spacing w:val="-3"/>
          <w:position w:val="11"/>
          <w:sz w:val="11"/>
        </w:rPr>
        <w:t>2</w:t>
      </w:r>
      <w:r>
        <w:rPr>
          <w:spacing w:val="-3"/>
          <w:sz w:val="21"/>
        </w:rPr>
        <w:t>。</w:t>
      </w:r>
      <w:r>
        <w:rPr>
          <w:sz w:val="21"/>
        </w:rPr>
        <w:t xml:space="preserve"> </w:t>
      </w:r>
    </w:p>
    <w:p w14:paraId="100BF37F" w14:textId="77777777" w:rsidR="00A71EEF" w:rsidRDefault="0081115D">
      <w:pPr>
        <w:pStyle w:val="a4"/>
        <w:numPr>
          <w:ilvl w:val="2"/>
          <w:numId w:val="211"/>
        </w:numPr>
        <w:tabs>
          <w:tab w:val="left" w:pos="1370"/>
        </w:tabs>
        <w:spacing w:before="1"/>
        <w:ind w:left="1369" w:hanging="530"/>
        <w:rPr>
          <w:sz w:val="21"/>
        </w:rPr>
      </w:pPr>
      <w:r>
        <w:rPr>
          <w:spacing w:val="-3"/>
          <w:sz w:val="21"/>
        </w:rPr>
        <w:t>汽车库、修车库与其他建筑合建时，应符合下列规定：</w:t>
      </w:r>
      <w:r>
        <w:rPr>
          <w:sz w:val="21"/>
        </w:rPr>
        <w:t xml:space="preserve"> </w:t>
      </w:r>
    </w:p>
    <w:p w14:paraId="35890011" w14:textId="77777777" w:rsidR="00A71EEF" w:rsidRDefault="00A71EEF">
      <w:pPr>
        <w:pStyle w:val="a3"/>
        <w:rPr>
          <w:sz w:val="18"/>
        </w:rPr>
      </w:pPr>
    </w:p>
    <w:p w14:paraId="63D4571A" w14:textId="77777777" w:rsidR="00A71EEF" w:rsidRDefault="0081115D">
      <w:pPr>
        <w:pStyle w:val="a3"/>
        <w:ind w:left="838"/>
      </w:pPr>
      <w:r>
        <w:rPr>
          <w:spacing w:val="-3"/>
        </w:rPr>
        <w:t>当贴邻建造时，应采用防火墙隔开；</w:t>
      </w:r>
      <w:r>
        <w:t xml:space="preserve"> </w:t>
      </w:r>
    </w:p>
    <w:p w14:paraId="641E72DC" w14:textId="77777777" w:rsidR="00A71EEF" w:rsidRDefault="00A71EEF">
      <w:pPr>
        <w:pStyle w:val="a3"/>
        <w:spacing w:before="2"/>
        <w:rPr>
          <w:sz w:val="18"/>
        </w:rPr>
      </w:pPr>
    </w:p>
    <w:p w14:paraId="7F2949C5" w14:textId="77777777" w:rsidR="00A71EEF" w:rsidRDefault="0081115D">
      <w:pPr>
        <w:pStyle w:val="a3"/>
        <w:spacing w:line="446" w:lineRule="auto"/>
        <w:ind w:left="418" w:right="1609" w:firstLine="419"/>
      </w:pPr>
      <w:r>
        <w:rPr>
          <w:spacing w:val="-3"/>
        </w:rPr>
        <w:t>设在建筑物内的汽车库（包括屋顶停车场</w:t>
      </w:r>
      <w:r>
        <w:t>）</w:t>
      </w:r>
      <w:r>
        <w:rPr>
          <w:spacing w:val="-3"/>
        </w:rPr>
        <w:t>、修车库与其他部位之间，应采用防火墙和耐</w:t>
      </w:r>
      <w:r>
        <w:rPr>
          <w:spacing w:val="-11"/>
        </w:rPr>
        <w:t>火极限不低于</w:t>
      </w:r>
      <w:r>
        <w:rPr>
          <w:spacing w:val="-11"/>
        </w:rPr>
        <w:t xml:space="preserve"> </w:t>
      </w:r>
      <w:r>
        <w:t>2.00h</w:t>
      </w:r>
      <w:r>
        <w:rPr>
          <w:spacing w:val="-9"/>
        </w:rPr>
        <w:t xml:space="preserve"> </w:t>
      </w:r>
      <w:r>
        <w:rPr>
          <w:spacing w:val="-9"/>
        </w:rPr>
        <w:t>的不燃性楼板分隔；</w:t>
      </w:r>
      <w:r>
        <w:t xml:space="preserve"> </w:t>
      </w:r>
    </w:p>
    <w:p w14:paraId="6E000153" w14:textId="77777777" w:rsidR="00A71EEF" w:rsidRDefault="0081115D">
      <w:pPr>
        <w:pStyle w:val="a3"/>
        <w:spacing w:line="446" w:lineRule="auto"/>
        <w:ind w:left="418" w:right="2022" w:firstLine="419"/>
      </w:pPr>
      <w:r>
        <w:t>汽车库、修车库的外墙门、洞口的上方，应设置耐火极限不低于</w:t>
      </w:r>
      <w:r>
        <w:t xml:space="preserve"> 1.00h</w:t>
      </w:r>
      <w:r>
        <w:t>、宽度不小于</w:t>
      </w:r>
      <w:r>
        <w:t>1.0m</w:t>
      </w:r>
      <w:r>
        <w:t>、长度不小于开口宽度的不燃性防火挑檐；</w:t>
      </w:r>
      <w:r>
        <w:t xml:space="preserve"> </w:t>
      </w:r>
    </w:p>
    <w:p w14:paraId="113FC99D" w14:textId="77777777" w:rsidR="00A71EEF" w:rsidRDefault="0081115D">
      <w:pPr>
        <w:pStyle w:val="a3"/>
        <w:spacing w:line="446" w:lineRule="auto"/>
        <w:ind w:left="418" w:right="1714" w:firstLine="419"/>
      </w:pPr>
      <w:r>
        <w:rPr>
          <w:spacing w:val="-5"/>
        </w:rPr>
        <w:t>汽车库、修车库的外墙上、下层开口之间墙的高度，不应小于</w:t>
      </w:r>
      <w:r>
        <w:rPr>
          <w:spacing w:val="-5"/>
        </w:rPr>
        <w:t xml:space="preserve"> </w:t>
      </w:r>
      <w:r>
        <w:t>1.2m</w:t>
      </w:r>
      <w:r>
        <w:rPr>
          <w:spacing w:val="-8"/>
        </w:rPr>
        <w:t xml:space="preserve"> </w:t>
      </w:r>
      <w:r>
        <w:rPr>
          <w:spacing w:val="-8"/>
        </w:rPr>
        <w:t>或设置耐火极限不低</w:t>
      </w:r>
      <w:r>
        <w:rPr>
          <w:spacing w:val="-31"/>
        </w:rPr>
        <w:t>于</w:t>
      </w:r>
      <w:r>
        <w:rPr>
          <w:spacing w:val="-31"/>
        </w:rPr>
        <w:t xml:space="preserve"> </w:t>
      </w:r>
      <w:r>
        <w:t>1.00h</w:t>
      </w:r>
      <w:r>
        <w:rPr>
          <w:spacing w:val="-11"/>
        </w:rPr>
        <w:t>、宽度不小于</w:t>
      </w:r>
      <w:r>
        <w:rPr>
          <w:spacing w:val="-11"/>
        </w:rPr>
        <w:t xml:space="preserve"> </w:t>
      </w:r>
      <w:r>
        <w:t>1.0m</w:t>
      </w:r>
      <w:r>
        <w:rPr>
          <w:spacing w:val="-9"/>
        </w:rPr>
        <w:t xml:space="preserve"> </w:t>
      </w:r>
      <w:r>
        <w:rPr>
          <w:spacing w:val="-9"/>
        </w:rPr>
        <w:t>的不燃性防火挑檐。</w:t>
      </w:r>
      <w:r>
        <w:t xml:space="preserve"> </w:t>
      </w:r>
    </w:p>
    <w:p w14:paraId="57263445" w14:textId="77777777" w:rsidR="00A71EEF" w:rsidRDefault="0081115D">
      <w:pPr>
        <w:pStyle w:val="a4"/>
        <w:numPr>
          <w:ilvl w:val="2"/>
          <w:numId w:val="211"/>
        </w:numPr>
        <w:tabs>
          <w:tab w:val="left" w:pos="1371"/>
        </w:tabs>
        <w:spacing w:line="446" w:lineRule="auto"/>
        <w:ind w:left="418" w:right="1604" w:firstLine="422"/>
        <w:rPr>
          <w:sz w:val="21"/>
        </w:rPr>
      </w:pPr>
      <w:r>
        <w:rPr>
          <w:spacing w:val="-3"/>
          <w:sz w:val="21"/>
        </w:rPr>
        <w:t>汽车库内设置修理车位时，停车部位与修车部位之间应采用防火墙和耐火极限不低</w:t>
      </w:r>
      <w:r>
        <w:rPr>
          <w:spacing w:val="-28"/>
          <w:sz w:val="21"/>
        </w:rPr>
        <w:t>于</w:t>
      </w:r>
      <w:r>
        <w:rPr>
          <w:spacing w:val="-28"/>
          <w:sz w:val="21"/>
        </w:rPr>
        <w:t xml:space="preserve"> </w:t>
      </w:r>
      <w:r>
        <w:rPr>
          <w:sz w:val="21"/>
        </w:rPr>
        <w:t>2.00h</w:t>
      </w:r>
      <w:r>
        <w:rPr>
          <w:spacing w:val="-9"/>
          <w:sz w:val="21"/>
        </w:rPr>
        <w:t xml:space="preserve"> </w:t>
      </w:r>
      <w:r>
        <w:rPr>
          <w:spacing w:val="-9"/>
          <w:sz w:val="21"/>
        </w:rPr>
        <w:t>的不燃性楼板分隔。</w:t>
      </w:r>
      <w:r>
        <w:rPr>
          <w:sz w:val="21"/>
        </w:rPr>
        <w:t xml:space="preserve"> </w:t>
      </w:r>
    </w:p>
    <w:p w14:paraId="6FB029A8" w14:textId="77777777" w:rsidR="00A71EEF" w:rsidRDefault="0081115D">
      <w:pPr>
        <w:pStyle w:val="a4"/>
        <w:numPr>
          <w:ilvl w:val="2"/>
          <w:numId w:val="211"/>
        </w:numPr>
        <w:tabs>
          <w:tab w:val="left" w:pos="1371"/>
        </w:tabs>
        <w:spacing w:line="446" w:lineRule="auto"/>
        <w:ind w:left="418" w:right="1604" w:firstLine="422"/>
        <w:rPr>
          <w:b/>
          <w:sz w:val="21"/>
        </w:rPr>
      </w:pPr>
      <w:r>
        <w:rPr>
          <w:spacing w:val="-5"/>
          <w:sz w:val="21"/>
        </w:rPr>
        <w:t>修车库内使用有机溶剂清洗和喷漆的工段，当超过</w:t>
      </w:r>
      <w:r>
        <w:rPr>
          <w:spacing w:val="-5"/>
          <w:sz w:val="21"/>
        </w:rPr>
        <w:t xml:space="preserve"> </w:t>
      </w:r>
      <w:r>
        <w:rPr>
          <w:sz w:val="21"/>
        </w:rPr>
        <w:t>3</w:t>
      </w:r>
      <w:r>
        <w:rPr>
          <w:spacing w:val="-8"/>
          <w:sz w:val="21"/>
        </w:rPr>
        <w:t xml:space="preserve"> </w:t>
      </w:r>
      <w:r>
        <w:rPr>
          <w:spacing w:val="-8"/>
          <w:sz w:val="21"/>
        </w:rPr>
        <w:t>个车位时，均应采用防火隔墙</w:t>
      </w:r>
      <w:r>
        <w:rPr>
          <w:spacing w:val="-6"/>
          <w:sz w:val="21"/>
        </w:rPr>
        <w:t>等分隔措施。</w:t>
      </w:r>
      <w:r>
        <w:rPr>
          <w:b/>
          <w:w w:val="99"/>
          <w:sz w:val="21"/>
        </w:rPr>
        <w:t xml:space="preserve"> </w:t>
      </w:r>
    </w:p>
    <w:p w14:paraId="543B1621" w14:textId="77777777" w:rsidR="00A71EEF" w:rsidRDefault="0081115D">
      <w:pPr>
        <w:pStyle w:val="a4"/>
        <w:numPr>
          <w:ilvl w:val="2"/>
          <w:numId w:val="211"/>
        </w:numPr>
        <w:tabs>
          <w:tab w:val="left" w:pos="1370"/>
        </w:tabs>
        <w:spacing w:line="446" w:lineRule="auto"/>
        <w:ind w:left="418" w:right="1604" w:firstLine="422"/>
        <w:jc w:val="both"/>
        <w:rPr>
          <w:sz w:val="21"/>
        </w:rPr>
      </w:pPr>
      <w:r>
        <w:rPr>
          <w:spacing w:val="-3"/>
          <w:sz w:val="21"/>
        </w:rPr>
        <w:t>附设在汽车库、修车库内的消防控制室、自动灭火系统的设备室、消防水泵房和排</w:t>
      </w:r>
      <w:r>
        <w:rPr>
          <w:spacing w:val="-5"/>
          <w:sz w:val="21"/>
        </w:rPr>
        <w:t>烟、通风空气调节机房等，应采用防火隔墙和耐火极限不低于</w:t>
      </w:r>
      <w:r>
        <w:rPr>
          <w:spacing w:val="-5"/>
          <w:sz w:val="21"/>
        </w:rPr>
        <w:t xml:space="preserve"> </w:t>
      </w:r>
      <w:r>
        <w:rPr>
          <w:sz w:val="21"/>
        </w:rPr>
        <w:t>1.50h</w:t>
      </w:r>
      <w:r>
        <w:rPr>
          <w:spacing w:val="-7"/>
          <w:sz w:val="21"/>
        </w:rPr>
        <w:t xml:space="preserve"> </w:t>
      </w:r>
      <w:r>
        <w:rPr>
          <w:spacing w:val="-7"/>
          <w:sz w:val="21"/>
        </w:rPr>
        <w:t>的不燃性楼板相互隔开或</w:t>
      </w:r>
      <w:r>
        <w:rPr>
          <w:spacing w:val="-5"/>
          <w:sz w:val="21"/>
        </w:rPr>
        <w:t>与相邻部位分隔。</w:t>
      </w:r>
      <w:r>
        <w:rPr>
          <w:sz w:val="21"/>
        </w:rPr>
        <w:t xml:space="preserve"> </w:t>
      </w:r>
    </w:p>
    <w:p w14:paraId="79CCD2D1" w14:textId="77777777" w:rsidR="00A71EEF" w:rsidRDefault="0081115D">
      <w:pPr>
        <w:pStyle w:val="a4"/>
        <w:numPr>
          <w:ilvl w:val="1"/>
          <w:numId w:val="211"/>
        </w:numPr>
        <w:tabs>
          <w:tab w:val="left" w:pos="1160"/>
        </w:tabs>
        <w:spacing w:line="268" w:lineRule="exact"/>
        <w:ind w:left="1159" w:hanging="320"/>
        <w:rPr>
          <w:b/>
          <w:sz w:val="21"/>
        </w:rPr>
      </w:pPr>
      <w:r>
        <w:rPr>
          <w:spacing w:val="-3"/>
          <w:sz w:val="21"/>
        </w:rPr>
        <w:t>防火墙、防火隔墙和防火卷帘</w:t>
      </w:r>
      <w:r>
        <w:rPr>
          <w:b/>
          <w:w w:val="99"/>
          <w:sz w:val="21"/>
        </w:rPr>
        <w:t xml:space="preserve"> </w:t>
      </w:r>
    </w:p>
    <w:p w14:paraId="41C08C2B" w14:textId="77777777" w:rsidR="00A71EEF" w:rsidRDefault="00A71EEF">
      <w:pPr>
        <w:pStyle w:val="a3"/>
        <w:spacing w:before="8"/>
        <w:rPr>
          <w:b/>
          <w:sz w:val="17"/>
        </w:rPr>
      </w:pPr>
    </w:p>
    <w:p w14:paraId="12CE2B5C" w14:textId="77777777" w:rsidR="00A71EEF" w:rsidRDefault="0081115D">
      <w:pPr>
        <w:pStyle w:val="a4"/>
        <w:numPr>
          <w:ilvl w:val="2"/>
          <w:numId w:val="211"/>
        </w:numPr>
        <w:tabs>
          <w:tab w:val="left" w:pos="1424"/>
        </w:tabs>
        <w:spacing w:line="446" w:lineRule="auto"/>
        <w:ind w:left="418" w:right="1608" w:firstLine="422"/>
        <w:rPr>
          <w:sz w:val="21"/>
        </w:rPr>
      </w:pPr>
      <w:r>
        <w:rPr>
          <w:spacing w:val="-3"/>
          <w:sz w:val="21"/>
        </w:rPr>
        <w:t>防火墙应直接设置在建筑的基础或框架、梁等承重结构上，框架、梁等承重结构的耐火极限不应低于防火墙的耐火极限。防火墙、防火隔墙应从楼地面基层隔断至梁、楼板或屋</w:t>
      </w:r>
    </w:p>
    <w:p w14:paraId="0A6224D1" w14:textId="77777777" w:rsidR="00A71EEF" w:rsidRDefault="00A71EEF">
      <w:pPr>
        <w:spacing w:line="446" w:lineRule="auto"/>
        <w:rPr>
          <w:sz w:val="21"/>
        </w:rPr>
        <w:sectPr w:rsidR="00A71EEF">
          <w:pgSz w:w="11910" w:h="16850"/>
          <w:pgMar w:top="1220" w:right="0" w:bottom="1420" w:left="1260" w:header="0" w:footer="1239" w:gutter="0"/>
          <w:cols w:space="720"/>
        </w:sectPr>
      </w:pPr>
    </w:p>
    <w:p w14:paraId="722B28D6" w14:textId="77777777" w:rsidR="00A71EEF" w:rsidRDefault="0081115D">
      <w:pPr>
        <w:pStyle w:val="a3"/>
        <w:spacing w:before="47"/>
        <w:ind w:left="418"/>
      </w:pPr>
      <w:r>
        <w:t>面结构层的底面。</w:t>
      </w:r>
      <w:r>
        <w:t xml:space="preserve"> </w:t>
      </w:r>
    </w:p>
    <w:p w14:paraId="7CCA7B72" w14:textId="77777777" w:rsidR="00A71EEF" w:rsidRDefault="00A71EEF">
      <w:pPr>
        <w:pStyle w:val="a3"/>
        <w:rPr>
          <w:sz w:val="18"/>
        </w:rPr>
      </w:pPr>
    </w:p>
    <w:p w14:paraId="7EEEBF38" w14:textId="77777777" w:rsidR="00A71EEF" w:rsidRDefault="0081115D">
      <w:pPr>
        <w:pStyle w:val="a4"/>
        <w:numPr>
          <w:ilvl w:val="2"/>
          <w:numId w:val="211"/>
        </w:numPr>
        <w:tabs>
          <w:tab w:val="left" w:pos="1371"/>
        </w:tabs>
        <w:spacing w:line="446" w:lineRule="auto"/>
        <w:ind w:left="418" w:right="1604" w:firstLine="422"/>
        <w:rPr>
          <w:sz w:val="21"/>
        </w:rPr>
      </w:pPr>
      <w:r>
        <w:rPr>
          <w:spacing w:val="-5"/>
          <w:sz w:val="21"/>
        </w:rPr>
        <w:t>当汽车库、修车库的屋面板为不燃材料且耐火极限不低于</w:t>
      </w:r>
      <w:r>
        <w:rPr>
          <w:spacing w:val="-5"/>
          <w:sz w:val="21"/>
        </w:rPr>
        <w:t xml:space="preserve"> </w:t>
      </w:r>
      <w:r>
        <w:rPr>
          <w:sz w:val="21"/>
        </w:rPr>
        <w:t>0.50h</w:t>
      </w:r>
      <w:r>
        <w:rPr>
          <w:spacing w:val="-8"/>
          <w:sz w:val="21"/>
        </w:rPr>
        <w:t xml:space="preserve"> </w:t>
      </w:r>
      <w:r>
        <w:rPr>
          <w:spacing w:val="-8"/>
          <w:sz w:val="21"/>
        </w:rPr>
        <w:t>时，防火墙、防火</w:t>
      </w:r>
      <w:r>
        <w:rPr>
          <w:spacing w:val="-5"/>
          <w:sz w:val="21"/>
        </w:rPr>
        <w:t>隔墙可砌至屋面基层的底部。</w:t>
      </w:r>
      <w:r>
        <w:rPr>
          <w:sz w:val="21"/>
        </w:rPr>
        <w:t xml:space="preserve"> </w:t>
      </w:r>
    </w:p>
    <w:p w14:paraId="282ABC75" w14:textId="77777777" w:rsidR="00A71EEF" w:rsidRDefault="0081115D">
      <w:pPr>
        <w:pStyle w:val="a4"/>
        <w:numPr>
          <w:ilvl w:val="2"/>
          <w:numId w:val="211"/>
        </w:numPr>
        <w:tabs>
          <w:tab w:val="left" w:pos="1370"/>
        </w:tabs>
        <w:spacing w:line="446" w:lineRule="auto"/>
        <w:ind w:left="418" w:right="1604" w:firstLine="422"/>
        <w:rPr>
          <w:sz w:val="21"/>
        </w:rPr>
      </w:pPr>
      <w:r>
        <w:rPr>
          <w:spacing w:val="-3"/>
          <w:sz w:val="21"/>
        </w:rPr>
        <w:t>三级耐火等级汽车库、修车库的防火墙、防火隔墙应截断其屋顶结构，并应高出其</w:t>
      </w:r>
      <w:r>
        <w:rPr>
          <w:spacing w:val="-9"/>
          <w:sz w:val="21"/>
        </w:rPr>
        <w:t>不燃性屋面不小于</w:t>
      </w:r>
      <w:r>
        <w:rPr>
          <w:spacing w:val="-9"/>
          <w:sz w:val="21"/>
        </w:rPr>
        <w:t xml:space="preserve"> </w:t>
      </w:r>
      <w:r>
        <w:rPr>
          <w:sz w:val="21"/>
        </w:rPr>
        <w:t>0.4m</w:t>
      </w:r>
      <w:r>
        <w:rPr>
          <w:spacing w:val="-7"/>
          <w:sz w:val="21"/>
        </w:rPr>
        <w:t>；高出可燃性或难燃性屋面不小于</w:t>
      </w:r>
      <w:r>
        <w:rPr>
          <w:spacing w:val="-7"/>
          <w:sz w:val="21"/>
        </w:rPr>
        <w:t xml:space="preserve"> </w:t>
      </w:r>
      <w:r>
        <w:rPr>
          <w:sz w:val="21"/>
        </w:rPr>
        <w:t>0.5m</w:t>
      </w:r>
      <w:r>
        <w:rPr>
          <w:spacing w:val="-3"/>
          <w:sz w:val="21"/>
        </w:rPr>
        <w:t>。</w:t>
      </w:r>
      <w:r>
        <w:rPr>
          <w:sz w:val="21"/>
        </w:rPr>
        <w:t xml:space="preserve"> </w:t>
      </w:r>
    </w:p>
    <w:p w14:paraId="0A8CAAC0" w14:textId="77777777" w:rsidR="00A71EEF" w:rsidRDefault="0081115D">
      <w:pPr>
        <w:pStyle w:val="a4"/>
        <w:numPr>
          <w:ilvl w:val="2"/>
          <w:numId w:val="211"/>
        </w:numPr>
        <w:tabs>
          <w:tab w:val="left" w:pos="1370"/>
        </w:tabs>
        <w:spacing w:line="446" w:lineRule="auto"/>
        <w:ind w:left="418" w:right="1603" w:firstLine="422"/>
        <w:rPr>
          <w:sz w:val="21"/>
        </w:rPr>
      </w:pPr>
      <w:r>
        <w:rPr>
          <w:spacing w:val="-3"/>
          <w:sz w:val="21"/>
        </w:rPr>
        <w:t>防火墙不宜设在汽车库、修车库的内转角处。当设</w:t>
      </w:r>
      <w:r>
        <w:rPr>
          <w:spacing w:val="-3"/>
          <w:sz w:val="21"/>
        </w:rPr>
        <w:t>在转角处时，内转角处两侧墙上</w:t>
      </w:r>
      <w:r>
        <w:rPr>
          <w:spacing w:val="-5"/>
          <w:sz w:val="21"/>
        </w:rPr>
        <w:t>的门、窗、洞口之间的水平距离不应小于</w:t>
      </w:r>
      <w:r>
        <w:rPr>
          <w:spacing w:val="-5"/>
          <w:sz w:val="21"/>
        </w:rPr>
        <w:t xml:space="preserve"> </w:t>
      </w:r>
      <w:r>
        <w:rPr>
          <w:sz w:val="21"/>
        </w:rPr>
        <w:t>4m</w:t>
      </w:r>
      <w:r>
        <w:rPr>
          <w:spacing w:val="-3"/>
          <w:sz w:val="21"/>
        </w:rPr>
        <w:t>。防火墙两侧的门、窗、洞口之间最近边缘的水</w:t>
      </w:r>
      <w:r>
        <w:rPr>
          <w:spacing w:val="-10"/>
          <w:sz w:val="21"/>
        </w:rPr>
        <w:t>平距离不应小于</w:t>
      </w:r>
      <w:r>
        <w:rPr>
          <w:spacing w:val="-10"/>
          <w:sz w:val="21"/>
        </w:rPr>
        <w:t xml:space="preserve"> </w:t>
      </w:r>
      <w:r>
        <w:rPr>
          <w:sz w:val="21"/>
        </w:rPr>
        <w:t>2m</w:t>
      </w:r>
      <w:r>
        <w:rPr>
          <w:spacing w:val="-3"/>
          <w:sz w:val="21"/>
        </w:rPr>
        <w:t>。当防火墙两侧设置固定乙级防火窗时，可不受距离的限制。</w:t>
      </w:r>
      <w:r>
        <w:rPr>
          <w:spacing w:val="-3"/>
          <w:sz w:val="21"/>
        </w:rPr>
        <w:t xml:space="preserve"> </w:t>
      </w:r>
    </w:p>
    <w:p w14:paraId="517F3DD9" w14:textId="77777777" w:rsidR="00A71EEF" w:rsidRDefault="0081115D">
      <w:pPr>
        <w:pStyle w:val="a4"/>
        <w:numPr>
          <w:ilvl w:val="2"/>
          <w:numId w:val="211"/>
        </w:numPr>
        <w:tabs>
          <w:tab w:val="left" w:pos="1371"/>
        </w:tabs>
        <w:spacing w:line="446" w:lineRule="auto"/>
        <w:ind w:left="418" w:right="1604" w:firstLine="422"/>
        <w:jc w:val="both"/>
        <w:rPr>
          <w:sz w:val="21"/>
        </w:rPr>
      </w:pPr>
      <w:r>
        <w:rPr>
          <w:spacing w:val="-3"/>
          <w:sz w:val="21"/>
        </w:rPr>
        <w:t>可燃气体和甲、乙类液体管道严禁穿过防火墙，防火墙内不应设置排气道。防火墙或防火隔墙上不应设置通风孔道，也不宜穿过其他管道（</w:t>
      </w:r>
      <w:r>
        <w:rPr>
          <w:sz w:val="21"/>
        </w:rPr>
        <w:t>线）</w:t>
      </w:r>
      <w:r>
        <w:rPr>
          <w:spacing w:val="-3"/>
          <w:sz w:val="21"/>
        </w:rPr>
        <w:t>；当管道</w:t>
      </w:r>
      <w:r>
        <w:rPr>
          <w:sz w:val="21"/>
        </w:rPr>
        <w:t>（</w:t>
      </w:r>
      <w:r>
        <w:rPr>
          <w:spacing w:val="-3"/>
          <w:sz w:val="21"/>
        </w:rPr>
        <w:t>线</w:t>
      </w:r>
      <w:r>
        <w:rPr>
          <w:sz w:val="21"/>
        </w:rPr>
        <w:t>）</w:t>
      </w:r>
      <w:r>
        <w:rPr>
          <w:spacing w:val="-3"/>
          <w:sz w:val="21"/>
        </w:rPr>
        <w:t>穿过防火墙或防火隔墙时，应采用防火封堵材料将孔洞周围的空隙紧密填塞。</w:t>
      </w:r>
      <w:r>
        <w:rPr>
          <w:sz w:val="21"/>
        </w:rPr>
        <w:t xml:space="preserve"> </w:t>
      </w:r>
    </w:p>
    <w:p w14:paraId="19748D38" w14:textId="77777777" w:rsidR="00A71EEF" w:rsidRDefault="0081115D">
      <w:pPr>
        <w:pStyle w:val="a4"/>
        <w:numPr>
          <w:ilvl w:val="2"/>
          <w:numId w:val="211"/>
        </w:numPr>
        <w:tabs>
          <w:tab w:val="left" w:pos="1371"/>
        </w:tabs>
        <w:spacing w:line="446" w:lineRule="auto"/>
        <w:ind w:left="418" w:right="1604" w:firstLine="422"/>
        <w:jc w:val="both"/>
        <w:rPr>
          <w:sz w:val="21"/>
        </w:rPr>
      </w:pPr>
      <w:r>
        <w:rPr>
          <w:spacing w:val="-3"/>
          <w:sz w:val="21"/>
        </w:rPr>
        <w:t>防火墙或防火隔墙上不宜开设门、窗、洞口，当必须开设时，应设置甲级防火门、</w:t>
      </w:r>
      <w:r>
        <w:rPr>
          <w:spacing w:val="-8"/>
          <w:sz w:val="21"/>
        </w:rPr>
        <w:t>窗、或耐火极限不低于</w:t>
      </w:r>
      <w:r>
        <w:rPr>
          <w:spacing w:val="-8"/>
          <w:sz w:val="21"/>
        </w:rPr>
        <w:t xml:space="preserve"> </w:t>
      </w:r>
      <w:r>
        <w:rPr>
          <w:sz w:val="21"/>
        </w:rPr>
        <w:t>3.00h</w:t>
      </w:r>
      <w:r>
        <w:rPr>
          <w:spacing w:val="-10"/>
          <w:sz w:val="21"/>
        </w:rPr>
        <w:t xml:space="preserve"> </w:t>
      </w:r>
      <w:r>
        <w:rPr>
          <w:spacing w:val="-10"/>
          <w:sz w:val="21"/>
        </w:rPr>
        <w:t>的防火卷帘。</w:t>
      </w:r>
      <w:r>
        <w:rPr>
          <w:sz w:val="21"/>
        </w:rPr>
        <w:t xml:space="preserve"> </w:t>
      </w:r>
    </w:p>
    <w:p w14:paraId="275A5997" w14:textId="77777777" w:rsidR="00A71EEF" w:rsidRDefault="0081115D">
      <w:pPr>
        <w:pStyle w:val="a4"/>
        <w:numPr>
          <w:ilvl w:val="2"/>
          <w:numId w:val="211"/>
        </w:numPr>
        <w:tabs>
          <w:tab w:val="left" w:pos="1371"/>
        </w:tabs>
        <w:spacing w:line="446" w:lineRule="auto"/>
        <w:ind w:left="418" w:right="1662" w:firstLine="422"/>
        <w:jc w:val="both"/>
        <w:rPr>
          <w:sz w:val="21"/>
        </w:rPr>
      </w:pPr>
      <w:r>
        <w:rPr>
          <w:spacing w:val="-3"/>
          <w:sz w:val="21"/>
        </w:rPr>
        <w:t>设置在车道上的防火卷帘的耐火极限，应符合现行国家标准《门和卷帘的耐火试验</w:t>
      </w:r>
      <w:r>
        <w:rPr>
          <w:spacing w:val="-2"/>
          <w:sz w:val="21"/>
        </w:rPr>
        <w:t>方法》</w:t>
      </w:r>
      <w:r>
        <w:rPr>
          <w:sz w:val="21"/>
        </w:rPr>
        <w:t>GB/T</w:t>
      </w:r>
      <w:r>
        <w:rPr>
          <w:spacing w:val="25"/>
          <w:sz w:val="21"/>
        </w:rPr>
        <w:t xml:space="preserve"> </w:t>
      </w:r>
      <w:r>
        <w:rPr>
          <w:sz w:val="21"/>
        </w:rPr>
        <w:t>7633</w:t>
      </w:r>
      <w:r>
        <w:rPr>
          <w:spacing w:val="-8"/>
          <w:sz w:val="21"/>
        </w:rPr>
        <w:t xml:space="preserve"> </w:t>
      </w:r>
      <w:r>
        <w:rPr>
          <w:spacing w:val="-8"/>
          <w:sz w:val="21"/>
        </w:rPr>
        <w:t>有关耐火完整性的判定标准；设置在停车区域上的防火卷帘的耐火极限，应</w:t>
      </w:r>
      <w:r>
        <w:rPr>
          <w:spacing w:val="-4"/>
          <w:sz w:val="21"/>
        </w:rPr>
        <w:t>符合现行国家标准《门和卷帘的耐火试验方法》</w:t>
      </w:r>
      <w:r>
        <w:rPr>
          <w:sz w:val="21"/>
        </w:rPr>
        <w:t>GB/T</w:t>
      </w:r>
      <w:r>
        <w:rPr>
          <w:spacing w:val="25"/>
          <w:sz w:val="21"/>
        </w:rPr>
        <w:t xml:space="preserve"> </w:t>
      </w:r>
      <w:r>
        <w:rPr>
          <w:sz w:val="21"/>
        </w:rPr>
        <w:t>7633</w:t>
      </w:r>
      <w:r>
        <w:rPr>
          <w:spacing w:val="-8"/>
          <w:sz w:val="21"/>
        </w:rPr>
        <w:t xml:space="preserve"> </w:t>
      </w:r>
      <w:r>
        <w:rPr>
          <w:spacing w:val="-8"/>
          <w:sz w:val="21"/>
        </w:rPr>
        <w:t>有关耐火完整性和耐火隔热性的判</w:t>
      </w:r>
      <w:r>
        <w:rPr>
          <w:spacing w:val="-4"/>
          <w:sz w:val="21"/>
        </w:rPr>
        <w:t>定标准。</w:t>
      </w:r>
      <w:r>
        <w:rPr>
          <w:sz w:val="21"/>
        </w:rPr>
        <w:t xml:space="preserve"> </w:t>
      </w:r>
    </w:p>
    <w:p w14:paraId="502BAAD4" w14:textId="77777777" w:rsidR="00A71EEF" w:rsidRDefault="0081115D">
      <w:pPr>
        <w:pStyle w:val="a4"/>
        <w:numPr>
          <w:ilvl w:val="1"/>
          <w:numId w:val="211"/>
        </w:numPr>
        <w:tabs>
          <w:tab w:val="left" w:pos="1160"/>
        </w:tabs>
        <w:spacing w:line="266" w:lineRule="exact"/>
        <w:ind w:left="1159" w:hanging="320"/>
        <w:rPr>
          <w:b/>
          <w:sz w:val="21"/>
        </w:rPr>
      </w:pPr>
      <w:r>
        <w:rPr>
          <w:spacing w:val="-3"/>
          <w:sz w:val="21"/>
        </w:rPr>
        <w:t>电梯井、管道井和其他防火构造</w:t>
      </w:r>
      <w:r>
        <w:rPr>
          <w:b/>
          <w:w w:val="99"/>
          <w:sz w:val="21"/>
        </w:rPr>
        <w:t xml:space="preserve"> </w:t>
      </w:r>
    </w:p>
    <w:p w14:paraId="364570F7" w14:textId="77777777" w:rsidR="00A71EEF" w:rsidRDefault="00A71EEF">
      <w:pPr>
        <w:pStyle w:val="a3"/>
        <w:spacing w:before="10"/>
        <w:rPr>
          <w:b/>
          <w:sz w:val="17"/>
        </w:rPr>
      </w:pPr>
    </w:p>
    <w:p w14:paraId="210B876D" w14:textId="77777777" w:rsidR="00A71EEF" w:rsidRDefault="0081115D">
      <w:pPr>
        <w:pStyle w:val="a4"/>
        <w:numPr>
          <w:ilvl w:val="2"/>
          <w:numId w:val="211"/>
        </w:numPr>
        <w:tabs>
          <w:tab w:val="left" w:pos="1370"/>
        </w:tabs>
        <w:spacing w:line="446" w:lineRule="auto"/>
        <w:ind w:left="418" w:right="1661" w:firstLine="422"/>
        <w:jc w:val="both"/>
        <w:rPr>
          <w:sz w:val="21"/>
        </w:rPr>
      </w:pPr>
      <w:r>
        <w:rPr>
          <w:spacing w:val="-3"/>
          <w:sz w:val="21"/>
        </w:rPr>
        <w:t>电梯井、管道井、电缆井和楼梯间应分别独立设置。管道井、电缆井的井壁应采用</w:t>
      </w:r>
      <w:r>
        <w:rPr>
          <w:spacing w:val="-5"/>
          <w:sz w:val="21"/>
        </w:rPr>
        <w:t>不燃材料，且耐火</w:t>
      </w:r>
      <w:r>
        <w:rPr>
          <w:spacing w:val="-5"/>
          <w:sz w:val="21"/>
        </w:rPr>
        <w:t>极限不应低于</w:t>
      </w:r>
      <w:r>
        <w:rPr>
          <w:spacing w:val="-5"/>
          <w:sz w:val="21"/>
        </w:rPr>
        <w:t xml:space="preserve"> </w:t>
      </w:r>
      <w:r>
        <w:rPr>
          <w:sz w:val="21"/>
        </w:rPr>
        <w:t>1.00h</w:t>
      </w:r>
      <w:r>
        <w:rPr>
          <w:spacing w:val="-3"/>
          <w:sz w:val="21"/>
        </w:rPr>
        <w:t>。电梯井的井壁应采用不燃材料，且耐火极限不应低于</w:t>
      </w:r>
      <w:r>
        <w:rPr>
          <w:spacing w:val="-3"/>
          <w:sz w:val="21"/>
        </w:rPr>
        <w:t>2.00h</w:t>
      </w:r>
      <w:r>
        <w:rPr>
          <w:spacing w:val="-3"/>
          <w:sz w:val="21"/>
        </w:rPr>
        <w:t>。</w:t>
      </w:r>
      <w:r>
        <w:rPr>
          <w:sz w:val="21"/>
        </w:rPr>
        <w:t xml:space="preserve"> </w:t>
      </w:r>
      <w:r>
        <w:rPr>
          <w:spacing w:val="-2"/>
          <w:sz w:val="21"/>
        </w:rPr>
        <w:t xml:space="preserve"> </w:t>
      </w:r>
      <w:r>
        <w:rPr>
          <w:sz w:val="21"/>
        </w:rPr>
        <w:t xml:space="preserve"> </w:t>
      </w:r>
    </w:p>
    <w:p w14:paraId="52573651" w14:textId="77777777" w:rsidR="00A71EEF" w:rsidRDefault="0081115D">
      <w:pPr>
        <w:pStyle w:val="a4"/>
        <w:numPr>
          <w:ilvl w:val="2"/>
          <w:numId w:val="211"/>
        </w:numPr>
        <w:tabs>
          <w:tab w:val="left" w:pos="1370"/>
        </w:tabs>
        <w:spacing w:line="446" w:lineRule="auto"/>
        <w:ind w:left="418" w:right="1707" w:firstLine="422"/>
        <w:jc w:val="both"/>
        <w:rPr>
          <w:sz w:val="21"/>
        </w:rPr>
      </w:pPr>
      <w:r>
        <w:rPr>
          <w:spacing w:val="-3"/>
          <w:sz w:val="21"/>
        </w:rPr>
        <w:t>电缆井、管道井应在每层楼板处采用不燃材料或防火封堵材料进行分隔，且分隔后的耐火极限不应低于楼板的耐火极限，井壁上的检查门应采用丙级防火门。</w:t>
      </w:r>
      <w:r>
        <w:rPr>
          <w:spacing w:val="-3"/>
          <w:sz w:val="21"/>
        </w:rPr>
        <w:t xml:space="preserve"> </w:t>
      </w:r>
    </w:p>
    <w:p w14:paraId="76CB9378" w14:textId="77777777" w:rsidR="00A71EEF" w:rsidRDefault="0081115D">
      <w:pPr>
        <w:pStyle w:val="a4"/>
        <w:numPr>
          <w:ilvl w:val="2"/>
          <w:numId w:val="211"/>
        </w:numPr>
        <w:tabs>
          <w:tab w:val="left" w:pos="1370"/>
        </w:tabs>
        <w:spacing w:line="446" w:lineRule="auto"/>
        <w:ind w:left="418" w:right="1604" w:firstLine="422"/>
        <w:rPr>
          <w:sz w:val="21"/>
        </w:rPr>
      </w:pPr>
      <w:r>
        <w:rPr>
          <w:spacing w:val="-3"/>
          <w:sz w:val="21"/>
        </w:rPr>
        <w:t>除敞开式汽车库、斜楼板式汽车库外，其他汽车库内的汽车坡道两侧应采用防火墙与停车区隔开，坡道的出入口应采用水幕、防火卷帘或甲级防火门等与停车区隔开；但当汽车库和汽车坡道上均设置自动灭火系统时，坡道的出入口可不设置水幕、防火卷帘或甲级防火</w:t>
      </w:r>
      <w:r>
        <w:rPr>
          <w:spacing w:val="-3"/>
          <w:sz w:val="21"/>
        </w:rPr>
        <w:t xml:space="preserve"> </w:t>
      </w:r>
      <w:r>
        <w:rPr>
          <w:spacing w:val="-3"/>
          <w:sz w:val="21"/>
        </w:rPr>
        <w:t>门。</w:t>
      </w:r>
      <w:r>
        <w:rPr>
          <w:sz w:val="21"/>
        </w:rPr>
        <w:t xml:space="preserve"> </w:t>
      </w:r>
    </w:p>
    <w:p w14:paraId="7AE55ED2" w14:textId="77777777" w:rsidR="00A71EEF" w:rsidRDefault="0081115D">
      <w:pPr>
        <w:pStyle w:val="a4"/>
        <w:numPr>
          <w:ilvl w:val="2"/>
          <w:numId w:val="211"/>
        </w:numPr>
        <w:tabs>
          <w:tab w:val="left" w:pos="1371"/>
        </w:tabs>
        <w:rPr>
          <w:sz w:val="21"/>
        </w:rPr>
      </w:pPr>
      <w:r>
        <w:rPr>
          <w:spacing w:val="-3"/>
          <w:sz w:val="21"/>
        </w:rPr>
        <w:t>汽车库、修车库的内部装修，应符合现</w:t>
      </w:r>
      <w:r>
        <w:rPr>
          <w:spacing w:val="-3"/>
          <w:sz w:val="21"/>
        </w:rPr>
        <w:t>行国家标准《建筑内部装修设计防火规范》</w:t>
      </w:r>
    </w:p>
    <w:p w14:paraId="4C73A4C9" w14:textId="77777777" w:rsidR="00A71EEF" w:rsidRDefault="00A71EEF">
      <w:pPr>
        <w:rPr>
          <w:sz w:val="21"/>
        </w:rPr>
        <w:sectPr w:rsidR="00A71EEF">
          <w:pgSz w:w="11910" w:h="16850"/>
          <w:pgMar w:top="1220" w:right="0" w:bottom="1420" w:left="1260" w:header="0" w:footer="1239" w:gutter="0"/>
          <w:cols w:space="720"/>
        </w:sectPr>
      </w:pPr>
    </w:p>
    <w:p w14:paraId="0B858EA9" w14:textId="77777777" w:rsidR="00A71EEF" w:rsidRDefault="0081115D">
      <w:pPr>
        <w:pStyle w:val="a3"/>
        <w:spacing w:before="47"/>
        <w:ind w:left="418"/>
      </w:pPr>
      <w:r>
        <w:t xml:space="preserve">GB 50222 </w:t>
      </w:r>
      <w:r>
        <w:t>的有关规定。</w:t>
      </w:r>
      <w:r>
        <w:t xml:space="preserve"> </w:t>
      </w:r>
    </w:p>
    <w:p w14:paraId="1DBEA27E" w14:textId="77777777" w:rsidR="00A71EEF" w:rsidRDefault="00A71EEF">
      <w:pPr>
        <w:pStyle w:val="a3"/>
        <w:rPr>
          <w:sz w:val="20"/>
        </w:rPr>
      </w:pPr>
    </w:p>
    <w:p w14:paraId="356C7EFC" w14:textId="77777777" w:rsidR="00A71EEF" w:rsidRDefault="00A71EEF">
      <w:pPr>
        <w:pStyle w:val="a3"/>
        <w:spacing w:before="6"/>
        <w:rPr>
          <w:sz w:val="29"/>
        </w:rPr>
      </w:pPr>
    </w:p>
    <w:p w14:paraId="1E5060C4" w14:textId="77777777" w:rsidR="00A71EEF" w:rsidRDefault="0081115D">
      <w:pPr>
        <w:pStyle w:val="4"/>
        <w:spacing w:before="66"/>
      </w:pPr>
      <w:r>
        <w:t xml:space="preserve">6 </w:t>
      </w:r>
      <w:r>
        <w:t>安全疏散和救援设施</w:t>
      </w:r>
      <w:r>
        <w:rPr>
          <w:w w:val="99"/>
        </w:rPr>
        <w:t xml:space="preserve"> </w:t>
      </w:r>
    </w:p>
    <w:p w14:paraId="0C9D032B" w14:textId="77777777" w:rsidR="00A71EEF" w:rsidRDefault="00A71EEF">
      <w:pPr>
        <w:pStyle w:val="a3"/>
        <w:spacing w:before="6"/>
        <w:rPr>
          <w:b/>
          <w:sz w:val="17"/>
        </w:rPr>
      </w:pPr>
    </w:p>
    <w:p w14:paraId="7E8F326D" w14:textId="77777777" w:rsidR="00A71EEF" w:rsidRDefault="0081115D">
      <w:pPr>
        <w:pStyle w:val="a4"/>
        <w:numPr>
          <w:ilvl w:val="1"/>
          <w:numId w:val="210"/>
        </w:numPr>
        <w:tabs>
          <w:tab w:val="left" w:pos="1213"/>
        </w:tabs>
        <w:spacing w:before="1" w:line="446" w:lineRule="auto"/>
        <w:ind w:right="1657" w:firstLine="422"/>
        <w:rPr>
          <w:sz w:val="21"/>
        </w:rPr>
      </w:pPr>
      <w:r>
        <w:rPr>
          <w:spacing w:val="-3"/>
          <w:sz w:val="21"/>
        </w:rPr>
        <w:t>汽车库、修车库的人员安全出口和汽车疏散出口应分开设置。设置在工业与民用建筑内的汽车库，其车辆疏散出口应与其他场所的人员安全出口分开设置。</w:t>
      </w:r>
      <w:r>
        <w:rPr>
          <w:sz w:val="21"/>
        </w:rPr>
        <w:t xml:space="preserve"> </w:t>
      </w:r>
    </w:p>
    <w:p w14:paraId="568E8D70" w14:textId="77777777" w:rsidR="00A71EEF" w:rsidRDefault="0081115D">
      <w:pPr>
        <w:pStyle w:val="a4"/>
        <w:numPr>
          <w:ilvl w:val="1"/>
          <w:numId w:val="210"/>
        </w:numPr>
        <w:tabs>
          <w:tab w:val="left" w:pos="1159"/>
        </w:tabs>
        <w:spacing w:line="446" w:lineRule="auto"/>
        <w:ind w:right="1604" w:firstLine="422"/>
        <w:rPr>
          <w:sz w:val="21"/>
        </w:rPr>
      </w:pPr>
      <w:r>
        <w:rPr>
          <w:spacing w:val="-3"/>
          <w:sz w:val="21"/>
        </w:rPr>
        <w:t>除室内无车道且无人员停留的机械式汽车库外，汽车库、修车库内每个防火分区的人</w:t>
      </w:r>
      <w:r>
        <w:rPr>
          <w:spacing w:val="-8"/>
          <w:sz w:val="21"/>
        </w:rPr>
        <w:t>员安全出口不应少于</w:t>
      </w:r>
      <w:r>
        <w:rPr>
          <w:spacing w:val="-8"/>
          <w:sz w:val="21"/>
        </w:rPr>
        <w:t xml:space="preserve"> </w:t>
      </w:r>
      <w:r>
        <w:rPr>
          <w:sz w:val="21"/>
        </w:rPr>
        <w:t>2</w:t>
      </w:r>
      <w:r>
        <w:rPr>
          <w:spacing w:val="-11"/>
          <w:sz w:val="21"/>
        </w:rPr>
        <w:t xml:space="preserve"> </w:t>
      </w:r>
      <w:r>
        <w:rPr>
          <w:spacing w:val="-11"/>
          <w:sz w:val="21"/>
        </w:rPr>
        <w:t>个，</w:t>
      </w:r>
      <w:r>
        <w:rPr>
          <w:spacing w:val="-11"/>
          <w:sz w:val="21"/>
        </w:rPr>
        <w:t>Ⅳ</w:t>
      </w:r>
      <w:r>
        <w:rPr>
          <w:spacing w:val="-11"/>
          <w:sz w:val="21"/>
        </w:rPr>
        <w:t>类汽车库和</w:t>
      </w:r>
      <w:r>
        <w:rPr>
          <w:spacing w:val="-11"/>
          <w:sz w:val="21"/>
        </w:rPr>
        <w:t>Ⅲ</w:t>
      </w:r>
      <w:r>
        <w:rPr>
          <w:spacing w:val="-11"/>
          <w:sz w:val="21"/>
        </w:rPr>
        <w:t>、</w:t>
      </w:r>
      <w:r>
        <w:rPr>
          <w:spacing w:val="-11"/>
          <w:sz w:val="21"/>
        </w:rPr>
        <w:t>Ⅳ</w:t>
      </w:r>
      <w:r>
        <w:rPr>
          <w:spacing w:val="-11"/>
          <w:sz w:val="21"/>
        </w:rPr>
        <w:t>类修车库可设置</w:t>
      </w:r>
      <w:r>
        <w:rPr>
          <w:spacing w:val="-11"/>
          <w:sz w:val="21"/>
        </w:rPr>
        <w:t xml:space="preserve"> </w:t>
      </w:r>
      <w:r>
        <w:rPr>
          <w:sz w:val="21"/>
        </w:rPr>
        <w:t>1</w:t>
      </w:r>
      <w:r>
        <w:rPr>
          <w:spacing w:val="-19"/>
          <w:sz w:val="21"/>
        </w:rPr>
        <w:t xml:space="preserve"> </w:t>
      </w:r>
      <w:r>
        <w:rPr>
          <w:spacing w:val="-19"/>
          <w:sz w:val="21"/>
        </w:rPr>
        <w:t>个。</w:t>
      </w:r>
      <w:r>
        <w:rPr>
          <w:sz w:val="21"/>
        </w:rPr>
        <w:t xml:space="preserve"> </w:t>
      </w:r>
    </w:p>
    <w:p w14:paraId="35D4D5AF" w14:textId="77777777" w:rsidR="00A71EEF" w:rsidRDefault="0081115D">
      <w:pPr>
        <w:pStyle w:val="a4"/>
        <w:numPr>
          <w:ilvl w:val="1"/>
          <w:numId w:val="210"/>
        </w:numPr>
        <w:tabs>
          <w:tab w:val="left" w:pos="1160"/>
        </w:tabs>
        <w:ind w:left="1159" w:hanging="320"/>
        <w:rPr>
          <w:sz w:val="21"/>
        </w:rPr>
      </w:pPr>
      <w:r>
        <w:rPr>
          <w:spacing w:val="-3"/>
          <w:sz w:val="21"/>
        </w:rPr>
        <w:t>汽车库、修车库的疏散楼梯应符合下列规定：</w:t>
      </w:r>
      <w:r>
        <w:rPr>
          <w:sz w:val="21"/>
        </w:rPr>
        <w:t xml:space="preserve"> </w:t>
      </w:r>
    </w:p>
    <w:p w14:paraId="411665CD" w14:textId="77777777" w:rsidR="00A71EEF" w:rsidRDefault="00A71EEF">
      <w:pPr>
        <w:pStyle w:val="a3"/>
        <w:spacing w:before="10"/>
        <w:rPr>
          <w:sz w:val="17"/>
        </w:rPr>
      </w:pPr>
    </w:p>
    <w:p w14:paraId="134C5167" w14:textId="77777777" w:rsidR="00A71EEF" w:rsidRDefault="0081115D">
      <w:pPr>
        <w:pStyle w:val="a3"/>
        <w:spacing w:line="446" w:lineRule="auto"/>
        <w:ind w:left="418" w:right="1611" w:firstLine="419"/>
      </w:pPr>
      <w:r>
        <w:rPr>
          <w:spacing w:val="-9"/>
        </w:rPr>
        <w:t>建筑高度大于</w:t>
      </w:r>
      <w:r>
        <w:rPr>
          <w:spacing w:val="-9"/>
        </w:rPr>
        <w:t xml:space="preserve"> </w:t>
      </w:r>
      <w:r>
        <w:t>32m</w:t>
      </w:r>
      <w:r>
        <w:rPr>
          <w:spacing w:val="-10"/>
        </w:rPr>
        <w:t xml:space="preserve"> </w:t>
      </w:r>
      <w:r>
        <w:rPr>
          <w:spacing w:val="-10"/>
        </w:rPr>
        <w:t>的高层汽车库、室内地面与室外出入口地坪的高差大于</w:t>
      </w:r>
      <w:r>
        <w:rPr>
          <w:spacing w:val="-10"/>
        </w:rPr>
        <w:t xml:space="preserve"> </w:t>
      </w:r>
      <w:r>
        <w:t>10m</w:t>
      </w:r>
      <w:r>
        <w:rPr>
          <w:spacing w:val="-10"/>
        </w:rPr>
        <w:t xml:space="preserve"> </w:t>
      </w:r>
      <w:r>
        <w:rPr>
          <w:spacing w:val="-10"/>
        </w:rPr>
        <w:t>的地下汽车</w:t>
      </w:r>
      <w:r>
        <w:rPr>
          <w:spacing w:val="-5"/>
        </w:rPr>
        <w:t>库应采用防烟楼梯间，其他汽车库、修车库应采用封闭楼梯间；</w:t>
      </w:r>
      <w:r>
        <w:t xml:space="preserve"> </w:t>
      </w:r>
    </w:p>
    <w:p w14:paraId="71DB8D6B" w14:textId="77777777" w:rsidR="00A71EEF" w:rsidRDefault="0081115D">
      <w:pPr>
        <w:pStyle w:val="a3"/>
        <w:spacing w:line="446" w:lineRule="auto"/>
        <w:ind w:left="838" w:right="4026"/>
      </w:pPr>
      <w:r>
        <w:t>楼梯间和前室的门应采用乙级防火门，并应向疏散方向开启；</w:t>
      </w:r>
      <w:r>
        <w:t xml:space="preserve"> </w:t>
      </w:r>
      <w:r>
        <w:t>疏散楼梯的宽度不应小于</w:t>
      </w:r>
      <w:r>
        <w:t xml:space="preserve"> 1.1m</w:t>
      </w:r>
      <w:r>
        <w:t>。</w:t>
      </w:r>
      <w:r>
        <w:t xml:space="preserve"> </w:t>
      </w:r>
    </w:p>
    <w:p w14:paraId="0ECD3A22" w14:textId="77777777" w:rsidR="00A71EEF" w:rsidRDefault="0081115D">
      <w:pPr>
        <w:pStyle w:val="a4"/>
        <w:numPr>
          <w:ilvl w:val="1"/>
          <w:numId w:val="210"/>
        </w:numPr>
        <w:tabs>
          <w:tab w:val="left" w:pos="1159"/>
        </w:tabs>
        <w:spacing w:line="446" w:lineRule="auto"/>
        <w:ind w:right="1604" w:firstLine="422"/>
        <w:rPr>
          <w:sz w:val="21"/>
        </w:rPr>
      </w:pPr>
      <w:r>
        <w:rPr>
          <w:spacing w:val="-5"/>
          <w:sz w:val="21"/>
        </w:rPr>
        <w:t>除室内无车道且无人员停留的机械式汽车库外，建筑高度大于</w:t>
      </w:r>
      <w:r>
        <w:rPr>
          <w:spacing w:val="-5"/>
          <w:sz w:val="21"/>
        </w:rPr>
        <w:t xml:space="preserve"> </w:t>
      </w:r>
      <w:r>
        <w:rPr>
          <w:sz w:val="21"/>
        </w:rPr>
        <w:t>32m</w:t>
      </w:r>
      <w:r>
        <w:rPr>
          <w:spacing w:val="-8"/>
          <w:sz w:val="21"/>
        </w:rPr>
        <w:t xml:space="preserve"> </w:t>
      </w:r>
      <w:r>
        <w:rPr>
          <w:spacing w:val="-8"/>
          <w:sz w:val="21"/>
        </w:rPr>
        <w:t>的汽车库应设置消</w:t>
      </w:r>
      <w:r>
        <w:rPr>
          <w:spacing w:val="-5"/>
          <w:sz w:val="21"/>
        </w:rPr>
        <w:t>防电梯。消防电梯的设置应符合现行国家标准《建筑设计防火规范》</w:t>
      </w:r>
      <w:r>
        <w:rPr>
          <w:sz w:val="21"/>
        </w:rPr>
        <w:t>GB</w:t>
      </w:r>
      <w:r>
        <w:rPr>
          <w:spacing w:val="11"/>
          <w:sz w:val="21"/>
        </w:rPr>
        <w:t xml:space="preserve"> </w:t>
      </w:r>
      <w:r>
        <w:rPr>
          <w:sz w:val="21"/>
        </w:rPr>
        <w:t>50016</w:t>
      </w:r>
      <w:r>
        <w:rPr>
          <w:spacing w:val="-9"/>
          <w:sz w:val="21"/>
        </w:rPr>
        <w:t xml:space="preserve"> </w:t>
      </w:r>
      <w:r>
        <w:rPr>
          <w:spacing w:val="-9"/>
          <w:sz w:val="21"/>
        </w:rPr>
        <w:t>的有关规定。</w:t>
      </w:r>
      <w:r>
        <w:rPr>
          <w:spacing w:val="-9"/>
          <w:sz w:val="21"/>
        </w:rPr>
        <w:t xml:space="preserve"> </w:t>
      </w:r>
    </w:p>
    <w:p w14:paraId="723BF25B" w14:textId="77777777" w:rsidR="00A71EEF" w:rsidRDefault="0081115D">
      <w:pPr>
        <w:pStyle w:val="a4"/>
        <w:numPr>
          <w:ilvl w:val="1"/>
          <w:numId w:val="210"/>
        </w:numPr>
        <w:tabs>
          <w:tab w:val="left" w:pos="1159"/>
        </w:tabs>
        <w:spacing w:line="267" w:lineRule="exact"/>
        <w:ind w:left="1158" w:hanging="319"/>
        <w:rPr>
          <w:sz w:val="21"/>
        </w:rPr>
      </w:pPr>
      <w:r>
        <w:rPr>
          <w:spacing w:val="-3"/>
          <w:sz w:val="21"/>
        </w:rPr>
        <w:t>室外疏散楼梯可采用金属楼梯，并应符合下列规定：</w:t>
      </w:r>
      <w:r>
        <w:rPr>
          <w:sz w:val="21"/>
        </w:rPr>
        <w:t xml:space="preserve"> </w:t>
      </w:r>
    </w:p>
    <w:p w14:paraId="00CD7C42" w14:textId="77777777" w:rsidR="00A71EEF" w:rsidRDefault="00A71EEF">
      <w:pPr>
        <w:pStyle w:val="a3"/>
        <w:spacing w:before="1"/>
        <w:rPr>
          <w:sz w:val="18"/>
        </w:rPr>
      </w:pPr>
    </w:p>
    <w:p w14:paraId="6624925E" w14:textId="77777777" w:rsidR="00A71EEF" w:rsidRDefault="0081115D">
      <w:pPr>
        <w:pStyle w:val="a3"/>
        <w:spacing w:before="1"/>
        <w:ind w:left="838"/>
      </w:pPr>
      <w:r>
        <w:t>倾斜角度不应大于</w:t>
      </w:r>
      <w:r>
        <w:t xml:space="preserve"> 45°</w:t>
      </w:r>
      <w:r>
        <w:t>，栏杆扶手的高度不应小于</w:t>
      </w:r>
      <w:r>
        <w:t xml:space="preserve"> 1.1m</w:t>
      </w:r>
      <w:r>
        <w:t>；</w:t>
      </w:r>
      <w:r>
        <w:t xml:space="preserve"> </w:t>
      </w:r>
    </w:p>
    <w:p w14:paraId="2410084D" w14:textId="77777777" w:rsidR="00A71EEF" w:rsidRDefault="00A71EEF">
      <w:pPr>
        <w:pStyle w:val="a3"/>
        <w:spacing w:before="12"/>
        <w:rPr>
          <w:sz w:val="17"/>
        </w:rPr>
      </w:pPr>
    </w:p>
    <w:p w14:paraId="161B4359" w14:textId="77777777" w:rsidR="00A71EEF" w:rsidRDefault="0081115D">
      <w:pPr>
        <w:pStyle w:val="a3"/>
        <w:ind w:left="838"/>
      </w:pPr>
      <w:r>
        <w:t>每层楼梯平台应采用耐火极限不低于</w:t>
      </w:r>
      <w:r>
        <w:t xml:space="preserve"> 1.00h </w:t>
      </w:r>
      <w:r>
        <w:t>的不燃材料制作；</w:t>
      </w:r>
      <w:r>
        <w:t xml:space="preserve"> </w:t>
      </w:r>
    </w:p>
    <w:p w14:paraId="2EF36AD9" w14:textId="77777777" w:rsidR="00A71EEF" w:rsidRDefault="00A71EEF">
      <w:pPr>
        <w:pStyle w:val="a3"/>
        <w:spacing w:before="12"/>
        <w:rPr>
          <w:sz w:val="17"/>
        </w:rPr>
      </w:pPr>
    </w:p>
    <w:p w14:paraId="4B56E58B" w14:textId="77777777" w:rsidR="00A71EEF" w:rsidRDefault="0081115D">
      <w:pPr>
        <w:pStyle w:val="a3"/>
        <w:spacing w:line="446" w:lineRule="auto"/>
        <w:ind w:left="838" w:right="2242"/>
      </w:pPr>
      <w:r>
        <w:rPr>
          <w:spacing w:val="-9"/>
        </w:rPr>
        <w:t>在室外楼梯周围</w:t>
      </w:r>
      <w:r>
        <w:rPr>
          <w:spacing w:val="-9"/>
        </w:rPr>
        <w:t xml:space="preserve"> </w:t>
      </w:r>
      <w:r>
        <w:t>2m</w:t>
      </w:r>
      <w:r>
        <w:rPr>
          <w:spacing w:val="-8"/>
        </w:rPr>
        <w:t xml:space="preserve"> </w:t>
      </w:r>
      <w:r>
        <w:rPr>
          <w:spacing w:val="-8"/>
        </w:rPr>
        <w:t>范围内的墙面上，不应开设除疏散门外的其他门、窗、洞口；</w:t>
      </w:r>
      <w:r>
        <w:rPr>
          <w:spacing w:val="-8"/>
        </w:rPr>
        <w:t xml:space="preserve"> </w:t>
      </w:r>
      <w:r>
        <w:rPr>
          <w:spacing w:val="-3"/>
        </w:rPr>
        <w:t>通向室外楼梯的门应采用乙级防火门。</w:t>
      </w:r>
      <w:r>
        <w:t xml:space="preserve"> </w:t>
      </w:r>
    </w:p>
    <w:p w14:paraId="5FB0CFC0" w14:textId="77777777" w:rsidR="00A71EEF" w:rsidRDefault="0081115D">
      <w:pPr>
        <w:pStyle w:val="a4"/>
        <w:numPr>
          <w:ilvl w:val="1"/>
          <w:numId w:val="210"/>
        </w:numPr>
        <w:tabs>
          <w:tab w:val="left" w:pos="1160"/>
        </w:tabs>
        <w:spacing w:before="1" w:line="446" w:lineRule="auto"/>
        <w:ind w:right="1664" w:firstLine="422"/>
        <w:rPr>
          <w:sz w:val="21"/>
        </w:rPr>
      </w:pPr>
      <w:r>
        <w:rPr>
          <w:spacing w:val="-5"/>
          <w:sz w:val="21"/>
        </w:rPr>
        <w:t>汽车库室内任一点至最近人员安全出口的疏散距离不应大于</w:t>
      </w:r>
      <w:r>
        <w:rPr>
          <w:spacing w:val="-5"/>
          <w:sz w:val="21"/>
        </w:rPr>
        <w:t xml:space="preserve"> </w:t>
      </w:r>
      <w:r>
        <w:rPr>
          <w:sz w:val="21"/>
        </w:rPr>
        <w:t>45m</w:t>
      </w:r>
      <w:r>
        <w:rPr>
          <w:spacing w:val="-2"/>
          <w:sz w:val="21"/>
        </w:rPr>
        <w:t>，当设置自动灭火系</w:t>
      </w:r>
      <w:r>
        <w:rPr>
          <w:spacing w:val="-5"/>
          <w:sz w:val="21"/>
        </w:rPr>
        <w:t>统时，其距离不应大于</w:t>
      </w:r>
      <w:r>
        <w:rPr>
          <w:spacing w:val="-5"/>
          <w:sz w:val="21"/>
        </w:rPr>
        <w:t xml:space="preserve"> </w:t>
      </w:r>
      <w:r>
        <w:rPr>
          <w:sz w:val="21"/>
        </w:rPr>
        <w:t>60m</w:t>
      </w:r>
      <w:r>
        <w:rPr>
          <w:spacing w:val="-3"/>
          <w:sz w:val="21"/>
        </w:rPr>
        <w:t>，对于单层或设置在建筑首层的汽车库，室内任一点至室外最近出</w:t>
      </w:r>
      <w:r>
        <w:rPr>
          <w:spacing w:val="-8"/>
          <w:sz w:val="21"/>
        </w:rPr>
        <w:t>口的疏散距离不应大于</w:t>
      </w:r>
      <w:r>
        <w:rPr>
          <w:spacing w:val="-8"/>
          <w:sz w:val="21"/>
        </w:rPr>
        <w:t xml:space="preserve"> </w:t>
      </w:r>
      <w:r>
        <w:rPr>
          <w:sz w:val="21"/>
        </w:rPr>
        <w:t>60m</w:t>
      </w:r>
      <w:r>
        <w:rPr>
          <w:spacing w:val="-3"/>
          <w:sz w:val="21"/>
        </w:rPr>
        <w:t>。</w:t>
      </w:r>
      <w:r>
        <w:rPr>
          <w:sz w:val="21"/>
        </w:rPr>
        <w:t xml:space="preserve"> </w:t>
      </w:r>
    </w:p>
    <w:p w14:paraId="1D1ED2D1" w14:textId="77777777" w:rsidR="00A71EEF" w:rsidRDefault="0081115D">
      <w:pPr>
        <w:pStyle w:val="a4"/>
        <w:numPr>
          <w:ilvl w:val="1"/>
          <w:numId w:val="210"/>
        </w:numPr>
        <w:tabs>
          <w:tab w:val="left" w:pos="1160"/>
        </w:tabs>
        <w:spacing w:line="446" w:lineRule="auto"/>
        <w:ind w:right="1604" w:firstLine="422"/>
        <w:jc w:val="both"/>
        <w:rPr>
          <w:sz w:val="21"/>
        </w:rPr>
      </w:pPr>
      <w:r>
        <w:rPr>
          <w:spacing w:val="-3"/>
          <w:sz w:val="21"/>
        </w:rPr>
        <w:t>与住宅地下室相连通的地下汽车库、半地下汽车库，人员疏散可借用住宅</w:t>
      </w:r>
      <w:r>
        <w:rPr>
          <w:spacing w:val="-3"/>
          <w:sz w:val="21"/>
        </w:rPr>
        <w:t>部分的疏散楼梯；当不能直接进入住宅部分的疏散楼梯间时，应在汽车库与住宅部分的疏散楼梯之间设置连通走道，走道应采用防火隔墙分隔，汽车库开向该走道的门均应采用甲级防火门。</w:t>
      </w:r>
      <w:r>
        <w:rPr>
          <w:sz w:val="21"/>
        </w:rPr>
        <w:t xml:space="preserve"> </w:t>
      </w:r>
    </w:p>
    <w:p w14:paraId="428A5C24" w14:textId="77777777" w:rsidR="00A71EEF" w:rsidRDefault="0081115D">
      <w:pPr>
        <w:pStyle w:val="a4"/>
        <w:numPr>
          <w:ilvl w:val="1"/>
          <w:numId w:val="210"/>
        </w:numPr>
        <w:tabs>
          <w:tab w:val="left" w:pos="1159"/>
        </w:tabs>
        <w:spacing w:line="446" w:lineRule="auto"/>
        <w:ind w:right="1603" w:firstLine="422"/>
        <w:rPr>
          <w:sz w:val="21"/>
        </w:rPr>
      </w:pPr>
      <w:r>
        <w:rPr>
          <w:spacing w:val="-3"/>
          <w:sz w:val="21"/>
        </w:rPr>
        <w:t>室内无车道且无人员停留的机械式汽车库可不设置人员安全出口，但应按下列规定设置供灭火救援用的楼梯间：</w:t>
      </w:r>
      <w:r>
        <w:rPr>
          <w:spacing w:val="-3"/>
          <w:sz w:val="21"/>
        </w:rPr>
        <w:t xml:space="preserve"> </w:t>
      </w:r>
    </w:p>
    <w:p w14:paraId="50FD9E1B" w14:textId="77777777" w:rsidR="00A71EEF" w:rsidRDefault="0081115D">
      <w:pPr>
        <w:pStyle w:val="a3"/>
        <w:ind w:left="838"/>
      </w:pPr>
      <w:r>
        <w:t>每个停车区域当停车数量大于</w:t>
      </w:r>
      <w:r>
        <w:t xml:space="preserve"> 100 </w:t>
      </w:r>
      <w:r>
        <w:t>辆时，应至少设置</w:t>
      </w:r>
      <w:r>
        <w:t xml:space="preserve"> 1 </w:t>
      </w:r>
      <w:r>
        <w:t>个楼梯间；</w:t>
      </w:r>
      <w:r>
        <w:t xml:space="preserve"> </w:t>
      </w:r>
    </w:p>
    <w:p w14:paraId="2CA74129" w14:textId="77777777" w:rsidR="00A71EEF" w:rsidRDefault="00A71EEF">
      <w:pPr>
        <w:sectPr w:rsidR="00A71EEF">
          <w:pgSz w:w="11910" w:h="16850"/>
          <w:pgMar w:top="1220" w:right="0" w:bottom="1420" w:left="1260" w:header="0" w:footer="1239" w:gutter="0"/>
          <w:cols w:space="720"/>
        </w:sectPr>
      </w:pPr>
    </w:p>
    <w:p w14:paraId="277B8315" w14:textId="77777777" w:rsidR="00A71EEF" w:rsidRDefault="0081115D">
      <w:pPr>
        <w:pStyle w:val="a3"/>
        <w:spacing w:before="47" w:line="446" w:lineRule="auto"/>
        <w:ind w:left="838" w:right="2134"/>
      </w:pPr>
      <w:r>
        <w:rPr>
          <w:spacing w:val="-3"/>
        </w:rPr>
        <w:t>楼梯间与停车区域之间应采用防火隔墙进行分隔，楼梯间的门应采用乙级防火门；</w:t>
      </w:r>
      <w:r>
        <w:rPr>
          <w:spacing w:val="-3"/>
        </w:rPr>
        <w:t xml:space="preserve"> </w:t>
      </w:r>
      <w:r>
        <w:rPr>
          <w:spacing w:val="-8"/>
        </w:rPr>
        <w:t>楼梯的净宽不应小于</w:t>
      </w:r>
      <w:r>
        <w:rPr>
          <w:spacing w:val="-8"/>
        </w:rPr>
        <w:t xml:space="preserve"> </w:t>
      </w:r>
      <w:r>
        <w:t>0.9m</w:t>
      </w:r>
      <w:r>
        <w:t>。</w:t>
      </w:r>
      <w:r>
        <w:t xml:space="preserve"> </w:t>
      </w:r>
    </w:p>
    <w:p w14:paraId="48609784" w14:textId="77777777" w:rsidR="00A71EEF" w:rsidRDefault="0081115D">
      <w:pPr>
        <w:pStyle w:val="a4"/>
        <w:numPr>
          <w:ilvl w:val="1"/>
          <w:numId w:val="210"/>
        </w:numPr>
        <w:tabs>
          <w:tab w:val="left" w:pos="1159"/>
        </w:tabs>
        <w:spacing w:line="446" w:lineRule="auto"/>
        <w:ind w:right="1707" w:firstLine="422"/>
        <w:rPr>
          <w:sz w:val="21"/>
        </w:rPr>
      </w:pPr>
      <w:r>
        <w:rPr>
          <w:spacing w:val="-4"/>
          <w:sz w:val="21"/>
        </w:rPr>
        <w:t>除本规范另有规定外，汽车</w:t>
      </w:r>
      <w:r>
        <w:rPr>
          <w:spacing w:val="-4"/>
          <w:sz w:val="21"/>
        </w:rPr>
        <w:t>库、修车库的汽车疏散出口总数不应少于</w:t>
      </w:r>
      <w:r>
        <w:rPr>
          <w:spacing w:val="-4"/>
          <w:sz w:val="21"/>
        </w:rPr>
        <w:t xml:space="preserve"> </w:t>
      </w:r>
      <w:r>
        <w:rPr>
          <w:sz w:val="21"/>
        </w:rPr>
        <w:t>2</w:t>
      </w:r>
      <w:r>
        <w:rPr>
          <w:spacing w:val="-7"/>
          <w:sz w:val="21"/>
        </w:rPr>
        <w:t xml:space="preserve"> </w:t>
      </w:r>
      <w:r>
        <w:rPr>
          <w:spacing w:val="-7"/>
          <w:sz w:val="21"/>
        </w:rPr>
        <w:t>个，且应分散</w:t>
      </w:r>
      <w:r>
        <w:rPr>
          <w:spacing w:val="-5"/>
          <w:sz w:val="21"/>
        </w:rPr>
        <w:t>布置。</w:t>
      </w:r>
      <w:r>
        <w:rPr>
          <w:sz w:val="21"/>
        </w:rPr>
        <w:t xml:space="preserve"> </w:t>
      </w:r>
    </w:p>
    <w:p w14:paraId="3CA18975" w14:textId="77777777" w:rsidR="00A71EEF" w:rsidRDefault="0081115D">
      <w:pPr>
        <w:pStyle w:val="a4"/>
        <w:numPr>
          <w:ilvl w:val="1"/>
          <w:numId w:val="210"/>
        </w:numPr>
        <w:tabs>
          <w:tab w:val="left" w:pos="1266"/>
        </w:tabs>
        <w:spacing w:line="446" w:lineRule="auto"/>
        <w:ind w:left="838" w:right="2655" w:firstLine="2"/>
        <w:rPr>
          <w:sz w:val="21"/>
        </w:rPr>
      </w:pPr>
      <w:r>
        <w:rPr>
          <w:spacing w:val="-4"/>
          <w:sz w:val="21"/>
        </w:rPr>
        <w:t>当符合下列条件之一时，汽车库、修车库的汽车疏散出口可设置</w:t>
      </w:r>
      <w:r>
        <w:rPr>
          <w:spacing w:val="-4"/>
          <w:sz w:val="21"/>
        </w:rPr>
        <w:t xml:space="preserve"> </w:t>
      </w:r>
      <w:r>
        <w:rPr>
          <w:sz w:val="21"/>
        </w:rPr>
        <w:t>1</w:t>
      </w:r>
      <w:r>
        <w:rPr>
          <w:spacing w:val="-10"/>
          <w:sz w:val="21"/>
        </w:rPr>
        <w:t xml:space="preserve"> </w:t>
      </w:r>
      <w:r>
        <w:rPr>
          <w:spacing w:val="-10"/>
          <w:sz w:val="21"/>
        </w:rPr>
        <w:t>个：</w:t>
      </w:r>
      <w:r>
        <w:rPr>
          <w:spacing w:val="-10"/>
          <w:sz w:val="21"/>
        </w:rPr>
        <w:t xml:space="preserve"> </w:t>
      </w:r>
      <w:r>
        <w:rPr>
          <w:spacing w:val="-6"/>
          <w:sz w:val="21"/>
        </w:rPr>
        <w:t>Ⅳ</w:t>
      </w:r>
      <w:r>
        <w:rPr>
          <w:spacing w:val="-6"/>
          <w:sz w:val="21"/>
        </w:rPr>
        <w:t>类汽车库；</w:t>
      </w:r>
      <w:r>
        <w:rPr>
          <w:sz w:val="21"/>
        </w:rPr>
        <w:t xml:space="preserve"> </w:t>
      </w:r>
    </w:p>
    <w:p w14:paraId="1C231390" w14:textId="77777777" w:rsidR="00A71EEF" w:rsidRDefault="0081115D">
      <w:pPr>
        <w:pStyle w:val="a3"/>
        <w:ind w:left="838"/>
      </w:pPr>
      <w:r>
        <w:t>设置双车道汽车疏散出口的</w:t>
      </w:r>
      <w:r>
        <w:t>Ⅲ</w:t>
      </w:r>
      <w:r>
        <w:t>类地上汽车库；</w:t>
      </w:r>
      <w:r>
        <w:t xml:space="preserve"> </w:t>
      </w:r>
    </w:p>
    <w:p w14:paraId="08B24EC9" w14:textId="77777777" w:rsidR="00A71EEF" w:rsidRDefault="00A71EEF">
      <w:pPr>
        <w:pStyle w:val="a3"/>
        <w:spacing w:before="11"/>
        <w:rPr>
          <w:sz w:val="17"/>
        </w:rPr>
      </w:pPr>
    </w:p>
    <w:p w14:paraId="3B8535D5" w14:textId="77777777" w:rsidR="00A71EEF" w:rsidRDefault="0081115D">
      <w:pPr>
        <w:pStyle w:val="a3"/>
        <w:spacing w:line="446" w:lineRule="auto"/>
        <w:ind w:left="418" w:right="1716" w:firstLine="419"/>
      </w:pPr>
      <w:r>
        <w:rPr>
          <w:spacing w:val="-5"/>
        </w:rPr>
        <w:t>设置双车道汽车疏散出口、停车数量小于或等于</w:t>
      </w:r>
      <w:r>
        <w:rPr>
          <w:spacing w:val="-5"/>
        </w:rPr>
        <w:t xml:space="preserve"> </w:t>
      </w:r>
      <w:r>
        <w:t>100</w:t>
      </w:r>
      <w:r>
        <w:rPr>
          <w:spacing w:val="-12"/>
        </w:rPr>
        <w:t xml:space="preserve"> </w:t>
      </w:r>
      <w:r>
        <w:rPr>
          <w:spacing w:val="-12"/>
        </w:rPr>
        <w:t>辆且建筑面积小于</w:t>
      </w:r>
      <w:r>
        <w:rPr>
          <w:spacing w:val="-12"/>
        </w:rPr>
        <w:t xml:space="preserve"> </w:t>
      </w:r>
      <w:r>
        <w:t>4000m2</w:t>
      </w:r>
      <w:r>
        <w:rPr>
          <w:spacing w:val="-10"/>
        </w:rPr>
        <w:t xml:space="preserve"> </w:t>
      </w:r>
      <w:r>
        <w:rPr>
          <w:spacing w:val="-10"/>
        </w:rPr>
        <w:t>的地下或</w:t>
      </w:r>
      <w:r>
        <w:rPr>
          <w:spacing w:val="-5"/>
        </w:rPr>
        <w:t>半地下汽车库；</w:t>
      </w:r>
      <w:r>
        <w:t xml:space="preserve"> </w:t>
      </w:r>
    </w:p>
    <w:p w14:paraId="006F0ACB" w14:textId="77777777" w:rsidR="00A71EEF" w:rsidRDefault="0081115D">
      <w:pPr>
        <w:pStyle w:val="a3"/>
        <w:ind w:left="838"/>
      </w:pPr>
      <w:r>
        <w:t>Ⅱ</w:t>
      </w:r>
      <w:r>
        <w:t>、</w:t>
      </w:r>
      <w:r>
        <w:t>Ⅲ</w:t>
      </w:r>
      <w:r>
        <w:t>、</w:t>
      </w:r>
      <w:r>
        <w:t>Ⅳ</w:t>
      </w:r>
      <w:r>
        <w:t>类修车库。</w:t>
      </w:r>
      <w:r>
        <w:t xml:space="preserve"> </w:t>
      </w:r>
    </w:p>
    <w:p w14:paraId="3EFDBC21" w14:textId="77777777" w:rsidR="00A71EEF" w:rsidRDefault="00A71EEF">
      <w:pPr>
        <w:pStyle w:val="a3"/>
        <w:spacing w:before="12"/>
        <w:rPr>
          <w:sz w:val="17"/>
        </w:rPr>
      </w:pPr>
    </w:p>
    <w:p w14:paraId="2727022D" w14:textId="77777777" w:rsidR="00A71EEF" w:rsidRDefault="0081115D">
      <w:pPr>
        <w:pStyle w:val="a4"/>
        <w:numPr>
          <w:ilvl w:val="1"/>
          <w:numId w:val="210"/>
        </w:numPr>
        <w:tabs>
          <w:tab w:val="left" w:pos="1266"/>
        </w:tabs>
        <w:spacing w:line="446" w:lineRule="auto"/>
        <w:ind w:right="1608" w:firstLine="422"/>
        <w:rPr>
          <w:sz w:val="21"/>
        </w:rPr>
      </w:pPr>
      <w:r>
        <w:rPr>
          <w:spacing w:val="-5"/>
          <w:sz w:val="21"/>
        </w:rPr>
        <w:t>Ⅰ</w:t>
      </w:r>
      <w:r>
        <w:rPr>
          <w:spacing w:val="-5"/>
          <w:sz w:val="21"/>
        </w:rPr>
        <w:t>、</w:t>
      </w:r>
      <w:r>
        <w:rPr>
          <w:spacing w:val="-5"/>
          <w:sz w:val="21"/>
        </w:rPr>
        <w:t>Ⅱ</w:t>
      </w:r>
      <w:r>
        <w:rPr>
          <w:spacing w:val="-5"/>
          <w:sz w:val="21"/>
        </w:rPr>
        <w:t>类地上汽车库和停车数量大于</w:t>
      </w:r>
      <w:r>
        <w:rPr>
          <w:spacing w:val="-5"/>
          <w:sz w:val="21"/>
        </w:rPr>
        <w:t xml:space="preserve"> </w:t>
      </w:r>
      <w:r>
        <w:rPr>
          <w:sz w:val="21"/>
        </w:rPr>
        <w:t>100</w:t>
      </w:r>
      <w:r>
        <w:rPr>
          <w:spacing w:val="-7"/>
          <w:sz w:val="21"/>
        </w:rPr>
        <w:t xml:space="preserve"> </w:t>
      </w:r>
      <w:r>
        <w:rPr>
          <w:spacing w:val="-7"/>
          <w:sz w:val="21"/>
        </w:rPr>
        <w:t>辆的地下、半地下汽车库，当采用错层或斜</w:t>
      </w:r>
      <w:r>
        <w:rPr>
          <w:spacing w:val="-4"/>
          <w:sz w:val="21"/>
        </w:rPr>
        <w:t>楼板式，坡道为双车道且设置自动喷水灭火系统时，其首层或地下一层至室外的汽车疏散出口</w:t>
      </w:r>
      <w:r>
        <w:rPr>
          <w:spacing w:val="-13"/>
          <w:sz w:val="21"/>
        </w:rPr>
        <w:t>不应少于</w:t>
      </w:r>
      <w:r>
        <w:rPr>
          <w:spacing w:val="-13"/>
          <w:sz w:val="21"/>
        </w:rPr>
        <w:t xml:space="preserve"> </w:t>
      </w:r>
      <w:r>
        <w:rPr>
          <w:sz w:val="21"/>
        </w:rPr>
        <w:t>2</w:t>
      </w:r>
      <w:r>
        <w:rPr>
          <w:spacing w:val="-11"/>
          <w:sz w:val="21"/>
        </w:rPr>
        <w:t xml:space="preserve"> </w:t>
      </w:r>
      <w:r>
        <w:rPr>
          <w:spacing w:val="-11"/>
          <w:sz w:val="21"/>
        </w:rPr>
        <w:t>个，汽车库内的其他楼层的汽车疏散坡道可设置</w:t>
      </w:r>
      <w:r>
        <w:rPr>
          <w:spacing w:val="-11"/>
          <w:sz w:val="21"/>
        </w:rPr>
        <w:t xml:space="preserve"> </w:t>
      </w:r>
      <w:r>
        <w:rPr>
          <w:sz w:val="21"/>
        </w:rPr>
        <w:t>1</w:t>
      </w:r>
      <w:r>
        <w:rPr>
          <w:spacing w:val="-20"/>
          <w:sz w:val="21"/>
        </w:rPr>
        <w:t xml:space="preserve"> </w:t>
      </w:r>
      <w:r>
        <w:rPr>
          <w:spacing w:val="-20"/>
          <w:sz w:val="21"/>
        </w:rPr>
        <w:t>个。</w:t>
      </w:r>
      <w:r>
        <w:rPr>
          <w:sz w:val="21"/>
        </w:rPr>
        <w:t xml:space="preserve"> </w:t>
      </w:r>
    </w:p>
    <w:p w14:paraId="1E8B4287" w14:textId="77777777" w:rsidR="00A71EEF" w:rsidRDefault="0081115D">
      <w:pPr>
        <w:pStyle w:val="a4"/>
        <w:numPr>
          <w:ilvl w:val="1"/>
          <w:numId w:val="210"/>
        </w:numPr>
        <w:tabs>
          <w:tab w:val="left" w:pos="1266"/>
        </w:tabs>
        <w:spacing w:line="446" w:lineRule="auto"/>
        <w:ind w:right="1707" w:firstLine="422"/>
        <w:rPr>
          <w:sz w:val="21"/>
        </w:rPr>
      </w:pPr>
      <w:r>
        <w:rPr>
          <w:spacing w:val="-3"/>
          <w:sz w:val="21"/>
        </w:rPr>
        <w:t>Ⅳ</w:t>
      </w:r>
      <w:r>
        <w:rPr>
          <w:spacing w:val="-3"/>
          <w:sz w:val="21"/>
        </w:rPr>
        <w:t>类汽车库设置汽车坡道有困难时，可采用汽车专用升降机作汽车疏散出口，升降</w:t>
      </w:r>
      <w:r>
        <w:rPr>
          <w:spacing w:val="-9"/>
          <w:sz w:val="21"/>
        </w:rPr>
        <w:t>机的数量不应少于</w:t>
      </w:r>
      <w:r>
        <w:rPr>
          <w:spacing w:val="-9"/>
          <w:sz w:val="21"/>
        </w:rPr>
        <w:t xml:space="preserve"> </w:t>
      </w:r>
      <w:r>
        <w:rPr>
          <w:sz w:val="21"/>
        </w:rPr>
        <w:t>2</w:t>
      </w:r>
      <w:r>
        <w:rPr>
          <w:spacing w:val="-14"/>
          <w:sz w:val="21"/>
        </w:rPr>
        <w:t xml:space="preserve"> </w:t>
      </w:r>
      <w:r>
        <w:rPr>
          <w:spacing w:val="-14"/>
          <w:sz w:val="21"/>
        </w:rPr>
        <w:t>台，停车数量少于</w:t>
      </w:r>
      <w:r>
        <w:rPr>
          <w:spacing w:val="-14"/>
          <w:sz w:val="21"/>
        </w:rPr>
        <w:t xml:space="preserve"> </w:t>
      </w:r>
      <w:r>
        <w:rPr>
          <w:sz w:val="21"/>
        </w:rPr>
        <w:t>25</w:t>
      </w:r>
      <w:r>
        <w:rPr>
          <w:spacing w:val="-16"/>
          <w:sz w:val="21"/>
        </w:rPr>
        <w:t xml:space="preserve"> </w:t>
      </w:r>
      <w:r>
        <w:rPr>
          <w:spacing w:val="-16"/>
          <w:sz w:val="21"/>
        </w:rPr>
        <w:t>辆时，可设置</w:t>
      </w:r>
      <w:r>
        <w:rPr>
          <w:spacing w:val="-16"/>
          <w:sz w:val="21"/>
        </w:rPr>
        <w:t xml:space="preserve"> </w:t>
      </w:r>
      <w:r>
        <w:rPr>
          <w:sz w:val="21"/>
        </w:rPr>
        <w:t>1</w:t>
      </w:r>
      <w:r>
        <w:rPr>
          <w:spacing w:val="-20"/>
          <w:sz w:val="21"/>
        </w:rPr>
        <w:t xml:space="preserve"> </w:t>
      </w:r>
      <w:r>
        <w:rPr>
          <w:spacing w:val="-20"/>
          <w:sz w:val="21"/>
        </w:rPr>
        <w:t>台。</w:t>
      </w:r>
      <w:r>
        <w:rPr>
          <w:sz w:val="21"/>
        </w:rPr>
        <w:t xml:space="preserve"> </w:t>
      </w:r>
    </w:p>
    <w:p w14:paraId="5F840823" w14:textId="77777777" w:rsidR="00A71EEF" w:rsidRDefault="0081115D">
      <w:pPr>
        <w:pStyle w:val="a4"/>
        <w:numPr>
          <w:ilvl w:val="1"/>
          <w:numId w:val="210"/>
        </w:numPr>
        <w:tabs>
          <w:tab w:val="left" w:pos="1266"/>
        </w:tabs>
        <w:ind w:left="1265" w:hanging="426"/>
        <w:rPr>
          <w:sz w:val="21"/>
        </w:rPr>
      </w:pPr>
      <w:r>
        <w:rPr>
          <w:spacing w:val="-6"/>
          <w:sz w:val="21"/>
        </w:rPr>
        <w:t>汽车疏散坡道的净宽度，单车道不应小于</w:t>
      </w:r>
      <w:r>
        <w:rPr>
          <w:spacing w:val="-6"/>
          <w:sz w:val="21"/>
        </w:rPr>
        <w:t xml:space="preserve"> </w:t>
      </w:r>
      <w:r>
        <w:rPr>
          <w:sz w:val="21"/>
        </w:rPr>
        <w:t>3.0m</w:t>
      </w:r>
      <w:r>
        <w:rPr>
          <w:spacing w:val="-9"/>
          <w:sz w:val="21"/>
        </w:rPr>
        <w:t>，双车道不应小于</w:t>
      </w:r>
      <w:r>
        <w:rPr>
          <w:spacing w:val="-9"/>
          <w:sz w:val="21"/>
        </w:rPr>
        <w:t xml:space="preserve"> </w:t>
      </w:r>
      <w:r>
        <w:rPr>
          <w:sz w:val="21"/>
        </w:rPr>
        <w:t>5.5m</w:t>
      </w:r>
      <w:r>
        <w:rPr>
          <w:spacing w:val="-3"/>
          <w:sz w:val="21"/>
        </w:rPr>
        <w:t>。</w:t>
      </w:r>
      <w:r>
        <w:rPr>
          <w:sz w:val="21"/>
        </w:rPr>
        <w:t xml:space="preserve"> </w:t>
      </w:r>
    </w:p>
    <w:p w14:paraId="67391169" w14:textId="77777777" w:rsidR="00A71EEF" w:rsidRDefault="00A71EEF">
      <w:pPr>
        <w:pStyle w:val="a3"/>
        <w:spacing w:before="11"/>
        <w:rPr>
          <w:sz w:val="17"/>
        </w:rPr>
      </w:pPr>
    </w:p>
    <w:p w14:paraId="135DDC2A" w14:textId="77777777" w:rsidR="00A71EEF" w:rsidRDefault="0081115D">
      <w:pPr>
        <w:pStyle w:val="a4"/>
        <w:numPr>
          <w:ilvl w:val="1"/>
          <w:numId w:val="210"/>
        </w:numPr>
        <w:tabs>
          <w:tab w:val="left" w:pos="1266"/>
        </w:tabs>
        <w:spacing w:line="446" w:lineRule="auto"/>
        <w:ind w:right="1707" w:firstLine="422"/>
        <w:rPr>
          <w:sz w:val="21"/>
        </w:rPr>
      </w:pPr>
      <w:r>
        <w:rPr>
          <w:spacing w:val="-3"/>
          <w:sz w:val="21"/>
        </w:rPr>
        <w:t>除室内无车道且无人员停留的机械式汽车库外，相邻两个汽车疏散出口之间的水平</w:t>
      </w:r>
      <w:r>
        <w:rPr>
          <w:spacing w:val="-11"/>
          <w:sz w:val="21"/>
        </w:rPr>
        <w:t>距离不应小于</w:t>
      </w:r>
      <w:r>
        <w:rPr>
          <w:spacing w:val="-11"/>
          <w:sz w:val="21"/>
        </w:rPr>
        <w:t xml:space="preserve"> </w:t>
      </w:r>
      <w:r>
        <w:rPr>
          <w:sz w:val="21"/>
        </w:rPr>
        <w:t>10m</w:t>
      </w:r>
      <w:r>
        <w:rPr>
          <w:spacing w:val="-3"/>
          <w:sz w:val="21"/>
        </w:rPr>
        <w:t>；毗邻设置的两个汽车坡道应采用防火隔墙分隔。</w:t>
      </w:r>
      <w:r>
        <w:rPr>
          <w:sz w:val="21"/>
        </w:rPr>
        <w:t xml:space="preserve"> </w:t>
      </w:r>
    </w:p>
    <w:p w14:paraId="12D3E3C5" w14:textId="77777777" w:rsidR="00A71EEF" w:rsidRDefault="0081115D">
      <w:pPr>
        <w:pStyle w:val="a4"/>
        <w:numPr>
          <w:ilvl w:val="1"/>
          <w:numId w:val="210"/>
        </w:numPr>
        <w:tabs>
          <w:tab w:val="left" w:pos="1264"/>
        </w:tabs>
        <w:ind w:left="1263" w:hanging="424"/>
        <w:rPr>
          <w:sz w:val="21"/>
        </w:rPr>
      </w:pPr>
      <w:r>
        <w:rPr>
          <w:spacing w:val="-7"/>
          <w:sz w:val="21"/>
        </w:rPr>
        <w:t>停车场的汽车疏散出口不应少于</w:t>
      </w:r>
      <w:r>
        <w:rPr>
          <w:spacing w:val="-7"/>
          <w:sz w:val="21"/>
        </w:rPr>
        <w:t xml:space="preserve"> </w:t>
      </w:r>
      <w:r>
        <w:rPr>
          <w:sz w:val="21"/>
        </w:rPr>
        <w:t>2</w:t>
      </w:r>
      <w:r>
        <w:rPr>
          <w:spacing w:val="-13"/>
          <w:sz w:val="21"/>
        </w:rPr>
        <w:t xml:space="preserve"> </w:t>
      </w:r>
      <w:r>
        <w:rPr>
          <w:spacing w:val="-13"/>
          <w:sz w:val="21"/>
        </w:rPr>
        <w:t>个；停车数量不大于</w:t>
      </w:r>
      <w:r>
        <w:rPr>
          <w:spacing w:val="-13"/>
          <w:sz w:val="21"/>
        </w:rPr>
        <w:t xml:space="preserve"> </w:t>
      </w:r>
      <w:r>
        <w:rPr>
          <w:sz w:val="21"/>
        </w:rPr>
        <w:t>50</w:t>
      </w:r>
      <w:r>
        <w:rPr>
          <w:spacing w:val="-16"/>
          <w:sz w:val="21"/>
        </w:rPr>
        <w:t xml:space="preserve"> </w:t>
      </w:r>
      <w:r>
        <w:rPr>
          <w:spacing w:val="-16"/>
          <w:sz w:val="21"/>
        </w:rPr>
        <w:t>辆时，可设置</w:t>
      </w:r>
      <w:r>
        <w:rPr>
          <w:spacing w:val="-16"/>
          <w:sz w:val="21"/>
        </w:rPr>
        <w:t xml:space="preserve"> </w:t>
      </w:r>
      <w:r>
        <w:rPr>
          <w:sz w:val="21"/>
        </w:rPr>
        <w:t>1</w:t>
      </w:r>
      <w:r>
        <w:rPr>
          <w:spacing w:val="-20"/>
          <w:sz w:val="21"/>
        </w:rPr>
        <w:t xml:space="preserve"> </w:t>
      </w:r>
      <w:r>
        <w:rPr>
          <w:spacing w:val="-20"/>
          <w:sz w:val="21"/>
        </w:rPr>
        <w:t>个。</w:t>
      </w:r>
      <w:r>
        <w:rPr>
          <w:sz w:val="21"/>
        </w:rPr>
        <w:t xml:space="preserve"> </w:t>
      </w:r>
    </w:p>
    <w:p w14:paraId="65D5ABFE" w14:textId="77777777" w:rsidR="00A71EEF" w:rsidRDefault="00A71EEF">
      <w:pPr>
        <w:pStyle w:val="a3"/>
        <w:rPr>
          <w:sz w:val="18"/>
        </w:rPr>
      </w:pPr>
    </w:p>
    <w:p w14:paraId="51342EA7" w14:textId="77777777" w:rsidR="00A71EEF" w:rsidRDefault="0081115D">
      <w:pPr>
        <w:pStyle w:val="a4"/>
        <w:numPr>
          <w:ilvl w:val="1"/>
          <w:numId w:val="210"/>
        </w:numPr>
        <w:tabs>
          <w:tab w:val="left" w:pos="1262"/>
        </w:tabs>
        <w:spacing w:line="446" w:lineRule="auto"/>
        <w:ind w:right="1709" w:firstLine="419"/>
        <w:rPr>
          <w:sz w:val="21"/>
        </w:rPr>
      </w:pPr>
      <w:r>
        <w:rPr>
          <w:noProof/>
        </w:rPr>
        <w:drawing>
          <wp:anchor distT="0" distB="0" distL="0" distR="0" simplePos="0" relativeHeight="251680256" behindDoc="0" locked="0" layoutInCell="1" allowOverlap="1" wp14:anchorId="1B876A88" wp14:editId="350E97C8">
            <wp:simplePos x="0" y="0"/>
            <wp:positionH relativeFrom="page">
              <wp:posOffset>1192530</wp:posOffset>
            </wp:positionH>
            <wp:positionV relativeFrom="paragraph">
              <wp:posOffset>657478</wp:posOffset>
            </wp:positionV>
            <wp:extent cx="4970780" cy="2238375"/>
            <wp:effectExtent l="0" t="0" r="0" b="0"/>
            <wp:wrapTopAndBottom/>
            <wp:docPr id="609" name="image3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image353.jpeg"/>
                    <pic:cNvPicPr/>
                  </pic:nvPicPr>
                  <pic:blipFill>
                    <a:blip r:embed="rId420" cstate="print"/>
                    <a:stretch>
                      <a:fillRect/>
                    </a:stretch>
                  </pic:blipFill>
                  <pic:spPr>
                    <a:xfrm>
                      <a:off x="0" y="0"/>
                      <a:ext cx="4970780" cy="2238375"/>
                    </a:xfrm>
                    <a:prstGeom prst="rect">
                      <a:avLst/>
                    </a:prstGeom>
                  </pic:spPr>
                </pic:pic>
              </a:graphicData>
            </a:graphic>
          </wp:anchor>
        </w:drawing>
      </w:r>
      <w:r>
        <w:rPr>
          <w:spacing w:val="-3"/>
          <w:sz w:val="21"/>
        </w:rPr>
        <w:t>除室内无车道且无人员停留的机械式汽车库外，汽车库内汽车之间和汽车与墙、柱</w:t>
      </w:r>
      <w:r>
        <w:rPr>
          <w:spacing w:val="-7"/>
          <w:sz w:val="21"/>
        </w:rPr>
        <w:t>之间的水平距离，不应小于表</w:t>
      </w:r>
      <w:r>
        <w:rPr>
          <w:spacing w:val="-7"/>
          <w:sz w:val="21"/>
        </w:rPr>
        <w:t xml:space="preserve"> </w:t>
      </w:r>
      <w:r>
        <w:rPr>
          <w:sz w:val="21"/>
        </w:rPr>
        <w:t>6.0.16</w:t>
      </w:r>
      <w:r>
        <w:rPr>
          <w:spacing w:val="-13"/>
          <w:sz w:val="21"/>
        </w:rPr>
        <w:t xml:space="preserve"> </w:t>
      </w:r>
      <w:r>
        <w:rPr>
          <w:spacing w:val="-13"/>
          <w:sz w:val="21"/>
        </w:rPr>
        <w:t>的规定。</w:t>
      </w:r>
      <w:r>
        <w:rPr>
          <w:sz w:val="21"/>
        </w:rPr>
        <w:t xml:space="preserve"> </w:t>
      </w:r>
    </w:p>
    <w:p w14:paraId="59EE8E6A" w14:textId="77777777" w:rsidR="00A71EEF" w:rsidRDefault="00A71EEF">
      <w:pPr>
        <w:spacing w:line="446" w:lineRule="auto"/>
        <w:rPr>
          <w:sz w:val="21"/>
        </w:rPr>
        <w:sectPr w:rsidR="00A71EEF">
          <w:pgSz w:w="11910" w:h="16850"/>
          <w:pgMar w:top="1220" w:right="0" w:bottom="1420" w:left="1260" w:header="0" w:footer="1239" w:gutter="0"/>
          <w:cols w:space="720"/>
        </w:sectPr>
      </w:pPr>
    </w:p>
    <w:p w14:paraId="2FDA58DE" w14:textId="77777777" w:rsidR="00A71EEF" w:rsidRDefault="0081115D">
      <w:pPr>
        <w:pStyle w:val="a3"/>
        <w:spacing w:before="47" w:line="446" w:lineRule="auto"/>
        <w:ind w:left="418" w:right="1609" w:firstLine="419"/>
      </w:pPr>
      <w:r>
        <w:t>注：当墙、柱外有暖气片等突出物时，汽车与墙、柱之间的水平距离应从其凸出部分外缘算起。</w:t>
      </w:r>
      <w:r>
        <w:t xml:space="preserve"> </w:t>
      </w:r>
    </w:p>
    <w:p w14:paraId="669006C0" w14:textId="77777777" w:rsidR="00A71EEF" w:rsidRDefault="00A71EEF">
      <w:pPr>
        <w:pStyle w:val="a3"/>
        <w:rPr>
          <w:sz w:val="20"/>
        </w:rPr>
      </w:pPr>
    </w:p>
    <w:p w14:paraId="3E5FE63E" w14:textId="77777777" w:rsidR="00A71EEF" w:rsidRDefault="0081115D">
      <w:pPr>
        <w:pStyle w:val="4"/>
        <w:spacing w:before="214"/>
      </w:pPr>
      <w:r>
        <w:t xml:space="preserve">7 </w:t>
      </w:r>
      <w:r>
        <w:t>消防给水和灭火设施</w:t>
      </w:r>
      <w:r>
        <w:rPr>
          <w:w w:val="99"/>
        </w:rPr>
        <w:t xml:space="preserve"> </w:t>
      </w:r>
    </w:p>
    <w:p w14:paraId="0010A0FC" w14:textId="77777777" w:rsidR="00A71EEF" w:rsidRDefault="00A71EEF">
      <w:pPr>
        <w:pStyle w:val="a3"/>
        <w:spacing w:before="3"/>
        <w:rPr>
          <w:b/>
          <w:sz w:val="17"/>
        </w:rPr>
      </w:pPr>
    </w:p>
    <w:p w14:paraId="18FC8977" w14:textId="77777777" w:rsidR="00A71EEF" w:rsidRDefault="0081115D">
      <w:pPr>
        <w:pStyle w:val="a4"/>
        <w:numPr>
          <w:ilvl w:val="1"/>
          <w:numId w:val="209"/>
        </w:numPr>
        <w:tabs>
          <w:tab w:val="left" w:pos="1159"/>
        </w:tabs>
        <w:ind w:hanging="319"/>
        <w:rPr>
          <w:sz w:val="21"/>
        </w:rPr>
      </w:pPr>
      <w:r>
        <w:rPr>
          <w:spacing w:val="-3"/>
          <w:sz w:val="21"/>
        </w:rPr>
        <w:t>消防给水</w:t>
      </w:r>
      <w:r>
        <w:rPr>
          <w:sz w:val="21"/>
        </w:rPr>
        <w:t xml:space="preserve"> </w:t>
      </w:r>
    </w:p>
    <w:p w14:paraId="2B324A43" w14:textId="77777777" w:rsidR="00A71EEF" w:rsidRDefault="00A71EEF">
      <w:pPr>
        <w:pStyle w:val="a3"/>
        <w:rPr>
          <w:sz w:val="18"/>
        </w:rPr>
      </w:pPr>
    </w:p>
    <w:p w14:paraId="4357BE08" w14:textId="77777777" w:rsidR="00A71EEF" w:rsidRDefault="0081115D">
      <w:pPr>
        <w:pStyle w:val="a4"/>
        <w:numPr>
          <w:ilvl w:val="2"/>
          <w:numId w:val="209"/>
        </w:numPr>
        <w:tabs>
          <w:tab w:val="left" w:pos="1371"/>
        </w:tabs>
        <w:spacing w:line="446" w:lineRule="auto"/>
        <w:ind w:right="1604" w:firstLine="422"/>
        <w:jc w:val="both"/>
        <w:rPr>
          <w:sz w:val="21"/>
        </w:rPr>
      </w:pPr>
      <w:r>
        <w:rPr>
          <w:spacing w:val="-3"/>
          <w:sz w:val="21"/>
        </w:rPr>
        <w:t>汽车库、修车库、停车场应设置消防给水系统。消防给水可由市政给水管道、消防水池或天然水源供给。利用天然水源时，应设置可靠的取水设施和通向天然水源的道路，并应在枯水期最低水位时，确保消防用水量。</w:t>
      </w:r>
      <w:r>
        <w:rPr>
          <w:sz w:val="21"/>
        </w:rPr>
        <w:t xml:space="preserve"> </w:t>
      </w:r>
    </w:p>
    <w:p w14:paraId="18220A6E" w14:textId="77777777" w:rsidR="00A71EEF" w:rsidRDefault="0081115D">
      <w:pPr>
        <w:pStyle w:val="a4"/>
        <w:numPr>
          <w:ilvl w:val="2"/>
          <w:numId w:val="209"/>
        </w:numPr>
        <w:tabs>
          <w:tab w:val="left" w:pos="1371"/>
        </w:tabs>
        <w:spacing w:line="268" w:lineRule="exact"/>
        <w:ind w:left="1370"/>
        <w:rPr>
          <w:sz w:val="21"/>
        </w:rPr>
      </w:pPr>
      <w:r>
        <w:rPr>
          <w:spacing w:val="-3"/>
          <w:sz w:val="21"/>
        </w:rPr>
        <w:t>符合下列条件之一的汽车库、修车库、停车场，可不设置消防给水系统：</w:t>
      </w:r>
      <w:r>
        <w:rPr>
          <w:spacing w:val="-3"/>
          <w:sz w:val="21"/>
        </w:rPr>
        <w:t xml:space="preserve"> </w:t>
      </w:r>
    </w:p>
    <w:p w14:paraId="6CF6E969" w14:textId="77777777" w:rsidR="00A71EEF" w:rsidRDefault="00A71EEF">
      <w:pPr>
        <w:pStyle w:val="a3"/>
        <w:spacing w:before="2"/>
        <w:rPr>
          <w:sz w:val="18"/>
        </w:rPr>
      </w:pPr>
    </w:p>
    <w:p w14:paraId="57655DF9" w14:textId="77777777" w:rsidR="00A71EEF" w:rsidRDefault="0081115D">
      <w:pPr>
        <w:pStyle w:val="a3"/>
        <w:spacing w:line="446" w:lineRule="auto"/>
        <w:ind w:left="838" w:right="4657"/>
      </w:pPr>
      <w:r>
        <w:t>耐火等级为一、二级且停车数量不大于</w:t>
      </w:r>
      <w:r>
        <w:t xml:space="preserve"> 5 </w:t>
      </w:r>
      <w:r>
        <w:t>辆的汽车库；</w:t>
      </w:r>
      <w:r>
        <w:t xml:space="preserve"> </w:t>
      </w:r>
      <w:r>
        <w:t>耐火等级为一、二级的</w:t>
      </w:r>
      <w:r>
        <w:t>Ⅳ</w:t>
      </w:r>
      <w:r>
        <w:t>类修车库；</w:t>
      </w:r>
      <w:r>
        <w:t xml:space="preserve"> </w:t>
      </w:r>
    </w:p>
    <w:p w14:paraId="66D30AF9" w14:textId="77777777" w:rsidR="00A71EEF" w:rsidRDefault="0081115D">
      <w:pPr>
        <w:pStyle w:val="a3"/>
        <w:spacing w:line="267" w:lineRule="exact"/>
        <w:ind w:left="838"/>
      </w:pPr>
      <w:r>
        <w:t>停车数量不大于</w:t>
      </w:r>
      <w:r>
        <w:t xml:space="preserve"> 5 </w:t>
      </w:r>
      <w:r>
        <w:t>辆的停车场。</w:t>
      </w:r>
      <w:r>
        <w:t xml:space="preserve"> </w:t>
      </w:r>
    </w:p>
    <w:p w14:paraId="4958D36A" w14:textId="77777777" w:rsidR="00A71EEF" w:rsidRDefault="00A71EEF">
      <w:pPr>
        <w:pStyle w:val="a3"/>
        <w:spacing w:before="2"/>
        <w:rPr>
          <w:sz w:val="18"/>
        </w:rPr>
      </w:pPr>
    </w:p>
    <w:p w14:paraId="6FB364FE" w14:textId="77777777" w:rsidR="00A71EEF" w:rsidRDefault="0081115D">
      <w:pPr>
        <w:pStyle w:val="a4"/>
        <w:numPr>
          <w:ilvl w:val="2"/>
          <w:numId w:val="209"/>
        </w:numPr>
        <w:tabs>
          <w:tab w:val="left" w:pos="1371"/>
        </w:tabs>
        <w:spacing w:line="446" w:lineRule="auto"/>
        <w:ind w:right="1604" w:firstLine="422"/>
        <w:jc w:val="both"/>
        <w:rPr>
          <w:sz w:val="21"/>
        </w:rPr>
      </w:pPr>
      <w:r>
        <w:rPr>
          <w:spacing w:val="-3"/>
          <w:sz w:val="21"/>
        </w:rPr>
        <w:t>当室外消防给水采用高压或临时高压给水系统时，汽车库、修车库、停车场消防给</w:t>
      </w:r>
      <w:r>
        <w:rPr>
          <w:spacing w:val="-4"/>
          <w:sz w:val="21"/>
        </w:rPr>
        <w:t>水管道内的压力应保证在消防用水量达到最大时，最不利点水枪的充实水柱不小于</w:t>
      </w:r>
      <w:r>
        <w:rPr>
          <w:spacing w:val="-4"/>
          <w:sz w:val="21"/>
        </w:rPr>
        <w:t xml:space="preserve"> </w:t>
      </w:r>
      <w:r>
        <w:rPr>
          <w:sz w:val="21"/>
        </w:rPr>
        <w:t>10m</w:t>
      </w:r>
      <w:r>
        <w:rPr>
          <w:spacing w:val="-2"/>
          <w:sz w:val="21"/>
        </w:rPr>
        <w:t>；当室</w:t>
      </w:r>
      <w:r>
        <w:rPr>
          <w:spacing w:val="-3"/>
          <w:sz w:val="21"/>
        </w:rPr>
        <w:t>外消防给水采用低压给水系统时，消防给水管道内的压力应保证灭火时最不利点消火栓的水压</w:t>
      </w:r>
      <w:r>
        <w:rPr>
          <w:spacing w:val="-15"/>
          <w:sz w:val="21"/>
        </w:rPr>
        <w:t>不小于</w:t>
      </w:r>
      <w:r>
        <w:rPr>
          <w:spacing w:val="-15"/>
          <w:sz w:val="21"/>
        </w:rPr>
        <w:t xml:space="preserve"> </w:t>
      </w:r>
      <w:r>
        <w:rPr>
          <w:sz w:val="21"/>
        </w:rPr>
        <w:t>0.1MPa</w:t>
      </w:r>
      <w:r>
        <w:rPr>
          <w:sz w:val="21"/>
        </w:rPr>
        <w:t>（</w:t>
      </w:r>
      <w:r>
        <w:rPr>
          <w:spacing w:val="-3"/>
          <w:sz w:val="21"/>
        </w:rPr>
        <w:t>从室外地面算起</w:t>
      </w:r>
      <w:r>
        <w:rPr>
          <w:sz w:val="21"/>
        </w:rPr>
        <w:t>）</w:t>
      </w:r>
      <w:r>
        <w:rPr>
          <w:spacing w:val="-3"/>
          <w:sz w:val="21"/>
        </w:rPr>
        <w:t>。</w:t>
      </w:r>
      <w:r>
        <w:rPr>
          <w:sz w:val="21"/>
        </w:rPr>
        <w:t xml:space="preserve"> </w:t>
      </w:r>
    </w:p>
    <w:p w14:paraId="50365C28" w14:textId="77777777" w:rsidR="00A71EEF" w:rsidRDefault="0081115D">
      <w:pPr>
        <w:pStyle w:val="a4"/>
        <w:numPr>
          <w:ilvl w:val="2"/>
          <w:numId w:val="209"/>
        </w:numPr>
        <w:tabs>
          <w:tab w:val="left" w:pos="1370"/>
        </w:tabs>
        <w:spacing w:line="446" w:lineRule="auto"/>
        <w:ind w:right="1604" w:firstLine="422"/>
        <w:jc w:val="both"/>
        <w:rPr>
          <w:sz w:val="21"/>
        </w:rPr>
      </w:pPr>
      <w:r>
        <w:rPr>
          <w:spacing w:val="-3"/>
          <w:sz w:val="21"/>
        </w:rPr>
        <w:t>汽车库、修车库的消防用水量应按室内、外消防用水量之和计算。其中，汽车库、修车库内设置消火栓、自动喷水、泡沫等灭火系统时，其室内消防用水量应按需要同时开启的灭火系统用水量之和计算。</w:t>
      </w:r>
      <w:r>
        <w:rPr>
          <w:spacing w:val="-3"/>
          <w:sz w:val="21"/>
        </w:rPr>
        <w:t xml:space="preserve"> </w:t>
      </w:r>
    </w:p>
    <w:p w14:paraId="507A5C59" w14:textId="77777777" w:rsidR="00A71EEF" w:rsidRDefault="0081115D">
      <w:pPr>
        <w:pStyle w:val="a4"/>
        <w:numPr>
          <w:ilvl w:val="2"/>
          <w:numId w:val="209"/>
        </w:numPr>
        <w:tabs>
          <w:tab w:val="left" w:pos="1370"/>
        </w:tabs>
        <w:spacing w:line="446" w:lineRule="auto"/>
        <w:ind w:right="1707" w:firstLine="422"/>
        <w:jc w:val="both"/>
        <w:rPr>
          <w:sz w:val="21"/>
        </w:rPr>
      </w:pPr>
      <w:r>
        <w:rPr>
          <w:spacing w:val="-3"/>
          <w:sz w:val="21"/>
        </w:rPr>
        <w:t>除本规范另有规定外，汽车库、修车库、停车场应设</w:t>
      </w:r>
      <w:r>
        <w:rPr>
          <w:spacing w:val="-3"/>
          <w:sz w:val="21"/>
        </w:rPr>
        <w:t>置室外消火栓系统，其室外消防用水量应按消防用水量最大的一座计算，并应符合下列规定：</w:t>
      </w:r>
      <w:r>
        <w:rPr>
          <w:sz w:val="21"/>
        </w:rPr>
        <w:t xml:space="preserve"> </w:t>
      </w:r>
    </w:p>
    <w:p w14:paraId="013598CE" w14:textId="77777777" w:rsidR="00A71EEF" w:rsidRDefault="0081115D">
      <w:pPr>
        <w:pStyle w:val="a3"/>
        <w:spacing w:line="446" w:lineRule="auto"/>
        <w:ind w:left="838" w:right="4712"/>
      </w:pPr>
      <w:r>
        <w:rPr>
          <w:spacing w:val="-6"/>
        </w:rPr>
        <w:t>Ⅰ</w:t>
      </w:r>
      <w:r>
        <w:rPr>
          <w:spacing w:val="-6"/>
        </w:rPr>
        <w:t>、</w:t>
      </w:r>
      <w:r>
        <w:rPr>
          <w:spacing w:val="-6"/>
        </w:rPr>
        <w:t>Ⅱ</w:t>
      </w:r>
      <w:r>
        <w:rPr>
          <w:spacing w:val="-6"/>
        </w:rPr>
        <w:t>类汽车库、修车库、停车场，不应小于</w:t>
      </w:r>
      <w:r>
        <w:rPr>
          <w:spacing w:val="-6"/>
        </w:rPr>
        <w:t xml:space="preserve"> </w:t>
      </w:r>
      <w:r>
        <w:t>20L/s</w:t>
      </w:r>
      <w:r>
        <w:t>；</w:t>
      </w:r>
      <w:r>
        <w:t xml:space="preserve"> </w:t>
      </w:r>
      <w:r>
        <w:rPr>
          <w:spacing w:val="1"/>
        </w:rPr>
        <w:t>Ⅲ</w:t>
      </w:r>
      <w:r>
        <w:rPr>
          <w:spacing w:val="1"/>
        </w:rPr>
        <w:t>类汽车库、修车库、停车场，不应小于</w:t>
      </w:r>
      <w:r>
        <w:rPr>
          <w:spacing w:val="1"/>
        </w:rPr>
        <w:t xml:space="preserve">   </w:t>
      </w:r>
      <w:r>
        <w:t>15L/s</w:t>
      </w:r>
      <w:r>
        <w:t>；</w:t>
      </w:r>
      <w:r>
        <w:t xml:space="preserve"> </w:t>
      </w:r>
      <w:r>
        <w:rPr>
          <w:spacing w:val="-6"/>
        </w:rPr>
        <w:t>Ⅳ</w:t>
      </w:r>
      <w:r>
        <w:rPr>
          <w:spacing w:val="-6"/>
        </w:rPr>
        <w:t>类汽车库、修车库、停车场，不应小于</w:t>
      </w:r>
      <w:r>
        <w:rPr>
          <w:spacing w:val="-6"/>
        </w:rPr>
        <w:t xml:space="preserve"> </w:t>
      </w:r>
      <w:r>
        <w:t>10L/s</w:t>
      </w:r>
      <w:r>
        <w:rPr>
          <w:spacing w:val="-3"/>
        </w:rPr>
        <w:t>。</w:t>
      </w:r>
      <w:r>
        <w:t xml:space="preserve"> </w:t>
      </w:r>
    </w:p>
    <w:p w14:paraId="0033BB7B" w14:textId="77777777" w:rsidR="00A71EEF" w:rsidRDefault="0081115D">
      <w:pPr>
        <w:pStyle w:val="a4"/>
        <w:numPr>
          <w:ilvl w:val="2"/>
          <w:numId w:val="209"/>
        </w:numPr>
        <w:tabs>
          <w:tab w:val="left" w:pos="1371"/>
        </w:tabs>
        <w:spacing w:line="446" w:lineRule="auto"/>
        <w:ind w:right="1604" w:firstLine="422"/>
        <w:rPr>
          <w:sz w:val="21"/>
        </w:rPr>
      </w:pPr>
      <w:r>
        <w:rPr>
          <w:spacing w:val="-3"/>
          <w:sz w:val="21"/>
        </w:rPr>
        <w:t>汽车库、修车库、停车场的室外消防给水管道、室外消火栓、消防泵房的设置，应符合现行国家标准《消防给水及消火栓系统技术规范》</w:t>
      </w:r>
      <w:r>
        <w:rPr>
          <w:sz w:val="21"/>
        </w:rPr>
        <w:t>GB</w:t>
      </w:r>
      <w:r>
        <w:rPr>
          <w:spacing w:val="2"/>
          <w:sz w:val="21"/>
        </w:rPr>
        <w:t xml:space="preserve"> </w:t>
      </w:r>
      <w:r>
        <w:rPr>
          <w:sz w:val="21"/>
        </w:rPr>
        <w:t>50974</w:t>
      </w:r>
      <w:r>
        <w:rPr>
          <w:spacing w:val="-11"/>
          <w:sz w:val="21"/>
        </w:rPr>
        <w:t xml:space="preserve"> </w:t>
      </w:r>
      <w:r>
        <w:rPr>
          <w:spacing w:val="-11"/>
          <w:sz w:val="21"/>
        </w:rPr>
        <w:t>的有关规定。</w:t>
      </w:r>
      <w:r>
        <w:rPr>
          <w:spacing w:val="-11"/>
          <w:sz w:val="21"/>
        </w:rPr>
        <w:t xml:space="preserve"> </w:t>
      </w:r>
    </w:p>
    <w:p w14:paraId="5BAC0A57" w14:textId="77777777" w:rsidR="00A71EEF" w:rsidRDefault="0081115D">
      <w:pPr>
        <w:pStyle w:val="a3"/>
        <w:spacing w:line="446" w:lineRule="auto"/>
        <w:ind w:left="418" w:right="1707" w:firstLine="419"/>
      </w:pPr>
      <w:r>
        <w:t>停车场的室外消火栓宜沿停车场周边设置，且距离最近一排汽车不宜小于</w:t>
      </w:r>
      <w:r>
        <w:t xml:space="preserve"> 7m</w:t>
      </w:r>
      <w:r>
        <w:t>，距加油站或油库不宜小于</w:t>
      </w:r>
      <w:r>
        <w:t xml:space="preserve"> 15m</w:t>
      </w:r>
      <w:r>
        <w:t>。</w:t>
      </w:r>
      <w:r>
        <w:t xml:space="preserve"> </w:t>
      </w:r>
    </w:p>
    <w:p w14:paraId="72159AD5" w14:textId="77777777" w:rsidR="00A71EEF" w:rsidRDefault="00A71EEF">
      <w:pPr>
        <w:spacing w:line="446" w:lineRule="auto"/>
        <w:sectPr w:rsidR="00A71EEF">
          <w:pgSz w:w="11910" w:h="16850"/>
          <w:pgMar w:top="1220" w:right="0" w:bottom="1420" w:left="1260" w:header="0" w:footer="1239" w:gutter="0"/>
          <w:cols w:space="720"/>
        </w:sectPr>
      </w:pPr>
    </w:p>
    <w:p w14:paraId="41E1CF0C" w14:textId="77777777" w:rsidR="00A71EEF" w:rsidRDefault="0081115D">
      <w:pPr>
        <w:pStyle w:val="a4"/>
        <w:numPr>
          <w:ilvl w:val="2"/>
          <w:numId w:val="209"/>
        </w:numPr>
        <w:tabs>
          <w:tab w:val="left" w:pos="1371"/>
        </w:tabs>
        <w:spacing w:before="47" w:line="446" w:lineRule="auto"/>
        <w:ind w:right="1659" w:firstLine="422"/>
        <w:rPr>
          <w:sz w:val="21"/>
        </w:rPr>
      </w:pPr>
      <w:r>
        <w:rPr>
          <w:spacing w:val="-6"/>
          <w:sz w:val="21"/>
        </w:rPr>
        <w:t>室外消火栓的保护半径不应大于</w:t>
      </w:r>
      <w:r>
        <w:rPr>
          <w:spacing w:val="-6"/>
          <w:sz w:val="21"/>
        </w:rPr>
        <w:t xml:space="preserve"> </w:t>
      </w:r>
      <w:r>
        <w:rPr>
          <w:sz w:val="21"/>
        </w:rPr>
        <w:t>150m</w:t>
      </w:r>
      <w:r>
        <w:rPr>
          <w:spacing w:val="-7"/>
          <w:sz w:val="21"/>
        </w:rPr>
        <w:t>，在市政消火栓保护半径</w:t>
      </w:r>
      <w:r>
        <w:rPr>
          <w:spacing w:val="-7"/>
          <w:sz w:val="21"/>
        </w:rPr>
        <w:t xml:space="preserve"> </w:t>
      </w:r>
      <w:r>
        <w:rPr>
          <w:sz w:val="21"/>
        </w:rPr>
        <w:t>150m</w:t>
      </w:r>
      <w:r>
        <w:rPr>
          <w:spacing w:val="-9"/>
          <w:sz w:val="21"/>
        </w:rPr>
        <w:t xml:space="preserve"> </w:t>
      </w:r>
      <w:r>
        <w:rPr>
          <w:spacing w:val="-9"/>
          <w:sz w:val="21"/>
        </w:rPr>
        <w:t>范围内的汽车</w:t>
      </w:r>
      <w:r>
        <w:rPr>
          <w:spacing w:val="-5"/>
          <w:sz w:val="21"/>
        </w:rPr>
        <w:t>库、修车库、停车场，市政消火栓可计入建筑室外消火栓的数量。</w:t>
      </w:r>
      <w:r>
        <w:rPr>
          <w:sz w:val="21"/>
        </w:rPr>
        <w:t xml:space="preserve"> </w:t>
      </w:r>
    </w:p>
    <w:p w14:paraId="0ED0C7F8" w14:textId="77777777" w:rsidR="00A71EEF" w:rsidRDefault="0081115D">
      <w:pPr>
        <w:pStyle w:val="a4"/>
        <w:numPr>
          <w:ilvl w:val="2"/>
          <w:numId w:val="209"/>
        </w:numPr>
        <w:tabs>
          <w:tab w:val="left" w:pos="1370"/>
        </w:tabs>
        <w:spacing w:line="446" w:lineRule="auto"/>
        <w:ind w:right="1707" w:firstLine="422"/>
        <w:rPr>
          <w:sz w:val="21"/>
        </w:rPr>
      </w:pPr>
      <w:r>
        <w:rPr>
          <w:spacing w:val="-3"/>
          <w:sz w:val="21"/>
        </w:rPr>
        <w:t>除本规范另有规定外，汽车库、修车库应设置室内消火栓系统，其消防用水量应符合下列规定：</w:t>
      </w:r>
      <w:r>
        <w:rPr>
          <w:sz w:val="21"/>
        </w:rPr>
        <w:t xml:space="preserve"> </w:t>
      </w:r>
    </w:p>
    <w:p w14:paraId="7A9428F1" w14:textId="77777777" w:rsidR="00A71EEF" w:rsidRDefault="0081115D">
      <w:pPr>
        <w:pStyle w:val="a3"/>
        <w:spacing w:line="446" w:lineRule="auto"/>
        <w:ind w:left="418" w:right="1602" w:firstLine="419"/>
      </w:pPr>
      <w:r>
        <w:t>Ⅰ</w:t>
      </w:r>
      <w:r>
        <w:t>、</w:t>
      </w:r>
      <w:r>
        <w:t>Ⅱ</w:t>
      </w:r>
      <w:r>
        <w:t>、</w:t>
      </w:r>
      <w:r>
        <w:t>Ⅲ</w:t>
      </w:r>
      <w:r>
        <w:t>类汽车库及</w:t>
      </w:r>
      <w:r>
        <w:t>Ⅰ</w:t>
      </w:r>
      <w:r>
        <w:t>、</w:t>
      </w:r>
      <w:r>
        <w:t>Ⅱ</w:t>
      </w:r>
      <w:r>
        <w:t>类修车库的用水量不应小于</w:t>
      </w:r>
      <w:r>
        <w:t xml:space="preserve"> 10L/s</w:t>
      </w:r>
      <w:r>
        <w:t>，系统管道内的压力应保证相邻两个消火栓的水枪充实水柱同时到达室内任何部位；</w:t>
      </w:r>
      <w:r>
        <w:t xml:space="preserve">  </w:t>
      </w:r>
      <w:r>
        <w:t xml:space="preserve"> </w:t>
      </w:r>
    </w:p>
    <w:p w14:paraId="20F39A11" w14:textId="77777777" w:rsidR="00A71EEF" w:rsidRDefault="0081115D">
      <w:pPr>
        <w:pStyle w:val="a3"/>
        <w:spacing w:line="446" w:lineRule="auto"/>
        <w:ind w:left="418" w:right="1707" w:firstLine="419"/>
      </w:pPr>
      <w:r>
        <w:t>Ⅳ</w:t>
      </w:r>
      <w:r>
        <w:t>类汽车库及</w:t>
      </w:r>
      <w:r>
        <w:t>Ⅲ</w:t>
      </w:r>
      <w:r>
        <w:t>、</w:t>
      </w:r>
      <w:r>
        <w:t>Ⅳ</w:t>
      </w:r>
      <w:r>
        <w:t>类修车库的用水量不应小于</w:t>
      </w:r>
      <w:r>
        <w:t xml:space="preserve"> 5L/s</w:t>
      </w:r>
      <w:r>
        <w:t>，系统管道内的压力应保证一个消火栓的水枪充实水柱到达室内任何部位。</w:t>
      </w:r>
      <w:r>
        <w:t xml:space="preserve"> </w:t>
      </w:r>
    </w:p>
    <w:p w14:paraId="3C6A4309" w14:textId="77777777" w:rsidR="00A71EEF" w:rsidRDefault="0081115D">
      <w:pPr>
        <w:pStyle w:val="a4"/>
        <w:numPr>
          <w:ilvl w:val="2"/>
          <w:numId w:val="209"/>
        </w:numPr>
        <w:tabs>
          <w:tab w:val="left" w:pos="1370"/>
        </w:tabs>
        <w:spacing w:line="267" w:lineRule="exact"/>
        <w:ind w:left="1369" w:hanging="530"/>
        <w:rPr>
          <w:sz w:val="21"/>
        </w:rPr>
      </w:pPr>
      <w:r>
        <w:rPr>
          <w:spacing w:val="-6"/>
          <w:sz w:val="21"/>
        </w:rPr>
        <w:t>室内消火栓水枪的充实水柱不应小于</w:t>
      </w:r>
      <w:r>
        <w:rPr>
          <w:spacing w:val="-6"/>
          <w:sz w:val="21"/>
        </w:rPr>
        <w:t xml:space="preserve"> </w:t>
      </w:r>
      <w:r>
        <w:rPr>
          <w:sz w:val="21"/>
        </w:rPr>
        <w:t>10m</w:t>
      </w:r>
      <w:r>
        <w:rPr>
          <w:spacing w:val="-3"/>
          <w:sz w:val="21"/>
        </w:rPr>
        <w:t>。同层相邻室内消火栓的间距不应大于</w:t>
      </w:r>
    </w:p>
    <w:p w14:paraId="539A8756" w14:textId="77777777" w:rsidR="00A71EEF" w:rsidRDefault="00A71EEF">
      <w:pPr>
        <w:pStyle w:val="a3"/>
        <w:rPr>
          <w:sz w:val="18"/>
        </w:rPr>
      </w:pPr>
    </w:p>
    <w:p w14:paraId="6A46CAA0" w14:textId="77777777" w:rsidR="00A71EEF" w:rsidRDefault="0081115D">
      <w:pPr>
        <w:pStyle w:val="a3"/>
        <w:ind w:left="418"/>
      </w:pPr>
      <w:r>
        <w:t>50m</w:t>
      </w:r>
      <w:r>
        <w:t>，高层汽车库和地下汽车库、半地下汽车库室内消火栓的间距不应大于</w:t>
      </w:r>
      <w:r>
        <w:t xml:space="preserve"> 30m</w:t>
      </w:r>
      <w:r>
        <w:t>。</w:t>
      </w:r>
      <w:r>
        <w:t xml:space="preserve"> </w:t>
      </w:r>
    </w:p>
    <w:p w14:paraId="38D85AE8" w14:textId="77777777" w:rsidR="00A71EEF" w:rsidRDefault="00A71EEF">
      <w:pPr>
        <w:pStyle w:val="a3"/>
        <w:spacing w:before="12"/>
        <w:rPr>
          <w:sz w:val="17"/>
        </w:rPr>
      </w:pPr>
    </w:p>
    <w:p w14:paraId="5F2436A5" w14:textId="77777777" w:rsidR="00A71EEF" w:rsidRDefault="0081115D">
      <w:pPr>
        <w:pStyle w:val="a3"/>
        <w:spacing w:line="446" w:lineRule="auto"/>
        <w:ind w:left="418" w:right="1707" w:firstLine="419"/>
      </w:pPr>
      <w:r>
        <w:t>室内消火栓应设置在易于取用的明显地点，栓口距离地面宜为</w:t>
      </w:r>
      <w:r>
        <w:t xml:space="preserve"> 1.1m</w:t>
      </w:r>
      <w:r>
        <w:t>，其出水方向宜向下或</w:t>
      </w:r>
      <w:r>
        <w:t>与设置消火栓的墙面垂直。</w:t>
      </w:r>
      <w:r>
        <w:t xml:space="preserve"> </w:t>
      </w:r>
    </w:p>
    <w:p w14:paraId="0B5132E8" w14:textId="77777777" w:rsidR="00A71EEF" w:rsidRDefault="0081115D">
      <w:pPr>
        <w:pStyle w:val="a4"/>
        <w:numPr>
          <w:ilvl w:val="2"/>
          <w:numId w:val="209"/>
        </w:numPr>
        <w:tabs>
          <w:tab w:val="left" w:pos="1478"/>
        </w:tabs>
        <w:spacing w:line="446" w:lineRule="auto"/>
        <w:ind w:right="1601" w:firstLine="422"/>
        <w:rPr>
          <w:sz w:val="21"/>
        </w:rPr>
      </w:pPr>
      <w:r>
        <w:rPr>
          <w:spacing w:val="-6"/>
          <w:sz w:val="21"/>
        </w:rPr>
        <w:t>汽车库、修车库室内消火栓超过</w:t>
      </w:r>
      <w:r>
        <w:rPr>
          <w:spacing w:val="-6"/>
          <w:sz w:val="21"/>
        </w:rPr>
        <w:t xml:space="preserve"> </w:t>
      </w:r>
      <w:r>
        <w:rPr>
          <w:sz w:val="21"/>
        </w:rPr>
        <w:t>10</w:t>
      </w:r>
      <w:r>
        <w:rPr>
          <w:spacing w:val="-8"/>
          <w:sz w:val="21"/>
        </w:rPr>
        <w:t xml:space="preserve"> </w:t>
      </w:r>
      <w:r>
        <w:rPr>
          <w:spacing w:val="-8"/>
          <w:sz w:val="21"/>
        </w:rPr>
        <w:t>个时，室内消防管道应布置成环状，并应有两</w:t>
      </w:r>
      <w:r>
        <w:rPr>
          <w:spacing w:val="-5"/>
          <w:sz w:val="21"/>
        </w:rPr>
        <w:t>条进水管与室外管道相连接。</w:t>
      </w:r>
      <w:r>
        <w:rPr>
          <w:sz w:val="21"/>
        </w:rPr>
        <w:t xml:space="preserve"> </w:t>
      </w:r>
    </w:p>
    <w:p w14:paraId="451AB563" w14:textId="77777777" w:rsidR="00A71EEF" w:rsidRDefault="0081115D">
      <w:pPr>
        <w:pStyle w:val="a4"/>
        <w:numPr>
          <w:ilvl w:val="2"/>
          <w:numId w:val="209"/>
        </w:numPr>
        <w:tabs>
          <w:tab w:val="left" w:pos="1478"/>
        </w:tabs>
        <w:spacing w:line="267" w:lineRule="exact"/>
        <w:ind w:left="1477" w:hanging="638"/>
        <w:rPr>
          <w:sz w:val="21"/>
        </w:rPr>
      </w:pPr>
      <w:r>
        <w:rPr>
          <w:spacing w:val="-5"/>
          <w:sz w:val="21"/>
        </w:rPr>
        <w:t>室内消防管道应采用阀门分成若干独立段，每段内消火栓不应超过</w:t>
      </w:r>
      <w:r>
        <w:rPr>
          <w:spacing w:val="-5"/>
          <w:sz w:val="21"/>
        </w:rPr>
        <w:t xml:space="preserve"> </w:t>
      </w:r>
      <w:r>
        <w:rPr>
          <w:sz w:val="21"/>
        </w:rPr>
        <w:t>5</w:t>
      </w:r>
      <w:r>
        <w:rPr>
          <w:spacing w:val="-10"/>
          <w:sz w:val="21"/>
        </w:rPr>
        <w:t xml:space="preserve"> </w:t>
      </w:r>
      <w:r>
        <w:rPr>
          <w:spacing w:val="-10"/>
          <w:sz w:val="21"/>
        </w:rPr>
        <w:t>个。高层汽</w:t>
      </w:r>
    </w:p>
    <w:p w14:paraId="2CAD7F44" w14:textId="77777777" w:rsidR="00A71EEF" w:rsidRDefault="00A71EEF">
      <w:pPr>
        <w:pStyle w:val="a3"/>
        <w:spacing w:before="2"/>
        <w:rPr>
          <w:sz w:val="18"/>
        </w:rPr>
      </w:pPr>
    </w:p>
    <w:p w14:paraId="16F8278D" w14:textId="77777777" w:rsidR="00A71EEF" w:rsidRDefault="0081115D">
      <w:pPr>
        <w:pStyle w:val="a3"/>
        <w:ind w:left="418"/>
      </w:pPr>
      <w:r>
        <w:t>车库内管道阀门的布置，应保证检修管道时关闭的竖管不超过</w:t>
      </w:r>
      <w:r>
        <w:t xml:space="preserve"> 1 </w:t>
      </w:r>
      <w:r>
        <w:t>根，当竖管超过</w:t>
      </w:r>
      <w:r>
        <w:t xml:space="preserve"> 4 </w:t>
      </w:r>
      <w:r>
        <w:t>根时，可关</w:t>
      </w:r>
    </w:p>
    <w:p w14:paraId="49120984" w14:textId="77777777" w:rsidR="00A71EEF" w:rsidRDefault="00A71EEF">
      <w:pPr>
        <w:pStyle w:val="a3"/>
        <w:spacing w:before="12"/>
        <w:rPr>
          <w:sz w:val="17"/>
        </w:rPr>
      </w:pPr>
    </w:p>
    <w:p w14:paraId="5403D6C2" w14:textId="77777777" w:rsidR="00A71EEF" w:rsidRDefault="0081115D">
      <w:pPr>
        <w:pStyle w:val="a3"/>
        <w:ind w:left="418"/>
      </w:pPr>
      <w:r>
        <w:t>闭不相邻的</w:t>
      </w:r>
      <w:r>
        <w:t xml:space="preserve"> 2 </w:t>
      </w:r>
      <w:r>
        <w:t>根。</w:t>
      </w:r>
      <w:r>
        <w:t xml:space="preserve"> </w:t>
      </w:r>
    </w:p>
    <w:p w14:paraId="3252A718" w14:textId="77777777" w:rsidR="00A71EEF" w:rsidRDefault="00A71EEF">
      <w:pPr>
        <w:pStyle w:val="a3"/>
        <w:rPr>
          <w:sz w:val="18"/>
        </w:rPr>
      </w:pPr>
    </w:p>
    <w:p w14:paraId="27E11CA9" w14:textId="77777777" w:rsidR="00A71EEF" w:rsidRDefault="0081115D">
      <w:pPr>
        <w:pStyle w:val="a4"/>
        <w:numPr>
          <w:ilvl w:val="2"/>
          <w:numId w:val="209"/>
        </w:numPr>
        <w:tabs>
          <w:tab w:val="left" w:pos="1478"/>
        </w:tabs>
        <w:spacing w:line="446" w:lineRule="auto"/>
        <w:ind w:right="1608" w:firstLine="422"/>
        <w:rPr>
          <w:sz w:val="21"/>
        </w:rPr>
      </w:pPr>
      <w:r>
        <w:rPr>
          <w:sz w:val="21"/>
        </w:rPr>
        <w:t>4</w:t>
      </w:r>
      <w:r>
        <w:rPr>
          <w:spacing w:val="-7"/>
          <w:sz w:val="21"/>
        </w:rPr>
        <w:t xml:space="preserve"> </w:t>
      </w:r>
      <w:r>
        <w:rPr>
          <w:spacing w:val="-7"/>
          <w:sz w:val="21"/>
        </w:rPr>
        <w:t>层以上的多层汽车库、高层汽车库和地下、半地下汽车库，其室内消防给水管网</w:t>
      </w:r>
      <w:r>
        <w:rPr>
          <w:spacing w:val="-4"/>
          <w:sz w:val="21"/>
        </w:rPr>
        <w:t>应设置水泵接合器。水泵接合器的数量应按室内消防用水量计算确定，每个水泵接合器的流量</w:t>
      </w:r>
      <w:r>
        <w:rPr>
          <w:spacing w:val="-14"/>
          <w:sz w:val="21"/>
        </w:rPr>
        <w:t>应按</w:t>
      </w:r>
      <w:r>
        <w:rPr>
          <w:spacing w:val="-14"/>
          <w:sz w:val="21"/>
        </w:rPr>
        <w:t xml:space="preserve"> </w:t>
      </w:r>
      <w:r>
        <w:rPr>
          <w:sz w:val="21"/>
        </w:rPr>
        <w:t>10</w:t>
      </w:r>
      <w:r>
        <w:rPr>
          <w:sz w:val="21"/>
        </w:rPr>
        <w:t>～</w:t>
      </w:r>
      <w:r>
        <w:rPr>
          <w:sz w:val="21"/>
        </w:rPr>
        <w:t>15L/s</w:t>
      </w:r>
      <w:r>
        <w:rPr>
          <w:spacing w:val="-7"/>
          <w:sz w:val="21"/>
        </w:rPr>
        <w:t xml:space="preserve"> </w:t>
      </w:r>
      <w:r>
        <w:rPr>
          <w:spacing w:val="-7"/>
          <w:sz w:val="21"/>
        </w:rPr>
        <w:t>计算。水泵接合器应设置明显的标志，并应设置在便于消防车停靠和安全使用</w:t>
      </w:r>
      <w:r>
        <w:rPr>
          <w:spacing w:val="-11"/>
          <w:sz w:val="21"/>
        </w:rPr>
        <w:t>的地点，其周围</w:t>
      </w:r>
      <w:r>
        <w:rPr>
          <w:spacing w:val="-11"/>
          <w:sz w:val="21"/>
        </w:rPr>
        <w:t xml:space="preserve"> </w:t>
      </w:r>
      <w:r>
        <w:rPr>
          <w:sz w:val="21"/>
        </w:rPr>
        <w:t>15m</w:t>
      </w:r>
      <w:r>
        <w:rPr>
          <w:sz w:val="21"/>
        </w:rPr>
        <w:t>～</w:t>
      </w:r>
      <w:r>
        <w:rPr>
          <w:sz w:val="21"/>
        </w:rPr>
        <w:t>40m</w:t>
      </w:r>
      <w:r>
        <w:rPr>
          <w:spacing w:val="-9"/>
          <w:sz w:val="21"/>
        </w:rPr>
        <w:t xml:space="preserve"> </w:t>
      </w:r>
      <w:r>
        <w:rPr>
          <w:spacing w:val="-9"/>
          <w:sz w:val="21"/>
        </w:rPr>
        <w:t>范围内应设室外消火栓或消防水池。</w:t>
      </w:r>
      <w:r>
        <w:rPr>
          <w:sz w:val="21"/>
        </w:rPr>
        <w:t xml:space="preserve"> </w:t>
      </w:r>
    </w:p>
    <w:p w14:paraId="02154A2D" w14:textId="77777777" w:rsidR="00A71EEF" w:rsidRDefault="0081115D">
      <w:pPr>
        <w:pStyle w:val="a4"/>
        <w:numPr>
          <w:ilvl w:val="2"/>
          <w:numId w:val="209"/>
        </w:numPr>
        <w:tabs>
          <w:tab w:val="left" w:pos="1478"/>
        </w:tabs>
        <w:spacing w:line="446" w:lineRule="auto"/>
        <w:ind w:right="1705" w:firstLine="422"/>
        <w:rPr>
          <w:sz w:val="21"/>
        </w:rPr>
      </w:pPr>
      <w:r>
        <w:rPr>
          <w:spacing w:val="-3"/>
          <w:sz w:val="21"/>
        </w:rPr>
        <w:t>设置高压给水系统的汽车库、修车库，当能保证最不利点消火栓和自动喷水灭火系统等的水量和水压时，可不设置消防水箱。</w:t>
      </w:r>
      <w:r>
        <w:rPr>
          <w:sz w:val="21"/>
        </w:rPr>
        <w:t xml:space="preserve"> </w:t>
      </w:r>
    </w:p>
    <w:p w14:paraId="05CB5E78" w14:textId="77777777" w:rsidR="00A71EEF" w:rsidRDefault="0081115D">
      <w:pPr>
        <w:pStyle w:val="a3"/>
        <w:spacing w:line="441" w:lineRule="auto"/>
        <w:ind w:left="418" w:right="1548" w:firstLine="419"/>
      </w:pPr>
      <w:r>
        <w:t>设置临时高压消防给水系统的汽车库、修车库，应设置屋顶消防水箱，其容量不应小于</w:t>
      </w:r>
      <w:r>
        <w:t>12m</w:t>
      </w:r>
      <w:r>
        <w:rPr>
          <w:position w:val="11"/>
          <w:sz w:val="11"/>
        </w:rPr>
        <w:t>3</w:t>
      </w:r>
      <w:r>
        <w:t>，并应符合现行国家标准《消防给水及消火栓系统技术规范》</w:t>
      </w:r>
      <w:r>
        <w:t xml:space="preserve">GB 50974 </w:t>
      </w:r>
      <w:r>
        <w:t>的有关规定。消防用水与其他用水合用的水箱，应采取保证消防用水不作他用的技术措施。</w:t>
      </w:r>
      <w:r>
        <w:t xml:space="preserve"> </w:t>
      </w:r>
    </w:p>
    <w:p w14:paraId="65F3C4F6" w14:textId="77777777" w:rsidR="00A71EEF" w:rsidRDefault="0081115D">
      <w:pPr>
        <w:pStyle w:val="a4"/>
        <w:numPr>
          <w:ilvl w:val="2"/>
          <w:numId w:val="209"/>
        </w:numPr>
        <w:tabs>
          <w:tab w:val="left" w:pos="1478"/>
        </w:tabs>
        <w:spacing w:before="3" w:line="446" w:lineRule="auto"/>
        <w:ind w:right="1707" w:firstLine="422"/>
        <w:rPr>
          <w:sz w:val="21"/>
        </w:rPr>
      </w:pPr>
      <w:r>
        <w:rPr>
          <w:spacing w:val="-3"/>
          <w:sz w:val="21"/>
        </w:rPr>
        <w:t>采用临时高压消防给水系统的汽车库、修车库，其消防水泵的控制应符合现行国家标准《消防给水及消火栓系统技术规范》</w:t>
      </w:r>
      <w:r>
        <w:rPr>
          <w:sz w:val="21"/>
        </w:rPr>
        <w:t>GB</w:t>
      </w:r>
      <w:r>
        <w:rPr>
          <w:spacing w:val="1"/>
          <w:sz w:val="21"/>
        </w:rPr>
        <w:t xml:space="preserve"> </w:t>
      </w:r>
      <w:r>
        <w:rPr>
          <w:sz w:val="21"/>
        </w:rPr>
        <w:t>50974</w:t>
      </w:r>
      <w:r>
        <w:rPr>
          <w:spacing w:val="-10"/>
          <w:sz w:val="21"/>
        </w:rPr>
        <w:t xml:space="preserve"> </w:t>
      </w:r>
      <w:r>
        <w:rPr>
          <w:spacing w:val="-10"/>
          <w:sz w:val="21"/>
        </w:rPr>
        <w:t>的有关规定。</w:t>
      </w:r>
      <w:r>
        <w:rPr>
          <w:sz w:val="21"/>
        </w:rPr>
        <w:t xml:space="preserve"> </w:t>
      </w:r>
    </w:p>
    <w:p w14:paraId="53D7F802" w14:textId="77777777" w:rsidR="00A71EEF" w:rsidRDefault="00A71EEF">
      <w:pPr>
        <w:spacing w:line="446" w:lineRule="auto"/>
        <w:rPr>
          <w:sz w:val="21"/>
        </w:rPr>
        <w:sectPr w:rsidR="00A71EEF">
          <w:pgSz w:w="11910" w:h="16850"/>
          <w:pgMar w:top="1220" w:right="0" w:bottom="1420" w:left="1260" w:header="0" w:footer="1239" w:gutter="0"/>
          <w:cols w:space="720"/>
        </w:sectPr>
      </w:pPr>
    </w:p>
    <w:p w14:paraId="1F524FCD" w14:textId="77777777" w:rsidR="00A71EEF" w:rsidRDefault="0081115D">
      <w:pPr>
        <w:pStyle w:val="a4"/>
        <w:numPr>
          <w:ilvl w:val="2"/>
          <w:numId w:val="209"/>
        </w:numPr>
        <w:tabs>
          <w:tab w:val="left" w:pos="1478"/>
        </w:tabs>
        <w:spacing w:before="47" w:line="446" w:lineRule="auto"/>
        <w:ind w:right="1601" w:firstLine="422"/>
        <w:rPr>
          <w:sz w:val="21"/>
        </w:rPr>
      </w:pPr>
      <w:r>
        <w:rPr>
          <w:spacing w:val="-3"/>
          <w:sz w:val="21"/>
        </w:rPr>
        <w:t>采用消防水池作为消防水源时，其有效容量应满足火灾延续时间内室内、外消防用水量之和的要求。</w:t>
      </w:r>
      <w:r>
        <w:rPr>
          <w:sz w:val="21"/>
        </w:rPr>
        <w:t xml:space="preserve"> </w:t>
      </w:r>
    </w:p>
    <w:p w14:paraId="33CC349B" w14:textId="77777777" w:rsidR="00A71EEF" w:rsidRDefault="0081115D">
      <w:pPr>
        <w:pStyle w:val="a4"/>
        <w:numPr>
          <w:ilvl w:val="2"/>
          <w:numId w:val="209"/>
        </w:numPr>
        <w:tabs>
          <w:tab w:val="left" w:pos="1478"/>
        </w:tabs>
        <w:spacing w:line="446" w:lineRule="auto"/>
        <w:ind w:right="1609" w:firstLine="422"/>
        <w:rPr>
          <w:sz w:val="21"/>
        </w:rPr>
      </w:pPr>
      <w:r>
        <w:rPr>
          <w:spacing w:val="-8"/>
          <w:sz w:val="21"/>
        </w:rPr>
        <w:t>火灾延续时间应按</w:t>
      </w:r>
      <w:r>
        <w:rPr>
          <w:spacing w:val="-8"/>
          <w:sz w:val="21"/>
        </w:rPr>
        <w:t xml:space="preserve"> </w:t>
      </w:r>
      <w:r>
        <w:rPr>
          <w:sz w:val="21"/>
        </w:rPr>
        <w:t>2.00h</w:t>
      </w:r>
      <w:r>
        <w:rPr>
          <w:spacing w:val="-11"/>
          <w:sz w:val="21"/>
        </w:rPr>
        <w:t xml:space="preserve"> </w:t>
      </w:r>
      <w:r>
        <w:rPr>
          <w:spacing w:val="-11"/>
          <w:sz w:val="21"/>
        </w:rPr>
        <w:t>计算，但自动喷水灭火系统可按</w:t>
      </w:r>
      <w:r>
        <w:rPr>
          <w:spacing w:val="-11"/>
          <w:sz w:val="21"/>
        </w:rPr>
        <w:t xml:space="preserve"> </w:t>
      </w:r>
      <w:r>
        <w:rPr>
          <w:sz w:val="21"/>
        </w:rPr>
        <w:t>1.00h</w:t>
      </w:r>
      <w:r>
        <w:rPr>
          <w:spacing w:val="-8"/>
          <w:sz w:val="21"/>
        </w:rPr>
        <w:t xml:space="preserve"> </w:t>
      </w:r>
      <w:r>
        <w:rPr>
          <w:spacing w:val="-8"/>
          <w:sz w:val="21"/>
        </w:rPr>
        <w:t>计算，泡沫灭火系</w:t>
      </w:r>
      <w:r>
        <w:rPr>
          <w:spacing w:val="-12"/>
          <w:sz w:val="21"/>
        </w:rPr>
        <w:t>统可按</w:t>
      </w:r>
      <w:r>
        <w:rPr>
          <w:spacing w:val="-12"/>
          <w:sz w:val="21"/>
        </w:rPr>
        <w:t xml:space="preserve"> </w:t>
      </w:r>
      <w:r>
        <w:rPr>
          <w:sz w:val="21"/>
        </w:rPr>
        <w:t>0.50h</w:t>
      </w:r>
      <w:r>
        <w:rPr>
          <w:spacing w:val="-7"/>
          <w:sz w:val="21"/>
        </w:rPr>
        <w:t xml:space="preserve"> </w:t>
      </w:r>
      <w:r>
        <w:rPr>
          <w:spacing w:val="-7"/>
          <w:sz w:val="21"/>
        </w:rPr>
        <w:t>计算。当室外给水管网能确保连续补水时，消防水池的有效容量可减去火灾延续</w:t>
      </w:r>
      <w:r>
        <w:rPr>
          <w:spacing w:val="-4"/>
          <w:sz w:val="21"/>
        </w:rPr>
        <w:t>时间内连续补充的水量。</w:t>
      </w:r>
      <w:r>
        <w:rPr>
          <w:spacing w:val="-4"/>
          <w:sz w:val="21"/>
        </w:rPr>
        <w:t xml:space="preserve"> </w:t>
      </w:r>
    </w:p>
    <w:p w14:paraId="3C0ADC93" w14:textId="77777777" w:rsidR="00A71EEF" w:rsidRDefault="0081115D">
      <w:pPr>
        <w:pStyle w:val="a4"/>
        <w:numPr>
          <w:ilvl w:val="2"/>
          <w:numId w:val="209"/>
        </w:numPr>
        <w:tabs>
          <w:tab w:val="left" w:pos="1478"/>
        </w:tabs>
        <w:spacing w:line="446" w:lineRule="auto"/>
        <w:ind w:right="1705" w:firstLine="422"/>
        <w:jc w:val="both"/>
        <w:rPr>
          <w:sz w:val="21"/>
        </w:rPr>
      </w:pPr>
      <w:r>
        <w:rPr>
          <w:spacing w:val="-3"/>
          <w:sz w:val="21"/>
        </w:rPr>
        <w:t>供消防车取水的消防水池应设置取水口或取水井，其水深应保证消防车的消防水</w:t>
      </w:r>
      <w:r>
        <w:rPr>
          <w:spacing w:val="-7"/>
          <w:sz w:val="21"/>
        </w:rPr>
        <w:t>泵吸水高度不大于</w:t>
      </w:r>
      <w:r>
        <w:rPr>
          <w:spacing w:val="-7"/>
          <w:sz w:val="21"/>
        </w:rPr>
        <w:t xml:space="preserve"> </w:t>
      </w:r>
      <w:r>
        <w:rPr>
          <w:sz w:val="21"/>
        </w:rPr>
        <w:t>6m</w:t>
      </w:r>
      <w:r>
        <w:rPr>
          <w:spacing w:val="-3"/>
          <w:sz w:val="21"/>
        </w:rPr>
        <w:t>。消防用水与其他用水共用的水池，应采取保证消防用水不作他用的技术措施。严寒或寒冷地区的消防水池应采取防冻措施。</w:t>
      </w:r>
      <w:r>
        <w:rPr>
          <w:sz w:val="21"/>
        </w:rPr>
        <w:t xml:space="preserve"> </w:t>
      </w:r>
    </w:p>
    <w:p w14:paraId="07BCCB12" w14:textId="77777777" w:rsidR="00A71EEF" w:rsidRDefault="0081115D">
      <w:pPr>
        <w:pStyle w:val="a4"/>
        <w:numPr>
          <w:ilvl w:val="1"/>
          <w:numId w:val="209"/>
        </w:numPr>
        <w:tabs>
          <w:tab w:val="left" w:pos="1159"/>
        </w:tabs>
        <w:spacing w:line="268" w:lineRule="exact"/>
        <w:ind w:hanging="319"/>
        <w:rPr>
          <w:sz w:val="21"/>
        </w:rPr>
      </w:pPr>
      <w:r>
        <w:rPr>
          <w:spacing w:val="-3"/>
          <w:sz w:val="21"/>
        </w:rPr>
        <w:t>自动灭火系统</w:t>
      </w:r>
      <w:r>
        <w:rPr>
          <w:sz w:val="21"/>
        </w:rPr>
        <w:t xml:space="preserve"> </w:t>
      </w:r>
    </w:p>
    <w:p w14:paraId="70C738F1" w14:textId="77777777" w:rsidR="00A71EEF" w:rsidRDefault="00A71EEF">
      <w:pPr>
        <w:pStyle w:val="a3"/>
        <w:spacing w:before="11"/>
        <w:rPr>
          <w:sz w:val="17"/>
        </w:rPr>
      </w:pPr>
    </w:p>
    <w:p w14:paraId="25E079BA" w14:textId="77777777" w:rsidR="00A71EEF" w:rsidRDefault="0081115D">
      <w:pPr>
        <w:pStyle w:val="a4"/>
        <w:numPr>
          <w:ilvl w:val="2"/>
          <w:numId w:val="209"/>
        </w:numPr>
        <w:tabs>
          <w:tab w:val="left" w:pos="1371"/>
        </w:tabs>
        <w:spacing w:before="1"/>
        <w:ind w:left="1370"/>
        <w:rPr>
          <w:sz w:val="21"/>
        </w:rPr>
      </w:pPr>
      <w:r>
        <w:rPr>
          <w:spacing w:val="-3"/>
          <w:sz w:val="21"/>
        </w:rPr>
        <w:t>除敞开式汽车库、屋面停车场外，下列汽车库、修车库应设置自动喷水灭火系统：</w:t>
      </w:r>
      <w:r>
        <w:rPr>
          <w:sz w:val="21"/>
        </w:rPr>
        <w:t xml:space="preserve"> </w:t>
      </w:r>
    </w:p>
    <w:p w14:paraId="2FAA97EF" w14:textId="77777777" w:rsidR="00A71EEF" w:rsidRDefault="00A71EEF">
      <w:pPr>
        <w:pStyle w:val="a3"/>
        <w:spacing w:before="12"/>
        <w:rPr>
          <w:sz w:val="17"/>
        </w:rPr>
      </w:pPr>
    </w:p>
    <w:p w14:paraId="3E936A9D" w14:textId="77777777" w:rsidR="00A71EEF" w:rsidRDefault="0081115D">
      <w:pPr>
        <w:pStyle w:val="a3"/>
        <w:ind w:left="838"/>
      </w:pPr>
      <w:r>
        <w:t>Ⅰ</w:t>
      </w:r>
      <w:r>
        <w:t>、</w:t>
      </w:r>
      <w:r>
        <w:t>Ⅱ</w:t>
      </w:r>
      <w:r>
        <w:t>、</w:t>
      </w:r>
      <w:r>
        <w:t>Ⅲ</w:t>
      </w:r>
      <w:r>
        <w:t>类地上汽车库；</w:t>
      </w:r>
      <w:r>
        <w:t xml:space="preserve"> </w:t>
      </w:r>
    </w:p>
    <w:p w14:paraId="386DEB1E" w14:textId="77777777" w:rsidR="00A71EEF" w:rsidRDefault="00A71EEF">
      <w:pPr>
        <w:pStyle w:val="a3"/>
        <w:spacing w:before="12"/>
        <w:rPr>
          <w:sz w:val="17"/>
        </w:rPr>
      </w:pPr>
    </w:p>
    <w:p w14:paraId="6BE1AED2" w14:textId="77777777" w:rsidR="00A71EEF" w:rsidRDefault="0081115D">
      <w:pPr>
        <w:pStyle w:val="a3"/>
        <w:spacing w:line="446" w:lineRule="auto"/>
        <w:ind w:left="838" w:right="5814"/>
      </w:pPr>
      <w:r>
        <w:t>停车数大于</w:t>
      </w:r>
      <w:r>
        <w:t xml:space="preserve"> 10 </w:t>
      </w:r>
      <w:r>
        <w:t>辆的地下、半地下汽车库；</w:t>
      </w:r>
      <w:r>
        <w:t xml:space="preserve"> </w:t>
      </w:r>
      <w:r>
        <w:t>机械式汽车库；</w:t>
      </w:r>
      <w:r>
        <w:t xml:space="preserve"> </w:t>
      </w:r>
    </w:p>
    <w:p w14:paraId="4BFC8EB9" w14:textId="77777777" w:rsidR="00A71EEF" w:rsidRDefault="0081115D">
      <w:pPr>
        <w:pStyle w:val="a3"/>
        <w:spacing w:line="446" w:lineRule="auto"/>
        <w:ind w:left="838" w:right="5288"/>
      </w:pPr>
      <w:r>
        <w:t>采用汽车专用升降机作汽车疏散出口的汽车库；</w:t>
      </w:r>
      <w:r>
        <w:t xml:space="preserve"> Ⅰ</w:t>
      </w:r>
      <w:r>
        <w:t>类修车库。</w:t>
      </w:r>
      <w:r>
        <w:t xml:space="preserve"> </w:t>
      </w:r>
    </w:p>
    <w:p w14:paraId="32FC205B" w14:textId="77777777" w:rsidR="00A71EEF" w:rsidRDefault="0081115D">
      <w:pPr>
        <w:pStyle w:val="a4"/>
        <w:numPr>
          <w:ilvl w:val="2"/>
          <w:numId w:val="209"/>
        </w:numPr>
        <w:tabs>
          <w:tab w:val="left" w:pos="1370"/>
        </w:tabs>
        <w:spacing w:line="446" w:lineRule="auto"/>
        <w:ind w:right="1606" w:firstLine="422"/>
        <w:rPr>
          <w:sz w:val="21"/>
        </w:rPr>
      </w:pPr>
      <w:r>
        <w:rPr>
          <w:spacing w:val="-5"/>
          <w:sz w:val="21"/>
        </w:rPr>
        <w:t>对于需要设置自动灭火系统的场所，除符合本规范第</w:t>
      </w:r>
      <w:r>
        <w:rPr>
          <w:spacing w:val="-5"/>
          <w:sz w:val="21"/>
        </w:rPr>
        <w:t xml:space="preserve"> </w:t>
      </w:r>
      <w:r>
        <w:rPr>
          <w:sz w:val="21"/>
        </w:rPr>
        <w:t>7.2.3</w:t>
      </w:r>
      <w:r>
        <w:rPr>
          <w:spacing w:val="-21"/>
          <w:sz w:val="21"/>
        </w:rPr>
        <w:t xml:space="preserve"> </w:t>
      </w:r>
      <w:r>
        <w:rPr>
          <w:spacing w:val="-21"/>
          <w:sz w:val="21"/>
        </w:rPr>
        <w:t>条、第</w:t>
      </w:r>
      <w:r>
        <w:rPr>
          <w:spacing w:val="-21"/>
          <w:sz w:val="21"/>
        </w:rPr>
        <w:t xml:space="preserve"> </w:t>
      </w:r>
      <w:r>
        <w:rPr>
          <w:sz w:val="21"/>
        </w:rPr>
        <w:t>7.2.4</w:t>
      </w:r>
      <w:r>
        <w:rPr>
          <w:spacing w:val="-12"/>
          <w:sz w:val="21"/>
        </w:rPr>
        <w:t xml:space="preserve"> </w:t>
      </w:r>
      <w:r>
        <w:rPr>
          <w:spacing w:val="-12"/>
          <w:sz w:val="21"/>
        </w:rPr>
        <w:t>条的规定</w:t>
      </w:r>
      <w:r>
        <w:rPr>
          <w:spacing w:val="-6"/>
          <w:sz w:val="21"/>
        </w:rPr>
        <w:t>可采用相应类型的灭火系统外，应采用自动喷水灭火系统。</w:t>
      </w:r>
      <w:r>
        <w:rPr>
          <w:sz w:val="21"/>
        </w:rPr>
        <w:t xml:space="preserve"> </w:t>
      </w:r>
    </w:p>
    <w:p w14:paraId="0D721209" w14:textId="77777777" w:rsidR="00A71EEF" w:rsidRDefault="0081115D">
      <w:pPr>
        <w:pStyle w:val="a4"/>
        <w:numPr>
          <w:ilvl w:val="2"/>
          <w:numId w:val="209"/>
        </w:numPr>
        <w:tabs>
          <w:tab w:val="left" w:pos="1370"/>
        </w:tabs>
        <w:spacing w:line="446" w:lineRule="auto"/>
        <w:ind w:right="1604" w:firstLine="422"/>
        <w:rPr>
          <w:sz w:val="21"/>
        </w:rPr>
      </w:pPr>
      <w:r>
        <w:rPr>
          <w:spacing w:val="-3"/>
          <w:sz w:val="21"/>
        </w:rPr>
        <w:t>下列汽车库、修车库宜采用泡沫</w:t>
      </w:r>
      <w:r>
        <w:rPr>
          <w:spacing w:val="-3"/>
          <w:sz w:val="21"/>
        </w:rPr>
        <w:t>—</w:t>
      </w:r>
      <w:r>
        <w:rPr>
          <w:spacing w:val="-3"/>
          <w:sz w:val="21"/>
        </w:rPr>
        <w:t>水喷淋系统，泡沫</w:t>
      </w:r>
      <w:r>
        <w:rPr>
          <w:spacing w:val="-3"/>
          <w:sz w:val="21"/>
        </w:rPr>
        <w:t>—</w:t>
      </w:r>
      <w:r>
        <w:rPr>
          <w:spacing w:val="-3"/>
          <w:sz w:val="21"/>
        </w:rPr>
        <w:t>水喷淋系统的设计应符合现行国家标准《泡沫灭火系统设计规范》</w:t>
      </w:r>
      <w:r>
        <w:rPr>
          <w:sz w:val="21"/>
        </w:rPr>
        <w:t>GB</w:t>
      </w:r>
      <w:r>
        <w:rPr>
          <w:spacing w:val="1"/>
          <w:sz w:val="21"/>
        </w:rPr>
        <w:t xml:space="preserve"> </w:t>
      </w:r>
      <w:r>
        <w:rPr>
          <w:sz w:val="21"/>
        </w:rPr>
        <w:t>50151</w:t>
      </w:r>
      <w:r>
        <w:rPr>
          <w:spacing w:val="-10"/>
          <w:sz w:val="21"/>
        </w:rPr>
        <w:t xml:space="preserve"> </w:t>
      </w:r>
      <w:r>
        <w:rPr>
          <w:spacing w:val="-10"/>
          <w:sz w:val="21"/>
        </w:rPr>
        <w:t>的有关规定：</w:t>
      </w:r>
      <w:r>
        <w:rPr>
          <w:sz w:val="21"/>
        </w:rPr>
        <w:t xml:space="preserve"> </w:t>
      </w:r>
    </w:p>
    <w:p w14:paraId="6C2AA7FA" w14:textId="77777777" w:rsidR="00A71EEF" w:rsidRDefault="0081115D">
      <w:pPr>
        <w:pStyle w:val="a3"/>
        <w:spacing w:line="446" w:lineRule="auto"/>
        <w:ind w:left="838" w:right="7127"/>
      </w:pPr>
      <w:r>
        <w:t>Ⅰ</w:t>
      </w:r>
      <w:r>
        <w:t>类地下、半地下汽车库；</w:t>
      </w:r>
      <w:r>
        <w:t xml:space="preserve"> Ⅰ</w:t>
      </w:r>
      <w:r>
        <w:t>类修车库；</w:t>
      </w:r>
      <w:r>
        <w:t xml:space="preserve"> </w:t>
      </w:r>
    </w:p>
    <w:p w14:paraId="3B7B1150" w14:textId="77777777" w:rsidR="00A71EEF" w:rsidRDefault="0081115D">
      <w:pPr>
        <w:pStyle w:val="a3"/>
        <w:ind w:left="838"/>
      </w:pPr>
      <w:r>
        <w:t>停车数大于</w:t>
      </w:r>
      <w:r>
        <w:t xml:space="preserve"> 100 </w:t>
      </w:r>
      <w:r>
        <w:t>辆的室内无车道且无人员停留的机械式汽车库。</w:t>
      </w:r>
      <w:r>
        <w:t xml:space="preserve"> </w:t>
      </w:r>
    </w:p>
    <w:p w14:paraId="7B540EB0" w14:textId="77777777" w:rsidR="00A71EEF" w:rsidRDefault="00A71EEF">
      <w:pPr>
        <w:pStyle w:val="a3"/>
        <w:spacing w:before="10"/>
        <w:rPr>
          <w:sz w:val="17"/>
        </w:rPr>
      </w:pPr>
    </w:p>
    <w:p w14:paraId="62C473F7" w14:textId="77777777" w:rsidR="00A71EEF" w:rsidRDefault="0081115D">
      <w:pPr>
        <w:pStyle w:val="a4"/>
        <w:numPr>
          <w:ilvl w:val="2"/>
          <w:numId w:val="209"/>
        </w:numPr>
        <w:tabs>
          <w:tab w:val="left" w:pos="1371"/>
        </w:tabs>
        <w:spacing w:before="1" w:line="446" w:lineRule="auto"/>
        <w:ind w:right="1608" w:firstLine="422"/>
        <w:rPr>
          <w:sz w:val="21"/>
        </w:rPr>
      </w:pPr>
      <w:r>
        <w:rPr>
          <w:spacing w:val="-5"/>
          <w:sz w:val="21"/>
        </w:rPr>
        <w:t>地下、半地下汽车库可采用高倍数泡沫灭火系统。停车数量不大于</w:t>
      </w:r>
      <w:r>
        <w:rPr>
          <w:spacing w:val="-5"/>
          <w:sz w:val="21"/>
        </w:rPr>
        <w:t xml:space="preserve"> </w:t>
      </w:r>
      <w:r>
        <w:rPr>
          <w:sz w:val="21"/>
        </w:rPr>
        <w:t>50</w:t>
      </w:r>
      <w:r>
        <w:rPr>
          <w:spacing w:val="-7"/>
          <w:sz w:val="21"/>
        </w:rPr>
        <w:t xml:space="preserve"> </w:t>
      </w:r>
      <w:r>
        <w:rPr>
          <w:spacing w:val="-7"/>
          <w:sz w:val="21"/>
        </w:rPr>
        <w:t>辆的室内无车</w:t>
      </w:r>
      <w:r>
        <w:rPr>
          <w:spacing w:val="-4"/>
          <w:sz w:val="21"/>
        </w:rPr>
        <w:t>道且无人员停留的机械式汽车库，可采用二氧化碳等气体灭火系统。高倍数泡沫灭火系统、二</w:t>
      </w:r>
      <w:r>
        <w:rPr>
          <w:spacing w:val="-3"/>
          <w:sz w:val="21"/>
        </w:rPr>
        <w:t>氧化碳等气体灭火系统的设计，应符合现行国家标准《泡沫灭火系统设计规范》</w:t>
      </w:r>
      <w:r>
        <w:rPr>
          <w:sz w:val="21"/>
        </w:rPr>
        <w:t>GB</w:t>
      </w:r>
      <w:r>
        <w:rPr>
          <w:spacing w:val="13"/>
          <w:sz w:val="21"/>
        </w:rPr>
        <w:t xml:space="preserve"> </w:t>
      </w:r>
      <w:r>
        <w:rPr>
          <w:sz w:val="21"/>
        </w:rPr>
        <w:t>50151</w:t>
      </w:r>
      <w:r>
        <w:rPr>
          <w:sz w:val="21"/>
        </w:rPr>
        <w:t>、</w:t>
      </w:r>
    </w:p>
    <w:p w14:paraId="25A1B8A7" w14:textId="77777777" w:rsidR="00A71EEF" w:rsidRDefault="0081115D">
      <w:pPr>
        <w:pStyle w:val="a3"/>
        <w:spacing w:line="446" w:lineRule="auto"/>
        <w:ind w:left="418" w:right="1927"/>
      </w:pPr>
      <w:r>
        <w:rPr>
          <w:spacing w:val="-3"/>
        </w:rPr>
        <w:t>《二氧化碳灭火系统设计规范》</w:t>
      </w:r>
      <w:r>
        <w:t>GB 50193</w:t>
      </w:r>
      <w:r>
        <w:rPr>
          <w:spacing w:val="-9"/>
        </w:rPr>
        <w:t xml:space="preserve"> </w:t>
      </w:r>
      <w:r>
        <w:rPr>
          <w:spacing w:val="-9"/>
        </w:rPr>
        <w:t>和《气体灭火系统设计规范》</w:t>
      </w:r>
      <w:r>
        <w:t>GB 50370</w:t>
      </w:r>
      <w:r>
        <w:rPr>
          <w:spacing w:val="-12"/>
        </w:rPr>
        <w:t xml:space="preserve"> </w:t>
      </w:r>
      <w:r>
        <w:rPr>
          <w:spacing w:val="-12"/>
        </w:rPr>
        <w:t>的有关规</w:t>
      </w:r>
      <w:r>
        <w:rPr>
          <w:spacing w:val="-8"/>
        </w:rPr>
        <w:t>定。</w:t>
      </w:r>
      <w:r>
        <w:t xml:space="preserve"> </w:t>
      </w:r>
    </w:p>
    <w:p w14:paraId="4835A40D" w14:textId="77777777" w:rsidR="00A71EEF" w:rsidRDefault="0081115D">
      <w:pPr>
        <w:pStyle w:val="a4"/>
        <w:numPr>
          <w:ilvl w:val="2"/>
          <w:numId w:val="209"/>
        </w:numPr>
        <w:tabs>
          <w:tab w:val="left" w:pos="1370"/>
        </w:tabs>
        <w:ind w:left="1369" w:hanging="530"/>
        <w:rPr>
          <w:sz w:val="21"/>
        </w:rPr>
      </w:pPr>
      <w:r>
        <w:rPr>
          <w:spacing w:val="-10"/>
          <w:sz w:val="21"/>
        </w:rPr>
        <w:t>环境温度低于</w:t>
      </w:r>
      <w:r>
        <w:rPr>
          <w:spacing w:val="-10"/>
          <w:sz w:val="21"/>
        </w:rPr>
        <w:t xml:space="preserve"> </w:t>
      </w:r>
      <w:r>
        <w:rPr>
          <w:sz w:val="21"/>
        </w:rPr>
        <w:t>4</w:t>
      </w:r>
      <w:r>
        <w:rPr>
          <w:spacing w:val="-3"/>
          <w:sz w:val="21"/>
        </w:rPr>
        <w:t>℃</w:t>
      </w:r>
      <w:r>
        <w:rPr>
          <w:spacing w:val="-3"/>
          <w:sz w:val="21"/>
        </w:rPr>
        <w:t>时间较短的非寒冷或寒冷地区，可采用湿式自动喷水灭火系统，</w:t>
      </w:r>
    </w:p>
    <w:p w14:paraId="4CE36834" w14:textId="77777777" w:rsidR="00A71EEF" w:rsidRDefault="00A71EEF">
      <w:pPr>
        <w:rPr>
          <w:sz w:val="21"/>
        </w:rPr>
        <w:sectPr w:rsidR="00A71EEF">
          <w:footerReference w:type="default" r:id="rId421"/>
          <w:pgSz w:w="11910" w:h="16850"/>
          <w:pgMar w:top="1220" w:right="0" w:bottom="1380" w:left="1260" w:header="0" w:footer="1189" w:gutter="0"/>
          <w:pgNumType w:start="1410"/>
          <w:cols w:space="720"/>
        </w:sectPr>
      </w:pPr>
    </w:p>
    <w:p w14:paraId="4B2178CB" w14:textId="77777777" w:rsidR="00A71EEF" w:rsidRDefault="0081115D">
      <w:pPr>
        <w:pStyle w:val="a3"/>
        <w:spacing w:before="47"/>
        <w:ind w:left="418"/>
      </w:pPr>
      <w:r>
        <w:t>但应采用防冻措施。</w:t>
      </w:r>
      <w:r>
        <w:t xml:space="preserve"> </w:t>
      </w:r>
    </w:p>
    <w:p w14:paraId="5E23DEC8" w14:textId="77777777" w:rsidR="00A71EEF" w:rsidRDefault="00A71EEF">
      <w:pPr>
        <w:pStyle w:val="a3"/>
        <w:rPr>
          <w:sz w:val="18"/>
        </w:rPr>
      </w:pPr>
    </w:p>
    <w:p w14:paraId="21269319" w14:textId="77777777" w:rsidR="00A71EEF" w:rsidRDefault="0081115D">
      <w:pPr>
        <w:pStyle w:val="a4"/>
        <w:numPr>
          <w:ilvl w:val="2"/>
          <w:numId w:val="209"/>
        </w:numPr>
        <w:tabs>
          <w:tab w:val="left" w:pos="1371"/>
        </w:tabs>
        <w:spacing w:line="446" w:lineRule="auto"/>
        <w:ind w:right="1604" w:firstLine="422"/>
        <w:rPr>
          <w:sz w:val="21"/>
        </w:rPr>
      </w:pPr>
      <w:r>
        <w:rPr>
          <w:spacing w:val="-3"/>
          <w:sz w:val="21"/>
        </w:rPr>
        <w:t>设置在汽车库、修车库内的自动喷水灭火系统，其设计除应符合现行国家标准《自动喷水灭火系统设计规范》</w:t>
      </w:r>
      <w:r>
        <w:rPr>
          <w:sz w:val="21"/>
        </w:rPr>
        <w:t>GB</w:t>
      </w:r>
      <w:r>
        <w:rPr>
          <w:spacing w:val="3"/>
          <w:sz w:val="21"/>
        </w:rPr>
        <w:t xml:space="preserve"> </w:t>
      </w:r>
      <w:r>
        <w:rPr>
          <w:sz w:val="21"/>
        </w:rPr>
        <w:t>50084</w:t>
      </w:r>
      <w:r>
        <w:rPr>
          <w:spacing w:val="-8"/>
          <w:sz w:val="21"/>
        </w:rPr>
        <w:t xml:space="preserve"> </w:t>
      </w:r>
      <w:r>
        <w:rPr>
          <w:spacing w:val="-8"/>
          <w:sz w:val="21"/>
        </w:rPr>
        <w:t>的有关规定外，喷头布置还应符合下列规定：</w:t>
      </w:r>
      <w:r>
        <w:rPr>
          <w:sz w:val="21"/>
        </w:rPr>
        <w:t xml:space="preserve"> </w:t>
      </w:r>
    </w:p>
    <w:p w14:paraId="5FE5E3E5" w14:textId="77777777" w:rsidR="00A71EEF" w:rsidRDefault="0081115D">
      <w:pPr>
        <w:pStyle w:val="a3"/>
        <w:spacing w:line="446" w:lineRule="auto"/>
        <w:ind w:left="418" w:right="1609" w:firstLine="419"/>
      </w:pPr>
      <w:r>
        <w:t>应设置在汽车库停车位的上方或侧上方，对于机械式汽车库，尚应按停车的载车板分层布置，且应在喷头的上方设置集热板；</w:t>
      </w:r>
      <w:r>
        <w:t xml:space="preserve"> </w:t>
      </w:r>
    </w:p>
    <w:p w14:paraId="1164C2C7" w14:textId="77777777" w:rsidR="00A71EEF" w:rsidRDefault="0081115D">
      <w:pPr>
        <w:pStyle w:val="a3"/>
        <w:spacing w:line="267" w:lineRule="exact"/>
        <w:ind w:left="838"/>
      </w:pPr>
      <w:r>
        <w:t>错层式、斜楼板式汽车库的车道、坡道上方均应设置喷头。</w:t>
      </w:r>
      <w:r>
        <w:t xml:space="preserve"> </w:t>
      </w:r>
    </w:p>
    <w:p w14:paraId="61910610" w14:textId="77777777" w:rsidR="00A71EEF" w:rsidRDefault="00A71EEF">
      <w:pPr>
        <w:pStyle w:val="a3"/>
        <w:spacing w:before="2"/>
        <w:rPr>
          <w:sz w:val="18"/>
        </w:rPr>
      </w:pPr>
    </w:p>
    <w:p w14:paraId="13A26F61" w14:textId="77777777" w:rsidR="00A71EEF" w:rsidRDefault="0081115D">
      <w:pPr>
        <w:pStyle w:val="a4"/>
        <w:numPr>
          <w:ilvl w:val="2"/>
          <w:numId w:val="209"/>
        </w:numPr>
        <w:tabs>
          <w:tab w:val="left" w:pos="1371"/>
        </w:tabs>
        <w:spacing w:line="446" w:lineRule="auto"/>
        <w:ind w:right="1604" w:firstLine="422"/>
        <w:rPr>
          <w:sz w:val="21"/>
        </w:rPr>
      </w:pPr>
      <w:r>
        <w:rPr>
          <w:spacing w:val="-3"/>
          <w:sz w:val="21"/>
        </w:rPr>
        <w:t>除室内无车道且无人员停留的机械式汽车库外，汽车库、修车库、停车场均应配置灭火器。灭火器的配置设计应符合现行国</w:t>
      </w:r>
      <w:r>
        <w:rPr>
          <w:spacing w:val="-3"/>
          <w:sz w:val="21"/>
        </w:rPr>
        <w:t>家标准《建筑灭火器配置设计规范》</w:t>
      </w:r>
      <w:r>
        <w:rPr>
          <w:sz w:val="21"/>
        </w:rPr>
        <w:t>GB</w:t>
      </w:r>
      <w:r>
        <w:rPr>
          <w:spacing w:val="13"/>
          <w:sz w:val="21"/>
        </w:rPr>
        <w:t xml:space="preserve"> </w:t>
      </w:r>
      <w:r>
        <w:rPr>
          <w:sz w:val="21"/>
        </w:rPr>
        <w:t>50140</w:t>
      </w:r>
      <w:r>
        <w:rPr>
          <w:spacing w:val="-18"/>
          <w:sz w:val="21"/>
        </w:rPr>
        <w:t xml:space="preserve"> </w:t>
      </w:r>
      <w:r>
        <w:rPr>
          <w:spacing w:val="-18"/>
          <w:sz w:val="21"/>
        </w:rPr>
        <w:t>的有</w:t>
      </w:r>
      <w:r>
        <w:rPr>
          <w:spacing w:val="-2"/>
          <w:sz w:val="21"/>
        </w:rPr>
        <w:t>关规定。</w:t>
      </w:r>
      <w:r>
        <w:rPr>
          <w:sz w:val="21"/>
        </w:rPr>
        <w:t xml:space="preserve"> </w:t>
      </w:r>
    </w:p>
    <w:p w14:paraId="59978E5D" w14:textId="77777777" w:rsidR="00A71EEF" w:rsidRDefault="0081115D">
      <w:pPr>
        <w:pStyle w:val="4"/>
        <w:spacing w:line="277" w:lineRule="exact"/>
      </w:pPr>
      <w:r>
        <w:t xml:space="preserve">8 </w:t>
      </w:r>
      <w:r>
        <w:t>供暖、通风和排烟</w:t>
      </w:r>
      <w:r>
        <w:rPr>
          <w:w w:val="99"/>
        </w:rPr>
        <w:t xml:space="preserve"> </w:t>
      </w:r>
    </w:p>
    <w:p w14:paraId="263D737B" w14:textId="77777777" w:rsidR="00A71EEF" w:rsidRDefault="00A71EEF">
      <w:pPr>
        <w:pStyle w:val="a3"/>
        <w:spacing w:before="4"/>
        <w:rPr>
          <w:b/>
          <w:sz w:val="17"/>
        </w:rPr>
      </w:pPr>
    </w:p>
    <w:p w14:paraId="1E840C87" w14:textId="77777777" w:rsidR="00A71EEF" w:rsidRDefault="0081115D">
      <w:pPr>
        <w:pStyle w:val="a4"/>
        <w:numPr>
          <w:ilvl w:val="1"/>
          <w:numId w:val="208"/>
        </w:numPr>
        <w:tabs>
          <w:tab w:val="left" w:pos="1159"/>
        </w:tabs>
        <w:ind w:hanging="319"/>
        <w:rPr>
          <w:sz w:val="21"/>
        </w:rPr>
      </w:pPr>
      <w:r>
        <w:rPr>
          <w:spacing w:val="-3"/>
          <w:sz w:val="21"/>
        </w:rPr>
        <w:t>供暖和通风</w:t>
      </w:r>
      <w:r>
        <w:rPr>
          <w:sz w:val="21"/>
        </w:rPr>
        <w:t xml:space="preserve"> </w:t>
      </w:r>
    </w:p>
    <w:p w14:paraId="4AE15E86" w14:textId="77777777" w:rsidR="00A71EEF" w:rsidRDefault="00A71EEF">
      <w:pPr>
        <w:pStyle w:val="a3"/>
        <w:spacing w:before="12"/>
        <w:rPr>
          <w:sz w:val="17"/>
        </w:rPr>
      </w:pPr>
    </w:p>
    <w:p w14:paraId="42F41F75" w14:textId="77777777" w:rsidR="00A71EEF" w:rsidRDefault="0081115D">
      <w:pPr>
        <w:pStyle w:val="a4"/>
        <w:numPr>
          <w:ilvl w:val="2"/>
          <w:numId w:val="208"/>
        </w:numPr>
        <w:tabs>
          <w:tab w:val="left" w:pos="1370"/>
        </w:tabs>
        <w:ind w:hanging="530"/>
        <w:rPr>
          <w:sz w:val="21"/>
        </w:rPr>
      </w:pPr>
      <w:r>
        <w:rPr>
          <w:spacing w:val="-3"/>
          <w:sz w:val="21"/>
        </w:rPr>
        <w:t>汽车库、修车库、停车场内不得采用明火取暖。</w:t>
      </w:r>
      <w:r>
        <w:rPr>
          <w:sz w:val="21"/>
        </w:rPr>
        <w:t xml:space="preserve"> </w:t>
      </w:r>
    </w:p>
    <w:p w14:paraId="2A67B11C" w14:textId="77777777" w:rsidR="00A71EEF" w:rsidRDefault="00A71EEF">
      <w:pPr>
        <w:pStyle w:val="a3"/>
        <w:spacing w:before="2"/>
        <w:rPr>
          <w:sz w:val="18"/>
        </w:rPr>
      </w:pPr>
    </w:p>
    <w:p w14:paraId="67023E56" w14:textId="77777777" w:rsidR="00A71EEF" w:rsidRDefault="0081115D">
      <w:pPr>
        <w:pStyle w:val="a4"/>
        <w:numPr>
          <w:ilvl w:val="2"/>
          <w:numId w:val="208"/>
        </w:numPr>
        <w:tabs>
          <w:tab w:val="left" w:pos="1371"/>
        </w:tabs>
        <w:ind w:left="1370" w:hanging="531"/>
        <w:rPr>
          <w:sz w:val="21"/>
        </w:rPr>
      </w:pPr>
      <w:r>
        <w:rPr>
          <w:spacing w:val="-3"/>
          <w:sz w:val="21"/>
        </w:rPr>
        <w:t>需要供暖的下列汽车库或修车库，应采用集中供暖方式：</w:t>
      </w:r>
      <w:r>
        <w:rPr>
          <w:sz w:val="21"/>
        </w:rPr>
        <w:t xml:space="preserve"> </w:t>
      </w:r>
    </w:p>
    <w:p w14:paraId="5C1E47CD" w14:textId="77777777" w:rsidR="00A71EEF" w:rsidRDefault="00A71EEF">
      <w:pPr>
        <w:pStyle w:val="a3"/>
        <w:rPr>
          <w:sz w:val="18"/>
        </w:rPr>
      </w:pPr>
    </w:p>
    <w:p w14:paraId="10B56628" w14:textId="77777777" w:rsidR="00A71EEF" w:rsidRDefault="0081115D">
      <w:pPr>
        <w:pStyle w:val="a3"/>
        <w:spacing w:line="446" w:lineRule="auto"/>
        <w:ind w:left="838" w:right="6753"/>
      </w:pPr>
      <w:r>
        <w:t>甲、乙类物品运输车的汽车库；</w:t>
      </w:r>
      <w:r>
        <w:t xml:space="preserve"> Ⅰ</w:t>
      </w:r>
      <w:r>
        <w:t>、</w:t>
      </w:r>
      <w:r>
        <w:t>Ⅱ</w:t>
      </w:r>
      <w:r>
        <w:t>、</w:t>
      </w:r>
      <w:r>
        <w:t>Ⅲ</w:t>
      </w:r>
      <w:r>
        <w:t>类汽车库；</w:t>
      </w:r>
      <w:r>
        <w:t xml:space="preserve"> </w:t>
      </w:r>
    </w:p>
    <w:p w14:paraId="1A1CC87A" w14:textId="77777777" w:rsidR="00A71EEF" w:rsidRDefault="0081115D">
      <w:pPr>
        <w:pStyle w:val="a3"/>
        <w:ind w:left="838"/>
      </w:pPr>
      <w:r>
        <w:t>Ⅰ</w:t>
      </w:r>
      <w:r>
        <w:t>、</w:t>
      </w:r>
      <w:r>
        <w:t>Ⅱ</w:t>
      </w:r>
      <w:r>
        <w:t>类修车库。</w:t>
      </w:r>
      <w:r>
        <w:t xml:space="preserve"> </w:t>
      </w:r>
    </w:p>
    <w:p w14:paraId="5D43AFC8" w14:textId="77777777" w:rsidR="00A71EEF" w:rsidRDefault="00A71EEF">
      <w:pPr>
        <w:pStyle w:val="a3"/>
        <w:spacing w:before="12"/>
        <w:rPr>
          <w:sz w:val="17"/>
        </w:rPr>
      </w:pPr>
    </w:p>
    <w:p w14:paraId="08BB8618" w14:textId="77777777" w:rsidR="00A71EEF" w:rsidRDefault="0081115D">
      <w:pPr>
        <w:pStyle w:val="a4"/>
        <w:numPr>
          <w:ilvl w:val="2"/>
          <w:numId w:val="208"/>
        </w:numPr>
        <w:tabs>
          <w:tab w:val="left" w:pos="1371"/>
        </w:tabs>
        <w:spacing w:line="446" w:lineRule="auto"/>
        <w:ind w:left="418" w:right="1813" w:firstLine="422"/>
        <w:rPr>
          <w:sz w:val="21"/>
        </w:rPr>
      </w:pPr>
      <w:r>
        <w:rPr>
          <w:spacing w:val="-3"/>
          <w:sz w:val="21"/>
        </w:rPr>
        <w:t>Ⅳ</w:t>
      </w:r>
      <w:r>
        <w:rPr>
          <w:spacing w:val="-3"/>
          <w:sz w:val="21"/>
        </w:rPr>
        <w:t>类汽车库，</w:t>
      </w:r>
      <w:r>
        <w:rPr>
          <w:spacing w:val="-3"/>
          <w:sz w:val="21"/>
        </w:rPr>
        <w:t>Ⅲ</w:t>
      </w:r>
      <w:r>
        <w:rPr>
          <w:spacing w:val="-3"/>
          <w:sz w:val="21"/>
        </w:rPr>
        <w:t>、</w:t>
      </w:r>
      <w:r>
        <w:rPr>
          <w:spacing w:val="-3"/>
          <w:sz w:val="21"/>
        </w:rPr>
        <w:t>Ⅳ</w:t>
      </w:r>
      <w:r>
        <w:rPr>
          <w:spacing w:val="-3"/>
          <w:sz w:val="21"/>
        </w:rPr>
        <w:t>类修车库，当集中供暖有困难时，可采用火墙供暖，但其炉门、节风门、除灰门不得设置在汽车库、修车库内。</w:t>
      </w:r>
      <w:r>
        <w:rPr>
          <w:spacing w:val="-3"/>
          <w:sz w:val="21"/>
        </w:rPr>
        <w:t xml:space="preserve"> </w:t>
      </w:r>
    </w:p>
    <w:p w14:paraId="1D13F28E" w14:textId="77777777" w:rsidR="00A71EEF" w:rsidRDefault="0081115D">
      <w:pPr>
        <w:pStyle w:val="a4"/>
        <w:numPr>
          <w:ilvl w:val="2"/>
          <w:numId w:val="208"/>
        </w:numPr>
        <w:tabs>
          <w:tab w:val="left" w:pos="1371"/>
        </w:tabs>
        <w:spacing w:line="446" w:lineRule="auto"/>
        <w:ind w:left="418" w:right="1604" w:firstLine="422"/>
        <w:rPr>
          <w:sz w:val="21"/>
        </w:rPr>
      </w:pPr>
      <w:r>
        <w:rPr>
          <w:spacing w:val="-3"/>
          <w:sz w:val="21"/>
        </w:rPr>
        <w:t>喷漆间、电瓶间均应设置独立的排气系统，乙炔站的通风系统设计，应符合现行国家标准《乙炔站设计规范》</w:t>
      </w:r>
      <w:r>
        <w:rPr>
          <w:sz w:val="21"/>
        </w:rPr>
        <w:t>GB</w:t>
      </w:r>
      <w:r>
        <w:rPr>
          <w:spacing w:val="1"/>
          <w:sz w:val="21"/>
        </w:rPr>
        <w:t xml:space="preserve"> </w:t>
      </w:r>
      <w:r>
        <w:rPr>
          <w:sz w:val="21"/>
        </w:rPr>
        <w:t>50031</w:t>
      </w:r>
      <w:r>
        <w:rPr>
          <w:spacing w:val="-10"/>
          <w:sz w:val="21"/>
        </w:rPr>
        <w:t xml:space="preserve"> </w:t>
      </w:r>
      <w:r>
        <w:rPr>
          <w:spacing w:val="-10"/>
          <w:sz w:val="21"/>
        </w:rPr>
        <w:t>的有关规定。</w:t>
      </w:r>
      <w:r>
        <w:rPr>
          <w:sz w:val="21"/>
        </w:rPr>
        <w:t xml:space="preserve"> </w:t>
      </w:r>
    </w:p>
    <w:p w14:paraId="214CEF08" w14:textId="77777777" w:rsidR="00A71EEF" w:rsidRDefault="0081115D">
      <w:pPr>
        <w:pStyle w:val="a4"/>
        <w:numPr>
          <w:ilvl w:val="2"/>
          <w:numId w:val="208"/>
        </w:numPr>
        <w:tabs>
          <w:tab w:val="left" w:pos="1370"/>
        </w:tabs>
        <w:spacing w:line="267" w:lineRule="exact"/>
        <w:ind w:hanging="530"/>
        <w:rPr>
          <w:sz w:val="21"/>
        </w:rPr>
      </w:pPr>
      <w:r>
        <w:rPr>
          <w:spacing w:val="-3"/>
          <w:sz w:val="21"/>
        </w:rPr>
        <w:t>设置通风系统的汽车库，其通风系统宜独立设置。</w:t>
      </w:r>
      <w:r>
        <w:rPr>
          <w:sz w:val="21"/>
        </w:rPr>
        <w:t xml:space="preserve"> </w:t>
      </w:r>
    </w:p>
    <w:p w14:paraId="1F7AB749" w14:textId="77777777" w:rsidR="00A71EEF" w:rsidRDefault="00A71EEF">
      <w:pPr>
        <w:pStyle w:val="a3"/>
        <w:spacing w:before="2"/>
        <w:rPr>
          <w:sz w:val="18"/>
        </w:rPr>
      </w:pPr>
    </w:p>
    <w:p w14:paraId="41D639E5" w14:textId="77777777" w:rsidR="00A71EEF" w:rsidRDefault="0081115D">
      <w:pPr>
        <w:pStyle w:val="a4"/>
        <w:numPr>
          <w:ilvl w:val="2"/>
          <w:numId w:val="208"/>
        </w:numPr>
        <w:tabs>
          <w:tab w:val="left" w:pos="1370"/>
        </w:tabs>
        <w:spacing w:line="446" w:lineRule="auto"/>
        <w:ind w:left="418" w:right="1604" w:firstLine="422"/>
        <w:rPr>
          <w:sz w:val="21"/>
        </w:rPr>
      </w:pPr>
      <w:r>
        <w:rPr>
          <w:spacing w:val="-3"/>
          <w:sz w:val="21"/>
        </w:rPr>
        <w:t>风管应采用不燃材料制作，且不应穿过防火墙、防火隔墙，当必须穿过时，除应符</w:t>
      </w:r>
      <w:r>
        <w:rPr>
          <w:spacing w:val="-12"/>
          <w:sz w:val="21"/>
        </w:rPr>
        <w:t>合本规范第</w:t>
      </w:r>
      <w:r>
        <w:rPr>
          <w:spacing w:val="-12"/>
          <w:sz w:val="21"/>
        </w:rPr>
        <w:t xml:space="preserve"> </w:t>
      </w:r>
      <w:r>
        <w:rPr>
          <w:sz w:val="21"/>
        </w:rPr>
        <w:t>5.2.5</w:t>
      </w:r>
      <w:r>
        <w:rPr>
          <w:spacing w:val="-8"/>
          <w:sz w:val="21"/>
        </w:rPr>
        <w:t xml:space="preserve"> </w:t>
      </w:r>
      <w:r>
        <w:rPr>
          <w:spacing w:val="-8"/>
          <w:sz w:val="21"/>
        </w:rPr>
        <w:t>条的规定外，尚应符合下列规定：</w:t>
      </w:r>
      <w:r>
        <w:rPr>
          <w:spacing w:val="-8"/>
          <w:sz w:val="21"/>
        </w:rPr>
        <w:t xml:space="preserve"> </w:t>
      </w:r>
    </w:p>
    <w:p w14:paraId="5277DFE1" w14:textId="77777777" w:rsidR="00A71EEF" w:rsidRDefault="0081115D">
      <w:pPr>
        <w:pStyle w:val="a3"/>
        <w:spacing w:line="267" w:lineRule="exact"/>
        <w:ind w:left="838"/>
      </w:pPr>
      <w:r>
        <w:t>应在穿过处设置防火阀，防火阀的动作温度宜为</w:t>
      </w:r>
      <w:r>
        <w:t xml:space="preserve"> 70℃</w:t>
      </w:r>
      <w:r>
        <w:t>；</w:t>
      </w:r>
      <w:r>
        <w:t xml:space="preserve"> </w:t>
      </w:r>
    </w:p>
    <w:p w14:paraId="5BD4A4D6" w14:textId="77777777" w:rsidR="00A71EEF" w:rsidRDefault="00A71EEF">
      <w:pPr>
        <w:pStyle w:val="a3"/>
        <w:spacing w:before="2"/>
        <w:rPr>
          <w:sz w:val="18"/>
        </w:rPr>
      </w:pPr>
    </w:p>
    <w:p w14:paraId="07C48761" w14:textId="77777777" w:rsidR="00A71EEF" w:rsidRDefault="0081115D">
      <w:pPr>
        <w:pStyle w:val="a3"/>
        <w:spacing w:line="446" w:lineRule="auto"/>
        <w:ind w:left="840" w:right="3083" w:hanging="3"/>
        <w:rPr>
          <w:b/>
        </w:rPr>
      </w:pPr>
      <w:r>
        <w:t>位于防火墙、防火隔墙两侧各</w:t>
      </w:r>
      <w:r>
        <w:t xml:space="preserve"> 2m </w:t>
      </w:r>
      <w:r>
        <w:t>范围内的风管绝热材料应为不燃材料。</w:t>
      </w:r>
      <w:r>
        <w:rPr>
          <w:b/>
        </w:rPr>
        <w:t xml:space="preserve">8.2 </w:t>
      </w:r>
      <w:r>
        <w:t>排烟</w:t>
      </w:r>
      <w:r>
        <w:rPr>
          <w:b/>
          <w:w w:val="99"/>
        </w:rPr>
        <w:t xml:space="preserve"> </w:t>
      </w:r>
    </w:p>
    <w:p w14:paraId="198A3B5B" w14:textId="77777777" w:rsidR="00A71EEF" w:rsidRDefault="0081115D">
      <w:pPr>
        <w:pStyle w:val="a4"/>
        <w:numPr>
          <w:ilvl w:val="2"/>
          <w:numId w:val="207"/>
        </w:numPr>
        <w:tabs>
          <w:tab w:val="left" w:pos="1371"/>
        </w:tabs>
        <w:spacing w:line="446" w:lineRule="auto"/>
        <w:ind w:right="1678" w:firstLine="422"/>
        <w:rPr>
          <w:sz w:val="21"/>
        </w:rPr>
      </w:pPr>
      <w:r>
        <w:rPr>
          <w:spacing w:val="-5"/>
          <w:sz w:val="21"/>
        </w:rPr>
        <w:t>除敞开式汽车库、建筑面积小于</w:t>
      </w:r>
      <w:r>
        <w:rPr>
          <w:spacing w:val="-5"/>
          <w:sz w:val="21"/>
        </w:rPr>
        <w:t xml:space="preserve"> </w:t>
      </w:r>
      <w:r>
        <w:rPr>
          <w:sz w:val="21"/>
        </w:rPr>
        <w:t>1000m</w:t>
      </w:r>
      <w:r>
        <w:rPr>
          <w:position w:val="11"/>
          <w:sz w:val="11"/>
        </w:rPr>
        <w:t>2</w:t>
      </w:r>
      <w:r>
        <w:rPr>
          <w:spacing w:val="-18"/>
          <w:position w:val="11"/>
          <w:sz w:val="11"/>
        </w:rPr>
        <w:t xml:space="preserve"> </w:t>
      </w:r>
      <w:r>
        <w:rPr>
          <w:spacing w:val="-3"/>
          <w:sz w:val="21"/>
        </w:rPr>
        <w:t>的地下一层汽车库和修车库外，汽车库、修车库应设置排烟系统，并应划分防烟分区。</w:t>
      </w:r>
      <w:r>
        <w:rPr>
          <w:sz w:val="21"/>
        </w:rPr>
        <w:t xml:space="preserve"> </w:t>
      </w:r>
    </w:p>
    <w:p w14:paraId="6713BE7D" w14:textId="77777777" w:rsidR="00A71EEF" w:rsidRDefault="00A71EEF">
      <w:pPr>
        <w:spacing w:line="446" w:lineRule="auto"/>
        <w:rPr>
          <w:sz w:val="21"/>
        </w:rPr>
        <w:sectPr w:rsidR="00A71EEF">
          <w:pgSz w:w="11910" w:h="16850"/>
          <w:pgMar w:top="1220" w:right="0" w:bottom="1420" w:left="1260" w:header="0" w:footer="1189" w:gutter="0"/>
          <w:cols w:space="720"/>
        </w:sectPr>
      </w:pPr>
    </w:p>
    <w:p w14:paraId="7B7FB698" w14:textId="77777777" w:rsidR="00A71EEF" w:rsidRDefault="0081115D">
      <w:pPr>
        <w:pStyle w:val="a4"/>
        <w:numPr>
          <w:ilvl w:val="2"/>
          <w:numId w:val="207"/>
        </w:numPr>
        <w:tabs>
          <w:tab w:val="left" w:pos="1371"/>
        </w:tabs>
        <w:spacing w:before="57" w:line="446" w:lineRule="auto"/>
        <w:ind w:right="1601" w:firstLine="422"/>
        <w:rPr>
          <w:sz w:val="21"/>
        </w:rPr>
      </w:pPr>
      <w:r>
        <w:rPr>
          <w:spacing w:val="-6"/>
          <w:sz w:val="21"/>
        </w:rPr>
        <w:t>防烟分区的建筑面积不宜大于</w:t>
      </w:r>
      <w:r>
        <w:rPr>
          <w:spacing w:val="-6"/>
          <w:sz w:val="21"/>
        </w:rPr>
        <w:t xml:space="preserve"> </w:t>
      </w:r>
      <w:r>
        <w:rPr>
          <w:sz w:val="21"/>
        </w:rPr>
        <w:t>2000</w:t>
      </w:r>
      <w:r>
        <w:rPr>
          <w:spacing w:val="22"/>
          <w:sz w:val="21"/>
        </w:rPr>
        <w:t xml:space="preserve"> </w:t>
      </w:r>
      <w:r>
        <w:rPr>
          <w:sz w:val="21"/>
        </w:rPr>
        <w:t>m</w:t>
      </w:r>
      <w:r>
        <w:rPr>
          <w:position w:val="11"/>
          <w:sz w:val="11"/>
        </w:rPr>
        <w:t>2</w:t>
      </w:r>
      <w:r>
        <w:rPr>
          <w:spacing w:val="-3"/>
          <w:sz w:val="21"/>
        </w:rPr>
        <w:t>，且防烟分区不应跨越防火分区。防烟分区可</w:t>
      </w:r>
      <w:r>
        <w:rPr>
          <w:spacing w:val="-6"/>
          <w:sz w:val="21"/>
        </w:rPr>
        <w:t>采用挡烟垂壁、隔墙或从顶棚下突出不小于</w:t>
      </w:r>
      <w:r>
        <w:rPr>
          <w:spacing w:val="-6"/>
          <w:sz w:val="21"/>
        </w:rPr>
        <w:t xml:space="preserve"> </w:t>
      </w:r>
      <w:r>
        <w:rPr>
          <w:sz w:val="21"/>
        </w:rPr>
        <w:t>0.5m</w:t>
      </w:r>
      <w:r>
        <w:rPr>
          <w:spacing w:val="-11"/>
          <w:sz w:val="21"/>
        </w:rPr>
        <w:t xml:space="preserve"> </w:t>
      </w:r>
      <w:r>
        <w:rPr>
          <w:spacing w:val="-11"/>
          <w:sz w:val="21"/>
        </w:rPr>
        <w:t>的梁划分。</w:t>
      </w:r>
      <w:r>
        <w:rPr>
          <w:sz w:val="21"/>
        </w:rPr>
        <w:t xml:space="preserve"> </w:t>
      </w:r>
    </w:p>
    <w:p w14:paraId="6D8CE8B7" w14:textId="77777777" w:rsidR="00A71EEF" w:rsidRDefault="0081115D">
      <w:pPr>
        <w:pStyle w:val="a4"/>
        <w:numPr>
          <w:ilvl w:val="2"/>
          <w:numId w:val="207"/>
        </w:numPr>
        <w:tabs>
          <w:tab w:val="left" w:pos="1371"/>
        </w:tabs>
        <w:spacing w:line="446" w:lineRule="auto"/>
        <w:ind w:right="1604" w:firstLine="422"/>
        <w:rPr>
          <w:sz w:val="21"/>
        </w:rPr>
      </w:pPr>
      <w:r>
        <w:rPr>
          <w:spacing w:val="-3"/>
          <w:sz w:val="21"/>
        </w:rPr>
        <w:t>排烟系统可采用自然排烟方式或机械排烟方式。机械排烟系统可与人防、</w:t>
      </w:r>
      <w:r>
        <w:rPr>
          <w:spacing w:val="-3"/>
          <w:sz w:val="21"/>
        </w:rPr>
        <w:t>卫生等排气、通风系统合用。</w:t>
      </w:r>
      <w:r>
        <w:rPr>
          <w:sz w:val="21"/>
        </w:rPr>
        <w:t xml:space="preserve"> </w:t>
      </w:r>
    </w:p>
    <w:p w14:paraId="51C8AC4A" w14:textId="77777777" w:rsidR="00A71EEF" w:rsidRDefault="0081115D">
      <w:pPr>
        <w:pStyle w:val="a4"/>
        <w:numPr>
          <w:ilvl w:val="2"/>
          <w:numId w:val="207"/>
        </w:numPr>
        <w:tabs>
          <w:tab w:val="left" w:pos="1371"/>
        </w:tabs>
        <w:spacing w:line="446" w:lineRule="auto"/>
        <w:ind w:right="1813" w:firstLine="422"/>
        <w:rPr>
          <w:sz w:val="21"/>
        </w:rPr>
      </w:pPr>
      <w:r>
        <w:rPr>
          <w:spacing w:val="-3"/>
          <w:sz w:val="21"/>
        </w:rPr>
        <w:t>当采用自然排烟方式时，可采用手动排烟窗、自动排烟窗、孔洞等作为自然排烟口，并应符合下列规定：</w:t>
      </w:r>
      <w:r>
        <w:rPr>
          <w:sz w:val="21"/>
        </w:rPr>
        <w:t xml:space="preserve"> </w:t>
      </w:r>
    </w:p>
    <w:p w14:paraId="1A867DCF" w14:textId="77777777" w:rsidR="00A71EEF" w:rsidRDefault="0081115D">
      <w:pPr>
        <w:pStyle w:val="a3"/>
        <w:ind w:left="838"/>
      </w:pPr>
      <w:r>
        <w:t>自然排烟口的总面积不应小于室内地面面积的</w:t>
      </w:r>
      <w:r>
        <w:t xml:space="preserve"> 2</w:t>
      </w:r>
      <w:r>
        <w:t>％；</w:t>
      </w:r>
      <w:r>
        <w:t xml:space="preserve"> </w:t>
      </w:r>
    </w:p>
    <w:p w14:paraId="34952965" w14:textId="77777777" w:rsidR="00A71EEF" w:rsidRDefault="00A71EEF">
      <w:pPr>
        <w:pStyle w:val="a3"/>
        <w:spacing w:before="11"/>
        <w:rPr>
          <w:sz w:val="17"/>
        </w:rPr>
      </w:pPr>
    </w:p>
    <w:p w14:paraId="5961CE33" w14:textId="77777777" w:rsidR="00A71EEF" w:rsidRDefault="0081115D">
      <w:pPr>
        <w:pStyle w:val="a3"/>
        <w:ind w:left="838"/>
      </w:pPr>
      <w:r>
        <w:t>自然排烟口应设置在外墙上方或屋顶上，并应设置方便开启的装置；</w:t>
      </w:r>
      <w:r>
        <w:t xml:space="preserve"> </w:t>
      </w:r>
    </w:p>
    <w:p w14:paraId="18305172" w14:textId="77777777" w:rsidR="00A71EEF" w:rsidRDefault="00A71EEF">
      <w:pPr>
        <w:pStyle w:val="a3"/>
        <w:spacing w:before="12"/>
        <w:rPr>
          <w:sz w:val="17"/>
        </w:rPr>
      </w:pPr>
    </w:p>
    <w:p w14:paraId="10B150DE" w14:textId="77777777" w:rsidR="00A71EEF" w:rsidRDefault="0081115D">
      <w:pPr>
        <w:pStyle w:val="a3"/>
        <w:spacing w:line="446" w:lineRule="auto"/>
        <w:ind w:left="418" w:right="1609" w:firstLine="419"/>
      </w:pPr>
      <w:r>
        <w:t>房间外墙上的排烟口（窗）宜沿外墙周长方向均匀分布，排烟口（窗）的下沿不应低于室内净高的</w:t>
      </w:r>
      <w:r>
        <w:t xml:space="preserve"> 1/2</w:t>
      </w:r>
      <w:r>
        <w:t>，并应沿气流方向开启。</w:t>
      </w:r>
      <w:r>
        <w:t xml:space="preserve"> </w:t>
      </w:r>
    </w:p>
    <w:p w14:paraId="7D780EF0" w14:textId="77777777" w:rsidR="00A71EEF" w:rsidRDefault="0081115D">
      <w:pPr>
        <w:pStyle w:val="a4"/>
        <w:numPr>
          <w:ilvl w:val="2"/>
          <w:numId w:val="207"/>
        </w:numPr>
        <w:tabs>
          <w:tab w:val="left" w:pos="1369"/>
        </w:tabs>
        <w:ind w:left="1368"/>
        <w:rPr>
          <w:sz w:val="21"/>
        </w:rPr>
      </w:pPr>
      <w:r>
        <w:rPr>
          <w:spacing w:val="-5"/>
          <w:sz w:val="21"/>
        </w:rPr>
        <w:t>汽车库、修车库内每个防烟分区排烟风机的排烟量不应小于表</w:t>
      </w:r>
      <w:r>
        <w:rPr>
          <w:spacing w:val="-5"/>
          <w:sz w:val="21"/>
        </w:rPr>
        <w:t xml:space="preserve"> </w:t>
      </w:r>
      <w:r>
        <w:rPr>
          <w:sz w:val="21"/>
        </w:rPr>
        <w:t>8.2.5</w:t>
      </w:r>
      <w:r>
        <w:rPr>
          <w:spacing w:val="-13"/>
          <w:sz w:val="21"/>
        </w:rPr>
        <w:t xml:space="preserve"> </w:t>
      </w:r>
      <w:r>
        <w:rPr>
          <w:spacing w:val="-13"/>
          <w:sz w:val="21"/>
        </w:rPr>
        <w:t>的规定。</w:t>
      </w:r>
      <w:r>
        <w:rPr>
          <w:sz w:val="21"/>
        </w:rPr>
        <w:t xml:space="preserve"> </w:t>
      </w:r>
    </w:p>
    <w:p w14:paraId="01E21988" w14:textId="77777777" w:rsidR="00A71EEF" w:rsidRDefault="0081115D">
      <w:pPr>
        <w:pStyle w:val="a3"/>
        <w:spacing w:before="1"/>
        <w:rPr>
          <w:sz w:val="10"/>
        </w:rPr>
      </w:pPr>
      <w:r>
        <w:rPr>
          <w:noProof/>
        </w:rPr>
        <w:drawing>
          <wp:anchor distT="0" distB="0" distL="0" distR="0" simplePos="0" relativeHeight="251681280" behindDoc="0" locked="0" layoutInCell="1" allowOverlap="1" wp14:anchorId="0BE1AC3A" wp14:editId="6B98D501">
            <wp:simplePos x="0" y="0"/>
            <wp:positionH relativeFrom="page">
              <wp:posOffset>1056005</wp:posOffset>
            </wp:positionH>
            <wp:positionV relativeFrom="paragraph">
              <wp:posOffset>107148</wp:posOffset>
            </wp:positionV>
            <wp:extent cx="5322570" cy="2409825"/>
            <wp:effectExtent l="0" t="0" r="0" b="0"/>
            <wp:wrapTopAndBottom/>
            <wp:docPr id="611" name="image3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image354.jpeg"/>
                    <pic:cNvPicPr/>
                  </pic:nvPicPr>
                  <pic:blipFill>
                    <a:blip r:embed="rId422" cstate="print"/>
                    <a:stretch>
                      <a:fillRect/>
                    </a:stretch>
                  </pic:blipFill>
                  <pic:spPr>
                    <a:xfrm>
                      <a:off x="0" y="0"/>
                      <a:ext cx="5322570" cy="2409825"/>
                    </a:xfrm>
                    <a:prstGeom prst="rect">
                      <a:avLst/>
                    </a:prstGeom>
                  </pic:spPr>
                </pic:pic>
              </a:graphicData>
            </a:graphic>
          </wp:anchor>
        </w:drawing>
      </w:r>
    </w:p>
    <w:p w14:paraId="59FA321F" w14:textId="77777777" w:rsidR="00A71EEF" w:rsidRDefault="0081115D">
      <w:pPr>
        <w:pStyle w:val="a3"/>
        <w:spacing w:before="179"/>
        <w:ind w:left="418"/>
      </w:pPr>
      <w:r>
        <w:t>注：建筑空间净高位于表中两个高度之间的，按线性插值法取值。</w:t>
      </w:r>
      <w:r>
        <w:t xml:space="preserve"> </w:t>
      </w:r>
    </w:p>
    <w:p w14:paraId="6E61C68C" w14:textId="77777777" w:rsidR="00A71EEF" w:rsidRDefault="00A71EEF">
      <w:pPr>
        <w:pStyle w:val="a3"/>
        <w:rPr>
          <w:sz w:val="18"/>
        </w:rPr>
      </w:pPr>
    </w:p>
    <w:p w14:paraId="380AE04C" w14:textId="77777777" w:rsidR="00A71EEF" w:rsidRDefault="0081115D">
      <w:pPr>
        <w:pStyle w:val="a4"/>
        <w:numPr>
          <w:ilvl w:val="2"/>
          <w:numId w:val="207"/>
        </w:numPr>
        <w:tabs>
          <w:tab w:val="left" w:pos="1370"/>
        </w:tabs>
        <w:spacing w:line="446" w:lineRule="auto"/>
        <w:ind w:right="1604" w:firstLine="422"/>
        <w:rPr>
          <w:sz w:val="21"/>
        </w:rPr>
      </w:pPr>
      <w:r>
        <w:rPr>
          <w:spacing w:val="-3"/>
          <w:sz w:val="21"/>
        </w:rPr>
        <w:t>每个防烟分区应设置排烟口，排烟口宜设在顶棚或靠近顶棚的墙面上。排烟口距该</w:t>
      </w:r>
      <w:r>
        <w:rPr>
          <w:spacing w:val="-6"/>
          <w:sz w:val="21"/>
        </w:rPr>
        <w:t>防烟分区内最远点的水平距离不应大于</w:t>
      </w:r>
      <w:r>
        <w:rPr>
          <w:spacing w:val="-6"/>
          <w:sz w:val="21"/>
        </w:rPr>
        <w:t xml:space="preserve"> </w:t>
      </w:r>
      <w:r>
        <w:rPr>
          <w:sz w:val="21"/>
        </w:rPr>
        <w:t>30m</w:t>
      </w:r>
      <w:r>
        <w:rPr>
          <w:spacing w:val="-3"/>
          <w:sz w:val="21"/>
        </w:rPr>
        <w:t>。</w:t>
      </w:r>
      <w:r>
        <w:rPr>
          <w:sz w:val="21"/>
        </w:rPr>
        <w:t xml:space="preserve"> </w:t>
      </w:r>
    </w:p>
    <w:p w14:paraId="144B8BC5" w14:textId="77777777" w:rsidR="00A71EEF" w:rsidRDefault="0081115D">
      <w:pPr>
        <w:pStyle w:val="a4"/>
        <w:numPr>
          <w:ilvl w:val="2"/>
          <w:numId w:val="207"/>
        </w:numPr>
        <w:tabs>
          <w:tab w:val="left" w:pos="1371"/>
        </w:tabs>
        <w:ind w:left="1370"/>
        <w:rPr>
          <w:sz w:val="21"/>
        </w:rPr>
      </w:pPr>
      <w:r>
        <w:rPr>
          <w:spacing w:val="-6"/>
          <w:sz w:val="21"/>
        </w:rPr>
        <w:t>排烟风机可采用离心风机或排烟轴流风机，并应保证</w:t>
      </w:r>
      <w:r>
        <w:rPr>
          <w:spacing w:val="-6"/>
          <w:sz w:val="21"/>
        </w:rPr>
        <w:t xml:space="preserve"> </w:t>
      </w:r>
      <w:r>
        <w:rPr>
          <w:sz w:val="21"/>
        </w:rPr>
        <w:t>280</w:t>
      </w:r>
      <w:r>
        <w:rPr>
          <w:spacing w:val="-9"/>
          <w:sz w:val="21"/>
        </w:rPr>
        <w:t>℃</w:t>
      </w:r>
      <w:r>
        <w:rPr>
          <w:spacing w:val="-9"/>
          <w:sz w:val="21"/>
        </w:rPr>
        <w:t>时能连续工作</w:t>
      </w:r>
      <w:r>
        <w:rPr>
          <w:spacing w:val="-9"/>
          <w:sz w:val="21"/>
        </w:rPr>
        <w:t xml:space="preserve"> </w:t>
      </w:r>
      <w:r>
        <w:rPr>
          <w:sz w:val="21"/>
        </w:rPr>
        <w:t>30min</w:t>
      </w:r>
      <w:r>
        <w:rPr>
          <w:spacing w:val="-3"/>
          <w:sz w:val="21"/>
        </w:rPr>
        <w:t>。</w:t>
      </w:r>
      <w:r>
        <w:rPr>
          <w:sz w:val="21"/>
        </w:rPr>
        <w:t xml:space="preserve"> </w:t>
      </w:r>
    </w:p>
    <w:p w14:paraId="313DB4F9" w14:textId="77777777" w:rsidR="00A71EEF" w:rsidRDefault="00A71EEF">
      <w:pPr>
        <w:pStyle w:val="a3"/>
        <w:spacing w:before="12"/>
        <w:rPr>
          <w:sz w:val="17"/>
        </w:rPr>
      </w:pPr>
    </w:p>
    <w:p w14:paraId="275474F9" w14:textId="77777777" w:rsidR="00A71EEF" w:rsidRDefault="0081115D">
      <w:pPr>
        <w:pStyle w:val="a4"/>
        <w:numPr>
          <w:ilvl w:val="2"/>
          <w:numId w:val="207"/>
        </w:numPr>
        <w:tabs>
          <w:tab w:val="left" w:pos="1371"/>
        </w:tabs>
        <w:spacing w:line="446" w:lineRule="auto"/>
        <w:ind w:right="1657" w:firstLine="422"/>
        <w:rPr>
          <w:sz w:val="21"/>
        </w:rPr>
      </w:pPr>
      <w:r>
        <w:rPr>
          <w:spacing w:val="-5"/>
          <w:sz w:val="21"/>
        </w:rPr>
        <w:t>在穿过不同防烟分区的排烟支管上应设置烟气温度大于</w:t>
      </w:r>
      <w:r>
        <w:rPr>
          <w:spacing w:val="-5"/>
          <w:sz w:val="21"/>
        </w:rPr>
        <w:t xml:space="preserve"> </w:t>
      </w:r>
      <w:r>
        <w:rPr>
          <w:sz w:val="21"/>
        </w:rPr>
        <w:t>280</w:t>
      </w:r>
      <w:r>
        <w:rPr>
          <w:spacing w:val="-3"/>
          <w:sz w:val="21"/>
        </w:rPr>
        <w:t>℃</w:t>
      </w:r>
      <w:r>
        <w:rPr>
          <w:spacing w:val="-3"/>
          <w:sz w:val="21"/>
        </w:rPr>
        <w:t>时能自动关闭的排烟防火阀，排烟防火阀应联锁关闭相应的排烟风机。</w:t>
      </w:r>
      <w:r>
        <w:rPr>
          <w:sz w:val="21"/>
        </w:rPr>
        <w:t xml:space="preserve"> </w:t>
      </w:r>
    </w:p>
    <w:p w14:paraId="6E1836FE" w14:textId="77777777" w:rsidR="00A71EEF" w:rsidRDefault="0081115D">
      <w:pPr>
        <w:pStyle w:val="a4"/>
        <w:numPr>
          <w:ilvl w:val="2"/>
          <w:numId w:val="207"/>
        </w:numPr>
        <w:tabs>
          <w:tab w:val="left" w:pos="1370"/>
        </w:tabs>
        <w:spacing w:line="446" w:lineRule="auto"/>
        <w:ind w:right="1657" w:firstLine="422"/>
        <w:rPr>
          <w:sz w:val="21"/>
        </w:rPr>
      </w:pPr>
      <w:r>
        <w:rPr>
          <w:spacing w:val="-5"/>
          <w:sz w:val="21"/>
        </w:rPr>
        <w:t>机械排烟管道的风速，采用金属管道时不应大于</w:t>
      </w:r>
      <w:r>
        <w:rPr>
          <w:spacing w:val="-5"/>
          <w:sz w:val="21"/>
        </w:rPr>
        <w:t xml:space="preserve"> </w:t>
      </w:r>
      <w:r>
        <w:rPr>
          <w:sz w:val="21"/>
        </w:rPr>
        <w:t>20m/s</w:t>
      </w:r>
      <w:r>
        <w:rPr>
          <w:spacing w:val="-3"/>
          <w:sz w:val="21"/>
        </w:rPr>
        <w:t>；采用内表面光滑的非金属</w:t>
      </w:r>
      <w:r>
        <w:rPr>
          <w:spacing w:val="-8"/>
          <w:sz w:val="21"/>
        </w:rPr>
        <w:t>材料风道时，不应大于</w:t>
      </w:r>
      <w:r>
        <w:rPr>
          <w:spacing w:val="-8"/>
          <w:sz w:val="21"/>
        </w:rPr>
        <w:t xml:space="preserve"> </w:t>
      </w:r>
      <w:r>
        <w:rPr>
          <w:sz w:val="21"/>
        </w:rPr>
        <w:t>15m/s</w:t>
      </w:r>
      <w:r>
        <w:rPr>
          <w:spacing w:val="-8"/>
          <w:sz w:val="21"/>
        </w:rPr>
        <w:t>。排烟</w:t>
      </w:r>
      <w:r>
        <w:rPr>
          <w:spacing w:val="-8"/>
          <w:sz w:val="21"/>
        </w:rPr>
        <w:t>口的风速不宜大于</w:t>
      </w:r>
      <w:r>
        <w:rPr>
          <w:spacing w:val="-8"/>
          <w:sz w:val="21"/>
        </w:rPr>
        <w:t xml:space="preserve"> </w:t>
      </w:r>
      <w:r>
        <w:rPr>
          <w:sz w:val="21"/>
        </w:rPr>
        <w:t>10m/s</w:t>
      </w:r>
      <w:r>
        <w:rPr>
          <w:spacing w:val="-3"/>
          <w:sz w:val="21"/>
        </w:rPr>
        <w:t>。</w:t>
      </w:r>
      <w:r>
        <w:rPr>
          <w:sz w:val="21"/>
        </w:rPr>
        <w:t xml:space="preserve"> </w:t>
      </w:r>
    </w:p>
    <w:p w14:paraId="32029381" w14:textId="77777777" w:rsidR="00A71EEF" w:rsidRDefault="0081115D">
      <w:pPr>
        <w:pStyle w:val="a4"/>
        <w:numPr>
          <w:ilvl w:val="2"/>
          <w:numId w:val="207"/>
        </w:numPr>
        <w:tabs>
          <w:tab w:val="left" w:pos="1478"/>
        </w:tabs>
        <w:spacing w:line="267" w:lineRule="exact"/>
        <w:ind w:left="1477" w:hanging="638"/>
        <w:rPr>
          <w:sz w:val="21"/>
        </w:rPr>
      </w:pPr>
      <w:r>
        <w:rPr>
          <w:spacing w:val="-3"/>
          <w:sz w:val="21"/>
        </w:rPr>
        <w:t>汽车库内无直接通向室外的汽车疏散出口的防火分区，当设置机械排烟系统时，</w:t>
      </w:r>
    </w:p>
    <w:p w14:paraId="27E17EA0" w14:textId="77777777" w:rsidR="00A71EEF" w:rsidRDefault="00A71EEF">
      <w:pPr>
        <w:spacing w:line="267" w:lineRule="exact"/>
        <w:rPr>
          <w:sz w:val="21"/>
        </w:rPr>
        <w:sectPr w:rsidR="00A71EEF">
          <w:pgSz w:w="11910" w:h="16850"/>
          <w:pgMar w:top="1200" w:right="0" w:bottom="1420" w:left="1260" w:header="0" w:footer="1189" w:gutter="0"/>
          <w:cols w:space="720"/>
        </w:sectPr>
      </w:pPr>
    </w:p>
    <w:p w14:paraId="10C393E6" w14:textId="77777777" w:rsidR="00A71EEF" w:rsidRDefault="0081115D">
      <w:pPr>
        <w:pStyle w:val="a3"/>
        <w:spacing w:before="47"/>
        <w:ind w:left="418"/>
      </w:pPr>
      <w:r>
        <w:t>应同时设置补风系统，且补风量不宜小于排烟量的</w:t>
      </w:r>
      <w:r>
        <w:t xml:space="preserve"> 50</w:t>
      </w:r>
      <w:r>
        <w:t>％。</w:t>
      </w:r>
      <w:r>
        <w:t xml:space="preserve"> </w:t>
      </w:r>
    </w:p>
    <w:p w14:paraId="3A0D94E1" w14:textId="77777777" w:rsidR="00A71EEF" w:rsidRDefault="00A71EEF">
      <w:pPr>
        <w:pStyle w:val="a3"/>
        <w:spacing w:before="8"/>
        <w:rPr>
          <w:sz w:val="15"/>
        </w:rPr>
      </w:pPr>
    </w:p>
    <w:p w14:paraId="361549AA" w14:textId="77777777" w:rsidR="00A71EEF" w:rsidRDefault="0081115D">
      <w:pPr>
        <w:pStyle w:val="4"/>
        <w:spacing w:before="1"/>
      </w:pPr>
      <w:r>
        <w:t xml:space="preserve">9 </w:t>
      </w:r>
      <w:r>
        <w:t>电气</w:t>
      </w:r>
      <w:r>
        <w:rPr>
          <w:w w:val="99"/>
        </w:rPr>
        <w:t xml:space="preserve"> </w:t>
      </w:r>
    </w:p>
    <w:p w14:paraId="69B7D500" w14:textId="77777777" w:rsidR="00A71EEF" w:rsidRDefault="00A71EEF">
      <w:pPr>
        <w:pStyle w:val="a3"/>
        <w:spacing w:before="3"/>
        <w:rPr>
          <w:b/>
          <w:sz w:val="17"/>
        </w:rPr>
      </w:pPr>
    </w:p>
    <w:p w14:paraId="4C733D76" w14:textId="77777777" w:rsidR="00A71EEF" w:rsidRDefault="0081115D">
      <w:pPr>
        <w:pStyle w:val="a4"/>
        <w:numPr>
          <w:ilvl w:val="2"/>
          <w:numId w:val="206"/>
        </w:numPr>
        <w:tabs>
          <w:tab w:val="left" w:pos="1370"/>
        </w:tabs>
        <w:spacing w:before="1" w:line="446" w:lineRule="auto"/>
        <w:ind w:right="1604" w:firstLine="422"/>
        <w:jc w:val="both"/>
        <w:rPr>
          <w:sz w:val="21"/>
        </w:rPr>
      </w:pPr>
      <w:r>
        <w:rPr>
          <w:spacing w:val="-3"/>
          <w:sz w:val="21"/>
        </w:rPr>
        <w:t>消防水泵、火灾自动报警系统、自动灭火系统、防排烟设备、电动防火卷帘、电动防火门、消防应急照明和疏散指示标志等消防用电设备，以及采用汽车专用升降机作车辆疏散出口的升降机用电，应符合下列规定：</w:t>
      </w:r>
      <w:r>
        <w:rPr>
          <w:sz w:val="21"/>
        </w:rPr>
        <w:t xml:space="preserve"> </w:t>
      </w:r>
    </w:p>
    <w:p w14:paraId="7C09B73F" w14:textId="77777777" w:rsidR="00A71EEF" w:rsidRDefault="0081115D">
      <w:pPr>
        <w:pStyle w:val="a3"/>
        <w:spacing w:line="446" w:lineRule="auto"/>
        <w:ind w:left="838" w:right="2079"/>
      </w:pPr>
      <w:r>
        <w:rPr>
          <w:spacing w:val="-3"/>
        </w:rPr>
        <w:t>Ⅰ</w:t>
      </w:r>
      <w:r>
        <w:rPr>
          <w:spacing w:val="-3"/>
        </w:rPr>
        <w:t>类汽车库、采用汽车专用升降机作车辆疏散出口的升降机用电应按一级负荷供电；</w:t>
      </w:r>
      <w:r>
        <w:rPr>
          <w:spacing w:val="-3"/>
        </w:rPr>
        <w:t xml:space="preserve"> Ⅱ</w:t>
      </w:r>
      <w:r>
        <w:rPr>
          <w:spacing w:val="-3"/>
        </w:rPr>
        <w:t>、</w:t>
      </w:r>
      <w:r>
        <w:rPr>
          <w:spacing w:val="-3"/>
        </w:rPr>
        <w:t>Ⅲ</w:t>
      </w:r>
      <w:r>
        <w:rPr>
          <w:spacing w:val="-3"/>
        </w:rPr>
        <w:t>类汽车库和</w:t>
      </w:r>
      <w:r>
        <w:rPr>
          <w:spacing w:val="-3"/>
        </w:rPr>
        <w:t>Ⅰ</w:t>
      </w:r>
      <w:r>
        <w:rPr>
          <w:spacing w:val="-3"/>
        </w:rPr>
        <w:t>类修车库应按二级负荷供电；</w:t>
      </w:r>
      <w:r>
        <w:t xml:space="preserve"> </w:t>
      </w:r>
    </w:p>
    <w:p w14:paraId="1BC7F4DC" w14:textId="77777777" w:rsidR="00A71EEF" w:rsidRDefault="0081115D">
      <w:pPr>
        <w:pStyle w:val="a3"/>
        <w:ind w:left="838"/>
      </w:pPr>
      <w:r>
        <w:t>Ⅳ</w:t>
      </w:r>
      <w:r>
        <w:t>类汽车库和</w:t>
      </w:r>
      <w:r>
        <w:t>Ⅱ</w:t>
      </w:r>
      <w:r>
        <w:t>、</w:t>
      </w:r>
      <w:r>
        <w:t>Ⅲ</w:t>
      </w:r>
      <w:r>
        <w:t>、</w:t>
      </w:r>
      <w:r>
        <w:t>Ⅳ</w:t>
      </w:r>
      <w:r>
        <w:t>类修车库可采用三级负荷供电。</w:t>
      </w:r>
      <w:r>
        <w:t xml:space="preserve"> </w:t>
      </w:r>
    </w:p>
    <w:p w14:paraId="610950E5" w14:textId="77777777" w:rsidR="00A71EEF" w:rsidRDefault="00A71EEF">
      <w:pPr>
        <w:pStyle w:val="a3"/>
        <w:spacing w:before="11"/>
        <w:rPr>
          <w:sz w:val="17"/>
        </w:rPr>
      </w:pPr>
    </w:p>
    <w:p w14:paraId="3D714B24" w14:textId="77777777" w:rsidR="00A71EEF" w:rsidRDefault="0081115D">
      <w:pPr>
        <w:pStyle w:val="a4"/>
        <w:numPr>
          <w:ilvl w:val="2"/>
          <w:numId w:val="206"/>
        </w:numPr>
        <w:tabs>
          <w:tab w:val="left" w:pos="1371"/>
        </w:tabs>
        <w:spacing w:line="446" w:lineRule="auto"/>
        <w:ind w:right="1604" w:firstLine="422"/>
        <w:jc w:val="both"/>
        <w:rPr>
          <w:sz w:val="21"/>
        </w:rPr>
      </w:pPr>
      <w:r>
        <w:rPr>
          <w:spacing w:val="-3"/>
          <w:sz w:val="21"/>
        </w:rPr>
        <w:t>按一、二级负荷供电的消防用电设备的两个电源或两个回路，应能在最末一级配电箱处自动切换。消防用电设备的配电线路应与其他动力、照明等配电线路分开设置。消防用电设备应采用专用供电回路，其配电设备应有明显标志。</w:t>
      </w:r>
      <w:r>
        <w:rPr>
          <w:sz w:val="21"/>
        </w:rPr>
        <w:t xml:space="preserve"> </w:t>
      </w:r>
    </w:p>
    <w:p w14:paraId="3E5C77C6" w14:textId="77777777" w:rsidR="00A71EEF" w:rsidRDefault="0081115D">
      <w:pPr>
        <w:pStyle w:val="a4"/>
        <w:numPr>
          <w:ilvl w:val="2"/>
          <w:numId w:val="206"/>
        </w:numPr>
        <w:tabs>
          <w:tab w:val="left" w:pos="1370"/>
        </w:tabs>
        <w:spacing w:line="268" w:lineRule="exact"/>
        <w:ind w:left="1369" w:hanging="530"/>
        <w:rPr>
          <w:sz w:val="21"/>
        </w:rPr>
      </w:pPr>
      <w:r>
        <w:rPr>
          <w:spacing w:val="-3"/>
          <w:sz w:val="21"/>
        </w:rPr>
        <w:t>消防用电的配电线路应满足火灾时连续供电的要求，其敷设应符合现行国家标准</w:t>
      </w:r>
    </w:p>
    <w:p w14:paraId="7C6BBCA5" w14:textId="77777777" w:rsidR="00A71EEF" w:rsidRDefault="00A71EEF">
      <w:pPr>
        <w:pStyle w:val="a3"/>
        <w:spacing w:before="2"/>
        <w:rPr>
          <w:sz w:val="18"/>
        </w:rPr>
      </w:pPr>
    </w:p>
    <w:p w14:paraId="4C30FE5A" w14:textId="77777777" w:rsidR="00A71EEF" w:rsidRDefault="0081115D">
      <w:pPr>
        <w:pStyle w:val="a3"/>
        <w:ind w:left="418"/>
      </w:pPr>
      <w:r>
        <w:t>《建筑设计防火规范》</w:t>
      </w:r>
      <w:r>
        <w:t xml:space="preserve">GB 50016 </w:t>
      </w:r>
      <w:r>
        <w:t>的有关规定。</w:t>
      </w:r>
      <w:r>
        <w:t xml:space="preserve"> </w:t>
      </w:r>
    </w:p>
    <w:p w14:paraId="0E9A98A4" w14:textId="77777777" w:rsidR="00A71EEF" w:rsidRDefault="00A71EEF">
      <w:pPr>
        <w:pStyle w:val="a3"/>
        <w:rPr>
          <w:sz w:val="18"/>
        </w:rPr>
      </w:pPr>
    </w:p>
    <w:p w14:paraId="5BDE8C2A" w14:textId="77777777" w:rsidR="00A71EEF" w:rsidRDefault="0081115D">
      <w:pPr>
        <w:pStyle w:val="a4"/>
        <w:numPr>
          <w:ilvl w:val="2"/>
          <w:numId w:val="206"/>
        </w:numPr>
        <w:tabs>
          <w:tab w:val="left" w:pos="1370"/>
        </w:tabs>
        <w:spacing w:line="446" w:lineRule="auto"/>
        <w:ind w:right="1608" w:firstLine="422"/>
        <w:rPr>
          <w:sz w:val="21"/>
        </w:rPr>
      </w:pPr>
      <w:r>
        <w:rPr>
          <w:spacing w:val="-7"/>
          <w:sz w:val="21"/>
        </w:rPr>
        <w:t>除停车数量不大于</w:t>
      </w:r>
      <w:r>
        <w:rPr>
          <w:spacing w:val="-7"/>
          <w:sz w:val="21"/>
        </w:rPr>
        <w:t xml:space="preserve"> </w:t>
      </w:r>
      <w:r>
        <w:rPr>
          <w:sz w:val="21"/>
        </w:rPr>
        <w:t>50</w:t>
      </w:r>
      <w:r>
        <w:rPr>
          <w:spacing w:val="-7"/>
          <w:sz w:val="21"/>
        </w:rPr>
        <w:t xml:space="preserve"> </w:t>
      </w:r>
      <w:r>
        <w:rPr>
          <w:spacing w:val="-7"/>
          <w:sz w:val="21"/>
        </w:rPr>
        <w:t>辆的汽车库，以及室内无车道且无人员停留的机械式汽车库外</w:t>
      </w:r>
      <w:r>
        <w:rPr>
          <w:spacing w:val="-4"/>
          <w:sz w:val="21"/>
        </w:rPr>
        <w:t>，汽车库内应设置消防应急照明和疏散指示标志。用于疏散走道上的消防应急照明和疏散指示</w:t>
      </w:r>
      <w:r>
        <w:rPr>
          <w:spacing w:val="-5"/>
          <w:sz w:val="21"/>
        </w:rPr>
        <w:t>标志，可采用蓄电池作备用电源，但其连续供电时间不应小于</w:t>
      </w:r>
      <w:r>
        <w:rPr>
          <w:spacing w:val="-5"/>
          <w:sz w:val="21"/>
        </w:rPr>
        <w:t xml:space="preserve"> </w:t>
      </w:r>
      <w:r>
        <w:rPr>
          <w:sz w:val="21"/>
        </w:rPr>
        <w:t>30min</w:t>
      </w:r>
      <w:r>
        <w:rPr>
          <w:spacing w:val="-3"/>
          <w:sz w:val="21"/>
        </w:rPr>
        <w:t>。</w:t>
      </w:r>
      <w:r>
        <w:rPr>
          <w:sz w:val="21"/>
        </w:rPr>
        <w:t xml:space="preserve"> </w:t>
      </w:r>
    </w:p>
    <w:p w14:paraId="03B41721" w14:textId="77777777" w:rsidR="00A71EEF" w:rsidRDefault="0081115D">
      <w:pPr>
        <w:pStyle w:val="a4"/>
        <w:numPr>
          <w:ilvl w:val="2"/>
          <w:numId w:val="206"/>
        </w:numPr>
        <w:tabs>
          <w:tab w:val="left" w:pos="1370"/>
        </w:tabs>
        <w:spacing w:line="446" w:lineRule="auto"/>
        <w:ind w:right="1608" w:firstLine="422"/>
        <w:jc w:val="both"/>
        <w:rPr>
          <w:sz w:val="21"/>
        </w:rPr>
      </w:pPr>
      <w:r>
        <w:rPr>
          <w:spacing w:val="-5"/>
          <w:sz w:val="21"/>
        </w:rPr>
        <w:t>消防应急照明灯宜设置在墙面或顶棚上，其地面最低水平照度不应低于</w:t>
      </w:r>
      <w:r>
        <w:rPr>
          <w:spacing w:val="-5"/>
          <w:sz w:val="21"/>
        </w:rPr>
        <w:t xml:space="preserve"> </w:t>
      </w:r>
      <w:r>
        <w:rPr>
          <w:sz w:val="21"/>
        </w:rPr>
        <w:t>1.0Lx</w:t>
      </w:r>
      <w:r>
        <w:rPr>
          <w:spacing w:val="-3"/>
          <w:sz w:val="21"/>
        </w:rPr>
        <w:t>。安全出口标志宜设置在疏散出口的顶部；疏散指示标志宜设置在疏散通道及其转角处，且距地面</w:t>
      </w:r>
      <w:r>
        <w:rPr>
          <w:spacing w:val="-20"/>
          <w:sz w:val="21"/>
        </w:rPr>
        <w:t>高度</w:t>
      </w:r>
      <w:r>
        <w:rPr>
          <w:spacing w:val="-20"/>
          <w:sz w:val="21"/>
        </w:rPr>
        <w:t xml:space="preserve"> </w:t>
      </w:r>
      <w:r>
        <w:rPr>
          <w:sz w:val="21"/>
        </w:rPr>
        <w:t>1m</w:t>
      </w:r>
      <w:r>
        <w:rPr>
          <w:spacing w:val="-11"/>
          <w:sz w:val="21"/>
        </w:rPr>
        <w:t xml:space="preserve"> </w:t>
      </w:r>
      <w:r>
        <w:rPr>
          <w:spacing w:val="-11"/>
          <w:sz w:val="21"/>
        </w:rPr>
        <w:t>以下的墙面上。通道上的指示标志，其间距不宜大于</w:t>
      </w:r>
      <w:r>
        <w:rPr>
          <w:spacing w:val="-11"/>
          <w:sz w:val="21"/>
        </w:rPr>
        <w:t xml:space="preserve"> </w:t>
      </w:r>
      <w:r>
        <w:rPr>
          <w:sz w:val="21"/>
        </w:rPr>
        <w:t>20m</w:t>
      </w:r>
      <w:r>
        <w:rPr>
          <w:spacing w:val="-3"/>
          <w:sz w:val="21"/>
        </w:rPr>
        <w:t>。</w:t>
      </w:r>
      <w:r>
        <w:rPr>
          <w:sz w:val="21"/>
        </w:rPr>
        <w:t xml:space="preserve"> </w:t>
      </w:r>
    </w:p>
    <w:p w14:paraId="2EE807BC" w14:textId="77777777" w:rsidR="00A71EEF" w:rsidRDefault="0081115D">
      <w:pPr>
        <w:pStyle w:val="a4"/>
        <w:numPr>
          <w:ilvl w:val="2"/>
          <w:numId w:val="206"/>
        </w:numPr>
        <w:tabs>
          <w:tab w:val="left" w:pos="1370"/>
        </w:tabs>
        <w:spacing w:line="446" w:lineRule="auto"/>
        <w:ind w:right="1604" w:firstLine="422"/>
        <w:rPr>
          <w:sz w:val="21"/>
        </w:rPr>
      </w:pPr>
      <w:r>
        <w:rPr>
          <w:spacing w:val="-3"/>
          <w:sz w:val="21"/>
        </w:rPr>
        <w:t>甲、乙类物品运输车的汽车库、修车库，以及修车库内的喷漆间、电瓶间、乙炔间等室内电气设备的防爆要求，均应符合现行国家标准《爆炸危</w:t>
      </w:r>
      <w:r>
        <w:rPr>
          <w:spacing w:val="-3"/>
          <w:sz w:val="21"/>
        </w:rPr>
        <w:t>险环境电力装置设计规范》</w:t>
      </w:r>
      <w:r>
        <w:rPr>
          <w:sz w:val="21"/>
        </w:rPr>
        <w:t>GB 50058</w:t>
      </w:r>
      <w:r>
        <w:rPr>
          <w:spacing w:val="-10"/>
          <w:sz w:val="21"/>
        </w:rPr>
        <w:t xml:space="preserve"> </w:t>
      </w:r>
      <w:r>
        <w:rPr>
          <w:spacing w:val="-10"/>
          <w:sz w:val="21"/>
        </w:rPr>
        <w:t>的有关规定。</w:t>
      </w:r>
      <w:r>
        <w:rPr>
          <w:sz w:val="21"/>
        </w:rPr>
        <w:t xml:space="preserve"> </w:t>
      </w:r>
    </w:p>
    <w:p w14:paraId="167D7A5C" w14:textId="77777777" w:rsidR="00A71EEF" w:rsidRDefault="0081115D">
      <w:pPr>
        <w:pStyle w:val="a4"/>
        <w:numPr>
          <w:ilvl w:val="2"/>
          <w:numId w:val="206"/>
        </w:numPr>
        <w:tabs>
          <w:tab w:val="left" w:pos="1371"/>
        </w:tabs>
        <w:spacing w:line="446" w:lineRule="auto"/>
        <w:ind w:right="1918" w:firstLine="422"/>
        <w:rPr>
          <w:sz w:val="21"/>
        </w:rPr>
      </w:pPr>
      <w:r>
        <w:rPr>
          <w:spacing w:val="-3"/>
          <w:sz w:val="21"/>
        </w:rPr>
        <w:t>除敞开式汽车库、屋面停车场外，下列汽车库、修车库应设置火灾自动报警系统：</w:t>
      </w:r>
      <w:r>
        <w:rPr>
          <w:spacing w:val="-3"/>
          <w:sz w:val="21"/>
        </w:rPr>
        <w:t xml:space="preserve"> </w:t>
      </w:r>
      <w:r>
        <w:rPr>
          <w:spacing w:val="-2"/>
          <w:sz w:val="21"/>
        </w:rPr>
        <w:t xml:space="preserve"> </w:t>
      </w:r>
      <w:r>
        <w:rPr>
          <w:sz w:val="21"/>
        </w:rPr>
        <w:t xml:space="preserve"> </w:t>
      </w:r>
    </w:p>
    <w:p w14:paraId="66CBE4B3" w14:textId="77777777" w:rsidR="00A71EEF" w:rsidRDefault="0081115D">
      <w:pPr>
        <w:pStyle w:val="a3"/>
        <w:ind w:left="838"/>
      </w:pPr>
      <w:r>
        <w:t>Ⅰ</w:t>
      </w:r>
      <w:r>
        <w:t>类汽车库、修车库；</w:t>
      </w:r>
      <w:r>
        <w:t xml:space="preserve"> </w:t>
      </w:r>
    </w:p>
    <w:p w14:paraId="37119998" w14:textId="77777777" w:rsidR="00A71EEF" w:rsidRDefault="00A71EEF">
      <w:pPr>
        <w:pStyle w:val="a3"/>
        <w:spacing w:before="9"/>
        <w:rPr>
          <w:sz w:val="17"/>
        </w:rPr>
      </w:pPr>
    </w:p>
    <w:p w14:paraId="393E2BA5" w14:textId="77777777" w:rsidR="00A71EEF" w:rsidRDefault="0081115D">
      <w:pPr>
        <w:pStyle w:val="a3"/>
        <w:spacing w:line="446" w:lineRule="auto"/>
        <w:ind w:left="838" w:right="6287"/>
      </w:pPr>
      <w:r>
        <w:t>Ⅱ</w:t>
      </w:r>
      <w:r>
        <w:t>类地下、半地下汽车库、修车库；</w:t>
      </w:r>
      <w:r>
        <w:t xml:space="preserve"> Ⅱ</w:t>
      </w:r>
      <w:r>
        <w:t>类高层汽车库、修车库；</w:t>
      </w:r>
      <w:r>
        <w:t xml:space="preserve"> </w:t>
      </w:r>
    </w:p>
    <w:p w14:paraId="211D2119" w14:textId="77777777" w:rsidR="00A71EEF" w:rsidRDefault="0081115D">
      <w:pPr>
        <w:pStyle w:val="a3"/>
        <w:ind w:left="838"/>
      </w:pPr>
      <w:r>
        <w:t>机械式汽车库；</w:t>
      </w:r>
      <w:r>
        <w:t xml:space="preserve"> </w:t>
      </w:r>
    </w:p>
    <w:p w14:paraId="758B92D9" w14:textId="77777777" w:rsidR="00A71EEF" w:rsidRDefault="00A71EEF">
      <w:pPr>
        <w:sectPr w:rsidR="00A71EEF">
          <w:pgSz w:w="11910" w:h="16850"/>
          <w:pgMar w:top="1220" w:right="0" w:bottom="1420" w:left="1260" w:header="0" w:footer="1189" w:gutter="0"/>
          <w:cols w:space="720"/>
        </w:sectPr>
      </w:pPr>
    </w:p>
    <w:p w14:paraId="068D75B6" w14:textId="77777777" w:rsidR="00A71EEF" w:rsidRDefault="0081115D">
      <w:pPr>
        <w:pStyle w:val="a3"/>
        <w:spacing w:before="47"/>
        <w:ind w:left="838"/>
      </w:pPr>
      <w:r>
        <w:t>采用汽车专用升降机作汽车疏散出口的汽车库。</w:t>
      </w:r>
      <w:r>
        <w:t xml:space="preserve"> </w:t>
      </w:r>
    </w:p>
    <w:p w14:paraId="7BE989BA" w14:textId="77777777" w:rsidR="00A71EEF" w:rsidRDefault="00A71EEF">
      <w:pPr>
        <w:pStyle w:val="a3"/>
        <w:rPr>
          <w:sz w:val="18"/>
        </w:rPr>
      </w:pPr>
    </w:p>
    <w:p w14:paraId="495590C4" w14:textId="77777777" w:rsidR="00A71EEF" w:rsidRDefault="0081115D">
      <w:pPr>
        <w:pStyle w:val="a4"/>
        <w:numPr>
          <w:ilvl w:val="2"/>
          <w:numId w:val="206"/>
        </w:numPr>
        <w:tabs>
          <w:tab w:val="left" w:pos="1371"/>
        </w:tabs>
        <w:spacing w:line="446" w:lineRule="auto"/>
        <w:ind w:right="1604" w:firstLine="422"/>
        <w:rPr>
          <w:sz w:val="21"/>
        </w:rPr>
      </w:pPr>
      <w:r>
        <w:rPr>
          <w:spacing w:val="-3"/>
          <w:sz w:val="21"/>
        </w:rPr>
        <w:t>气体灭火系统、泡沫</w:t>
      </w:r>
      <w:r>
        <w:rPr>
          <w:spacing w:val="-3"/>
          <w:sz w:val="21"/>
        </w:rPr>
        <w:t>—</w:t>
      </w:r>
      <w:r>
        <w:rPr>
          <w:spacing w:val="-3"/>
          <w:sz w:val="21"/>
        </w:rPr>
        <w:t>水喷淋系统、高倍数泡沫灭火系统以及设置防火卷帘、防烟排烟系统的联动控制设计，应符合现行国家标准《火灾自动报警系统设计规范》</w:t>
      </w:r>
      <w:r>
        <w:rPr>
          <w:sz w:val="21"/>
        </w:rPr>
        <w:t>GB</w:t>
      </w:r>
      <w:r>
        <w:rPr>
          <w:spacing w:val="13"/>
          <w:sz w:val="21"/>
        </w:rPr>
        <w:t xml:space="preserve"> </w:t>
      </w:r>
      <w:r>
        <w:rPr>
          <w:sz w:val="21"/>
        </w:rPr>
        <w:t>50116</w:t>
      </w:r>
      <w:r>
        <w:rPr>
          <w:spacing w:val="-25"/>
          <w:sz w:val="21"/>
        </w:rPr>
        <w:t xml:space="preserve"> </w:t>
      </w:r>
      <w:r>
        <w:rPr>
          <w:spacing w:val="-25"/>
          <w:sz w:val="21"/>
        </w:rPr>
        <w:t>等</w:t>
      </w:r>
      <w:r>
        <w:rPr>
          <w:spacing w:val="-11"/>
          <w:sz w:val="21"/>
        </w:rPr>
        <w:t>的有关规定。</w:t>
      </w:r>
      <w:r>
        <w:rPr>
          <w:sz w:val="21"/>
        </w:rPr>
        <w:t xml:space="preserve"> </w:t>
      </w:r>
    </w:p>
    <w:p w14:paraId="729F9421" w14:textId="77777777" w:rsidR="00A71EEF" w:rsidRDefault="0081115D">
      <w:pPr>
        <w:pStyle w:val="a4"/>
        <w:numPr>
          <w:ilvl w:val="2"/>
          <w:numId w:val="206"/>
        </w:numPr>
        <w:tabs>
          <w:tab w:val="left" w:pos="1370"/>
        </w:tabs>
        <w:spacing w:line="446" w:lineRule="auto"/>
        <w:ind w:right="1604" w:firstLine="422"/>
        <w:rPr>
          <w:sz w:val="21"/>
        </w:rPr>
      </w:pPr>
      <w:r>
        <w:rPr>
          <w:spacing w:val="-3"/>
          <w:sz w:val="21"/>
        </w:rPr>
        <w:t>设置火灾自动报警系统和自动灭火系统的汽车库、修车库，应设置消防控制室，消防控制室宜独立设置，也可与其他控制室、值班室组合设置。</w:t>
      </w:r>
      <w:r>
        <w:rPr>
          <w:sz w:val="21"/>
        </w:rPr>
        <w:t xml:space="preserve"> </w:t>
      </w:r>
    </w:p>
    <w:p w14:paraId="6F02A986" w14:textId="77777777" w:rsidR="00A71EEF" w:rsidRDefault="00A71EEF">
      <w:pPr>
        <w:pStyle w:val="a3"/>
        <w:rPr>
          <w:sz w:val="20"/>
        </w:rPr>
      </w:pPr>
    </w:p>
    <w:p w14:paraId="542E7D7A" w14:textId="77777777" w:rsidR="00A71EEF" w:rsidRDefault="00A71EEF">
      <w:pPr>
        <w:pStyle w:val="a3"/>
        <w:rPr>
          <w:sz w:val="20"/>
        </w:rPr>
      </w:pPr>
    </w:p>
    <w:p w14:paraId="16909EA5" w14:textId="77777777" w:rsidR="00A71EEF" w:rsidRDefault="00A71EEF">
      <w:pPr>
        <w:pStyle w:val="a3"/>
        <w:rPr>
          <w:sz w:val="20"/>
        </w:rPr>
      </w:pPr>
    </w:p>
    <w:p w14:paraId="4522D3F1" w14:textId="77777777" w:rsidR="00A71EEF" w:rsidRDefault="00A71EEF">
      <w:pPr>
        <w:pStyle w:val="a3"/>
        <w:spacing w:before="11"/>
        <w:rPr>
          <w:sz w:val="17"/>
        </w:rPr>
      </w:pPr>
    </w:p>
    <w:p w14:paraId="6429A0A3" w14:textId="77777777" w:rsidR="00A71EEF" w:rsidRDefault="0081115D">
      <w:pPr>
        <w:pStyle w:val="a3"/>
        <w:ind w:left="3298"/>
      </w:pPr>
      <w:r>
        <w:t xml:space="preserve"> </w:t>
      </w:r>
    </w:p>
    <w:p w14:paraId="2C04701F" w14:textId="77777777" w:rsidR="00A71EEF" w:rsidRDefault="00A71EEF">
      <w:pPr>
        <w:sectPr w:rsidR="00A71EEF">
          <w:pgSz w:w="11910" w:h="16850"/>
          <w:pgMar w:top="1220" w:right="0" w:bottom="1420" w:left="1260" w:header="0" w:footer="1189" w:gutter="0"/>
          <w:cols w:space="720"/>
        </w:sectPr>
      </w:pPr>
    </w:p>
    <w:p w14:paraId="414E261C" w14:textId="77777777" w:rsidR="00A71EEF" w:rsidRDefault="0081115D">
      <w:pPr>
        <w:pStyle w:val="2"/>
        <w:ind w:left="3457"/>
        <w:jc w:val="left"/>
      </w:pPr>
      <w:bookmarkStart w:id="28" w:name="_bookmark28"/>
      <w:bookmarkEnd w:id="28"/>
      <w:r>
        <w:t>城市消防站设计规范</w:t>
      </w:r>
      <w:r>
        <w:rPr>
          <w:w w:val="99"/>
        </w:rPr>
        <w:t xml:space="preserve"> </w:t>
      </w:r>
    </w:p>
    <w:p w14:paraId="6E18D9A2" w14:textId="77777777" w:rsidR="00A71EEF" w:rsidRDefault="00A71EEF">
      <w:pPr>
        <w:pStyle w:val="a3"/>
        <w:rPr>
          <w:b/>
          <w:sz w:val="20"/>
        </w:rPr>
      </w:pPr>
    </w:p>
    <w:p w14:paraId="4A621768" w14:textId="77777777" w:rsidR="00A71EEF" w:rsidRDefault="00A71EEF">
      <w:pPr>
        <w:pStyle w:val="a3"/>
        <w:spacing w:before="5"/>
        <w:rPr>
          <w:b/>
          <w:sz w:val="14"/>
        </w:rPr>
      </w:pPr>
    </w:p>
    <w:p w14:paraId="3028DEDA" w14:textId="77777777" w:rsidR="00A71EEF" w:rsidRDefault="0081115D">
      <w:pPr>
        <w:pStyle w:val="4"/>
        <w:spacing w:before="66"/>
      </w:pPr>
      <w:r>
        <w:t xml:space="preserve">1 </w:t>
      </w:r>
      <w:r>
        <w:t>总则</w:t>
      </w:r>
      <w:r>
        <w:rPr>
          <w:w w:val="99"/>
        </w:rPr>
        <w:t xml:space="preserve"> </w:t>
      </w:r>
    </w:p>
    <w:p w14:paraId="2AFA2484" w14:textId="77777777" w:rsidR="00A71EEF" w:rsidRDefault="00A71EEF">
      <w:pPr>
        <w:pStyle w:val="a3"/>
        <w:spacing w:before="4"/>
        <w:rPr>
          <w:b/>
          <w:sz w:val="17"/>
        </w:rPr>
      </w:pPr>
    </w:p>
    <w:p w14:paraId="5957B531" w14:textId="77777777" w:rsidR="00A71EEF" w:rsidRDefault="0081115D">
      <w:pPr>
        <w:pStyle w:val="a4"/>
        <w:numPr>
          <w:ilvl w:val="1"/>
          <w:numId w:val="205"/>
        </w:numPr>
        <w:tabs>
          <w:tab w:val="left" w:pos="1160"/>
        </w:tabs>
        <w:spacing w:line="446" w:lineRule="auto"/>
        <w:ind w:right="1604" w:firstLine="422"/>
        <w:rPr>
          <w:sz w:val="21"/>
        </w:rPr>
      </w:pPr>
      <w:r>
        <w:rPr>
          <w:spacing w:val="-3"/>
          <w:sz w:val="21"/>
        </w:rPr>
        <w:t>为了规范城市消防站</w:t>
      </w:r>
      <w:r>
        <w:rPr>
          <w:sz w:val="21"/>
        </w:rPr>
        <w:t>（</w:t>
      </w:r>
      <w:r>
        <w:rPr>
          <w:spacing w:val="-3"/>
          <w:sz w:val="21"/>
        </w:rPr>
        <w:t>以下简称</w:t>
      </w:r>
      <w:r>
        <w:rPr>
          <w:spacing w:val="-3"/>
          <w:sz w:val="21"/>
        </w:rPr>
        <w:t>”</w:t>
      </w:r>
      <w:r>
        <w:rPr>
          <w:spacing w:val="-3"/>
          <w:sz w:val="21"/>
        </w:rPr>
        <w:t>消防站</w:t>
      </w:r>
      <w:r>
        <w:rPr>
          <w:spacing w:val="-3"/>
          <w:sz w:val="21"/>
        </w:rPr>
        <w:t>”</w:t>
      </w:r>
      <w:r>
        <w:rPr>
          <w:sz w:val="21"/>
        </w:rPr>
        <w:t>）</w:t>
      </w:r>
      <w:r>
        <w:rPr>
          <w:spacing w:val="-3"/>
          <w:sz w:val="21"/>
        </w:rPr>
        <w:t>的设计，提高消防站用房、设施和场地规划布局及配置的科学性和合理性，做到安全适用、技术先进、经济合理，制定本规范。</w:t>
      </w:r>
      <w:r>
        <w:rPr>
          <w:sz w:val="21"/>
        </w:rPr>
        <w:t xml:space="preserve"> </w:t>
      </w:r>
    </w:p>
    <w:p w14:paraId="14CEFF75" w14:textId="77777777" w:rsidR="00A71EEF" w:rsidRDefault="0081115D">
      <w:pPr>
        <w:pStyle w:val="a4"/>
        <w:numPr>
          <w:ilvl w:val="1"/>
          <w:numId w:val="205"/>
        </w:numPr>
        <w:tabs>
          <w:tab w:val="left" w:pos="1160"/>
        </w:tabs>
        <w:ind w:left="1159"/>
        <w:rPr>
          <w:sz w:val="21"/>
        </w:rPr>
      </w:pPr>
      <w:r>
        <w:rPr>
          <w:spacing w:val="-3"/>
          <w:sz w:val="21"/>
        </w:rPr>
        <w:t>本规范适用于城市新建、改建和扩建消防站的设计。</w:t>
      </w:r>
      <w:r>
        <w:rPr>
          <w:sz w:val="21"/>
        </w:rPr>
        <w:t xml:space="preserve"> </w:t>
      </w:r>
    </w:p>
    <w:p w14:paraId="642AD922" w14:textId="77777777" w:rsidR="00A71EEF" w:rsidRDefault="00A71EEF">
      <w:pPr>
        <w:pStyle w:val="a3"/>
        <w:spacing w:before="12"/>
        <w:rPr>
          <w:sz w:val="17"/>
        </w:rPr>
      </w:pPr>
    </w:p>
    <w:p w14:paraId="5AD8DEF1" w14:textId="77777777" w:rsidR="00A71EEF" w:rsidRDefault="0081115D">
      <w:pPr>
        <w:pStyle w:val="a3"/>
        <w:ind w:left="838"/>
      </w:pPr>
      <w:r>
        <w:t>本规范不适用于战勤保障消防站的设计。</w:t>
      </w:r>
      <w:r>
        <w:t xml:space="preserve"> </w:t>
      </w:r>
    </w:p>
    <w:p w14:paraId="4CEDAB7A" w14:textId="77777777" w:rsidR="00A71EEF" w:rsidRDefault="00A71EEF">
      <w:pPr>
        <w:pStyle w:val="a3"/>
        <w:rPr>
          <w:sz w:val="18"/>
        </w:rPr>
      </w:pPr>
    </w:p>
    <w:p w14:paraId="54D83EB0" w14:textId="77777777" w:rsidR="00A71EEF" w:rsidRDefault="0081115D">
      <w:pPr>
        <w:pStyle w:val="a4"/>
        <w:numPr>
          <w:ilvl w:val="1"/>
          <w:numId w:val="205"/>
        </w:numPr>
        <w:tabs>
          <w:tab w:val="left" w:pos="1160"/>
        </w:tabs>
        <w:ind w:left="1159"/>
        <w:rPr>
          <w:sz w:val="21"/>
        </w:rPr>
      </w:pPr>
      <w:r>
        <w:rPr>
          <w:spacing w:val="-3"/>
          <w:sz w:val="21"/>
        </w:rPr>
        <w:t>消防站的没计除应符合本规范外，尚应符合同家现行有关标准的规定。</w:t>
      </w:r>
      <w:r>
        <w:rPr>
          <w:spacing w:val="-3"/>
          <w:sz w:val="21"/>
        </w:rPr>
        <w:t xml:space="preserve"> </w:t>
      </w:r>
    </w:p>
    <w:p w14:paraId="06E9B7D7" w14:textId="77777777" w:rsidR="00A71EEF" w:rsidRDefault="00A71EEF">
      <w:pPr>
        <w:pStyle w:val="a3"/>
        <w:spacing w:before="10"/>
        <w:rPr>
          <w:sz w:val="15"/>
        </w:rPr>
      </w:pPr>
    </w:p>
    <w:p w14:paraId="4F3E54AC" w14:textId="77777777" w:rsidR="00A71EEF" w:rsidRDefault="0081115D">
      <w:pPr>
        <w:pStyle w:val="4"/>
        <w:spacing w:before="1"/>
      </w:pPr>
      <w:r>
        <w:t xml:space="preserve">2 </w:t>
      </w:r>
      <w:r>
        <w:t>术语</w:t>
      </w:r>
      <w:r>
        <w:rPr>
          <w:w w:val="99"/>
        </w:rPr>
        <w:t xml:space="preserve"> </w:t>
      </w:r>
    </w:p>
    <w:p w14:paraId="254332B6" w14:textId="77777777" w:rsidR="00A71EEF" w:rsidRDefault="00A71EEF">
      <w:pPr>
        <w:pStyle w:val="a3"/>
        <w:spacing w:before="3"/>
        <w:rPr>
          <w:b/>
          <w:sz w:val="17"/>
        </w:rPr>
      </w:pPr>
    </w:p>
    <w:p w14:paraId="1DFD3CFF" w14:textId="77777777" w:rsidR="00A71EEF" w:rsidRDefault="0081115D">
      <w:pPr>
        <w:pStyle w:val="a4"/>
        <w:numPr>
          <w:ilvl w:val="1"/>
          <w:numId w:val="204"/>
        </w:numPr>
        <w:tabs>
          <w:tab w:val="left" w:pos="1160"/>
        </w:tabs>
        <w:spacing w:before="1"/>
        <w:rPr>
          <w:sz w:val="21"/>
        </w:rPr>
      </w:pPr>
      <w:r>
        <w:rPr>
          <w:spacing w:val="24"/>
          <w:sz w:val="21"/>
        </w:rPr>
        <w:t>消防站</w:t>
      </w:r>
      <w:r>
        <w:rPr>
          <w:spacing w:val="24"/>
          <w:sz w:val="21"/>
        </w:rPr>
        <w:t xml:space="preserve"> </w:t>
      </w:r>
      <w:r>
        <w:rPr>
          <w:sz w:val="21"/>
        </w:rPr>
        <w:t>fire</w:t>
      </w:r>
      <w:r>
        <w:rPr>
          <w:spacing w:val="1"/>
          <w:sz w:val="21"/>
        </w:rPr>
        <w:t xml:space="preserve"> </w:t>
      </w:r>
      <w:r>
        <w:rPr>
          <w:sz w:val="21"/>
        </w:rPr>
        <w:t xml:space="preserve">station </w:t>
      </w:r>
    </w:p>
    <w:p w14:paraId="1719C40D" w14:textId="77777777" w:rsidR="00A71EEF" w:rsidRDefault="00A71EEF">
      <w:pPr>
        <w:pStyle w:val="a3"/>
        <w:spacing w:before="12"/>
        <w:rPr>
          <w:sz w:val="17"/>
        </w:rPr>
      </w:pPr>
    </w:p>
    <w:p w14:paraId="5282F027" w14:textId="77777777" w:rsidR="00A71EEF" w:rsidRDefault="0081115D">
      <w:pPr>
        <w:pStyle w:val="a3"/>
        <w:spacing w:line="446" w:lineRule="auto"/>
        <w:ind w:left="418" w:right="1609" w:firstLine="419"/>
      </w:pPr>
      <w:r>
        <w:t>城镇公共消防设施的重要组成部分，是公安、专职或其他类型消防队的驻在基地，主要包括建筑、道路、场地和设施等。</w:t>
      </w:r>
      <w:r>
        <w:t xml:space="preserve"> </w:t>
      </w:r>
    </w:p>
    <w:p w14:paraId="0443E250" w14:textId="77777777" w:rsidR="00A71EEF" w:rsidRDefault="0081115D">
      <w:pPr>
        <w:pStyle w:val="a4"/>
        <w:numPr>
          <w:ilvl w:val="1"/>
          <w:numId w:val="204"/>
        </w:numPr>
        <w:tabs>
          <w:tab w:val="left" w:pos="1160"/>
        </w:tabs>
        <w:rPr>
          <w:sz w:val="21"/>
        </w:rPr>
      </w:pPr>
      <w:r>
        <w:rPr>
          <w:spacing w:val="-3"/>
          <w:sz w:val="21"/>
        </w:rPr>
        <w:t>普通消防站</w:t>
      </w:r>
      <w:r>
        <w:rPr>
          <w:spacing w:val="-3"/>
          <w:sz w:val="21"/>
        </w:rPr>
        <w:t xml:space="preserve"> </w:t>
      </w:r>
      <w:r>
        <w:rPr>
          <w:sz w:val="21"/>
        </w:rPr>
        <w:t>normal</w:t>
      </w:r>
      <w:r>
        <w:rPr>
          <w:spacing w:val="1"/>
          <w:sz w:val="21"/>
        </w:rPr>
        <w:t xml:space="preserve"> </w:t>
      </w:r>
      <w:r>
        <w:rPr>
          <w:sz w:val="21"/>
        </w:rPr>
        <w:t>mission fire</w:t>
      </w:r>
      <w:r>
        <w:rPr>
          <w:spacing w:val="-2"/>
          <w:sz w:val="21"/>
        </w:rPr>
        <w:t xml:space="preserve"> </w:t>
      </w:r>
      <w:r>
        <w:rPr>
          <w:sz w:val="21"/>
        </w:rPr>
        <w:t xml:space="preserve">station </w:t>
      </w:r>
    </w:p>
    <w:p w14:paraId="3B4DB7E2" w14:textId="77777777" w:rsidR="00A71EEF" w:rsidRDefault="00A71EEF">
      <w:pPr>
        <w:pStyle w:val="a3"/>
        <w:spacing w:before="12"/>
        <w:rPr>
          <w:sz w:val="17"/>
        </w:rPr>
      </w:pPr>
    </w:p>
    <w:p w14:paraId="2F942202" w14:textId="77777777" w:rsidR="00A71EEF" w:rsidRDefault="0081115D">
      <w:pPr>
        <w:pStyle w:val="a3"/>
        <w:spacing w:line="446" w:lineRule="auto"/>
        <w:ind w:left="840" w:right="2977" w:hanging="3"/>
      </w:pPr>
      <w:r>
        <w:rPr>
          <w:spacing w:val="-3"/>
        </w:rPr>
        <w:t>有明确辖区，主要承担火灾扑救和一般灾害事故抢险救援任务的消防站。</w:t>
      </w:r>
      <w:r>
        <w:rPr>
          <w:b/>
        </w:rPr>
        <w:t>2.3</w:t>
      </w:r>
      <w:r>
        <w:rPr>
          <w:b/>
          <w:spacing w:val="101"/>
        </w:rPr>
        <w:t xml:space="preserve"> </w:t>
      </w:r>
      <w:r>
        <w:rPr>
          <w:spacing w:val="14"/>
        </w:rPr>
        <w:t>特勤消防站</w:t>
      </w:r>
      <w:r>
        <w:rPr>
          <w:spacing w:val="14"/>
        </w:rPr>
        <w:t xml:space="preserve"> </w:t>
      </w:r>
      <w:r>
        <w:t xml:space="preserve">special mission fire station </w:t>
      </w:r>
    </w:p>
    <w:p w14:paraId="60E97673" w14:textId="77777777" w:rsidR="00A71EEF" w:rsidRDefault="0081115D">
      <w:pPr>
        <w:pStyle w:val="a3"/>
        <w:spacing w:line="446" w:lineRule="auto"/>
        <w:ind w:left="418" w:right="1609" w:firstLine="419"/>
      </w:pPr>
      <w:r>
        <w:t>主要承担特种灾害事故应急救援和特殊火灾扑救任务的消防站，对有明确辖区要求的，同时承担普通消防站任务。</w:t>
      </w:r>
      <w:r>
        <w:t xml:space="preserve"> </w:t>
      </w:r>
    </w:p>
    <w:p w14:paraId="7771FDCE" w14:textId="77777777" w:rsidR="00A71EEF" w:rsidRDefault="0081115D">
      <w:pPr>
        <w:pStyle w:val="a3"/>
        <w:spacing w:line="446" w:lineRule="auto"/>
        <w:ind w:left="838" w:right="5286" w:firstLine="2"/>
        <w:jc w:val="both"/>
      </w:pPr>
      <w:r>
        <w:rPr>
          <w:b/>
        </w:rPr>
        <w:t>2.4</w:t>
      </w:r>
      <w:r>
        <w:rPr>
          <w:b/>
          <w:spacing w:val="101"/>
        </w:rPr>
        <w:t xml:space="preserve"> </w:t>
      </w:r>
      <w:r>
        <w:rPr>
          <w:spacing w:val="-3"/>
        </w:rPr>
        <w:t>消防员备勤室</w:t>
      </w:r>
      <w:r>
        <w:rPr>
          <w:spacing w:val="-3"/>
        </w:rPr>
        <w:t xml:space="preserve">  </w:t>
      </w:r>
      <w:r>
        <w:t>fire</w:t>
      </w:r>
      <w:r>
        <w:rPr>
          <w:spacing w:val="1"/>
        </w:rPr>
        <w:t xml:space="preserve"> </w:t>
      </w:r>
      <w:r>
        <w:t>fighter</w:t>
      </w:r>
      <w:r>
        <w:rPr>
          <w:spacing w:val="-3"/>
        </w:rPr>
        <w:t xml:space="preserve"> </w:t>
      </w:r>
      <w:r>
        <w:t xml:space="preserve">dormitory </w:t>
      </w:r>
      <w:r>
        <w:rPr>
          <w:spacing w:val="-3"/>
        </w:rPr>
        <w:t>供消防员执勤</w:t>
      </w:r>
      <w:r>
        <w:rPr>
          <w:spacing w:val="-3"/>
        </w:rPr>
        <w:t>备战时睡眠、休息或学习的房间。</w:t>
      </w:r>
      <w:r>
        <w:rPr>
          <w:b/>
          <w:spacing w:val="-3"/>
        </w:rPr>
        <w:t>2.5</w:t>
      </w:r>
      <w:r>
        <w:rPr>
          <w:b/>
          <w:spacing w:val="101"/>
        </w:rPr>
        <w:t xml:space="preserve"> </w:t>
      </w:r>
      <w:r>
        <w:rPr>
          <w:spacing w:val="-2"/>
        </w:rPr>
        <w:t>出警通道</w:t>
      </w:r>
      <w:r>
        <w:rPr>
          <w:spacing w:val="-2"/>
        </w:rPr>
        <w:t xml:space="preserve"> </w:t>
      </w:r>
      <w:r>
        <w:t>fire engine</w:t>
      </w:r>
      <w:r>
        <w:rPr>
          <w:spacing w:val="1"/>
        </w:rPr>
        <w:t xml:space="preserve"> </w:t>
      </w:r>
      <w:r>
        <w:t xml:space="preserve">path </w:t>
      </w:r>
    </w:p>
    <w:p w14:paraId="6B22B47B" w14:textId="77777777" w:rsidR="00A71EEF" w:rsidRDefault="0081115D">
      <w:pPr>
        <w:pStyle w:val="a3"/>
        <w:spacing w:line="446" w:lineRule="auto"/>
        <w:ind w:left="840" w:right="3817" w:hanging="3"/>
      </w:pPr>
      <w:r>
        <w:rPr>
          <w:spacing w:val="-3"/>
        </w:rPr>
        <w:t>从消防车库门口至消防站主出入口或城市道路之间的消防车道。</w:t>
      </w:r>
      <w:r>
        <w:rPr>
          <w:b/>
        </w:rPr>
        <w:t>2.6</w:t>
      </w:r>
      <w:r>
        <w:rPr>
          <w:b/>
          <w:spacing w:val="101"/>
        </w:rPr>
        <w:t xml:space="preserve"> </w:t>
      </w:r>
      <w:r>
        <w:rPr>
          <w:spacing w:val="-15"/>
        </w:rPr>
        <w:t>执勤楼</w:t>
      </w:r>
      <w:r>
        <w:rPr>
          <w:spacing w:val="-15"/>
        </w:rPr>
        <w:t xml:space="preserve"> </w:t>
      </w:r>
      <w:r>
        <w:t xml:space="preserve">fire station building </w:t>
      </w:r>
    </w:p>
    <w:p w14:paraId="2D72BB36" w14:textId="77777777" w:rsidR="00A71EEF" w:rsidRDefault="0081115D">
      <w:pPr>
        <w:pStyle w:val="a3"/>
        <w:spacing w:line="446" w:lineRule="auto"/>
        <w:ind w:left="840" w:right="3606" w:hanging="3"/>
      </w:pPr>
      <w:r>
        <w:rPr>
          <w:spacing w:val="-3"/>
        </w:rPr>
        <w:t>容纳相关业务用房和辅助用房便于消防员值班和备战的建筑场所。</w:t>
      </w:r>
      <w:r>
        <w:rPr>
          <w:b/>
        </w:rPr>
        <w:t>2.7</w:t>
      </w:r>
      <w:r>
        <w:rPr>
          <w:b/>
          <w:spacing w:val="101"/>
        </w:rPr>
        <w:t xml:space="preserve"> </w:t>
      </w:r>
      <w:r>
        <w:rPr>
          <w:spacing w:val="-15"/>
        </w:rPr>
        <w:t>训练塔</w:t>
      </w:r>
      <w:r>
        <w:rPr>
          <w:spacing w:val="-15"/>
        </w:rPr>
        <w:t xml:space="preserve"> </w:t>
      </w:r>
      <w:r>
        <w:t xml:space="preserve">training tower </w:t>
      </w:r>
    </w:p>
    <w:p w14:paraId="2584C915" w14:textId="77777777" w:rsidR="00A71EEF" w:rsidRDefault="0081115D">
      <w:pPr>
        <w:pStyle w:val="a3"/>
        <w:spacing w:line="446" w:lineRule="auto"/>
        <w:ind w:left="840" w:right="2977" w:hanging="3"/>
        <w:rPr>
          <w:b/>
        </w:rPr>
      </w:pPr>
      <w:r>
        <w:rPr>
          <w:spacing w:val="-3"/>
        </w:rPr>
        <w:t>供消防员进行身体素质、登高技巧和高楼灭火救生等训练的塔式构筑物。</w:t>
      </w:r>
      <w:r>
        <w:rPr>
          <w:b/>
        </w:rPr>
        <w:t>2.8</w:t>
      </w:r>
      <w:r>
        <w:rPr>
          <w:b/>
          <w:spacing w:val="53"/>
        </w:rPr>
        <w:t xml:space="preserve"> </w:t>
      </w:r>
      <w:r>
        <w:rPr>
          <w:spacing w:val="-2"/>
        </w:rPr>
        <w:t>滑</w:t>
      </w:r>
      <w:r>
        <w:rPr>
          <w:spacing w:val="-2"/>
        </w:rPr>
        <w:t xml:space="preserve"> </w:t>
      </w:r>
      <w:r>
        <w:rPr>
          <w:spacing w:val="-2"/>
        </w:rPr>
        <w:t>杆</w:t>
      </w:r>
      <w:r>
        <w:rPr>
          <w:spacing w:val="-2"/>
        </w:rPr>
        <w:t xml:space="preserve"> </w:t>
      </w:r>
      <w:r>
        <w:t>fire station sliding pole</w:t>
      </w:r>
      <w:r>
        <w:rPr>
          <w:b/>
          <w:w w:val="99"/>
        </w:rPr>
        <w:t xml:space="preserve"> </w:t>
      </w:r>
    </w:p>
    <w:p w14:paraId="7222E286" w14:textId="77777777" w:rsidR="00A71EEF" w:rsidRDefault="0081115D">
      <w:pPr>
        <w:pStyle w:val="a3"/>
        <w:ind w:left="838"/>
      </w:pPr>
      <w:r>
        <w:t>供消防员从高处直接滑降到指定部位方便快速出动的圆柱形杆状物。</w:t>
      </w:r>
      <w:r>
        <w:t xml:space="preserve"> </w:t>
      </w:r>
    </w:p>
    <w:p w14:paraId="3F591BDA" w14:textId="77777777" w:rsidR="00A71EEF" w:rsidRDefault="00A71EEF">
      <w:pPr>
        <w:pStyle w:val="a3"/>
        <w:spacing w:before="5"/>
        <w:rPr>
          <w:sz w:val="15"/>
        </w:rPr>
      </w:pPr>
    </w:p>
    <w:p w14:paraId="588E46B2" w14:textId="77777777" w:rsidR="00A71EEF" w:rsidRDefault="0081115D">
      <w:pPr>
        <w:pStyle w:val="4"/>
      </w:pPr>
      <w:r>
        <w:t xml:space="preserve">3 </w:t>
      </w:r>
      <w:r>
        <w:t>造址和总平面设计</w:t>
      </w:r>
      <w:r>
        <w:rPr>
          <w:w w:val="99"/>
        </w:rPr>
        <w:t xml:space="preserve"> </w:t>
      </w:r>
    </w:p>
    <w:p w14:paraId="653B05F6" w14:textId="77777777" w:rsidR="00A71EEF" w:rsidRDefault="00A71EEF">
      <w:pPr>
        <w:sectPr w:rsidR="00A71EEF">
          <w:pgSz w:w="11910" w:h="16850"/>
          <w:pgMar w:top="1140" w:right="0" w:bottom="1420" w:left="1260" w:header="0" w:footer="1189" w:gutter="0"/>
          <w:cols w:space="720"/>
        </w:sectPr>
      </w:pPr>
    </w:p>
    <w:p w14:paraId="24608C67" w14:textId="77777777" w:rsidR="00A71EEF" w:rsidRDefault="0081115D">
      <w:pPr>
        <w:pStyle w:val="a4"/>
        <w:numPr>
          <w:ilvl w:val="1"/>
          <w:numId w:val="203"/>
        </w:numPr>
        <w:tabs>
          <w:tab w:val="left" w:pos="1160"/>
        </w:tabs>
        <w:spacing w:before="47" w:line="446" w:lineRule="auto"/>
        <w:ind w:right="1604" w:firstLine="422"/>
        <w:jc w:val="both"/>
        <w:rPr>
          <w:sz w:val="21"/>
        </w:rPr>
      </w:pPr>
      <w:r>
        <w:rPr>
          <w:spacing w:val="-3"/>
          <w:sz w:val="21"/>
        </w:rPr>
        <w:t>消防站的执勤车辆主出入口应设在便于车辆迅速出动的部位，且距医院、学校、幼儿园、托儿所、影剧院、商场、体育场馆、展览馆等人员密集场所的公共建筑的主要疏散出口和</w:t>
      </w:r>
      <w:r>
        <w:rPr>
          <w:spacing w:val="-9"/>
          <w:sz w:val="21"/>
        </w:rPr>
        <w:t>公交站台不应小于</w:t>
      </w:r>
      <w:r>
        <w:rPr>
          <w:spacing w:val="-9"/>
          <w:sz w:val="21"/>
        </w:rPr>
        <w:t xml:space="preserve"> </w:t>
      </w:r>
      <w:r>
        <w:rPr>
          <w:sz w:val="21"/>
        </w:rPr>
        <w:t>50m</w:t>
      </w:r>
      <w:r>
        <w:rPr>
          <w:sz w:val="21"/>
        </w:rPr>
        <w:t>。</w:t>
      </w:r>
      <w:r>
        <w:rPr>
          <w:sz w:val="21"/>
        </w:rPr>
        <w:t xml:space="preserve"> </w:t>
      </w:r>
    </w:p>
    <w:p w14:paraId="26F723AF" w14:textId="77777777" w:rsidR="00A71EEF" w:rsidRDefault="0081115D">
      <w:pPr>
        <w:pStyle w:val="a4"/>
        <w:numPr>
          <w:ilvl w:val="1"/>
          <w:numId w:val="203"/>
        </w:numPr>
        <w:tabs>
          <w:tab w:val="left" w:pos="1160"/>
        </w:tabs>
        <w:spacing w:line="268" w:lineRule="exact"/>
        <w:ind w:left="1159"/>
        <w:jc w:val="both"/>
        <w:rPr>
          <w:sz w:val="21"/>
        </w:rPr>
      </w:pPr>
      <w:r>
        <w:rPr>
          <w:spacing w:val="-5"/>
          <w:sz w:val="21"/>
        </w:rPr>
        <w:t>消防站与加油站、加气站等易燃易爆危险场所的距离不应小于</w:t>
      </w:r>
      <w:r>
        <w:rPr>
          <w:spacing w:val="-5"/>
          <w:sz w:val="21"/>
        </w:rPr>
        <w:t xml:space="preserve"> </w:t>
      </w:r>
      <w:r>
        <w:rPr>
          <w:sz w:val="21"/>
        </w:rPr>
        <w:t>50m</w:t>
      </w:r>
      <w:r>
        <w:rPr>
          <w:spacing w:val="-3"/>
          <w:sz w:val="21"/>
        </w:rPr>
        <w:t>。</w:t>
      </w:r>
      <w:r>
        <w:rPr>
          <w:sz w:val="21"/>
        </w:rPr>
        <w:t xml:space="preserve"> </w:t>
      </w:r>
    </w:p>
    <w:p w14:paraId="7220C95D" w14:textId="77777777" w:rsidR="00A71EEF" w:rsidRDefault="00A71EEF">
      <w:pPr>
        <w:pStyle w:val="a3"/>
        <w:rPr>
          <w:sz w:val="18"/>
        </w:rPr>
      </w:pPr>
    </w:p>
    <w:p w14:paraId="6ED9D7FD" w14:textId="77777777" w:rsidR="00A71EEF" w:rsidRDefault="0081115D">
      <w:pPr>
        <w:pStyle w:val="a4"/>
        <w:numPr>
          <w:ilvl w:val="1"/>
          <w:numId w:val="203"/>
        </w:numPr>
        <w:tabs>
          <w:tab w:val="left" w:pos="1160"/>
        </w:tabs>
        <w:spacing w:line="446" w:lineRule="auto"/>
        <w:ind w:right="1501" w:firstLine="422"/>
        <w:jc w:val="both"/>
        <w:rPr>
          <w:sz w:val="21"/>
        </w:rPr>
      </w:pPr>
      <w:r>
        <w:rPr>
          <w:spacing w:val="-3"/>
          <w:sz w:val="21"/>
        </w:rPr>
        <w:t>辖区内有生产、贮存危险化学品单位的，消防站应设置在常年主导风向的上风或侧风处</w:t>
      </w:r>
      <w:r>
        <w:rPr>
          <w:spacing w:val="-5"/>
          <w:sz w:val="21"/>
        </w:rPr>
        <w:t>，其边界距生产、贮存危险化学品的危险部位不宜小于</w:t>
      </w:r>
      <w:r>
        <w:rPr>
          <w:spacing w:val="-5"/>
          <w:sz w:val="21"/>
        </w:rPr>
        <w:t xml:space="preserve"> </w:t>
      </w:r>
      <w:r>
        <w:rPr>
          <w:sz w:val="21"/>
        </w:rPr>
        <w:t>20</w:t>
      </w:r>
      <w:r>
        <w:rPr>
          <w:sz w:val="21"/>
        </w:rPr>
        <w:t>0m</w:t>
      </w:r>
      <w:r>
        <w:rPr>
          <w:spacing w:val="-3"/>
          <w:sz w:val="21"/>
        </w:rPr>
        <w:t>。</w:t>
      </w:r>
      <w:r>
        <w:rPr>
          <w:sz w:val="21"/>
        </w:rPr>
        <w:t xml:space="preserve"> </w:t>
      </w:r>
    </w:p>
    <w:p w14:paraId="363FF1A2" w14:textId="77777777" w:rsidR="00A71EEF" w:rsidRDefault="0081115D">
      <w:pPr>
        <w:pStyle w:val="a4"/>
        <w:numPr>
          <w:ilvl w:val="1"/>
          <w:numId w:val="203"/>
        </w:numPr>
        <w:tabs>
          <w:tab w:val="left" w:pos="1160"/>
        </w:tabs>
        <w:ind w:left="1159"/>
        <w:jc w:val="both"/>
        <w:rPr>
          <w:sz w:val="21"/>
        </w:rPr>
      </w:pPr>
      <w:r>
        <w:rPr>
          <w:spacing w:val="-5"/>
          <w:sz w:val="21"/>
        </w:rPr>
        <w:t>消防站车库门直接临街的应朝向城市道路，且应后退道路红线不小于</w:t>
      </w:r>
      <w:r>
        <w:rPr>
          <w:spacing w:val="-5"/>
          <w:sz w:val="21"/>
        </w:rPr>
        <w:t xml:space="preserve"> </w:t>
      </w:r>
      <w:r>
        <w:rPr>
          <w:sz w:val="21"/>
        </w:rPr>
        <w:t>15m</w:t>
      </w:r>
      <w:r>
        <w:rPr>
          <w:spacing w:val="-3"/>
          <w:sz w:val="21"/>
        </w:rPr>
        <w:t>。</w:t>
      </w:r>
      <w:r>
        <w:rPr>
          <w:sz w:val="21"/>
        </w:rPr>
        <w:t xml:space="preserve"> </w:t>
      </w:r>
    </w:p>
    <w:p w14:paraId="4E259CE8" w14:textId="77777777" w:rsidR="00A71EEF" w:rsidRDefault="00A71EEF">
      <w:pPr>
        <w:pStyle w:val="a3"/>
        <w:rPr>
          <w:sz w:val="18"/>
        </w:rPr>
      </w:pPr>
    </w:p>
    <w:p w14:paraId="14014DF2" w14:textId="77777777" w:rsidR="00A71EEF" w:rsidRDefault="0081115D">
      <w:pPr>
        <w:pStyle w:val="a4"/>
        <w:numPr>
          <w:ilvl w:val="1"/>
          <w:numId w:val="203"/>
        </w:numPr>
        <w:tabs>
          <w:tab w:val="left" w:pos="1160"/>
        </w:tabs>
        <w:spacing w:line="446" w:lineRule="auto"/>
        <w:ind w:right="1501" w:firstLine="422"/>
        <w:jc w:val="both"/>
        <w:rPr>
          <w:sz w:val="21"/>
        </w:rPr>
      </w:pPr>
      <w:r>
        <w:rPr>
          <w:spacing w:val="-3"/>
          <w:sz w:val="21"/>
        </w:rPr>
        <w:t>消防站车库门在消防站院内时，消防站主出人口与城市道路的距离应满足大型消防车辆出动时的转弯半径要求。</w:t>
      </w:r>
      <w:r>
        <w:rPr>
          <w:spacing w:val="-3"/>
          <w:sz w:val="21"/>
        </w:rPr>
        <w:t xml:space="preserve"> </w:t>
      </w:r>
    </w:p>
    <w:p w14:paraId="1117F257" w14:textId="77777777" w:rsidR="00A71EEF" w:rsidRDefault="0081115D">
      <w:pPr>
        <w:pStyle w:val="a4"/>
        <w:numPr>
          <w:ilvl w:val="1"/>
          <w:numId w:val="203"/>
        </w:numPr>
        <w:tabs>
          <w:tab w:val="left" w:pos="1160"/>
        </w:tabs>
        <w:ind w:left="1159"/>
        <w:jc w:val="both"/>
        <w:rPr>
          <w:sz w:val="21"/>
        </w:rPr>
      </w:pPr>
      <w:r>
        <w:rPr>
          <w:spacing w:val="-3"/>
          <w:sz w:val="21"/>
        </w:rPr>
        <w:t>消防车出警通道不应为上坡。</w:t>
      </w:r>
      <w:r>
        <w:rPr>
          <w:sz w:val="21"/>
        </w:rPr>
        <w:t xml:space="preserve"> </w:t>
      </w:r>
    </w:p>
    <w:p w14:paraId="5EB8BAA3" w14:textId="77777777" w:rsidR="00A71EEF" w:rsidRDefault="00A71EEF">
      <w:pPr>
        <w:pStyle w:val="a3"/>
        <w:spacing w:before="12"/>
        <w:rPr>
          <w:sz w:val="17"/>
        </w:rPr>
      </w:pPr>
    </w:p>
    <w:p w14:paraId="6FDCE08B" w14:textId="77777777" w:rsidR="00A71EEF" w:rsidRDefault="0081115D">
      <w:pPr>
        <w:pStyle w:val="a4"/>
        <w:numPr>
          <w:ilvl w:val="1"/>
          <w:numId w:val="203"/>
        </w:numPr>
        <w:tabs>
          <w:tab w:val="left" w:pos="1160"/>
        </w:tabs>
        <w:ind w:left="1159"/>
        <w:rPr>
          <w:sz w:val="21"/>
        </w:rPr>
      </w:pPr>
      <w:r>
        <w:rPr>
          <w:spacing w:val="-3"/>
          <w:sz w:val="21"/>
        </w:rPr>
        <w:t>消防车主出入口处的城市道路两侧宜设置可控交通信号灯、标志标线或隔离设施等，</w:t>
      </w:r>
    </w:p>
    <w:p w14:paraId="079F32D4" w14:textId="77777777" w:rsidR="00A71EEF" w:rsidRDefault="00A71EEF">
      <w:pPr>
        <w:pStyle w:val="a3"/>
        <w:spacing w:before="12"/>
        <w:rPr>
          <w:sz w:val="17"/>
        </w:rPr>
      </w:pPr>
    </w:p>
    <w:p w14:paraId="016DAC16" w14:textId="77777777" w:rsidR="00A71EEF" w:rsidRDefault="0081115D">
      <w:pPr>
        <w:pStyle w:val="a3"/>
        <w:ind w:left="418"/>
      </w:pPr>
      <w:r>
        <w:t xml:space="preserve">30m </w:t>
      </w:r>
      <w:r>
        <w:t>以内的路段应设置禁止停车标志。</w:t>
      </w:r>
      <w:r>
        <w:t xml:space="preserve"> </w:t>
      </w:r>
    </w:p>
    <w:p w14:paraId="676F7CE4" w14:textId="77777777" w:rsidR="00A71EEF" w:rsidRDefault="00A71EEF">
      <w:pPr>
        <w:pStyle w:val="a3"/>
        <w:spacing w:before="2"/>
        <w:rPr>
          <w:sz w:val="18"/>
        </w:rPr>
      </w:pPr>
    </w:p>
    <w:p w14:paraId="3B1719CF" w14:textId="77777777" w:rsidR="00A71EEF" w:rsidRDefault="0081115D">
      <w:pPr>
        <w:pStyle w:val="a4"/>
        <w:numPr>
          <w:ilvl w:val="1"/>
          <w:numId w:val="203"/>
        </w:numPr>
        <w:tabs>
          <w:tab w:val="left" w:pos="1160"/>
        </w:tabs>
        <w:spacing w:line="446" w:lineRule="auto"/>
        <w:ind w:right="1604" w:firstLine="422"/>
        <w:rPr>
          <w:sz w:val="21"/>
        </w:rPr>
      </w:pPr>
      <w:r>
        <w:rPr>
          <w:spacing w:val="-3"/>
          <w:sz w:val="21"/>
        </w:rPr>
        <w:t>消防站内应设置业务用房、业务附属用房、辅助用房、训练场地与车道、训练设施、给水排水设施以及其他必要的建</w:t>
      </w:r>
      <w:r>
        <w:rPr>
          <w:sz w:val="21"/>
        </w:rPr>
        <w:t>（</w:t>
      </w:r>
      <w:r>
        <w:rPr>
          <w:spacing w:val="-3"/>
          <w:sz w:val="21"/>
        </w:rPr>
        <w:t>构</w:t>
      </w:r>
      <w:r>
        <w:rPr>
          <w:sz w:val="21"/>
        </w:rPr>
        <w:t>）</w:t>
      </w:r>
      <w:r>
        <w:rPr>
          <w:spacing w:val="-3"/>
          <w:sz w:val="21"/>
        </w:rPr>
        <w:t>筑物，并应合理布局。</w:t>
      </w:r>
      <w:r>
        <w:rPr>
          <w:sz w:val="21"/>
        </w:rPr>
        <w:t xml:space="preserve"> </w:t>
      </w:r>
    </w:p>
    <w:p w14:paraId="0045FD7C" w14:textId="77777777" w:rsidR="00A71EEF" w:rsidRDefault="0081115D">
      <w:pPr>
        <w:pStyle w:val="a4"/>
        <w:numPr>
          <w:ilvl w:val="1"/>
          <w:numId w:val="203"/>
        </w:numPr>
        <w:tabs>
          <w:tab w:val="left" w:pos="1160"/>
        </w:tabs>
        <w:spacing w:line="267" w:lineRule="exact"/>
        <w:ind w:left="1159"/>
        <w:rPr>
          <w:sz w:val="21"/>
        </w:rPr>
      </w:pPr>
      <w:r>
        <w:rPr>
          <w:spacing w:val="-8"/>
          <w:sz w:val="21"/>
        </w:rPr>
        <w:t>消防站备勤室不应设在</w:t>
      </w:r>
      <w:r>
        <w:rPr>
          <w:spacing w:val="-8"/>
          <w:sz w:val="21"/>
        </w:rPr>
        <w:t xml:space="preserve"> </w:t>
      </w:r>
      <w:r>
        <w:rPr>
          <w:sz w:val="21"/>
        </w:rPr>
        <w:t>3</w:t>
      </w:r>
      <w:r>
        <w:rPr>
          <w:spacing w:val="-28"/>
          <w:sz w:val="21"/>
        </w:rPr>
        <w:t xml:space="preserve"> </w:t>
      </w:r>
      <w:r>
        <w:rPr>
          <w:spacing w:val="-28"/>
          <w:sz w:val="21"/>
        </w:rPr>
        <w:t>层或</w:t>
      </w:r>
      <w:r>
        <w:rPr>
          <w:spacing w:val="-28"/>
          <w:sz w:val="21"/>
        </w:rPr>
        <w:t xml:space="preserve"> </w:t>
      </w:r>
      <w:r>
        <w:rPr>
          <w:sz w:val="21"/>
        </w:rPr>
        <w:t>3</w:t>
      </w:r>
      <w:r>
        <w:rPr>
          <w:spacing w:val="-16"/>
          <w:sz w:val="21"/>
        </w:rPr>
        <w:t xml:space="preserve"> </w:t>
      </w:r>
      <w:r>
        <w:rPr>
          <w:spacing w:val="-16"/>
          <w:sz w:val="21"/>
        </w:rPr>
        <w:t>层以上</w:t>
      </w:r>
      <w:r>
        <w:rPr>
          <w:b/>
          <w:sz w:val="21"/>
        </w:rPr>
        <w:t>。</w:t>
      </w:r>
      <w:r>
        <w:rPr>
          <w:sz w:val="21"/>
        </w:rPr>
        <w:t xml:space="preserve"> </w:t>
      </w:r>
    </w:p>
    <w:p w14:paraId="181A2503" w14:textId="77777777" w:rsidR="00A71EEF" w:rsidRDefault="00A71EEF">
      <w:pPr>
        <w:pStyle w:val="a3"/>
        <w:spacing w:before="2"/>
        <w:rPr>
          <w:sz w:val="18"/>
        </w:rPr>
      </w:pPr>
    </w:p>
    <w:p w14:paraId="3E0AA8F3" w14:textId="77777777" w:rsidR="00A71EEF" w:rsidRDefault="0081115D">
      <w:pPr>
        <w:pStyle w:val="a4"/>
        <w:numPr>
          <w:ilvl w:val="1"/>
          <w:numId w:val="203"/>
        </w:numPr>
        <w:tabs>
          <w:tab w:val="left" w:pos="1266"/>
        </w:tabs>
        <w:ind w:left="1265" w:hanging="426"/>
        <w:rPr>
          <w:sz w:val="21"/>
        </w:rPr>
      </w:pPr>
      <w:r>
        <w:rPr>
          <w:spacing w:val="-3"/>
          <w:sz w:val="21"/>
        </w:rPr>
        <w:t>有条件的消防站，可将执勤楼、训练区、坐活区分区设计。</w:t>
      </w:r>
      <w:r>
        <w:rPr>
          <w:sz w:val="21"/>
        </w:rPr>
        <w:t xml:space="preserve"> </w:t>
      </w:r>
    </w:p>
    <w:p w14:paraId="3A0057B6" w14:textId="77777777" w:rsidR="00A71EEF" w:rsidRDefault="00A71EEF">
      <w:pPr>
        <w:pStyle w:val="a3"/>
        <w:spacing w:before="12"/>
        <w:rPr>
          <w:sz w:val="17"/>
        </w:rPr>
      </w:pPr>
    </w:p>
    <w:p w14:paraId="3A31C094" w14:textId="77777777" w:rsidR="00A71EEF" w:rsidRDefault="0081115D">
      <w:pPr>
        <w:pStyle w:val="a4"/>
        <w:numPr>
          <w:ilvl w:val="1"/>
          <w:numId w:val="203"/>
        </w:numPr>
        <w:tabs>
          <w:tab w:val="left" w:pos="1266"/>
        </w:tabs>
        <w:spacing w:line="446" w:lineRule="auto"/>
        <w:ind w:right="1813" w:firstLine="422"/>
        <w:rPr>
          <w:sz w:val="21"/>
        </w:rPr>
      </w:pPr>
      <w:r>
        <w:rPr>
          <w:spacing w:val="-2"/>
          <w:sz w:val="21"/>
        </w:rPr>
        <w:t>消防支</w:t>
      </w:r>
      <w:r>
        <w:rPr>
          <w:spacing w:val="-3"/>
          <w:sz w:val="21"/>
        </w:rPr>
        <w:t>（</w:t>
      </w:r>
      <w:r>
        <w:rPr>
          <w:sz w:val="21"/>
        </w:rPr>
        <w:t>大</w:t>
      </w:r>
      <w:r>
        <w:rPr>
          <w:spacing w:val="-3"/>
          <w:sz w:val="21"/>
        </w:rPr>
        <w:t>）队与消防中队集中布置时，两者宜相对独立布置，或采用两栋楼并列，以连廊的形式连接。两部分宜分别设置出入口。</w:t>
      </w:r>
      <w:r>
        <w:rPr>
          <w:spacing w:val="-3"/>
          <w:sz w:val="21"/>
        </w:rPr>
        <w:t xml:space="preserve"> </w:t>
      </w:r>
    </w:p>
    <w:p w14:paraId="21B5B0FA" w14:textId="77777777" w:rsidR="00A71EEF" w:rsidRDefault="0081115D">
      <w:pPr>
        <w:pStyle w:val="a4"/>
        <w:numPr>
          <w:ilvl w:val="1"/>
          <w:numId w:val="203"/>
        </w:numPr>
        <w:tabs>
          <w:tab w:val="left" w:pos="1266"/>
        </w:tabs>
        <w:spacing w:line="446" w:lineRule="auto"/>
        <w:ind w:right="1707" w:firstLine="422"/>
        <w:rPr>
          <w:sz w:val="21"/>
        </w:rPr>
      </w:pPr>
      <w:r>
        <w:rPr>
          <w:spacing w:val="-3"/>
          <w:sz w:val="21"/>
        </w:rPr>
        <w:t>消防站不宜设在综合性建筑物中。当必须设在综合性建筑物中时，消防站应自成一区，并应有专用出入口。</w:t>
      </w:r>
      <w:r>
        <w:rPr>
          <w:sz w:val="21"/>
        </w:rPr>
        <w:t xml:space="preserve"> </w:t>
      </w:r>
    </w:p>
    <w:p w14:paraId="52533E09" w14:textId="77777777" w:rsidR="00A71EEF" w:rsidRDefault="0081115D">
      <w:pPr>
        <w:pStyle w:val="a4"/>
        <w:numPr>
          <w:ilvl w:val="1"/>
          <w:numId w:val="203"/>
        </w:numPr>
        <w:tabs>
          <w:tab w:val="left" w:pos="1266"/>
        </w:tabs>
        <w:spacing w:line="444" w:lineRule="auto"/>
        <w:ind w:right="1604" w:firstLine="422"/>
        <w:jc w:val="both"/>
        <w:rPr>
          <w:sz w:val="21"/>
        </w:rPr>
      </w:pPr>
      <w:r>
        <w:rPr>
          <w:spacing w:val="-3"/>
          <w:sz w:val="21"/>
        </w:rPr>
        <w:t>消防站内应设置室外训练场地，场地内设施宜包括：业务训练设施、体能训练设施和心理训练设施。业务训练设施宜包括：训练塔、模拟训练场等；体能训练设施宜包括：篮球场、训练跑道等。应根据场地特点合理布置模拟训练场、心理素质训练场、训练塔等设施。室外</w:t>
      </w:r>
      <w:r>
        <w:rPr>
          <w:spacing w:val="-8"/>
          <w:sz w:val="21"/>
        </w:rPr>
        <w:t>训练场面积宜符合表</w:t>
      </w:r>
      <w:r>
        <w:rPr>
          <w:spacing w:val="-8"/>
          <w:sz w:val="21"/>
        </w:rPr>
        <w:t xml:space="preserve"> </w:t>
      </w:r>
      <w:r>
        <w:rPr>
          <w:sz w:val="21"/>
        </w:rPr>
        <w:t>3.0.13</w:t>
      </w:r>
      <w:r>
        <w:rPr>
          <w:spacing w:val="-14"/>
          <w:sz w:val="21"/>
        </w:rPr>
        <w:t xml:space="preserve"> </w:t>
      </w:r>
      <w:r>
        <w:rPr>
          <w:spacing w:val="-14"/>
          <w:sz w:val="21"/>
        </w:rPr>
        <w:t>的规定，且不得小于</w:t>
      </w:r>
      <w:r>
        <w:rPr>
          <w:spacing w:val="-14"/>
          <w:sz w:val="21"/>
        </w:rPr>
        <w:t xml:space="preserve"> </w:t>
      </w:r>
      <w:r>
        <w:rPr>
          <w:sz w:val="21"/>
        </w:rPr>
        <w:t>1000m</w:t>
      </w:r>
      <w:r>
        <w:rPr>
          <w:position w:val="11"/>
          <w:sz w:val="11"/>
        </w:rPr>
        <w:t>2</w:t>
      </w:r>
      <w:r>
        <w:rPr>
          <w:spacing w:val="-3"/>
          <w:sz w:val="21"/>
        </w:rPr>
        <w:t>。</w:t>
      </w:r>
      <w:r>
        <w:rPr>
          <w:sz w:val="21"/>
        </w:rPr>
        <w:t xml:space="preserve"> </w:t>
      </w:r>
    </w:p>
    <w:p w14:paraId="5E7FC997" w14:textId="77777777" w:rsidR="00A71EEF" w:rsidRDefault="0081115D">
      <w:pPr>
        <w:pStyle w:val="6"/>
        <w:ind w:left="3915"/>
        <w:jc w:val="both"/>
        <w:rPr>
          <w:b w:val="0"/>
        </w:rPr>
      </w:pPr>
      <w:r>
        <w:t>表</w:t>
      </w:r>
      <w:r>
        <w:t xml:space="preserve"> 3.0.13 </w:t>
      </w:r>
      <w:r>
        <w:t>训练场地面积</w:t>
      </w:r>
      <w:r>
        <w:rPr>
          <w:b w:val="0"/>
        </w:rPr>
        <w:t xml:space="preserve"> </w:t>
      </w:r>
    </w:p>
    <w:p w14:paraId="67659C64" w14:textId="77777777" w:rsidR="00A71EEF" w:rsidRDefault="0081115D">
      <w:pPr>
        <w:pStyle w:val="a3"/>
        <w:spacing w:before="8"/>
        <w:rPr>
          <w:sz w:val="19"/>
        </w:rPr>
      </w:pPr>
      <w:r>
        <w:rPr>
          <w:noProof/>
        </w:rPr>
        <w:drawing>
          <wp:anchor distT="0" distB="0" distL="0" distR="0" simplePos="0" relativeHeight="251682304" behindDoc="0" locked="0" layoutInCell="1" allowOverlap="1" wp14:anchorId="61308072" wp14:editId="1CBC83A3">
            <wp:simplePos x="0" y="0"/>
            <wp:positionH relativeFrom="page">
              <wp:posOffset>1468119</wp:posOffset>
            </wp:positionH>
            <wp:positionV relativeFrom="paragraph">
              <wp:posOffset>184689</wp:posOffset>
            </wp:positionV>
            <wp:extent cx="4283955" cy="822960"/>
            <wp:effectExtent l="0" t="0" r="0" b="0"/>
            <wp:wrapTopAndBottom/>
            <wp:docPr id="613" name="image3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image355.jpeg"/>
                    <pic:cNvPicPr/>
                  </pic:nvPicPr>
                  <pic:blipFill>
                    <a:blip r:embed="rId423" cstate="print"/>
                    <a:stretch>
                      <a:fillRect/>
                    </a:stretch>
                  </pic:blipFill>
                  <pic:spPr>
                    <a:xfrm>
                      <a:off x="0" y="0"/>
                      <a:ext cx="4283955" cy="822960"/>
                    </a:xfrm>
                    <a:prstGeom prst="rect">
                      <a:avLst/>
                    </a:prstGeom>
                  </pic:spPr>
                </pic:pic>
              </a:graphicData>
            </a:graphic>
          </wp:anchor>
        </w:drawing>
      </w:r>
    </w:p>
    <w:p w14:paraId="402D8FCE" w14:textId="77777777" w:rsidR="00A71EEF" w:rsidRDefault="00A71EEF">
      <w:pPr>
        <w:rPr>
          <w:sz w:val="19"/>
        </w:rPr>
        <w:sectPr w:rsidR="00A71EEF">
          <w:pgSz w:w="11910" w:h="16850"/>
          <w:pgMar w:top="1220" w:right="0" w:bottom="1420" w:left="1260" w:header="0" w:footer="1189" w:gutter="0"/>
          <w:cols w:space="720"/>
        </w:sectPr>
      </w:pPr>
    </w:p>
    <w:p w14:paraId="2EF2A5C2" w14:textId="77777777" w:rsidR="00A71EEF" w:rsidRDefault="0081115D">
      <w:pPr>
        <w:pStyle w:val="a3"/>
        <w:spacing w:before="47"/>
        <w:ind w:left="838"/>
      </w:pPr>
      <w:r>
        <w:t>注：</w:t>
      </w:r>
      <w:r>
        <w:t>1.</w:t>
      </w:r>
      <w:r>
        <w:t>有条件的消防站，应没置</w:t>
      </w:r>
      <w:r>
        <w:t>宽度大于或等于</w:t>
      </w:r>
      <w:r>
        <w:t xml:space="preserve"> 15m</w:t>
      </w:r>
      <w:r>
        <w:t>、长度宜为</w:t>
      </w:r>
      <w:r>
        <w:t xml:space="preserve"> 150m </w:t>
      </w:r>
      <w:r>
        <w:t>的训练场地。</w:t>
      </w:r>
      <w:r>
        <w:t xml:space="preserve"> </w:t>
      </w:r>
    </w:p>
    <w:p w14:paraId="2DCDC7BD" w14:textId="77777777" w:rsidR="00A71EEF" w:rsidRDefault="00A71EEF">
      <w:pPr>
        <w:pStyle w:val="a3"/>
        <w:rPr>
          <w:sz w:val="18"/>
        </w:rPr>
      </w:pPr>
    </w:p>
    <w:p w14:paraId="4A746358" w14:textId="77777777" w:rsidR="00A71EEF" w:rsidRDefault="0081115D">
      <w:pPr>
        <w:pStyle w:val="a3"/>
        <w:spacing w:line="446" w:lineRule="auto"/>
        <w:ind w:left="418" w:right="1505" w:firstLine="419"/>
      </w:pPr>
      <w:r>
        <w:t>2.</w:t>
      </w:r>
      <w:r>
        <w:rPr>
          <w:spacing w:val="-10"/>
        </w:rPr>
        <w:t>在执行表</w:t>
      </w:r>
      <w:r>
        <w:rPr>
          <w:spacing w:val="-10"/>
        </w:rPr>
        <w:t xml:space="preserve"> </w:t>
      </w:r>
      <w:r>
        <w:t>3.0.13</w:t>
      </w:r>
      <w:r>
        <w:rPr>
          <w:spacing w:val="-8"/>
        </w:rPr>
        <w:t xml:space="preserve"> </w:t>
      </w:r>
      <w:r>
        <w:rPr>
          <w:spacing w:val="-8"/>
        </w:rPr>
        <w:t>的规定确有困难时，其面积可适当减小。并应根据需要在若干此类消防站的适中地点设置宽度大于或等于</w:t>
      </w:r>
      <w:r>
        <w:rPr>
          <w:spacing w:val="-8"/>
        </w:rPr>
        <w:t xml:space="preserve"> </w:t>
      </w:r>
      <w:r>
        <w:t>15m</w:t>
      </w:r>
      <w:r>
        <w:rPr>
          <w:spacing w:val="-12"/>
        </w:rPr>
        <w:t>、长度宜为</w:t>
      </w:r>
      <w:r>
        <w:rPr>
          <w:spacing w:val="-12"/>
        </w:rPr>
        <w:t xml:space="preserve"> </w:t>
      </w:r>
      <w:r>
        <w:t>150m</w:t>
      </w:r>
      <w:r>
        <w:rPr>
          <w:spacing w:val="-9"/>
        </w:rPr>
        <w:t xml:space="preserve"> </w:t>
      </w:r>
      <w:r>
        <w:rPr>
          <w:spacing w:val="-9"/>
        </w:rPr>
        <w:t>训练场地的消防站。</w:t>
      </w:r>
      <w:r>
        <w:t xml:space="preserve"> </w:t>
      </w:r>
    </w:p>
    <w:p w14:paraId="6E13FDF5" w14:textId="77777777" w:rsidR="00A71EEF" w:rsidRDefault="0081115D">
      <w:pPr>
        <w:pStyle w:val="a4"/>
        <w:numPr>
          <w:ilvl w:val="1"/>
          <w:numId w:val="203"/>
        </w:numPr>
        <w:tabs>
          <w:tab w:val="left" w:pos="1266"/>
        </w:tabs>
        <w:ind w:left="1265" w:hanging="426"/>
        <w:rPr>
          <w:sz w:val="21"/>
        </w:rPr>
      </w:pPr>
      <w:r>
        <w:rPr>
          <w:spacing w:val="-3"/>
          <w:sz w:val="21"/>
        </w:rPr>
        <w:t>消防站内应合理设置消防车道和绿化用地。</w:t>
      </w:r>
      <w:r>
        <w:rPr>
          <w:sz w:val="21"/>
        </w:rPr>
        <w:t xml:space="preserve"> </w:t>
      </w:r>
    </w:p>
    <w:p w14:paraId="10029BCA" w14:textId="77777777" w:rsidR="00A71EEF" w:rsidRDefault="00A71EEF">
      <w:pPr>
        <w:pStyle w:val="a3"/>
        <w:spacing w:before="12"/>
        <w:rPr>
          <w:sz w:val="17"/>
        </w:rPr>
      </w:pPr>
    </w:p>
    <w:p w14:paraId="4F1F4A8E" w14:textId="77777777" w:rsidR="00A71EEF" w:rsidRDefault="0081115D">
      <w:pPr>
        <w:pStyle w:val="a4"/>
        <w:numPr>
          <w:ilvl w:val="1"/>
          <w:numId w:val="203"/>
        </w:numPr>
        <w:tabs>
          <w:tab w:val="left" w:pos="1266"/>
        </w:tabs>
        <w:ind w:left="1265" w:hanging="426"/>
        <w:rPr>
          <w:sz w:val="21"/>
        </w:rPr>
      </w:pPr>
      <w:r>
        <w:rPr>
          <w:spacing w:val="-9"/>
          <w:sz w:val="21"/>
        </w:rPr>
        <w:t>消防站容积率可按</w:t>
      </w:r>
      <w:r>
        <w:rPr>
          <w:spacing w:val="-9"/>
          <w:sz w:val="21"/>
        </w:rPr>
        <w:t xml:space="preserve"> </w:t>
      </w:r>
      <w:r>
        <w:rPr>
          <w:sz w:val="21"/>
        </w:rPr>
        <w:t>0.5</w:t>
      </w:r>
      <w:r>
        <w:rPr>
          <w:sz w:val="21"/>
        </w:rPr>
        <w:t>～</w:t>
      </w:r>
      <w:r>
        <w:rPr>
          <w:sz w:val="21"/>
        </w:rPr>
        <w:t>0.6</w:t>
      </w:r>
      <w:r>
        <w:rPr>
          <w:spacing w:val="-12"/>
          <w:sz w:val="21"/>
        </w:rPr>
        <w:t xml:space="preserve"> </w:t>
      </w:r>
      <w:r>
        <w:rPr>
          <w:spacing w:val="-12"/>
          <w:sz w:val="21"/>
        </w:rPr>
        <w:t>进行测算。</w:t>
      </w:r>
      <w:r>
        <w:rPr>
          <w:sz w:val="21"/>
        </w:rPr>
        <w:t xml:space="preserve"> </w:t>
      </w:r>
    </w:p>
    <w:p w14:paraId="7E7C0FEF" w14:textId="77777777" w:rsidR="00A71EEF" w:rsidRDefault="00A71EEF">
      <w:pPr>
        <w:pStyle w:val="a3"/>
        <w:spacing w:before="8"/>
        <w:rPr>
          <w:sz w:val="15"/>
        </w:rPr>
      </w:pPr>
    </w:p>
    <w:p w14:paraId="787C48AB" w14:textId="77777777" w:rsidR="00A71EEF" w:rsidRDefault="0081115D">
      <w:pPr>
        <w:pStyle w:val="4"/>
      </w:pPr>
      <w:r>
        <w:t xml:space="preserve">4 </w:t>
      </w:r>
      <w:r>
        <w:t>建筑设计</w:t>
      </w:r>
      <w:r>
        <w:rPr>
          <w:w w:val="99"/>
        </w:rPr>
        <w:t xml:space="preserve"> </w:t>
      </w:r>
    </w:p>
    <w:p w14:paraId="52FCCA45" w14:textId="77777777" w:rsidR="00A71EEF" w:rsidRDefault="00A71EEF">
      <w:pPr>
        <w:pStyle w:val="a3"/>
        <w:spacing w:before="6"/>
        <w:rPr>
          <w:b/>
          <w:sz w:val="17"/>
        </w:rPr>
      </w:pPr>
    </w:p>
    <w:p w14:paraId="46E8A689" w14:textId="77777777" w:rsidR="00A71EEF" w:rsidRDefault="0081115D">
      <w:pPr>
        <w:pStyle w:val="a4"/>
        <w:numPr>
          <w:ilvl w:val="1"/>
          <w:numId w:val="202"/>
        </w:numPr>
        <w:tabs>
          <w:tab w:val="left" w:pos="1159"/>
        </w:tabs>
        <w:spacing w:before="1"/>
        <w:ind w:hanging="319"/>
        <w:rPr>
          <w:b/>
          <w:sz w:val="21"/>
        </w:rPr>
      </w:pPr>
      <w:r>
        <w:rPr>
          <w:spacing w:val="-3"/>
          <w:sz w:val="21"/>
        </w:rPr>
        <w:t>一般要求</w:t>
      </w:r>
      <w:r>
        <w:rPr>
          <w:b/>
          <w:w w:val="99"/>
          <w:sz w:val="21"/>
        </w:rPr>
        <w:t xml:space="preserve"> </w:t>
      </w:r>
    </w:p>
    <w:p w14:paraId="6649BE11" w14:textId="77777777" w:rsidR="00A71EEF" w:rsidRDefault="00A71EEF">
      <w:pPr>
        <w:pStyle w:val="a3"/>
        <w:rPr>
          <w:b/>
          <w:sz w:val="18"/>
        </w:rPr>
      </w:pPr>
    </w:p>
    <w:p w14:paraId="360D8C62" w14:textId="77777777" w:rsidR="00A71EEF" w:rsidRDefault="0081115D">
      <w:pPr>
        <w:pStyle w:val="a4"/>
        <w:numPr>
          <w:ilvl w:val="2"/>
          <w:numId w:val="202"/>
        </w:numPr>
        <w:tabs>
          <w:tab w:val="left" w:pos="1371"/>
        </w:tabs>
        <w:rPr>
          <w:sz w:val="21"/>
        </w:rPr>
      </w:pPr>
      <w:r>
        <w:rPr>
          <w:spacing w:val="-3"/>
          <w:sz w:val="21"/>
        </w:rPr>
        <w:t>消防站业务用房和业务附属用房的门和通道设置应有利于快速出动。</w:t>
      </w:r>
      <w:r>
        <w:rPr>
          <w:spacing w:val="-3"/>
          <w:sz w:val="21"/>
        </w:rPr>
        <w:t xml:space="preserve"> </w:t>
      </w:r>
    </w:p>
    <w:p w14:paraId="40CF6F42" w14:textId="77777777" w:rsidR="00A71EEF" w:rsidRDefault="00A71EEF">
      <w:pPr>
        <w:pStyle w:val="a3"/>
        <w:spacing w:before="12"/>
        <w:rPr>
          <w:sz w:val="17"/>
        </w:rPr>
      </w:pPr>
    </w:p>
    <w:p w14:paraId="70EC00C7" w14:textId="77777777" w:rsidR="00A71EEF" w:rsidRDefault="0081115D">
      <w:pPr>
        <w:pStyle w:val="a4"/>
        <w:numPr>
          <w:ilvl w:val="2"/>
          <w:numId w:val="202"/>
        </w:numPr>
        <w:tabs>
          <w:tab w:val="left" w:pos="1371"/>
        </w:tabs>
        <w:spacing w:line="446" w:lineRule="auto"/>
        <w:ind w:left="2253" w:right="2655" w:hanging="1414"/>
        <w:rPr>
          <w:b/>
          <w:sz w:val="21"/>
        </w:rPr>
      </w:pPr>
      <w:r>
        <w:rPr>
          <w:noProof/>
        </w:rPr>
        <w:drawing>
          <wp:anchor distT="0" distB="0" distL="0" distR="0" simplePos="0" relativeHeight="251683328" behindDoc="0" locked="0" layoutInCell="1" allowOverlap="1" wp14:anchorId="0712BF1D" wp14:editId="753A662B">
            <wp:simplePos x="0" y="0"/>
            <wp:positionH relativeFrom="page">
              <wp:posOffset>1617980</wp:posOffset>
            </wp:positionH>
            <wp:positionV relativeFrom="paragraph">
              <wp:posOffset>682117</wp:posOffset>
            </wp:positionV>
            <wp:extent cx="4485313" cy="3886200"/>
            <wp:effectExtent l="0" t="0" r="0" b="0"/>
            <wp:wrapTopAndBottom/>
            <wp:docPr id="615" name="image3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image356.jpeg"/>
                    <pic:cNvPicPr/>
                  </pic:nvPicPr>
                  <pic:blipFill>
                    <a:blip r:embed="rId424" cstate="print"/>
                    <a:stretch>
                      <a:fillRect/>
                    </a:stretch>
                  </pic:blipFill>
                  <pic:spPr>
                    <a:xfrm>
                      <a:off x="0" y="0"/>
                      <a:ext cx="4485313" cy="3886200"/>
                    </a:xfrm>
                    <a:prstGeom prst="rect">
                      <a:avLst/>
                    </a:prstGeom>
                  </pic:spPr>
                </pic:pic>
              </a:graphicData>
            </a:graphic>
          </wp:anchor>
        </w:drawing>
      </w:r>
      <w:r>
        <w:rPr>
          <w:spacing w:val="-5"/>
          <w:sz w:val="21"/>
        </w:rPr>
        <w:t>消防站业务用房和业务跗属用房的使用面积指标可按表</w:t>
      </w:r>
      <w:r>
        <w:rPr>
          <w:spacing w:val="-5"/>
          <w:sz w:val="21"/>
        </w:rPr>
        <w:t xml:space="preserve"> </w:t>
      </w:r>
      <w:r>
        <w:rPr>
          <w:sz w:val="21"/>
        </w:rPr>
        <w:t>4.1.2</w:t>
      </w:r>
      <w:r>
        <w:rPr>
          <w:spacing w:val="-8"/>
          <w:sz w:val="21"/>
        </w:rPr>
        <w:t xml:space="preserve"> </w:t>
      </w:r>
      <w:r>
        <w:rPr>
          <w:spacing w:val="-8"/>
          <w:sz w:val="21"/>
        </w:rPr>
        <w:t>确定。</w:t>
      </w:r>
      <w:r>
        <w:rPr>
          <w:spacing w:val="-8"/>
          <w:sz w:val="21"/>
        </w:rPr>
        <w:t xml:space="preserve"> </w:t>
      </w:r>
      <w:r>
        <w:rPr>
          <w:b/>
          <w:sz w:val="21"/>
        </w:rPr>
        <w:t>表</w:t>
      </w:r>
      <w:r>
        <w:rPr>
          <w:b/>
          <w:sz w:val="21"/>
        </w:rPr>
        <w:t>4.1.2</w:t>
      </w:r>
      <w:r>
        <w:rPr>
          <w:b/>
          <w:spacing w:val="-10"/>
          <w:sz w:val="21"/>
        </w:rPr>
        <w:t xml:space="preserve"> </w:t>
      </w:r>
      <w:r>
        <w:rPr>
          <w:b/>
          <w:spacing w:val="-10"/>
          <w:sz w:val="21"/>
        </w:rPr>
        <w:t>消防站业务用房和业务附属用房的使用面积指标</w:t>
      </w:r>
      <w:r>
        <w:rPr>
          <w:b/>
          <w:spacing w:val="-10"/>
          <w:sz w:val="21"/>
        </w:rPr>
        <w:t xml:space="preserve"> </w:t>
      </w:r>
      <w:r>
        <w:rPr>
          <w:b/>
          <w:sz w:val="21"/>
        </w:rPr>
        <w:t xml:space="preserve">m² </w:t>
      </w:r>
    </w:p>
    <w:p w14:paraId="28E6CF46" w14:textId="77777777" w:rsidR="00A71EEF" w:rsidRDefault="00A71EEF">
      <w:pPr>
        <w:pStyle w:val="a3"/>
        <w:rPr>
          <w:b/>
          <w:sz w:val="20"/>
        </w:rPr>
      </w:pPr>
    </w:p>
    <w:p w14:paraId="39AA895F" w14:textId="77777777" w:rsidR="00A71EEF" w:rsidRDefault="00A71EEF">
      <w:pPr>
        <w:pStyle w:val="a3"/>
        <w:rPr>
          <w:b/>
          <w:sz w:val="20"/>
        </w:rPr>
      </w:pPr>
    </w:p>
    <w:p w14:paraId="5E64CC4A" w14:textId="77777777" w:rsidR="00A71EEF" w:rsidRDefault="00A71EEF">
      <w:pPr>
        <w:pStyle w:val="a3"/>
        <w:rPr>
          <w:b/>
          <w:sz w:val="20"/>
        </w:rPr>
      </w:pPr>
    </w:p>
    <w:p w14:paraId="5BFE175C" w14:textId="77777777" w:rsidR="00A71EEF" w:rsidRDefault="00A71EEF">
      <w:pPr>
        <w:pStyle w:val="a3"/>
        <w:rPr>
          <w:b/>
          <w:sz w:val="20"/>
        </w:rPr>
      </w:pPr>
    </w:p>
    <w:p w14:paraId="3DD31484" w14:textId="77777777" w:rsidR="00A71EEF" w:rsidRDefault="00A71EEF">
      <w:pPr>
        <w:pStyle w:val="a3"/>
        <w:rPr>
          <w:b/>
          <w:sz w:val="20"/>
        </w:rPr>
      </w:pPr>
    </w:p>
    <w:p w14:paraId="65C6DB9A" w14:textId="77777777" w:rsidR="00A71EEF" w:rsidRDefault="00A71EEF">
      <w:pPr>
        <w:pStyle w:val="a3"/>
        <w:rPr>
          <w:b/>
          <w:sz w:val="20"/>
        </w:rPr>
      </w:pPr>
    </w:p>
    <w:p w14:paraId="18E38002" w14:textId="77777777" w:rsidR="00A71EEF" w:rsidRDefault="00A71EEF">
      <w:pPr>
        <w:pStyle w:val="a3"/>
        <w:rPr>
          <w:b/>
          <w:sz w:val="20"/>
        </w:rPr>
      </w:pPr>
    </w:p>
    <w:p w14:paraId="6AB29721" w14:textId="77777777" w:rsidR="00A71EEF" w:rsidRDefault="00A71EEF">
      <w:pPr>
        <w:pStyle w:val="a3"/>
        <w:rPr>
          <w:b/>
          <w:sz w:val="20"/>
        </w:rPr>
      </w:pPr>
    </w:p>
    <w:p w14:paraId="605CB4FD" w14:textId="77777777" w:rsidR="00A71EEF" w:rsidRDefault="00A71EEF">
      <w:pPr>
        <w:pStyle w:val="a3"/>
        <w:spacing w:before="11"/>
        <w:rPr>
          <w:b/>
          <w:sz w:val="15"/>
        </w:rPr>
      </w:pPr>
    </w:p>
    <w:p w14:paraId="5F982C3E" w14:textId="77777777" w:rsidR="00A71EEF" w:rsidRDefault="0081115D">
      <w:pPr>
        <w:pStyle w:val="a3"/>
        <w:ind w:left="418"/>
      </w:pPr>
      <w:r>
        <w:t xml:space="preserve"> </w:t>
      </w:r>
    </w:p>
    <w:p w14:paraId="6BE63AA9" w14:textId="77777777" w:rsidR="00A71EEF" w:rsidRDefault="00A71EEF">
      <w:pPr>
        <w:sectPr w:rsidR="00A71EEF">
          <w:pgSz w:w="11910" w:h="16850"/>
          <w:pgMar w:top="1220" w:right="0" w:bottom="1420" w:left="1260" w:header="0" w:footer="1189" w:gutter="0"/>
          <w:cols w:space="720"/>
        </w:sectPr>
      </w:pPr>
    </w:p>
    <w:p w14:paraId="7A65540F" w14:textId="77777777" w:rsidR="00A71EEF" w:rsidRDefault="00A71EEF">
      <w:pPr>
        <w:pStyle w:val="a3"/>
        <w:rPr>
          <w:sz w:val="20"/>
        </w:rPr>
      </w:pPr>
    </w:p>
    <w:p w14:paraId="1C56CE98" w14:textId="77777777" w:rsidR="00A71EEF" w:rsidRDefault="00A71EEF">
      <w:pPr>
        <w:pStyle w:val="a3"/>
        <w:spacing w:before="5"/>
        <w:rPr>
          <w:sz w:val="26"/>
        </w:rPr>
      </w:pPr>
    </w:p>
    <w:p w14:paraId="49405C88" w14:textId="77777777" w:rsidR="00A71EEF" w:rsidRDefault="0081115D">
      <w:pPr>
        <w:pStyle w:val="6"/>
        <w:spacing w:before="72"/>
        <w:ind w:right="912"/>
        <w:jc w:val="center"/>
      </w:pPr>
      <w:r>
        <w:t>续表</w:t>
      </w:r>
      <w:r>
        <w:t xml:space="preserve"> 4.1.2 </w:t>
      </w:r>
    </w:p>
    <w:p w14:paraId="452AB9E7" w14:textId="77777777" w:rsidR="00A71EEF" w:rsidRDefault="0081115D">
      <w:pPr>
        <w:pStyle w:val="a3"/>
        <w:spacing w:before="6"/>
        <w:rPr>
          <w:b/>
          <w:sz w:val="18"/>
        </w:rPr>
      </w:pPr>
      <w:r>
        <w:rPr>
          <w:noProof/>
        </w:rPr>
        <w:drawing>
          <wp:anchor distT="0" distB="0" distL="0" distR="0" simplePos="0" relativeHeight="251684352" behindDoc="0" locked="0" layoutInCell="1" allowOverlap="1" wp14:anchorId="5C6E6705" wp14:editId="12731E22">
            <wp:simplePos x="0" y="0"/>
            <wp:positionH relativeFrom="page">
              <wp:posOffset>1579880</wp:posOffset>
            </wp:positionH>
            <wp:positionV relativeFrom="paragraph">
              <wp:posOffset>175109</wp:posOffset>
            </wp:positionV>
            <wp:extent cx="4684668" cy="3190398"/>
            <wp:effectExtent l="0" t="0" r="0" b="0"/>
            <wp:wrapTopAndBottom/>
            <wp:docPr id="617" name="image3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image357.jpeg"/>
                    <pic:cNvPicPr/>
                  </pic:nvPicPr>
                  <pic:blipFill>
                    <a:blip r:embed="rId425" cstate="print"/>
                    <a:stretch>
                      <a:fillRect/>
                    </a:stretch>
                  </pic:blipFill>
                  <pic:spPr>
                    <a:xfrm>
                      <a:off x="0" y="0"/>
                      <a:ext cx="4684668" cy="3190398"/>
                    </a:xfrm>
                    <a:prstGeom prst="rect">
                      <a:avLst/>
                    </a:prstGeom>
                  </pic:spPr>
                </pic:pic>
              </a:graphicData>
            </a:graphic>
          </wp:anchor>
        </w:drawing>
      </w:r>
    </w:p>
    <w:p w14:paraId="132AAD5C" w14:textId="77777777" w:rsidR="00A71EEF" w:rsidRDefault="0081115D">
      <w:pPr>
        <w:pStyle w:val="a4"/>
        <w:numPr>
          <w:ilvl w:val="2"/>
          <w:numId w:val="202"/>
        </w:numPr>
        <w:tabs>
          <w:tab w:val="left" w:pos="1371"/>
        </w:tabs>
        <w:spacing w:before="165" w:line="446" w:lineRule="auto"/>
        <w:ind w:left="418" w:right="1498" w:firstLine="422"/>
        <w:rPr>
          <w:sz w:val="21"/>
        </w:rPr>
      </w:pPr>
      <w:r>
        <w:rPr>
          <w:spacing w:val="-3"/>
          <w:sz w:val="21"/>
        </w:rPr>
        <w:t>体能训练室、执勤器材库、清洗室、烘干室、器材修理间、呼吸器充气室等的设置宜临近消防车库。</w:t>
      </w:r>
      <w:r>
        <w:rPr>
          <w:sz w:val="21"/>
        </w:rPr>
        <w:t xml:space="preserve"> </w:t>
      </w:r>
    </w:p>
    <w:p w14:paraId="67495F1D" w14:textId="77777777" w:rsidR="00A71EEF" w:rsidRDefault="0081115D">
      <w:pPr>
        <w:pStyle w:val="a4"/>
        <w:numPr>
          <w:ilvl w:val="2"/>
          <w:numId w:val="202"/>
        </w:numPr>
        <w:tabs>
          <w:tab w:val="left" w:pos="1371"/>
        </w:tabs>
        <w:rPr>
          <w:sz w:val="21"/>
        </w:rPr>
      </w:pPr>
      <w:r>
        <w:rPr>
          <w:spacing w:val="-6"/>
          <w:sz w:val="21"/>
        </w:rPr>
        <w:t>消防站辅助用房的使用面积指标可按表</w:t>
      </w:r>
      <w:r>
        <w:rPr>
          <w:spacing w:val="-6"/>
          <w:sz w:val="21"/>
        </w:rPr>
        <w:t xml:space="preserve"> </w:t>
      </w:r>
      <w:r>
        <w:rPr>
          <w:sz w:val="21"/>
        </w:rPr>
        <w:t>4.1.4</w:t>
      </w:r>
      <w:r>
        <w:rPr>
          <w:spacing w:val="-15"/>
          <w:sz w:val="21"/>
        </w:rPr>
        <w:t xml:space="preserve"> </w:t>
      </w:r>
      <w:r>
        <w:rPr>
          <w:spacing w:val="-15"/>
          <w:sz w:val="21"/>
        </w:rPr>
        <w:t>确定。</w:t>
      </w:r>
      <w:r>
        <w:rPr>
          <w:sz w:val="21"/>
        </w:rPr>
        <w:t xml:space="preserve"> </w:t>
      </w:r>
    </w:p>
    <w:p w14:paraId="04D2BA53" w14:textId="77777777" w:rsidR="00A71EEF" w:rsidRDefault="00A71EEF">
      <w:pPr>
        <w:pStyle w:val="a3"/>
        <w:spacing w:before="12"/>
        <w:rPr>
          <w:sz w:val="17"/>
        </w:rPr>
      </w:pPr>
    </w:p>
    <w:p w14:paraId="2342AD03" w14:textId="77777777" w:rsidR="00A71EEF" w:rsidRDefault="0081115D">
      <w:pPr>
        <w:pStyle w:val="6"/>
        <w:ind w:left="2914"/>
      </w:pPr>
      <w:r>
        <w:t>表</w:t>
      </w:r>
      <w:r>
        <w:t xml:space="preserve"> 4.1.4 </w:t>
      </w:r>
      <w:r>
        <w:t>消防站辅助用户的使用面积指标</w:t>
      </w:r>
      <w:r>
        <w:t xml:space="preserve"> m² </w:t>
      </w:r>
    </w:p>
    <w:p w14:paraId="4FF42208" w14:textId="77777777" w:rsidR="00A71EEF" w:rsidRDefault="0081115D">
      <w:pPr>
        <w:pStyle w:val="a3"/>
        <w:spacing w:before="5"/>
        <w:rPr>
          <w:b/>
          <w:sz w:val="17"/>
        </w:rPr>
      </w:pPr>
      <w:r>
        <w:rPr>
          <w:noProof/>
        </w:rPr>
        <w:drawing>
          <wp:anchor distT="0" distB="0" distL="0" distR="0" simplePos="0" relativeHeight="251685376" behindDoc="0" locked="0" layoutInCell="1" allowOverlap="1" wp14:anchorId="6557C6BB" wp14:editId="736FDF9A">
            <wp:simplePos x="0" y="0"/>
            <wp:positionH relativeFrom="page">
              <wp:posOffset>1332230</wp:posOffset>
            </wp:positionH>
            <wp:positionV relativeFrom="paragraph">
              <wp:posOffset>166547</wp:posOffset>
            </wp:positionV>
            <wp:extent cx="5141252" cy="3360420"/>
            <wp:effectExtent l="0" t="0" r="0" b="0"/>
            <wp:wrapTopAndBottom/>
            <wp:docPr id="619" name="image3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image358.jpeg"/>
                    <pic:cNvPicPr/>
                  </pic:nvPicPr>
                  <pic:blipFill>
                    <a:blip r:embed="rId426" cstate="print"/>
                    <a:stretch>
                      <a:fillRect/>
                    </a:stretch>
                  </pic:blipFill>
                  <pic:spPr>
                    <a:xfrm>
                      <a:off x="0" y="0"/>
                      <a:ext cx="5141252" cy="3360420"/>
                    </a:xfrm>
                    <a:prstGeom prst="rect">
                      <a:avLst/>
                    </a:prstGeom>
                  </pic:spPr>
                </pic:pic>
              </a:graphicData>
            </a:graphic>
          </wp:anchor>
        </w:drawing>
      </w:r>
    </w:p>
    <w:p w14:paraId="63CA73DB" w14:textId="77777777" w:rsidR="00A71EEF" w:rsidRDefault="00A71EEF">
      <w:pPr>
        <w:rPr>
          <w:sz w:val="17"/>
        </w:rPr>
        <w:sectPr w:rsidR="00A71EEF">
          <w:pgSz w:w="11910" w:h="16850"/>
          <w:pgMar w:top="1600" w:right="0" w:bottom="1380" w:left="1260" w:header="0" w:footer="1189" w:gutter="0"/>
          <w:cols w:space="720"/>
        </w:sectPr>
      </w:pPr>
    </w:p>
    <w:p w14:paraId="68CB886D" w14:textId="77777777" w:rsidR="00A71EEF" w:rsidRDefault="0081115D">
      <w:pPr>
        <w:spacing w:before="167"/>
        <w:ind w:left="418"/>
        <w:rPr>
          <w:b/>
          <w:sz w:val="21"/>
        </w:rPr>
      </w:pPr>
      <w:r>
        <w:rPr>
          <w:b/>
          <w:sz w:val="21"/>
        </w:rPr>
        <w:t>续表</w:t>
      </w:r>
      <w:r>
        <w:rPr>
          <w:b/>
          <w:sz w:val="21"/>
        </w:rPr>
        <w:t xml:space="preserve"> 4.1.4 </w:t>
      </w:r>
    </w:p>
    <w:p w14:paraId="633D9EB4" w14:textId="77777777" w:rsidR="00A71EEF" w:rsidRDefault="0081115D">
      <w:pPr>
        <w:pStyle w:val="a3"/>
        <w:spacing w:before="7"/>
        <w:rPr>
          <w:b/>
          <w:sz w:val="19"/>
        </w:rPr>
      </w:pPr>
      <w:r>
        <w:rPr>
          <w:noProof/>
        </w:rPr>
        <w:drawing>
          <wp:anchor distT="0" distB="0" distL="0" distR="0" simplePos="0" relativeHeight="251686400" behindDoc="0" locked="0" layoutInCell="1" allowOverlap="1" wp14:anchorId="25E217D3" wp14:editId="6DB8BD4F">
            <wp:simplePos x="0" y="0"/>
            <wp:positionH relativeFrom="page">
              <wp:posOffset>1588769</wp:posOffset>
            </wp:positionH>
            <wp:positionV relativeFrom="paragraph">
              <wp:posOffset>184237</wp:posOffset>
            </wp:positionV>
            <wp:extent cx="4726033" cy="2464593"/>
            <wp:effectExtent l="0" t="0" r="0" b="0"/>
            <wp:wrapTopAndBottom/>
            <wp:docPr id="621" name="image3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image359.jpeg"/>
                    <pic:cNvPicPr/>
                  </pic:nvPicPr>
                  <pic:blipFill>
                    <a:blip r:embed="rId427" cstate="print"/>
                    <a:stretch>
                      <a:fillRect/>
                    </a:stretch>
                  </pic:blipFill>
                  <pic:spPr>
                    <a:xfrm>
                      <a:off x="0" y="0"/>
                      <a:ext cx="4726033" cy="2464593"/>
                    </a:xfrm>
                    <a:prstGeom prst="rect">
                      <a:avLst/>
                    </a:prstGeom>
                  </pic:spPr>
                </pic:pic>
              </a:graphicData>
            </a:graphic>
          </wp:anchor>
        </w:drawing>
      </w:r>
    </w:p>
    <w:p w14:paraId="4DFE48D0" w14:textId="77777777" w:rsidR="00A71EEF" w:rsidRDefault="0081115D">
      <w:pPr>
        <w:pStyle w:val="a4"/>
        <w:numPr>
          <w:ilvl w:val="2"/>
          <w:numId w:val="202"/>
        </w:numPr>
        <w:tabs>
          <w:tab w:val="left" w:pos="1371"/>
        </w:tabs>
        <w:spacing w:before="151"/>
        <w:rPr>
          <w:sz w:val="21"/>
        </w:rPr>
      </w:pPr>
      <w:r>
        <w:rPr>
          <w:spacing w:val="-3"/>
          <w:sz w:val="21"/>
        </w:rPr>
        <w:t>辅助用房中功能相近的用房宜集中设置。</w:t>
      </w:r>
      <w:r>
        <w:rPr>
          <w:sz w:val="21"/>
        </w:rPr>
        <w:t xml:space="preserve"> </w:t>
      </w:r>
    </w:p>
    <w:p w14:paraId="2F3C4335" w14:textId="77777777" w:rsidR="00A71EEF" w:rsidRDefault="00A71EEF">
      <w:pPr>
        <w:pStyle w:val="a3"/>
        <w:spacing w:before="12"/>
        <w:rPr>
          <w:sz w:val="17"/>
        </w:rPr>
      </w:pPr>
    </w:p>
    <w:p w14:paraId="35EB1475" w14:textId="77777777" w:rsidR="00A71EEF" w:rsidRDefault="0081115D">
      <w:pPr>
        <w:pStyle w:val="a4"/>
        <w:numPr>
          <w:ilvl w:val="2"/>
          <w:numId w:val="202"/>
        </w:numPr>
        <w:tabs>
          <w:tab w:val="left" w:pos="1371"/>
        </w:tabs>
        <w:spacing w:line="446" w:lineRule="auto"/>
        <w:ind w:left="418" w:right="1498" w:firstLine="422"/>
        <w:rPr>
          <w:sz w:val="21"/>
        </w:rPr>
      </w:pPr>
      <w:r>
        <w:rPr>
          <w:spacing w:val="-3"/>
          <w:sz w:val="21"/>
        </w:rPr>
        <w:t>辅助用房中有噪音、异味、辐射和易燃易燥危险等的用房，设置时宜远离备勤室、探亲用房等居住人员的房间。</w:t>
      </w:r>
      <w:r>
        <w:rPr>
          <w:sz w:val="21"/>
        </w:rPr>
        <w:t xml:space="preserve"> </w:t>
      </w:r>
    </w:p>
    <w:p w14:paraId="167C9BEE" w14:textId="77777777" w:rsidR="00A71EEF" w:rsidRDefault="0081115D">
      <w:pPr>
        <w:pStyle w:val="a4"/>
        <w:numPr>
          <w:ilvl w:val="2"/>
          <w:numId w:val="202"/>
        </w:numPr>
        <w:tabs>
          <w:tab w:val="left" w:pos="1371"/>
        </w:tabs>
        <w:spacing w:before="1"/>
        <w:rPr>
          <w:sz w:val="21"/>
        </w:rPr>
      </w:pPr>
      <w:r>
        <w:rPr>
          <w:spacing w:val="-3"/>
          <w:sz w:val="21"/>
        </w:rPr>
        <w:t>消防站的建筑耐火等级不应低于二级。</w:t>
      </w:r>
      <w:r>
        <w:rPr>
          <w:spacing w:val="-3"/>
          <w:sz w:val="21"/>
        </w:rPr>
        <w:t xml:space="preserve"> </w:t>
      </w:r>
    </w:p>
    <w:p w14:paraId="4576C19E" w14:textId="77777777" w:rsidR="00A71EEF" w:rsidRDefault="00A71EEF">
      <w:pPr>
        <w:pStyle w:val="a3"/>
        <w:spacing w:before="12"/>
        <w:rPr>
          <w:sz w:val="17"/>
        </w:rPr>
      </w:pPr>
    </w:p>
    <w:p w14:paraId="77EEA12A" w14:textId="77777777" w:rsidR="00A71EEF" w:rsidRDefault="0081115D">
      <w:pPr>
        <w:pStyle w:val="a4"/>
        <w:numPr>
          <w:ilvl w:val="2"/>
          <w:numId w:val="202"/>
        </w:numPr>
        <w:tabs>
          <w:tab w:val="left" w:pos="1371"/>
        </w:tabs>
        <w:spacing w:line="446" w:lineRule="auto"/>
        <w:ind w:left="418" w:right="1450" w:firstLine="422"/>
        <w:rPr>
          <w:sz w:val="21"/>
        </w:rPr>
      </w:pPr>
      <w:r>
        <w:rPr>
          <w:spacing w:val="-3"/>
          <w:sz w:val="21"/>
        </w:rPr>
        <w:t>消防站内建筑的防火设计应符合现行国家标准《建筑设计防火规范》</w:t>
      </w:r>
      <w:r>
        <w:rPr>
          <w:sz w:val="21"/>
        </w:rPr>
        <w:t>GB</w:t>
      </w:r>
      <w:r>
        <w:rPr>
          <w:spacing w:val="22"/>
          <w:sz w:val="21"/>
        </w:rPr>
        <w:t xml:space="preserve"> </w:t>
      </w:r>
      <w:r>
        <w:rPr>
          <w:sz w:val="21"/>
        </w:rPr>
        <w:t>50016</w:t>
      </w:r>
      <w:r>
        <w:rPr>
          <w:spacing w:val="-13"/>
          <w:sz w:val="21"/>
        </w:rPr>
        <w:t xml:space="preserve"> </w:t>
      </w:r>
      <w:r>
        <w:rPr>
          <w:spacing w:val="-13"/>
          <w:sz w:val="21"/>
        </w:rPr>
        <w:t>的有关</w:t>
      </w:r>
      <w:r>
        <w:rPr>
          <w:spacing w:val="-7"/>
          <w:sz w:val="21"/>
        </w:rPr>
        <w:t>规定。</w:t>
      </w:r>
      <w:r>
        <w:rPr>
          <w:sz w:val="21"/>
        </w:rPr>
        <w:t xml:space="preserve"> </w:t>
      </w:r>
    </w:p>
    <w:p w14:paraId="18A9AF23" w14:textId="77777777" w:rsidR="00A71EEF" w:rsidRDefault="0081115D">
      <w:pPr>
        <w:pStyle w:val="a4"/>
        <w:numPr>
          <w:ilvl w:val="2"/>
          <w:numId w:val="202"/>
        </w:numPr>
        <w:tabs>
          <w:tab w:val="left" w:pos="1371"/>
        </w:tabs>
        <w:spacing w:line="446" w:lineRule="auto"/>
        <w:ind w:left="418" w:right="1503" w:firstLine="422"/>
        <w:rPr>
          <w:sz w:val="21"/>
        </w:rPr>
      </w:pPr>
      <w:r>
        <w:rPr>
          <w:spacing w:val="-6"/>
          <w:sz w:val="21"/>
        </w:rPr>
        <w:t>消防站建筑物位于抗震设防烈度为</w:t>
      </w:r>
      <w:r>
        <w:rPr>
          <w:spacing w:val="-6"/>
          <w:sz w:val="21"/>
        </w:rPr>
        <w:t xml:space="preserve"> </w:t>
      </w:r>
      <w:r>
        <w:rPr>
          <w:sz w:val="21"/>
        </w:rPr>
        <w:t>6</w:t>
      </w:r>
      <w:r>
        <w:rPr>
          <w:spacing w:val="-26"/>
          <w:sz w:val="21"/>
        </w:rPr>
        <w:t xml:space="preserve"> </w:t>
      </w:r>
      <w:r>
        <w:rPr>
          <w:spacing w:val="-26"/>
          <w:sz w:val="21"/>
        </w:rPr>
        <w:t>度</w:t>
      </w:r>
      <w:r>
        <w:rPr>
          <w:sz w:val="21"/>
        </w:rPr>
        <w:t>～</w:t>
      </w:r>
      <w:r>
        <w:rPr>
          <w:sz w:val="21"/>
        </w:rPr>
        <w:t>9</w:t>
      </w:r>
      <w:r>
        <w:rPr>
          <w:spacing w:val="-8"/>
          <w:sz w:val="21"/>
        </w:rPr>
        <w:t xml:space="preserve"> </w:t>
      </w:r>
      <w:r>
        <w:rPr>
          <w:spacing w:val="-8"/>
          <w:sz w:val="21"/>
        </w:rPr>
        <w:t>度地区的，应按乙类建筑进行抗震设</w:t>
      </w:r>
      <w:r>
        <w:rPr>
          <w:spacing w:val="-8"/>
          <w:sz w:val="21"/>
        </w:rPr>
        <w:t xml:space="preserve"> </w:t>
      </w:r>
      <w:r>
        <w:rPr>
          <w:spacing w:val="-8"/>
          <w:sz w:val="21"/>
        </w:rPr>
        <w:t>计</w:t>
      </w:r>
      <w:r>
        <w:rPr>
          <w:spacing w:val="-7"/>
          <w:sz w:val="21"/>
        </w:rPr>
        <w:t>，并应按本地区设防烈度提高</w:t>
      </w:r>
      <w:r>
        <w:rPr>
          <w:spacing w:val="-7"/>
          <w:sz w:val="21"/>
        </w:rPr>
        <w:t xml:space="preserve"> </w:t>
      </w:r>
      <w:r>
        <w:rPr>
          <w:sz w:val="21"/>
        </w:rPr>
        <w:t>l</w:t>
      </w:r>
      <w:r>
        <w:rPr>
          <w:spacing w:val="-10"/>
          <w:sz w:val="21"/>
        </w:rPr>
        <w:t xml:space="preserve"> </w:t>
      </w:r>
      <w:r>
        <w:rPr>
          <w:spacing w:val="-10"/>
          <w:sz w:val="21"/>
        </w:rPr>
        <w:t>度采取抗震构造措施。其中，位于抗震设防烈度</w:t>
      </w:r>
      <w:r>
        <w:rPr>
          <w:spacing w:val="-10"/>
          <w:sz w:val="21"/>
        </w:rPr>
        <w:t xml:space="preserve"> </w:t>
      </w:r>
      <w:r>
        <w:rPr>
          <w:sz w:val="21"/>
        </w:rPr>
        <w:t>8</w:t>
      </w:r>
      <w:r>
        <w:rPr>
          <w:sz w:val="21"/>
        </w:rPr>
        <w:t>～</w:t>
      </w:r>
      <w:r>
        <w:rPr>
          <w:sz w:val="21"/>
        </w:rPr>
        <w:t>9</w:t>
      </w:r>
      <w:r>
        <w:rPr>
          <w:spacing w:val="-10"/>
          <w:sz w:val="21"/>
        </w:rPr>
        <w:t xml:space="preserve"> </w:t>
      </w:r>
      <w:r>
        <w:rPr>
          <w:spacing w:val="-10"/>
          <w:sz w:val="21"/>
        </w:rPr>
        <w:t>度地区消</w:t>
      </w:r>
      <w:r>
        <w:rPr>
          <w:spacing w:val="-4"/>
          <w:sz w:val="21"/>
        </w:rPr>
        <w:t>防站建筑的消防车库的框架、门框、大门等影响消防车出动的重点部位应按现行国家标准</w:t>
      </w:r>
    </w:p>
    <w:p w14:paraId="40B09454" w14:textId="77777777" w:rsidR="00A71EEF" w:rsidRDefault="0081115D">
      <w:pPr>
        <w:pStyle w:val="a3"/>
        <w:spacing w:line="268" w:lineRule="exact"/>
        <w:ind w:left="418"/>
      </w:pPr>
      <w:r>
        <w:t>《建筑抗震设计规范》</w:t>
      </w:r>
      <w:r>
        <w:t xml:space="preserve">GB 50011 </w:t>
      </w:r>
      <w:r>
        <w:t>的有关规定进行抗震变形验算。</w:t>
      </w:r>
      <w:r>
        <w:t xml:space="preserve"> </w:t>
      </w:r>
    </w:p>
    <w:p w14:paraId="51372059" w14:textId="77777777" w:rsidR="00A71EEF" w:rsidRDefault="00A71EEF">
      <w:pPr>
        <w:pStyle w:val="a3"/>
        <w:spacing w:before="12"/>
        <w:rPr>
          <w:sz w:val="17"/>
        </w:rPr>
      </w:pPr>
    </w:p>
    <w:p w14:paraId="4AE0DB43" w14:textId="77777777" w:rsidR="00A71EEF" w:rsidRDefault="0081115D">
      <w:pPr>
        <w:pStyle w:val="a4"/>
        <w:numPr>
          <w:ilvl w:val="2"/>
          <w:numId w:val="202"/>
        </w:numPr>
        <w:tabs>
          <w:tab w:val="left" w:pos="1478"/>
        </w:tabs>
        <w:spacing w:line="446" w:lineRule="auto"/>
        <w:ind w:left="418" w:right="1601" w:firstLine="422"/>
        <w:rPr>
          <w:sz w:val="21"/>
        </w:rPr>
      </w:pPr>
      <w:r>
        <w:rPr>
          <w:spacing w:val="-3"/>
          <w:sz w:val="21"/>
        </w:rPr>
        <w:t>消防站的建筑外观应主题鲜明，造型应庄重简洁，宜采用体现消防站特点的装修风格，具有明确的标识性与可识别性，并应与周边环境相协调。</w:t>
      </w:r>
      <w:r>
        <w:rPr>
          <w:sz w:val="21"/>
        </w:rPr>
        <w:t xml:space="preserve"> </w:t>
      </w:r>
    </w:p>
    <w:p w14:paraId="2F486684" w14:textId="77777777" w:rsidR="00A71EEF" w:rsidRDefault="0081115D">
      <w:pPr>
        <w:pStyle w:val="a4"/>
        <w:numPr>
          <w:ilvl w:val="2"/>
          <w:numId w:val="202"/>
        </w:numPr>
        <w:tabs>
          <w:tab w:val="left" w:pos="1478"/>
        </w:tabs>
        <w:spacing w:line="446" w:lineRule="auto"/>
        <w:ind w:left="418" w:right="1601" w:firstLine="422"/>
        <w:rPr>
          <w:sz w:val="21"/>
        </w:rPr>
      </w:pPr>
      <w:r>
        <w:rPr>
          <w:spacing w:val="-3"/>
          <w:sz w:val="21"/>
        </w:rPr>
        <w:t>消防站的内装修应适应消防员生活和业务训练的需要，并宜采用色彩明快和容易清洗的装修材料。</w:t>
      </w:r>
      <w:r>
        <w:rPr>
          <w:sz w:val="21"/>
        </w:rPr>
        <w:t xml:space="preserve"> </w:t>
      </w:r>
    </w:p>
    <w:p w14:paraId="0791B33E" w14:textId="77777777" w:rsidR="00A71EEF" w:rsidRDefault="0081115D">
      <w:pPr>
        <w:pStyle w:val="a4"/>
        <w:numPr>
          <w:ilvl w:val="2"/>
          <w:numId w:val="202"/>
        </w:numPr>
        <w:tabs>
          <w:tab w:val="left" w:pos="1478"/>
        </w:tabs>
        <w:spacing w:line="446" w:lineRule="auto"/>
        <w:ind w:left="418" w:right="1551" w:firstLine="422"/>
        <w:rPr>
          <w:sz w:val="21"/>
        </w:rPr>
      </w:pPr>
      <w:r>
        <w:rPr>
          <w:spacing w:val="-3"/>
          <w:sz w:val="21"/>
        </w:rPr>
        <w:t>建筑节能设计应符合现行国家标准《公共建筑节能设计标准》</w:t>
      </w:r>
      <w:r>
        <w:rPr>
          <w:sz w:val="21"/>
        </w:rPr>
        <w:t>GB</w:t>
      </w:r>
      <w:r>
        <w:rPr>
          <w:spacing w:val="22"/>
          <w:sz w:val="21"/>
        </w:rPr>
        <w:t xml:space="preserve"> </w:t>
      </w:r>
      <w:r>
        <w:rPr>
          <w:sz w:val="21"/>
        </w:rPr>
        <w:t>50189</w:t>
      </w:r>
      <w:r>
        <w:rPr>
          <w:spacing w:val="-9"/>
          <w:sz w:val="21"/>
        </w:rPr>
        <w:t xml:space="preserve"> </w:t>
      </w:r>
      <w:r>
        <w:rPr>
          <w:spacing w:val="-9"/>
          <w:sz w:val="21"/>
        </w:rPr>
        <w:t>的有关规定</w:t>
      </w:r>
      <w:r>
        <w:rPr>
          <w:spacing w:val="-3"/>
          <w:sz w:val="21"/>
        </w:rPr>
        <w:t>。</w:t>
      </w:r>
      <w:r>
        <w:rPr>
          <w:sz w:val="21"/>
        </w:rPr>
        <w:t xml:space="preserve"> </w:t>
      </w:r>
    </w:p>
    <w:p w14:paraId="7B960A77" w14:textId="77777777" w:rsidR="00A71EEF" w:rsidRDefault="0081115D">
      <w:pPr>
        <w:spacing w:line="267" w:lineRule="exact"/>
        <w:ind w:left="840"/>
        <w:rPr>
          <w:sz w:val="21"/>
        </w:rPr>
      </w:pPr>
      <w:r>
        <w:rPr>
          <w:b/>
          <w:sz w:val="21"/>
        </w:rPr>
        <w:t xml:space="preserve">4.2 </w:t>
      </w:r>
      <w:r>
        <w:rPr>
          <w:sz w:val="21"/>
        </w:rPr>
        <w:t>消</w:t>
      </w:r>
      <w:r>
        <w:rPr>
          <w:sz w:val="21"/>
        </w:rPr>
        <w:t xml:space="preserve"> </w:t>
      </w:r>
      <w:r>
        <w:rPr>
          <w:sz w:val="21"/>
        </w:rPr>
        <w:t>防</w:t>
      </w:r>
      <w:r>
        <w:rPr>
          <w:sz w:val="21"/>
        </w:rPr>
        <w:t xml:space="preserve"> </w:t>
      </w:r>
      <w:r>
        <w:rPr>
          <w:sz w:val="21"/>
        </w:rPr>
        <w:t>车</w:t>
      </w:r>
      <w:r>
        <w:rPr>
          <w:sz w:val="21"/>
        </w:rPr>
        <w:t xml:space="preserve"> </w:t>
      </w:r>
      <w:r>
        <w:rPr>
          <w:sz w:val="21"/>
        </w:rPr>
        <w:t>库</w:t>
      </w:r>
      <w:r>
        <w:rPr>
          <w:sz w:val="21"/>
        </w:rPr>
        <w:t xml:space="preserve"> </w:t>
      </w:r>
    </w:p>
    <w:p w14:paraId="461C793B" w14:textId="77777777" w:rsidR="00A71EEF" w:rsidRDefault="00A71EEF">
      <w:pPr>
        <w:pStyle w:val="a3"/>
        <w:spacing w:before="2"/>
        <w:rPr>
          <w:sz w:val="18"/>
        </w:rPr>
      </w:pPr>
    </w:p>
    <w:p w14:paraId="4D63ABF7" w14:textId="77777777" w:rsidR="00A71EEF" w:rsidRDefault="0081115D">
      <w:pPr>
        <w:pStyle w:val="a4"/>
        <w:numPr>
          <w:ilvl w:val="2"/>
          <w:numId w:val="201"/>
        </w:numPr>
        <w:tabs>
          <w:tab w:val="left" w:pos="1371"/>
        </w:tabs>
        <w:rPr>
          <w:sz w:val="21"/>
        </w:rPr>
      </w:pPr>
      <w:r>
        <w:rPr>
          <w:spacing w:val="-3"/>
          <w:sz w:val="21"/>
        </w:rPr>
        <w:t>消防车库应布置在建筑物正面一层便于车辆迅速出动的部位。车库内每个车位的面</w:t>
      </w:r>
    </w:p>
    <w:p w14:paraId="03C91347" w14:textId="77777777" w:rsidR="00A71EEF" w:rsidRDefault="00A71EEF">
      <w:pPr>
        <w:rPr>
          <w:sz w:val="21"/>
        </w:rPr>
        <w:sectPr w:rsidR="00A71EEF">
          <w:pgSz w:w="11910" w:h="16850"/>
          <w:pgMar w:top="1600" w:right="0" w:bottom="1420" w:left="1260" w:header="0" w:footer="1189" w:gutter="0"/>
          <w:cols w:space="720"/>
        </w:sectPr>
      </w:pPr>
    </w:p>
    <w:p w14:paraId="53F53786" w14:textId="77777777" w:rsidR="00A71EEF" w:rsidRDefault="0081115D">
      <w:pPr>
        <w:pStyle w:val="a3"/>
        <w:spacing w:before="47"/>
        <w:ind w:left="418"/>
      </w:pPr>
      <w:r>
        <w:t>积可按</w:t>
      </w:r>
      <w:r>
        <w:t xml:space="preserve"> 90m2 </w:t>
      </w:r>
      <w:r>
        <w:t>设置。</w:t>
      </w:r>
      <w:r>
        <w:t xml:space="preserve"> </w:t>
      </w:r>
    </w:p>
    <w:p w14:paraId="015FFA62" w14:textId="77777777" w:rsidR="00A71EEF" w:rsidRDefault="00A71EEF">
      <w:pPr>
        <w:pStyle w:val="a3"/>
        <w:rPr>
          <w:sz w:val="18"/>
        </w:rPr>
      </w:pPr>
    </w:p>
    <w:p w14:paraId="5A1527E3" w14:textId="77777777" w:rsidR="00A71EEF" w:rsidRDefault="0081115D">
      <w:pPr>
        <w:pStyle w:val="a4"/>
        <w:numPr>
          <w:ilvl w:val="2"/>
          <w:numId w:val="201"/>
        </w:numPr>
        <w:tabs>
          <w:tab w:val="left" w:pos="1371"/>
        </w:tabs>
        <w:spacing w:line="446" w:lineRule="auto"/>
        <w:ind w:left="838" w:right="5387" w:firstLine="2"/>
        <w:rPr>
          <w:sz w:val="21"/>
        </w:rPr>
      </w:pPr>
      <w:r>
        <w:rPr>
          <w:spacing w:val="-2"/>
          <w:sz w:val="21"/>
        </w:rPr>
        <w:t>消防车库的基本尺寸应符合下列要求：</w:t>
      </w:r>
      <w:r>
        <w:rPr>
          <w:spacing w:val="-2"/>
          <w:sz w:val="21"/>
        </w:rPr>
        <w:t xml:space="preserve"> </w:t>
      </w:r>
      <w:r>
        <w:rPr>
          <w:spacing w:val="-2"/>
          <w:sz w:val="21"/>
        </w:rPr>
        <w:t>车</w:t>
      </w:r>
      <w:r>
        <w:rPr>
          <w:spacing w:val="-6"/>
          <w:sz w:val="21"/>
        </w:rPr>
        <w:t>库内消防车外缘之间的净距不应小于</w:t>
      </w:r>
      <w:r>
        <w:rPr>
          <w:spacing w:val="-6"/>
          <w:sz w:val="21"/>
        </w:rPr>
        <w:t xml:space="preserve"> </w:t>
      </w:r>
      <w:r>
        <w:rPr>
          <w:sz w:val="21"/>
        </w:rPr>
        <w:t>2.0m</w:t>
      </w:r>
      <w:r>
        <w:rPr>
          <w:sz w:val="21"/>
        </w:rPr>
        <w:t>；</w:t>
      </w:r>
      <w:r>
        <w:rPr>
          <w:sz w:val="21"/>
        </w:rPr>
        <w:t xml:space="preserve"> </w:t>
      </w:r>
    </w:p>
    <w:p w14:paraId="78A828B2" w14:textId="77777777" w:rsidR="00A71EEF" w:rsidRDefault="0081115D">
      <w:pPr>
        <w:pStyle w:val="a3"/>
        <w:ind w:left="838"/>
      </w:pPr>
      <w:r>
        <w:t>消防车外缘至边墙、柱子表面的距离不应小于</w:t>
      </w:r>
      <w:r>
        <w:t xml:space="preserve"> 1.0m</w:t>
      </w:r>
      <w:r>
        <w:t>；</w:t>
      </w:r>
      <w:r>
        <w:t xml:space="preserve"> </w:t>
      </w:r>
    </w:p>
    <w:p w14:paraId="662E3C48" w14:textId="77777777" w:rsidR="00A71EEF" w:rsidRDefault="00A71EEF">
      <w:pPr>
        <w:pStyle w:val="a3"/>
        <w:spacing w:before="12"/>
        <w:rPr>
          <w:sz w:val="17"/>
        </w:rPr>
      </w:pPr>
    </w:p>
    <w:p w14:paraId="16CB8DAB" w14:textId="77777777" w:rsidR="00A71EEF" w:rsidRDefault="0081115D">
      <w:pPr>
        <w:pStyle w:val="a3"/>
        <w:ind w:left="838"/>
      </w:pPr>
      <w:r>
        <w:t>消防车外缘至后墙表面的距离不应小于</w:t>
      </w:r>
      <w:r>
        <w:t xml:space="preserve"> 2.5m</w:t>
      </w:r>
      <w:r>
        <w:t>；</w:t>
      </w:r>
      <w:r>
        <w:t xml:space="preserve"> </w:t>
      </w:r>
    </w:p>
    <w:p w14:paraId="1A06A819" w14:textId="77777777" w:rsidR="00A71EEF" w:rsidRDefault="00A71EEF">
      <w:pPr>
        <w:pStyle w:val="a3"/>
        <w:rPr>
          <w:sz w:val="18"/>
        </w:rPr>
      </w:pPr>
    </w:p>
    <w:p w14:paraId="0C6B8BCB" w14:textId="77777777" w:rsidR="00A71EEF" w:rsidRDefault="0081115D">
      <w:pPr>
        <w:pStyle w:val="a3"/>
        <w:ind w:left="838"/>
      </w:pPr>
      <w:r>
        <w:t>消防车外缘至前门垛的距离不应小于</w:t>
      </w:r>
      <w:r>
        <w:t xml:space="preserve"> 1.0m</w:t>
      </w:r>
      <w:r>
        <w:t>；</w:t>
      </w:r>
      <w:r>
        <w:t xml:space="preserve"> </w:t>
      </w:r>
    </w:p>
    <w:p w14:paraId="14DEB3E1" w14:textId="77777777" w:rsidR="00A71EEF" w:rsidRDefault="00A71EEF">
      <w:pPr>
        <w:pStyle w:val="a3"/>
        <w:spacing w:before="2"/>
        <w:rPr>
          <w:sz w:val="18"/>
        </w:rPr>
      </w:pPr>
    </w:p>
    <w:p w14:paraId="3EA77D01" w14:textId="77777777" w:rsidR="00A71EEF" w:rsidRDefault="0081115D">
      <w:pPr>
        <w:pStyle w:val="a3"/>
        <w:ind w:left="838"/>
      </w:pPr>
      <w:r>
        <w:t>车库的净高不应小于</w:t>
      </w:r>
      <w:r>
        <w:t xml:space="preserve"> 4. 5m</w:t>
      </w:r>
      <w:r>
        <w:t>．且不应小于所配最大车高加</w:t>
      </w:r>
      <w:r>
        <w:t xml:space="preserve"> 0. 3m</w:t>
      </w:r>
      <w:r>
        <w:t>。</w:t>
      </w:r>
      <w:r>
        <w:t xml:space="preserve"> </w:t>
      </w:r>
    </w:p>
    <w:p w14:paraId="3A736708" w14:textId="77777777" w:rsidR="00A71EEF" w:rsidRDefault="00A71EEF">
      <w:pPr>
        <w:pStyle w:val="a3"/>
        <w:rPr>
          <w:sz w:val="18"/>
        </w:rPr>
      </w:pPr>
    </w:p>
    <w:p w14:paraId="7844654F" w14:textId="77777777" w:rsidR="00A71EEF" w:rsidRDefault="0081115D">
      <w:pPr>
        <w:pStyle w:val="a4"/>
        <w:numPr>
          <w:ilvl w:val="2"/>
          <w:numId w:val="201"/>
        </w:numPr>
        <w:tabs>
          <w:tab w:val="left" w:pos="1371"/>
        </w:tabs>
        <w:spacing w:line="444" w:lineRule="auto"/>
        <w:ind w:left="418" w:right="1455" w:firstLine="422"/>
        <w:rPr>
          <w:sz w:val="21"/>
        </w:rPr>
      </w:pPr>
      <w:r>
        <w:rPr>
          <w:spacing w:val="-9"/>
          <w:sz w:val="21"/>
        </w:rPr>
        <w:t>消防车库应设置</w:t>
      </w:r>
      <w:r>
        <w:rPr>
          <w:spacing w:val="-9"/>
          <w:sz w:val="21"/>
        </w:rPr>
        <w:t xml:space="preserve"> </w:t>
      </w:r>
      <w:r>
        <w:rPr>
          <w:sz w:val="21"/>
        </w:rPr>
        <w:t>1</w:t>
      </w:r>
      <w:r>
        <w:rPr>
          <w:spacing w:val="-15"/>
          <w:sz w:val="21"/>
        </w:rPr>
        <w:t xml:space="preserve"> </w:t>
      </w:r>
      <w:r>
        <w:rPr>
          <w:spacing w:val="-15"/>
          <w:sz w:val="21"/>
        </w:rPr>
        <w:t>个修理间和</w:t>
      </w:r>
      <w:r>
        <w:rPr>
          <w:spacing w:val="-15"/>
          <w:sz w:val="21"/>
        </w:rPr>
        <w:t xml:space="preserve"> </w:t>
      </w:r>
      <w:r>
        <w:rPr>
          <w:sz w:val="21"/>
        </w:rPr>
        <w:t>1</w:t>
      </w:r>
      <w:r>
        <w:rPr>
          <w:spacing w:val="-8"/>
          <w:sz w:val="21"/>
        </w:rPr>
        <w:t xml:space="preserve"> </w:t>
      </w:r>
      <w:r>
        <w:rPr>
          <w:spacing w:val="-8"/>
          <w:sz w:val="21"/>
        </w:rPr>
        <w:t>个检修地沟。修理间应用防火隔墙、防火门与其他部</w:t>
      </w:r>
      <w:r>
        <w:rPr>
          <w:spacing w:val="-4"/>
          <w:sz w:val="21"/>
        </w:rPr>
        <w:t>位隔开，且不宜靠近通信室。检修地沟上必须设置可移动的防护盖板，盖板应能承受</w:t>
      </w:r>
      <w:r>
        <w:rPr>
          <w:spacing w:val="-4"/>
          <w:sz w:val="21"/>
        </w:rPr>
        <w:t xml:space="preserve"> </w:t>
      </w:r>
      <w:r>
        <w:rPr>
          <w:sz w:val="21"/>
        </w:rPr>
        <w:t>500kg/m</w:t>
      </w:r>
      <w:r>
        <w:rPr>
          <w:position w:val="11"/>
          <w:sz w:val="11"/>
        </w:rPr>
        <w:t xml:space="preserve">2 </w:t>
      </w:r>
      <w:r>
        <w:rPr>
          <w:spacing w:val="-3"/>
          <w:sz w:val="21"/>
        </w:rPr>
        <w:t>载重，地沟内应设置排水和照明措施，地沟尺寸应能满足日常检修车辆的要求，且长度不宜小</w:t>
      </w:r>
      <w:r>
        <w:rPr>
          <w:spacing w:val="-3"/>
          <w:sz w:val="21"/>
        </w:rPr>
        <w:t xml:space="preserve"> </w:t>
      </w:r>
      <w:r>
        <w:rPr>
          <w:spacing w:val="-21"/>
          <w:sz w:val="21"/>
        </w:rPr>
        <w:t>于</w:t>
      </w:r>
      <w:r>
        <w:rPr>
          <w:spacing w:val="-21"/>
          <w:sz w:val="21"/>
        </w:rPr>
        <w:t xml:space="preserve"> </w:t>
      </w:r>
      <w:r>
        <w:rPr>
          <w:sz w:val="21"/>
        </w:rPr>
        <w:t>7m</w:t>
      </w:r>
      <w:r>
        <w:rPr>
          <w:spacing w:val="-8"/>
          <w:sz w:val="21"/>
        </w:rPr>
        <w:t>，宽度不宜小于</w:t>
      </w:r>
      <w:r>
        <w:rPr>
          <w:spacing w:val="-8"/>
          <w:sz w:val="21"/>
        </w:rPr>
        <w:t xml:space="preserve"> </w:t>
      </w:r>
      <w:r>
        <w:rPr>
          <w:sz w:val="21"/>
        </w:rPr>
        <w:t>0.9m</w:t>
      </w:r>
      <w:r>
        <w:rPr>
          <w:spacing w:val="-8"/>
          <w:sz w:val="21"/>
        </w:rPr>
        <w:t>，深度不宜小于</w:t>
      </w:r>
      <w:r>
        <w:rPr>
          <w:spacing w:val="-8"/>
          <w:sz w:val="21"/>
        </w:rPr>
        <w:t xml:space="preserve"> </w:t>
      </w:r>
      <w:r>
        <w:rPr>
          <w:sz w:val="21"/>
        </w:rPr>
        <w:t>1.2m</w:t>
      </w:r>
      <w:r>
        <w:rPr>
          <w:spacing w:val="-3"/>
          <w:sz w:val="21"/>
        </w:rPr>
        <w:t>。室内未设检修地沟时，应在室外适宜位置设置检修槽，检修槽位置不应干扰正常训练及活动。</w:t>
      </w:r>
      <w:r>
        <w:rPr>
          <w:sz w:val="21"/>
        </w:rPr>
        <w:t xml:space="preserve"> </w:t>
      </w:r>
    </w:p>
    <w:p w14:paraId="72EF8BDF" w14:textId="77777777" w:rsidR="00A71EEF" w:rsidRDefault="0081115D">
      <w:pPr>
        <w:pStyle w:val="a4"/>
        <w:numPr>
          <w:ilvl w:val="2"/>
          <w:numId w:val="201"/>
        </w:numPr>
        <w:tabs>
          <w:tab w:val="left" w:pos="1370"/>
        </w:tabs>
        <w:spacing w:before="2" w:line="446" w:lineRule="auto"/>
        <w:ind w:left="418" w:right="1498" w:firstLine="422"/>
        <w:jc w:val="both"/>
        <w:rPr>
          <w:sz w:val="21"/>
        </w:rPr>
      </w:pPr>
      <w:r>
        <w:rPr>
          <w:spacing w:val="-3"/>
          <w:sz w:val="21"/>
        </w:rPr>
        <w:t>消防车库门应按每个车位独立设置，</w:t>
      </w:r>
      <w:r>
        <w:rPr>
          <w:spacing w:val="-3"/>
          <w:sz w:val="21"/>
        </w:rPr>
        <w:t>并宜设自动开启装置，设自动开启装置的应有应</w:t>
      </w:r>
      <w:r>
        <w:rPr>
          <w:spacing w:val="-5"/>
          <w:sz w:val="21"/>
        </w:rPr>
        <w:t>急手动功能，宜与火警受理终端台联动；门的宽度不应小于</w:t>
      </w:r>
      <w:r>
        <w:rPr>
          <w:spacing w:val="-5"/>
          <w:sz w:val="21"/>
        </w:rPr>
        <w:t xml:space="preserve"> </w:t>
      </w:r>
      <w:r>
        <w:rPr>
          <w:sz w:val="21"/>
        </w:rPr>
        <w:t>3.5m</w:t>
      </w:r>
      <w:r>
        <w:rPr>
          <w:spacing w:val="-8"/>
          <w:sz w:val="21"/>
        </w:rPr>
        <w:t>，高度不应小于</w:t>
      </w:r>
      <w:r>
        <w:rPr>
          <w:spacing w:val="-8"/>
          <w:sz w:val="21"/>
        </w:rPr>
        <w:t xml:space="preserve"> </w:t>
      </w:r>
      <w:r>
        <w:rPr>
          <w:sz w:val="21"/>
        </w:rPr>
        <w:t>4.3m</w:t>
      </w:r>
      <w:r>
        <w:rPr>
          <w:spacing w:val="-2"/>
          <w:sz w:val="21"/>
        </w:rPr>
        <w:t>。严寒及</w:t>
      </w:r>
      <w:r>
        <w:rPr>
          <w:spacing w:val="-3"/>
          <w:sz w:val="21"/>
        </w:rPr>
        <w:t>寒冷地区的车库门的设置应考虑保暖性要求。</w:t>
      </w:r>
      <w:r>
        <w:rPr>
          <w:sz w:val="21"/>
        </w:rPr>
        <w:t xml:space="preserve"> </w:t>
      </w:r>
    </w:p>
    <w:p w14:paraId="6AD5D3BC" w14:textId="77777777" w:rsidR="00A71EEF" w:rsidRDefault="0081115D">
      <w:pPr>
        <w:pStyle w:val="a4"/>
        <w:numPr>
          <w:ilvl w:val="2"/>
          <w:numId w:val="201"/>
        </w:numPr>
        <w:tabs>
          <w:tab w:val="left" w:pos="1370"/>
        </w:tabs>
        <w:spacing w:line="268" w:lineRule="exact"/>
        <w:ind w:left="1369" w:hanging="530"/>
        <w:rPr>
          <w:sz w:val="21"/>
        </w:rPr>
      </w:pPr>
      <w:r>
        <w:rPr>
          <w:spacing w:val="-3"/>
          <w:sz w:val="21"/>
        </w:rPr>
        <w:t>消防车库的设计应设置车辆充气、充电和废气排出的设施。</w:t>
      </w:r>
      <w:r>
        <w:rPr>
          <w:sz w:val="21"/>
        </w:rPr>
        <w:t xml:space="preserve"> </w:t>
      </w:r>
    </w:p>
    <w:p w14:paraId="2828B887" w14:textId="77777777" w:rsidR="00A71EEF" w:rsidRDefault="00A71EEF">
      <w:pPr>
        <w:pStyle w:val="a3"/>
        <w:spacing w:before="12"/>
        <w:rPr>
          <w:sz w:val="17"/>
        </w:rPr>
      </w:pPr>
    </w:p>
    <w:p w14:paraId="3D3BD5CE" w14:textId="77777777" w:rsidR="00A71EEF" w:rsidRDefault="0081115D">
      <w:pPr>
        <w:pStyle w:val="a4"/>
        <w:numPr>
          <w:ilvl w:val="2"/>
          <w:numId w:val="201"/>
        </w:numPr>
        <w:tabs>
          <w:tab w:val="left" w:pos="1371"/>
        </w:tabs>
        <w:spacing w:line="446" w:lineRule="auto"/>
        <w:ind w:left="418" w:right="1498" w:firstLine="422"/>
        <w:rPr>
          <w:sz w:val="21"/>
        </w:rPr>
      </w:pPr>
      <w:r>
        <w:rPr>
          <w:spacing w:val="-3"/>
          <w:sz w:val="21"/>
        </w:rPr>
        <w:t>消防车库内外地面及沟、管盖板的承载能力应按最大吨位消防车的满载轮压进行设计</w:t>
      </w:r>
      <w:r>
        <w:rPr>
          <w:spacing w:val="-8"/>
          <w:sz w:val="21"/>
        </w:rPr>
        <w:t>，最小荷载不应小于</w:t>
      </w:r>
      <w:r>
        <w:rPr>
          <w:spacing w:val="-8"/>
          <w:sz w:val="21"/>
        </w:rPr>
        <w:t xml:space="preserve"> </w:t>
      </w:r>
      <w:r>
        <w:rPr>
          <w:sz w:val="21"/>
        </w:rPr>
        <w:t>35t</w:t>
      </w:r>
      <w:r>
        <w:rPr>
          <w:spacing w:val="-3"/>
          <w:sz w:val="21"/>
        </w:rPr>
        <w:t>。</w:t>
      </w:r>
      <w:r>
        <w:rPr>
          <w:sz w:val="21"/>
        </w:rPr>
        <w:t xml:space="preserve"> </w:t>
      </w:r>
    </w:p>
    <w:p w14:paraId="3B86139B" w14:textId="77777777" w:rsidR="00A71EEF" w:rsidRDefault="0081115D">
      <w:pPr>
        <w:pStyle w:val="a4"/>
        <w:numPr>
          <w:ilvl w:val="2"/>
          <w:numId w:val="201"/>
        </w:numPr>
        <w:tabs>
          <w:tab w:val="left" w:pos="1370"/>
        </w:tabs>
        <w:ind w:left="1369" w:hanging="530"/>
        <w:rPr>
          <w:sz w:val="21"/>
        </w:rPr>
      </w:pPr>
      <w:r>
        <w:rPr>
          <w:spacing w:val="-3"/>
          <w:sz w:val="21"/>
        </w:rPr>
        <w:t>车库地面和墙面应便于清洗，且地面应有排水设施。</w:t>
      </w:r>
      <w:r>
        <w:rPr>
          <w:sz w:val="21"/>
        </w:rPr>
        <w:t xml:space="preserve"> </w:t>
      </w:r>
    </w:p>
    <w:p w14:paraId="21AAFDFF" w14:textId="77777777" w:rsidR="00A71EEF" w:rsidRDefault="00A71EEF">
      <w:pPr>
        <w:pStyle w:val="a3"/>
        <w:rPr>
          <w:sz w:val="18"/>
        </w:rPr>
      </w:pPr>
    </w:p>
    <w:p w14:paraId="37DEED90" w14:textId="77777777" w:rsidR="00A71EEF" w:rsidRDefault="0081115D">
      <w:pPr>
        <w:pStyle w:val="a3"/>
        <w:ind w:left="838"/>
      </w:pPr>
      <w:r>
        <w:t>门前地面材料宜采用硬质材料铺筑，直接临街的车库门前地面应向城市道路边线做</w:t>
      </w:r>
      <w:r>
        <w:t xml:space="preserve"> 1%</w:t>
      </w:r>
      <w:r>
        <w:t>～</w:t>
      </w:r>
      <w:r>
        <w:t>2%</w:t>
      </w:r>
    </w:p>
    <w:p w14:paraId="7E4C838D" w14:textId="77777777" w:rsidR="00A71EEF" w:rsidRDefault="00A71EEF">
      <w:pPr>
        <w:pStyle w:val="a3"/>
        <w:rPr>
          <w:sz w:val="18"/>
        </w:rPr>
      </w:pPr>
    </w:p>
    <w:p w14:paraId="585FBB0C" w14:textId="77777777" w:rsidR="00A71EEF" w:rsidRDefault="0081115D">
      <w:pPr>
        <w:pStyle w:val="a3"/>
        <w:ind w:left="418"/>
      </w:pPr>
      <w:r>
        <w:t>的坡度。</w:t>
      </w:r>
      <w:r>
        <w:t xml:space="preserve"> </w:t>
      </w:r>
    </w:p>
    <w:p w14:paraId="6B979AE4" w14:textId="77777777" w:rsidR="00A71EEF" w:rsidRDefault="00A71EEF">
      <w:pPr>
        <w:pStyle w:val="a3"/>
        <w:spacing w:before="1"/>
        <w:rPr>
          <w:sz w:val="18"/>
        </w:rPr>
      </w:pPr>
    </w:p>
    <w:p w14:paraId="321E0D5F" w14:textId="77777777" w:rsidR="00A71EEF" w:rsidRDefault="0081115D">
      <w:pPr>
        <w:pStyle w:val="a4"/>
        <w:numPr>
          <w:ilvl w:val="2"/>
          <w:numId w:val="201"/>
        </w:numPr>
        <w:tabs>
          <w:tab w:val="left" w:pos="1370"/>
        </w:tabs>
        <w:spacing w:before="1"/>
        <w:ind w:left="1369" w:hanging="530"/>
        <w:rPr>
          <w:sz w:val="21"/>
        </w:rPr>
      </w:pPr>
      <w:r>
        <w:rPr>
          <w:spacing w:val="-3"/>
          <w:sz w:val="21"/>
        </w:rPr>
        <w:t>消防车库的停车位均应设倒车定位装置。</w:t>
      </w:r>
      <w:r>
        <w:rPr>
          <w:sz w:val="21"/>
        </w:rPr>
        <w:t xml:space="preserve"> </w:t>
      </w:r>
    </w:p>
    <w:p w14:paraId="45F3C8C2" w14:textId="77777777" w:rsidR="00A71EEF" w:rsidRDefault="00A71EEF">
      <w:pPr>
        <w:pStyle w:val="a3"/>
        <w:spacing w:before="12"/>
        <w:rPr>
          <w:sz w:val="17"/>
        </w:rPr>
      </w:pPr>
    </w:p>
    <w:p w14:paraId="34698CC0" w14:textId="77777777" w:rsidR="00A71EEF" w:rsidRDefault="0081115D">
      <w:pPr>
        <w:pStyle w:val="a4"/>
        <w:numPr>
          <w:ilvl w:val="2"/>
          <w:numId w:val="201"/>
        </w:numPr>
        <w:tabs>
          <w:tab w:val="left" w:pos="1370"/>
        </w:tabs>
        <w:spacing w:line="446" w:lineRule="auto"/>
        <w:ind w:left="838" w:right="5598" w:firstLine="2"/>
        <w:rPr>
          <w:b/>
          <w:sz w:val="21"/>
        </w:rPr>
      </w:pPr>
      <w:r>
        <w:rPr>
          <w:spacing w:val="-2"/>
          <w:sz w:val="21"/>
        </w:rPr>
        <w:t>车库内设置的滑杆应符合下列要求：</w:t>
      </w:r>
      <w:r>
        <w:rPr>
          <w:spacing w:val="-2"/>
          <w:sz w:val="21"/>
        </w:rPr>
        <w:t xml:space="preserve"> </w:t>
      </w:r>
      <w:r>
        <w:rPr>
          <w:spacing w:val="-2"/>
          <w:sz w:val="21"/>
        </w:rPr>
        <w:t>滑</w:t>
      </w:r>
      <w:r>
        <w:rPr>
          <w:spacing w:val="-12"/>
          <w:sz w:val="21"/>
        </w:rPr>
        <w:t>杆直径应为</w:t>
      </w:r>
      <w:r>
        <w:rPr>
          <w:spacing w:val="-12"/>
          <w:sz w:val="21"/>
        </w:rPr>
        <w:t xml:space="preserve"> </w:t>
      </w:r>
      <w:r>
        <w:rPr>
          <w:sz w:val="21"/>
        </w:rPr>
        <w:t>0.08</w:t>
      </w:r>
      <w:r>
        <w:rPr>
          <w:sz w:val="21"/>
        </w:rPr>
        <w:t>～</w:t>
      </w:r>
      <w:r>
        <w:rPr>
          <w:sz w:val="21"/>
        </w:rPr>
        <w:t>0.</w:t>
      </w:r>
      <w:r>
        <w:rPr>
          <w:spacing w:val="-3"/>
          <w:sz w:val="21"/>
        </w:rPr>
        <w:t xml:space="preserve"> </w:t>
      </w:r>
      <w:r>
        <w:rPr>
          <w:sz w:val="21"/>
        </w:rPr>
        <w:t>10m</w:t>
      </w:r>
      <w:r>
        <w:rPr>
          <w:sz w:val="21"/>
        </w:rPr>
        <w:t>；</w:t>
      </w:r>
      <w:r>
        <w:rPr>
          <w:b/>
          <w:w w:val="99"/>
          <w:sz w:val="21"/>
        </w:rPr>
        <w:t xml:space="preserve"> </w:t>
      </w:r>
    </w:p>
    <w:p w14:paraId="50496629" w14:textId="77777777" w:rsidR="00A71EEF" w:rsidRDefault="0081115D">
      <w:pPr>
        <w:pStyle w:val="a3"/>
        <w:spacing w:line="446" w:lineRule="auto"/>
        <w:ind w:left="838" w:right="5288"/>
        <w:rPr>
          <w:b/>
        </w:rPr>
      </w:pPr>
      <w:r>
        <w:rPr>
          <w:spacing w:val="-3"/>
        </w:rPr>
        <w:t>滑杆的数量宜按一个值勤战斗班设一根布置；</w:t>
      </w:r>
      <w:r>
        <w:rPr>
          <w:spacing w:val="-3"/>
        </w:rPr>
        <w:t xml:space="preserve">  </w:t>
      </w:r>
      <w:r>
        <w:rPr>
          <w:spacing w:val="-7"/>
        </w:rPr>
        <w:t>滑杆的底部应设置直径不小于</w:t>
      </w:r>
      <w:r>
        <w:rPr>
          <w:spacing w:val="-7"/>
        </w:rPr>
        <w:t xml:space="preserve"> </w:t>
      </w:r>
      <w:r>
        <w:t>0</w:t>
      </w:r>
      <w:r>
        <w:rPr>
          <w:spacing w:val="3"/>
        </w:rPr>
        <w:t xml:space="preserve">. </w:t>
      </w:r>
      <w:r>
        <w:t>8m</w:t>
      </w:r>
      <w:r>
        <w:rPr>
          <w:spacing w:val="-12"/>
        </w:rPr>
        <w:t xml:space="preserve"> </w:t>
      </w:r>
      <w:r>
        <w:rPr>
          <w:spacing w:val="-12"/>
        </w:rPr>
        <w:t>的弹性垫；</w:t>
      </w:r>
      <w:r>
        <w:rPr>
          <w:b/>
          <w:w w:val="99"/>
        </w:rPr>
        <w:t xml:space="preserve"> </w:t>
      </w:r>
    </w:p>
    <w:p w14:paraId="2AE10684" w14:textId="77777777" w:rsidR="00A71EEF" w:rsidRDefault="0081115D">
      <w:pPr>
        <w:pStyle w:val="a3"/>
        <w:spacing w:line="267" w:lineRule="exact"/>
        <w:ind w:left="838"/>
      </w:pPr>
      <w:r>
        <w:t>滑杆入孔直径宜为</w:t>
      </w:r>
      <w:r>
        <w:t xml:space="preserve"> 0.9</w:t>
      </w:r>
      <w:r>
        <w:t>～</w:t>
      </w:r>
      <w:r>
        <w:t>1.0m</w:t>
      </w:r>
      <w:r>
        <w:t>，其周围应设置防护栏等安全防护设施；</w:t>
      </w:r>
      <w:r>
        <w:t xml:space="preserve"> </w:t>
      </w:r>
    </w:p>
    <w:p w14:paraId="15C3C4B5" w14:textId="77777777" w:rsidR="00A71EEF" w:rsidRDefault="00A71EEF">
      <w:pPr>
        <w:pStyle w:val="a3"/>
        <w:spacing w:before="2"/>
        <w:rPr>
          <w:sz w:val="18"/>
        </w:rPr>
      </w:pPr>
    </w:p>
    <w:p w14:paraId="125E0390" w14:textId="77777777" w:rsidR="00A71EEF" w:rsidRDefault="0081115D">
      <w:pPr>
        <w:pStyle w:val="a3"/>
        <w:ind w:left="838"/>
      </w:pPr>
      <w:r>
        <w:t>滑杆应位于使滑降消防员到达车辆时间最短的地方；</w:t>
      </w:r>
      <w:r>
        <w:t xml:space="preserve"> </w:t>
      </w:r>
    </w:p>
    <w:p w14:paraId="3BBB5A71" w14:textId="77777777" w:rsidR="00A71EEF" w:rsidRDefault="00A71EEF">
      <w:pPr>
        <w:sectPr w:rsidR="00A71EEF">
          <w:footerReference w:type="default" r:id="rId428"/>
          <w:pgSz w:w="11910" w:h="16850"/>
          <w:pgMar w:top="1220" w:right="0" w:bottom="1420" w:left="1260" w:header="0" w:footer="1239" w:gutter="0"/>
          <w:pgNumType w:start="1420"/>
          <w:cols w:space="720"/>
        </w:sectPr>
      </w:pPr>
    </w:p>
    <w:p w14:paraId="1D89848F" w14:textId="77777777" w:rsidR="00A71EEF" w:rsidRDefault="0081115D">
      <w:pPr>
        <w:pStyle w:val="a3"/>
        <w:spacing w:before="47" w:line="446" w:lineRule="auto"/>
        <w:ind w:left="838" w:right="5288"/>
      </w:pPr>
      <w:r>
        <w:t>滑杆应安装在消防车库墙壁的附近或嵌入凹室；</w:t>
      </w:r>
      <w:r>
        <w:t xml:space="preserve"> </w:t>
      </w:r>
      <w:r>
        <w:t>滑杆上方及降落处应设置照明设施；</w:t>
      </w:r>
      <w:r>
        <w:t xml:space="preserve"> </w:t>
      </w:r>
    </w:p>
    <w:p w14:paraId="3FAF1DD1" w14:textId="77777777" w:rsidR="00A71EEF" w:rsidRDefault="0081115D">
      <w:pPr>
        <w:pStyle w:val="a3"/>
        <w:spacing w:line="446" w:lineRule="auto"/>
        <w:ind w:left="418" w:right="1609" w:firstLine="419"/>
      </w:pPr>
      <w:r>
        <w:t>在滑杆整个长度范围内，滑杆中心与最近的障碍物（墙壁、管道、停车隔间门通道）的距离不应小于</w:t>
      </w:r>
      <w:r>
        <w:t xml:space="preserve"> 0. 75m</w:t>
      </w:r>
      <w:r>
        <w:t>；</w:t>
      </w:r>
      <w:r>
        <w:t xml:space="preserve"> </w:t>
      </w:r>
    </w:p>
    <w:p w14:paraId="3C17B9C9" w14:textId="77777777" w:rsidR="00A71EEF" w:rsidRDefault="0081115D">
      <w:pPr>
        <w:pStyle w:val="a3"/>
        <w:ind w:left="838"/>
      </w:pPr>
      <w:r>
        <w:t>滑杆设置至三层及以上楼层时，应设置为交替滑杆，不应直接滑至一层。</w:t>
      </w:r>
      <w:r>
        <w:t xml:space="preserve"> </w:t>
      </w:r>
    </w:p>
    <w:p w14:paraId="753F2C35" w14:textId="77777777" w:rsidR="00A71EEF" w:rsidRDefault="00A71EEF">
      <w:pPr>
        <w:pStyle w:val="a3"/>
        <w:spacing w:before="10"/>
        <w:rPr>
          <w:sz w:val="17"/>
        </w:rPr>
      </w:pPr>
    </w:p>
    <w:p w14:paraId="138FE571" w14:textId="77777777" w:rsidR="00A71EEF" w:rsidRDefault="0081115D">
      <w:pPr>
        <w:pStyle w:val="a4"/>
        <w:numPr>
          <w:ilvl w:val="2"/>
          <w:numId w:val="201"/>
        </w:numPr>
        <w:tabs>
          <w:tab w:val="left" w:pos="1478"/>
        </w:tabs>
        <w:spacing w:line="446" w:lineRule="auto"/>
        <w:ind w:left="418" w:right="1448" w:firstLine="422"/>
        <w:rPr>
          <w:sz w:val="21"/>
        </w:rPr>
      </w:pPr>
      <w:r>
        <w:rPr>
          <w:spacing w:val="-5"/>
          <w:sz w:val="21"/>
        </w:rPr>
        <w:t>消防员进入消防车库的侧门宜双向开启，宽度不宜小于</w:t>
      </w:r>
      <w:r>
        <w:rPr>
          <w:spacing w:val="-5"/>
          <w:sz w:val="21"/>
        </w:rPr>
        <w:t xml:space="preserve"> </w:t>
      </w:r>
      <w:r>
        <w:rPr>
          <w:sz w:val="21"/>
        </w:rPr>
        <w:t>1</w:t>
      </w:r>
      <w:r>
        <w:rPr>
          <w:spacing w:val="5"/>
          <w:sz w:val="21"/>
        </w:rPr>
        <w:t xml:space="preserve">. </w:t>
      </w:r>
      <w:r>
        <w:rPr>
          <w:sz w:val="21"/>
        </w:rPr>
        <w:t>4rn</w:t>
      </w:r>
      <w:r>
        <w:rPr>
          <w:spacing w:val="-3"/>
          <w:sz w:val="21"/>
        </w:rPr>
        <w:t>，门上应设有观察窗；通道口不宜设台阶。</w:t>
      </w:r>
      <w:r>
        <w:rPr>
          <w:sz w:val="21"/>
        </w:rPr>
        <w:t xml:space="preserve"> </w:t>
      </w:r>
    </w:p>
    <w:p w14:paraId="1261E104" w14:textId="77777777" w:rsidR="00A71EEF" w:rsidRDefault="0081115D">
      <w:pPr>
        <w:pStyle w:val="a4"/>
        <w:numPr>
          <w:ilvl w:val="1"/>
          <w:numId w:val="200"/>
        </w:numPr>
        <w:tabs>
          <w:tab w:val="left" w:pos="1160"/>
        </w:tabs>
        <w:spacing w:before="1"/>
        <w:rPr>
          <w:sz w:val="21"/>
        </w:rPr>
      </w:pPr>
      <w:r>
        <w:rPr>
          <w:spacing w:val="-3"/>
          <w:sz w:val="21"/>
        </w:rPr>
        <w:t>通信室</w:t>
      </w:r>
      <w:r>
        <w:rPr>
          <w:sz w:val="21"/>
        </w:rPr>
        <w:t xml:space="preserve"> </w:t>
      </w:r>
    </w:p>
    <w:p w14:paraId="50021C6F" w14:textId="77777777" w:rsidR="00A71EEF" w:rsidRDefault="00A71EEF">
      <w:pPr>
        <w:pStyle w:val="a3"/>
        <w:spacing w:before="12"/>
        <w:rPr>
          <w:sz w:val="17"/>
        </w:rPr>
      </w:pPr>
    </w:p>
    <w:p w14:paraId="7C09C130" w14:textId="77777777" w:rsidR="00A71EEF" w:rsidRDefault="0081115D">
      <w:pPr>
        <w:pStyle w:val="a4"/>
        <w:numPr>
          <w:ilvl w:val="2"/>
          <w:numId w:val="200"/>
        </w:numPr>
        <w:tabs>
          <w:tab w:val="left" w:pos="1371"/>
        </w:tabs>
        <w:spacing w:line="446" w:lineRule="auto"/>
        <w:ind w:right="1707" w:firstLine="422"/>
        <w:rPr>
          <w:sz w:val="21"/>
        </w:rPr>
      </w:pPr>
      <w:r>
        <w:rPr>
          <w:spacing w:val="-3"/>
          <w:sz w:val="21"/>
        </w:rPr>
        <w:t>通信室宜设在车库旁边，通信室的门应直通车库并靠近车库正门一侧，向室内开启。通信室与车库之间的墙上宜设有可开启窗户。</w:t>
      </w:r>
      <w:r>
        <w:rPr>
          <w:sz w:val="21"/>
        </w:rPr>
        <w:t xml:space="preserve"> </w:t>
      </w:r>
    </w:p>
    <w:p w14:paraId="1D4539BD" w14:textId="77777777" w:rsidR="00A71EEF" w:rsidRDefault="0081115D">
      <w:pPr>
        <w:pStyle w:val="a4"/>
        <w:numPr>
          <w:ilvl w:val="2"/>
          <w:numId w:val="200"/>
        </w:numPr>
        <w:tabs>
          <w:tab w:val="left" w:pos="1371"/>
        </w:tabs>
        <w:ind w:left="1370"/>
        <w:rPr>
          <w:sz w:val="21"/>
        </w:rPr>
      </w:pPr>
      <w:r>
        <w:rPr>
          <w:spacing w:val="-3"/>
          <w:sz w:val="21"/>
        </w:rPr>
        <w:t>通信室内宜设置值班室及卫生间。</w:t>
      </w:r>
      <w:r>
        <w:rPr>
          <w:sz w:val="21"/>
        </w:rPr>
        <w:t xml:space="preserve"> </w:t>
      </w:r>
    </w:p>
    <w:p w14:paraId="03C4BF56" w14:textId="77777777" w:rsidR="00A71EEF" w:rsidRDefault="00A71EEF">
      <w:pPr>
        <w:pStyle w:val="a3"/>
        <w:spacing w:before="12"/>
        <w:rPr>
          <w:sz w:val="17"/>
        </w:rPr>
      </w:pPr>
    </w:p>
    <w:p w14:paraId="2DECF825" w14:textId="77777777" w:rsidR="00A71EEF" w:rsidRDefault="0081115D">
      <w:pPr>
        <w:pStyle w:val="a4"/>
        <w:numPr>
          <w:ilvl w:val="2"/>
          <w:numId w:val="200"/>
        </w:numPr>
        <w:tabs>
          <w:tab w:val="left" w:pos="1371"/>
        </w:tabs>
        <w:ind w:left="1370"/>
        <w:rPr>
          <w:sz w:val="21"/>
        </w:rPr>
      </w:pPr>
      <w:r>
        <w:rPr>
          <w:spacing w:val="-3"/>
          <w:sz w:val="21"/>
        </w:rPr>
        <w:t>通信室内应设置设备间或设备区。</w:t>
      </w:r>
      <w:r>
        <w:rPr>
          <w:sz w:val="21"/>
        </w:rPr>
        <w:t xml:space="preserve"> </w:t>
      </w:r>
    </w:p>
    <w:p w14:paraId="76F87C3A" w14:textId="77777777" w:rsidR="00A71EEF" w:rsidRDefault="00A71EEF">
      <w:pPr>
        <w:pStyle w:val="a3"/>
        <w:spacing w:before="2"/>
        <w:rPr>
          <w:sz w:val="18"/>
        </w:rPr>
      </w:pPr>
    </w:p>
    <w:p w14:paraId="35C2C6A4" w14:textId="77777777" w:rsidR="00A71EEF" w:rsidRDefault="0081115D">
      <w:pPr>
        <w:pStyle w:val="a4"/>
        <w:numPr>
          <w:ilvl w:val="2"/>
          <w:numId w:val="200"/>
        </w:numPr>
        <w:tabs>
          <w:tab w:val="left" w:pos="1371"/>
        </w:tabs>
        <w:ind w:left="1370"/>
        <w:rPr>
          <w:sz w:val="21"/>
        </w:rPr>
      </w:pPr>
      <w:r>
        <w:rPr>
          <w:spacing w:val="-3"/>
          <w:sz w:val="21"/>
        </w:rPr>
        <w:t>通信室地面应设置防水层，并应铺设防静电地板。</w:t>
      </w:r>
      <w:r>
        <w:rPr>
          <w:sz w:val="21"/>
        </w:rPr>
        <w:t xml:space="preserve"> </w:t>
      </w:r>
    </w:p>
    <w:p w14:paraId="0C4B47F0" w14:textId="77777777" w:rsidR="00A71EEF" w:rsidRDefault="00A71EEF">
      <w:pPr>
        <w:pStyle w:val="a3"/>
        <w:rPr>
          <w:sz w:val="18"/>
        </w:rPr>
      </w:pPr>
    </w:p>
    <w:p w14:paraId="3F138B2B" w14:textId="77777777" w:rsidR="00A71EEF" w:rsidRDefault="0081115D">
      <w:pPr>
        <w:pStyle w:val="a4"/>
        <w:numPr>
          <w:ilvl w:val="2"/>
          <w:numId w:val="200"/>
        </w:numPr>
        <w:tabs>
          <w:tab w:val="left" w:pos="1371"/>
        </w:tabs>
        <w:spacing w:line="446" w:lineRule="auto"/>
        <w:ind w:right="1707" w:firstLine="422"/>
        <w:rPr>
          <w:sz w:val="21"/>
        </w:rPr>
      </w:pPr>
      <w:r>
        <w:rPr>
          <w:spacing w:val="-3"/>
          <w:sz w:val="21"/>
        </w:rPr>
        <w:t>通信室的火警受理终端台应设在便于通信员从可开启窗户观察车辆出动情况的地方。</w:t>
      </w:r>
      <w:r>
        <w:rPr>
          <w:sz w:val="21"/>
        </w:rPr>
        <w:t xml:space="preserve"> </w:t>
      </w:r>
    </w:p>
    <w:p w14:paraId="6BCEC750" w14:textId="77777777" w:rsidR="00A71EEF" w:rsidRDefault="0081115D">
      <w:pPr>
        <w:pStyle w:val="a4"/>
        <w:numPr>
          <w:ilvl w:val="2"/>
          <w:numId w:val="200"/>
        </w:numPr>
        <w:tabs>
          <w:tab w:val="left" w:pos="1371"/>
        </w:tabs>
        <w:ind w:left="1370"/>
        <w:rPr>
          <w:sz w:val="21"/>
        </w:rPr>
      </w:pPr>
      <w:r>
        <w:rPr>
          <w:spacing w:val="-7"/>
          <w:sz w:val="21"/>
        </w:rPr>
        <w:t>通信室的墙面上，应设置不少于</w:t>
      </w:r>
      <w:r>
        <w:rPr>
          <w:spacing w:val="-7"/>
          <w:sz w:val="21"/>
        </w:rPr>
        <w:t xml:space="preserve"> </w:t>
      </w:r>
      <w:r>
        <w:rPr>
          <w:sz w:val="21"/>
        </w:rPr>
        <w:t>5</w:t>
      </w:r>
      <w:r>
        <w:rPr>
          <w:spacing w:val="-9"/>
          <w:sz w:val="21"/>
        </w:rPr>
        <w:t xml:space="preserve"> </w:t>
      </w:r>
      <w:r>
        <w:rPr>
          <w:spacing w:val="-9"/>
          <w:sz w:val="21"/>
        </w:rPr>
        <w:t>个电源插座，且不宜设置在同一面墙上；火警受</w:t>
      </w:r>
    </w:p>
    <w:p w14:paraId="76C127F8" w14:textId="77777777" w:rsidR="00A71EEF" w:rsidRDefault="00A71EEF">
      <w:pPr>
        <w:pStyle w:val="a3"/>
        <w:spacing w:before="12"/>
        <w:rPr>
          <w:sz w:val="17"/>
        </w:rPr>
      </w:pPr>
    </w:p>
    <w:p w14:paraId="6B27421D" w14:textId="77777777" w:rsidR="00A71EEF" w:rsidRDefault="0081115D">
      <w:pPr>
        <w:pStyle w:val="a3"/>
        <w:spacing w:line="446" w:lineRule="auto"/>
        <w:ind w:left="418" w:right="1611"/>
      </w:pPr>
      <w:r>
        <w:rPr>
          <w:spacing w:val="-6"/>
        </w:rPr>
        <w:t>理终端台下地面，应设置不少于</w:t>
      </w:r>
      <w:r>
        <w:rPr>
          <w:spacing w:val="-6"/>
        </w:rPr>
        <w:t xml:space="preserve"> </w:t>
      </w:r>
      <w:r>
        <w:t>2</w:t>
      </w:r>
      <w:r>
        <w:rPr>
          <w:spacing w:val="-10"/>
        </w:rPr>
        <w:t xml:space="preserve"> </w:t>
      </w:r>
      <w:r>
        <w:rPr>
          <w:spacing w:val="-10"/>
        </w:rPr>
        <w:t>个电源插座；设备间或设备区的墙面上应设置不少于</w:t>
      </w:r>
      <w:r>
        <w:rPr>
          <w:spacing w:val="-10"/>
        </w:rPr>
        <w:t xml:space="preserve"> </w:t>
      </w:r>
      <w:r>
        <w:t>3</w:t>
      </w:r>
      <w:r>
        <w:rPr>
          <w:spacing w:val="-17"/>
        </w:rPr>
        <w:t xml:space="preserve"> </w:t>
      </w:r>
      <w:r>
        <w:rPr>
          <w:spacing w:val="-17"/>
        </w:rPr>
        <w:t>个电</w:t>
      </w:r>
      <w:r>
        <w:rPr>
          <w:spacing w:val="-2"/>
        </w:rPr>
        <w:t>源插座。</w:t>
      </w:r>
      <w:r>
        <w:t xml:space="preserve"> </w:t>
      </w:r>
    </w:p>
    <w:p w14:paraId="5C203776" w14:textId="77777777" w:rsidR="00A71EEF" w:rsidRDefault="0081115D">
      <w:pPr>
        <w:pStyle w:val="a4"/>
        <w:numPr>
          <w:ilvl w:val="2"/>
          <w:numId w:val="200"/>
        </w:numPr>
        <w:tabs>
          <w:tab w:val="left" w:pos="1371"/>
        </w:tabs>
        <w:spacing w:line="446" w:lineRule="auto"/>
        <w:ind w:right="1498" w:firstLine="422"/>
        <w:rPr>
          <w:sz w:val="21"/>
        </w:rPr>
      </w:pPr>
      <w:r>
        <w:rPr>
          <w:spacing w:val="-3"/>
          <w:sz w:val="21"/>
        </w:rPr>
        <w:t>通信室的布线应包括有线通信、无线通信、计算机网络、联动控制装置</w:t>
      </w:r>
      <w:r>
        <w:rPr>
          <w:sz w:val="21"/>
        </w:rPr>
        <w:t>（</w:t>
      </w:r>
      <w:r>
        <w:rPr>
          <w:spacing w:val="-3"/>
          <w:sz w:val="21"/>
        </w:rPr>
        <w:t>警灯、警铃、火警广播、车库门）、视频监控、应急警报控制等有关线路。</w:t>
      </w:r>
      <w:r>
        <w:rPr>
          <w:sz w:val="21"/>
        </w:rPr>
        <w:t xml:space="preserve"> </w:t>
      </w:r>
    </w:p>
    <w:p w14:paraId="5AFC9D7B" w14:textId="77777777" w:rsidR="00A71EEF" w:rsidRDefault="0081115D">
      <w:pPr>
        <w:pStyle w:val="a4"/>
        <w:numPr>
          <w:ilvl w:val="2"/>
          <w:numId w:val="200"/>
        </w:numPr>
        <w:tabs>
          <w:tab w:val="left" w:pos="1371"/>
        </w:tabs>
        <w:spacing w:line="446" w:lineRule="auto"/>
        <w:ind w:right="1604" w:firstLine="422"/>
        <w:rPr>
          <w:sz w:val="21"/>
        </w:rPr>
      </w:pPr>
      <w:r>
        <w:rPr>
          <w:spacing w:val="-3"/>
          <w:sz w:val="21"/>
        </w:rPr>
        <w:t>通信室及其设备间的供电、防雷与接地、综合布线、防静电、照度、室内温、湿度等应符合现行国家标准《消防通信指挥系统设计规范》</w:t>
      </w:r>
      <w:r>
        <w:rPr>
          <w:sz w:val="21"/>
        </w:rPr>
        <w:t>GB</w:t>
      </w:r>
      <w:r>
        <w:rPr>
          <w:spacing w:val="2"/>
          <w:sz w:val="21"/>
        </w:rPr>
        <w:t xml:space="preserve"> </w:t>
      </w:r>
      <w:r>
        <w:rPr>
          <w:sz w:val="21"/>
        </w:rPr>
        <w:t>50313</w:t>
      </w:r>
      <w:r>
        <w:rPr>
          <w:spacing w:val="-10"/>
          <w:sz w:val="21"/>
        </w:rPr>
        <w:t xml:space="preserve"> </w:t>
      </w:r>
      <w:r>
        <w:rPr>
          <w:spacing w:val="-10"/>
          <w:sz w:val="21"/>
        </w:rPr>
        <w:t>的有关规定。</w:t>
      </w:r>
      <w:r>
        <w:rPr>
          <w:sz w:val="21"/>
        </w:rPr>
        <w:t xml:space="preserve"> </w:t>
      </w:r>
    </w:p>
    <w:p w14:paraId="28325BF0" w14:textId="77777777" w:rsidR="00A71EEF" w:rsidRDefault="0081115D">
      <w:pPr>
        <w:pStyle w:val="a4"/>
        <w:numPr>
          <w:ilvl w:val="2"/>
          <w:numId w:val="200"/>
        </w:numPr>
        <w:tabs>
          <w:tab w:val="left" w:pos="1371"/>
        </w:tabs>
        <w:spacing w:line="446" w:lineRule="auto"/>
        <w:ind w:right="1604" w:firstLine="422"/>
        <w:rPr>
          <w:sz w:val="21"/>
        </w:rPr>
      </w:pPr>
      <w:r>
        <w:rPr>
          <w:spacing w:val="-3"/>
          <w:sz w:val="21"/>
        </w:rPr>
        <w:t>通信室及其设备间不应设置在电磁场干扰或其他可能影响通信设备工作的用房附近。</w:t>
      </w:r>
      <w:r>
        <w:rPr>
          <w:sz w:val="21"/>
        </w:rPr>
        <w:t xml:space="preserve"> </w:t>
      </w:r>
    </w:p>
    <w:p w14:paraId="2EFDE160" w14:textId="77777777" w:rsidR="00A71EEF" w:rsidRDefault="0081115D">
      <w:pPr>
        <w:pStyle w:val="a4"/>
        <w:numPr>
          <w:ilvl w:val="1"/>
          <w:numId w:val="200"/>
        </w:numPr>
        <w:tabs>
          <w:tab w:val="left" w:pos="1159"/>
        </w:tabs>
        <w:ind w:left="1158" w:hanging="319"/>
        <w:rPr>
          <w:b/>
          <w:sz w:val="21"/>
        </w:rPr>
      </w:pPr>
      <w:r>
        <w:rPr>
          <w:spacing w:val="-3"/>
          <w:sz w:val="21"/>
        </w:rPr>
        <w:t>体能训练室</w:t>
      </w:r>
      <w:r>
        <w:rPr>
          <w:b/>
          <w:w w:val="99"/>
          <w:sz w:val="21"/>
        </w:rPr>
        <w:t xml:space="preserve"> </w:t>
      </w:r>
    </w:p>
    <w:p w14:paraId="5CBBFBE3" w14:textId="77777777" w:rsidR="00A71EEF" w:rsidRDefault="00A71EEF">
      <w:pPr>
        <w:pStyle w:val="a3"/>
        <w:spacing w:before="11"/>
        <w:rPr>
          <w:b/>
          <w:sz w:val="17"/>
        </w:rPr>
      </w:pPr>
    </w:p>
    <w:p w14:paraId="32BB0F67" w14:textId="77777777" w:rsidR="00A71EEF" w:rsidRDefault="0081115D">
      <w:pPr>
        <w:pStyle w:val="a4"/>
        <w:numPr>
          <w:ilvl w:val="2"/>
          <w:numId w:val="200"/>
        </w:numPr>
        <w:tabs>
          <w:tab w:val="left" w:pos="1371"/>
        </w:tabs>
        <w:ind w:left="1370"/>
        <w:rPr>
          <w:sz w:val="21"/>
        </w:rPr>
      </w:pPr>
      <w:r>
        <w:rPr>
          <w:spacing w:val="-8"/>
          <w:sz w:val="21"/>
        </w:rPr>
        <w:t>体能训练室净高不宜低于</w:t>
      </w:r>
      <w:r>
        <w:rPr>
          <w:spacing w:val="-8"/>
          <w:sz w:val="21"/>
        </w:rPr>
        <w:t xml:space="preserve"> </w:t>
      </w:r>
      <w:r>
        <w:rPr>
          <w:sz w:val="21"/>
        </w:rPr>
        <w:t>2.8m</w:t>
      </w:r>
      <w:r>
        <w:rPr>
          <w:spacing w:val="-3"/>
          <w:sz w:val="21"/>
        </w:rPr>
        <w:t>。</w:t>
      </w:r>
      <w:r>
        <w:rPr>
          <w:sz w:val="21"/>
        </w:rPr>
        <w:t xml:space="preserve"> </w:t>
      </w:r>
    </w:p>
    <w:p w14:paraId="4D4AB763" w14:textId="77777777" w:rsidR="00A71EEF" w:rsidRDefault="00A71EEF">
      <w:pPr>
        <w:pStyle w:val="a3"/>
        <w:spacing w:before="12"/>
        <w:rPr>
          <w:sz w:val="17"/>
        </w:rPr>
      </w:pPr>
    </w:p>
    <w:p w14:paraId="466A2A0E" w14:textId="77777777" w:rsidR="00A71EEF" w:rsidRDefault="0081115D">
      <w:pPr>
        <w:pStyle w:val="a4"/>
        <w:numPr>
          <w:ilvl w:val="2"/>
          <w:numId w:val="200"/>
        </w:numPr>
        <w:tabs>
          <w:tab w:val="left" w:pos="1371"/>
        </w:tabs>
        <w:spacing w:line="446" w:lineRule="auto"/>
        <w:ind w:right="1498" w:firstLine="422"/>
        <w:rPr>
          <w:sz w:val="21"/>
        </w:rPr>
      </w:pPr>
      <w:r>
        <w:rPr>
          <w:spacing w:val="-3"/>
          <w:sz w:val="21"/>
        </w:rPr>
        <w:t>体能训练室的门应向外开启并设置观察窗，其高度、宽度应满足人员和设备进出的要求。</w:t>
      </w:r>
      <w:r>
        <w:rPr>
          <w:sz w:val="21"/>
        </w:rPr>
        <w:t xml:space="preserve"> </w:t>
      </w:r>
    </w:p>
    <w:p w14:paraId="71DC33CC" w14:textId="77777777" w:rsidR="00A71EEF" w:rsidRDefault="00A71EEF">
      <w:pPr>
        <w:spacing w:line="446" w:lineRule="auto"/>
        <w:rPr>
          <w:sz w:val="21"/>
        </w:rPr>
        <w:sectPr w:rsidR="00A71EEF">
          <w:pgSz w:w="11910" w:h="16850"/>
          <w:pgMar w:top="1220" w:right="0" w:bottom="1420" w:left="1260" w:header="0" w:footer="1239" w:gutter="0"/>
          <w:cols w:space="720"/>
        </w:sectPr>
      </w:pPr>
    </w:p>
    <w:p w14:paraId="27BC1BB6" w14:textId="77777777" w:rsidR="00A71EEF" w:rsidRDefault="0081115D">
      <w:pPr>
        <w:pStyle w:val="a4"/>
        <w:numPr>
          <w:ilvl w:val="2"/>
          <w:numId w:val="200"/>
        </w:numPr>
        <w:tabs>
          <w:tab w:val="left" w:pos="1371"/>
        </w:tabs>
        <w:spacing w:before="47" w:line="446" w:lineRule="auto"/>
        <w:ind w:right="1604" w:firstLine="422"/>
        <w:rPr>
          <w:sz w:val="21"/>
        </w:rPr>
      </w:pPr>
      <w:r>
        <w:rPr>
          <w:spacing w:val="-3"/>
          <w:sz w:val="21"/>
        </w:rPr>
        <w:t>体能训练室应设置适合爬梯机、多功能训练机、跑步机、拉力机、杠铃、哑铃、体重机等健身器材、设施的训练区域。</w:t>
      </w:r>
      <w:r>
        <w:rPr>
          <w:sz w:val="21"/>
        </w:rPr>
        <w:t xml:space="preserve"> </w:t>
      </w:r>
    </w:p>
    <w:p w14:paraId="767FDFAB" w14:textId="77777777" w:rsidR="00A71EEF" w:rsidRDefault="0081115D">
      <w:pPr>
        <w:pStyle w:val="a4"/>
        <w:numPr>
          <w:ilvl w:val="2"/>
          <w:numId w:val="200"/>
        </w:numPr>
        <w:tabs>
          <w:tab w:val="left" w:pos="1371"/>
        </w:tabs>
        <w:spacing w:line="267" w:lineRule="exact"/>
        <w:ind w:left="1370"/>
        <w:rPr>
          <w:sz w:val="21"/>
        </w:rPr>
      </w:pPr>
      <w:r>
        <w:rPr>
          <w:spacing w:val="-3"/>
          <w:sz w:val="21"/>
        </w:rPr>
        <w:t>训练设施的配置应保障两组人员同时开展训练。</w:t>
      </w:r>
      <w:r>
        <w:rPr>
          <w:sz w:val="21"/>
        </w:rPr>
        <w:t xml:space="preserve"> </w:t>
      </w:r>
    </w:p>
    <w:p w14:paraId="22B4990F" w14:textId="77777777" w:rsidR="00A71EEF" w:rsidRDefault="00A71EEF">
      <w:pPr>
        <w:pStyle w:val="a3"/>
        <w:spacing w:before="2"/>
        <w:rPr>
          <w:sz w:val="18"/>
        </w:rPr>
      </w:pPr>
    </w:p>
    <w:p w14:paraId="0560AAB2" w14:textId="77777777" w:rsidR="00A71EEF" w:rsidRDefault="0081115D">
      <w:pPr>
        <w:pStyle w:val="a4"/>
        <w:numPr>
          <w:ilvl w:val="2"/>
          <w:numId w:val="200"/>
        </w:numPr>
        <w:tabs>
          <w:tab w:val="left" w:pos="1371"/>
        </w:tabs>
        <w:ind w:left="1370"/>
        <w:rPr>
          <w:sz w:val="21"/>
        </w:rPr>
      </w:pPr>
      <w:r>
        <w:rPr>
          <w:spacing w:val="-3"/>
          <w:sz w:val="21"/>
        </w:rPr>
        <w:t>多功能训练机应固定安装于地面，防止倾覆。</w:t>
      </w:r>
      <w:r>
        <w:rPr>
          <w:spacing w:val="-3"/>
          <w:sz w:val="21"/>
        </w:rPr>
        <w:t xml:space="preserve"> </w:t>
      </w:r>
    </w:p>
    <w:p w14:paraId="688124C3" w14:textId="77777777" w:rsidR="00A71EEF" w:rsidRDefault="00A71EEF">
      <w:pPr>
        <w:pStyle w:val="a3"/>
        <w:rPr>
          <w:sz w:val="18"/>
        </w:rPr>
      </w:pPr>
    </w:p>
    <w:p w14:paraId="3D6C2C39" w14:textId="77777777" w:rsidR="00A71EEF" w:rsidRDefault="0081115D">
      <w:pPr>
        <w:pStyle w:val="a4"/>
        <w:numPr>
          <w:ilvl w:val="2"/>
          <w:numId w:val="200"/>
        </w:numPr>
        <w:tabs>
          <w:tab w:val="left" w:pos="1371"/>
        </w:tabs>
        <w:spacing w:line="446" w:lineRule="auto"/>
        <w:ind w:right="1498" w:firstLine="422"/>
        <w:rPr>
          <w:sz w:val="21"/>
        </w:rPr>
      </w:pPr>
      <w:r>
        <w:rPr>
          <w:spacing w:val="-3"/>
          <w:sz w:val="21"/>
        </w:rPr>
        <w:t>体能训练室的墙面宜采用耐用的饰面。地面宜选用耐擦洗的木地板或橡胶底座的塑料地板。</w:t>
      </w:r>
      <w:r>
        <w:rPr>
          <w:sz w:val="21"/>
        </w:rPr>
        <w:t xml:space="preserve"> </w:t>
      </w:r>
    </w:p>
    <w:p w14:paraId="79E9694F" w14:textId="77777777" w:rsidR="00A71EEF" w:rsidRDefault="0081115D">
      <w:pPr>
        <w:pStyle w:val="a4"/>
        <w:numPr>
          <w:ilvl w:val="2"/>
          <w:numId w:val="200"/>
        </w:numPr>
        <w:tabs>
          <w:tab w:val="left" w:pos="1371"/>
        </w:tabs>
        <w:ind w:left="1370"/>
        <w:rPr>
          <w:sz w:val="21"/>
        </w:rPr>
      </w:pPr>
      <w:r>
        <w:rPr>
          <w:spacing w:val="-3"/>
          <w:sz w:val="21"/>
        </w:rPr>
        <w:t>体能训练室的墙面、顶棚和地面宜采取降低噪声的措施。</w:t>
      </w:r>
      <w:r>
        <w:rPr>
          <w:sz w:val="21"/>
        </w:rPr>
        <w:t xml:space="preserve"> </w:t>
      </w:r>
    </w:p>
    <w:p w14:paraId="0A79FD67" w14:textId="77777777" w:rsidR="00A71EEF" w:rsidRDefault="00A71EEF">
      <w:pPr>
        <w:pStyle w:val="a3"/>
        <w:rPr>
          <w:sz w:val="18"/>
        </w:rPr>
      </w:pPr>
    </w:p>
    <w:p w14:paraId="04FB1C15" w14:textId="77777777" w:rsidR="00A71EEF" w:rsidRDefault="0081115D">
      <w:pPr>
        <w:pStyle w:val="a4"/>
        <w:numPr>
          <w:ilvl w:val="1"/>
          <w:numId w:val="200"/>
        </w:numPr>
        <w:tabs>
          <w:tab w:val="left" w:pos="1160"/>
        </w:tabs>
        <w:rPr>
          <w:b/>
          <w:sz w:val="21"/>
        </w:rPr>
      </w:pPr>
      <w:r>
        <w:rPr>
          <w:spacing w:val="-3"/>
          <w:sz w:val="21"/>
        </w:rPr>
        <w:t>执勤器材库和训练器材库</w:t>
      </w:r>
      <w:r>
        <w:rPr>
          <w:b/>
          <w:w w:val="99"/>
          <w:sz w:val="21"/>
        </w:rPr>
        <w:t xml:space="preserve"> </w:t>
      </w:r>
    </w:p>
    <w:p w14:paraId="307105EE" w14:textId="77777777" w:rsidR="00A71EEF" w:rsidRDefault="00A71EEF">
      <w:pPr>
        <w:pStyle w:val="a3"/>
        <w:spacing w:before="12"/>
        <w:rPr>
          <w:b/>
          <w:sz w:val="17"/>
        </w:rPr>
      </w:pPr>
    </w:p>
    <w:p w14:paraId="7AFD4D0E" w14:textId="77777777" w:rsidR="00A71EEF" w:rsidRDefault="0081115D">
      <w:pPr>
        <w:pStyle w:val="a4"/>
        <w:numPr>
          <w:ilvl w:val="2"/>
          <w:numId w:val="200"/>
        </w:numPr>
        <w:tabs>
          <w:tab w:val="left" w:pos="1371"/>
        </w:tabs>
        <w:ind w:left="1370"/>
        <w:rPr>
          <w:sz w:val="21"/>
        </w:rPr>
      </w:pPr>
      <w:r>
        <w:rPr>
          <w:spacing w:val="-3"/>
          <w:sz w:val="21"/>
        </w:rPr>
        <w:t>执勤器材库和训练器材库宜设置在一楼。训练器材库宜布置在训练塔附近。</w:t>
      </w:r>
      <w:r>
        <w:rPr>
          <w:spacing w:val="-3"/>
          <w:sz w:val="21"/>
        </w:rPr>
        <w:t xml:space="preserve"> </w:t>
      </w:r>
    </w:p>
    <w:p w14:paraId="62820ADE" w14:textId="77777777" w:rsidR="00A71EEF" w:rsidRDefault="00A71EEF">
      <w:pPr>
        <w:pStyle w:val="a3"/>
        <w:spacing w:before="2"/>
        <w:rPr>
          <w:sz w:val="18"/>
        </w:rPr>
      </w:pPr>
    </w:p>
    <w:p w14:paraId="31E7DF5C" w14:textId="77777777" w:rsidR="00A71EEF" w:rsidRDefault="0081115D">
      <w:pPr>
        <w:pStyle w:val="a4"/>
        <w:numPr>
          <w:ilvl w:val="2"/>
          <w:numId w:val="200"/>
        </w:numPr>
        <w:tabs>
          <w:tab w:val="left" w:pos="1371"/>
        </w:tabs>
        <w:ind w:left="1370"/>
        <w:rPr>
          <w:sz w:val="21"/>
        </w:rPr>
      </w:pPr>
      <w:r>
        <w:rPr>
          <w:spacing w:val="-3"/>
          <w:sz w:val="21"/>
        </w:rPr>
        <w:t>应根椐器材的种类设置必要的存储分区。各存储分区间的通道和间隔应合理设置。</w:t>
      </w:r>
      <w:r>
        <w:rPr>
          <w:sz w:val="21"/>
        </w:rPr>
        <w:t xml:space="preserve"> </w:t>
      </w:r>
    </w:p>
    <w:p w14:paraId="277097CD" w14:textId="77777777" w:rsidR="00A71EEF" w:rsidRDefault="00A71EEF">
      <w:pPr>
        <w:pStyle w:val="a3"/>
        <w:spacing w:before="12"/>
        <w:rPr>
          <w:sz w:val="17"/>
        </w:rPr>
      </w:pPr>
    </w:p>
    <w:p w14:paraId="257C62F9" w14:textId="77777777" w:rsidR="00A71EEF" w:rsidRDefault="0081115D">
      <w:pPr>
        <w:pStyle w:val="a4"/>
        <w:numPr>
          <w:ilvl w:val="2"/>
          <w:numId w:val="200"/>
        </w:numPr>
        <w:tabs>
          <w:tab w:val="left" w:pos="1371"/>
        </w:tabs>
        <w:ind w:left="1370"/>
        <w:rPr>
          <w:sz w:val="21"/>
        </w:rPr>
      </w:pPr>
      <w:r>
        <w:rPr>
          <w:spacing w:val="-3"/>
          <w:sz w:val="21"/>
        </w:rPr>
        <w:t>器材库内应根据需要设置必要的储物架，并应合理布置。</w:t>
      </w:r>
      <w:r>
        <w:rPr>
          <w:sz w:val="21"/>
        </w:rPr>
        <w:t xml:space="preserve"> </w:t>
      </w:r>
    </w:p>
    <w:p w14:paraId="2FEDB995" w14:textId="77777777" w:rsidR="00A71EEF" w:rsidRDefault="00A71EEF">
      <w:pPr>
        <w:pStyle w:val="a3"/>
        <w:rPr>
          <w:sz w:val="18"/>
        </w:rPr>
      </w:pPr>
    </w:p>
    <w:p w14:paraId="4DF55BC6" w14:textId="77777777" w:rsidR="00A71EEF" w:rsidRDefault="0081115D">
      <w:pPr>
        <w:pStyle w:val="a4"/>
        <w:numPr>
          <w:ilvl w:val="2"/>
          <w:numId w:val="200"/>
        </w:numPr>
        <w:tabs>
          <w:tab w:val="left" w:pos="1371"/>
        </w:tabs>
        <w:ind w:left="1370"/>
        <w:rPr>
          <w:sz w:val="21"/>
        </w:rPr>
      </w:pPr>
      <w:r>
        <w:rPr>
          <w:spacing w:val="-3"/>
          <w:sz w:val="21"/>
        </w:rPr>
        <w:t>器材库内应通风良好，并应保持干燥。</w:t>
      </w:r>
      <w:r>
        <w:rPr>
          <w:sz w:val="21"/>
        </w:rPr>
        <w:t xml:space="preserve"> </w:t>
      </w:r>
    </w:p>
    <w:p w14:paraId="58CEA22E" w14:textId="77777777" w:rsidR="00A71EEF" w:rsidRDefault="00A71EEF">
      <w:pPr>
        <w:pStyle w:val="a3"/>
        <w:spacing w:before="2"/>
        <w:rPr>
          <w:sz w:val="18"/>
        </w:rPr>
      </w:pPr>
    </w:p>
    <w:p w14:paraId="0A30A418" w14:textId="77777777" w:rsidR="00A71EEF" w:rsidRDefault="0081115D">
      <w:pPr>
        <w:pStyle w:val="a4"/>
        <w:numPr>
          <w:ilvl w:val="2"/>
          <w:numId w:val="200"/>
        </w:numPr>
        <w:tabs>
          <w:tab w:val="left" w:pos="1371"/>
        </w:tabs>
        <w:spacing w:line="446" w:lineRule="auto"/>
        <w:ind w:right="1604" w:firstLine="422"/>
        <w:rPr>
          <w:sz w:val="21"/>
        </w:rPr>
      </w:pPr>
      <w:r>
        <w:rPr>
          <w:spacing w:val="-3"/>
          <w:sz w:val="21"/>
        </w:rPr>
        <w:t>器材库门直接面向室外时，室内地坪标高应高出室外场地地面设计标高，且不宜小</w:t>
      </w:r>
      <w:r>
        <w:rPr>
          <w:spacing w:val="-28"/>
          <w:sz w:val="21"/>
        </w:rPr>
        <w:t>于</w:t>
      </w:r>
      <w:r>
        <w:rPr>
          <w:spacing w:val="-28"/>
          <w:sz w:val="21"/>
        </w:rPr>
        <w:t xml:space="preserve"> </w:t>
      </w:r>
      <w:r>
        <w:rPr>
          <w:sz w:val="21"/>
        </w:rPr>
        <w:t>0.30m</w:t>
      </w:r>
      <w:r>
        <w:rPr>
          <w:spacing w:val="-12"/>
          <w:sz w:val="21"/>
        </w:rPr>
        <w:t>。门前应做</w:t>
      </w:r>
      <w:r>
        <w:rPr>
          <w:spacing w:val="-12"/>
          <w:sz w:val="21"/>
        </w:rPr>
        <w:t xml:space="preserve"> </w:t>
      </w:r>
      <w:r>
        <w:rPr>
          <w:sz w:val="21"/>
        </w:rPr>
        <w:t>10%</w:t>
      </w:r>
      <w:r>
        <w:rPr>
          <w:sz w:val="21"/>
        </w:rPr>
        <w:t>～</w:t>
      </w:r>
      <w:r>
        <w:rPr>
          <w:sz w:val="21"/>
        </w:rPr>
        <w:t>20%</w:t>
      </w:r>
      <w:r>
        <w:rPr>
          <w:spacing w:val="-3"/>
          <w:sz w:val="21"/>
        </w:rPr>
        <w:t>的坡道。</w:t>
      </w:r>
      <w:r>
        <w:rPr>
          <w:sz w:val="21"/>
        </w:rPr>
        <w:t xml:space="preserve"> </w:t>
      </w:r>
    </w:p>
    <w:p w14:paraId="0713D6FB" w14:textId="77777777" w:rsidR="00A71EEF" w:rsidRDefault="0081115D">
      <w:pPr>
        <w:pStyle w:val="a4"/>
        <w:numPr>
          <w:ilvl w:val="2"/>
          <w:numId w:val="200"/>
        </w:numPr>
        <w:tabs>
          <w:tab w:val="left" w:pos="1371"/>
        </w:tabs>
        <w:spacing w:line="267" w:lineRule="exact"/>
        <w:ind w:left="1370"/>
        <w:rPr>
          <w:sz w:val="21"/>
        </w:rPr>
      </w:pPr>
      <w:r>
        <w:rPr>
          <w:spacing w:val="-3"/>
          <w:sz w:val="21"/>
        </w:rPr>
        <w:t>器材库地面应采用耐磨、不起灰砂、强度较高的面层材料，并应采取防潮措施。</w:t>
      </w:r>
      <w:r>
        <w:rPr>
          <w:sz w:val="21"/>
        </w:rPr>
        <w:t xml:space="preserve"> </w:t>
      </w:r>
    </w:p>
    <w:p w14:paraId="1F2B1FBF" w14:textId="77777777" w:rsidR="00A71EEF" w:rsidRDefault="00A71EEF">
      <w:pPr>
        <w:pStyle w:val="a3"/>
        <w:spacing w:before="1"/>
        <w:rPr>
          <w:sz w:val="18"/>
        </w:rPr>
      </w:pPr>
    </w:p>
    <w:p w14:paraId="546D9D94" w14:textId="77777777" w:rsidR="00A71EEF" w:rsidRDefault="0081115D">
      <w:pPr>
        <w:pStyle w:val="a4"/>
        <w:numPr>
          <w:ilvl w:val="2"/>
          <w:numId w:val="200"/>
        </w:numPr>
        <w:tabs>
          <w:tab w:val="left" w:pos="1371"/>
        </w:tabs>
        <w:spacing w:before="1" w:line="446" w:lineRule="auto"/>
        <w:ind w:right="1604" w:firstLine="422"/>
        <w:rPr>
          <w:sz w:val="21"/>
        </w:rPr>
      </w:pPr>
      <w:r>
        <w:rPr>
          <w:spacing w:val="-3"/>
          <w:sz w:val="21"/>
        </w:rPr>
        <w:t>门窗应开关灵活、密封性好。窗的大小、高度应按通风、采光、建筑立面、管道安装以及节能等因素综合确定。</w:t>
      </w:r>
      <w:r>
        <w:rPr>
          <w:sz w:val="21"/>
        </w:rPr>
        <w:t xml:space="preserve"> </w:t>
      </w:r>
    </w:p>
    <w:p w14:paraId="0C4323A4" w14:textId="77777777" w:rsidR="00A71EEF" w:rsidRDefault="0081115D">
      <w:pPr>
        <w:pStyle w:val="a4"/>
        <w:numPr>
          <w:ilvl w:val="2"/>
          <w:numId w:val="200"/>
        </w:numPr>
        <w:tabs>
          <w:tab w:val="left" w:pos="1371"/>
        </w:tabs>
        <w:spacing w:line="267" w:lineRule="exact"/>
        <w:ind w:left="1370"/>
        <w:rPr>
          <w:sz w:val="21"/>
        </w:rPr>
      </w:pPr>
      <w:r>
        <w:rPr>
          <w:spacing w:val="-3"/>
          <w:sz w:val="21"/>
        </w:rPr>
        <w:t>内墙及顶棚应具有防霉、防潮性能，且应不易积灰．方便清洁。</w:t>
      </w:r>
      <w:r>
        <w:rPr>
          <w:sz w:val="21"/>
        </w:rPr>
        <w:t xml:space="preserve"> </w:t>
      </w:r>
    </w:p>
    <w:p w14:paraId="06BAFB23" w14:textId="77777777" w:rsidR="00A71EEF" w:rsidRDefault="00A71EEF">
      <w:pPr>
        <w:pStyle w:val="a3"/>
        <w:spacing w:before="1"/>
        <w:rPr>
          <w:sz w:val="18"/>
        </w:rPr>
      </w:pPr>
    </w:p>
    <w:p w14:paraId="4E4115CD" w14:textId="77777777" w:rsidR="00A71EEF" w:rsidRDefault="0081115D">
      <w:pPr>
        <w:pStyle w:val="a4"/>
        <w:numPr>
          <w:ilvl w:val="1"/>
          <w:numId w:val="200"/>
        </w:numPr>
        <w:tabs>
          <w:tab w:val="left" w:pos="1159"/>
        </w:tabs>
        <w:spacing w:before="1"/>
        <w:ind w:left="1158" w:hanging="319"/>
        <w:rPr>
          <w:b/>
          <w:sz w:val="21"/>
        </w:rPr>
      </w:pPr>
      <w:r>
        <w:rPr>
          <w:spacing w:val="-3"/>
          <w:sz w:val="21"/>
        </w:rPr>
        <w:t>被装营具库</w:t>
      </w:r>
      <w:r>
        <w:rPr>
          <w:b/>
          <w:w w:val="99"/>
          <w:sz w:val="21"/>
        </w:rPr>
        <w:t xml:space="preserve"> </w:t>
      </w:r>
    </w:p>
    <w:p w14:paraId="31EE3A22" w14:textId="77777777" w:rsidR="00A71EEF" w:rsidRDefault="00A71EEF">
      <w:pPr>
        <w:pStyle w:val="a3"/>
        <w:spacing w:before="12"/>
        <w:rPr>
          <w:b/>
          <w:sz w:val="17"/>
        </w:rPr>
      </w:pPr>
    </w:p>
    <w:p w14:paraId="1B38E9F8" w14:textId="77777777" w:rsidR="00A71EEF" w:rsidRDefault="0081115D">
      <w:pPr>
        <w:pStyle w:val="a4"/>
        <w:numPr>
          <w:ilvl w:val="2"/>
          <w:numId w:val="200"/>
        </w:numPr>
        <w:tabs>
          <w:tab w:val="left" w:pos="1371"/>
        </w:tabs>
        <w:ind w:left="1370"/>
        <w:rPr>
          <w:b/>
          <w:sz w:val="21"/>
        </w:rPr>
      </w:pPr>
      <w:r>
        <w:rPr>
          <w:spacing w:val="-3"/>
          <w:sz w:val="21"/>
        </w:rPr>
        <w:t>被装营具库宜与消防员备勤室设置在同一楼层。</w:t>
      </w:r>
      <w:r>
        <w:rPr>
          <w:b/>
          <w:w w:val="99"/>
          <w:sz w:val="21"/>
        </w:rPr>
        <w:t xml:space="preserve"> </w:t>
      </w:r>
    </w:p>
    <w:p w14:paraId="71748ABC" w14:textId="77777777" w:rsidR="00A71EEF" w:rsidRDefault="00A71EEF">
      <w:pPr>
        <w:pStyle w:val="a3"/>
        <w:rPr>
          <w:b/>
          <w:sz w:val="18"/>
        </w:rPr>
      </w:pPr>
    </w:p>
    <w:p w14:paraId="1EFB3E9E" w14:textId="77777777" w:rsidR="00A71EEF" w:rsidRDefault="0081115D">
      <w:pPr>
        <w:pStyle w:val="a4"/>
        <w:numPr>
          <w:ilvl w:val="2"/>
          <w:numId w:val="200"/>
        </w:numPr>
        <w:tabs>
          <w:tab w:val="left" w:pos="1371"/>
        </w:tabs>
        <w:ind w:left="1370"/>
        <w:rPr>
          <w:b/>
          <w:sz w:val="21"/>
        </w:rPr>
      </w:pPr>
      <w:r>
        <w:rPr>
          <w:spacing w:val="-3"/>
          <w:sz w:val="21"/>
        </w:rPr>
        <w:t>被装营具库内应设固定的个人用衣柜。</w:t>
      </w:r>
      <w:r>
        <w:rPr>
          <w:b/>
          <w:w w:val="99"/>
          <w:sz w:val="21"/>
        </w:rPr>
        <w:t xml:space="preserve"> </w:t>
      </w:r>
    </w:p>
    <w:p w14:paraId="279DF1AA" w14:textId="77777777" w:rsidR="00A71EEF" w:rsidRDefault="00A71EEF">
      <w:pPr>
        <w:pStyle w:val="a3"/>
        <w:spacing w:before="2"/>
        <w:rPr>
          <w:b/>
          <w:sz w:val="18"/>
        </w:rPr>
      </w:pPr>
    </w:p>
    <w:p w14:paraId="714CDE6C" w14:textId="77777777" w:rsidR="00A71EEF" w:rsidRDefault="0081115D">
      <w:pPr>
        <w:pStyle w:val="a4"/>
        <w:numPr>
          <w:ilvl w:val="2"/>
          <w:numId w:val="200"/>
        </w:numPr>
        <w:tabs>
          <w:tab w:val="left" w:pos="1371"/>
        </w:tabs>
        <w:ind w:left="1370"/>
        <w:rPr>
          <w:b/>
          <w:sz w:val="21"/>
        </w:rPr>
      </w:pPr>
      <w:r>
        <w:rPr>
          <w:spacing w:val="-3"/>
          <w:sz w:val="21"/>
        </w:rPr>
        <w:t>被装营具库应具有良好的通风，并应保持干燥。</w:t>
      </w:r>
      <w:r>
        <w:rPr>
          <w:b/>
          <w:w w:val="99"/>
          <w:sz w:val="21"/>
        </w:rPr>
        <w:t xml:space="preserve"> </w:t>
      </w:r>
    </w:p>
    <w:p w14:paraId="2CFDC301" w14:textId="77777777" w:rsidR="00A71EEF" w:rsidRDefault="00A71EEF">
      <w:pPr>
        <w:pStyle w:val="a3"/>
        <w:spacing w:before="12"/>
        <w:rPr>
          <w:b/>
          <w:sz w:val="17"/>
        </w:rPr>
      </w:pPr>
    </w:p>
    <w:p w14:paraId="1E2EDB40" w14:textId="77777777" w:rsidR="00A71EEF" w:rsidRDefault="0081115D">
      <w:pPr>
        <w:pStyle w:val="a4"/>
        <w:numPr>
          <w:ilvl w:val="1"/>
          <w:numId w:val="200"/>
        </w:numPr>
        <w:tabs>
          <w:tab w:val="left" w:pos="1159"/>
        </w:tabs>
        <w:ind w:left="1158" w:hanging="319"/>
        <w:rPr>
          <w:sz w:val="21"/>
        </w:rPr>
      </w:pPr>
      <w:r>
        <w:rPr>
          <w:spacing w:val="-3"/>
          <w:sz w:val="21"/>
        </w:rPr>
        <w:t>清洗室、烘干室</w:t>
      </w:r>
      <w:r>
        <w:rPr>
          <w:sz w:val="21"/>
        </w:rPr>
        <w:t xml:space="preserve"> </w:t>
      </w:r>
    </w:p>
    <w:p w14:paraId="069DF095" w14:textId="77777777" w:rsidR="00A71EEF" w:rsidRDefault="00A71EEF">
      <w:pPr>
        <w:pStyle w:val="a3"/>
        <w:rPr>
          <w:sz w:val="18"/>
        </w:rPr>
      </w:pPr>
    </w:p>
    <w:p w14:paraId="74233ECB" w14:textId="77777777" w:rsidR="00A71EEF" w:rsidRDefault="0081115D">
      <w:pPr>
        <w:pStyle w:val="a4"/>
        <w:numPr>
          <w:ilvl w:val="2"/>
          <w:numId w:val="200"/>
        </w:numPr>
        <w:tabs>
          <w:tab w:val="left" w:pos="1371"/>
        </w:tabs>
        <w:ind w:left="1370"/>
        <w:rPr>
          <w:b/>
          <w:sz w:val="21"/>
        </w:rPr>
      </w:pPr>
      <w:r>
        <w:rPr>
          <w:spacing w:val="-3"/>
          <w:sz w:val="21"/>
        </w:rPr>
        <w:t>清洗室、烘干室应留有设备进出的设备洞。</w:t>
      </w:r>
      <w:r>
        <w:rPr>
          <w:b/>
          <w:w w:val="99"/>
          <w:sz w:val="21"/>
        </w:rPr>
        <w:t xml:space="preserve"> </w:t>
      </w:r>
    </w:p>
    <w:p w14:paraId="072CFA92" w14:textId="77777777" w:rsidR="00A71EEF" w:rsidRDefault="00A71EEF">
      <w:pPr>
        <w:pStyle w:val="a3"/>
        <w:spacing w:before="1"/>
        <w:rPr>
          <w:b/>
          <w:sz w:val="18"/>
        </w:rPr>
      </w:pPr>
    </w:p>
    <w:p w14:paraId="63955A3A" w14:textId="77777777" w:rsidR="00A71EEF" w:rsidRDefault="0081115D">
      <w:pPr>
        <w:pStyle w:val="a4"/>
        <w:numPr>
          <w:ilvl w:val="2"/>
          <w:numId w:val="200"/>
        </w:numPr>
        <w:tabs>
          <w:tab w:val="left" w:pos="1371"/>
        </w:tabs>
        <w:spacing w:before="1"/>
        <w:ind w:left="1370"/>
        <w:rPr>
          <w:b/>
          <w:sz w:val="21"/>
        </w:rPr>
      </w:pPr>
      <w:r>
        <w:rPr>
          <w:spacing w:val="-3"/>
          <w:sz w:val="21"/>
        </w:rPr>
        <w:t>清洗室应有良好的通风，并应设置地漏。</w:t>
      </w:r>
      <w:r>
        <w:rPr>
          <w:b/>
          <w:w w:val="99"/>
          <w:sz w:val="21"/>
        </w:rPr>
        <w:t xml:space="preserve"> </w:t>
      </w:r>
    </w:p>
    <w:p w14:paraId="73B33CD5" w14:textId="77777777" w:rsidR="00A71EEF" w:rsidRDefault="00A71EEF">
      <w:pPr>
        <w:pStyle w:val="a3"/>
        <w:spacing w:before="12"/>
        <w:rPr>
          <w:b/>
          <w:sz w:val="17"/>
        </w:rPr>
      </w:pPr>
    </w:p>
    <w:p w14:paraId="3E31A872" w14:textId="77777777" w:rsidR="00A71EEF" w:rsidRDefault="0081115D">
      <w:pPr>
        <w:pStyle w:val="a4"/>
        <w:numPr>
          <w:ilvl w:val="2"/>
          <w:numId w:val="200"/>
        </w:numPr>
        <w:tabs>
          <w:tab w:val="left" w:pos="1371"/>
        </w:tabs>
        <w:ind w:left="1370"/>
        <w:rPr>
          <w:b/>
          <w:sz w:val="21"/>
        </w:rPr>
      </w:pPr>
      <w:r>
        <w:rPr>
          <w:spacing w:val="-10"/>
          <w:sz w:val="21"/>
        </w:rPr>
        <w:t>烘干室应设置</w:t>
      </w:r>
      <w:r>
        <w:rPr>
          <w:spacing w:val="-10"/>
          <w:sz w:val="21"/>
        </w:rPr>
        <w:t xml:space="preserve"> </w:t>
      </w:r>
      <w:r>
        <w:rPr>
          <w:sz w:val="21"/>
        </w:rPr>
        <w:t>380V</w:t>
      </w:r>
      <w:r>
        <w:rPr>
          <w:spacing w:val="-13"/>
          <w:sz w:val="21"/>
        </w:rPr>
        <w:t xml:space="preserve"> </w:t>
      </w:r>
      <w:r>
        <w:rPr>
          <w:spacing w:val="-13"/>
          <w:sz w:val="21"/>
        </w:rPr>
        <w:t>配电箱。</w:t>
      </w:r>
      <w:r>
        <w:rPr>
          <w:b/>
          <w:w w:val="99"/>
          <w:sz w:val="21"/>
        </w:rPr>
        <w:t xml:space="preserve"> </w:t>
      </w:r>
    </w:p>
    <w:p w14:paraId="1217FB01" w14:textId="77777777" w:rsidR="00A71EEF" w:rsidRDefault="00A71EEF">
      <w:pPr>
        <w:pStyle w:val="a3"/>
        <w:rPr>
          <w:b/>
          <w:sz w:val="18"/>
        </w:rPr>
      </w:pPr>
    </w:p>
    <w:p w14:paraId="3D0503D2" w14:textId="77777777" w:rsidR="00A71EEF" w:rsidRDefault="0081115D">
      <w:pPr>
        <w:pStyle w:val="a4"/>
        <w:numPr>
          <w:ilvl w:val="1"/>
          <w:numId w:val="200"/>
        </w:numPr>
        <w:tabs>
          <w:tab w:val="left" w:pos="1159"/>
        </w:tabs>
        <w:ind w:left="1158" w:hanging="319"/>
        <w:rPr>
          <w:sz w:val="21"/>
        </w:rPr>
      </w:pPr>
      <w:r>
        <w:rPr>
          <w:spacing w:val="-3"/>
          <w:sz w:val="21"/>
        </w:rPr>
        <w:t>器材修理间、呼吸器充气室</w:t>
      </w:r>
      <w:r>
        <w:rPr>
          <w:sz w:val="21"/>
        </w:rPr>
        <w:t xml:space="preserve"> </w:t>
      </w:r>
    </w:p>
    <w:p w14:paraId="04705A72" w14:textId="77777777" w:rsidR="00A71EEF" w:rsidRDefault="00A71EEF">
      <w:pPr>
        <w:rPr>
          <w:sz w:val="21"/>
        </w:rPr>
        <w:sectPr w:rsidR="00A71EEF">
          <w:pgSz w:w="11910" w:h="16850"/>
          <w:pgMar w:top="1220" w:right="0" w:bottom="1420" w:left="1260" w:header="0" w:footer="1239" w:gutter="0"/>
          <w:cols w:space="720"/>
        </w:sectPr>
      </w:pPr>
    </w:p>
    <w:p w14:paraId="654A8202" w14:textId="77777777" w:rsidR="00A71EEF" w:rsidRDefault="0081115D">
      <w:pPr>
        <w:pStyle w:val="a4"/>
        <w:numPr>
          <w:ilvl w:val="2"/>
          <w:numId w:val="200"/>
        </w:numPr>
        <w:tabs>
          <w:tab w:val="left" w:pos="1371"/>
        </w:tabs>
        <w:spacing w:before="47" w:line="446" w:lineRule="auto"/>
        <w:ind w:right="1604" w:firstLine="422"/>
        <w:rPr>
          <w:sz w:val="21"/>
        </w:rPr>
      </w:pPr>
      <w:r>
        <w:rPr>
          <w:spacing w:val="-3"/>
          <w:sz w:val="21"/>
        </w:rPr>
        <w:t>器材修理间、呼吸器充气室应设置空气充填泵、气瓶防爆箱、装具架、工作台、超声波清洗杌、气瓶及其他设备夹具、设备清洗水槽等，宜设置能搬运重物的电动葫芦。</w:t>
      </w:r>
      <w:r>
        <w:rPr>
          <w:sz w:val="21"/>
        </w:rPr>
        <w:t xml:space="preserve"> </w:t>
      </w:r>
    </w:p>
    <w:p w14:paraId="766A6236" w14:textId="77777777" w:rsidR="00A71EEF" w:rsidRDefault="0081115D">
      <w:pPr>
        <w:pStyle w:val="a4"/>
        <w:numPr>
          <w:ilvl w:val="2"/>
          <w:numId w:val="200"/>
        </w:numPr>
        <w:tabs>
          <w:tab w:val="left" w:pos="1371"/>
        </w:tabs>
        <w:spacing w:line="446" w:lineRule="auto"/>
        <w:ind w:right="1604" w:firstLine="422"/>
        <w:jc w:val="both"/>
        <w:rPr>
          <w:sz w:val="21"/>
        </w:rPr>
      </w:pPr>
      <w:r>
        <w:rPr>
          <w:spacing w:val="-3"/>
          <w:sz w:val="21"/>
        </w:rPr>
        <w:t>呼吸器充气室应有良好的通风。条件许可时，宜为守气充填泵设置通风机和通风管道，并设置室外取气口和通风口，空气流通面积应满足空气压缩机吸气和设备冷却要求，空气</w:t>
      </w:r>
      <w:r>
        <w:rPr>
          <w:spacing w:val="-13"/>
          <w:sz w:val="21"/>
        </w:rPr>
        <w:t>流速宜为</w:t>
      </w:r>
      <w:r>
        <w:rPr>
          <w:spacing w:val="-13"/>
          <w:sz w:val="21"/>
        </w:rPr>
        <w:t xml:space="preserve"> </w:t>
      </w:r>
      <w:r>
        <w:rPr>
          <w:sz w:val="21"/>
        </w:rPr>
        <w:t>6</w:t>
      </w:r>
      <w:r>
        <w:rPr>
          <w:sz w:val="21"/>
        </w:rPr>
        <w:t>～</w:t>
      </w:r>
      <w:r>
        <w:rPr>
          <w:sz w:val="21"/>
        </w:rPr>
        <w:t>10m/s</w:t>
      </w:r>
      <w:r>
        <w:rPr>
          <w:spacing w:val="-3"/>
          <w:sz w:val="21"/>
        </w:rPr>
        <w:t>。</w:t>
      </w:r>
      <w:r>
        <w:rPr>
          <w:sz w:val="21"/>
        </w:rPr>
        <w:t xml:space="preserve"> </w:t>
      </w:r>
    </w:p>
    <w:p w14:paraId="6A46A980" w14:textId="77777777" w:rsidR="00A71EEF" w:rsidRDefault="0081115D">
      <w:pPr>
        <w:pStyle w:val="a4"/>
        <w:numPr>
          <w:ilvl w:val="2"/>
          <w:numId w:val="200"/>
        </w:numPr>
        <w:tabs>
          <w:tab w:val="left" w:pos="1371"/>
        </w:tabs>
        <w:spacing w:line="268" w:lineRule="exact"/>
        <w:ind w:left="1370"/>
        <w:rPr>
          <w:sz w:val="21"/>
        </w:rPr>
      </w:pPr>
      <w:r>
        <w:rPr>
          <w:spacing w:val="-3"/>
          <w:sz w:val="21"/>
        </w:rPr>
        <w:t>器材修理间、呼吸器充气室地面和墙壁表面应便于冲洗，地面上不应设置台阶。</w:t>
      </w:r>
      <w:r>
        <w:rPr>
          <w:sz w:val="21"/>
        </w:rPr>
        <w:t xml:space="preserve"> </w:t>
      </w:r>
    </w:p>
    <w:p w14:paraId="33E18551" w14:textId="77777777" w:rsidR="00A71EEF" w:rsidRDefault="00A71EEF">
      <w:pPr>
        <w:pStyle w:val="a3"/>
        <w:rPr>
          <w:sz w:val="18"/>
        </w:rPr>
      </w:pPr>
    </w:p>
    <w:p w14:paraId="6DC44AE4" w14:textId="77777777" w:rsidR="00A71EEF" w:rsidRDefault="0081115D">
      <w:pPr>
        <w:pStyle w:val="a4"/>
        <w:numPr>
          <w:ilvl w:val="2"/>
          <w:numId w:val="200"/>
        </w:numPr>
        <w:tabs>
          <w:tab w:val="left" w:pos="1371"/>
        </w:tabs>
        <w:ind w:left="1370"/>
        <w:rPr>
          <w:sz w:val="21"/>
        </w:rPr>
      </w:pPr>
      <w:r>
        <w:rPr>
          <w:spacing w:val="-3"/>
          <w:sz w:val="21"/>
        </w:rPr>
        <w:t>器材修理间、呼吸器充气室门上应设观察窗，观察窗下沿距地面高度不应</w:t>
      </w:r>
      <w:r>
        <w:rPr>
          <w:spacing w:val="-3"/>
          <w:sz w:val="21"/>
        </w:rPr>
        <w:t>低于</w:t>
      </w:r>
    </w:p>
    <w:p w14:paraId="1E79FE32" w14:textId="77777777" w:rsidR="00A71EEF" w:rsidRDefault="00A71EEF">
      <w:pPr>
        <w:pStyle w:val="a3"/>
        <w:rPr>
          <w:sz w:val="18"/>
        </w:rPr>
      </w:pPr>
    </w:p>
    <w:p w14:paraId="49199742" w14:textId="77777777" w:rsidR="00A71EEF" w:rsidRDefault="0081115D">
      <w:pPr>
        <w:pStyle w:val="a3"/>
        <w:ind w:left="418"/>
      </w:pPr>
      <w:r>
        <w:t>1.5m</w:t>
      </w:r>
      <w:r>
        <w:t>。</w:t>
      </w:r>
      <w:r>
        <w:t xml:space="preserve">  </w:t>
      </w:r>
      <w:r>
        <w:t xml:space="preserve"> </w:t>
      </w:r>
    </w:p>
    <w:p w14:paraId="75CCA9AC" w14:textId="77777777" w:rsidR="00A71EEF" w:rsidRDefault="00A71EEF">
      <w:pPr>
        <w:pStyle w:val="a3"/>
        <w:rPr>
          <w:sz w:val="18"/>
        </w:rPr>
      </w:pPr>
    </w:p>
    <w:p w14:paraId="47961E80" w14:textId="77777777" w:rsidR="00A71EEF" w:rsidRDefault="0081115D">
      <w:pPr>
        <w:pStyle w:val="a4"/>
        <w:numPr>
          <w:ilvl w:val="2"/>
          <w:numId w:val="200"/>
        </w:numPr>
        <w:tabs>
          <w:tab w:val="left" w:pos="1371"/>
        </w:tabs>
        <w:ind w:left="1370"/>
        <w:rPr>
          <w:sz w:val="21"/>
        </w:rPr>
      </w:pPr>
      <w:r>
        <w:rPr>
          <w:spacing w:val="-6"/>
          <w:sz w:val="21"/>
        </w:rPr>
        <w:t>器材修理间和呼吸器充气室内应设置</w:t>
      </w:r>
      <w:r>
        <w:rPr>
          <w:spacing w:val="-6"/>
          <w:sz w:val="21"/>
        </w:rPr>
        <w:t xml:space="preserve"> </w:t>
      </w:r>
      <w:r>
        <w:rPr>
          <w:sz w:val="21"/>
        </w:rPr>
        <w:t>380V</w:t>
      </w:r>
      <w:r>
        <w:rPr>
          <w:spacing w:val="-13"/>
          <w:sz w:val="21"/>
        </w:rPr>
        <w:t xml:space="preserve"> </w:t>
      </w:r>
      <w:r>
        <w:rPr>
          <w:spacing w:val="-13"/>
          <w:sz w:val="21"/>
        </w:rPr>
        <w:t>配电箱。</w:t>
      </w:r>
      <w:r>
        <w:rPr>
          <w:sz w:val="21"/>
        </w:rPr>
        <w:t xml:space="preserve"> </w:t>
      </w:r>
    </w:p>
    <w:p w14:paraId="651CE772" w14:textId="77777777" w:rsidR="00A71EEF" w:rsidRDefault="00A71EEF">
      <w:pPr>
        <w:pStyle w:val="a3"/>
        <w:spacing w:before="1"/>
        <w:rPr>
          <w:sz w:val="18"/>
        </w:rPr>
      </w:pPr>
    </w:p>
    <w:p w14:paraId="20E7DD2D" w14:textId="77777777" w:rsidR="00A71EEF" w:rsidRDefault="0081115D">
      <w:pPr>
        <w:pStyle w:val="a4"/>
        <w:numPr>
          <w:ilvl w:val="2"/>
          <w:numId w:val="200"/>
        </w:numPr>
        <w:tabs>
          <w:tab w:val="left" w:pos="1371"/>
        </w:tabs>
        <w:spacing w:before="1" w:line="446" w:lineRule="auto"/>
        <w:ind w:right="1604" w:firstLine="422"/>
        <w:rPr>
          <w:sz w:val="21"/>
        </w:rPr>
      </w:pPr>
      <w:r>
        <w:rPr>
          <w:spacing w:val="-3"/>
          <w:sz w:val="21"/>
        </w:rPr>
        <w:t>空气填充泵、工作台等设备之间应设置安全间距，其宽度应满足设备操作、拆装和运输的需要。</w:t>
      </w:r>
      <w:r>
        <w:rPr>
          <w:sz w:val="21"/>
        </w:rPr>
        <w:t xml:space="preserve"> </w:t>
      </w:r>
    </w:p>
    <w:p w14:paraId="7A1CDC3D" w14:textId="77777777" w:rsidR="00A71EEF" w:rsidRDefault="0081115D">
      <w:pPr>
        <w:pStyle w:val="a4"/>
        <w:numPr>
          <w:ilvl w:val="2"/>
          <w:numId w:val="200"/>
        </w:numPr>
        <w:tabs>
          <w:tab w:val="left" w:pos="1371"/>
        </w:tabs>
        <w:spacing w:line="446" w:lineRule="auto"/>
        <w:ind w:right="1604" w:firstLine="422"/>
        <w:rPr>
          <w:sz w:val="21"/>
        </w:rPr>
      </w:pPr>
      <w:r>
        <w:rPr>
          <w:spacing w:val="-3"/>
          <w:sz w:val="21"/>
        </w:rPr>
        <w:t>器材修理间、呼吸器充气室应按照设备需要，设置冷水及热水供应管道以及废液排放管道。</w:t>
      </w:r>
      <w:r>
        <w:rPr>
          <w:sz w:val="21"/>
        </w:rPr>
        <w:t xml:space="preserve"> </w:t>
      </w:r>
    </w:p>
    <w:p w14:paraId="403A08A5" w14:textId="77777777" w:rsidR="00A71EEF" w:rsidRDefault="0081115D">
      <w:pPr>
        <w:pStyle w:val="a4"/>
        <w:numPr>
          <w:ilvl w:val="1"/>
          <w:numId w:val="199"/>
        </w:numPr>
        <w:tabs>
          <w:tab w:val="left" w:pos="1160"/>
        </w:tabs>
        <w:rPr>
          <w:sz w:val="21"/>
        </w:rPr>
      </w:pPr>
      <w:r>
        <w:rPr>
          <w:spacing w:val="-3"/>
          <w:sz w:val="21"/>
        </w:rPr>
        <w:t>灭火救援研讨室、电脑室</w:t>
      </w:r>
      <w:r>
        <w:rPr>
          <w:sz w:val="21"/>
        </w:rPr>
        <w:t xml:space="preserve"> </w:t>
      </w:r>
    </w:p>
    <w:p w14:paraId="0D6A7EC8" w14:textId="77777777" w:rsidR="00A71EEF" w:rsidRDefault="00A71EEF">
      <w:pPr>
        <w:pStyle w:val="a3"/>
        <w:spacing w:before="10"/>
        <w:rPr>
          <w:sz w:val="17"/>
        </w:rPr>
      </w:pPr>
    </w:p>
    <w:p w14:paraId="498E7428" w14:textId="77777777" w:rsidR="00A71EEF" w:rsidRDefault="0081115D">
      <w:pPr>
        <w:pStyle w:val="a4"/>
        <w:numPr>
          <w:ilvl w:val="2"/>
          <w:numId w:val="199"/>
        </w:numPr>
        <w:tabs>
          <w:tab w:val="left" w:pos="1371"/>
        </w:tabs>
        <w:spacing w:line="446" w:lineRule="auto"/>
        <w:ind w:right="1498" w:firstLine="422"/>
        <w:rPr>
          <w:sz w:val="21"/>
        </w:rPr>
      </w:pPr>
      <w:r>
        <w:rPr>
          <w:spacing w:val="-3"/>
          <w:sz w:val="21"/>
        </w:rPr>
        <w:t>灭火救援研讨室、电脑室的计算机接口数应根据当地经济条件适量选配，条件许可的消防站宜按每人一台设计。</w:t>
      </w:r>
      <w:r>
        <w:rPr>
          <w:sz w:val="21"/>
        </w:rPr>
        <w:t xml:space="preserve"> </w:t>
      </w:r>
    </w:p>
    <w:p w14:paraId="790AF087" w14:textId="77777777" w:rsidR="00A71EEF" w:rsidRDefault="0081115D">
      <w:pPr>
        <w:pStyle w:val="a4"/>
        <w:numPr>
          <w:ilvl w:val="2"/>
          <w:numId w:val="199"/>
        </w:numPr>
        <w:tabs>
          <w:tab w:val="left" w:pos="1371"/>
        </w:tabs>
        <w:ind w:left="1370"/>
        <w:rPr>
          <w:sz w:val="21"/>
        </w:rPr>
      </w:pPr>
      <w:r>
        <w:rPr>
          <w:spacing w:val="-3"/>
          <w:sz w:val="21"/>
        </w:rPr>
        <w:t>电脑桌和通道的布局应便于紧急出动。</w:t>
      </w:r>
      <w:r>
        <w:rPr>
          <w:spacing w:val="-3"/>
          <w:sz w:val="21"/>
        </w:rPr>
        <w:t xml:space="preserve"> </w:t>
      </w:r>
    </w:p>
    <w:p w14:paraId="33BA6E9E" w14:textId="77777777" w:rsidR="00A71EEF" w:rsidRDefault="00A71EEF">
      <w:pPr>
        <w:pStyle w:val="a3"/>
        <w:spacing w:before="12"/>
        <w:rPr>
          <w:sz w:val="17"/>
        </w:rPr>
      </w:pPr>
    </w:p>
    <w:p w14:paraId="12327BBE" w14:textId="77777777" w:rsidR="00A71EEF" w:rsidRDefault="0081115D">
      <w:pPr>
        <w:pStyle w:val="a4"/>
        <w:numPr>
          <w:ilvl w:val="2"/>
          <w:numId w:val="199"/>
        </w:numPr>
        <w:tabs>
          <w:tab w:val="left" w:pos="1371"/>
        </w:tabs>
        <w:ind w:left="1370"/>
        <w:rPr>
          <w:sz w:val="21"/>
        </w:rPr>
      </w:pPr>
      <w:r>
        <w:rPr>
          <w:spacing w:val="-3"/>
          <w:sz w:val="21"/>
        </w:rPr>
        <w:t>电脑室的布线应包括有线通信、计算机网络等有关线路。</w:t>
      </w:r>
      <w:r>
        <w:rPr>
          <w:sz w:val="21"/>
        </w:rPr>
        <w:t xml:space="preserve"> </w:t>
      </w:r>
    </w:p>
    <w:p w14:paraId="35C1E16B" w14:textId="77777777" w:rsidR="00A71EEF" w:rsidRDefault="00A71EEF">
      <w:pPr>
        <w:pStyle w:val="a3"/>
        <w:spacing w:before="2"/>
        <w:rPr>
          <w:sz w:val="18"/>
        </w:rPr>
      </w:pPr>
    </w:p>
    <w:p w14:paraId="69F1A4F4" w14:textId="77777777" w:rsidR="00A71EEF" w:rsidRDefault="0081115D">
      <w:pPr>
        <w:pStyle w:val="a4"/>
        <w:numPr>
          <w:ilvl w:val="2"/>
          <w:numId w:val="199"/>
        </w:numPr>
        <w:tabs>
          <w:tab w:val="left" w:pos="1371"/>
        </w:tabs>
        <w:ind w:left="1370"/>
        <w:rPr>
          <w:sz w:val="21"/>
        </w:rPr>
      </w:pPr>
      <w:r>
        <w:rPr>
          <w:spacing w:val="-3"/>
          <w:sz w:val="21"/>
        </w:rPr>
        <w:t>灭火救援研讨室应设置电子白板、黑板、音响、投影系统等设备。</w:t>
      </w:r>
      <w:r>
        <w:rPr>
          <w:spacing w:val="-3"/>
          <w:sz w:val="21"/>
        </w:rPr>
        <w:t xml:space="preserve"> </w:t>
      </w:r>
    </w:p>
    <w:p w14:paraId="765211BC" w14:textId="77777777" w:rsidR="00A71EEF" w:rsidRDefault="00A71EEF">
      <w:pPr>
        <w:pStyle w:val="a3"/>
        <w:rPr>
          <w:sz w:val="18"/>
        </w:rPr>
      </w:pPr>
    </w:p>
    <w:p w14:paraId="457F451E" w14:textId="77777777" w:rsidR="00A71EEF" w:rsidRDefault="0081115D">
      <w:pPr>
        <w:pStyle w:val="a4"/>
        <w:numPr>
          <w:ilvl w:val="2"/>
          <w:numId w:val="199"/>
        </w:numPr>
        <w:tabs>
          <w:tab w:val="left" w:pos="1371"/>
        </w:tabs>
        <w:spacing w:line="446" w:lineRule="auto"/>
        <w:ind w:right="1498" w:firstLine="422"/>
        <w:rPr>
          <w:sz w:val="21"/>
        </w:rPr>
      </w:pPr>
      <w:r>
        <w:rPr>
          <w:spacing w:val="-3"/>
          <w:sz w:val="21"/>
        </w:rPr>
        <w:t>灭火救援研讨室、电脑室的地板应有防静电要求，其电源功率应能满足所有电脑同时使用的要求。</w:t>
      </w:r>
      <w:r>
        <w:rPr>
          <w:sz w:val="21"/>
        </w:rPr>
        <w:t xml:space="preserve"> </w:t>
      </w:r>
    </w:p>
    <w:p w14:paraId="3E8B786C" w14:textId="77777777" w:rsidR="00A71EEF" w:rsidRDefault="0081115D">
      <w:pPr>
        <w:pStyle w:val="a4"/>
        <w:numPr>
          <w:ilvl w:val="2"/>
          <w:numId w:val="199"/>
        </w:numPr>
        <w:tabs>
          <w:tab w:val="left" w:pos="1371"/>
        </w:tabs>
        <w:spacing w:line="446" w:lineRule="auto"/>
        <w:ind w:right="1500" w:firstLine="422"/>
        <w:rPr>
          <w:sz w:val="21"/>
        </w:rPr>
      </w:pPr>
      <w:r>
        <w:rPr>
          <w:spacing w:val="-5"/>
          <w:sz w:val="21"/>
        </w:rPr>
        <w:t>灭火救援研讨室、电脑室的防雷与接地、综合布线等应符合本规范第</w:t>
      </w:r>
      <w:r>
        <w:rPr>
          <w:spacing w:val="-5"/>
          <w:sz w:val="21"/>
        </w:rPr>
        <w:t xml:space="preserve"> </w:t>
      </w:r>
      <w:r>
        <w:rPr>
          <w:sz w:val="21"/>
        </w:rPr>
        <w:t>6</w:t>
      </w:r>
      <w:r>
        <w:rPr>
          <w:spacing w:val="-7"/>
          <w:sz w:val="21"/>
        </w:rPr>
        <w:t xml:space="preserve"> </w:t>
      </w:r>
      <w:r>
        <w:rPr>
          <w:spacing w:val="-7"/>
          <w:sz w:val="21"/>
        </w:rPr>
        <w:t>章的有关要求</w:t>
      </w:r>
      <w:r>
        <w:rPr>
          <w:spacing w:val="-3"/>
          <w:sz w:val="21"/>
        </w:rPr>
        <w:t>。</w:t>
      </w:r>
      <w:r>
        <w:rPr>
          <w:sz w:val="21"/>
        </w:rPr>
        <w:t xml:space="preserve"> </w:t>
      </w:r>
    </w:p>
    <w:p w14:paraId="0797AFFD" w14:textId="77777777" w:rsidR="00A71EEF" w:rsidRDefault="0081115D">
      <w:pPr>
        <w:pStyle w:val="a4"/>
        <w:numPr>
          <w:ilvl w:val="1"/>
          <w:numId w:val="199"/>
        </w:numPr>
        <w:tabs>
          <w:tab w:val="left" w:pos="1264"/>
        </w:tabs>
        <w:spacing w:line="267" w:lineRule="exact"/>
        <w:ind w:left="1263" w:hanging="424"/>
        <w:rPr>
          <w:sz w:val="21"/>
        </w:rPr>
      </w:pPr>
      <w:r>
        <w:rPr>
          <w:spacing w:val="-3"/>
          <w:sz w:val="21"/>
        </w:rPr>
        <w:t>图书阅览室</w:t>
      </w:r>
      <w:r>
        <w:rPr>
          <w:sz w:val="21"/>
        </w:rPr>
        <w:t xml:space="preserve"> </w:t>
      </w:r>
    </w:p>
    <w:p w14:paraId="61472DD6" w14:textId="77777777" w:rsidR="00A71EEF" w:rsidRDefault="00A71EEF">
      <w:pPr>
        <w:pStyle w:val="a3"/>
        <w:spacing w:before="2"/>
        <w:rPr>
          <w:sz w:val="18"/>
        </w:rPr>
      </w:pPr>
    </w:p>
    <w:p w14:paraId="02B65C0A" w14:textId="77777777" w:rsidR="00A71EEF" w:rsidRDefault="0081115D">
      <w:pPr>
        <w:pStyle w:val="a4"/>
        <w:numPr>
          <w:ilvl w:val="2"/>
          <w:numId w:val="199"/>
        </w:numPr>
        <w:tabs>
          <w:tab w:val="left" w:pos="1478"/>
        </w:tabs>
        <w:ind w:left="1477" w:hanging="638"/>
        <w:rPr>
          <w:sz w:val="21"/>
        </w:rPr>
      </w:pPr>
      <w:r>
        <w:rPr>
          <w:spacing w:val="-6"/>
          <w:sz w:val="21"/>
        </w:rPr>
        <w:t>图书阅览室的座位数应能满足所在队站</w:t>
      </w:r>
      <w:r>
        <w:rPr>
          <w:spacing w:val="-6"/>
          <w:sz w:val="21"/>
        </w:rPr>
        <w:t xml:space="preserve"> </w:t>
      </w:r>
      <w:r>
        <w:rPr>
          <w:sz w:val="21"/>
        </w:rPr>
        <w:t>1/2</w:t>
      </w:r>
      <w:r>
        <w:rPr>
          <w:spacing w:val="-9"/>
          <w:sz w:val="21"/>
        </w:rPr>
        <w:t xml:space="preserve"> </w:t>
      </w:r>
      <w:r>
        <w:rPr>
          <w:spacing w:val="-9"/>
          <w:sz w:val="21"/>
        </w:rPr>
        <w:t>人数同时使用的要求。</w:t>
      </w:r>
      <w:r>
        <w:rPr>
          <w:sz w:val="21"/>
        </w:rPr>
        <w:t xml:space="preserve"> </w:t>
      </w:r>
    </w:p>
    <w:p w14:paraId="28F59153" w14:textId="77777777" w:rsidR="00A71EEF" w:rsidRDefault="00A71EEF">
      <w:pPr>
        <w:pStyle w:val="a3"/>
        <w:spacing w:before="12"/>
        <w:rPr>
          <w:sz w:val="17"/>
        </w:rPr>
      </w:pPr>
    </w:p>
    <w:p w14:paraId="6FD4DEA4" w14:textId="77777777" w:rsidR="00A71EEF" w:rsidRDefault="0081115D">
      <w:pPr>
        <w:pStyle w:val="a4"/>
        <w:numPr>
          <w:ilvl w:val="2"/>
          <w:numId w:val="199"/>
        </w:numPr>
        <w:tabs>
          <w:tab w:val="left" w:pos="1478"/>
        </w:tabs>
        <w:spacing w:before="1"/>
        <w:ind w:left="1477" w:hanging="638"/>
        <w:rPr>
          <w:sz w:val="21"/>
        </w:rPr>
      </w:pPr>
      <w:r>
        <w:rPr>
          <w:spacing w:val="-3"/>
          <w:sz w:val="21"/>
        </w:rPr>
        <w:t>图书阅览室应具有良好的通风和自然采光。</w:t>
      </w:r>
      <w:r>
        <w:rPr>
          <w:spacing w:val="-3"/>
          <w:sz w:val="21"/>
        </w:rPr>
        <w:t xml:space="preserve"> </w:t>
      </w:r>
    </w:p>
    <w:p w14:paraId="546E20FA" w14:textId="77777777" w:rsidR="00A71EEF" w:rsidRDefault="00A71EEF">
      <w:pPr>
        <w:pStyle w:val="a3"/>
        <w:spacing w:before="12"/>
        <w:rPr>
          <w:sz w:val="17"/>
        </w:rPr>
      </w:pPr>
    </w:p>
    <w:p w14:paraId="1FF40A23" w14:textId="77777777" w:rsidR="00A71EEF" w:rsidRDefault="0081115D">
      <w:pPr>
        <w:pStyle w:val="a4"/>
        <w:numPr>
          <w:ilvl w:val="2"/>
          <w:numId w:val="199"/>
        </w:numPr>
        <w:tabs>
          <w:tab w:val="left" w:pos="1478"/>
        </w:tabs>
        <w:ind w:left="1477" w:hanging="638"/>
        <w:rPr>
          <w:sz w:val="21"/>
        </w:rPr>
      </w:pPr>
      <w:r>
        <w:rPr>
          <w:spacing w:val="-6"/>
          <w:sz w:val="21"/>
        </w:rPr>
        <w:t>图书阅览室的门应向外开启，其宽度不应小于</w:t>
      </w:r>
      <w:r>
        <w:rPr>
          <w:spacing w:val="-6"/>
          <w:sz w:val="21"/>
        </w:rPr>
        <w:t xml:space="preserve"> </w:t>
      </w:r>
      <w:r>
        <w:rPr>
          <w:sz w:val="21"/>
        </w:rPr>
        <w:t>1.4m</w:t>
      </w:r>
      <w:r>
        <w:rPr>
          <w:spacing w:val="-3"/>
          <w:sz w:val="21"/>
        </w:rPr>
        <w:t>。</w:t>
      </w:r>
      <w:r>
        <w:rPr>
          <w:sz w:val="21"/>
        </w:rPr>
        <w:t xml:space="preserve"> </w:t>
      </w:r>
    </w:p>
    <w:p w14:paraId="7035A918" w14:textId="77777777" w:rsidR="00A71EEF" w:rsidRDefault="00A71EEF">
      <w:pPr>
        <w:pStyle w:val="a3"/>
        <w:spacing w:before="2"/>
        <w:rPr>
          <w:sz w:val="18"/>
        </w:rPr>
      </w:pPr>
    </w:p>
    <w:p w14:paraId="55A4E964" w14:textId="77777777" w:rsidR="00A71EEF" w:rsidRDefault="0081115D">
      <w:pPr>
        <w:pStyle w:val="a4"/>
        <w:numPr>
          <w:ilvl w:val="1"/>
          <w:numId w:val="199"/>
        </w:numPr>
        <w:tabs>
          <w:tab w:val="left" w:pos="1266"/>
        </w:tabs>
        <w:ind w:left="1265" w:hanging="426"/>
        <w:rPr>
          <w:sz w:val="21"/>
        </w:rPr>
      </w:pPr>
      <w:r>
        <w:rPr>
          <w:spacing w:val="-3"/>
          <w:sz w:val="21"/>
        </w:rPr>
        <w:t>会议室</w:t>
      </w:r>
      <w:r>
        <w:rPr>
          <w:sz w:val="21"/>
        </w:rPr>
        <w:t xml:space="preserve"> </w:t>
      </w:r>
    </w:p>
    <w:p w14:paraId="329A7BEB" w14:textId="77777777" w:rsidR="00A71EEF" w:rsidRDefault="00A71EEF">
      <w:pPr>
        <w:rPr>
          <w:sz w:val="21"/>
        </w:rPr>
        <w:sectPr w:rsidR="00A71EEF">
          <w:pgSz w:w="11910" w:h="16850"/>
          <w:pgMar w:top="1220" w:right="0" w:bottom="1420" w:left="1260" w:header="0" w:footer="1239" w:gutter="0"/>
          <w:cols w:space="720"/>
        </w:sectPr>
      </w:pPr>
    </w:p>
    <w:p w14:paraId="6B90B0FF" w14:textId="77777777" w:rsidR="00A71EEF" w:rsidRDefault="0081115D">
      <w:pPr>
        <w:pStyle w:val="a4"/>
        <w:numPr>
          <w:ilvl w:val="2"/>
          <w:numId w:val="199"/>
        </w:numPr>
        <w:tabs>
          <w:tab w:val="left" w:pos="1478"/>
        </w:tabs>
        <w:spacing w:before="47"/>
        <w:ind w:left="1477" w:hanging="638"/>
        <w:rPr>
          <w:sz w:val="21"/>
        </w:rPr>
      </w:pPr>
      <w:r>
        <w:rPr>
          <w:spacing w:val="-3"/>
          <w:sz w:val="21"/>
        </w:rPr>
        <w:t>会议室的座位数应能满足队站全体人员同时使用的要求。</w:t>
      </w:r>
      <w:r>
        <w:rPr>
          <w:sz w:val="21"/>
        </w:rPr>
        <w:t xml:space="preserve"> </w:t>
      </w:r>
    </w:p>
    <w:p w14:paraId="28E3238B" w14:textId="77777777" w:rsidR="00A71EEF" w:rsidRDefault="00A71EEF">
      <w:pPr>
        <w:pStyle w:val="a3"/>
        <w:rPr>
          <w:sz w:val="18"/>
        </w:rPr>
      </w:pPr>
    </w:p>
    <w:p w14:paraId="2CD75D8B" w14:textId="77777777" w:rsidR="00A71EEF" w:rsidRDefault="0081115D">
      <w:pPr>
        <w:pStyle w:val="a4"/>
        <w:numPr>
          <w:ilvl w:val="2"/>
          <w:numId w:val="199"/>
        </w:numPr>
        <w:tabs>
          <w:tab w:val="left" w:pos="1478"/>
        </w:tabs>
        <w:ind w:left="1477" w:hanging="638"/>
        <w:rPr>
          <w:sz w:val="21"/>
        </w:rPr>
      </w:pPr>
      <w:r>
        <w:rPr>
          <w:spacing w:val="-3"/>
          <w:sz w:val="21"/>
        </w:rPr>
        <w:t>会议室的布线应包括有线通信、计算机网络、视频会议等有关线路。</w:t>
      </w:r>
      <w:r>
        <w:rPr>
          <w:spacing w:val="-3"/>
          <w:sz w:val="21"/>
        </w:rPr>
        <w:t xml:space="preserve"> </w:t>
      </w:r>
    </w:p>
    <w:p w14:paraId="5D2C735D" w14:textId="77777777" w:rsidR="00A71EEF" w:rsidRDefault="00A71EEF">
      <w:pPr>
        <w:pStyle w:val="a3"/>
        <w:rPr>
          <w:sz w:val="18"/>
        </w:rPr>
      </w:pPr>
    </w:p>
    <w:p w14:paraId="0D5296C6" w14:textId="77777777" w:rsidR="00A71EEF" w:rsidRDefault="0081115D">
      <w:pPr>
        <w:pStyle w:val="a4"/>
        <w:numPr>
          <w:ilvl w:val="2"/>
          <w:numId w:val="199"/>
        </w:numPr>
        <w:tabs>
          <w:tab w:val="left" w:pos="1478"/>
        </w:tabs>
        <w:ind w:left="1477" w:hanging="638"/>
        <w:rPr>
          <w:sz w:val="21"/>
        </w:rPr>
      </w:pPr>
      <w:r>
        <w:rPr>
          <w:spacing w:val="-3"/>
          <w:sz w:val="21"/>
        </w:rPr>
        <w:t>会议室应设置音响、视频会议终端、投影系统等设备。</w:t>
      </w:r>
      <w:r>
        <w:rPr>
          <w:sz w:val="21"/>
        </w:rPr>
        <w:t xml:space="preserve"> </w:t>
      </w:r>
    </w:p>
    <w:p w14:paraId="346ED131" w14:textId="77777777" w:rsidR="00A71EEF" w:rsidRDefault="00A71EEF">
      <w:pPr>
        <w:pStyle w:val="a3"/>
        <w:spacing w:before="1"/>
        <w:rPr>
          <w:sz w:val="18"/>
        </w:rPr>
      </w:pPr>
    </w:p>
    <w:p w14:paraId="1A5C2589" w14:textId="77777777" w:rsidR="00A71EEF" w:rsidRDefault="0081115D">
      <w:pPr>
        <w:pStyle w:val="a4"/>
        <w:numPr>
          <w:ilvl w:val="2"/>
          <w:numId w:val="199"/>
        </w:numPr>
        <w:tabs>
          <w:tab w:val="left" w:pos="1478"/>
        </w:tabs>
        <w:spacing w:before="1"/>
        <w:ind w:left="1477" w:hanging="638"/>
        <w:rPr>
          <w:sz w:val="21"/>
        </w:rPr>
      </w:pPr>
      <w:r>
        <w:rPr>
          <w:spacing w:val="-3"/>
          <w:sz w:val="21"/>
        </w:rPr>
        <w:t>会议室应设置两个以上出入口。</w:t>
      </w:r>
      <w:r>
        <w:rPr>
          <w:sz w:val="21"/>
        </w:rPr>
        <w:t xml:space="preserve"> </w:t>
      </w:r>
    </w:p>
    <w:p w14:paraId="5C18BF5A" w14:textId="77777777" w:rsidR="00A71EEF" w:rsidRDefault="00A71EEF">
      <w:pPr>
        <w:pStyle w:val="a3"/>
        <w:spacing w:before="12"/>
        <w:rPr>
          <w:sz w:val="17"/>
        </w:rPr>
      </w:pPr>
    </w:p>
    <w:p w14:paraId="3C71BD95" w14:textId="77777777" w:rsidR="00A71EEF" w:rsidRDefault="0081115D">
      <w:pPr>
        <w:pStyle w:val="a4"/>
        <w:numPr>
          <w:ilvl w:val="2"/>
          <w:numId w:val="199"/>
        </w:numPr>
        <w:tabs>
          <w:tab w:val="left" w:pos="1530"/>
        </w:tabs>
        <w:spacing w:line="446" w:lineRule="auto"/>
        <w:ind w:left="840" w:right="5228" w:firstLine="0"/>
        <w:rPr>
          <w:sz w:val="21"/>
        </w:rPr>
      </w:pPr>
      <w:r>
        <w:rPr>
          <w:spacing w:val="-3"/>
          <w:sz w:val="21"/>
        </w:rPr>
        <w:t>会议室应采取必要的吸声</w:t>
      </w:r>
      <w:r>
        <w:rPr>
          <w:sz w:val="21"/>
        </w:rPr>
        <w:t>（</w:t>
      </w:r>
      <w:r>
        <w:rPr>
          <w:spacing w:val="-2"/>
          <w:sz w:val="21"/>
        </w:rPr>
        <w:t>隔声</w:t>
      </w:r>
      <w:r>
        <w:rPr>
          <w:spacing w:val="-3"/>
          <w:sz w:val="21"/>
        </w:rPr>
        <w:t>）措施。</w:t>
      </w:r>
      <w:r>
        <w:rPr>
          <w:b/>
          <w:sz w:val="21"/>
        </w:rPr>
        <w:t xml:space="preserve">4.11.6 </w:t>
      </w:r>
      <w:r>
        <w:rPr>
          <w:spacing w:val="-8"/>
          <w:sz w:val="21"/>
        </w:rPr>
        <w:t>会议室的净高不应低于</w:t>
      </w:r>
      <w:r>
        <w:rPr>
          <w:spacing w:val="-8"/>
          <w:sz w:val="21"/>
        </w:rPr>
        <w:t xml:space="preserve"> </w:t>
      </w:r>
      <w:r>
        <w:rPr>
          <w:sz w:val="21"/>
        </w:rPr>
        <w:t>3m</w:t>
      </w:r>
      <w:r>
        <w:rPr>
          <w:spacing w:val="-3"/>
          <w:sz w:val="21"/>
        </w:rPr>
        <w:t>。</w:t>
      </w:r>
      <w:r>
        <w:rPr>
          <w:sz w:val="21"/>
        </w:rPr>
        <w:t xml:space="preserve"> </w:t>
      </w:r>
    </w:p>
    <w:p w14:paraId="7282C774" w14:textId="77777777" w:rsidR="00A71EEF" w:rsidRDefault="0081115D">
      <w:pPr>
        <w:pStyle w:val="a4"/>
        <w:numPr>
          <w:ilvl w:val="2"/>
          <w:numId w:val="198"/>
        </w:numPr>
        <w:tabs>
          <w:tab w:val="left" w:pos="1478"/>
        </w:tabs>
        <w:ind w:hanging="638"/>
        <w:rPr>
          <w:sz w:val="21"/>
        </w:rPr>
      </w:pPr>
      <w:r>
        <w:rPr>
          <w:spacing w:val="-6"/>
          <w:sz w:val="21"/>
        </w:rPr>
        <w:t>会议室的防雷与接地、综合布线等应符合本规范第</w:t>
      </w:r>
      <w:r>
        <w:rPr>
          <w:spacing w:val="-6"/>
          <w:sz w:val="21"/>
        </w:rPr>
        <w:t xml:space="preserve"> </w:t>
      </w:r>
      <w:r>
        <w:rPr>
          <w:sz w:val="21"/>
        </w:rPr>
        <w:t>6</w:t>
      </w:r>
      <w:r>
        <w:rPr>
          <w:spacing w:val="-9"/>
          <w:sz w:val="21"/>
        </w:rPr>
        <w:t xml:space="preserve"> </w:t>
      </w:r>
      <w:r>
        <w:rPr>
          <w:spacing w:val="-9"/>
          <w:sz w:val="21"/>
        </w:rPr>
        <w:t>章的有关要求。</w:t>
      </w:r>
      <w:r>
        <w:rPr>
          <w:spacing w:val="-9"/>
          <w:sz w:val="21"/>
        </w:rPr>
        <w:t xml:space="preserve"> </w:t>
      </w:r>
    </w:p>
    <w:p w14:paraId="1E2AB48A" w14:textId="77777777" w:rsidR="00A71EEF" w:rsidRDefault="00A71EEF">
      <w:pPr>
        <w:pStyle w:val="a3"/>
        <w:rPr>
          <w:sz w:val="18"/>
        </w:rPr>
      </w:pPr>
    </w:p>
    <w:p w14:paraId="675CCE4C" w14:textId="77777777" w:rsidR="00A71EEF" w:rsidRDefault="0081115D">
      <w:pPr>
        <w:pStyle w:val="a4"/>
        <w:numPr>
          <w:ilvl w:val="2"/>
          <w:numId w:val="198"/>
        </w:numPr>
        <w:tabs>
          <w:tab w:val="left" w:pos="1478"/>
        </w:tabs>
        <w:ind w:hanging="638"/>
        <w:rPr>
          <w:sz w:val="21"/>
        </w:rPr>
      </w:pPr>
      <w:r>
        <w:rPr>
          <w:spacing w:val="-7"/>
          <w:sz w:val="21"/>
        </w:rPr>
        <w:t>会议室地面或周围的墙上每隔</w:t>
      </w:r>
      <w:r>
        <w:rPr>
          <w:spacing w:val="-7"/>
          <w:sz w:val="21"/>
        </w:rPr>
        <w:t xml:space="preserve"> </w:t>
      </w:r>
      <w:r>
        <w:rPr>
          <w:sz w:val="21"/>
        </w:rPr>
        <w:t>3m</w:t>
      </w:r>
      <w:r>
        <w:rPr>
          <w:sz w:val="21"/>
        </w:rPr>
        <w:t>～</w:t>
      </w:r>
      <w:r>
        <w:rPr>
          <w:sz w:val="21"/>
        </w:rPr>
        <w:t>5m</w:t>
      </w:r>
      <w:r>
        <w:rPr>
          <w:spacing w:val="-10"/>
          <w:sz w:val="21"/>
        </w:rPr>
        <w:t xml:space="preserve"> </w:t>
      </w:r>
      <w:r>
        <w:rPr>
          <w:spacing w:val="-10"/>
          <w:sz w:val="21"/>
        </w:rPr>
        <w:t>应设置电源插座。</w:t>
      </w:r>
      <w:r>
        <w:rPr>
          <w:sz w:val="21"/>
        </w:rPr>
        <w:t xml:space="preserve"> </w:t>
      </w:r>
    </w:p>
    <w:p w14:paraId="6E633457" w14:textId="77777777" w:rsidR="00A71EEF" w:rsidRDefault="00A71EEF">
      <w:pPr>
        <w:pStyle w:val="a3"/>
        <w:spacing w:before="12"/>
        <w:rPr>
          <w:sz w:val="17"/>
        </w:rPr>
      </w:pPr>
    </w:p>
    <w:p w14:paraId="6EDBDBAC" w14:textId="77777777" w:rsidR="00A71EEF" w:rsidRDefault="0081115D">
      <w:pPr>
        <w:pStyle w:val="a4"/>
        <w:numPr>
          <w:ilvl w:val="1"/>
          <w:numId w:val="199"/>
        </w:numPr>
        <w:tabs>
          <w:tab w:val="left" w:pos="1266"/>
        </w:tabs>
        <w:ind w:left="1265" w:hanging="426"/>
        <w:rPr>
          <w:sz w:val="21"/>
        </w:rPr>
      </w:pPr>
      <w:r>
        <w:rPr>
          <w:spacing w:val="-3"/>
          <w:sz w:val="21"/>
        </w:rPr>
        <w:t>俱乐部</w:t>
      </w:r>
      <w:r>
        <w:rPr>
          <w:sz w:val="21"/>
        </w:rPr>
        <w:t xml:space="preserve"> </w:t>
      </w:r>
    </w:p>
    <w:p w14:paraId="03874F3F" w14:textId="77777777" w:rsidR="00A71EEF" w:rsidRDefault="00A71EEF">
      <w:pPr>
        <w:pStyle w:val="a3"/>
        <w:spacing w:before="2"/>
        <w:rPr>
          <w:sz w:val="18"/>
        </w:rPr>
      </w:pPr>
    </w:p>
    <w:p w14:paraId="78F7DDCE" w14:textId="77777777" w:rsidR="00A71EEF" w:rsidRDefault="0081115D">
      <w:pPr>
        <w:pStyle w:val="a4"/>
        <w:numPr>
          <w:ilvl w:val="2"/>
          <w:numId w:val="199"/>
        </w:numPr>
        <w:tabs>
          <w:tab w:val="left" w:pos="1478"/>
        </w:tabs>
        <w:ind w:left="1477" w:hanging="638"/>
        <w:rPr>
          <w:b/>
          <w:sz w:val="21"/>
        </w:rPr>
      </w:pPr>
      <w:r>
        <w:rPr>
          <w:spacing w:val="-3"/>
          <w:sz w:val="21"/>
        </w:rPr>
        <w:t>俱乐部可根据需要和房间条件设置舞台。</w:t>
      </w:r>
      <w:r>
        <w:rPr>
          <w:b/>
          <w:w w:val="99"/>
          <w:sz w:val="21"/>
        </w:rPr>
        <w:t xml:space="preserve"> </w:t>
      </w:r>
    </w:p>
    <w:p w14:paraId="58051155" w14:textId="77777777" w:rsidR="00A71EEF" w:rsidRDefault="00A71EEF">
      <w:pPr>
        <w:pStyle w:val="a3"/>
        <w:rPr>
          <w:b/>
          <w:sz w:val="18"/>
        </w:rPr>
      </w:pPr>
    </w:p>
    <w:p w14:paraId="5576E07D" w14:textId="77777777" w:rsidR="00A71EEF" w:rsidRDefault="0081115D">
      <w:pPr>
        <w:pStyle w:val="a4"/>
        <w:numPr>
          <w:ilvl w:val="2"/>
          <w:numId w:val="199"/>
        </w:numPr>
        <w:tabs>
          <w:tab w:val="left" w:pos="1478"/>
        </w:tabs>
        <w:ind w:left="1477" w:hanging="638"/>
        <w:rPr>
          <w:b/>
          <w:sz w:val="21"/>
        </w:rPr>
      </w:pPr>
      <w:r>
        <w:rPr>
          <w:spacing w:val="-8"/>
          <w:sz w:val="21"/>
        </w:rPr>
        <w:t>俱乐部应满足设置一套</w:t>
      </w:r>
      <w:r>
        <w:rPr>
          <w:spacing w:val="-8"/>
          <w:sz w:val="21"/>
        </w:rPr>
        <w:t xml:space="preserve"> </w:t>
      </w:r>
      <w:r>
        <w:rPr>
          <w:sz w:val="21"/>
        </w:rPr>
        <w:t>KTV</w:t>
      </w:r>
      <w:r>
        <w:rPr>
          <w:spacing w:val="-9"/>
          <w:sz w:val="21"/>
        </w:rPr>
        <w:t xml:space="preserve"> </w:t>
      </w:r>
      <w:r>
        <w:rPr>
          <w:spacing w:val="-9"/>
          <w:sz w:val="21"/>
        </w:rPr>
        <w:t>音响设施的空间要求。</w:t>
      </w:r>
      <w:r>
        <w:rPr>
          <w:b/>
          <w:w w:val="99"/>
          <w:sz w:val="21"/>
        </w:rPr>
        <w:t xml:space="preserve"> </w:t>
      </w:r>
    </w:p>
    <w:p w14:paraId="4C8F09DB" w14:textId="77777777" w:rsidR="00A71EEF" w:rsidRDefault="00A71EEF">
      <w:pPr>
        <w:pStyle w:val="a3"/>
        <w:spacing w:before="12"/>
        <w:rPr>
          <w:b/>
          <w:sz w:val="17"/>
        </w:rPr>
      </w:pPr>
    </w:p>
    <w:p w14:paraId="2679E65C" w14:textId="77777777" w:rsidR="00A71EEF" w:rsidRDefault="0081115D">
      <w:pPr>
        <w:pStyle w:val="a4"/>
        <w:numPr>
          <w:ilvl w:val="2"/>
          <w:numId w:val="199"/>
        </w:numPr>
        <w:tabs>
          <w:tab w:val="left" w:pos="1478"/>
        </w:tabs>
        <w:ind w:left="1477" w:hanging="638"/>
        <w:rPr>
          <w:b/>
          <w:sz w:val="21"/>
        </w:rPr>
      </w:pPr>
      <w:r>
        <w:rPr>
          <w:spacing w:val="-3"/>
          <w:sz w:val="21"/>
        </w:rPr>
        <w:t>俱乐部装修应与内部的功能和配套设施相匹配。</w:t>
      </w:r>
      <w:r>
        <w:rPr>
          <w:b/>
          <w:w w:val="99"/>
          <w:sz w:val="21"/>
        </w:rPr>
        <w:t xml:space="preserve"> </w:t>
      </w:r>
    </w:p>
    <w:p w14:paraId="2D871C0F" w14:textId="77777777" w:rsidR="00A71EEF" w:rsidRDefault="00A71EEF">
      <w:pPr>
        <w:pStyle w:val="a3"/>
        <w:spacing w:before="2"/>
        <w:rPr>
          <w:b/>
          <w:sz w:val="18"/>
        </w:rPr>
      </w:pPr>
    </w:p>
    <w:p w14:paraId="334C2D9D" w14:textId="77777777" w:rsidR="00A71EEF" w:rsidRDefault="0081115D">
      <w:pPr>
        <w:pStyle w:val="a4"/>
        <w:numPr>
          <w:ilvl w:val="2"/>
          <w:numId w:val="199"/>
        </w:numPr>
        <w:tabs>
          <w:tab w:val="left" w:pos="1478"/>
        </w:tabs>
        <w:ind w:left="1477" w:hanging="638"/>
        <w:rPr>
          <w:b/>
          <w:sz w:val="21"/>
        </w:rPr>
      </w:pPr>
      <w:r>
        <w:rPr>
          <w:spacing w:val="-3"/>
          <w:sz w:val="21"/>
        </w:rPr>
        <w:t>俱乐部的内装修应采取吸声</w:t>
      </w:r>
      <w:r>
        <w:rPr>
          <w:sz w:val="21"/>
        </w:rPr>
        <w:t>（</w:t>
      </w:r>
      <w:r>
        <w:rPr>
          <w:spacing w:val="-2"/>
          <w:sz w:val="21"/>
        </w:rPr>
        <w:t>隔声</w:t>
      </w:r>
      <w:r>
        <w:rPr>
          <w:spacing w:val="-3"/>
          <w:sz w:val="21"/>
        </w:rPr>
        <w:t>）</w:t>
      </w:r>
      <w:r>
        <w:rPr>
          <w:spacing w:val="-2"/>
          <w:sz w:val="21"/>
        </w:rPr>
        <w:t>措施。</w:t>
      </w:r>
      <w:r>
        <w:rPr>
          <w:b/>
          <w:spacing w:val="-2"/>
          <w:w w:val="99"/>
          <w:sz w:val="21"/>
        </w:rPr>
        <w:t xml:space="preserve"> </w:t>
      </w:r>
    </w:p>
    <w:p w14:paraId="0C7EA26D" w14:textId="77777777" w:rsidR="00A71EEF" w:rsidRDefault="00A71EEF">
      <w:pPr>
        <w:pStyle w:val="a3"/>
        <w:rPr>
          <w:b/>
          <w:sz w:val="18"/>
        </w:rPr>
      </w:pPr>
    </w:p>
    <w:p w14:paraId="7129E086" w14:textId="77777777" w:rsidR="00A71EEF" w:rsidRDefault="0081115D">
      <w:pPr>
        <w:pStyle w:val="a4"/>
        <w:numPr>
          <w:ilvl w:val="1"/>
          <w:numId w:val="199"/>
        </w:numPr>
        <w:tabs>
          <w:tab w:val="left" w:pos="1264"/>
        </w:tabs>
        <w:ind w:left="1263" w:hanging="424"/>
        <w:rPr>
          <w:b/>
          <w:sz w:val="21"/>
        </w:rPr>
      </w:pPr>
      <w:r>
        <w:rPr>
          <w:spacing w:val="-3"/>
          <w:sz w:val="21"/>
        </w:rPr>
        <w:t>公众消防宣传教育用房</w:t>
      </w:r>
      <w:r>
        <w:rPr>
          <w:b/>
          <w:spacing w:val="-3"/>
          <w:w w:val="99"/>
          <w:sz w:val="21"/>
        </w:rPr>
        <w:t xml:space="preserve"> </w:t>
      </w:r>
    </w:p>
    <w:p w14:paraId="6E9765F8" w14:textId="77777777" w:rsidR="00A71EEF" w:rsidRDefault="00A71EEF">
      <w:pPr>
        <w:pStyle w:val="a3"/>
        <w:spacing w:before="12"/>
        <w:rPr>
          <w:b/>
          <w:sz w:val="17"/>
        </w:rPr>
      </w:pPr>
    </w:p>
    <w:p w14:paraId="412FCD82" w14:textId="77777777" w:rsidR="00A71EEF" w:rsidRDefault="0081115D">
      <w:pPr>
        <w:pStyle w:val="a4"/>
        <w:numPr>
          <w:ilvl w:val="2"/>
          <w:numId w:val="199"/>
        </w:numPr>
        <w:tabs>
          <w:tab w:val="left" w:pos="1478"/>
        </w:tabs>
        <w:ind w:left="1477" w:hanging="638"/>
        <w:rPr>
          <w:sz w:val="21"/>
        </w:rPr>
      </w:pPr>
      <w:r>
        <w:rPr>
          <w:spacing w:val="-3"/>
          <w:sz w:val="21"/>
        </w:rPr>
        <w:t>公众消防宣传教育用房空间大小应结合当地实际情况设置。</w:t>
      </w:r>
      <w:r>
        <w:rPr>
          <w:sz w:val="21"/>
        </w:rPr>
        <w:t xml:space="preserve"> </w:t>
      </w:r>
    </w:p>
    <w:p w14:paraId="61EBDC26" w14:textId="77777777" w:rsidR="00A71EEF" w:rsidRDefault="00A71EEF">
      <w:pPr>
        <w:pStyle w:val="a3"/>
        <w:spacing w:before="2"/>
        <w:rPr>
          <w:sz w:val="18"/>
        </w:rPr>
      </w:pPr>
    </w:p>
    <w:p w14:paraId="30699B89" w14:textId="77777777" w:rsidR="00A71EEF" w:rsidRDefault="0081115D">
      <w:pPr>
        <w:pStyle w:val="a4"/>
        <w:numPr>
          <w:ilvl w:val="2"/>
          <w:numId w:val="199"/>
        </w:numPr>
        <w:tabs>
          <w:tab w:val="left" w:pos="1478"/>
        </w:tabs>
        <w:spacing w:line="446" w:lineRule="auto"/>
        <w:ind w:right="1498" w:firstLine="422"/>
        <w:rPr>
          <w:sz w:val="21"/>
        </w:rPr>
      </w:pPr>
      <w:r>
        <w:rPr>
          <w:spacing w:val="-3"/>
          <w:sz w:val="21"/>
        </w:rPr>
        <w:t>公众消防宣传教育用房可设置安全宣传教育区、模拟演习区、火场体验区、多媒体教育区、大火警示区等不同功能分区。</w:t>
      </w:r>
      <w:r>
        <w:rPr>
          <w:sz w:val="21"/>
        </w:rPr>
        <w:t xml:space="preserve"> </w:t>
      </w:r>
    </w:p>
    <w:p w14:paraId="5E80A8AA" w14:textId="77777777" w:rsidR="00A71EEF" w:rsidRDefault="0081115D">
      <w:pPr>
        <w:pStyle w:val="a4"/>
        <w:numPr>
          <w:ilvl w:val="2"/>
          <w:numId w:val="199"/>
        </w:numPr>
        <w:tabs>
          <w:tab w:val="left" w:pos="1478"/>
        </w:tabs>
        <w:spacing w:line="267" w:lineRule="exact"/>
        <w:ind w:left="1477" w:hanging="638"/>
        <w:rPr>
          <w:sz w:val="21"/>
        </w:rPr>
      </w:pPr>
      <w:r>
        <w:rPr>
          <w:spacing w:val="-3"/>
          <w:sz w:val="21"/>
        </w:rPr>
        <w:t>公众宣传教育用房宜设置必要的视频播放设备和音响设施设备。</w:t>
      </w:r>
      <w:r>
        <w:rPr>
          <w:sz w:val="21"/>
        </w:rPr>
        <w:t xml:space="preserve"> </w:t>
      </w:r>
    </w:p>
    <w:p w14:paraId="08D3700E" w14:textId="77777777" w:rsidR="00A71EEF" w:rsidRDefault="00A71EEF">
      <w:pPr>
        <w:pStyle w:val="a3"/>
        <w:spacing w:before="2"/>
        <w:rPr>
          <w:sz w:val="18"/>
        </w:rPr>
      </w:pPr>
    </w:p>
    <w:p w14:paraId="327E8AF3" w14:textId="77777777" w:rsidR="00A71EEF" w:rsidRDefault="0081115D">
      <w:pPr>
        <w:pStyle w:val="a4"/>
        <w:numPr>
          <w:ilvl w:val="2"/>
          <w:numId w:val="199"/>
        </w:numPr>
        <w:tabs>
          <w:tab w:val="left" w:pos="1478"/>
        </w:tabs>
        <w:ind w:left="1477" w:hanging="638"/>
        <w:rPr>
          <w:sz w:val="21"/>
        </w:rPr>
      </w:pPr>
      <w:r>
        <w:rPr>
          <w:spacing w:val="-3"/>
          <w:sz w:val="21"/>
        </w:rPr>
        <w:t>公众宣传教育用房的布局应科学合理。</w:t>
      </w:r>
      <w:r>
        <w:rPr>
          <w:sz w:val="21"/>
        </w:rPr>
        <w:t xml:space="preserve"> </w:t>
      </w:r>
    </w:p>
    <w:p w14:paraId="3BA55928" w14:textId="77777777" w:rsidR="00A71EEF" w:rsidRDefault="00A71EEF">
      <w:pPr>
        <w:pStyle w:val="a3"/>
        <w:rPr>
          <w:sz w:val="18"/>
        </w:rPr>
      </w:pPr>
    </w:p>
    <w:p w14:paraId="515A14F1" w14:textId="77777777" w:rsidR="00A71EEF" w:rsidRDefault="0081115D">
      <w:pPr>
        <w:pStyle w:val="a4"/>
        <w:numPr>
          <w:ilvl w:val="1"/>
          <w:numId w:val="199"/>
        </w:numPr>
        <w:tabs>
          <w:tab w:val="left" w:pos="1264"/>
        </w:tabs>
        <w:ind w:left="1263" w:hanging="424"/>
        <w:rPr>
          <w:b/>
          <w:sz w:val="21"/>
        </w:rPr>
      </w:pPr>
      <w:r>
        <w:rPr>
          <w:spacing w:val="-3"/>
          <w:sz w:val="21"/>
        </w:rPr>
        <w:t>干部备勤室</w:t>
      </w:r>
      <w:r>
        <w:rPr>
          <w:b/>
          <w:w w:val="99"/>
          <w:sz w:val="21"/>
        </w:rPr>
        <w:t xml:space="preserve"> </w:t>
      </w:r>
    </w:p>
    <w:p w14:paraId="07E25159" w14:textId="77777777" w:rsidR="00A71EEF" w:rsidRDefault="00A71EEF">
      <w:pPr>
        <w:pStyle w:val="a3"/>
        <w:spacing w:before="12"/>
        <w:rPr>
          <w:b/>
          <w:sz w:val="17"/>
        </w:rPr>
      </w:pPr>
    </w:p>
    <w:p w14:paraId="1057771C" w14:textId="77777777" w:rsidR="00A71EEF" w:rsidRDefault="0081115D">
      <w:pPr>
        <w:pStyle w:val="a4"/>
        <w:numPr>
          <w:ilvl w:val="2"/>
          <w:numId w:val="199"/>
        </w:numPr>
        <w:tabs>
          <w:tab w:val="left" w:pos="1478"/>
        </w:tabs>
        <w:ind w:left="1477" w:hanging="638"/>
        <w:rPr>
          <w:sz w:val="21"/>
        </w:rPr>
      </w:pPr>
      <w:r>
        <w:rPr>
          <w:spacing w:val="-3"/>
          <w:sz w:val="21"/>
        </w:rPr>
        <w:t>干部备勤室的办公和值勤用房可分开设置，且应与消防员备勤室处于同一楼层。</w:t>
      </w:r>
      <w:r>
        <w:rPr>
          <w:sz w:val="21"/>
        </w:rPr>
        <w:t xml:space="preserve"> </w:t>
      </w:r>
    </w:p>
    <w:p w14:paraId="0681345C" w14:textId="77777777" w:rsidR="00A71EEF" w:rsidRDefault="00A71EEF">
      <w:pPr>
        <w:pStyle w:val="a3"/>
        <w:spacing w:before="2"/>
        <w:rPr>
          <w:sz w:val="18"/>
        </w:rPr>
      </w:pPr>
    </w:p>
    <w:p w14:paraId="25C24FF7" w14:textId="77777777" w:rsidR="00A71EEF" w:rsidRDefault="0081115D">
      <w:pPr>
        <w:pStyle w:val="a4"/>
        <w:numPr>
          <w:ilvl w:val="2"/>
          <w:numId w:val="199"/>
        </w:numPr>
        <w:tabs>
          <w:tab w:val="left" w:pos="1478"/>
        </w:tabs>
        <w:ind w:left="1477" w:hanging="638"/>
        <w:rPr>
          <w:sz w:val="21"/>
        </w:rPr>
      </w:pPr>
      <w:r>
        <w:rPr>
          <w:spacing w:val="-3"/>
          <w:sz w:val="21"/>
        </w:rPr>
        <w:t>干部备勤室应设置电话。若办公室和值勤宿舍分开设置时，均应设置电话。</w:t>
      </w:r>
      <w:r>
        <w:rPr>
          <w:spacing w:val="-3"/>
          <w:sz w:val="21"/>
        </w:rPr>
        <w:t xml:space="preserve"> </w:t>
      </w:r>
    </w:p>
    <w:p w14:paraId="2A828675" w14:textId="77777777" w:rsidR="00A71EEF" w:rsidRDefault="00A71EEF">
      <w:pPr>
        <w:pStyle w:val="a3"/>
        <w:rPr>
          <w:sz w:val="18"/>
        </w:rPr>
      </w:pPr>
    </w:p>
    <w:p w14:paraId="6C6CF42B" w14:textId="77777777" w:rsidR="00A71EEF" w:rsidRDefault="0081115D">
      <w:pPr>
        <w:pStyle w:val="a4"/>
        <w:numPr>
          <w:ilvl w:val="2"/>
          <w:numId w:val="199"/>
        </w:numPr>
        <w:tabs>
          <w:tab w:val="left" w:pos="1478"/>
        </w:tabs>
        <w:ind w:left="1477" w:hanging="638"/>
        <w:rPr>
          <w:sz w:val="21"/>
        </w:rPr>
      </w:pPr>
      <w:r>
        <w:rPr>
          <w:spacing w:val="-3"/>
          <w:sz w:val="21"/>
        </w:rPr>
        <w:t>干部备勤室应设置两路网络接口。</w:t>
      </w:r>
      <w:r>
        <w:rPr>
          <w:sz w:val="21"/>
        </w:rPr>
        <w:t xml:space="preserve"> </w:t>
      </w:r>
    </w:p>
    <w:p w14:paraId="2AE00245" w14:textId="77777777" w:rsidR="00A71EEF" w:rsidRDefault="00A71EEF">
      <w:pPr>
        <w:pStyle w:val="a3"/>
        <w:spacing w:before="12"/>
        <w:rPr>
          <w:sz w:val="17"/>
        </w:rPr>
      </w:pPr>
    </w:p>
    <w:p w14:paraId="6EC3D33A" w14:textId="77777777" w:rsidR="00A71EEF" w:rsidRDefault="0081115D">
      <w:pPr>
        <w:pStyle w:val="a4"/>
        <w:numPr>
          <w:ilvl w:val="1"/>
          <w:numId w:val="199"/>
        </w:numPr>
        <w:tabs>
          <w:tab w:val="left" w:pos="1264"/>
        </w:tabs>
        <w:ind w:left="1263" w:hanging="424"/>
        <w:rPr>
          <w:sz w:val="21"/>
        </w:rPr>
      </w:pPr>
      <w:r>
        <w:rPr>
          <w:spacing w:val="-3"/>
          <w:sz w:val="21"/>
        </w:rPr>
        <w:t>消防员备勤室</w:t>
      </w:r>
      <w:r>
        <w:rPr>
          <w:sz w:val="21"/>
        </w:rPr>
        <w:t xml:space="preserve"> </w:t>
      </w:r>
    </w:p>
    <w:p w14:paraId="698B40D1" w14:textId="77777777" w:rsidR="00A71EEF" w:rsidRDefault="00A71EEF">
      <w:pPr>
        <w:pStyle w:val="a3"/>
        <w:spacing w:before="2"/>
        <w:rPr>
          <w:sz w:val="18"/>
        </w:rPr>
      </w:pPr>
    </w:p>
    <w:p w14:paraId="1E428FBC" w14:textId="77777777" w:rsidR="00A71EEF" w:rsidRDefault="0081115D">
      <w:pPr>
        <w:pStyle w:val="a4"/>
        <w:numPr>
          <w:ilvl w:val="2"/>
          <w:numId w:val="199"/>
        </w:numPr>
        <w:tabs>
          <w:tab w:val="left" w:pos="1530"/>
        </w:tabs>
        <w:spacing w:line="446" w:lineRule="auto"/>
        <w:ind w:right="1549" w:firstLine="422"/>
        <w:rPr>
          <w:sz w:val="21"/>
        </w:rPr>
      </w:pPr>
      <w:r>
        <w:rPr>
          <w:spacing w:val="-3"/>
          <w:sz w:val="21"/>
        </w:rPr>
        <w:t>消防员备勤室应有良好的朝向，宜靠近卫生间，且应有通往车库的直接通道，通道</w:t>
      </w:r>
      <w:r>
        <w:rPr>
          <w:spacing w:val="-11"/>
          <w:sz w:val="21"/>
        </w:rPr>
        <w:t>净宽不应小于</w:t>
      </w:r>
      <w:r>
        <w:rPr>
          <w:spacing w:val="-11"/>
          <w:sz w:val="21"/>
        </w:rPr>
        <w:t xml:space="preserve"> </w:t>
      </w:r>
      <w:r>
        <w:rPr>
          <w:sz w:val="21"/>
        </w:rPr>
        <w:t>2.0m</w:t>
      </w:r>
      <w:r>
        <w:rPr>
          <w:spacing w:val="-3"/>
          <w:sz w:val="21"/>
        </w:rPr>
        <w:t>。</w:t>
      </w:r>
      <w:r>
        <w:rPr>
          <w:sz w:val="21"/>
        </w:rPr>
        <w:t xml:space="preserve"> </w:t>
      </w:r>
    </w:p>
    <w:p w14:paraId="7A90D1CC" w14:textId="77777777" w:rsidR="00A71EEF" w:rsidRDefault="0081115D">
      <w:pPr>
        <w:pStyle w:val="a4"/>
        <w:numPr>
          <w:ilvl w:val="2"/>
          <w:numId w:val="199"/>
        </w:numPr>
        <w:tabs>
          <w:tab w:val="left" w:pos="1530"/>
        </w:tabs>
        <w:spacing w:line="446" w:lineRule="auto"/>
        <w:ind w:right="1758" w:firstLine="422"/>
        <w:rPr>
          <w:sz w:val="21"/>
        </w:rPr>
      </w:pPr>
      <w:r>
        <w:rPr>
          <w:spacing w:val="-3"/>
          <w:sz w:val="21"/>
        </w:rPr>
        <w:t>消防员备勤室设置在二层时，两侧应有楼梯进入车库，且滑杆不应设置在备勤室内。</w:t>
      </w:r>
      <w:r>
        <w:rPr>
          <w:sz w:val="21"/>
        </w:rPr>
        <w:t xml:space="preserve"> </w:t>
      </w:r>
    </w:p>
    <w:p w14:paraId="20CD6949" w14:textId="77777777" w:rsidR="00A71EEF" w:rsidRDefault="00A71EEF">
      <w:pPr>
        <w:spacing w:line="446" w:lineRule="auto"/>
        <w:rPr>
          <w:sz w:val="21"/>
        </w:rPr>
        <w:sectPr w:rsidR="00A71EEF">
          <w:pgSz w:w="11910" w:h="16850"/>
          <w:pgMar w:top="1220" w:right="0" w:bottom="1420" w:left="1260" w:header="0" w:footer="1239" w:gutter="0"/>
          <w:cols w:space="720"/>
        </w:sectPr>
      </w:pPr>
    </w:p>
    <w:p w14:paraId="034CD7D6" w14:textId="77777777" w:rsidR="00A71EEF" w:rsidRDefault="0081115D">
      <w:pPr>
        <w:pStyle w:val="a4"/>
        <w:numPr>
          <w:ilvl w:val="2"/>
          <w:numId w:val="199"/>
        </w:numPr>
        <w:tabs>
          <w:tab w:val="left" w:pos="1478"/>
        </w:tabs>
        <w:spacing w:before="47" w:line="446" w:lineRule="auto"/>
        <w:ind w:right="1498" w:firstLine="422"/>
        <w:rPr>
          <w:sz w:val="21"/>
        </w:rPr>
      </w:pPr>
      <w:r>
        <w:rPr>
          <w:spacing w:val="-6"/>
          <w:sz w:val="21"/>
        </w:rPr>
        <w:t>消防员备勤室单个房间床位数不宜超过</w:t>
      </w:r>
      <w:r>
        <w:rPr>
          <w:spacing w:val="-6"/>
          <w:sz w:val="21"/>
        </w:rPr>
        <w:t xml:space="preserve"> </w:t>
      </w:r>
      <w:r>
        <w:rPr>
          <w:sz w:val="21"/>
        </w:rPr>
        <w:t>8</w:t>
      </w:r>
      <w:r>
        <w:rPr>
          <w:spacing w:val="-8"/>
          <w:sz w:val="21"/>
        </w:rPr>
        <w:t xml:space="preserve"> </w:t>
      </w:r>
      <w:r>
        <w:rPr>
          <w:spacing w:val="-8"/>
          <w:sz w:val="21"/>
        </w:rPr>
        <w:t>个。条件许可的情况下，宜在消防员备勤</w:t>
      </w:r>
      <w:r>
        <w:rPr>
          <w:spacing w:val="-5"/>
          <w:sz w:val="21"/>
        </w:rPr>
        <w:t>室设置独立的卫生间。</w:t>
      </w:r>
      <w:r>
        <w:rPr>
          <w:sz w:val="21"/>
        </w:rPr>
        <w:t xml:space="preserve"> </w:t>
      </w:r>
    </w:p>
    <w:p w14:paraId="3600D6B4" w14:textId="77777777" w:rsidR="00A71EEF" w:rsidRDefault="0081115D">
      <w:pPr>
        <w:pStyle w:val="a4"/>
        <w:numPr>
          <w:ilvl w:val="2"/>
          <w:numId w:val="199"/>
        </w:numPr>
        <w:tabs>
          <w:tab w:val="left" w:pos="1478"/>
        </w:tabs>
        <w:spacing w:line="446" w:lineRule="auto"/>
        <w:ind w:left="838" w:right="5761" w:firstLine="2"/>
        <w:rPr>
          <w:b/>
          <w:sz w:val="21"/>
        </w:rPr>
      </w:pPr>
      <w:r>
        <w:rPr>
          <w:spacing w:val="-3"/>
          <w:sz w:val="21"/>
        </w:rPr>
        <w:t>床位布置尺寸应符合下列规定：</w:t>
      </w:r>
      <w:r>
        <w:rPr>
          <w:spacing w:val="-3"/>
          <w:sz w:val="21"/>
        </w:rPr>
        <w:t xml:space="preserve"> </w:t>
      </w:r>
      <w:r>
        <w:rPr>
          <w:spacing w:val="-3"/>
          <w:sz w:val="21"/>
        </w:rPr>
        <w:t>两</w:t>
      </w:r>
      <w:r>
        <w:rPr>
          <w:spacing w:val="-7"/>
          <w:sz w:val="21"/>
        </w:rPr>
        <w:t>个单床长边之间的距离不应小于</w:t>
      </w:r>
      <w:r>
        <w:rPr>
          <w:spacing w:val="-7"/>
          <w:sz w:val="21"/>
        </w:rPr>
        <w:t xml:space="preserve"> </w:t>
      </w:r>
      <w:r>
        <w:rPr>
          <w:sz w:val="21"/>
        </w:rPr>
        <w:t>0.60m</w:t>
      </w:r>
      <w:r>
        <w:rPr>
          <w:spacing w:val="2"/>
          <w:sz w:val="21"/>
        </w:rPr>
        <w:t>；</w:t>
      </w:r>
      <w:r>
        <w:rPr>
          <w:spacing w:val="2"/>
          <w:sz w:val="21"/>
        </w:rPr>
        <w:t xml:space="preserve"> </w:t>
      </w:r>
      <w:r>
        <w:rPr>
          <w:spacing w:val="2"/>
          <w:sz w:val="21"/>
        </w:rPr>
        <w:t>两</w:t>
      </w:r>
      <w:r>
        <w:rPr>
          <w:spacing w:val="-7"/>
          <w:sz w:val="21"/>
        </w:rPr>
        <w:t>床床头之间的距离不应小于</w:t>
      </w:r>
      <w:r>
        <w:rPr>
          <w:spacing w:val="-7"/>
          <w:sz w:val="21"/>
        </w:rPr>
        <w:t xml:space="preserve"> </w:t>
      </w:r>
      <w:r>
        <w:rPr>
          <w:sz w:val="21"/>
        </w:rPr>
        <w:t>0.10m</w:t>
      </w:r>
      <w:r>
        <w:rPr>
          <w:sz w:val="21"/>
        </w:rPr>
        <w:t>；</w:t>
      </w:r>
      <w:r>
        <w:rPr>
          <w:b/>
          <w:w w:val="99"/>
          <w:sz w:val="21"/>
        </w:rPr>
        <w:t xml:space="preserve"> </w:t>
      </w:r>
    </w:p>
    <w:p w14:paraId="59398671" w14:textId="77777777" w:rsidR="00A71EEF" w:rsidRDefault="0081115D">
      <w:pPr>
        <w:pStyle w:val="a3"/>
        <w:spacing w:line="446" w:lineRule="auto"/>
        <w:ind w:left="840" w:right="4547" w:hanging="3"/>
      </w:pPr>
      <w:r>
        <w:t>两排床或床与墙之间的走道宽度不应小于</w:t>
      </w:r>
      <w:r>
        <w:t xml:space="preserve"> 1.20m</w:t>
      </w:r>
      <w:r>
        <w:t>。</w:t>
      </w:r>
      <w:r>
        <w:rPr>
          <w:b/>
        </w:rPr>
        <w:t xml:space="preserve">4.15.5 </w:t>
      </w:r>
      <w:r>
        <w:t>消防员备勤室内应按人数设固定的个人用衣柜。</w:t>
      </w:r>
      <w:r>
        <w:t xml:space="preserve"> </w:t>
      </w:r>
    </w:p>
    <w:p w14:paraId="0EE77FBC" w14:textId="77777777" w:rsidR="00A71EEF" w:rsidRDefault="0081115D">
      <w:pPr>
        <w:pStyle w:val="a3"/>
        <w:spacing w:line="446" w:lineRule="auto"/>
        <w:ind w:left="418" w:right="1498" w:firstLine="422"/>
      </w:pPr>
      <w:r>
        <w:rPr>
          <w:b/>
        </w:rPr>
        <w:t xml:space="preserve">4.15.6 </w:t>
      </w:r>
      <w:r>
        <w:rPr>
          <w:spacing w:val="-6"/>
        </w:rPr>
        <w:t>在备勤室临近位置宜按每班设置</w:t>
      </w:r>
      <w:r>
        <w:rPr>
          <w:spacing w:val="-6"/>
        </w:rPr>
        <w:t xml:space="preserve"> </w:t>
      </w:r>
      <w:r>
        <w:t>1</w:t>
      </w:r>
      <w:r>
        <w:rPr>
          <w:spacing w:val="-8"/>
        </w:rPr>
        <w:t xml:space="preserve"> </w:t>
      </w:r>
      <w:r>
        <w:rPr>
          <w:spacing w:val="-8"/>
        </w:rPr>
        <w:t>个学习室。未设置学习室时，可在消防员备勤室</w:t>
      </w:r>
      <w:r>
        <w:rPr>
          <w:spacing w:val="-5"/>
        </w:rPr>
        <w:t>内设置必要的学习专用桌椅。</w:t>
      </w:r>
      <w:r>
        <w:t xml:space="preserve"> </w:t>
      </w:r>
    </w:p>
    <w:p w14:paraId="621C0B3D" w14:textId="77777777" w:rsidR="00A71EEF" w:rsidRDefault="0081115D">
      <w:pPr>
        <w:pStyle w:val="a4"/>
        <w:numPr>
          <w:ilvl w:val="1"/>
          <w:numId w:val="199"/>
        </w:numPr>
        <w:tabs>
          <w:tab w:val="left" w:pos="1264"/>
        </w:tabs>
        <w:ind w:left="1263" w:hanging="424"/>
        <w:rPr>
          <w:b/>
          <w:sz w:val="21"/>
        </w:rPr>
      </w:pPr>
      <w:r>
        <w:rPr>
          <w:spacing w:val="-3"/>
          <w:sz w:val="21"/>
        </w:rPr>
        <w:t>餐厅、厨房</w:t>
      </w:r>
      <w:r>
        <w:rPr>
          <w:b/>
          <w:w w:val="99"/>
          <w:sz w:val="21"/>
        </w:rPr>
        <w:t xml:space="preserve"> </w:t>
      </w:r>
    </w:p>
    <w:p w14:paraId="68E808FC" w14:textId="77777777" w:rsidR="00A71EEF" w:rsidRDefault="00A71EEF">
      <w:pPr>
        <w:pStyle w:val="a3"/>
        <w:spacing w:before="9"/>
        <w:rPr>
          <w:b/>
          <w:sz w:val="17"/>
        </w:rPr>
      </w:pPr>
    </w:p>
    <w:p w14:paraId="28ADA5FB" w14:textId="77777777" w:rsidR="00A71EEF" w:rsidRDefault="0081115D">
      <w:pPr>
        <w:pStyle w:val="a4"/>
        <w:numPr>
          <w:ilvl w:val="2"/>
          <w:numId w:val="199"/>
        </w:numPr>
        <w:tabs>
          <w:tab w:val="left" w:pos="1478"/>
        </w:tabs>
        <w:spacing w:before="1"/>
        <w:ind w:left="1477" w:hanging="638"/>
        <w:rPr>
          <w:sz w:val="21"/>
        </w:rPr>
      </w:pPr>
      <w:r>
        <w:rPr>
          <w:spacing w:val="-3"/>
          <w:sz w:val="21"/>
        </w:rPr>
        <w:t>厨房和餐厅宜设置于首层，并宜有通往消防车库的通道。</w:t>
      </w:r>
      <w:r>
        <w:rPr>
          <w:sz w:val="21"/>
        </w:rPr>
        <w:t xml:space="preserve"> </w:t>
      </w:r>
    </w:p>
    <w:p w14:paraId="28C56062" w14:textId="77777777" w:rsidR="00A71EEF" w:rsidRDefault="00A71EEF">
      <w:pPr>
        <w:pStyle w:val="a3"/>
        <w:spacing w:before="12"/>
        <w:rPr>
          <w:sz w:val="17"/>
        </w:rPr>
      </w:pPr>
    </w:p>
    <w:p w14:paraId="370F4D0B" w14:textId="77777777" w:rsidR="00A71EEF" w:rsidRDefault="0081115D">
      <w:pPr>
        <w:pStyle w:val="a4"/>
        <w:numPr>
          <w:ilvl w:val="2"/>
          <w:numId w:val="199"/>
        </w:numPr>
        <w:tabs>
          <w:tab w:val="left" w:pos="1478"/>
        </w:tabs>
        <w:spacing w:line="446" w:lineRule="auto"/>
        <w:ind w:right="1498" w:firstLine="422"/>
        <w:rPr>
          <w:sz w:val="21"/>
        </w:rPr>
      </w:pPr>
      <w:r>
        <w:rPr>
          <w:spacing w:val="-3"/>
          <w:sz w:val="21"/>
        </w:rPr>
        <w:t>厨房应在操作间之外分区设置存放蔬菜、肉食的备料间和储存米、面等的食品库，</w:t>
      </w:r>
      <w:r>
        <w:rPr>
          <w:spacing w:val="-3"/>
          <w:sz w:val="21"/>
        </w:rPr>
        <w:t xml:space="preserve"> </w:t>
      </w:r>
      <w:r>
        <w:rPr>
          <w:spacing w:val="-3"/>
          <w:sz w:val="21"/>
        </w:rPr>
        <w:t>并应符合国家现行相关标准的规定。</w:t>
      </w:r>
      <w:r>
        <w:rPr>
          <w:sz w:val="21"/>
        </w:rPr>
        <w:t xml:space="preserve"> </w:t>
      </w:r>
    </w:p>
    <w:p w14:paraId="610B76BC" w14:textId="77777777" w:rsidR="00A71EEF" w:rsidRDefault="0081115D">
      <w:pPr>
        <w:pStyle w:val="a4"/>
        <w:numPr>
          <w:ilvl w:val="2"/>
          <w:numId w:val="199"/>
        </w:numPr>
        <w:tabs>
          <w:tab w:val="left" w:pos="1530"/>
        </w:tabs>
        <w:ind w:left="1529" w:hanging="690"/>
        <w:rPr>
          <w:sz w:val="21"/>
        </w:rPr>
      </w:pPr>
      <w:r>
        <w:rPr>
          <w:spacing w:val="-3"/>
          <w:sz w:val="21"/>
        </w:rPr>
        <w:t>厨房应有直接采光、自然通风，其外窗通风开口面积不应小于该房间地面面积的</w:t>
      </w:r>
    </w:p>
    <w:p w14:paraId="0FD6FF0A" w14:textId="77777777" w:rsidR="00A71EEF" w:rsidRDefault="00A71EEF">
      <w:pPr>
        <w:pStyle w:val="a3"/>
        <w:spacing w:before="2"/>
        <w:rPr>
          <w:sz w:val="17"/>
        </w:rPr>
      </w:pPr>
    </w:p>
    <w:p w14:paraId="4602D5F5" w14:textId="77777777" w:rsidR="00A71EEF" w:rsidRDefault="0081115D">
      <w:pPr>
        <w:pStyle w:val="a3"/>
        <w:ind w:left="418"/>
      </w:pPr>
      <w:r>
        <w:t>1/10</w:t>
      </w:r>
      <w:r>
        <w:t>，且不得小于</w:t>
      </w:r>
      <w:r>
        <w:t xml:space="preserve"> 0.60m</w:t>
      </w:r>
      <w:r>
        <w:rPr>
          <w:position w:val="11"/>
          <w:sz w:val="11"/>
        </w:rPr>
        <w:t>2</w:t>
      </w:r>
      <w:r>
        <w:t>。</w:t>
      </w:r>
      <w:r>
        <w:t xml:space="preserve"> </w:t>
      </w:r>
    </w:p>
    <w:p w14:paraId="75D70219" w14:textId="77777777" w:rsidR="00A71EEF" w:rsidRDefault="00A71EEF">
      <w:pPr>
        <w:pStyle w:val="a3"/>
        <w:spacing w:before="2"/>
        <w:rPr>
          <w:sz w:val="18"/>
        </w:rPr>
      </w:pPr>
    </w:p>
    <w:p w14:paraId="54788113" w14:textId="77777777" w:rsidR="00A71EEF" w:rsidRDefault="0081115D">
      <w:pPr>
        <w:pStyle w:val="a4"/>
        <w:numPr>
          <w:ilvl w:val="2"/>
          <w:numId w:val="199"/>
        </w:numPr>
        <w:tabs>
          <w:tab w:val="left" w:pos="1478"/>
        </w:tabs>
        <w:ind w:left="1477" w:hanging="638"/>
        <w:rPr>
          <w:sz w:val="21"/>
        </w:rPr>
      </w:pPr>
      <w:r>
        <w:rPr>
          <w:spacing w:val="-3"/>
          <w:sz w:val="21"/>
        </w:rPr>
        <w:t>厨房应有满足设备放置和操作的面积。</w:t>
      </w:r>
      <w:r>
        <w:rPr>
          <w:sz w:val="21"/>
        </w:rPr>
        <w:t xml:space="preserve"> </w:t>
      </w:r>
    </w:p>
    <w:p w14:paraId="2DFCA9D1" w14:textId="77777777" w:rsidR="00A71EEF" w:rsidRDefault="00A71EEF">
      <w:pPr>
        <w:pStyle w:val="a3"/>
        <w:rPr>
          <w:sz w:val="18"/>
        </w:rPr>
      </w:pPr>
    </w:p>
    <w:p w14:paraId="510B90B0" w14:textId="77777777" w:rsidR="00A71EEF" w:rsidRDefault="0081115D">
      <w:pPr>
        <w:pStyle w:val="a4"/>
        <w:numPr>
          <w:ilvl w:val="2"/>
          <w:numId w:val="199"/>
        </w:numPr>
        <w:tabs>
          <w:tab w:val="left" w:pos="1530"/>
        </w:tabs>
        <w:spacing w:line="446" w:lineRule="auto"/>
        <w:ind w:right="1549" w:firstLine="422"/>
        <w:rPr>
          <w:sz w:val="21"/>
        </w:rPr>
      </w:pPr>
      <w:r>
        <w:rPr>
          <w:spacing w:val="-3"/>
          <w:sz w:val="21"/>
        </w:rPr>
        <w:t>厨房操作间应设置洗涤池、案台、炉灶、固定式橱柜（或隔板、壁龛</w:t>
      </w:r>
      <w:r>
        <w:rPr>
          <w:sz w:val="21"/>
        </w:rPr>
        <w:t>）</w:t>
      </w:r>
      <w:r>
        <w:rPr>
          <w:spacing w:val="-3"/>
          <w:sz w:val="21"/>
        </w:rPr>
        <w:t>等设施或预留位置。设施布置应符合操作流程，并应有必要的操作空间。</w:t>
      </w:r>
      <w:r>
        <w:rPr>
          <w:sz w:val="21"/>
        </w:rPr>
        <w:t xml:space="preserve"> </w:t>
      </w:r>
    </w:p>
    <w:p w14:paraId="43BAA101" w14:textId="77777777" w:rsidR="00A71EEF" w:rsidRDefault="0081115D">
      <w:pPr>
        <w:pStyle w:val="a4"/>
        <w:numPr>
          <w:ilvl w:val="2"/>
          <w:numId w:val="199"/>
        </w:numPr>
        <w:tabs>
          <w:tab w:val="left" w:pos="1530"/>
        </w:tabs>
        <w:spacing w:line="446" w:lineRule="auto"/>
        <w:ind w:right="1549" w:firstLine="422"/>
        <w:rPr>
          <w:sz w:val="21"/>
        </w:rPr>
      </w:pPr>
      <w:r>
        <w:rPr>
          <w:spacing w:val="-3"/>
          <w:sz w:val="21"/>
        </w:rPr>
        <w:t>厨房应有排除油烟、给排水、隔油等设施，墙、地面应能防水，并易于清洁。地面</w:t>
      </w:r>
      <w:r>
        <w:rPr>
          <w:spacing w:val="-7"/>
          <w:sz w:val="21"/>
        </w:rPr>
        <w:t>应防滑，且应比一般房间地面低</w:t>
      </w:r>
      <w:r>
        <w:rPr>
          <w:spacing w:val="-7"/>
          <w:sz w:val="21"/>
        </w:rPr>
        <w:t xml:space="preserve"> </w:t>
      </w:r>
      <w:r>
        <w:rPr>
          <w:sz w:val="21"/>
        </w:rPr>
        <w:t>15mm</w:t>
      </w:r>
      <w:r>
        <w:rPr>
          <w:spacing w:val="-3"/>
          <w:sz w:val="21"/>
        </w:rPr>
        <w:t>。</w:t>
      </w:r>
      <w:r>
        <w:rPr>
          <w:sz w:val="21"/>
        </w:rPr>
        <w:t xml:space="preserve"> </w:t>
      </w:r>
    </w:p>
    <w:p w14:paraId="69BF80DF" w14:textId="77777777" w:rsidR="00A71EEF" w:rsidRDefault="0081115D">
      <w:pPr>
        <w:pStyle w:val="a4"/>
        <w:numPr>
          <w:ilvl w:val="2"/>
          <w:numId w:val="199"/>
        </w:numPr>
        <w:tabs>
          <w:tab w:val="left" w:pos="1478"/>
        </w:tabs>
        <w:spacing w:line="446" w:lineRule="auto"/>
        <w:ind w:right="1498" w:firstLine="422"/>
        <w:rPr>
          <w:sz w:val="21"/>
        </w:rPr>
      </w:pPr>
      <w:r>
        <w:rPr>
          <w:spacing w:val="-3"/>
          <w:sz w:val="21"/>
        </w:rPr>
        <w:t>餐厅的门宽、高应满足紧急情况下快速出动的要求，并应向外开启，地面应采取一定的防滑措施。</w:t>
      </w:r>
      <w:r>
        <w:rPr>
          <w:sz w:val="21"/>
        </w:rPr>
        <w:t xml:space="preserve"> </w:t>
      </w:r>
    </w:p>
    <w:p w14:paraId="72BFDF39" w14:textId="77777777" w:rsidR="00A71EEF" w:rsidRDefault="0081115D">
      <w:pPr>
        <w:pStyle w:val="a4"/>
        <w:numPr>
          <w:ilvl w:val="2"/>
          <w:numId w:val="199"/>
        </w:numPr>
        <w:tabs>
          <w:tab w:val="left" w:pos="1478"/>
        </w:tabs>
        <w:ind w:left="1477" w:hanging="638"/>
        <w:rPr>
          <w:sz w:val="21"/>
        </w:rPr>
      </w:pPr>
      <w:r>
        <w:rPr>
          <w:spacing w:val="-10"/>
          <w:sz w:val="21"/>
        </w:rPr>
        <w:t>厨房内应当设置</w:t>
      </w:r>
      <w:r>
        <w:rPr>
          <w:spacing w:val="-10"/>
          <w:sz w:val="21"/>
        </w:rPr>
        <w:t xml:space="preserve"> </w:t>
      </w:r>
      <w:r>
        <w:rPr>
          <w:sz w:val="21"/>
        </w:rPr>
        <w:t>380V</w:t>
      </w:r>
      <w:r>
        <w:rPr>
          <w:spacing w:val="-9"/>
          <w:sz w:val="21"/>
        </w:rPr>
        <w:t xml:space="preserve"> </w:t>
      </w:r>
      <w:r>
        <w:rPr>
          <w:spacing w:val="-9"/>
          <w:sz w:val="21"/>
        </w:rPr>
        <w:t>配电箱，并应满足各类用电设备的负荷要求。</w:t>
      </w:r>
      <w:r>
        <w:rPr>
          <w:sz w:val="21"/>
        </w:rPr>
        <w:t xml:space="preserve"> </w:t>
      </w:r>
    </w:p>
    <w:p w14:paraId="45E38358" w14:textId="77777777" w:rsidR="00A71EEF" w:rsidRDefault="00A71EEF">
      <w:pPr>
        <w:pStyle w:val="a3"/>
        <w:spacing w:before="10"/>
        <w:rPr>
          <w:sz w:val="17"/>
        </w:rPr>
      </w:pPr>
    </w:p>
    <w:p w14:paraId="4432A7B4" w14:textId="77777777" w:rsidR="00A71EEF" w:rsidRDefault="0081115D">
      <w:pPr>
        <w:pStyle w:val="a4"/>
        <w:numPr>
          <w:ilvl w:val="1"/>
          <w:numId w:val="199"/>
        </w:numPr>
        <w:tabs>
          <w:tab w:val="left" w:pos="1264"/>
        </w:tabs>
        <w:ind w:left="1263" w:hanging="424"/>
        <w:rPr>
          <w:sz w:val="21"/>
        </w:rPr>
      </w:pPr>
      <w:r>
        <w:rPr>
          <w:spacing w:val="-3"/>
          <w:sz w:val="21"/>
        </w:rPr>
        <w:t>家属探亲用房</w:t>
      </w:r>
      <w:r>
        <w:rPr>
          <w:sz w:val="21"/>
        </w:rPr>
        <w:t xml:space="preserve"> </w:t>
      </w:r>
    </w:p>
    <w:p w14:paraId="66586AF9" w14:textId="77777777" w:rsidR="00A71EEF" w:rsidRDefault="00A71EEF">
      <w:pPr>
        <w:pStyle w:val="a3"/>
        <w:spacing w:before="2"/>
        <w:rPr>
          <w:sz w:val="18"/>
        </w:rPr>
      </w:pPr>
    </w:p>
    <w:p w14:paraId="690CB057" w14:textId="77777777" w:rsidR="00A71EEF" w:rsidRDefault="0081115D">
      <w:pPr>
        <w:pStyle w:val="a4"/>
        <w:numPr>
          <w:ilvl w:val="2"/>
          <w:numId w:val="199"/>
        </w:numPr>
        <w:tabs>
          <w:tab w:val="left" w:pos="1478"/>
        </w:tabs>
        <w:ind w:left="1477" w:hanging="638"/>
        <w:rPr>
          <w:b/>
          <w:sz w:val="21"/>
        </w:rPr>
      </w:pPr>
      <w:r>
        <w:rPr>
          <w:spacing w:val="-3"/>
          <w:sz w:val="21"/>
        </w:rPr>
        <w:t>家属探亲用房宜布置在不影响执勤备战和业务训练的部位。</w:t>
      </w:r>
      <w:r>
        <w:rPr>
          <w:b/>
          <w:w w:val="99"/>
          <w:sz w:val="21"/>
        </w:rPr>
        <w:t xml:space="preserve"> </w:t>
      </w:r>
    </w:p>
    <w:p w14:paraId="26D5EA4D" w14:textId="77777777" w:rsidR="00A71EEF" w:rsidRDefault="00A71EEF">
      <w:pPr>
        <w:pStyle w:val="a3"/>
        <w:rPr>
          <w:b/>
          <w:sz w:val="18"/>
        </w:rPr>
      </w:pPr>
    </w:p>
    <w:p w14:paraId="778A46A3" w14:textId="77777777" w:rsidR="00A71EEF" w:rsidRDefault="0081115D">
      <w:pPr>
        <w:pStyle w:val="a4"/>
        <w:numPr>
          <w:ilvl w:val="2"/>
          <w:numId w:val="199"/>
        </w:numPr>
        <w:tabs>
          <w:tab w:val="left" w:pos="1478"/>
        </w:tabs>
        <w:ind w:left="1477" w:hanging="638"/>
        <w:rPr>
          <w:b/>
          <w:sz w:val="21"/>
        </w:rPr>
      </w:pPr>
      <w:r>
        <w:rPr>
          <w:spacing w:val="-3"/>
          <w:sz w:val="21"/>
        </w:rPr>
        <w:t>家属探亲用房内应设有独立卫生间。</w:t>
      </w:r>
      <w:r>
        <w:rPr>
          <w:b/>
          <w:w w:val="99"/>
          <w:sz w:val="21"/>
        </w:rPr>
        <w:t xml:space="preserve"> </w:t>
      </w:r>
    </w:p>
    <w:p w14:paraId="0EC4E40A" w14:textId="77777777" w:rsidR="00A71EEF" w:rsidRDefault="00A71EEF">
      <w:pPr>
        <w:pStyle w:val="a3"/>
        <w:spacing w:before="12"/>
        <w:rPr>
          <w:b/>
          <w:sz w:val="17"/>
        </w:rPr>
      </w:pPr>
    </w:p>
    <w:p w14:paraId="326CFAD2" w14:textId="77777777" w:rsidR="00A71EEF" w:rsidRDefault="0081115D">
      <w:pPr>
        <w:pStyle w:val="a4"/>
        <w:numPr>
          <w:ilvl w:val="2"/>
          <w:numId w:val="199"/>
        </w:numPr>
        <w:tabs>
          <w:tab w:val="left" w:pos="1478"/>
        </w:tabs>
        <w:ind w:left="1477" w:hanging="638"/>
        <w:rPr>
          <w:b/>
          <w:sz w:val="21"/>
        </w:rPr>
      </w:pPr>
      <w:r>
        <w:rPr>
          <w:spacing w:val="-3"/>
          <w:sz w:val="21"/>
        </w:rPr>
        <w:t>家属探亲用房内宜设置电话、互联网和有线电视接口。</w:t>
      </w:r>
      <w:r>
        <w:rPr>
          <w:b/>
          <w:w w:val="99"/>
          <w:sz w:val="21"/>
        </w:rPr>
        <w:t xml:space="preserve"> </w:t>
      </w:r>
    </w:p>
    <w:p w14:paraId="19DF240E" w14:textId="77777777" w:rsidR="00A71EEF" w:rsidRDefault="00A71EEF">
      <w:pPr>
        <w:pStyle w:val="a3"/>
        <w:spacing w:before="5"/>
        <w:rPr>
          <w:b/>
          <w:sz w:val="17"/>
        </w:rPr>
      </w:pPr>
    </w:p>
    <w:p w14:paraId="2076F7CB" w14:textId="77777777" w:rsidR="00A71EEF" w:rsidRDefault="0081115D">
      <w:pPr>
        <w:pStyle w:val="a4"/>
        <w:numPr>
          <w:ilvl w:val="2"/>
          <w:numId w:val="199"/>
        </w:numPr>
        <w:tabs>
          <w:tab w:val="left" w:pos="1478"/>
        </w:tabs>
        <w:ind w:left="1477" w:hanging="638"/>
        <w:rPr>
          <w:b/>
          <w:sz w:val="21"/>
        </w:rPr>
      </w:pPr>
      <w:r>
        <w:rPr>
          <w:spacing w:val="-9"/>
          <w:sz w:val="21"/>
        </w:rPr>
        <w:t>家属探亲用房宜按</w:t>
      </w:r>
      <w:r>
        <w:rPr>
          <w:spacing w:val="-9"/>
          <w:sz w:val="21"/>
        </w:rPr>
        <w:t xml:space="preserve"> </w:t>
      </w:r>
      <w:r>
        <w:rPr>
          <w:sz w:val="21"/>
        </w:rPr>
        <w:t>20m</w:t>
      </w:r>
      <w:r>
        <w:rPr>
          <w:position w:val="11"/>
          <w:sz w:val="11"/>
        </w:rPr>
        <w:t>2</w:t>
      </w:r>
      <w:r>
        <w:rPr>
          <w:spacing w:val="-29"/>
          <w:position w:val="11"/>
          <w:sz w:val="11"/>
        </w:rPr>
        <w:t xml:space="preserve"> </w:t>
      </w:r>
      <w:r>
        <w:rPr>
          <w:spacing w:val="-3"/>
          <w:sz w:val="21"/>
        </w:rPr>
        <w:t>一间设置。</w:t>
      </w:r>
      <w:r>
        <w:rPr>
          <w:b/>
          <w:w w:val="99"/>
          <w:sz w:val="21"/>
        </w:rPr>
        <w:t xml:space="preserve"> </w:t>
      </w:r>
    </w:p>
    <w:p w14:paraId="0F0CDDE6" w14:textId="77777777" w:rsidR="00A71EEF" w:rsidRDefault="00A71EEF">
      <w:pPr>
        <w:rPr>
          <w:sz w:val="21"/>
        </w:rPr>
        <w:sectPr w:rsidR="00A71EEF">
          <w:pgSz w:w="11910" w:h="16850"/>
          <w:pgMar w:top="1220" w:right="0" w:bottom="1420" w:left="1260" w:header="0" w:footer="1239" w:gutter="0"/>
          <w:cols w:space="720"/>
        </w:sectPr>
      </w:pPr>
    </w:p>
    <w:p w14:paraId="7BA9680A" w14:textId="77777777" w:rsidR="00A71EEF" w:rsidRDefault="0081115D">
      <w:pPr>
        <w:pStyle w:val="a4"/>
        <w:numPr>
          <w:ilvl w:val="1"/>
          <w:numId w:val="199"/>
        </w:numPr>
        <w:tabs>
          <w:tab w:val="left" w:pos="1264"/>
        </w:tabs>
        <w:spacing w:before="47"/>
        <w:ind w:left="1263" w:hanging="424"/>
        <w:rPr>
          <w:sz w:val="21"/>
        </w:rPr>
      </w:pPr>
      <w:r>
        <w:rPr>
          <w:spacing w:val="-3"/>
          <w:sz w:val="21"/>
        </w:rPr>
        <w:t>浴室</w:t>
      </w:r>
      <w:r>
        <w:rPr>
          <w:sz w:val="21"/>
        </w:rPr>
        <w:t xml:space="preserve"> </w:t>
      </w:r>
    </w:p>
    <w:p w14:paraId="2D093D46" w14:textId="77777777" w:rsidR="00A71EEF" w:rsidRDefault="00A71EEF">
      <w:pPr>
        <w:pStyle w:val="a3"/>
        <w:rPr>
          <w:sz w:val="18"/>
        </w:rPr>
      </w:pPr>
    </w:p>
    <w:p w14:paraId="568060CC" w14:textId="77777777" w:rsidR="00A71EEF" w:rsidRDefault="0081115D">
      <w:pPr>
        <w:pStyle w:val="a4"/>
        <w:numPr>
          <w:ilvl w:val="2"/>
          <w:numId w:val="199"/>
        </w:numPr>
        <w:tabs>
          <w:tab w:val="left" w:pos="1478"/>
        </w:tabs>
        <w:spacing w:line="446" w:lineRule="auto"/>
        <w:ind w:right="1601" w:firstLine="422"/>
        <w:rPr>
          <w:sz w:val="21"/>
        </w:rPr>
      </w:pPr>
      <w:r>
        <w:rPr>
          <w:spacing w:val="-3"/>
          <w:sz w:val="21"/>
        </w:rPr>
        <w:t>浴室应与备勤室处于同一楼层，浴室内喷淋头数量应能满足两个班同时洗浴的要求。</w:t>
      </w:r>
      <w:r>
        <w:rPr>
          <w:sz w:val="21"/>
        </w:rPr>
        <w:t xml:space="preserve"> </w:t>
      </w:r>
    </w:p>
    <w:p w14:paraId="160E5F0F" w14:textId="77777777" w:rsidR="00A71EEF" w:rsidRDefault="0081115D">
      <w:pPr>
        <w:pStyle w:val="a4"/>
        <w:numPr>
          <w:ilvl w:val="2"/>
          <w:numId w:val="199"/>
        </w:numPr>
        <w:tabs>
          <w:tab w:val="left" w:pos="1478"/>
        </w:tabs>
        <w:ind w:left="1477" w:hanging="638"/>
        <w:rPr>
          <w:sz w:val="21"/>
        </w:rPr>
      </w:pPr>
      <w:r>
        <w:rPr>
          <w:spacing w:val="-3"/>
          <w:sz w:val="21"/>
        </w:rPr>
        <w:t>浴室内应设有独立的更衣区域。</w:t>
      </w:r>
      <w:r>
        <w:rPr>
          <w:sz w:val="21"/>
        </w:rPr>
        <w:t xml:space="preserve"> </w:t>
      </w:r>
    </w:p>
    <w:p w14:paraId="406179F9" w14:textId="77777777" w:rsidR="00A71EEF" w:rsidRDefault="00A71EEF">
      <w:pPr>
        <w:pStyle w:val="a3"/>
        <w:spacing w:before="12"/>
        <w:rPr>
          <w:sz w:val="17"/>
        </w:rPr>
      </w:pPr>
    </w:p>
    <w:p w14:paraId="76910FC8" w14:textId="77777777" w:rsidR="00A71EEF" w:rsidRDefault="0081115D">
      <w:pPr>
        <w:pStyle w:val="a4"/>
        <w:numPr>
          <w:ilvl w:val="2"/>
          <w:numId w:val="199"/>
        </w:numPr>
        <w:tabs>
          <w:tab w:val="left" w:pos="1478"/>
        </w:tabs>
        <w:spacing w:line="446" w:lineRule="auto"/>
        <w:ind w:right="1551" w:firstLine="422"/>
        <w:rPr>
          <w:sz w:val="21"/>
        </w:rPr>
      </w:pPr>
      <w:r>
        <w:rPr>
          <w:spacing w:val="-5"/>
          <w:sz w:val="21"/>
        </w:rPr>
        <w:t>外开门淋浴隔间的平面尺寸不应小于</w:t>
      </w:r>
      <w:r>
        <w:rPr>
          <w:spacing w:val="-5"/>
          <w:sz w:val="21"/>
        </w:rPr>
        <w:t xml:space="preserve"> </w:t>
      </w:r>
      <w:r>
        <w:rPr>
          <w:sz w:val="21"/>
        </w:rPr>
        <w:t>1.00m×1.20m</w:t>
      </w:r>
      <w:r>
        <w:rPr>
          <w:spacing w:val="-3"/>
          <w:sz w:val="21"/>
        </w:rPr>
        <w:t>。</w:t>
      </w:r>
      <w:r>
        <w:rPr>
          <w:sz w:val="21"/>
        </w:rPr>
        <w:t>（</w:t>
      </w:r>
      <w:r>
        <w:rPr>
          <w:spacing w:val="-3"/>
          <w:sz w:val="21"/>
        </w:rPr>
        <w:t>宽度</w:t>
      </w:r>
      <w:r>
        <w:rPr>
          <w:spacing w:val="-3"/>
          <w:sz w:val="21"/>
        </w:rPr>
        <w:t>×</w:t>
      </w:r>
      <w:r>
        <w:rPr>
          <w:spacing w:val="-3"/>
          <w:sz w:val="21"/>
        </w:rPr>
        <w:t>深度</w:t>
      </w:r>
      <w:r>
        <w:rPr>
          <w:sz w:val="21"/>
        </w:rPr>
        <w:t>）；</w:t>
      </w:r>
      <w:r>
        <w:rPr>
          <w:spacing w:val="-3"/>
          <w:sz w:val="21"/>
        </w:rPr>
        <w:t>内设更衣凳</w:t>
      </w:r>
      <w:r>
        <w:rPr>
          <w:spacing w:val="-7"/>
          <w:sz w:val="21"/>
        </w:rPr>
        <w:t>的淋浴隔间的平面尺寸不应小于</w:t>
      </w:r>
      <w:r>
        <w:rPr>
          <w:spacing w:val="-7"/>
          <w:sz w:val="21"/>
        </w:rPr>
        <w:t xml:space="preserve"> </w:t>
      </w:r>
      <w:r>
        <w:rPr>
          <w:sz w:val="21"/>
        </w:rPr>
        <w:t>1.00m×1.60m</w:t>
      </w:r>
      <w:r>
        <w:rPr>
          <w:sz w:val="21"/>
        </w:rPr>
        <w:t>（</w:t>
      </w:r>
      <w:r>
        <w:rPr>
          <w:spacing w:val="-2"/>
          <w:sz w:val="21"/>
        </w:rPr>
        <w:t>宽度</w:t>
      </w:r>
      <w:r>
        <w:rPr>
          <w:spacing w:val="-2"/>
          <w:sz w:val="21"/>
        </w:rPr>
        <w:t>×</w:t>
      </w:r>
      <w:r>
        <w:rPr>
          <w:spacing w:val="-2"/>
          <w:sz w:val="21"/>
        </w:rPr>
        <w:t>深度</w:t>
      </w:r>
      <w:r>
        <w:rPr>
          <w:sz w:val="21"/>
        </w:rPr>
        <w:t>）</w:t>
      </w:r>
      <w:r>
        <w:rPr>
          <w:spacing w:val="-3"/>
          <w:sz w:val="21"/>
        </w:rPr>
        <w:t>。</w:t>
      </w:r>
      <w:r>
        <w:rPr>
          <w:sz w:val="21"/>
        </w:rPr>
        <w:t xml:space="preserve"> </w:t>
      </w:r>
    </w:p>
    <w:p w14:paraId="3617730D" w14:textId="77777777" w:rsidR="00A71EEF" w:rsidRDefault="0081115D">
      <w:pPr>
        <w:pStyle w:val="a4"/>
        <w:numPr>
          <w:ilvl w:val="2"/>
          <w:numId w:val="199"/>
        </w:numPr>
        <w:tabs>
          <w:tab w:val="left" w:pos="1478"/>
        </w:tabs>
        <w:ind w:left="1477" w:hanging="638"/>
        <w:rPr>
          <w:sz w:val="21"/>
        </w:rPr>
      </w:pPr>
      <w:r>
        <w:rPr>
          <w:spacing w:val="-3"/>
          <w:sz w:val="21"/>
        </w:rPr>
        <w:t>浴室内的冷、热水供应以及水压和水量应能满足所有喷淋头同时使用的要求。</w:t>
      </w:r>
      <w:r>
        <w:rPr>
          <w:spacing w:val="-3"/>
          <w:sz w:val="21"/>
        </w:rPr>
        <w:t xml:space="preserve"> </w:t>
      </w:r>
    </w:p>
    <w:p w14:paraId="3CA59C41" w14:textId="77777777" w:rsidR="00A71EEF" w:rsidRDefault="00A71EEF">
      <w:pPr>
        <w:pStyle w:val="a3"/>
        <w:rPr>
          <w:sz w:val="18"/>
        </w:rPr>
      </w:pPr>
    </w:p>
    <w:p w14:paraId="38683DFC" w14:textId="77777777" w:rsidR="00A71EEF" w:rsidRDefault="0081115D">
      <w:pPr>
        <w:pStyle w:val="a4"/>
        <w:numPr>
          <w:ilvl w:val="2"/>
          <w:numId w:val="199"/>
        </w:numPr>
        <w:tabs>
          <w:tab w:val="left" w:pos="1478"/>
        </w:tabs>
        <w:ind w:left="1477" w:hanging="638"/>
        <w:rPr>
          <w:sz w:val="21"/>
        </w:rPr>
      </w:pPr>
      <w:r>
        <w:rPr>
          <w:spacing w:val="-3"/>
          <w:sz w:val="21"/>
        </w:rPr>
        <w:t>室内上下水管和浴室顶棚应防冷凝水下滴，浴室热水管应采取防止烫伤措施。</w:t>
      </w:r>
      <w:r>
        <w:rPr>
          <w:spacing w:val="-3"/>
          <w:sz w:val="21"/>
        </w:rPr>
        <w:t xml:space="preserve"> </w:t>
      </w:r>
    </w:p>
    <w:p w14:paraId="121EB442" w14:textId="77777777" w:rsidR="00A71EEF" w:rsidRDefault="00A71EEF">
      <w:pPr>
        <w:pStyle w:val="a3"/>
        <w:rPr>
          <w:sz w:val="18"/>
        </w:rPr>
      </w:pPr>
    </w:p>
    <w:p w14:paraId="3EF5F4EF" w14:textId="77777777" w:rsidR="00A71EEF" w:rsidRDefault="0081115D">
      <w:pPr>
        <w:pStyle w:val="a4"/>
        <w:numPr>
          <w:ilvl w:val="2"/>
          <w:numId w:val="199"/>
        </w:numPr>
        <w:tabs>
          <w:tab w:val="left" w:pos="1478"/>
        </w:tabs>
        <w:spacing w:line="446" w:lineRule="auto"/>
        <w:ind w:right="1496" w:firstLine="422"/>
        <w:rPr>
          <w:sz w:val="21"/>
        </w:rPr>
      </w:pPr>
      <w:r>
        <w:rPr>
          <w:spacing w:val="-4"/>
          <w:sz w:val="21"/>
        </w:rPr>
        <w:t>地面、地面沟槽、管道穿楼板及楼板接墙面处应防水、防渗漏；离地高度</w:t>
      </w:r>
      <w:r>
        <w:rPr>
          <w:spacing w:val="-4"/>
          <w:sz w:val="21"/>
        </w:rPr>
        <w:t xml:space="preserve"> </w:t>
      </w:r>
      <w:r>
        <w:rPr>
          <w:sz w:val="21"/>
        </w:rPr>
        <w:t>1.8m</w:t>
      </w:r>
      <w:r>
        <w:rPr>
          <w:spacing w:val="-12"/>
          <w:sz w:val="21"/>
        </w:rPr>
        <w:t xml:space="preserve"> </w:t>
      </w:r>
      <w:r>
        <w:rPr>
          <w:spacing w:val="-12"/>
          <w:sz w:val="21"/>
        </w:rPr>
        <w:t>以下</w:t>
      </w:r>
      <w:r>
        <w:rPr>
          <w:spacing w:val="-5"/>
          <w:sz w:val="21"/>
        </w:rPr>
        <w:t>的墙面应做防水处理。</w:t>
      </w:r>
      <w:r>
        <w:rPr>
          <w:sz w:val="21"/>
        </w:rPr>
        <w:t xml:space="preserve"> </w:t>
      </w:r>
    </w:p>
    <w:p w14:paraId="7CC24E0F" w14:textId="77777777" w:rsidR="00A71EEF" w:rsidRDefault="0081115D">
      <w:pPr>
        <w:pStyle w:val="a4"/>
        <w:numPr>
          <w:ilvl w:val="2"/>
          <w:numId w:val="199"/>
        </w:numPr>
        <w:tabs>
          <w:tab w:val="left" w:pos="1478"/>
        </w:tabs>
        <w:ind w:left="1477" w:hanging="638"/>
        <w:rPr>
          <w:sz w:val="21"/>
        </w:rPr>
      </w:pPr>
      <w:r>
        <w:rPr>
          <w:spacing w:val="-3"/>
          <w:sz w:val="21"/>
        </w:rPr>
        <w:t>地面、墙面或墙裙的面层应采用不吸水、不吸污、耐腐蚀、易清洗的材料。</w:t>
      </w:r>
      <w:r>
        <w:rPr>
          <w:spacing w:val="-3"/>
          <w:sz w:val="21"/>
        </w:rPr>
        <w:t xml:space="preserve"> </w:t>
      </w:r>
    </w:p>
    <w:p w14:paraId="4539A277" w14:textId="77777777" w:rsidR="00A71EEF" w:rsidRDefault="00A71EEF">
      <w:pPr>
        <w:pStyle w:val="a3"/>
        <w:spacing w:before="12"/>
        <w:rPr>
          <w:sz w:val="17"/>
        </w:rPr>
      </w:pPr>
    </w:p>
    <w:p w14:paraId="4F1A8360" w14:textId="77777777" w:rsidR="00A71EEF" w:rsidRDefault="0081115D">
      <w:pPr>
        <w:pStyle w:val="a4"/>
        <w:numPr>
          <w:ilvl w:val="2"/>
          <w:numId w:val="199"/>
        </w:numPr>
        <w:tabs>
          <w:tab w:val="left" w:pos="1478"/>
        </w:tabs>
        <w:ind w:left="1477" w:hanging="638"/>
        <w:rPr>
          <w:sz w:val="21"/>
        </w:rPr>
      </w:pPr>
      <w:r>
        <w:rPr>
          <w:spacing w:val="-3"/>
          <w:sz w:val="21"/>
        </w:rPr>
        <w:t>地面应防滑，地面标高宜低于走道标高，并应有坡度坡向地漏或水沟。</w:t>
      </w:r>
      <w:r>
        <w:rPr>
          <w:spacing w:val="-3"/>
          <w:sz w:val="21"/>
        </w:rPr>
        <w:t xml:space="preserve"> </w:t>
      </w:r>
      <w:r>
        <w:rPr>
          <w:spacing w:val="-2"/>
          <w:sz w:val="21"/>
        </w:rPr>
        <w:t xml:space="preserve"> </w:t>
      </w:r>
      <w:r>
        <w:rPr>
          <w:sz w:val="21"/>
        </w:rPr>
        <w:t xml:space="preserve"> </w:t>
      </w:r>
      <w:r>
        <w:rPr>
          <w:sz w:val="21"/>
        </w:rPr>
        <w:t xml:space="preserve"> </w:t>
      </w:r>
      <w:r>
        <w:rPr>
          <w:sz w:val="21"/>
        </w:rPr>
        <w:t xml:space="preserve"> </w:t>
      </w:r>
      <w:r>
        <w:rPr>
          <w:spacing w:val="-2"/>
          <w:sz w:val="21"/>
        </w:rPr>
        <w:t xml:space="preserve"> </w:t>
      </w:r>
      <w:r>
        <w:rPr>
          <w:sz w:val="21"/>
        </w:rPr>
        <w:t xml:space="preserve"> </w:t>
      </w:r>
    </w:p>
    <w:p w14:paraId="472ED30A" w14:textId="77777777" w:rsidR="00A71EEF" w:rsidRDefault="00A71EEF">
      <w:pPr>
        <w:pStyle w:val="a3"/>
        <w:spacing w:before="2"/>
        <w:rPr>
          <w:sz w:val="18"/>
        </w:rPr>
      </w:pPr>
    </w:p>
    <w:p w14:paraId="6A630650" w14:textId="77777777" w:rsidR="00A71EEF" w:rsidRDefault="0081115D">
      <w:pPr>
        <w:pStyle w:val="a4"/>
        <w:numPr>
          <w:ilvl w:val="2"/>
          <w:numId w:val="199"/>
        </w:numPr>
        <w:tabs>
          <w:tab w:val="left" w:pos="1478"/>
        </w:tabs>
        <w:ind w:left="1477" w:hanging="638"/>
        <w:rPr>
          <w:sz w:val="21"/>
        </w:rPr>
      </w:pPr>
      <w:r>
        <w:rPr>
          <w:spacing w:val="-3"/>
          <w:sz w:val="21"/>
        </w:rPr>
        <w:t>浴室天花板应使用防水型材料。</w:t>
      </w:r>
      <w:r>
        <w:rPr>
          <w:sz w:val="21"/>
        </w:rPr>
        <w:t xml:space="preserve"> </w:t>
      </w:r>
    </w:p>
    <w:p w14:paraId="73F6298A" w14:textId="77777777" w:rsidR="00A71EEF" w:rsidRDefault="00A71EEF">
      <w:pPr>
        <w:pStyle w:val="a3"/>
        <w:rPr>
          <w:sz w:val="18"/>
        </w:rPr>
      </w:pPr>
    </w:p>
    <w:p w14:paraId="45A48459" w14:textId="77777777" w:rsidR="00A71EEF" w:rsidRDefault="0081115D">
      <w:pPr>
        <w:pStyle w:val="a4"/>
        <w:numPr>
          <w:ilvl w:val="2"/>
          <w:numId w:val="199"/>
        </w:numPr>
        <w:tabs>
          <w:tab w:val="left" w:pos="1583"/>
        </w:tabs>
        <w:ind w:left="1582" w:hanging="743"/>
        <w:rPr>
          <w:sz w:val="21"/>
        </w:rPr>
      </w:pPr>
      <w:r>
        <w:rPr>
          <w:spacing w:val="-3"/>
          <w:sz w:val="21"/>
        </w:rPr>
        <w:t>浴室内应设置必要的取暖、通风和给排水设施。</w:t>
      </w:r>
      <w:r>
        <w:rPr>
          <w:sz w:val="21"/>
        </w:rPr>
        <w:t xml:space="preserve"> </w:t>
      </w:r>
    </w:p>
    <w:p w14:paraId="537635DA" w14:textId="77777777" w:rsidR="00A71EEF" w:rsidRDefault="00A71EEF">
      <w:pPr>
        <w:pStyle w:val="a3"/>
        <w:spacing w:before="12"/>
        <w:rPr>
          <w:sz w:val="17"/>
        </w:rPr>
      </w:pPr>
    </w:p>
    <w:p w14:paraId="78FCDF22" w14:textId="77777777" w:rsidR="00A71EEF" w:rsidRDefault="0081115D">
      <w:pPr>
        <w:pStyle w:val="a4"/>
        <w:numPr>
          <w:ilvl w:val="2"/>
          <w:numId w:val="199"/>
        </w:numPr>
        <w:tabs>
          <w:tab w:val="left" w:pos="1583"/>
        </w:tabs>
        <w:spacing w:line="446" w:lineRule="auto"/>
        <w:ind w:right="1601" w:firstLine="422"/>
        <w:rPr>
          <w:b/>
          <w:sz w:val="21"/>
        </w:rPr>
      </w:pPr>
      <w:r>
        <w:rPr>
          <w:spacing w:val="-3"/>
          <w:sz w:val="21"/>
        </w:rPr>
        <w:t>浴室内应采取局部等电位联结措施，所有金属管道和金属构件应与局部等电位端子箱可靠连接。</w:t>
      </w:r>
      <w:r>
        <w:rPr>
          <w:b/>
          <w:w w:val="99"/>
          <w:sz w:val="21"/>
        </w:rPr>
        <w:t xml:space="preserve"> </w:t>
      </w:r>
    </w:p>
    <w:p w14:paraId="18090D9F" w14:textId="77777777" w:rsidR="00A71EEF" w:rsidRDefault="0081115D">
      <w:pPr>
        <w:pStyle w:val="a4"/>
        <w:numPr>
          <w:ilvl w:val="1"/>
          <w:numId w:val="199"/>
        </w:numPr>
        <w:tabs>
          <w:tab w:val="left" w:pos="1266"/>
        </w:tabs>
        <w:ind w:left="1265" w:hanging="426"/>
        <w:rPr>
          <w:sz w:val="21"/>
        </w:rPr>
      </w:pPr>
      <w:r>
        <w:rPr>
          <w:spacing w:val="-3"/>
          <w:sz w:val="21"/>
        </w:rPr>
        <w:t>锅炉房</w:t>
      </w:r>
      <w:r>
        <w:rPr>
          <w:sz w:val="21"/>
        </w:rPr>
        <w:t xml:space="preserve"> </w:t>
      </w:r>
    </w:p>
    <w:p w14:paraId="2E5C4064" w14:textId="77777777" w:rsidR="00A71EEF" w:rsidRDefault="00A71EEF">
      <w:pPr>
        <w:pStyle w:val="a3"/>
        <w:spacing w:before="12"/>
        <w:rPr>
          <w:sz w:val="17"/>
        </w:rPr>
      </w:pPr>
    </w:p>
    <w:p w14:paraId="241EF593" w14:textId="77777777" w:rsidR="00A71EEF" w:rsidRDefault="0081115D">
      <w:pPr>
        <w:pStyle w:val="a4"/>
        <w:numPr>
          <w:ilvl w:val="2"/>
          <w:numId w:val="199"/>
        </w:numPr>
        <w:tabs>
          <w:tab w:val="left" w:pos="1478"/>
        </w:tabs>
        <w:spacing w:before="1"/>
        <w:ind w:left="1477" w:hanging="638"/>
        <w:rPr>
          <w:sz w:val="21"/>
        </w:rPr>
      </w:pPr>
      <w:r>
        <w:rPr>
          <w:spacing w:val="-3"/>
          <w:sz w:val="21"/>
        </w:rPr>
        <w:t>在采暖地区的消防站当无城市热网时可设置锅炉房。</w:t>
      </w:r>
      <w:r>
        <w:rPr>
          <w:sz w:val="21"/>
        </w:rPr>
        <w:t xml:space="preserve"> </w:t>
      </w:r>
    </w:p>
    <w:p w14:paraId="52BFD98D" w14:textId="77777777" w:rsidR="00A71EEF" w:rsidRDefault="00A71EEF">
      <w:pPr>
        <w:pStyle w:val="a3"/>
        <w:spacing w:before="1"/>
        <w:rPr>
          <w:sz w:val="18"/>
        </w:rPr>
      </w:pPr>
    </w:p>
    <w:p w14:paraId="2509C533" w14:textId="77777777" w:rsidR="00A71EEF" w:rsidRDefault="0081115D">
      <w:pPr>
        <w:pStyle w:val="a4"/>
        <w:numPr>
          <w:ilvl w:val="2"/>
          <w:numId w:val="199"/>
        </w:numPr>
        <w:tabs>
          <w:tab w:val="left" w:pos="1478"/>
        </w:tabs>
        <w:spacing w:line="446" w:lineRule="auto"/>
        <w:ind w:right="1445" w:firstLine="422"/>
        <w:rPr>
          <w:sz w:val="21"/>
        </w:rPr>
      </w:pPr>
      <w:r>
        <w:rPr>
          <w:spacing w:val="-3"/>
          <w:sz w:val="21"/>
        </w:rPr>
        <w:t>锅炉房的位置选址及设计应符合现行国家标准《锅炉房设计规范》</w:t>
      </w:r>
      <w:r>
        <w:rPr>
          <w:sz w:val="21"/>
        </w:rPr>
        <w:t>GB</w:t>
      </w:r>
      <w:r>
        <w:rPr>
          <w:spacing w:val="12"/>
          <w:sz w:val="21"/>
        </w:rPr>
        <w:t xml:space="preserve"> </w:t>
      </w:r>
      <w:r>
        <w:rPr>
          <w:sz w:val="21"/>
        </w:rPr>
        <w:t>50041</w:t>
      </w:r>
      <w:r>
        <w:rPr>
          <w:spacing w:val="-13"/>
          <w:sz w:val="21"/>
        </w:rPr>
        <w:t xml:space="preserve"> </w:t>
      </w:r>
      <w:r>
        <w:rPr>
          <w:spacing w:val="-13"/>
          <w:sz w:val="21"/>
        </w:rPr>
        <w:t>的有关</w:t>
      </w:r>
      <w:r>
        <w:rPr>
          <w:spacing w:val="-10"/>
          <w:sz w:val="21"/>
        </w:rPr>
        <w:t>规定。</w:t>
      </w:r>
      <w:r>
        <w:rPr>
          <w:sz w:val="21"/>
        </w:rPr>
        <w:t xml:space="preserve"> </w:t>
      </w:r>
    </w:p>
    <w:p w14:paraId="02DEFA3E" w14:textId="77777777" w:rsidR="00A71EEF" w:rsidRDefault="0081115D">
      <w:pPr>
        <w:pStyle w:val="a4"/>
        <w:numPr>
          <w:ilvl w:val="1"/>
          <w:numId w:val="199"/>
        </w:numPr>
        <w:tabs>
          <w:tab w:val="left" w:pos="1264"/>
        </w:tabs>
        <w:spacing w:line="267" w:lineRule="exact"/>
        <w:ind w:left="1263" w:hanging="424"/>
        <w:rPr>
          <w:sz w:val="21"/>
        </w:rPr>
      </w:pPr>
      <w:r>
        <w:rPr>
          <w:spacing w:val="-3"/>
          <w:sz w:val="21"/>
        </w:rPr>
        <w:t>心理辅导室</w:t>
      </w:r>
      <w:r>
        <w:rPr>
          <w:sz w:val="21"/>
        </w:rPr>
        <w:t xml:space="preserve"> </w:t>
      </w:r>
    </w:p>
    <w:p w14:paraId="3F32BF4A" w14:textId="77777777" w:rsidR="00A71EEF" w:rsidRDefault="00A71EEF">
      <w:pPr>
        <w:pStyle w:val="a3"/>
        <w:spacing w:before="2"/>
        <w:rPr>
          <w:sz w:val="18"/>
        </w:rPr>
      </w:pPr>
    </w:p>
    <w:p w14:paraId="18E15E84" w14:textId="77777777" w:rsidR="00A71EEF" w:rsidRDefault="0081115D">
      <w:pPr>
        <w:pStyle w:val="a4"/>
        <w:numPr>
          <w:ilvl w:val="2"/>
          <w:numId w:val="199"/>
        </w:numPr>
        <w:tabs>
          <w:tab w:val="left" w:pos="1530"/>
        </w:tabs>
        <w:spacing w:line="446" w:lineRule="auto"/>
        <w:ind w:left="840" w:right="1604" w:firstLine="0"/>
        <w:rPr>
          <w:sz w:val="21"/>
        </w:rPr>
      </w:pPr>
      <w:r>
        <w:rPr>
          <w:spacing w:val="-3"/>
          <w:sz w:val="21"/>
        </w:rPr>
        <w:t>心理辅导室选址应本着安静和方便的原则，选择采光、通风条件良好的地方。</w:t>
      </w:r>
      <w:r>
        <w:rPr>
          <w:b/>
          <w:spacing w:val="-3"/>
          <w:sz w:val="21"/>
        </w:rPr>
        <w:t>4.20.2</w:t>
      </w:r>
      <w:r>
        <w:rPr>
          <w:b/>
          <w:spacing w:val="19"/>
          <w:sz w:val="21"/>
        </w:rPr>
        <w:t xml:space="preserve"> </w:t>
      </w:r>
      <w:r>
        <w:rPr>
          <w:spacing w:val="-3"/>
          <w:sz w:val="21"/>
        </w:rPr>
        <w:t>心理辅导室应根据功能分区，可包括心理检测区、个体咨询区、情绪疏导区等。</w:t>
      </w:r>
      <w:r>
        <w:rPr>
          <w:b/>
          <w:sz w:val="21"/>
        </w:rPr>
        <w:t>4.20.3</w:t>
      </w:r>
      <w:r>
        <w:rPr>
          <w:b/>
          <w:spacing w:val="2"/>
          <w:sz w:val="21"/>
        </w:rPr>
        <w:t xml:space="preserve"> </w:t>
      </w:r>
      <w:r>
        <w:rPr>
          <w:spacing w:val="-3"/>
          <w:sz w:val="21"/>
        </w:rPr>
        <w:t>心理辅导室的颜色选择和设备配置应符合心理辅导者的心理特点。</w:t>
      </w:r>
      <w:r>
        <w:rPr>
          <w:spacing w:val="-3"/>
          <w:sz w:val="21"/>
        </w:rPr>
        <w:t xml:space="preserve"> </w:t>
      </w:r>
    </w:p>
    <w:p w14:paraId="18F3B643" w14:textId="77777777" w:rsidR="00A71EEF" w:rsidRDefault="0081115D">
      <w:pPr>
        <w:pStyle w:val="a4"/>
        <w:numPr>
          <w:ilvl w:val="1"/>
          <w:numId w:val="199"/>
        </w:numPr>
        <w:tabs>
          <w:tab w:val="left" w:pos="1264"/>
        </w:tabs>
        <w:spacing w:line="268" w:lineRule="exact"/>
        <w:ind w:left="1263" w:hanging="424"/>
        <w:rPr>
          <w:b/>
          <w:sz w:val="21"/>
        </w:rPr>
      </w:pPr>
      <w:r>
        <w:rPr>
          <w:spacing w:val="-3"/>
          <w:sz w:val="21"/>
        </w:rPr>
        <w:t>晾衣室</w:t>
      </w:r>
      <w:r>
        <w:rPr>
          <w:sz w:val="21"/>
        </w:rPr>
        <w:t>（</w:t>
      </w:r>
      <w:r>
        <w:rPr>
          <w:spacing w:val="-3"/>
          <w:sz w:val="21"/>
        </w:rPr>
        <w:t>场）</w:t>
      </w:r>
      <w:r>
        <w:rPr>
          <w:b/>
          <w:w w:val="99"/>
          <w:sz w:val="21"/>
        </w:rPr>
        <w:t xml:space="preserve"> </w:t>
      </w:r>
    </w:p>
    <w:p w14:paraId="58A3E6AE" w14:textId="77777777" w:rsidR="00A71EEF" w:rsidRDefault="00A71EEF">
      <w:pPr>
        <w:pStyle w:val="a3"/>
        <w:rPr>
          <w:b/>
          <w:sz w:val="18"/>
        </w:rPr>
      </w:pPr>
    </w:p>
    <w:p w14:paraId="22D57FD9" w14:textId="77777777" w:rsidR="00A71EEF" w:rsidRDefault="0081115D">
      <w:pPr>
        <w:pStyle w:val="a4"/>
        <w:numPr>
          <w:ilvl w:val="2"/>
          <w:numId w:val="199"/>
        </w:numPr>
        <w:tabs>
          <w:tab w:val="left" w:pos="1478"/>
        </w:tabs>
        <w:ind w:left="1477" w:hanging="638"/>
        <w:rPr>
          <w:b/>
          <w:sz w:val="21"/>
        </w:rPr>
      </w:pPr>
      <w:r>
        <w:rPr>
          <w:spacing w:val="-3"/>
          <w:sz w:val="21"/>
        </w:rPr>
        <w:t>晾衣室</w:t>
      </w:r>
      <w:r>
        <w:rPr>
          <w:sz w:val="21"/>
        </w:rPr>
        <w:t>（</w:t>
      </w:r>
      <w:r>
        <w:rPr>
          <w:spacing w:val="-3"/>
          <w:sz w:val="21"/>
        </w:rPr>
        <w:t>场</w:t>
      </w:r>
      <w:r>
        <w:rPr>
          <w:sz w:val="21"/>
        </w:rPr>
        <w:t>）</w:t>
      </w:r>
      <w:r>
        <w:rPr>
          <w:spacing w:val="-3"/>
          <w:sz w:val="21"/>
        </w:rPr>
        <w:t>宜靠近盥洗室，并应有良好的采光及通风。</w:t>
      </w:r>
      <w:r>
        <w:rPr>
          <w:b/>
          <w:w w:val="99"/>
          <w:sz w:val="21"/>
        </w:rPr>
        <w:t xml:space="preserve"> </w:t>
      </w:r>
    </w:p>
    <w:p w14:paraId="73966B1D" w14:textId="77777777" w:rsidR="00A71EEF" w:rsidRDefault="00A71EEF">
      <w:pPr>
        <w:pStyle w:val="a3"/>
        <w:rPr>
          <w:b/>
          <w:sz w:val="18"/>
        </w:rPr>
      </w:pPr>
    </w:p>
    <w:p w14:paraId="6C983C15" w14:textId="77777777" w:rsidR="00A71EEF" w:rsidRDefault="0081115D">
      <w:pPr>
        <w:pStyle w:val="a4"/>
        <w:numPr>
          <w:ilvl w:val="2"/>
          <w:numId w:val="199"/>
        </w:numPr>
        <w:tabs>
          <w:tab w:val="left" w:pos="1478"/>
        </w:tabs>
        <w:ind w:left="1477" w:hanging="638"/>
        <w:rPr>
          <w:b/>
          <w:sz w:val="21"/>
        </w:rPr>
      </w:pPr>
      <w:r>
        <w:rPr>
          <w:spacing w:val="-3"/>
          <w:sz w:val="21"/>
        </w:rPr>
        <w:t>晾衣室</w:t>
      </w:r>
      <w:r>
        <w:rPr>
          <w:sz w:val="21"/>
        </w:rPr>
        <w:t>（</w:t>
      </w:r>
      <w:r>
        <w:rPr>
          <w:spacing w:val="-3"/>
          <w:sz w:val="21"/>
        </w:rPr>
        <w:t>场</w:t>
      </w:r>
      <w:r>
        <w:rPr>
          <w:sz w:val="21"/>
        </w:rPr>
        <w:t>）</w:t>
      </w:r>
      <w:r>
        <w:rPr>
          <w:spacing w:val="-3"/>
          <w:sz w:val="21"/>
        </w:rPr>
        <w:t>的地面应采取必要的防水和排水措施。</w:t>
      </w:r>
      <w:r>
        <w:rPr>
          <w:b/>
          <w:w w:val="99"/>
          <w:sz w:val="21"/>
        </w:rPr>
        <w:t xml:space="preserve"> </w:t>
      </w:r>
    </w:p>
    <w:p w14:paraId="2745D7E8" w14:textId="77777777" w:rsidR="00A71EEF" w:rsidRDefault="00A71EEF">
      <w:pPr>
        <w:pStyle w:val="a3"/>
        <w:spacing w:before="1"/>
        <w:rPr>
          <w:b/>
          <w:sz w:val="18"/>
        </w:rPr>
      </w:pPr>
    </w:p>
    <w:p w14:paraId="3D78B6DF" w14:textId="77777777" w:rsidR="00A71EEF" w:rsidRDefault="0081115D">
      <w:pPr>
        <w:pStyle w:val="a4"/>
        <w:numPr>
          <w:ilvl w:val="2"/>
          <w:numId w:val="199"/>
        </w:numPr>
        <w:tabs>
          <w:tab w:val="left" w:pos="1478"/>
        </w:tabs>
        <w:spacing w:before="1"/>
        <w:ind w:left="1477" w:hanging="638"/>
        <w:rPr>
          <w:b/>
          <w:sz w:val="21"/>
        </w:rPr>
      </w:pPr>
      <w:r>
        <w:rPr>
          <w:spacing w:val="-3"/>
          <w:sz w:val="21"/>
        </w:rPr>
        <w:t>晾衣场应设置衣物晾晒架。</w:t>
      </w:r>
      <w:r>
        <w:rPr>
          <w:b/>
          <w:w w:val="99"/>
          <w:sz w:val="21"/>
        </w:rPr>
        <w:t xml:space="preserve"> </w:t>
      </w:r>
    </w:p>
    <w:p w14:paraId="5B0C6FD0" w14:textId="77777777" w:rsidR="00A71EEF" w:rsidRDefault="00A71EEF">
      <w:pPr>
        <w:rPr>
          <w:sz w:val="21"/>
        </w:rPr>
        <w:sectPr w:rsidR="00A71EEF">
          <w:pgSz w:w="11910" w:h="16850"/>
          <w:pgMar w:top="1220" w:right="0" w:bottom="1420" w:left="1260" w:header="0" w:footer="1239" w:gutter="0"/>
          <w:cols w:space="720"/>
        </w:sectPr>
      </w:pPr>
    </w:p>
    <w:p w14:paraId="072A607F" w14:textId="77777777" w:rsidR="00A71EEF" w:rsidRDefault="0081115D">
      <w:pPr>
        <w:pStyle w:val="a4"/>
        <w:numPr>
          <w:ilvl w:val="2"/>
          <w:numId w:val="199"/>
        </w:numPr>
        <w:tabs>
          <w:tab w:val="left" w:pos="1478"/>
        </w:tabs>
        <w:spacing w:before="47"/>
        <w:ind w:left="1477" w:hanging="638"/>
        <w:rPr>
          <w:b/>
          <w:sz w:val="21"/>
        </w:rPr>
      </w:pPr>
      <w:r>
        <w:rPr>
          <w:spacing w:val="-3"/>
          <w:sz w:val="21"/>
        </w:rPr>
        <w:t>晾衣场应设置防雨设施。寒冷地区的晾衣场应有封闭设施。</w:t>
      </w:r>
      <w:r>
        <w:rPr>
          <w:b/>
          <w:w w:val="99"/>
          <w:sz w:val="21"/>
        </w:rPr>
        <w:t xml:space="preserve"> </w:t>
      </w:r>
    </w:p>
    <w:p w14:paraId="7FC4AB1E" w14:textId="77777777" w:rsidR="00A71EEF" w:rsidRDefault="00A71EEF">
      <w:pPr>
        <w:pStyle w:val="a3"/>
        <w:rPr>
          <w:b/>
          <w:sz w:val="18"/>
        </w:rPr>
      </w:pPr>
    </w:p>
    <w:p w14:paraId="36E5ACF0" w14:textId="77777777" w:rsidR="00A71EEF" w:rsidRDefault="0081115D">
      <w:pPr>
        <w:pStyle w:val="a4"/>
        <w:numPr>
          <w:ilvl w:val="1"/>
          <w:numId w:val="199"/>
        </w:numPr>
        <w:tabs>
          <w:tab w:val="left" w:pos="1266"/>
        </w:tabs>
        <w:ind w:left="1265" w:hanging="426"/>
        <w:rPr>
          <w:sz w:val="21"/>
        </w:rPr>
      </w:pPr>
      <w:r>
        <w:rPr>
          <w:spacing w:val="-3"/>
          <w:sz w:val="21"/>
        </w:rPr>
        <w:t>贮藏室、盥洗室</w:t>
      </w:r>
      <w:r>
        <w:rPr>
          <w:sz w:val="21"/>
        </w:rPr>
        <w:t xml:space="preserve"> </w:t>
      </w:r>
    </w:p>
    <w:p w14:paraId="24284396" w14:textId="77777777" w:rsidR="00A71EEF" w:rsidRDefault="00A71EEF">
      <w:pPr>
        <w:pStyle w:val="a3"/>
        <w:rPr>
          <w:sz w:val="18"/>
        </w:rPr>
      </w:pPr>
    </w:p>
    <w:p w14:paraId="37B5A783" w14:textId="77777777" w:rsidR="00A71EEF" w:rsidRDefault="0081115D">
      <w:pPr>
        <w:pStyle w:val="a4"/>
        <w:numPr>
          <w:ilvl w:val="2"/>
          <w:numId w:val="199"/>
        </w:numPr>
        <w:tabs>
          <w:tab w:val="left" w:pos="1478"/>
        </w:tabs>
        <w:ind w:left="1477" w:hanging="638"/>
        <w:rPr>
          <w:sz w:val="21"/>
        </w:rPr>
      </w:pPr>
      <w:r>
        <w:rPr>
          <w:spacing w:val="-3"/>
          <w:sz w:val="21"/>
        </w:rPr>
        <w:t>贮藏室应有良好的通风，并应保持干燥。</w:t>
      </w:r>
      <w:r>
        <w:rPr>
          <w:sz w:val="21"/>
        </w:rPr>
        <w:t xml:space="preserve"> </w:t>
      </w:r>
    </w:p>
    <w:p w14:paraId="4EE81425" w14:textId="77777777" w:rsidR="00A71EEF" w:rsidRDefault="00A71EEF">
      <w:pPr>
        <w:pStyle w:val="a3"/>
        <w:spacing w:before="1"/>
        <w:rPr>
          <w:sz w:val="18"/>
        </w:rPr>
      </w:pPr>
    </w:p>
    <w:p w14:paraId="3859BB30" w14:textId="77777777" w:rsidR="00A71EEF" w:rsidRDefault="0081115D">
      <w:pPr>
        <w:pStyle w:val="a4"/>
        <w:numPr>
          <w:ilvl w:val="2"/>
          <w:numId w:val="199"/>
        </w:numPr>
        <w:tabs>
          <w:tab w:val="left" w:pos="1478"/>
        </w:tabs>
        <w:spacing w:before="1"/>
        <w:ind w:left="1477" w:hanging="638"/>
        <w:rPr>
          <w:sz w:val="21"/>
        </w:rPr>
      </w:pPr>
      <w:r>
        <w:rPr>
          <w:spacing w:val="-3"/>
          <w:sz w:val="21"/>
        </w:rPr>
        <w:t>盥洗室、厕所应与消防员备勤室处于同一楼层，且应符合下列规定：</w:t>
      </w:r>
      <w:r>
        <w:rPr>
          <w:spacing w:val="-3"/>
          <w:sz w:val="21"/>
        </w:rPr>
        <w:t xml:space="preserve"> </w:t>
      </w:r>
    </w:p>
    <w:p w14:paraId="656F01EB" w14:textId="77777777" w:rsidR="00A71EEF" w:rsidRDefault="00A71EEF">
      <w:pPr>
        <w:pStyle w:val="a3"/>
        <w:spacing w:before="12"/>
        <w:rPr>
          <w:sz w:val="17"/>
        </w:rPr>
      </w:pPr>
    </w:p>
    <w:p w14:paraId="6EA97A45" w14:textId="77777777" w:rsidR="00A71EEF" w:rsidRDefault="0081115D">
      <w:pPr>
        <w:pStyle w:val="a3"/>
        <w:spacing w:line="446" w:lineRule="auto"/>
        <w:ind w:left="418" w:right="1817" w:firstLine="419"/>
      </w:pPr>
      <w:r>
        <w:t>不应直接布置在餐厅、医疗室、变配电室等有严格卫生要求或防水、防潮要求用房的上层；</w:t>
      </w:r>
      <w:r>
        <w:t xml:space="preserve"> </w:t>
      </w:r>
    </w:p>
    <w:p w14:paraId="76C4AA77" w14:textId="77777777" w:rsidR="00A71EEF" w:rsidRDefault="0081115D">
      <w:pPr>
        <w:pStyle w:val="a3"/>
        <w:ind w:left="838"/>
      </w:pPr>
      <w:r>
        <w:t>卫生设备配置的数量应符合专用建筑设计规范的规定；</w:t>
      </w:r>
      <w:r>
        <w:t xml:space="preserve"> </w:t>
      </w:r>
    </w:p>
    <w:p w14:paraId="71CC8BBE" w14:textId="77777777" w:rsidR="00A71EEF" w:rsidRDefault="00A71EEF">
      <w:pPr>
        <w:pStyle w:val="a3"/>
        <w:rPr>
          <w:sz w:val="18"/>
        </w:rPr>
      </w:pPr>
    </w:p>
    <w:p w14:paraId="4F19E33F" w14:textId="77777777" w:rsidR="00A71EEF" w:rsidRDefault="0081115D">
      <w:pPr>
        <w:pStyle w:val="a3"/>
        <w:spacing w:line="446" w:lineRule="auto"/>
        <w:ind w:left="418" w:right="1609" w:firstLine="419"/>
      </w:pPr>
      <w:r>
        <w:t>卫生用房宜有天然采光和不向邻室对流的自然通风，无直接自然通风和严寒及寒冷地区用房宜设自然通风道；当自然通风不能满足通风换气要求时，应采用机械通风；</w:t>
      </w:r>
      <w:r>
        <w:t xml:space="preserve"> </w:t>
      </w:r>
    </w:p>
    <w:p w14:paraId="2F2FBF08" w14:textId="77777777" w:rsidR="00A71EEF" w:rsidRDefault="0081115D">
      <w:pPr>
        <w:pStyle w:val="a3"/>
        <w:spacing w:line="446" w:lineRule="auto"/>
        <w:ind w:left="838" w:right="2033"/>
      </w:pPr>
      <w:r>
        <w:rPr>
          <w:spacing w:val="-6"/>
        </w:rPr>
        <w:t>地面、墙面等设计应符合本规范第</w:t>
      </w:r>
      <w:r>
        <w:rPr>
          <w:spacing w:val="-6"/>
        </w:rPr>
        <w:t xml:space="preserve"> </w:t>
      </w:r>
      <w:r>
        <w:t>4.18.6</w:t>
      </w:r>
      <w:r>
        <w:rPr>
          <w:spacing w:val="-22"/>
        </w:rPr>
        <w:t xml:space="preserve"> </w:t>
      </w:r>
      <w:r>
        <w:rPr>
          <w:spacing w:val="-22"/>
        </w:rPr>
        <w:t>条、第</w:t>
      </w:r>
      <w:r>
        <w:rPr>
          <w:spacing w:val="-22"/>
        </w:rPr>
        <w:t xml:space="preserve"> </w:t>
      </w:r>
      <w:r>
        <w:t>4.18.7</w:t>
      </w:r>
      <w:r>
        <w:rPr>
          <w:spacing w:val="-22"/>
        </w:rPr>
        <w:t xml:space="preserve"> </w:t>
      </w:r>
      <w:r>
        <w:rPr>
          <w:spacing w:val="-22"/>
        </w:rPr>
        <w:t>条和第</w:t>
      </w:r>
      <w:r>
        <w:rPr>
          <w:spacing w:val="-22"/>
        </w:rPr>
        <w:t xml:space="preserve"> </w:t>
      </w:r>
      <w:r>
        <w:t>4.18.8</w:t>
      </w:r>
      <w:r>
        <w:rPr>
          <w:spacing w:val="-10"/>
        </w:rPr>
        <w:t xml:space="preserve"> </w:t>
      </w:r>
      <w:r>
        <w:rPr>
          <w:spacing w:val="-10"/>
        </w:rPr>
        <w:t>条的规定；</w:t>
      </w:r>
      <w:r>
        <w:rPr>
          <w:spacing w:val="-10"/>
        </w:rPr>
        <w:t xml:space="preserve"> </w:t>
      </w:r>
      <w:r>
        <w:rPr>
          <w:spacing w:val="-5"/>
        </w:rPr>
        <w:t>男女厕所宜分设前室，或有遮挡措施；</w:t>
      </w:r>
      <w:r>
        <w:t xml:space="preserve"> </w:t>
      </w:r>
    </w:p>
    <w:p w14:paraId="55C052E6" w14:textId="77777777" w:rsidR="00A71EEF" w:rsidRDefault="0081115D">
      <w:pPr>
        <w:pStyle w:val="a3"/>
        <w:spacing w:line="267" w:lineRule="exact"/>
        <w:ind w:left="838"/>
      </w:pPr>
      <w:r>
        <w:t>厕所宜设置独立的清洁间；</w:t>
      </w:r>
      <w:r>
        <w:t xml:space="preserve"> </w:t>
      </w:r>
    </w:p>
    <w:p w14:paraId="4E3915D9" w14:textId="77777777" w:rsidR="00A71EEF" w:rsidRDefault="00A71EEF">
      <w:pPr>
        <w:pStyle w:val="a3"/>
        <w:spacing w:before="2"/>
        <w:rPr>
          <w:sz w:val="18"/>
        </w:rPr>
      </w:pPr>
    </w:p>
    <w:p w14:paraId="7F080CEE" w14:textId="77777777" w:rsidR="00A71EEF" w:rsidRDefault="0081115D">
      <w:pPr>
        <w:pStyle w:val="a3"/>
        <w:ind w:left="838"/>
      </w:pPr>
      <w:r>
        <w:t>严寒及寒冷地区的消防站盥洗室应设有水加热设备。</w:t>
      </w:r>
      <w:r>
        <w:t xml:space="preserve"> </w:t>
      </w:r>
    </w:p>
    <w:p w14:paraId="72E50443" w14:textId="77777777" w:rsidR="00A71EEF" w:rsidRDefault="00A71EEF">
      <w:pPr>
        <w:pStyle w:val="a3"/>
        <w:spacing w:before="12"/>
        <w:rPr>
          <w:sz w:val="17"/>
        </w:rPr>
      </w:pPr>
    </w:p>
    <w:p w14:paraId="56E17DA4" w14:textId="77777777" w:rsidR="00A71EEF" w:rsidRDefault="0081115D">
      <w:pPr>
        <w:pStyle w:val="a4"/>
        <w:numPr>
          <w:ilvl w:val="2"/>
          <w:numId w:val="199"/>
        </w:numPr>
        <w:tabs>
          <w:tab w:val="left" w:pos="1478"/>
        </w:tabs>
        <w:spacing w:line="446" w:lineRule="auto"/>
        <w:ind w:right="1448" w:firstLine="422"/>
        <w:rPr>
          <w:sz w:val="21"/>
        </w:rPr>
      </w:pPr>
      <w:r>
        <w:rPr>
          <w:spacing w:val="-6"/>
          <w:sz w:val="21"/>
        </w:rPr>
        <w:t>外</w:t>
      </w:r>
      <w:r>
        <w:rPr>
          <w:spacing w:val="-6"/>
          <w:sz w:val="21"/>
        </w:rPr>
        <w:t>开门的厕所隔间平面尺寸不应小于</w:t>
      </w:r>
      <w:r>
        <w:rPr>
          <w:spacing w:val="-6"/>
          <w:sz w:val="21"/>
        </w:rPr>
        <w:t xml:space="preserve"> </w:t>
      </w:r>
      <w:r>
        <w:rPr>
          <w:sz w:val="21"/>
        </w:rPr>
        <w:t>0.90m×1.20m</w:t>
      </w:r>
      <w:r>
        <w:rPr>
          <w:sz w:val="21"/>
        </w:rPr>
        <w:t>（</w:t>
      </w:r>
      <w:r>
        <w:rPr>
          <w:spacing w:val="-3"/>
          <w:sz w:val="21"/>
        </w:rPr>
        <w:t>宽度</w:t>
      </w:r>
      <w:r>
        <w:rPr>
          <w:spacing w:val="-3"/>
          <w:sz w:val="21"/>
        </w:rPr>
        <w:t>×</w:t>
      </w:r>
      <w:r>
        <w:rPr>
          <w:spacing w:val="-3"/>
          <w:sz w:val="21"/>
        </w:rPr>
        <w:t>深度）；内开门的厕所</w:t>
      </w:r>
      <w:r>
        <w:rPr>
          <w:spacing w:val="-8"/>
          <w:sz w:val="21"/>
        </w:rPr>
        <w:t>隔间平面尺寸不应小于</w:t>
      </w:r>
      <w:r>
        <w:rPr>
          <w:spacing w:val="-8"/>
          <w:sz w:val="21"/>
        </w:rPr>
        <w:t xml:space="preserve"> </w:t>
      </w:r>
      <w:r>
        <w:rPr>
          <w:sz w:val="21"/>
        </w:rPr>
        <w:t>0.90m×1.40m</w:t>
      </w:r>
      <w:r>
        <w:rPr>
          <w:sz w:val="21"/>
        </w:rPr>
        <w:t>（</w:t>
      </w:r>
      <w:r>
        <w:rPr>
          <w:spacing w:val="-3"/>
          <w:sz w:val="21"/>
        </w:rPr>
        <w:t>宽度</w:t>
      </w:r>
      <w:r>
        <w:rPr>
          <w:spacing w:val="-3"/>
          <w:sz w:val="21"/>
        </w:rPr>
        <w:t>×</w:t>
      </w:r>
      <w:r>
        <w:rPr>
          <w:spacing w:val="-3"/>
          <w:sz w:val="21"/>
        </w:rPr>
        <w:t>深度</w:t>
      </w:r>
      <w:r>
        <w:rPr>
          <w:sz w:val="21"/>
        </w:rPr>
        <w:t>）</w:t>
      </w:r>
      <w:r>
        <w:rPr>
          <w:spacing w:val="-3"/>
          <w:sz w:val="21"/>
        </w:rPr>
        <w:t>。</w:t>
      </w:r>
      <w:r>
        <w:rPr>
          <w:sz w:val="21"/>
        </w:rPr>
        <w:t xml:space="preserve"> </w:t>
      </w:r>
    </w:p>
    <w:p w14:paraId="239DEDCC" w14:textId="77777777" w:rsidR="00A71EEF" w:rsidRDefault="0081115D">
      <w:pPr>
        <w:pStyle w:val="a4"/>
        <w:numPr>
          <w:ilvl w:val="2"/>
          <w:numId w:val="199"/>
        </w:numPr>
        <w:tabs>
          <w:tab w:val="left" w:pos="1478"/>
        </w:tabs>
        <w:ind w:left="1477" w:hanging="638"/>
        <w:rPr>
          <w:sz w:val="21"/>
        </w:rPr>
      </w:pPr>
      <w:r>
        <w:rPr>
          <w:spacing w:val="-3"/>
          <w:sz w:val="21"/>
        </w:rPr>
        <w:t>卫生设备间距应符合现行国家标准《民用建筑设计通则》</w:t>
      </w:r>
      <w:r>
        <w:rPr>
          <w:sz w:val="21"/>
        </w:rPr>
        <w:t>GB</w:t>
      </w:r>
      <w:r>
        <w:rPr>
          <w:spacing w:val="2"/>
          <w:sz w:val="21"/>
        </w:rPr>
        <w:t xml:space="preserve"> </w:t>
      </w:r>
      <w:r>
        <w:rPr>
          <w:sz w:val="21"/>
        </w:rPr>
        <w:t>50352</w:t>
      </w:r>
      <w:r>
        <w:rPr>
          <w:spacing w:val="-10"/>
          <w:sz w:val="21"/>
        </w:rPr>
        <w:t xml:space="preserve"> </w:t>
      </w:r>
      <w:r>
        <w:rPr>
          <w:spacing w:val="-10"/>
          <w:sz w:val="21"/>
        </w:rPr>
        <w:t>的有关规定。</w:t>
      </w:r>
      <w:r>
        <w:rPr>
          <w:sz w:val="21"/>
        </w:rPr>
        <w:t xml:space="preserve"> </w:t>
      </w:r>
    </w:p>
    <w:p w14:paraId="7CB87031" w14:textId="77777777" w:rsidR="00A71EEF" w:rsidRDefault="00A71EEF">
      <w:pPr>
        <w:pStyle w:val="a3"/>
        <w:rPr>
          <w:sz w:val="18"/>
        </w:rPr>
      </w:pPr>
    </w:p>
    <w:p w14:paraId="4AB4F3C6" w14:textId="77777777" w:rsidR="00A71EEF" w:rsidRDefault="0081115D">
      <w:pPr>
        <w:pStyle w:val="a4"/>
        <w:numPr>
          <w:ilvl w:val="1"/>
          <w:numId w:val="199"/>
        </w:numPr>
        <w:tabs>
          <w:tab w:val="left" w:pos="1264"/>
        </w:tabs>
        <w:ind w:left="1263" w:hanging="424"/>
        <w:rPr>
          <w:sz w:val="21"/>
        </w:rPr>
      </w:pPr>
      <w:r>
        <w:rPr>
          <w:spacing w:val="-3"/>
          <w:sz w:val="21"/>
        </w:rPr>
        <w:t>配电室和空调机房</w:t>
      </w:r>
      <w:r>
        <w:rPr>
          <w:sz w:val="21"/>
        </w:rPr>
        <w:t xml:space="preserve"> </w:t>
      </w:r>
    </w:p>
    <w:p w14:paraId="1AF8C308" w14:textId="77777777" w:rsidR="00A71EEF" w:rsidRDefault="00A71EEF">
      <w:pPr>
        <w:pStyle w:val="a3"/>
        <w:spacing w:before="12"/>
        <w:rPr>
          <w:sz w:val="17"/>
        </w:rPr>
      </w:pPr>
    </w:p>
    <w:p w14:paraId="545EC40D" w14:textId="77777777" w:rsidR="00A71EEF" w:rsidRDefault="0081115D">
      <w:pPr>
        <w:pStyle w:val="a4"/>
        <w:numPr>
          <w:ilvl w:val="2"/>
          <w:numId w:val="199"/>
        </w:numPr>
        <w:tabs>
          <w:tab w:val="left" w:pos="1478"/>
        </w:tabs>
        <w:ind w:left="1477" w:hanging="638"/>
        <w:rPr>
          <w:sz w:val="21"/>
        </w:rPr>
      </w:pPr>
      <w:r>
        <w:rPr>
          <w:spacing w:val="-3"/>
          <w:sz w:val="21"/>
        </w:rPr>
        <w:t>配电室的设计应符合现行国家标准《低压配电设计规范》</w:t>
      </w:r>
      <w:r>
        <w:rPr>
          <w:sz w:val="21"/>
        </w:rPr>
        <w:t>GB</w:t>
      </w:r>
      <w:r>
        <w:rPr>
          <w:spacing w:val="2"/>
          <w:sz w:val="21"/>
        </w:rPr>
        <w:t xml:space="preserve"> </w:t>
      </w:r>
      <w:r>
        <w:rPr>
          <w:sz w:val="21"/>
        </w:rPr>
        <w:t>50054</w:t>
      </w:r>
      <w:r>
        <w:rPr>
          <w:spacing w:val="-10"/>
          <w:sz w:val="21"/>
        </w:rPr>
        <w:t xml:space="preserve"> </w:t>
      </w:r>
      <w:r>
        <w:rPr>
          <w:spacing w:val="-10"/>
          <w:sz w:val="21"/>
        </w:rPr>
        <w:t>的有关规定。</w:t>
      </w:r>
      <w:r>
        <w:rPr>
          <w:sz w:val="21"/>
        </w:rPr>
        <w:t xml:space="preserve"> </w:t>
      </w:r>
    </w:p>
    <w:p w14:paraId="5293FEC3" w14:textId="77777777" w:rsidR="00A71EEF" w:rsidRDefault="00A71EEF">
      <w:pPr>
        <w:pStyle w:val="a3"/>
        <w:spacing w:before="2"/>
        <w:rPr>
          <w:sz w:val="18"/>
        </w:rPr>
      </w:pPr>
    </w:p>
    <w:p w14:paraId="12A16917" w14:textId="77777777" w:rsidR="00A71EEF" w:rsidRDefault="0081115D">
      <w:pPr>
        <w:pStyle w:val="a4"/>
        <w:numPr>
          <w:ilvl w:val="2"/>
          <w:numId w:val="199"/>
        </w:numPr>
        <w:tabs>
          <w:tab w:val="left" w:pos="1478"/>
        </w:tabs>
        <w:ind w:left="1477" w:hanging="638"/>
        <w:rPr>
          <w:sz w:val="21"/>
        </w:rPr>
      </w:pPr>
      <w:r>
        <w:rPr>
          <w:spacing w:val="-3"/>
          <w:sz w:val="21"/>
        </w:rPr>
        <w:t>空调机房的设计应符合现行国家标准《采暖通风与空气调节设计规范》</w:t>
      </w:r>
      <w:r>
        <w:rPr>
          <w:sz w:val="21"/>
        </w:rPr>
        <w:t>GB</w:t>
      </w:r>
      <w:r>
        <w:rPr>
          <w:spacing w:val="2"/>
          <w:sz w:val="21"/>
        </w:rPr>
        <w:t xml:space="preserve"> </w:t>
      </w:r>
      <w:r>
        <w:rPr>
          <w:sz w:val="21"/>
        </w:rPr>
        <w:t>50019</w:t>
      </w:r>
    </w:p>
    <w:p w14:paraId="5549608F" w14:textId="77777777" w:rsidR="00A71EEF" w:rsidRDefault="00A71EEF">
      <w:pPr>
        <w:pStyle w:val="a3"/>
        <w:rPr>
          <w:sz w:val="18"/>
        </w:rPr>
      </w:pPr>
    </w:p>
    <w:p w14:paraId="7B0A398B" w14:textId="77777777" w:rsidR="00A71EEF" w:rsidRDefault="0081115D">
      <w:pPr>
        <w:pStyle w:val="a3"/>
        <w:ind w:left="418"/>
      </w:pPr>
      <w:r>
        <w:t>的有关规定。</w:t>
      </w:r>
      <w:r>
        <w:t xml:space="preserve"> </w:t>
      </w:r>
    </w:p>
    <w:p w14:paraId="524E8367" w14:textId="77777777" w:rsidR="00A71EEF" w:rsidRDefault="00A71EEF">
      <w:pPr>
        <w:pStyle w:val="a3"/>
        <w:rPr>
          <w:sz w:val="18"/>
        </w:rPr>
      </w:pPr>
    </w:p>
    <w:p w14:paraId="2913F4A4" w14:textId="77777777" w:rsidR="00A71EEF" w:rsidRDefault="0081115D">
      <w:pPr>
        <w:pStyle w:val="a4"/>
        <w:numPr>
          <w:ilvl w:val="1"/>
          <w:numId w:val="199"/>
        </w:numPr>
        <w:tabs>
          <w:tab w:val="left" w:pos="1264"/>
        </w:tabs>
        <w:ind w:left="1263" w:hanging="424"/>
        <w:rPr>
          <w:sz w:val="21"/>
        </w:rPr>
      </w:pPr>
      <w:r>
        <w:rPr>
          <w:spacing w:val="-3"/>
          <w:sz w:val="21"/>
        </w:rPr>
        <w:t>油料库</w:t>
      </w:r>
      <w:r>
        <w:rPr>
          <w:sz w:val="21"/>
        </w:rPr>
        <w:t xml:space="preserve"> </w:t>
      </w:r>
    </w:p>
    <w:p w14:paraId="7D9CF278" w14:textId="77777777" w:rsidR="00A71EEF" w:rsidRDefault="00A71EEF">
      <w:pPr>
        <w:pStyle w:val="a3"/>
        <w:spacing w:before="1"/>
        <w:rPr>
          <w:sz w:val="18"/>
        </w:rPr>
      </w:pPr>
    </w:p>
    <w:p w14:paraId="090EDCF5" w14:textId="77777777" w:rsidR="00A71EEF" w:rsidRDefault="0081115D">
      <w:pPr>
        <w:pStyle w:val="a4"/>
        <w:numPr>
          <w:ilvl w:val="2"/>
          <w:numId w:val="199"/>
        </w:numPr>
        <w:tabs>
          <w:tab w:val="left" w:pos="1478"/>
        </w:tabs>
        <w:spacing w:before="1" w:line="446" w:lineRule="auto"/>
        <w:ind w:right="1505" w:firstLine="422"/>
        <w:rPr>
          <w:sz w:val="21"/>
        </w:rPr>
      </w:pPr>
      <w:r>
        <w:rPr>
          <w:spacing w:val="-3"/>
          <w:sz w:val="21"/>
        </w:rPr>
        <w:t>油料库宜单独设置，当与其他用房共用一栋建筑时，则应设独立的防火分区。贮存</w:t>
      </w:r>
      <w:r>
        <w:rPr>
          <w:spacing w:val="-10"/>
          <w:sz w:val="21"/>
        </w:rPr>
        <w:t>量不超过</w:t>
      </w:r>
      <w:r>
        <w:rPr>
          <w:spacing w:val="-10"/>
          <w:sz w:val="21"/>
        </w:rPr>
        <w:t xml:space="preserve"> </w:t>
      </w:r>
      <w:r>
        <w:rPr>
          <w:sz w:val="21"/>
        </w:rPr>
        <w:t>0.4t</w:t>
      </w:r>
      <w:r>
        <w:rPr>
          <w:spacing w:val="-8"/>
          <w:sz w:val="21"/>
        </w:rPr>
        <w:t xml:space="preserve"> </w:t>
      </w:r>
      <w:r>
        <w:rPr>
          <w:spacing w:val="-8"/>
          <w:sz w:val="21"/>
        </w:rPr>
        <w:t>的油料库，当作为车库服务的附属建筑时，可与车库贴邻建造．但应采用防火墙</w:t>
      </w:r>
      <w:r>
        <w:rPr>
          <w:spacing w:val="-4"/>
          <w:sz w:val="21"/>
        </w:rPr>
        <w:t>隔开，并应设置直通室外的安全出口。</w:t>
      </w:r>
      <w:r>
        <w:rPr>
          <w:sz w:val="21"/>
        </w:rPr>
        <w:t xml:space="preserve"> </w:t>
      </w:r>
    </w:p>
    <w:p w14:paraId="1A3F641F" w14:textId="77777777" w:rsidR="00A71EEF" w:rsidRDefault="0081115D">
      <w:pPr>
        <w:pStyle w:val="a4"/>
        <w:numPr>
          <w:ilvl w:val="2"/>
          <w:numId w:val="199"/>
        </w:numPr>
        <w:tabs>
          <w:tab w:val="left" w:pos="1478"/>
        </w:tabs>
        <w:spacing w:line="268" w:lineRule="exact"/>
        <w:ind w:left="1477" w:hanging="638"/>
        <w:rPr>
          <w:sz w:val="21"/>
        </w:rPr>
      </w:pPr>
      <w:r>
        <w:rPr>
          <w:spacing w:val="-3"/>
          <w:sz w:val="21"/>
        </w:rPr>
        <w:t>油料库内地面宜采用不产生火花的面层，需要时宜设防水层。</w:t>
      </w:r>
      <w:r>
        <w:rPr>
          <w:sz w:val="21"/>
        </w:rPr>
        <w:t xml:space="preserve"> </w:t>
      </w:r>
    </w:p>
    <w:p w14:paraId="0CF0A6D2" w14:textId="77777777" w:rsidR="00A71EEF" w:rsidRDefault="00A71EEF">
      <w:pPr>
        <w:pStyle w:val="a3"/>
        <w:spacing w:before="12"/>
        <w:rPr>
          <w:sz w:val="17"/>
        </w:rPr>
      </w:pPr>
    </w:p>
    <w:p w14:paraId="073C8A8D" w14:textId="77777777" w:rsidR="00A71EEF" w:rsidRDefault="0081115D">
      <w:pPr>
        <w:pStyle w:val="a4"/>
        <w:numPr>
          <w:ilvl w:val="2"/>
          <w:numId w:val="199"/>
        </w:numPr>
        <w:tabs>
          <w:tab w:val="left" w:pos="1478"/>
        </w:tabs>
        <w:spacing w:line="446" w:lineRule="auto"/>
        <w:ind w:right="1498" w:firstLine="422"/>
        <w:rPr>
          <w:sz w:val="21"/>
        </w:rPr>
      </w:pPr>
      <w:r>
        <w:rPr>
          <w:spacing w:val="-3"/>
          <w:sz w:val="21"/>
        </w:rPr>
        <w:t>油料库应有良好的通风，宜设置相应的防晒、防火、防爆、防潮、防雷、防静电、防腐以及防泄漏等安全设施，并应设置明显的标志。</w:t>
      </w:r>
      <w:r>
        <w:rPr>
          <w:spacing w:val="-3"/>
          <w:sz w:val="21"/>
        </w:rPr>
        <w:t xml:space="preserve"> </w:t>
      </w:r>
    </w:p>
    <w:p w14:paraId="389C08E8" w14:textId="77777777" w:rsidR="00A71EEF" w:rsidRDefault="00A71EEF">
      <w:pPr>
        <w:spacing w:line="446" w:lineRule="auto"/>
        <w:rPr>
          <w:sz w:val="21"/>
        </w:rPr>
        <w:sectPr w:rsidR="00A71EEF">
          <w:pgSz w:w="11910" w:h="16850"/>
          <w:pgMar w:top="1220" w:right="0" w:bottom="1420" w:left="1260" w:header="0" w:footer="1239" w:gutter="0"/>
          <w:cols w:space="720"/>
        </w:sectPr>
      </w:pPr>
    </w:p>
    <w:p w14:paraId="550E8346" w14:textId="77777777" w:rsidR="00A71EEF" w:rsidRDefault="0081115D">
      <w:pPr>
        <w:pStyle w:val="a4"/>
        <w:numPr>
          <w:ilvl w:val="2"/>
          <w:numId w:val="199"/>
        </w:numPr>
        <w:tabs>
          <w:tab w:val="left" w:pos="1478"/>
        </w:tabs>
        <w:spacing w:before="47" w:line="446" w:lineRule="auto"/>
        <w:ind w:right="1498" w:firstLine="422"/>
        <w:rPr>
          <w:sz w:val="21"/>
        </w:rPr>
      </w:pPr>
      <w:r>
        <w:rPr>
          <w:spacing w:val="-3"/>
          <w:sz w:val="21"/>
        </w:rPr>
        <w:t>油料库的耐火等级、防火间距以及灭火器设置等应符合现行国家标准《建筑设计防火规范》</w:t>
      </w:r>
      <w:r>
        <w:rPr>
          <w:sz w:val="21"/>
        </w:rPr>
        <w:t>GB</w:t>
      </w:r>
      <w:r>
        <w:rPr>
          <w:spacing w:val="1"/>
          <w:sz w:val="21"/>
        </w:rPr>
        <w:t xml:space="preserve"> </w:t>
      </w:r>
      <w:r>
        <w:rPr>
          <w:sz w:val="21"/>
        </w:rPr>
        <w:t>50016</w:t>
      </w:r>
      <w:r>
        <w:rPr>
          <w:spacing w:val="-8"/>
          <w:sz w:val="21"/>
        </w:rPr>
        <w:t xml:space="preserve"> </w:t>
      </w:r>
      <w:r>
        <w:rPr>
          <w:spacing w:val="-8"/>
          <w:sz w:val="21"/>
        </w:rPr>
        <w:t>和《建筑灭火器配置设计规范》</w:t>
      </w:r>
      <w:r>
        <w:rPr>
          <w:sz w:val="21"/>
        </w:rPr>
        <w:t>GB</w:t>
      </w:r>
      <w:r>
        <w:rPr>
          <w:spacing w:val="1"/>
          <w:sz w:val="21"/>
        </w:rPr>
        <w:t xml:space="preserve"> </w:t>
      </w:r>
      <w:r>
        <w:rPr>
          <w:sz w:val="21"/>
        </w:rPr>
        <w:t>50140</w:t>
      </w:r>
      <w:r>
        <w:rPr>
          <w:spacing w:val="-10"/>
          <w:sz w:val="21"/>
        </w:rPr>
        <w:t xml:space="preserve"> </w:t>
      </w:r>
      <w:r>
        <w:rPr>
          <w:spacing w:val="-10"/>
          <w:sz w:val="21"/>
        </w:rPr>
        <w:t>的有关规定。</w:t>
      </w:r>
      <w:r>
        <w:rPr>
          <w:sz w:val="21"/>
        </w:rPr>
        <w:t xml:space="preserve"> </w:t>
      </w:r>
    </w:p>
    <w:p w14:paraId="28CEE9DA" w14:textId="77777777" w:rsidR="00A71EEF" w:rsidRDefault="0081115D">
      <w:pPr>
        <w:pStyle w:val="a4"/>
        <w:numPr>
          <w:ilvl w:val="1"/>
          <w:numId w:val="199"/>
        </w:numPr>
        <w:tabs>
          <w:tab w:val="left" w:pos="1264"/>
        </w:tabs>
        <w:spacing w:line="267" w:lineRule="exact"/>
        <w:ind w:left="1263" w:hanging="424"/>
        <w:rPr>
          <w:b/>
          <w:sz w:val="21"/>
        </w:rPr>
      </w:pPr>
      <w:r>
        <w:rPr>
          <w:spacing w:val="-3"/>
          <w:sz w:val="21"/>
        </w:rPr>
        <w:t>其他辅助建筑</w:t>
      </w:r>
      <w:r>
        <w:rPr>
          <w:b/>
          <w:w w:val="99"/>
          <w:sz w:val="21"/>
        </w:rPr>
        <w:t xml:space="preserve"> </w:t>
      </w:r>
    </w:p>
    <w:p w14:paraId="24EE065F" w14:textId="77777777" w:rsidR="00A71EEF" w:rsidRDefault="00A71EEF">
      <w:pPr>
        <w:pStyle w:val="a3"/>
        <w:spacing w:before="2"/>
        <w:rPr>
          <w:b/>
          <w:sz w:val="18"/>
        </w:rPr>
      </w:pPr>
    </w:p>
    <w:p w14:paraId="5A772A80" w14:textId="77777777" w:rsidR="00A71EEF" w:rsidRDefault="0081115D">
      <w:pPr>
        <w:pStyle w:val="a3"/>
        <w:spacing w:line="446" w:lineRule="auto"/>
        <w:ind w:left="418" w:right="1601" w:firstLine="422"/>
      </w:pPr>
      <w:r>
        <w:rPr>
          <w:b/>
        </w:rPr>
        <w:t xml:space="preserve">4.25.l </w:t>
      </w:r>
      <w:r>
        <w:t>消防站应设置值班岗亭。岗亭应设置可靠的遮阳、避雨、防撞等措施，宜采用安全、防晒、内设空调的封闭式玻璃岗亭。内部宜设置通信及应急警报开关等装置。</w:t>
      </w:r>
      <w:r>
        <w:t xml:space="preserve"> </w:t>
      </w:r>
    </w:p>
    <w:p w14:paraId="28A64EFC" w14:textId="77777777" w:rsidR="00A71EEF" w:rsidRDefault="0081115D">
      <w:pPr>
        <w:spacing w:line="267" w:lineRule="exact"/>
        <w:ind w:left="840"/>
        <w:rPr>
          <w:sz w:val="21"/>
        </w:rPr>
      </w:pPr>
      <w:r>
        <w:rPr>
          <w:b/>
          <w:sz w:val="21"/>
        </w:rPr>
        <w:t xml:space="preserve">4.25.2 </w:t>
      </w:r>
      <w:r>
        <w:rPr>
          <w:sz w:val="21"/>
        </w:rPr>
        <w:t>消防站应依托站内建筑或训练塔等设置专门的水带晾晒架。</w:t>
      </w:r>
      <w:r>
        <w:rPr>
          <w:sz w:val="21"/>
        </w:rPr>
        <w:t xml:space="preserve"> </w:t>
      </w:r>
    </w:p>
    <w:p w14:paraId="0F30F543" w14:textId="77777777" w:rsidR="00A71EEF" w:rsidRDefault="00A71EEF">
      <w:pPr>
        <w:pStyle w:val="a3"/>
        <w:spacing w:before="2"/>
        <w:rPr>
          <w:sz w:val="18"/>
        </w:rPr>
      </w:pPr>
    </w:p>
    <w:p w14:paraId="643DCB67" w14:textId="77777777" w:rsidR="00A71EEF" w:rsidRDefault="0081115D">
      <w:pPr>
        <w:pStyle w:val="a4"/>
        <w:numPr>
          <w:ilvl w:val="1"/>
          <w:numId w:val="199"/>
        </w:numPr>
        <w:tabs>
          <w:tab w:val="left" w:pos="1264"/>
        </w:tabs>
        <w:ind w:left="1263" w:hanging="424"/>
        <w:rPr>
          <w:b/>
          <w:sz w:val="21"/>
        </w:rPr>
      </w:pPr>
      <w:r>
        <w:rPr>
          <w:spacing w:val="-3"/>
          <w:sz w:val="21"/>
        </w:rPr>
        <w:t>台阶、坡道和栏杆</w:t>
      </w:r>
      <w:r>
        <w:rPr>
          <w:b/>
          <w:w w:val="99"/>
          <w:sz w:val="21"/>
        </w:rPr>
        <w:t xml:space="preserve"> </w:t>
      </w:r>
    </w:p>
    <w:p w14:paraId="31B113DF" w14:textId="77777777" w:rsidR="00A71EEF" w:rsidRDefault="00A71EEF">
      <w:pPr>
        <w:pStyle w:val="a3"/>
        <w:rPr>
          <w:b/>
          <w:sz w:val="18"/>
        </w:rPr>
      </w:pPr>
    </w:p>
    <w:p w14:paraId="7154299A" w14:textId="77777777" w:rsidR="00A71EEF" w:rsidRDefault="0081115D">
      <w:pPr>
        <w:pStyle w:val="a4"/>
        <w:numPr>
          <w:ilvl w:val="2"/>
          <w:numId w:val="199"/>
        </w:numPr>
        <w:tabs>
          <w:tab w:val="left" w:pos="1478"/>
        </w:tabs>
        <w:ind w:left="1477" w:hanging="638"/>
        <w:rPr>
          <w:sz w:val="21"/>
        </w:rPr>
      </w:pPr>
      <w:r>
        <w:rPr>
          <w:spacing w:val="-3"/>
          <w:sz w:val="21"/>
        </w:rPr>
        <w:t>台阶设置应符合下列规定：</w:t>
      </w:r>
      <w:r>
        <w:rPr>
          <w:sz w:val="21"/>
        </w:rPr>
        <w:t xml:space="preserve"> </w:t>
      </w:r>
    </w:p>
    <w:p w14:paraId="44CCDFBF" w14:textId="77777777" w:rsidR="00A71EEF" w:rsidRDefault="00A71EEF">
      <w:pPr>
        <w:pStyle w:val="a3"/>
        <w:rPr>
          <w:sz w:val="18"/>
        </w:rPr>
      </w:pPr>
    </w:p>
    <w:p w14:paraId="02B08452" w14:textId="77777777" w:rsidR="00A71EEF" w:rsidRDefault="0081115D">
      <w:pPr>
        <w:pStyle w:val="a3"/>
        <w:spacing w:line="446" w:lineRule="auto"/>
        <w:ind w:left="418" w:right="2134" w:firstLine="419"/>
      </w:pPr>
      <w:r>
        <w:rPr>
          <w:spacing w:val="-6"/>
        </w:rPr>
        <w:t>消防站室内外台阶踏步宽度不宜小于</w:t>
      </w:r>
      <w:r>
        <w:rPr>
          <w:spacing w:val="-6"/>
        </w:rPr>
        <w:t xml:space="preserve"> </w:t>
      </w:r>
      <w:r>
        <w:t>0.30m</w:t>
      </w:r>
      <w:r>
        <w:rPr>
          <w:spacing w:val="-7"/>
        </w:rPr>
        <w:t>，踏步高度不宜大于</w:t>
      </w:r>
      <w:r>
        <w:rPr>
          <w:spacing w:val="-7"/>
        </w:rPr>
        <w:t xml:space="preserve"> </w:t>
      </w:r>
      <w:r>
        <w:t>0.15m</w:t>
      </w:r>
      <w:r>
        <w:rPr>
          <w:spacing w:val="-3"/>
        </w:rPr>
        <w:t>，并不宜小于</w:t>
      </w:r>
      <w:r>
        <w:rPr>
          <w:spacing w:val="-3"/>
        </w:rPr>
        <w:t>0.10m</w:t>
      </w:r>
      <w:r>
        <w:rPr>
          <w:spacing w:val="-3"/>
        </w:rPr>
        <w:t>，踏步应防滑；</w:t>
      </w:r>
      <w:r>
        <w:t xml:space="preserve"> </w:t>
      </w:r>
    </w:p>
    <w:p w14:paraId="48D100C6" w14:textId="77777777" w:rsidR="00A71EEF" w:rsidRDefault="0081115D">
      <w:pPr>
        <w:pStyle w:val="a3"/>
        <w:spacing w:line="446" w:lineRule="auto"/>
        <w:ind w:left="838" w:right="3399"/>
      </w:pPr>
      <w:r>
        <w:rPr>
          <w:spacing w:val="-7"/>
        </w:rPr>
        <w:t>室内台阶踏步数不应少于</w:t>
      </w:r>
      <w:r>
        <w:rPr>
          <w:spacing w:val="-7"/>
        </w:rPr>
        <w:t xml:space="preserve"> </w:t>
      </w:r>
      <w:r>
        <w:t>2</w:t>
      </w:r>
      <w:r>
        <w:rPr>
          <w:spacing w:val="-13"/>
        </w:rPr>
        <w:t xml:space="preserve"> </w:t>
      </w:r>
      <w:r>
        <w:rPr>
          <w:spacing w:val="-13"/>
        </w:rPr>
        <w:t>级，当高差不足</w:t>
      </w:r>
      <w:r>
        <w:rPr>
          <w:spacing w:val="-13"/>
        </w:rPr>
        <w:t xml:space="preserve"> </w:t>
      </w:r>
      <w:r>
        <w:t>2</w:t>
      </w:r>
      <w:r>
        <w:rPr>
          <w:spacing w:val="-9"/>
        </w:rPr>
        <w:t xml:space="preserve"> </w:t>
      </w:r>
      <w:r>
        <w:rPr>
          <w:spacing w:val="-9"/>
        </w:rPr>
        <w:t>级时，应按坡道设置；</w:t>
      </w:r>
      <w:r>
        <w:rPr>
          <w:spacing w:val="-9"/>
        </w:rPr>
        <w:t xml:space="preserve"> </w:t>
      </w:r>
      <w:r>
        <w:rPr>
          <w:spacing w:val="-10"/>
        </w:rPr>
        <w:t>台阶高度超过</w:t>
      </w:r>
      <w:r>
        <w:rPr>
          <w:spacing w:val="-10"/>
        </w:rPr>
        <w:t xml:space="preserve"> </w:t>
      </w:r>
      <w:r>
        <w:t>0.70m</w:t>
      </w:r>
      <w:r>
        <w:rPr>
          <w:spacing w:val="-9"/>
        </w:rPr>
        <w:t xml:space="preserve"> </w:t>
      </w:r>
      <w:r>
        <w:rPr>
          <w:spacing w:val="-9"/>
        </w:rPr>
        <w:t>并侧面临空时，应有防护设施。</w:t>
      </w:r>
      <w:r>
        <w:rPr>
          <w:spacing w:val="-9"/>
        </w:rPr>
        <w:t xml:space="preserve"> </w:t>
      </w:r>
    </w:p>
    <w:p w14:paraId="1517949C" w14:textId="77777777" w:rsidR="00A71EEF" w:rsidRDefault="0081115D">
      <w:pPr>
        <w:pStyle w:val="a4"/>
        <w:numPr>
          <w:ilvl w:val="2"/>
          <w:numId w:val="199"/>
        </w:numPr>
        <w:tabs>
          <w:tab w:val="left" w:pos="1478"/>
        </w:tabs>
        <w:ind w:left="1477" w:hanging="638"/>
        <w:rPr>
          <w:sz w:val="21"/>
        </w:rPr>
      </w:pPr>
      <w:r>
        <w:rPr>
          <w:spacing w:val="-3"/>
          <w:sz w:val="21"/>
        </w:rPr>
        <w:t>坡道设置应符合下列规定：</w:t>
      </w:r>
      <w:r>
        <w:rPr>
          <w:sz w:val="21"/>
        </w:rPr>
        <w:t xml:space="preserve"> </w:t>
      </w:r>
    </w:p>
    <w:p w14:paraId="44ACE5A2" w14:textId="77777777" w:rsidR="00A71EEF" w:rsidRDefault="00A71EEF">
      <w:pPr>
        <w:pStyle w:val="a3"/>
        <w:spacing w:before="12"/>
        <w:rPr>
          <w:sz w:val="17"/>
        </w:rPr>
      </w:pPr>
    </w:p>
    <w:p w14:paraId="37F26433" w14:textId="77777777" w:rsidR="00A71EEF" w:rsidRDefault="0081115D">
      <w:pPr>
        <w:pStyle w:val="a3"/>
        <w:ind w:left="838"/>
      </w:pPr>
      <w:r>
        <w:t>室内坡道坡度不宜大于</w:t>
      </w:r>
      <w:r>
        <w:t xml:space="preserve"> 1:8</w:t>
      </w:r>
      <w:r>
        <w:t>，室外坡道坡度不宜大于</w:t>
      </w:r>
      <w:r>
        <w:t xml:space="preserve"> 1:10</w:t>
      </w:r>
      <w:r>
        <w:t>；</w:t>
      </w:r>
      <w:r>
        <w:t xml:space="preserve"> </w:t>
      </w:r>
    </w:p>
    <w:p w14:paraId="68FAC507" w14:textId="77777777" w:rsidR="00A71EEF" w:rsidRDefault="00A71EEF">
      <w:pPr>
        <w:pStyle w:val="a3"/>
        <w:rPr>
          <w:sz w:val="18"/>
        </w:rPr>
      </w:pPr>
    </w:p>
    <w:p w14:paraId="776588D6" w14:textId="77777777" w:rsidR="00A71EEF" w:rsidRDefault="0081115D">
      <w:pPr>
        <w:pStyle w:val="a3"/>
        <w:spacing w:line="446" w:lineRule="auto"/>
        <w:ind w:left="418" w:right="1608" w:firstLine="419"/>
      </w:pPr>
      <w:r>
        <w:rPr>
          <w:spacing w:val="-6"/>
        </w:rPr>
        <w:t>室内坡道水平投影长度超过</w:t>
      </w:r>
      <w:r>
        <w:rPr>
          <w:spacing w:val="-6"/>
        </w:rPr>
        <w:t xml:space="preserve"> </w:t>
      </w:r>
      <w:r>
        <w:t>15m</w:t>
      </w:r>
      <w:r>
        <w:rPr>
          <w:spacing w:val="-7"/>
        </w:rPr>
        <w:t xml:space="preserve"> </w:t>
      </w:r>
      <w:r>
        <w:rPr>
          <w:spacing w:val="-7"/>
        </w:rPr>
        <w:t>时，宜设休息平台，平台宽度应根据使用功能或设备尺寸</w:t>
      </w:r>
      <w:r>
        <w:rPr>
          <w:spacing w:val="-5"/>
        </w:rPr>
        <w:t>所需缓冲空间而定；</w:t>
      </w:r>
      <w:r>
        <w:t xml:space="preserve"> </w:t>
      </w:r>
    </w:p>
    <w:p w14:paraId="0D3F7E25" w14:textId="77777777" w:rsidR="00A71EEF" w:rsidRDefault="0081115D">
      <w:pPr>
        <w:pStyle w:val="a3"/>
        <w:spacing w:line="446" w:lineRule="auto"/>
        <w:ind w:left="838" w:right="2607"/>
      </w:pPr>
      <w:r>
        <w:t>机动车行坡道应符合现行行业标准《汽车库建筑设计规范》</w:t>
      </w:r>
      <w:r>
        <w:t xml:space="preserve">JGJ 100 </w:t>
      </w:r>
      <w:r>
        <w:t>的规定；</w:t>
      </w:r>
      <w:r>
        <w:t xml:space="preserve"> </w:t>
      </w:r>
      <w:r>
        <w:t>坡道应采取防滑措施。</w:t>
      </w:r>
      <w:r>
        <w:t xml:space="preserve"> </w:t>
      </w:r>
    </w:p>
    <w:p w14:paraId="57D7036B" w14:textId="77777777" w:rsidR="00A71EEF" w:rsidRDefault="0081115D">
      <w:pPr>
        <w:pStyle w:val="a4"/>
        <w:numPr>
          <w:ilvl w:val="2"/>
          <w:numId w:val="199"/>
        </w:numPr>
        <w:tabs>
          <w:tab w:val="left" w:pos="1478"/>
        </w:tabs>
        <w:spacing w:line="446" w:lineRule="auto"/>
        <w:ind w:right="1498" w:firstLine="422"/>
        <w:rPr>
          <w:sz w:val="21"/>
        </w:rPr>
      </w:pPr>
      <w:r>
        <w:rPr>
          <w:spacing w:val="-3"/>
          <w:sz w:val="21"/>
        </w:rPr>
        <w:t>阳台、外廊、室内回廊、内天井、上人屋面及室外楼梯等临空处应设置防护栏杆，</w:t>
      </w:r>
      <w:r>
        <w:rPr>
          <w:spacing w:val="-3"/>
          <w:sz w:val="21"/>
        </w:rPr>
        <w:t xml:space="preserve"> </w:t>
      </w:r>
      <w:r>
        <w:rPr>
          <w:spacing w:val="-3"/>
          <w:sz w:val="21"/>
        </w:rPr>
        <w:t>并应符合下列规定：</w:t>
      </w:r>
      <w:r>
        <w:rPr>
          <w:sz w:val="21"/>
        </w:rPr>
        <w:t xml:space="preserve"> </w:t>
      </w:r>
    </w:p>
    <w:p w14:paraId="6EAAFFA0" w14:textId="77777777" w:rsidR="00A71EEF" w:rsidRDefault="0081115D">
      <w:pPr>
        <w:pStyle w:val="a3"/>
        <w:spacing w:line="446" w:lineRule="auto"/>
        <w:ind w:left="418" w:right="1608" w:firstLine="419"/>
      </w:pPr>
      <w:r>
        <w:t>栏杆应以坚固、耐久的材料制作，应能承受现行国家标准《建筑结构荷载规范》</w:t>
      </w:r>
      <w:r>
        <w:t xml:space="preserve">GB 50009 </w:t>
      </w:r>
      <w:r>
        <w:t>规定的水平荷载。</w:t>
      </w:r>
      <w:r>
        <w:t xml:space="preserve"> </w:t>
      </w:r>
    </w:p>
    <w:p w14:paraId="311DA293" w14:textId="77777777" w:rsidR="00A71EEF" w:rsidRDefault="0081115D">
      <w:pPr>
        <w:pStyle w:val="a3"/>
        <w:spacing w:line="446" w:lineRule="auto"/>
        <w:ind w:left="418" w:right="1450" w:firstLine="419"/>
        <w:jc w:val="both"/>
      </w:pPr>
      <w:r>
        <w:rPr>
          <w:spacing w:val="-10"/>
        </w:rPr>
        <w:t>临空高度在</w:t>
      </w:r>
      <w:r>
        <w:rPr>
          <w:spacing w:val="-10"/>
        </w:rPr>
        <w:t xml:space="preserve"> </w:t>
      </w:r>
      <w:r>
        <w:t>24m</w:t>
      </w:r>
      <w:r>
        <w:rPr>
          <w:spacing w:val="-12"/>
        </w:rPr>
        <w:t xml:space="preserve"> </w:t>
      </w:r>
      <w:r>
        <w:rPr>
          <w:spacing w:val="-12"/>
        </w:rPr>
        <w:t>以下时，栏杆高度不应低于</w:t>
      </w:r>
      <w:r>
        <w:rPr>
          <w:spacing w:val="-12"/>
        </w:rPr>
        <w:t xml:space="preserve"> </w:t>
      </w:r>
      <w:r>
        <w:t>1.05m</w:t>
      </w:r>
      <w:r>
        <w:rPr>
          <w:spacing w:val="-9"/>
        </w:rPr>
        <w:t>，临空高度在</w:t>
      </w:r>
      <w:r>
        <w:rPr>
          <w:spacing w:val="-9"/>
        </w:rPr>
        <w:t xml:space="preserve"> </w:t>
      </w:r>
      <w:r>
        <w:t>24m</w:t>
      </w:r>
      <w:r>
        <w:rPr>
          <w:spacing w:val="-33"/>
        </w:rPr>
        <w:t xml:space="preserve"> </w:t>
      </w:r>
      <w:r>
        <w:rPr>
          <w:spacing w:val="-33"/>
        </w:rPr>
        <w:t>及</w:t>
      </w:r>
      <w:r>
        <w:rPr>
          <w:spacing w:val="-33"/>
        </w:rPr>
        <w:t xml:space="preserve"> </w:t>
      </w:r>
      <w:r>
        <w:t>24m</w:t>
      </w:r>
      <w:r>
        <w:rPr>
          <w:spacing w:val="-9"/>
        </w:rPr>
        <w:t xml:space="preserve"> </w:t>
      </w:r>
      <w:r>
        <w:rPr>
          <w:spacing w:val="-9"/>
        </w:rPr>
        <w:t>以上时，栏杆高度不应低于</w:t>
      </w:r>
      <w:r>
        <w:rPr>
          <w:spacing w:val="-9"/>
        </w:rPr>
        <w:t xml:space="preserve"> </w:t>
      </w:r>
      <w:r>
        <w:t>1.10m</w:t>
      </w:r>
      <w:r>
        <w:rPr>
          <w:spacing w:val="-3"/>
        </w:rPr>
        <w:t>；栏杆高度应从楼地面或屋面至栏杆扶手顶面垂直高度计算，当底部有宽度大</w:t>
      </w:r>
      <w:r>
        <w:rPr>
          <w:spacing w:val="-13"/>
        </w:rPr>
        <w:t>于或等于</w:t>
      </w:r>
      <w:r>
        <w:rPr>
          <w:spacing w:val="-13"/>
        </w:rPr>
        <w:t xml:space="preserve"> </w:t>
      </w:r>
      <w:r>
        <w:t>0</w:t>
      </w:r>
      <w:r>
        <w:rPr>
          <w:spacing w:val="2"/>
        </w:rPr>
        <w:t xml:space="preserve">. </w:t>
      </w:r>
      <w:r>
        <w:t>22m</w:t>
      </w:r>
      <w:r>
        <w:rPr>
          <w:spacing w:val="-8"/>
        </w:rPr>
        <w:t>，且高度低于或等于</w:t>
      </w:r>
      <w:r>
        <w:rPr>
          <w:spacing w:val="-8"/>
        </w:rPr>
        <w:t xml:space="preserve"> </w:t>
      </w:r>
      <w:r>
        <w:t>0.45m</w:t>
      </w:r>
      <w:r>
        <w:rPr>
          <w:spacing w:val="-8"/>
        </w:rPr>
        <w:t xml:space="preserve"> </w:t>
      </w:r>
      <w:r>
        <w:rPr>
          <w:spacing w:val="-8"/>
        </w:rPr>
        <w:t>的可踏部位时，应从可踏部位顶面起计算。</w:t>
      </w:r>
      <w:r>
        <w:t xml:space="preserve"> </w:t>
      </w:r>
    </w:p>
    <w:p w14:paraId="58F2A835" w14:textId="77777777" w:rsidR="00A71EEF" w:rsidRDefault="0081115D">
      <w:pPr>
        <w:pStyle w:val="a3"/>
        <w:spacing w:line="268" w:lineRule="exact"/>
        <w:ind w:left="838"/>
        <w:jc w:val="both"/>
      </w:pPr>
      <w:r>
        <w:t>栏杆距离楼面或屋面</w:t>
      </w:r>
      <w:r>
        <w:t xml:space="preserve"> 0.10m </w:t>
      </w:r>
      <w:r>
        <w:t>高度内不宜留空。</w:t>
      </w:r>
      <w:r>
        <w:t xml:space="preserve"> </w:t>
      </w:r>
    </w:p>
    <w:p w14:paraId="702BEC0B" w14:textId="77777777" w:rsidR="00A71EEF" w:rsidRDefault="00A71EEF">
      <w:pPr>
        <w:pStyle w:val="a3"/>
        <w:spacing w:before="10"/>
        <w:rPr>
          <w:sz w:val="17"/>
        </w:rPr>
      </w:pPr>
    </w:p>
    <w:p w14:paraId="600B4653" w14:textId="77777777" w:rsidR="00A71EEF" w:rsidRDefault="0081115D">
      <w:pPr>
        <w:pStyle w:val="a3"/>
        <w:spacing w:line="446" w:lineRule="auto"/>
        <w:ind w:left="840" w:right="4501" w:hanging="3"/>
        <w:jc w:val="both"/>
        <w:rPr>
          <w:b/>
        </w:rPr>
      </w:pPr>
      <w:r>
        <w:t>当采用垂直杆件做栏杆时，其杆件净距不应大于</w:t>
      </w:r>
      <w:r>
        <w:t xml:space="preserve"> 0.11m</w:t>
      </w:r>
      <w:r>
        <w:t>。</w:t>
      </w:r>
      <w:r>
        <w:rPr>
          <w:b/>
        </w:rPr>
        <w:t xml:space="preserve">4.27 </w:t>
      </w:r>
      <w:r>
        <w:t>走道和楼梯</w:t>
      </w:r>
      <w:r>
        <w:rPr>
          <w:b/>
          <w:w w:val="99"/>
        </w:rPr>
        <w:t xml:space="preserve"> </w:t>
      </w:r>
    </w:p>
    <w:p w14:paraId="2B95C063" w14:textId="77777777" w:rsidR="00A71EEF" w:rsidRDefault="00A71EEF">
      <w:pPr>
        <w:spacing w:line="446" w:lineRule="auto"/>
        <w:jc w:val="both"/>
        <w:sectPr w:rsidR="00A71EEF">
          <w:pgSz w:w="11910" w:h="16850"/>
          <w:pgMar w:top="1220" w:right="0" w:bottom="1420" w:left="1260" w:header="0" w:footer="1239" w:gutter="0"/>
          <w:cols w:space="720"/>
        </w:sectPr>
      </w:pPr>
    </w:p>
    <w:p w14:paraId="2B024E76" w14:textId="77777777" w:rsidR="00A71EEF" w:rsidRDefault="0081115D">
      <w:pPr>
        <w:pStyle w:val="a4"/>
        <w:numPr>
          <w:ilvl w:val="2"/>
          <w:numId w:val="197"/>
        </w:numPr>
        <w:tabs>
          <w:tab w:val="left" w:pos="1530"/>
        </w:tabs>
        <w:spacing w:before="47" w:line="441" w:lineRule="auto"/>
        <w:ind w:right="1498" w:firstLine="422"/>
        <w:jc w:val="both"/>
        <w:rPr>
          <w:sz w:val="21"/>
        </w:rPr>
      </w:pPr>
      <w:r>
        <w:rPr>
          <w:spacing w:val="-4"/>
          <w:sz w:val="21"/>
        </w:rPr>
        <w:t>消防站内供迅速出动用的通道的净宽，单面布房时不应小于</w:t>
      </w:r>
      <w:r>
        <w:rPr>
          <w:spacing w:val="-4"/>
          <w:sz w:val="21"/>
        </w:rPr>
        <w:t xml:space="preserve"> </w:t>
      </w:r>
      <w:r>
        <w:rPr>
          <w:sz w:val="21"/>
        </w:rPr>
        <w:t>1.4m</w:t>
      </w:r>
      <w:r>
        <w:rPr>
          <w:spacing w:val="-3"/>
          <w:sz w:val="21"/>
        </w:rPr>
        <w:t>，双面布房时不应</w:t>
      </w:r>
      <w:r>
        <w:rPr>
          <w:spacing w:val="-15"/>
          <w:sz w:val="21"/>
        </w:rPr>
        <w:t>小于</w:t>
      </w:r>
      <w:r>
        <w:rPr>
          <w:spacing w:val="-15"/>
          <w:sz w:val="21"/>
        </w:rPr>
        <w:t xml:space="preserve"> </w:t>
      </w:r>
      <w:r>
        <w:rPr>
          <w:sz w:val="21"/>
        </w:rPr>
        <w:t>2.0m</w:t>
      </w:r>
      <w:r>
        <w:rPr>
          <w:spacing w:val="-7"/>
          <w:sz w:val="21"/>
        </w:rPr>
        <w:t>，楼梯净宽不应小于</w:t>
      </w:r>
      <w:r>
        <w:rPr>
          <w:spacing w:val="-7"/>
          <w:sz w:val="21"/>
        </w:rPr>
        <w:t xml:space="preserve"> </w:t>
      </w:r>
      <w:r>
        <w:rPr>
          <w:sz w:val="21"/>
        </w:rPr>
        <w:t>1.4m</w:t>
      </w:r>
      <w:r>
        <w:rPr>
          <w:spacing w:val="-3"/>
          <w:sz w:val="21"/>
        </w:rPr>
        <w:t>。通道和楼梯两侧的墙面应平整、无突出物，地面应采用防</w:t>
      </w:r>
      <w:r>
        <w:rPr>
          <w:spacing w:val="-7"/>
          <w:sz w:val="21"/>
        </w:rPr>
        <w:t>滑材料。楼梯踏步高度宜为</w:t>
      </w:r>
      <w:r>
        <w:rPr>
          <w:spacing w:val="-7"/>
          <w:sz w:val="21"/>
        </w:rPr>
        <w:t xml:space="preserve"> </w:t>
      </w:r>
      <w:r>
        <w:rPr>
          <w:sz w:val="21"/>
        </w:rPr>
        <w:t>0.15</w:t>
      </w:r>
      <w:r>
        <w:rPr>
          <w:sz w:val="21"/>
        </w:rPr>
        <w:t>～</w:t>
      </w:r>
      <w:r>
        <w:rPr>
          <w:sz w:val="21"/>
        </w:rPr>
        <w:t>0.16m</w:t>
      </w:r>
      <w:r>
        <w:rPr>
          <w:spacing w:val="-11"/>
          <w:sz w:val="21"/>
        </w:rPr>
        <w:t>，宽度宜为</w:t>
      </w:r>
      <w:r>
        <w:rPr>
          <w:spacing w:val="-11"/>
          <w:sz w:val="21"/>
        </w:rPr>
        <w:t xml:space="preserve"> </w:t>
      </w:r>
      <w:r>
        <w:rPr>
          <w:sz w:val="21"/>
        </w:rPr>
        <w:t>0.28</w:t>
      </w:r>
      <w:r>
        <w:rPr>
          <w:sz w:val="21"/>
        </w:rPr>
        <w:t>～</w:t>
      </w:r>
      <w:r>
        <w:rPr>
          <w:sz w:val="21"/>
        </w:rPr>
        <w:t>0.30m</w:t>
      </w:r>
      <w:r>
        <w:rPr>
          <w:spacing w:val="-8"/>
          <w:sz w:val="21"/>
        </w:rPr>
        <w:t>。楼梯倾角不应大于</w:t>
      </w:r>
      <w:r>
        <w:rPr>
          <w:spacing w:val="-8"/>
          <w:sz w:val="21"/>
        </w:rPr>
        <w:t xml:space="preserve"> </w:t>
      </w:r>
      <w:r>
        <w:rPr>
          <w:sz w:val="21"/>
        </w:rPr>
        <w:t>30</w:t>
      </w:r>
      <w:r>
        <w:rPr>
          <w:spacing w:val="-3"/>
          <w:position w:val="11"/>
          <w:sz w:val="11"/>
        </w:rPr>
        <w:t>。</w:t>
      </w:r>
      <w:r>
        <w:rPr>
          <w:spacing w:val="-3"/>
          <w:sz w:val="21"/>
        </w:rPr>
        <w:t>。</w:t>
      </w:r>
      <w:r>
        <w:rPr>
          <w:sz w:val="21"/>
        </w:rPr>
        <w:t xml:space="preserve"> </w:t>
      </w:r>
    </w:p>
    <w:p w14:paraId="1288DD10" w14:textId="77777777" w:rsidR="00A71EEF" w:rsidRDefault="0081115D">
      <w:pPr>
        <w:pStyle w:val="a4"/>
        <w:numPr>
          <w:ilvl w:val="2"/>
          <w:numId w:val="197"/>
        </w:numPr>
        <w:tabs>
          <w:tab w:val="left" w:pos="1478"/>
        </w:tabs>
        <w:spacing w:before="5"/>
        <w:ind w:left="1477" w:hanging="638"/>
        <w:rPr>
          <w:sz w:val="21"/>
        </w:rPr>
      </w:pPr>
      <w:r>
        <w:rPr>
          <w:spacing w:val="-3"/>
          <w:sz w:val="21"/>
        </w:rPr>
        <w:t>楼梯的数量、位置、宽度和楼梯间形式应满足使用方便和安全疏散的要求。</w:t>
      </w:r>
      <w:r>
        <w:rPr>
          <w:spacing w:val="-3"/>
          <w:sz w:val="21"/>
        </w:rPr>
        <w:t xml:space="preserve"> </w:t>
      </w:r>
    </w:p>
    <w:p w14:paraId="27955A46" w14:textId="77777777" w:rsidR="00A71EEF" w:rsidRDefault="00A71EEF">
      <w:pPr>
        <w:pStyle w:val="a3"/>
        <w:rPr>
          <w:sz w:val="18"/>
        </w:rPr>
      </w:pPr>
    </w:p>
    <w:p w14:paraId="27B4F065" w14:textId="77777777" w:rsidR="00A71EEF" w:rsidRDefault="0081115D">
      <w:pPr>
        <w:pStyle w:val="a4"/>
        <w:numPr>
          <w:ilvl w:val="2"/>
          <w:numId w:val="197"/>
        </w:numPr>
        <w:tabs>
          <w:tab w:val="left" w:pos="1478"/>
        </w:tabs>
        <w:spacing w:line="446" w:lineRule="auto"/>
        <w:ind w:right="1498" w:firstLine="422"/>
        <w:rPr>
          <w:sz w:val="21"/>
        </w:rPr>
      </w:pPr>
      <w:r>
        <w:rPr>
          <w:spacing w:val="-3"/>
          <w:sz w:val="21"/>
        </w:rPr>
        <w:t>梯段改变方向时，扶手转向端处的平台最小宽度不应小于梯段宽度，当有搬运大型物件需要时应适量加宽。</w:t>
      </w:r>
      <w:r>
        <w:rPr>
          <w:sz w:val="21"/>
        </w:rPr>
        <w:t xml:space="preserve"> </w:t>
      </w:r>
    </w:p>
    <w:p w14:paraId="637718AC" w14:textId="77777777" w:rsidR="00A71EEF" w:rsidRDefault="0081115D">
      <w:pPr>
        <w:pStyle w:val="a4"/>
        <w:numPr>
          <w:ilvl w:val="2"/>
          <w:numId w:val="197"/>
        </w:numPr>
        <w:tabs>
          <w:tab w:val="left" w:pos="1478"/>
        </w:tabs>
        <w:ind w:left="1477" w:hanging="638"/>
        <w:rPr>
          <w:sz w:val="21"/>
        </w:rPr>
      </w:pPr>
      <w:r>
        <w:rPr>
          <w:spacing w:val="-8"/>
          <w:sz w:val="21"/>
        </w:rPr>
        <w:t>每个梯段的踏步不应超过</w:t>
      </w:r>
      <w:r>
        <w:rPr>
          <w:spacing w:val="-8"/>
          <w:sz w:val="21"/>
        </w:rPr>
        <w:t xml:space="preserve"> </w:t>
      </w:r>
      <w:r>
        <w:rPr>
          <w:sz w:val="21"/>
        </w:rPr>
        <w:t>18</w:t>
      </w:r>
      <w:r>
        <w:rPr>
          <w:spacing w:val="-14"/>
          <w:sz w:val="21"/>
        </w:rPr>
        <w:t xml:space="preserve"> </w:t>
      </w:r>
      <w:r>
        <w:rPr>
          <w:spacing w:val="-14"/>
          <w:sz w:val="21"/>
        </w:rPr>
        <w:t>级，且不应少于</w:t>
      </w:r>
      <w:r>
        <w:rPr>
          <w:spacing w:val="-14"/>
          <w:sz w:val="21"/>
        </w:rPr>
        <w:t xml:space="preserve"> </w:t>
      </w:r>
      <w:r>
        <w:rPr>
          <w:sz w:val="21"/>
        </w:rPr>
        <w:t>3</w:t>
      </w:r>
      <w:r>
        <w:rPr>
          <w:spacing w:val="-20"/>
          <w:sz w:val="21"/>
        </w:rPr>
        <w:t xml:space="preserve"> </w:t>
      </w:r>
      <w:r>
        <w:rPr>
          <w:spacing w:val="-20"/>
          <w:sz w:val="21"/>
        </w:rPr>
        <w:t>级。</w:t>
      </w:r>
      <w:r>
        <w:rPr>
          <w:sz w:val="21"/>
        </w:rPr>
        <w:t xml:space="preserve"> </w:t>
      </w:r>
    </w:p>
    <w:p w14:paraId="6AFA7159" w14:textId="77777777" w:rsidR="00A71EEF" w:rsidRDefault="00A71EEF">
      <w:pPr>
        <w:pStyle w:val="a3"/>
        <w:rPr>
          <w:sz w:val="18"/>
        </w:rPr>
      </w:pPr>
    </w:p>
    <w:p w14:paraId="24DB4EA2" w14:textId="77777777" w:rsidR="00A71EEF" w:rsidRDefault="0081115D">
      <w:pPr>
        <w:pStyle w:val="a4"/>
        <w:numPr>
          <w:ilvl w:val="2"/>
          <w:numId w:val="197"/>
        </w:numPr>
        <w:tabs>
          <w:tab w:val="left" w:pos="1478"/>
        </w:tabs>
        <w:spacing w:line="446" w:lineRule="auto"/>
        <w:ind w:left="838" w:right="2028" w:firstLine="2"/>
        <w:rPr>
          <w:sz w:val="21"/>
        </w:rPr>
      </w:pPr>
      <w:r>
        <w:rPr>
          <w:spacing w:val="-5"/>
          <w:sz w:val="21"/>
        </w:rPr>
        <w:t>楼梯平台上部及下部过道处的净高不应小于</w:t>
      </w:r>
      <w:r>
        <w:rPr>
          <w:spacing w:val="-5"/>
          <w:sz w:val="21"/>
        </w:rPr>
        <w:t xml:space="preserve"> </w:t>
      </w:r>
      <w:r>
        <w:rPr>
          <w:sz w:val="21"/>
        </w:rPr>
        <w:t>2m</w:t>
      </w:r>
      <w:r>
        <w:rPr>
          <w:spacing w:val="-6"/>
          <w:sz w:val="21"/>
        </w:rPr>
        <w:t>。梯段净高不宜小于</w:t>
      </w:r>
      <w:r>
        <w:rPr>
          <w:spacing w:val="-6"/>
          <w:sz w:val="21"/>
        </w:rPr>
        <w:t xml:space="preserve"> </w:t>
      </w:r>
      <w:r>
        <w:rPr>
          <w:sz w:val="21"/>
        </w:rPr>
        <w:t>2.40m</w:t>
      </w:r>
      <w:r>
        <w:rPr>
          <w:spacing w:val="-2"/>
          <w:sz w:val="21"/>
        </w:rPr>
        <w:t>。注</w:t>
      </w:r>
      <w:r>
        <w:rPr>
          <w:spacing w:val="-3"/>
          <w:sz w:val="21"/>
        </w:rPr>
        <w:t>：梯段净高为自踏步前缘</w:t>
      </w:r>
      <w:r>
        <w:rPr>
          <w:sz w:val="21"/>
        </w:rPr>
        <w:t>（</w:t>
      </w:r>
      <w:r>
        <w:rPr>
          <w:spacing w:val="-5"/>
          <w:sz w:val="21"/>
        </w:rPr>
        <w:t>包括最低和最高一级踏步前缘线以外</w:t>
      </w:r>
      <w:r>
        <w:rPr>
          <w:spacing w:val="-5"/>
          <w:sz w:val="21"/>
        </w:rPr>
        <w:t xml:space="preserve"> </w:t>
      </w:r>
      <w:r>
        <w:rPr>
          <w:sz w:val="21"/>
        </w:rPr>
        <w:t>0.30m</w:t>
      </w:r>
      <w:r>
        <w:rPr>
          <w:spacing w:val="-8"/>
          <w:sz w:val="21"/>
        </w:rPr>
        <w:t xml:space="preserve"> </w:t>
      </w:r>
      <w:r>
        <w:rPr>
          <w:spacing w:val="-8"/>
          <w:sz w:val="21"/>
        </w:rPr>
        <w:t>范围内</w:t>
      </w:r>
      <w:r>
        <w:rPr>
          <w:sz w:val="21"/>
        </w:rPr>
        <w:t>）</w:t>
      </w:r>
      <w:r>
        <w:rPr>
          <w:sz w:val="21"/>
        </w:rPr>
        <w:t xml:space="preserve"> </w:t>
      </w:r>
      <w:r>
        <w:rPr>
          <w:sz w:val="21"/>
        </w:rPr>
        <w:t>量</w:t>
      </w:r>
      <w:r>
        <w:rPr>
          <w:spacing w:val="-3"/>
          <w:sz w:val="21"/>
        </w:rPr>
        <w:t>至上方突出物下缘间的垂直高度。</w:t>
      </w:r>
      <w:r>
        <w:rPr>
          <w:sz w:val="21"/>
        </w:rPr>
        <w:t xml:space="preserve"> </w:t>
      </w:r>
    </w:p>
    <w:p w14:paraId="0C645487" w14:textId="77777777" w:rsidR="00A71EEF" w:rsidRDefault="0081115D">
      <w:pPr>
        <w:pStyle w:val="a4"/>
        <w:numPr>
          <w:ilvl w:val="2"/>
          <w:numId w:val="197"/>
        </w:numPr>
        <w:tabs>
          <w:tab w:val="left" w:pos="1478"/>
        </w:tabs>
        <w:spacing w:line="446" w:lineRule="auto"/>
        <w:ind w:right="1448" w:firstLine="422"/>
        <w:rPr>
          <w:sz w:val="21"/>
        </w:rPr>
      </w:pPr>
      <w:r>
        <w:rPr>
          <w:spacing w:val="-5"/>
          <w:sz w:val="21"/>
        </w:rPr>
        <w:t>室内楼梯扶手高度自踏步前缘线量起不宜</w:t>
      </w:r>
      <w:r>
        <w:rPr>
          <w:spacing w:val="-5"/>
          <w:sz w:val="21"/>
        </w:rPr>
        <w:t>小于</w:t>
      </w:r>
      <w:r>
        <w:rPr>
          <w:spacing w:val="-5"/>
          <w:sz w:val="21"/>
        </w:rPr>
        <w:t xml:space="preserve"> </w:t>
      </w:r>
      <w:r>
        <w:rPr>
          <w:sz w:val="21"/>
        </w:rPr>
        <w:t>0.</w:t>
      </w:r>
      <w:r>
        <w:rPr>
          <w:spacing w:val="12"/>
          <w:sz w:val="21"/>
        </w:rPr>
        <w:t xml:space="preserve"> </w:t>
      </w:r>
      <w:r>
        <w:rPr>
          <w:sz w:val="21"/>
        </w:rPr>
        <w:t>90m</w:t>
      </w:r>
      <w:r>
        <w:rPr>
          <w:spacing w:val="-3"/>
          <w:sz w:val="21"/>
        </w:rPr>
        <w:t>。靠楼梯井一侧水平扶手长度</w:t>
      </w:r>
      <w:r>
        <w:rPr>
          <w:spacing w:val="-20"/>
          <w:sz w:val="21"/>
        </w:rPr>
        <w:t>超过</w:t>
      </w:r>
      <w:r>
        <w:rPr>
          <w:spacing w:val="-20"/>
          <w:sz w:val="21"/>
        </w:rPr>
        <w:t xml:space="preserve"> </w:t>
      </w:r>
      <w:r>
        <w:rPr>
          <w:sz w:val="21"/>
        </w:rPr>
        <w:t>0.50m</w:t>
      </w:r>
      <w:r>
        <w:rPr>
          <w:spacing w:val="-13"/>
          <w:sz w:val="21"/>
        </w:rPr>
        <w:t xml:space="preserve"> </w:t>
      </w:r>
      <w:r>
        <w:rPr>
          <w:spacing w:val="-13"/>
          <w:sz w:val="21"/>
        </w:rPr>
        <w:t>时，其高度不应小于</w:t>
      </w:r>
      <w:r>
        <w:rPr>
          <w:spacing w:val="-13"/>
          <w:sz w:val="21"/>
        </w:rPr>
        <w:t xml:space="preserve"> </w:t>
      </w:r>
      <w:r>
        <w:rPr>
          <w:sz w:val="21"/>
        </w:rPr>
        <w:t>1.05m</w:t>
      </w:r>
      <w:r>
        <w:rPr>
          <w:spacing w:val="-3"/>
          <w:sz w:val="21"/>
        </w:rPr>
        <w:t>。</w:t>
      </w:r>
      <w:r>
        <w:rPr>
          <w:sz w:val="21"/>
        </w:rPr>
        <w:t xml:space="preserve"> </w:t>
      </w:r>
    </w:p>
    <w:p w14:paraId="000B70F3" w14:textId="77777777" w:rsidR="00A71EEF" w:rsidRDefault="0081115D">
      <w:pPr>
        <w:pStyle w:val="a4"/>
        <w:numPr>
          <w:ilvl w:val="2"/>
          <w:numId w:val="197"/>
        </w:numPr>
        <w:tabs>
          <w:tab w:val="left" w:pos="1478"/>
        </w:tabs>
        <w:ind w:left="1477" w:hanging="638"/>
        <w:rPr>
          <w:sz w:val="21"/>
        </w:rPr>
      </w:pPr>
      <w:r>
        <w:rPr>
          <w:spacing w:val="-3"/>
          <w:sz w:val="21"/>
        </w:rPr>
        <w:t>踏步应采取防滑措施。</w:t>
      </w:r>
      <w:r>
        <w:rPr>
          <w:sz w:val="21"/>
        </w:rPr>
        <w:t xml:space="preserve"> </w:t>
      </w:r>
    </w:p>
    <w:p w14:paraId="51F8CCB4" w14:textId="77777777" w:rsidR="00A71EEF" w:rsidRDefault="00A71EEF">
      <w:pPr>
        <w:pStyle w:val="a3"/>
        <w:spacing w:before="11"/>
        <w:rPr>
          <w:sz w:val="17"/>
        </w:rPr>
      </w:pPr>
    </w:p>
    <w:p w14:paraId="50D1F899" w14:textId="77777777" w:rsidR="00A71EEF" w:rsidRDefault="0081115D">
      <w:pPr>
        <w:pStyle w:val="a4"/>
        <w:numPr>
          <w:ilvl w:val="1"/>
          <w:numId w:val="196"/>
        </w:numPr>
        <w:tabs>
          <w:tab w:val="left" w:pos="1264"/>
        </w:tabs>
        <w:rPr>
          <w:b/>
          <w:sz w:val="21"/>
        </w:rPr>
      </w:pPr>
      <w:r>
        <w:rPr>
          <w:spacing w:val="-3"/>
          <w:sz w:val="21"/>
        </w:rPr>
        <w:t>建筑造型与装修</w:t>
      </w:r>
      <w:r>
        <w:rPr>
          <w:b/>
          <w:w w:val="99"/>
          <w:sz w:val="21"/>
        </w:rPr>
        <w:t xml:space="preserve"> </w:t>
      </w:r>
    </w:p>
    <w:p w14:paraId="223AD994" w14:textId="77777777" w:rsidR="00A71EEF" w:rsidRDefault="00A71EEF">
      <w:pPr>
        <w:pStyle w:val="a3"/>
        <w:rPr>
          <w:b/>
          <w:sz w:val="18"/>
        </w:rPr>
      </w:pPr>
    </w:p>
    <w:p w14:paraId="46B9CDFE" w14:textId="77777777" w:rsidR="00A71EEF" w:rsidRDefault="0081115D">
      <w:pPr>
        <w:pStyle w:val="a4"/>
        <w:numPr>
          <w:ilvl w:val="2"/>
          <w:numId w:val="196"/>
        </w:numPr>
        <w:tabs>
          <w:tab w:val="left" w:pos="1478"/>
        </w:tabs>
        <w:spacing w:line="446" w:lineRule="auto"/>
        <w:ind w:right="1498" w:firstLine="422"/>
        <w:rPr>
          <w:sz w:val="21"/>
        </w:rPr>
      </w:pPr>
      <w:r>
        <w:rPr>
          <w:spacing w:val="-3"/>
          <w:sz w:val="21"/>
        </w:rPr>
        <w:t>消防站的建筑外观应主题鲜明，造型应庄重简洁，宜采用体现消防站特点的装修风格，具有明确的标识性与可识别性，并应与周边环境相协调。</w:t>
      </w:r>
      <w:r>
        <w:rPr>
          <w:sz w:val="21"/>
        </w:rPr>
        <w:t xml:space="preserve"> </w:t>
      </w:r>
    </w:p>
    <w:p w14:paraId="61207133" w14:textId="77777777" w:rsidR="00A71EEF" w:rsidRDefault="0081115D">
      <w:pPr>
        <w:pStyle w:val="a4"/>
        <w:numPr>
          <w:ilvl w:val="2"/>
          <w:numId w:val="196"/>
        </w:numPr>
        <w:tabs>
          <w:tab w:val="left" w:pos="1478"/>
        </w:tabs>
        <w:spacing w:line="446" w:lineRule="auto"/>
        <w:ind w:right="1601" w:firstLine="422"/>
        <w:rPr>
          <w:sz w:val="21"/>
        </w:rPr>
      </w:pPr>
      <w:r>
        <w:rPr>
          <w:spacing w:val="-3"/>
          <w:sz w:val="21"/>
        </w:rPr>
        <w:t>消防站的内装修应适应消防员生活和业务训练的需要，并宜采用色彩明快和容易清洗的装修材料。</w:t>
      </w:r>
      <w:r>
        <w:rPr>
          <w:sz w:val="21"/>
        </w:rPr>
        <w:t xml:space="preserve"> </w:t>
      </w:r>
    </w:p>
    <w:p w14:paraId="34A388E5" w14:textId="77777777" w:rsidR="00A71EEF" w:rsidRDefault="0081115D">
      <w:pPr>
        <w:pStyle w:val="a4"/>
        <w:numPr>
          <w:ilvl w:val="2"/>
          <w:numId w:val="196"/>
        </w:numPr>
        <w:tabs>
          <w:tab w:val="left" w:pos="1478"/>
        </w:tabs>
        <w:ind w:left="1477" w:hanging="638"/>
        <w:rPr>
          <w:sz w:val="21"/>
        </w:rPr>
      </w:pPr>
      <w:r>
        <w:rPr>
          <w:spacing w:val="-7"/>
          <w:sz w:val="21"/>
        </w:rPr>
        <w:t>消防站的车库大门颜色宜采用</w:t>
      </w:r>
      <w:r>
        <w:rPr>
          <w:spacing w:val="-7"/>
          <w:sz w:val="21"/>
        </w:rPr>
        <w:t xml:space="preserve"> </w:t>
      </w:r>
      <w:r>
        <w:rPr>
          <w:sz w:val="21"/>
        </w:rPr>
        <w:t>R25</w:t>
      </w:r>
      <w:r>
        <w:rPr>
          <w:spacing w:val="-3"/>
          <w:sz w:val="21"/>
        </w:rPr>
        <w:t>。</w:t>
      </w:r>
      <w:r>
        <w:rPr>
          <w:sz w:val="21"/>
        </w:rPr>
        <w:t xml:space="preserve"> </w:t>
      </w:r>
    </w:p>
    <w:p w14:paraId="00C78B18" w14:textId="77777777" w:rsidR="00A71EEF" w:rsidRDefault="00A71EEF">
      <w:pPr>
        <w:pStyle w:val="a3"/>
        <w:spacing w:before="8"/>
        <w:rPr>
          <w:sz w:val="15"/>
        </w:rPr>
      </w:pPr>
    </w:p>
    <w:p w14:paraId="022FB94A" w14:textId="77777777" w:rsidR="00A71EEF" w:rsidRDefault="0081115D">
      <w:pPr>
        <w:pStyle w:val="4"/>
      </w:pPr>
      <w:r>
        <w:t xml:space="preserve">5 </w:t>
      </w:r>
      <w:r>
        <w:t>消防站场地设计</w:t>
      </w:r>
      <w:r>
        <w:rPr>
          <w:w w:val="99"/>
        </w:rPr>
        <w:t xml:space="preserve"> </w:t>
      </w:r>
    </w:p>
    <w:p w14:paraId="7BE40DBE" w14:textId="77777777" w:rsidR="00A71EEF" w:rsidRDefault="00A71EEF">
      <w:pPr>
        <w:pStyle w:val="a3"/>
        <w:spacing w:before="4"/>
        <w:rPr>
          <w:b/>
          <w:sz w:val="17"/>
        </w:rPr>
      </w:pPr>
    </w:p>
    <w:p w14:paraId="76F030C2" w14:textId="77777777" w:rsidR="00A71EEF" w:rsidRDefault="0081115D">
      <w:pPr>
        <w:pStyle w:val="a4"/>
        <w:numPr>
          <w:ilvl w:val="1"/>
          <w:numId w:val="195"/>
        </w:numPr>
        <w:tabs>
          <w:tab w:val="left" w:pos="1159"/>
        </w:tabs>
        <w:ind w:hanging="319"/>
        <w:rPr>
          <w:sz w:val="21"/>
        </w:rPr>
      </w:pPr>
      <w:r>
        <w:rPr>
          <w:spacing w:val="-3"/>
          <w:sz w:val="21"/>
        </w:rPr>
        <w:t>室外训练场</w:t>
      </w:r>
      <w:r>
        <w:rPr>
          <w:sz w:val="21"/>
        </w:rPr>
        <w:t xml:space="preserve"> </w:t>
      </w:r>
    </w:p>
    <w:p w14:paraId="778B885F" w14:textId="77777777" w:rsidR="00A71EEF" w:rsidRDefault="00A71EEF">
      <w:pPr>
        <w:pStyle w:val="a3"/>
        <w:spacing w:before="2"/>
        <w:rPr>
          <w:sz w:val="18"/>
        </w:rPr>
      </w:pPr>
    </w:p>
    <w:p w14:paraId="3EFB9521" w14:textId="77777777" w:rsidR="00A71EEF" w:rsidRDefault="0081115D">
      <w:pPr>
        <w:pStyle w:val="a4"/>
        <w:numPr>
          <w:ilvl w:val="2"/>
          <w:numId w:val="195"/>
        </w:numPr>
        <w:tabs>
          <w:tab w:val="left" w:pos="1371"/>
        </w:tabs>
        <w:spacing w:line="446" w:lineRule="auto"/>
        <w:ind w:right="1604" w:firstLine="422"/>
        <w:rPr>
          <w:sz w:val="21"/>
        </w:rPr>
      </w:pPr>
      <w:r>
        <w:rPr>
          <w:spacing w:val="-3"/>
          <w:sz w:val="21"/>
        </w:rPr>
        <w:t>室外训练场应能容纳训练塔、篮球场、训练跑道、模拟训练场等；模拟训练场宜设有百米障碍训练、破拆训练、器械训练以及深井救助训练等装置和设施。</w:t>
      </w:r>
      <w:r>
        <w:rPr>
          <w:sz w:val="21"/>
        </w:rPr>
        <w:t xml:space="preserve"> </w:t>
      </w:r>
    </w:p>
    <w:p w14:paraId="5494ED20" w14:textId="77777777" w:rsidR="00A71EEF" w:rsidRDefault="0081115D">
      <w:pPr>
        <w:pStyle w:val="a4"/>
        <w:numPr>
          <w:ilvl w:val="2"/>
          <w:numId w:val="195"/>
        </w:numPr>
        <w:tabs>
          <w:tab w:val="left" w:pos="1371"/>
        </w:tabs>
        <w:spacing w:line="446" w:lineRule="auto"/>
        <w:ind w:right="1604" w:firstLine="422"/>
        <w:rPr>
          <w:sz w:val="21"/>
        </w:rPr>
      </w:pPr>
      <w:r>
        <w:rPr>
          <w:spacing w:val="-3"/>
          <w:sz w:val="21"/>
        </w:rPr>
        <w:t>室外训练场应根据场地特点合理规划布置各类训练装置、设施和功能区域，各训练装置和设施周边应有必需的安全空间。各功能区域间应保持合理间距。</w:t>
      </w:r>
      <w:r>
        <w:rPr>
          <w:sz w:val="21"/>
        </w:rPr>
        <w:t xml:space="preserve"> </w:t>
      </w:r>
    </w:p>
    <w:p w14:paraId="7059D22B" w14:textId="77777777" w:rsidR="00A71EEF" w:rsidRDefault="0081115D">
      <w:pPr>
        <w:pStyle w:val="a4"/>
        <w:numPr>
          <w:ilvl w:val="2"/>
          <w:numId w:val="195"/>
        </w:numPr>
        <w:tabs>
          <w:tab w:val="left" w:pos="1371"/>
        </w:tabs>
        <w:spacing w:line="446" w:lineRule="auto"/>
        <w:ind w:right="1604" w:firstLine="422"/>
        <w:jc w:val="both"/>
        <w:rPr>
          <w:sz w:val="21"/>
        </w:rPr>
      </w:pPr>
      <w:r>
        <w:rPr>
          <w:spacing w:val="-3"/>
          <w:sz w:val="21"/>
        </w:rPr>
        <w:t>训练场地地面材料应满足训练的要求。训练跑道、单双杠等有落地缓冲需求的训练区地面宜采用塑胶或煤渣、砖粉末和土等非刚性材料，并应满足训练设施的安装、固定、更换和搬运需求。</w:t>
      </w:r>
      <w:r>
        <w:rPr>
          <w:sz w:val="21"/>
        </w:rPr>
        <w:t xml:space="preserve"> </w:t>
      </w:r>
    </w:p>
    <w:p w14:paraId="40E0AAE4" w14:textId="77777777" w:rsidR="00A71EEF" w:rsidRDefault="00A71EEF">
      <w:pPr>
        <w:spacing w:line="446" w:lineRule="auto"/>
        <w:jc w:val="both"/>
        <w:rPr>
          <w:sz w:val="21"/>
        </w:rPr>
        <w:sectPr w:rsidR="00A71EEF">
          <w:pgSz w:w="11910" w:h="16850"/>
          <w:pgMar w:top="1220" w:right="0" w:bottom="1420" w:left="1260" w:header="0" w:footer="1239" w:gutter="0"/>
          <w:cols w:space="720"/>
        </w:sectPr>
      </w:pPr>
    </w:p>
    <w:p w14:paraId="0608BCA1" w14:textId="77777777" w:rsidR="00A71EEF" w:rsidRDefault="0081115D">
      <w:pPr>
        <w:pStyle w:val="a4"/>
        <w:numPr>
          <w:ilvl w:val="2"/>
          <w:numId w:val="195"/>
        </w:numPr>
        <w:tabs>
          <w:tab w:val="left" w:pos="1371"/>
        </w:tabs>
        <w:spacing w:before="47" w:line="446" w:lineRule="auto"/>
        <w:ind w:right="1498" w:firstLine="422"/>
        <w:rPr>
          <w:sz w:val="21"/>
        </w:rPr>
      </w:pPr>
      <w:r>
        <w:rPr>
          <w:spacing w:val="-3"/>
          <w:sz w:val="21"/>
        </w:rPr>
        <w:t>封闭管理的训练场地的对外出入口不应少于两处，出口大小应满足人员出入方便、疏散安全和器材运输的要求。</w:t>
      </w:r>
      <w:r>
        <w:rPr>
          <w:sz w:val="21"/>
        </w:rPr>
        <w:t xml:space="preserve"> </w:t>
      </w:r>
    </w:p>
    <w:p w14:paraId="18393120" w14:textId="77777777" w:rsidR="00A71EEF" w:rsidRDefault="0081115D">
      <w:pPr>
        <w:pStyle w:val="a4"/>
        <w:numPr>
          <w:ilvl w:val="2"/>
          <w:numId w:val="195"/>
        </w:numPr>
        <w:tabs>
          <w:tab w:val="left" w:pos="1371"/>
        </w:tabs>
        <w:spacing w:line="446" w:lineRule="auto"/>
        <w:ind w:right="1604" w:firstLine="422"/>
        <w:rPr>
          <w:sz w:val="21"/>
        </w:rPr>
      </w:pPr>
      <w:r>
        <w:rPr>
          <w:spacing w:val="-3"/>
          <w:sz w:val="21"/>
        </w:rPr>
        <w:t>训练场地应采取有效的排水措施，宜在训练场地外侧设排水沟，排水明沟应使用漏水盖板。</w:t>
      </w:r>
      <w:r>
        <w:rPr>
          <w:sz w:val="21"/>
        </w:rPr>
        <w:t xml:space="preserve"> </w:t>
      </w:r>
    </w:p>
    <w:p w14:paraId="651E5AC9" w14:textId="77777777" w:rsidR="00A71EEF" w:rsidRDefault="0081115D">
      <w:pPr>
        <w:pStyle w:val="a4"/>
        <w:numPr>
          <w:ilvl w:val="2"/>
          <w:numId w:val="195"/>
        </w:numPr>
        <w:tabs>
          <w:tab w:val="left" w:pos="1371"/>
        </w:tabs>
        <w:ind w:left="1370"/>
        <w:rPr>
          <w:sz w:val="21"/>
        </w:rPr>
      </w:pPr>
      <w:r>
        <w:rPr>
          <w:spacing w:val="-7"/>
          <w:sz w:val="21"/>
        </w:rPr>
        <w:t>训练场地横向坡度不应大于</w:t>
      </w:r>
      <w:r>
        <w:rPr>
          <w:spacing w:val="-7"/>
          <w:sz w:val="21"/>
        </w:rPr>
        <w:t xml:space="preserve"> </w:t>
      </w:r>
      <w:r>
        <w:rPr>
          <w:sz w:val="21"/>
        </w:rPr>
        <w:t>1</w:t>
      </w:r>
      <w:r>
        <w:rPr>
          <w:spacing w:val="-2"/>
          <w:sz w:val="21"/>
        </w:rPr>
        <w:t>%</w:t>
      </w:r>
      <w:r>
        <w:rPr>
          <w:spacing w:val="-2"/>
          <w:sz w:val="21"/>
        </w:rPr>
        <w:t>。</w:t>
      </w:r>
      <w:r>
        <w:rPr>
          <w:sz w:val="21"/>
        </w:rPr>
        <w:t xml:space="preserve"> </w:t>
      </w:r>
    </w:p>
    <w:p w14:paraId="588DB9C5" w14:textId="77777777" w:rsidR="00A71EEF" w:rsidRDefault="00A71EEF">
      <w:pPr>
        <w:pStyle w:val="a3"/>
        <w:spacing w:before="10"/>
        <w:rPr>
          <w:sz w:val="17"/>
        </w:rPr>
      </w:pPr>
    </w:p>
    <w:p w14:paraId="501C91DB" w14:textId="77777777" w:rsidR="00A71EEF" w:rsidRDefault="0081115D">
      <w:pPr>
        <w:pStyle w:val="a4"/>
        <w:numPr>
          <w:ilvl w:val="2"/>
          <w:numId w:val="195"/>
        </w:numPr>
        <w:tabs>
          <w:tab w:val="left" w:pos="1371"/>
        </w:tabs>
        <w:spacing w:line="446" w:lineRule="auto"/>
        <w:ind w:right="1813" w:firstLine="422"/>
        <w:rPr>
          <w:sz w:val="21"/>
        </w:rPr>
      </w:pPr>
      <w:r>
        <w:rPr>
          <w:spacing w:val="-3"/>
          <w:sz w:val="21"/>
        </w:rPr>
        <w:t>训练跑道和篮球场应满足消防业务训练的特殊需要，同时还应设置训练时列队观摩、规范操作、器材摆放和准备活动场地以及终点线后的缓冲场地。</w:t>
      </w:r>
      <w:r>
        <w:rPr>
          <w:sz w:val="21"/>
        </w:rPr>
        <w:t xml:space="preserve"> </w:t>
      </w:r>
    </w:p>
    <w:p w14:paraId="73146FD9" w14:textId="77777777" w:rsidR="00A71EEF" w:rsidRDefault="0081115D">
      <w:pPr>
        <w:pStyle w:val="a4"/>
        <w:numPr>
          <w:ilvl w:val="2"/>
          <w:numId w:val="195"/>
        </w:numPr>
        <w:tabs>
          <w:tab w:val="left" w:pos="1371"/>
        </w:tabs>
        <w:spacing w:before="1" w:line="446" w:lineRule="auto"/>
        <w:ind w:left="838" w:right="5807" w:firstLine="2"/>
        <w:rPr>
          <w:b/>
          <w:sz w:val="21"/>
        </w:rPr>
      </w:pPr>
      <w:r>
        <w:rPr>
          <w:spacing w:val="-2"/>
          <w:sz w:val="21"/>
        </w:rPr>
        <w:t>消防站跑道设置应符合下列规定：</w:t>
      </w:r>
      <w:r>
        <w:rPr>
          <w:spacing w:val="-2"/>
          <w:sz w:val="21"/>
        </w:rPr>
        <w:t xml:space="preserve"> </w:t>
      </w:r>
      <w:r>
        <w:rPr>
          <w:spacing w:val="-2"/>
          <w:sz w:val="21"/>
        </w:rPr>
        <w:t>应</w:t>
      </w:r>
      <w:r>
        <w:rPr>
          <w:spacing w:val="-12"/>
          <w:sz w:val="21"/>
        </w:rPr>
        <w:t>设置不低于</w:t>
      </w:r>
      <w:r>
        <w:rPr>
          <w:spacing w:val="-12"/>
          <w:sz w:val="21"/>
        </w:rPr>
        <w:t xml:space="preserve"> </w:t>
      </w:r>
      <w:r>
        <w:rPr>
          <w:sz w:val="21"/>
        </w:rPr>
        <w:t>65m×8m</w:t>
      </w:r>
      <w:r>
        <w:rPr>
          <w:spacing w:val="-9"/>
          <w:sz w:val="21"/>
        </w:rPr>
        <w:t xml:space="preserve"> </w:t>
      </w:r>
      <w:r>
        <w:rPr>
          <w:spacing w:val="-9"/>
          <w:sz w:val="21"/>
        </w:rPr>
        <w:t>的训练用直跑道；</w:t>
      </w:r>
      <w:r>
        <w:rPr>
          <w:b/>
          <w:w w:val="99"/>
          <w:sz w:val="21"/>
        </w:rPr>
        <w:t xml:space="preserve"> </w:t>
      </w:r>
    </w:p>
    <w:p w14:paraId="7213CA3F" w14:textId="77777777" w:rsidR="00A71EEF" w:rsidRDefault="0081115D">
      <w:pPr>
        <w:pStyle w:val="a3"/>
        <w:ind w:left="838"/>
      </w:pPr>
      <w:r>
        <w:t>如场地允许，宜设置</w:t>
      </w:r>
      <w:r>
        <w:t xml:space="preserve"> 110m×10m </w:t>
      </w:r>
      <w:r>
        <w:t>的直跑道或</w:t>
      </w:r>
      <w:r>
        <w:t xml:space="preserve"> 200m </w:t>
      </w:r>
      <w:r>
        <w:t>以上环形跑道。</w:t>
      </w:r>
      <w:r>
        <w:t xml:space="preserve"> </w:t>
      </w:r>
    </w:p>
    <w:p w14:paraId="7C42BACF" w14:textId="77777777" w:rsidR="00A71EEF" w:rsidRDefault="00A71EEF">
      <w:pPr>
        <w:pStyle w:val="a3"/>
        <w:spacing w:before="12"/>
        <w:rPr>
          <w:sz w:val="17"/>
        </w:rPr>
      </w:pPr>
    </w:p>
    <w:p w14:paraId="27059501" w14:textId="77777777" w:rsidR="00A71EEF" w:rsidRDefault="0081115D">
      <w:pPr>
        <w:pStyle w:val="a4"/>
        <w:numPr>
          <w:ilvl w:val="2"/>
          <w:numId w:val="195"/>
        </w:numPr>
        <w:tabs>
          <w:tab w:val="left" w:pos="1371"/>
        </w:tabs>
        <w:ind w:left="1370"/>
        <w:rPr>
          <w:sz w:val="21"/>
        </w:rPr>
      </w:pPr>
      <w:r>
        <w:rPr>
          <w:spacing w:val="-5"/>
          <w:sz w:val="21"/>
        </w:rPr>
        <w:t>应在室外训练场适当位置布置篮球场，其尺寸不应低于</w:t>
      </w:r>
      <w:r>
        <w:rPr>
          <w:spacing w:val="-5"/>
          <w:sz w:val="21"/>
        </w:rPr>
        <w:t xml:space="preserve"> </w:t>
      </w:r>
      <w:r>
        <w:rPr>
          <w:sz w:val="21"/>
        </w:rPr>
        <w:t>15m×28m</w:t>
      </w:r>
      <w:r>
        <w:rPr>
          <w:sz w:val="21"/>
        </w:rPr>
        <w:t>。</w:t>
      </w:r>
      <w:r>
        <w:rPr>
          <w:sz w:val="21"/>
        </w:rPr>
        <w:t xml:space="preserve"> </w:t>
      </w:r>
    </w:p>
    <w:p w14:paraId="1C32204E" w14:textId="77777777" w:rsidR="00A71EEF" w:rsidRDefault="00A71EEF">
      <w:pPr>
        <w:pStyle w:val="a3"/>
        <w:spacing w:before="12"/>
        <w:rPr>
          <w:sz w:val="17"/>
        </w:rPr>
      </w:pPr>
    </w:p>
    <w:p w14:paraId="4A0E1B1D" w14:textId="77777777" w:rsidR="00A71EEF" w:rsidRDefault="0081115D">
      <w:pPr>
        <w:pStyle w:val="a4"/>
        <w:numPr>
          <w:ilvl w:val="2"/>
          <w:numId w:val="195"/>
        </w:numPr>
        <w:tabs>
          <w:tab w:val="left" w:pos="1478"/>
        </w:tabs>
        <w:ind w:left="1477" w:hanging="638"/>
        <w:rPr>
          <w:sz w:val="21"/>
        </w:rPr>
      </w:pPr>
      <w:r>
        <w:rPr>
          <w:spacing w:val="-3"/>
          <w:sz w:val="21"/>
        </w:rPr>
        <w:t>训练塔应符合下列规定：</w:t>
      </w:r>
      <w:r>
        <w:rPr>
          <w:sz w:val="21"/>
        </w:rPr>
        <w:t xml:space="preserve"> </w:t>
      </w:r>
    </w:p>
    <w:p w14:paraId="1A330C04" w14:textId="77777777" w:rsidR="00A71EEF" w:rsidRDefault="00A71EEF">
      <w:pPr>
        <w:pStyle w:val="a3"/>
        <w:spacing w:before="2"/>
        <w:rPr>
          <w:sz w:val="18"/>
        </w:rPr>
      </w:pPr>
    </w:p>
    <w:p w14:paraId="3360BF2F" w14:textId="77777777" w:rsidR="00A71EEF" w:rsidRDefault="0081115D">
      <w:pPr>
        <w:pStyle w:val="a3"/>
        <w:ind w:left="838"/>
        <w:rPr>
          <w:b/>
        </w:rPr>
      </w:pPr>
      <w:r>
        <w:t>训练塔宜设在靠近训练场地尽端的部位。</w:t>
      </w:r>
      <w:r>
        <w:rPr>
          <w:b/>
          <w:w w:val="99"/>
        </w:rPr>
        <w:t xml:space="preserve"> </w:t>
      </w:r>
    </w:p>
    <w:p w14:paraId="21933DBA" w14:textId="77777777" w:rsidR="00A71EEF" w:rsidRDefault="00A71EEF">
      <w:pPr>
        <w:pStyle w:val="a3"/>
        <w:rPr>
          <w:b/>
          <w:sz w:val="18"/>
        </w:rPr>
      </w:pPr>
    </w:p>
    <w:p w14:paraId="28B3BF45" w14:textId="77777777" w:rsidR="00A71EEF" w:rsidRDefault="0081115D">
      <w:pPr>
        <w:pStyle w:val="a3"/>
        <w:spacing w:line="446" w:lineRule="auto"/>
        <w:ind w:left="838" w:right="1505"/>
      </w:pPr>
      <w:r>
        <w:rPr>
          <w:spacing w:val="-3"/>
        </w:rPr>
        <w:t>训练塔层数不应少于六层，特勤消防站和辖区内高层建筑物较多时，可增加训练塔层数。</w:t>
      </w:r>
      <w:r>
        <w:rPr>
          <w:spacing w:val="-10"/>
        </w:rPr>
        <w:t>训练塔层高应为</w:t>
      </w:r>
      <w:r>
        <w:rPr>
          <w:spacing w:val="-10"/>
        </w:rPr>
        <w:t xml:space="preserve"> </w:t>
      </w:r>
      <w:r>
        <w:t>3.5m</w:t>
      </w:r>
      <w:r>
        <w:rPr>
          <w:spacing w:val="-7"/>
        </w:rPr>
        <w:t>，首层层高应从室外地面算起</w:t>
      </w:r>
      <w:r>
        <w:rPr>
          <w:spacing w:val="-7"/>
        </w:rPr>
        <w:t>(</w:t>
      </w:r>
      <w:r>
        <w:rPr>
          <w:spacing w:val="-7"/>
        </w:rPr>
        <w:t>图</w:t>
      </w:r>
      <w:r>
        <w:rPr>
          <w:spacing w:val="-7"/>
        </w:rPr>
        <w:t xml:space="preserve"> </w:t>
      </w:r>
      <w:r>
        <w:t>5.1.10-1)</w:t>
      </w:r>
      <w:r>
        <w:rPr>
          <w:spacing w:val="-3"/>
        </w:rPr>
        <w:t>。</w:t>
      </w:r>
      <w:r>
        <w:t xml:space="preserve"> </w:t>
      </w:r>
    </w:p>
    <w:p w14:paraId="12BD8479" w14:textId="77777777" w:rsidR="00A71EEF" w:rsidRDefault="0081115D">
      <w:pPr>
        <w:pStyle w:val="a3"/>
        <w:spacing w:line="446" w:lineRule="auto"/>
        <w:ind w:left="418" w:right="1613" w:firstLine="419"/>
      </w:pPr>
      <w:r>
        <w:rPr>
          <w:spacing w:val="-7"/>
        </w:rPr>
        <w:t>训练塔应设有净宽不小于</w:t>
      </w:r>
      <w:r>
        <w:rPr>
          <w:spacing w:val="-7"/>
        </w:rPr>
        <w:t xml:space="preserve"> </w:t>
      </w:r>
      <w:r>
        <w:t>0.7m</w:t>
      </w:r>
      <w:r>
        <w:rPr>
          <w:spacing w:val="-10"/>
        </w:rPr>
        <w:t xml:space="preserve"> </w:t>
      </w:r>
      <w:r>
        <w:rPr>
          <w:spacing w:val="-10"/>
        </w:rPr>
        <w:t>的内楼梯。每层内侧应设宽度不小于</w:t>
      </w:r>
      <w:r>
        <w:rPr>
          <w:spacing w:val="-10"/>
        </w:rPr>
        <w:t xml:space="preserve"> </w:t>
      </w:r>
      <w:r>
        <w:t>1.5m</w:t>
      </w:r>
      <w:r>
        <w:rPr>
          <w:spacing w:val="-8"/>
        </w:rPr>
        <w:t xml:space="preserve"> </w:t>
      </w:r>
      <w:r>
        <w:rPr>
          <w:spacing w:val="-8"/>
        </w:rPr>
        <w:t>的平台，顶层应</w:t>
      </w:r>
      <w:r>
        <w:rPr>
          <w:spacing w:val="-7"/>
        </w:rPr>
        <w:t>设楼板</w:t>
      </w:r>
      <w:r>
        <w:rPr>
          <w:spacing w:val="-3"/>
        </w:rPr>
        <w:t>（</w:t>
      </w:r>
      <w:r>
        <w:rPr>
          <w:spacing w:val="-27"/>
        </w:rPr>
        <w:t>图</w:t>
      </w:r>
      <w:r>
        <w:rPr>
          <w:spacing w:val="-27"/>
        </w:rPr>
        <w:t xml:space="preserve"> </w:t>
      </w:r>
      <w:r>
        <w:t>5.1.10-1</w:t>
      </w:r>
      <w:r>
        <w:t>）。</w:t>
      </w:r>
      <w:r>
        <w:t xml:space="preserve"> </w:t>
      </w:r>
    </w:p>
    <w:p w14:paraId="0B8FD799" w14:textId="77777777" w:rsidR="00A71EEF" w:rsidRDefault="0081115D">
      <w:pPr>
        <w:pStyle w:val="a3"/>
        <w:spacing w:line="446" w:lineRule="auto"/>
        <w:ind w:left="418" w:right="1391" w:firstLine="419"/>
      </w:pPr>
      <w:r>
        <w:t>训练塔正面的窗口每层不应少于两个，窗口距塔边水平距离不应小于</w:t>
      </w:r>
      <w:r>
        <w:t xml:space="preserve"> 0.65m</w:t>
      </w:r>
      <w:r>
        <w:t>，窗间墙的宽度不应小于</w:t>
      </w:r>
      <w:r>
        <w:t xml:space="preserve"> 1.0m(</w:t>
      </w:r>
      <w:r>
        <w:t>图</w:t>
      </w:r>
      <w:r>
        <w:t xml:space="preserve"> 5.1.10-l)</w:t>
      </w:r>
      <w:r>
        <w:t>。</w:t>
      </w:r>
      <w:r>
        <w:t xml:space="preserve"> </w:t>
      </w:r>
    </w:p>
    <w:p w14:paraId="284EC08E" w14:textId="77777777" w:rsidR="00A71EEF" w:rsidRDefault="0081115D">
      <w:pPr>
        <w:pStyle w:val="a3"/>
        <w:spacing w:line="446" w:lineRule="auto"/>
        <w:ind w:left="418" w:right="1611" w:firstLine="419"/>
      </w:pPr>
      <w:r>
        <w:t>训练塔窗口的尺寸应为</w:t>
      </w:r>
      <w:r>
        <w:t xml:space="preserve"> 1.2m×1.8m</w:t>
      </w:r>
      <w:r>
        <w:t>，窗台板距该层地面的高度（含窗台板高度）应为</w:t>
      </w:r>
      <w:r>
        <w:t xml:space="preserve"> 0. 8m</w:t>
      </w:r>
      <w:r>
        <w:t>（图</w:t>
      </w:r>
      <w:r>
        <w:t xml:space="preserve"> 5.1.10-1</w:t>
      </w:r>
      <w:r>
        <w:t>）</w:t>
      </w:r>
      <w:r>
        <w:rPr>
          <w:b/>
        </w:rPr>
        <w:t>。</w:t>
      </w:r>
      <w:r>
        <w:t xml:space="preserve"> </w:t>
      </w:r>
    </w:p>
    <w:p w14:paraId="703DD55C" w14:textId="77777777" w:rsidR="00A71EEF" w:rsidRDefault="00A71EEF">
      <w:pPr>
        <w:spacing w:line="446" w:lineRule="auto"/>
        <w:sectPr w:rsidR="00A71EEF">
          <w:footerReference w:type="default" r:id="rId429"/>
          <w:pgSz w:w="11910" w:h="16850"/>
          <w:pgMar w:top="1220" w:right="0" w:bottom="1420" w:left="1260" w:header="0" w:footer="1239" w:gutter="0"/>
          <w:pgNumType w:start="1430"/>
          <w:cols w:space="720"/>
        </w:sectPr>
      </w:pPr>
    </w:p>
    <w:p w14:paraId="0F2F1918" w14:textId="77777777" w:rsidR="00A71EEF" w:rsidRDefault="00A71EEF">
      <w:pPr>
        <w:pStyle w:val="a3"/>
        <w:spacing w:before="11"/>
        <w:rPr>
          <w:sz w:val="24"/>
        </w:rPr>
      </w:pPr>
    </w:p>
    <w:p w14:paraId="1CE26C23" w14:textId="77777777" w:rsidR="00A71EEF" w:rsidRDefault="0081115D">
      <w:pPr>
        <w:pStyle w:val="a3"/>
        <w:ind w:left="1473"/>
        <w:rPr>
          <w:sz w:val="20"/>
        </w:rPr>
      </w:pPr>
      <w:r>
        <w:rPr>
          <w:noProof/>
          <w:sz w:val="20"/>
        </w:rPr>
        <w:drawing>
          <wp:inline distT="0" distB="0" distL="0" distR="0" wp14:anchorId="634380B9" wp14:editId="2FAE3152">
            <wp:extent cx="4133961" cy="2162175"/>
            <wp:effectExtent l="0" t="0" r="0" b="0"/>
            <wp:docPr id="623" name="image3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image360.jpeg"/>
                    <pic:cNvPicPr/>
                  </pic:nvPicPr>
                  <pic:blipFill>
                    <a:blip r:embed="rId430" cstate="print"/>
                    <a:stretch>
                      <a:fillRect/>
                    </a:stretch>
                  </pic:blipFill>
                  <pic:spPr>
                    <a:xfrm>
                      <a:off x="0" y="0"/>
                      <a:ext cx="4133961" cy="2162175"/>
                    </a:xfrm>
                    <a:prstGeom prst="rect">
                      <a:avLst/>
                    </a:prstGeom>
                  </pic:spPr>
                </pic:pic>
              </a:graphicData>
            </a:graphic>
          </wp:inline>
        </w:drawing>
      </w:r>
    </w:p>
    <w:p w14:paraId="355B39F5" w14:textId="77777777" w:rsidR="00A71EEF" w:rsidRDefault="00A71EEF">
      <w:pPr>
        <w:pStyle w:val="a3"/>
        <w:spacing w:before="7"/>
        <w:rPr>
          <w:sz w:val="9"/>
        </w:rPr>
      </w:pPr>
    </w:p>
    <w:p w14:paraId="07CB2B2C" w14:textId="77777777" w:rsidR="00A71EEF" w:rsidRDefault="0081115D">
      <w:pPr>
        <w:pStyle w:val="6"/>
        <w:spacing w:before="72"/>
        <w:ind w:left="2938"/>
      </w:pPr>
      <w:r>
        <w:t>图</w:t>
      </w:r>
      <w:r>
        <w:t xml:space="preserve"> 5.1.10-1 </w:t>
      </w:r>
      <w:r>
        <w:t>窗口及平台示意图</w:t>
      </w:r>
      <w:r>
        <w:t>(</w:t>
      </w:r>
      <w:r>
        <w:t>单位：</w:t>
      </w:r>
      <w:r>
        <w:t xml:space="preserve">mm) </w:t>
      </w:r>
    </w:p>
    <w:p w14:paraId="1843EF2F" w14:textId="77777777" w:rsidR="00A71EEF" w:rsidRDefault="00A71EEF">
      <w:pPr>
        <w:pStyle w:val="a3"/>
        <w:spacing w:before="12"/>
        <w:rPr>
          <w:b/>
          <w:sz w:val="17"/>
        </w:rPr>
      </w:pPr>
    </w:p>
    <w:p w14:paraId="013B9A65" w14:textId="77777777" w:rsidR="00A71EEF" w:rsidRDefault="0081115D">
      <w:pPr>
        <w:pStyle w:val="a3"/>
        <w:spacing w:before="1" w:line="446" w:lineRule="auto"/>
        <w:ind w:left="418" w:right="1498" w:firstLine="419"/>
      </w:pPr>
      <w:r>
        <w:t>训练塔的窗台上应设有可更换的木质窗台板，窗台板宽度应为</w:t>
      </w:r>
      <w:r>
        <w:t xml:space="preserve"> 0.4m</w:t>
      </w:r>
      <w:r>
        <w:t>，窗台板应突出前塔壁</w:t>
      </w:r>
      <w:r>
        <w:t>0.05m</w:t>
      </w:r>
      <w:r>
        <w:t>。训练塔塔壁上应设置木质垫板（图</w:t>
      </w:r>
      <w:r>
        <w:t xml:space="preserve"> 5.1.10-2</w:t>
      </w:r>
      <w:r>
        <w:t>）。</w:t>
      </w:r>
      <w:r>
        <w:t xml:space="preserve"> </w:t>
      </w:r>
    </w:p>
    <w:p w14:paraId="669ED0A2" w14:textId="77777777" w:rsidR="00A71EEF" w:rsidRDefault="00A71EEF">
      <w:pPr>
        <w:pStyle w:val="a3"/>
        <w:rPr>
          <w:sz w:val="20"/>
        </w:rPr>
      </w:pPr>
    </w:p>
    <w:p w14:paraId="75B6BCAD" w14:textId="77777777" w:rsidR="00A71EEF" w:rsidRDefault="00A71EEF">
      <w:pPr>
        <w:pStyle w:val="a3"/>
        <w:rPr>
          <w:sz w:val="20"/>
        </w:rPr>
      </w:pPr>
    </w:p>
    <w:p w14:paraId="7E713EBE" w14:textId="77777777" w:rsidR="00A71EEF" w:rsidRDefault="00A71EEF">
      <w:pPr>
        <w:pStyle w:val="a3"/>
        <w:rPr>
          <w:sz w:val="20"/>
        </w:rPr>
      </w:pPr>
    </w:p>
    <w:p w14:paraId="5980EFA4" w14:textId="77777777" w:rsidR="00A71EEF" w:rsidRDefault="00A71EEF">
      <w:pPr>
        <w:pStyle w:val="a3"/>
        <w:rPr>
          <w:sz w:val="20"/>
        </w:rPr>
      </w:pPr>
    </w:p>
    <w:p w14:paraId="427640B8" w14:textId="77777777" w:rsidR="00A71EEF" w:rsidRDefault="00A71EEF">
      <w:pPr>
        <w:pStyle w:val="a3"/>
        <w:rPr>
          <w:sz w:val="20"/>
        </w:rPr>
      </w:pPr>
    </w:p>
    <w:p w14:paraId="4D9D9A06" w14:textId="77777777" w:rsidR="00A71EEF" w:rsidRDefault="00A71EEF">
      <w:pPr>
        <w:pStyle w:val="a3"/>
        <w:rPr>
          <w:sz w:val="20"/>
        </w:rPr>
      </w:pPr>
    </w:p>
    <w:p w14:paraId="322AC773" w14:textId="77777777" w:rsidR="00A71EEF" w:rsidRDefault="00A71EEF">
      <w:pPr>
        <w:pStyle w:val="a3"/>
        <w:rPr>
          <w:sz w:val="20"/>
        </w:rPr>
      </w:pPr>
    </w:p>
    <w:p w14:paraId="2E325681" w14:textId="77777777" w:rsidR="00A71EEF" w:rsidRDefault="00A71EEF">
      <w:pPr>
        <w:pStyle w:val="a3"/>
        <w:rPr>
          <w:sz w:val="20"/>
        </w:rPr>
      </w:pPr>
    </w:p>
    <w:p w14:paraId="5C2D5087" w14:textId="77777777" w:rsidR="00A71EEF" w:rsidRDefault="00A71EEF">
      <w:pPr>
        <w:pStyle w:val="a3"/>
        <w:rPr>
          <w:sz w:val="20"/>
        </w:rPr>
      </w:pPr>
    </w:p>
    <w:p w14:paraId="517737B0" w14:textId="77777777" w:rsidR="00A71EEF" w:rsidRDefault="00A71EEF">
      <w:pPr>
        <w:pStyle w:val="a3"/>
        <w:rPr>
          <w:sz w:val="20"/>
        </w:rPr>
      </w:pPr>
    </w:p>
    <w:p w14:paraId="65A04350" w14:textId="77777777" w:rsidR="00A71EEF" w:rsidRDefault="00A71EEF">
      <w:pPr>
        <w:pStyle w:val="a3"/>
        <w:rPr>
          <w:sz w:val="20"/>
        </w:rPr>
      </w:pPr>
    </w:p>
    <w:p w14:paraId="50432EE0" w14:textId="77777777" w:rsidR="00A71EEF" w:rsidRDefault="00A71EEF">
      <w:pPr>
        <w:pStyle w:val="a3"/>
        <w:rPr>
          <w:sz w:val="20"/>
        </w:rPr>
      </w:pPr>
    </w:p>
    <w:p w14:paraId="3C6A26E9" w14:textId="77777777" w:rsidR="00A71EEF" w:rsidRDefault="00A71EEF">
      <w:pPr>
        <w:pStyle w:val="a3"/>
        <w:rPr>
          <w:sz w:val="20"/>
        </w:rPr>
      </w:pPr>
    </w:p>
    <w:p w14:paraId="4F6382D3" w14:textId="77777777" w:rsidR="00A71EEF" w:rsidRDefault="00A71EEF">
      <w:pPr>
        <w:pStyle w:val="a3"/>
        <w:rPr>
          <w:sz w:val="20"/>
        </w:rPr>
      </w:pPr>
    </w:p>
    <w:p w14:paraId="379EABC0" w14:textId="77777777" w:rsidR="00A71EEF" w:rsidRDefault="00A71EEF">
      <w:pPr>
        <w:pStyle w:val="a3"/>
        <w:rPr>
          <w:sz w:val="20"/>
        </w:rPr>
      </w:pPr>
    </w:p>
    <w:p w14:paraId="5D2FA915" w14:textId="77777777" w:rsidR="00A71EEF" w:rsidRDefault="00A71EEF">
      <w:pPr>
        <w:pStyle w:val="a3"/>
        <w:rPr>
          <w:sz w:val="20"/>
        </w:rPr>
      </w:pPr>
    </w:p>
    <w:p w14:paraId="08767DA6" w14:textId="77777777" w:rsidR="00A71EEF" w:rsidRDefault="00A71EEF">
      <w:pPr>
        <w:pStyle w:val="a3"/>
        <w:spacing w:before="8"/>
        <w:rPr>
          <w:sz w:val="25"/>
        </w:rPr>
      </w:pPr>
    </w:p>
    <w:p w14:paraId="44BEF5D0" w14:textId="77777777" w:rsidR="00A71EEF" w:rsidRDefault="0081115D">
      <w:pPr>
        <w:pStyle w:val="a3"/>
        <w:spacing w:before="72"/>
        <w:ind w:left="838"/>
      </w:pPr>
      <w:r>
        <w:t xml:space="preserve"> </w:t>
      </w:r>
    </w:p>
    <w:p w14:paraId="6CE9025A" w14:textId="77777777" w:rsidR="00A71EEF" w:rsidRDefault="00A71EEF">
      <w:pPr>
        <w:sectPr w:rsidR="00A71EEF">
          <w:pgSz w:w="11910" w:h="16850"/>
          <w:pgMar w:top="1600" w:right="0" w:bottom="1420" w:left="1260" w:header="0" w:footer="1239" w:gutter="0"/>
          <w:cols w:space="720"/>
        </w:sectPr>
      </w:pPr>
    </w:p>
    <w:p w14:paraId="420C3613" w14:textId="77777777" w:rsidR="00A71EEF" w:rsidRDefault="00A71EEF">
      <w:pPr>
        <w:pStyle w:val="a3"/>
        <w:spacing w:before="3"/>
        <w:rPr>
          <w:sz w:val="17"/>
        </w:rPr>
      </w:pPr>
    </w:p>
    <w:p w14:paraId="698348A6" w14:textId="77777777" w:rsidR="00A71EEF" w:rsidRDefault="0081115D">
      <w:pPr>
        <w:pStyle w:val="a3"/>
        <w:ind w:left="1763"/>
        <w:rPr>
          <w:sz w:val="20"/>
        </w:rPr>
      </w:pPr>
      <w:r>
        <w:rPr>
          <w:noProof/>
          <w:sz w:val="20"/>
        </w:rPr>
        <w:drawing>
          <wp:inline distT="0" distB="0" distL="0" distR="0" wp14:anchorId="48A6D0C9" wp14:editId="42A47920">
            <wp:extent cx="3364891" cy="3055239"/>
            <wp:effectExtent l="0" t="0" r="0" b="0"/>
            <wp:docPr id="625" name="image3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image361.jpeg"/>
                    <pic:cNvPicPr/>
                  </pic:nvPicPr>
                  <pic:blipFill>
                    <a:blip r:embed="rId431" cstate="print"/>
                    <a:stretch>
                      <a:fillRect/>
                    </a:stretch>
                  </pic:blipFill>
                  <pic:spPr>
                    <a:xfrm>
                      <a:off x="0" y="0"/>
                      <a:ext cx="3364891" cy="3055239"/>
                    </a:xfrm>
                    <a:prstGeom prst="rect">
                      <a:avLst/>
                    </a:prstGeom>
                  </pic:spPr>
                </pic:pic>
              </a:graphicData>
            </a:graphic>
          </wp:inline>
        </w:drawing>
      </w:r>
    </w:p>
    <w:p w14:paraId="6C86E8A9" w14:textId="77777777" w:rsidR="00A71EEF" w:rsidRDefault="00A71EEF">
      <w:pPr>
        <w:pStyle w:val="a3"/>
        <w:spacing w:before="10"/>
        <w:rPr>
          <w:sz w:val="7"/>
        </w:rPr>
      </w:pPr>
    </w:p>
    <w:p w14:paraId="0E988BDE" w14:textId="77777777" w:rsidR="00A71EEF" w:rsidRDefault="0081115D">
      <w:pPr>
        <w:pStyle w:val="6"/>
        <w:spacing w:before="72"/>
        <w:ind w:left="2727"/>
      </w:pPr>
      <w:r>
        <w:t>图</w:t>
      </w:r>
      <w:r>
        <w:t xml:space="preserve"> 5.1.10-2 </w:t>
      </w:r>
      <w:r>
        <w:t>窗台及塔壁板结构示意图</w:t>
      </w:r>
      <w:r>
        <w:t>(</w:t>
      </w:r>
      <w:r>
        <w:t>单位：</w:t>
      </w:r>
      <w:r>
        <w:t xml:space="preserve">mm) </w:t>
      </w:r>
    </w:p>
    <w:p w14:paraId="0D3A697E" w14:textId="77777777" w:rsidR="00A71EEF" w:rsidRDefault="00A71EEF">
      <w:pPr>
        <w:pStyle w:val="a3"/>
        <w:spacing w:before="12"/>
        <w:rPr>
          <w:b/>
          <w:sz w:val="17"/>
        </w:rPr>
      </w:pPr>
    </w:p>
    <w:p w14:paraId="14EDAFD6" w14:textId="77777777" w:rsidR="00A71EEF" w:rsidRDefault="0081115D">
      <w:pPr>
        <w:pStyle w:val="a3"/>
        <w:ind w:left="838"/>
      </w:pPr>
      <w:r>
        <w:t>训练塔宜设置室外消防梯。消防梯应通至训练塔顶，宜离地面</w:t>
      </w:r>
      <w:r>
        <w:t xml:space="preserve"> 3m </w:t>
      </w:r>
      <w:r>
        <w:t>高处设起，宽度不宜小于</w:t>
      </w:r>
    </w:p>
    <w:p w14:paraId="7D7F6CE5" w14:textId="77777777" w:rsidR="00A71EEF" w:rsidRDefault="00A71EEF">
      <w:pPr>
        <w:pStyle w:val="a3"/>
        <w:spacing w:before="2"/>
        <w:rPr>
          <w:sz w:val="18"/>
        </w:rPr>
      </w:pPr>
    </w:p>
    <w:p w14:paraId="1C818A53" w14:textId="77777777" w:rsidR="00A71EEF" w:rsidRDefault="0081115D">
      <w:pPr>
        <w:pStyle w:val="a3"/>
        <w:spacing w:before="1"/>
        <w:ind w:left="418"/>
      </w:pPr>
      <w:r>
        <w:t>0.5m</w:t>
      </w:r>
      <w:r>
        <w:t>。</w:t>
      </w:r>
      <w:r>
        <w:t xml:space="preserve"> </w:t>
      </w:r>
    </w:p>
    <w:p w14:paraId="30A452D1" w14:textId="77777777" w:rsidR="00A71EEF" w:rsidRDefault="00A71EEF">
      <w:pPr>
        <w:pStyle w:val="a3"/>
        <w:spacing w:before="12"/>
        <w:rPr>
          <w:sz w:val="17"/>
        </w:rPr>
      </w:pPr>
    </w:p>
    <w:p w14:paraId="2B09EC66" w14:textId="77777777" w:rsidR="00A71EEF" w:rsidRDefault="0081115D">
      <w:pPr>
        <w:pStyle w:val="a3"/>
        <w:spacing w:line="446" w:lineRule="auto"/>
        <w:ind w:left="838" w:right="2134"/>
      </w:pPr>
      <w:r>
        <w:rPr>
          <w:spacing w:val="-3"/>
        </w:rPr>
        <w:t>训练塔顶部应设置绳索救援训练安全保护滑轮、安全钩、缓降器固定装置和绳索。训练塔应设置攀登墙角，并应安装避雷线、落水管。</w:t>
      </w:r>
      <w:r>
        <w:rPr>
          <w:spacing w:val="-3"/>
        </w:rPr>
        <w:t xml:space="preserve"> </w:t>
      </w:r>
    </w:p>
    <w:p w14:paraId="36BEE20B" w14:textId="77777777" w:rsidR="00A71EEF" w:rsidRDefault="0081115D">
      <w:pPr>
        <w:pStyle w:val="a3"/>
        <w:spacing w:line="446" w:lineRule="auto"/>
        <w:ind w:left="418" w:right="1609" w:firstLine="419"/>
      </w:pPr>
      <w:r>
        <w:t>训练塔应设置绳索训练的固定锚点和备用锚点。锚点可以是梁、柱、楼梯栏杆或预埋的金属件。接触安全绳的部位宜采用木质材料。</w:t>
      </w:r>
      <w:r>
        <w:t xml:space="preserve"> </w:t>
      </w:r>
    </w:p>
    <w:p w14:paraId="53F2836E" w14:textId="77777777" w:rsidR="00A71EEF" w:rsidRDefault="0081115D">
      <w:pPr>
        <w:pStyle w:val="a3"/>
        <w:spacing w:line="448" w:lineRule="auto"/>
        <w:ind w:left="838" w:right="2765"/>
      </w:pPr>
      <w:r>
        <w:rPr>
          <w:spacing w:val="-3"/>
        </w:rPr>
        <w:t>钢结构训练塔塔体材料应选用热镀锌材料或进行热喷涂等防锈、防腐处理。</w:t>
      </w:r>
      <w:r>
        <w:rPr>
          <w:spacing w:val="-7"/>
        </w:rPr>
        <w:t>训练塔的正面应设置不小于</w:t>
      </w:r>
      <w:r>
        <w:rPr>
          <w:spacing w:val="-7"/>
        </w:rPr>
        <w:t xml:space="preserve"> </w:t>
      </w:r>
      <w:r>
        <w:t>50m×8m</w:t>
      </w:r>
      <w:r>
        <w:rPr>
          <w:spacing w:val="-10"/>
        </w:rPr>
        <w:t xml:space="preserve"> </w:t>
      </w:r>
      <w:r>
        <w:rPr>
          <w:spacing w:val="-10"/>
        </w:rPr>
        <w:t>的训练跑道。</w:t>
      </w:r>
      <w:r>
        <w:t xml:space="preserve"> </w:t>
      </w:r>
    </w:p>
    <w:p w14:paraId="19A8FF16" w14:textId="77777777" w:rsidR="00A71EEF" w:rsidRDefault="0081115D">
      <w:pPr>
        <w:pStyle w:val="a3"/>
        <w:spacing w:line="446" w:lineRule="auto"/>
        <w:ind w:left="418" w:right="1609" w:firstLine="419"/>
      </w:pPr>
      <w:r>
        <w:t>有条件的地区，训练塔可建有模拟防盗门、卷帘门、防盗网、电梯升降井、烟热训练室、低压配电室等训练设施，还可设置</w:t>
      </w:r>
      <w:r>
        <w:t xml:space="preserve"> 18m×18m </w:t>
      </w:r>
      <w:r>
        <w:t>登高车操作场。</w:t>
      </w:r>
      <w:r>
        <w:t xml:space="preserve"> </w:t>
      </w:r>
    </w:p>
    <w:p w14:paraId="034EA698" w14:textId="77777777" w:rsidR="00A71EEF" w:rsidRDefault="0081115D">
      <w:pPr>
        <w:pStyle w:val="a4"/>
        <w:numPr>
          <w:ilvl w:val="2"/>
          <w:numId w:val="195"/>
        </w:numPr>
        <w:tabs>
          <w:tab w:val="left" w:pos="1478"/>
        </w:tabs>
        <w:spacing w:line="446" w:lineRule="auto"/>
        <w:ind w:right="1602" w:firstLine="422"/>
        <w:rPr>
          <w:sz w:val="21"/>
        </w:rPr>
      </w:pPr>
      <w:r>
        <w:rPr>
          <w:spacing w:val="-3"/>
          <w:sz w:val="21"/>
        </w:rPr>
        <w:t>训练</w:t>
      </w:r>
      <w:r>
        <w:rPr>
          <w:spacing w:val="-3"/>
          <w:sz w:val="21"/>
        </w:rPr>
        <w:t>塔外宜设置训练用室外消火栓和水泵接合器，其位置应避免与消防车训练或登高训练相冲突，水泵接合器宜采用地上式。</w:t>
      </w:r>
      <w:r>
        <w:rPr>
          <w:sz w:val="21"/>
        </w:rPr>
        <w:t xml:space="preserve"> </w:t>
      </w:r>
    </w:p>
    <w:p w14:paraId="7B59C026" w14:textId="77777777" w:rsidR="00A71EEF" w:rsidRDefault="0081115D">
      <w:pPr>
        <w:pStyle w:val="a4"/>
        <w:numPr>
          <w:ilvl w:val="2"/>
          <w:numId w:val="195"/>
        </w:numPr>
        <w:tabs>
          <w:tab w:val="left" w:pos="1478"/>
        </w:tabs>
        <w:spacing w:line="267" w:lineRule="exact"/>
        <w:ind w:left="1477" w:hanging="638"/>
        <w:rPr>
          <w:sz w:val="21"/>
        </w:rPr>
      </w:pPr>
      <w:r>
        <w:rPr>
          <w:spacing w:val="-3"/>
          <w:sz w:val="21"/>
        </w:rPr>
        <w:t>攀岩训练设施可依托训练塔或建筑的承重墙体进行建设。</w:t>
      </w:r>
      <w:r>
        <w:rPr>
          <w:sz w:val="21"/>
        </w:rPr>
        <w:t xml:space="preserve"> </w:t>
      </w:r>
    </w:p>
    <w:p w14:paraId="3D2D7515" w14:textId="77777777" w:rsidR="00A71EEF" w:rsidRDefault="00A71EEF">
      <w:pPr>
        <w:pStyle w:val="a3"/>
        <w:spacing w:before="7"/>
        <w:rPr>
          <w:sz w:val="17"/>
        </w:rPr>
      </w:pPr>
    </w:p>
    <w:p w14:paraId="13F17A2D" w14:textId="77777777" w:rsidR="00A71EEF" w:rsidRDefault="0081115D">
      <w:pPr>
        <w:pStyle w:val="a4"/>
        <w:numPr>
          <w:ilvl w:val="2"/>
          <w:numId w:val="195"/>
        </w:numPr>
        <w:tabs>
          <w:tab w:val="left" w:pos="1478"/>
        </w:tabs>
        <w:ind w:left="1477" w:hanging="638"/>
        <w:rPr>
          <w:sz w:val="21"/>
        </w:rPr>
      </w:pPr>
      <w:r>
        <w:rPr>
          <w:spacing w:val="-5"/>
          <w:sz w:val="21"/>
        </w:rPr>
        <w:t>百米障碍训练场应包括板障、独木桥和两条专用跑道，每条跑道不应小于</w:t>
      </w:r>
      <w:r>
        <w:rPr>
          <w:spacing w:val="-5"/>
          <w:sz w:val="21"/>
        </w:rPr>
        <w:t xml:space="preserve"> </w:t>
      </w:r>
      <w:r>
        <w:rPr>
          <w:sz w:val="21"/>
        </w:rPr>
        <w:t>100m×</w:t>
      </w:r>
    </w:p>
    <w:p w14:paraId="31E8D821" w14:textId="77777777" w:rsidR="00A71EEF" w:rsidRDefault="00A71EEF">
      <w:pPr>
        <w:pStyle w:val="a3"/>
        <w:rPr>
          <w:sz w:val="18"/>
        </w:rPr>
      </w:pPr>
    </w:p>
    <w:p w14:paraId="4CB84447" w14:textId="77777777" w:rsidR="00A71EEF" w:rsidRDefault="0081115D">
      <w:pPr>
        <w:pStyle w:val="a3"/>
        <w:ind w:left="418"/>
      </w:pPr>
      <w:r>
        <w:t>2.5m</w:t>
      </w:r>
      <w:r>
        <w:t>。</w:t>
      </w:r>
      <w:r>
        <w:t xml:space="preserve"> </w:t>
      </w:r>
    </w:p>
    <w:p w14:paraId="54202CE9" w14:textId="77777777" w:rsidR="00A71EEF" w:rsidRDefault="00A71EEF">
      <w:pPr>
        <w:sectPr w:rsidR="00A71EEF">
          <w:pgSz w:w="11910" w:h="16850"/>
          <w:pgMar w:top="1600" w:right="0" w:bottom="1420" w:left="1260" w:header="0" w:footer="1239" w:gutter="0"/>
          <w:cols w:space="720"/>
        </w:sectPr>
      </w:pPr>
    </w:p>
    <w:p w14:paraId="7167CDAB" w14:textId="77777777" w:rsidR="00A71EEF" w:rsidRDefault="0081115D">
      <w:pPr>
        <w:pStyle w:val="a4"/>
        <w:numPr>
          <w:ilvl w:val="2"/>
          <w:numId w:val="195"/>
        </w:numPr>
        <w:tabs>
          <w:tab w:val="left" w:pos="1478"/>
        </w:tabs>
        <w:spacing w:before="47" w:line="446" w:lineRule="auto"/>
        <w:ind w:right="1498" w:firstLine="422"/>
        <w:rPr>
          <w:sz w:val="21"/>
        </w:rPr>
      </w:pPr>
      <w:r>
        <w:rPr>
          <w:spacing w:val="-3"/>
          <w:sz w:val="21"/>
        </w:rPr>
        <w:t>破拆训练场可根据需要设有模拟墙体和模拟防盗门、卷帘门、窗户栅栏、钢结构围栏等训练设施。模拟墙体可为木结构墙体、砖石砌体以及钢筋混凝土墙体等形式。</w:t>
      </w:r>
      <w:r>
        <w:rPr>
          <w:sz w:val="21"/>
        </w:rPr>
        <w:t xml:space="preserve"> </w:t>
      </w:r>
    </w:p>
    <w:p w14:paraId="364A0FF5" w14:textId="77777777" w:rsidR="00A71EEF" w:rsidRDefault="0081115D">
      <w:pPr>
        <w:pStyle w:val="a4"/>
        <w:numPr>
          <w:ilvl w:val="2"/>
          <w:numId w:val="195"/>
        </w:numPr>
        <w:tabs>
          <w:tab w:val="left" w:pos="1478"/>
        </w:tabs>
        <w:spacing w:line="446" w:lineRule="auto"/>
        <w:ind w:right="1608" w:firstLine="422"/>
        <w:rPr>
          <w:sz w:val="21"/>
        </w:rPr>
      </w:pPr>
      <w:r>
        <w:rPr>
          <w:spacing w:val="-3"/>
          <w:sz w:val="21"/>
        </w:rPr>
        <w:t>器械训练场宜设有单杠、双杠、爬绳和爬竿等常规训练器械和多功能体能训练器械</w:t>
      </w:r>
      <w:r>
        <w:rPr>
          <w:spacing w:val="-5"/>
          <w:sz w:val="21"/>
        </w:rPr>
        <w:t>。各种训练器械宜建在相对独立的训练区域。单杠宜采用高杠，其训练场地不宜小于</w:t>
      </w:r>
      <w:r>
        <w:rPr>
          <w:spacing w:val="-5"/>
          <w:sz w:val="21"/>
        </w:rPr>
        <w:t xml:space="preserve"> </w:t>
      </w:r>
      <w:r>
        <w:rPr>
          <w:sz w:val="21"/>
        </w:rPr>
        <w:t>4m</w:t>
      </w:r>
      <w:r>
        <w:rPr>
          <w:spacing w:val="10"/>
          <w:sz w:val="21"/>
        </w:rPr>
        <w:t xml:space="preserve">× </w:t>
      </w:r>
      <w:r>
        <w:rPr>
          <w:sz w:val="21"/>
        </w:rPr>
        <w:t xml:space="preserve">3m </w:t>
      </w:r>
      <w:r>
        <w:rPr>
          <w:spacing w:val="-3"/>
          <w:sz w:val="21"/>
        </w:rPr>
        <w:t>。双杠宜采用可移动升降式，当受条件限制时，也可采用埋地式双杠，其训练场地不宜小于</w:t>
      </w:r>
    </w:p>
    <w:p w14:paraId="52530724" w14:textId="77777777" w:rsidR="00A71EEF" w:rsidRDefault="0081115D">
      <w:pPr>
        <w:pStyle w:val="a3"/>
        <w:spacing w:line="268" w:lineRule="exact"/>
        <w:ind w:left="418"/>
      </w:pPr>
      <w:r>
        <w:t>4m×3m</w:t>
      </w:r>
      <w:r>
        <w:t>。</w:t>
      </w:r>
      <w:r>
        <w:t xml:space="preserve"> </w:t>
      </w:r>
    </w:p>
    <w:p w14:paraId="5645C173" w14:textId="77777777" w:rsidR="00A71EEF" w:rsidRDefault="00A71EEF">
      <w:pPr>
        <w:pStyle w:val="a3"/>
        <w:rPr>
          <w:sz w:val="18"/>
        </w:rPr>
      </w:pPr>
    </w:p>
    <w:p w14:paraId="4D1B3CA8" w14:textId="77777777" w:rsidR="00A71EEF" w:rsidRDefault="0081115D">
      <w:pPr>
        <w:pStyle w:val="a3"/>
        <w:spacing w:line="446" w:lineRule="auto"/>
        <w:ind w:left="418" w:right="1923" w:firstLine="419"/>
      </w:pPr>
      <w:r>
        <w:t>多功能体能训练器械及场地应符合现行国家标准《室外健身器材的安全通用要求》</w:t>
      </w:r>
      <w:r>
        <w:t xml:space="preserve">GB 19272 </w:t>
      </w:r>
      <w:r>
        <w:t>的有关规定。</w:t>
      </w:r>
      <w:r>
        <w:t xml:space="preserve"> </w:t>
      </w:r>
    </w:p>
    <w:p w14:paraId="28F2D7BE" w14:textId="77777777" w:rsidR="00A71EEF" w:rsidRDefault="0081115D">
      <w:pPr>
        <w:pStyle w:val="a4"/>
        <w:numPr>
          <w:ilvl w:val="2"/>
          <w:numId w:val="195"/>
        </w:numPr>
        <w:tabs>
          <w:tab w:val="left" w:pos="1478"/>
        </w:tabs>
        <w:spacing w:line="446" w:lineRule="auto"/>
        <w:ind w:right="1601" w:firstLine="422"/>
        <w:rPr>
          <w:sz w:val="21"/>
        </w:rPr>
      </w:pPr>
      <w:r>
        <w:rPr>
          <w:spacing w:val="-3"/>
          <w:sz w:val="21"/>
        </w:rPr>
        <w:t>深井救助训练场一般可模拟竖井、斜井、横坑中一种或多种。模拟深井训练设施可依托训练塔建设，也可建在地下，竖井与斜井可组合建设，并应符合下列规定：</w:t>
      </w:r>
      <w:r>
        <w:rPr>
          <w:sz w:val="21"/>
        </w:rPr>
        <w:t xml:space="preserve"> </w:t>
      </w:r>
    </w:p>
    <w:p w14:paraId="074B5E48" w14:textId="77777777" w:rsidR="00A71EEF" w:rsidRDefault="0081115D">
      <w:pPr>
        <w:pStyle w:val="a3"/>
        <w:spacing w:line="446" w:lineRule="auto"/>
        <w:ind w:left="418" w:right="1443" w:firstLine="419"/>
      </w:pPr>
      <w:r>
        <w:t>深井救助训练设施应设有井口平台、井壁和紧急出口等结构，占地面积宜为</w:t>
      </w:r>
      <w:r>
        <w:t xml:space="preserve"> 50</w:t>
      </w:r>
      <w:r>
        <w:t>～</w:t>
      </w:r>
      <w:r>
        <w:t>100m</w:t>
      </w:r>
      <w:r>
        <w:rPr>
          <w:position w:val="11"/>
          <w:sz w:val="11"/>
        </w:rPr>
        <w:t>2</w:t>
      </w:r>
      <w:r>
        <w:t>，深度不应小于</w:t>
      </w:r>
      <w:r>
        <w:t xml:space="preserve"> 7m</w:t>
      </w:r>
      <w:r>
        <w:t>。</w:t>
      </w:r>
      <w:r>
        <w:t xml:space="preserve"> </w:t>
      </w:r>
    </w:p>
    <w:p w14:paraId="716CA3DB" w14:textId="77777777" w:rsidR="00A71EEF" w:rsidRDefault="0081115D">
      <w:pPr>
        <w:pStyle w:val="a3"/>
        <w:spacing w:line="446" w:lineRule="auto"/>
        <w:ind w:left="418" w:right="1505" w:firstLine="419"/>
      </w:pPr>
      <w:r>
        <w:t xml:space="preserve"> </w:t>
      </w:r>
      <w:r>
        <w:t>建在地上的模拟深井训练设施，宜采用网栅结构，并应加装遮光设施；建在地下的模拟深井训练设施，宜采用钢筋混凝土结构，应设置应急照明和紧急出口，宜设置监控系统。</w:t>
      </w:r>
      <w:r>
        <w:t xml:space="preserve"> </w:t>
      </w:r>
    </w:p>
    <w:p w14:paraId="6FD6EF22" w14:textId="77777777" w:rsidR="00A71EEF" w:rsidRDefault="0081115D">
      <w:pPr>
        <w:pStyle w:val="a3"/>
        <w:spacing w:line="267" w:lineRule="exact"/>
        <w:ind w:left="838"/>
      </w:pPr>
      <w:r>
        <w:t xml:space="preserve"> </w:t>
      </w:r>
      <w:r>
        <w:t>建在地下的模拟横坑、斜井应设置紧急通道、导向灯、应急广播和送风设备。</w:t>
      </w:r>
      <w:r>
        <w:t xml:space="preserve"> </w:t>
      </w:r>
    </w:p>
    <w:p w14:paraId="23A0DED1" w14:textId="77777777" w:rsidR="00A71EEF" w:rsidRDefault="00A71EEF">
      <w:pPr>
        <w:pStyle w:val="a3"/>
        <w:spacing w:before="2"/>
        <w:rPr>
          <w:sz w:val="17"/>
        </w:rPr>
      </w:pPr>
    </w:p>
    <w:p w14:paraId="6D90CE51" w14:textId="77777777" w:rsidR="00A71EEF" w:rsidRDefault="0081115D">
      <w:pPr>
        <w:pStyle w:val="a3"/>
        <w:spacing w:before="1" w:line="446" w:lineRule="auto"/>
        <w:ind w:left="418" w:right="1609" w:firstLine="419"/>
      </w:pPr>
      <w:r>
        <w:t>深井救助训练设施上方应设置固定安全保护滑轮、安全钩以及缓降器的承重框架。接触安全绳的部位宜采用木质材料。</w:t>
      </w:r>
      <w:r>
        <w:t xml:space="preserve"> </w:t>
      </w:r>
    </w:p>
    <w:p w14:paraId="6747E3D2" w14:textId="77777777" w:rsidR="00A71EEF" w:rsidRDefault="0081115D">
      <w:pPr>
        <w:pStyle w:val="a4"/>
        <w:numPr>
          <w:ilvl w:val="1"/>
          <w:numId w:val="194"/>
        </w:numPr>
        <w:tabs>
          <w:tab w:val="left" w:pos="1159"/>
        </w:tabs>
        <w:spacing w:line="267" w:lineRule="exact"/>
        <w:ind w:hanging="319"/>
        <w:rPr>
          <w:sz w:val="21"/>
        </w:rPr>
      </w:pPr>
      <w:r>
        <w:rPr>
          <w:spacing w:val="-3"/>
          <w:sz w:val="21"/>
        </w:rPr>
        <w:t>道路</w:t>
      </w:r>
      <w:r>
        <w:rPr>
          <w:sz w:val="21"/>
        </w:rPr>
        <w:t xml:space="preserve"> </w:t>
      </w:r>
    </w:p>
    <w:p w14:paraId="4BFBECCB" w14:textId="77777777" w:rsidR="00A71EEF" w:rsidRDefault="00A71EEF">
      <w:pPr>
        <w:pStyle w:val="a3"/>
        <w:spacing w:before="1"/>
        <w:rPr>
          <w:sz w:val="18"/>
        </w:rPr>
      </w:pPr>
    </w:p>
    <w:p w14:paraId="1AB80B1B" w14:textId="77777777" w:rsidR="00A71EEF" w:rsidRDefault="0081115D">
      <w:pPr>
        <w:pStyle w:val="a4"/>
        <w:numPr>
          <w:ilvl w:val="2"/>
          <w:numId w:val="194"/>
        </w:numPr>
        <w:tabs>
          <w:tab w:val="left" w:pos="1371"/>
        </w:tabs>
        <w:spacing w:before="1"/>
        <w:rPr>
          <w:sz w:val="21"/>
        </w:rPr>
      </w:pPr>
      <w:r>
        <w:rPr>
          <w:spacing w:val="-3"/>
          <w:sz w:val="21"/>
        </w:rPr>
        <w:t>路面面层材料宜选用沥青混凝土，也可选用水泥混凝土，但不宜选用砂石路面。</w:t>
      </w:r>
      <w:r>
        <w:rPr>
          <w:sz w:val="21"/>
        </w:rPr>
        <w:t xml:space="preserve"> </w:t>
      </w:r>
    </w:p>
    <w:p w14:paraId="218EB8BE" w14:textId="77777777" w:rsidR="00A71EEF" w:rsidRDefault="00A71EEF">
      <w:pPr>
        <w:pStyle w:val="a3"/>
        <w:rPr>
          <w:sz w:val="18"/>
        </w:rPr>
      </w:pPr>
    </w:p>
    <w:p w14:paraId="7B5211C2" w14:textId="77777777" w:rsidR="00A71EEF" w:rsidRDefault="0081115D">
      <w:pPr>
        <w:pStyle w:val="a4"/>
        <w:numPr>
          <w:ilvl w:val="2"/>
          <w:numId w:val="194"/>
        </w:numPr>
        <w:tabs>
          <w:tab w:val="left" w:pos="1371"/>
        </w:tabs>
        <w:spacing w:line="446" w:lineRule="auto"/>
        <w:ind w:left="418" w:right="1707" w:firstLine="422"/>
        <w:rPr>
          <w:sz w:val="21"/>
        </w:rPr>
      </w:pPr>
      <w:r>
        <w:rPr>
          <w:spacing w:val="-3"/>
          <w:sz w:val="21"/>
        </w:rPr>
        <w:t>消防站内消防车通行的道路尺寸应满足本站最大长度消防车转弯半径和回车的要求</w:t>
      </w:r>
      <w:r>
        <w:rPr>
          <w:spacing w:val="-8"/>
          <w:sz w:val="21"/>
        </w:rPr>
        <w:t>。回车场地不应小于</w:t>
      </w:r>
      <w:r>
        <w:rPr>
          <w:spacing w:val="-8"/>
          <w:sz w:val="21"/>
        </w:rPr>
        <w:t xml:space="preserve"> </w:t>
      </w:r>
      <w:r>
        <w:rPr>
          <w:sz w:val="21"/>
        </w:rPr>
        <w:t>12m×12m</w:t>
      </w:r>
      <w:r>
        <w:rPr>
          <w:spacing w:val="-6"/>
          <w:sz w:val="21"/>
        </w:rPr>
        <w:t>，配置重型消防车时回车场地不宜小于</w:t>
      </w:r>
      <w:r>
        <w:rPr>
          <w:spacing w:val="-6"/>
          <w:sz w:val="21"/>
        </w:rPr>
        <w:t xml:space="preserve"> </w:t>
      </w:r>
      <w:r>
        <w:rPr>
          <w:sz w:val="21"/>
        </w:rPr>
        <w:t>18m×18m</w:t>
      </w:r>
      <w:r>
        <w:rPr>
          <w:spacing w:val="-3"/>
          <w:sz w:val="21"/>
        </w:rPr>
        <w:t>。</w:t>
      </w:r>
      <w:r>
        <w:rPr>
          <w:sz w:val="21"/>
        </w:rPr>
        <w:t xml:space="preserve"> </w:t>
      </w:r>
    </w:p>
    <w:p w14:paraId="16803D49" w14:textId="77777777" w:rsidR="00A71EEF" w:rsidRDefault="0081115D">
      <w:pPr>
        <w:pStyle w:val="a4"/>
        <w:numPr>
          <w:ilvl w:val="2"/>
          <w:numId w:val="194"/>
        </w:numPr>
        <w:tabs>
          <w:tab w:val="left" w:pos="1371"/>
        </w:tabs>
        <w:spacing w:line="446" w:lineRule="auto"/>
        <w:ind w:left="418" w:right="1604" w:firstLine="422"/>
        <w:rPr>
          <w:sz w:val="21"/>
        </w:rPr>
      </w:pPr>
      <w:r>
        <w:rPr>
          <w:spacing w:val="-3"/>
          <w:sz w:val="21"/>
        </w:rPr>
        <w:t>消防站内消防车通行的道路承载应满足重型消防车的通过要求，其他道路应满足正常通行的要求。</w:t>
      </w:r>
      <w:r>
        <w:rPr>
          <w:sz w:val="21"/>
        </w:rPr>
        <w:t xml:space="preserve"> </w:t>
      </w:r>
    </w:p>
    <w:p w14:paraId="50BBCC18" w14:textId="77777777" w:rsidR="00A71EEF" w:rsidRDefault="0081115D">
      <w:pPr>
        <w:pStyle w:val="a4"/>
        <w:numPr>
          <w:ilvl w:val="2"/>
          <w:numId w:val="194"/>
        </w:numPr>
        <w:tabs>
          <w:tab w:val="left" w:pos="1371"/>
        </w:tabs>
        <w:spacing w:line="267" w:lineRule="exact"/>
        <w:rPr>
          <w:sz w:val="21"/>
        </w:rPr>
      </w:pPr>
      <w:r>
        <w:rPr>
          <w:spacing w:val="-3"/>
          <w:sz w:val="21"/>
        </w:rPr>
        <w:t>消防站内的车道宜设置必要的排水没施。窨井不宜设置在主干道和车库前。</w:t>
      </w:r>
      <w:r>
        <w:rPr>
          <w:spacing w:val="-3"/>
          <w:sz w:val="21"/>
        </w:rPr>
        <w:t xml:space="preserve"> </w:t>
      </w:r>
    </w:p>
    <w:p w14:paraId="4F91A5DC" w14:textId="77777777" w:rsidR="00A71EEF" w:rsidRDefault="00A71EEF">
      <w:pPr>
        <w:pStyle w:val="a3"/>
        <w:spacing w:before="10"/>
        <w:rPr>
          <w:sz w:val="15"/>
        </w:rPr>
      </w:pPr>
    </w:p>
    <w:p w14:paraId="2194CD67" w14:textId="77777777" w:rsidR="00A71EEF" w:rsidRDefault="0081115D">
      <w:pPr>
        <w:pStyle w:val="4"/>
      </w:pPr>
      <w:r>
        <w:t xml:space="preserve">6 </w:t>
      </w:r>
      <w:r>
        <w:t>建筑设备与其他设施</w:t>
      </w:r>
      <w:r>
        <w:rPr>
          <w:w w:val="99"/>
        </w:rPr>
        <w:t xml:space="preserve"> </w:t>
      </w:r>
    </w:p>
    <w:p w14:paraId="6498B225" w14:textId="77777777" w:rsidR="00A71EEF" w:rsidRDefault="00A71EEF">
      <w:pPr>
        <w:pStyle w:val="a3"/>
        <w:spacing w:before="4"/>
        <w:rPr>
          <w:b/>
          <w:sz w:val="17"/>
        </w:rPr>
      </w:pPr>
    </w:p>
    <w:p w14:paraId="50F72B74" w14:textId="77777777" w:rsidR="00A71EEF" w:rsidRDefault="0081115D">
      <w:pPr>
        <w:pStyle w:val="a4"/>
        <w:numPr>
          <w:ilvl w:val="1"/>
          <w:numId w:val="193"/>
        </w:numPr>
        <w:tabs>
          <w:tab w:val="left" w:pos="1159"/>
        </w:tabs>
        <w:ind w:hanging="319"/>
        <w:rPr>
          <w:b/>
          <w:sz w:val="21"/>
        </w:rPr>
      </w:pPr>
      <w:r>
        <w:rPr>
          <w:spacing w:val="-3"/>
          <w:sz w:val="21"/>
        </w:rPr>
        <w:t>给水排水</w:t>
      </w:r>
      <w:r>
        <w:rPr>
          <w:b/>
          <w:w w:val="99"/>
          <w:sz w:val="21"/>
        </w:rPr>
        <w:t xml:space="preserve"> </w:t>
      </w:r>
    </w:p>
    <w:p w14:paraId="354ADE34" w14:textId="77777777" w:rsidR="00A71EEF" w:rsidRDefault="00A71EEF">
      <w:pPr>
        <w:pStyle w:val="a3"/>
        <w:rPr>
          <w:b/>
          <w:sz w:val="18"/>
        </w:rPr>
      </w:pPr>
    </w:p>
    <w:p w14:paraId="143B3B4C" w14:textId="77777777" w:rsidR="00A71EEF" w:rsidRDefault="0081115D">
      <w:pPr>
        <w:pStyle w:val="a4"/>
        <w:numPr>
          <w:ilvl w:val="2"/>
          <w:numId w:val="193"/>
        </w:numPr>
        <w:tabs>
          <w:tab w:val="left" w:pos="1371"/>
        </w:tabs>
        <w:spacing w:line="446" w:lineRule="auto"/>
        <w:ind w:right="1445" w:firstLine="422"/>
        <w:rPr>
          <w:sz w:val="21"/>
        </w:rPr>
      </w:pPr>
      <w:r>
        <w:rPr>
          <w:spacing w:val="-3"/>
          <w:sz w:val="21"/>
        </w:rPr>
        <w:t>消防站的生活给排水设计应按现行国家标准《建筑给水排水设计规范》</w:t>
      </w:r>
      <w:r>
        <w:rPr>
          <w:sz w:val="21"/>
        </w:rPr>
        <w:t>GB</w:t>
      </w:r>
      <w:r>
        <w:rPr>
          <w:spacing w:val="23"/>
          <w:sz w:val="21"/>
        </w:rPr>
        <w:t xml:space="preserve"> </w:t>
      </w:r>
      <w:r>
        <w:rPr>
          <w:sz w:val="21"/>
        </w:rPr>
        <w:t>50015</w:t>
      </w:r>
      <w:r>
        <w:rPr>
          <w:spacing w:val="-14"/>
          <w:sz w:val="21"/>
        </w:rPr>
        <w:t xml:space="preserve"> </w:t>
      </w:r>
      <w:r>
        <w:rPr>
          <w:spacing w:val="-14"/>
          <w:sz w:val="21"/>
        </w:rPr>
        <w:t>的有</w:t>
      </w:r>
      <w:r>
        <w:rPr>
          <w:spacing w:val="-5"/>
          <w:sz w:val="21"/>
        </w:rPr>
        <w:t>关规定执行。</w:t>
      </w:r>
      <w:r>
        <w:rPr>
          <w:sz w:val="21"/>
        </w:rPr>
        <w:t xml:space="preserve"> </w:t>
      </w:r>
    </w:p>
    <w:p w14:paraId="3F5E943F" w14:textId="77777777" w:rsidR="00A71EEF" w:rsidRDefault="00A71EEF">
      <w:pPr>
        <w:spacing w:line="446" w:lineRule="auto"/>
        <w:rPr>
          <w:sz w:val="21"/>
        </w:rPr>
        <w:sectPr w:rsidR="00A71EEF">
          <w:pgSz w:w="11910" w:h="16850"/>
          <w:pgMar w:top="1220" w:right="0" w:bottom="1420" w:left="1260" w:header="0" w:footer="1239" w:gutter="0"/>
          <w:cols w:space="720"/>
        </w:sectPr>
      </w:pPr>
    </w:p>
    <w:p w14:paraId="2A6A1339" w14:textId="77777777" w:rsidR="00A71EEF" w:rsidRDefault="0081115D">
      <w:pPr>
        <w:pStyle w:val="a4"/>
        <w:numPr>
          <w:ilvl w:val="2"/>
          <w:numId w:val="193"/>
        </w:numPr>
        <w:tabs>
          <w:tab w:val="left" w:pos="1371"/>
        </w:tabs>
        <w:spacing w:before="47"/>
        <w:ind w:left="1370"/>
        <w:rPr>
          <w:sz w:val="21"/>
        </w:rPr>
      </w:pPr>
      <w:r>
        <w:rPr>
          <w:spacing w:val="-3"/>
          <w:sz w:val="21"/>
        </w:rPr>
        <w:t>消防站的训练场或消防车库门外应设置取水用的室外消火栓或墙式消火栓。</w:t>
      </w:r>
      <w:r>
        <w:rPr>
          <w:sz w:val="21"/>
        </w:rPr>
        <w:t xml:space="preserve"> </w:t>
      </w:r>
    </w:p>
    <w:p w14:paraId="42703F7C" w14:textId="77777777" w:rsidR="00A71EEF" w:rsidRDefault="00A71EEF">
      <w:pPr>
        <w:pStyle w:val="a3"/>
        <w:rPr>
          <w:sz w:val="18"/>
        </w:rPr>
      </w:pPr>
    </w:p>
    <w:p w14:paraId="6740405A" w14:textId="77777777" w:rsidR="00A71EEF" w:rsidRDefault="0081115D">
      <w:pPr>
        <w:pStyle w:val="a4"/>
        <w:numPr>
          <w:ilvl w:val="2"/>
          <w:numId w:val="193"/>
        </w:numPr>
        <w:tabs>
          <w:tab w:val="left" w:pos="1371"/>
        </w:tabs>
        <w:spacing w:line="446" w:lineRule="auto"/>
        <w:ind w:right="1604" w:firstLine="422"/>
        <w:rPr>
          <w:sz w:val="21"/>
        </w:rPr>
      </w:pPr>
      <w:r>
        <w:rPr>
          <w:spacing w:val="-3"/>
          <w:sz w:val="21"/>
        </w:rPr>
        <w:t>严寒及寒冷地区的消防车库内应设置供消防车上水的专用设施和排水设施，供水流</w:t>
      </w:r>
      <w:r>
        <w:rPr>
          <w:spacing w:val="-12"/>
          <w:sz w:val="21"/>
        </w:rPr>
        <w:t>量不应小于</w:t>
      </w:r>
      <w:r>
        <w:rPr>
          <w:spacing w:val="-12"/>
          <w:sz w:val="21"/>
        </w:rPr>
        <w:t xml:space="preserve"> </w:t>
      </w:r>
      <w:r>
        <w:rPr>
          <w:sz w:val="21"/>
        </w:rPr>
        <w:t>15L/s</w:t>
      </w:r>
      <w:r>
        <w:rPr>
          <w:spacing w:val="-3"/>
          <w:sz w:val="21"/>
        </w:rPr>
        <w:t>。</w:t>
      </w:r>
      <w:r>
        <w:rPr>
          <w:sz w:val="21"/>
        </w:rPr>
        <w:t xml:space="preserve"> </w:t>
      </w:r>
    </w:p>
    <w:p w14:paraId="26F1A167" w14:textId="77777777" w:rsidR="00A71EEF" w:rsidRDefault="0081115D">
      <w:pPr>
        <w:pStyle w:val="a4"/>
        <w:numPr>
          <w:ilvl w:val="2"/>
          <w:numId w:val="193"/>
        </w:numPr>
        <w:tabs>
          <w:tab w:val="left" w:pos="1371"/>
        </w:tabs>
        <w:ind w:left="1370"/>
        <w:rPr>
          <w:sz w:val="21"/>
        </w:rPr>
      </w:pPr>
      <w:r>
        <w:rPr>
          <w:spacing w:val="-3"/>
          <w:sz w:val="21"/>
        </w:rPr>
        <w:t>训练塔内外应设置专用排水设施。</w:t>
      </w:r>
      <w:r>
        <w:rPr>
          <w:sz w:val="21"/>
        </w:rPr>
        <w:t xml:space="preserve"> </w:t>
      </w:r>
    </w:p>
    <w:p w14:paraId="1EC9A4B1" w14:textId="77777777" w:rsidR="00A71EEF" w:rsidRDefault="00A71EEF">
      <w:pPr>
        <w:pStyle w:val="a3"/>
        <w:spacing w:before="12"/>
        <w:rPr>
          <w:sz w:val="17"/>
        </w:rPr>
      </w:pPr>
    </w:p>
    <w:p w14:paraId="38BFDD96" w14:textId="77777777" w:rsidR="00A71EEF" w:rsidRDefault="0081115D">
      <w:pPr>
        <w:pStyle w:val="a4"/>
        <w:numPr>
          <w:ilvl w:val="2"/>
          <w:numId w:val="193"/>
        </w:numPr>
        <w:tabs>
          <w:tab w:val="left" w:pos="1371"/>
        </w:tabs>
        <w:ind w:left="1370"/>
        <w:rPr>
          <w:sz w:val="21"/>
        </w:rPr>
      </w:pPr>
      <w:r>
        <w:rPr>
          <w:spacing w:val="-3"/>
          <w:sz w:val="21"/>
        </w:rPr>
        <w:t>严寒及寒冷地区给排水管道、消防管道应采取防冻措施。</w:t>
      </w:r>
      <w:r>
        <w:rPr>
          <w:sz w:val="21"/>
        </w:rPr>
        <w:t xml:space="preserve"> </w:t>
      </w:r>
    </w:p>
    <w:p w14:paraId="33A4A1AE" w14:textId="77777777" w:rsidR="00A71EEF" w:rsidRDefault="00A71EEF">
      <w:pPr>
        <w:pStyle w:val="a3"/>
        <w:rPr>
          <w:sz w:val="18"/>
        </w:rPr>
      </w:pPr>
    </w:p>
    <w:p w14:paraId="4DDB500D" w14:textId="77777777" w:rsidR="00A71EEF" w:rsidRDefault="0081115D">
      <w:pPr>
        <w:pStyle w:val="a4"/>
        <w:numPr>
          <w:ilvl w:val="2"/>
          <w:numId w:val="193"/>
        </w:numPr>
        <w:tabs>
          <w:tab w:val="left" w:pos="1371"/>
        </w:tabs>
        <w:ind w:left="1370"/>
        <w:rPr>
          <w:sz w:val="21"/>
        </w:rPr>
      </w:pPr>
      <w:r>
        <w:rPr>
          <w:spacing w:val="-3"/>
          <w:sz w:val="21"/>
        </w:rPr>
        <w:t>消防站内宜设置废水收集池，经处理后，达到现行国家排放标准时方可排放。</w:t>
      </w:r>
      <w:r>
        <w:rPr>
          <w:sz w:val="21"/>
        </w:rPr>
        <w:t xml:space="preserve"> </w:t>
      </w:r>
    </w:p>
    <w:p w14:paraId="719AD345" w14:textId="77777777" w:rsidR="00A71EEF" w:rsidRDefault="00A71EEF">
      <w:pPr>
        <w:pStyle w:val="a3"/>
        <w:spacing w:before="2"/>
        <w:rPr>
          <w:sz w:val="18"/>
        </w:rPr>
      </w:pPr>
    </w:p>
    <w:p w14:paraId="5BA7E205" w14:textId="77777777" w:rsidR="00A71EEF" w:rsidRDefault="0081115D">
      <w:pPr>
        <w:pStyle w:val="a4"/>
        <w:numPr>
          <w:ilvl w:val="1"/>
          <w:numId w:val="193"/>
        </w:numPr>
        <w:tabs>
          <w:tab w:val="left" w:pos="1159"/>
        </w:tabs>
        <w:ind w:hanging="319"/>
        <w:rPr>
          <w:sz w:val="21"/>
        </w:rPr>
      </w:pPr>
      <w:r>
        <w:rPr>
          <w:spacing w:val="-3"/>
          <w:sz w:val="21"/>
        </w:rPr>
        <w:t>采暖、通风、空调和防排烟</w:t>
      </w:r>
      <w:r>
        <w:rPr>
          <w:sz w:val="21"/>
        </w:rPr>
        <w:t xml:space="preserve"> </w:t>
      </w:r>
    </w:p>
    <w:p w14:paraId="5296BFA5" w14:textId="77777777" w:rsidR="00A71EEF" w:rsidRDefault="00A71EEF">
      <w:pPr>
        <w:pStyle w:val="a3"/>
        <w:rPr>
          <w:sz w:val="18"/>
        </w:rPr>
      </w:pPr>
    </w:p>
    <w:p w14:paraId="7C42F102" w14:textId="77777777" w:rsidR="00A71EEF" w:rsidRDefault="0081115D">
      <w:pPr>
        <w:pStyle w:val="a4"/>
        <w:numPr>
          <w:ilvl w:val="2"/>
          <w:numId w:val="193"/>
        </w:numPr>
        <w:tabs>
          <w:tab w:val="left" w:pos="1371"/>
        </w:tabs>
        <w:spacing w:line="446" w:lineRule="auto"/>
        <w:ind w:right="1498" w:firstLine="422"/>
        <w:rPr>
          <w:sz w:val="21"/>
        </w:rPr>
      </w:pPr>
      <w:r>
        <w:rPr>
          <w:spacing w:val="-3"/>
          <w:sz w:val="21"/>
        </w:rPr>
        <w:t>消防站的建筑用房应优先采用自然通风消除室内余热、余湿，并应满足室内卫生要求，当自然通风不能满足要求时，宜采用机械通风。</w:t>
      </w:r>
      <w:r>
        <w:rPr>
          <w:spacing w:val="-3"/>
          <w:sz w:val="21"/>
        </w:rPr>
        <w:t xml:space="preserve"> </w:t>
      </w:r>
    </w:p>
    <w:p w14:paraId="2F24D24A" w14:textId="77777777" w:rsidR="00A71EEF" w:rsidRDefault="0081115D">
      <w:pPr>
        <w:pStyle w:val="a4"/>
        <w:numPr>
          <w:ilvl w:val="2"/>
          <w:numId w:val="193"/>
        </w:numPr>
        <w:tabs>
          <w:tab w:val="left" w:pos="1371"/>
        </w:tabs>
        <w:spacing w:line="446" w:lineRule="auto"/>
        <w:ind w:right="1604" w:firstLine="422"/>
        <w:rPr>
          <w:sz w:val="21"/>
        </w:rPr>
      </w:pPr>
      <w:r>
        <w:rPr>
          <w:spacing w:val="-3"/>
          <w:sz w:val="21"/>
        </w:rPr>
        <w:t>位于采暖地区的消防站应按国家现行相关标准的规定设置采暖设施，并应优先使用城市热网或集中供暖。</w:t>
      </w:r>
      <w:r>
        <w:rPr>
          <w:sz w:val="21"/>
        </w:rPr>
        <w:t xml:space="preserve"> </w:t>
      </w:r>
    </w:p>
    <w:p w14:paraId="32A41E66" w14:textId="77777777" w:rsidR="00A71EEF" w:rsidRDefault="0081115D">
      <w:pPr>
        <w:pStyle w:val="a4"/>
        <w:numPr>
          <w:ilvl w:val="2"/>
          <w:numId w:val="193"/>
        </w:numPr>
        <w:tabs>
          <w:tab w:val="left" w:pos="1371"/>
        </w:tabs>
        <w:spacing w:line="446" w:lineRule="auto"/>
        <w:ind w:right="1553" w:firstLine="422"/>
        <w:rPr>
          <w:sz w:val="21"/>
        </w:rPr>
      </w:pPr>
      <w:r>
        <w:rPr>
          <w:spacing w:val="-6"/>
          <w:sz w:val="21"/>
        </w:rPr>
        <w:t>消防车库的室内温度不宜低于</w:t>
      </w:r>
      <w:r>
        <w:rPr>
          <w:spacing w:val="-6"/>
          <w:sz w:val="21"/>
        </w:rPr>
        <w:t xml:space="preserve"> </w:t>
      </w:r>
      <w:r>
        <w:rPr>
          <w:sz w:val="21"/>
        </w:rPr>
        <w:t>10</w:t>
      </w:r>
      <w:r>
        <w:rPr>
          <w:spacing w:val="-3"/>
          <w:sz w:val="21"/>
        </w:rPr>
        <w:t>℃</w:t>
      </w:r>
      <w:r>
        <w:rPr>
          <w:spacing w:val="-3"/>
          <w:sz w:val="21"/>
        </w:rPr>
        <w:t>。非采暖地区的消防车库，应根据需要采取防冻措施。</w:t>
      </w:r>
      <w:r>
        <w:rPr>
          <w:sz w:val="21"/>
        </w:rPr>
        <w:t xml:space="preserve"> </w:t>
      </w:r>
    </w:p>
    <w:p w14:paraId="5D2F0DC3" w14:textId="77777777" w:rsidR="00A71EEF" w:rsidRDefault="0081115D">
      <w:pPr>
        <w:pStyle w:val="a4"/>
        <w:numPr>
          <w:ilvl w:val="2"/>
          <w:numId w:val="193"/>
        </w:numPr>
        <w:tabs>
          <w:tab w:val="left" w:pos="1371"/>
        </w:tabs>
        <w:spacing w:line="446" w:lineRule="auto"/>
        <w:ind w:right="1553" w:firstLine="422"/>
        <w:rPr>
          <w:sz w:val="21"/>
        </w:rPr>
      </w:pPr>
      <w:r>
        <w:rPr>
          <w:spacing w:val="-7"/>
          <w:sz w:val="21"/>
        </w:rPr>
        <w:t>最热月平均温度超过</w:t>
      </w:r>
      <w:r>
        <w:rPr>
          <w:spacing w:val="-7"/>
          <w:sz w:val="21"/>
        </w:rPr>
        <w:t xml:space="preserve"> </w:t>
      </w:r>
      <w:r>
        <w:rPr>
          <w:sz w:val="21"/>
        </w:rPr>
        <w:t>25</w:t>
      </w:r>
      <w:r>
        <w:rPr>
          <w:spacing w:val="-3"/>
          <w:sz w:val="21"/>
        </w:rPr>
        <w:t>℃</w:t>
      </w:r>
      <w:r>
        <w:rPr>
          <w:spacing w:val="-3"/>
          <w:sz w:val="21"/>
        </w:rPr>
        <w:t>地区消防站的备勤室、餐厅和通信室、体能训练室等宜设空调等降温设施或预留安装空调等降温设施的位置。</w:t>
      </w:r>
      <w:r>
        <w:rPr>
          <w:spacing w:val="-3"/>
          <w:sz w:val="21"/>
        </w:rPr>
        <w:t xml:space="preserve"> </w:t>
      </w:r>
    </w:p>
    <w:p w14:paraId="712FE274" w14:textId="77777777" w:rsidR="00A71EEF" w:rsidRDefault="0081115D">
      <w:pPr>
        <w:pStyle w:val="a4"/>
        <w:numPr>
          <w:ilvl w:val="2"/>
          <w:numId w:val="193"/>
        </w:numPr>
        <w:tabs>
          <w:tab w:val="left" w:pos="1371"/>
        </w:tabs>
        <w:spacing w:line="446" w:lineRule="auto"/>
        <w:ind w:right="1551" w:firstLine="422"/>
        <w:rPr>
          <w:sz w:val="21"/>
        </w:rPr>
      </w:pPr>
      <w:r>
        <w:rPr>
          <w:spacing w:val="-3"/>
          <w:sz w:val="21"/>
        </w:rPr>
        <w:t>消防站建筑的防排烟设计应符合现行国家标准《建筑设计防火规范》</w:t>
      </w:r>
      <w:r>
        <w:rPr>
          <w:sz w:val="21"/>
        </w:rPr>
        <w:t>GB</w:t>
      </w:r>
      <w:r>
        <w:rPr>
          <w:spacing w:val="14"/>
          <w:sz w:val="21"/>
        </w:rPr>
        <w:t xml:space="preserve"> </w:t>
      </w:r>
      <w:r>
        <w:rPr>
          <w:sz w:val="21"/>
        </w:rPr>
        <w:t>50016</w:t>
      </w:r>
      <w:r>
        <w:rPr>
          <w:spacing w:val="-16"/>
          <w:sz w:val="21"/>
        </w:rPr>
        <w:t xml:space="preserve"> </w:t>
      </w:r>
      <w:r>
        <w:rPr>
          <w:spacing w:val="-16"/>
          <w:sz w:val="21"/>
        </w:rPr>
        <w:t>的有</w:t>
      </w:r>
      <w:r>
        <w:rPr>
          <w:spacing w:val="-6"/>
          <w:sz w:val="21"/>
        </w:rPr>
        <w:t>关规定。</w:t>
      </w:r>
      <w:r>
        <w:rPr>
          <w:sz w:val="21"/>
        </w:rPr>
        <w:t xml:space="preserve"> </w:t>
      </w:r>
    </w:p>
    <w:p w14:paraId="550F7C91" w14:textId="77777777" w:rsidR="00A71EEF" w:rsidRDefault="0081115D">
      <w:pPr>
        <w:pStyle w:val="a4"/>
        <w:numPr>
          <w:ilvl w:val="1"/>
          <w:numId w:val="193"/>
        </w:numPr>
        <w:tabs>
          <w:tab w:val="left" w:pos="1159"/>
        </w:tabs>
        <w:spacing w:line="267" w:lineRule="exact"/>
        <w:ind w:hanging="319"/>
        <w:rPr>
          <w:b/>
          <w:sz w:val="21"/>
        </w:rPr>
      </w:pPr>
      <w:r>
        <w:rPr>
          <w:spacing w:val="-3"/>
          <w:sz w:val="21"/>
        </w:rPr>
        <w:t>防雷与接地</w:t>
      </w:r>
      <w:r>
        <w:rPr>
          <w:b/>
          <w:w w:val="99"/>
          <w:sz w:val="21"/>
        </w:rPr>
        <w:t xml:space="preserve"> </w:t>
      </w:r>
    </w:p>
    <w:p w14:paraId="4E2AAD67" w14:textId="77777777" w:rsidR="00A71EEF" w:rsidRDefault="00A71EEF">
      <w:pPr>
        <w:pStyle w:val="a3"/>
        <w:spacing w:before="12"/>
        <w:rPr>
          <w:b/>
          <w:sz w:val="17"/>
        </w:rPr>
      </w:pPr>
    </w:p>
    <w:p w14:paraId="564B2361" w14:textId="77777777" w:rsidR="00A71EEF" w:rsidRDefault="0081115D">
      <w:pPr>
        <w:pStyle w:val="a4"/>
        <w:numPr>
          <w:ilvl w:val="2"/>
          <w:numId w:val="193"/>
        </w:numPr>
        <w:tabs>
          <w:tab w:val="left" w:pos="1371"/>
        </w:tabs>
        <w:ind w:left="1370"/>
        <w:rPr>
          <w:sz w:val="21"/>
        </w:rPr>
      </w:pPr>
      <w:r>
        <w:rPr>
          <w:spacing w:val="-3"/>
          <w:sz w:val="21"/>
        </w:rPr>
        <w:t>消防站建筑与设施的防雷应符合现行国家标准《建筑物防雷设计规范》</w:t>
      </w:r>
      <w:r>
        <w:rPr>
          <w:sz w:val="21"/>
        </w:rPr>
        <w:t>GB</w:t>
      </w:r>
      <w:r>
        <w:rPr>
          <w:spacing w:val="2"/>
          <w:sz w:val="21"/>
        </w:rPr>
        <w:t xml:space="preserve"> </w:t>
      </w:r>
      <w:r>
        <w:rPr>
          <w:sz w:val="21"/>
        </w:rPr>
        <w:t>50057</w:t>
      </w:r>
      <w:r>
        <w:rPr>
          <w:spacing w:val="-26"/>
          <w:sz w:val="21"/>
        </w:rPr>
        <w:t xml:space="preserve"> </w:t>
      </w:r>
      <w:r>
        <w:rPr>
          <w:spacing w:val="-26"/>
          <w:sz w:val="21"/>
        </w:rPr>
        <w:t>和</w:t>
      </w:r>
    </w:p>
    <w:p w14:paraId="1B992DB6" w14:textId="77777777" w:rsidR="00A71EEF" w:rsidRDefault="00A71EEF">
      <w:pPr>
        <w:pStyle w:val="a3"/>
        <w:rPr>
          <w:sz w:val="18"/>
        </w:rPr>
      </w:pPr>
    </w:p>
    <w:p w14:paraId="5E7B610D" w14:textId="77777777" w:rsidR="00A71EEF" w:rsidRDefault="0081115D">
      <w:pPr>
        <w:pStyle w:val="a3"/>
        <w:spacing w:line="446" w:lineRule="auto"/>
        <w:ind w:left="840" w:right="4395" w:hanging="423"/>
      </w:pPr>
      <w:r>
        <w:rPr>
          <w:spacing w:val="-3"/>
        </w:rPr>
        <w:t>《建筑物电子信息系统防雷设计规范》</w:t>
      </w:r>
      <w:r>
        <w:t>GB 50343</w:t>
      </w:r>
      <w:r>
        <w:rPr>
          <w:spacing w:val="-9"/>
        </w:rPr>
        <w:t xml:space="preserve"> </w:t>
      </w:r>
      <w:r>
        <w:rPr>
          <w:spacing w:val="-9"/>
        </w:rPr>
        <w:t>的有关规定。</w:t>
      </w:r>
      <w:r>
        <w:rPr>
          <w:b/>
        </w:rPr>
        <w:t>6.3.2</w:t>
      </w:r>
      <w:r>
        <w:rPr>
          <w:b/>
          <w:spacing w:val="104"/>
        </w:rPr>
        <w:t xml:space="preserve"> </w:t>
      </w:r>
      <w:r>
        <w:rPr>
          <w:spacing w:val="-3"/>
        </w:rPr>
        <w:t>消防站的接地应符合下列要求：</w:t>
      </w:r>
      <w:r>
        <w:t xml:space="preserve"> </w:t>
      </w:r>
    </w:p>
    <w:p w14:paraId="3E4729EE" w14:textId="77777777" w:rsidR="00A71EEF" w:rsidRDefault="0081115D">
      <w:pPr>
        <w:pStyle w:val="a3"/>
        <w:spacing w:line="446" w:lineRule="auto"/>
        <w:ind w:left="418" w:right="1609" w:firstLine="419"/>
      </w:pPr>
      <w:r>
        <w:t>交流功能接地、保护接地、直流功能接地、防雷接地等各种接地宜共用接地网，接地电阻应按其中最小值确定；</w:t>
      </w:r>
      <w:r>
        <w:t xml:space="preserve"> </w:t>
      </w:r>
    </w:p>
    <w:p w14:paraId="4B20731D" w14:textId="77777777" w:rsidR="00A71EEF" w:rsidRDefault="0081115D">
      <w:pPr>
        <w:pStyle w:val="a3"/>
        <w:spacing w:line="267" w:lineRule="exact"/>
        <w:ind w:left="838"/>
      </w:pPr>
      <w:r>
        <w:t>当接</w:t>
      </w:r>
      <w:r>
        <w:t>地采用分设方式时，各接地系统的接地电阻应按设备要求的最小值确定。</w:t>
      </w:r>
      <w:r>
        <w:t xml:space="preserve"> </w:t>
      </w:r>
    </w:p>
    <w:p w14:paraId="36ED0FB4" w14:textId="77777777" w:rsidR="00A71EEF" w:rsidRDefault="00A71EEF">
      <w:pPr>
        <w:pStyle w:val="a3"/>
        <w:spacing w:before="2"/>
        <w:rPr>
          <w:sz w:val="18"/>
        </w:rPr>
      </w:pPr>
    </w:p>
    <w:p w14:paraId="3F804302" w14:textId="77777777" w:rsidR="00A71EEF" w:rsidRDefault="0081115D">
      <w:pPr>
        <w:pStyle w:val="a3"/>
        <w:spacing w:line="446" w:lineRule="auto"/>
        <w:ind w:left="418" w:right="1604" w:firstLine="422"/>
      </w:pPr>
      <w:r>
        <w:rPr>
          <w:b/>
        </w:rPr>
        <w:t xml:space="preserve">6.3.3 </w:t>
      </w:r>
      <w:r>
        <w:t>建筑物内应做总等电位联结，进出建筑物的金属管道、电缆的金属外皮和电缆的金属保护导管、配电设备的外壳等均应与总等电位端子箱连接。</w:t>
      </w:r>
      <w:r>
        <w:t xml:space="preserve"> </w:t>
      </w:r>
    </w:p>
    <w:p w14:paraId="36977CAB" w14:textId="77777777" w:rsidR="00A71EEF" w:rsidRDefault="0081115D">
      <w:pPr>
        <w:pStyle w:val="a4"/>
        <w:numPr>
          <w:ilvl w:val="1"/>
          <w:numId w:val="193"/>
        </w:numPr>
        <w:tabs>
          <w:tab w:val="left" w:pos="1159"/>
        </w:tabs>
        <w:spacing w:line="267" w:lineRule="exact"/>
        <w:ind w:hanging="319"/>
        <w:rPr>
          <w:sz w:val="21"/>
        </w:rPr>
      </w:pPr>
      <w:r>
        <w:rPr>
          <w:spacing w:val="-3"/>
          <w:sz w:val="21"/>
        </w:rPr>
        <w:t>综合布线</w:t>
      </w:r>
      <w:r>
        <w:rPr>
          <w:sz w:val="21"/>
        </w:rPr>
        <w:t xml:space="preserve"> </w:t>
      </w:r>
    </w:p>
    <w:p w14:paraId="6C9676E6" w14:textId="77777777" w:rsidR="00A71EEF" w:rsidRDefault="00A71EEF">
      <w:pPr>
        <w:pStyle w:val="a3"/>
        <w:spacing w:before="2"/>
        <w:rPr>
          <w:sz w:val="18"/>
        </w:rPr>
      </w:pPr>
    </w:p>
    <w:p w14:paraId="635C3A08" w14:textId="77777777" w:rsidR="00A71EEF" w:rsidRDefault="0081115D">
      <w:pPr>
        <w:pStyle w:val="a4"/>
        <w:numPr>
          <w:ilvl w:val="2"/>
          <w:numId w:val="193"/>
        </w:numPr>
        <w:tabs>
          <w:tab w:val="left" w:pos="1371"/>
        </w:tabs>
        <w:ind w:left="1370"/>
        <w:rPr>
          <w:sz w:val="21"/>
        </w:rPr>
      </w:pPr>
      <w:r>
        <w:rPr>
          <w:spacing w:val="-3"/>
          <w:sz w:val="21"/>
        </w:rPr>
        <w:t>消防站宜采用光纤和铜缆同时接入的通信方式。</w:t>
      </w:r>
      <w:r>
        <w:rPr>
          <w:sz w:val="21"/>
        </w:rPr>
        <w:t xml:space="preserve"> </w:t>
      </w:r>
    </w:p>
    <w:p w14:paraId="642B3512" w14:textId="77777777" w:rsidR="00A71EEF" w:rsidRDefault="00A71EEF">
      <w:pPr>
        <w:rPr>
          <w:sz w:val="21"/>
        </w:rPr>
        <w:sectPr w:rsidR="00A71EEF">
          <w:pgSz w:w="11910" w:h="16850"/>
          <w:pgMar w:top="1220" w:right="0" w:bottom="1420" w:left="1260" w:header="0" w:footer="1239" w:gutter="0"/>
          <w:cols w:space="720"/>
        </w:sectPr>
      </w:pPr>
    </w:p>
    <w:p w14:paraId="689FF084" w14:textId="77777777" w:rsidR="00A71EEF" w:rsidRDefault="0081115D">
      <w:pPr>
        <w:pStyle w:val="a4"/>
        <w:numPr>
          <w:ilvl w:val="2"/>
          <w:numId w:val="193"/>
        </w:numPr>
        <w:tabs>
          <w:tab w:val="left" w:pos="1371"/>
        </w:tabs>
        <w:spacing w:before="47" w:line="446" w:lineRule="auto"/>
        <w:ind w:right="1553" w:firstLine="422"/>
        <w:rPr>
          <w:sz w:val="21"/>
        </w:rPr>
      </w:pPr>
      <w:r>
        <w:rPr>
          <w:spacing w:val="-3"/>
          <w:sz w:val="21"/>
        </w:rPr>
        <w:t>消防站的布线应符合现行国家标准《综合布线系统工程设计规范》</w:t>
      </w:r>
      <w:r>
        <w:rPr>
          <w:sz w:val="21"/>
        </w:rPr>
        <w:t>GB</w:t>
      </w:r>
      <w:r>
        <w:rPr>
          <w:spacing w:val="11"/>
          <w:sz w:val="21"/>
        </w:rPr>
        <w:t xml:space="preserve"> </w:t>
      </w:r>
      <w:r>
        <w:rPr>
          <w:sz w:val="21"/>
        </w:rPr>
        <w:t>50311</w:t>
      </w:r>
      <w:r>
        <w:rPr>
          <w:spacing w:val="-13"/>
          <w:sz w:val="21"/>
        </w:rPr>
        <w:t xml:space="preserve"> </w:t>
      </w:r>
      <w:r>
        <w:rPr>
          <w:spacing w:val="-13"/>
          <w:sz w:val="21"/>
        </w:rPr>
        <w:t>的有关</w:t>
      </w:r>
      <w:r>
        <w:rPr>
          <w:spacing w:val="-10"/>
          <w:sz w:val="21"/>
        </w:rPr>
        <w:t>规定。</w:t>
      </w:r>
      <w:r>
        <w:rPr>
          <w:sz w:val="21"/>
        </w:rPr>
        <w:t xml:space="preserve"> </w:t>
      </w:r>
    </w:p>
    <w:p w14:paraId="5ADAF741" w14:textId="77777777" w:rsidR="00A71EEF" w:rsidRDefault="0081115D">
      <w:pPr>
        <w:pStyle w:val="a4"/>
        <w:numPr>
          <w:ilvl w:val="1"/>
          <w:numId w:val="193"/>
        </w:numPr>
        <w:tabs>
          <w:tab w:val="left" w:pos="1159"/>
        </w:tabs>
        <w:spacing w:line="267" w:lineRule="exact"/>
        <w:ind w:hanging="319"/>
        <w:rPr>
          <w:b/>
          <w:sz w:val="21"/>
        </w:rPr>
      </w:pPr>
      <w:r>
        <w:rPr>
          <w:spacing w:val="-3"/>
          <w:sz w:val="21"/>
        </w:rPr>
        <w:t>电气</w:t>
      </w:r>
      <w:r>
        <w:rPr>
          <w:b/>
          <w:w w:val="99"/>
          <w:sz w:val="21"/>
        </w:rPr>
        <w:t xml:space="preserve"> </w:t>
      </w:r>
    </w:p>
    <w:p w14:paraId="1D4C69C2" w14:textId="77777777" w:rsidR="00A71EEF" w:rsidRDefault="00A71EEF">
      <w:pPr>
        <w:pStyle w:val="a3"/>
        <w:spacing w:before="2"/>
        <w:rPr>
          <w:b/>
          <w:sz w:val="18"/>
        </w:rPr>
      </w:pPr>
    </w:p>
    <w:p w14:paraId="1781F598" w14:textId="77777777" w:rsidR="00A71EEF" w:rsidRDefault="0081115D">
      <w:pPr>
        <w:pStyle w:val="a4"/>
        <w:numPr>
          <w:ilvl w:val="2"/>
          <w:numId w:val="193"/>
        </w:numPr>
        <w:tabs>
          <w:tab w:val="left" w:pos="1371"/>
        </w:tabs>
        <w:spacing w:line="446" w:lineRule="auto"/>
        <w:ind w:right="1604" w:firstLine="422"/>
        <w:rPr>
          <w:sz w:val="21"/>
        </w:rPr>
      </w:pPr>
      <w:r>
        <w:rPr>
          <w:spacing w:val="-3"/>
          <w:sz w:val="21"/>
        </w:rPr>
        <w:t>消防站的供电负荷等级不宜低于二级，并应设置配电室和备用电源。备用电源应满足消防站正常运转所需重要设备的用电需求。</w:t>
      </w:r>
      <w:r>
        <w:rPr>
          <w:sz w:val="21"/>
        </w:rPr>
        <w:t xml:space="preserve"> </w:t>
      </w:r>
    </w:p>
    <w:p w14:paraId="6FB791F2" w14:textId="77777777" w:rsidR="00A71EEF" w:rsidRDefault="0081115D">
      <w:pPr>
        <w:pStyle w:val="a4"/>
        <w:numPr>
          <w:ilvl w:val="2"/>
          <w:numId w:val="193"/>
        </w:numPr>
        <w:tabs>
          <w:tab w:val="left" w:pos="1371"/>
        </w:tabs>
        <w:spacing w:line="267" w:lineRule="exact"/>
        <w:ind w:left="1370"/>
        <w:rPr>
          <w:sz w:val="21"/>
        </w:rPr>
      </w:pPr>
      <w:r>
        <w:rPr>
          <w:spacing w:val="-3"/>
          <w:sz w:val="21"/>
        </w:rPr>
        <w:t>消防站应设置正常照明和应急照明两种系统，并应符合下列规定：</w:t>
      </w:r>
      <w:r>
        <w:rPr>
          <w:sz w:val="21"/>
        </w:rPr>
        <w:t xml:space="preserve"> </w:t>
      </w:r>
    </w:p>
    <w:p w14:paraId="7066E6EC" w14:textId="77777777" w:rsidR="00A71EEF" w:rsidRDefault="00A71EEF">
      <w:pPr>
        <w:pStyle w:val="a3"/>
        <w:spacing w:before="2"/>
        <w:rPr>
          <w:sz w:val="18"/>
        </w:rPr>
      </w:pPr>
    </w:p>
    <w:p w14:paraId="36B5EF3C" w14:textId="77777777" w:rsidR="00A71EEF" w:rsidRDefault="0081115D">
      <w:pPr>
        <w:pStyle w:val="a3"/>
        <w:spacing w:line="446" w:lineRule="auto"/>
        <w:ind w:left="418" w:right="1497" w:firstLine="419"/>
      </w:pPr>
      <w:r>
        <w:t>消防站主要用房及场地的照度标准应符合现行同家标准《建筑照明设计标准》</w:t>
      </w:r>
      <w:r>
        <w:t xml:space="preserve">GB 50034 </w:t>
      </w:r>
      <w:r>
        <w:t>的有关规定；</w:t>
      </w:r>
      <w:r>
        <w:t xml:space="preserve"> </w:t>
      </w:r>
    </w:p>
    <w:p w14:paraId="7CA7A23E" w14:textId="77777777" w:rsidR="00A71EEF" w:rsidRDefault="0081115D">
      <w:pPr>
        <w:pStyle w:val="a3"/>
        <w:spacing w:line="446" w:lineRule="auto"/>
        <w:ind w:left="418" w:right="1609" w:firstLine="419"/>
      </w:pPr>
      <w:r>
        <w:t>备勤室、车库、通信室、体能训练室、会议室、图书阅览室、餐厅及公共通道等应设置应急照明；</w:t>
      </w:r>
      <w:r>
        <w:t xml:space="preserve">  </w:t>
      </w:r>
      <w:r>
        <w:t xml:space="preserve"> </w:t>
      </w:r>
      <w:r>
        <w:t xml:space="preserve"> </w:t>
      </w:r>
      <w:r>
        <w:t xml:space="preserve"> </w:t>
      </w:r>
      <w:r>
        <w:t xml:space="preserve"> </w:t>
      </w:r>
      <w:r>
        <w:t xml:space="preserve"> </w:t>
      </w:r>
    </w:p>
    <w:p w14:paraId="46080F5F" w14:textId="77777777" w:rsidR="00A71EEF" w:rsidRDefault="0081115D">
      <w:pPr>
        <w:pStyle w:val="a3"/>
        <w:ind w:left="838"/>
      </w:pPr>
      <w:r>
        <w:t>公共走道、楼梯间应设疏散指示灯和出口指示灯；</w:t>
      </w:r>
      <w:r>
        <w:t xml:space="preserve"> </w:t>
      </w:r>
    </w:p>
    <w:p w14:paraId="3E428A40" w14:textId="77777777" w:rsidR="00A71EEF" w:rsidRDefault="00A71EEF">
      <w:pPr>
        <w:pStyle w:val="a3"/>
        <w:spacing w:before="10"/>
        <w:rPr>
          <w:sz w:val="17"/>
        </w:rPr>
      </w:pPr>
    </w:p>
    <w:p w14:paraId="19BE91D1" w14:textId="77777777" w:rsidR="00A71EEF" w:rsidRDefault="0081115D">
      <w:pPr>
        <w:pStyle w:val="a3"/>
        <w:spacing w:line="446" w:lineRule="auto"/>
        <w:ind w:left="838" w:right="4237"/>
      </w:pPr>
      <w:r>
        <w:t>通向车库通道的所有照明灯具在报警响起时应能自动开启；</w:t>
      </w:r>
      <w:r>
        <w:t xml:space="preserve"> </w:t>
      </w:r>
      <w:r>
        <w:t>应使用高效能灯具及定时钟或光电开关。</w:t>
      </w:r>
      <w:r>
        <w:t xml:space="preserve"> </w:t>
      </w:r>
    </w:p>
    <w:p w14:paraId="3EECCD3A" w14:textId="77777777" w:rsidR="00A71EEF" w:rsidRDefault="0081115D">
      <w:pPr>
        <w:pStyle w:val="a4"/>
        <w:numPr>
          <w:ilvl w:val="2"/>
          <w:numId w:val="193"/>
        </w:numPr>
        <w:tabs>
          <w:tab w:val="left" w:pos="1371"/>
        </w:tabs>
        <w:spacing w:before="1" w:line="446" w:lineRule="auto"/>
        <w:ind w:right="1604" w:firstLine="422"/>
        <w:rPr>
          <w:sz w:val="21"/>
        </w:rPr>
      </w:pPr>
      <w:r>
        <w:rPr>
          <w:spacing w:val="-3"/>
          <w:sz w:val="21"/>
        </w:rPr>
        <w:t>消防站内应设置有线通信、电视、计算机网络、视频监控和广播系统，并应符合下列规定：</w:t>
      </w:r>
      <w:r>
        <w:rPr>
          <w:sz w:val="21"/>
        </w:rPr>
        <w:t xml:space="preserve"> </w:t>
      </w:r>
    </w:p>
    <w:p w14:paraId="1D89FCCB" w14:textId="77777777" w:rsidR="00A71EEF" w:rsidRDefault="0081115D">
      <w:pPr>
        <w:pStyle w:val="a3"/>
        <w:ind w:left="838"/>
      </w:pPr>
      <w:r>
        <w:t>宜在会议室、通信室、财务室、干部备勤室、心理辅导室等设置电话插口；</w:t>
      </w:r>
      <w:r>
        <w:t xml:space="preserve"> </w:t>
      </w:r>
    </w:p>
    <w:p w14:paraId="51B3BF9A" w14:textId="77777777" w:rsidR="00A71EEF" w:rsidRDefault="00A71EEF">
      <w:pPr>
        <w:pStyle w:val="a3"/>
        <w:spacing w:before="12"/>
        <w:rPr>
          <w:sz w:val="17"/>
        </w:rPr>
      </w:pPr>
    </w:p>
    <w:p w14:paraId="77CA5833" w14:textId="77777777" w:rsidR="00A71EEF" w:rsidRDefault="0081115D">
      <w:pPr>
        <w:pStyle w:val="a3"/>
        <w:ind w:left="838"/>
      </w:pPr>
      <w:r>
        <w:t>宜在餐厅、会议室、干部备勤室、家属探亲用房、俱乐部等设置有线电视接收点；</w:t>
      </w:r>
      <w:r>
        <w:t xml:space="preserve"> </w:t>
      </w:r>
    </w:p>
    <w:p w14:paraId="28A693E4" w14:textId="77777777" w:rsidR="00A71EEF" w:rsidRDefault="00A71EEF">
      <w:pPr>
        <w:pStyle w:val="a3"/>
        <w:spacing w:before="12"/>
        <w:rPr>
          <w:sz w:val="17"/>
        </w:rPr>
      </w:pPr>
    </w:p>
    <w:p w14:paraId="198452F2" w14:textId="77777777" w:rsidR="00A71EEF" w:rsidRDefault="0081115D">
      <w:pPr>
        <w:pStyle w:val="a3"/>
        <w:spacing w:line="446" w:lineRule="auto"/>
        <w:ind w:left="418" w:right="1609" w:firstLine="419"/>
      </w:pPr>
      <w:r>
        <w:t>宜在会议室、通信室、干部备勤室、家属探亲用房、俱乐部、灭火救援研讨室、电脑室等设置计算机网络接口；</w:t>
      </w:r>
      <w:r>
        <w:t xml:space="preserve"> </w:t>
      </w:r>
    </w:p>
    <w:p w14:paraId="046EBB79" w14:textId="77777777" w:rsidR="00A71EEF" w:rsidRDefault="0081115D">
      <w:pPr>
        <w:pStyle w:val="a3"/>
        <w:spacing w:before="1"/>
        <w:ind w:left="838"/>
      </w:pPr>
      <w:r>
        <w:t>火警广播宜设置在各室内及走道内。</w:t>
      </w:r>
      <w:r>
        <w:t xml:space="preserve"> </w:t>
      </w:r>
    </w:p>
    <w:p w14:paraId="271AD538" w14:textId="77777777" w:rsidR="00A71EEF" w:rsidRDefault="00A71EEF">
      <w:pPr>
        <w:pStyle w:val="a3"/>
        <w:spacing w:before="12"/>
        <w:rPr>
          <w:sz w:val="17"/>
        </w:rPr>
      </w:pPr>
    </w:p>
    <w:p w14:paraId="4B728B07" w14:textId="77777777" w:rsidR="00A71EEF" w:rsidRDefault="0081115D">
      <w:pPr>
        <w:pStyle w:val="a4"/>
        <w:numPr>
          <w:ilvl w:val="2"/>
          <w:numId w:val="193"/>
        </w:numPr>
        <w:tabs>
          <w:tab w:val="left" w:pos="1371"/>
        </w:tabs>
        <w:ind w:left="1370"/>
        <w:rPr>
          <w:sz w:val="21"/>
        </w:rPr>
      </w:pPr>
      <w:r>
        <w:rPr>
          <w:spacing w:val="-3"/>
          <w:sz w:val="21"/>
        </w:rPr>
        <w:t>消防站内必须设有警铃，并应在车库大门一侧安装</w:t>
      </w:r>
      <w:r>
        <w:rPr>
          <w:spacing w:val="-3"/>
          <w:sz w:val="21"/>
        </w:rPr>
        <w:t>车辆出动的警灯和警铃。</w:t>
      </w:r>
      <w:r>
        <w:rPr>
          <w:spacing w:val="-3"/>
          <w:sz w:val="21"/>
        </w:rPr>
        <w:t xml:space="preserve"> </w:t>
      </w:r>
    </w:p>
    <w:p w14:paraId="044C628A" w14:textId="77777777" w:rsidR="00A71EEF" w:rsidRDefault="00A71EEF">
      <w:pPr>
        <w:pStyle w:val="a3"/>
        <w:spacing w:before="2"/>
        <w:rPr>
          <w:sz w:val="18"/>
        </w:rPr>
      </w:pPr>
    </w:p>
    <w:p w14:paraId="016CF731" w14:textId="77777777" w:rsidR="00A71EEF" w:rsidRDefault="0081115D">
      <w:pPr>
        <w:pStyle w:val="a4"/>
        <w:numPr>
          <w:ilvl w:val="2"/>
          <w:numId w:val="193"/>
        </w:numPr>
        <w:tabs>
          <w:tab w:val="left" w:pos="1371"/>
        </w:tabs>
        <w:ind w:left="1370"/>
        <w:rPr>
          <w:sz w:val="21"/>
        </w:rPr>
      </w:pPr>
      <w:r>
        <w:rPr>
          <w:spacing w:val="-3"/>
          <w:sz w:val="21"/>
        </w:rPr>
        <w:t>消防站宜在消防车主出入口、操场、通信室、岗亭等处设视频监控终端。</w:t>
      </w:r>
      <w:r>
        <w:rPr>
          <w:spacing w:val="-3"/>
          <w:sz w:val="21"/>
        </w:rPr>
        <w:t xml:space="preserve"> </w:t>
      </w:r>
    </w:p>
    <w:p w14:paraId="4C53C8F9" w14:textId="77777777" w:rsidR="00A71EEF" w:rsidRDefault="00A71EEF">
      <w:pPr>
        <w:pStyle w:val="a3"/>
        <w:rPr>
          <w:sz w:val="20"/>
        </w:rPr>
      </w:pPr>
    </w:p>
    <w:p w14:paraId="4551DECF" w14:textId="77777777" w:rsidR="00A71EEF" w:rsidRDefault="00A71EEF">
      <w:pPr>
        <w:pStyle w:val="a3"/>
        <w:rPr>
          <w:sz w:val="20"/>
        </w:rPr>
      </w:pPr>
    </w:p>
    <w:p w14:paraId="70DD9525" w14:textId="77777777" w:rsidR="00A71EEF" w:rsidRDefault="00A71EEF">
      <w:pPr>
        <w:pStyle w:val="a3"/>
        <w:rPr>
          <w:sz w:val="20"/>
        </w:rPr>
      </w:pPr>
    </w:p>
    <w:p w14:paraId="7FAFA67F" w14:textId="77777777" w:rsidR="00A71EEF" w:rsidRDefault="00A71EEF">
      <w:pPr>
        <w:pStyle w:val="a3"/>
        <w:rPr>
          <w:sz w:val="20"/>
        </w:rPr>
      </w:pPr>
    </w:p>
    <w:p w14:paraId="1093524C" w14:textId="77777777" w:rsidR="00A71EEF" w:rsidRDefault="00A71EEF">
      <w:pPr>
        <w:pStyle w:val="a3"/>
        <w:rPr>
          <w:sz w:val="20"/>
        </w:rPr>
      </w:pPr>
    </w:p>
    <w:p w14:paraId="7EC8E055" w14:textId="77777777" w:rsidR="00A71EEF" w:rsidRDefault="00A71EEF">
      <w:pPr>
        <w:pStyle w:val="a3"/>
        <w:rPr>
          <w:sz w:val="20"/>
        </w:rPr>
      </w:pPr>
    </w:p>
    <w:p w14:paraId="7B531BF4" w14:textId="77777777" w:rsidR="00A71EEF" w:rsidRDefault="00A71EEF">
      <w:pPr>
        <w:pStyle w:val="a3"/>
        <w:rPr>
          <w:sz w:val="20"/>
        </w:rPr>
      </w:pPr>
    </w:p>
    <w:p w14:paraId="3E64623E" w14:textId="77777777" w:rsidR="00A71EEF" w:rsidRDefault="00A71EEF">
      <w:pPr>
        <w:pStyle w:val="a3"/>
        <w:rPr>
          <w:sz w:val="20"/>
        </w:rPr>
      </w:pPr>
    </w:p>
    <w:p w14:paraId="2C19AF14" w14:textId="77777777" w:rsidR="00A71EEF" w:rsidRDefault="00A71EEF">
      <w:pPr>
        <w:pStyle w:val="a3"/>
        <w:rPr>
          <w:sz w:val="20"/>
        </w:rPr>
      </w:pPr>
    </w:p>
    <w:p w14:paraId="705E61D6" w14:textId="77777777" w:rsidR="00A71EEF" w:rsidRDefault="00A71EEF">
      <w:pPr>
        <w:pStyle w:val="a3"/>
        <w:spacing w:before="7"/>
        <w:rPr>
          <w:sz w:val="27"/>
        </w:rPr>
      </w:pPr>
    </w:p>
    <w:p w14:paraId="6FDC4B32" w14:textId="77777777" w:rsidR="00A71EEF" w:rsidRDefault="0081115D">
      <w:pPr>
        <w:pStyle w:val="a3"/>
        <w:spacing w:before="72"/>
        <w:ind w:left="838"/>
      </w:pPr>
      <w:r>
        <w:t xml:space="preserve"> </w:t>
      </w:r>
    </w:p>
    <w:p w14:paraId="713DB220" w14:textId="77777777" w:rsidR="00A71EEF" w:rsidRDefault="00A71EEF">
      <w:pPr>
        <w:sectPr w:rsidR="00A71EEF">
          <w:pgSz w:w="11910" w:h="16850"/>
          <w:pgMar w:top="1220" w:right="0" w:bottom="1420" w:left="1260" w:header="0" w:footer="1239" w:gutter="0"/>
          <w:cols w:space="720"/>
        </w:sectPr>
      </w:pPr>
    </w:p>
    <w:p w14:paraId="66E7644B" w14:textId="77777777" w:rsidR="00A71EEF" w:rsidRDefault="00A71EEF">
      <w:pPr>
        <w:pStyle w:val="a3"/>
        <w:rPr>
          <w:sz w:val="20"/>
        </w:rPr>
      </w:pPr>
    </w:p>
    <w:p w14:paraId="55FF7606" w14:textId="77777777" w:rsidR="00A71EEF" w:rsidRDefault="00A71EEF">
      <w:pPr>
        <w:pStyle w:val="a3"/>
        <w:rPr>
          <w:sz w:val="20"/>
        </w:rPr>
      </w:pPr>
    </w:p>
    <w:p w14:paraId="445FA9C8" w14:textId="77777777" w:rsidR="00A71EEF" w:rsidRDefault="00A71EEF">
      <w:pPr>
        <w:pStyle w:val="a3"/>
        <w:rPr>
          <w:sz w:val="20"/>
        </w:rPr>
      </w:pPr>
    </w:p>
    <w:p w14:paraId="25014330" w14:textId="77777777" w:rsidR="00A71EEF" w:rsidRDefault="00A71EEF">
      <w:pPr>
        <w:pStyle w:val="a3"/>
        <w:rPr>
          <w:sz w:val="20"/>
        </w:rPr>
      </w:pPr>
    </w:p>
    <w:p w14:paraId="3C7B40A2" w14:textId="77777777" w:rsidR="00A71EEF" w:rsidRDefault="00A71EEF">
      <w:pPr>
        <w:pStyle w:val="a3"/>
        <w:spacing w:before="2"/>
        <w:rPr>
          <w:sz w:val="26"/>
        </w:rPr>
      </w:pPr>
    </w:p>
    <w:p w14:paraId="5F6B6988" w14:textId="77777777" w:rsidR="00A71EEF" w:rsidRDefault="0081115D">
      <w:pPr>
        <w:pStyle w:val="2"/>
        <w:spacing w:before="58"/>
        <w:ind w:left="3305"/>
        <w:jc w:val="left"/>
      </w:pPr>
      <w:bookmarkStart w:id="29" w:name="_bookmark29"/>
      <w:bookmarkEnd w:id="29"/>
      <w:r>
        <w:t>综合医院建筑设计规范</w:t>
      </w:r>
      <w:r>
        <w:rPr>
          <w:w w:val="99"/>
        </w:rPr>
        <w:t xml:space="preserve"> </w:t>
      </w:r>
    </w:p>
    <w:p w14:paraId="36BC68B7" w14:textId="77777777" w:rsidR="00A71EEF" w:rsidRDefault="00A71EEF">
      <w:pPr>
        <w:pStyle w:val="a3"/>
        <w:rPr>
          <w:b/>
          <w:sz w:val="20"/>
        </w:rPr>
      </w:pPr>
    </w:p>
    <w:p w14:paraId="7509F3F1" w14:textId="77777777" w:rsidR="00A71EEF" w:rsidRDefault="00A71EEF">
      <w:pPr>
        <w:pStyle w:val="a3"/>
        <w:spacing w:before="2"/>
        <w:rPr>
          <w:b/>
          <w:sz w:val="14"/>
        </w:rPr>
      </w:pPr>
    </w:p>
    <w:p w14:paraId="19E05EFC" w14:textId="77777777" w:rsidR="00A71EEF" w:rsidRDefault="0081115D">
      <w:pPr>
        <w:pStyle w:val="4"/>
        <w:spacing w:before="66"/>
      </w:pPr>
      <w:r>
        <w:t xml:space="preserve">1 </w:t>
      </w:r>
      <w:r>
        <w:t>总则</w:t>
      </w:r>
      <w:r>
        <w:rPr>
          <w:w w:val="99"/>
        </w:rPr>
        <w:t xml:space="preserve"> </w:t>
      </w:r>
    </w:p>
    <w:p w14:paraId="4FA8BBE4" w14:textId="77777777" w:rsidR="00A71EEF" w:rsidRDefault="00A71EEF">
      <w:pPr>
        <w:pStyle w:val="a3"/>
        <w:spacing w:before="7"/>
        <w:rPr>
          <w:b/>
          <w:sz w:val="17"/>
        </w:rPr>
      </w:pPr>
    </w:p>
    <w:p w14:paraId="173D0B92" w14:textId="77777777" w:rsidR="00A71EEF" w:rsidRDefault="0081115D">
      <w:pPr>
        <w:pStyle w:val="a4"/>
        <w:numPr>
          <w:ilvl w:val="1"/>
          <w:numId w:val="192"/>
        </w:numPr>
        <w:tabs>
          <w:tab w:val="left" w:pos="1213"/>
        </w:tabs>
        <w:spacing w:line="446" w:lineRule="auto"/>
        <w:ind w:right="1445" w:firstLine="422"/>
        <w:rPr>
          <w:sz w:val="21"/>
        </w:rPr>
      </w:pPr>
      <w:r>
        <w:rPr>
          <w:spacing w:val="-3"/>
          <w:sz w:val="21"/>
        </w:rPr>
        <w:t>为规范综合医院建筑设计，满足医疗服务功能需要，符合安全、卫生、经济、适用、节能、环保等方面的要求，制定本规范。</w:t>
      </w:r>
      <w:r>
        <w:rPr>
          <w:sz w:val="21"/>
        </w:rPr>
        <w:t xml:space="preserve"> </w:t>
      </w:r>
    </w:p>
    <w:p w14:paraId="1BF1AF8A" w14:textId="77777777" w:rsidR="00A71EEF" w:rsidRDefault="0081115D">
      <w:pPr>
        <w:pStyle w:val="a4"/>
        <w:numPr>
          <w:ilvl w:val="1"/>
          <w:numId w:val="192"/>
        </w:numPr>
        <w:tabs>
          <w:tab w:val="left" w:pos="1213"/>
        </w:tabs>
        <w:spacing w:line="267" w:lineRule="exact"/>
        <w:ind w:left="1212" w:hanging="373"/>
        <w:rPr>
          <w:sz w:val="21"/>
        </w:rPr>
      </w:pPr>
      <w:r>
        <w:rPr>
          <w:spacing w:val="-3"/>
          <w:sz w:val="21"/>
        </w:rPr>
        <w:t>本规范适用于新建、改建和扩建的综合医院的建筑设计。</w:t>
      </w:r>
      <w:r>
        <w:rPr>
          <w:sz w:val="21"/>
        </w:rPr>
        <w:t xml:space="preserve"> </w:t>
      </w:r>
    </w:p>
    <w:p w14:paraId="21E81042" w14:textId="77777777" w:rsidR="00A71EEF" w:rsidRDefault="00A71EEF">
      <w:pPr>
        <w:pStyle w:val="a3"/>
        <w:spacing w:before="2"/>
        <w:rPr>
          <w:sz w:val="18"/>
        </w:rPr>
      </w:pPr>
    </w:p>
    <w:p w14:paraId="5EC4869F" w14:textId="77777777" w:rsidR="00A71EEF" w:rsidRDefault="0081115D">
      <w:pPr>
        <w:pStyle w:val="a4"/>
        <w:numPr>
          <w:ilvl w:val="1"/>
          <w:numId w:val="192"/>
        </w:numPr>
        <w:tabs>
          <w:tab w:val="left" w:pos="1213"/>
        </w:tabs>
        <w:spacing w:line="446" w:lineRule="auto"/>
        <w:ind w:right="1445" w:firstLine="422"/>
        <w:rPr>
          <w:sz w:val="21"/>
        </w:rPr>
      </w:pPr>
      <w:r>
        <w:rPr>
          <w:spacing w:val="-3"/>
          <w:sz w:val="21"/>
        </w:rPr>
        <w:t>医疗工艺应根据医院的建设规模、管理模式和科室设置等确定。医院建筑设计应满足医疗工艺要求。</w:t>
      </w:r>
      <w:r>
        <w:rPr>
          <w:sz w:val="21"/>
        </w:rPr>
        <w:t xml:space="preserve"> </w:t>
      </w:r>
    </w:p>
    <w:p w14:paraId="346D6904" w14:textId="77777777" w:rsidR="00A71EEF" w:rsidRDefault="0081115D">
      <w:pPr>
        <w:pStyle w:val="a4"/>
        <w:numPr>
          <w:ilvl w:val="1"/>
          <w:numId w:val="192"/>
        </w:numPr>
        <w:tabs>
          <w:tab w:val="left" w:pos="1213"/>
        </w:tabs>
        <w:spacing w:line="267" w:lineRule="exact"/>
        <w:ind w:left="1212" w:hanging="373"/>
        <w:rPr>
          <w:sz w:val="21"/>
        </w:rPr>
      </w:pPr>
      <w:r>
        <w:rPr>
          <w:spacing w:val="-3"/>
          <w:sz w:val="21"/>
        </w:rPr>
        <w:t>综合医院建筑设计除应符合本规范外，尚应符合国家现行有关标准的规定。</w:t>
      </w:r>
      <w:r>
        <w:rPr>
          <w:spacing w:val="-3"/>
          <w:sz w:val="21"/>
        </w:rPr>
        <w:t xml:space="preserve"> </w:t>
      </w:r>
    </w:p>
    <w:p w14:paraId="64627D77" w14:textId="77777777" w:rsidR="00A71EEF" w:rsidRDefault="00A71EEF">
      <w:pPr>
        <w:pStyle w:val="a3"/>
        <w:spacing w:before="10"/>
        <w:rPr>
          <w:sz w:val="15"/>
        </w:rPr>
      </w:pPr>
    </w:p>
    <w:p w14:paraId="31743538" w14:textId="77777777" w:rsidR="00A71EEF" w:rsidRDefault="0081115D">
      <w:pPr>
        <w:pStyle w:val="4"/>
        <w:spacing w:before="1"/>
      </w:pPr>
      <w:r>
        <w:t xml:space="preserve">2 </w:t>
      </w:r>
      <w:r>
        <w:t>术语</w:t>
      </w:r>
      <w:r>
        <w:rPr>
          <w:w w:val="99"/>
        </w:rPr>
        <w:t xml:space="preserve"> </w:t>
      </w:r>
    </w:p>
    <w:p w14:paraId="522A69E7" w14:textId="77777777" w:rsidR="00A71EEF" w:rsidRDefault="00A71EEF">
      <w:pPr>
        <w:pStyle w:val="a3"/>
        <w:spacing w:before="4"/>
        <w:rPr>
          <w:b/>
          <w:sz w:val="17"/>
        </w:rPr>
      </w:pPr>
    </w:p>
    <w:p w14:paraId="402DA47A" w14:textId="77777777" w:rsidR="00A71EEF" w:rsidRDefault="0081115D">
      <w:pPr>
        <w:pStyle w:val="a4"/>
        <w:numPr>
          <w:ilvl w:val="1"/>
          <w:numId w:val="191"/>
        </w:numPr>
        <w:tabs>
          <w:tab w:val="left" w:pos="1159"/>
        </w:tabs>
        <w:ind w:hanging="319"/>
        <w:rPr>
          <w:sz w:val="21"/>
        </w:rPr>
      </w:pPr>
      <w:r>
        <w:rPr>
          <w:spacing w:val="18"/>
          <w:sz w:val="21"/>
        </w:rPr>
        <w:t>综合医院</w:t>
      </w:r>
      <w:r>
        <w:rPr>
          <w:spacing w:val="18"/>
          <w:sz w:val="21"/>
        </w:rPr>
        <w:t xml:space="preserve"> </w:t>
      </w:r>
      <w:r>
        <w:rPr>
          <w:sz w:val="21"/>
        </w:rPr>
        <w:t xml:space="preserve">general hospital </w:t>
      </w:r>
    </w:p>
    <w:p w14:paraId="320BA2D4" w14:textId="77777777" w:rsidR="00A71EEF" w:rsidRDefault="00A71EEF">
      <w:pPr>
        <w:pStyle w:val="a3"/>
        <w:spacing w:before="12"/>
        <w:rPr>
          <w:sz w:val="17"/>
        </w:rPr>
      </w:pPr>
    </w:p>
    <w:p w14:paraId="037275F0" w14:textId="77777777" w:rsidR="00A71EEF" w:rsidRDefault="0081115D">
      <w:pPr>
        <w:pStyle w:val="a3"/>
        <w:spacing w:line="446" w:lineRule="auto"/>
        <w:ind w:left="418" w:right="1609" w:firstLine="419"/>
      </w:pPr>
      <w:r>
        <w:t>有一定数量的病床，分设内科、外科、妇科、儿科、眼科、耳鼻喉等各种科室及药剂、检验、放射等医技部门，拥有相应人员、设备的医院。</w:t>
      </w:r>
      <w:r>
        <w:t xml:space="preserve"> </w:t>
      </w:r>
    </w:p>
    <w:p w14:paraId="59232046" w14:textId="77777777" w:rsidR="00A71EEF" w:rsidRDefault="0081115D">
      <w:pPr>
        <w:pStyle w:val="a4"/>
        <w:numPr>
          <w:ilvl w:val="1"/>
          <w:numId w:val="191"/>
        </w:numPr>
        <w:tabs>
          <w:tab w:val="left" w:pos="1160"/>
        </w:tabs>
        <w:ind w:left="1159" w:hanging="320"/>
        <w:rPr>
          <w:sz w:val="21"/>
        </w:rPr>
      </w:pPr>
      <w:r>
        <w:rPr>
          <w:spacing w:val="-1"/>
          <w:sz w:val="21"/>
        </w:rPr>
        <w:t>医疗工艺</w:t>
      </w:r>
      <w:r>
        <w:rPr>
          <w:spacing w:val="-1"/>
          <w:sz w:val="21"/>
        </w:rPr>
        <w:t xml:space="preserve"> </w:t>
      </w:r>
      <w:r>
        <w:rPr>
          <w:sz w:val="21"/>
        </w:rPr>
        <w:t xml:space="preserve">Medical process </w:t>
      </w:r>
    </w:p>
    <w:p w14:paraId="3399FE17" w14:textId="77777777" w:rsidR="00A71EEF" w:rsidRDefault="00A71EEF">
      <w:pPr>
        <w:pStyle w:val="a3"/>
        <w:spacing w:before="12"/>
        <w:rPr>
          <w:sz w:val="17"/>
        </w:rPr>
      </w:pPr>
    </w:p>
    <w:p w14:paraId="35B577F8" w14:textId="77777777" w:rsidR="00A71EEF" w:rsidRDefault="0081115D">
      <w:pPr>
        <w:pStyle w:val="a3"/>
        <w:spacing w:line="446" w:lineRule="auto"/>
        <w:ind w:left="840" w:right="4657" w:hanging="3"/>
      </w:pPr>
      <w:r>
        <w:t>医疗流程和医疗设备的匹配以及其他相关资源的配置。</w:t>
      </w:r>
      <w:r>
        <w:rPr>
          <w:b/>
        </w:rPr>
        <w:t xml:space="preserve">2.3 </w:t>
      </w:r>
      <w:r>
        <w:t>医疗流程</w:t>
      </w:r>
      <w:r>
        <w:t xml:space="preserve"> Medical flows </w:t>
      </w:r>
    </w:p>
    <w:p w14:paraId="0DC8471A" w14:textId="77777777" w:rsidR="00A71EEF" w:rsidRDefault="0081115D">
      <w:pPr>
        <w:pStyle w:val="a3"/>
        <w:spacing w:before="1"/>
        <w:ind w:left="838"/>
      </w:pPr>
      <w:r>
        <w:t>医疗服务的程序和环节。</w:t>
      </w:r>
      <w:r>
        <w:t xml:space="preserve"> </w:t>
      </w:r>
    </w:p>
    <w:p w14:paraId="575C7A66" w14:textId="77777777" w:rsidR="00A71EEF" w:rsidRDefault="00A71EEF">
      <w:pPr>
        <w:pStyle w:val="a3"/>
        <w:spacing w:before="12"/>
        <w:rPr>
          <w:sz w:val="17"/>
        </w:rPr>
      </w:pPr>
    </w:p>
    <w:p w14:paraId="11D07F9D" w14:textId="77777777" w:rsidR="00A71EEF" w:rsidRDefault="0081115D">
      <w:pPr>
        <w:pStyle w:val="a3"/>
        <w:ind w:left="840"/>
        <w:rPr>
          <w:b/>
        </w:rPr>
      </w:pPr>
      <w:r>
        <w:rPr>
          <w:b/>
        </w:rPr>
        <w:t xml:space="preserve">2.4 </w:t>
      </w:r>
      <w:r>
        <w:t>急救通过量</w:t>
      </w:r>
      <w:r>
        <w:t xml:space="preserve"> Emergency throughput</w:t>
      </w:r>
      <w:r>
        <w:rPr>
          <w:b/>
          <w:w w:val="99"/>
        </w:rPr>
        <w:t xml:space="preserve"> </w:t>
      </w:r>
    </w:p>
    <w:p w14:paraId="06BC5460" w14:textId="77777777" w:rsidR="00A71EEF" w:rsidRDefault="00A71EEF">
      <w:pPr>
        <w:pStyle w:val="a3"/>
        <w:spacing w:before="2"/>
        <w:rPr>
          <w:b/>
          <w:sz w:val="18"/>
        </w:rPr>
      </w:pPr>
    </w:p>
    <w:p w14:paraId="01FD8C0B" w14:textId="77777777" w:rsidR="00A71EEF" w:rsidRDefault="0081115D">
      <w:pPr>
        <w:pStyle w:val="a3"/>
        <w:spacing w:line="446" w:lineRule="auto"/>
        <w:ind w:left="840" w:right="5077" w:hanging="3"/>
        <w:rPr>
          <w:b/>
        </w:rPr>
      </w:pPr>
      <w:r>
        <w:rPr>
          <w:spacing w:val="-3"/>
        </w:rPr>
        <w:t>医院急诊部同时一次性接纳急救病人的医疗能力。</w:t>
      </w:r>
      <w:r>
        <w:rPr>
          <w:b/>
        </w:rPr>
        <w:t>2.5</w:t>
      </w:r>
      <w:r>
        <w:rPr>
          <w:b/>
          <w:spacing w:val="102"/>
        </w:rPr>
        <w:t xml:space="preserve"> </w:t>
      </w:r>
      <w:r>
        <w:rPr>
          <w:spacing w:val="-3"/>
        </w:rPr>
        <w:t>医院卫生学</w:t>
      </w:r>
      <w:r>
        <w:rPr>
          <w:spacing w:val="-3"/>
        </w:rPr>
        <w:t xml:space="preserve">  </w:t>
      </w:r>
      <w:r>
        <w:t>Hospital hygiene</w:t>
      </w:r>
      <w:r>
        <w:rPr>
          <w:b/>
          <w:w w:val="99"/>
        </w:rPr>
        <w:t xml:space="preserve"> </w:t>
      </w:r>
    </w:p>
    <w:p w14:paraId="76F23911" w14:textId="77777777" w:rsidR="00A71EEF" w:rsidRDefault="0081115D">
      <w:pPr>
        <w:pStyle w:val="a3"/>
        <w:spacing w:line="446" w:lineRule="auto"/>
        <w:ind w:left="840" w:right="1925" w:hanging="3"/>
        <w:rPr>
          <w:b/>
        </w:rPr>
      </w:pPr>
      <w:r>
        <w:t>维持医院关键科室的卫生状态，主要任务是防止感染及有害气体和化学物质的危害。</w:t>
      </w:r>
      <w:r>
        <w:rPr>
          <w:b/>
        </w:rPr>
        <w:t xml:space="preserve">2.6 </w:t>
      </w:r>
      <w:r>
        <w:t>卫生通过</w:t>
      </w:r>
      <w:r>
        <w:t xml:space="preserve"> Hygiene passing through</w:t>
      </w:r>
      <w:r>
        <w:rPr>
          <w:b/>
          <w:w w:val="99"/>
        </w:rPr>
        <w:t xml:space="preserve"> </w:t>
      </w:r>
    </w:p>
    <w:p w14:paraId="45842E6C" w14:textId="77777777" w:rsidR="00A71EEF" w:rsidRDefault="0081115D">
      <w:pPr>
        <w:pStyle w:val="a3"/>
        <w:spacing w:line="446" w:lineRule="auto"/>
        <w:ind w:left="840" w:right="2345" w:hanging="3"/>
        <w:rPr>
          <w:b/>
        </w:rPr>
      </w:pPr>
      <w:r>
        <w:rPr>
          <w:spacing w:val="-3"/>
        </w:rPr>
        <w:t>采用换鞋、更衣、淋浴等措施控制人员、物品从非洁净区到洁净区的净化过程。</w:t>
      </w:r>
      <w:r>
        <w:rPr>
          <w:b/>
          <w:spacing w:val="-3"/>
        </w:rPr>
        <w:t>2.7</w:t>
      </w:r>
      <w:r>
        <w:rPr>
          <w:b/>
          <w:spacing w:val="102"/>
        </w:rPr>
        <w:t xml:space="preserve"> </w:t>
      </w:r>
      <w:r>
        <w:rPr>
          <w:spacing w:val="19"/>
        </w:rPr>
        <w:t>监护病房</w:t>
      </w:r>
      <w:r>
        <w:rPr>
          <w:spacing w:val="19"/>
        </w:rPr>
        <w:t xml:space="preserve"> </w:t>
      </w:r>
      <w:r>
        <w:t>Intensive Care Unit</w:t>
      </w:r>
      <w:r>
        <w:rPr>
          <w:b/>
          <w:w w:val="99"/>
        </w:rPr>
        <w:t xml:space="preserve"> </w:t>
      </w:r>
    </w:p>
    <w:p w14:paraId="7AF5CFB4" w14:textId="77777777" w:rsidR="00A71EEF" w:rsidRDefault="00A71EEF">
      <w:pPr>
        <w:spacing w:line="446" w:lineRule="auto"/>
        <w:sectPr w:rsidR="00A71EEF">
          <w:pgSz w:w="11910" w:h="16850"/>
          <w:pgMar w:top="1600" w:right="0" w:bottom="1420" w:left="1260" w:header="0" w:footer="1239" w:gutter="0"/>
          <w:cols w:space="720"/>
        </w:sectPr>
      </w:pPr>
    </w:p>
    <w:p w14:paraId="432E30DD" w14:textId="77777777" w:rsidR="00A71EEF" w:rsidRDefault="0081115D">
      <w:pPr>
        <w:pStyle w:val="a3"/>
        <w:spacing w:before="47" w:line="446" w:lineRule="auto"/>
        <w:ind w:left="418" w:right="1611" w:firstLine="419"/>
      </w:pPr>
      <w:r>
        <w:t>医院独立设置的专业监护医疗单元，通常为重症监护病房</w:t>
      </w:r>
      <w:r>
        <w:t>(ICU)</w:t>
      </w:r>
      <w:r>
        <w:t>、心血管监护病房</w:t>
      </w:r>
      <w:r>
        <w:t>(CCU)</w:t>
      </w:r>
      <w:r>
        <w:t>，</w:t>
      </w:r>
      <w:r>
        <w:t xml:space="preserve"> </w:t>
      </w:r>
      <w:r>
        <w:t>以及由</w:t>
      </w:r>
      <w:r>
        <w:t xml:space="preserve"> ICU </w:t>
      </w:r>
      <w:r>
        <w:t>派生的新生儿重症监护病房</w:t>
      </w:r>
      <w:r>
        <w:t>(NICU)</w:t>
      </w:r>
      <w:r>
        <w:t>等。</w:t>
      </w:r>
      <w:r>
        <w:t xml:space="preserve"> </w:t>
      </w:r>
    </w:p>
    <w:p w14:paraId="5E156D84" w14:textId="77777777" w:rsidR="00A71EEF" w:rsidRDefault="0081115D">
      <w:pPr>
        <w:pStyle w:val="4"/>
        <w:spacing w:line="275" w:lineRule="exact"/>
      </w:pPr>
      <w:r>
        <w:t xml:space="preserve">3 </w:t>
      </w:r>
      <w:r>
        <w:t>医疗工艺设计</w:t>
      </w:r>
      <w:r>
        <w:rPr>
          <w:w w:val="99"/>
        </w:rPr>
        <w:t xml:space="preserve"> </w:t>
      </w:r>
    </w:p>
    <w:p w14:paraId="77175BFB" w14:textId="77777777" w:rsidR="00A71EEF" w:rsidRDefault="00A71EEF">
      <w:pPr>
        <w:pStyle w:val="a3"/>
        <w:spacing w:before="6"/>
        <w:rPr>
          <w:b/>
          <w:sz w:val="17"/>
        </w:rPr>
      </w:pPr>
    </w:p>
    <w:p w14:paraId="5630B620" w14:textId="77777777" w:rsidR="00A71EEF" w:rsidRDefault="0081115D">
      <w:pPr>
        <w:pStyle w:val="a4"/>
        <w:numPr>
          <w:ilvl w:val="1"/>
          <w:numId w:val="190"/>
        </w:numPr>
        <w:tabs>
          <w:tab w:val="left" w:pos="1159"/>
        </w:tabs>
        <w:spacing w:before="1"/>
        <w:ind w:hanging="319"/>
        <w:rPr>
          <w:sz w:val="21"/>
        </w:rPr>
      </w:pPr>
      <w:r>
        <w:rPr>
          <w:spacing w:val="-3"/>
          <w:sz w:val="21"/>
        </w:rPr>
        <w:t>一般规定</w:t>
      </w:r>
      <w:r>
        <w:rPr>
          <w:sz w:val="21"/>
        </w:rPr>
        <w:t xml:space="preserve"> </w:t>
      </w:r>
    </w:p>
    <w:p w14:paraId="25C7D2E7" w14:textId="77777777" w:rsidR="00A71EEF" w:rsidRDefault="00A71EEF">
      <w:pPr>
        <w:pStyle w:val="a3"/>
        <w:spacing w:before="12"/>
        <w:rPr>
          <w:sz w:val="17"/>
        </w:rPr>
      </w:pPr>
    </w:p>
    <w:p w14:paraId="7DF2A342" w14:textId="77777777" w:rsidR="00A71EEF" w:rsidRDefault="0081115D">
      <w:pPr>
        <w:pStyle w:val="a4"/>
        <w:numPr>
          <w:ilvl w:val="2"/>
          <w:numId w:val="190"/>
        </w:numPr>
        <w:tabs>
          <w:tab w:val="left" w:pos="1424"/>
        </w:tabs>
        <w:spacing w:line="446" w:lineRule="auto"/>
        <w:ind w:right="1445" w:firstLine="422"/>
        <w:rPr>
          <w:sz w:val="21"/>
        </w:rPr>
      </w:pPr>
      <w:r>
        <w:rPr>
          <w:spacing w:val="-3"/>
          <w:sz w:val="21"/>
        </w:rPr>
        <w:t>医疗工艺设计应确定医疗业务结构、功能和规模，以及相关医疗流程、医疗设备、技术条件和参数。</w:t>
      </w:r>
      <w:r>
        <w:rPr>
          <w:sz w:val="21"/>
        </w:rPr>
        <w:t xml:space="preserve"> </w:t>
      </w:r>
      <w:r>
        <w:rPr>
          <w:spacing w:val="-2"/>
          <w:sz w:val="21"/>
        </w:rPr>
        <w:t xml:space="preserve"> </w:t>
      </w:r>
      <w:r>
        <w:rPr>
          <w:sz w:val="21"/>
        </w:rPr>
        <w:t xml:space="preserve"> </w:t>
      </w:r>
    </w:p>
    <w:p w14:paraId="606E15C8" w14:textId="77777777" w:rsidR="00A71EEF" w:rsidRDefault="0081115D">
      <w:pPr>
        <w:pStyle w:val="a4"/>
        <w:numPr>
          <w:ilvl w:val="2"/>
          <w:numId w:val="190"/>
        </w:numPr>
        <w:tabs>
          <w:tab w:val="left" w:pos="1370"/>
        </w:tabs>
        <w:spacing w:line="446" w:lineRule="auto"/>
        <w:ind w:right="1498" w:firstLine="422"/>
        <w:rPr>
          <w:sz w:val="21"/>
        </w:rPr>
      </w:pPr>
      <w:r>
        <w:rPr>
          <w:spacing w:val="-3"/>
          <w:sz w:val="21"/>
        </w:rPr>
        <w:t>医疗工艺设计应进行前期设计和条件设计。前期设计应满足编制可行性研究报告、设计任务书及建筑方案设计的需要。条件设计应与医院建筑初步设计同步完成，并应与建筑设计的深化、完善过程相配合，同时应满足医院建筑初步设计及施工图设计的需要。</w:t>
      </w:r>
      <w:r>
        <w:rPr>
          <w:sz w:val="21"/>
        </w:rPr>
        <w:t xml:space="preserve"> </w:t>
      </w:r>
    </w:p>
    <w:p w14:paraId="7A468EC4" w14:textId="77777777" w:rsidR="00A71EEF" w:rsidRDefault="0081115D">
      <w:pPr>
        <w:pStyle w:val="a4"/>
        <w:numPr>
          <w:ilvl w:val="2"/>
          <w:numId w:val="190"/>
        </w:numPr>
        <w:tabs>
          <w:tab w:val="left" w:pos="1371"/>
        </w:tabs>
        <w:spacing w:line="446" w:lineRule="auto"/>
        <w:ind w:right="1498" w:firstLine="422"/>
        <w:rPr>
          <w:sz w:val="21"/>
        </w:rPr>
      </w:pPr>
      <w:r>
        <w:rPr>
          <w:spacing w:val="-3"/>
          <w:sz w:val="21"/>
        </w:rPr>
        <w:t>医疗工艺流程应分为医院内各医疗功能单元之间的流程和各医疗功能单元内部的流程。</w:t>
      </w:r>
      <w:r>
        <w:rPr>
          <w:sz w:val="21"/>
        </w:rPr>
        <w:t xml:space="preserve"> </w:t>
      </w:r>
    </w:p>
    <w:p w14:paraId="7FDFF1BB" w14:textId="77777777" w:rsidR="00A71EEF" w:rsidRDefault="0081115D">
      <w:pPr>
        <w:pStyle w:val="a4"/>
        <w:numPr>
          <w:ilvl w:val="2"/>
          <w:numId w:val="190"/>
        </w:numPr>
        <w:tabs>
          <w:tab w:val="left" w:pos="1371"/>
        </w:tabs>
        <w:spacing w:line="267" w:lineRule="exact"/>
        <w:ind w:left="1370" w:hanging="531"/>
        <w:rPr>
          <w:sz w:val="21"/>
        </w:rPr>
      </w:pPr>
      <w:r>
        <w:rPr>
          <w:spacing w:val="-7"/>
          <w:sz w:val="21"/>
        </w:rPr>
        <w:t>医疗功能单元的划分宜符合表</w:t>
      </w:r>
      <w:r>
        <w:rPr>
          <w:spacing w:val="-7"/>
          <w:sz w:val="21"/>
        </w:rPr>
        <w:t xml:space="preserve"> </w:t>
      </w:r>
      <w:r>
        <w:rPr>
          <w:sz w:val="21"/>
        </w:rPr>
        <w:t>3.1.4</w:t>
      </w:r>
      <w:r>
        <w:rPr>
          <w:spacing w:val="-12"/>
          <w:sz w:val="21"/>
        </w:rPr>
        <w:t xml:space="preserve"> </w:t>
      </w:r>
      <w:r>
        <w:rPr>
          <w:spacing w:val="-12"/>
          <w:sz w:val="21"/>
        </w:rPr>
        <w:t>的规定。</w:t>
      </w:r>
      <w:r>
        <w:rPr>
          <w:spacing w:val="-12"/>
          <w:sz w:val="21"/>
        </w:rPr>
        <w:t xml:space="preserve"> </w:t>
      </w:r>
    </w:p>
    <w:p w14:paraId="4D498EF0" w14:textId="77777777" w:rsidR="00A71EEF" w:rsidRDefault="00A71EEF">
      <w:pPr>
        <w:pStyle w:val="a3"/>
        <w:spacing w:before="1"/>
        <w:rPr>
          <w:sz w:val="18"/>
        </w:rPr>
      </w:pPr>
    </w:p>
    <w:p w14:paraId="19FD7EB5" w14:textId="77777777" w:rsidR="00A71EEF" w:rsidRDefault="0081115D">
      <w:pPr>
        <w:pStyle w:val="6"/>
        <w:ind w:left="3308"/>
        <w:rPr>
          <w:b w:val="0"/>
        </w:rPr>
      </w:pPr>
      <w:r>
        <w:t>表</w:t>
      </w:r>
      <w:r>
        <w:t xml:space="preserve"> 3.1.4 </w:t>
      </w:r>
      <w:r>
        <w:t>医疗功能单元的划分</w:t>
      </w:r>
      <w:r>
        <w:rPr>
          <w:b w:val="0"/>
        </w:rPr>
        <w:t xml:space="preserve"> </w:t>
      </w:r>
    </w:p>
    <w:p w14:paraId="2CF2A059" w14:textId="77777777" w:rsidR="00A71EEF" w:rsidRDefault="00A71EEF">
      <w:pPr>
        <w:pStyle w:val="a3"/>
        <w:rPr>
          <w:sz w:val="20"/>
        </w:rPr>
      </w:pPr>
    </w:p>
    <w:p w14:paraId="72FE51D1" w14:textId="77777777" w:rsidR="00A71EEF" w:rsidRDefault="0081115D">
      <w:pPr>
        <w:pStyle w:val="a3"/>
        <w:spacing w:before="9"/>
        <w:rPr>
          <w:sz w:val="12"/>
        </w:rPr>
      </w:pPr>
      <w:r>
        <w:rPr>
          <w:noProof/>
        </w:rPr>
        <w:drawing>
          <wp:anchor distT="0" distB="0" distL="0" distR="0" simplePos="0" relativeHeight="251687424" behindDoc="0" locked="0" layoutInCell="1" allowOverlap="1" wp14:anchorId="3AC78CC1" wp14:editId="146F9092">
            <wp:simplePos x="0" y="0"/>
            <wp:positionH relativeFrom="page">
              <wp:posOffset>1179830</wp:posOffset>
            </wp:positionH>
            <wp:positionV relativeFrom="paragraph">
              <wp:posOffset>128607</wp:posOffset>
            </wp:positionV>
            <wp:extent cx="4917742" cy="3530441"/>
            <wp:effectExtent l="0" t="0" r="0" b="0"/>
            <wp:wrapTopAndBottom/>
            <wp:docPr id="627" name="image3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image362.jpeg"/>
                    <pic:cNvPicPr/>
                  </pic:nvPicPr>
                  <pic:blipFill>
                    <a:blip r:embed="rId432" cstate="print"/>
                    <a:stretch>
                      <a:fillRect/>
                    </a:stretch>
                  </pic:blipFill>
                  <pic:spPr>
                    <a:xfrm>
                      <a:off x="0" y="0"/>
                      <a:ext cx="4917742" cy="3530441"/>
                    </a:xfrm>
                    <a:prstGeom prst="rect">
                      <a:avLst/>
                    </a:prstGeom>
                  </pic:spPr>
                </pic:pic>
              </a:graphicData>
            </a:graphic>
          </wp:anchor>
        </w:drawing>
      </w:r>
    </w:p>
    <w:p w14:paraId="2195B6D0" w14:textId="77777777" w:rsidR="00A71EEF" w:rsidRDefault="0081115D">
      <w:pPr>
        <w:pStyle w:val="a4"/>
        <w:numPr>
          <w:ilvl w:val="1"/>
          <w:numId w:val="190"/>
        </w:numPr>
        <w:tabs>
          <w:tab w:val="left" w:pos="1159"/>
        </w:tabs>
        <w:spacing w:before="138"/>
        <w:ind w:hanging="319"/>
        <w:rPr>
          <w:sz w:val="21"/>
        </w:rPr>
      </w:pPr>
      <w:r>
        <w:rPr>
          <w:spacing w:val="-3"/>
          <w:sz w:val="21"/>
        </w:rPr>
        <w:t>医疗工艺设计参数</w:t>
      </w:r>
      <w:r>
        <w:rPr>
          <w:sz w:val="21"/>
        </w:rPr>
        <w:t xml:space="preserve"> </w:t>
      </w:r>
    </w:p>
    <w:p w14:paraId="07931505" w14:textId="77777777" w:rsidR="00A71EEF" w:rsidRDefault="00A71EEF">
      <w:pPr>
        <w:pStyle w:val="a3"/>
        <w:spacing w:before="2"/>
        <w:rPr>
          <w:sz w:val="18"/>
        </w:rPr>
      </w:pPr>
    </w:p>
    <w:p w14:paraId="309A10EC" w14:textId="77777777" w:rsidR="00A71EEF" w:rsidRDefault="0081115D">
      <w:pPr>
        <w:pStyle w:val="a4"/>
        <w:numPr>
          <w:ilvl w:val="2"/>
          <w:numId w:val="190"/>
        </w:numPr>
        <w:tabs>
          <w:tab w:val="left" w:pos="1370"/>
        </w:tabs>
        <w:spacing w:line="446" w:lineRule="auto"/>
        <w:ind w:right="1498" w:firstLine="422"/>
        <w:rPr>
          <w:sz w:val="21"/>
        </w:rPr>
      </w:pPr>
      <w:r>
        <w:rPr>
          <w:spacing w:val="-3"/>
          <w:sz w:val="21"/>
        </w:rPr>
        <w:t>医疗工艺设计参数应根据不同医院的要求研究确定，当无相关数据时应符合下列要求：</w:t>
      </w:r>
      <w:r>
        <w:rPr>
          <w:sz w:val="21"/>
        </w:rPr>
        <w:t xml:space="preserve"> </w:t>
      </w:r>
    </w:p>
    <w:p w14:paraId="2187F8BD" w14:textId="77777777" w:rsidR="00A71EEF" w:rsidRDefault="00A71EEF">
      <w:pPr>
        <w:spacing w:line="446" w:lineRule="auto"/>
        <w:rPr>
          <w:sz w:val="21"/>
        </w:rPr>
        <w:sectPr w:rsidR="00A71EEF">
          <w:pgSz w:w="11910" w:h="16850"/>
          <w:pgMar w:top="1220" w:right="0" w:bottom="1420" w:left="1260" w:header="0" w:footer="1239" w:gutter="0"/>
          <w:cols w:space="720"/>
        </w:sectPr>
      </w:pPr>
    </w:p>
    <w:p w14:paraId="785E3DAD" w14:textId="77777777" w:rsidR="00A71EEF" w:rsidRDefault="0081115D">
      <w:pPr>
        <w:pStyle w:val="a3"/>
        <w:spacing w:before="47" w:line="446" w:lineRule="auto"/>
        <w:ind w:left="838" w:right="3975"/>
      </w:pPr>
      <w:r>
        <w:t>门诊诊室间数可按日平均门诊诊疗人次／</w:t>
      </w:r>
      <w:r>
        <w:t>(50</w:t>
      </w:r>
      <w:r>
        <w:t>～</w:t>
      </w:r>
      <w:r>
        <w:t xml:space="preserve">60 </w:t>
      </w:r>
      <w:r>
        <w:t>人次</w:t>
      </w:r>
      <w:r>
        <w:t>)</w:t>
      </w:r>
      <w:r>
        <w:t>测算；</w:t>
      </w:r>
      <w:r>
        <w:t xml:space="preserve"> </w:t>
      </w:r>
      <w:r>
        <w:t>急救抢救床数可按急救通过量测算；</w:t>
      </w:r>
      <w:r>
        <w:t xml:space="preserve"> </w:t>
      </w:r>
    </w:p>
    <w:p w14:paraId="52711FF1" w14:textId="77777777" w:rsidR="00A71EEF" w:rsidRDefault="0081115D">
      <w:pPr>
        <w:pStyle w:val="a3"/>
        <w:spacing w:line="267" w:lineRule="exact"/>
        <w:ind w:left="838"/>
      </w:pPr>
      <w:r>
        <w:t xml:space="preserve">1 </w:t>
      </w:r>
      <w:r>
        <w:t>个护理单元宜设</w:t>
      </w:r>
      <w:r>
        <w:t xml:space="preserve"> 40 </w:t>
      </w:r>
      <w:r>
        <w:t>张～</w:t>
      </w:r>
      <w:r>
        <w:t xml:space="preserve">50 </w:t>
      </w:r>
      <w:r>
        <w:t>张病床；</w:t>
      </w:r>
      <w:r>
        <w:t xml:space="preserve"> </w:t>
      </w:r>
    </w:p>
    <w:p w14:paraId="58E33166" w14:textId="77777777" w:rsidR="00A71EEF" w:rsidRDefault="00A71EEF">
      <w:pPr>
        <w:pStyle w:val="a3"/>
        <w:spacing w:before="2"/>
        <w:rPr>
          <w:sz w:val="18"/>
        </w:rPr>
      </w:pPr>
    </w:p>
    <w:p w14:paraId="1EEAEF85" w14:textId="77777777" w:rsidR="00A71EEF" w:rsidRDefault="0081115D">
      <w:pPr>
        <w:pStyle w:val="a3"/>
        <w:spacing w:line="446" w:lineRule="auto"/>
        <w:ind w:left="838" w:right="2927"/>
      </w:pPr>
      <w:r>
        <w:rPr>
          <w:spacing w:val="-7"/>
        </w:rPr>
        <w:t>手术室间数宜按病床总数每</w:t>
      </w:r>
      <w:r>
        <w:rPr>
          <w:spacing w:val="-7"/>
        </w:rPr>
        <w:t xml:space="preserve"> </w:t>
      </w:r>
      <w:r>
        <w:t>50</w:t>
      </w:r>
      <w:r>
        <w:rPr>
          <w:spacing w:val="-13"/>
        </w:rPr>
        <w:t xml:space="preserve"> </w:t>
      </w:r>
      <w:r>
        <w:rPr>
          <w:spacing w:val="-13"/>
        </w:rPr>
        <w:t>床或外科病床数每</w:t>
      </w:r>
      <w:r>
        <w:rPr>
          <w:spacing w:val="-13"/>
        </w:rPr>
        <w:t xml:space="preserve"> </w:t>
      </w:r>
      <w:r>
        <w:t>25</w:t>
      </w:r>
      <w:r>
        <w:rPr>
          <w:spacing w:val="-25"/>
        </w:rPr>
        <w:t xml:space="preserve"> </w:t>
      </w:r>
      <w:r>
        <w:rPr>
          <w:spacing w:val="-25"/>
        </w:rPr>
        <w:t>床</w:t>
      </w:r>
      <w:r>
        <w:t>～</w:t>
      </w:r>
      <w:r>
        <w:t>30</w:t>
      </w:r>
      <w:r>
        <w:rPr>
          <w:spacing w:val="-22"/>
        </w:rPr>
        <w:t xml:space="preserve"> </w:t>
      </w:r>
      <w:r>
        <w:rPr>
          <w:spacing w:val="-22"/>
        </w:rPr>
        <w:t>床设置</w:t>
      </w:r>
      <w:r>
        <w:rPr>
          <w:spacing w:val="-22"/>
        </w:rPr>
        <w:t xml:space="preserve"> </w:t>
      </w:r>
      <w:r>
        <w:t>1</w:t>
      </w:r>
      <w:r>
        <w:rPr>
          <w:spacing w:val="-19"/>
        </w:rPr>
        <w:t xml:space="preserve"> </w:t>
      </w:r>
      <w:r>
        <w:rPr>
          <w:spacing w:val="-19"/>
        </w:rPr>
        <w:t>间；</w:t>
      </w:r>
      <w:r>
        <w:rPr>
          <w:spacing w:val="-19"/>
        </w:rPr>
        <w:t xml:space="preserve"> </w:t>
      </w:r>
      <w:r>
        <w:rPr>
          <w:spacing w:val="-2"/>
        </w:rPr>
        <w:t>重症监护病房</w:t>
      </w:r>
      <w:r>
        <w:rPr>
          <w:spacing w:val="-2"/>
        </w:rPr>
        <w:t>(</w:t>
      </w:r>
      <w:r>
        <w:t>ICU</w:t>
      </w:r>
      <w:r>
        <w:rPr>
          <w:spacing w:val="-8"/>
        </w:rPr>
        <w:t>)</w:t>
      </w:r>
      <w:r>
        <w:rPr>
          <w:spacing w:val="-8"/>
        </w:rPr>
        <w:t>床数宜按总床位数的</w:t>
      </w:r>
      <w:r>
        <w:rPr>
          <w:spacing w:val="-8"/>
        </w:rPr>
        <w:t xml:space="preserve"> </w:t>
      </w:r>
      <w:r>
        <w:t>2</w:t>
      </w:r>
      <w:r>
        <w:t>％～</w:t>
      </w:r>
      <w:r>
        <w:t>3</w:t>
      </w:r>
      <w:r>
        <w:rPr>
          <w:spacing w:val="-3"/>
        </w:rPr>
        <w:t>％设置；</w:t>
      </w:r>
      <w:r>
        <w:t xml:space="preserve"> </w:t>
      </w:r>
    </w:p>
    <w:p w14:paraId="35F39683" w14:textId="77777777" w:rsidR="00A71EEF" w:rsidRDefault="0081115D">
      <w:pPr>
        <w:pStyle w:val="a3"/>
        <w:spacing w:line="446" w:lineRule="auto"/>
        <w:ind w:left="838" w:right="1400"/>
      </w:pPr>
      <w:r>
        <w:rPr>
          <w:spacing w:val="-3"/>
        </w:rPr>
        <w:t>心血管造影机台数可按年平均心血管造</w:t>
      </w:r>
      <w:r>
        <w:rPr>
          <w:spacing w:val="-3"/>
        </w:rPr>
        <w:t>影或介入治疗数／</w:t>
      </w:r>
      <w:r>
        <w:t>(3</w:t>
      </w:r>
      <w:r>
        <w:rPr>
          <w:spacing w:val="-23"/>
        </w:rPr>
        <w:t xml:space="preserve"> </w:t>
      </w:r>
      <w:r>
        <w:rPr>
          <w:spacing w:val="-23"/>
        </w:rPr>
        <w:t>例</w:t>
      </w:r>
      <w:r>
        <w:t>～</w:t>
      </w:r>
      <w:r>
        <w:t>5</w:t>
      </w:r>
      <w:r>
        <w:rPr>
          <w:spacing w:val="-8"/>
        </w:rPr>
        <w:t xml:space="preserve"> </w:t>
      </w:r>
      <w:r>
        <w:rPr>
          <w:spacing w:val="-8"/>
        </w:rPr>
        <w:t>例</w:t>
      </w:r>
      <w:r>
        <w:rPr>
          <w:spacing w:val="-8"/>
        </w:rPr>
        <w:t>×</w:t>
      </w:r>
      <w:r>
        <w:rPr>
          <w:spacing w:val="-8"/>
        </w:rPr>
        <w:t>年工作日数</w:t>
      </w:r>
      <w:r>
        <w:rPr>
          <w:spacing w:val="-8"/>
        </w:rPr>
        <w:t>)</w:t>
      </w:r>
      <w:r>
        <w:rPr>
          <w:spacing w:val="-8"/>
        </w:rPr>
        <w:t>测量；</w:t>
      </w:r>
      <w:r>
        <w:rPr>
          <w:spacing w:val="-8"/>
        </w:rPr>
        <w:t xml:space="preserve"> </w:t>
      </w:r>
      <w:r>
        <w:rPr>
          <w:spacing w:val="-10"/>
        </w:rPr>
        <w:t>日拍片人次达到</w:t>
      </w:r>
      <w:r>
        <w:rPr>
          <w:spacing w:val="-10"/>
        </w:rPr>
        <w:t xml:space="preserve"> </w:t>
      </w:r>
      <w:r>
        <w:t>40</w:t>
      </w:r>
      <w:r>
        <w:t>～</w:t>
      </w:r>
      <w:r>
        <w:t>50</w:t>
      </w:r>
      <w:r>
        <w:rPr>
          <w:spacing w:val="-3"/>
        </w:rPr>
        <w:t xml:space="preserve"> </w:t>
      </w:r>
      <w:r>
        <w:rPr>
          <w:spacing w:val="-3"/>
        </w:rPr>
        <w:t>人次时，可设</w:t>
      </w:r>
      <w:r>
        <w:t>X</w:t>
      </w:r>
      <w:r>
        <w:rPr>
          <w:spacing w:val="-19"/>
        </w:rPr>
        <w:t xml:space="preserve"> </w:t>
      </w:r>
      <w:r>
        <w:rPr>
          <w:spacing w:val="-19"/>
        </w:rPr>
        <w:t>线拍片机</w:t>
      </w:r>
      <w:r>
        <w:rPr>
          <w:spacing w:val="-19"/>
        </w:rPr>
        <w:t xml:space="preserve"> </w:t>
      </w:r>
      <w:r>
        <w:t>1</w:t>
      </w:r>
      <w:r>
        <w:rPr>
          <w:spacing w:val="-20"/>
        </w:rPr>
        <w:t xml:space="preserve"> </w:t>
      </w:r>
      <w:r>
        <w:rPr>
          <w:spacing w:val="-20"/>
        </w:rPr>
        <w:t>台；</w:t>
      </w:r>
      <w:r>
        <w:t xml:space="preserve"> </w:t>
      </w:r>
    </w:p>
    <w:p w14:paraId="5CE1E738" w14:textId="77777777" w:rsidR="00A71EEF" w:rsidRDefault="0081115D">
      <w:pPr>
        <w:pStyle w:val="a3"/>
        <w:spacing w:line="446" w:lineRule="auto"/>
        <w:ind w:left="838" w:right="4136"/>
      </w:pPr>
      <w:r>
        <w:rPr>
          <w:spacing w:val="-5"/>
        </w:rPr>
        <w:t>日胃肠透视人数达到</w:t>
      </w:r>
      <w:r>
        <w:rPr>
          <w:spacing w:val="-5"/>
        </w:rPr>
        <w:t xml:space="preserve"> </w:t>
      </w:r>
      <w:r>
        <w:t>10</w:t>
      </w:r>
      <w:r>
        <w:t>～</w:t>
      </w:r>
      <w:r>
        <w:t>15</w:t>
      </w:r>
      <w:r>
        <w:rPr>
          <w:spacing w:val="-7"/>
        </w:rPr>
        <w:t xml:space="preserve"> </w:t>
      </w:r>
      <w:r>
        <w:rPr>
          <w:spacing w:val="-7"/>
        </w:rPr>
        <w:t>例时，可设胃肠透视机</w:t>
      </w:r>
      <w:r>
        <w:rPr>
          <w:spacing w:val="-7"/>
        </w:rPr>
        <w:t xml:space="preserve"> </w:t>
      </w:r>
      <w:r>
        <w:t>1</w:t>
      </w:r>
      <w:r>
        <w:rPr>
          <w:spacing w:val="-7"/>
        </w:rPr>
        <w:t xml:space="preserve"> </w:t>
      </w:r>
      <w:r>
        <w:rPr>
          <w:spacing w:val="-7"/>
        </w:rPr>
        <w:t>台；</w:t>
      </w:r>
      <w:r>
        <w:rPr>
          <w:spacing w:val="-7"/>
        </w:rPr>
        <w:t xml:space="preserve"> </w:t>
      </w:r>
      <w:r>
        <w:rPr>
          <w:spacing w:val="-5"/>
        </w:rPr>
        <w:t>日胸透视人数达到</w:t>
      </w:r>
      <w:r>
        <w:rPr>
          <w:spacing w:val="-5"/>
        </w:rPr>
        <w:t xml:space="preserve"> </w:t>
      </w:r>
      <w:r>
        <w:t>50</w:t>
      </w:r>
      <w:r>
        <w:t>～</w:t>
      </w:r>
      <w:r>
        <w:t>80</w:t>
      </w:r>
      <w:r>
        <w:rPr>
          <w:spacing w:val="-7"/>
        </w:rPr>
        <w:t xml:space="preserve"> </w:t>
      </w:r>
      <w:r>
        <w:rPr>
          <w:spacing w:val="-7"/>
        </w:rPr>
        <w:t>人次时，可设胸部透视机</w:t>
      </w:r>
      <w:r>
        <w:rPr>
          <w:spacing w:val="-7"/>
        </w:rPr>
        <w:t xml:space="preserve"> </w:t>
      </w:r>
      <w:r>
        <w:t>1</w:t>
      </w:r>
      <w:r>
        <w:rPr>
          <w:spacing w:val="-7"/>
        </w:rPr>
        <w:t xml:space="preserve"> </w:t>
      </w:r>
      <w:r>
        <w:rPr>
          <w:spacing w:val="-7"/>
        </w:rPr>
        <w:t>台；</w:t>
      </w:r>
      <w:r>
        <w:rPr>
          <w:spacing w:val="-7"/>
        </w:rPr>
        <w:t xml:space="preserve"> </w:t>
      </w:r>
      <w:r>
        <w:rPr>
          <w:spacing w:val="-8"/>
        </w:rPr>
        <w:t>日心电检诊人次达到</w:t>
      </w:r>
      <w:r>
        <w:rPr>
          <w:spacing w:val="-8"/>
        </w:rPr>
        <w:t xml:space="preserve"> </w:t>
      </w:r>
      <w:r>
        <w:t>60</w:t>
      </w:r>
      <w:r>
        <w:t>～</w:t>
      </w:r>
      <w:r>
        <w:t>80</w:t>
      </w:r>
      <w:r>
        <w:rPr>
          <w:spacing w:val="-13"/>
        </w:rPr>
        <w:t xml:space="preserve"> </w:t>
      </w:r>
      <w:r>
        <w:rPr>
          <w:spacing w:val="-13"/>
        </w:rPr>
        <w:t>人次时，可设心电检诊间</w:t>
      </w:r>
      <w:r>
        <w:rPr>
          <w:spacing w:val="-13"/>
        </w:rPr>
        <w:t xml:space="preserve"> </w:t>
      </w:r>
      <w:r>
        <w:t>1</w:t>
      </w:r>
      <w:r>
        <w:rPr>
          <w:spacing w:val="-19"/>
        </w:rPr>
        <w:t xml:space="preserve"> </w:t>
      </w:r>
      <w:r>
        <w:rPr>
          <w:spacing w:val="-19"/>
        </w:rPr>
        <w:t>间；</w:t>
      </w:r>
      <w:r>
        <w:rPr>
          <w:spacing w:val="-19"/>
        </w:rPr>
        <w:t xml:space="preserve"> </w:t>
      </w:r>
      <w:r>
        <w:rPr>
          <w:spacing w:val="-15"/>
        </w:rPr>
        <w:t>日腹部</w:t>
      </w:r>
      <w:r>
        <w:rPr>
          <w:spacing w:val="-15"/>
        </w:rPr>
        <w:t xml:space="preserve"> </w:t>
      </w:r>
      <w:r>
        <w:t>B</w:t>
      </w:r>
      <w:r>
        <w:rPr>
          <w:spacing w:val="-17"/>
        </w:rPr>
        <w:t xml:space="preserve"> </w:t>
      </w:r>
      <w:r>
        <w:rPr>
          <w:spacing w:val="-17"/>
        </w:rPr>
        <w:t>超人数达到</w:t>
      </w:r>
      <w:r>
        <w:rPr>
          <w:spacing w:val="-17"/>
        </w:rPr>
        <w:t xml:space="preserve"> </w:t>
      </w:r>
      <w:r>
        <w:t>40</w:t>
      </w:r>
      <w:r>
        <w:t>～</w:t>
      </w:r>
      <w:r>
        <w:t>60</w:t>
      </w:r>
      <w:r>
        <w:rPr>
          <w:spacing w:val="-14"/>
        </w:rPr>
        <w:t xml:space="preserve"> </w:t>
      </w:r>
      <w:r>
        <w:rPr>
          <w:spacing w:val="-14"/>
        </w:rPr>
        <w:t>人次时，可设腹部</w:t>
      </w:r>
      <w:r>
        <w:rPr>
          <w:spacing w:val="-14"/>
        </w:rPr>
        <w:t xml:space="preserve"> </w:t>
      </w:r>
      <w:r>
        <w:t>B</w:t>
      </w:r>
      <w:r>
        <w:rPr>
          <w:spacing w:val="-27"/>
        </w:rPr>
        <w:t xml:space="preserve"> </w:t>
      </w:r>
      <w:r>
        <w:rPr>
          <w:spacing w:val="-27"/>
        </w:rPr>
        <w:t>超机</w:t>
      </w:r>
      <w:r>
        <w:rPr>
          <w:spacing w:val="-27"/>
        </w:rPr>
        <w:t xml:space="preserve"> </w:t>
      </w:r>
      <w:r>
        <w:t>1</w:t>
      </w:r>
      <w:r>
        <w:rPr>
          <w:spacing w:val="-19"/>
        </w:rPr>
        <w:t xml:space="preserve"> </w:t>
      </w:r>
      <w:r>
        <w:rPr>
          <w:spacing w:val="-19"/>
        </w:rPr>
        <w:t>台；</w:t>
      </w:r>
      <w:r>
        <w:t xml:space="preserve"> </w:t>
      </w:r>
    </w:p>
    <w:p w14:paraId="6170420F" w14:textId="77777777" w:rsidR="00A71EEF" w:rsidRDefault="0081115D">
      <w:pPr>
        <w:pStyle w:val="a3"/>
        <w:spacing w:line="446" w:lineRule="auto"/>
        <w:ind w:left="838" w:right="3659"/>
      </w:pPr>
      <w:r>
        <w:rPr>
          <w:spacing w:val="-8"/>
        </w:rPr>
        <w:t>日心血管彩超人数达到</w:t>
      </w:r>
      <w:r>
        <w:rPr>
          <w:spacing w:val="-8"/>
        </w:rPr>
        <w:t xml:space="preserve"> </w:t>
      </w:r>
      <w:r>
        <w:t>15</w:t>
      </w:r>
      <w:r>
        <w:t>～</w:t>
      </w:r>
      <w:r>
        <w:t>20</w:t>
      </w:r>
      <w:r>
        <w:rPr>
          <w:spacing w:val="-12"/>
        </w:rPr>
        <w:t xml:space="preserve"> </w:t>
      </w:r>
      <w:r>
        <w:rPr>
          <w:spacing w:val="-12"/>
        </w:rPr>
        <w:t>人次时，可设心血管彩超机</w:t>
      </w:r>
      <w:r>
        <w:rPr>
          <w:spacing w:val="-12"/>
        </w:rPr>
        <w:t xml:space="preserve"> </w:t>
      </w:r>
      <w:r>
        <w:t>1</w:t>
      </w:r>
      <w:r>
        <w:rPr>
          <w:spacing w:val="-19"/>
        </w:rPr>
        <w:t xml:space="preserve"> </w:t>
      </w:r>
      <w:r>
        <w:rPr>
          <w:spacing w:val="-19"/>
        </w:rPr>
        <w:t>台；</w:t>
      </w:r>
      <w:r>
        <w:rPr>
          <w:spacing w:val="-19"/>
        </w:rPr>
        <w:t xml:space="preserve"> </w:t>
      </w:r>
      <w:r>
        <w:rPr>
          <w:spacing w:val="-9"/>
        </w:rPr>
        <w:t>日检诊人数达到</w:t>
      </w:r>
      <w:r>
        <w:rPr>
          <w:spacing w:val="-9"/>
        </w:rPr>
        <w:t xml:space="preserve"> </w:t>
      </w:r>
      <w:r>
        <w:t>10</w:t>
      </w:r>
      <w:r>
        <w:rPr>
          <w:spacing w:val="-25"/>
        </w:rPr>
        <w:t xml:space="preserve"> </w:t>
      </w:r>
      <w:r>
        <w:rPr>
          <w:spacing w:val="-25"/>
        </w:rPr>
        <w:t>例</w:t>
      </w:r>
      <w:r>
        <w:t>～</w:t>
      </w:r>
      <w:r>
        <w:t>15</w:t>
      </w:r>
      <w:r>
        <w:rPr>
          <w:spacing w:val="-11"/>
        </w:rPr>
        <w:t xml:space="preserve"> </w:t>
      </w:r>
      <w:r>
        <w:rPr>
          <w:spacing w:val="-11"/>
        </w:rPr>
        <w:t>例时，可设十二指肠纤维内窥镜</w:t>
      </w:r>
      <w:r>
        <w:rPr>
          <w:spacing w:val="-11"/>
        </w:rPr>
        <w:t xml:space="preserve"> </w:t>
      </w:r>
      <w:r>
        <w:t>1</w:t>
      </w:r>
      <w:r>
        <w:rPr>
          <w:spacing w:val="-19"/>
        </w:rPr>
        <w:t xml:space="preserve"> </w:t>
      </w:r>
      <w:r>
        <w:rPr>
          <w:spacing w:val="-19"/>
        </w:rPr>
        <w:t>台。</w:t>
      </w:r>
      <w:r>
        <w:t xml:space="preserve"> </w:t>
      </w:r>
    </w:p>
    <w:p w14:paraId="2AA316D0" w14:textId="77777777" w:rsidR="00A71EEF" w:rsidRDefault="0081115D">
      <w:pPr>
        <w:pStyle w:val="a4"/>
        <w:numPr>
          <w:ilvl w:val="2"/>
          <w:numId w:val="190"/>
        </w:numPr>
        <w:tabs>
          <w:tab w:val="left" w:pos="1371"/>
        </w:tabs>
        <w:spacing w:after="18" w:line="446" w:lineRule="auto"/>
        <w:ind w:left="2993" w:right="2024" w:hanging="2154"/>
        <w:rPr>
          <w:b/>
          <w:sz w:val="21"/>
        </w:rPr>
      </w:pPr>
      <w:r>
        <w:rPr>
          <w:spacing w:val="-5"/>
          <w:sz w:val="21"/>
        </w:rPr>
        <w:t>各科门诊量应根据医院统计数据确定，当无统计数据时可按表</w:t>
      </w:r>
      <w:r>
        <w:rPr>
          <w:spacing w:val="-5"/>
          <w:sz w:val="21"/>
        </w:rPr>
        <w:t xml:space="preserve"> </w:t>
      </w:r>
      <w:r>
        <w:rPr>
          <w:sz w:val="21"/>
        </w:rPr>
        <w:t>3.2.2</w:t>
      </w:r>
      <w:r>
        <w:rPr>
          <w:spacing w:val="-7"/>
          <w:sz w:val="21"/>
        </w:rPr>
        <w:t xml:space="preserve"> </w:t>
      </w:r>
      <w:r>
        <w:rPr>
          <w:spacing w:val="-7"/>
          <w:sz w:val="21"/>
        </w:rPr>
        <w:t>确定。</w:t>
      </w:r>
      <w:r>
        <w:rPr>
          <w:spacing w:val="-7"/>
          <w:sz w:val="21"/>
        </w:rPr>
        <w:t xml:space="preserve"> </w:t>
      </w:r>
      <w:r>
        <w:rPr>
          <w:b/>
          <w:sz w:val="21"/>
        </w:rPr>
        <w:t>表</w:t>
      </w:r>
      <w:r>
        <w:rPr>
          <w:b/>
          <w:sz w:val="21"/>
        </w:rPr>
        <w:t>3.2.2</w:t>
      </w:r>
      <w:r>
        <w:rPr>
          <w:b/>
          <w:spacing w:val="5"/>
          <w:sz w:val="21"/>
        </w:rPr>
        <w:t xml:space="preserve"> </w:t>
      </w:r>
      <w:r>
        <w:rPr>
          <w:b/>
          <w:spacing w:val="5"/>
          <w:sz w:val="21"/>
        </w:rPr>
        <w:t>各科门诊量占总门诊量比例</w:t>
      </w:r>
      <w:r>
        <w:rPr>
          <w:b/>
          <w:w w:val="99"/>
          <w:sz w:val="21"/>
        </w:rPr>
        <w:t xml:space="preserve"> </w:t>
      </w:r>
    </w:p>
    <w:p w14:paraId="4DAEE97A" w14:textId="77777777" w:rsidR="00A71EEF" w:rsidRDefault="0081115D">
      <w:pPr>
        <w:pStyle w:val="a3"/>
        <w:ind w:left="1048"/>
        <w:rPr>
          <w:sz w:val="20"/>
        </w:rPr>
      </w:pPr>
      <w:r>
        <w:rPr>
          <w:noProof/>
          <w:sz w:val="20"/>
        </w:rPr>
        <w:drawing>
          <wp:inline distT="0" distB="0" distL="0" distR="0" wp14:anchorId="1709FD52" wp14:editId="7547E2D1">
            <wp:extent cx="4937950" cy="2873787"/>
            <wp:effectExtent l="0" t="0" r="0" b="0"/>
            <wp:docPr id="629" name="image3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image363.jpeg"/>
                    <pic:cNvPicPr/>
                  </pic:nvPicPr>
                  <pic:blipFill>
                    <a:blip r:embed="rId433" cstate="print"/>
                    <a:stretch>
                      <a:fillRect/>
                    </a:stretch>
                  </pic:blipFill>
                  <pic:spPr>
                    <a:xfrm>
                      <a:off x="0" y="0"/>
                      <a:ext cx="4937950" cy="2873787"/>
                    </a:xfrm>
                    <a:prstGeom prst="rect">
                      <a:avLst/>
                    </a:prstGeom>
                  </pic:spPr>
                </pic:pic>
              </a:graphicData>
            </a:graphic>
          </wp:inline>
        </w:drawing>
      </w:r>
    </w:p>
    <w:p w14:paraId="4A3FC4D6" w14:textId="77777777" w:rsidR="00A71EEF" w:rsidRDefault="00A71EEF">
      <w:pPr>
        <w:pStyle w:val="a3"/>
        <w:spacing w:before="3"/>
        <w:rPr>
          <w:b/>
          <w:sz w:val="14"/>
        </w:rPr>
      </w:pPr>
    </w:p>
    <w:p w14:paraId="0B6F2594" w14:textId="77777777" w:rsidR="00A71EEF" w:rsidRDefault="0081115D">
      <w:pPr>
        <w:pStyle w:val="a4"/>
        <w:numPr>
          <w:ilvl w:val="2"/>
          <w:numId w:val="190"/>
        </w:numPr>
        <w:tabs>
          <w:tab w:val="left" w:pos="1371"/>
        </w:tabs>
        <w:spacing w:line="446" w:lineRule="auto"/>
        <w:ind w:left="2571" w:right="1606" w:hanging="1731"/>
        <w:rPr>
          <w:b/>
          <w:sz w:val="21"/>
        </w:rPr>
      </w:pPr>
      <w:r>
        <w:rPr>
          <w:spacing w:val="-5"/>
          <w:sz w:val="21"/>
        </w:rPr>
        <w:t>各科住院床位数应根据医院统计数据确定，当无统计数据时可按表</w:t>
      </w:r>
      <w:r>
        <w:rPr>
          <w:spacing w:val="-5"/>
          <w:sz w:val="21"/>
        </w:rPr>
        <w:t xml:space="preserve"> </w:t>
      </w:r>
      <w:r>
        <w:rPr>
          <w:sz w:val="21"/>
        </w:rPr>
        <w:t>3.2.3</w:t>
      </w:r>
      <w:r>
        <w:rPr>
          <w:spacing w:val="-7"/>
          <w:sz w:val="21"/>
        </w:rPr>
        <w:t xml:space="preserve"> </w:t>
      </w:r>
      <w:r>
        <w:rPr>
          <w:spacing w:val="-7"/>
          <w:sz w:val="21"/>
        </w:rPr>
        <w:t>确定。</w:t>
      </w:r>
      <w:r>
        <w:rPr>
          <w:spacing w:val="-7"/>
          <w:sz w:val="21"/>
        </w:rPr>
        <w:t xml:space="preserve"> </w:t>
      </w:r>
      <w:r>
        <w:rPr>
          <w:b/>
          <w:sz w:val="21"/>
        </w:rPr>
        <w:t>表</w:t>
      </w:r>
      <w:r>
        <w:rPr>
          <w:b/>
          <w:sz w:val="21"/>
        </w:rPr>
        <w:t>3.2.3</w:t>
      </w:r>
      <w:r>
        <w:rPr>
          <w:b/>
          <w:spacing w:val="1"/>
          <w:sz w:val="21"/>
        </w:rPr>
        <w:t xml:space="preserve"> </w:t>
      </w:r>
      <w:r>
        <w:rPr>
          <w:b/>
          <w:spacing w:val="1"/>
          <w:sz w:val="21"/>
        </w:rPr>
        <w:t>各科住院床位数占医院总床位数比例</w:t>
      </w:r>
      <w:r>
        <w:rPr>
          <w:b/>
          <w:w w:val="99"/>
          <w:sz w:val="21"/>
        </w:rPr>
        <w:t xml:space="preserve"> </w:t>
      </w:r>
    </w:p>
    <w:p w14:paraId="42015E74" w14:textId="77777777" w:rsidR="00A71EEF" w:rsidRDefault="00A71EEF">
      <w:pPr>
        <w:pStyle w:val="a3"/>
        <w:rPr>
          <w:b/>
          <w:sz w:val="20"/>
        </w:rPr>
      </w:pPr>
    </w:p>
    <w:p w14:paraId="4991711D" w14:textId="77777777" w:rsidR="00A71EEF" w:rsidRDefault="00A71EEF">
      <w:pPr>
        <w:pStyle w:val="a3"/>
        <w:rPr>
          <w:b/>
          <w:sz w:val="19"/>
        </w:rPr>
      </w:pPr>
    </w:p>
    <w:p w14:paraId="6BAD51BB" w14:textId="77777777" w:rsidR="00A71EEF" w:rsidRDefault="0081115D">
      <w:pPr>
        <w:pStyle w:val="6"/>
        <w:ind w:right="912"/>
        <w:jc w:val="center"/>
      </w:pPr>
      <w:r>
        <w:rPr>
          <w:w w:val="99"/>
        </w:rPr>
        <w:t xml:space="preserve"> </w:t>
      </w:r>
    </w:p>
    <w:p w14:paraId="732557DC" w14:textId="77777777" w:rsidR="00A71EEF" w:rsidRDefault="00A71EEF">
      <w:pPr>
        <w:jc w:val="center"/>
        <w:sectPr w:rsidR="00A71EEF">
          <w:pgSz w:w="11910" w:h="16850"/>
          <w:pgMar w:top="1220" w:right="0" w:bottom="1420" w:left="1260" w:header="0" w:footer="1239" w:gutter="0"/>
          <w:cols w:space="720"/>
        </w:sectPr>
      </w:pPr>
    </w:p>
    <w:p w14:paraId="7AA88688" w14:textId="77777777" w:rsidR="00A71EEF" w:rsidRDefault="00A71EEF">
      <w:pPr>
        <w:pStyle w:val="a3"/>
        <w:rPr>
          <w:b/>
          <w:sz w:val="20"/>
        </w:rPr>
      </w:pPr>
    </w:p>
    <w:p w14:paraId="2E3E1A1A" w14:textId="77777777" w:rsidR="00A71EEF" w:rsidRDefault="00A71EEF">
      <w:pPr>
        <w:pStyle w:val="a3"/>
        <w:rPr>
          <w:b/>
          <w:sz w:val="20"/>
        </w:rPr>
      </w:pPr>
    </w:p>
    <w:p w14:paraId="1F7C1351" w14:textId="77777777" w:rsidR="00A71EEF" w:rsidRDefault="00A71EEF">
      <w:pPr>
        <w:pStyle w:val="a3"/>
        <w:rPr>
          <w:b/>
          <w:sz w:val="20"/>
        </w:rPr>
      </w:pPr>
    </w:p>
    <w:p w14:paraId="75FDC2EB" w14:textId="77777777" w:rsidR="00A71EEF" w:rsidRDefault="00A71EEF">
      <w:pPr>
        <w:pStyle w:val="a3"/>
        <w:rPr>
          <w:b/>
          <w:sz w:val="20"/>
        </w:rPr>
      </w:pPr>
    </w:p>
    <w:p w14:paraId="232BAFED" w14:textId="77777777" w:rsidR="00A71EEF" w:rsidRDefault="00A71EEF">
      <w:pPr>
        <w:pStyle w:val="a3"/>
        <w:rPr>
          <w:b/>
          <w:sz w:val="20"/>
        </w:rPr>
      </w:pPr>
    </w:p>
    <w:p w14:paraId="5E08E8FE" w14:textId="77777777" w:rsidR="00A71EEF" w:rsidRDefault="00A71EEF">
      <w:pPr>
        <w:pStyle w:val="a3"/>
        <w:rPr>
          <w:b/>
          <w:sz w:val="20"/>
        </w:rPr>
      </w:pPr>
    </w:p>
    <w:p w14:paraId="16DF4692" w14:textId="77777777" w:rsidR="00A71EEF" w:rsidRDefault="00A71EEF">
      <w:pPr>
        <w:pStyle w:val="a3"/>
        <w:rPr>
          <w:b/>
          <w:sz w:val="20"/>
        </w:rPr>
      </w:pPr>
    </w:p>
    <w:p w14:paraId="0EA310E8" w14:textId="77777777" w:rsidR="00A71EEF" w:rsidRDefault="00A71EEF">
      <w:pPr>
        <w:pStyle w:val="a3"/>
        <w:rPr>
          <w:b/>
          <w:sz w:val="20"/>
        </w:rPr>
      </w:pPr>
    </w:p>
    <w:p w14:paraId="20CC3ACC" w14:textId="77777777" w:rsidR="00A71EEF" w:rsidRDefault="00A71EEF">
      <w:pPr>
        <w:pStyle w:val="a3"/>
        <w:rPr>
          <w:b/>
          <w:sz w:val="20"/>
        </w:rPr>
      </w:pPr>
    </w:p>
    <w:p w14:paraId="55F86585" w14:textId="77777777" w:rsidR="00A71EEF" w:rsidRDefault="00A71EEF">
      <w:pPr>
        <w:pStyle w:val="a3"/>
        <w:rPr>
          <w:b/>
          <w:sz w:val="20"/>
        </w:rPr>
      </w:pPr>
    </w:p>
    <w:p w14:paraId="355B8F1C" w14:textId="77777777" w:rsidR="00A71EEF" w:rsidRDefault="00A71EEF">
      <w:pPr>
        <w:pStyle w:val="a3"/>
        <w:spacing w:before="2"/>
        <w:rPr>
          <w:b/>
          <w:sz w:val="27"/>
        </w:rPr>
      </w:pPr>
    </w:p>
    <w:p w14:paraId="148DFF50" w14:textId="77777777" w:rsidR="00A71EEF" w:rsidRDefault="0081115D">
      <w:pPr>
        <w:pStyle w:val="a3"/>
        <w:ind w:left="1168"/>
        <w:rPr>
          <w:sz w:val="20"/>
        </w:rPr>
      </w:pPr>
      <w:r>
        <w:rPr>
          <w:noProof/>
          <w:sz w:val="20"/>
        </w:rPr>
        <w:drawing>
          <wp:inline distT="0" distB="0" distL="0" distR="0" wp14:anchorId="61D55652" wp14:editId="505D854B">
            <wp:extent cx="4448174" cy="2847975"/>
            <wp:effectExtent l="0" t="0" r="0" b="0"/>
            <wp:docPr id="631" name="image3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image364.jpeg"/>
                    <pic:cNvPicPr/>
                  </pic:nvPicPr>
                  <pic:blipFill>
                    <a:blip r:embed="rId434" cstate="print"/>
                    <a:stretch>
                      <a:fillRect/>
                    </a:stretch>
                  </pic:blipFill>
                  <pic:spPr>
                    <a:xfrm>
                      <a:off x="0" y="0"/>
                      <a:ext cx="4448174" cy="2847975"/>
                    </a:xfrm>
                    <a:prstGeom prst="rect">
                      <a:avLst/>
                    </a:prstGeom>
                  </pic:spPr>
                </pic:pic>
              </a:graphicData>
            </a:graphic>
          </wp:inline>
        </w:drawing>
      </w:r>
    </w:p>
    <w:p w14:paraId="2688673F" w14:textId="77777777" w:rsidR="00A71EEF" w:rsidRDefault="00A71EEF">
      <w:pPr>
        <w:pStyle w:val="a3"/>
        <w:spacing w:before="6"/>
        <w:rPr>
          <w:b/>
          <w:sz w:val="7"/>
        </w:rPr>
      </w:pPr>
    </w:p>
    <w:p w14:paraId="59EDA4CA" w14:textId="77777777" w:rsidR="00A71EEF" w:rsidRDefault="0081115D">
      <w:pPr>
        <w:spacing w:before="67"/>
        <w:ind w:left="418"/>
        <w:rPr>
          <w:b/>
          <w:sz w:val="24"/>
        </w:rPr>
      </w:pPr>
      <w:r>
        <w:rPr>
          <w:b/>
          <w:sz w:val="24"/>
        </w:rPr>
        <w:t xml:space="preserve">4 </w:t>
      </w:r>
      <w:r>
        <w:rPr>
          <w:b/>
          <w:sz w:val="24"/>
        </w:rPr>
        <w:t>选址与总平面</w:t>
      </w:r>
      <w:r>
        <w:rPr>
          <w:b/>
          <w:w w:val="99"/>
          <w:sz w:val="24"/>
        </w:rPr>
        <w:t xml:space="preserve"> </w:t>
      </w:r>
    </w:p>
    <w:p w14:paraId="0CD7CF79" w14:textId="77777777" w:rsidR="00A71EEF" w:rsidRDefault="00A71EEF">
      <w:pPr>
        <w:pStyle w:val="a3"/>
        <w:spacing w:before="4"/>
        <w:rPr>
          <w:b/>
          <w:sz w:val="17"/>
        </w:rPr>
      </w:pPr>
    </w:p>
    <w:p w14:paraId="4E3F129F" w14:textId="77777777" w:rsidR="00A71EEF" w:rsidRDefault="0081115D">
      <w:pPr>
        <w:pStyle w:val="a4"/>
        <w:numPr>
          <w:ilvl w:val="1"/>
          <w:numId w:val="189"/>
        </w:numPr>
        <w:tabs>
          <w:tab w:val="left" w:pos="1159"/>
        </w:tabs>
        <w:ind w:hanging="319"/>
        <w:rPr>
          <w:b/>
          <w:sz w:val="21"/>
        </w:rPr>
      </w:pPr>
      <w:r>
        <w:rPr>
          <w:spacing w:val="-3"/>
          <w:sz w:val="21"/>
        </w:rPr>
        <w:t>选址</w:t>
      </w:r>
      <w:r>
        <w:rPr>
          <w:b/>
          <w:w w:val="99"/>
          <w:sz w:val="21"/>
        </w:rPr>
        <w:t xml:space="preserve"> </w:t>
      </w:r>
    </w:p>
    <w:p w14:paraId="64BA4A68" w14:textId="77777777" w:rsidR="00A71EEF" w:rsidRDefault="00A71EEF">
      <w:pPr>
        <w:pStyle w:val="a3"/>
        <w:spacing w:before="12"/>
        <w:rPr>
          <w:b/>
          <w:sz w:val="17"/>
        </w:rPr>
      </w:pPr>
    </w:p>
    <w:p w14:paraId="59C56028" w14:textId="77777777" w:rsidR="00A71EEF" w:rsidRDefault="0081115D">
      <w:pPr>
        <w:pStyle w:val="a4"/>
        <w:numPr>
          <w:ilvl w:val="2"/>
          <w:numId w:val="189"/>
        </w:numPr>
        <w:tabs>
          <w:tab w:val="left" w:pos="1424"/>
        </w:tabs>
        <w:spacing w:line="448" w:lineRule="auto"/>
        <w:ind w:right="2602" w:firstLine="0"/>
        <w:rPr>
          <w:sz w:val="21"/>
        </w:rPr>
      </w:pPr>
      <w:r>
        <w:rPr>
          <w:spacing w:val="-3"/>
          <w:sz w:val="21"/>
        </w:rPr>
        <w:t>综合医院选址应符合当地城镇规划、区域卫生规划和环保评估的要求。</w:t>
      </w:r>
      <w:r>
        <w:rPr>
          <w:b/>
          <w:spacing w:val="-3"/>
          <w:sz w:val="21"/>
        </w:rPr>
        <w:t>4.1.2</w:t>
      </w:r>
      <w:r>
        <w:rPr>
          <w:b/>
          <w:spacing w:val="103"/>
          <w:sz w:val="21"/>
        </w:rPr>
        <w:t xml:space="preserve"> </w:t>
      </w:r>
      <w:r>
        <w:rPr>
          <w:spacing w:val="-3"/>
          <w:sz w:val="21"/>
        </w:rPr>
        <w:t>基地选择应符合下列要求：</w:t>
      </w:r>
      <w:r>
        <w:rPr>
          <w:sz w:val="21"/>
        </w:rPr>
        <w:t xml:space="preserve"> </w:t>
      </w:r>
    </w:p>
    <w:p w14:paraId="0406B959" w14:textId="77777777" w:rsidR="00A71EEF" w:rsidRDefault="0081115D">
      <w:pPr>
        <w:pStyle w:val="a3"/>
        <w:spacing w:line="446" w:lineRule="auto"/>
        <w:ind w:left="838" w:right="6549"/>
      </w:pPr>
      <w:r>
        <w:t>交通方便，宜面临</w:t>
      </w:r>
      <w:r>
        <w:t xml:space="preserve"> 2 </w:t>
      </w:r>
      <w:r>
        <w:t>条城市道路；</w:t>
      </w:r>
      <w:r>
        <w:t xml:space="preserve"> </w:t>
      </w:r>
      <w:r>
        <w:t>宜便于利用城市基础设施；</w:t>
      </w:r>
      <w:r>
        <w:t xml:space="preserve"> </w:t>
      </w:r>
    </w:p>
    <w:p w14:paraId="11014481" w14:textId="77777777" w:rsidR="00A71EEF" w:rsidRDefault="0081115D">
      <w:pPr>
        <w:pStyle w:val="a3"/>
        <w:ind w:left="838"/>
      </w:pPr>
      <w:r>
        <w:t>环境宜安静，应远离污染源；</w:t>
      </w:r>
      <w:r>
        <w:t xml:space="preserve"> </w:t>
      </w:r>
    </w:p>
    <w:p w14:paraId="78ADD30A" w14:textId="77777777" w:rsidR="00A71EEF" w:rsidRDefault="00A71EEF">
      <w:pPr>
        <w:pStyle w:val="a3"/>
        <w:spacing w:before="7"/>
        <w:rPr>
          <w:sz w:val="17"/>
        </w:rPr>
      </w:pPr>
    </w:p>
    <w:p w14:paraId="3F862018" w14:textId="77777777" w:rsidR="00A71EEF" w:rsidRDefault="0081115D">
      <w:pPr>
        <w:pStyle w:val="a3"/>
        <w:ind w:left="838"/>
      </w:pPr>
      <w:r>
        <w:t>地形宜力求规整，适宜医院功能布局；</w:t>
      </w:r>
      <w:r>
        <w:t xml:space="preserve"> </w:t>
      </w:r>
    </w:p>
    <w:p w14:paraId="1789FD22" w14:textId="77777777" w:rsidR="00A71EEF" w:rsidRDefault="00A71EEF">
      <w:pPr>
        <w:pStyle w:val="a3"/>
        <w:rPr>
          <w:sz w:val="18"/>
        </w:rPr>
      </w:pPr>
    </w:p>
    <w:p w14:paraId="23C0AE9C" w14:textId="77777777" w:rsidR="00A71EEF" w:rsidRDefault="0081115D">
      <w:pPr>
        <w:pStyle w:val="a3"/>
        <w:spacing w:line="446" w:lineRule="auto"/>
        <w:ind w:left="838" w:right="3397"/>
      </w:pPr>
      <w:r>
        <w:t>远离易燃、易爆物品的生产和储存区，并应远离高压线路及其设施；</w:t>
      </w:r>
      <w:r>
        <w:t xml:space="preserve"> </w:t>
      </w:r>
      <w:r>
        <w:t>不应临近少年儿童活动密集场所；</w:t>
      </w:r>
      <w:r>
        <w:t xml:space="preserve"> </w:t>
      </w:r>
    </w:p>
    <w:p w14:paraId="31F7656C" w14:textId="77777777" w:rsidR="00A71EEF" w:rsidRDefault="0081115D">
      <w:pPr>
        <w:spacing w:line="446" w:lineRule="auto"/>
        <w:ind w:left="840" w:right="6549" w:hanging="3"/>
        <w:rPr>
          <w:b/>
          <w:sz w:val="21"/>
        </w:rPr>
      </w:pPr>
      <w:r>
        <w:rPr>
          <w:sz w:val="21"/>
        </w:rPr>
        <w:t>不应污染、影响城市的其他区域。</w:t>
      </w:r>
      <w:r>
        <w:rPr>
          <w:b/>
          <w:sz w:val="21"/>
        </w:rPr>
        <w:t xml:space="preserve">4.2 </w:t>
      </w:r>
      <w:r>
        <w:rPr>
          <w:sz w:val="21"/>
        </w:rPr>
        <w:t>总平面</w:t>
      </w:r>
      <w:r>
        <w:rPr>
          <w:b/>
          <w:w w:val="99"/>
          <w:sz w:val="21"/>
        </w:rPr>
        <w:t xml:space="preserve"> </w:t>
      </w:r>
    </w:p>
    <w:p w14:paraId="7AFAB666" w14:textId="77777777" w:rsidR="00A71EEF" w:rsidRDefault="00A71EEF">
      <w:pPr>
        <w:spacing w:line="446" w:lineRule="auto"/>
        <w:rPr>
          <w:sz w:val="21"/>
        </w:rPr>
        <w:sectPr w:rsidR="00A71EEF">
          <w:pgSz w:w="11910" w:h="16850"/>
          <w:pgMar w:top="1600" w:right="0" w:bottom="1420" w:left="1260" w:header="0" w:footer="1239" w:gutter="0"/>
          <w:cols w:space="720"/>
        </w:sectPr>
      </w:pPr>
    </w:p>
    <w:p w14:paraId="7F3462E8" w14:textId="77777777" w:rsidR="00A71EEF" w:rsidRDefault="0081115D">
      <w:pPr>
        <w:spacing w:before="47"/>
        <w:ind w:left="840"/>
        <w:rPr>
          <w:sz w:val="21"/>
        </w:rPr>
      </w:pPr>
      <w:r>
        <w:rPr>
          <w:b/>
          <w:sz w:val="21"/>
        </w:rPr>
        <w:t xml:space="preserve">4.2.1 </w:t>
      </w:r>
      <w:r>
        <w:rPr>
          <w:sz w:val="21"/>
        </w:rPr>
        <w:t>总平面设计应符合下列要求：</w:t>
      </w:r>
      <w:r>
        <w:rPr>
          <w:sz w:val="21"/>
        </w:rPr>
        <w:t xml:space="preserve">  </w:t>
      </w:r>
      <w:r>
        <w:rPr>
          <w:sz w:val="21"/>
        </w:rPr>
        <w:t xml:space="preserve"> </w:t>
      </w:r>
    </w:p>
    <w:p w14:paraId="17C3683A" w14:textId="77777777" w:rsidR="00A71EEF" w:rsidRDefault="00A71EEF">
      <w:pPr>
        <w:pStyle w:val="a3"/>
        <w:rPr>
          <w:sz w:val="18"/>
        </w:rPr>
      </w:pPr>
    </w:p>
    <w:p w14:paraId="3E823BFB" w14:textId="77777777" w:rsidR="00A71EEF" w:rsidRDefault="0081115D">
      <w:pPr>
        <w:pStyle w:val="a3"/>
        <w:ind w:left="838"/>
      </w:pPr>
      <w:r>
        <w:t>合理进行功能分区，洁污、医患、人车等流线组织清晰，并应避免院内感染风险；</w:t>
      </w:r>
      <w:r>
        <w:t xml:space="preserve">  </w:t>
      </w:r>
      <w:r>
        <w:t xml:space="preserve"> </w:t>
      </w:r>
    </w:p>
    <w:p w14:paraId="2543EDE4" w14:textId="77777777" w:rsidR="00A71EEF" w:rsidRDefault="00A71EEF">
      <w:pPr>
        <w:pStyle w:val="a3"/>
        <w:rPr>
          <w:sz w:val="18"/>
        </w:rPr>
      </w:pPr>
    </w:p>
    <w:p w14:paraId="3A0A1846" w14:textId="77777777" w:rsidR="00A71EEF" w:rsidRDefault="0081115D">
      <w:pPr>
        <w:pStyle w:val="a3"/>
        <w:ind w:left="838"/>
      </w:pPr>
      <w:r>
        <w:t>建筑布局紧凑，交通便捷，并应方便管理、减少能耗；</w:t>
      </w:r>
      <w:r>
        <w:t xml:space="preserve">  </w:t>
      </w:r>
      <w:r>
        <w:t xml:space="preserve"> </w:t>
      </w:r>
    </w:p>
    <w:p w14:paraId="3052041B" w14:textId="77777777" w:rsidR="00A71EEF" w:rsidRDefault="00A71EEF">
      <w:pPr>
        <w:pStyle w:val="a3"/>
        <w:spacing w:before="1"/>
        <w:rPr>
          <w:sz w:val="18"/>
        </w:rPr>
      </w:pPr>
    </w:p>
    <w:p w14:paraId="55744F02" w14:textId="77777777" w:rsidR="00A71EEF" w:rsidRDefault="0081115D">
      <w:pPr>
        <w:pStyle w:val="a3"/>
        <w:spacing w:before="1"/>
        <w:ind w:left="838"/>
      </w:pPr>
      <w:r>
        <w:t>应保证住院、手术、功能检查和教学科研等用房的环境安静；</w:t>
      </w:r>
      <w:r>
        <w:t xml:space="preserve">  </w:t>
      </w:r>
      <w:r>
        <w:t xml:space="preserve"> </w:t>
      </w:r>
    </w:p>
    <w:p w14:paraId="6A07D957" w14:textId="77777777" w:rsidR="00A71EEF" w:rsidRDefault="00A71EEF">
      <w:pPr>
        <w:pStyle w:val="a3"/>
        <w:spacing w:before="12"/>
        <w:rPr>
          <w:sz w:val="17"/>
        </w:rPr>
      </w:pPr>
    </w:p>
    <w:p w14:paraId="4A29C1BC" w14:textId="77777777" w:rsidR="00A71EEF" w:rsidRDefault="0081115D">
      <w:pPr>
        <w:pStyle w:val="a3"/>
        <w:ind w:left="838"/>
      </w:pPr>
      <w:r>
        <w:t>病房宜能获得良好朝向；</w:t>
      </w:r>
      <w:r>
        <w:t xml:space="preserve">  </w:t>
      </w:r>
      <w:r>
        <w:t xml:space="preserve"> </w:t>
      </w:r>
    </w:p>
    <w:p w14:paraId="3EFA2F0D" w14:textId="77777777" w:rsidR="00A71EEF" w:rsidRDefault="00A71EEF">
      <w:pPr>
        <w:pStyle w:val="a3"/>
        <w:spacing w:before="12"/>
        <w:rPr>
          <w:sz w:val="17"/>
        </w:rPr>
      </w:pPr>
    </w:p>
    <w:p w14:paraId="1EEBD2D4" w14:textId="77777777" w:rsidR="00A71EEF" w:rsidRDefault="0081115D">
      <w:pPr>
        <w:pStyle w:val="a3"/>
        <w:ind w:left="838"/>
      </w:pPr>
      <w:r>
        <w:t>宜留有可发展或改建、扩建的用地；</w:t>
      </w:r>
      <w:r>
        <w:t xml:space="preserve">  </w:t>
      </w:r>
      <w:r>
        <w:t xml:space="preserve"> </w:t>
      </w:r>
    </w:p>
    <w:p w14:paraId="5803BEF8" w14:textId="77777777" w:rsidR="00A71EEF" w:rsidRDefault="00A71EEF">
      <w:pPr>
        <w:pStyle w:val="a3"/>
        <w:spacing w:before="2"/>
        <w:rPr>
          <w:sz w:val="18"/>
        </w:rPr>
      </w:pPr>
    </w:p>
    <w:p w14:paraId="22C21387" w14:textId="77777777" w:rsidR="00A71EEF" w:rsidRDefault="0081115D">
      <w:pPr>
        <w:pStyle w:val="a3"/>
        <w:ind w:left="838"/>
      </w:pPr>
      <w:r>
        <w:t>应有完整的绿化规划；</w:t>
      </w:r>
      <w:r>
        <w:t xml:space="preserve">  </w:t>
      </w:r>
      <w:r>
        <w:t xml:space="preserve"> </w:t>
      </w:r>
    </w:p>
    <w:p w14:paraId="0A73D6F2" w14:textId="77777777" w:rsidR="00A71EEF" w:rsidRDefault="00A71EEF">
      <w:pPr>
        <w:pStyle w:val="a3"/>
        <w:rPr>
          <w:sz w:val="18"/>
        </w:rPr>
      </w:pPr>
    </w:p>
    <w:p w14:paraId="1909BE89" w14:textId="77777777" w:rsidR="00A71EEF" w:rsidRDefault="0081115D">
      <w:pPr>
        <w:pStyle w:val="a3"/>
        <w:spacing w:line="446" w:lineRule="auto"/>
        <w:ind w:left="840" w:right="2554" w:hanging="3"/>
      </w:pPr>
      <w:r>
        <w:t>对废弃物的处理作出妥善的安排，并应符合有关环境保护法令、法规的规定。</w:t>
      </w:r>
      <w:r>
        <w:rPr>
          <w:b/>
        </w:rPr>
        <w:t xml:space="preserve">4.2.2 </w:t>
      </w:r>
      <w:r>
        <w:t>医院出入口不应少于</w:t>
      </w:r>
      <w:r>
        <w:t xml:space="preserve"> 2 </w:t>
      </w:r>
      <w:r>
        <w:t>处，人员出入口不应兼作尸体或废弃物出口。</w:t>
      </w:r>
      <w:r>
        <w:t xml:space="preserve"> </w:t>
      </w:r>
    </w:p>
    <w:p w14:paraId="25DF3F39" w14:textId="77777777" w:rsidR="00A71EEF" w:rsidRDefault="0081115D">
      <w:pPr>
        <w:pStyle w:val="a4"/>
        <w:numPr>
          <w:ilvl w:val="2"/>
          <w:numId w:val="188"/>
        </w:numPr>
        <w:tabs>
          <w:tab w:val="left" w:pos="1370"/>
        </w:tabs>
        <w:ind w:hanging="530"/>
        <w:rPr>
          <w:sz w:val="21"/>
        </w:rPr>
      </w:pPr>
      <w:r>
        <w:rPr>
          <w:spacing w:val="-3"/>
          <w:sz w:val="21"/>
        </w:rPr>
        <w:t>在门诊、急诊和住院用房等入口附近应设车辆停放场地。</w:t>
      </w:r>
      <w:r>
        <w:rPr>
          <w:spacing w:val="-3"/>
          <w:sz w:val="21"/>
        </w:rPr>
        <w:t xml:space="preserve"> </w:t>
      </w:r>
      <w:r>
        <w:rPr>
          <w:spacing w:val="-2"/>
          <w:sz w:val="21"/>
        </w:rPr>
        <w:t xml:space="preserve"> </w:t>
      </w:r>
      <w:r>
        <w:rPr>
          <w:sz w:val="21"/>
        </w:rPr>
        <w:t xml:space="preserve"> </w:t>
      </w:r>
    </w:p>
    <w:p w14:paraId="0089430E" w14:textId="77777777" w:rsidR="00A71EEF" w:rsidRDefault="00A71EEF">
      <w:pPr>
        <w:pStyle w:val="a3"/>
        <w:rPr>
          <w:sz w:val="18"/>
        </w:rPr>
      </w:pPr>
    </w:p>
    <w:p w14:paraId="2CDE1F4B" w14:textId="77777777" w:rsidR="00A71EEF" w:rsidRDefault="0081115D">
      <w:pPr>
        <w:pStyle w:val="a4"/>
        <w:numPr>
          <w:ilvl w:val="2"/>
          <w:numId w:val="188"/>
        </w:numPr>
        <w:tabs>
          <w:tab w:val="left" w:pos="1371"/>
        </w:tabs>
        <w:spacing w:line="446" w:lineRule="auto"/>
        <w:ind w:left="418" w:right="1498" w:firstLine="422"/>
        <w:rPr>
          <w:sz w:val="21"/>
        </w:rPr>
      </w:pPr>
      <w:r>
        <w:rPr>
          <w:spacing w:val="-3"/>
          <w:sz w:val="21"/>
        </w:rPr>
        <w:t>太平间、病理解剖室应设于医院隐蔽处。需设焚烧炉时，应避免风向影响，并应与主体建筑隔离。尸体运送路线应避免与出入院路线交叉。</w:t>
      </w:r>
      <w:r>
        <w:rPr>
          <w:sz w:val="21"/>
        </w:rPr>
        <w:t xml:space="preserve"> </w:t>
      </w:r>
    </w:p>
    <w:p w14:paraId="6063445B" w14:textId="77777777" w:rsidR="00A71EEF" w:rsidRDefault="0081115D">
      <w:pPr>
        <w:pStyle w:val="a4"/>
        <w:numPr>
          <w:ilvl w:val="2"/>
          <w:numId w:val="188"/>
        </w:numPr>
        <w:tabs>
          <w:tab w:val="left" w:pos="1371"/>
        </w:tabs>
        <w:ind w:left="1370" w:hanging="531"/>
        <w:rPr>
          <w:sz w:val="21"/>
        </w:rPr>
      </w:pPr>
      <w:r>
        <w:rPr>
          <w:spacing w:val="-3"/>
          <w:sz w:val="21"/>
        </w:rPr>
        <w:t>环境设计应符合下列要求：</w:t>
      </w:r>
      <w:r>
        <w:rPr>
          <w:spacing w:val="-3"/>
          <w:sz w:val="21"/>
        </w:rPr>
        <w:t xml:space="preserve"> </w:t>
      </w:r>
      <w:r>
        <w:rPr>
          <w:spacing w:val="-2"/>
          <w:sz w:val="21"/>
        </w:rPr>
        <w:t xml:space="preserve"> </w:t>
      </w:r>
      <w:r>
        <w:rPr>
          <w:sz w:val="21"/>
        </w:rPr>
        <w:t xml:space="preserve"> </w:t>
      </w:r>
    </w:p>
    <w:p w14:paraId="5B4240AB" w14:textId="77777777" w:rsidR="00A71EEF" w:rsidRDefault="00A71EEF">
      <w:pPr>
        <w:pStyle w:val="a3"/>
        <w:spacing w:before="12"/>
        <w:rPr>
          <w:sz w:val="17"/>
        </w:rPr>
      </w:pPr>
    </w:p>
    <w:p w14:paraId="17B7CDF8" w14:textId="77777777" w:rsidR="00A71EEF" w:rsidRDefault="0081115D">
      <w:pPr>
        <w:pStyle w:val="a3"/>
        <w:spacing w:line="446" w:lineRule="auto"/>
        <w:ind w:left="418" w:right="2029" w:firstLine="419"/>
      </w:pPr>
      <w:r>
        <w:t>充分利用地形、防护间距和其他空地布置绿化景观，并应有供患者康复活动的专用绿地；</w:t>
      </w:r>
      <w:r>
        <w:t xml:space="preserve">  </w:t>
      </w:r>
      <w:r>
        <w:t xml:space="preserve"> </w:t>
      </w:r>
    </w:p>
    <w:p w14:paraId="01656183" w14:textId="77777777" w:rsidR="00A71EEF" w:rsidRDefault="0081115D">
      <w:pPr>
        <w:pStyle w:val="a3"/>
        <w:spacing w:line="446" w:lineRule="auto"/>
        <w:ind w:left="838" w:right="2134"/>
      </w:pPr>
      <w:r>
        <w:rPr>
          <w:spacing w:val="-3"/>
        </w:rPr>
        <w:t>应对绿化、景观、建筑内外空间、环境和室内外标识导向系统等做综合性设计；</w:t>
      </w:r>
      <w:r>
        <w:rPr>
          <w:spacing w:val="-3"/>
        </w:rPr>
        <w:t xml:space="preserve">  </w:t>
      </w:r>
      <w:r>
        <w:rPr>
          <w:spacing w:val="-3"/>
        </w:rPr>
        <w:t>在儿科用房及其入口附近，宜采取符合儿童生理和心理特点的环境设计。</w:t>
      </w:r>
      <w:r>
        <w:rPr>
          <w:spacing w:val="-3"/>
        </w:rPr>
        <w:t xml:space="preserve">     </w:t>
      </w:r>
      <w:r>
        <w:rPr>
          <w:b/>
          <w:spacing w:val="-3"/>
        </w:rPr>
        <w:t>4.2.6</w:t>
      </w:r>
      <w:r>
        <w:rPr>
          <w:b/>
          <w:spacing w:val="4"/>
        </w:rPr>
        <w:t xml:space="preserve"> </w:t>
      </w:r>
      <w:r>
        <w:rPr>
          <w:spacing w:val="-5"/>
        </w:rPr>
        <w:t>病房建筑的前后间距应满足日照和卫生间距要求，且不宜小于</w:t>
      </w:r>
      <w:r>
        <w:rPr>
          <w:spacing w:val="-5"/>
        </w:rPr>
        <w:t xml:space="preserve"> </w:t>
      </w:r>
      <w:r>
        <w:t>12m</w:t>
      </w:r>
      <w:r>
        <w:rPr>
          <w:spacing w:val="-3"/>
        </w:rPr>
        <w:t>。</w:t>
      </w:r>
      <w:r>
        <w:t xml:space="preserve">  </w:t>
      </w:r>
      <w:r>
        <w:t xml:space="preserve"> </w:t>
      </w:r>
    </w:p>
    <w:p w14:paraId="295A9DD5" w14:textId="77777777" w:rsidR="00A71EEF" w:rsidRDefault="0081115D">
      <w:pPr>
        <w:pStyle w:val="a3"/>
        <w:spacing w:line="446" w:lineRule="auto"/>
        <w:ind w:left="418" w:right="1498" w:firstLine="422"/>
      </w:pPr>
      <w:r>
        <w:rPr>
          <w:b/>
        </w:rPr>
        <w:t xml:space="preserve">4.2.7 </w:t>
      </w:r>
      <w:r>
        <w:t>在医疗用地内不得建职工住宅。医疗用地与职工住宅用地毗连时，应分隔，并应另设出入口。</w:t>
      </w:r>
      <w:r>
        <w:t xml:space="preserve"> </w:t>
      </w:r>
    </w:p>
    <w:p w14:paraId="1465B38C" w14:textId="77777777" w:rsidR="00A71EEF" w:rsidRDefault="0081115D">
      <w:pPr>
        <w:pStyle w:val="4"/>
        <w:spacing w:line="276" w:lineRule="exact"/>
      </w:pPr>
      <w:r>
        <w:t xml:space="preserve">5 </w:t>
      </w:r>
      <w:r>
        <w:t>建筑设计</w:t>
      </w:r>
      <w:r>
        <w:rPr>
          <w:w w:val="99"/>
        </w:rPr>
        <w:t xml:space="preserve"> </w:t>
      </w:r>
    </w:p>
    <w:p w14:paraId="1CA5C58F" w14:textId="77777777" w:rsidR="00A71EEF" w:rsidRDefault="00A71EEF">
      <w:pPr>
        <w:pStyle w:val="a3"/>
        <w:spacing w:before="5"/>
        <w:rPr>
          <w:b/>
          <w:sz w:val="17"/>
        </w:rPr>
      </w:pPr>
    </w:p>
    <w:p w14:paraId="1E98C9EB" w14:textId="77777777" w:rsidR="00A71EEF" w:rsidRDefault="0081115D">
      <w:pPr>
        <w:pStyle w:val="a4"/>
        <w:numPr>
          <w:ilvl w:val="1"/>
          <w:numId w:val="187"/>
        </w:numPr>
        <w:tabs>
          <w:tab w:val="left" w:pos="1159"/>
        </w:tabs>
        <w:ind w:hanging="319"/>
        <w:rPr>
          <w:b/>
          <w:sz w:val="21"/>
        </w:rPr>
      </w:pPr>
      <w:r>
        <w:rPr>
          <w:spacing w:val="-3"/>
          <w:sz w:val="21"/>
        </w:rPr>
        <w:t>一般规定</w:t>
      </w:r>
      <w:r>
        <w:rPr>
          <w:b/>
          <w:w w:val="99"/>
          <w:sz w:val="21"/>
        </w:rPr>
        <w:t xml:space="preserve"> </w:t>
      </w:r>
    </w:p>
    <w:p w14:paraId="6686F8B9" w14:textId="77777777" w:rsidR="00A71EEF" w:rsidRDefault="00A71EEF">
      <w:pPr>
        <w:pStyle w:val="a3"/>
        <w:spacing w:before="12"/>
        <w:rPr>
          <w:b/>
          <w:sz w:val="17"/>
        </w:rPr>
      </w:pPr>
    </w:p>
    <w:p w14:paraId="6300CA2D" w14:textId="77777777" w:rsidR="00A71EEF" w:rsidRDefault="0081115D">
      <w:pPr>
        <w:pStyle w:val="a4"/>
        <w:numPr>
          <w:ilvl w:val="2"/>
          <w:numId w:val="187"/>
        </w:numPr>
        <w:tabs>
          <w:tab w:val="left" w:pos="1371"/>
        </w:tabs>
        <w:spacing w:line="446" w:lineRule="auto"/>
        <w:ind w:right="1498" w:firstLine="422"/>
        <w:rPr>
          <w:sz w:val="21"/>
        </w:rPr>
      </w:pPr>
      <w:r>
        <w:rPr>
          <w:spacing w:val="-3"/>
          <w:sz w:val="21"/>
        </w:rPr>
        <w:t>主体建筑的平面布置、结构形式和机电设计，应为今后发展、改造和灵活分隔创造条件。</w:t>
      </w:r>
      <w:r>
        <w:rPr>
          <w:sz w:val="21"/>
        </w:rPr>
        <w:t xml:space="preserve"> </w:t>
      </w:r>
    </w:p>
    <w:p w14:paraId="30591756" w14:textId="77777777" w:rsidR="00A71EEF" w:rsidRDefault="0081115D">
      <w:pPr>
        <w:pStyle w:val="a4"/>
        <w:numPr>
          <w:ilvl w:val="2"/>
          <w:numId w:val="187"/>
        </w:numPr>
        <w:tabs>
          <w:tab w:val="left" w:pos="1371"/>
        </w:tabs>
        <w:ind w:left="1370"/>
        <w:rPr>
          <w:sz w:val="21"/>
        </w:rPr>
      </w:pPr>
      <w:r>
        <w:rPr>
          <w:spacing w:val="-3"/>
          <w:sz w:val="21"/>
        </w:rPr>
        <w:t>建筑物出入口的设置应符合下列要求：</w:t>
      </w:r>
      <w:r>
        <w:rPr>
          <w:spacing w:val="-3"/>
          <w:sz w:val="21"/>
        </w:rPr>
        <w:t xml:space="preserve">  </w:t>
      </w:r>
      <w:r>
        <w:rPr>
          <w:spacing w:val="-2"/>
          <w:sz w:val="21"/>
        </w:rPr>
        <w:t xml:space="preserve"> </w:t>
      </w:r>
      <w:r>
        <w:rPr>
          <w:sz w:val="21"/>
        </w:rPr>
        <w:t xml:space="preserve"> </w:t>
      </w:r>
    </w:p>
    <w:p w14:paraId="64E102CD" w14:textId="77777777" w:rsidR="00A71EEF" w:rsidRDefault="00A71EEF">
      <w:pPr>
        <w:pStyle w:val="a3"/>
        <w:rPr>
          <w:sz w:val="18"/>
        </w:rPr>
      </w:pPr>
    </w:p>
    <w:p w14:paraId="27355408" w14:textId="77777777" w:rsidR="00A71EEF" w:rsidRDefault="0081115D">
      <w:pPr>
        <w:pStyle w:val="a3"/>
        <w:ind w:left="838"/>
      </w:pPr>
      <w:r>
        <w:t>门诊、急诊、急救和住院应分别设置无障碍出入口；</w:t>
      </w:r>
      <w:r>
        <w:t xml:space="preserve">   </w:t>
      </w:r>
      <w:r>
        <w:t xml:space="preserve"> </w:t>
      </w:r>
    </w:p>
    <w:p w14:paraId="43E57D6A" w14:textId="77777777" w:rsidR="00A71EEF" w:rsidRDefault="00A71EEF">
      <w:pPr>
        <w:pStyle w:val="a3"/>
        <w:rPr>
          <w:sz w:val="18"/>
        </w:rPr>
      </w:pPr>
    </w:p>
    <w:p w14:paraId="5609226C" w14:textId="77777777" w:rsidR="00A71EEF" w:rsidRDefault="0081115D">
      <w:pPr>
        <w:pStyle w:val="a3"/>
        <w:spacing w:line="446" w:lineRule="auto"/>
        <w:ind w:left="840" w:right="2345" w:hanging="3"/>
      </w:pPr>
      <w:r>
        <w:t>门诊、急诊、急救和住院主要出入口处，应有机动车停靠的平台，并应设雨篷。</w:t>
      </w:r>
      <w:r>
        <w:rPr>
          <w:b/>
        </w:rPr>
        <w:t xml:space="preserve">5.1.3 </w:t>
      </w:r>
      <w:r>
        <w:t>应设置具有引导、管理等功能的标识系统，并应符合下列要求：</w:t>
      </w:r>
      <w:r>
        <w:t xml:space="preserve">   </w:t>
      </w:r>
      <w:r>
        <w:t xml:space="preserve"> </w:t>
      </w:r>
    </w:p>
    <w:p w14:paraId="377A7E0C" w14:textId="77777777" w:rsidR="00A71EEF" w:rsidRDefault="00A71EEF">
      <w:pPr>
        <w:spacing w:line="446" w:lineRule="auto"/>
        <w:sectPr w:rsidR="00A71EEF">
          <w:footerReference w:type="default" r:id="rId435"/>
          <w:pgSz w:w="11910" w:h="16850"/>
          <w:pgMar w:top="1220" w:right="0" w:bottom="1420" w:left="1260" w:header="0" w:footer="1239" w:gutter="0"/>
          <w:pgNumType w:start="1440"/>
          <w:cols w:space="720"/>
        </w:sectPr>
      </w:pPr>
    </w:p>
    <w:p w14:paraId="71427304" w14:textId="77777777" w:rsidR="00A71EEF" w:rsidRDefault="0081115D">
      <w:pPr>
        <w:pStyle w:val="a3"/>
        <w:spacing w:before="47"/>
        <w:ind w:left="838"/>
      </w:pPr>
      <w:r>
        <w:t>标识系统可采用多种方式实现；</w:t>
      </w:r>
      <w:r>
        <w:t xml:space="preserve">   </w:t>
      </w:r>
      <w:r>
        <w:t xml:space="preserve"> </w:t>
      </w:r>
    </w:p>
    <w:p w14:paraId="1D43466F" w14:textId="77777777" w:rsidR="00A71EEF" w:rsidRDefault="00A71EEF">
      <w:pPr>
        <w:pStyle w:val="a3"/>
        <w:rPr>
          <w:sz w:val="18"/>
        </w:rPr>
      </w:pPr>
    </w:p>
    <w:p w14:paraId="38F1CC0B" w14:textId="77777777" w:rsidR="00A71EEF" w:rsidRDefault="0081115D">
      <w:pPr>
        <w:pStyle w:val="a3"/>
        <w:ind w:left="838"/>
      </w:pPr>
      <w:r>
        <w:t>标识导向分级宜按表</w:t>
      </w:r>
      <w:r>
        <w:t xml:space="preserve"> 5.1.3 </w:t>
      </w:r>
      <w:r>
        <w:t>设置。</w:t>
      </w:r>
      <w:r>
        <w:t xml:space="preserve"> </w:t>
      </w:r>
    </w:p>
    <w:p w14:paraId="2F2D92EC" w14:textId="77777777" w:rsidR="00A71EEF" w:rsidRDefault="00A71EEF">
      <w:pPr>
        <w:pStyle w:val="a3"/>
        <w:rPr>
          <w:sz w:val="20"/>
        </w:rPr>
      </w:pPr>
    </w:p>
    <w:p w14:paraId="026A21CF" w14:textId="77777777" w:rsidR="00A71EEF" w:rsidRDefault="00A71EEF">
      <w:pPr>
        <w:pStyle w:val="a3"/>
        <w:rPr>
          <w:sz w:val="20"/>
        </w:rPr>
      </w:pPr>
    </w:p>
    <w:p w14:paraId="3C9FACE9" w14:textId="77777777" w:rsidR="00A71EEF" w:rsidRDefault="00A71EEF">
      <w:pPr>
        <w:pStyle w:val="a3"/>
        <w:rPr>
          <w:sz w:val="20"/>
        </w:rPr>
      </w:pPr>
    </w:p>
    <w:p w14:paraId="54B92EA7" w14:textId="77777777" w:rsidR="00A71EEF" w:rsidRDefault="00A71EEF">
      <w:pPr>
        <w:pStyle w:val="a3"/>
        <w:rPr>
          <w:sz w:val="20"/>
        </w:rPr>
      </w:pPr>
    </w:p>
    <w:p w14:paraId="5F3F9C80" w14:textId="77777777" w:rsidR="00A71EEF" w:rsidRDefault="00A71EEF">
      <w:pPr>
        <w:pStyle w:val="a3"/>
        <w:rPr>
          <w:sz w:val="20"/>
        </w:rPr>
      </w:pPr>
    </w:p>
    <w:p w14:paraId="2663C08E" w14:textId="77777777" w:rsidR="00A71EEF" w:rsidRDefault="00A71EEF">
      <w:pPr>
        <w:pStyle w:val="a3"/>
        <w:rPr>
          <w:sz w:val="20"/>
        </w:rPr>
      </w:pPr>
    </w:p>
    <w:p w14:paraId="5BDECA32" w14:textId="77777777" w:rsidR="00A71EEF" w:rsidRDefault="00A71EEF">
      <w:pPr>
        <w:pStyle w:val="a3"/>
        <w:rPr>
          <w:sz w:val="20"/>
        </w:rPr>
      </w:pPr>
    </w:p>
    <w:p w14:paraId="0CFFCC5D" w14:textId="77777777" w:rsidR="00A71EEF" w:rsidRDefault="00A71EEF">
      <w:pPr>
        <w:pStyle w:val="a3"/>
        <w:rPr>
          <w:sz w:val="20"/>
        </w:rPr>
      </w:pPr>
    </w:p>
    <w:p w14:paraId="4C4FCA5A" w14:textId="77777777" w:rsidR="00A71EEF" w:rsidRDefault="00A71EEF">
      <w:pPr>
        <w:pStyle w:val="a3"/>
        <w:rPr>
          <w:sz w:val="20"/>
        </w:rPr>
      </w:pPr>
    </w:p>
    <w:p w14:paraId="2C12ABDF" w14:textId="77777777" w:rsidR="00A71EEF" w:rsidRDefault="00A71EEF">
      <w:pPr>
        <w:pStyle w:val="a3"/>
        <w:rPr>
          <w:sz w:val="20"/>
        </w:rPr>
      </w:pPr>
    </w:p>
    <w:p w14:paraId="6358674C" w14:textId="77777777" w:rsidR="00A71EEF" w:rsidRDefault="00A71EEF">
      <w:pPr>
        <w:pStyle w:val="a3"/>
        <w:rPr>
          <w:sz w:val="20"/>
        </w:rPr>
      </w:pPr>
    </w:p>
    <w:p w14:paraId="517FADEB" w14:textId="77777777" w:rsidR="00A71EEF" w:rsidRDefault="00A71EEF">
      <w:pPr>
        <w:pStyle w:val="a3"/>
        <w:spacing w:before="7"/>
        <w:rPr>
          <w:sz w:val="26"/>
        </w:rPr>
      </w:pPr>
    </w:p>
    <w:p w14:paraId="2A3FEC03" w14:textId="77777777" w:rsidR="00A71EEF" w:rsidRDefault="0081115D">
      <w:pPr>
        <w:pStyle w:val="6"/>
        <w:spacing w:before="72"/>
        <w:ind w:left="3413"/>
      </w:pPr>
      <w:r>
        <w:t>表</w:t>
      </w:r>
      <w:r>
        <w:t xml:space="preserve"> 5.1.3 </w:t>
      </w:r>
      <w:r>
        <w:t>医院标识导向分级</w:t>
      </w:r>
      <w:r>
        <w:rPr>
          <w:w w:val="99"/>
        </w:rPr>
        <w:t xml:space="preserve"> </w:t>
      </w:r>
    </w:p>
    <w:p w14:paraId="714DE82F" w14:textId="77777777" w:rsidR="00A71EEF" w:rsidRDefault="00A71EEF">
      <w:pPr>
        <w:pStyle w:val="a3"/>
        <w:rPr>
          <w:b/>
          <w:sz w:val="20"/>
        </w:rPr>
      </w:pPr>
    </w:p>
    <w:p w14:paraId="54D13CA6" w14:textId="77777777" w:rsidR="00A71EEF" w:rsidRDefault="0081115D">
      <w:pPr>
        <w:pStyle w:val="a3"/>
        <w:spacing w:before="7"/>
        <w:rPr>
          <w:b/>
          <w:sz w:val="17"/>
        </w:rPr>
      </w:pPr>
      <w:r>
        <w:rPr>
          <w:noProof/>
        </w:rPr>
        <w:drawing>
          <wp:anchor distT="0" distB="0" distL="0" distR="0" simplePos="0" relativeHeight="251688448" behindDoc="0" locked="0" layoutInCell="1" allowOverlap="1" wp14:anchorId="2ECF719A" wp14:editId="6745F53D">
            <wp:simplePos x="0" y="0"/>
            <wp:positionH relativeFrom="page">
              <wp:posOffset>1646554</wp:posOffset>
            </wp:positionH>
            <wp:positionV relativeFrom="paragraph">
              <wp:posOffset>167806</wp:posOffset>
            </wp:positionV>
            <wp:extent cx="4454524" cy="2562225"/>
            <wp:effectExtent l="0" t="0" r="0" b="0"/>
            <wp:wrapTopAndBottom/>
            <wp:docPr id="633" name="image3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image365.jpeg"/>
                    <pic:cNvPicPr/>
                  </pic:nvPicPr>
                  <pic:blipFill>
                    <a:blip r:embed="rId436" cstate="print"/>
                    <a:stretch>
                      <a:fillRect/>
                    </a:stretch>
                  </pic:blipFill>
                  <pic:spPr>
                    <a:xfrm>
                      <a:off x="0" y="0"/>
                      <a:ext cx="4454524" cy="2562225"/>
                    </a:xfrm>
                    <a:prstGeom prst="rect">
                      <a:avLst/>
                    </a:prstGeom>
                  </pic:spPr>
                </pic:pic>
              </a:graphicData>
            </a:graphic>
          </wp:anchor>
        </w:drawing>
      </w:r>
    </w:p>
    <w:p w14:paraId="7A108398" w14:textId="77777777" w:rsidR="00A71EEF" w:rsidRDefault="00A71EEF">
      <w:pPr>
        <w:pStyle w:val="a3"/>
        <w:rPr>
          <w:b/>
          <w:sz w:val="20"/>
        </w:rPr>
      </w:pPr>
    </w:p>
    <w:p w14:paraId="66954F82" w14:textId="77777777" w:rsidR="00A71EEF" w:rsidRDefault="00A71EEF">
      <w:pPr>
        <w:pStyle w:val="a3"/>
        <w:spacing w:before="2"/>
        <w:rPr>
          <w:b/>
          <w:sz w:val="26"/>
        </w:rPr>
      </w:pPr>
    </w:p>
    <w:p w14:paraId="091820A5" w14:textId="77777777" w:rsidR="00A71EEF" w:rsidRDefault="0081115D">
      <w:pPr>
        <w:pStyle w:val="a4"/>
        <w:numPr>
          <w:ilvl w:val="2"/>
          <w:numId w:val="186"/>
        </w:numPr>
        <w:tabs>
          <w:tab w:val="left" w:pos="1371"/>
        </w:tabs>
        <w:spacing w:before="71"/>
        <w:rPr>
          <w:sz w:val="21"/>
        </w:rPr>
      </w:pPr>
      <w:r>
        <w:rPr>
          <w:spacing w:val="-3"/>
          <w:sz w:val="21"/>
        </w:rPr>
        <w:t>电梯的设置应符合下列规定：</w:t>
      </w:r>
      <w:r>
        <w:rPr>
          <w:sz w:val="21"/>
        </w:rPr>
        <w:t xml:space="preserve"> </w:t>
      </w:r>
    </w:p>
    <w:p w14:paraId="7DA91B6D" w14:textId="77777777" w:rsidR="00A71EEF" w:rsidRDefault="00A71EEF">
      <w:pPr>
        <w:pStyle w:val="a3"/>
        <w:spacing w:before="2"/>
        <w:rPr>
          <w:sz w:val="18"/>
        </w:rPr>
      </w:pPr>
    </w:p>
    <w:p w14:paraId="5B8E1B5C" w14:textId="77777777" w:rsidR="00A71EEF" w:rsidRDefault="0081115D">
      <w:pPr>
        <w:pStyle w:val="a3"/>
        <w:spacing w:line="446" w:lineRule="auto"/>
        <w:ind w:left="838" w:right="2136"/>
      </w:pPr>
      <w:r>
        <w:rPr>
          <w:spacing w:val="-5"/>
        </w:rPr>
        <w:t>二层医疗用房宜设电梯；三层及三层以上的医疗用房应设电梯，且不得少于</w:t>
      </w:r>
      <w:r>
        <w:rPr>
          <w:spacing w:val="-5"/>
        </w:rPr>
        <w:t xml:space="preserve"> </w:t>
      </w:r>
      <w:r>
        <w:t>2</w:t>
      </w:r>
      <w:r>
        <w:rPr>
          <w:spacing w:val="-16"/>
        </w:rPr>
        <w:t xml:space="preserve"> </w:t>
      </w:r>
      <w:r>
        <w:rPr>
          <w:spacing w:val="-16"/>
        </w:rPr>
        <w:t>台。</w:t>
      </w:r>
      <w:r>
        <w:rPr>
          <w:spacing w:val="-3"/>
        </w:rPr>
        <w:t>供患者使用的电梯和污物梯，应采用病床梯。</w:t>
      </w:r>
      <w:r>
        <w:t xml:space="preserve"> </w:t>
      </w:r>
    </w:p>
    <w:p w14:paraId="75BC6E83" w14:textId="77777777" w:rsidR="00A71EEF" w:rsidRDefault="0081115D">
      <w:pPr>
        <w:pStyle w:val="a3"/>
        <w:spacing w:line="446" w:lineRule="auto"/>
        <w:ind w:left="838" w:right="3606"/>
      </w:pPr>
      <w:r>
        <w:t>医院住院部宜增设供医护人员专用的客梯、送餐和污物专用货梯。电梯井道不应与有安静要求的用房贴邻。</w:t>
      </w:r>
      <w:r>
        <w:t xml:space="preserve"> </w:t>
      </w:r>
    </w:p>
    <w:p w14:paraId="58E88C7A" w14:textId="77777777" w:rsidR="00A71EEF" w:rsidRDefault="0081115D">
      <w:pPr>
        <w:pStyle w:val="a4"/>
        <w:numPr>
          <w:ilvl w:val="2"/>
          <w:numId w:val="186"/>
        </w:numPr>
        <w:tabs>
          <w:tab w:val="left" w:pos="1370"/>
        </w:tabs>
        <w:ind w:left="1369" w:hanging="530"/>
        <w:rPr>
          <w:sz w:val="21"/>
        </w:rPr>
      </w:pPr>
      <w:r>
        <w:rPr>
          <w:spacing w:val="-3"/>
          <w:sz w:val="21"/>
        </w:rPr>
        <w:t>楼梯的设置应符合下列要求：</w:t>
      </w:r>
      <w:r>
        <w:rPr>
          <w:sz w:val="21"/>
        </w:rPr>
        <w:t xml:space="preserve"> </w:t>
      </w:r>
    </w:p>
    <w:p w14:paraId="6C620BF2" w14:textId="77777777" w:rsidR="00A71EEF" w:rsidRDefault="00A71EEF">
      <w:pPr>
        <w:pStyle w:val="a3"/>
        <w:spacing w:before="10"/>
        <w:rPr>
          <w:sz w:val="17"/>
        </w:rPr>
      </w:pPr>
    </w:p>
    <w:p w14:paraId="087124C6" w14:textId="77777777" w:rsidR="00A71EEF" w:rsidRDefault="0081115D">
      <w:pPr>
        <w:pStyle w:val="a3"/>
        <w:ind w:left="838"/>
      </w:pPr>
      <w:r>
        <w:t>楼梯的位置应同时符合防火、疏散和功能分区的要求；</w:t>
      </w:r>
      <w:r>
        <w:t xml:space="preserve"> </w:t>
      </w:r>
    </w:p>
    <w:p w14:paraId="779C7C18" w14:textId="77777777" w:rsidR="00A71EEF" w:rsidRDefault="00A71EEF">
      <w:pPr>
        <w:pStyle w:val="a3"/>
        <w:spacing w:before="2"/>
        <w:rPr>
          <w:sz w:val="18"/>
        </w:rPr>
      </w:pPr>
    </w:p>
    <w:p w14:paraId="49519F73" w14:textId="77777777" w:rsidR="00A71EEF" w:rsidRDefault="0081115D">
      <w:pPr>
        <w:pStyle w:val="a3"/>
        <w:ind w:left="838"/>
      </w:pPr>
      <w:r>
        <w:t>主楼梯宽度不得小于</w:t>
      </w:r>
      <w:r>
        <w:t xml:space="preserve"> 1.65m</w:t>
      </w:r>
      <w:r>
        <w:t>，踏步宽度不应小于</w:t>
      </w:r>
      <w:r>
        <w:t xml:space="preserve"> 0.28m</w:t>
      </w:r>
      <w:r>
        <w:t>，高度不应大于</w:t>
      </w:r>
      <w:r>
        <w:t xml:space="preserve"> 0.16m</w:t>
      </w:r>
      <w:r>
        <w:t>。</w:t>
      </w:r>
      <w:r>
        <w:t xml:space="preserve"> </w:t>
      </w:r>
    </w:p>
    <w:p w14:paraId="5B5EECFF" w14:textId="77777777" w:rsidR="00A71EEF" w:rsidRDefault="00A71EEF">
      <w:pPr>
        <w:sectPr w:rsidR="00A71EEF">
          <w:pgSz w:w="11910" w:h="16850"/>
          <w:pgMar w:top="1220" w:right="0" w:bottom="1420" w:left="1260" w:header="0" w:footer="1239" w:gutter="0"/>
          <w:cols w:space="720"/>
        </w:sectPr>
      </w:pPr>
    </w:p>
    <w:p w14:paraId="63B6D3E4" w14:textId="77777777" w:rsidR="00A71EEF" w:rsidRDefault="0081115D">
      <w:pPr>
        <w:pStyle w:val="a4"/>
        <w:numPr>
          <w:ilvl w:val="2"/>
          <w:numId w:val="186"/>
        </w:numPr>
        <w:tabs>
          <w:tab w:val="left" w:pos="1370"/>
        </w:tabs>
        <w:spacing w:before="47" w:line="446" w:lineRule="auto"/>
        <w:ind w:left="418" w:right="1551" w:firstLine="422"/>
        <w:rPr>
          <w:sz w:val="21"/>
        </w:rPr>
      </w:pPr>
      <w:r>
        <w:rPr>
          <w:spacing w:val="-5"/>
          <w:sz w:val="21"/>
        </w:rPr>
        <w:t>通行推床的通道，净宽不应小于</w:t>
      </w:r>
      <w:r>
        <w:rPr>
          <w:spacing w:val="-5"/>
          <w:sz w:val="21"/>
        </w:rPr>
        <w:t xml:space="preserve"> </w:t>
      </w:r>
      <w:r>
        <w:rPr>
          <w:sz w:val="21"/>
        </w:rPr>
        <w:t>2.40m</w:t>
      </w:r>
      <w:r>
        <w:rPr>
          <w:spacing w:val="-3"/>
          <w:sz w:val="21"/>
        </w:rPr>
        <w:t>。有高差者应用坡道相接，坡道坡度应按无障碍坡道设计。</w:t>
      </w:r>
      <w:r>
        <w:rPr>
          <w:sz w:val="21"/>
        </w:rPr>
        <w:t xml:space="preserve"> </w:t>
      </w:r>
    </w:p>
    <w:p w14:paraId="77EBC930" w14:textId="77777777" w:rsidR="00A71EEF" w:rsidRDefault="0081115D">
      <w:pPr>
        <w:pStyle w:val="a4"/>
        <w:numPr>
          <w:ilvl w:val="2"/>
          <w:numId w:val="186"/>
        </w:numPr>
        <w:tabs>
          <w:tab w:val="left" w:pos="1371"/>
        </w:tabs>
        <w:spacing w:line="446" w:lineRule="auto"/>
        <w:ind w:left="418" w:right="1447" w:firstLine="422"/>
        <w:rPr>
          <w:sz w:val="21"/>
        </w:rPr>
      </w:pPr>
      <w:r>
        <w:rPr>
          <w:sz w:val="21"/>
        </w:rPr>
        <w:t>50</w:t>
      </w:r>
      <w:r>
        <w:rPr>
          <w:sz w:val="21"/>
        </w:rPr>
        <w:t>％</w:t>
      </w:r>
      <w:r>
        <w:rPr>
          <w:spacing w:val="-3"/>
          <w:sz w:val="21"/>
        </w:rPr>
        <w:t>以上的病房日照应符合现行国家标准《民用建筑设计通则》</w:t>
      </w:r>
      <w:r>
        <w:rPr>
          <w:sz w:val="21"/>
        </w:rPr>
        <w:t>GB</w:t>
      </w:r>
      <w:r>
        <w:rPr>
          <w:spacing w:val="21"/>
          <w:sz w:val="21"/>
        </w:rPr>
        <w:t xml:space="preserve"> </w:t>
      </w:r>
      <w:r>
        <w:rPr>
          <w:sz w:val="21"/>
        </w:rPr>
        <w:t>50352</w:t>
      </w:r>
      <w:r>
        <w:rPr>
          <w:spacing w:val="-10"/>
          <w:sz w:val="21"/>
        </w:rPr>
        <w:t xml:space="preserve"> </w:t>
      </w:r>
      <w:r>
        <w:rPr>
          <w:spacing w:val="-10"/>
          <w:sz w:val="21"/>
        </w:rPr>
        <w:t>的有关规定</w:t>
      </w:r>
      <w:r>
        <w:rPr>
          <w:spacing w:val="-3"/>
          <w:sz w:val="21"/>
        </w:rPr>
        <w:t>。</w:t>
      </w:r>
      <w:r>
        <w:rPr>
          <w:sz w:val="21"/>
        </w:rPr>
        <w:t xml:space="preserve"> </w:t>
      </w:r>
    </w:p>
    <w:p w14:paraId="2B921DD7" w14:textId="77777777" w:rsidR="00A71EEF" w:rsidRDefault="0081115D">
      <w:pPr>
        <w:pStyle w:val="a4"/>
        <w:numPr>
          <w:ilvl w:val="2"/>
          <w:numId w:val="186"/>
        </w:numPr>
        <w:tabs>
          <w:tab w:val="left" w:pos="1370"/>
        </w:tabs>
        <w:ind w:left="1369" w:hanging="530"/>
        <w:rPr>
          <w:sz w:val="21"/>
        </w:rPr>
      </w:pPr>
      <w:r>
        <w:rPr>
          <w:spacing w:val="-3"/>
          <w:sz w:val="21"/>
        </w:rPr>
        <w:t>门诊、急诊和病房应充分利用自然通风和天然采光。</w:t>
      </w:r>
      <w:r>
        <w:rPr>
          <w:sz w:val="21"/>
        </w:rPr>
        <w:t xml:space="preserve"> </w:t>
      </w:r>
    </w:p>
    <w:p w14:paraId="1F8F8E0F" w14:textId="77777777" w:rsidR="00A71EEF" w:rsidRDefault="00A71EEF">
      <w:pPr>
        <w:pStyle w:val="a3"/>
        <w:spacing w:before="10"/>
        <w:rPr>
          <w:sz w:val="17"/>
        </w:rPr>
      </w:pPr>
    </w:p>
    <w:p w14:paraId="61499DD4" w14:textId="77777777" w:rsidR="00A71EEF" w:rsidRDefault="0081115D">
      <w:pPr>
        <w:pStyle w:val="a4"/>
        <w:numPr>
          <w:ilvl w:val="2"/>
          <w:numId w:val="186"/>
        </w:numPr>
        <w:tabs>
          <w:tab w:val="left" w:pos="1370"/>
        </w:tabs>
        <w:spacing w:line="446" w:lineRule="auto"/>
        <w:ind w:left="838" w:right="6438" w:firstLine="2"/>
        <w:rPr>
          <w:b/>
          <w:sz w:val="21"/>
        </w:rPr>
      </w:pPr>
      <w:r>
        <w:rPr>
          <w:spacing w:val="-2"/>
          <w:sz w:val="21"/>
        </w:rPr>
        <w:t>室内净高应符合下列要求：</w:t>
      </w:r>
      <w:r>
        <w:rPr>
          <w:spacing w:val="-2"/>
          <w:sz w:val="21"/>
        </w:rPr>
        <w:t xml:space="preserve"> </w:t>
      </w:r>
      <w:r>
        <w:rPr>
          <w:spacing w:val="-2"/>
          <w:sz w:val="21"/>
        </w:rPr>
        <w:t>诊</w:t>
      </w:r>
      <w:r>
        <w:rPr>
          <w:spacing w:val="-11"/>
          <w:sz w:val="21"/>
        </w:rPr>
        <w:t>查室不宜低于</w:t>
      </w:r>
      <w:r>
        <w:rPr>
          <w:spacing w:val="-11"/>
          <w:sz w:val="21"/>
        </w:rPr>
        <w:t xml:space="preserve"> </w:t>
      </w:r>
      <w:r>
        <w:rPr>
          <w:sz w:val="21"/>
        </w:rPr>
        <w:t>2.60m</w:t>
      </w:r>
      <w:r>
        <w:rPr>
          <w:sz w:val="21"/>
        </w:rPr>
        <w:t>；</w:t>
      </w:r>
      <w:r>
        <w:rPr>
          <w:b/>
          <w:w w:val="99"/>
          <w:sz w:val="21"/>
        </w:rPr>
        <w:t xml:space="preserve"> </w:t>
      </w:r>
    </w:p>
    <w:p w14:paraId="6038B9B0" w14:textId="77777777" w:rsidR="00A71EEF" w:rsidRDefault="0081115D">
      <w:pPr>
        <w:pStyle w:val="a3"/>
        <w:spacing w:before="1"/>
        <w:ind w:left="838"/>
        <w:rPr>
          <w:b/>
        </w:rPr>
      </w:pPr>
      <w:r>
        <w:t>病房不宜低于</w:t>
      </w:r>
      <w:r>
        <w:t xml:space="preserve"> 2.80m</w:t>
      </w:r>
      <w:r>
        <w:t>；</w:t>
      </w:r>
      <w:r>
        <w:rPr>
          <w:b/>
          <w:w w:val="99"/>
        </w:rPr>
        <w:t xml:space="preserve"> </w:t>
      </w:r>
    </w:p>
    <w:p w14:paraId="7B386F73" w14:textId="77777777" w:rsidR="00A71EEF" w:rsidRDefault="00A71EEF">
      <w:pPr>
        <w:pStyle w:val="a3"/>
        <w:spacing w:before="12"/>
        <w:rPr>
          <w:b/>
          <w:sz w:val="17"/>
        </w:rPr>
      </w:pPr>
    </w:p>
    <w:p w14:paraId="3F1878CD" w14:textId="77777777" w:rsidR="00A71EEF" w:rsidRDefault="0081115D">
      <w:pPr>
        <w:pStyle w:val="a3"/>
        <w:ind w:left="838"/>
        <w:rPr>
          <w:b/>
        </w:rPr>
      </w:pPr>
      <w:r>
        <w:t>公共走道不宜低于</w:t>
      </w:r>
      <w:r>
        <w:t xml:space="preserve"> 2.30m</w:t>
      </w:r>
      <w:r>
        <w:t>；</w:t>
      </w:r>
      <w:r>
        <w:rPr>
          <w:b/>
          <w:w w:val="99"/>
        </w:rPr>
        <w:t xml:space="preserve"> </w:t>
      </w:r>
    </w:p>
    <w:p w14:paraId="28DF2B36" w14:textId="77777777" w:rsidR="00A71EEF" w:rsidRDefault="00A71EEF">
      <w:pPr>
        <w:pStyle w:val="a3"/>
        <w:spacing w:before="2"/>
        <w:rPr>
          <w:b/>
          <w:sz w:val="18"/>
        </w:rPr>
      </w:pPr>
    </w:p>
    <w:p w14:paraId="14898F2F" w14:textId="77777777" w:rsidR="00A71EEF" w:rsidRDefault="0081115D">
      <w:pPr>
        <w:pStyle w:val="a3"/>
        <w:ind w:left="838"/>
        <w:rPr>
          <w:b/>
        </w:rPr>
      </w:pPr>
      <w:r>
        <w:t>医技科室宜根据需要确定。</w:t>
      </w:r>
      <w:r>
        <w:rPr>
          <w:b/>
          <w:w w:val="99"/>
        </w:rPr>
        <w:t xml:space="preserve"> </w:t>
      </w:r>
    </w:p>
    <w:p w14:paraId="7C46CC5F" w14:textId="77777777" w:rsidR="00A71EEF" w:rsidRDefault="00A71EEF">
      <w:pPr>
        <w:pStyle w:val="a3"/>
        <w:spacing w:before="12"/>
        <w:rPr>
          <w:b/>
          <w:sz w:val="17"/>
        </w:rPr>
      </w:pPr>
    </w:p>
    <w:p w14:paraId="431B5199" w14:textId="77777777" w:rsidR="00A71EEF" w:rsidRDefault="0081115D">
      <w:pPr>
        <w:pStyle w:val="a4"/>
        <w:numPr>
          <w:ilvl w:val="2"/>
          <w:numId w:val="186"/>
        </w:numPr>
        <w:tabs>
          <w:tab w:val="left" w:pos="1478"/>
        </w:tabs>
        <w:spacing w:line="446" w:lineRule="auto"/>
        <w:ind w:left="418" w:right="1548" w:firstLine="422"/>
        <w:rPr>
          <w:sz w:val="21"/>
        </w:rPr>
      </w:pPr>
      <w:r>
        <w:rPr>
          <w:spacing w:val="-3"/>
          <w:sz w:val="21"/>
        </w:rPr>
        <w:t>医院建筑的热工要求应符合现行国家标准《公共建筑节能设计标准》</w:t>
      </w:r>
      <w:r>
        <w:rPr>
          <w:sz w:val="21"/>
        </w:rPr>
        <w:t>GB</w:t>
      </w:r>
      <w:r>
        <w:rPr>
          <w:spacing w:val="22"/>
          <w:sz w:val="21"/>
        </w:rPr>
        <w:t xml:space="preserve"> </w:t>
      </w:r>
      <w:r>
        <w:rPr>
          <w:sz w:val="21"/>
        </w:rPr>
        <w:t>50189</w:t>
      </w:r>
      <w:r>
        <w:rPr>
          <w:spacing w:val="-14"/>
          <w:sz w:val="21"/>
        </w:rPr>
        <w:t xml:space="preserve"> </w:t>
      </w:r>
      <w:r>
        <w:rPr>
          <w:spacing w:val="-14"/>
          <w:sz w:val="21"/>
        </w:rPr>
        <w:t>的有</w:t>
      </w:r>
      <w:r>
        <w:rPr>
          <w:spacing w:val="-6"/>
          <w:sz w:val="21"/>
        </w:rPr>
        <w:t>关规定。</w:t>
      </w:r>
      <w:r>
        <w:rPr>
          <w:sz w:val="21"/>
        </w:rPr>
        <w:t xml:space="preserve"> </w:t>
      </w:r>
    </w:p>
    <w:p w14:paraId="0A162271" w14:textId="77777777" w:rsidR="00A71EEF" w:rsidRDefault="0081115D">
      <w:pPr>
        <w:pStyle w:val="a4"/>
        <w:numPr>
          <w:ilvl w:val="2"/>
          <w:numId w:val="186"/>
        </w:numPr>
        <w:tabs>
          <w:tab w:val="left" w:pos="1478"/>
        </w:tabs>
        <w:ind w:left="1477" w:hanging="638"/>
        <w:rPr>
          <w:sz w:val="21"/>
        </w:rPr>
      </w:pPr>
      <w:r>
        <w:rPr>
          <w:spacing w:val="-3"/>
          <w:sz w:val="21"/>
        </w:rPr>
        <w:t>病房的允许噪声级和隔声，应符合现行国家标准《民用建筑隔声设计规范》</w:t>
      </w:r>
      <w:r>
        <w:rPr>
          <w:sz w:val="21"/>
        </w:rPr>
        <w:t xml:space="preserve">GB </w:t>
      </w:r>
    </w:p>
    <w:p w14:paraId="0E3403F3" w14:textId="77777777" w:rsidR="00A71EEF" w:rsidRDefault="00A71EEF">
      <w:pPr>
        <w:pStyle w:val="a3"/>
        <w:rPr>
          <w:sz w:val="18"/>
        </w:rPr>
      </w:pPr>
    </w:p>
    <w:p w14:paraId="7C882BE8" w14:textId="77777777" w:rsidR="00A71EEF" w:rsidRDefault="0081115D">
      <w:pPr>
        <w:pStyle w:val="a3"/>
        <w:ind w:left="418"/>
      </w:pPr>
      <w:r>
        <w:t xml:space="preserve">50118 </w:t>
      </w:r>
      <w:r>
        <w:t>的规定。</w:t>
      </w:r>
      <w:r>
        <w:t xml:space="preserve"> </w:t>
      </w:r>
    </w:p>
    <w:p w14:paraId="0F09710D" w14:textId="77777777" w:rsidR="00A71EEF" w:rsidRDefault="00A71EEF">
      <w:pPr>
        <w:pStyle w:val="a3"/>
        <w:rPr>
          <w:sz w:val="18"/>
        </w:rPr>
      </w:pPr>
    </w:p>
    <w:p w14:paraId="7842A64F" w14:textId="77777777" w:rsidR="00A71EEF" w:rsidRDefault="0081115D">
      <w:pPr>
        <w:pStyle w:val="a4"/>
        <w:numPr>
          <w:ilvl w:val="2"/>
          <w:numId w:val="186"/>
        </w:numPr>
        <w:tabs>
          <w:tab w:val="left" w:pos="1478"/>
        </w:tabs>
        <w:ind w:left="1477" w:hanging="638"/>
        <w:rPr>
          <w:sz w:val="21"/>
        </w:rPr>
      </w:pPr>
      <w:r>
        <w:rPr>
          <w:spacing w:val="-3"/>
          <w:sz w:val="21"/>
        </w:rPr>
        <w:t>室内装修和防护宜符合下列要求：</w:t>
      </w:r>
      <w:r>
        <w:rPr>
          <w:sz w:val="21"/>
        </w:rPr>
        <w:t xml:space="preserve"> </w:t>
      </w:r>
    </w:p>
    <w:p w14:paraId="2FF31372" w14:textId="77777777" w:rsidR="00A71EEF" w:rsidRDefault="00A71EEF">
      <w:pPr>
        <w:pStyle w:val="a3"/>
        <w:spacing w:before="1"/>
        <w:rPr>
          <w:sz w:val="18"/>
        </w:rPr>
      </w:pPr>
    </w:p>
    <w:p w14:paraId="1B3DC1E0" w14:textId="77777777" w:rsidR="00A71EEF" w:rsidRDefault="0081115D">
      <w:pPr>
        <w:pStyle w:val="a3"/>
        <w:spacing w:before="1" w:line="446" w:lineRule="auto"/>
        <w:ind w:left="418" w:right="1609" w:firstLine="419"/>
      </w:pPr>
      <w:r>
        <w:t>医疗用房的地面、踢脚板、墙裙、墙面、顶棚应便于清扫或冲洗，其阴阳角宜做成圆角。踢脚板、墙裙应与墙面平。</w:t>
      </w:r>
      <w:r>
        <w:t xml:space="preserve"> </w:t>
      </w:r>
    </w:p>
    <w:p w14:paraId="2B437077" w14:textId="77777777" w:rsidR="00A71EEF" w:rsidRDefault="0081115D">
      <w:pPr>
        <w:pStyle w:val="a3"/>
        <w:spacing w:line="446" w:lineRule="auto"/>
        <w:ind w:left="418" w:right="1609" w:firstLine="419"/>
      </w:pPr>
      <w:r>
        <w:t>手术室、检验科、中心实验室和病理科等医院卫生学要求高的用房，其室内装修应满足易清洁、耐腐蚀的要求。</w:t>
      </w:r>
      <w:r>
        <w:t xml:space="preserve"> </w:t>
      </w:r>
    </w:p>
    <w:p w14:paraId="553E40A6" w14:textId="77777777" w:rsidR="00A71EEF" w:rsidRDefault="0081115D">
      <w:pPr>
        <w:pStyle w:val="a3"/>
        <w:spacing w:line="446" w:lineRule="auto"/>
        <w:ind w:left="418" w:right="1609" w:firstLine="419"/>
      </w:pPr>
      <w:r>
        <w:t>检验科、中心实验室和病理科的操作台面应采用耐腐蚀、易冲洗、耐燃烧的面层。相关的洗涤池和排水管亦应采用耐腐蚀材料。</w:t>
      </w:r>
      <w:r>
        <w:t xml:space="preserve"> </w:t>
      </w:r>
    </w:p>
    <w:p w14:paraId="5042FBB7" w14:textId="77777777" w:rsidR="00A71EEF" w:rsidRDefault="0081115D">
      <w:pPr>
        <w:pStyle w:val="a3"/>
        <w:spacing w:line="446" w:lineRule="auto"/>
        <w:ind w:left="838" w:right="2345"/>
      </w:pPr>
      <w:r>
        <w:rPr>
          <w:spacing w:val="-3"/>
        </w:rPr>
        <w:t>药剂科的配方室、贮药室、中心药房、药库均应采取防潮、防虫、防鼠等措施。太平间、病理解剖室均应采取防虫、防雀、防鼠以及防其他动物侵入的措施。</w:t>
      </w:r>
      <w:r>
        <w:rPr>
          <w:b/>
          <w:spacing w:val="-3"/>
        </w:rPr>
        <w:t>5.1.13</w:t>
      </w:r>
      <w:r>
        <w:rPr>
          <w:b/>
          <w:spacing w:val="105"/>
        </w:rPr>
        <w:t xml:space="preserve"> </w:t>
      </w:r>
      <w:r>
        <w:rPr>
          <w:spacing w:val="-3"/>
        </w:rPr>
        <w:t>卫生间的设置应符合下列要求：</w:t>
      </w:r>
      <w:r>
        <w:t xml:space="preserve"> </w:t>
      </w:r>
    </w:p>
    <w:p w14:paraId="34BF8C66" w14:textId="77777777" w:rsidR="00A71EEF" w:rsidRDefault="0081115D">
      <w:pPr>
        <w:pStyle w:val="a3"/>
        <w:spacing w:line="446" w:lineRule="auto"/>
        <w:ind w:left="418" w:right="1558" w:firstLine="419"/>
      </w:pPr>
      <w:r>
        <w:rPr>
          <w:spacing w:val="-5"/>
        </w:rPr>
        <w:t>患者使用的卫生间隔间的平面尺寸，不应小于</w:t>
      </w:r>
      <w:r>
        <w:rPr>
          <w:spacing w:val="-5"/>
        </w:rPr>
        <w:t xml:space="preserve"> </w:t>
      </w:r>
      <w:r>
        <w:t>1.10m×1.40m</w:t>
      </w:r>
      <w:r>
        <w:rPr>
          <w:spacing w:val="-3"/>
        </w:rPr>
        <w:t>，门应朝外开，门闩应能里外开启。卫生间隔间内应</w:t>
      </w:r>
      <w:r>
        <w:rPr>
          <w:spacing w:val="-3"/>
        </w:rPr>
        <w:t>设输液吊钩。</w:t>
      </w:r>
      <w:r>
        <w:t xml:space="preserve"> </w:t>
      </w:r>
    </w:p>
    <w:p w14:paraId="3379F4A1" w14:textId="77777777" w:rsidR="00A71EEF" w:rsidRDefault="0081115D">
      <w:pPr>
        <w:pStyle w:val="a3"/>
        <w:spacing w:line="446" w:lineRule="auto"/>
        <w:ind w:left="418" w:right="1609" w:firstLine="419"/>
      </w:pPr>
      <w:r>
        <w:rPr>
          <w:spacing w:val="-3"/>
        </w:rPr>
        <w:t>患者使用的坐式大便器坐圈宜采用不易被污染、易消毒的类型，进入蹲式大便器隔间不应有高差。大便器旁应装置安全抓杆。</w:t>
      </w:r>
      <w:r>
        <w:t xml:space="preserve"> </w:t>
      </w:r>
    </w:p>
    <w:p w14:paraId="68AA9A94" w14:textId="77777777" w:rsidR="00A71EEF" w:rsidRDefault="00A71EEF">
      <w:pPr>
        <w:spacing w:line="446" w:lineRule="auto"/>
        <w:sectPr w:rsidR="00A71EEF">
          <w:pgSz w:w="11910" w:h="16850"/>
          <w:pgMar w:top="1220" w:right="0" w:bottom="1420" w:left="1260" w:header="0" w:footer="1239" w:gutter="0"/>
          <w:cols w:space="720"/>
        </w:sectPr>
      </w:pPr>
    </w:p>
    <w:p w14:paraId="73F914A7" w14:textId="77777777" w:rsidR="00A71EEF" w:rsidRDefault="0081115D">
      <w:pPr>
        <w:pStyle w:val="a3"/>
        <w:spacing w:before="47" w:line="446" w:lineRule="auto"/>
        <w:ind w:left="838" w:right="4866"/>
      </w:pPr>
      <w:r>
        <w:rPr>
          <w:spacing w:val="-3"/>
        </w:rPr>
        <w:t>卫生间应设前室，并应设非手动开关的洗手设施。</w:t>
      </w:r>
      <w:r>
        <w:rPr>
          <w:spacing w:val="-3"/>
        </w:rPr>
        <w:t xml:space="preserve">  </w:t>
      </w:r>
      <w:r>
        <w:rPr>
          <w:spacing w:val="-3"/>
        </w:rPr>
        <w:t>采用室外卫生间时，宜用连廊与门诊、病房楼相接。宜设置无性别、无障碍患者专用卫生间。</w:t>
      </w:r>
      <w:r>
        <w:t xml:space="preserve"> </w:t>
      </w:r>
    </w:p>
    <w:p w14:paraId="359A324B" w14:textId="77777777" w:rsidR="00A71EEF" w:rsidRDefault="0081115D">
      <w:pPr>
        <w:pStyle w:val="a3"/>
        <w:spacing w:line="446" w:lineRule="auto"/>
        <w:ind w:left="418" w:right="1817" w:firstLine="419"/>
      </w:pPr>
      <w:r>
        <w:t>无障碍专用卫生间和公共卫生间的无障碍设施与设计，应符合现行标准《无障碍设计规范》</w:t>
      </w:r>
      <w:r>
        <w:t xml:space="preserve">GB 50763 </w:t>
      </w:r>
      <w:r>
        <w:t>的有关规定。</w:t>
      </w:r>
      <w:r>
        <w:t xml:space="preserve"> </w:t>
      </w:r>
    </w:p>
    <w:p w14:paraId="7788492D" w14:textId="77777777" w:rsidR="00A71EEF" w:rsidRDefault="0081115D">
      <w:pPr>
        <w:spacing w:line="267" w:lineRule="exact"/>
        <w:ind w:left="840"/>
        <w:rPr>
          <w:sz w:val="21"/>
        </w:rPr>
      </w:pPr>
      <w:r>
        <w:rPr>
          <w:b/>
          <w:sz w:val="21"/>
        </w:rPr>
        <w:t>5.1.14</w:t>
      </w:r>
      <w:r>
        <w:rPr>
          <w:b/>
          <w:spacing w:val="105"/>
          <w:sz w:val="21"/>
        </w:rPr>
        <w:t xml:space="preserve"> </w:t>
      </w:r>
      <w:r>
        <w:rPr>
          <w:spacing w:val="-3"/>
          <w:sz w:val="21"/>
        </w:rPr>
        <w:t>医疗废物和生活垃圾应分别处置。</w:t>
      </w:r>
      <w:r>
        <w:rPr>
          <w:sz w:val="21"/>
        </w:rPr>
        <w:t xml:space="preserve"> </w:t>
      </w:r>
    </w:p>
    <w:p w14:paraId="426C2CB2" w14:textId="77777777" w:rsidR="00A71EEF" w:rsidRDefault="00A71EEF">
      <w:pPr>
        <w:pStyle w:val="a3"/>
        <w:spacing w:before="1"/>
        <w:rPr>
          <w:sz w:val="18"/>
        </w:rPr>
      </w:pPr>
    </w:p>
    <w:p w14:paraId="4AFB917D" w14:textId="77777777" w:rsidR="00A71EEF" w:rsidRDefault="0081115D">
      <w:pPr>
        <w:pStyle w:val="a4"/>
        <w:numPr>
          <w:ilvl w:val="1"/>
          <w:numId w:val="187"/>
        </w:numPr>
        <w:tabs>
          <w:tab w:val="left" w:pos="1159"/>
        </w:tabs>
        <w:ind w:hanging="319"/>
        <w:rPr>
          <w:b/>
          <w:sz w:val="21"/>
        </w:rPr>
      </w:pPr>
      <w:r>
        <w:rPr>
          <w:spacing w:val="-3"/>
          <w:sz w:val="21"/>
        </w:rPr>
        <w:t>门诊部用房</w:t>
      </w:r>
      <w:r>
        <w:rPr>
          <w:b/>
          <w:w w:val="99"/>
          <w:sz w:val="21"/>
        </w:rPr>
        <w:t xml:space="preserve"> </w:t>
      </w:r>
    </w:p>
    <w:p w14:paraId="300946AC" w14:textId="77777777" w:rsidR="00A71EEF" w:rsidRDefault="00A71EEF">
      <w:pPr>
        <w:pStyle w:val="a3"/>
        <w:rPr>
          <w:b/>
          <w:sz w:val="18"/>
        </w:rPr>
      </w:pPr>
    </w:p>
    <w:p w14:paraId="6EE8FB4A" w14:textId="77777777" w:rsidR="00A71EEF" w:rsidRDefault="0081115D">
      <w:pPr>
        <w:pStyle w:val="a4"/>
        <w:numPr>
          <w:ilvl w:val="2"/>
          <w:numId w:val="187"/>
        </w:numPr>
        <w:tabs>
          <w:tab w:val="left" w:pos="1370"/>
        </w:tabs>
        <w:spacing w:line="446" w:lineRule="auto"/>
        <w:ind w:right="1604" w:firstLine="422"/>
        <w:rPr>
          <w:sz w:val="21"/>
        </w:rPr>
      </w:pPr>
      <w:r>
        <w:rPr>
          <w:spacing w:val="-3"/>
          <w:sz w:val="21"/>
        </w:rPr>
        <w:t>门诊部应设在靠近医院交通入口处，应与医技用房邻近，并应处理好门诊内各部门的相互关系，流线应合理并避免院内感染。</w:t>
      </w:r>
      <w:r>
        <w:rPr>
          <w:sz w:val="21"/>
        </w:rPr>
        <w:t xml:space="preserve"> </w:t>
      </w:r>
    </w:p>
    <w:p w14:paraId="7AFD38AB" w14:textId="77777777" w:rsidR="00A71EEF" w:rsidRDefault="0081115D">
      <w:pPr>
        <w:pStyle w:val="a4"/>
        <w:numPr>
          <w:ilvl w:val="2"/>
          <w:numId w:val="187"/>
        </w:numPr>
        <w:tabs>
          <w:tab w:val="left" w:pos="1371"/>
        </w:tabs>
        <w:ind w:left="1370"/>
        <w:rPr>
          <w:sz w:val="21"/>
        </w:rPr>
      </w:pPr>
      <w:r>
        <w:rPr>
          <w:spacing w:val="-3"/>
          <w:sz w:val="21"/>
        </w:rPr>
        <w:t>门诊用房设置应符合下列要求：</w:t>
      </w:r>
      <w:r>
        <w:rPr>
          <w:sz w:val="21"/>
        </w:rPr>
        <w:t xml:space="preserve"> </w:t>
      </w:r>
    </w:p>
    <w:p w14:paraId="5F7402D0" w14:textId="77777777" w:rsidR="00A71EEF" w:rsidRDefault="00A71EEF">
      <w:pPr>
        <w:pStyle w:val="a3"/>
        <w:rPr>
          <w:sz w:val="18"/>
        </w:rPr>
      </w:pPr>
    </w:p>
    <w:p w14:paraId="009CC7CC" w14:textId="77777777" w:rsidR="00A71EEF" w:rsidRDefault="0081115D">
      <w:pPr>
        <w:pStyle w:val="a3"/>
        <w:spacing w:line="446" w:lineRule="auto"/>
        <w:ind w:left="418" w:right="1609" w:firstLine="419"/>
      </w:pPr>
      <w:r>
        <w:t>公共部分应设置门厅、挂号、问讯、病历、预检分诊、记账、收费、药房、候诊、采血、检验、输液、注射、门诊办公、卫生间等用房和为患者服务的公共设施；</w:t>
      </w:r>
      <w:r>
        <w:t xml:space="preserve"> </w:t>
      </w:r>
    </w:p>
    <w:p w14:paraId="19A9959C" w14:textId="77777777" w:rsidR="00A71EEF" w:rsidRDefault="0081115D">
      <w:pPr>
        <w:pStyle w:val="a3"/>
        <w:ind w:left="838"/>
      </w:pPr>
      <w:r>
        <w:t>各科应设置诊查室、治疗室、护士站、污洗</w:t>
      </w:r>
      <w:r>
        <w:t>室等；</w:t>
      </w:r>
      <w:r>
        <w:t xml:space="preserve"> </w:t>
      </w:r>
    </w:p>
    <w:p w14:paraId="19DD3381" w14:textId="77777777" w:rsidR="00A71EEF" w:rsidRDefault="00A71EEF">
      <w:pPr>
        <w:pStyle w:val="a3"/>
        <w:spacing w:before="12"/>
        <w:rPr>
          <w:sz w:val="17"/>
        </w:rPr>
      </w:pPr>
    </w:p>
    <w:p w14:paraId="560D92D2" w14:textId="77777777" w:rsidR="00A71EEF" w:rsidRDefault="0081115D">
      <w:pPr>
        <w:pStyle w:val="a3"/>
        <w:spacing w:line="446" w:lineRule="auto"/>
        <w:ind w:left="418" w:right="1408" w:firstLine="419"/>
      </w:pPr>
      <w:r>
        <w:t>可设置换药室、处置室、清创室、</w:t>
      </w:r>
      <w:r>
        <w:t xml:space="preserve">X </w:t>
      </w:r>
      <w:r>
        <w:t>线检查室、功能检查室、值班更衣室、杂物贮藏室、卫生间等。</w:t>
      </w:r>
      <w:r>
        <w:t xml:space="preserve"> </w:t>
      </w:r>
    </w:p>
    <w:p w14:paraId="61C67843" w14:textId="77777777" w:rsidR="00A71EEF" w:rsidRDefault="0081115D">
      <w:pPr>
        <w:pStyle w:val="a4"/>
        <w:numPr>
          <w:ilvl w:val="2"/>
          <w:numId w:val="187"/>
        </w:numPr>
        <w:tabs>
          <w:tab w:val="left" w:pos="1371"/>
        </w:tabs>
        <w:spacing w:line="446" w:lineRule="auto"/>
        <w:ind w:left="838" w:right="5709" w:firstLine="2"/>
        <w:rPr>
          <w:sz w:val="21"/>
        </w:rPr>
      </w:pPr>
      <w:r>
        <w:rPr>
          <w:spacing w:val="-2"/>
          <w:sz w:val="21"/>
        </w:rPr>
        <w:t>候诊用房设置应符合下列要求：</w:t>
      </w:r>
      <w:r>
        <w:rPr>
          <w:spacing w:val="-2"/>
          <w:sz w:val="21"/>
        </w:rPr>
        <w:t xml:space="preserve">   </w:t>
      </w:r>
      <w:r>
        <w:rPr>
          <w:spacing w:val="-2"/>
          <w:sz w:val="21"/>
        </w:rPr>
        <w:t>门</w:t>
      </w:r>
      <w:r>
        <w:rPr>
          <w:spacing w:val="-3"/>
          <w:sz w:val="21"/>
        </w:rPr>
        <w:t>诊宜分科候诊，门诊量小时可合科候诊；</w:t>
      </w:r>
      <w:r>
        <w:rPr>
          <w:sz w:val="21"/>
        </w:rPr>
        <w:t xml:space="preserve"> </w:t>
      </w:r>
    </w:p>
    <w:p w14:paraId="16008F23" w14:textId="77777777" w:rsidR="00A71EEF" w:rsidRDefault="0081115D">
      <w:pPr>
        <w:pStyle w:val="a3"/>
        <w:spacing w:line="267" w:lineRule="exact"/>
        <w:ind w:left="838"/>
      </w:pPr>
      <w:r>
        <w:t>利用走道单侧候诊时，走道净宽不应小于</w:t>
      </w:r>
      <w:r>
        <w:t xml:space="preserve"> 2.40m</w:t>
      </w:r>
      <w:r>
        <w:t>，两侧候诊时，走道净宽不应小于</w:t>
      </w:r>
      <w:r>
        <w:t xml:space="preserve"> 3.00m</w:t>
      </w:r>
      <w:r>
        <w:t>；</w:t>
      </w:r>
      <w:r>
        <w:t xml:space="preserve"> </w:t>
      </w:r>
    </w:p>
    <w:p w14:paraId="2E8001AA" w14:textId="77777777" w:rsidR="00A71EEF" w:rsidRDefault="00A71EEF">
      <w:pPr>
        <w:pStyle w:val="a3"/>
        <w:spacing w:before="2"/>
        <w:rPr>
          <w:sz w:val="18"/>
        </w:rPr>
      </w:pPr>
    </w:p>
    <w:p w14:paraId="7FCCA953" w14:textId="77777777" w:rsidR="00A71EEF" w:rsidRDefault="0081115D">
      <w:pPr>
        <w:pStyle w:val="a3"/>
        <w:spacing w:line="446" w:lineRule="auto"/>
        <w:ind w:left="840" w:right="3397" w:hanging="3"/>
      </w:pPr>
      <w:r>
        <w:rPr>
          <w:spacing w:val="-3"/>
        </w:rPr>
        <w:t>可采用医患通道分设、电子叫号、预约挂号、分层挂号收费等方式。</w:t>
      </w:r>
      <w:r>
        <w:rPr>
          <w:b/>
        </w:rPr>
        <w:t>5.2.4</w:t>
      </w:r>
      <w:r>
        <w:rPr>
          <w:b/>
          <w:spacing w:val="104"/>
        </w:rPr>
        <w:t xml:space="preserve"> </w:t>
      </w:r>
      <w:r>
        <w:rPr>
          <w:spacing w:val="-3"/>
        </w:rPr>
        <w:t>诊查用房设置应符合下列要求：</w:t>
      </w:r>
      <w:r>
        <w:t xml:space="preserve"> </w:t>
      </w:r>
    </w:p>
    <w:p w14:paraId="6988DBCC" w14:textId="77777777" w:rsidR="00A71EEF" w:rsidRDefault="0081115D">
      <w:pPr>
        <w:pStyle w:val="a3"/>
        <w:spacing w:line="446" w:lineRule="auto"/>
        <w:ind w:left="838" w:right="3030"/>
      </w:pPr>
      <w:r>
        <w:rPr>
          <w:spacing w:val="-6"/>
        </w:rPr>
        <w:t>双人诊查室的开间净尺寸不应小于</w:t>
      </w:r>
      <w:r>
        <w:rPr>
          <w:spacing w:val="-6"/>
        </w:rPr>
        <w:t xml:space="preserve"> </w:t>
      </w:r>
      <w:r>
        <w:t>3.00m</w:t>
      </w:r>
      <w:r>
        <w:rPr>
          <w:spacing w:val="-8"/>
        </w:rPr>
        <w:t>，使用面积不应小于</w:t>
      </w:r>
      <w:r>
        <w:rPr>
          <w:spacing w:val="-8"/>
        </w:rPr>
        <w:t xml:space="preserve"> </w:t>
      </w:r>
      <w:r>
        <w:t>12.00</w:t>
      </w:r>
      <w:r>
        <w:rPr>
          <w:spacing w:val="-19"/>
        </w:rPr>
        <w:t xml:space="preserve"> </w:t>
      </w:r>
      <w:r>
        <w:rPr>
          <w:spacing w:val="-19"/>
        </w:rPr>
        <w:t>㎡；</w:t>
      </w:r>
      <w:r>
        <w:rPr>
          <w:spacing w:val="-19"/>
        </w:rPr>
        <w:t xml:space="preserve"> </w:t>
      </w:r>
      <w:r>
        <w:rPr>
          <w:spacing w:val="-6"/>
        </w:rPr>
        <w:t>单人诊查室的开间净尺寸不应小于</w:t>
      </w:r>
      <w:r>
        <w:rPr>
          <w:spacing w:val="-6"/>
        </w:rPr>
        <w:t xml:space="preserve"> </w:t>
      </w:r>
      <w:r>
        <w:t>2.50m</w:t>
      </w:r>
      <w:r>
        <w:rPr>
          <w:spacing w:val="-8"/>
        </w:rPr>
        <w:t>，使用面积不应小于</w:t>
      </w:r>
      <w:r>
        <w:rPr>
          <w:spacing w:val="-8"/>
        </w:rPr>
        <w:t xml:space="preserve"> </w:t>
      </w:r>
      <w:r>
        <w:t>8.00</w:t>
      </w:r>
      <w:r>
        <w:rPr>
          <w:spacing w:val="-19"/>
        </w:rPr>
        <w:t xml:space="preserve"> </w:t>
      </w:r>
      <w:r>
        <w:rPr>
          <w:spacing w:val="-19"/>
        </w:rPr>
        <w:t>㎡。</w:t>
      </w:r>
      <w:r>
        <w:rPr>
          <w:b/>
        </w:rPr>
        <w:t xml:space="preserve">5.2.5 </w:t>
      </w:r>
      <w:r>
        <w:rPr>
          <w:spacing w:val="-3"/>
        </w:rPr>
        <w:t>妇科、产科和计划生育用房设置应符合下列要求：</w:t>
      </w:r>
      <w:r>
        <w:t xml:space="preserve"> </w:t>
      </w:r>
    </w:p>
    <w:p w14:paraId="42650AAF" w14:textId="77777777" w:rsidR="00A71EEF" w:rsidRDefault="0081115D">
      <w:pPr>
        <w:pStyle w:val="a3"/>
        <w:spacing w:line="268" w:lineRule="exact"/>
        <w:ind w:left="838"/>
      </w:pPr>
      <w:r>
        <w:t>应自成一区，可设单独出入口。</w:t>
      </w:r>
      <w:r>
        <w:t xml:space="preserve"> </w:t>
      </w:r>
    </w:p>
    <w:p w14:paraId="3957B2CB" w14:textId="77777777" w:rsidR="00A71EEF" w:rsidRDefault="00A71EEF">
      <w:pPr>
        <w:pStyle w:val="a3"/>
        <w:rPr>
          <w:sz w:val="18"/>
        </w:rPr>
      </w:pPr>
    </w:p>
    <w:p w14:paraId="7472D9B4" w14:textId="77777777" w:rsidR="00A71EEF" w:rsidRDefault="0081115D">
      <w:pPr>
        <w:pStyle w:val="a3"/>
        <w:spacing w:line="446" w:lineRule="auto"/>
        <w:ind w:left="418" w:right="1608" w:firstLine="419"/>
      </w:pPr>
      <w:r>
        <w:rPr>
          <w:spacing w:val="-5"/>
        </w:rPr>
        <w:t>妇科应增设隔离诊室、妇科检查室及专用卫生间，宜采用不多于</w:t>
      </w:r>
      <w:r>
        <w:rPr>
          <w:spacing w:val="-5"/>
        </w:rPr>
        <w:t xml:space="preserve"> </w:t>
      </w:r>
      <w:r>
        <w:t>2</w:t>
      </w:r>
      <w:r>
        <w:rPr>
          <w:spacing w:val="-15"/>
        </w:rPr>
        <w:t xml:space="preserve"> </w:t>
      </w:r>
      <w:r>
        <w:rPr>
          <w:spacing w:val="-15"/>
        </w:rPr>
        <w:t>个诊室合用</w:t>
      </w:r>
      <w:r>
        <w:rPr>
          <w:spacing w:val="-15"/>
        </w:rPr>
        <w:t xml:space="preserve"> </w:t>
      </w:r>
      <w:r>
        <w:t>1</w:t>
      </w:r>
      <w:r>
        <w:rPr>
          <w:spacing w:val="-11"/>
        </w:rPr>
        <w:t xml:space="preserve"> </w:t>
      </w:r>
      <w:r>
        <w:rPr>
          <w:spacing w:val="-11"/>
        </w:rPr>
        <w:t>个妇科检</w:t>
      </w:r>
      <w:r>
        <w:rPr>
          <w:spacing w:val="-6"/>
        </w:rPr>
        <w:t>查室的组合方式。</w:t>
      </w:r>
      <w:r>
        <w:t xml:space="preserve"> </w:t>
      </w:r>
    </w:p>
    <w:p w14:paraId="7516C4ED" w14:textId="77777777" w:rsidR="00A71EEF" w:rsidRDefault="0081115D">
      <w:pPr>
        <w:pStyle w:val="a3"/>
        <w:spacing w:line="267" w:lineRule="exact"/>
        <w:ind w:left="838"/>
      </w:pPr>
      <w:r>
        <w:t>产科和计划生育应增设休息室及专用卫生间。</w:t>
      </w:r>
      <w:r>
        <w:t xml:space="preserve"> </w:t>
      </w:r>
    </w:p>
    <w:p w14:paraId="058D9FBA" w14:textId="77777777" w:rsidR="00A71EEF" w:rsidRDefault="00A71EEF">
      <w:pPr>
        <w:pStyle w:val="a3"/>
        <w:spacing w:before="2"/>
        <w:rPr>
          <w:sz w:val="18"/>
        </w:rPr>
      </w:pPr>
    </w:p>
    <w:p w14:paraId="25355E24" w14:textId="77777777" w:rsidR="00A71EEF" w:rsidRDefault="0081115D">
      <w:pPr>
        <w:pStyle w:val="a3"/>
        <w:ind w:left="838"/>
      </w:pPr>
      <w:r>
        <w:t>妇科可增设手术室、休息室；产科可增设人流手术室、咨询室。</w:t>
      </w:r>
      <w:r>
        <w:t xml:space="preserve"> </w:t>
      </w:r>
    </w:p>
    <w:p w14:paraId="0B694E11" w14:textId="77777777" w:rsidR="00A71EEF" w:rsidRDefault="00A71EEF">
      <w:pPr>
        <w:sectPr w:rsidR="00A71EEF">
          <w:pgSz w:w="11910" w:h="16850"/>
          <w:pgMar w:top="1220" w:right="0" w:bottom="1420" w:left="1260" w:header="0" w:footer="1239" w:gutter="0"/>
          <w:cols w:space="720"/>
        </w:sectPr>
      </w:pPr>
    </w:p>
    <w:p w14:paraId="61E4A47C" w14:textId="77777777" w:rsidR="00A71EEF" w:rsidRDefault="0081115D">
      <w:pPr>
        <w:pStyle w:val="a3"/>
        <w:spacing w:before="47"/>
        <w:ind w:left="838"/>
      </w:pPr>
      <w:r>
        <w:t>各室应有阻隔外界视线的措施。</w:t>
      </w:r>
      <w:r>
        <w:t xml:space="preserve"> </w:t>
      </w:r>
    </w:p>
    <w:p w14:paraId="1B871FBC" w14:textId="77777777" w:rsidR="00A71EEF" w:rsidRDefault="00A71EEF">
      <w:pPr>
        <w:pStyle w:val="a3"/>
        <w:rPr>
          <w:sz w:val="18"/>
        </w:rPr>
      </w:pPr>
    </w:p>
    <w:p w14:paraId="29D93E59" w14:textId="77777777" w:rsidR="00A71EEF" w:rsidRDefault="0081115D">
      <w:pPr>
        <w:pStyle w:val="a4"/>
        <w:numPr>
          <w:ilvl w:val="2"/>
          <w:numId w:val="185"/>
        </w:numPr>
        <w:tabs>
          <w:tab w:val="left" w:pos="1371"/>
        </w:tabs>
        <w:spacing w:line="446" w:lineRule="auto"/>
        <w:ind w:right="6018" w:firstLine="2"/>
        <w:rPr>
          <w:sz w:val="21"/>
        </w:rPr>
      </w:pPr>
      <w:r>
        <w:rPr>
          <w:spacing w:val="-2"/>
          <w:sz w:val="21"/>
        </w:rPr>
        <w:t>儿科用房设置应符合下列要求：</w:t>
      </w:r>
      <w:r>
        <w:rPr>
          <w:spacing w:val="-2"/>
          <w:sz w:val="21"/>
        </w:rPr>
        <w:t xml:space="preserve"> </w:t>
      </w:r>
      <w:r>
        <w:rPr>
          <w:spacing w:val="-2"/>
          <w:sz w:val="21"/>
        </w:rPr>
        <w:t>应</w:t>
      </w:r>
      <w:r>
        <w:rPr>
          <w:spacing w:val="-3"/>
          <w:sz w:val="21"/>
        </w:rPr>
        <w:t>自成一区，可设单独出入口。</w:t>
      </w:r>
      <w:r>
        <w:rPr>
          <w:sz w:val="21"/>
        </w:rPr>
        <w:t xml:space="preserve"> </w:t>
      </w:r>
    </w:p>
    <w:p w14:paraId="0E39A803" w14:textId="77777777" w:rsidR="00A71EEF" w:rsidRDefault="0081115D">
      <w:pPr>
        <w:pStyle w:val="a3"/>
        <w:spacing w:line="446" w:lineRule="auto"/>
        <w:ind w:left="418" w:right="1609" w:firstLine="419"/>
      </w:pPr>
      <w:r>
        <w:t>应增设预检、候诊、儿科专用卫生间、隔离诊查和隔离卫生间等用房。隔离区宜有单独对外出口。</w:t>
      </w:r>
      <w:r>
        <w:t xml:space="preserve"> </w:t>
      </w:r>
    </w:p>
    <w:p w14:paraId="54EF4019" w14:textId="77777777" w:rsidR="00A71EEF" w:rsidRDefault="0081115D">
      <w:pPr>
        <w:pStyle w:val="a3"/>
        <w:spacing w:line="446" w:lineRule="auto"/>
        <w:ind w:left="838" w:right="4866"/>
      </w:pPr>
      <w:r>
        <w:t>可单独设置挂号、药房、注射、检验和输液等用房。候诊处面积每患儿不应小于</w:t>
      </w:r>
      <w:r>
        <w:t xml:space="preserve"> 1.50 </w:t>
      </w:r>
      <w:r>
        <w:t>㎡。</w:t>
      </w:r>
      <w:r>
        <w:t xml:space="preserve"> </w:t>
      </w:r>
    </w:p>
    <w:p w14:paraId="797AE415" w14:textId="77777777" w:rsidR="00A71EEF" w:rsidRDefault="0081115D">
      <w:pPr>
        <w:pStyle w:val="a4"/>
        <w:numPr>
          <w:ilvl w:val="2"/>
          <w:numId w:val="185"/>
        </w:numPr>
        <w:tabs>
          <w:tab w:val="left" w:pos="1371"/>
        </w:tabs>
        <w:spacing w:line="446" w:lineRule="auto"/>
        <w:ind w:right="5291" w:firstLine="2"/>
        <w:rPr>
          <w:sz w:val="21"/>
        </w:rPr>
      </w:pPr>
      <w:r>
        <w:rPr>
          <w:spacing w:val="-2"/>
          <w:sz w:val="21"/>
        </w:rPr>
        <w:t>耳鼻喉科用房设置应符合下列要求：</w:t>
      </w:r>
      <w:r>
        <w:rPr>
          <w:spacing w:val="-2"/>
          <w:sz w:val="21"/>
        </w:rPr>
        <w:t xml:space="preserve">   </w:t>
      </w:r>
      <w:r>
        <w:rPr>
          <w:spacing w:val="-2"/>
          <w:sz w:val="21"/>
        </w:rPr>
        <w:t>应</w:t>
      </w:r>
      <w:r>
        <w:rPr>
          <w:spacing w:val="-3"/>
          <w:sz w:val="21"/>
        </w:rPr>
        <w:t>增设内镜检查</w:t>
      </w:r>
      <w:r>
        <w:rPr>
          <w:spacing w:val="-3"/>
          <w:sz w:val="21"/>
        </w:rPr>
        <w:t>(</w:t>
      </w:r>
      <w:r>
        <w:rPr>
          <w:spacing w:val="-3"/>
          <w:sz w:val="21"/>
        </w:rPr>
        <w:t>包括食道镜等</w:t>
      </w:r>
      <w:r>
        <w:rPr>
          <w:spacing w:val="-3"/>
          <w:sz w:val="21"/>
        </w:rPr>
        <w:t>)</w:t>
      </w:r>
      <w:r>
        <w:rPr>
          <w:spacing w:val="-3"/>
          <w:sz w:val="21"/>
        </w:rPr>
        <w:t>、治疗的用房；</w:t>
      </w:r>
      <w:r>
        <w:rPr>
          <w:sz w:val="21"/>
        </w:rPr>
        <w:t xml:space="preserve"> </w:t>
      </w:r>
    </w:p>
    <w:p w14:paraId="7A8CF422" w14:textId="77777777" w:rsidR="00A71EEF" w:rsidRDefault="0081115D">
      <w:pPr>
        <w:pStyle w:val="a3"/>
        <w:spacing w:line="446" w:lineRule="auto"/>
        <w:ind w:left="840" w:right="2768" w:hanging="3"/>
      </w:pPr>
      <w:r>
        <w:t>可设置手术、测听、前庭功能、内镜检查</w:t>
      </w:r>
      <w:r>
        <w:t>(</w:t>
      </w:r>
      <w:r>
        <w:t>包括气管镜、食道镜等</w:t>
      </w:r>
      <w:r>
        <w:t>)</w:t>
      </w:r>
      <w:r>
        <w:t>等用房。</w:t>
      </w:r>
      <w:r>
        <w:rPr>
          <w:b/>
        </w:rPr>
        <w:t xml:space="preserve">5.2.8 </w:t>
      </w:r>
      <w:r>
        <w:t>眼科用房设置应符合下列要求：</w:t>
      </w:r>
      <w:r>
        <w:t xml:space="preserve"> </w:t>
      </w:r>
    </w:p>
    <w:p w14:paraId="0C7EBBF5" w14:textId="77777777" w:rsidR="00A71EEF" w:rsidRDefault="0081115D">
      <w:pPr>
        <w:pStyle w:val="a3"/>
        <w:spacing w:line="446" w:lineRule="auto"/>
        <w:ind w:left="838" w:right="3399"/>
        <w:rPr>
          <w:b/>
        </w:rPr>
      </w:pPr>
      <w:r>
        <w:t>应增设初检</w:t>
      </w:r>
      <w:r>
        <w:t>(</w:t>
      </w:r>
      <w:r>
        <w:t>视力、眼压、屈光</w:t>
      </w:r>
      <w:r>
        <w:t>)</w:t>
      </w:r>
      <w:r>
        <w:t>、诊查、治疗、检查、暗室等用房；</w:t>
      </w:r>
      <w:r>
        <w:t xml:space="preserve"> </w:t>
      </w:r>
      <w:r>
        <w:t>初检室和</w:t>
      </w:r>
      <w:r>
        <w:t>诊查室宜具备明暗转换装置；</w:t>
      </w:r>
      <w:r>
        <w:rPr>
          <w:b/>
          <w:w w:val="99"/>
        </w:rPr>
        <w:t xml:space="preserve"> </w:t>
      </w:r>
    </w:p>
    <w:p w14:paraId="74FD665D" w14:textId="77777777" w:rsidR="00A71EEF" w:rsidRDefault="0081115D">
      <w:pPr>
        <w:pStyle w:val="a3"/>
        <w:ind w:left="838"/>
        <w:rPr>
          <w:b/>
        </w:rPr>
      </w:pPr>
      <w:r>
        <w:t>宜设置专用手术室。</w:t>
      </w:r>
      <w:r>
        <w:rPr>
          <w:b/>
          <w:w w:val="99"/>
        </w:rPr>
        <w:t xml:space="preserve"> </w:t>
      </w:r>
    </w:p>
    <w:p w14:paraId="384CFF1D" w14:textId="77777777" w:rsidR="00A71EEF" w:rsidRDefault="00A71EEF">
      <w:pPr>
        <w:pStyle w:val="a3"/>
        <w:spacing w:before="8"/>
        <w:rPr>
          <w:b/>
          <w:sz w:val="17"/>
        </w:rPr>
      </w:pPr>
    </w:p>
    <w:p w14:paraId="7CE3C2CA" w14:textId="77777777" w:rsidR="00A71EEF" w:rsidRDefault="0081115D">
      <w:pPr>
        <w:pStyle w:val="a4"/>
        <w:numPr>
          <w:ilvl w:val="2"/>
          <w:numId w:val="184"/>
        </w:numPr>
        <w:tabs>
          <w:tab w:val="left" w:pos="1371"/>
        </w:tabs>
        <w:rPr>
          <w:sz w:val="21"/>
        </w:rPr>
      </w:pPr>
      <w:r>
        <w:rPr>
          <w:spacing w:val="-3"/>
          <w:sz w:val="21"/>
        </w:rPr>
        <w:t>口腔科用房设置应符合下列要求：</w:t>
      </w:r>
      <w:r>
        <w:rPr>
          <w:sz w:val="21"/>
        </w:rPr>
        <w:t xml:space="preserve"> </w:t>
      </w:r>
    </w:p>
    <w:p w14:paraId="48B4B59F" w14:textId="77777777" w:rsidR="00A71EEF" w:rsidRDefault="00A71EEF">
      <w:pPr>
        <w:pStyle w:val="a3"/>
        <w:spacing w:before="2"/>
        <w:rPr>
          <w:sz w:val="18"/>
        </w:rPr>
      </w:pPr>
    </w:p>
    <w:p w14:paraId="57A86083" w14:textId="77777777" w:rsidR="00A71EEF" w:rsidRDefault="0081115D">
      <w:pPr>
        <w:pStyle w:val="a3"/>
        <w:ind w:left="838"/>
        <w:rPr>
          <w:b/>
        </w:rPr>
      </w:pPr>
      <w:r>
        <w:t>应增设</w:t>
      </w:r>
      <w:r>
        <w:t xml:space="preserve"> X </w:t>
      </w:r>
      <w:r>
        <w:t>线检查、镶复、消毒洗涤、矫形等用房；</w:t>
      </w:r>
      <w:r>
        <w:rPr>
          <w:b/>
          <w:w w:val="99"/>
        </w:rPr>
        <w:t xml:space="preserve"> </w:t>
      </w:r>
    </w:p>
    <w:p w14:paraId="718B73ED" w14:textId="77777777" w:rsidR="00A71EEF" w:rsidRDefault="00A71EEF">
      <w:pPr>
        <w:pStyle w:val="a3"/>
        <w:spacing w:before="12"/>
        <w:rPr>
          <w:b/>
          <w:sz w:val="17"/>
        </w:rPr>
      </w:pPr>
    </w:p>
    <w:p w14:paraId="0DEB5259" w14:textId="77777777" w:rsidR="00A71EEF" w:rsidRDefault="0081115D">
      <w:pPr>
        <w:pStyle w:val="a3"/>
        <w:ind w:left="838"/>
        <w:rPr>
          <w:b/>
        </w:rPr>
      </w:pPr>
      <w:r>
        <w:t>诊查单元每椅中距不应小于</w:t>
      </w:r>
      <w:r>
        <w:t xml:space="preserve"> 1.80m</w:t>
      </w:r>
      <w:r>
        <w:t>，椅中心距墙不应小于</w:t>
      </w:r>
      <w:r>
        <w:t xml:space="preserve"> 1.20m</w:t>
      </w:r>
      <w:r>
        <w:t>；</w:t>
      </w:r>
      <w:r>
        <w:rPr>
          <w:b/>
          <w:w w:val="99"/>
        </w:rPr>
        <w:t xml:space="preserve"> </w:t>
      </w:r>
    </w:p>
    <w:p w14:paraId="17C2CE91" w14:textId="77777777" w:rsidR="00A71EEF" w:rsidRDefault="00A71EEF">
      <w:pPr>
        <w:pStyle w:val="a3"/>
        <w:rPr>
          <w:b/>
          <w:sz w:val="18"/>
        </w:rPr>
      </w:pPr>
    </w:p>
    <w:p w14:paraId="277B46ED" w14:textId="77777777" w:rsidR="00A71EEF" w:rsidRDefault="0081115D">
      <w:pPr>
        <w:pStyle w:val="a3"/>
        <w:spacing w:line="446" w:lineRule="auto"/>
        <w:ind w:left="838" w:right="6969"/>
        <w:rPr>
          <w:b/>
        </w:rPr>
      </w:pPr>
      <w:r>
        <w:t>镶复室宜考虑有良好的通风；</w:t>
      </w:r>
      <w:r>
        <w:t xml:space="preserve"> </w:t>
      </w:r>
      <w:r>
        <w:t>可设资料室。</w:t>
      </w:r>
      <w:r>
        <w:rPr>
          <w:b/>
          <w:w w:val="99"/>
        </w:rPr>
        <w:t xml:space="preserve"> </w:t>
      </w:r>
    </w:p>
    <w:p w14:paraId="3F5CB90E" w14:textId="77777777" w:rsidR="00A71EEF" w:rsidRDefault="0081115D">
      <w:pPr>
        <w:pStyle w:val="a4"/>
        <w:numPr>
          <w:ilvl w:val="2"/>
          <w:numId w:val="184"/>
        </w:numPr>
        <w:tabs>
          <w:tab w:val="left" w:pos="1478"/>
        </w:tabs>
        <w:spacing w:line="446" w:lineRule="auto"/>
        <w:ind w:left="838" w:right="5490" w:firstLine="2"/>
        <w:rPr>
          <w:b/>
          <w:sz w:val="21"/>
        </w:rPr>
      </w:pPr>
      <w:r>
        <w:rPr>
          <w:spacing w:val="-2"/>
          <w:sz w:val="21"/>
        </w:rPr>
        <w:t>门诊手术用房设置应符合下列要求：</w:t>
      </w:r>
      <w:r>
        <w:rPr>
          <w:spacing w:val="-2"/>
          <w:sz w:val="21"/>
        </w:rPr>
        <w:t xml:space="preserve"> </w:t>
      </w:r>
      <w:r>
        <w:rPr>
          <w:spacing w:val="-2"/>
          <w:sz w:val="21"/>
        </w:rPr>
        <w:t>门</w:t>
      </w:r>
      <w:r>
        <w:rPr>
          <w:spacing w:val="-3"/>
          <w:sz w:val="21"/>
        </w:rPr>
        <w:t>诊手术用房可与手术部合并设置；</w:t>
      </w:r>
      <w:r>
        <w:rPr>
          <w:b/>
          <w:w w:val="99"/>
          <w:sz w:val="21"/>
        </w:rPr>
        <w:t xml:space="preserve"> </w:t>
      </w:r>
    </w:p>
    <w:p w14:paraId="63342873" w14:textId="77777777" w:rsidR="00A71EEF" w:rsidRDefault="0081115D">
      <w:pPr>
        <w:pStyle w:val="a3"/>
        <w:spacing w:line="446" w:lineRule="auto"/>
        <w:ind w:left="418" w:right="1609" w:firstLine="419"/>
      </w:pPr>
      <w:r>
        <w:t>门诊手术用房应由手术室、准备室、更衣室、术后休息室和污物室组成。手术室平面尺寸不宜小于</w:t>
      </w:r>
      <w:r>
        <w:t xml:space="preserve"> 3.60m×4.80m</w:t>
      </w:r>
      <w:r>
        <w:t>。</w:t>
      </w:r>
      <w:r>
        <w:t xml:space="preserve"> </w:t>
      </w:r>
    </w:p>
    <w:p w14:paraId="63009FDD" w14:textId="77777777" w:rsidR="00A71EEF" w:rsidRDefault="0081115D">
      <w:pPr>
        <w:pStyle w:val="a4"/>
        <w:numPr>
          <w:ilvl w:val="2"/>
          <w:numId w:val="184"/>
        </w:numPr>
        <w:tabs>
          <w:tab w:val="left" w:pos="1478"/>
        </w:tabs>
        <w:spacing w:line="267" w:lineRule="exact"/>
        <w:ind w:left="1477" w:hanging="638"/>
        <w:rPr>
          <w:sz w:val="21"/>
        </w:rPr>
      </w:pPr>
      <w:r>
        <w:rPr>
          <w:spacing w:val="-3"/>
          <w:sz w:val="21"/>
        </w:rPr>
        <w:t>门诊卫生间设置应符合下列要求：</w:t>
      </w:r>
      <w:r>
        <w:rPr>
          <w:sz w:val="21"/>
        </w:rPr>
        <w:t xml:space="preserve"> </w:t>
      </w:r>
    </w:p>
    <w:p w14:paraId="2A01C431" w14:textId="77777777" w:rsidR="00A71EEF" w:rsidRDefault="00A71EEF">
      <w:pPr>
        <w:pStyle w:val="a3"/>
        <w:spacing w:before="2"/>
        <w:rPr>
          <w:sz w:val="18"/>
        </w:rPr>
      </w:pPr>
    </w:p>
    <w:p w14:paraId="20D05CA7" w14:textId="77777777" w:rsidR="00A71EEF" w:rsidRDefault="0081115D">
      <w:pPr>
        <w:pStyle w:val="a3"/>
        <w:ind w:left="838"/>
        <w:rPr>
          <w:b/>
        </w:rPr>
      </w:pPr>
      <w:r>
        <w:t>卫生间宜按日门诊量计算，男女患者比例宜为</w:t>
      </w:r>
      <w:r>
        <w:t xml:space="preserve"> 1</w:t>
      </w:r>
      <w:r>
        <w:t>：</w:t>
      </w:r>
      <w:r>
        <w:t>1</w:t>
      </w:r>
      <w:r>
        <w:t>；</w:t>
      </w:r>
      <w:r>
        <w:rPr>
          <w:b/>
          <w:w w:val="99"/>
        </w:rPr>
        <w:t xml:space="preserve"> </w:t>
      </w:r>
    </w:p>
    <w:p w14:paraId="747F25C4" w14:textId="77777777" w:rsidR="00A71EEF" w:rsidRDefault="00A71EEF">
      <w:pPr>
        <w:pStyle w:val="a3"/>
        <w:rPr>
          <w:b/>
          <w:sz w:val="18"/>
        </w:rPr>
      </w:pPr>
    </w:p>
    <w:p w14:paraId="4CD8CBC2" w14:textId="77777777" w:rsidR="00A71EEF" w:rsidRDefault="0081115D">
      <w:pPr>
        <w:pStyle w:val="a3"/>
        <w:ind w:left="838"/>
        <w:rPr>
          <w:b/>
        </w:rPr>
      </w:pPr>
      <w:r>
        <w:t>男厕每</w:t>
      </w:r>
      <w:r>
        <w:t xml:space="preserve"> 100 </w:t>
      </w:r>
      <w:r>
        <w:t>人次设大便器不应小于</w:t>
      </w:r>
      <w:r>
        <w:t xml:space="preserve"> 1 </w:t>
      </w:r>
      <w:r>
        <w:t>个、小便器不应小于</w:t>
      </w:r>
      <w:r>
        <w:t xml:space="preserve"> 1 </w:t>
      </w:r>
      <w:r>
        <w:t>个；</w:t>
      </w:r>
      <w:r>
        <w:rPr>
          <w:b/>
          <w:w w:val="99"/>
        </w:rPr>
        <w:t xml:space="preserve"> </w:t>
      </w:r>
    </w:p>
    <w:p w14:paraId="340DBF8C" w14:textId="77777777" w:rsidR="00A71EEF" w:rsidRDefault="00A71EEF">
      <w:pPr>
        <w:pStyle w:val="a3"/>
        <w:spacing w:before="12"/>
        <w:rPr>
          <w:b/>
          <w:sz w:val="17"/>
        </w:rPr>
      </w:pPr>
    </w:p>
    <w:p w14:paraId="0E7A312F" w14:textId="77777777" w:rsidR="00A71EEF" w:rsidRDefault="0081115D">
      <w:pPr>
        <w:pStyle w:val="a3"/>
        <w:ind w:left="838"/>
        <w:rPr>
          <w:b/>
        </w:rPr>
      </w:pPr>
      <w:r>
        <w:t>女厕每</w:t>
      </w:r>
      <w:r>
        <w:t xml:space="preserve"> 100 </w:t>
      </w:r>
      <w:r>
        <w:t>人次设大便器不应小于</w:t>
      </w:r>
      <w:r>
        <w:t xml:space="preserve"> 3 </w:t>
      </w:r>
      <w:r>
        <w:t>个；</w:t>
      </w:r>
      <w:r>
        <w:rPr>
          <w:b/>
          <w:w w:val="99"/>
        </w:rPr>
        <w:t xml:space="preserve"> </w:t>
      </w:r>
    </w:p>
    <w:p w14:paraId="00BD8AF4" w14:textId="77777777" w:rsidR="00A71EEF" w:rsidRDefault="00A71EEF">
      <w:pPr>
        <w:pStyle w:val="a3"/>
        <w:spacing w:before="2"/>
        <w:rPr>
          <w:b/>
          <w:sz w:val="18"/>
        </w:rPr>
      </w:pPr>
    </w:p>
    <w:p w14:paraId="028872EF" w14:textId="77777777" w:rsidR="00A71EEF" w:rsidRDefault="0081115D">
      <w:pPr>
        <w:pStyle w:val="a3"/>
        <w:ind w:left="838"/>
        <w:rPr>
          <w:b/>
        </w:rPr>
      </w:pPr>
      <w:r>
        <w:t>应按本规范第</w:t>
      </w:r>
      <w:r>
        <w:t xml:space="preserve"> 5.1.13 </w:t>
      </w:r>
      <w:r>
        <w:t>条的要求设置。</w:t>
      </w:r>
      <w:r>
        <w:rPr>
          <w:b/>
          <w:w w:val="99"/>
        </w:rPr>
        <w:t xml:space="preserve"> </w:t>
      </w:r>
    </w:p>
    <w:p w14:paraId="47ADE875" w14:textId="77777777" w:rsidR="00A71EEF" w:rsidRDefault="00A71EEF">
      <w:pPr>
        <w:sectPr w:rsidR="00A71EEF">
          <w:pgSz w:w="11910" w:h="16850"/>
          <w:pgMar w:top="1220" w:right="0" w:bottom="1420" w:left="1260" w:header="0" w:footer="1239" w:gutter="0"/>
          <w:cols w:space="720"/>
        </w:sectPr>
      </w:pPr>
    </w:p>
    <w:p w14:paraId="75BBA73A" w14:textId="77777777" w:rsidR="00A71EEF" w:rsidRDefault="0081115D">
      <w:pPr>
        <w:pStyle w:val="a4"/>
        <w:numPr>
          <w:ilvl w:val="2"/>
          <w:numId w:val="184"/>
        </w:numPr>
        <w:tabs>
          <w:tab w:val="left" w:pos="1478"/>
        </w:tabs>
        <w:spacing w:before="47"/>
        <w:ind w:left="1477" w:hanging="638"/>
        <w:rPr>
          <w:b/>
          <w:sz w:val="21"/>
        </w:rPr>
      </w:pPr>
      <w:r>
        <w:rPr>
          <w:spacing w:val="-3"/>
          <w:sz w:val="21"/>
        </w:rPr>
        <w:t>预防保健用房设置应符合下列要求：</w:t>
      </w:r>
      <w:r>
        <w:rPr>
          <w:b/>
          <w:w w:val="99"/>
          <w:sz w:val="21"/>
        </w:rPr>
        <w:t xml:space="preserve"> </w:t>
      </w:r>
    </w:p>
    <w:p w14:paraId="3B0B620B" w14:textId="77777777" w:rsidR="00A71EEF" w:rsidRDefault="00A71EEF">
      <w:pPr>
        <w:pStyle w:val="a3"/>
        <w:rPr>
          <w:b/>
          <w:sz w:val="18"/>
        </w:rPr>
      </w:pPr>
    </w:p>
    <w:p w14:paraId="3EBD1125" w14:textId="77777777" w:rsidR="00A71EEF" w:rsidRDefault="0081115D">
      <w:pPr>
        <w:pStyle w:val="a3"/>
        <w:spacing w:line="446" w:lineRule="auto"/>
        <w:ind w:left="838" w:right="2977"/>
        <w:rPr>
          <w:b/>
        </w:rPr>
      </w:pPr>
      <w:r>
        <w:rPr>
          <w:spacing w:val="-3"/>
        </w:rPr>
        <w:t>应设宣教、档案、儿童保健、妇女保健、免疫接种、更衣、办公等用房；</w:t>
      </w:r>
      <w:r>
        <w:rPr>
          <w:spacing w:val="-3"/>
        </w:rPr>
        <w:t xml:space="preserve"> </w:t>
      </w:r>
      <w:r>
        <w:rPr>
          <w:spacing w:val="-3"/>
        </w:rPr>
        <w:t>可增设心理咨询用房。</w:t>
      </w:r>
      <w:r>
        <w:rPr>
          <w:b/>
          <w:w w:val="99"/>
        </w:rPr>
        <w:t xml:space="preserve"> </w:t>
      </w:r>
    </w:p>
    <w:p w14:paraId="7647876A" w14:textId="77777777" w:rsidR="00A71EEF" w:rsidRDefault="0081115D">
      <w:pPr>
        <w:pStyle w:val="a4"/>
        <w:numPr>
          <w:ilvl w:val="1"/>
          <w:numId w:val="187"/>
        </w:numPr>
        <w:tabs>
          <w:tab w:val="left" w:pos="1159"/>
        </w:tabs>
        <w:ind w:hanging="319"/>
        <w:rPr>
          <w:sz w:val="21"/>
        </w:rPr>
      </w:pPr>
      <w:r>
        <w:rPr>
          <w:spacing w:val="-3"/>
          <w:sz w:val="21"/>
        </w:rPr>
        <w:t>急诊部用房</w:t>
      </w:r>
      <w:r>
        <w:rPr>
          <w:sz w:val="21"/>
        </w:rPr>
        <w:t xml:space="preserve"> </w:t>
      </w:r>
    </w:p>
    <w:p w14:paraId="3122D895" w14:textId="77777777" w:rsidR="00A71EEF" w:rsidRDefault="00A71EEF">
      <w:pPr>
        <w:pStyle w:val="a3"/>
        <w:spacing w:before="12"/>
        <w:rPr>
          <w:sz w:val="17"/>
        </w:rPr>
      </w:pPr>
    </w:p>
    <w:p w14:paraId="20DB9556" w14:textId="77777777" w:rsidR="00A71EEF" w:rsidRDefault="0081115D">
      <w:pPr>
        <w:pStyle w:val="a4"/>
        <w:numPr>
          <w:ilvl w:val="2"/>
          <w:numId w:val="187"/>
        </w:numPr>
        <w:tabs>
          <w:tab w:val="left" w:pos="1424"/>
        </w:tabs>
        <w:ind w:left="1423" w:hanging="584"/>
        <w:rPr>
          <w:sz w:val="21"/>
        </w:rPr>
      </w:pPr>
      <w:r>
        <w:rPr>
          <w:spacing w:val="-3"/>
          <w:sz w:val="21"/>
        </w:rPr>
        <w:t>急诊部设置应符合下列要求：</w:t>
      </w:r>
      <w:r>
        <w:rPr>
          <w:sz w:val="21"/>
        </w:rPr>
        <w:t xml:space="preserve"> </w:t>
      </w:r>
    </w:p>
    <w:p w14:paraId="22FCC97A" w14:textId="77777777" w:rsidR="00A71EEF" w:rsidRDefault="00A71EEF">
      <w:pPr>
        <w:pStyle w:val="a3"/>
        <w:rPr>
          <w:sz w:val="18"/>
        </w:rPr>
      </w:pPr>
    </w:p>
    <w:p w14:paraId="56CA20DD" w14:textId="77777777" w:rsidR="00A71EEF" w:rsidRDefault="0081115D">
      <w:pPr>
        <w:pStyle w:val="a3"/>
        <w:spacing w:line="446" w:lineRule="auto"/>
        <w:ind w:left="838" w:right="3186"/>
        <w:rPr>
          <w:b/>
        </w:rPr>
      </w:pPr>
      <w:r>
        <w:rPr>
          <w:spacing w:val="-3"/>
        </w:rPr>
        <w:t>自成一区，应单独设置出入口，便于急救车、担架车、轮椅车的停放；</w:t>
      </w:r>
      <w:r>
        <w:rPr>
          <w:spacing w:val="-3"/>
        </w:rPr>
        <w:t xml:space="preserve"> </w:t>
      </w:r>
      <w:r>
        <w:rPr>
          <w:spacing w:val="-3"/>
        </w:rPr>
        <w:t>急诊、急救应分区设置；</w:t>
      </w:r>
      <w:r>
        <w:rPr>
          <w:b/>
          <w:w w:val="99"/>
        </w:rPr>
        <w:t xml:space="preserve"> </w:t>
      </w:r>
    </w:p>
    <w:p w14:paraId="235BAC6F" w14:textId="77777777" w:rsidR="00A71EEF" w:rsidRDefault="0081115D">
      <w:pPr>
        <w:pStyle w:val="a3"/>
        <w:spacing w:line="446" w:lineRule="auto"/>
        <w:ind w:left="838" w:right="4866"/>
      </w:pPr>
      <w:r>
        <w:t>急诊部与门诊部、医技部、手术部应有便捷的联系；</w:t>
      </w:r>
      <w:r>
        <w:t xml:space="preserve"> </w:t>
      </w:r>
      <w:r>
        <w:t>设置直升机停机坪时，应与急诊部有快捷的通道。</w:t>
      </w:r>
      <w:r>
        <w:rPr>
          <w:b/>
        </w:rPr>
        <w:t xml:space="preserve">5.3.2 </w:t>
      </w:r>
      <w:r>
        <w:t>急诊用房设置应符合下列要求：</w:t>
      </w:r>
      <w:r>
        <w:t xml:space="preserve"> </w:t>
      </w:r>
    </w:p>
    <w:p w14:paraId="0EF2D241" w14:textId="77777777" w:rsidR="00A71EEF" w:rsidRDefault="0081115D">
      <w:pPr>
        <w:pStyle w:val="a3"/>
        <w:spacing w:line="446" w:lineRule="auto"/>
        <w:ind w:left="838" w:right="1925"/>
      </w:pPr>
      <w:r>
        <w:rPr>
          <w:spacing w:val="-3"/>
        </w:rPr>
        <w:t>应设接诊分诊、护士站、输液、观察、污洗、杂物贮藏、值班更衣、卫生间等用房；</w:t>
      </w:r>
      <w:r>
        <w:rPr>
          <w:spacing w:val="-3"/>
        </w:rPr>
        <w:t xml:space="preserve"> </w:t>
      </w:r>
      <w:r>
        <w:rPr>
          <w:spacing w:val="-3"/>
        </w:rPr>
        <w:t>急救部分应设抢救、抢救监护等用房；</w:t>
      </w:r>
      <w:r>
        <w:t xml:space="preserve"> </w:t>
      </w:r>
    </w:p>
    <w:p w14:paraId="1478B65F" w14:textId="77777777" w:rsidR="00A71EEF" w:rsidRDefault="0081115D">
      <w:pPr>
        <w:pStyle w:val="a3"/>
        <w:ind w:left="838"/>
      </w:pPr>
      <w:r>
        <w:t>急诊部分应设诊查、治疗、清创、换药</w:t>
      </w:r>
      <w:r>
        <w:t>等用房；</w:t>
      </w:r>
      <w:r>
        <w:t xml:space="preserve"> </w:t>
      </w:r>
    </w:p>
    <w:p w14:paraId="75F91B2C" w14:textId="77777777" w:rsidR="00A71EEF" w:rsidRDefault="00A71EEF">
      <w:pPr>
        <w:pStyle w:val="a3"/>
        <w:spacing w:before="11"/>
        <w:rPr>
          <w:sz w:val="17"/>
        </w:rPr>
      </w:pPr>
    </w:p>
    <w:p w14:paraId="70945DD1" w14:textId="77777777" w:rsidR="00A71EEF" w:rsidRDefault="0081115D">
      <w:pPr>
        <w:pStyle w:val="a3"/>
        <w:spacing w:before="1" w:line="446" w:lineRule="auto"/>
        <w:ind w:left="838" w:right="1347"/>
      </w:pPr>
      <w:r>
        <w:rPr>
          <w:spacing w:val="-3"/>
        </w:rPr>
        <w:t>可独立设挂号、收费、病历、药房、检验、</w:t>
      </w:r>
      <w:r>
        <w:t>X</w:t>
      </w:r>
      <w:r>
        <w:rPr>
          <w:spacing w:val="-8"/>
        </w:rPr>
        <w:t xml:space="preserve"> </w:t>
      </w:r>
      <w:r>
        <w:rPr>
          <w:spacing w:val="-8"/>
        </w:rPr>
        <w:t>线检查、功能检查、手术、重症监护等用房；</w:t>
      </w:r>
      <w:r>
        <w:rPr>
          <w:spacing w:val="-8"/>
        </w:rPr>
        <w:t xml:space="preserve"> </w:t>
      </w:r>
      <w:r>
        <w:rPr>
          <w:spacing w:val="-3"/>
        </w:rPr>
        <w:t>输液室应由治疗间和输液间组成。</w:t>
      </w:r>
      <w:r>
        <w:t xml:space="preserve"> </w:t>
      </w:r>
    </w:p>
    <w:p w14:paraId="06E01E6E" w14:textId="77777777" w:rsidR="00A71EEF" w:rsidRDefault="0081115D">
      <w:pPr>
        <w:pStyle w:val="a4"/>
        <w:numPr>
          <w:ilvl w:val="2"/>
          <w:numId w:val="183"/>
        </w:numPr>
        <w:tabs>
          <w:tab w:val="left" w:pos="1371"/>
        </w:tabs>
        <w:rPr>
          <w:sz w:val="21"/>
        </w:rPr>
      </w:pPr>
      <w:r>
        <w:rPr>
          <w:spacing w:val="-6"/>
          <w:sz w:val="21"/>
        </w:rPr>
        <w:t>当门厅兼用于分诊功能时，其面积不应小于</w:t>
      </w:r>
      <w:r>
        <w:rPr>
          <w:spacing w:val="-6"/>
          <w:sz w:val="21"/>
        </w:rPr>
        <w:t xml:space="preserve"> </w:t>
      </w:r>
      <w:r>
        <w:rPr>
          <w:sz w:val="21"/>
        </w:rPr>
        <w:t>24.00</w:t>
      </w:r>
      <w:r>
        <w:rPr>
          <w:spacing w:val="-20"/>
          <w:sz w:val="21"/>
        </w:rPr>
        <w:t xml:space="preserve"> </w:t>
      </w:r>
      <w:r>
        <w:rPr>
          <w:spacing w:val="-20"/>
          <w:sz w:val="21"/>
        </w:rPr>
        <w:t>㎡。</w:t>
      </w:r>
      <w:r>
        <w:rPr>
          <w:sz w:val="21"/>
        </w:rPr>
        <w:t xml:space="preserve"> </w:t>
      </w:r>
    </w:p>
    <w:p w14:paraId="5EFC0D0B" w14:textId="77777777" w:rsidR="00A71EEF" w:rsidRDefault="00A71EEF">
      <w:pPr>
        <w:pStyle w:val="a3"/>
        <w:spacing w:before="12"/>
        <w:rPr>
          <w:sz w:val="17"/>
        </w:rPr>
      </w:pPr>
    </w:p>
    <w:p w14:paraId="068D49D9" w14:textId="77777777" w:rsidR="00A71EEF" w:rsidRDefault="0081115D">
      <w:pPr>
        <w:pStyle w:val="a4"/>
        <w:numPr>
          <w:ilvl w:val="2"/>
          <w:numId w:val="183"/>
        </w:numPr>
        <w:tabs>
          <w:tab w:val="left" w:pos="1371"/>
        </w:tabs>
        <w:rPr>
          <w:sz w:val="21"/>
        </w:rPr>
      </w:pPr>
      <w:r>
        <w:rPr>
          <w:spacing w:val="-3"/>
          <w:sz w:val="21"/>
        </w:rPr>
        <w:t>抢救用房设置应符合下列要求：</w:t>
      </w:r>
      <w:r>
        <w:rPr>
          <w:sz w:val="21"/>
        </w:rPr>
        <w:t xml:space="preserve"> </w:t>
      </w:r>
    </w:p>
    <w:p w14:paraId="7556BE0E" w14:textId="77777777" w:rsidR="00A71EEF" w:rsidRDefault="00A71EEF">
      <w:pPr>
        <w:pStyle w:val="a3"/>
        <w:spacing w:before="12"/>
        <w:rPr>
          <w:sz w:val="17"/>
        </w:rPr>
      </w:pPr>
    </w:p>
    <w:p w14:paraId="1BC61015" w14:textId="77777777" w:rsidR="00A71EEF" w:rsidRDefault="0081115D">
      <w:pPr>
        <w:pStyle w:val="a3"/>
        <w:spacing w:line="446" w:lineRule="auto"/>
        <w:ind w:left="418" w:right="1611" w:firstLine="419"/>
      </w:pPr>
      <w:r>
        <w:rPr>
          <w:spacing w:val="-5"/>
        </w:rPr>
        <w:t>抢救室应直通门厅，有条件时宜直通急救车停车位，面积不应小于每床</w:t>
      </w:r>
      <w:r>
        <w:rPr>
          <w:spacing w:val="-5"/>
        </w:rPr>
        <w:t xml:space="preserve"> </w:t>
      </w:r>
      <w:r>
        <w:t>30.00</w:t>
      </w:r>
      <w:r>
        <w:rPr>
          <w:spacing w:val="-8"/>
        </w:rPr>
        <w:t xml:space="preserve"> </w:t>
      </w:r>
      <w:r>
        <w:rPr>
          <w:spacing w:val="-8"/>
        </w:rPr>
        <w:t>㎡，门的净</w:t>
      </w:r>
      <w:r>
        <w:rPr>
          <w:spacing w:val="-13"/>
        </w:rPr>
        <w:t>宽不应小于</w:t>
      </w:r>
      <w:r>
        <w:rPr>
          <w:spacing w:val="-13"/>
        </w:rPr>
        <w:t xml:space="preserve"> </w:t>
      </w:r>
      <w:r>
        <w:t>1.40m</w:t>
      </w:r>
      <w:r>
        <w:t>；</w:t>
      </w:r>
      <w:r>
        <w:t xml:space="preserve"> </w:t>
      </w:r>
    </w:p>
    <w:p w14:paraId="1863A5CF" w14:textId="77777777" w:rsidR="00A71EEF" w:rsidRDefault="0081115D">
      <w:pPr>
        <w:pStyle w:val="a3"/>
        <w:spacing w:before="1"/>
        <w:ind w:left="838"/>
      </w:pPr>
      <w:r>
        <w:t>宜设氧气、吸引等医疗气体的管道系统终端。</w:t>
      </w:r>
      <w:r>
        <w:t xml:space="preserve"> </w:t>
      </w:r>
    </w:p>
    <w:p w14:paraId="41DCC82C" w14:textId="77777777" w:rsidR="00A71EEF" w:rsidRDefault="00A71EEF">
      <w:pPr>
        <w:pStyle w:val="a3"/>
        <w:spacing w:before="12"/>
        <w:rPr>
          <w:sz w:val="17"/>
        </w:rPr>
      </w:pPr>
    </w:p>
    <w:p w14:paraId="4DF80EE2" w14:textId="77777777" w:rsidR="00A71EEF" w:rsidRDefault="0081115D">
      <w:pPr>
        <w:pStyle w:val="a4"/>
        <w:numPr>
          <w:ilvl w:val="2"/>
          <w:numId w:val="183"/>
        </w:numPr>
        <w:tabs>
          <w:tab w:val="left" w:pos="1371"/>
        </w:tabs>
        <w:rPr>
          <w:sz w:val="21"/>
        </w:rPr>
      </w:pPr>
      <w:r>
        <w:rPr>
          <w:spacing w:val="-6"/>
          <w:sz w:val="21"/>
        </w:rPr>
        <w:t>抢救监护室内平行排列的观察床净距不应小于</w:t>
      </w:r>
      <w:r>
        <w:rPr>
          <w:spacing w:val="-6"/>
          <w:sz w:val="21"/>
        </w:rPr>
        <w:t xml:space="preserve"> </w:t>
      </w:r>
      <w:r>
        <w:rPr>
          <w:sz w:val="21"/>
        </w:rPr>
        <w:t>1.20m</w:t>
      </w:r>
      <w:r>
        <w:rPr>
          <w:spacing w:val="-3"/>
          <w:sz w:val="21"/>
        </w:rPr>
        <w:t>，有吊帘分隔时不应小于</w:t>
      </w:r>
    </w:p>
    <w:p w14:paraId="405FD835" w14:textId="77777777" w:rsidR="00A71EEF" w:rsidRDefault="00A71EEF">
      <w:pPr>
        <w:pStyle w:val="a3"/>
        <w:spacing w:before="2"/>
        <w:rPr>
          <w:sz w:val="18"/>
        </w:rPr>
      </w:pPr>
    </w:p>
    <w:p w14:paraId="37F63681" w14:textId="77777777" w:rsidR="00A71EEF" w:rsidRDefault="0081115D">
      <w:pPr>
        <w:pStyle w:val="a3"/>
        <w:ind w:left="418"/>
      </w:pPr>
      <w:r>
        <w:t>1.40m</w:t>
      </w:r>
      <w:r>
        <w:t>，床沿与墙面的净距不应小于</w:t>
      </w:r>
      <w:r>
        <w:t xml:space="preserve"> 1.00m</w:t>
      </w:r>
      <w:r>
        <w:t>。</w:t>
      </w:r>
      <w:r>
        <w:t xml:space="preserve"> </w:t>
      </w:r>
    </w:p>
    <w:p w14:paraId="7B95D71D" w14:textId="77777777" w:rsidR="00A71EEF" w:rsidRDefault="00A71EEF">
      <w:pPr>
        <w:pStyle w:val="a3"/>
        <w:spacing w:before="12"/>
        <w:rPr>
          <w:sz w:val="17"/>
        </w:rPr>
      </w:pPr>
    </w:p>
    <w:p w14:paraId="3E6A7516" w14:textId="77777777" w:rsidR="00A71EEF" w:rsidRDefault="0081115D">
      <w:pPr>
        <w:pStyle w:val="a4"/>
        <w:numPr>
          <w:ilvl w:val="2"/>
          <w:numId w:val="183"/>
        </w:numPr>
        <w:tabs>
          <w:tab w:val="left" w:pos="1370"/>
        </w:tabs>
        <w:ind w:left="1369" w:hanging="530"/>
        <w:rPr>
          <w:sz w:val="21"/>
        </w:rPr>
      </w:pPr>
      <w:r>
        <w:rPr>
          <w:spacing w:val="-3"/>
          <w:sz w:val="21"/>
        </w:rPr>
        <w:t>观察用房设置应符合下列要求：</w:t>
      </w:r>
      <w:r>
        <w:rPr>
          <w:sz w:val="21"/>
        </w:rPr>
        <w:t xml:space="preserve"> </w:t>
      </w:r>
    </w:p>
    <w:p w14:paraId="151AA915" w14:textId="77777777" w:rsidR="00A71EEF" w:rsidRDefault="00A71EEF">
      <w:pPr>
        <w:pStyle w:val="a3"/>
        <w:rPr>
          <w:sz w:val="18"/>
        </w:rPr>
      </w:pPr>
    </w:p>
    <w:p w14:paraId="3AD5472C" w14:textId="77777777" w:rsidR="00A71EEF" w:rsidRDefault="0081115D">
      <w:pPr>
        <w:pStyle w:val="a3"/>
        <w:spacing w:line="446" w:lineRule="auto"/>
        <w:ind w:left="418" w:right="1503" w:firstLine="419"/>
      </w:pPr>
      <w:r>
        <w:rPr>
          <w:spacing w:val="-6"/>
        </w:rPr>
        <w:t>平行排列的观察床净距不应小于</w:t>
      </w:r>
      <w:r>
        <w:rPr>
          <w:spacing w:val="-6"/>
        </w:rPr>
        <w:t xml:space="preserve"> </w:t>
      </w:r>
      <w:r>
        <w:t>1.20m</w:t>
      </w:r>
      <w:r>
        <w:rPr>
          <w:spacing w:val="-6"/>
        </w:rPr>
        <w:t>，有吊帘分隔时不应小于</w:t>
      </w:r>
      <w:r>
        <w:rPr>
          <w:spacing w:val="-6"/>
        </w:rPr>
        <w:t xml:space="preserve"> </w:t>
      </w:r>
      <w:r>
        <w:t>1.40m</w:t>
      </w:r>
      <w:r>
        <w:rPr>
          <w:spacing w:val="-3"/>
        </w:rPr>
        <w:t>，床沿与墙面的净距</w:t>
      </w:r>
      <w:r>
        <w:rPr>
          <w:spacing w:val="-13"/>
        </w:rPr>
        <w:t>不应小于</w:t>
      </w:r>
      <w:r>
        <w:rPr>
          <w:spacing w:val="-13"/>
        </w:rPr>
        <w:t xml:space="preserve"> </w:t>
      </w:r>
      <w:r>
        <w:t>1.00m</w:t>
      </w:r>
      <w:r>
        <w:t>；</w:t>
      </w:r>
      <w:r>
        <w:t xml:space="preserve"> </w:t>
      </w:r>
    </w:p>
    <w:p w14:paraId="231833D6" w14:textId="77777777" w:rsidR="00A71EEF" w:rsidRDefault="0081115D">
      <w:pPr>
        <w:pStyle w:val="a3"/>
        <w:spacing w:line="446" w:lineRule="auto"/>
        <w:ind w:left="838" w:right="1505"/>
      </w:pPr>
      <w:r>
        <w:rPr>
          <w:spacing w:val="-3"/>
        </w:rPr>
        <w:t>可设置隔离观察室或隔离单元，并应设单独出入口，入口处应设缓冲区及就地消毒设施；</w:t>
      </w:r>
      <w:r>
        <w:rPr>
          <w:spacing w:val="-3"/>
        </w:rPr>
        <w:t xml:space="preserve"> </w:t>
      </w:r>
      <w:r>
        <w:rPr>
          <w:spacing w:val="-3"/>
        </w:rPr>
        <w:t>宜设氧气、吸引等医疗气体的管道系统终端。</w:t>
      </w:r>
      <w:r>
        <w:t xml:space="preserve"> </w:t>
      </w:r>
    </w:p>
    <w:p w14:paraId="72894BD7" w14:textId="77777777" w:rsidR="00A71EEF" w:rsidRDefault="0081115D">
      <w:pPr>
        <w:pStyle w:val="a4"/>
        <w:numPr>
          <w:ilvl w:val="1"/>
          <w:numId w:val="182"/>
        </w:numPr>
        <w:tabs>
          <w:tab w:val="left" w:pos="1159"/>
        </w:tabs>
        <w:ind w:hanging="319"/>
        <w:rPr>
          <w:b/>
          <w:sz w:val="21"/>
        </w:rPr>
      </w:pPr>
      <w:r>
        <w:rPr>
          <w:spacing w:val="-3"/>
          <w:sz w:val="21"/>
        </w:rPr>
        <w:t>感染疾病门诊用房</w:t>
      </w:r>
      <w:r>
        <w:rPr>
          <w:b/>
          <w:w w:val="99"/>
          <w:sz w:val="21"/>
        </w:rPr>
        <w:t xml:space="preserve"> </w:t>
      </w:r>
    </w:p>
    <w:p w14:paraId="182F72AA" w14:textId="77777777" w:rsidR="00A71EEF" w:rsidRDefault="00A71EEF">
      <w:pPr>
        <w:rPr>
          <w:sz w:val="21"/>
        </w:rPr>
        <w:sectPr w:rsidR="00A71EEF">
          <w:pgSz w:w="11910" w:h="16850"/>
          <w:pgMar w:top="1220" w:right="0" w:bottom="1420" w:left="1260" w:header="0" w:footer="1239" w:gutter="0"/>
          <w:cols w:space="720"/>
        </w:sectPr>
      </w:pPr>
    </w:p>
    <w:p w14:paraId="6F4EAB76" w14:textId="77777777" w:rsidR="00A71EEF" w:rsidRDefault="0081115D">
      <w:pPr>
        <w:pStyle w:val="a4"/>
        <w:numPr>
          <w:ilvl w:val="2"/>
          <w:numId w:val="182"/>
        </w:numPr>
        <w:tabs>
          <w:tab w:val="left" w:pos="1371"/>
        </w:tabs>
        <w:spacing w:before="47"/>
        <w:rPr>
          <w:sz w:val="21"/>
        </w:rPr>
      </w:pPr>
      <w:r>
        <w:rPr>
          <w:spacing w:val="-3"/>
          <w:sz w:val="21"/>
        </w:rPr>
        <w:t>消化道、呼吸道等感染疾病门诊均应自成一区，并应单独设置出入口。</w:t>
      </w:r>
      <w:r>
        <w:rPr>
          <w:spacing w:val="-3"/>
          <w:sz w:val="21"/>
        </w:rPr>
        <w:t xml:space="preserve"> </w:t>
      </w:r>
    </w:p>
    <w:p w14:paraId="3814C78D" w14:textId="77777777" w:rsidR="00A71EEF" w:rsidRDefault="00A71EEF">
      <w:pPr>
        <w:pStyle w:val="a3"/>
        <w:rPr>
          <w:sz w:val="18"/>
        </w:rPr>
      </w:pPr>
    </w:p>
    <w:p w14:paraId="10384577" w14:textId="77777777" w:rsidR="00A71EEF" w:rsidRDefault="0081115D">
      <w:pPr>
        <w:pStyle w:val="a4"/>
        <w:numPr>
          <w:ilvl w:val="2"/>
          <w:numId w:val="182"/>
        </w:numPr>
        <w:tabs>
          <w:tab w:val="left" w:pos="1370"/>
        </w:tabs>
        <w:spacing w:line="446" w:lineRule="auto"/>
        <w:ind w:left="418" w:right="1498" w:firstLine="422"/>
        <w:rPr>
          <w:sz w:val="21"/>
        </w:rPr>
      </w:pPr>
      <w:r>
        <w:rPr>
          <w:spacing w:val="-3"/>
          <w:sz w:val="21"/>
        </w:rPr>
        <w:t>感染门诊应根据具体情况设置分诊、接诊、挂号、收费、药房、检验、诊查、隔离观察、治疗、医护人员更衣、缓冲、专用卫生间等功能用房。</w:t>
      </w:r>
      <w:r>
        <w:rPr>
          <w:sz w:val="21"/>
        </w:rPr>
        <w:t xml:space="preserve"> </w:t>
      </w:r>
    </w:p>
    <w:p w14:paraId="59CDA685" w14:textId="77777777" w:rsidR="00A71EEF" w:rsidRDefault="0081115D">
      <w:pPr>
        <w:pStyle w:val="a4"/>
        <w:numPr>
          <w:ilvl w:val="1"/>
          <w:numId w:val="182"/>
        </w:numPr>
        <w:tabs>
          <w:tab w:val="left" w:pos="1159"/>
        </w:tabs>
        <w:ind w:hanging="319"/>
        <w:rPr>
          <w:b/>
          <w:sz w:val="21"/>
        </w:rPr>
      </w:pPr>
      <w:r>
        <w:rPr>
          <w:spacing w:val="-3"/>
          <w:sz w:val="21"/>
        </w:rPr>
        <w:t>住院部用房</w:t>
      </w:r>
      <w:r>
        <w:rPr>
          <w:b/>
          <w:w w:val="99"/>
          <w:sz w:val="21"/>
        </w:rPr>
        <w:t xml:space="preserve"> </w:t>
      </w:r>
    </w:p>
    <w:p w14:paraId="417A1050" w14:textId="77777777" w:rsidR="00A71EEF" w:rsidRDefault="00A71EEF">
      <w:pPr>
        <w:pStyle w:val="a3"/>
        <w:spacing w:before="12"/>
        <w:rPr>
          <w:b/>
          <w:sz w:val="17"/>
        </w:rPr>
      </w:pPr>
    </w:p>
    <w:p w14:paraId="02D0984B" w14:textId="77777777" w:rsidR="00A71EEF" w:rsidRDefault="0081115D">
      <w:pPr>
        <w:pStyle w:val="a4"/>
        <w:numPr>
          <w:ilvl w:val="2"/>
          <w:numId w:val="182"/>
        </w:numPr>
        <w:tabs>
          <w:tab w:val="left" w:pos="1371"/>
        </w:tabs>
        <w:spacing w:line="446" w:lineRule="auto"/>
        <w:ind w:left="418" w:right="1608" w:firstLine="422"/>
        <w:rPr>
          <w:sz w:val="21"/>
        </w:rPr>
      </w:pPr>
      <w:r>
        <w:rPr>
          <w:spacing w:val="-3"/>
          <w:sz w:val="21"/>
        </w:rPr>
        <w:t>住院部应自成一区，设置单独或共用出入口，并应设在医院环境安静、交通方便处，与医技部、手术部和急诊部应有便捷的联系，同时应靠近医院的能源中心、营养厨房、洗衣房等辅助设施。</w:t>
      </w:r>
      <w:r>
        <w:rPr>
          <w:sz w:val="21"/>
        </w:rPr>
        <w:t xml:space="preserve"> </w:t>
      </w:r>
    </w:p>
    <w:p w14:paraId="176F36D0" w14:textId="77777777" w:rsidR="00A71EEF" w:rsidRDefault="0081115D">
      <w:pPr>
        <w:pStyle w:val="a4"/>
        <w:numPr>
          <w:ilvl w:val="2"/>
          <w:numId w:val="182"/>
        </w:numPr>
        <w:tabs>
          <w:tab w:val="left" w:pos="1424"/>
        </w:tabs>
        <w:spacing w:line="446" w:lineRule="auto"/>
        <w:ind w:left="838" w:right="5965" w:firstLine="2"/>
        <w:rPr>
          <w:b/>
          <w:sz w:val="21"/>
        </w:rPr>
      </w:pPr>
      <w:r>
        <w:rPr>
          <w:spacing w:val="-3"/>
          <w:sz w:val="21"/>
        </w:rPr>
        <w:t>出入院用房设置应符合下列要求：</w:t>
      </w:r>
      <w:r>
        <w:rPr>
          <w:spacing w:val="-3"/>
          <w:sz w:val="21"/>
        </w:rPr>
        <w:t xml:space="preserve"> </w:t>
      </w:r>
      <w:r>
        <w:rPr>
          <w:spacing w:val="-3"/>
          <w:sz w:val="21"/>
        </w:rPr>
        <w:t>应设登记、结算、探望患者管理用房；</w:t>
      </w:r>
      <w:r>
        <w:rPr>
          <w:spacing w:val="-3"/>
          <w:sz w:val="21"/>
        </w:rPr>
        <w:t xml:space="preserve"> </w:t>
      </w:r>
      <w:r>
        <w:rPr>
          <w:spacing w:val="-3"/>
          <w:sz w:val="21"/>
        </w:rPr>
        <w:t>可设为患者服务的公共设施。</w:t>
      </w:r>
      <w:r>
        <w:rPr>
          <w:b/>
          <w:w w:val="99"/>
          <w:sz w:val="21"/>
        </w:rPr>
        <w:t xml:space="preserve"> </w:t>
      </w:r>
    </w:p>
    <w:p w14:paraId="20967A92" w14:textId="77777777" w:rsidR="00A71EEF" w:rsidRDefault="0081115D">
      <w:pPr>
        <w:pStyle w:val="a4"/>
        <w:numPr>
          <w:ilvl w:val="2"/>
          <w:numId w:val="182"/>
        </w:numPr>
        <w:tabs>
          <w:tab w:val="left" w:pos="1370"/>
        </w:tabs>
        <w:spacing w:line="446" w:lineRule="auto"/>
        <w:ind w:left="418" w:right="1498" w:firstLine="422"/>
        <w:rPr>
          <w:sz w:val="21"/>
        </w:rPr>
      </w:pPr>
      <w:r>
        <w:rPr>
          <w:spacing w:val="-6"/>
          <w:sz w:val="21"/>
        </w:rPr>
        <w:t>每个护理单元规模应符合本规范第</w:t>
      </w:r>
      <w:r>
        <w:rPr>
          <w:spacing w:val="-6"/>
          <w:sz w:val="21"/>
        </w:rPr>
        <w:t xml:space="preserve"> </w:t>
      </w:r>
      <w:r>
        <w:rPr>
          <w:sz w:val="21"/>
        </w:rPr>
        <w:t>3.2.1</w:t>
      </w:r>
      <w:r>
        <w:rPr>
          <w:spacing w:val="-7"/>
          <w:sz w:val="21"/>
        </w:rPr>
        <w:t xml:space="preserve"> </w:t>
      </w:r>
      <w:r>
        <w:rPr>
          <w:spacing w:val="-7"/>
          <w:sz w:val="21"/>
        </w:rPr>
        <w:t>条的规定，专科病房或因教学科研需要可根</w:t>
      </w:r>
      <w:r>
        <w:rPr>
          <w:spacing w:val="-4"/>
          <w:sz w:val="21"/>
        </w:rPr>
        <w:t>据具体情况确定</w:t>
      </w:r>
      <w:r>
        <w:rPr>
          <w:spacing w:val="-4"/>
          <w:sz w:val="21"/>
        </w:rPr>
        <w:t>。设传染病房时，应单独设置，并应自成一区。</w:t>
      </w:r>
      <w:r>
        <w:rPr>
          <w:sz w:val="21"/>
        </w:rPr>
        <w:t xml:space="preserve"> </w:t>
      </w:r>
    </w:p>
    <w:p w14:paraId="47E8F593" w14:textId="77777777" w:rsidR="00A71EEF" w:rsidRDefault="0081115D">
      <w:pPr>
        <w:pStyle w:val="a4"/>
        <w:numPr>
          <w:ilvl w:val="2"/>
          <w:numId w:val="182"/>
        </w:numPr>
        <w:tabs>
          <w:tab w:val="left" w:pos="1370"/>
        </w:tabs>
        <w:ind w:left="1369" w:hanging="530"/>
        <w:rPr>
          <w:sz w:val="21"/>
        </w:rPr>
      </w:pPr>
      <w:r>
        <w:rPr>
          <w:spacing w:val="-3"/>
          <w:sz w:val="21"/>
        </w:rPr>
        <w:t>护理单元用房设置应符合下列要求：</w:t>
      </w:r>
      <w:r>
        <w:rPr>
          <w:sz w:val="21"/>
        </w:rPr>
        <w:t xml:space="preserve"> </w:t>
      </w:r>
    </w:p>
    <w:p w14:paraId="4F21EDA1" w14:textId="77777777" w:rsidR="00A71EEF" w:rsidRDefault="00A71EEF">
      <w:pPr>
        <w:pStyle w:val="a3"/>
        <w:spacing w:before="11"/>
        <w:rPr>
          <w:sz w:val="17"/>
        </w:rPr>
      </w:pPr>
    </w:p>
    <w:p w14:paraId="63A62289" w14:textId="77777777" w:rsidR="00A71EEF" w:rsidRDefault="0081115D">
      <w:pPr>
        <w:pStyle w:val="a3"/>
        <w:spacing w:line="446" w:lineRule="auto"/>
        <w:ind w:left="418" w:right="1817" w:firstLine="419"/>
      </w:pPr>
      <w:r>
        <w:t>应设病房、抢救、患者和医护人员卫生间、盥洗、浴室、护士站、医生办公、处置、治疗、更衣、值班、配餐、库房、污洗等用房；</w:t>
      </w:r>
      <w:r>
        <w:t xml:space="preserve"> </w:t>
      </w:r>
    </w:p>
    <w:p w14:paraId="7787D4EE" w14:textId="77777777" w:rsidR="00A71EEF" w:rsidRDefault="0081115D">
      <w:pPr>
        <w:pStyle w:val="a3"/>
        <w:spacing w:line="446" w:lineRule="auto"/>
        <w:ind w:left="840" w:right="3606" w:hanging="3"/>
      </w:pPr>
      <w:r>
        <w:rPr>
          <w:spacing w:val="-3"/>
        </w:rPr>
        <w:t>可设患者就餐、活动、换药、患者家属谈话、探视、示教等用房。</w:t>
      </w:r>
      <w:r>
        <w:rPr>
          <w:b/>
        </w:rPr>
        <w:t>5.5.5</w:t>
      </w:r>
      <w:r>
        <w:rPr>
          <w:b/>
          <w:spacing w:val="103"/>
        </w:rPr>
        <w:t xml:space="preserve"> </w:t>
      </w:r>
      <w:r>
        <w:rPr>
          <w:spacing w:val="-3"/>
        </w:rPr>
        <w:t>病房设置应符合下列要求：</w:t>
      </w:r>
      <w:r>
        <w:t xml:space="preserve"> </w:t>
      </w:r>
    </w:p>
    <w:p w14:paraId="3100B5A2" w14:textId="77777777" w:rsidR="00A71EEF" w:rsidRDefault="0081115D">
      <w:pPr>
        <w:pStyle w:val="a3"/>
        <w:spacing w:line="446" w:lineRule="auto"/>
        <w:ind w:left="838" w:right="2453"/>
      </w:pPr>
      <w:r>
        <w:rPr>
          <w:spacing w:val="-3"/>
        </w:rPr>
        <w:t>病床的排列应平行于采光窗墙面。单排不宜超过</w:t>
      </w:r>
      <w:r>
        <w:rPr>
          <w:spacing w:val="-3"/>
        </w:rPr>
        <w:t xml:space="preserve"> </w:t>
      </w:r>
      <w:r>
        <w:t>3</w:t>
      </w:r>
      <w:r>
        <w:rPr>
          <w:spacing w:val="-1"/>
        </w:rPr>
        <w:t xml:space="preserve"> </w:t>
      </w:r>
      <w:r>
        <w:rPr>
          <w:spacing w:val="-1"/>
        </w:rPr>
        <w:t>床，双排不宜超过</w:t>
      </w:r>
      <w:r>
        <w:rPr>
          <w:spacing w:val="-1"/>
        </w:rPr>
        <w:t xml:space="preserve"> </w:t>
      </w:r>
      <w:r>
        <w:t>6</w:t>
      </w:r>
      <w:r>
        <w:rPr>
          <w:spacing w:val="3"/>
        </w:rPr>
        <w:t xml:space="preserve"> </w:t>
      </w:r>
      <w:r>
        <w:rPr>
          <w:spacing w:val="3"/>
        </w:rPr>
        <w:t>床；</w:t>
      </w:r>
      <w:r>
        <w:rPr>
          <w:spacing w:val="3"/>
        </w:rPr>
        <w:t xml:space="preserve"> </w:t>
      </w:r>
      <w:r>
        <w:rPr>
          <w:spacing w:val="-7"/>
        </w:rPr>
        <w:t>平行的两床净距不应小于</w:t>
      </w:r>
      <w:r>
        <w:rPr>
          <w:spacing w:val="-7"/>
        </w:rPr>
        <w:t xml:space="preserve"> </w:t>
      </w:r>
      <w:r>
        <w:t>0.80m</w:t>
      </w:r>
      <w:r>
        <w:rPr>
          <w:spacing w:val="-6"/>
        </w:rPr>
        <w:t>，靠墙病床床沿与墙面的净距不应小于</w:t>
      </w:r>
      <w:r>
        <w:rPr>
          <w:spacing w:val="-6"/>
        </w:rPr>
        <w:t xml:space="preserve"> </w:t>
      </w:r>
      <w:r>
        <w:t>0.60m</w:t>
      </w:r>
      <w:r>
        <w:t>；</w:t>
      </w:r>
      <w:r>
        <w:t xml:space="preserve"> </w:t>
      </w:r>
      <w:r>
        <w:rPr>
          <w:spacing w:val="-7"/>
        </w:rPr>
        <w:t>单排病床通道净宽不应小于</w:t>
      </w:r>
      <w:r>
        <w:rPr>
          <w:spacing w:val="-7"/>
        </w:rPr>
        <w:t xml:space="preserve"> </w:t>
      </w:r>
      <w:r>
        <w:t>1.10m</w:t>
      </w:r>
      <w:r>
        <w:rPr>
          <w:spacing w:val="-6"/>
        </w:rPr>
        <w:t>，双排病床</w:t>
      </w:r>
      <w:r>
        <w:rPr>
          <w:spacing w:val="-6"/>
        </w:rPr>
        <w:t>(</w:t>
      </w:r>
      <w:r>
        <w:rPr>
          <w:spacing w:val="-6"/>
        </w:rPr>
        <w:t>床端</w:t>
      </w:r>
      <w:r>
        <w:rPr>
          <w:spacing w:val="-6"/>
        </w:rPr>
        <w:t>)</w:t>
      </w:r>
      <w:r>
        <w:rPr>
          <w:spacing w:val="-6"/>
        </w:rPr>
        <w:t>通道净宽不应小于</w:t>
      </w:r>
      <w:r>
        <w:rPr>
          <w:spacing w:val="-6"/>
        </w:rPr>
        <w:t xml:space="preserve"> </w:t>
      </w:r>
      <w:r>
        <w:t>1.40m</w:t>
      </w:r>
      <w:r>
        <w:t>；</w:t>
      </w:r>
      <w:r>
        <w:t xml:space="preserve"> </w:t>
      </w:r>
      <w:r>
        <w:rPr>
          <w:spacing w:val="-3"/>
        </w:rPr>
        <w:t>病房门应直接开向走道；</w:t>
      </w:r>
      <w:r>
        <w:t xml:space="preserve"> </w:t>
      </w:r>
    </w:p>
    <w:p w14:paraId="0344D568" w14:textId="77777777" w:rsidR="00A71EEF" w:rsidRDefault="0081115D">
      <w:pPr>
        <w:pStyle w:val="a3"/>
        <w:ind w:left="838"/>
      </w:pPr>
      <w:r>
        <w:t>抢救室宜靠近护士站；</w:t>
      </w:r>
      <w:r>
        <w:t xml:space="preserve"> </w:t>
      </w:r>
    </w:p>
    <w:p w14:paraId="02BBAA30" w14:textId="77777777" w:rsidR="00A71EEF" w:rsidRDefault="00A71EEF">
      <w:pPr>
        <w:pStyle w:val="a3"/>
        <w:spacing w:before="10"/>
        <w:rPr>
          <w:sz w:val="17"/>
        </w:rPr>
      </w:pPr>
    </w:p>
    <w:p w14:paraId="747C97C7" w14:textId="77777777" w:rsidR="00A71EEF" w:rsidRDefault="0081115D">
      <w:pPr>
        <w:pStyle w:val="a3"/>
        <w:ind w:left="838"/>
      </w:pPr>
      <w:r>
        <w:t>病房门净宽不应小于</w:t>
      </w:r>
      <w:r>
        <w:t xml:space="preserve"> 1.10m</w:t>
      </w:r>
      <w:r>
        <w:t>，门扇宜设观察窗；</w:t>
      </w:r>
      <w:r>
        <w:t xml:space="preserve"> </w:t>
      </w:r>
    </w:p>
    <w:p w14:paraId="6AD7A1CD" w14:textId="77777777" w:rsidR="00A71EEF" w:rsidRDefault="00A71EEF">
      <w:pPr>
        <w:pStyle w:val="a3"/>
        <w:spacing w:before="12"/>
        <w:rPr>
          <w:sz w:val="17"/>
        </w:rPr>
      </w:pPr>
    </w:p>
    <w:p w14:paraId="6D67190D" w14:textId="77777777" w:rsidR="00A71EEF" w:rsidRDefault="0081115D">
      <w:pPr>
        <w:pStyle w:val="a3"/>
        <w:ind w:left="838"/>
      </w:pPr>
      <w:r>
        <w:t>病房走道两侧墙面应设置靠墙扶手及防撞设施。</w:t>
      </w:r>
      <w:r>
        <w:t xml:space="preserve"> </w:t>
      </w:r>
    </w:p>
    <w:p w14:paraId="2738F100" w14:textId="77777777" w:rsidR="00A71EEF" w:rsidRDefault="00A71EEF">
      <w:pPr>
        <w:pStyle w:val="a3"/>
        <w:spacing w:before="2"/>
        <w:rPr>
          <w:sz w:val="18"/>
        </w:rPr>
      </w:pPr>
    </w:p>
    <w:p w14:paraId="4E82486B" w14:textId="77777777" w:rsidR="00A71EEF" w:rsidRDefault="0081115D">
      <w:pPr>
        <w:pStyle w:val="a4"/>
        <w:numPr>
          <w:ilvl w:val="2"/>
          <w:numId w:val="181"/>
        </w:numPr>
        <w:tabs>
          <w:tab w:val="left" w:pos="1371"/>
        </w:tabs>
        <w:spacing w:line="446" w:lineRule="auto"/>
        <w:ind w:right="1498" w:firstLine="422"/>
        <w:rPr>
          <w:sz w:val="21"/>
        </w:rPr>
      </w:pPr>
      <w:r>
        <w:rPr>
          <w:spacing w:val="-3"/>
          <w:sz w:val="21"/>
        </w:rPr>
        <w:t>护士站宜以开敞空间与护理单元走道连通，并应与治疗室以门相连，护士站宜通视护</w:t>
      </w:r>
      <w:r>
        <w:rPr>
          <w:spacing w:val="-6"/>
          <w:sz w:val="21"/>
        </w:rPr>
        <w:t>理单元走廊，到最远病房门口的距离不宜超过</w:t>
      </w:r>
      <w:r>
        <w:rPr>
          <w:spacing w:val="-6"/>
          <w:sz w:val="21"/>
        </w:rPr>
        <w:t xml:space="preserve"> </w:t>
      </w:r>
      <w:r>
        <w:rPr>
          <w:sz w:val="21"/>
        </w:rPr>
        <w:t>30m</w:t>
      </w:r>
      <w:r>
        <w:rPr>
          <w:spacing w:val="-3"/>
          <w:sz w:val="21"/>
        </w:rPr>
        <w:t>。</w:t>
      </w:r>
      <w:r>
        <w:rPr>
          <w:sz w:val="21"/>
        </w:rPr>
        <w:t xml:space="preserve"> </w:t>
      </w:r>
    </w:p>
    <w:p w14:paraId="77210C48" w14:textId="77777777" w:rsidR="00A71EEF" w:rsidRDefault="0081115D">
      <w:pPr>
        <w:pStyle w:val="a4"/>
        <w:numPr>
          <w:ilvl w:val="2"/>
          <w:numId w:val="181"/>
        </w:numPr>
        <w:tabs>
          <w:tab w:val="left" w:pos="1371"/>
        </w:tabs>
        <w:spacing w:line="267" w:lineRule="exact"/>
        <w:ind w:left="1370"/>
        <w:rPr>
          <w:sz w:val="21"/>
        </w:rPr>
      </w:pPr>
      <w:r>
        <w:rPr>
          <w:spacing w:val="-3"/>
          <w:sz w:val="21"/>
        </w:rPr>
        <w:t>配餐室应靠近餐车入口处，并应有供应开水和加热设施。</w:t>
      </w:r>
      <w:r>
        <w:rPr>
          <w:sz w:val="21"/>
        </w:rPr>
        <w:t xml:space="preserve"> </w:t>
      </w:r>
    </w:p>
    <w:p w14:paraId="49E11713" w14:textId="77777777" w:rsidR="00A71EEF" w:rsidRDefault="00A71EEF">
      <w:pPr>
        <w:pStyle w:val="a3"/>
        <w:spacing w:before="2"/>
        <w:rPr>
          <w:sz w:val="18"/>
        </w:rPr>
      </w:pPr>
    </w:p>
    <w:p w14:paraId="5B3F038D" w14:textId="77777777" w:rsidR="00A71EEF" w:rsidRDefault="0081115D">
      <w:pPr>
        <w:pStyle w:val="a4"/>
        <w:numPr>
          <w:ilvl w:val="2"/>
          <w:numId w:val="181"/>
        </w:numPr>
        <w:tabs>
          <w:tab w:val="left" w:pos="1370"/>
        </w:tabs>
        <w:ind w:left="1369" w:hanging="530"/>
        <w:rPr>
          <w:sz w:val="21"/>
        </w:rPr>
      </w:pPr>
      <w:r>
        <w:rPr>
          <w:spacing w:val="-3"/>
          <w:sz w:val="21"/>
        </w:rPr>
        <w:t>护理单元的盥洗室、浴室和卫生间，应符合下列要求：</w:t>
      </w:r>
      <w:r>
        <w:rPr>
          <w:sz w:val="21"/>
        </w:rPr>
        <w:t xml:space="preserve"> </w:t>
      </w:r>
    </w:p>
    <w:p w14:paraId="1B781549" w14:textId="77777777" w:rsidR="00A71EEF" w:rsidRDefault="00A71EEF">
      <w:pPr>
        <w:rPr>
          <w:sz w:val="21"/>
        </w:rPr>
        <w:sectPr w:rsidR="00A71EEF">
          <w:pgSz w:w="11910" w:h="16850"/>
          <w:pgMar w:top="1220" w:right="0" w:bottom="1420" w:left="1260" w:header="0" w:footer="1239" w:gutter="0"/>
          <w:cols w:space="720"/>
        </w:sectPr>
      </w:pPr>
    </w:p>
    <w:p w14:paraId="68D55BEC" w14:textId="77777777" w:rsidR="00A71EEF" w:rsidRDefault="0081115D">
      <w:pPr>
        <w:pStyle w:val="a3"/>
        <w:spacing w:before="47"/>
        <w:ind w:left="838"/>
      </w:pPr>
      <w:r>
        <w:t>当卫生间设于病房内时，宜在护理单元内单独设置探视人员卫生间。</w:t>
      </w:r>
      <w:r>
        <w:t xml:space="preserve"> </w:t>
      </w:r>
    </w:p>
    <w:p w14:paraId="5C3454BC" w14:textId="77777777" w:rsidR="00A71EEF" w:rsidRDefault="00A71EEF">
      <w:pPr>
        <w:pStyle w:val="a3"/>
        <w:rPr>
          <w:sz w:val="18"/>
        </w:rPr>
      </w:pPr>
    </w:p>
    <w:p w14:paraId="5EA38EA1" w14:textId="77777777" w:rsidR="00A71EEF" w:rsidRDefault="0081115D">
      <w:pPr>
        <w:pStyle w:val="a3"/>
        <w:ind w:left="838"/>
      </w:pPr>
      <w:r>
        <w:t>当护理单元集中设置卫生间时，男女患者比例宜为</w:t>
      </w:r>
      <w:r>
        <w:t xml:space="preserve"> 1</w:t>
      </w:r>
      <w:r>
        <w:t>：</w:t>
      </w:r>
      <w:r>
        <w:t>1</w:t>
      </w:r>
      <w:r>
        <w:t>，男卫生间每</w:t>
      </w:r>
      <w:r>
        <w:t xml:space="preserve"> 16 </w:t>
      </w:r>
      <w:r>
        <w:t>床应设</w:t>
      </w:r>
      <w:r>
        <w:t xml:space="preserve"> 1 </w:t>
      </w:r>
      <w:r>
        <w:t>个大便器</w:t>
      </w:r>
    </w:p>
    <w:p w14:paraId="43A3AAA1" w14:textId="77777777" w:rsidR="00A71EEF" w:rsidRDefault="00A71EEF">
      <w:pPr>
        <w:pStyle w:val="a3"/>
        <w:rPr>
          <w:sz w:val="18"/>
        </w:rPr>
      </w:pPr>
    </w:p>
    <w:p w14:paraId="78D5AACA" w14:textId="77777777" w:rsidR="00A71EEF" w:rsidRDefault="0081115D">
      <w:pPr>
        <w:pStyle w:val="a3"/>
        <w:spacing w:line="446" w:lineRule="auto"/>
        <w:ind w:left="838" w:right="5394" w:hanging="420"/>
      </w:pPr>
      <w:r>
        <w:rPr>
          <w:spacing w:val="-25"/>
        </w:rPr>
        <w:t>和</w:t>
      </w:r>
      <w:r>
        <w:rPr>
          <w:spacing w:val="-25"/>
        </w:rPr>
        <w:t xml:space="preserve"> </w:t>
      </w:r>
      <w:r>
        <w:t>1</w:t>
      </w:r>
      <w:r>
        <w:rPr>
          <w:spacing w:val="-13"/>
        </w:rPr>
        <w:t xml:space="preserve"> </w:t>
      </w:r>
      <w:r>
        <w:rPr>
          <w:spacing w:val="-13"/>
        </w:rPr>
        <w:t>个小便器。女卫生间每</w:t>
      </w:r>
      <w:r>
        <w:rPr>
          <w:spacing w:val="-13"/>
        </w:rPr>
        <w:t xml:space="preserve"> </w:t>
      </w:r>
      <w:r>
        <w:t>16</w:t>
      </w:r>
      <w:r>
        <w:rPr>
          <w:spacing w:val="-22"/>
        </w:rPr>
        <w:t xml:space="preserve"> </w:t>
      </w:r>
      <w:r>
        <w:rPr>
          <w:spacing w:val="-22"/>
        </w:rPr>
        <w:t>床应设</w:t>
      </w:r>
      <w:r>
        <w:rPr>
          <w:spacing w:val="-22"/>
        </w:rPr>
        <w:t xml:space="preserve"> </w:t>
      </w:r>
      <w:r>
        <w:t>3</w:t>
      </w:r>
      <w:r>
        <w:rPr>
          <w:spacing w:val="-12"/>
        </w:rPr>
        <w:t xml:space="preserve"> </w:t>
      </w:r>
      <w:r>
        <w:rPr>
          <w:spacing w:val="-12"/>
        </w:rPr>
        <w:t>个大便器。</w:t>
      </w:r>
      <w:r>
        <w:rPr>
          <w:spacing w:val="-3"/>
        </w:rPr>
        <w:t>医护人员卫生间应单独设置。</w:t>
      </w:r>
      <w:r>
        <w:t xml:space="preserve"> </w:t>
      </w:r>
    </w:p>
    <w:p w14:paraId="38061273" w14:textId="77777777" w:rsidR="00A71EEF" w:rsidRDefault="0081115D">
      <w:pPr>
        <w:pStyle w:val="a3"/>
        <w:ind w:left="838"/>
      </w:pPr>
      <w:r>
        <w:t>设置集中盥洗室和浴室的护理单元，盥洗水龙头和淋浴器每</w:t>
      </w:r>
      <w:r>
        <w:t xml:space="preserve"> 12 </w:t>
      </w:r>
      <w:r>
        <w:t>床～</w:t>
      </w:r>
      <w:r>
        <w:t xml:space="preserve">15 </w:t>
      </w:r>
      <w:r>
        <w:t>床应各设</w:t>
      </w:r>
      <w:r>
        <w:t xml:space="preserve"> 1 </w:t>
      </w:r>
      <w:r>
        <w:t>个，且每</w:t>
      </w:r>
    </w:p>
    <w:p w14:paraId="5BFEA469" w14:textId="77777777" w:rsidR="00A71EEF" w:rsidRDefault="00A71EEF">
      <w:pPr>
        <w:pStyle w:val="a3"/>
        <w:spacing w:before="12"/>
        <w:rPr>
          <w:sz w:val="17"/>
        </w:rPr>
      </w:pPr>
    </w:p>
    <w:p w14:paraId="52F639CB" w14:textId="77777777" w:rsidR="00A71EEF" w:rsidRDefault="0081115D">
      <w:pPr>
        <w:pStyle w:val="a3"/>
        <w:ind w:left="418"/>
      </w:pPr>
      <w:r>
        <w:t>个护理单元应各不少于</w:t>
      </w:r>
      <w:r>
        <w:t xml:space="preserve"> 2 </w:t>
      </w:r>
      <w:r>
        <w:t>个。盥洗室和淋浴室应设前室。</w:t>
      </w:r>
      <w:r>
        <w:t xml:space="preserve"> </w:t>
      </w:r>
    </w:p>
    <w:p w14:paraId="4B13FEEE" w14:textId="77777777" w:rsidR="00A71EEF" w:rsidRDefault="00A71EEF">
      <w:pPr>
        <w:pStyle w:val="a3"/>
        <w:spacing w:before="2"/>
        <w:rPr>
          <w:sz w:val="18"/>
        </w:rPr>
      </w:pPr>
    </w:p>
    <w:p w14:paraId="5927D6A9" w14:textId="77777777" w:rsidR="00A71EEF" w:rsidRDefault="0081115D">
      <w:pPr>
        <w:pStyle w:val="a3"/>
        <w:spacing w:line="446" w:lineRule="auto"/>
        <w:ind w:left="418" w:right="1609" w:firstLine="419"/>
      </w:pPr>
      <w:r>
        <w:t>附设于病房内的浴室、卫生间面积和卫生洁具的数量，应根据使用要求确定，并应设紧急呼叫设施和输液吊钩。</w:t>
      </w:r>
      <w:r>
        <w:t xml:space="preserve"> </w:t>
      </w:r>
    </w:p>
    <w:p w14:paraId="6863084E" w14:textId="77777777" w:rsidR="00A71EEF" w:rsidRDefault="0081115D">
      <w:pPr>
        <w:pStyle w:val="a3"/>
        <w:spacing w:line="267" w:lineRule="exact"/>
        <w:ind w:left="838"/>
      </w:pPr>
      <w:r>
        <w:t>无障碍病房内的卫生间应按本规范第</w:t>
      </w:r>
      <w:r>
        <w:t xml:space="preserve"> 5.1.13 </w:t>
      </w:r>
      <w:r>
        <w:t>条的要求设置。</w:t>
      </w:r>
      <w:r>
        <w:t xml:space="preserve"> </w:t>
      </w:r>
    </w:p>
    <w:p w14:paraId="3A427C4A" w14:textId="77777777" w:rsidR="00A71EEF" w:rsidRDefault="00A71EEF">
      <w:pPr>
        <w:pStyle w:val="a3"/>
        <w:spacing w:before="2"/>
        <w:rPr>
          <w:sz w:val="18"/>
        </w:rPr>
      </w:pPr>
    </w:p>
    <w:p w14:paraId="23A70890" w14:textId="77777777" w:rsidR="00A71EEF" w:rsidRDefault="0081115D">
      <w:pPr>
        <w:pStyle w:val="a4"/>
        <w:numPr>
          <w:ilvl w:val="2"/>
          <w:numId w:val="181"/>
        </w:numPr>
        <w:tabs>
          <w:tab w:val="left" w:pos="1371"/>
        </w:tabs>
        <w:ind w:left="1370"/>
        <w:rPr>
          <w:sz w:val="21"/>
        </w:rPr>
      </w:pPr>
      <w:r>
        <w:rPr>
          <w:spacing w:val="-3"/>
          <w:sz w:val="21"/>
        </w:rPr>
        <w:t>污洗室应邻近污物出口处，并应设倒便设施和便盆、痰杯的洗涤消毒设施。</w:t>
      </w:r>
      <w:r>
        <w:rPr>
          <w:sz w:val="21"/>
        </w:rPr>
        <w:t xml:space="preserve"> </w:t>
      </w:r>
    </w:p>
    <w:p w14:paraId="5A004272" w14:textId="77777777" w:rsidR="00A71EEF" w:rsidRDefault="00A71EEF">
      <w:pPr>
        <w:pStyle w:val="a3"/>
        <w:spacing w:before="12"/>
        <w:rPr>
          <w:sz w:val="17"/>
        </w:rPr>
      </w:pPr>
    </w:p>
    <w:p w14:paraId="5701E9DA" w14:textId="77777777" w:rsidR="00A71EEF" w:rsidRDefault="0081115D">
      <w:pPr>
        <w:pStyle w:val="a4"/>
        <w:numPr>
          <w:ilvl w:val="2"/>
          <w:numId w:val="181"/>
        </w:numPr>
        <w:tabs>
          <w:tab w:val="left" w:pos="1478"/>
        </w:tabs>
        <w:ind w:left="1477" w:hanging="638"/>
        <w:rPr>
          <w:sz w:val="21"/>
        </w:rPr>
      </w:pPr>
      <w:r>
        <w:rPr>
          <w:spacing w:val="-3"/>
          <w:sz w:val="21"/>
        </w:rPr>
        <w:t>病房不应设置开敞式垃圾井道。</w:t>
      </w:r>
      <w:r>
        <w:rPr>
          <w:sz w:val="21"/>
        </w:rPr>
        <w:t xml:space="preserve"> </w:t>
      </w:r>
    </w:p>
    <w:p w14:paraId="7F75333F" w14:textId="77777777" w:rsidR="00A71EEF" w:rsidRDefault="00A71EEF">
      <w:pPr>
        <w:pStyle w:val="a3"/>
        <w:spacing w:before="12"/>
        <w:rPr>
          <w:sz w:val="17"/>
        </w:rPr>
      </w:pPr>
    </w:p>
    <w:p w14:paraId="4E3BFD09" w14:textId="77777777" w:rsidR="00A71EEF" w:rsidRDefault="0081115D">
      <w:pPr>
        <w:pStyle w:val="a4"/>
        <w:numPr>
          <w:ilvl w:val="2"/>
          <w:numId w:val="181"/>
        </w:numPr>
        <w:tabs>
          <w:tab w:val="left" w:pos="1478"/>
        </w:tabs>
        <w:ind w:left="1477" w:hanging="638"/>
        <w:rPr>
          <w:sz w:val="21"/>
        </w:rPr>
      </w:pPr>
      <w:r>
        <w:rPr>
          <w:spacing w:val="-3"/>
          <w:sz w:val="21"/>
        </w:rPr>
        <w:t>监护用房设置应符合下列要求：</w:t>
      </w:r>
      <w:r>
        <w:rPr>
          <w:sz w:val="21"/>
        </w:rPr>
        <w:t xml:space="preserve"> </w:t>
      </w:r>
    </w:p>
    <w:p w14:paraId="6E671390" w14:textId="77777777" w:rsidR="00A71EEF" w:rsidRDefault="00A71EEF">
      <w:pPr>
        <w:pStyle w:val="a3"/>
        <w:spacing w:before="2"/>
        <w:rPr>
          <w:sz w:val="18"/>
        </w:rPr>
      </w:pPr>
    </w:p>
    <w:p w14:paraId="03667E97" w14:textId="77777777" w:rsidR="00A71EEF" w:rsidRDefault="0081115D">
      <w:pPr>
        <w:pStyle w:val="a3"/>
        <w:ind w:left="838"/>
        <w:rPr>
          <w:b/>
        </w:rPr>
      </w:pPr>
      <w:r>
        <w:t>重症监护病房</w:t>
      </w:r>
      <w:r>
        <w:t>(ICU)</w:t>
      </w:r>
      <w:r>
        <w:t>宜与手术部、急诊部邻近，并应有快捷联系；</w:t>
      </w:r>
      <w:r>
        <w:rPr>
          <w:b/>
          <w:w w:val="99"/>
        </w:rPr>
        <w:t xml:space="preserve"> </w:t>
      </w:r>
    </w:p>
    <w:p w14:paraId="0E132353" w14:textId="77777777" w:rsidR="00A71EEF" w:rsidRDefault="00A71EEF">
      <w:pPr>
        <w:pStyle w:val="a3"/>
        <w:rPr>
          <w:b/>
          <w:sz w:val="18"/>
        </w:rPr>
      </w:pPr>
    </w:p>
    <w:p w14:paraId="0F3EF109" w14:textId="77777777" w:rsidR="00A71EEF" w:rsidRDefault="0081115D">
      <w:pPr>
        <w:pStyle w:val="a3"/>
        <w:spacing w:line="446" w:lineRule="auto"/>
        <w:ind w:left="838" w:right="2873"/>
        <w:rPr>
          <w:b/>
        </w:rPr>
      </w:pPr>
      <w:r>
        <w:t>心血管监护病房</w:t>
      </w:r>
      <w:r>
        <w:t>(CCU)</w:t>
      </w:r>
      <w:r>
        <w:t>宜与急诊部、介入治疗科室邻近，并应有快捷联系；</w:t>
      </w:r>
      <w:r>
        <w:t xml:space="preserve"> </w:t>
      </w:r>
      <w:r>
        <w:t>应</w:t>
      </w:r>
      <w:r>
        <w:t>设监护病房、治疗、处置、仪器、护士站、污洗等用房；</w:t>
      </w:r>
      <w:r>
        <w:rPr>
          <w:b/>
          <w:w w:val="99"/>
        </w:rPr>
        <w:t xml:space="preserve"> </w:t>
      </w:r>
    </w:p>
    <w:p w14:paraId="7CB19D7D" w14:textId="77777777" w:rsidR="00A71EEF" w:rsidRDefault="0081115D">
      <w:pPr>
        <w:pStyle w:val="a3"/>
        <w:spacing w:line="446" w:lineRule="auto"/>
        <w:ind w:left="838" w:right="6119"/>
        <w:rPr>
          <w:b/>
        </w:rPr>
      </w:pPr>
      <w:r>
        <w:t>护士站的位置宜便于直视观察患者；</w:t>
      </w:r>
      <w:r>
        <w:t xml:space="preserve"> </w:t>
      </w:r>
      <w:r>
        <w:t>监护病床的床间净距不应小于</w:t>
      </w:r>
      <w:r>
        <w:t xml:space="preserve"> 1.20m</w:t>
      </w:r>
      <w:r>
        <w:t>；</w:t>
      </w:r>
      <w:r>
        <w:t xml:space="preserve"> </w:t>
      </w:r>
      <w:r>
        <w:t>单床间不应小于</w:t>
      </w:r>
      <w:r>
        <w:t xml:space="preserve"> 12.00m2</w:t>
      </w:r>
      <w:r>
        <w:t>。</w:t>
      </w:r>
      <w:r>
        <w:rPr>
          <w:b/>
          <w:w w:val="99"/>
        </w:rPr>
        <w:t xml:space="preserve"> </w:t>
      </w:r>
    </w:p>
    <w:p w14:paraId="44F3BF98" w14:textId="77777777" w:rsidR="00A71EEF" w:rsidRDefault="0081115D">
      <w:pPr>
        <w:pStyle w:val="a4"/>
        <w:numPr>
          <w:ilvl w:val="2"/>
          <w:numId w:val="181"/>
        </w:numPr>
        <w:tabs>
          <w:tab w:val="left" w:pos="1478"/>
        </w:tabs>
        <w:spacing w:line="268" w:lineRule="exact"/>
        <w:ind w:left="1477" w:hanging="638"/>
        <w:rPr>
          <w:sz w:val="21"/>
        </w:rPr>
      </w:pPr>
      <w:r>
        <w:rPr>
          <w:spacing w:val="-3"/>
          <w:sz w:val="21"/>
        </w:rPr>
        <w:t>儿科病房用房设置应符合下列要求：</w:t>
      </w:r>
      <w:r>
        <w:rPr>
          <w:sz w:val="21"/>
        </w:rPr>
        <w:t xml:space="preserve"> </w:t>
      </w:r>
    </w:p>
    <w:p w14:paraId="5609F55F" w14:textId="77777777" w:rsidR="00A71EEF" w:rsidRDefault="00A71EEF">
      <w:pPr>
        <w:pStyle w:val="a3"/>
        <w:rPr>
          <w:sz w:val="18"/>
        </w:rPr>
      </w:pPr>
    </w:p>
    <w:p w14:paraId="57171E78" w14:textId="77777777" w:rsidR="00A71EEF" w:rsidRDefault="0081115D">
      <w:pPr>
        <w:pStyle w:val="a3"/>
        <w:spacing w:line="446" w:lineRule="auto"/>
        <w:ind w:left="838" w:right="4237"/>
        <w:rPr>
          <w:b/>
        </w:rPr>
      </w:pPr>
      <w:r>
        <w:t>宜设配奶室、奶具消毒室、隔离病房和专用卫生间等用房；</w:t>
      </w:r>
      <w:r>
        <w:t xml:space="preserve"> </w:t>
      </w:r>
      <w:r>
        <w:t>可设监护病房、新生儿病房、儿童活动室；</w:t>
      </w:r>
      <w:r>
        <w:rPr>
          <w:b/>
          <w:w w:val="99"/>
        </w:rPr>
        <w:t xml:space="preserve"> </w:t>
      </w:r>
    </w:p>
    <w:p w14:paraId="2CF8BD15" w14:textId="77777777" w:rsidR="00A71EEF" w:rsidRDefault="0081115D">
      <w:pPr>
        <w:pStyle w:val="a3"/>
        <w:ind w:left="838"/>
        <w:rPr>
          <w:b/>
        </w:rPr>
      </w:pPr>
      <w:r>
        <w:t>每间隔离病房不应多于</w:t>
      </w:r>
      <w:r>
        <w:t xml:space="preserve"> 2 </w:t>
      </w:r>
      <w:r>
        <w:t>床；</w:t>
      </w:r>
      <w:r>
        <w:rPr>
          <w:b/>
          <w:w w:val="99"/>
        </w:rPr>
        <w:t xml:space="preserve"> </w:t>
      </w:r>
    </w:p>
    <w:p w14:paraId="5D7AA026" w14:textId="77777777" w:rsidR="00A71EEF" w:rsidRDefault="00A71EEF">
      <w:pPr>
        <w:pStyle w:val="a3"/>
        <w:spacing w:before="12"/>
        <w:rPr>
          <w:b/>
          <w:sz w:val="17"/>
        </w:rPr>
      </w:pPr>
    </w:p>
    <w:p w14:paraId="445EC39F" w14:textId="77777777" w:rsidR="00A71EEF" w:rsidRDefault="0081115D">
      <w:pPr>
        <w:pStyle w:val="a3"/>
        <w:ind w:left="838"/>
        <w:rPr>
          <w:b/>
        </w:rPr>
      </w:pPr>
      <w:r>
        <w:t>浴室、卫生间设施应适合儿童使用；</w:t>
      </w:r>
      <w:r>
        <w:rPr>
          <w:b/>
          <w:w w:val="99"/>
        </w:rPr>
        <w:t xml:space="preserve"> </w:t>
      </w:r>
    </w:p>
    <w:p w14:paraId="0283813C" w14:textId="77777777" w:rsidR="00A71EEF" w:rsidRDefault="00A71EEF">
      <w:pPr>
        <w:pStyle w:val="a3"/>
        <w:rPr>
          <w:b/>
          <w:sz w:val="18"/>
        </w:rPr>
      </w:pPr>
    </w:p>
    <w:p w14:paraId="0A017F71" w14:textId="77777777" w:rsidR="00A71EEF" w:rsidRDefault="0081115D">
      <w:pPr>
        <w:pStyle w:val="a3"/>
        <w:spacing w:line="446" w:lineRule="auto"/>
        <w:ind w:left="838" w:right="5281"/>
      </w:pPr>
      <w:r>
        <w:rPr>
          <w:spacing w:val="-3"/>
        </w:rPr>
        <w:t>窗和散热器等设施应采取安全防护措施。</w:t>
      </w:r>
      <w:r>
        <w:rPr>
          <w:spacing w:val="-3"/>
        </w:rPr>
        <w:t xml:space="preserve">  </w:t>
      </w:r>
      <w:r>
        <w:rPr>
          <w:b/>
        </w:rPr>
        <w:t>5.5.13</w:t>
      </w:r>
      <w:r>
        <w:rPr>
          <w:b/>
          <w:spacing w:val="12"/>
        </w:rPr>
        <w:t xml:space="preserve"> </w:t>
      </w:r>
      <w:r>
        <w:rPr>
          <w:spacing w:val="-3"/>
        </w:rPr>
        <w:t>妇产科病房用房设置应符合下列要求：</w:t>
      </w:r>
      <w:r>
        <w:rPr>
          <w:spacing w:val="-3"/>
        </w:rPr>
        <w:t xml:space="preserve"> </w:t>
      </w:r>
      <w:r>
        <w:rPr>
          <w:spacing w:val="-3"/>
        </w:rPr>
        <w:t>妇科应设检查和治疗用房。</w:t>
      </w:r>
      <w:r>
        <w:rPr>
          <w:spacing w:val="-3"/>
        </w:rPr>
        <w:t xml:space="preserve"> </w:t>
      </w:r>
    </w:p>
    <w:p w14:paraId="7682BEB5" w14:textId="77777777" w:rsidR="00A71EEF" w:rsidRDefault="0081115D">
      <w:pPr>
        <w:pStyle w:val="a3"/>
        <w:spacing w:line="446" w:lineRule="auto"/>
        <w:ind w:left="418" w:right="1609" w:firstLine="419"/>
      </w:pPr>
      <w:r>
        <w:t>产科应设产前检查、待产、分娩、隔离待产、隔离分娩、产期监护、产休室等用房。隔离待产和隔离分娩用房可兼用。</w:t>
      </w:r>
      <w:r>
        <w:t xml:space="preserve"> </w:t>
      </w:r>
    </w:p>
    <w:p w14:paraId="10DB207B" w14:textId="77777777" w:rsidR="00A71EEF" w:rsidRDefault="00A71EEF">
      <w:pPr>
        <w:spacing w:line="446" w:lineRule="auto"/>
        <w:sectPr w:rsidR="00A71EEF">
          <w:pgSz w:w="11910" w:h="16850"/>
          <w:pgMar w:top="1220" w:right="0" w:bottom="1420" w:left="1260" w:header="0" w:footer="1239" w:gutter="0"/>
          <w:cols w:space="720"/>
        </w:sectPr>
      </w:pPr>
    </w:p>
    <w:p w14:paraId="4179C741" w14:textId="77777777" w:rsidR="00A71EEF" w:rsidRDefault="0081115D">
      <w:pPr>
        <w:pStyle w:val="a3"/>
        <w:spacing w:before="47" w:line="446" w:lineRule="auto"/>
        <w:ind w:left="418" w:right="1608" w:firstLine="419"/>
      </w:pPr>
      <w:r>
        <w:rPr>
          <w:spacing w:val="-6"/>
        </w:rPr>
        <w:t>妇科、产科两科合为</w:t>
      </w:r>
      <w:r>
        <w:rPr>
          <w:spacing w:val="-6"/>
        </w:rPr>
        <w:t xml:space="preserve"> </w:t>
      </w:r>
      <w:r>
        <w:t>1</w:t>
      </w:r>
      <w:r>
        <w:rPr>
          <w:spacing w:val="-7"/>
        </w:rPr>
        <w:t xml:space="preserve"> </w:t>
      </w:r>
      <w:r>
        <w:rPr>
          <w:spacing w:val="-7"/>
        </w:rPr>
        <w:t>个单元时，妇科的病房、治疗室、浴室、卫生间与产科的产休室、</w:t>
      </w:r>
      <w:r>
        <w:rPr>
          <w:spacing w:val="-5"/>
        </w:rPr>
        <w:t>产前检查室、浴室、卫生间应分别设置。</w:t>
      </w:r>
      <w:r>
        <w:t xml:space="preserve"> </w:t>
      </w:r>
    </w:p>
    <w:p w14:paraId="77DDE7C5" w14:textId="77777777" w:rsidR="00A71EEF" w:rsidRDefault="0081115D">
      <w:pPr>
        <w:pStyle w:val="a3"/>
        <w:spacing w:line="267" w:lineRule="exact"/>
        <w:ind w:left="838"/>
      </w:pPr>
      <w:r>
        <w:t>产科宜设手术室。</w:t>
      </w:r>
      <w:r>
        <w:t xml:space="preserve"> </w:t>
      </w:r>
    </w:p>
    <w:p w14:paraId="171164A2" w14:textId="77777777" w:rsidR="00A71EEF" w:rsidRDefault="00A71EEF">
      <w:pPr>
        <w:pStyle w:val="a3"/>
        <w:spacing w:before="2"/>
        <w:rPr>
          <w:sz w:val="18"/>
        </w:rPr>
      </w:pPr>
    </w:p>
    <w:p w14:paraId="114E5C44" w14:textId="77777777" w:rsidR="00A71EEF" w:rsidRDefault="0081115D">
      <w:pPr>
        <w:pStyle w:val="a3"/>
        <w:spacing w:line="446" w:lineRule="auto"/>
        <w:ind w:left="838" w:right="4446"/>
      </w:pPr>
      <w:r>
        <w:t>产房应自成一区，入口处应设卫生通过和浴室、卫生间。待产室应邻近分娩室，宜设专用卫生间。</w:t>
      </w:r>
      <w:r>
        <w:t xml:space="preserve"> </w:t>
      </w:r>
    </w:p>
    <w:p w14:paraId="06366623" w14:textId="77777777" w:rsidR="00A71EEF" w:rsidRDefault="0081115D">
      <w:pPr>
        <w:pStyle w:val="a3"/>
        <w:spacing w:line="267" w:lineRule="exact"/>
        <w:ind w:left="838"/>
      </w:pPr>
      <w:r>
        <w:t>分娩室平面净尺寸宜为</w:t>
      </w:r>
      <w:r>
        <w:t xml:space="preserve"> 4.20m×4.80m</w:t>
      </w:r>
      <w:r>
        <w:t>，剖腹产手术室宜为</w:t>
      </w:r>
      <w:r>
        <w:t xml:space="preserve"> 5.4</w:t>
      </w:r>
      <w:r>
        <w:t>0m×4.80m</w:t>
      </w:r>
      <w:r>
        <w:t>。</w:t>
      </w:r>
      <w:r>
        <w:t xml:space="preserve"> </w:t>
      </w:r>
    </w:p>
    <w:p w14:paraId="6FF9007D" w14:textId="77777777" w:rsidR="00A71EEF" w:rsidRDefault="00A71EEF">
      <w:pPr>
        <w:pStyle w:val="a3"/>
        <w:spacing w:before="2"/>
        <w:rPr>
          <w:sz w:val="18"/>
        </w:rPr>
      </w:pPr>
    </w:p>
    <w:p w14:paraId="3E94A8F5" w14:textId="77777777" w:rsidR="00A71EEF" w:rsidRDefault="0081115D">
      <w:pPr>
        <w:pStyle w:val="a3"/>
        <w:ind w:left="838"/>
      </w:pPr>
      <w:r>
        <w:t>洗手池的位置应使医护人员在洗手时能观察临产产妇的动态。</w:t>
      </w:r>
      <w:r>
        <w:t xml:space="preserve"> </w:t>
      </w:r>
    </w:p>
    <w:p w14:paraId="6822880F" w14:textId="77777777" w:rsidR="00A71EEF" w:rsidRDefault="00A71EEF">
      <w:pPr>
        <w:pStyle w:val="a3"/>
        <w:rPr>
          <w:sz w:val="18"/>
        </w:rPr>
      </w:pPr>
    </w:p>
    <w:p w14:paraId="0FCA851D" w14:textId="77777777" w:rsidR="00A71EEF" w:rsidRDefault="0081115D">
      <w:pPr>
        <w:pStyle w:val="a3"/>
        <w:spacing w:line="446" w:lineRule="auto"/>
        <w:ind w:left="838" w:right="3606"/>
      </w:pPr>
      <w:r>
        <w:t>母婴同室或家庭产房应增设家属卫生通过，并应与其他区域分隔。家庭产房的病床宜采用可转换为产床的病床。</w:t>
      </w:r>
      <w:r>
        <w:t xml:space="preserve"> </w:t>
      </w:r>
    </w:p>
    <w:p w14:paraId="67615EF5" w14:textId="77777777" w:rsidR="00A71EEF" w:rsidRDefault="0081115D">
      <w:pPr>
        <w:spacing w:line="446" w:lineRule="auto"/>
        <w:ind w:left="838" w:right="6121" w:firstLine="2"/>
        <w:rPr>
          <w:sz w:val="21"/>
        </w:rPr>
      </w:pPr>
      <w:r>
        <w:rPr>
          <w:b/>
          <w:sz w:val="21"/>
        </w:rPr>
        <w:t>5.5.14</w:t>
      </w:r>
      <w:r>
        <w:rPr>
          <w:b/>
          <w:spacing w:val="9"/>
          <w:sz w:val="21"/>
        </w:rPr>
        <w:t xml:space="preserve"> </w:t>
      </w:r>
      <w:r>
        <w:rPr>
          <w:spacing w:val="-3"/>
          <w:sz w:val="21"/>
        </w:rPr>
        <w:t>婴儿室设置应符合下列要求：</w:t>
      </w:r>
      <w:r>
        <w:rPr>
          <w:spacing w:val="-3"/>
          <w:sz w:val="21"/>
        </w:rPr>
        <w:t xml:space="preserve"> </w:t>
      </w:r>
      <w:r>
        <w:rPr>
          <w:spacing w:val="-3"/>
          <w:sz w:val="21"/>
        </w:rPr>
        <w:t>应邻近分娩室；</w:t>
      </w:r>
      <w:r>
        <w:rPr>
          <w:sz w:val="21"/>
        </w:rPr>
        <w:t xml:space="preserve"> </w:t>
      </w:r>
    </w:p>
    <w:p w14:paraId="1D84CA67" w14:textId="77777777" w:rsidR="00A71EEF" w:rsidRDefault="0081115D">
      <w:pPr>
        <w:pStyle w:val="a3"/>
        <w:spacing w:line="446" w:lineRule="auto"/>
        <w:ind w:left="838" w:right="1505"/>
      </w:pPr>
      <w:r>
        <w:rPr>
          <w:spacing w:val="-3"/>
        </w:rPr>
        <w:t>应设婴儿间、洗婴池、配奶室、奶具消毒室、隔离婴儿室、隔离洗婴池、护士室等用房；</w:t>
      </w:r>
      <w:r>
        <w:rPr>
          <w:spacing w:val="-3"/>
        </w:rPr>
        <w:t xml:space="preserve"> </w:t>
      </w:r>
      <w:r>
        <w:rPr>
          <w:spacing w:val="-3"/>
        </w:rPr>
        <w:t>婴儿间宜朝南，应设观察窗，并应有防鼠、防蚊蝇等措施；</w:t>
      </w:r>
      <w:r>
        <w:t xml:space="preserve"> </w:t>
      </w:r>
    </w:p>
    <w:p w14:paraId="0A558C64" w14:textId="77777777" w:rsidR="00A71EEF" w:rsidRDefault="0081115D">
      <w:pPr>
        <w:pStyle w:val="a3"/>
        <w:ind w:left="838"/>
      </w:pPr>
      <w:r>
        <w:t>洗婴池应贴邻婴儿间，水龙头离地面高度宜为</w:t>
      </w:r>
      <w:r>
        <w:t xml:space="preserve"> 1.20m</w:t>
      </w:r>
      <w:r>
        <w:t>，并应有防止蒸气窜入婴儿间的措施；</w:t>
      </w:r>
      <w:r>
        <w:t xml:space="preserve"> </w:t>
      </w:r>
    </w:p>
    <w:p w14:paraId="0EF789EF" w14:textId="77777777" w:rsidR="00A71EEF" w:rsidRDefault="00A71EEF">
      <w:pPr>
        <w:pStyle w:val="a3"/>
        <w:spacing w:before="10"/>
        <w:rPr>
          <w:sz w:val="17"/>
        </w:rPr>
      </w:pPr>
    </w:p>
    <w:p w14:paraId="497352BE" w14:textId="77777777" w:rsidR="00A71EEF" w:rsidRDefault="0081115D">
      <w:pPr>
        <w:pStyle w:val="a3"/>
        <w:spacing w:line="446" w:lineRule="auto"/>
        <w:ind w:left="840" w:right="5490" w:hanging="3"/>
      </w:pPr>
      <w:r>
        <w:t>配奶室与奶具消毒室不应与护士室合用。</w:t>
      </w:r>
      <w:r>
        <w:rPr>
          <w:b/>
        </w:rPr>
        <w:t xml:space="preserve">5.5.15 </w:t>
      </w:r>
      <w:r>
        <w:t>烧伤病房用房设置应符合下列要求：</w:t>
      </w:r>
      <w:r>
        <w:t xml:space="preserve"> </w:t>
      </w:r>
    </w:p>
    <w:p w14:paraId="683A1059" w14:textId="77777777" w:rsidR="00A71EEF" w:rsidRDefault="0081115D">
      <w:pPr>
        <w:pStyle w:val="a3"/>
        <w:spacing w:line="446" w:lineRule="auto"/>
        <w:ind w:left="418" w:right="1817" w:firstLine="419"/>
      </w:pPr>
      <w:r>
        <w:t>应设在环境良好、空气清洁的位置，可设于外科护理单元的尽端，宜相对独立或单独设置；</w:t>
      </w:r>
      <w:r>
        <w:t xml:space="preserve"> </w:t>
      </w:r>
    </w:p>
    <w:p w14:paraId="1692118F" w14:textId="77777777" w:rsidR="00A71EEF" w:rsidRDefault="0081115D">
      <w:pPr>
        <w:pStyle w:val="a3"/>
        <w:spacing w:line="446" w:lineRule="auto"/>
        <w:ind w:left="418" w:right="1609" w:firstLine="419"/>
      </w:pPr>
      <w:r>
        <w:t>应设换药、浸浴、单人隔离病房、重点护理病房及专用卫生间、护士室、洗涤消毒、消毒品贮藏等用房；</w:t>
      </w:r>
      <w:r>
        <w:t xml:space="preserve"> </w:t>
      </w:r>
    </w:p>
    <w:p w14:paraId="7CB84BA6" w14:textId="77777777" w:rsidR="00A71EEF" w:rsidRDefault="0081115D">
      <w:pPr>
        <w:pStyle w:val="a3"/>
        <w:spacing w:line="446" w:lineRule="auto"/>
        <w:ind w:left="838" w:right="3186"/>
      </w:pPr>
      <w:r>
        <w:rPr>
          <w:spacing w:val="-3"/>
        </w:rPr>
        <w:t>入口处应设包括换鞋、更衣、卫生间和淋浴的医护人员卫生通过通道；</w:t>
      </w:r>
      <w:r>
        <w:rPr>
          <w:spacing w:val="-3"/>
        </w:rPr>
        <w:t xml:space="preserve"> </w:t>
      </w:r>
      <w:r>
        <w:rPr>
          <w:spacing w:val="-3"/>
        </w:rPr>
        <w:t>可设专用处置室、洁净病房。</w:t>
      </w:r>
      <w:r>
        <w:t xml:space="preserve"> </w:t>
      </w:r>
    </w:p>
    <w:p w14:paraId="453B220E" w14:textId="77777777" w:rsidR="00A71EEF" w:rsidRDefault="0081115D">
      <w:pPr>
        <w:ind w:left="840"/>
        <w:rPr>
          <w:sz w:val="21"/>
        </w:rPr>
      </w:pPr>
      <w:r>
        <w:rPr>
          <w:b/>
          <w:sz w:val="21"/>
        </w:rPr>
        <w:t>5.5.16</w:t>
      </w:r>
      <w:r>
        <w:rPr>
          <w:b/>
          <w:spacing w:val="105"/>
          <w:sz w:val="21"/>
        </w:rPr>
        <w:t xml:space="preserve"> </w:t>
      </w:r>
      <w:r>
        <w:rPr>
          <w:spacing w:val="-3"/>
          <w:sz w:val="21"/>
        </w:rPr>
        <w:t>血液病房用房设置应符合下列要求：</w:t>
      </w:r>
      <w:r>
        <w:rPr>
          <w:sz w:val="21"/>
        </w:rPr>
        <w:t xml:space="preserve"> </w:t>
      </w:r>
    </w:p>
    <w:p w14:paraId="08964B94" w14:textId="77777777" w:rsidR="00A71EEF" w:rsidRDefault="00A71EEF">
      <w:pPr>
        <w:pStyle w:val="a3"/>
        <w:spacing w:before="10"/>
        <w:rPr>
          <w:sz w:val="17"/>
        </w:rPr>
      </w:pPr>
    </w:p>
    <w:p w14:paraId="08DE341A" w14:textId="77777777" w:rsidR="00A71EEF" w:rsidRDefault="0081115D">
      <w:pPr>
        <w:pStyle w:val="a3"/>
        <w:spacing w:line="446" w:lineRule="auto"/>
        <w:ind w:left="418" w:right="1609" w:firstLine="419"/>
      </w:pPr>
      <w:r>
        <w:t>血液病房可设于内科护理单元内，亦可自成一区。可根据需要设置洁净病房，洁净病房应自成一区。</w:t>
      </w:r>
      <w:r>
        <w:t xml:space="preserve"> </w:t>
      </w:r>
    </w:p>
    <w:p w14:paraId="4F8179EC" w14:textId="77777777" w:rsidR="00A71EEF" w:rsidRDefault="0081115D">
      <w:pPr>
        <w:pStyle w:val="a3"/>
        <w:spacing w:before="1" w:line="446" w:lineRule="auto"/>
        <w:ind w:left="838" w:right="2134"/>
      </w:pPr>
      <w:r>
        <w:rPr>
          <w:spacing w:val="-3"/>
        </w:rPr>
        <w:t>洁净病区应设准备、患者浴室和卫生间、护士室、洗涤消毒用房、净化设备机房。入口处应设包括换鞋、更衣、卫生间和淋浴的医护人员卫生通道。</w:t>
      </w:r>
      <w:r>
        <w:t xml:space="preserve"> </w:t>
      </w:r>
    </w:p>
    <w:p w14:paraId="352F4095" w14:textId="77777777" w:rsidR="00A71EEF" w:rsidRDefault="0081115D">
      <w:pPr>
        <w:pStyle w:val="a3"/>
        <w:ind w:left="838"/>
      </w:pPr>
      <w:r>
        <w:t>患者浴室和卫生间可单独设置，并应同时设有淋浴器和浴盆。</w:t>
      </w:r>
      <w:r>
        <w:t xml:space="preserve"> </w:t>
      </w:r>
    </w:p>
    <w:p w14:paraId="70CD528B" w14:textId="77777777" w:rsidR="00A71EEF" w:rsidRDefault="00A71EEF">
      <w:pPr>
        <w:sectPr w:rsidR="00A71EEF">
          <w:pgSz w:w="11910" w:h="16850"/>
          <w:pgMar w:top="1220" w:right="0" w:bottom="1420" w:left="1260" w:header="0" w:footer="1239" w:gutter="0"/>
          <w:cols w:space="720"/>
        </w:sectPr>
      </w:pPr>
    </w:p>
    <w:p w14:paraId="0FE4841A" w14:textId="77777777" w:rsidR="00A71EEF" w:rsidRDefault="0081115D">
      <w:pPr>
        <w:pStyle w:val="a3"/>
        <w:spacing w:before="47" w:line="446" w:lineRule="auto"/>
        <w:ind w:left="418" w:right="1609" w:firstLine="419"/>
      </w:pPr>
      <w:r>
        <w:rPr>
          <w:spacing w:val="-5"/>
        </w:rPr>
        <w:t>洁净病房应仅供一位患者使用，洁净标准应符合本规范第</w:t>
      </w:r>
      <w:r>
        <w:rPr>
          <w:spacing w:val="-5"/>
        </w:rPr>
        <w:t xml:space="preserve"> </w:t>
      </w:r>
      <w:r>
        <w:t>7.5.4</w:t>
      </w:r>
      <w:r>
        <w:rPr>
          <w:spacing w:val="-7"/>
        </w:rPr>
        <w:t xml:space="preserve"> </w:t>
      </w:r>
      <w:r>
        <w:rPr>
          <w:spacing w:val="-7"/>
        </w:rPr>
        <w:t>条规定，并应在入口处设</w:t>
      </w:r>
      <w:r>
        <w:rPr>
          <w:spacing w:val="-5"/>
        </w:rPr>
        <w:t>第二次换鞋、更衣处。</w:t>
      </w:r>
      <w:r>
        <w:t xml:space="preserve"> </w:t>
      </w:r>
    </w:p>
    <w:p w14:paraId="4CAC989C" w14:textId="77777777" w:rsidR="00A71EEF" w:rsidRDefault="0081115D">
      <w:pPr>
        <w:pStyle w:val="a3"/>
        <w:spacing w:line="446" w:lineRule="auto"/>
        <w:ind w:left="840" w:right="4446" w:hanging="3"/>
      </w:pPr>
      <w:r>
        <w:t>洁净病房应设观察窗，并应设置家属探视窗及对讲设备。</w:t>
      </w:r>
      <w:r>
        <w:rPr>
          <w:b/>
        </w:rPr>
        <w:t xml:space="preserve">5.5.17 </w:t>
      </w:r>
      <w:r>
        <w:t>血液透析室用房设置</w:t>
      </w:r>
      <w:r>
        <w:t>应符合下列要求：</w:t>
      </w:r>
      <w:r>
        <w:t xml:space="preserve"> </w:t>
      </w:r>
    </w:p>
    <w:p w14:paraId="1467773C" w14:textId="77777777" w:rsidR="00A71EEF" w:rsidRDefault="0081115D">
      <w:pPr>
        <w:pStyle w:val="a3"/>
        <w:ind w:left="838"/>
      </w:pPr>
      <w:r>
        <w:t>可设于门诊部或住院部内，应自成一区；</w:t>
      </w:r>
      <w:r>
        <w:t xml:space="preserve"> </w:t>
      </w:r>
    </w:p>
    <w:p w14:paraId="6055F51D" w14:textId="77777777" w:rsidR="00A71EEF" w:rsidRDefault="00A71EEF">
      <w:pPr>
        <w:pStyle w:val="a3"/>
        <w:spacing w:before="10"/>
        <w:rPr>
          <w:sz w:val="17"/>
        </w:rPr>
      </w:pPr>
    </w:p>
    <w:p w14:paraId="5CA93BD7" w14:textId="77777777" w:rsidR="00A71EEF" w:rsidRDefault="0081115D">
      <w:pPr>
        <w:pStyle w:val="a3"/>
        <w:spacing w:line="446" w:lineRule="auto"/>
        <w:ind w:left="418" w:right="1609" w:firstLine="419"/>
      </w:pPr>
      <w:r>
        <w:t>应设患者换鞋与更衣、透析、隔离透析治疗、治疗、复洗、污物处理、配药、水处理设备等用房；</w:t>
      </w:r>
      <w:r>
        <w:t xml:space="preserve"> </w:t>
      </w:r>
    </w:p>
    <w:p w14:paraId="63698CEE" w14:textId="77777777" w:rsidR="00A71EEF" w:rsidRDefault="0081115D">
      <w:pPr>
        <w:pStyle w:val="a3"/>
        <w:spacing w:before="1"/>
        <w:ind w:left="838"/>
      </w:pPr>
      <w:r>
        <w:t>入口处应设包括换鞋、更衣的医护人员卫生通过通道；</w:t>
      </w:r>
      <w:r>
        <w:t xml:space="preserve"> </w:t>
      </w:r>
    </w:p>
    <w:p w14:paraId="635080E4" w14:textId="77777777" w:rsidR="00A71EEF" w:rsidRDefault="00A71EEF">
      <w:pPr>
        <w:pStyle w:val="a3"/>
        <w:spacing w:before="12"/>
        <w:rPr>
          <w:sz w:val="17"/>
        </w:rPr>
      </w:pPr>
    </w:p>
    <w:p w14:paraId="226DA364" w14:textId="77777777" w:rsidR="00A71EEF" w:rsidRDefault="0081115D">
      <w:pPr>
        <w:pStyle w:val="a3"/>
        <w:spacing w:line="446" w:lineRule="auto"/>
        <w:ind w:left="840" w:right="3503" w:hanging="3"/>
        <w:rPr>
          <w:b/>
        </w:rPr>
      </w:pPr>
      <w:r>
        <w:t>治疗床</w:t>
      </w:r>
      <w:r>
        <w:t>(</w:t>
      </w:r>
      <w:r>
        <w:t>椅</w:t>
      </w:r>
      <w:r>
        <w:t>)</w:t>
      </w:r>
      <w:r>
        <w:t>之间的净距不宜小于</w:t>
      </w:r>
      <w:r>
        <w:t xml:space="preserve"> 1.20m</w:t>
      </w:r>
      <w:r>
        <w:t>，通道净距不宜小于</w:t>
      </w:r>
      <w:r>
        <w:t xml:space="preserve"> 1.30m</w:t>
      </w:r>
      <w:r>
        <w:t>。</w:t>
      </w:r>
      <w:r>
        <w:rPr>
          <w:b/>
        </w:rPr>
        <w:t xml:space="preserve">5.6 </w:t>
      </w:r>
      <w:r>
        <w:t>生殖医学中心用房</w:t>
      </w:r>
      <w:r>
        <w:rPr>
          <w:b/>
          <w:w w:val="99"/>
        </w:rPr>
        <w:t xml:space="preserve"> </w:t>
      </w:r>
    </w:p>
    <w:p w14:paraId="6321F0C4" w14:textId="77777777" w:rsidR="00A71EEF" w:rsidRDefault="0081115D">
      <w:pPr>
        <w:pStyle w:val="a4"/>
        <w:numPr>
          <w:ilvl w:val="2"/>
          <w:numId w:val="180"/>
        </w:numPr>
        <w:tabs>
          <w:tab w:val="left" w:pos="1370"/>
        </w:tabs>
        <w:spacing w:line="446" w:lineRule="auto"/>
        <w:ind w:right="1551" w:firstLine="422"/>
        <w:rPr>
          <w:sz w:val="21"/>
        </w:rPr>
      </w:pPr>
      <w:r>
        <w:rPr>
          <w:spacing w:val="-3"/>
          <w:sz w:val="21"/>
        </w:rPr>
        <w:t>生殖医学中心应设诊查、</w:t>
      </w:r>
      <w:r>
        <w:rPr>
          <w:sz w:val="21"/>
        </w:rPr>
        <w:t>B</w:t>
      </w:r>
      <w:r>
        <w:rPr>
          <w:spacing w:val="-6"/>
          <w:sz w:val="21"/>
        </w:rPr>
        <w:t xml:space="preserve"> </w:t>
      </w:r>
      <w:r>
        <w:rPr>
          <w:spacing w:val="-6"/>
          <w:sz w:val="21"/>
        </w:rPr>
        <w:t>超、取精、取卵、体外授精、胚胎移植、检查、妇科内分</w:t>
      </w:r>
      <w:r>
        <w:rPr>
          <w:spacing w:val="-4"/>
          <w:sz w:val="21"/>
        </w:rPr>
        <w:t>泌测定和精子库等用房。</w:t>
      </w:r>
      <w:r>
        <w:rPr>
          <w:spacing w:val="-4"/>
          <w:sz w:val="21"/>
        </w:rPr>
        <w:t xml:space="preserve"> </w:t>
      </w:r>
      <w:r>
        <w:rPr>
          <w:spacing w:val="-2"/>
          <w:sz w:val="21"/>
        </w:rPr>
        <w:t xml:space="preserve"> </w:t>
      </w:r>
      <w:r>
        <w:rPr>
          <w:sz w:val="21"/>
        </w:rPr>
        <w:t xml:space="preserve"> </w:t>
      </w:r>
    </w:p>
    <w:p w14:paraId="281E8D4F" w14:textId="77777777" w:rsidR="00A71EEF" w:rsidRDefault="0081115D">
      <w:pPr>
        <w:pStyle w:val="a4"/>
        <w:numPr>
          <w:ilvl w:val="2"/>
          <w:numId w:val="180"/>
        </w:numPr>
        <w:tabs>
          <w:tab w:val="left" w:pos="1370"/>
        </w:tabs>
        <w:ind w:left="1369" w:hanging="530"/>
        <w:rPr>
          <w:sz w:val="21"/>
        </w:rPr>
      </w:pPr>
      <w:r>
        <w:rPr>
          <w:spacing w:val="-3"/>
          <w:sz w:val="21"/>
        </w:rPr>
        <w:t>生殖医学中心可设影像学检查、遗传学检查等用房。</w:t>
      </w:r>
      <w:r>
        <w:rPr>
          <w:spacing w:val="-3"/>
          <w:sz w:val="21"/>
        </w:rPr>
        <w:t xml:space="preserve"> </w:t>
      </w:r>
      <w:r>
        <w:rPr>
          <w:spacing w:val="-2"/>
          <w:sz w:val="21"/>
        </w:rPr>
        <w:t xml:space="preserve"> </w:t>
      </w:r>
      <w:r>
        <w:rPr>
          <w:sz w:val="21"/>
        </w:rPr>
        <w:t xml:space="preserve"> </w:t>
      </w:r>
    </w:p>
    <w:p w14:paraId="371FDE13" w14:textId="77777777" w:rsidR="00A71EEF" w:rsidRDefault="00A71EEF">
      <w:pPr>
        <w:pStyle w:val="a3"/>
        <w:rPr>
          <w:sz w:val="18"/>
        </w:rPr>
      </w:pPr>
    </w:p>
    <w:p w14:paraId="5C975897" w14:textId="77777777" w:rsidR="00A71EEF" w:rsidRDefault="0081115D">
      <w:pPr>
        <w:pStyle w:val="a4"/>
        <w:numPr>
          <w:ilvl w:val="2"/>
          <w:numId w:val="180"/>
        </w:numPr>
        <w:tabs>
          <w:tab w:val="left" w:pos="1370"/>
        </w:tabs>
        <w:ind w:left="1369" w:hanging="530"/>
        <w:rPr>
          <w:sz w:val="21"/>
        </w:rPr>
      </w:pPr>
      <w:r>
        <w:rPr>
          <w:spacing w:val="-3"/>
          <w:sz w:val="21"/>
        </w:rPr>
        <w:t>取卵室、体外授精实验室、胚胎移植室应满足医院卫生学要求。</w:t>
      </w:r>
      <w:r>
        <w:rPr>
          <w:sz w:val="21"/>
        </w:rPr>
        <w:t xml:space="preserve"> </w:t>
      </w:r>
    </w:p>
    <w:p w14:paraId="352E82F4" w14:textId="77777777" w:rsidR="00A71EEF" w:rsidRDefault="00A71EEF">
      <w:pPr>
        <w:pStyle w:val="a3"/>
        <w:spacing w:before="12"/>
        <w:rPr>
          <w:sz w:val="17"/>
        </w:rPr>
      </w:pPr>
    </w:p>
    <w:p w14:paraId="5462AC45" w14:textId="77777777" w:rsidR="00A71EEF" w:rsidRDefault="0081115D">
      <w:pPr>
        <w:pStyle w:val="a4"/>
        <w:numPr>
          <w:ilvl w:val="1"/>
          <w:numId w:val="179"/>
        </w:numPr>
        <w:tabs>
          <w:tab w:val="left" w:pos="1159"/>
        </w:tabs>
        <w:ind w:hanging="319"/>
        <w:rPr>
          <w:sz w:val="21"/>
        </w:rPr>
      </w:pPr>
      <w:r>
        <w:rPr>
          <w:spacing w:val="-3"/>
          <w:sz w:val="21"/>
        </w:rPr>
        <w:t>手术部用房</w:t>
      </w:r>
      <w:r>
        <w:rPr>
          <w:sz w:val="21"/>
        </w:rPr>
        <w:t xml:space="preserve"> </w:t>
      </w:r>
    </w:p>
    <w:p w14:paraId="6877C6E7" w14:textId="77777777" w:rsidR="00A71EEF" w:rsidRDefault="00A71EEF">
      <w:pPr>
        <w:pStyle w:val="a3"/>
        <w:rPr>
          <w:sz w:val="20"/>
        </w:rPr>
      </w:pPr>
    </w:p>
    <w:p w14:paraId="56168513" w14:textId="77777777" w:rsidR="00A71EEF" w:rsidRDefault="00A71EEF">
      <w:pPr>
        <w:pStyle w:val="a3"/>
        <w:rPr>
          <w:sz w:val="20"/>
        </w:rPr>
      </w:pPr>
    </w:p>
    <w:p w14:paraId="38FC1F17" w14:textId="77777777" w:rsidR="00A71EEF" w:rsidRDefault="00A71EEF">
      <w:pPr>
        <w:pStyle w:val="a3"/>
        <w:spacing w:before="1"/>
        <w:rPr>
          <w:sz w:val="17"/>
        </w:rPr>
      </w:pPr>
    </w:p>
    <w:p w14:paraId="3B41927E" w14:textId="77777777" w:rsidR="00A71EEF" w:rsidRDefault="0081115D">
      <w:pPr>
        <w:pStyle w:val="a4"/>
        <w:numPr>
          <w:ilvl w:val="2"/>
          <w:numId w:val="179"/>
        </w:numPr>
        <w:tabs>
          <w:tab w:val="left" w:pos="1370"/>
        </w:tabs>
        <w:spacing w:before="1" w:line="446" w:lineRule="auto"/>
        <w:ind w:right="1447" w:firstLine="422"/>
        <w:rPr>
          <w:sz w:val="21"/>
        </w:rPr>
      </w:pPr>
      <w:r>
        <w:rPr>
          <w:spacing w:val="-3"/>
          <w:sz w:val="21"/>
        </w:rPr>
        <w:t>手术部的环境要求，应符合现行国家标准《医院消毒卫生标准》</w:t>
      </w:r>
      <w:r>
        <w:rPr>
          <w:sz w:val="21"/>
        </w:rPr>
        <w:t>GB</w:t>
      </w:r>
      <w:r>
        <w:rPr>
          <w:spacing w:val="22"/>
          <w:sz w:val="21"/>
        </w:rPr>
        <w:t xml:space="preserve"> </w:t>
      </w:r>
      <w:r>
        <w:rPr>
          <w:sz w:val="21"/>
        </w:rPr>
        <w:t>15982</w:t>
      </w:r>
      <w:r>
        <w:rPr>
          <w:spacing w:val="-9"/>
          <w:sz w:val="21"/>
        </w:rPr>
        <w:t xml:space="preserve"> </w:t>
      </w:r>
      <w:r>
        <w:rPr>
          <w:spacing w:val="-9"/>
          <w:sz w:val="21"/>
        </w:rPr>
        <w:t>的有关规定</w:t>
      </w:r>
      <w:r>
        <w:rPr>
          <w:spacing w:val="-4"/>
          <w:sz w:val="21"/>
        </w:rPr>
        <w:t>，手术部应分为一般手术部和洁净手术部洁净手术部应按现行国家标准《医院洁净手术部建筑</w:t>
      </w:r>
      <w:r>
        <w:rPr>
          <w:spacing w:val="-4"/>
          <w:sz w:val="21"/>
        </w:rPr>
        <w:t xml:space="preserve"> </w:t>
      </w:r>
      <w:r>
        <w:rPr>
          <w:spacing w:val="-3"/>
          <w:sz w:val="21"/>
        </w:rPr>
        <w:t>技术规范》</w:t>
      </w:r>
      <w:r>
        <w:rPr>
          <w:sz w:val="21"/>
        </w:rPr>
        <w:t>GB 50333</w:t>
      </w:r>
      <w:r>
        <w:rPr>
          <w:spacing w:val="-9"/>
          <w:sz w:val="21"/>
        </w:rPr>
        <w:t xml:space="preserve"> </w:t>
      </w:r>
      <w:r>
        <w:rPr>
          <w:spacing w:val="-9"/>
          <w:sz w:val="21"/>
        </w:rPr>
        <w:t>的有关规定设计。</w:t>
      </w:r>
      <w:r>
        <w:rPr>
          <w:sz w:val="21"/>
        </w:rPr>
        <w:t xml:space="preserve"> </w:t>
      </w:r>
    </w:p>
    <w:p w14:paraId="5D9DBD25" w14:textId="77777777" w:rsidR="00A71EEF" w:rsidRDefault="0081115D">
      <w:pPr>
        <w:pStyle w:val="a4"/>
        <w:numPr>
          <w:ilvl w:val="2"/>
          <w:numId w:val="179"/>
        </w:numPr>
        <w:tabs>
          <w:tab w:val="left" w:pos="1371"/>
        </w:tabs>
        <w:spacing w:line="268" w:lineRule="exact"/>
        <w:ind w:left="1370" w:hanging="531"/>
        <w:rPr>
          <w:sz w:val="21"/>
        </w:rPr>
      </w:pPr>
      <w:r>
        <w:rPr>
          <w:spacing w:val="-3"/>
          <w:sz w:val="21"/>
        </w:rPr>
        <w:t>手术部用房位置和平面布置，应符合下列要求：</w:t>
      </w:r>
      <w:r>
        <w:rPr>
          <w:spacing w:val="-3"/>
          <w:sz w:val="21"/>
        </w:rPr>
        <w:t xml:space="preserve"> </w:t>
      </w:r>
      <w:r>
        <w:rPr>
          <w:spacing w:val="-2"/>
          <w:sz w:val="21"/>
        </w:rPr>
        <w:t xml:space="preserve"> </w:t>
      </w:r>
      <w:r>
        <w:rPr>
          <w:sz w:val="21"/>
        </w:rPr>
        <w:t xml:space="preserve"> </w:t>
      </w:r>
    </w:p>
    <w:p w14:paraId="076E1853" w14:textId="77777777" w:rsidR="00A71EEF" w:rsidRDefault="00A71EEF">
      <w:pPr>
        <w:pStyle w:val="a3"/>
        <w:spacing w:before="12"/>
        <w:rPr>
          <w:sz w:val="17"/>
        </w:rPr>
      </w:pPr>
    </w:p>
    <w:p w14:paraId="25A7E080" w14:textId="77777777" w:rsidR="00A71EEF" w:rsidRDefault="0081115D">
      <w:pPr>
        <w:pStyle w:val="a3"/>
        <w:spacing w:line="446" w:lineRule="auto"/>
        <w:ind w:left="418" w:right="1609" w:firstLine="419"/>
      </w:pPr>
      <w:r>
        <w:t>手术部应自成一区，宜与外科护理单元邻近，并宜与相关的急诊、介入治疗科、重症监护科</w:t>
      </w:r>
      <w:r>
        <w:t>(ICU)</w:t>
      </w:r>
      <w:r>
        <w:t>、病理科、中心</w:t>
      </w:r>
      <w:r>
        <w:t>(</w:t>
      </w:r>
      <w:r>
        <w:t>消毒</w:t>
      </w:r>
      <w:r>
        <w:t>)</w:t>
      </w:r>
      <w:r>
        <w:t>供应室、血库等路径便捷；</w:t>
      </w:r>
      <w:r>
        <w:t xml:space="preserve">  </w:t>
      </w:r>
      <w:r>
        <w:t xml:space="preserve"> </w:t>
      </w:r>
    </w:p>
    <w:p w14:paraId="345C58C1" w14:textId="77777777" w:rsidR="00A71EEF" w:rsidRDefault="0081115D">
      <w:pPr>
        <w:pStyle w:val="a3"/>
        <w:ind w:left="838"/>
      </w:pPr>
      <w:r>
        <w:t>手术部不宜设在首层</w:t>
      </w:r>
      <w:r>
        <w:t>；</w:t>
      </w:r>
      <w:r>
        <w:t xml:space="preserve">  </w:t>
      </w:r>
      <w:r>
        <w:t xml:space="preserve"> </w:t>
      </w:r>
    </w:p>
    <w:p w14:paraId="55C5BE2D" w14:textId="77777777" w:rsidR="00A71EEF" w:rsidRDefault="00A71EEF">
      <w:pPr>
        <w:pStyle w:val="a3"/>
        <w:spacing w:before="12"/>
        <w:rPr>
          <w:sz w:val="17"/>
        </w:rPr>
      </w:pPr>
    </w:p>
    <w:p w14:paraId="1E1DAAED" w14:textId="77777777" w:rsidR="00A71EEF" w:rsidRDefault="0081115D">
      <w:pPr>
        <w:pStyle w:val="a3"/>
        <w:ind w:left="838"/>
      </w:pPr>
      <w:r>
        <w:t>平面布置应符合功能流程和洁污分区要求；</w:t>
      </w:r>
      <w:r>
        <w:t xml:space="preserve">  </w:t>
      </w:r>
      <w:r>
        <w:t xml:space="preserve"> </w:t>
      </w:r>
    </w:p>
    <w:p w14:paraId="7333131F" w14:textId="77777777" w:rsidR="00A71EEF" w:rsidRDefault="00A71EEF">
      <w:pPr>
        <w:pStyle w:val="a3"/>
        <w:spacing w:before="2"/>
        <w:rPr>
          <w:sz w:val="18"/>
        </w:rPr>
      </w:pPr>
    </w:p>
    <w:p w14:paraId="097181FA" w14:textId="77777777" w:rsidR="00A71EEF" w:rsidRDefault="0081115D">
      <w:pPr>
        <w:pStyle w:val="a3"/>
        <w:ind w:left="838"/>
      </w:pPr>
      <w:r>
        <w:t>入口处应设医护人员卫生通过，且换鞋处应采取防止洁污交叉的措施；</w:t>
      </w:r>
      <w:r>
        <w:t xml:space="preserve">  </w:t>
      </w:r>
      <w:r>
        <w:t xml:space="preserve"> </w:t>
      </w:r>
    </w:p>
    <w:p w14:paraId="62941515" w14:textId="77777777" w:rsidR="00A71EEF" w:rsidRDefault="00A71EEF">
      <w:pPr>
        <w:pStyle w:val="a3"/>
        <w:rPr>
          <w:sz w:val="18"/>
        </w:rPr>
      </w:pPr>
    </w:p>
    <w:p w14:paraId="65F9A87C" w14:textId="77777777" w:rsidR="00A71EEF" w:rsidRDefault="0081115D">
      <w:pPr>
        <w:pStyle w:val="a3"/>
        <w:spacing w:line="446" w:lineRule="auto"/>
        <w:ind w:left="840" w:right="5598" w:hanging="3"/>
      </w:pPr>
      <w:r>
        <w:t>通往外部的门应采用弹簧门或自动启闭门。</w:t>
      </w:r>
      <w:r>
        <w:rPr>
          <w:b/>
        </w:rPr>
        <w:t xml:space="preserve">5.7.3 </w:t>
      </w:r>
      <w:r>
        <w:t>手术部用房设置应符合下列规定：</w:t>
      </w:r>
      <w:r>
        <w:t xml:space="preserve">  </w:t>
      </w:r>
      <w:r>
        <w:t xml:space="preserve"> </w:t>
      </w:r>
    </w:p>
    <w:p w14:paraId="35C17F6E" w14:textId="77777777" w:rsidR="00A71EEF" w:rsidRDefault="00A71EEF">
      <w:pPr>
        <w:spacing w:line="446" w:lineRule="auto"/>
        <w:sectPr w:rsidR="00A71EEF">
          <w:pgSz w:w="11910" w:h="16850"/>
          <w:pgMar w:top="1220" w:right="0" w:bottom="1420" w:left="1260" w:header="0" w:footer="1239" w:gutter="0"/>
          <w:cols w:space="720"/>
        </w:sectPr>
      </w:pPr>
    </w:p>
    <w:p w14:paraId="5B426564" w14:textId="77777777" w:rsidR="00A71EEF" w:rsidRDefault="0081115D">
      <w:pPr>
        <w:pStyle w:val="a3"/>
        <w:spacing w:before="47" w:line="446" w:lineRule="auto"/>
        <w:ind w:left="418" w:right="1609" w:firstLine="419"/>
      </w:pPr>
      <w:r>
        <w:t>应设手术室、刷手、术后苏醒、换床、护士室、麻醉师办公室、换鞋、男女更衣、男女浴室和卫生间、无菌物品存放、清洗、消毒、污物和库房等用房；</w:t>
      </w:r>
      <w:r>
        <w:t xml:space="preserve">  </w:t>
      </w:r>
      <w:r>
        <w:t xml:space="preserve"> </w:t>
      </w:r>
    </w:p>
    <w:p w14:paraId="1D38A3A4" w14:textId="77777777" w:rsidR="00A71EEF" w:rsidRDefault="0081115D">
      <w:pPr>
        <w:pStyle w:val="a3"/>
        <w:spacing w:line="446" w:lineRule="auto"/>
        <w:ind w:left="418" w:right="1609" w:firstLine="419"/>
      </w:pPr>
      <w:r>
        <w:t>可设洁净手术室、手术准备室、石膏室、冰冻切片、敷料制作、麻醉器械贮藏、教学、医护休息、男女值班和家属等候等用房。</w:t>
      </w:r>
      <w:r>
        <w:t xml:space="preserve"> </w:t>
      </w:r>
    </w:p>
    <w:p w14:paraId="20EA9D27" w14:textId="77777777" w:rsidR="00A71EEF" w:rsidRDefault="0081115D">
      <w:pPr>
        <w:pStyle w:val="a4"/>
        <w:numPr>
          <w:ilvl w:val="2"/>
          <w:numId w:val="178"/>
        </w:numPr>
        <w:tabs>
          <w:tab w:val="left" w:pos="1371"/>
        </w:tabs>
        <w:rPr>
          <w:sz w:val="21"/>
        </w:rPr>
      </w:pPr>
      <w:r>
        <w:rPr>
          <w:spacing w:val="-3"/>
          <w:sz w:val="21"/>
        </w:rPr>
        <w:t>手术室平面尺寸应符合下列要求：</w:t>
      </w:r>
      <w:r>
        <w:rPr>
          <w:sz w:val="21"/>
        </w:rPr>
        <w:t xml:space="preserve"> </w:t>
      </w:r>
      <w:r>
        <w:rPr>
          <w:spacing w:val="-2"/>
          <w:sz w:val="21"/>
        </w:rPr>
        <w:t xml:space="preserve"> </w:t>
      </w:r>
      <w:r>
        <w:rPr>
          <w:sz w:val="21"/>
        </w:rPr>
        <w:t xml:space="preserve"> </w:t>
      </w:r>
    </w:p>
    <w:p w14:paraId="639B9B16" w14:textId="77777777" w:rsidR="00A71EEF" w:rsidRDefault="00A71EEF">
      <w:pPr>
        <w:pStyle w:val="a3"/>
        <w:spacing w:before="10"/>
        <w:rPr>
          <w:sz w:val="17"/>
        </w:rPr>
      </w:pPr>
    </w:p>
    <w:p w14:paraId="6399847D" w14:textId="77777777" w:rsidR="00A71EEF" w:rsidRDefault="0081115D">
      <w:pPr>
        <w:pStyle w:val="a3"/>
        <w:ind w:left="840"/>
      </w:pPr>
      <w:r>
        <w:t xml:space="preserve">1 </w:t>
      </w:r>
      <w:r>
        <w:t>应根据需要选用手术室平面尺寸，平面尺寸不应小于表</w:t>
      </w:r>
      <w:r>
        <w:t xml:space="preserve"> 5.7.4 </w:t>
      </w:r>
      <w:r>
        <w:t>的规定。</w:t>
      </w:r>
      <w:r>
        <w:t xml:space="preserve">  </w:t>
      </w:r>
      <w:r>
        <w:t xml:space="preserve"> </w:t>
      </w:r>
    </w:p>
    <w:p w14:paraId="137CA606" w14:textId="77777777" w:rsidR="00A71EEF" w:rsidRDefault="00A71EEF">
      <w:pPr>
        <w:pStyle w:val="a3"/>
        <w:spacing w:before="2"/>
        <w:rPr>
          <w:sz w:val="18"/>
        </w:rPr>
      </w:pPr>
    </w:p>
    <w:p w14:paraId="2FF9FC43" w14:textId="77777777" w:rsidR="00A71EEF" w:rsidRDefault="0081115D">
      <w:pPr>
        <w:pStyle w:val="6"/>
        <w:ind w:left="3519"/>
      </w:pPr>
      <w:r>
        <w:t>表</w:t>
      </w:r>
      <w:r>
        <w:t xml:space="preserve"> 5.7.4 </w:t>
      </w:r>
      <w:r>
        <w:t>手术室平面尺寸</w:t>
      </w:r>
      <w:r>
        <w:rPr>
          <w:w w:val="99"/>
        </w:rPr>
        <w:t xml:space="preserve"> </w:t>
      </w:r>
    </w:p>
    <w:p w14:paraId="244F6624" w14:textId="77777777" w:rsidR="00A71EEF" w:rsidRDefault="0081115D">
      <w:pPr>
        <w:pStyle w:val="a3"/>
        <w:spacing w:before="12"/>
        <w:rPr>
          <w:b/>
        </w:rPr>
      </w:pPr>
      <w:r>
        <w:rPr>
          <w:noProof/>
        </w:rPr>
        <w:drawing>
          <wp:anchor distT="0" distB="0" distL="0" distR="0" simplePos="0" relativeHeight="251689472" behindDoc="0" locked="0" layoutInCell="1" allowOverlap="1" wp14:anchorId="01DE0C44" wp14:editId="3E893DC8">
            <wp:simplePos x="0" y="0"/>
            <wp:positionH relativeFrom="page">
              <wp:posOffset>1344930</wp:posOffset>
            </wp:positionH>
            <wp:positionV relativeFrom="paragraph">
              <wp:posOffset>203676</wp:posOffset>
            </wp:positionV>
            <wp:extent cx="4796479" cy="1743075"/>
            <wp:effectExtent l="0" t="0" r="0" b="0"/>
            <wp:wrapTopAndBottom/>
            <wp:docPr id="635" name="image3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image366.png"/>
                    <pic:cNvPicPr/>
                  </pic:nvPicPr>
                  <pic:blipFill>
                    <a:blip r:embed="rId437" cstate="print"/>
                    <a:stretch>
                      <a:fillRect/>
                    </a:stretch>
                  </pic:blipFill>
                  <pic:spPr>
                    <a:xfrm>
                      <a:off x="0" y="0"/>
                      <a:ext cx="4796479" cy="1743075"/>
                    </a:xfrm>
                    <a:prstGeom prst="rect">
                      <a:avLst/>
                    </a:prstGeom>
                  </pic:spPr>
                </pic:pic>
              </a:graphicData>
            </a:graphic>
          </wp:anchor>
        </w:drawing>
      </w:r>
    </w:p>
    <w:p w14:paraId="150E37B7" w14:textId="77777777" w:rsidR="00A71EEF" w:rsidRDefault="00A71EEF">
      <w:pPr>
        <w:pStyle w:val="a3"/>
        <w:rPr>
          <w:b/>
          <w:sz w:val="20"/>
        </w:rPr>
      </w:pPr>
    </w:p>
    <w:p w14:paraId="5D7C29A4" w14:textId="77777777" w:rsidR="00A71EEF" w:rsidRDefault="00A71EEF">
      <w:pPr>
        <w:pStyle w:val="a3"/>
        <w:rPr>
          <w:b/>
          <w:sz w:val="20"/>
        </w:rPr>
      </w:pPr>
    </w:p>
    <w:p w14:paraId="7F566153" w14:textId="77777777" w:rsidR="00A71EEF" w:rsidRDefault="0081115D">
      <w:pPr>
        <w:pStyle w:val="a3"/>
        <w:spacing w:before="167" w:line="446" w:lineRule="auto"/>
        <w:ind w:left="418" w:right="1505" w:firstLine="419"/>
      </w:pPr>
      <w:r>
        <w:rPr>
          <w:spacing w:val="-22"/>
        </w:rPr>
        <w:t>每</w:t>
      </w:r>
      <w:r>
        <w:rPr>
          <w:spacing w:val="-22"/>
        </w:rPr>
        <w:t xml:space="preserve"> </w:t>
      </w:r>
      <w:r>
        <w:t>2</w:t>
      </w:r>
      <w:r>
        <w:t>～</w:t>
      </w:r>
      <w:r>
        <w:t>4</w:t>
      </w:r>
      <w:r>
        <w:rPr>
          <w:spacing w:val="-12"/>
        </w:rPr>
        <w:t xml:space="preserve"> </w:t>
      </w:r>
      <w:r>
        <w:rPr>
          <w:spacing w:val="-12"/>
        </w:rPr>
        <w:t>间手术室宜单独设立</w:t>
      </w:r>
      <w:r>
        <w:rPr>
          <w:spacing w:val="-12"/>
        </w:rPr>
        <w:t xml:space="preserve"> </w:t>
      </w:r>
      <w:r>
        <w:t>1</w:t>
      </w:r>
      <w:r>
        <w:rPr>
          <w:spacing w:val="-8"/>
        </w:rPr>
        <w:t xml:space="preserve"> </w:t>
      </w:r>
      <w:r>
        <w:rPr>
          <w:spacing w:val="-8"/>
        </w:rPr>
        <w:t>间刷手间，可设于清洁区走廊内。刷手间不应设门。洁净手</w:t>
      </w:r>
      <w:r>
        <w:rPr>
          <w:spacing w:val="-7"/>
        </w:rPr>
        <w:t>术室的刷手间不得和普通手术室共用。每间手术室不得少于</w:t>
      </w:r>
      <w:r>
        <w:rPr>
          <w:spacing w:val="-7"/>
        </w:rPr>
        <w:t xml:space="preserve"> </w:t>
      </w:r>
      <w:r>
        <w:t>2</w:t>
      </w:r>
      <w:r>
        <w:rPr>
          <w:spacing w:val="-8"/>
        </w:rPr>
        <w:t xml:space="preserve"> </w:t>
      </w:r>
      <w:r>
        <w:rPr>
          <w:spacing w:val="-8"/>
        </w:rPr>
        <w:t>个洗手水龙头，并应采用非手动</w:t>
      </w:r>
      <w:r>
        <w:rPr>
          <w:spacing w:val="-7"/>
        </w:rPr>
        <w:t>开关。</w:t>
      </w:r>
      <w:r>
        <w:t xml:space="preserve"> </w:t>
      </w:r>
    </w:p>
    <w:p w14:paraId="2FE0AACF" w14:textId="77777777" w:rsidR="00A71EEF" w:rsidRDefault="0081115D">
      <w:pPr>
        <w:pStyle w:val="a4"/>
        <w:numPr>
          <w:ilvl w:val="2"/>
          <w:numId w:val="178"/>
        </w:numPr>
        <w:tabs>
          <w:tab w:val="left" w:pos="1371"/>
        </w:tabs>
        <w:spacing w:line="446" w:lineRule="auto"/>
        <w:ind w:left="418" w:right="1551" w:firstLine="422"/>
        <w:jc w:val="both"/>
        <w:rPr>
          <w:sz w:val="21"/>
        </w:rPr>
      </w:pPr>
      <w:r>
        <w:rPr>
          <w:spacing w:val="-5"/>
          <w:sz w:val="21"/>
        </w:rPr>
        <w:t>推床通过的手术室门，净宽不宜小于</w:t>
      </w:r>
      <w:r>
        <w:rPr>
          <w:spacing w:val="-5"/>
          <w:sz w:val="21"/>
        </w:rPr>
        <w:t xml:space="preserve"> </w:t>
      </w:r>
      <w:r>
        <w:rPr>
          <w:sz w:val="21"/>
        </w:rPr>
        <w:t>1.40m</w:t>
      </w:r>
      <w:r>
        <w:rPr>
          <w:spacing w:val="-3"/>
          <w:sz w:val="21"/>
        </w:rPr>
        <w:t>，且宜设置自动启闭装置。手术室可采用</w:t>
      </w:r>
      <w:r>
        <w:rPr>
          <w:spacing w:val="-4"/>
          <w:sz w:val="21"/>
        </w:rPr>
        <w:t>天然光源或人工照明，当采用天然光源时，窗洞口面积与地板面积之比不得大于</w:t>
      </w:r>
      <w:r>
        <w:rPr>
          <w:spacing w:val="-4"/>
          <w:sz w:val="21"/>
        </w:rPr>
        <w:t xml:space="preserve"> </w:t>
      </w:r>
      <w:r>
        <w:rPr>
          <w:sz w:val="21"/>
        </w:rPr>
        <w:t>1</w:t>
      </w:r>
      <w:r>
        <w:rPr>
          <w:sz w:val="21"/>
        </w:rPr>
        <w:t>／</w:t>
      </w:r>
      <w:r>
        <w:rPr>
          <w:sz w:val="21"/>
        </w:rPr>
        <w:t>7</w:t>
      </w:r>
      <w:r>
        <w:rPr>
          <w:sz w:val="21"/>
        </w:rPr>
        <w:t>，并应采</w:t>
      </w:r>
      <w:r>
        <w:rPr>
          <w:spacing w:val="-3"/>
          <w:sz w:val="21"/>
        </w:rPr>
        <w:t>取遮阳措施。</w:t>
      </w:r>
      <w:r>
        <w:rPr>
          <w:sz w:val="21"/>
        </w:rPr>
        <w:t xml:space="preserve"> </w:t>
      </w:r>
    </w:p>
    <w:p w14:paraId="59059234" w14:textId="77777777" w:rsidR="00A71EEF" w:rsidRDefault="0081115D">
      <w:pPr>
        <w:pStyle w:val="a4"/>
        <w:numPr>
          <w:ilvl w:val="2"/>
          <w:numId w:val="178"/>
        </w:numPr>
        <w:tabs>
          <w:tab w:val="left" w:pos="1370"/>
        </w:tabs>
        <w:spacing w:line="268" w:lineRule="exact"/>
        <w:ind w:left="1369" w:hanging="530"/>
        <w:jc w:val="both"/>
        <w:rPr>
          <w:sz w:val="21"/>
        </w:rPr>
      </w:pPr>
      <w:r>
        <w:rPr>
          <w:spacing w:val="-3"/>
          <w:sz w:val="21"/>
        </w:rPr>
        <w:t>手术室内基本设施设置应符合下列规定：</w:t>
      </w:r>
      <w:r>
        <w:rPr>
          <w:spacing w:val="-3"/>
          <w:sz w:val="21"/>
        </w:rPr>
        <w:t xml:space="preserve"> </w:t>
      </w:r>
      <w:r>
        <w:rPr>
          <w:spacing w:val="-2"/>
          <w:sz w:val="21"/>
        </w:rPr>
        <w:t xml:space="preserve"> </w:t>
      </w:r>
      <w:r>
        <w:rPr>
          <w:sz w:val="21"/>
        </w:rPr>
        <w:t xml:space="preserve"> </w:t>
      </w:r>
    </w:p>
    <w:p w14:paraId="45C6A7E9" w14:textId="77777777" w:rsidR="00A71EEF" w:rsidRDefault="00A71EEF">
      <w:pPr>
        <w:pStyle w:val="a3"/>
        <w:spacing w:before="10"/>
        <w:rPr>
          <w:sz w:val="17"/>
        </w:rPr>
      </w:pPr>
    </w:p>
    <w:p w14:paraId="7124795F" w14:textId="77777777" w:rsidR="00A71EEF" w:rsidRDefault="0081115D">
      <w:pPr>
        <w:pStyle w:val="a3"/>
        <w:spacing w:before="1"/>
        <w:ind w:left="838"/>
        <w:jc w:val="both"/>
      </w:pPr>
      <w:r>
        <w:t>观片灯联数可按手术室大小类型配置，观片灯应设置在手术医生对面墙上；</w:t>
      </w:r>
      <w:r>
        <w:t xml:space="preserve">  </w:t>
      </w:r>
      <w:r>
        <w:t xml:space="preserve"> </w:t>
      </w:r>
    </w:p>
    <w:p w14:paraId="1F5128A6" w14:textId="77777777" w:rsidR="00A71EEF" w:rsidRDefault="00A71EEF">
      <w:pPr>
        <w:pStyle w:val="a3"/>
        <w:spacing w:before="12"/>
        <w:rPr>
          <w:sz w:val="17"/>
        </w:rPr>
      </w:pPr>
    </w:p>
    <w:p w14:paraId="07913AF4" w14:textId="77777777" w:rsidR="00A71EEF" w:rsidRDefault="0081115D">
      <w:pPr>
        <w:pStyle w:val="a3"/>
        <w:spacing w:line="446" w:lineRule="auto"/>
        <w:ind w:left="418" w:right="1609" w:firstLine="419"/>
        <w:jc w:val="both"/>
      </w:pPr>
      <w:r>
        <w:rPr>
          <w:spacing w:val="-3"/>
        </w:rPr>
        <w:t>手术台长向宜沿手术室长轴布置，台面中心点宜与手术室地面中心点相对应。患者头部不宜置于手术室门一侧；</w:t>
      </w:r>
      <w:r>
        <w:rPr>
          <w:spacing w:val="-3"/>
        </w:rPr>
        <w:t xml:space="preserve"> </w:t>
      </w:r>
      <w:r>
        <w:rPr>
          <w:spacing w:val="-2"/>
        </w:rPr>
        <w:t xml:space="preserve"> </w:t>
      </w:r>
      <w:r>
        <w:t xml:space="preserve"> </w:t>
      </w:r>
    </w:p>
    <w:p w14:paraId="698F6387" w14:textId="77777777" w:rsidR="00A71EEF" w:rsidRDefault="0081115D">
      <w:pPr>
        <w:pStyle w:val="a3"/>
        <w:spacing w:line="446" w:lineRule="auto"/>
        <w:ind w:left="838" w:right="7177"/>
        <w:jc w:val="both"/>
      </w:pPr>
      <w:r>
        <w:rPr>
          <w:spacing w:val="1"/>
        </w:rPr>
        <w:t>净高宜为</w:t>
      </w:r>
      <w:r>
        <w:rPr>
          <w:spacing w:val="1"/>
        </w:rPr>
        <w:t xml:space="preserve">  </w:t>
      </w:r>
      <w:r>
        <w:t>2.70</w:t>
      </w:r>
      <w:r>
        <w:t>～</w:t>
      </w:r>
      <w:r>
        <w:t>3.00m</w:t>
      </w:r>
      <w:r>
        <w:t>；</w:t>
      </w:r>
      <w:r>
        <w:t xml:space="preserve"> </w:t>
      </w:r>
      <w:r>
        <w:rPr>
          <w:spacing w:val="-3"/>
        </w:rPr>
        <w:t>设置医用气体终端装置；</w:t>
      </w:r>
      <w:r>
        <w:rPr>
          <w:spacing w:val="-3"/>
        </w:rPr>
        <w:t xml:space="preserve">  </w:t>
      </w:r>
      <w:r>
        <w:rPr>
          <w:spacing w:val="-3"/>
        </w:rPr>
        <w:t>采取防静电措施；</w:t>
      </w:r>
      <w:r>
        <w:rPr>
          <w:spacing w:val="-3"/>
        </w:rPr>
        <w:t xml:space="preserve"> </w:t>
      </w:r>
      <w:r>
        <w:rPr>
          <w:spacing w:val="-2"/>
        </w:rPr>
        <w:t xml:space="preserve"> </w:t>
      </w:r>
      <w:r>
        <w:t xml:space="preserve"> </w:t>
      </w:r>
    </w:p>
    <w:p w14:paraId="3CEA176C" w14:textId="77777777" w:rsidR="00A71EEF" w:rsidRDefault="0081115D">
      <w:pPr>
        <w:pStyle w:val="a3"/>
        <w:spacing w:line="268" w:lineRule="exact"/>
        <w:ind w:left="838"/>
        <w:jc w:val="both"/>
      </w:pPr>
      <w:r>
        <w:rPr>
          <w:spacing w:val="-3"/>
        </w:rPr>
        <w:t>不应有明露管线；</w:t>
      </w:r>
      <w:r>
        <w:rPr>
          <w:spacing w:val="-3"/>
        </w:rPr>
        <w:t xml:space="preserve"> </w:t>
      </w:r>
      <w:r>
        <w:rPr>
          <w:spacing w:val="-2"/>
        </w:rPr>
        <w:t xml:space="preserve"> </w:t>
      </w:r>
      <w:r>
        <w:t xml:space="preserve"> </w:t>
      </w:r>
    </w:p>
    <w:p w14:paraId="7B915ADB" w14:textId="77777777" w:rsidR="00A71EEF" w:rsidRDefault="00A71EEF">
      <w:pPr>
        <w:spacing w:line="268" w:lineRule="exact"/>
        <w:jc w:val="both"/>
        <w:sectPr w:rsidR="00A71EEF">
          <w:footerReference w:type="default" r:id="rId438"/>
          <w:pgSz w:w="11910" w:h="16850"/>
          <w:pgMar w:top="1220" w:right="0" w:bottom="1420" w:left="1260" w:header="0" w:footer="1239" w:gutter="0"/>
          <w:pgNumType w:start="1450"/>
          <w:cols w:space="720"/>
        </w:sectPr>
      </w:pPr>
    </w:p>
    <w:p w14:paraId="12576E7C" w14:textId="77777777" w:rsidR="00A71EEF" w:rsidRDefault="0081115D">
      <w:pPr>
        <w:pStyle w:val="a3"/>
        <w:spacing w:before="47"/>
        <w:ind w:left="838"/>
      </w:pPr>
      <w:r>
        <w:t>吊顶及吊挂件应采取固定措施，吊顶上不应开设人孔；</w:t>
      </w:r>
      <w:r>
        <w:t xml:space="preserve">  </w:t>
      </w:r>
      <w:r>
        <w:t xml:space="preserve"> </w:t>
      </w:r>
    </w:p>
    <w:p w14:paraId="3F364651" w14:textId="77777777" w:rsidR="00A71EEF" w:rsidRDefault="00A71EEF">
      <w:pPr>
        <w:pStyle w:val="a3"/>
        <w:rPr>
          <w:sz w:val="18"/>
        </w:rPr>
      </w:pPr>
    </w:p>
    <w:p w14:paraId="20345EE7" w14:textId="77777777" w:rsidR="00A71EEF" w:rsidRDefault="0081115D">
      <w:pPr>
        <w:spacing w:line="446" w:lineRule="auto"/>
        <w:ind w:left="840" w:right="7600" w:hanging="3"/>
        <w:rPr>
          <w:b/>
          <w:sz w:val="21"/>
        </w:rPr>
      </w:pPr>
      <w:r>
        <w:rPr>
          <w:sz w:val="21"/>
        </w:rPr>
        <w:t>手术室内不应设地漏。</w:t>
      </w:r>
      <w:r>
        <w:rPr>
          <w:b/>
          <w:sz w:val="21"/>
        </w:rPr>
        <w:t xml:space="preserve">5.8 </w:t>
      </w:r>
      <w:r>
        <w:rPr>
          <w:sz w:val="21"/>
        </w:rPr>
        <w:t>放射科用房</w:t>
      </w:r>
      <w:r>
        <w:rPr>
          <w:b/>
          <w:w w:val="99"/>
          <w:sz w:val="21"/>
        </w:rPr>
        <w:t xml:space="preserve"> </w:t>
      </w:r>
    </w:p>
    <w:p w14:paraId="142996B7" w14:textId="77777777" w:rsidR="00A71EEF" w:rsidRDefault="0081115D">
      <w:pPr>
        <w:pStyle w:val="a4"/>
        <w:numPr>
          <w:ilvl w:val="2"/>
          <w:numId w:val="177"/>
        </w:numPr>
        <w:tabs>
          <w:tab w:val="left" w:pos="1371"/>
        </w:tabs>
        <w:rPr>
          <w:sz w:val="21"/>
        </w:rPr>
      </w:pPr>
      <w:r>
        <w:rPr>
          <w:spacing w:val="-3"/>
          <w:sz w:val="21"/>
        </w:rPr>
        <w:t>放射科位置与平面布置应符合下列要求：</w:t>
      </w:r>
      <w:r>
        <w:rPr>
          <w:sz w:val="21"/>
        </w:rPr>
        <w:t xml:space="preserve"> </w:t>
      </w:r>
    </w:p>
    <w:p w14:paraId="1A87B94F" w14:textId="77777777" w:rsidR="00A71EEF" w:rsidRDefault="00A71EEF">
      <w:pPr>
        <w:pStyle w:val="a3"/>
        <w:spacing w:before="12"/>
        <w:rPr>
          <w:sz w:val="17"/>
        </w:rPr>
      </w:pPr>
    </w:p>
    <w:p w14:paraId="63DCC278" w14:textId="77777777" w:rsidR="00A71EEF" w:rsidRDefault="0081115D">
      <w:pPr>
        <w:pStyle w:val="a3"/>
        <w:spacing w:line="446" w:lineRule="auto"/>
        <w:ind w:left="838" w:right="1714"/>
        <w:rPr>
          <w:b/>
        </w:rPr>
      </w:pPr>
      <w:r>
        <w:rPr>
          <w:spacing w:val="-3"/>
        </w:rPr>
        <w:t>宜在底层设置，并应自成一区，且应与门、急诊部和住院部邻近布置，并有便捷联系；</w:t>
      </w:r>
      <w:r>
        <w:rPr>
          <w:spacing w:val="-3"/>
        </w:rPr>
        <w:t xml:space="preserve"> </w:t>
      </w:r>
      <w:r>
        <w:rPr>
          <w:spacing w:val="-3"/>
        </w:rPr>
        <w:t>有条件时，患者通道与医护工作人员通道应分开设置。</w:t>
      </w:r>
      <w:r>
        <w:rPr>
          <w:b/>
          <w:w w:val="99"/>
        </w:rPr>
        <w:t xml:space="preserve"> </w:t>
      </w:r>
    </w:p>
    <w:p w14:paraId="271D6D55" w14:textId="77777777" w:rsidR="00A71EEF" w:rsidRDefault="0081115D">
      <w:pPr>
        <w:pStyle w:val="a4"/>
        <w:numPr>
          <w:ilvl w:val="2"/>
          <w:numId w:val="177"/>
        </w:numPr>
        <w:tabs>
          <w:tab w:val="left" w:pos="1371"/>
        </w:tabs>
        <w:rPr>
          <w:b/>
          <w:sz w:val="21"/>
        </w:rPr>
      </w:pPr>
      <w:r>
        <w:rPr>
          <w:spacing w:val="-3"/>
          <w:sz w:val="21"/>
        </w:rPr>
        <w:t>用房设置应符合下列要求：</w:t>
      </w:r>
      <w:r>
        <w:rPr>
          <w:b/>
          <w:w w:val="99"/>
          <w:sz w:val="21"/>
        </w:rPr>
        <w:t xml:space="preserve"> </w:t>
      </w:r>
    </w:p>
    <w:p w14:paraId="2EF81365" w14:textId="77777777" w:rsidR="00A71EEF" w:rsidRDefault="00A71EEF">
      <w:pPr>
        <w:pStyle w:val="a3"/>
        <w:rPr>
          <w:b/>
          <w:sz w:val="18"/>
        </w:rPr>
      </w:pPr>
    </w:p>
    <w:p w14:paraId="7E0CE866" w14:textId="77777777" w:rsidR="00A71EEF" w:rsidRDefault="0081115D">
      <w:pPr>
        <w:pStyle w:val="a3"/>
        <w:spacing w:line="446" w:lineRule="auto"/>
        <w:ind w:left="418" w:right="1558" w:firstLine="419"/>
        <w:rPr>
          <w:b/>
        </w:rPr>
      </w:pPr>
      <w:r>
        <w:rPr>
          <w:spacing w:val="-3"/>
        </w:rPr>
        <w:t>应设放射设备机房</w:t>
      </w:r>
      <w:r>
        <w:rPr>
          <w:spacing w:val="-3"/>
        </w:rPr>
        <w:t>(</w:t>
      </w:r>
      <w:r>
        <w:t>CT</w:t>
      </w:r>
      <w:r>
        <w:rPr>
          <w:spacing w:val="-6"/>
        </w:rPr>
        <w:t xml:space="preserve"> </w:t>
      </w:r>
      <w:r>
        <w:rPr>
          <w:spacing w:val="-6"/>
        </w:rPr>
        <w:t>扫描室、透视室、摄片室</w:t>
      </w:r>
      <w:r>
        <w:rPr>
          <w:spacing w:val="-6"/>
        </w:rPr>
        <w:t>)</w:t>
      </w:r>
      <w:r>
        <w:rPr>
          <w:spacing w:val="-6"/>
        </w:rPr>
        <w:t>、控制、暗室、观片、登记存片和候诊等</w:t>
      </w:r>
      <w:r>
        <w:rPr>
          <w:spacing w:val="-5"/>
        </w:rPr>
        <w:t>用房；</w:t>
      </w:r>
      <w:r>
        <w:rPr>
          <w:b/>
          <w:w w:val="99"/>
        </w:rPr>
        <w:t xml:space="preserve"> </w:t>
      </w:r>
    </w:p>
    <w:p w14:paraId="503C81AC" w14:textId="77777777" w:rsidR="00A71EEF" w:rsidRDefault="0081115D">
      <w:pPr>
        <w:pStyle w:val="a3"/>
        <w:spacing w:line="446" w:lineRule="auto"/>
        <w:ind w:left="838" w:right="6129"/>
      </w:pPr>
      <w:r>
        <w:rPr>
          <w:spacing w:val="-3"/>
        </w:rPr>
        <w:t>可设诊室、办公、患者更衣等用房；</w:t>
      </w:r>
      <w:r>
        <w:rPr>
          <w:spacing w:val="-3"/>
        </w:rPr>
        <w:t xml:space="preserve">  </w:t>
      </w:r>
      <w:r>
        <w:rPr>
          <w:spacing w:val="-3"/>
        </w:rPr>
        <w:t>胃肠透视室应设调钡处和专用卫生间。</w:t>
      </w:r>
      <w:r>
        <w:t xml:space="preserve"> </w:t>
      </w:r>
    </w:p>
    <w:p w14:paraId="3C477DA0" w14:textId="77777777" w:rsidR="00A71EEF" w:rsidRDefault="0081115D">
      <w:pPr>
        <w:pStyle w:val="a4"/>
        <w:numPr>
          <w:ilvl w:val="2"/>
          <w:numId w:val="177"/>
        </w:numPr>
        <w:tabs>
          <w:tab w:val="left" w:pos="1371"/>
        </w:tabs>
        <w:spacing w:line="446" w:lineRule="auto"/>
        <w:ind w:left="418" w:right="1498" w:firstLine="422"/>
        <w:rPr>
          <w:sz w:val="21"/>
        </w:rPr>
      </w:pPr>
      <w:r>
        <w:rPr>
          <w:spacing w:val="-3"/>
          <w:sz w:val="21"/>
        </w:rPr>
        <w:t>机房内地沟深度、地面标高、层高、出入口、室内环境、机电设施等，应根据医疗设备的安装使用要求确定。</w:t>
      </w:r>
      <w:r>
        <w:rPr>
          <w:spacing w:val="-3"/>
          <w:sz w:val="21"/>
        </w:rPr>
        <w:t xml:space="preserve"> </w:t>
      </w:r>
    </w:p>
    <w:p w14:paraId="1DAB2A4F" w14:textId="77777777" w:rsidR="00A71EEF" w:rsidRDefault="0081115D">
      <w:pPr>
        <w:pStyle w:val="a4"/>
        <w:numPr>
          <w:ilvl w:val="2"/>
          <w:numId w:val="177"/>
        </w:numPr>
        <w:tabs>
          <w:tab w:val="left" w:pos="1370"/>
        </w:tabs>
        <w:ind w:left="1369" w:hanging="530"/>
        <w:rPr>
          <w:sz w:val="21"/>
        </w:rPr>
      </w:pPr>
      <w:r>
        <w:rPr>
          <w:spacing w:val="-8"/>
          <w:sz w:val="21"/>
        </w:rPr>
        <w:t>照相室最小净尺寸宜为</w:t>
      </w:r>
      <w:r>
        <w:rPr>
          <w:spacing w:val="-8"/>
          <w:sz w:val="21"/>
        </w:rPr>
        <w:t xml:space="preserve"> </w:t>
      </w:r>
      <w:r>
        <w:rPr>
          <w:sz w:val="21"/>
        </w:rPr>
        <w:t>4.50m×5.40</w:t>
      </w:r>
      <w:r>
        <w:rPr>
          <w:sz w:val="21"/>
        </w:rPr>
        <w:t>m</w:t>
      </w:r>
      <w:r>
        <w:rPr>
          <w:spacing w:val="-8"/>
          <w:sz w:val="21"/>
        </w:rPr>
        <w:t>，透视室最小净尺寸宜为</w:t>
      </w:r>
      <w:r>
        <w:rPr>
          <w:spacing w:val="-8"/>
          <w:sz w:val="21"/>
        </w:rPr>
        <w:t xml:space="preserve"> </w:t>
      </w:r>
      <w:r>
        <w:rPr>
          <w:sz w:val="21"/>
        </w:rPr>
        <w:t>6.00m×6.00m</w:t>
      </w:r>
      <w:r>
        <w:rPr>
          <w:spacing w:val="-3"/>
          <w:sz w:val="21"/>
        </w:rPr>
        <w:t>。</w:t>
      </w:r>
      <w:r>
        <w:rPr>
          <w:sz w:val="21"/>
        </w:rPr>
        <w:t xml:space="preserve"> </w:t>
      </w:r>
    </w:p>
    <w:p w14:paraId="4A82E19B" w14:textId="77777777" w:rsidR="00A71EEF" w:rsidRDefault="00A71EEF">
      <w:pPr>
        <w:pStyle w:val="a3"/>
        <w:spacing w:before="10"/>
        <w:rPr>
          <w:sz w:val="17"/>
        </w:rPr>
      </w:pPr>
    </w:p>
    <w:p w14:paraId="1A15C709" w14:textId="77777777" w:rsidR="00A71EEF" w:rsidRDefault="0081115D">
      <w:pPr>
        <w:pStyle w:val="a4"/>
        <w:numPr>
          <w:ilvl w:val="2"/>
          <w:numId w:val="177"/>
        </w:numPr>
        <w:tabs>
          <w:tab w:val="left" w:pos="1371"/>
        </w:tabs>
        <w:spacing w:line="446" w:lineRule="auto"/>
        <w:ind w:left="418" w:right="1813" w:firstLine="422"/>
        <w:rPr>
          <w:sz w:val="21"/>
        </w:rPr>
      </w:pPr>
      <w:r>
        <w:rPr>
          <w:spacing w:val="-7"/>
          <w:sz w:val="21"/>
        </w:rPr>
        <w:t>放射设备机房门的净宽不应小于</w:t>
      </w:r>
      <w:r>
        <w:rPr>
          <w:spacing w:val="-7"/>
          <w:sz w:val="21"/>
        </w:rPr>
        <w:t xml:space="preserve"> </w:t>
      </w:r>
      <w:r>
        <w:rPr>
          <w:sz w:val="21"/>
        </w:rPr>
        <w:t>1.20m</w:t>
      </w:r>
      <w:r>
        <w:rPr>
          <w:spacing w:val="-9"/>
          <w:sz w:val="21"/>
        </w:rPr>
        <w:t>，净高不应小于</w:t>
      </w:r>
      <w:r>
        <w:rPr>
          <w:spacing w:val="-9"/>
          <w:sz w:val="21"/>
        </w:rPr>
        <w:t xml:space="preserve"> </w:t>
      </w:r>
      <w:r>
        <w:rPr>
          <w:sz w:val="21"/>
        </w:rPr>
        <w:t>2.80m</w:t>
      </w:r>
      <w:r>
        <w:rPr>
          <w:spacing w:val="-2"/>
          <w:sz w:val="21"/>
        </w:rPr>
        <w:t>，计算机断层扫描</w:t>
      </w:r>
      <w:r>
        <w:rPr>
          <w:spacing w:val="-2"/>
          <w:sz w:val="21"/>
        </w:rPr>
        <w:t>(CT</w:t>
      </w:r>
      <w:r>
        <w:rPr>
          <w:spacing w:val="-8"/>
          <w:sz w:val="21"/>
        </w:rPr>
        <w:t>)</w:t>
      </w:r>
      <w:r>
        <w:rPr>
          <w:spacing w:val="-8"/>
          <w:sz w:val="21"/>
        </w:rPr>
        <w:t>室的门净宽不应小于</w:t>
      </w:r>
      <w:r>
        <w:rPr>
          <w:spacing w:val="-8"/>
          <w:sz w:val="21"/>
        </w:rPr>
        <w:t xml:space="preserve"> </w:t>
      </w:r>
      <w:r>
        <w:rPr>
          <w:sz w:val="21"/>
        </w:rPr>
        <w:t>1.20m</w:t>
      </w:r>
      <w:r>
        <w:rPr>
          <w:spacing w:val="-8"/>
          <w:sz w:val="21"/>
        </w:rPr>
        <w:t>，控制室门净宽宜为</w:t>
      </w:r>
      <w:r>
        <w:rPr>
          <w:spacing w:val="-8"/>
          <w:sz w:val="21"/>
        </w:rPr>
        <w:t xml:space="preserve"> </w:t>
      </w:r>
      <w:r>
        <w:rPr>
          <w:sz w:val="21"/>
        </w:rPr>
        <w:t>0.90m</w:t>
      </w:r>
      <w:r>
        <w:rPr>
          <w:spacing w:val="-3"/>
          <w:sz w:val="21"/>
        </w:rPr>
        <w:t>。</w:t>
      </w:r>
      <w:r>
        <w:rPr>
          <w:sz w:val="21"/>
        </w:rPr>
        <w:t xml:space="preserve"> </w:t>
      </w:r>
    </w:p>
    <w:p w14:paraId="508161EF" w14:textId="77777777" w:rsidR="00A71EEF" w:rsidRDefault="0081115D">
      <w:pPr>
        <w:pStyle w:val="a4"/>
        <w:numPr>
          <w:ilvl w:val="2"/>
          <w:numId w:val="177"/>
        </w:numPr>
        <w:tabs>
          <w:tab w:val="left" w:pos="1370"/>
        </w:tabs>
        <w:spacing w:line="446" w:lineRule="auto"/>
        <w:ind w:left="418" w:right="1500" w:firstLine="422"/>
        <w:rPr>
          <w:sz w:val="21"/>
        </w:rPr>
      </w:pPr>
      <w:r>
        <w:rPr>
          <w:spacing w:val="-12"/>
          <w:sz w:val="21"/>
        </w:rPr>
        <w:t>透视室与</w:t>
      </w:r>
      <w:r>
        <w:rPr>
          <w:spacing w:val="-12"/>
          <w:sz w:val="21"/>
        </w:rPr>
        <w:t xml:space="preserve"> </w:t>
      </w:r>
      <w:r>
        <w:rPr>
          <w:sz w:val="21"/>
        </w:rPr>
        <w:t>CT</w:t>
      </w:r>
      <w:r>
        <w:rPr>
          <w:spacing w:val="-11"/>
          <w:sz w:val="21"/>
        </w:rPr>
        <w:t xml:space="preserve"> </w:t>
      </w:r>
      <w:r>
        <w:rPr>
          <w:spacing w:val="-11"/>
          <w:sz w:val="21"/>
        </w:rPr>
        <w:t>室的观察窗净宽不应小于</w:t>
      </w:r>
      <w:r>
        <w:rPr>
          <w:spacing w:val="-11"/>
          <w:sz w:val="21"/>
        </w:rPr>
        <w:t xml:space="preserve"> </w:t>
      </w:r>
      <w:r>
        <w:rPr>
          <w:sz w:val="21"/>
        </w:rPr>
        <w:t>0.80m</w:t>
      </w:r>
      <w:r>
        <w:rPr>
          <w:spacing w:val="-9"/>
          <w:sz w:val="21"/>
        </w:rPr>
        <w:t>，净高不应小于</w:t>
      </w:r>
      <w:r>
        <w:rPr>
          <w:spacing w:val="-9"/>
          <w:sz w:val="21"/>
        </w:rPr>
        <w:t xml:space="preserve"> </w:t>
      </w:r>
      <w:r>
        <w:rPr>
          <w:sz w:val="21"/>
        </w:rPr>
        <w:t>0.60m</w:t>
      </w:r>
      <w:r>
        <w:rPr>
          <w:spacing w:val="-3"/>
          <w:sz w:val="21"/>
        </w:rPr>
        <w:t>。照相室观察窗的</w:t>
      </w:r>
      <w:r>
        <w:rPr>
          <w:spacing w:val="-11"/>
          <w:sz w:val="21"/>
        </w:rPr>
        <w:t>净宽不应小于</w:t>
      </w:r>
      <w:r>
        <w:rPr>
          <w:spacing w:val="-11"/>
          <w:sz w:val="21"/>
        </w:rPr>
        <w:t xml:space="preserve"> </w:t>
      </w:r>
      <w:r>
        <w:rPr>
          <w:sz w:val="21"/>
        </w:rPr>
        <w:t>0.60m</w:t>
      </w:r>
      <w:r>
        <w:rPr>
          <w:spacing w:val="-9"/>
          <w:sz w:val="21"/>
        </w:rPr>
        <w:t>，净高不应小于</w:t>
      </w:r>
      <w:r>
        <w:rPr>
          <w:spacing w:val="-9"/>
          <w:sz w:val="21"/>
        </w:rPr>
        <w:t xml:space="preserve"> </w:t>
      </w:r>
      <w:r>
        <w:rPr>
          <w:sz w:val="21"/>
        </w:rPr>
        <w:t>0.40m</w:t>
      </w:r>
      <w:r>
        <w:rPr>
          <w:spacing w:val="-3"/>
          <w:sz w:val="21"/>
        </w:rPr>
        <w:t>。</w:t>
      </w:r>
      <w:r>
        <w:rPr>
          <w:sz w:val="21"/>
        </w:rPr>
        <w:t xml:space="preserve"> </w:t>
      </w:r>
    </w:p>
    <w:p w14:paraId="0E96FA79" w14:textId="77777777" w:rsidR="00A71EEF" w:rsidRDefault="0081115D">
      <w:pPr>
        <w:pStyle w:val="a4"/>
        <w:numPr>
          <w:ilvl w:val="2"/>
          <w:numId w:val="177"/>
        </w:numPr>
        <w:tabs>
          <w:tab w:val="left" w:pos="1370"/>
        </w:tabs>
        <w:ind w:left="1369" w:hanging="530"/>
        <w:rPr>
          <w:sz w:val="21"/>
        </w:rPr>
      </w:pPr>
      <w:r>
        <w:rPr>
          <w:spacing w:val="-7"/>
          <w:sz w:val="21"/>
        </w:rPr>
        <w:t>防护设计应符合国家现行有关医用</w:t>
      </w:r>
      <w:r>
        <w:rPr>
          <w:spacing w:val="-7"/>
          <w:sz w:val="21"/>
        </w:rPr>
        <w:t xml:space="preserve"> </w:t>
      </w:r>
      <w:r>
        <w:rPr>
          <w:sz w:val="21"/>
        </w:rPr>
        <w:t>X</w:t>
      </w:r>
      <w:r>
        <w:rPr>
          <w:spacing w:val="-8"/>
          <w:sz w:val="21"/>
        </w:rPr>
        <w:t xml:space="preserve"> </w:t>
      </w:r>
      <w:r>
        <w:rPr>
          <w:spacing w:val="-8"/>
          <w:sz w:val="21"/>
        </w:rPr>
        <w:t>射线诊断卫生防护标准的规定。</w:t>
      </w:r>
      <w:r>
        <w:rPr>
          <w:spacing w:val="-8"/>
          <w:sz w:val="21"/>
        </w:rPr>
        <w:t xml:space="preserve"> </w:t>
      </w:r>
    </w:p>
    <w:p w14:paraId="5113B5F8" w14:textId="77777777" w:rsidR="00A71EEF" w:rsidRDefault="00A71EEF">
      <w:pPr>
        <w:pStyle w:val="a3"/>
        <w:rPr>
          <w:sz w:val="18"/>
        </w:rPr>
      </w:pPr>
    </w:p>
    <w:p w14:paraId="7C38C5E7" w14:textId="77777777" w:rsidR="00A71EEF" w:rsidRDefault="0081115D">
      <w:pPr>
        <w:pStyle w:val="a4"/>
        <w:numPr>
          <w:ilvl w:val="1"/>
          <w:numId w:val="176"/>
        </w:numPr>
        <w:tabs>
          <w:tab w:val="left" w:pos="1159"/>
        </w:tabs>
        <w:ind w:hanging="319"/>
        <w:rPr>
          <w:b/>
          <w:sz w:val="21"/>
        </w:rPr>
      </w:pPr>
      <w:r>
        <w:rPr>
          <w:spacing w:val="-3"/>
          <w:sz w:val="21"/>
        </w:rPr>
        <w:t>磁共振检查室用房</w:t>
      </w:r>
      <w:r>
        <w:rPr>
          <w:b/>
          <w:w w:val="99"/>
          <w:sz w:val="21"/>
        </w:rPr>
        <w:t xml:space="preserve"> </w:t>
      </w:r>
    </w:p>
    <w:p w14:paraId="290D34D1" w14:textId="77777777" w:rsidR="00A71EEF" w:rsidRDefault="00A71EEF">
      <w:pPr>
        <w:pStyle w:val="a3"/>
        <w:rPr>
          <w:b/>
          <w:sz w:val="18"/>
        </w:rPr>
      </w:pPr>
    </w:p>
    <w:p w14:paraId="7AB0002D" w14:textId="77777777" w:rsidR="00A71EEF" w:rsidRDefault="0081115D">
      <w:pPr>
        <w:pStyle w:val="a4"/>
        <w:numPr>
          <w:ilvl w:val="2"/>
          <w:numId w:val="176"/>
        </w:numPr>
        <w:tabs>
          <w:tab w:val="left" w:pos="1371"/>
        </w:tabs>
        <w:rPr>
          <w:sz w:val="21"/>
        </w:rPr>
      </w:pPr>
      <w:r>
        <w:rPr>
          <w:spacing w:val="-3"/>
          <w:sz w:val="21"/>
        </w:rPr>
        <w:t>磁共振检查室位置设置应符合下列要求：</w:t>
      </w:r>
      <w:r>
        <w:rPr>
          <w:spacing w:val="-3"/>
          <w:sz w:val="21"/>
        </w:rPr>
        <w:t xml:space="preserve"> </w:t>
      </w:r>
      <w:r>
        <w:rPr>
          <w:spacing w:val="-2"/>
          <w:sz w:val="21"/>
        </w:rPr>
        <w:t xml:space="preserve"> </w:t>
      </w:r>
      <w:r>
        <w:rPr>
          <w:sz w:val="21"/>
        </w:rPr>
        <w:t xml:space="preserve"> </w:t>
      </w:r>
    </w:p>
    <w:p w14:paraId="4D03BEC6" w14:textId="77777777" w:rsidR="00A71EEF" w:rsidRDefault="00A71EEF">
      <w:pPr>
        <w:pStyle w:val="a3"/>
        <w:spacing w:before="2"/>
        <w:rPr>
          <w:sz w:val="18"/>
        </w:rPr>
      </w:pPr>
    </w:p>
    <w:p w14:paraId="23BA98A9" w14:textId="77777777" w:rsidR="00A71EEF" w:rsidRDefault="0081115D">
      <w:pPr>
        <w:pStyle w:val="a3"/>
        <w:spacing w:line="446" w:lineRule="auto"/>
        <w:ind w:left="418" w:right="2029" w:firstLine="419"/>
        <w:rPr>
          <w:b/>
        </w:rPr>
      </w:pPr>
      <w:r>
        <w:t>宜自成一区或与放射科组成一区，宜与门诊部、急诊部、住院部邻近，并应设置在底层；</w:t>
      </w:r>
      <w:r>
        <w:t xml:space="preserve">  </w:t>
      </w:r>
      <w:r>
        <w:rPr>
          <w:b/>
          <w:w w:val="99"/>
        </w:rPr>
        <w:t xml:space="preserve"> </w:t>
      </w:r>
    </w:p>
    <w:p w14:paraId="487F3FFE" w14:textId="77777777" w:rsidR="00A71EEF" w:rsidRDefault="0081115D">
      <w:pPr>
        <w:pStyle w:val="a3"/>
        <w:spacing w:line="446" w:lineRule="auto"/>
        <w:ind w:left="840" w:right="6227" w:hanging="3"/>
      </w:pPr>
      <w:r>
        <w:t>应避开电磁波和移动磁场的干扰。</w:t>
      </w:r>
      <w:r>
        <w:rPr>
          <w:b/>
        </w:rPr>
        <w:t xml:space="preserve">5.9.2 </w:t>
      </w:r>
      <w:r>
        <w:t>用房设置应符合下列要求：</w:t>
      </w:r>
      <w:r>
        <w:t xml:space="preserve">  </w:t>
      </w:r>
      <w:r>
        <w:t xml:space="preserve"> </w:t>
      </w:r>
    </w:p>
    <w:p w14:paraId="54C6E0BE" w14:textId="77777777" w:rsidR="00A71EEF" w:rsidRDefault="0081115D">
      <w:pPr>
        <w:pStyle w:val="a3"/>
        <w:ind w:left="838"/>
        <w:rPr>
          <w:b/>
        </w:rPr>
      </w:pPr>
      <w:r>
        <w:t>应设扫描、控制、附属机房</w:t>
      </w:r>
      <w:r>
        <w:t>(</w:t>
      </w:r>
      <w:r>
        <w:t>计算机、配电、空调机</w:t>
      </w:r>
      <w:r>
        <w:t>)</w:t>
      </w:r>
      <w:r>
        <w:t>等用房；</w:t>
      </w:r>
      <w:r>
        <w:t xml:space="preserve">  </w:t>
      </w:r>
      <w:r>
        <w:rPr>
          <w:b/>
          <w:w w:val="99"/>
        </w:rPr>
        <w:t xml:space="preserve"> </w:t>
      </w:r>
    </w:p>
    <w:p w14:paraId="6CA8C152" w14:textId="77777777" w:rsidR="00A71EEF" w:rsidRDefault="00A71EEF">
      <w:pPr>
        <w:pStyle w:val="a3"/>
        <w:spacing w:before="10"/>
        <w:rPr>
          <w:b/>
          <w:sz w:val="17"/>
        </w:rPr>
      </w:pPr>
    </w:p>
    <w:p w14:paraId="210D6100" w14:textId="77777777" w:rsidR="00A71EEF" w:rsidRDefault="0081115D">
      <w:pPr>
        <w:pStyle w:val="a3"/>
        <w:ind w:left="838"/>
        <w:rPr>
          <w:b/>
        </w:rPr>
      </w:pPr>
      <w:r>
        <w:t>可设诊室、办公和患者更衣等用房。</w:t>
      </w:r>
      <w:r>
        <w:t xml:space="preserve">  </w:t>
      </w:r>
      <w:r>
        <w:rPr>
          <w:b/>
          <w:w w:val="99"/>
        </w:rPr>
        <w:t xml:space="preserve"> </w:t>
      </w:r>
    </w:p>
    <w:p w14:paraId="194EFA5E" w14:textId="77777777" w:rsidR="00A71EEF" w:rsidRDefault="00A71EEF">
      <w:pPr>
        <w:pStyle w:val="a3"/>
        <w:spacing w:before="2"/>
        <w:rPr>
          <w:b/>
          <w:sz w:val="18"/>
        </w:rPr>
      </w:pPr>
    </w:p>
    <w:p w14:paraId="05E7B8ED" w14:textId="77777777" w:rsidR="00A71EEF" w:rsidRDefault="0081115D">
      <w:pPr>
        <w:pStyle w:val="a4"/>
        <w:numPr>
          <w:ilvl w:val="2"/>
          <w:numId w:val="175"/>
        </w:numPr>
        <w:tabs>
          <w:tab w:val="left" w:pos="1371"/>
        </w:tabs>
        <w:rPr>
          <w:sz w:val="21"/>
        </w:rPr>
      </w:pPr>
      <w:r>
        <w:rPr>
          <w:spacing w:val="-3"/>
          <w:sz w:val="21"/>
        </w:rPr>
        <w:t>扫描室应设电磁屏蔽、氦气排放和冷却水供应设施。机电管道不应穿越扫描室。</w:t>
      </w:r>
      <w:r>
        <w:rPr>
          <w:spacing w:val="-3"/>
          <w:sz w:val="21"/>
        </w:rPr>
        <w:t xml:space="preserve"> </w:t>
      </w:r>
      <w:r>
        <w:rPr>
          <w:spacing w:val="-2"/>
          <w:sz w:val="21"/>
        </w:rPr>
        <w:t xml:space="preserve"> </w:t>
      </w:r>
      <w:r>
        <w:rPr>
          <w:sz w:val="21"/>
        </w:rPr>
        <w:t xml:space="preserve"> </w:t>
      </w:r>
    </w:p>
    <w:p w14:paraId="25AE083B" w14:textId="77777777" w:rsidR="00A71EEF" w:rsidRDefault="00A71EEF">
      <w:pPr>
        <w:rPr>
          <w:sz w:val="21"/>
        </w:rPr>
        <w:sectPr w:rsidR="00A71EEF">
          <w:pgSz w:w="11910" w:h="16850"/>
          <w:pgMar w:top="1220" w:right="0" w:bottom="1420" w:left="1260" w:header="0" w:footer="1239" w:gutter="0"/>
          <w:cols w:space="720"/>
        </w:sectPr>
      </w:pPr>
    </w:p>
    <w:p w14:paraId="207E98C0" w14:textId="77777777" w:rsidR="00A71EEF" w:rsidRDefault="0081115D">
      <w:pPr>
        <w:pStyle w:val="a4"/>
        <w:numPr>
          <w:ilvl w:val="2"/>
          <w:numId w:val="175"/>
        </w:numPr>
        <w:tabs>
          <w:tab w:val="left" w:pos="1370"/>
        </w:tabs>
        <w:spacing w:before="47" w:line="446" w:lineRule="auto"/>
        <w:ind w:left="418" w:right="1813" w:firstLine="422"/>
        <w:rPr>
          <w:sz w:val="21"/>
        </w:rPr>
      </w:pPr>
      <w:r>
        <w:rPr>
          <w:spacing w:val="-7"/>
          <w:sz w:val="21"/>
        </w:rPr>
        <w:t>扫描室门的净宽不应小于</w:t>
      </w:r>
      <w:r>
        <w:rPr>
          <w:spacing w:val="-7"/>
          <w:sz w:val="21"/>
        </w:rPr>
        <w:t xml:space="preserve"> </w:t>
      </w:r>
      <w:r>
        <w:rPr>
          <w:sz w:val="21"/>
        </w:rPr>
        <w:t>1.20m</w:t>
      </w:r>
      <w:r>
        <w:rPr>
          <w:spacing w:val="-7"/>
          <w:sz w:val="21"/>
        </w:rPr>
        <w:t>，控制室门的净宽宜为</w:t>
      </w:r>
      <w:r>
        <w:rPr>
          <w:spacing w:val="-7"/>
          <w:sz w:val="21"/>
        </w:rPr>
        <w:t xml:space="preserve"> </w:t>
      </w:r>
      <w:r>
        <w:rPr>
          <w:sz w:val="21"/>
        </w:rPr>
        <w:t>0.90m</w:t>
      </w:r>
      <w:r>
        <w:rPr>
          <w:spacing w:val="-2"/>
          <w:sz w:val="21"/>
        </w:rPr>
        <w:t>，并应满足设备通过</w:t>
      </w:r>
      <w:r>
        <w:rPr>
          <w:spacing w:val="-6"/>
          <w:sz w:val="21"/>
        </w:rPr>
        <w:t>。磁共振扫描室的观察窗净宽不应小于</w:t>
      </w:r>
      <w:r>
        <w:rPr>
          <w:spacing w:val="-6"/>
          <w:sz w:val="21"/>
        </w:rPr>
        <w:t xml:space="preserve"> </w:t>
      </w:r>
      <w:r>
        <w:rPr>
          <w:sz w:val="21"/>
        </w:rPr>
        <w:t>1.20m</w:t>
      </w:r>
      <w:r>
        <w:rPr>
          <w:spacing w:val="-9"/>
          <w:sz w:val="21"/>
        </w:rPr>
        <w:t>，净高不应小于</w:t>
      </w:r>
      <w:r>
        <w:rPr>
          <w:spacing w:val="-9"/>
          <w:sz w:val="21"/>
        </w:rPr>
        <w:t xml:space="preserve"> </w:t>
      </w:r>
      <w:r>
        <w:rPr>
          <w:sz w:val="21"/>
        </w:rPr>
        <w:t>0.80m</w:t>
      </w:r>
      <w:r>
        <w:rPr>
          <w:sz w:val="21"/>
        </w:rPr>
        <w:t>。</w:t>
      </w:r>
      <w:r>
        <w:rPr>
          <w:sz w:val="21"/>
        </w:rPr>
        <w:t xml:space="preserve"> </w:t>
      </w:r>
      <w:r>
        <w:rPr>
          <w:spacing w:val="-2"/>
          <w:sz w:val="21"/>
        </w:rPr>
        <w:t xml:space="preserve"> </w:t>
      </w:r>
      <w:r>
        <w:rPr>
          <w:sz w:val="21"/>
        </w:rPr>
        <w:t xml:space="preserve"> </w:t>
      </w:r>
    </w:p>
    <w:p w14:paraId="33B6C502" w14:textId="77777777" w:rsidR="00A71EEF" w:rsidRDefault="0081115D">
      <w:pPr>
        <w:pStyle w:val="a4"/>
        <w:numPr>
          <w:ilvl w:val="2"/>
          <w:numId w:val="175"/>
        </w:numPr>
        <w:tabs>
          <w:tab w:val="left" w:pos="1370"/>
        </w:tabs>
        <w:spacing w:line="446" w:lineRule="auto"/>
        <w:ind w:left="418" w:right="1498" w:firstLine="422"/>
        <w:rPr>
          <w:sz w:val="21"/>
        </w:rPr>
      </w:pPr>
      <w:r>
        <w:rPr>
          <w:spacing w:val="-3"/>
          <w:sz w:val="21"/>
        </w:rPr>
        <w:t>磁共振诊断室的墙身、楼地面、门窗、洞口、嵌入体等所采用的材料、构造均应按设备要求和屏蔽专门规定采取屏蔽措施。机房选址后，确定屏蔽措施前，应测定自然场强。</w:t>
      </w:r>
      <w:r>
        <w:rPr>
          <w:sz w:val="21"/>
        </w:rPr>
        <w:t xml:space="preserve"> </w:t>
      </w:r>
    </w:p>
    <w:p w14:paraId="05B0AD9B" w14:textId="77777777" w:rsidR="00A71EEF" w:rsidRDefault="0081115D">
      <w:pPr>
        <w:pStyle w:val="a4"/>
        <w:numPr>
          <w:ilvl w:val="1"/>
          <w:numId w:val="176"/>
        </w:numPr>
        <w:tabs>
          <w:tab w:val="left" w:pos="1264"/>
        </w:tabs>
        <w:ind w:left="1263" w:hanging="424"/>
        <w:rPr>
          <w:b/>
          <w:sz w:val="21"/>
        </w:rPr>
      </w:pPr>
      <w:r>
        <w:rPr>
          <w:spacing w:val="-3"/>
          <w:sz w:val="21"/>
        </w:rPr>
        <w:t>放射治疗科用房</w:t>
      </w:r>
      <w:r>
        <w:rPr>
          <w:b/>
          <w:w w:val="99"/>
          <w:sz w:val="21"/>
        </w:rPr>
        <w:t xml:space="preserve"> </w:t>
      </w:r>
    </w:p>
    <w:p w14:paraId="6600B88C" w14:textId="77777777" w:rsidR="00A71EEF" w:rsidRDefault="00A71EEF">
      <w:pPr>
        <w:pStyle w:val="a3"/>
        <w:spacing w:before="10"/>
        <w:rPr>
          <w:b/>
          <w:sz w:val="17"/>
        </w:rPr>
      </w:pPr>
    </w:p>
    <w:p w14:paraId="44B4B743" w14:textId="77777777" w:rsidR="00A71EEF" w:rsidRDefault="0081115D">
      <w:pPr>
        <w:pStyle w:val="a4"/>
        <w:numPr>
          <w:ilvl w:val="2"/>
          <w:numId w:val="176"/>
        </w:numPr>
        <w:tabs>
          <w:tab w:val="left" w:pos="1478"/>
        </w:tabs>
        <w:spacing w:line="446" w:lineRule="auto"/>
        <w:ind w:left="418" w:right="1601" w:firstLine="422"/>
        <w:rPr>
          <w:sz w:val="21"/>
        </w:rPr>
      </w:pPr>
      <w:r>
        <w:rPr>
          <w:spacing w:val="-3"/>
          <w:sz w:val="21"/>
        </w:rPr>
        <w:t>放射治疗用房宜设在底层、自成一区，并应符合国家现行有关防护标准的规定，其中治疗机房应集中设置。</w:t>
      </w:r>
      <w:r>
        <w:rPr>
          <w:spacing w:val="-3"/>
          <w:sz w:val="21"/>
        </w:rPr>
        <w:t xml:space="preserve"> </w:t>
      </w:r>
    </w:p>
    <w:p w14:paraId="63E76E76" w14:textId="77777777" w:rsidR="00A71EEF" w:rsidRDefault="0081115D">
      <w:pPr>
        <w:pStyle w:val="a4"/>
        <w:numPr>
          <w:ilvl w:val="2"/>
          <w:numId w:val="176"/>
        </w:numPr>
        <w:tabs>
          <w:tab w:val="left" w:pos="1478"/>
        </w:tabs>
        <w:spacing w:before="1"/>
        <w:ind w:left="1477" w:hanging="638"/>
        <w:rPr>
          <w:sz w:val="21"/>
        </w:rPr>
      </w:pPr>
      <w:r>
        <w:rPr>
          <w:spacing w:val="-3"/>
          <w:sz w:val="21"/>
        </w:rPr>
        <w:t>用房设置应符合下列要求：</w:t>
      </w:r>
      <w:r>
        <w:rPr>
          <w:sz w:val="21"/>
        </w:rPr>
        <w:t xml:space="preserve"> </w:t>
      </w:r>
    </w:p>
    <w:p w14:paraId="40859F00" w14:textId="77777777" w:rsidR="00A71EEF" w:rsidRDefault="00A71EEF">
      <w:pPr>
        <w:pStyle w:val="a3"/>
        <w:spacing w:before="12"/>
        <w:rPr>
          <w:sz w:val="17"/>
        </w:rPr>
      </w:pPr>
    </w:p>
    <w:p w14:paraId="61319FAF" w14:textId="77777777" w:rsidR="00A71EEF" w:rsidRDefault="0081115D">
      <w:pPr>
        <w:pStyle w:val="a3"/>
        <w:spacing w:line="446" w:lineRule="auto"/>
        <w:ind w:left="418" w:right="1561" w:firstLine="419"/>
      </w:pPr>
      <w:r>
        <w:rPr>
          <w:spacing w:val="-6"/>
        </w:rPr>
        <w:t>应设治疗机房</w:t>
      </w:r>
      <w:r>
        <w:rPr>
          <w:spacing w:val="-6"/>
        </w:rPr>
        <w:t>(</w:t>
      </w:r>
      <w:r>
        <w:rPr>
          <w:spacing w:val="-6"/>
        </w:rPr>
        <w:t>后装机、钴</w:t>
      </w:r>
      <w:r>
        <w:rPr>
          <w:spacing w:val="-6"/>
        </w:rPr>
        <w:t xml:space="preserve"> </w:t>
      </w:r>
      <w:r>
        <w:t>60</w:t>
      </w:r>
      <w:r>
        <w:rPr>
          <w:spacing w:val="-3"/>
        </w:rPr>
        <w:t>、直线加速器、</w:t>
      </w:r>
      <w:r>
        <w:rPr>
          <w:spacing w:val="-3"/>
        </w:rPr>
        <w:t>γ</w:t>
      </w:r>
      <w:r>
        <w:rPr>
          <w:spacing w:val="-11"/>
        </w:rPr>
        <w:t>刀、深部</w:t>
      </w:r>
      <w:r>
        <w:rPr>
          <w:spacing w:val="-11"/>
        </w:rPr>
        <w:t xml:space="preserve"> </w:t>
      </w:r>
      <w:r>
        <w:t>X</w:t>
      </w:r>
      <w:r>
        <w:rPr>
          <w:spacing w:val="-9"/>
        </w:rPr>
        <w:t xml:space="preserve"> </w:t>
      </w:r>
      <w:r>
        <w:rPr>
          <w:spacing w:val="-9"/>
        </w:rPr>
        <w:t>线治疗等</w:t>
      </w:r>
      <w:r>
        <w:rPr>
          <w:spacing w:val="-9"/>
        </w:rPr>
        <w:t>)</w:t>
      </w:r>
      <w:r>
        <w:rPr>
          <w:spacing w:val="-9"/>
        </w:rPr>
        <w:t>、控制、治疗计划系</w:t>
      </w:r>
      <w:r>
        <w:rPr>
          <w:spacing w:val="-5"/>
        </w:rPr>
        <w:t>统、模拟定位、物理计划、模具间、候诊、护理、诊室、医生办公、卫生间、更衣</w:t>
      </w:r>
      <w:r>
        <w:rPr>
          <w:spacing w:val="-5"/>
        </w:rPr>
        <w:t>(</w:t>
      </w:r>
      <w:r>
        <w:rPr>
          <w:spacing w:val="-5"/>
        </w:rPr>
        <w:t>医患分开</w:t>
      </w:r>
      <w:r>
        <w:rPr>
          <w:spacing w:val="-5"/>
        </w:rPr>
        <w:t xml:space="preserve"> </w:t>
      </w:r>
      <w:r>
        <w:rPr>
          <w:spacing w:val="-4"/>
        </w:rPr>
        <w:t>设</w:t>
      </w:r>
      <w:r>
        <w:rPr>
          <w:spacing w:val="-4"/>
        </w:rPr>
        <w:t>)</w:t>
      </w:r>
      <w:r>
        <w:rPr>
          <w:spacing w:val="-4"/>
        </w:rPr>
        <w:t>、污洗和固体废弃物存放等用房；</w:t>
      </w:r>
      <w:r>
        <w:t xml:space="preserve"> </w:t>
      </w:r>
    </w:p>
    <w:p w14:paraId="47C7F0DD" w14:textId="77777777" w:rsidR="00A71EEF" w:rsidRDefault="0081115D">
      <w:pPr>
        <w:pStyle w:val="a3"/>
        <w:spacing w:line="268" w:lineRule="exact"/>
        <w:ind w:left="838"/>
      </w:pPr>
      <w:r>
        <w:t>可设会诊和值班等用房。</w:t>
      </w:r>
      <w:r>
        <w:t xml:space="preserve"> </w:t>
      </w:r>
    </w:p>
    <w:p w14:paraId="5C702487" w14:textId="77777777" w:rsidR="00A71EEF" w:rsidRDefault="00A71EEF">
      <w:pPr>
        <w:pStyle w:val="a3"/>
        <w:spacing w:before="2"/>
        <w:rPr>
          <w:sz w:val="18"/>
        </w:rPr>
      </w:pPr>
    </w:p>
    <w:p w14:paraId="55362B81" w14:textId="77777777" w:rsidR="00A71EEF" w:rsidRDefault="0081115D">
      <w:pPr>
        <w:pStyle w:val="a4"/>
        <w:numPr>
          <w:ilvl w:val="2"/>
          <w:numId w:val="176"/>
        </w:numPr>
        <w:tabs>
          <w:tab w:val="left" w:pos="1478"/>
        </w:tabs>
        <w:ind w:left="1477" w:hanging="638"/>
        <w:rPr>
          <w:sz w:val="21"/>
        </w:rPr>
      </w:pPr>
      <w:r>
        <w:rPr>
          <w:spacing w:val="-8"/>
          <w:sz w:val="21"/>
        </w:rPr>
        <w:t>治疗室内噪声不应超过</w:t>
      </w:r>
      <w:r>
        <w:rPr>
          <w:spacing w:val="-8"/>
          <w:sz w:val="21"/>
        </w:rPr>
        <w:t xml:space="preserve"> </w:t>
      </w:r>
      <w:r>
        <w:rPr>
          <w:sz w:val="21"/>
        </w:rPr>
        <w:t>50dB(A</w:t>
      </w:r>
      <w:r>
        <w:rPr>
          <w:spacing w:val="-2"/>
          <w:sz w:val="21"/>
        </w:rPr>
        <w:t>)</w:t>
      </w:r>
      <w:r>
        <w:rPr>
          <w:spacing w:val="-2"/>
          <w:sz w:val="21"/>
        </w:rPr>
        <w:t>。</w:t>
      </w:r>
      <w:r>
        <w:rPr>
          <w:sz w:val="21"/>
        </w:rPr>
        <w:t xml:space="preserve"> </w:t>
      </w:r>
    </w:p>
    <w:p w14:paraId="1A2FD340" w14:textId="77777777" w:rsidR="00A71EEF" w:rsidRDefault="00A71EEF">
      <w:pPr>
        <w:pStyle w:val="a3"/>
        <w:rPr>
          <w:sz w:val="18"/>
        </w:rPr>
      </w:pPr>
    </w:p>
    <w:p w14:paraId="37C7FA7E" w14:textId="77777777" w:rsidR="00A71EEF" w:rsidRDefault="0081115D">
      <w:pPr>
        <w:pStyle w:val="a4"/>
        <w:numPr>
          <w:ilvl w:val="2"/>
          <w:numId w:val="176"/>
        </w:numPr>
        <w:tabs>
          <w:tab w:val="left" w:pos="1478"/>
        </w:tabs>
        <w:spacing w:line="446" w:lineRule="auto"/>
        <w:ind w:left="418" w:right="1498" w:firstLine="422"/>
        <w:rPr>
          <w:sz w:val="21"/>
        </w:rPr>
      </w:pPr>
      <w:r>
        <w:rPr>
          <w:spacing w:val="-17"/>
          <w:sz w:val="21"/>
        </w:rPr>
        <w:t>钴</w:t>
      </w:r>
      <w:r>
        <w:rPr>
          <w:spacing w:val="-17"/>
          <w:sz w:val="21"/>
        </w:rPr>
        <w:t xml:space="preserve"> </w:t>
      </w:r>
      <w:r>
        <w:rPr>
          <w:sz w:val="21"/>
        </w:rPr>
        <w:t>60</w:t>
      </w:r>
      <w:r>
        <w:rPr>
          <w:spacing w:val="-7"/>
          <w:sz w:val="21"/>
        </w:rPr>
        <w:t xml:space="preserve"> </w:t>
      </w:r>
      <w:r>
        <w:rPr>
          <w:spacing w:val="-7"/>
          <w:sz w:val="21"/>
        </w:rPr>
        <w:t>治疗室、加速器治疗室、</w:t>
      </w:r>
      <w:r>
        <w:rPr>
          <w:spacing w:val="-3"/>
          <w:sz w:val="21"/>
        </w:rPr>
        <w:t>γ</w:t>
      </w:r>
      <w:r>
        <w:rPr>
          <w:spacing w:val="-3"/>
          <w:sz w:val="21"/>
        </w:rPr>
        <w:t>刀治疗室及后装机治疗室的出入口应设迷路，且有用线束照射方向应尽可能避免照射在迷路墙上。防护门和迷路的净宽均应满足设备要求。</w:t>
      </w:r>
      <w:r>
        <w:rPr>
          <w:sz w:val="21"/>
        </w:rPr>
        <w:t xml:space="preserve"> </w:t>
      </w:r>
    </w:p>
    <w:p w14:paraId="0DE18F1D" w14:textId="77777777" w:rsidR="00A71EEF" w:rsidRDefault="0081115D">
      <w:pPr>
        <w:pStyle w:val="a4"/>
        <w:numPr>
          <w:ilvl w:val="2"/>
          <w:numId w:val="176"/>
        </w:numPr>
        <w:tabs>
          <w:tab w:val="left" w:pos="1478"/>
        </w:tabs>
        <w:spacing w:line="446" w:lineRule="auto"/>
        <w:ind w:left="418" w:right="1601" w:firstLine="422"/>
        <w:rPr>
          <w:sz w:val="21"/>
        </w:rPr>
      </w:pPr>
      <w:r>
        <w:rPr>
          <w:spacing w:val="-3"/>
          <w:sz w:val="21"/>
        </w:rPr>
        <w:t>防护应按国家现行有关后装</w:t>
      </w:r>
      <w:r>
        <w:rPr>
          <w:sz w:val="21"/>
        </w:rPr>
        <w:t>γ</w:t>
      </w:r>
      <w:r>
        <w:rPr>
          <w:spacing w:val="-3"/>
          <w:sz w:val="21"/>
        </w:rPr>
        <w:t>源近距离卫生防护标准、</w:t>
      </w:r>
      <w:r>
        <w:rPr>
          <w:spacing w:val="-3"/>
          <w:sz w:val="21"/>
        </w:rPr>
        <w:t>γ</w:t>
      </w:r>
      <w:r>
        <w:rPr>
          <w:spacing w:val="-3"/>
          <w:sz w:val="21"/>
        </w:rPr>
        <w:t>远距治疗室设计防护要求</w:t>
      </w:r>
      <w:r>
        <w:rPr>
          <w:spacing w:val="-6"/>
          <w:sz w:val="21"/>
        </w:rPr>
        <w:t>、医用电子加速器卫生防护标准、医用</w:t>
      </w:r>
      <w:r>
        <w:rPr>
          <w:spacing w:val="-6"/>
          <w:sz w:val="21"/>
        </w:rPr>
        <w:t xml:space="preserve"> </w:t>
      </w:r>
      <w:r>
        <w:rPr>
          <w:sz w:val="21"/>
        </w:rPr>
        <w:t>X</w:t>
      </w:r>
      <w:r>
        <w:rPr>
          <w:spacing w:val="-8"/>
          <w:sz w:val="21"/>
        </w:rPr>
        <w:t xml:space="preserve"> </w:t>
      </w:r>
      <w:r>
        <w:rPr>
          <w:spacing w:val="-8"/>
          <w:sz w:val="21"/>
        </w:rPr>
        <w:t>射线治疗卫生防护</w:t>
      </w:r>
      <w:r>
        <w:rPr>
          <w:spacing w:val="-8"/>
          <w:sz w:val="21"/>
        </w:rPr>
        <w:t>标准等的规定设计。</w:t>
      </w:r>
      <w:r>
        <w:rPr>
          <w:spacing w:val="-8"/>
          <w:sz w:val="21"/>
        </w:rPr>
        <w:t xml:space="preserve"> </w:t>
      </w:r>
    </w:p>
    <w:p w14:paraId="213C0F1F" w14:textId="77777777" w:rsidR="00A71EEF" w:rsidRDefault="0081115D">
      <w:pPr>
        <w:pStyle w:val="a4"/>
        <w:numPr>
          <w:ilvl w:val="1"/>
          <w:numId w:val="176"/>
        </w:numPr>
        <w:tabs>
          <w:tab w:val="left" w:pos="1264"/>
        </w:tabs>
        <w:spacing w:line="267" w:lineRule="exact"/>
        <w:ind w:left="1263" w:hanging="424"/>
        <w:rPr>
          <w:sz w:val="21"/>
        </w:rPr>
      </w:pPr>
      <w:r>
        <w:rPr>
          <w:spacing w:val="-3"/>
          <w:sz w:val="21"/>
        </w:rPr>
        <w:t>核医学科用房</w:t>
      </w:r>
      <w:r>
        <w:rPr>
          <w:sz w:val="21"/>
        </w:rPr>
        <w:t xml:space="preserve"> </w:t>
      </w:r>
    </w:p>
    <w:p w14:paraId="181CEBF6" w14:textId="77777777" w:rsidR="00A71EEF" w:rsidRDefault="00A71EEF">
      <w:pPr>
        <w:pStyle w:val="a3"/>
        <w:spacing w:before="2"/>
        <w:rPr>
          <w:sz w:val="18"/>
        </w:rPr>
      </w:pPr>
    </w:p>
    <w:p w14:paraId="2894EBB9" w14:textId="77777777" w:rsidR="00A71EEF" w:rsidRDefault="0081115D">
      <w:pPr>
        <w:pStyle w:val="a4"/>
        <w:numPr>
          <w:ilvl w:val="2"/>
          <w:numId w:val="176"/>
        </w:numPr>
        <w:tabs>
          <w:tab w:val="left" w:pos="1478"/>
        </w:tabs>
        <w:ind w:left="1477" w:hanging="638"/>
        <w:rPr>
          <w:sz w:val="21"/>
        </w:rPr>
      </w:pPr>
      <w:r>
        <w:rPr>
          <w:spacing w:val="-3"/>
          <w:sz w:val="21"/>
        </w:rPr>
        <w:t>核医学科位置与平面布置应符合下列要求：</w:t>
      </w:r>
      <w:r>
        <w:rPr>
          <w:spacing w:val="-3"/>
          <w:sz w:val="21"/>
        </w:rPr>
        <w:t xml:space="preserve"> </w:t>
      </w:r>
      <w:r>
        <w:rPr>
          <w:spacing w:val="-2"/>
          <w:sz w:val="21"/>
        </w:rPr>
        <w:t xml:space="preserve"> </w:t>
      </w:r>
      <w:r>
        <w:rPr>
          <w:sz w:val="21"/>
        </w:rPr>
        <w:t xml:space="preserve"> </w:t>
      </w:r>
    </w:p>
    <w:p w14:paraId="7423EA40" w14:textId="77777777" w:rsidR="00A71EEF" w:rsidRDefault="00A71EEF">
      <w:pPr>
        <w:pStyle w:val="a3"/>
        <w:rPr>
          <w:sz w:val="18"/>
        </w:rPr>
      </w:pPr>
    </w:p>
    <w:p w14:paraId="20DE957C" w14:textId="77777777" w:rsidR="00A71EEF" w:rsidRDefault="0081115D">
      <w:pPr>
        <w:pStyle w:val="a3"/>
        <w:ind w:left="838"/>
      </w:pPr>
      <w:r>
        <w:t>应自成一区，并应符合国家现行有关防护标准的规定。放射源应设单独出入口。</w:t>
      </w:r>
      <w:r>
        <w:t xml:space="preserve">  </w:t>
      </w:r>
      <w:r>
        <w:t xml:space="preserve"> </w:t>
      </w:r>
    </w:p>
    <w:p w14:paraId="16196FD2" w14:textId="77777777" w:rsidR="00A71EEF" w:rsidRDefault="00A71EEF">
      <w:pPr>
        <w:pStyle w:val="a3"/>
        <w:spacing w:before="12"/>
        <w:rPr>
          <w:sz w:val="17"/>
        </w:rPr>
      </w:pPr>
    </w:p>
    <w:p w14:paraId="68E3807C" w14:textId="77777777" w:rsidR="00A71EEF" w:rsidRDefault="0081115D">
      <w:pPr>
        <w:pStyle w:val="a3"/>
        <w:ind w:left="838"/>
      </w:pPr>
      <w:r>
        <w:t>平面布置应按</w:t>
      </w:r>
      <w:r>
        <w:t>“</w:t>
      </w:r>
      <w:r>
        <w:t>控制区、监督区、非限制区</w:t>
      </w:r>
      <w:r>
        <w:t>”</w:t>
      </w:r>
      <w:r>
        <w:t>的顺序分区布置。</w:t>
      </w:r>
      <w:r>
        <w:t xml:space="preserve">  </w:t>
      </w:r>
      <w:r>
        <w:t xml:space="preserve"> </w:t>
      </w:r>
    </w:p>
    <w:p w14:paraId="7AC513E6" w14:textId="77777777" w:rsidR="00A71EEF" w:rsidRDefault="00A71EEF">
      <w:pPr>
        <w:pStyle w:val="a3"/>
        <w:spacing w:before="2"/>
        <w:rPr>
          <w:sz w:val="18"/>
        </w:rPr>
      </w:pPr>
    </w:p>
    <w:p w14:paraId="75994C3F" w14:textId="77777777" w:rsidR="00A71EEF" w:rsidRDefault="0081115D">
      <w:pPr>
        <w:pStyle w:val="a3"/>
        <w:ind w:left="838"/>
      </w:pPr>
      <w:r>
        <w:t>控制区应设于尽端，并应有贮运放射性物质及处理放射性废弃物的设施。</w:t>
      </w:r>
      <w:r>
        <w:t xml:space="preserve">  </w:t>
      </w:r>
      <w:r>
        <w:t xml:space="preserve"> </w:t>
      </w:r>
    </w:p>
    <w:p w14:paraId="150F0A18" w14:textId="77777777" w:rsidR="00A71EEF" w:rsidRDefault="00A71EEF">
      <w:pPr>
        <w:pStyle w:val="a3"/>
        <w:spacing w:before="12"/>
        <w:rPr>
          <w:sz w:val="17"/>
        </w:rPr>
      </w:pPr>
    </w:p>
    <w:p w14:paraId="7D030246" w14:textId="77777777" w:rsidR="00A71EEF" w:rsidRDefault="0081115D">
      <w:pPr>
        <w:pStyle w:val="a3"/>
        <w:spacing w:before="1" w:line="446" w:lineRule="auto"/>
        <w:ind w:left="840" w:right="4237" w:hanging="3"/>
      </w:pPr>
      <w:r>
        <w:t>非限制区进监督区和控制区的出入口处均应设卫生通过。</w:t>
      </w:r>
      <w:r>
        <w:rPr>
          <w:b/>
        </w:rPr>
        <w:t xml:space="preserve">5.11.2 </w:t>
      </w:r>
      <w:r>
        <w:t>用房设置应符合下列要求：</w:t>
      </w:r>
      <w:r>
        <w:t xml:space="preserve">  </w:t>
      </w:r>
      <w:r>
        <w:t xml:space="preserve"> </w:t>
      </w:r>
    </w:p>
    <w:p w14:paraId="777B232C" w14:textId="77777777" w:rsidR="00A71EEF" w:rsidRDefault="0081115D">
      <w:pPr>
        <w:pStyle w:val="a3"/>
        <w:ind w:left="838"/>
      </w:pPr>
      <w:r>
        <w:t>非限制区应设候诊、诊室、医生办公和卫生间等用房；</w:t>
      </w:r>
      <w:r>
        <w:t xml:space="preserve">  </w:t>
      </w:r>
      <w:r>
        <w:t xml:space="preserve"> </w:t>
      </w:r>
    </w:p>
    <w:p w14:paraId="4A0156FB" w14:textId="77777777" w:rsidR="00A71EEF" w:rsidRDefault="00A71EEF">
      <w:pPr>
        <w:pStyle w:val="a3"/>
        <w:spacing w:before="12"/>
        <w:rPr>
          <w:sz w:val="17"/>
        </w:rPr>
      </w:pPr>
    </w:p>
    <w:p w14:paraId="3072A8BC" w14:textId="77777777" w:rsidR="00A71EEF" w:rsidRDefault="0081115D">
      <w:pPr>
        <w:pStyle w:val="a3"/>
        <w:ind w:left="838"/>
      </w:pPr>
      <w:r>
        <w:t>监督区应设扫描、功能测定和运动负荷试验等用房，以及专用等候区和卫生间；</w:t>
      </w:r>
      <w:r>
        <w:t xml:space="preserve">  </w:t>
      </w:r>
      <w:r>
        <w:t xml:space="preserve"> </w:t>
      </w:r>
    </w:p>
    <w:p w14:paraId="39C00E10" w14:textId="77777777" w:rsidR="00A71EEF" w:rsidRDefault="00A71EEF">
      <w:pPr>
        <w:pStyle w:val="a3"/>
        <w:spacing w:before="12"/>
        <w:rPr>
          <w:sz w:val="17"/>
        </w:rPr>
      </w:pPr>
    </w:p>
    <w:p w14:paraId="17E84685" w14:textId="77777777" w:rsidR="00A71EEF" w:rsidRDefault="0081115D">
      <w:pPr>
        <w:pStyle w:val="a3"/>
        <w:spacing w:line="446" w:lineRule="auto"/>
        <w:ind w:left="418" w:right="2029" w:firstLine="419"/>
      </w:pPr>
      <w:r>
        <w:t>控制区应设计量、服药、注射、试剂配制、卫生通过、储源、分装、标记和洗涤等用房。</w:t>
      </w:r>
      <w:r>
        <w:t xml:space="preserve">  </w:t>
      </w:r>
      <w:r>
        <w:t xml:space="preserve"> </w:t>
      </w:r>
    </w:p>
    <w:p w14:paraId="44E61377" w14:textId="77777777" w:rsidR="00A71EEF" w:rsidRDefault="00A71EEF">
      <w:pPr>
        <w:spacing w:line="446" w:lineRule="auto"/>
        <w:sectPr w:rsidR="00A71EEF">
          <w:pgSz w:w="11910" w:h="16850"/>
          <w:pgMar w:top="1220" w:right="0" w:bottom="1420" w:left="1260" w:header="0" w:footer="1239" w:gutter="0"/>
          <w:cols w:space="720"/>
        </w:sectPr>
      </w:pPr>
    </w:p>
    <w:p w14:paraId="49858A15" w14:textId="77777777" w:rsidR="00A71EEF" w:rsidRDefault="0081115D">
      <w:pPr>
        <w:pStyle w:val="a4"/>
        <w:numPr>
          <w:ilvl w:val="2"/>
          <w:numId w:val="174"/>
        </w:numPr>
        <w:tabs>
          <w:tab w:val="left" w:pos="1478"/>
        </w:tabs>
        <w:spacing w:before="47"/>
        <w:ind w:hanging="638"/>
        <w:rPr>
          <w:sz w:val="21"/>
        </w:rPr>
      </w:pPr>
      <w:r>
        <w:rPr>
          <w:spacing w:val="-3"/>
          <w:sz w:val="21"/>
        </w:rPr>
        <w:t>核医学用房应按国家现行有关临床核医学卫生防护标准的规定设计。</w:t>
      </w:r>
      <w:r>
        <w:rPr>
          <w:spacing w:val="-3"/>
          <w:sz w:val="21"/>
        </w:rPr>
        <w:t xml:space="preserve"> </w:t>
      </w:r>
      <w:r>
        <w:rPr>
          <w:spacing w:val="-2"/>
          <w:sz w:val="21"/>
        </w:rPr>
        <w:t xml:space="preserve"> </w:t>
      </w:r>
      <w:r>
        <w:rPr>
          <w:sz w:val="21"/>
        </w:rPr>
        <w:t xml:space="preserve"> </w:t>
      </w:r>
    </w:p>
    <w:p w14:paraId="230F16E8" w14:textId="77777777" w:rsidR="00A71EEF" w:rsidRDefault="00A71EEF">
      <w:pPr>
        <w:pStyle w:val="a3"/>
        <w:rPr>
          <w:sz w:val="18"/>
        </w:rPr>
      </w:pPr>
    </w:p>
    <w:p w14:paraId="14EE7C81" w14:textId="77777777" w:rsidR="00A71EEF" w:rsidRDefault="0081115D">
      <w:pPr>
        <w:pStyle w:val="a4"/>
        <w:numPr>
          <w:ilvl w:val="2"/>
          <w:numId w:val="174"/>
        </w:numPr>
        <w:tabs>
          <w:tab w:val="left" w:pos="1478"/>
        </w:tabs>
        <w:spacing w:line="446" w:lineRule="auto"/>
        <w:ind w:left="418" w:right="1601" w:firstLine="422"/>
        <w:rPr>
          <w:sz w:val="21"/>
        </w:rPr>
      </w:pPr>
      <w:r>
        <w:rPr>
          <w:spacing w:val="-3"/>
          <w:sz w:val="21"/>
        </w:rPr>
        <w:t>固体废弃物、废水应按国家现行有关医用放射性废弃物管理卫生防护标准的规定处理后排放。</w:t>
      </w:r>
      <w:r>
        <w:rPr>
          <w:spacing w:val="-3"/>
          <w:sz w:val="21"/>
        </w:rPr>
        <w:t xml:space="preserve"> </w:t>
      </w:r>
      <w:r>
        <w:rPr>
          <w:spacing w:val="-2"/>
          <w:sz w:val="21"/>
        </w:rPr>
        <w:t xml:space="preserve"> </w:t>
      </w:r>
      <w:r>
        <w:rPr>
          <w:sz w:val="21"/>
        </w:rPr>
        <w:t xml:space="preserve"> </w:t>
      </w:r>
    </w:p>
    <w:p w14:paraId="1C2B1983" w14:textId="77777777" w:rsidR="00A71EEF" w:rsidRDefault="0081115D">
      <w:pPr>
        <w:pStyle w:val="a4"/>
        <w:numPr>
          <w:ilvl w:val="2"/>
          <w:numId w:val="174"/>
        </w:numPr>
        <w:tabs>
          <w:tab w:val="left" w:pos="1478"/>
        </w:tabs>
        <w:ind w:hanging="638"/>
        <w:rPr>
          <w:sz w:val="21"/>
        </w:rPr>
      </w:pPr>
      <w:r>
        <w:rPr>
          <w:spacing w:val="-3"/>
          <w:sz w:val="21"/>
        </w:rPr>
        <w:t>防护应按国家现行有关临床核医学卫生防护标准的规定设计。</w:t>
      </w:r>
      <w:r>
        <w:rPr>
          <w:sz w:val="21"/>
        </w:rPr>
        <w:t xml:space="preserve"> </w:t>
      </w:r>
    </w:p>
    <w:p w14:paraId="3C7E765B" w14:textId="77777777" w:rsidR="00A71EEF" w:rsidRDefault="00A71EEF">
      <w:pPr>
        <w:pStyle w:val="a3"/>
        <w:spacing w:before="12"/>
        <w:rPr>
          <w:sz w:val="17"/>
        </w:rPr>
      </w:pPr>
    </w:p>
    <w:p w14:paraId="5A8F4AA3" w14:textId="77777777" w:rsidR="00A71EEF" w:rsidRDefault="0081115D">
      <w:pPr>
        <w:pStyle w:val="a4"/>
        <w:numPr>
          <w:ilvl w:val="1"/>
          <w:numId w:val="176"/>
        </w:numPr>
        <w:tabs>
          <w:tab w:val="left" w:pos="1264"/>
        </w:tabs>
        <w:ind w:left="1263" w:hanging="424"/>
        <w:rPr>
          <w:sz w:val="21"/>
        </w:rPr>
      </w:pPr>
      <w:r>
        <w:rPr>
          <w:spacing w:val="-3"/>
          <w:sz w:val="21"/>
        </w:rPr>
        <w:t>介入治疗用房</w:t>
      </w:r>
      <w:r>
        <w:rPr>
          <w:sz w:val="21"/>
        </w:rPr>
        <w:t xml:space="preserve"> </w:t>
      </w:r>
    </w:p>
    <w:p w14:paraId="462F374A" w14:textId="77777777" w:rsidR="00A71EEF" w:rsidRDefault="00A71EEF">
      <w:pPr>
        <w:pStyle w:val="a3"/>
        <w:rPr>
          <w:sz w:val="18"/>
        </w:rPr>
      </w:pPr>
    </w:p>
    <w:p w14:paraId="1C68F730" w14:textId="77777777" w:rsidR="00A71EEF" w:rsidRDefault="0081115D">
      <w:pPr>
        <w:pStyle w:val="a4"/>
        <w:numPr>
          <w:ilvl w:val="2"/>
          <w:numId w:val="176"/>
        </w:numPr>
        <w:tabs>
          <w:tab w:val="left" w:pos="1478"/>
        </w:tabs>
        <w:ind w:left="1477" w:hanging="638"/>
        <w:rPr>
          <w:sz w:val="21"/>
        </w:rPr>
      </w:pPr>
      <w:r>
        <w:rPr>
          <w:spacing w:val="-3"/>
          <w:sz w:val="21"/>
        </w:rPr>
        <w:t>介入治疗用房位置与平面布置应符合下列要求：</w:t>
      </w:r>
      <w:r>
        <w:rPr>
          <w:sz w:val="21"/>
        </w:rPr>
        <w:t xml:space="preserve"> </w:t>
      </w:r>
      <w:r>
        <w:rPr>
          <w:spacing w:val="-2"/>
          <w:sz w:val="21"/>
        </w:rPr>
        <w:t xml:space="preserve"> </w:t>
      </w:r>
      <w:r>
        <w:rPr>
          <w:sz w:val="21"/>
        </w:rPr>
        <w:t xml:space="preserve"> </w:t>
      </w:r>
    </w:p>
    <w:p w14:paraId="01DFB619" w14:textId="77777777" w:rsidR="00A71EEF" w:rsidRDefault="00A71EEF">
      <w:pPr>
        <w:pStyle w:val="a3"/>
        <w:spacing w:before="2"/>
        <w:rPr>
          <w:sz w:val="18"/>
        </w:rPr>
      </w:pPr>
    </w:p>
    <w:p w14:paraId="7E597F65" w14:textId="77777777" w:rsidR="00A71EEF" w:rsidRDefault="0081115D">
      <w:pPr>
        <w:pStyle w:val="a3"/>
        <w:ind w:left="838"/>
        <w:rPr>
          <w:b/>
        </w:rPr>
      </w:pPr>
      <w:r>
        <w:t>应自成一区，且应与急诊部、手术部、心血管监护病房有便捷联系；</w:t>
      </w:r>
      <w:r>
        <w:t xml:space="preserve">  </w:t>
      </w:r>
      <w:r>
        <w:rPr>
          <w:b/>
          <w:w w:val="99"/>
        </w:rPr>
        <w:t xml:space="preserve"> </w:t>
      </w:r>
    </w:p>
    <w:p w14:paraId="4A794D3D" w14:textId="77777777" w:rsidR="00A71EEF" w:rsidRDefault="00A71EEF">
      <w:pPr>
        <w:pStyle w:val="a3"/>
        <w:rPr>
          <w:b/>
          <w:sz w:val="18"/>
        </w:rPr>
      </w:pPr>
    </w:p>
    <w:p w14:paraId="2A94FE32" w14:textId="77777777" w:rsidR="00A71EEF" w:rsidRDefault="0081115D">
      <w:pPr>
        <w:pStyle w:val="a3"/>
        <w:ind w:left="838"/>
        <w:rPr>
          <w:b/>
        </w:rPr>
      </w:pPr>
      <w:r>
        <w:t>洁净区、非洁净区应分设。</w:t>
      </w:r>
      <w:r>
        <w:rPr>
          <w:b/>
          <w:w w:val="99"/>
        </w:rPr>
        <w:t xml:space="preserve"> </w:t>
      </w:r>
    </w:p>
    <w:p w14:paraId="30E88042" w14:textId="77777777" w:rsidR="00A71EEF" w:rsidRDefault="00A71EEF">
      <w:pPr>
        <w:pStyle w:val="a3"/>
        <w:spacing w:before="12"/>
        <w:rPr>
          <w:b/>
          <w:sz w:val="17"/>
        </w:rPr>
      </w:pPr>
    </w:p>
    <w:p w14:paraId="628D3160" w14:textId="77777777" w:rsidR="00A71EEF" w:rsidRDefault="0081115D">
      <w:pPr>
        <w:pStyle w:val="a4"/>
        <w:numPr>
          <w:ilvl w:val="2"/>
          <w:numId w:val="176"/>
        </w:numPr>
        <w:tabs>
          <w:tab w:val="left" w:pos="1478"/>
        </w:tabs>
        <w:ind w:left="1477" w:hanging="638"/>
        <w:rPr>
          <w:sz w:val="21"/>
        </w:rPr>
      </w:pPr>
      <w:r>
        <w:rPr>
          <w:spacing w:val="-3"/>
          <w:sz w:val="21"/>
        </w:rPr>
        <w:t>用房设置应符合下列要求：</w:t>
      </w:r>
      <w:r>
        <w:rPr>
          <w:sz w:val="21"/>
        </w:rPr>
        <w:t xml:space="preserve"> </w:t>
      </w:r>
      <w:r>
        <w:rPr>
          <w:spacing w:val="-2"/>
          <w:sz w:val="21"/>
        </w:rPr>
        <w:t xml:space="preserve"> </w:t>
      </w:r>
      <w:r>
        <w:rPr>
          <w:sz w:val="21"/>
        </w:rPr>
        <w:t xml:space="preserve"> </w:t>
      </w:r>
    </w:p>
    <w:p w14:paraId="5DAC2210" w14:textId="77777777" w:rsidR="00A71EEF" w:rsidRDefault="00A71EEF">
      <w:pPr>
        <w:pStyle w:val="a3"/>
        <w:spacing w:before="2"/>
        <w:rPr>
          <w:sz w:val="18"/>
        </w:rPr>
      </w:pPr>
    </w:p>
    <w:p w14:paraId="2FA3B91F" w14:textId="77777777" w:rsidR="00A71EEF" w:rsidRDefault="0081115D">
      <w:pPr>
        <w:pStyle w:val="a3"/>
        <w:spacing w:line="446" w:lineRule="auto"/>
        <w:ind w:left="418" w:right="1817" w:firstLine="419"/>
        <w:rPr>
          <w:b/>
        </w:rPr>
      </w:pPr>
      <w:r>
        <w:t>应设心血管造影机房、控制、机械间、洗手准备、无菌物品、治疗、更衣和卫生间等用房；</w:t>
      </w:r>
      <w:r>
        <w:t xml:space="preserve">  </w:t>
      </w:r>
      <w:r>
        <w:rPr>
          <w:b/>
          <w:w w:val="99"/>
        </w:rPr>
        <w:t xml:space="preserve"> </w:t>
      </w:r>
    </w:p>
    <w:p w14:paraId="3701B706" w14:textId="77777777" w:rsidR="00A71EEF" w:rsidRDefault="0081115D">
      <w:pPr>
        <w:pStyle w:val="a3"/>
        <w:spacing w:line="267" w:lineRule="exact"/>
        <w:ind w:left="838"/>
        <w:rPr>
          <w:b/>
        </w:rPr>
      </w:pPr>
      <w:r>
        <w:t>可设置办公、会诊、值班、护理和资料等用房。</w:t>
      </w:r>
      <w:r>
        <w:t xml:space="preserve">  </w:t>
      </w:r>
      <w:r>
        <w:rPr>
          <w:b/>
          <w:w w:val="99"/>
        </w:rPr>
        <w:t xml:space="preserve"> </w:t>
      </w:r>
    </w:p>
    <w:p w14:paraId="57D73613" w14:textId="77777777" w:rsidR="00A71EEF" w:rsidRDefault="00A71EEF">
      <w:pPr>
        <w:pStyle w:val="a3"/>
        <w:spacing w:before="2"/>
        <w:rPr>
          <w:b/>
          <w:sz w:val="18"/>
        </w:rPr>
      </w:pPr>
    </w:p>
    <w:p w14:paraId="76424905" w14:textId="77777777" w:rsidR="00A71EEF" w:rsidRDefault="0081115D">
      <w:pPr>
        <w:pStyle w:val="a4"/>
        <w:numPr>
          <w:ilvl w:val="2"/>
          <w:numId w:val="176"/>
        </w:numPr>
        <w:tabs>
          <w:tab w:val="left" w:pos="1478"/>
        </w:tabs>
        <w:ind w:left="1477" w:hanging="638"/>
        <w:rPr>
          <w:b/>
          <w:sz w:val="21"/>
        </w:rPr>
      </w:pPr>
      <w:r>
        <w:rPr>
          <w:spacing w:val="-3"/>
          <w:sz w:val="21"/>
        </w:rPr>
        <w:t>介入治疗用户应满足医疗设备安装、室内环境的要求。</w:t>
      </w:r>
      <w:r>
        <w:rPr>
          <w:spacing w:val="-3"/>
          <w:sz w:val="21"/>
        </w:rPr>
        <w:t xml:space="preserve"> </w:t>
      </w:r>
      <w:r>
        <w:rPr>
          <w:spacing w:val="-2"/>
          <w:sz w:val="21"/>
        </w:rPr>
        <w:t xml:space="preserve"> </w:t>
      </w:r>
      <w:r>
        <w:rPr>
          <w:b/>
          <w:w w:val="99"/>
          <w:sz w:val="21"/>
        </w:rPr>
        <w:t xml:space="preserve"> </w:t>
      </w:r>
    </w:p>
    <w:p w14:paraId="67F84804" w14:textId="77777777" w:rsidR="00A71EEF" w:rsidRDefault="00A71EEF">
      <w:pPr>
        <w:pStyle w:val="a3"/>
        <w:rPr>
          <w:b/>
          <w:sz w:val="18"/>
        </w:rPr>
      </w:pPr>
    </w:p>
    <w:p w14:paraId="3AEF9D64" w14:textId="77777777" w:rsidR="00A71EEF" w:rsidRDefault="0081115D">
      <w:pPr>
        <w:pStyle w:val="a4"/>
        <w:numPr>
          <w:ilvl w:val="2"/>
          <w:numId w:val="176"/>
        </w:numPr>
        <w:tabs>
          <w:tab w:val="left" w:pos="1478"/>
        </w:tabs>
        <w:spacing w:line="446" w:lineRule="auto"/>
        <w:ind w:left="418" w:right="1810" w:firstLine="422"/>
        <w:rPr>
          <w:sz w:val="21"/>
        </w:rPr>
      </w:pPr>
      <w:r>
        <w:rPr>
          <w:spacing w:val="-5"/>
          <w:sz w:val="21"/>
        </w:rPr>
        <w:t>防护应根据设备要求，按现行国家有关医用</w:t>
      </w:r>
      <w:r>
        <w:rPr>
          <w:spacing w:val="-5"/>
          <w:sz w:val="21"/>
        </w:rPr>
        <w:t xml:space="preserve"> </w:t>
      </w:r>
      <w:r>
        <w:rPr>
          <w:sz w:val="21"/>
        </w:rPr>
        <w:t>X</w:t>
      </w:r>
      <w:r>
        <w:rPr>
          <w:spacing w:val="-8"/>
          <w:sz w:val="21"/>
        </w:rPr>
        <w:t xml:space="preserve"> </w:t>
      </w:r>
      <w:r>
        <w:rPr>
          <w:spacing w:val="-8"/>
          <w:sz w:val="21"/>
        </w:rPr>
        <w:t>射线诊断卫生防护标准的规定设计</w:t>
      </w:r>
      <w:r>
        <w:rPr>
          <w:spacing w:val="-3"/>
          <w:sz w:val="21"/>
        </w:rPr>
        <w:t>。</w:t>
      </w:r>
      <w:r>
        <w:rPr>
          <w:sz w:val="21"/>
        </w:rPr>
        <w:t xml:space="preserve"> </w:t>
      </w:r>
    </w:p>
    <w:p w14:paraId="1575DA4D" w14:textId="77777777" w:rsidR="00A71EEF" w:rsidRDefault="0081115D">
      <w:pPr>
        <w:pStyle w:val="a4"/>
        <w:numPr>
          <w:ilvl w:val="1"/>
          <w:numId w:val="176"/>
        </w:numPr>
        <w:tabs>
          <w:tab w:val="left" w:pos="1264"/>
        </w:tabs>
        <w:ind w:left="1263" w:hanging="424"/>
        <w:rPr>
          <w:sz w:val="21"/>
        </w:rPr>
      </w:pPr>
      <w:r>
        <w:rPr>
          <w:spacing w:val="-3"/>
          <w:sz w:val="21"/>
        </w:rPr>
        <w:t>检验科用房</w:t>
      </w:r>
      <w:r>
        <w:rPr>
          <w:sz w:val="21"/>
        </w:rPr>
        <w:t xml:space="preserve"> </w:t>
      </w:r>
    </w:p>
    <w:p w14:paraId="65446EB2" w14:textId="77777777" w:rsidR="00A71EEF" w:rsidRDefault="00A71EEF">
      <w:pPr>
        <w:pStyle w:val="a3"/>
        <w:spacing w:before="12"/>
        <w:rPr>
          <w:sz w:val="17"/>
        </w:rPr>
      </w:pPr>
    </w:p>
    <w:p w14:paraId="0D57A1BF" w14:textId="77777777" w:rsidR="00A71EEF" w:rsidRDefault="0081115D">
      <w:pPr>
        <w:pStyle w:val="a4"/>
        <w:numPr>
          <w:ilvl w:val="2"/>
          <w:numId w:val="176"/>
        </w:numPr>
        <w:tabs>
          <w:tab w:val="left" w:pos="1478"/>
        </w:tabs>
        <w:spacing w:line="446" w:lineRule="auto"/>
        <w:ind w:left="838" w:right="4650" w:firstLine="2"/>
        <w:rPr>
          <w:b/>
          <w:sz w:val="21"/>
        </w:rPr>
      </w:pPr>
      <w:r>
        <w:rPr>
          <w:spacing w:val="-2"/>
          <w:sz w:val="21"/>
        </w:rPr>
        <w:t>检验科用房位置及平面布置应符号下列要求：</w:t>
      </w:r>
      <w:r>
        <w:rPr>
          <w:spacing w:val="-2"/>
          <w:sz w:val="21"/>
        </w:rPr>
        <w:t xml:space="preserve"> </w:t>
      </w:r>
      <w:r>
        <w:rPr>
          <w:spacing w:val="-2"/>
          <w:sz w:val="21"/>
        </w:rPr>
        <w:t>应</w:t>
      </w:r>
      <w:r>
        <w:rPr>
          <w:spacing w:val="-3"/>
          <w:sz w:val="21"/>
        </w:rPr>
        <w:t>自成一区，微生物学检验应与其他检验分区布置；</w:t>
      </w:r>
      <w:r>
        <w:rPr>
          <w:spacing w:val="-3"/>
          <w:sz w:val="21"/>
        </w:rPr>
        <w:t xml:space="preserve">  </w:t>
      </w:r>
      <w:r>
        <w:rPr>
          <w:spacing w:val="-3"/>
          <w:sz w:val="21"/>
        </w:rPr>
        <w:t>微生物学检验室应设于检验科的尽端。</w:t>
      </w:r>
      <w:r>
        <w:rPr>
          <w:b/>
          <w:w w:val="99"/>
          <w:sz w:val="21"/>
        </w:rPr>
        <w:t xml:space="preserve"> </w:t>
      </w:r>
    </w:p>
    <w:p w14:paraId="75E4D242" w14:textId="77777777" w:rsidR="00A71EEF" w:rsidRDefault="0081115D">
      <w:pPr>
        <w:pStyle w:val="a4"/>
        <w:numPr>
          <w:ilvl w:val="2"/>
          <w:numId w:val="176"/>
        </w:numPr>
        <w:tabs>
          <w:tab w:val="left" w:pos="1478"/>
        </w:tabs>
        <w:spacing w:line="268" w:lineRule="exact"/>
        <w:ind w:left="1477" w:hanging="638"/>
        <w:rPr>
          <w:sz w:val="21"/>
        </w:rPr>
      </w:pPr>
      <w:r>
        <w:rPr>
          <w:spacing w:val="-3"/>
          <w:sz w:val="21"/>
        </w:rPr>
        <w:t>用房设置应符合下列要求：</w:t>
      </w:r>
      <w:r>
        <w:rPr>
          <w:sz w:val="21"/>
        </w:rPr>
        <w:t xml:space="preserve"> </w:t>
      </w:r>
    </w:p>
    <w:p w14:paraId="66631ED1" w14:textId="77777777" w:rsidR="00A71EEF" w:rsidRDefault="00A71EEF">
      <w:pPr>
        <w:pStyle w:val="a3"/>
        <w:rPr>
          <w:sz w:val="18"/>
        </w:rPr>
      </w:pPr>
    </w:p>
    <w:p w14:paraId="03A2270C" w14:textId="77777777" w:rsidR="00A71EEF" w:rsidRDefault="0081115D">
      <w:pPr>
        <w:pStyle w:val="a3"/>
        <w:spacing w:line="446" w:lineRule="auto"/>
        <w:ind w:left="418" w:right="1609" w:firstLine="419"/>
      </w:pPr>
      <w:r>
        <w:t>应设临床检验、生化检验、微生物检验、血液实验、细胞检查、血清免疫、洗涤、试剂和材料库等用房；</w:t>
      </w:r>
      <w:r>
        <w:t xml:space="preserve"> </w:t>
      </w:r>
    </w:p>
    <w:p w14:paraId="7EC0B925" w14:textId="77777777" w:rsidR="00A71EEF" w:rsidRDefault="0081115D">
      <w:pPr>
        <w:pStyle w:val="a3"/>
        <w:ind w:left="838"/>
      </w:pPr>
      <w:r>
        <w:t>可设更衣、值班和办公等用房。</w:t>
      </w:r>
      <w:r>
        <w:t xml:space="preserve"> </w:t>
      </w:r>
    </w:p>
    <w:p w14:paraId="428BACB7" w14:textId="77777777" w:rsidR="00A71EEF" w:rsidRDefault="00A71EEF">
      <w:pPr>
        <w:pStyle w:val="a3"/>
        <w:spacing w:before="12"/>
        <w:rPr>
          <w:sz w:val="17"/>
        </w:rPr>
      </w:pPr>
    </w:p>
    <w:p w14:paraId="036DAE18" w14:textId="77777777" w:rsidR="00A71EEF" w:rsidRDefault="0081115D">
      <w:pPr>
        <w:pStyle w:val="a4"/>
        <w:numPr>
          <w:ilvl w:val="2"/>
          <w:numId w:val="176"/>
        </w:numPr>
        <w:tabs>
          <w:tab w:val="left" w:pos="1478"/>
        </w:tabs>
        <w:spacing w:line="446" w:lineRule="auto"/>
        <w:ind w:left="418" w:right="1604" w:firstLine="422"/>
        <w:rPr>
          <w:sz w:val="21"/>
        </w:rPr>
      </w:pPr>
      <w:r>
        <w:rPr>
          <w:spacing w:val="-3"/>
          <w:sz w:val="21"/>
        </w:rPr>
        <w:t>检验科应设通风柜、仪器室</w:t>
      </w:r>
      <w:r>
        <w:rPr>
          <w:spacing w:val="-3"/>
          <w:sz w:val="21"/>
        </w:rPr>
        <w:t>(</w:t>
      </w:r>
      <w:r>
        <w:rPr>
          <w:spacing w:val="-3"/>
          <w:sz w:val="21"/>
        </w:rPr>
        <w:t>柜</w:t>
      </w:r>
      <w:r>
        <w:rPr>
          <w:spacing w:val="-3"/>
          <w:sz w:val="21"/>
        </w:rPr>
        <w:t>)</w:t>
      </w:r>
      <w:r>
        <w:rPr>
          <w:spacing w:val="-3"/>
          <w:sz w:val="21"/>
        </w:rPr>
        <w:t>、试剂室</w:t>
      </w:r>
      <w:r>
        <w:rPr>
          <w:spacing w:val="-3"/>
          <w:sz w:val="21"/>
        </w:rPr>
        <w:t>(</w:t>
      </w:r>
      <w:r>
        <w:rPr>
          <w:spacing w:val="-3"/>
          <w:sz w:val="21"/>
        </w:rPr>
        <w:t>柜</w:t>
      </w:r>
      <w:r>
        <w:rPr>
          <w:spacing w:val="-3"/>
          <w:sz w:val="21"/>
        </w:rPr>
        <w:t>)</w:t>
      </w:r>
      <w:r>
        <w:rPr>
          <w:spacing w:val="-3"/>
          <w:sz w:val="21"/>
        </w:rPr>
        <w:t>、防振天平台，并应有贮藏贵重药物和剧毒药品的设施。</w:t>
      </w:r>
      <w:r>
        <w:rPr>
          <w:sz w:val="21"/>
        </w:rPr>
        <w:t xml:space="preserve"> </w:t>
      </w:r>
    </w:p>
    <w:p w14:paraId="21BC7862" w14:textId="77777777" w:rsidR="00A71EEF" w:rsidRDefault="0081115D">
      <w:pPr>
        <w:pStyle w:val="a4"/>
        <w:numPr>
          <w:ilvl w:val="2"/>
          <w:numId w:val="176"/>
        </w:numPr>
        <w:tabs>
          <w:tab w:val="left" w:pos="1478"/>
        </w:tabs>
        <w:ind w:left="1477" w:hanging="638"/>
        <w:rPr>
          <w:sz w:val="21"/>
        </w:rPr>
      </w:pPr>
      <w:r>
        <w:rPr>
          <w:spacing w:val="-3"/>
          <w:sz w:val="21"/>
        </w:rPr>
        <w:t>细菌检验的接种室与培养室之间应设传递窗。</w:t>
      </w:r>
      <w:r>
        <w:rPr>
          <w:sz w:val="21"/>
        </w:rPr>
        <w:t xml:space="preserve"> </w:t>
      </w:r>
    </w:p>
    <w:p w14:paraId="5662FAC7" w14:textId="77777777" w:rsidR="00A71EEF" w:rsidRDefault="00A71EEF">
      <w:pPr>
        <w:pStyle w:val="a3"/>
        <w:rPr>
          <w:sz w:val="18"/>
        </w:rPr>
      </w:pPr>
    </w:p>
    <w:p w14:paraId="2E3B8075" w14:textId="77777777" w:rsidR="00A71EEF" w:rsidRDefault="0081115D">
      <w:pPr>
        <w:pStyle w:val="a4"/>
        <w:numPr>
          <w:ilvl w:val="2"/>
          <w:numId w:val="176"/>
        </w:numPr>
        <w:tabs>
          <w:tab w:val="left" w:pos="1478"/>
        </w:tabs>
        <w:spacing w:line="446" w:lineRule="auto"/>
        <w:ind w:left="418" w:right="1601" w:firstLine="422"/>
        <w:rPr>
          <w:sz w:val="21"/>
        </w:rPr>
      </w:pPr>
      <w:r>
        <w:rPr>
          <w:spacing w:val="-3"/>
          <w:sz w:val="21"/>
        </w:rPr>
        <w:t>检验科应设洗涤设施，细菌检验应设专用洗涤、消毒设施，每个检验室应装有非手动开关的洗涤池。检验标本应设废弃消毒处理设施。</w:t>
      </w:r>
      <w:r>
        <w:rPr>
          <w:sz w:val="21"/>
        </w:rPr>
        <w:t xml:space="preserve"> </w:t>
      </w:r>
    </w:p>
    <w:p w14:paraId="3BBBCC04" w14:textId="77777777" w:rsidR="00A71EEF" w:rsidRDefault="00A71EEF">
      <w:pPr>
        <w:spacing w:line="446" w:lineRule="auto"/>
        <w:rPr>
          <w:sz w:val="21"/>
        </w:rPr>
        <w:sectPr w:rsidR="00A71EEF">
          <w:pgSz w:w="11910" w:h="16850"/>
          <w:pgMar w:top="1220" w:right="0" w:bottom="1420" w:left="1260" w:header="0" w:footer="1239" w:gutter="0"/>
          <w:cols w:space="720"/>
        </w:sectPr>
      </w:pPr>
    </w:p>
    <w:p w14:paraId="2E8E822E" w14:textId="77777777" w:rsidR="00A71EEF" w:rsidRDefault="0081115D">
      <w:pPr>
        <w:pStyle w:val="a4"/>
        <w:numPr>
          <w:ilvl w:val="2"/>
          <w:numId w:val="176"/>
        </w:numPr>
        <w:tabs>
          <w:tab w:val="left" w:pos="1478"/>
        </w:tabs>
        <w:spacing w:before="47"/>
        <w:ind w:left="1477" w:hanging="638"/>
        <w:rPr>
          <w:sz w:val="21"/>
        </w:rPr>
      </w:pPr>
      <w:r>
        <w:rPr>
          <w:spacing w:val="-3"/>
          <w:sz w:val="21"/>
        </w:rPr>
        <w:t>危险化学试剂附近应设有紧急洗眼处和淋浴。</w:t>
      </w:r>
      <w:r>
        <w:rPr>
          <w:sz w:val="21"/>
        </w:rPr>
        <w:t xml:space="preserve"> </w:t>
      </w:r>
    </w:p>
    <w:p w14:paraId="2C24F88D" w14:textId="77777777" w:rsidR="00A71EEF" w:rsidRDefault="00A71EEF">
      <w:pPr>
        <w:pStyle w:val="a3"/>
        <w:rPr>
          <w:sz w:val="18"/>
        </w:rPr>
      </w:pPr>
    </w:p>
    <w:p w14:paraId="21600AE6" w14:textId="77777777" w:rsidR="00A71EEF" w:rsidRDefault="0081115D">
      <w:pPr>
        <w:pStyle w:val="a4"/>
        <w:numPr>
          <w:ilvl w:val="2"/>
          <w:numId w:val="176"/>
        </w:numPr>
        <w:tabs>
          <w:tab w:val="left" w:pos="1478"/>
        </w:tabs>
        <w:ind w:left="1477" w:hanging="638"/>
        <w:rPr>
          <w:sz w:val="21"/>
        </w:rPr>
      </w:pPr>
      <w:r>
        <w:rPr>
          <w:spacing w:val="-7"/>
          <w:sz w:val="21"/>
        </w:rPr>
        <w:t>实验室工作台间通道宽度不应小于</w:t>
      </w:r>
      <w:r>
        <w:rPr>
          <w:spacing w:val="-7"/>
          <w:sz w:val="21"/>
        </w:rPr>
        <w:t xml:space="preserve"> </w:t>
      </w:r>
      <w:r>
        <w:rPr>
          <w:sz w:val="21"/>
        </w:rPr>
        <w:t>1.20m</w:t>
      </w:r>
      <w:r>
        <w:rPr>
          <w:sz w:val="21"/>
        </w:rPr>
        <w:t>。</w:t>
      </w:r>
      <w:r>
        <w:rPr>
          <w:sz w:val="21"/>
        </w:rPr>
        <w:t xml:space="preserve"> </w:t>
      </w:r>
    </w:p>
    <w:p w14:paraId="7C8ECC94" w14:textId="77777777" w:rsidR="00A71EEF" w:rsidRDefault="00A71EEF">
      <w:pPr>
        <w:pStyle w:val="a3"/>
        <w:rPr>
          <w:sz w:val="18"/>
        </w:rPr>
      </w:pPr>
    </w:p>
    <w:p w14:paraId="0D4B3E5C" w14:textId="77777777" w:rsidR="00A71EEF" w:rsidRDefault="0081115D">
      <w:pPr>
        <w:pStyle w:val="a4"/>
        <w:numPr>
          <w:ilvl w:val="1"/>
          <w:numId w:val="176"/>
        </w:numPr>
        <w:tabs>
          <w:tab w:val="left" w:pos="1264"/>
        </w:tabs>
        <w:ind w:left="1263" w:hanging="424"/>
        <w:rPr>
          <w:b/>
          <w:sz w:val="21"/>
        </w:rPr>
      </w:pPr>
      <w:r>
        <w:rPr>
          <w:spacing w:val="-3"/>
          <w:sz w:val="21"/>
        </w:rPr>
        <w:t>病理科用房</w:t>
      </w:r>
      <w:r>
        <w:rPr>
          <w:b/>
          <w:w w:val="99"/>
          <w:sz w:val="21"/>
        </w:rPr>
        <w:t xml:space="preserve"> </w:t>
      </w:r>
    </w:p>
    <w:p w14:paraId="1AA3F4D0" w14:textId="77777777" w:rsidR="00A71EEF" w:rsidRDefault="00A71EEF">
      <w:pPr>
        <w:pStyle w:val="a3"/>
        <w:spacing w:before="1"/>
        <w:rPr>
          <w:b/>
          <w:sz w:val="18"/>
        </w:rPr>
      </w:pPr>
    </w:p>
    <w:p w14:paraId="1EF39B8B" w14:textId="77777777" w:rsidR="00A71EEF" w:rsidRDefault="0081115D">
      <w:pPr>
        <w:pStyle w:val="a4"/>
        <w:numPr>
          <w:ilvl w:val="2"/>
          <w:numId w:val="176"/>
        </w:numPr>
        <w:tabs>
          <w:tab w:val="left" w:pos="1478"/>
        </w:tabs>
        <w:spacing w:before="1"/>
        <w:ind w:left="1477" w:hanging="638"/>
        <w:rPr>
          <w:sz w:val="21"/>
        </w:rPr>
      </w:pPr>
      <w:r>
        <w:rPr>
          <w:spacing w:val="-3"/>
          <w:sz w:val="21"/>
        </w:rPr>
        <w:t>病理科用房应自成一区，宜与手术部有便捷联系。</w:t>
      </w:r>
      <w:r>
        <w:rPr>
          <w:sz w:val="21"/>
        </w:rPr>
        <w:t xml:space="preserve"> </w:t>
      </w:r>
    </w:p>
    <w:p w14:paraId="02A2DE05" w14:textId="77777777" w:rsidR="00A71EEF" w:rsidRDefault="00A71EEF">
      <w:pPr>
        <w:pStyle w:val="a3"/>
        <w:spacing w:before="12"/>
        <w:rPr>
          <w:sz w:val="17"/>
        </w:rPr>
      </w:pPr>
    </w:p>
    <w:p w14:paraId="3D2C13F9" w14:textId="77777777" w:rsidR="00A71EEF" w:rsidRDefault="0081115D">
      <w:pPr>
        <w:pStyle w:val="a4"/>
        <w:numPr>
          <w:ilvl w:val="2"/>
          <w:numId w:val="176"/>
        </w:numPr>
        <w:tabs>
          <w:tab w:val="left" w:pos="1478"/>
        </w:tabs>
        <w:spacing w:line="446" w:lineRule="auto"/>
        <w:ind w:left="418" w:right="1601" w:firstLine="422"/>
        <w:rPr>
          <w:sz w:val="21"/>
        </w:rPr>
      </w:pPr>
      <w:r>
        <w:rPr>
          <w:spacing w:val="-3"/>
          <w:sz w:val="21"/>
        </w:rPr>
        <w:t>病理解剖室宜和太平间合建，与停尸房宜有内门相通，并应设工作人员更衣及淋浴设施。</w:t>
      </w:r>
      <w:r>
        <w:rPr>
          <w:sz w:val="21"/>
        </w:rPr>
        <w:t xml:space="preserve"> </w:t>
      </w:r>
    </w:p>
    <w:p w14:paraId="5F070D1A" w14:textId="77777777" w:rsidR="00A71EEF" w:rsidRDefault="0081115D">
      <w:pPr>
        <w:pStyle w:val="a4"/>
        <w:numPr>
          <w:ilvl w:val="2"/>
          <w:numId w:val="176"/>
        </w:numPr>
        <w:tabs>
          <w:tab w:val="left" w:pos="1478"/>
        </w:tabs>
        <w:ind w:left="1477" w:hanging="638"/>
        <w:rPr>
          <w:sz w:val="21"/>
        </w:rPr>
      </w:pPr>
      <w:r>
        <w:rPr>
          <w:spacing w:val="-3"/>
          <w:sz w:val="21"/>
        </w:rPr>
        <w:t>用房设置应符合下列要求：</w:t>
      </w:r>
      <w:r>
        <w:rPr>
          <w:sz w:val="21"/>
        </w:rPr>
        <w:t xml:space="preserve"> </w:t>
      </w:r>
    </w:p>
    <w:p w14:paraId="2C8E8087" w14:textId="77777777" w:rsidR="00A71EEF" w:rsidRDefault="00A71EEF">
      <w:pPr>
        <w:pStyle w:val="a3"/>
        <w:rPr>
          <w:sz w:val="18"/>
        </w:rPr>
      </w:pPr>
    </w:p>
    <w:p w14:paraId="71E58BF6" w14:textId="77777777" w:rsidR="00A71EEF" w:rsidRDefault="0081115D">
      <w:pPr>
        <w:pStyle w:val="a3"/>
        <w:spacing w:line="446" w:lineRule="auto"/>
        <w:ind w:left="418" w:right="1611" w:firstLine="419"/>
      </w:pPr>
      <w:r>
        <w:t>应设置取材、标本处理</w:t>
      </w:r>
      <w:r>
        <w:t>(</w:t>
      </w:r>
      <w:r>
        <w:t>脱水、染色、蜡包埋、切片</w:t>
      </w:r>
      <w:r>
        <w:t>)</w:t>
      </w:r>
      <w:r>
        <w:t>、制片、镜检、洗涤消毒和卫生通过等用房；</w:t>
      </w:r>
      <w:r>
        <w:t xml:space="preserve"> </w:t>
      </w:r>
    </w:p>
    <w:p w14:paraId="0E37632B" w14:textId="77777777" w:rsidR="00A71EEF" w:rsidRDefault="0081115D">
      <w:pPr>
        <w:pStyle w:val="a3"/>
        <w:spacing w:line="446" w:lineRule="auto"/>
        <w:ind w:left="840" w:right="6757" w:hanging="3"/>
      </w:pPr>
      <w:r>
        <w:t>可设置病理解剖和标本库用房。</w:t>
      </w:r>
      <w:r>
        <w:rPr>
          <w:b/>
        </w:rPr>
        <w:t xml:space="preserve">5.15 </w:t>
      </w:r>
      <w:r>
        <w:t>功能检查科用房</w:t>
      </w:r>
      <w:r>
        <w:t xml:space="preserve"> </w:t>
      </w:r>
    </w:p>
    <w:p w14:paraId="7DE41367" w14:textId="77777777" w:rsidR="00A71EEF" w:rsidRDefault="0081115D">
      <w:pPr>
        <w:pStyle w:val="a4"/>
        <w:numPr>
          <w:ilvl w:val="2"/>
          <w:numId w:val="173"/>
        </w:numPr>
        <w:tabs>
          <w:tab w:val="left" w:pos="1478"/>
        </w:tabs>
        <w:spacing w:line="267" w:lineRule="exact"/>
        <w:ind w:hanging="638"/>
        <w:rPr>
          <w:sz w:val="21"/>
        </w:rPr>
      </w:pPr>
      <w:r>
        <w:rPr>
          <w:spacing w:val="-3"/>
          <w:sz w:val="21"/>
        </w:rPr>
        <w:t>超声、电生理、肺功能检查室宜各成一区，与门诊部、住院部应有便捷联系。</w:t>
      </w:r>
      <w:r>
        <w:rPr>
          <w:spacing w:val="-3"/>
          <w:sz w:val="21"/>
        </w:rPr>
        <w:t xml:space="preserve"> </w:t>
      </w:r>
    </w:p>
    <w:p w14:paraId="31C94BC2" w14:textId="77777777" w:rsidR="00A71EEF" w:rsidRDefault="00A71EEF">
      <w:pPr>
        <w:pStyle w:val="a3"/>
        <w:spacing w:before="2"/>
        <w:rPr>
          <w:sz w:val="18"/>
        </w:rPr>
      </w:pPr>
    </w:p>
    <w:p w14:paraId="126C1657" w14:textId="77777777" w:rsidR="00A71EEF" w:rsidRDefault="0081115D">
      <w:pPr>
        <w:pStyle w:val="a4"/>
        <w:numPr>
          <w:ilvl w:val="2"/>
          <w:numId w:val="173"/>
        </w:numPr>
        <w:tabs>
          <w:tab w:val="left" w:pos="1478"/>
        </w:tabs>
        <w:spacing w:line="446" w:lineRule="auto"/>
        <w:ind w:left="418" w:right="1918" w:firstLine="422"/>
        <w:rPr>
          <w:sz w:val="21"/>
        </w:rPr>
      </w:pPr>
      <w:r>
        <w:rPr>
          <w:spacing w:val="-3"/>
          <w:sz w:val="21"/>
        </w:rPr>
        <w:t>功能检查科应设检查室</w:t>
      </w:r>
      <w:r>
        <w:rPr>
          <w:spacing w:val="-3"/>
          <w:sz w:val="21"/>
        </w:rPr>
        <w:t>(</w:t>
      </w:r>
      <w:r>
        <w:rPr>
          <w:spacing w:val="-3"/>
          <w:sz w:val="21"/>
        </w:rPr>
        <w:t>肺功能、脑电图、肌电图、脑血流图、心电图、超声等</w:t>
      </w:r>
      <w:r>
        <w:rPr>
          <w:spacing w:val="-3"/>
          <w:sz w:val="21"/>
        </w:rPr>
        <w:t>)</w:t>
      </w:r>
      <w:r>
        <w:rPr>
          <w:spacing w:val="-3"/>
          <w:sz w:val="21"/>
        </w:rPr>
        <w:t>、处置、医生办公、治疗、患者、医护人员更衣和卫生间等用房。</w:t>
      </w:r>
      <w:r>
        <w:rPr>
          <w:sz w:val="21"/>
        </w:rPr>
        <w:t xml:space="preserve"> </w:t>
      </w:r>
    </w:p>
    <w:p w14:paraId="57A1B84F" w14:textId="77777777" w:rsidR="00A71EEF" w:rsidRDefault="0081115D">
      <w:pPr>
        <w:pStyle w:val="a4"/>
        <w:numPr>
          <w:ilvl w:val="2"/>
          <w:numId w:val="173"/>
        </w:numPr>
        <w:tabs>
          <w:tab w:val="left" w:pos="1478"/>
        </w:tabs>
        <w:spacing w:line="267" w:lineRule="exact"/>
        <w:ind w:hanging="638"/>
        <w:rPr>
          <w:sz w:val="21"/>
        </w:rPr>
      </w:pPr>
      <w:r>
        <w:rPr>
          <w:spacing w:val="-7"/>
          <w:sz w:val="21"/>
        </w:rPr>
        <w:t>检查床之间的净距不应小于</w:t>
      </w:r>
      <w:r>
        <w:rPr>
          <w:spacing w:val="-7"/>
          <w:sz w:val="21"/>
        </w:rPr>
        <w:t xml:space="preserve"> </w:t>
      </w:r>
      <w:r>
        <w:rPr>
          <w:sz w:val="21"/>
        </w:rPr>
        <w:t>1.50m</w:t>
      </w:r>
      <w:r>
        <w:rPr>
          <w:spacing w:val="-3"/>
          <w:sz w:val="21"/>
        </w:rPr>
        <w:t>，宜有隔断设施。</w:t>
      </w:r>
      <w:r>
        <w:rPr>
          <w:sz w:val="21"/>
        </w:rPr>
        <w:t xml:space="preserve"> </w:t>
      </w:r>
    </w:p>
    <w:p w14:paraId="72288B15" w14:textId="77777777" w:rsidR="00A71EEF" w:rsidRDefault="00A71EEF">
      <w:pPr>
        <w:pStyle w:val="a3"/>
        <w:spacing w:before="1"/>
        <w:rPr>
          <w:sz w:val="18"/>
        </w:rPr>
      </w:pPr>
    </w:p>
    <w:p w14:paraId="186CA369" w14:textId="77777777" w:rsidR="00A71EEF" w:rsidRDefault="0081115D">
      <w:pPr>
        <w:pStyle w:val="a4"/>
        <w:numPr>
          <w:ilvl w:val="2"/>
          <w:numId w:val="173"/>
        </w:numPr>
        <w:tabs>
          <w:tab w:val="left" w:pos="1478"/>
        </w:tabs>
        <w:spacing w:before="1"/>
        <w:ind w:hanging="638"/>
        <w:rPr>
          <w:sz w:val="21"/>
        </w:rPr>
      </w:pPr>
      <w:r>
        <w:rPr>
          <w:spacing w:val="-3"/>
          <w:sz w:val="21"/>
        </w:rPr>
        <w:t>心脏运动负荷检查室应设氧气终端。</w:t>
      </w:r>
      <w:r>
        <w:rPr>
          <w:sz w:val="21"/>
        </w:rPr>
        <w:t xml:space="preserve"> </w:t>
      </w:r>
    </w:p>
    <w:p w14:paraId="1AC5B383" w14:textId="77777777" w:rsidR="00A71EEF" w:rsidRDefault="00A71EEF">
      <w:pPr>
        <w:pStyle w:val="a3"/>
        <w:spacing w:before="12"/>
        <w:rPr>
          <w:sz w:val="17"/>
        </w:rPr>
      </w:pPr>
    </w:p>
    <w:p w14:paraId="2D845D31" w14:textId="77777777" w:rsidR="00A71EEF" w:rsidRDefault="0081115D">
      <w:pPr>
        <w:pStyle w:val="a4"/>
        <w:numPr>
          <w:ilvl w:val="1"/>
          <w:numId w:val="172"/>
        </w:numPr>
        <w:tabs>
          <w:tab w:val="left" w:pos="1266"/>
        </w:tabs>
        <w:ind w:hanging="426"/>
        <w:rPr>
          <w:sz w:val="21"/>
        </w:rPr>
      </w:pPr>
      <w:r>
        <w:rPr>
          <w:spacing w:val="-3"/>
          <w:sz w:val="21"/>
        </w:rPr>
        <w:t>内窥镜科用房</w:t>
      </w:r>
      <w:r>
        <w:rPr>
          <w:sz w:val="21"/>
        </w:rPr>
        <w:t xml:space="preserve"> </w:t>
      </w:r>
    </w:p>
    <w:p w14:paraId="49F7E7E8" w14:textId="77777777" w:rsidR="00A71EEF" w:rsidRDefault="00A71EEF">
      <w:pPr>
        <w:pStyle w:val="a3"/>
        <w:spacing w:before="12"/>
        <w:rPr>
          <w:sz w:val="17"/>
        </w:rPr>
      </w:pPr>
    </w:p>
    <w:p w14:paraId="46889795" w14:textId="77777777" w:rsidR="00A71EEF" w:rsidRDefault="0081115D">
      <w:pPr>
        <w:pStyle w:val="a4"/>
        <w:numPr>
          <w:ilvl w:val="2"/>
          <w:numId w:val="172"/>
        </w:numPr>
        <w:tabs>
          <w:tab w:val="left" w:pos="1478"/>
        </w:tabs>
        <w:spacing w:line="446" w:lineRule="auto"/>
        <w:ind w:right="4439" w:firstLine="2"/>
        <w:rPr>
          <w:b/>
          <w:sz w:val="21"/>
        </w:rPr>
      </w:pPr>
      <w:r>
        <w:rPr>
          <w:spacing w:val="-2"/>
          <w:sz w:val="21"/>
        </w:rPr>
        <w:t>内窥镜科用房位置与平面布置应符合下列要求：</w:t>
      </w:r>
      <w:r>
        <w:rPr>
          <w:spacing w:val="-2"/>
          <w:sz w:val="21"/>
        </w:rPr>
        <w:t xml:space="preserve"> </w:t>
      </w:r>
      <w:r>
        <w:rPr>
          <w:spacing w:val="-2"/>
          <w:sz w:val="21"/>
        </w:rPr>
        <w:t>应</w:t>
      </w:r>
      <w:r>
        <w:rPr>
          <w:spacing w:val="-3"/>
          <w:sz w:val="21"/>
        </w:rPr>
        <w:t>自成一区，与门诊部有便捷联系；</w:t>
      </w:r>
      <w:r>
        <w:rPr>
          <w:b/>
          <w:w w:val="99"/>
          <w:sz w:val="21"/>
        </w:rPr>
        <w:t xml:space="preserve"> </w:t>
      </w:r>
    </w:p>
    <w:p w14:paraId="012C02FA" w14:textId="77777777" w:rsidR="00A71EEF" w:rsidRDefault="0081115D">
      <w:pPr>
        <w:pStyle w:val="a3"/>
        <w:spacing w:before="1" w:line="446" w:lineRule="auto"/>
        <w:ind w:left="840" w:right="4446" w:hanging="3"/>
      </w:pPr>
      <w:r>
        <w:t>各检查室宜分别设置。上、下消化道检查室应分开设置。</w:t>
      </w:r>
      <w:r>
        <w:rPr>
          <w:b/>
        </w:rPr>
        <w:t xml:space="preserve">5.16.2 </w:t>
      </w:r>
      <w:r>
        <w:t>用房设置应符合下列要求：</w:t>
      </w:r>
      <w:r>
        <w:t xml:space="preserve"> </w:t>
      </w:r>
    </w:p>
    <w:p w14:paraId="107AEE1D" w14:textId="77777777" w:rsidR="00A71EEF" w:rsidRDefault="0081115D">
      <w:pPr>
        <w:pStyle w:val="a3"/>
        <w:spacing w:line="446" w:lineRule="auto"/>
        <w:ind w:left="418" w:right="1817" w:firstLine="419"/>
        <w:jc w:val="both"/>
      </w:pPr>
      <w:r>
        <w:t>应设内窥镜</w:t>
      </w:r>
      <w:r>
        <w:t>(</w:t>
      </w:r>
      <w:r>
        <w:t>上消化道内窥镜、下消化道内窥镜、支气管镜、胆道镜等</w:t>
      </w:r>
      <w:r>
        <w:t>)</w:t>
      </w:r>
      <w:r>
        <w:t>检查、准备、处置、等候、休息、卫生间、患者和医护人员更衣等用房。下消化道检查应设置卫生间、灌肠室。可设观察室。</w:t>
      </w:r>
      <w:r>
        <w:t xml:space="preserve"> </w:t>
      </w:r>
    </w:p>
    <w:p w14:paraId="570D9857" w14:textId="77777777" w:rsidR="00A71EEF" w:rsidRDefault="0081115D">
      <w:pPr>
        <w:pStyle w:val="a4"/>
        <w:numPr>
          <w:ilvl w:val="2"/>
          <w:numId w:val="171"/>
        </w:numPr>
        <w:tabs>
          <w:tab w:val="left" w:pos="1478"/>
        </w:tabs>
        <w:spacing w:line="268" w:lineRule="exact"/>
        <w:ind w:hanging="638"/>
        <w:jc w:val="both"/>
        <w:rPr>
          <w:sz w:val="21"/>
        </w:rPr>
      </w:pPr>
      <w:r>
        <w:rPr>
          <w:spacing w:val="-3"/>
          <w:sz w:val="21"/>
        </w:rPr>
        <w:t>检查室应设置固定于墙上的观片灯，宜配置医疗气体系统终端。</w:t>
      </w:r>
      <w:r>
        <w:rPr>
          <w:sz w:val="21"/>
        </w:rPr>
        <w:t xml:space="preserve"> </w:t>
      </w:r>
    </w:p>
    <w:p w14:paraId="3F9A23B9" w14:textId="77777777" w:rsidR="00A71EEF" w:rsidRDefault="00A71EEF">
      <w:pPr>
        <w:pStyle w:val="a3"/>
        <w:spacing w:before="12"/>
        <w:rPr>
          <w:sz w:val="17"/>
        </w:rPr>
      </w:pPr>
    </w:p>
    <w:p w14:paraId="175957C3" w14:textId="77777777" w:rsidR="00A71EEF" w:rsidRDefault="0081115D">
      <w:pPr>
        <w:pStyle w:val="a4"/>
        <w:numPr>
          <w:ilvl w:val="2"/>
          <w:numId w:val="171"/>
        </w:numPr>
        <w:tabs>
          <w:tab w:val="left" w:pos="1478"/>
        </w:tabs>
        <w:ind w:hanging="638"/>
        <w:rPr>
          <w:sz w:val="21"/>
        </w:rPr>
      </w:pPr>
      <w:r>
        <w:rPr>
          <w:spacing w:val="-3"/>
          <w:sz w:val="21"/>
        </w:rPr>
        <w:t>内窥镜科区域内应设置内镜洗涤消毒设施，且上、下消化道镜应分别设置。</w:t>
      </w:r>
      <w:r>
        <w:rPr>
          <w:spacing w:val="-3"/>
          <w:sz w:val="21"/>
        </w:rPr>
        <w:t xml:space="preserve"> </w:t>
      </w:r>
    </w:p>
    <w:p w14:paraId="5988885D" w14:textId="77777777" w:rsidR="00A71EEF" w:rsidRDefault="00A71EEF">
      <w:pPr>
        <w:pStyle w:val="a3"/>
        <w:rPr>
          <w:sz w:val="18"/>
        </w:rPr>
      </w:pPr>
    </w:p>
    <w:p w14:paraId="65E43E49" w14:textId="77777777" w:rsidR="00A71EEF" w:rsidRDefault="0081115D">
      <w:pPr>
        <w:pStyle w:val="a4"/>
        <w:numPr>
          <w:ilvl w:val="1"/>
          <w:numId w:val="172"/>
        </w:numPr>
        <w:tabs>
          <w:tab w:val="left" w:pos="1264"/>
        </w:tabs>
        <w:ind w:left="1263" w:hanging="424"/>
        <w:rPr>
          <w:b/>
          <w:sz w:val="21"/>
        </w:rPr>
      </w:pPr>
      <w:r>
        <w:rPr>
          <w:spacing w:val="-3"/>
          <w:sz w:val="21"/>
        </w:rPr>
        <w:t>理疗科用房</w:t>
      </w:r>
      <w:r>
        <w:rPr>
          <w:b/>
          <w:w w:val="99"/>
          <w:sz w:val="21"/>
        </w:rPr>
        <w:t xml:space="preserve"> </w:t>
      </w:r>
    </w:p>
    <w:p w14:paraId="003662F2" w14:textId="77777777" w:rsidR="00A71EEF" w:rsidRDefault="00A71EEF">
      <w:pPr>
        <w:pStyle w:val="a3"/>
        <w:spacing w:before="2"/>
        <w:rPr>
          <w:b/>
          <w:sz w:val="18"/>
        </w:rPr>
      </w:pPr>
    </w:p>
    <w:p w14:paraId="417E8B05" w14:textId="77777777" w:rsidR="00A71EEF" w:rsidRDefault="0081115D">
      <w:pPr>
        <w:pStyle w:val="a4"/>
        <w:numPr>
          <w:ilvl w:val="2"/>
          <w:numId w:val="172"/>
        </w:numPr>
        <w:tabs>
          <w:tab w:val="left" w:pos="1478"/>
        </w:tabs>
        <w:ind w:left="1477" w:hanging="638"/>
        <w:rPr>
          <w:sz w:val="21"/>
        </w:rPr>
      </w:pPr>
      <w:r>
        <w:rPr>
          <w:spacing w:val="-3"/>
          <w:sz w:val="21"/>
        </w:rPr>
        <w:t>理疗科可设在门诊部或住院部，应自成一区。</w:t>
      </w:r>
      <w:r>
        <w:rPr>
          <w:spacing w:val="-3"/>
          <w:sz w:val="21"/>
        </w:rPr>
        <w:t xml:space="preserve"> </w:t>
      </w:r>
      <w:r>
        <w:rPr>
          <w:spacing w:val="-2"/>
          <w:sz w:val="21"/>
        </w:rPr>
        <w:t xml:space="preserve"> </w:t>
      </w:r>
      <w:r>
        <w:rPr>
          <w:sz w:val="21"/>
        </w:rPr>
        <w:t xml:space="preserve"> </w:t>
      </w:r>
    </w:p>
    <w:p w14:paraId="2EA825FF" w14:textId="77777777" w:rsidR="00A71EEF" w:rsidRDefault="00A71EEF">
      <w:pPr>
        <w:rPr>
          <w:sz w:val="21"/>
        </w:rPr>
        <w:sectPr w:rsidR="00A71EEF">
          <w:pgSz w:w="11910" w:h="16850"/>
          <w:pgMar w:top="1220" w:right="0" w:bottom="1420" w:left="1260" w:header="0" w:footer="1239" w:gutter="0"/>
          <w:cols w:space="720"/>
        </w:sectPr>
      </w:pPr>
    </w:p>
    <w:p w14:paraId="03C66E13" w14:textId="77777777" w:rsidR="00A71EEF" w:rsidRDefault="0081115D">
      <w:pPr>
        <w:pStyle w:val="a4"/>
        <w:numPr>
          <w:ilvl w:val="2"/>
          <w:numId w:val="172"/>
        </w:numPr>
        <w:tabs>
          <w:tab w:val="left" w:pos="1478"/>
        </w:tabs>
        <w:spacing w:before="47"/>
        <w:ind w:left="1477" w:hanging="638"/>
        <w:rPr>
          <w:sz w:val="21"/>
        </w:rPr>
      </w:pPr>
      <w:r>
        <w:rPr>
          <w:spacing w:val="-3"/>
          <w:sz w:val="21"/>
        </w:rPr>
        <w:t>理疗科设计应符合现行行业标准《疗养院建筑设计规范》</w:t>
      </w:r>
      <w:r>
        <w:rPr>
          <w:sz w:val="21"/>
        </w:rPr>
        <w:t>JGJ</w:t>
      </w:r>
      <w:r>
        <w:rPr>
          <w:spacing w:val="-1"/>
          <w:sz w:val="21"/>
        </w:rPr>
        <w:t xml:space="preserve"> </w:t>
      </w:r>
      <w:r>
        <w:rPr>
          <w:sz w:val="21"/>
        </w:rPr>
        <w:t>40</w:t>
      </w:r>
      <w:r>
        <w:rPr>
          <w:spacing w:val="-10"/>
          <w:sz w:val="21"/>
        </w:rPr>
        <w:t xml:space="preserve"> </w:t>
      </w:r>
      <w:r>
        <w:rPr>
          <w:spacing w:val="-10"/>
          <w:sz w:val="21"/>
        </w:rPr>
        <w:t>的有关规定。</w:t>
      </w:r>
      <w:r>
        <w:rPr>
          <w:sz w:val="21"/>
        </w:rPr>
        <w:t xml:space="preserve"> </w:t>
      </w:r>
    </w:p>
    <w:p w14:paraId="6E79787C" w14:textId="77777777" w:rsidR="00A71EEF" w:rsidRDefault="00A71EEF">
      <w:pPr>
        <w:pStyle w:val="a3"/>
        <w:rPr>
          <w:sz w:val="18"/>
        </w:rPr>
      </w:pPr>
    </w:p>
    <w:p w14:paraId="451025FB" w14:textId="77777777" w:rsidR="00A71EEF" w:rsidRDefault="0081115D">
      <w:pPr>
        <w:pStyle w:val="a4"/>
        <w:numPr>
          <w:ilvl w:val="1"/>
          <w:numId w:val="172"/>
        </w:numPr>
        <w:tabs>
          <w:tab w:val="left" w:pos="1264"/>
        </w:tabs>
        <w:ind w:left="1263" w:hanging="424"/>
        <w:rPr>
          <w:b/>
          <w:sz w:val="21"/>
        </w:rPr>
      </w:pPr>
      <w:r>
        <w:rPr>
          <w:spacing w:val="-3"/>
          <w:sz w:val="21"/>
        </w:rPr>
        <w:t>输血科</w:t>
      </w:r>
      <w:r>
        <w:rPr>
          <w:spacing w:val="-3"/>
          <w:sz w:val="21"/>
        </w:rPr>
        <w:t>(</w:t>
      </w:r>
      <w:r>
        <w:rPr>
          <w:spacing w:val="-3"/>
          <w:sz w:val="21"/>
        </w:rPr>
        <w:t>血库</w:t>
      </w:r>
      <w:r>
        <w:rPr>
          <w:spacing w:val="-3"/>
          <w:sz w:val="21"/>
        </w:rPr>
        <w:t>)</w:t>
      </w:r>
      <w:r>
        <w:rPr>
          <w:spacing w:val="-3"/>
          <w:sz w:val="21"/>
        </w:rPr>
        <w:t>用房</w:t>
      </w:r>
      <w:r>
        <w:rPr>
          <w:b/>
          <w:w w:val="99"/>
          <w:sz w:val="21"/>
        </w:rPr>
        <w:t xml:space="preserve"> </w:t>
      </w:r>
    </w:p>
    <w:p w14:paraId="178DEE9E" w14:textId="77777777" w:rsidR="00A71EEF" w:rsidRDefault="00A71EEF">
      <w:pPr>
        <w:pStyle w:val="a3"/>
        <w:rPr>
          <w:b/>
          <w:sz w:val="18"/>
        </w:rPr>
      </w:pPr>
    </w:p>
    <w:p w14:paraId="3B07F479" w14:textId="77777777" w:rsidR="00A71EEF" w:rsidRDefault="0081115D">
      <w:pPr>
        <w:pStyle w:val="a4"/>
        <w:numPr>
          <w:ilvl w:val="2"/>
          <w:numId w:val="172"/>
        </w:numPr>
        <w:tabs>
          <w:tab w:val="left" w:pos="1478"/>
        </w:tabs>
        <w:ind w:left="1477" w:hanging="638"/>
        <w:rPr>
          <w:sz w:val="21"/>
        </w:rPr>
      </w:pPr>
      <w:r>
        <w:rPr>
          <w:spacing w:val="-3"/>
          <w:sz w:val="21"/>
        </w:rPr>
        <w:t>输血科</w:t>
      </w:r>
      <w:r>
        <w:rPr>
          <w:spacing w:val="-3"/>
          <w:sz w:val="21"/>
        </w:rPr>
        <w:t>(</w:t>
      </w:r>
      <w:r>
        <w:rPr>
          <w:spacing w:val="-3"/>
          <w:sz w:val="21"/>
        </w:rPr>
        <w:t>血库</w:t>
      </w:r>
      <w:r>
        <w:rPr>
          <w:spacing w:val="-3"/>
          <w:sz w:val="21"/>
        </w:rPr>
        <w:t>)</w:t>
      </w:r>
      <w:r>
        <w:rPr>
          <w:spacing w:val="-3"/>
          <w:sz w:val="21"/>
        </w:rPr>
        <w:t>用房位置与平面布置应符合下列要求：</w:t>
      </w:r>
      <w:r>
        <w:rPr>
          <w:sz w:val="21"/>
        </w:rPr>
        <w:t xml:space="preserve">  </w:t>
      </w:r>
      <w:r>
        <w:rPr>
          <w:spacing w:val="-2"/>
          <w:sz w:val="21"/>
        </w:rPr>
        <w:t xml:space="preserve"> </w:t>
      </w:r>
      <w:r>
        <w:rPr>
          <w:sz w:val="21"/>
        </w:rPr>
        <w:t xml:space="preserve"> </w:t>
      </w:r>
    </w:p>
    <w:p w14:paraId="3B3A8DF7" w14:textId="77777777" w:rsidR="00A71EEF" w:rsidRDefault="00A71EEF">
      <w:pPr>
        <w:pStyle w:val="a3"/>
        <w:spacing w:before="1"/>
        <w:rPr>
          <w:sz w:val="18"/>
        </w:rPr>
      </w:pPr>
    </w:p>
    <w:p w14:paraId="5065058F" w14:textId="77777777" w:rsidR="00A71EEF" w:rsidRDefault="0081115D">
      <w:pPr>
        <w:pStyle w:val="a3"/>
        <w:spacing w:before="1"/>
        <w:ind w:left="838"/>
        <w:rPr>
          <w:b/>
        </w:rPr>
      </w:pPr>
      <w:r>
        <w:t>宜自成一区，并宜邻近手术部；</w:t>
      </w:r>
      <w:r>
        <w:t xml:space="preserve">  </w:t>
      </w:r>
      <w:r>
        <w:rPr>
          <w:b/>
          <w:w w:val="99"/>
        </w:rPr>
        <w:t xml:space="preserve"> </w:t>
      </w:r>
    </w:p>
    <w:p w14:paraId="4E932E11" w14:textId="77777777" w:rsidR="00A71EEF" w:rsidRDefault="00A71EEF">
      <w:pPr>
        <w:pStyle w:val="a3"/>
        <w:spacing w:before="12"/>
        <w:rPr>
          <w:b/>
          <w:sz w:val="17"/>
        </w:rPr>
      </w:pPr>
    </w:p>
    <w:p w14:paraId="7F5B2A53" w14:textId="77777777" w:rsidR="00A71EEF" w:rsidRDefault="0081115D">
      <w:pPr>
        <w:pStyle w:val="a3"/>
        <w:ind w:left="838"/>
        <w:rPr>
          <w:b/>
        </w:rPr>
      </w:pPr>
      <w:r>
        <w:t>贮血与配血室应分别设置。</w:t>
      </w:r>
      <w:r>
        <w:t xml:space="preserve">  </w:t>
      </w:r>
      <w:r>
        <w:rPr>
          <w:b/>
          <w:w w:val="99"/>
        </w:rPr>
        <w:t xml:space="preserve"> </w:t>
      </w:r>
    </w:p>
    <w:p w14:paraId="67739E6C" w14:textId="77777777" w:rsidR="00A71EEF" w:rsidRDefault="00A71EEF">
      <w:pPr>
        <w:pStyle w:val="a3"/>
        <w:spacing w:before="12"/>
        <w:rPr>
          <w:b/>
          <w:sz w:val="17"/>
        </w:rPr>
      </w:pPr>
    </w:p>
    <w:p w14:paraId="59918134" w14:textId="77777777" w:rsidR="00A71EEF" w:rsidRDefault="0081115D">
      <w:pPr>
        <w:pStyle w:val="a4"/>
        <w:numPr>
          <w:ilvl w:val="2"/>
          <w:numId w:val="172"/>
        </w:numPr>
        <w:tabs>
          <w:tab w:val="left" w:pos="1478"/>
        </w:tabs>
        <w:ind w:left="1477" w:hanging="638"/>
        <w:rPr>
          <w:sz w:val="21"/>
        </w:rPr>
      </w:pPr>
      <w:r>
        <w:rPr>
          <w:spacing w:val="-3"/>
          <w:sz w:val="21"/>
        </w:rPr>
        <w:t>输血科应设置配血、贮血、发血、清洗、消毒、更衣、卫生间等用房。</w:t>
      </w:r>
      <w:r>
        <w:rPr>
          <w:spacing w:val="-3"/>
          <w:sz w:val="21"/>
        </w:rPr>
        <w:t xml:space="preserve"> </w:t>
      </w:r>
    </w:p>
    <w:p w14:paraId="3E169E47" w14:textId="77777777" w:rsidR="00A71EEF" w:rsidRDefault="00A71EEF">
      <w:pPr>
        <w:pStyle w:val="a3"/>
        <w:spacing w:before="2"/>
        <w:rPr>
          <w:sz w:val="18"/>
        </w:rPr>
      </w:pPr>
    </w:p>
    <w:p w14:paraId="04C2E356" w14:textId="77777777" w:rsidR="00A71EEF" w:rsidRDefault="0081115D">
      <w:pPr>
        <w:pStyle w:val="a4"/>
        <w:numPr>
          <w:ilvl w:val="1"/>
          <w:numId w:val="172"/>
        </w:numPr>
        <w:tabs>
          <w:tab w:val="left" w:pos="1264"/>
        </w:tabs>
        <w:ind w:left="1263" w:hanging="424"/>
        <w:rPr>
          <w:sz w:val="21"/>
        </w:rPr>
      </w:pPr>
      <w:r>
        <w:rPr>
          <w:spacing w:val="-3"/>
          <w:sz w:val="21"/>
        </w:rPr>
        <w:t>药剂科用房</w:t>
      </w:r>
      <w:r>
        <w:rPr>
          <w:sz w:val="21"/>
        </w:rPr>
        <w:t xml:space="preserve"> </w:t>
      </w:r>
    </w:p>
    <w:p w14:paraId="4398100A" w14:textId="77777777" w:rsidR="00A71EEF" w:rsidRDefault="00A71EEF">
      <w:pPr>
        <w:pStyle w:val="a3"/>
        <w:rPr>
          <w:sz w:val="18"/>
        </w:rPr>
      </w:pPr>
    </w:p>
    <w:p w14:paraId="3BAC3982" w14:textId="77777777" w:rsidR="00A71EEF" w:rsidRDefault="0081115D">
      <w:pPr>
        <w:pStyle w:val="a4"/>
        <w:numPr>
          <w:ilvl w:val="2"/>
          <w:numId w:val="172"/>
        </w:numPr>
        <w:tabs>
          <w:tab w:val="left" w:pos="1478"/>
        </w:tabs>
        <w:spacing w:line="446" w:lineRule="auto"/>
        <w:ind w:right="4650" w:firstLine="2"/>
        <w:rPr>
          <w:b/>
          <w:sz w:val="21"/>
        </w:rPr>
      </w:pPr>
      <w:r>
        <w:rPr>
          <w:spacing w:val="-2"/>
          <w:sz w:val="21"/>
        </w:rPr>
        <w:t>药剂科用房位置与平面布置应符合下列要求：</w:t>
      </w:r>
      <w:r>
        <w:rPr>
          <w:spacing w:val="-2"/>
          <w:sz w:val="21"/>
        </w:rPr>
        <w:t xml:space="preserve"> </w:t>
      </w:r>
      <w:r>
        <w:rPr>
          <w:spacing w:val="-2"/>
          <w:sz w:val="21"/>
        </w:rPr>
        <w:t>门</w:t>
      </w:r>
      <w:r>
        <w:rPr>
          <w:spacing w:val="-3"/>
          <w:sz w:val="21"/>
        </w:rPr>
        <w:t>诊、急诊药房与住院部药房应分别设置；</w:t>
      </w:r>
      <w:r>
        <w:rPr>
          <w:b/>
          <w:w w:val="99"/>
          <w:sz w:val="21"/>
        </w:rPr>
        <w:t xml:space="preserve"> </w:t>
      </w:r>
    </w:p>
    <w:p w14:paraId="5926FCF4" w14:textId="77777777" w:rsidR="00A71EEF" w:rsidRDefault="0081115D">
      <w:pPr>
        <w:pStyle w:val="a3"/>
        <w:spacing w:line="446" w:lineRule="auto"/>
        <w:ind w:left="838" w:right="5917"/>
        <w:rPr>
          <w:b/>
        </w:rPr>
      </w:pPr>
      <w:r>
        <w:rPr>
          <w:spacing w:val="-3"/>
        </w:rPr>
        <w:t>药库和中药煎药处均应单独设置房间；</w:t>
      </w:r>
      <w:r>
        <w:rPr>
          <w:spacing w:val="-3"/>
        </w:rPr>
        <w:t xml:space="preserve">  </w:t>
      </w:r>
      <w:r>
        <w:rPr>
          <w:spacing w:val="-3"/>
        </w:rPr>
        <w:t>门诊、急诊药房宜分别设中、西药房；</w:t>
      </w:r>
      <w:r>
        <w:rPr>
          <w:spacing w:val="-3"/>
        </w:rPr>
        <w:t xml:space="preserve">  </w:t>
      </w:r>
      <w:r>
        <w:rPr>
          <w:spacing w:val="-3"/>
        </w:rPr>
        <w:t>儿科和各传染病科门诊宜设单独发药处。</w:t>
      </w:r>
      <w:r>
        <w:rPr>
          <w:b/>
        </w:rPr>
        <w:t>5.19.2</w:t>
      </w:r>
      <w:r>
        <w:rPr>
          <w:b/>
          <w:spacing w:val="3"/>
        </w:rPr>
        <w:t xml:space="preserve"> </w:t>
      </w:r>
      <w:r>
        <w:rPr>
          <w:spacing w:val="-3"/>
        </w:rPr>
        <w:t>用房设置应符合下列要求：</w:t>
      </w:r>
      <w:r>
        <w:rPr>
          <w:b/>
          <w:w w:val="99"/>
        </w:rPr>
        <w:t xml:space="preserve"> </w:t>
      </w:r>
    </w:p>
    <w:p w14:paraId="47C2F67B" w14:textId="77777777" w:rsidR="00A71EEF" w:rsidRDefault="0081115D">
      <w:pPr>
        <w:pStyle w:val="a3"/>
        <w:spacing w:line="446" w:lineRule="auto"/>
        <w:ind w:left="838" w:right="4026"/>
        <w:jc w:val="both"/>
        <w:rPr>
          <w:b/>
        </w:rPr>
      </w:pPr>
      <w:r>
        <w:t>门诊药房应设发药、调剂、药库、办公、值班和更衣等用房；</w:t>
      </w:r>
      <w:r>
        <w:t xml:space="preserve"> </w:t>
      </w:r>
      <w:r>
        <w:t>住院药房应设摆药、药库、发药、办公、值班和更衣等用房；</w:t>
      </w:r>
      <w:r>
        <w:t xml:space="preserve"> </w:t>
      </w:r>
      <w:r>
        <w:t>中药房应设置中成药库、中草药库和煎药室；</w:t>
      </w:r>
      <w:r>
        <w:rPr>
          <w:b/>
          <w:w w:val="99"/>
        </w:rPr>
        <w:t xml:space="preserve"> </w:t>
      </w:r>
    </w:p>
    <w:p w14:paraId="1D769E5C" w14:textId="77777777" w:rsidR="00A71EEF" w:rsidRDefault="0081115D">
      <w:pPr>
        <w:pStyle w:val="a3"/>
        <w:spacing w:line="446" w:lineRule="auto"/>
        <w:ind w:left="840" w:right="5288" w:hanging="3"/>
        <w:jc w:val="both"/>
      </w:pPr>
      <w:r>
        <w:t>可设一级药品库、办公、值班和卫生间等用房。</w:t>
      </w:r>
      <w:r>
        <w:rPr>
          <w:b/>
        </w:rPr>
        <w:t xml:space="preserve">5.19.3 </w:t>
      </w:r>
      <w:r>
        <w:t>发药窗口的中距不应小于</w:t>
      </w:r>
      <w:r>
        <w:t xml:space="preserve"> 1.20m</w:t>
      </w:r>
      <w:r>
        <w:t>。</w:t>
      </w:r>
      <w:r>
        <w:t xml:space="preserve"> </w:t>
      </w:r>
    </w:p>
    <w:p w14:paraId="6AA5E272" w14:textId="77777777" w:rsidR="00A71EEF" w:rsidRDefault="0081115D">
      <w:pPr>
        <w:pStyle w:val="a3"/>
        <w:spacing w:line="446" w:lineRule="auto"/>
        <w:ind w:left="418" w:right="1601" w:firstLine="422"/>
      </w:pPr>
      <w:r>
        <w:rPr>
          <w:b/>
        </w:rPr>
        <w:t xml:space="preserve">5.19.4 </w:t>
      </w:r>
      <w:r>
        <w:t>贵重药、剧毒药、麻醉药、限量药的库房，以及易燃、易爆药物的贮藏处，应有安全设施。</w:t>
      </w:r>
      <w:r>
        <w:t xml:space="preserve"> </w:t>
      </w:r>
    </w:p>
    <w:p w14:paraId="78ED2400" w14:textId="77777777" w:rsidR="00A71EEF" w:rsidRDefault="0081115D">
      <w:pPr>
        <w:pStyle w:val="a4"/>
        <w:numPr>
          <w:ilvl w:val="1"/>
          <w:numId w:val="172"/>
        </w:numPr>
        <w:tabs>
          <w:tab w:val="left" w:pos="1264"/>
        </w:tabs>
        <w:spacing w:line="267" w:lineRule="exact"/>
        <w:ind w:left="1263" w:hanging="424"/>
        <w:rPr>
          <w:sz w:val="21"/>
        </w:rPr>
      </w:pPr>
      <w:r>
        <w:rPr>
          <w:spacing w:val="-3"/>
          <w:sz w:val="21"/>
        </w:rPr>
        <w:t>中心</w:t>
      </w:r>
      <w:r>
        <w:rPr>
          <w:spacing w:val="-3"/>
          <w:sz w:val="21"/>
        </w:rPr>
        <w:t>(</w:t>
      </w:r>
      <w:r>
        <w:rPr>
          <w:spacing w:val="-3"/>
          <w:sz w:val="21"/>
        </w:rPr>
        <w:t>消毒</w:t>
      </w:r>
      <w:r>
        <w:rPr>
          <w:spacing w:val="-3"/>
          <w:sz w:val="21"/>
        </w:rPr>
        <w:t>)</w:t>
      </w:r>
      <w:r>
        <w:rPr>
          <w:spacing w:val="-3"/>
          <w:sz w:val="21"/>
        </w:rPr>
        <w:t>供应室用房</w:t>
      </w:r>
      <w:r>
        <w:rPr>
          <w:spacing w:val="-3"/>
          <w:sz w:val="21"/>
        </w:rPr>
        <w:t xml:space="preserve"> </w:t>
      </w:r>
    </w:p>
    <w:p w14:paraId="3C8B061E" w14:textId="77777777" w:rsidR="00A71EEF" w:rsidRDefault="00A71EEF">
      <w:pPr>
        <w:pStyle w:val="a3"/>
        <w:spacing w:before="11"/>
        <w:rPr>
          <w:sz w:val="17"/>
        </w:rPr>
      </w:pPr>
    </w:p>
    <w:p w14:paraId="3C7678F4" w14:textId="77777777" w:rsidR="00A71EEF" w:rsidRDefault="0081115D">
      <w:pPr>
        <w:pStyle w:val="a4"/>
        <w:numPr>
          <w:ilvl w:val="2"/>
          <w:numId w:val="172"/>
        </w:numPr>
        <w:tabs>
          <w:tab w:val="left" w:pos="1478"/>
        </w:tabs>
        <w:ind w:left="1477" w:hanging="638"/>
        <w:rPr>
          <w:sz w:val="21"/>
        </w:rPr>
      </w:pPr>
      <w:r>
        <w:rPr>
          <w:spacing w:val="-3"/>
          <w:sz w:val="21"/>
        </w:rPr>
        <w:t>中心</w:t>
      </w:r>
      <w:r>
        <w:rPr>
          <w:spacing w:val="-3"/>
          <w:sz w:val="21"/>
        </w:rPr>
        <w:t>(</w:t>
      </w:r>
      <w:r>
        <w:rPr>
          <w:spacing w:val="-3"/>
          <w:sz w:val="21"/>
        </w:rPr>
        <w:t>消毒</w:t>
      </w:r>
      <w:r>
        <w:rPr>
          <w:spacing w:val="-3"/>
          <w:sz w:val="21"/>
        </w:rPr>
        <w:t>)</w:t>
      </w:r>
      <w:r>
        <w:rPr>
          <w:spacing w:val="-3"/>
          <w:sz w:val="21"/>
        </w:rPr>
        <w:t>供应室位置与平面布置应符合下列要求：</w:t>
      </w:r>
      <w:r>
        <w:rPr>
          <w:sz w:val="21"/>
        </w:rPr>
        <w:t xml:space="preserve"> </w:t>
      </w:r>
      <w:r>
        <w:rPr>
          <w:spacing w:val="-2"/>
          <w:sz w:val="21"/>
        </w:rPr>
        <w:t xml:space="preserve"> </w:t>
      </w:r>
      <w:r>
        <w:rPr>
          <w:sz w:val="21"/>
        </w:rPr>
        <w:t xml:space="preserve"> </w:t>
      </w:r>
    </w:p>
    <w:p w14:paraId="280AEA21" w14:textId="77777777" w:rsidR="00A71EEF" w:rsidRDefault="00A71EEF">
      <w:pPr>
        <w:pStyle w:val="a3"/>
        <w:rPr>
          <w:sz w:val="18"/>
        </w:rPr>
      </w:pPr>
    </w:p>
    <w:p w14:paraId="45C4C463" w14:textId="77777777" w:rsidR="00A71EEF" w:rsidRDefault="0081115D">
      <w:pPr>
        <w:pStyle w:val="a3"/>
        <w:ind w:left="838"/>
      </w:pPr>
      <w:r>
        <w:t>应自成一区，宜与手术部、重症监护和介入治疗等功能用房区域有便捷联系；</w:t>
      </w:r>
      <w:r>
        <w:t xml:space="preserve">  </w:t>
      </w:r>
      <w:r>
        <w:t xml:space="preserve"> </w:t>
      </w:r>
    </w:p>
    <w:p w14:paraId="28AEDFFC" w14:textId="77777777" w:rsidR="00A71EEF" w:rsidRDefault="00A71EEF">
      <w:pPr>
        <w:pStyle w:val="a3"/>
        <w:spacing w:before="12"/>
        <w:rPr>
          <w:sz w:val="17"/>
        </w:rPr>
      </w:pPr>
    </w:p>
    <w:p w14:paraId="57D38E1A" w14:textId="77777777" w:rsidR="00A71EEF" w:rsidRDefault="0081115D">
      <w:pPr>
        <w:pStyle w:val="a3"/>
        <w:spacing w:line="446" w:lineRule="auto"/>
        <w:ind w:left="418" w:right="1609" w:firstLine="419"/>
      </w:pPr>
      <w:r>
        <w:t>应按照污染区、清洁区、无菌区三区布置，并应按单向流程布置，工作人员辅助用房应自成一区；</w:t>
      </w:r>
      <w:r>
        <w:t xml:space="preserve">  </w:t>
      </w:r>
      <w:r>
        <w:t xml:space="preserve"> </w:t>
      </w:r>
    </w:p>
    <w:p w14:paraId="69FF6731" w14:textId="77777777" w:rsidR="00A71EEF" w:rsidRDefault="0081115D">
      <w:pPr>
        <w:pStyle w:val="a3"/>
        <w:spacing w:line="446" w:lineRule="auto"/>
        <w:ind w:left="840" w:right="4657" w:hanging="3"/>
      </w:pPr>
      <w:r>
        <w:t>进入污染区、清洁区和无菌区的人员均应卫生通过。</w:t>
      </w:r>
      <w:r>
        <w:rPr>
          <w:b/>
        </w:rPr>
        <w:t xml:space="preserve">5.20.2 </w:t>
      </w:r>
      <w:r>
        <w:t>用房设置应符合下列要求：</w:t>
      </w:r>
      <w:r>
        <w:t xml:space="preserve">  </w:t>
      </w:r>
      <w:r>
        <w:t xml:space="preserve"> </w:t>
      </w:r>
    </w:p>
    <w:p w14:paraId="0626A449" w14:textId="77777777" w:rsidR="00A71EEF" w:rsidRDefault="0081115D">
      <w:pPr>
        <w:pStyle w:val="a3"/>
        <w:ind w:left="838"/>
      </w:pPr>
      <w:r>
        <w:t>污染区应设收件、分类、清洗、消毒和推车清洗中心</w:t>
      </w:r>
      <w:r>
        <w:t>(</w:t>
      </w:r>
      <w:r>
        <w:t>消毒</w:t>
      </w:r>
      <w:r>
        <w:t>)</w:t>
      </w:r>
      <w:r>
        <w:t>用房；</w:t>
      </w:r>
      <w:r>
        <w:t xml:space="preserve">  </w:t>
      </w:r>
      <w:r>
        <w:t xml:space="preserve"> </w:t>
      </w:r>
    </w:p>
    <w:p w14:paraId="13794410" w14:textId="77777777" w:rsidR="00A71EEF" w:rsidRDefault="00A71EEF">
      <w:pPr>
        <w:sectPr w:rsidR="00A71EEF">
          <w:pgSz w:w="11910" w:h="16850"/>
          <w:pgMar w:top="1220" w:right="0" w:bottom="1420" w:left="1260" w:header="0" w:footer="1239" w:gutter="0"/>
          <w:cols w:space="720"/>
        </w:sectPr>
      </w:pPr>
    </w:p>
    <w:p w14:paraId="2E34CE7D" w14:textId="77777777" w:rsidR="00A71EEF" w:rsidRDefault="0081115D">
      <w:pPr>
        <w:pStyle w:val="a3"/>
        <w:spacing w:before="47" w:line="446" w:lineRule="auto"/>
        <w:ind w:left="418" w:right="1609" w:firstLine="419"/>
      </w:pPr>
      <w:r>
        <w:t>清洁区应设敷料制备、器械制备、灭菌、质检、一次性用品库、卫生材料库和器械库等用房；</w:t>
      </w:r>
      <w:r>
        <w:t xml:space="preserve">  </w:t>
      </w:r>
      <w:r>
        <w:t xml:space="preserve"> </w:t>
      </w:r>
    </w:p>
    <w:p w14:paraId="3AE25F7C" w14:textId="77777777" w:rsidR="00A71EEF" w:rsidRDefault="0081115D">
      <w:pPr>
        <w:pStyle w:val="a3"/>
        <w:spacing w:line="267" w:lineRule="exact"/>
        <w:ind w:left="838"/>
      </w:pPr>
      <w:r>
        <w:t>无菌区应设无菌物品储存用房；</w:t>
      </w:r>
      <w:r>
        <w:t xml:space="preserve">  </w:t>
      </w:r>
      <w:r>
        <w:t xml:space="preserve"> </w:t>
      </w:r>
    </w:p>
    <w:p w14:paraId="1975FC3B" w14:textId="77777777" w:rsidR="00A71EEF" w:rsidRDefault="00A71EEF">
      <w:pPr>
        <w:pStyle w:val="a3"/>
        <w:spacing w:before="2"/>
        <w:rPr>
          <w:sz w:val="18"/>
        </w:rPr>
      </w:pPr>
    </w:p>
    <w:p w14:paraId="5E5A114A" w14:textId="77777777" w:rsidR="00A71EEF" w:rsidRDefault="0081115D">
      <w:pPr>
        <w:pStyle w:val="a3"/>
        <w:ind w:left="629"/>
      </w:pPr>
      <w:r>
        <w:t xml:space="preserve">  </w:t>
      </w:r>
      <w:r>
        <w:t>应设办公、值班、更衣和浴室、卫生间等用房。</w:t>
      </w:r>
      <w:r>
        <w:t xml:space="preserve"> </w:t>
      </w:r>
    </w:p>
    <w:p w14:paraId="40562404" w14:textId="77777777" w:rsidR="00A71EEF" w:rsidRDefault="00A71EEF">
      <w:pPr>
        <w:pStyle w:val="a3"/>
        <w:rPr>
          <w:sz w:val="18"/>
        </w:rPr>
      </w:pPr>
    </w:p>
    <w:p w14:paraId="43B08904" w14:textId="77777777" w:rsidR="00A71EEF" w:rsidRDefault="0081115D">
      <w:pPr>
        <w:pStyle w:val="a3"/>
        <w:ind w:left="840"/>
      </w:pPr>
      <w:r>
        <w:rPr>
          <w:b/>
        </w:rPr>
        <w:t xml:space="preserve">5.20.3 </w:t>
      </w:r>
      <w:r>
        <w:t>中心</w:t>
      </w:r>
      <w:r>
        <w:t>(</w:t>
      </w:r>
      <w:r>
        <w:t>消毒</w:t>
      </w:r>
      <w:r>
        <w:t>)</w:t>
      </w:r>
      <w:r>
        <w:t>供应室应满足清洗、消毒、灭菌、设备安装、室内环境要求。</w:t>
      </w:r>
      <w:r>
        <w:t xml:space="preserve"> </w:t>
      </w:r>
    </w:p>
    <w:p w14:paraId="668536F1" w14:textId="77777777" w:rsidR="00A71EEF" w:rsidRDefault="00A71EEF">
      <w:pPr>
        <w:pStyle w:val="a3"/>
        <w:spacing w:before="12"/>
        <w:rPr>
          <w:sz w:val="17"/>
        </w:rPr>
      </w:pPr>
    </w:p>
    <w:p w14:paraId="1F99A940" w14:textId="77777777" w:rsidR="00A71EEF" w:rsidRDefault="0081115D">
      <w:pPr>
        <w:pStyle w:val="a4"/>
        <w:numPr>
          <w:ilvl w:val="1"/>
          <w:numId w:val="172"/>
        </w:numPr>
        <w:tabs>
          <w:tab w:val="left" w:pos="1266"/>
        </w:tabs>
        <w:ind w:hanging="426"/>
        <w:rPr>
          <w:sz w:val="21"/>
        </w:rPr>
      </w:pPr>
      <w:r>
        <w:rPr>
          <w:spacing w:val="-3"/>
          <w:sz w:val="21"/>
        </w:rPr>
        <w:t>营养厨房</w:t>
      </w:r>
      <w:r>
        <w:rPr>
          <w:sz w:val="21"/>
        </w:rPr>
        <w:t xml:space="preserve"> </w:t>
      </w:r>
    </w:p>
    <w:p w14:paraId="64FEACBA" w14:textId="77777777" w:rsidR="00A71EEF" w:rsidRDefault="00A71EEF">
      <w:pPr>
        <w:pStyle w:val="a3"/>
        <w:spacing w:before="2"/>
        <w:rPr>
          <w:sz w:val="18"/>
        </w:rPr>
      </w:pPr>
    </w:p>
    <w:p w14:paraId="1935496B" w14:textId="77777777" w:rsidR="00A71EEF" w:rsidRDefault="0081115D">
      <w:pPr>
        <w:pStyle w:val="a4"/>
        <w:numPr>
          <w:ilvl w:val="2"/>
          <w:numId w:val="172"/>
        </w:numPr>
        <w:tabs>
          <w:tab w:val="left" w:pos="1478"/>
        </w:tabs>
        <w:spacing w:line="446" w:lineRule="auto"/>
        <w:ind w:right="4657" w:firstLine="2"/>
        <w:rPr>
          <w:b/>
          <w:sz w:val="21"/>
        </w:rPr>
      </w:pPr>
      <w:r>
        <w:rPr>
          <w:spacing w:val="-3"/>
          <w:sz w:val="21"/>
        </w:rPr>
        <w:t>营养厨房位置与平面布置应符合下列要求：</w:t>
      </w:r>
      <w:r>
        <w:rPr>
          <w:spacing w:val="-3"/>
          <w:sz w:val="21"/>
        </w:rPr>
        <w:t xml:space="preserve">  </w:t>
      </w:r>
      <w:r>
        <w:rPr>
          <w:spacing w:val="-3"/>
          <w:sz w:val="21"/>
        </w:rPr>
        <w:t>应自成一区，宜邻近病房，并与之有便捷联系通道；</w:t>
      </w:r>
      <w:r>
        <w:rPr>
          <w:spacing w:val="-3"/>
          <w:sz w:val="21"/>
        </w:rPr>
        <w:t xml:space="preserve">  </w:t>
      </w:r>
      <w:r>
        <w:rPr>
          <w:spacing w:val="-3"/>
          <w:sz w:val="21"/>
        </w:rPr>
        <w:t>配</w:t>
      </w:r>
      <w:r>
        <w:rPr>
          <w:spacing w:val="-2"/>
          <w:sz w:val="21"/>
        </w:rPr>
        <w:t>餐室和餐车停放室</w:t>
      </w:r>
      <w:r>
        <w:rPr>
          <w:spacing w:val="-2"/>
          <w:sz w:val="21"/>
        </w:rPr>
        <w:t>(</w:t>
      </w:r>
      <w:r>
        <w:rPr>
          <w:spacing w:val="-2"/>
          <w:sz w:val="21"/>
        </w:rPr>
        <w:t>处</w:t>
      </w:r>
      <w:r>
        <w:rPr>
          <w:spacing w:val="-2"/>
          <w:sz w:val="21"/>
        </w:rPr>
        <w:t>)</w:t>
      </w:r>
      <w:r>
        <w:rPr>
          <w:spacing w:val="-2"/>
          <w:sz w:val="21"/>
        </w:rPr>
        <w:t>应有冲洗和消毒餐车的设施；</w:t>
      </w:r>
      <w:r>
        <w:rPr>
          <w:spacing w:val="-2"/>
          <w:sz w:val="21"/>
        </w:rPr>
        <w:t xml:space="preserve"> </w:t>
      </w:r>
      <w:r>
        <w:rPr>
          <w:spacing w:val="-2"/>
          <w:sz w:val="21"/>
        </w:rPr>
        <w:t>应</w:t>
      </w:r>
      <w:r>
        <w:rPr>
          <w:spacing w:val="-3"/>
          <w:sz w:val="21"/>
        </w:rPr>
        <w:t>避免营养厨房的蒸汽、噪声和气味对病区的窜扰；</w:t>
      </w:r>
      <w:r>
        <w:rPr>
          <w:spacing w:val="-3"/>
          <w:sz w:val="21"/>
        </w:rPr>
        <w:t xml:space="preserve">  </w:t>
      </w:r>
      <w:r>
        <w:rPr>
          <w:spacing w:val="-3"/>
          <w:sz w:val="21"/>
        </w:rPr>
        <w:t>平面布置应遵守食品加工流程。</w:t>
      </w:r>
      <w:r>
        <w:rPr>
          <w:b/>
          <w:w w:val="99"/>
          <w:sz w:val="21"/>
        </w:rPr>
        <w:t xml:space="preserve"> </w:t>
      </w:r>
    </w:p>
    <w:p w14:paraId="2C4E4C4A" w14:textId="77777777" w:rsidR="00A71EEF" w:rsidRDefault="0081115D">
      <w:pPr>
        <w:pStyle w:val="a4"/>
        <w:numPr>
          <w:ilvl w:val="2"/>
          <w:numId w:val="172"/>
        </w:numPr>
        <w:tabs>
          <w:tab w:val="left" w:pos="1478"/>
        </w:tabs>
        <w:spacing w:line="446" w:lineRule="auto"/>
        <w:ind w:left="418" w:right="1810" w:firstLine="422"/>
        <w:rPr>
          <w:sz w:val="21"/>
        </w:rPr>
      </w:pPr>
      <w:r>
        <w:rPr>
          <w:spacing w:val="-3"/>
          <w:sz w:val="21"/>
        </w:rPr>
        <w:t>营养厨房应设置主食制作、副食制作、主食蒸煮、副食洗切、冷荤熟食、回民灶、库房、配餐、餐车存放、办公和更衣等用房。</w:t>
      </w:r>
      <w:r>
        <w:rPr>
          <w:sz w:val="21"/>
        </w:rPr>
        <w:t xml:space="preserve"> </w:t>
      </w:r>
    </w:p>
    <w:p w14:paraId="52D1721F" w14:textId="77777777" w:rsidR="00A71EEF" w:rsidRDefault="0081115D">
      <w:pPr>
        <w:pStyle w:val="a4"/>
        <w:numPr>
          <w:ilvl w:val="1"/>
          <w:numId w:val="172"/>
        </w:numPr>
        <w:tabs>
          <w:tab w:val="left" w:pos="1264"/>
        </w:tabs>
        <w:ind w:left="1263" w:hanging="424"/>
        <w:rPr>
          <w:sz w:val="21"/>
        </w:rPr>
      </w:pPr>
      <w:r>
        <w:rPr>
          <w:spacing w:val="-3"/>
          <w:sz w:val="21"/>
        </w:rPr>
        <w:t>洗衣房</w:t>
      </w:r>
      <w:r>
        <w:rPr>
          <w:sz w:val="21"/>
        </w:rPr>
        <w:t xml:space="preserve"> </w:t>
      </w:r>
    </w:p>
    <w:p w14:paraId="4813F4CA" w14:textId="77777777" w:rsidR="00A71EEF" w:rsidRDefault="00A71EEF">
      <w:pPr>
        <w:pStyle w:val="a3"/>
        <w:spacing w:before="9"/>
        <w:rPr>
          <w:sz w:val="17"/>
        </w:rPr>
      </w:pPr>
    </w:p>
    <w:p w14:paraId="40A2C7F1" w14:textId="77777777" w:rsidR="00A71EEF" w:rsidRDefault="0081115D">
      <w:pPr>
        <w:pStyle w:val="a4"/>
        <w:numPr>
          <w:ilvl w:val="2"/>
          <w:numId w:val="172"/>
        </w:numPr>
        <w:tabs>
          <w:tab w:val="left" w:pos="1478"/>
        </w:tabs>
        <w:ind w:left="1477" w:hanging="638"/>
        <w:rPr>
          <w:sz w:val="21"/>
        </w:rPr>
      </w:pPr>
      <w:r>
        <w:rPr>
          <w:spacing w:val="-3"/>
          <w:sz w:val="21"/>
        </w:rPr>
        <w:t>洗衣房位置与平面布置应符合下列要求：</w:t>
      </w:r>
      <w:r>
        <w:rPr>
          <w:sz w:val="21"/>
        </w:rPr>
        <w:t xml:space="preserve">  </w:t>
      </w:r>
      <w:r>
        <w:rPr>
          <w:sz w:val="21"/>
        </w:rPr>
        <w:t xml:space="preserve"> </w:t>
      </w:r>
    </w:p>
    <w:p w14:paraId="3FDD4B3B" w14:textId="77777777" w:rsidR="00A71EEF" w:rsidRDefault="00A71EEF">
      <w:pPr>
        <w:pStyle w:val="a3"/>
        <w:spacing w:before="2"/>
        <w:rPr>
          <w:sz w:val="18"/>
        </w:rPr>
      </w:pPr>
    </w:p>
    <w:p w14:paraId="279BF8BE" w14:textId="77777777" w:rsidR="00A71EEF" w:rsidRDefault="0081115D">
      <w:pPr>
        <w:pStyle w:val="a3"/>
        <w:ind w:left="838"/>
        <w:rPr>
          <w:b/>
        </w:rPr>
      </w:pPr>
      <w:r>
        <w:t>应自成一区，并应按工艺流程进行平面布置；</w:t>
      </w:r>
      <w:r>
        <w:t xml:space="preserve">  </w:t>
      </w:r>
      <w:r>
        <w:rPr>
          <w:b/>
          <w:w w:val="99"/>
        </w:rPr>
        <w:t xml:space="preserve"> </w:t>
      </w:r>
    </w:p>
    <w:p w14:paraId="25A2507D" w14:textId="77777777" w:rsidR="00A71EEF" w:rsidRDefault="00A71EEF">
      <w:pPr>
        <w:pStyle w:val="a3"/>
        <w:rPr>
          <w:b/>
          <w:sz w:val="18"/>
        </w:rPr>
      </w:pPr>
    </w:p>
    <w:p w14:paraId="5EF69F7A" w14:textId="77777777" w:rsidR="00A71EEF" w:rsidRDefault="0081115D">
      <w:pPr>
        <w:pStyle w:val="a3"/>
        <w:ind w:left="838"/>
        <w:rPr>
          <w:b/>
        </w:rPr>
      </w:pPr>
      <w:r>
        <w:rPr>
          <w:spacing w:val="-3"/>
        </w:rPr>
        <w:t>污衣入口和洁衣出口处应分别设置；</w:t>
      </w:r>
      <w:r>
        <w:t xml:space="preserve"> </w:t>
      </w:r>
      <w:r>
        <w:rPr>
          <w:spacing w:val="-2"/>
        </w:rPr>
        <w:t xml:space="preserve"> </w:t>
      </w:r>
      <w:r>
        <w:rPr>
          <w:b/>
          <w:w w:val="99"/>
        </w:rPr>
        <w:t xml:space="preserve"> </w:t>
      </w:r>
    </w:p>
    <w:p w14:paraId="365103E1" w14:textId="77777777" w:rsidR="00A71EEF" w:rsidRDefault="00A71EEF">
      <w:pPr>
        <w:pStyle w:val="a3"/>
        <w:spacing w:before="12"/>
        <w:rPr>
          <w:b/>
          <w:sz w:val="17"/>
        </w:rPr>
      </w:pPr>
    </w:p>
    <w:p w14:paraId="5D0EB28B" w14:textId="77777777" w:rsidR="00A71EEF" w:rsidRDefault="0081115D">
      <w:pPr>
        <w:pStyle w:val="a3"/>
        <w:ind w:left="838"/>
        <w:rPr>
          <w:b/>
        </w:rPr>
      </w:pPr>
      <w:r>
        <w:rPr>
          <w:spacing w:val="-3"/>
        </w:rPr>
        <w:t>宜单独设置更衣间、浴室和卫生间；</w:t>
      </w:r>
      <w:r>
        <w:t xml:space="preserve"> </w:t>
      </w:r>
      <w:r>
        <w:rPr>
          <w:spacing w:val="-2"/>
        </w:rPr>
        <w:t xml:space="preserve"> </w:t>
      </w:r>
      <w:r>
        <w:rPr>
          <w:b/>
          <w:w w:val="99"/>
        </w:rPr>
        <w:t xml:space="preserve"> </w:t>
      </w:r>
    </w:p>
    <w:p w14:paraId="17E4563D" w14:textId="77777777" w:rsidR="00A71EEF" w:rsidRDefault="00A71EEF">
      <w:pPr>
        <w:pStyle w:val="a3"/>
        <w:spacing w:before="2"/>
        <w:rPr>
          <w:b/>
          <w:sz w:val="18"/>
        </w:rPr>
      </w:pPr>
    </w:p>
    <w:p w14:paraId="2DCD3089" w14:textId="77777777" w:rsidR="00A71EEF" w:rsidRDefault="0081115D">
      <w:pPr>
        <w:pStyle w:val="a3"/>
        <w:ind w:left="838"/>
        <w:rPr>
          <w:b/>
        </w:rPr>
      </w:pPr>
      <w:r>
        <w:t>设置在病房楼底层或地下层的洗衣房应避免噪声对病区的干扰；</w:t>
      </w:r>
      <w:r>
        <w:t xml:space="preserve">  </w:t>
      </w:r>
      <w:r>
        <w:rPr>
          <w:b/>
          <w:w w:val="99"/>
        </w:rPr>
        <w:t xml:space="preserve"> </w:t>
      </w:r>
    </w:p>
    <w:p w14:paraId="33CBD176" w14:textId="77777777" w:rsidR="00A71EEF" w:rsidRDefault="00A71EEF">
      <w:pPr>
        <w:pStyle w:val="a3"/>
        <w:rPr>
          <w:b/>
          <w:sz w:val="18"/>
        </w:rPr>
      </w:pPr>
    </w:p>
    <w:p w14:paraId="2D2F5F9B" w14:textId="77777777" w:rsidR="00A71EEF" w:rsidRDefault="0081115D">
      <w:pPr>
        <w:pStyle w:val="a3"/>
        <w:ind w:left="838"/>
        <w:rPr>
          <w:b/>
        </w:rPr>
      </w:pPr>
      <w:r>
        <w:t>工作人员与患者的洗涤物应分别处理；</w:t>
      </w:r>
      <w:r>
        <w:t xml:space="preserve">  </w:t>
      </w:r>
      <w:r>
        <w:rPr>
          <w:b/>
          <w:w w:val="99"/>
        </w:rPr>
        <w:t xml:space="preserve"> </w:t>
      </w:r>
    </w:p>
    <w:p w14:paraId="0D737895" w14:textId="77777777" w:rsidR="00A71EEF" w:rsidRDefault="00A71EEF">
      <w:pPr>
        <w:pStyle w:val="a3"/>
        <w:spacing w:before="12"/>
        <w:rPr>
          <w:b/>
          <w:sz w:val="17"/>
        </w:rPr>
      </w:pPr>
    </w:p>
    <w:p w14:paraId="21E5933E" w14:textId="77777777" w:rsidR="00A71EEF" w:rsidRDefault="0081115D">
      <w:pPr>
        <w:pStyle w:val="a3"/>
        <w:ind w:left="838"/>
        <w:rPr>
          <w:b/>
        </w:rPr>
      </w:pPr>
      <w:r>
        <w:t>当洗衣利用社会化服务时，应设收集、分拣、储存、发放处。</w:t>
      </w:r>
      <w:r>
        <w:t xml:space="preserve">  </w:t>
      </w:r>
      <w:r>
        <w:rPr>
          <w:b/>
          <w:w w:val="99"/>
        </w:rPr>
        <w:t xml:space="preserve"> </w:t>
      </w:r>
    </w:p>
    <w:p w14:paraId="7F4E8451" w14:textId="77777777" w:rsidR="00A71EEF" w:rsidRDefault="00A71EEF">
      <w:pPr>
        <w:pStyle w:val="a3"/>
        <w:spacing w:before="2"/>
        <w:rPr>
          <w:b/>
          <w:sz w:val="18"/>
        </w:rPr>
      </w:pPr>
    </w:p>
    <w:p w14:paraId="02370C9E" w14:textId="77777777" w:rsidR="00A71EEF" w:rsidRDefault="0081115D">
      <w:pPr>
        <w:pStyle w:val="a4"/>
        <w:numPr>
          <w:ilvl w:val="2"/>
          <w:numId w:val="172"/>
        </w:numPr>
        <w:tabs>
          <w:tab w:val="left" w:pos="1478"/>
        </w:tabs>
        <w:spacing w:line="446" w:lineRule="auto"/>
        <w:ind w:left="418" w:right="1601" w:firstLine="422"/>
        <w:rPr>
          <w:sz w:val="21"/>
        </w:rPr>
      </w:pPr>
      <w:r>
        <w:rPr>
          <w:spacing w:val="-3"/>
          <w:sz w:val="21"/>
        </w:rPr>
        <w:t>洗衣房应设置收件、分类、浸泡消毒、洗衣、烘干、烫平、缝纫、贮存、分发和更衣等用房。</w:t>
      </w:r>
      <w:r>
        <w:rPr>
          <w:sz w:val="21"/>
        </w:rPr>
        <w:t xml:space="preserve"> </w:t>
      </w:r>
    </w:p>
    <w:p w14:paraId="14EBC02D" w14:textId="77777777" w:rsidR="00A71EEF" w:rsidRDefault="0081115D">
      <w:pPr>
        <w:pStyle w:val="a4"/>
        <w:numPr>
          <w:ilvl w:val="1"/>
          <w:numId w:val="172"/>
        </w:numPr>
        <w:tabs>
          <w:tab w:val="left" w:pos="1264"/>
        </w:tabs>
        <w:spacing w:line="267" w:lineRule="exact"/>
        <w:ind w:left="1263" w:hanging="424"/>
        <w:rPr>
          <w:b/>
          <w:sz w:val="21"/>
        </w:rPr>
      </w:pPr>
      <w:r>
        <w:rPr>
          <w:spacing w:val="-3"/>
          <w:sz w:val="21"/>
        </w:rPr>
        <w:t>太平间</w:t>
      </w:r>
      <w:r>
        <w:rPr>
          <w:b/>
          <w:w w:val="99"/>
          <w:sz w:val="21"/>
        </w:rPr>
        <w:t xml:space="preserve"> </w:t>
      </w:r>
    </w:p>
    <w:p w14:paraId="3338295C" w14:textId="77777777" w:rsidR="00A71EEF" w:rsidRDefault="00A71EEF">
      <w:pPr>
        <w:pStyle w:val="a3"/>
        <w:spacing w:before="2"/>
        <w:rPr>
          <w:b/>
          <w:sz w:val="18"/>
        </w:rPr>
      </w:pPr>
    </w:p>
    <w:p w14:paraId="0C9782F2" w14:textId="77777777" w:rsidR="00A71EEF" w:rsidRDefault="0081115D">
      <w:pPr>
        <w:pStyle w:val="a4"/>
        <w:numPr>
          <w:ilvl w:val="2"/>
          <w:numId w:val="172"/>
        </w:numPr>
        <w:tabs>
          <w:tab w:val="left" w:pos="1478"/>
        </w:tabs>
        <w:ind w:left="1477" w:hanging="638"/>
        <w:rPr>
          <w:sz w:val="21"/>
        </w:rPr>
      </w:pPr>
      <w:r>
        <w:rPr>
          <w:spacing w:val="-3"/>
          <w:sz w:val="21"/>
        </w:rPr>
        <w:t>太平间位置与平面布置应符合下列要求：</w:t>
      </w:r>
      <w:r>
        <w:rPr>
          <w:sz w:val="21"/>
        </w:rPr>
        <w:t xml:space="preserve">  </w:t>
      </w:r>
      <w:r>
        <w:rPr>
          <w:sz w:val="21"/>
        </w:rPr>
        <w:t xml:space="preserve"> </w:t>
      </w:r>
    </w:p>
    <w:p w14:paraId="2B872D32" w14:textId="77777777" w:rsidR="00A71EEF" w:rsidRDefault="00A71EEF">
      <w:pPr>
        <w:pStyle w:val="a3"/>
        <w:rPr>
          <w:sz w:val="18"/>
        </w:rPr>
      </w:pPr>
    </w:p>
    <w:p w14:paraId="7BDDA23D" w14:textId="77777777" w:rsidR="00A71EEF" w:rsidRDefault="0081115D">
      <w:pPr>
        <w:pStyle w:val="a3"/>
        <w:ind w:left="838"/>
        <w:rPr>
          <w:b/>
        </w:rPr>
      </w:pPr>
      <w:r>
        <w:t>宜独立建造或设置在住院用房的地下层；</w:t>
      </w:r>
      <w:r>
        <w:t xml:space="preserve">  </w:t>
      </w:r>
      <w:r>
        <w:rPr>
          <w:b/>
          <w:w w:val="99"/>
        </w:rPr>
        <w:t xml:space="preserve"> </w:t>
      </w:r>
    </w:p>
    <w:p w14:paraId="00A5FE84" w14:textId="77777777" w:rsidR="00A71EEF" w:rsidRDefault="00A71EEF">
      <w:pPr>
        <w:pStyle w:val="a3"/>
        <w:spacing w:before="12"/>
        <w:rPr>
          <w:b/>
          <w:sz w:val="17"/>
        </w:rPr>
      </w:pPr>
    </w:p>
    <w:p w14:paraId="7B21C745" w14:textId="77777777" w:rsidR="00A71EEF" w:rsidRDefault="0081115D">
      <w:pPr>
        <w:pStyle w:val="a3"/>
        <w:ind w:left="838"/>
        <w:rPr>
          <w:b/>
        </w:rPr>
      </w:pPr>
      <w:r>
        <w:t>解剖室应有门通向停尸间；</w:t>
      </w:r>
      <w:r>
        <w:t xml:space="preserve">  </w:t>
      </w:r>
      <w:r>
        <w:rPr>
          <w:b/>
          <w:w w:val="99"/>
        </w:rPr>
        <w:t xml:space="preserve"> </w:t>
      </w:r>
    </w:p>
    <w:p w14:paraId="59E6A08C" w14:textId="77777777" w:rsidR="00A71EEF" w:rsidRDefault="00A71EEF">
      <w:pPr>
        <w:pStyle w:val="a3"/>
        <w:spacing w:before="2"/>
        <w:rPr>
          <w:b/>
          <w:sz w:val="18"/>
        </w:rPr>
      </w:pPr>
    </w:p>
    <w:p w14:paraId="7FA9F140" w14:textId="77777777" w:rsidR="00A71EEF" w:rsidRDefault="0081115D">
      <w:pPr>
        <w:pStyle w:val="a3"/>
        <w:ind w:left="838"/>
        <w:rPr>
          <w:b/>
        </w:rPr>
      </w:pPr>
      <w:r>
        <w:t>尸体柜容量宜按不低于总病床数</w:t>
      </w:r>
      <w:r>
        <w:t xml:space="preserve"> 1</w:t>
      </w:r>
      <w:r>
        <w:t>％～</w:t>
      </w:r>
      <w:r>
        <w:t>2</w:t>
      </w:r>
      <w:r>
        <w:t>％计算。</w:t>
      </w:r>
      <w:r>
        <w:t xml:space="preserve">  </w:t>
      </w:r>
      <w:r>
        <w:rPr>
          <w:b/>
          <w:w w:val="99"/>
        </w:rPr>
        <w:t xml:space="preserve"> </w:t>
      </w:r>
    </w:p>
    <w:p w14:paraId="35990EA6" w14:textId="77777777" w:rsidR="00A71EEF" w:rsidRDefault="00A71EEF">
      <w:pPr>
        <w:sectPr w:rsidR="00A71EEF">
          <w:pgSz w:w="11910" w:h="16850"/>
          <w:pgMar w:top="1220" w:right="0" w:bottom="1420" w:left="1260" w:header="0" w:footer="1239" w:gutter="0"/>
          <w:cols w:space="720"/>
        </w:sectPr>
      </w:pPr>
    </w:p>
    <w:p w14:paraId="4BD3CD72" w14:textId="77777777" w:rsidR="00A71EEF" w:rsidRDefault="0081115D">
      <w:pPr>
        <w:pStyle w:val="a4"/>
        <w:numPr>
          <w:ilvl w:val="2"/>
          <w:numId w:val="172"/>
        </w:numPr>
        <w:tabs>
          <w:tab w:val="left" w:pos="1478"/>
        </w:tabs>
        <w:spacing w:before="47" w:line="446" w:lineRule="auto"/>
        <w:ind w:left="418" w:right="1601" w:firstLine="422"/>
        <w:jc w:val="both"/>
        <w:rPr>
          <w:sz w:val="21"/>
        </w:rPr>
      </w:pPr>
      <w:r>
        <w:rPr>
          <w:spacing w:val="-3"/>
          <w:sz w:val="21"/>
        </w:rPr>
        <w:t>太平间应设置停尸、告别、解剖、标本、值班、更衣、卫生间、器械、洗涤和消毒等用房。</w:t>
      </w:r>
      <w:r>
        <w:rPr>
          <w:sz w:val="21"/>
        </w:rPr>
        <w:t xml:space="preserve"> </w:t>
      </w:r>
      <w:r>
        <w:rPr>
          <w:spacing w:val="-2"/>
          <w:sz w:val="21"/>
        </w:rPr>
        <w:t xml:space="preserve"> </w:t>
      </w:r>
      <w:r>
        <w:rPr>
          <w:sz w:val="21"/>
        </w:rPr>
        <w:t xml:space="preserve"> </w:t>
      </w:r>
    </w:p>
    <w:p w14:paraId="177D71C6" w14:textId="77777777" w:rsidR="00A71EEF" w:rsidRDefault="0081115D">
      <w:pPr>
        <w:pStyle w:val="a4"/>
        <w:numPr>
          <w:ilvl w:val="2"/>
          <w:numId w:val="172"/>
        </w:numPr>
        <w:tabs>
          <w:tab w:val="left" w:pos="1478"/>
        </w:tabs>
        <w:spacing w:line="267" w:lineRule="exact"/>
        <w:ind w:left="1477" w:hanging="638"/>
        <w:rPr>
          <w:sz w:val="21"/>
        </w:rPr>
      </w:pPr>
      <w:r>
        <w:rPr>
          <w:spacing w:val="-4"/>
          <w:sz w:val="21"/>
        </w:rPr>
        <w:t>存尸应有冷藏设施，最高一层存尸抽屉的下沿高度不宜大于</w:t>
      </w:r>
      <w:r>
        <w:rPr>
          <w:spacing w:val="-4"/>
          <w:sz w:val="21"/>
        </w:rPr>
        <w:t xml:space="preserve"> </w:t>
      </w:r>
      <w:r>
        <w:rPr>
          <w:sz w:val="21"/>
        </w:rPr>
        <w:t>1.30m</w:t>
      </w:r>
      <w:r>
        <w:rPr>
          <w:sz w:val="21"/>
        </w:rPr>
        <w:t>。</w:t>
      </w:r>
      <w:r>
        <w:rPr>
          <w:sz w:val="21"/>
        </w:rPr>
        <w:t xml:space="preserve"> </w:t>
      </w:r>
      <w:r>
        <w:rPr>
          <w:spacing w:val="-2"/>
          <w:sz w:val="21"/>
        </w:rPr>
        <w:t xml:space="preserve"> </w:t>
      </w:r>
      <w:r>
        <w:rPr>
          <w:sz w:val="21"/>
        </w:rPr>
        <w:t xml:space="preserve"> </w:t>
      </w:r>
    </w:p>
    <w:p w14:paraId="428266DC" w14:textId="77777777" w:rsidR="00A71EEF" w:rsidRDefault="00A71EEF">
      <w:pPr>
        <w:pStyle w:val="a3"/>
        <w:spacing w:before="2"/>
        <w:rPr>
          <w:sz w:val="18"/>
        </w:rPr>
      </w:pPr>
    </w:p>
    <w:p w14:paraId="1FB0ED07" w14:textId="77777777" w:rsidR="00A71EEF" w:rsidRDefault="0081115D">
      <w:pPr>
        <w:pStyle w:val="a4"/>
        <w:numPr>
          <w:ilvl w:val="2"/>
          <w:numId w:val="172"/>
        </w:numPr>
        <w:tabs>
          <w:tab w:val="left" w:pos="1478"/>
        </w:tabs>
        <w:ind w:left="1477" w:hanging="638"/>
        <w:rPr>
          <w:sz w:val="21"/>
        </w:rPr>
      </w:pPr>
      <w:r>
        <w:rPr>
          <w:spacing w:val="-3"/>
          <w:sz w:val="21"/>
        </w:rPr>
        <w:t>太平间设置应避免气味对所在建筑的影响。</w:t>
      </w:r>
      <w:r>
        <w:rPr>
          <w:spacing w:val="-3"/>
          <w:sz w:val="21"/>
        </w:rPr>
        <w:t xml:space="preserve"> </w:t>
      </w:r>
    </w:p>
    <w:p w14:paraId="6181D69F" w14:textId="77777777" w:rsidR="00A71EEF" w:rsidRDefault="00A71EEF">
      <w:pPr>
        <w:pStyle w:val="a3"/>
        <w:rPr>
          <w:sz w:val="18"/>
        </w:rPr>
      </w:pPr>
    </w:p>
    <w:p w14:paraId="4D136AA0" w14:textId="77777777" w:rsidR="00A71EEF" w:rsidRDefault="0081115D">
      <w:pPr>
        <w:pStyle w:val="a4"/>
        <w:numPr>
          <w:ilvl w:val="1"/>
          <w:numId w:val="172"/>
        </w:numPr>
        <w:tabs>
          <w:tab w:val="left" w:pos="1264"/>
        </w:tabs>
        <w:ind w:left="1263" w:hanging="424"/>
        <w:rPr>
          <w:sz w:val="21"/>
        </w:rPr>
      </w:pPr>
      <w:r>
        <w:rPr>
          <w:spacing w:val="-3"/>
          <w:sz w:val="21"/>
        </w:rPr>
        <w:t>防火与疏散</w:t>
      </w:r>
      <w:r>
        <w:rPr>
          <w:sz w:val="21"/>
        </w:rPr>
        <w:t xml:space="preserve"> </w:t>
      </w:r>
    </w:p>
    <w:p w14:paraId="7CEE664C" w14:textId="77777777" w:rsidR="00A71EEF" w:rsidRDefault="00A71EEF">
      <w:pPr>
        <w:pStyle w:val="a3"/>
        <w:spacing w:before="12"/>
        <w:rPr>
          <w:sz w:val="17"/>
        </w:rPr>
      </w:pPr>
    </w:p>
    <w:p w14:paraId="60D75A35" w14:textId="77777777" w:rsidR="00A71EEF" w:rsidRDefault="0081115D">
      <w:pPr>
        <w:pStyle w:val="a4"/>
        <w:numPr>
          <w:ilvl w:val="2"/>
          <w:numId w:val="172"/>
        </w:numPr>
        <w:tabs>
          <w:tab w:val="left" w:pos="1478"/>
        </w:tabs>
        <w:ind w:left="1477" w:hanging="638"/>
        <w:rPr>
          <w:sz w:val="21"/>
        </w:rPr>
      </w:pPr>
      <w:r>
        <w:rPr>
          <w:spacing w:val="-3"/>
          <w:sz w:val="21"/>
        </w:rPr>
        <w:t>医院建筑耐火等级不应低于二级。</w:t>
      </w:r>
      <w:r>
        <w:rPr>
          <w:spacing w:val="-3"/>
          <w:sz w:val="21"/>
        </w:rPr>
        <w:t xml:space="preserve"> </w:t>
      </w:r>
      <w:r>
        <w:rPr>
          <w:spacing w:val="-2"/>
          <w:sz w:val="21"/>
        </w:rPr>
        <w:t xml:space="preserve"> </w:t>
      </w:r>
      <w:r>
        <w:rPr>
          <w:sz w:val="21"/>
        </w:rPr>
        <w:t xml:space="preserve"> </w:t>
      </w:r>
    </w:p>
    <w:p w14:paraId="40AC92F9" w14:textId="77777777" w:rsidR="00A71EEF" w:rsidRDefault="00A71EEF">
      <w:pPr>
        <w:pStyle w:val="a3"/>
        <w:spacing w:before="2"/>
        <w:rPr>
          <w:sz w:val="18"/>
        </w:rPr>
      </w:pPr>
    </w:p>
    <w:p w14:paraId="378F2DA1" w14:textId="77777777" w:rsidR="00A71EEF" w:rsidRDefault="0081115D">
      <w:pPr>
        <w:pStyle w:val="a4"/>
        <w:numPr>
          <w:ilvl w:val="2"/>
          <w:numId w:val="172"/>
        </w:numPr>
        <w:tabs>
          <w:tab w:val="left" w:pos="1478"/>
        </w:tabs>
        <w:ind w:left="1477" w:hanging="638"/>
        <w:rPr>
          <w:sz w:val="21"/>
        </w:rPr>
      </w:pPr>
      <w:r>
        <w:rPr>
          <w:spacing w:val="-3"/>
          <w:sz w:val="21"/>
        </w:rPr>
        <w:t>防火分区应符合下列要求：</w:t>
      </w:r>
      <w:r>
        <w:rPr>
          <w:sz w:val="21"/>
        </w:rPr>
        <w:t xml:space="preserve"> </w:t>
      </w:r>
      <w:r>
        <w:rPr>
          <w:spacing w:val="-2"/>
          <w:sz w:val="21"/>
        </w:rPr>
        <w:t xml:space="preserve"> </w:t>
      </w:r>
      <w:r>
        <w:rPr>
          <w:sz w:val="21"/>
        </w:rPr>
        <w:t xml:space="preserve"> </w:t>
      </w:r>
    </w:p>
    <w:p w14:paraId="0AD644CB" w14:textId="77777777" w:rsidR="00A71EEF" w:rsidRDefault="00A71EEF">
      <w:pPr>
        <w:pStyle w:val="a3"/>
        <w:rPr>
          <w:sz w:val="18"/>
        </w:rPr>
      </w:pPr>
    </w:p>
    <w:p w14:paraId="5919E847" w14:textId="77777777" w:rsidR="00A71EEF" w:rsidRDefault="0081115D">
      <w:pPr>
        <w:pStyle w:val="a3"/>
        <w:ind w:left="838"/>
        <w:jc w:val="both"/>
      </w:pPr>
      <w:r>
        <w:t>医院建筑的防火分区应结合建筑布局和功能分区划分。</w:t>
      </w:r>
      <w:r>
        <w:t xml:space="preserve">  </w:t>
      </w:r>
      <w:r>
        <w:t xml:space="preserve"> </w:t>
      </w:r>
    </w:p>
    <w:p w14:paraId="51F0BF0A" w14:textId="77777777" w:rsidR="00A71EEF" w:rsidRDefault="00A71EEF">
      <w:pPr>
        <w:pStyle w:val="a3"/>
        <w:spacing w:before="12"/>
        <w:rPr>
          <w:sz w:val="17"/>
        </w:rPr>
      </w:pPr>
    </w:p>
    <w:p w14:paraId="1BDDB4E8" w14:textId="77777777" w:rsidR="00A71EEF" w:rsidRDefault="0081115D">
      <w:pPr>
        <w:pStyle w:val="a3"/>
        <w:spacing w:line="446" w:lineRule="auto"/>
        <w:ind w:left="418" w:right="1609" w:firstLine="419"/>
        <w:jc w:val="both"/>
      </w:pPr>
      <w:r>
        <w:rPr>
          <w:spacing w:val="-3"/>
        </w:rPr>
        <w:t>防火分区的面积除应按建筑物的耐火等级和建筑高度确定外，病房部分每层防火分区内，</w:t>
      </w:r>
      <w:r>
        <w:rPr>
          <w:spacing w:val="-3"/>
        </w:rPr>
        <w:t xml:space="preserve"> </w:t>
      </w:r>
      <w:r>
        <w:rPr>
          <w:spacing w:val="-5"/>
        </w:rPr>
        <w:t>尚应根据面积大小和疏散路线进行再分隔。同层有</w:t>
      </w:r>
      <w:r>
        <w:rPr>
          <w:spacing w:val="-5"/>
        </w:rPr>
        <w:t xml:space="preserve"> </w:t>
      </w:r>
      <w:r>
        <w:t>2</w:t>
      </w:r>
      <w:r>
        <w:rPr>
          <w:spacing w:val="-22"/>
        </w:rPr>
        <w:t xml:space="preserve"> </w:t>
      </w:r>
      <w:r>
        <w:rPr>
          <w:spacing w:val="-22"/>
        </w:rPr>
        <w:t>个及</w:t>
      </w:r>
      <w:r>
        <w:rPr>
          <w:spacing w:val="-22"/>
        </w:rPr>
        <w:t xml:space="preserve"> </w:t>
      </w:r>
      <w:r>
        <w:t>2</w:t>
      </w:r>
      <w:r>
        <w:rPr>
          <w:spacing w:val="-8"/>
        </w:rPr>
        <w:t xml:space="preserve"> </w:t>
      </w:r>
      <w:r>
        <w:rPr>
          <w:spacing w:val="-8"/>
        </w:rPr>
        <w:t>个以上护理单元时，通向公共走道</w:t>
      </w:r>
      <w:r>
        <w:rPr>
          <w:spacing w:val="-5"/>
        </w:rPr>
        <w:t>的单元入口处应设乙级防火门。</w:t>
      </w:r>
      <w:r>
        <w:t xml:space="preserve"> </w:t>
      </w:r>
      <w:r>
        <w:rPr>
          <w:spacing w:val="-2"/>
        </w:rPr>
        <w:t xml:space="preserve"> </w:t>
      </w:r>
      <w:r>
        <w:t xml:space="preserve"> </w:t>
      </w:r>
    </w:p>
    <w:p w14:paraId="2371ECB1" w14:textId="77777777" w:rsidR="00A71EEF" w:rsidRDefault="0081115D">
      <w:pPr>
        <w:pStyle w:val="a3"/>
        <w:spacing w:line="439" w:lineRule="auto"/>
        <w:ind w:left="418" w:right="1505" w:firstLine="419"/>
        <w:jc w:val="both"/>
      </w:pPr>
      <w:r>
        <w:t xml:space="preserve"> </w:t>
      </w:r>
      <w:r>
        <w:t>高层建筑内的门诊大厅，设有火灾自动报警系统和自动灭火系统并采用不燃或难燃材料装修时，地上部分防火分区的允许最大建筑面积应为</w:t>
      </w:r>
      <w:r>
        <w:t xml:space="preserve"> 4000m</w:t>
      </w:r>
      <w:r>
        <w:rPr>
          <w:position w:val="11"/>
          <w:sz w:val="11"/>
        </w:rPr>
        <w:t>2</w:t>
      </w:r>
      <w:r>
        <w:t>。</w:t>
      </w:r>
      <w:r>
        <w:t xml:space="preserve">  </w:t>
      </w:r>
      <w:r>
        <w:t xml:space="preserve"> </w:t>
      </w:r>
    </w:p>
    <w:p w14:paraId="649215EB" w14:textId="77777777" w:rsidR="00A71EEF" w:rsidRDefault="0081115D">
      <w:pPr>
        <w:pStyle w:val="a3"/>
        <w:spacing w:before="5" w:line="446" w:lineRule="auto"/>
        <w:ind w:left="418" w:right="1609" w:firstLine="419"/>
        <w:jc w:val="both"/>
      </w:pPr>
      <w:r>
        <w:t>医院建筑内的手术部，当设有火灾自动报警系统，并采用不燃烧或难燃烧材料装修时，地上部分防火分区的允许最大建筑面积应为</w:t>
      </w:r>
      <w:r>
        <w:t xml:space="preserve"> 4000 </w:t>
      </w:r>
      <w:r>
        <w:t>㎡。</w:t>
      </w:r>
      <w:r>
        <w:t xml:space="preserve">  </w:t>
      </w:r>
      <w:r>
        <w:t xml:space="preserve"> </w:t>
      </w:r>
    </w:p>
    <w:p w14:paraId="535FCD7C" w14:textId="77777777" w:rsidR="00A71EEF" w:rsidRDefault="0081115D">
      <w:pPr>
        <w:pStyle w:val="a3"/>
        <w:ind w:left="838"/>
      </w:pPr>
      <w:r>
        <w:t>防火分区内的病房、产房、手术部、精密贵重医疗设备用房等，均应采用耐火极限不低于</w:t>
      </w:r>
    </w:p>
    <w:p w14:paraId="1D5AE438" w14:textId="77777777" w:rsidR="00A71EEF" w:rsidRDefault="00A71EEF">
      <w:pPr>
        <w:pStyle w:val="a3"/>
        <w:rPr>
          <w:sz w:val="18"/>
        </w:rPr>
      </w:pPr>
    </w:p>
    <w:p w14:paraId="42F1E779" w14:textId="77777777" w:rsidR="00A71EEF" w:rsidRDefault="0081115D">
      <w:pPr>
        <w:pStyle w:val="a3"/>
        <w:ind w:left="418"/>
      </w:pPr>
      <w:r>
        <w:t xml:space="preserve">2.00h </w:t>
      </w:r>
      <w:r>
        <w:t>的不燃烧体与其他部分隔开。</w:t>
      </w:r>
      <w:r>
        <w:t xml:space="preserve"> </w:t>
      </w:r>
    </w:p>
    <w:p w14:paraId="5549F076" w14:textId="77777777" w:rsidR="00A71EEF" w:rsidRDefault="00A71EEF">
      <w:pPr>
        <w:pStyle w:val="a3"/>
        <w:spacing w:before="12"/>
        <w:rPr>
          <w:sz w:val="17"/>
        </w:rPr>
      </w:pPr>
    </w:p>
    <w:p w14:paraId="109AC11A" w14:textId="77777777" w:rsidR="00A71EEF" w:rsidRDefault="0081115D">
      <w:pPr>
        <w:pStyle w:val="a4"/>
        <w:numPr>
          <w:ilvl w:val="2"/>
          <w:numId w:val="172"/>
        </w:numPr>
        <w:tabs>
          <w:tab w:val="left" w:pos="1478"/>
        </w:tabs>
        <w:ind w:left="1477" w:hanging="638"/>
        <w:jc w:val="both"/>
        <w:rPr>
          <w:sz w:val="21"/>
        </w:rPr>
      </w:pPr>
      <w:r>
        <w:rPr>
          <w:spacing w:val="-3"/>
          <w:sz w:val="21"/>
        </w:rPr>
        <w:t>安全出口应符合下列要求：</w:t>
      </w:r>
      <w:r>
        <w:rPr>
          <w:sz w:val="21"/>
        </w:rPr>
        <w:t xml:space="preserve"> </w:t>
      </w:r>
      <w:r>
        <w:rPr>
          <w:spacing w:val="-2"/>
          <w:sz w:val="21"/>
        </w:rPr>
        <w:t xml:space="preserve"> </w:t>
      </w:r>
      <w:r>
        <w:rPr>
          <w:sz w:val="21"/>
        </w:rPr>
        <w:t xml:space="preserve"> </w:t>
      </w:r>
    </w:p>
    <w:p w14:paraId="1BEEBAF2" w14:textId="77777777" w:rsidR="00A71EEF" w:rsidRDefault="00A71EEF">
      <w:pPr>
        <w:pStyle w:val="a3"/>
        <w:spacing w:before="2"/>
        <w:rPr>
          <w:sz w:val="18"/>
        </w:rPr>
      </w:pPr>
    </w:p>
    <w:p w14:paraId="308687BE" w14:textId="77777777" w:rsidR="00A71EEF" w:rsidRDefault="0081115D">
      <w:pPr>
        <w:pStyle w:val="a3"/>
        <w:ind w:left="838"/>
      </w:pPr>
      <w:r>
        <w:t>每个护理单元应有</w:t>
      </w:r>
      <w:r>
        <w:t xml:space="preserve"> 2 </w:t>
      </w:r>
      <w:r>
        <w:t>个不同方向的安全出口；</w:t>
      </w:r>
      <w:r>
        <w:t xml:space="preserve">  </w:t>
      </w:r>
      <w:r>
        <w:t xml:space="preserve"> </w:t>
      </w:r>
    </w:p>
    <w:p w14:paraId="341255D9" w14:textId="77777777" w:rsidR="00A71EEF" w:rsidRDefault="00A71EEF">
      <w:pPr>
        <w:pStyle w:val="a3"/>
        <w:rPr>
          <w:sz w:val="18"/>
        </w:rPr>
      </w:pPr>
    </w:p>
    <w:p w14:paraId="3E7426CC" w14:textId="77777777" w:rsidR="00A71EEF" w:rsidRDefault="0081115D">
      <w:pPr>
        <w:pStyle w:val="a3"/>
        <w:spacing w:line="446" w:lineRule="auto"/>
        <w:ind w:left="418" w:right="1609" w:firstLine="419"/>
      </w:pPr>
      <w:r>
        <w:rPr>
          <w:spacing w:val="-3"/>
        </w:rPr>
        <w:t>尽端式护理单元，或自成一区的治疗用房，其最远一个房间门至外部安全出口的距离和房</w:t>
      </w:r>
      <w:r>
        <w:rPr>
          <w:spacing w:val="-5"/>
        </w:rPr>
        <w:t>间内最远一点到房门的距离，均未超过建筑设计防火规范规定时，可设</w:t>
      </w:r>
      <w:r>
        <w:rPr>
          <w:spacing w:val="-5"/>
        </w:rPr>
        <w:t xml:space="preserve"> </w:t>
      </w:r>
      <w:r>
        <w:t>1</w:t>
      </w:r>
      <w:r>
        <w:rPr>
          <w:spacing w:val="-9"/>
        </w:rPr>
        <w:t xml:space="preserve"> </w:t>
      </w:r>
      <w:r>
        <w:rPr>
          <w:spacing w:val="-9"/>
        </w:rPr>
        <w:t>个安全出口。</w:t>
      </w:r>
      <w:r>
        <w:rPr>
          <w:spacing w:val="-9"/>
        </w:rPr>
        <w:t xml:space="preserve"> </w:t>
      </w:r>
      <w:r>
        <w:rPr>
          <w:spacing w:val="-2"/>
        </w:rPr>
        <w:t xml:space="preserve"> </w:t>
      </w:r>
      <w:r>
        <w:t xml:space="preserve"> </w:t>
      </w:r>
    </w:p>
    <w:p w14:paraId="09012619" w14:textId="77777777" w:rsidR="00A71EEF" w:rsidRDefault="0081115D">
      <w:pPr>
        <w:pStyle w:val="a4"/>
        <w:numPr>
          <w:ilvl w:val="2"/>
          <w:numId w:val="172"/>
        </w:numPr>
        <w:tabs>
          <w:tab w:val="left" w:pos="1478"/>
        </w:tabs>
        <w:ind w:left="1477" w:hanging="638"/>
        <w:rPr>
          <w:sz w:val="21"/>
        </w:rPr>
      </w:pPr>
      <w:r>
        <w:rPr>
          <w:spacing w:val="-3"/>
          <w:sz w:val="21"/>
        </w:rPr>
        <w:t>医疗用房应设疏散指示标识，疏散走道及楼梯间均应设应急照明。</w:t>
      </w:r>
      <w:r>
        <w:rPr>
          <w:spacing w:val="-3"/>
          <w:sz w:val="21"/>
        </w:rPr>
        <w:t xml:space="preserve">  </w:t>
      </w:r>
      <w:r>
        <w:rPr>
          <w:spacing w:val="-3"/>
          <w:sz w:val="21"/>
        </w:rPr>
        <w:t xml:space="preserve"> </w:t>
      </w:r>
    </w:p>
    <w:p w14:paraId="0C1F3339" w14:textId="77777777" w:rsidR="00A71EEF" w:rsidRDefault="00A71EEF">
      <w:pPr>
        <w:pStyle w:val="a3"/>
        <w:spacing w:before="12"/>
        <w:rPr>
          <w:sz w:val="17"/>
        </w:rPr>
      </w:pPr>
    </w:p>
    <w:p w14:paraId="23FCD6A5" w14:textId="77777777" w:rsidR="00A71EEF" w:rsidRDefault="0081115D">
      <w:pPr>
        <w:pStyle w:val="a4"/>
        <w:numPr>
          <w:ilvl w:val="2"/>
          <w:numId w:val="172"/>
        </w:numPr>
        <w:tabs>
          <w:tab w:val="left" w:pos="1478"/>
        </w:tabs>
        <w:ind w:left="1477" w:hanging="638"/>
        <w:jc w:val="both"/>
        <w:rPr>
          <w:sz w:val="21"/>
        </w:rPr>
      </w:pPr>
      <w:r>
        <w:rPr>
          <w:spacing w:val="-3"/>
          <w:sz w:val="21"/>
        </w:rPr>
        <w:t>中心供氧用房应远离热源、火源和易燃易爆源。</w:t>
      </w:r>
      <w:r>
        <w:rPr>
          <w:sz w:val="21"/>
        </w:rPr>
        <w:t xml:space="preserve"> </w:t>
      </w:r>
    </w:p>
    <w:p w14:paraId="35C32F9D" w14:textId="77777777" w:rsidR="00A71EEF" w:rsidRDefault="00A71EEF">
      <w:pPr>
        <w:pStyle w:val="a3"/>
        <w:rPr>
          <w:sz w:val="20"/>
        </w:rPr>
      </w:pPr>
    </w:p>
    <w:p w14:paraId="1C06724E" w14:textId="77777777" w:rsidR="00A71EEF" w:rsidRDefault="00A71EEF">
      <w:pPr>
        <w:pStyle w:val="a3"/>
        <w:spacing w:before="8"/>
        <w:rPr>
          <w:sz w:val="29"/>
        </w:rPr>
      </w:pPr>
    </w:p>
    <w:p w14:paraId="3E5BCCC3" w14:textId="77777777" w:rsidR="00A71EEF" w:rsidRDefault="0081115D">
      <w:pPr>
        <w:pStyle w:val="4"/>
        <w:spacing w:before="66"/>
      </w:pPr>
      <w:r>
        <w:t xml:space="preserve">6 </w:t>
      </w:r>
      <w:r>
        <w:t>给水排水、消防和污水处理</w:t>
      </w:r>
      <w:r>
        <w:rPr>
          <w:w w:val="99"/>
        </w:rPr>
        <w:t xml:space="preserve"> </w:t>
      </w:r>
    </w:p>
    <w:p w14:paraId="62CB380B" w14:textId="77777777" w:rsidR="00A71EEF" w:rsidRDefault="00A71EEF">
      <w:pPr>
        <w:pStyle w:val="a3"/>
        <w:spacing w:before="4"/>
        <w:rPr>
          <w:b/>
          <w:sz w:val="17"/>
        </w:rPr>
      </w:pPr>
    </w:p>
    <w:p w14:paraId="2931EAB8" w14:textId="77777777" w:rsidR="00A71EEF" w:rsidRDefault="0081115D">
      <w:pPr>
        <w:pStyle w:val="a4"/>
        <w:numPr>
          <w:ilvl w:val="1"/>
          <w:numId w:val="170"/>
        </w:numPr>
        <w:tabs>
          <w:tab w:val="left" w:pos="1160"/>
        </w:tabs>
        <w:spacing w:before="1"/>
        <w:rPr>
          <w:sz w:val="21"/>
        </w:rPr>
      </w:pPr>
      <w:r>
        <w:rPr>
          <w:spacing w:val="-3"/>
          <w:sz w:val="21"/>
        </w:rPr>
        <w:t>一般规定</w:t>
      </w:r>
      <w:r>
        <w:rPr>
          <w:sz w:val="21"/>
        </w:rPr>
        <w:t xml:space="preserve"> </w:t>
      </w:r>
    </w:p>
    <w:p w14:paraId="7B065DD2" w14:textId="77777777" w:rsidR="00A71EEF" w:rsidRDefault="00A71EEF">
      <w:pPr>
        <w:pStyle w:val="a3"/>
        <w:spacing w:before="12"/>
        <w:rPr>
          <w:sz w:val="17"/>
        </w:rPr>
      </w:pPr>
    </w:p>
    <w:p w14:paraId="3E4A3E58" w14:textId="77777777" w:rsidR="00A71EEF" w:rsidRDefault="0081115D">
      <w:pPr>
        <w:pStyle w:val="a4"/>
        <w:numPr>
          <w:ilvl w:val="2"/>
          <w:numId w:val="170"/>
        </w:numPr>
        <w:tabs>
          <w:tab w:val="left" w:pos="1371"/>
        </w:tabs>
        <w:spacing w:line="446" w:lineRule="auto"/>
        <w:ind w:right="1498" w:firstLine="422"/>
        <w:rPr>
          <w:sz w:val="21"/>
        </w:rPr>
      </w:pPr>
      <w:r>
        <w:rPr>
          <w:spacing w:val="-3"/>
          <w:sz w:val="21"/>
        </w:rPr>
        <w:t>医院新建、扩建和改建时，应对院区范围内的给水、排水、消防和污水处理工程进行统一规划设计。</w:t>
      </w:r>
      <w:r>
        <w:rPr>
          <w:sz w:val="21"/>
        </w:rPr>
        <w:t xml:space="preserve"> </w:t>
      </w:r>
    </w:p>
    <w:p w14:paraId="414695F4" w14:textId="77777777" w:rsidR="00A71EEF" w:rsidRDefault="00A71EEF">
      <w:pPr>
        <w:spacing w:line="446" w:lineRule="auto"/>
        <w:rPr>
          <w:sz w:val="21"/>
        </w:rPr>
        <w:sectPr w:rsidR="00A71EEF">
          <w:pgSz w:w="11910" w:h="16850"/>
          <w:pgMar w:top="1220" w:right="0" w:bottom="1420" w:left="1260" w:header="0" w:footer="1239" w:gutter="0"/>
          <w:cols w:space="720"/>
        </w:sectPr>
      </w:pPr>
    </w:p>
    <w:p w14:paraId="4BF37F44" w14:textId="77777777" w:rsidR="00A71EEF" w:rsidRDefault="0081115D">
      <w:pPr>
        <w:pStyle w:val="a4"/>
        <w:numPr>
          <w:ilvl w:val="2"/>
          <w:numId w:val="170"/>
        </w:numPr>
        <w:tabs>
          <w:tab w:val="left" w:pos="1370"/>
        </w:tabs>
        <w:spacing w:before="47" w:line="446" w:lineRule="auto"/>
        <w:ind w:right="1498" w:firstLine="422"/>
        <w:rPr>
          <w:sz w:val="21"/>
        </w:rPr>
      </w:pPr>
      <w:r>
        <w:rPr>
          <w:spacing w:val="-3"/>
          <w:sz w:val="21"/>
        </w:rPr>
        <w:t>给水、排水管道不应从洁净室、强电和弱电机房，以及重要医疗设备用房的室内架空通过，必须通过时应采取防漏措施。</w:t>
      </w:r>
      <w:r>
        <w:rPr>
          <w:sz w:val="21"/>
        </w:rPr>
        <w:t xml:space="preserve"> </w:t>
      </w:r>
    </w:p>
    <w:p w14:paraId="5766346F" w14:textId="77777777" w:rsidR="00A71EEF" w:rsidRDefault="0081115D">
      <w:pPr>
        <w:pStyle w:val="a4"/>
        <w:numPr>
          <w:ilvl w:val="1"/>
          <w:numId w:val="170"/>
        </w:numPr>
        <w:tabs>
          <w:tab w:val="left" w:pos="1160"/>
        </w:tabs>
        <w:spacing w:line="267" w:lineRule="exact"/>
        <w:rPr>
          <w:b/>
          <w:sz w:val="21"/>
        </w:rPr>
      </w:pPr>
      <w:r>
        <w:rPr>
          <w:spacing w:val="-3"/>
          <w:sz w:val="21"/>
        </w:rPr>
        <w:t>给水</w:t>
      </w:r>
      <w:r>
        <w:rPr>
          <w:b/>
          <w:w w:val="99"/>
          <w:sz w:val="21"/>
        </w:rPr>
        <w:t xml:space="preserve"> </w:t>
      </w:r>
    </w:p>
    <w:p w14:paraId="06F67346" w14:textId="77777777" w:rsidR="00A71EEF" w:rsidRDefault="00A71EEF">
      <w:pPr>
        <w:pStyle w:val="a3"/>
        <w:spacing w:before="2"/>
        <w:rPr>
          <w:b/>
          <w:sz w:val="18"/>
        </w:rPr>
      </w:pPr>
    </w:p>
    <w:p w14:paraId="37B0FBF4" w14:textId="77777777" w:rsidR="00A71EEF" w:rsidRDefault="0081115D">
      <w:pPr>
        <w:pStyle w:val="a4"/>
        <w:numPr>
          <w:ilvl w:val="2"/>
          <w:numId w:val="170"/>
        </w:numPr>
        <w:tabs>
          <w:tab w:val="left" w:pos="1371"/>
        </w:tabs>
        <w:spacing w:line="446" w:lineRule="auto"/>
        <w:ind w:right="1553" w:firstLine="422"/>
        <w:rPr>
          <w:sz w:val="21"/>
        </w:rPr>
      </w:pPr>
      <w:r>
        <w:rPr>
          <w:spacing w:val="-3"/>
          <w:sz w:val="21"/>
        </w:rPr>
        <w:t>医院生活给水水质，应符合现行国家标准《生活饮用水卫生标准》</w:t>
      </w:r>
      <w:r>
        <w:rPr>
          <w:sz w:val="21"/>
        </w:rPr>
        <w:t>GB</w:t>
      </w:r>
      <w:r>
        <w:rPr>
          <w:spacing w:val="22"/>
          <w:sz w:val="21"/>
        </w:rPr>
        <w:t xml:space="preserve"> </w:t>
      </w:r>
      <w:r>
        <w:rPr>
          <w:sz w:val="21"/>
        </w:rPr>
        <w:t>5749</w:t>
      </w:r>
      <w:r>
        <w:rPr>
          <w:spacing w:val="-10"/>
          <w:sz w:val="21"/>
        </w:rPr>
        <w:t xml:space="preserve"> </w:t>
      </w:r>
      <w:r>
        <w:rPr>
          <w:spacing w:val="-10"/>
          <w:sz w:val="21"/>
        </w:rPr>
        <w:t>的有关规</w:t>
      </w:r>
      <w:r>
        <w:rPr>
          <w:spacing w:val="-7"/>
          <w:sz w:val="21"/>
        </w:rPr>
        <w:t>定。</w:t>
      </w:r>
      <w:r>
        <w:rPr>
          <w:sz w:val="21"/>
        </w:rPr>
        <w:t xml:space="preserve"> </w:t>
      </w:r>
    </w:p>
    <w:p w14:paraId="1BBE89F9" w14:textId="77777777" w:rsidR="00A71EEF" w:rsidRDefault="0081115D">
      <w:pPr>
        <w:pStyle w:val="a4"/>
        <w:numPr>
          <w:ilvl w:val="2"/>
          <w:numId w:val="170"/>
        </w:numPr>
        <w:tabs>
          <w:tab w:val="left" w:pos="1370"/>
        </w:tabs>
        <w:spacing w:line="267" w:lineRule="exact"/>
        <w:ind w:left="1369" w:hanging="530"/>
        <w:rPr>
          <w:sz w:val="21"/>
        </w:rPr>
      </w:pPr>
      <w:r>
        <w:rPr>
          <w:spacing w:val="-7"/>
          <w:sz w:val="21"/>
        </w:rPr>
        <w:t>医院生活用水量定额宜符合表</w:t>
      </w:r>
      <w:r>
        <w:rPr>
          <w:spacing w:val="-7"/>
          <w:sz w:val="21"/>
        </w:rPr>
        <w:t xml:space="preserve"> </w:t>
      </w:r>
      <w:r>
        <w:rPr>
          <w:sz w:val="21"/>
        </w:rPr>
        <w:t>6.2.2</w:t>
      </w:r>
      <w:r>
        <w:rPr>
          <w:spacing w:val="-12"/>
          <w:sz w:val="21"/>
        </w:rPr>
        <w:t xml:space="preserve"> </w:t>
      </w:r>
      <w:r>
        <w:rPr>
          <w:spacing w:val="-12"/>
          <w:sz w:val="21"/>
        </w:rPr>
        <w:t>的规定。</w:t>
      </w:r>
      <w:r>
        <w:rPr>
          <w:spacing w:val="-12"/>
          <w:sz w:val="21"/>
        </w:rPr>
        <w:t xml:space="preserve"> </w:t>
      </w:r>
    </w:p>
    <w:p w14:paraId="77BFD01F" w14:textId="77777777" w:rsidR="00A71EEF" w:rsidRDefault="00A71EEF">
      <w:pPr>
        <w:pStyle w:val="a3"/>
        <w:spacing w:before="2"/>
        <w:rPr>
          <w:sz w:val="18"/>
        </w:rPr>
      </w:pPr>
    </w:p>
    <w:p w14:paraId="14A03E15" w14:textId="77777777" w:rsidR="00A71EEF" w:rsidRDefault="0081115D">
      <w:pPr>
        <w:pStyle w:val="6"/>
        <w:ind w:left="3308"/>
      </w:pPr>
      <w:r>
        <w:t>表</w:t>
      </w:r>
      <w:r>
        <w:t xml:space="preserve"> 6.2.2 </w:t>
      </w:r>
      <w:r>
        <w:t>医院生活用水量定额</w:t>
      </w:r>
      <w:r>
        <w:rPr>
          <w:w w:val="99"/>
        </w:rPr>
        <w:t xml:space="preserve"> </w:t>
      </w:r>
    </w:p>
    <w:p w14:paraId="627A792E" w14:textId="77777777" w:rsidR="00A71EEF" w:rsidRDefault="0081115D">
      <w:pPr>
        <w:pStyle w:val="a3"/>
        <w:spacing w:before="1"/>
        <w:rPr>
          <w:b/>
          <w:sz w:val="25"/>
        </w:rPr>
      </w:pPr>
      <w:r>
        <w:rPr>
          <w:noProof/>
        </w:rPr>
        <w:drawing>
          <wp:anchor distT="0" distB="0" distL="0" distR="0" simplePos="0" relativeHeight="251690496" behindDoc="0" locked="0" layoutInCell="1" allowOverlap="1" wp14:anchorId="3213FA86" wp14:editId="437EC17E">
            <wp:simplePos x="0" y="0"/>
            <wp:positionH relativeFrom="page">
              <wp:posOffset>1294130</wp:posOffset>
            </wp:positionH>
            <wp:positionV relativeFrom="paragraph">
              <wp:posOffset>228957</wp:posOffset>
            </wp:positionV>
            <wp:extent cx="5174238" cy="3124200"/>
            <wp:effectExtent l="0" t="0" r="0" b="0"/>
            <wp:wrapTopAndBottom/>
            <wp:docPr id="637" name="image3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image367.jpeg"/>
                    <pic:cNvPicPr/>
                  </pic:nvPicPr>
                  <pic:blipFill>
                    <a:blip r:embed="rId439" cstate="print"/>
                    <a:stretch>
                      <a:fillRect/>
                    </a:stretch>
                  </pic:blipFill>
                  <pic:spPr>
                    <a:xfrm>
                      <a:off x="0" y="0"/>
                      <a:ext cx="5174238" cy="3124200"/>
                    </a:xfrm>
                    <a:prstGeom prst="rect">
                      <a:avLst/>
                    </a:prstGeom>
                  </pic:spPr>
                </pic:pic>
              </a:graphicData>
            </a:graphic>
          </wp:anchor>
        </w:drawing>
      </w:r>
    </w:p>
    <w:p w14:paraId="0F87B37A" w14:textId="77777777" w:rsidR="00A71EEF" w:rsidRDefault="00A71EEF">
      <w:pPr>
        <w:pStyle w:val="a3"/>
        <w:rPr>
          <w:b/>
          <w:sz w:val="20"/>
        </w:rPr>
      </w:pPr>
    </w:p>
    <w:p w14:paraId="63FD1A06" w14:textId="77777777" w:rsidR="00A71EEF" w:rsidRDefault="00A71EEF">
      <w:pPr>
        <w:pStyle w:val="a3"/>
        <w:rPr>
          <w:b/>
          <w:sz w:val="20"/>
        </w:rPr>
      </w:pPr>
    </w:p>
    <w:p w14:paraId="7FDC35B0" w14:textId="77777777" w:rsidR="00A71EEF" w:rsidRDefault="00A71EEF">
      <w:pPr>
        <w:pStyle w:val="a3"/>
        <w:spacing w:before="2"/>
        <w:rPr>
          <w:b/>
          <w:sz w:val="14"/>
        </w:rPr>
      </w:pPr>
    </w:p>
    <w:p w14:paraId="3E049527" w14:textId="77777777" w:rsidR="00A71EEF" w:rsidRDefault="0081115D">
      <w:pPr>
        <w:pStyle w:val="a3"/>
        <w:spacing w:line="446" w:lineRule="auto"/>
        <w:ind w:left="838" w:right="3186"/>
        <w:rPr>
          <w:b/>
        </w:rPr>
      </w:pPr>
      <w:r>
        <w:t>注：</w:t>
      </w:r>
      <w:r>
        <w:t>1.</w:t>
      </w:r>
      <w:r>
        <w:t>医务人员的用水量包括手术室、中心供应等医院常规医疗用水；</w:t>
      </w:r>
      <w:r>
        <w:t xml:space="preserve"> 2.</w:t>
      </w:r>
      <w:r>
        <w:t>道路和绿化用水应根据当地气候条件确定。</w:t>
      </w:r>
      <w:r>
        <w:rPr>
          <w:b/>
          <w:w w:val="99"/>
        </w:rPr>
        <w:t xml:space="preserve"> </w:t>
      </w:r>
    </w:p>
    <w:p w14:paraId="50DAC884" w14:textId="77777777" w:rsidR="00A71EEF" w:rsidRDefault="0081115D">
      <w:pPr>
        <w:pStyle w:val="a4"/>
        <w:numPr>
          <w:ilvl w:val="2"/>
          <w:numId w:val="170"/>
        </w:numPr>
        <w:tabs>
          <w:tab w:val="left" w:pos="1370"/>
        </w:tabs>
        <w:spacing w:line="267" w:lineRule="exact"/>
        <w:ind w:left="1369" w:hanging="530"/>
        <w:rPr>
          <w:sz w:val="21"/>
        </w:rPr>
      </w:pPr>
      <w:r>
        <w:rPr>
          <w:spacing w:val="-3"/>
          <w:sz w:val="21"/>
        </w:rPr>
        <w:t>锅炉用水和冷冻机冷却循环水系统的补充水等应根据工艺确定。</w:t>
      </w:r>
      <w:r>
        <w:rPr>
          <w:sz w:val="21"/>
        </w:rPr>
        <w:t xml:space="preserve"> </w:t>
      </w:r>
    </w:p>
    <w:p w14:paraId="744B5780" w14:textId="77777777" w:rsidR="00A71EEF" w:rsidRDefault="00A71EEF">
      <w:pPr>
        <w:pStyle w:val="a3"/>
        <w:spacing w:before="2"/>
        <w:rPr>
          <w:sz w:val="18"/>
        </w:rPr>
      </w:pPr>
    </w:p>
    <w:p w14:paraId="0968CAC1" w14:textId="77777777" w:rsidR="00A71EEF" w:rsidRDefault="0081115D">
      <w:pPr>
        <w:pStyle w:val="a4"/>
        <w:numPr>
          <w:ilvl w:val="2"/>
          <w:numId w:val="170"/>
        </w:numPr>
        <w:tabs>
          <w:tab w:val="left" w:pos="1370"/>
        </w:tabs>
        <w:ind w:left="1369" w:hanging="530"/>
        <w:rPr>
          <w:sz w:val="21"/>
        </w:rPr>
      </w:pPr>
      <w:r>
        <w:rPr>
          <w:spacing w:val="-3"/>
          <w:sz w:val="21"/>
        </w:rPr>
        <w:t>烧伤病房、中心</w:t>
      </w:r>
      <w:r>
        <w:rPr>
          <w:spacing w:val="-3"/>
          <w:sz w:val="21"/>
        </w:rPr>
        <w:t>(</w:t>
      </w:r>
      <w:r>
        <w:rPr>
          <w:spacing w:val="-3"/>
          <w:sz w:val="21"/>
        </w:rPr>
        <w:t>消毒</w:t>
      </w:r>
      <w:r>
        <w:rPr>
          <w:spacing w:val="-3"/>
          <w:sz w:val="21"/>
        </w:rPr>
        <w:t>)</w:t>
      </w:r>
      <w:r>
        <w:rPr>
          <w:spacing w:val="-3"/>
          <w:sz w:val="21"/>
        </w:rPr>
        <w:t>供应室等场所的供水，应根据医院工艺要求设置供水点。</w:t>
      </w:r>
      <w:r>
        <w:rPr>
          <w:sz w:val="21"/>
        </w:rPr>
        <w:t xml:space="preserve"> </w:t>
      </w:r>
    </w:p>
    <w:p w14:paraId="14370E54" w14:textId="77777777" w:rsidR="00A71EEF" w:rsidRDefault="00A71EEF">
      <w:pPr>
        <w:pStyle w:val="a3"/>
        <w:spacing w:before="12"/>
        <w:rPr>
          <w:sz w:val="17"/>
        </w:rPr>
      </w:pPr>
    </w:p>
    <w:p w14:paraId="1F2D798B" w14:textId="77777777" w:rsidR="00A71EEF" w:rsidRDefault="0081115D">
      <w:pPr>
        <w:pStyle w:val="a4"/>
        <w:numPr>
          <w:ilvl w:val="2"/>
          <w:numId w:val="170"/>
        </w:numPr>
        <w:tabs>
          <w:tab w:val="left" w:pos="1370"/>
        </w:tabs>
        <w:spacing w:line="446" w:lineRule="auto"/>
        <w:ind w:left="838" w:right="2444" w:firstLine="2"/>
        <w:rPr>
          <w:b/>
          <w:sz w:val="21"/>
        </w:rPr>
      </w:pPr>
      <w:r>
        <w:rPr>
          <w:spacing w:val="-2"/>
          <w:sz w:val="21"/>
        </w:rPr>
        <w:t>下列场所的用水点应采用非手动开关，并应采取防止污水外溅的措施：</w:t>
      </w:r>
      <w:r>
        <w:rPr>
          <w:spacing w:val="-2"/>
          <w:sz w:val="21"/>
        </w:rPr>
        <w:t xml:space="preserve"> </w:t>
      </w:r>
      <w:r>
        <w:rPr>
          <w:spacing w:val="-2"/>
          <w:sz w:val="21"/>
        </w:rPr>
        <w:t>公</w:t>
      </w:r>
      <w:r>
        <w:rPr>
          <w:spacing w:val="-3"/>
          <w:sz w:val="21"/>
        </w:rPr>
        <w:t>共卫生间的洗手盆、小便斗、大便器；</w:t>
      </w:r>
      <w:r>
        <w:rPr>
          <w:b/>
          <w:w w:val="99"/>
          <w:sz w:val="21"/>
        </w:rPr>
        <w:t xml:space="preserve"> </w:t>
      </w:r>
    </w:p>
    <w:p w14:paraId="2E9C98D9" w14:textId="77777777" w:rsidR="00A71EEF" w:rsidRDefault="0081115D">
      <w:pPr>
        <w:pStyle w:val="a3"/>
        <w:spacing w:line="446" w:lineRule="auto"/>
        <w:ind w:left="838" w:right="3397"/>
        <w:rPr>
          <w:b/>
        </w:rPr>
      </w:pPr>
      <w:r>
        <w:rPr>
          <w:spacing w:val="-3"/>
        </w:rPr>
        <w:t>护士站、治疗室、中心</w:t>
      </w:r>
      <w:r>
        <w:rPr>
          <w:spacing w:val="-3"/>
        </w:rPr>
        <w:t>(</w:t>
      </w:r>
      <w:r>
        <w:rPr>
          <w:spacing w:val="-3"/>
        </w:rPr>
        <w:t>消毒</w:t>
      </w:r>
      <w:r>
        <w:rPr>
          <w:spacing w:val="-3"/>
        </w:rPr>
        <w:t>)</w:t>
      </w:r>
      <w:r>
        <w:rPr>
          <w:spacing w:val="-3"/>
        </w:rPr>
        <w:t>供应室、监护病房等房间的洗手盆：</w:t>
      </w:r>
      <w:r>
        <w:rPr>
          <w:spacing w:val="-3"/>
        </w:rPr>
        <w:t xml:space="preserve">  </w:t>
      </w:r>
      <w:r>
        <w:rPr>
          <w:spacing w:val="-3"/>
        </w:rPr>
        <w:t>产房、手术刷手池、无菌室、血液病房和烧伤病房等房间的洗手盆；</w:t>
      </w:r>
      <w:r>
        <w:rPr>
          <w:spacing w:val="-3"/>
        </w:rPr>
        <w:t xml:space="preserve"> </w:t>
      </w:r>
      <w:r>
        <w:rPr>
          <w:spacing w:val="-3"/>
        </w:rPr>
        <w:t>诊室、检验科等房间的洗手盆；</w:t>
      </w:r>
      <w:r>
        <w:rPr>
          <w:b/>
          <w:w w:val="99"/>
        </w:rPr>
        <w:t xml:space="preserve"> </w:t>
      </w:r>
    </w:p>
    <w:p w14:paraId="48A07E05" w14:textId="77777777" w:rsidR="00A71EEF" w:rsidRDefault="0081115D">
      <w:pPr>
        <w:pStyle w:val="a3"/>
        <w:spacing w:line="268" w:lineRule="exact"/>
        <w:ind w:left="838"/>
        <w:rPr>
          <w:b/>
        </w:rPr>
      </w:pPr>
      <w:r>
        <w:t>有无菌要求或防止院内感染场所的卫生器具。</w:t>
      </w:r>
      <w:r>
        <w:rPr>
          <w:b/>
          <w:w w:val="99"/>
        </w:rPr>
        <w:t xml:space="preserve"> </w:t>
      </w:r>
    </w:p>
    <w:p w14:paraId="500F60B4" w14:textId="77777777" w:rsidR="00A71EEF" w:rsidRDefault="00A71EEF">
      <w:pPr>
        <w:spacing w:line="268" w:lineRule="exact"/>
        <w:sectPr w:rsidR="00A71EEF">
          <w:pgSz w:w="11910" w:h="16850"/>
          <w:pgMar w:top="1220" w:right="0" w:bottom="1420" w:left="1260" w:header="0" w:footer="1239" w:gutter="0"/>
          <w:cols w:space="720"/>
        </w:sectPr>
      </w:pPr>
    </w:p>
    <w:p w14:paraId="78FDBFE4" w14:textId="77777777" w:rsidR="00A71EEF" w:rsidRDefault="0081115D">
      <w:pPr>
        <w:pStyle w:val="a4"/>
        <w:numPr>
          <w:ilvl w:val="2"/>
          <w:numId w:val="170"/>
        </w:numPr>
        <w:tabs>
          <w:tab w:val="left" w:pos="1371"/>
        </w:tabs>
        <w:spacing w:before="47"/>
        <w:ind w:left="1370"/>
        <w:rPr>
          <w:sz w:val="21"/>
        </w:rPr>
      </w:pPr>
      <w:r>
        <w:rPr>
          <w:spacing w:val="-3"/>
          <w:sz w:val="21"/>
        </w:rPr>
        <w:t>采用非手动开关的用水点应符合下列要求：</w:t>
      </w:r>
      <w:r>
        <w:rPr>
          <w:sz w:val="21"/>
        </w:rPr>
        <w:t xml:space="preserve"> </w:t>
      </w:r>
    </w:p>
    <w:p w14:paraId="39B77A40" w14:textId="77777777" w:rsidR="00A71EEF" w:rsidRDefault="00A71EEF">
      <w:pPr>
        <w:pStyle w:val="a3"/>
        <w:rPr>
          <w:sz w:val="18"/>
        </w:rPr>
      </w:pPr>
    </w:p>
    <w:p w14:paraId="4ED9BCCB" w14:textId="77777777" w:rsidR="00A71EEF" w:rsidRDefault="0081115D">
      <w:pPr>
        <w:pStyle w:val="a3"/>
        <w:spacing w:line="446" w:lineRule="auto"/>
        <w:ind w:left="418" w:right="1609" w:firstLine="419"/>
      </w:pPr>
      <w:r>
        <w:rPr>
          <w:spacing w:val="-3"/>
        </w:rPr>
        <w:t>公共卫生间的洗手盆宜采用感应自动水龙头，小便斗宜采用自动冲洗阀，蹲式大便器宜采用脚踏式自闭冲洗阀或感应冲洗阀。</w:t>
      </w:r>
      <w:r>
        <w:t xml:space="preserve"> </w:t>
      </w:r>
    </w:p>
    <w:p w14:paraId="122CA5E5" w14:textId="77777777" w:rsidR="00A71EEF" w:rsidRDefault="0081115D">
      <w:pPr>
        <w:pStyle w:val="a3"/>
        <w:spacing w:line="446" w:lineRule="auto"/>
        <w:ind w:left="418" w:right="1609" w:firstLine="419"/>
      </w:pPr>
      <w:r>
        <w:rPr>
          <w:spacing w:val="-3"/>
        </w:rPr>
        <w:t>护士站、治疗室、洁净室和消毒供应中心、监护病房和烧伤病房等房间的洗手盆，应采用感应自动、膝动或肘动开关水龙头。</w:t>
      </w:r>
      <w:r>
        <w:t xml:space="preserve"> </w:t>
      </w:r>
    </w:p>
    <w:p w14:paraId="55E4F61E" w14:textId="77777777" w:rsidR="00A71EEF" w:rsidRDefault="0081115D">
      <w:pPr>
        <w:pStyle w:val="a3"/>
        <w:spacing w:line="446" w:lineRule="auto"/>
        <w:ind w:left="418" w:right="1609" w:firstLine="419"/>
      </w:pPr>
      <w:r>
        <w:rPr>
          <w:spacing w:val="-3"/>
        </w:rPr>
        <w:t>产房、手术刷手池、洁净无菌室、血液病房和烧伤病房等房间的洗手盆，应采用感应自动水龙头。</w:t>
      </w:r>
      <w:r>
        <w:t xml:space="preserve"> </w:t>
      </w:r>
    </w:p>
    <w:p w14:paraId="4BC2B204" w14:textId="77777777" w:rsidR="00A71EEF" w:rsidRDefault="0081115D">
      <w:pPr>
        <w:pStyle w:val="a3"/>
        <w:spacing w:line="446" w:lineRule="auto"/>
        <w:ind w:left="418" w:right="1609" w:firstLine="419"/>
      </w:pPr>
      <w:r>
        <w:rPr>
          <w:spacing w:val="-5"/>
        </w:rPr>
        <w:t>有无菌要求或防止院内感染场所的卫生器具，应按本条第</w:t>
      </w:r>
      <w:r>
        <w:rPr>
          <w:spacing w:val="-5"/>
        </w:rPr>
        <w:t xml:space="preserve"> </w:t>
      </w:r>
      <w:r>
        <w:t>1</w:t>
      </w:r>
      <w:r>
        <w:rPr>
          <w:spacing w:val="-23"/>
        </w:rPr>
        <w:t xml:space="preserve"> </w:t>
      </w:r>
      <w:r>
        <w:rPr>
          <w:spacing w:val="-23"/>
        </w:rPr>
        <w:t>款</w:t>
      </w:r>
      <w:r>
        <w:rPr>
          <w:spacing w:val="-3"/>
        </w:rPr>
        <w:t>～</w:t>
      </w:r>
      <w:r>
        <w:rPr>
          <w:spacing w:val="-22"/>
        </w:rPr>
        <w:t>第</w:t>
      </w:r>
      <w:r>
        <w:rPr>
          <w:spacing w:val="-22"/>
        </w:rPr>
        <w:t xml:space="preserve"> </w:t>
      </w:r>
      <w:r>
        <w:t>3</w:t>
      </w:r>
      <w:r>
        <w:rPr>
          <w:spacing w:val="-8"/>
        </w:rPr>
        <w:t xml:space="preserve"> </w:t>
      </w:r>
      <w:r>
        <w:rPr>
          <w:spacing w:val="-8"/>
        </w:rPr>
        <w:t>款要求选择水龙头或</w:t>
      </w:r>
      <w:r>
        <w:rPr>
          <w:spacing w:val="-6"/>
        </w:rPr>
        <w:t>冲洗阀。</w:t>
      </w:r>
      <w:r>
        <w:t xml:space="preserve"> </w:t>
      </w:r>
    </w:p>
    <w:p w14:paraId="07342A7C" w14:textId="77777777" w:rsidR="00A71EEF" w:rsidRDefault="0081115D">
      <w:pPr>
        <w:pStyle w:val="a4"/>
        <w:numPr>
          <w:ilvl w:val="1"/>
          <w:numId w:val="170"/>
        </w:numPr>
        <w:tabs>
          <w:tab w:val="left" w:pos="1159"/>
        </w:tabs>
        <w:ind w:left="1158" w:hanging="319"/>
        <w:rPr>
          <w:sz w:val="21"/>
        </w:rPr>
      </w:pPr>
      <w:r>
        <w:rPr>
          <w:spacing w:val="-3"/>
          <w:sz w:val="21"/>
        </w:rPr>
        <w:t>排水</w:t>
      </w:r>
      <w:r>
        <w:rPr>
          <w:sz w:val="21"/>
        </w:rPr>
        <w:t xml:space="preserve"> </w:t>
      </w:r>
    </w:p>
    <w:p w14:paraId="774E8127" w14:textId="77777777" w:rsidR="00A71EEF" w:rsidRDefault="00A71EEF">
      <w:pPr>
        <w:pStyle w:val="a3"/>
        <w:spacing w:before="10"/>
        <w:rPr>
          <w:sz w:val="17"/>
        </w:rPr>
      </w:pPr>
    </w:p>
    <w:p w14:paraId="19BDB885" w14:textId="77777777" w:rsidR="00A71EEF" w:rsidRDefault="0081115D">
      <w:pPr>
        <w:pStyle w:val="a4"/>
        <w:numPr>
          <w:ilvl w:val="2"/>
          <w:numId w:val="170"/>
        </w:numPr>
        <w:tabs>
          <w:tab w:val="left" w:pos="1370"/>
        </w:tabs>
        <w:spacing w:line="446" w:lineRule="auto"/>
        <w:ind w:right="1498" w:firstLine="422"/>
        <w:rPr>
          <w:sz w:val="21"/>
        </w:rPr>
      </w:pPr>
      <w:r>
        <w:rPr>
          <w:spacing w:val="-3"/>
          <w:sz w:val="21"/>
        </w:rPr>
        <w:t>医院的宿舍区生活污水应直接排入城市污水排水管道，院区内的普通生活污废水有条件时，可直接</w:t>
      </w:r>
      <w:r>
        <w:rPr>
          <w:spacing w:val="-3"/>
          <w:sz w:val="21"/>
        </w:rPr>
        <w:t>排入城市污水排水管道。</w:t>
      </w:r>
      <w:r>
        <w:rPr>
          <w:sz w:val="21"/>
        </w:rPr>
        <w:t xml:space="preserve"> </w:t>
      </w:r>
      <w:r>
        <w:rPr>
          <w:spacing w:val="-2"/>
          <w:sz w:val="21"/>
        </w:rPr>
        <w:t xml:space="preserve"> </w:t>
      </w:r>
      <w:r>
        <w:rPr>
          <w:sz w:val="21"/>
        </w:rPr>
        <w:t xml:space="preserve"> </w:t>
      </w:r>
    </w:p>
    <w:p w14:paraId="1E5C89D4" w14:textId="77777777" w:rsidR="00A71EEF" w:rsidRDefault="0081115D">
      <w:pPr>
        <w:pStyle w:val="a4"/>
        <w:numPr>
          <w:ilvl w:val="2"/>
          <w:numId w:val="170"/>
        </w:numPr>
        <w:tabs>
          <w:tab w:val="left" w:pos="1371"/>
        </w:tabs>
        <w:ind w:left="1370"/>
        <w:rPr>
          <w:sz w:val="21"/>
        </w:rPr>
      </w:pPr>
      <w:r>
        <w:rPr>
          <w:spacing w:val="-3"/>
          <w:sz w:val="21"/>
        </w:rPr>
        <w:t>下列场所应采用独立的排水系统或间接排放，并应符合下列要求：</w:t>
      </w:r>
      <w:r>
        <w:rPr>
          <w:spacing w:val="-3"/>
          <w:sz w:val="21"/>
        </w:rPr>
        <w:t xml:space="preserve"> </w:t>
      </w:r>
      <w:r>
        <w:rPr>
          <w:spacing w:val="-2"/>
          <w:sz w:val="21"/>
        </w:rPr>
        <w:t xml:space="preserve"> </w:t>
      </w:r>
      <w:r>
        <w:rPr>
          <w:sz w:val="21"/>
        </w:rPr>
        <w:t xml:space="preserve"> </w:t>
      </w:r>
    </w:p>
    <w:p w14:paraId="5F2056BE" w14:textId="77777777" w:rsidR="00A71EEF" w:rsidRDefault="00A71EEF">
      <w:pPr>
        <w:pStyle w:val="a3"/>
        <w:rPr>
          <w:sz w:val="18"/>
        </w:rPr>
      </w:pPr>
    </w:p>
    <w:p w14:paraId="76AC90DC" w14:textId="77777777" w:rsidR="00A71EEF" w:rsidRDefault="0081115D">
      <w:pPr>
        <w:pStyle w:val="a3"/>
        <w:ind w:left="838"/>
      </w:pPr>
      <w:r>
        <w:t>传染病门急诊和病房的污水应单独收集处理；</w:t>
      </w:r>
      <w:r>
        <w:t xml:space="preserve">  </w:t>
      </w:r>
      <w:r>
        <w:t xml:space="preserve"> </w:t>
      </w:r>
    </w:p>
    <w:p w14:paraId="553E3FF5" w14:textId="77777777" w:rsidR="00A71EEF" w:rsidRDefault="00A71EEF">
      <w:pPr>
        <w:pStyle w:val="a3"/>
        <w:spacing w:before="12"/>
        <w:rPr>
          <w:sz w:val="17"/>
        </w:rPr>
      </w:pPr>
    </w:p>
    <w:p w14:paraId="5028738B" w14:textId="77777777" w:rsidR="00A71EEF" w:rsidRDefault="0081115D">
      <w:pPr>
        <w:pStyle w:val="a3"/>
        <w:ind w:left="838"/>
      </w:pPr>
      <w:r>
        <w:t>放射性废水应单独收集处理；</w:t>
      </w:r>
      <w:r>
        <w:t xml:space="preserve">  </w:t>
      </w:r>
      <w:r>
        <w:t xml:space="preserve"> </w:t>
      </w:r>
    </w:p>
    <w:p w14:paraId="3AE577A9" w14:textId="77777777" w:rsidR="00A71EEF" w:rsidRDefault="00A71EEF">
      <w:pPr>
        <w:pStyle w:val="a3"/>
        <w:spacing w:before="2"/>
        <w:rPr>
          <w:sz w:val="18"/>
        </w:rPr>
      </w:pPr>
    </w:p>
    <w:p w14:paraId="102C51E8" w14:textId="77777777" w:rsidR="00A71EEF" w:rsidRDefault="0081115D">
      <w:pPr>
        <w:pStyle w:val="a3"/>
        <w:ind w:left="838"/>
      </w:pPr>
      <w:r>
        <w:t>牙科废水宜单独收集处理；</w:t>
      </w:r>
      <w:r>
        <w:t xml:space="preserve">  </w:t>
      </w:r>
      <w:r>
        <w:t xml:space="preserve"> </w:t>
      </w:r>
    </w:p>
    <w:p w14:paraId="0F4EFE03" w14:textId="77777777" w:rsidR="00A71EEF" w:rsidRDefault="00A71EEF">
      <w:pPr>
        <w:pStyle w:val="a3"/>
        <w:rPr>
          <w:sz w:val="18"/>
        </w:rPr>
      </w:pPr>
    </w:p>
    <w:p w14:paraId="64736C90" w14:textId="77777777" w:rsidR="00A71EEF" w:rsidRDefault="0081115D">
      <w:pPr>
        <w:pStyle w:val="a3"/>
        <w:ind w:left="838"/>
      </w:pPr>
      <w:r>
        <w:t>锅炉排污水、中心</w:t>
      </w:r>
      <w:r>
        <w:t>(</w:t>
      </w:r>
      <w:r>
        <w:t>消毒</w:t>
      </w:r>
      <w:r>
        <w:t>)</w:t>
      </w:r>
      <w:r>
        <w:t>供应室的消毒凝结水等，应单独收集并设置降温池或降温井；</w:t>
      </w:r>
      <w:r>
        <w:t xml:space="preserve">  </w:t>
      </w:r>
      <w:r>
        <w:t xml:space="preserve"> </w:t>
      </w:r>
    </w:p>
    <w:p w14:paraId="3B18C859" w14:textId="77777777" w:rsidR="00A71EEF" w:rsidRDefault="00A71EEF">
      <w:pPr>
        <w:pStyle w:val="a3"/>
        <w:spacing w:before="12"/>
        <w:rPr>
          <w:sz w:val="17"/>
        </w:rPr>
      </w:pPr>
    </w:p>
    <w:p w14:paraId="40CAD7B9" w14:textId="77777777" w:rsidR="00A71EEF" w:rsidRDefault="0081115D">
      <w:pPr>
        <w:pStyle w:val="a3"/>
        <w:spacing w:line="446" w:lineRule="auto"/>
        <w:ind w:left="418" w:right="1609" w:firstLine="419"/>
      </w:pPr>
      <w:r>
        <w:t>分析化验采用的有腐蚀性的化学试剂宜单独收集，并应综合处理后再排入院区污水管道或回收利用；</w:t>
      </w:r>
      <w:r>
        <w:t xml:space="preserve">  </w:t>
      </w:r>
      <w:r>
        <w:t xml:space="preserve"> </w:t>
      </w:r>
    </w:p>
    <w:p w14:paraId="40C2A26F" w14:textId="77777777" w:rsidR="00A71EEF" w:rsidRDefault="0081115D">
      <w:pPr>
        <w:pStyle w:val="a3"/>
        <w:spacing w:before="1"/>
        <w:ind w:left="838"/>
      </w:pPr>
      <w:r>
        <w:t>其他医疗设备或设施的排水管道应采用间接排水；</w:t>
      </w:r>
      <w:r>
        <w:t xml:space="preserve">  </w:t>
      </w:r>
      <w:r>
        <w:t xml:space="preserve"> </w:t>
      </w:r>
    </w:p>
    <w:p w14:paraId="05DE4815" w14:textId="77777777" w:rsidR="00A71EEF" w:rsidRDefault="00A71EEF">
      <w:pPr>
        <w:pStyle w:val="a3"/>
        <w:spacing w:before="12"/>
        <w:rPr>
          <w:sz w:val="17"/>
        </w:rPr>
      </w:pPr>
    </w:p>
    <w:p w14:paraId="3B7FF33E" w14:textId="77777777" w:rsidR="00A71EEF" w:rsidRDefault="0081115D">
      <w:pPr>
        <w:pStyle w:val="a3"/>
        <w:spacing w:line="446" w:lineRule="auto"/>
        <w:ind w:left="840" w:right="2134" w:hanging="3"/>
      </w:pPr>
      <w:r>
        <w:rPr>
          <w:spacing w:val="-3"/>
        </w:rPr>
        <w:t>太平间和解剖室应在室内采用独立的排水系统，且主通气管应伸到屋顶无不良处。</w:t>
      </w:r>
      <w:r>
        <w:rPr>
          <w:b/>
          <w:spacing w:val="-3"/>
        </w:rPr>
        <w:t>6.3.3</w:t>
      </w:r>
      <w:r>
        <w:rPr>
          <w:b/>
          <w:spacing w:val="103"/>
        </w:rPr>
        <w:t xml:space="preserve"> </w:t>
      </w:r>
      <w:r>
        <w:rPr>
          <w:spacing w:val="-3"/>
        </w:rPr>
        <w:t>室内卫生间排水系统宜符合下列要求：</w:t>
      </w:r>
      <w:r>
        <w:rPr>
          <w:spacing w:val="-3"/>
        </w:rPr>
        <w:t xml:space="preserve"> </w:t>
      </w:r>
      <w:r>
        <w:rPr>
          <w:spacing w:val="-2"/>
        </w:rPr>
        <w:t xml:space="preserve"> </w:t>
      </w:r>
      <w:r>
        <w:t xml:space="preserve"> </w:t>
      </w:r>
    </w:p>
    <w:p w14:paraId="36A37268" w14:textId="77777777" w:rsidR="00A71EEF" w:rsidRDefault="0081115D">
      <w:pPr>
        <w:pStyle w:val="a3"/>
        <w:spacing w:line="446" w:lineRule="auto"/>
        <w:ind w:left="418" w:right="1507" w:firstLine="419"/>
      </w:pPr>
      <w:r>
        <w:rPr>
          <w:spacing w:val="-8"/>
        </w:rPr>
        <w:t>当建筑高度超过</w:t>
      </w:r>
      <w:r>
        <w:rPr>
          <w:spacing w:val="-8"/>
        </w:rPr>
        <w:t xml:space="preserve"> </w:t>
      </w:r>
      <w:r>
        <w:t>2</w:t>
      </w:r>
      <w:r>
        <w:rPr>
          <w:spacing w:val="-11"/>
        </w:rPr>
        <w:t xml:space="preserve"> </w:t>
      </w:r>
      <w:r>
        <w:rPr>
          <w:spacing w:val="-11"/>
        </w:rPr>
        <w:t>层且为暗卫生间或建筑高度超过</w:t>
      </w:r>
      <w:r>
        <w:rPr>
          <w:spacing w:val="-11"/>
        </w:rPr>
        <w:t xml:space="preserve"> </w:t>
      </w:r>
      <w:r>
        <w:t>10</w:t>
      </w:r>
      <w:r>
        <w:rPr>
          <w:spacing w:val="-8"/>
        </w:rPr>
        <w:t xml:space="preserve"> </w:t>
      </w:r>
      <w:r>
        <w:rPr>
          <w:spacing w:val="-8"/>
        </w:rPr>
        <w:t>层时，卫生间的排水系统可采用专用</w:t>
      </w:r>
      <w:r>
        <w:rPr>
          <w:spacing w:val="-5"/>
        </w:rPr>
        <w:t>通气立管系统；</w:t>
      </w:r>
      <w:r>
        <w:t xml:space="preserve"> </w:t>
      </w:r>
      <w:r>
        <w:rPr>
          <w:spacing w:val="-2"/>
        </w:rPr>
        <w:t xml:space="preserve"> </w:t>
      </w:r>
      <w:r>
        <w:t xml:space="preserve"> </w:t>
      </w:r>
    </w:p>
    <w:p w14:paraId="3768D44D" w14:textId="77777777" w:rsidR="00A71EEF" w:rsidRDefault="0081115D">
      <w:pPr>
        <w:pStyle w:val="a3"/>
        <w:ind w:left="838"/>
      </w:pPr>
      <w:r>
        <w:t>公共卫生间排水横管超过</w:t>
      </w:r>
      <w:r>
        <w:t xml:space="preserve"> 10.00m </w:t>
      </w:r>
      <w:r>
        <w:t>或大便器超过</w:t>
      </w:r>
      <w:r>
        <w:t xml:space="preserve"> 3 </w:t>
      </w:r>
      <w:r>
        <w:t>个时，宜采用环行通气管；</w:t>
      </w:r>
      <w:r>
        <w:t xml:space="preserve">  </w:t>
      </w:r>
      <w:r>
        <w:t xml:space="preserve"> </w:t>
      </w:r>
    </w:p>
    <w:p w14:paraId="4BA5639E" w14:textId="77777777" w:rsidR="00A71EEF" w:rsidRDefault="00A71EEF">
      <w:pPr>
        <w:pStyle w:val="a3"/>
        <w:spacing w:before="12"/>
        <w:rPr>
          <w:sz w:val="17"/>
        </w:rPr>
      </w:pPr>
    </w:p>
    <w:p w14:paraId="22EB6F7B" w14:textId="77777777" w:rsidR="00A71EEF" w:rsidRDefault="0081115D">
      <w:pPr>
        <w:pStyle w:val="a3"/>
        <w:ind w:left="838"/>
      </w:pPr>
      <w:r>
        <w:t>卫生间器具排水支管长度不宜超过</w:t>
      </w:r>
      <w:r>
        <w:t xml:space="preserve"> 1.50m</w:t>
      </w:r>
      <w:r>
        <w:t>；</w:t>
      </w:r>
      <w:r>
        <w:t xml:space="preserve">  </w:t>
      </w:r>
      <w:r>
        <w:t xml:space="preserve"> </w:t>
      </w:r>
    </w:p>
    <w:p w14:paraId="3D20754F" w14:textId="77777777" w:rsidR="00A71EEF" w:rsidRDefault="00A71EEF">
      <w:pPr>
        <w:pStyle w:val="a3"/>
        <w:rPr>
          <w:sz w:val="18"/>
        </w:rPr>
      </w:pPr>
    </w:p>
    <w:p w14:paraId="2141374F" w14:textId="77777777" w:rsidR="00A71EEF" w:rsidRDefault="0081115D">
      <w:pPr>
        <w:pStyle w:val="a3"/>
        <w:ind w:left="838"/>
      </w:pPr>
      <w:r>
        <w:t>浴缸宜采取防虹吸措施。</w:t>
      </w:r>
      <w:r>
        <w:t xml:space="preserve"> </w:t>
      </w:r>
    </w:p>
    <w:p w14:paraId="5DF3A2D8" w14:textId="77777777" w:rsidR="00A71EEF" w:rsidRDefault="00A71EEF">
      <w:pPr>
        <w:sectPr w:rsidR="00A71EEF">
          <w:pgSz w:w="11910" w:h="16850"/>
          <w:pgMar w:top="1220" w:right="0" w:bottom="1420" w:left="1260" w:header="0" w:footer="1239" w:gutter="0"/>
          <w:cols w:space="720"/>
        </w:sectPr>
      </w:pPr>
    </w:p>
    <w:p w14:paraId="66BB2DCE" w14:textId="77777777" w:rsidR="00A71EEF" w:rsidRDefault="0081115D">
      <w:pPr>
        <w:pStyle w:val="a4"/>
        <w:numPr>
          <w:ilvl w:val="2"/>
          <w:numId w:val="169"/>
        </w:numPr>
        <w:tabs>
          <w:tab w:val="left" w:pos="1370"/>
        </w:tabs>
        <w:spacing w:before="47" w:line="446" w:lineRule="auto"/>
        <w:ind w:right="1498" w:firstLine="422"/>
        <w:rPr>
          <w:sz w:val="21"/>
        </w:rPr>
      </w:pPr>
      <w:r>
        <w:rPr>
          <w:spacing w:val="-3"/>
          <w:sz w:val="21"/>
        </w:rPr>
        <w:t>中心</w:t>
      </w:r>
      <w:r>
        <w:rPr>
          <w:spacing w:val="-3"/>
          <w:sz w:val="21"/>
        </w:rPr>
        <w:t>(</w:t>
      </w:r>
      <w:r>
        <w:rPr>
          <w:spacing w:val="-3"/>
          <w:sz w:val="21"/>
        </w:rPr>
        <w:t>消毒</w:t>
      </w:r>
      <w:r>
        <w:rPr>
          <w:spacing w:val="-3"/>
          <w:sz w:val="21"/>
        </w:rPr>
        <w:t>)</w:t>
      </w:r>
      <w:r>
        <w:rPr>
          <w:spacing w:val="-3"/>
          <w:sz w:val="21"/>
        </w:rPr>
        <w:t>供应室、中药加工室、口腔科等场所的排水管道的管径，应大于计</w:t>
      </w:r>
      <w:r>
        <w:rPr>
          <w:spacing w:val="-3"/>
          <w:sz w:val="21"/>
        </w:rPr>
        <w:t>算管径</w:t>
      </w:r>
      <w:r>
        <w:rPr>
          <w:spacing w:val="-3"/>
          <w:sz w:val="21"/>
        </w:rPr>
        <w:t>1</w:t>
      </w:r>
      <w:r>
        <w:rPr>
          <w:spacing w:val="-3"/>
          <w:sz w:val="21"/>
        </w:rPr>
        <w:t>～</w:t>
      </w:r>
      <w:r>
        <w:rPr>
          <w:spacing w:val="-3"/>
          <w:sz w:val="21"/>
        </w:rPr>
        <w:t>2</w:t>
      </w:r>
      <w:r>
        <w:rPr>
          <w:spacing w:val="-15"/>
          <w:sz w:val="21"/>
        </w:rPr>
        <w:t xml:space="preserve"> </w:t>
      </w:r>
      <w:r>
        <w:rPr>
          <w:spacing w:val="-15"/>
          <w:sz w:val="21"/>
        </w:rPr>
        <w:t>级，且不得小于</w:t>
      </w:r>
      <w:r>
        <w:rPr>
          <w:spacing w:val="-15"/>
          <w:sz w:val="21"/>
        </w:rPr>
        <w:t xml:space="preserve"> </w:t>
      </w:r>
      <w:r>
        <w:rPr>
          <w:sz w:val="21"/>
        </w:rPr>
        <w:t>100.00mm</w:t>
      </w:r>
      <w:r>
        <w:rPr>
          <w:spacing w:val="-8"/>
          <w:sz w:val="21"/>
        </w:rPr>
        <w:t>，支管管径不得小于</w:t>
      </w:r>
      <w:r>
        <w:rPr>
          <w:spacing w:val="-8"/>
          <w:sz w:val="21"/>
        </w:rPr>
        <w:t xml:space="preserve"> </w:t>
      </w:r>
      <w:r>
        <w:rPr>
          <w:sz w:val="21"/>
        </w:rPr>
        <w:t>75.00mm</w:t>
      </w:r>
      <w:r>
        <w:rPr>
          <w:sz w:val="21"/>
        </w:rPr>
        <w:t>。</w:t>
      </w:r>
      <w:r>
        <w:rPr>
          <w:sz w:val="21"/>
        </w:rPr>
        <w:t xml:space="preserve"> </w:t>
      </w:r>
      <w:r>
        <w:rPr>
          <w:spacing w:val="-2"/>
          <w:sz w:val="21"/>
        </w:rPr>
        <w:t xml:space="preserve"> </w:t>
      </w:r>
      <w:r>
        <w:rPr>
          <w:sz w:val="21"/>
        </w:rPr>
        <w:t xml:space="preserve"> </w:t>
      </w:r>
    </w:p>
    <w:p w14:paraId="35D922E9" w14:textId="77777777" w:rsidR="00A71EEF" w:rsidRDefault="0081115D">
      <w:pPr>
        <w:pStyle w:val="a4"/>
        <w:numPr>
          <w:ilvl w:val="2"/>
          <w:numId w:val="169"/>
        </w:numPr>
        <w:tabs>
          <w:tab w:val="left" w:pos="1371"/>
        </w:tabs>
        <w:spacing w:line="446" w:lineRule="auto"/>
        <w:ind w:right="1498" w:firstLine="422"/>
        <w:rPr>
          <w:sz w:val="21"/>
        </w:rPr>
      </w:pPr>
      <w:r>
        <w:rPr>
          <w:spacing w:val="-3"/>
          <w:sz w:val="21"/>
        </w:rPr>
        <w:t>排放含有放射性污水的管道应采用机制含铅的铸铁管道，水平横管应敷设在垫层内或</w:t>
      </w:r>
      <w:r>
        <w:rPr>
          <w:spacing w:val="-6"/>
          <w:sz w:val="21"/>
        </w:rPr>
        <w:t>专用防辐射吊顶内，立管应安装在壁厚不小于</w:t>
      </w:r>
      <w:r>
        <w:rPr>
          <w:spacing w:val="-6"/>
          <w:sz w:val="21"/>
        </w:rPr>
        <w:t xml:space="preserve"> </w:t>
      </w:r>
      <w:r>
        <w:rPr>
          <w:sz w:val="21"/>
        </w:rPr>
        <w:t>150.00mm</w:t>
      </w:r>
      <w:r>
        <w:rPr>
          <w:spacing w:val="-9"/>
          <w:sz w:val="21"/>
        </w:rPr>
        <w:t xml:space="preserve"> </w:t>
      </w:r>
      <w:r>
        <w:rPr>
          <w:spacing w:val="-9"/>
          <w:sz w:val="21"/>
        </w:rPr>
        <w:t>的混凝土管道井内。</w:t>
      </w:r>
      <w:r>
        <w:rPr>
          <w:spacing w:val="-9"/>
          <w:sz w:val="21"/>
        </w:rPr>
        <w:t xml:space="preserve"> </w:t>
      </w:r>
    </w:p>
    <w:p w14:paraId="661D0DC6" w14:textId="77777777" w:rsidR="00A71EEF" w:rsidRDefault="0081115D">
      <w:pPr>
        <w:pStyle w:val="a4"/>
        <w:numPr>
          <w:ilvl w:val="2"/>
          <w:numId w:val="169"/>
        </w:numPr>
        <w:tabs>
          <w:tab w:val="left" w:pos="1370"/>
        </w:tabs>
        <w:ind w:left="1369" w:hanging="530"/>
        <w:rPr>
          <w:sz w:val="21"/>
        </w:rPr>
      </w:pPr>
      <w:r>
        <w:rPr>
          <w:spacing w:val="-7"/>
          <w:sz w:val="21"/>
        </w:rPr>
        <w:t>存水弯的水封高度不得小于</w:t>
      </w:r>
      <w:r>
        <w:rPr>
          <w:spacing w:val="-7"/>
          <w:sz w:val="21"/>
        </w:rPr>
        <w:t xml:space="preserve"> </w:t>
      </w:r>
      <w:r>
        <w:rPr>
          <w:sz w:val="21"/>
        </w:rPr>
        <w:t>50.00mm</w:t>
      </w:r>
      <w:r>
        <w:rPr>
          <w:spacing w:val="-10"/>
          <w:sz w:val="21"/>
        </w:rPr>
        <w:t>，且不得大于</w:t>
      </w:r>
      <w:r>
        <w:rPr>
          <w:spacing w:val="-10"/>
          <w:sz w:val="21"/>
        </w:rPr>
        <w:t xml:space="preserve"> </w:t>
      </w:r>
      <w:r>
        <w:rPr>
          <w:sz w:val="21"/>
        </w:rPr>
        <w:t>100.00mm</w:t>
      </w:r>
      <w:r>
        <w:rPr>
          <w:spacing w:val="-3"/>
          <w:sz w:val="21"/>
        </w:rPr>
        <w:t>。</w:t>
      </w:r>
      <w:r>
        <w:rPr>
          <w:sz w:val="21"/>
        </w:rPr>
        <w:t xml:space="preserve"> </w:t>
      </w:r>
    </w:p>
    <w:p w14:paraId="03A64990" w14:textId="77777777" w:rsidR="00A71EEF" w:rsidRDefault="00A71EEF">
      <w:pPr>
        <w:pStyle w:val="a3"/>
        <w:spacing w:before="10"/>
        <w:rPr>
          <w:sz w:val="17"/>
        </w:rPr>
      </w:pPr>
    </w:p>
    <w:p w14:paraId="1D60CA9E" w14:textId="77777777" w:rsidR="00A71EEF" w:rsidRDefault="0081115D">
      <w:pPr>
        <w:pStyle w:val="a4"/>
        <w:numPr>
          <w:ilvl w:val="2"/>
          <w:numId w:val="169"/>
        </w:numPr>
        <w:tabs>
          <w:tab w:val="left" w:pos="1371"/>
        </w:tabs>
        <w:ind w:left="1370" w:hanging="531"/>
        <w:rPr>
          <w:sz w:val="21"/>
        </w:rPr>
      </w:pPr>
      <w:r>
        <w:rPr>
          <w:spacing w:val="-3"/>
          <w:sz w:val="21"/>
        </w:rPr>
        <w:t>医院地面排水地漏的设置，应符合下列要求：</w:t>
      </w:r>
      <w:r>
        <w:rPr>
          <w:spacing w:val="-3"/>
          <w:sz w:val="21"/>
        </w:rPr>
        <w:t xml:space="preserve"> </w:t>
      </w:r>
      <w:r>
        <w:rPr>
          <w:spacing w:val="-2"/>
          <w:sz w:val="21"/>
        </w:rPr>
        <w:t xml:space="preserve"> </w:t>
      </w:r>
      <w:r>
        <w:rPr>
          <w:sz w:val="21"/>
        </w:rPr>
        <w:t xml:space="preserve"> </w:t>
      </w:r>
    </w:p>
    <w:p w14:paraId="2549D6CF" w14:textId="77777777" w:rsidR="00A71EEF" w:rsidRDefault="00A71EEF">
      <w:pPr>
        <w:pStyle w:val="a3"/>
        <w:spacing w:before="2"/>
        <w:rPr>
          <w:sz w:val="18"/>
        </w:rPr>
      </w:pPr>
    </w:p>
    <w:p w14:paraId="1CC27AA6" w14:textId="77777777" w:rsidR="00A71EEF" w:rsidRDefault="0081115D">
      <w:pPr>
        <w:pStyle w:val="a3"/>
        <w:ind w:left="838"/>
      </w:pPr>
      <w:r>
        <w:t>浴室和空调机房等经常有水流的房间应设置地漏；</w:t>
      </w:r>
      <w:r>
        <w:t xml:space="preserve">  </w:t>
      </w:r>
      <w:r>
        <w:t xml:space="preserve"> </w:t>
      </w:r>
    </w:p>
    <w:p w14:paraId="6BE7F5AA" w14:textId="77777777" w:rsidR="00A71EEF" w:rsidRDefault="00A71EEF">
      <w:pPr>
        <w:pStyle w:val="a3"/>
        <w:rPr>
          <w:sz w:val="18"/>
        </w:rPr>
      </w:pPr>
    </w:p>
    <w:p w14:paraId="3CC85FE9" w14:textId="77777777" w:rsidR="00A71EEF" w:rsidRDefault="0081115D">
      <w:pPr>
        <w:pStyle w:val="a3"/>
        <w:ind w:left="838"/>
      </w:pPr>
      <w:r>
        <w:t>卫生间有可能形成水流的房间宜设置地漏；</w:t>
      </w:r>
      <w:r>
        <w:t xml:space="preserve">  </w:t>
      </w:r>
      <w:r>
        <w:t xml:space="preserve"> </w:t>
      </w:r>
    </w:p>
    <w:p w14:paraId="6E144FDF" w14:textId="77777777" w:rsidR="00A71EEF" w:rsidRDefault="00A71EEF">
      <w:pPr>
        <w:pStyle w:val="a3"/>
        <w:rPr>
          <w:sz w:val="18"/>
        </w:rPr>
      </w:pPr>
    </w:p>
    <w:p w14:paraId="1C49233D" w14:textId="77777777" w:rsidR="00A71EEF" w:rsidRDefault="0081115D">
      <w:pPr>
        <w:pStyle w:val="a3"/>
        <w:spacing w:line="446" w:lineRule="auto"/>
        <w:ind w:left="418" w:right="1609" w:firstLine="419"/>
      </w:pPr>
      <w:r>
        <w:t>对于空调机房等季节性地面排水，以及需要排放冲洗地面、冲洗废水的医疗用房等，应采用可开启式密封地漏；</w:t>
      </w:r>
      <w:r>
        <w:t xml:space="preserve">  </w:t>
      </w:r>
      <w:r>
        <w:t xml:space="preserve"> </w:t>
      </w:r>
    </w:p>
    <w:p w14:paraId="3CD98D23" w14:textId="77777777" w:rsidR="00A71EEF" w:rsidRDefault="0081115D">
      <w:pPr>
        <w:pStyle w:val="a3"/>
        <w:spacing w:line="446" w:lineRule="auto"/>
        <w:ind w:left="418" w:right="1609" w:firstLine="419"/>
      </w:pPr>
      <w:r>
        <w:t>地漏应采用带过滤网的无水封直通型地漏加存水弯，地漏的通水能力应满足地面排水的要求；</w:t>
      </w:r>
      <w:r>
        <w:t xml:space="preserve">  </w:t>
      </w:r>
      <w:r>
        <w:t xml:space="preserve"> </w:t>
      </w:r>
    </w:p>
    <w:p w14:paraId="0108577A" w14:textId="77777777" w:rsidR="00A71EEF" w:rsidRDefault="0081115D">
      <w:pPr>
        <w:pStyle w:val="a3"/>
        <w:spacing w:line="446" w:lineRule="auto"/>
        <w:ind w:left="840" w:right="4026" w:hanging="3"/>
        <w:rPr>
          <w:b/>
        </w:rPr>
      </w:pPr>
      <w:r>
        <w:t>地漏附近有洗手盆时，宜采用洗手盆的排水给地漏水封补水。</w:t>
      </w:r>
      <w:r>
        <w:rPr>
          <w:b/>
        </w:rPr>
        <w:t xml:space="preserve">6.4 </w:t>
      </w:r>
      <w:r>
        <w:t>热水</w:t>
      </w:r>
      <w:r>
        <w:rPr>
          <w:b/>
          <w:w w:val="99"/>
        </w:rPr>
        <w:t xml:space="preserve"> </w:t>
      </w:r>
    </w:p>
    <w:p w14:paraId="38109C0B" w14:textId="77777777" w:rsidR="00A71EEF" w:rsidRDefault="0081115D">
      <w:pPr>
        <w:pStyle w:val="a4"/>
        <w:numPr>
          <w:ilvl w:val="2"/>
          <w:numId w:val="168"/>
        </w:numPr>
        <w:tabs>
          <w:tab w:val="left" w:pos="1371"/>
        </w:tabs>
        <w:spacing w:line="267" w:lineRule="exact"/>
        <w:rPr>
          <w:sz w:val="21"/>
        </w:rPr>
      </w:pPr>
      <w:r>
        <w:rPr>
          <w:spacing w:val="-3"/>
          <w:sz w:val="21"/>
        </w:rPr>
        <w:t>医院生活热水用水量定额及其计算温度，应符合下列要求：</w:t>
      </w:r>
      <w:r>
        <w:rPr>
          <w:sz w:val="21"/>
        </w:rPr>
        <w:t xml:space="preserve"> </w:t>
      </w:r>
    </w:p>
    <w:p w14:paraId="703F18BA" w14:textId="77777777" w:rsidR="00A71EEF" w:rsidRDefault="00A71EEF">
      <w:pPr>
        <w:pStyle w:val="a3"/>
        <w:spacing w:before="1"/>
        <w:rPr>
          <w:sz w:val="18"/>
        </w:rPr>
      </w:pPr>
    </w:p>
    <w:p w14:paraId="3FA48EDB" w14:textId="77777777" w:rsidR="00A71EEF" w:rsidRDefault="0081115D">
      <w:pPr>
        <w:pStyle w:val="a3"/>
        <w:spacing w:before="1" w:line="446" w:lineRule="auto"/>
        <w:ind w:left="838" w:right="2554"/>
      </w:pPr>
      <w:r>
        <w:rPr>
          <w:spacing w:val="-6"/>
        </w:rPr>
        <w:t>医院生活热水用水量定额宜符合表</w:t>
      </w:r>
      <w:r>
        <w:rPr>
          <w:spacing w:val="-6"/>
        </w:rPr>
        <w:t xml:space="preserve"> </w:t>
      </w:r>
      <w:r>
        <w:t>6.4.1</w:t>
      </w:r>
      <w:r>
        <w:rPr>
          <w:spacing w:val="-8"/>
        </w:rPr>
        <w:t xml:space="preserve"> </w:t>
      </w:r>
      <w:r>
        <w:rPr>
          <w:spacing w:val="-8"/>
        </w:rPr>
        <w:t>的规定，医疗用水应根据工艺确定；</w:t>
      </w:r>
      <w:r>
        <w:rPr>
          <w:spacing w:val="-8"/>
        </w:rPr>
        <w:t xml:space="preserve"> </w:t>
      </w:r>
      <w:r>
        <w:rPr>
          <w:spacing w:val="-7"/>
        </w:rPr>
        <w:t>医疗用热水温度应根据工艺确定，其他用途的热水水温宜按</w:t>
      </w:r>
      <w:r>
        <w:rPr>
          <w:spacing w:val="-7"/>
        </w:rPr>
        <w:t xml:space="preserve"> </w:t>
      </w:r>
      <w:r>
        <w:t>60</w:t>
      </w:r>
      <w:r>
        <w:rPr>
          <w:spacing w:val="-2"/>
        </w:rPr>
        <w:t>℃</w:t>
      </w:r>
      <w:r>
        <w:rPr>
          <w:spacing w:val="-2"/>
        </w:rPr>
        <w:t>设计。</w:t>
      </w:r>
      <w:r>
        <w:t xml:space="preserve"> </w:t>
      </w:r>
    </w:p>
    <w:p w14:paraId="270947FE" w14:textId="77777777" w:rsidR="00A71EEF" w:rsidRDefault="00A71EEF">
      <w:pPr>
        <w:pStyle w:val="a3"/>
        <w:rPr>
          <w:sz w:val="20"/>
        </w:rPr>
      </w:pPr>
    </w:p>
    <w:p w14:paraId="2A1BAC59" w14:textId="77777777" w:rsidR="00A71EEF" w:rsidRDefault="00A71EEF">
      <w:pPr>
        <w:pStyle w:val="a3"/>
        <w:rPr>
          <w:sz w:val="20"/>
        </w:rPr>
      </w:pPr>
    </w:p>
    <w:p w14:paraId="02AF9A58" w14:textId="77777777" w:rsidR="00A71EEF" w:rsidRDefault="00A71EEF">
      <w:pPr>
        <w:pStyle w:val="a3"/>
        <w:rPr>
          <w:sz w:val="20"/>
        </w:rPr>
      </w:pPr>
    </w:p>
    <w:p w14:paraId="25C0C470" w14:textId="77777777" w:rsidR="00A71EEF" w:rsidRDefault="00A71EEF">
      <w:pPr>
        <w:pStyle w:val="a3"/>
        <w:rPr>
          <w:sz w:val="20"/>
        </w:rPr>
      </w:pPr>
    </w:p>
    <w:p w14:paraId="6F3CC571" w14:textId="77777777" w:rsidR="00A71EEF" w:rsidRDefault="00A71EEF">
      <w:pPr>
        <w:pStyle w:val="a3"/>
        <w:rPr>
          <w:sz w:val="20"/>
        </w:rPr>
      </w:pPr>
    </w:p>
    <w:p w14:paraId="096F7F35" w14:textId="77777777" w:rsidR="00A71EEF" w:rsidRDefault="00A71EEF">
      <w:pPr>
        <w:pStyle w:val="a3"/>
        <w:rPr>
          <w:sz w:val="20"/>
        </w:rPr>
      </w:pPr>
    </w:p>
    <w:p w14:paraId="156FD12C" w14:textId="77777777" w:rsidR="00A71EEF" w:rsidRDefault="00A71EEF">
      <w:pPr>
        <w:pStyle w:val="a3"/>
        <w:rPr>
          <w:sz w:val="20"/>
        </w:rPr>
      </w:pPr>
    </w:p>
    <w:p w14:paraId="7DB8524F" w14:textId="77777777" w:rsidR="00A71EEF" w:rsidRDefault="00A71EEF">
      <w:pPr>
        <w:pStyle w:val="a3"/>
        <w:rPr>
          <w:sz w:val="20"/>
        </w:rPr>
      </w:pPr>
    </w:p>
    <w:p w14:paraId="233A8BEC" w14:textId="77777777" w:rsidR="00A71EEF" w:rsidRDefault="00A71EEF">
      <w:pPr>
        <w:pStyle w:val="a3"/>
        <w:rPr>
          <w:sz w:val="20"/>
        </w:rPr>
      </w:pPr>
    </w:p>
    <w:p w14:paraId="1816B3E1" w14:textId="77777777" w:rsidR="00A71EEF" w:rsidRDefault="00A71EEF">
      <w:pPr>
        <w:pStyle w:val="a3"/>
        <w:rPr>
          <w:sz w:val="20"/>
        </w:rPr>
      </w:pPr>
    </w:p>
    <w:p w14:paraId="39FF7BBB" w14:textId="77777777" w:rsidR="00A71EEF" w:rsidRDefault="00A71EEF">
      <w:pPr>
        <w:pStyle w:val="a3"/>
        <w:rPr>
          <w:sz w:val="20"/>
        </w:rPr>
      </w:pPr>
    </w:p>
    <w:p w14:paraId="193A893B" w14:textId="77777777" w:rsidR="00A71EEF" w:rsidRDefault="00A71EEF">
      <w:pPr>
        <w:pStyle w:val="a3"/>
        <w:rPr>
          <w:sz w:val="20"/>
        </w:rPr>
      </w:pPr>
    </w:p>
    <w:p w14:paraId="75AF5D2B" w14:textId="77777777" w:rsidR="00A71EEF" w:rsidRDefault="00A71EEF">
      <w:pPr>
        <w:pStyle w:val="a3"/>
        <w:rPr>
          <w:sz w:val="20"/>
        </w:rPr>
      </w:pPr>
    </w:p>
    <w:p w14:paraId="6396386D" w14:textId="77777777" w:rsidR="00A71EEF" w:rsidRDefault="00A71EEF">
      <w:pPr>
        <w:pStyle w:val="a3"/>
        <w:rPr>
          <w:sz w:val="20"/>
        </w:rPr>
      </w:pPr>
    </w:p>
    <w:p w14:paraId="14FF868A" w14:textId="77777777" w:rsidR="00A71EEF" w:rsidRDefault="00A71EEF">
      <w:pPr>
        <w:pStyle w:val="a3"/>
        <w:rPr>
          <w:sz w:val="20"/>
        </w:rPr>
      </w:pPr>
    </w:p>
    <w:p w14:paraId="29D926EA" w14:textId="77777777" w:rsidR="00A71EEF" w:rsidRDefault="00A71EEF">
      <w:pPr>
        <w:pStyle w:val="a3"/>
        <w:rPr>
          <w:sz w:val="20"/>
        </w:rPr>
      </w:pPr>
    </w:p>
    <w:p w14:paraId="0AB69D20" w14:textId="77777777" w:rsidR="00A71EEF" w:rsidRDefault="00A71EEF">
      <w:pPr>
        <w:pStyle w:val="a3"/>
        <w:spacing w:before="6"/>
        <w:rPr>
          <w:sz w:val="25"/>
        </w:rPr>
      </w:pPr>
    </w:p>
    <w:p w14:paraId="1AB69E5B" w14:textId="77777777" w:rsidR="00A71EEF" w:rsidRDefault="0081115D">
      <w:pPr>
        <w:pStyle w:val="a3"/>
        <w:spacing w:before="72"/>
        <w:ind w:left="838"/>
      </w:pPr>
      <w:r>
        <w:t xml:space="preserve"> </w:t>
      </w:r>
    </w:p>
    <w:p w14:paraId="6AE5D8B4" w14:textId="77777777" w:rsidR="00A71EEF" w:rsidRDefault="00A71EEF">
      <w:pPr>
        <w:sectPr w:rsidR="00A71EEF">
          <w:footerReference w:type="default" r:id="rId440"/>
          <w:pgSz w:w="11910" w:h="16850"/>
          <w:pgMar w:top="1220" w:right="0" w:bottom="1420" w:left="1260" w:header="0" w:footer="1239" w:gutter="0"/>
          <w:pgNumType w:start="1460"/>
          <w:cols w:space="720"/>
        </w:sectPr>
      </w:pPr>
    </w:p>
    <w:p w14:paraId="0EB774D1" w14:textId="77777777" w:rsidR="00A71EEF" w:rsidRDefault="0081115D">
      <w:pPr>
        <w:pStyle w:val="6"/>
        <w:spacing w:before="47"/>
        <w:ind w:left="2729"/>
      </w:pPr>
      <w:r>
        <w:t>表</w:t>
      </w:r>
      <w:r>
        <w:t xml:space="preserve"> 6.4.1 </w:t>
      </w:r>
      <w:r>
        <w:t>医院生活热水</w:t>
      </w:r>
      <w:r>
        <w:t>(60℃)</w:t>
      </w:r>
      <w:r>
        <w:t>用水量定额</w:t>
      </w:r>
      <w:r>
        <w:rPr>
          <w:w w:val="99"/>
        </w:rPr>
        <w:t xml:space="preserve"> </w:t>
      </w:r>
    </w:p>
    <w:p w14:paraId="2F09407B" w14:textId="77777777" w:rsidR="00A71EEF" w:rsidRDefault="00A71EEF">
      <w:pPr>
        <w:pStyle w:val="a3"/>
        <w:rPr>
          <w:b/>
          <w:sz w:val="20"/>
        </w:rPr>
      </w:pPr>
    </w:p>
    <w:p w14:paraId="10FB7E43" w14:textId="77777777" w:rsidR="00A71EEF" w:rsidRDefault="0081115D">
      <w:pPr>
        <w:pStyle w:val="a3"/>
        <w:spacing w:before="3"/>
        <w:rPr>
          <w:b/>
          <w:sz w:val="15"/>
        </w:rPr>
      </w:pPr>
      <w:r>
        <w:rPr>
          <w:noProof/>
        </w:rPr>
        <w:drawing>
          <wp:anchor distT="0" distB="0" distL="0" distR="0" simplePos="0" relativeHeight="251691520" behindDoc="0" locked="0" layoutInCell="1" allowOverlap="1" wp14:anchorId="70D1DE4E" wp14:editId="3E4A46E1">
            <wp:simplePos x="0" y="0"/>
            <wp:positionH relativeFrom="page">
              <wp:posOffset>1217930</wp:posOffset>
            </wp:positionH>
            <wp:positionV relativeFrom="paragraph">
              <wp:posOffset>149153</wp:posOffset>
            </wp:positionV>
            <wp:extent cx="4605999" cy="3133725"/>
            <wp:effectExtent l="0" t="0" r="0" b="0"/>
            <wp:wrapTopAndBottom/>
            <wp:docPr id="639" name="image3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image368.jpeg"/>
                    <pic:cNvPicPr/>
                  </pic:nvPicPr>
                  <pic:blipFill>
                    <a:blip r:embed="rId441" cstate="print"/>
                    <a:stretch>
                      <a:fillRect/>
                    </a:stretch>
                  </pic:blipFill>
                  <pic:spPr>
                    <a:xfrm>
                      <a:off x="0" y="0"/>
                      <a:ext cx="4605999" cy="3133725"/>
                    </a:xfrm>
                    <a:prstGeom prst="rect">
                      <a:avLst/>
                    </a:prstGeom>
                  </pic:spPr>
                </pic:pic>
              </a:graphicData>
            </a:graphic>
          </wp:anchor>
        </w:drawing>
      </w:r>
    </w:p>
    <w:p w14:paraId="1B278012" w14:textId="77777777" w:rsidR="00A71EEF" w:rsidRDefault="00A71EEF">
      <w:pPr>
        <w:pStyle w:val="a3"/>
        <w:spacing w:before="2"/>
        <w:rPr>
          <w:b/>
          <w:sz w:val="16"/>
        </w:rPr>
      </w:pPr>
    </w:p>
    <w:p w14:paraId="55690110" w14:textId="77777777" w:rsidR="00A71EEF" w:rsidRDefault="0081115D">
      <w:pPr>
        <w:pStyle w:val="a4"/>
        <w:numPr>
          <w:ilvl w:val="2"/>
          <w:numId w:val="168"/>
        </w:numPr>
        <w:tabs>
          <w:tab w:val="left" w:pos="1370"/>
        </w:tabs>
        <w:spacing w:before="1" w:line="446" w:lineRule="auto"/>
        <w:ind w:left="418" w:right="1498" w:firstLine="422"/>
        <w:rPr>
          <w:sz w:val="21"/>
        </w:rPr>
      </w:pPr>
      <w:r>
        <w:rPr>
          <w:spacing w:val="-3"/>
          <w:sz w:val="21"/>
        </w:rPr>
        <w:t>医院生活热水系统的能源，宜采用废热和太阳能等。当采用太阳能或热泵时，宜采用可自动控制的其他辅助能源。</w:t>
      </w:r>
      <w:r>
        <w:rPr>
          <w:sz w:val="21"/>
        </w:rPr>
        <w:t xml:space="preserve"> </w:t>
      </w:r>
    </w:p>
    <w:p w14:paraId="385AAA70" w14:textId="77777777" w:rsidR="00A71EEF" w:rsidRDefault="0081115D">
      <w:pPr>
        <w:pStyle w:val="a4"/>
        <w:numPr>
          <w:ilvl w:val="2"/>
          <w:numId w:val="168"/>
        </w:numPr>
        <w:tabs>
          <w:tab w:val="left" w:pos="1371"/>
        </w:tabs>
        <w:spacing w:line="446" w:lineRule="auto"/>
        <w:ind w:left="418" w:right="1498" w:firstLine="422"/>
        <w:rPr>
          <w:sz w:val="21"/>
        </w:rPr>
      </w:pPr>
      <w:r>
        <w:rPr>
          <w:spacing w:val="-3"/>
          <w:sz w:val="21"/>
        </w:rPr>
        <w:t>热水系统的水加热器宜采用无死水区且效率高的弹性管束、浮动盘管容积或半容积式水加热器。</w:t>
      </w:r>
      <w:r>
        <w:rPr>
          <w:sz w:val="21"/>
        </w:rPr>
        <w:t xml:space="preserve"> </w:t>
      </w:r>
    </w:p>
    <w:p w14:paraId="09496C8C" w14:textId="77777777" w:rsidR="00A71EEF" w:rsidRDefault="0081115D">
      <w:pPr>
        <w:pStyle w:val="a4"/>
        <w:numPr>
          <w:ilvl w:val="2"/>
          <w:numId w:val="168"/>
        </w:numPr>
        <w:tabs>
          <w:tab w:val="left" w:pos="1370"/>
        </w:tabs>
        <w:spacing w:line="267" w:lineRule="exact"/>
        <w:ind w:left="1369" w:hanging="530"/>
        <w:rPr>
          <w:sz w:val="21"/>
        </w:rPr>
      </w:pPr>
      <w:r>
        <w:rPr>
          <w:spacing w:val="-6"/>
          <w:sz w:val="21"/>
        </w:rPr>
        <w:t>医院热水系统的热水制备设备不应少于</w:t>
      </w:r>
      <w:r>
        <w:rPr>
          <w:spacing w:val="-6"/>
          <w:sz w:val="21"/>
        </w:rPr>
        <w:t xml:space="preserve"> </w:t>
      </w:r>
      <w:r>
        <w:rPr>
          <w:sz w:val="21"/>
        </w:rPr>
        <w:t>2</w:t>
      </w:r>
      <w:r>
        <w:rPr>
          <w:spacing w:val="-9"/>
          <w:sz w:val="21"/>
        </w:rPr>
        <w:t xml:space="preserve"> </w:t>
      </w:r>
      <w:r>
        <w:rPr>
          <w:spacing w:val="-9"/>
          <w:sz w:val="21"/>
        </w:rPr>
        <w:t>台，当一台检修时，其余设备应能供应</w:t>
      </w:r>
    </w:p>
    <w:p w14:paraId="60D5F2E0" w14:textId="77777777" w:rsidR="00A71EEF" w:rsidRDefault="00A71EEF">
      <w:pPr>
        <w:pStyle w:val="a3"/>
        <w:spacing w:before="2"/>
        <w:rPr>
          <w:sz w:val="18"/>
        </w:rPr>
      </w:pPr>
    </w:p>
    <w:p w14:paraId="0AD3682D" w14:textId="77777777" w:rsidR="00A71EEF" w:rsidRDefault="0081115D">
      <w:pPr>
        <w:pStyle w:val="a3"/>
        <w:ind w:left="418"/>
      </w:pPr>
      <w:r>
        <w:t>60</w:t>
      </w:r>
      <w:r>
        <w:t>％以上的设计用水量。</w:t>
      </w:r>
      <w:r>
        <w:t xml:space="preserve"> </w:t>
      </w:r>
    </w:p>
    <w:p w14:paraId="6B502FEE" w14:textId="77777777" w:rsidR="00A71EEF" w:rsidRDefault="00A71EEF">
      <w:pPr>
        <w:pStyle w:val="a3"/>
        <w:spacing w:before="12"/>
        <w:rPr>
          <w:sz w:val="17"/>
        </w:rPr>
      </w:pPr>
    </w:p>
    <w:p w14:paraId="7E4BB664" w14:textId="77777777" w:rsidR="00A71EEF" w:rsidRDefault="0081115D">
      <w:pPr>
        <w:pStyle w:val="a4"/>
        <w:numPr>
          <w:ilvl w:val="2"/>
          <w:numId w:val="168"/>
        </w:numPr>
        <w:tabs>
          <w:tab w:val="left" w:pos="1371"/>
        </w:tabs>
        <w:rPr>
          <w:sz w:val="21"/>
        </w:rPr>
      </w:pPr>
      <w:r>
        <w:rPr>
          <w:spacing w:val="-6"/>
          <w:sz w:val="21"/>
        </w:rPr>
        <w:t>生活热水系统的水加热器出水温度不应低于</w:t>
      </w:r>
      <w:r>
        <w:rPr>
          <w:spacing w:val="-6"/>
          <w:sz w:val="21"/>
        </w:rPr>
        <w:t xml:space="preserve"> </w:t>
      </w:r>
      <w:r>
        <w:rPr>
          <w:sz w:val="21"/>
        </w:rPr>
        <w:t>60℃</w:t>
      </w:r>
      <w:r>
        <w:rPr>
          <w:spacing w:val="-7"/>
          <w:sz w:val="21"/>
        </w:rPr>
        <w:t>，系统回水温度不应低于</w:t>
      </w:r>
      <w:r>
        <w:rPr>
          <w:spacing w:val="-7"/>
          <w:sz w:val="21"/>
        </w:rPr>
        <w:t xml:space="preserve"> </w:t>
      </w:r>
      <w:r>
        <w:rPr>
          <w:sz w:val="21"/>
        </w:rPr>
        <w:t>50</w:t>
      </w:r>
      <w:r>
        <w:rPr>
          <w:spacing w:val="-2"/>
          <w:sz w:val="21"/>
        </w:rPr>
        <w:t>℃</w:t>
      </w:r>
      <w:r>
        <w:rPr>
          <w:spacing w:val="-2"/>
          <w:sz w:val="21"/>
        </w:rPr>
        <w:t>。</w:t>
      </w:r>
      <w:r>
        <w:rPr>
          <w:sz w:val="21"/>
        </w:rPr>
        <w:t xml:space="preserve"> </w:t>
      </w:r>
    </w:p>
    <w:p w14:paraId="39A12120" w14:textId="77777777" w:rsidR="00A71EEF" w:rsidRDefault="00A71EEF">
      <w:pPr>
        <w:pStyle w:val="a3"/>
        <w:rPr>
          <w:sz w:val="18"/>
        </w:rPr>
      </w:pPr>
    </w:p>
    <w:p w14:paraId="758099C5" w14:textId="77777777" w:rsidR="00A71EEF" w:rsidRDefault="0081115D">
      <w:pPr>
        <w:pStyle w:val="a4"/>
        <w:numPr>
          <w:ilvl w:val="2"/>
          <w:numId w:val="168"/>
        </w:numPr>
        <w:tabs>
          <w:tab w:val="left" w:pos="1371"/>
        </w:tabs>
        <w:rPr>
          <w:sz w:val="21"/>
        </w:rPr>
      </w:pPr>
      <w:r>
        <w:rPr>
          <w:spacing w:val="-7"/>
          <w:sz w:val="21"/>
        </w:rPr>
        <w:t>当冷、热水供水压力差超过</w:t>
      </w:r>
      <w:r>
        <w:rPr>
          <w:spacing w:val="-7"/>
          <w:sz w:val="21"/>
        </w:rPr>
        <w:t xml:space="preserve"> </w:t>
      </w:r>
      <w:r>
        <w:rPr>
          <w:sz w:val="21"/>
        </w:rPr>
        <w:t>0.02MPa</w:t>
      </w:r>
      <w:r>
        <w:rPr>
          <w:spacing w:val="-8"/>
          <w:sz w:val="21"/>
        </w:rPr>
        <w:t xml:space="preserve"> </w:t>
      </w:r>
      <w:r>
        <w:rPr>
          <w:spacing w:val="-8"/>
          <w:sz w:val="21"/>
        </w:rPr>
        <w:t>时，宜设置平衡阀。</w:t>
      </w:r>
      <w:r>
        <w:rPr>
          <w:sz w:val="21"/>
        </w:rPr>
        <w:t xml:space="preserve"> </w:t>
      </w:r>
    </w:p>
    <w:p w14:paraId="61980FE7" w14:textId="77777777" w:rsidR="00A71EEF" w:rsidRDefault="00A71EEF">
      <w:pPr>
        <w:pStyle w:val="a3"/>
        <w:spacing w:before="2"/>
        <w:rPr>
          <w:sz w:val="18"/>
        </w:rPr>
      </w:pPr>
    </w:p>
    <w:p w14:paraId="21A6FC24" w14:textId="77777777" w:rsidR="00A71EEF" w:rsidRDefault="0081115D">
      <w:pPr>
        <w:pStyle w:val="a4"/>
        <w:numPr>
          <w:ilvl w:val="2"/>
          <w:numId w:val="168"/>
        </w:numPr>
        <w:tabs>
          <w:tab w:val="left" w:pos="1370"/>
        </w:tabs>
        <w:spacing w:line="446" w:lineRule="auto"/>
        <w:ind w:left="418" w:right="1498" w:firstLine="422"/>
        <w:rPr>
          <w:sz w:val="21"/>
        </w:rPr>
      </w:pPr>
      <w:r>
        <w:rPr>
          <w:spacing w:val="-3"/>
          <w:sz w:val="21"/>
        </w:rPr>
        <w:t>当淋浴或浴缸用水点采用冷、热混合水温控装置时，使用水点出水温度在任何时间均</w:t>
      </w:r>
      <w:r>
        <w:rPr>
          <w:spacing w:val="-13"/>
          <w:sz w:val="21"/>
        </w:rPr>
        <w:t>不应大于</w:t>
      </w:r>
      <w:r>
        <w:rPr>
          <w:spacing w:val="-13"/>
          <w:sz w:val="21"/>
        </w:rPr>
        <w:t xml:space="preserve"> </w:t>
      </w:r>
      <w:r>
        <w:rPr>
          <w:sz w:val="21"/>
        </w:rPr>
        <w:t>49</w:t>
      </w:r>
      <w:r>
        <w:rPr>
          <w:spacing w:val="-2"/>
          <w:sz w:val="21"/>
        </w:rPr>
        <w:t>℃</w:t>
      </w:r>
      <w:r>
        <w:rPr>
          <w:spacing w:val="-2"/>
          <w:sz w:val="21"/>
        </w:rPr>
        <w:t>。</w:t>
      </w:r>
      <w:r>
        <w:rPr>
          <w:sz w:val="21"/>
        </w:rPr>
        <w:t xml:space="preserve"> </w:t>
      </w:r>
    </w:p>
    <w:p w14:paraId="1E23C826" w14:textId="77777777" w:rsidR="00A71EEF" w:rsidRDefault="0081115D">
      <w:pPr>
        <w:pStyle w:val="a4"/>
        <w:numPr>
          <w:ilvl w:val="2"/>
          <w:numId w:val="168"/>
        </w:numPr>
        <w:tabs>
          <w:tab w:val="left" w:pos="1370"/>
        </w:tabs>
        <w:spacing w:line="267" w:lineRule="exact"/>
        <w:ind w:left="1369" w:hanging="530"/>
        <w:rPr>
          <w:sz w:val="21"/>
        </w:rPr>
      </w:pPr>
      <w:r>
        <w:rPr>
          <w:spacing w:val="-6"/>
          <w:sz w:val="21"/>
        </w:rPr>
        <w:t>热水系统任何用水点在打开用水开关后宜在</w:t>
      </w:r>
      <w:r>
        <w:rPr>
          <w:spacing w:val="-6"/>
          <w:sz w:val="21"/>
        </w:rPr>
        <w:t xml:space="preserve"> </w:t>
      </w:r>
      <w:r>
        <w:rPr>
          <w:sz w:val="21"/>
        </w:rPr>
        <w:t>5</w:t>
      </w:r>
      <w:r>
        <w:rPr>
          <w:sz w:val="21"/>
        </w:rPr>
        <w:t>～</w:t>
      </w:r>
      <w:r>
        <w:rPr>
          <w:sz w:val="21"/>
        </w:rPr>
        <w:t>10s</w:t>
      </w:r>
      <w:r>
        <w:rPr>
          <w:spacing w:val="-11"/>
          <w:sz w:val="21"/>
        </w:rPr>
        <w:t xml:space="preserve"> </w:t>
      </w:r>
      <w:r>
        <w:rPr>
          <w:spacing w:val="-11"/>
          <w:sz w:val="21"/>
        </w:rPr>
        <w:t>内出热水。</w:t>
      </w:r>
      <w:r>
        <w:rPr>
          <w:sz w:val="21"/>
        </w:rPr>
        <w:t xml:space="preserve"> </w:t>
      </w:r>
    </w:p>
    <w:p w14:paraId="5DC20FD4" w14:textId="77777777" w:rsidR="00A71EEF" w:rsidRDefault="00A71EEF">
      <w:pPr>
        <w:pStyle w:val="a3"/>
        <w:spacing w:before="2"/>
        <w:rPr>
          <w:sz w:val="18"/>
        </w:rPr>
      </w:pPr>
    </w:p>
    <w:p w14:paraId="78E6106E" w14:textId="77777777" w:rsidR="00A71EEF" w:rsidRDefault="0081115D">
      <w:pPr>
        <w:pStyle w:val="a4"/>
        <w:numPr>
          <w:ilvl w:val="2"/>
          <w:numId w:val="168"/>
        </w:numPr>
        <w:tabs>
          <w:tab w:val="left" w:pos="1370"/>
        </w:tabs>
        <w:ind w:left="1369" w:hanging="530"/>
        <w:rPr>
          <w:sz w:val="21"/>
        </w:rPr>
      </w:pPr>
      <w:r>
        <w:rPr>
          <w:spacing w:val="-3"/>
          <w:sz w:val="21"/>
        </w:rPr>
        <w:t>手术部集中刷手池的水龙头应采用恒温供水，且末端温度可调节，供水温度宜为</w:t>
      </w:r>
    </w:p>
    <w:p w14:paraId="2D1132B0" w14:textId="77777777" w:rsidR="00A71EEF" w:rsidRDefault="00A71EEF">
      <w:pPr>
        <w:pStyle w:val="a3"/>
        <w:spacing w:before="12"/>
        <w:rPr>
          <w:sz w:val="17"/>
        </w:rPr>
      </w:pPr>
    </w:p>
    <w:p w14:paraId="07D264FB" w14:textId="77777777" w:rsidR="00A71EEF" w:rsidRDefault="0081115D">
      <w:pPr>
        <w:pStyle w:val="a3"/>
        <w:ind w:left="418"/>
      </w:pPr>
      <w:r>
        <w:t>30</w:t>
      </w:r>
      <w:r>
        <w:t>～</w:t>
      </w:r>
      <w:r>
        <w:t>35℃</w:t>
      </w:r>
      <w:r>
        <w:t>。</w:t>
      </w:r>
      <w:r>
        <w:t xml:space="preserve"> </w:t>
      </w:r>
    </w:p>
    <w:p w14:paraId="2D7898E6" w14:textId="77777777" w:rsidR="00A71EEF" w:rsidRDefault="00A71EEF">
      <w:pPr>
        <w:pStyle w:val="a3"/>
        <w:rPr>
          <w:sz w:val="18"/>
        </w:rPr>
      </w:pPr>
    </w:p>
    <w:p w14:paraId="068E6D60" w14:textId="77777777" w:rsidR="00A71EEF" w:rsidRDefault="0081115D">
      <w:pPr>
        <w:pStyle w:val="a4"/>
        <w:numPr>
          <w:ilvl w:val="2"/>
          <w:numId w:val="168"/>
        </w:numPr>
        <w:tabs>
          <w:tab w:val="left" w:pos="1478"/>
        </w:tabs>
        <w:ind w:left="1477" w:hanging="638"/>
        <w:rPr>
          <w:sz w:val="21"/>
        </w:rPr>
      </w:pPr>
      <w:r>
        <w:rPr>
          <w:spacing w:val="-5"/>
          <w:sz w:val="21"/>
        </w:rPr>
        <w:t>洗婴池的供水应防止烫伤或冻伤且为恒温，末端温度可调节，供水温度宜为</w:t>
      </w:r>
      <w:r>
        <w:rPr>
          <w:spacing w:val="-5"/>
          <w:sz w:val="21"/>
        </w:rPr>
        <w:t xml:space="preserve"> </w:t>
      </w:r>
      <w:r>
        <w:rPr>
          <w:sz w:val="21"/>
        </w:rPr>
        <w:t>35</w:t>
      </w:r>
      <w:r>
        <w:rPr>
          <w:sz w:val="21"/>
        </w:rPr>
        <w:t>～</w:t>
      </w:r>
    </w:p>
    <w:p w14:paraId="2106A9BC" w14:textId="77777777" w:rsidR="00A71EEF" w:rsidRDefault="00A71EEF">
      <w:pPr>
        <w:pStyle w:val="a3"/>
        <w:spacing w:before="2"/>
        <w:rPr>
          <w:sz w:val="18"/>
        </w:rPr>
      </w:pPr>
    </w:p>
    <w:p w14:paraId="17AA4B12" w14:textId="77777777" w:rsidR="00A71EEF" w:rsidRDefault="0081115D">
      <w:pPr>
        <w:pStyle w:val="a3"/>
        <w:ind w:left="418"/>
      </w:pPr>
      <w:r>
        <w:t>40℃</w:t>
      </w:r>
      <w:r>
        <w:t>。</w:t>
      </w:r>
      <w:r>
        <w:t xml:space="preserve"> </w:t>
      </w:r>
    </w:p>
    <w:p w14:paraId="7B0EA6BC" w14:textId="77777777" w:rsidR="00A71EEF" w:rsidRDefault="00A71EEF">
      <w:pPr>
        <w:pStyle w:val="a3"/>
        <w:spacing w:before="12"/>
        <w:rPr>
          <w:sz w:val="17"/>
        </w:rPr>
      </w:pPr>
    </w:p>
    <w:p w14:paraId="7C1F7926" w14:textId="77777777" w:rsidR="00A71EEF" w:rsidRDefault="0081115D">
      <w:pPr>
        <w:pStyle w:val="a4"/>
        <w:numPr>
          <w:ilvl w:val="1"/>
          <w:numId w:val="167"/>
        </w:numPr>
        <w:tabs>
          <w:tab w:val="left" w:pos="1160"/>
        </w:tabs>
        <w:rPr>
          <w:b/>
          <w:sz w:val="21"/>
        </w:rPr>
      </w:pPr>
      <w:r>
        <w:rPr>
          <w:spacing w:val="-3"/>
          <w:sz w:val="21"/>
        </w:rPr>
        <w:t>饮用水</w:t>
      </w:r>
      <w:r>
        <w:rPr>
          <w:b/>
          <w:w w:val="99"/>
          <w:sz w:val="21"/>
        </w:rPr>
        <w:t xml:space="preserve"> </w:t>
      </w:r>
    </w:p>
    <w:p w14:paraId="5E779493" w14:textId="77777777" w:rsidR="00A71EEF" w:rsidRDefault="00A71EEF">
      <w:pPr>
        <w:rPr>
          <w:sz w:val="21"/>
        </w:rPr>
        <w:sectPr w:rsidR="00A71EEF">
          <w:pgSz w:w="11910" w:h="16850"/>
          <w:pgMar w:top="1220" w:right="0" w:bottom="1420" w:left="1260" w:header="0" w:footer="1239" w:gutter="0"/>
          <w:cols w:space="720"/>
        </w:sectPr>
      </w:pPr>
    </w:p>
    <w:p w14:paraId="2C8BA94A" w14:textId="77777777" w:rsidR="00A71EEF" w:rsidRDefault="0081115D">
      <w:pPr>
        <w:pStyle w:val="a4"/>
        <w:numPr>
          <w:ilvl w:val="2"/>
          <w:numId w:val="167"/>
        </w:numPr>
        <w:tabs>
          <w:tab w:val="left" w:pos="1371"/>
        </w:tabs>
        <w:spacing w:before="47"/>
        <w:rPr>
          <w:sz w:val="21"/>
        </w:rPr>
      </w:pPr>
      <w:r>
        <w:rPr>
          <w:spacing w:val="-3"/>
          <w:sz w:val="21"/>
        </w:rPr>
        <w:t>饮用水可采用下列方式供应：</w:t>
      </w:r>
      <w:r>
        <w:rPr>
          <w:sz w:val="21"/>
        </w:rPr>
        <w:t xml:space="preserve"> </w:t>
      </w:r>
    </w:p>
    <w:p w14:paraId="04EA4637" w14:textId="77777777" w:rsidR="00A71EEF" w:rsidRDefault="00A71EEF">
      <w:pPr>
        <w:pStyle w:val="a3"/>
        <w:rPr>
          <w:sz w:val="18"/>
        </w:rPr>
      </w:pPr>
    </w:p>
    <w:p w14:paraId="2A9466A7" w14:textId="77777777" w:rsidR="00A71EEF" w:rsidRDefault="0081115D">
      <w:pPr>
        <w:pStyle w:val="a3"/>
        <w:ind w:left="838"/>
      </w:pPr>
      <w:r>
        <w:t>当采用管道直饮水系统时，供水点宜根据需要分散设置。</w:t>
      </w:r>
      <w:r>
        <w:t xml:space="preserve"> </w:t>
      </w:r>
    </w:p>
    <w:p w14:paraId="1A32D0C3" w14:textId="77777777" w:rsidR="00A71EEF" w:rsidRDefault="00A71EEF">
      <w:pPr>
        <w:pStyle w:val="a3"/>
        <w:rPr>
          <w:sz w:val="18"/>
        </w:rPr>
      </w:pPr>
    </w:p>
    <w:p w14:paraId="2A7F963E" w14:textId="77777777" w:rsidR="00A71EEF" w:rsidRDefault="0081115D">
      <w:pPr>
        <w:pStyle w:val="a3"/>
        <w:spacing w:line="446" w:lineRule="auto"/>
        <w:ind w:left="838" w:right="2134"/>
      </w:pPr>
      <w:r>
        <w:rPr>
          <w:spacing w:val="-3"/>
        </w:rPr>
        <w:t>当采用蒸气间接加热时，蒸气开水炉宜集中设置。饮用水供应至护理单元和科室。当采用电开水器时，可在楼层或护理单元、科室设置电开水器。</w:t>
      </w:r>
      <w:r>
        <w:t xml:space="preserve"> </w:t>
      </w:r>
    </w:p>
    <w:p w14:paraId="7BB39459" w14:textId="77777777" w:rsidR="00A71EEF" w:rsidRDefault="0081115D">
      <w:pPr>
        <w:pStyle w:val="a3"/>
        <w:ind w:left="838"/>
      </w:pPr>
      <w:r>
        <w:t>当采用桶装水饮水机时，供水点宜根据需要分散设置。</w:t>
      </w:r>
      <w:r>
        <w:t xml:space="preserve"> </w:t>
      </w:r>
    </w:p>
    <w:p w14:paraId="334F13A4" w14:textId="77777777" w:rsidR="00A71EEF" w:rsidRDefault="00A71EEF">
      <w:pPr>
        <w:pStyle w:val="a3"/>
        <w:spacing w:before="12"/>
        <w:rPr>
          <w:sz w:val="17"/>
        </w:rPr>
      </w:pPr>
    </w:p>
    <w:p w14:paraId="7BB15769" w14:textId="77777777" w:rsidR="00A71EEF" w:rsidRDefault="0081115D">
      <w:pPr>
        <w:pStyle w:val="a4"/>
        <w:numPr>
          <w:ilvl w:val="2"/>
          <w:numId w:val="167"/>
        </w:numPr>
        <w:tabs>
          <w:tab w:val="left" w:pos="1371"/>
        </w:tabs>
        <w:rPr>
          <w:sz w:val="21"/>
        </w:rPr>
      </w:pPr>
      <w:r>
        <w:rPr>
          <w:spacing w:val="-3"/>
          <w:sz w:val="21"/>
        </w:rPr>
        <w:t>当采用蒸气开水炉和电开水器时，自来水进开水器前应设置过滤器和止回阀。</w:t>
      </w:r>
      <w:r>
        <w:rPr>
          <w:spacing w:val="-3"/>
          <w:sz w:val="21"/>
        </w:rPr>
        <w:t xml:space="preserve"> </w:t>
      </w:r>
    </w:p>
    <w:p w14:paraId="5D73595E" w14:textId="77777777" w:rsidR="00A71EEF" w:rsidRDefault="00A71EEF">
      <w:pPr>
        <w:pStyle w:val="a3"/>
        <w:spacing w:before="2"/>
        <w:rPr>
          <w:sz w:val="18"/>
        </w:rPr>
      </w:pPr>
    </w:p>
    <w:p w14:paraId="2D385FAA" w14:textId="77777777" w:rsidR="00A71EEF" w:rsidRDefault="0081115D">
      <w:pPr>
        <w:pStyle w:val="a4"/>
        <w:numPr>
          <w:ilvl w:val="2"/>
          <w:numId w:val="167"/>
        </w:numPr>
        <w:tabs>
          <w:tab w:val="left" w:pos="1371"/>
        </w:tabs>
        <w:rPr>
          <w:sz w:val="21"/>
        </w:rPr>
      </w:pPr>
      <w:r>
        <w:rPr>
          <w:spacing w:val="-3"/>
          <w:sz w:val="21"/>
        </w:rPr>
        <w:t>当采用管道直饮水系统时，应符合下列要求：</w:t>
      </w:r>
      <w:r>
        <w:rPr>
          <w:spacing w:val="-3"/>
          <w:sz w:val="21"/>
        </w:rPr>
        <w:t xml:space="preserve"> </w:t>
      </w:r>
    </w:p>
    <w:p w14:paraId="66BAC18A" w14:textId="77777777" w:rsidR="00A71EEF" w:rsidRDefault="00A71EEF">
      <w:pPr>
        <w:pStyle w:val="a3"/>
        <w:rPr>
          <w:sz w:val="18"/>
        </w:rPr>
      </w:pPr>
    </w:p>
    <w:p w14:paraId="259FC199" w14:textId="77777777" w:rsidR="00A71EEF" w:rsidRDefault="0081115D">
      <w:pPr>
        <w:pStyle w:val="a3"/>
        <w:spacing w:line="446" w:lineRule="auto"/>
        <w:ind w:left="418" w:right="1391" w:firstLine="419"/>
      </w:pPr>
      <w:r>
        <w:t>管道直饮水的水源应符合国家现行标准《生活饮用水卫生标准》</w:t>
      </w:r>
      <w:r>
        <w:t xml:space="preserve">GB 5749 </w:t>
      </w:r>
      <w:r>
        <w:t>和《饮用净水水质标准》</w:t>
      </w:r>
      <w:r>
        <w:t xml:space="preserve">CJ 94 </w:t>
      </w:r>
      <w:r>
        <w:t>等要求。</w:t>
      </w:r>
      <w:r>
        <w:t xml:space="preserve"> </w:t>
      </w:r>
    </w:p>
    <w:p w14:paraId="7CD2C4B9" w14:textId="77777777" w:rsidR="00A71EEF" w:rsidRDefault="0081115D">
      <w:pPr>
        <w:pStyle w:val="a3"/>
        <w:ind w:left="838"/>
      </w:pPr>
      <w:r>
        <w:t>管道直饮水水处理宜符合工艺流程要求</w:t>
      </w:r>
      <w:r>
        <w:t>(</w:t>
      </w:r>
      <w:r>
        <w:t>图</w:t>
      </w:r>
      <w:r>
        <w:t xml:space="preserve"> 6.5.3)</w:t>
      </w:r>
      <w:r>
        <w:t>，最后一级膜过滤应采用孔径为</w:t>
      </w:r>
      <w:r>
        <w:t xml:space="preserve"> 0.20</w:t>
      </w:r>
      <w:r>
        <w:t>～</w:t>
      </w:r>
    </w:p>
    <w:p w14:paraId="3CD1EB9D" w14:textId="77777777" w:rsidR="00A71EEF" w:rsidRDefault="0081115D">
      <w:pPr>
        <w:pStyle w:val="a3"/>
        <w:spacing w:before="5"/>
        <w:rPr>
          <w:sz w:val="12"/>
        </w:rPr>
      </w:pPr>
      <w:r>
        <w:rPr>
          <w:noProof/>
        </w:rPr>
        <w:drawing>
          <wp:anchor distT="0" distB="0" distL="0" distR="0" simplePos="0" relativeHeight="251692544" behindDoc="0" locked="0" layoutInCell="1" allowOverlap="1" wp14:anchorId="428DF8FC" wp14:editId="5B95ADD1">
            <wp:simplePos x="0" y="0"/>
            <wp:positionH relativeFrom="page">
              <wp:posOffset>1637029</wp:posOffset>
            </wp:positionH>
            <wp:positionV relativeFrom="paragraph">
              <wp:posOffset>126166</wp:posOffset>
            </wp:positionV>
            <wp:extent cx="4800599" cy="971550"/>
            <wp:effectExtent l="0" t="0" r="0" b="0"/>
            <wp:wrapTopAndBottom/>
            <wp:docPr id="641" name="image3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image369.jpeg"/>
                    <pic:cNvPicPr/>
                  </pic:nvPicPr>
                  <pic:blipFill>
                    <a:blip r:embed="rId442" cstate="print"/>
                    <a:stretch>
                      <a:fillRect/>
                    </a:stretch>
                  </pic:blipFill>
                  <pic:spPr>
                    <a:xfrm>
                      <a:off x="0" y="0"/>
                      <a:ext cx="4800599" cy="971550"/>
                    </a:xfrm>
                    <a:prstGeom prst="rect">
                      <a:avLst/>
                    </a:prstGeom>
                  </pic:spPr>
                </pic:pic>
              </a:graphicData>
            </a:graphic>
          </wp:anchor>
        </w:drawing>
      </w:r>
    </w:p>
    <w:p w14:paraId="5C48A9FE" w14:textId="77777777" w:rsidR="00A71EEF" w:rsidRDefault="0081115D">
      <w:pPr>
        <w:pStyle w:val="a3"/>
        <w:spacing w:before="162"/>
        <w:ind w:left="418"/>
      </w:pPr>
      <w:r>
        <w:t xml:space="preserve">0.45μm </w:t>
      </w:r>
      <w:r>
        <w:t>的膜。</w:t>
      </w:r>
      <w:r>
        <w:t xml:space="preserve"> </w:t>
      </w:r>
    </w:p>
    <w:p w14:paraId="6AAE6BCF" w14:textId="77777777" w:rsidR="00A71EEF" w:rsidRDefault="00A71EEF">
      <w:pPr>
        <w:pStyle w:val="a3"/>
        <w:spacing w:before="2"/>
        <w:rPr>
          <w:sz w:val="18"/>
        </w:rPr>
      </w:pPr>
    </w:p>
    <w:p w14:paraId="406ACBAD" w14:textId="77777777" w:rsidR="00A71EEF" w:rsidRDefault="0081115D">
      <w:pPr>
        <w:pStyle w:val="6"/>
        <w:ind w:left="2993"/>
        <w:rPr>
          <w:b w:val="0"/>
        </w:rPr>
      </w:pPr>
      <w:r>
        <w:t>图</w:t>
      </w:r>
      <w:r>
        <w:t xml:space="preserve"> 6.5.3 </w:t>
      </w:r>
      <w:r>
        <w:t>管道直饮水水处理工艺流程</w:t>
      </w:r>
      <w:r>
        <w:rPr>
          <w:b w:val="0"/>
        </w:rPr>
        <w:t xml:space="preserve"> </w:t>
      </w:r>
    </w:p>
    <w:p w14:paraId="5C147FC4" w14:textId="77777777" w:rsidR="00A71EEF" w:rsidRDefault="00A71EEF">
      <w:pPr>
        <w:pStyle w:val="a3"/>
        <w:rPr>
          <w:sz w:val="18"/>
        </w:rPr>
      </w:pPr>
    </w:p>
    <w:p w14:paraId="19766CD4" w14:textId="77777777" w:rsidR="00A71EEF" w:rsidRDefault="0081115D">
      <w:pPr>
        <w:pStyle w:val="a3"/>
        <w:spacing w:line="446" w:lineRule="auto"/>
        <w:ind w:left="418" w:right="1498" w:firstLine="419"/>
      </w:pPr>
      <w:r>
        <w:t>管道直饮水的宜采用循环供水系统，回水管流速宜为</w:t>
      </w:r>
      <w:r>
        <w:t xml:space="preserve"> 1.00m</w:t>
      </w:r>
      <w:r>
        <w:t>／</w:t>
      </w:r>
      <w:r>
        <w:t>s</w:t>
      </w:r>
      <w:r>
        <w:t>～</w:t>
      </w:r>
      <w:r>
        <w:t>1.50m</w:t>
      </w:r>
      <w:r>
        <w:t>／</w:t>
      </w:r>
      <w:r>
        <w:t>s</w:t>
      </w:r>
      <w:r>
        <w:t>，回水经膜滤和消毒后再用。管网末端盲管的最大长度不宜超过</w:t>
      </w:r>
      <w:r>
        <w:t xml:space="preserve"> 0.50m</w:t>
      </w:r>
      <w:r>
        <w:t>。</w:t>
      </w:r>
      <w:r>
        <w:t xml:space="preserve"> </w:t>
      </w:r>
    </w:p>
    <w:p w14:paraId="6F39C6B2" w14:textId="77777777" w:rsidR="00A71EEF" w:rsidRDefault="0081115D">
      <w:pPr>
        <w:pStyle w:val="a3"/>
        <w:ind w:left="838"/>
      </w:pPr>
      <w:r>
        <w:t>管道直饮水蓄水箱的有效容积</w:t>
      </w:r>
      <w:r>
        <w:t>不宜小于最大日用水量的</w:t>
      </w:r>
      <w:r>
        <w:t xml:space="preserve"> 1.2 </w:t>
      </w:r>
      <w:r>
        <w:t>倍。</w:t>
      </w:r>
      <w:r>
        <w:t xml:space="preserve"> </w:t>
      </w:r>
    </w:p>
    <w:p w14:paraId="16889806" w14:textId="77777777" w:rsidR="00A71EEF" w:rsidRDefault="00A71EEF">
      <w:pPr>
        <w:pStyle w:val="a3"/>
        <w:spacing w:before="12"/>
        <w:rPr>
          <w:sz w:val="17"/>
        </w:rPr>
      </w:pPr>
    </w:p>
    <w:p w14:paraId="113CCD50" w14:textId="77777777" w:rsidR="00A71EEF" w:rsidRDefault="0081115D">
      <w:pPr>
        <w:pStyle w:val="a3"/>
        <w:ind w:left="838"/>
      </w:pPr>
      <w:r>
        <w:t>应设水质分析室，直饮水水质分析每班不应少于</w:t>
      </w:r>
      <w:r>
        <w:t xml:space="preserve"> 2 </w:t>
      </w:r>
      <w:r>
        <w:t>次。</w:t>
      </w:r>
      <w:r>
        <w:t xml:space="preserve"> </w:t>
      </w:r>
    </w:p>
    <w:p w14:paraId="649D3334" w14:textId="77777777" w:rsidR="00A71EEF" w:rsidRDefault="00A71EEF">
      <w:pPr>
        <w:pStyle w:val="a3"/>
        <w:rPr>
          <w:sz w:val="18"/>
        </w:rPr>
      </w:pPr>
    </w:p>
    <w:p w14:paraId="7DC2341E" w14:textId="77777777" w:rsidR="00A71EEF" w:rsidRDefault="0081115D">
      <w:pPr>
        <w:pStyle w:val="a4"/>
        <w:numPr>
          <w:ilvl w:val="2"/>
          <w:numId w:val="167"/>
        </w:numPr>
        <w:tabs>
          <w:tab w:val="left" w:pos="1370"/>
        </w:tabs>
        <w:spacing w:line="446" w:lineRule="auto"/>
        <w:ind w:left="418" w:right="1498" w:firstLine="422"/>
        <w:rPr>
          <w:sz w:val="21"/>
        </w:rPr>
      </w:pPr>
      <w:r>
        <w:rPr>
          <w:spacing w:val="-3"/>
          <w:sz w:val="21"/>
        </w:rPr>
        <w:t>饮用水设备和龙头应设置在卫生条件良好、通风的房间或场所，不应设置在公共卫生间内。</w:t>
      </w:r>
      <w:r>
        <w:rPr>
          <w:sz w:val="21"/>
        </w:rPr>
        <w:t xml:space="preserve"> </w:t>
      </w:r>
    </w:p>
    <w:p w14:paraId="1E566820" w14:textId="77777777" w:rsidR="00A71EEF" w:rsidRDefault="0081115D">
      <w:pPr>
        <w:pStyle w:val="a4"/>
        <w:numPr>
          <w:ilvl w:val="1"/>
          <w:numId w:val="166"/>
        </w:numPr>
        <w:tabs>
          <w:tab w:val="left" w:pos="1159"/>
        </w:tabs>
        <w:ind w:hanging="319"/>
        <w:rPr>
          <w:sz w:val="21"/>
        </w:rPr>
      </w:pPr>
      <w:r>
        <w:rPr>
          <w:spacing w:val="-3"/>
          <w:sz w:val="21"/>
        </w:rPr>
        <w:t>制剂和医疗用水</w:t>
      </w:r>
      <w:r>
        <w:rPr>
          <w:spacing w:val="-3"/>
          <w:sz w:val="21"/>
        </w:rPr>
        <w:t xml:space="preserve"> </w:t>
      </w:r>
    </w:p>
    <w:p w14:paraId="73E54599" w14:textId="77777777" w:rsidR="00A71EEF" w:rsidRDefault="00A71EEF">
      <w:pPr>
        <w:pStyle w:val="a3"/>
        <w:spacing w:before="12"/>
        <w:rPr>
          <w:sz w:val="17"/>
        </w:rPr>
      </w:pPr>
    </w:p>
    <w:p w14:paraId="3DAC04B4" w14:textId="77777777" w:rsidR="00A71EEF" w:rsidRDefault="0081115D">
      <w:pPr>
        <w:pStyle w:val="a4"/>
        <w:numPr>
          <w:ilvl w:val="2"/>
          <w:numId w:val="166"/>
        </w:numPr>
        <w:tabs>
          <w:tab w:val="left" w:pos="1371"/>
        </w:tabs>
        <w:rPr>
          <w:sz w:val="21"/>
        </w:rPr>
      </w:pPr>
      <w:r>
        <w:rPr>
          <w:spacing w:val="-3"/>
          <w:sz w:val="21"/>
        </w:rPr>
        <w:t>制剂和医疗用水水质应符合医疗工艺的要求。</w:t>
      </w:r>
      <w:r>
        <w:rPr>
          <w:spacing w:val="-3"/>
          <w:sz w:val="21"/>
        </w:rPr>
        <w:t xml:space="preserve"> </w:t>
      </w:r>
    </w:p>
    <w:p w14:paraId="0B3D4CA1" w14:textId="77777777" w:rsidR="00A71EEF" w:rsidRDefault="00A71EEF">
      <w:pPr>
        <w:pStyle w:val="a3"/>
        <w:spacing w:before="2"/>
        <w:rPr>
          <w:sz w:val="18"/>
        </w:rPr>
      </w:pPr>
    </w:p>
    <w:p w14:paraId="49B16ACB" w14:textId="77777777" w:rsidR="00A71EEF" w:rsidRDefault="0081115D">
      <w:pPr>
        <w:pStyle w:val="a4"/>
        <w:numPr>
          <w:ilvl w:val="2"/>
          <w:numId w:val="166"/>
        </w:numPr>
        <w:tabs>
          <w:tab w:val="left" w:pos="1371"/>
        </w:tabs>
        <w:rPr>
          <w:sz w:val="21"/>
        </w:rPr>
      </w:pPr>
      <w:r>
        <w:rPr>
          <w:spacing w:val="-3"/>
          <w:sz w:val="21"/>
        </w:rPr>
        <w:t>制剂和医疗用水的制备装置应设置在卫生、通风条件良好的房间或场所。</w:t>
      </w:r>
      <w:r>
        <w:rPr>
          <w:spacing w:val="-3"/>
          <w:sz w:val="21"/>
        </w:rPr>
        <w:t xml:space="preserve"> </w:t>
      </w:r>
    </w:p>
    <w:p w14:paraId="365AD154" w14:textId="77777777" w:rsidR="00A71EEF" w:rsidRDefault="00A71EEF">
      <w:pPr>
        <w:pStyle w:val="a3"/>
        <w:spacing w:before="12"/>
        <w:rPr>
          <w:sz w:val="17"/>
        </w:rPr>
      </w:pPr>
    </w:p>
    <w:p w14:paraId="551D465A" w14:textId="77777777" w:rsidR="00A71EEF" w:rsidRDefault="0081115D">
      <w:pPr>
        <w:spacing w:before="1"/>
        <w:ind w:left="418"/>
        <w:rPr>
          <w:b/>
          <w:sz w:val="21"/>
        </w:rPr>
      </w:pPr>
      <w:r>
        <w:rPr>
          <w:sz w:val="21"/>
        </w:rPr>
        <w:t xml:space="preserve"> </w:t>
      </w:r>
      <w:r>
        <w:rPr>
          <w:sz w:val="21"/>
        </w:rPr>
        <w:t xml:space="preserve"> </w:t>
      </w:r>
      <w:r>
        <w:rPr>
          <w:b/>
          <w:sz w:val="21"/>
        </w:rPr>
        <w:t xml:space="preserve">6.7 </w:t>
      </w:r>
      <w:r>
        <w:rPr>
          <w:sz w:val="21"/>
        </w:rPr>
        <w:t>消防</w:t>
      </w:r>
      <w:r>
        <w:rPr>
          <w:b/>
          <w:w w:val="99"/>
          <w:sz w:val="21"/>
        </w:rPr>
        <w:t xml:space="preserve"> </w:t>
      </w:r>
    </w:p>
    <w:p w14:paraId="5F20C56F" w14:textId="77777777" w:rsidR="00A71EEF" w:rsidRDefault="00A71EEF">
      <w:pPr>
        <w:pStyle w:val="a3"/>
        <w:spacing w:before="12"/>
        <w:rPr>
          <w:b/>
          <w:sz w:val="17"/>
        </w:rPr>
      </w:pPr>
    </w:p>
    <w:p w14:paraId="07430BE5" w14:textId="77777777" w:rsidR="00A71EEF" w:rsidRDefault="0081115D">
      <w:pPr>
        <w:pStyle w:val="a4"/>
        <w:numPr>
          <w:ilvl w:val="2"/>
          <w:numId w:val="165"/>
        </w:numPr>
        <w:tabs>
          <w:tab w:val="left" w:pos="1371"/>
        </w:tabs>
        <w:rPr>
          <w:sz w:val="21"/>
        </w:rPr>
      </w:pPr>
      <w:r>
        <w:rPr>
          <w:spacing w:val="-3"/>
          <w:sz w:val="21"/>
        </w:rPr>
        <w:t>室内消火栓的布置应符合下列要求：</w:t>
      </w:r>
      <w:r>
        <w:rPr>
          <w:sz w:val="21"/>
        </w:rPr>
        <w:t xml:space="preserve"> </w:t>
      </w:r>
    </w:p>
    <w:p w14:paraId="322BF821" w14:textId="77777777" w:rsidR="00A71EEF" w:rsidRDefault="00A71EEF">
      <w:pPr>
        <w:pStyle w:val="a3"/>
        <w:spacing w:before="2"/>
        <w:rPr>
          <w:sz w:val="18"/>
        </w:rPr>
      </w:pPr>
    </w:p>
    <w:p w14:paraId="5BDADCB5" w14:textId="77777777" w:rsidR="00A71EEF" w:rsidRDefault="0081115D">
      <w:pPr>
        <w:pStyle w:val="a3"/>
        <w:ind w:left="838"/>
      </w:pPr>
      <w:r>
        <w:t>消火栓的布置应保证</w:t>
      </w:r>
      <w:r>
        <w:t xml:space="preserve"> 2 </w:t>
      </w:r>
      <w:r>
        <w:t>股水柱同时到达任何位置，消火栓宜布置在楼梯口附近。</w:t>
      </w:r>
      <w:r>
        <w:t xml:space="preserve"> </w:t>
      </w:r>
    </w:p>
    <w:p w14:paraId="7651F9F8" w14:textId="77777777" w:rsidR="00A71EEF" w:rsidRDefault="00A71EEF">
      <w:pPr>
        <w:sectPr w:rsidR="00A71EEF">
          <w:pgSz w:w="11910" w:h="16850"/>
          <w:pgMar w:top="1220" w:right="0" w:bottom="1420" w:left="1260" w:header="0" w:footer="1239" w:gutter="0"/>
          <w:cols w:space="720"/>
        </w:sectPr>
      </w:pPr>
    </w:p>
    <w:p w14:paraId="41EFA6B7" w14:textId="77777777" w:rsidR="00A71EEF" w:rsidRDefault="0081115D">
      <w:pPr>
        <w:pStyle w:val="a3"/>
        <w:spacing w:before="47" w:line="446" w:lineRule="auto"/>
        <w:ind w:left="418" w:right="1609" w:firstLine="419"/>
      </w:pPr>
      <w:r>
        <w:t>手术部的消火栓宜设置在清洁区域的楼梯口附近或走廊。必须设置在洁净区域时，应满足洁净区域的卫生要求。</w:t>
      </w:r>
      <w:r>
        <w:t xml:space="preserve"> </w:t>
      </w:r>
    </w:p>
    <w:p w14:paraId="21DB8BA1" w14:textId="77777777" w:rsidR="00A71EEF" w:rsidRDefault="0081115D">
      <w:pPr>
        <w:pStyle w:val="a3"/>
        <w:spacing w:line="267" w:lineRule="exact"/>
        <w:ind w:left="838"/>
      </w:pPr>
      <w:r>
        <w:t>护士站宜设置消防软管卷盘。</w:t>
      </w:r>
      <w:r>
        <w:t xml:space="preserve"> </w:t>
      </w:r>
    </w:p>
    <w:p w14:paraId="7E886E76" w14:textId="77777777" w:rsidR="00A71EEF" w:rsidRDefault="00A71EEF">
      <w:pPr>
        <w:pStyle w:val="a3"/>
        <w:spacing w:before="2"/>
        <w:rPr>
          <w:sz w:val="18"/>
        </w:rPr>
      </w:pPr>
    </w:p>
    <w:p w14:paraId="53028FF0" w14:textId="77777777" w:rsidR="00A71EEF" w:rsidRDefault="0081115D">
      <w:pPr>
        <w:pStyle w:val="a4"/>
        <w:numPr>
          <w:ilvl w:val="2"/>
          <w:numId w:val="165"/>
        </w:numPr>
        <w:tabs>
          <w:tab w:val="left" w:pos="1371"/>
        </w:tabs>
        <w:rPr>
          <w:sz w:val="21"/>
        </w:rPr>
      </w:pPr>
      <w:r>
        <w:rPr>
          <w:spacing w:val="-3"/>
          <w:sz w:val="21"/>
        </w:rPr>
        <w:t>设置自动喷水灭火系统，应符合下列要求；</w:t>
      </w:r>
      <w:r>
        <w:rPr>
          <w:sz w:val="21"/>
        </w:rPr>
        <w:t xml:space="preserve"> </w:t>
      </w:r>
    </w:p>
    <w:p w14:paraId="2458D9C2" w14:textId="77777777" w:rsidR="00A71EEF" w:rsidRDefault="00A71EEF">
      <w:pPr>
        <w:pStyle w:val="a3"/>
        <w:rPr>
          <w:sz w:val="18"/>
        </w:rPr>
      </w:pPr>
    </w:p>
    <w:p w14:paraId="7FA6ACB5" w14:textId="77777777" w:rsidR="00A71EEF" w:rsidRDefault="0081115D">
      <w:pPr>
        <w:pStyle w:val="a3"/>
        <w:spacing w:line="446" w:lineRule="auto"/>
        <w:ind w:left="418" w:right="1609" w:firstLine="419"/>
      </w:pPr>
      <w:r>
        <w:t>建筑物内除与水发生剧烈反应或不宜用水扑救的场所外，均应根据其发生火灾所造成的危险程度，及其扑救难度等实际情况设置洒水喷头；</w:t>
      </w:r>
      <w:r>
        <w:t xml:space="preserve"> </w:t>
      </w:r>
    </w:p>
    <w:p w14:paraId="383C95AA" w14:textId="77777777" w:rsidR="00A71EEF" w:rsidRDefault="0081115D">
      <w:pPr>
        <w:pStyle w:val="a3"/>
        <w:ind w:left="838"/>
      </w:pPr>
      <w:r>
        <w:t>病房应采用快速反应喷头；</w:t>
      </w:r>
      <w:r>
        <w:t xml:space="preserve"> </w:t>
      </w:r>
    </w:p>
    <w:p w14:paraId="0746629E" w14:textId="77777777" w:rsidR="00A71EEF" w:rsidRDefault="00A71EEF">
      <w:pPr>
        <w:pStyle w:val="a3"/>
        <w:rPr>
          <w:sz w:val="18"/>
        </w:rPr>
      </w:pPr>
    </w:p>
    <w:p w14:paraId="3242024B" w14:textId="77777777" w:rsidR="00A71EEF" w:rsidRDefault="0081115D">
      <w:pPr>
        <w:pStyle w:val="a3"/>
        <w:ind w:left="838"/>
      </w:pPr>
      <w:r>
        <w:t>手术部洁净和清洁走廊宜采用隐蔽型喷头。</w:t>
      </w:r>
      <w:r>
        <w:t xml:space="preserve"> </w:t>
      </w:r>
    </w:p>
    <w:p w14:paraId="295EC83F" w14:textId="77777777" w:rsidR="00A71EEF" w:rsidRDefault="00A71EEF">
      <w:pPr>
        <w:pStyle w:val="a3"/>
        <w:spacing w:before="12"/>
        <w:rPr>
          <w:sz w:val="17"/>
        </w:rPr>
      </w:pPr>
    </w:p>
    <w:p w14:paraId="3434D9ED" w14:textId="77777777" w:rsidR="00A71EEF" w:rsidRDefault="0081115D">
      <w:pPr>
        <w:pStyle w:val="a4"/>
        <w:numPr>
          <w:ilvl w:val="2"/>
          <w:numId w:val="165"/>
        </w:numPr>
        <w:tabs>
          <w:tab w:val="left" w:pos="1370"/>
        </w:tabs>
        <w:ind w:left="1369" w:hanging="530"/>
        <w:rPr>
          <w:sz w:val="21"/>
        </w:rPr>
      </w:pPr>
      <w:r>
        <w:rPr>
          <w:spacing w:val="-3"/>
          <w:sz w:val="21"/>
        </w:rPr>
        <w:t>医院的贵重设备用房、病案室和信息中心</w:t>
      </w:r>
      <w:r>
        <w:rPr>
          <w:spacing w:val="-3"/>
          <w:sz w:val="21"/>
        </w:rPr>
        <w:t>(</w:t>
      </w:r>
      <w:r>
        <w:rPr>
          <w:spacing w:val="-3"/>
          <w:sz w:val="21"/>
        </w:rPr>
        <w:t>网络</w:t>
      </w:r>
      <w:r>
        <w:rPr>
          <w:spacing w:val="-3"/>
          <w:sz w:val="21"/>
        </w:rPr>
        <w:t>)</w:t>
      </w:r>
      <w:r>
        <w:rPr>
          <w:spacing w:val="-3"/>
          <w:sz w:val="21"/>
        </w:rPr>
        <w:t>机房，应设置气体灭火装置。</w:t>
      </w:r>
      <w:r>
        <w:rPr>
          <w:sz w:val="21"/>
        </w:rPr>
        <w:t xml:space="preserve"> </w:t>
      </w:r>
    </w:p>
    <w:p w14:paraId="6A99260C" w14:textId="77777777" w:rsidR="00A71EEF" w:rsidRDefault="00A71EEF">
      <w:pPr>
        <w:pStyle w:val="a3"/>
        <w:spacing w:before="2"/>
        <w:rPr>
          <w:sz w:val="18"/>
        </w:rPr>
      </w:pPr>
    </w:p>
    <w:p w14:paraId="1055891B" w14:textId="77777777" w:rsidR="00A71EEF" w:rsidRDefault="0081115D">
      <w:pPr>
        <w:pStyle w:val="a4"/>
        <w:numPr>
          <w:ilvl w:val="2"/>
          <w:numId w:val="165"/>
        </w:numPr>
        <w:tabs>
          <w:tab w:val="left" w:pos="1370"/>
        </w:tabs>
        <w:ind w:left="1369" w:hanging="530"/>
        <w:rPr>
          <w:sz w:val="21"/>
        </w:rPr>
      </w:pPr>
      <w:r>
        <w:rPr>
          <w:spacing w:val="-3"/>
          <w:sz w:val="21"/>
        </w:rPr>
        <w:t>血液病房、手术室和有创检查的设备机房，不应设置自动灭火系统。</w:t>
      </w:r>
      <w:r>
        <w:rPr>
          <w:spacing w:val="-3"/>
          <w:sz w:val="21"/>
        </w:rPr>
        <w:t xml:space="preserve"> </w:t>
      </w:r>
    </w:p>
    <w:p w14:paraId="3C79961E" w14:textId="77777777" w:rsidR="00A71EEF" w:rsidRDefault="00A71EEF">
      <w:pPr>
        <w:pStyle w:val="a3"/>
        <w:spacing w:before="12"/>
        <w:rPr>
          <w:sz w:val="17"/>
        </w:rPr>
      </w:pPr>
    </w:p>
    <w:p w14:paraId="1F80D76A" w14:textId="77777777" w:rsidR="00A71EEF" w:rsidRDefault="0081115D">
      <w:pPr>
        <w:pStyle w:val="a4"/>
        <w:numPr>
          <w:ilvl w:val="1"/>
          <w:numId w:val="164"/>
        </w:numPr>
        <w:tabs>
          <w:tab w:val="left" w:pos="1159"/>
        </w:tabs>
        <w:ind w:hanging="319"/>
        <w:rPr>
          <w:b/>
          <w:sz w:val="21"/>
        </w:rPr>
      </w:pPr>
      <w:r>
        <w:rPr>
          <w:spacing w:val="-3"/>
          <w:sz w:val="21"/>
        </w:rPr>
        <w:t>污水处理</w:t>
      </w:r>
      <w:r>
        <w:rPr>
          <w:b/>
          <w:w w:val="99"/>
          <w:sz w:val="21"/>
        </w:rPr>
        <w:t xml:space="preserve"> </w:t>
      </w:r>
    </w:p>
    <w:p w14:paraId="2CD4C12B" w14:textId="77777777" w:rsidR="00A71EEF" w:rsidRDefault="00A71EEF">
      <w:pPr>
        <w:pStyle w:val="a3"/>
        <w:rPr>
          <w:b/>
          <w:sz w:val="18"/>
        </w:rPr>
      </w:pPr>
    </w:p>
    <w:p w14:paraId="79036948" w14:textId="77777777" w:rsidR="00A71EEF" w:rsidRDefault="0081115D">
      <w:pPr>
        <w:pStyle w:val="a4"/>
        <w:numPr>
          <w:ilvl w:val="2"/>
          <w:numId w:val="164"/>
        </w:numPr>
        <w:tabs>
          <w:tab w:val="left" w:pos="1371"/>
        </w:tabs>
        <w:spacing w:line="446" w:lineRule="auto"/>
        <w:ind w:right="1447" w:firstLine="422"/>
        <w:rPr>
          <w:sz w:val="21"/>
        </w:rPr>
      </w:pPr>
      <w:r>
        <w:rPr>
          <w:spacing w:val="-3"/>
          <w:sz w:val="21"/>
        </w:rPr>
        <w:t>医疗污水排放应符合现行国家标准《医疗机构水污染物排放标准》</w:t>
      </w:r>
      <w:r>
        <w:rPr>
          <w:sz w:val="21"/>
        </w:rPr>
        <w:t>GB</w:t>
      </w:r>
      <w:r>
        <w:rPr>
          <w:spacing w:val="22"/>
          <w:sz w:val="21"/>
        </w:rPr>
        <w:t xml:space="preserve"> </w:t>
      </w:r>
      <w:r>
        <w:rPr>
          <w:sz w:val="21"/>
        </w:rPr>
        <w:t>18466</w:t>
      </w:r>
      <w:r>
        <w:rPr>
          <w:spacing w:val="-10"/>
          <w:sz w:val="21"/>
        </w:rPr>
        <w:t xml:space="preserve"> </w:t>
      </w:r>
      <w:r>
        <w:rPr>
          <w:spacing w:val="-10"/>
          <w:sz w:val="21"/>
        </w:rPr>
        <w:t>的有关规</w:t>
      </w:r>
      <w:r>
        <w:rPr>
          <w:spacing w:val="-4"/>
          <w:sz w:val="21"/>
        </w:rPr>
        <w:t>定，并应符合下列要求：</w:t>
      </w:r>
      <w:r>
        <w:rPr>
          <w:spacing w:val="-4"/>
          <w:sz w:val="21"/>
        </w:rPr>
        <w:t xml:space="preserve"> </w:t>
      </w:r>
      <w:r>
        <w:rPr>
          <w:spacing w:val="-2"/>
          <w:sz w:val="21"/>
        </w:rPr>
        <w:t xml:space="preserve"> </w:t>
      </w:r>
      <w:r>
        <w:rPr>
          <w:sz w:val="21"/>
        </w:rPr>
        <w:t xml:space="preserve"> </w:t>
      </w:r>
    </w:p>
    <w:p w14:paraId="12EAE71F" w14:textId="77777777" w:rsidR="00A71EEF" w:rsidRDefault="0081115D">
      <w:pPr>
        <w:pStyle w:val="a3"/>
        <w:ind w:left="838"/>
        <w:rPr>
          <w:b/>
        </w:rPr>
      </w:pPr>
      <w:r>
        <w:t>当医疗污水排入有城市污水处理厂的城市排水管道时，应采用消毒处理工艺；</w:t>
      </w:r>
      <w:r>
        <w:t xml:space="preserve">  </w:t>
      </w:r>
      <w:r>
        <w:rPr>
          <w:b/>
          <w:w w:val="99"/>
        </w:rPr>
        <w:t xml:space="preserve"> </w:t>
      </w:r>
    </w:p>
    <w:p w14:paraId="58B13C65" w14:textId="77777777" w:rsidR="00A71EEF" w:rsidRDefault="00A71EEF">
      <w:pPr>
        <w:pStyle w:val="a3"/>
        <w:spacing w:before="12"/>
        <w:rPr>
          <w:b/>
          <w:sz w:val="17"/>
        </w:rPr>
      </w:pPr>
    </w:p>
    <w:p w14:paraId="2266C802" w14:textId="77777777" w:rsidR="00A71EEF" w:rsidRDefault="0081115D">
      <w:pPr>
        <w:pStyle w:val="a3"/>
        <w:ind w:left="838"/>
        <w:rPr>
          <w:b/>
        </w:rPr>
      </w:pPr>
      <w:r>
        <w:t>当医疗污水直接或间接排入自然水体时，应采用二级生化污水处理工艺；</w:t>
      </w:r>
      <w:r>
        <w:t xml:space="preserve">  </w:t>
      </w:r>
      <w:r>
        <w:rPr>
          <w:b/>
          <w:w w:val="99"/>
        </w:rPr>
        <w:t xml:space="preserve"> </w:t>
      </w:r>
    </w:p>
    <w:p w14:paraId="5C13BBFB" w14:textId="77777777" w:rsidR="00A71EEF" w:rsidRDefault="00A71EEF">
      <w:pPr>
        <w:pStyle w:val="a3"/>
        <w:spacing w:before="2"/>
        <w:rPr>
          <w:b/>
          <w:sz w:val="18"/>
        </w:rPr>
      </w:pPr>
    </w:p>
    <w:p w14:paraId="7C1F826B" w14:textId="77777777" w:rsidR="00A71EEF" w:rsidRDefault="0081115D">
      <w:pPr>
        <w:pStyle w:val="a3"/>
        <w:ind w:left="838"/>
        <w:rPr>
          <w:b/>
        </w:rPr>
      </w:pPr>
      <w:r>
        <w:t>医疗污水不得作为中水水源。</w:t>
      </w:r>
      <w:r>
        <w:t xml:space="preserve">  </w:t>
      </w:r>
      <w:r>
        <w:rPr>
          <w:b/>
          <w:w w:val="99"/>
        </w:rPr>
        <w:t xml:space="preserve"> </w:t>
      </w:r>
    </w:p>
    <w:p w14:paraId="5FDB34D6" w14:textId="77777777" w:rsidR="00A71EEF" w:rsidRDefault="00A71EEF">
      <w:pPr>
        <w:pStyle w:val="a3"/>
        <w:rPr>
          <w:b/>
          <w:sz w:val="18"/>
        </w:rPr>
      </w:pPr>
    </w:p>
    <w:p w14:paraId="7786DA38" w14:textId="77777777" w:rsidR="00A71EEF" w:rsidRDefault="0081115D">
      <w:pPr>
        <w:pStyle w:val="a4"/>
        <w:numPr>
          <w:ilvl w:val="2"/>
          <w:numId w:val="164"/>
        </w:numPr>
        <w:tabs>
          <w:tab w:val="left" w:pos="1370"/>
        </w:tabs>
        <w:ind w:left="1369" w:hanging="530"/>
        <w:rPr>
          <w:sz w:val="21"/>
        </w:rPr>
      </w:pPr>
      <w:r>
        <w:rPr>
          <w:spacing w:val="-3"/>
          <w:sz w:val="21"/>
        </w:rPr>
        <w:t>放射性污水的排放，应符合现行国家标准《电离辐射防护与辐射源安全基本标准》</w:t>
      </w:r>
    </w:p>
    <w:p w14:paraId="0B6E8671" w14:textId="77777777" w:rsidR="00A71EEF" w:rsidRDefault="00A71EEF">
      <w:pPr>
        <w:pStyle w:val="a3"/>
        <w:spacing w:before="12"/>
        <w:rPr>
          <w:sz w:val="17"/>
        </w:rPr>
      </w:pPr>
    </w:p>
    <w:p w14:paraId="2A284657" w14:textId="77777777" w:rsidR="00A71EEF" w:rsidRDefault="0081115D">
      <w:pPr>
        <w:spacing w:line="446" w:lineRule="auto"/>
        <w:ind w:left="840" w:right="7967" w:hanging="423"/>
        <w:rPr>
          <w:b/>
          <w:sz w:val="21"/>
        </w:rPr>
      </w:pPr>
      <w:r>
        <w:rPr>
          <w:sz w:val="21"/>
        </w:rPr>
        <w:t xml:space="preserve">GB 18871 </w:t>
      </w:r>
      <w:r>
        <w:rPr>
          <w:sz w:val="21"/>
        </w:rPr>
        <w:t>的有关规定。</w:t>
      </w:r>
      <w:r>
        <w:rPr>
          <w:b/>
          <w:sz w:val="21"/>
        </w:rPr>
        <w:t xml:space="preserve">6.9 </w:t>
      </w:r>
      <w:r>
        <w:rPr>
          <w:sz w:val="21"/>
        </w:rPr>
        <w:t>管材</w:t>
      </w:r>
      <w:r>
        <w:rPr>
          <w:b/>
          <w:w w:val="99"/>
          <w:sz w:val="21"/>
        </w:rPr>
        <w:t xml:space="preserve"> </w:t>
      </w:r>
    </w:p>
    <w:p w14:paraId="661F2E4D" w14:textId="77777777" w:rsidR="00A71EEF" w:rsidRDefault="0081115D">
      <w:pPr>
        <w:pStyle w:val="a4"/>
        <w:numPr>
          <w:ilvl w:val="2"/>
          <w:numId w:val="163"/>
        </w:numPr>
        <w:tabs>
          <w:tab w:val="left" w:pos="1370"/>
        </w:tabs>
        <w:spacing w:before="1" w:line="446" w:lineRule="auto"/>
        <w:ind w:right="1707" w:firstLine="422"/>
        <w:rPr>
          <w:sz w:val="21"/>
        </w:rPr>
      </w:pPr>
      <w:r>
        <w:rPr>
          <w:spacing w:val="-3"/>
          <w:sz w:val="21"/>
        </w:rPr>
        <w:t>给水和热水系统的管材应根据需要确定，可选用符合国家现行有关标准的不锈钢管、塑料管、塑料与金属复合管和热镀锌钢管等。</w:t>
      </w:r>
      <w:r>
        <w:rPr>
          <w:sz w:val="21"/>
        </w:rPr>
        <w:t xml:space="preserve"> </w:t>
      </w:r>
    </w:p>
    <w:p w14:paraId="554030BD" w14:textId="77777777" w:rsidR="00A71EEF" w:rsidRDefault="0081115D">
      <w:pPr>
        <w:pStyle w:val="a4"/>
        <w:numPr>
          <w:ilvl w:val="2"/>
          <w:numId w:val="163"/>
        </w:numPr>
        <w:tabs>
          <w:tab w:val="left" w:pos="1371"/>
        </w:tabs>
        <w:spacing w:line="446" w:lineRule="auto"/>
        <w:ind w:right="1498" w:firstLine="422"/>
        <w:rPr>
          <w:sz w:val="21"/>
        </w:rPr>
      </w:pPr>
      <w:r>
        <w:rPr>
          <w:spacing w:val="-3"/>
          <w:sz w:val="21"/>
        </w:rPr>
        <w:t>排水系统的管材可选用机制排水铸铁管或塑料管。雨水排水管道应根据建筑高度确定其排水压力，并应选择合适的承压管道。</w:t>
      </w:r>
      <w:r>
        <w:rPr>
          <w:sz w:val="21"/>
        </w:rPr>
        <w:t xml:space="preserve"> </w:t>
      </w:r>
    </w:p>
    <w:p w14:paraId="1A9AAAAA" w14:textId="77777777" w:rsidR="00A71EEF" w:rsidRDefault="0081115D">
      <w:pPr>
        <w:pStyle w:val="a4"/>
        <w:numPr>
          <w:ilvl w:val="2"/>
          <w:numId w:val="163"/>
        </w:numPr>
        <w:tabs>
          <w:tab w:val="left" w:pos="1371"/>
        </w:tabs>
        <w:spacing w:line="267" w:lineRule="exact"/>
        <w:ind w:left="1370" w:hanging="531"/>
        <w:rPr>
          <w:sz w:val="21"/>
        </w:rPr>
      </w:pPr>
      <w:r>
        <w:rPr>
          <w:spacing w:val="-3"/>
          <w:sz w:val="21"/>
        </w:rPr>
        <w:t>直饮水系统管材宜采用不锈钢管。</w:t>
      </w:r>
      <w:r>
        <w:rPr>
          <w:sz w:val="21"/>
        </w:rPr>
        <w:t xml:space="preserve"> </w:t>
      </w:r>
    </w:p>
    <w:p w14:paraId="3A91F3BB" w14:textId="77777777" w:rsidR="00A71EEF" w:rsidRDefault="00A71EEF">
      <w:pPr>
        <w:pStyle w:val="a3"/>
        <w:spacing w:before="1"/>
        <w:rPr>
          <w:sz w:val="18"/>
        </w:rPr>
      </w:pPr>
    </w:p>
    <w:p w14:paraId="0C401AB6" w14:textId="77777777" w:rsidR="00A71EEF" w:rsidRDefault="0081115D">
      <w:pPr>
        <w:pStyle w:val="a4"/>
        <w:numPr>
          <w:ilvl w:val="2"/>
          <w:numId w:val="163"/>
        </w:numPr>
        <w:tabs>
          <w:tab w:val="left" w:pos="1371"/>
        </w:tabs>
        <w:ind w:left="1370" w:hanging="531"/>
        <w:rPr>
          <w:sz w:val="21"/>
        </w:rPr>
      </w:pPr>
      <w:r>
        <w:rPr>
          <w:spacing w:val="-3"/>
          <w:sz w:val="21"/>
        </w:rPr>
        <w:t>在有磁屏蔽的场所应采用紫铜管、塑料管等非磁性管材。</w:t>
      </w:r>
      <w:r>
        <w:rPr>
          <w:sz w:val="21"/>
        </w:rPr>
        <w:t xml:space="preserve"> </w:t>
      </w:r>
    </w:p>
    <w:p w14:paraId="124D806D" w14:textId="77777777" w:rsidR="00A71EEF" w:rsidRDefault="00A71EEF">
      <w:pPr>
        <w:pStyle w:val="a3"/>
        <w:spacing w:before="9"/>
        <w:rPr>
          <w:sz w:val="15"/>
        </w:rPr>
      </w:pPr>
    </w:p>
    <w:p w14:paraId="424493F0" w14:textId="77777777" w:rsidR="00A71EEF" w:rsidRDefault="0081115D">
      <w:pPr>
        <w:pStyle w:val="4"/>
      </w:pPr>
      <w:r>
        <w:t xml:space="preserve">7 </w:t>
      </w:r>
      <w:r>
        <w:t>采暖、通风及空调系统</w:t>
      </w:r>
      <w:r>
        <w:rPr>
          <w:w w:val="99"/>
        </w:rPr>
        <w:t xml:space="preserve"> </w:t>
      </w:r>
    </w:p>
    <w:p w14:paraId="5BEC3CD2" w14:textId="77777777" w:rsidR="00A71EEF" w:rsidRDefault="00A71EEF">
      <w:pPr>
        <w:pStyle w:val="a3"/>
        <w:spacing w:before="3"/>
        <w:rPr>
          <w:b/>
          <w:sz w:val="17"/>
        </w:rPr>
      </w:pPr>
    </w:p>
    <w:p w14:paraId="10E62DF1" w14:textId="77777777" w:rsidR="00A71EEF" w:rsidRDefault="0081115D">
      <w:pPr>
        <w:pStyle w:val="a4"/>
        <w:numPr>
          <w:ilvl w:val="1"/>
          <w:numId w:val="162"/>
        </w:numPr>
        <w:tabs>
          <w:tab w:val="left" w:pos="1159"/>
        </w:tabs>
        <w:spacing w:before="1"/>
        <w:ind w:hanging="319"/>
        <w:rPr>
          <w:b/>
          <w:sz w:val="21"/>
        </w:rPr>
      </w:pPr>
      <w:r>
        <w:rPr>
          <w:spacing w:val="-3"/>
          <w:sz w:val="21"/>
        </w:rPr>
        <w:t>一般规定</w:t>
      </w:r>
      <w:r>
        <w:rPr>
          <w:b/>
          <w:w w:val="99"/>
          <w:sz w:val="21"/>
        </w:rPr>
        <w:t xml:space="preserve"> </w:t>
      </w:r>
    </w:p>
    <w:p w14:paraId="697D2E5F" w14:textId="77777777" w:rsidR="00A71EEF" w:rsidRDefault="00A71EEF">
      <w:pPr>
        <w:rPr>
          <w:sz w:val="21"/>
        </w:rPr>
        <w:sectPr w:rsidR="00A71EEF">
          <w:pgSz w:w="11910" w:h="16850"/>
          <w:pgMar w:top="1220" w:right="0" w:bottom="1420" w:left="1260" w:header="0" w:footer="1239" w:gutter="0"/>
          <w:cols w:space="720"/>
        </w:sectPr>
      </w:pPr>
    </w:p>
    <w:p w14:paraId="0268D8B8" w14:textId="77777777" w:rsidR="00A71EEF" w:rsidRDefault="0081115D">
      <w:pPr>
        <w:pStyle w:val="a4"/>
        <w:numPr>
          <w:ilvl w:val="2"/>
          <w:numId w:val="162"/>
        </w:numPr>
        <w:tabs>
          <w:tab w:val="left" w:pos="1370"/>
        </w:tabs>
        <w:spacing w:before="47" w:line="446" w:lineRule="auto"/>
        <w:ind w:right="1498" w:firstLine="422"/>
        <w:rPr>
          <w:sz w:val="21"/>
        </w:rPr>
      </w:pPr>
      <w:r>
        <w:rPr>
          <w:spacing w:val="-3"/>
          <w:sz w:val="21"/>
        </w:rPr>
        <w:t>医院应根据其所在地区的气候条件、医院性质，以及部门、科室的功能要求，确定在全院或局部实施采暖与通风、普通空调或净化空调。</w:t>
      </w:r>
      <w:r>
        <w:rPr>
          <w:sz w:val="21"/>
        </w:rPr>
        <w:t xml:space="preserve"> </w:t>
      </w:r>
    </w:p>
    <w:p w14:paraId="0B4EB508" w14:textId="77777777" w:rsidR="00A71EEF" w:rsidRDefault="0081115D">
      <w:pPr>
        <w:pStyle w:val="a4"/>
        <w:numPr>
          <w:ilvl w:val="2"/>
          <w:numId w:val="162"/>
        </w:numPr>
        <w:tabs>
          <w:tab w:val="left" w:pos="1370"/>
        </w:tabs>
        <w:spacing w:line="446" w:lineRule="auto"/>
        <w:ind w:right="1445" w:firstLine="422"/>
        <w:rPr>
          <w:sz w:val="21"/>
        </w:rPr>
      </w:pPr>
      <w:r>
        <w:rPr>
          <w:spacing w:val="-4"/>
          <w:sz w:val="21"/>
        </w:rPr>
        <w:t>采用散热器采暖时，应以热水为介质，不应采用蒸气。供水温度不应大于</w:t>
      </w:r>
      <w:r>
        <w:rPr>
          <w:spacing w:val="-4"/>
          <w:sz w:val="21"/>
        </w:rPr>
        <w:t xml:space="preserve"> </w:t>
      </w:r>
      <w:r>
        <w:rPr>
          <w:sz w:val="21"/>
        </w:rPr>
        <w:t>85℃</w:t>
      </w:r>
      <w:r>
        <w:rPr>
          <w:sz w:val="21"/>
        </w:rPr>
        <w:t>。散热</w:t>
      </w:r>
      <w:r>
        <w:rPr>
          <w:spacing w:val="-3"/>
          <w:sz w:val="21"/>
        </w:rPr>
        <w:t>器应便于清洗消毒。</w:t>
      </w:r>
      <w:r>
        <w:rPr>
          <w:sz w:val="21"/>
        </w:rPr>
        <w:t xml:space="preserve"> </w:t>
      </w:r>
    </w:p>
    <w:p w14:paraId="6583B17F" w14:textId="77777777" w:rsidR="00A71EEF" w:rsidRDefault="0081115D">
      <w:pPr>
        <w:pStyle w:val="a4"/>
        <w:numPr>
          <w:ilvl w:val="2"/>
          <w:numId w:val="162"/>
        </w:numPr>
        <w:tabs>
          <w:tab w:val="left" w:pos="1370"/>
        </w:tabs>
        <w:spacing w:line="446" w:lineRule="auto"/>
        <w:ind w:right="1707" w:firstLine="422"/>
        <w:rPr>
          <w:sz w:val="21"/>
        </w:rPr>
      </w:pPr>
      <w:r>
        <w:rPr>
          <w:spacing w:val="-8"/>
          <w:sz w:val="21"/>
        </w:rPr>
        <w:t>符合本规范表</w:t>
      </w:r>
      <w:r>
        <w:rPr>
          <w:spacing w:val="-8"/>
          <w:sz w:val="21"/>
        </w:rPr>
        <w:t xml:space="preserve"> </w:t>
      </w:r>
      <w:r>
        <w:rPr>
          <w:sz w:val="21"/>
        </w:rPr>
        <w:t>7.2.2</w:t>
      </w:r>
      <w:r>
        <w:rPr>
          <w:spacing w:val="-8"/>
          <w:sz w:val="21"/>
        </w:rPr>
        <w:t xml:space="preserve"> </w:t>
      </w:r>
      <w:r>
        <w:rPr>
          <w:spacing w:val="-8"/>
          <w:sz w:val="21"/>
        </w:rPr>
        <w:t>规定的</w:t>
      </w:r>
      <w:r>
        <w:rPr>
          <w:spacing w:val="-8"/>
          <w:sz w:val="21"/>
        </w:rPr>
        <w:t>Ⅲ</w:t>
      </w:r>
      <w:r>
        <w:rPr>
          <w:spacing w:val="-8"/>
          <w:sz w:val="21"/>
        </w:rPr>
        <w:t>级、</w:t>
      </w:r>
      <w:r>
        <w:rPr>
          <w:spacing w:val="-8"/>
          <w:sz w:val="21"/>
        </w:rPr>
        <w:t>Ⅳ</w:t>
      </w:r>
      <w:r>
        <w:rPr>
          <w:spacing w:val="-8"/>
          <w:sz w:val="21"/>
        </w:rPr>
        <w:t>级洁净用房，应采用板式或光管式散热器采暖</w:t>
      </w:r>
      <w:r>
        <w:rPr>
          <w:spacing w:val="-4"/>
          <w:sz w:val="21"/>
        </w:rPr>
        <w:t>，且应采取防护、防尘措施。</w:t>
      </w:r>
      <w:r>
        <w:rPr>
          <w:sz w:val="21"/>
        </w:rPr>
        <w:t xml:space="preserve"> </w:t>
      </w:r>
    </w:p>
    <w:p w14:paraId="083D51D0" w14:textId="77777777" w:rsidR="00A71EEF" w:rsidRDefault="0081115D">
      <w:pPr>
        <w:pStyle w:val="a4"/>
        <w:numPr>
          <w:ilvl w:val="2"/>
          <w:numId w:val="162"/>
        </w:numPr>
        <w:tabs>
          <w:tab w:val="left" w:pos="1370"/>
        </w:tabs>
        <w:ind w:left="1369" w:hanging="530"/>
        <w:rPr>
          <w:sz w:val="21"/>
        </w:rPr>
      </w:pPr>
      <w:r>
        <w:rPr>
          <w:spacing w:val="-8"/>
          <w:sz w:val="21"/>
        </w:rPr>
        <w:t>室内采暖计算温度可按表</w:t>
      </w:r>
      <w:r>
        <w:rPr>
          <w:spacing w:val="-8"/>
          <w:sz w:val="21"/>
        </w:rPr>
        <w:t xml:space="preserve"> </w:t>
      </w:r>
      <w:r>
        <w:rPr>
          <w:sz w:val="21"/>
        </w:rPr>
        <w:t>7.1.4</w:t>
      </w:r>
      <w:r>
        <w:rPr>
          <w:spacing w:val="-10"/>
          <w:sz w:val="21"/>
        </w:rPr>
        <w:t xml:space="preserve"> </w:t>
      </w:r>
      <w:r>
        <w:rPr>
          <w:spacing w:val="-10"/>
          <w:sz w:val="21"/>
        </w:rPr>
        <w:t>的规定选取。</w:t>
      </w:r>
      <w:r>
        <w:rPr>
          <w:spacing w:val="-10"/>
          <w:sz w:val="21"/>
        </w:rPr>
        <w:t xml:space="preserve"> </w:t>
      </w:r>
    </w:p>
    <w:p w14:paraId="33784658" w14:textId="77777777" w:rsidR="00A71EEF" w:rsidRDefault="00A71EEF">
      <w:pPr>
        <w:pStyle w:val="a3"/>
        <w:spacing w:before="11"/>
        <w:rPr>
          <w:sz w:val="17"/>
        </w:rPr>
      </w:pPr>
    </w:p>
    <w:p w14:paraId="282F7723" w14:textId="77777777" w:rsidR="00A71EEF" w:rsidRDefault="0081115D">
      <w:pPr>
        <w:pStyle w:val="6"/>
        <w:ind w:left="3413"/>
      </w:pPr>
      <w:r>
        <w:t>表</w:t>
      </w:r>
      <w:r>
        <w:t xml:space="preserve"> 7.1.4 </w:t>
      </w:r>
      <w:r>
        <w:t>室内采暖计算温度</w:t>
      </w:r>
      <w:r>
        <w:rPr>
          <w:w w:val="99"/>
        </w:rPr>
        <w:t xml:space="preserve"> </w:t>
      </w:r>
    </w:p>
    <w:p w14:paraId="3FFA3309" w14:textId="77777777" w:rsidR="00A71EEF" w:rsidRDefault="0081115D">
      <w:pPr>
        <w:pStyle w:val="a3"/>
        <w:spacing w:before="7"/>
        <w:rPr>
          <w:b/>
          <w:sz w:val="10"/>
        </w:rPr>
      </w:pPr>
      <w:r>
        <w:rPr>
          <w:noProof/>
        </w:rPr>
        <w:drawing>
          <wp:anchor distT="0" distB="0" distL="0" distR="0" simplePos="0" relativeHeight="251693568" behindDoc="0" locked="0" layoutInCell="1" allowOverlap="1" wp14:anchorId="183A15B4" wp14:editId="075F47A7">
            <wp:simplePos x="0" y="0"/>
            <wp:positionH relativeFrom="page">
              <wp:posOffset>1522730</wp:posOffset>
            </wp:positionH>
            <wp:positionV relativeFrom="paragraph">
              <wp:posOffset>110823</wp:posOffset>
            </wp:positionV>
            <wp:extent cx="4400549" cy="1809750"/>
            <wp:effectExtent l="0" t="0" r="0" b="0"/>
            <wp:wrapTopAndBottom/>
            <wp:docPr id="643" name="image3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image370.jpeg"/>
                    <pic:cNvPicPr/>
                  </pic:nvPicPr>
                  <pic:blipFill>
                    <a:blip r:embed="rId443" cstate="print"/>
                    <a:stretch>
                      <a:fillRect/>
                    </a:stretch>
                  </pic:blipFill>
                  <pic:spPr>
                    <a:xfrm>
                      <a:off x="0" y="0"/>
                      <a:ext cx="4400549" cy="1809750"/>
                    </a:xfrm>
                    <a:prstGeom prst="rect">
                      <a:avLst/>
                    </a:prstGeom>
                  </pic:spPr>
                </pic:pic>
              </a:graphicData>
            </a:graphic>
          </wp:anchor>
        </w:drawing>
      </w:r>
    </w:p>
    <w:p w14:paraId="7C84B862" w14:textId="77777777" w:rsidR="00A71EEF" w:rsidRDefault="0081115D">
      <w:pPr>
        <w:pStyle w:val="a4"/>
        <w:numPr>
          <w:ilvl w:val="2"/>
          <w:numId w:val="162"/>
        </w:numPr>
        <w:tabs>
          <w:tab w:val="left" w:pos="1371"/>
        </w:tabs>
        <w:spacing w:before="162" w:line="446" w:lineRule="auto"/>
        <w:ind w:right="1498" w:firstLine="422"/>
        <w:rPr>
          <w:sz w:val="21"/>
        </w:rPr>
      </w:pPr>
      <w:r>
        <w:rPr>
          <w:spacing w:val="-3"/>
          <w:sz w:val="21"/>
        </w:rPr>
        <w:t>当采用自然通风时，中庭内不宜有遮挡物，当有遮挡物时宜辅之以机械排风。气候条件适合地区</w:t>
      </w:r>
      <w:r>
        <w:rPr>
          <w:spacing w:val="-3"/>
          <w:sz w:val="21"/>
        </w:rPr>
        <w:t>，可利用穿堂风，应保持清洁区域位于通风的上风侧。</w:t>
      </w:r>
      <w:r>
        <w:rPr>
          <w:sz w:val="21"/>
        </w:rPr>
        <w:t xml:space="preserve"> </w:t>
      </w:r>
    </w:p>
    <w:p w14:paraId="0AA278D2" w14:textId="77777777" w:rsidR="00A71EEF" w:rsidRDefault="0081115D">
      <w:pPr>
        <w:pStyle w:val="a4"/>
        <w:numPr>
          <w:ilvl w:val="2"/>
          <w:numId w:val="162"/>
        </w:numPr>
        <w:tabs>
          <w:tab w:val="left" w:pos="1371"/>
        </w:tabs>
        <w:ind w:left="1370" w:hanging="531"/>
        <w:rPr>
          <w:sz w:val="21"/>
        </w:rPr>
      </w:pPr>
      <w:r>
        <w:rPr>
          <w:spacing w:val="-3"/>
          <w:sz w:val="21"/>
        </w:rPr>
        <w:t>凡产生气味、水气和潮湿作业的用房，应设机械排风。</w:t>
      </w:r>
      <w:r>
        <w:rPr>
          <w:sz w:val="21"/>
        </w:rPr>
        <w:t xml:space="preserve"> </w:t>
      </w:r>
    </w:p>
    <w:p w14:paraId="1601D573" w14:textId="77777777" w:rsidR="00A71EEF" w:rsidRDefault="00A71EEF">
      <w:pPr>
        <w:pStyle w:val="a3"/>
        <w:rPr>
          <w:sz w:val="18"/>
        </w:rPr>
      </w:pPr>
    </w:p>
    <w:p w14:paraId="5F66695A" w14:textId="77777777" w:rsidR="00A71EEF" w:rsidRDefault="0081115D">
      <w:pPr>
        <w:pStyle w:val="a4"/>
        <w:numPr>
          <w:ilvl w:val="2"/>
          <w:numId w:val="162"/>
        </w:numPr>
        <w:tabs>
          <w:tab w:val="left" w:pos="1370"/>
        </w:tabs>
        <w:ind w:left="1369" w:hanging="530"/>
        <w:rPr>
          <w:sz w:val="21"/>
        </w:rPr>
      </w:pPr>
      <w:r>
        <w:rPr>
          <w:spacing w:val="-3"/>
          <w:sz w:val="21"/>
        </w:rPr>
        <w:t>空调系统应符合下列要求：</w:t>
      </w:r>
      <w:r>
        <w:rPr>
          <w:sz w:val="21"/>
        </w:rPr>
        <w:t xml:space="preserve"> </w:t>
      </w:r>
    </w:p>
    <w:p w14:paraId="76E493F5" w14:textId="77777777" w:rsidR="00A71EEF" w:rsidRDefault="00A71EEF">
      <w:pPr>
        <w:pStyle w:val="a3"/>
        <w:spacing w:before="2"/>
        <w:rPr>
          <w:sz w:val="18"/>
        </w:rPr>
      </w:pPr>
    </w:p>
    <w:p w14:paraId="3A0D1E48" w14:textId="77777777" w:rsidR="00A71EEF" w:rsidRDefault="0081115D">
      <w:pPr>
        <w:pStyle w:val="a3"/>
        <w:spacing w:line="446" w:lineRule="auto"/>
        <w:ind w:left="838" w:right="1714"/>
        <w:rPr>
          <w:b/>
        </w:rPr>
      </w:pPr>
      <w:r>
        <w:rPr>
          <w:spacing w:val="-3"/>
        </w:rPr>
        <w:t>应根据室内空调设计参数、医疗设备、卫生学、使用时间、空调负荷等要求合理分区；</w:t>
      </w:r>
      <w:r>
        <w:rPr>
          <w:spacing w:val="-3"/>
        </w:rPr>
        <w:t xml:space="preserve"> </w:t>
      </w:r>
      <w:r>
        <w:rPr>
          <w:spacing w:val="-3"/>
        </w:rPr>
        <w:t>各功能区域宜独立，宜单独成系统；</w:t>
      </w:r>
      <w:r>
        <w:rPr>
          <w:b/>
          <w:w w:val="99"/>
        </w:rPr>
        <w:t xml:space="preserve"> </w:t>
      </w:r>
    </w:p>
    <w:p w14:paraId="244F88CC" w14:textId="77777777" w:rsidR="00A71EEF" w:rsidRDefault="0081115D">
      <w:pPr>
        <w:pStyle w:val="a3"/>
        <w:spacing w:line="446" w:lineRule="auto"/>
        <w:ind w:left="838" w:right="4026"/>
        <w:rPr>
          <w:b/>
        </w:rPr>
      </w:pPr>
      <w:r>
        <w:rPr>
          <w:spacing w:val="-3"/>
        </w:rPr>
        <w:t>各空调分区应能互相封闭，并应避免空气途径的医院感染；</w:t>
      </w:r>
      <w:r>
        <w:rPr>
          <w:spacing w:val="-3"/>
        </w:rPr>
        <w:t xml:space="preserve">  </w:t>
      </w:r>
      <w:r>
        <w:rPr>
          <w:spacing w:val="-3"/>
        </w:rPr>
        <w:t>有洁净度要求的房间和严重污染的房间，应单独成一个系统。</w:t>
      </w:r>
      <w:r>
        <w:rPr>
          <w:b/>
          <w:w w:val="99"/>
        </w:rPr>
        <w:t xml:space="preserve"> </w:t>
      </w:r>
    </w:p>
    <w:p w14:paraId="1A3FCF61" w14:textId="77777777" w:rsidR="00A71EEF" w:rsidRDefault="0081115D">
      <w:pPr>
        <w:pStyle w:val="a4"/>
        <w:numPr>
          <w:ilvl w:val="2"/>
          <w:numId w:val="162"/>
        </w:numPr>
        <w:tabs>
          <w:tab w:val="left" w:pos="1371"/>
        </w:tabs>
        <w:spacing w:line="446" w:lineRule="auto"/>
        <w:ind w:right="1498" w:firstLine="422"/>
        <w:rPr>
          <w:sz w:val="21"/>
        </w:rPr>
      </w:pPr>
      <w:r>
        <w:rPr>
          <w:spacing w:val="-3"/>
          <w:sz w:val="21"/>
        </w:rPr>
        <w:t>无特殊要求时不应在空调机组内安装臭氧等消毒装置。不得使用淋水式空气处理装置。</w:t>
      </w:r>
      <w:r>
        <w:rPr>
          <w:sz w:val="21"/>
        </w:rPr>
        <w:t xml:space="preserve"> </w:t>
      </w:r>
    </w:p>
    <w:p w14:paraId="1D038AD7" w14:textId="77777777" w:rsidR="00A71EEF" w:rsidRDefault="0081115D">
      <w:pPr>
        <w:pStyle w:val="a4"/>
        <w:numPr>
          <w:ilvl w:val="2"/>
          <w:numId w:val="162"/>
        </w:numPr>
        <w:tabs>
          <w:tab w:val="left" w:pos="1370"/>
        </w:tabs>
        <w:ind w:left="1369" w:hanging="530"/>
        <w:rPr>
          <w:sz w:val="21"/>
        </w:rPr>
      </w:pPr>
      <w:r>
        <w:rPr>
          <w:spacing w:val="-3"/>
          <w:sz w:val="21"/>
        </w:rPr>
        <w:t>空调机组宜设置在便于日常检修及更换的机房或设备夹层内。</w:t>
      </w:r>
      <w:r>
        <w:rPr>
          <w:sz w:val="21"/>
        </w:rPr>
        <w:t xml:space="preserve"> </w:t>
      </w:r>
    </w:p>
    <w:p w14:paraId="2BF22257" w14:textId="77777777" w:rsidR="00A71EEF" w:rsidRDefault="00A71EEF">
      <w:pPr>
        <w:pStyle w:val="a3"/>
        <w:spacing w:before="10"/>
        <w:rPr>
          <w:sz w:val="17"/>
        </w:rPr>
      </w:pPr>
    </w:p>
    <w:p w14:paraId="031C1AFB" w14:textId="77777777" w:rsidR="00A71EEF" w:rsidRDefault="0081115D">
      <w:pPr>
        <w:pStyle w:val="a4"/>
        <w:numPr>
          <w:ilvl w:val="2"/>
          <w:numId w:val="162"/>
        </w:numPr>
        <w:tabs>
          <w:tab w:val="left" w:pos="1478"/>
        </w:tabs>
        <w:ind w:left="1477" w:hanging="638"/>
        <w:rPr>
          <w:sz w:val="21"/>
        </w:rPr>
      </w:pPr>
      <w:r>
        <w:rPr>
          <w:spacing w:val="-6"/>
          <w:sz w:val="21"/>
        </w:rPr>
        <w:t>采用集中空调系统医疗用房的送风量不宜低于</w:t>
      </w:r>
      <w:r>
        <w:rPr>
          <w:spacing w:val="-6"/>
          <w:sz w:val="21"/>
        </w:rPr>
        <w:t xml:space="preserve"> </w:t>
      </w:r>
      <w:r>
        <w:rPr>
          <w:sz w:val="21"/>
        </w:rPr>
        <w:t>6</w:t>
      </w:r>
      <w:r>
        <w:rPr>
          <w:spacing w:val="-19"/>
          <w:sz w:val="21"/>
        </w:rPr>
        <w:t xml:space="preserve"> </w:t>
      </w:r>
      <w:r>
        <w:rPr>
          <w:spacing w:val="-19"/>
          <w:sz w:val="21"/>
        </w:rPr>
        <w:t>次</w:t>
      </w:r>
      <w:r>
        <w:rPr>
          <w:spacing w:val="-19"/>
          <w:sz w:val="21"/>
        </w:rPr>
        <w:t xml:space="preserve"> </w:t>
      </w:r>
      <w:r>
        <w:rPr>
          <w:sz w:val="21"/>
        </w:rPr>
        <w:t>／</w:t>
      </w:r>
      <w:r>
        <w:rPr>
          <w:sz w:val="21"/>
        </w:rPr>
        <w:t>h</w:t>
      </w:r>
      <w:r>
        <w:rPr>
          <w:spacing w:val="-3"/>
          <w:sz w:val="21"/>
        </w:rPr>
        <w:t>。</w:t>
      </w:r>
      <w:r>
        <w:rPr>
          <w:sz w:val="21"/>
        </w:rPr>
        <w:t xml:space="preserve"> </w:t>
      </w:r>
    </w:p>
    <w:p w14:paraId="6843CB93" w14:textId="77777777" w:rsidR="00A71EEF" w:rsidRDefault="00A71EEF">
      <w:pPr>
        <w:pStyle w:val="a3"/>
        <w:rPr>
          <w:sz w:val="18"/>
        </w:rPr>
      </w:pPr>
    </w:p>
    <w:p w14:paraId="0BE5AFAF" w14:textId="77777777" w:rsidR="00A71EEF" w:rsidRDefault="0081115D">
      <w:pPr>
        <w:pStyle w:val="a4"/>
        <w:numPr>
          <w:ilvl w:val="2"/>
          <w:numId w:val="162"/>
        </w:numPr>
        <w:tabs>
          <w:tab w:val="left" w:pos="1478"/>
        </w:tabs>
        <w:spacing w:line="446" w:lineRule="auto"/>
        <w:ind w:right="1551" w:firstLine="422"/>
        <w:rPr>
          <w:sz w:val="21"/>
        </w:rPr>
      </w:pPr>
      <w:r>
        <w:rPr>
          <w:spacing w:val="-4"/>
          <w:sz w:val="21"/>
        </w:rPr>
        <w:t>集中空调系统和风机盘管机组的回风口必须设初阻力小于</w:t>
      </w:r>
      <w:r>
        <w:rPr>
          <w:spacing w:val="-4"/>
          <w:sz w:val="21"/>
        </w:rPr>
        <w:t xml:space="preserve"> </w:t>
      </w:r>
      <w:r>
        <w:rPr>
          <w:sz w:val="21"/>
        </w:rPr>
        <w:t>50Pa</w:t>
      </w:r>
      <w:r>
        <w:rPr>
          <w:spacing w:val="-3"/>
          <w:sz w:val="21"/>
        </w:rPr>
        <w:t>、微生物一次通过率</w:t>
      </w:r>
      <w:r>
        <w:rPr>
          <w:spacing w:val="-15"/>
          <w:sz w:val="21"/>
        </w:rPr>
        <w:t>不大于</w:t>
      </w:r>
      <w:r>
        <w:rPr>
          <w:spacing w:val="-15"/>
          <w:sz w:val="21"/>
        </w:rPr>
        <w:t xml:space="preserve"> </w:t>
      </w:r>
      <w:r>
        <w:rPr>
          <w:sz w:val="21"/>
        </w:rPr>
        <w:t>10</w:t>
      </w:r>
      <w:r>
        <w:rPr>
          <w:spacing w:val="-7"/>
          <w:sz w:val="21"/>
        </w:rPr>
        <w:t>％和颗粒物一次计重通过率不大于</w:t>
      </w:r>
      <w:r>
        <w:rPr>
          <w:spacing w:val="-7"/>
          <w:sz w:val="21"/>
        </w:rPr>
        <w:t xml:space="preserve"> </w:t>
      </w:r>
      <w:r>
        <w:rPr>
          <w:sz w:val="21"/>
        </w:rPr>
        <w:t>5</w:t>
      </w:r>
      <w:r>
        <w:rPr>
          <w:spacing w:val="-3"/>
          <w:sz w:val="21"/>
        </w:rPr>
        <w:t>％的过滤设备。</w:t>
      </w:r>
      <w:r>
        <w:rPr>
          <w:sz w:val="21"/>
        </w:rPr>
        <w:t xml:space="preserve"> </w:t>
      </w:r>
    </w:p>
    <w:p w14:paraId="05917890" w14:textId="77777777" w:rsidR="00A71EEF" w:rsidRDefault="00A71EEF">
      <w:pPr>
        <w:spacing w:line="446" w:lineRule="auto"/>
        <w:rPr>
          <w:sz w:val="21"/>
        </w:rPr>
        <w:sectPr w:rsidR="00A71EEF">
          <w:pgSz w:w="11910" w:h="16850"/>
          <w:pgMar w:top="1220" w:right="0" w:bottom="1420" w:left="1260" w:header="0" w:footer="1239" w:gutter="0"/>
          <w:cols w:space="720"/>
        </w:sectPr>
      </w:pPr>
    </w:p>
    <w:p w14:paraId="38CAD154" w14:textId="77777777" w:rsidR="00A71EEF" w:rsidRDefault="0081115D">
      <w:pPr>
        <w:pStyle w:val="a4"/>
        <w:numPr>
          <w:ilvl w:val="2"/>
          <w:numId w:val="162"/>
        </w:numPr>
        <w:tabs>
          <w:tab w:val="left" w:pos="1478"/>
        </w:tabs>
        <w:spacing w:before="47"/>
        <w:ind w:left="1477" w:hanging="638"/>
        <w:rPr>
          <w:sz w:val="21"/>
        </w:rPr>
      </w:pPr>
      <w:r>
        <w:rPr>
          <w:spacing w:val="-8"/>
          <w:sz w:val="21"/>
        </w:rPr>
        <w:t>当室外可吸入颗粒物</w:t>
      </w:r>
      <w:r>
        <w:rPr>
          <w:spacing w:val="-8"/>
          <w:sz w:val="21"/>
        </w:rPr>
        <w:t xml:space="preserve"> </w:t>
      </w:r>
      <w:r>
        <w:rPr>
          <w:sz w:val="21"/>
        </w:rPr>
        <w:t>PM10</w:t>
      </w:r>
      <w:r>
        <w:rPr>
          <w:spacing w:val="-9"/>
          <w:sz w:val="21"/>
        </w:rPr>
        <w:t xml:space="preserve"> </w:t>
      </w:r>
      <w:r>
        <w:rPr>
          <w:spacing w:val="-9"/>
          <w:sz w:val="21"/>
        </w:rPr>
        <w:t>的年均值未超过现行国家标准《环境空气质量标准》</w:t>
      </w:r>
      <w:r>
        <w:rPr>
          <w:sz w:val="21"/>
        </w:rPr>
        <w:t xml:space="preserve">GB </w:t>
      </w:r>
    </w:p>
    <w:p w14:paraId="57CD5303" w14:textId="77777777" w:rsidR="00A71EEF" w:rsidRDefault="00A71EEF">
      <w:pPr>
        <w:pStyle w:val="a3"/>
        <w:rPr>
          <w:sz w:val="18"/>
        </w:rPr>
      </w:pPr>
    </w:p>
    <w:p w14:paraId="7AF68F93" w14:textId="77777777" w:rsidR="00A71EEF" w:rsidRDefault="0081115D">
      <w:pPr>
        <w:pStyle w:val="a3"/>
        <w:ind w:left="418"/>
      </w:pPr>
      <w:r>
        <w:t xml:space="preserve">3095 </w:t>
      </w:r>
      <w:r>
        <w:t>中二类区适用的二级浓度限值时，新风采集口应至少设置粗效和中效两级过滤器，当室外</w:t>
      </w:r>
    </w:p>
    <w:p w14:paraId="5FEEF369" w14:textId="77777777" w:rsidR="00A71EEF" w:rsidRDefault="00A71EEF">
      <w:pPr>
        <w:pStyle w:val="a3"/>
        <w:rPr>
          <w:sz w:val="18"/>
        </w:rPr>
      </w:pPr>
    </w:p>
    <w:p w14:paraId="6CFCEA78" w14:textId="77777777" w:rsidR="00A71EEF" w:rsidRDefault="0081115D">
      <w:pPr>
        <w:pStyle w:val="a3"/>
        <w:ind w:left="418"/>
      </w:pPr>
      <w:r>
        <w:t xml:space="preserve">PM10 </w:t>
      </w:r>
      <w:r>
        <w:t>超过年平均二级浓度限值时，应再增加一道高中效过滤器。</w:t>
      </w:r>
      <w:r>
        <w:t xml:space="preserve"> </w:t>
      </w:r>
    </w:p>
    <w:p w14:paraId="3DBBE9F1" w14:textId="77777777" w:rsidR="00A71EEF" w:rsidRDefault="00A71EEF">
      <w:pPr>
        <w:pStyle w:val="a3"/>
        <w:spacing w:before="1"/>
        <w:rPr>
          <w:sz w:val="18"/>
        </w:rPr>
      </w:pPr>
    </w:p>
    <w:p w14:paraId="6D0A8F33" w14:textId="77777777" w:rsidR="00A71EEF" w:rsidRDefault="0081115D">
      <w:pPr>
        <w:pStyle w:val="a4"/>
        <w:numPr>
          <w:ilvl w:val="2"/>
          <w:numId w:val="162"/>
        </w:numPr>
        <w:tabs>
          <w:tab w:val="left" w:pos="1478"/>
        </w:tabs>
        <w:spacing w:before="1"/>
        <w:ind w:left="1477" w:hanging="638"/>
        <w:rPr>
          <w:sz w:val="21"/>
        </w:rPr>
      </w:pPr>
      <w:r>
        <w:rPr>
          <w:spacing w:val="-6"/>
          <w:sz w:val="21"/>
        </w:rPr>
        <w:t>医疗用房的集中空调系统的新风量每人不应低于</w:t>
      </w:r>
      <w:r>
        <w:rPr>
          <w:spacing w:val="-6"/>
          <w:sz w:val="21"/>
        </w:rPr>
        <w:t xml:space="preserve"> </w:t>
      </w:r>
      <w:r>
        <w:rPr>
          <w:sz w:val="21"/>
        </w:rPr>
        <w:t>40m³</w:t>
      </w:r>
      <w:r>
        <w:rPr>
          <w:sz w:val="21"/>
        </w:rPr>
        <w:t>／</w:t>
      </w:r>
      <w:r>
        <w:rPr>
          <w:sz w:val="21"/>
        </w:rPr>
        <w:t>h</w:t>
      </w:r>
      <w:r>
        <w:rPr>
          <w:spacing w:val="-8"/>
          <w:sz w:val="21"/>
        </w:rPr>
        <w:t>，或新风量不应小于</w:t>
      </w:r>
      <w:r>
        <w:rPr>
          <w:spacing w:val="-8"/>
          <w:sz w:val="21"/>
        </w:rPr>
        <w:t xml:space="preserve"> </w:t>
      </w:r>
      <w:r>
        <w:rPr>
          <w:sz w:val="21"/>
        </w:rPr>
        <w:t>2</w:t>
      </w:r>
      <w:r>
        <w:rPr>
          <w:spacing w:val="-26"/>
          <w:sz w:val="21"/>
        </w:rPr>
        <w:t xml:space="preserve"> </w:t>
      </w:r>
      <w:r>
        <w:rPr>
          <w:spacing w:val="-26"/>
          <w:sz w:val="21"/>
        </w:rPr>
        <w:t>次</w:t>
      </w:r>
    </w:p>
    <w:p w14:paraId="492490C3" w14:textId="77777777" w:rsidR="00A71EEF" w:rsidRDefault="00A71EEF">
      <w:pPr>
        <w:pStyle w:val="a3"/>
        <w:spacing w:before="12"/>
        <w:rPr>
          <w:sz w:val="17"/>
        </w:rPr>
      </w:pPr>
    </w:p>
    <w:p w14:paraId="1AD25EC9" w14:textId="77777777" w:rsidR="00A71EEF" w:rsidRDefault="0081115D">
      <w:pPr>
        <w:pStyle w:val="a3"/>
        <w:ind w:left="418"/>
      </w:pPr>
      <w:r>
        <w:t>／</w:t>
      </w:r>
      <w:r>
        <w:t>h</w:t>
      </w:r>
      <w:r>
        <w:t>。对人员多的场所，经过经济和技术比较，宜变新风量运行。</w:t>
      </w:r>
      <w:r>
        <w:t xml:space="preserve"> </w:t>
      </w:r>
    </w:p>
    <w:p w14:paraId="138B059C" w14:textId="77777777" w:rsidR="00A71EEF" w:rsidRDefault="00A71EEF">
      <w:pPr>
        <w:pStyle w:val="a3"/>
        <w:spacing w:before="12"/>
        <w:rPr>
          <w:sz w:val="17"/>
        </w:rPr>
      </w:pPr>
    </w:p>
    <w:p w14:paraId="5762FB2D" w14:textId="77777777" w:rsidR="00A71EEF" w:rsidRDefault="0081115D">
      <w:pPr>
        <w:pStyle w:val="a4"/>
        <w:numPr>
          <w:ilvl w:val="2"/>
          <w:numId w:val="162"/>
        </w:numPr>
        <w:tabs>
          <w:tab w:val="left" w:pos="1478"/>
        </w:tabs>
        <w:spacing w:line="446" w:lineRule="auto"/>
        <w:ind w:right="1810" w:firstLine="422"/>
        <w:rPr>
          <w:sz w:val="21"/>
        </w:rPr>
      </w:pPr>
      <w:r>
        <w:rPr>
          <w:spacing w:val="-3"/>
          <w:sz w:val="21"/>
        </w:rPr>
        <w:t>核医学检查室、放射治疗室、病理取材室、检验科、传染病病房等含有害微生物、有害气溶胶等污染物质场所的排风，应处理达标后排放。</w:t>
      </w:r>
      <w:r>
        <w:rPr>
          <w:sz w:val="21"/>
        </w:rPr>
        <w:t xml:space="preserve"> </w:t>
      </w:r>
    </w:p>
    <w:p w14:paraId="0B4ACE75" w14:textId="77777777" w:rsidR="00A71EEF" w:rsidRDefault="0081115D">
      <w:pPr>
        <w:pStyle w:val="a4"/>
        <w:numPr>
          <w:ilvl w:val="2"/>
          <w:numId w:val="162"/>
        </w:numPr>
        <w:tabs>
          <w:tab w:val="left" w:pos="1478"/>
        </w:tabs>
        <w:spacing w:before="1"/>
        <w:ind w:left="1477" w:hanging="638"/>
        <w:rPr>
          <w:sz w:val="21"/>
        </w:rPr>
      </w:pPr>
      <w:r>
        <w:rPr>
          <w:spacing w:val="-3"/>
          <w:sz w:val="21"/>
        </w:rPr>
        <w:t>没有特殊要求的排风机应设在排风管路末端，使整个管路为负压。</w:t>
      </w:r>
      <w:r>
        <w:rPr>
          <w:spacing w:val="-3"/>
          <w:sz w:val="21"/>
        </w:rPr>
        <w:t xml:space="preserve"> </w:t>
      </w:r>
    </w:p>
    <w:p w14:paraId="4FDF2190" w14:textId="77777777" w:rsidR="00A71EEF" w:rsidRDefault="00A71EEF">
      <w:pPr>
        <w:pStyle w:val="a3"/>
        <w:spacing w:before="12"/>
        <w:rPr>
          <w:sz w:val="17"/>
        </w:rPr>
      </w:pPr>
    </w:p>
    <w:p w14:paraId="3E1780F5" w14:textId="77777777" w:rsidR="00A71EEF" w:rsidRDefault="0081115D">
      <w:pPr>
        <w:pStyle w:val="a4"/>
        <w:numPr>
          <w:ilvl w:val="2"/>
          <w:numId w:val="162"/>
        </w:numPr>
        <w:tabs>
          <w:tab w:val="left" w:pos="1478"/>
        </w:tabs>
        <w:spacing w:line="446" w:lineRule="auto"/>
        <w:ind w:right="1601" w:firstLine="422"/>
        <w:rPr>
          <w:sz w:val="21"/>
        </w:rPr>
      </w:pPr>
      <w:r>
        <w:rPr>
          <w:spacing w:val="-3"/>
          <w:sz w:val="21"/>
        </w:rPr>
        <w:t>医院暖通空调设计</w:t>
      </w:r>
      <w:r>
        <w:rPr>
          <w:spacing w:val="-3"/>
          <w:sz w:val="21"/>
        </w:rPr>
        <w:t>(</w:t>
      </w:r>
      <w:r>
        <w:rPr>
          <w:spacing w:val="-3"/>
          <w:sz w:val="21"/>
        </w:rPr>
        <w:t>包括冷热源</w:t>
      </w:r>
      <w:r>
        <w:rPr>
          <w:spacing w:val="-3"/>
          <w:sz w:val="21"/>
        </w:rPr>
        <w:t>)</w:t>
      </w:r>
      <w:r>
        <w:rPr>
          <w:spacing w:val="-3"/>
          <w:sz w:val="21"/>
        </w:rPr>
        <w:t>应在保障诊疗与感染控制的前提下，按现行国家标准《公共建筑节能设计标准》</w:t>
      </w:r>
      <w:r>
        <w:rPr>
          <w:sz w:val="21"/>
        </w:rPr>
        <w:t>GB</w:t>
      </w:r>
      <w:r>
        <w:rPr>
          <w:spacing w:val="1"/>
          <w:sz w:val="21"/>
        </w:rPr>
        <w:t xml:space="preserve"> </w:t>
      </w:r>
      <w:r>
        <w:rPr>
          <w:sz w:val="21"/>
        </w:rPr>
        <w:t>50189</w:t>
      </w:r>
      <w:r>
        <w:rPr>
          <w:spacing w:val="-10"/>
          <w:sz w:val="21"/>
        </w:rPr>
        <w:t xml:space="preserve"> </w:t>
      </w:r>
      <w:r>
        <w:rPr>
          <w:spacing w:val="-10"/>
          <w:sz w:val="21"/>
        </w:rPr>
        <w:t>的有关规定执行。</w:t>
      </w:r>
      <w:r>
        <w:rPr>
          <w:sz w:val="21"/>
        </w:rPr>
        <w:t xml:space="preserve"> </w:t>
      </w:r>
    </w:p>
    <w:p w14:paraId="26BB0335" w14:textId="77777777" w:rsidR="00A71EEF" w:rsidRDefault="0081115D">
      <w:pPr>
        <w:pStyle w:val="a4"/>
        <w:numPr>
          <w:ilvl w:val="1"/>
          <w:numId w:val="162"/>
        </w:numPr>
        <w:tabs>
          <w:tab w:val="left" w:pos="1159"/>
        </w:tabs>
        <w:ind w:hanging="319"/>
        <w:rPr>
          <w:b/>
          <w:sz w:val="21"/>
        </w:rPr>
      </w:pPr>
      <w:r>
        <w:rPr>
          <w:spacing w:val="-3"/>
          <w:sz w:val="21"/>
        </w:rPr>
        <w:t>洁净用房的通用要求</w:t>
      </w:r>
      <w:r>
        <w:rPr>
          <w:b/>
          <w:w w:val="99"/>
          <w:sz w:val="21"/>
        </w:rPr>
        <w:t xml:space="preserve"> </w:t>
      </w:r>
    </w:p>
    <w:p w14:paraId="6F76D7AD" w14:textId="77777777" w:rsidR="00A71EEF" w:rsidRDefault="00A71EEF">
      <w:pPr>
        <w:pStyle w:val="a3"/>
        <w:spacing w:before="12"/>
        <w:rPr>
          <w:b/>
          <w:sz w:val="17"/>
        </w:rPr>
      </w:pPr>
    </w:p>
    <w:p w14:paraId="3D3CF65E" w14:textId="77777777" w:rsidR="00A71EEF" w:rsidRDefault="0081115D">
      <w:pPr>
        <w:pStyle w:val="a4"/>
        <w:numPr>
          <w:ilvl w:val="2"/>
          <w:numId w:val="162"/>
        </w:numPr>
        <w:tabs>
          <w:tab w:val="left" w:pos="1371"/>
        </w:tabs>
        <w:ind w:left="1370" w:hanging="531"/>
        <w:rPr>
          <w:sz w:val="21"/>
        </w:rPr>
      </w:pPr>
      <w:r>
        <w:rPr>
          <w:spacing w:val="-3"/>
          <w:sz w:val="21"/>
        </w:rPr>
        <w:t>应根据需要和可能选用洁净用房。</w:t>
      </w:r>
      <w:r>
        <w:rPr>
          <w:sz w:val="21"/>
        </w:rPr>
        <w:t xml:space="preserve"> </w:t>
      </w:r>
    </w:p>
    <w:p w14:paraId="66C44AFD" w14:textId="77777777" w:rsidR="00A71EEF" w:rsidRDefault="00A71EEF">
      <w:pPr>
        <w:pStyle w:val="a3"/>
        <w:spacing w:before="2"/>
        <w:rPr>
          <w:sz w:val="18"/>
        </w:rPr>
      </w:pPr>
    </w:p>
    <w:p w14:paraId="137DB9C2" w14:textId="77777777" w:rsidR="00A71EEF" w:rsidRDefault="0081115D">
      <w:pPr>
        <w:pStyle w:val="a4"/>
        <w:numPr>
          <w:ilvl w:val="2"/>
          <w:numId w:val="162"/>
        </w:numPr>
        <w:tabs>
          <w:tab w:val="left" w:pos="1371"/>
        </w:tabs>
        <w:spacing w:line="446" w:lineRule="auto"/>
        <w:ind w:right="1402" w:firstLine="422"/>
        <w:rPr>
          <w:sz w:val="21"/>
        </w:rPr>
      </w:pPr>
      <w:r>
        <w:rPr>
          <w:spacing w:val="-3"/>
          <w:sz w:val="21"/>
        </w:rPr>
        <w:t>洁净用房</w:t>
      </w:r>
      <w:r>
        <w:rPr>
          <w:spacing w:val="-3"/>
          <w:sz w:val="21"/>
        </w:rPr>
        <w:t>(</w:t>
      </w:r>
      <w:r>
        <w:rPr>
          <w:spacing w:val="-3"/>
          <w:sz w:val="21"/>
        </w:rPr>
        <w:t>不含洁净手术室</w:t>
      </w:r>
      <w:r>
        <w:rPr>
          <w:spacing w:val="-3"/>
          <w:sz w:val="21"/>
        </w:rPr>
        <w:t>)</w:t>
      </w:r>
      <w:r>
        <w:rPr>
          <w:spacing w:val="-3"/>
          <w:sz w:val="21"/>
        </w:rPr>
        <w:t>在空态或静态条件下，细菌浓度</w:t>
      </w:r>
      <w:r>
        <w:rPr>
          <w:spacing w:val="-3"/>
          <w:sz w:val="21"/>
        </w:rPr>
        <w:t>(</w:t>
      </w:r>
      <w:r>
        <w:rPr>
          <w:spacing w:val="-3"/>
          <w:sz w:val="21"/>
        </w:rPr>
        <w:t>沉降菌法浓度或浮游</w:t>
      </w:r>
      <w:r>
        <w:rPr>
          <w:spacing w:val="-3"/>
          <w:sz w:val="21"/>
        </w:rPr>
        <w:t xml:space="preserve"> </w:t>
      </w:r>
      <w:r>
        <w:rPr>
          <w:spacing w:val="-3"/>
          <w:sz w:val="21"/>
        </w:rPr>
        <w:t>菌</w:t>
      </w:r>
      <w:r>
        <w:rPr>
          <w:spacing w:val="-7"/>
          <w:sz w:val="21"/>
        </w:rPr>
        <w:t>法浓度</w:t>
      </w:r>
      <w:r>
        <w:rPr>
          <w:spacing w:val="-7"/>
          <w:sz w:val="21"/>
        </w:rPr>
        <w:t>)</w:t>
      </w:r>
      <w:r>
        <w:rPr>
          <w:spacing w:val="-7"/>
          <w:sz w:val="21"/>
        </w:rPr>
        <w:t>和空气含尘浓度应按表</w:t>
      </w:r>
      <w:r>
        <w:rPr>
          <w:spacing w:val="-7"/>
          <w:sz w:val="21"/>
        </w:rPr>
        <w:t xml:space="preserve"> </w:t>
      </w:r>
      <w:r>
        <w:rPr>
          <w:sz w:val="21"/>
        </w:rPr>
        <w:t>7.2.2</w:t>
      </w:r>
      <w:r>
        <w:rPr>
          <w:spacing w:val="-12"/>
          <w:sz w:val="21"/>
        </w:rPr>
        <w:t xml:space="preserve"> </w:t>
      </w:r>
      <w:r>
        <w:rPr>
          <w:spacing w:val="-12"/>
          <w:sz w:val="21"/>
        </w:rPr>
        <w:t>分级。换气次数不应超过表</w:t>
      </w:r>
      <w:r>
        <w:rPr>
          <w:spacing w:val="-12"/>
          <w:sz w:val="21"/>
        </w:rPr>
        <w:t xml:space="preserve"> </w:t>
      </w:r>
      <w:r>
        <w:rPr>
          <w:sz w:val="21"/>
        </w:rPr>
        <w:t>7.2.2</w:t>
      </w:r>
      <w:r>
        <w:rPr>
          <w:spacing w:val="-16"/>
          <w:sz w:val="21"/>
        </w:rPr>
        <w:t xml:space="preserve"> </w:t>
      </w:r>
      <w:r>
        <w:rPr>
          <w:spacing w:val="-16"/>
          <w:sz w:val="21"/>
        </w:rPr>
        <w:t>规定上限的</w:t>
      </w:r>
      <w:r>
        <w:rPr>
          <w:spacing w:val="-16"/>
          <w:sz w:val="21"/>
        </w:rPr>
        <w:t xml:space="preserve"> </w:t>
      </w:r>
      <w:r>
        <w:rPr>
          <w:sz w:val="21"/>
        </w:rPr>
        <w:t>1.2</w:t>
      </w:r>
      <w:r>
        <w:rPr>
          <w:spacing w:val="-19"/>
          <w:sz w:val="21"/>
        </w:rPr>
        <w:t xml:space="preserve"> </w:t>
      </w:r>
      <w:r>
        <w:rPr>
          <w:spacing w:val="-19"/>
          <w:sz w:val="21"/>
        </w:rPr>
        <w:t>倍。</w:t>
      </w:r>
      <w:r>
        <w:rPr>
          <w:sz w:val="21"/>
        </w:rPr>
        <w:t xml:space="preserve"> </w:t>
      </w:r>
    </w:p>
    <w:p w14:paraId="594C05E4" w14:textId="77777777" w:rsidR="00A71EEF" w:rsidRDefault="0081115D">
      <w:pPr>
        <w:pStyle w:val="6"/>
        <w:spacing w:line="267" w:lineRule="exact"/>
        <w:ind w:left="2677"/>
      </w:pPr>
      <w:r>
        <w:t>表</w:t>
      </w:r>
      <w:r>
        <w:t xml:space="preserve"> 7.2.2 </w:t>
      </w:r>
      <w:r>
        <w:t>洁净用房的分级标准</w:t>
      </w:r>
      <w:r>
        <w:t>(</w:t>
      </w:r>
      <w:r>
        <w:t>空态或静态</w:t>
      </w:r>
      <w:r>
        <w:t xml:space="preserve">) </w:t>
      </w:r>
    </w:p>
    <w:p w14:paraId="548AE16E" w14:textId="77777777" w:rsidR="00A71EEF" w:rsidRDefault="0081115D">
      <w:pPr>
        <w:pStyle w:val="a3"/>
        <w:spacing w:before="4"/>
        <w:rPr>
          <w:b/>
          <w:sz w:val="13"/>
        </w:rPr>
      </w:pPr>
      <w:r>
        <w:rPr>
          <w:noProof/>
        </w:rPr>
        <w:drawing>
          <wp:anchor distT="0" distB="0" distL="0" distR="0" simplePos="0" relativeHeight="251694592" behindDoc="0" locked="0" layoutInCell="1" allowOverlap="1" wp14:anchorId="6D4C7A0D" wp14:editId="29F34141">
            <wp:simplePos x="0" y="0"/>
            <wp:positionH relativeFrom="page">
              <wp:posOffset>1301114</wp:posOffset>
            </wp:positionH>
            <wp:positionV relativeFrom="paragraph">
              <wp:posOffset>133516</wp:posOffset>
            </wp:positionV>
            <wp:extent cx="5048059" cy="4130230"/>
            <wp:effectExtent l="0" t="0" r="0" b="0"/>
            <wp:wrapTopAndBottom/>
            <wp:docPr id="645" name="image3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image371.jpeg"/>
                    <pic:cNvPicPr/>
                  </pic:nvPicPr>
                  <pic:blipFill>
                    <a:blip r:embed="rId444" cstate="print"/>
                    <a:stretch>
                      <a:fillRect/>
                    </a:stretch>
                  </pic:blipFill>
                  <pic:spPr>
                    <a:xfrm>
                      <a:off x="0" y="0"/>
                      <a:ext cx="5048059" cy="4130230"/>
                    </a:xfrm>
                    <a:prstGeom prst="rect">
                      <a:avLst/>
                    </a:prstGeom>
                  </pic:spPr>
                </pic:pic>
              </a:graphicData>
            </a:graphic>
          </wp:anchor>
        </w:drawing>
      </w:r>
    </w:p>
    <w:p w14:paraId="6EF71E7C" w14:textId="77777777" w:rsidR="00A71EEF" w:rsidRDefault="00A71EEF">
      <w:pPr>
        <w:rPr>
          <w:sz w:val="13"/>
        </w:rPr>
        <w:sectPr w:rsidR="00A71EEF">
          <w:pgSz w:w="11910" w:h="16850"/>
          <w:pgMar w:top="1220" w:right="0" w:bottom="1420" w:left="1260" w:header="0" w:footer="1239" w:gutter="0"/>
          <w:cols w:space="720"/>
        </w:sectPr>
      </w:pPr>
    </w:p>
    <w:p w14:paraId="19597FF9" w14:textId="77777777" w:rsidR="00A71EEF" w:rsidRDefault="0081115D">
      <w:pPr>
        <w:pStyle w:val="a3"/>
        <w:spacing w:before="47"/>
        <w:ind w:left="838"/>
      </w:pPr>
      <w:r>
        <w:t>注：局部集中送风时的标准。若全室为单向流时，局部标准应为全室标准。</w:t>
      </w:r>
      <w:r>
        <w:t xml:space="preserve"> </w:t>
      </w:r>
    </w:p>
    <w:p w14:paraId="198F2FED" w14:textId="77777777" w:rsidR="00A71EEF" w:rsidRDefault="00A71EEF">
      <w:pPr>
        <w:pStyle w:val="a3"/>
        <w:rPr>
          <w:sz w:val="18"/>
        </w:rPr>
      </w:pPr>
    </w:p>
    <w:p w14:paraId="252E60FB" w14:textId="77777777" w:rsidR="00A71EEF" w:rsidRDefault="0081115D">
      <w:pPr>
        <w:pStyle w:val="a4"/>
        <w:numPr>
          <w:ilvl w:val="2"/>
          <w:numId w:val="162"/>
        </w:numPr>
        <w:tabs>
          <w:tab w:val="left" w:pos="1371"/>
        </w:tabs>
        <w:spacing w:line="446" w:lineRule="auto"/>
        <w:ind w:right="1498" w:firstLine="422"/>
        <w:rPr>
          <w:sz w:val="21"/>
        </w:rPr>
      </w:pPr>
      <w:r>
        <w:rPr>
          <w:spacing w:val="-3"/>
          <w:sz w:val="21"/>
        </w:rPr>
        <w:t>Ⅰ</w:t>
      </w:r>
      <w:r>
        <w:rPr>
          <w:spacing w:val="-3"/>
          <w:sz w:val="21"/>
        </w:rPr>
        <w:t>级洁净用房的送风末端应设高效过滤器，</w:t>
      </w:r>
      <w:r>
        <w:rPr>
          <w:spacing w:val="-3"/>
          <w:sz w:val="21"/>
        </w:rPr>
        <w:t>Ⅱ</w:t>
      </w:r>
      <w:r>
        <w:rPr>
          <w:spacing w:val="-3"/>
          <w:sz w:val="21"/>
        </w:rPr>
        <w:t>级洁净用房送风末端可设高效或亚高效过滤器，</w:t>
      </w:r>
      <w:r>
        <w:rPr>
          <w:spacing w:val="-3"/>
          <w:sz w:val="21"/>
        </w:rPr>
        <w:t>Ⅲ</w:t>
      </w:r>
      <w:r>
        <w:rPr>
          <w:spacing w:val="-3"/>
          <w:sz w:val="21"/>
        </w:rPr>
        <w:t>级洁净用房的送风末端可设亚高效过滤器，</w:t>
      </w:r>
      <w:r>
        <w:rPr>
          <w:spacing w:val="-3"/>
          <w:sz w:val="21"/>
        </w:rPr>
        <w:t>Ⅳ</w:t>
      </w:r>
      <w:r>
        <w:rPr>
          <w:spacing w:val="-3"/>
          <w:sz w:val="21"/>
        </w:rPr>
        <w:t>级洁净用房的送风末端可设高中效过滤器。</w:t>
      </w:r>
      <w:r>
        <w:rPr>
          <w:sz w:val="21"/>
        </w:rPr>
        <w:t xml:space="preserve"> </w:t>
      </w:r>
    </w:p>
    <w:p w14:paraId="7F4B3467" w14:textId="77777777" w:rsidR="00A71EEF" w:rsidRDefault="0081115D">
      <w:pPr>
        <w:pStyle w:val="a4"/>
        <w:numPr>
          <w:ilvl w:val="2"/>
          <w:numId w:val="162"/>
        </w:numPr>
        <w:tabs>
          <w:tab w:val="left" w:pos="1370"/>
        </w:tabs>
        <w:spacing w:line="268" w:lineRule="exact"/>
        <w:ind w:left="1369" w:hanging="530"/>
        <w:rPr>
          <w:sz w:val="21"/>
        </w:rPr>
      </w:pPr>
      <w:r>
        <w:rPr>
          <w:spacing w:val="-3"/>
          <w:sz w:val="21"/>
        </w:rPr>
        <w:t>洁净用房应采用阻隔式空气净化装置作为房间的送风末端。</w:t>
      </w:r>
      <w:r>
        <w:rPr>
          <w:sz w:val="21"/>
        </w:rPr>
        <w:t xml:space="preserve"> </w:t>
      </w:r>
    </w:p>
    <w:p w14:paraId="03264E9B" w14:textId="77777777" w:rsidR="00A71EEF" w:rsidRDefault="00A71EEF">
      <w:pPr>
        <w:pStyle w:val="a3"/>
        <w:rPr>
          <w:sz w:val="18"/>
        </w:rPr>
      </w:pPr>
    </w:p>
    <w:p w14:paraId="6FA23519" w14:textId="77777777" w:rsidR="00A71EEF" w:rsidRDefault="0081115D">
      <w:pPr>
        <w:pStyle w:val="a4"/>
        <w:numPr>
          <w:ilvl w:val="2"/>
          <w:numId w:val="162"/>
        </w:numPr>
        <w:tabs>
          <w:tab w:val="left" w:pos="1370"/>
        </w:tabs>
        <w:spacing w:line="446" w:lineRule="auto"/>
        <w:ind w:right="1498" w:firstLine="422"/>
        <w:rPr>
          <w:sz w:val="21"/>
        </w:rPr>
      </w:pPr>
      <w:r>
        <w:rPr>
          <w:spacing w:val="-3"/>
          <w:sz w:val="21"/>
        </w:rPr>
        <w:t>洁净用房内不应采用普通的风机盘管机组或空调器。</w:t>
      </w:r>
      <w:r>
        <w:rPr>
          <w:spacing w:val="-3"/>
          <w:sz w:val="21"/>
        </w:rPr>
        <w:t>Ⅲ</w:t>
      </w:r>
      <w:r>
        <w:rPr>
          <w:spacing w:val="-3"/>
          <w:sz w:val="21"/>
        </w:rPr>
        <w:t>级、</w:t>
      </w:r>
      <w:r>
        <w:rPr>
          <w:spacing w:val="-3"/>
          <w:sz w:val="21"/>
        </w:rPr>
        <w:t>Ⅳ</w:t>
      </w:r>
      <w:r>
        <w:rPr>
          <w:spacing w:val="-3"/>
          <w:sz w:val="21"/>
        </w:rPr>
        <w:t>级洁净用房内采用带亚高效或高中效过滤器的净化风机盘管机组或立柜式净化空调器时，新风可集中供给或设立独立的新风机组。</w:t>
      </w:r>
      <w:r>
        <w:rPr>
          <w:sz w:val="21"/>
        </w:rPr>
        <w:t xml:space="preserve"> </w:t>
      </w:r>
    </w:p>
    <w:p w14:paraId="3CDBE10B" w14:textId="77777777" w:rsidR="00A71EEF" w:rsidRDefault="0081115D">
      <w:pPr>
        <w:pStyle w:val="a4"/>
        <w:numPr>
          <w:ilvl w:val="2"/>
          <w:numId w:val="162"/>
        </w:numPr>
        <w:tabs>
          <w:tab w:val="left" w:pos="1370"/>
        </w:tabs>
        <w:spacing w:line="268" w:lineRule="exact"/>
        <w:ind w:left="1369" w:hanging="530"/>
        <w:rPr>
          <w:sz w:val="21"/>
        </w:rPr>
      </w:pPr>
      <w:r>
        <w:rPr>
          <w:spacing w:val="-3"/>
          <w:sz w:val="21"/>
        </w:rPr>
        <w:t>洁净用房室内</w:t>
      </w:r>
      <w:r>
        <w:rPr>
          <w:spacing w:val="-3"/>
          <w:sz w:val="21"/>
        </w:rPr>
        <w:t>(</w:t>
      </w:r>
      <w:r>
        <w:rPr>
          <w:spacing w:val="-3"/>
          <w:sz w:val="21"/>
        </w:rPr>
        <w:t>不含走廊</w:t>
      </w:r>
      <w:r>
        <w:rPr>
          <w:spacing w:val="-3"/>
          <w:sz w:val="21"/>
        </w:rPr>
        <w:t>)</w:t>
      </w:r>
      <w:r>
        <w:rPr>
          <w:spacing w:val="-3"/>
          <w:sz w:val="21"/>
        </w:rPr>
        <w:t>不宜采用上送上回气流组织。</w:t>
      </w:r>
      <w:r>
        <w:rPr>
          <w:sz w:val="21"/>
        </w:rPr>
        <w:t xml:space="preserve"> </w:t>
      </w:r>
    </w:p>
    <w:p w14:paraId="5A552F32" w14:textId="77777777" w:rsidR="00A71EEF" w:rsidRDefault="00A71EEF">
      <w:pPr>
        <w:pStyle w:val="a3"/>
        <w:spacing w:before="1"/>
        <w:rPr>
          <w:sz w:val="18"/>
        </w:rPr>
      </w:pPr>
    </w:p>
    <w:p w14:paraId="110086F4" w14:textId="77777777" w:rsidR="00A71EEF" w:rsidRDefault="0081115D">
      <w:pPr>
        <w:pStyle w:val="a4"/>
        <w:numPr>
          <w:ilvl w:val="2"/>
          <w:numId w:val="162"/>
        </w:numPr>
        <w:tabs>
          <w:tab w:val="left" w:pos="1370"/>
        </w:tabs>
        <w:spacing w:before="1"/>
        <w:ind w:left="1369" w:hanging="530"/>
        <w:rPr>
          <w:sz w:val="21"/>
        </w:rPr>
      </w:pPr>
      <w:r>
        <w:rPr>
          <w:spacing w:val="-3"/>
          <w:sz w:val="21"/>
        </w:rPr>
        <w:t>洁净用房的患者通道上不应设置空气吹淋室。</w:t>
      </w:r>
      <w:r>
        <w:rPr>
          <w:spacing w:val="-3"/>
          <w:sz w:val="21"/>
        </w:rPr>
        <w:t xml:space="preserve"> </w:t>
      </w:r>
    </w:p>
    <w:p w14:paraId="5C4606CC" w14:textId="77777777" w:rsidR="00A71EEF" w:rsidRDefault="00A71EEF">
      <w:pPr>
        <w:pStyle w:val="a3"/>
        <w:spacing w:before="12"/>
        <w:rPr>
          <w:sz w:val="17"/>
        </w:rPr>
      </w:pPr>
    </w:p>
    <w:p w14:paraId="057F96E1" w14:textId="77777777" w:rsidR="00A71EEF" w:rsidRDefault="0081115D">
      <w:pPr>
        <w:pStyle w:val="a4"/>
        <w:numPr>
          <w:ilvl w:val="2"/>
          <w:numId w:val="162"/>
        </w:numPr>
        <w:tabs>
          <w:tab w:val="left" w:pos="1370"/>
        </w:tabs>
        <w:spacing w:line="446" w:lineRule="auto"/>
        <w:ind w:right="1498" w:firstLine="422"/>
        <w:rPr>
          <w:sz w:val="21"/>
        </w:rPr>
      </w:pPr>
      <w:r>
        <w:rPr>
          <w:spacing w:val="-5"/>
          <w:sz w:val="21"/>
        </w:rPr>
        <w:t>净化空调系统应在新风口、回风口和空调机组正压出风面、送风口</w:t>
      </w:r>
      <w:r>
        <w:rPr>
          <w:spacing w:val="-5"/>
          <w:sz w:val="21"/>
        </w:rPr>
        <w:t xml:space="preserve"> </w:t>
      </w:r>
      <w:r>
        <w:rPr>
          <w:sz w:val="21"/>
        </w:rPr>
        <w:t>3</w:t>
      </w:r>
      <w:r>
        <w:rPr>
          <w:spacing w:val="-7"/>
          <w:sz w:val="21"/>
        </w:rPr>
        <w:t xml:space="preserve"> </w:t>
      </w:r>
      <w:r>
        <w:rPr>
          <w:spacing w:val="-7"/>
          <w:sz w:val="21"/>
        </w:rPr>
        <w:t>处设置空气过滤</w:t>
      </w:r>
      <w:r>
        <w:rPr>
          <w:spacing w:val="-5"/>
          <w:sz w:val="21"/>
        </w:rPr>
        <w:t>器。</w:t>
      </w:r>
      <w:r>
        <w:rPr>
          <w:sz w:val="21"/>
        </w:rPr>
        <w:t xml:space="preserve"> </w:t>
      </w:r>
    </w:p>
    <w:p w14:paraId="0ACBF641" w14:textId="77777777" w:rsidR="00A71EEF" w:rsidRDefault="0081115D">
      <w:pPr>
        <w:pStyle w:val="a4"/>
        <w:numPr>
          <w:ilvl w:val="1"/>
          <w:numId w:val="162"/>
        </w:numPr>
        <w:tabs>
          <w:tab w:val="left" w:pos="1160"/>
        </w:tabs>
        <w:ind w:left="1159" w:hanging="320"/>
        <w:rPr>
          <w:b/>
          <w:sz w:val="21"/>
        </w:rPr>
      </w:pPr>
      <w:r>
        <w:rPr>
          <w:spacing w:val="-3"/>
          <w:sz w:val="21"/>
        </w:rPr>
        <w:t>门诊部</w:t>
      </w:r>
      <w:r>
        <w:rPr>
          <w:b/>
          <w:w w:val="99"/>
          <w:sz w:val="21"/>
        </w:rPr>
        <w:t xml:space="preserve"> </w:t>
      </w:r>
    </w:p>
    <w:p w14:paraId="4DB2DE26" w14:textId="77777777" w:rsidR="00A71EEF" w:rsidRDefault="00A71EEF">
      <w:pPr>
        <w:pStyle w:val="a3"/>
        <w:rPr>
          <w:b/>
          <w:sz w:val="18"/>
        </w:rPr>
      </w:pPr>
    </w:p>
    <w:p w14:paraId="62013D08" w14:textId="77777777" w:rsidR="00A71EEF" w:rsidRDefault="0081115D">
      <w:pPr>
        <w:pStyle w:val="a4"/>
        <w:numPr>
          <w:ilvl w:val="2"/>
          <w:numId w:val="162"/>
        </w:numPr>
        <w:tabs>
          <w:tab w:val="left" w:pos="1371"/>
        </w:tabs>
        <w:spacing w:line="446" w:lineRule="auto"/>
        <w:ind w:right="1498" w:firstLine="422"/>
        <w:rPr>
          <w:sz w:val="21"/>
        </w:rPr>
      </w:pPr>
      <w:r>
        <w:rPr>
          <w:spacing w:val="-3"/>
          <w:sz w:val="21"/>
        </w:rPr>
        <w:t>门诊部应采用自然通风。当采用采暖系统时，候诊区、办公室等的冬季采暖设计温度</w:t>
      </w:r>
      <w:r>
        <w:rPr>
          <w:spacing w:val="-13"/>
          <w:sz w:val="21"/>
        </w:rPr>
        <w:t>不应低于</w:t>
      </w:r>
      <w:r>
        <w:rPr>
          <w:spacing w:val="-13"/>
          <w:sz w:val="21"/>
        </w:rPr>
        <w:t xml:space="preserve"> </w:t>
      </w:r>
      <w:r>
        <w:rPr>
          <w:sz w:val="21"/>
        </w:rPr>
        <w:t>18</w:t>
      </w:r>
      <w:r>
        <w:rPr>
          <w:spacing w:val="-6"/>
          <w:sz w:val="21"/>
        </w:rPr>
        <w:t>℃</w:t>
      </w:r>
      <w:r>
        <w:rPr>
          <w:spacing w:val="-6"/>
          <w:sz w:val="21"/>
        </w:rPr>
        <w:t>。当采用空调系统时，夏季空调设计温度不宜高于</w:t>
      </w:r>
      <w:r>
        <w:rPr>
          <w:spacing w:val="-6"/>
          <w:sz w:val="21"/>
        </w:rPr>
        <w:t xml:space="preserve"> </w:t>
      </w:r>
      <w:r>
        <w:rPr>
          <w:sz w:val="21"/>
        </w:rPr>
        <w:t>26</w:t>
      </w:r>
      <w:r>
        <w:rPr>
          <w:spacing w:val="-2"/>
          <w:sz w:val="21"/>
        </w:rPr>
        <w:t>℃</w:t>
      </w:r>
      <w:r>
        <w:rPr>
          <w:spacing w:val="-2"/>
          <w:sz w:val="21"/>
        </w:rPr>
        <w:t>。</w:t>
      </w:r>
      <w:r>
        <w:rPr>
          <w:sz w:val="21"/>
        </w:rPr>
        <w:t xml:space="preserve"> </w:t>
      </w:r>
    </w:p>
    <w:p w14:paraId="648F44F4" w14:textId="77777777" w:rsidR="00A71EEF" w:rsidRDefault="0081115D">
      <w:pPr>
        <w:pStyle w:val="a4"/>
        <w:numPr>
          <w:ilvl w:val="2"/>
          <w:numId w:val="162"/>
        </w:numPr>
        <w:tabs>
          <w:tab w:val="left" w:pos="1371"/>
        </w:tabs>
        <w:spacing w:line="446" w:lineRule="auto"/>
        <w:ind w:right="1498" w:firstLine="422"/>
        <w:rPr>
          <w:sz w:val="21"/>
        </w:rPr>
      </w:pPr>
      <w:r>
        <w:rPr>
          <w:spacing w:val="-3"/>
          <w:sz w:val="21"/>
        </w:rPr>
        <w:t>当医院的门厅采用空调时应减少室外空气流入，并应维持室内定向的空气流动和热环境。中庭式的门厅，宜采用分层空调，冬季可设置其他补充采暖装置。</w:t>
      </w:r>
      <w:r>
        <w:rPr>
          <w:sz w:val="21"/>
        </w:rPr>
        <w:t xml:space="preserve"> </w:t>
      </w:r>
    </w:p>
    <w:p w14:paraId="675537CE" w14:textId="77777777" w:rsidR="00A71EEF" w:rsidRDefault="0081115D">
      <w:pPr>
        <w:pStyle w:val="a4"/>
        <w:numPr>
          <w:ilvl w:val="2"/>
          <w:numId w:val="162"/>
        </w:numPr>
        <w:tabs>
          <w:tab w:val="left" w:pos="1371"/>
        </w:tabs>
        <w:spacing w:line="446" w:lineRule="auto"/>
        <w:ind w:right="1498" w:firstLine="422"/>
        <w:rPr>
          <w:sz w:val="21"/>
        </w:rPr>
      </w:pPr>
      <w:r>
        <w:rPr>
          <w:spacing w:val="-3"/>
          <w:sz w:val="21"/>
        </w:rPr>
        <w:t>候诊区的空调系统，应结合平面布局使空气从清洁区流向非清洁区。其中，小儿科候诊室和诊室对其他区域应为正压。隔离诊室及其候诊前室应</w:t>
      </w:r>
      <w:r>
        <w:rPr>
          <w:spacing w:val="-3"/>
          <w:sz w:val="21"/>
        </w:rPr>
        <w:t>采用单独的空调系统，其回风应有中效</w:t>
      </w:r>
      <w:r>
        <w:rPr>
          <w:spacing w:val="-3"/>
          <w:sz w:val="21"/>
        </w:rPr>
        <w:t>(</w:t>
      </w:r>
      <w:r>
        <w:rPr>
          <w:spacing w:val="-3"/>
          <w:sz w:val="21"/>
        </w:rPr>
        <w:t>含</w:t>
      </w:r>
      <w:r>
        <w:rPr>
          <w:spacing w:val="-3"/>
          <w:sz w:val="21"/>
        </w:rPr>
        <w:t>)</w:t>
      </w:r>
      <w:r>
        <w:rPr>
          <w:spacing w:val="-3"/>
          <w:sz w:val="21"/>
        </w:rPr>
        <w:t>以上的过滤器。当与其他诊室为同一空调系统时，应单独设回</w:t>
      </w:r>
      <w:r>
        <w:rPr>
          <w:spacing w:val="-3"/>
          <w:sz w:val="21"/>
        </w:rPr>
        <w:t>(</w:t>
      </w:r>
      <w:r>
        <w:rPr>
          <w:spacing w:val="-3"/>
          <w:sz w:val="21"/>
        </w:rPr>
        <w:t>排</w:t>
      </w:r>
      <w:r>
        <w:rPr>
          <w:spacing w:val="-3"/>
          <w:sz w:val="21"/>
        </w:rPr>
        <w:t>)</w:t>
      </w:r>
      <w:r>
        <w:rPr>
          <w:spacing w:val="-3"/>
          <w:sz w:val="21"/>
        </w:rPr>
        <w:t>风，并应维持室内负压。</w:t>
      </w:r>
      <w:r>
        <w:rPr>
          <w:sz w:val="21"/>
        </w:rPr>
        <w:t xml:space="preserve"> </w:t>
      </w:r>
    </w:p>
    <w:p w14:paraId="4B4ABAA5" w14:textId="77777777" w:rsidR="00A71EEF" w:rsidRDefault="0081115D">
      <w:pPr>
        <w:pStyle w:val="a4"/>
        <w:numPr>
          <w:ilvl w:val="2"/>
          <w:numId w:val="162"/>
        </w:numPr>
        <w:tabs>
          <w:tab w:val="left" w:pos="1370"/>
        </w:tabs>
        <w:ind w:left="1369" w:hanging="530"/>
        <w:rPr>
          <w:sz w:val="21"/>
        </w:rPr>
      </w:pPr>
      <w:r>
        <w:rPr>
          <w:spacing w:val="-3"/>
          <w:sz w:val="21"/>
        </w:rPr>
        <w:t>化验室、处置室、换药室等污染较严重的场所，应设局部排风。</w:t>
      </w:r>
      <w:r>
        <w:rPr>
          <w:sz w:val="21"/>
        </w:rPr>
        <w:t xml:space="preserve"> </w:t>
      </w:r>
    </w:p>
    <w:p w14:paraId="0CE7197F" w14:textId="77777777" w:rsidR="00A71EEF" w:rsidRDefault="00A71EEF">
      <w:pPr>
        <w:pStyle w:val="a3"/>
        <w:spacing w:before="10"/>
        <w:rPr>
          <w:sz w:val="17"/>
        </w:rPr>
      </w:pPr>
    </w:p>
    <w:p w14:paraId="18C9D08A" w14:textId="77777777" w:rsidR="00A71EEF" w:rsidRDefault="0081115D">
      <w:pPr>
        <w:pStyle w:val="a4"/>
        <w:numPr>
          <w:ilvl w:val="2"/>
          <w:numId w:val="162"/>
        </w:numPr>
        <w:tabs>
          <w:tab w:val="left" w:pos="1371"/>
        </w:tabs>
        <w:ind w:left="1370" w:hanging="531"/>
        <w:rPr>
          <w:sz w:val="21"/>
        </w:rPr>
      </w:pPr>
      <w:r>
        <w:rPr>
          <w:spacing w:val="-7"/>
          <w:sz w:val="21"/>
        </w:rPr>
        <w:t>诊室的空调温度宜高于候诊区</w:t>
      </w:r>
      <w:r>
        <w:rPr>
          <w:spacing w:val="-7"/>
          <w:sz w:val="21"/>
        </w:rPr>
        <w:t xml:space="preserve"> </w:t>
      </w:r>
      <w:r>
        <w:rPr>
          <w:sz w:val="21"/>
        </w:rPr>
        <w:t>1</w:t>
      </w:r>
      <w:r>
        <w:rPr>
          <w:sz w:val="21"/>
        </w:rPr>
        <w:t>～</w:t>
      </w:r>
      <w:r>
        <w:rPr>
          <w:sz w:val="21"/>
        </w:rPr>
        <w:t>2℃</w:t>
      </w:r>
      <w:r>
        <w:rPr>
          <w:sz w:val="21"/>
        </w:rPr>
        <w:t>。</w:t>
      </w:r>
      <w:r>
        <w:rPr>
          <w:sz w:val="21"/>
        </w:rPr>
        <w:t xml:space="preserve"> </w:t>
      </w:r>
    </w:p>
    <w:p w14:paraId="115208D7" w14:textId="77777777" w:rsidR="00A71EEF" w:rsidRDefault="00A71EEF">
      <w:pPr>
        <w:pStyle w:val="a3"/>
        <w:spacing w:before="12"/>
        <w:rPr>
          <w:sz w:val="17"/>
        </w:rPr>
      </w:pPr>
    </w:p>
    <w:p w14:paraId="1329D741" w14:textId="77777777" w:rsidR="00A71EEF" w:rsidRDefault="0081115D">
      <w:pPr>
        <w:pStyle w:val="a4"/>
        <w:numPr>
          <w:ilvl w:val="1"/>
          <w:numId w:val="162"/>
        </w:numPr>
        <w:tabs>
          <w:tab w:val="left" w:pos="1160"/>
        </w:tabs>
        <w:ind w:left="1159" w:hanging="320"/>
        <w:rPr>
          <w:b/>
          <w:sz w:val="21"/>
        </w:rPr>
      </w:pPr>
      <w:r>
        <w:rPr>
          <w:spacing w:val="-3"/>
          <w:sz w:val="21"/>
        </w:rPr>
        <w:t>急诊部</w:t>
      </w:r>
      <w:r>
        <w:rPr>
          <w:b/>
          <w:w w:val="99"/>
          <w:sz w:val="21"/>
        </w:rPr>
        <w:t xml:space="preserve"> </w:t>
      </w:r>
    </w:p>
    <w:p w14:paraId="4733A677" w14:textId="77777777" w:rsidR="00A71EEF" w:rsidRDefault="00A71EEF">
      <w:pPr>
        <w:pStyle w:val="a3"/>
        <w:spacing w:before="2"/>
        <w:rPr>
          <w:b/>
          <w:sz w:val="18"/>
        </w:rPr>
      </w:pPr>
    </w:p>
    <w:p w14:paraId="2385F282" w14:textId="77777777" w:rsidR="00A71EEF" w:rsidRDefault="0081115D">
      <w:pPr>
        <w:pStyle w:val="a4"/>
        <w:numPr>
          <w:ilvl w:val="2"/>
          <w:numId w:val="162"/>
        </w:numPr>
        <w:tabs>
          <w:tab w:val="left" w:pos="1371"/>
        </w:tabs>
        <w:spacing w:line="446" w:lineRule="auto"/>
        <w:ind w:right="1498" w:firstLine="422"/>
        <w:rPr>
          <w:sz w:val="21"/>
        </w:rPr>
      </w:pPr>
      <w:r>
        <w:rPr>
          <w:spacing w:val="-5"/>
          <w:sz w:val="21"/>
        </w:rPr>
        <w:t>急诊部当采用空调系统时、应采用独立系统，可</w:t>
      </w:r>
      <w:r>
        <w:rPr>
          <w:spacing w:val="-5"/>
          <w:sz w:val="21"/>
        </w:rPr>
        <w:t xml:space="preserve"> </w:t>
      </w:r>
      <w:r>
        <w:rPr>
          <w:sz w:val="21"/>
        </w:rPr>
        <w:t>24h</w:t>
      </w:r>
      <w:r>
        <w:rPr>
          <w:spacing w:val="-7"/>
          <w:sz w:val="21"/>
        </w:rPr>
        <w:t xml:space="preserve"> </w:t>
      </w:r>
      <w:r>
        <w:rPr>
          <w:spacing w:val="-7"/>
          <w:sz w:val="21"/>
        </w:rPr>
        <w:t>连续运行，冬季采暖设计温度不</w:t>
      </w:r>
      <w:r>
        <w:rPr>
          <w:spacing w:val="-17"/>
          <w:sz w:val="21"/>
        </w:rPr>
        <w:t>应低于</w:t>
      </w:r>
      <w:r>
        <w:rPr>
          <w:spacing w:val="-17"/>
          <w:sz w:val="21"/>
        </w:rPr>
        <w:t xml:space="preserve"> </w:t>
      </w:r>
      <w:r>
        <w:rPr>
          <w:sz w:val="21"/>
        </w:rPr>
        <w:t>18</w:t>
      </w:r>
      <w:r>
        <w:rPr>
          <w:spacing w:val="-7"/>
          <w:sz w:val="21"/>
        </w:rPr>
        <w:t>℃</w:t>
      </w:r>
      <w:r>
        <w:rPr>
          <w:spacing w:val="-7"/>
          <w:sz w:val="21"/>
        </w:rPr>
        <w:t>，夏季空调温度不宜高于</w:t>
      </w:r>
      <w:r>
        <w:rPr>
          <w:spacing w:val="-7"/>
          <w:sz w:val="21"/>
        </w:rPr>
        <w:t xml:space="preserve"> </w:t>
      </w:r>
      <w:r>
        <w:rPr>
          <w:sz w:val="21"/>
        </w:rPr>
        <w:t>26℃</w:t>
      </w:r>
      <w:r>
        <w:rPr>
          <w:sz w:val="21"/>
        </w:rPr>
        <w:t>。</w:t>
      </w:r>
      <w:r>
        <w:rPr>
          <w:sz w:val="21"/>
        </w:rPr>
        <w:t xml:space="preserve"> </w:t>
      </w:r>
      <w:r>
        <w:rPr>
          <w:spacing w:val="-2"/>
          <w:sz w:val="21"/>
        </w:rPr>
        <w:t xml:space="preserve"> </w:t>
      </w:r>
      <w:r>
        <w:rPr>
          <w:sz w:val="21"/>
        </w:rPr>
        <w:t xml:space="preserve"> </w:t>
      </w:r>
    </w:p>
    <w:p w14:paraId="64B51F72" w14:textId="77777777" w:rsidR="00A71EEF" w:rsidRDefault="00A71EEF">
      <w:pPr>
        <w:spacing w:line="446" w:lineRule="auto"/>
        <w:rPr>
          <w:sz w:val="21"/>
        </w:rPr>
        <w:sectPr w:rsidR="00A71EEF">
          <w:pgSz w:w="11910" w:h="16850"/>
          <w:pgMar w:top="1220" w:right="0" w:bottom="1420" w:left="1260" w:header="0" w:footer="1239" w:gutter="0"/>
          <w:cols w:space="720"/>
        </w:sectPr>
      </w:pPr>
    </w:p>
    <w:p w14:paraId="1384376D" w14:textId="77777777" w:rsidR="00A71EEF" w:rsidRDefault="0081115D">
      <w:pPr>
        <w:pStyle w:val="a4"/>
        <w:numPr>
          <w:ilvl w:val="2"/>
          <w:numId w:val="162"/>
        </w:numPr>
        <w:tabs>
          <w:tab w:val="left" w:pos="1371"/>
        </w:tabs>
        <w:spacing w:before="47" w:line="446" w:lineRule="auto"/>
        <w:ind w:right="1498" w:firstLine="422"/>
        <w:rPr>
          <w:sz w:val="21"/>
        </w:rPr>
      </w:pPr>
      <w:r>
        <w:rPr>
          <w:spacing w:val="-3"/>
          <w:sz w:val="21"/>
        </w:rPr>
        <w:t>急诊隔离区的空调系统宜独立设置，其回风应有中效</w:t>
      </w:r>
      <w:r>
        <w:rPr>
          <w:spacing w:val="-3"/>
          <w:sz w:val="21"/>
        </w:rPr>
        <w:t>(</w:t>
      </w:r>
      <w:r>
        <w:rPr>
          <w:spacing w:val="-3"/>
          <w:sz w:val="21"/>
        </w:rPr>
        <w:t>含</w:t>
      </w:r>
      <w:r>
        <w:rPr>
          <w:spacing w:val="-3"/>
          <w:sz w:val="21"/>
        </w:rPr>
        <w:t>)</w:t>
      </w:r>
      <w:r>
        <w:rPr>
          <w:spacing w:val="-3"/>
          <w:sz w:val="21"/>
        </w:rPr>
        <w:t>以上的过滤器，并应有排风系统。当与其他诊室为同一空调系统时，应单独排用，不应系统回风，与相邻并相通的区域应</w:t>
      </w:r>
      <w:r>
        <w:rPr>
          <w:spacing w:val="-12"/>
          <w:sz w:val="21"/>
        </w:rPr>
        <w:t>保持不小于</w:t>
      </w:r>
      <w:r>
        <w:rPr>
          <w:spacing w:val="-12"/>
          <w:sz w:val="21"/>
        </w:rPr>
        <w:t xml:space="preserve"> </w:t>
      </w:r>
      <w:r>
        <w:rPr>
          <w:sz w:val="21"/>
        </w:rPr>
        <w:t>5Pa</w:t>
      </w:r>
      <w:r>
        <w:rPr>
          <w:spacing w:val="-12"/>
          <w:sz w:val="21"/>
        </w:rPr>
        <w:t xml:space="preserve"> </w:t>
      </w:r>
      <w:r>
        <w:rPr>
          <w:spacing w:val="-12"/>
          <w:sz w:val="21"/>
        </w:rPr>
        <w:t>的负压。</w:t>
      </w:r>
      <w:r>
        <w:rPr>
          <w:spacing w:val="-12"/>
          <w:sz w:val="21"/>
        </w:rPr>
        <w:t xml:space="preserve"> </w:t>
      </w:r>
    </w:p>
    <w:p w14:paraId="524F105C" w14:textId="77777777" w:rsidR="00A71EEF" w:rsidRDefault="0081115D">
      <w:pPr>
        <w:pStyle w:val="a4"/>
        <w:numPr>
          <w:ilvl w:val="1"/>
          <w:numId w:val="162"/>
        </w:numPr>
        <w:tabs>
          <w:tab w:val="left" w:pos="1159"/>
        </w:tabs>
        <w:spacing w:line="268" w:lineRule="exact"/>
        <w:ind w:hanging="319"/>
        <w:rPr>
          <w:b/>
          <w:sz w:val="21"/>
        </w:rPr>
      </w:pPr>
      <w:r>
        <w:rPr>
          <w:spacing w:val="-3"/>
          <w:sz w:val="21"/>
        </w:rPr>
        <w:t>住院部</w:t>
      </w:r>
      <w:r>
        <w:rPr>
          <w:b/>
          <w:w w:val="99"/>
          <w:sz w:val="21"/>
        </w:rPr>
        <w:t xml:space="preserve"> </w:t>
      </w:r>
    </w:p>
    <w:p w14:paraId="3E33895D" w14:textId="77777777" w:rsidR="00A71EEF" w:rsidRDefault="00A71EEF">
      <w:pPr>
        <w:pStyle w:val="a3"/>
        <w:rPr>
          <w:b/>
          <w:sz w:val="18"/>
        </w:rPr>
      </w:pPr>
    </w:p>
    <w:p w14:paraId="5A299CDC" w14:textId="77777777" w:rsidR="00A71EEF" w:rsidRDefault="0081115D">
      <w:pPr>
        <w:pStyle w:val="a4"/>
        <w:numPr>
          <w:ilvl w:val="2"/>
          <w:numId w:val="162"/>
        </w:numPr>
        <w:tabs>
          <w:tab w:val="left" w:pos="1371"/>
        </w:tabs>
        <w:ind w:left="1370" w:hanging="531"/>
        <w:rPr>
          <w:b/>
          <w:sz w:val="21"/>
        </w:rPr>
      </w:pPr>
      <w:r>
        <w:rPr>
          <w:spacing w:val="-3"/>
          <w:sz w:val="21"/>
        </w:rPr>
        <w:t>普通病区应符合下列要求：</w:t>
      </w:r>
      <w:r>
        <w:rPr>
          <w:b/>
          <w:w w:val="99"/>
          <w:sz w:val="21"/>
        </w:rPr>
        <w:t xml:space="preserve"> </w:t>
      </w:r>
    </w:p>
    <w:p w14:paraId="0973893B" w14:textId="77777777" w:rsidR="00A71EEF" w:rsidRDefault="00A71EEF">
      <w:pPr>
        <w:pStyle w:val="a3"/>
        <w:spacing w:before="12"/>
        <w:rPr>
          <w:b/>
          <w:sz w:val="17"/>
        </w:rPr>
      </w:pPr>
    </w:p>
    <w:p w14:paraId="30643FBA" w14:textId="77777777" w:rsidR="00A71EEF" w:rsidRDefault="0081115D">
      <w:pPr>
        <w:pStyle w:val="a3"/>
        <w:ind w:left="838"/>
      </w:pPr>
      <w:r>
        <w:t>普通病区的病房应能开窗</w:t>
      </w:r>
      <w:r>
        <w:t>(</w:t>
      </w:r>
      <w:r>
        <w:t>有纱窗</w:t>
      </w:r>
      <w:r>
        <w:t>)</w:t>
      </w:r>
      <w:r>
        <w:t>通风。</w:t>
      </w:r>
      <w:r>
        <w:t xml:space="preserve"> </w:t>
      </w:r>
    </w:p>
    <w:p w14:paraId="10ED8B41" w14:textId="77777777" w:rsidR="00A71EEF" w:rsidRDefault="00A71EEF">
      <w:pPr>
        <w:pStyle w:val="a3"/>
        <w:spacing w:before="2"/>
        <w:rPr>
          <w:sz w:val="18"/>
        </w:rPr>
      </w:pPr>
    </w:p>
    <w:p w14:paraId="0403F770" w14:textId="77777777" w:rsidR="00A71EEF" w:rsidRDefault="0081115D">
      <w:pPr>
        <w:pStyle w:val="a3"/>
        <w:spacing w:line="446" w:lineRule="auto"/>
        <w:ind w:left="418" w:right="1717" w:firstLine="419"/>
      </w:pPr>
      <w:r>
        <w:rPr>
          <w:spacing w:val="-6"/>
        </w:rPr>
        <w:t>设置普通空调时，冬季温度宜在</w:t>
      </w:r>
      <w:r>
        <w:rPr>
          <w:spacing w:val="-6"/>
        </w:rPr>
        <w:t xml:space="preserve"> </w:t>
      </w:r>
      <w:r>
        <w:t>20</w:t>
      </w:r>
      <w:r>
        <w:rPr>
          <w:spacing w:val="-6"/>
        </w:rPr>
        <w:t>℃</w:t>
      </w:r>
      <w:r>
        <w:rPr>
          <w:spacing w:val="-6"/>
        </w:rPr>
        <w:t>以上，夏季温度不宜高于</w:t>
      </w:r>
      <w:r>
        <w:rPr>
          <w:spacing w:val="-6"/>
        </w:rPr>
        <w:t xml:space="preserve"> </w:t>
      </w:r>
      <w:r>
        <w:t>27</w:t>
      </w:r>
      <w:r>
        <w:rPr>
          <w:spacing w:val="-3"/>
        </w:rPr>
        <w:t>℃</w:t>
      </w:r>
      <w:r>
        <w:rPr>
          <w:spacing w:val="-3"/>
        </w:rPr>
        <w:t>；应有新风供应和排风，系统规模不宜过大。</w:t>
      </w:r>
      <w:r>
        <w:t xml:space="preserve"> </w:t>
      </w:r>
    </w:p>
    <w:p w14:paraId="2738275B" w14:textId="77777777" w:rsidR="00A71EEF" w:rsidRDefault="0081115D">
      <w:pPr>
        <w:pStyle w:val="a3"/>
        <w:spacing w:line="446" w:lineRule="auto"/>
        <w:ind w:left="418" w:right="1609" w:firstLine="419"/>
      </w:pPr>
      <w:r>
        <w:t>病区的换药室、处置室、配餐室、污物室、污洗室、公用卫生间等，应设排风，排风口的布置不应使局部空气滞留。排风换气次数宜为</w:t>
      </w:r>
      <w:r>
        <w:t xml:space="preserve"> 10</w:t>
      </w:r>
      <w:r>
        <w:t>～</w:t>
      </w:r>
      <w:r>
        <w:t xml:space="preserve">15 </w:t>
      </w:r>
      <w:r>
        <w:t>次／</w:t>
      </w:r>
      <w:r>
        <w:t>h</w:t>
      </w:r>
      <w:r>
        <w:t>。</w:t>
      </w:r>
      <w:r>
        <w:t xml:space="preserve"> </w:t>
      </w:r>
    </w:p>
    <w:p w14:paraId="304A9338" w14:textId="77777777" w:rsidR="00A71EEF" w:rsidRDefault="0081115D">
      <w:pPr>
        <w:pStyle w:val="a4"/>
        <w:numPr>
          <w:ilvl w:val="2"/>
          <w:numId w:val="162"/>
        </w:numPr>
        <w:tabs>
          <w:tab w:val="left" w:pos="1371"/>
        </w:tabs>
        <w:ind w:left="1370" w:hanging="531"/>
        <w:rPr>
          <w:b/>
          <w:sz w:val="21"/>
        </w:rPr>
      </w:pPr>
      <w:r>
        <w:rPr>
          <w:spacing w:val="-3"/>
          <w:sz w:val="21"/>
        </w:rPr>
        <w:t>产科应符合下列要求：</w:t>
      </w:r>
      <w:r>
        <w:rPr>
          <w:b/>
          <w:w w:val="99"/>
          <w:sz w:val="21"/>
        </w:rPr>
        <w:t xml:space="preserve"> </w:t>
      </w:r>
    </w:p>
    <w:p w14:paraId="37FE97EC" w14:textId="77777777" w:rsidR="00A71EEF" w:rsidRDefault="00A71EEF">
      <w:pPr>
        <w:pStyle w:val="a3"/>
        <w:spacing w:before="10"/>
        <w:rPr>
          <w:b/>
          <w:sz w:val="17"/>
        </w:rPr>
      </w:pPr>
    </w:p>
    <w:p w14:paraId="3D1704A3" w14:textId="77777777" w:rsidR="00A71EEF" w:rsidRDefault="0081115D">
      <w:pPr>
        <w:pStyle w:val="a3"/>
        <w:spacing w:line="446" w:lineRule="auto"/>
        <w:ind w:left="838" w:right="2134"/>
      </w:pPr>
      <w:r>
        <w:rPr>
          <w:spacing w:val="-5"/>
        </w:rPr>
        <w:t>分娩室及准备室、淋浴室、恢复室等相关房间设空调系统时，应能</w:t>
      </w:r>
      <w:r>
        <w:rPr>
          <w:spacing w:val="-5"/>
        </w:rPr>
        <w:t xml:space="preserve"> </w:t>
      </w:r>
      <w:r>
        <w:t>24h</w:t>
      </w:r>
      <w:r>
        <w:rPr>
          <w:spacing w:val="-10"/>
        </w:rPr>
        <w:t xml:space="preserve"> </w:t>
      </w:r>
      <w:r>
        <w:rPr>
          <w:spacing w:val="-10"/>
        </w:rPr>
        <w:t>连续运行；</w:t>
      </w:r>
      <w:r>
        <w:rPr>
          <w:spacing w:val="-10"/>
        </w:rPr>
        <w:t xml:space="preserve"> </w:t>
      </w:r>
      <w:r>
        <w:rPr>
          <w:spacing w:val="-5"/>
        </w:rPr>
        <w:t>分娩室宜采用新风空调系统；</w:t>
      </w:r>
      <w:r>
        <w:t xml:space="preserve"> </w:t>
      </w:r>
    </w:p>
    <w:p w14:paraId="3719BB21" w14:textId="77777777" w:rsidR="00A71EEF" w:rsidRDefault="0081115D">
      <w:pPr>
        <w:pStyle w:val="a3"/>
        <w:spacing w:before="1" w:line="446" w:lineRule="auto"/>
        <w:ind w:left="418" w:right="1498" w:firstLine="419"/>
      </w:pPr>
      <w:r>
        <w:t>新生儿室室内温度全年宜保持</w:t>
      </w:r>
      <w:r>
        <w:t xml:space="preserve"> 22</w:t>
      </w:r>
      <w:r>
        <w:t>～</w:t>
      </w:r>
      <w:r>
        <w:t>26℃</w:t>
      </w:r>
      <w:r>
        <w:t>，早产儿室、新生儿重症监护</w:t>
      </w:r>
      <w:r>
        <w:t>(NICU)</w:t>
      </w:r>
      <w:r>
        <w:t>和免疫缺陷新生儿室，室内温度全年宜保持</w:t>
      </w:r>
      <w:r>
        <w:t xml:space="preserve"> 24</w:t>
      </w:r>
      <w:r>
        <w:t>～</w:t>
      </w:r>
      <w:r>
        <w:t>26℃</w:t>
      </w:r>
      <w:r>
        <w:t>，噪声不宜大于</w:t>
      </w:r>
      <w:r>
        <w:t xml:space="preserve"> 45dB(A)</w:t>
      </w:r>
      <w:r>
        <w:t>；</w:t>
      </w:r>
      <w:r>
        <w:t xml:space="preserve"> </w:t>
      </w:r>
    </w:p>
    <w:p w14:paraId="712CB9A0" w14:textId="77777777" w:rsidR="00A71EEF" w:rsidRDefault="0081115D">
      <w:pPr>
        <w:pStyle w:val="a3"/>
        <w:spacing w:line="446" w:lineRule="auto"/>
        <w:ind w:left="840" w:right="2765" w:hanging="3"/>
        <w:rPr>
          <w:b/>
        </w:rPr>
      </w:pPr>
      <w:r>
        <w:t>早产儿室和新生儿重症监护</w:t>
      </w:r>
      <w:r>
        <w:t>(NICU)</w:t>
      </w:r>
      <w:r>
        <w:t>、免疫缺陷新生儿室宜为</w:t>
      </w:r>
      <w:r>
        <w:t>Ⅲ</w:t>
      </w:r>
      <w:r>
        <w:t>级洁净用房。</w:t>
      </w:r>
      <w:r>
        <w:rPr>
          <w:b/>
        </w:rPr>
        <w:t xml:space="preserve">7.5.3 </w:t>
      </w:r>
      <w:r>
        <w:t>监护病房应符合下列要求：</w:t>
      </w:r>
      <w:r>
        <w:rPr>
          <w:b/>
          <w:w w:val="99"/>
        </w:rPr>
        <w:t xml:space="preserve"> </w:t>
      </w:r>
    </w:p>
    <w:p w14:paraId="5BDA2AC1" w14:textId="77777777" w:rsidR="00A71EEF" w:rsidRDefault="0081115D">
      <w:pPr>
        <w:pStyle w:val="a3"/>
        <w:spacing w:line="267" w:lineRule="exact"/>
        <w:ind w:left="838"/>
      </w:pPr>
      <w:r>
        <w:t>温度在冬季不宜低于</w:t>
      </w:r>
      <w:r>
        <w:t xml:space="preserve"> 24℃</w:t>
      </w:r>
      <w:r>
        <w:t>，夏季不宜高于</w:t>
      </w:r>
      <w:r>
        <w:t xml:space="preserve"> 27℃</w:t>
      </w:r>
      <w:r>
        <w:t>。</w:t>
      </w:r>
      <w:r>
        <w:t xml:space="preserve"> </w:t>
      </w:r>
    </w:p>
    <w:p w14:paraId="5BA7233A" w14:textId="77777777" w:rsidR="00A71EEF" w:rsidRDefault="00A71EEF">
      <w:pPr>
        <w:pStyle w:val="a3"/>
        <w:spacing w:before="1"/>
        <w:rPr>
          <w:sz w:val="18"/>
        </w:rPr>
      </w:pPr>
    </w:p>
    <w:p w14:paraId="35FF3E3D" w14:textId="77777777" w:rsidR="00A71EEF" w:rsidRDefault="0081115D">
      <w:pPr>
        <w:pStyle w:val="a3"/>
        <w:spacing w:line="446" w:lineRule="auto"/>
        <w:ind w:left="418" w:right="1611" w:firstLine="419"/>
        <w:jc w:val="both"/>
      </w:pPr>
      <w:r>
        <w:rPr>
          <w:spacing w:val="-5"/>
        </w:rPr>
        <w:t>采用普通空调系统时，宜采用连续运行，并应符合本规范第</w:t>
      </w:r>
      <w:r>
        <w:rPr>
          <w:spacing w:val="-5"/>
        </w:rPr>
        <w:t xml:space="preserve"> </w:t>
      </w:r>
      <w:r>
        <w:t>7.1.10</w:t>
      </w:r>
      <w:r>
        <w:rPr>
          <w:spacing w:val="-19"/>
        </w:rPr>
        <w:t xml:space="preserve"> </w:t>
      </w:r>
      <w:r>
        <w:rPr>
          <w:spacing w:val="-19"/>
        </w:rPr>
        <w:t>条和第</w:t>
      </w:r>
      <w:r>
        <w:rPr>
          <w:spacing w:val="-19"/>
        </w:rPr>
        <w:t xml:space="preserve"> </w:t>
      </w:r>
      <w:r>
        <w:t>7.1.11</w:t>
      </w:r>
      <w:r>
        <w:rPr>
          <w:spacing w:val="-13"/>
        </w:rPr>
        <w:t xml:space="preserve"> </w:t>
      </w:r>
      <w:r>
        <w:rPr>
          <w:spacing w:val="-13"/>
        </w:rPr>
        <w:t>条的规</w:t>
      </w:r>
      <w:r>
        <w:rPr>
          <w:spacing w:val="-10"/>
        </w:rPr>
        <w:t>定，相对湿度宜为</w:t>
      </w:r>
      <w:r>
        <w:rPr>
          <w:spacing w:val="-10"/>
        </w:rPr>
        <w:t xml:space="preserve"> </w:t>
      </w:r>
      <w:r>
        <w:t>40</w:t>
      </w:r>
      <w:r>
        <w:t>％～</w:t>
      </w:r>
      <w:r>
        <w:t>65</w:t>
      </w:r>
      <w:r>
        <w:t>％</w:t>
      </w:r>
      <w:r>
        <w:rPr>
          <w:spacing w:val="-8"/>
        </w:rPr>
        <w:t>。噪声不应大于</w:t>
      </w:r>
      <w:r>
        <w:rPr>
          <w:spacing w:val="-8"/>
        </w:rPr>
        <w:t xml:space="preserve"> </w:t>
      </w:r>
      <w:r>
        <w:t>45dB(A)</w:t>
      </w:r>
      <w:r>
        <w:rPr>
          <w:spacing w:val="-3"/>
        </w:rPr>
        <w:t>，宜采用上送下回的气流组织，送风气流不宜直接吹向头部。每张病床均不应处于其他病床的下风侧。排风</w:t>
      </w:r>
      <w:r>
        <w:rPr>
          <w:spacing w:val="-3"/>
        </w:rPr>
        <w:t>(</w:t>
      </w:r>
      <w:r>
        <w:rPr>
          <w:spacing w:val="-3"/>
        </w:rPr>
        <w:t>或回风</w:t>
      </w:r>
      <w:r>
        <w:rPr>
          <w:spacing w:val="-3"/>
        </w:rPr>
        <w:t>)</w:t>
      </w:r>
      <w:r>
        <w:rPr>
          <w:spacing w:val="-3"/>
        </w:rPr>
        <w:t>口应设在床头附近。</w:t>
      </w:r>
      <w:r>
        <w:t xml:space="preserve"> </w:t>
      </w:r>
    </w:p>
    <w:p w14:paraId="1C037FA8" w14:textId="77777777" w:rsidR="00A71EEF" w:rsidRDefault="0081115D">
      <w:pPr>
        <w:pStyle w:val="a3"/>
        <w:spacing w:line="446" w:lineRule="auto"/>
        <w:ind w:left="418" w:right="1609" w:firstLine="419"/>
        <w:jc w:val="both"/>
      </w:pPr>
      <w:r>
        <w:t>采用洁净用房的宜用</w:t>
      </w:r>
      <w:r>
        <w:t>Ⅳ</w:t>
      </w:r>
      <w:r>
        <w:t>级标准设计，宜设置独立的净化空调系统，病房对走廊或走廊对外界宜维持不小于</w:t>
      </w:r>
      <w:r>
        <w:t xml:space="preserve"> 5Pa </w:t>
      </w:r>
      <w:r>
        <w:t>的正压。</w:t>
      </w:r>
      <w:r>
        <w:t xml:space="preserve"> </w:t>
      </w:r>
    </w:p>
    <w:p w14:paraId="4D450D2C" w14:textId="77777777" w:rsidR="00A71EEF" w:rsidRDefault="0081115D">
      <w:pPr>
        <w:pStyle w:val="a4"/>
        <w:numPr>
          <w:ilvl w:val="2"/>
          <w:numId w:val="161"/>
        </w:numPr>
        <w:tabs>
          <w:tab w:val="left" w:pos="1370"/>
        </w:tabs>
        <w:ind w:hanging="530"/>
        <w:rPr>
          <w:b/>
          <w:sz w:val="21"/>
        </w:rPr>
      </w:pPr>
      <w:r>
        <w:rPr>
          <w:spacing w:val="-3"/>
          <w:sz w:val="21"/>
        </w:rPr>
        <w:t>血液病房应符合下列要求：</w:t>
      </w:r>
      <w:r>
        <w:rPr>
          <w:b/>
          <w:w w:val="99"/>
          <w:sz w:val="21"/>
        </w:rPr>
        <w:t xml:space="preserve"> </w:t>
      </w:r>
    </w:p>
    <w:p w14:paraId="6D173337" w14:textId="77777777" w:rsidR="00A71EEF" w:rsidRDefault="00A71EEF">
      <w:pPr>
        <w:pStyle w:val="a3"/>
        <w:spacing w:before="11"/>
        <w:rPr>
          <w:b/>
          <w:sz w:val="17"/>
        </w:rPr>
      </w:pPr>
    </w:p>
    <w:p w14:paraId="2E14A3D7" w14:textId="77777777" w:rsidR="00A71EEF" w:rsidRDefault="0081115D">
      <w:pPr>
        <w:pStyle w:val="a3"/>
        <w:spacing w:line="446" w:lineRule="auto"/>
        <w:ind w:left="418" w:right="1609" w:firstLine="419"/>
      </w:pPr>
      <w:r>
        <w:t>治疗期血液病房应选用</w:t>
      </w:r>
      <w:r>
        <w:t>Ⅰ</w:t>
      </w:r>
      <w:r>
        <w:t>级洁净用房，恢复期血液病房宜选用不低于</w:t>
      </w:r>
      <w:r>
        <w:t>Ⅱ</w:t>
      </w:r>
      <w:r>
        <w:t>级洁净用房。应采用上送下回的气流组织方式。</w:t>
      </w:r>
      <w:r>
        <w:t>Ⅰ</w:t>
      </w:r>
      <w:r>
        <w:t>级病房应在包括病床在内的患者活动区域上方设置垂直单向</w:t>
      </w:r>
    </w:p>
    <w:p w14:paraId="68DE4772" w14:textId="77777777" w:rsidR="00A71EEF" w:rsidRDefault="00A71EEF">
      <w:pPr>
        <w:spacing w:line="446" w:lineRule="auto"/>
        <w:sectPr w:rsidR="00A71EEF">
          <w:pgSz w:w="11910" w:h="16850"/>
          <w:pgMar w:top="1220" w:right="0" w:bottom="1420" w:left="1260" w:header="0" w:footer="1239" w:gutter="0"/>
          <w:cols w:space="720"/>
        </w:sectPr>
      </w:pPr>
    </w:p>
    <w:p w14:paraId="3267C02C" w14:textId="77777777" w:rsidR="00A71EEF" w:rsidRDefault="0081115D">
      <w:pPr>
        <w:pStyle w:val="a3"/>
        <w:spacing w:before="57" w:line="446" w:lineRule="auto"/>
        <w:ind w:left="418" w:right="1442"/>
      </w:pPr>
      <w:r>
        <w:t>流，其送风口面积不应小于</w:t>
      </w:r>
      <w:r>
        <w:t xml:space="preserve"> 6m</w:t>
      </w:r>
      <w:r>
        <w:rPr>
          <w:position w:val="11"/>
          <w:sz w:val="11"/>
        </w:rPr>
        <w:t>2</w:t>
      </w:r>
      <w:r>
        <w:t>，并应采用两侧下回风的气流组织。如采用水平单向流，患者活动区应布置在气流上游，床头应在送风侧。</w:t>
      </w:r>
      <w:r>
        <w:t xml:space="preserve"> </w:t>
      </w:r>
    </w:p>
    <w:p w14:paraId="51443711" w14:textId="77777777" w:rsidR="00A71EEF" w:rsidRDefault="0081115D">
      <w:pPr>
        <w:pStyle w:val="a3"/>
        <w:spacing w:line="267" w:lineRule="exact"/>
        <w:ind w:left="838"/>
      </w:pPr>
      <w:r>
        <w:t>各病房的净化空调系统应采用独立的双风机并联</w:t>
      </w:r>
      <w:r>
        <w:t>，互为备用，</w:t>
      </w:r>
      <w:r>
        <w:t xml:space="preserve">24h </w:t>
      </w:r>
      <w:r>
        <w:t>运行。</w:t>
      </w:r>
      <w:r>
        <w:t xml:space="preserve"> </w:t>
      </w:r>
    </w:p>
    <w:p w14:paraId="41017446" w14:textId="77777777" w:rsidR="00A71EEF" w:rsidRDefault="00A71EEF">
      <w:pPr>
        <w:pStyle w:val="a3"/>
        <w:spacing w:before="2"/>
        <w:rPr>
          <w:sz w:val="18"/>
        </w:rPr>
      </w:pPr>
    </w:p>
    <w:p w14:paraId="6FD666E3" w14:textId="77777777" w:rsidR="00A71EEF" w:rsidRDefault="0081115D">
      <w:pPr>
        <w:pStyle w:val="a3"/>
        <w:spacing w:line="446" w:lineRule="auto"/>
        <w:ind w:left="418" w:right="1457" w:firstLine="419"/>
      </w:pPr>
      <w:r>
        <w:rPr>
          <w:spacing w:val="-3"/>
        </w:rPr>
        <w:t>送风应采用调速装置，应至少设两档风速。患者活动或进行治疗时，工作区截面风速不应</w:t>
      </w:r>
      <w:r>
        <w:rPr>
          <w:spacing w:val="-3"/>
        </w:rPr>
        <w:t xml:space="preserve"> </w:t>
      </w:r>
      <w:r>
        <w:rPr>
          <w:spacing w:val="-18"/>
        </w:rPr>
        <w:t>低于</w:t>
      </w:r>
      <w:r>
        <w:rPr>
          <w:spacing w:val="-18"/>
        </w:rPr>
        <w:t xml:space="preserve"> </w:t>
      </w:r>
      <w:r>
        <w:t>0.20m</w:t>
      </w:r>
      <w:r>
        <w:t>／</w:t>
      </w:r>
      <w:r>
        <w:t>s</w:t>
      </w:r>
      <w:r>
        <w:rPr>
          <w:spacing w:val="-7"/>
        </w:rPr>
        <w:t>，患者休息时不应低于</w:t>
      </w:r>
      <w:r>
        <w:rPr>
          <w:spacing w:val="-7"/>
        </w:rPr>
        <w:t xml:space="preserve"> </w:t>
      </w:r>
      <w:r>
        <w:t>0.12m</w:t>
      </w:r>
      <w:r>
        <w:t>／</w:t>
      </w:r>
      <w:r>
        <w:t>s</w:t>
      </w:r>
      <w:r>
        <w:rPr>
          <w:spacing w:val="-7"/>
        </w:rPr>
        <w:t>。室内温度冬季不宜低于</w:t>
      </w:r>
      <w:r>
        <w:rPr>
          <w:spacing w:val="-7"/>
        </w:rPr>
        <w:t xml:space="preserve"> </w:t>
      </w:r>
      <w:r>
        <w:t>22℃</w:t>
      </w:r>
      <w:r>
        <w:rPr>
          <w:spacing w:val="-3"/>
        </w:rPr>
        <w:t>，相对湿度不宜低</w:t>
      </w:r>
      <w:r>
        <w:rPr>
          <w:spacing w:val="-28"/>
        </w:rPr>
        <w:t>于</w:t>
      </w:r>
      <w:r>
        <w:rPr>
          <w:spacing w:val="-28"/>
        </w:rPr>
        <w:t xml:space="preserve"> </w:t>
      </w:r>
      <w:r>
        <w:t>45</w:t>
      </w:r>
      <w:r>
        <w:rPr>
          <w:spacing w:val="-9"/>
        </w:rPr>
        <w:t>％。夏季不宜高于</w:t>
      </w:r>
      <w:r>
        <w:rPr>
          <w:spacing w:val="-9"/>
        </w:rPr>
        <w:t xml:space="preserve"> </w:t>
      </w:r>
      <w:r>
        <w:t>27</w:t>
      </w:r>
      <w:r>
        <w:rPr>
          <w:spacing w:val="-8"/>
        </w:rPr>
        <w:t>℃</w:t>
      </w:r>
      <w:r>
        <w:rPr>
          <w:spacing w:val="-8"/>
        </w:rPr>
        <w:t>，相对湿度不宜高于</w:t>
      </w:r>
      <w:r>
        <w:rPr>
          <w:spacing w:val="-8"/>
        </w:rPr>
        <w:t xml:space="preserve"> </w:t>
      </w:r>
      <w:r>
        <w:t>60</w:t>
      </w:r>
      <w:r>
        <w:rPr>
          <w:spacing w:val="-10"/>
        </w:rPr>
        <w:t>％。噪声应小于</w:t>
      </w:r>
      <w:r>
        <w:rPr>
          <w:spacing w:val="-10"/>
        </w:rPr>
        <w:t xml:space="preserve"> </w:t>
      </w:r>
      <w:r>
        <w:t>45dB(A)</w:t>
      </w:r>
      <w:r>
        <w:t>。</w:t>
      </w:r>
      <w:r>
        <w:t xml:space="preserve"> </w:t>
      </w:r>
    </w:p>
    <w:p w14:paraId="0F35FAEB" w14:textId="77777777" w:rsidR="00A71EEF" w:rsidRDefault="0081115D">
      <w:pPr>
        <w:pStyle w:val="a3"/>
        <w:spacing w:line="268" w:lineRule="exact"/>
        <w:ind w:left="838"/>
      </w:pPr>
      <w:r>
        <w:t>与相邻并相通房间应保持</w:t>
      </w:r>
      <w:r>
        <w:t xml:space="preserve"> 5Pa </w:t>
      </w:r>
      <w:r>
        <w:t>的正压。</w:t>
      </w:r>
      <w:r>
        <w:t xml:space="preserve"> </w:t>
      </w:r>
    </w:p>
    <w:p w14:paraId="24E7C4F1" w14:textId="77777777" w:rsidR="00A71EEF" w:rsidRDefault="00A71EEF">
      <w:pPr>
        <w:pStyle w:val="a3"/>
        <w:rPr>
          <w:sz w:val="18"/>
        </w:rPr>
      </w:pPr>
    </w:p>
    <w:p w14:paraId="6A7B1489" w14:textId="77777777" w:rsidR="00A71EEF" w:rsidRDefault="0081115D">
      <w:pPr>
        <w:pStyle w:val="a4"/>
        <w:numPr>
          <w:ilvl w:val="2"/>
          <w:numId w:val="161"/>
        </w:numPr>
        <w:tabs>
          <w:tab w:val="left" w:pos="1371"/>
        </w:tabs>
        <w:spacing w:line="446" w:lineRule="auto"/>
        <w:ind w:left="838" w:right="1604" w:firstLine="2"/>
        <w:rPr>
          <w:sz w:val="21"/>
        </w:rPr>
      </w:pPr>
      <w:r>
        <w:rPr>
          <w:spacing w:val="-2"/>
          <w:sz w:val="21"/>
        </w:rPr>
        <w:t>烧伤病房应根据需要，确定是否选用洁净用房。采用洁净用房应符合下列要求：</w:t>
      </w:r>
      <w:r>
        <w:rPr>
          <w:spacing w:val="-2"/>
          <w:sz w:val="21"/>
        </w:rPr>
        <w:t xml:space="preserve"> </w:t>
      </w:r>
      <w:r>
        <w:rPr>
          <w:spacing w:val="-2"/>
          <w:sz w:val="21"/>
        </w:rPr>
        <w:t>重</w:t>
      </w:r>
      <w:r>
        <w:rPr>
          <w:spacing w:val="-3"/>
          <w:sz w:val="21"/>
        </w:rPr>
        <w:t>度</w:t>
      </w:r>
      <w:r>
        <w:rPr>
          <w:spacing w:val="-3"/>
          <w:sz w:val="21"/>
        </w:rPr>
        <w:t>(</w:t>
      </w:r>
      <w:r>
        <w:rPr>
          <w:spacing w:val="-3"/>
          <w:sz w:val="21"/>
        </w:rPr>
        <w:t>含</w:t>
      </w:r>
      <w:r>
        <w:rPr>
          <w:spacing w:val="-3"/>
          <w:sz w:val="21"/>
        </w:rPr>
        <w:t>)</w:t>
      </w:r>
      <w:r>
        <w:rPr>
          <w:spacing w:val="-3"/>
          <w:sz w:val="21"/>
        </w:rPr>
        <w:t>以上烧伤患者的病房应采用在病床上方集中布置送风风口，送风面积应为病床外</w:t>
      </w:r>
    </w:p>
    <w:p w14:paraId="0ECFB473" w14:textId="77777777" w:rsidR="00A71EEF" w:rsidRDefault="0081115D">
      <w:pPr>
        <w:pStyle w:val="a3"/>
        <w:spacing w:line="446" w:lineRule="auto"/>
        <w:ind w:left="418" w:right="1506"/>
      </w:pPr>
      <w:r>
        <w:rPr>
          <w:spacing w:val="-7"/>
        </w:rPr>
        <w:t>的四条周边各延</w:t>
      </w:r>
      <w:r>
        <w:rPr>
          <w:spacing w:val="-7"/>
        </w:rPr>
        <w:t xml:space="preserve"> </w:t>
      </w:r>
      <w:r>
        <w:t>30cm</w:t>
      </w:r>
      <w:r>
        <w:rPr>
          <w:spacing w:val="-7"/>
        </w:rPr>
        <w:t xml:space="preserve"> </w:t>
      </w:r>
      <w:r>
        <w:rPr>
          <w:spacing w:val="-7"/>
        </w:rPr>
        <w:t>或以上，并应按</w:t>
      </w:r>
      <w:r>
        <w:rPr>
          <w:spacing w:val="-7"/>
        </w:rPr>
        <w:t>Ⅲ</w:t>
      </w:r>
      <w:r>
        <w:rPr>
          <w:spacing w:val="-7"/>
        </w:rPr>
        <w:t>级洁净用房换气次数计算，有特殊需要时可按</w:t>
      </w:r>
      <w:r>
        <w:rPr>
          <w:spacing w:val="-7"/>
        </w:rPr>
        <w:t>Ⅱ</w:t>
      </w:r>
      <w:r>
        <w:rPr>
          <w:spacing w:val="-7"/>
        </w:rPr>
        <w:t>级洁净</w:t>
      </w:r>
      <w:r>
        <w:rPr>
          <w:spacing w:val="-5"/>
        </w:rPr>
        <w:t>用房换气次数计算。其辅助用房和重度以下烧伤患者的病房可分散设置送风口，宜按</w:t>
      </w:r>
      <w:r>
        <w:rPr>
          <w:spacing w:val="-5"/>
        </w:rPr>
        <w:t>Ⅳ</w:t>
      </w:r>
      <w:r>
        <w:rPr>
          <w:spacing w:val="-5"/>
        </w:rPr>
        <w:t>级洁净</w:t>
      </w:r>
      <w:r>
        <w:rPr>
          <w:spacing w:val="-4"/>
        </w:rPr>
        <w:t>用房换气次数计算。</w:t>
      </w:r>
      <w:r>
        <w:t xml:space="preserve"> </w:t>
      </w:r>
    </w:p>
    <w:p w14:paraId="514A49BD" w14:textId="77777777" w:rsidR="00A71EEF" w:rsidRDefault="0081115D">
      <w:pPr>
        <w:pStyle w:val="a3"/>
        <w:spacing w:line="446" w:lineRule="auto"/>
        <w:ind w:left="418" w:right="1611" w:firstLine="419"/>
      </w:pPr>
      <w:r>
        <w:rPr>
          <w:spacing w:val="-5"/>
        </w:rPr>
        <w:t>各病房净化空调系统应设置备用送风机，并应确保</w:t>
      </w:r>
      <w:r>
        <w:rPr>
          <w:spacing w:val="-5"/>
        </w:rPr>
        <w:t xml:space="preserve"> </w:t>
      </w:r>
      <w:r>
        <w:t>24h</w:t>
      </w:r>
      <w:r>
        <w:rPr>
          <w:spacing w:val="-7"/>
        </w:rPr>
        <w:t xml:space="preserve"> </w:t>
      </w:r>
      <w:r>
        <w:rPr>
          <w:spacing w:val="-7"/>
        </w:rPr>
        <w:t>不间断运行。应能根据治疗过程要</w:t>
      </w:r>
      <w:r>
        <w:rPr>
          <w:spacing w:val="-5"/>
        </w:rPr>
        <w:t>求调节温度、湿度。</w:t>
      </w:r>
      <w:r>
        <w:t xml:space="preserve"> </w:t>
      </w:r>
    </w:p>
    <w:p w14:paraId="29FBA6B6" w14:textId="77777777" w:rsidR="00A71EEF" w:rsidRDefault="0081115D">
      <w:pPr>
        <w:pStyle w:val="a3"/>
        <w:spacing w:line="446" w:lineRule="auto"/>
        <w:ind w:left="418" w:right="1508" w:firstLine="419"/>
      </w:pPr>
      <w:r>
        <w:rPr>
          <w:spacing w:val="-3"/>
        </w:rPr>
        <w:t>对于多床一室的</w:t>
      </w:r>
      <w:r>
        <w:rPr>
          <w:spacing w:val="-3"/>
        </w:rPr>
        <w:t>Ⅳ</w:t>
      </w:r>
      <w:r>
        <w:rPr>
          <w:spacing w:val="-3"/>
        </w:rPr>
        <w:t>级烧伤病房，每张病床均不应处于其他病床的下风侧。温度全年宜为</w:t>
      </w:r>
      <w:r>
        <w:rPr>
          <w:spacing w:val="-3"/>
        </w:rPr>
        <w:t>24</w:t>
      </w:r>
      <w:r>
        <w:rPr>
          <w:spacing w:val="-3"/>
        </w:rPr>
        <w:t>～</w:t>
      </w:r>
      <w:r>
        <w:rPr>
          <w:spacing w:val="-3"/>
        </w:rPr>
        <w:t>26</w:t>
      </w:r>
      <w:r>
        <w:rPr>
          <w:spacing w:val="-6"/>
        </w:rPr>
        <w:t>℃</w:t>
      </w:r>
      <w:r>
        <w:rPr>
          <w:spacing w:val="-6"/>
        </w:rPr>
        <w:t>，相对温度冬季不宜低于</w:t>
      </w:r>
      <w:r>
        <w:rPr>
          <w:spacing w:val="-6"/>
        </w:rPr>
        <w:t xml:space="preserve"> </w:t>
      </w:r>
      <w:r>
        <w:t>40</w:t>
      </w:r>
      <w:r>
        <w:rPr>
          <w:spacing w:val="-8"/>
        </w:rPr>
        <w:t>％，夏季不宜高于</w:t>
      </w:r>
      <w:r>
        <w:rPr>
          <w:spacing w:val="-8"/>
        </w:rPr>
        <w:t xml:space="preserve"> </w:t>
      </w:r>
      <w:r>
        <w:t>60</w:t>
      </w:r>
      <w:r>
        <w:rPr>
          <w:spacing w:val="-3"/>
        </w:rPr>
        <w:t>％。室内温湿度可按治疗进程要求进行调节。</w:t>
      </w:r>
      <w:r>
        <w:t xml:space="preserve"> </w:t>
      </w:r>
    </w:p>
    <w:p w14:paraId="36375FCC" w14:textId="77777777" w:rsidR="00A71EEF" w:rsidRDefault="0081115D">
      <w:pPr>
        <w:pStyle w:val="a3"/>
        <w:spacing w:line="446" w:lineRule="auto"/>
        <w:ind w:left="418" w:right="1818" w:firstLine="419"/>
      </w:pPr>
      <w:r>
        <w:t>重度</w:t>
      </w:r>
      <w:r>
        <w:t>(</w:t>
      </w:r>
      <w:r>
        <w:t>含</w:t>
      </w:r>
      <w:r>
        <w:t>)</w:t>
      </w:r>
      <w:r>
        <w:t>以上烧伤患者的病房宜设独立空调系统，室内温湿度可按治疗进程要求进行调节。温度最高可调至</w:t>
      </w:r>
      <w:r>
        <w:t xml:space="preserve"> 32℃</w:t>
      </w:r>
      <w:r>
        <w:t>，湿度最高可调至</w:t>
      </w:r>
      <w:r>
        <w:t xml:space="preserve"> 90</w:t>
      </w:r>
      <w:r>
        <w:t>％。</w:t>
      </w:r>
      <w:r>
        <w:t xml:space="preserve"> </w:t>
      </w:r>
    </w:p>
    <w:p w14:paraId="0562DA1F" w14:textId="77777777" w:rsidR="00A71EEF" w:rsidRDefault="0081115D">
      <w:pPr>
        <w:pStyle w:val="a3"/>
        <w:ind w:left="838"/>
      </w:pPr>
      <w:r>
        <w:t>与相邻并相通房间应保持</w:t>
      </w:r>
      <w:r>
        <w:t xml:space="preserve"> 5Pa </w:t>
      </w:r>
      <w:r>
        <w:t>的正压。</w:t>
      </w:r>
      <w:r>
        <w:t xml:space="preserve"> </w:t>
      </w:r>
    </w:p>
    <w:p w14:paraId="3C5695E7" w14:textId="77777777" w:rsidR="00A71EEF" w:rsidRDefault="00A71EEF">
      <w:pPr>
        <w:pStyle w:val="a3"/>
        <w:spacing w:before="8"/>
        <w:rPr>
          <w:sz w:val="17"/>
        </w:rPr>
      </w:pPr>
    </w:p>
    <w:p w14:paraId="60C19310" w14:textId="77777777" w:rsidR="00A71EEF" w:rsidRDefault="0081115D">
      <w:pPr>
        <w:pStyle w:val="a3"/>
        <w:spacing w:line="446" w:lineRule="auto"/>
        <w:ind w:left="838" w:right="2134"/>
      </w:pPr>
      <w:r>
        <w:rPr>
          <w:spacing w:val="-3"/>
        </w:rPr>
        <w:t>病区内的浴室、卫生间应设置排风装置，同时应设置与排风机相连锁的密闭风阀。</w:t>
      </w:r>
      <w:r>
        <w:rPr>
          <w:spacing w:val="-9"/>
        </w:rPr>
        <w:t>病房噪声不应大于</w:t>
      </w:r>
      <w:r>
        <w:rPr>
          <w:spacing w:val="-9"/>
        </w:rPr>
        <w:t xml:space="preserve"> </w:t>
      </w:r>
      <w:r>
        <w:t>45dB(A</w:t>
      </w:r>
      <w:r>
        <w:rPr>
          <w:spacing w:val="-2"/>
        </w:rPr>
        <w:t>)</w:t>
      </w:r>
      <w:r>
        <w:rPr>
          <w:spacing w:val="-2"/>
        </w:rPr>
        <w:t>。</w:t>
      </w:r>
      <w:r>
        <w:t xml:space="preserve"> </w:t>
      </w:r>
    </w:p>
    <w:p w14:paraId="7D33A5F9" w14:textId="77777777" w:rsidR="00A71EEF" w:rsidRDefault="0081115D">
      <w:pPr>
        <w:pStyle w:val="a4"/>
        <w:numPr>
          <w:ilvl w:val="2"/>
          <w:numId w:val="161"/>
        </w:numPr>
        <w:tabs>
          <w:tab w:val="left" w:pos="1370"/>
        </w:tabs>
        <w:spacing w:line="446" w:lineRule="auto"/>
        <w:ind w:left="838" w:right="5807" w:firstLine="2"/>
        <w:rPr>
          <w:sz w:val="21"/>
        </w:rPr>
      </w:pPr>
      <w:r>
        <w:rPr>
          <w:spacing w:val="-2"/>
          <w:sz w:val="21"/>
        </w:rPr>
        <w:t>过敏性哮喘病室应符合下列要求：</w:t>
      </w:r>
      <w:r>
        <w:rPr>
          <w:spacing w:val="-2"/>
          <w:sz w:val="21"/>
        </w:rPr>
        <w:t xml:space="preserve"> </w:t>
      </w:r>
      <w:r>
        <w:rPr>
          <w:spacing w:val="-2"/>
          <w:sz w:val="21"/>
        </w:rPr>
        <w:t>可</w:t>
      </w:r>
      <w:r>
        <w:rPr>
          <w:spacing w:val="-3"/>
          <w:sz w:val="21"/>
        </w:rPr>
        <w:t>采用洁净用房；</w:t>
      </w:r>
      <w:r>
        <w:rPr>
          <w:sz w:val="21"/>
        </w:rPr>
        <w:t xml:space="preserve"> </w:t>
      </w:r>
    </w:p>
    <w:p w14:paraId="41734781" w14:textId="77777777" w:rsidR="00A71EEF" w:rsidRDefault="0081115D">
      <w:pPr>
        <w:pStyle w:val="a3"/>
        <w:spacing w:line="446" w:lineRule="auto"/>
        <w:ind w:left="418" w:right="1923" w:firstLine="419"/>
      </w:pPr>
      <w:r>
        <w:rPr>
          <w:spacing w:val="-8"/>
        </w:rPr>
        <w:t>噪声不应大于</w:t>
      </w:r>
      <w:r>
        <w:rPr>
          <w:spacing w:val="-8"/>
        </w:rPr>
        <w:t xml:space="preserve"> </w:t>
      </w:r>
      <w:r>
        <w:t>45dB(A)</w:t>
      </w:r>
      <w:r>
        <w:rPr>
          <w:spacing w:val="-6"/>
        </w:rPr>
        <w:t>。温湿度应相对稳定，全年温度宜为</w:t>
      </w:r>
      <w:r>
        <w:rPr>
          <w:spacing w:val="-6"/>
        </w:rPr>
        <w:t xml:space="preserve"> </w:t>
      </w:r>
      <w:r>
        <w:t>25℃±1</w:t>
      </w:r>
      <w:r>
        <w:rPr>
          <w:spacing w:val="-2"/>
        </w:rPr>
        <w:t>℃</w:t>
      </w:r>
      <w:r>
        <w:rPr>
          <w:spacing w:val="-2"/>
        </w:rPr>
        <w:t>，相对湿度宜为</w:t>
      </w:r>
      <w:r>
        <w:rPr>
          <w:spacing w:val="-2"/>
        </w:rPr>
        <w:t>50</w:t>
      </w:r>
      <w:r>
        <w:rPr>
          <w:spacing w:val="-2"/>
        </w:rPr>
        <w:t>％</w:t>
      </w:r>
      <w:r>
        <w:rPr>
          <w:spacing w:val="-7"/>
        </w:rPr>
        <w:t>。与相邻并相通房间应保持</w:t>
      </w:r>
      <w:r>
        <w:rPr>
          <w:spacing w:val="-7"/>
        </w:rPr>
        <w:t xml:space="preserve"> </w:t>
      </w:r>
      <w:r>
        <w:t>5Pa</w:t>
      </w:r>
      <w:r>
        <w:rPr>
          <w:spacing w:val="-13"/>
        </w:rPr>
        <w:t xml:space="preserve"> </w:t>
      </w:r>
      <w:r>
        <w:rPr>
          <w:spacing w:val="-13"/>
        </w:rPr>
        <w:t>的正压。</w:t>
      </w:r>
      <w:r>
        <w:t xml:space="preserve"> </w:t>
      </w:r>
    </w:p>
    <w:p w14:paraId="7E8AF80D" w14:textId="77777777" w:rsidR="00A71EEF" w:rsidRDefault="0081115D">
      <w:pPr>
        <w:pStyle w:val="a4"/>
        <w:numPr>
          <w:ilvl w:val="2"/>
          <w:numId w:val="161"/>
        </w:numPr>
        <w:tabs>
          <w:tab w:val="left" w:pos="1370"/>
        </w:tabs>
        <w:spacing w:line="267" w:lineRule="exact"/>
        <w:ind w:hanging="530"/>
        <w:rPr>
          <w:b/>
          <w:sz w:val="21"/>
        </w:rPr>
      </w:pPr>
      <w:r>
        <w:rPr>
          <w:spacing w:val="-3"/>
          <w:sz w:val="21"/>
        </w:rPr>
        <w:t>解剖室、标本制作室、太平间应符合下列要求：</w:t>
      </w:r>
      <w:r>
        <w:rPr>
          <w:b/>
          <w:w w:val="99"/>
          <w:sz w:val="21"/>
        </w:rPr>
        <w:t xml:space="preserve"> </w:t>
      </w:r>
    </w:p>
    <w:p w14:paraId="345B02E9" w14:textId="77777777" w:rsidR="00A71EEF" w:rsidRDefault="00A71EEF">
      <w:pPr>
        <w:spacing w:line="267" w:lineRule="exact"/>
        <w:rPr>
          <w:sz w:val="21"/>
        </w:rPr>
        <w:sectPr w:rsidR="00A71EEF">
          <w:pgSz w:w="11910" w:h="16850"/>
          <w:pgMar w:top="1200" w:right="0" w:bottom="1420" w:left="1260" w:header="0" w:footer="1239" w:gutter="0"/>
          <w:cols w:space="720"/>
        </w:sectPr>
      </w:pPr>
    </w:p>
    <w:p w14:paraId="228B659C" w14:textId="77777777" w:rsidR="00A71EEF" w:rsidRDefault="0081115D">
      <w:pPr>
        <w:pStyle w:val="a3"/>
        <w:spacing w:before="47" w:line="446" w:lineRule="auto"/>
        <w:ind w:left="418" w:right="1609" w:firstLine="419"/>
      </w:pPr>
      <w:r>
        <w:t>非传染病尸体解剖室、标本制作室应进行充分的通风换气，应采用专用解剖台或在室内均匀布置下排风口，排风应直接排到室外；</w:t>
      </w:r>
      <w:r>
        <w:t xml:space="preserve"> </w:t>
      </w:r>
    </w:p>
    <w:p w14:paraId="58C5D7A7" w14:textId="77777777" w:rsidR="00A71EEF" w:rsidRDefault="0081115D">
      <w:pPr>
        <w:pStyle w:val="a3"/>
        <w:spacing w:line="267" w:lineRule="exact"/>
        <w:ind w:left="838"/>
      </w:pPr>
      <w:r>
        <w:t>解剖室的空调应采用全新风独立系统，可配合采用专用排风解剖台；</w:t>
      </w:r>
      <w:r>
        <w:t xml:space="preserve"> </w:t>
      </w:r>
    </w:p>
    <w:p w14:paraId="38EF1489" w14:textId="77777777" w:rsidR="00A71EEF" w:rsidRDefault="00A71EEF">
      <w:pPr>
        <w:pStyle w:val="a3"/>
        <w:spacing w:before="2"/>
        <w:rPr>
          <w:sz w:val="18"/>
        </w:rPr>
      </w:pPr>
    </w:p>
    <w:p w14:paraId="46F390B4" w14:textId="77777777" w:rsidR="00A71EEF" w:rsidRDefault="0081115D">
      <w:pPr>
        <w:pStyle w:val="a3"/>
        <w:spacing w:line="446" w:lineRule="auto"/>
        <w:ind w:left="838" w:right="2345"/>
      </w:pPr>
      <w:r>
        <w:rPr>
          <w:spacing w:val="-3"/>
        </w:rPr>
        <w:t>当标本制作室和保管室为同一空调系统时，应能根据各室的温度条件独立控制；</w:t>
      </w:r>
      <w:r>
        <w:rPr>
          <w:spacing w:val="-3"/>
        </w:rPr>
        <w:t xml:space="preserve"> </w:t>
      </w:r>
      <w:r>
        <w:rPr>
          <w:spacing w:val="-3"/>
        </w:rPr>
        <w:t>太平间应有足够的通风。设机械排风时应维持负压。</w:t>
      </w:r>
      <w:r>
        <w:rPr>
          <w:spacing w:val="-3"/>
        </w:rPr>
        <w:t xml:space="preserve"> </w:t>
      </w:r>
    </w:p>
    <w:p w14:paraId="0903276E" w14:textId="77777777" w:rsidR="00A71EEF" w:rsidRDefault="0081115D">
      <w:pPr>
        <w:pStyle w:val="a4"/>
        <w:numPr>
          <w:ilvl w:val="2"/>
          <w:numId w:val="161"/>
        </w:numPr>
        <w:tabs>
          <w:tab w:val="left" w:pos="1371"/>
        </w:tabs>
        <w:spacing w:line="267" w:lineRule="exact"/>
        <w:ind w:left="1370" w:hanging="531"/>
        <w:rPr>
          <w:b/>
          <w:sz w:val="21"/>
        </w:rPr>
      </w:pPr>
      <w:r>
        <w:rPr>
          <w:spacing w:val="-3"/>
          <w:sz w:val="21"/>
        </w:rPr>
        <w:t>负压隔离病房应符合下列要求：</w:t>
      </w:r>
      <w:r>
        <w:rPr>
          <w:b/>
          <w:w w:val="99"/>
          <w:sz w:val="21"/>
        </w:rPr>
        <w:t xml:space="preserve"> </w:t>
      </w:r>
    </w:p>
    <w:p w14:paraId="590C58DD" w14:textId="77777777" w:rsidR="00A71EEF" w:rsidRDefault="00A71EEF">
      <w:pPr>
        <w:pStyle w:val="a3"/>
        <w:spacing w:before="2"/>
        <w:rPr>
          <w:b/>
          <w:sz w:val="18"/>
        </w:rPr>
      </w:pPr>
    </w:p>
    <w:p w14:paraId="49B9EF13" w14:textId="77777777" w:rsidR="00A71EEF" w:rsidRDefault="0081115D">
      <w:pPr>
        <w:pStyle w:val="a3"/>
        <w:spacing w:line="446" w:lineRule="auto"/>
        <w:ind w:left="418" w:right="1608" w:firstLine="419"/>
      </w:pPr>
      <w:r>
        <w:rPr>
          <w:spacing w:val="-6"/>
        </w:rPr>
        <w:t>应采用自循环空调系统，换气次数</w:t>
      </w:r>
      <w:r>
        <w:rPr>
          <w:spacing w:val="-6"/>
        </w:rPr>
        <w:t xml:space="preserve"> </w:t>
      </w:r>
      <w:r>
        <w:t>10</w:t>
      </w:r>
      <w:r>
        <w:t>～</w:t>
      </w:r>
      <w:r>
        <w:t>12</w:t>
      </w:r>
      <w:r>
        <w:rPr>
          <w:spacing w:val="-21"/>
        </w:rPr>
        <w:t xml:space="preserve"> </w:t>
      </w:r>
      <w:r>
        <w:rPr>
          <w:spacing w:val="-21"/>
        </w:rPr>
        <w:t>次</w:t>
      </w:r>
      <w:r>
        <w:t>／</w:t>
      </w:r>
      <w:r>
        <w:t>h</w:t>
      </w:r>
      <w:r>
        <w:rPr>
          <w:spacing w:val="-3"/>
        </w:rPr>
        <w:t>，新风可集中供给。空气传染的特殊呼吸道患者的病房应采用全新风系统。</w:t>
      </w:r>
      <w:r>
        <w:t xml:space="preserve"> </w:t>
      </w:r>
    </w:p>
    <w:p w14:paraId="7D158F1B" w14:textId="77777777" w:rsidR="00A71EEF" w:rsidRDefault="0081115D">
      <w:pPr>
        <w:pStyle w:val="a3"/>
        <w:spacing w:line="446" w:lineRule="auto"/>
        <w:ind w:left="838" w:right="1925"/>
      </w:pPr>
      <w:r>
        <w:rPr>
          <w:spacing w:val="-3"/>
        </w:rPr>
        <w:t>送风的末级过滤器宜用高中效过滤器，回</w:t>
      </w:r>
      <w:r>
        <w:rPr>
          <w:spacing w:val="-3"/>
        </w:rPr>
        <w:t>(</w:t>
      </w:r>
      <w:r>
        <w:rPr>
          <w:spacing w:val="-3"/>
        </w:rPr>
        <w:t>排</w:t>
      </w:r>
      <w:r>
        <w:rPr>
          <w:spacing w:val="-3"/>
        </w:rPr>
        <w:t>)</w:t>
      </w:r>
      <w:r>
        <w:rPr>
          <w:spacing w:val="-3"/>
        </w:rPr>
        <w:t>风口应设无泄漏的负压高效排风装置。宜在床尾或床侧及床尾各设一送风口，回风口宜设在床头侧下方。</w:t>
      </w:r>
      <w:r>
        <w:t xml:space="preserve"> </w:t>
      </w:r>
    </w:p>
    <w:p w14:paraId="3F1FEB88" w14:textId="77777777" w:rsidR="00A71EEF" w:rsidRDefault="0081115D">
      <w:pPr>
        <w:pStyle w:val="a3"/>
        <w:spacing w:line="446" w:lineRule="auto"/>
        <w:ind w:left="418" w:right="1609" w:firstLine="419"/>
      </w:pPr>
      <w:r>
        <w:t>病房入口应设缓冲室，病区走廊入口宜设缓冲室，卫生间内应设无泄漏的负压高效排风装置。</w:t>
      </w:r>
      <w:r>
        <w:t xml:space="preserve"> </w:t>
      </w:r>
    </w:p>
    <w:p w14:paraId="469B8976" w14:textId="77777777" w:rsidR="00A71EEF" w:rsidRDefault="0081115D">
      <w:pPr>
        <w:pStyle w:val="a3"/>
        <w:spacing w:line="446" w:lineRule="auto"/>
        <w:ind w:left="840" w:right="2134" w:hanging="3"/>
        <w:rPr>
          <w:b/>
        </w:rPr>
      </w:pPr>
      <w:r>
        <w:t>病房对缓冲间、缓冲间对走廊应保持</w:t>
      </w:r>
      <w:r>
        <w:t xml:space="preserve"> 5Pa </w:t>
      </w:r>
      <w:r>
        <w:t>负压差，病房内应向卫生间保持定向流。</w:t>
      </w:r>
      <w:r>
        <w:rPr>
          <w:b/>
        </w:rPr>
        <w:t xml:space="preserve">7.6 </w:t>
      </w:r>
      <w:r>
        <w:t>手术部</w:t>
      </w:r>
      <w:r>
        <w:rPr>
          <w:b/>
          <w:w w:val="99"/>
        </w:rPr>
        <w:t xml:space="preserve"> </w:t>
      </w:r>
    </w:p>
    <w:p w14:paraId="57F55187" w14:textId="77777777" w:rsidR="00A71EEF" w:rsidRDefault="0081115D">
      <w:pPr>
        <w:pStyle w:val="a4"/>
        <w:numPr>
          <w:ilvl w:val="2"/>
          <w:numId w:val="160"/>
        </w:numPr>
        <w:tabs>
          <w:tab w:val="left" w:pos="1370"/>
        </w:tabs>
        <w:spacing w:line="446" w:lineRule="auto"/>
        <w:ind w:right="1498" w:firstLine="422"/>
        <w:rPr>
          <w:sz w:val="21"/>
        </w:rPr>
      </w:pPr>
      <w:r>
        <w:rPr>
          <w:spacing w:val="-3"/>
          <w:sz w:val="21"/>
        </w:rPr>
        <w:t>洁净手术部设计，应符合现行国家标准《医院洁净手术部建筑技术规范》</w:t>
      </w:r>
      <w:r>
        <w:rPr>
          <w:sz w:val="21"/>
        </w:rPr>
        <w:t>GB</w:t>
      </w:r>
      <w:r>
        <w:rPr>
          <w:spacing w:val="32"/>
          <w:sz w:val="21"/>
        </w:rPr>
        <w:t xml:space="preserve"> </w:t>
      </w:r>
      <w:r>
        <w:rPr>
          <w:sz w:val="21"/>
        </w:rPr>
        <w:t>50333</w:t>
      </w:r>
      <w:r>
        <w:rPr>
          <w:sz w:val="21"/>
        </w:rPr>
        <w:t>的</w:t>
      </w:r>
      <w:r>
        <w:rPr>
          <w:spacing w:val="-3"/>
          <w:sz w:val="21"/>
        </w:rPr>
        <w:t>有关规定。</w:t>
      </w:r>
      <w:r>
        <w:rPr>
          <w:sz w:val="21"/>
        </w:rPr>
        <w:t xml:space="preserve"> </w:t>
      </w:r>
    </w:p>
    <w:p w14:paraId="794583D4" w14:textId="77777777" w:rsidR="00A71EEF" w:rsidRDefault="0081115D">
      <w:pPr>
        <w:pStyle w:val="a4"/>
        <w:numPr>
          <w:ilvl w:val="2"/>
          <w:numId w:val="160"/>
        </w:numPr>
        <w:tabs>
          <w:tab w:val="left" w:pos="1371"/>
        </w:tabs>
        <w:spacing w:line="446" w:lineRule="auto"/>
        <w:ind w:right="1508" w:firstLine="422"/>
        <w:rPr>
          <w:sz w:val="21"/>
        </w:rPr>
      </w:pPr>
      <w:r>
        <w:rPr>
          <w:spacing w:val="-6"/>
          <w:sz w:val="21"/>
        </w:rPr>
        <w:t>一般手术室室内温度冬季不宜低于</w:t>
      </w:r>
      <w:r>
        <w:rPr>
          <w:spacing w:val="-6"/>
          <w:sz w:val="21"/>
        </w:rPr>
        <w:t xml:space="preserve"> </w:t>
      </w:r>
      <w:r>
        <w:rPr>
          <w:sz w:val="21"/>
        </w:rPr>
        <w:t>20</w:t>
      </w:r>
      <w:r>
        <w:rPr>
          <w:spacing w:val="-8"/>
          <w:sz w:val="21"/>
        </w:rPr>
        <w:t>℃</w:t>
      </w:r>
      <w:r>
        <w:rPr>
          <w:spacing w:val="-8"/>
          <w:sz w:val="21"/>
        </w:rPr>
        <w:t>，夏季不宜高于</w:t>
      </w:r>
      <w:r>
        <w:rPr>
          <w:spacing w:val="-8"/>
          <w:sz w:val="21"/>
        </w:rPr>
        <w:t xml:space="preserve"> </w:t>
      </w:r>
      <w:r>
        <w:rPr>
          <w:sz w:val="21"/>
        </w:rPr>
        <w:t>26</w:t>
      </w:r>
      <w:r>
        <w:rPr>
          <w:spacing w:val="-3"/>
          <w:sz w:val="21"/>
        </w:rPr>
        <w:t>℃</w:t>
      </w:r>
      <w:r>
        <w:rPr>
          <w:spacing w:val="-3"/>
          <w:sz w:val="21"/>
        </w:rPr>
        <w:t>；室内相对湿度冬季不</w:t>
      </w:r>
      <w:r>
        <w:rPr>
          <w:spacing w:val="-11"/>
          <w:sz w:val="21"/>
        </w:rPr>
        <w:t>宜低于</w:t>
      </w:r>
      <w:r>
        <w:rPr>
          <w:spacing w:val="-11"/>
          <w:sz w:val="21"/>
        </w:rPr>
        <w:t xml:space="preserve"> </w:t>
      </w:r>
      <w:r>
        <w:rPr>
          <w:sz w:val="21"/>
        </w:rPr>
        <w:t>30</w:t>
      </w:r>
      <w:r>
        <w:rPr>
          <w:spacing w:val="-7"/>
          <w:sz w:val="21"/>
        </w:rPr>
        <w:t>％，夏季不宜高于</w:t>
      </w:r>
      <w:r>
        <w:rPr>
          <w:spacing w:val="-7"/>
          <w:sz w:val="21"/>
        </w:rPr>
        <w:t xml:space="preserve"> </w:t>
      </w:r>
      <w:r>
        <w:rPr>
          <w:sz w:val="21"/>
        </w:rPr>
        <w:t>65</w:t>
      </w:r>
      <w:r>
        <w:rPr>
          <w:spacing w:val="-3"/>
          <w:sz w:val="21"/>
        </w:rPr>
        <w:t>％；应采用末端过滤器效率不低于高中效过滤器的空调系统或全</w:t>
      </w:r>
      <w:r>
        <w:rPr>
          <w:spacing w:val="-5"/>
          <w:sz w:val="21"/>
        </w:rPr>
        <w:t>新风通风系统。室内应保持正压，换气次数不得低于</w:t>
      </w:r>
      <w:r>
        <w:rPr>
          <w:spacing w:val="-5"/>
          <w:sz w:val="21"/>
        </w:rPr>
        <w:t xml:space="preserve"> </w:t>
      </w:r>
      <w:r>
        <w:rPr>
          <w:sz w:val="21"/>
        </w:rPr>
        <w:t>6</w:t>
      </w:r>
      <w:r>
        <w:rPr>
          <w:spacing w:val="-18"/>
          <w:sz w:val="21"/>
        </w:rPr>
        <w:t xml:space="preserve"> </w:t>
      </w:r>
      <w:r>
        <w:rPr>
          <w:spacing w:val="-18"/>
          <w:sz w:val="21"/>
        </w:rPr>
        <w:t>次／</w:t>
      </w:r>
      <w:r>
        <w:rPr>
          <w:sz w:val="21"/>
        </w:rPr>
        <w:t>h</w:t>
      </w:r>
      <w:r>
        <w:rPr>
          <w:spacing w:val="-9"/>
          <w:sz w:val="21"/>
        </w:rPr>
        <w:t>。噪声不应大于</w:t>
      </w:r>
      <w:r>
        <w:rPr>
          <w:spacing w:val="-9"/>
          <w:sz w:val="21"/>
        </w:rPr>
        <w:t xml:space="preserve"> </w:t>
      </w:r>
      <w:r>
        <w:rPr>
          <w:sz w:val="21"/>
        </w:rPr>
        <w:t>50dB(A</w:t>
      </w:r>
      <w:r>
        <w:rPr>
          <w:spacing w:val="-2"/>
          <w:sz w:val="21"/>
        </w:rPr>
        <w:t>)</w:t>
      </w:r>
      <w:r>
        <w:rPr>
          <w:spacing w:val="-2"/>
          <w:sz w:val="21"/>
        </w:rPr>
        <w:t>。</w:t>
      </w:r>
      <w:r>
        <w:rPr>
          <w:sz w:val="21"/>
        </w:rPr>
        <w:t xml:space="preserve"> </w:t>
      </w:r>
    </w:p>
    <w:p w14:paraId="7ADF4968" w14:textId="77777777" w:rsidR="00A71EEF" w:rsidRDefault="0081115D">
      <w:pPr>
        <w:pStyle w:val="a4"/>
        <w:numPr>
          <w:ilvl w:val="1"/>
          <w:numId w:val="159"/>
        </w:numPr>
        <w:tabs>
          <w:tab w:val="left" w:pos="1159"/>
        </w:tabs>
        <w:spacing w:line="268" w:lineRule="exact"/>
        <w:ind w:hanging="319"/>
        <w:rPr>
          <w:b/>
          <w:sz w:val="21"/>
        </w:rPr>
      </w:pPr>
      <w:r>
        <w:rPr>
          <w:spacing w:val="-3"/>
          <w:sz w:val="21"/>
        </w:rPr>
        <w:t>医技科室</w:t>
      </w:r>
      <w:r>
        <w:rPr>
          <w:b/>
          <w:w w:val="99"/>
          <w:sz w:val="21"/>
        </w:rPr>
        <w:t xml:space="preserve"> </w:t>
      </w:r>
    </w:p>
    <w:p w14:paraId="63102279" w14:textId="77777777" w:rsidR="00A71EEF" w:rsidRDefault="00A71EEF">
      <w:pPr>
        <w:pStyle w:val="a3"/>
        <w:spacing w:before="8"/>
        <w:rPr>
          <w:b/>
          <w:sz w:val="17"/>
        </w:rPr>
      </w:pPr>
    </w:p>
    <w:p w14:paraId="7D077A5C" w14:textId="77777777" w:rsidR="00A71EEF" w:rsidRDefault="0081115D">
      <w:pPr>
        <w:pStyle w:val="a4"/>
        <w:numPr>
          <w:ilvl w:val="2"/>
          <w:numId w:val="159"/>
        </w:numPr>
        <w:tabs>
          <w:tab w:val="left" w:pos="1371"/>
        </w:tabs>
        <w:spacing w:line="446" w:lineRule="auto"/>
        <w:ind w:right="4967" w:firstLine="2"/>
        <w:rPr>
          <w:sz w:val="21"/>
        </w:rPr>
      </w:pPr>
      <w:r>
        <w:rPr>
          <w:spacing w:val="-2"/>
          <w:sz w:val="21"/>
        </w:rPr>
        <w:t>检验科、病理科、实验室应符合下列要求：</w:t>
      </w:r>
      <w:r>
        <w:rPr>
          <w:spacing w:val="-2"/>
          <w:sz w:val="21"/>
        </w:rPr>
        <w:t xml:space="preserve"> </w:t>
      </w:r>
      <w:r>
        <w:rPr>
          <w:spacing w:val="-2"/>
          <w:sz w:val="21"/>
        </w:rPr>
        <w:t>应</w:t>
      </w:r>
      <w:r>
        <w:rPr>
          <w:spacing w:val="-3"/>
          <w:sz w:val="21"/>
        </w:rPr>
        <w:t>有单独排风系统；</w:t>
      </w:r>
      <w:r>
        <w:rPr>
          <w:sz w:val="21"/>
        </w:rPr>
        <w:t xml:space="preserve"> </w:t>
      </w:r>
    </w:p>
    <w:p w14:paraId="22EE05AC" w14:textId="77777777" w:rsidR="00A71EEF" w:rsidRDefault="0081115D">
      <w:pPr>
        <w:pStyle w:val="a3"/>
        <w:spacing w:line="446" w:lineRule="auto"/>
        <w:ind w:left="418" w:right="1508" w:firstLine="419"/>
      </w:pPr>
      <w:r>
        <w:rPr>
          <w:spacing w:val="-5"/>
        </w:rPr>
        <w:t>采用普通空调时，室内温度冬季不宜低于</w:t>
      </w:r>
      <w:r>
        <w:rPr>
          <w:spacing w:val="-5"/>
        </w:rPr>
        <w:t xml:space="preserve"> </w:t>
      </w:r>
      <w:r>
        <w:t>22</w:t>
      </w:r>
      <w:r>
        <w:rPr>
          <w:spacing w:val="-7"/>
        </w:rPr>
        <w:t>℃</w:t>
      </w:r>
      <w:r>
        <w:rPr>
          <w:spacing w:val="-7"/>
        </w:rPr>
        <w:t>，夏季不宜高于</w:t>
      </w:r>
      <w:r>
        <w:rPr>
          <w:spacing w:val="-7"/>
        </w:rPr>
        <w:t xml:space="preserve"> </w:t>
      </w:r>
      <w:r>
        <w:t>26</w:t>
      </w:r>
      <w:r>
        <w:rPr>
          <w:spacing w:val="-3"/>
        </w:rPr>
        <w:t>℃</w:t>
      </w:r>
      <w:r>
        <w:rPr>
          <w:spacing w:val="-3"/>
        </w:rPr>
        <w:t>；室内相对湿度冬季不</w:t>
      </w:r>
      <w:r>
        <w:rPr>
          <w:spacing w:val="-15"/>
        </w:rPr>
        <w:t>宜低于</w:t>
      </w:r>
      <w:r>
        <w:rPr>
          <w:spacing w:val="-15"/>
        </w:rPr>
        <w:t xml:space="preserve"> </w:t>
      </w:r>
      <w:r>
        <w:t>30</w:t>
      </w:r>
      <w:r>
        <w:rPr>
          <w:spacing w:val="-9"/>
        </w:rPr>
        <w:t>％，夏季不宜高于</w:t>
      </w:r>
      <w:r>
        <w:rPr>
          <w:spacing w:val="-9"/>
        </w:rPr>
        <w:t xml:space="preserve"> </w:t>
      </w:r>
      <w:r>
        <w:t>65</w:t>
      </w:r>
      <w:r>
        <w:rPr>
          <w:spacing w:val="-2"/>
        </w:rPr>
        <w:t>％。</w:t>
      </w:r>
      <w:r>
        <w:t xml:space="preserve"> </w:t>
      </w:r>
    </w:p>
    <w:p w14:paraId="205C60D7" w14:textId="77777777" w:rsidR="00A71EEF" w:rsidRDefault="0081115D">
      <w:pPr>
        <w:pStyle w:val="a4"/>
        <w:numPr>
          <w:ilvl w:val="2"/>
          <w:numId w:val="159"/>
        </w:numPr>
        <w:tabs>
          <w:tab w:val="left" w:pos="1370"/>
        </w:tabs>
        <w:spacing w:line="446" w:lineRule="auto"/>
        <w:ind w:left="418" w:right="1450" w:firstLine="422"/>
        <w:rPr>
          <w:sz w:val="21"/>
        </w:rPr>
      </w:pPr>
      <w:r>
        <w:rPr>
          <w:spacing w:val="-3"/>
          <w:sz w:val="21"/>
        </w:rPr>
        <w:t>生殖学中心的体外受精实验室，应按</w:t>
      </w:r>
      <w:r>
        <w:rPr>
          <w:spacing w:val="-3"/>
          <w:sz w:val="21"/>
        </w:rPr>
        <w:t>Ⅰ</w:t>
      </w:r>
      <w:r>
        <w:rPr>
          <w:spacing w:val="-3"/>
          <w:sz w:val="21"/>
        </w:rPr>
        <w:t>级洁净用房设计，并应采用局部集中送风或洁净工作台。取卵室应按</w:t>
      </w:r>
      <w:r>
        <w:rPr>
          <w:spacing w:val="-3"/>
          <w:sz w:val="21"/>
        </w:rPr>
        <w:t>Ⅱ</w:t>
      </w:r>
      <w:r>
        <w:rPr>
          <w:spacing w:val="-3"/>
          <w:sz w:val="21"/>
        </w:rPr>
        <w:t>级洁净用房设计，并应采用局部集中送风或洁净工作台。体外受精实</w:t>
      </w:r>
      <w:r>
        <w:rPr>
          <w:spacing w:val="-3"/>
          <w:sz w:val="21"/>
        </w:rPr>
        <w:t xml:space="preserve"> </w:t>
      </w:r>
      <w:r>
        <w:rPr>
          <w:spacing w:val="-5"/>
          <w:sz w:val="21"/>
        </w:rPr>
        <w:t>验室和取卵室的噪声均不应大于</w:t>
      </w:r>
      <w:r>
        <w:rPr>
          <w:spacing w:val="-5"/>
          <w:sz w:val="21"/>
        </w:rPr>
        <w:t xml:space="preserve"> </w:t>
      </w:r>
      <w:r>
        <w:rPr>
          <w:sz w:val="21"/>
        </w:rPr>
        <w:t>45dB(A</w:t>
      </w:r>
      <w:r>
        <w:rPr>
          <w:spacing w:val="-3"/>
          <w:sz w:val="21"/>
        </w:rPr>
        <w:t>)</w:t>
      </w:r>
      <w:r>
        <w:rPr>
          <w:spacing w:val="-3"/>
          <w:sz w:val="21"/>
        </w:rPr>
        <w:t>。冷冻室、工作室、洁净走廊等其他洁净辅助用房可按</w:t>
      </w:r>
      <w:r>
        <w:rPr>
          <w:spacing w:val="-3"/>
          <w:sz w:val="21"/>
        </w:rPr>
        <w:t>Ⅳ</w:t>
      </w:r>
      <w:r>
        <w:rPr>
          <w:spacing w:val="-3"/>
          <w:sz w:val="21"/>
        </w:rPr>
        <w:t>级洁净用房设计，并应采用局部集中送风。</w:t>
      </w:r>
      <w:r>
        <w:rPr>
          <w:sz w:val="21"/>
        </w:rPr>
        <w:t xml:space="preserve"> </w:t>
      </w:r>
    </w:p>
    <w:p w14:paraId="12FBEB47" w14:textId="77777777" w:rsidR="00A71EEF" w:rsidRDefault="00A71EEF">
      <w:pPr>
        <w:spacing w:line="446" w:lineRule="auto"/>
        <w:rPr>
          <w:sz w:val="21"/>
        </w:rPr>
        <w:sectPr w:rsidR="00A71EEF">
          <w:pgSz w:w="11910" w:h="16850"/>
          <w:pgMar w:top="1220" w:right="0" w:bottom="1420" w:left="1260" w:header="0" w:footer="1239" w:gutter="0"/>
          <w:cols w:space="720"/>
        </w:sectPr>
      </w:pPr>
    </w:p>
    <w:p w14:paraId="657DCE18" w14:textId="77777777" w:rsidR="00A71EEF" w:rsidRDefault="0081115D">
      <w:pPr>
        <w:pStyle w:val="a4"/>
        <w:numPr>
          <w:ilvl w:val="2"/>
          <w:numId w:val="159"/>
        </w:numPr>
        <w:tabs>
          <w:tab w:val="left" w:pos="1370"/>
        </w:tabs>
        <w:spacing w:before="47"/>
        <w:ind w:left="1369" w:hanging="530"/>
        <w:rPr>
          <w:sz w:val="21"/>
        </w:rPr>
      </w:pPr>
      <w:r>
        <w:rPr>
          <w:spacing w:val="-3"/>
          <w:sz w:val="21"/>
        </w:rPr>
        <w:t>电生理、超声、纤维内窥镜等科室，宜设置独立的普通空调系统。</w:t>
      </w:r>
      <w:r>
        <w:rPr>
          <w:spacing w:val="-3"/>
          <w:sz w:val="21"/>
        </w:rPr>
        <w:t xml:space="preserve"> </w:t>
      </w:r>
    </w:p>
    <w:p w14:paraId="26585D9D" w14:textId="77777777" w:rsidR="00A71EEF" w:rsidRDefault="00A71EEF">
      <w:pPr>
        <w:pStyle w:val="a3"/>
        <w:rPr>
          <w:sz w:val="18"/>
        </w:rPr>
      </w:pPr>
    </w:p>
    <w:p w14:paraId="270C2348" w14:textId="77777777" w:rsidR="00A71EEF" w:rsidRDefault="0081115D">
      <w:pPr>
        <w:pStyle w:val="a4"/>
        <w:numPr>
          <w:ilvl w:val="2"/>
          <w:numId w:val="159"/>
        </w:numPr>
        <w:tabs>
          <w:tab w:val="left" w:pos="1370"/>
        </w:tabs>
        <w:ind w:left="1369" w:hanging="530"/>
        <w:rPr>
          <w:sz w:val="21"/>
        </w:rPr>
      </w:pPr>
      <w:r>
        <w:rPr>
          <w:spacing w:val="-3"/>
          <w:sz w:val="21"/>
        </w:rPr>
        <w:t>听力检查室宜设置集中式空调系统，应采取消声减振措施，且噪声不应大于</w:t>
      </w:r>
    </w:p>
    <w:p w14:paraId="17B2536E" w14:textId="77777777" w:rsidR="00A71EEF" w:rsidRDefault="00A71EEF">
      <w:pPr>
        <w:pStyle w:val="a3"/>
        <w:rPr>
          <w:sz w:val="18"/>
        </w:rPr>
      </w:pPr>
    </w:p>
    <w:p w14:paraId="2F37675F" w14:textId="77777777" w:rsidR="00A71EEF" w:rsidRDefault="0081115D">
      <w:pPr>
        <w:pStyle w:val="a3"/>
        <w:ind w:left="418"/>
      </w:pPr>
      <w:r>
        <w:t>30dB(A)</w:t>
      </w:r>
      <w:r>
        <w:t>。无声要求高的检测，可采取暂时停止空调、隔断气流等措施。</w:t>
      </w:r>
      <w:r>
        <w:t xml:space="preserve"> </w:t>
      </w:r>
    </w:p>
    <w:p w14:paraId="7B857B21" w14:textId="77777777" w:rsidR="00A71EEF" w:rsidRDefault="00A71EEF">
      <w:pPr>
        <w:pStyle w:val="a3"/>
        <w:spacing w:before="1"/>
        <w:rPr>
          <w:sz w:val="18"/>
        </w:rPr>
      </w:pPr>
    </w:p>
    <w:p w14:paraId="4AD1961A" w14:textId="77777777" w:rsidR="00A71EEF" w:rsidRDefault="0081115D">
      <w:pPr>
        <w:pStyle w:val="a4"/>
        <w:numPr>
          <w:ilvl w:val="2"/>
          <w:numId w:val="159"/>
        </w:numPr>
        <w:tabs>
          <w:tab w:val="left" w:pos="1370"/>
        </w:tabs>
        <w:spacing w:before="1" w:line="446" w:lineRule="auto"/>
        <w:ind w:left="418" w:right="1498" w:firstLine="422"/>
        <w:rPr>
          <w:sz w:val="21"/>
        </w:rPr>
      </w:pPr>
      <w:r>
        <w:rPr>
          <w:spacing w:val="-3"/>
          <w:sz w:val="21"/>
        </w:rPr>
        <w:t>心血管造影室的操作区宜为</w:t>
      </w:r>
      <w:r>
        <w:rPr>
          <w:spacing w:val="-3"/>
          <w:sz w:val="21"/>
        </w:rPr>
        <w:t>Ⅲ</w:t>
      </w:r>
      <w:r>
        <w:rPr>
          <w:spacing w:val="-3"/>
          <w:sz w:val="21"/>
        </w:rPr>
        <w:t>级，洁净走廊应低于操作区一级，与相邻并相通房间应</w:t>
      </w:r>
      <w:r>
        <w:rPr>
          <w:spacing w:val="-19"/>
          <w:sz w:val="21"/>
        </w:rPr>
        <w:t>保持</w:t>
      </w:r>
      <w:r>
        <w:rPr>
          <w:spacing w:val="-19"/>
          <w:sz w:val="21"/>
        </w:rPr>
        <w:t xml:space="preserve"> </w:t>
      </w:r>
      <w:r>
        <w:rPr>
          <w:sz w:val="21"/>
        </w:rPr>
        <w:t>5Pa</w:t>
      </w:r>
      <w:r>
        <w:rPr>
          <w:spacing w:val="-8"/>
          <w:sz w:val="21"/>
        </w:rPr>
        <w:t xml:space="preserve"> </w:t>
      </w:r>
      <w:r>
        <w:rPr>
          <w:spacing w:val="-8"/>
          <w:sz w:val="21"/>
        </w:rPr>
        <w:t>的正压。辅助用房应采用普通空调。</w:t>
      </w:r>
      <w:r>
        <w:rPr>
          <w:sz w:val="21"/>
        </w:rPr>
        <w:t xml:space="preserve"> </w:t>
      </w:r>
    </w:p>
    <w:p w14:paraId="657839B0" w14:textId="77777777" w:rsidR="00A71EEF" w:rsidRDefault="0081115D">
      <w:pPr>
        <w:pStyle w:val="a4"/>
        <w:numPr>
          <w:ilvl w:val="2"/>
          <w:numId w:val="159"/>
        </w:numPr>
        <w:tabs>
          <w:tab w:val="left" w:pos="1370"/>
        </w:tabs>
        <w:spacing w:line="446" w:lineRule="auto"/>
        <w:ind w:right="2024" w:firstLine="2"/>
        <w:rPr>
          <w:sz w:val="21"/>
        </w:rPr>
      </w:pPr>
      <w:r>
        <w:rPr>
          <w:spacing w:val="-2"/>
          <w:sz w:val="21"/>
        </w:rPr>
        <w:t>放射科的检查室、控制室和机械间的空调系统和排风系统应符合下列要求：</w:t>
      </w:r>
      <w:r>
        <w:rPr>
          <w:spacing w:val="-2"/>
          <w:sz w:val="21"/>
        </w:rPr>
        <w:t xml:space="preserve"> </w:t>
      </w:r>
      <w:r>
        <w:rPr>
          <w:spacing w:val="-2"/>
          <w:sz w:val="21"/>
        </w:rPr>
        <w:t>应</w:t>
      </w:r>
      <w:r>
        <w:rPr>
          <w:spacing w:val="-3"/>
          <w:sz w:val="21"/>
        </w:rPr>
        <w:t>根据设备需要选择空调系统。</w:t>
      </w:r>
      <w:r>
        <w:rPr>
          <w:sz w:val="21"/>
        </w:rPr>
        <w:t xml:space="preserve"> </w:t>
      </w:r>
    </w:p>
    <w:p w14:paraId="5049F166" w14:textId="77777777" w:rsidR="00A71EEF" w:rsidRDefault="0081115D">
      <w:pPr>
        <w:pStyle w:val="a3"/>
        <w:spacing w:line="446" w:lineRule="auto"/>
        <w:ind w:left="418" w:right="1817" w:firstLine="419"/>
      </w:pPr>
      <w:r>
        <w:t>采用半集中式空调系统时，不应在机器上方设置任何风机盘管机组等末端装置及其凝水管。</w:t>
      </w:r>
      <w:r>
        <w:t xml:space="preserve"> </w:t>
      </w:r>
    </w:p>
    <w:p w14:paraId="3FBEB570" w14:textId="77777777" w:rsidR="00A71EEF" w:rsidRDefault="0081115D">
      <w:pPr>
        <w:pStyle w:val="a3"/>
        <w:spacing w:line="446" w:lineRule="auto"/>
        <w:ind w:left="418" w:right="1609" w:firstLine="419"/>
      </w:pPr>
      <w:r>
        <w:t>放射科的检查室、控制室和暗室应设排风系统，自动洗片机排风应采用防腐蚀的风管。排风管上应设止回阀。</w:t>
      </w:r>
      <w:r>
        <w:t xml:space="preserve"> </w:t>
      </w:r>
    </w:p>
    <w:p w14:paraId="12436C4C" w14:textId="77777777" w:rsidR="00A71EEF" w:rsidRDefault="0081115D">
      <w:pPr>
        <w:pStyle w:val="a3"/>
        <w:spacing w:line="267" w:lineRule="exact"/>
        <w:ind w:left="838"/>
      </w:pPr>
      <w:r>
        <w:t>在有射线屏蔽的房间，对于穿墙后的风管和配管，应采取不小于墙壁铅当量的屏蔽措施。</w:t>
      </w:r>
      <w:r>
        <w:t xml:space="preserve"> </w:t>
      </w:r>
    </w:p>
    <w:p w14:paraId="3F9E5496" w14:textId="77777777" w:rsidR="00A71EEF" w:rsidRDefault="00A71EEF">
      <w:pPr>
        <w:pStyle w:val="a3"/>
        <w:rPr>
          <w:sz w:val="20"/>
        </w:rPr>
      </w:pPr>
    </w:p>
    <w:p w14:paraId="381FC214" w14:textId="77777777" w:rsidR="00A71EEF" w:rsidRDefault="00A71EEF">
      <w:pPr>
        <w:pStyle w:val="a3"/>
        <w:rPr>
          <w:sz w:val="20"/>
        </w:rPr>
      </w:pPr>
    </w:p>
    <w:p w14:paraId="35654CF6" w14:textId="77777777" w:rsidR="00A71EEF" w:rsidRDefault="00A71EEF">
      <w:pPr>
        <w:pStyle w:val="a3"/>
        <w:spacing w:before="12"/>
        <w:rPr>
          <w:sz w:val="16"/>
        </w:rPr>
      </w:pPr>
    </w:p>
    <w:p w14:paraId="0A464F17" w14:textId="77777777" w:rsidR="00A71EEF" w:rsidRDefault="0081115D">
      <w:pPr>
        <w:pStyle w:val="a4"/>
        <w:numPr>
          <w:ilvl w:val="2"/>
          <w:numId w:val="159"/>
        </w:numPr>
        <w:tabs>
          <w:tab w:val="left" w:pos="1370"/>
        </w:tabs>
        <w:spacing w:line="446" w:lineRule="auto"/>
        <w:ind w:left="418" w:right="1550" w:firstLine="422"/>
        <w:jc w:val="both"/>
        <w:rPr>
          <w:sz w:val="21"/>
        </w:rPr>
      </w:pPr>
      <w:r>
        <w:rPr>
          <w:spacing w:val="-4"/>
          <w:sz w:val="21"/>
        </w:rPr>
        <w:t>磁共振室宜采用独立的恒温恒湿空调系统，室内温度应为</w:t>
      </w:r>
      <w:r>
        <w:rPr>
          <w:spacing w:val="-4"/>
          <w:sz w:val="21"/>
        </w:rPr>
        <w:t xml:space="preserve"> </w:t>
      </w:r>
      <w:r>
        <w:rPr>
          <w:sz w:val="21"/>
        </w:rPr>
        <w:t>22℃±2</w:t>
      </w:r>
      <w:r>
        <w:rPr>
          <w:spacing w:val="-2"/>
          <w:sz w:val="21"/>
        </w:rPr>
        <w:t>℃</w:t>
      </w:r>
      <w:r>
        <w:rPr>
          <w:spacing w:val="-2"/>
          <w:sz w:val="21"/>
        </w:rPr>
        <w:t>，相对湿度应为</w:t>
      </w:r>
      <w:r>
        <w:rPr>
          <w:spacing w:val="-2"/>
          <w:sz w:val="21"/>
        </w:rPr>
        <w:t>60</w:t>
      </w:r>
      <w:r>
        <w:rPr>
          <w:spacing w:val="-2"/>
          <w:sz w:val="21"/>
        </w:rPr>
        <w:t>％</w:t>
      </w:r>
      <w:r>
        <w:rPr>
          <w:spacing w:val="-2"/>
          <w:sz w:val="21"/>
        </w:rPr>
        <w:t>±10</w:t>
      </w:r>
      <w:r>
        <w:rPr>
          <w:spacing w:val="-3"/>
          <w:sz w:val="21"/>
        </w:rPr>
        <w:t>％。扫描间内应采用非磁性、屏蔽电磁波的风口，任何磁性管线不应穿越。磁共振机的液氦冷却系统应设置单独的排气系统，并应直接连接到磁共振机的室外排风管。管道应采用</w:t>
      </w:r>
      <w:r>
        <w:rPr>
          <w:spacing w:val="-7"/>
          <w:sz w:val="21"/>
        </w:rPr>
        <w:t>非磁性材料，管径不应小于</w:t>
      </w:r>
      <w:r>
        <w:rPr>
          <w:spacing w:val="-7"/>
          <w:sz w:val="21"/>
        </w:rPr>
        <w:t xml:space="preserve"> </w:t>
      </w:r>
      <w:r>
        <w:rPr>
          <w:sz w:val="21"/>
        </w:rPr>
        <w:t>250mm</w:t>
      </w:r>
      <w:r>
        <w:rPr>
          <w:sz w:val="21"/>
        </w:rPr>
        <w:t>。</w:t>
      </w:r>
      <w:r>
        <w:rPr>
          <w:sz w:val="21"/>
        </w:rPr>
        <w:t xml:space="preserve"> </w:t>
      </w:r>
      <w:r>
        <w:rPr>
          <w:spacing w:val="-2"/>
          <w:sz w:val="21"/>
        </w:rPr>
        <w:t xml:space="preserve"> </w:t>
      </w:r>
      <w:r>
        <w:rPr>
          <w:sz w:val="21"/>
        </w:rPr>
        <w:t xml:space="preserve"> </w:t>
      </w:r>
    </w:p>
    <w:p w14:paraId="4654D10A" w14:textId="77777777" w:rsidR="00A71EEF" w:rsidRDefault="0081115D">
      <w:pPr>
        <w:pStyle w:val="a4"/>
        <w:numPr>
          <w:ilvl w:val="2"/>
          <w:numId w:val="159"/>
        </w:numPr>
        <w:tabs>
          <w:tab w:val="left" w:pos="1371"/>
        </w:tabs>
        <w:spacing w:line="266" w:lineRule="exact"/>
        <w:ind w:left="1370"/>
        <w:jc w:val="both"/>
        <w:rPr>
          <w:sz w:val="21"/>
        </w:rPr>
      </w:pPr>
      <w:r>
        <w:rPr>
          <w:spacing w:val="-3"/>
          <w:sz w:val="21"/>
        </w:rPr>
        <w:t>核医学科所有核辐射风险的用房宜采用独立的恒温恒湿空调系统。扫描间温度应为</w:t>
      </w:r>
    </w:p>
    <w:p w14:paraId="3EE44280" w14:textId="77777777" w:rsidR="00A71EEF" w:rsidRDefault="00A71EEF">
      <w:pPr>
        <w:pStyle w:val="a3"/>
        <w:spacing w:before="2"/>
        <w:rPr>
          <w:sz w:val="18"/>
        </w:rPr>
      </w:pPr>
    </w:p>
    <w:p w14:paraId="55D8087B" w14:textId="77777777" w:rsidR="00A71EEF" w:rsidRDefault="0081115D">
      <w:pPr>
        <w:pStyle w:val="a3"/>
        <w:spacing w:line="446" w:lineRule="auto"/>
        <w:ind w:left="418" w:right="1452"/>
      </w:pPr>
      <w:r>
        <w:t>22℃±2</w:t>
      </w:r>
      <w:r>
        <w:rPr>
          <w:spacing w:val="-13"/>
        </w:rPr>
        <w:t>℃</w:t>
      </w:r>
      <w:r>
        <w:rPr>
          <w:spacing w:val="-13"/>
        </w:rPr>
        <w:t>，且</w:t>
      </w:r>
      <w:r>
        <w:rPr>
          <w:spacing w:val="-13"/>
        </w:rPr>
        <w:t xml:space="preserve"> </w:t>
      </w:r>
      <w:r>
        <w:t>1h</w:t>
      </w:r>
      <w:r>
        <w:rPr>
          <w:spacing w:val="-12"/>
        </w:rPr>
        <w:t xml:space="preserve"> </w:t>
      </w:r>
      <w:r>
        <w:rPr>
          <w:spacing w:val="-12"/>
        </w:rPr>
        <w:t>内的温度变化不宜大于</w:t>
      </w:r>
      <w:r>
        <w:rPr>
          <w:spacing w:val="-12"/>
        </w:rPr>
        <w:t xml:space="preserve"> </w:t>
      </w:r>
      <w:r>
        <w:t>3</w:t>
      </w:r>
      <w:r>
        <w:rPr>
          <w:spacing w:val="-7"/>
        </w:rPr>
        <w:t>℃</w:t>
      </w:r>
      <w:r>
        <w:rPr>
          <w:spacing w:val="-7"/>
        </w:rPr>
        <w:t>。扫描间相对湿度应为</w:t>
      </w:r>
      <w:r>
        <w:rPr>
          <w:spacing w:val="-7"/>
        </w:rPr>
        <w:t xml:space="preserve"> </w:t>
      </w:r>
      <w:r>
        <w:t>60</w:t>
      </w:r>
      <w:r>
        <w:t>％</w:t>
      </w:r>
      <w:r>
        <w:t>±10</w:t>
      </w:r>
      <w:r>
        <w:t>％</w:t>
      </w:r>
      <w:r>
        <w:rPr>
          <w:spacing w:val="-3"/>
        </w:rPr>
        <w:t>。其他房间可采用普通空调，但排风应按国家现行标准《临床核医学卫生防护标准》</w:t>
      </w:r>
      <w:r>
        <w:t>GBZ 120</w:t>
      </w:r>
      <w:r>
        <w:rPr>
          <w:spacing w:val="-7"/>
        </w:rPr>
        <w:t xml:space="preserve"> </w:t>
      </w:r>
      <w:r>
        <w:rPr>
          <w:spacing w:val="-7"/>
        </w:rPr>
        <w:t>和《医用放射性</w:t>
      </w:r>
      <w:r>
        <w:rPr>
          <w:spacing w:val="-5"/>
        </w:rPr>
        <w:t>废弃物管理卫生防护标准》</w:t>
      </w:r>
      <w:r>
        <w:t>GBZ 133</w:t>
      </w:r>
      <w:r>
        <w:rPr>
          <w:spacing w:val="-10"/>
        </w:rPr>
        <w:t xml:space="preserve"> </w:t>
      </w:r>
      <w:r>
        <w:rPr>
          <w:spacing w:val="-10"/>
        </w:rPr>
        <w:t>的规</w:t>
      </w:r>
      <w:r>
        <w:rPr>
          <w:spacing w:val="-10"/>
        </w:rPr>
        <w:t>定处理。</w:t>
      </w:r>
      <w:r>
        <w:t xml:space="preserve"> </w:t>
      </w:r>
    </w:p>
    <w:p w14:paraId="5BCA4AAC" w14:textId="77777777" w:rsidR="00A71EEF" w:rsidRDefault="0081115D">
      <w:pPr>
        <w:pStyle w:val="a4"/>
        <w:numPr>
          <w:ilvl w:val="2"/>
          <w:numId w:val="159"/>
        </w:numPr>
        <w:tabs>
          <w:tab w:val="left" w:pos="1371"/>
        </w:tabs>
        <w:spacing w:line="446" w:lineRule="auto"/>
        <w:ind w:left="418" w:right="1498" w:firstLine="422"/>
        <w:rPr>
          <w:sz w:val="21"/>
        </w:rPr>
      </w:pPr>
      <w:r>
        <w:rPr>
          <w:spacing w:val="-3"/>
          <w:sz w:val="21"/>
        </w:rPr>
        <w:t>放射性同位素治疗用房的空调系统，应根据放射性同位素种类与使用条件确定，宜采用全新风空调方式。放射性同位素管理区域内，相对于管理区域外应保持负压，排气风管宜采用氯乙烯衬里风管，并应在排风系统中设置气密性阀门；应在净化处理装置的排气侧设置风机，并应保持排风管内负压，排风机应后于空调系统关闭。当贮藏室、废物保管室贮藏放射性同</w:t>
      </w:r>
      <w:r>
        <w:rPr>
          <w:spacing w:val="-12"/>
          <w:sz w:val="21"/>
        </w:rPr>
        <w:t>位素时，应</w:t>
      </w:r>
      <w:r>
        <w:rPr>
          <w:spacing w:val="-12"/>
          <w:sz w:val="21"/>
        </w:rPr>
        <w:t xml:space="preserve"> </w:t>
      </w:r>
      <w:r>
        <w:rPr>
          <w:sz w:val="21"/>
        </w:rPr>
        <w:t>24h</w:t>
      </w:r>
      <w:r>
        <w:rPr>
          <w:spacing w:val="-12"/>
          <w:sz w:val="21"/>
        </w:rPr>
        <w:t xml:space="preserve"> </w:t>
      </w:r>
      <w:r>
        <w:rPr>
          <w:spacing w:val="-12"/>
          <w:sz w:val="21"/>
        </w:rPr>
        <w:t>排换气。</w:t>
      </w:r>
      <w:r>
        <w:rPr>
          <w:spacing w:val="-12"/>
          <w:sz w:val="21"/>
        </w:rPr>
        <w:t xml:space="preserve"> </w:t>
      </w:r>
    </w:p>
    <w:p w14:paraId="7A9F8937" w14:textId="77777777" w:rsidR="00A71EEF" w:rsidRDefault="0081115D">
      <w:pPr>
        <w:pStyle w:val="a4"/>
        <w:numPr>
          <w:ilvl w:val="1"/>
          <w:numId w:val="159"/>
        </w:numPr>
        <w:tabs>
          <w:tab w:val="left" w:pos="1159"/>
        </w:tabs>
        <w:spacing w:line="266" w:lineRule="exact"/>
        <w:ind w:hanging="319"/>
        <w:rPr>
          <w:b/>
          <w:sz w:val="21"/>
        </w:rPr>
      </w:pPr>
      <w:r>
        <w:rPr>
          <w:spacing w:val="-3"/>
          <w:sz w:val="21"/>
        </w:rPr>
        <w:t>中心</w:t>
      </w:r>
      <w:r>
        <w:rPr>
          <w:spacing w:val="-3"/>
          <w:sz w:val="21"/>
        </w:rPr>
        <w:t>(</w:t>
      </w:r>
      <w:r>
        <w:rPr>
          <w:spacing w:val="-3"/>
          <w:sz w:val="21"/>
        </w:rPr>
        <w:t>消毒</w:t>
      </w:r>
      <w:r>
        <w:rPr>
          <w:spacing w:val="-3"/>
          <w:sz w:val="21"/>
        </w:rPr>
        <w:t>)</w:t>
      </w:r>
      <w:r>
        <w:rPr>
          <w:spacing w:val="-3"/>
          <w:sz w:val="21"/>
        </w:rPr>
        <w:t>供应室</w:t>
      </w:r>
      <w:r>
        <w:rPr>
          <w:b/>
          <w:spacing w:val="-3"/>
          <w:w w:val="99"/>
          <w:sz w:val="21"/>
        </w:rPr>
        <w:t xml:space="preserve"> </w:t>
      </w:r>
    </w:p>
    <w:p w14:paraId="555FEFED" w14:textId="77777777" w:rsidR="00A71EEF" w:rsidRDefault="00A71EEF">
      <w:pPr>
        <w:pStyle w:val="a3"/>
        <w:spacing w:before="1"/>
        <w:rPr>
          <w:b/>
          <w:sz w:val="18"/>
        </w:rPr>
      </w:pPr>
    </w:p>
    <w:p w14:paraId="5C843522" w14:textId="77777777" w:rsidR="00A71EEF" w:rsidRDefault="0081115D">
      <w:pPr>
        <w:pStyle w:val="a4"/>
        <w:numPr>
          <w:ilvl w:val="2"/>
          <w:numId w:val="159"/>
        </w:numPr>
        <w:tabs>
          <w:tab w:val="left" w:pos="1371"/>
        </w:tabs>
        <w:ind w:left="1370"/>
        <w:rPr>
          <w:sz w:val="21"/>
        </w:rPr>
      </w:pPr>
      <w:r>
        <w:rPr>
          <w:spacing w:val="-3"/>
          <w:sz w:val="21"/>
        </w:rPr>
        <w:t>中心</w:t>
      </w:r>
      <w:r>
        <w:rPr>
          <w:spacing w:val="-3"/>
          <w:sz w:val="21"/>
        </w:rPr>
        <w:t>(</w:t>
      </w:r>
      <w:r>
        <w:rPr>
          <w:spacing w:val="-3"/>
          <w:sz w:val="21"/>
        </w:rPr>
        <w:t>消毒</w:t>
      </w:r>
      <w:r>
        <w:rPr>
          <w:spacing w:val="-3"/>
          <w:sz w:val="21"/>
        </w:rPr>
        <w:t>)</w:t>
      </w:r>
      <w:r>
        <w:rPr>
          <w:spacing w:val="-3"/>
          <w:sz w:val="21"/>
        </w:rPr>
        <w:t>供应室应保持有序压差梯度和定向气流。定向气流应经灭菌区流向去污</w:t>
      </w:r>
    </w:p>
    <w:p w14:paraId="56F7319E" w14:textId="77777777" w:rsidR="00A71EEF" w:rsidRDefault="00A71EEF">
      <w:pPr>
        <w:rPr>
          <w:sz w:val="21"/>
        </w:rPr>
        <w:sectPr w:rsidR="00A71EEF">
          <w:footerReference w:type="default" r:id="rId445"/>
          <w:pgSz w:w="11910" w:h="16850"/>
          <w:pgMar w:top="1220" w:right="0" w:bottom="1420" w:left="1260" w:header="0" w:footer="1239" w:gutter="0"/>
          <w:pgNumType w:start="1470"/>
          <w:cols w:space="720"/>
        </w:sectPr>
      </w:pPr>
    </w:p>
    <w:p w14:paraId="64375330" w14:textId="77777777" w:rsidR="00A71EEF" w:rsidRDefault="0081115D">
      <w:pPr>
        <w:pStyle w:val="a3"/>
        <w:spacing w:before="47" w:line="446" w:lineRule="auto"/>
        <w:ind w:left="418" w:right="1609"/>
        <w:jc w:val="both"/>
      </w:pPr>
      <w:r>
        <w:rPr>
          <w:spacing w:val="-5"/>
        </w:rPr>
        <w:t>区。无菌存放区对相邻并相通房间不应低于</w:t>
      </w:r>
      <w:r>
        <w:rPr>
          <w:spacing w:val="-5"/>
        </w:rPr>
        <w:t xml:space="preserve"> </w:t>
      </w:r>
      <w:r>
        <w:t>5Pa</w:t>
      </w:r>
      <w:r>
        <w:rPr>
          <w:spacing w:val="-7"/>
        </w:rPr>
        <w:t xml:space="preserve"> </w:t>
      </w:r>
      <w:r>
        <w:rPr>
          <w:spacing w:val="-7"/>
        </w:rPr>
        <w:t>的正压，去污区对相邻并相通房间和室外均应</w:t>
      </w:r>
      <w:r>
        <w:rPr>
          <w:spacing w:val="-13"/>
        </w:rPr>
        <w:t>维持不低于</w:t>
      </w:r>
      <w:r>
        <w:rPr>
          <w:spacing w:val="-13"/>
        </w:rPr>
        <w:t xml:space="preserve"> </w:t>
      </w:r>
      <w:r>
        <w:t>5Pa</w:t>
      </w:r>
      <w:r>
        <w:rPr>
          <w:spacing w:val="-12"/>
        </w:rPr>
        <w:t xml:space="preserve"> </w:t>
      </w:r>
      <w:r>
        <w:rPr>
          <w:spacing w:val="-12"/>
        </w:rPr>
        <w:t>的负压。</w:t>
      </w:r>
      <w:r>
        <w:rPr>
          <w:spacing w:val="-12"/>
        </w:rPr>
        <w:t xml:space="preserve"> </w:t>
      </w:r>
    </w:p>
    <w:p w14:paraId="397F3BA5" w14:textId="77777777" w:rsidR="00A71EEF" w:rsidRDefault="0081115D">
      <w:pPr>
        <w:pStyle w:val="a4"/>
        <w:numPr>
          <w:ilvl w:val="2"/>
          <w:numId w:val="159"/>
        </w:numPr>
        <w:tabs>
          <w:tab w:val="left" w:pos="1370"/>
        </w:tabs>
        <w:spacing w:line="446" w:lineRule="auto"/>
        <w:ind w:left="418" w:right="1498" w:firstLine="422"/>
        <w:jc w:val="both"/>
        <w:rPr>
          <w:sz w:val="21"/>
        </w:rPr>
      </w:pPr>
      <w:r>
        <w:rPr>
          <w:spacing w:val="-3"/>
          <w:sz w:val="21"/>
        </w:rPr>
        <w:t>无菌存放区宜按不低于</w:t>
      </w:r>
      <w:r>
        <w:rPr>
          <w:spacing w:val="-3"/>
          <w:sz w:val="21"/>
        </w:rPr>
        <w:t>Ⅳ</w:t>
      </w:r>
      <w:r>
        <w:rPr>
          <w:spacing w:val="-3"/>
          <w:sz w:val="21"/>
        </w:rPr>
        <w:t>级洁净用房设计，并应采用独立的净化空调系统。高压灭菌</w:t>
      </w:r>
      <w:r>
        <w:rPr>
          <w:spacing w:val="-5"/>
          <w:sz w:val="21"/>
        </w:rPr>
        <w:t>器应设置局部通风，低温灭菌室应有独立排风系统，温度冬季不宜低于</w:t>
      </w:r>
      <w:r>
        <w:rPr>
          <w:spacing w:val="-5"/>
          <w:sz w:val="21"/>
        </w:rPr>
        <w:t xml:space="preserve"> </w:t>
      </w:r>
      <w:r>
        <w:rPr>
          <w:sz w:val="21"/>
        </w:rPr>
        <w:t>18</w:t>
      </w:r>
      <w:r>
        <w:rPr>
          <w:spacing w:val="-3"/>
          <w:sz w:val="21"/>
        </w:rPr>
        <w:t>℃</w:t>
      </w:r>
      <w:r>
        <w:rPr>
          <w:spacing w:val="-3"/>
          <w:sz w:val="21"/>
        </w:rPr>
        <w:t>，夏季不宜高于</w:t>
      </w:r>
      <w:r>
        <w:rPr>
          <w:spacing w:val="-3"/>
          <w:sz w:val="21"/>
        </w:rPr>
        <w:t>24℃</w:t>
      </w:r>
      <w:r>
        <w:rPr>
          <w:spacing w:val="-7"/>
          <w:sz w:val="21"/>
        </w:rPr>
        <w:t>；室内相对湿度冬季不宜低于</w:t>
      </w:r>
      <w:r>
        <w:rPr>
          <w:spacing w:val="-7"/>
          <w:sz w:val="21"/>
        </w:rPr>
        <w:t xml:space="preserve"> </w:t>
      </w:r>
      <w:r>
        <w:rPr>
          <w:sz w:val="21"/>
        </w:rPr>
        <w:t>30</w:t>
      </w:r>
      <w:r>
        <w:rPr>
          <w:spacing w:val="-9"/>
          <w:sz w:val="21"/>
        </w:rPr>
        <w:t>％，夏季不宜高于</w:t>
      </w:r>
      <w:r>
        <w:rPr>
          <w:spacing w:val="-9"/>
          <w:sz w:val="21"/>
        </w:rPr>
        <w:t xml:space="preserve"> </w:t>
      </w:r>
      <w:r>
        <w:rPr>
          <w:sz w:val="21"/>
        </w:rPr>
        <w:t>60</w:t>
      </w:r>
      <w:r>
        <w:rPr>
          <w:spacing w:val="-2"/>
          <w:sz w:val="21"/>
        </w:rPr>
        <w:t>％。</w:t>
      </w:r>
      <w:r>
        <w:rPr>
          <w:sz w:val="21"/>
        </w:rPr>
        <w:t xml:space="preserve"> </w:t>
      </w:r>
    </w:p>
    <w:p w14:paraId="611FEF4C" w14:textId="77777777" w:rsidR="00A71EEF" w:rsidRDefault="0081115D">
      <w:pPr>
        <w:pStyle w:val="a4"/>
        <w:numPr>
          <w:ilvl w:val="2"/>
          <w:numId w:val="159"/>
        </w:numPr>
        <w:tabs>
          <w:tab w:val="left" w:pos="1371"/>
        </w:tabs>
        <w:spacing w:line="446" w:lineRule="auto"/>
        <w:ind w:left="418" w:right="1498" w:firstLine="422"/>
        <w:jc w:val="both"/>
        <w:rPr>
          <w:b/>
          <w:sz w:val="21"/>
        </w:rPr>
      </w:pPr>
      <w:r>
        <w:rPr>
          <w:spacing w:val="-3"/>
          <w:sz w:val="21"/>
        </w:rPr>
        <w:t>去污区应设置独立局部排风，总排风量不应低于负压所要求的差值风量。去污区内的回风口应设置不低于中效的空气过滤器。</w:t>
      </w:r>
      <w:r>
        <w:rPr>
          <w:b/>
          <w:w w:val="99"/>
          <w:sz w:val="21"/>
        </w:rPr>
        <w:t xml:space="preserve"> </w:t>
      </w:r>
    </w:p>
    <w:p w14:paraId="212C25F4" w14:textId="77777777" w:rsidR="00A71EEF" w:rsidRDefault="0081115D">
      <w:pPr>
        <w:pStyle w:val="a4"/>
        <w:numPr>
          <w:ilvl w:val="2"/>
          <w:numId w:val="159"/>
        </w:numPr>
        <w:tabs>
          <w:tab w:val="left" w:pos="1371"/>
        </w:tabs>
        <w:ind w:left="1370"/>
        <w:jc w:val="both"/>
        <w:rPr>
          <w:sz w:val="21"/>
        </w:rPr>
      </w:pPr>
      <w:r>
        <w:rPr>
          <w:spacing w:val="-6"/>
          <w:sz w:val="21"/>
        </w:rPr>
        <w:t>采</w:t>
      </w:r>
      <w:r>
        <w:rPr>
          <w:spacing w:val="-6"/>
          <w:sz w:val="21"/>
        </w:rPr>
        <w:t>用普通空调的区域冬季温度不宜低于</w:t>
      </w:r>
      <w:r>
        <w:rPr>
          <w:spacing w:val="-6"/>
          <w:sz w:val="21"/>
        </w:rPr>
        <w:t xml:space="preserve"> </w:t>
      </w:r>
      <w:r>
        <w:rPr>
          <w:sz w:val="21"/>
        </w:rPr>
        <w:t>18</w:t>
      </w:r>
      <w:r>
        <w:rPr>
          <w:spacing w:val="-8"/>
          <w:sz w:val="21"/>
        </w:rPr>
        <w:t>℃</w:t>
      </w:r>
      <w:r>
        <w:rPr>
          <w:spacing w:val="-8"/>
          <w:sz w:val="21"/>
        </w:rPr>
        <w:t>，夏季温度不宜高于</w:t>
      </w:r>
      <w:r>
        <w:rPr>
          <w:spacing w:val="-8"/>
          <w:sz w:val="21"/>
        </w:rPr>
        <w:t xml:space="preserve"> </w:t>
      </w:r>
      <w:r>
        <w:rPr>
          <w:sz w:val="21"/>
        </w:rPr>
        <w:t>26℃</w:t>
      </w:r>
      <w:r>
        <w:rPr>
          <w:sz w:val="21"/>
        </w:rPr>
        <w:t>。</w:t>
      </w:r>
      <w:r>
        <w:rPr>
          <w:sz w:val="21"/>
        </w:rPr>
        <w:t xml:space="preserve"> </w:t>
      </w:r>
    </w:p>
    <w:p w14:paraId="35B8D855" w14:textId="77777777" w:rsidR="00A71EEF" w:rsidRDefault="00A71EEF">
      <w:pPr>
        <w:pStyle w:val="a3"/>
        <w:spacing w:before="5"/>
        <w:rPr>
          <w:sz w:val="15"/>
        </w:rPr>
      </w:pPr>
    </w:p>
    <w:p w14:paraId="0F5014CA" w14:textId="77777777" w:rsidR="00A71EEF" w:rsidRDefault="0081115D">
      <w:pPr>
        <w:pStyle w:val="4"/>
      </w:pPr>
      <w:r>
        <w:t xml:space="preserve">8 </w:t>
      </w:r>
      <w:r>
        <w:t>电气</w:t>
      </w:r>
      <w:r>
        <w:rPr>
          <w:w w:val="99"/>
        </w:rPr>
        <w:t xml:space="preserve"> </w:t>
      </w:r>
    </w:p>
    <w:p w14:paraId="0E3A500B" w14:textId="77777777" w:rsidR="00A71EEF" w:rsidRDefault="00A71EEF">
      <w:pPr>
        <w:pStyle w:val="a3"/>
        <w:spacing w:before="6"/>
        <w:rPr>
          <w:b/>
          <w:sz w:val="17"/>
        </w:rPr>
      </w:pPr>
    </w:p>
    <w:p w14:paraId="6E1D747C" w14:textId="77777777" w:rsidR="00A71EEF" w:rsidRDefault="0081115D">
      <w:pPr>
        <w:pStyle w:val="a4"/>
        <w:numPr>
          <w:ilvl w:val="1"/>
          <w:numId w:val="158"/>
        </w:numPr>
        <w:tabs>
          <w:tab w:val="left" w:pos="1159"/>
        </w:tabs>
        <w:spacing w:before="1"/>
        <w:ind w:hanging="319"/>
        <w:rPr>
          <w:b/>
          <w:sz w:val="21"/>
        </w:rPr>
      </w:pPr>
      <w:r>
        <w:rPr>
          <w:spacing w:val="-3"/>
          <w:sz w:val="21"/>
        </w:rPr>
        <w:t>一般规定</w:t>
      </w:r>
      <w:r>
        <w:rPr>
          <w:b/>
          <w:w w:val="99"/>
          <w:sz w:val="21"/>
        </w:rPr>
        <w:t xml:space="preserve"> </w:t>
      </w:r>
    </w:p>
    <w:p w14:paraId="7B0AA59D" w14:textId="77777777" w:rsidR="00A71EEF" w:rsidRDefault="00A71EEF">
      <w:pPr>
        <w:pStyle w:val="a3"/>
        <w:spacing w:before="12"/>
        <w:rPr>
          <w:b/>
          <w:sz w:val="17"/>
        </w:rPr>
      </w:pPr>
    </w:p>
    <w:p w14:paraId="62807FE1" w14:textId="77777777" w:rsidR="00A71EEF" w:rsidRDefault="0081115D">
      <w:pPr>
        <w:pStyle w:val="a4"/>
        <w:numPr>
          <w:ilvl w:val="2"/>
          <w:numId w:val="158"/>
        </w:numPr>
        <w:tabs>
          <w:tab w:val="left" w:pos="1371"/>
        </w:tabs>
        <w:rPr>
          <w:sz w:val="21"/>
        </w:rPr>
      </w:pPr>
      <w:r>
        <w:rPr>
          <w:spacing w:val="-3"/>
          <w:sz w:val="21"/>
        </w:rPr>
        <w:t>医院的医疗场所应根据电气安全防护的要求分类，并应符合下列要求：</w:t>
      </w:r>
      <w:r>
        <w:rPr>
          <w:spacing w:val="-3"/>
          <w:sz w:val="21"/>
        </w:rPr>
        <w:t xml:space="preserve"> </w:t>
      </w:r>
      <w:r>
        <w:rPr>
          <w:spacing w:val="-2"/>
          <w:sz w:val="21"/>
        </w:rPr>
        <w:t xml:space="preserve"> </w:t>
      </w:r>
      <w:r>
        <w:rPr>
          <w:sz w:val="21"/>
        </w:rPr>
        <w:t xml:space="preserve"> </w:t>
      </w:r>
    </w:p>
    <w:p w14:paraId="76B6C0B6" w14:textId="77777777" w:rsidR="00A71EEF" w:rsidRDefault="00A71EEF">
      <w:pPr>
        <w:pStyle w:val="a3"/>
        <w:spacing w:before="12"/>
        <w:rPr>
          <w:sz w:val="17"/>
        </w:rPr>
      </w:pPr>
    </w:p>
    <w:p w14:paraId="5C0C0E7C" w14:textId="77777777" w:rsidR="00A71EEF" w:rsidRDefault="0081115D">
      <w:pPr>
        <w:pStyle w:val="a3"/>
        <w:ind w:left="838"/>
      </w:pPr>
      <w:r>
        <w:t>不使用医疗电气设备接触部件的医疗场所应为</w:t>
      </w:r>
      <w:r>
        <w:t xml:space="preserve"> 0 </w:t>
      </w:r>
      <w:r>
        <w:t>类场所；</w:t>
      </w:r>
      <w:r>
        <w:t xml:space="preserve">  </w:t>
      </w:r>
      <w:r>
        <w:t xml:space="preserve"> </w:t>
      </w:r>
    </w:p>
    <w:p w14:paraId="55949B5D" w14:textId="77777777" w:rsidR="00A71EEF" w:rsidRDefault="00A71EEF">
      <w:pPr>
        <w:pStyle w:val="a3"/>
        <w:spacing w:before="2"/>
        <w:rPr>
          <w:sz w:val="18"/>
        </w:rPr>
      </w:pPr>
    </w:p>
    <w:p w14:paraId="41192357" w14:textId="77777777" w:rsidR="00A71EEF" w:rsidRDefault="0081115D">
      <w:pPr>
        <w:pStyle w:val="a3"/>
        <w:spacing w:line="446" w:lineRule="auto"/>
        <w:ind w:left="418" w:right="1611" w:firstLine="419"/>
      </w:pPr>
      <w:r>
        <w:rPr>
          <w:spacing w:val="-5"/>
        </w:rPr>
        <w:t>医疗电气设备接触部件需要与患者体表、体内</w:t>
      </w:r>
      <w:r>
        <w:rPr>
          <w:spacing w:val="-5"/>
        </w:rPr>
        <w:t>(</w:t>
      </w:r>
      <w:r>
        <w:rPr>
          <w:spacing w:val="-5"/>
        </w:rPr>
        <w:t>除</w:t>
      </w:r>
      <w:r>
        <w:rPr>
          <w:spacing w:val="-5"/>
        </w:rPr>
        <w:t xml:space="preserve"> </w:t>
      </w:r>
      <w:r>
        <w:t>2</w:t>
      </w:r>
      <w:r>
        <w:rPr>
          <w:spacing w:val="-7"/>
        </w:rPr>
        <w:t xml:space="preserve"> </w:t>
      </w:r>
      <w:r>
        <w:rPr>
          <w:spacing w:val="-7"/>
        </w:rPr>
        <w:t>类医疗场所所述部位以外</w:t>
      </w:r>
      <w:r>
        <w:rPr>
          <w:spacing w:val="-7"/>
        </w:rPr>
        <w:t>)</w:t>
      </w:r>
      <w:r>
        <w:rPr>
          <w:spacing w:val="-7"/>
        </w:rPr>
        <w:t>接触的医疗</w:t>
      </w:r>
      <w:r>
        <w:rPr>
          <w:spacing w:val="-13"/>
        </w:rPr>
        <w:t>场所，应为</w:t>
      </w:r>
      <w:r>
        <w:rPr>
          <w:spacing w:val="-13"/>
        </w:rPr>
        <w:t xml:space="preserve"> </w:t>
      </w:r>
      <w:r>
        <w:t>1</w:t>
      </w:r>
      <w:r>
        <w:rPr>
          <w:spacing w:val="-12"/>
        </w:rPr>
        <w:t xml:space="preserve"> </w:t>
      </w:r>
      <w:r>
        <w:rPr>
          <w:spacing w:val="-12"/>
        </w:rPr>
        <w:t>类场所；</w:t>
      </w:r>
      <w:r>
        <w:rPr>
          <w:spacing w:val="-12"/>
        </w:rPr>
        <w:t xml:space="preserve"> </w:t>
      </w:r>
      <w:r>
        <w:rPr>
          <w:spacing w:val="-2"/>
        </w:rPr>
        <w:t xml:space="preserve"> </w:t>
      </w:r>
      <w:r>
        <w:t xml:space="preserve"> </w:t>
      </w:r>
    </w:p>
    <w:p w14:paraId="7C6D914D" w14:textId="77777777" w:rsidR="00A71EEF" w:rsidRDefault="0081115D">
      <w:pPr>
        <w:pStyle w:val="a3"/>
        <w:spacing w:line="446" w:lineRule="auto"/>
        <w:ind w:left="418" w:right="1611" w:firstLine="419"/>
      </w:pPr>
      <w:r>
        <w:t>医疗电气设备接触部件需要与患者体内</w:t>
      </w:r>
      <w:r>
        <w:t>(</w:t>
      </w:r>
      <w:r>
        <w:t>指心脏或接近心脏部位</w:t>
      </w:r>
      <w:r>
        <w:t>)</w:t>
      </w:r>
      <w:r>
        <w:t>接触以及电源中断危及患者生命的医疗场所，应为</w:t>
      </w:r>
      <w:r>
        <w:t xml:space="preserve"> 2 </w:t>
      </w:r>
      <w:r>
        <w:t>类场所。</w:t>
      </w:r>
      <w:r>
        <w:t xml:space="preserve"> </w:t>
      </w:r>
    </w:p>
    <w:p w14:paraId="126C28DE" w14:textId="77777777" w:rsidR="00A71EEF" w:rsidRDefault="0081115D">
      <w:pPr>
        <w:pStyle w:val="a4"/>
        <w:numPr>
          <w:ilvl w:val="2"/>
          <w:numId w:val="158"/>
        </w:numPr>
        <w:tabs>
          <w:tab w:val="left" w:pos="1370"/>
        </w:tabs>
        <w:ind w:left="1369" w:hanging="530"/>
        <w:rPr>
          <w:sz w:val="21"/>
        </w:rPr>
      </w:pPr>
      <w:r>
        <w:rPr>
          <w:spacing w:val="-6"/>
          <w:sz w:val="21"/>
        </w:rPr>
        <w:t>医疗场所分类及自动恢复供电时间宜符合表</w:t>
      </w:r>
      <w:r>
        <w:rPr>
          <w:spacing w:val="-6"/>
          <w:sz w:val="21"/>
        </w:rPr>
        <w:t xml:space="preserve"> </w:t>
      </w:r>
      <w:r>
        <w:rPr>
          <w:sz w:val="21"/>
        </w:rPr>
        <w:t>8.1.2</w:t>
      </w:r>
      <w:r>
        <w:rPr>
          <w:spacing w:val="-16"/>
          <w:sz w:val="21"/>
        </w:rPr>
        <w:t xml:space="preserve"> </w:t>
      </w:r>
      <w:r>
        <w:rPr>
          <w:spacing w:val="-16"/>
          <w:sz w:val="21"/>
        </w:rPr>
        <w:t>规定。</w:t>
      </w:r>
      <w:r>
        <w:rPr>
          <w:sz w:val="21"/>
        </w:rPr>
        <w:t xml:space="preserve"> </w:t>
      </w:r>
    </w:p>
    <w:p w14:paraId="5A6883B8" w14:textId="77777777" w:rsidR="00A71EEF" w:rsidRDefault="00A71EEF">
      <w:pPr>
        <w:rPr>
          <w:sz w:val="21"/>
        </w:rPr>
        <w:sectPr w:rsidR="00A71EEF">
          <w:pgSz w:w="11910" w:h="16850"/>
          <w:pgMar w:top="1220" w:right="0" w:bottom="1420" w:left="1260" w:header="0" w:footer="1239" w:gutter="0"/>
          <w:cols w:space="720"/>
        </w:sectPr>
      </w:pPr>
    </w:p>
    <w:p w14:paraId="76921716" w14:textId="77777777" w:rsidR="00A71EEF" w:rsidRDefault="0081115D">
      <w:pPr>
        <w:pStyle w:val="6"/>
        <w:spacing w:before="47"/>
        <w:ind w:left="1939"/>
      </w:pPr>
      <w:r>
        <w:t>表</w:t>
      </w:r>
      <w:r>
        <w:t xml:space="preserve"> 8.1.2 </w:t>
      </w:r>
      <w:r>
        <w:t>医疗场所及设施的类别划分及要求恢复供电的时间</w:t>
      </w:r>
      <w:r>
        <w:rPr>
          <w:w w:val="99"/>
        </w:rPr>
        <w:t xml:space="preserve"> </w:t>
      </w:r>
    </w:p>
    <w:p w14:paraId="5D8CA0C0" w14:textId="77777777" w:rsidR="00A71EEF" w:rsidRDefault="0081115D">
      <w:pPr>
        <w:pStyle w:val="a3"/>
        <w:spacing w:before="5"/>
        <w:rPr>
          <w:b/>
          <w:sz w:val="11"/>
        </w:rPr>
      </w:pPr>
      <w:r>
        <w:rPr>
          <w:noProof/>
        </w:rPr>
        <w:drawing>
          <wp:anchor distT="0" distB="0" distL="0" distR="0" simplePos="0" relativeHeight="251695616" behindDoc="0" locked="0" layoutInCell="1" allowOverlap="1" wp14:anchorId="741B3041" wp14:editId="52171F0E">
            <wp:simplePos x="0" y="0"/>
            <wp:positionH relativeFrom="page">
              <wp:posOffset>1065530</wp:posOffset>
            </wp:positionH>
            <wp:positionV relativeFrom="paragraph">
              <wp:posOffset>117562</wp:posOffset>
            </wp:positionV>
            <wp:extent cx="4969167" cy="7629525"/>
            <wp:effectExtent l="0" t="0" r="0" b="0"/>
            <wp:wrapTopAndBottom/>
            <wp:docPr id="647" name="image3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image372.png"/>
                    <pic:cNvPicPr/>
                  </pic:nvPicPr>
                  <pic:blipFill>
                    <a:blip r:embed="rId446" cstate="print"/>
                    <a:stretch>
                      <a:fillRect/>
                    </a:stretch>
                  </pic:blipFill>
                  <pic:spPr>
                    <a:xfrm>
                      <a:off x="0" y="0"/>
                      <a:ext cx="4969167" cy="7629525"/>
                    </a:xfrm>
                    <a:prstGeom prst="rect">
                      <a:avLst/>
                    </a:prstGeom>
                  </pic:spPr>
                </pic:pic>
              </a:graphicData>
            </a:graphic>
          </wp:anchor>
        </w:drawing>
      </w:r>
    </w:p>
    <w:p w14:paraId="76FFC608" w14:textId="77777777" w:rsidR="00A71EEF" w:rsidRDefault="00A71EEF">
      <w:pPr>
        <w:rPr>
          <w:sz w:val="11"/>
        </w:rPr>
        <w:sectPr w:rsidR="00A71EEF">
          <w:pgSz w:w="11910" w:h="16850"/>
          <w:pgMar w:top="1220" w:right="0" w:bottom="1420" w:left="1260" w:header="0" w:footer="1239" w:gutter="0"/>
          <w:cols w:space="720"/>
        </w:sectPr>
      </w:pPr>
    </w:p>
    <w:p w14:paraId="4D5D0A68" w14:textId="77777777" w:rsidR="00A71EEF" w:rsidRDefault="0081115D">
      <w:pPr>
        <w:pStyle w:val="a3"/>
        <w:rPr>
          <w:b/>
          <w:sz w:val="20"/>
        </w:rPr>
      </w:pPr>
      <w:r>
        <w:pict w14:anchorId="5C0F3639">
          <v:group id="_x0000_s1122" style="position:absolute;margin-left:82.45pt;margin-top:62.1pt;width:442.4pt;height:719.85pt;z-index:-251522560;mso-position-horizontal-relative:page;mso-position-vertical-relative:page" coordorigin="1649,1242" coordsize="8848,14397">
            <v:rect id="_x0000_s1125" style="position:absolute;left:1649;top:15139;width:8848;height:500" stroked="f"/>
            <v:shape id="_x0000_s1124" type="#_x0000_t75" style="position:absolute;left:2152;top:6226;width:8154;height:8910">
              <v:imagedata r:id="rId447" o:title=""/>
            </v:shape>
            <v:shape id="_x0000_s1123" type="#_x0000_t75" style="position:absolute;left:2187;top:1242;width:8118;height:4984">
              <v:imagedata r:id="rId448" o:title=""/>
            </v:shape>
            <w10:wrap anchorx="page" anchory="page"/>
          </v:group>
        </w:pict>
      </w:r>
    </w:p>
    <w:p w14:paraId="05650809" w14:textId="77777777" w:rsidR="00A71EEF" w:rsidRDefault="00A71EEF">
      <w:pPr>
        <w:pStyle w:val="a3"/>
        <w:rPr>
          <w:b/>
          <w:sz w:val="20"/>
        </w:rPr>
      </w:pPr>
    </w:p>
    <w:p w14:paraId="0FF1E2FE" w14:textId="77777777" w:rsidR="00A71EEF" w:rsidRDefault="00A71EEF">
      <w:pPr>
        <w:pStyle w:val="a3"/>
        <w:rPr>
          <w:b/>
          <w:sz w:val="20"/>
        </w:rPr>
      </w:pPr>
    </w:p>
    <w:p w14:paraId="4D9DD3B5" w14:textId="77777777" w:rsidR="00A71EEF" w:rsidRDefault="00A71EEF">
      <w:pPr>
        <w:pStyle w:val="a3"/>
        <w:rPr>
          <w:b/>
          <w:sz w:val="20"/>
        </w:rPr>
      </w:pPr>
    </w:p>
    <w:p w14:paraId="3ACFB1C1" w14:textId="77777777" w:rsidR="00A71EEF" w:rsidRDefault="00A71EEF">
      <w:pPr>
        <w:pStyle w:val="a3"/>
        <w:rPr>
          <w:b/>
          <w:sz w:val="20"/>
        </w:rPr>
      </w:pPr>
    </w:p>
    <w:p w14:paraId="4CE2FB46" w14:textId="77777777" w:rsidR="00A71EEF" w:rsidRDefault="00A71EEF">
      <w:pPr>
        <w:pStyle w:val="a3"/>
        <w:rPr>
          <w:b/>
          <w:sz w:val="20"/>
        </w:rPr>
      </w:pPr>
    </w:p>
    <w:p w14:paraId="3ACE952E" w14:textId="77777777" w:rsidR="00A71EEF" w:rsidRDefault="00A71EEF">
      <w:pPr>
        <w:pStyle w:val="a3"/>
        <w:rPr>
          <w:b/>
          <w:sz w:val="20"/>
        </w:rPr>
      </w:pPr>
    </w:p>
    <w:p w14:paraId="223DDD01" w14:textId="77777777" w:rsidR="00A71EEF" w:rsidRDefault="00A71EEF">
      <w:pPr>
        <w:pStyle w:val="a3"/>
        <w:rPr>
          <w:b/>
          <w:sz w:val="20"/>
        </w:rPr>
      </w:pPr>
    </w:p>
    <w:p w14:paraId="3A543A4B" w14:textId="77777777" w:rsidR="00A71EEF" w:rsidRDefault="00A71EEF">
      <w:pPr>
        <w:pStyle w:val="a3"/>
        <w:rPr>
          <w:b/>
          <w:sz w:val="20"/>
        </w:rPr>
      </w:pPr>
    </w:p>
    <w:p w14:paraId="4C4D1B4C" w14:textId="77777777" w:rsidR="00A71EEF" w:rsidRDefault="00A71EEF">
      <w:pPr>
        <w:pStyle w:val="a3"/>
        <w:rPr>
          <w:b/>
          <w:sz w:val="20"/>
        </w:rPr>
      </w:pPr>
    </w:p>
    <w:p w14:paraId="451D1A76" w14:textId="77777777" w:rsidR="00A71EEF" w:rsidRDefault="00A71EEF">
      <w:pPr>
        <w:pStyle w:val="a3"/>
        <w:rPr>
          <w:b/>
          <w:sz w:val="20"/>
        </w:rPr>
      </w:pPr>
    </w:p>
    <w:p w14:paraId="088CF145" w14:textId="77777777" w:rsidR="00A71EEF" w:rsidRDefault="00A71EEF">
      <w:pPr>
        <w:pStyle w:val="a3"/>
        <w:rPr>
          <w:b/>
          <w:sz w:val="20"/>
        </w:rPr>
      </w:pPr>
    </w:p>
    <w:p w14:paraId="221093B9" w14:textId="77777777" w:rsidR="00A71EEF" w:rsidRDefault="00A71EEF">
      <w:pPr>
        <w:pStyle w:val="a3"/>
        <w:rPr>
          <w:b/>
          <w:sz w:val="20"/>
        </w:rPr>
      </w:pPr>
    </w:p>
    <w:p w14:paraId="70FFE7C3" w14:textId="77777777" w:rsidR="00A71EEF" w:rsidRDefault="00A71EEF">
      <w:pPr>
        <w:pStyle w:val="a3"/>
        <w:rPr>
          <w:b/>
          <w:sz w:val="20"/>
        </w:rPr>
      </w:pPr>
    </w:p>
    <w:p w14:paraId="246B0F97" w14:textId="77777777" w:rsidR="00A71EEF" w:rsidRDefault="00A71EEF">
      <w:pPr>
        <w:pStyle w:val="a3"/>
        <w:rPr>
          <w:b/>
          <w:sz w:val="20"/>
        </w:rPr>
      </w:pPr>
    </w:p>
    <w:p w14:paraId="3A41CF20" w14:textId="77777777" w:rsidR="00A71EEF" w:rsidRDefault="00A71EEF">
      <w:pPr>
        <w:pStyle w:val="a3"/>
        <w:rPr>
          <w:b/>
          <w:sz w:val="20"/>
        </w:rPr>
      </w:pPr>
    </w:p>
    <w:p w14:paraId="09B3CC1B" w14:textId="77777777" w:rsidR="00A71EEF" w:rsidRDefault="00A71EEF">
      <w:pPr>
        <w:pStyle w:val="a3"/>
        <w:rPr>
          <w:b/>
          <w:sz w:val="20"/>
        </w:rPr>
      </w:pPr>
    </w:p>
    <w:p w14:paraId="51A9D43E" w14:textId="77777777" w:rsidR="00A71EEF" w:rsidRDefault="00A71EEF">
      <w:pPr>
        <w:pStyle w:val="a3"/>
        <w:rPr>
          <w:b/>
          <w:sz w:val="20"/>
        </w:rPr>
      </w:pPr>
    </w:p>
    <w:p w14:paraId="7B401D58" w14:textId="77777777" w:rsidR="00A71EEF" w:rsidRDefault="00A71EEF">
      <w:pPr>
        <w:pStyle w:val="a3"/>
        <w:rPr>
          <w:b/>
          <w:sz w:val="20"/>
        </w:rPr>
      </w:pPr>
    </w:p>
    <w:p w14:paraId="65B2BC77" w14:textId="77777777" w:rsidR="00A71EEF" w:rsidRDefault="00A71EEF">
      <w:pPr>
        <w:pStyle w:val="a3"/>
        <w:rPr>
          <w:b/>
          <w:sz w:val="20"/>
        </w:rPr>
      </w:pPr>
    </w:p>
    <w:p w14:paraId="14F5190B" w14:textId="77777777" w:rsidR="00A71EEF" w:rsidRDefault="00A71EEF">
      <w:pPr>
        <w:pStyle w:val="a3"/>
        <w:rPr>
          <w:b/>
          <w:sz w:val="20"/>
        </w:rPr>
      </w:pPr>
    </w:p>
    <w:p w14:paraId="19CE7F7C" w14:textId="77777777" w:rsidR="00A71EEF" w:rsidRDefault="00A71EEF">
      <w:pPr>
        <w:pStyle w:val="a3"/>
        <w:rPr>
          <w:b/>
          <w:sz w:val="20"/>
        </w:rPr>
      </w:pPr>
    </w:p>
    <w:p w14:paraId="21FD6C46" w14:textId="77777777" w:rsidR="00A71EEF" w:rsidRDefault="00A71EEF">
      <w:pPr>
        <w:pStyle w:val="a3"/>
        <w:rPr>
          <w:b/>
          <w:sz w:val="20"/>
        </w:rPr>
      </w:pPr>
    </w:p>
    <w:p w14:paraId="122F8410" w14:textId="77777777" w:rsidR="00A71EEF" w:rsidRDefault="00A71EEF">
      <w:pPr>
        <w:pStyle w:val="a3"/>
        <w:rPr>
          <w:b/>
          <w:sz w:val="20"/>
        </w:rPr>
      </w:pPr>
    </w:p>
    <w:p w14:paraId="43EA09FE" w14:textId="77777777" w:rsidR="00A71EEF" w:rsidRDefault="00A71EEF">
      <w:pPr>
        <w:pStyle w:val="a3"/>
        <w:rPr>
          <w:b/>
          <w:sz w:val="20"/>
        </w:rPr>
      </w:pPr>
    </w:p>
    <w:p w14:paraId="048E2740" w14:textId="77777777" w:rsidR="00A71EEF" w:rsidRDefault="00A71EEF">
      <w:pPr>
        <w:pStyle w:val="a3"/>
        <w:rPr>
          <w:b/>
          <w:sz w:val="20"/>
        </w:rPr>
      </w:pPr>
    </w:p>
    <w:p w14:paraId="5C846AC9" w14:textId="77777777" w:rsidR="00A71EEF" w:rsidRDefault="00A71EEF">
      <w:pPr>
        <w:pStyle w:val="a3"/>
        <w:rPr>
          <w:b/>
          <w:sz w:val="20"/>
        </w:rPr>
      </w:pPr>
    </w:p>
    <w:p w14:paraId="5F01851F" w14:textId="77777777" w:rsidR="00A71EEF" w:rsidRDefault="00A71EEF">
      <w:pPr>
        <w:pStyle w:val="a3"/>
        <w:rPr>
          <w:b/>
          <w:sz w:val="20"/>
        </w:rPr>
      </w:pPr>
    </w:p>
    <w:p w14:paraId="585CE9E0" w14:textId="77777777" w:rsidR="00A71EEF" w:rsidRDefault="00A71EEF">
      <w:pPr>
        <w:pStyle w:val="a3"/>
        <w:rPr>
          <w:b/>
          <w:sz w:val="20"/>
        </w:rPr>
      </w:pPr>
    </w:p>
    <w:p w14:paraId="7F851AA0" w14:textId="77777777" w:rsidR="00A71EEF" w:rsidRDefault="00A71EEF">
      <w:pPr>
        <w:pStyle w:val="a3"/>
        <w:rPr>
          <w:b/>
          <w:sz w:val="20"/>
        </w:rPr>
      </w:pPr>
    </w:p>
    <w:p w14:paraId="305B6DAD" w14:textId="77777777" w:rsidR="00A71EEF" w:rsidRDefault="00A71EEF">
      <w:pPr>
        <w:pStyle w:val="a3"/>
        <w:rPr>
          <w:b/>
          <w:sz w:val="20"/>
        </w:rPr>
      </w:pPr>
    </w:p>
    <w:p w14:paraId="3E8B61EF" w14:textId="77777777" w:rsidR="00A71EEF" w:rsidRDefault="00A71EEF">
      <w:pPr>
        <w:pStyle w:val="a3"/>
        <w:rPr>
          <w:b/>
          <w:sz w:val="20"/>
        </w:rPr>
      </w:pPr>
    </w:p>
    <w:p w14:paraId="0438F0BC" w14:textId="77777777" w:rsidR="00A71EEF" w:rsidRDefault="00A71EEF">
      <w:pPr>
        <w:pStyle w:val="a3"/>
        <w:rPr>
          <w:b/>
          <w:sz w:val="20"/>
        </w:rPr>
      </w:pPr>
    </w:p>
    <w:p w14:paraId="177806C9" w14:textId="77777777" w:rsidR="00A71EEF" w:rsidRDefault="00A71EEF">
      <w:pPr>
        <w:pStyle w:val="a3"/>
        <w:rPr>
          <w:b/>
          <w:sz w:val="20"/>
        </w:rPr>
      </w:pPr>
    </w:p>
    <w:p w14:paraId="72A9001E" w14:textId="77777777" w:rsidR="00A71EEF" w:rsidRDefault="00A71EEF">
      <w:pPr>
        <w:pStyle w:val="a3"/>
        <w:rPr>
          <w:b/>
          <w:sz w:val="20"/>
        </w:rPr>
      </w:pPr>
    </w:p>
    <w:p w14:paraId="58767A74" w14:textId="77777777" w:rsidR="00A71EEF" w:rsidRDefault="00A71EEF">
      <w:pPr>
        <w:pStyle w:val="a3"/>
        <w:rPr>
          <w:b/>
          <w:sz w:val="20"/>
        </w:rPr>
      </w:pPr>
    </w:p>
    <w:p w14:paraId="5444A236" w14:textId="77777777" w:rsidR="00A71EEF" w:rsidRDefault="00A71EEF">
      <w:pPr>
        <w:pStyle w:val="a3"/>
        <w:rPr>
          <w:b/>
          <w:sz w:val="20"/>
        </w:rPr>
      </w:pPr>
    </w:p>
    <w:p w14:paraId="680FC4EF" w14:textId="77777777" w:rsidR="00A71EEF" w:rsidRDefault="00A71EEF">
      <w:pPr>
        <w:pStyle w:val="a3"/>
        <w:rPr>
          <w:b/>
          <w:sz w:val="20"/>
        </w:rPr>
      </w:pPr>
    </w:p>
    <w:p w14:paraId="4003046D" w14:textId="77777777" w:rsidR="00A71EEF" w:rsidRDefault="00A71EEF">
      <w:pPr>
        <w:pStyle w:val="a3"/>
        <w:rPr>
          <w:b/>
          <w:sz w:val="20"/>
        </w:rPr>
      </w:pPr>
    </w:p>
    <w:p w14:paraId="4ECDB040" w14:textId="77777777" w:rsidR="00A71EEF" w:rsidRDefault="00A71EEF">
      <w:pPr>
        <w:pStyle w:val="a3"/>
        <w:rPr>
          <w:b/>
          <w:sz w:val="20"/>
        </w:rPr>
      </w:pPr>
    </w:p>
    <w:p w14:paraId="43EF5B3F" w14:textId="77777777" w:rsidR="00A71EEF" w:rsidRDefault="00A71EEF">
      <w:pPr>
        <w:pStyle w:val="a3"/>
        <w:rPr>
          <w:b/>
          <w:sz w:val="20"/>
        </w:rPr>
      </w:pPr>
    </w:p>
    <w:p w14:paraId="508C4B1D" w14:textId="77777777" w:rsidR="00A71EEF" w:rsidRDefault="00A71EEF">
      <w:pPr>
        <w:pStyle w:val="a3"/>
        <w:rPr>
          <w:b/>
          <w:sz w:val="20"/>
        </w:rPr>
      </w:pPr>
    </w:p>
    <w:p w14:paraId="312A7F76" w14:textId="77777777" w:rsidR="00A71EEF" w:rsidRDefault="00A71EEF">
      <w:pPr>
        <w:pStyle w:val="a3"/>
        <w:rPr>
          <w:b/>
          <w:sz w:val="20"/>
        </w:rPr>
      </w:pPr>
    </w:p>
    <w:p w14:paraId="4668A93C" w14:textId="77777777" w:rsidR="00A71EEF" w:rsidRDefault="00A71EEF">
      <w:pPr>
        <w:pStyle w:val="a3"/>
        <w:rPr>
          <w:b/>
          <w:sz w:val="20"/>
        </w:rPr>
      </w:pPr>
    </w:p>
    <w:p w14:paraId="383134B2" w14:textId="77777777" w:rsidR="00A71EEF" w:rsidRDefault="00A71EEF">
      <w:pPr>
        <w:pStyle w:val="a3"/>
        <w:rPr>
          <w:b/>
          <w:sz w:val="20"/>
        </w:rPr>
      </w:pPr>
    </w:p>
    <w:p w14:paraId="52BF5898" w14:textId="77777777" w:rsidR="00A71EEF" w:rsidRDefault="00A71EEF">
      <w:pPr>
        <w:pStyle w:val="a3"/>
        <w:rPr>
          <w:b/>
          <w:sz w:val="20"/>
        </w:rPr>
      </w:pPr>
    </w:p>
    <w:p w14:paraId="11B6A772" w14:textId="77777777" w:rsidR="00A71EEF" w:rsidRDefault="00A71EEF">
      <w:pPr>
        <w:pStyle w:val="a3"/>
        <w:rPr>
          <w:b/>
          <w:sz w:val="20"/>
        </w:rPr>
      </w:pPr>
    </w:p>
    <w:p w14:paraId="27428D4B" w14:textId="77777777" w:rsidR="00A71EEF" w:rsidRDefault="00A71EEF">
      <w:pPr>
        <w:pStyle w:val="a3"/>
        <w:rPr>
          <w:b/>
          <w:sz w:val="20"/>
        </w:rPr>
      </w:pPr>
    </w:p>
    <w:p w14:paraId="3F3337A9" w14:textId="77777777" w:rsidR="00A71EEF" w:rsidRDefault="00A71EEF">
      <w:pPr>
        <w:pStyle w:val="a3"/>
        <w:rPr>
          <w:b/>
          <w:sz w:val="20"/>
        </w:rPr>
      </w:pPr>
    </w:p>
    <w:p w14:paraId="2AEB17D3" w14:textId="77777777" w:rsidR="00A71EEF" w:rsidRDefault="00A71EEF">
      <w:pPr>
        <w:pStyle w:val="a3"/>
        <w:rPr>
          <w:b/>
          <w:sz w:val="20"/>
        </w:rPr>
      </w:pPr>
    </w:p>
    <w:p w14:paraId="17FDD3CB" w14:textId="77777777" w:rsidR="00A71EEF" w:rsidRDefault="00A71EEF">
      <w:pPr>
        <w:pStyle w:val="a3"/>
        <w:rPr>
          <w:b/>
          <w:sz w:val="20"/>
        </w:rPr>
      </w:pPr>
    </w:p>
    <w:p w14:paraId="7FB2D9ED" w14:textId="77777777" w:rsidR="00A71EEF" w:rsidRDefault="00A71EEF">
      <w:pPr>
        <w:pStyle w:val="a3"/>
        <w:rPr>
          <w:b/>
          <w:sz w:val="20"/>
        </w:rPr>
      </w:pPr>
    </w:p>
    <w:p w14:paraId="0B5F485F" w14:textId="77777777" w:rsidR="00A71EEF" w:rsidRDefault="00A71EEF">
      <w:pPr>
        <w:pStyle w:val="a3"/>
        <w:rPr>
          <w:b/>
          <w:sz w:val="20"/>
        </w:rPr>
      </w:pPr>
    </w:p>
    <w:p w14:paraId="61680DF2" w14:textId="77777777" w:rsidR="00A71EEF" w:rsidRDefault="00A71EEF">
      <w:pPr>
        <w:pStyle w:val="a3"/>
        <w:rPr>
          <w:b/>
          <w:sz w:val="20"/>
        </w:rPr>
      </w:pPr>
    </w:p>
    <w:p w14:paraId="6FEBE7E9" w14:textId="77777777" w:rsidR="00A71EEF" w:rsidRDefault="00A71EEF">
      <w:pPr>
        <w:pStyle w:val="a3"/>
        <w:rPr>
          <w:b/>
          <w:sz w:val="14"/>
        </w:rPr>
      </w:pPr>
    </w:p>
    <w:p w14:paraId="482CBE2B" w14:textId="77777777" w:rsidR="00A71EEF" w:rsidRDefault="0081115D">
      <w:pPr>
        <w:spacing w:before="72"/>
        <w:ind w:left="418"/>
        <w:rPr>
          <w:b/>
          <w:sz w:val="21"/>
        </w:rPr>
      </w:pPr>
      <w:r>
        <w:pict w14:anchorId="4EA01640">
          <v:shape id="_x0000_s1121" type="#_x0000_t202" style="position:absolute;left:0;text-align:left;margin-left:294.15pt;margin-top:7.15pt;width:19pt;height:9.4pt;z-index:-251523584;mso-position-horizontal-relative:page" filled="f" stroked="f">
            <v:textbox inset="0,0,0,0">
              <w:txbxContent>
                <w:p w14:paraId="7748D812" w14:textId="77777777" w:rsidR="00A71EEF" w:rsidRDefault="0081115D">
                  <w:pPr>
                    <w:spacing w:line="188" w:lineRule="exact"/>
                    <w:rPr>
                      <w:rFonts w:ascii="等线"/>
                      <w:sz w:val="18"/>
                    </w:rPr>
                  </w:pPr>
                  <w:r>
                    <w:rPr>
                      <w:rFonts w:ascii="等线"/>
                      <w:sz w:val="18"/>
                    </w:rPr>
                    <w:t>1473</w:t>
                  </w:r>
                </w:p>
              </w:txbxContent>
            </v:textbox>
            <w10:wrap anchorx="page"/>
          </v:shape>
        </w:pict>
      </w:r>
      <w:r>
        <w:rPr>
          <w:b/>
          <w:w w:val="99"/>
          <w:sz w:val="21"/>
        </w:rPr>
        <w:t xml:space="preserve"> </w:t>
      </w:r>
    </w:p>
    <w:p w14:paraId="77886071" w14:textId="77777777" w:rsidR="00A71EEF" w:rsidRDefault="00A71EEF">
      <w:pPr>
        <w:rPr>
          <w:sz w:val="21"/>
        </w:rPr>
        <w:sectPr w:rsidR="00A71EEF">
          <w:footerReference w:type="default" r:id="rId449"/>
          <w:pgSz w:w="11910" w:h="16850"/>
          <w:pgMar w:top="1240" w:right="0" w:bottom="280" w:left="1260" w:header="0" w:footer="0" w:gutter="0"/>
          <w:cols w:space="720"/>
        </w:sectPr>
      </w:pPr>
    </w:p>
    <w:p w14:paraId="45E8D3AD" w14:textId="77777777" w:rsidR="00A71EEF" w:rsidRDefault="0081115D">
      <w:pPr>
        <w:pStyle w:val="a3"/>
        <w:spacing w:before="47" w:line="446" w:lineRule="auto"/>
        <w:ind w:left="840" w:right="1551" w:firstLine="216"/>
      </w:pPr>
      <w:r>
        <w:t>注：</w:t>
      </w:r>
      <w:r>
        <w:t>a</w:t>
      </w:r>
      <w:r>
        <w:rPr>
          <w:spacing w:val="-9"/>
        </w:rPr>
        <w:t xml:space="preserve"> </w:t>
      </w:r>
      <w:r>
        <w:rPr>
          <w:spacing w:val="-9"/>
        </w:rPr>
        <w:t>为照明及生命支持电气设备；</w:t>
      </w:r>
      <w:r>
        <w:t>b</w:t>
      </w:r>
      <w:r>
        <w:rPr>
          <w:spacing w:val="-8"/>
        </w:rPr>
        <w:t xml:space="preserve"> </w:t>
      </w:r>
      <w:r>
        <w:rPr>
          <w:spacing w:val="-8"/>
        </w:rPr>
        <w:t>为不作为手术室；</w:t>
      </w:r>
      <w:r>
        <w:t>c</w:t>
      </w:r>
      <w:r>
        <w:rPr>
          <w:spacing w:val="-18"/>
        </w:rPr>
        <w:t xml:space="preserve"> </w:t>
      </w:r>
      <w:r>
        <w:rPr>
          <w:spacing w:val="-18"/>
        </w:rPr>
        <w:t>为需持续</w:t>
      </w:r>
      <w:r>
        <w:rPr>
          <w:spacing w:val="-18"/>
        </w:rPr>
        <w:t xml:space="preserve"> </w:t>
      </w:r>
      <w:r>
        <w:t>3</w:t>
      </w:r>
      <w:r>
        <w:t>～</w:t>
      </w:r>
      <w:r>
        <w:t>24h</w:t>
      </w:r>
      <w:r>
        <w:rPr>
          <w:spacing w:val="-11"/>
        </w:rPr>
        <w:t xml:space="preserve"> </w:t>
      </w:r>
      <w:r>
        <w:rPr>
          <w:spacing w:val="-11"/>
        </w:rPr>
        <w:t>提供电力。</w:t>
      </w:r>
      <w:r>
        <w:rPr>
          <w:b/>
        </w:rPr>
        <w:t>8.1.3</w:t>
      </w:r>
      <w:r>
        <w:rPr>
          <w:b/>
          <w:spacing w:val="103"/>
        </w:rPr>
        <w:t xml:space="preserve"> </w:t>
      </w:r>
      <w:r>
        <w:rPr>
          <w:spacing w:val="-8"/>
        </w:rPr>
        <w:t>医疗用房内严禁采用</w:t>
      </w:r>
      <w:r>
        <w:rPr>
          <w:spacing w:val="-8"/>
        </w:rPr>
        <w:t xml:space="preserve"> </w:t>
      </w:r>
      <w:r>
        <w:t>TN-C</w:t>
      </w:r>
      <w:r>
        <w:rPr>
          <w:spacing w:val="-11"/>
        </w:rPr>
        <w:t xml:space="preserve"> </w:t>
      </w:r>
      <w:r>
        <w:rPr>
          <w:spacing w:val="-11"/>
        </w:rPr>
        <w:t>接地系统。</w:t>
      </w:r>
      <w:r>
        <w:t xml:space="preserve"> </w:t>
      </w:r>
    </w:p>
    <w:p w14:paraId="100D5ACF" w14:textId="77777777" w:rsidR="00A71EEF" w:rsidRDefault="0081115D">
      <w:pPr>
        <w:pStyle w:val="a4"/>
        <w:numPr>
          <w:ilvl w:val="1"/>
          <w:numId w:val="158"/>
        </w:numPr>
        <w:tabs>
          <w:tab w:val="left" w:pos="1159"/>
        </w:tabs>
        <w:spacing w:line="267" w:lineRule="exact"/>
        <w:ind w:hanging="319"/>
        <w:rPr>
          <w:b/>
          <w:sz w:val="21"/>
        </w:rPr>
      </w:pPr>
      <w:r>
        <w:rPr>
          <w:spacing w:val="-3"/>
          <w:sz w:val="21"/>
        </w:rPr>
        <w:t>电源</w:t>
      </w:r>
      <w:r>
        <w:rPr>
          <w:b/>
          <w:w w:val="99"/>
          <w:sz w:val="21"/>
        </w:rPr>
        <w:t xml:space="preserve"> </w:t>
      </w:r>
    </w:p>
    <w:p w14:paraId="6B616B32" w14:textId="77777777" w:rsidR="00A71EEF" w:rsidRDefault="00A71EEF">
      <w:pPr>
        <w:pStyle w:val="a3"/>
        <w:spacing w:before="2"/>
        <w:rPr>
          <w:b/>
          <w:sz w:val="18"/>
        </w:rPr>
      </w:pPr>
    </w:p>
    <w:p w14:paraId="135A5F9E" w14:textId="77777777" w:rsidR="00A71EEF" w:rsidRDefault="0081115D">
      <w:pPr>
        <w:pStyle w:val="a4"/>
        <w:numPr>
          <w:ilvl w:val="2"/>
          <w:numId w:val="158"/>
        </w:numPr>
        <w:tabs>
          <w:tab w:val="left" w:pos="1371"/>
        </w:tabs>
        <w:rPr>
          <w:sz w:val="21"/>
        </w:rPr>
      </w:pPr>
      <w:r>
        <w:rPr>
          <w:spacing w:val="-3"/>
          <w:sz w:val="21"/>
        </w:rPr>
        <w:t>医疗场所供配电系统应根据医疗场所分类及自动恢复供电时间的要求进行设计。</w:t>
      </w:r>
      <w:r>
        <w:rPr>
          <w:spacing w:val="-3"/>
          <w:sz w:val="21"/>
        </w:rPr>
        <w:t xml:space="preserve"> </w:t>
      </w:r>
    </w:p>
    <w:p w14:paraId="0D12ED05" w14:textId="77777777" w:rsidR="00A71EEF" w:rsidRDefault="00A71EEF">
      <w:pPr>
        <w:pStyle w:val="a3"/>
        <w:rPr>
          <w:sz w:val="18"/>
        </w:rPr>
      </w:pPr>
    </w:p>
    <w:p w14:paraId="2A1B8A45" w14:textId="77777777" w:rsidR="00A71EEF" w:rsidRDefault="0081115D">
      <w:pPr>
        <w:pStyle w:val="a4"/>
        <w:numPr>
          <w:ilvl w:val="2"/>
          <w:numId w:val="158"/>
        </w:numPr>
        <w:tabs>
          <w:tab w:val="left" w:pos="1370"/>
        </w:tabs>
        <w:ind w:left="1369" w:hanging="530"/>
        <w:rPr>
          <w:sz w:val="21"/>
        </w:rPr>
      </w:pPr>
      <w:r>
        <w:rPr>
          <w:spacing w:val="-3"/>
          <w:sz w:val="21"/>
        </w:rPr>
        <w:t>医疗场所配电系统的设计，应便于电源从主电网自动切换到安全电源系统。</w:t>
      </w:r>
      <w:r>
        <w:rPr>
          <w:spacing w:val="-3"/>
          <w:sz w:val="21"/>
        </w:rPr>
        <w:t xml:space="preserve"> </w:t>
      </w:r>
    </w:p>
    <w:p w14:paraId="7D944E68" w14:textId="77777777" w:rsidR="00A71EEF" w:rsidRDefault="00A71EEF">
      <w:pPr>
        <w:pStyle w:val="a3"/>
        <w:spacing w:before="12"/>
        <w:rPr>
          <w:sz w:val="17"/>
        </w:rPr>
      </w:pPr>
    </w:p>
    <w:p w14:paraId="3D90E7B7" w14:textId="77777777" w:rsidR="00A71EEF" w:rsidRDefault="0081115D">
      <w:pPr>
        <w:pStyle w:val="a4"/>
        <w:numPr>
          <w:ilvl w:val="2"/>
          <w:numId w:val="158"/>
        </w:numPr>
        <w:tabs>
          <w:tab w:val="left" w:pos="1370"/>
        </w:tabs>
        <w:ind w:left="1369" w:hanging="530"/>
        <w:rPr>
          <w:sz w:val="21"/>
        </w:rPr>
      </w:pPr>
      <w:r>
        <w:rPr>
          <w:spacing w:val="-3"/>
          <w:sz w:val="21"/>
        </w:rPr>
        <w:t>当医疗设备需要采用净化电源时，宜按科室集中设置。</w:t>
      </w:r>
      <w:r>
        <w:rPr>
          <w:sz w:val="21"/>
        </w:rPr>
        <w:t xml:space="preserve"> </w:t>
      </w:r>
    </w:p>
    <w:p w14:paraId="7B161BBD" w14:textId="77777777" w:rsidR="00A71EEF" w:rsidRDefault="00A71EEF">
      <w:pPr>
        <w:pStyle w:val="a3"/>
        <w:spacing w:before="2"/>
        <w:rPr>
          <w:sz w:val="18"/>
        </w:rPr>
      </w:pPr>
    </w:p>
    <w:p w14:paraId="1A330DB6" w14:textId="77777777" w:rsidR="00A71EEF" w:rsidRDefault="0081115D">
      <w:pPr>
        <w:pStyle w:val="a4"/>
        <w:numPr>
          <w:ilvl w:val="2"/>
          <w:numId w:val="158"/>
        </w:numPr>
        <w:tabs>
          <w:tab w:val="left" w:pos="1371"/>
        </w:tabs>
        <w:rPr>
          <w:sz w:val="21"/>
        </w:rPr>
      </w:pPr>
      <w:r>
        <w:rPr>
          <w:spacing w:val="-3"/>
          <w:sz w:val="21"/>
        </w:rPr>
        <w:t>放射科大型医疗设备的电源，应由变电所单独供电。</w:t>
      </w:r>
      <w:r>
        <w:rPr>
          <w:sz w:val="21"/>
        </w:rPr>
        <w:t xml:space="preserve"> </w:t>
      </w:r>
    </w:p>
    <w:p w14:paraId="33A1AFE6" w14:textId="77777777" w:rsidR="00A71EEF" w:rsidRDefault="00A71EEF">
      <w:pPr>
        <w:pStyle w:val="a3"/>
        <w:rPr>
          <w:sz w:val="18"/>
        </w:rPr>
      </w:pPr>
    </w:p>
    <w:p w14:paraId="5CE5C78B" w14:textId="77777777" w:rsidR="00A71EEF" w:rsidRDefault="0081115D">
      <w:pPr>
        <w:pStyle w:val="a4"/>
        <w:numPr>
          <w:ilvl w:val="2"/>
          <w:numId w:val="158"/>
        </w:numPr>
        <w:tabs>
          <w:tab w:val="left" w:pos="1371"/>
        </w:tabs>
        <w:spacing w:line="446" w:lineRule="auto"/>
        <w:ind w:left="418" w:right="1498" w:firstLine="422"/>
        <w:rPr>
          <w:sz w:val="21"/>
        </w:rPr>
      </w:pPr>
      <w:r>
        <w:rPr>
          <w:spacing w:val="-3"/>
          <w:sz w:val="21"/>
        </w:rPr>
        <w:t>放射科、核医学科、功能检查科、检验科等部门的医疗设备电源，应分别设置切断电源的隔离电器。</w:t>
      </w:r>
      <w:r>
        <w:rPr>
          <w:sz w:val="21"/>
        </w:rPr>
        <w:t xml:space="preserve"> </w:t>
      </w:r>
    </w:p>
    <w:p w14:paraId="76251A27" w14:textId="77777777" w:rsidR="00A71EEF" w:rsidRDefault="0081115D">
      <w:pPr>
        <w:pStyle w:val="a4"/>
        <w:numPr>
          <w:ilvl w:val="2"/>
          <w:numId w:val="158"/>
        </w:numPr>
        <w:tabs>
          <w:tab w:val="left" w:pos="1371"/>
        </w:tabs>
        <w:rPr>
          <w:sz w:val="21"/>
        </w:rPr>
      </w:pPr>
      <w:r>
        <w:rPr>
          <w:spacing w:val="-3"/>
          <w:sz w:val="21"/>
        </w:rPr>
        <w:t>大型医疗设备的电源系统，应满足设备对电源压降的要求。</w:t>
      </w:r>
      <w:r>
        <w:rPr>
          <w:sz w:val="21"/>
        </w:rPr>
        <w:t xml:space="preserve"> </w:t>
      </w:r>
    </w:p>
    <w:p w14:paraId="08693146" w14:textId="77777777" w:rsidR="00A71EEF" w:rsidRDefault="00A71EEF">
      <w:pPr>
        <w:pStyle w:val="a3"/>
        <w:spacing w:before="12"/>
        <w:rPr>
          <w:sz w:val="17"/>
        </w:rPr>
      </w:pPr>
    </w:p>
    <w:p w14:paraId="4693FB82" w14:textId="77777777" w:rsidR="00A71EEF" w:rsidRDefault="0081115D">
      <w:pPr>
        <w:pStyle w:val="a4"/>
        <w:numPr>
          <w:ilvl w:val="1"/>
          <w:numId w:val="158"/>
        </w:numPr>
        <w:tabs>
          <w:tab w:val="left" w:pos="1159"/>
        </w:tabs>
        <w:ind w:hanging="319"/>
        <w:rPr>
          <w:b/>
          <w:sz w:val="21"/>
        </w:rPr>
      </w:pPr>
      <w:r>
        <w:rPr>
          <w:spacing w:val="-3"/>
          <w:sz w:val="21"/>
        </w:rPr>
        <w:t>安全保护</w:t>
      </w:r>
      <w:r>
        <w:rPr>
          <w:b/>
          <w:w w:val="99"/>
          <w:sz w:val="21"/>
        </w:rPr>
        <w:t xml:space="preserve"> </w:t>
      </w:r>
    </w:p>
    <w:p w14:paraId="36248318" w14:textId="77777777" w:rsidR="00A71EEF" w:rsidRDefault="00A71EEF">
      <w:pPr>
        <w:pStyle w:val="a3"/>
        <w:rPr>
          <w:b/>
          <w:sz w:val="18"/>
        </w:rPr>
      </w:pPr>
    </w:p>
    <w:p w14:paraId="31C5F388" w14:textId="77777777" w:rsidR="00A71EEF" w:rsidRDefault="0081115D">
      <w:pPr>
        <w:pStyle w:val="a4"/>
        <w:numPr>
          <w:ilvl w:val="2"/>
          <w:numId w:val="158"/>
        </w:numPr>
        <w:tabs>
          <w:tab w:val="left" w:pos="1371"/>
        </w:tabs>
        <w:spacing w:line="446" w:lineRule="auto"/>
        <w:ind w:left="418" w:right="1553" w:firstLine="422"/>
        <w:rPr>
          <w:sz w:val="21"/>
        </w:rPr>
      </w:pPr>
      <w:r>
        <w:rPr>
          <w:sz w:val="21"/>
        </w:rPr>
        <w:t>1</w:t>
      </w:r>
      <w:r>
        <w:rPr>
          <w:spacing w:val="-24"/>
          <w:sz w:val="21"/>
        </w:rPr>
        <w:t xml:space="preserve"> </w:t>
      </w:r>
      <w:r>
        <w:rPr>
          <w:spacing w:val="-24"/>
          <w:sz w:val="21"/>
        </w:rPr>
        <w:t>类和</w:t>
      </w:r>
      <w:r>
        <w:rPr>
          <w:spacing w:val="-24"/>
          <w:sz w:val="21"/>
        </w:rPr>
        <w:t xml:space="preserve"> </w:t>
      </w:r>
      <w:r>
        <w:rPr>
          <w:sz w:val="21"/>
        </w:rPr>
        <w:t>2</w:t>
      </w:r>
      <w:r>
        <w:rPr>
          <w:spacing w:val="-8"/>
          <w:sz w:val="21"/>
        </w:rPr>
        <w:t xml:space="preserve"> </w:t>
      </w:r>
      <w:r>
        <w:rPr>
          <w:spacing w:val="-8"/>
          <w:sz w:val="21"/>
        </w:rPr>
        <w:t>类医疗场所使用隔离特低电压设备</w:t>
      </w:r>
      <w:r>
        <w:rPr>
          <w:spacing w:val="-8"/>
          <w:sz w:val="21"/>
        </w:rPr>
        <w:t>(</w:t>
      </w:r>
      <w:r>
        <w:rPr>
          <w:sz w:val="21"/>
        </w:rPr>
        <w:t>SELV</w:t>
      </w:r>
      <w:r>
        <w:rPr>
          <w:spacing w:val="-3"/>
          <w:sz w:val="21"/>
        </w:rPr>
        <w:t>)</w:t>
      </w:r>
      <w:r>
        <w:rPr>
          <w:spacing w:val="-3"/>
          <w:sz w:val="21"/>
        </w:rPr>
        <w:t>和保护特低电压设备</w:t>
      </w:r>
      <w:r>
        <w:rPr>
          <w:sz w:val="21"/>
        </w:rPr>
        <w:t>(PELV)</w:t>
      </w:r>
      <w:r>
        <w:rPr>
          <w:sz w:val="21"/>
        </w:rPr>
        <w:t>时，设</w:t>
      </w:r>
      <w:r>
        <w:rPr>
          <w:spacing w:val="-7"/>
          <w:sz w:val="21"/>
        </w:rPr>
        <w:t>备额定电压不应超过交流方均根值</w:t>
      </w:r>
      <w:r>
        <w:rPr>
          <w:spacing w:val="-7"/>
          <w:sz w:val="21"/>
        </w:rPr>
        <w:t xml:space="preserve"> </w:t>
      </w:r>
      <w:r>
        <w:rPr>
          <w:sz w:val="21"/>
        </w:rPr>
        <w:t>25V</w:t>
      </w:r>
      <w:r>
        <w:rPr>
          <w:spacing w:val="-16"/>
          <w:sz w:val="21"/>
        </w:rPr>
        <w:t xml:space="preserve"> </w:t>
      </w:r>
      <w:r>
        <w:rPr>
          <w:spacing w:val="-16"/>
          <w:sz w:val="21"/>
        </w:rPr>
        <w:t>或无纹波直流</w:t>
      </w:r>
      <w:r>
        <w:rPr>
          <w:spacing w:val="-16"/>
          <w:sz w:val="21"/>
        </w:rPr>
        <w:t xml:space="preserve"> </w:t>
      </w:r>
      <w:r>
        <w:rPr>
          <w:sz w:val="21"/>
        </w:rPr>
        <w:t>60V</w:t>
      </w:r>
      <w:r>
        <w:rPr>
          <w:spacing w:val="-3"/>
          <w:sz w:val="21"/>
        </w:rPr>
        <w:t>，并应采取绝缘保护。</w:t>
      </w:r>
      <w:r>
        <w:rPr>
          <w:sz w:val="21"/>
        </w:rPr>
        <w:t xml:space="preserve"> </w:t>
      </w:r>
    </w:p>
    <w:p w14:paraId="121C6AA5" w14:textId="77777777" w:rsidR="00A71EEF" w:rsidRDefault="0081115D">
      <w:pPr>
        <w:pStyle w:val="a4"/>
        <w:numPr>
          <w:ilvl w:val="2"/>
          <w:numId w:val="158"/>
        </w:numPr>
        <w:tabs>
          <w:tab w:val="left" w:pos="1370"/>
        </w:tabs>
        <w:spacing w:line="446" w:lineRule="auto"/>
        <w:ind w:left="838" w:right="2074" w:firstLine="2"/>
        <w:rPr>
          <w:sz w:val="21"/>
        </w:rPr>
      </w:pPr>
      <w:r>
        <w:rPr>
          <w:sz w:val="21"/>
        </w:rPr>
        <w:t>1</w:t>
      </w:r>
      <w:r>
        <w:rPr>
          <w:spacing w:val="-27"/>
          <w:sz w:val="21"/>
        </w:rPr>
        <w:t xml:space="preserve"> </w:t>
      </w:r>
      <w:r>
        <w:rPr>
          <w:spacing w:val="-27"/>
          <w:sz w:val="21"/>
        </w:rPr>
        <w:t>类和</w:t>
      </w:r>
      <w:r>
        <w:rPr>
          <w:spacing w:val="-27"/>
          <w:sz w:val="21"/>
        </w:rPr>
        <w:t xml:space="preserve"> </w:t>
      </w:r>
      <w:r>
        <w:rPr>
          <w:sz w:val="21"/>
        </w:rPr>
        <w:t>2</w:t>
      </w:r>
      <w:r>
        <w:rPr>
          <w:spacing w:val="-7"/>
          <w:sz w:val="21"/>
        </w:rPr>
        <w:t xml:space="preserve"> </w:t>
      </w:r>
      <w:r>
        <w:rPr>
          <w:spacing w:val="-7"/>
          <w:sz w:val="21"/>
        </w:rPr>
        <w:t>类医疗场所应设防止间接触电的断电保护，并应符合下列要求：</w:t>
      </w:r>
      <w:r>
        <w:rPr>
          <w:spacing w:val="-7"/>
          <w:sz w:val="21"/>
        </w:rPr>
        <w:t xml:space="preserve"> </w:t>
      </w:r>
      <w:r>
        <w:rPr>
          <w:sz w:val="21"/>
        </w:rPr>
        <w:t xml:space="preserve">IT </w:t>
      </w:r>
      <w:r>
        <w:rPr>
          <w:sz w:val="21"/>
        </w:rPr>
        <w:t>、</w:t>
      </w:r>
      <w:r>
        <w:rPr>
          <w:sz w:val="21"/>
        </w:rPr>
        <w:t>TN</w:t>
      </w:r>
      <w:r>
        <w:rPr>
          <w:sz w:val="21"/>
        </w:rPr>
        <w:t>、</w:t>
      </w:r>
      <w:r>
        <w:rPr>
          <w:sz w:val="21"/>
        </w:rPr>
        <w:t>TT</w:t>
      </w:r>
      <w:r>
        <w:rPr>
          <w:spacing w:val="-12"/>
          <w:sz w:val="21"/>
        </w:rPr>
        <w:t xml:space="preserve"> </w:t>
      </w:r>
      <w:r>
        <w:rPr>
          <w:spacing w:val="-12"/>
          <w:sz w:val="21"/>
        </w:rPr>
        <w:t>系统，接触电压不应超过</w:t>
      </w:r>
      <w:r>
        <w:rPr>
          <w:spacing w:val="-12"/>
          <w:sz w:val="21"/>
        </w:rPr>
        <w:t xml:space="preserve"> </w:t>
      </w:r>
      <w:r>
        <w:rPr>
          <w:sz w:val="21"/>
        </w:rPr>
        <w:t>25V</w:t>
      </w:r>
      <w:r>
        <w:rPr>
          <w:sz w:val="21"/>
        </w:rPr>
        <w:t>。</w:t>
      </w:r>
      <w:r>
        <w:rPr>
          <w:sz w:val="21"/>
        </w:rPr>
        <w:t xml:space="preserve"> </w:t>
      </w:r>
      <w:r>
        <w:rPr>
          <w:spacing w:val="-2"/>
          <w:sz w:val="21"/>
        </w:rPr>
        <w:t xml:space="preserve"> </w:t>
      </w:r>
      <w:r>
        <w:rPr>
          <w:sz w:val="21"/>
        </w:rPr>
        <w:t xml:space="preserve"> </w:t>
      </w:r>
    </w:p>
    <w:p w14:paraId="6734054B" w14:textId="77777777" w:rsidR="00A71EEF" w:rsidRDefault="0081115D">
      <w:pPr>
        <w:pStyle w:val="a3"/>
        <w:spacing w:line="446" w:lineRule="auto"/>
        <w:ind w:left="838" w:right="4239"/>
      </w:pPr>
      <w:r>
        <w:t>TN</w:t>
      </w:r>
      <w:r>
        <w:rPr>
          <w:spacing w:val="-10"/>
        </w:rPr>
        <w:t xml:space="preserve"> </w:t>
      </w:r>
      <w:r>
        <w:rPr>
          <w:spacing w:val="-10"/>
        </w:rPr>
        <w:t>系统最大分断时间</w:t>
      </w:r>
      <w:r>
        <w:rPr>
          <w:spacing w:val="-10"/>
        </w:rPr>
        <w:t xml:space="preserve"> </w:t>
      </w:r>
      <w:r>
        <w:t>230V</w:t>
      </w:r>
      <w:r>
        <w:rPr>
          <w:spacing w:val="-17"/>
        </w:rPr>
        <w:t xml:space="preserve"> </w:t>
      </w:r>
      <w:r>
        <w:rPr>
          <w:spacing w:val="-17"/>
        </w:rPr>
        <w:t>应为</w:t>
      </w:r>
      <w:r>
        <w:rPr>
          <w:spacing w:val="-17"/>
        </w:rPr>
        <w:t xml:space="preserve"> </w:t>
      </w:r>
      <w:r>
        <w:t>0.2s</w:t>
      </w:r>
      <w:r>
        <w:t>，</w:t>
      </w:r>
      <w:r>
        <w:t>400V</w:t>
      </w:r>
      <w:r>
        <w:rPr>
          <w:spacing w:val="-17"/>
        </w:rPr>
        <w:t xml:space="preserve"> </w:t>
      </w:r>
      <w:r>
        <w:rPr>
          <w:spacing w:val="-17"/>
        </w:rPr>
        <w:t>应为</w:t>
      </w:r>
      <w:r>
        <w:rPr>
          <w:spacing w:val="-17"/>
        </w:rPr>
        <w:t xml:space="preserve"> </w:t>
      </w:r>
      <w:r>
        <w:t>0.05s</w:t>
      </w:r>
      <w:r>
        <w:rPr>
          <w:spacing w:val="-3"/>
        </w:rPr>
        <w:t>。</w:t>
      </w:r>
      <w:r>
        <w:t>IT</w:t>
      </w:r>
      <w:r>
        <w:rPr>
          <w:spacing w:val="-11"/>
        </w:rPr>
        <w:t xml:space="preserve"> </w:t>
      </w:r>
      <w:r>
        <w:rPr>
          <w:spacing w:val="-11"/>
        </w:rPr>
        <w:t>系统中性点不配出，最大分断时间</w:t>
      </w:r>
      <w:r>
        <w:rPr>
          <w:spacing w:val="-11"/>
        </w:rPr>
        <w:t xml:space="preserve"> </w:t>
      </w:r>
      <w:r>
        <w:t>230V</w:t>
      </w:r>
      <w:r>
        <w:rPr>
          <w:spacing w:val="-23"/>
        </w:rPr>
        <w:t xml:space="preserve"> </w:t>
      </w:r>
      <w:r>
        <w:rPr>
          <w:spacing w:val="-23"/>
        </w:rPr>
        <w:t>应为</w:t>
      </w:r>
      <w:r>
        <w:rPr>
          <w:spacing w:val="-23"/>
        </w:rPr>
        <w:t xml:space="preserve"> </w:t>
      </w:r>
      <w:r>
        <w:t>0.2s</w:t>
      </w:r>
      <w:r>
        <w:rPr>
          <w:spacing w:val="-3"/>
        </w:rPr>
        <w:t>。</w:t>
      </w:r>
      <w:r>
        <w:rPr>
          <w:b/>
        </w:rPr>
        <w:t>8.3.3</w:t>
      </w:r>
      <w:r>
        <w:rPr>
          <w:b/>
          <w:spacing w:val="105"/>
        </w:rPr>
        <w:t xml:space="preserve"> </w:t>
      </w:r>
      <w:r>
        <w:rPr>
          <w:spacing w:val="-15"/>
        </w:rPr>
        <w:t>当采用</w:t>
      </w:r>
      <w:r>
        <w:rPr>
          <w:spacing w:val="-15"/>
        </w:rPr>
        <w:t xml:space="preserve"> </w:t>
      </w:r>
      <w:r>
        <w:t>TN</w:t>
      </w:r>
      <w:r>
        <w:rPr>
          <w:spacing w:val="-8"/>
        </w:rPr>
        <w:t xml:space="preserve"> </w:t>
      </w:r>
      <w:r>
        <w:rPr>
          <w:spacing w:val="-8"/>
        </w:rPr>
        <w:t>系统时，应符合下列要求：</w:t>
      </w:r>
      <w:r>
        <w:t xml:space="preserve"> </w:t>
      </w:r>
      <w:r>
        <w:rPr>
          <w:spacing w:val="-2"/>
        </w:rPr>
        <w:t xml:space="preserve"> </w:t>
      </w:r>
      <w:r>
        <w:t xml:space="preserve"> </w:t>
      </w:r>
    </w:p>
    <w:p w14:paraId="51BC07C7" w14:textId="77777777" w:rsidR="00A71EEF" w:rsidRDefault="0081115D">
      <w:pPr>
        <w:pStyle w:val="a3"/>
        <w:spacing w:line="446" w:lineRule="auto"/>
        <w:ind w:left="418" w:right="1503" w:firstLine="419"/>
      </w:pPr>
      <w:r>
        <w:rPr>
          <w:spacing w:val="-24"/>
        </w:rPr>
        <w:t>在</w:t>
      </w:r>
      <w:r>
        <w:rPr>
          <w:spacing w:val="-24"/>
        </w:rPr>
        <w:t xml:space="preserve"> </w:t>
      </w:r>
      <w:r>
        <w:t>1</w:t>
      </w:r>
      <w:r>
        <w:rPr>
          <w:spacing w:val="-12"/>
        </w:rPr>
        <w:t xml:space="preserve"> </w:t>
      </w:r>
      <w:r>
        <w:rPr>
          <w:spacing w:val="-12"/>
        </w:rPr>
        <w:t>类医疗场所中额定电流不大于</w:t>
      </w:r>
      <w:r>
        <w:rPr>
          <w:spacing w:val="-12"/>
        </w:rPr>
        <w:t xml:space="preserve"> </w:t>
      </w:r>
      <w:r>
        <w:t>32A</w:t>
      </w:r>
      <w:r>
        <w:rPr>
          <w:spacing w:val="-11"/>
        </w:rPr>
        <w:t xml:space="preserve"> </w:t>
      </w:r>
      <w:r>
        <w:rPr>
          <w:spacing w:val="-11"/>
        </w:rPr>
        <w:t>的终端回路，应采用最大剩余动作电流为</w:t>
      </w:r>
      <w:r>
        <w:rPr>
          <w:spacing w:val="-11"/>
        </w:rPr>
        <w:t xml:space="preserve"> </w:t>
      </w:r>
      <w:r>
        <w:t>30mA</w:t>
      </w:r>
      <w:r>
        <w:rPr>
          <w:spacing w:val="-17"/>
        </w:rPr>
        <w:t xml:space="preserve"> </w:t>
      </w:r>
      <w:r>
        <w:rPr>
          <w:spacing w:val="-17"/>
        </w:rPr>
        <w:t>的剩</w:t>
      </w:r>
      <w:r>
        <w:rPr>
          <w:spacing w:val="-7"/>
        </w:rPr>
        <w:t>余电流动作保护器。</w:t>
      </w:r>
      <w:r>
        <w:t xml:space="preserve"> </w:t>
      </w:r>
      <w:r>
        <w:rPr>
          <w:spacing w:val="-2"/>
        </w:rPr>
        <w:t xml:space="preserve"> </w:t>
      </w:r>
      <w:r>
        <w:t xml:space="preserve"> </w:t>
      </w:r>
    </w:p>
    <w:p w14:paraId="35834EF6" w14:textId="77777777" w:rsidR="00A71EEF" w:rsidRDefault="0081115D">
      <w:pPr>
        <w:pStyle w:val="a3"/>
        <w:spacing w:line="446" w:lineRule="auto"/>
        <w:ind w:left="838" w:right="2451"/>
      </w:pPr>
      <w:r>
        <w:rPr>
          <w:spacing w:val="-7"/>
        </w:rPr>
        <w:t>在</w:t>
      </w:r>
      <w:r>
        <w:rPr>
          <w:spacing w:val="-7"/>
        </w:rPr>
        <w:t xml:space="preserve"> </w:t>
      </w:r>
      <w:r>
        <w:t>2</w:t>
      </w:r>
      <w:r>
        <w:rPr>
          <w:spacing w:val="-6"/>
        </w:rPr>
        <w:t xml:space="preserve"> </w:t>
      </w:r>
      <w:r>
        <w:rPr>
          <w:spacing w:val="-6"/>
        </w:rPr>
        <w:t>类医疗场所的下列回路应设置额定剩余电流不超过</w:t>
      </w:r>
      <w:r>
        <w:rPr>
          <w:spacing w:val="-6"/>
        </w:rPr>
        <w:t xml:space="preserve"> </w:t>
      </w:r>
      <w:r>
        <w:t>30mA</w:t>
      </w:r>
      <w:r>
        <w:rPr>
          <w:spacing w:val="-5"/>
        </w:rPr>
        <w:t xml:space="preserve"> </w:t>
      </w:r>
      <w:r>
        <w:rPr>
          <w:spacing w:val="-5"/>
        </w:rPr>
        <w:t>的漏电保护器；</w:t>
      </w:r>
      <w:r>
        <w:rPr>
          <w:spacing w:val="-5"/>
        </w:rPr>
        <w:t xml:space="preserve"> </w:t>
      </w:r>
      <w:r>
        <w:t>1)</w:t>
      </w:r>
      <w:r>
        <w:rPr>
          <w:spacing w:val="-3"/>
        </w:rPr>
        <w:t>手术台驱动机构供电回路；</w:t>
      </w:r>
      <w:r>
        <w:rPr>
          <w:spacing w:val="-3"/>
        </w:rPr>
        <w:t xml:space="preserve"> </w:t>
      </w:r>
      <w:r>
        <w:rPr>
          <w:spacing w:val="-2"/>
        </w:rPr>
        <w:t xml:space="preserve"> </w:t>
      </w:r>
      <w:r>
        <w:t xml:space="preserve"> </w:t>
      </w:r>
    </w:p>
    <w:p w14:paraId="0978FBE7" w14:textId="77777777" w:rsidR="00A71EEF" w:rsidRDefault="0081115D">
      <w:pPr>
        <w:pStyle w:val="a4"/>
        <w:numPr>
          <w:ilvl w:val="0"/>
          <w:numId w:val="157"/>
        </w:numPr>
        <w:tabs>
          <w:tab w:val="left" w:pos="1051"/>
        </w:tabs>
        <w:rPr>
          <w:sz w:val="21"/>
        </w:rPr>
      </w:pPr>
      <w:r>
        <w:rPr>
          <w:spacing w:val="-15"/>
          <w:sz w:val="21"/>
        </w:rPr>
        <w:t>移动式</w:t>
      </w:r>
      <w:r>
        <w:rPr>
          <w:spacing w:val="-15"/>
          <w:sz w:val="21"/>
        </w:rPr>
        <w:t xml:space="preserve"> </w:t>
      </w:r>
      <w:r>
        <w:rPr>
          <w:sz w:val="21"/>
        </w:rPr>
        <w:t>X</w:t>
      </w:r>
      <w:r>
        <w:rPr>
          <w:spacing w:val="-9"/>
          <w:sz w:val="21"/>
        </w:rPr>
        <w:t xml:space="preserve"> </w:t>
      </w:r>
      <w:r>
        <w:rPr>
          <w:spacing w:val="-9"/>
          <w:sz w:val="21"/>
        </w:rPr>
        <w:t>射线装置回路；</w:t>
      </w:r>
      <w:r>
        <w:rPr>
          <w:spacing w:val="-9"/>
          <w:sz w:val="21"/>
        </w:rPr>
        <w:t xml:space="preserve"> </w:t>
      </w:r>
      <w:r>
        <w:rPr>
          <w:spacing w:val="-2"/>
          <w:sz w:val="21"/>
        </w:rPr>
        <w:t xml:space="preserve"> </w:t>
      </w:r>
      <w:r>
        <w:rPr>
          <w:sz w:val="21"/>
        </w:rPr>
        <w:t xml:space="preserve"> </w:t>
      </w:r>
    </w:p>
    <w:p w14:paraId="016479CE" w14:textId="77777777" w:rsidR="00A71EEF" w:rsidRDefault="00A71EEF">
      <w:pPr>
        <w:pStyle w:val="a3"/>
        <w:spacing w:before="9"/>
        <w:rPr>
          <w:sz w:val="17"/>
        </w:rPr>
      </w:pPr>
    </w:p>
    <w:p w14:paraId="06A17FBF" w14:textId="77777777" w:rsidR="00A71EEF" w:rsidRDefault="0081115D">
      <w:pPr>
        <w:pStyle w:val="a4"/>
        <w:numPr>
          <w:ilvl w:val="0"/>
          <w:numId w:val="157"/>
        </w:numPr>
        <w:tabs>
          <w:tab w:val="left" w:pos="1051"/>
        </w:tabs>
        <w:rPr>
          <w:sz w:val="21"/>
        </w:rPr>
      </w:pPr>
      <w:r>
        <w:rPr>
          <w:spacing w:val="-11"/>
          <w:sz w:val="21"/>
        </w:rPr>
        <w:t>额定容量超过</w:t>
      </w:r>
      <w:r>
        <w:rPr>
          <w:spacing w:val="-11"/>
          <w:sz w:val="21"/>
        </w:rPr>
        <w:t xml:space="preserve"> </w:t>
      </w:r>
      <w:r>
        <w:rPr>
          <w:sz w:val="21"/>
        </w:rPr>
        <w:t>5kV·A</w:t>
      </w:r>
      <w:r>
        <w:rPr>
          <w:spacing w:val="-9"/>
          <w:sz w:val="21"/>
        </w:rPr>
        <w:t xml:space="preserve"> </w:t>
      </w:r>
      <w:r>
        <w:rPr>
          <w:spacing w:val="-9"/>
          <w:sz w:val="21"/>
        </w:rPr>
        <w:t>的大型设备的回路</w:t>
      </w:r>
      <w:r>
        <w:rPr>
          <w:spacing w:val="-9"/>
          <w:sz w:val="21"/>
        </w:rPr>
        <w:t>；</w:t>
      </w:r>
      <w:r>
        <w:rPr>
          <w:spacing w:val="-9"/>
          <w:sz w:val="21"/>
        </w:rPr>
        <w:t xml:space="preserve"> </w:t>
      </w:r>
      <w:r>
        <w:rPr>
          <w:spacing w:val="-2"/>
          <w:sz w:val="21"/>
        </w:rPr>
        <w:t xml:space="preserve"> </w:t>
      </w:r>
      <w:r>
        <w:rPr>
          <w:sz w:val="21"/>
        </w:rPr>
        <w:t xml:space="preserve"> </w:t>
      </w:r>
    </w:p>
    <w:p w14:paraId="7CAE86CB" w14:textId="77777777" w:rsidR="00A71EEF" w:rsidRDefault="00A71EEF">
      <w:pPr>
        <w:pStyle w:val="a3"/>
        <w:spacing w:before="2"/>
        <w:rPr>
          <w:sz w:val="18"/>
        </w:rPr>
      </w:pPr>
    </w:p>
    <w:p w14:paraId="4E761F3A" w14:textId="77777777" w:rsidR="00A71EEF" w:rsidRDefault="0081115D">
      <w:pPr>
        <w:pStyle w:val="a4"/>
        <w:numPr>
          <w:ilvl w:val="0"/>
          <w:numId w:val="157"/>
        </w:numPr>
        <w:tabs>
          <w:tab w:val="left" w:pos="1051"/>
        </w:tabs>
        <w:rPr>
          <w:sz w:val="21"/>
        </w:rPr>
      </w:pPr>
      <w:r>
        <w:rPr>
          <w:spacing w:val="-3"/>
          <w:sz w:val="21"/>
        </w:rPr>
        <w:t>非生命支持系统的电气设备回路。</w:t>
      </w:r>
      <w:r>
        <w:rPr>
          <w:sz w:val="21"/>
        </w:rPr>
        <w:t xml:space="preserve"> </w:t>
      </w:r>
    </w:p>
    <w:p w14:paraId="2498C9DD" w14:textId="77777777" w:rsidR="00A71EEF" w:rsidRDefault="00A71EEF">
      <w:pPr>
        <w:pStyle w:val="a3"/>
        <w:rPr>
          <w:sz w:val="18"/>
        </w:rPr>
      </w:pPr>
    </w:p>
    <w:p w14:paraId="1484FC4E" w14:textId="77777777" w:rsidR="00A71EEF" w:rsidRDefault="0081115D">
      <w:pPr>
        <w:pStyle w:val="a4"/>
        <w:numPr>
          <w:ilvl w:val="2"/>
          <w:numId w:val="156"/>
        </w:numPr>
        <w:tabs>
          <w:tab w:val="left" w:pos="1371"/>
        </w:tabs>
        <w:spacing w:line="446" w:lineRule="auto"/>
        <w:ind w:right="1603" w:firstLine="422"/>
        <w:rPr>
          <w:sz w:val="21"/>
        </w:rPr>
      </w:pPr>
      <w:r>
        <w:rPr>
          <w:spacing w:val="-13"/>
          <w:sz w:val="21"/>
        </w:rPr>
        <w:t>当采用</w:t>
      </w:r>
      <w:r>
        <w:rPr>
          <w:spacing w:val="-13"/>
          <w:sz w:val="21"/>
        </w:rPr>
        <w:t xml:space="preserve"> </w:t>
      </w:r>
      <w:r>
        <w:rPr>
          <w:sz w:val="21"/>
        </w:rPr>
        <w:t>TT</w:t>
      </w:r>
      <w:r>
        <w:rPr>
          <w:spacing w:val="-11"/>
          <w:sz w:val="21"/>
        </w:rPr>
        <w:t xml:space="preserve"> </w:t>
      </w:r>
      <w:r>
        <w:rPr>
          <w:spacing w:val="-11"/>
          <w:sz w:val="21"/>
        </w:rPr>
        <w:t>系统时，应按本规范第</w:t>
      </w:r>
      <w:r>
        <w:rPr>
          <w:spacing w:val="-11"/>
          <w:sz w:val="21"/>
        </w:rPr>
        <w:t xml:space="preserve"> </w:t>
      </w:r>
      <w:r>
        <w:rPr>
          <w:sz w:val="21"/>
        </w:rPr>
        <w:t>8.3.3</w:t>
      </w:r>
      <w:r>
        <w:rPr>
          <w:spacing w:val="-8"/>
          <w:sz w:val="21"/>
        </w:rPr>
        <w:t xml:space="preserve"> </w:t>
      </w:r>
      <w:r>
        <w:rPr>
          <w:spacing w:val="-8"/>
          <w:sz w:val="21"/>
        </w:rPr>
        <w:t>条的规定执行，且所有配电回路均应设置剩</w:t>
      </w:r>
      <w:r>
        <w:rPr>
          <w:spacing w:val="-4"/>
          <w:sz w:val="21"/>
        </w:rPr>
        <w:t>余电流动作保护器。</w:t>
      </w:r>
      <w:r>
        <w:rPr>
          <w:spacing w:val="-4"/>
          <w:sz w:val="21"/>
        </w:rPr>
        <w:t xml:space="preserve"> </w:t>
      </w:r>
      <w:r>
        <w:rPr>
          <w:spacing w:val="-2"/>
          <w:sz w:val="21"/>
        </w:rPr>
        <w:t xml:space="preserve"> </w:t>
      </w:r>
      <w:r>
        <w:rPr>
          <w:sz w:val="21"/>
        </w:rPr>
        <w:t xml:space="preserve"> </w:t>
      </w:r>
    </w:p>
    <w:p w14:paraId="4CCFE7B8" w14:textId="77777777" w:rsidR="00A71EEF" w:rsidRDefault="0081115D">
      <w:pPr>
        <w:pStyle w:val="a3"/>
        <w:ind w:left="838"/>
      </w:pPr>
      <w:r>
        <w:t xml:space="preserve"> </w:t>
      </w:r>
    </w:p>
    <w:p w14:paraId="5EF95E33" w14:textId="77777777" w:rsidR="00A71EEF" w:rsidRDefault="00A71EEF">
      <w:pPr>
        <w:sectPr w:rsidR="00A71EEF">
          <w:footerReference w:type="default" r:id="rId450"/>
          <w:pgSz w:w="11910" w:h="16850"/>
          <w:pgMar w:top="1220" w:right="0" w:bottom="1420" w:left="1260" w:header="0" w:footer="1239" w:gutter="0"/>
          <w:pgNumType w:start="1474"/>
          <w:cols w:space="720"/>
        </w:sectPr>
      </w:pPr>
    </w:p>
    <w:p w14:paraId="1F9FBAFF" w14:textId="77777777" w:rsidR="00A71EEF" w:rsidRDefault="0081115D">
      <w:pPr>
        <w:pStyle w:val="a4"/>
        <w:numPr>
          <w:ilvl w:val="2"/>
          <w:numId w:val="156"/>
        </w:numPr>
        <w:tabs>
          <w:tab w:val="left" w:pos="1370"/>
        </w:tabs>
        <w:spacing w:before="167" w:line="446" w:lineRule="auto"/>
        <w:ind w:right="1498" w:firstLine="422"/>
        <w:jc w:val="both"/>
        <w:rPr>
          <w:sz w:val="21"/>
        </w:rPr>
      </w:pPr>
      <w:r>
        <w:rPr>
          <w:spacing w:val="-11"/>
          <w:sz w:val="21"/>
        </w:rPr>
        <w:t>除本规范第</w:t>
      </w:r>
      <w:r>
        <w:rPr>
          <w:spacing w:val="-11"/>
          <w:sz w:val="21"/>
        </w:rPr>
        <w:t xml:space="preserve"> </w:t>
      </w:r>
      <w:r>
        <w:rPr>
          <w:sz w:val="21"/>
        </w:rPr>
        <w:t>8.3.3</w:t>
      </w:r>
      <w:r>
        <w:rPr>
          <w:spacing w:val="-25"/>
          <w:sz w:val="21"/>
        </w:rPr>
        <w:t xml:space="preserve"> </w:t>
      </w:r>
      <w:r>
        <w:rPr>
          <w:spacing w:val="-25"/>
          <w:sz w:val="21"/>
        </w:rPr>
        <w:t>条第</w:t>
      </w:r>
      <w:r>
        <w:rPr>
          <w:spacing w:val="-25"/>
          <w:sz w:val="21"/>
        </w:rPr>
        <w:t xml:space="preserve"> </w:t>
      </w:r>
      <w:r>
        <w:rPr>
          <w:sz w:val="21"/>
        </w:rPr>
        <w:t>2</w:t>
      </w:r>
      <w:r>
        <w:rPr>
          <w:spacing w:val="-11"/>
          <w:sz w:val="21"/>
        </w:rPr>
        <w:t xml:space="preserve"> </w:t>
      </w:r>
      <w:r>
        <w:rPr>
          <w:spacing w:val="-11"/>
          <w:sz w:val="21"/>
        </w:rPr>
        <w:t>款所列的电气回路外，在</w:t>
      </w:r>
      <w:r>
        <w:rPr>
          <w:spacing w:val="-11"/>
          <w:sz w:val="21"/>
        </w:rPr>
        <w:t xml:space="preserve"> </w:t>
      </w:r>
      <w:r>
        <w:rPr>
          <w:sz w:val="21"/>
        </w:rPr>
        <w:t>2</w:t>
      </w:r>
      <w:r>
        <w:rPr>
          <w:spacing w:val="-9"/>
          <w:sz w:val="21"/>
        </w:rPr>
        <w:t xml:space="preserve"> </w:t>
      </w:r>
      <w:r>
        <w:rPr>
          <w:spacing w:val="-9"/>
          <w:sz w:val="21"/>
        </w:rPr>
        <w:t>类医疗场所中维持患者生命、外</w:t>
      </w:r>
      <w:r>
        <w:rPr>
          <w:spacing w:val="-5"/>
          <w:sz w:val="21"/>
        </w:rPr>
        <w:t>科手术和其他位于</w:t>
      </w:r>
      <w:r>
        <w:rPr>
          <w:spacing w:val="-5"/>
          <w:sz w:val="21"/>
        </w:rPr>
        <w:t>“</w:t>
      </w:r>
      <w:r>
        <w:rPr>
          <w:spacing w:val="-5"/>
          <w:sz w:val="21"/>
        </w:rPr>
        <w:t>患者区域</w:t>
      </w:r>
      <w:r>
        <w:rPr>
          <w:spacing w:val="-5"/>
          <w:sz w:val="21"/>
        </w:rPr>
        <w:t>”</w:t>
      </w:r>
      <w:r>
        <w:rPr>
          <w:spacing w:val="-5"/>
          <w:sz w:val="21"/>
        </w:rPr>
        <w:t>范围内的电气装置和供电的回路，均应采用医用</w:t>
      </w:r>
      <w:r>
        <w:rPr>
          <w:spacing w:val="-5"/>
          <w:sz w:val="21"/>
        </w:rPr>
        <w:t xml:space="preserve"> </w:t>
      </w:r>
      <w:r>
        <w:rPr>
          <w:sz w:val="21"/>
        </w:rPr>
        <w:t>IT</w:t>
      </w:r>
      <w:r>
        <w:rPr>
          <w:spacing w:val="-7"/>
          <w:sz w:val="21"/>
        </w:rPr>
        <w:t xml:space="preserve"> </w:t>
      </w:r>
      <w:r>
        <w:rPr>
          <w:spacing w:val="-7"/>
          <w:sz w:val="21"/>
        </w:rPr>
        <w:t>系统。当采</w:t>
      </w:r>
      <w:r>
        <w:rPr>
          <w:spacing w:val="-17"/>
          <w:sz w:val="21"/>
        </w:rPr>
        <w:t>用医用</w:t>
      </w:r>
      <w:r>
        <w:rPr>
          <w:spacing w:val="-17"/>
          <w:sz w:val="21"/>
        </w:rPr>
        <w:t xml:space="preserve"> </w:t>
      </w:r>
      <w:r>
        <w:rPr>
          <w:sz w:val="21"/>
        </w:rPr>
        <w:t>IT</w:t>
      </w:r>
      <w:r>
        <w:rPr>
          <w:spacing w:val="-8"/>
          <w:sz w:val="21"/>
        </w:rPr>
        <w:t xml:space="preserve"> </w:t>
      </w:r>
      <w:r>
        <w:rPr>
          <w:spacing w:val="-8"/>
          <w:sz w:val="21"/>
        </w:rPr>
        <w:t>系统时，应符合下列要求：</w:t>
      </w:r>
      <w:r>
        <w:rPr>
          <w:spacing w:val="-8"/>
          <w:sz w:val="21"/>
        </w:rPr>
        <w:t xml:space="preserve"> </w:t>
      </w:r>
      <w:r>
        <w:rPr>
          <w:spacing w:val="-2"/>
          <w:sz w:val="21"/>
        </w:rPr>
        <w:t xml:space="preserve"> </w:t>
      </w:r>
      <w:r>
        <w:rPr>
          <w:sz w:val="21"/>
        </w:rPr>
        <w:t xml:space="preserve"> </w:t>
      </w:r>
    </w:p>
    <w:p w14:paraId="4DD594C3" w14:textId="77777777" w:rsidR="00A71EEF" w:rsidRDefault="0081115D">
      <w:pPr>
        <w:pStyle w:val="a3"/>
        <w:spacing w:line="268" w:lineRule="exact"/>
        <w:ind w:left="838"/>
        <w:jc w:val="both"/>
      </w:pPr>
      <w:r>
        <w:t>多个功能相同的毗邻房间，应至少安装</w:t>
      </w:r>
      <w:r>
        <w:t xml:space="preserve"> 1 </w:t>
      </w:r>
      <w:r>
        <w:t>个独立的医用</w:t>
      </w:r>
      <w:r>
        <w:t xml:space="preserve"> IT </w:t>
      </w:r>
      <w:r>
        <w:t>系统。</w:t>
      </w:r>
      <w:r>
        <w:t xml:space="preserve">  </w:t>
      </w:r>
      <w:r>
        <w:t xml:space="preserve"> </w:t>
      </w:r>
    </w:p>
    <w:p w14:paraId="15B8EBA9" w14:textId="77777777" w:rsidR="00A71EEF" w:rsidRDefault="00A71EEF">
      <w:pPr>
        <w:pStyle w:val="a3"/>
        <w:spacing w:before="12"/>
        <w:rPr>
          <w:sz w:val="17"/>
        </w:rPr>
      </w:pPr>
    </w:p>
    <w:p w14:paraId="72357EAB" w14:textId="77777777" w:rsidR="00A71EEF" w:rsidRDefault="0081115D">
      <w:pPr>
        <w:pStyle w:val="a3"/>
        <w:spacing w:line="446" w:lineRule="auto"/>
        <w:ind w:left="838" w:right="4343"/>
        <w:jc w:val="both"/>
        <w:rPr>
          <w:b/>
        </w:rPr>
      </w:pPr>
      <w:r>
        <w:rPr>
          <w:spacing w:val="6"/>
        </w:rPr>
        <w:t>医用</w:t>
      </w:r>
      <w:r>
        <w:rPr>
          <w:spacing w:val="6"/>
        </w:rPr>
        <w:t xml:space="preserve"> </w:t>
      </w:r>
      <w:r>
        <w:t>IT</w:t>
      </w:r>
      <w:r>
        <w:rPr>
          <w:spacing w:val="-3"/>
        </w:rPr>
        <w:t xml:space="preserve"> </w:t>
      </w:r>
      <w:r>
        <w:rPr>
          <w:spacing w:val="-3"/>
        </w:rPr>
        <w:t>系统必须配置绝缘监视器，并应符合下列要求：</w:t>
      </w:r>
      <w:r>
        <w:rPr>
          <w:spacing w:val="-3"/>
        </w:rPr>
        <w:t xml:space="preserve"> 1)</w:t>
      </w:r>
      <w:r>
        <w:rPr>
          <w:spacing w:val="-8"/>
        </w:rPr>
        <w:t>交流内阻应大于或等于</w:t>
      </w:r>
      <w:r>
        <w:rPr>
          <w:spacing w:val="-8"/>
        </w:rPr>
        <w:t xml:space="preserve"> </w:t>
      </w:r>
      <w:r>
        <w:t>100kΩ</w:t>
      </w:r>
      <w:r>
        <w:t>；</w:t>
      </w:r>
      <w:r>
        <w:t xml:space="preserve"> </w:t>
      </w:r>
      <w:r>
        <w:rPr>
          <w:spacing w:val="-2"/>
        </w:rPr>
        <w:t xml:space="preserve"> </w:t>
      </w:r>
      <w:r>
        <w:rPr>
          <w:b/>
          <w:w w:val="99"/>
        </w:rPr>
        <w:t xml:space="preserve"> </w:t>
      </w:r>
    </w:p>
    <w:p w14:paraId="094962E1" w14:textId="77777777" w:rsidR="00A71EEF" w:rsidRDefault="0081115D">
      <w:pPr>
        <w:pStyle w:val="a4"/>
        <w:numPr>
          <w:ilvl w:val="0"/>
          <w:numId w:val="155"/>
        </w:numPr>
        <w:tabs>
          <w:tab w:val="left" w:pos="1051"/>
        </w:tabs>
        <w:spacing w:before="1"/>
        <w:jc w:val="both"/>
        <w:rPr>
          <w:b/>
          <w:sz w:val="21"/>
        </w:rPr>
      </w:pPr>
      <w:r>
        <w:rPr>
          <w:spacing w:val="-8"/>
          <w:sz w:val="21"/>
        </w:rPr>
        <w:t>测试电压不应大于直流</w:t>
      </w:r>
      <w:r>
        <w:rPr>
          <w:spacing w:val="-8"/>
          <w:sz w:val="21"/>
        </w:rPr>
        <w:t xml:space="preserve"> </w:t>
      </w:r>
      <w:r>
        <w:rPr>
          <w:sz w:val="21"/>
        </w:rPr>
        <w:t>25V</w:t>
      </w:r>
      <w:r>
        <w:rPr>
          <w:sz w:val="21"/>
        </w:rPr>
        <w:t>；</w:t>
      </w:r>
      <w:r>
        <w:rPr>
          <w:sz w:val="21"/>
        </w:rPr>
        <w:t xml:space="preserve"> </w:t>
      </w:r>
      <w:r>
        <w:rPr>
          <w:spacing w:val="-2"/>
          <w:sz w:val="21"/>
        </w:rPr>
        <w:t xml:space="preserve"> </w:t>
      </w:r>
      <w:r>
        <w:rPr>
          <w:b/>
          <w:w w:val="99"/>
          <w:sz w:val="21"/>
        </w:rPr>
        <w:t xml:space="preserve"> </w:t>
      </w:r>
    </w:p>
    <w:p w14:paraId="5F6315D9" w14:textId="77777777" w:rsidR="00A71EEF" w:rsidRDefault="00A71EEF">
      <w:pPr>
        <w:pStyle w:val="a3"/>
        <w:spacing w:before="12"/>
        <w:rPr>
          <w:b/>
          <w:sz w:val="17"/>
        </w:rPr>
      </w:pPr>
    </w:p>
    <w:p w14:paraId="774A03F0" w14:textId="77777777" w:rsidR="00A71EEF" w:rsidRDefault="0081115D">
      <w:pPr>
        <w:pStyle w:val="a4"/>
        <w:numPr>
          <w:ilvl w:val="0"/>
          <w:numId w:val="155"/>
        </w:numPr>
        <w:tabs>
          <w:tab w:val="left" w:pos="1051"/>
        </w:tabs>
        <w:jc w:val="both"/>
        <w:rPr>
          <w:b/>
          <w:sz w:val="21"/>
        </w:rPr>
      </w:pPr>
      <w:r>
        <w:rPr>
          <w:spacing w:val="-6"/>
          <w:sz w:val="21"/>
        </w:rPr>
        <w:t>在任何故障条件下，测试电流峰值不应大于</w:t>
      </w:r>
      <w:r>
        <w:rPr>
          <w:spacing w:val="-6"/>
          <w:sz w:val="21"/>
        </w:rPr>
        <w:t xml:space="preserve"> </w:t>
      </w:r>
      <w:r>
        <w:rPr>
          <w:sz w:val="21"/>
        </w:rPr>
        <w:t>1mA</w:t>
      </w:r>
      <w:r>
        <w:rPr>
          <w:sz w:val="21"/>
        </w:rPr>
        <w:t>；</w:t>
      </w:r>
      <w:r>
        <w:rPr>
          <w:sz w:val="21"/>
        </w:rPr>
        <w:t xml:space="preserve"> </w:t>
      </w:r>
      <w:r>
        <w:rPr>
          <w:spacing w:val="-2"/>
          <w:sz w:val="21"/>
        </w:rPr>
        <w:t xml:space="preserve"> </w:t>
      </w:r>
      <w:r>
        <w:rPr>
          <w:b/>
          <w:w w:val="99"/>
          <w:sz w:val="21"/>
        </w:rPr>
        <w:t xml:space="preserve"> </w:t>
      </w:r>
    </w:p>
    <w:p w14:paraId="6D8613C8" w14:textId="77777777" w:rsidR="00A71EEF" w:rsidRDefault="00A71EEF">
      <w:pPr>
        <w:pStyle w:val="a3"/>
        <w:spacing w:before="2"/>
        <w:rPr>
          <w:b/>
          <w:sz w:val="18"/>
        </w:rPr>
      </w:pPr>
    </w:p>
    <w:p w14:paraId="4BB1DAC3" w14:textId="77777777" w:rsidR="00A71EEF" w:rsidRDefault="0081115D">
      <w:pPr>
        <w:pStyle w:val="a4"/>
        <w:numPr>
          <w:ilvl w:val="0"/>
          <w:numId w:val="155"/>
        </w:numPr>
        <w:tabs>
          <w:tab w:val="left" w:pos="1051"/>
        </w:tabs>
        <w:rPr>
          <w:b/>
          <w:sz w:val="21"/>
        </w:rPr>
      </w:pPr>
      <w:r>
        <w:rPr>
          <w:spacing w:val="-11"/>
          <w:sz w:val="21"/>
        </w:rPr>
        <w:t>当电阻减少到</w:t>
      </w:r>
      <w:r>
        <w:rPr>
          <w:spacing w:val="-11"/>
          <w:sz w:val="21"/>
        </w:rPr>
        <w:t xml:space="preserve"> </w:t>
      </w:r>
      <w:r>
        <w:rPr>
          <w:sz w:val="21"/>
        </w:rPr>
        <w:t>50kΩ</w:t>
      </w:r>
      <w:r>
        <w:rPr>
          <w:spacing w:val="-3"/>
          <w:sz w:val="21"/>
        </w:rPr>
        <w:t>时应发出信号，并备有试验设施。</w:t>
      </w:r>
      <w:r>
        <w:rPr>
          <w:sz w:val="21"/>
        </w:rPr>
        <w:t xml:space="preserve"> </w:t>
      </w:r>
      <w:r>
        <w:rPr>
          <w:spacing w:val="-2"/>
          <w:sz w:val="21"/>
        </w:rPr>
        <w:t xml:space="preserve"> </w:t>
      </w:r>
      <w:r>
        <w:rPr>
          <w:b/>
          <w:w w:val="99"/>
          <w:sz w:val="21"/>
        </w:rPr>
        <w:t xml:space="preserve"> </w:t>
      </w:r>
    </w:p>
    <w:p w14:paraId="01225578" w14:textId="77777777" w:rsidR="00A71EEF" w:rsidRDefault="00A71EEF">
      <w:pPr>
        <w:pStyle w:val="a3"/>
        <w:spacing w:before="12"/>
        <w:rPr>
          <w:b/>
          <w:sz w:val="17"/>
        </w:rPr>
      </w:pPr>
    </w:p>
    <w:p w14:paraId="1D357BEB" w14:textId="77777777" w:rsidR="00A71EEF" w:rsidRDefault="0081115D">
      <w:pPr>
        <w:pStyle w:val="a3"/>
        <w:spacing w:line="446" w:lineRule="auto"/>
        <w:ind w:left="418" w:right="1506" w:firstLine="419"/>
      </w:pPr>
      <w:r>
        <w:rPr>
          <w:spacing w:val="-8"/>
        </w:rPr>
        <w:t>每一个医用</w:t>
      </w:r>
      <w:r>
        <w:rPr>
          <w:spacing w:val="-8"/>
        </w:rPr>
        <w:t xml:space="preserve"> </w:t>
      </w:r>
      <w:r>
        <w:t>IT</w:t>
      </w:r>
      <w:r>
        <w:rPr>
          <w:spacing w:val="-7"/>
        </w:rPr>
        <w:t xml:space="preserve"> </w:t>
      </w:r>
      <w:r>
        <w:rPr>
          <w:spacing w:val="-7"/>
        </w:rPr>
        <w:t>系统，应设置显示工作状态的信号灯和声光警报装置。声光警报装置应安装</w:t>
      </w:r>
      <w:r>
        <w:rPr>
          <w:spacing w:val="-5"/>
        </w:rPr>
        <w:t>在便于永久性监视的场所。</w:t>
      </w:r>
      <w:r>
        <w:rPr>
          <w:spacing w:val="-5"/>
        </w:rPr>
        <w:t xml:space="preserve"> </w:t>
      </w:r>
      <w:r>
        <w:rPr>
          <w:spacing w:val="-2"/>
        </w:rPr>
        <w:t xml:space="preserve"> </w:t>
      </w:r>
      <w:r>
        <w:t xml:space="preserve"> </w:t>
      </w:r>
    </w:p>
    <w:p w14:paraId="27DF9701" w14:textId="77777777" w:rsidR="00A71EEF" w:rsidRDefault="0081115D">
      <w:pPr>
        <w:pStyle w:val="a3"/>
        <w:ind w:left="838"/>
      </w:pPr>
      <w:r>
        <w:t>隔离变压器应设置过负荷和高温的监控。</w:t>
      </w:r>
      <w:r>
        <w:t xml:space="preserve"> </w:t>
      </w:r>
    </w:p>
    <w:p w14:paraId="47B0BBEB" w14:textId="77777777" w:rsidR="00A71EEF" w:rsidRDefault="00A71EEF">
      <w:pPr>
        <w:pStyle w:val="a3"/>
        <w:rPr>
          <w:sz w:val="18"/>
        </w:rPr>
      </w:pPr>
    </w:p>
    <w:p w14:paraId="6226118E" w14:textId="77777777" w:rsidR="00A71EEF" w:rsidRDefault="0081115D">
      <w:pPr>
        <w:pStyle w:val="a4"/>
        <w:numPr>
          <w:ilvl w:val="2"/>
          <w:numId w:val="156"/>
        </w:numPr>
        <w:tabs>
          <w:tab w:val="left" w:pos="1370"/>
        </w:tabs>
        <w:spacing w:line="446" w:lineRule="auto"/>
        <w:ind w:right="1548" w:firstLine="422"/>
        <w:jc w:val="both"/>
        <w:rPr>
          <w:sz w:val="21"/>
        </w:rPr>
      </w:pPr>
      <w:r>
        <w:rPr>
          <w:spacing w:val="-22"/>
          <w:sz w:val="21"/>
        </w:rPr>
        <w:t>在</w:t>
      </w:r>
      <w:r>
        <w:rPr>
          <w:spacing w:val="-22"/>
          <w:sz w:val="21"/>
        </w:rPr>
        <w:t xml:space="preserve"> </w:t>
      </w:r>
      <w:r>
        <w:rPr>
          <w:sz w:val="21"/>
        </w:rPr>
        <w:t>1</w:t>
      </w:r>
      <w:r>
        <w:rPr>
          <w:spacing w:val="-15"/>
          <w:sz w:val="21"/>
        </w:rPr>
        <w:t xml:space="preserve"> </w:t>
      </w:r>
      <w:r>
        <w:rPr>
          <w:spacing w:val="-15"/>
          <w:sz w:val="21"/>
        </w:rPr>
        <w:t>类、</w:t>
      </w:r>
      <w:r>
        <w:rPr>
          <w:sz w:val="21"/>
        </w:rPr>
        <w:t>2</w:t>
      </w:r>
      <w:r>
        <w:rPr>
          <w:spacing w:val="-8"/>
          <w:sz w:val="21"/>
        </w:rPr>
        <w:t xml:space="preserve"> </w:t>
      </w:r>
      <w:r>
        <w:rPr>
          <w:spacing w:val="-8"/>
          <w:sz w:val="21"/>
        </w:rPr>
        <w:t>类医疗场所的</w:t>
      </w:r>
      <w:r>
        <w:rPr>
          <w:spacing w:val="-8"/>
          <w:sz w:val="21"/>
        </w:rPr>
        <w:t>“</w:t>
      </w:r>
      <w:r>
        <w:rPr>
          <w:spacing w:val="-8"/>
          <w:sz w:val="21"/>
        </w:rPr>
        <w:t>患者区域</w:t>
      </w:r>
      <w:r>
        <w:rPr>
          <w:spacing w:val="-8"/>
          <w:sz w:val="21"/>
        </w:rPr>
        <w:t>”</w:t>
      </w:r>
      <w:r>
        <w:rPr>
          <w:spacing w:val="-8"/>
          <w:sz w:val="21"/>
        </w:rPr>
        <w:t>内应设置辅助医用等电位联结母排，并应通过</w:t>
      </w:r>
      <w:r>
        <w:rPr>
          <w:spacing w:val="-4"/>
          <w:sz w:val="21"/>
        </w:rPr>
        <w:t>等电位连线将保护导体、外部可导电部分、抗电磁干扰屏蔽物、导电地板网络、隔离变压器的</w:t>
      </w:r>
      <w:r>
        <w:rPr>
          <w:spacing w:val="-3"/>
          <w:sz w:val="21"/>
        </w:rPr>
        <w:t>金属屏蔽层与等电位母排联结。</w:t>
      </w:r>
      <w:r>
        <w:rPr>
          <w:sz w:val="21"/>
        </w:rPr>
        <w:t xml:space="preserve"> </w:t>
      </w:r>
    </w:p>
    <w:p w14:paraId="697C5B63" w14:textId="77777777" w:rsidR="00A71EEF" w:rsidRDefault="0081115D">
      <w:pPr>
        <w:pStyle w:val="a4"/>
        <w:numPr>
          <w:ilvl w:val="2"/>
          <w:numId w:val="156"/>
        </w:numPr>
        <w:tabs>
          <w:tab w:val="left" w:pos="1371"/>
        </w:tabs>
        <w:spacing w:line="446" w:lineRule="auto"/>
        <w:ind w:right="1498" w:firstLine="422"/>
        <w:jc w:val="both"/>
        <w:rPr>
          <w:sz w:val="21"/>
        </w:rPr>
      </w:pPr>
      <w:r>
        <w:rPr>
          <w:spacing w:val="-18"/>
          <w:sz w:val="21"/>
        </w:rPr>
        <w:t>在</w:t>
      </w:r>
      <w:r>
        <w:rPr>
          <w:spacing w:val="-18"/>
          <w:sz w:val="21"/>
        </w:rPr>
        <w:t xml:space="preserve"> </w:t>
      </w:r>
      <w:r>
        <w:rPr>
          <w:sz w:val="21"/>
        </w:rPr>
        <w:t>2</w:t>
      </w:r>
      <w:r>
        <w:rPr>
          <w:spacing w:val="-7"/>
          <w:sz w:val="21"/>
        </w:rPr>
        <w:t xml:space="preserve"> </w:t>
      </w:r>
      <w:r>
        <w:rPr>
          <w:spacing w:val="-7"/>
          <w:sz w:val="21"/>
        </w:rPr>
        <w:t>类医疗场所内，电源插座的保护导体端子、固定设备的保护导体端子或任何外界</w:t>
      </w:r>
      <w:r>
        <w:rPr>
          <w:spacing w:val="-6"/>
          <w:sz w:val="21"/>
        </w:rPr>
        <w:t>可导电部分与等电位联结母排之间导体的电阻</w:t>
      </w:r>
      <w:r>
        <w:rPr>
          <w:spacing w:val="-6"/>
          <w:sz w:val="21"/>
        </w:rPr>
        <w:t>(</w:t>
      </w:r>
      <w:r>
        <w:rPr>
          <w:spacing w:val="-6"/>
          <w:sz w:val="21"/>
        </w:rPr>
        <w:t>包括接头部分的电阻</w:t>
      </w:r>
      <w:r>
        <w:rPr>
          <w:spacing w:val="-6"/>
          <w:sz w:val="21"/>
        </w:rPr>
        <w:t>)</w:t>
      </w:r>
      <w:r>
        <w:rPr>
          <w:spacing w:val="-6"/>
          <w:sz w:val="21"/>
        </w:rPr>
        <w:t>，不应超过</w:t>
      </w:r>
      <w:r>
        <w:rPr>
          <w:spacing w:val="-6"/>
          <w:sz w:val="21"/>
        </w:rPr>
        <w:t xml:space="preserve"> </w:t>
      </w:r>
      <w:r>
        <w:rPr>
          <w:sz w:val="21"/>
        </w:rPr>
        <w:t>0.2Ω</w:t>
      </w:r>
      <w:r>
        <w:rPr>
          <w:spacing w:val="-3"/>
          <w:sz w:val="21"/>
        </w:rPr>
        <w:t>。</w:t>
      </w:r>
      <w:r>
        <w:rPr>
          <w:sz w:val="21"/>
        </w:rPr>
        <w:t xml:space="preserve"> </w:t>
      </w:r>
    </w:p>
    <w:p w14:paraId="62CAC6E5" w14:textId="77777777" w:rsidR="00A71EEF" w:rsidRDefault="0081115D">
      <w:pPr>
        <w:pStyle w:val="a4"/>
        <w:numPr>
          <w:ilvl w:val="2"/>
          <w:numId w:val="156"/>
        </w:numPr>
        <w:tabs>
          <w:tab w:val="left" w:pos="1370"/>
        </w:tabs>
        <w:ind w:left="1369" w:hanging="530"/>
        <w:jc w:val="both"/>
        <w:rPr>
          <w:sz w:val="21"/>
        </w:rPr>
      </w:pPr>
      <w:r>
        <w:rPr>
          <w:spacing w:val="-3"/>
          <w:sz w:val="21"/>
        </w:rPr>
        <w:t>辅助医用等电位母排应安装在使用场所内，并应靠近配电箱或在配电箱中。</w:t>
      </w:r>
      <w:r>
        <w:rPr>
          <w:spacing w:val="-3"/>
          <w:sz w:val="21"/>
        </w:rPr>
        <w:t xml:space="preserve"> </w:t>
      </w:r>
    </w:p>
    <w:p w14:paraId="183D288B" w14:textId="77777777" w:rsidR="00A71EEF" w:rsidRDefault="00A71EEF">
      <w:pPr>
        <w:pStyle w:val="a3"/>
        <w:spacing w:before="11"/>
        <w:rPr>
          <w:sz w:val="17"/>
        </w:rPr>
      </w:pPr>
    </w:p>
    <w:p w14:paraId="7D491ECE" w14:textId="77777777" w:rsidR="00A71EEF" w:rsidRDefault="0081115D">
      <w:pPr>
        <w:pStyle w:val="a4"/>
        <w:numPr>
          <w:ilvl w:val="1"/>
          <w:numId w:val="158"/>
        </w:numPr>
        <w:tabs>
          <w:tab w:val="left" w:pos="1160"/>
        </w:tabs>
        <w:spacing w:before="1"/>
        <w:ind w:left="1159" w:hanging="320"/>
        <w:rPr>
          <w:b/>
          <w:sz w:val="21"/>
        </w:rPr>
      </w:pPr>
      <w:r>
        <w:rPr>
          <w:spacing w:val="-3"/>
          <w:sz w:val="21"/>
        </w:rPr>
        <w:t>电气设备的选择与安装</w:t>
      </w:r>
      <w:r>
        <w:rPr>
          <w:b/>
          <w:spacing w:val="-3"/>
          <w:w w:val="99"/>
          <w:sz w:val="21"/>
        </w:rPr>
        <w:t xml:space="preserve"> </w:t>
      </w:r>
    </w:p>
    <w:p w14:paraId="792FBB85" w14:textId="77777777" w:rsidR="00A71EEF" w:rsidRDefault="00A71EEF">
      <w:pPr>
        <w:pStyle w:val="a3"/>
        <w:spacing w:before="12"/>
        <w:rPr>
          <w:b/>
          <w:sz w:val="17"/>
        </w:rPr>
      </w:pPr>
    </w:p>
    <w:p w14:paraId="3739D2BB" w14:textId="77777777" w:rsidR="00A71EEF" w:rsidRDefault="0081115D">
      <w:pPr>
        <w:pStyle w:val="a4"/>
        <w:numPr>
          <w:ilvl w:val="2"/>
          <w:numId w:val="158"/>
        </w:numPr>
        <w:tabs>
          <w:tab w:val="left" w:pos="1370"/>
        </w:tabs>
        <w:ind w:left="1369" w:hanging="530"/>
        <w:jc w:val="both"/>
        <w:rPr>
          <w:sz w:val="21"/>
        </w:rPr>
      </w:pPr>
      <w:r>
        <w:rPr>
          <w:spacing w:val="-19"/>
          <w:sz w:val="21"/>
        </w:rPr>
        <w:t>医用</w:t>
      </w:r>
      <w:r>
        <w:rPr>
          <w:spacing w:val="-19"/>
          <w:sz w:val="21"/>
        </w:rPr>
        <w:t xml:space="preserve"> </w:t>
      </w:r>
      <w:r>
        <w:rPr>
          <w:sz w:val="21"/>
        </w:rPr>
        <w:t>IT</w:t>
      </w:r>
      <w:r>
        <w:rPr>
          <w:spacing w:val="-9"/>
          <w:sz w:val="21"/>
        </w:rPr>
        <w:t xml:space="preserve"> </w:t>
      </w:r>
      <w:r>
        <w:rPr>
          <w:spacing w:val="-9"/>
          <w:sz w:val="21"/>
        </w:rPr>
        <w:t>系统隔离变压器，应符合下列要求：</w:t>
      </w:r>
      <w:r>
        <w:rPr>
          <w:spacing w:val="-9"/>
          <w:sz w:val="21"/>
        </w:rPr>
        <w:t xml:space="preserve"> </w:t>
      </w:r>
      <w:r>
        <w:rPr>
          <w:spacing w:val="-2"/>
          <w:sz w:val="21"/>
        </w:rPr>
        <w:t xml:space="preserve"> </w:t>
      </w:r>
      <w:r>
        <w:rPr>
          <w:sz w:val="21"/>
        </w:rPr>
        <w:t xml:space="preserve"> </w:t>
      </w:r>
    </w:p>
    <w:p w14:paraId="40561BB0" w14:textId="77777777" w:rsidR="00A71EEF" w:rsidRDefault="00A71EEF">
      <w:pPr>
        <w:pStyle w:val="a3"/>
        <w:spacing w:before="2"/>
        <w:rPr>
          <w:sz w:val="18"/>
        </w:rPr>
      </w:pPr>
    </w:p>
    <w:p w14:paraId="4270FAEA" w14:textId="77777777" w:rsidR="00A71EEF" w:rsidRDefault="0081115D">
      <w:pPr>
        <w:pStyle w:val="a3"/>
        <w:ind w:left="838"/>
        <w:jc w:val="both"/>
      </w:pPr>
      <w:r>
        <w:t>医用</w:t>
      </w:r>
      <w:r>
        <w:t xml:space="preserve"> IT </w:t>
      </w:r>
      <w:r>
        <w:t>系统宜采用单相变压器，其额定容量不应低于</w:t>
      </w:r>
      <w:r>
        <w:t xml:space="preserve"> 0.5kVA</w:t>
      </w:r>
      <w:r>
        <w:t>，且不宜超过</w:t>
      </w:r>
      <w:r>
        <w:t xml:space="preserve"> 8kVA</w:t>
      </w:r>
      <w:r>
        <w:t>；</w:t>
      </w:r>
      <w:r>
        <w:t xml:space="preserve">  </w:t>
      </w:r>
      <w:r>
        <w:t xml:space="preserve"> </w:t>
      </w:r>
    </w:p>
    <w:p w14:paraId="0356C3E5" w14:textId="77777777" w:rsidR="00A71EEF" w:rsidRDefault="00A71EEF">
      <w:pPr>
        <w:pStyle w:val="a3"/>
        <w:spacing w:before="12"/>
        <w:rPr>
          <w:sz w:val="17"/>
        </w:rPr>
      </w:pPr>
    </w:p>
    <w:p w14:paraId="32A5D659" w14:textId="77777777" w:rsidR="00A71EEF" w:rsidRDefault="0081115D">
      <w:pPr>
        <w:pStyle w:val="a3"/>
        <w:ind w:left="838"/>
        <w:jc w:val="both"/>
      </w:pPr>
      <w:r>
        <w:t>隔离变压器应靠近使用场所，并应采取防护措施；</w:t>
      </w:r>
      <w:r>
        <w:t xml:space="preserve">  </w:t>
      </w:r>
      <w:r>
        <w:t xml:space="preserve"> </w:t>
      </w:r>
    </w:p>
    <w:p w14:paraId="1F1CE9FA" w14:textId="77777777" w:rsidR="00A71EEF" w:rsidRDefault="00A71EEF">
      <w:pPr>
        <w:pStyle w:val="a3"/>
        <w:spacing w:before="12"/>
        <w:rPr>
          <w:sz w:val="17"/>
        </w:rPr>
      </w:pPr>
    </w:p>
    <w:p w14:paraId="3348E6E6" w14:textId="77777777" w:rsidR="00A71EEF" w:rsidRDefault="0081115D">
      <w:pPr>
        <w:pStyle w:val="a3"/>
        <w:ind w:left="838"/>
        <w:jc w:val="both"/>
      </w:pPr>
      <w:r>
        <w:t>隔离变压器二次侧的额定电压不应超过</w:t>
      </w:r>
      <w:r>
        <w:t xml:space="preserve"> 250V</w:t>
      </w:r>
      <w:r>
        <w:t>；</w:t>
      </w:r>
      <w:r>
        <w:t xml:space="preserve">  </w:t>
      </w:r>
      <w:r>
        <w:t xml:space="preserve"> </w:t>
      </w:r>
    </w:p>
    <w:p w14:paraId="0ECEDF8C" w14:textId="77777777" w:rsidR="00A71EEF" w:rsidRDefault="00A71EEF">
      <w:pPr>
        <w:pStyle w:val="a3"/>
        <w:spacing w:before="2"/>
        <w:rPr>
          <w:sz w:val="18"/>
        </w:rPr>
      </w:pPr>
    </w:p>
    <w:p w14:paraId="3162B71B" w14:textId="77777777" w:rsidR="00A71EEF" w:rsidRDefault="0081115D">
      <w:pPr>
        <w:pStyle w:val="a3"/>
        <w:ind w:left="838"/>
      </w:pPr>
      <w:r>
        <w:t>当隔离变压器处于额定电压和额定频率下空载运行时，流向外壳或大地的漏电流不应超过</w:t>
      </w:r>
    </w:p>
    <w:p w14:paraId="331757F5" w14:textId="77777777" w:rsidR="00A71EEF" w:rsidRDefault="00A71EEF">
      <w:pPr>
        <w:pStyle w:val="a3"/>
        <w:rPr>
          <w:sz w:val="18"/>
        </w:rPr>
      </w:pPr>
    </w:p>
    <w:p w14:paraId="219620FB" w14:textId="77777777" w:rsidR="00A71EEF" w:rsidRDefault="0081115D">
      <w:pPr>
        <w:pStyle w:val="a3"/>
        <w:ind w:left="418"/>
      </w:pPr>
      <w:r>
        <w:t>0.5mA</w:t>
      </w:r>
      <w:r>
        <w:t>。</w:t>
      </w:r>
      <w:r>
        <w:t xml:space="preserve"> </w:t>
      </w:r>
    </w:p>
    <w:p w14:paraId="177C01E5" w14:textId="77777777" w:rsidR="00A71EEF" w:rsidRDefault="00A71EEF">
      <w:pPr>
        <w:pStyle w:val="a3"/>
        <w:rPr>
          <w:sz w:val="18"/>
        </w:rPr>
      </w:pPr>
    </w:p>
    <w:p w14:paraId="0B617753" w14:textId="77777777" w:rsidR="00A71EEF" w:rsidRDefault="0081115D">
      <w:pPr>
        <w:pStyle w:val="a4"/>
        <w:numPr>
          <w:ilvl w:val="2"/>
          <w:numId w:val="158"/>
        </w:numPr>
        <w:tabs>
          <w:tab w:val="left" w:pos="1370"/>
        </w:tabs>
        <w:spacing w:line="446" w:lineRule="auto"/>
        <w:ind w:left="418" w:right="1548" w:firstLine="422"/>
        <w:rPr>
          <w:sz w:val="21"/>
        </w:rPr>
      </w:pPr>
      <w:r>
        <w:rPr>
          <w:sz w:val="21"/>
        </w:rPr>
        <w:t>1</w:t>
      </w:r>
      <w:r>
        <w:rPr>
          <w:spacing w:val="-25"/>
          <w:sz w:val="21"/>
        </w:rPr>
        <w:t xml:space="preserve"> </w:t>
      </w:r>
      <w:r>
        <w:rPr>
          <w:spacing w:val="-25"/>
          <w:sz w:val="21"/>
        </w:rPr>
        <w:t>类和</w:t>
      </w:r>
      <w:r>
        <w:rPr>
          <w:spacing w:val="-25"/>
          <w:sz w:val="21"/>
        </w:rPr>
        <w:t xml:space="preserve"> </w:t>
      </w:r>
      <w:r>
        <w:rPr>
          <w:sz w:val="21"/>
        </w:rPr>
        <w:t>2</w:t>
      </w:r>
      <w:r>
        <w:rPr>
          <w:spacing w:val="-10"/>
          <w:sz w:val="21"/>
        </w:rPr>
        <w:t xml:space="preserve"> </w:t>
      </w:r>
      <w:r>
        <w:rPr>
          <w:spacing w:val="-10"/>
          <w:sz w:val="21"/>
        </w:rPr>
        <w:t>类医疗场所，应根据可能产生的故障电流特性选择</w:t>
      </w:r>
      <w:r>
        <w:rPr>
          <w:spacing w:val="-10"/>
          <w:sz w:val="21"/>
        </w:rPr>
        <w:t xml:space="preserve"> </w:t>
      </w:r>
      <w:r>
        <w:rPr>
          <w:sz w:val="21"/>
        </w:rPr>
        <w:t>A</w:t>
      </w:r>
      <w:r>
        <w:rPr>
          <w:spacing w:val="-25"/>
          <w:sz w:val="21"/>
        </w:rPr>
        <w:t xml:space="preserve"> </w:t>
      </w:r>
      <w:r>
        <w:rPr>
          <w:spacing w:val="-25"/>
          <w:sz w:val="21"/>
        </w:rPr>
        <w:t>型或</w:t>
      </w:r>
      <w:r>
        <w:rPr>
          <w:spacing w:val="-25"/>
          <w:sz w:val="21"/>
        </w:rPr>
        <w:t xml:space="preserve"> </w:t>
      </w:r>
      <w:r>
        <w:rPr>
          <w:sz w:val="21"/>
        </w:rPr>
        <w:t>B</w:t>
      </w:r>
      <w:r>
        <w:rPr>
          <w:spacing w:val="-9"/>
          <w:sz w:val="21"/>
        </w:rPr>
        <w:t xml:space="preserve"> </w:t>
      </w:r>
      <w:r>
        <w:rPr>
          <w:spacing w:val="-9"/>
          <w:sz w:val="21"/>
        </w:rPr>
        <w:t>型剩余电流保护</w:t>
      </w:r>
      <w:r>
        <w:rPr>
          <w:spacing w:val="-6"/>
          <w:sz w:val="21"/>
        </w:rPr>
        <w:t>器。</w:t>
      </w:r>
      <w:r>
        <w:rPr>
          <w:sz w:val="21"/>
        </w:rPr>
        <w:t xml:space="preserve"> </w:t>
      </w:r>
      <w:r>
        <w:rPr>
          <w:spacing w:val="-2"/>
          <w:sz w:val="21"/>
        </w:rPr>
        <w:t xml:space="preserve"> </w:t>
      </w:r>
      <w:r>
        <w:rPr>
          <w:sz w:val="21"/>
        </w:rPr>
        <w:t xml:space="preserve"> </w:t>
      </w:r>
    </w:p>
    <w:p w14:paraId="352B696B" w14:textId="77777777" w:rsidR="00A71EEF" w:rsidRDefault="00A71EEF">
      <w:pPr>
        <w:spacing w:line="446" w:lineRule="auto"/>
        <w:rPr>
          <w:sz w:val="21"/>
        </w:rPr>
        <w:sectPr w:rsidR="00A71EEF">
          <w:pgSz w:w="11910" w:h="16850"/>
          <w:pgMar w:top="1600" w:right="0" w:bottom="1420" w:left="1260" w:header="0" w:footer="1239" w:gutter="0"/>
          <w:cols w:space="720"/>
        </w:sectPr>
      </w:pPr>
    </w:p>
    <w:p w14:paraId="5D780589" w14:textId="77777777" w:rsidR="00A71EEF" w:rsidRDefault="0081115D">
      <w:pPr>
        <w:pStyle w:val="a4"/>
        <w:numPr>
          <w:ilvl w:val="2"/>
          <w:numId w:val="158"/>
        </w:numPr>
        <w:tabs>
          <w:tab w:val="left" w:pos="1370"/>
        </w:tabs>
        <w:spacing w:before="47" w:line="446" w:lineRule="auto"/>
        <w:ind w:left="418" w:right="1445" w:firstLine="422"/>
        <w:rPr>
          <w:sz w:val="21"/>
        </w:rPr>
      </w:pPr>
      <w:r>
        <w:rPr>
          <w:sz w:val="21"/>
        </w:rPr>
        <w:t>2</w:t>
      </w:r>
      <w:r>
        <w:rPr>
          <w:spacing w:val="-10"/>
          <w:sz w:val="21"/>
        </w:rPr>
        <w:t xml:space="preserve"> </w:t>
      </w:r>
      <w:r>
        <w:rPr>
          <w:spacing w:val="-10"/>
          <w:sz w:val="21"/>
        </w:rPr>
        <w:t>类医疗场所每个终端回路，均应设置短路与过负荷保护，但在医用</w:t>
      </w:r>
      <w:r>
        <w:rPr>
          <w:spacing w:val="-10"/>
          <w:sz w:val="21"/>
        </w:rPr>
        <w:t xml:space="preserve"> </w:t>
      </w:r>
      <w:r>
        <w:rPr>
          <w:sz w:val="21"/>
        </w:rPr>
        <w:t>IT</w:t>
      </w:r>
      <w:r>
        <w:rPr>
          <w:spacing w:val="-8"/>
          <w:sz w:val="21"/>
        </w:rPr>
        <w:t xml:space="preserve"> </w:t>
      </w:r>
      <w:r>
        <w:rPr>
          <w:spacing w:val="-8"/>
          <w:sz w:val="21"/>
        </w:rPr>
        <w:t>系统变压器的</w:t>
      </w:r>
      <w:r>
        <w:rPr>
          <w:spacing w:val="-4"/>
          <w:sz w:val="21"/>
        </w:rPr>
        <w:t>一次侧与二次侧不应设置过负荷保护。</w:t>
      </w:r>
      <w:r>
        <w:rPr>
          <w:sz w:val="21"/>
        </w:rPr>
        <w:t xml:space="preserve"> </w:t>
      </w:r>
    </w:p>
    <w:p w14:paraId="6079468A" w14:textId="77777777" w:rsidR="00A71EEF" w:rsidRDefault="0081115D">
      <w:pPr>
        <w:pStyle w:val="a4"/>
        <w:numPr>
          <w:ilvl w:val="2"/>
          <w:numId w:val="158"/>
        </w:numPr>
        <w:tabs>
          <w:tab w:val="left" w:pos="1371"/>
        </w:tabs>
        <w:spacing w:line="267" w:lineRule="exact"/>
        <w:rPr>
          <w:sz w:val="21"/>
        </w:rPr>
      </w:pPr>
      <w:r>
        <w:rPr>
          <w:sz w:val="21"/>
        </w:rPr>
        <w:t>2</w:t>
      </w:r>
      <w:r>
        <w:rPr>
          <w:spacing w:val="-13"/>
          <w:sz w:val="21"/>
        </w:rPr>
        <w:t xml:space="preserve"> </w:t>
      </w:r>
      <w:r>
        <w:rPr>
          <w:spacing w:val="-13"/>
          <w:sz w:val="21"/>
        </w:rPr>
        <w:t>类医疗场所内，医用</w:t>
      </w:r>
      <w:r>
        <w:rPr>
          <w:spacing w:val="-13"/>
          <w:sz w:val="21"/>
        </w:rPr>
        <w:t xml:space="preserve"> </w:t>
      </w:r>
      <w:r>
        <w:rPr>
          <w:sz w:val="21"/>
        </w:rPr>
        <w:t>IT</w:t>
      </w:r>
      <w:r>
        <w:rPr>
          <w:spacing w:val="-9"/>
          <w:sz w:val="21"/>
        </w:rPr>
        <w:t xml:space="preserve"> </w:t>
      </w:r>
      <w:r>
        <w:rPr>
          <w:spacing w:val="-9"/>
          <w:sz w:val="21"/>
        </w:rPr>
        <w:t>系统二次侧各终端回路应设置双级保护装置，应配置至少</w:t>
      </w:r>
    </w:p>
    <w:p w14:paraId="2793F9F2" w14:textId="77777777" w:rsidR="00A71EEF" w:rsidRDefault="00A71EEF">
      <w:pPr>
        <w:pStyle w:val="a3"/>
        <w:spacing w:before="2"/>
        <w:rPr>
          <w:sz w:val="18"/>
        </w:rPr>
      </w:pPr>
    </w:p>
    <w:p w14:paraId="72E87C46" w14:textId="77777777" w:rsidR="00A71EEF" w:rsidRDefault="0081115D">
      <w:pPr>
        <w:pStyle w:val="a3"/>
        <w:spacing w:line="446" w:lineRule="auto"/>
        <w:ind w:left="418" w:right="1450"/>
      </w:pPr>
      <w:r>
        <w:t>2</w:t>
      </w:r>
      <w:r>
        <w:rPr>
          <w:spacing w:val="-5"/>
        </w:rPr>
        <w:t xml:space="preserve"> </w:t>
      </w:r>
      <w:r>
        <w:rPr>
          <w:spacing w:val="-5"/>
        </w:rPr>
        <w:t>个独立回路供电的多个插座。每组插座回路，应独立设置短路保护，有条件时可独立设置过负</w:t>
      </w:r>
      <w:r>
        <w:rPr>
          <w:spacing w:val="-11"/>
        </w:rPr>
        <w:t>荷报警。医用</w:t>
      </w:r>
      <w:r>
        <w:rPr>
          <w:spacing w:val="-11"/>
        </w:rPr>
        <w:t xml:space="preserve"> </w:t>
      </w:r>
      <w:r>
        <w:t>IT</w:t>
      </w:r>
      <w:r>
        <w:rPr>
          <w:spacing w:val="-9"/>
        </w:rPr>
        <w:t xml:space="preserve"> </w:t>
      </w:r>
      <w:r>
        <w:rPr>
          <w:spacing w:val="-9"/>
        </w:rPr>
        <w:t>系统插座应有固定、明显的标志。</w:t>
      </w:r>
      <w:r>
        <w:rPr>
          <w:spacing w:val="-9"/>
        </w:rPr>
        <w:t xml:space="preserve"> </w:t>
      </w:r>
    </w:p>
    <w:p w14:paraId="5BF46E95" w14:textId="77777777" w:rsidR="00A71EEF" w:rsidRDefault="0081115D">
      <w:pPr>
        <w:pStyle w:val="a4"/>
        <w:numPr>
          <w:ilvl w:val="2"/>
          <w:numId w:val="158"/>
        </w:numPr>
        <w:tabs>
          <w:tab w:val="left" w:pos="1370"/>
        </w:tabs>
        <w:spacing w:line="267" w:lineRule="exact"/>
        <w:ind w:left="1369" w:hanging="530"/>
        <w:rPr>
          <w:sz w:val="21"/>
        </w:rPr>
      </w:pPr>
      <w:r>
        <w:rPr>
          <w:sz w:val="21"/>
        </w:rPr>
        <w:t>1</w:t>
      </w:r>
      <w:r>
        <w:rPr>
          <w:spacing w:val="-28"/>
          <w:sz w:val="21"/>
        </w:rPr>
        <w:t xml:space="preserve"> </w:t>
      </w:r>
      <w:r>
        <w:rPr>
          <w:spacing w:val="-28"/>
          <w:sz w:val="21"/>
        </w:rPr>
        <w:t>类和</w:t>
      </w:r>
      <w:r>
        <w:rPr>
          <w:spacing w:val="-28"/>
          <w:sz w:val="21"/>
        </w:rPr>
        <w:t xml:space="preserve"> </w:t>
      </w:r>
      <w:r>
        <w:rPr>
          <w:sz w:val="21"/>
        </w:rPr>
        <w:t>2</w:t>
      </w:r>
      <w:r>
        <w:rPr>
          <w:spacing w:val="-13"/>
          <w:sz w:val="21"/>
        </w:rPr>
        <w:t xml:space="preserve"> </w:t>
      </w:r>
      <w:r>
        <w:rPr>
          <w:spacing w:val="-13"/>
          <w:sz w:val="21"/>
        </w:rPr>
        <w:t>类医疗场所内，宜提供</w:t>
      </w:r>
      <w:r>
        <w:rPr>
          <w:spacing w:val="-13"/>
          <w:sz w:val="21"/>
        </w:rPr>
        <w:t xml:space="preserve"> </w:t>
      </w:r>
      <w:r>
        <w:rPr>
          <w:sz w:val="21"/>
        </w:rPr>
        <w:t>2</w:t>
      </w:r>
      <w:r>
        <w:rPr>
          <w:spacing w:val="-9"/>
          <w:sz w:val="21"/>
        </w:rPr>
        <w:t xml:space="preserve"> </w:t>
      </w:r>
      <w:r>
        <w:rPr>
          <w:spacing w:val="-9"/>
          <w:sz w:val="21"/>
        </w:rPr>
        <w:t>个不同电源的照明回路。</w:t>
      </w:r>
      <w:r>
        <w:rPr>
          <w:sz w:val="21"/>
        </w:rPr>
        <w:t xml:space="preserve"> </w:t>
      </w:r>
      <w:r>
        <w:rPr>
          <w:spacing w:val="-2"/>
          <w:sz w:val="21"/>
        </w:rPr>
        <w:t xml:space="preserve"> </w:t>
      </w:r>
      <w:r>
        <w:rPr>
          <w:sz w:val="21"/>
        </w:rPr>
        <w:t xml:space="preserve"> </w:t>
      </w:r>
    </w:p>
    <w:p w14:paraId="4B432C5C" w14:textId="77777777" w:rsidR="00A71EEF" w:rsidRDefault="00A71EEF">
      <w:pPr>
        <w:pStyle w:val="a3"/>
        <w:spacing w:before="2"/>
        <w:rPr>
          <w:sz w:val="18"/>
        </w:rPr>
      </w:pPr>
    </w:p>
    <w:p w14:paraId="6B09A447" w14:textId="77777777" w:rsidR="00A71EEF" w:rsidRDefault="0081115D">
      <w:pPr>
        <w:pStyle w:val="a4"/>
        <w:numPr>
          <w:ilvl w:val="2"/>
          <w:numId w:val="158"/>
        </w:numPr>
        <w:tabs>
          <w:tab w:val="left" w:pos="1370"/>
        </w:tabs>
        <w:ind w:left="1369" w:hanging="530"/>
        <w:rPr>
          <w:sz w:val="21"/>
        </w:rPr>
      </w:pPr>
      <w:r>
        <w:rPr>
          <w:spacing w:val="-6"/>
          <w:sz w:val="21"/>
        </w:rPr>
        <w:t>电气装置与医疗气体释放口的安装距离不得少于</w:t>
      </w:r>
      <w:r>
        <w:rPr>
          <w:spacing w:val="-6"/>
          <w:sz w:val="21"/>
        </w:rPr>
        <w:t xml:space="preserve"> </w:t>
      </w:r>
      <w:r>
        <w:rPr>
          <w:sz w:val="21"/>
        </w:rPr>
        <w:t>0.20m</w:t>
      </w:r>
      <w:r>
        <w:rPr>
          <w:sz w:val="21"/>
        </w:rPr>
        <w:t>。</w:t>
      </w:r>
      <w:r>
        <w:rPr>
          <w:sz w:val="21"/>
        </w:rPr>
        <w:t xml:space="preserve"> </w:t>
      </w:r>
      <w:r>
        <w:rPr>
          <w:spacing w:val="-2"/>
          <w:sz w:val="21"/>
        </w:rPr>
        <w:t xml:space="preserve"> </w:t>
      </w:r>
      <w:r>
        <w:rPr>
          <w:sz w:val="21"/>
        </w:rPr>
        <w:t xml:space="preserve"> </w:t>
      </w:r>
    </w:p>
    <w:p w14:paraId="6BF03658" w14:textId="77777777" w:rsidR="00A71EEF" w:rsidRDefault="00A71EEF">
      <w:pPr>
        <w:pStyle w:val="a3"/>
        <w:rPr>
          <w:sz w:val="18"/>
        </w:rPr>
      </w:pPr>
    </w:p>
    <w:p w14:paraId="7961C63A" w14:textId="77777777" w:rsidR="00A71EEF" w:rsidRDefault="0081115D">
      <w:pPr>
        <w:pStyle w:val="a4"/>
        <w:numPr>
          <w:ilvl w:val="2"/>
          <w:numId w:val="158"/>
        </w:numPr>
        <w:tabs>
          <w:tab w:val="left" w:pos="1371"/>
        </w:tabs>
        <w:rPr>
          <w:sz w:val="21"/>
        </w:rPr>
      </w:pPr>
      <w:r>
        <w:rPr>
          <w:spacing w:val="-3"/>
          <w:sz w:val="21"/>
        </w:rPr>
        <w:t>医院消防设计应符合下列要求：</w:t>
      </w:r>
      <w:r>
        <w:rPr>
          <w:spacing w:val="-3"/>
          <w:sz w:val="21"/>
        </w:rPr>
        <w:t xml:space="preserve"> </w:t>
      </w:r>
      <w:r>
        <w:rPr>
          <w:spacing w:val="-2"/>
          <w:sz w:val="21"/>
        </w:rPr>
        <w:t xml:space="preserve"> </w:t>
      </w:r>
      <w:r>
        <w:rPr>
          <w:sz w:val="21"/>
        </w:rPr>
        <w:t xml:space="preserve"> </w:t>
      </w:r>
    </w:p>
    <w:p w14:paraId="36FE8D71" w14:textId="77777777" w:rsidR="00A71EEF" w:rsidRDefault="00A71EEF">
      <w:pPr>
        <w:pStyle w:val="a3"/>
        <w:rPr>
          <w:sz w:val="18"/>
        </w:rPr>
      </w:pPr>
    </w:p>
    <w:p w14:paraId="5E84F0F4" w14:textId="77777777" w:rsidR="00A71EEF" w:rsidRDefault="0081115D">
      <w:pPr>
        <w:pStyle w:val="a3"/>
        <w:ind w:left="838"/>
      </w:pPr>
      <w:r>
        <w:t>应急系统的电源、控制缆线宜采用无卤低烟阻燃型或矿物绝缘型；</w:t>
      </w:r>
      <w:r>
        <w:t xml:space="preserve">  </w:t>
      </w:r>
      <w:r>
        <w:t xml:space="preserve"> </w:t>
      </w:r>
    </w:p>
    <w:p w14:paraId="2D1CB6BB" w14:textId="77777777" w:rsidR="00A71EEF" w:rsidRDefault="00A71EEF">
      <w:pPr>
        <w:pStyle w:val="a3"/>
        <w:spacing w:before="1"/>
        <w:rPr>
          <w:sz w:val="18"/>
        </w:rPr>
      </w:pPr>
    </w:p>
    <w:p w14:paraId="419AE19A" w14:textId="77777777" w:rsidR="00A71EEF" w:rsidRDefault="0081115D">
      <w:pPr>
        <w:pStyle w:val="a3"/>
        <w:spacing w:before="1" w:line="446" w:lineRule="auto"/>
        <w:ind w:left="840" w:right="6757" w:hanging="3"/>
        <w:rPr>
          <w:b/>
        </w:rPr>
      </w:pPr>
      <w:r>
        <w:t>防火漏电保护应采用信号报警。</w:t>
      </w:r>
      <w:r>
        <w:rPr>
          <w:b/>
        </w:rPr>
        <w:t xml:space="preserve">8.5 </w:t>
      </w:r>
      <w:r>
        <w:t>安全电源系统</w:t>
      </w:r>
      <w:r>
        <w:rPr>
          <w:b/>
          <w:w w:val="99"/>
        </w:rPr>
        <w:t xml:space="preserve"> </w:t>
      </w:r>
    </w:p>
    <w:p w14:paraId="6DCD973A" w14:textId="77777777" w:rsidR="00A71EEF" w:rsidRDefault="0081115D">
      <w:pPr>
        <w:pStyle w:val="a4"/>
        <w:numPr>
          <w:ilvl w:val="2"/>
          <w:numId w:val="154"/>
        </w:numPr>
        <w:tabs>
          <w:tab w:val="left" w:pos="1371"/>
        </w:tabs>
        <w:spacing w:line="267" w:lineRule="exact"/>
        <w:rPr>
          <w:sz w:val="21"/>
        </w:rPr>
      </w:pPr>
      <w:r>
        <w:rPr>
          <w:sz w:val="21"/>
        </w:rPr>
        <w:t>1</w:t>
      </w:r>
      <w:r>
        <w:rPr>
          <w:spacing w:val="-28"/>
          <w:sz w:val="21"/>
        </w:rPr>
        <w:t xml:space="preserve"> </w:t>
      </w:r>
      <w:r>
        <w:rPr>
          <w:spacing w:val="-28"/>
          <w:sz w:val="21"/>
        </w:rPr>
        <w:t>类和</w:t>
      </w:r>
      <w:r>
        <w:rPr>
          <w:spacing w:val="-28"/>
          <w:sz w:val="21"/>
        </w:rPr>
        <w:t xml:space="preserve"> </w:t>
      </w:r>
      <w:r>
        <w:rPr>
          <w:sz w:val="21"/>
        </w:rPr>
        <w:t>2</w:t>
      </w:r>
      <w:r>
        <w:rPr>
          <w:spacing w:val="-11"/>
          <w:sz w:val="21"/>
        </w:rPr>
        <w:t xml:space="preserve"> </w:t>
      </w:r>
      <w:r>
        <w:rPr>
          <w:spacing w:val="-11"/>
          <w:sz w:val="21"/>
        </w:rPr>
        <w:t>类医疗场所内，任一导体上的电压下降值高于标准电压</w:t>
      </w:r>
      <w:r>
        <w:rPr>
          <w:spacing w:val="-11"/>
          <w:sz w:val="21"/>
        </w:rPr>
        <w:t xml:space="preserve"> </w:t>
      </w:r>
      <w:r>
        <w:rPr>
          <w:sz w:val="21"/>
        </w:rPr>
        <w:t>10</w:t>
      </w:r>
      <w:r>
        <w:rPr>
          <w:spacing w:val="-2"/>
          <w:sz w:val="21"/>
        </w:rPr>
        <w:t>％时，安全电源</w:t>
      </w:r>
    </w:p>
    <w:p w14:paraId="032F7473" w14:textId="77777777" w:rsidR="00A71EEF" w:rsidRDefault="00A71EEF">
      <w:pPr>
        <w:pStyle w:val="a3"/>
        <w:spacing w:before="1"/>
        <w:rPr>
          <w:sz w:val="18"/>
        </w:rPr>
      </w:pPr>
    </w:p>
    <w:p w14:paraId="4E93144D" w14:textId="77777777" w:rsidR="00A71EEF" w:rsidRDefault="0081115D">
      <w:pPr>
        <w:pStyle w:val="a3"/>
        <w:spacing w:before="1"/>
        <w:ind w:left="418"/>
      </w:pPr>
      <w:r>
        <w:t>应自动启动。安全电源的分类应符合表</w:t>
      </w:r>
      <w:r>
        <w:t xml:space="preserve"> 8.5.1 </w:t>
      </w:r>
      <w:r>
        <w:t>的规定。</w:t>
      </w:r>
      <w:r>
        <w:t xml:space="preserve"> </w:t>
      </w:r>
    </w:p>
    <w:p w14:paraId="7B7EB479" w14:textId="77777777" w:rsidR="00A71EEF" w:rsidRDefault="00A71EEF">
      <w:pPr>
        <w:pStyle w:val="a3"/>
        <w:spacing w:before="12"/>
        <w:rPr>
          <w:sz w:val="17"/>
        </w:rPr>
      </w:pPr>
    </w:p>
    <w:p w14:paraId="46DE8962" w14:textId="77777777" w:rsidR="00A71EEF" w:rsidRDefault="0081115D">
      <w:pPr>
        <w:pStyle w:val="6"/>
        <w:ind w:left="3519"/>
      </w:pPr>
      <w:r>
        <w:rPr>
          <w:noProof/>
        </w:rPr>
        <w:drawing>
          <wp:anchor distT="0" distB="0" distL="0" distR="0" simplePos="0" relativeHeight="251696640" behindDoc="0" locked="0" layoutInCell="1" allowOverlap="1" wp14:anchorId="6E828484" wp14:editId="2022B20B">
            <wp:simplePos x="0" y="0"/>
            <wp:positionH relativeFrom="page">
              <wp:posOffset>1144905</wp:posOffset>
            </wp:positionH>
            <wp:positionV relativeFrom="paragraph">
              <wp:posOffset>253364</wp:posOffset>
            </wp:positionV>
            <wp:extent cx="5251947" cy="1619250"/>
            <wp:effectExtent l="0" t="0" r="0" b="0"/>
            <wp:wrapTopAndBottom/>
            <wp:docPr id="649" name="image3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image375.jpeg"/>
                    <pic:cNvPicPr/>
                  </pic:nvPicPr>
                  <pic:blipFill>
                    <a:blip r:embed="rId451" cstate="print"/>
                    <a:stretch>
                      <a:fillRect/>
                    </a:stretch>
                  </pic:blipFill>
                  <pic:spPr>
                    <a:xfrm>
                      <a:off x="0" y="0"/>
                      <a:ext cx="5251947" cy="1619250"/>
                    </a:xfrm>
                    <a:prstGeom prst="rect">
                      <a:avLst/>
                    </a:prstGeom>
                  </pic:spPr>
                </pic:pic>
              </a:graphicData>
            </a:graphic>
          </wp:anchor>
        </w:drawing>
      </w:r>
      <w:r>
        <w:t>表</w:t>
      </w:r>
      <w:r>
        <w:t xml:space="preserve"> 8.5.1 </w:t>
      </w:r>
      <w:r>
        <w:t>安全电源的分类</w:t>
      </w:r>
      <w:r>
        <w:rPr>
          <w:w w:val="99"/>
        </w:rPr>
        <w:t xml:space="preserve"> </w:t>
      </w:r>
    </w:p>
    <w:p w14:paraId="62493F27" w14:textId="77777777" w:rsidR="00A71EEF" w:rsidRDefault="00A71EEF">
      <w:pPr>
        <w:pStyle w:val="a3"/>
        <w:rPr>
          <w:b/>
          <w:sz w:val="20"/>
        </w:rPr>
      </w:pPr>
    </w:p>
    <w:p w14:paraId="2F08B11B" w14:textId="77777777" w:rsidR="00A71EEF" w:rsidRDefault="00A71EEF">
      <w:pPr>
        <w:pStyle w:val="a3"/>
        <w:rPr>
          <w:b/>
          <w:sz w:val="20"/>
        </w:rPr>
      </w:pPr>
    </w:p>
    <w:p w14:paraId="7B7F2EE6" w14:textId="77777777" w:rsidR="00A71EEF" w:rsidRDefault="00A71EEF">
      <w:pPr>
        <w:pStyle w:val="a3"/>
        <w:spacing w:before="2"/>
        <w:rPr>
          <w:b/>
          <w:sz w:val="14"/>
        </w:rPr>
      </w:pPr>
    </w:p>
    <w:p w14:paraId="59372271" w14:textId="77777777" w:rsidR="00A71EEF" w:rsidRDefault="0081115D">
      <w:pPr>
        <w:pStyle w:val="a4"/>
        <w:numPr>
          <w:ilvl w:val="2"/>
          <w:numId w:val="154"/>
        </w:numPr>
        <w:tabs>
          <w:tab w:val="left" w:pos="1371"/>
        </w:tabs>
        <w:spacing w:line="446" w:lineRule="auto"/>
        <w:ind w:left="418" w:right="1498" w:firstLine="422"/>
        <w:rPr>
          <w:sz w:val="21"/>
        </w:rPr>
      </w:pPr>
      <w:r>
        <w:rPr>
          <w:spacing w:val="-3"/>
          <w:sz w:val="21"/>
        </w:rPr>
        <w:t>当主电源故障时，下列场所应由安全电源提供最低照度的照明用电。安全照明系统切</w:t>
      </w:r>
      <w:r>
        <w:rPr>
          <w:spacing w:val="-10"/>
          <w:sz w:val="21"/>
        </w:rPr>
        <w:t>换时间不应超过</w:t>
      </w:r>
      <w:r>
        <w:rPr>
          <w:spacing w:val="-10"/>
          <w:sz w:val="21"/>
        </w:rPr>
        <w:t xml:space="preserve"> </w:t>
      </w:r>
      <w:r>
        <w:rPr>
          <w:sz w:val="21"/>
        </w:rPr>
        <w:t>15s</w:t>
      </w:r>
      <w:r>
        <w:rPr>
          <w:sz w:val="21"/>
        </w:rPr>
        <w:t>：</w:t>
      </w:r>
      <w:r>
        <w:rPr>
          <w:sz w:val="21"/>
        </w:rPr>
        <w:t xml:space="preserve">  </w:t>
      </w:r>
      <w:r>
        <w:rPr>
          <w:sz w:val="21"/>
        </w:rPr>
        <w:t xml:space="preserve"> </w:t>
      </w:r>
    </w:p>
    <w:p w14:paraId="333130AD" w14:textId="77777777" w:rsidR="00A71EEF" w:rsidRDefault="0081115D">
      <w:pPr>
        <w:pStyle w:val="a3"/>
        <w:spacing w:line="267" w:lineRule="exact"/>
        <w:ind w:left="838"/>
        <w:rPr>
          <w:b/>
        </w:rPr>
      </w:pPr>
      <w:r>
        <w:t>疏散通道以及出口指示照明；</w:t>
      </w:r>
      <w:r>
        <w:t xml:space="preserve">  </w:t>
      </w:r>
      <w:r>
        <w:rPr>
          <w:b/>
          <w:w w:val="99"/>
        </w:rPr>
        <w:t xml:space="preserve"> </w:t>
      </w:r>
    </w:p>
    <w:p w14:paraId="01253EB5" w14:textId="77777777" w:rsidR="00A71EEF" w:rsidRDefault="00A71EEF">
      <w:pPr>
        <w:pStyle w:val="a3"/>
        <w:spacing w:before="2"/>
        <w:rPr>
          <w:b/>
          <w:sz w:val="18"/>
        </w:rPr>
      </w:pPr>
    </w:p>
    <w:p w14:paraId="0CE361C6" w14:textId="77777777" w:rsidR="00A71EEF" w:rsidRDefault="0081115D">
      <w:pPr>
        <w:pStyle w:val="a3"/>
        <w:ind w:left="838"/>
        <w:rPr>
          <w:b/>
        </w:rPr>
      </w:pPr>
      <w:r>
        <w:t>安全电源和正常电源的配电装置及其控制装置所在场所；</w:t>
      </w:r>
      <w:r>
        <w:t xml:space="preserve">  </w:t>
      </w:r>
      <w:r>
        <w:rPr>
          <w:b/>
          <w:w w:val="99"/>
        </w:rPr>
        <w:t xml:space="preserve"> </w:t>
      </w:r>
    </w:p>
    <w:p w14:paraId="0A2AAF5E" w14:textId="77777777" w:rsidR="00A71EEF" w:rsidRDefault="00A71EEF">
      <w:pPr>
        <w:pStyle w:val="a3"/>
        <w:rPr>
          <w:b/>
          <w:sz w:val="18"/>
        </w:rPr>
      </w:pPr>
    </w:p>
    <w:p w14:paraId="22965E3D" w14:textId="77777777" w:rsidR="00A71EEF" w:rsidRDefault="0081115D">
      <w:pPr>
        <w:pStyle w:val="a3"/>
        <w:ind w:left="838"/>
        <w:rPr>
          <w:b/>
        </w:rPr>
      </w:pPr>
      <w:r>
        <w:t>拟装重要医疗设备的房间，每个房间应至少有</w:t>
      </w:r>
      <w:r>
        <w:t xml:space="preserve"> 1 </w:t>
      </w:r>
      <w:r>
        <w:t>个由安全电源供电的灯具；</w:t>
      </w:r>
      <w:r>
        <w:t xml:space="preserve">  </w:t>
      </w:r>
      <w:r>
        <w:rPr>
          <w:b/>
          <w:w w:val="99"/>
        </w:rPr>
        <w:t xml:space="preserve"> </w:t>
      </w:r>
    </w:p>
    <w:p w14:paraId="7DAA0503" w14:textId="77777777" w:rsidR="00A71EEF" w:rsidRDefault="00A71EEF">
      <w:pPr>
        <w:pStyle w:val="a3"/>
        <w:rPr>
          <w:b/>
          <w:sz w:val="18"/>
        </w:rPr>
      </w:pPr>
    </w:p>
    <w:p w14:paraId="7E8F4B25" w14:textId="77777777" w:rsidR="00A71EEF" w:rsidRDefault="0081115D">
      <w:pPr>
        <w:pStyle w:val="a3"/>
        <w:ind w:left="838"/>
        <w:rPr>
          <w:b/>
        </w:rPr>
      </w:pPr>
      <w:r>
        <w:t>在</w:t>
      </w:r>
      <w:r>
        <w:t xml:space="preserve"> 1 </w:t>
      </w:r>
      <w:r>
        <w:t>类医疗场所，每个房间宜有</w:t>
      </w:r>
      <w:r>
        <w:t xml:space="preserve"> 1 </w:t>
      </w:r>
      <w:r>
        <w:t>个由安全电源供电的灯具；</w:t>
      </w:r>
      <w:r>
        <w:t xml:space="preserve">  </w:t>
      </w:r>
      <w:r>
        <w:rPr>
          <w:b/>
          <w:w w:val="99"/>
        </w:rPr>
        <w:t xml:space="preserve"> </w:t>
      </w:r>
    </w:p>
    <w:p w14:paraId="5A42C732" w14:textId="77777777" w:rsidR="00A71EEF" w:rsidRDefault="00A71EEF">
      <w:pPr>
        <w:pStyle w:val="a3"/>
        <w:spacing w:before="1"/>
        <w:rPr>
          <w:b/>
          <w:sz w:val="18"/>
        </w:rPr>
      </w:pPr>
    </w:p>
    <w:p w14:paraId="4EE0B3A3" w14:textId="77777777" w:rsidR="00A71EEF" w:rsidRDefault="0081115D">
      <w:pPr>
        <w:pStyle w:val="a3"/>
        <w:spacing w:before="1" w:line="446" w:lineRule="auto"/>
        <w:ind w:left="840" w:right="4965" w:hanging="3"/>
      </w:pPr>
      <w:r>
        <w:t>在</w:t>
      </w:r>
      <w:r>
        <w:t xml:space="preserve"> 2 </w:t>
      </w:r>
      <w:r>
        <w:t>类医疗场所，电源应至少能提供</w:t>
      </w:r>
      <w:r>
        <w:t xml:space="preserve"> 50</w:t>
      </w:r>
      <w:r>
        <w:t>％的照度。</w:t>
      </w:r>
      <w:r>
        <w:rPr>
          <w:b/>
        </w:rPr>
        <w:t xml:space="preserve">8.6 </w:t>
      </w:r>
      <w:r>
        <w:t>照明设计</w:t>
      </w:r>
      <w:r>
        <w:t xml:space="preserve"> </w:t>
      </w:r>
    </w:p>
    <w:p w14:paraId="1D585254" w14:textId="77777777" w:rsidR="00A71EEF" w:rsidRDefault="00A71EEF">
      <w:pPr>
        <w:spacing w:line="446" w:lineRule="auto"/>
        <w:sectPr w:rsidR="00A71EEF">
          <w:pgSz w:w="11910" w:h="16850"/>
          <w:pgMar w:top="1220" w:right="0" w:bottom="1420" w:left="1260" w:header="0" w:footer="1239" w:gutter="0"/>
          <w:cols w:space="720"/>
        </w:sectPr>
      </w:pPr>
    </w:p>
    <w:p w14:paraId="605B1962" w14:textId="77777777" w:rsidR="00A71EEF" w:rsidRDefault="0081115D">
      <w:pPr>
        <w:pStyle w:val="a4"/>
        <w:numPr>
          <w:ilvl w:val="2"/>
          <w:numId w:val="153"/>
        </w:numPr>
        <w:tabs>
          <w:tab w:val="left" w:pos="1370"/>
        </w:tabs>
        <w:spacing w:before="47" w:line="446" w:lineRule="auto"/>
        <w:ind w:right="1448" w:firstLine="422"/>
        <w:rPr>
          <w:sz w:val="21"/>
        </w:rPr>
      </w:pPr>
      <w:r>
        <w:rPr>
          <w:spacing w:val="-3"/>
          <w:sz w:val="21"/>
        </w:rPr>
        <w:t>照明设计应符合现行国家标准《建筑照明设计标准》</w:t>
      </w:r>
      <w:r>
        <w:rPr>
          <w:sz w:val="21"/>
        </w:rPr>
        <w:t>GB</w:t>
      </w:r>
      <w:r>
        <w:rPr>
          <w:spacing w:val="23"/>
          <w:sz w:val="21"/>
        </w:rPr>
        <w:t xml:space="preserve"> </w:t>
      </w:r>
      <w:r>
        <w:rPr>
          <w:sz w:val="21"/>
        </w:rPr>
        <w:t>50034</w:t>
      </w:r>
      <w:r>
        <w:rPr>
          <w:spacing w:val="-8"/>
          <w:sz w:val="21"/>
        </w:rPr>
        <w:t xml:space="preserve"> </w:t>
      </w:r>
      <w:r>
        <w:rPr>
          <w:spacing w:val="-8"/>
          <w:sz w:val="21"/>
        </w:rPr>
        <w:t>的有关规定，且应满足</w:t>
      </w:r>
      <w:r>
        <w:rPr>
          <w:spacing w:val="-4"/>
          <w:sz w:val="21"/>
        </w:rPr>
        <w:t>绿色照明要求。</w:t>
      </w:r>
      <w:r>
        <w:rPr>
          <w:sz w:val="21"/>
        </w:rPr>
        <w:t xml:space="preserve"> </w:t>
      </w:r>
    </w:p>
    <w:p w14:paraId="21E9BFA3" w14:textId="77777777" w:rsidR="00A71EEF" w:rsidRDefault="0081115D">
      <w:pPr>
        <w:pStyle w:val="a4"/>
        <w:numPr>
          <w:ilvl w:val="2"/>
          <w:numId w:val="153"/>
        </w:numPr>
        <w:tabs>
          <w:tab w:val="left" w:pos="1370"/>
        </w:tabs>
        <w:spacing w:line="446" w:lineRule="auto"/>
        <w:ind w:right="1448" w:firstLine="422"/>
        <w:rPr>
          <w:sz w:val="21"/>
        </w:rPr>
      </w:pPr>
      <w:r>
        <w:rPr>
          <w:spacing w:val="-4"/>
          <w:sz w:val="21"/>
        </w:rPr>
        <w:t>医疗用房应采用高显色照明光源，显色指数应大于或等于</w:t>
      </w:r>
      <w:r>
        <w:rPr>
          <w:spacing w:val="-4"/>
          <w:sz w:val="21"/>
        </w:rPr>
        <w:t xml:space="preserve"> </w:t>
      </w:r>
      <w:r>
        <w:rPr>
          <w:sz w:val="21"/>
        </w:rPr>
        <w:t>80</w:t>
      </w:r>
      <w:r>
        <w:rPr>
          <w:spacing w:val="-3"/>
          <w:sz w:val="21"/>
        </w:rPr>
        <w:t>，宜采用带电子镇流器的三基色荧光灯。</w:t>
      </w:r>
      <w:r>
        <w:rPr>
          <w:sz w:val="21"/>
        </w:rPr>
        <w:t xml:space="preserve"> </w:t>
      </w:r>
    </w:p>
    <w:p w14:paraId="1F698D6F" w14:textId="77777777" w:rsidR="00A71EEF" w:rsidRDefault="0081115D">
      <w:pPr>
        <w:pStyle w:val="a4"/>
        <w:numPr>
          <w:ilvl w:val="2"/>
          <w:numId w:val="153"/>
        </w:numPr>
        <w:tabs>
          <w:tab w:val="left" w:pos="1370"/>
        </w:tabs>
        <w:ind w:left="1369" w:hanging="530"/>
        <w:rPr>
          <w:sz w:val="21"/>
        </w:rPr>
      </w:pPr>
      <w:r>
        <w:rPr>
          <w:spacing w:val="-3"/>
          <w:sz w:val="21"/>
        </w:rPr>
        <w:t>照明系统采用荧光灯时应对系统的谐波进行校验。</w:t>
      </w:r>
      <w:r>
        <w:rPr>
          <w:sz w:val="21"/>
        </w:rPr>
        <w:t xml:space="preserve"> </w:t>
      </w:r>
    </w:p>
    <w:p w14:paraId="2F639E29" w14:textId="77777777" w:rsidR="00A71EEF" w:rsidRDefault="00A71EEF">
      <w:pPr>
        <w:pStyle w:val="a3"/>
        <w:spacing w:before="10"/>
        <w:rPr>
          <w:sz w:val="17"/>
        </w:rPr>
      </w:pPr>
    </w:p>
    <w:p w14:paraId="1BB765A3" w14:textId="77777777" w:rsidR="00A71EEF" w:rsidRDefault="0081115D">
      <w:pPr>
        <w:pStyle w:val="a4"/>
        <w:numPr>
          <w:ilvl w:val="2"/>
          <w:numId w:val="153"/>
        </w:numPr>
        <w:tabs>
          <w:tab w:val="left" w:pos="1371"/>
        </w:tabs>
        <w:spacing w:line="446" w:lineRule="auto"/>
        <w:ind w:right="1498" w:firstLine="422"/>
        <w:rPr>
          <w:sz w:val="21"/>
        </w:rPr>
      </w:pPr>
      <w:r>
        <w:rPr>
          <w:spacing w:val="-3"/>
          <w:sz w:val="21"/>
        </w:rPr>
        <w:t>病房照明宜采用间接型灯具或反射式照明。床头宜设置局部照明，宜一床一灯，并宜床头控制。</w:t>
      </w:r>
      <w:r>
        <w:rPr>
          <w:sz w:val="21"/>
        </w:rPr>
        <w:t xml:space="preserve"> </w:t>
      </w:r>
    </w:p>
    <w:p w14:paraId="65C2D06A" w14:textId="77777777" w:rsidR="00A71EEF" w:rsidRDefault="0081115D">
      <w:pPr>
        <w:pStyle w:val="a4"/>
        <w:numPr>
          <w:ilvl w:val="2"/>
          <w:numId w:val="153"/>
        </w:numPr>
        <w:tabs>
          <w:tab w:val="left" w:pos="1371"/>
        </w:tabs>
        <w:spacing w:before="1" w:line="446" w:lineRule="auto"/>
        <w:ind w:right="1498" w:firstLine="422"/>
        <w:rPr>
          <w:sz w:val="21"/>
        </w:rPr>
      </w:pPr>
      <w:r>
        <w:rPr>
          <w:spacing w:val="-3"/>
          <w:sz w:val="21"/>
        </w:rPr>
        <w:t>护理单元走道、诊室、治疗、观察、病房等处灯具，应避免对卧床患者产生眩光，宜采用漫反射灯具。</w:t>
      </w:r>
      <w:r>
        <w:rPr>
          <w:sz w:val="21"/>
        </w:rPr>
        <w:t xml:space="preserve"> </w:t>
      </w:r>
    </w:p>
    <w:p w14:paraId="7DC2672B" w14:textId="77777777" w:rsidR="00A71EEF" w:rsidRDefault="0081115D">
      <w:pPr>
        <w:pStyle w:val="a4"/>
        <w:numPr>
          <w:ilvl w:val="2"/>
          <w:numId w:val="153"/>
        </w:numPr>
        <w:tabs>
          <w:tab w:val="left" w:pos="1370"/>
        </w:tabs>
        <w:spacing w:line="446" w:lineRule="auto"/>
        <w:ind w:right="1550" w:firstLine="422"/>
        <w:rPr>
          <w:sz w:val="21"/>
        </w:rPr>
      </w:pPr>
      <w:r>
        <w:rPr>
          <w:spacing w:val="-4"/>
          <w:sz w:val="21"/>
        </w:rPr>
        <w:t>护理单元走道和病房应设夜间照明，床头部位照度不应大于</w:t>
      </w:r>
      <w:r>
        <w:rPr>
          <w:spacing w:val="-4"/>
          <w:sz w:val="21"/>
        </w:rPr>
        <w:t xml:space="preserve"> </w:t>
      </w:r>
      <w:r>
        <w:rPr>
          <w:sz w:val="21"/>
        </w:rPr>
        <w:t>0.1lx</w:t>
      </w:r>
      <w:r>
        <w:rPr>
          <w:spacing w:val="-2"/>
          <w:sz w:val="21"/>
        </w:rPr>
        <w:t>，儿科病房不应大</w:t>
      </w:r>
      <w:r>
        <w:rPr>
          <w:spacing w:val="-28"/>
          <w:sz w:val="21"/>
        </w:rPr>
        <w:t>于</w:t>
      </w:r>
      <w:r>
        <w:rPr>
          <w:spacing w:val="-28"/>
          <w:sz w:val="21"/>
        </w:rPr>
        <w:t xml:space="preserve"> </w:t>
      </w:r>
      <w:r>
        <w:rPr>
          <w:sz w:val="21"/>
        </w:rPr>
        <w:t>1lx</w:t>
      </w:r>
      <w:r>
        <w:rPr>
          <w:spacing w:val="-3"/>
          <w:sz w:val="21"/>
        </w:rPr>
        <w:t>。</w:t>
      </w:r>
      <w:r>
        <w:rPr>
          <w:sz w:val="21"/>
        </w:rPr>
        <w:t xml:space="preserve"> </w:t>
      </w:r>
    </w:p>
    <w:p w14:paraId="25FCD5B5" w14:textId="77777777" w:rsidR="00A71EEF" w:rsidRDefault="0081115D">
      <w:pPr>
        <w:pStyle w:val="a4"/>
        <w:numPr>
          <w:ilvl w:val="2"/>
          <w:numId w:val="153"/>
        </w:numPr>
        <w:tabs>
          <w:tab w:val="left" w:pos="1370"/>
        </w:tabs>
        <w:spacing w:line="446" w:lineRule="auto"/>
        <w:ind w:right="1549" w:firstLine="422"/>
        <w:rPr>
          <w:sz w:val="21"/>
        </w:rPr>
      </w:pPr>
      <w:r>
        <w:rPr>
          <w:sz w:val="21"/>
        </w:rPr>
        <w:t>X</w:t>
      </w:r>
      <w:r>
        <w:rPr>
          <w:spacing w:val="-6"/>
          <w:sz w:val="21"/>
        </w:rPr>
        <w:t xml:space="preserve"> </w:t>
      </w:r>
      <w:r>
        <w:rPr>
          <w:spacing w:val="-6"/>
          <w:sz w:val="21"/>
        </w:rPr>
        <w:t>线诊断室、加速器治疗室、核医学扫描室、</w:t>
      </w:r>
      <w:r>
        <w:rPr>
          <w:sz w:val="21"/>
        </w:rPr>
        <w:t>γ</w:t>
      </w:r>
      <w:r>
        <w:rPr>
          <w:spacing w:val="-3"/>
          <w:sz w:val="21"/>
        </w:rPr>
        <w:t>照相机室和手术室等用房，应设防止误入的红色信号灯，红色信号灯电源应与机组连通。</w:t>
      </w:r>
      <w:r>
        <w:rPr>
          <w:sz w:val="21"/>
        </w:rPr>
        <w:t xml:space="preserve"> </w:t>
      </w:r>
    </w:p>
    <w:p w14:paraId="6F9F489C" w14:textId="77777777" w:rsidR="00A71EEF" w:rsidRDefault="0081115D">
      <w:pPr>
        <w:pStyle w:val="a4"/>
        <w:numPr>
          <w:ilvl w:val="1"/>
          <w:numId w:val="152"/>
        </w:numPr>
        <w:tabs>
          <w:tab w:val="left" w:pos="1159"/>
        </w:tabs>
        <w:ind w:hanging="319"/>
        <w:rPr>
          <w:b/>
          <w:sz w:val="21"/>
        </w:rPr>
      </w:pPr>
      <w:r>
        <w:rPr>
          <w:spacing w:val="-3"/>
          <w:sz w:val="21"/>
        </w:rPr>
        <w:t>防雷、接地与电磁兼容</w:t>
      </w:r>
      <w:r>
        <w:rPr>
          <w:b/>
          <w:spacing w:val="-3"/>
          <w:w w:val="99"/>
          <w:sz w:val="21"/>
        </w:rPr>
        <w:t xml:space="preserve"> </w:t>
      </w:r>
    </w:p>
    <w:p w14:paraId="4CB169EE" w14:textId="77777777" w:rsidR="00A71EEF" w:rsidRDefault="00A71EEF">
      <w:pPr>
        <w:pStyle w:val="a3"/>
        <w:spacing w:before="10"/>
        <w:rPr>
          <w:b/>
          <w:sz w:val="17"/>
        </w:rPr>
      </w:pPr>
    </w:p>
    <w:p w14:paraId="4D39A09C" w14:textId="77777777" w:rsidR="00A71EEF" w:rsidRDefault="0081115D">
      <w:pPr>
        <w:pStyle w:val="a4"/>
        <w:numPr>
          <w:ilvl w:val="2"/>
          <w:numId w:val="152"/>
        </w:numPr>
        <w:tabs>
          <w:tab w:val="left" w:pos="1370"/>
        </w:tabs>
        <w:spacing w:line="446" w:lineRule="auto"/>
        <w:ind w:right="1447" w:firstLine="422"/>
        <w:rPr>
          <w:sz w:val="21"/>
        </w:rPr>
      </w:pPr>
      <w:r>
        <w:rPr>
          <w:spacing w:val="-3"/>
          <w:sz w:val="21"/>
        </w:rPr>
        <w:t>医疗建筑防雷设计应符合现行国家标准《建筑物防雷设计规范》</w:t>
      </w:r>
      <w:r>
        <w:rPr>
          <w:sz w:val="21"/>
        </w:rPr>
        <w:t>GB</w:t>
      </w:r>
      <w:r>
        <w:rPr>
          <w:spacing w:val="22"/>
          <w:sz w:val="21"/>
        </w:rPr>
        <w:t xml:space="preserve"> </w:t>
      </w:r>
      <w:r>
        <w:rPr>
          <w:sz w:val="21"/>
        </w:rPr>
        <w:t>50057</w:t>
      </w:r>
      <w:r>
        <w:rPr>
          <w:spacing w:val="-9"/>
          <w:sz w:val="21"/>
        </w:rPr>
        <w:t xml:space="preserve"> </w:t>
      </w:r>
      <w:r>
        <w:rPr>
          <w:spacing w:val="-9"/>
          <w:sz w:val="21"/>
        </w:rPr>
        <w:t>的有关规定</w:t>
      </w:r>
      <w:r>
        <w:rPr>
          <w:spacing w:val="-3"/>
          <w:sz w:val="21"/>
        </w:rPr>
        <w:t>。</w:t>
      </w:r>
      <w:r>
        <w:rPr>
          <w:sz w:val="21"/>
        </w:rPr>
        <w:t xml:space="preserve"> </w:t>
      </w:r>
    </w:p>
    <w:p w14:paraId="36D34FA6" w14:textId="77777777" w:rsidR="00A71EEF" w:rsidRDefault="0081115D">
      <w:pPr>
        <w:pStyle w:val="a4"/>
        <w:numPr>
          <w:ilvl w:val="2"/>
          <w:numId w:val="152"/>
        </w:numPr>
        <w:tabs>
          <w:tab w:val="left" w:pos="1370"/>
        </w:tabs>
        <w:ind w:left="1369" w:hanging="530"/>
        <w:rPr>
          <w:sz w:val="21"/>
        </w:rPr>
      </w:pPr>
      <w:r>
        <w:rPr>
          <w:spacing w:val="-3"/>
          <w:sz w:val="21"/>
        </w:rPr>
        <w:t>医疗建筑应采用防雷接地及电力系统共用接地系统。</w:t>
      </w:r>
      <w:r>
        <w:rPr>
          <w:sz w:val="21"/>
        </w:rPr>
        <w:t xml:space="preserve"> </w:t>
      </w:r>
    </w:p>
    <w:p w14:paraId="63A35803" w14:textId="77777777" w:rsidR="00A71EEF" w:rsidRDefault="00A71EEF">
      <w:pPr>
        <w:pStyle w:val="a3"/>
        <w:spacing w:before="12"/>
        <w:rPr>
          <w:sz w:val="17"/>
        </w:rPr>
      </w:pPr>
    </w:p>
    <w:p w14:paraId="0C745A96" w14:textId="77777777" w:rsidR="00A71EEF" w:rsidRDefault="0081115D">
      <w:pPr>
        <w:pStyle w:val="a4"/>
        <w:numPr>
          <w:ilvl w:val="2"/>
          <w:numId w:val="152"/>
        </w:numPr>
        <w:tabs>
          <w:tab w:val="left" w:pos="1371"/>
        </w:tabs>
        <w:spacing w:line="446" w:lineRule="auto"/>
        <w:ind w:right="1604" w:firstLine="422"/>
        <w:rPr>
          <w:sz w:val="21"/>
        </w:rPr>
      </w:pPr>
      <w:r>
        <w:rPr>
          <w:spacing w:val="-3"/>
          <w:sz w:val="21"/>
        </w:rPr>
        <w:t>医疗建筑电气设备应满足相关的电磁兼容</w:t>
      </w:r>
      <w:r>
        <w:rPr>
          <w:spacing w:val="-3"/>
          <w:sz w:val="21"/>
        </w:rPr>
        <w:t>(</w:t>
      </w:r>
      <w:r>
        <w:rPr>
          <w:sz w:val="21"/>
        </w:rPr>
        <w:t>EMC</w:t>
      </w:r>
      <w:r>
        <w:rPr>
          <w:spacing w:val="-3"/>
          <w:sz w:val="21"/>
        </w:rPr>
        <w:t>)</w:t>
      </w:r>
      <w:r>
        <w:rPr>
          <w:spacing w:val="-3"/>
          <w:sz w:val="21"/>
        </w:rPr>
        <w:t>要求，并应符合国家现行有关电磁兼容标准的规定。</w:t>
      </w:r>
      <w:r>
        <w:rPr>
          <w:sz w:val="21"/>
        </w:rPr>
        <w:t xml:space="preserve"> </w:t>
      </w:r>
    </w:p>
    <w:p w14:paraId="66C3EAC1" w14:textId="77777777" w:rsidR="00A71EEF" w:rsidRDefault="0081115D">
      <w:pPr>
        <w:pStyle w:val="4"/>
        <w:spacing w:line="278" w:lineRule="exact"/>
      </w:pPr>
      <w:r>
        <w:t xml:space="preserve">9 </w:t>
      </w:r>
      <w:r>
        <w:t>智能化系统</w:t>
      </w:r>
      <w:r>
        <w:rPr>
          <w:w w:val="99"/>
        </w:rPr>
        <w:t xml:space="preserve"> </w:t>
      </w:r>
    </w:p>
    <w:p w14:paraId="0511EC26" w14:textId="77777777" w:rsidR="00A71EEF" w:rsidRDefault="00A71EEF">
      <w:pPr>
        <w:pStyle w:val="a3"/>
        <w:spacing w:before="4"/>
        <w:rPr>
          <w:b/>
          <w:sz w:val="17"/>
        </w:rPr>
      </w:pPr>
    </w:p>
    <w:p w14:paraId="1B9D0EDA" w14:textId="77777777" w:rsidR="00A71EEF" w:rsidRDefault="0081115D">
      <w:pPr>
        <w:pStyle w:val="a4"/>
        <w:numPr>
          <w:ilvl w:val="1"/>
          <w:numId w:val="151"/>
        </w:numPr>
        <w:tabs>
          <w:tab w:val="left" w:pos="1160"/>
        </w:tabs>
        <w:rPr>
          <w:b/>
          <w:sz w:val="21"/>
        </w:rPr>
      </w:pPr>
      <w:r>
        <w:rPr>
          <w:spacing w:val="-3"/>
          <w:sz w:val="21"/>
        </w:rPr>
        <w:t>一般规定</w:t>
      </w:r>
      <w:r>
        <w:rPr>
          <w:b/>
          <w:w w:val="99"/>
          <w:sz w:val="21"/>
        </w:rPr>
        <w:t xml:space="preserve"> </w:t>
      </w:r>
    </w:p>
    <w:p w14:paraId="734F78A4" w14:textId="77777777" w:rsidR="00A71EEF" w:rsidRDefault="00A71EEF">
      <w:pPr>
        <w:pStyle w:val="a3"/>
        <w:spacing w:before="2"/>
        <w:rPr>
          <w:b/>
          <w:sz w:val="18"/>
        </w:rPr>
      </w:pPr>
    </w:p>
    <w:p w14:paraId="4AD4154D" w14:textId="77777777" w:rsidR="00A71EEF" w:rsidRDefault="0081115D">
      <w:pPr>
        <w:pStyle w:val="a4"/>
        <w:numPr>
          <w:ilvl w:val="2"/>
          <w:numId w:val="151"/>
        </w:numPr>
        <w:tabs>
          <w:tab w:val="left" w:pos="1370"/>
        </w:tabs>
        <w:ind w:hanging="530"/>
        <w:rPr>
          <w:sz w:val="21"/>
        </w:rPr>
      </w:pPr>
      <w:r>
        <w:rPr>
          <w:spacing w:val="-3"/>
          <w:sz w:val="21"/>
        </w:rPr>
        <w:t>医院应根据需求进行智能化系统总体架构设计，并应满足医院总体规划要求。</w:t>
      </w:r>
      <w:r>
        <w:rPr>
          <w:sz w:val="21"/>
        </w:rPr>
        <w:t xml:space="preserve"> </w:t>
      </w:r>
    </w:p>
    <w:p w14:paraId="45421033" w14:textId="77777777" w:rsidR="00A71EEF" w:rsidRDefault="00A71EEF">
      <w:pPr>
        <w:pStyle w:val="a3"/>
        <w:spacing w:before="12"/>
        <w:rPr>
          <w:sz w:val="17"/>
        </w:rPr>
      </w:pPr>
    </w:p>
    <w:p w14:paraId="12745D94" w14:textId="77777777" w:rsidR="00A71EEF" w:rsidRDefault="0081115D">
      <w:pPr>
        <w:pStyle w:val="a4"/>
        <w:numPr>
          <w:ilvl w:val="2"/>
          <w:numId w:val="151"/>
        </w:numPr>
        <w:tabs>
          <w:tab w:val="left" w:pos="1371"/>
        </w:tabs>
        <w:spacing w:line="446" w:lineRule="auto"/>
        <w:ind w:left="418" w:right="1498" w:firstLine="422"/>
        <w:rPr>
          <w:sz w:val="21"/>
        </w:rPr>
      </w:pPr>
      <w:r>
        <w:rPr>
          <w:spacing w:val="-3"/>
          <w:sz w:val="21"/>
        </w:rPr>
        <w:t>智能化系统的子系统设置应满足医院应用水平及管理模式要求，并应具备可持续发展的条件。</w:t>
      </w:r>
      <w:r>
        <w:rPr>
          <w:sz w:val="21"/>
        </w:rPr>
        <w:t xml:space="preserve"> </w:t>
      </w:r>
    </w:p>
    <w:p w14:paraId="1536C392" w14:textId="77777777" w:rsidR="00A71EEF" w:rsidRDefault="0081115D">
      <w:pPr>
        <w:pStyle w:val="a4"/>
        <w:numPr>
          <w:ilvl w:val="2"/>
          <w:numId w:val="151"/>
        </w:numPr>
        <w:tabs>
          <w:tab w:val="left" w:pos="1370"/>
        </w:tabs>
        <w:spacing w:line="446" w:lineRule="auto"/>
        <w:ind w:left="418" w:right="1498" w:firstLine="422"/>
        <w:rPr>
          <w:sz w:val="21"/>
        </w:rPr>
      </w:pPr>
      <w:r>
        <w:rPr>
          <w:spacing w:val="-3"/>
          <w:sz w:val="21"/>
        </w:rPr>
        <w:t>智能化系统的设计除应符合本规范的规定外，还应符合现行国家标准《智能建筑设计</w:t>
      </w:r>
      <w:r>
        <w:rPr>
          <w:spacing w:val="-2"/>
          <w:sz w:val="21"/>
        </w:rPr>
        <w:t>标准》</w:t>
      </w:r>
      <w:r>
        <w:rPr>
          <w:sz w:val="21"/>
        </w:rPr>
        <w:t>GB</w:t>
      </w:r>
      <w:r>
        <w:rPr>
          <w:sz w:val="21"/>
        </w:rPr>
        <w:t>／</w:t>
      </w:r>
      <w:r>
        <w:rPr>
          <w:sz w:val="21"/>
        </w:rPr>
        <w:t>T</w:t>
      </w:r>
      <w:r>
        <w:rPr>
          <w:spacing w:val="-3"/>
          <w:sz w:val="21"/>
        </w:rPr>
        <w:t xml:space="preserve"> </w:t>
      </w:r>
      <w:r>
        <w:rPr>
          <w:sz w:val="21"/>
        </w:rPr>
        <w:t>50314</w:t>
      </w:r>
      <w:r>
        <w:rPr>
          <w:spacing w:val="-10"/>
          <w:sz w:val="21"/>
        </w:rPr>
        <w:t xml:space="preserve"> </w:t>
      </w:r>
      <w:r>
        <w:rPr>
          <w:spacing w:val="-10"/>
          <w:sz w:val="21"/>
        </w:rPr>
        <w:t>等的有关规定。</w:t>
      </w:r>
      <w:r>
        <w:rPr>
          <w:sz w:val="21"/>
        </w:rPr>
        <w:t xml:space="preserve"> </w:t>
      </w:r>
    </w:p>
    <w:p w14:paraId="70F9727B" w14:textId="77777777" w:rsidR="00A71EEF" w:rsidRDefault="0081115D">
      <w:pPr>
        <w:pStyle w:val="a4"/>
        <w:numPr>
          <w:ilvl w:val="1"/>
          <w:numId w:val="151"/>
        </w:numPr>
        <w:tabs>
          <w:tab w:val="left" w:pos="1160"/>
        </w:tabs>
        <w:spacing w:line="267" w:lineRule="exact"/>
        <w:rPr>
          <w:b/>
          <w:sz w:val="21"/>
        </w:rPr>
      </w:pPr>
      <w:r>
        <w:rPr>
          <w:spacing w:val="-3"/>
          <w:sz w:val="21"/>
        </w:rPr>
        <w:t>信息设施系统</w:t>
      </w:r>
      <w:r>
        <w:rPr>
          <w:b/>
          <w:w w:val="99"/>
          <w:sz w:val="21"/>
        </w:rPr>
        <w:t xml:space="preserve"> </w:t>
      </w:r>
    </w:p>
    <w:p w14:paraId="2CA9CC99" w14:textId="77777777" w:rsidR="00A71EEF" w:rsidRDefault="00A71EEF">
      <w:pPr>
        <w:pStyle w:val="a3"/>
        <w:spacing w:before="2"/>
        <w:rPr>
          <w:b/>
          <w:sz w:val="18"/>
        </w:rPr>
      </w:pPr>
    </w:p>
    <w:p w14:paraId="091AE36D" w14:textId="77777777" w:rsidR="00A71EEF" w:rsidRDefault="0081115D">
      <w:pPr>
        <w:pStyle w:val="a4"/>
        <w:numPr>
          <w:ilvl w:val="2"/>
          <w:numId w:val="151"/>
        </w:numPr>
        <w:tabs>
          <w:tab w:val="left" w:pos="1370"/>
        </w:tabs>
        <w:ind w:hanging="530"/>
        <w:rPr>
          <w:sz w:val="21"/>
        </w:rPr>
      </w:pPr>
      <w:r>
        <w:rPr>
          <w:spacing w:val="-3"/>
          <w:sz w:val="21"/>
        </w:rPr>
        <w:t>通信接入系统宜在医院内集中设置。</w:t>
      </w:r>
      <w:r>
        <w:rPr>
          <w:sz w:val="21"/>
        </w:rPr>
        <w:t xml:space="preserve"> </w:t>
      </w:r>
    </w:p>
    <w:p w14:paraId="679377E7" w14:textId="77777777" w:rsidR="00A71EEF" w:rsidRDefault="00A71EEF">
      <w:pPr>
        <w:rPr>
          <w:sz w:val="21"/>
        </w:rPr>
        <w:sectPr w:rsidR="00A71EEF">
          <w:pgSz w:w="11910" w:h="16850"/>
          <w:pgMar w:top="1220" w:right="0" w:bottom="1420" w:left="1260" w:header="0" w:footer="1239" w:gutter="0"/>
          <w:cols w:space="720"/>
        </w:sectPr>
      </w:pPr>
    </w:p>
    <w:p w14:paraId="1F6BD8AC" w14:textId="77777777" w:rsidR="00A71EEF" w:rsidRDefault="0081115D">
      <w:pPr>
        <w:pStyle w:val="a4"/>
        <w:numPr>
          <w:ilvl w:val="2"/>
          <w:numId w:val="151"/>
        </w:numPr>
        <w:tabs>
          <w:tab w:val="left" w:pos="1370"/>
        </w:tabs>
        <w:spacing w:before="47" w:line="446" w:lineRule="auto"/>
        <w:ind w:left="418" w:right="1498" w:firstLine="422"/>
        <w:rPr>
          <w:sz w:val="21"/>
        </w:rPr>
      </w:pPr>
      <w:r>
        <w:rPr>
          <w:spacing w:val="-3"/>
          <w:sz w:val="21"/>
        </w:rPr>
        <w:t>当采用独立的综合业务数字程控用户交换机系统时，中继线数量应根据实际话务量的</w:t>
      </w:r>
      <w:r>
        <w:rPr>
          <w:spacing w:val="-3"/>
          <w:sz w:val="21"/>
        </w:rPr>
        <w:t>1</w:t>
      </w:r>
      <w:r>
        <w:rPr>
          <w:spacing w:val="-3"/>
          <w:sz w:val="21"/>
        </w:rPr>
        <w:t>／</w:t>
      </w:r>
      <w:r>
        <w:rPr>
          <w:spacing w:val="-3"/>
          <w:sz w:val="21"/>
        </w:rPr>
        <w:t>10</w:t>
      </w:r>
      <w:r>
        <w:rPr>
          <w:spacing w:val="-9"/>
          <w:sz w:val="21"/>
        </w:rPr>
        <w:t xml:space="preserve"> </w:t>
      </w:r>
      <w:r>
        <w:rPr>
          <w:spacing w:val="-9"/>
          <w:sz w:val="21"/>
        </w:rPr>
        <w:t>确定，并应预留裕量。</w:t>
      </w:r>
      <w:r>
        <w:rPr>
          <w:sz w:val="21"/>
        </w:rPr>
        <w:t xml:space="preserve"> </w:t>
      </w:r>
    </w:p>
    <w:p w14:paraId="07640CB7" w14:textId="77777777" w:rsidR="00A71EEF" w:rsidRDefault="0081115D">
      <w:pPr>
        <w:pStyle w:val="a4"/>
        <w:numPr>
          <w:ilvl w:val="2"/>
          <w:numId w:val="151"/>
        </w:numPr>
        <w:tabs>
          <w:tab w:val="left" w:pos="1370"/>
        </w:tabs>
        <w:spacing w:line="267" w:lineRule="exact"/>
        <w:ind w:hanging="530"/>
        <w:rPr>
          <w:sz w:val="21"/>
        </w:rPr>
      </w:pPr>
      <w:r>
        <w:rPr>
          <w:spacing w:val="-3"/>
          <w:sz w:val="21"/>
        </w:rPr>
        <w:t>信息网络系统设置应符合下列要求：</w:t>
      </w:r>
      <w:r>
        <w:rPr>
          <w:spacing w:val="-3"/>
          <w:sz w:val="21"/>
        </w:rPr>
        <w:t xml:space="preserve"> </w:t>
      </w:r>
      <w:r>
        <w:rPr>
          <w:spacing w:val="-2"/>
          <w:sz w:val="21"/>
        </w:rPr>
        <w:t xml:space="preserve"> </w:t>
      </w:r>
      <w:r>
        <w:rPr>
          <w:sz w:val="21"/>
        </w:rPr>
        <w:t xml:space="preserve"> </w:t>
      </w:r>
    </w:p>
    <w:p w14:paraId="24486DDF" w14:textId="77777777" w:rsidR="00A71EEF" w:rsidRDefault="00A71EEF">
      <w:pPr>
        <w:pStyle w:val="a3"/>
        <w:spacing w:before="2"/>
        <w:rPr>
          <w:sz w:val="18"/>
        </w:rPr>
      </w:pPr>
    </w:p>
    <w:p w14:paraId="09ABCFFE" w14:textId="77777777" w:rsidR="00A71EEF" w:rsidRDefault="0081115D">
      <w:pPr>
        <w:pStyle w:val="a3"/>
        <w:spacing w:line="446" w:lineRule="auto"/>
        <w:ind w:left="418" w:right="1609" w:firstLine="419"/>
      </w:pPr>
      <w:r>
        <w:t>应根据信息重要级别及安全程度，分别设置供医院内部使用的专用网和公用信息传输的互联网。</w:t>
      </w:r>
      <w:r>
        <w:t xml:space="preserve">  </w:t>
      </w:r>
      <w:r>
        <w:t xml:space="preserve"> </w:t>
      </w:r>
    </w:p>
    <w:p w14:paraId="1F56FDCB" w14:textId="77777777" w:rsidR="00A71EEF" w:rsidRDefault="0081115D">
      <w:pPr>
        <w:pStyle w:val="a3"/>
        <w:spacing w:line="267" w:lineRule="exact"/>
        <w:ind w:left="838"/>
      </w:pPr>
      <w:r>
        <w:t>应采用以太网交换技术和相应的网络结构。</w:t>
      </w:r>
      <w:r>
        <w:t xml:space="preserve">  </w:t>
      </w:r>
      <w:r>
        <w:t xml:space="preserve"> </w:t>
      </w:r>
    </w:p>
    <w:p w14:paraId="67532943" w14:textId="77777777" w:rsidR="00A71EEF" w:rsidRDefault="00A71EEF">
      <w:pPr>
        <w:pStyle w:val="a3"/>
        <w:spacing w:before="2"/>
        <w:rPr>
          <w:sz w:val="18"/>
        </w:rPr>
      </w:pPr>
    </w:p>
    <w:p w14:paraId="7C62EB58" w14:textId="77777777" w:rsidR="00A71EEF" w:rsidRDefault="0081115D">
      <w:pPr>
        <w:pStyle w:val="a3"/>
        <w:ind w:left="838"/>
      </w:pPr>
      <w:r>
        <w:t>应配置核心交换机和接入交换机。可根据信息点分布和规模，增设汇聚层交换机。</w:t>
      </w:r>
      <w:r>
        <w:t xml:space="preserve">  </w:t>
      </w:r>
      <w:r>
        <w:t xml:space="preserve"> </w:t>
      </w:r>
    </w:p>
    <w:p w14:paraId="79EB8068" w14:textId="77777777" w:rsidR="00A71EEF" w:rsidRDefault="00A71EEF">
      <w:pPr>
        <w:pStyle w:val="a3"/>
        <w:rPr>
          <w:sz w:val="18"/>
        </w:rPr>
      </w:pPr>
    </w:p>
    <w:p w14:paraId="5AAA1648" w14:textId="77777777" w:rsidR="00A71EEF" w:rsidRDefault="0081115D">
      <w:pPr>
        <w:pStyle w:val="a3"/>
        <w:ind w:left="838"/>
      </w:pPr>
      <w:r>
        <w:t>医院内部使用的专用网宜采用网络的冗余配置。</w:t>
      </w:r>
      <w:r>
        <w:t xml:space="preserve"> </w:t>
      </w:r>
    </w:p>
    <w:p w14:paraId="4A25B5C7" w14:textId="77777777" w:rsidR="00A71EEF" w:rsidRDefault="00A71EEF">
      <w:pPr>
        <w:pStyle w:val="a3"/>
        <w:rPr>
          <w:sz w:val="18"/>
        </w:rPr>
      </w:pPr>
    </w:p>
    <w:p w14:paraId="23BB632B" w14:textId="77777777" w:rsidR="00A71EEF" w:rsidRDefault="0081115D">
      <w:pPr>
        <w:pStyle w:val="a4"/>
        <w:numPr>
          <w:ilvl w:val="2"/>
          <w:numId w:val="151"/>
        </w:numPr>
        <w:tabs>
          <w:tab w:val="left" w:pos="1371"/>
        </w:tabs>
        <w:spacing w:line="446" w:lineRule="auto"/>
        <w:ind w:left="418" w:right="1445" w:firstLine="422"/>
        <w:rPr>
          <w:sz w:val="21"/>
        </w:rPr>
      </w:pPr>
      <w:r>
        <w:rPr>
          <w:spacing w:val="-3"/>
          <w:sz w:val="21"/>
        </w:rPr>
        <w:t>综合布线系统设计应符合现行国家标准《综合布线系统工程设计规范》</w:t>
      </w:r>
      <w:r>
        <w:rPr>
          <w:sz w:val="21"/>
        </w:rPr>
        <w:t>GB</w:t>
      </w:r>
      <w:r>
        <w:rPr>
          <w:spacing w:val="23"/>
          <w:sz w:val="21"/>
        </w:rPr>
        <w:t xml:space="preserve"> </w:t>
      </w:r>
      <w:r>
        <w:rPr>
          <w:sz w:val="21"/>
        </w:rPr>
        <w:t>50311</w:t>
      </w:r>
      <w:r>
        <w:rPr>
          <w:spacing w:val="-14"/>
          <w:sz w:val="21"/>
        </w:rPr>
        <w:t xml:space="preserve"> </w:t>
      </w:r>
      <w:r>
        <w:rPr>
          <w:spacing w:val="-14"/>
          <w:sz w:val="21"/>
        </w:rPr>
        <w:t>的有</w:t>
      </w:r>
      <w:r>
        <w:rPr>
          <w:spacing w:val="-5"/>
          <w:sz w:val="21"/>
        </w:rPr>
        <w:t>关规定。信息点布置宜根据医院实际需求确定。信息插座的安装标高应满足功能使用要求。</w:t>
      </w:r>
      <w:r>
        <w:rPr>
          <w:sz w:val="21"/>
        </w:rPr>
        <w:t xml:space="preserve"> </w:t>
      </w:r>
    </w:p>
    <w:p w14:paraId="66D83439" w14:textId="77777777" w:rsidR="00A71EEF" w:rsidRDefault="0081115D">
      <w:pPr>
        <w:pStyle w:val="a4"/>
        <w:numPr>
          <w:ilvl w:val="2"/>
          <w:numId w:val="151"/>
        </w:numPr>
        <w:tabs>
          <w:tab w:val="left" w:pos="1371"/>
        </w:tabs>
        <w:ind w:left="1370" w:hanging="531"/>
        <w:rPr>
          <w:sz w:val="21"/>
        </w:rPr>
      </w:pPr>
      <w:r>
        <w:rPr>
          <w:spacing w:val="-3"/>
          <w:sz w:val="21"/>
        </w:rPr>
        <w:t>当设置室内移动通信覆盖系统时，应预留路由及设备安装空间。</w:t>
      </w:r>
      <w:r>
        <w:rPr>
          <w:sz w:val="21"/>
        </w:rPr>
        <w:t xml:space="preserve"> </w:t>
      </w:r>
    </w:p>
    <w:p w14:paraId="0F58531D" w14:textId="77777777" w:rsidR="00A71EEF" w:rsidRDefault="00A71EEF">
      <w:pPr>
        <w:pStyle w:val="a3"/>
        <w:spacing w:before="12"/>
        <w:rPr>
          <w:sz w:val="17"/>
        </w:rPr>
      </w:pPr>
    </w:p>
    <w:p w14:paraId="4A79424C" w14:textId="77777777" w:rsidR="00A71EEF" w:rsidRDefault="0081115D">
      <w:pPr>
        <w:pStyle w:val="a4"/>
        <w:numPr>
          <w:ilvl w:val="2"/>
          <w:numId w:val="151"/>
        </w:numPr>
        <w:tabs>
          <w:tab w:val="left" w:pos="1371"/>
        </w:tabs>
        <w:ind w:left="1370" w:hanging="531"/>
        <w:rPr>
          <w:sz w:val="21"/>
        </w:rPr>
      </w:pPr>
      <w:r>
        <w:rPr>
          <w:spacing w:val="-3"/>
          <w:sz w:val="21"/>
        </w:rPr>
        <w:t>当设置卫星通信系统时，应满足语音、数据、图像和多媒体等信息通信要求。</w:t>
      </w:r>
      <w:r>
        <w:rPr>
          <w:spacing w:val="-3"/>
          <w:sz w:val="21"/>
        </w:rPr>
        <w:t xml:space="preserve"> </w:t>
      </w:r>
    </w:p>
    <w:p w14:paraId="28F13162" w14:textId="77777777" w:rsidR="00A71EEF" w:rsidRDefault="00A71EEF">
      <w:pPr>
        <w:pStyle w:val="a3"/>
        <w:spacing w:before="2"/>
        <w:rPr>
          <w:sz w:val="18"/>
        </w:rPr>
      </w:pPr>
    </w:p>
    <w:p w14:paraId="480032ED" w14:textId="77777777" w:rsidR="00A71EEF" w:rsidRDefault="0081115D">
      <w:pPr>
        <w:pStyle w:val="a4"/>
        <w:numPr>
          <w:ilvl w:val="2"/>
          <w:numId w:val="151"/>
        </w:numPr>
        <w:tabs>
          <w:tab w:val="left" w:pos="1371"/>
        </w:tabs>
        <w:ind w:left="1370" w:hanging="531"/>
        <w:rPr>
          <w:sz w:val="21"/>
        </w:rPr>
      </w:pPr>
      <w:r>
        <w:rPr>
          <w:spacing w:val="-3"/>
          <w:sz w:val="21"/>
        </w:rPr>
        <w:t>当设置有线电视系统时，应符合下列要求：</w:t>
      </w:r>
      <w:r>
        <w:rPr>
          <w:sz w:val="21"/>
        </w:rPr>
        <w:t xml:space="preserve">  </w:t>
      </w:r>
      <w:r>
        <w:rPr>
          <w:sz w:val="21"/>
        </w:rPr>
        <w:t xml:space="preserve"> </w:t>
      </w:r>
    </w:p>
    <w:p w14:paraId="4AAE7C06" w14:textId="77777777" w:rsidR="00A71EEF" w:rsidRDefault="00A71EEF">
      <w:pPr>
        <w:pStyle w:val="a3"/>
        <w:rPr>
          <w:sz w:val="18"/>
        </w:rPr>
      </w:pPr>
    </w:p>
    <w:p w14:paraId="22D8C86D" w14:textId="77777777" w:rsidR="00A71EEF" w:rsidRDefault="0081115D">
      <w:pPr>
        <w:pStyle w:val="a3"/>
        <w:spacing w:line="446" w:lineRule="auto"/>
        <w:ind w:left="418" w:right="1817" w:firstLine="419"/>
      </w:pPr>
      <w:r>
        <w:t>有线电视插座宜设置在大堂、收费和挂号窗、候诊室、休息室、咖啡厅、输液室、会议室、示教室、医疗康复中心、病房等安装电视机屏幕的附近；</w:t>
      </w:r>
      <w:r>
        <w:t xml:space="preserve">  </w:t>
      </w:r>
      <w:r>
        <w:t xml:space="preserve"> </w:t>
      </w:r>
    </w:p>
    <w:p w14:paraId="718DB3B1" w14:textId="77777777" w:rsidR="00A71EEF" w:rsidRDefault="0081115D">
      <w:pPr>
        <w:pStyle w:val="a3"/>
        <w:spacing w:line="446" w:lineRule="auto"/>
        <w:ind w:left="418" w:right="1609" w:firstLine="419"/>
      </w:pPr>
      <w:r>
        <w:t>当多人间病房采用电视伴音系统时，宜在每个患者床前设置带有音量可调节的耳机收听插孔。</w:t>
      </w:r>
      <w:r>
        <w:t xml:space="preserve"> </w:t>
      </w:r>
    </w:p>
    <w:p w14:paraId="6433930C" w14:textId="77777777" w:rsidR="00A71EEF" w:rsidRDefault="0081115D">
      <w:pPr>
        <w:pStyle w:val="a4"/>
        <w:numPr>
          <w:ilvl w:val="2"/>
          <w:numId w:val="151"/>
        </w:numPr>
        <w:tabs>
          <w:tab w:val="left" w:pos="1370"/>
        </w:tabs>
        <w:spacing w:line="446" w:lineRule="auto"/>
        <w:ind w:left="418" w:right="1498" w:firstLine="422"/>
        <w:rPr>
          <w:sz w:val="21"/>
        </w:rPr>
      </w:pPr>
      <w:r>
        <w:rPr>
          <w:spacing w:val="-3"/>
          <w:sz w:val="21"/>
        </w:rPr>
        <w:t>医院应设置紧急广播系统。当设置公共广播系统时，宜与紧急广播系统共用一套线路及末端设备</w:t>
      </w:r>
      <w:r>
        <w:rPr>
          <w:spacing w:val="-3"/>
          <w:sz w:val="21"/>
        </w:rPr>
        <w:t>(</w:t>
      </w:r>
      <w:r>
        <w:rPr>
          <w:spacing w:val="-3"/>
          <w:sz w:val="21"/>
        </w:rPr>
        <w:t>扬声器</w:t>
      </w:r>
      <w:r>
        <w:rPr>
          <w:spacing w:val="-3"/>
          <w:sz w:val="21"/>
        </w:rPr>
        <w:t>)</w:t>
      </w:r>
      <w:r>
        <w:rPr>
          <w:spacing w:val="-3"/>
          <w:sz w:val="21"/>
        </w:rPr>
        <w:t>，末端设备宜设在公共场所，并宜在门诊、医技的候诊厅服务台以及病房护士站安装音量调节装置。当消防报警时应自动切至紧急广播。</w:t>
      </w:r>
      <w:r>
        <w:rPr>
          <w:sz w:val="21"/>
        </w:rPr>
        <w:t xml:space="preserve"> </w:t>
      </w:r>
    </w:p>
    <w:p w14:paraId="299D160B" w14:textId="77777777" w:rsidR="00A71EEF" w:rsidRDefault="0081115D">
      <w:pPr>
        <w:pStyle w:val="a4"/>
        <w:numPr>
          <w:ilvl w:val="2"/>
          <w:numId w:val="151"/>
        </w:numPr>
        <w:tabs>
          <w:tab w:val="left" w:pos="1370"/>
        </w:tabs>
        <w:spacing w:line="446" w:lineRule="auto"/>
        <w:ind w:left="418" w:right="1498" w:firstLine="422"/>
        <w:rPr>
          <w:sz w:val="21"/>
        </w:rPr>
      </w:pPr>
      <w:r>
        <w:rPr>
          <w:spacing w:val="-3"/>
          <w:sz w:val="21"/>
        </w:rPr>
        <w:t>当设置信息引导及发布系统时，宜在公共场所设置触摸屏信息查询终端及大型彩</w:t>
      </w:r>
      <w:r>
        <w:rPr>
          <w:spacing w:val="-3"/>
          <w:sz w:val="21"/>
        </w:rPr>
        <w:t>色显示屏。</w:t>
      </w:r>
      <w:r>
        <w:rPr>
          <w:sz w:val="21"/>
        </w:rPr>
        <w:t xml:space="preserve"> </w:t>
      </w:r>
    </w:p>
    <w:p w14:paraId="0A635FF1" w14:textId="77777777" w:rsidR="00A71EEF" w:rsidRDefault="0081115D">
      <w:pPr>
        <w:pStyle w:val="a4"/>
        <w:numPr>
          <w:ilvl w:val="2"/>
          <w:numId w:val="151"/>
        </w:numPr>
        <w:tabs>
          <w:tab w:val="left" w:pos="1478"/>
        </w:tabs>
        <w:spacing w:line="446" w:lineRule="auto"/>
        <w:ind w:left="418" w:right="1601" w:firstLine="422"/>
        <w:rPr>
          <w:sz w:val="21"/>
        </w:rPr>
      </w:pPr>
      <w:r>
        <w:rPr>
          <w:spacing w:val="-3"/>
          <w:sz w:val="21"/>
        </w:rPr>
        <w:t>当医院设置时钟系统时，子钟宜设置在病房护理单元、分诊、医技各检查科室的护士站、手术室、医生诊室及办公室等处。</w:t>
      </w:r>
      <w:r>
        <w:rPr>
          <w:sz w:val="21"/>
        </w:rPr>
        <w:t xml:space="preserve"> </w:t>
      </w:r>
    </w:p>
    <w:p w14:paraId="21646004" w14:textId="77777777" w:rsidR="00A71EEF" w:rsidRDefault="0081115D">
      <w:pPr>
        <w:pStyle w:val="a4"/>
        <w:numPr>
          <w:ilvl w:val="1"/>
          <w:numId w:val="151"/>
        </w:numPr>
        <w:tabs>
          <w:tab w:val="left" w:pos="1159"/>
        </w:tabs>
        <w:ind w:left="1158" w:hanging="319"/>
        <w:rPr>
          <w:b/>
          <w:sz w:val="21"/>
        </w:rPr>
      </w:pPr>
      <w:r>
        <w:rPr>
          <w:spacing w:val="-3"/>
          <w:sz w:val="21"/>
        </w:rPr>
        <w:t>信息化应用系统</w:t>
      </w:r>
      <w:r>
        <w:rPr>
          <w:b/>
          <w:w w:val="99"/>
          <w:sz w:val="21"/>
        </w:rPr>
        <w:t xml:space="preserve"> </w:t>
      </w:r>
    </w:p>
    <w:p w14:paraId="22C44D86" w14:textId="77777777" w:rsidR="00A71EEF" w:rsidRDefault="00A71EEF">
      <w:pPr>
        <w:pStyle w:val="a3"/>
        <w:spacing w:before="9"/>
        <w:rPr>
          <w:b/>
          <w:sz w:val="17"/>
        </w:rPr>
      </w:pPr>
    </w:p>
    <w:p w14:paraId="5FDEDFE0" w14:textId="77777777" w:rsidR="00A71EEF" w:rsidRDefault="0081115D">
      <w:pPr>
        <w:pStyle w:val="a4"/>
        <w:numPr>
          <w:ilvl w:val="2"/>
          <w:numId w:val="151"/>
        </w:numPr>
        <w:tabs>
          <w:tab w:val="left" w:pos="1371"/>
        </w:tabs>
        <w:ind w:left="1370" w:hanging="531"/>
        <w:rPr>
          <w:sz w:val="21"/>
        </w:rPr>
      </w:pPr>
      <w:r>
        <w:rPr>
          <w:spacing w:val="-3"/>
          <w:sz w:val="21"/>
        </w:rPr>
        <w:t>医院信息系统宜由管理信息系统、临床信息系统和信息支持与维护系统组成。</w:t>
      </w:r>
      <w:r>
        <w:rPr>
          <w:spacing w:val="-3"/>
          <w:sz w:val="21"/>
        </w:rPr>
        <w:t xml:space="preserve"> </w:t>
      </w:r>
    </w:p>
    <w:p w14:paraId="043F782F" w14:textId="77777777" w:rsidR="00A71EEF" w:rsidRDefault="00A71EEF">
      <w:pPr>
        <w:pStyle w:val="a3"/>
        <w:spacing w:before="12"/>
        <w:rPr>
          <w:sz w:val="17"/>
        </w:rPr>
      </w:pPr>
    </w:p>
    <w:p w14:paraId="11F25475" w14:textId="77777777" w:rsidR="00A71EEF" w:rsidRDefault="0081115D">
      <w:pPr>
        <w:pStyle w:val="a4"/>
        <w:numPr>
          <w:ilvl w:val="2"/>
          <w:numId w:val="151"/>
        </w:numPr>
        <w:tabs>
          <w:tab w:val="left" w:pos="1371"/>
        </w:tabs>
        <w:spacing w:line="446" w:lineRule="auto"/>
        <w:ind w:left="838" w:right="4657" w:firstLine="2"/>
        <w:rPr>
          <w:b/>
          <w:sz w:val="21"/>
        </w:rPr>
      </w:pPr>
      <w:r>
        <w:rPr>
          <w:spacing w:val="-2"/>
          <w:sz w:val="21"/>
        </w:rPr>
        <w:t>当设置排队叫号系统时，应符合下列要求：</w:t>
      </w:r>
      <w:r>
        <w:rPr>
          <w:spacing w:val="-2"/>
          <w:sz w:val="21"/>
        </w:rPr>
        <w:t xml:space="preserve">   </w:t>
      </w:r>
      <w:r>
        <w:rPr>
          <w:spacing w:val="-2"/>
          <w:sz w:val="21"/>
        </w:rPr>
        <w:t>宜</w:t>
      </w:r>
      <w:r>
        <w:rPr>
          <w:spacing w:val="-3"/>
          <w:sz w:val="21"/>
        </w:rPr>
        <w:t>采用网络型架构，系统软件与医院信息化系统连接；</w:t>
      </w:r>
      <w:r>
        <w:rPr>
          <w:b/>
          <w:w w:val="99"/>
          <w:sz w:val="21"/>
        </w:rPr>
        <w:t xml:space="preserve"> </w:t>
      </w:r>
    </w:p>
    <w:p w14:paraId="189EB485" w14:textId="77777777" w:rsidR="00A71EEF" w:rsidRDefault="00A71EEF">
      <w:pPr>
        <w:spacing w:line="446" w:lineRule="auto"/>
        <w:rPr>
          <w:sz w:val="21"/>
        </w:rPr>
        <w:sectPr w:rsidR="00A71EEF">
          <w:pgSz w:w="11910" w:h="16850"/>
          <w:pgMar w:top="1220" w:right="0" w:bottom="1420" w:left="1260" w:header="0" w:footer="1239" w:gutter="0"/>
          <w:cols w:space="720"/>
        </w:sectPr>
      </w:pPr>
    </w:p>
    <w:p w14:paraId="1B8005A5" w14:textId="77777777" w:rsidR="00A71EEF" w:rsidRDefault="0081115D">
      <w:pPr>
        <w:pStyle w:val="a3"/>
        <w:spacing w:before="47" w:line="446" w:lineRule="auto"/>
        <w:ind w:left="838" w:right="3817"/>
        <w:rPr>
          <w:b/>
        </w:rPr>
      </w:pPr>
      <w:r>
        <w:t>在挂号窗口和分诊排队护士站应设置屏幕显示和语音提示装置；</w:t>
      </w:r>
      <w:r>
        <w:t xml:space="preserve"> </w:t>
      </w:r>
      <w:r>
        <w:t>可根据具体情况在诊室设置虚拟或物理呼叫器。</w:t>
      </w:r>
      <w:r>
        <w:rPr>
          <w:b/>
          <w:w w:val="99"/>
        </w:rPr>
        <w:t xml:space="preserve"> </w:t>
      </w:r>
    </w:p>
    <w:p w14:paraId="19654EAE" w14:textId="77777777" w:rsidR="00A71EEF" w:rsidRDefault="0081115D">
      <w:pPr>
        <w:pStyle w:val="a4"/>
        <w:numPr>
          <w:ilvl w:val="2"/>
          <w:numId w:val="151"/>
        </w:numPr>
        <w:tabs>
          <w:tab w:val="left" w:pos="1371"/>
        </w:tabs>
        <w:spacing w:line="267" w:lineRule="exact"/>
        <w:ind w:left="1370" w:hanging="531"/>
        <w:rPr>
          <w:b/>
          <w:sz w:val="21"/>
        </w:rPr>
      </w:pPr>
      <w:r>
        <w:rPr>
          <w:spacing w:val="-3"/>
          <w:sz w:val="21"/>
        </w:rPr>
        <w:t>监护病房宜设置探视系统，并应符合下列要求：</w:t>
      </w:r>
      <w:r>
        <w:rPr>
          <w:b/>
          <w:w w:val="99"/>
          <w:sz w:val="21"/>
        </w:rPr>
        <w:t xml:space="preserve"> </w:t>
      </w:r>
    </w:p>
    <w:p w14:paraId="5E88247A" w14:textId="77777777" w:rsidR="00A71EEF" w:rsidRDefault="00A71EEF">
      <w:pPr>
        <w:pStyle w:val="a3"/>
        <w:spacing w:before="2"/>
        <w:rPr>
          <w:b/>
          <w:sz w:val="18"/>
        </w:rPr>
      </w:pPr>
    </w:p>
    <w:p w14:paraId="27EC5029" w14:textId="77777777" w:rsidR="00A71EEF" w:rsidRDefault="0081115D">
      <w:pPr>
        <w:pStyle w:val="a3"/>
        <w:spacing w:line="446" w:lineRule="auto"/>
        <w:ind w:left="838" w:right="3186"/>
      </w:pPr>
      <w:r>
        <w:rPr>
          <w:spacing w:val="-3"/>
        </w:rPr>
        <w:t>宜设置语音与视频信号的双向传输，其操作控制系统应设在护士站内；</w:t>
      </w:r>
      <w:r>
        <w:rPr>
          <w:spacing w:val="-3"/>
        </w:rPr>
        <w:t xml:space="preserve"> </w:t>
      </w:r>
      <w:r>
        <w:rPr>
          <w:spacing w:val="-3"/>
        </w:rPr>
        <w:t>患者终端宜使用简单、易于操作。探视终端宜具备相对的私密性。</w:t>
      </w:r>
      <w:r>
        <w:rPr>
          <w:spacing w:val="-3"/>
        </w:rPr>
        <w:t xml:space="preserve"> </w:t>
      </w:r>
      <w:r>
        <w:rPr>
          <w:b/>
        </w:rPr>
        <w:t>9.3.4</w:t>
      </w:r>
      <w:r>
        <w:rPr>
          <w:b/>
          <w:spacing w:val="5"/>
        </w:rPr>
        <w:t xml:space="preserve"> </w:t>
      </w:r>
      <w:r>
        <w:rPr>
          <w:spacing w:val="-3"/>
        </w:rPr>
        <w:t>当设置手术室视频示教系统时，应符合下列要求：</w:t>
      </w:r>
      <w:r>
        <w:t xml:space="preserve"> </w:t>
      </w:r>
    </w:p>
    <w:p w14:paraId="2FCC07B1" w14:textId="77777777" w:rsidR="00A71EEF" w:rsidRDefault="0081115D">
      <w:pPr>
        <w:pStyle w:val="a3"/>
        <w:spacing w:line="268" w:lineRule="exact"/>
        <w:ind w:left="838"/>
      </w:pPr>
      <w:r>
        <w:t>视频信号应单向上传，语音信号应双向传输。</w:t>
      </w:r>
      <w:r>
        <w:t xml:space="preserve"> </w:t>
      </w:r>
    </w:p>
    <w:p w14:paraId="414FE020" w14:textId="77777777" w:rsidR="00A71EEF" w:rsidRDefault="00A71EEF">
      <w:pPr>
        <w:pStyle w:val="a3"/>
        <w:rPr>
          <w:sz w:val="18"/>
        </w:rPr>
      </w:pPr>
    </w:p>
    <w:p w14:paraId="305608C3" w14:textId="77777777" w:rsidR="00A71EEF" w:rsidRDefault="0081115D">
      <w:pPr>
        <w:pStyle w:val="a3"/>
        <w:spacing w:line="446" w:lineRule="auto"/>
        <w:ind w:left="418" w:right="1611" w:firstLine="419"/>
      </w:pPr>
      <w:r>
        <w:t>视频应采集全景和局部</w:t>
      </w:r>
      <w:r>
        <w:t>(</w:t>
      </w:r>
      <w:r>
        <w:t>无影灯摄像机</w:t>
      </w:r>
      <w:r>
        <w:t>)</w:t>
      </w:r>
      <w:r>
        <w:t>的图像信号，并应设备用插座，可在吊塔上设置用于转播的高清摄像机。示教室应设置显示屏。</w:t>
      </w:r>
      <w:r>
        <w:t xml:space="preserve"> </w:t>
      </w:r>
    </w:p>
    <w:p w14:paraId="6F9AF236" w14:textId="77777777" w:rsidR="00A71EEF" w:rsidRDefault="0081115D">
      <w:pPr>
        <w:pStyle w:val="a3"/>
        <w:spacing w:line="446" w:lineRule="auto"/>
        <w:ind w:left="838" w:right="4026"/>
      </w:pPr>
      <w:r>
        <w:t>控制间应对所有示教手术室的图像与音频信号进行切换管理。视频示教系统不应接入有线电视系统。</w:t>
      </w:r>
      <w:r>
        <w:t xml:space="preserve"> </w:t>
      </w:r>
    </w:p>
    <w:p w14:paraId="264AE580" w14:textId="77777777" w:rsidR="00A71EEF" w:rsidRDefault="0081115D">
      <w:pPr>
        <w:pStyle w:val="a4"/>
        <w:numPr>
          <w:ilvl w:val="2"/>
          <w:numId w:val="150"/>
        </w:numPr>
        <w:tabs>
          <w:tab w:val="left" w:pos="1370"/>
        </w:tabs>
        <w:spacing w:line="267" w:lineRule="exact"/>
        <w:ind w:hanging="530"/>
        <w:rPr>
          <w:sz w:val="21"/>
        </w:rPr>
      </w:pPr>
      <w:r>
        <w:rPr>
          <w:spacing w:val="-3"/>
          <w:sz w:val="21"/>
        </w:rPr>
        <w:t>当设置手术室监控管理系统时，应符合下列要求：</w:t>
      </w:r>
      <w:r>
        <w:rPr>
          <w:sz w:val="21"/>
        </w:rPr>
        <w:t xml:space="preserve"> </w:t>
      </w:r>
    </w:p>
    <w:p w14:paraId="225317EC" w14:textId="77777777" w:rsidR="00A71EEF" w:rsidRDefault="00A71EEF">
      <w:pPr>
        <w:pStyle w:val="a3"/>
        <w:spacing w:before="2"/>
        <w:rPr>
          <w:sz w:val="18"/>
        </w:rPr>
      </w:pPr>
    </w:p>
    <w:p w14:paraId="68C989F4" w14:textId="77777777" w:rsidR="00A71EEF" w:rsidRDefault="0081115D">
      <w:pPr>
        <w:pStyle w:val="a3"/>
        <w:spacing w:line="446" w:lineRule="auto"/>
        <w:ind w:left="838" w:right="3186"/>
      </w:pPr>
      <w:r>
        <w:rPr>
          <w:spacing w:val="-3"/>
        </w:rPr>
        <w:t>应采用计算机网络技术集中监控与管理手术室运行状态、环境变化等；</w:t>
      </w:r>
      <w:r>
        <w:rPr>
          <w:spacing w:val="-3"/>
        </w:rPr>
        <w:t xml:space="preserve"> </w:t>
      </w:r>
      <w:r>
        <w:rPr>
          <w:spacing w:val="-3"/>
        </w:rPr>
        <w:t>操作终端宜采用触摸屏方式。</w:t>
      </w:r>
      <w:r>
        <w:t xml:space="preserve"> </w:t>
      </w:r>
    </w:p>
    <w:p w14:paraId="16BE51F3" w14:textId="77777777" w:rsidR="00A71EEF" w:rsidRDefault="0081115D">
      <w:pPr>
        <w:pStyle w:val="a4"/>
        <w:numPr>
          <w:ilvl w:val="2"/>
          <w:numId w:val="150"/>
        </w:numPr>
        <w:tabs>
          <w:tab w:val="left" w:pos="1371"/>
        </w:tabs>
        <w:spacing w:line="446" w:lineRule="auto"/>
        <w:ind w:left="838" w:right="4127" w:firstLine="2"/>
        <w:rPr>
          <w:b/>
          <w:sz w:val="21"/>
        </w:rPr>
      </w:pPr>
      <w:r>
        <w:rPr>
          <w:spacing w:val="-2"/>
          <w:sz w:val="21"/>
        </w:rPr>
        <w:t>护理单元宜设置医护对讲系统，并应符合下列要求：</w:t>
      </w:r>
      <w:r>
        <w:rPr>
          <w:spacing w:val="-2"/>
          <w:sz w:val="21"/>
        </w:rPr>
        <w:t xml:space="preserve"> </w:t>
      </w:r>
      <w:r>
        <w:rPr>
          <w:spacing w:val="-2"/>
          <w:sz w:val="21"/>
        </w:rPr>
        <w:t>病</w:t>
      </w:r>
      <w:r>
        <w:rPr>
          <w:spacing w:val="-3"/>
          <w:sz w:val="21"/>
        </w:rPr>
        <w:t>床前、卫生间应设置患者呼叫终端；</w:t>
      </w:r>
      <w:r>
        <w:rPr>
          <w:b/>
          <w:w w:val="99"/>
          <w:sz w:val="21"/>
        </w:rPr>
        <w:t xml:space="preserve"> </w:t>
      </w:r>
    </w:p>
    <w:p w14:paraId="1E5A97DE" w14:textId="77777777" w:rsidR="00A71EEF" w:rsidRDefault="0081115D">
      <w:pPr>
        <w:pStyle w:val="a3"/>
        <w:ind w:left="838"/>
        <w:rPr>
          <w:b/>
        </w:rPr>
      </w:pPr>
      <w:r>
        <w:t>护士站应设置对讲总机；</w:t>
      </w:r>
      <w:r>
        <w:rPr>
          <w:b/>
          <w:w w:val="99"/>
        </w:rPr>
        <w:t xml:space="preserve"> </w:t>
      </w:r>
    </w:p>
    <w:p w14:paraId="1480E928" w14:textId="77777777" w:rsidR="00A71EEF" w:rsidRDefault="00A71EEF">
      <w:pPr>
        <w:pStyle w:val="a3"/>
        <w:spacing w:before="10"/>
        <w:rPr>
          <w:b/>
          <w:sz w:val="17"/>
        </w:rPr>
      </w:pPr>
    </w:p>
    <w:p w14:paraId="307D5E47" w14:textId="77777777" w:rsidR="00A71EEF" w:rsidRDefault="0081115D">
      <w:pPr>
        <w:pStyle w:val="a3"/>
        <w:spacing w:line="446" w:lineRule="auto"/>
        <w:ind w:left="838" w:right="6549"/>
        <w:rPr>
          <w:b/>
        </w:rPr>
      </w:pPr>
      <w:r>
        <w:t>走廊应设置呼叫显示灯或显示屏；</w:t>
      </w:r>
      <w:r>
        <w:t xml:space="preserve"> </w:t>
      </w:r>
      <w:r>
        <w:t>可设置无线呼叫终端。</w:t>
      </w:r>
      <w:r>
        <w:rPr>
          <w:b/>
          <w:w w:val="99"/>
        </w:rPr>
        <w:t xml:space="preserve"> </w:t>
      </w:r>
    </w:p>
    <w:p w14:paraId="54968CDA" w14:textId="77777777" w:rsidR="00A71EEF" w:rsidRDefault="0081115D">
      <w:pPr>
        <w:pStyle w:val="a4"/>
        <w:numPr>
          <w:ilvl w:val="2"/>
          <w:numId w:val="150"/>
        </w:numPr>
        <w:tabs>
          <w:tab w:val="left" w:pos="1370"/>
        </w:tabs>
        <w:spacing w:before="1" w:line="446" w:lineRule="auto"/>
        <w:ind w:left="418" w:right="1498" w:firstLine="422"/>
        <w:rPr>
          <w:sz w:val="21"/>
        </w:rPr>
      </w:pPr>
      <w:r>
        <w:rPr>
          <w:spacing w:val="-3"/>
          <w:sz w:val="21"/>
        </w:rPr>
        <w:t>当设置智能卡系统时，应分别满足患者挂号、取药、付费和医务人员身份识别、考勤、门禁、停车、消费等要求。</w:t>
      </w:r>
      <w:r>
        <w:rPr>
          <w:sz w:val="21"/>
        </w:rPr>
        <w:t xml:space="preserve"> </w:t>
      </w:r>
    </w:p>
    <w:p w14:paraId="2EA676D7" w14:textId="77777777" w:rsidR="00A71EEF" w:rsidRDefault="0081115D">
      <w:pPr>
        <w:pStyle w:val="a4"/>
        <w:numPr>
          <w:ilvl w:val="1"/>
          <w:numId w:val="151"/>
        </w:numPr>
        <w:tabs>
          <w:tab w:val="left" w:pos="1160"/>
        </w:tabs>
        <w:rPr>
          <w:b/>
          <w:sz w:val="21"/>
        </w:rPr>
      </w:pPr>
      <w:r>
        <w:rPr>
          <w:spacing w:val="-3"/>
          <w:sz w:val="21"/>
        </w:rPr>
        <w:t>公共安全系统</w:t>
      </w:r>
      <w:r>
        <w:rPr>
          <w:b/>
          <w:w w:val="99"/>
          <w:sz w:val="21"/>
        </w:rPr>
        <w:t xml:space="preserve"> </w:t>
      </w:r>
    </w:p>
    <w:p w14:paraId="4329E24F" w14:textId="77777777" w:rsidR="00A71EEF" w:rsidRDefault="00A71EEF">
      <w:pPr>
        <w:pStyle w:val="a3"/>
        <w:spacing w:before="12"/>
        <w:rPr>
          <w:b/>
          <w:sz w:val="17"/>
        </w:rPr>
      </w:pPr>
    </w:p>
    <w:p w14:paraId="38DBC020" w14:textId="77777777" w:rsidR="00A71EEF" w:rsidRDefault="0081115D">
      <w:pPr>
        <w:pStyle w:val="a4"/>
        <w:numPr>
          <w:ilvl w:val="2"/>
          <w:numId w:val="151"/>
        </w:numPr>
        <w:tabs>
          <w:tab w:val="left" w:pos="1371"/>
        </w:tabs>
        <w:spacing w:line="446" w:lineRule="auto"/>
        <w:ind w:left="418" w:right="1707" w:firstLine="422"/>
        <w:rPr>
          <w:sz w:val="21"/>
        </w:rPr>
      </w:pPr>
      <w:r>
        <w:rPr>
          <w:spacing w:val="-3"/>
          <w:sz w:val="21"/>
        </w:rPr>
        <w:t>公共安全系统应设置火灾自动报警及消防联动控制系统，火灾自动报警系统的设计，应符合现行国家标准《火灾自动报警系统设计规范》</w:t>
      </w:r>
      <w:r>
        <w:rPr>
          <w:sz w:val="21"/>
        </w:rPr>
        <w:t>GB</w:t>
      </w:r>
      <w:r>
        <w:rPr>
          <w:spacing w:val="3"/>
          <w:sz w:val="21"/>
        </w:rPr>
        <w:t xml:space="preserve"> </w:t>
      </w:r>
      <w:r>
        <w:rPr>
          <w:sz w:val="21"/>
        </w:rPr>
        <w:t>50116</w:t>
      </w:r>
      <w:r>
        <w:rPr>
          <w:spacing w:val="-10"/>
          <w:sz w:val="21"/>
        </w:rPr>
        <w:t xml:space="preserve"> </w:t>
      </w:r>
      <w:r>
        <w:rPr>
          <w:spacing w:val="-10"/>
          <w:sz w:val="21"/>
        </w:rPr>
        <w:t>的有关规定。</w:t>
      </w:r>
      <w:r>
        <w:rPr>
          <w:sz w:val="21"/>
        </w:rPr>
        <w:t xml:space="preserve"> </w:t>
      </w:r>
    </w:p>
    <w:p w14:paraId="616653C7" w14:textId="77777777" w:rsidR="00A71EEF" w:rsidRDefault="0081115D">
      <w:pPr>
        <w:pStyle w:val="a4"/>
        <w:numPr>
          <w:ilvl w:val="2"/>
          <w:numId w:val="151"/>
        </w:numPr>
        <w:tabs>
          <w:tab w:val="left" w:pos="1371"/>
        </w:tabs>
        <w:spacing w:line="446" w:lineRule="auto"/>
        <w:ind w:left="418" w:right="1498" w:firstLine="422"/>
        <w:rPr>
          <w:sz w:val="21"/>
        </w:rPr>
      </w:pPr>
      <w:r>
        <w:rPr>
          <w:spacing w:val="-3"/>
          <w:sz w:val="21"/>
        </w:rPr>
        <w:t>当设置建筑设备监控系统时，应按集中管理分散控制的原则，采用计算机网络控制装置对医院的机电设备</w:t>
      </w:r>
      <w:r>
        <w:rPr>
          <w:spacing w:val="-3"/>
          <w:sz w:val="21"/>
        </w:rPr>
        <w:t>(</w:t>
      </w:r>
      <w:r>
        <w:rPr>
          <w:spacing w:val="-3"/>
          <w:sz w:val="21"/>
        </w:rPr>
        <w:t>消防设备除外</w:t>
      </w:r>
      <w:r>
        <w:rPr>
          <w:spacing w:val="-3"/>
          <w:sz w:val="21"/>
        </w:rPr>
        <w:t>)</w:t>
      </w:r>
      <w:r>
        <w:rPr>
          <w:spacing w:val="-3"/>
          <w:sz w:val="21"/>
        </w:rPr>
        <w:t>进行监视、控制和管理。</w:t>
      </w:r>
      <w:r>
        <w:rPr>
          <w:sz w:val="21"/>
        </w:rPr>
        <w:t xml:space="preserve"> </w:t>
      </w:r>
    </w:p>
    <w:p w14:paraId="2DA8F66D" w14:textId="77777777" w:rsidR="00A71EEF" w:rsidRDefault="0081115D">
      <w:pPr>
        <w:pStyle w:val="a4"/>
        <w:numPr>
          <w:ilvl w:val="2"/>
          <w:numId w:val="151"/>
        </w:numPr>
        <w:tabs>
          <w:tab w:val="left" w:pos="1371"/>
        </w:tabs>
        <w:spacing w:line="267" w:lineRule="exact"/>
        <w:ind w:left="1370" w:hanging="531"/>
        <w:rPr>
          <w:sz w:val="21"/>
        </w:rPr>
      </w:pPr>
      <w:r>
        <w:rPr>
          <w:spacing w:val="-3"/>
          <w:sz w:val="21"/>
        </w:rPr>
        <w:t>公共安全系统应设置安全技术防范系统，并应符合下</w:t>
      </w:r>
      <w:r>
        <w:rPr>
          <w:spacing w:val="-3"/>
          <w:sz w:val="21"/>
        </w:rPr>
        <w:t>列要求：</w:t>
      </w:r>
      <w:r>
        <w:rPr>
          <w:sz w:val="21"/>
        </w:rPr>
        <w:t xml:space="preserve"> </w:t>
      </w:r>
    </w:p>
    <w:p w14:paraId="4602741C" w14:textId="77777777" w:rsidR="00A71EEF" w:rsidRDefault="00A71EEF">
      <w:pPr>
        <w:spacing w:line="267" w:lineRule="exact"/>
        <w:rPr>
          <w:sz w:val="21"/>
        </w:rPr>
        <w:sectPr w:rsidR="00A71EEF">
          <w:pgSz w:w="11910" w:h="16850"/>
          <w:pgMar w:top="1220" w:right="0" w:bottom="1420" w:left="1260" w:header="0" w:footer="1239" w:gutter="0"/>
          <w:cols w:space="720"/>
        </w:sectPr>
      </w:pPr>
    </w:p>
    <w:p w14:paraId="672D3F12" w14:textId="77777777" w:rsidR="00A71EEF" w:rsidRDefault="0081115D">
      <w:pPr>
        <w:pStyle w:val="a3"/>
        <w:spacing w:before="47" w:line="446" w:lineRule="auto"/>
        <w:ind w:left="418" w:right="1608" w:firstLine="419"/>
        <w:jc w:val="both"/>
      </w:pPr>
      <w:r>
        <w:t>当设置视频监控系统时，可在医院首层的各对外出入口、收费及挂号处、财务及出院结算处、贵重药品库、电梯轿厢、各楼层的电梯厅及人员活动较多的场所设置摄像机。图像的存储和查询应采用数字硬盘装置。</w:t>
      </w:r>
      <w:r>
        <w:t xml:space="preserve"> </w:t>
      </w:r>
    </w:p>
    <w:p w14:paraId="4DD97AC4" w14:textId="77777777" w:rsidR="00A71EEF" w:rsidRDefault="0081115D">
      <w:pPr>
        <w:pStyle w:val="a3"/>
        <w:spacing w:line="446" w:lineRule="auto"/>
        <w:ind w:left="418" w:right="1609" w:firstLine="419"/>
      </w:pPr>
      <w:r>
        <w:t>当设置入侵报警系统时，应在贵重药品库、收费终端等重要场所设置手动报警按钮或其他防侵入探测装置，并应与视频监视摄像机联动。</w:t>
      </w:r>
      <w:r>
        <w:t xml:space="preserve"> </w:t>
      </w:r>
    </w:p>
    <w:p w14:paraId="2B479A41" w14:textId="77777777" w:rsidR="00A71EEF" w:rsidRDefault="00A71EEF">
      <w:pPr>
        <w:pStyle w:val="a3"/>
        <w:rPr>
          <w:sz w:val="20"/>
        </w:rPr>
      </w:pPr>
    </w:p>
    <w:p w14:paraId="74F57C69" w14:textId="77777777" w:rsidR="00A71EEF" w:rsidRDefault="00A71EEF">
      <w:pPr>
        <w:pStyle w:val="a3"/>
        <w:spacing w:before="11"/>
        <w:rPr>
          <w:sz w:val="18"/>
        </w:rPr>
      </w:pPr>
    </w:p>
    <w:p w14:paraId="08B2CF52" w14:textId="77777777" w:rsidR="00A71EEF" w:rsidRDefault="0081115D">
      <w:pPr>
        <w:pStyle w:val="a3"/>
        <w:spacing w:before="1" w:line="446" w:lineRule="auto"/>
        <w:ind w:left="418" w:right="1608" w:firstLine="419"/>
        <w:jc w:val="both"/>
      </w:pPr>
      <w:r>
        <w:t>当设置出入口管理系统时，可在信息中心、贵重药品库等重要场所，以及手术部、病房护理单元的主要出入口设置门禁控制装置。对于有医患分流要求的通道门应设置门禁控制装置。当火灾报警时应通过消防系统联动控制相应区域的出入门处于开启状态。</w:t>
      </w:r>
      <w:r>
        <w:t xml:space="preserve"> </w:t>
      </w:r>
    </w:p>
    <w:p w14:paraId="4EC823FA" w14:textId="77777777" w:rsidR="00A71EEF" w:rsidRDefault="0081115D">
      <w:pPr>
        <w:pStyle w:val="a3"/>
        <w:spacing w:line="446" w:lineRule="auto"/>
        <w:ind w:left="418" w:right="1608" w:firstLine="419"/>
        <w:jc w:val="both"/>
      </w:pPr>
      <w:r>
        <w:t>当设置电子巡查管理系统时，宜采用离线式巡查系统。当医院设置的门禁系统控制装置可覆盖大部分巡查点时，宜通过门禁系统进行巡查管理。巡查点宜设置在首层主要出入口、各层电梯厅、贵重药品库房、信息中心等重要场所。</w:t>
      </w:r>
      <w:r>
        <w:t xml:space="preserve"> </w:t>
      </w:r>
    </w:p>
    <w:p w14:paraId="6F190795" w14:textId="77777777" w:rsidR="00A71EEF" w:rsidRDefault="0081115D">
      <w:pPr>
        <w:pStyle w:val="a4"/>
        <w:numPr>
          <w:ilvl w:val="1"/>
          <w:numId w:val="151"/>
        </w:numPr>
        <w:tabs>
          <w:tab w:val="left" w:pos="1159"/>
        </w:tabs>
        <w:spacing w:line="268" w:lineRule="exact"/>
        <w:ind w:left="1158" w:hanging="319"/>
        <w:rPr>
          <w:sz w:val="21"/>
        </w:rPr>
      </w:pPr>
      <w:r>
        <w:rPr>
          <w:spacing w:val="-3"/>
          <w:sz w:val="21"/>
        </w:rPr>
        <w:t>智能化集成系统</w:t>
      </w:r>
      <w:r>
        <w:rPr>
          <w:sz w:val="21"/>
        </w:rPr>
        <w:t xml:space="preserve"> </w:t>
      </w:r>
    </w:p>
    <w:p w14:paraId="2E44D032" w14:textId="77777777" w:rsidR="00A71EEF" w:rsidRDefault="00A71EEF">
      <w:pPr>
        <w:pStyle w:val="a3"/>
        <w:spacing w:before="11"/>
        <w:rPr>
          <w:sz w:val="17"/>
        </w:rPr>
      </w:pPr>
    </w:p>
    <w:p w14:paraId="20F3EBC0" w14:textId="77777777" w:rsidR="00A71EEF" w:rsidRDefault="0081115D">
      <w:pPr>
        <w:pStyle w:val="a4"/>
        <w:numPr>
          <w:ilvl w:val="2"/>
          <w:numId w:val="151"/>
        </w:numPr>
        <w:tabs>
          <w:tab w:val="left" w:pos="1370"/>
        </w:tabs>
        <w:spacing w:before="1" w:line="446" w:lineRule="auto"/>
        <w:ind w:left="418" w:right="1498" w:firstLine="422"/>
        <w:rPr>
          <w:sz w:val="21"/>
        </w:rPr>
      </w:pPr>
      <w:r>
        <w:rPr>
          <w:spacing w:val="-3"/>
          <w:sz w:val="21"/>
        </w:rPr>
        <w:t>当设置智能化集成系统时，宜与信息系统共享信息。当不设置智能</w:t>
      </w:r>
      <w:r>
        <w:rPr>
          <w:spacing w:val="-3"/>
          <w:sz w:val="21"/>
        </w:rPr>
        <w:t>化集成系统时，宜采用建筑设备管理系统对建筑设备监控系统和公共安全系统进行集成，并宜预留与信息系统的接口。</w:t>
      </w:r>
      <w:r>
        <w:rPr>
          <w:sz w:val="21"/>
        </w:rPr>
        <w:t xml:space="preserve"> </w:t>
      </w:r>
    </w:p>
    <w:p w14:paraId="48A7F992" w14:textId="77777777" w:rsidR="00A71EEF" w:rsidRDefault="0081115D">
      <w:pPr>
        <w:pStyle w:val="a4"/>
        <w:numPr>
          <w:ilvl w:val="2"/>
          <w:numId w:val="151"/>
        </w:numPr>
        <w:tabs>
          <w:tab w:val="left" w:pos="1371"/>
        </w:tabs>
        <w:spacing w:line="446" w:lineRule="auto"/>
        <w:ind w:left="418" w:right="1498" w:firstLine="422"/>
        <w:rPr>
          <w:sz w:val="21"/>
        </w:rPr>
      </w:pPr>
      <w:r>
        <w:rPr>
          <w:spacing w:val="-3"/>
          <w:sz w:val="21"/>
        </w:rPr>
        <w:t>集成系统的硬件及软件应采用开放的体系结构，满足实用、安全可靠、易扩展、易维护的要求。</w:t>
      </w:r>
      <w:r>
        <w:rPr>
          <w:sz w:val="21"/>
        </w:rPr>
        <w:t xml:space="preserve"> </w:t>
      </w:r>
    </w:p>
    <w:p w14:paraId="6F1E2131" w14:textId="77777777" w:rsidR="00A71EEF" w:rsidRDefault="0081115D">
      <w:pPr>
        <w:pStyle w:val="a4"/>
        <w:numPr>
          <w:ilvl w:val="1"/>
          <w:numId w:val="151"/>
        </w:numPr>
        <w:tabs>
          <w:tab w:val="left" w:pos="1159"/>
        </w:tabs>
        <w:ind w:left="1158" w:hanging="319"/>
        <w:rPr>
          <w:sz w:val="21"/>
        </w:rPr>
      </w:pPr>
      <w:r>
        <w:rPr>
          <w:spacing w:val="-3"/>
          <w:sz w:val="21"/>
        </w:rPr>
        <w:t>机房工程</w:t>
      </w:r>
      <w:r>
        <w:rPr>
          <w:sz w:val="21"/>
        </w:rPr>
        <w:t xml:space="preserve"> </w:t>
      </w:r>
    </w:p>
    <w:p w14:paraId="71EC35C1" w14:textId="77777777" w:rsidR="00A71EEF" w:rsidRDefault="00A71EEF">
      <w:pPr>
        <w:pStyle w:val="a3"/>
        <w:spacing w:before="11"/>
        <w:rPr>
          <w:sz w:val="17"/>
        </w:rPr>
      </w:pPr>
    </w:p>
    <w:p w14:paraId="0DD72F1E" w14:textId="77777777" w:rsidR="00A71EEF" w:rsidRDefault="0081115D">
      <w:pPr>
        <w:pStyle w:val="a4"/>
        <w:numPr>
          <w:ilvl w:val="2"/>
          <w:numId w:val="151"/>
        </w:numPr>
        <w:tabs>
          <w:tab w:val="left" w:pos="1370"/>
        </w:tabs>
        <w:ind w:hanging="530"/>
        <w:rPr>
          <w:sz w:val="21"/>
        </w:rPr>
      </w:pPr>
      <w:r>
        <w:rPr>
          <w:spacing w:val="-3"/>
          <w:sz w:val="21"/>
        </w:rPr>
        <w:t>机房应根据医院的管理模式设置。</w:t>
      </w:r>
      <w:r>
        <w:rPr>
          <w:sz w:val="21"/>
        </w:rPr>
        <w:t xml:space="preserve"> </w:t>
      </w:r>
    </w:p>
    <w:p w14:paraId="13374B12" w14:textId="77777777" w:rsidR="00A71EEF" w:rsidRDefault="00A71EEF">
      <w:pPr>
        <w:pStyle w:val="a3"/>
        <w:spacing w:before="12"/>
        <w:rPr>
          <w:sz w:val="17"/>
        </w:rPr>
      </w:pPr>
    </w:p>
    <w:p w14:paraId="4B47BBB8" w14:textId="77777777" w:rsidR="00A71EEF" w:rsidRDefault="0081115D">
      <w:pPr>
        <w:pStyle w:val="a4"/>
        <w:numPr>
          <w:ilvl w:val="2"/>
          <w:numId w:val="151"/>
        </w:numPr>
        <w:tabs>
          <w:tab w:val="left" w:pos="1370"/>
        </w:tabs>
        <w:spacing w:line="446" w:lineRule="auto"/>
        <w:ind w:left="418" w:right="1498" w:firstLine="422"/>
        <w:rPr>
          <w:sz w:val="21"/>
        </w:rPr>
      </w:pPr>
      <w:r>
        <w:rPr>
          <w:spacing w:val="-3"/>
          <w:sz w:val="21"/>
        </w:rPr>
        <w:t>机房工程宜包括配电照明系统、应急电源系统、气体灭火系统、防雷接地系统、机房监控系统、机房空调和防静电地板等。</w:t>
      </w:r>
      <w:r>
        <w:rPr>
          <w:sz w:val="21"/>
        </w:rPr>
        <w:t xml:space="preserve"> </w:t>
      </w:r>
    </w:p>
    <w:p w14:paraId="19F954F1" w14:textId="77777777" w:rsidR="00A71EEF" w:rsidRDefault="0081115D">
      <w:pPr>
        <w:pStyle w:val="a4"/>
        <w:numPr>
          <w:ilvl w:val="2"/>
          <w:numId w:val="151"/>
        </w:numPr>
        <w:tabs>
          <w:tab w:val="left" w:pos="1370"/>
        </w:tabs>
        <w:spacing w:line="446" w:lineRule="auto"/>
        <w:ind w:left="418" w:right="1498" w:firstLine="422"/>
        <w:rPr>
          <w:sz w:val="21"/>
        </w:rPr>
      </w:pPr>
      <w:r>
        <w:rPr>
          <w:spacing w:val="-3"/>
          <w:sz w:val="21"/>
        </w:rPr>
        <w:t>弱电间应确保配线架</w:t>
      </w:r>
      <w:r>
        <w:rPr>
          <w:spacing w:val="-3"/>
          <w:sz w:val="21"/>
        </w:rPr>
        <w:t>(</w:t>
      </w:r>
      <w:r>
        <w:rPr>
          <w:spacing w:val="-3"/>
          <w:sz w:val="21"/>
        </w:rPr>
        <w:t>柜</w:t>
      </w:r>
      <w:r>
        <w:rPr>
          <w:spacing w:val="-3"/>
          <w:sz w:val="21"/>
        </w:rPr>
        <w:t>)</w:t>
      </w:r>
      <w:r>
        <w:rPr>
          <w:spacing w:val="-3"/>
          <w:sz w:val="21"/>
        </w:rPr>
        <w:t>前后可维护，侧面应留有通道。环境应满足温湿度及通风要求，并应设置可靠电源及安全接地系统。</w:t>
      </w:r>
      <w:r>
        <w:rPr>
          <w:sz w:val="21"/>
        </w:rPr>
        <w:t xml:space="preserve"> </w:t>
      </w:r>
    </w:p>
    <w:p w14:paraId="0D3C65E4" w14:textId="77777777" w:rsidR="00A71EEF" w:rsidRDefault="0081115D">
      <w:pPr>
        <w:pStyle w:val="4"/>
        <w:spacing w:line="277" w:lineRule="exact"/>
      </w:pPr>
      <w:r>
        <w:t xml:space="preserve">10 </w:t>
      </w:r>
      <w:r>
        <w:t>医用气体系统</w:t>
      </w:r>
      <w:r>
        <w:rPr>
          <w:w w:val="99"/>
        </w:rPr>
        <w:t xml:space="preserve"> </w:t>
      </w:r>
    </w:p>
    <w:p w14:paraId="611D821D" w14:textId="77777777" w:rsidR="00A71EEF" w:rsidRDefault="00A71EEF">
      <w:pPr>
        <w:pStyle w:val="a3"/>
        <w:spacing w:before="4"/>
        <w:rPr>
          <w:b/>
          <w:sz w:val="17"/>
        </w:rPr>
      </w:pPr>
    </w:p>
    <w:p w14:paraId="44158BC5" w14:textId="77777777" w:rsidR="00A71EEF" w:rsidRDefault="0081115D">
      <w:pPr>
        <w:pStyle w:val="a4"/>
        <w:numPr>
          <w:ilvl w:val="1"/>
          <w:numId w:val="149"/>
        </w:numPr>
        <w:tabs>
          <w:tab w:val="left" w:pos="1264"/>
        </w:tabs>
        <w:rPr>
          <w:b/>
          <w:sz w:val="21"/>
        </w:rPr>
      </w:pPr>
      <w:r>
        <w:rPr>
          <w:spacing w:val="-3"/>
          <w:sz w:val="21"/>
        </w:rPr>
        <w:t>一般规定</w:t>
      </w:r>
      <w:r>
        <w:rPr>
          <w:b/>
          <w:w w:val="99"/>
          <w:sz w:val="21"/>
        </w:rPr>
        <w:t xml:space="preserve"> </w:t>
      </w:r>
    </w:p>
    <w:p w14:paraId="099FDA5D" w14:textId="77777777" w:rsidR="00A71EEF" w:rsidRDefault="00A71EEF">
      <w:pPr>
        <w:pStyle w:val="a3"/>
        <w:rPr>
          <w:b/>
          <w:sz w:val="18"/>
        </w:rPr>
      </w:pPr>
    </w:p>
    <w:p w14:paraId="5488D470" w14:textId="77777777" w:rsidR="00A71EEF" w:rsidRDefault="0081115D">
      <w:pPr>
        <w:pStyle w:val="a4"/>
        <w:numPr>
          <w:ilvl w:val="2"/>
          <w:numId w:val="149"/>
        </w:numPr>
        <w:tabs>
          <w:tab w:val="left" w:pos="1478"/>
        </w:tabs>
        <w:ind w:hanging="638"/>
        <w:rPr>
          <w:b/>
          <w:sz w:val="21"/>
        </w:rPr>
      </w:pPr>
      <w:r>
        <w:rPr>
          <w:spacing w:val="-3"/>
          <w:sz w:val="21"/>
        </w:rPr>
        <w:t>医用气体系统应根据医疗需求设置。</w:t>
      </w:r>
      <w:r>
        <w:rPr>
          <w:sz w:val="21"/>
        </w:rPr>
        <w:t xml:space="preserve"> </w:t>
      </w:r>
      <w:r>
        <w:rPr>
          <w:spacing w:val="-2"/>
          <w:sz w:val="21"/>
        </w:rPr>
        <w:t xml:space="preserve"> </w:t>
      </w:r>
      <w:r>
        <w:rPr>
          <w:b/>
          <w:w w:val="99"/>
          <w:sz w:val="21"/>
        </w:rPr>
        <w:t xml:space="preserve"> </w:t>
      </w:r>
    </w:p>
    <w:p w14:paraId="204A9E70" w14:textId="77777777" w:rsidR="00A71EEF" w:rsidRDefault="00A71EEF">
      <w:pPr>
        <w:pStyle w:val="a3"/>
        <w:spacing w:before="2"/>
        <w:rPr>
          <w:b/>
          <w:sz w:val="18"/>
        </w:rPr>
      </w:pPr>
    </w:p>
    <w:p w14:paraId="69ACE8AE" w14:textId="77777777" w:rsidR="00A71EEF" w:rsidRDefault="0081115D">
      <w:pPr>
        <w:pStyle w:val="a4"/>
        <w:numPr>
          <w:ilvl w:val="2"/>
          <w:numId w:val="149"/>
        </w:numPr>
        <w:tabs>
          <w:tab w:val="left" w:pos="1478"/>
        </w:tabs>
        <w:ind w:hanging="638"/>
        <w:rPr>
          <w:b/>
          <w:sz w:val="21"/>
        </w:rPr>
      </w:pPr>
      <w:r>
        <w:rPr>
          <w:spacing w:val="-3"/>
          <w:sz w:val="21"/>
        </w:rPr>
        <w:t>气源站应根据医院总体规划确定。医用气体管道布置应合理。</w:t>
      </w:r>
      <w:r>
        <w:rPr>
          <w:sz w:val="21"/>
        </w:rPr>
        <w:t xml:space="preserve"> </w:t>
      </w:r>
      <w:r>
        <w:rPr>
          <w:spacing w:val="-2"/>
          <w:sz w:val="21"/>
        </w:rPr>
        <w:t xml:space="preserve"> </w:t>
      </w:r>
      <w:r>
        <w:rPr>
          <w:b/>
          <w:w w:val="99"/>
          <w:sz w:val="21"/>
        </w:rPr>
        <w:t xml:space="preserve"> </w:t>
      </w:r>
    </w:p>
    <w:p w14:paraId="29674BAE" w14:textId="77777777" w:rsidR="00A71EEF" w:rsidRDefault="00A71EEF">
      <w:pPr>
        <w:rPr>
          <w:sz w:val="21"/>
        </w:rPr>
        <w:sectPr w:rsidR="00A71EEF">
          <w:footerReference w:type="default" r:id="rId452"/>
          <w:pgSz w:w="11910" w:h="16850"/>
          <w:pgMar w:top="1220" w:right="0" w:bottom="1420" w:left="1260" w:header="0" w:footer="1239" w:gutter="0"/>
          <w:pgNumType w:start="1480"/>
          <w:cols w:space="720"/>
        </w:sectPr>
      </w:pPr>
    </w:p>
    <w:p w14:paraId="7ACF1E56" w14:textId="77777777" w:rsidR="00A71EEF" w:rsidRDefault="0081115D">
      <w:pPr>
        <w:pStyle w:val="a4"/>
        <w:numPr>
          <w:ilvl w:val="2"/>
          <w:numId w:val="149"/>
        </w:numPr>
        <w:tabs>
          <w:tab w:val="left" w:pos="1478"/>
        </w:tabs>
        <w:spacing w:before="47"/>
        <w:ind w:hanging="638"/>
        <w:rPr>
          <w:b/>
          <w:sz w:val="21"/>
        </w:rPr>
      </w:pPr>
      <w:r>
        <w:rPr>
          <w:spacing w:val="-3"/>
          <w:sz w:val="21"/>
        </w:rPr>
        <w:t>医用废气的排放不应对医院及周边环境产生影响。</w:t>
      </w:r>
      <w:r>
        <w:rPr>
          <w:b/>
          <w:w w:val="99"/>
          <w:sz w:val="21"/>
        </w:rPr>
        <w:t xml:space="preserve"> </w:t>
      </w:r>
    </w:p>
    <w:p w14:paraId="76CBB80F" w14:textId="77777777" w:rsidR="00A71EEF" w:rsidRDefault="00A71EEF">
      <w:pPr>
        <w:pStyle w:val="a3"/>
        <w:rPr>
          <w:b/>
          <w:sz w:val="18"/>
        </w:rPr>
      </w:pPr>
    </w:p>
    <w:p w14:paraId="00610A2B" w14:textId="77777777" w:rsidR="00A71EEF" w:rsidRDefault="0081115D">
      <w:pPr>
        <w:pStyle w:val="a4"/>
        <w:numPr>
          <w:ilvl w:val="1"/>
          <w:numId w:val="149"/>
        </w:numPr>
        <w:tabs>
          <w:tab w:val="left" w:pos="1264"/>
        </w:tabs>
        <w:rPr>
          <w:b/>
          <w:sz w:val="21"/>
        </w:rPr>
      </w:pPr>
      <w:r>
        <w:rPr>
          <w:spacing w:val="-3"/>
          <w:sz w:val="21"/>
        </w:rPr>
        <w:t>气源设备</w:t>
      </w:r>
      <w:r>
        <w:rPr>
          <w:b/>
          <w:w w:val="99"/>
          <w:sz w:val="21"/>
        </w:rPr>
        <w:t xml:space="preserve"> </w:t>
      </w:r>
    </w:p>
    <w:p w14:paraId="25CFCAB2" w14:textId="77777777" w:rsidR="00A71EEF" w:rsidRDefault="00A71EEF">
      <w:pPr>
        <w:pStyle w:val="a3"/>
        <w:rPr>
          <w:b/>
          <w:sz w:val="18"/>
        </w:rPr>
      </w:pPr>
    </w:p>
    <w:p w14:paraId="2F9FD58D" w14:textId="77777777" w:rsidR="00A71EEF" w:rsidRDefault="0081115D">
      <w:pPr>
        <w:pStyle w:val="a4"/>
        <w:numPr>
          <w:ilvl w:val="2"/>
          <w:numId w:val="149"/>
        </w:numPr>
        <w:tabs>
          <w:tab w:val="left" w:pos="1478"/>
        </w:tabs>
        <w:spacing w:line="446" w:lineRule="auto"/>
        <w:ind w:left="418" w:right="1496" w:firstLine="422"/>
        <w:rPr>
          <w:sz w:val="21"/>
        </w:rPr>
      </w:pPr>
      <w:r>
        <w:rPr>
          <w:spacing w:val="-4"/>
          <w:sz w:val="21"/>
        </w:rPr>
        <w:t>高压气瓶以及液态储罐供应的医用气体，应按日用量计算，并应贮备不少于</w:t>
      </w:r>
      <w:r>
        <w:rPr>
          <w:spacing w:val="-4"/>
          <w:sz w:val="21"/>
        </w:rPr>
        <w:t xml:space="preserve"> </w:t>
      </w:r>
      <w:r>
        <w:rPr>
          <w:sz w:val="21"/>
        </w:rPr>
        <w:t>3d</w:t>
      </w:r>
      <w:r>
        <w:rPr>
          <w:spacing w:val="-12"/>
          <w:sz w:val="21"/>
        </w:rPr>
        <w:t xml:space="preserve"> </w:t>
      </w:r>
      <w:r>
        <w:rPr>
          <w:spacing w:val="-12"/>
          <w:sz w:val="21"/>
        </w:rPr>
        <w:t>的备</w:t>
      </w:r>
      <w:r>
        <w:rPr>
          <w:spacing w:val="-5"/>
          <w:sz w:val="21"/>
        </w:rPr>
        <w:t>用气量。采用制气机组供气时，应设置备用机组，采用分子筛制氧机组时，还应设高压氧气汇</w:t>
      </w:r>
      <w:r>
        <w:rPr>
          <w:spacing w:val="-3"/>
          <w:sz w:val="21"/>
        </w:rPr>
        <w:t>流排。当最大机组发生故障时，其他机组的供气能力应能满足系统设计最大负荷。</w:t>
      </w:r>
      <w:r>
        <w:rPr>
          <w:spacing w:val="-3"/>
          <w:sz w:val="21"/>
        </w:rPr>
        <w:t xml:space="preserve"> </w:t>
      </w:r>
      <w:r>
        <w:rPr>
          <w:spacing w:val="-2"/>
          <w:sz w:val="21"/>
        </w:rPr>
        <w:t xml:space="preserve"> </w:t>
      </w:r>
      <w:r>
        <w:rPr>
          <w:sz w:val="21"/>
        </w:rPr>
        <w:t xml:space="preserve"> </w:t>
      </w:r>
    </w:p>
    <w:p w14:paraId="21D03DA5" w14:textId="77777777" w:rsidR="00A71EEF" w:rsidRDefault="0081115D">
      <w:pPr>
        <w:pStyle w:val="a4"/>
        <w:numPr>
          <w:ilvl w:val="2"/>
          <w:numId w:val="149"/>
        </w:numPr>
        <w:tabs>
          <w:tab w:val="left" w:pos="1478"/>
        </w:tabs>
        <w:spacing w:line="446" w:lineRule="auto"/>
        <w:ind w:left="418" w:right="1601" w:firstLine="422"/>
        <w:rPr>
          <w:sz w:val="21"/>
        </w:rPr>
      </w:pPr>
      <w:r>
        <w:rPr>
          <w:spacing w:val="-3"/>
          <w:sz w:val="21"/>
        </w:rPr>
        <w:t>医院应设置氧气和负压吸引系统，可根据需要设置压缩空气、氧化亚氮、氮气、二氧化碳、氩气，以及麻醉废气排放等系统。气源应满足终端处气体参数要求。</w:t>
      </w:r>
      <w:r>
        <w:rPr>
          <w:sz w:val="21"/>
        </w:rPr>
        <w:t xml:space="preserve"> </w:t>
      </w:r>
    </w:p>
    <w:p w14:paraId="4CD997FD" w14:textId="77777777" w:rsidR="00A71EEF" w:rsidRDefault="0081115D">
      <w:pPr>
        <w:pStyle w:val="a4"/>
        <w:numPr>
          <w:ilvl w:val="2"/>
          <w:numId w:val="149"/>
        </w:numPr>
        <w:tabs>
          <w:tab w:val="left" w:pos="1478"/>
        </w:tabs>
        <w:ind w:hanging="638"/>
        <w:rPr>
          <w:sz w:val="21"/>
        </w:rPr>
      </w:pPr>
      <w:r>
        <w:rPr>
          <w:spacing w:val="-3"/>
          <w:sz w:val="21"/>
        </w:rPr>
        <w:t>手术部专用气体供气站应设在离手术部较近的非洁净区。</w:t>
      </w:r>
      <w:r>
        <w:rPr>
          <w:sz w:val="21"/>
        </w:rPr>
        <w:t xml:space="preserve"> </w:t>
      </w:r>
      <w:r>
        <w:rPr>
          <w:spacing w:val="-2"/>
          <w:sz w:val="21"/>
        </w:rPr>
        <w:t xml:space="preserve"> </w:t>
      </w:r>
      <w:r>
        <w:rPr>
          <w:sz w:val="21"/>
        </w:rPr>
        <w:t xml:space="preserve"> </w:t>
      </w:r>
    </w:p>
    <w:p w14:paraId="52A8B5D4" w14:textId="77777777" w:rsidR="00A71EEF" w:rsidRDefault="00A71EEF">
      <w:pPr>
        <w:pStyle w:val="a3"/>
        <w:spacing w:before="11"/>
        <w:rPr>
          <w:sz w:val="17"/>
        </w:rPr>
      </w:pPr>
    </w:p>
    <w:p w14:paraId="2D545597" w14:textId="77777777" w:rsidR="00A71EEF" w:rsidRDefault="0081115D">
      <w:pPr>
        <w:pStyle w:val="a4"/>
        <w:numPr>
          <w:ilvl w:val="2"/>
          <w:numId w:val="149"/>
        </w:numPr>
        <w:tabs>
          <w:tab w:val="left" w:pos="1478"/>
        </w:tabs>
        <w:ind w:hanging="638"/>
        <w:rPr>
          <w:sz w:val="21"/>
        </w:rPr>
      </w:pPr>
      <w:r>
        <w:rPr>
          <w:spacing w:val="-3"/>
          <w:sz w:val="21"/>
        </w:rPr>
        <w:t>手术部、监护病房、急救、抢救室供氧管道应单独从氧气站接出。</w:t>
      </w:r>
      <w:r>
        <w:rPr>
          <w:sz w:val="21"/>
        </w:rPr>
        <w:t xml:space="preserve">  </w:t>
      </w:r>
      <w:r>
        <w:rPr>
          <w:sz w:val="21"/>
        </w:rPr>
        <w:t xml:space="preserve"> </w:t>
      </w:r>
    </w:p>
    <w:p w14:paraId="176457F3" w14:textId="77777777" w:rsidR="00A71EEF" w:rsidRDefault="00A71EEF">
      <w:pPr>
        <w:pStyle w:val="a3"/>
        <w:spacing w:before="2"/>
        <w:rPr>
          <w:sz w:val="18"/>
        </w:rPr>
      </w:pPr>
    </w:p>
    <w:p w14:paraId="7F8ED3CC" w14:textId="77777777" w:rsidR="00A71EEF" w:rsidRDefault="0081115D">
      <w:pPr>
        <w:pStyle w:val="a4"/>
        <w:numPr>
          <w:ilvl w:val="2"/>
          <w:numId w:val="149"/>
        </w:numPr>
        <w:tabs>
          <w:tab w:val="left" w:pos="1478"/>
        </w:tabs>
        <w:ind w:hanging="638"/>
        <w:rPr>
          <w:sz w:val="21"/>
        </w:rPr>
      </w:pPr>
      <w:r>
        <w:rPr>
          <w:spacing w:val="-3"/>
          <w:sz w:val="21"/>
        </w:rPr>
        <w:t>供气站应设供气异常报警装置。备用机组应设置自动投入使用装置。</w:t>
      </w:r>
      <w:r>
        <w:rPr>
          <w:spacing w:val="-3"/>
          <w:sz w:val="21"/>
        </w:rPr>
        <w:t xml:space="preserve"> </w:t>
      </w:r>
      <w:r>
        <w:rPr>
          <w:spacing w:val="-2"/>
          <w:sz w:val="21"/>
        </w:rPr>
        <w:t xml:space="preserve"> </w:t>
      </w:r>
      <w:r>
        <w:rPr>
          <w:sz w:val="21"/>
        </w:rPr>
        <w:t xml:space="preserve"> </w:t>
      </w:r>
    </w:p>
    <w:p w14:paraId="2560471A" w14:textId="77777777" w:rsidR="00A71EEF" w:rsidRDefault="00A71EEF">
      <w:pPr>
        <w:pStyle w:val="a3"/>
        <w:spacing w:before="12"/>
        <w:rPr>
          <w:sz w:val="17"/>
        </w:rPr>
      </w:pPr>
    </w:p>
    <w:p w14:paraId="79946C03" w14:textId="77777777" w:rsidR="00A71EEF" w:rsidRDefault="0081115D">
      <w:pPr>
        <w:pStyle w:val="a4"/>
        <w:numPr>
          <w:ilvl w:val="2"/>
          <w:numId w:val="149"/>
        </w:numPr>
        <w:tabs>
          <w:tab w:val="left" w:pos="1478"/>
        </w:tabs>
        <w:ind w:hanging="638"/>
        <w:rPr>
          <w:sz w:val="21"/>
        </w:rPr>
      </w:pPr>
      <w:r>
        <w:rPr>
          <w:spacing w:val="-3"/>
          <w:sz w:val="21"/>
        </w:rPr>
        <w:t>医院宜采用无油空气压缩机，压缩空气应设过滤除菌设备。</w:t>
      </w:r>
      <w:r>
        <w:rPr>
          <w:sz w:val="21"/>
        </w:rPr>
        <w:t xml:space="preserve"> </w:t>
      </w:r>
    </w:p>
    <w:p w14:paraId="4E009870" w14:textId="77777777" w:rsidR="00A71EEF" w:rsidRDefault="00A71EEF">
      <w:pPr>
        <w:pStyle w:val="a3"/>
        <w:rPr>
          <w:sz w:val="18"/>
        </w:rPr>
      </w:pPr>
    </w:p>
    <w:p w14:paraId="07E4E984" w14:textId="77777777" w:rsidR="00A71EEF" w:rsidRDefault="0081115D">
      <w:pPr>
        <w:pStyle w:val="a4"/>
        <w:numPr>
          <w:ilvl w:val="2"/>
          <w:numId w:val="149"/>
        </w:numPr>
        <w:tabs>
          <w:tab w:val="left" w:pos="1478"/>
        </w:tabs>
        <w:ind w:hanging="638"/>
        <w:rPr>
          <w:sz w:val="21"/>
        </w:rPr>
      </w:pPr>
      <w:r>
        <w:rPr>
          <w:spacing w:val="-3"/>
          <w:sz w:val="21"/>
        </w:rPr>
        <w:t>医用气体气源应设超压排放安全阀，气体应排至室外安全地点。</w:t>
      </w:r>
      <w:r>
        <w:rPr>
          <w:sz w:val="21"/>
        </w:rPr>
        <w:t xml:space="preserve"> </w:t>
      </w:r>
    </w:p>
    <w:p w14:paraId="73DF24D9" w14:textId="77777777" w:rsidR="00A71EEF" w:rsidRDefault="00A71EEF">
      <w:pPr>
        <w:pStyle w:val="a3"/>
        <w:spacing w:before="2"/>
        <w:rPr>
          <w:sz w:val="18"/>
        </w:rPr>
      </w:pPr>
    </w:p>
    <w:p w14:paraId="52958600" w14:textId="77777777" w:rsidR="00A71EEF" w:rsidRDefault="0081115D">
      <w:pPr>
        <w:pStyle w:val="a4"/>
        <w:numPr>
          <w:ilvl w:val="2"/>
          <w:numId w:val="149"/>
        </w:numPr>
        <w:tabs>
          <w:tab w:val="left" w:pos="1478"/>
        </w:tabs>
        <w:spacing w:line="446" w:lineRule="auto"/>
        <w:ind w:left="838" w:right="4439" w:firstLine="2"/>
        <w:rPr>
          <w:sz w:val="21"/>
        </w:rPr>
      </w:pPr>
      <w:r>
        <w:rPr>
          <w:spacing w:val="-2"/>
          <w:sz w:val="21"/>
        </w:rPr>
        <w:t>设置分子筛制氧机组制氧站，应符合下列要求：</w:t>
      </w:r>
      <w:r>
        <w:rPr>
          <w:spacing w:val="-2"/>
          <w:sz w:val="21"/>
        </w:rPr>
        <w:t xml:space="preserve"> </w:t>
      </w:r>
      <w:r>
        <w:rPr>
          <w:spacing w:val="-2"/>
          <w:sz w:val="21"/>
        </w:rPr>
        <w:t>制</w:t>
      </w:r>
      <w:r>
        <w:rPr>
          <w:spacing w:val="-3"/>
          <w:sz w:val="21"/>
        </w:rPr>
        <w:t>氧站宜独立设置或设置在建筑物屋顶；</w:t>
      </w:r>
      <w:r>
        <w:rPr>
          <w:sz w:val="21"/>
        </w:rPr>
        <w:t xml:space="preserve"> </w:t>
      </w:r>
    </w:p>
    <w:p w14:paraId="4D42A0DD" w14:textId="77777777" w:rsidR="00A71EEF" w:rsidRDefault="0081115D">
      <w:pPr>
        <w:pStyle w:val="a3"/>
        <w:spacing w:line="446" w:lineRule="auto"/>
        <w:ind w:left="418" w:right="1498" w:firstLine="419"/>
      </w:pPr>
      <w:r>
        <w:t>氧气汇流排间与机器间的隔墙耐火极限不应低于</w:t>
      </w:r>
      <w:r>
        <w:t xml:space="preserve"> 1.5h</w:t>
      </w:r>
      <w:r>
        <w:t>，氧气汇流排间与机器间之间的联络门应采用甲级防火门；</w:t>
      </w:r>
      <w:r>
        <w:t xml:space="preserve"> </w:t>
      </w:r>
    </w:p>
    <w:p w14:paraId="10222996" w14:textId="77777777" w:rsidR="00A71EEF" w:rsidRDefault="0081115D">
      <w:pPr>
        <w:pStyle w:val="a3"/>
        <w:spacing w:line="446" w:lineRule="auto"/>
        <w:ind w:left="418" w:right="1498" w:firstLine="419"/>
      </w:pPr>
      <w:r>
        <w:t>氧气储罐与机器间的隔墙耐火极限不应低于</w:t>
      </w:r>
      <w:r>
        <w:t xml:space="preserve"> 1.5h</w:t>
      </w:r>
      <w:r>
        <w:t>，氧气储罐与机器间之间的联络门应采用甲级防火门。</w:t>
      </w:r>
      <w:r>
        <w:t xml:space="preserve">  </w:t>
      </w:r>
      <w:r>
        <w:t xml:space="preserve"> </w:t>
      </w:r>
    </w:p>
    <w:p w14:paraId="09A2172B" w14:textId="77777777" w:rsidR="00A71EEF" w:rsidRDefault="0081115D">
      <w:pPr>
        <w:pStyle w:val="a4"/>
        <w:numPr>
          <w:ilvl w:val="2"/>
          <w:numId w:val="149"/>
        </w:numPr>
        <w:tabs>
          <w:tab w:val="left" w:pos="1478"/>
        </w:tabs>
        <w:spacing w:line="446" w:lineRule="auto"/>
        <w:ind w:left="418" w:right="1498" w:firstLine="422"/>
        <w:rPr>
          <w:sz w:val="21"/>
        </w:rPr>
      </w:pPr>
      <w:r>
        <w:rPr>
          <w:spacing w:val="-6"/>
          <w:sz w:val="21"/>
        </w:rPr>
        <w:t>采用液氧供氧方式时，大于</w:t>
      </w:r>
      <w:r>
        <w:rPr>
          <w:spacing w:val="-6"/>
          <w:sz w:val="21"/>
        </w:rPr>
        <w:t xml:space="preserve"> </w:t>
      </w:r>
      <w:r>
        <w:rPr>
          <w:sz w:val="21"/>
        </w:rPr>
        <w:t>500L</w:t>
      </w:r>
      <w:r>
        <w:rPr>
          <w:spacing w:val="-8"/>
          <w:sz w:val="21"/>
        </w:rPr>
        <w:t xml:space="preserve"> </w:t>
      </w:r>
      <w:r>
        <w:rPr>
          <w:spacing w:val="-8"/>
          <w:sz w:val="21"/>
        </w:rPr>
        <w:t>的液氧罐应放在室外。室外液氧罐与办公室、病房</w:t>
      </w:r>
      <w:r>
        <w:rPr>
          <w:spacing w:val="-7"/>
          <w:sz w:val="21"/>
        </w:rPr>
        <w:t>、公共场所及繁华道路的距离应大于</w:t>
      </w:r>
      <w:r>
        <w:rPr>
          <w:spacing w:val="-7"/>
          <w:sz w:val="21"/>
        </w:rPr>
        <w:t xml:space="preserve"> </w:t>
      </w:r>
      <w:r>
        <w:rPr>
          <w:sz w:val="21"/>
        </w:rPr>
        <w:t>7.50m</w:t>
      </w:r>
      <w:r>
        <w:rPr>
          <w:sz w:val="21"/>
        </w:rPr>
        <w:t>。</w:t>
      </w:r>
      <w:r>
        <w:rPr>
          <w:sz w:val="21"/>
        </w:rPr>
        <w:t xml:space="preserve"> </w:t>
      </w:r>
      <w:r>
        <w:rPr>
          <w:spacing w:val="-2"/>
          <w:sz w:val="21"/>
        </w:rPr>
        <w:t xml:space="preserve"> </w:t>
      </w:r>
      <w:r>
        <w:rPr>
          <w:sz w:val="21"/>
        </w:rPr>
        <w:t xml:space="preserve"> </w:t>
      </w:r>
    </w:p>
    <w:p w14:paraId="2A5F7E86" w14:textId="77777777" w:rsidR="00A71EEF" w:rsidRDefault="0081115D">
      <w:pPr>
        <w:pStyle w:val="a4"/>
        <w:numPr>
          <w:ilvl w:val="2"/>
          <w:numId w:val="149"/>
        </w:numPr>
        <w:tabs>
          <w:tab w:val="left" w:pos="1583"/>
        </w:tabs>
        <w:spacing w:line="267" w:lineRule="exact"/>
        <w:ind w:left="1582" w:hanging="743"/>
        <w:rPr>
          <w:sz w:val="21"/>
        </w:rPr>
      </w:pPr>
      <w:r>
        <w:rPr>
          <w:spacing w:val="-3"/>
          <w:sz w:val="21"/>
        </w:rPr>
        <w:t>负压吸引机房应单独设置，其排放气体应经过处理后排入大气。</w:t>
      </w:r>
      <w:r>
        <w:rPr>
          <w:spacing w:val="-3"/>
          <w:sz w:val="21"/>
        </w:rPr>
        <w:t xml:space="preserve"> </w:t>
      </w:r>
      <w:r>
        <w:rPr>
          <w:spacing w:val="-2"/>
          <w:sz w:val="21"/>
        </w:rPr>
        <w:t xml:space="preserve"> </w:t>
      </w:r>
      <w:r>
        <w:rPr>
          <w:sz w:val="21"/>
        </w:rPr>
        <w:t xml:space="preserve"> </w:t>
      </w:r>
    </w:p>
    <w:p w14:paraId="2C85B379" w14:textId="77777777" w:rsidR="00A71EEF" w:rsidRDefault="00A71EEF">
      <w:pPr>
        <w:pStyle w:val="a3"/>
        <w:spacing w:before="12"/>
        <w:rPr>
          <w:sz w:val="17"/>
        </w:rPr>
      </w:pPr>
    </w:p>
    <w:p w14:paraId="2042E5CD" w14:textId="77777777" w:rsidR="00A71EEF" w:rsidRDefault="0081115D">
      <w:pPr>
        <w:pStyle w:val="a4"/>
        <w:numPr>
          <w:ilvl w:val="1"/>
          <w:numId w:val="149"/>
        </w:numPr>
        <w:tabs>
          <w:tab w:val="left" w:pos="1264"/>
        </w:tabs>
        <w:rPr>
          <w:b/>
          <w:sz w:val="21"/>
        </w:rPr>
      </w:pPr>
      <w:r>
        <w:rPr>
          <w:spacing w:val="-3"/>
          <w:sz w:val="21"/>
        </w:rPr>
        <w:t>气体配管</w:t>
      </w:r>
      <w:r>
        <w:rPr>
          <w:b/>
          <w:w w:val="99"/>
          <w:sz w:val="21"/>
        </w:rPr>
        <w:t xml:space="preserve"> </w:t>
      </w:r>
    </w:p>
    <w:p w14:paraId="4176AFD5" w14:textId="77777777" w:rsidR="00A71EEF" w:rsidRDefault="00A71EEF">
      <w:pPr>
        <w:pStyle w:val="a3"/>
        <w:rPr>
          <w:b/>
          <w:sz w:val="18"/>
        </w:rPr>
      </w:pPr>
    </w:p>
    <w:p w14:paraId="0144475D" w14:textId="77777777" w:rsidR="00A71EEF" w:rsidRDefault="0081115D">
      <w:pPr>
        <w:pStyle w:val="a4"/>
        <w:numPr>
          <w:ilvl w:val="2"/>
          <w:numId w:val="149"/>
        </w:numPr>
        <w:tabs>
          <w:tab w:val="left" w:pos="1478"/>
        </w:tabs>
        <w:spacing w:line="446" w:lineRule="auto"/>
        <w:ind w:left="418" w:right="1601" w:firstLine="422"/>
        <w:rPr>
          <w:sz w:val="21"/>
        </w:rPr>
      </w:pPr>
      <w:r>
        <w:rPr>
          <w:spacing w:val="-3"/>
          <w:sz w:val="21"/>
        </w:rPr>
        <w:t>医</w:t>
      </w:r>
      <w:r>
        <w:rPr>
          <w:spacing w:val="-3"/>
          <w:sz w:val="21"/>
        </w:rPr>
        <w:t>用气体管道应选用紫铜管或不锈钢管，负压吸引和手术室废气排放输送管可采用镀锌钢管。管道、阀门和仪表附件安装前应进行脱脂处理。</w:t>
      </w:r>
      <w:r>
        <w:rPr>
          <w:sz w:val="21"/>
        </w:rPr>
        <w:t xml:space="preserve"> </w:t>
      </w:r>
    </w:p>
    <w:p w14:paraId="33726B1D" w14:textId="77777777" w:rsidR="00A71EEF" w:rsidRDefault="0081115D">
      <w:pPr>
        <w:pStyle w:val="a4"/>
        <w:numPr>
          <w:ilvl w:val="2"/>
          <w:numId w:val="149"/>
        </w:numPr>
        <w:tabs>
          <w:tab w:val="left" w:pos="1478"/>
        </w:tabs>
        <w:spacing w:line="446" w:lineRule="auto"/>
        <w:ind w:left="418" w:right="1601" w:firstLine="422"/>
        <w:rPr>
          <w:sz w:val="21"/>
        </w:rPr>
      </w:pPr>
      <w:r>
        <w:rPr>
          <w:spacing w:val="-3"/>
          <w:sz w:val="21"/>
        </w:rPr>
        <w:t>供氧管道不应与电缆、腐蚀性气体和可燃气体管道敷设在同一管道井或地沟内。敷设有供氧管道的管道井，宜有良好通风。</w:t>
      </w:r>
      <w:r>
        <w:rPr>
          <w:sz w:val="21"/>
        </w:rPr>
        <w:t xml:space="preserve"> </w:t>
      </w:r>
    </w:p>
    <w:p w14:paraId="47841772" w14:textId="77777777" w:rsidR="00A71EEF" w:rsidRDefault="00A71EEF">
      <w:pPr>
        <w:spacing w:line="446" w:lineRule="auto"/>
        <w:rPr>
          <w:sz w:val="21"/>
        </w:rPr>
        <w:sectPr w:rsidR="00A71EEF">
          <w:pgSz w:w="11910" w:h="16850"/>
          <w:pgMar w:top="1220" w:right="0" w:bottom="1420" w:left="1260" w:header="0" w:footer="1239" w:gutter="0"/>
          <w:cols w:space="720"/>
        </w:sectPr>
      </w:pPr>
    </w:p>
    <w:p w14:paraId="31844293" w14:textId="77777777" w:rsidR="00A71EEF" w:rsidRDefault="0081115D">
      <w:pPr>
        <w:pStyle w:val="a4"/>
        <w:numPr>
          <w:ilvl w:val="2"/>
          <w:numId w:val="149"/>
        </w:numPr>
        <w:tabs>
          <w:tab w:val="left" w:pos="1478"/>
        </w:tabs>
        <w:spacing w:before="47" w:line="446" w:lineRule="auto"/>
        <w:ind w:left="418" w:right="1608" w:firstLine="422"/>
        <w:rPr>
          <w:sz w:val="21"/>
        </w:rPr>
      </w:pPr>
      <w:r>
        <w:rPr>
          <w:spacing w:val="-3"/>
          <w:sz w:val="21"/>
        </w:rPr>
        <w:t>氧气管道架空时，可与各种气体、液体</w:t>
      </w:r>
      <w:r>
        <w:rPr>
          <w:spacing w:val="-3"/>
          <w:sz w:val="21"/>
        </w:rPr>
        <w:t>(</w:t>
      </w:r>
      <w:r>
        <w:rPr>
          <w:spacing w:val="-3"/>
          <w:sz w:val="21"/>
        </w:rPr>
        <w:t>包括燃气、燃油</w:t>
      </w:r>
      <w:r>
        <w:rPr>
          <w:spacing w:val="-3"/>
          <w:sz w:val="21"/>
        </w:rPr>
        <w:t>)</w:t>
      </w:r>
      <w:r>
        <w:rPr>
          <w:spacing w:val="-3"/>
          <w:sz w:val="21"/>
        </w:rPr>
        <w:t>管道共架敷设。共架</w:t>
      </w:r>
      <w:r>
        <w:rPr>
          <w:spacing w:val="-3"/>
          <w:sz w:val="21"/>
        </w:rPr>
        <w:t xml:space="preserve"> </w:t>
      </w:r>
      <w:r>
        <w:rPr>
          <w:spacing w:val="-3"/>
          <w:sz w:val="21"/>
        </w:rPr>
        <w:t>时，氧气管道宜布置在其他管道外侧，并宜布置在燃油管道上面。供应洁净手术部的医用气体管道应单独设支吊架。</w:t>
      </w:r>
      <w:r>
        <w:rPr>
          <w:sz w:val="21"/>
        </w:rPr>
        <w:t xml:space="preserve"> </w:t>
      </w:r>
    </w:p>
    <w:p w14:paraId="39FACE94" w14:textId="77777777" w:rsidR="00A71EEF" w:rsidRDefault="0081115D">
      <w:pPr>
        <w:pStyle w:val="a4"/>
        <w:numPr>
          <w:ilvl w:val="2"/>
          <w:numId w:val="149"/>
        </w:numPr>
        <w:tabs>
          <w:tab w:val="left" w:pos="1478"/>
        </w:tabs>
        <w:spacing w:line="268" w:lineRule="exact"/>
        <w:ind w:hanging="638"/>
        <w:rPr>
          <w:sz w:val="21"/>
        </w:rPr>
      </w:pPr>
      <w:r>
        <w:rPr>
          <w:spacing w:val="-3"/>
          <w:sz w:val="21"/>
        </w:rPr>
        <w:t>除氧气管道专用的导电线外，其他导电线不应与氧气管道敷设在同一支架上。</w:t>
      </w:r>
      <w:r>
        <w:rPr>
          <w:spacing w:val="-3"/>
          <w:sz w:val="21"/>
        </w:rPr>
        <w:t xml:space="preserve"> </w:t>
      </w:r>
    </w:p>
    <w:p w14:paraId="65D3E10D" w14:textId="77777777" w:rsidR="00A71EEF" w:rsidRDefault="00A71EEF">
      <w:pPr>
        <w:pStyle w:val="a3"/>
        <w:rPr>
          <w:sz w:val="18"/>
        </w:rPr>
      </w:pPr>
    </w:p>
    <w:p w14:paraId="0C6D8F09" w14:textId="77777777" w:rsidR="00A71EEF" w:rsidRDefault="0081115D">
      <w:pPr>
        <w:pStyle w:val="a4"/>
        <w:numPr>
          <w:ilvl w:val="2"/>
          <w:numId w:val="149"/>
        </w:numPr>
        <w:tabs>
          <w:tab w:val="left" w:pos="1478"/>
        </w:tabs>
        <w:spacing w:line="446" w:lineRule="auto"/>
        <w:ind w:left="418" w:right="1500" w:firstLine="422"/>
        <w:rPr>
          <w:sz w:val="21"/>
        </w:rPr>
      </w:pPr>
      <w:r>
        <w:rPr>
          <w:spacing w:val="-5"/>
          <w:sz w:val="21"/>
        </w:rPr>
        <w:t>氧气管与其他管线之间距离应符合表</w:t>
      </w:r>
      <w:r>
        <w:rPr>
          <w:spacing w:val="-5"/>
          <w:sz w:val="21"/>
        </w:rPr>
        <w:t xml:space="preserve"> </w:t>
      </w:r>
      <w:r>
        <w:rPr>
          <w:sz w:val="21"/>
        </w:rPr>
        <w:t>10.3.5</w:t>
      </w:r>
      <w:r>
        <w:rPr>
          <w:spacing w:val="-8"/>
          <w:sz w:val="21"/>
        </w:rPr>
        <w:t xml:space="preserve"> </w:t>
      </w:r>
      <w:r>
        <w:rPr>
          <w:spacing w:val="-8"/>
          <w:sz w:val="21"/>
        </w:rPr>
        <w:t>的规定，当间距无法满足时，应采取安</w:t>
      </w:r>
      <w:r>
        <w:rPr>
          <w:spacing w:val="-4"/>
          <w:sz w:val="21"/>
        </w:rPr>
        <w:t>全可靠的技术措施。</w:t>
      </w:r>
      <w:r>
        <w:rPr>
          <w:sz w:val="21"/>
        </w:rPr>
        <w:t xml:space="preserve"> </w:t>
      </w:r>
    </w:p>
    <w:p w14:paraId="6215018B" w14:textId="77777777" w:rsidR="00A71EEF" w:rsidRDefault="0081115D">
      <w:pPr>
        <w:pStyle w:val="6"/>
        <w:ind w:left="2941"/>
      </w:pPr>
      <w:r>
        <w:t>表</w:t>
      </w:r>
      <w:r>
        <w:t xml:space="preserve"> 10.3.5 </w:t>
      </w:r>
      <w:r>
        <w:t>氧气管与其他管线之间距离</w:t>
      </w:r>
      <w:r>
        <w:rPr>
          <w:w w:val="99"/>
        </w:rPr>
        <w:t xml:space="preserve"> </w:t>
      </w:r>
    </w:p>
    <w:p w14:paraId="5AE910F4" w14:textId="77777777" w:rsidR="00A71EEF" w:rsidRDefault="00A71EEF">
      <w:pPr>
        <w:pStyle w:val="a3"/>
        <w:rPr>
          <w:b/>
          <w:sz w:val="20"/>
        </w:rPr>
      </w:pPr>
    </w:p>
    <w:p w14:paraId="3A3C4A37" w14:textId="77777777" w:rsidR="00A71EEF" w:rsidRDefault="00A71EEF">
      <w:pPr>
        <w:pStyle w:val="a3"/>
        <w:rPr>
          <w:b/>
          <w:sz w:val="20"/>
        </w:rPr>
      </w:pPr>
    </w:p>
    <w:p w14:paraId="35F7F733" w14:textId="77777777" w:rsidR="00A71EEF" w:rsidRDefault="00A71EEF">
      <w:pPr>
        <w:pStyle w:val="a3"/>
        <w:rPr>
          <w:b/>
          <w:sz w:val="20"/>
        </w:rPr>
      </w:pPr>
    </w:p>
    <w:p w14:paraId="04D3237E" w14:textId="77777777" w:rsidR="00A71EEF" w:rsidRDefault="00A71EEF">
      <w:pPr>
        <w:pStyle w:val="a3"/>
        <w:rPr>
          <w:b/>
          <w:sz w:val="20"/>
        </w:rPr>
      </w:pPr>
    </w:p>
    <w:p w14:paraId="33054296" w14:textId="77777777" w:rsidR="00A71EEF" w:rsidRDefault="00A71EEF">
      <w:pPr>
        <w:pStyle w:val="a3"/>
        <w:rPr>
          <w:b/>
          <w:sz w:val="20"/>
        </w:rPr>
      </w:pPr>
    </w:p>
    <w:p w14:paraId="6BD8359A" w14:textId="77777777" w:rsidR="00A71EEF" w:rsidRDefault="0081115D">
      <w:pPr>
        <w:pStyle w:val="a3"/>
        <w:spacing w:before="3"/>
        <w:rPr>
          <w:b/>
          <w:sz w:val="28"/>
        </w:rPr>
      </w:pPr>
      <w:r>
        <w:rPr>
          <w:noProof/>
        </w:rPr>
        <w:drawing>
          <wp:anchor distT="0" distB="0" distL="0" distR="0" simplePos="0" relativeHeight="251697664" behindDoc="0" locked="0" layoutInCell="1" allowOverlap="1" wp14:anchorId="6E150DA9" wp14:editId="38B9F90B">
            <wp:simplePos x="0" y="0"/>
            <wp:positionH relativeFrom="page">
              <wp:posOffset>1303655</wp:posOffset>
            </wp:positionH>
            <wp:positionV relativeFrom="paragraph">
              <wp:posOffset>254563</wp:posOffset>
            </wp:positionV>
            <wp:extent cx="4600680" cy="1871376"/>
            <wp:effectExtent l="0" t="0" r="0" b="0"/>
            <wp:wrapTopAndBottom/>
            <wp:docPr id="651" name="image3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 name="image376.jpeg"/>
                    <pic:cNvPicPr/>
                  </pic:nvPicPr>
                  <pic:blipFill>
                    <a:blip r:embed="rId453" cstate="print"/>
                    <a:stretch>
                      <a:fillRect/>
                    </a:stretch>
                  </pic:blipFill>
                  <pic:spPr>
                    <a:xfrm>
                      <a:off x="0" y="0"/>
                      <a:ext cx="4600680" cy="1871376"/>
                    </a:xfrm>
                    <a:prstGeom prst="rect">
                      <a:avLst/>
                    </a:prstGeom>
                  </pic:spPr>
                </pic:pic>
              </a:graphicData>
            </a:graphic>
          </wp:anchor>
        </w:drawing>
      </w:r>
    </w:p>
    <w:p w14:paraId="608D4F3A" w14:textId="77777777" w:rsidR="00A71EEF" w:rsidRDefault="00A71EEF">
      <w:pPr>
        <w:pStyle w:val="a3"/>
        <w:rPr>
          <w:b/>
          <w:sz w:val="20"/>
        </w:rPr>
      </w:pPr>
    </w:p>
    <w:p w14:paraId="28254EB2" w14:textId="77777777" w:rsidR="00A71EEF" w:rsidRDefault="00A71EEF">
      <w:pPr>
        <w:pStyle w:val="a3"/>
        <w:spacing w:before="8"/>
        <w:rPr>
          <w:b/>
          <w:sz w:val="25"/>
        </w:rPr>
      </w:pPr>
    </w:p>
    <w:p w14:paraId="3A48C859" w14:textId="77777777" w:rsidR="00A71EEF" w:rsidRDefault="0081115D">
      <w:pPr>
        <w:pStyle w:val="a4"/>
        <w:numPr>
          <w:ilvl w:val="2"/>
          <w:numId w:val="149"/>
        </w:numPr>
        <w:tabs>
          <w:tab w:val="left" w:pos="1478"/>
        </w:tabs>
        <w:spacing w:before="71"/>
        <w:ind w:hanging="638"/>
        <w:jc w:val="both"/>
        <w:rPr>
          <w:sz w:val="21"/>
        </w:rPr>
      </w:pPr>
      <w:r>
        <w:rPr>
          <w:spacing w:val="-3"/>
          <w:sz w:val="21"/>
        </w:rPr>
        <w:t>病区及洁净手术部内的氧气干管上，应设置手动紧急切断气源的装置。</w:t>
      </w:r>
      <w:r>
        <w:rPr>
          <w:spacing w:val="-3"/>
          <w:sz w:val="21"/>
        </w:rPr>
        <w:t xml:space="preserve"> </w:t>
      </w:r>
    </w:p>
    <w:p w14:paraId="153AD554" w14:textId="77777777" w:rsidR="00A71EEF" w:rsidRDefault="00A71EEF">
      <w:pPr>
        <w:pStyle w:val="a3"/>
        <w:rPr>
          <w:sz w:val="18"/>
        </w:rPr>
      </w:pPr>
    </w:p>
    <w:p w14:paraId="0D16A693" w14:textId="77777777" w:rsidR="00A71EEF" w:rsidRDefault="0081115D">
      <w:pPr>
        <w:pStyle w:val="a4"/>
        <w:numPr>
          <w:ilvl w:val="2"/>
          <w:numId w:val="149"/>
        </w:numPr>
        <w:tabs>
          <w:tab w:val="left" w:pos="1478"/>
        </w:tabs>
        <w:spacing w:line="446" w:lineRule="auto"/>
        <w:ind w:left="418" w:right="1601" w:firstLine="422"/>
        <w:jc w:val="both"/>
        <w:rPr>
          <w:sz w:val="21"/>
        </w:rPr>
      </w:pPr>
      <w:r>
        <w:rPr>
          <w:spacing w:val="-3"/>
          <w:sz w:val="21"/>
        </w:rPr>
        <w:t>穿过墙壁、楼板的氧气管道应敷设在套管内，并应用石棉或其他不燃材料将套管间隙填实。氧气管道不宜穿过不使用氧气的房间，必须通过时，在房间内的管道上不应有法兰或螺纹连接接口。</w:t>
      </w:r>
      <w:r>
        <w:rPr>
          <w:sz w:val="21"/>
        </w:rPr>
        <w:t xml:space="preserve"> </w:t>
      </w:r>
    </w:p>
    <w:p w14:paraId="39010B94" w14:textId="77777777" w:rsidR="00A71EEF" w:rsidRDefault="0081115D">
      <w:pPr>
        <w:pStyle w:val="a4"/>
        <w:numPr>
          <w:ilvl w:val="2"/>
          <w:numId w:val="149"/>
        </w:numPr>
        <w:tabs>
          <w:tab w:val="left" w:pos="1478"/>
        </w:tabs>
        <w:spacing w:line="268" w:lineRule="exact"/>
        <w:ind w:hanging="638"/>
        <w:jc w:val="both"/>
        <w:rPr>
          <w:sz w:val="21"/>
        </w:rPr>
      </w:pPr>
      <w:r>
        <w:rPr>
          <w:spacing w:val="-3"/>
          <w:sz w:val="21"/>
        </w:rPr>
        <w:t>医用气体管道应做导静电接地装置。</w:t>
      </w:r>
      <w:r>
        <w:rPr>
          <w:sz w:val="21"/>
        </w:rPr>
        <w:t xml:space="preserve"> </w:t>
      </w:r>
    </w:p>
    <w:p w14:paraId="7825ECC0" w14:textId="77777777" w:rsidR="00A71EEF" w:rsidRDefault="00A71EEF">
      <w:pPr>
        <w:pStyle w:val="a3"/>
        <w:spacing w:before="2"/>
        <w:rPr>
          <w:sz w:val="18"/>
        </w:rPr>
      </w:pPr>
    </w:p>
    <w:p w14:paraId="61F88699" w14:textId="77777777" w:rsidR="00A71EEF" w:rsidRDefault="0081115D">
      <w:pPr>
        <w:pStyle w:val="a4"/>
        <w:numPr>
          <w:ilvl w:val="2"/>
          <w:numId w:val="149"/>
        </w:numPr>
        <w:tabs>
          <w:tab w:val="left" w:pos="1478"/>
        </w:tabs>
        <w:ind w:hanging="638"/>
        <w:jc w:val="both"/>
        <w:rPr>
          <w:sz w:val="21"/>
        </w:rPr>
      </w:pPr>
      <w:r>
        <w:rPr>
          <w:spacing w:val="-3"/>
          <w:sz w:val="21"/>
        </w:rPr>
        <w:t>医用气体管道与支吊架接触处，应做防静电腐蚀绝缘处理。</w:t>
      </w:r>
      <w:r>
        <w:rPr>
          <w:sz w:val="21"/>
        </w:rPr>
        <w:t xml:space="preserve"> </w:t>
      </w:r>
    </w:p>
    <w:p w14:paraId="1650775F" w14:textId="77777777" w:rsidR="00A71EEF" w:rsidRDefault="00A71EEF">
      <w:pPr>
        <w:pStyle w:val="a3"/>
        <w:spacing w:before="12"/>
        <w:rPr>
          <w:sz w:val="17"/>
        </w:rPr>
      </w:pPr>
    </w:p>
    <w:p w14:paraId="28003E8C" w14:textId="77777777" w:rsidR="00A71EEF" w:rsidRDefault="0081115D">
      <w:pPr>
        <w:pStyle w:val="a4"/>
        <w:numPr>
          <w:ilvl w:val="2"/>
          <w:numId w:val="149"/>
        </w:numPr>
        <w:tabs>
          <w:tab w:val="left" w:pos="1583"/>
        </w:tabs>
        <w:ind w:left="1582" w:hanging="743"/>
        <w:jc w:val="both"/>
        <w:rPr>
          <w:sz w:val="21"/>
        </w:rPr>
      </w:pPr>
      <w:r>
        <w:rPr>
          <w:spacing w:val="-3"/>
          <w:sz w:val="21"/>
        </w:rPr>
        <w:t>含湿医用气体管道，应采取防冻措施。</w:t>
      </w:r>
      <w:r>
        <w:rPr>
          <w:sz w:val="21"/>
        </w:rPr>
        <w:t xml:space="preserve"> </w:t>
      </w:r>
    </w:p>
    <w:p w14:paraId="2C6C3BD4" w14:textId="77777777" w:rsidR="00A71EEF" w:rsidRDefault="00A71EEF">
      <w:pPr>
        <w:pStyle w:val="a3"/>
        <w:spacing w:before="12"/>
        <w:rPr>
          <w:sz w:val="17"/>
        </w:rPr>
      </w:pPr>
    </w:p>
    <w:p w14:paraId="4F400BFB" w14:textId="77777777" w:rsidR="00A71EEF" w:rsidRDefault="0081115D">
      <w:pPr>
        <w:pStyle w:val="a4"/>
        <w:numPr>
          <w:ilvl w:val="2"/>
          <w:numId w:val="149"/>
        </w:numPr>
        <w:tabs>
          <w:tab w:val="left" w:pos="1583"/>
        </w:tabs>
        <w:ind w:left="1582" w:hanging="743"/>
        <w:jc w:val="both"/>
        <w:rPr>
          <w:sz w:val="21"/>
        </w:rPr>
      </w:pPr>
      <w:r>
        <w:rPr>
          <w:spacing w:val="-6"/>
          <w:sz w:val="21"/>
        </w:rPr>
        <w:t>医用真空管道，应坡向总管和缓冲罐，坡度不应小于</w:t>
      </w:r>
      <w:r>
        <w:rPr>
          <w:spacing w:val="-6"/>
          <w:sz w:val="21"/>
        </w:rPr>
        <w:t xml:space="preserve"> </w:t>
      </w:r>
      <w:r>
        <w:rPr>
          <w:sz w:val="21"/>
        </w:rPr>
        <w:t>2</w:t>
      </w:r>
      <w:r>
        <w:rPr>
          <w:spacing w:val="-2"/>
          <w:sz w:val="21"/>
        </w:rPr>
        <w:t>‰</w:t>
      </w:r>
      <w:r>
        <w:rPr>
          <w:spacing w:val="-2"/>
          <w:sz w:val="21"/>
        </w:rPr>
        <w:t>。</w:t>
      </w:r>
      <w:r>
        <w:rPr>
          <w:sz w:val="21"/>
        </w:rPr>
        <w:t xml:space="preserve"> </w:t>
      </w:r>
    </w:p>
    <w:p w14:paraId="67187F76" w14:textId="77777777" w:rsidR="00A71EEF" w:rsidRDefault="00A71EEF">
      <w:pPr>
        <w:pStyle w:val="a3"/>
        <w:spacing w:before="2"/>
        <w:rPr>
          <w:sz w:val="18"/>
        </w:rPr>
      </w:pPr>
    </w:p>
    <w:p w14:paraId="31DEC58F" w14:textId="77777777" w:rsidR="00A71EEF" w:rsidRDefault="0081115D">
      <w:pPr>
        <w:pStyle w:val="a4"/>
        <w:numPr>
          <w:ilvl w:val="1"/>
          <w:numId w:val="149"/>
        </w:numPr>
        <w:tabs>
          <w:tab w:val="left" w:pos="1264"/>
        </w:tabs>
        <w:spacing w:before="1"/>
        <w:rPr>
          <w:sz w:val="21"/>
        </w:rPr>
      </w:pPr>
      <w:r>
        <w:rPr>
          <w:spacing w:val="-3"/>
          <w:sz w:val="21"/>
        </w:rPr>
        <w:t>医用气体终端</w:t>
      </w:r>
      <w:r>
        <w:rPr>
          <w:sz w:val="21"/>
        </w:rPr>
        <w:t xml:space="preserve"> </w:t>
      </w:r>
    </w:p>
    <w:p w14:paraId="4A4DC3CF" w14:textId="77777777" w:rsidR="00A71EEF" w:rsidRDefault="00A71EEF">
      <w:pPr>
        <w:pStyle w:val="a3"/>
        <w:spacing w:before="12"/>
        <w:rPr>
          <w:sz w:val="17"/>
        </w:rPr>
      </w:pPr>
    </w:p>
    <w:p w14:paraId="245DB345" w14:textId="77777777" w:rsidR="00A71EEF" w:rsidRDefault="0081115D">
      <w:pPr>
        <w:pStyle w:val="a4"/>
        <w:numPr>
          <w:ilvl w:val="2"/>
          <w:numId w:val="149"/>
        </w:numPr>
        <w:tabs>
          <w:tab w:val="left" w:pos="1478"/>
        </w:tabs>
        <w:ind w:hanging="638"/>
        <w:rPr>
          <w:b/>
          <w:sz w:val="21"/>
        </w:rPr>
      </w:pPr>
      <w:r>
        <w:rPr>
          <w:spacing w:val="-3"/>
          <w:sz w:val="21"/>
        </w:rPr>
        <w:t>医用气体管终端应安全可靠，终端内部应清洁且密封良好。</w:t>
      </w:r>
      <w:r>
        <w:rPr>
          <w:b/>
          <w:w w:val="99"/>
          <w:sz w:val="21"/>
        </w:rPr>
        <w:t xml:space="preserve"> </w:t>
      </w:r>
    </w:p>
    <w:p w14:paraId="39B31417" w14:textId="77777777" w:rsidR="00A71EEF" w:rsidRDefault="00A71EEF">
      <w:pPr>
        <w:pStyle w:val="a3"/>
        <w:spacing w:before="12"/>
        <w:rPr>
          <w:b/>
          <w:sz w:val="17"/>
        </w:rPr>
      </w:pPr>
    </w:p>
    <w:p w14:paraId="26168EC6" w14:textId="77777777" w:rsidR="00A71EEF" w:rsidRDefault="0081115D">
      <w:pPr>
        <w:pStyle w:val="a4"/>
        <w:numPr>
          <w:ilvl w:val="2"/>
          <w:numId w:val="149"/>
        </w:numPr>
        <w:tabs>
          <w:tab w:val="left" w:pos="1478"/>
        </w:tabs>
        <w:ind w:hanging="638"/>
        <w:rPr>
          <w:b/>
          <w:sz w:val="21"/>
        </w:rPr>
      </w:pPr>
      <w:r>
        <w:rPr>
          <w:spacing w:val="-7"/>
          <w:sz w:val="21"/>
        </w:rPr>
        <w:t>医用气体的终端压力应符合表</w:t>
      </w:r>
      <w:r>
        <w:rPr>
          <w:spacing w:val="-7"/>
          <w:sz w:val="21"/>
        </w:rPr>
        <w:t xml:space="preserve"> </w:t>
      </w:r>
      <w:r>
        <w:rPr>
          <w:sz w:val="21"/>
        </w:rPr>
        <w:t>10.4.2</w:t>
      </w:r>
      <w:r>
        <w:rPr>
          <w:spacing w:val="-13"/>
          <w:sz w:val="21"/>
        </w:rPr>
        <w:t xml:space="preserve"> </w:t>
      </w:r>
      <w:r>
        <w:rPr>
          <w:spacing w:val="-13"/>
          <w:sz w:val="21"/>
        </w:rPr>
        <w:t>的规定。</w:t>
      </w:r>
      <w:r>
        <w:rPr>
          <w:b/>
          <w:w w:val="99"/>
          <w:sz w:val="21"/>
        </w:rPr>
        <w:t xml:space="preserve"> </w:t>
      </w:r>
    </w:p>
    <w:p w14:paraId="4A70024B" w14:textId="77777777" w:rsidR="00A71EEF" w:rsidRDefault="00A71EEF">
      <w:pPr>
        <w:rPr>
          <w:sz w:val="21"/>
        </w:rPr>
        <w:sectPr w:rsidR="00A71EEF">
          <w:pgSz w:w="11910" w:h="16850"/>
          <w:pgMar w:top="1220" w:right="0" w:bottom="1420" w:left="1260" w:header="0" w:footer="1239" w:gutter="0"/>
          <w:cols w:space="720"/>
        </w:sectPr>
      </w:pPr>
    </w:p>
    <w:p w14:paraId="4614D236" w14:textId="77777777" w:rsidR="00A71EEF" w:rsidRDefault="0081115D">
      <w:pPr>
        <w:pStyle w:val="6"/>
        <w:spacing w:before="47"/>
        <w:ind w:right="912"/>
        <w:jc w:val="center"/>
      </w:pPr>
      <w:r>
        <w:t>表</w:t>
      </w:r>
      <w:r>
        <w:t xml:space="preserve"> 10.4.2  </w:t>
      </w:r>
      <w:r>
        <w:t>医用气体的终端压力</w:t>
      </w:r>
      <w:r>
        <w:rPr>
          <w:w w:val="99"/>
        </w:rPr>
        <w:t xml:space="preserve"> </w:t>
      </w:r>
    </w:p>
    <w:p w14:paraId="27D128BA" w14:textId="77777777" w:rsidR="00A71EEF" w:rsidRDefault="0081115D">
      <w:pPr>
        <w:pStyle w:val="a3"/>
        <w:rPr>
          <w:b/>
          <w:sz w:val="23"/>
        </w:rPr>
      </w:pPr>
      <w:r>
        <w:rPr>
          <w:noProof/>
        </w:rPr>
        <w:drawing>
          <wp:anchor distT="0" distB="0" distL="0" distR="0" simplePos="0" relativeHeight="251698688" behindDoc="0" locked="0" layoutInCell="1" allowOverlap="1" wp14:anchorId="5193DD28" wp14:editId="30983048">
            <wp:simplePos x="0" y="0"/>
            <wp:positionH relativeFrom="page">
              <wp:posOffset>1314450</wp:posOffset>
            </wp:positionH>
            <wp:positionV relativeFrom="paragraph">
              <wp:posOffset>212177</wp:posOffset>
            </wp:positionV>
            <wp:extent cx="4639714" cy="1628775"/>
            <wp:effectExtent l="0" t="0" r="0" b="0"/>
            <wp:wrapTopAndBottom/>
            <wp:docPr id="653" name="image3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image377.jpeg"/>
                    <pic:cNvPicPr/>
                  </pic:nvPicPr>
                  <pic:blipFill>
                    <a:blip r:embed="rId454" cstate="print"/>
                    <a:stretch>
                      <a:fillRect/>
                    </a:stretch>
                  </pic:blipFill>
                  <pic:spPr>
                    <a:xfrm>
                      <a:off x="0" y="0"/>
                      <a:ext cx="4639714" cy="1628775"/>
                    </a:xfrm>
                    <a:prstGeom prst="rect">
                      <a:avLst/>
                    </a:prstGeom>
                  </pic:spPr>
                </pic:pic>
              </a:graphicData>
            </a:graphic>
          </wp:anchor>
        </w:drawing>
      </w:r>
    </w:p>
    <w:p w14:paraId="1E142982" w14:textId="77777777" w:rsidR="00A71EEF" w:rsidRDefault="0081115D">
      <w:pPr>
        <w:spacing w:before="149"/>
        <w:ind w:left="418"/>
        <w:rPr>
          <w:b/>
          <w:sz w:val="24"/>
        </w:rPr>
      </w:pPr>
      <w:r>
        <w:rPr>
          <w:b/>
          <w:sz w:val="24"/>
        </w:rPr>
        <w:t xml:space="preserve">11 </w:t>
      </w:r>
      <w:r>
        <w:rPr>
          <w:b/>
          <w:sz w:val="24"/>
        </w:rPr>
        <w:t>蒸气系统</w:t>
      </w:r>
      <w:r>
        <w:rPr>
          <w:b/>
          <w:w w:val="99"/>
          <w:sz w:val="24"/>
        </w:rPr>
        <w:t xml:space="preserve"> </w:t>
      </w:r>
    </w:p>
    <w:p w14:paraId="06893413" w14:textId="77777777" w:rsidR="00A71EEF" w:rsidRDefault="00A71EEF">
      <w:pPr>
        <w:pStyle w:val="a3"/>
        <w:spacing w:before="3"/>
        <w:rPr>
          <w:b/>
          <w:sz w:val="17"/>
        </w:rPr>
      </w:pPr>
    </w:p>
    <w:p w14:paraId="589F7A31" w14:textId="77777777" w:rsidR="00A71EEF" w:rsidRDefault="0081115D">
      <w:pPr>
        <w:pStyle w:val="a4"/>
        <w:numPr>
          <w:ilvl w:val="1"/>
          <w:numId w:val="148"/>
        </w:numPr>
        <w:tabs>
          <w:tab w:val="left" w:pos="842"/>
        </w:tabs>
        <w:spacing w:line="446" w:lineRule="auto"/>
        <w:ind w:right="1316" w:firstLine="0"/>
        <w:jc w:val="left"/>
        <w:rPr>
          <w:b/>
          <w:sz w:val="24"/>
        </w:rPr>
      </w:pPr>
      <w:r>
        <w:rPr>
          <w:spacing w:val="-5"/>
          <w:sz w:val="21"/>
        </w:rPr>
        <w:t>医院宜设置蒸气系统。蒸气可用于消毒供应、食品加工、配餐、洗衣、生活热水换热、污洗</w:t>
      </w:r>
      <w:r>
        <w:rPr>
          <w:spacing w:val="-5"/>
          <w:sz w:val="21"/>
        </w:rPr>
        <w:t xml:space="preserve"> </w:t>
      </w:r>
      <w:r>
        <w:rPr>
          <w:spacing w:val="-19"/>
          <w:sz w:val="21"/>
        </w:rPr>
        <w:t>、空气加湿等。当消毒供应、空气加湿采用蒸气时，应在使用点前的管道上设置过滤除污装置。</w:t>
      </w:r>
      <w:r>
        <w:rPr>
          <w:b/>
          <w:w w:val="99"/>
          <w:sz w:val="24"/>
        </w:rPr>
        <w:t xml:space="preserve"> </w:t>
      </w:r>
    </w:p>
    <w:p w14:paraId="791F99F7" w14:textId="77777777" w:rsidR="00A71EEF" w:rsidRDefault="0081115D">
      <w:pPr>
        <w:pStyle w:val="a4"/>
        <w:numPr>
          <w:ilvl w:val="1"/>
          <w:numId w:val="148"/>
        </w:numPr>
        <w:tabs>
          <w:tab w:val="left" w:pos="1264"/>
        </w:tabs>
        <w:spacing w:line="446" w:lineRule="auto"/>
        <w:ind w:right="1505" w:firstLine="422"/>
        <w:jc w:val="left"/>
        <w:rPr>
          <w:sz w:val="21"/>
        </w:rPr>
      </w:pPr>
      <w:r>
        <w:rPr>
          <w:spacing w:val="-6"/>
          <w:sz w:val="21"/>
        </w:rPr>
        <w:t>中心</w:t>
      </w:r>
      <w:r>
        <w:rPr>
          <w:spacing w:val="-6"/>
          <w:sz w:val="21"/>
        </w:rPr>
        <w:t>(</w:t>
      </w:r>
      <w:r>
        <w:rPr>
          <w:spacing w:val="-6"/>
          <w:sz w:val="21"/>
        </w:rPr>
        <w:t>消毒</w:t>
      </w:r>
      <w:r>
        <w:rPr>
          <w:spacing w:val="-6"/>
          <w:sz w:val="21"/>
        </w:rPr>
        <w:t>)</w:t>
      </w:r>
      <w:r>
        <w:rPr>
          <w:spacing w:val="-6"/>
          <w:sz w:val="21"/>
        </w:rPr>
        <w:t>供应室消耗蒸气的量宜按</w:t>
      </w:r>
      <w:r>
        <w:rPr>
          <w:spacing w:val="-6"/>
          <w:sz w:val="21"/>
        </w:rPr>
        <w:t xml:space="preserve"> </w:t>
      </w:r>
      <w:r>
        <w:rPr>
          <w:sz w:val="21"/>
        </w:rPr>
        <w:t>2kg</w:t>
      </w:r>
      <w:r>
        <w:rPr>
          <w:sz w:val="21"/>
        </w:rPr>
        <w:t>／</w:t>
      </w:r>
      <w:r>
        <w:rPr>
          <w:sz w:val="21"/>
        </w:rPr>
        <w:t>h·</w:t>
      </w:r>
      <w:r>
        <w:rPr>
          <w:sz w:val="21"/>
        </w:rPr>
        <w:t>床～</w:t>
      </w:r>
      <w:r>
        <w:rPr>
          <w:sz w:val="21"/>
        </w:rPr>
        <w:t>2.5kg</w:t>
      </w:r>
      <w:r>
        <w:rPr>
          <w:sz w:val="21"/>
        </w:rPr>
        <w:t>／</w:t>
      </w:r>
      <w:r>
        <w:rPr>
          <w:sz w:val="21"/>
        </w:rPr>
        <w:t>h·</w:t>
      </w:r>
      <w:r>
        <w:rPr>
          <w:spacing w:val="-3"/>
          <w:sz w:val="21"/>
        </w:rPr>
        <w:t>床计算，其他的蒸气用量应根据具体情况确定。中心</w:t>
      </w:r>
      <w:r>
        <w:rPr>
          <w:spacing w:val="-3"/>
          <w:sz w:val="21"/>
        </w:rPr>
        <w:t>(</w:t>
      </w:r>
      <w:r>
        <w:rPr>
          <w:spacing w:val="-3"/>
          <w:sz w:val="21"/>
        </w:rPr>
        <w:t>消毒</w:t>
      </w:r>
      <w:r>
        <w:rPr>
          <w:spacing w:val="-3"/>
          <w:sz w:val="21"/>
        </w:rPr>
        <w:t>)</w:t>
      </w:r>
      <w:r>
        <w:rPr>
          <w:spacing w:val="-3"/>
          <w:sz w:val="21"/>
        </w:rPr>
        <w:t>供应室蒸气凝结水宜集中回收处理后，排至城市污水。</w:t>
      </w:r>
      <w:r>
        <w:rPr>
          <w:sz w:val="21"/>
        </w:rPr>
        <w:t xml:space="preserve"> </w:t>
      </w:r>
    </w:p>
    <w:p w14:paraId="4C6295B6" w14:textId="77777777" w:rsidR="00A71EEF" w:rsidRDefault="0081115D">
      <w:pPr>
        <w:pStyle w:val="a4"/>
        <w:numPr>
          <w:ilvl w:val="1"/>
          <w:numId w:val="148"/>
        </w:numPr>
        <w:tabs>
          <w:tab w:val="left" w:pos="1264"/>
        </w:tabs>
        <w:spacing w:line="267" w:lineRule="exact"/>
        <w:ind w:left="1263"/>
        <w:jc w:val="left"/>
        <w:rPr>
          <w:b/>
          <w:sz w:val="21"/>
        </w:rPr>
      </w:pPr>
      <w:r>
        <w:rPr>
          <w:spacing w:val="-8"/>
          <w:sz w:val="21"/>
        </w:rPr>
        <w:t>蒸气供应压力应符合表</w:t>
      </w:r>
      <w:r>
        <w:rPr>
          <w:spacing w:val="-8"/>
          <w:sz w:val="21"/>
        </w:rPr>
        <w:t xml:space="preserve"> </w:t>
      </w:r>
      <w:r>
        <w:rPr>
          <w:sz w:val="21"/>
        </w:rPr>
        <w:t>11.0.3</w:t>
      </w:r>
      <w:r>
        <w:rPr>
          <w:spacing w:val="-13"/>
          <w:sz w:val="21"/>
        </w:rPr>
        <w:t xml:space="preserve"> </w:t>
      </w:r>
      <w:r>
        <w:rPr>
          <w:spacing w:val="-13"/>
          <w:sz w:val="21"/>
        </w:rPr>
        <w:t>的规定。</w:t>
      </w:r>
      <w:r>
        <w:rPr>
          <w:b/>
          <w:w w:val="99"/>
          <w:sz w:val="21"/>
        </w:rPr>
        <w:t xml:space="preserve"> </w:t>
      </w:r>
    </w:p>
    <w:p w14:paraId="7D16400E" w14:textId="77777777" w:rsidR="00A71EEF" w:rsidRDefault="00A71EEF">
      <w:pPr>
        <w:pStyle w:val="a3"/>
        <w:spacing w:before="2"/>
        <w:rPr>
          <w:b/>
          <w:sz w:val="18"/>
        </w:rPr>
      </w:pPr>
    </w:p>
    <w:p w14:paraId="59A44A3A" w14:textId="77777777" w:rsidR="00A71EEF" w:rsidRDefault="0081115D">
      <w:pPr>
        <w:pStyle w:val="6"/>
        <w:spacing w:before="1"/>
        <w:ind w:right="914"/>
        <w:jc w:val="center"/>
      </w:pPr>
      <w:r>
        <w:rPr>
          <w:noProof/>
        </w:rPr>
        <w:drawing>
          <wp:anchor distT="0" distB="0" distL="0" distR="0" simplePos="0" relativeHeight="251699712" behindDoc="0" locked="0" layoutInCell="1" allowOverlap="1" wp14:anchorId="59811172" wp14:editId="478733B5">
            <wp:simplePos x="0" y="0"/>
            <wp:positionH relativeFrom="page">
              <wp:posOffset>1484630</wp:posOffset>
            </wp:positionH>
            <wp:positionV relativeFrom="paragraph">
              <wp:posOffset>250062</wp:posOffset>
            </wp:positionV>
            <wp:extent cx="4633306" cy="1019175"/>
            <wp:effectExtent l="0" t="0" r="0" b="0"/>
            <wp:wrapTopAndBottom/>
            <wp:docPr id="655" name="image3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image378.jpeg"/>
                    <pic:cNvPicPr/>
                  </pic:nvPicPr>
                  <pic:blipFill>
                    <a:blip r:embed="rId455" cstate="print"/>
                    <a:stretch>
                      <a:fillRect/>
                    </a:stretch>
                  </pic:blipFill>
                  <pic:spPr>
                    <a:xfrm>
                      <a:off x="0" y="0"/>
                      <a:ext cx="4633306" cy="1019175"/>
                    </a:xfrm>
                    <a:prstGeom prst="rect">
                      <a:avLst/>
                    </a:prstGeom>
                  </pic:spPr>
                </pic:pic>
              </a:graphicData>
            </a:graphic>
          </wp:anchor>
        </w:drawing>
      </w:r>
      <w:r>
        <w:t>表</w:t>
      </w:r>
      <w:r>
        <w:t xml:space="preserve"> 11.0.3  </w:t>
      </w:r>
      <w:r>
        <w:t>蒸气供应压力</w:t>
      </w:r>
      <w:r>
        <w:rPr>
          <w:w w:val="99"/>
        </w:rPr>
        <w:t xml:space="preserve"> </w:t>
      </w:r>
    </w:p>
    <w:p w14:paraId="0EC077B4" w14:textId="77777777" w:rsidR="00A71EEF" w:rsidRDefault="0081115D">
      <w:pPr>
        <w:pStyle w:val="a4"/>
        <w:numPr>
          <w:ilvl w:val="1"/>
          <w:numId w:val="148"/>
        </w:numPr>
        <w:tabs>
          <w:tab w:val="left" w:pos="1264"/>
        </w:tabs>
        <w:spacing w:before="179" w:line="446" w:lineRule="auto"/>
        <w:ind w:right="1505" w:firstLine="422"/>
        <w:jc w:val="left"/>
        <w:rPr>
          <w:sz w:val="21"/>
        </w:rPr>
      </w:pPr>
      <w:r>
        <w:rPr>
          <w:spacing w:val="-3"/>
          <w:sz w:val="21"/>
        </w:rPr>
        <w:t>蒸气、蒸气凝结水管道及设备应采取保温措施。有关设备、管道和附件的保温计</w:t>
      </w:r>
      <w:r>
        <w:rPr>
          <w:spacing w:val="-3"/>
          <w:sz w:val="21"/>
        </w:rPr>
        <w:t xml:space="preserve">  </w:t>
      </w:r>
      <w:r>
        <w:rPr>
          <w:spacing w:val="-3"/>
          <w:sz w:val="21"/>
        </w:rPr>
        <w:t>算、材料选择及结构要求，可按现行国家标准《设备及管道绝热技术通则》</w:t>
      </w:r>
      <w:r>
        <w:rPr>
          <w:sz w:val="21"/>
        </w:rPr>
        <w:t>GB</w:t>
      </w:r>
      <w:r>
        <w:rPr>
          <w:sz w:val="21"/>
        </w:rPr>
        <w:t>／</w:t>
      </w:r>
      <w:r>
        <w:rPr>
          <w:sz w:val="21"/>
        </w:rPr>
        <w:t>T</w:t>
      </w:r>
      <w:r>
        <w:rPr>
          <w:spacing w:val="18"/>
          <w:sz w:val="21"/>
        </w:rPr>
        <w:t xml:space="preserve"> </w:t>
      </w:r>
      <w:r>
        <w:rPr>
          <w:sz w:val="21"/>
        </w:rPr>
        <w:t>4272</w:t>
      </w:r>
      <w:r>
        <w:rPr>
          <w:spacing w:val="-2"/>
          <w:sz w:val="21"/>
        </w:rPr>
        <w:t>、《设备</w:t>
      </w:r>
      <w:r>
        <w:rPr>
          <w:spacing w:val="-3"/>
          <w:sz w:val="21"/>
        </w:rPr>
        <w:t>及管道绝热设计导则》</w:t>
      </w:r>
      <w:r>
        <w:rPr>
          <w:sz w:val="21"/>
        </w:rPr>
        <w:t>GB</w:t>
      </w:r>
      <w:r>
        <w:rPr>
          <w:sz w:val="21"/>
        </w:rPr>
        <w:t>／</w:t>
      </w:r>
      <w:r>
        <w:rPr>
          <w:sz w:val="21"/>
        </w:rPr>
        <w:t>T</w:t>
      </w:r>
      <w:r>
        <w:rPr>
          <w:spacing w:val="11"/>
          <w:sz w:val="21"/>
        </w:rPr>
        <w:t xml:space="preserve"> </w:t>
      </w:r>
      <w:r>
        <w:rPr>
          <w:sz w:val="21"/>
        </w:rPr>
        <w:t>8175</w:t>
      </w:r>
      <w:r>
        <w:rPr>
          <w:spacing w:val="-8"/>
          <w:sz w:val="21"/>
        </w:rPr>
        <w:t xml:space="preserve"> </w:t>
      </w:r>
      <w:r>
        <w:rPr>
          <w:spacing w:val="-8"/>
          <w:sz w:val="21"/>
        </w:rPr>
        <w:t>和《工业设备及管道绝热工程设计规范》</w:t>
      </w:r>
      <w:r>
        <w:rPr>
          <w:sz w:val="21"/>
        </w:rPr>
        <w:t>GB</w:t>
      </w:r>
      <w:r>
        <w:rPr>
          <w:spacing w:val="12"/>
          <w:sz w:val="21"/>
        </w:rPr>
        <w:t xml:space="preserve"> </w:t>
      </w:r>
      <w:r>
        <w:rPr>
          <w:sz w:val="21"/>
        </w:rPr>
        <w:t>50264</w:t>
      </w:r>
      <w:r>
        <w:rPr>
          <w:spacing w:val="-12"/>
          <w:sz w:val="21"/>
        </w:rPr>
        <w:t xml:space="preserve"> </w:t>
      </w:r>
      <w:r>
        <w:rPr>
          <w:spacing w:val="-12"/>
          <w:sz w:val="21"/>
        </w:rPr>
        <w:t>的有关规</w:t>
      </w:r>
      <w:r>
        <w:rPr>
          <w:spacing w:val="-6"/>
          <w:sz w:val="21"/>
        </w:rPr>
        <w:t>定设计。</w:t>
      </w:r>
      <w:r>
        <w:rPr>
          <w:sz w:val="21"/>
        </w:rPr>
        <w:t xml:space="preserve"> </w:t>
      </w:r>
    </w:p>
    <w:p w14:paraId="08BCE5B2" w14:textId="77777777" w:rsidR="00A71EEF" w:rsidRDefault="00A71EEF">
      <w:pPr>
        <w:pStyle w:val="a3"/>
        <w:rPr>
          <w:sz w:val="20"/>
        </w:rPr>
      </w:pPr>
    </w:p>
    <w:p w14:paraId="51C4A512" w14:textId="77777777" w:rsidR="00A71EEF" w:rsidRDefault="00A71EEF">
      <w:pPr>
        <w:pStyle w:val="a3"/>
        <w:rPr>
          <w:sz w:val="20"/>
        </w:rPr>
      </w:pPr>
    </w:p>
    <w:p w14:paraId="7FFD8159" w14:textId="77777777" w:rsidR="00A71EEF" w:rsidRDefault="00A71EEF">
      <w:pPr>
        <w:pStyle w:val="a3"/>
        <w:rPr>
          <w:sz w:val="20"/>
        </w:rPr>
      </w:pPr>
    </w:p>
    <w:p w14:paraId="3B581D0E" w14:textId="77777777" w:rsidR="00A71EEF" w:rsidRDefault="00A71EEF">
      <w:pPr>
        <w:pStyle w:val="a3"/>
        <w:rPr>
          <w:sz w:val="20"/>
        </w:rPr>
      </w:pPr>
    </w:p>
    <w:p w14:paraId="3E5F8751" w14:textId="77777777" w:rsidR="00A71EEF" w:rsidRDefault="00A71EEF">
      <w:pPr>
        <w:pStyle w:val="a3"/>
        <w:rPr>
          <w:sz w:val="20"/>
        </w:rPr>
      </w:pPr>
    </w:p>
    <w:p w14:paraId="71D6F11C" w14:textId="77777777" w:rsidR="00A71EEF" w:rsidRDefault="00A71EEF">
      <w:pPr>
        <w:pStyle w:val="a3"/>
        <w:rPr>
          <w:sz w:val="20"/>
        </w:rPr>
      </w:pPr>
    </w:p>
    <w:p w14:paraId="5DECB256" w14:textId="77777777" w:rsidR="00A71EEF" w:rsidRDefault="00A71EEF">
      <w:pPr>
        <w:pStyle w:val="a3"/>
        <w:rPr>
          <w:sz w:val="20"/>
        </w:rPr>
      </w:pPr>
    </w:p>
    <w:p w14:paraId="5C826E20" w14:textId="77777777" w:rsidR="00A71EEF" w:rsidRDefault="00A71EEF">
      <w:pPr>
        <w:pStyle w:val="a3"/>
        <w:rPr>
          <w:sz w:val="20"/>
        </w:rPr>
      </w:pPr>
    </w:p>
    <w:p w14:paraId="12C79626" w14:textId="77777777" w:rsidR="00A71EEF" w:rsidRDefault="00A71EEF">
      <w:pPr>
        <w:pStyle w:val="a3"/>
        <w:rPr>
          <w:sz w:val="20"/>
        </w:rPr>
      </w:pPr>
    </w:p>
    <w:p w14:paraId="0DD7DF16" w14:textId="77777777" w:rsidR="00A71EEF" w:rsidRDefault="00A71EEF">
      <w:pPr>
        <w:pStyle w:val="a3"/>
        <w:rPr>
          <w:sz w:val="20"/>
        </w:rPr>
      </w:pPr>
    </w:p>
    <w:p w14:paraId="2D961A12" w14:textId="77777777" w:rsidR="00A71EEF" w:rsidRDefault="00A71EEF">
      <w:pPr>
        <w:pStyle w:val="a3"/>
        <w:spacing w:before="5"/>
        <w:rPr>
          <w:sz w:val="28"/>
        </w:rPr>
      </w:pPr>
    </w:p>
    <w:p w14:paraId="7272FE86" w14:textId="77777777" w:rsidR="00A71EEF" w:rsidRDefault="0081115D">
      <w:pPr>
        <w:pStyle w:val="a3"/>
        <w:spacing w:before="72"/>
        <w:ind w:left="838"/>
      </w:pPr>
      <w:r>
        <w:t xml:space="preserve"> </w:t>
      </w:r>
    </w:p>
    <w:p w14:paraId="409B60A7" w14:textId="77777777" w:rsidR="00A71EEF" w:rsidRDefault="00A71EEF">
      <w:pPr>
        <w:sectPr w:rsidR="00A71EEF">
          <w:pgSz w:w="11910" w:h="16850"/>
          <w:pgMar w:top="1220" w:right="0" w:bottom="1420" w:left="1260" w:header="0" w:footer="1239" w:gutter="0"/>
          <w:cols w:space="720"/>
        </w:sectPr>
      </w:pPr>
    </w:p>
    <w:p w14:paraId="23D7B7D1" w14:textId="77777777" w:rsidR="00A71EEF" w:rsidRDefault="00A71EEF">
      <w:pPr>
        <w:pStyle w:val="a3"/>
        <w:rPr>
          <w:sz w:val="20"/>
        </w:rPr>
      </w:pPr>
    </w:p>
    <w:p w14:paraId="25B39BE7" w14:textId="77777777" w:rsidR="00A71EEF" w:rsidRDefault="00A71EEF">
      <w:pPr>
        <w:pStyle w:val="a3"/>
        <w:rPr>
          <w:sz w:val="20"/>
        </w:rPr>
      </w:pPr>
    </w:p>
    <w:p w14:paraId="7670B1A0" w14:textId="77777777" w:rsidR="00A71EEF" w:rsidRDefault="00A71EEF">
      <w:pPr>
        <w:pStyle w:val="a3"/>
        <w:rPr>
          <w:sz w:val="20"/>
        </w:rPr>
      </w:pPr>
    </w:p>
    <w:p w14:paraId="5C5B369E" w14:textId="77777777" w:rsidR="00A71EEF" w:rsidRDefault="00A71EEF">
      <w:pPr>
        <w:pStyle w:val="a3"/>
        <w:rPr>
          <w:sz w:val="20"/>
        </w:rPr>
      </w:pPr>
    </w:p>
    <w:p w14:paraId="324B3007" w14:textId="77777777" w:rsidR="00A71EEF" w:rsidRDefault="00A71EEF">
      <w:pPr>
        <w:pStyle w:val="a3"/>
        <w:rPr>
          <w:sz w:val="20"/>
        </w:rPr>
      </w:pPr>
    </w:p>
    <w:p w14:paraId="097E5436" w14:textId="77777777" w:rsidR="00A71EEF" w:rsidRDefault="00A71EEF">
      <w:pPr>
        <w:pStyle w:val="a3"/>
        <w:rPr>
          <w:sz w:val="20"/>
        </w:rPr>
      </w:pPr>
    </w:p>
    <w:p w14:paraId="4E716306" w14:textId="77777777" w:rsidR="00A71EEF" w:rsidRDefault="00A71EEF">
      <w:pPr>
        <w:pStyle w:val="a3"/>
        <w:rPr>
          <w:sz w:val="20"/>
        </w:rPr>
      </w:pPr>
    </w:p>
    <w:p w14:paraId="6EF0BAFD" w14:textId="77777777" w:rsidR="00A71EEF" w:rsidRDefault="00A71EEF">
      <w:pPr>
        <w:pStyle w:val="a3"/>
        <w:rPr>
          <w:sz w:val="20"/>
        </w:rPr>
      </w:pPr>
    </w:p>
    <w:p w14:paraId="244265A3" w14:textId="77777777" w:rsidR="00A71EEF" w:rsidRDefault="00A71EEF">
      <w:pPr>
        <w:pStyle w:val="a3"/>
        <w:rPr>
          <w:sz w:val="20"/>
        </w:rPr>
      </w:pPr>
    </w:p>
    <w:p w14:paraId="2241DD15" w14:textId="77777777" w:rsidR="00A71EEF" w:rsidRDefault="00A71EEF">
      <w:pPr>
        <w:pStyle w:val="a3"/>
        <w:rPr>
          <w:sz w:val="20"/>
        </w:rPr>
      </w:pPr>
    </w:p>
    <w:p w14:paraId="53CB3150" w14:textId="77777777" w:rsidR="00A71EEF" w:rsidRDefault="00A71EEF">
      <w:pPr>
        <w:pStyle w:val="a3"/>
        <w:rPr>
          <w:sz w:val="20"/>
        </w:rPr>
      </w:pPr>
    </w:p>
    <w:p w14:paraId="352FBD3A" w14:textId="77777777" w:rsidR="00A71EEF" w:rsidRDefault="00A71EEF">
      <w:pPr>
        <w:pStyle w:val="a3"/>
        <w:rPr>
          <w:sz w:val="20"/>
        </w:rPr>
      </w:pPr>
    </w:p>
    <w:p w14:paraId="037B3AE2" w14:textId="77777777" w:rsidR="00A71EEF" w:rsidRDefault="00A71EEF">
      <w:pPr>
        <w:pStyle w:val="a3"/>
        <w:rPr>
          <w:sz w:val="20"/>
        </w:rPr>
      </w:pPr>
    </w:p>
    <w:p w14:paraId="298E974A" w14:textId="77777777" w:rsidR="00A71EEF" w:rsidRDefault="00A71EEF">
      <w:pPr>
        <w:pStyle w:val="a3"/>
        <w:rPr>
          <w:sz w:val="20"/>
        </w:rPr>
      </w:pPr>
    </w:p>
    <w:p w14:paraId="5E4ECBA5" w14:textId="77777777" w:rsidR="00A71EEF" w:rsidRDefault="00A71EEF">
      <w:pPr>
        <w:pStyle w:val="a3"/>
        <w:rPr>
          <w:sz w:val="20"/>
        </w:rPr>
      </w:pPr>
    </w:p>
    <w:p w14:paraId="0FE76A03" w14:textId="77777777" w:rsidR="00A71EEF" w:rsidRDefault="00A71EEF">
      <w:pPr>
        <w:pStyle w:val="a3"/>
        <w:rPr>
          <w:sz w:val="20"/>
        </w:rPr>
      </w:pPr>
    </w:p>
    <w:p w14:paraId="3BDAAC3D" w14:textId="77777777" w:rsidR="00A71EEF" w:rsidRDefault="00A71EEF">
      <w:pPr>
        <w:pStyle w:val="a3"/>
        <w:rPr>
          <w:sz w:val="20"/>
        </w:rPr>
      </w:pPr>
    </w:p>
    <w:p w14:paraId="4F0E6E03" w14:textId="77777777" w:rsidR="00A71EEF" w:rsidRDefault="00A71EEF">
      <w:pPr>
        <w:pStyle w:val="a3"/>
        <w:rPr>
          <w:sz w:val="20"/>
        </w:rPr>
      </w:pPr>
    </w:p>
    <w:bookmarkStart w:id="30" w:name="_bookmark30"/>
    <w:bookmarkEnd w:id="30"/>
    <w:p w14:paraId="779F385C" w14:textId="77777777" w:rsidR="00A71EEF" w:rsidRDefault="0081115D">
      <w:pPr>
        <w:pStyle w:val="2"/>
        <w:spacing w:before="306"/>
        <w:ind w:right="798"/>
        <w:rPr>
          <w:sz w:val="44"/>
        </w:rPr>
      </w:pPr>
      <w:r>
        <w:fldChar w:fldCharType="begin"/>
      </w:r>
      <w:r>
        <w:instrText xml:space="preserve"> HYPERLINK "http://www.zzguifan.com/webarbs/book/68325/1318208.shtml" \h </w:instrText>
      </w:r>
      <w:r>
        <w:fldChar w:fldCharType="separate"/>
      </w:r>
      <w:r>
        <w:t>防火卷帘、防火门、防火窗施工及验收规范</w:t>
      </w:r>
      <w:r>
        <w:fldChar w:fldCharType="end"/>
      </w:r>
      <w:r>
        <w:rPr>
          <w:w w:val="99"/>
          <w:sz w:val="44"/>
        </w:rPr>
        <w:t xml:space="preserve"> </w:t>
      </w:r>
    </w:p>
    <w:p w14:paraId="3242285E" w14:textId="77777777" w:rsidR="00A71EEF" w:rsidRDefault="00A71EEF">
      <w:pPr>
        <w:pStyle w:val="a3"/>
        <w:rPr>
          <w:b/>
          <w:sz w:val="20"/>
        </w:rPr>
      </w:pPr>
    </w:p>
    <w:p w14:paraId="2F137D3C" w14:textId="77777777" w:rsidR="00A71EEF" w:rsidRDefault="00A71EEF">
      <w:pPr>
        <w:pStyle w:val="a3"/>
        <w:spacing w:before="4"/>
        <w:rPr>
          <w:b/>
          <w:sz w:val="14"/>
        </w:rPr>
      </w:pPr>
    </w:p>
    <w:p w14:paraId="19B82D88" w14:textId="77777777" w:rsidR="00A71EEF" w:rsidRDefault="0081115D">
      <w:pPr>
        <w:pStyle w:val="4"/>
        <w:spacing w:before="66"/>
      </w:pPr>
      <w:r>
        <w:t xml:space="preserve">1 </w:t>
      </w:r>
      <w:r>
        <w:t>总则</w:t>
      </w:r>
      <w:r>
        <w:rPr>
          <w:w w:val="99"/>
        </w:rPr>
        <w:t xml:space="preserve"> </w:t>
      </w:r>
    </w:p>
    <w:p w14:paraId="49B77FDD" w14:textId="77777777" w:rsidR="00A71EEF" w:rsidRDefault="00A71EEF">
      <w:pPr>
        <w:pStyle w:val="a3"/>
        <w:spacing w:before="4"/>
        <w:rPr>
          <w:b/>
          <w:sz w:val="17"/>
        </w:rPr>
      </w:pPr>
    </w:p>
    <w:p w14:paraId="1FB129BD" w14:textId="77777777" w:rsidR="00A71EEF" w:rsidRDefault="0081115D">
      <w:pPr>
        <w:pStyle w:val="a4"/>
        <w:numPr>
          <w:ilvl w:val="1"/>
          <w:numId w:val="147"/>
        </w:numPr>
        <w:tabs>
          <w:tab w:val="left" w:pos="1160"/>
        </w:tabs>
        <w:spacing w:line="446" w:lineRule="auto"/>
        <w:ind w:right="1577" w:firstLine="422"/>
        <w:rPr>
          <w:sz w:val="21"/>
        </w:rPr>
      </w:pPr>
      <w:r>
        <w:rPr>
          <w:spacing w:val="-8"/>
          <w:sz w:val="21"/>
        </w:rPr>
        <w:t>为保证防火卷帘、防火门、防火窗工程的施工质量和使用功能，减少火灾危害，保护人</w:t>
      </w:r>
      <w:r>
        <w:rPr>
          <w:spacing w:val="-7"/>
          <w:sz w:val="21"/>
        </w:rPr>
        <w:t>身和财产安全，制定本规范。</w:t>
      </w:r>
      <w:r>
        <w:rPr>
          <w:sz w:val="21"/>
        </w:rPr>
        <w:t xml:space="preserve"> </w:t>
      </w:r>
    </w:p>
    <w:p w14:paraId="6A9AF313" w14:textId="77777777" w:rsidR="00A71EEF" w:rsidRDefault="0081115D">
      <w:pPr>
        <w:pStyle w:val="a4"/>
        <w:numPr>
          <w:ilvl w:val="1"/>
          <w:numId w:val="147"/>
        </w:numPr>
        <w:tabs>
          <w:tab w:val="left" w:pos="1159"/>
        </w:tabs>
        <w:spacing w:before="17"/>
        <w:ind w:left="1158" w:hanging="319"/>
        <w:rPr>
          <w:sz w:val="21"/>
        </w:rPr>
      </w:pPr>
      <w:r>
        <w:rPr>
          <w:spacing w:val="-8"/>
          <w:sz w:val="21"/>
        </w:rPr>
        <w:t>本规范适用于新建、扩建、改建工程中设置的防火卷帘、防火门、防火窗的施工、验</w:t>
      </w:r>
      <w:r>
        <w:rPr>
          <w:sz w:val="21"/>
        </w:rPr>
        <w:t xml:space="preserve"> </w:t>
      </w:r>
    </w:p>
    <w:p w14:paraId="556C21AD" w14:textId="77777777" w:rsidR="00A71EEF" w:rsidRDefault="00A71EEF">
      <w:pPr>
        <w:pStyle w:val="a3"/>
        <w:spacing w:before="2"/>
        <w:rPr>
          <w:sz w:val="18"/>
        </w:rPr>
      </w:pPr>
    </w:p>
    <w:p w14:paraId="3054DAC4" w14:textId="77777777" w:rsidR="00A71EEF" w:rsidRDefault="0081115D">
      <w:pPr>
        <w:pStyle w:val="a3"/>
        <w:tabs>
          <w:tab w:val="left" w:pos="2220"/>
        </w:tabs>
        <w:ind w:left="418"/>
      </w:pPr>
      <w:r>
        <w:t>收</w:t>
      </w:r>
      <w:r>
        <w:rPr>
          <w:spacing w:val="-3"/>
        </w:rPr>
        <w:t>及</w:t>
      </w:r>
      <w:r>
        <w:rPr>
          <w:spacing w:val="-5"/>
        </w:rPr>
        <w:t>维</w:t>
      </w:r>
      <w:r>
        <w:rPr>
          <w:spacing w:val="-3"/>
        </w:rPr>
        <w:t>护</w:t>
      </w:r>
      <w:r>
        <w:rPr>
          <w:spacing w:val="-8"/>
        </w:rPr>
        <w:t>管</w:t>
      </w:r>
      <w:r>
        <w:t>理</w:t>
      </w:r>
      <w:r>
        <w:rPr>
          <w:spacing w:val="-3"/>
        </w:rPr>
        <w:t>。</w:t>
      </w:r>
      <w:r>
        <w:t xml:space="preserve"> </w:t>
      </w:r>
      <w:r>
        <w:tab/>
      </w:r>
      <w:hyperlink r:id="rId456" w:anchor="102">
        <w:r>
          <w:rPr>
            <w:color w:val="DDD9C3"/>
            <w:spacing w:val="-8"/>
            <w:u w:val="single" w:color="DDD9C3"/>
          </w:rPr>
          <w:t xml:space="preserve"> </w:t>
        </w:r>
      </w:hyperlink>
      <w:r>
        <w:t xml:space="preserve"> </w:t>
      </w:r>
    </w:p>
    <w:p w14:paraId="425960C7" w14:textId="77777777" w:rsidR="00A71EEF" w:rsidRDefault="00A71EEF">
      <w:pPr>
        <w:pStyle w:val="a3"/>
        <w:spacing w:before="11"/>
        <w:rPr>
          <w:sz w:val="13"/>
        </w:rPr>
      </w:pPr>
    </w:p>
    <w:p w14:paraId="79E28862" w14:textId="77777777" w:rsidR="00A71EEF" w:rsidRDefault="0081115D">
      <w:pPr>
        <w:pStyle w:val="a4"/>
        <w:numPr>
          <w:ilvl w:val="1"/>
          <w:numId w:val="147"/>
        </w:numPr>
        <w:tabs>
          <w:tab w:val="left" w:pos="1159"/>
        </w:tabs>
        <w:spacing w:before="72" w:line="446" w:lineRule="auto"/>
        <w:ind w:right="1575" w:firstLine="422"/>
        <w:rPr>
          <w:sz w:val="21"/>
        </w:rPr>
      </w:pPr>
      <w:r>
        <w:rPr>
          <w:spacing w:val="-8"/>
          <w:sz w:val="21"/>
        </w:rPr>
        <w:t>防火卷帘、防火门、防火窗的施工及验收中采用的工程技术文件、承包合同文件等文件中对施工及验收的要求，不应低于本规范的规定。</w:t>
      </w:r>
      <w:r>
        <w:rPr>
          <w:spacing w:val="-8"/>
          <w:sz w:val="21"/>
        </w:rPr>
        <w:t xml:space="preserve"> </w:t>
      </w:r>
    </w:p>
    <w:p w14:paraId="02970C7E" w14:textId="77777777" w:rsidR="00A71EEF" w:rsidRDefault="0081115D">
      <w:pPr>
        <w:pStyle w:val="a4"/>
        <w:numPr>
          <w:ilvl w:val="1"/>
          <w:numId w:val="147"/>
        </w:numPr>
        <w:tabs>
          <w:tab w:val="left" w:pos="1159"/>
        </w:tabs>
        <w:spacing w:before="24"/>
        <w:ind w:left="1158" w:hanging="319"/>
        <w:rPr>
          <w:sz w:val="21"/>
        </w:rPr>
      </w:pPr>
      <w:r>
        <w:rPr>
          <w:spacing w:val="-8"/>
          <w:sz w:val="21"/>
        </w:rPr>
        <w:t>防火卷帘、防火门、防火窗工程的施工、验收及维护管理，除应符合木规范外，尚应</w:t>
      </w:r>
      <w:r>
        <w:rPr>
          <w:sz w:val="21"/>
        </w:rPr>
        <w:t xml:space="preserve"> </w:t>
      </w:r>
    </w:p>
    <w:p w14:paraId="77C6FF08" w14:textId="77777777" w:rsidR="00A71EEF" w:rsidRDefault="00A71EEF">
      <w:pPr>
        <w:pStyle w:val="a3"/>
        <w:spacing w:before="2"/>
        <w:rPr>
          <w:sz w:val="18"/>
        </w:rPr>
      </w:pPr>
    </w:p>
    <w:p w14:paraId="2832DE21" w14:textId="77777777" w:rsidR="00A71EEF" w:rsidRDefault="0081115D">
      <w:pPr>
        <w:pStyle w:val="a3"/>
        <w:ind w:left="418"/>
      </w:pPr>
      <w:r>
        <w:t>符合国家现行有关标准的规定。</w:t>
      </w:r>
      <w:r>
        <w:t xml:space="preserve"> </w:t>
      </w:r>
    </w:p>
    <w:p w14:paraId="42806B15" w14:textId="77777777" w:rsidR="00A71EEF" w:rsidRDefault="00A71EEF">
      <w:pPr>
        <w:pStyle w:val="a3"/>
        <w:spacing w:before="8"/>
        <w:rPr>
          <w:sz w:val="15"/>
        </w:rPr>
      </w:pPr>
    </w:p>
    <w:p w14:paraId="5398EF53" w14:textId="77777777" w:rsidR="00A71EEF" w:rsidRDefault="0081115D">
      <w:pPr>
        <w:pStyle w:val="4"/>
      </w:pPr>
      <w:r>
        <w:t xml:space="preserve">2 </w:t>
      </w:r>
      <w:r>
        <w:t>术语</w:t>
      </w:r>
      <w:r>
        <w:rPr>
          <w:w w:val="99"/>
        </w:rPr>
        <w:t xml:space="preserve"> </w:t>
      </w:r>
    </w:p>
    <w:p w14:paraId="2D22362B" w14:textId="77777777" w:rsidR="00A71EEF" w:rsidRDefault="00A71EEF">
      <w:pPr>
        <w:pStyle w:val="a3"/>
        <w:spacing w:before="4"/>
        <w:rPr>
          <w:b/>
          <w:sz w:val="17"/>
        </w:rPr>
      </w:pPr>
    </w:p>
    <w:p w14:paraId="1484E27F" w14:textId="77777777" w:rsidR="00A71EEF" w:rsidRDefault="0081115D">
      <w:pPr>
        <w:pStyle w:val="a3"/>
        <w:ind w:left="838"/>
      </w:pPr>
      <w:r>
        <w:t>防火卷帘</w:t>
      </w:r>
      <w:r>
        <w:t xml:space="preserve"> fire resistant shutter </w:t>
      </w:r>
    </w:p>
    <w:p w14:paraId="48F1D191" w14:textId="77777777" w:rsidR="00A71EEF" w:rsidRDefault="00A71EEF">
      <w:pPr>
        <w:pStyle w:val="a3"/>
        <w:spacing w:before="1"/>
        <w:rPr>
          <w:sz w:val="19"/>
        </w:rPr>
      </w:pPr>
    </w:p>
    <w:p w14:paraId="000180B2" w14:textId="77777777" w:rsidR="00A71EEF" w:rsidRDefault="0081115D">
      <w:pPr>
        <w:pStyle w:val="a3"/>
        <w:spacing w:line="472" w:lineRule="auto"/>
        <w:ind w:left="838" w:right="3493" w:hanging="12"/>
      </w:pPr>
      <w:r>
        <w:rPr>
          <w:spacing w:val="-8"/>
        </w:rPr>
        <w:t>在一定时间内，连同框架能满足耐火完整性、隔热性等要求的卷帘。</w:t>
      </w:r>
      <w:r>
        <w:rPr>
          <w:spacing w:val="-5"/>
        </w:rPr>
        <w:t>钢质防火卷帘</w:t>
      </w:r>
      <w:r>
        <w:rPr>
          <w:spacing w:val="-5"/>
        </w:rPr>
        <w:t xml:space="preserve"> </w:t>
      </w:r>
      <w:r>
        <w:t xml:space="preserve">steel </w:t>
      </w:r>
      <w:r>
        <w:rPr>
          <w:spacing w:val="-3"/>
        </w:rPr>
        <w:t>fire</w:t>
      </w:r>
      <w:r>
        <w:t xml:space="preserve"> resistant shutter </w:t>
      </w:r>
    </w:p>
    <w:p w14:paraId="54B2D80C" w14:textId="77777777" w:rsidR="00A71EEF" w:rsidRDefault="0081115D">
      <w:pPr>
        <w:pStyle w:val="a3"/>
        <w:spacing w:line="251" w:lineRule="exact"/>
        <w:ind w:left="826"/>
      </w:pPr>
      <w:r>
        <w:t>用钢质材料做帘板、导轨、座板、门帽、箱体等，并配以卷门机和控制箱的防火卷帘。</w:t>
      </w:r>
      <w:r>
        <w:t xml:space="preserve"> </w:t>
      </w:r>
    </w:p>
    <w:p w14:paraId="6C1724B7" w14:textId="77777777" w:rsidR="00A71EEF" w:rsidRDefault="00A71EEF">
      <w:pPr>
        <w:pStyle w:val="a3"/>
        <w:spacing w:before="7"/>
        <w:rPr>
          <w:sz w:val="20"/>
        </w:rPr>
      </w:pPr>
    </w:p>
    <w:p w14:paraId="4EE87ECF" w14:textId="77777777" w:rsidR="00A71EEF" w:rsidRDefault="0081115D">
      <w:pPr>
        <w:pStyle w:val="a3"/>
        <w:spacing w:before="1"/>
        <w:ind w:left="838"/>
      </w:pPr>
      <w:r>
        <w:t>无机纤维复合防火卷帘</w:t>
      </w:r>
      <w:r>
        <w:t xml:space="preserve"> mineral fiber composites fire resistant shutter </w:t>
      </w:r>
    </w:p>
    <w:p w14:paraId="4855AEA1" w14:textId="77777777" w:rsidR="00A71EEF" w:rsidRDefault="00A71EEF">
      <w:pPr>
        <w:sectPr w:rsidR="00A71EEF">
          <w:pgSz w:w="11910" w:h="16850"/>
          <w:pgMar w:top="1600" w:right="0" w:bottom="1420" w:left="1260" w:header="0" w:footer="1239" w:gutter="0"/>
          <w:cols w:space="720"/>
        </w:sectPr>
      </w:pPr>
    </w:p>
    <w:p w14:paraId="1A1931C1" w14:textId="77777777" w:rsidR="00A71EEF" w:rsidRDefault="0081115D">
      <w:pPr>
        <w:pStyle w:val="a3"/>
        <w:spacing w:before="45" w:line="448" w:lineRule="auto"/>
        <w:ind w:left="418" w:right="1510" w:firstLine="407"/>
      </w:pPr>
      <w:r>
        <w:rPr>
          <w:spacing w:val="-7"/>
        </w:rPr>
        <w:t>用无机纤维材料做帘</w:t>
      </w:r>
      <w:r>
        <w:rPr>
          <w:spacing w:val="-130"/>
        </w:rPr>
        <w:t>面</w:t>
      </w:r>
      <w:r>
        <w:rPr>
          <w:spacing w:val="-3"/>
        </w:rPr>
        <w:t>（</w:t>
      </w:r>
      <w:r>
        <w:rPr>
          <w:spacing w:val="-8"/>
        </w:rPr>
        <w:t>内配不锈钢丝或不锈钢丝绳</w:t>
      </w:r>
      <w:r>
        <w:rPr>
          <w:spacing w:val="-170"/>
        </w:rPr>
        <w:t>）</w:t>
      </w:r>
      <w:r>
        <w:rPr>
          <w:spacing w:val="-28"/>
        </w:rPr>
        <w:t>，用钢质材料做夹板、导轨、座板、</w:t>
      </w:r>
      <w:r>
        <w:rPr>
          <w:spacing w:val="-28"/>
        </w:rPr>
        <w:t xml:space="preserve"> </w:t>
      </w:r>
      <w:r>
        <w:rPr>
          <w:spacing w:val="-28"/>
        </w:rPr>
        <w:t>门楣、</w:t>
      </w:r>
      <w:r>
        <w:rPr>
          <w:spacing w:val="-9"/>
        </w:rPr>
        <w:t>箱体等，并配以卷门机和控制箱的防火卷帘。</w:t>
      </w:r>
      <w:r>
        <w:t xml:space="preserve"> </w:t>
      </w:r>
    </w:p>
    <w:p w14:paraId="539675BB" w14:textId="77777777" w:rsidR="00A71EEF" w:rsidRDefault="0081115D">
      <w:pPr>
        <w:pStyle w:val="a3"/>
        <w:spacing w:before="4"/>
        <w:ind w:left="838"/>
      </w:pPr>
      <w:r>
        <w:t>防火门</w:t>
      </w:r>
      <w:r>
        <w:t xml:space="preserve"> fire resistant doorset </w:t>
      </w:r>
    </w:p>
    <w:p w14:paraId="4E2F5EC0" w14:textId="77777777" w:rsidR="00A71EEF" w:rsidRDefault="00A71EEF">
      <w:pPr>
        <w:pStyle w:val="a3"/>
        <w:spacing w:before="4"/>
        <w:rPr>
          <w:sz w:val="19"/>
        </w:rPr>
      </w:pPr>
    </w:p>
    <w:p w14:paraId="0A52C119" w14:textId="77777777" w:rsidR="00A71EEF" w:rsidRDefault="0081115D">
      <w:pPr>
        <w:pStyle w:val="a3"/>
        <w:spacing w:line="470" w:lineRule="auto"/>
        <w:ind w:left="838" w:right="3704" w:hanging="12"/>
      </w:pPr>
      <w:r>
        <w:rPr>
          <w:spacing w:val="-8"/>
        </w:rPr>
        <w:t>在一定时间内，连同框架能满足耐火完整性、隔热性等要求的门。</w:t>
      </w:r>
      <w:r>
        <w:rPr>
          <w:spacing w:val="-3"/>
        </w:rPr>
        <w:t>防火窗</w:t>
      </w:r>
      <w:r>
        <w:rPr>
          <w:spacing w:val="-3"/>
        </w:rPr>
        <w:t xml:space="preserve"> </w:t>
      </w:r>
      <w:r>
        <w:t xml:space="preserve">fire resistant window </w:t>
      </w:r>
    </w:p>
    <w:p w14:paraId="23C68B4A" w14:textId="77777777" w:rsidR="00A71EEF" w:rsidRDefault="0081115D">
      <w:pPr>
        <w:pStyle w:val="a3"/>
        <w:spacing w:line="472" w:lineRule="auto"/>
        <w:ind w:left="838" w:right="3704" w:hanging="12"/>
      </w:pPr>
      <w:r>
        <w:rPr>
          <w:spacing w:val="-8"/>
        </w:rPr>
        <w:t>在一定时间内，连同框架能满足耐火完整性、隔热性等要求的窗。</w:t>
      </w:r>
      <w:r>
        <w:rPr>
          <w:spacing w:val="-5"/>
        </w:rPr>
        <w:t>固定式防火窗</w:t>
      </w:r>
      <w:r>
        <w:rPr>
          <w:spacing w:val="-5"/>
        </w:rPr>
        <w:t xml:space="preserve"> </w:t>
      </w:r>
      <w:r>
        <w:t>fixed</w:t>
      </w:r>
      <w:r>
        <w:rPr>
          <w:spacing w:val="-3"/>
        </w:rPr>
        <w:t xml:space="preserve"> style </w:t>
      </w:r>
      <w:r>
        <w:t xml:space="preserve">fire window </w:t>
      </w:r>
    </w:p>
    <w:p w14:paraId="12DA59FF" w14:textId="77777777" w:rsidR="00A71EEF" w:rsidRDefault="0081115D">
      <w:pPr>
        <w:pStyle w:val="a3"/>
        <w:spacing w:line="254" w:lineRule="exact"/>
        <w:ind w:left="826"/>
      </w:pPr>
      <w:r>
        <w:t>无可开启窗扇的防火窗。</w:t>
      </w:r>
      <w:r>
        <w:t xml:space="preserve"> </w:t>
      </w:r>
    </w:p>
    <w:p w14:paraId="5DBB4362" w14:textId="77777777" w:rsidR="00A71EEF" w:rsidRDefault="00A71EEF">
      <w:pPr>
        <w:pStyle w:val="a3"/>
        <w:spacing w:before="7"/>
        <w:rPr>
          <w:sz w:val="19"/>
        </w:rPr>
      </w:pPr>
    </w:p>
    <w:p w14:paraId="7414E5D5" w14:textId="77777777" w:rsidR="00A71EEF" w:rsidRDefault="0081115D">
      <w:pPr>
        <w:pStyle w:val="a3"/>
        <w:spacing w:line="465" w:lineRule="auto"/>
        <w:ind w:left="826" w:right="4736" w:firstLine="12"/>
      </w:pPr>
      <w:r>
        <w:rPr>
          <w:spacing w:val="2"/>
        </w:rPr>
        <w:t>活动式防火窗</w:t>
      </w:r>
      <w:r>
        <w:rPr>
          <w:spacing w:val="2"/>
        </w:rPr>
        <w:t xml:space="preserve"> </w:t>
      </w:r>
      <w:r>
        <w:rPr>
          <w:spacing w:val="-3"/>
        </w:rPr>
        <w:t>automatic</w:t>
      </w:r>
      <w:r>
        <w:rPr>
          <w:spacing w:val="47"/>
        </w:rPr>
        <w:t xml:space="preserve"> </w:t>
      </w:r>
      <w:r>
        <w:t>controlled</w:t>
      </w:r>
      <w:r>
        <w:rPr>
          <w:spacing w:val="49"/>
        </w:rPr>
        <w:t xml:space="preserve"> </w:t>
      </w:r>
      <w:r>
        <w:t>fire</w:t>
      </w:r>
      <w:r>
        <w:rPr>
          <w:spacing w:val="50"/>
        </w:rPr>
        <w:t xml:space="preserve"> </w:t>
      </w:r>
      <w:r>
        <w:t xml:space="preserve">window </w:t>
      </w:r>
      <w:r>
        <w:rPr>
          <w:spacing w:val="-8"/>
        </w:rPr>
        <w:t>有可开启窗扇，且装配有窗扇启闭控制装置的防火窗。</w:t>
      </w:r>
      <w:r>
        <w:rPr>
          <w:spacing w:val="-5"/>
        </w:rPr>
        <w:t>温控释放装置</w:t>
      </w:r>
      <w:r>
        <w:rPr>
          <w:spacing w:val="-5"/>
        </w:rPr>
        <w:t xml:space="preserve"> </w:t>
      </w:r>
      <w:r>
        <w:rPr>
          <w:spacing w:val="-3"/>
        </w:rPr>
        <w:t>thermal</w:t>
      </w:r>
      <w:r>
        <w:rPr>
          <w:spacing w:val="1"/>
        </w:rPr>
        <w:t xml:space="preserve"> </w:t>
      </w:r>
      <w:r>
        <w:t>release</w:t>
      </w:r>
      <w:r>
        <w:rPr>
          <w:spacing w:val="1"/>
        </w:rPr>
        <w:t xml:space="preserve"> </w:t>
      </w:r>
      <w:r>
        <w:t xml:space="preserve">device </w:t>
      </w:r>
    </w:p>
    <w:p w14:paraId="60C21769" w14:textId="77777777" w:rsidR="00A71EEF" w:rsidRDefault="0081115D">
      <w:pPr>
        <w:pStyle w:val="a3"/>
        <w:spacing w:line="246" w:lineRule="exact"/>
        <w:ind w:left="838"/>
      </w:pPr>
      <w:r>
        <w:t>利用动作温度为</w:t>
      </w:r>
      <w:r>
        <w:t xml:space="preserve"> 73℃±0.5℃</w:t>
      </w:r>
      <w:r>
        <w:t>的感温元件控制防火卷帘或防火窗依靠自重下降或关闭的</w:t>
      </w:r>
      <w:r>
        <w:t xml:space="preserve"> </w:t>
      </w:r>
    </w:p>
    <w:p w14:paraId="1108FAE1" w14:textId="77777777" w:rsidR="00A71EEF" w:rsidRDefault="00A71EEF">
      <w:pPr>
        <w:pStyle w:val="a3"/>
        <w:spacing w:before="2"/>
        <w:rPr>
          <w:sz w:val="18"/>
        </w:rPr>
      </w:pPr>
    </w:p>
    <w:p w14:paraId="208D3426" w14:textId="77777777" w:rsidR="00A71EEF" w:rsidRDefault="0081115D">
      <w:pPr>
        <w:pStyle w:val="a3"/>
        <w:ind w:left="418"/>
      </w:pPr>
      <w:r>
        <w:t>装置。</w:t>
      </w:r>
      <w:r>
        <w:t xml:space="preserve"> </w:t>
      </w:r>
    </w:p>
    <w:p w14:paraId="6416684D" w14:textId="77777777" w:rsidR="00A71EEF" w:rsidRDefault="00A71EEF">
      <w:pPr>
        <w:pStyle w:val="a3"/>
        <w:spacing w:before="8"/>
        <w:rPr>
          <w:sz w:val="15"/>
        </w:rPr>
      </w:pPr>
    </w:p>
    <w:p w14:paraId="4AAC2B49" w14:textId="77777777" w:rsidR="00A71EEF" w:rsidRDefault="0081115D">
      <w:pPr>
        <w:pStyle w:val="4"/>
      </w:pPr>
      <w:r>
        <w:t xml:space="preserve">3 </w:t>
      </w:r>
      <w:r>
        <w:t>基本规定</w:t>
      </w:r>
      <w:r>
        <w:rPr>
          <w:w w:val="99"/>
        </w:rPr>
        <w:t xml:space="preserve"> </w:t>
      </w:r>
    </w:p>
    <w:p w14:paraId="4A057D24" w14:textId="77777777" w:rsidR="00A71EEF" w:rsidRDefault="00A71EEF">
      <w:pPr>
        <w:pStyle w:val="a3"/>
        <w:spacing w:before="4"/>
        <w:rPr>
          <w:b/>
          <w:sz w:val="17"/>
        </w:rPr>
      </w:pPr>
    </w:p>
    <w:p w14:paraId="4F9E9DF3" w14:textId="77777777" w:rsidR="00A71EEF" w:rsidRDefault="0081115D">
      <w:pPr>
        <w:pStyle w:val="a4"/>
        <w:numPr>
          <w:ilvl w:val="1"/>
          <w:numId w:val="146"/>
        </w:numPr>
        <w:tabs>
          <w:tab w:val="left" w:pos="1159"/>
        </w:tabs>
        <w:ind w:hanging="319"/>
        <w:rPr>
          <w:sz w:val="21"/>
        </w:rPr>
      </w:pPr>
      <w:r>
        <w:rPr>
          <w:spacing w:val="-8"/>
          <w:sz w:val="21"/>
        </w:rPr>
        <w:t>施工现场管理应具有相应的施工技术标准、工艺规程及实施方案、质量管理体系、施</w:t>
      </w:r>
      <w:r>
        <w:rPr>
          <w:sz w:val="21"/>
        </w:rPr>
        <w:t xml:space="preserve"> </w:t>
      </w:r>
    </w:p>
    <w:p w14:paraId="131E653F" w14:textId="77777777" w:rsidR="00A71EEF" w:rsidRDefault="00A71EEF">
      <w:pPr>
        <w:pStyle w:val="a3"/>
        <w:spacing w:before="2"/>
        <w:rPr>
          <w:sz w:val="18"/>
        </w:rPr>
      </w:pPr>
    </w:p>
    <w:p w14:paraId="101EDFEE" w14:textId="77777777" w:rsidR="00A71EEF" w:rsidRDefault="0081115D">
      <w:pPr>
        <w:pStyle w:val="a3"/>
        <w:ind w:left="418"/>
      </w:pPr>
      <w:r>
        <w:t>工质量控制及检查制度。施工现场质量管理应按本规范附录</w:t>
      </w:r>
      <w:r>
        <w:t xml:space="preserve">A </w:t>
      </w:r>
      <w:r>
        <w:t>的要求进行检查并记录。</w:t>
      </w:r>
      <w:r>
        <w:t xml:space="preserve"> </w:t>
      </w:r>
      <w:hyperlink r:id="rId457" w:anchor="301">
        <w:r>
          <w:rPr>
            <w:color w:val="DDD9C3"/>
            <w:u w:val="single" w:color="DDD9C3"/>
          </w:rPr>
          <w:t xml:space="preserve"> </w:t>
        </w:r>
      </w:hyperlink>
      <w:r>
        <w:t xml:space="preserve"> </w:t>
      </w:r>
    </w:p>
    <w:p w14:paraId="0B81703A" w14:textId="77777777" w:rsidR="00A71EEF" w:rsidRDefault="00A71EEF">
      <w:pPr>
        <w:pStyle w:val="a3"/>
        <w:spacing w:before="9"/>
        <w:rPr>
          <w:sz w:val="13"/>
        </w:rPr>
      </w:pPr>
    </w:p>
    <w:p w14:paraId="7FBB0E79" w14:textId="77777777" w:rsidR="00A71EEF" w:rsidRDefault="0081115D">
      <w:pPr>
        <w:pStyle w:val="a4"/>
        <w:numPr>
          <w:ilvl w:val="1"/>
          <w:numId w:val="146"/>
        </w:numPr>
        <w:tabs>
          <w:tab w:val="left" w:pos="1160"/>
        </w:tabs>
        <w:spacing w:before="72" w:line="460" w:lineRule="auto"/>
        <w:ind w:left="838" w:right="3990" w:firstLine="2"/>
        <w:rPr>
          <w:sz w:val="21"/>
        </w:rPr>
      </w:pPr>
      <w:r>
        <w:rPr>
          <w:spacing w:val="-7"/>
          <w:sz w:val="21"/>
        </w:rPr>
        <w:t>防火卷帘、防火门、防火窗施工前应具备下列技术资料：</w:t>
      </w:r>
      <w:r>
        <w:rPr>
          <w:spacing w:val="-7"/>
          <w:sz w:val="21"/>
        </w:rPr>
        <w:t xml:space="preserve"> </w:t>
      </w:r>
      <w:r>
        <w:rPr>
          <w:spacing w:val="-7"/>
          <w:sz w:val="21"/>
        </w:rPr>
        <w:t>经</w:t>
      </w:r>
      <w:r>
        <w:rPr>
          <w:spacing w:val="-8"/>
          <w:sz w:val="21"/>
        </w:rPr>
        <w:t>批准的施工图、设计说明书、设计变更通知单等设计文件。</w:t>
      </w:r>
      <w:r>
        <w:rPr>
          <w:sz w:val="21"/>
        </w:rPr>
        <w:t xml:space="preserve"> </w:t>
      </w:r>
    </w:p>
    <w:p w14:paraId="46273B02" w14:textId="77777777" w:rsidR="00A71EEF" w:rsidRDefault="0081115D">
      <w:pPr>
        <w:pStyle w:val="a3"/>
        <w:tabs>
          <w:tab w:val="left" w:pos="3951"/>
        </w:tabs>
        <w:spacing w:line="448" w:lineRule="auto"/>
        <w:ind w:left="838" w:right="3272"/>
      </w:pPr>
      <w:r>
        <w:t>主</w:t>
      </w:r>
      <w:r>
        <w:rPr>
          <w:spacing w:val="-8"/>
        </w:rPr>
        <w:t>、</w:t>
      </w:r>
      <w:r>
        <w:rPr>
          <w:spacing w:val="-3"/>
        </w:rPr>
        <w:t>配</w:t>
      </w:r>
      <w:r>
        <w:rPr>
          <w:spacing w:val="-5"/>
        </w:rPr>
        <w:t>件</w:t>
      </w:r>
      <w:r>
        <w:rPr>
          <w:spacing w:val="-3"/>
        </w:rPr>
        <w:t>的</w:t>
      </w:r>
      <w:r>
        <w:rPr>
          <w:spacing w:val="-8"/>
        </w:rPr>
        <w:t>产</w:t>
      </w:r>
      <w:r>
        <w:rPr>
          <w:spacing w:val="-3"/>
        </w:rPr>
        <w:t>品</w:t>
      </w:r>
      <w:r>
        <w:rPr>
          <w:spacing w:val="-8"/>
        </w:rPr>
        <w:t>出</w:t>
      </w:r>
      <w:r>
        <w:rPr>
          <w:spacing w:val="-5"/>
        </w:rPr>
        <w:t>厂</w:t>
      </w:r>
      <w:r>
        <w:rPr>
          <w:spacing w:val="-3"/>
        </w:rPr>
        <w:t>合格</w:t>
      </w:r>
      <w:r>
        <w:rPr>
          <w:spacing w:val="-5"/>
        </w:rPr>
        <w:t>证</w:t>
      </w:r>
      <w:r>
        <w:rPr>
          <w:spacing w:val="-3"/>
        </w:rPr>
        <w:t>和</w:t>
      </w:r>
      <w:r>
        <w:rPr>
          <w:spacing w:val="-8"/>
        </w:rPr>
        <w:t>符</w:t>
      </w:r>
      <w:r>
        <w:rPr>
          <w:spacing w:val="-3"/>
        </w:rPr>
        <w:t>合</w:t>
      </w:r>
      <w:r>
        <w:rPr>
          <w:spacing w:val="-5"/>
        </w:rPr>
        <w:t>市</w:t>
      </w:r>
      <w:r>
        <w:rPr>
          <w:spacing w:val="-3"/>
        </w:rPr>
        <w:t>场</w:t>
      </w:r>
      <w:r>
        <w:rPr>
          <w:spacing w:val="-8"/>
        </w:rPr>
        <w:t>准</w:t>
      </w:r>
      <w:r>
        <w:rPr>
          <w:spacing w:val="-3"/>
        </w:rPr>
        <w:t>入</w:t>
      </w:r>
      <w:r>
        <w:rPr>
          <w:spacing w:val="-5"/>
        </w:rPr>
        <w:t>制</w:t>
      </w:r>
      <w:r>
        <w:rPr>
          <w:spacing w:val="-3"/>
        </w:rPr>
        <w:t>度</w:t>
      </w:r>
      <w:r>
        <w:t>规</w:t>
      </w:r>
      <w:r>
        <w:rPr>
          <w:spacing w:val="-5"/>
        </w:rPr>
        <w:t>定</w:t>
      </w:r>
      <w:r>
        <w:rPr>
          <w:spacing w:val="-3"/>
        </w:rPr>
        <w:t>的</w:t>
      </w:r>
      <w:r>
        <w:rPr>
          <w:spacing w:val="-8"/>
        </w:rPr>
        <w:t>有</w:t>
      </w:r>
      <w:r>
        <w:rPr>
          <w:spacing w:val="-3"/>
        </w:rPr>
        <w:t>效</w:t>
      </w:r>
      <w:r>
        <w:rPr>
          <w:spacing w:val="-5"/>
        </w:rPr>
        <w:t>证</w:t>
      </w:r>
      <w:r>
        <w:rPr>
          <w:spacing w:val="-3"/>
        </w:rPr>
        <w:t>明</w:t>
      </w:r>
      <w:r>
        <w:rPr>
          <w:spacing w:val="-8"/>
        </w:rPr>
        <w:t>文</w:t>
      </w:r>
      <w:r>
        <w:t>件</w:t>
      </w:r>
      <w:r>
        <w:rPr>
          <w:spacing w:val="-3"/>
        </w:rPr>
        <w:t>。</w:t>
      </w:r>
      <w:r>
        <w:t>主</w:t>
      </w:r>
      <w:r>
        <w:rPr>
          <w:spacing w:val="-8"/>
        </w:rPr>
        <w:t>、</w:t>
      </w:r>
      <w:r>
        <w:rPr>
          <w:spacing w:val="-3"/>
        </w:rPr>
        <w:t>配</w:t>
      </w:r>
      <w:r>
        <w:rPr>
          <w:spacing w:val="-5"/>
        </w:rPr>
        <w:t>件</w:t>
      </w:r>
      <w:r>
        <w:rPr>
          <w:spacing w:val="-3"/>
        </w:rPr>
        <w:t>使</w:t>
      </w:r>
      <w:r>
        <w:rPr>
          <w:spacing w:val="-8"/>
        </w:rPr>
        <w:t>用</w:t>
      </w:r>
      <w:r>
        <w:rPr>
          <w:spacing w:val="-3"/>
        </w:rPr>
        <w:t>、</w:t>
      </w:r>
      <w:r>
        <w:rPr>
          <w:spacing w:val="-8"/>
        </w:rPr>
        <w:t>维</w:t>
      </w:r>
      <w:r>
        <w:rPr>
          <w:spacing w:val="-5"/>
        </w:rPr>
        <w:t>护</w:t>
      </w:r>
      <w:r>
        <w:rPr>
          <w:spacing w:val="-3"/>
        </w:rPr>
        <w:t>说明</w:t>
      </w:r>
      <w:r>
        <w:rPr>
          <w:spacing w:val="-5"/>
        </w:rPr>
        <w:t>书</w:t>
      </w:r>
      <w:r>
        <w:rPr>
          <w:spacing w:val="-3"/>
        </w:rPr>
        <w:t>。</w:t>
      </w:r>
      <w:r>
        <w:t xml:space="preserve"> </w:t>
      </w:r>
      <w:r>
        <w:tab/>
      </w:r>
      <w:r>
        <w:t xml:space="preserve"> </w:t>
      </w:r>
    </w:p>
    <w:p w14:paraId="6A0F89BA" w14:textId="77777777" w:rsidR="00A71EEF" w:rsidRDefault="0081115D">
      <w:pPr>
        <w:pStyle w:val="a4"/>
        <w:numPr>
          <w:ilvl w:val="1"/>
          <w:numId w:val="146"/>
        </w:numPr>
        <w:tabs>
          <w:tab w:val="left" w:pos="1159"/>
        </w:tabs>
        <w:spacing w:line="267" w:lineRule="exact"/>
        <w:ind w:hanging="319"/>
        <w:rPr>
          <w:sz w:val="21"/>
        </w:rPr>
      </w:pPr>
      <w:r>
        <w:rPr>
          <w:spacing w:val="-8"/>
          <w:sz w:val="21"/>
        </w:rPr>
        <w:t>防火卷帘、防火门、防火窗施工应具备下列条件：</w:t>
      </w:r>
      <w:r>
        <w:rPr>
          <w:sz w:val="21"/>
        </w:rPr>
        <w:t xml:space="preserve"> </w:t>
      </w:r>
    </w:p>
    <w:p w14:paraId="712381C7" w14:textId="77777777" w:rsidR="00A71EEF" w:rsidRDefault="00A71EEF">
      <w:pPr>
        <w:pStyle w:val="a3"/>
        <w:spacing w:before="8"/>
        <w:rPr>
          <w:sz w:val="17"/>
        </w:rPr>
      </w:pPr>
    </w:p>
    <w:p w14:paraId="7A36ADFE" w14:textId="77777777" w:rsidR="00A71EEF" w:rsidRDefault="0081115D">
      <w:pPr>
        <w:pStyle w:val="a3"/>
        <w:ind w:left="838"/>
        <w:rPr>
          <w:b/>
        </w:rPr>
      </w:pPr>
      <w:r>
        <w:t>现场施工条件满足连续作业的要求。</w:t>
      </w:r>
      <w:r>
        <w:rPr>
          <w:b/>
          <w:w w:val="99"/>
        </w:rPr>
        <w:t xml:space="preserve"> </w:t>
      </w:r>
    </w:p>
    <w:p w14:paraId="1EBDEF79" w14:textId="77777777" w:rsidR="00A71EEF" w:rsidRDefault="00A71EEF">
      <w:pPr>
        <w:pStyle w:val="a3"/>
        <w:spacing w:before="2"/>
        <w:rPr>
          <w:b/>
          <w:sz w:val="18"/>
        </w:rPr>
      </w:pPr>
    </w:p>
    <w:p w14:paraId="7798B4B8" w14:textId="77777777" w:rsidR="00A71EEF" w:rsidRDefault="0081115D">
      <w:pPr>
        <w:pStyle w:val="a3"/>
        <w:spacing w:line="446" w:lineRule="auto"/>
        <w:ind w:left="838" w:right="4928"/>
        <w:jc w:val="both"/>
      </w:pPr>
      <w:r>
        <w:rPr>
          <w:spacing w:val="-8"/>
        </w:rPr>
        <w:t>主、配件齐全，其品种、规格、型号符合设计要求。施工所需的预埋件和孔洞等基建条件符合设计要求。</w:t>
      </w:r>
      <w:r>
        <w:rPr>
          <w:spacing w:val="-5"/>
        </w:rPr>
        <w:t>施工现场相关条件与设计相符。</w:t>
      </w:r>
      <w:r>
        <w:t xml:space="preserve"> </w:t>
      </w:r>
    </w:p>
    <w:p w14:paraId="3859E6CA" w14:textId="77777777" w:rsidR="00A71EEF" w:rsidRDefault="0081115D">
      <w:pPr>
        <w:pStyle w:val="a3"/>
        <w:spacing w:line="268" w:lineRule="exact"/>
        <w:ind w:left="838"/>
        <w:jc w:val="both"/>
      </w:pPr>
      <w:r>
        <w:rPr>
          <w:spacing w:val="-3"/>
        </w:rPr>
        <w:t>设计单位向施工单位技术交底。</w:t>
      </w:r>
      <w:r>
        <w:t xml:space="preserve">   </w:t>
      </w:r>
      <w:r>
        <w:rPr>
          <w:spacing w:val="-3"/>
        </w:rPr>
        <w:t xml:space="preserve"> </w:t>
      </w:r>
      <w:r>
        <w:t xml:space="preserve"> </w:t>
      </w:r>
    </w:p>
    <w:p w14:paraId="6BF7953E" w14:textId="77777777" w:rsidR="00A71EEF" w:rsidRDefault="00A71EEF">
      <w:pPr>
        <w:pStyle w:val="a3"/>
        <w:spacing w:before="12"/>
        <w:rPr>
          <w:sz w:val="17"/>
        </w:rPr>
      </w:pPr>
    </w:p>
    <w:p w14:paraId="14255EC4" w14:textId="77777777" w:rsidR="00A71EEF" w:rsidRDefault="0081115D">
      <w:pPr>
        <w:pStyle w:val="a4"/>
        <w:numPr>
          <w:ilvl w:val="1"/>
          <w:numId w:val="146"/>
        </w:numPr>
        <w:tabs>
          <w:tab w:val="left" w:pos="1159"/>
        </w:tabs>
        <w:ind w:hanging="319"/>
        <w:rPr>
          <w:sz w:val="21"/>
        </w:rPr>
      </w:pPr>
      <w:r>
        <w:rPr>
          <w:spacing w:val="-8"/>
          <w:sz w:val="21"/>
        </w:rPr>
        <w:t>防火卷帘、防火门、防火窗的分部工程、子分部工程、分项工程的划分，可按本规范</w:t>
      </w:r>
      <w:r>
        <w:rPr>
          <w:sz w:val="21"/>
        </w:rPr>
        <w:t xml:space="preserve"> </w:t>
      </w:r>
    </w:p>
    <w:p w14:paraId="78B146C3" w14:textId="77777777" w:rsidR="00A71EEF" w:rsidRDefault="00A71EEF">
      <w:pPr>
        <w:pStyle w:val="a3"/>
        <w:rPr>
          <w:sz w:val="18"/>
        </w:rPr>
      </w:pPr>
    </w:p>
    <w:p w14:paraId="43F4A492" w14:textId="77777777" w:rsidR="00A71EEF" w:rsidRDefault="0081115D">
      <w:pPr>
        <w:pStyle w:val="a3"/>
        <w:tabs>
          <w:tab w:val="left" w:pos="2045"/>
        </w:tabs>
        <w:ind w:left="418"/>
      </w:pPr>
      <w:r>
        <w:t>附</w:t>
      </w:r>
      <w:r>
        <w:rPr>
          <w:spacing w:val="-3"/>
        </w:rPr>
        <w:t>录</w:t>
      </w:r>
      <w:r>
        <w:t>B</w:t>
      </w:r>
      <w:r>
        <w:rPr>
          <w:spacing w:val="7"/>
        </w:rPr>
        <w:t xml:space="preserve"> </w:t>
      </w:r>
      <w:r>
        <w:rPr>
          <w:spacing w:val="-5"/>
        </w:rPr>
        <w:t>执</w:t>
      </w:r>
      <w:r>
        <w:rPr>
          <w:spacing w:val="-3"/>
        </w:rPr>
        <w:t>行。</w:t>
      </w:r>
      <w:r>
        <w:t xml:space="preserve"> </w:t>
      </w:r>
      <w:r>
        <w:tab/>
      </w:r>
      <w:r>
        <w:t xml:space="preserve"> </w:t>
      </w:r>
    </w:p>
    <w:p w14:paraId="1B5A4717" w14:textId="77777777" w:rsidR="00A71EEF" w:rsidRDefault="00A71EEF">
      <w:pPr>
        <w:sectPr w:rsidR="00A71EEF">
          <w:pgSz w:w="11910" w:h="16850"/>
          <w:pgMar w:top="1220" w:right="0" w:bottom="1420" w:left="1260" w:header="0" w:footer="1239" w:gutter="0"/>
          <w:cols w:space="720"/>
        </w:sectPr>
      </w:pPr>
    </w:p>
    <w:p w14:paraId="7165ECDB" w14:textId="77777777" w:rsidR="00A71EEF" w:rsidRDefault="0081115D">
      <w:pPr>
        <w:pStyle w:val="a4"/>
        <w:numPr>
          <w:ilvl w:val="1"/>
          <w:numId w:val="146"/>
        </w:numPr>
        <w:tabs>
          <w:tab w:val="left" w:pos="1159"/>
        </w:tabs>
        <w:spacing w:before="47"/>
        <w:ind w:hanging="319"/>
        <w:rPr>
          <w:sz w:val="21"/>
        </w:rPr>
      </w:pPr>
      <w:r>
        <w:rPr>
          <w:spacing w:val="-8"/>
          <w:sz w:val="21"/>
        </w:rPr>
        <w:t>防火卷帘、防火门、防火窗施工过程质量控制及验收，应符合本规范第</w:t>
      </w:r>
      <w:r>
        <w:rPr>
          <w:sz w:val="21"/>
        </w:rPr>
        <w:t>4</w:t>
      </w:r>
      <w:r>
        <w:rPr>
          <w:spacing w:val="1"/>
          <w:sz w:val="21"/>
        </w:rPr>
        <w:t xml:space="preserve"> </w:t>
      </w:r>
      <w:r>
        <w:rPr>
          <w:spacing w:val="1"/>
          <w:sz w:val="21"/>
        </w:rPr>
        <w:t>章</w:t>
      </w:r>
      <w:r>
        <w:rPr>
          <w:spacing w:val="-8"/>
          <w:sz w:val="21"/>
        </w:rPr>
        <w:t>～</w:t>
      </w:r>
      <w:r>
        <w:rPr>
          <w:spacing w:val="-50"/>
          <w:sz w:val="21"/>
        </w:rPr>
        <w:t>第</w:t>
      </w:r>
      <w:r>
        <w:rPr>
          <w:spacing w:val="-50"/>
          <w:sz w:val="21"/>
        </w:rPr>
        <w:t xml:space="preserve"> </w:t>
      </w:r>
      <w:r>
        <w:rPr>
          <w:sz w:val="21"/>
        </w:rPr>
        <w:t>7</w:t>
      </w:r>
      <w:r>
        <w:rPr>
          <w:spacing w:val="2"/>
          <w:sz w:val="21"/>
        </w:rPr>
        <w:t xml:space="preserve"> </w:t>
      </w:r>
      <w:r>
        <w:rPr>
          <w:spacing w:val="2"/>
          <w:sz w:val="21"/>
        </w:rPr>
        <w:t>章</w:t>
      </w:r>
      <w:r>
        <w:rPr>
          <w:spacing w:val="2"/>
          <w:sz w:val="21"/>
        </w:rPr>
        <w:t xml:space="preserve"> </w:t>
      </w:r>
    </w:p>
    <w:p w14:paraId="6E3C93E7" w14:textId="77777777" w:rsidR="00A71EEF" w:rsidRDefault="00A71EEF">
      <w:pPr>
        <w:pStyle w:val="a3"/>
        <w:rPr>
          <w:sz w:val="18"/>
        </w:rPr>
      </w:pPr>
    </w:p>
    <w:p w14:paraId="2502F8FC" w14:textId="77777777" w:rsidR="00A71EEF" w:rsidRDefault="0081115D">
      <w:pPr>
        <w:pStyle w:val="a3"/>
        <w:tabs>
          <w:tab w:val="left" w:pos="1589"/>
        </w:tabs>
        <w:ind w:left="418"/>
      </w:pPr>
      <w:r>
        <w:t>的</w:t>
      </w:r>
      <w:r>
        <w:rPr>
          <w:spacing w:val="-3"/>
        </w:rPr>
        <w:t>规</w:t>
      </w:r>
      <w:r>
        <w:rPr>
          <w:spacing w:val="-5"/>
        </w:rPr>
        <w:t>定</w:t>
      </w:r>
      <w:r>
        <w:rPr>
          <w:spacing w:val="-3"/>
        </w:rPr>
        <w:t>。</w:t>
      </w:r>
      <w:r>
        <w:t xml:space="preserve"> </w:t>
      </w:r>
      <w:r>
        <w:tab/>
      </w:r>
      <w:r>
        <w:t xml:space="preserve"> </w:t>
      </w:r>
    </w:p>
    <w:p w14:paraId="7E169CF5" w14:textId="77777777" w:rsidR="00A71EEF" w:rsidRDefault="00A71EEF">
      <w:pPr>
        <w:pStyle w:val="a3"/>
        <w:spacing w:before="4"/>
        <w:rPr>
          <w:sz w:val="19"/>
        </w:rPr>
      </w:pPr>
    </w:p>
    <w:p w14:paraId="449052CC" w14:textId="77777777" w:rsidR="00A71EEF" w:rsidRDefault="0081115D">
      <w:pPr>
        <w:pStyle w:val="a4"/>
        <w:numPr>
          <w:ilvl w:val="1"/>
          <w:numId w:val="146"/>
        </w:numPr>
        <w:tabs>
          <w:tab w:val="left" w:pos="1160"/>
        </w:tabs>
        <w:spacing w:line="448" w:lineRule="auto"/>
        <w:ind w:left="838" w:right="5651" w:firstLine="2"/>
        <w:rPr>
          <w:b/>
          <w:sz w:val="21"/>
        </w:rPr>
      </w:pPr>
      <w:r>
        <w:rPr>
          <w:spacing w:val="-7"/>
          <w:sz w:val="21"/>
        </w:rPr>
        <w:t>检查、验收合格判定应符合下列规定：</w:t>
      </w:r>
      <w:r>
        <w:rPr>
          <w:spacing w:val="-7"/>
          <w:sz w:val="21"/>
        </w:rPr>
        <w:t xml:space="preserve"> </w:t>
      </w:r>
      <w:r>
        <w:rPr>
          <w:spacing w:val="-7"/>
          <w:sz w:val="21"/>
        </w:rPr>
        <w:t>施</w:t>
      </w:r>
      <w:r>
        <w:rPr>
          <w:spacing w:val="-8"/>
          <w:sz w:val="21"/>
        </w:rPr>
        <w:t>工现场质量管理检查结果应全部合格。</w:t>
      </w:r>
      <w:r>
        <w:rPr>
          <w:b/>
          <w:w w:val="99"/>
          <w:sz w:val="21"/>
        </w:rPr>
        <w:t xml:space="preserve"> </w:t>
      </w:r>
    </w:p>
    <w:p w14:paraId="6FC5363F" w14:textId="77777777" w:rsidR="00A71EEF" w:rsidRDefault="0081115D">
      <w:pPr>
        <w:pStyle w:val="a3"/>
        <w:spacing w:line="266" w:lineRule="exact"/>
        <w:ind w:left="838"/>
        <w:rPr>
          <w:b/>
        </w:rPr>
      </w:pPr>
      <w:r>
        <w:rPr>
          <w:spacing w:val="-7"/>
        </w:rPr>
        <w:t>资料核查结果应全部合格。</w:t>
      </w:r>
      <w:r>
        <w:rPr>
          <w:b/>
          <w:spacing w:val="-7"/>
          <w:w w:val="99"/>
        </w:rPr>
        <w:t xml:space="preserve"> </w:t>
      </w:r>
    </w:p>
    <w:p w14:paraId="7BBEFC6E" w14:textId="77777777" w:rsidR="00A71EEF" w:rsidRDefault="00A71EEF">
      <w:pPr>
        <w:pStyle w:val="a3"/>
        <w:spacing w:before="12"/>
        <w:rPr>
          <w:b/>
          <w:sz w:val="17"/>
        </w:rPr>
      </w:pPr>
    </w:p>
    <w:p w14:paraId="68E6F761" w14:textId="77777777" w:rsidR="00A71EEF" w:rsidRDefault="0081115D">
      <w:pPr>
        <w:pStyle w:val="a3"/>
        <w:spacing w:line="446" w:lineRule="auto"/>
        <w:ind w:left="838" w:right="6796"/>
        <w:rPr>
          <w:b/>
        </w:rPr>
      </w:pPr>
      <w:r>
        <w:rPr>
          <w:spacing w:val="-7"/>
        </w:rPr>
        <w:t>施工过程检查结果应全部合格。工程验收结果应全部合格。</w:t>
      </w:r>
      <w:r>
        <w:rPr>
          <w:b/>
          <w:spacing w:val="-7"/>
          <w:w w:val="99"/>
        </w:rPr>
        <w:t xml:space="preserve"> </w:t>
      </w:r>
    </w:p>
    <w:p w14:paraId="7FAD21F8" w14:textId="77777777" w:rsidR="00A71EEF" w:rsidRDefault="0081115D">
      <w:pPr>
        <w:pStyle w:val="a3"/>
        <w:spacing w:before="1"/>
        <w:ind w:left="838"/>
        <w:rPr>
          <w:b/>
        </w:rPr>
      </w:pPr>
      <w:r>
        <w:t>工程验收记录应齐全。</w:t>
      </w:r>
      <w:r>
        <w:rPr>
          <w:b/>
          <w:w w:val="99"/>
        </w:rPr>
        <w:t xml:space="preserve"> </w:t>
      </w:r>
    </w:p>
    <w:p w14:paraId="2FFD3037" w14:textId="77777777" w:rsidR="00A71EEF" w:rsidRDefault="00A71EEF">
      <w:pPr>
        <w:pStyle w:val="a3"/>
        <w:spacing w:before="12"/>
        <w:rPr>
          <w:b/>
          <w:sz w:val="17"/>
        </w:rPr>
      </w:pPr>
    </w:p>
    <w:p w14:paraId="1F2F710B" w14:textId="77777777" w:rsidR="00A71EEF" w:rsidRDefault="0081115D">
      <w:pPr>
        <w:pStyle w:val="a3"/>
        <w:ind w:left="838"/>
        <w:rPr>
          <w:b/>
        </w:rPr>
      </w:pPr>
      <w:r>
        <w:t>相关文件、记录、资料清单等应齐全。</w:t>
      </w:r>
      <w:r>
        <w:rPr>
          <w:b/>
          <w:w w:val="99"/>
        </w:rPr>
        <w:t xml:space="preserve"> </w:t>
      </w:r>
      <w:r>
        <w:rPr>
          <w:b/>
        </w:rPr>
        <w:t xml:space="preserve"> </w:t>
      </w:r>
      <w:hyperlink r:id="rId458" w:anchor="306">
        <w:r>
          <w:rPr>
            <w:b/>
            <w:w w:val="99"/>
          </w:rPr>
          <w:t xml:space="preserve"> </w:t>
        </w:r>
      </w:hyperlink>
      <w:r>
        <w:rPr>
          <w:b/>
          <w:w w:val="99"/>
        </w:rPr>
        <w:t xml:space="preserve"> </w:t>
      </w:r>
    </w:p>
    <w:p w14:paraId="7A107C46" w14:textId="77777777" w:rsidR="00A71EEF" w:rsidRDefault="00A71EEF">
      <w:pPr>
        <w:pStyle w:val="a3"/>
        <w:spacing w:before="2"/>
        <w:rPr>
          <w:b/>
          <w:sz w:val="18"/>
        </w:rPr>
      </w:pPr>
    </w:p>
    <w:p w14:paraId="657C7BFE" w14:textId="77777777" w:rsidR="00A71EEF" w:rsidRDefault="0081115D">
      <w:pPr>
        <w:pStyle w:val="a4"/>
        <w:numPr>
          <w:ilvl w:val="1"/>
          <w:numId w:val="146"/>
        </w:numPr>
        <w:tabs>
          <w:tab w:val="left" w:pos="1159"/>
        </w:tabs>
        <w:ind w:hanging="319"/>
        <w:rPr>
          <w:sz w:val="21"/>
        </w:rPr>
      </w:pPr>
      <w:r>
        <w:rPr>
          <w:spacing w:val="-8"/>
          <w:sz w:val="21"/>
        </w:rPr>
        <w:t>系统竣工后，必须进行工程验收，验收不合格不得投入使用。</w:t>
      </w:r>
      <w:r>
        <w:rPr>
          <w:sz w:val="21"/>
        </w:rPr>
        <w:t xml:space="preserve"> </w:t>
      </w:r>
      <w:r>
        <w:rPr>
          <w:spacing w:val="-17"/>
          <w:sz w:val="21"/>
        </w:rPr>
        <w:t xml:space="preserve"> </w:t>
      </w:r>
      <w:r>
        <w:rPr>
          <w:sz w:val="21"/>
        </w:rPr>
        <w:t xml:space="preserve"> </w:t>
      </w:r>
    </w:p>
    <w:p w14:paraId="73ADB522" w14:textId="77777777" w:rsidR="00A71EEF" w:rsidRDefault="00A71EEF">
      <w:pPr>
        <w:pStyle w:val="a3"/>
        <w:spacing w:before="8"/>
        <w:rPr>
          <w:sz w:val="15"/>
        </w:rPr>
      </w:pPr>
    </w:p>
    <w:p w14:paraId="6A0ACED6" w14:textId="77777777" w:rsidR="00A71EEF" w:rsidRDefault="0081115D">
      <w:pPr>
        <w:pStyle w:val="4"/>
      </w:pPr>
      <w:r>
        <w:t xml:space="preserve">4 </w:t>
      </w:r>
      <w:r>
        <w:t>进场检验</w:t>
      </w:r>
      <w:r>
        <w:rPr>
          <w:w w:val="99"/>
        </w:rPr>
        <w:t xml:space="preserve"> </w:t>
      </w:r>
    </w:p>
    <w:p w14:paraId="3BADE0C1" w14:textId="77777777" w:rsidR="00A71EEF" w:rsidRDefault="00A71EEF">
      <w:pPr>
        <w:pStyle w:val="a3"/>
        <w:spacing w:before="3"/>
        <w:rPr>
          <w:b/>
          <w:sz w:val="17"/>
        </w:rPr>
      </w:pPr>
    </w:p>
    <w:p w14:paraId="18940D01" w14:textId="77777777" w:rsidR="00A71EEF" w:rsidRDefault="0081115D">
      <w:pPr>
        <w:pStyle w:val="a4"/>
        <w:numPr>
          <w:ilvl w:val="1"/>
          <w:numId w:val="145"/>
        </w:numPr>
        <w:tabs>
          <w:tab w:val="left" w:pos="1159"/>
        </w:tabs>
        <w:spacing w:before="1"/>
        <w:ind w:hanging="319"/>
        <w:rPr>
          <w:b/>
          <w:sz w:val="21"/>
        </w:rPr>
      </w:pPr>
      <w:r>
        <w:rPr>
          <w:spacing w:val="-3"/>
          <w:sz w:val="21"/>
        </w:rPr>
        <w:t>一般规定</w:t>
      </w:r>
      <w:r>
        <w:rPr>
          <w:b/>
          <w:w w:val="99"/>
          <w:sz w:val="21"/>
        </w:rPr>
        <w:t xml:space="preserve"> </w:t>
      </w:r>
    </w:p>
    <w:p w14:paraId="02C39E62" w14:textId="77777777" w:rsidR="00A71EEF" w:rsidRDefault="00A71EEF">
      <w:pPr>
        <w:pStyle w:val="a3"/>
        <w:spacing w:before="1"/>
        <w:rPr>
          <w:b/>
          <w:sz w:val="18"/>
        </w:rPr>
      </w:pPr>
    </w:p>
    <w:p w14:paraId="259FBFDD" w14:textId="77777777" w:rsidR="00A71EEF" w:rsidRDefault="0081115D">
      <w:pPr>
        <w:pStyle w:val="a4"/>
        <w:numPr>
          <w:ilvl w:val="2"/>
          <w:numId w:val="145"/>
        </w:numPr>
        <w:tabs>
          <w:tab w:val="left" w:pos="1370"/>
        </w:tabs>
        <w:spacing w:before="1" w:line="446" w:lineRule="auto"/>
        <w:ind w:right="1539" w:firstLine="422"/>
        <w:jc w:val="both"/>
        <w:rPr>
          <w:sz w:val="21"/>
        </w:rPr>
      </w:pPr>
      <w:r>
        <w:rPr>
          <w:spacing w:val="-17"/>
          <w:sz w:val="21"/>
        </w:rPr>
        <w:t>防火卷帘，防火门，防火窗主、配件进场应进行检验。检验应由施工单位负责，并</w:t>
      </w:r>
      <w:r>
        <w:rPr>
          <w:spacing w:val="-17"/>
          <w:sz w:val="21"/>
        </w:rPr>
        <w:t xml:space="preserve"> </w:t>
      </w:r>
      <w:r>
        <w:rPr>
          <w:spacing w:val="-17"/>
          <w:sz w:val="21"/>
        </w:rPr>
        <w:t>应</w:t>
      </w:r>
      <w:r>
        <w:rPr>
          <w:spacing w:val="-16"/>
          <w:sz w:val="21"/>
        </w:rPr>
        <w:t>由监理单位监督。需要抽样复验时，应由监理工程师抽样，并应送市场准入制度规定的法</w:t>
      </w:r>
      <w:r>
        <w:rPr>
          <w:spacing w:val="-16"/>
          <w:sz w:val="21"/>
        </w:rPr>
        <w:t xml:space="preserve"> </w:t>
      </w:r>
      <w:r>
        <w:rPr>
          <w:spacing w:val="-16"/>
          <w:sz w:val="21"/>
        </w:rPr>
        <w:t>定检验</w:t>
      </w:r>
      <w:r>
        <w:rPr>
          <w:spacing w:val="-8"/>
          <w:sz w:val="21"/>
        </w:rPr>
        <w:t>机构进行复验检验，不合格者不应安装。</w:t>
      </w:r>
      <w:r>
        <w:rPr>
          <w:sz w:val="21"/>
        </w:rPr>
        <w:t xml:space="preserve">         </w:t>
      </w:r>
      <w:r>
        <w:rPr>
          <w:spacing w:val="-47"/>
          <w:sz w:val="21"/>
        </w:rPr>
        <w:t xml:space="preserve"> </w:t>
      </w:r>
      <w:r>
        <w:rPr>
          <w:sz w:val="21"/>
        </w:rPr>
        <w:t xml:space="preserve"> </w:t>
      </w:r>
    </w:p>
    <w:p w14:paraId="7C9045D8" w14:textId="77777777" w:rsidR="00A71EEF" w:rsidRDefault="0081115D">
      <w:pPr>
        <w:pStyle w:val="a4"/>
        <w:numPr>
          <w:ilvl w:val="2"/>
          <w:numId w:val="145"/>
        </w:numPr>
        <w:tabs>
          <w:tab w:val="left" w:pos="1371"/>
        </w:tabs>
        <w:spacing w:before="6" w:line="446" w:lineRule="auto"/>
        <w:ind w:right="1548" w:firstLine="422"/>
        <w:jc w:val="both"/>
        <w:rPr>
          <w:sz w:val="21"/>
        </w:rPr>
      </w:pPr>
      <w:r>
        <w:rPr>
          <w:spacing w:val="-17"/>
          <w:sz w:val="21"/>
        </w:rPr>
        <w:t>防火卷帘，防火门，防火窗主、配件的进场检验，应按本规范附录</w:t>
      </w:r>
      <w:r>
        <w:rPr>
          <w:spacing w:val="-17"/>
          <w:sz w:val="21"/>
        </w:rPr>
        <w:t xml:space="preserve"> </w:t>
      </w:r>
      <w:r>
        <w:rPr>
          <w:sz w:val="21"/>
        </w:rPr>
        <w:t>C</w:t>
      </w:r>
      <w:r>
        <w:rPr>
          <w:spacing w:val="-8"/>
          <w:sz w:val="21"/>
        </w:rPr>
        <w:t xml:space="preserve"> </w:t>
      </w:r>
      <w:r>
        <w:rPr>
          <w:spacing w:val="-8"/>
          <w:sz w:val="21"/>
        </w:rPr>
        <w:t>表</w:t>
      </w:r>
      <w:r>
        <w:rPr>
          <w:spacing w:val="-8"/>
          <w:sz w:val="21"/>
        </w:rPr>
        <w:t xml:space="preserve"> </w:t>
      </w:r>
      <w:r>
        <w:rPr>
          <w:sz w:val="21"/>
        </w:rPr>
        <w:t>C.0.1-1</w:t>
      </w:r>
      <w:r>
        <w:rPr>
          <w:spacing w:val="16"/>
          <w:sz w:val="21"/>
        </w:rPr>
        <w:t xml:space="preserve"> </w:t>
      </w:r>
      <w:r>
        <w:rPr>
          <w:spacing w:val="16"/>
          <w:sz w:val="21"/>
        </w:rPr>
        <w:t>填写</w:t>
      </w:r>
      <w:r>
        <w:rPr>
          <w:spacing w:val="-8"/>
          <w:sz w:val="21"/>
        </w:rPr>
        <w:t>检查记录。检查合格后，应经监理工程师签证再进行安装。</w:t>
      </w:r>
      <w:r>
        <w:rPr>
          <w:sz w:val="21"/>
        </w:rPr>
        <w:t xml:space="preserve"> </w:t>
      </w:r>
    </w:p>
    <w:p w14:paraId="45D46807" w14:textId="77777777" w:rsidR="00A71EEF" w:rsidRDefault="0081115D">
      <w:pPr>
        <w:pStyle w:val="a4"/>
        <w:numPr>
          <w:ilvl w:val="1"/>
          <w:numId w:val="145"/>
        </w:numPr>
        <w:tabs>
          <w:tab w:val="left" w:pos="1159"/>
        </w:tabs>
        <w:spacing w:before="2"/>
        <w:ind w:hanging="319"/>
        <w:rPr>
          <w:b/>
          <w:sz w:val="21"/>
        </w:rPr>
      </w:pPr>
      <w:r>
        <w:rPr>
          <w:spacing w:val="-3"/>
          <w:sz w:val="21"/>
        </w:rPr>
        <w:t>防火卷帘检验</w:t>
      </w:r>
      <w:r>
        <w:rPr>
          <w:b/>
          <w:w w:val="99"/>
          <w:sz w:val="21"/>
        </w:rPr>
        <w:t xml:space="preserve"> </w:t>
      </w:r>
    </w:p>
    <w:p w14:paraId="00A7B86D" w14:textId="77777777" w:rsidR="00A71EEF" w:rsidRDefault="00A71EEF">
      <w:pPr>
        <w:pStyle w:val="a3"/>
        <w:spacing w:before="12"/>
        <w:rPr>
          <w:b/>
          <w:sz w:val="17"/>
        </w:rPr>
      </w:pPr>
    </w:p>
    <w:p w14:paraId="3D5AE5F2" w14:textId="77777777" w:rsidR="00A71EEF" w:rsidRDefault="0081115D">
      <w:pPr>
        <w:pStyle w:val="a4"/>
        <w:numPr>
          <w:ilvl w:val="2"/>
          <w:numId w:val="145"/>
        </w:numPr>
        <w:tabs>
          <w:tab w:val="left" w:pos="1370"/>
        </w:tabs>
        <w:spacing w:line="446" w:lineRule="auto"/>
        <w:ind w:right="1445" w:firstLine="422"/>
        <w:rPr>
          <w:sz w:val="21"/>
        </w:rPr>
      </w:pPr>
      <w:r>
        <w:rPr>
          <w:spacing w:val="-5"/>
          <w:sz w:val="21"/>
        </w:rPr>
        <w:t>防火卷帘及与其配套的感烟和感温火灾探测器等应具有出厂合格证和符合市场准入</w:t>
      </w:r>
      <w:r>
        <w:rPr>
          <w:spacing w:val="-5"/>
          <w:sz w:val="21"/>
        </w:rPr>
        <w:t xml:space="preserve">  </w:t>
      </w:r>
      <w:r>
        <w:rPr>
          <w:spacing w:val="-8"/>
          <w:sz w:val="21"/>
        </w:rPr>
        <w:t>制度规定的有效证明文件，其型号、规格及耐火性能等应符</w:t>
      </w:r>
      <w:r>
        <w:rPr>
          <w:spacing w:val="-8"/>
          <w:sz w:val="21"/>
        </w:rPr>
        <w:t>合设计要求。</w:t>
      </w:r>
      <w:r>
        <w:rPr>
          <w:sz w:val="21"/>
        </w:rPr>
        <w:t xml:space="preserve"> </w:t>
      </w:r>
    </w:p>
    <w:p w14:paraId="63343F2B" w14:textId="77777777" w:rsidR="00A71EEF" w:rsidRDefault="0081115D">
      <w:pPr>
        <w:pStyle w:val="a3"/>
        <w:spacing w:before="6" w:line="446" w:lineRule="auto"/>
        <w:ind w:left="418" w:right="1738" w:firstLine="407"/>
      </w:pPr>
      <w:r>
        <w:t>检查数量：全数检查。</w:t>
      </w:r>
      <w:r>
        <w:t xml:space="preserve"> </w:t>
      </w:r>
      <w:r>
        <w:t>检查方法：核查产品的名称、型号、规格及耐火性能等是否与符合市场准入制度规定的有效证明文件和设计要求相符。</w:t>
      </w:r>
      <w:r>
        <w:t xml:space="preserve"> </w:t>
      </w:r>
    </w:p>
    <w:p w14:paraId="66683A26" w14:textId="77777777" w:rsidR="00A71EEF" w:rsidRDefault="0081115D">
      <w:pPr>
        <w:pStyle w:val="a4"/>
        <w:numPr>
          <w:ilvl w:val="2"/>
          <w:numId w:val="145"/>
        </w:numPr>
        <w:tabs>
          <w:tab w:val="left" w:pos="1370"/>
        </w:tabs>
        <w:spacing w:before="26" w:line="446" w:lineRule="auto"/>
        <w:ind w:right="1443" w:firstLine="422"/>
        <w:rPr>
          <w:sz w:val="21"/>
        </w:rPr>
      </w:pPr>
      <w:r>
        <w:rPr>
          <w:spacing w:val="-12"/>
          <w:sz w:val="21"/>
        </w:rPr>
        <w:t>每樘防火卷帘及配套的卷门机、控制器、手动按钮盒、温控释放装置，均应在其明显</w:t>
      </w:r>
      <w:r>
        <w:rPr>
          <w:spacing w:val="-12"/>
          <w:sz w:val="21"/>
        </w:rPr>
        <w:t xml:space="preserve"> </w:t>
      </w:r>
      <w:r>
        <w:rPr>
          <w:spacing w:val="-23"/>
          <w:sz w:val="21"/>
        </w:rPr>
        <w:t>部位设置永久性标牌，并应标明产品名称、型号、规格、耐火性能及商标、生产单位</w:t>
      </w:r>
      <w:r>
        <w:rPr>
          <w:spacing w:val="-3"/>
          <w:sz w:val="21"/>
        </w:rPr>
        <w:t>（</w:t>
      </w:r>
      <w:r>
        <w:rPr>
          <w:spacing w:val="3"/>
          <w:sz w:val="21"/>
        </w:rPr>
        <w:t>制造</w:t>
      </w:r>
      <w:r>
        <w:rPr>
          <w:spacing w:val="3"/>
          <w:sz w:val="21"/>
        </w:rPr>
        <w:t xml:space="preserve"> </w:t>
      </w:r>
      <w:r>
        <w:rPr>
          <w:spacing w:val="3"/>
          <w:sz w:val="21"/>
        </w:rPr>
        <w:t>商</w:t>
      </w:r>
      <w:r>
        <w:rPr>
          <w:spacing w:val="-29"/>
          <w:sz w:val="21"/>
        </w:rPr>
        <w:t>）</w:t>
      </w:r>
      <w:r>
        <w:rPr>
          <w:sz w:val="21"/>
        </w:rPr>
        <w:t>名</w:t>
      </w:r>
      <w:r>
        <w:rPr>
          <w:spacing w:val="-8"/>
          <w:sz w:val="21"/>
        </w:rPr>
        <w:t>称、厂址、出厂日期、产品编号或生产批号、执行标准等。</w:t>
      </w:r>
      <w:r>
        <w:rPr>
          <w:sz w:val="21"/>
        </w:rPr>
        <w:t xml:space="preserve"> </w:t>
      </w:r>
    </w:p>
    <w:p w14:paraId="478BA25D" w14:textId="77777777" w:rsidR="00A71EEF" w:rsidRDefault="0081115D">
      <w:pPr>
        <w:pStyle w:val="a3"/>
        <w:spacing w:before="11" w:line="446" w:lineRule="auto"/>
        <w:ind w:left="826" w:right="7427"/>
      </w:pPr>
      <w:r>
        <w:rPr>
          <w:spacing w:val="-7"/>
        </w:rPr>
        <w:t>检查数量：全数检查。</w:t>
      </w:r>
      <w:r>
        <w:rPr>
          <w:spacing w:val="-7"/>
        </w:rPr>
        <w:t xml:space="preserve">  </w:t>
      </w:r>
      <w:r>
        <w:rPr>
          <w:spacing w:val="-7"/>
        </w:rPr>
        <w:t>检查方法：直观检查。</w:t>
      </w:r>
      <w:r>
        <w:t xml:space="preserve"> </w:t>
      </w:r>
      <w:r>
        <w:rPr>
          <w:spacing w:val="3"/>
        </w:rPr>
        <w:t xml:space="preserve"> </w:t>
      </w:r>
      <w:r>
        <w:t xml:space="preserve"> </w:t>
      </w:r>
    </w:p>
    <w:p w14:paraId="52E0AC77" w14:textId="77777777" w:rsidR="00A71EEF" w:rsidRDefault="0081115D">
      <w:pPr>
        <w:pStyle w:val="a4"/>
        <w:numPr>
          <w:ilvl w:val="2"/>
          <w:numId w:val="145"/>
        </w:numPr>
        <w:tabs>
          <w:tab w:val="left" w:pos="1371"/>
        </w:tabs>
        <w:spacing w:before="31"/>
        <w:ind w:left="1370" w:hanging="531"/>
        <w:rPr>
          <w:sz w:val="21"/>
        </w:rPr>
      </w:pPr>
      <w:r>
        <w:rPr>
          <w:spacing w:val="-8"/>
          <w:sz w:val="21"/>
        </w:rPr>
        <w:t>防火卷帘的钢质帘面及卷门机、控制器等金属零部件的表面不应有裂纹、压坑及明</w:t>
      </w:r>
    </w:p>
    <w:p w14:paraId="1045338A" w14:textId="77777777" w:rsidR="00A71EEF" w:rsidRDefault="00A71EEF">
      <w:pPr>
        <w:rPr>
          <w:sz w:val="21"/>
        </w:rPr>
        <w:sectPr w:rsidR="00A71EEF">
          <w:pgSz w:w="11910" w:h="16850"/>
          <w:pgMar w:top="1220" w:right="0" w:bottom="1420" w:left="1260" w:header="0" w:footer="1239" w:gutter="0"/>
          <w:cols w:space="720"/>
        </w:sectPr>
      </w:pPr>
    </w:p>
    <w:p w14:paraId="49D6F499" w14:textId="77777777" w:rsidR="00A71EEF" w:rsidRDefault="0081115D">
      <w:pPr>
        <w:pStyle w:val="a3"/>
        <w:spacing w:before="47" w:line="465" w:lineRule="auto"/>
        <w:ind w:left="418" w:right="7105"/>
        <w:jc w:val="center"/>
      </w:pPr>
      <w:r>
        <w:t>显</w:t>
      </w:r>
      <w:r>
        <w:t xml:space="preserve"> </w:t>
      </w:r>
      <w:r>
        <w:t>的凹凸、锤痕、毛刺等缺陷。检查数量：全数检查。</w:t>
      </w:r>
      <w:r>
        <w:t xml:space="preserve"> </w:t>
      </w:r>
    </w:p>
    <w:p w14:paraId="567265A7" w14:textId="77777777" w:rsidR="00A71EEF" w:rsidRDefault="0081115D">
      <w:pPr>
        <w:pStyle w:val="a3"/>
        <w:spacing w:before="1"/>
        <w:ind w:right="6601"/>
        <w:jc w:val="center"/>
      </w:pPr>
      <w:r>
        <w:t>检查方法：直观检查。</w:t>
      </w:r>
      <w:r>
        <w:t xml:space="preserve">  </w:t>
      </w:r>
      <w:r>
        <w:t xml:space="preserve"> </w:t>
      </w:r>
    </w:p>
    <w:p w14:paraId="7DB289DC" w14:textId="77777777" w:rsidR="00A71EEF" w:rsidRDefault="00A71EEF">
      <w:pPr>
        <w:pStyle w:val="a3"/>
        <w:spacing w:before="6"/>
        <w:rPr>
          <w:sz w:val="18"/>
        </w:rPr>
      </w:pPr>
    </w:p>
    <w:p w14:paraId="455FC717" w14:textId="77777777" w:rsidR="00A71EEF" w:rsidRDefault="0081115D">
      <w:pPr>
        <w:pStyle w:val="a4"/>
        <w:numPr>
          <w:ilvl w:val="2"/>
          <w:numId w:val="145"/>
        </w:numPr>
        <w:tabs>
          <w:tab w:val="left" w:pos="1371"/>
        </w:tabs>
        <w:spacing w:line="446" w:lineRule="auto"/>
        <w:ind w:right="1575" w:firstLine="422"/>
        <w:rPr>
          <w:sz w:val="21"/>
        </w:rPr>
      </w:pPr>
      <w:r>
        <w:rPr>
          <w:spacing w:val="-8"/>
          <w:sz w:val="21"/>
        </w:rPr>
        <w:t>防火卷帘无机纤维复合帘面，不应有撕裂、缺角、挖补、倾斜、跳线、断线、经纬纱</w:t>
      </w:r>
      <w:r>
        <w:rPr>
          <w:spacing w:val="-6"/>
          <w:sz w:val="21"/>
        </w:rPr>
        <w:t>密度明显不匀及色差等缺陷。</w:t>
      </w:r>
      <w:r>
        <w:rPr>
          <w:sz w:val="21"/>
        </w:rPr>
        <w:t xml:space="preserve"> </w:t>
      </w:r>
    </w:p>
    <w:p w14:paraId="0665951A" w14:textId="77777777" w:rsidR="00A71EEF" w:rsidRDefault="0081115D">
      <w:pPr>
        <w:pStyle w:val="a3"/>
        <w:spacing w:before="22" w:line="456" w:lineRule="auto"/>
        <w:ind w:left="826" w:right="7537"/>
      </w:pPr>
      <w:r>
        <w:rPr>
          <w:spacing w:val="-7"/>
        </w:rPr>
        <w:t>检查数量：全数检查。</w:t>
      </w:r>
      <w:r>
        <w:rPr>
          <w:spacing w:val="-7"/>
        </w:rPr>
        <w:t xml:space="preserve"> </w:t>
      </w:r>
      <w:r>
        <w:rPr>
          <w:spacing w:val="-7"/>
        </w:rPr>
        <w:t>检查方法：直观检查。</w:t>
      </w:r>
      <w:r>
        <w:rPr>
          <w:b/>
        </w:rPr>
        <w:t>4.3</w:t>
      </w:r>
      <w:r>
        <w:rPr>
          <w:b/>
          <w:spacing w:val="2"/>
        </w:rPr>
        <w:t xml:space="preserve"> </w:t>
      </w:r>
      <w:r>
        <w:rPr>
          <w:spacing w:val="-3"/>
        </w:rPr>
        <w:t>防火门检验</w:t>
      </w:r>
      <w:r>
        <w:t xml:space="preserve"> </w:t>
      </w:r>
    </w:p>
    <w:p w14:paraId="0215AE76" w14:textId="77777777" w:rsidR="00A71EEF" w:rsidRDefault="0081115D">
      <w:pPr>
        <w:pStyle w:val="a4"/>
        <w:numPr>
          <w:ilvl w:val="2"/>
          <w:numId w:val="144"/>
        </w:numPr>
        <w:tabs>
          <w:tab w:val="left" w:pos="1370"/>
        </w:tabs>
        <w:spacing w:line="258" w:lineRule="exact"/>
        <w:ind w:hanging="530"/>
        <w:rPr>
          <w:sz w:val="21"/>
        </w:rPr>
      </w:pPr>
      <w:r>
        <w:rPr>
          <w:spacing w:val="-8"/>
          <w:sz w:val="21"/>
        </w:rPr>
        <w:t>防火门应具有出厂合格证和符合市场准入制度规定的有效证明文件，其型号、规格</w:t>
      </w:r>
      <w:r>
        <w:rPr>
          <w:sz w:val="21"/>
        </w:rPr>
        <w:t xml:space="preserve"> </w:t>
      </w:r>
    </w:p>
    <w:p w14:paraId="14D29832" w14:textId="77777777" w:rsidR="00A71EEF" w:rsidRDefault="00A71EEF">
      <w:pPr>
        <w:pStyle w:val="a3"/>
        <w:spacing w:before="12"/>
        <w:rPr>
          <w:sz w:val="17"/>
        </w:rPr>
      </w:pPr>
    </w:p>
    <w:p w14:paraId="6E2579E6" w14:textId="77777777" w:rsidR="00A71EEF" w:rsidRDefault="0081115D">
      <w:pPr>
        <w:pStyle w:val="a3"/>
        <w:spacing w:line="451" w:lineRule="auto"/>
        <w:ind w:left="826" w:right="7420" w:hanging="408"/>
      </w:pPr>
      <w:r>
        <w:t>及耐火性能应符合设计要求。检查数量：全数检查。</w:t>
      </w:r>
      <w:r>
        <w:t xml:space="preserve"> </w:t>
      </w:r>
    </w:p>
    <w:p w14:paraId="2EC26531" w14:textId="77777777" w:rsidR="00A71EEF" w:rsidRDefault="0081115D">
      <w:pPr>
        <w:pStyle w:val="a3"/>
        <w:spacing w:before="1" w:line="446" w:lineRule="auto"/>
        <w:ind w:left="418" w:right="1476" w:firstLine="419"/>
      </w:pPr>
      <w:r>
        <w:t xml:space="preserve"> </w:t>
      </w:r>
      <w:r>
        <w:t>检查方法：核查产品名称、型号、规格及耐火性能是否与符合市场准入制度规定的有效证明文件和设计要求相符。</w:t>
      </w:r>
      <w:r>
        <w:t xml:space="preserve">  </w:t>
      </w:r>
      <w:r>
        <w:t xml:space="preserve"> </w:t>
      </w:r>
    </w:p>
    <w:p w14:paraId="72B0CD5B" w14:textId="77777777" w:rsidR="00A71EEF" w:rsidRDefault="0081115D">
      <w:pPr>
        <w:pStyle w:val="a4"/>
        <w:numPr>
          <w:ilvl w:val="2"/>
          <w:numId w:val="144"/>
        </w:numPr>
        <w:tabs>
          <w:tab w:val="left" w:pos="1370"/>
        </w:tabs>
        <w:spacing w:before="29" w:line="446" w:lineRule="auto"/>
        <w:ind w:left="418" w:right="1496" w:firstLine="422"/>
        <w:rPr>
          <w:sz w:val="21"/>
        </w:rPr>
      </w:pPr>
      <w:r>
        <w:rPr>
          <w:spacing w:val="-8"/>
          <w:sz w:val="21"/>
        </w:rPr>
        <w:t>每樘防火门均应在其明显部位设置永久性标牌，并应标明产品名称、型号、规格、耐</w:t>
      </w:r>
      <w:r>
        <w:rPr>
          <w:spacing w:val="-6"/>
          <w:sz w:val="21"/>
        </w:rPr>
        <w:t>火性能及商标、生产单位</w:t>
      </w:r>
      <w:r>
        <w:rPr>
          <w:spacing w:val="-3"/>
          <w:sz w:val="21"/>
        </w:rPr>
        <w:t>（</w:t>
      </w:r>
      <w:r>
        <w:rPr>
          <w:spacing w:val="-4"/>
          <w:sz w:val="21"/>
        </w:rPr>
        <w:t>制造商</w:t>
      </w:r>
      <w:r>
        <w:rPr>
          <w:spacing w:val="-8"/>
          <w:sz w:val="21"/>
        </w:rPr>
        <w:t>）</w:t>
      </w:r>
      <w:r>
        <w:rPr>
          <w:spacing w:val="-7"/>
          <w:sz w:val="21"/>
        </w:rPr>
        <w:t>名称和厂址、出厂日期及产品生产批号、执行标准等。</w:t>
      </w:r>
      <w:r>
        <w:rPr>
          <w:sz w:val="21"/>
        </w:rPr>
        <w:t xml:space="preserve"> </w:t>
      </w:r>
    </w:p>
    <w:p w14:paraId="03C323FC" w14:textId="77777777" w:rsidR="00A71EEF" w:rsidRDefault="0081115D">
      <w:pPr>
        <w:pStyle w:val="a3"/>
        <w:spacing w:before="20"/>
        <w:ind w:left="826"/>
      </w:pPr>
      <w:r>
        <w:rPr>
          <w:spacing w:val="-7"/>
        </w:rPr>
        <w:t>检查数量：全数检查。</w:t>
      </w:r>
      <w:r>
        <w:t xml:space="preserve"> </w:t>
      </w:r>
    </w:p>
    <w:p w14:paraId="70481AD7" w14:textId="77777777" w:rsidR="00A71EEF" w:rsidRDefault="00A71EEF">
      <w:pPr>
        <w:pStyle w:val="a3"/>
        <w:spacing w:before="8"/>
        <w:rPr>
          <w:sz w:val="19"/>
        </w:rPr>
      </w:pPr>
    </w:p>
    <w:p w14:paraId="193A8EF6" w14:textId="77777777" w:rsidR="00A71EEF" w:rsidRDefault="0081115D">
      <w:pPr>
        <w:pStyle w:val="a3"/>
        <w:ind w:left="418"/>
      </w:pPr>
      <w:r>
        <w:t xml:space="preserve">   </w:t>
      </w:r>
      <w:r>
        <w:rPr>
          <w:spacing w:val="-3"/>
        </w:rPr>
        <w:t xml:space="preserve"> </w:t>
      </w:r>
      <w:r>
        <w:rPr>
          <w:spacing w:val="-7"/>
        </w:rPr>
        <w:t>检查方法：直观检查。</w:t>
      </w:r>
      <w:r>
        <w:rPr>
          <w:spacing w:val="-7"/>
        </w:rPr>
        <w:t xml:space="preserve"> </w:t>
      </w:r>
      <w:r>
        <w:rPr>
          <w:spacing w:val="-9"/>
        </w:rPr>
        <w:t xml:space="preserve"> </w:t>
      </w:r>
      <w:r>
        <w:t xml:space="preserve"> </w:t>
      </w:r>
    </w:p>
    <w:p w14:paraId="768B39B9" w14:textId="77777777" w:rsidR="00A71EEF" w:rsidRDefault="00A71EEF">
      <w:pPr>
        <w:pStyle w:val="a3"/>
        <w:spacing w:before="11"/>
        <w:rPr>
          <w:sz w:val="18"/>
        </w:rPr>
      </w:pPr>
    </w:p>
    <w:p w14:paraId="56325D8D" w14:textId="77777777" w:rsidR="00A71EEF" w:rsidRDefault="0081115D">
      <w:pPr>
        <w:pStyle w:val="a4"/>
        <w:numPr>
          <w:ilvl w:val="2"/>
          <w:numId w:val="144"/>
        </w:numPr>
        <w:tabs>
          <w:tab w:val="left" w:pos="1370"/>
        </w:tabs>
        <w:ind w:hanging="530"/>
        <w:rPr>
          <w:sz w:val="21"/>
        </w:rPr>
      </w:pPr>
      <w:r>
        <w:rPr>
          <w:spacing w:val="-8"/>
          <w:sz w:val="21"/>
        </w:rPr>
        <w:t>防火门的门框、门扇及各配件表面应平整、光洁，并应无明显凹痕或机械损伤。</w:t>
      </w:r>
      <w:r>
        <w:rPr>
          <w:sz w:val="21"/>
        </w:rPr>
        <w:t xml:space="preserve">   </w:t>
      </w:r>
    </w:p>
    <w:p w14:paraId="653BC110" w14:textId="77777777" w:rsidR="00A71EEF" w:rsidRDefault="00A71EEF">
      <w:pPr>
        <w:pStyle w:val="a3"/>
        <w:spacing w:before="2"/>
        <w:rPr>
          <w:sz w:val="18"/>
        </w:rPr>
      </w:pPr>
    </w:p>
    <w:p w14:paraId="406A70A8" w14:textId="77777777" w:rsidR="00A71EEF" w:rsidRDefault="0081115D">
      <w:pPr>
        <w:pStyle w:val="a3"/>
        <w:spacing w:line="448" w:lineRule="auto"/>
        <w:ind w:left="840" w:right="5977" w:hanging="423"/>
      </w:pPr>
      <w:r>
        <w:t>检查数量：全数检查。检查方法：直观检查。</w:t>
      </w:r>
      <w:r>
        <w:rPr>
          <w:b/>
        </w:rPr>
        <w:t xml:space="preserve">4.4 </w:t>
      </w:r>
      <w:r>
        <w:t>防火窗检验</w:t>
      </w:r>
      <w:r>
        <w:t xml:space="preserve"> </w:t>
      </w:r>
    </w:p>
    <w:p w14:paraId="4E70C1CF" w14:textId="77777777" w:rsidR="00A71EEF" w:rsidRDefault="0081115D">
      <w:pPr>
        <w:pStyle w:val="a4"/>
        <w:numPr>
          <w:ilvl w:val="2"/>
          <w:numId w:val="143"/>
        </w:numPr>
        <w:tabs>
          <w:tab w:val="left" w:pos="1370"/>
        </w:tabs>
        <w:spacing w:line="264" w:lineRule="exact"/>
        <w:ind w:hanging="530"/>
        <w:rPr>
          <w:sz w:val="21"/>
        </w:rPr>
      </w:pPr>
      <w:r>
        <w:rPr>
          <w:spacing w:val="-8"/>
          <w:sz w:val="21"/>
        </w:rPr>
        <w:t>防火窗应具有出厂合格证和符合市场准入制度规定的有效证明文件，其型号、规格</w:t>
      </w:r>
      <w:r>
        <w:rPr>
          <w:sz w:val="21"/>
        </w:rPr>
        <w:t xml:space="preserve"> </w:t>
      </w:r>
    </w:p>
    <w:p w14:paraId="56C807CD" w14:textId="77777777" w:rsidR="00A71EEF" w:rsidRDefault="00A71EEF">
      <w:pPr>
        <w:pStyle w:val="a3"/>
        <w:rPr>
          <w:sz w:val="18"/>
        </w:rPr>
      </w:pPr>
    </w:p>
    <w:p w14:paraId="52E02900" w14:textId="77777777" w:rsidR="00A71EEF" w:rsidRDefault="0081115D">
      <w:pPr>
        <w:pStyle w:val="a3"/>
        <w:ind w:left="418"/>
      </w:pPr>
      <w:r>
        <w:t>及耐火性能应符合设计要求。</w:t>
      </w:r>
      <w:r>
        <w:t xml:space="preserve"> </w:t>
      </w:r>
    </w:p>
    <w:p w14:paraId="7C91C38E" w14:textId="77777777" w:rsidR="00A71EEF" w:rsidRDefault="00A71EEF">
      <w:pPr>
        <w:pStyle w:val="a3"/>
        <w:spacing w:before="2"/>
        <w:rPr>
          <w:sz w:val="18"/>
        </w:rPr>
      </w:pPr>
    </w:p>
    <w:p w14:paraId="7F0827A0" w14:textId="77777777" w:rsidR="00A71EEF" w:rsidRDefault="0081115D">
      <w:pPr>
        <w:pStyle w:val="a3"/>
        <w:spacing w:line="446" w:lineRule="auto"/>
        <w:ind w:left="418" w:right="1522" w:firstLine="407"/>
      </w:pPr>
      <w:r>
        <w:t>检查数量：全数检查。</w:t>
      </w:r>
      <w:r>
        <w:t xml:space="preserve"> </w:t>
      </w:r>
      <w:r>
        <w:t>检查方法：核查产品名称、型号、规格及耐火性能是否与符合市场准入制度规定的有效证明文件和设计要求相符。</w:t>
      </w:r>
      <w:r>
        <w:t xml:space="preserve"> </w:t>
      </w:r>
    </w:p>
    <w:p w14:paraId="76E52DDE" w14:textId="77777777" w:rsidR="00A71EEF" w:rsidRDefault="0081115D">
      <w:pPr>
        <w:pStyle w:val="a4"/>
        <w:numPr>
          <w:ilvl w:val="2"/>
          <w:numId w:val="143"/>
        </w:numPr>
        <w:tabs>
          <w:tab w:val="left" w:pos="1370"/>
        </w:tabs>
        <w:spacing w:before="24" w:line="448" w:lineRule="auto"/>
        <w:ind w:left="418" w:right="1575" w:firstLine="422"/>
        <w:rPr>
          <w:sz w:val="21"/>
        </w:rPr>
      </w:pPr>
      <w:r>
        <w:rPr>
          <w:spacing w:val="-8"/>
          <w:sz w:val="21"/>
        </w:rPr>
        <w:t>每樘防火窗均应在其明显部位设置永久性标牌，并应标明产品名称、型号、规格、生</w:t>
      </w:r>
      <w:r>
        <w:rPr>
          <w:spacing w:val="-4"/>
          <w:sz w:val="21"/>
        </w:rPr>
        <w:t>产单位</w:t>
      </w:r>
      <w:r>
        <w:rPr>
          <w:spacing w:val="-3"/>
          <w:sz w:val="21"/>
        </w:rPr>
        <w:t>（</w:t>
      </w:r>
      <w:r>
        <w:rPr>
          <w:spacing w:val="-6"/>
          <w:sz w:val="21"/>
        </w:rPr>
        <w:t>制造商</w:t>
      </w:r>
      <w:r>
        <w:rPr>
          <w:spacing w:val="-3"/>
          <w:sz w:val="21"/>
        </w:rPr>
        <w:t>）</w:t>
      </w:r>
      <w:r>
        <w:rPr>
          <w:spacing w:val="-8"/>
          <w:sz w:val="21"/>
        </w:rPr>
        <w:t>名称和地址、产品生产日期或生产编号、出厂日期、执行标准等。</w:t>
      </w:r>
      <w:r>
        <w:rPr>
          <w:sz w:val="21"/>
        </w:rPr>
        <w:t xml:space="preserve"> </w:t>
      </w:r>
    </w:p>
    <w:p w14:paraId="511D8A85" w14:textId="77777777" w:rsidR="00A71EEF" w:rsidRDefault="0081115D">
      <w:pPr>
        <w:pStyle w:val="a3"/>
        <w:spacing w:line="266" w:lineRule="exact"/>
        <w:ind w:left="826"/>
      </w:pPr>
      <w:r>
        <w:t>检查数量：全数检查。</w:t>
      </w:r>
      <w:r>
        <w:t xml:space="preserve"> </w:t>
      </w:r>
      <w:r>
        <w:t>检查方法：直观检查。</w:t>
      </w:r>
      <w:r>
        <w:t xml:space="preserve"> </w:t>
      </w:r>
    </w:p>
    <w:p w14:paraId="7557E74E" w14:textId="77777777" w:rsidR="00A71EEF" w:rsidRDefault="00A71EEF">
      <w:pPr>
        <w:pStyle w:val="a3"/>
        <w:spacing w:before="9"/>
        <w:rPr>
          <w:sz w:val="18"/>
        </w:rPr>
      </w:pPr>
    </w:p>
    <w:p w14:paraId="4851971E" w14:textId="77777777" w:rsidR="00A71EEF" w:rsidRDefault="0081115D">
      <w:pPr>
        <w:pStyle w:val="a4"/>
        <w:numPr>
          <w:ilvl w:val="2"/>
          <w:numId w:val="143"/>
        </w:numPr>
        <w:tabs>
          <w:tab w:val="left" w:pos="1370"/>
        </w:tabs>
        <w:ind w:hanging="530"/>
        <w:rPr>
          <w:sz w:val="21"/>
        </w:rPr>
      </w:pPr>
      <w:r>
        <w:rPr>
          <w:spacing w:val="-8"/>
          <w:sz w:val="21"/>
        </w:rPr>
        <w:t>防火窗表面应平整、光洁，并应无明显凹痕或机械损伤。</w:t>
      </w:r>
      <w:r>
        <w:rPr>
          <w:spacing w:val="-3"/>
          <w:sz w:val="21"/>
        </w:rPr>
        <w:t xml:space="preserve"> </w:t>
      </w:r>
      <w:r>
        <w:rPr>
          <w:sz w:val="21"/>
        </w:rPr>
        <w:t xml:space="preserve"> </w:t>
      </w:r>
    </w:p>
    <w:p w14:paraId="7D1F366E" w14:textId="77777777" w:rsidR="00A71EEF" w:rsidRDefault="00A71EEF">
      <w:pPr>
        <w:rPr>
          <w:sz w:val="21"/>
        </w:rPr>
        <w:sectPr w:rsidR="00A71EEF">
          <w:pgSz w:w="11910" w:h="16850"/>
          <w:pgMar w:top="1220" w:right="0" w:bottom="1420" w:left="1260" w:header="0" w:footer="1239" w:gutter="0"/>
          <w:cols w:space="720"/>
        </w:sectPr>
      </w:pPr>
    </w:p>
    <w:p w14:paraId="317826AD" w14:textId="77777777" w:rsidR="00A71EEF" w:rsidRDefault="0081115D">
      <w:pPr>
        <w:pStyle w:val="a3"/>
        <w:spacing w:before="45" w:line="463" w:lineRule="auto"/>
        <w:ind w:left="826" w:right="7641"/>
      </w:pPr>
      <w:r>
        <w:t>检查数量：全数检查。检查方法：直观检查。</w:t>
      </w:r>
      <w:r>
        <w:t xml:space="preserve"> </w:t>
      </w:r>
    </w:p>
    <w:p w14:paraId="6970997B" w14:textId="77777777" w:rsidR="00A71EEF" w:rsidRDefault="0081115D">
      <w:pPr>
        <w:pStyle w:val="4"/>
        <w:spacing w:line="259" w:lineRule="exact"/>
      </w:pPr>
      <w:r>
        <w:t xml:space="preserve">5 </w:t>
      </w:r>
      <w:r>
        <w:t>安装</w:t>
      </w:r>
      <w:r>
        <w:rPr>
          <w:w w:val="99"/>
        </w:rPr>
        <w:t xml:space="preserve"> </w:t>
      </w:r>
    </w:p>
    <w:p w14:paraId="1FBCED56" w14:textId="77777777" w:rsidR="00A71EEF" w:rsidRDefault="00A71EEF">
      <w:pPr>
        <w:pStyle w:val="a3"/>
        <w:spacing w:before="6"/>
        <w:rPr>
          <w:b/>
          <w:sz w:val="17"/>
        </w:rPr>
      </w:pPr>
    </w:p>
    <w:p w14:paraId="2DE9B411" w14:textId="77777777" w:rsidR="00A71EEF" w:rsidRDefault="0081115D">
      <w:pPr>
        <w:pStyle w:val="a4"/>
        <w:numPr>
          <w:ilvl w:val="1"/>
          <w:numId w:val="142"/>
        </w:numPr>
        <w:tabs>
          <w:tab w:val="left" w:pos="1159"/>
        </w:tabs>
        <w:ind w:hanging="319"/>
        <w:rPr>
          <w:b/>
          <w:sz w:val="21"/>
        </w:rPr>
      </w:pPr>
      <w:r>
        <w:rPr>
          <w:spacing w:val="-3"/>
          <w:sz w:val="21"/>
        </w:rPr>
        <w:t>一般规定</w:t>
      </w:r>
      <w:r>
        <w:rPr>
          <w:b/>
          <w:w w:val="99"/>
          <w:sz w:val="21"/>
        </w:rPr>
        <w:t xml:space="preserve"> </w:t>
      </w:r>
    </w:p>
    <w:p w14:paraId="79ADB003" w14:textId="77777777" w:rsidR="00A71EEF" w:rsidRDefault="00A71EEF">
      <w:pPr>
        <w:pStyle w:val="a3"/>
        <w:spacing w:before="12"/>
        <w:rPr>
          <w:b/>
          <w:sz w:val="17"/>
        </w:rPr>
      </w:pPr>
    </w:p>
    <w:p w14:paraId="17465A01" w14:textId="77777777" w:rsidR="00A71EEF" w:rsidRDefault="0081115D">
      <w:pPr>
        <w:pStyle w:val="a4"/>
        <w:numPr>
          <w:ilvl w:val="2"/>
          <w:numId w:val="142"/>
        </w:numPr>
        <w:tabs>
          <w:tab w:val="left" w:pos="1371"/>
        </w:tabs>
        <w:spacing w:before="1" w:line="446" w:lineRule="auto"/>
        <w:ind w:right="1644" w:firstLine="422"/>
        <w:rPr>
          <w:sz w:val="21"/>
        </w:rPr>
      </w:pPr>
      <w:r>
        <w:rPr>
          <w:spacing w:val="-8"/>
          <w:sz w:val="21"/>
        </w:rPr>
        <w:t>防火卷帘、防火门、防火窗的安装，应符合施工图、设计说明书及设计变更通知单</w:t>
      </w:r>
      <w:r>
        <w:rPr>
          <w:spacing w:val="-7"/>
          <w:sz w:val="21"/>
        </w:rPr>
        <w:t>等</w:t>
      </w:r>
      <w:r>
        <w:rPr>
          <w:spacing w:val="-7"/>
          <w:sz w:val="21"/>
        </w:rPr>
        <w:t xml:space="preserve"> </w:t>
      </w:r>
      <w:r>
        <w:rPr>
          <w:spacing w:val="-7"/>
          <w:sz w:val="21"/>
        </w:rPr>
        <w:t>技术文件的要求。</w:t>
      </w:r>
      <w:r>
        <w:rPr>
          <w:sz w:val="21"/>
        </w:rPr>
        <w:t xml:space="preserve"> </w:t>
      </w:r>
    </w:p>
    <w:p w14:paraId="00F79609" w14:textId="77777777" w:rsidR="00A71EEF" w:rsidRDefault="0081115D">
      <w:pPr>
        <w:pStyle w:val="a4"/>
        <w:numPr>
          <w:ilvl w:val="2"/>
          <w:numId w:val="142"/>
        </w:numPr>
        <w:tabs>
          <w:tab w:val="left" w:pos="1371"/>
          <w:tab w:val="left" w:pos="2429"/>
        </w:tabs>
        <w:spacing w:line="446" w:lineRule="auto"/>
        <w:ind w:right="1544" w:firstLine="422"/>
        <w:rPr>
          <w:sz w:val="21"/>
        </w:rPr>
      </w:pPr>
      <w:r>
        <w:rPr>
          <w:spacing w:val="-3"/>
          <w:sz w:val="21"/>
        </w:rPr>
        <w:t>防</w:t>
      </w:r>
      <w:r>
        <w:rPr>
          <w:spacing w:val="-8"/>
          <w:sz w:val="21"/>
        </w:rPr>
        <w:t>火</w:t>
      </w:r>
      <w:r>
        <w:rPr>
          <w:sz w:val="21"/>
        </w:rPr>
        <w:t>卷</w:t>
      </w:r>
      <w:r>
        <w:rPr>
          <w:spacing w:val="-3"/>
          <w:sz w:val="21"/>
        </w:rPr>
        <w:t>帘</w:t>
      </w:r>
      <w:r>
        <w:rPr>
          <w:spacing w:val="-7"/>
          <w:sz w:val="21"/>
        </w:rPr>
        <w:t>、</w:t>
      </w:r>
      <w:r>
        <w:rPr>
          <w:spacing w:val="-3"/>
          <w:sz w:val="21"/>
        </w:rPr>
        <w:t>防</w:t>
      </w:r>
      <w:r>
        <w:rPr>
          <w:spacing w:val="-8"/>
          <w:sz w:val="21"/>
        </w:rPr>
        <w:t>火门</w:t>
      </w:r>
      <w:r>
        <w:rPr>
          <w:sz w:val="21"/>
        </w:rPr>
        <w:t>、防</w:t>
      </w:r>
      <w:r>
        <w:rPr>
          <w:spacing w:val="-3"/>
          <w:sz w:val="21"/>
        </w:rPr>
        <w:t>火</w:t>
      </w:r>
      <w:r>
        <w:rPr>
          <w:spacing w:val="-8"/>
          <w:sz w:val="21"/>
        </w:rPr>
        <w:t>窗</w:t>
      </w:r>
      <w:r>
        <w:rPr>
          <w:spacing w:val="-3"/>
          <w:sz w:val="21"/>
        </w:rPr>
        <w:t>的</w:t>
      </w:r>
      <w:r>
        <w:rPr>
          <w:spacing w:val="-5"/>
          <w:sz w:val="21"/>
        </w:rPr>
        <w:t>安</w:t>
      </w:r>
      <w:r>
        <w:rPr>
          <w:spacing w:val="-3"/>
          <w:sz w:val="21"/>
        </w:rPr>
        <w:t>装过</w:t>
      </w:r>
      <w:r>
        <w:rPr>
          <w:spacing w:val="-5"/>
          <w:sz w:val="21"/>
        </w:rPr>
        <w:t>程</w:t>
      </w:r>
      <w:r>
        <w:rPr>
          <w:sz w:val="21"/>
        </w:rPr>
        <w:t>应</w:t>
      </w:r>
      <w:r>
        <w:rPr>
          <w:spacing w:val="-8"/>
          <w:sz w:val="21"/>
        </w:rPr>
        <w:t>进</w:t>
      </w:r>
      <w:r>
        <w:rPr>
          <w:sz w:val="21"/>
        </w:rPr>
        <w:t>行质</w:t>
      </w:r>
      <w:r>
        <w:rPr>
          <w:spacing w:val="-3"/>
          <w:sz w:val="21"/>
        </w:rPr>
        <w:t>量</w:t>
      </w:r>
      <w:r>
        <w:rPr>
          <w:spacing w:val="-8"/>
          <w:sz w:val="21"/>
        </w:rPr>
        <w:t>控</w:t>
      </w:r>
      <w:r>
        <w:rPr>
          <w:spacing w:val="-3"/>
          <w:sz w:val="21"/>
        </w:rPr>
        <w:t>制</w:t>
      </w:r>
      <w:r>
        <w:rPr>
          <w:spacing w:val="-5"/>
          <w:sz w:val="21"/>
        </w:rPr>
        <w:t>。</w:t>
      </w:r>
      <w:r>
        <w:rPr>
          <w:spacing w:val="-3"/>
          <w:sz w:val="21"/>
        </w:rPr>
        <w:t>每道</w:t>
      </w:r>
      <w:r>
        <w:rPr>
          <w:spacing w:val="-5"/>
          <w:sz w:val="21"/>
        </w:rPr>
        <w:t>工</w:t>
      </w:r>
      <w:r>
        <w:rPr>
          <w:spacing w:val="-3"/>
          <w:sz w:val="21"/>
        </w:rPr>
        <w:t>序</w:t>
      </w:r>
      <w:r>
        <w:rPr>
          <w:spacing w:val="-7"/>
          <w:sz w:val="21"/>
        </w:rPr>
        <w:t>结</w:t>
      </w:r>
      <w:r>
        <w:rPr>
          <w:sz w:val="21"/>
        </w:rPr>
        <w:t>束后</w:t>
      </w:r>
      <w:r>
        <w:rPr>
          <w:spacing w:val="-3"/>
          <w:sz w:val="21"/>
        </w:rPr>
        <w:t>应</w:t>
      </w:r>
      <w:r>
        <w:rPr>
          <w:spacing w:val="-8"/>
          <w:sz w:val="21"/>
        </w:rPr>
        <w:t>进</w:t>
      </w:r>
      <w:r>
        <w:rPr>
          <w:spacing w:val="-3"/>
          <w:sz w:val="21"/>
        </w:rPr>
        <w:t>行</w:t>
      </w:r>
      <w:r>
        <w:rPr>
          <w:spacing w:val="-5"/>
          <w:sz w:val="21"/>
        </w:rPr>
        <w:t>质</w:t>
      </w:r>
      <w:r>
        <w:rPr>
          <w:spacing w:val="-5"/>
          <w:sz w:val="21"/>
        </w:rPr>
        <w:t xml:space="preserve">  </w:t>
      </w:r>
      <w:r>
        <w:rPr>
          <w:sz w:val="21"/>
        </w:rPr>
        <w:t>量</w:t>
      </w:r>
      <w:r>
        <w:rPr>
          <w:spacing w:val="-3"/>
          <w:sz w:val="21"/>
        </w:rPr>
        <w:t>检</w:t>
      </w:r>
      <w:r>
        <w:rPr>
          <w:spacing w:val="-8"/>
          <w:sz w:val="21"/>
        </w:rPr>
        <w:t>查</w:t>
      </w:r>
      <w:r>
        <w:rPr>
          <w:spacing w:val="-87"/>
          <w:sz w:val="21"/>
        </w:rPr>
        <w:t>，</w:t>
      </w:r>
      <w:r>
        <w:rPr>
          <w:spacing w:val="-3"/>
          <w:sz w:val="21"/>
        </w:rPr>
        <w:t>检</w:t>
      </w:r>
      <w:r>
        <w:rPr>
          <w:spacing w:val="-5"/>
          <w:sz w:val="21"/>
        </w:rPr>
        <w:t>查</w:t>
      </w:r>
      <w:r>
        <w:rPr>
          <w:spacing w:val="-3"/>
          <w:sz w:val="21"/>
        </w:rPr>
        <w:t>应由</w:t>
      </w:r>
      <w:r>
        <w:rPr>
          <w:spacing w:val="-5"/>
          <w:sz w:val="21"/>
        </w:rPr>
        <w:t>施</w:t>
      </w:r>
      <w:r>
        <w:rPr>
          <w:spacing w:val="-3"/>
          <w:sz w:val="21"/>
        </w:rPr>
        <w:t>工</w:t>
      </w:r>
      <w:r>
        <w:rPr>
          <w:spacing w:val="-7"/>
          <w:sz w:val="21"/>
        </w:rPr>
        <w:t>单</w:t>
      </w:r>
      <w:r>
        <w:rPr>
          <w:spacing w:val="-3"/>
          <w:sz w:val="21"/>
        </w:rPr>
        <w:t>位</w:t>
      </w:r>
      <w:r>
        <w:rPr>
          <w:sz w:val="21"/>
        </w:rPr>
        <w:t>负</w:t>
      </w:r>
      <w:r>
        <w:rPr>
          <w:spacing w:val="-8"/>
          <w:sz w:val="21"/>
        </w:rPr>
        <w:t>责</w:t>
      </w:r>
      <w:r>
        <w:rPr>
          <w:spacing w:val="-87"/>
          <w:sz w:val="21"/>
        </w:rPr>
        <w:t>，</w:t>
      </w:r>
      <w:r>
        <w:rPr>
          <w:spacing w:val="-3"/>
          <w:sz w:val="21"/>
        </w:rPr>
        <w:t>并</w:t>
      </w:r>
      <w:r>
        <w:rPr>
          <w:spacing w:val="-8"/>
          <w:sz w:val="21"/>
        </w:rPr>
        <w:t>应</w:t>
      </w:r>
      <w:r>
        <w:rPr>
          <w:sz w:val="21"/>
        </w:rPr>
        <w:t>由</w:t>
      </w:r>
      <w:r>
        <w:rPr>
          <w:spacing w:val="-3"/>
          <w:sz w:val="21"/>
        </w:rPr>
        <w:t>监</w:t>
      </w:r>
      <w:r>
        <w:rPr>
          <w:spacing w:val="-8"/>
          <w:sz w:val="21"/>
        </w:rPr>
        <w:t>理</w:t>
      </w:r>
      <w:r>
        <w:rPr>
          <w:spacing w:val="-3"/>
          <w:sz w:val="21"/>
        </w:rPr>
        <w:t>单</w:t>
      </w:r>
      <w:r>
        <w:rPr>
          <w:spacing w:val="-5"/>
          <w:sz w:val="21"/>
        </w:rPr>
        <w:t>位</w:t>
      </w:r>
      <w:r>
        <w:rPr>
          <w:spacing w:val="-3"/>
          <w:sz w:val="21"/>
        </w:rPr>
        <w:t>监</w:t>
      </w:r>
      <w:r>
        <w:rPr>
          <w:spacing w:val="-7"/>
          <w:sz w:val="21"/>
        </w:rPr>
        <w:t>督</w:t>
      </w:r>
      <w:r>
        <w:rPr>
          <w:spacing w:val="-84"/>
          <w:sz w:val="21"/>
        </w:rPr>
        <w:t>。</w:t>
      </w:r>
      <w:r>
        <w:rPr>
          <w:spacing w:val="-5"/>
          <w:sz w:val="21"/>
        </w:rPr>
        <w:t>隐</w:t>
      </w:r>
      <w:r>
        <w:rPr>
          <w:spacing w:val="-3"/>
          <w:sz w:val="21"/>
        </w:rPr>
        <w:t>蔽</w:t>
      </w:r>
      <w:r>
        <w:rPr>
          <w:spacing w:val="-8"/>
          <w:sz w:val="21"/>
        </w:rPr>
        <w:t>工</w:t>
      </w:r>
      <w:r>
        <w:rPr>
          <w:sz w:val="21"/>
        </w:rPr>
        <w:t>程</w:t>
      </w:r>
      <w:r>
        <w:rPr>
          <w:spacing w:val="-3"/>
          <w:sz w:val="21"/>
        </w:rPr>
        <w:t>在</w:t>
      </w:r>
      <w:r>
        <w:rPr>
          <w:spacing w:val="-8"/>
          <w:sz w:val="21"/>
        </w:rPr>
        <w:t>隐</w:t>
      </w:r>
      <w:r>
        <w:rPr>
          <w:spacing w:val="-3"/>
          <w:sz w:val="21"/>
        </w:rPr>
        <w:t>蔽</w:t>
      </w:r>
      <w:r>
        <w:rPr>
          <w:spacing w:val="-5"/>
          <w:sz w:val="21"/>
        </w:rPr>
        <w:t>前</w:t>
      </w:r>
      <w:r>
        <w:rPr>
          <w:spacing w:val="-3"/>
          <w:sz w:val="21"/>
        </w:rPr>
        <w:t>应由</w:t>
      </w:r>
      <w:r>
        <w:rPr>
          <w:spacing w:val="-7"/>
          <w:sz w:val="21"/>
        </w:rPr>
        <w:t>施</w:t>
      </w:r>
      <w:r>
        <w:rPr>
          <w:sz w:val="21"/>
        </w:rPr>
        <w:t>工</w:t>
      </w:r>
      <w:r>
        <w:rPr>
          <w:spacing w:val="-8"/>
          <w:sz w:val="21"/>
        </w:rPr>
        <w:t>单位</w:t>
      </w:r>
      <w:r>
        <w:rPr>
          <w:sz w:val="21"/>
        </w:rPr>
        <w:t>通</w:t>
      </w:r>
      <w:r>
        <w:rPr>
          <w:spacing w:val="20"/>
          <w:sz w:val="21"/>
        </w:rPr>
        <w:t xml:space="preserve"> </w:t>
      </w:r>
      <w:r>
        <w:rPr>
          <w:sz w:val="21"/>
        </w:rPr>
        <w:t>知有</w:t>
      </w:r>
      <w:r>
        <w:rPr>
          <w:spacing w:val="-5"/>
          <w:sz w:val="21"/>
        </w:rPr>
        <w:t>关</w:t>
      </w:r>
      <w:r>
        <w:rPr>
          <w:spacing w:val="-3"/>
          <w:sz w:val="21"/>
        </w:rPr>
        <w:t>单</w:t>
      </w:r>
      <w:r>
        <w:rPr>
          <w:spacing w:val="-8"/>
          <w:sz w:val="21"/>
        </w:rPr>
        <w:t>位</w:t>
      </w:r>
      <w:r>
        <w:rPr>
          <w:spacing w:val="-3"/>
          <w:sz w:val="21"/>
        </w:rPr>
        <w:t>进</w:t>
      </w:r>
      <w:r>
        <w:rPr>
          <w:spacing w:val="-5"/>
          <w:sz w:val="21"/>
        </w:rPr>
        <w:t>行</w:t>
      </w:r>
      <w:r>
        <w:rPr>
          <w:spacing w:val="-3"/>
          <w:sz w:val="21"/>
        </w:rPr>
        <w:t>验</w:t>
      </w:r>
      <w:r>
        <w:rPr>
          <w:spacing w:val="-8"/>
          <w:sz w:val="21"/>
        </w:rPr>
        <w:t>收</w:t>
      </w:r>
      <w:r>
        <w:rPr>
          <w:spacing w:val="-3"/>
          <w:sz w:val="21"/>
        </w:rPr>
        <w:t>。</w:t>
      </w:r>
      <w:r>
        <w:rPr>
          <w:sz w:val="21"/>
        </w:rPr>
        <w:t xml:space="preserve"> </w:t>
      </w:r>
      <w:r>
        <w:rPr>
          <w:sz w:val="21"/>
        </w:rPr>
        <w:tab/>
      </w:r>
      <w:r>
        <w:rPr>
          <w:sz w:val="21"/>
        </w:rPr>
        <w:t xml:space="preserve"> </w:t>
      </w:r>
    </w:p>
    <w:p w14:paraId="35437731" w14:textId="77777777" w:rsidR="00A71EEF" w:rsidRDefault="0081115D">
      <w:pPr>
        <w:pStyle w:val="a4"/>
        <w:numPr>
          <w:ilvl w:val="2"/>
          <w:numId w:val="142"/>
        </w:numPr>
        <w:tabs>
          <w:tab w:val="left" w:pos="1371"/>
        </w:tabs>
        <w:spacing w:line="446" w:lineRule="auto"/>
        <w:ind w:right="1642" w:firstLine="422"/>
        <w:jc w:val="both"/>
        <w:rPr>
          <w:sz w:val="21"/>
        </w:rPr>
      </w:pPr>
      <w:r>
        <w:rPr>
          <w:spacing w:val="-10"/>
          <w:sz w:val="21"/>
        </w:rPr>
        <w:t>防火卷帘、防火门、防火窗安装过程的检查，应按本规范附录</w:t>
      </w:r>
      <w:r>
        <w:rPr>
          <w:spacing w:val="-10"/>
          <w:sz w:val="21"/>
        </w:rPr>
        <w:t xml:space="preserve"> </w:t>
      </w:r>
      <w:r>
        <w:rPr>
          <w:spacing w:val="-3"/>
          <w:sz w:val="21"/>
        </w:rPr>
        <w:t>C</w:t>
      </w:r>
      <w:r>
        <w:rPr>
          <w:spacing w:val="-6"/>
          <w:sz w:val="21"/>
        </w:rPr>
        <w:t xml:space="preserve"> </w:t>
      </w:r>
      <w:r>
        <w:rPr>
          <w:spacing w:val="-6"/>
          <w:sz w:val="21"/>
        </w:rPr>
        <w:t>表</w:t>
      </w:r>
      <w:r>
        <w:rPr>
          <w:spacing w:val="-6"/>
          <w:sz w:val="21"/>
        </w:rPr>
        <w:t xml:space="preserve"> </w:t>
      </w:r>
      <w:r>
        <w:rPr>
          <w:spacing w:val="-3"/>
          <w:sz w:val="21"/>
        </w:rPr>
        <w:t>C.0.1-2</w:t>
      </w:r>
      <w:r>
        <w:rPr>
          <w:spacing w:val="11"/>
          <w:sz w:val="21"/>
        </w:rPr>
        <w:t xml:space="preserve"> </w:t>
      </w:r>
      <w:r>
        <w:rPr>
          <w:spacing w:val="11"/>
          <w:sz w:val="21"/>
        </w:rPr>
        <w:t>填写安</w:t>
      </w:r>
      <w:r>
        <w:rPr>
          <w:spacing w:val="-14"/>
          <w:sz w:val="21"/>
        </w:rPr>
        <w:t>装</w:t>
      </w:r>
      <w:r>
        <w:rPr>
          <w:spacing w:val="-14"/>
          <w:sz w:val="21"/>
        </w:rPr>
        <w:t xml:space="preserve"> </w:t>
      </w:r>
      <w:r>
        <w:rPr>
          <w:spacing w:val="-14"/>
          <w:sz w:val="21"/>
        </w:rPr>
        <w:t>过程检查记录，按表</w:t>
      </w:r>
      <w:r>
        <w:rPr>
          <w:spacing w:val="-14"/>
          <w:sz w:val="21"/>
        </w:rPr>
        <w:t xml:space="preserve"> </w:t>
      </w:r>
      <w:r>
        <w:rPr>
          <w:sz w:val="21"/>
        </w:rPr>
        <w:t>C.0.1-3</w:t>
      </w:r>
      <w:r>
        <w:rPr>
          <w:spacing w:val="-9"/>
          <w:sz w:val="21"/>
        </w:rPr>
        <w:t xml:space="preserve"> </w:t>
      </w:r>
      <w:r>
        <w:rPr>
          <w:spacing w:val="-9"/>
          <w:sz w:val="21"/>
        </w:rPr>
        <w:t>填写隐蔽工程验收记录。检查合格后，应经监理工程师签证后</w:t>
      </w:r>
      <w:r>
        <w:rPr>
          <w:spacing w:val="-5"/>
          <w:sz w:val="21"/>
        </w:rPr>
        <w:t>再进行调试。</w:t>
      </w:r>
      <w:r>
        <w:rPr>
          <w:sz w:val="21"/>
        </w:rPr>
        <w:t xml:space="preserve"> </w:t>
      </w:r>
    </w:p>
    <w:p w14:paraId="784054D0" w14:textId="77777777" w:rsidR="00A71EEF" w:rsidRDefault="0081115D">
      <w:pPr>
        <w:pStyle w:val="a4"/>
        <w:numPr>
          <w:ilvl w:val="1"/>
          <w:numId w:val="142"/>
        </w:numPr>
        <w:tabs>
          <w:tab w:val="left" w:pos="1159"/>
        </w:tabs>
        <w:spacing w:line="268" w:lineRule="exact"/>
        <w:ind w:hanging="319"/>
        <w:rPr>
          <w:b/>
          <w:sz w:val="21"/>
        </w:rPr>
      </w:pPr>
      <w:r>
        <w:rPr>
          <w:spacing w:val="-3"/>
          <w:sz w:val="21"/>
        </w:rPr>
        <w:t>防火卷帘安装</w:t>
      </w:r>
      <w:r>
        <w:rPr>
          <w:b/>
          <w:w w:val="99"/>
          <w:sz w:val="21"/>
        </w:rPr>
        <w:t xml:space="preserve"> </w:t>
      </w:r>
    </w:p>
    <w:p w14:paraId="570295E0" w14:textId="77777777" w:rsidR="00A71EEF" w:rsidRDefault="00A71EEF">
      <w:pPr>
        <w:pStyle w:val="a3"/>
        <w:spacing w:before="11"/>
        <w:rPr>
          <w:b/>
          <w:sz w:val="17"/>
        </w:rPr>
      </w:pPr>
    </w:p>
    <w:p w14:paraId="193CA099" w14:textId="77777777" w:rsidR="00A71EEF" w:rsidRDefault="0081115D">
      <w:pPr>
        <w:pStyle w:val="a4"/>
        <w:numPr>
          <w:ilvl w:val="2"/>
          <w:numId w:val="142"/>
        </w:numPr>
        <w:tabs>
          <w:tab w:val="left" w:pos="1371"/>
        </w:tabs>
        <w:ind w:left="1370"/>
        <w:rPr>
          <w:sz w:val="21"/>
        </w:rPr>
      </w:pPr>
      <w:r>
        <w:rPr>
          <w:spacing w:val="-5"/>
          <w:sz w:val="21"/>
        </w:rPr>
        <w:t>防火卷帘帘板</w:t>
      </w:r>
      <w:r>
        <w:rPr>
          <w:spacing w:val="-3"/>
          <w:sz w:val="21"/>
        </w:rPr>
        <w:t>（</w:t>
      </w:r>
      <w:r>
        <w:rPr>
          <w:spacing w:val="-8"/>
          <w:sz w:val="21"/>
        </w:rPr>
        <w:t>面</w:t>
      </w:r>
      <w:r>
        <w:rPr>
          <w:spacing w:val="-5"/>
          <w:sz w:val="21"/>
        </w:rPr>
        <w:t>）</w:t>
      </w:r>
      <w:r>
        <w:rPr>
          <w:spacing w:val="-6"/>
          <w:sz w:val="21"/>
        </w:rPr>
        <w:t>安装应符合下列规定：</w:t>
      </w:r>
      <w:r>
        <w:rPr>
          <w:sz w:val="21"/>
        </w:rPr>
        <w:t xml:space="preserve"> </w:t>
      </w:r>
    </w:p>
    <w:p w14:paraId="45E9C87A" w14:textId="77777777" w:rsidR="00A71EEF" w:rsidRDefault="00A71EEF">
      <w:pPr>
        <w:pStyle w:val="a3"/>
        <w:spacing w:before="1"/>
        <w:rPr>
          <w:sz w:val="19"/>
        </w:rPr>
      </w:pPr>
    </w:p>
    <w:p w14:paraId="34BCC152" w14:textId="77777777" w:rsidR="00A71EEF" w:rsidRDefault="0081115D">
      <w:pPr>
        <w:pStyle w:val="a3"/>
        <w:spacing w:line="460" w:lineRule="auto"/>
        <w:ind w:left="826" w:right="3788" w:firstLine="12"/>
      </w:pPr>
      <w:r>
        <w:rPr>
          <w:spacing w:val="-8"/>
        </w:rPr>
        <w:t>钢质防火卷帘相邻帘板串接后应转动灵活，摆动</w:t>
      </w:r>
      <w:r>
        <w:t>90</w:t>
      </w:r>
      <w:r>
        <w:rPr>
          <w:spacing w:val="-5"/>
        </w:rPr>
        <w:t>°</w:t>
      </w:r>
      <w:r>
        <w:rPr>
          <w:spacing w:val="-5"/>
        </w:rPr>
        <w:t>不应脱落。</w:t>
      </w:r>
      <w:r>
        <w:rPr>
          <w:spacing w:val="-5"/>
        </w:rPr>
        <w:t xml:space="preserve"> </w:t>
      </w:r>
      <w:r>
        <w:rPr>
          <w:spacing w:val="-7"/>
        </w:rPr>
        <w:t>检查数量：全数检查。</w:t>
      </w:r>
      <w:r>
        <w:t xml:space="preserve"> </w:t>
      </w:r>
    </w:p>
    <w:p w14:paraId="485127D4" w14:textId="77777777" w:rsidR="00A71EEF" w:rsidRDefault="0081115D">
      <w:pPr>
        <w:pStyle w:val="a3"/>
        <w:spacing w:before="2"/>
        <w:ind w:left="826"/>
      </w:pPr>
      <w:r>
        <w:t>检查方法：直观检查；直角尺测量。</w:t>
      </w:r>
      <w:r>
        <w:t xml:space="preserve"> </w:t>
      </w:r>
    </w:p>
    <w:p w14:paraId="6C71BCF7" w14:textId="77777777" w:rsidR="00A71EEF" w:rsidRDefault="00A71EEF">
      <w:pPr>
        <w:pStyle w:val="a3"/>
        <w:spacing w:before="5"/>
        <w:rPr>
          <w:sz w:val="20"/>
        </w:rPr>
      </w:pPr>
    </w:p>
    <w:p w14:paraId="626B3E79" w14:textId="77777777" w:rsidR="00A71EEF" w:rsidRDefault="0081115D">
      <w:pPr>
        <w:pStyle w:val="a3"/>
        <w:spacing w:line="472" w:lineRule="auto"/>
        <w:ind w:left="826" w:right="4100" w:firstLine="12"/>
      </w:pPr>
      <w:r>
        <w:rPr>
          <w:spacing w:val="-8"/>
        </w:rPr>
        <w:t>钢质防火卷帘的帘板装配完毕后应平直，不应有孔洞或缝隙。</w:t>
      </w:r>
      <w:r>
        <w:rPr>
          <w:spacing w:val="-7"/>
        </w:rPr>
        <w:t>检查数量：全数检查。</w:t>
      </w:r>
      <w:r>
        <w:t xml:space="preserve"> </w:t>
      </w:r>
    </w:p>
    <w:p w14:paraId="474893C7" w14:textId="77777777" w:rsidR="00A71EEF" w:rsidRDefault="0081115D">
      <w:pPr>
        <w:pStyle w:val="a3"/>
        <w:spacing w:line="258" w:lineRule="exact"/>
        <w:ind w:left="826"/>
      </w:pPr>
      <w:r>
        <w:rPr>
          <w:spacing w:val="-7"/>
        </w:rPr>
        <w:t>检查方法：直观检查。</w:t>
      </w:r>
      <w:r>
        <w:t xml:space="preserve"> </w:t>
      </w:r>
    </w:p>
    <w:p w14:paraId="465A21BE" w14:textId="77777777" w:rsidR="00A71EEF" w:rsidRDefault="00A71EEF">
      <w:pPr>
        <w:pStyle w:val="a3"/>
        <w:spacing w:before="7"/>
        <w:rPr>
          <w:sz w:val="20"/>
        </w:rPr>
      </w:pPr>
    </w:p>
    <w:p w14:paraId="0ACD57CF" w14:textId="77777777" w:rsidR="00A71EEF" w:rsidRDefault="0081115D">
      <w:pPr>
        <w:pStyle w:val="a3"/>
        <w:spacing w:line="446" w:lineRule="auto"/>
        <w:ind w:left="418" w:right="1467" w:firstLine="427"/>
      </w:pPr>
      <w:r>
        <w:t>钢质防火卷帘帘板两端挡板或防窜机构应装配牢固，卷帘运行时，相邻帘板窜动量不</w:t>
      </w:r>
      <w:r>
        <w:t xml:space="preserve"> </w:t>
      </w:r>
      <w:r>
        <w:t>应大于</w:t>
      </w:r>
      <w:r>
        <w:t>2mm</w:t>
      </w:r>
      <w:r>
        <w:t>。</w:t>
      </w:r>
      <w:r>
        <w:t xml:space="preserve"> </w:t>
      </w:r>
    </w:p>
    <w:p w14:paraId="02AE5541" w14:textId="77777777" w:rsidR="00A71EEF" w:rsidRDefault="0081115D">
      <w:pPr>
        <w:pStyle w:val="a3"/>
        <w:ind w:left="826"/>
      </w:pPr>
      <w:r>
        <w:t>检查数量：全数检查。</w:t>
      </w:r>
      <w:r>
        <w:t xml:space="preserve">  </w:t>
      </w:r>
    </w:p>
    <w:p w14:paraId="750942CD" w14:textId="77777777" w:rsidR="00A71EEF" w:rsidRDefault="00A71EEF">
      <w:pPr>
        <w:pStyle w:val="a3"/>
        <w:spacing w:before="2"/>
        <w:rPr>
          <w:sz w:val="18"/>
        </w:rPr>
      </w:pPr>
    </w:p>
    <w:p w14:paraId="7F54A869" w14:textId="77777777" w:rsidR="00A71EEF" w:rsidRDefault="0081115D">
      <w:pPr>
        <w:pStyle w:val="a3"/>
        <w:ind w:left="826"/>
      </w:pPr>
      <w:r>
        <w:t>检查方法：直观检查；直尺或钢卷尺测量。</w:t>
      </w:r>
      <w:r>
        <w:t xml:space="preserve"> </w:t>
      </w:r>
    </w:p>
    <w:p w14:paraId="6DCDB150" w14:textId="77777777" w:rsidR="00A71EEF" w:rsidRDefault="00A71EEF">
      <w:pPr>
        <w:pStyle w:val="a3"/>
        <w:spacing w:before="11"/>
        <w:rPr>
          <w:sz w:val="18"/>
        </w:rPr>
      </w:pPr>
    </w:p>
    <w:p w14:paraId="07183CEE" w14:textId="77777777" w:rsidR="00A71EEF" w:rsidRDefault="0081115D">
      <w:pPr>
        <w:pStyle w:val="a3"/>
        <w:spacing w:before="1" w:line="453" w:lineRule="auto"/>
        <w:ind w:left="826" w:right="5348" w:firstLine="12"/>
      </w:pPr>
      <w:r>
        <w:rPr>
          <w:spacing w:val="-8"/>
        </w:rPr>
        <w:t>无机纤维复合防火卷帘帘面两端应安装防风钩。</w:t>
      </w:r>
      <w:r>
        <w:rPr>
          <w:spacing w:val="-7"/>
        </w:rPr>
        <w:t>检查数量：全数检查。</w:t>
      </w:r>
      <w:r>
        <w:t xml:space="preserve"> </w:t>
      </w:r>
    </w:p>
    <w:p w14:paraId="47E63B78" w14:textId="77777777" w:rsidR="00A71EEF" w:rsidRDefault="0081115D">
      <w:pPr>
        <w:pStyle w:val="a3"/>
        <w:spacing w:before="15"/>
        <w:ind w:left="826"/>
      </w:pPr>
      <w:r>
        <w:rPr>
          <w:spacing w:val="-7"/>
        </w:rPr>
        <w:t>检查方法：直观检查。</w:t>
      </w:r>
      <w:r>
        <w:t xml:space="preserve"> </w:t>
      </w:r>
    </w:p>
    <w:p w14:paraId="66844F98" w14:textId="77777777" w:rsidR="00A71EEF" w:rsidRDefault="00A71EEF">
      <w:pPr>
        <w:pStyle w:val="a3"/>
        <w:spacing w:before="5"/>
        <w:rPr>
          <w:sz w:val="20"/>
        </w:rPr>
      </w:pPr>
    </w:p>
    <w:p w14:paraId="7CEE74B9" w14:textId="77777777" w:rsidR="00A71EEF" w:rsidRDefault="0081115D">
      <w:pPr>
        <w:pStyle w:val="a3"/>
        <w:ind w:left="838"/>
      </w:pPr>
      <w:r>
        <w:t>无机纤维复合防火卷帘帘面应通过固定件与卷轴相连。</w:t>
      </w:r>
      <w:r>
        <w:t xml:space="preserve"> </w:t>
      </w:r>
    </w:p>
    <w:p w14:paraId="6300DCBC" w14:textId="77777777" w:rsidR="00A71EEF" w:rsidRDefault="00A71EEF">
      <w:pPr>
        <w:sectPr w:rsidR="00A71EEF">
          <w:pgSz w:w="11910" w:h="16850"/>
          <w:pgMar w:top="1220" w:right="0" w:bottom="1420" w:left="1260" w:header="0" w:footer="1239" w:gutter="0"/>
          <w:cols w:space="720"/>
        </w:sectPr>
      </w:pPr>
    </w:p>
    <w:p w14:paraId="3320F822" w14:textId="77777777" w:rsidR="00A71EEF" w:rsidRDefault="0081115D">
      <w:pPr>
        <w:pStyle w:val="a3"/>
        <w:spacing w:before="45"/>
        <w:ind w:left="826"/>
      </w:pPr>
      <w:r>
        <w:t>检查数量：全数检查。</w:t>
      </w:r>
      <w:r>
        <w:t xml:space="preserve"> </w:t>
      </w:r>
    </w:p>
    <w:p w14:paraId="12DBF00B" w14:textId="77777777" w:rsidR="00A71EEF" w:rsidRDefault="00A71EEF">
      <w:pPr>
        <w:pStyle w:val="a3"/>
        <w:spacing w:before="11"/>
        <w:rPr>
          <w:sz w:val="19"/>
        </w:rPr>
      </w:pPr>
    </w:p>
    <w:p w14:paraId="1A94989C" w14:textId="77777777" w:rsidR="00A71EEF" w:rsidRDefault="0081115D">
      <w:pPr>
        <w:pStyle w:val="a3"/>
        <w:tabs>
          <w:tab w:val="left" w:pos="3219"/>
        </w:tabs>
        <w:ind w:left="826"/>
      </w:pPr>
      <w:r>
        <w:rPr>
          <w:spacing w:val="-5"/>
        </w:rPr>
        <w:t>检</w:t>
      </w:r>
      <w:r>
        <w:rPr>
          <w:spacing w:val="-3"/>
        </w:rPr>
        <w:t>查</w:t>
      </w:r>
      <w:r>
        <w:rPr>
          <w:spacing w:val="-8"/>
        </w:rPr>
        <w:t>方</w:t>
      </w:r>
      <w:r>
        <w:rPr>
          <w:spacing w:val="-3"/>
        </w:rPr>
        <w:t>法</w:t>
      </w:r>
      <w:r>
        <w:rPr>
          <w:spacing w:val="-5"/>
        </w:rPr>
        <w:t>：</w:t>
      </w:r>
      <w:r>
        <w:rPr>
          <w:spacing w:val="-3"/>
        </w:rPr>
        <w:t>直</w:t>
      </w:r>
      <w:r>
        <w:rPr>
          <w:spacing w:val="-8"/>
        </w:rPr>
        <w:t>观</w:t>
      </w:r>
      <w:r>
        <w:rPr>
          <w:spacing w:val="-3"/>
        </w:rPr>
        <w:t>检</w:t>
      </w:r>
      <w:r>
        <w:rPr>
          <w:spacing w:val="-5"/>
        </w:rPr>
        <w:t>查</w:t>
      </w:r>
      <w:r>
        <w:rPr>
          <w:spacing w:val="-3"/>
        </w:rPr>
        <w:t>。</w:t>
      </w:r>
      <w:r>
        <w:t xml:space="preserve"> </w:t>
      </w:r>
      <w:r>
        <w:tab/>
      </w:r>
      <w:hyperlink r:id="rId459" w:anchor="521">
        <w:r>
          <w:rPr>
            <w:color w:val="DDD9C3"/>
            <w:spacing w:val="-8"/>
            <w:u w:val="single" w:color="DDD9C3"/>
          </w:rPr>
          <w:t xml:space="preserve"> </w:t>
        </w:r>
      </w:hyperlink>
      <w:r>
        <w:t xml:space="preserve"> </w:t>
      </w:r>
    </w:p>
    <w:p w14:paraId="51AF5E81" w14:textId="77777777" w:rsidR="00A71EEF" w:rsidRDefault="00A71EEF">
      <w:pPr>
        <w:pStyle w:val="a3"/>
        <w:spacing w:before="10"/>
        <w:rPr>
          <w:sz w:val="14"/>
        </w:rPr>
      </w:pPr>
    </w:p>
    <w:p w14:paraId="4FC95FCB" w14:textId="77777777" w:rsidR="00A71EEF" w:rsidRDefault="0081115D">
      <w:pPr>
        <w:pStyle w:val="a4"/>
        <w:numPr>
          <w:ilvl w:val="2"/>
          <w:numId w:val="142"/>
        </w:numPr>
        <w:tabs>
          <w:tab w:val="left" w:pos="1370"/>
        </w:tabs>
        <w:spacing w:before="72"/>
        <w:ind w:left="1369" w:hanging="530"/>
        <w:rPr>
          <w:sz w:val="21"/>
        </w:rPr>
      </w:pPr>
      <w:r>
        <w:rPr>
          <w:spacing w:val="-7"/>
          <w:sz w:val="21"/>
        </w:rPr>
        <w:t>导轨安装应符合下列规定：</w:t>
      </w:r>
      <w:r>
        <w:rPr>
          <w:sz w:val="21"/>
        </w:rPr>
        <w:t xml:space="preserve"> </w:t>
      </w:r>
    </w:p>
    <w:p w14:paraId="7B6CBBEB" w14:textId="77777777" w:rsidR="00A71EEF" w:rsidRDefault="00A71EEF">
      <w:pPr>
        <w:pStyle w:val="a3"/>
        <w:spacing w:before="11"/>
        <w:rPr>
          <w:sz w:val="18"/>
        </w:rPr>
      </w:pPr>
    </w:p>
    <w:p w14:paraId="15722A06" w14:textId="77777777" w:rsidR="00A71EEF" w:rsidRDefault="0081115D">
      <w:pPr>
        <w:pStyle w:val="a3"/>
        <w:spacing w:line="448" w:lineRule="auto"/>
        <w:ind w:left="418" w:right="1587" w:firstLine="419"/>
      </w:pPr>
      <w:r>
        <w:rPr>
          <w:spacing w:val="-12"/>
        </w:rPr>
        <w:t>防火卷帘帘板或帘面嵌入导轨的深度应符合表</w:t>
      </w:r>
      <w:r>
        <w:rPr>
          <w:spacing w:val="-12"/>
        </w:rPr>
        <w:t xml:space="preserve"> </w:t>
      </w:r>
      <w:r>
        <w:t>5.2.2</w:t>
      </w:r>
      <w:r>
        <w:rPr>
          <w:spacing w:val="-9"/>
        </w:rPr>
        <w:t xml:space="preserve"> </w:t>
      </w:r>
      <w:r>
        <w:rPr>
          <w:spacing w:val="-9"/>
        </w:rPr>
        <w:t>的规定。导轨间距大于表</w:t>
      </w:r>
      <w:r>
        <w:rPr>
          <w:spacing w:val="-9"/>
        </w:rPr>
        <w:t xml:space="preserve"> </w:t>
      </w:r>
      <w:r>
        <w:t>5.2.2</w:t>
      </w:r>
      <w:r>
        <w:rPr>
          <w:spacing w:val="11"/>
        </w:rPr>
        <w:t xml:space="preserve"> </w:t>
      </w:r>
      <w:r>
        <w:rPr>
          <w:spacing w:val="11"/>
        </w:rPr>
        <w:t>的规</w:t>
      </w:r>
      <w:r>
        <w:rPr>
          <w:spacing w:val="-3"/>
        </w:rPr>
        <w:t>定时，导轨间距每增加</w:t>
      </w:r>
      <w:r>
        <w:t>1000mm</w:t>
      </w:r>
      <w:r>
        <w:rPr>
          <w:spacing w:val="-10"/>
        </w:rPr>
        <w:t>，每端嵌入深度应增加</w:t>
      </w:r>
      <w:r>
        <w:rPr>
          <w:spacing w:val="-10"/>
        </w:rPr>
        <w:t xml:space="preserve"> </w:t>
      </w:r>
      <w:r>
        <w:t>10mm</w:t>
      </w:r>
      <w:r>
        <w:rPr>
          <w:spacing w:val="-3"/>
        </w:rPr>
        <w:t>，且卷帘安装后不应变形。</w:t>
      </w:r>
      <w:r>
        <w:t xml:space="preserve"> </w:t>
      </w:r>
    </w:p>
    <w:p w14:paraId="57C2E133" w14:textId="77777777" w:rsidR="00A71EEF" w:rsidRDefault="0081115D">
      <w:pPr>
        <w:pStyle w:val="a3"/>
        <w:spacing w:line="268" w:lineRule="exact"/>
        <w:ind w:left="826"/>
      </w:pPr>
      <w:r>
        <w:t>检查数量：全数检查。</w:t>
      </w:r>
      <w:r>
        <w:t xml:space="preserve"> </w:t>
      </w:r>
    </w:p>
    <w:p w14:paraId="6A464421" w14:textId="77777777" w:rsidR="00A71EEF" w:rsidRDefault="00A71EEF">
      <w:pPr>
        <w:pStyle w:val="a3"/>
        <w:spacing w:before="3"/>
        <w:rPr>
          <w:sz w:val="20"/>
        </w:rPr>
      </w:pPr>
    </w:p>
    <w:p w14:paraId="24B0A7B1" w14:textId="77777777" w:rsidR="00A71EEF" w:rsidRDefault="0081115D">
      <w:pPr>
        <w:pStyle w:val="a3"/>
        <w:ind w:left="826"/>
      </w:pPr>
      <w:r>
        <w:t>检查方法：直观检查；直尺测量，测量点为每根导轨距其底部</w:t>
      </w:r>
      <w:r>
        <w:t xml:space="preserve">200mm </w:t>
      </w:r>
      <w:r>
        <w:t>处，取最小值。</w:t>
      </w:r>
      <w:r>
        <w:t xml:space="preserve"> </w:t>
      </w:r>
    </w:p>
    <w:p w14:paraId="281DF4E3" w14:textId="77777777" w:rsidR="00A71EEF" w:rsidRDefault="00A71EEF">
      <w:pPr>
        <w:pStyle w:val="a3"/>
        <w:spacing w:before="2"/>
        <w:rPr>
          <w:sz w:val="18"/>
        </w:rPr>
      </w:pPr>
    </w:p>
    <w:p w14:paraId="20487C29" w14:textId="77777777" w:rsidR="00A71EEF" w:rsidRDefault="0081115D">
      <w:pPr>
        <w:pStyle w:val="6"/>
        <w:tabs>
          <w:tab w:val="left" w:pos="4299"/>
        </w:tabs>
        <w:spacing w:before="1"/>
        <w:ind w:left="3250"/>
      </w:pPr>
      <w:r>
        <w:t>表</w:t>
      </w:r>
      <w:r>
        <w:rPr>
          <w:spacing w:val="-106"/>
        </w:rPr>
        <w:t>5</w:t>
      </w:r>
      <w:r>
        <w:rPr>
          <w:spacing w:val="-2"/>
        </w:rPr>
        <w:t xml:space="preserve"> </w:t>
      </w:r>
      <w:r>
        <w:t>.2.2</w:t>
      </w:r>
      <w:r>
        <w:tab/>
      </w:r>
      <w:r>
        <w:t>帘</w:t>
      </w:r>
      <w:r>
        <w:rPr>
          <w:spacing w:val="-8"/>
        </w:rPr>
        <w:t>板</w:t>
      </w:r>
      <w:r>
        <w:t>或</w:t>
      </w:r>
      <w:r>
        <w:rPr>
          <w:spacing w:val="-5"/>
        </w:rPr>
        <w:t>帘</w:t>
      </w:r>
      <w:r>
        <w:rPr>
          <w:spacing w:val="-3"/>
        </w:rPr>
        <w:t>面</w:t>
      </w:r>
      <w:r>
        <w:rPr>
          <w:spacing w:val="-8"/>
        </w:rPr>
        <w:t>嵌</w:t>
      </w:r>
      <w:r>
        <w:t>入导</w:t>
      </w:r>
      <w:r>
        <w:rPr>
          <w:spacing w:val="-5"/>
        </w:rPr>
        <w:t>轨</w:t>
      </w:r>
      <w:r>
        <w:rPr>
          <w:spacing w:val="-3"/>
        </w:rPr>
        <w:t>的</w:t>
      </w:r>
      <w:r>
        <w:rPr>
          <w:spacing w:val="-5"/>
        </w:rPr>
        <w:t>深</w:t>
      </w:r>
      <w:r>
        <w:rPr>
          <w:spacing w:val="-3"/>
        </w:rPr>
        <w:t>度</w:t>
      </w:r>
      <w:r>
        <w:rPr>
          <w:w w:val="99"/>
        </w:rPr>
        <w:t xml:space="preserve"> </w:t>
      </w:r>
    </w:p>
    <w:p w14:paraId="17D0069E" w14:textId="77777777" w:rsidR="00A71EEF" w:rsidRDefault="00A71EEF">
      <w:pPr>
        <w:pStyle w:val="a3"/>
        <w:rPr>
          <w:b/>
          <w:sz w:val="20"/>
        </w:rPr>
      </w:pPr>
    </w:p>
    <w:p w14:paraId="229A8715" w14:textId="77777777" w:rsidR="00A71EEF" w:rsidRDefault="00A71EEF">
      <w:pPr>
        <w:pStyle w:val="a3"/>
        <w:rPr>
          <w:b/>
          <w:sz w:val="20"/>
        </w:rPr>
      </w:pPr>
    </w:p>
    <w:p w14:paraId="1D3D0680" w14:textId="77777777" w:rsidR="00A71EEF" w:rsidRDefault="00A71EEF">
      <w:pPr>
        <w:pStyle w:val="a3"/>
        <w:rPr>
          <w:b/>
          <w:sz w:val="20"/>
        </w:rPr>
      </w:pPr>
    </w:p>
    <w:p w14:paraId="492F161F" w14:textId="77777777" w:rsidR="00A71EEF" w:rsidRDefault="00A71EEF">
      <w:pPr>
        <w:pStyle w:val="a3"/>
        <w:rPr>
          <w:b/>
          <w:sz w:val="20"/>
        </w:rPr>
      </w:pPr>
    </w:p>
    <w:p w14:paraId="2E7070E4" w14:textId="77777777" w:rsidR="00A71EEF" w:rsidRDefault="00A71EEF">
      <w:pPr>
        <w:pStyle w:val="a3"/>
        <w:rPr>
          <w:b/>
          <w:sz w:val="20"/>
        </w:rPr>
      </w:pPr>
    </w:p>
    <w:p w14:paraId="2AA79533" w14:textId="77777777" w:rsidR="00A71EEF" w:rsidRDefault="0081115D">
      <w:pPr>
        <w:pStyle w:val="a3"/>
        <w:spacing w:before="1"/>
        <w:rPr>
          <w:b/>
          <w:sz w:val="23"/>
        </w:rPr>
      </w:pPr>
      <w:r>
        <w:rPr>
          <w:noProof/>
        </w:rPr>
        <w:drawing>
          <wp:anchor distT="0" distB="0" distL="0" distR="0" simplePos="0" relativeHeight="251700736" behindDoc="0" locked="0" layoutInCell="1" allowOverlap="1" wp14:anchorId="28D772CF" wp14:editId="6C5C30AF">
            <wp:simplePos x="0" y="0"/>
            <wp:positionH relativeFrom="page">
              <wp:posOffset>1587500</wp:posOffset>
            </wp:positionH>
            <wp:positionV relativeFrom="paragraph">
              <wp:posOffset>213146</wp:posOffset>
            </wp:positionV>
            <wp:extent cx="4268013" cy="1174432"/>
            <wp:effectExtent l="0" t="0" r="0" b="0"/>
            <wp:wrapTopAndBottom/>
            <wp:docPr id="657" name="image3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image379.jpeg"/>
                    <pic:cNvPicPr/>
                  </pic:nvPicPr>
                  <pic:blipFill>
                    <a:blip r:embed="rId460" cstate="print"/>
                    <a:stretch>
                      <a:fillRect/>
                    </a:stretch>
                  </pic:blipFill>
                  <pic:spPr>
                    <a:xfrm>
                      <a:off x="0" y="0"/>
                      <a:ext cx="4268013" cy="1174432"/>
                    </a:xfrm>
                    <a:prstGeom prst="rect">
                      <a:avLst/>
                    </a:prstGeom>
                  </pic:spPr>
                </pic:pic>
              </a:graphicData>
            </a:graphic>
          </wp:anchor>
        </w:drawing>
      </w:r>
    </w:p>
    <w:p w14:paraId="7A138C1B" w14:textId="77777777" w:rsidR="00A71EEF" w:rsidRDefault="00A71EEF">
      <w:pPr>
        <w:pStyle w:val="a3"/>
        <w:rPr>
          <w:b/>
          <w:sz w:val="20"/>
        </w:rPr>
      </w:pPr>
    </w:p>
    <w:p w14:paraId="5AF2EC0E" w14:textId="77777777" w:rsidR="00A71EEF" w:rsidRDefault="00A71EEF">
      <w:pPr>
        <w:pStyle w:val="a3"/>
        <w:spacing w:before="2"/>
        <w:rPr>
          <w:b/>
          <w:sz w:val="27"/>
        </w:rPr>
      </w:pPr>
    </w:p>
    <w:p w14:paraId="3456C5DB" w14:textId="77777777" w:rsidR="00A71EEF" w:rsidRDefault="0081115D">
      <w:pPr>
        <w:pStyle w:val="a3"/>
        <w:spacing w:before="71" w:line="446" w:lineRule="auto"/>
        <w:ind w:left="826" w:right="4825" w:firstLine="12"/>
      </w:pPr>
      <w:r>
        <w:rPr>
          <w:spacing w:val="-8"/>
        </w:rPr>
        <w:t>导轨顶部应成圆弧形，其长度应保证卷帘正常运行。</w:t>
      </w:r>
      <w:r>
        <w:rPr>
          <w:spacing w:val="-8"/>
        </w:rPr>
        <w:t xml:space="preserve"> </w:t>
      </w:r>
      <w:r>
        <w:rPr>
          <w:spacing w:val="-7"/>
        </w:rPr>
        <w:t>检查数量：全数检查。</w:t>
      </w:r>
      <w:r>
        <w:t xml:space="preserve"> </w:t>
      </w:r>
    </w:p>
    <w:p w14:paraId="7FF12431" w14:textId="77777777" w:rsidR="00A71EEF" w:rsidRDefault="0081115D">
      <w:pPr>
        <w:pStyle w:val="a3"/>
        <w:spacing w:before="17"/>
        <w:ind w:left="826"/>
      </w:pPr>
      <w:r>
        <w:rPr>
          <w:spacing w:val="-7"/>
        </w:rPr>
        <w:t>检查方法：直观检查。</w:t>
      </w:r>
      <w:r>
        <w:t xml:space="preserve"> </w:t>
      </w:r>
    </w:p>
    <w:p w14:paraId="6106707F" w14:textId="77777777" w:rsidR="00A71EEF" w:rsidRDefault="00A71EEF">
      <w:pPr>
        <w:pStyle w:val="a3"/>
        <w:spacing w:before="6"/>
        <w:rPr>
          <w:sz w:val="20"/>
        </w:rPr>
      </w:pPr>
    </w:p>
    <w:p w14:paraId="4F16AC5A" w14:textId="77777777" w:rsidR="00A71EEF" w:rsidRDefault="0081115D">
      <w:pPr>
        <w:pStyle w:val="a3"/>
        <w:spacing w:line="446" w:lineRule="auto"/>
        <w:ind w:left="418" w:right="1784" w:firstLine="427"/>
      </w:pPr>
      <w:r>
        <w:t>导轨的滑动面应光滑、平直。帘片或帘面、滚轮在导轨内运行时应平稳、顺畅，不应有碰撞和冲击现象。</w:t>
      </w:r>
      <w:r>
        <w:t xml:space="preserve"> </w:t>
      </w:r>
    </w:p>
    <w:p w14:paraId="33DEC7F8" w14:textId="77777777" w:rsidR="00A71EEF" w:rsidRDefault="0081115D">
      <w:pPr>
        <w:pStyle w:val="a3"/>
        <w:spacing w:before="16"/>
        <w:ind w:left="826"/>
      </w:pPr>
      <w:r>
        <w:t>检查数量：全数检查。</w:t>
      </w:r>
      <w:r>
        <w:t xml:space="preserve">  </w:t>
      </w:r>
    </w:p>
    <w:p w14:paraId="04AA55AE" w14:textId="77777777" w:rsidR="00A71EEF" w:rsidRDefault="00A71EEF">
      <w:pPr>
        <w:pStyle w:val="a3"/>
        <w:spacing w:before="12"/>
        <w:rPr>
          <w:sz w:val="18"/>
        </w:rPr>
      </w:pPr>
    </w:p>
    <w:p w14:paraId="15A5ACDC" w14:textId="77777777" w:rsidR="00A71EEF" w:rsidRDefault="0081115D">
      <w:pPr>
        <w:pStyle w:val="a3"/>
        <w:ind w:left="838"/>
      </w:pPr>
      <w:r>
        <w:t>检查方法：直观检查；手动试验。</w:t>
      </w:r>
      <w:r>
        <w:t xml:space="preserve"> </w:t>
      </w:r>
    </w:p>
    <w:p w14:paraId="0FE533B0" w14:textId="77777777" w:rsidR="00A71EEF" w:rsidRDefault="00A71EEF">
      <w:pPr>
        <w:pStyle w:val="a3"/>
        <w:spacing w:before="11"/>
        <w:rPr>
          <w:sz w:val="18"/>
        </w:rPr>
      </w:pPr>
    </w:p>
    <w:p w14:paraId="66FCB084" w14:textId="77777777" w:rsidR="00A71EEF" w:rsidRDefault="0081115D">
      <w:pPr>
        <w:pStyle w:val="a3"/>
        <w:spacing w:line="446" w:lineRule="auto"/>
        <w:ind w:left="418" w:right="1469" w:firstLine="427"/>
      </w:pPr>
      <w:r>
        <w:t>单帘面卷帘的两根导轨应互相平行，双帘面卷帘不同帘面的导轨也应互相平行，其平</w:t>
      </w:r>
      <w:r>
        <w:t xml:space="preserve"> </w:t>
      </w:r>
      <w:r>
        <w:t>行度误差均不应大于</w:t>
      </w:r>
      <w:r>
        <w:t>5mm</w:t>
      </w:r>
      <w:r>
        <w:t>。</w:t>
      </w:r>
      <w:r>
        <w:t xml:space="preserve"> </w:t>
      </w:r>
    </w:p>
    <w:p w14:paraId="070CA008" w14:textId="77777777" w:rsidR="00A71EEF" w:rsidRDefault="0081115D">
      <w:pPr>
        <w:pStyle w:val="a3"/>
        <w:spacing w:before="6"/>
        <w:ind w:left="826"/>
      </w:pPr>
      <w:r>
        <w:t>检查数量：全数检查。</w:t>
      </w:r>
      <w:r>
        <w:t xml:space="preserve"> </w:t>
      </w:r>
    </w:p>
    <w:p w14:paraId="0A6411DA" w14:textId="77777777" w:rsidR="00A71EEF" w:rsidRDefault="00A71EEF">
      <w:pPr>
        <w:pStyle w:val="a3"/>
        <w:spacing w:before="4"/>
        <w:rPr>
          <w:sz w:val="20"/>
        </w:rPr>
      </w:pPr>
    </w:p>
    <w:p w14:paraId="3C0D7B7D" w14:textId="77777777" w:rsidR="00A71EEF" w:rsidRDefault="0081115D">
      <w:pPr>
        <w:pStyle w:val="a3"/>
        <w:spacing w:before="1" w:line="446" w:lineRule="auto"/>
        <w:ind w:left="418" w:right="1839" w:firstLine="407"/>
      </w:pPr>
      <w:r>
        <w:rPr>
          <w:spacing w:val="-9"/>
        </w:rPr>
        <w:t>检查方法：直观检查；钢卷尺测量，测量点为距导轨顶部</w:t>
      </w:r>
      <w:r>
        <w:rPr>
          <w:spacing w:val="-106"/>
        </w:rPr>
        <w:t>2</w:t>
      </w:r>
      <w:r>
        <w:rPr>
          <w:spacing w:val="5"/>
        </w:rPr>
        <w:t xml:space="preserve"> </w:t>
      </w:r>
      <w:r>
        <w:t>00mm</w:t>
      </w:r>
      <w:r>
        <w:rPr>
          <w:spacing w:val="-5"/>
        </w:rPr>
        <w:t xml:space="preserve"> </w:t>
      </w:r>
      <w:r>
        <w:rPr>
          <w:spacing w:val="-5"/>
        </w:rPr>
        <w:t>处、导轨长度的</w:t>
      </w:r>
      <w:r>
        <w:t>1/2</w:t>
      </w:r>
      <w:r>
        <w:rPr>
          <w:spacing w:val="2"/>
        </w:rPr>
        <w:t xml:space="preserve"> </w:t>
      </w:r>
      <w:r>
        <w:rPr>
          <w:spacing w:val="2"/>
        </w:rPr>
        <w:t>处</w:t>
      </w:r>
      <w:r>
        <w:rPr>
          <w:spacing w:val="-4"/>
        </w:rPr>
        <w:t>及距导轨底部</w:t>
      </w:r>
      <w:r>
        <w:rPr>
          <w:spacing w:val="-3"/>
        </w:rPr>
        <w:t>200mm</w:t>
      </w:r>
      <w:r>
        <w:rPr>
          <w:spacing w:val="-4"/>
        </w:rPr>
        <w:t xml:space="preserve"> </w:t>
      </w:r>
      <w:r>
        <w:rPr>
          <w:spacing w:val="-4"/>
        </w:rPr>
        <w:t>处</w:t>
      </w:r>
      <w:r>
        <w:t>3</w:t>
      </w:r>
      <w:r>
        <w:rPr>
          <w:spacing w:val="-7"/>
        </w:rPr>
        <w:t xml:space="preserve"> </w:t>
      </w:r>
      <w:r>
        <w:rPr>
          <w:spacing w:val="-7"/>
        </w:rPr>
        <w:t>点，取最大值和最小值之差。</w:t>
      </w:r>
      <w:r>
        <w:rPr>
          <w:spacing w:val="-7"/>
        </w:rPr>
        <w:t xml:space="preserve"> </w:t>
      </w:r>
    </w:p>
    <w:p w14:paraId="6C473317" w14:textId="77777777" w:rsidR="00A71EEF" w:rsidRDefault="00A71EEF">
      <w:pPr>
        <w:spacing w:line="446" w:lineRule="auto"/>
        <w:sectPr w:rsidR="00A71EEF">
          <w:pgSz w:w="11910" w:h="16850"/>
          <w:pgMar w:top="1220" w:right="0" w:bottom="1420" w:left="1260" w:header="0" w:footer="1239" w:gutter="0"/>
          <w:cols w:space="720"/>
        </w:sectPr>
      </w:pPr>
    </w:p>
    <w:p w14:paraId="027FDA8B" w14:textId="77777777" w:rsidR="00A71EEF" w:rsidRDefault="0081115D">
      <w:pPr>
        <w:pStyle w:val="a3"/>
        <w:spacing w:before="45" w:line="448" w:lineRule="auto"/>
        <w:ind w:left="418" w:right="1719" w:firstLine="419"/>
      </w:pPr>
      <w:r>
        <w:rPr>
          <w:spacing w:val="-12"/>
        </w:rPr>
        <w:t>卷帘的导轨安装后相对于基础面的垂直度误差不应大于</w:t>
      </w:r>
      <w:r>
        <w:rPr>
          <w:spacing w:val="-12"/>
        </w:rPr>
        <w:t xml:space="preserve"> </w:t>
      </w:r>
      <w:r>
        <w:t>1</w:t>
      </w:r>
      <w:r>
        <w:rPr>
          <w:spacing w:val="-5"/>
        </w:rPr>
        <w:t>.</w:t>
      </w:r>
      <w:r>
        <w:t>5</w:t>
      </w:r>
      <w:r>
        <w:rPr>
          <w:spacing w:val="-5"/>
        </w:rPr>
        <w:t>m</w:t>
      </w:r>
      <w:r>
        <w:rPr>
          <w:spacing w:val="-3"/>
        </w:rPr>
        <w:t>m</w:t>
      </w:r>
      <w:r>
        <w:t>/</w:t>
      </w:r>
      <w:r>
        <w:rPr>
          <w:spacing w:val="-8"/>
        </w:rPr>
        <w:t>m</w:t>
      </w:r>
      <w:r>
        <w:rPr>
          <w:spacing w:val="-212"/>
        </w:rPr>
        <w:t>，</w:t>
      </w:r>
      <w:r>
        <w:rPr>
          <w:spacing w:val="-19"/>
        </w:rPr>
        <w:t>全长不应大于</w:t>
      </w:r>
      <w:r>
        <w:rPr>
          <w:spacing w:val="-19"/>
        </w:rPr>
        <w:t xml:space="preserve"> </w:t>
      </w:r>
      <w:r>
        <w:t>20</w:t>
      </w:r>
      <w:r>
        <w:rPr>
          <w:spacing w:val="-5"/>
        </w:rPr>
        <w:t>mm</w:t>
      </w:r>
      <w:r>
        <w:rPr>
          <w:spacing w:val="-3"/>
        </w:rPr>
        <w:t>。</w:t>
      </w:r>
      <w:r>
        <w:rPr>
          <w:spacing w:val="-3"/>
        </w:rPr>
        <w:t xml:space="preserve"> </w:t>
      </w:r>
      <w:r>
        <w:rPr>
          <w:spacing w:val="-3"/>
        </w:rPr>
        <w:t>检查</w:t>
      </w:r>
      <w:r>
        <w:rPr>
          <w:spacing w:val="-7"/>
        </w:rPr>
        <w:t>数量：全数检查。</w:t>
      </w:r>
      <w:r>
        <w:t xml:space="preserve"> </w:t>
      </w:r>
    </w:p>
    <w:p w14:paraId="7DEFAA3C" w14:textId="77777777" w:rsidR="00A71EEF" w:rsidRDefault="0081115D">
      <w:pPr>
        <w:pStyle w:val="a3"/>
        <w:spacing w:before="12"/>
        <w:ind w:left="826"/>
      </w:pPr>
      <w:r>
        <w:t>检查方法：直观检查；采用吊线方法，用直尺或钢卷尺测量。</w:t>
      </w:r>
      <w:r>
        <w:t xml:space="preserve"> </w:t>
      </w:r>
    </w:p>
    <w:p w14:paraId="6E62B24A" w14:textId="77777777" w:rsidR="00A71EEF" w:rsidRDefault="00A71EEF">
      <w:pPr>
        <w:pStyle w:val="a3"/>
        <w:spacing w:before="7"/>
        <w:rPr>
          <w:sz w:val="20"/>
        </w:rPr>
      </w:pPr>
    </w:p>
    <w:p w14:paraId="5B5EA06A" w14:textId="77777777" w:rsidR="00A71EEF" w:rsidRDefault="0081115D">
      <w:pPr>
        <w:pStyle w:val="a3"/>
        <w:spacing w:line="446" w:lineRule="auto"/>
        <w:ind w:left="418" w:right="1712" w:firstLine="419"/>
      </w:pPr>
      <w:r>
        <w:rPr>
          <w:spacing w:val="-8"/>
        </w:rPr>
        <w:t>卷帘的防烟装置与帘面应均匀紧密贴合，其贴合面长度不应小于导轨长度的</w:t>
      </w:r>
      <w:r>
        <w:t>80%</w:t>
      </w:r>
      <w:r>
        <w:rPr>
          <w:spacing w:val="2"/>
        </w:rPr>
        <w:t>。</w:t>
      </w:r>
      <w:r>
        <w:rPr>
          <w:spacing w:val="2"/>
        </w:rPr>
        <w:t xml:space="preserve"> </w:t>
      </w:r>
      <w:r>
        <w:rPr>
          <w:spacing w:val="2"/>
        </w:rPr>
        <w:t>检查数</w:t>
      </w:r>
      <w:r>
        <w:rPr>
          <w:spacing w:val="-6"/>
        </w:rPr>
        <w:t>量：全数检查。</w:t>
      </w:r>
      <w:r>
        <w:t xml:space="preserve"> </w:t>
      </w:r>
    </w:p>
    <w:p w14:paraId="583CF320" w14:textId="77777777" w:rsidR="00A71EEF" w:rsidRDefault="0081115D">
      <w:pPr>
        <w:pStyle w:val="a3"/>
        <w:spacing w:before="17" w:line="448" w:lineRule="auto"/>
        <w:ind w:left="418" w:right="1810" w:firstLine="407"/>
      </w:pPr>
      <w:r>
        <w:rPr>
          <w:spacing w:val="-8"/>
        </w:rPr>
        <w:t>检查方法：直观检查；塞尺测量，防火卷帘关闭后用</w:t>
      </w:r>
      <w:r>
        <w:rPr>
          <w:spacing w:val="-3"/>
        </w:rPr>
        <w:t>0.1mm</w:t>
      </w:r>
      <w:r>
        <w:rPr>
          <w:spacing w:val="-5"/>
        </w:rPr>
        <w:t xml:space="preserve"> </w:t>
      </w:r>
      <w:r>
        <w:rPr>
          <w:spacing w:val="-5"/>
        </w:rPr>
        <w:t>的塞尺测量帘板或帘面表面</w:t>
      </w:r>
      <w:r>
        <w:rPr>
          <w:spacing w:val="-8"/>
        </w:rPr>
        <w:t>与防烟装置之间的缝隙，塞尺不能穿透防烟装置时，表明帘板或帘面与防烟装置紧密贴合。</w:t>
      </w:r>
      <w:r>
        <w:t xml:space="preserve"> </w:t>
      </w:r>
    </w:p>
    <w:p w14:paraId="3547ECB1" w14:textId="77777777" w:rsidR="00A71EEF" w:rsidRDefault="0081115D">
      <w:pPr>
        <w:pStyle w:val="a3"/>
        <w:spacing w:before="16" w:line="446" w:lineRule="auto"/>
        <w:ind w:left="418" w:right="1469" w:firstLine="427"/>
      </w:pPr>
      <w:r>
        <w:t>防火卷帘的导轨应安装在建筑结构上，并应采用预埋螺栓、焊接或膨胀螺栓连接。导</w:t>
      </w:r>
      <w:r>
        <w:t xml:space="preserve"> </w:t>
      </w:r>
      <w:r>
        <w:t>轨安装应牢固，固定点间距应为</w:t>
      </w:r>
      <w:r>
        <w:t>600mm</w:t>
      </w:r>
      <w:r>
        <w:t>～</w:t>
      </w:r>
      <w:r>
        <w:t>1000mm</w:t>
      </w:r>
      <w:r>
        <w:t>。</w:t>
      </w:r>
      <w:r>
        <w:t xml:space="preserve"> </w:t>
      </w:r>
    </w:p>
    <w:p w14:paraId="23500284" w14:textId="77777777" w:rsidR="00A71EEF" w:rsidRDefault="0081115D">
      <w:pPr>
        <w:pStyle w:val="a3"/>
        <w:tabs>
          <w:tab w:val="left" w:pos="6262"/>
        </w:tabs>
        <w:spacing w:before="5" w:line="446" w:lineRule="auto"/>
        <w:ind w:left="418" w:right="3500" w:firstLine="407"/>
      </w:pPr>
      <w:r>
        <w:rPr>
          <w:spacing w:val="-5"/>
        </w:rPr>
        <w:t>检</w:t>
      </w:r>
      <w:r>
        <w:rPr>
          <w:spacing w:val="-3"/>
        </w:rPr>
        <w:t>查</w:t>
      </w:r>
      <w:r>
        <w:rPr>
          <w:spacing w:val="-8"/>
        </w:rPr>
        <w:t>数</w:t>
      </w:r>
      <w:r>
        <w:rPr>
          <w:spacing w:val="-3"/>
        </w:rPr>
        <w:t>量</w:t>
      </w:r>
      <w:r>
        <w:rPr>
          <w:spacing w:val="-5"/>
        </w:rPr>
        <w:t>：</w:t>
      </w:r>
      <w:r>
        <w:rPr>
          <w:spacing w:val="-3"/>
        </w:rPr>
        <w:t>全</w:t>
      </w:r>
      <w:r>
        <w:rPr>
          <w:spacing w:val="-8"/>
        </w:rPr>
        <w:t>数</w:t>
      </w:r>
      <w:r>
        <w:rPr>
          <w:spacing w:val="-3"/>
        </w:rPr>
        <w:t>检</w:t>
      </w:r>
      <w:r>
        <w:rPr>
          <w:spacing w:val="-5"/>
        </w:rPr>
        <w:t>查</w:t>
      </w:r>
      <w:r>
        <w:rPr>
          <w:spacing w:val="-3"/>
        </w:rPr>
        <w:t>。</w:t>
      </w:r>
      <w:r>
        <w:rPr>
          <w:spacing w:val="25"/>
        </w:rPr>
        <w:t xml:space="preserve"> </w:t>
      </w:r>
      <w:r>
        <w:rPr>
          <w:spacing w:val="-8"/>
        </w:rPr>
        <w:t>检</w:t>
      </w:r>
      <w:r>
        <w:t>查</w:t>
      </w:r>
      <w:r>
        <w:rPr>
          <w:spacing w:val="-8"/>
        </w:rPr>
        <w:t>方</w:t>
      </w:r>
      <w:r>
        <w:rPr>
          <w:spacing w:val="-3"/>
        </w:rPr>
        <w:t>法</w:t>
      </w:r>
      <w:r>
        <w:rPr>
          <w:spacing w:val="-5"/>
        </w:rPr>
        <w:t>：</w:t>
      </w:r>
      <w:r>
        <w:rPr>
          <w:spacing w:val="-3"/>
        </w:rPr>
        <w:t>直</w:t>
      </w:r>
      <w:r>
        <w:rPr>
          <w:spacing w:val="-8"/>
        </w:rPr>
        <w:t>观</w:t>
      </w:r>
      <w:r>
        <w:rPr>
          <w:spacing w:val="-3"/>
        </w:rPr>
        <w:t>检</w:t>
      </w:r>
      <w:r>
        <w:rPr>
          <w:spacing w:val="-8"/>
        </w:rPr>
        <w:t>查</w:t>
      </w:r>
      <w:r>
        <w:rPr>
          <w:spacing w:val="-5"/>
        </w:rPr>
        <w:t>；</w:t>
      </w:r>
      <w:r>
        <w:rPr>
          <w:spacing w:val="-3"/>
        </w:rPr>
        <w:t>对</w:t>
      </w:r>
      <w:r>
        <w:t>照</w:t>
      </w:r>
      <w:r>
        <w:rPr>
          <w:spacing w:val="-5"/>
        </w:rPr>
        <w:t>设</w:t>
      </w:r>
      <w:r>
        <w:rPr>
          <w:spacing w:val="-3"/>
        </w:rPr>
        <w:t>计</w:t>
      </w:r>
      <w:r>
        <w:rPr>
          <w:spacing w:val="-8"/>
        </w:rPr>
        <w:t>图</w:t>
      </w:r>
      <w:r>
        <w:rPr>
          <w:spacing w:val="-3"/>
        </w:rPr>
        <w:t>纸</w:t>
      </w:r>
      <w:r>
        <w:rPr>
          <w:spacing w:val="-5"/>
        </w:rPr>
        <w:t>检</w:t>
      </w:r>
      <w:r>
        <w:rPr>
          <w:spacing w:val="-3"/>
        </w:rPr>
        <w:t>查</w:t>
      </w:r>
      <w:r>
        <w:rPr>
          <w:spacing w:val="-8"/>
        </w:rPr>
        <w:t>；</w:t>
      </w:r>
      <w:r>
        <w:t>钢</w:t>
      </w:r>
      <w:r>
        <w:rPr>
          <w:spacing w:val="-5"/>
        </w:rPr>
        <w:t>卷</w:t>
      </w:r>
      <w:r>
        <w:rPr>
          <w:spacing w:val="-3"/>
        </w:rPr>
        <w:t>尺测</w:t>
      </w:r>
      <w:r>
        <w:rPr>
          <w:spacing w:val="-5"/>
        </w:rPr>
        <w:t>量</w:t>
      </w:r>
      <w:r>
        <w:rPr>
          <w:spacing w:val="-3"/>
        </w:rPr>
        <w:t>。</w:t>
      </w:r>
      <w:r>
        <w:t xml:space="preserve"> </w:t>
      </w:r>
      <w:r>
        <w:tab/>
      </w:r>
      <w:r>
        <w:t xml:space="preserve"> </w:t>
      </w:r>
    </w:p>
    <w:p w14:paraId="4F7D4EFB" w14:textId="77777777" w:rsidR="00A71EEF" w:rsidRDefault="0081115D">
      <w:pPr>
        <w:pStyle w:val="a4"/>
        <w:numPr>
          <w:ilvl w:val="2"/>
          <w:numId w:val="142"/>
        </w:numPr>
        <w:tabs>
          <w:tab w:val="left" w:pos="1371"/>
        </w:tabs>
        <w:spacing w:before="5"/>
        <w:ind w:left="1370"/>
        <w:rPr>
          <w:sz w:val="21"/>
        </w:rPr>
      </w:pPr>
      <w:r>
        <w:rPr>
          <w:spacing w:val="-6"/>
          <w:sz w:val="21"/>
        </w:rPr>
        <w:t>座板安装应符合下列规定：</w:t>
      </w:r>
      <w:r>
        <w:rPr>
          <w:sz w:val="21"/>
        </w:rPr>
        <w:t xml:space="preserve"> </w:t>
      </w:r>
    </w:p>
    <w:p w14:paraId="154BC289" w14:textId="77777777" w:rsidR="00A71EEF" w:rsidRDefault="00A71EEF">
      <w:pPr>
        <w:pStyle w:val="a3"/>
        <w:spacing w:before="3"/>
        <w:rPr>
          <w:sz w:val="19"/>
        </w:rPr>
      </w:pPr>
    </w:p>
    <w:p w14:paraId="1672C2F6" w14:textId="77777777" w:rsidR="00A71EEF" w:rsidRDefault="0081115D">
      <w:pPr>
        <w:pStyle w:val="a3"/>
        <w:spacing w:line="460" w:lineRule="auto"/>
        <w:ind w:left="826" w:right="3068" w:firstLine="12"/>
      </w:pPr>
      <w:r>
        <w:rPr>
          <w:spacing w:val="-8"/>
        </w:rPr>
        <w:t>座板与地面应平行，接触应均匀。座板与帘板或帘面之间的连接应牢固。</w:t>
      </w:r>
      <w:r>
        <w:rPr>
          <w:spacing w:val="-7"/>
        </w:rPr>
        <w:t>检查数量：全数检查。</w:t>
      </w:r>
      <w:r>
        <w:t xml:space="preserve"> </w:t>
      </w:r>
    </w:p>
    <w:p w14:paraId="4BAE0BE4" w14:textId="77777777" w:rsidR="00A71EEF" w:rsidRDefault="0081115D">
      <w:pPr>
        <w:pStyle w:val="a3"/>
        <w:spacing w:before="2"/>
        <w:ind w:left="826"/>
      </w:pPr>
      <w:r>
        <w:rPr>
          <w:spacing w:val="-7"/>
        </w:rPr>
        <w:t>检查方法：直观检查。</w:t>
      </w:r>
      <w:r>
        <w:t xml:space="preserve"> </w:t>
      </w:r>
    </w:p>
    <w:p w14:paraId="6F0B1054" w14:textId="77777777" w:rsidR="00A71EEF" w:rsidRDefault="00A71EEF">
      <w:pPr>
        <w:pStyle w:val="a3"/>
        <w:spacing w:before="5"/>
        <w:rPr>
          <w:sz w:val="20"/>
        </w:rPr>
      </w:pPr>
    </w:p>
    <w:p w14:paraId="167E52F1" w14:textId="77777777" w:rsidR="00A71EEF" w:rsidRDefault="0081115D">
      <w:pPr>
        <w:pStyle w:val="a3"/>
        <w:spacing w:line="472" w:lineRule="auto"/>
        <w:ind w:left="826" w:right="2444" w:firstLine="12"/>
      </w:pPr>
      <w:r>
        <w:rPr>
          <w:spacing w:val="-8"/>
        </w:rPr>
        <w:t>无机复合防火卷帘的座板应保证帘面下降顺畅，并应保证帘面具有适当悬垂度。</w:t>
      </w:r>
      <w:r>
        <w:rPr>
          <w:spacing w:val="-7"/>
        </w:rPr>
        <w:t>检查数量：全数检查。</w:t>
      </w:r>
      <w:r>
        <w:t xml:space="preserve"> </w:t>
      </w:r>
    </w:p>
    <w:p w14:paraId="074094BD" w14:textId="77777777" w:rsidR="00A71EEF" w:rsidRDefault="0081115D">
      <w:pPr>
        <w:pStyle w:val="a3"/>
        <w:spacing w:line="260" w:lineRule="exact"/>
        <w:ind w:left="826"/>
      </w:pPr>
      <w:r>
        <w:rPr>
          <w:spacing w:val="-7"/>
        </w:rPr>
        <w:t>检查方法：直观检查。</w:t>
      </w:r>
      <w:r>
        <w:rPr>
          <w:spacing w:val="12"/>
        </w:rPr>
        <w:t xml:space="preserve"> </w:t>
      </w:r>
      <w:r>
        <w:t xml:space="preserve"> </w:t>
      </w:r>
    </w:p>
    <w:p w14:paraId="5396B814" w14:textId="77777777" w:rsidR="00A71EEF" w:rsidRDefault="00A71EEF">
      <w:pPr>
        <w:pStyle w:val="a3"/>
        <w:spacing w:before="5"/>
        <w:rPr>
          <w:sz w:val="20"/>
        </w:rPr>
      </w:pPr>
    </w:p>
    <w:p w14:paraId="5820B18E" w14:textId="77777777" w:rsidR="00A71EEF" w:rsidRDefault="0081115D">
      <w:pPr>
        <w:pStyle w:val="a4"/>
        <w:numPr>
          <w:ilvl w:val="2"/>
          <w:numId w:val="142"/>
        </w:numPr>
        <w:tabs>
          <w:tab w:val="left" w:pos="1371"/>
        </w:tabs>
        <w:ind w:left="1370"/>
        <w:rPr>
          <w:sz w:val="21"/>
        </w:rPr>
      </w:pPr>
      <w:r>
        <w:rPr>
          <w:spacing w:val="-6"/>
          <w:sz w:val="21"/>
        </w:rPr>
        <w:t>门楣安装应符合下列规定：</w:t>
      </w:r>
      <w:r>
        <w:rPr>
          <w:sz w:val="21"/>
        </w:rPr>
        <w:t xml:space="preserve"> </w:t>
      </w:r>
    </w:p>
    <w:p w14:paraId="794869B4" w14:textId="77777777" w:rsidR="00A71EEF" w:rsidRDefault="00A71EEF">
      <w:pPr>
        <w:pStyle w:val="a3"/>
        <w:spacing w:before="4"/>
        <w:rPr>
          <w:sz w:val="19"/>
        </w:rPr>
      </w:pPr>
    </w:p>
    <w:p w14:paraId="6A0C056A" w14:textId="77777777" w:rsidR="00A71EEF" w:rsidRDefault="0081115D">
      <w:pPr>
        <w:pStyle w:val="a3"/>
        <w:ind w:left="838"/>
      </w:pPr>
      <w:r>
        <w:t>门楣安装应牢固，固定点间距应为</w:t>
      </w:r>
      <w:r>
        <w:t xml:space="preserve"> 600mm</w:t>
      </w:r>
      <w:r>
        <w:t>～</w:t>
      </w:r>
      <w:r>
        <w:t>1000mm</w:t>
      </w:r>
      <w:r>
        <w:t>。</w:t>
      </w:r>
      <w:r>
        <w:t xml:space="preserve"> </w:t>
      </w:r>
    </w:p>
    <w:p w14:paraId="6A38AA6B" w14:textId="77777777" w:rsidR="00A71EEF" w:rsidRDefault="00A71EEF">
      <w:pPr>
        <w:pStyle w:val="a3"/>
        <w:spacing w:before="4"/>
        <w:rPr>
          <w:sz w:val="19"/>
        </w:rPr>
      </w:pPr>
    </w:p>
    <w:p w14:paraId="1AEEAED4" w14:textId="77777777" w:rsidR="00A71EEF" w:rsidRDefault="0081115D">
      <w:pPr>
        <w:pStyle w:val="a3"/>
        <w:spacing w:line="460" w:lineRule="auto"/>
        <w:ind w:left="845" w:right="1500" w:hanging="8"/>
      </w:pPr>
      <w:r>
        <w:t>检查数量：全数检查。</w:t>
      </w:r>
      <w:r>
        <w:t xml:space="preserve"> </w:t>
      </w:r>
      <w:r>
        <w:t>检查方法：直观检查；对照设计、施工文件检查；钢卷尺测量。门楣内的防烟装置与卷帘帘板或帘面表面应均匀紧密贴合，其贴合面长度不应小于门楣长</w:t>
      </w:r>
    </w:p>
    <w:p w14:paraId="51B5BA54" w14:textId="77777777" w:rsidR="00A71EEF" w:rsidRDefault="0081115D">
      <w:pPr>
        <w:pStyle w:val="a3"/>
        <w:spacing w:line="253" w:lineRule="exact"/>
        <w:ind w:left="418"/>
      </w:pPr>
      <w:r>
        <w:t>度的</w:t>
      </w:r>
      <w:r>
        <w:t>80%</w:t>
      </w:r>
      <w:r>
        <w:t>，非贴合部位的缝隙不应大于</w:t>
      </w:r>
      <w:r>
        <w:t>2mm</w:t>
      </w:r>
      <w:r>
        <w:t>。</w:t>
      </w:r>
      <w:r>
        <w:t xml:space="preserve"> </w:t>
      </w:r>
      <w:r>
        <w:t>检查数量：全数检查。</w:t>
      </w:r>
      <w:r>
        <w:t xml:space="preserve"> </w:t>
      </w:r>
    </w:p>
    <w:p w14:paraId="43BA1503" w14:textId="77777777" w:rsidR="00A71EEF" w:rsidRDefault="00A71EEF">
      <w:pPr>
        <w:pStyle w:val="a3"/>
        <w:spacing w:before="3"/>
        <w:rPr>
          <w:sz w:val="19"/>
        </w:rPr>
      </w:pPr>
    </w:p>
    <w:p w14:paraId="54C4EE87" w14:textId="77777777" w:rsidR="00A71EEF" w:rsidRDefault="0081115D">
      <w:pPr>
        <w:pStyle w:val="a3"/>
        <w:spacing w:line="446" w:lineRule="auto"/>
        <w:ind w:left="418" w:right="1587" w:firstLine="407"/>
        <w:jc w:val="both"/>
      </w:pPr>
      <w:r>
        <w:rPr>
          <w:spacing w:val="-8"/>
        </w:rPr>
        <w:t>检查方法：直观检查；塞尺测量，防火卷帘关闭后用</w:t>
      </w:r>
      <w:r>
        <w:rPr>
          <w:spacing w:val="-3"/>
        </w:rPr>
        <w:t>0.1mm</w:t>
      </w:r>
      <w:r>
        <w:rPr>
          <w:spacing w:val="-4"/>
        </w:rPr>
        <w:t xml:space="preserve"> </w:t>
      </w:r>
      <w:r>
        <w:rPr>
          <w:spacing w:val="-4"/>
        </w:rPr>
        <w:t>的塞尺测量帘板或帘面表面</w:t>
      </w:r>
      <w:r>
        <w:rPr>
          <w:spacing w:val="-4"/>
        </w:rPr>
        <w:t xml:space="preserve"> </w:t>
      </w:r>
      <w:r>
        <w:rPr>
          <w:spacing w:val="-4"/>
        </w:rPr>
        <w:t>与</w:t>
      </w:r>
      <w:r>
        <w:rPr>
          <w:spacing w:val="-7"/>
        </w:rPr>
        <w:t>防烟装置之间的缝隙，塞尺不能穿透防烟装置时，表明帘板或帘面与防烟装置紧密贴合，</w:t>
      </w:r>
      <w:r>
        <w:rPr>
          <w:spacing w:val="-7"/>
        </w:rPr>
        <w:t xml:space="preserve"> </w:t>
      </w:r>
      <w:r>
        <w:rPr>
          <w:spacing w:val="-7"/>
        </w:rPr>
        <w:t>非贴合部分采用</w:t>
      </w:r>
      <w:r>
        <w:t>2.0mm</w:t>
      </w:r>
      <w:r>
        <w:rPr>
          <w:spacing w:val="-4"/>
        </w:rPr>
        <w:t xml:space="preserve"> </w:t>
      </w:r>
      <w:r>
        <w:rPr>
          <w:spacing w:val="-4"/>
        </w:rPr>
        <w:t>的塞尺测量。</w:t>
      </w:r>
      <w:r>
        <w:t xml:space="preserve">      </w:t>
      </w:r>
      <w:r>
        <w:rPr>
          <w:spacing w:val="6"/>
        </w:rPr>
        <w:t xml:space="preserve"> </w:t>
      </w:r>
      <w:r>
        <w:t xml:space="preserve"> </w:t>
      </w:r>
    </w:p>
    <w:p w14:paraId="21FF941A" w14:textId="77777777" w:rsidR="00A71EEF" w:rsidRDefault="0081115D">
      <w:pPr>
        <w:pStyle w:val="a4"/>
        <w:numPr>
          <w:ilvl w:val="2"/>
          <w:numId w:val="142"/>
        </w:numPr>
        <w:tabs>
          <w:tab w:val="left" w:pos="1370"/>
        </w:tabs>
        <w:spacing w:before="2"/>
        <w:ind w:left="1369" w:hanging="530"/>
        <w:rPr>
          <w:sz w:val="21"/>
        </w:rPr>
      </w:pPr>
      <w:r>
        <w:rPr>
          <w:spacing w:val="-7"/>
          <w:sz w:val="21"/>
        </w:rPr>
        <w:t>传动装置安装应符合下列规定：</w:t>
      </w:r>
      <w:r>
        <w:rPr>
          <w:sz w:val="21"/>
        </w:rPr>
        <w:t xml:space="preserve"> </w:t>
      </w:r>
    </w:p>
    <w:p w14:paraId="64E161DD" w14:textId="77777777" w:rsidR="00A71EEF" w:rsidRDefault="00A71EEF">
      <w:pPr>
        <w:rPr>
          <w:sz w:val="21"/>
        </w:rPr>
        <w:sectPr w:rsidR="00A71EEF">
          <w:footerReference w:type="default" r:id="rId461"/>
          <w:pgSz w:w="11910" w:h="16850"/>
          <w:pgMar w:top="1220" w:right="0" w:bottom="1420" w:left="1260" w:header="0" w:footer="1239" w:gutter="0"/>
          <w:pgNumType w:start="1490"/>
          <w:cols w:space="720"/>
        </w:sectPr>
      </w:pPr>
    </w:p>
    <w:p w14:paraId="357452DF" w14:textId="77777777" w:rsidR="00A71EEF" w:rsidRDefault="0081115D">
      <w:pPr>
        <w:pStyle w:val="a3"/>
        <w:spacing w:before="45" w:line="463" w:lineRule="auto"/>
        <w:ind w:left="826" w:right="2472"/>
      </w:pPr>
      <w:r>
        <w:rPr>
          <w:spacing w:val="-8"/>
        </w:rPr>
        <w:t>卷轴与支架板应牢固地安装在混凝土结构或预埋钢件上。</w:t>
      </w:r>
      <w:r>
        <w:rPr>
          <w:spacing w:val="-8"/>
        </w:rPr>
        <w:t xml:space="preserve"> </w:t>
      </w:r>
      <w:r>
        <w:rPr>
          <w:spacing w:val="-8"/>
        </w:rPr>
        <w:t>检查数量：全数检查。</w:t>
      </w:r>
      <w:r>
        <w:rPr>
          <w:spacing w:val="-7"/>
        </w:rPr>
        <w:t>检查方法：直观检查。</w:t>
      </w:r>
      <w:r>
        <w:t xml:space="preserve"> </w:t>
      </w:r>
    </w:p>
    <w:p w14:paraId="4A9C0AF4" w14:textId="77777777" w:rsidR="00A71EEF" w:rsidRDefault="0081115D">
      <w:pPr>
        <w:pStyle w:val="a3"/>
        <w:spacing w:line="465" w:lineRule="auto"/>
        <w:ind w:left="826" w:right="5235"/>
      </w:pPr>
      <w:r>
        <w:rPr>
          <w:spacing w:val="-6"/>
        </w:rPr>
        <w:t>卷轴在正常使用时的挠度应小于卷轴的</w:t>
      </w:r>
      <w:r>
        <w:rPr>
          <w:spacing w:val="-6"/>
        </w:rPr>
        <w:t xml:space="preserve">  </w:t>
      </w:r>
      <w:r>
        <w:rPr>
          <w:spacing w:val="-5"/>
        </w:rPr>
        <w:t>1/400</w:t>
      </w:r>
      <w:r>
        <w:rPr>
          <w:spacing w:val="-8"/>
        </w:rPr>
        <w:t>。检</w:t>
      </w:r>
      <w:r>
        <w:rPr>
          <w:spacing w:val="-7"/>
        </w:rPr>
        <w:t>查数量：同一工程同类卷轴抽查</w:t>
      </w:r>
      <w:r>
        <w:rPr>
          <w:spacing w:val="-7"/>
        </w:rPr>
        <w:t xml:space="preserve"> </w:t>
      </w:r>
      <w:r>
        <w:rPr>
          <w:spacing w:val="-5"/>
        </w:rPr>
        <w:t>1</w:t>
      </w:r>
      <w:r>
        <w:t xml:space="preserve"> </w:t>
      </w:r>
      <w:r>
        <w:t>件</w:t>
      </w:r>
      <w:r>
        <w:rPr>
          <w:spacing w:val="-5"/>
        </w:rPr>
        <w:t>～</w:t>
      </w:r>
      <w:r>
        <w:rPr>
          <w:spacing w:val="-5"/>
        </w:rPr>
        <w:t xml:space="preserve">2 </w:t>
      </w:r>
      <w:r>
        <w:rPr>
          <w:spacing w:val="-5"/>
        </w:rPr>
        <w:t>件。</w:t>
      </w:r>
      <w:r>
        <w:rPr>
          <w:spacing w:val="-5"/>
        </w:rPr>
        <w:t xml:space="preserve"> </w:t>
      </w:r>
      <w:r>
        <w:rPr>
          <w:spacing w:val="-5"/>
        </w:rPr>
        <w:t>检</w:t>
      </w:r>
      <w:r>
        <w:rPr>
          <w:spacing w:val="-7"/>
        </w:rPr>
        <w:t>查方法：直观检查；用试块、挠度计检查。</w:t>
      </w:r>
      <w:r>
        <w:rPr>
          <w:spacing w:val="-7"/>
        </w:rPr>
        <w:t xml:space="preserve"> </w:t>
      </w:r>
      <w:r>
        <w:rPr>
          <w:b/>
        </w:rPr>
        <w:t>5.2.6</w:t>
      </w:r>
      <w:r>
        <w:rPr>
          <w:b/>
          <w:spacing w:val="2"/>
        </w:rPr>
        <w:t xml:space="preserve"> </w:t>
      </w:r>
      <w:r>
        <w:rPr>
          <w:spacing w:val="-7"/>
        </w:rPr>
        <w:t>卷门机安装应符合下列规定：</w:t>
      </w:r>
      <w:r>
        <w:t xml:space="preserve"> </w:t>
      </w:r>
    </w:p>
    <w:p w14:paraId="5F5D1997" w14:textId="77777777" w:rsidR="00A71EEF" w:rsidRDefault="0081115D">
      <w:pPr>
        <w:pStyle w:val="a3"/>
        <w:spacing w:line="245" w:lineRule="exact"/>
        <w:ind w:left="838"/>
      </w:pPr>
      <w:r>
        <w:t>卷门机应按产品说明书要求安装，且应牢固可靠。</w:t>
      </w:r>
      <w:r>
        <w:t xml:space="preserve"> </w:t>
      </w:r>
    </w:p>
    <w:p w14:paraId="11ABA5BA" w14:textId="77777777" w:rsidR="00A71EEF" w:rsidRDefault="00A71EEF">
      <w:pPr>
        <w:pStyle w:val="a3"/>
        <w:spacing w:before="3"/>
        <w:rPr>
          <w:sz w:val="18"/>
        </w:rPr>
      </w:pPr>
    </w:p>
    <w:p w14:paraId="01018B51" w14:textId="77777777" w:rsidR="00A71EEF" w:rsidRDefault="0081115D">
      <w:pPr>
        <w:pStyle w:val="a3"/>
        <w:ind w:left="838"/>
      </w:pPr>
      <w:r>
        <w:t>检查数量：全数检查。</w:t>
      </w:r>
      <w:r>
        <w:t xml:space="preserve">  </w:t>
      </w:r>
    </w:p>
    <w:p w14:paraId="334A657D" w14:textId="77777777" w:rsidR="00A71EEF" w:rsidRDefault="00A71EEF">
      <w:pPr>
        <w:pStyle w:val="a3"/>
        <w:spacing w:before="2"/>
        <w:rPr>
          <w:sz w:val="18"/>
        </w:rPr>
      </w:pPr>
    </w:p>
    <w:p w14:paraId="482435B1" w14:textId="77777777" w:rsidR="00A71EEF" w:rsidRDefault="0081115D">
      <w:pPr>
        <w:pStyle w:val="a3"/>
        <w:ind w:left="838"/>
      </w:pPr>
      <w:r>
        <w:t>检查方法：直观检查；对照产品说明书检查。</w:t>
      </w:r>
      <w:r>
        <w:t xml:space="preserve"> </w:t>
      </w:r>
    </w:p>
    <w:p w14:paraId="302C9F01" w14:textId="77777777" w:rsidR="00A71EEF" w:rsidRDefault="00A71EEF">
      <w:pPr>
        <w:pStyle w:val="a3"/>
        <w:spacing w:before="4"/>
        <w:rPr>
          <w:sz w:val="18"/>
        </w:rPr>
      </w:pPr>
    </w:p>
    <w:p w14:paraId="3ADCC779" w14:textId="77777777" w:rsidR="00A71EEF" w:rsidRDefault="0081115D">
      <w:pPr>
        <w:pStyle w:val="a3"/>
        <w:spacing w:before="1" w:line="446" w:lineRule="auto"/>
        <w:ind w:left="418" w:right="1503" w:firstLine="419"/>
      </w:pPr>
      <w:r>
        <w:t>卷门机应设有手动拉链和手动速放装置，其安装位置应便于操作，并应有明显标志。</w:t>
      </w:r>
      <w:r>
        <w:t xml:space="preserve"> </w:t>
      </w:r>
      <w:r>
        <w:t>手动拉链和手动速放装置不应加锁，且应采用不燃或难燃材料制作。</w:t>
      </w:r>
      <w:r>
        <w:t xml:space="preserve"> </w:t>
      </w:r>
    </w:p>
    <w:p w14:paraId="42DD4C31" w14:textId="77777777" w:rsidR="00A71EEF" w:rsidRDefault="0081115D">
      <w:pPr>
        <w:pStyle w:val="a3"/>
        <w:tabs>
          <w:tab w:val="left" w:pos="3358"/>
        </w:tabs>
        <w:spacing w:before="2" w:line="446" w:lineRule="auto"/>
        <w:ind w:left="838" w:right="7180"/>
      </w:pPr>
      <w:r>
        <w:t>检查</w:t>
      </w:r>
      <w:r>
        <w:rPr>
          <w:spacing w:val="-3"/>
        </w:rPr>
        <w:t>数</w:t>
      </w:r>
      <w:r>
        <w:t>量</w:t>
      </w:r>
      <w:r>
        <w:rPr>
          <w:spacing w:val="-3"/>
        </w:rPr>
        <w:t>：</w:t>
      </w:r>
      <w:r>
        <w:t>全</w:t>
      </w:r>
      <w:r>
        <w:rPr>
          <w:spacing w:val="-3"/>
        </w:rPr>
        <w:t>数</w:t>
      </w:r>
      <w:r>
        <w:t>检</w:t>
      </w:r>
      <w:r>
        <w:rPr>
          <w:spacing w:val="-3"/>
        </w:rPr>
        <w:t>查</w:t>
      </w:r>
      <w:r>
        <w:t>。</w:t>
      </w:r>
      <w:r>
        <w:t xml:space="preserve">    </w:t>
      </w:r>
      <w:r>
        <w:t>检查</w:t>
      </w:r>
      <w:r>
        <w:rPr>
          <w:spacing w:val="-3"/>
        </w:rPr>
        <w:t>方</w:t>
      </w:r>
      <w:r>
        <w:t>法</w:t>
      </w:r>
      <w:r>
        <w:rPr>
          <w:spacing w:val="-3"/>
        </w:rPr>
        <w:t>：</w:t>
      </w:r>
      <w:r>
        <w:t>直</w:t>
      </w:r>
      <w:r>
        <w:rPr>
          <w:spacing w:val="-3"/>
        </w:rPr>
        <w:t>观</w:t>
      </w:r>
      <w:r>
        <w:t>检</w:t>
      </w:r>
      <w:r>
        <w:rPr>
          <w:spacing w:val="-3"/>
        </w:rPr>
        <w:t>查。</w:t>
      </w:r>
      <w:r>
        <w:t xml:space="preserve"> </w:t>
      </w:r>
      <w:r>
        <w:tab/>
      </w:r>
      <w:r>
        <w:t xml:space="preserve"> </w:t>
      </w:r>
    </w:p>
    <w:p w14:paraId="3EC0C878" w14:textId="77777777" w:rsidR="00A71EEF" w:rsidRDefault="0081115D">
      <w:pPr>
        <w:pStyle w:val="a4"/>
        <w:numPr>
          <w:ilvl w:val="2"/>
          <w:numId w:val="141"/>
        </w:numPr>
        <w:tabs>
          <w:tab w:val="left" w:pos="1370"/>
        </w:tabs>
        <w:spacing w:before="5"/>
        <w:ind w:hanging="530"/>
        <w:rPr>
          <w:sz w:val="21"/>
        </w:rPr>
      </w:pPr>
      <w:r>
        <w:rPr>
          <w:spacing w:val="-3"/>
          <w:sz w:val="21"/>
        </w:rPr>
        <w:t>防护罩</w:t>
      </w:r>
      <w:r>
        <w:rPr>
          <w:sz w:val="21"/>
        </w:rPr>
        <w:t>（</w:t>
      </w:r>
      <w:r>
        <w:rPr>
          <w:spacing w:val="-2"/>
          <w:sz w:val="21"/>
        </w:rPr>
        <w:t>箱体</w:t>
      </w:r>
      <w:r>
        <w:rPr>
          <w:spacing w:val="-3"/>
          <w:sz w:val="21"/>
        </w:rPr>
        <w:t>）安装应符合下列规定：</w:t>
      </w:r>
      <w:r>
        <w:rPr>
          <w:sz w:val="21"/>
        </w:rPr>
        <w:t xml:space="preserve"> </w:t>
      </w:r>
    </w:p>
    <w:p w14:paraId="04D7872D" w14:textId="77777777" w:rsidR="00A71EEF" w:rsidRDefault="00A71EEF">
      <w:pPr>
        <w:pStyle w:val="a3"/>
        <w:spacing w:before="4"/>
        <w:rPr>
          <w:sz w:val="18"/>
        </w:rPr>
      </w:pPr>
    </w:p>
    <w:p w14:paraId="5B698C2F" w14:textId="77777777" w:rsidR="00A71EEF" w:rsidRDefault="0081115D">
      <w:pPr>
        <w:pStyle w:val="a3"/>
        <w:spacing w:line="446" w:lineRule="auto"/>
        <w:ind w:left="418" w:right="1503" w:firstLine="419"/>
      </w:pPr>
      <w:r>
        <w:t>防护罩尺寸的大小应与防火卷帘洞口宽度和卷帘卷起后的尺寸相适应，并应保证卷帘</w:t>
      </w:r>
      <w:r>
        <w:t xml:space="preserve"> </w:t>
      </w:r>
      <w:r>
        <w:t>卷满后与防护罩仍保持一定的距离，不应相互碰撞。</w:t>
      </w:r>
      <w:r>
        <w:t xml:space="preserve"> </w:t>
      </w:r>
    </w:p>
    <w:p w14:paraId="7B33C1CF" w14:textId="77777777" w:rsidR="00A71EEF" w:rsidRDefault="0081115D">
      <w:pPr>
        <w:pStyle w:val="a3"/>
        <w:spacing w:line="448" w:lineRule="auto"/>
        <w:ind w:left="838" w:right="7494"/>
      </w:pPr>
      <w:r>
        <w:rPr>
          <w:spacing w:val="-3"/>
        </w:rPr>
        <w:t>检查数量：全数检查。</w:t>
      </w:r>
      <w:r>
        <w:rPr>
          <w:spacing w:val="-3"/>
        </w:rPr>
        <w:t xml:space="preserve"> </w:t>
      </w:r>
      <w:r>
        <w:rPr>
          <w:spacing w:val="-3"/>
        </w:rPr>
        <w:t>检查方法：直观检查。</w:t>
      </w:r>
      <w:r>
        <w:t xml:space="preserve"> </w:t>
      </w:r>
    </w:p>
    <w:p w14:paraId="0B9F2122" w14:textId="77777777" w:rsidR="00A71EEF" w:rsidRDefault="0081115D">
      <w:pPr>
        <w:pStyle w:val="a3"/>
        <w:spacing w:before="2" w:line="448" w:lineRule="auto"/>
        <w:ind w:left="838" w:right="1611"/>
      </w:pPr>
      <w:r>
        <w:t>防护罩靠近卷门机处，应留有检修口。</w:t>
      </w:r>
      <w:r>
        <w:t xml:space="preserve"> </w:t>
      </w:r>
      <w:r>
        <w:t>检查数量：全数检查。</w:t>
      </w:r>
      <w:r>
        <w:t xml:space="preserve"> </w:t>
      </w:r>
      <w:r>
        <w:t>检查方法：直观检查。防护罩的耐火性能应与防火卷帘相同。</w:t>
      </w:r>
      <w:r>
        <w:t xml:space="preserve"> </w:t>
      </w:r>
      <w:r>
        <w:t>检查数量：全数检查。</w:t>
      </w:r>
      <w:r>
        <w:t xml:space="preserve"> </w:t>
      </w:r>
      <w:r>
        <w:t>检查方法：直观检查；查</w:t>
      </w:r>
    </w:p>
    <w:p w14:paraId="72C6BD6F" w14:textId="77777777" w:rsidR="00A71EEF" w:rsidRDefault="0081115D">
      <w:pPr>
        <w:pStyle w:val="a3"/>
        <w:spacing w:line="267" w:lineRule="exact"/>
        <w:ind w:left="418"/>
      </w:pPr>
      <w:r>
        <w:t>看防护罩的检查报告。</w:t>
      </w:r>
      <w:r>
        <w:t xml:space="preserve"> </w:t>
      </w:r>
    </w:p>
    <w:p w14:paraId="4D5E5258" w14:textId="77777777" w:rsidR="00A71EEF" w:rsidRDefault="00A71EEF">
      <w:pPr>
        <w:pStyle w:val="a3"/>
        <w:spacing w:before="2"/>
        <w:rPr>
          <w:sz w:val="18"/>
        </w:rPr>
      </w:pPr>
    </w:p>
    <w:p w14:paraId="3689E019" w14:textId="77777777" w:rsidR="00A71EEF" w:rsidRDefault="0081115D">
      <w:pPr>
        <w:pStyle w:val="a4"/>
        <w:numPr>
          <w:ilvl w:val="2"/>
          <w:numId w:val="141"/>
        </w:numPr>
        <w:tabs>
          <w:tab w:val="left" w:pos="1371"/>
        </w:tabs>
        <w:ind w:left="1370" w:hanging="531"/>
        <w:rPr>
          <w:sz w:val="21"/>
        </w:rPr>
      </w:pPr>
      <w:r>
        <w:rPr>
          <w:spacing w:val="-3"/>
          <w:sz w:val="21"/>
        </w:rPr>
        <w:t>温控释放装置的安装位置应符合设计和产品说明书的要求。</w:t>
      </w:r>
      <w:r>
        <w:rPr>
          <w:spacing w:val="-3"/>
          <w:sz w:val="21"/>
        </w:rPr>
        <w:t xml:space="preserve"> </w:t>
      </w:r>
      <w:r>
        <w:rPr>
          <w:sz w:val="21"/>
        </w:rPr>
        <w:t xml:space="preserve"> </w:t>
      </w:r>
    </w:p>
    <w:p w14:paraId="6266E8A9" w14:textId="77777777" w:rsidR="00A71EEF" w:rsidRDefault="00A71EEF">
      <w:pPr>
        <w:pStyle w:val="a3"/>
        <w:spacing w:before="4"/>
        <w:rPr>
          <w:sz w:val="18"/>
        </w:rPr>
      </w:pPr>
    </w:p>
    <w:p w14:paraId="20F88379" w14:textId="77777777" w:rsidR="00A71EEF" w:rsidRDefault="0081115D">
      <w:pPr>
        <w:pStyle w:val="a3"/>
        <w:ind w:left="838"/>
      </w:pPr>
      <w:r>
        <w:t>检查数量：全数检查。</w:t>
      </w:r>
      <w:r>
        <w:t xml:space="preserve">  </w:t>
      </w:r>
    </w:p>
    <w:p w14:paraId="78D877E5" w14:textId="77777777" w:rsidR="00A71EEF" w:rsidRDefault="00A71EEF">
      <w:pPr>
        <w:pStyle w:val="a3"/>
        <w:spacing w:before="2"/>
        <w:rPr>
          <w:sz w:val="18"/>
        </w:rPr>
      </w:pPr>
    </w:p>
    <w:p w14:paraId="237C7C36" w14:textId="77777777" w:rsidR="00A71EEF" w:rsidRDefault="0081115D">
      <w:pPr>
        <w:pStyle w:val="a3"/>
        <w:ind w:left="838"/>
      </w:pPr>
      <w:r>
        <w:t>检查方法：直观检查；对照设计图纸和产品说明书检查。</w:t>
      </w:r>
      <w:r>
        <w:t xml:space="preserve">  </w:t>
      </w:r>
      <w:r>
        <w:t xml:space="preserve"> </w:t>
      </w:r>
    </w:p>
    <w:p w14:paraId="79B5EC5F" w14:textId="77777777" w:rsidR="00A71EEF" w:rsidRDefault="00A71EEF">
      <w:pPr>
        <w:pStyle w:val="a3"/>
        <w:spacing w:before="4"/>
        <w:rPr>
          <w:sz w:val="18"/>
        </w:rPr>
      </w:pPr>
    </w:p>
    <w:p w14:paraId="5339E0A9" w14:textId="77777777" w:rsidR="00A71EEF" w:rsidRDefault="0081115D">
      <w:pPr>
        <w:pStyle w:val="a4"/>
        <w:numPr>
          <w:ilvl w:val="2"/>
          <w:numId w:val="141"/>
        </w:numPr>
        <w:tabs>
          <w:tab w:val="left" w:pos="1370"/>
        </w:tabs>
        <w:spacing w:line="448" w:lineRule="auto"/>
        <w:ind w:left="418" w:right="1479" w:firstLine="422"/>
        <w:rPr>
          <w:sz w:val="21"/>
        </w:rPr>
      </w:pPr>
      <w:r>
        <w:rPr>
          <w:spacing w:val="-26"/>
          <w:sz w:val="21"/>
        </w:rPr>
        <w:t>防火卷帘、防护罩等与楼板、梁和墙、柱之间的空隙，应采用防火封堵材料等封堵，</w:t>
      </w:r>
      <w:r>
        <w:rPr>
          <w:spacing w:val="-26"/>
          <w:sz w:val="21"/>
        </w:rPr>
        <w:t xml:space="preserve"> </w:t>
      </w:r>
      <w:r>
        <w:rPr>
          <w:spacing w:val="-26"/>
          <w:sz w:val="21"/>
        </w:rPr>
        <w:t>封堵部位的耐火极限不应低于防火卷帘的耐火极限。</w:t>
      </w:r>
      <w:r>
        <w:rPr>
          <w:sz w:val="21"/>
        </w:rPr>
        <w:t xml:space="preserve"> </w:t>
      </w:r>
    </w:p>
    <w:p w14:paraId="6E6C9FD0" w14:textId="77777777" w:rsidR="00A71EEF" w:rsidRDefault="0081115D">
      <w:pPr>
        <w:pStyle w:val="a3"/>
        <w:spacing w:line="266" w:lineRule="exact"/>
        <w:ind w:left="826"/>
      </w:pPr>
      <w:r>
        <w:t>检查数量：全数检查。</w:t>
      </w:r>
      <w:r>
        <w:t xml:space="preserve">  </w:t>
      </w:r>
    </w:p>
    <w:p w14:paraId="583BE865" w14:textId="77777777" w:rsidR="00A71EEF" w:rsidRDefault="00A71EEF">
      <w:pPr>
        <w:pStyle w:val="a3"/>
        <w:spacing w:before="2"/>
        <w:rPr>
          <w:sz w:val="18"/>
        </w:rPr>
      </w:pPr>
    </w:p>
    <w:p w14:paraId="0D4F5205" w14:textId="77777777" w:rsidR="00A71EEF" w:rsidRDefault="0081115D">
      <w:pPr>
        <w:pStyle w:val="a3"/>
        <w:ind w:left="826"/>
      </w:pPr>
      <w:r>
        <w:t>检查方法：直观检查；查看封堵材料的检查报告。</w:t>
      </w:r>
      <w:r>
        <w:t xml:space="preserve">  </w:t>
      </w:r>
      <w:r>
        <w:t xml:space="preserve"> </w:t>
      </w:r>
    </w:p>
    <w:p w14:paraId="370A4FCD" w14:textId="77777777" w:rsidR="00A71EEF" w:rsidRDefault="00A71EEF">
      <w:pPr>
        <w:sectPr w:rsidR="00A71EEF">
          <w:pgSz w:w="11910" w:h="16850"/>
          <w:pgMar w:top="1220" w:right="0" w:bottom="1420" w:left="1260" w:header="0" w:footer="1239" w:gutter="0"/>
          <w:cols w:space="720"/>
        </w:sectPr>
      </w:pPr>
    </w:p>
    <w:p w14:paraId="21A437FA" w14:textId="77777777" w:rsidR="00A71EEF" w:rsidRDefault="0081115D">
      <w:pPr>
        <w:pStyle w:val="a4"/>
        <w:numPr>
          <w:ilvl w:val="2"/>
          <w:numId w:val="141"/>
        </w:numPr>
        <w:tabs>
          <w:tab w:val="left" w:pos="1478"/>
        </w:tabs>
        <w:spacing w:before="45"/>
        <w:ind w:left="1477" w:hanging="638"/>
        <w:rPr>
          <w:sz w:val="21"/>
        </w:rPr>
      </w:pPr>
      <w:r>
        <w:rPr>
          <w:spacing w:val="-7"/>
          <w:sz w:val="21"/>
        </w:rPr>
        <w:t>防火卷帘控制器安装应符合下列规定：</w:t>
      </w:r>
      <w:r>
        <w:rPr>
          <w:spacing w:val="-7"/>
          <w:sz w:val="21"/>
        </w:rPr>
        <w:t xml:space="preserve"> </w:t>
      </w:r>
    </w:p>
    <w:p w14:paraId="340436C1" w14:textId="77777777" w:rsidR="00A71EEF" w:rsidRDefault="00A71EEF">
      <w:pPr>
        <w:pStyle w:val="a3"/>
        <w:spacing w:before="4"/>
        <w:rPr>
          <w:sz w:val="18"/>
        </w:rPr>
      </w:pPr>
    </w:p>
    <w:p w14:paraId="20B56827" w14:textId="77777777" w:rsidR="00A71EEF" w:rsidRDefault="0081115D">
      <w:pPr>
        <w:pStyle w:val="a3"/>
        <w:spacing w:before="1" w:line="446" w:lineRule="auto"/>
        <w:ind w:left="418" w:right="1558" w:firstLine="407"/>
      </w:pPr>
      <w:r>
        <w:rPr>
          <w:spacing w:val="-8"/>
        </w:rPr>
        <w:t>防火卷帘的控制器和手动按钮盒应分别安装在防火卷帘内外两侧的墙壁上，当卷帘一</w:t>
      </w:r>
      <w:r>
        <w:rPr>
          <w:spacing w:val="-8"/>
        </w:rPr>
        <w:t xml:space="preserve"> </w:t>
      </w:r>
      <w:r>
        <w:rPr>
          <w:spacing w:val="-8"/>
        </w:rPr>
        <w:t>侧为无人场所时，可安装在一侧墙壁上，且应符合设计要求。控制器和手动按钮盒应安装在</w:t>
      </w:r>
      <w:r>
        <w:t xml:space="preserve"> </w:t>
      </w:r>
    </w:p>
    <w:p w14:paraId="6A695211" w14:textId="77777777" w:rsidR="00A71EEF" w:rsidRDefault="0081115D">
      <w:pPr>
        <w:pStyle w:val="a3"/>
        <w:spacing w:before="2" w:line="446" w:lineRule="auto"/>
        <w:ind w:left="826" w:right="4717"/>
      </w:pPr>
      <w:r>
        <w:rPr>
          <w:spacing w:val="-8"/>
        </w:rPr>
        <w:t>便于识别的</w:t>
      </w:r>
      <w:r>
        <w:rPr>
          <w:spacing w:val="-8"/>
        </w:rPr>
        <w:t>位置，且应标出上升、下降、停止等功能。</w:t>
      </w:r>
      <w:r>
        <w:rPr>
          <w:spacing w:val="-8"/>
        </w:rPr>
        <w:t xml:space="preserve"> </w:t>
      </w:r>
      <w:r>
        <w:rPr>
          <w:spacing w:val="-8"/>
        </w:rPr>
        <w:t>检查数量：全数检查。</w:t>
      </w:r>
      <w:r>
        <w:t xml:space="preserve"> </w:t>
      </w:r>
    </w:p>
    <w:p w14:paraId="657E5554" w14:textId="77777777" w:rsidR="00A71EEF" w:rsidRDefault="0081115D">
      <w:pPr>
        <w:pStyle w:val="a3"/>
        <w:spacing w:before="5"/>
        <w:ind w:left="826"/>
      </w:pPr>
      <w:r>
        <w:rPr>
          <w:spacing w:val="-8"/>
        </w:rPr>
        <w:t>检查方法：直观检查。</w:t>
      </w:r>
      <w:r>
        <w:t xml:space="preserve"> </w:t>
      </w:r>
    </w:p>
    <w:p w14:paraId="3A9C5AB9" w14:textId="77777777" w:rsidR="00A71EEF" w:rsidRDefault="00A71EEF">
      <w:pPr>
        <w:pStyle w:val="a3"/>
        <w:spacing w:before="1"/>
        <w:rPr>
          <w:sz w:val="18"/>
        </w:rPr>
      </w:pPr>
    </w:p>
    <w:p w14:paraId="1B513191" w14:textId="77777777" w:rsidR="00A71EEF" w:rsidRDefault="0081115D">
      <w:pPr>
        <w:pStyle w:val="a3"/>
        <w:spacing w:before="1" w:line="451" w:lineRule="auto"/>
        <w:ind w:left="826" w:right="1863"/>
      </w:pPr>
      <w:r>
        <w:rPr>
          <w:spacing w:val="-6"/>
        </w:rPr>
        <w:t>防火卷帘控制器及手动按钮盒的安装应牢固可靠，其底边距地面高度宜为</w:t>
      </w:r>
      <w:r>
        <w:rPr>
          <w:spacing w:val="-6"/>
        </w:rPr>
        <w:t xml:space="preserve"> </w:t>
      </w:r>
      <w:r>
        <w:rPr>
          <w:spacing w:val="-5"/>
        </w:rPr>
        <w:t>1.3</w:t>
      </w:r>
      <w:r>
        <w:rPr>
          <w:spacing w:val="-5"/>
        </w:rPr>
        <w:t>～</w:t>
      </w:r>
      <w:r>
        <w:rPr>
          <w:spacing w:val="-5"/>
        </w:rPr>
        <w:t>1.5m</w:t>
      </w:r>
      <w:r>
        <w:rPr>
          <w:spacing w:val="-8"/>
        </w:rPr>
        <w:t>。检查数量：全数检查。</w:t>
      </w:r>
      <w:r>
        <w:t xml:space="preserve"> </w:t>
      </w:r>
    </w:p>
    <w:p w14:paraId="14E750A9" w14:textId="77777777" w:rsidR="00A71EEF" w:rsidRDefault="0081115D">
      <w:pPr>
        <w:pStyle w:val="a3"/>
        <w:spacing w:line="264" w:lineRule="exact"/>
        <w:ind w:left="826"/>
      </w:pPr>
      <w:r>
        <w:t>检查方法：直观检查；尺量检查。</w:t>
      </w:r>
      <w:r>
        <w:t xml:space="preserve"> </w:t>
      </w:r>
    </w:p>
    <w:p w14:paraId="090E13BA" w14:textId="77777777" w:rsidR="00A71EEF" w:rsidRDefault="00A71EEF">
      <w:pPr>
        <w:pStyle w:val="a3"/>
        <w:spacing w:before="4"/>
        <w:rPr>
          <w:sz w:val="18"/>
        </w:rPr>
      </w:pPr>
    </w:p>
    <w:p w14:paraId="7C17801D" w14:textId="77777777" w:rsidR="00A71EEF" w:rsidRDefault="0081115D">
      <w:pPr>
        <w:pStyle w:val="a3"/>
        <w:spacing w:line="446" w:lineRule="auto"/>
        <w:ind w:left="418" w:right="1558" w:firstLine="407"/>
      </w:pPr>
      <w:r>
        <w:rPr>
          <w:spacing w:val="-8"/>
        </w:rPr>
        <w:t>防火卷帘控制器的金属件应有接地点，且接地点应有明显的接地标志，连接地线的螺</w:t>
      </w:r>
      <w:r>
        <w:rPr>
          <w:spacing w:val="-8"/>
        </w:rPr>
        <w:t xml:space="preserve"> </w:t>
      </w:r>
      <w:r>
        <w:rPr>
          <w:spacing w:val="-8"/>
        </w:rPr>
        <w:t>钉不应作其他紧固用。</w:t>
      </w:r>
      <w:r>
        <w:t xml:space="preserve"> </w:t>
      </w:r>
    </w:p>
    <w:p w14:paraId="2C9AC58F" w14:textId="77777777" w:rsidR="00A71EEF" w:rsidRDefault="0081115D">
      <w:pPr>
        <w:pStyle w:val="a3"/>
        <w:spacing w:before="2" w:line="448" w:lineRule="auto"/>
        <w:ind w:left="826" w:right="7600"/>
      </w:pPr>
      <w:r>
        <w:rPr>
          <w:spacing w:val="-8"/>
        </w:rPr>
        <w:t>检查数量：全数检查。</w:t>
      </w:r>
      <w:r>
        <w:rPr>
          <w:spacing w:val="-8"/>
        </w:rPr>
        <w:t xml:space="preserve"> </w:t>
      </w:r>
      <w:r>
        <w:rPr>
          <w:spacing w:val="-8"/>
        </w:rPr>
        <w:t>检查方法：直观检查。</w:t>
      </w:r>
      <w:r>
        <w:rPr>
          <w:spacing w:val="-34"/>
        </w:rPr>
        <w:t xml:space="preserve"> </w:t>
      </w:r>
      <w:r>
        <w:t xml:space="preserve"> </w:t>
      </w:r>
    </w:p>
    <w:p w14:paraId="4899BD84" w14:textId="77777777" w:rsidR="00A71EEF" w:rsidRDefault="0081115D">
      <w:pPr>
        <w:pStyle w:val="a4"/>
        <w:numPr>
          <w:ilvl w:val="2"/>
          <w:numId w:val="141"/>
        </w:numPr>
        <w:tabs>
          <w:tab w:val="left" w:pos="1470"/>
        </w:tabs>
        <w:spacing w:line="446" w:lineRule="auto"/>
        <w:ind w:left="418" w:right="1388" w:firstLine="422"/>
        <w:rPr>
          <w:sz w:val="21"/>
        </w:rPr>
      </w:pPr>
      <w:r>
        <w:rPr>
          <w:spacing w:val="-8"/>
          <w:sz w:val="21"/>
        </w:rPr>
        <w:t>与火灾自动报警系统联动的防火卷帘</w:t>
      </w:r>
      <w:r>
        <w:rPr>
          <w:spacing w:val="-16"/>
          <w:sz w:val="21"/>
        </w:rPr>
        <w:t>，其火灾探测器和手动按钮盒的安装应符合下列</w:t>
      </w:r>
      <w:r>
        <w:rPr>
          <w:spacing w:val="-16"/>
          <w:sz w:val="21"/>
        </w:rPr>
        <w:t xml:space="preserve"> </w:t>
      </w:r>
      <w:r>
        <w:rPr>
          <w:spacing w:val="-16"/>
          <w:sz w:val="21"/>
        </w:rPr>
        <w:t>规定：</w:t>
      </w:r>
      <w:r>
        <w:rPr>
          <w:sz w:val="21"/>
        </w:rPr>
        <w:t xml:space="preserve"> </w:t>
      </w:r>
    </w:p>
    <w:p w14:paraId="4D083E21" w14:textId="77777777" w:rsidR="00A71EEF" w:rsidRDefault="0081115D">
      <w:pPr>
        <w:pStyle w:val="a3"/>
        <w:spacing w:before="2" w:line="446" w:lineRule="auto"/>
        <w:ind w:left="418" w:right="1558" w:firstLine="407"/>
      </w:pPr>
      <w:r>
        <w:rPr>
          <w:spacing w:val="-8"/>
        </w:rPr>
        <w:t>防火卷帘两侧均应安装火灾探测器组和手动按钮盒。当防火卷帘一侧为无人场所时，</w:t>
      </w:r>
      <w:r>
        <w:rPr>
          <w:spacing w:val="-8"/>
        </w:rPr>
        <w:t xml:space="preserve"> </w:t>
      </w:r>
      <w:r>
        <w:rPr>
          <w:spacing w:val="-8"/>
        </w:rPr>
        <w:t>防火卷帘有人侧应安装火灾探测器组和手动按钮盒。</w:t>
      </w:r>
      <w:r>
        <w:t xml:space="preserve"> </w:t>
      </w:r>
    </w:p>
    <w:p w14:paraId="50445546" w14:textId="77777777" w:rsidR="00A71EEF" w:rsidRDefault="0081115D">
      <w:pPr>
        <w:pStyle w:val="a3"/>
        <w:spacing w:before="2" w:line="448" w:lineRule="auto"/>
        <w:ind w:left="826" w:right="7573"/>
      </w:pPr>
      <w:r>
        <w:rPr>
          <w:spacing w:val="-8"/>
        </w:rPr>
        <w:t>检查数量：全数检查。</w:t>
      </w:r>
      <w:r>
        <w:rPr>
          <w:spacing w:val="-8"/>
        </w:rPr>
        <w:t xml:space="preserve"> </w:t>
      </w:r>
      <w:r>
        <w:rPr>
          <w:spacing w:val="-8"/>
        </w:rPr>
        <w:t>检查方法：直观检查。</w:t>
      </w:r>
      <w:r>
        <w:t xml:space="preserve"> </w:t>
      </w:r>
    </w:p>
    <w:p w14:paraId="68883DBC" w14:textId="77777777" w:rsidR="00A71EEF" w:rsidRDefault="0081115D">
      <w:pPr>
        <w:pStyle w:val="a3"/>
        <w:spacing w:line="446" w:lineRule="auto"/>
        <w:ind w:left="418" w:right="1430" w:firstLine="407"/>
      </w:pPr>
      <w:r>
        <w:rPr>
          <w:spacing w:val="-8"/>
        </w:rPr>
        <w:t>用于联动防火卷帘的火灾探测器的类型、数量及其间距应符合现行国家标准《火灾自动报警系统设计规范》</w:t>
      </w:r>
      <w:r>
        <w:rPr>
          <w:spacing w:val="-4"/>
        </w:rPr>
        <w:t xml:space="preserve">GB </w:t>
      </w:r>
      <w:r>
        <w:rPr>
          <w:spacing w:val="-5"/>
        </w:rPr>
        <w:t>50116</w:t>
      </w:r>
      <w:r>
        <w:rPr>
          <w:spacing w:val="-8"/>
        </w:rPr>
        <w:t xml:space="preserve"> </w:t>
      </w:r>
      <w:r>
        <w:rPr>
          <w:spacing w:val="-8"/>
        </w:rPr>
        <w:t>的有关规定。</w:t>
      </w:r>
      <w:r>
        <w:rPr>
          <w:spacing w:val="-8"/>
        </w:rPr>
        <w:t xml:space="preserve"> </w:t>
      </w:r>
      <w:r>
        <w:t xml:space="preserve"> </w:t>
      </w:r>
    </w:p>
    <w:p w14:paraId="4DB5574C" w14:textId="77777777" w:rsidR="00A71EEF" w:rsidRDefault="0081115D">
      <w:pPr>
        <w:pStyle w:val="a3"/>
        <w:spacing w:before="3"/>
        <w:ind w:left="826"/>
      </w:pPr>
      <w:r>
        <w:t>检查数量：全数检查。</w:t>
      </w:r>
      <w:r>
        <w:t xml:space="preserve">  </w:t>
      </w:r>
    </w:p>
    <w:p w14:paraId="40E2DE11" w14:textId="77777777" w:rsidR="00A71EEF" w:rsidRDefault="00A71EEF">
      <w:pPr>
        <w:pStyle w:val="a3"/>
        <w:spacing w:before="4"/>
        <w:rPr>
          <w:sz w:val="18"/>
        </w:rPr>
      </w:pPr>
    </w:p>
    <w:p w14:paraId="5A6E1BC0" w14:textId="77777777" w:rsidR="00A71EEF" w:rsidRDefault="0081115D">
      <w:pPr>
        <w:pStyle w:val="a3"/>
        <w:ind w:left="826"/>
      </w:pPr>
      <w:r>
        <w:t>检查方法：检查设计、施工文件；尺量检查。</w:t>
      </w:r>
      <w:r>
        <w:t xml:space="preserve">  </w:t>
      </w:r>
      <w:hyperlink r:id="rId462" w:anchor="5211">
        <w:r>
          <w:rPr>
            <w:color w:val="DDD9C3"/>
            <w:u w:val="single" w:color="DDD9C3"/>
          </w:rPr>
          <w:t xml:space="preserve"> </w:t>
        </w:r>
      </w:hyperlink>
      <w:r>
        <w:t xml:space="preserve"> </w:t>
      </w:r>
    </w:p>
    <w:p w14:paraId="4D2B6BF7" w14:textId="77777777" w:rsidR="00A71EEF" w:rsidRDefault="00A71EEF">
      <w:pPr>
        <w:pStyle w:val="a3"/>
        <w:spacing w:before="4"/>
        <w:rPr>
          <w:sz w:val="13"/>
        </w:rPr>
      </w:pPr>
    </w:p>
    <w:p w14:paraId="15D9CD0E" w14:textId="77777777" w:rsidR="00A71EEF" w:rsidRDefault="0081115D">
      <w:pPr>
        <w:pStyle w:val="a4"/>
        <w:numPr>
          <w:ilvl w:val="2"/>
          <w:numId w:val="141"/>
        </w:numPr>
        <w:tabs>
          <w:tab w:val="left" w:pos="1478"/>
        </w:tabs>
        <w:spacing w:before="71"/>
        <w:ind w:left="1477" w:hanging="638"/>
        <w:rPr>
          <w:sz w:val="21"/>
        </w:rPr>
      </w:pPr>
      <w:r>
        <w:rPr>
          <w:spacing w:val="-16"/>
          <w:sz w:val="21"/>
        </w:rPr>
        <w:t>用于保护防火卷帘的自动喷水灭火系统的管道、喷头、报警阀等组件的安装，应符合</w:t>
      </w:r>
      <w:r>
        <w:rPr>
          <w:sz w:val="21"/>
        </w:rPr>
        <w:t xml:space="preserve"> </w:t>
      </w:r>
    </w:p>
    <w:p w14:paraId="5F9C6242" w14:textId="77777777" w:rsidR="00A71EEF" w:rsidRDefault="00A71EEF">
      <w:pPr>
        <w:pStyle w:val="a3"/>
        <w:spacing w:before="4"/>
        <w:rPr>
          <w:sz w:val="19"/>
        </w:rPr>
      </w:pPr>
    </w:p>
    <w:p w14:paraId="0D726575" w14:textId="77777777" w:rsidR="00A71EEF" w:rsidRDefault="0081115D">
      <w:pPr>
        <w:pStyle w:val="a3"/>
        <w:spacing w:line="460" w:lineRule="auto"/>
        <w:ind w:left="826" w:right="2562" w:firstLine="12"/>
      </w:pPr>
      <w:r>
        <w:t>现行国家标准《自动喷水灭火系统施工及验收规范》</w:t>
      </w:r>
      <w:r>
        <w:t xml:space="preserve">GB 50261 </w:t>
      </w:r>
      <w:r>
        <w:t>的有关规定。检查数量：全数检查。</w:t>
      </w:r>
      <w:r>
        <w:t xml:space="preserve"> </w:t>
      </w:r>
    </w:p>
    <w:p w14:paraId="78AAE70F" w14:textId="77777777" w:rsidR="00A71EEF" w:rsidRDefault="0081115D">
      <w:pPr>
        <w:pStyle w:val="a3"/>
        <w:spacing w:before="2"/>
        <w:ind w:left="826"/>
      </w:pPr>
      <w:r>
        <w:t>检查方法：对照设计、施工图纸检查；尺量检查。</w:t>
      </w:r>
      <w:r>
        <w:t xml:space="preserve">  </w:t>
      </w:r>
      <w:r>
        <w:t xml:space="preserve"> </w:t>
      </w:r>
    </w:p>
    <w:p w14:paraId="4F6F1512" w14:textId="77777777" w:rsidR="00A71EEF" w:rsidRDefault="00A71EEF">
      <w:pPr>
        <w:pStyle w:val="a3"/>
        <w:spacing w:before="4"/>
        <w:rPr>
          <w:sz w:val="20"/>
        </w:rPr>
      </w:pPr>
    </w:p>
    <w:p w14:paraId="73883FA8" w14:textId="77777777" w:rsidR="00A71EEF" w:rsidRDefault="0081115D">
      <w:pPr>
        <w:pStyle w:val="a4"/>
        <w:numPr>
          <w:ilvl w:val="2"/>
          <w:numId w:val="141"/>
        </w:numPr>
        <w:tabs>
          <w:tab w:val="left" w:pos="1478"/>
        </w:tabs>
        <w:spacing w:before="1"/>
        <w:ind w:left="1477" w:hanging="638"/>
        <w:rPr>
          <w:sz w:val="21"/>
        </w:rPr>
      </w:pPr>
      <w:r>
        <w:rPr>
          <w:spacing w:val="-17"/>
          <w:sz w:val="21"/>
        </w:rPr>
        <w:t>防火卷帘电气线路的敷设安装，除应符合设计要求外，尚应符合现行国家标准《建筑</w:t>
      </w:r>
    </w:p>
    <w:p w14:paraId="4CFF145B" w14:textId="77777777" w:rsidR="00A71EEF" w:rsidRDefault="00A71EEF">
      <w:pPr>
        <w:rPr>
          <w:sz w:val="21"/>
        </w:rPr>
        <w:sectPr w:rsidR="00A71EEF">
          <w:pgSz w:w="11910" w:h="16850"/>
          <w:pgMar w:top="1220" w:right="0" w:bottom="1420" w:left="1260" w:header="0" w:footer="1239" w:gutter="0"/>
          <w:cols w:space="720"/>
        </w:sectPr>
      </w:pPr>
    </w:p>
    <w:p w14:paraId="70BCB881" w14:textId="77777777" w:rsidR="00A71EEF" w:rsidRDefault="0081115D">
      <w:pPr>
        <w:pStyle w:val="a3"/>
        <w:spacing w:before="47" w:line="470" w:lineRule="auto"/>
        <w:ind w:left="826" w:right="6322" w:hanging="408"/>
      </w:pPr>
      <w:r>
        <w:t>设计防火规范》</w:t>
      </w:r>
      <w:r>
        <w:t xml:space="preserve">GB 50016 </w:t>
      </w:r>
      <w:r>
        <w:t>的有关规定。检查数量：全数检查。</w:t>
      </w:r>
      <w:r>
        <w:t xml:space="preserve">  </w:t>
      </w:r>
    </w:p>
    <w:p w14:paraId="12FF17B7" w14:textId="77777777" w:rsidR="00A71EEF" w:rsidRDefault="0081115D">
      <w:pPr>
        <w:pStyle w:val="a3"/>
        <w:spacing w:before="4" w:line="448" w:lineRule="auto"/>
        <w:ind w:left="840" w:right="5773" w:hanging="15"/>
        <w:rPr>
          <w:b/>
        </w:rPr>
      </w:pPr>
      <w:r>
        <w:t>检查方法：对照有关设计、施工文件检查。</w:t>
      </w:r>
      <w:r>
        <w:rPr>
          <w:b/>
        </w:rPr>
        <w:t xml:space="preserve">5.3 </w:t>
      </w:r>
      <w:r>
        <w:t>防火门安装</w:t>
      </w:r>
      <w:r>
        <w:rPr>
          <w:b/>
          <w:w w:val="99"/>
        </w:rPr>
        <w:t xml:space="preserve"> </w:t>
      </w:r>
    </w:p>
    <w:p w14:paraId="5F3D7BDB" w14:textId="77777777" w:rsidR="00A71EEF" w:rsidRDefault="0081115D">
      <w:pPr>
        <w:pStyle w:val="a4"/>
        <w:numPr>
          <w:ilvl w:val="2"/>
          <w:numId w:val="140"/>
        </w:numPr>
        <w:tabs>
          <w:tab w:val="left" w:pos="1371"/>
        </w:tabs>
        <w:spacing w:line="446" w:lineRule="auto"/>
        <w:ind w:right="1810" w:firstLine="422"/>
        <w:rPr>
          <w:sz w:val="21"/>
        </w:rPr>
      </w:pPr>
      <w:r>
        <w:rPr>
          <w:spacing w:val="-8"/>
          <w:sz w:val="21"/>
        </w:rPr>
        <w:t>除特殊情况外，防火门应向疏散方向开启，防火门在关闭后应从任何一侧手动开启</w:t>
      </w:r>
      <w:r>
        <w:rPr>
          <w:spacing w:val="-3"/>
          <w:sz w:val="21"/>
        </w:rPr>
        <w:t>。</w:t>
      </w:r>
      <w:r>
        <w:rPr>
          <w:spacing w:val="-3"/>
          <w:sz w:val="21"/>
        </w:rPr>
        <w:t xml:space="preserve"> </w:t>
      </w:r>
      <w:r>
        <w:rPr>
          <w:sz w:val="21"/>
        </w:rPr>
        <w:t xml:space="preserve"> </w:t>
      </w:r>
    </w:p>
    <w:p w14:paraId="54C5591F" w14:textId="77777777" w:rsidR="00A71EEF" w:rsidRDefault="0081115D">
      <w:pPr>
        <w:pStyle w:val="a3"/>
        <w:spacing w:line="472" w:lineRule="auto"/>
        <w:ind w:left="826" w:right="7427"/>
      </w:pPr>
      <w:r>
        <w:rPr>
          <w:spacing w:val="-7"/>
        </w:rPr>
        <w:t>检查数量：全数检查。</w:t>
      </w:r>
      <w:r>
        <w:rPr>
          <w:spacing w:val="-7"/>
        </w:rPr>
        <w:t xml:space="preserve">  </w:t>
      </w:r>
      <w:r>
        <w:rPr>
          <w:spacing w:val="-7"/>
        </w:rPr>
        <w:t>检查方法：直观检查。</w:t>
      </w:r>
      <w:r>
        <w:t xml:space="preserve"> </w:t>
      </w:r>
      <w:r>
        <w:rPr>
          <w:spacing w:val="3"/>
        </w:rPr>
        <w:t xml:space="preserve"> </w:t>
      </w:r>
      <w:r>
        <w:t xml:space="preserve"> </w:t>
      </w:r>
    </w:p>
    <w:p w14:paraId="31F8EEED" w14:textId="77777777" w:rsidR="00A71EEF" w:rsidRDefault="0081115D">
      <w:pPr>
        <w:pStyle w:val="a4"/>
        <w:numPr>
          <w:ilvl w:val="2"/>
          <w:numId w:val="140"/>
        </w:numPr>
        <w:tabs>
          <w:tab w:val="left" w:pos="1370"/>
        </w:tabs>
        <w:spacing w:line="242" w:lineRule="exact"/>
        <w:ind w:left="1369" w:hanging="530"/>
        <w:rPr>
          <w:sz w:val="21"/>
        </w:rPr>
      </w:pPr>
      <w:r>
        <w:rPr>
          <w:spacing w:val="-8"/>
          <w:sz w:val="21"/>
        </w:rPr>
        <w:t>常闭防火门应安装闭门器等，双扇和多扇防火门应安装顺序器。</w:t>
      </w:r>
      <w:r>
        <w:rPr>
          <w:spacing w:val="-8"/>
          <w:sz w:val="21"/>
        </w:rPr>
        <w:t xml:space="preserve"> </w:t>
      </w:r>
      <w:r>
        <w:rPr>
          <w:sz w:val="21"/>
        </w:rPr>
        <w:t xml:space="preserve"> </w:t>
      </w:r>
    </w:p>
    <w:p w14:paraId="35F2CCD2" w14:textId="77777777" w:rsidR="00A71EEF" w:rsidRDefault="00A71EEF">
      <w:pPr>
        <w:pStyle w:val="a3"/>
        <w:spacing w:before="9"/>
        <w:rPr>
          <w:sz w:val="17"/>
        </w:rPr>
      </w:pPr>
    </w:p>
    <w:p w14:paraId="3EA85C25" w14:textId="77777777" w:rsidR="00A71EEF" w:rsidRDefault="0081115D">
      <w:pPr>
        <w:pStyle w:val="a3"/>
        <w:spacing w:line="446" w:lineRule="auto"/>
        <w:ind w:left="826" w:right="7600"/>
      </w:pPr>
      <w:r>
        <w:rPr>
          <w:spacing w:val="-8"/>
        </w:rPr>
        <w:t>检查数量：全数检查。</w:t>
      </w:r>
      <w:r>
        <w:rPr>
          <w:spacing w:val="-8"/>
        </w:rPr>
        <w:t xml:space="preserve"> </w:t>
      </w:r>
      <w:r>
        <w:rPr>
          <w:spacing w:val="-8"/>
        </w:rPr>
        <w:t>检查方法：直观检查。</w:t>
      </w:r>
      <w:r>
        <w:rPr>
          <w:spacing w:val="-34"/>
        </w:rPr>
        <w:t xml:space="preserve"> </w:t>
      </w:r>
      <w:r>
        <w:t xml:space="preserve"> </w:t>
      </w:r>
    </w:p>
    <w:p w14:paraId="5BE3D8B2" w14:textId="77777777" w:rsidR="00A71EEF" w:rsidRDefault="0081115D">
      <w:pPr>
        <w:pStyle w:val="a4"/>
        <w:numPr>
          <w:ilvl w:val="2"/>
          <w:numId w:val="140"/>
        </w:numPr>
        <w:tabs>
          <w:tab w:val="left" w:pos="1370"/>
        </w:tabs>
        <w:spacing w:before="63" w:line="446" w:lineRule="auto"/>
        <w:ind w:right="1601" w:firstLine="422"/>
        <w:rPr>
          <w:sz w:val="21"/>
        </w:rPr>
      </w:pPr>
      <w:r>
        <w:rPr>
          <w:spacing w:val="-8"/>
          <w:sz w:val="21"/>
        </w:rPr>
        <w:t>常开防火门，应安装火灾时能自动关闭门扇的控制、信号反馈装置和现场手动控制装</w:t>
      </w:r>
      <w:r>
        <w:rPr>
          <w:spacing w:val="-6"/>
          <w:sz w:val="21"/>
        </w:rPr>
        <w:t>置，且应符合产品说明书要求。</w:t>
      </w:r>
      <w:r>
        <w:rPr>
          <w:sz w:val="21"/>
        </w:rPr>
        <w:t xml:space="preserve"> </w:t>
      </w:r>
    </w:p>
    <w:p w14:paraId="4EFD1C06" w14:textId="77777777" w:rsidR="00A71EEF" w:rsidRDefault="0081115D">
      <w:pPr>
        <w:pStyle w:val="a3"/>
        <w:spacing w:before="34" w:line="446" w:lineRule="auto"/>
        <w:ind w:left="826" w:right="7523"/>
      </w:pPr>
      <w:r>
        <w:rPr>
          <w:spacing w:val="-7"/>
        </w:rPr>
        <w:t>检查数量：全数检查。</w:t>
      </w:r>
      <w:r>
        <w:rPr>
          <w:spacing w:val="-7"/>
        </w:rPr>
        <w:t xml:space="preserve"> </w:t>
      </w:r>
      <w:r>
        <w:rPr>
          <w:spacing w:val="-7"/>
        </w:rPr>
        <w:t>检查方法：直观检查。</w:t>
      </w:r>
      <w:r>
        <w:rPr>
          <w:spacing w:val="12"/>
        </w:rPr>
        <w:t xml:space="preserve"> </w:t>
      </w:r>
      <w:r>
        <w:t xml:space="preserve"> </w:t>
      </w:r>
    </w:p>
    <w:p w14:paraId="5F28F994" w14:textId="77777777" w:rsidR="00A71EEF" w:rsidRDefault="0081115D">
      <w:pPr>
        <w:pStyle w:val="a4"/>
        <w:numPr>
          <w:ilvl w:val="2"/>
          <w:numId w:val="140"/>
        </w:numPr>
        <w:tabs>
          <w:tab w:val="left" w:pos="1370"/>
        </w:tabs>
        <w:spacing w:before="64" w:line="446" w:lineRule="auto"/>
        <w:ind w:right="4191" w:firstLine="422"/>
        <w:rPr>
          <w:sz w:val="21"/>
        </w:rPr>
      </w:pPr>
      <w:r>
        <w:rPr>
          <w:spacing w:val="-8"/>
          <w:sz w:val="21"/>
        </w:rPr>
        <w:t>防火门电动控制装置的安装应符合设计和产品说明书要</w:t>
      </w:r>
      <w:r>
        <w:rPr>
          <w:spacing w:val="-4"/>
          <w:sz w:val="21"/>
        </w:rPr>
        <w:t>求。</w:t>
      </w:r>
      <w:r>
        <w:rPr>
          <w:spacing w:val="-4"/>
          <w:sz w:val="21"/>
        </w:rPr>
        <w:t xml:space="preserve"> </w:t>
      </w:r>
      <w:r>
        <w:rPr>
          <w:sz w:val="21"/>
        </w:rPr>
        <w:t xml:space="preserve"> </w:t>
      </w:r>
    </w:p>
    <w:p w14:paraId="41FB9615" w14:textId="77777777" w:rsidR="00A71EEF" w:rsidRDefault="0081115D">
      <w:pPr>
        <w:pStyle w:val="a3"/>
        <w:spacing w:before="63"/>
        <w:ind w:left="826"/>
      </w:pPr>
      <w:r>
        <w:t>检查数量：全数检查。</w:t>
      </w:r>
      <w:r>
        <w:t xml:space="preserve"> </w:t>
      </w:r>
    </w:p>
    <w:p w14:paraId="6BB96C02" w14:textId="77777777" w:rsidR="00A71EEF" w:rsidRDefault="00A71EEF">
      <w:pPr>
        <w:pStyle w:val="a3"/>
        <w:rPr>
          <w:sz w:val="23"/>
        </w:rPr>
      </w:pPr>
    </w:p>
    <w:p w14:paraId="43717466" w14:textId="77777777" w:rsidR="00A71EEF" w:rsidRDefault="0081115D">
      <w:pPr>
        <w:pStyle w:val="a3"/>
        <w:spacing w:line="468" w:lineRule="auto"/>
        <w:ind w:left="840" w:right="4091" w:hanging="15"/>
      </w:pPr>
      <w:r>
        <w:rPr>
          <w:spacing w:val="-8"/>
        </w:rPr>
        <w:t>检查方法：直观检查；按设计图纸、施工文件检查。</w:t>
      </w:r>
      <w:r>
        <w:rPr>
          <w:spacing w:val="-8"/>
        </w:rPr>
        <w:t xml:space="preserve">     </w:t>
      </w:r>
      <w:r>
        <w:rPr>
          <w:b/>
          <w:spacing w:val="-8"/>
        </w:rPr>
        <w:t>5.3.5</w:t>
      </w:r>
      <w:r>
        <w:rPr>
          <w:b/>
          <w:spacing w:val="15"/>
        </w:rPr>
        <w:t xml:space="preserve"> </w:t>
      </w:r>
      <w:r>
        <w:rPr>
          <w:spacing w:val="-8"/>
        </w:rPr>
        <w:t>防火插销应安装在双扇门或多扇门相对固定一侧的门扇</w:t>
      </w:r>
    </w:p>
    <w:p w14:paraId="728B47A4" w14:textId="77777777" w:rsidR="00A71EEF" w:rsidRDefault="0081115D">
      <w:pPr>
        <w:pStyle w:val="a3"/>
        <w:spacing w:line="247" w:lineRule="exact"/>
        <w:ind w:left="418"/>
      </w:pPr>
      <w:r>
        <w:t>上。</w:t>
      </w:r>
      <w:r>
        <w:t xml:space="preserve">  </w:t>
      </w:r>
    </w:p>
    <w:p w14:paraId="64484F91" w14:textId="77777777" w:rsidR="00A71EEF" w:rsidRDefault="00A71EEF">
      <w:pPr>
        <w:pStyle w:val="a3"/>
        <w:spacing w:before="11"/>
        <w:rPr>
          <w:sz w:val="19"/>
        </w:rPr>
      </w:pPr>
    </w:p>
    <w:p w14:paraId="45216A95" w14:textId="77777777" w:rsidR="00A71EEF" w:rsidRDefault="0081115D">
      <w:pPr>
        <w:pStyle w:val="a3"/>
        <w:ind w:left="826"/>
      </w:pPr>
      <w:r>
        <w:t>检查数量：全数检查。</w:t>
      </w:r>
      <w:r>
        <w:t xml:space="preserve"> </w:t>
      </w:r>
    </w:p>
    <w:p w14:paraId="2E02A81A" w14:textId="77777777" w:rsidR="00A71EEF" w:rsidRDefault="00A71EEF">
      <w:pPr>
        <w:pStyle w:val="a3"/>
        <w:spacing w:before="12"/>
        <w:rPr>
          <w:sz w:val="20"/>
        </w:rPr>
      </w:pPr>
    </w:p>
    <w:p w14:paraId="36F7BC58" w14:textId="77777777" w:rsidR="00A71EEF" w:rsidRDefault="0081115D">
      <w:pPr>
        <w:pStyle w:val="a3"/>
        <w:ind w:left="826"/>
      </w:pPr>
      <w:r>
        <w:t>检查方法：直观检查；查看设计图纸。</w:t>
      </w:r>
      <w:r>
        <w:t xml:space="preserve">  </w:t>
      </w:r>
      <w:r>
        <w:t xml:space="preserve"> </w:t>
      </w:r>
    </w:p>
    <w:p w14:paraId="59016012" w14:textId="77777777" w:rsidR="00A71EEF" w:rsidRDefault="00A71EEF">
      <w:pPr>
        <w:pStyle w:val="a3"/>
        <w:spacing w:before="1"/>
        <w:rPr>
          <w:sz w:val="23"/>
        </w:rPr>
      </w:pPr>
    </w:p>
    <w:p w14:paraId="24CF8628" w14:textId="77777777" w:rsidR="00A71EEF" w:rsidRDefault="0081115D">
      <w:pPr>
        <w:pStyle w:val="a4"/>
        <w:numPr>
          <w:ilvl w:val="2"/>
          <w:numId w:val="139"/>
        </w:numPr>
        <w:tabs>
          <w:tab w:val="left" w:pos="1370"/>
        </w:tabs>
        <w:ind w:hanging="530"/>
        <w:rPr>
          <w:sz w:val="21"/>
        </w:rPr>
      </w:pPr>
      <w:r>
        <w:rPr>
          <w:spacing w:val="-8"/>
          <w:sz w:val="21"/>
        </w:rPr>
        <w:t>防火门门框与门扇、门扇与门扇的缝隙处嵌装的防火密封件应牢固、完好。</w:t>
      </w:r>
      <w:r>
        <w:rPr>
          <w:spacing w:val="-3"/>
          <w:sz w:val="21"/>
        </w:rPr>
        <w:t xml:space="preserve"> </w:t>
      </w:r>
      <w:r>
        <w:rPr>
          <w:sz w:val="21"/>
        </w:rPr>
        <w:t xml:space="preserve"> </w:t>
      </w:r>
    </w:p>
    <w:p w14:paraId="485A6A6C" w14:textId="77777777" w:rsidR="00A71EEF" w:rsidRDefault="00A71EEF">
      <w:pPr>
        <w:pStyle w:val="a3"/>
        <w:rPr>
          <w:sz w:val="23"/>
        </w:rPr>
      </w:pPr>
    </w:p>
    <w:p w14:paraId="4FB18C6C" w14:textId="77777777" w:rsidR="00A71EEF" w:rsidRDefault="0081115D">
      <w:pPr>
        <w:pStyle w:val="a3"/>
        <w:spacing w:line="446" w:lineRule="auto"/>
        <w:ind w:left="826" w:right="7641"/>
      </w:pPr>
      <w:r>
        <w:t>检查数量：全数检查。检查方法：直观检查。</w:t>
      </w:r>
      <w:r>
        <w:t xml:space="preserve"> </w:t>
      </w:r>
    </w:p>
    <w:p w14:paraId="6964E73E" w14:textId="77777777" w:rsidR="00A71EEF" w:rsidRDefault="0081115D">
      <w:pPr>
        <w:pStyle w:val="a4"/>
        <w:numPr>
          <w:ilvl w:val="2"/>
          <w:numId w:val="139"/>
        </w:numPr>
        <w:tabs>
          <w:tab w:val="left" w:pos="1371"/>
        </w:tabs>
        <w:ind w:left="1370" w:hanging="531"/>
        <w:rPr>
          <w:sz w:val="21"/>
        </w:rPr>
      </w:pPr>
      <w:r>
        <w:rPr>
          <w:spacing w:val="-8"/>
          <w:sz w:val="21"/>
        </w:rPr>
        <w:t>设置在变形缝附近的防火门，应安装在楼层数较多的一侧，且门扇开启后不应跨越</w:t>
      </w:r>
    </w:p>
    <w:p w14:paraId="5F0837D2" w14:textId="77777777" w:rsidR="00A71EEF" w:rsidRDefault="00A71EEF">
      <w:pPr>
        <w:rPr>
          <w:sz w:val="21"/>
        </w:rPr>
        <w:sectPr w:rsidR="00A71EEF">
          <w:pgSz w:w="11910" w:h="16850"/>
          <w:pgMar w:top="1220" w:right="0" w:bottom="1420" w:left="1260" w:header="0" w:footer="1239" w:gutter="0"/>
          <w:cols w:space="720"/>
        </w:sectPr>
      </w:pPr>
    </w:p>
    <w:p w14:paraId="59526E9F" w14:textId="77777777" w:rsidR="00A71EEF" w:rsidRDefault="0081115D">
      <w:pPr>
        <w:pStyle w:val="a3"/>
        <w:spacing w:before="47"/>
        <w:ind w:left="418"/>
      </w:pPr>
      <w:r>
        <w:t>变</w:t>
      </w:r>
      <w:r>
        <w:t xml:space="preserve"> </w:t>
      </w:r>
      <w:r>
        <w:t>形缝。</w:t>
      </w:r>
      <w:r>
        <w:t xml:space="preserve"> </w:t>
      </w:r>
    </w:p>
    <w:p w14:paraId="4A6AA2DA" w14:textId="77777777" w:rsidR="00A71EEF" w:rsidRDefault="00A71EEF">
      <w:pPr>
        <w:pStyle w:val="a3"/>
        <w:spacing w:before="2"/>
        <w:rPr>
          <w:sz w:val="18"/>
        </w:rPr>
      </w:pPr>
    </w:p>
    <w:p w14:paraId="77F65DE8" w14:textId="77777777" w:rsidR="00A71EEF" w:rsidRDefault="0081115D">
      <w:pPr>
        <w:pStyle w:val="a3"/>
        <w:spacing w:before="1" w:line="446" w:lineRule="auto"/>
        <w:ind w:left="826" w:right="7573"/>
      </w:pPr>
      <w:r>
        <w:rPr>
          <w:spacing w:val="-8"/>
        </w:rPr>
        <w:t>检查数量：全数检查。</w:t>
      </w:r>
      <w:r>
        <w:rPr>
          <w:spacing w:val="-8"/>
        </w:rPr>
        <w:t xml:space="preserve"> </w:t>
      </w:r>
      <w:r>
        <w:rPr>
          <w:spacing w:val="-8"/>
        </w:rPr>
        <w:t>检查方法：直观检查。</w:t>
      </w:r>
      <w:r>
        <w:rPr>
          <w:spacing w:val="-34"/>
        </w:rPr>
        <w:t xml:space="preserve"> </w:t>
      </w:r>
      <w:r>
        <w:t xml:space="preserve"> </w:t>
      </w:r>
    </w:p>
    <w:p w14:paraId="417D8FE2" w14:textId="77777777" w:rsidR="00A71EEF" w:rsidRDefault="0081115D">
      <w:pPr>
        <w:pStyle w:val="a4"/>
        <w:numPr>
          <w:ilvl w:val="2"/>
          <w:numId w:val="139"/>
        </w:numPr>
        <w:tabs>
          <w:tab w:val="left" w:pos="1371"/>
        </w:tabs>
        <w:spacing w:before="23" w:line="446" w:lineRule="auto"/>
        <w:ind w:left="418" w:right="1793" w:firstLine="422"/>
        <w:rPr>
          <w:sz w:val="21"/>
        </w:rPr>
      </w:pPr>
      <w:r>
        <w:rPr>
          <w:spacing w:val="-8"/>
          <w:sz w:val="21"/>
        </w:rPr>
        <w:t>钢质防火门门框内应充填水泥砂浆</w:t>
      </w:r>
      <w:r>
        <w:rPr>
          <w:spacing w:val="-20"/>
          <w:sz w:val="21"/>
        </w:rPr>
        <w:t>。门框与墙体应用预埋钢件或膨胀螺栓等连接牢固</w:t>
      </w:r>
      <w:r>
        <w:rPr>
          <w:spacing w:val="-6"/>
          <w:sz w:val="21"/>
        </w:rPr>
        <w:t>，</w:t>
      </w:r>
      <w:r>
        <w:rPr>
          <w:spacing w:val="-6"/>
          <w:sz w:val="21"/>
        </w:rPr>
        <w:t xml:space="preserve"> </w:t>
      </w:r>
      <w:r>
        <w:rPr>
          <w:spacing w:val="-6"/>
          <w:sz w:val="21"/>
        </w:rPr>
        <w:t>其固定点间距不宜大于</w:t>
      </w:r>
      <w:r>
        <w:rPr>
          <w:spacing w:val="-4"/>
          <w:sz w:val="21"/>
        </w:rPr>
        <w:t>600mm</w:t>
      </w:r>
      <w:r>
        <w:rPr>
          <w:spacing w:val="-3"/>
          <w:sz w:val="21"/>
        </w:rPr>
        <w:t>。</w:t>
      </w:r>
      <w:r>
        <w:rPr>
          <w:sz w:val="21"/>
        </w:rPr>
        <w:t xml:space="preserve"> </w:t>
      </w:r>
    </w:p>
    <w:p w14:paraId="09059BA9" w14:textId="77777777" w:rsidR="00A71EEF" w:rsidRDefault="0081115D">
      <w:pPr>
        <w:pStyle w:val="a3"/>
        <w:spacing w:before="12"/>
        <w:ind w:left="826"/>
      </w:pPr>
      <w:r>
        <w:rPr>
          <w:spacing w:val="-7"/>
        </w:rPr>
        <w:t>检查数量：全数检查。</w:t>
      </w:r>
      <w:r>
        <w:rPr>
          <w:spacing w:val="-7"/>
        </w:rPr>
        <w:t xml:space="preserve"> </w:t>
      </w:r>
      <w:r>
        <w:t xml:space="preserve"> </w:t>
      </w:r>
    </w:p>
    <w:p w14:paraId="37314B9B" w14:textId="77777777" w:rsidR="00A71EEF" w:rsidRDefault="00A71EEF">
      <w:pPr>
        <w:pStyle w:val="a3"/>
        <w:spacing w:before="4"/>
        <w:rPr>
          <w:sz w:val="19"/>
        </w:rPr>
      </w:pPr>
    </w:p>
    <w:p w14:paraId="792E4F66" w14:textId="77777777" w:rsidR="00A71EEF" w:rsidRDefault="0081115D">
      <w:pPr>
        <w:pStyle w:val="a3"/>
        <w:spacing w:line="468" w:lineRule="auto"/>
        <w:ind w:left="826" w:right="4712"/>
        <w:jc w:val="both"/>
      </w:pPr>
      <w:r>
        <w:rPr>
          <w:spacing w:val="-8"/>
        </w:rPr>
        <w:t>检查方法：对照设计图纸、施工文件检查；尺量检查。</w:t>
      </w:r>
      <w:r>
        <w:rPr>
          <w:b/>
        </w:rPr>
        <w:t>5.3.9</w:t>
      </w:r>
      <w:r>
        <w:rPr>
          <w:b/>
          <w:spacing w:val="24"/>
        </w:rPr>
        <w:t xml:space="preserve">  </w:t>
      </w:r>
      <w:r>
        <w:rPr>
          <w:spacing w:val="-7"/>
        </w:rPr>
        <w:t>防火门门扇与门框的搭接尺寸不应小于</w:t>
      </w:r>
      <w:r>
        <w:rPr>
          <w:spacing w:val="-3"/>
        </w:rPr>
        <w:t>12mm</w:t>
      </w:r>
      <w:r>
        <w:rPr>
          <w:spacing w:val="-3"/>
        </w:rPr>
        <w:t>。检</w:t>
      </w:r>
      <w:r>
        <w:rPr>
          <w:spacing w:val="-6"/>
        </w:rPr>
        <w:t>查数量：全数检查。</w:t>
      </w:r>
      <w:r>
        <w:t xml:space="preserve"> </w:t>
      </w:r>
    </w:p>
    <w:p w14:paraId="00A8F0F2" w14:textId="77777777" w:rsidR="00A71EEF" w:rsidRDefault="0081115D">
      <w:pPr>
        <w:pStyle w:val="a3"/>
        <w:spacing w:before="6" w:line="446" w:lineRule="auto"/>
        <w:ind w:left="418" w:right="1637" w:firstLine="407"/>
      </w:pPr>
      <w:r>
        <w:rPr>
          <w:spacing w:val="-7"/>
        </w:rPr>
        <w:t>检查方法：使门扇处于关闭状态，用工具在门扇与门框相交的左边、右边和上边的中部</w:t>
      </w:r>
      <w:r>
        <w:rPr>
          <w:spacing w:val="-7"/>
        </w:rPr>
        <w:t xml:space="preserve"> </w:t>
      </w:r>
      <w:r>
        <w:rPr>
          <w:spacing w:val="-7"/>
        </w:rPr>
        <w:t>画</w:t>
      </w:r>
      <w:r>
        <w:rPr>
          <w:spacing w:val="-8"/>
        </w:rPr>
        <w:t>线作出标记，用钢板尺测量。</w:t>
      </w:r>
      <w:r>
        <w:rPr>
          <w:spacing w:val="-8"/>
        </w:rPr>
        <w:t xml:space="preserve"> </w:t>
      </w:r>
    </w:p>
    <w:p w14:paraId="6C30352D" w14:textId="77777777" w:rsidR="00A71EEF" w:rsidRDefault="0081115D">
      <w:pPr>
        <w:pStyle w:val="a4"/>
        <w:numPr>
          <w:ilvl w:val="2"/>
          <w:numId w:val="138"/>
        </w:numPr>
        <w:tabs>
          <w:tab w:val="left" w:pos="1478"/>
        </w:tabs>
        <w:spacing w:before="21"/>
        <w:ind w:hanging="638"/>
        <w:rPr>
          <w:sz w:val="21"/>
        </w:rPr>
      </w:pPr>
      <w:r>
        <w:rPr>
          <w:spacing w:val="-7"/>
          <w:sz w:val="21"/>
        </w:rPr>
        <w:t>防火门门扇与门框的配合活动间隙应符合下列规定：</w:t>
      </w:r>
      <w:r>
        <w:rPr>
          <w:sz w:val="21"/>
        </w:rPr>
        <w:t xml:space="preserve"> </w:t>
      </w:r>
    </w:p>
    <w:p w14:paraId="1074E135" w14:textId="77777777" w:rsidR="00A71EEF" w:rsidRDefault="00A71EEF">
      <w:pPr>
        <w:pStyle w:val="a3"/>
        <w:spacing w:before="11"/>
      </w:pPr>
    </w:p>
    <w:p w14:paraId="6EF075CF" w14:textId="77777777" w:rsidR="00A71EEF" w:rsidRDefault="0081115D">
      <w:pPr>
        <w:pStyle w:val="a3"/>
        <w:spacing w:before="1" w:line="489" w:lineRule="auto"/>
        <w:ind w:left="838" w:right="2859"/>
      </w:pPr>
      <w:r>
        <w:rPr>
          <w:spacing w:val="-8"/>
        </w:rPr>
        <w:t>门扇与门框有合页一侧的配合活动间隙不应大于设计图纸规定的尺寸公差。门扇与门框有锁一侧的配合活动间隙不应大于设计图纸规定的尺寸公差。</w:t>
      </w:r>
      <w:r>
        <w:rPr>
          <w:spacing w:val="-8"/>
        </w:rPr>
        <w:t xml:space="preserve">  </w:t>
      </w:r>
      <w:r>
        <w:rPr>
          <w:spacing w:val="-8"/>
        </w:rPr>
        <w:t>门扇与上框的配合活动间隙不应大于</w:t>
      </w:r>
      <w:r>
        <w:rPr>
          <w:spacing w:val="-4"/>
        </w:rPr>
        <w:t>3mm</w:t>
      </w:r>
      <w:r>
        <w:rPr>
          <w:spacing w:val="-3"/>
        </w:rPr>
        <w:t>。</w:t>
      </w:r>
      <w:r>
        <w:t xml:space="preserve"> </w:t>
      </w:r>
    </w:p>
    <w:p w14:paraId="19E471F3" w14:textId="77777777" w:rsidR="00A71EEF" w:rsidRDefault="0081115D">
      <w:pPr>
        <w:pStyle w:val="a3"/>
        <w:spacing w:before="2" w:line="489" w:lineRule="auto"/>
        <w:ind w:left="838" w:right="5661"/>
      </w:pPr>
      <w:r>
        <w:rPr>
          <w:spacing w:val="-8"/>
        </w:rPr>
        <w:t>双扇、多扇门的门扇之间缝隙不应大于</w:t>
      </w:r>
      <w:r>
        <w:rPr>
          <w:spacing w:val="-4"/>
        </w:rPr>
        <w:t>3mm</w:t>
      </w:r>
      <w:r>
        <w:rPr>
          <w:spacing w:val="-3"/>
        </w:rPr>
        <w:t>。</w:t>
      </w:r>
      <w:r>
        <w:rPr>
          <w:spacing w:val="-8"/>
        </w:rPr>
        <w:t>门扇与下框或地面的活动间隙不应大于</w:t>
      </w:r>
      <w:r>
        <w:rPr>
          <w:spacing w:val="-4"/>
        </w:rPr>
        <w:t>9mm</w:t>
      </w:r>
      <w:r>
        <w:rPr>
          <w:spacing w:val="-3"/>
        </w:rPr>
        <w:t>。</w:t>
      </w:r>
      <w:r>
        <w:t xml:space="preserve"> </w:t>
      </w:r>
    </w:p>
    <w:p w14:paraId="6BF4328B" w14:textId="77777777" w:rsidR="00A71EEF" w:rsidRDefault="0081115D">
      <w:pPr>
        <w:pStyle w:val="a3"/>
        <w:spacing w:line="448" w:lineRule="auto"/>
        <w:ind w:left="418" w:right="1608" w:firstLine="419"/>
      </w:pPr>
      <w:r>
        <w:rPr>
          <w:spacing w:val="-7"/>
        </w:rPr>
        <w:t>门扇与门框贴合面间隙、门扇与门框有合页一侧、有锁一侧及上框的贴合面间隙，均</w:t>
      </w:r>
      <w:r>
        <w:rPr>
          <w:spacing w:val="-7"/>
        </w:rPr>
        <w:t xml:space="preserve"> </w:t>
      </w:r>
      <w:r>
        <w:rPr>
          <w:spacing w:val="-7"/>
        </w:rPr>
        <w:t>不应</w:t>
      </w:r>
      <w:r>
        <w:rPr>
          <w:spacing w:val="-4"/>
        </w:rPr>
        <w:t>大于</w:t>
      </w:r>
      <w:r>
        <w:rPr>
          <w:spacing w:val="-4"/>
        </w:rPr>
        <w:t>3mm</w:t>
      </w:r>
      <w:r>
        <w:rPr>
          <w:spacing w:val="-3"/>
        </w:rPr>
        <w:t>。</w:t>
      </w:r>
      <w:r>
        <w:t xml:space="preserve"> </w:t>
      </w:r>
    </w:p>
    <w:p w14:paraId="1243F257" w14:textId="77777777" w:rsidR="00A71EEF" w:rsidRDefault="0081115D">
      <w:pPr>
        <w:pStyle w:val="a3"/>
        <w:spacing w:before="11"/>
        <w:ind w:left="826"/>
      </w:pPr>
      <w:r>
        <w:t>检查数量：全数检查。</w:t>
      </w:r>
      <w:r>
        <w:t xml:space="preserve">  </w:t>
      </w:r>
    </w:p>
    <w:p w14:paraId="53B4A030" w14:textId="77777777" w:rsidR="00A71EEF" w:rsidRDefault="00A71EEF">
      <w:pPr>
        <w:pStyle w:val="a3"/>
        <w:spacing w:before="3"/>
        <w:rPr>
          <w:sz w:val="19"/>
        </w:rPr>
      </w:pPr>
    </w:p>
    <w:p w14:paraId="53722E33" w14:textId="77777777" w:rsidR="00A71EEF" w:rsidRDefault="0081115D">
      <w:pPr>
        <w:pStyle w:val="a3"/>
        <w:spacing w:before="1"/>
        <w:ind w:left="826"/>
      </w:pPr>
      <w:r>
        <w:t>检查方法：使门扇处于关闭状态，用塞尺测量其活动间隙。</w:t>
      </w:r>
      <w:r>
        <w:t xml:space="preserve">  </w:t>
      </w:r>
      <w:r>
        <w:t xml:space="preserve"> </w:t>
      </w:r>
    </w:p>
    <w:p w14:paraId="5E632F6B" w14:textId="77777777" w:rsidR="00A71EEF" w:rsidRDefault="00A71EEF">
      <w:pPr>
        <w:pStyle w:val="a3"/>
        <w:spacing w:before="8"/>
        <w:rPr>
          <w:sz w:val="19"/>
        </w:rPr>
      </w:pPr>
    </w:p>
    <w:p w14:paraId="1E1F145C" w14:textId="77777777" w:rsidR="00A71EEF" w:rsidRDefault="0081115D">
      <w:pPr>
        <w:pStyle w:val="a4"/>
        <w:numPr>
          <w:ilvl w:val="2"/>
          <w:numId w:val="138"/>
        </w:numPr>
        <w:tabs>
          <w:tab w:val="left" w:pos="1470"/>
        </w:tabs>
        <w:spacing w:line="446" w:lineRule="auto"/>
        <w:ind w:left="418" w:right="1695" w:firstLine="422"/>
        <w:rPr>
          <w:sz w:val="21"/>
        </w:rPr>
      </w:pPr>
      <w:r>
        <w:rPr>
          <w:spacing w:val="-8"/>
          <w:sz w:val="21"/>
        </w:rPr>
        <w:t>防火门安装完成后，其门扇应启闭灵活，并应无反弹、翘角、卡阻和关闭不严现象</w:t>
      </w:r>
      <w:r>
        <w:rPr>
          <w:spacing w:val="-3"/>
          <w:sz w:val="21"/>
        </w:rPr>
        <w:t>。</w:t>
      </w:r>
      <w:r>
        <w:rPr>
          <w:spacing w:val="-3"/>
          <w:sz w:val="21"/>
        </w:rPr>
        <w:t xml:space="preserve"> </w:t>
      </w:r>
      <w:r>
        <w:rPr>
          <w:sz w:val="21"/>
        </w:rPr>
        <w:t xml:space="preserve"> </w:t>
      </w:r>
    </w:p>
    <w:p w14:paraId="295CC3E5" w14:textId="77777777" w:rsidR="00A71EEF" w:rsidRDefault="0081115D">
      <w:pPr>
        <w:pStyle w:val="a3"/>
        <w:spacing w:before="19"/>
        <w:ind w:left="826"/>
      </w:pPr>
      <w:r>
        <w:t>检查数量：全数检查。</w:t>
      </w:r>
      <w:r>
        <w:t xml:space="preserve"> </w:t>
      </w:r>
    </w:p>
    <w:p w14:paraId="66D4040D" w14:textId="77777777" w:rsidR="00A71EEF" w:rsidRDefault="00A71EEF">
      <w:pPr>
        <w:pStyle w:val="a3"/>
        <w:spacing w:before="10"/>
        <w:rPr>
          <w:sz w:val="20"/>
        </w:rPr>
      </w:pPr>
    </w:p>
    <w:p w14:paraId="6EAC5B15" w14:textId="77777777" w:rsidR="00A71EEF" w:rsidRDefault="0081115D">
      <w:pPr>
        <w:pStyle w:val="a3"/>
        <w:ind w:left="826"/>
      </w:pPr>
      <w:r>
        <w:t>检查方法：直观检查；手动试验。</w:t>
      </w:r>
      <w:r>
        <w:t xml:space="preserve"> </w:t>
      </w:r>
    </w:p>
    <w:p w14:paraId="652F3833" w14:textId="77777777" w:rsidR="00A71EEF" w:rsidRDefault="00A71EEF">
      <w:pPr>
        <w:pStyle w:val="a3"/>
        <w:rPr>
          <w:sz w:val="23"/>
        </w:rPr>
      </w:pPr>
    </w:p>
    <w:p w14:paraId="5F8BFB3B" w14:textId="77777777" w:rsidR="00A71EEF" w:rsidRDefault="0081115D">
      <w:pPr>
        <w:pStyle w:val="a4"/>
        <w:numPr>
          <w:ilvl w:val="2"/>
          <w:numId w:val="138"/>
        </w:numPr>
        <w:tabs>
          <w:tab w:val="left" w:pos="1478"/>
        </w:tabs>
        <w:spacing w:before="1" w:line="448" w:lineRule="auto"/>
        <w:ind w:left="826" w:right="4187" w:firstLine="14"/>
        <w:rPr>
          <w:sz w:val="21"/>
        </w:rPr>
      </w:pPr>
      <w:r>
        <w:rPr>
          <w:spacing w:val="-7"/>
          <w:sz w:val="21"/>
        </w:rPr>
        <w:t>除特殊情况外，防火门门扇的开启力不应大于</w:t>
      </w:r>
      <w:r>
        <w:rPr>
          <w:sz w:val="21"/>
        </w:rPr>
        <w:t>80N</w:t>
      </w:r>
      <w:r>
        <w:rPr>
          <w:spacing w:val="2"/>
          <w:sz w:val="21"/>
        </w:rPr>
        <w:t>。</w:t>
      </w:r>
      <w:r>
        <w:rPr>
          <w:spacing w:val="2"/>
          <w:sz w:val="21"/>
        </w:rPr>
        <w:t xml:space="preserve"> </w:t>
      </w:r>
      <w:r>
        <w:rPr>
          <w:spacing w:val="2"/>
          <w:sz w:val="21"/>
        </w:rPr>
        <w:t>检</w:t>
      </w:r>
      <w:r>
        <w:rPr>
          <w:spacing w:val="1"/>
          <w:sz w:val="21"/>
        </w:rPr>
        <w:t>查数量：全数检查。</w:t>
      </w:r>
      <w:r>
        <w:rPr>
          <w:sz w:val="21"/>
        </w:rPr>
        <w:t xml:space="preserve"> </w:t>
      </w:r>
    </w:p>
    <w:p w14:paraId="1831E632" w14:textId="77777777" w:rsidR="00A71EEF" w:rsidRDefault="00A71EEF">
      <w:pPr>
        <w:spacing w:line="448" w:lineRule="auto"/>
        <w:rPr>
          <w:sz w:val="21"/>
        </w:rPr>
        <w:sectPr w:rsidR="00A71EEF">
          <w:pgSz w:w="11910" w:h="16850"/>
          <w:pgMar w:top="1220" w:right="0" w:bottom="1420" w:left="1260" w:header="0" w:footer="1239" w:gutter="0"/>
          <w:cols w:space="720"/>
        </w:sectPr>
      </w:pPr>
    </w:p>
    <w:p w14:paraId="4D58C4E2" w14:textId="77777777" w:rsidR="00A71EEF" w:rsidRDefault="0081115D">
      <w:pPr>
        <w:pStyle w:val="a3"/>
        <w:spacing w:before="45" w:line="448" w:lineRule="auto"/>
        <w:ind w:left="840" w:right="7264" w:hanging="15"/>
      </w:pPr>
      <w:r>
        <w:t>检查方法：用测力计测试。</w:t>
      </w:r>
      <w:r>
        <w:rPr>
          <w:b/>
        </w:rPr>
        <w:t xml:space="preserve">5.4 </w:t>
      </w:r>
      <w:r>
        <w:t>防火窗安装</w:t>
      </w:r>
      <w:r>
        <w:t xml:space="preserve"> </w:t>
      </w:r>
    </w:p>
    <w:p w14:paraId="6185FF32" w14:textId="77777777" w:rsidR="00A71EEF" w:rsidRDefault="0081115D">
      <w:pPr>
        <w:pStyle w:val="a4"/>
        <w:numPr>
          <w:ilvl w:val="2"/>
          <w:numId w:val="137"/>
        </w:numPr>
        <w:tabs>
          <w:tab w:val="left" w:pos="1371"/>
        </w:tabs>
        <w:spacing w:line="446" w:lineRule="auto"/>
        <w:ind w:right="2228" w:firstLine="14"/>
        <w:rPr>
          <w:sz w:val="21"/>
        </w:rPr>
      </w:pPr>
      <w:r>
        <w:rPr>
          <w:spacing w:val="-7"/>
          <w:sz w:val="21"/>
        </w:rPr>
        <w:t>有密封要求的防火窗，其窗框密封槽内镶嵌的防火密封件应牢固、完好。</w:t>
      </w:r>
      <w:r>
        <w:rPr>
          <w:spacing w:val="-7"/>
          <w:sz w:val="21"/>
        </w:rPr>
        <w:t xml:space="preserve"> </w:t>
      </w:r>
      <w:r>
        <w:rPr>
          <w:spacing w:val="-7"/>
          <w:sz w:val="21"/>
        </w:rPr>
        <w:t>检</w:t>
      </w:r>
      <w:r>
        <w:rPr>
          <w:spacing w:val="-6"/>
          <w:sz w:val="21"/>
        </w:rPr>
        <w:t>查数量：全数检查。</w:t>
      </w:r>
      <w:r>
        <w:rPr>
          <w:sz w:val="21"/>
        </w:rPr>
        <w:t xml:space="preserve"> </w:t>
      </w:r>
    </w:p>
    <w:p w14:paraId="6C9C0CFC" w14:textId="77777777" w:rsidR="00A71EEF" w:rsidRDefault="0081115D">
      <w:pPr>
        <w:pStyle w:val="a3"/>
        <w:ind w:left="826"/>
      </w:pPr>
      <w:r>
        <w:t>检查方法：直观检查。</w:t>
      </w:r>
      <w:r>
        <w:t xml:space="preserve">  </w:t>
      </w:r>
      <w:r>
        <w:t xml:space="preserve"> </w:t>
      </w:r>
    </w:p>
    <w:p w14:paraId="39AB07FF" w14:textId="77777777" w:rsidR="00A71EEF" w:rsidRDefault="00A71EEF">
      <w:pPr>
        <w:pStyle w:val="a3"/>
        <w:rPr>
          <w:sz w:val="20"/>
        </w:rPr>
      </w:pPr>
    </w:p>
    <w:p w14:paraId="715EA391" w14:textId="77777777" w:rsidR="00A71EEF" w:rsidRDefault="0081115D">
      <w:pPr>
        <w:pStyle w:val="a4"/>
        <w:numPr>
          <w:ilvl w:val="2"/>
          <w:numId w:val="137"/>
        </w:numPr>
        <w:tabs>
          <w:tab w:val="left" w:pos="1370"/>
        </w:tabs>
        <w:ind w:left="1369" w:hanging="530"/>
        <w:rPr>
          <w:sz w:val="21"/>
        </w:rPr>
      </w:pPr>
      <w:r>
        <w:rPr>
          <w:spacing w:val="-8"/>
          <w:sz w:val="21"/>
        </w:rPr>
        <w:t>钢质防火窗窗框内应充填水泥砂浆</w:t>
      </w:r>
      <w:r>
        <w:rPr>
          <w:spacing w:val="-20"/>
          <w:sz w:val="21"/>
        </w:rPr>
        <w:t>。窗框与墙体应用预埋钢件或膨胀螺栓等连接牢固，</w:t>
      </w:r>
      <w:r>
        <w:rPr>
          <w:spacing w:val="-20"/>
          <w:sz w:val="21"/>
        </w:rPr>
        <w:t xml:space="preserve"> </w:t>
      </w:r>
    </w:p>
    <w:p w14:paraId="56B5DB06" w14:textId="77777777" w:rsidR="00A71EEF" w:rsidRDefault="00A71EEF">
      <w:pPr>
        <w:pStyle w:val="a3"/>
        <w:spacing w:before="4"/>
        <w:rPr>
          <w:sz w:val="18"/>
        </w:rPr>
      </w:pPr>
    </w:p>
    <w:p w14:paraId="19A05E02" w14:textId="77777777" w:rsidR="00A71EEF" w:rsidRDefault="0081115D">
      <w:pPr>
        <w:pStyle w:val="a3"/>
        <w:spacing w:line="446" w:lineRule="auto"/>
        <w:ind w:left="826" w:right="7319" w:hanging="408"/>
      </w:pPr>
      <w:r>
        <w:rPr>
          <w:spacing w:val="-6"/>
        </w:rPr>
        <w:t>其固定点间距不宜大于</w:t>
      </w:r>
      <w:r>
        <w:rPr>
          <w:spacing w:val="-106"/>
        </w:rPr>
        <w:t>6</w:t>
      </w:r>
      <w:r>
        <w:rPr>
          <w:spacing w:val="6"/>
        </w:rPr>
        <w:t xml:space="preserve"> </w:t>
      </w:r>
      <w:r>
        <w:rPr>
          <w:spacing w:val="-4"/>
        </w:rPr>
        <w:t>00mm</w:t>
      </w:r>
      <w:r>
        <w:t>。</w:t>
      </w:r>
      <w:r>
        <w:rPr>
          <w:spacing w:val="-7"/>
        </w:rPr>
        <w:t>检查数量：全数检查。</w:t>
      </w:r>
      <w:r>
        <w:t xml:space="preserve"> </w:t>
      </w:r>
    </w:p>
    <w:p w14:paraId="38432AA0" w14:textId="77777777" w:rsidR="00A71EEF" w:rsidRDefault="0081115D">
      <w:pPr>
        <w:pStyle w:val="a3"/>
        <w:spacing w:before="1"/>
        <w:ind w:left="826"/>
      </w:pPr>
      <w:r>
        <w:t>检查方法：对照设计图纸、施工文件检查；尺量检查。</w:t>
      </w:r>
      <w:r>
        <w:t xml:space="preserve"> </w:t>
      </w:r>
    </w:p>
    <w:p w14:paraId="03C702F0" w14:textId="77777777" w:rsidR="00A71EEF" w:rsidRDefault="00A71EEF">
      <w:pPr>
        <w:pStyle w:val="a3"/>
        <w:spacing w:before="7"/>
        <w:rPr>
          <w:sz w:val="20"/>
        </w:rPr>
      </w:pPr>
    </w:p>
    <w:p w14:paraId="04C85741" w14:textId="77777777" w:rsidR="00A71EEF" w:rsidRDefault="0081115D">
      <w:pPr>
        <w:pStyle w:val="a4"/>
        <w:numPr>
          <w:ilvl w:val="2"/>
          <w:numId w:val="137"/>
        </w:numPr>
        <w:tabs>
          <w:tab w:val="left" w:pos="1371"/>
        </w:tabs>
        <w:spacing w:line="446" w:lineRule="auto"/>
        <w:ind w:left="418" w:right="1793" w:firstLine="422"/>
        <w:rPr>
          <w:sz w:val="21"/>
        </w:rPr>
      </w:pPr>
      <w:r>
        <w:rPr>
          <w:spacing w:val="-8"/>
          <w:sz w:val="21"/>
        </w:rPr>
        <w:t>活动式防火窗窗扇启闭控制装置的安装应符合设计和产品说明书要求</w:t>
      </w:r>
      <w:r>
        <w:rPr>
          <w:spacing w:val="-31"/>
          <w:sz w:val="21"/>
        </w:rPr>
        <w:t>，并应位置明显</w:t>
      </w:r>
      <w:r>
        <w:rPr>
          <w:spacing w:val="-4"/>
          <w:sz w:val="21"/>
        </w:rPr>
        <w:t>，</w:t>
      </w:r>
      <w:r>
        <w:rPr>
          <w:spacing w:val="-4"/>
          <w:sz w:val="21"/>
        </w:rPr>
        <w:t xml:space="preserve"> </w:t>
      </w:r>
      <w:r>
        <w:rPr>
          <w:spacing w:val="-4"/>
          <w:sz w:val="21"/>
        </w:rPr>
        <w:t>便于操作。</w:t>
      </w:r>
      <w:r>
        <w:rPr>
          <w:sz w:val="21"/>
        </w:rPr>
        <w:t xml:space="preserve"> </w:t>
      </w:r>
    </w:p>
    <w:p w14:paraId="14C81695" w14:textId="77777777" w:rsidR="00A71EEF" w:rsidRDefault="0081115D">
      <w:pPr>
        <w:pStyle w:val="a3"/>
        <w:spacing w:before="26"/>
        <w:ind w:left="826"/>
      </w:pPr>
      <w:r>
        <w:t>检查数量：全数检查。</w:t>
      </w:r>
      <w:r>
        <w:t xml:space="preserve"> </w:t>
      </w:r>
    </w:p>
    <w:p w14:paraId="5B170DEC" w14:textId="77777777" w:rsidR="00A71EEF" w:rsidRDefault="00A71EEF">
      <w:pPr>
        <w:pStyle w:val="a3"/>
        <w:spacing w:before="3"/>
        <w:rPr>
          <w:sz w:val="20"/>
        </w:rPr>
      </w:pPr>
    </w:p>
    <w:p w14:paraId="1E7DEEA1" w14:textId="77777777" w:rsidR="00A71EEF" w:rsidRDefault="0081115D">
      <w:pPr>
        <w:pStyle w:val="a3"/>
        <w:tabs>
          <w:tab w:val="left" w:pos="4198"/>
        </w:tabs>
        <w:ind w:left="826"/>
      </w:pPr>
      <w:r>
        <w:rPr>
          <w:spacing w:val="-8"/>
        </w:rPr>
        <w:t>检查方法：直观检查；手动试验</w:t>
      </w:r>
      <w:r>
        <w:rPr>
          <w:spacing w:val="-7"/>
        </w:rPr>
        <w:t>。</w:t>
      </w:r>
      <w:r>
        <w:t xml:space="preserve"> </w:t>
      </w:r>
      <w:r>
        <w:tab/>
      </w:r>
      <w:r>
        <w:t xml:space="preserve"> </w:t>
      </w:r>
    </w:p>
    <w:p w14:paraId="60384C6F" w14:textId="77777777" w:rsidR="00A71EEF" w:rsidRDefault="00A71EEF">
      <w:pPr>
        <w:pStyle w:val="a3"/>
        <w:spacing w:before="2"/>
        <w:rPr>
          <w:sz w:val="18"/>
        </w:rPr>
      </w:pPr>
    </w:p>
    <w:p w14:paraId="6AD93622" w14:textId="77777777" w:rsidR="00A71EEF" w:rsidRDefault="0081115D">
      <w:pPr>
        <w:pStyle w:val="a4"/>
        <w:numPr>
          <w:ilvl w:val="2"/>
          <w:numId w:val="137"/>
        </w:numPr>
        <w:tabs>
          <w:tab w:val="left" w:pos="1371"/>
        </w:tabs>
        <w:spacing w:line="446" w:lineRule="auto"/>
        <w:ind w:left="418" w:right="1601" w:firstLine="422"/>
        <w:rPr>
          <w:sz w:val="21"/>
        </w:rPr>
      </w:pPr>
      <w:r>
        <w:rPr>
          <w:spacing w:val="-8"/>
          <w:sz w:val="21"/>
        </w:rPr>
        <w:t>活动式防火窗应装配火灾时能控制窗扇自动关闭的温控释放装置。温控释放装置的安</w:t>
      </w:r>
      <w:r>
        <w:rPr>
          <w:spacing w:val="-6"/>
          <w:sz w:val="21"/>
        </w:rPr>
        <w:t>装应符合设计和产品说明书要求。</w:t>
      </w:r>
      <w:r>
        <w:rPr>
          <w:sz w:val="21"/>
        </w:rPr>
        <w:t xml:space="preserve"> </w:t>
      </w:r>
    </w:p>
    <w:p w14:paraId="29FEA133" w14:textId="77777777" w:rsidR="00A71EEF" w:rsidRDefault="0081115D">
      <w:pPr>
        <w:pStyle w:val="a3"/>
        <w:ind w:left="826"/>
      </w:pPr>
      <w:r>
        <w:t>检查数量：全数检查。</w:t>
      </w:r>
      <w:r>
        <w:t xml:space="preserve">  </w:t>
      </w:r>
    </w:p>
    <w:p w14:paraId="287AFC44" w14:textId="77777777" w:rsidR="00A71EEF" w:rsidRDefault="00A71EEF">
      <w:pPr>
        <w:pStyle w:val="a3"/>
        <w:rPr>
          <w:sz w:val="18"/>
        </w:rPr>
      </w:pPr>
    </w:p>
    <w:p w14:paraId="112C9546" w14:textId="77777777" w:rsidR="00A71EEF" w:rsidRDefault="0081115D">
      <w:pPr>
        <w:pStyle w:val="a3"/>
        <w:ind w:left="826"/>
      </w:pPr>
      <w:r>
        <w:t>检查方法：直观检查；按设计图纸、施工文件检查。</w:t>
      </w:r>
      <w:r>
        <w:t xml:space="preserve"> </w:t>
      </w:r>
    </w:p>
    <w:p w14:paraId="7667465D" w14:textId="77777777" w:rsidR="00A71EEF" w:rsidRDefault="00A71EEF">
      <w:pPr>
        <w:pStyle w:val="a3"/>
        <w:spacing w:before="8"/>
        <w:rPr>
          <w:sz w:val="15"/>
        </w:rPr>
      </w:pPr>
    </w:p>
    <w:p w14:paraId="730356DE" w14:textId="77777777" w:rsidR="00A71EEF" w:rsidRDefault="0081115D">
      <w:pPr>
        <w:pStyle w:val="4"/>
      </w:pPr>
      <w:r>
        <w:t xml:space="preserve">6 </w:t>
      </w:r>
      <w:r>
        <w:t>功能调试</w:t>
      </w:r>
      <w:r>
        <w:rPr>
          <w:w w:val="99"/>
        </w:rPr>
        <w:t xml:space="preserve"> </w:t>
      </w:r>
    </w:p>
    <w:p w14:paraId="622870DE" w14:textId="77777777" w:rsidR="00A71EEF" w:rsidRDefault="00A71EEF">
      <w:pPr>
        <w:pStyle w:val="a3"/>
        <w:spacing w:before="6"/>
        <w:rPr>
          <w:b/>
          <w:sz w:val="17"/>
        </w:rPr>
      </w:pPr>
    </w:p>
    <w:p w14:paraId="447ED5FB" w14:textId="77777777" w:rsidR="00A71EEF" w:rsidRDefault="0081115D">
      <w:pPr>
        <w:pStyle w:val="a4"/>
        <w:numPr>
          <w:ilvl w:val="1"/>
          <w:numId w:val="136"/>
        </w:numPr>
        <w:tabs>
          <w:tab w:val="left" w:pos="1159"/>
        </w:tabs>
        <w:ind w:hanging="319"/>
        <w:rPr>
          <w:b/>
          <w:sz w:val="21"/>
        </w:rPr>
      </w:pPr>
      <w:r>
        <w:rPr>
          <w:spacing w:val="-3"/>
          <w:sz w:val="21"/>
        </w:rPr>
        <w:t>一般规定</w:t>
      </w:r>
      <w:r>
        <w:rPr>
          <w:b/>
          <w:w w:val="99"/>
          <w:sz w:val="21"/>
        </w:rPr>
        <w:t xml:space="preserve"> </w:t>
      </w:r>
    </w:p>
    <w:p w14:paraId="50E3D626" w14:textId="77777777" w:rsidR="00A71EEF" w:rsidRDefault="00A71EEF">
      <w:pPr>
        <w:pStyle w:val="a3"/>
        <w:rPr>
          <w:b/>
          <w:sz w:val="18"/>
        </w:rPr>
      </w:pPr>
    </w:p>
    <w:p w14:paraId="4F9B5316" w14:textId="77777777" w:rsidR="00A71EEF" w:rsidRDefault="0081115D">
      <w:pPr>
        <w:pStyle w:val="a4"/>
        <w:numPr>
          <w:ilvl w:val="2"/>
          <w:numId w:val="136"/>
        </w:numPr>
        <w:tabs>
          <w:tab w:val="left" w:pos="1371"/>
          <w:tab w:val="left" w:pos="3058"/>
        </w:tabs>
        <w:spacing w:line="446" w:lineRule="auto"/>
        <w:ind w:right="1544" w:firstLine="422"/>
        <w:rPr>
          <w:sz w:val="21"/>
        </w:rPr>
      </w:pPr>
      <w:r>
        <w:rPr>
          <w:spacing w:val="-3"/>
          <w:sz w:val="21"/>
        </w:rPr>
        <w:t>防</w:t>
      </w:r>
      <w:r>
        <w:rPr>
          <w:spacing w:val="-5"/>
          <w:sz w:val="21"/>
        </w:rPr>
        <w:t>火</w:t>
      </w:r>
      <w:r>
        <w:rPr>
          <w:spacing w:val="-3"/>
          <w:sz w:val="21"/>
        </w:rPr>
        <w:t>卷</w:t>
      </w:r>
      <w:r>
        <w:rPr>
          <w:spacing w:val="-8"/>
          <w:sz w:val="21"/>
        </w:rPr>
        <w:t>帘</w:t>
      </w:r>
      <w:r>
        <w:rPr>
          <w:spacing w:val="-87"/>
          <w:sz w:val="21"/>
        </w:rPr>
        <w:t>、</w:t>
      </w:r>
      <w:r>
        <w:rPr>
          <w:spacing w:val="-5"/>
          <w:sz w:val="21"/>
        </w:rPr>
        <w:t>防</w:t>
      </w:r>
      <w:r>
        <w:rPr>
          <w:spacing w:val="-3"/>
          <w:sz w:val="21"/>
        </w:rPr>
        <w:t>火</w:t>
      </w:r>
      <w:r>
        <w:rPr>
          <w:spacing w:val="-8"/>
          <w:sz w:val="21"/>
        </w:rPr>
        <w:t>门</w:t>
      </w:r>
      <w:r>
        <w:rPr>
          <w:spacing w:val="-89"/>
          <w:sz w:val="21"/>
        </w:rPr>
        <w:t>、</w:t>
      </w:r>
      <w:r>
        <w:rPr>
          <w:sz w:val="21"/>
        </w:rPr>
        <w:t>防</w:t>
      </w:r>
      <w:r>
        <w:rPr>
          <w:spacing w:val="-3"/>
          <w:sz w:val="21"/>
        </w:rPr>
        <w:t>火</w:t>
      </w:r>
      <w:r>
        <w:rPr>
          <w:spacing w:val="-5"/>
          <w:sz w:val="21"/>
        </w:rPr>
        <w:t>窗</w:t>
      </w:r>
      <w:r>
        <w:rPr>
          <w:spacing w:val="-3"/>
          <w:sz w:val="21"/>
        </w:rPr>
        <w:t>安</w:t>
      </w:r>
      <w:r>
        <w:rPr>
          <w:spacing w:val="-8"/>
          <w:sz w:val="21"/>
        </w:rPr>
        <w:t>装</w:t>
      </w:r>
      <w:r>
        <w:rPr>
          <w:spacing w:val="-3"/>
          <w:sz w:val="21"/>
        </w:rPr>
        <w:t>完</w:t>
      </w:r>
      <w:r>
        <w:rPr>
          <w:spacing w:val="-5"/>
          <w:sz w:val="21"/>
        </w:rPr>
        <w:t>毕</w:t>
      </w:r>
      <w:r>
        <w:rPr>
          <w:spacing w:val="-3"/>
          <w:sz w:val="21"/>
        </w:rPr>
        <w:t>后</w:t>
      </w:r>
      <w:r>
        <w:rPr>
          <w:spacing w:val="-7"/>
          <w:sz w:val="21"/>
        </w:rPr>
        <w:t>应</w:t>
      </w:r>
      <w:r>
        <w:rPr>
          <w:spacing w:val="-3"/>
          <w:sz w:val="21"/>
        </w:rPr>
        <w:t>进</w:t>
      </w:r>
      <w:r>
        <w:rPr>
          <w:spacing w:val="-8"/>
          <w:sz w:val="21"/>
        </w:rPr>
        <w:t>行</w:t>
      </w:r>
      <w:r>
        <w:rPr>
          <w:sz w:val="21"/>
        </w:rPr>
        <w:t>功</w:t>
      </w:r>
      <w:r>
        <w:rPr>
          <w:spacing w:val="-3"/>
          <w:sz w:val="21"/>
        </w:rPr>
        <w:t>能</w:t>
      </w:r>
      <w:r>
        <w:rPr>
          <w:spacing w:val="-5"/>
          <w:sz w:val="21"/>
        </w:rPr>
        <w:t>调</w:t>
      </w:r>
      <w:r>
        <w:rPr>
          <w:spacing w:val="-3"/>
          <w:sz w:val="21"/>
        </w:rPr>
        <w:t>试</w:t>
      </w:r>
      <w:r>
        <w:rPr>
          <w:spacing w:val="-89"/>
          <w:sz w:val="21"/>
        </w:rPr>
        <w:t>，</w:t>
      </w:r>
      <w:r>
        <w:rPr>
          <w:spacing w:val="-3"/>
          <w:sz w:val="21"/>
        </w:rPr>
        <w:t>当</w:t>
      </w:r>
      <w:r>
        <w:rPr>
          <w:spacing w:val="-8"/>
          <w:sz w:val="21"/>
        </w:rPr>
        <w:t>有</w:t>
      </w:r>
      <w:r>
        <w:rPr>
          <w:spacing w:val="-3"/>
          <w:sz w:val="21"/>
        </w:rPr>
        <w:t>火</w:t>
      </w:r>
      <w:r>
        <w:rPr>
          <w:spacing w:val="-5"/>
          <w:sz w:val="21"/>
        </w:rPr>
        <w:t>灾</w:t>
      </w:r>
      <w:r>
        <w:rPr>
          <w:spacing w:val="-3"/>
          <w:sz w:val="21"/>
        </w:rPr>
        <w:t>自</w:t>
      </w:r>
      <w:r>
        <w:rPr>
          <w:spacing w:val="-7"/>
          <w:sz w:val="21"/>
        </w:rPr>
        <w:t>动</w:t>
      </w:r>
      <w:r>
        <w:rPr>
          <w:spacing w:val="-3"/>
          <w:sz w:val="21"/>
        </w:rPr>
        <w:t>报</w:t>
      </w:r>
      <w:r>
        <w:rPr>
          <w:sz w:val="21"/>
        </w:rPr>
        <w:t>警</w:t>
      </w:r>
      <w:r>
        <w:rPr>
          <w:spacing w:val="-8"/>
          <w:sz w:val="21"/>
        </w:rPr>
        <w:t>系</w:t>
      </w:r>
      <w:r>
        <w:rPr>
          <w:spacing w:val="-3"/>
          <w:sz w:val="21"/>
        </w:rPr>
        <w:t>统</w:t>
      </w:r>
      <w:r>
        <w:rPr>
          <w:spacing w:val="-5"/>
          <w:sz w:val="21"/>
        </w:rPr>
        <w:t>时，</w:t>
      </w:r>
      <w:r>
        <w:rPr>
          <w:spacing w:val="39"/>
          <w:sz w:val="21"/>
        </w:rPr>
        <w:t xml:space="preserve"> </w:t>
      </w:r>
      <w:r>
        <w:rPr>
          <w:sz w:val="21"/>
        </w:rPr>
        <w:t>功能</w:t>
      </w:r>
      <w:r>
        <w:rPr>
          <w:spacing w:val="-5"/>
          <w:sz w:val="21"/>
        </w:rPr>
        <w:t>调</w:t>
      </w:r>
      <w:r>
        <w:rPr>
          <w:sz w:val="21"/>
        </w:rPr>
        <w:t>试</w:t>
      </w:r>
      <w:r>
        <w:rPr>
          <w:spacing w:val="-5"/>
          <w:sz w:val="21"/>
        </w:rPr>
        <w:t>应</w:t>
      </w:r>
      <w:r>
        <w:rPr>
          <w:sz w:val="21"/>
        </w:rPr>
        <w:t>在</w:t>
      </w:r>
      <w:r>
        <w:rPr>
          <w:spacing w:val="-5"/>
          <w:sz w:val="21"/>
        </w:rPr>
        <w:t>有</w:t>
      </w:r>
      <w:r>
        <w:rPr>
          <w:spacing w:val="-3"/>
          <w:sz w:val="21"/>
        </w:rPr>
        <w:t>关</w:t>
      </w:r>
      <w:r>
        <w:rPr>
          <w:spacing w:val="-5"/>
          <w:sz w:val="21"/>
        </w:rPr>
        <w:t>火</w:t>
      </w:r>
      <w:r>
        <w:rPr>
          <w:sz w:val="21"/>
        </w:rPr>
        <w:t>灾</w:t>
      </w:r>
      <w:r>
        <w:rPr>
          <w:spacing w:val="-7"/>
          <w:sz w:val="21"/>
        </w:rPr>
        <w:t>自</w:t>
      </w:r>
      <w:r>
        <w:rPr>
          <w:sz w:val="21"/>
        </w:rPr>
        <w:t>动报</w:t>
      </w:r>
      <w:r>
        <w:rPr>
          <w:spacing w:val="-5"/>
          <w:sz w:val="21"/>
        </w:rPr>
        <w:t>警</w:t>
      </w:r>
      <w:r>
        <w:rPr>
          <w:sz w:val="21"/>
        </w:rPr>
        <w:t>系</w:t>
      </w:r>
      <w:r>
        <w:rPr>
          <w:spacing w:val="-5"/>
          <w:sz w:val="21"/>
        </w:rPr>
        <w:t>统</w:t>
      </w:r>
      <w:r>
        <w:rPr>
          <w:sz w:val="21"/>
        </w:rPr>
        <w:t>及</w:t>
      </w:r>
      <w:r>
        <w:rPr>
          <w:spacing w:val="-5"/>
          <w:sz w:val="21"/>
        </w:rPr>
        <w:t>联</w:t>
      </w:r>
      <w:r>
        <w:rPr>
          <w:spacing w:val="-3"/>
          <w:sz w:val="21"/>
        </w:rPr>
        <w:t>动</w:t>
      </w:r>
      <w:r>
        <w:rPr>
          <w:spacing w:val="-5"/>
          <w:sz w:val="21"/>
        </w:rPr>
        <w:t>控</w:t>
      </w:r>
      <w:r>
        <w:rPr>
          <w:sz w:val="21"/>
        </w:rPr>
        <w:t>制</w:t>
      </w:r>
      <w:r>
        <w:rPr>
          <w:spacing w:val="-8"/>
          <w:sz w:val="21"/>
        </w:rPr>
        <w:t>设</w:t>
      </w:r>
      <w:r>
        <w:rPr>
          <w:sz w:val="21"/>
        </w:rPr>
        <w:t>备调</w:t>
      </w:r>
      <w:r>
        <w:rPr>
          <w:spacing w:val="-5"/>
          <w:sz w:val="21"/>
        </w:rPr>
        <w:t>试</w:t>
      </w:r>
      <w:r>
        <w:rPr>
          <w:sz w:val="21"/>
        </w:rPr>
        <w:t>合</w:t>
      </w:r>
      <w:r>
        <w:rPr>
          <w:spacing w:val="-5"/>
          <w:sz w:val="21"/>
        </w:rPr>
        <w:t>格</w:t>
      </w:r>
      <w:r>
        <w:rPr>
          <w:sz w:val="21"/>
        </w:rPr>
        <w:t>后</w:t>
      </w:r>
      <w:r>
        <w:rPr>
          <w:spacing w:val="-8"/>
          <w:sz w:val="21"/>
        </w:rPr>
        <w:t>进</w:t>
      </w:r>
      <w:r>
        <w:rPr>
          <w:spacing w:val="-5"/>
          <w:sz w:val="21"/>
        </w:rPr>
        <w:t>行</w:t>
      </w:r>
      <w:r>
        <w:rPr>
          <w:spacing w:val="-190"/>
          <w:sz w:val="21"/>
        </w:rPr>
        <w:t>。</w:t>
      </w:r>
      <w:r>
        <w:rPr>
          <w:spacing w:val="-5"/>
          <w:sz w:val="21"/>
        </w:rPr>
        <w:t>功</w:t>
      </w:r>
      <w:r>
        <w:rPr>
          <w:sz w:val="21"/>
        </w:rPr>
        <w:t>能</w:t>
      </w:r>
      <w:r>
        <w:rPr>
          <w:spacing w:val="-8"/>
          <w:sz w:val="21"/>
        </w:rPr>
        <w:t>调</w:t>
      </w:r>
      <w:r>
        <w:rPr>
          <w:sz w:val="21"/>
        </w:rPr>
        <w:t>试应</w:t>
      </w:r>
      <w:r>
        <w:rPr>
          <w:spacing w:val="-5"/>
          <w:sz w:val="21"/>
        </w:rPr>
        <w:t>由</w:t>
      </w:r>
      <w:r>
        <w:rPr>
          <w:sz w:val="21"/>
        </w:rPr>
        <w:t>施</w:t>
      </w:r>
      <w:r>
        <w:rPr>
          <w:spacing w:val="-5"/>
          <w:sz w:val="21"/>
        </w:rPr>
        <w:t>工</w:t>
      </w:r>
      <w:r>
        <w:rPr>
          <w:sz w:val="21"/>
        </w:rPr>
        <w:t>单位负</w:t>
      </w:r>
      <w:r>
        <w:rPr>
          <w:spacing w:val="-5"/>
          <w:sz w:val="21"/>
        </w:rPr>
        <w:t>责</w:t>
      </w:r>
      <w:r>
        <w:rPr>
          <w:spacing w:val="-3"/>
          <w:sz w:val="21"/>
        </w:rPr>
        <w:t>，</w:t>
      </w:r>
      <w:r>
        <w:rPr>
          <w:spacing w:val="-8"/>
          <w:sz w:val="21"/>
        </w:rPr>
        <w:t>监</w:t>
      </w:r>
      <w:r>
        <w:rPr>
          <w:spacing w:val="-3"/>
          <w:sz w:val="21"/>
        </w:rPr>
        <w:t>理</w:t>
      </w:r>
      <w:r>
        <w:rPr>
          <w:spacing w:val="-5"/>
          <w:sz w:val="21"/>
        </w:rPr>
        <w:t>单</w:t>
      </w:r>
      <w:r>
        <w:rPr>
          <w:spacing w:val="-3"/>
          <w:sz w:val="21"/>
        </w:rPr>
        <w:t>位</w:t>
      </w:r>
      <w:r>
        <w:rPr>
          <w:spacing w:val="-8"/>
          <w:sz w:val="21"/>
        </w:rPr>
        <w:t>监</w:t>
      </w:r>
      <w:r>
        <w:rPr>
          <w:sz w:val="21"/>
        </w:rPr>
        <w:t>督</w:t>
      </w:r>
      <w:r>
        <w:rPr>
          <w:spacing w:val="-3"/>
          <w:sz w:val="21"/>
        </w:rPr>
        <w:t>。</w:t>
      </w:r>
      <w:r>
        <w:rPr>
          <w:sz w:val="21"/>
        </w:rPr>
        <w:t xml:space="preserve"> </w:t>
      </w:r>
      <w:r>
        <w:rPr>
          <w:sz w:val="21"/>
        </w:rPr>
        <w:tab/>
      </w:r>
      <w:hyperlink r:id="rId463" w:anchor="611">
        <w:r>
          <w:rPr>
            <w:color w:val="DDD9C3"/>
            <w:sz w:val="21"/>
            <w:u w:val="single" w:color="DDD9C3"/>
          </w:rPr>
          <w:t xml:space="preserve"> </w:t>
        </w:r>
      </w:hyperlink>
      <w:r>
        <w:rPr>
          <w:sz w:val="21"/>
        </w:rPr>
        <w:t xml:space="preserve"> </w:t>
      </w:r>
    </w:p>
    <w:p w14:paraId="14CF4052" w14:textId="77777777" w:rsidR="00A71EEF" w:rsidRDefault="0081115D">
      <w:pPr>
        <w:pStyle w:val="a4"/>
        <w:numPr>
          <w:ilvl w:val="2"/>
          <w:numId w:val="136"/>
        </w:numPr>
        <w:tabs>
          <w:tab w:val="left" w:pos="1371"/>
        </w:tabs>
        <w:spacing w:line="268" w:lineRule="exact"/>
        <w:ind w:left="1370"/>
        <w:rPr>
          <w:sz w:val="21"/>
        </w:rPr>
      </w:pPr>
      <w:r>
        <w:rPr>
          <w:spacing w:val="-23"/>
          <w:sz w:val="21"/>
        </w:rPr>
        <w:t>防火卷帘、防火门、防火窗的功能调试应符合下列规定：</w:t>
      </w:r>
      <w:r>
        <w:rPr>
          <w:sz w:val="21"/>
        </w:rPr>
        <w:t xml:space="preserve"> </w:t>
      </w:r>
    </w:p>
    <w:p w14:paraId="6DE34EA5" w14:textId="77777777" w:rsidR="00A71EEF" w:rsidRDefault="00A71EEF">
      <w:pPr>
        <w:pStyle w:val="a3"/>
        <w:rPr>
          <w:sz w:val="20"/>
        </w:rPr>
      </w:pPr>
    </w:p>
    <w:p w14:paraId="444D0D5F" w14:textId="77777777" w:rsidR="00A71EEF" w:rsidRDefault="0081115D">
      <w:pPr>
        <w:pStyle w:val="a3"/>
        <w:spacing w:line="446" w:lineRule="auto"/>
        <w:ind w:left="418" w:right="1659" w:firstLine="407"/>
      </w:pPr>
      <w:r>
        <w:rPr>
          <w:spacing w:val="-7"/>
        </w:rPr>
        <w:t>调试前应具有本规范第</w:t>
      </w:r>
      <w:r>
        <w:rPr>
          <w:spacing w:val="-7"/>
        </w:rPr>
        <w:t xml:space="preserve"> </w:t>
      </w:r>
      <w:r>
        <w:rPr>
          <w:spacing w:val="-5"/>
        </w:rPr>
        <w:t>3.0.2</w:t>
      </w:r>
      <w:r>
        <w:rPr>
          <w:spacing w:val="-8"/>
        </w:rPr>
        <w:t xml:space="preserve"> </w:t>
      </w:r>
      <w:r>
        <w:rPr>
          <w:spacing w:val="-8"/>
        </w:rPr>
        <w:t>条规定的技术资料和施工过程检查记录及调试必需的其他</w:t>
      </w:r>
      <w:r>
        <w:rPr>
          <w:spacing w:val="-8"/>
        </w:rPr>
        <w:t xml:space="preserve"> </w:t>
      </w:r>
      <w:r>
        <w:rPr>
          <w:spacing w:val="-8"/>
        </w:rPr>
        <w:t>资料。</w:t>
      </w:r>
      <w:r>
        <w:t xml:space="preserve"> </w:t>
      </w:r>
    </w:p>
    <w:p w14:paraId="5B06D20C" w14:textId="77777777" w:rsidR="00A71EEF" w:rsidRDefault="0081115D">
      <w:pPr>
        <w:pStyle w:val="a3"/>
        <w:tabs>
          <w:tab w:val="left" w:pos="5842"/>
        </w:tabs>
        <w:spacing w:before="29" w:line="446" w:lineRule="auto"/>
        <w:ind w:left="838" w:right="1656" w:hanging="12"/>
      </w:pPr>
      <w:r>
        <w:rPr>
          <w:spacing w:val="-8"/>
        </w:rPr>
        <w:t>调试前应根据本规范规定的调试内容和调试方法，制订调试方案，并应经监理单位</w:t>
      </w:r>
      <w:r>
        <w:rPr>
          <w:spacing w:val="-6"/>
        </w:rPr>
        <w:t>批</w:t>
      </w:r>
      <w:r>
        <w:rPr>
          <w:spacing w:val="11"/>
        </w:rPr>
        <w:t xml:space="preserve"> </w:t>
      </w:r>
      <w:r>
        <w:rPr>
          <w:spacing w:val="-8"/>
        </w:rPr>
        <w:t>准。</w:t>
      </w:r>
      <w:r>
        <w:rPr>
          <w:spacing w:val="-1"/>
        </w:rPr>
        <w:t>调</w:t>
      </w:r>
      <w:r>
        <w:rPr>
          <w:spacing w:val="-8"/>
        </w:rPr>
        <w:t>试</w:t>
      </w:r>
      <w:r>
        <w:rPr>
          <w:spacing w:val="-3"/>
        </w:rPr>
        <w:t>人</w:t>
      </w:r>
      <w:r>
        <w:rPr>
          <w:spacing w:val="-5"/>
        </w:rPr>
        <w:t>员</w:t>
      </w:r>
      <w:r>
        <w:rPr>
          <w:spacing w:val="-3"/>
        </w:rPr>
        <w:t>应</w:t>
      </w:r>
      <w:r>
        <w:rPr>
          <w:spacing w:val="-8"/>
        </w:rPr>
        <w:t>根</w:t>
      </w:r>
      <w:r>
        <w:rPr>
          <w:spacing w:val="-3"/>
        </w:rPr>
        <w:t>据</w:t>
      </w:r>
      <w:r>
        <w:rPr>
          <w:spacing w:val="-8"/>
        </w:rPr>
        <w:t>批</w:t>
      </w:r>
      <w:r>
        <w:rPr>
          <w:spacing w:val="-5"/>
        </w:rPr>
        <w:t>准</w:t>
      </w:r>
      <w:r>
        <w:rPr>
          <w:spacing w:val="-3"/>
        </w:rPr>
        <w:t>的调</w:t>
      </w:r>
      <w:r>
        <w:rPr>
          <w:spacing w:val="-5"/>
        </w:rPr>
        <w:t>试</w:t>
      </w:r>
      <w:r>
        <w:rPr>
          <w:spacing w:val="-3"/>
        </w:rPr>
        <w:t>方</w:t>
      </w:r>
      <w:r>
        <w:rPr>
          <w:spacing w:val="-8"/>
        </w:rPr>
        <w:t>案</w:t>
      </w:r>
      <w:r>
        <w:rPr>
          <w:spacing w:val="-3"/>
        </w:rPr>
        <w:t>按</w:t>
      </w:r>
      <w:r>
        <w:rPr>
          <w:spacing w:val="-5"/>
        </w:rPr>
        <w:t>程</w:t>
      </w:r>
      <w:r>
        <w:rPr>
          <w:spacing w:val="-3"/>
        </w:rPr>
        <w:t>序</w:t>
      </w:r>
      <w:r>
        <w:rPr>
          <w:spacing w:val="-8"/>
        </w:rPr>
        <w:t>进</w:t>
      </w:r>
      <w:r>
        <w:rPr>
          <w:spacing w:val="-3"/>
        </w:rPr>
        <w:t>行</w:t>
      </w:r>
      <w:r>
        <w:rPr>
          <w:spacing w:val="-5"/>
        </w:rPr>
        <w:t>调</w:t>
      </w:r>
      <w:r>
        <w:rPr>
          <w:spacing w:val="-3"/>
        </w:rPr>
        <w:t>试</w:t>
      </w:r>
      <w:r>
        <w:rPr>
          <w:spacing w:val="-1"/>
        </w:rPr>
        <w:t>。</w:t>
      </w:r>
      <w:r>
        <w:t xml:space="preserve"> </w:t>
      </w:r>
      <w:r>
        <w:tab/>
      </w:r>
      <w:r>
        <w:t xml:space="preserve"> </w:t>
      </w:r>
    </w:p>
    <w:p w14:paraId="2FB4FCB6" w14:textId="77777777" w:rsidR="00A71EEF" w:rsidRDefault="0081115D">
      <w:pPr>
        <w:pStyle w:val="a4"/>
        <w:numPr>
          <w:ilvl w:val="2"/>
          <w:numId w:val="136"/>
        </w:numPr>
        <w:tabs>
          <w:tab w:val="left" w:pos="1370"/>
        </w:tabs>
        <w:spacing w:before="14"/>
        <w:ind w:left="1369" w:hanging="530"/>
        <w:rPr>
          <w:sz w:val="21"/>
        </w:rPr>
      </w:pPr>
      <w:r>
        <w:rPr>
          <w:spacing w:val="-8"/>
          <w:sz w:val="21"/>
        </w:rPr>
        <w:t>防火卷帘、防火门、防火窗的功能调试应按本规范附录</w:t>
      </w:r>
      <w:r>
        <w:rPr>
          <w:sz w:val="21"/>
        </w:rPr>
        <w:t>C</w:t>
      </w:r>
      <w:r>
        <w:rPr>
          <w:spacing w:val="-1"/>
          <w:sz w:val="21"/>
        </w:rPr>
        <w:t xml:space="preserve"> </w:t>
      </w:r>
      <w:r>
        <w:rPr>
          <w:spacing w:val="-1"/>
          <w:sz w:val="21"/>
        </w:rPr>
        <w:t>表</w:t>
      </w:r>
      <w:r>
        <w:rPr>
          <w:sz w:val="21"/>
        </w:rPr>
        <w:t>C.0.1-4</w:t>
      </w:r>
      <w:r>
        <w:rPr>
          <w:spacing w:val="-3"/>
          <w:sz w:val="21"/>
        </w:rPr>
        <w:t xml:space="preserve"> </w:t>
      </w:r>
      <w:r>
        <w:rPr>
          <w:spacing w:val="-3"/>
          <w:sz w:val="21"/>
        </w:rPr>
        <w:t>填写调试过</w:t>
      </w:r>
    </w:p>
    <w:p w14:paraId="4D4FB09A" w14:textId="77777777" w:rsidR="00A71EEF" w:rsidRDefault="00A71EEF">
      <w:pPr>
        <w:rPr>
          <w:sz w:val="21"/>
        </w:rPr>
        <w:sectPr w:rsidR="00A71EEF">
          <w:pgSz w:w="11910" w:h="16850"/>
          <w:pgMar w:top="1220" w:right="0" w:bottom="1420" w:left="1260" w:header="0" w:footer="1239" w:gutter="0"/>
          <w:cols w:space="720"/>
        </w:sectPr>
      </w:pPr>
    </w:p>
    <w:p w14:paraId="0536DFA9" w14:textId="77777777" w:rsidR="00A71EEF" w:rsidRDefault="0081115D">
      <w:pPr>
        <w:pStyle w:val="a3"/>
        <w:spacing w:before="47" w:line="446" w:lineRule="auto"/>
        <w:ind w:left="840" w:right="4239" w:hanging="423"/>
        <w:rPr>
          <w:b/>
        </w:rPr>
      </w:pPr>
      <w:r>
        <w:rPr>
          <w:spacing w:val="-8"/>
        </w:rPr>
        <w:t>程检</w:t>
      </w:r>
      <w:r>
        <w:rPr>
          <w:spacing w:val="-8"/>
        </w:rPr>
        <w:t xml:space="preserve"> </w:t>
      </w:r>
      <w:r>
        <w:rPr>
          <w:spacing w:val="-8"/>
        </w:rPr>
        <w:t>查记录。施工单位应在调试合格后向建设单位申请验收。</w:t>
      </w:r>
      <w:r>
        <w:rPr>
          <w:b/>
        </w:rPr>
        <w:t>6.2</w:t>
      </w:r>
      <w:r>
        <w:rPr>
          <w:b/>
          <w:spacing w:val="1"/>
        </w:rPr>
        <w:t xml:space="preserve"> </w:t>
      </w:r>
      <w:r>
        <w:rPr>
          <w:spacing w:val="-3"/>
        </w:rPr>
        <w:t>防火卷帘调试</w:t>
      </w:r>
      <w:r>
        <w:rPr>
          <w:b/>
          <w:w w:val="99"/>
        </w:rPr>
        <w:t xml:space="preserve"> </w:t>
      </w:r>
    </w:p>
    <w:p w14:paraId="252F1676" w14:textId="77777777" w:rsidR="00A71EEF" w:rsidRDefault="0081115D">
      <w:pPr>
        <w:pStyle w:val="a3"/>
        <w:spacing w:line="446" w:lineRule="auto"/>
        <w:ind w:left="418" w:right="1601" w:firstLine="422"/>
      </w:pPr>
      <w:r>
        <w:rPr>
          <w:b/>
        </w:rPr>
        <w:t xml:space="preserve">6.2.1 </w:t>
      </w:r>
      <w:r>
        <w:rPr>
          <w:spacing w:val="-8"/>
        </w:rPr>
        <w:t>防火卷帘控制器应进行通电功能、备用电源、火灾报警功能、故障报警功能、自动控</w:t>
      </w:r>
      <w:r>
        <w:rPr>
          <w:spacing w:val="-8"/>
        </w:rPr>
        <w:t xml:space="preserve"> </w:t>
      </w:r>
      <w:r>
        <w:rPr>
          <w:spacing w:val="-8"/>
        </w:rPr>
        <w:t>制功能、手动控制功能和自重下降功能调试，并应符合下列要求：</w:t>
      </w:r>
      <w:r>
        <w:t xml:space="preserve"> </w:t>
      </w:r>
    </w:p>
    <w:p w14:paraId="1A7D6BF6" w14:textId="77777777" w:rsidR="00A71EEF" w:rsidRDefault="0081115D">
      <w:pPr>
        <w:pStyle w:val="a3"/>
        <w:spacing w:before="24"/>
        <w:ind w:left="826"/>
      </w:pPr>
      <w:r>
        <w:t>通电功能调试时，应将防火卷帘控制器分别与消防控制室的火灾报警控制器或消防联</w:t>
      </w:r>
      <w:r>
        <w:t xml:space="preserve"> </w:t>
      </w:r>
    </w:p>
    <w:p w14:paraId="58A36D98" w14:textId="77777777" w:rsidR="00A71EEF" w:rsidRDefault="00A71EEF">
      <w:pPr>
        <w:pStyle w:val="a3"/>
        <w:spacing w:before="3"/>
        <w:rPr>
          <w:sz w:val="20"/>
        </w:rPr>
      </w:pPr>
    </w:p>
    <w:p w14:paraId="10B04706" w14:textId="77777777" w:rsidR="00A71EEF" w:rsidRDefault="0081115D">
      <w:pPr>
        <w:pStyle w:val="a3"/>
        <w:spacing w:line="446" w:lineRule="auto"/>
        <w:ind w:left="418" w:right="1658" w:firstLine="407"/>
      </w:pPr>
      <w:r>
        <w:rPr>
          <w:spacing w:val="-8"/>
        </w:rPr>
        <w:t>动控制设备、相关的火灾探测器、卷门机等连接并通电，防火卷帘控制器应处于正常工作状态。</w:t>
      </w:r>
      <w:r>
        <w:t xml:space="preserve"> </w:t>
      </w:r>
    </w:p>
    <w:p w14:paraId="55A16CBF" w14:textId="77777777" w:rsidR="00A71EEF" w:rsidRDefault="0081115D">
      <w:pPr>
        <w:pStyle w:val="a3"/>
        <w:spacing w:before="27" w:line="470" w:lineRule="auto"/>
        <w:ind w:left="826" w:right="7573"/>
      </w:pPr>
      <w:r>
        <w:rPr>
          <w:spacing w:val="-8"/>
        </w:rPr>
        <w:t>检查数量：全数检查。</w:t>
      </w:r>
      <w:r>
        <w:rPr>
          <w:spacing w:val="-8"/>
        </w:rPr>
        <w:t xml:space="preserve"> </w:t>
      </w:r>
      <w:r>
        <w:rPr>
          <w:spacing w:val="-8"/>
        </w:rPr>
        <w:t>检查方法：直观检查。</w:t>
      </w:r>
      <w:r>
        <w:t xml:space="preserve"> </w:t>
      </w:r>
    </w:p>
    <w:p w14:paraId="2CD5C4BD" w14:textId="77777777" w:rsidR="00A71EEF" w:rsidRDefault="0081115D">
      <w:pPr>
        <w:pStyle w:val="a3"/>
        <w:spacing w:line="446" w:lineRule="auto"/>
        <w:ind w:left="418" w:right="1496" w:firstLine="419"/>
        <w:jc w:val="both"/>
      </w:pPr>
      <w:r>
        <w:rPr>
          <w:spacing w:val="-20"/>
        </w:rPr>
        <w:t>备用电源调试时，设有备用电源的防火卷帘，其控制器应有主、备电源转换功能。主、</w:t>
      </w:r>
      <w:r>
        <w:rPr>
          <w:spacing w:val="-20"/>
        </w:rPr>
        <w:t xml:space="preserve"> </w:t>
      </w:r>
      <w:r>
        <w:rPr>
          <w:spacing w:val="-20"/>
        </w:rPr>
        <w:t>备电、</w:t>
      </w:r>
      <w:r>
        <w:rPr>
          <w:spacing w:val="-17"/>
        </w:rPr>
        <w:t>踞的工作状态应有指示，主、备电源的转换不应使防火卷帘控制器发生误动作。备用</w:t>
      </w:r>
      <w:r>
        <w:rPr>
          <w:spacing w:val="-17"/>
        </w:rPr>
        <w:t xml:space="preserve"> </w:t>
      </w:r>
      <w:r>
        <w:rPr>
          <w:spacing w:val="-17"/>
        </w:rPr>
        <w:t>电源的电池</w:t>
      </w:r>
      <w:r>
        <w:rPr>
          <w:spacing w:val="-9"/>
        </w:rPr>
        <w:t>容量应保证防火卷帘控制器在备用电源供电条件下能正常可靠工作</w:t>
      </w:r>
      <w:r>
        <w:rPr>
          <w:spacing w:val="-9"/>
        </w:rPr>
        <w:t xml:space="preserve"> </w:t>
      </w:r>
      <w:r>
        <w:rPr>
          <w:spacing w:val="-3"/>
        </w:rPr>
        <w:t>1h</w:t>
      </w:r>
      <w:r>
        <w:rPr>
          <w:spacing w:val="-3"/>
        </w:rPr>
        <w:t>，并应提</w:t>
      </w:r>
      <w:r>
        <w:rPr>
          <w:spacing w:val="-3"/>
        </w:rPr>
        <w:t xml:space="preserve"> </w:t>
      </w:r>
      <w:r>
        <w:rPr>
          <w:spacing w:val="-3"/>
        </w:rPr>
        <w:t>供控制器控制卷</w:t>
      </w:r>
      <w:r>
        <w:rPr>
          <w:spacing w:val="-8"/>
        </w:rPr>
        <w:t>门机速放控制装置完成卷帘自重垂降，控制卷帘降至下限位所需的电源。</w:t>
      </w:r>
      <w:r>
        <w:t xml:space="preserve"> </w:t>
      </w:r>
    </w:p>
    <w:p w14:paraId="1FE948F9" w14:textId="77777777" w:rsidR="00A71EEF" w:rsidRDefault="0081115D">
      <w:pPr>
        <w:pStyle w:val="a3"/>
        <w:spacing w:before="21"/>
        <w:ind w:left="826"/>
      </w:pPr>
      <w:r>
        <w:t>检查数量：全数检查。</w:t>
      </w:r>
      <w:r>
        <w:t xml:space="preserve">  </w:t>
      </w:r>
    </w:p>
    <w:p w14:paraId="53A148C7" w14:textId="77777777" w:rsidR="00A71EEF" w:rsidRDefault="00A71EEF">
      <w:pPr>
        <w:pStyle w:val="a3"/>
        <w:spacing w:before="2"/>
        <w:rPr>
          <w:sz w:val="20"/>
        </w:rPr>
      </w:pPr>
    </w:p>
    <w:p w14:paraId="6D71EFB4" w14:textId="77777777" w:rsidR="00A71EEF" w:rsidRDefault="0081115D">
      <w:pPr>
        <w:pStyle w:val="a3"/>
        <w:spacing w:line="446" w:lineRule="auto"/>
        <w:ind w:left="418" w:right="1519" w:firstLine="407"/>
      </w:pPr>
      <w:r>
        <w:rPr>
          <w:spacing w:val="-8"/>
        </w:rPr>
        <w:t>检查方法：切断防火卷帘控制器的主电源，观察电源工作指示灯变化情况和防火卷帘是否发生误动作。再切断卷门机主电源，使用备用电源供电，使防火卷帘控制器工作</w:t>
      </w:r>
      <w:r>
        <w:t>1h</w:t>
      </w:r>
      <w:r>
        <w:rPr>
          <w:spacing w:val="-1"/>
        </w:rPr>
        <w:t>，用</w:t>
      </w:r>
      <w:r>
        <w:rPr>
          <w:spacing w:val="-1"/>
        </w:rPr>
        <w:t xml:space="preserve"> </w:t>
      </w:r>
      <w:r>
        <w:rPr>
          <w:spacing w:val="-1"/>
        </w:rPr>
        <w:t>备用电源</w:t>
      </w:r>
      <w:r>
        <w:rPr>
          <w:spacing w:val="-8"/>
        </w:rPr>
        <w:t>启动速放控制装置，观察防火卷帘动作、运行情况。</w:t>
      </w:r>
      <w:r>
        <w:rPr>
          <w:spacing w:val="-8"/>
        </w:rPr>
        <w:t xml:space="preserve"> </w:t>
      </w:r>
    </w:p>
    <w:p w14:paraId="4705BE6E" w14:textId="77777777" w:rsidR="00A71EEF" w:rsidRDefault="0081115D">
      <w:pPr>
        <w:pStyle w:val="a3"/>
        <w:spacing w:before="33" w:line="446" w:lineRule="auto"/>
        <w:ind w:left="418" w:right="1611" w:firstLine="419"/>
      </w:pPr>
      <w:r>
        <w:rPr>
          <w:spacing w:val="-7"/>
        </w:rPr>
        <w:t>火灾报警功能调试时，防火卷帘控制器应直接或间接地接收来自火灾探测器组发出的</w:t>
      </w:r>
      <w:r>
        <w:rPr>
          <w:spacing w:val="-7"/>
        </w:rPr>
        <w:t xml:space="preserve"> </w:t>
      </w:r>
      <w:r>
        <w:rPr>
          <w:spacing w:val="-7"/>
        </w:rPr>
        <w:t>火灾</w:t>
      </w:r>
      <w:r>
        <w:rPr>
          <w:spacing w:val="-8"/>
        </w:rPr>
        <w:t>报警信号，并应发出声、光报警信号。</w:t>
      </w:r>
      <w:r>
        <w:t xml:space="preserve"> </w:t>
      </w:r>
    </w:p>
    <w:p w14:paraId="42676D7C" w14:textId="77777777" w:rsidR="00A71EEF" w:rsidRDefault="0081115D">
      <w:pPr>
        <w:pStyle w:val="a3"/>
        <w:spacing w:before="34"/>
        <w:ind w:left="826"/>
      </w:pPr>
      <w:r>
        <w:t>检查数量：全数检查。</w:t>
      </w:r>
      <w:r>
        <w:t xml:space="preserve">  </w:t>
      </w:r>
    </w:p>
    <w:p w14:paraId="14DFFAA0" w14:textId="77777777" w:rsidR="00A71EEF" w:rsidRDefault="00A71EEF">
      <w:pPr>
        <w:pStyle w:val="a3"/>
        <w:spacing w:before="8"/>
        <w:rPr>
          <w:sz w:val="19"/>
        </w:rPr>
      </w:pPr>
    </w:p>
    <w:p w14:paraId="6F9E9806" w14:textId="77777777" w:rsidR="00A71EEF" w:rsidRDefault="0081115D">
      <w:pPr>
        <w:pStyle w:val="a3"/>
        <w:spacing w:line="465" w:lineRule="auto"/>
        <w:ind w:left="838" w:right="1609" w:hanging="12"/>
      </w:pPr>
      <w:r>
        <w:rPr>
          <w:spacing w:val="-22"/>
        </w:rPr>
        <w:t>检查方法：使火灾探测器组发出火灾报警信号，观察防火卷帘控制器的声、光报警情况。</w:t>
      </w:r>
      <w:r>
        <w:rPr>
          <w:spacing w:val="-22"/>
        </w:rPr>
        <w:t xml:space="preserve">   </w:t>
      </w:r>
      <w:r>
        <w:rPr>
          <w:spacing w:val="-8"/>
        </w:rPr>
        <w:t>故障报警功能调试时，防火卷帘控制器的电源缺相或相序有误，以及防火卷</w:t>
      </w:r>
      <w:r>
        <w:rPr>
          <w:spacing w:val="-8"/>
        </w:rPr>
        <w:t>帘控制器与火</w:t>
      </w:r>
    </w:p>
    <w:p w14:paraId="323B1E75" w14:textId="77777777" w:rsidR="00A71EEF" w:rsidRDefault="0081115D">
      <w:pPr>
        <w:pStyle w:val="a3"/>
        <w:spacing w:line="248" w:lineRule="exact"/>
        <w:ind w:left="418"/>
      </w:pPr>
      <w:r>
        <w:t>灾探测器之间的连接线断线或发生故障，防火卷帘控制器均应发出故障报警信号。</w:t>
      </w:r>
      <w:r>
        <w:t xml:space="preserve"> </w:t>
      </w:r>
      <w:r>
        <w:t>检查数量：</w:t>
      </w:r>
    </w:p>
    <w:p w14:paraId="210C4725" w14:textId="77777777" w:rsidR="00A71EEF" w:rsidRDefault="00A71EEF">
      <w:pPr>
        <w:pStyle w:val="a3"/>
        <w:spacing w:before="12"/>
        <w:rPr>
          <w:sz w:val="17"/>
        </w:rPr>
      </w:pPr>
    </w:p>
    <w:p w14:paraId="6F122BB5" w14:textId="77777777" w:rsidR="00A71EEF" w:rsidRDefault="0081115D">
      <w:pPr>
        <w:pStyle w:val="a3"/>
        <w:spacing w:line="446" w:lineRule="auto"/>
        <w:ind w:left="418" w:right="1505"/>
      </w:pPr>
      <w:r>
        <w:rPr>
          <w:spacing w:val="-3"/>
        </w:rPr>
        <w:t>全数检查。</w:t>
      </w:r>
      <w:r>
        <w:rPr>
          <w:spacing w:val="-3"/>
        </w:rPr>
        <w:t xml:space="preserve"> </w:t>
      </w:r>
      <w:r>
        <w:rPr>
          <w:spacing w:val="-3"/>
        </w:rPr>
        <w:t>检查方法：任意断开电源一相或对调电源的任意两相，手动操作防火卷帘控制器按</w:t>
      </w:r>
      <w:r>
        <w:rPr>
          <w:spacing w:val="-8"/>
        </w:rPr>
        <w:t>钮，观察防火卷帘动作情况及防火卷帘控制器报警情况</w:t>
      </w:r>
      <w:r>
        <w:rPr>
          <w:spacing w:val="-20"/>
        </w:rPr>
        <w:t>。断开火灾探测器与防火卷帘控制器的连</w:t>
      </w:r>
      <w:r>
        <w:rPr>
          <w:spacing w:val="-20"/>
        </w:rPr>
        <w:t xml:space="preserve"> </w:t>
      </w:r>
      <w:r>
        <w:rPr>
          <w:spacing w:val="-8"/>
        </w:rPr>
        <w:t>接线，观察防火卷帘控制器报警情况。</w:t>
      </w:r>
      <w:r>
        <w:t xml:space="preserve"> </w:t>
      </w:r>
    </w:p>
    <w:p w14:paraId="2723B3B8" w14:textId="77777777" w:rsidR="00A71EEF" w:rsidRDefault="0081115D">
      <w:pPr>
        <w:pStyle w:val="a3"/>
        <w:spacing w:before="21"/>
        <w:ind w:left="838"/>
      </w:pPr>
      <w:r>
        <w:t>自动控制功能调试时，当防火卷帘控制器接收到火灾报警信号后，应输出控制防火卷</w:t>
      </w:r>
      <w:r>
        <w:t xml:space="preserve"> </w:t>
      </w:r>
      <w:r>
        <w:t>帘完</w:t>
      </w:r>
    </w:p>
    <w:p w14:paraId="1FB26227" w14:textId="77777777" w:rsidR="00A71EEF" w:rsidRDefault="00A71EEF">
      <w:pPr>
        <w:sectPr w:rsidR="00A71EEF">
          <w:pgSz w:w="11910" w:h="16850"/>
          <w:pgMar w:top="1220" w:right="0" w:bottom="1420" w:left="1260" w:header="0" w:footer="1239" w:gutter="0"/>
          <w:cols w:space="720"/>
        </w:sectPr>
      </w:pPr>
    </w:p>
    <w:p w14:paraId="196C3083" w14:textId="77777777" w:rsidR="00A71EEF" w:rsidRDefault="0081115D">
      <w:pPr>
        <w:pStyle w:val="a3"/>
        <w:spacing w:before="47"/>
        <w:ind w:left="418"/>
      </w:pPr>
      <w:r>
        <w:t>成相应动作的信号，并应符合下列要求：</w:t>
      </w:r>
      <w:r>
        <w:t xml:space="preserve"> </w:t>
      </w:r>
    </w:p>
    <w:p w14:paraId="668DC9DC" w14:textId="77777777" w:rsidR="00A71EEF" w:rsidRDefault="00A71EEF">
      <w:pPr>
        <w:pStyle w:val="a3"/>
        <w:spacing w:before="6"/>
        <w:rPr>
          <w:sz w:val="20"/>
        </w:rPr>
      </w:pPr>
    </w:p>
    <w:p w14:paraId="6885E692" w14:textId="77777777" w:rsidR="00A71EEF" w:rsidRDefault="0081115D">
      <w:pPr>
        <w:pStyle w:val="a4"/>
        <w:numPr>
          <w:ilvl w:val="0"/>
          <w:numId w:val="135"/>
        </w:numPr>
        <w:tabs>
          <w:tab w:val="left" w:pos="1156"/>
        </w:tabs>
        <w:rPr>
          <w:sz w:val="21"/>
        </w:rPr>
      </w:pPr>
      <w:r>
        <w:rPr>
          <w:spacing w:val="-8"/>
          <w:sz w:val="21"/>
        </w:rPr>
        <w:t>控制分隔防火分区的防火卷帘由上限位自动关闭至全闭。</w:t>
      </w:r>
      <w:r>
        <w:rPr>
          <w:sz w:val="21"/>
        </w:rPr>
        <w:t xml:space="preserve"> </w:t>
      </w:r>
    </w:p>
    <w:p w14:paraId="73EB4D39" w14:textId="77777777" w:rsidR="00A71EEF" w:rsidRDefault="00A71EEF">
      <w:pPr>
        <w:pStyle w:val="a3"/>
        <w:spacing w:before="11"/>
      </w:pPr>
    </w:p>
    <w:p w14:paraId="24FE69E9" w14:textId="77777777" w:rsidR="00A71EEF" w:rsidRDefault="0081115D">
      <w:pPr>
        <w:pStyle w:val="a4"/>
        <w:numPr>
          <w:ilvl w:val="0"/>
          <w:numId w:val="135"/>
        </w:numPr>
        <w:tabs>
          <w:tab w:val="left" w:pos="1156"/>
        </w:tabs>
        <w:rPr>
          <w:sz w:val="21"/>
        </w:rPr>
      </w:pPr>
      <w:r>
        <w:rPr>
          <w:spacing w:val="-8"/>
          <w:sz w:val="21"/>
        </w:rPr>
        <w:t>防火卷帘控制器接到感烟火灾探测器的报警信号后，控制防火卷帘自动关闭至中位</w:t>
      </w:r>
    </w:p>
    <w:p w14:paraId="4F31E031" w14:textId="77777777" w:rsidR="00A71EEF" w:rsidRDefault="00A71EEF">
      <w:pPr>
        <w:pStyle w:val="a3"/>
        <w:spacing w:before="2"/>
        <w:rPr>
          <w:sz w:val="18"/>
        </w:rPr>
      </w:pPr>
    </w:p>
    <w:p w14:paraId="47729BC1" w14:textId="77777777" w:rsidR="00A71EEF" w:rsidRDefault="0081115D">
      <w:pPr>
        <w:pStyle w:val="a3"/>
        <w:spacing w:line="487" w:lineRule="auto"/>
        <w:ind w:left="838" w:right="3378" w:hanging="420"/>
      </w:pPr>
      <w:r>
        <w:t>（</w:t>
      </w:r>
      <w:r>
        <w:t>1.8m</w:t>
      </w:r>
      <w:r>
        <w:t>）</w:t>
      </w:r>
      <w:r>
        <w:rPr>
          <w:spacing w:val="-8"/>
        </w:rPr>
        <w:t>处停止，接到感温火灾探测器的报警信号后，继续关闭至全闭。</w:t>
      </w:r>
      <w:r>
        <w:rPr>
          <w:spacing w:val="-4"/>
        </w:rPr>
        <w:t>3</w:t>
      </w:r>
      <w:r>
        <w:rPr>
          <w:spacing w:val="-4"/>
        </w:rPr>
        <w:t>）</w:t>
      </w:r>
      <w:r>
        <w:rPr>
          <w:spacing w:val="-8"/>
        </w:rPr>
        <w:t>防火卷帘半降、全降的动作状态信号应反馈到消防控制室。</w:t>
      </w:r>
      <w:r>
        <w:rPr>
          <w:spacing w:val="-8"/>
        </w:rPr>
        <w:t xml:space="preserve"> </w:t>
      </w:r>
      <w:r>
        <w:t xml:space="preserve"> </w:t>
      </w:r>
    </w:p>
    <w:p w14:paraId="12CE20CB" w14:textId="77777777" w:rsidR="00A71EEF" w:rsidRDefault="0081115D">
      <w:pPr>
        <w:pStyle w:val="a3"/>
        <w:spacing w:before="5"/>
        <w:ind w:left="826"/>
      </w:pPr>
      <w:r>
        <w:t>检查数量：全数检查。</w:t>
      </w:r>
      <w:r>
        <w:t xml:space="preserve"> </w:t>
      </w:r>
    </w:p>
    <w:p w14:paraId="08CCD1E2" w14:textId="77777777" w:rsidR="00A71EEF" w:rsidRDefault="00A71EEF">
      <w:pPr>
        <w:pStyle w:val="a3"/>
        <w:spacing w:before="7"/>
        <w:rPr>
          <w:sz w:val="20"/>
        </w:rPr>
      </w:pPr>
    </w:p>
    <w:p w14:paraId="349C7F2E" w14:textId="77777777" w:rsidR="00A71EEF" w:rsidRDefault="0081115D">
      <w:pPr>
        <w:pStyle w:val="a3"/>
        <w:spacing w:before="1" w:line="446" w:lineRule="auto"/>
        <w:ind w:left="418" w:right="1611" w:firstLine="407"/>
      </w:pPr>
      <w:r>
        <w:rPr>
          <w:spacing w:val="-7"/>
        </w:rPr>
        <w:t>检查方法：分别使火灾探测器组发出半降、全降信号，观察防火卷帘控制器声、光报警</w:t>
      </w:r>
      <w:r>
        <w:rPr>
          <w:spacing w:val="-7"/>
        </w:rPr>
        <w:t xml:space="preserve"> </w:t>
      </w:r>
      <w:r>
        <w:rPr>
          <w:spacing w:val="-7"/>
        </w:rPr>
        <w:t>和</w:t>
      </w:r>
      <w:r>
        <w:rPr>
          <w:spacing w:val="-8"/>
        </w:rPr>
        <w:t>防火卷帘动作、运行情况以及消防控制室防火卷帘动作状态信号显示情况。</w:t>
      </w:r>
      <w:r>
        <w:t xml:space="preserve"> </w:t>
      </w:r>
    </w:p>
    <w:p w14:paraId="72C7C466" w14:textId="77777777" w:rsidR="00A71EEF" w:rsidRDefault="0081115D">
      <w:pPr>
        <w:pStyle w:val="a3"/>
        <w:spacing w:before="16" w:line="446" w:lineRule="auto"/>
        <w:ind w:left="418" w:right="1613" w:firstLine="419"/>
      </w:pPr>
      <w:r>
        <w:rPr>
          <w:spacing w:val="-7"/>
        </w:rPr>
        <w:t>手动控制功能调试时，手动操作防火卷帘控制器上的按钮和手动按钮盒上的按钮，可</w:t>
      </w:r>
      <w:r>
        <w:rPr>
          <w:spacing w:val="-7"/>
        </w:rPr>
        <w:t xml:space="preserve"> </w:t>
      </w:r>
      <w:r>
        <w:rPr>
          <w:spacing w:val="-7"/>
        </w:rPr>
        <w:t>控制防火卷帘的上升、下降、停止。</w:t>
      </w:r>
      <w:r>
        <w:t xml:space="preserve"> </w:t>
      </w:r>
    </w:p>
    <w:p w14:paraId="74C68233" w14:textId="77777777" w:rsidR="00A71EEF" w:rsidRDefault="0081115D">
      <w:pPr>
        <w:pStyle w:val="a3"/>
        <w:spacing w:before="34" w:line="475" w:lineRule="auto"/>
        <w:ind w:left="826" w:right="7573"/>
      </w:pPr>
      <w:r>
        <w:rPr>
          <w:spacing w:val="-8"/>
        </w:rPr>
        <w:t>检查数量：全数检查。</w:t>
      </w:r>
      <w:r>
        <w:rPr>
          <w:spacing w:val="-8"/>
        </w:rPr>
        <w:t xml:space="preserve"> </w:t>
      </w:r>
      <w:r>
        <w:rPr>
          <w:spacing w:val="-8"/>
        </w:rPr>
        <w:t>检查方法：手动试验。</w:t>
      </w:r>
      <w:r>
        <w:t xml:space="preserve"> </w:t>
      </w:r>
    </w:p>
    <w:p w14:paraId="7E7DD62F" w14:textId="77777777" w:rsidR="00A71EEF" w:rsidRDefault="0081115D">
      <w:pPr>
        <w:pStyle w:val="a3"/>
        <w:spacing w:line="446" w:lineRule="auto"/>
        <w:ind w:left="418" w:right="1558" w:firstLine="407"/>
      </w:pPr>
      <w:r>
        <w:rPr>
          <w:spacing w:val="-8"/>
        </w:rPr>
        <w:t>自重下降功能调试时，应将卷门机电源设置于故障状态，防火卷帘应在防火卷帘控制</w:t>
      </w:r>
      <w:r>
        <w:rPr>
          <w:spacing w:val="-8"/>
        </w:rPr>
        <w:t xml:space="preserve"> </w:t>
      </w:r>
      <w:r>
        <w:rPr>
          <w:spacing w:val="-8"/>
        </w:rPr>
        <w:t>器的控制下，依靠自重下降至全闭。</w:t>
      </w:r>
      <w:r>
        <w:t xml:space="preserve"> </w:t>
      </w:r>
    </w:p>
    <w:p w14:paraId="3C8ECC6D" w14:textId="77777777" w:rsidR="00A71EEF" w:rsidRDefault="0081115D">
      <w:pPr>
        <w:pStyle w:val="a3"/>
        <w:spacing w:before="31"/>
        <w:ind w:left="826"/>
      </w:pPr>
      <w:r>
        <w:t>检查数量：全数检查。</w:t>
      </w:r>
      <w:r>
        <w:t xml:space="preserve">  </w:t>
      </w:r>
    </w:p>
    <w:p w14:paraId="4D45351C" w14:textId="77777777" w:rsidR="00A71EEF" w:rsidRDefault="00A71EEF">
      <w:pPr>
        <w:pStyle w:val="a3"/>
        <w:spacing w:before="8"/>
        <w:rPr>
          <w:sz w:val="20"/>
        </w:rPr>
      </w:pPr>
    </w:p>
    <w:p w14:paraId="73133FE5" w14:textId="77777777" w:rsidR="00A71EEF" w:rsidRDefault="0081115D">
      <w:pPr>
        <w:pStyle w:val="a3"/>
        <w:spacing w:line="446" w:lineRule="auto"/>
        <w:ind w:left="418" w:right="1862" w:firstLine="407"/>
      </w:pPr>
      <w:r>
        <w:rPr>
          <w:spacing w:val="-8"/>
        </w:rPr>
        <w:t>检查方法：切断卷门机电源，按下防火卷帘控制器下降按钮，观察防火卷帘动作、运行情况。</w:t>
      </w:r>
      <w:r>
        <w:t xml:space="preserve"> </w:t>
      </w:r>
    </w:p>
    <w:p w14:paraId="44873465" w14:textId="77777777" w:rsidR="00A71EEF" w:rsidRDefault="0081115D">
      <w:pPr>
        <w:spacing w:before="33"/>
        <w:ind w:left="826"/>
        <w:rPr>
          <w:sz w:val="21"/>
        </w:rPr>
      </w:pPr>
      <w:r>
        <w:rPr>
          <w:spacing w:val="-94"/>
          <w:sz w:val="21"/>
        </w:rPr>
        <w:t xml:space="preserve"> </w:t>
      </w:r>
      <w:r>
        <w:rPr>
          <w:b/>
          <w:sz w:val="21"/>
        </w:rPr>
        <w:t>6.2.2</w:t>
      </w:r>
      <w:r>
        <w:rPr>
          <w:b/>
          <w:spacing w:val="98"/>
          <w:sz w:val="21"/>
        </w:rPr>
        <w:t xml:space="preserve"> </w:t>
      </w:r>
      <w:r>
        <w:rPr>
          <w:spacing w:val="-8"/>
          <w:sz w:val="21"/>
        </w:rPr>
        <w:t>防火卷帘用卷门机的调试应符合下列规定：</w:t>
      </w:r>
      <w:r>
        <w:rPr>
          <w:sz w:val="21"/>
        </w:rPr>
        <w:t xml:space="preserve"> </w:t>
      </w:r>
    </w:p>
    <w:p w14:paraId="11F1D871" w14:textId="77777777" w:rsidR="00A71EEF" w:rsidRDefault="00A71EEF">
      <w:pPr>
        <w:pStyle w:val="a3"/>
        <w:spacing w:before="12"/>
      </w:pPr>
    </w:p>
    <w:p w14:paraId="0609210D" w14:textId="77777777" w:rsidR="00A71EEF" w:rsidRDefault="0081115D">
      <w:pPr>
        <w:pStyle w:val="a3"/>
        <w:spacing w:line="446" w:lineRule="auto"/>
        <w:ind w:left="418" w:right="1608" w:firstLine="419"/>
      </w:pPr>
      <w:r>
        <w:rPr>
          <w:spacing w:val="-7"/>
        </w:rPr>
        <w:t>卷门机手动操作装置</w:t>
      </w:r>
      <w:r>
        <w:rPr>
          <w:spacing w:val="-3"/>
        </w:rPr>
        <w:t>（</w:t>
      </w:r>
      <w:r>
        <w:rPr>
          <w:spacing w:val="-5"/>
        </w:rPr>
        <w:t>手动拉链</w:t>
      </w:r>
      <w:r>
        <w:rPr>
          <w:spacing w:val="-3"/>
        </w:rPr>
        <w:t>）</w:t>
      </w:r>
      <w:r>
        <w:rPr>
          <w:spacing w:val="-7"/>
        </w:rPr>
        <w:t>应灵活、可靠，安装位置应便于操作。使用手动操</w:t>
      </w:r>
      <w:r>
        <w:rPr>
          <w:spacing w:val="-7"/>
        </w:rPr>
        <w:t xml:space="preserve"> </w:t>
      </w:r>
      <w:r>
        <w:rPr>
          <w:spacing w:val="-7"/>
        </w:rPr>
        <w:t>作装</w:t>
      </w:r>
      <w:r>
        <w:rPr>
          <w:spacing w:val="-5"/>
        </w:rPr>
        <w:t>置</w:t>
      </w:r>
      <w:r>
        <w:rPr>
          <w:spacing w:val="-3"/>
        </w:rPr>
        <w:t>（</w:t>
      </w:r>
      <w:r>
        <w:rPr>
          <w:spacing w:val="-6"/>
        </w:rPr>
        <w:t>手动拉链</w:t>
      </w:r>
      <w:r>
        <w:rPr>
          <w:spacing w:val="-8"/>
        </w:rPr>
        <w:t>）操作防火卷帘启、闭运行时，不应出现滑行撞击现象。</w:t>
      </w:r>
      <w:r>
        <w:t xml:space="preserve"> </w:t>
      </w:r>
    </w:p>
    <w:p w14:paraId="27459377" w14:textId="77777777" w:rsidR="00A71EEF" w:rsidRDefault="0081115D">
      <w:pPr>
        <w:pStyle w:val="a3"/>
        <w:spacing w:before="34"/>
        <w:ind w:left="826"/>
      </w:pPr>
      <w:r>
        <w:t>检查数量：全数检查。</w:t>
      </w:r>
      <w:r>
        <w:t xml:space="preserve">  </w:t>
      </w:r>
    </w:p>
    <w:p w14:paraId="3337085C" w14:textId="77777777" w:rsidR="00A71EEF" w:rsidRDefault="00A71EEF">
      <w:pPr>
        <w:pStyle w:val="a3"/>
        <w:spacing w:before="10"/>
        <w:rPr>
          <w:sz w:val="20"/>
        </w:rPr>
      </w:pPr>
    </w:p>
    <w:p w14:paraId="614879E0" w14:textId="77777777" w:rsidR="00A71EEF" w:rsidRDefault="0081115D">
      <w:pPr>
        <w:pStyle w:val="a3"/>
        <w:ind w:left="826"/>
      </w:pPr>
      <w:r>
        <w:t>检查方法：直观检查，拉动手动拉链，观察防火卷帘动作、运行情况。</w:t>
      </w:r>
      <w:r>
        <w:t xml:space="preserve"> </w:t>
      </w:r>
    </w:p>
    <w:p w14:paraId="34787904" w14:textId="77777777" w:rsidR="00A71EEF" w:rsidRDefault="00A71EEF">
      <w:pPr>
        <w:pStyle w:val="a3"/>
        <w:spacing w:before="8"/>
        <w:rPr>
          <w:sz w:val="19"/>
        </w:rPr>
      </w:pPr>
    </w:p>
    <w:p w14:paraId="0CC764D9" w14:textId="77777777" w:rsidR="00A71EEF" w:rsidRDefault="0081115D">
      <w:pPr>
        <w:pStyle w:val="a3"/>
        <w:spacing w:line="446" w:lineRule="auto"/>
        <w:ind w:left="418" w:right="1608" w:firstLine="419"/>
      </w:pPr>
      <w:r>
        <w:rPr>
          <w:spacing w:val="-8"/>
        </w:rPr>
        <w:t>卷门机应具有电动启闭和依靠防火卷帘自重恒速下降</w:t>
      </w:r>
      <w:r>
        <w:rPr>
          <w:spacing w:val="-3"/>
        </w:rPr>
        <w:t>（</w:t>
      </w:r>
      <w:r>
        <w:rPr>
          <w:spacing w:val="-6"/>
        </w:rPr>
        <w:t>手动速放</w:t>
      </w:r>
      <w:r>
        <w:rPr>
          <w:spacing w:val="-8"/>
        </w:rPr>
        <w:t>）</w:t>
      </w:r>
      <w:r>
        <w:rPr>
          <w:spacing w:val="-1"/>
        </w:rPr>
        <w:t>的功能。启动防火</w:t>
      </w:r>
      <w:r>
        <w:rPr>
          <w:spacing w:val="-1"/>
        </w:rPr>
        <w:t xml:space="preserve"> </w:t>
      </w:r>
      <w:r>
        <w:rPr>
          <w:spacing w:val="-1"/>
        </w:rPr>
        <w:t>卷帘</w:t>
      </w:r>
      <w:r>
        <w:rPr>
          <w:spacing w:val="-6"/>
        </w:rPr>
        <w:t>自重下降</w:t>
      </w:r>
      <w:r>
        <w:rPr>
          <w:spacing w:val="-5"/>
        </w:rPr>
        <w:t>（手动速放</w:t>
      </w:r>
      <w:r>
        <w:rPr>
          <w:spacing w:val="-3"/>
        </w:rPr>
        <w:t>）</w:t>
      </w:r>
      <w:r>
        <w:rPr>
          <w:spacing w:val="-5"/>
        </w:rPr>
        <w:t>的臂力不应大于</w:t>
      </w:r>
      <w:r>
        <w:rPr>
          <w:spacing w:val="-3"/>
        </w:rPr>
        <w:t>70N</w:t>
      </w:r>
      <w:r>
        <w:rPr>
          <w:spacing w:val="-3"/>
        </w:rPr>
        <w:t>。</w:t>
      </w:r>
      <w:r>
        <w:t xml:space="preserve"> </w:t>
      </w:r>
    </w:p>
    <w:p w14:paraId="58749CDE" w14:textId="77777777" w:rsidR="00A71EEF" w:rsidRDefault="0081115D">
      <w:pPr>
        <w:pStyle w:val="a3"/>
        <w:spacing w:before="32"/>
        <w:ind w:left="826"/>
      </w:pPr>
      <w:r>
        <w:t>检查数量：全数检查。</w:t>
      </w:r>
      <w:r>
        <w:t xml:space="preserve">  </w:t>
      </w:r>
    </w:p>
    <w:p w14:paraId="0CB2C7CB" w14:textId="77777777" w:rsidR="00A71EEF" w:rsidRDefault="00A71EEF">
      <w:pPr>
        <w:pStyle w:val="a3"/>
        <w:spacing w:before="7"/>
        <w:rPr>
          <w:sz w:val="20"/>
        </w:rPr>
      </w:pPr>
    </w:p>
    <w:p w14:paraId="41A773BD" w14:textId="77777777" w:rsidR="00A71EEF" w:rsidRDefault="0081115D">
      <w:pPr>
        <w:pStyle w:val="a3"/>
        <w:spacing w:line="446" w:lineRule="auto"/>
        <w:ind w:left="418" w:right="1658" w:firstLine="407"/>
      </w:pPr>
      <w:r>
        <w:rPr>
          <w:spacing w:val="-8"/>
        </w:rPr>
        <w:t>检查方法：手动试验，拉动手动速放装置，观察防火卷帘动作情况，用弹簧测力计或砝码测量其启动下降臂力。</w:t>
      </w:r>
      <w:r>
        <w:t xml:space="preserve"> </w:t>
      </w:r>
    </w:p>
    <w:p w14:paraId="500FEDF4" w14:textId="77777777" w:rsidR="00A71EEF" w:rsidRDefault="00A71EEF">
      <w:pPr>
        <w:spacing w:line="446" w:lineRule="auto"/>
        <w:sectPr w:rsidR="00A71EEF">
          <w:pgSz w:w="11910" w:h="16850"/>
          <w:pgMar w:top="1220" w:right="0" w:bottom="1420" w:left="1260" w:header="0" w:footer="1239" w:gutter="0"/>
          <w:cols w:space="720"/>
        </w:sectPr>
      </w:pPr>
    </w:p>
    <w:p w14:paraId="0E2890BF" w14:textId="77777777" w:rsidR="00A71EEF" w:rsidRDefault="0081115D">
      <w:pPr>
        <w:pStyle w:val="a3"/>
        <w:spacing w:before="45" w:line="448" w:lineRule="auto"/>
        <w:ind w:left="418" w:right="1608" w:firstLine="419"/>
      </w:pPr>
      <w:r>
        <w:rPr>
          <w:spacing w:val="-7"/>
        </w:rPr>
        <w:t>卷门机应设有自动限位装置，当防火卷帘启、闭至上、下限位时，应自动停止，其重</w:t>
      </w:r>
      <w:r>
        <w:rPr>
          <w:spacing w:val="-7"/>
        </w:rPr>
        <w:t xml:space="preserve"> </w:t>
      </w:r>
      <w:r>
        <w:rPr>
          <w:spacing w:val="-7"/>
        </w:rPr>
        <w:t>复定位误差应小</w:t>
      </w:r>
      <w:r>
        <w:t>20mm</w:t>
      </w:r>
      <w:r>
        <w:rPr>
          <w:spacing w:val="-3"/>
        </w:rPr>
        <w:t>。</w:t>
      </w:r>
      <w:r>
        <w:t xml:space="preserve"> </w:t>
      </w:r>
    </w:p>
    <w:p w14:paraId="4545A077" w14:textId="77777777" w:rsidR="00A71EEF" w:rsidRDefault="0081115D">
      <w:pPr>
        <w:pStyle w:val="a3"/>
        <w:spacing w:before="4"/>
        <w:ind w:left="826"/>
      </w:pPr>
      <w:r>
        <w:t>检查数量：全数检查。</w:t>
      </w:r>
      <w:r>
        <w:t xml:space="preserve">  </w:t>
      </w:r>
    </w:p>
    <w:p w14:paraId="1B29CE19" w14:textId="77777777" w:rsidR="00A71EEF" w:rsidRDefault="00A71EEF">
      <w:pPr>
        <w:pStyle w:val="a3"/>
        <w:spacing w:before="1"/>
        <w:rPr>
          <w:sz w:val="19"/>
        </w:rPr>
      </w:pPr>
    </w:p>
    <w:p w14:paraId="2DD458E5" w14:textId="77777777" w:rsidR="00A71EEF" w:rsidRDefault="0081115D">
      <w:pPr>
        <w:pStyle w:val="a3"/>
        <w:spacing w:before="1" w:line="465" w:lineRule="auto"/>
        <w:ind w:left="840" w:right="2040" w:hanging="15"/>
      </w:pPr>
      <w:r>
        <w:rPr>
          <w:spacing w:val="-8"/>
        </w:rPr>
        <w:t>检查方法：启动卷门机，运行一定时间后，关闭卷门机，用直尺测量重复定位误差。</w:t>
      </w:r>
      <w:r>
        <w:rPr>
          <w:b/>
        </w:rPr>
        <w:t>6.2.3</w:t>
      </w:r>
      <w:r>
        <w:rPr>
          <w:b/>
          <w:spacing w:val="98"/>
        </w:rPr>
        <w:t xml:space="preserve"> </w:t>
      </w:r>
      <w:r>
        <w:rPr>
          <w:spacing w:val="-8"/>
        </w:rPr>
        <w:t>防火卷帘运行功能的调试应符合下列规定：</w:t>
      </w:r>
      <w:r>
        <w:t xml:space="preserve"> </w:t>
      </w:r>
    </w:p>
    <w:p w14:paraId="46630B6E" w14:textId="77777777" w:rsidR="00A71EEF" w:rsidRDefault="0081115D">
      <w:pPr>
        <w:pStyle w:val="a3"/>
        <w:spacing w:before="28" w:line="446" w:lineRule="auto"/>
        <w:ind w:left="418" w:right="1608" w:firstLine="419"/>
      </w:pPr>
      <w:r>
        <w:rPr>
          <w:spacing w:val="-7"/>
        </w:rPr>
        <w:t>防火卷帘装配完成后，帘面在导轨内运行应平稳，不应有脱轨和明显的倾斜现象。双</w:t>
      </w:r>
      <w:r>
        <w:rPr>
          <w:spacing w:val="-7"/>
        </w:rPr>
        <w:t xml:space="preserve"> </w:t>
      </w:r>
      <w:r>
        <w:rPr>
          <w:spacing w:val="-7"/>
        </w:rPr>
        <w:t>帘面</w:t>
      </w:r>
      <w:r>
        <w:rPr>
          <w:spacing w:val="-8"/>
        </w:rPr>
        <w:t>卷帘的两个帘面应同时升降，两个帘面之间的高度差不应大于</w:t>
      </w:r>
      <w:r>
        <w:rPr>
          <w:spacing w:val="-3"/>
        </w:rPr>
        <w:t>50mm</w:t>
      </w:r>
      <w:r>
        <w:rPr>
          <w:spacing w:val="-3"/>
        </w:rPr>
        <w:t>。</w:t>
      </w:r>
      <w:r>
        <w:t xml:space="preserve"> </w:t>
      </w:r>
    </w:p>
    <w:p w14:paraId="60BA4450" w14:textId="77777777" w:rsidR="00A71EEF" w:rsidRDefault="0081115D">
      <w:pPr>
        <w:pStyle w:val="a3"/>
        <w:spacing w:before="13"/>
        <w:ind w:left="826"/>
      </w:pPr>
      <w:r>
        <w:t>检查数量：全数检查。</w:t>
      </w:r>
      <w:r>
        <w:t xml:space="preserve"> </w:t>
      </w:r>
    </w:p>
    <w:p w14:paraId="64DBAA98" w14:textId="77777777" w:rsidR="00A71EEF" w:rsidRDefault="00A71EEF">
      <w:pPr>
        <w:pStyle w:val="a3"/>
        <w:spacing w:before="1"/>
        <w:rPr>
          <w:sz w:val="19"/>
        </w:rPr>
      </w:pPr>
    </w:p>
    <w:p w14:paraId="5A2C7AE2" w14:textId="77777777" w:rsidR="00A71EEF" w:rsidRDefault="0081115D">
      <w:pPr>
        <w:pStyle w:val="a3"/>
        <w:spacing w:line="465" w:lineRule="auto"/>
        <w:ind w:left="838" w:right="2744" w:hanging="12"/>
      </w:pPr>
      <w:r>
        <w:rPr>
          <w:spacing w:val="-8"/>
        </w:rPr>
        <w:t>检查方法：手动检查；用钢卷尺测量双帘面卷帘的两个帘面之间的高度差。</w:t>
      </w:r>
      <w:r>
        <w:rPr>
          <w:spacing w:val="-8"/>
        </w:rPr>
        <w:t xml:space="preserve"> </w:t>
      </w:r>
      <w:r>
        <w:rPr>
          <w:spacing w:val="-8"/>
        </w:rPr>
        <w:t>防火卷帘电</w:t>
      </w:r>
      <w:r>
        <w:rPr>
          <w:spacing w:val="-8"/>
        </w:rPr>
        <w:t>动启、闭的运行速度应为</w:t>
      </w:r>
      <w:r>
        <w:t>2</w:t>
      </w:r>
      <w:r>
        <w:t>～</w:t>
      </w:r>
      <w:r>
        <w:t>7.5m/min</w:t>
      </w:r>
      <w:r>
        <w:t>，</w:t>
      </w:r>
      <w:r>
        <w:rPr>
          <w:spacing w:val="-6"/>
        </w:rPr>
        <w:t>其自重下降速度不应大于</w:t>
      </w:r>
      <w:r>
        <w:rPr>
          <w:spacing w:val="-6"/>
        </w:rPr>
        <w:t xml:space="preserve"> </w:t>
      </w:r>
    </w:p>
    <w:p w14:paraId="77731EFE" w14:textId="77777777" w:rsidR="00A71EEF" w:rsidRDefault="0081115D">
      <w:pPr>
        <w:pStyle w:val="a3"/>
        <w:spacing w:line="250" w:lineRule="exact"/>
        <w:ind w:left="418"/>
      </w:pPr>
      <w:r>
        <w:t>9.5m/min</w:t>
      </w:r>
      <w:r>
        <w:t>。</w:t>
      </w:r>
      <w:r>
        <w:t xml:space="preserve"> </w:t>
      </w:r>
    </w:p>
    <w:p w14:paraId="1678EFE3" w14:textId="77777777" w:rsidR="00A71EEF" w:rsidRDefault="00A71EEF">
      <w:pPr>
        <w:pStyle w:val="a3"/>
        <w:spacing w:before="5"/>
        <w:rPr>
          <w:sz w:val="20"/>
        </w:rPr>
      </w:pPr>
    </w:p>
    <w:p w14:paraId="38978373" w14:textId="77777777" w:rsidR="00A71EEF" w:rsidRDefault="0081115D">
      <w:pPr>
        <w:pStyle w:val="a3"/>
        <w:ind w:left="826"/>
      </w:pPr>
      <w:r>
        <w:t>检查数量：全数检查。</w:t>
      </w:r>
      <w:r>
        <w:t xml:space="preserve">  </w:t>
      </w:r>
    </w:p>
    <w:p w14:paraId="279A9E28" w14:textId="77777777" w:rsidR="00A71EEF" w:rsidRDefault="00A71EEF">
      <w:pPr>
        <w:pStyle w:val="a3"/>
        <w:spacing w:before="7"/>
        <w:rPr>
          <w:sz w:val="20"/>
        </w:rPr>
      </w:pPr>
    </w:p>
    <w:p w14:paraId="71B23407" w14:textId="77777777" w:rsidR="00A71EEF" w:rsidRDefault="0081115D">
      <w:pPr>
        <w:pStyle w:val="a3"/>
        <w:spacing w:before="1"/>
        <w:ind w:left="826"/>
      </w:pPr>
      <w:r>
        <w:t>检查方法：用秒表、钢卷尺测量。</w:t>
      </w:r>
      <w:r>
        <w:t xml:space="preserve"> </w:t>
      </w:r>
    </w:p>
    <w:p w14:paraId="5C82E607" w14:textId="77777777" w:rsidR="00A71EEF" w:rsidRDefault="00A71EEF">
      <w:pPr>
        <w:pStyle w:val="a3"/>
        <w:spacing w:before="7"/>
        <w:rPr>
          <w:sz w:val="20"/>
        </w:rPr>
      </w:pPr>
    </w:p>
    <w:p w14:paraId="24BF938E" w14:textId="77777777" w:rsidR="00A71EEF" w:rsidRDefault="0081115D">
      <w:pPr>
        <w:pStyle w:val="a3"/>
        <w:ind w:left="826"/>
      </w:pPr>
      <w:r>
        <w:t>防火卷帘启、闭运行的平均噪声不应大于</w:t>
      </w:r>
      <w:r>
        <w:t xml:space="preserve"> 85dB</w:t>
      </w:r>
      <w:r>
        <w:t>。</w:t>
      </w:r>
      <w:r>
        <w:t xml:space="preserve"> </w:t>
      </w:r>
      <w:r>
        <w:t>检查数量：全数检查。</w:t>
      </w:r>
      <w:r>
        <w:t xml:space="preserve"> </w:t>
      </w:r>
    </w:p>
    <w:p w14:paraId="648C6F79" w14:textId="77777777" w:rsidR="00A71EEF" w:rsidRDefault="00A71EEF">
      <w:pPr>
        <w:pStyle w:val="a3"/>
        <w:spacing w:before="8"/>
        <w:rPr>
          <w:sz w:val="20"/>
        </w:rPr>
      </w:pPr>
    </w:p>
    <w:p w14:paraId="7A9D5A55" w14:textId="77777777" w:rsidR="00A71EEF" w:rsidRDefault="0081115D">
      <w:pPr>
        <w:pStyle w:val="a3"/>
        <w:spacing w:line="446" w:lineRule="auto"/>
        <w:ind w:left="418" w:right="1618" w:firstLine="407"/>
      </w:pPr>
      <w:r>
        <w:rPr>
          <w:spacing w:val="-11"/>
        </w:rPr>
        <w:t>检查方法：在防火卷帘运行中，用声级计在距卷帘表面的垂直距离</w:t>
      </w:r>
      <w:r>
        <w:rPr>
          <w:spacing w:val="-3"/>
        </w:rPr>
        <w:t>1m</w:t>
      </w:r>
      <w:r>
        <w:rPr>
          <w:spacing w:val="-7"/>
        </w:rPr>
        <w:t>、距地面的垂直距</w:t>
      </w:r>
      <w:r>
        <w:rPr>
          <w:spacing w:val="-7"/>
        </w:rPr>
        <w:t xml:space="preserve"> </w:t>
      </w:r>
      <w:r>
        <w:rPr>
          <w:spacing w:val="-7"/>
        </w:rPr>
        <w:t>离</w:t>
      </w:r>
      <w:r>
        <w:t>1.5m</w:t>
      </w:r>
      <w:r>
        <w:rPr>
          <w:spacing w:val="-8"/>
        </w:rPr>
        <w:t xml:space="preserve"> </w:t>
      </w:r>
      <w:r>
        <w:rPr>
          <w:spacing w:val="-8"/>
        </w:rPr>
        <w:t>处，水平测量三次，取其平均值。</w:t>
      </w:r>
      <w:r>
        <w:t xml:space="preserve"> </w:t>
      </w:r>
    </w:p>
    <w:p w14:paraId="019F65DF" w14:textId="77777777" w:rsidR="00A71EEF" w:rsidRDefault="0081115D">
      <w:pPr>
        <w:pStyle w:val="a3"/>
        <w:spacing w:before="14" w:line="446" w:lineRule="auto"/>
        <w:ind w:left="418" w:right="1616" w:firstLine="419"/>
      </w:pPr>
      <w:r>
        <w:rPr>
          <w:spacing w:val="-8"/>
        </w:rPr>
        <w:t>安装在防火卷帘上的温控释放装置动作后，防火卷帘应自动下降至全闭。</w:t>
      </w:r>
      <w:r>
        <w:rPr>
          <w:spacing w:val="-8"/>
        </w:rPr>
        <w:t xml:space="preserve"> </w:t>
      </w:r>
      <w:r>
        <w:rPr>
          <w:spacing w:val="-8"/>
        </w:rPr>
        <w:t>检查数量：同一工程同类温控释放装置抽检</w:t>
      </w:r>
      <w:r>
        <w:t>1</w:t>
      </w:r>
      <w:r>
        <w:t>～</w:t>
      </w:r>
      <w:r>
        <w:t>2</w:t>
      </w:r>
      <w:r>
        <w:rPr>
          <w:spacing w:val="-8"/>
        </w:rPr>
        <w:t xml:space="preserve"> </w:t>
      </w:r>
      <w:r>
        <w:rPr>
          <w:spacing w:val="-8"/>
        </w:rPr>
        <w:t>个。</w:t>
      </w:r>
      <w:r>
        <w:rPr>
          <w:spacing w:val="-8"/>
        </w:rPr>
        <w:t xml:space="preserve"> </w:t>
      </w:r>
      <w:r>
        <w:rPr>
          <w:spacing w:val="-8"/>
        </w:rPr>
        <w:t>检查方法：防火卷帘安装并调试完毕后，切断电源，加热温控释放装置，使其感温元件动作</w:t>
      </w:r>
      <w:r>
        <w:rPr>
          <w:spacing w:val="-25"/>
        </w:rPr>
        <w:t>，观察防火卷帘动作情况。试验前，应准备备用的温控释放装</w:t>
      </w:r>
      <w:r>
        <w:rPr>
          <w:spacing w:val="-28"/>
        </w:rPr>
        <w:t>置，试验后，应重新安装。</w:t>
      </w:r>
      <w:r>
        <w:rPr>
          <w:spacing w:val="-28"/>
        </w:rPr>
        <w:t xml:space="preserve"> </w:t>
      </w:r>
    </w:p>
    <w:p w14:paraId="5B13BA35" w14:textId="77777777" w:rsidR="00A71EEF" w:rsidRDefault="0081115D">
      <w:pPr>
        <w:pStyle w:val="a4"/>
        <w:numPr>
          <w:ilvl w:val="1"/>
          <w:numId w:val="134"/>
        </w:numPr>
        <w:tabs>
          <w:tab w:val="left" w:pos="1159"/>
        </w:tabs>
        <w:spacing w:before="1"/>
        <w:ind w:hanging="319"/>
        <w:rPr>
          <w:b/>
          <w:sz w:val="21"/>
        </w:rPr>
      </w:pPr>
      <w:r>
        <w:rPr>
          <w:spacing w:val="-3"/>
          <w:sz w:val="21"/>
        </w:rPr>
        <w:t>防火门调试</w:t>
      </w:r>
      <w:r>
        <w:rPr>
          <w:b/>
          <w:w w:val="99"/>
          <w:sz w:val="21"/>
        </w:rPr>
        <w:t xml:space="preserve"> </w:t>
      </w:r>
    </w:p>
    <w:p w14:paraId="1EDB64D0" w14:textId="77777777" w:rsidR="00A71EEF" w:rsidRDefault="00A71EEF">
      <w:pPr>
        <w:pStyle w:val="a3"/>
        <w:spacing w:before="1"/>
        <w:rPr>
          <w:b/>
          <w:sz w:val="18"/>
        </w:rPr>
      </w:pPr>
    </w:p>
    <w:p w14:paraId="61B75188" w14:textId="77777777" w:rsidR="00A71EEF" w:rsidRDefault="0081115D">
      <w:pPr>
        <w:pStyle w:val="a4"/>
        <w:numPr>
          <w:ilvl w:val="2"/>
          <w:numId w:val="134"/>
        </w:numPr>
        <w:tabs>
          <w:tab w:val="left" w:pos="1370"/>
        </w:tabs>
        <w:spacing w:line="446" w:lineRule="auto"/>
        <w:ind w:right="1911" w:firstLine="422"/>
        <w:rPr>
          <w:sz w:val="21"/>
        </w:rPr>
      </w:pPr>
      <w:r>
        <w:rPr>
          <w:spacing w:val="-8"/>
          <w:sz w:val="21"/>
        </w:rPr>
        <w:t>常闭防火门，从门的任意一侧手动开启，应自动关闭。当装有信号反馈装置时，</w:t>
      </w:r>
      <w:r>
        <w:rPr>
          <w:spacing w:val="-8"/>
          <w:sz w:val="21"/>
        </w:rPr>
        <w:t xml:space="preserve"> </w:t>
      </w:r>
      <w:r>
        <w:rPr>
          <w:spacing w:val="-8"/>
          <w:sz w:val="21"/>
        </w:rPr>
        <w:t>开、</w:t>
      </w:r>
      <w:r>
        <w:rPr>
          <w:spacing w:val="-8"/>
          <w:sz w:val="21"/>
        </w:rPr>
        <w:t xml:space="preserve"> </w:t>
      </w:r>
      <w:r>
        <w:rPr>
          <w:spacing w:val="-8"/>
          <w:sz w:val="21"/>
        </w:rPr>
        <w:t>关状态信号应反馈到消防控制室。</w:t>
      </w:r>
      <w:r>
        <w:rPr>
          <w:sz w:val="21"/>
        </w:rPr>
        <w:t xml:space="preserve"> </w:t>
      </w:r>
    </w:p>
    <w:p w14:paraId="50BFC3AB" w14:textId="77777777" w:rsidR="00A71EEF" w:rsidRDefault="0081115D">
      <w:pPr>
        <w:pStyle w:val="a3"/>
        <w:spacing w:before="32" w:line="477" w:lineRule="auto"/>
        <w:ind w:left="826" w:right="7641"/>
      </w:pPr>
      <w:r>
        <w:t>检查数量：全数检查。检查方法：手动试验。</w:t>
      </w:r>
      <w:r>
        <w:t xml:space="preserve"> </w:t>
      </w:r>
    </w:p>
    <w:p w14:paraId="67C25B39" w14:textId="77777777" w:rsidR="00A71EEF" w:rsidRDefault="0081115D">
      <w:pPr>
        <w:pStyle w:val="a4"/>
        <w:numPr>
          <w:ilvl w:val="2"/>
          <w:numId w:val="134"/>
        </w:numPr>
        <w:tabs>
          <w:tab w:val="left" w:pos="1371"/>
        </w:tabs>
        <w:spacing w:line="255" w:lineRule="exact"/>
        <w:ind w:left="1370" w:hanging="531"/>
        <w:rPr>
          <w:sz w:val="21"/>
        </w:rPr>
      </w:pPr>
      <w:r>
        <w:rPr>
          <w:spacing w:val="-8"/>
          <w:sz w:val="21"/>
        </w:rPr>
        <w:t>常开防火门，其任意一侧的火灾探测器报警后，应自动关闭，并应将</w:t>
      </w:r>
      <w:r>
        <w:rPr>
          <w:spacing w:val="-8"/>
          <w:sz w:val="21"/>
        </w:rPr>
        <w:t>关闭信号反馈</w:t>
      </w:r>
    </w:p>
    <w:p w14:paraId="26328D53" w14:textId="77777777" w:rsidR="00A71EEF" w:rsidRDefault="00A71EEF">
      <w:pPr>
        <w:pStyle w:val="a3"/>
        <w:spacing w:before="1"/>
        <w:rPr>
          <w:sz w:val="18"/>
        </w:rPr>
      </w:pPr>
    </w:p>
    <w:p w14:paraId="7C64670A" w14:textId="77777777" w:rsidR="00A71EEF" w:rsidRDefault="0081115D">
      <w:pPr>
        <w:pStyle w:val="a3"/>
        <w:ind w:left="418"/>
      </w:pPr>
      <w:r>
        <w:t>至</w:t>
      </w:r>
      <w:r>
        <w:t xml:space="preserve"> </w:t>
      </w:r>
      <w:r>
        <w:t>消防控制室。</w:t>
      </w:r>
      <w:r>
        <w:t xml:space="preserve"> </w:t>
      </w:r>
    </w:p>
    <w:p w14:paraId="32D1EC2F" w14:textId="77777777" w:rsidR="00A71EEF" w:rsidRDefault="00A71EEF">
      <w:pPr>
        <w:sectPr w:rsidR="00A71EEF">
          <w:pgSz w:w="11910" w:h="16850"/>
          <w:pgMar w:top="1220" w:right="0" w:bottom="1420" w:left="1260" w:header="0" w:footer="1239" w:gutter="0"/>
          <w:cols w:space="720"/>
        </w:sectPr>
      </w:pPr>
    </w:p>
    <w:p w14:paraId="3A5EA329" w14:textId="77777777" w:rsidR="00A71EEF" w:rsidRDefault="0081115D">
      <w:pPr>
        <w:pStyle w:val="a3"/>
        <w:spacing w:before="45"/>
        <w:ind w:left="826"/>
      </w:pPr>
      <w:r>
        <w:t>检查数量：全数检查。</w:t>
      </w:r>
      <w:r>
        <w:t xml:space="preserve">  </w:t>
      </w:r>
    </w:p>
    <w:p w14:paraId="5BA63ECC" w14:textId="77777777" w:rsidR="00A71EEF" w:rsidRDefault="00A71EEF">
      <w:pPr>
        <w:pStyle w:val="a3"/>
        <w:spacing w:before="10"/>
        <w:rPr>
          <w:sz w:val="20"/>
        </w:rPr>
      </w:pPr>
    </w:p>
    <w:p w14:paraId="13C40F53" w14:textId="77777777" w:rsidR="00A71EEF" w:rsidRDefault="0081115D">
      <w:pPr>
        <w:pStyle w:val="a3"/>
        <w:spacing w:line="465" w:lineRule="auto"/>
        <w:ind w:left="838" w:right="1836" w:hanging="12"/>
      </w:pPr>
      <w:r>
        <w:rPr>
          <w:spacing w:val="-8"/>
        </w:rPr>
        <w:t>检查方法：用专用测试工具，使常开防火门一侧的火灾探测器发出模拟火灾报警信号，</w:t>
      </w:r>
      <w:r>
        <w:rPr>
          <w:spacing w:val="-8"/>
        </w:rPr>
        <w:t xml:space="preserve"> </w:t>
      </w:r>
      <w:r>
        <w:rPr>
          <w:spacing w:val="-8"/>
        </w:rPr>
        <w:t>观察防火门动作情况及消防控制室信号显示情况。</w:t>
      </w:r>
      <w:r>
        <w:rPr>
          <w:spacing w:val="-55"/>
        </w:rPr>
        <w:t xml:space="preserve"> </w:t>
      </w:r>
      <w:hyperlink r:id="rId464" w:anchor="631">
        <w:r>
          <w:rPr>
            <w:emboss/>
            <w:color w:val="DDD9C3"/>
            <w:u w:val="single" w:color="DDD9C3"/>
          </w:rPr>
          <w:t xml:space="preserve"> </w:t>
        </w:r>
      </w:hyperlink>
      <w:r>
        <w:t xml:space="preserve"> </w:t>
      </w:r>
    </w:p>
    <w:p w14:paraId="638C9640" w14:textId="77777777" w:rsidR="00A71EEF" w:rsidRDefault="0081115D">
      <w:pPr>
        <w:pStyle w:val="a4"/>
        <w:numPr>
          <w:ilvl w:val="2"/>
          <w:numId w:val="134"/>
        </w:numPr>
        <w:tabs>
          <w:tab w:val="left" w:pos="1371"/>
        </w:tabs>
        <w:spacing w:before="41" w:line="446" w:lineRule="auto"/>
        <w:ind w:right="1601" w:firstLine="422"/>
        <w:rPr>
          <w:sz w:val="21"/>
        </w:rPr>
      </w:pPr>
      <w:r>
        <w:rPr>
          <w:spacing w:val="-8"/>
          <w:sz w:val="21"/>
        </w:rPr>
        <w:t>常开防火门，接到消防控制室手动发出的关闭指令后，应自动关闭，并应将关闭信号</w:t>
      </w:r>
      <w:r>
        <w:rPr>
          <w:spacing w:val="-5"/>
          <w:sz w:val="21"/>
        </w:rPr>
        <w:t>反馈至消防控制室。</w:t>
      </w:r>
      <w:r>
        <w:rPr>
          <w:spacing w:val="-5"/>
          <w:sz w:val="21"/>
        </w:rPr>
        <w:t xml:space="preserve"> </w:t>
      </w:r>
    </w:p>
    <w:p w14:paraId="236D10CF" w14:textId="77777777" w:rsidR="00A71EEF" w:rsidRDefault="0081115D">
      <w:pPr>
        <w:pStyle w:val="a3"/>
        <w:spacing w:before="29"/>
        <w:ind w:left="826"/>
      </w:pPr>
      <w:r>
        <w:t>检查数量：全数检查。</w:t>
      </w:r>
      <w:r>
        <w:t xml:space="preserve">  </w:t>
      </w:r>
    </w:p>
    <w:p w14:paraId="2A2A9CD5" w14:textId="77777777" w:rsidR="00A71EEF" w:rsidRDefault="00A71EEF">
      <w:pPr>
        <w:pStyle w:val="a3"/>
        <w:spacing w:before="3"/>
        <w:rPr>
          <w:sz w:val="23"/>
        </w:rPr>
      </w:pPr>
    </w:p>
    <w:p w14:paraId="3FCF63BB" w14:textId="77777777" w:rsidR="00A71EEF" w:rsidRDefault="0081115D">
      <w:pPr>
        <w:pStyle w:val="a3"/>
        <w:tabs>
          <w:tab w:val="left" w:pos="1677"/>
        </w:tabs>
        <w:spacing w:line="446" w:lineRule="auto"/>
        <w:ind w:left="418" w:right="1609" w:firstLine="419"/>
      </w:pPr>
      <w:r>
        <w:t>检查</w:t>
      </w:r>
      <w:r>
        <w:rPr>
          <w:spacing w:val="-3"/>
        </w:rPr>
        <w:t>方</w:t>
      </w:r>
      <w:r>
        <w:t>法</w:t>
      </w:r>
      <w:r>
        <w:rPr>
          <w:spacing w:val="-3"/>
        </w:rPr>
        <w:t>：</w:t>
      </w:r>
      <w:r>
        <w:t>在</w:t>
      </w:r>
      <w:r>
        <w:rPr>
          <w:spacing w:val="-3"/>
        </w:rPr>
        <w:t>消</w:t>
      </w:r>
      <w:r>
        <w:t>防</w:t>
      </w:r>
      <w:r>
        <w:rPr>
          <w:spacing w:val="-3"/>
        </w:rPr>
        <w:t>控</w:t>
      </w:r>
      <w:r>
        <w:t>制</w:t>
      </w:r>
      <w:r>
        <w:rPr>
          <w:spacing w:val="-3"/>
        </w:rPr>
        <w:t>室</w:t>
      </w:r>
      <w:r>
        <w:t>启动</w:t>
      </w:r>
      <w:r>
        <w:rPr>
          <w:spacing w:val="-3"/>
        </w:rPr>
        <w:t>防</w:t>
      </w:r>
      <w:r>
        <w:t>火</w:t>
      </w:r>
      <w:r>
        <w:rPr>
          <w:spacing w:val="-3"/>
        </w:rPr>
        <w:t>门</w:t>
      </w:r>
      <w:r>
        <w:t>关</w:t>
      </w:r>
      <w:r>
        <w:rPr>
          <w:spacing w:val="-3"/>
        </w:rPr>
        <w:t>闭</w:t>
      </w:r>
      <w:r>
        <w:t>功</w:t>
      </w:r>
      <w:r>
        <w:rPr>
          <w:spacing w:val="-3"/>
        </w:rPr>
        <w:t>能</w:t>
      </w:r>
      <w:r>
        <w:t>，</w:t>
      </w:r>
      <w:r>
        <w:rPr>
          <w:spacing w:val="-3"/>
        </w:rPr>
        <w:t>观</w:t>
      </w:r>
      <w:r>
        <w:t>察防</w:t>
      </w:r>
      <w:r>
        <w:rPr>
          <w:spacing w:val="-3"/>
        </w:rPr>
        <w:t>火</w:t>
      </w:r>
      <w:r>
        <w:t>门</w:t>
      </w:r>
      <w:r>
        <w:rPr>
          <w:spacing w:val="-3"/>
        </w:rPr>
        <w:t>动</w:t>
      </w:r>
      <w:r>
        <w:t>作</w:t>
      </w:r>
      <w:r>
        <w:rPr>
          <w:spacing w:val="-3"/>
        </w:rPr>
        <w:t>情</w:t>
      </w:r>
      <w:r>
        <w:t>况</w:t>
      </w:r>
      <w:r>
        <w:rPr>
          <w:spacing w:val="-3"/>
        </w:rPr>
        <w:t>及</w:t>
      </w:r>
      <w:r>
        <w:t>消</w:t>
      </w:r>
      <w:r>
        <w:rPr>
          <w:spacing w:val="-3"/>
        </w:rPr>
        <w:t>防</w:t>
      </w:r>
      <w:r>
        <w:t>控制</w:t>
      </w:r>
      <w:r>
        <w:rPr>
          <w:spacing w:val="-3"/>
        </w:rPr>
        <w:t>室</w:t>
      </w:r>
      <w:r>
        <w:t>信</w:t>
      </w:r>
      <w:r>
        <w:rPr>
          <w:spacing w:val="-3"/>
        </w:rPr>
        <w:t>号</w:t>
      </w:r>
      <w:r>
        <w:t>显示情</w:t>
      </w:r>
      <w:r>
        <w:rPr>
          <w:spacing w:val="-3"/>
        </w:rPr>
        <w:t>况。</w:t>
      </w:r>
      <w:r>
        <w:t xml:space="preserve"> </w:t>
      </w:r>
      <w:r>
        <w:tab/>
      </w:r>
      <w:r>
        <w:t xml:space="preserve"> </w:t>
      </w:r>
    </w:p>
    <w:p w14:paraId="1231DA4C" w14:textId="77777777" w:rsidR="00A71EEF" w:rsidRDefault="0081115D">
      <w:pPr>
        <w:pStyle w:val="a4"/>
        <w:numPr>
          <w:ilvl w:val="2"/>
          <w:numId w:val="134"/>
        </w:numPr>
        <w:tabs>
          <w:tab w:val="left" w:pos="1371"/>
        </w:tabs>
        <w:spacing w:before="65" w:line="446" w:lineRule="auto"/>
        <w:ind w:right="1601" w:firstLine="422"/>
        <w:rPr>
          <w:sz w:val="21"/>
        </w:rPr>
      </w:pPr>
      <w:r>
        <w:rPr>
          <w:spacing w:val="-8"/>
          <w:sz w:val="21"/>
        </w:rPr>
        <w:t>常开防火门，接到现场手动发出的关闭指令后，应自动关闭，并应将关闭信号反馈至</w:t>
      </w:r>
      <w:r>
        <w:rPr>
          <w:spacing w:val="-5"/>
          <w:sz w:val="21"/>
        </w:rPr>
        <w:t>消防控制室。</w:t>
      </w:r>
      <w:r>
        <w:rPr>
          <w:sz w:val="21"/>
        </w:rPr>
        <w:t xml:space="preserve"> </w:t>
      </w:r>
    </w:p>
    <w:p w14:paraId="1D905587" w14:textId="77777777" w:rsidR="00A71EEF" w:rsidRDefault="0081115D">
      <w:pPr>
        <w:pStyle w:val="a3"/>
        <w:spacing w:before="64" w:line="446" w:lineRule="auto"/>
        <w:ind w:left="418" w:right="1505" w:firstLine="419"/>
      </w:pPr>
      <w:r>
        <w:t>检查数量：全数检查。</w:t>
      </w:r>
      <w:r>
        <w:t xml:space="preserve"> </w:t>
      </w:r>
      <w:r>
        <w:t>检查方法：现场手动启动防火门关闭装置，观察防火门动作情况及消防控制室信号显示情况。</w:t>
      </w:r>
      <w:r>
        <w:t xml:space="preserve"> </w:t>
      </w:r>
    </w:p>
    <w:p w14:paraId="452DCD32" w14:textId="77777777" w:rsidR="00A71EEF" w:rsidRDefault="0081115D">
      <w:pPr>
        <w:pStyle w:val="a4"/>
        <w:numPr>
          <w:ilvl w:val="1"/>
          <w:numId w:val="134"/>
        </w:numPr>
        <w:tabs>
          <w:tab w:val="left" w:pos="1160"/>
        </w:tabs>
        <w:spacing w:before="1"/>
        <w:ind w:left="1159" w:hanging="320"/>
        <w:rPr>
          <w:sz w:val="21"/>
        </w:rPr>
      </w:pPr>
      <w:r>
        <w:rPr>
          <w:spacing w:val="-3"/>
          <w:sz w:val="21"/>
        </w:rPr>
        <w:t>防火窗调试</w:t>
      </w:r>
      <w:r>
        <w:rPr>
          <w:sz w:val="21"/>
        </w:rPr>
        <w:t xml:space="preserve"> </w:t>
      </w:r>
    </w:p>
    <w:p w14:paraId="0925D700" w14:textId="77777777" w:rsidR="00A71EEF" w:rsidRDefault="00A71EEF">
      <w:pPr>
        <w:pStyle w:val="a3"/>
        <w:spacing w:before="12"/>
        <w:rPr>
          <w:sz w:val="17"/>
        </w:rPr>
      </w:pPr>
    </w:p>
    <w:p w14:paraId="0BB5DAB1" w14:textId="77777777" w:rsidR="00A71EEF" w:rsidRDefault="0081115D">
      <w:pPr>
        <w:pStyle w:val="a4"/>
        <w:numPr>
          <w:ilvl w:val="2"/>
          <w:numId w:val="134"/>
        </w:numPr>
        <w:tabs>
          <w:tab w:val="left" w:pos="1370"/>
        </w:tabs>
        <w:spacing w:line="446" w:lineRule="auto"/>
        <w:ind w:right="1601" w:firstLine="422"/>
        <w:rPr>
          <w:sz w:val="21"/>
        </w:rPr>
      </w:pPr>
      <w:r>
        <w:rPr>
          <w:spacing w:val="-8"/>
          <w:sz w:val="21"/>
        </w:rPr>
        <w:t>活动式防火窗，现场手动启动防火窗窗扇启闭控制装置时，活动窗扇应灵活开启，并</w:t>
      </w:r>
      <w:r>
        <w:rPr>
          <w:spacing w:val="-7"/>
          <w:sz w:val="21"/>
        </w:rPr>
        <w:t>应完全关闭，同时应无启闭卡阻现象。</w:t>
      </w:r>
      <w:r>
        <w:rPr>
          <w:sz w:val="21"/>
        </w:rPr>
        <w:t xml:space="preserve"> </w:t>
      </w:r>
    </w:p>
    <w:p w14:paraId="5A937AE9" w14:textId="77777777" w:rsidR="00A71EEF" w:rsidRDefault="0081115D">
      <w:pPr>
        <w:pStyle w:val="a3"/>
        <w:spacing w:line="446" w:lineRule="auto"/>
        <w:ind w:left="826" w:right="7641"/>
      </w:pPr>
      <w:r>
        <w:t>检查数量：全数检查。检查方法：手动试验。</w:t>
      </w:r>
      <w:r>
        <w:t xml:space="preserve"> </w:t>
      </w:r>
    </w:p>
    <w:p w14:paraId="66DF28D7" w14:textId="77777777" w:rsidR="00A71EEF" w:rsidRDefault="0081115D">
      <w:pPr>
        <w:pStyle w:val="a4"/>
        <w:numPr>
          <w:ilvl w:val="2"/>
          <w:numId w:val="134"/>
        </w:numPr>
        <w:tabs>
          <w:tab w:val="left" w:pos="1371"/>
        </w:tabs>
        <w:spacing w:line="446" w:lineRule="auto"/>
        <w:ind w:right="1601" w:firstLine="422"/>
        <w:rPr>
          <w:sz w:val="21"/>
        </w:rPr>
      </w:pPr>
      <w:r>
        <w:rPr>
          <w:spacing w:val="-8"/>
          <w:sz w:val="21"/>
        </w:rPr>
        <w:t>活动式防火窗，其任意一侧的火灾探测器报警后，应自动关闭，并应将关闭信号反馈</w:t>
      </w:r>
      <w:r>
        <w:rPr>
          <w:spacing w:val="-5"/>
          <w:sz w:val="21"/>
        </w:rPr>
        <w:t>至消防控制室。</w:t>
      </w:r>
      <w:r>
        <w:rPr>
          <w:sz w:val="21"/>
        </w:rPr>
        <w:t xml:space="preserve"> </w:t>
      </w:r>
    </w:p>
    <w:p w14:paraId="1A2EA509" w14:textId="77777777" w:rsidR="00A71EEF" w:rsidRDefault="0081115D">
      <w:pPr>
        <w:pStyle w:val="a3"/>
        <w:spacing w:line="267" w:lineRule="exact"/>
        <w:ind w:left="826"/>
      </w:pPr>
      <w:r>
        <w:t>检查数量：全数检查。</w:t>
      </w:r>
      <w:r>
        <w:t xml:space="preserve"> </w:t>
      </w:r>
    </w:p>
    <w:p w14:paraId="0A7E1773" w14:textId="77777777" w:rsidR="00A71EEF" w:rsidRDefault="00A71EEF">
      <w:pPr>
        <w:pStyle w:val="a3"/>
        <w:spacing w:before="1"/>
        <w:rPr>
          <w:sz w:val="18"/>
        </w:rPr>
      </w:pPr>
    </w:p>
    <w:p w14:paraId="22564DB4" w14:textId="77777777" w:rsidR="00A71EEF" w:rsidRDefault="0081115D">
      <w:pPr>
        <w:pStyle w:val="a3"/>
        <w:tabs>
          <w:tab w:val="left" w:pos="5792"/>
        </w:tabs>
        <w:spacing w:before="1" w:line="446" w:lineRule="auto"/>
        <w:ind w:left="418" w:right="1836" w:firstLine="407"/>
      </w:pPr>
      <w:r>
        <w:rPr>
          <w:spacing w:val="-5"/>
        </w:rPr>
        <w:t>检</w:t>
      </w:r>
      <w:r>
        <w:rPr>
          <w:spacing w:val="-3"/>
        </w:rPr>
        <w:t>查</w:t>
      </w:r>
      <w:r>
        <w:rPr>
          <w:spacing w:val="-8"/>
        </w:rPr>
        <w:t>方</w:t>
      </w:r>
      <w:r>
        <w:rPr>
          <w:spacing w:val="-3"/>
        </w:rPr>
        <w:t>法</w:t>
      </w:r>
      <w:r>
        <w:rPr>
          <w:spacing w:val="-5"/>
        </w:rPr>
        <w:t>：</w:t>
      </w:r>
      <w:r>
        <w:rPr>
          <w:spacing w:val="-3"/>
        </w:rPr>
        <w:t>用</w:t>
      </w:r>
      <w:r>
        <w:rPr>
          <w:spacing w:val="-8"/>
        </w:rPr>
        <w:t>专</w:t>
      </w:r>
      <w:r>
        <w:rPr>
          <w:spacing w:val="-3"/>
        </w:rPr>
        <w:t>用</w:t>
      </w:r>
      <w:r>
        <w:rPr>
          <w:spacing w:val="-8"/>
        </w:rPr>
        <w:t>测</w:t>
      </w:r>
      <w:r>
        <w:rPr>
          <w:spacing w:val="-5"/>
        </w:rPr>
        <w:t>试</w:t>
      </w:r>
      <w:r>
        <w:rPr>
          <w:spacing w:val="-3"/>
        </w:rPr>
        <w:t>工</w:t>
      </w:r>
      <w:r>
        <w:t>具</w:t>
      </w:r>
      <w:r>
        <w:rPr>
          <w:spacing w:val="-8"/>
        </w:rPr>
        <w:t>，</w:t>
      </w:r>
      <w:r>
        <w:rPr>
          <w:spacing w:val="-3"/>
        </w:rPr>
        <w:t>使</w:t>
      </w:r>
      <w:r>
        <w:rPr>
          <w:spacing w:val="-5"/>
        </w:rPr>
        <w:t>活</w:t>
      </w:r>
      <w:r>
        <w:rPr>
          <w:spacing w:val="-3"/>
        </w:rPr>
        <w:t>动</w:t>
      </w:r>
      <w:r>
        <w:rPr>
          <w:spacing w:val="-8"/>
        </w:rPr>
        <w:t>式</w:t>
      </w:r>
      <w:r>
        <w:rPr>
          <w:spacing w:val="-3"/>
        </w:rPr>
        <w:t>防</w:t>
      </w:r>
      <w:r>
        <w:rPr>
          <w:spacing w:val="-5"/>
        </w:rPr>
        <w:t>火</w:t>
      </w:r>
      <w:r>
        <w:rPr>
          <w:spacing w:val="-3"/>
        </w:rPr>
        <w:t>窗</w:t>
      </w:r>
      <w:r>
        <w:rPr>
          <w:spacing w:val="-7"/>
        </w:rPr>
        <w:t>任</w:t>
      </w:r>
      <w:r>
        <w:rPr>
          <w:spacing w:val="-3"/>
        </w:rPr>
        <w:t>一</w:t>
      </w:r>
      <w:r>
        <w:t>侧</w:t>
      </w:r>
      <w:r>
        <w:rPr>
          <w:spacing w:val="-8"/>
        </w:rPr>
        <w:t>的</w:t>
      </w:r>
      <w:r>
        <w:rPr>
          <w:spacing w:val="-3"/>
        </w:rPr>
        <w:t>火</w:t>
      </w:r>
      <w:r>
        <w:rPr>
          <w:spacing w:val="-5"/>
        </w:rPr>
        <w:t>灾</w:t>
      </w:r>
      <w:r>
        <w:rPr>
          <w:spacing w:val="-3"/>
        </w:rPr>
        <w:t>探</w:t>
      </w:r>
      <w:r>
        <w:rPr>
          <w:spacing w:val="-8"/>
        </w:rPr>
        <w:t>测</w:t>
      </w:r>
      <w:r>
        <w:rPr>
          <w:spacing w:val="-3"/>
        </w:rPr>
        <w:t>器</w:t>
      </w:r>
      <w:r>
        <w:rPr>
          <w:spacing w:val="-5"/>
        </w:rPr>
        <w:t>发</w:t>
      </w:r>
      <w:r>
        <w:rPr>
          <w:spacing w:val="-3"/>
        </w:rPr>
        <w:t>出</w:t>
      </w:r>
      <w:r>
        <w:rPr>
          <w:spacing w:val="-8"/>
        </w:rPr>
        <w:t>模</w:t>
      </w:r>
      <w:r>
        <w:rPr>
          <w:spacing w:val="-3"/>
        </w:rPr>
        <w:t>拟</w:t>
      </w:r>
      <w:r>
        <w:t>火</w:t>
      </w:r>
      <w:r>
        <w:rPr>
          <w:spacing w:val="-8"/>
        </w:rPr>
        <w:t>灾</w:t>
      </w:r>
      <w:r>
        <w:rPr>
          <w:spacing w:val="-3"/>
        </w:rPr>
        <w:t>报</w:t>
      </w:r>
      <w:r>
        <w:rPr>
          <w:spacing w:val="-5"/>
        </w:rPr>
        <w:t>警</w:t>
      </w:r>
      <w:r>
        <w:rPr>
          <w:spacing w:val="-3"/>
        </w:rPr>
        <w:t>信</w:t>
      </w:r>
      <w:r>
        <w:rPr>
          <w:spacing w:val="-1"/>
        </w:rPr>
        <w:t>号</w:t>
      </w:r>
      <w:r>
        <w:rPr>
          <w:spacing w:val="-3"/>
        </w:rPr>
        <w:t>，</w:t>
      </w:r>
      <w:r>
        <w:rPr>
          <w:spacing w:val="-5"/>
        </w:rPr>
        <w:t>观</w:t>
      </w:r>
      <w:r>
        <w:rPr>
          <w:spacing w:val="-3"/>
        </w:rPr>
        <w:t>察</w:t>
      </w:r>
      <w:r>
        <w:rPr>
          <w:spacing w:val="-8"/>
        </w:rPr>
        <w:t>防</w:t>
      </w:r>
      <w:r>
        <w:rPr>
          <w:spacing w:val="-3"/>
        </w:rPr>
        <w:t>火</w:t>
      </w:r>
      <w:r>
        <w:rPr>
          <w:spacing w:val="-5"/>
        </w:rPr>
        <w:t>窗</w:t>
      </w:r>
      <w:r>
        <w:rPr>
          <w:spacing w:val="-3"/>
        </w:rPr>
        <w:t>动</w:t>
      </w:r>
      <w:r>
        <w:rPr>
          <w:spacing w:val="-8"/>
        </w:rPr>
        <w:t>作</w:t>
      </w:r>
      <w:r>
        <w:rPr>
          <w:spacing w:val="-3"/>
        </w:rPr>
        <w:t>情</w:t>
      </w:r>
      <w:r>
        <w:rPr>
          <w:spacing w:val="-7"/>
        </w:rPr>
        <w:t>况</w:t>
      </w:r>
      <w:r>
        <w:rPr>
          <w:spacing w:val="-1"/>
        </w:rPr>
        <w:t>及</w:t>
      </w:r>
      <w:r>
        <w:rPr>
          <w:spacing w:val="-3"/>
        </w:rPr>
        <w:t>消</w:t>
      </w:r>
      <w:r>
        <w:rPr>
          <w:spacing w:val="-5"/>
        </w:rPr>
        <w:t>防</w:t>
      </w:r>
      <w:r>
        <w:rPr>
          <w:spacing w:val="-3"/>
        </w:rPr>
        <w:t>控</w:t>
      </w:r>
      <w:r>
        <w:rPr>
          <w:spacing w:val="-8"/>
        </w:rPr>
        <w:t>制</w:t>
      </w:r>
      <w:r>
        <w:rPr>
          <w:spacing w:val="-3"/>
        </w:rPr>
        <w:t>室</w:t>
      </w:r>
      <w:r>
        <w:rPr>
          <w:spacing w:val="-5"/>
        </w:rPr>
        <w:t>信</w:t>
      </w:r>
      <w:r>
        <w:rPr>
          <w:spacing w:val="-3"/>
        </w:rPr>
        <w:t>号</w:t>
      </w:r>
      <w:r>
        <w:rPr>
          <w:spacing w:val="-8"/>
        </w:rPr>
        <w:t>显</w:t>
      </w:r>
      <w:r>
        <w:rPr>
          <w:spacing w:val="-3"/>
        </w:rPr>
        <w:t>示</w:t>
      </w:r>
      <w:r>
        <w:rPr>
          <w:spacing w:val="-8"/>
        </w:rPr>
        <w:t>情</w:t>
      </w:r>
      <w:r>
        <w:t>况。</w:t>
      </w:r>
      <w:r>
        <w:t xml:space="preserve"> </w:t>
      </w:r>
      <w:r>
        <w:tab/>
      </w:r>
      <w:hyperlink r:id="rId465" w:anchor="642">
        <w:r>
          <w:rPr>
            <w:color w:val="DDD9C3"/>
            <w:u w:val="single" w:color="DDD9C3"/>
          </w:rPr>
          <w:t xml:space="preserve"> </w:t>
        </w:r>
      </w:hyperlink>
      <w:r>
        <w:t xml:space="preserve"> </w:t>
      </w:r>
    </w:p>
    <w:p w14:paraId="63EFAB56" w14:textId="77777777" w:rsidR="00A71EEF" w:rsidRDefault="0081115D">
      <w:pPr>
        <w:pStyle w:val="a4"/>
        <w:numPr>
          <w:ilvl w:val="2"/>
          <w:numId w:val="134"/>
        </w:numPr>
        <w:tabs>
          <w:tab w:val="left" w:pos="1370"/>
        </w:tabs>
        <w:spacing w:before="31" w:line="446" w:lineRule="auto"/>
        <w:ind w:right="1702" w:firstLine="422"/>
        <w:rPr>
          <w:sz w:val="21"/>
        </w:rPr>
      </w:pPr>
      <w:r>
        <w:rPr>
          <w:spacing w:val="-8"/>
          <w:sz w:val="21"/>
        </w:rPr>
        <w:t>活动式防火窗，接到消防控制室发出的关闭指令后，应自动关闭，并应将关闭信号</w:t>
      </w:r>
      <w:r>
        <w:rPr>
          <w:spacing w:val="-7"/>
          <w:sz w:val="21"/>
        </w:rPr>
        <w:t>反</w:t>
      </w:r>
      <w:r>
        <w:rPr>
          <w:spacing w:val="-7"/>
          <w:sz w:val="21"/>
        </w:rPr>
        <w:t xml:space="preserve"> </w:t>
      </w:r>
      <w:r>
        <w:rPr>
          <w:spacing w:val="-7"/>
          <w:sz w:val="21"/>
        </w:rPr>
        <w:t>馈至消防控制室。</w:t>
      </w:r>
      <w:r>
        <w:rPr>
          <w:sz w:val="21"/>
        </w:rPr>
        <w:t xml:space="preserve"> </w:t>
      </w:r>
    </w:p>
    <w:p w14:paraId="7C8CDDE0" w14:textId="77777777" w:rsidR="00A71EEF" w:rsidRDefault="0081115D">
      <w:pPr>
        <w:pStyle w:val="a3"/>
        <w:spacing w:line="446" w:lineRule="auto"/>
        <w:ind w:left="418" w:right="1632" w:firstLine="407"/>
        <w:rPr>
          <w:b/>
        </w:rPr>
      </w:pPr>
      <w:r>
        <w:rPr>
          <w:spacing w:val="-8"/>
        </w:rPr>
        <w:t>检查数量：全数检查。</w:t>
      </w:r>
      <w:r>
        <w:rPr>
          <w:spacing w:val="-8"/>
        </w:rPr>
        <w:t xml:space="preserve"> </w:t>
      </w:r>
      <w:r>
        <w:rPr>
          <w:spacing w:val="-8"/>
        </w:rPr>
        <w:t>检查方法：在消防控制室启动防火窗关闭功能，观察防火窗动作情</w:t>
      </w:r>
      <w:r>
        <w:rPr>
          <w:spacing w:val="-4"/>
        </w:rPr>
        <w:t>况及消防控制室信号显示情况。</w:t>
      </w:r>
      <w:r>
        <w:rPr>
          <w:b/>
          <w:w w:val="99"/>
        </w:rPr>
        <w:t xml:space="preserve"> </w:t>
      </w:r>
    </w:p>
    <w:p w14:paraId="4328E032" w14:textId="77777777" w:rsidR="00A71EEF" w:rsidRDefault="0081115D">
      <w:pPr>
        <w:pStyle w:val="a4"/>
        <w:numPr>
          <w:ilvl w:val="2"/>
          <w:numId w:val="134"/>
        </w:numPr>
        <w:tabs>
          <w:tab w:val="left" w:pos="1371"/>
        </w:tabs>
        <w:spacing w:before="31"/>
        <w:ind w:left="1370" w:hanging="531"/>
        <w:rPr>
          <w:sz w:val="21"/>
        </w:rPr>
      </w:pPr>
      <w:r>
        <w:rPr>
          <w:spacing w:val="-8"/>
          <w:sz w:val="21"/>
        </w:rPr>
        <w:t>安装在活动式防火窗上的温控释放装置动作后，活动式防火窗应在</w:t>
      </w:r>
      <w:r>
        <w:rPr>
          <w:sz w:val="21"/>
        </w:rPr>
        <w:t>60s</w:t>
      </w:r>
      <w:r>
        <w:rPr>
          <w:spacing w:val="-4"/>
          <w:sz w:val="21"/>
        </w:rPr>
        <w:t xml:space="preserve"> </w:t>
      </w:r>
      <w:r>
        <w:rPr>
          <w:spacing w:val="-4"/>
          <w:sz w:val="21"/>
        </w:rPr>
        <w:t>内自动关</w:t>
      </w:r>
    </w:p>
    <w:p w14:paraId="122DC7E4" w14:textId="77777777" w:rsidR="00A71EEF" w:rsidRDefault="00A71EEF">
      <w:pPr>
        <w:rPr>
          <w:sz w:val="21"/>
        </w:rPr>
        <w:sectPr w:rsidR="00A71EEF">
          <w:pgSz w:w="11910" w:h="16850"/>
          <w:pgMar w:top="1220" w:right="0" w:bottom="1420" w:left="1260" w:header="0" w:footer="1239" w:gutter="0"/>
          <w:cols w:space="720"/>
        </w:sectPr>
      </w:pPr>
    </w:p>
    <w:p w14:paraId="015A349F" w14:textId="77777777" w:rsidR="00A71EEF" w:rsidRDefault="0081115D">
      <w:pPr>
        <w:pStyle w:val="a3"/>
        <w:spacing w:before="47"/>
        <w:ind w:left="418"/>
      </w:pPr>
      <w:r>
        <w:t>闭。</w:t>
      </w:r>
      <w:r>
        <w:t xml:space="preserve"> </w:t>
      </w:r>
      <w:r>
        <w:t>检查数量：同一工程同类温控释放装置抽检</w:t>
      </w:r>
      <w:r>
        <w:t xml:space="preserve">1 </w:t>
      </w:r>
      <w:r>
        <w:t>～</w:t>
      </w:r>
      <w:r>
        <w:t xml:space="preserve">2 </w:t>
      </w:r>
      <w:r>
        <w:t>个。</w:t>
      </w:r>
      <w:r>
        <w:t xml:space="preserve"> </w:t>
      </w:r>
    </w:p>
    <w:p w14:paraId="7CA1737A" w14:textId="77777777" w:rsidR="00A71EEF" w:rsidRDefault="00A71EEF">
      <w:pPr>
        <w:pStyle w:val="a3"/>
        <w:rPr>
          <w:sz w:val="18"/>
        </w:rPr>
      </w:pPr>
    </w:p>
    <w:p w14:paraId="58D8069B" w14:textId="77777777" w:rsidR="00A71EEF" w:rsidRDefault="0081115D">
      <w:pPr>
        <w:pStyle w:val="a3"/>
        <w:tabs>
          <w:tab w:val="left" w:pos="3480"/>
        </w:tabs>
        <w:spacing w:line="446" w:lineRule="auto"/>
        <w:ind w:left="418" w:right="1539" w:firstLine="407"/>
        <w:jc w:val="both"/>
      </w:pPr>
      <w:r>
        <w:rPr>
          <w:spacing w:val="-5"/>
        </w:rPr>
        <w:t>检</w:t>
      </w:r>
      <w:r>
        <w:rPr>
          <w:spacing w:val="-3"/>
        </w:rPr>
        <w:t>查</w:t>
      </w:r>
      <w:r>
        <w:rPr>
          <w:spacing w:val="-8"/>
        </w:rPr>
        <w:t>方</w:t>
      </w:r>
      <w:r>
        <w:rPr>
          <w:spacing w:val="-3"/>
        </w:rPr>
        <w:t>法</w:t>
      </w:r>
      <w:r>
        <w:rPr>
          <w:spacing w:val="-39"/>
        </w:rPr>
        <w:t>：</w:t>
      </w:r>
      <w:r>
        <w:rPr>
          <w:spacing w:val="-3"/>
        </w:rPr>
        <w:t>活</w:t>
      </w:r>
      <w:r>
        <w:rPr>
          <w:spacing w:val="-5"/>
        </w:rPr>
        <w:t>动</w:t>
      </w:r>
      <w:r>
        <w:rPr>
          <w:spacing w:val="-3"/>
        </w:rPr>
        <w:t>式</w:t>
      </w:r>
      <w:r>
        <w:rPr>
          <w:spacing w:val="-8"/>
        </w:rPr>
        <w:t>防</w:t>
      </w:r>
      <w:r>
        <w:rPr>
          <w:spacing w:val="-7"/>
        </w:rPr>
        <w:t>火</w:t>
      </w:r>
      <w:r>
        <w:t>窗</w:t>
      </w:r>
      <w:r>
        <w:rPr>
          <w:spacing w:val="-3"/>
        </w:rPr>
        <w:t>安</w:t>
      </w:r>
      <w:r>
        <w:rPr>
          <w:spacing w:val="-5"/>
        </w:rPr>
        <w:t>装</w:t>
      </w:r>
      <w:r>
        <w:rPr>
          <w:spacing w:val="-3"/>
        </w:rPr>
        <w:t>并</w:t>
      </w:r>
      <w:r>
        <w:rPr>
          <w:spacing w:val="-8"/>
        </w:rPr>
        <w:t>调</w:t>
      </w:r>
      <w:r>
        <w:rPr>
          <w:spacing w:val="-3"/>
        </w:rPr>
        <w:t>试</w:t>
      </w:r>
      <w:r>
        <w:rPr>
          <w:spacing w:val="-5"/>
        </w:rPr>
        <w:t>完</w:t>
      </w:r>
      <w:r>
        <w:rPr>
          <w:spacing w:val="-3"/>
        </w:rPr>
        <w:t>毕</w:t>
      </w:r>
      <w:r>
        <w:rPr>
          <w:spacing w:val="-5"/>
        </w:rPr>
        <w:t>后</w:t>
      </w:r>
      <w:r>
        <w:rPr>
          <w:spacing w:val="-36"/>
        </w:rPr>
        <w:t>，</w:t>
      </w:r>
      <w:r>
        <w:rPr>
          <w:spacing w:val="-7"/>
        </w:rPr>
        <w:t>切</w:t>
      </w:r>
      <w:r>
        <w:t>断</w:t>
      </w:r>
      <w:r>
        <w:rPr>
          <w:spacing w:val="-3"/>
        </w:rPr>
        <w:t>电</w:t>
      </w:r>
      <w:r>
        <w:rPr>
          <w:spacing w:val="-8"/>
        </w:rPr>
        <w:t>源</w:t>
      </w:r>
      <w:r>
        <w:rPr>
          <w:spacing w:val="-34"/>
        </w:rPr>
        <w:t>，</w:t>
      </w:r>
      <w:r>
        <w:rPr>
          <w:spacing w:val="-8"/>
        </w:rPr>
        <w:t>加</w:t>
      </w:r>
      <w:r>
        <w:rPr>
          <w:spacing w:val="-3"/>
        </w:rPr>
        <w:t>热</w:t>
      </w:r>
      <w:r>
        <w:rPr>
          <w:spacing w:val="-5"/>
        </w:rPr>
        <w:t>温</w:t>
      </w:r>
      <w:r>
        <w:rPr>
          <w:spacing w:val="-3"/>
        </w:rPr>
        <w:t>控</w:t>
      </w:r>
      <w:r>
        <w:rPr>
          <w:spacing w:val="-5"/>
        </w:rPr>
        <w:t>释</w:t>
      </w:r>
      <w:r>
        <w:rPr>
          <w:spacing w:val="-3"/>
        </w:rPr>
        <w:t>放</w:t>
      </w:r>
      <w:r>
        <w:rPr>
          <w:spacing w:val="-8"/>
        </w:rPr>
        <w:t>装</w:t>
      </w:r>
      <w:r>
        <w:t>置</w:t>
      </w:r>
      <w:r>
        <w:rPr>
          <w:spacing w:val="-36"/>
        </w:rPr>
        <w:t>，</w:t>
      </w:r>
      <w:r>
        <w:rPr>
          <w:spacing w:val="-5"/>
        </w:rPr>
        <w:t>使</w:t>
      </w:r>
      <w:r>
        <w:rPr>
          <w:spacing w:val="-3"/>
        </w:rPr>
        <w:t>其</w:t>
      </w:r>
      <w:r>
        <w:rPr>
          <w:spacing w:val="-5"/>
        </w:rPr>
        <w:t>热</w:t>
      </w:r>
      <w:r>
        <w:rPr>
          <w:spacing w:val="-3"/>
        </w:rPr>
        <w:t>敏</w:t>
      </w:r>
      <w:r>
        <w:rPr>
          <w:spacing w:val="37"/>
        </w:rPr>
        <w:t xml:space="preserve"> </w:t>
      </w:r>
      <w:r>
        <w:rPr>
          <w:spacing w:val="-3"/>
        </w:rPr>
        <w:t>感元</w:t>
      </w:r>
      <w:r>
        <w:rPr>
          <w:spacing w:val="-5"/>
        </w:rPr>
        <w:t>件</w:t>
      </w:r>
      <w:r>
        <w:rPr>
          <w:spacing w:val="-3"/>
        </w:rPr>
        <w:t>动</w:t>
      </w:r>
      <w:r>
        <w:rPr>
          <w:spacing w:val="-8"/>
        </w:rPr>
        <w:t>作</w:t>
      </w:r>
      <w:r>
        <w:rPr>
          <w:spacing w:val="-80"/>
        </w:rPr>
        <w:t>，</w:t>
      </w:r>
      <w:r>
        <w:rPr>
          <w:spacing w:val="-8"/>
        </w:rPr>
        <w:t>观</w:t>
      </w:r>
      <w:r>
        <w:rPr>
          <w:spacing w:val="-3"/>
        </w:rPr>
        <w:t>察</w:t>
      </w:r>
      <w:r>
        <w:rPr>
          <w:spacing w:val="-5"/>
        </w:rPr>
        <w:t>防</w:t>
      </w:r>
      <w:r>
        <w:rPr>
          <w:spacing w:val="-3"/>
        </w:rPr>
        <w:t>火</w:t>
      </w:r>
      <w:r>
        <w:rPr>
          <w:spacing w:val="-8"/>
        </w:rPr>
        <w:t>窗</w:t>
      </w:r>
      <w:r>
        <w:t>动作</w:t>
      </w:r>
      <w:r>
        <w:rPr>
          <w:spacing w:val="-8"/>
        </w:rPr>
        <w:t>情</w:t>
      </w:r>
      <w:r>
        <w:rPr>
          <w:spacing w:val="-3"/>
        </w:rPr>
        <w:t>况</w:t>
      </w:r>
      <w:r>
        <w:rPr>
          <w:spacing w:val="-80"/>
        </w:rPr>
        <w:t>，</w:t>
      </w:r>
      <w:r>
        <w:rPr>
          <w:spacing w:val="-3"/>
        </w:rPr>
        <w:t>用</w:t>
      </w:r>
      <w:r>
        <w:rPr>
          <w:spacing w:val="-8"/>
        </w:rPr>
        <w:t>秒</w:t>
      </w:r>
      <w:r>
        <w:rPr>
          <w:spacing w:val="-3"/>
        </w:rPr>
        <w:t>表</w:t>
      </w:r>
      <w:r>
        <w:rPr>
          <w:spacing w:val="-5"/>
        </w:rPr>
        <w:t>测</w:t>
      </w:r>
      <w:r>
        <w:rPr>
          <w:spacing w:val="-3"/>
        </w:rPr>
        <w:t>试</w:t>
      </w:r>
      <w:r>
        <w:rPr>
          <w:spacing w:val="-8"/>
        </w:rPr>
        <w:t>关</w:t>
      </w:r>
      <w:r>
        <w:t>闭</w:t>
      </w:r>
      <w:r>
        <w:rPr>
          <w:spacing w:val="-3"/>
        </w:rPr>
        <w:t>时</w:t>
      </w:r>
      <w:r>
        <w:rPr>
          <w:spacing w:val="-8"/>
        </w:rPr>
        <w:t>间</w:t>
      </w:r>
      <w:r>
        <w:rPr>
          <w:spacing w:val="-79"/>
        </w:rPr>
        <w:t>。</w:t>
      </w:r>
      <w:r>
        <w:rPr>
          <w:spacing w:val="-5"/>
        </w:rPr>
        <w:t>试</w:t>
      </w:r>
      <w:r>
        <w:rPr>
          <w:spacing w:val="-3"/>
        </w:rPr>
        <w:t>验</w:t>
      </w:r>
      <w:r>
        <w:rPr>
          <w:spacing w:val="-8"/>
        </w:rPr>
        <w:t>前</w:t>
      </w:r>
      <w:r>
        <w:rPr>
          <w:spacing w:val="-80"/>
        </w:rPr>
        <w:t>，</w:t>
      </w:r>
      <w:r>
        <w:rPr>
          <w:spacing w:val="-8"/>
        </w:rPr>
        <w:t>应</w:t>
      </w:r>
      <w:r>
        <w:rPr>
          <w:spacing w:val="-3"/>
        </w:rPr>
        <w:t>准</w:t>
      </w:r>
      <w:r>
        <w:rPr>
          <w:spacing w:val="-5"/>
        </w:rPr>
        <w:t>备</w:t>
      </w:r>
      <w:r>
        <w:rPr>
          <w:spacing w:val="-3"/>
        </w:rPr>
        <w:t>备用</w:t>
      </w:r>
      <w:r>
        <w:rPr>
          <w:spacing w:val="-5"/>
        </w:rPr>
        <w:t>的</w:t>
      </w:r>
      <w:r>
        <w:rPr>
          <w:spacing w:val="-3"/>
        </w:rPr>
        <w:t>温</w:t>
      </w:r>
      <w:r>
        <w:rPr>
          <w:spacing w:val="-8"/>
        </w:rPr>
        <w:t>控</w:t>
      </w:r>
      <w:r>
        <w:t>释放</w:t>
      </w:r>
      <w:r>
        <w:rPr>
          <w:spacing w:val="36"/>
        </w:rPr>
        <w:t xml:space="preserve"> </w:t>
      </w:r>
      <w:r>
        <w:t>装</w:t>
      </w:r>
      <w:r>
        <w:rPr>
          <w:spacing w:val="-3"/>
        </w:rPr>
        <w:t>置</w:t>
      </w:r>
      <w:r>
        <w:rPr>
          <w:spacing w:val="-44"/>
        </w:rPr>
        <w:t>，</w:t>
      </w:r>
      <w:r>
        <w:rPr>
          <w:spacing w:val="-3"/>
        </w:rPr>
        <w:t>试</w:t>
      </w:r>
      <w:r>
        <w:t>验后</w:t>
      </w:r>
      <w:r>
        <w:rPr>
          <w:spacing w:val="-8"/>
        </w:rPr>
        <w:t>，</w:t>
      </w:r>
      <w:r>
        <w:rPr>
          <w:spacing w:val="-3"/>
        </w:rPr>
        <w:t>应</w:t>
      </w:r>
      <w:r>
        <w:rPr>
          <w:spacing w:val="-5"/>
        </w:rPr>
        <w:t>重</w:t>
      </w:r>
      <w:r>
        <w:rPr>
          <w:spacing w:val="-3"/>
        </w:rPr>
        <w:t>新</w:t>
      </w:r>
      <w:r>
        <w:rPr>
          <w:spacing w:val="-8"/>
        </w:rPr>
        <w:t>安</w:t>
      </w:r>
      <w:r>
        <w:t>装</w:t>
      </w:r>
      <w:r>
        <w:rPr>
          <w:spacing w:val="-3"/>
        </w:rPr>
        <w:t>。</w:t>
      </w:r>
      <w:r>
        <w:t xml:space="preserve"> </w:t>
      </w:r>
      <w:r>
        <w:tab/>
      </w:r>
      <w:r>
        <w:t xml:space="preserve"> </w:t>
      </w:r>
    </w:p>
    <w:p w14:paraId="72825447" w14:textId="77777777" w:rsidR="00A71EEF" w:rsidRDefault="0081115D">
      <w:pPr>
        <w:pStyle w:val="4"/>
        <w:spacing w:line="276" w:lineRule="exact"/>
      </w:pPr>
      <w:r>
        <w:t xml:space="preserve">7 </w:t>
      </w:r>
      <w:r>
        <w:t>验收</w:t>
      </w:r>
      <w:r>
        <w:rPr>
          <w:w w:val="99"/>
        </w:rPr>
        <w:t xml:space="preserve"> </w:t>
      </w:r>
    </w:p>
    <w:p w14:paraId="0CE81E2F" w14:textId="77777777" w:rsidR="00A71EEF" w:rsidRDefault="00A71EEF">
      <w:pPr>
        <w:pStyle w:val="a3"/>
        <w:spacing w:before="4"/>
        <w:rPr>
          <w:b/>
          <w:sz w:val="17"/>
        </w:rPr>
      </w:pPr>
    </w:p>
    <w:p w14:paraId="3FDAA440" w14:textId="77777777" w:rsidR="00A71EEF" w:rsidRDefault="0081115D">
      <w:pPr>
        <w:pStyle w:val="a4"/>
        <w:numPr>
          <w:ilvl w:val="1"/>
          <w:numId w:val="133"/>
        </w:numPr>
        <w:tabs>
          <w:tab w:val="left" w:pos="1159"/>
        </w:tabs>
        <w:ind w:hanging="319"/>
        <w:rPr>
          <w:sz w:val="21"/>
        </w:rPr>
      </w:pPr>
      <w:r>
        <w:rPr>
          <w:spacing w:val="-3"/>
          <w:sz w:val="21"/>
        </w:rPr>
        <w:t>一般规定</w:t>
      </w:r>
      <w:r>
        <w:rPr>
          <w:sz w:val="21"/>
        </w:rPr>
        <w:t xml:space="preserve"> </w:t>
      </w:r>
    </w:p>
    <w:p w14:paraId="41DC0769" w14:textId="77777777" w:rsidR="00A71EEF" w:rsidRDefault="00A71EEF">
      <w:pPr>
        <w:pStyle w:val="a3"/>
        <w:spacing w:before="2"/>
        <w:rPr>
          <w:sz w:val="18"/>
        </w:rPr>
      </w:pPr>
    </w:p>
    <w:p w14:paraId="31153105" w14:textId="77777777" w:rsidR="00A71EEF" w:rsidRDefault="0081115D">
      <w:pPr>
        <w:pStyle w:val="a4"/>
        <w:numPr>
          <w:ilvl w:val="2"/>
          <w:numId w:val="133"/>
        </w:numPr>
        <w:tabs>
          <w:tab w:val="left" w:pos="1370"/>
        </w:tabs>
        <w:spacing w:line="446" w:lineRule="auto"/>
        <w:ind w:right="1541" w:firstLine="422"/>
        <w:jc w:val="both"/>
        <w:rPr>
          <w:sz w:val="21"/>
        </w:rPr>
      </w:pPr>
      <w:r>
        <w:rPr>
          <w:spacing w:val="-19"/>
          <w:sz w:val="21"/>
        </w:rPr>
        <w:t>防火卷帘、防火门、防火窗调试完毕后，应在施工单位自行检查评定合格的基础上</w:t>
      </w:r>
      <w:r>
        <w:rPr>
          <w:spacing w:val="-19"/>
          <w:sz w:val="21"/>
        </w:rPr>
        <w:t xml:space="preserve"> </w:t>
      </w:r>
      <w:r>
        <w:rPr>
          <w:spacing w:val="-19"/>
          <w:sz w:val="21"/>
        </w:rPr>
        <w:t>进</w:t>
      </w:r>
      <w:r>
        <w:rPr>
          <w:spacing w:val="-16"/>
          <w:sz w:val="21"/>
        </w:rPr>
        <w:t>行工程质量验收。验收应由施工单位提出申请，并应由建设单位组织监理、设计、施工等</w:t>
      </w:r>
      <w:r>
        <w:rPr>
          <w:spacing w:val="-16"/>
          <w:sz w:val="21"/>
        </w:rPr>
        <w:t xml:space="preserve"> </w:t>
      </w:r>
      <w:r>
        <w:rPr>
          <w:spacing w:val="-16"/>
          <w:sz w:val="21"/>
        </w:rPr>
        <w:t>单位共</w:t>
      </w:r>
      <w:r>
        <w:rPr>
          <w:spacing w:val="-8"/>
          <w:sz w:val="21"/>
        </w:rPr>
        <w:t>同实施。</w:t>
      </w:r>
      <w:r>
        <w:rPr>
          <w:sz w:val="21"/>
        </w:rPr>
        <w:t xml:space="preserve">        </w:t>
      </w:r>
      <w:r>
        <w:rPr>
          <w:spacing w:val="21"/>
          <w:sz w:val="21"/>
        </w:rPr>
        <w:t xml:space="preserve"> </w:t>
      </w:r>
      <w:r>
        <w:rPr>
          <w:sz w:val="21"/>
        </w:rPr>
        <w:t xml:space="preserve"> </w:t>
      </w:r>
    </w:p>
    <w:p w14:paraId="1506598C" w14:textId="77777777" w:rsidR="00A71EEF" w:rsidRDefault="0081115D">
      <w:pPr>
        <w:pStyle w:val="a4"/>
        <w:numPr>
          <w:ilvl w:val="2"/>
          <w:numId w:val="133"/>
        </w:numPr>
        <w:tabs>
          <w:tab w:val="left" w:pos="1371"/>
        </w:tabs>
        <w:spacing w:line="446" w:lineRule="auto"/>
        <w:ind w:right="1551" w:firstLine="422"/>
        <w:jc w:val="both"/>
        <w:rPr>
          <w:sz w:val="21"/>
        </w:rPr>
      </w:pPr>
      <w:r>
        <w:rPr>
          <w:spacing w:val="-6"/>
          <w:sz w:val="21"/>
        </w:rPr>
        <w:t>防火卷帘、防火门、防火窗工程质量验收前，施工单位应提供下列文件资料，并应按</w:t>
      </w:r>
      <w:r>
        <w:rPr>
          <w:spacing w:val="-7"/>
          <w:sz w:val="21"/>
        </w:rPr>
        <w:t>本规范附录</w:t>
      </w:r>
      <w:r>
        <w:rPr>
          <w:sz w:val="21"/>
        </w:rPr>
        <w:t xml:space="preserve">D </w:t>
      </w:r>
      <w:r>
        <w:rPr>
          <w:sz w:val="21"/>
        </w:rPr>
        <w:t>表</w:t>
      </w:r>
      <w:r>
        <w:rPr>
          <w:sz w:val="21"/>
        </w:rPr>
        <w:t>D.0.1-1</w:t>
      </w:r>
      <w:r>
        <w:rPr>
          <w:spacing w:val="-5"/>
          <w:sz w:val="21"/>
        </w:rPr>
        <w:t xml:space="preserve"> </w:t>
      </w:r>
      <w:r>
        <w:rPr>
          <w:spacing w:val="-5"/>
          <w:sz w:val="21"/>
        </w:rPr>
        <w:t>填写资料核查记录：</w:t>
      </w:r>
      <w:r>
        <w:rPr>
          <w:sz w:val="21"/>
        </w:rPr>
        <w:t xml:space="preserve"> </w:t>
      </w:r>
    </w:p>
    <w:p w14:paraId="2FA60356" w14:textId="77777777" w:rsidR="00A71EEF" w:rsidRDefault="0081115D">
      <w:pPr>
        <w:pStyle w:val="a3"/>
        <w:spacing w:line="267" w:lineRule="exact"/>
        <w:ind w:left="838"/>
      </w:pPr>
      <w:r>
        <w:rPr>
          <w:spacing w:val="-7"/>
        </w:rPr>
        <w:t>工程质量验收申请报告。</w:t>
      </w:r>
      <w:r>
        <w:t xml:space="preserve"> </w:t>
      </w:r>
    </w:p>
    <w:p w14:paraId="0EDACBEB" w14:textId="77777777" w:rsidR="00A71EEF" w:rsidRDefault="00A71EEF">
      <w:pPr>
        <w:pStyle w:val="a3"/>
        <w:spacing w:before="1"/>
        <w:rPr>
          <w:sz w:val="18"/>
        </w:rPr>
      </w:pPr>
    </w:p>
    <w:p w14:paraId="7ACDA965" w14:textId="77777777" w:rsidR="00A71EEF" w:rsidRDefault="0081115D">
      <w:pPr>
        <w:pStyle w:val="a3"/>
        <w:spacing w:line="446" w:lineRule="auto"/>
        <w:ind w:left="838" w:right="4715"/>
      </w:pPr>
      <w:r>
        <w:t>本规范第</w:t>
      </w:r>
      <w:r>
        <w:t xml:space="preserve">3.0.1 </w:t>
      </w:r>
      <w:r>
        <w:t>条规定的施工现场质量管理检查记录。本规范第</w:t>
      </w:r>
      <w:r>
        <w:t xml:space="preserve">3.0.2 </w:t>
      </w:r>
      <w:r>
        <w:t>条规定的技术资料。</w:t>
      </w:r>
      <w:r>
        <w:t xml:space="preserve"> </w:t>
      </w:r>
    </w:p>
    <w:p w14:paraId="3EE87C48" w14:textId="77777777" w:rsidR="00A71EEF" w:rsidRDefault="0081115D">
      <w:pPr>
        <w:pStyle w:val="a3"/>
        <w:spacing w:line="267" w:lineRule="exact"/>
        <w:ind w:left="838"/>
      </w:pPr>
      <w:r>
        <w:rPr>
          <w:spacing w:val="-7"/>
        </w:rPr>
        <w:t>竣工图及相关文件资料。</w:t>
      </w:r>
      <w:r>
        <w:t xml:space="preserve"> </w:t>
      </w:r>
    </w:p>
    <w:p w14:paraId="77F4A1E8" w14:textId="77777777" w:rsidR="00A71EEF" w:rsidRDefault="00A71EEF">
      <w:pPr>
        <w:pStyle w:val="a3"/>
        <w:spacing w:before="2"/>
        <w:rPr>
          <w:sz w:val="18"/>
        </w:rPr>
      </w:pPr>
    </w:p>
    <w:p w14:paraId="7EF4339E" w14:textId="77777777" w:rsidR="00A71EEF" w:rsidRDefault="0081115D">
      <w:pPr>
        <w:pStyle w:val="a3"/>
        <w:tabs>
          <w:tab w:val="left" w:pos="3111"/>
        </w:tabs>
        <w:spacing w:line="446" w:lineRule="auto"/>
        <w:ind w:left="838" w:right="4724"/>
      </w:pPr>
      <w:r>
        <w:t>施</w:t>
      </w:r>
      <w:r>
        <w:rPr>
          <w:spacing w:val="-8"/>
        </w:rPr>
        <w:t>工</w:t>
      </w:r>
      <w:r>
        <w:rPr>
          <w:spacing w:val="-3"/>
        </w:rPr>
        <w:t>过</w:t>
      </w:r>
      <w:r>
        <w:rPr>
          <w:spacing w:val="-5"/>
        </w:rPr>
        <w:t>程</w:t>
      </w:r>
      <w:r>
        <w:rPr>
          <w:spacing w:val="-3"/>
        </w:rPr>
        <w:t>（</w:t>
      </w:r>
      <w:r>
        <w:rPr>
          <w:spacing w:val="-8"/>
        </w:rPr>
        <w:t>含</w:t>
      </w:r>
      <w:r>
        <w:rPr>
          <w:spacing w:val="-3"/>
        </w:rPr>
        <w:t>进</w:t>
      </w:r>
      <w:r>
        <w:rPr>
          <w:spacing w:val="-8"/>
        </w:rPr>
        <w:t>场</w:t>
      </w:r>
      <w:r>
        <w:rPr>
          <w:spacing w:val="-5"/>
        </w:rPr>
        <w:t>检</w:t>
      </w:r>
      <w:r>
        <w:rPr>
          <w:spacing w:val="-3"/>
        </w:rPr>
        <w:t>验、</w:t>
      </w:r>
      <w:r>
        <w:rPr>
          <w:spacing w:val="-5"/>
        </w:rPr>
        <w:t>安</w:t>
      </w:r>
      <w:r>
        <w:rPr>
          <w:spacing w:val="-3"/>
        </w:rPr>
        <w:t>装</w:t>
      </w:r>
      <w:r>
        <w:rPr>
          <w:spacing w:val="-8"/>
        </w:rPr>
        <w:t>及</w:t>
      </w:r>
      <w:r>
        <w:rPr>
          <w:spacing w:val="-3"/>
        </w:rPr>
        <w:t>调</w:t>
      </w:r>
      <w:r>
        <w:rPr>
          <w:spacing w:val="-5"/>
        </w:rPr>
        <w:t>试</w:t>
      </w:r>
      <w:r>
        <w:rPr>
          <w:spacing w:val="-3"/>
        </w:rPr>
        <w:t>过</w:t>
      </w:r>
      <w:r>
        <w:rPr>
          <w:spacing w:val="-8"/>
        </w:rPr>
        <w:t>程</w:t>
      </w:r>
      <w:r>
        <w:rPr>
          <w:spacing w:val="-3"/>
        </w:rPr>
        <w:t>）</w:t>
      </w:r>
      <w:r>
        <w:rPr>
          <w:spacing w:val="-5"/>
        </w:rPr>
        <w:t>检</w:t>
      </w:r>
      <w:r>
        <w:rPr>
          <w:spacing w:val="-3"/>
        </w:rPr>
        <w:t>查</w:t>
      </w:r>
      <w:r>
        <w:t>记</w:t>
      </w:r>
      <w:r>
        <w:rPr>
          <w:spacing w:val="-5"/>
        </w:rPr>
        <w:t>录</w:t>
      </w:r>
      <w:r>
        <w:rPr>
          <w:spacing w:val="-3"/>
        </w:rPr>
        <w:t>。</w:t>
      </w:r>
      <w:r>
        <w:rPr>
          <w:spacing w:val="-1"/>
        </w:rPr>
        <w:t>隐</w:t>
      </w:r>
      <w:r>
        <w:rPr>
          <w:spacing w:val="-8"/>
        </w:rPr>
        <w:t>蔽</w:t>
      </w:r>
      <w:r>
        <w:rPr>
          <w:spacing w:val="-3"/>
        </w:rPr>
        <w:t>工</w:t>
      </w:r>
      <w:r>
        <w:rPr>
          <w:spacing w:val="-5"/>
        </w:rPr>
        <w:t>程</w:t>
      </w:r>
      <w:r>
        <w:rPr>
          <w:spacing w:val="-3"/>
        </w:rPr>
        <w:t>验</w:t>
      </w:r>
      <w:r>
        <w:rPr>
          <w:spacing w:val="-8"/>
        </w:rPr>
        <w:t>收</w:t>
      </w:r>
      <w:r>
        <w:rPr>
          <w:spacing w:val="-3"/>
        </w:rPr>
        <w:t>记</w:t>
      </w:r>
      <w:r>
        <w:rPr>
          <w:spacing w:val="-5"/>
        </w:rPr>
        <w:t>录</w:t>
      </w:r>
      <w:r>
        <w:rPr>
          <w:spacing w:val="-1"/>
        </w:rPr>
        <w:t>。</w:t>
      </w:r>
      <w:r>
        <w:t xml:space="preserve"> </w:t>
      </w:r>
      <w:r>
        <w:tab/>
      </w:r>
      <w:r>
        <w:t xml:space="preserve"> </w:t>
      </w:r>
    </w:p>
    <w:p w14:paraId="796D3BCA" w14:textId="77777777" w:rsidR="00A71EEF" w:rsidRDefault="0081115D">
      <w:pPr>
        <w:pStyle w:val="a4"/>
        <w:numPr>
          <w:ilvl w:val="2"/>
          <w:numId w:val="133"/>
        </w:numPr>
        <w:tabs>
          <w:tab w:val="left" w:pos="1371"/>
        </w:tabs>
        <w:spacing w:before="12" w:line="448" w:lineRule="auto"/>
        <w:ind w:right="1546" w:firstLine="422"/>
        <w:jc w:val="both"/>
        <w:rPr>
          <w:sz w:val="21"/>
        </w:rPr>
      </w:pPr>
      <w:r>
        <w:rPr>
          <w:spacing w:val="-8"/>
          <w:sz w:val="21"/>
        </w:rPr>
        <w:t>防火卷帘、防火门、防火窗工程质量验收前，应根据本规范规定的验收内容和验收方法，制订验收方案，验收人员应根据验收方案按程序进行，并应按本规范附录</w:t>
      </w:r>
      <w:r>
        <w:rPr>
          <w:sz w:val="21"/>
        </w:rPr>
        <w:t>D</w:t>
      </w:r>
      <w:r>
        <w:rPr>
          <w:spacing w:val="-25"/>
          <w:sz w:val="21"/>
        </w:rPr>
        <w:t xml:space="preserve"> </w:t>
      </w:r>
      <w:r>
        <w:rPr>
          <w:spacing w:val="-25"/>
          <w:sz w:val="21"/>
        </w:rPr>
        <w:t>表</w:t>
      </w:r>
      <w:r>
        <w:rPr>
          <w:spacing w:val="-106"/>
          <w:sz w:val="21"/>
        </w:rPr>
        <w:t>D</w:t>
      </w:r>
      <w:r>
        <w:rPr>
          <w:spacing w:val="6"/>
          <w:sz w:val="21"/>
        </w:rPr>
        <w:t xml:space="preserve"> .</w:t>
      </w:r>
      <w:r>
        <w:rPr>
          <w:sz w:val="21"/>
        </w:rPr>
        <w:t>0.1-2</w:t>
      </w:r>
      <w:r>
        <w:rPr>
          <w:spacing w:val="2"/>
          <w:sz w:val="21"/>
        </w:rPr>
        <w:t xml:space="preserve"> </w:t>
      </w:r>
      <w:r>
        <w:rPr>
          <w:spacing w:val="2"/>
          <w:sz w:val="21"/>
        </w:rPr>
        <w:t>填写</w:t>
      </w:r>
      <w:r>
        <w:rPr>
          <w:spacing w:val="-7"/>
          <w:sz w:val="21"/>
        </w:rPr>
        <w:t>工程质量验收记录。</w:t>
      </w:r>
      <w:r>
        <w:rPr>
          <w:sz w:val="21"/>
        </w:rPr>
        <w:t xml:space="preserve">   </w:t>
      </w:r>
      <w:r>
        <w:rPr>
          <w:spacing w:val="38"/>
          <w:sz w:val="21"/>
        </w:rPr>
        <w:t xml:space="preserve"> </w:t>
      </w:r>
      <w:r>
        <w:rPr>
          <w:sz w:val="21"/>
        </w:rPr>
        <w:t xml:space="preserve"> </w:t>
      </w:r>
    </w:p>
    <w:p w14:paraId="6E9BBD46" w14:textId="77777777" w:rsidR="00A71EEF" w:rsidRDefault="0081115D">
      <w:pPr>
        <w:pStyle w:val="a4"/>
        <w:numPr>
          <w:ilvl w:val="1"/>
          <w:numId w:val="133"/>
        </w:numPr>
        <w:tabs>
          <w:tab w:val="left" w:pos="1159"/>
        </w:tabs>
        <w:spacing w:line="265" w:lineRule="exact"/>
        <w:ind w:hanging="319"/>
        <w:rPr>
          <w:sz w:val="21"/>
        </w:rPr>
      </w:pPr>
      <w:r>
        <w:rPr>
          <w:spacing w:val="-3"/>
          <w:sz w:val="21"/>
        </w:rPr>
        <w:t>防火卷帘验收</w:t>
      </w:r>
      <w:r>
        <w:rPr>
          <w:sz w:val="21"/>
        </w:rPr>
        <w:t xml:space="preserve"> </w:t>
      </w:r>
    </w:p>
    <w:p w14:paraId="67B9213C" w14:textId="77777777" w:rsidR="00A71EEF" w:rsidRDefault="00A71EEF">
      <w:pPr>
        <w:pStyle w:val="a3"/>
        <w:spacing w:before="12"/>
        <w:rPr>
          <w:sz w:val="17"/>
        </w:rPr>
      </w:pPr>
    </w:p>
    <w:p w14:paraId="443CEFE9" w14:textId="77777777" w:rsidR="00A71EEF" w:rsidRDefault="0081115D">
      <w:pPr>
        <w:pStyle w:val="a4"/>
        <w:numPr>
          <w:ilvl w:val="2"/>
          <w:numId w:val="133"/>
        </w:numPr>
        <w:tabs>
          <w:tab w:val="left" w:pos="1370"/>
        </w:tabs>
        <w:spacing w:line="446" w:lineRule="auto"/>
        <w:ind w:left="826" w:right="3260" w:firstLine="14"/>
        <w:rPr>
          <w:sz w:val="21"/>
        </w:rPr>
      </w:pPr>
      <w:r>
        <w:rPr>
          <w:spacing w:val="-7"/>
          <w:sz w:val="21"/>
        </w:rPr>
        <w:t>防火卷帘的型号、规格、数量、安装位置等应符合设计要求。</w:t>
      </w:r>
      <w:r>
        <w:rPr>
          <w:spacing w:val="-7"/>
          <w:sz w:val="21"/>
        </w:rPr>
        <w:t xml:space="preserve"> </w:t>
      </w:r>
      <w:r>
        <w:rPr>
          <w:spacing w:val="-7"/>
          <w:sz w:val="21"/>
        </w:rPr>
        <w:t>检</w:t>
      </w:r>
      <w:r>
        <w:rPr>
          <w:spacing w:val="-6"/>
          <w:sz w:val="21"/>
        </w:rPr>
        <w:t>查数量：全数检查。</w:t>
      </w:r>
      <w:r>
        <w:rPr>
          <w:sz w:val="21"/>
        </w:rPr>
        <w:t xml:space="preserve"> </w:t>
      </w:r>
    </w:p>
    <w:p w14:paraId="70CC93CF" w14:textId="77777777" w:rsidR="00A71EEF" w:rsidRDefault="0081115D">
      <w:pPr>
        <w:pStyle w:val="a3"/>
        <w:spacing w:before="29"/>
        <w:ind w:left="826"/>
      </w:pPr>
      <w:r>
        <w:t>检查方法：直观检查。</w:t>
      </w:r>
      <w:r>
        <w:t xml:space="preserve">  </w:t>
      </w:r>
      <w:r>
        <w:t xml:space="preserve"> </w:t>
      </w:r>
    </w:p>
    <w:p w14:paraId="734F680E" w14:textId="77777777" w:rsidR="00A71EEF" w:rsidRDefault="00A71EEF">
      <w:pPr>
        <w:pStyle w:val="a3"/>
        <w:rPr>
          <w:sz w:val="23"/>
        </w:rPr>
      </w:pPr>
    </w:p>
    <w:p w14:paraId="4857C4AA" w14:textId="77777777" w:rsidR="00A71EEF" w:rsidRDefault="0081115D">
      <w:pPr>
        <w:pStyle w:val="a4"/>
        <w:numPr>
          <w:ilvl w:val="2"/>
          <w:numId w:val="133"/>
        </w:numPr>
        <w:tabs>
          <w:tab w:val="left" w:pos="1371"/>
          <w:tab w:val="left" w:pos="7558"/>
        </w:tabs>
        <w:ind w:left="1370" w:hanging="531"/>
        <w:rPr>
          <w:sz w:val="21"/>
        </w:rPr>
      </w:pPr>
      <w:r>
        <w:rPr>
          <w:spacing w:val="-3"/>
          <w:sz w:val="21"/>
        </w:rPr>
        <w:t>防</w:t>
      </w:r>
      <w:r>
        <w:rPr>
          <w:spacing w:val="-5"/>
          <w:sz w:val="21"/>
        </w:rPr>
        <w:t>火</w:t>
      </w:r>
      <w:r>
        <w:rPr>
          <w:spacing w:val="-3"/>
          <w:sz w:val="21"/>
        </w:rPr>
        <w:t>卷</w:t>
      </w:r>
      <w:r>
        <w:rPr>
          <w:spacing w:val="-8"/>
          <w:sz w:val="21"/>
        </w:rPr>
        <w:t>帘</w:t>
      </w:r>
      <w:r>
        <w:rPr>
          <w:sz w:val="21"/>
        </w:rPr>
        <w:t>施</w:t>
      </w:r>
      <w:r>
        <w:rPr>
          <w:spacing w:val="-5"/>
          <w:sz w:val="21"/>
        </w:rPr>
        <w:t>工</w:t>
      </w:r>
      <w:r>
        <w:rPr>
          <w:spacing w:val="-3"/>
          <w:sz w:val="21"/>
        </w:rPr>
        <w:t>安</w:t>
      </w:r>
      <w:r>
        <w:rPr>
          <w:spacing w:val="-8"/>
          <w:sz w:val="21"/>
        </w:rPr>
        <w:t>装</w:t>
      </w:r>
      <w:r>
        <w:rPr>
          <w:spacing w:val="-5"/>
          <w:sz w:val="21"/>
        </w:rPr>
        <w:t>质</w:t>
      </w:r>
      <w:r>
        <w:rPr>
          <w:spacing w:val="-3"/>
          <w:sz w:val="21"/>
        </w:rPr>
        <w:t>量的</w:t>
      </w:r>
      <w:r>
        <w:rPr>
          <w:spacing w:val="-5"/>
          <w:sz w:val="21"/>
        </w:rPr>
        <w:t>验</w:t>
      </w:r>
      <w:r>
        <w:rPr>
          <w:spacing w:val="-3"/>
          <w:sz w:val="21"/>
        </w:rPr>
        <w:t>收</w:t>
      </w:r>
      <w:r>
        <w:rPr>
          <w:spacing w:val="-8"/>
          <w:sz w:val="21"/>
        </w:rPr>
        <w:t>应</w:t>
      </w:r>
      <w:r>
        <w:rPr>
          <w:spacing w:val="-3"/>
          <w:sz w:val="21"/>
        </w:rPr>
        <w:t>符</w:t>
      </w:r>
      <w:r>
        <w:rPr>
          <w:spacing w:val="-5"/>
          <w:sz w:val="21"/>
        </w:rPr>
        <w:t>合</w:t>
      </w:r>
      <w:r>
        <w:rPr>
          <w:sz w:val="21"/>
        </w:rPr>
        <w:t>本</w:t>
      </w:r>
      <w:r>
        <w:rPr>
          <w:spacing w:val="-8"/>
          <w:sz w:val="21"/>
        </w:rPr>
        <w:t>规范</w:t>
      </w:r>
      <w:r>
        <w:rPr>
          <w:sz w:val="21"/>
        </w:rPr>
        <w:t>第</w:t>
      </w:r>
      <w:r>
        <w:rPr>
          <w:sz w:val="21"/>
        </w:rPr>
        <w:t>5.2</w:t>
      </w:r>
      <w:r>
        <w:rPr>
          <w:spacing w:val="25"/>
          <w:sz w:val="21"/>
        </w:rPr>
        <w:t xml:space="preserve"> </w:t>
      </w:r>
      <w:r>
        <w:rPr>
          <w:spacing w:val="-8"/>
          <w:sz w:val="21"/>
        </w:rPr>
        <w:t>节</w:t>
      </w:r>
      <w:r>
        <w:rPr>
          <w:spacing w:val="-3"/>
          <w:sz w:val="21"/>
        </w:rPr>
        <w:t>的</w:t>
      </w:r>
      <w:r>
        <w:rPr>
          <w:spacing w:val="-5"/>
          <w:sz w:val="21"/>
        </w:rPr>
        <w:t>规</w:t>
      </w:r>
      <w:r>
        <w:rPr>
          <w:spacing w:val="-3"/>
          <w:sz w:val="21"/>
        </w:rPr>
        <w:t>定。</w:t>
      </w:r>
      <w:r>
        <w:rPr>
          <w:sz w:val="21"/>
        </w:rPr>
        <w:t xml:space="preserve"> </w:t>
      </w:r>
      <w:r>
        <w:rPr>
          <w:sz w:val="21"/>
        </w:rPr>
        <w:tab/>
      </w:r>
      <w:r>
        <w:rPr>
          <w:sz w:val="21"/>
        </w:rPr>
        <w:t xml:space="preserve"> </w:t>
      </w:r>
    </w:p>
    <w:p w14:paraId="6A209708" w14:textId="77777777" w:rsidR="00A71EEF" w:rsidRDefault="00A71EEF">
      <w:pPr>
        <w:pStyle w:val="a3"/>
        <w:spacing w:before="12"/>
      </w:pPr>
    </w:p>
    <w:p w14:paraId="7F4EEF9C" w14:textId="77777777" w:rsidR="00A71EEF" w:rsidRDefault="0081115D">
      <w:pPr>
        <w:pStyle w:val="a4"/>
        <w:numPr>
          <w:ilvl w:val="2"/>
          <w:numId w:val="133"/>
        </w:numPr>
        <w:tabs>
          <w:tab w:val="left" w:pos="1371"/>
          <w:tab w:val="left" w:pos="7244"/>
        </w:tabs>
        <w:ind w:left="1370" w:hanging="531"/>
        <w:rPr>
          <w:sz w:val="21"/>
        </w:rPr>
      </w:pPr>
      <w:r>
        <w:rPr>
          <w:spacing w:val="-3"/>
          <w:sz w:val="21"/>
        </w:rPr>
        <w:t>防</w:t>
      </w:r>
      <w:r>
        <w:rPr>
          <w:spacing w:val="-5"/>
          <w:sz w:val="21"/>
        </w:rPr>
        <w:t>火</w:t>
      </w:r>
      <w:r>
        <w:rPr>
          <w:spacing w:val="-3"/>
          <w:sz w:val="21"/>
        </w:rPr>
        <w:t>卷</w:t>
      </w:r>
      <w:r>
        <w:rPr>
          <w:spacing w:val="-8"/>
          <w:sz w:val="21"/>
        </w:rPr>
        <w:t>帘</w:t>
      </w:r>
      <w:r>
        <w:rPr>
          <w:sz w:val="21"/>
        </w:rPr>
        <w:t>系</w:t>
      </w:r>
      <w:r>
        <w:rPr>
          <w:spacing w:val="-5"/>
          <w:sz w:val="21"/>
        </w:rPr>
        <w:t>统</w:t>
      </w:r>
      <w:r>
        <w:rPr>
          <w:spacing w:val="-3"/>
          <w:sz w:val="21"/>
        </w:rPr>
        <w:t>功</w:t>
      </w:r>
      <w:r>
        <w:rPr>
          <w:spacing w:val="-8"/>
          <w:sz w:val="21"/>
        </w:rPr>
        <w:t>能</w:t>
      </w:r>
      <w:r>
        <w:rPr>
          <w:spacing w:val="-5"/>
          <w:sz w:val="21"/>
        </w:rPr>
        <w:t>验</w:t>
      </w:r>
      <w:r>
        <w:rPr>
          <w:spacing w:val="-3"/>
          <w:sz w:val="21"/>
        </w:rPr>
        <w:t>收应</w:t>
      </w:r>
      <w:r>
        <w:rPr>
          <w:spacing w:val="-5"/>
          <w:sz w:val="21"/>
        </w:rPr>
        <w:t>符</w:t>
      </w:r>
      <w:r>
        <w:rPr>
          <w:spacing w:val="-3"/>
          <w:sz w:val="21"/>
        </w:rPr>
        <w:t>合</w:t>
      </w:r>
      <w:r>
        <w:rPr>
          <w:spacing w:val="-8"/>
          <w:sz w:val="21"/>
        </w:rPr>
        <w:t>本</w:t>
      </w:r>
      <w:r>
        <w:rPr>
          <w:spacing w:val="-3"/>
          <w:sz w:val="21"/>
        </w:rPr>
        <w:t>规</w:t>
      </w:r>
      <w:r>
        <w:rPr>
          <w:spacing w:val="-5"/>
          <w:sz w:val="21"/>
        </w:rPr>
        <w:t>范</w:t>
      </w:r>
      <w:r>
        <w:rPr>
          <w:sz w:val="21"/>
        </w:rPr>
        <w:t>第</w:t>
      </w:r>
      <w:r>
        <w:rPr>
          <w:sz w:val="21"/>
        </w:rPr>
        <w:t>6.2</w:t>
      </w:r>
      <w:r>
        <w:rPr>
          <w:spacing w:val="15"/>
          <w:sz w:val="21"/>
        </w:rPr>
        <w:t xml:space="preserve"> </w:t>
      </w:r>
      <w:r>
        <w:rPr>
          <w:spacing w:val="-5"/>
          <w:sz w:val="21"/>
        </w:rPr>
        <w:t>节</w:t>
      </w:r>
      <w:r>
        <w:rPr>
          <w:spacing w:val="-3"/>
          <w:sz w:val="21"/>
        </w:rPr>
        <w:t>的规</w:t>
      </w:r>
      <w:r>
        <w:rPr>
          <w:spacing w:val="-5"/>
          <w:sz w:val="21"/>
        </w:rPr>
        <w:t>定</w:t>
      </w:r>
      <w:r>
        <w:rPr>
          <w:spacing w:val="-3"/>
          <w:sz w:val="21"/>
        </w:rPr>
        <w:t>。</w:t>
      </w:r>
      <w:r>
        <w:rPr>
          <w:sz w:val="21"/>
        </w:rPr>
        <w:t xml:space="preserve"> </w:t>
      </w:r>
      <w:r>
        <w:rPr>
          <w:sz w:val="21"/>
        </w:rPr>
        <w:tab/>
      </w:r>
      <w:r>
        <w:rPr>
          <w:sz w:val="21"/>
        </w:rPr>
        <w:t xml:space="preserve"> </w:t>
      </w:r>
    </w:p>
    <w:p w14:paraId="124B2E7C" w14:textId="77777777" w:rsidR="00A71EEF" w:rsidRDefault="00A71EEF">
      <w:pPr>
        <w:pStyle w:val="a3"/>
        <w:spacing w:before="2"/>
        <w:rPr>
          <w:sz w:val="18"/>
        </w:rPr>
      </w:pPr>
    </w:p>
    <w:p w14:paraId="6942F36E" w14:textId="77777777" w:rsidR="00A71EEF" w:rsidRDefault="0081115D">
      <w:pPr>
        <w:pStyle w:val="a4"/>
        <w:numPr>
          <w:ilvl w:val="1"/>
          <w:numId w:val="133"/>
        </w:numPr>
        <w:tabs>
          <w:tab w:val="left" w:pos="1159"/>
        </w:tabs>
        <w:ind w:hanging="319"/>
        <w:rPr>
          <w:sz w:val="21"/>
        </w:rPr>
      </w:pPr>
      <w:r>
        <w:rPr>
          <w:spacing w:val="-3"/>
          <w:sz w:val="21"/>
        </w:rPr>
        <w:t>防火门验收</w:t>
      </w:r>
      <w:r>
        <w:rPr>
          <w:sz w:val="21"/>
        </w:rPr>
        <w:t xml:space="preserve"> </w:t>
      </w:r>
    </w:p>
    <w:p w14:paraId="4881BF7E" w14:textId="77777777" w:rsidR="00A71EEF" w:rsidRDefault="00A71EEF">
      <w:pPr>
        <w:pStyle w:val="a3"/>
        <w:spacing w:before="1"/>
        <w:rPr>
          <w:sz w:val="19"/>
        </w:rPr>
      </w:pPr>
    </w:p>
    <w:p w14:paraId="349C1A45" w14:textId="77777777" w:rsidR="00A71EEF" w:rsidRDefault="0081115D">
      <w:pPr>
        <w:pStyle w:val="a4"/>
        <w:numPr>
          <w:ilvl w:val="2"/>
          <w:numId w:val="133"/>
        </w:numPr>
        <w:tabs>
          <w:tab w:val="left" w:pos="1371"/>
        </w:tabs>
        <w:ind w:left="1370" w:hanging="531"/>
        <w:rPr>
          <w:sz w:val="21"/>
        </w:rPr>
      </w:pPr>
      <w:r>
        <w:rPr>
          <w:spacing w:val="-3"/>
          <w:sz w:val="21"/>
        </w:rPr>
        <w:t>防火门的型号、规格、数量、安装位置等应符合设计要求。</w:t>
      </w:r>
      <w:r>
        <w:rPr>
          <w:spacing w:val="-3"/>
          <w:sz w:val="21"/>
        </w:rPr>
        <w:t xml:space="preserve"> </w:t>
      </w:r>
      <w:r>
        <w:rPr>
          <w:sz w:val="21"/>
        </w:rPr>
        <w:t xml:space="preserve"> </w:t>
      </w:r>
    </w:p>
    <w:p w14:paraId="63A88635" w14:textId="77777777" w:rsidR="00A71EEF" w:rsidRDefault="00A71EEF">
      <w:pPr>
        <w:rPr>
          <w:sz w:val="21"/>
        </w:rPr>
        <w:sectPr w:rsidR="00A71EEF">
          <w:footerReference w:type="default" r:id="rId466"/>
          <w:pgSz w:w="11910" w:h="16850"/>
          <w:pgMar w:top="1220" w:right="0" w:bottom="1420" w:left="1260" w:header="0" w:footer="1239" w:gutter="0"/>
          <w:pgNumType w:start="1500"/>
          <w:cols w:space="720"/>
        </w:sectPr>
      </w:pPr>
    </w:p>
    <w:p w14:paraId="5331817C" w14:textId="77777777" w:rsidR="00A71EEF" w:rsidRDefault="0081115D">
      <w:pPr>
        <w:pStyle w:val="a3"/>
        <w:spacing w:before="45"/>
        <w:ind w:left="838"/>
      </w:pPr>
      <w:r>
        <w:t>检查数量：全数检查。</w:t>
      </w:r>
      <w:r>
        <w:t xml:space="preserve">  </w:t>
      </w:r>
    </w:p>
    <w:p w14:paraId="2D4150E8" w14:textId="77777777" w:rsidR="00A71EEF" w:rsidRDefault="00A71EEF">
      <w:pPr>
        <w:pStyle w:val="a3"/>
        <w:spacing w:before="4"/>
        <w:rPr>
          <w:sz w:val="19"/>
        </w:rPr>
      </w:pPr>
    </w:p>
    <w:p w14:paraId="3DC9AC79" w14:textId="77777777" w:rsidR="00A71EEF" w:rsidRDefault="0081115D">
      <w:pPr>
        <w:pStyle w:val="a3"/>
        <w:ind w:left="838"/>
      </w:pPr>
      <w:r>
        <w:t>检查方法：直观检查；对照设计文件查看。</w:t>
      </w:r>
      <w:r>
        <w:t xml:space="preserve">  </w:t>
      </w:r>
      <w:hyperlink r:id="rId467" w:anchor="731">
        <w:r>
          <w:t xml:space="preserve"> </w:t>
        </w:r>
      </w:hyperlink>
      <w:r>
        <w:t xml:space="preserve"> </w:t>
      </w:r>
    </w:p>
    <w:p w14:paraId="7CEA6FC6" w14:textId="77777777" w:rsidR="00A71EEF" w:rsidRDefault="00A71EEF">
      <w:pPr>
        <w:pStyle w:val="a3"/>
        <w:spacing w:before="6"/>
        <w:rPr>
          <w:sz w:val="19"/>
        </w:rPr>
      </w:pPr>
    </w:p>
    <w:p w14:paraId="48CF0C9E" w14:textId="77777777" w:rsidR="00A71EEF" w:rsidRDefault="0081115D">
      <w:pPr>
        <w:pStyle w:val="a4"/>
        <w:numPr>
          <w:ilvl w:val="2"/>
          <w:numId w:val="133"/>
        </w:numPr>
        <w:tabs>
          <w:tab w:val="left" w:pos="1371"/>
        </w:tabs>
        <w:ind w:left="1370" w:hanging="531"/>
        <w:rPr>
          <w:sz w:val="21"/>
        </w:rPr>
      </w:pPr>
      <w:r>
        <w:rPr>
          <w:spacing w:val="-3"/>
          <w:sz w:val="21"/>
        </w:rPr>
        <w:t>防火门安装质量的验收应符合本规范第</w:t>
      </w:r>
      <w:r>
        <w:rPr>
          <w:spacing w:val="-3"/>
          <w:sz w:val="21"/>
        </w:rPr>
        <w:t xml:space="preserve"> </w:t>
      </w:r>
      <w:r>
        <w:rPr>
          <w:sz w:val="21"/>
        </w:rPr>
        <w:t>5.3</w:t>
      </w:r>
      <w:r>
        <w:rPr>
          <w:spacing w:val="-3"/>
          <w:sz w:val="21"/>
        </w:rPr>
        <w:t xml:space="preserve"> </w:t>
      </w:r>
      <w:r>
        <w:rPr>
          <w:spacing w:val="-3"/>
          <w:sz w:val="21"/>
        </w:rPr>
        <w:t>节的规定。</w:t>
      </w:r>
      <w:r>
        <w:rPr>
          <w:spacing w:val="-8"/>
          <w:sz w:val="21"/>
        </w:rPr>
        <w:t xml:space="preserve"> </w:t>
      </w:r>
      <w:hyperlink r:id="rId468" w:anchor="732">
        <w:r>
          <w:rPr>
            <w:sz w:val="21"/>
          </w:rPr>
          <w:t xml:space="preserve"> </w:t>
        </w:r>
      </w:hyperlink>
      <w:r>
        <w:rPr>
          <w:sz w:val="21"/>
        </w:rPr>
        <w:t xml:space="preserve"> </w:t>
      </w:r>
    </w:p>
    <w:p w14:paraId="4A23F5D2" w14:textId="77777777" w:rsidR="00A71EEF" w:rsidRDefault="00A71EEF">
      <w:pPr>
        <w:pStyle w:val="a3"/>
        <w:spacing w:before="3"/>
        <w:rPr>
          <w:sz w:val="19"/>
        </w:rPr>
      </w:pPr>
    </w:p>
    <w:p w14:paraId="609A4CC2" w14:textId="77777777" w:rsidR="00A71EEF" w:rsidRDefault="0081115D">
      <w:pPr>
        <w:pStyle w:val="a4"/>
        <w:numPr>
          <w:ilvl w:val="2"/>
          <w:numId w:val="133"/>
        </w:numPr>
        <w:tabs>
          <w:tab w:val="left" w:pos="1370"/>
          <w:tab w:val="left" w:pos="6718"/>
        </w:tabs>
        <w:ind w:left="1369" w:hanging="530"/>
        <w:rPr>
          <w:b/>
          <w:sz w:val="21"/>
        </w:rPr>
      </w:pPr>
      <w:r>
        <w:rPr>
          <w:spacing w:val="-3"/>
          <w:sz w:val="21"/>
        </w:rPr>
        <w:t>防</w:t>
      </w:r>
      <w:r>
        <w:rPr>
          <w:sz w:val="21"/>
        </w:rPr>
        <w:t>火</w:t>
      </w:r>
      <w:r>
        <w:rPr>
          <w:spacing w:val="-3"/>
          <w:sz w:val="21"/>
        </w:rPr>
        <w:t>门</w:t>
      </w:r>
      <w:r>
        <w:rPr>
          <w:sz w:val="21"/>
        </w:rPr>
        <w:t>控</w:t>
      </w:r>
      <w:r>
        <w:rPr>
          <w:spacing w:val="-3"/>
          <w:sz w:val="21"/>
        </w:rPr>
        <w:t>制</w:t>
      </w:r>
      <w:r>
        <w:rPr>
          <w:sz w:val="21"/>
        </w:rPr>
        <w:t>功</w:t>
      </w:r>
      <w:r>
        <w:rPr>
          <w:spacing w:val="-3"/>
          <w:sz w:val="21"/>
        </w:rPr>
        <w:t>能验</w:t>
      </w:r>
      <w:r>
        <w:rPr>
          <w:sz w:val="21"/>
        </w:rPr>
        <w:t>收应</w:t>
      </w:r>
      <w:r>
        <w:rPr>
          <w:spacing w:val="-3"/>
          <w:sz w:val="21"/>
        </w:rPr>
        <w:t>符</w:t>
      </w:r>
      <w:r>
        <w:rPr>
          <w:sz w:val="21"/>
        </w:rPr>
        <w:t>合</w:t>
      </w:r>
      <w:r>
        <w:rPr>
          <w:spacing w:val="-3"/>
          <w:sz w:val="21"/>
        </w:rPr>
        <w:t>本</w:t>
      </w:r>
      <w:r>
        <w:rPr>
          <w:sz w:val="21"/>
        </w:rPr>
        <w:t>规</w:t>
      </w:r>
      <w:r>
        <w:rPr>
          <w:spacing w:val="-3"/>
          <w:sz w:val="21"/>
        </w:rPr>
        <w:t>范</w:t>
      </w:r>
      <w:r>
        <w:rPr>
          <w:sz w:val="21"/>
        </w:rPr>
        <w:t>第</w:t>
      </w:r>
      <w:r>
        <w:rPr>
          <w:spacing w:val="12"/>
          <w:sz w:val="21"/>
        </w:rPr>
        <w:t xml:space="preserve"> </w:t>
      </w:r>
      <w:r>
        <w:rPr>
          <w:sz w:val="21"/>
        </w:rPr>
        <w:t>6.3</w:t>
      </w:r>
      <w:r>
        <w:rPr>
          <w:spacing w:val="9"/>
          <w:sz w:val="21"/>
        </w:rPr>
        <w:t xml:space="preserve"> </w:t>
      </w:r>
      <w:r>
        <w:rPr>
          <w:spacing w:val="-3"/>
          <w:sz w:val="21"/>
        </w:rPr>
        <w:t>节</w:t>
      </w:r>
      <w:r>
        <w:rPr>
          <w:sz w:val="21"/>
        </w:rPr>
        <w:t>的规</w:t>
      </w:r>
      <w:r>
        <w:rPr>
          <w:spacing w:val="-3"/>
          <w:sz w:val="21"/>
        </w:rPr>
        <w:t>定。</w:t>
      </w:r>
      <w:r>
        <w:rPr>
          <w:sz w:val="21"/>
        </w:rPr>
        <w:t xml:space="preserve"> </w:t>
      </w:r>
      <w:r>
        <w:rPr>
          <w:sz w:val="21"/>
        </w:rPr>
        <w:tab/>
      </w:r>
      <w:hyperlink r:id="rId469" w:anchor="733">
        <w:r>
          <w:rPr>
            <w:b/>
            <w:w w:val="99"/>
            <w:sz w:val="21"/>
          </w:rPr>
          <w:t xml:space="preserve"> </w:t>
        </w:r>
      </w:hyperlink>
      <w:r>
        <w:rPr>
          <w:b/>
          <w:w w:val="99"/>
          <w:sz w:val="21"/>
        </w:rPr>
        <w:t xml:space="preserve"> </w:t>
      </w:r>
    </w:p>
    <w:p w14:paraId="1A7F95A8" w14:textId="77777777" w:rsidR="00A71EEF" w:rsidRDefault="00A71EEF">
      <w:pPr>
        <w:pStyle w:val="a3"/>
        <w:spacing w:before="2"/>
        <w:rPr>
          <w:b/>
          <w:sz w:val="18"/>
        </w:rPr>
      </w:pPr>
    </w:p>
    <w:p w14:paraId="2B9D0614" w14:textId="77777777" w:rsidR="00A71EEF" w:rsidRDefault="0081115D">
      <w:pPr>
        <w:pStyle w:val="a4"/>
        <w:numPr>
          <w:ilvl w:val="1"/>
          <w:numId w:val="133"/>
        </w:numPr>
        <w:tabs>
          <w:tab w:val="left" w:pos="1159"/>
        </w:tabs>
        <w:ind w:hanging="319"/>
        <w:rPr>
          <w:b/>
          <w:sz w:val="21"/>
        </w:rPr>
      </w:pPr>
      <w:r>
        <w:rPr>
          <w:spacing w:val="-3"/>
          <w:sz w:val="21"/>
        </w:rPr>
        <w:t>防火窗验收</w:t>
      </w:r>
      <w:r>
        <w:rPr>
          <w:b/>
          <w:w w:val="99"/>
          <w:sz w:val="21"/>
        </w:rPr>
        <w:t xml:space="preserve"> </w:t>
      </w:r>
    </w:p>
    <w:p w14:paraId="41FF0202" w14:textId="77777777" w:rsidR="00A71EEF" w:rsidRDefault="00A71EEF">
      <w:pPr>
        <w:pStyle w:val="a3"/>
        <w:spacing w:before="2"/>
        <w:rPr>
          <w:b/>
          <w:sz w:val="18"/>
        </w:rPr>
      </w:pPr>
    </w:p>
    <w:p w14:paraId="6EFCF146" w14:textId="77777777" w:rsidR="00A71EEF" w:rsidRDefault="0081115D">
      <w:pPr>
        <w:spacing w:line="446" w:lineRule="auto"/>
        <w:ind w:left="418" w:right="3908" w:firstLine="422"/>
        <w:rPr>
          <w:sz w:val="21"/>
        </w:rPr>
      </w:pPr>
      <w:r>
        <w:rPr>
          <w:b/>
          <w:sz w:val="21"/>
        </w:rPr>
        <w:t xml:space="preserve">7. 4. 1 </w:t>
      </w:r>
      <w:r>
        <w:rPr>
          <w:sz w:val="21"/>
        </w:rPr>
        <w:t>防火窗的型号、规格、数量、安装位置等应符合设计要求。</w:t>
      </w:r>
      <w:r>
        <w:rPr>
          <w:sz w:val="21"/>
        </w:rPr>
        <w:t xml:space="preserve">  </w:t>
      </w:r>
    </w:p>
    <w:p w14:paraId="78C0EF81" w14:textId="77777777" w:rsidR="00A71EEF" w:rsidRDefault="0081115D">
      <w:pPr>
        <w:pStyle w:val="a3"/>
        <w:spacing w:line="267" w:lineRule="exact"/>
        <w:ind w:left="826"/>
      </w:pPr>
      <w:r>
        <w:t>检查数量：全数检查。</w:t>
      </w:r>
      <w:r>
        <w:t xml:space="preserve">  </w:t>
      </w:r>
    </w:p>
    <w:p w14:paraId="1CB1296B" w14:textId="77777777" w:rsidR="00A71EEF" w:rsidRDefault="00A71EEF">
      <w:pPr>
        <w:pStyle w:val="a3"/>
        <w:spacing w:before="2"/>
        <w:rPr>
          <w:sz w:val="18"/>
        </w:rPr>
      </w:pPr>
    </w:p>
    <w:p w14:paraId="538EA398" w14:textId="77777777" w:rsidR="00A71EEF" w:rsidRDefault="0081115D">
      <w:pPr>
        <w:pStyle w:val="a3"/>
        <w:ind w:left="826"/>
      </w:pPr>
      <w:r>
        <w:t>检查方法：直观检查；对照设计文件查看。</w:t>
      </w:r>
      <w:r>
        <w:t xml:space="preserve">  </w:t>
      </w:r>
      <w:hyperlink r:id="rId470" w:anchor="741">
        <w:r>
          <w:rPr>
            <w:color w:val="DDD9C3"/>
            <w:u w:val="single" w:color="DDD9C3"/>
          </w:rPr>
          <w:t xml:space="preserve"> </w:t>
        </w:r>
      </w:hyperlink>
      <w:r>
        <w:t xml:space="preserve"> </w:t>
      </w:r>
    </w:p>
    <w:p w14:paraId="2226E120" w14:textId="77777777" w:rsidR="00A71EEF" w:rsidRDefault="00A71EEF">
      <w:pPr>
        <w:pStyle w:val="a3"/>
        <w:spacing w:before="3"/>
        <w:rPr>
          <w:sz w:val="14"/>
        </w:rPr>
      </w:pPr>
    </w:p>
    <w:p w14:paraId="48975979" w14:textId="77777777" w:rsidR="00A71EEF" w:rsidRDefault="0081115D">
      <w:pPr>
        <w:pStyle w:val="a4"/>
        <w:numPr>
          <w:ilvl w:val="2"/>
          <w:numId w:val="132"/>
        </w:numPr>
        <w:tabs>
          <w:tab w:val="left" w:pos="1370"/>
        </w:tabs>
        <w:spacing w:before="72"/>
        <w:ind w:hanging="530"/>
        <w:rPr>
          <w:sz w:val="21"/>
        </w:rPr>
      </w:pPr>
      <w:r>
        <w:rPr>
          <w:spacing w:val="-8"/>
          <w:sz w:val="21"/>
        </w:rPr>
        <w:t>防火窗安装质量的验收应符合本规范第</w:t>
      </w:r>
      <w:r>
        <w:rPr>
          <w:sz w:val="21"/>
        </w:rPr>
        <w:t>5.4</w:t>
      </w:r>
      <w:r>
        <w:rPr>
          <w:spacing w:val="-5"/>
          <w:sz w:val="21"/>
        </w:rPr>
        <w:t xml:space="preserve"> </w:t>
      </w:r>
      <w:r>
        <w:rPr>
          <w:spacing w:val="-5"/>
          <w:sz w:val="21"/>
        </w:rPr>
        <w:t>节的规定。</w:t>
      </w:r>
      <w:r>
        <w:rPr>
          <w:sz w:val="21"/>
        </w:rPr>
        <w:t xml:space="preserve">  </w:t>
      </w:r>
      <w:r>
        <w:rPr>
          <w:spacing w:val="-50"/>
          <w:sz w:val="21"/>
        </w:rPr>
        <w:t xml:space="preserve"> </w:t>
      </w:r>
      <w:hyperlink r:id="rId471" w:anchor="742">
        <w:r>
          <w:rPr>
            <w:color w:val="DDD9C3"/>
            <w:sz w:val="21"/>
            <w:u w:val="single" w:color="DDD9C3"/>
          </w:rPr>
          <w:t xml:space="preserve"> </w:t>
        </w:r>
      </w:hyperlink>
      <w:r>
        <w:rPr>
          <w:sz w:val="21"/>
        </w:rPr>
        <w:t xml:space="preserve"> </w:t>
      </w:r>
    </w:p>
    <w:p w14:paraId="7150506B" w14:textId="77777777" w:rsidR="00A71EEF" w:rsidRDefault="00A71EEF">
      <w:pPr>
        <w:pStyle w:val="a3"/>
        <w:spacing w:before="7"/>
        <w:rPr>
          <w:sz w:val="12"/>
        </w:rPr>
      </w:pPr>
    </w:p>
    <w:p w14:paraId="312A146E" w14:textId="77777777" w:rsidR="00A71EEF" w:rsidRDefault="0081115D">
      <w:pPr>
        <w:pStyle w:val="a4"/>
        <w:numPr>
          <w:ilvl w:val="2"/>
          <w:numId w:val="132"/>
        </w:numPr>
        <w:tabs>
          <w:tab w:val="left" w:pos="1370"/>
        </w:tabs>
        <w:spacing w:before="71"/>
        <w:ind w:hanging="530"/>
        <w:rPr>
          <w:sz w:val="21"/>
        </w:rPr>
      </w:pPr>
      <w:r>
        <w:rPr>
          <w:spacing w:val="-8"/>
          <w:sz w:val="21"/>
        </w:rPr>
        <w:t>活动式防火窗控制功能的验收应符合本规范第</w:t>
      </w:r>
      <w:r>
        <w:rPr>
          <w:spacing w:val="-106"/>
          <w:sz w:val="21"/>
        </w:rPr>
        <w:t>6</w:t>
      </w:r>
      <w:r>
        <w:rPr>
          <w:spacing w:val="1"/>
          <w:sz w:val="21"/>
        </w:rPr>
        <w:t xml:space="preserve"> </w:t>
      </w:r>
      <w:r>
        <w:rPr>
          <w:sz w:val="21"/>
        </w:rPr>
        <w:t>.4</w:t>
      </w:r>
      <w:r>
        <w:rPr>
          <w:spacing w:val="-5"/>
          <w:sz w:val="21"/>
        </w:rPr>
        <w:t xml:space="preserve"> </w:t>
      </w:r>
      <w:r>
        <w:rPr>
          <w:spacing w:val="-5"/>
          <w:sz w:val="21"/>
        </w:rPr>
        <w:t>节的规定。</w:t>
      </w:r>
      <w:r>
        <w:rPr>
          <w:spacing w:val="-43"/>
          <w:sz w:val="21"/>
        </w:rPr>
        <w:t xml:space="preserve"> </w:t>
      </w:r>
      <w:hyperlink r:id="rId472" w:anchor="743">
        <w:r>
          <w:rPr>
            <w:emboss/>
            <w:color w:val="DDD9C3"/>
            <w:spacing w:val="-8"/>
            <w:sz w:val="21"/>
            <w:u w:val="single" w:color="DDD9C3"/>
          </w:rPr>
          <w:t xml:space="preserve"> </w:t>
        </w:r>
      </w:hyperlink>
      <w:r>
        <w:rPr>
          <w:sz w:val="21"/>
        </w:rPr>
        <w:t xml:space="preserve"> </w:t>
      </w:r>
    </w:p>
    <w:p w14:paraId="365E87AB" w14:textId="77777777" w:rsidR="00A71EEF" w:rsidRDefault="00A71EEF">
      <w:pPr>
        <w:pStyle w:val="a3"/>
        <w:spacing w:before="8"/>
        <w:rPr>
          <w:sz w:val="10"/>
        </w:rPr>
      </w:pPr>
    </w:p>
    <w:p w14:paraId="63877E71" w14:textId="77777777" w:rsidR="00A71EEF" w:rsidRDefault="0081115D">
      <w:pPr>
        <w:pStyle w:val="4"/>
        <w:spacing w:before="67"/>
      </w:pPr>
      <w:r>
        <w:t xml:space="preserve">8 </w:t>
      </w:r>
      <w:r>
        <w:t>使用与维护</w:t>
      </w:r>
      <w:r>
        <w:rPr>
          <w:w w:val="99"/>
        </w:rPr>
        <w:t xml:space="preserve"> </w:t>
      </w:r>
    </w:p>
    <w:p w14:paraId="600A8E4A" w14:textId="77777777" w:rsidR="00A71EEF" w:rsidRDefault="00A71EEF">
      <w:pPr>
        <w:pStyle w:val="a3"/>
        <w:spacing w:before="4"/>
        <w:rPr>
          <w:b/>
          <w:sz w:val="17"/>
        </w:rPr>
      </w:pPr>
    </w:p>
    <w:p w14:paraId="1001938A" w14:textId="77777777" w:rsidR="00A71EEF" w:rsidRDefault="0081115D">
      <w:pPr>
        <w:pStyle w:val="a4"/>
        <w:numPr>
          <w:ilvl w:val="2"/>
          <w:numId w:val="131"/>
        </w:numPr>
        <w:tabs>
          <w:tab w:val="left" w:pos="1371"/>
        </w:tabs>
        <w:spacing w:line="446" w:lineRule="auto"/>
        <w:ind w:right="3159" w:firstLine="2"/>
        <w:rPr>
          <w:sz w:val="21"/>
        </w:rPr>
      </w:pPr>
      <w:r>
        <w:rPr>
          <w:spacing w:val="-7"/>
          <w:sz w:val="21"/>
        </w:rPr>
        <w:t>防火卷帘、防火门、防火窗投入使用时，应具备下列文件资料：</w:t>
      </w:r>
      <w:r>
        <w:rPr>
          <w:spacing w:val="-7"/>
          <w:sz w:val="21"/>
        </w:rPr>
        <w:t xml:space="preserve"> </w:t>
      </w:r>
      <w:r>
        <w:rPr>
          <w:spacing w:val="-7"/>
          <w:sz w:val="21"/>
        </w:rPr>
        <w:t>工</w:t>
      </w:r>
      <w:r>
        <w:rPr>
          <w:spacing w:val="-8"/>
          <w:sz w:val="21"/>
        </w:rPr>
        <w:t>程竣工图及主要设备、零配件的产品说明书。</w:t>
      </w:r>
      <w:r>
        <w:rPr>
          <w:spacing w:val="-8"/>
          <w:sz w:val="21"/>
        </w:rPr>
        <w:t xml:space="preserve"> </w:t>
      </w:r>
    </w:p>
    <w:p w14:paraId="2785C2C4" w14:textId="77777777" w:rsidR="00A71EEF" w:rsidRDefault="0081115D">
      <w:pPr>
        <w:pStyle w:val="a3"/>
        <w:spacing w:line="487" w:lineRule="auto"/>
        <w:ind w:left="838" w:right="7005"/>
      </w:pPr>
      <w:r>
        <w:rPr>
          <w:spacing w:val="-7"/>
        </w:rPr>
        <w:t>设备工作流程图及操作规程。设备检查、维护管理制度。</w:t>
      </w:r>
      <w:r>
        <w:rPr>
          <w:spacing w:val="-7"/>
        </w:rPr>
        <w:t xml:space="preserve">  </w:t>
      </w:r>
      <w:r>
        <w:rPr>
          <w:spacing w:val="-8"/>
        </w:rPr>
        <w:t>设备检查、维护管理记录。</w:t>
      </w:r>
      <w:r>
        <w:rPr>
          <w:spacing w:val="-8"/>
        </w:rPr>
        <w:t xml:space="preserve"> </w:t>
      </w:r>
    </w:p>
    <w:p w14:paraId="518DA46E" w14:textId="77777777" w:rsidR="00A71EEF" w:rsidRDefault="0081115D">
      <w:pPr>
        <w:pStyle w:val="a3"/>
        <w:tabs>
          <w:tab w:val="left" w:pos="4162"/>
        </w:tabs>
        <w:spacing w:before="8"/>
        <w:ind w:left="838"/>
      </w:pPr>
      <w:r>
        <w:t>操</w:t>
      </w:r>
      <w:r>
        <w:rPr>
          <w:spacing w:val="-8"/>
        </w:rPr>
        <w:t>作</w:t>
      </w:r>
      <w:r>
        <w:rPr>
          <w:spacing w:val="-3"/>
        </w:rPr>
        <w:t>员</w:t>
      </w:r>
      <w:r>
        <w:rPr>
          <w:spacing w:val="-5"/>
        </w:rPr>
        <w:t>名</w:t>
      </w:r>
      <w:r>
        <w:rPr>
          <w:spacing w:val="-3"/>
        </w:rPr>
        <w:t>册</w:t>
      </w:r>
      <w:r>
        <w:rPr>
          <w:spacing w:val="-8"/>
        </w:rPr>
        <w:t>及</w:t>
      </w:r>
      <w:r>
        <w:rPr>
          <w:spacing w:val="-3"/>
        </w:rPr>
        <w:t>相</w:t>
      </w:r>
      <w:r>
        <w:rPr>
          <w:spacing w:val="-8"/>
        </w:rPr>
        <w:t>应</w:t>
      </w:r>
      <w:r>
        <w:rPr>
          <w:spacing w:val="-5"/>
        </w:rPr>
        <w:t>的</w:t>
      </w:r>
      <w:r>
        <w:rPr>
          <w:spacing w:val="-3"/>
        </w:rPr>
        <w:t>工作</w:t>
      </w:r>
      <w:r>
        <w:rPr>
          <w:spacing w:val="-5"/>
        </w:rPr>
        <w:t>职</w:t>
      </w:r>
      <w:r>
        <w:rPr>
          <w:spacing w:val="-3"/>
        </w:rPr>
        <w:t>责。</w:t>
      </w:r>
      <w:r>
        <w:t xml:space="preserve"> </w:t>
      </w:r>
      <w:r>
        <w:tab/>
      </w:r>
      <w:hyperlink r:id="rId473" w:anchor="801">
        <w:r>
          <w:rPr>
            <w:color w:val="DDD9C3"/>
            <w:spacing w:val="-8"/>
            <w:u w:val="single" w:color="DDD9C3"/>
          </w:rPr>
          <w:t xml:space="preserve"> </w:t>
        </w:r>
      </w:hyperlink>
      <w:r>
        <w:t xml:space="preserve"> </w:t>
      </w:r>
    </w:p>
    <w:p w14:paraId="41E9F7E3" w14:textId="77777777" w:rsidR="00A71EEF" w:rsidRDefault="00A71EEF">
      <w:pPr>
        <w:pStyle w:val="a3"/>
        <w:spacing w:before="1"/>
        <w:rPr>
          <w:sz w:val="16"/>
        </w:rPr>
      </w:pPr>
    </w:p>
    <w:p w14:paraId="47D796D5" w14:textId="77777777" w:rsidR="00A71EEF" w:rsidRDefault="0081115D">
      <w:pPr>
        <w:pStyle w:val="a4"/>
        <w:numPr>
          <w:ilvl w:val="2"/>
          <w:numId w:val="131"/>
        </w:numPr>
        <w:tabs>
          <w:tab w:val="left" w:pos="1370"/>
        </w:tabs>
        <w:spacing w:before="72" w:line="448" w:lineRule="auto"/>
        <w:ind w:left="418" w:right="1702" w:firstLine="422"/>
        <w:rPr>
          <w:sz w:val="21"/>
        </w:rPr>
      </w:pPr>
      <w:r>
        <w:rPr>
          <w:spacing w:val="-8"/>
          <w:sz w:val="21"/>
        </w:rPr>
        <w:t>使用单位应配备经过消防专业培训并考试合格的专门人员负责防火卷帘、防火门、</w:t>
      </w:r>
      <w:r>
        <w:rPr>
          <w:spacing w:val="-7"/>
          <w:sz w:val="21"/>
        </w:rPr>
        <w:t>防</w:t>
      </w:r>
      <w:r>
        <w:rPr>
          <w:spacing w:val="-7"/>
          <w:sz w:val="21"/>
        </w:rPr>
        <w:t xml:space="preserve"> </w:t>
      </w:r>
      <w:r>
        <w:rPr>
          <w:spacing w:val="-7"/>
          <w:sz w:val="21"/>
        </w:rPr>
        <w:t>火窗的定期检查和维护管理工作。</w:t>
      </w:r>
      <w:r>
        <w:rPr>
          <w:spacing w:val="-55"/>
          <w:sz w:val="21"/>
        </w:rPr>
        <w:t xml:space="preserve"> </w:t>
      </w:r>
      <w:hyperlink r:id="rId474" w:anchor="802">
        <w:r>
          <w:rPr>
            <w:emboss/>
            <w:color w:val="DDD9C3"/>
            <w:sz w:val="21"/>
            <w:u w:val="single" w:color="DDD9C3"/>
          </w:rPr>
          <w:t xml:space="preserve"> </w:t>
        </w:r>
      </w:hyperlink>
      <w:r>
        <w:rPr>
          <w:sz w:val="21"/>
        </w:rPr>
        <w:t xml:space="preserve"> </w:t>
      </w:r>
    </w:p>
    <w:p w14:paraId="34C23B47" w14:textId="77777777" w:rsidR="00A71EEF" w:rsidRDefault="0081115D">
      <w:pPr>
        <w:pStyle w:val="a4"/>
        <w:numPr>
          <w:ilvl w:val="2"/>
          <w:numId w:val="131"/>
        </w:numPr>
        <w:tabs>
          <w:tab w:val="left" w:pos="1371"/>
        </w:tabs>
        <w:spacing w:before="29"/>
        <w:ind w:left="1370"/>
        <w:rPr>
          <w:sz w:val="21"/>
        </w:rPr>
      </w:pPr>
      <w:r>
        <w:rPr>
          <w:spacing w:val="-24"/>
          <w:sz w:val="21"/>
        </w:rPr>
        <w:t>使用单位</w:t>
      </w:r>
      <w:r>
        <w:rPr>
          <w:spacing w:val="-24"/>
          <w:sz w:val="21"/>
        </w:rPr>
        <w:t>应建立防火卷帘、防火门、防火窗的维护管理档案，其中应包括本规范第</w:t>
      </w:r>
      <w:r>
        <w:rPr>
          <w:sz w:val="21"/>
        </w:rPr>
        <w:t xml:space="preserve"> </w:t>
      </w:r>
    </w:p>
    <w:p w14:paraId="1A68DABA" w14:textId="77777777" w:rsidR="00A71EEF" w:rsidRDefault="00A71EEF">
      <w:pPr>
        <w:pStyle w:val="a3"/>
        <w:spacing w:before="1"/>
        <w:rPr>
          <w:sz w:val="18"/>
        </w:rPr>
      </w:pPr>
    </w:p>
    <w:p w14:paraId="439BD36F" w14:textId="77777777" w:rsidR="00A71EEF" w:rsidRDefault="0081115D">
      <w:pPr>
        <w:pStyle w:val="a3"/>
        <w:spacing w:before="1"/>
        <w:ind w:left="418"/>
      </w:pPr>
      <w:r>
        <w:t xml:space="preserve">8.0.1 </w:t>
      </w:r>
      <w:r>
        <w:t>条规定的文件资料，并应有电子备份档案。</w:t>
      </w:r>
      <w:r>
        <w:t xml:space="preserve"> </w:t>
      </w:r>
      <w:hyperlink r:id="rId475" w:anchor="803">
        <w:r>
          <w:rPr>
            <w:emboss/>
            <w:color w:val="DDD9C3"/>
            <w:u w:val="single" w:color="DDD9C3"/>
          </w:rPr>
          <w:t xml:space="preserve"> </w:t>
        </w:r>
      </w:hyperlink>
      <w:r>
        <w:t xml:space="preserve"> </w:t>
      </w:r>
    </w:p>
    <w:p w14:paraId="4C0B1633" w14:textId="77777777" w:rsidR="00A71EEF" w:rsidRDefault="00A71EEF">
      <w:pPr>
        <w:pStyle w:val="a3"/>
        <w:spacing w:before="1"/>
        <w:rPr>
          <w:sz w:val="16"/>
        </w:rPr>
      </w:pPr>
    </w:p>
    <w:p w14:paraId="605F8A4D" w14:textId="77777777" w:rsidR="00A71EEF" w:rsidRDefault="0081115D">
      <w:pPr>
        <w:pStyle w:val="a4"/>
        <w:numPr>
          <w:ilvl w:val="2"/>
          <w:numId w:val="130"/>
        </w:numPr>
        <w:tabs>
          <w:tab w:val="left" w:pos="1371"/>
        </w:tabs>
        <w:spacing w:before="72" w:line="446" w:lineRule="auto"/>
        <w:ind w:right="1628" w:firstLine="422"/>
        <w:rPr>
          <w:sz w:val="21"/>
        </w:rPr>
      </w:pPr>
      <w:r>
        <w:rPr>
          <w:spacing w:val="-10"/>
          <w:sz w:val="21"/>
        </w:rPr>
        <w:t>防火卷帘、防火门、防火窗及其控制设备应定期检查、维护，并应按本规范附录</w:t>
      </w:r>
      <w:r>
        <w:rPr>
          <w:sz w:val="21"/>
        </w:rPr>
        <w:t>E</w:t>
      </w:r>
      <w:r>
        <w:rPr>
          <w:spacing w:val="18"/>
          <w:sz w:val="21"/>
        </w:rPr>
        <w:t xml:space="preserve"> </w:t>
      </w:r>
      <w:r>
        <w:rPr>
          <w:spacing w:val="18"/>
          <w:sz w:val="21"/>
        </w:rPr>
        <w:t>表</w:t>
      </w:r>
      <w:r>
        <w:rPr>
          <w:spacing w:val="18"/>
          <w:sz w:val="21"/>
        </w:rPr>
        <w:t>E</w:t>
      </w:r>
      <w:r>
        <w:rPr>
          <w:spacing w:val="-7"/>
          <w:sz w:val="21"/>
        </w:rPr>
        <w:t xml:space="preserve"> </w:t>
      </w:r>
      <w:r>
        <w:rPr>
          <w:spacing w:val="-7"/>
          <w:sz w:val="21"/>
        </w:rPr>
        <w:t>填写设备检查、使用和管理记录。</w:t>
      </w:r>
      <w:r>
        <w:rPr>
          <w:sz w:val="21"/>
        </w:rPr>
        <w:t xml:space="preserve"> </w:t>
      </w:r>
      <w:r>
        <w:rPr>
          <w:spacing w:val="-12"/>
          <w:sz w:val="21"/>
        </w:rPr>
        <w:t xml:space="preserve"> </w:t>
      </w:r>
      <w:hyperlink r:id="rId476" w:anchor="804">
        <w:r>
          <w:rPr>
            <w:color w:val="DDD9C3"/>
            <w:spacing w:val="-8"/>
            <w:sz w:val="21"/>
            <w:u w:val="single" w:color="DDD9C3"/>
          </w:rPr>
          <w:t xml:space="preserve"> </w:t>
        </w:r>
      </w:hyperlink>
      <w:r>
        <w:rPr>
          <w:sz w:val="21"/>
        </w:rPr>
        <w:t xml:space="preserve"> </w:t>
      </w:r>
    </w:p>
    <w:p w14:paraId="4C499BC4" w14:textId="77777777" w:rsidR="00A71EEF" w:rsidRDefault="0081115D">
      <w:pPr>
        <w:pStyle w:val="a4"/>
        <w:numPr>
          <w:ilvl w:val="2"/>
          <w:numId w:val="130"/>
        </w:numPr>
        <w:tabs>
          <w:tab w:val="left" w:pos="1371"/>
        </w:tabs>
        <w:spacing w:before="48" w:line="448" w:lineRule="auto"/>
        <w:ind w:right="1810" w:firstLine="422"/>
        <w:rPr>
          <w:sz w:val="21"/>
        </w:rPr>
      </w:pPr>
      <w:r>
        <w:rPr>
          <w:spacing w:val="-8"/>
          <w:sz w:val="21"/>
        </w:rPr>
        <w:t>每日应对防火卷帘下部、常开式防火门门口处、活动式防火窗窗口处进行一次检查</w:t>
      </w:r>
      <w:r>
        <w:rPr>
          <w:spacing w:val="-7"/>
          <w:sz w:val="21"/>
        </w:rPr>
        <w:t>，</w:t>
      </w:r>
      <w:r>
        <w:rPr>
          <w:spacing w:val="-7"/>
          <w:sz w:val="21"/>
        </w:rPr>
        <w:t xml:space="preserve"> </w:t>
      </w:r>
      <w:r>
        <w:rPr>
          <w:spacing w:val="-7"/>
          <w:sz w:val="21"/>
        </w:rPr>
        <w:t>并应清除妨碍设备启闭的物品。</w:t>
      </w:r>
      <w:r>
        <w:rPr>
          <w:sz w:val="21"/>
        </w:rPr>
        <w:t xml:space="preserve"> </w:t>
      </w:r>
    </w:p>
    <w:p w14:paraId="3EE98858" w14:textId="77777777" w:rsidR="00A71EEF" w:rsidRDefault="0081115D">
      <w:pPr>
        <w:pStyle w:val="a4"/>
        <w:numPr>
          <w:ilvl w:val="2"/>
          <w:numId w:val="130"/>
        </w:numPr>
        <w:tabs>
          <w:tab w:val="left" w:pos="1371"/>
        </w:tabs>
        <w:spacing w:before="23"/>
        <w:ind w:left="1370"/>
        <w:rPr>
          <w:sz w:val="21"/>
        </w:rPr>
      </w:pPr>
      <w:r>
        <w:rPr>
          <w:spacing w:val="-8"/>
          <w:sz w:val="21"/>
        </w:rPr>
        <w:t>每季度应对防火卷帘、防火门和活动式防火窗的下列功能进行一次检查：</w:t>
      </w:r>
      <w:r>
        <w:rPr>
          <w:sz w:val="21"/>
        </w:rPr>
        <w:t xml:space="preserve"> </w:t>
      </w:r>
    </w:p>
    <w:p w14:paraId="20205F27" w14:textId="77777777" w:rsidR="00A71EEF" w:rsidRDefault="00A71EEF">
      <w:pPr>
        <w:rPr>
          <w:sz w:val="21"/>
        </w:rPr>
        <w:sectPr w:rsidR="00A71EEF">
          <w:pgSz w:w="11910" w:h="16850"/>
          <w:pgMar w:top="1220" w:right="0" w:bottom="1420" w:left="1260" w:header="0" w:footer="1239" w:gutter="0"/>
          <w:cols w:space="720"/>
        </w:sectPr>
      </w:pPr>
    </w:p>
    <w:p w14:paraId="14EF2413" w14:textId="77777777" w:rsidR="00A71EEF" w:rsidRDefault="0081115D">
      <w:pPr>
        <w:pStyle w:val="a3"/>
        <w:spacing w:before="45" w:line="448" w:lineRule="auto"/>
        <w:ind w:left="418" w:right="1690" w:firstLine="419"/>
      </w:pPr>
      <w:r>
        <w:rPr>
          <w:spacing w:val="-8"/>
        </w:rPr>
        <w:t>手动启动防火卷帘内外两侧控制器或按钮盒上的控制按钮</w:t>
      </w:r>
      <w:r>
        <w:rPr>
          <w:spacing w:val="-23"/>
        </w:rPr>
        <w:t>，检查防火卷帘上升</w:t>
      </w:r>
      <w:r>
        <w:rPr>
          <w:spacing w:val="-20"/>
        </w:rPr>
        <w:t>、下降、</w:t>
      </w:r>
      <w:r>
        <w:rPr>
          <w:spacing w:val="-20"/>
        </w:rPr>
        <w:t xml:space="preserve"> </w:t>
      </w:r>
      <w:r>
        <w:rPr>
          <w:spacing w:val="-20"/>
        </w:rPr>
        <w:t>停止</w:t>
      </w:r>
      <w:r>
        <w:rPr>
          <w:spacing w:val="-4"/>
        </w:rPr>
        <w:t>功能。</w:t>
      </w:r>
      <w:r>
        <w:t xml:space="preserve"> </w:t>
      </w:r>
    </w:p>
    <w:p w14:paraId="3547BCA1" w14:textId="77777777" w:rsidR="00A71EEF" w:rsidRDefault="0081115D">
      <w:pPr>
        <w:pStyle w:val="a3"/>
        <w:spacing w:before="28"/>
        <w:ind w:left="838"/>
      </w:pPr>
      <w:r>
        <w:t>手动操作防火卷帘手动速放装置，检查防火卷帘依靠自重恒速下降功能。</w:t>
      </w:r>
      <w:r>
        <w:t xml:space="preserve"> </w:t>
      </w:r>
    </w:p>
    <w:p w14:paraId="1C1C2A28" w14:textId="77777777" w:rsidR="00A71EEF" w:rsidRDefault="00A71EEF">
      <w:pPr>
        <w:pStyle w:val="a3"/>
        <w:spacing w:before="12"/>
      </w:pPr>
    </w:p>
    <w:p w14:paraId="7F8A06CF" w14:textId="77777777" w:rsidR="00A71EEF" w:rsidRDefault="0081115D">
      <w:pPr>
        <w:pStyle w:val="a3"/>
        <w:ind w:left="838"/>
      </w:pPr>
      <w:r>
        <w:t>手动操作防火卷帘的手动拉链，检查防火卷帘升、降功能，且无滑行撞击现象。</w:t>
      </w:r>
      <w:r>
        <w:t xml:space="preserve"> </w:t>
      </w:r>
    </w:p>
    <w:p w14:paraId="6D3441EF" w14:textId="77777777" w:rsidR="00A71EEF" w:rsidRDefault="00A71EEF">
      <w:pPr>
        <w:pStyle w:val="a3"/>
        <w:rPr>
          <w:sz w:val="20"/>
        </w:rPr>
      </w:pPr>
    </w:p>
    <w:p w14:paraId="08D26F14" w14:textId="77777777" w:rsidR="00A71EEF" w:rsidRDefault="00A71EEF">
      <w:pPr>
        <w:pStyle w:val="a3"/>
        <w:rPr>
          <w:sz w:val="20"/>
        </w:rPr>
      </w:pPr>
    </w:p>
    <w:p w14:paraId="0BFC127C" w14:textId="77777777" w:rsidR="00A71EEF" w:rsidRDefault="00A71EEF">
      <w:pPr>
        <w:pStyle w:val="a3"/>
        <w:rPr>
          <w:sz w:val="20"/>
        </w:rPr>
      </w:pPr>
    </w:p>
    <w:p w14:paraId="605DC5B5" w14:textId="77777777" w:rsidR="00A71EEF" w:rsidRDefault="00A71EEF">
      <w:pPr>
        <w:pStyle w:val="a3"/>
        <w:rPr>
          <w:sz w:val="20"/>
        </w:rPr>
      </w:pPr>
    </w:p>
    <w:p w14:paraId="0876A678" w14:textId="77777777" w:rsidR="00A71EEF" w:rsidRDefault="00A71EEF">
      <w:pPr>
        <w:pStyle w:val="a3"/>
        <w:rPr>
          <w:sz w:val="20"/>
        </w:rPr>
      </w:pPr>
    </w:p>
    <w:p w14:paraId="4ADD0AC8" w14:textId="77777777" w:rsidR="00A71EEF" w:rsidRDefault="00A71EEF">
      <w:pPr>
        <w:pStyle w:val="a3"/>
        <w:rPr>
          <w:sz w:val="20"/>
        </w:rPr>
      </w:pPr>
    </w:p>
    <w:p w14:paraId="1CF3758C" w14:textId="77777777" w:rsidR="00A71EEF" w:rsidRDefault="00A71EEF">
      <w:pPr>
        <w:pStyle w:val="a3"/>
        <w:rPr>
          <w:sz w:val="20"/>
        </w:rPr>
      </w:pPr>
    </w:p>
    <w:p w14:paraId="42F13C00" w14:textId="77777777" w:rsidR="00A71EEF" w:rsidRDefault="00A71EEF">
      <w:pPr>
        <w:pStyle w:val="a3"/>
        <w:rPr>
          <w:sz w:val="20"/>
        </w:rPr>
      </w:pPr>
    </w:p>
    <w:p w14:paraId="3B97920F" w14:textId="77777777" w:rsidR="00A71EEF" w:rsidRDefault="00A71EEF">
      <w:pPr>
        <w:pStyle w:val="a3"/>
        <w:rPr>
          <w:sz w:val="20"/>
        </w:rPr>
      </w:pPr>
    </w:p>
    <w:p w14:paraId="40CB1CEB" w14:textId="77777777" w:rsidR="00A71EEF" w:rsidRDefault="00A71EEF">
      <w:pPr>
        <w:pStyle w:val="a3"/>
        <w:rPr>
          <w:sz w:val="20"/>
        </w:rPr>
      </w:pPr>
    </w:p>
    <w:p w14:paraId="4B214A8C" w14:textId="77777777" w:rsidR="00A71EEF" w:rsidRDefault="00A71EEF">
      <w:pPr>
        <w:pStyle w:val="a3"/>
        <w:rPr>
          <w:sz w:val="20"/>
        </w:rPr>
      </w:pPr>
    </w:p>
    <w:p w14:paraId="5735BB45" w14:textId="77777777" w:rsidR="00A71EEF" w:rsidRDefault="00A71EEF">
      <w:pPr>
        <w:pStyle w:val="a3"/>
        <w:rPr>
          <w:sz w:val="20"/>
        </w:rPr>
      </w:pPr>
    </w:p>
    <w:p w14:paraId="435E1ACF" w14:textId="77777777" w:rsidR="00A71EEF" w:rsidRDefault="00A71EEF">
      <w:pPr>
        <w:pStyle w:val="a3"/>
        <w:rPr>
          <w:sz w:val="20"/>
        </w:rPr>
      </w:pPr>
    </w:p>
    <w:p w14:paraId="0C3761C0" w14:textId="77777777" w:rsidR="00A71EEF" w:rsidRDefault="00A71EEF">
      <w:pPr>
        <w:pStyle w:val="a3"/>
        <w:rPr>
          <w:sz w:val="20"/>
        </w:rPr>
      </w:pPr>
    </w:p>
    <w:p w14:paraId="43ADC177" w14:textId="77777777" w:rsidR="00A71EEF" w:rsidRDefault="00A71EEF">
      <w:pPr>
        <w:pStyle w:val="a3"/>
        <w:rPr>
          <w:sz w:val="20"/>
        </w:rPr>
      </w:pPr>
    </w:p>
    <w:p w14:paraId="7BE3CD57" w14:textId="77777777" w:rsidR="00A71EEF" w:rsidRDefault="00A71EEF">
      <w:pPr>
        <w:pStyle w:val="a3"/>
        <w:rPr>
          <w:sz w:val="20"/>
        </w:rPr>
      </w:pPr>
    </w:p>
    <w:p w14:paraId="6D497E03" w14:textId="77777777" w:rsidR="00A71EEF" w:rsidRDefault="00A71EEF">
      <w:pPr>
        <w:pStyle w:val="a3"/>
        <w:rPr>
          <w:sz w:val="20"/>
        </w:rPr>
      </w:pPr>
    </w:p>
    <w:p w14:paraId="37741939" w14:textId="77777777" w:rsidR="00A71EEF" w:rsidRDefault="00A71EEF">
      <w:pPr>
        <w:pStyle w:val="a3"/>
        <w:rPr>
          <w:sz w:val="20"/>
        </w:rPr>
      </w:pPr>
    </w:p>
    <w:p w14:paraId="7BF87B57" w14:textId="77777777" w:rsidR="00A71EEF" w:rsidRDefault="00A71EEF">
      <w:pPr>
        <w:pStyle w:val="a3"/>
        <w:rPr>
          <w:sz w:val="20"/>
        </w:rPr>
      </w:pPr>
    </w:p>
    <w:p w14:paraId="06A0BE6E" w14:textId="77777777" w:rsidR="00A71EEF" w:rsidRDefault="00A71EEF">
      <w:pPr>
        <w:pStyle w:val="a3"/>
        <w:rPr>
          <w:sz w:val="20"/>
        </w:rPr>
      </w:pPr>
    </w:p>
    <w:p w14:paraId="5FB64552" w14:textId="77777777" w:rsidR="00A71EEF" w:rsidRDefault="00A71EEF">
      <w:pPr>
        <w:pStyle w:val="a3"/>
        <w:rPr>
          <w:sz w:val="20"/>
        </w:rPr>
      </w:pPr>
    </w:p>
    <w:p w14:paraId="6E8E3FF1" w14:textId="77777777" w:rsidR="00A71EEF" w:rsidRDefault="00A71EEF">
      <w:pPr>
        <w:pStyle w:val="a3"/>
        <w:spacing w:before="3"/>
      </w:pPr>
    </w:p>
    <w:p w14:paraId="6237E2A1" w14:textId="77777777" w:rsidR="00A71EEF" w:rsidRDefault="0081115D">
      <w:pPr>
        <w:pStyle w:val="a3"/>
        <w:spacing w:before="71"/>
        <w:ind w:left="3298"/>
      </w:pPr>
      <w:r>
        <w:t xml:space="preserve"> </w:t>
      </w:r>
    </w:p>
    <w:p w14:paraId="14FE31DA" w14:textId="77777777" w:rsidR="00A71EEF" w:rsidRDefault="00A71EEF">
      <w:pPr>
        <w:sectPr w:rsidR="00A71EEF">
          <w:pgSz w:w="11910" w:h="16850"/>
          <w:pgMar w:top="1220" w:right="0" w:bottom="1420" w:left="1260" w:header="0" w:footer="1239" w:gutter="0"/>
          <w:cols w:space="720"/>
        </w:sectPr>
      </w:pPr>
    </w:p>
    <w:p w14:paraId="76CB393B" w14:textId="77777777" w:rsidR="00A71EEF" w:rsidRDefault="0081115D">
      <w:pPr>
        <w:pStyle w:val="4"/>
        <w:spacing w:before="55"/>
        <w:ind w:left="2974"/>
      </w:pPr>
      <w:r>
        <w:t>附录</w:t>
      </w:r>
      <w:r>
        <w:t xml:space="preserve"> A </w:t>
      </w:r>
      <w:r>
        <w:t>施工现场质量管理检查记录</w:t>
      </w:r>
      <w:r>
        <w:rPr>
          <w:w w:val="99"/>
        </w:rPr>
        <w:t xml:space="preserve"> </w:t>
      </w:r>
    </w:p>
    <w:p w14:paraId="6D5F7FBF" w14:textId="77777777" w:rsidR="00A71EEF" w:rsidRDefault="00A71EEF">
      <w:pPr>
        <w:pStyle w:val="a3"/>
        <w:rPr>
          <w:b/>
          <w:sz w:val="24"/>
        </w:rPr>
      </w:pPr>
    </w:p>
    <w:p w14:paraId="03B4B136" w14:textId="77777777" w:rsidR="00A71EEF" w:rsidRDefault="0081115D">
      <w:pPr>
        <w:pStyle w:val="a3"/>
        <w:spacing w:before="176"/>
        <w:ind w:left="838"/>
      </w:pPr>
      <w:r>
        <w:t xml:space="preserve">A.0.1 </w:t>
      </w:r>
      <w:r>
        <w:t>施工现场质量管理检查记录应由施工单位质量检查员接</w:t>
      </w:r>
      <w:r>
        <w:t xml:space="preserve"> </w:t>
      </w:r>
    </w:p>
    <w:p w14:paraId="45FF0A9B" w14:textId="77777777" w:rsidR="00A71EEF" w:rsidRDefault="00A71EEF">
      <w:pPr>
        <w:pStyle w:val="a3"/>
        <w:spacing w:before="5"/>
        <w:rPr>
          <w:sz w:val="20"/>
        </w:rPr>
      </w:pPr>
    </w:p>
    <w:p w14:paraId="6446B9AB" w14:textId="77777777" w:rsidR="00A71EEF" w:rsidRDefault="0081115D">
      <w:pPr>
        <w:pStyle w:val="a3"/>
        <w:ind w:left="838"/>
      </w:pPr>
      <w:r>
        <w:t>表</w:t>
      </w:r>
      <w:r>
        <w:t xml:space="preserve"> A.0.1 </w:t>
      </w:r>
      <w:r>
        <w:t>填写，应由监理工程师进行检查，并应作出检查结论。</w:t>
      </w:r>
      <w:r>
        <w:t xml:space="preserve"> </w:t>
      </w:r>
    </w:p>
    <w:p w14:paraId="084DBB67" w14:textId="77777777" w:rsidR="00A71EEF" w:rsidRDefault="00A71EEF">
      <w:pPr>
        <w:pStyle w:val="a3"/>
        <w:spacing w:before="2"/>
        <w:rPr>
          <w:sz w:val="18"/>
        </w:rPr>
      </w:pPr>
    </w:p>
    <w:p w14:paraId="291B0F93" w14:textId="77777777" w:rsidR="00A71EEF" w:rsidRDefault="0081115D">
      <w:pPr>
        <w:pStyle w:val="6"/>
        <w:ind w:right="490"/>
        <w:jc w:val="center"/>
        <w:rPr>
          <w:b w:val="0"/>
        </w:rPr>
      </w:pPr>
      <w:r>
        <w:rPr>
          <w:noProof/>
        </w:rPr>
        <w:drawing>
          <wp:anchor distT="0" distB="0" distL="0" distR="0" simplePos="0" relativeHeight="251701760" behindDoc="0" locked="0" layoutInCell="1" allowOverlap="1" wp14:anchorId="27C4A056" wp14:editId="3D47D956">
            <wp:simplePos x="0" y="0"/>
            <wp:positionH relativeFrom="page">
              <wp:posOffset>1684273</wp:posOffset>
            </wp:positionH>
            <wp:positionV relativeFrom="paragraph">
              <wp:posOffset>196088</wp:posOffset>
            </wp:positionV>
            <wp:extent cx="4498588" cy="5774150"/>
            <wp:effectExtent l="0" t="0" r="0" b="0"/>
            <wp:wrapTopAndBottom/>
            <wp:docPr id="659" name="image3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image380.jpeg"/>
                    <pic:cNvPicPr/>
                  </pic:nvPicPr>
                  <pic:blipFill>
                    <a:blip r:embed="rId477" cstate="print"/>
                    <a:stretch>
                      <a:fillRect/>
                    </a:stretch>
                  </pic:blipFill>
                  <pic:spPr>
                    <a:xfrm>
                      <a:off x="0" y="0"/>
                      <a:ext cx="4498588" cy="5774150"/>
                    </a:xfrm>
                    <a:prstGeom prst="rect">
                      <a:avLst/>
                    </a:prstGeom>
                  </pic:spPr>
                </pic:pic>
              </a:graphicData>
            </a:graphic>
          </wp:anchor>
        </w:drawing>
      </w:r>
      <w:r>
        <w:t>表</w:t>
      </w:r>
      <w:r>
        <w:t xml:space="preserve"> A.0.1 </w:t>
      </w:r>
      <w:r>
        <w:t>施工现场质量管理检查记录</w:t>
      </w:r>
      <w:r>
        <w:rPr>
          <w:b w:val="0"/>
        </w:rPr>
        <w:t xml:space="preserve"> </w:t>
      </w:r>
    </w:p>
    <w:p w14:paraId="0E3133E0" w14:textId="77777777" w:rsidR="00A71EEF" w:rsidRDefault="00A71EEF">
      <w:pPr>
        <w:pStyle w:val="a3"/>
        <w:rPr>
          <w:sz w:val="20"/>
        </w:rPr>
      </w:pPr>
    </w:p>
    <w:p w14:paraId="109FD811" w14:textId="77777777" w:rsidR="00A71EEF" w:rsidRDefault="00A71EEF">
      <w:pPr>
        <w:pStyle w:val="a3"/>
        <w:rPr>
          <w:sz w:val="20"/>
        </w:rPr>
      </w:pPr>
    </w:p>
    <w:p w14:paraId="5F30C6C9" w14:textId="77777777" w:rsidR="00A71EEF" w:rsidRDefault="00A71EEF">
      <w:pPr>
        <w:pStyle w:val="a3"/>
        <w:rPr>
          <w:sz w:val="20"/>
        </w:rPr>
      </w:pPr>
    </w:p>
    <w:p w14:paraId="6D46F937" w14:textId="77777777" w:rsidR="00A71EEF" w:rsidRDefault="00A71EEF">
      <w:pPr>
        <w:pStyle w:val="a3"/>
        <w:rPr>
          <w:sz w:val="20"/>
        </w:rPr>
      </w:pPr>
    </w:p>
    <w:p w14:paraId="56D397E8" w14:textId="77777777" w:rsidR="00A71EEF" w:rsidRDefault="00A71EEF">
      <w:pPr>
        <w:pStyle w:val="a3"/>
        <w:rPr>
          <w:sz w:val="20"/>
        </w:rPr>
      </w:pPr>
    </w:p>
    <w:p w14:paraId="0E7792E6" w14:textId="77777777" w:rsidR="00A71EEF" w:rsidRDefault="00A71EEF">
      <w:pPr>
        <w:pStyle w:val="a3"/>
        <w:rPr>
          <w:sz w:val="20"/>
        </w:rPr>
      </w:pPr>
    </w:p>
    <w:p w14:paraId="1C4B3F73" w14:textId="77777777" w:rsidR="00A71EEF" w:rsidRDefault="00A71EEF">
      <w:pPr>
        <w:pStyle w:val="a3"/>
        <w:rPr>
          <w:sz w:val="20"/>
        </w:rPr>
      </w:pPr>
    </w:p>
    <w:p w14:paraId="0DCDD39B" w14:textId="77777777" w:rsidR="00A71EEF" w:rsidRDefault="00A71EEF">
      <w:pPr>
        <w:pStyle w:val="a3"/>
        <w:rPr>
          <w:sz w:val="20"/>
        </w:rPr>
      </w:pPr>
    </w:p>
    <w:p w14:paraId="2C3B96F5" w14:textId="77777777" w:rsidR="00A71EEF" w:rsidRDefault="0081115D">
      <w:pPr>
        <w:spacing w:before="138"/>
        <w:ind w:right="418"/>
        <w:jc w:val="center"/>
        <w:rPr>
          <w:b/>
          <w:sz w:val="24"/>
        </w:rPr>
      </w:pPr>
      <w:r>
        <w:rPr>
          <w:b/>
          <w:w w:val="99"/>
          <w:sz w:val="24"/>
        </w:rPr>
        <w:t xml:space="preserve"> </w:t>
      </w:r>
    </w:p>
    <w:p w14:paraId="051B10F2" w14:textId="77777777" w:rsidR="00A71EEF" w:rsidRDefault="00A71EEF">
      <w:pPr>
        <w:jc w:val="center"/>
        <w:rPr>
          <w:sz w:val="24"/>
        </w:rPr>
        <w:sectPr w:rsidR="00A71EEF">
          <w:pgSz w:w="11910" w:h="16850"/>
          <w:pgMar w:top="1180" w:right="0" w:bottom="1420" w:left="1260" w:header="0" w:footer="1239" w:gutter="0"/>
          <w:cols w:space="720"/>
        </w:sectPr>
      </w:pPr>
    </w:p>
    <w:p w14:paraId="7A65C284" w14:textId="77777777" w:rsidR="00A71EEF" w:rsidRDefault="0081115D">
      <w:pPr>
        <w:spacing w:before="55"/>
        <w:ind w:left="2491"/>
        <w:rPr>
          <w:b/>
          <w:sz w:val="24"/>
        </w:rPr>
      </w:pPr>
      <w:r>
        <w:rPr>
          <w:b/>
          <w:sz w:val="24"/>
        </w:rPr>
        <w:t>附录</w:t>
      </w:r>
      <w:r>
        <w:rPr>
          <w:b/>
          <w:sz w:val="24"/>
        </w:rPr>
        <w:t xml:space="preserve"> B </w:t>
      </w:r>
      <w:r>
        <w:rPr>
          <w:b/>
          <w:sz w:val="24"/>
        </w:rPr>
        <w:t>防火卷帘、防火门、防火窗工程划分</w:t>
      </w:r>
      <w:r>
        <w:rPr>
          <w:b/>
          <w:w w:val="99"/>
          <w:sz w:val="24"/>
        </w:rPr>
        <w:t xml:space="preserve"> </w:t>
      </w:r>
    </w:p>
    <w:p w14:paraId="2CE44168" w14:textId="77777777" w:rsidR="00A71EEF" w:rsidRDefault="00A71EEF">
      <w:pPr>
        <w:pStyle w:val="a3"/>
        <w:rPr>
          <w:b/>
          <w:sz w:val="24"/>
        </w:rPr>
      </w:pPr>
    </w:p>
    <w:p w14:paraId="4BAE0B92" w14:textId="77777777" w:rsidR="00A71EEF" w:rsidRDefault="0081115D">
      <w:pPr>
        <w:spacing w:before="176"/>
        <w:ind w:right="492"/>
        <w:jc w:val="center"/>
        <w:rPr>
          <w:b/>
          <w:sz w:val="21"/>
        </w:rPr>
      </w:pPr>
      <w:r>
        <w:rPr>
          <w:noProof/>
        </w:rPr>
        <w:drawing>
          <wp:anchor distT="0" distB="0" distL="0" distR="0" simplePos="0" relativeHeight="251702784" behindDoc="0" locked="0" layoutInCell="1" allowOverlap="1" wp14:anchorId="086986C5" wp14:editId="5363F4D4">
            <wp:simplePos x="0" y="0"/>
            <wp:positionH relativeFrom="page">
              <wp:posOffset>1674748</wp:posOffset>
            </wp:positionH>
            <wp:positionV relativeFrom="paragraph">
              <wp:posOffset>308863</wp:posOffset>
            </wp:positionV>
            <wp:extent cx="4639119" cy="5688711"/>
            <wp:effectExtent l="0" t="0" r="0" b="0"/>
            <wp:wrapTopAndBottom/>
            <wp:docPr id="661" name="image3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image381.jpeg"/>
                    <pic:cNvPicPr/>
                  </pic:nvPicPr>
                  <pic:blipFill>
                    <a:blip r:embed="rId478" cstate="print"/>
                    <a:stretch>
                      <a:fillRect/>
                    </a:stretch>
                  </pic:blipFill>
                  <pic:spPr>
                    <a:xfrm>
                      <a:off x="0" y="0"/>
                      <a:ext cx="4639119" cy="5688711"/>
                    </a:xfrm>
                    <a:prstGeom prst="rect">
                      <a:avLst/>
                    </a:prstGeom>
                  </pic:spPr>
                </pic:pic>
              </a:graphicData>
            </a:graphic>
          </wp:anchor>
        </w:drawing>
      </w:r>
      <w:r>
        <w:rPr>
          <w:b/>
          <w:sz w:val="21"/>
        </w:rPr>
        <w:t>表</w:t>
      </w:r>
      <w:r>
        <w:rPr>
          <w:b/>
          <w:sz w:val="21"/>
        </w:rPr>
        <w:t xml:space="preserve"> B </w:t>
      </w:r>
      <w:r>
        <w:rPr>
          <w:b/>
          <w:sz w:val="21"/>
        </w:rPr>
        <w:t>防火卷帘、防火门、防火窗分部工程、子分部工程、分项工程划分</w:t>
      </w:r>
      <w:r>
        <w:rPr>
          <w:b/>
          <w:w w:val="99"/>
          <w:sz w:val="21"/>
        </w:rPr>
        <w:t xml:space="preserve"> </w:t>
      </w:r>
    </w:p>
    <w:p w14:paraId="6EFEC33E" w14:textId="77777777" w:rsidR="00A71EEF" w:rsidRDefault="00A71EEF">
      <w:pPr>
        <w:pStyle w:val="a3"/>
        <w:rPr>
          <w:b/>
          <w:sz w:val="20"/>
        </w:rPr>
      </w:pPr>
    </w:p>
    <w:p w14:paraId="3E950E3F" w14:textId="77777777" w:rsidR="00A71EEF" w:rsidRDefault="00A71EEF">
      <w:pPr>
        <w:pStyle w:val="a3"/>
        <w:rPr>
          <w:b/>
          <w:sz w:val="20"/>
        </w:rPr>
      </w:pPr>
    </w:p>
    <w:p w14:paraId="77504FF0" w14:textId="77777777" w:rsidR="00A71EEF" w:rsidRDefault="00A71EEF">
      <w:pPr>
        <w:pStyle w:val="a3"/>
        <w:rPr>
          <w:b/>
          <w:sz w:val="20"/>
        </w:rPr>
      </w:pPr>
    </w:p>
    <w:p w14:paraId="5F17AE36" w14:textId="77777777" w:rsidR="00A71EEF" w:rsidRDefault="00A71EEF">
      <w:pPr>
        <w:pStyle w:val="a3"/>
        <w:rPr>
          <w:b/>
          <w:sz w:val="20"/>
        </w:rPr>
      </w:pPr>
    </w:p>
    <w:p w14:paraId="2A83298E" w14:textId="77777777" w:rsidR="00A71EEF" w:rsidRDefault="00A71EEF">
      <w:pPr>
        <w:pStyle w:val="a3"/>
        <w:rPr>
          <w:b/>
          <w:sz w:val="20"/>
        </w:rPr>
      </w:pPr>
    </w:p>
    <w:p w14:paraId="04DE018F" w14:textId="77777777" w:rsidR="00A71EEF" w:rsidRDefault="00A71EEF">
      <w:pPr>
        <w:pStyle w:val="a3"/>
        <w:rPr>
          <w:b/>
          <w:sz w:val="20"/>
        </w:rPr>
      </w:pPr>
    </w:p>
    <w:p w14:paraId="53EE7DAD" w14:textId="77777777" w:rsidR="00A71EEF" w:rsidRDefault="00A71EEF">
      <w:pPr>
        <w:pStyle w:val="a3"/>
        <w:rPr>
          <w:b/>
          <w:sz w:val="20"/>
        </w:rPr>
      </w:pPr>
    </w:p>
    <w:p w14:paraId="7F582E8F" w14:textId="77777777" w:rsidR="00A71EEF" w:rsidRDefault="00A71EEF">
      <w:pPr>
        <w:pStyle w:val="a3"/>
        <w:rPr>
          <w:b/>
          <w:sz w:val="20"/>
        </w:rPr>
      </w:pPr>
    </w:p>
    <w:p w14:paraId="74FF268C" w14:textId="77777777" w:rsidR="00A71EEF" w:rsidRDefault="00A71EEF">
      <w:pPr>
        <w:pStyle w:val="a3"/>
        <w:rPr>
          <w:b/>
          <w:sz w:val="20"/>
        </w:rPr>
      </w:pPr>
    </w:p>
    <w:p w14:paraId="7B76B9C6" w14:textId="77777777" w:rsidR="00A71EEF" w:rsidRDefault="00A71EEF">
      <w:pPr>
        <w:pStyle w:val="a3"/>
        <w:rPr>
          <w:b/>
          <w:sz w:val="20"/>
        </w:rPr>
      </w:pPr>
    </w:p>
    <w:p w14:paraId="14C1D6F2" w14:textId="77777777" w:rsidR="00A71EEF" w:rsidRDefault="00A71EEF">
      <w:pPr>
        <w:pStyle w:val="a3"/>
        <w:rPr>
          <w:b/>
          <w:sz w:val="20"/>
        </w:rPr>
      </w:pPr>
    </w:p>
    <w:p w14:paraId="6B5FB8AF" w14:textId="77777777" w:rsidR="00A71EEF" w:rsidRDefault="00A71EEF">
      <w:pPr>
        <w:pStyle w:val="a3"/>
        <w:rPr>
          <w:b/>
          <w:sz w:val="20"/>
        </w:rPr>
      </w:pPr>
    </w:p>
    <w:p w14:paraId="523D094F" w14:textId="77777777" w:rsidR="00A71EEF" w:rsidRDefault="00A71EEF">
      <w:pPr>
        <w:pStyle w:val="a3"/>
        <w:rPr>
          <w:b/>
          <w:sz w:val="20"/>
        </w:rPr>
      </w:pPr>
    </w:p>
    <w:p w14:paraId="0A9AFFBB" w14:textId="77777777" w:rsidR="00A71EEF" w:rsidRDefault="00A71EEF">
      <w:pPr>
        <w:pStyle w:val="a3"/>
        <w:spacing w:before="12"/>
        <w:rPr>
          <w:b/>
          <w:sz w:val="24"/>
        </w:rPr>
      </w:pPr>
    </w:p>
    <w:p w14:paraId="77516F37" w14:textId="77777777" w:rsidR="00A71EEF" w:rsidRDefault="0081115D">
      <w:pPr>
        <w:ind w:right="418"/>
        <w:jc w:val="center"/>
        <w:rPr>
          <w:b/>
          <w:sz w:val="24"/>
        </w:rPr>
      </w:pPr>
      <w:r>
        <w:rPr>
          <w:b/>
          <w:w w:val="99"/>
          <w:sz w:val="24"/>
        </w:rPr>
        <w:t xml:space="preserve"> </w:t>
      </w:r>
    </w:p>
    <w:p w14:paraId="0A24795C" w14:textId="77777777" w:rsidR="00A71EEF" w:rsidRDefault="00A71EEF">
      <w:pPr>
        <w:jc w:val="center"/>
        <w:rPr>
          <w:sz w:val="24"/>
        </w:rPr>
        <w:sectPr w:rsidR="00A71EEF">
          <w:pgSz w:w="11910" w:h="16850"/>
          <w:pgMar w:top="1180" w:right="0" w:bottom="1420" w:left="1260" w:header="0" w:footer="1239" w:gutter="0"/>
          <w:cols w:space="720"/>
        </w:sectPr>
      </w:pPr>
    </w:p>
    <w:p w14:paraId="345072F3" w14:textId="77777777" w:rsidR="00A71EEF" w:rsidRDefault="0081115D">
      <w:pPr>
        <w:spacing w:before="55"/>
        <w:ind w:left="2009"/>
        <w:rPr>
          <w:b/>
          <w:sz w:val="24"/>
        </w:rPr>
      </w:pPr>
      <w:r>
        <w:rPr>
          <w:b/>
          <w:sz w:val="24"/>
        </w:rPr>
        <w:t>附录</w:t>
      </w:r>
      <w:r>
        <w:rPr>
          <w:b/>
          <w:sz w:val="24"/>
        </w:rPr>
        <w:t xml:space="preserve"> C </w:t>
      </w:r>
      <w:r>
        <w:rPr>
          <w:b/>
          <w:sz w:val="24"/>
        </w:rPr>
        <w:t>防火卷帘、防火门、防火窗施工过程检查记录</w:t>
      </w:r>
      <w:r>
        <w:rPr>
          <w:b/>
          <w:w w:val="99"/>
          <w:sz w:val="24"/>
        </w:rPr>
        <w:t xml:space="preserve"> </w:t>
      </w:r>
    </w:p>
    <w:p w14:paraId="0D56946B" w14:textId="77777777" w:rsidR="00A71EEF" w:rsidRDefault="00A71EEF">
      <w:pPr>
        <w:pStyle w:val="a3"/>
        <w:rPr>
          <w:b/>
          <w:sz w:val="24"/>
        </w:rPr>
      </w:pPr>
    </w:p>
    <w:p w14:paraId="4D8892EE" w14:textId="77777777" w:rsidR="00A71EEF" w:rsidRDefault="0081115D">
      <w:pPr>
        <w:pStyle w:val="a3"/>
        <w:spacing w:before="176" w:line="446" w:lineRule="auto"/>
        <w:ind w:left="418" w:right="1450" w:firstLine="419"/>
      </w:pPr>
      <w:r>
        <w:t>C.0.1</w:t>
      </w:r>
      <w:r>
        <w:rPr>
          <w:spacing w:val="-5"/>
        </w:rPr>
        <w:t xml:space="preserve"> </w:t>
      </w:r>
      <w:r>
        <w:rPr>
          <w:spacing w:val="-5"/>
        </w:rPr>
        <w:t>施工过程检查记录应由施工单位质量检查员按表</w:t>
      </w:r>
      <w:r>
        <w:rPr>
          <w:spacing w:val="-5"/>
        </w:rPr>
        <w:t xml:space="preserve"> </w:t>
      </w:r>
      <w:r>
        <w:t>C.0.1-1</w:t>
      </w:r>
      <w:r>
        <w:t>～</w:t>
      </w:r>
      <w:r>
        <w:rPr>
          <w:spacing w:val="-24"/>
        </w:rPr>
        <w:t>表</w:t>
      </w:r>
      <w:r>
        <w:rPr>
          <w:spacing w:val="-24"/>
        </w:rPr>
        <w:t xml:space="preserve"> </w:t>
      </w:r>
      <w:r>
        <w:t>C.0.1-4</w:t>
      </w:r>
      <w:r>
        <w:rPr>
          <w:spacing w:val="-9"/>
        </w:rPr>
        <w:t xml:space="preserve"> </w:t>
      </w:r>
      <w:r>
        <w:rPr>
          <w:spacing w:val="-9"/>
        </w:rPr>
        <w:t>填写，应由监</w:t>
      </w:r>
      <w:r>
        <w:rPr>
          <w:spacing w:val="-5"/>
        </w:rPr>
        <w:t>理工程师进行检查，并应作出检查结论。</w:t>
      </w:r>
      <w:r>
        <w:t xml:space="preserve"> </w:t>
      </w:r>
    </w:p>
    <w:p w14:paraId="0B7987EF" w14:textId="77777777" w:rsidR="00A71EEF" w:rsidRDefault="0081115D">
      <w:pPr>
        <w:pStyle w:val="6"/>
        <w:ind w:left="2201"/>
      </w:pPr>
      <w:r>
        <w:t>表</w:t>
      </w:r>
      <w:r>
        <w:t xml:space="preserve"> C.0.1-1 </w:t>
      </w:r>
      <w:r>
        <w:t>防火卷帘、防火门、防火窗主配件进场检验记录</w:t>
      </w:r>
      <w:r>
        <w:rPr>
          <w:w w:val="99"/>
        </w:rPr>
        <w:t xml:space="preserve"> </w:t>
      </w:r>
    </w:p>
    <w:p w14:paraId="50609CA3" w14:textId="77777777" w:rsidR="00A71EEF" w:rsidRDefault="00A71EEF">
      <w:pPr>
        <w:pStyle w:val="a3"/>
        <w:rPr>
          <w:b/>
          <w:sz w:val="20"/>
        </w:rPr>
      </w:pPr>
    </w:p>
    <w:p w14:paraId="2565F7A0" w14:textId="77777777" w:rsidR="00A71EEF" w:rsidRDefault="0081115D">
      <w:pPr>
        <w:pStyle w:val="a3"/>
        <w:spacing w:before="2"/>
        <w:rPr>
          <w:b/>
          <w:sz w:val="19"/>
        </w:rPr>
      </w:pPr>
      <w:r>
        <w:pict w14:anchorId="3CB44ADF">
          <v:group id="_x0000_s1117" style="position:absolute;margin-left:140.1pt;margin-top:14.25pt;width:340.55pt;height:416.85pt;z-index:-251489792;mso-wrap-distance-left:0;mso-wrap-distance-right:0;mso-position-horizontal-relative:page" coordorigin="2802,285" coordsize="6811,8337">
            <v:shape id="_x0000_s1120" type="#_x0000_t75" style="position:absolute;left:2937;top:284;width:6675;height:6688">
              <v:imagedata r:id="rId479" o:title=""/>
            </v:shape>
            <v:shape id="_x0000_s1119" type="#_x0000_t75" style="position:absolute;left:2802;top:7003;width:6538;height:1575">
              <v:imagedata r:id="rId480" o:title=""/>
            </v:shape>
            <v:shape id="_x0000_s1118" type="#_x0000_t202" style="position:absolute;left:9357;top:8440;width:110;height:180" filled="f" stroked="f">
              <v:textbox inset="0,0,0,0">
                <w:txbxContent>
                  <w:p w14:paraId="5BE14D8B" w14:textId="77777777" w:rsidR="00A71EEF" w:rsidRDefault="0081115D">
                    <w:pPr>
                      <w:spacing w:line="180" w:lineRule="exact"/>
                      <w:rPr>
                        <w:sz w:val="18"/>
                      </w:rPr>
                    </w:pPr>
                    <w:r>
                      <w:rPr>
                        <w:sz w:val="18"/>
                      </w:rPr>
                      <w:t xml:space="preserve"> </w:t>
                    </w:r>
                  </w:p>
                </w:txbxContent>
              </v:textbox>
            </v:shape>
            <w10:wrap type="topAndBottom" anchorx="page"/>
          </v:group>
        </w:pict>
      </w:r>
    </w:p>
    <w:p w14:paraId="53D989DE" w14:textId="77777777" w:rsidR="00A71EEF" w:rsidRDefault="00A71EEF">
      <w:pPr>
        <w:pStyle w:val="a3"/>
        <w:spacing w:before="4"/>
        <w:rPr>
          <w:b/>
          <w:sz w:val="7"/>
        </w:rPr>
      </w:pPr>
    </w:p>
    <w:p w14:paraId="5B8AF432" w14:textId="77777777" w:rsidR="00A71EEF" w:rsidRDefault="0081115D">
      <w:pPr>
        <w:pStyle w:val="a3"/>
        <w:spacing w:before="71"/>
        <w:ind w:left="838"/>
      </w:pPr>
      <w:r>
        <w:t xml:space="preserve"> </w:t>
      </w:r>
      <w:r>
        <w:t xml:space="preserve"> </w:t>
      </w:r>
      <w:r>
        <w:t xml:space="preserve"> </w:t>
      </w:r>
      <w:r>
        <w:t xml:space="preserve"> </w:t>
      </w:r>
      <w:r>
        <w:t xml:space="preserve"> </w:t>
      </w:r>
      <w:r>
        <w:t xml:space="preserve"> </w:t>
      </w:r>
      <w:r>
        <w:t xml:space="preserve"> </w:t>
      </w:r>
      <w:r>
        <w:t>注：施工过程用到其他表格时，应作为附件一并归档。</w:t>
      </w:r>
      <w:r>
        <w:t xml:space="preserve"> </w:t>
      </w:r>
    </w:p>
    <w:p w14:paraId="7CC7073D" w14:textId="77777777" w:rsidR="00A71EEF" w:rsidRDefault="00A71EEF">
      <w:pPr>
        <w:pStyle w:val="a3"/>
        <w:rPr>
          <w:sz w:val="20"/>
        </w:rPr>
      </w:pPr>
    </w:p>
    <w:p w14:paraId="7A6DB0A2" w14:textId="77777777" w:rsidR="00A71EEF" w:rsidRDefault="00A71EEF">
      <w:pPr>
        <w:pStyle w:val="a3"/>
        <w:rPr>
          <w:sz w:val="20"/>
        </w:rPr>
      </w:pPr>
    </w:p>
    <w:p w14:paraId="5D1E3242" w14:textId="77777777" w:rsidR="00A71EEF" w:rsidRDefault="00A71EEF">
      <w:pPr>
        <w:pStyle w:val="a3"/>
        <w:rPr>
          <w:sz w:val="20"/>
        </w:rPr>
      </w:pPr>
    </w:p>
    <w:p w14:paraId="6A7AEE1B" w14:textId="77777777" w:rsidR="00A71EEF" w:rsidRDefault="00A71EEF">
      <w:pPr>
        <w:pStyle w:val="a3"/>
        <w:rPr>
          <w:sz w:val="20"/>
        </w:rPr>
      </w:pPr>
    </w:p>
    <w:p w14:paraId="090D83BD" w14:textId="77777777" w:rsidR="00A71EEF" w:rsidRDefault="00A71EEF">
      <w:pPr>
        <w:pStyle w:val="a3"/>
        <w:rPr>
          <w:sz w:val="20"/>
        </w:rPr>
      </w:pPr>
    </w:p>
    <w:p w14:paraId="66839BC9" w14:textId="77777777" w:rsidR="00A71EEF" w:rsidRDefault="00A71EEF">
      <w:pPr>
        <w:pStyle w:val="a3"/>
        <w:rPr>
          <w:sz w:val="20"/>
        </w:rPr>
      </w:pPr>
    </w:p>
    <w:p w14:paraId="61FC5BB6" w14:textId="77777777" w:rsidR="00A71EEF" w:rsidRDefault="00A71EEF">
      <w:pPr>
        <w:pStyle w:val="a3"/>
        <w:rPr>
          <w:sz w:val="20"/>
        </w:rPr>
      </w:pPr>
    </w:p>
    <w:p w14:paraId="29575253" w14:textId="77777777" w:rsidR="00A71EEF" w:rsidRDefault="00A71EEF">
      <w:pPr>
        <w:pStyle w:val="a3"/>
        <w:rPr>
          <w:sz w:val="20"/>
        </w:rPr>
      </w:pPr>
    </w:p>
    <w:p w14:paraId="15FE01A3" w14:textId="77777777" w:rsidR="00A71EEF" w:rsidRDefault="00A71EEF">
      <w:pPr>
        <w:pStyle w:val="a3"/>
        <w:spacing w:before="10"/>
        <w:rPr>
          <w:sz w:val="20"/>
        </w:rPr>
      </w:pPr>
    </w:p>
    <w:p w14:paraId="4C9188A1" w14:textId="77777777" w:rsidR="00A71EEF" w:rsidRDefault="0081115D">
      <w:pPr>
        <w:pStyle w:val="a3"/>
        <w:spacing w:before="72"/>
        <w:ind w:left="838"/>
      </w:pPr>
      <w:r>
        <w:t xml:space="preserve"> </w:t>
      </w:r>
    </w:p>
    <w:p w14:paraId="06336E18" w14:textId="77777777" w:rsidR="00A71EEF" w:rsidRDefault="00A71EEF">
      <w:pPr>
        <w:sectPr w:rsidR="00A71EEF">
          <w:pgSz w:w="11910" w:h="16850"/>
          <w:pgMar w:top="1180" w:right="0" w:bottom="1420" w:left="1260" w:header="0" w:footer="1239" w:gutter="0"/>
          <w:cols w:space="720"/>
        </w:sectPr>
      </w:pPr>
    </w:p>
    <w:p w14:paraId="7E134DE1" w14:textId="77777777" w:rsidR="00A71EEF" w:rsidRDefault="0081115D">
      <w:pPr>
        <w:pStyle w:val="6"/>
        <w:spacing w:before="47"/>
        <w:ind w:right="492"/>
        <w:jc w:val="center"/>
      </w:pPr>
      <w:r>
        <w:t>表</w:t>
      </w:r>
      <w:r>
        <w:t xml:space="preserve"> C.0.1-2 </w:t>
      </w:r>
      <w:r>
        <w:t>防火卷帘、防火门、防火窗安装过程检查记录</w:t>
      </w:r>
      <w:r>
        <w:rPr>
          <w:w w:val="99"/>
        </w:rPr>
        <w:t xml:space="preserve"> </w:t>
      </w:r>
    </w:p>
    <w:p w14:paraId="459FB5A9" w14:textId="77777777" w:rsidR="00A71EEF" w:rsidRDefault="0081115D">
      <w:pPr>
        <w:pStyle w:val="a3"/>
        <w:spacing w:before="40"/>
        <w:ind w:right="492"/>
        <w:jc w:val="center"/>
      </w:pPr>
      <w:r>
        <w:t xml:space="preserve"> </w:t>
      </w:r>
      <w:r>
        <w:rPr>
          <w:spacing w:val="-1"/>
        </w:rPr>
        <w:t xml:space="preserve"> </w:t>
      </w:r>
      <w:r>
        <w:rPr>
          <w:noProof/>
          <w:spacing w:val="-1"/>
        </w:rPr>
        <w:drawing>
          <wp:inline distT="0" distB="0" distL="0" distR="0" wp14:anchorId="6BA92F64" wp14:editId="548BFC20">
            <wp:extent cx="4238625" cy="4914900"/>
            <wp:effectExtent l="0" t="0" r="0" b="0"/>
            <wp:docPr id="663" name="image3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image384.jpeg"/>
                    <pic:cNvPicPr/>
                  </pic:nvPicPr>
                  <pic:blipFill>
                    <a:blip r:embed="rId481" cstate="print"/>
                    <a:stretch>
                      <a:fillRect/>
                    </a:stretch>
                  </pic:blipFill>
                  <pic:spPr>
                    <a:xfrm>
                      <a:off x="0" y="0"/>
                      <a:ext cx="4238625" cy="4914900"/>
                    </a:xfrm>
                    <a:prstGeom prst="rect">
                      <a:avLst/>
                    </a:prstGeom>
                  </pic:spPr>
                </pic:pic>
              </a:graphicData>
            </a:graphic>
          </wp:inline>
        </w:drawing>
      </w:r>
      <w:r>
        <w:t xml:space="preserve"> </w:t>
      </w:r>
    </w:p>
    <w:p w14:paraId="1B08F73A" w14:textId="77777777" w:rsidR="00A71EEF" w:rsidRDefault="0081115D">
      <w:pPr>
        <w:pStyle w:val="a3"/>
        <w:spacing w:before="105"/>
        <w:ind w:right="495"/>
        <w:jc w:val="center"/>
      </w:pPr>
      <w:r>
        <w:t xml:space="preserve"> </w:t>
      </w:r>
    </w:p>
    <w:p w14:paraId="420135F3" w14:textId="77777777" w:rsidR="00A71EEF" w:rsidRDefault="0081115D">
      <w:pPr>
        <w:pStyle w:val="a3"/>
        <w:spacing w:before="108"/>
        <w:ind w:right="495"/>
        <w:jc w:val="center"/>
      </w:pPr>
      <w:r>
        <w:t xml:space="preserve"> </w:t>
      </w:r>
    </w:p>
    <w:p w14:paraId="437F88DD" w14:textId="77777777" w:rsidR="00A71EEF" w:rsidRDefault="0081115D">
      <w:pPr>
        <w:pStyle w:val="a3"/>
        <w:spacing w:before="105"/>
        <w:ind w:right="495"/>
        <w:jc w:val="center"/>
      </w:pPr>
      <w:r>
        <w:t xml:space="preserve"> </w:t>
      </w:r>
    </w:p>
    <w:p w14:paraId="0EB25B1B" w14:textId="77777777" w:rsidR="00A71EEF" w:rsidRDefault="0081115D">
      <w:pPr>
        <w:pStyle w:val="a3"/>
        <w:spacing w:before="106"/>
        <w:ind w:right="495"/>
        <w:jc w:val="center"/>
      </w:pPr>
      <w:r>
        <w:t xml:space="preserve"> </w:t>
      </w:r>
    </w:p>
    <w:p w14:paraId="6B5DE5F6" w14:textId="77777777" w:rsidR="00A71EEF" w:rsidRDefault="0081115D">
      <w:pPr>
        <w:pStyle w:val="a3"/>
        <w:spacing w:before="106"/>
        <w:ind w:right="495"/>
        <w:jc w:val="center"/>
      </w:pPr>
      <w:r>
        <w:t xml:space="preserve"> </w:t>
      </w:r>
    </w:p>
    <w:p w14:paraId="0C4BEF54" w14:textId="77777777" w:rsidR="00A71EEF" w:rsidRDefault="0081115D">
      <w:pPr>
        <w:pStyle w:val="a3"/>
        <w:spacing w:before="107"/>
        <w:ind w:right="495"/>
        <w:jc w:val="center"/>
      </w:pPr>
      <w:r>
        <w:t xml:space="preserve"> </w:t>
      </w:r>
    </w:p>
    <w:p w14:paraId="58291ECA" w14:textId="77777777" w:rsidR="00A71EEF" w:rsidRDefault="0081115D">
      <w:pPr>
        <w:pStyle w:val="a3"/>
        <w:spacing w:before="106"/>
        <w:ind w:right="495"/>
        <w:jc w:val="center"/>
      </w:pPr>
      <w:r>
        <w:t xml:space="preserve"> </w:t>
      </w:r>
    </w:p>
    <w:p w14:paraId="3C8F0AD8" w14:textId="77777777" w:rsidR="00A71EEF" w:rsidRDefault="0081115D">
      <w:pPr>
        <w:pStyle w:val="a3"/>
        <w:spacing w:before="105"/>
        <w:ind w:right="495"/>
        <w:jc w:val="center"/>
      </w:pPr>
      <w:r>
        <w:t xml:space="preserve"> </w:t>
      </w:r>
    </w:p>
    <w:p w14:paraId="569FC3AE" w14:textId="77777777" w:rsidR="00A71EEF" w:rsidRDefault="0081115D">
      <w:pPr>
        <w:pStyle w:val="a3"/>
        <w:spacing w:before="105"/>
        <w:ind w:right="495"/>
        <w:jc w:val="center"/>
      </w:pPr>
      <w:r>
        <w:t xml:space="preserve"> </w:t>
      </w:r>
    </w:p>
    <w:p w14:paraId="4A22C16D" w14:textId="77777777" w:rsidR="00A71EEF" w:rsidRDefault="0081115D">
      <w:pPr>
        <w:pStyle w:val="a3"/>
        <w:spacing w:before="108"/>
        <w:ind w:right="495"/>
        <w:jc w:val="center"/>
      </w:pPr>
      <w:r>
        <w:t xml:space="preserve"> </w:t>
      </w:r>
    </w:p>
    <w:p w14:paraId="32635CEC" w14:textId="77777777" w:rsidR="00A71EEF" w:rsidRDefault="0081115D">
      <w:pPr>
        <w:pStyle w:val="a3"/>
        <w:spacing w:before="105"/>
        <w:ind w:right="495"/>
        <w:jc w:val="center"/>
      </w:pPr>
      <w:r>
        <w:t xml:space="preserve"> </w:t>
      </w:r>
    </w:p>
    <w:p w14:paraId="28F099E9" w14:textId="77777777" w:rsidR="00A71EEF" w:rsidRDefault="0081115D">
      <w:pPr>
        <w:pStyle w:val="a3"/>
        <w:spacing w:before="106"/>
        <w:ind w:right="495"/>
        <w:jc w:val="center"/>
      </w:pPr>
      <w:r>
        <w:t xml:space="preserve"> </w:t>
      </w:r>
    </w:p>
    <w:p w14:paraId="314D40C2" w14:textId="77777777" w:rsidR="00A71EEF" w:rsidRDefault="0081115D">
      <w:pPr>
        <w:pStyle w:val="a3"/>
        <w:spacing w:before="105"/>
        <w:ind w:right="495"/>
        <w:jc w:val="center"/>
      </w:pPr>
      <w:r>
        <w:t xml:space="preserve"> </w:t>
      </w:r>
    </w:p>
    <w:p w14:paraId="7BBA2665" w14:textId="77777777" w:rsidR="00A71EEF" w:rsidRDefault="0081115D">
      <w:pPr>
        <w:pStyle w:val="a3"/>
        <w:spacing w:before="108"/>
        <w:ind w:right="495"/>
        <w:jc w:val="center"/>
      </w:pPr>
      <w:r>
        <w:t xml:space="preserve"> </w:t>
      </w:r>
    </w:p>
    <w:p w14:paraId="2F5FDB51" w14:textId="77777777" w:rsidR="00A71EEF" w:rsidRDefault="0081115D">
      <w:pPr>
        <w:pStyle w:val="a3"/>
        <w:spacing w:before="106"/>
        <w:ind w:right="495"/>
        <w:jc w:val="center"/>
      </w:pPr>
      <w:r>
        <w:t xml:space="preserve"> </w:t>
      </w:r>
    </w:p>
    <w:p w14:paraId="0B6D7830" w14:textId="77777777" w:rsidR="00A71EEF" w:rsidRDefault="00A71EEF">
      <w:pPr>
        <w:jc w:val="center"/>
        <w:sectPr w:rsidR="00A71EEF">
          <w:pgSz w:w="11910" w:h="16850"/>
          <w:pgMar w:top="1220" w:right="0" w:bottom="1420" w:left="1260" w:header="0" w:footer="1239" w:gutter="0"/>
          <w:cols w:space="720"/>
        </w:sectPr>
      </w:pPr>
    </w:p>
    <w:p w14:paraId="01A8810A" w14:textId="77777777" w:rsidR="00A71EEF" w:rsidRDefault="0081115D">
      <w:pPr>
        <w:pStyle w:val="a3"/>
        <w:rPr>
          <w:sz w:val="20"/>
        </w:rPr>
      </w:pPr>
      <w:r>
        <w:pict w14:anchorId="19542794">
          <v:group id="_x0000_s1114" style="position:absolute;margin-left:82.45pt;margin-top:72.6pt;width:442.4pt;height:618.85pt;z-index:-251521536;mso-position-horizontal-relative:page;mso-position-vertical-relative:page" coordorigin="1649,1452" coordsize="8848,12377">
            <v:shape id="_x0000_s1116" style="position:absolute;left:1649;top:11445;width:8848;height:2384" coordorigin="1649,11445" coordsize="8848,2384" path="m10497,11445r-8848,l1649,13454r,374l10497,13828r,-374l10497,11445e" stroked="f">
              <v:path arrowok="t"/>
            </v:shape>
            <v:shape id="_x0000_s1115" type="#_x0000_t75" style="position:absolute;left:2937;top:1452;width:6690;height:11985">
              <v:imagedata r:id="rId482" o:title=""/>
            </v:shape>
            <w10:wrap anchorx="page" anchory="page"/>
          </v:group>
        </w:pict>
      </w:r>
    </w:p>
    <w:p w14:paraId="386B0791" w14:textId="77777777" w:rsidR="00A71EEF" w:rsidRDefault="00A71EEF">
      <w:pPr>
        <w:pStyle w:val="a3"/>
        <w:rPr>
          <w:sz w:val="20"/>
        </w:rPr>
      </w:pPr>
    </w:p>
    <w:p w14:paraId="7D0E2296" w14:textId="77777777" w:rsidR="00A71EEF" w:rsidRDefault="00A71EEF">
      <w:pPr>
        <w:pStyle w:val="a3"/>
        <w:rPr>
          <w:sz w:val="20"/>
        </w:rPr>
      </w:pPr>
    </w:p>
    <w:p w14:paraId="2251C2CA" w14:textId="77777777" w:rsidR="00A71EEF" w:rsidRDefault="00A71EEF">
      <w:pPr>
        <w:pStyle w:val="a3"/>
        <w:rPr>
          <w:sz w:val="20"/>
        </w:rPr>
      </w:pPr>
    </w:p>
    <w:p w14:paraId="35AA813F" w14:textId="77777777" w:rsidR="00A71EEF" w:rsidRDefault="00A71EEF">
      <w:pPr>
        <w:pStyle w:val="a3"/>
        <w:rPr>
          <w:sz w:val="20"/>
        </w:rPr>
      </w:pPr>
    </w:p>
    <w:p w14:paraId="692D1AC3" w14:textId="77777777" w:rsidR="00A71EEF" w:rsidRDefault="00A71EEF">
      <w:pPr>
        <w:pStyle w:val="a3"/>
        <w:rPr>
          <w:sz w:val="20"/>
        </w:rPr>
      </w:pPr>
    </w:p>
    <w:p w14:paraId="0268929F" w14:textId="77777777" w:rsidR="00A71EEF" w:rsidRDefault="00A71EEF">
      <w:pPr>
        <w:pStyle w:val="a3"/>
        <w:rPr>
          <w:sz w:val="20"/>
        </w:rPr>
      </w:pPr>
    </w:p>
    <w:p w14:paraId="00CD80D5" w14:textId="77777777" w:rsidR="00A71EEF" w:rsidRDefault="00A71EEF">
      <w:pPr>
        <w:pStyle w:val="a3"/>
        <w:rPr>
          <w:sz w:val="20"/>
        </w:rPr>
      </w:pPr>
    </w:p>
    <w:p w14:paraId="66D41F28" w14:textId="77777777" w:rsidR="00A71EEF" w:rsidRDefault="00A71EEF">
      <w:pPr>
        <w:pStyle w:val="a3"/>
        <w:rPr>
          <w:sz w:val="20"/>
        </w:rPr>
      </w:pPr>
    </w:p>
    <w:p w14:paraId="72BC1FB5" w14:textId="77777777" w:rsidR="00A71EEF" w:rsidRDefault="00A71EEF">
      <w:pPr>
        <w:pStyle w:val="a3"/>
        <w:rPr>
          <w:sz w:val="20"/>
        </w:rPr>
      </w:pPr>
    </w:p>
    <w:p w14:paraId="36195C37" w14:textId="77777777" w:rsidR="00A71EEF" w:rsidRDefault="00A71EEF">
      <w:pPr>
        <w:pStyle w:val="a3"/>
        <w:rPr>
          <w:sz w:val="20"/>
        </w:rPr>
      </w:pPr>
    </w:p>
    <w:p w14:paraId="05F36E65" w14:textId="77777777" w:rsidR="00A71EEF" w:rsidRDefault="00A71EEF">
      <w:pPr>
        <w:pStyle w:val="a3"/>
        <w:rPr>
          <w:sz w:val="20"/>
        </w:rPr>
      </w:pPr>
    </w:p>
    <w:p w14:paraId="66DEC5F2" w14:textId="77777777" w:rsidR="00A71EEF" w:rsidRDefault="00A71EEF">
      <w:pPr>
        <w:pStyle w:val="a3"/>
        <w:rPr>
          <w:sz w:val="20"/>
        </w:rPr>
      </w:pPr>
    </w:p>
    <w:p w14:paraId="0B5CCA08" w14:textId="77777777" w:rsidR="00A71EEF" w:rsidRDefault="00A71EEF">
      <w:pPr>
        <w:pStyle w:val="a3"/>
        <w:rPr>
          <w:sz w:val="20"/>
        </w:rPr>
      </w:pPr>
    </w:p>
    <w:p w14:paraId="01BF44B7" w14:textId="77777777" w:rsidR="00A71EEF" w:rsidRDefault="00A71EEF">
      <w:pPr>
        <w:pStyle w:val="a3"/>
        <w:rPr>
          <w:sz w:val="20"/>
        </w:rPr>
      </w:pPr>
    </w:p>
    <w:p w14:paraId="21BBCF9D" w14:textId="77777777" w:rsidR="00A71EEF" w:rsidRDefault="00A71EEF">
      <w:pPr>
        <w:pStyle w:val="a3"/>
        <w:rPr>
          <w:sz w:val="20"/>
        </w:rPr>
      </w:pPr>
    </w:p>
    <w:p w14:paraId="3D18772E" w14:textId="77777777" w:rsidR="00A71EEF" w:rsidRDefault="00A71EEF">
      <w:pPr>
        <w:pStyle w:val="a3"/>
        <w:rPr>
          <w:sz w:val="20"/>
        </w:rPr>
      </w:pPr>
    </w:p>
    <w:p w14:paraId="6EA0F294" w14:textId="77777777" w:rsidR="00A71EEF" w:rsidRDefault="00A71EEF">
      <w:pPr>
        <w:pStyle w:val="a3"/>
        <w:rPr>
          <w:sz w:val="20"/>
        </w:rPr>
      </w:pPr>
    </w:p>
    <w:p w14:paraId="2F8713EC" w14:textId="77777777" w:rsidR="00A71EEF" w:rsidRDefault="00A71EEF">
      <w:pPr>
        <w:pStyle w:val="a3"/>
        <w:rPr>
          <w:sz w:val="20"/>
        </w:rPr>
      </w:pPr>
    </w:p>
    <w:p w14:paraId="6C141DD2" w14:textId="77777777" w:rsidR="00A71EEF" w:rsidRDefault="00A71EEF">
      <w:pPr>
        <w:pStyle w:val="a3"/>
        <w:rPr>
          <w:sz w:val="20"/>
        </w:rPr>
      </w:pPr>
    </w:p>
    <w:p w14:paraId="5AC9005E" w14:textId="77777777" w:rsidR="00A71EEF" w:rsidRDefault="00A71EEF">
      <w:pPr>
        <w:pStyle w:val="a3"/>
        <w:rPr>
          <w:sz w:val="20"/>
        </w:rPr>
      </w:pPr>
    </w:p>
    <w:p w14:paraId="6C1FF262" w14:textId="77777777" w:rsidR="00A71EEF" w:rsidRDefault="00A71EEF">
      <w:pPr>
        <w:pStyle w:val="a3"/>
        <w:rPr>
          <w:sz w:val="20"/>
        </w:rPr>
      </w:pPr>
    </w:p>
    <w:p w14:paraId="20A28A72" w14:textId="77777777" w:rsidR="00A71EEF" w:rsidRDefault="00A71EEF">
      <w:pPr>
        <w:pStyle w:val="a3"/>
        <w:rPr>
          <w:sz w:val="20"/>
        </w:rPr>
      </w:pPr>
    </w:p>
    <w:p w14:paraId="16A6002C" w14:textId="77777777" w:rsidR="00A71EEF" w:rsidRDefault="00A71EEF">
      <w:pPr>
        <w:pStyle w:val="a3"/>
        <w:rPr>
          <w:sz w:val="20"/>
        </w:rPr>
      </w:pPr>
    </w:p>
    <w:p w14:paraId="796159C5" w14:textId="77777777" w:rsidR="00A71EEF" w:rsidRDefault="00A71EEF">
      <w:pPr>
        <w:pStyle w:val="a3"/>
        <w:rPr>
          <w:sz w:val="20"/>
        </w:rPr>
      </w:pPr>
    </w:p>
    <w:p w14:paraId="26BDC6D7" w14:textId="77777777" w:rsidR="00A71EEF" w:rsidRDefault="00A71EEF">
      <w:pPr>
        <w:pStyle w:val="a3"/>
        <w:rPr>
          <w:sz w:val="20"/>
        </w:rPr>
      </w:pPr>
    </w:p>
    <w:p w14:paraId="5981EBB6" w14:textId="77777777" w:rsidR="00A71EEF" w:rsidRDefault="00A71EEF">
      <w:pPr>
        <w:pStyle w:val="a3"/>
        <w:rPr>
          <w:sz w:val="20"/>
        </w:rPr>
      </w:pPr>
    </w:p>
    <w:p w14:paraId="683C9B80" w14:textId="77777777" w:rsidR="00A71EEF" w:rsidRDefault="00A71EEF">
      <w:pPr>
        <w:pStyle w:val="a3"/>
        <w:rPr>
          <w:sz w:val="20"/>
        </w:rPr>
      </w:pPr>
    </w:p>
    <w:p w14:paraId="78267D66" w14:textId="77777777" w:rsidR="00A71EEF" w:rsidRDefault="00A71EEF">
      <w:pPr>
        <w:pStyle w:val="a3"/>
        <w:rPr>
          <w:sz w:val="20"/>
        </w:rPr>
      </w:pPr>
    </w:p>
    <w:p w14:paraId="77A5B494" w14:textId="77777777" w:rsidR="00A71EEF" w:rsidRDefault="00A71EEF">
      <w:pPr>
        <w:pStyle w:val="a3"/>
        <w:rPr>
          <w:sz w:val="20"/>
        </w:rPr>
      </w:pPr>
    </w:p>
    <w:p w14:paraId="2B0D7BCA" w14:textId="77777777" w:rsidR="00A71EEF" w:rsidRDefault="00A71EEF">
      <w:pPr>
        <w:pStyle w:val="a3"/>
        <w:rPr>
          <w:sz w:val="20"/>
        </w:rPr>
      </w:pPr>
    </w:p>
    <w:p w14:paraId="3F52CF1F" w14:textId="77777777" w:rsidR="00A71EEF" w:rsidRDefault="00A71EEF">
      <w:pPr>
        <w:pStyle w:val="a3"/>
        <w:rPr>
          <w:sz w:val="20"/>
        </w:rPr>
      </w:pPr>
    </w:p>
    <w:p w14:paraId="66E0B0D3" w14:textId="77777777" w:rsidR="00A71EEF" w:rsidRDefault="00A71EEF">
      <w:pPr>
        <w:pStyle w:val="a3"/>
        <w:rPr>
          <w:sz w:val="20"/>
        </w:rPr>
      </w:pPr>
    </w:p>
    <w:p w14:paraId="54EC8351" w14:textId="77777777" w:rsidR="00A71EEF" w:rsidRDefault="00A71EEF">
      <w:pPr>
        <w:pStyle w:val="a3"/>
        <w:rPr>
          <w:sz w:val="20"/>
        </w:rPr>
      </w:pPr>
    </w:p>
    <w:p w14:paraId="10768D26" w14:textId="77777777" w:rsidR="00A71EEF" w:rsidRDefault="00A71EEF">
      <w:pPr>
        <w:pStyle w:val="a3"/>
        <w:rPr>
          <w:sz w:val="20"/>
        </w:rPr>
      </w:pPr>
    </w:p>
    <w:p w14:paraId="2F11B2AA" w14:textId="77777777" w:rsidR="00A71EEF" w:rsidRDefault="00A71EEF">
      <w:pPr>
        <w:pStyle w:val="a3"/>
        <w:rPr>
          <w:sz w:val="20"/>
        </w:rPr>
      </w:pPr>
    </w:p>
    <w:p w14:paraId="54FFDEA7" w14:textId="77777777" w:rsidR="00A71EEF" w:rsidRDefault="00A71EEF">
      <w:pPr>
        <w:pStyle w:val="a3"/>
        <w:rPr>
          <w:sz w:val="20"/>
        </w:rPr>
      </w:pPr>
    </w:p>
    <w:p w14:paraId="770D7DAA" w14:textId="77777777" w:rsidR="00A71EEF" w:rsidRDefault="00A71EEF">
      <w:pPr>
        <w:pStyle w:val="a3"/>
        <w:rPr>
          <w:sz w:val="20"/>
        </w:rPr>
      </w:pPr>
    </w:p>
    <w:p w14:paraId="5B9ACA28" w14:textId="77777777" w:rsidR="00A71EEF" w:rsidRDefault="00A71EEF">
      <w:pPr>
        <w:pStyle w:val="a3"/>
        <w:rPr>
          <w:sz w:val="20"/>
        </w:rPr>
      </w:pPr>
    </w:p>
    <w:p w14:paraId="5C4A53D8" w14:textId="77777777" w:rsidR="00A71EEF" w:rsidRDefault="00A71EEF">
      <w:pPr>
        <w:pStyle w:val="a3"/>
        <w:rPr>
          <w:sz w:val="20"/>
        </w:rPr>
      </w:pPr>
    </w:p>
    <w:p w14:paraId="2A7F7437" w14:textId="77777777" w:rsidR="00A71EEF" w:rsidRDefault="00A71EEF">
      <w:pPr>
        <w:pStyle w:val="a3"/>
        <w:rPr>
          <w:sz w:val="20"/>
        </w:rPr>
      </w:pPr>
    </w:p>
    <w:p w14:paraId="769A2749" w14:textId="77777777" w:rsidR="00A71EEF" w:rsidRDefault="00A71EEF">
      <w:pPr>
        <w:pStyle w:val="a3"/>
        <w:rPr>
          <w:sz w:val="20"/>
        </w:rPr>
      </w:pPr>
    </w:p>
    <w:p w14:paraId="12E21C66" w14:textId="77777777" w:rsidR="00A71EEF" w:rsidRDefault="00A71EEF">
      <w:pPr>
        <w:pStyle w:val="a3"/>
        <w:rPr>
          <w:sz w:val="20"/>
        </w:rPr>
      </w:pPr>
    </w:p>
    <w:p w14:paraId="076838B8" w14:textId="77777777" w:rsidR="00A71EEF" w:rsidRDefault="00A71EEF">
      <w:pPr>
        <w:pStyle w:val="a3"/>
        <w:rPr>
          <w:sz w:val="20"/>
        </w:rPr>
      </w:pPr>
    </w:p>
    <w:p w14:paraId="44549F25" w14:textId="77777777" w:rsidR="00A71EEF" w:rsidRDefault="00A71EEF">
      <w:pPr>
        <w:pStyle w:val="a3"/>
        <w:rPr>
          <w:sz w:val="20"/>
        </w:rPr>
      </w:pPr>
    </w:p>
    <w:p w14:paraId="7D6A2009" w14:textId="77777777" w:rsidR="00A71EEF" w:rsidRDefault="00A71EEF">
      <w:pPr>
        <w:pStyle w:val="a3"/>
        <w:rPr>
          <w:sz w:val="20"/>
        </w:rPr>
      </w:pPr>
    </w:p>
    <w:p w14:paraId="6B5BF20D" w14:textId="77777777" w:rsidR="00A71EEF" w:rsidRDefault="00A71EEF">
      <w:pPr>
        <w:pStyle w:val="a3"/>
        <w:spacing w:before="7"/>
        <w:rPr>
          <w:sz w:val="18"/>
        </w:rPr>
      </w:pPr>
    </w:p>
    <w:p w14:paraId="4161D56F" w14:textId="77777777" w:rsidR="00A71EEF" w:rsidRDefault="0081115D">
      <w:pPr>
        <w:pStyle w:val="a3"/>
        <w:spacing w:before="72"/>
        <w:ind w:left="838"/>
      </w:pPr>
      <w:r>
        <w:t xml:space="preserve"> </w:t>
      </w:r>
      <w:r>
        <w:t xml:space="preserve"> </w:t>
      </w:r>
      <w:r>
        <w:t xml:space="preserve"> </w:t>
      </w:r>
      <w:r>
        <w:t xml:space="preserve"> </w:t>
      </w:r>
      <w:r>
        <w:t xml:space="preserve"> </w:t>
      </w:r>
      <w:r>
        <w:t xml:space="preserve"> </w:t>
      </w:r>
      <w:r>
        <w:t xml:space="preserve"> </w:t>
      </w:r>
      <w:r>
        <w:t>注：施工过程用到其他表格时，应作为附件一并归档。</w:t>
      </w:r>
      <w:r>
        <w:t xml:space="preserve"> </w:t>
      </w:r>
    </w:p>
    <w:p w14:paraId="6145CEC6" w14:textId="77777777" w:rsidR="00A71EEF" w:rsidRDefault="0081115D">
      <w:pPr>
        <w:spacing w:before="143"/>
        <w:ind w:left="778"/>
        <w:rPr>
          <w:sz w:val="18"/>
        </w:rPr>
      </w:pPr>
      <w:r>
        <w:rPr>
          <w:sz w:val="18"/>
        </w:rPr>
        <w:t xml:space="preserve"> </w:t>
      </w:r>
    </w:p>
    <w:p w14:paraId="4E1A7EC2" w14:textId="77777777" w:rsidR="00A71EEF" w:rsidRDefault="00A71EEF">
      <w:pPr>
        <w:rPr>
          <w:sz w:val="18"/>
        </w:rPr>
        <w:sectPr w:rsidR="00A71EEF">
          <w:footerReference w:type="default" r:id="rId483"/>
          <w:pgSz w:w="11910" w:h="16850"/>
          <w:pgMar w:top="1460" w:right="0" w:bottom="2500" w:left="1260" w:header="0" w:footer="2302" w:gutter="0"/>
          <w:pgNumType w:start="1507"/>
          <w:cols w:space="720"/>
        </w:sectPr>
      </w:pPr>
    </w:p>
    <w:p w14:paraId="697DC9D7" w14:textId="77777777" w:rsidR="00A71EEF" w:rsidRDefault="0081115D">
      <w:pPr>
        <w:pStyle w:val="6"/>
        <w:spacing w:before="42"/>
        <w:ind w:right="492"/>
        <w:jc w:val="center"/>
      </w:pPr>
      <w:r>
        <w:t>表</w:t>
      </w:r>
      <w:r>
        <w:t xml:space="preserve"> C.0.1-3 </w:t>
      </w:r>
      <w:r>
        <w:t>防火卷帘、防火门、防火窗隐蔽工程质量验收记录</w:t>
      </w:r>
      <w:r>
        <w:rPr>
          <w:w w:val="99"/>
        </w:rPr>
        <w:t xml:space="preserve"> </w:t>
      </w:r>
    </w:p>
    <w:p w14:paraId="19B5367E" w14:textId="77777777" w:rsidR="00A71EEF" w:rsidRDefault="0081115D">
      <w:pPr>
        <w:spacing w:before="144" w:after="3"/>
        <w:ind w:right="490"/>
        <w:jc w:val="center"/>
        <w:rPr>
          <w:b/>
          <w:sz w:val="21"/>
        </w:rPr>
      </w:pPr>
      <w:r>
        <w:rPr>
          <w:b/>
          <w:w w:val="99"/>
          <w:sz w:val="21"/>
        </w:rPr>
        <w:t xml:space="preserve"> </w:t>
      </w:r>
    </w:p>
    <w:p w14:paraId="57F83D23" w14:textId="77777777" w:rsidR="00A71EEF" w:rsidRDefault="0081115D">
      <w:pPr>
        <w:pStyle w:val="a3"/>
        <w:ind w:left="1572"/>
        <w:rPr>
          <w:sz w:val="20"/>
        </w:rPr>
      </w:pPr>
      <w:r>
        <w:rPr>
          <w:noProof/>
          <w:sz w:val="20"/>
        </w:rPr>
        <w:drawing>
          <wp:inline distT="0" distB="0" distL="0" distR="0" wp14:anchorId="4C7F04F9" wp14:editId="3FEEA4BD">
            <wp:extent cx="4196815" cy="4573428"/>
            <wp:effectExtent l="0" t="0" r="0" b="0"/>
            <wp:docPr id="665" name="image3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image386.jpeg"/>
                    <pic:cNvPicPr/>
                  </pic:nvPicPr>
                  <pic:blipFill>
                    <a:blip r:embed="rId484" cstate="print"/>
                    <a:stretch>
                      <a:fillRect/>
                    </a:stretch>
                  </pic:blipFill>
                  <pic:spPr>
                    <a:xfrm>
                      <a:off x="0" y="0"/>
                      <a:ext cx="4196815" cy="4573428"/>
                    </a:xfrm>
                    <a:prstGeom prst="rect">
                      <a:avLst/>
                    </a:prstGeom>
                  </pic:spPr>
                </pic:pic>
              </a:graphicData>
            </a:graphic>
          </wp:inline>
        </w:drawing>
      </w:r>
    </w:p>
    <w:p w14:paraId="694E5ED9" w14:textId="77777777" w:rsidR="00A71EEF" w:rsidRDefault="00A71EEF">
      <w:pPr>
        <w:rPr>
          <w:sz w:val="20"/>
        </w:rPr>
        <w:sectPr w:rsidR="00A71EEF">
          <w:pgSz w:w="11910" w:h="16850"/>
          <w:pgMar w:top="1600" w:right="0" w:bottom="2520" w:left="1260" w:header="0" w:footer="2302" w:gutter="0"/>
          <w:cols w:space="720"/>
        </w:sectPr>
      </w:pPr>
    </w:p>
    <w:p w14:paraId="7E99A3B0" w14:textId="77777777" w:rsidR="00A71EEF" w:rsidRDefault="0081115D">
      <w:pPr>
        <w:spacing w:before="42"/>
        <w:ind w:left="2306"/>
        <w:rPr>
          <w:b/>
          <w:sz w:val="21"/>
        </w:rPr>
      </w:pPr>
      <w:r>
        <w:rPr>
          <w:b/>
          <w:sz w:val="21"/>
        </w:rPr>
        <w:t>表</w:t>
      </w:r>
      <w:r>
        <w:rPr>
          <w:b/>
          <w:sz w:val="21"/>
        </w:rPr>
        <w:t xml:space="preserve"> C.0.1-4 </w:t>
      </w:r>
      <w:r>
        <w:rPr>
          <w:b/>
          <w:sz w:val="21"/>
        </w:rPr>
        <w:t>防火卷帘、防火门、防火窗调试过程检查记录</w:t>
      </w:r>
      <w:r>
        <w:rPr>
          <w:b/>
          <w:w w:val="99"/>
          <w:sz w:val="21"/>
        </w:rPr>
        <w:t xml:space="preserve"> </w:t>
      </w:r>
    </w:p>
    <w:p w14:paraId="6729969D" w14:textId="77777777" w:rsidR="00A71EEF" w:rsidRDefault="0081115D">
      <w:pPr>
        <w:pStyle w:val="a3"/>
        <w:spacing w:before="5"/>
        <w:rPr>
          <w:b/>
          <w:sz w:val="29"/>
        </w:rPr>
      </w:pPr>
      <w:r>
        <w:pict w14:anchorId="4132D029">
          <v:group id="_x0000_s1109" style="position:absolute;margin-left:82.45pt;margin-top:20.8pt;width:442.4pt;height:527.65pt;z-index:-251488768;mso-wrap-distance-left:0;mso-wrap-distance-right:0;mso-position-horizontal-relative:page" coordorigin="1649,416" coordsize="8848,10553">
            <v:rect id="_x0000_s1113" style="position:absolute;left:1649;top:10166;width:8848;height:802" stroked="f"/>
            <v:shape id="_x0000_s1112" type="#_x0000_t75" style="position:absolute;left:2922;top:416;width:6720;height:9734">
              <v:imagedata r:id="rId485" o:title=""/>
            </v:shape>
            <v:shape id="_x0000_s1111" type="#_x0000_t202" style="position:absolute;left:9642;top:10012;width:110;height:180" filled="f" stroked="f">
              <v:textbox inset="0,0,0,0">
                <w:txbxContent>
                  <w:p w14:paraId="679709FC" w14:textId="77777777" w:rsidR="00A71EEF" w:rsidRDefault="0081115D">
                    <w:pPr>
                      <w:spacing w:line="180" w:lineRule="exact"/>
                      <w:rPr>
                        <w:sz w:val="18"/>
                      </w:rPr>
                    </w:pPr>
                    <w:r>
                      <w:rPr>
                        <w:sz w:val="18"/>
                      </w:rPr>
                      <w:t xml:space="preserve"> </w:t>
                    </w:r>
                  </w:p>
                </w:txbxContent>
              </v:textbox>
            </v:shape>
            <v:shape id="_x0000_s1110" type="#_x0000_t202" style="position:absolute;left:6373;top:10661;width:140;height:240" filled="f" stroked="f">
              <v:textbox inset="0,0,0,0">
                <w:txbxContent>
                  <w:p w14:paraId="0F2734B5" w14:textId="77777777" w:rsidR="00A71EEF" w:rsidRDefault="0081115D">
                    <w:pPr>
                      <w:spacing w:line="240" w:lineRule="exact"/>
                      <w:rPr>
                        <w:b/>
                        <w:sz w:val="24"/>
                      </w:rPr>
                    </w:pPr>
                    <w:r>
                      <w:rPr>
                        <w:b/>
                        <w:w w:val="99"/>
                        <w:sz w:val="24"/>
                      </w:rPr>
                      <w:t xml:space="preserve"> </w:t>
                    </w:r>
                  </w:p>
                </w:txbxContent>
              </v:textbox>
            </v:shape>
            <w10:wrap type="topAndBottom" anchorx="page"/>
          </v:group>
        </w:pict>
      </w:r>
    </w:p>
    <w:p w14:paraId="4183F2A8" w14:textId="77777777" w:rsidR="00A71EEF" w:rsidRDefault="00A71EEF">
      <w:pPr>
        <w:pStyle w:val="a3"/>
        <w:spacing w:before="9"/>
        <w:rPr>
          <w:b/>
          <w:sz w:val="16"/>
        </w:rPr>
      </w:pPr>
    </w:p>
    <w:p w14:paraId="7E00E6E7" w14:textId="77777777" w:rsidR="00A71EEF" w:rsidRDefault="0081115D">
      <w:pPr>
        <w:spacing w:before="66"/>
        <w:ind w:right="2830"/>
        <w:jc w:val="right"/>
        <w:rPr>
          <w:b/>
          <w:sz w:val="24"/>
        </w:rPr>
      </w:pPr>
      <w:r>
        <w:rPr>
          <w:b/>
          <w:w w:val="99"/>
          <w:sz w:val="24"/>
        </w:rPr>
        <w:t xml:space="preserve"> </w:t>
      </w:r>
    </w:p>
    <w:p w14:paraId="03A71DE3" w14:textId="77777777" w:rsidR="00A71EEF" w:rsidRDefault="00A71EEF">
      <w:pPr>
        <w:jc w:val="right"/>
        <w:rPr>
          <w:sz w:val="24"/>
        </w:rPr>
        <w:sectPr w:rsidR="00A71EEF">
          <w:footerReference w:type="default" r:id="rId486"/>
          <w:pgSz w:w="11910" w:h="16850"/>
          <w:pgMar w:top="1600" w:right="0" w:bottom="1420" w:left="1260" w:header="0" w:footer="1239" w:gutter="0"/>
          <w:cols w:space="720"/>
        </w:sectPr>
      </w:pPr>
    </w:p>
    <w:p w14:paraId="3D324B95" w14:textId="77777777" w:rsidR="00A71EEF" w:rsidRDefault="0081115D">
      <w:pPr>
        <w:spacing w:before="37"/>
        <w:ind w:left="2251"/>
        <w:rPr>
          <w:b/>
          <w:sz w:val="24"/>
        </w:rPr>
      </w:pPr>
      <w:r>
        <w:rPr>
          <w:b/>
          <w:sz w:val="24"/>
        </w:rPr>
        <w:t>附录</w:t>
      </w:r>
      <w:r>
        <w:rPr>
          <w:b/>
          <w:sz w:val="24"/>
        </w:rPr>
        <w:t xml:space="preserve"> D </w:t>
      </w:r>
      <w:r>
        <w:rPr>
          <w:b/>
          <w:sz w:val="24"/>
        </w:rPr>
        <w:t>防火卷帘、防火门、防火窗工程验收记录</w:t>
      </w:r>
      <w:r>
        <w:rPr>
          <w:b/>
          <w:w w:val="99"/>
          <w:sz w:val="24"/>
        </w:rPr>
        <w:t xml:space="preserve"> </w:t>
      </w:r>
    </w:p>
    <w:p w14:paraId="4D8A5CDC" w14:textId="77777777" w:rsidR="00A71EEF" w:rsidRDefault="00A71EEF">
      <w:pPr>
        <w:pStyle w:val="a3"/>
        <w:rPr>
          <w:b/>
          <w:sz w:val="24"/>
        </w:rPr>
      </w:pPr>
    </w:p>
    <w:p w14:paraId="50193392" w14:textId="77777777" w:rsidR="00A71EEF" w:rsidRDefault="0081115D">
      <w:pPr>
        <w:pStyle w:val="a3"/>
        <w:spacing w:before="174" w:line="446" w:lineRule="auto"/>
        <w:ind w:left="418" w:right="1769" w:firstLine="419"/>
      </w:pPr>
      <w:r>
        <w:t>D.0.1</w:t>
      </w:r>
      <w:r>
        <w:rPr>
          <w:spacing w:val="-3"/>
        </w:rPr>
        <w:t xml:space="preserve"> </w:t>
      </w:r>
      <w:r>
        <w:rPr>
          <w:spacing w:val="-3"/>
        </w:rPr>
        <w:t>防火卷帘、防火门、防火窗工程质量验收应由建设单位项目负责人组织监理工程</w:t>
      </w:r>
      <w:r>
        <w:rPr>
          <w:spacing w:val="-5"/>
        </w:rPr>
        <w:t>师、施工单位项目负责人和设计单位负责人等进行，并应按表</w:t>
      </w:r>
      <w:r>
        <w:rPr>
          <w:spacing w:val="-5"/>
        </w:rPr>
        <w:t xml:space="preserve"> </w:t>
      </w:r>
      <w:r>
        <w:t>D.0.1-1</w:t>
      </w:r>
      <w:r>
        <w:rPr>
          <w:spacing w:val="-17"/>
        </w:rPr>
        <w:t>、表</w:t>
      </w:r>
      <w:r>
        <w:rPr>
          <w:spacing w:val="-17"/>
        </w:rPr>
        <w:t xml:space="preserve"> </w:t>
      </w:r>
      <w:r>
        <w:t>D.0.1-2</w:t>
      </w:r>
      <w:r>
        <w:rPr>
          <w:spacing w:val="-14"/>
        </w:rPr>
        <w:t xml:space="preserve"> </w:t>
      </w:r>
      <w:r>
        <w:rPr>
          <w:spacing w:val="-14"/>
        </w:rPr>
        <w:t>记录。</w:t>
      </w:r>
      <w:r>
        <w:t xml:space="preserve"> </w:t>
      </w:r>
    </w:p>
    <w:p w14:paraId="71DC4519" w14:textId="77777777" w:rsidR="00A71EEF" w:rsidRDefault="0081115D">
      <w:pPr>
        <w:pStyle w:val="6"/>
        <w:ind w:left="1884"/>
      </w:pPr>
      <w:r>
        <w:pict w14:anchorId="55688524">
          <v:group id="_x0000_s1101" style="position:absolute;left:0;text-align:left;margin-left:82.45pt;margin-top:15.45pt;width:442.4pt;height:452.35pt;z-index:-251487744;mso-wrap-distance-left:0;mso-wrap-distance-right:0;mso-position-horizontal-relative:page" coordorigin="1649,309" coordsize="8848,9047">
            <v:rect id="_x0000_s1108" style="position:absolute;left:1649;top:8981;width:8848;height:375" stroked="f"/>
            <v:shape id="_x0000_s1107" type="#_x0000_t75" style="position:absolute;left:3027;top:309;width:6705;height:7080">
              <v:imagedata r:id="rId487" o:title=""/>
            </v:shape>
            <v:shape id="_x0000_s1106" type="#_x0000_t75" style="position:absolute;left:2937;top:7450;width:6690;height:1515">
              <v:imagedata r:id="rId488" o:title=""/>
            </v:shape>
            <v:shape id="_x0000_s1105" type="#_x0000_t202" style="position:absolute;left:2815;top:7207;width:126;height:212" filled="f" stroked="f">
              <v:textbox inset="0,0,0,0">
                <w:txbxContent>
                  <w:p w14:paraId="067553D0" w14:textId="77777777" w:rsidR="00A71EEF" w:rsidRDefault="0081115D">
                    <w:pPr>
                      <w:spacing w:line="211" w:lineRule="exact"/>
                      <w:rPr>
                        <w:sz w:val="21"/>
                      </w:rPr>
                    </w:pPr>
                    <w:r>
                      <w:rPr>
                        <w:sz w:val="21"/>
                      </w:rPr>
                      <w:t xml:space="preserve"> </w:t>
                    </w:r>
                  </w:p>
                </w:txbxContent>
              </v:textbox>
            </v:shape>
            <v:shape id="_x0000_s1104" type="#_x0000_t202" style="position:absolute;left:9748;top:7207;width:126;height:212" filled="f" stroked="f">
              <v:textbox inset="0,0,0,0">
                <w:txbxContent>
                  <w:p w14:paraId="1D18614E" w14:textId="77777777" w:rsidR="00A71EEF" w:rsidRDefault="0081115D">
                    <w:pPr>
                      <w:spacing w:line="211" w:lineRule="exact"/>
                      <w:rPr>
                        <w:sz w:val="21"/>
                      </w:rPr>
                    </w:pPr>
                    <w:r>
                      <w:rPr>
                        <w:sz w:val="21"/>
                      </w:rPr>
                      <w:t xml:space="preserve"> </w:t>
                    </w:r>
                  </w:p>
                </w:txbxContent>
              </v:textbox>
            </v:shape>
            <v:shape id="_x0000_s1103" type="#_x0000_t202" style="position:absolute;left:9628;top:8799;width:126;height:212" filled="f" stroked="f">
              <v:textbox inset="0,0,0,0">
                <w:txbxContent>
                  <w:p w14:paraId="48DCD8D6" w14:textId="77777777" w:rsidR="00A71EEF" w:rsidRDefault="0081115D">
                    <w:pPr>
                      <w:spacing w:line="211" w:lineRule="exact"/>
                      <w:rPr>
                        <w:sz w:val="21"/>
                      </w:rPr>
                    </w:pPr>
                    <w:r>
                      <w:rPr>
                        <w:sz w:val="21"/>
                      </w:rPr>
                      <w:t xml:space="preserve"> </w:t>
                    </w:r>
                  </w:p>
                </w:txbxContent>
              </v:textbox>
            </v:shape>
            <v:shape id="_x0000_s1102" type="#_x0000_t202" style="position:absolute;left:6281;top:9114;width:126;height:212" filled="f" stroked="f">
              <v:textbox inset="0,0,0,0">
                <w:txbxContent>
                  <w:p w14:paraId="1022868F" w14:textId="77777777" w:rsidR="00A71EEF" w:rsidRDefault="0081115D">
                    <w:pPr>
                      <w:spacing w:line="211" w:lineRule="exact"/>
                      <w:rPr>
                        <w:sz w:val="21"/>
                      </w:rPr>
                    </w:pPr>
                    <w:r>
                      <w:rPr>
                        <w:sz w:val="21"/>
                      </w:rPr>
                      <w:t xml:space="preserve"> </w:t>
                    </w:r>
                  </w:p>
                </w:txbxContent>
              </v:textbox>
            </v:shape>
            <w10:wrap type="topAndBottom" anchorx="page"/>
          </v:group>
        </w:pict>
      </w:r>
      <w:r>
        <w:t>表</w:t>
      </w:r>
      <w:r>
        <w:t xml:space="preserve"> D.0.1-1 </w:t>
      </w:r>
      <w:r>
        <w:t>防火卷帘、防火门、防火窗工程质量控制资料核查记录</w:t>
      </w:r>
      <w:r>
        <w:rPr>
          <w:w w:val="99"/>
        </w:rPr>
        <w:t xml:space="preserve"> </w:t>
      </w:r>
    </w:p>
    <w:p w14:paraId="2A53C0DA" w14:textId="77777777" w:rsidR="00A71EEF" w:rsidRDefault="0081115D">
      <w:pPr>
        <w:pStyle w:val="a3"/>
        <w:spacing w:before="75"/>
        <w:ind w:right="495"/>
        <w:jc w:val="center"/>
      </w:pPr>
      <w:r>
        <w:t xml:space="preserve"> </w:t>
      </w:r>
    </w:p>
    <w:p w14:paraId="6A1A2CE8" w14:textId="77777777" w:rsidR="00A71EEF" w:rsidRDefault="0081115D">
      <w:pPr>
        <w:pStyle w:val="a3"/>
        <w:spacing w:before="108"/>
        <w:ind w:right="495"/>
        <w:jc w:val="center"/>
      </w:pPr>
      <w:r>
        <w:t xml:space="preserve"> </w:t>
      </w:r>
    </w:p>
    <w:p w14:paraId="0939A597" w14:textId="77777777" w:rsidR="00A71EEF" w:rsidRDefault="0081115D">
      <w:pPr>
        <w:pStyle w:val="a3"/>
        <w:spacing w:before="105"/>
        <w:ind w:right="495"/>
        <w:jc w:val="center"/>
      </w:pPr>
      <w:r>
        <w:t xml:space="preserve"> </w:t>
      </w:r>
    </w:p>
    <w:p w14:paraId="03923527" w14:textId="77777777" w:rsidR="00A71EEF" w:rsidRDefault="0081115D">
      <w:pPr>
        <w:pStyle w:val="a3"/>
        <w:spacing w:before="106"/>
        <w:ind w:right="495"/>
        <w:jc w:val="center"/>
      </w:pPr>
      <w:r>
        <w:t xml:space="preserve"> </w:t>
      </w:r>
    </w:p>
    <w:p w14:paraId="1B0DBB7D" w14:textId="77777777" w:rsidR="00A71EEF" w:rsidRDefault="0081115D">
      <w:pPr>
        <w:pStyle w:val="a3"/>
        <w:spacing w:before="105"/>
        <w:ind w:right="495"/>
        <w:jc w:val="center"/>
      </w:pPr>
      <w:r>
        <w:t xml:space="preserve"> </w:t>
      </w:r>
    </w:p>
    <w:p w14:paraId="78DE653A" w14:textId="77777777" w:rsidR="00A71EEF" w:rsidRDefault="0081115D">
      <w:pPr>
        <w:pStyle w:val="a3"/>
        <w:spacing w:before="108"/>
        <w:ind w:right="495"/>
        <w:jc w:val="center"/>
      </w:pPr>
      <w:r>
        <w:t xml:space="preserve"> </w:t>
      </w:r>
    </w:p>
    <w:p w14:paraId="06DE5277" w14:textId="77777777" w:rsidR="00A71EEF" w:rsidRDefault="0081115D">
      <w:pPr>
        <w:pStyle w:val="a3"/>
        <w:spacing w:before="105"/>
        <w:ind w:right="495"/>
        <w:jc w:val="center"/>
      </w:pPr>
      <w:r>
        <w:t xml:space="preserve"> </w:t>
      </w:r>
    </w:p>
    <w:p w14:paraId="1A0E6464" w14:textId="77777777" w:rsidR="00A71EEF" w:rsidRDefault="00A71EEF">
      <w:pPr>
        <w:jc w:val="center"/>
        <w:sectPr w:rsidR="00A71EEF">
          <w:footerReference w:type="default" r:id="rId489"/>
          <w:pgSz w:w="11910" w:h="16850"/>
          <w:pgMar w:top="1200" w:right="0" w:bottom="1420" w:left="1260" w:header="0" w:footer="1239" w:gutter="0"/>
          <w:cols w:space="720"/>
        </w:sectPr>
      </w:pPr>
    </w:p>
    <w:p w14:paraId="352E1CE8" w14:textId="77777777" w:rsidR="00A71EEF" w:rsidRDefault="0081115D">
      <w:pPr>
        <w:pStyle w:val="6"/>
        <w:spacing w:before="42"/>
        <w:ind w:left="2306"/>
      </w:pPr>
      <w:r>
        <w:pict w14:anchorId="25C8A486">
          <v:group id="_x0000_s1096" style="position:absolute;left:0;text-align:left;margin-left:82.45pt;margin-top:17.55pt;width:442.4pt;height:444.7pt;z-index:-251486720;mso-wrap-distance-left:0;mso-wrap-distance-right:0;mso-position-horizontal-relative:page" coordorigin="1649,351" coordsize="8848,8894">
            <v:rect id="_x0000_s1100" style="position:absolute;left:1649;top:8482;width:8848;height:762" stroked="f"/>
            <v:shape id="_x0000_s1099" type="#_x0000_t75" style="position:absolute;left:2938;top:350;width:6690;height:8130">
              <v:imagedata r:id="rId490" o:title=""/>
            </v:shape>
            <v:shape id="_x0000_s1098" type="#_x0000_t202" style="position:absolute;left:9628;top:8327;width:110;height:180" filled="f" stroked="f">
              <v:textbox inset="0,0,0,0">
                <w:txbxContent>
                  <w:p w14:paraId="2C637863" w14:textId="77777777" w:rsidR="00A71EEF" w:rsidRDefault="0081115D">
                    <w:pPr>
                      <w:spacing w:line="180" w:lineRule="exact"/>
                      <w:rPr>
                        <w:sz w:val="18"/>
                      </w:rPr>
                    </w:pPr>
                    <w:r>
                      <w:rPr>
                        <w:sz w:val="18"/>
                      </w:rPr>
                      <w:t xml:space="preserve"> </w:t>
                    </w:r>
                  </w:p>
                </w:txbxContent>
              </v:textbox>
            </v:shape>
            <v:shape id="_x0000_s1097" type="#_x0000_t202" style="position:absolute;left:6373;top:8818;width:140;height:240" filled="f" stroked="f">
              <v:textbox inset="0,0,0,0">
                <w:txbxContent>
                  <w:p w14:paraId="60FF85DA" w14:textId="77777777" w:rsidR="00A71EEF" w:rsidRDefault="0081115D">
                    <w:pPr>
                      <w:spacing w:line="240" w:lineRule="exact"/>
                      <w:rPr>
                        <w:sz w:val="24"/>
                      </w:rPr>
                    </w:pPr>
                    <w:r>
                      <w:rPr>
                        <w:sz w:val="24"/>
                      </w:rPr>
                      <w:t xml:space="preserve"> </w:t>
                    </w:r>
                  </w:p>
                </w:txbxContent>
              </v:textbox>
            </v:shape>
            <w10:wrap type="topAndBottom" anchorx="page"/>
          </v:group>
        </w:pict>
      </w:r>
      <w:r>
        <w:t>表</w:t>
      </w:r>
      <w:r>
        <w:t xml:space="preserve"> D.0.1-2 </w:t>
      </w:r>
      <w:r>
        <w:t>防火卷帘、防火门、防火窗工程质量验收记录</w:t>
      </w:r>
      <w:r>
        <w:rPr>
          <w:w w:val="99"/>
        </w:rPr>
        <w:t xml:space="preserve"> </w:t>
      </w:r>
    </w:p>
    <w:p w14:paraId="4517BC2F" w14:textId="77777777" w:rsidR="00A71EEF" w:rsidRDefault="00A71EEF">
      <w:pPr>
        <w:pStyle w:val="a3"/>
        <w:rPr>
          <w:b/>
          <w:sz w:val="20"/>
        </w:rPr>
      </w:pPr>
    </w:p>
    <w:p w14:paraId="3A9B30FD" w14:textId="77777777" w:rsidR="00A71EEF" w:rsidRDefault="00A71EEF">
      <w:pPr>
        <w:pStyle w:val="a3"/>
        <w:rPr>
          <w:b/>
          <w:sz w:val="20"/>
        </w:rPr>
      </w:pPr>
    </w:p>
    <w:p w14:paraId="6EB3328C" w14:textId="77777777" w:rsidR="00A71EEF" w:rsidRDefault="00A71EEF">
      <w:pPr>
        <w:pStyle w:val="a3"/>
        <w:rPr>
          <w:b/>
          <w:sz w:val="20"/>
        </w:rPr>
      </w:pPr>
    </w:p>
    <w:p w14:paraId="6BA7207D" w14:textId="77777777" w:rsidR="00A71EEF" w:rsidRDefault="00A71EEF">
      <w:pPr>
        <w:pStyle w:val="a3"/>
        <w:rPr>
          <w:b/>
          <w:sz w:val="20"/>
        </w:rPr>
      </w:pPr>
    </w:p>
    <w:p w14:paraId="05965087" w14:textId="77777777" w:rsidR="00A71EEF" w:rsidRDefault="00A71EEF">
      <w:pPr>
        <w:pStyle w:val="a3"/>
        <w:rPr>
          <w:b/>
          <w:sz w:val="20"/>
        </w:rPr>
      </w:pPr>
    </w:p>
    <w:p w14:paraId="729BFAEB" w14:textId="77777777" w:rsidR="00A71EEF" w:rsidRDefault="00A71EEF">
      <w:pPr>
        <w:pStyle w:val="a3"/>
        <w:rPr>
          <w:b/>
          <w:sz w:val="20"/>
        </w:rPr>
      </w:pPr>
    </w:p>
    <w:p w14:paraId="64F60C32" w14:textId="77777777" w:rsidR="00A71EEF" w:rsidRDefault="00A71EEF">
      <w:pPr>
        <w:pStyle w:val="a3"/>
        <w:rPr>
          <w:b/>
          <w:sz w:val="20"/>
        </w:rPr>
      </w:pPr>
    </w:p>
    <w:p w14:paraId="4E3EB9B2" w14:textId="77777777" w:rsidR="00A71EEF" w:rsidRDefault="00A71EEF">
      <w:pPr>
        <w:pStyle w:val="a3"/>
        <w:rPr>
          <w:b/>
          <w:sz w:val="20"/>
        </w:rPr>
      </w:pPr>
    </w:p>
    <w:p w14:paraId="5766D235" w14:textId="77777777" w:rsidR="00A71EEF" w:rsidRDefault="00A71EEF">
      <w:pPr>
        <w:pStyle w:val="a3"/>
        <w:rPr>
          <w:b/>
          <w:sz w:val="20"/>
        </w:rPr>
      </w:pPr>
    </w:p>
    <w:p w14:paraId="1E9B0E5A" w14:textId="77777777" w:rsidR="00A71EEF" w:rsidRDefault="00A71EEF">
      <w:pPr>
        <w:pStyle w:val="a3"/>
        <w:rPr>
          <w:b/>
          <w:sz w:val="20"/>
        </w:rPr>
      </w:pPr>
    </w:p>
    <w:p w14:paraId="3D825708" w14:textId="77777777" w:rsidR="00A71EEF" w:rsidRDefault="00A71EEF">
      <w:pPr>
        <w:pStyle w:val="a3"/>
        <w:rPr>
          <w:b/>
          <w:sz w:val="20"/>
        </w:rPr>
      </w:pPr>
    </w:p>
    <w:p w14:paraId="4C519A8F" w14:textId="77777777" w:rsidR="00A71EEF" w:rsidRDefault="00A71EEF">
      <w:pPr>
        <w:pStyle w:val="a3"/>
        <w:rPr>
          <w:b/>
          <w:sz w:val="20"/>
        </w:rPr>
      </w:pPr>
    </w:p>
    <w:p w14:paraId="71A332D1" w14:textId="77777777" w:rsidR="00A71EEF" w:rsidRDefault="00A71EEF">
      <w:pPr>
        <w:pStyle w:val="a3"/>
        <w:rPr>
          <w:b/>
          <w:sz w:val="20"/>
        </w:rPr>
      </w:pPr>
    </w:p>
    <w:p w14:paraId="1CE17816" w14:textId="77777777" w:rsidR="00A71EEF" w:rsidRDefault="00A71EEF">
      <w:pPr>
        <w:pStyle w:val="a3"/>
        <w:rPr>
          <w:b/>
          <w:sz w:val="20"/>
        </w:rPr>
      </w:pPr>
    </w:p>
    <w:p w14:paraId="10C896B9" w14:textId="77777777" w:rsidR="00A71EEF" w:rsidRDefault="0081115D">
      <w:pPr>
        <w:spacing w:before="204"/>
        <w:ind w:right="297"/>
        <w:jc w:val="center"/>
        <w:rPr>
          <w:sz w:val="24"/>
        </w:rPr>
      </w:pPr>
      <w:r>
        <w:rPr>
          <w:sz w:val="24"/>
        </w:rPr>
        <w:t xml:space="preserve"> </w:t>
      </w:r>
    </w:p>
    <w:p w14:paraId="7A4AE98E" w14:textId="77777777" w:rsidR="00A71EEF" w:rsidRDefault="00A71EEF">
      <w:pPr>
        <w:jc w:val="center"/>
        <w:rPr>
          <w:sz w:val="24"/>
        </w:rPr>
        <w:sectPr w:rsidR="00A71EEF">
          <w:footerReference w:type="default" r:id="rId491"/>
          <w:pgSz w:w="11910" w:h="16850"/>
          <w:pgMar w:top="1600" w:right="0" w:bottom="1420" w:left="1260" w:header="0" w:footer="1239" w:gutter="0"/>
          <w:pgNumType w:start="1511"/>
          <w:cols w:space="720"/>
        </w:sectPr>
      </w:pPr>
    </w:p>
    <w:p w14:paraId="26EEEF30" w14:textId="77777777" w:rsidR="00A71EEF" w:rsidRDefault="00A71EEF">
      <w:pPr>
        <w:pStyle w:val="a3"/>
        <w:spacing w:before="2"/>
        <w:rPr>
          <w:sz w:val="11"/>
        </w:rPr>
      </w:pPr>
    </w:p>
    <w:p w14:paraId="375ACEFE" w14:textId="77777777" w:rsidR="00A71EEF" w:rsidRDefault="0081115D">
      <w:pPr>
        <w:spacing w:before="66"/>
        <w:ind w:left="2009"/>
        <w:rPr>
          <w:b/>
          <w:sz w:val="24"/>
        </w:rPr>
      </w:pPr>
      <w:r>
        <w:rPr>
          <w:b/>
          <w:sz w:val="24"/>
        </w:rPr>
        <w:t>附录</w:t>
      </w:r>
      <w:r>
        <w:rPr>
          <w:b/>
          <w:sz w:val="24"/>
        </w:rPr>
        <w:t xml:space="preserve"> E </w:t>
      </w:r>
      <w:r>
        <w:rPr>
          <w:b/>
          <w:sz w:val="24"/>
        </w:rPr>
        <w:t>防火卷帘、防火门、防火窗检查、使用和管理</w:t>
      </w:r>
      <w:r>
        <w:rPr>
          <w:b/>
          <w:w w:val="99"/>
          <w:sz w:val="24"/>
        </w:rPr>
        <w:t xml:space="preserve"> </w:t>
      </w:r>
    </w:p>
    <w:p w14:paraId="31C3B5D9" w14:textId="77777777" w:rsidR="00A71EEF" w:rsidRDefault="00A71EEF">
      <w:pPr>
        <w:pStyle w:val="a3"/>
        <w:rPr>
          <w:b/>
          <w:sz w:val="24"/>
        </w:rPr>
      </w:pPr>
    </w:p>
    <w:p w14:paraId="3C241BED" w14:textId="77777777" w:rsidR="00A71EEF" w:rsidRDefault="0081115D">
      <w:pPr>
        <w:spacing w:before="173"/>
        <w:ind w:left="1570"/>
        <w:rPr>
          <w:sz w:val="21"/>
        </w:rPr>
      </w:pPr>
      <w:r>
        <w:rPr>
          <w:b/>
          <w:sz w:val="21"/>
        </w:rPr>
        <w:t>表</w:t>
      </w:r>
      <w:r>
        <w:rPr>
          <w:b/>
          <w:sz w:val="21"/>
        </w:rPr>
        <w:t xml:space="preserve"> E  </w:t>
      </w:r>
      <w:r>
        <w:rPr>
          <w:b/>
          <w:sz w:val="21"/>
        </w:rPr>
        <w:t>防火卷帘、防火门、防火窗每日（季、年）检查、使用和管理记录</w:t>
      </w:r>
      <w:r>
        <w:rPr>
          <w:sz w:val="21"/>
        </w:rPr>
        <w:t>。</w:t>
      </w:r>
      <w:r>
        <w:rPr>
          <w:sz w:val="21"/>
        </w:rPr>
        <w:t xml:space="preserve"> </w:t>
      </w:r>
    </w:p>
    <w:p w14:paraId="5050219F" w14:textId="77777777" w:rsidR="00A71EEF" w:rsidRDefault="0081115D">
      <w:pPr>
        <w:pStyle w:val="a3"/>
        <w:spacing w:before="5"/>
        <w:rPr>
          <w:sz w:val="26"/>
        </w:rPr>
      </w:pPr>
      <w:r>
        <w:rPr>
          <w:noProof/>
        </w:rPr>
        <w:drawing>
          <wp:anchor distT="0" distB="0" distL="0" distR="0" simplePos="0" relativeHeight="251703808" behindDoc="0" locked="0" layoutInCell="1" allowOverlap="1" wp14:anchorId="1D5C787B" wp14:editId="7F86CB50">
            <wp:simplePos x="0" y="0"/>
            <wp:positionH relativeFrom="page">
              <wp:posOffset>1519555</wp:posOffset>
            </wp:positionH>
            <wp:positionV relativeFrom="paragraph">
              <wp:posOffset>239649</wp:posOffset>
            </wp:positionV>
            <wp:extent cx="4240960" cy="5150643"/>
            <wp:effectExtent l="0" t="0" r="0" b="0"/>
            <wp:wrapTopAndBottom/>
            <wp:docPr id="667" name="image3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image391.jpeg"/>
                    <pic:cNvPicPr/>
                  </pic:nvPicPr>
                  <pic:blipFill>
                    <a:blip r:embed="rId492" cstate="print"/>
                    <a:stretch>
                      <a:fillRect/>
                    </a:stretch>
                  </pic:blipFill>
                  <pic:spPr>
                    <a:xfrm>
                      <a:off x="0" y="0"/>
                      <a:ext cx="4240960" cy="5150643"/>
                    </a:xfrm>
                    <a:prstGeom prst="rect">
                      <a:avLst/>
                    </a:prstGeom>
                  </pic:spPr>
                </pic:pic>
              </a:graphicData>
            </a:graphic>
          </wp:anchor>
        </w:drawing>
      </w:r>
    </w:p>
    <w:p w14:paraId="2D26B864" w14:textId="77777777" w:rsidR="00A71EEF" w:rsidRDefault="00A71EEF">
      <w:pPr>
        <w:rPr>
          <w:sz w:val="26"/>
        </w:rPr>
        <w:sectPr w:rsidR="00A71EEF">
          <w:pgSz w:w="11910" w:h="16850"/>
          <w:pgMar w:top="1600" w:right="0" w:bottom="1420" w:left="1260" w:header="0" w:footer="1239" w:gutter="0"/>
          <w:cols w:space="720"/>
        </w:sectPr>
      </w:pPr>
    </w:p>
    <w:p w14:paraId="417C8FD2" w14:textId="77777777" w:rsidR="00A71EEF" w:rsidRDefault="0081115D">
      <w:pPr>
        <w:spacing w:before="37"/>
        <w:ind w:right="868"/>
        <w:jc w:val="center"/>
        <w:rPr>
          <w:b/>
          <w:sz w:val="30"/>
        </w:rPr>
      </w:pPr>
      <w:bookmarkStart w:id="31" w:name="_bookmark31"/>
      <w:bookmarkEnd w:id="31"/>
      <w:r>
        <w:rPr>
          <w:b/>
          <w:sz w:val="30"/>
        </w:rPr>
        <w:t>城市消防规划规范</w:t>
      </w:r>
      <w:r>
        <w:rPr>
          <w:b/>
          <w:w w:val="99"/>
          <w:sz w:val="30"/>
        </w:rPr>
        <w:t xml:space="preserve"> </w:t>
      </w:r>
    </w:p>
    <w:p w14:paraId="62A64DAB" w14:textId="77777777" w:rsidR="00A71EEF" w:rsidRDefault="00A71EEF">
      <w:pPr>
        <w:pStyle w:val="a3"/>
        <w:rPr>
          <w:b/>
          <w:sz w:val="20"/>
        </w:rPr>
      </w:pPr>
    </w:p>
    <w:p w14:paraId="20FE85EB" w14:textId="77777777" w:rsidR="00A71EEF" w:rsidRDefault="00A71EEF">
      <w:pPr>
        <w:pStyle w:val="a3"/>
        <w:spacing w:before="5"/>
        <w:rPr>
          <w:b/>
          <w:sz w:val="14"/>
        </w:rPr>
      </w:pPr>
    </w:p>
    <w:p w14:paraId="5F645851" w14:textId="77777777" w:rsidR="00A71EEF" w:rsidRDefault="0081115D">
      <w:pPr>
        <w:spacing w:before="66"/>
        <w:ind w:left="418"/>
        <w:rPr>
          <w:b/>
          <w:sz w:val="24"/>
        </w:rPr>
      </w:pPr>
      <w:r>
        <w:rPr>
          <w:b/>
          <w:sz w:val="24"/>
        </w:rPr>
        <w:t xml:space="preserve">1 </w:t>
      </w:r>
      <w:r>
        <w:rPr>
          <w:b/>
          <w:sz w:val="24"/>
        </w:rPr>
        <w:t>总则</w:t>
      </w:r>
      <w:r>
        <w:rPr>
          <w:b/>
          <w:w w:val="99"/>
          <w:sz w:val="24"/>
        </w:rPr>
        <w:t xml:space="preserve"> </w:t>
      </w:r>
    </w:p>
    <w:p w14:paraId="279D145D" w14:textId="77777777" w:rsidR="00A71EEF" w:rsidRDefault="00A71EEF">
      <w:pPr>
        <w:pStyle w:val="a3"/>
        <w:spacing w:before="4"/>
        <w:rPr>
          <w:b/>
          <w:sz w:val="17"/>
        </w:rPr>
      </w:pPr>
    </w:p>
    <w:p w14:paraId="5022EDB4" w14:textId="77777777" w:rsidR="00A71EEF" w:rsidRDefault="0081115D">
      <w:pPr>
        <w:pStyle w:val="a4"/>
        <w:numPr>
          <w:ilvl w:val="2"/>
          <w:numId w:val="129"/>
        </w:numPr>
        <w:tabs>
          <w:tab w:val="left" w:pos="1370"/>
        </w:tabs>
        <w:spacing w:line="446" w:lineRule="auto"/>
        <w:ind w:right="1604" w:firstLine="422"/>
        <w:rPr>
          <w:sz w:val="21"/>
        </w:rPr>
      </w:pPr>
      <w:r>
        <w:rPr>
          <w:spacing w:val="-3"/>
          <w:sz w:val="21"/>
        </w:rPr>
        <w:t>为规范城市消防规划，增强城市抗御火灾和应急救援能力，预防火灾和减少火灾危害，制定本规范。</w:t>
      </w:r>
      <w:r>
        <w:rPr>
          <w:sz w:val="21"/>
        </w:rPr>
        <w:t xml:space="preserve"> </w:t>
      </w:r>
    </w:p>
    <w:p w14:paraId="6705FBE3" w14:textId="77777777" w:rsidR="00A71EEF" w:rsidRDefault="0081115D">
      <w:pPr>
        <w:pStyle w:val="a4"/>
        <w:numPr>
          <w:ilvl w:val="2"/>
          <w:numId w:val="129"/>
        </w:numPr>
        <w:tabs>
          <w:tab w:val="left" w:pos="1371"/>
        </w:tabs>
        <w:ind w:left="1370" w:hanging="531"/>
        <w:rPr>
          <w:sz w:val="21"/>
        </w:rPr>
      </w:pPr>
      <w:r>
        <w:rPr>
          <w:spacing w:val="-3"/>
          <w:sz w:val="21"/>
        </w:rPr>
        <w:t>本规范适用于城市总体规划中的消防规划和城市消防专项规划。</w:t>
      </w:r>
      <w:r>
        <w:rPr>
          <w:sz w:val="21"/>
        </w:rPr>
        <w:t xml:space="preserve"> </w:t>
      </w:r>
    </w:p>
    <w:p w14:paraId="6B9D2A13" w14:textId="77777777" w:rsidR="00A71EEF" w:rsidRDefault="00A71EEF">
      <w:pPr>
        <w:pStyle w:val="a3"/>
        <w:spacing w:before="12"/>
        <w:rPr>
          <w:sz w:val="17"/>
        </w:rPr>
      </w:pPr>
    </w:p>
    <w:p w14:paraId="0764095A" w14:textId="77777777" w:rsidR="00A71EEF" w:rsidRDefault="0081115D">
      <w:pPr>
        <w:pStyle w:val="a4"/>
        <w:numPr>
          <w:ilvl w:val="2"/>
          <w:numId w:val="129"/>
        </w:numPr>
        <w:tabs>
          <w:tab w:val="left" w:pos="1370"/>
        </w:tabs>
        <w:ind w:left="1369" w:hanging="530"/>
        <w:rPr>
          <w:sz w:val="21"/>
        </w:rPr>
      </w:pPr>
      <w:r>
        <w:rPr>
          <w:spacing w:val="-3"/>
          <w:sz w:val="21"/>
        </w:rPr>
        <w:t>城市消防规划期限与城市总体规划相一致。</w:t>
      </w:r>
      <w:r>
        <w:rPr>
          <w:sz w:val="21"/>
        </w:rPr>
        <w:t xml:space="preserve"> </w:t>
      </w:r>
    </w:p>
    <w:p w14:paraId="23C76B48" w14:textId="77777777" w:rsidR="00A71EEF" w:rsidRDefault="00A71EEF">
      <w:pPr>
        <w:pStyle w:val="a3"/>
        <w:rPr>
          <w:sz w:val="18"/>
        </w:rPr>
      </w:pPr>
    </w:p>
    <w:p w14:paraId="346B7BBA" w14:textId="77777777" w:rsidR="00A71EEF" w:rsidRDefault="0081115D">
      <w:pPr>
        <w:pStyle w:val="a4"/>
        <w:numPr>
          <w:ilvl w:val="2"/>
          <w:numId w:val="129"/>
        </w:numPr>
        <w:tabs>
          <w:tab w:val="left" w:pos="1371"/>
        </w:tabs>
        <w:spacing w:line="446" w:lineRule="auto"/>
        <w:ind w:right="1604" w:firstLine="422"/>
        <w:rPr>
          <w:sz w:val="21"/>
        </w:rPr>
      </w:pPr>
      <w:r>
        <w:rPr>
          <w:spacing w:val="-3"/>
          <w:sz w:val="21"/>
        </w:rPr>
        <w:t>城市消防规划应执行预防为主、防消结合的消防工作方针，遵循科学合理、经济适用适度超前的规划原则。</w:t>
      </w:r>
      <w:r>
        <w:rPr>
          <w:sz w:val="21"/>
        </w:rPr>
        <w:t xml:space="preserve"> </w:t>
      </w:r>
    </w:p>
    <w:p w14:paraId="1A766EDB" w14:textId="77777777" w:rsidR="00A71EEF" w:rsidRDefault="0081115D">
      <w:pPr>
        <w:pStyle w:val="a4"/>
        <w:numPr>
          <w:ilvl w:val="2"/>
          <w:numId w:val="129"/>
        </w:numPr>
        <w:tabs>
          <w:tab w:val="left" w:pos="1370"/>
        </w:tabs>
        <w:spacing w:line="446" w:lineRule="auto"/>
        <w:ind w:right="1608" w:firstLine="422"/>
        <w:rPr>
          <w:sz w:val="21"/>
        </w:rPr>
      </w:pPr>
      <w:r>
        <w:rPr>
          <w:spacing w:val="-2"/>
          <w:sz w:val="21"/>
        </w:rPr>
        <w:t>编制城市消防规划，应结合当地实际对城市火灾风险、消防安全状况进行分析评</w:t>
      </w:r>
      <w:r>
        <w:rPr>
          <w:spacing w:val="-2"/>
          <w:sz w:val="21"/>
        </w:rPr>
        <w:t xml:space="preserve"> </w:t>
      </w:r>
      <w:r>
        <w:rPr>
          <w:spacing w:val="-2"/>
          <w:sz w:val="21"/>
        </w:rPr>
        <w:t>估</w:t>
      </w:r>
      <w:r>
        <w:rPr>
          <w:spacing w:val="-3"/>
          <w:sz w:val="21"/>
        </w:rPr>
        <w:t>。应按适应城市经济社会发展、满足火灾防控和灭火应急救援的实际需要，合理确定城市消防安全布局，优化配置公共消防设施和消防装备，并应制定管制和实施措施。</w:t>
      </w:r>
      <w:r>
        <w:rPr>
          <w:spacing w:val="-3"/>
          <w:sz w:val="21"/>
        </w:rPr>
        <w:t xml:space="preserve"> </w:t>
      </w:r>
    </w:p>
    <w:p w14:paraId="4C878AB2" w14:textId="77777777" w:rsidR="00A71EEF" w:rsidRDefault="0081115D">
      <w:pPr>
        <w:pStyle w:val="a4"/>
        <w:numPr>
          <w:ilvl w:val="2"/>
          <w:numId w:val="129"/>
        </w:numPr>
        <w:tabs>
          <w:tab w:val="left" w:pos="1370"/>
        </w:tabs>
        <w:spacing w:line="446" w:lineRule="auto"/>
        <w:ind w:right="1604" w:firstLine="422"/>
        <w:jc w:val="both"/>
        <w:rPr>
          <w:sz w:val="21"/>
        </w:rPr>
      </w:pPr>
      <w:r>
        <w:rPr>
          <w:spacing w:val="-3"/>
          <w:sz w:val="21"/>
        </w:rPr>
        <w:t>城市消防规划应与相关规划协调。公共消防设施应实现资源共享，可充分利用城市基础设施、综合防灾设施，并应符合消防安全要求。市政消火栓、消防车通道等公共消防设施应与城市供水、道路等基础设施同步规划、同步建设。</w:t>
      </w:r>
      <w:r>
        <w:rPr>
          <w:spacing w:val="-3"/>
          <w:sz w:val="21"/>
        </w:rPr>
        <w:t xml:space="preserve"> </w:t>
      </w:r>
    </w:p>
    <w:p w14:paraId="06E09EEB" w14:textId="77777777" w:rsidR="00A71EEF" w:rsidRDefault="0081115D">
      <w:pPr>
        <w:pStyle w:val="a4"/>
        <w:numPr>
          <w:ilvl w:val="2"/>
          <w:numId w:val="129"/>
        </w:numPr>
        <w:tabs>
          <w:tab w:val="left" w:pos="1370"/>
        </w:tabs>
        <w:spacing w:line="268" w:lineRule="exact"/>
        <w:ind w:left="1369" w:hanging="530"/>
        <w:rPr>
          <w:sz w:val="21"/>
        </w:rPr>
      </w:pPr>
      <w:r>
        <w:rPr>
          <w:spacing w:val="-3"/>
          <w:sz w:val="21"/>
        </w:rPr>
        <w:t>城市消防规划除应执行本规范外</w:t>
      </w:r>
      <w:r>
        <w:rPr>
          <w:spacing w:val="-3"/>
          <w:sz w:val="21"/>
        </w:rPr>
        <w:t>,</w:t>
      </w:r>
      <w:r>
        <w:rPr>
          <w:spacing w:val="-3"/>
          <w:sz w:val="21"/>
        </w:rPr>
        <w:t>尚应符合国家现行的有关标准规范的规定。</w:t>
      </w:r>
      <w:r>
        <w:rPr>
          <w:sz w:val="21"/>
        </w:rPr>
        <w:t xml:space="preserve"> </w:t>
      </w:r>
    </w:p>
    <w:p w14:paraId="723D3F16" w14:textId="77777777" w:rsidR="00A71EEF" w:rsidRDefault="00A71EEF">
      <w:pPr>
        <w:pStyle w:val="a3"/>
        <w:spacing w:before="7"/>
        <w:rPr>
          <w:sz w:val="15"/>
        </w:rPr>
      </w:pPr>
    </w:p>
    <w:p w14:paraId="32AA2528" w14:textId="77777777" w:rsidR="00A71EEF" w:rsidRDefault="0081115D">
      <w:pPr>
        <w:pStyle w:val="4"/>
      </w:pPr>
      <w:r>
        <w:t xml:space="preserve">2 </w:t>
      </w:r>
      <w:r>
        <w:t>术语</w:t>
      </w:r>
      <w:r>
        <w:rPr>
          <w:w w:val="99"/>
        </w:rPr>
        <w:t xml:space="preserve"> </w:t>
      </w:r>
    </w:p>
    <w:p w14:paraId="4460343E" w14:textId="77777777" w:rsidR="00A71EEF" w:rsidRDefault="00A71EEF">
      <w:pPr>
        <w:pStyle w:val="a3"/>
        <w:spacing w:before="6"/>
        <w:rPr>
          <w:b/>
          <w:sz w:val="17"/>
        </w:rPr>
      </w:pPr>
    </w:p>
    <w:p w14:paraId="39C0F7A7" w14:textId="77777777" w:rsidR="00A71EEF" w:rsidRDefault="0081115D">
      <w:pPr>
        <w:pStyle w:val="a4"/>
        <w:numPr>
          <w:ilvl w:val="2"/>
          <w:numId w:val="128"/>
        </w:numPr>
        <w:tabs>
          <w:tab w:val="left" w:pos="1370"/>
        </w:tabs>
        <w:ind w:hanging="530"/>
        <w:rPr>
          <w:sz w:val="21"/>
        </w:rPr>
      </w:pPr>
      <w:r>
        <w:rPr>
          <w:spacing w:val="-3"/>
          <w:sz w:val="21"/>
        </w:rPr>
        <w:t>城市消防规划</w:t>
      </w:r>
      <w:r>
        <w:rPr>
          <w:spacing w:val="-3"/>
          <w:sz w:val="21"/>
        </w:rPr>
        <w:t xml:space="preserve"> </w:t>
      </w:r>
      <w:r>
        <w:rPr>
          <w:sz w:val="21"/>
        </w:rPr>
        <w:t>planning</w:t>
      </w:r>
      <w:r>
        <w:rPr>
          <w:spacing w:val="1"/>
          <w:sz w:val="21"/>
        </w:rPr>
        <w:t xml:space="preserve"> </w:t>
      </w:r>
      <w:r>
        <w:rPr>
          <w:sz w:val="21"/>
        </w:rPr>
        <w:t>of urban</w:t>
      </w:r>
      <w:r>
        <w:rPr>
          <w:spacing w:val="-2"/>
          <w:sz w:val="21"/>
        </w:rPr>
        <w:t xml:space="preserve"> </w:t>
      </w:r>
      <w:r>
        <w:rPr>
          <w:sz w:val="21"/>
        </w:rPr>
        <w:t>fire con</w:t>
      </w:r>
      <w:r>
        <w:rPr>
          <w:sz w:val="21"/>
        </w:rPr>
        <w:t xml:space="preserve">trol </w:t>
      </w:r>
    </w:p>
    <w:p w14:paraId="3AE9A64C" w14:textId="77777777" w:rsidR="00A71EEF" w:rsidRDefault="00A71EEF">
      <w:pPr>
        <w:pStyle w:val="a3"/>
        <w:spacing w:before="12"/>
        <w:rPr>
          <w:sz w:val="17"/>
        </w:rPr>
      </w:pPr>
    </w:p>
    <w:p w14:paraId="309D8947" w14:textId="77777777" w:rsidR="00A71EEF" w:rsidRDefault="0081115D">
      <w:pPr>
        <w:pStyle w:val="a3"/>
        <w:spacing w:line="446" w:lineRule="auto"/>
        <w:ind w:left="418" w:right="1609" w:firstLine="419"/>
      </w:pPr>
      <w:r>
        <w:t>对一定时期内城市消防发展目标、城市消防安全布局、公共消防设施和消防装备的的综合部署、具体安排和实施措施。</w:t>
      </w:r>
      <w:r>
        <w:t xml:space="preserve"> </w:t>
      </w:r>
    </w:p>
    <w:p w14:paraId="26A83034" w14:textId="77777777" w:rsidR="00A71EEF" w:rsidRDefault="0081115D">
      <w:pPr>
        <w:pStyle w:val="a4"/>
        <w:numPr>
          <w:ilvl w:val="2"/>
          <w:numId w:val="128"/>
        </w:numPr>
        <w:tabs>
          <w:tab w:val="left" w:pos="1370"/>
        </w:tabs>
        <w:spacing w:before="1"/>
        <w:ind w:hanging="530"/>
        <w:rPr>
          <w:sz w:val="21"/>
        </w:rPr>
      </w:pPr>
      <w:r>
        <w:rPr>
          <w:spacing w:val="-3"/>
          <w:sz w:val="21"/>
        </w:rPr>
        <w:t>城市火灾风险评估</w:t>
      </w:r>
      <w:r>
        <w:rPr>
          <w:spacing w:val="-3"/>
          <w:sz w:val="21"/>
        </w:rPr>
        <w:t xml:space="preserve"> </w:t>
      </w:r>
      <w:r>
        <w:rPr>
          <w:sz w:val="21"/>
        </w:rPr>
        <w:t>urban</w:t>
      </w:r>
      <w:r>
        <w:rPr>
          <w:spacing w:val="-2"/>
          <w:sz w:val="21"/>
        </w:rPr>
        <w:t xml:space="preserve"> </w:t>
      </w:r>
      <w:r>
        <w:rPr>
          <w:sz w:val="21"/>
        </w:rPr>
        <w:t>fire</w:t>
      </w:r>
      <w:r>
        <w:rPr>
          <w:spacing w:val="1"/>
          <w:sz w:val="21"/>
        </w:rPr>
        <w:t xml:space="preserve"> </w:t>
      </w:r>
      <w:r>
        <w:rPr>
          <w:sz w:val="21"/>
        </w:rPr>
        <w:t xml:space="preserve">risk evaluation </w:t>
      </w:r>
    </w:p>
    <w:p w14:paraId="1D4DF257" w14:textId="77777777" w:rsidR="00A71EEF" w:rsidRDefault="00A71EEF">
      <w:pPr>
        <w:pStyle w:val="a3"/>
        <w:spacing w:before="12"/>
        <w:rPr>
          <w:sz w:val="17"/>
        </w:rPr>
      </w:pPr>
    </w:p>
    <w:p w14:paraId="5256B6F7" w14:textId="77777777" w:rsidR="00A71EEF" w:rsidRDefault="0081115D">
      <w:pPr>
        <w:pStyle w:val="a3"/>
        <w:spacing w:line="446" w:lineRule="auto"/>
        <w:ind w:left="840" w:right="1714" w:hanging="3"/>
      </w:pPr>
      <w:r>
        <w:t>对城市用地范围内的建筑、场所、设施等发生火灾的危险性和危害性进行的综合评价。</w:t>
      </w:r>
      <w:r>
        <w:rPr>
          <w:b/>
        </w:rPr>
        <w:t xml:space="preserve">2.0.3 </w:t>
      </w:r>
      <w:r>
        <w:t>城市消防安全布局</w:t>
      </w:r>
      <w:r>
        <w:t xml:space="preserve"> urban fire safety layout </w:t>
      </w:r>
    </w:p>
    <w:p w14:paraId="63B606E2" w14:textId="77777777" w:rsidR="00A71EEF" w:rsidRDefault="0081115D">
      <w:pPr>
        <w:pStyle w:val="a3"/>
        <w:spacing w:line="446" w:lineRule="auto"/>
        <w:ind w:left="838" w:right="1609"/>
      </w:pPr>
      <w:r>
        <w:rPr>
          <w:spacing w:val="-3"/>
        </w:rPr>
        <w:t>符合城市消防安全要求的城市建设用地布局和采用的安全措施。布局是指符合城市公共</w:t>
      </w:r>
      <w:r>
        <w:rPr>
          <w:spacing w:val="-3"/>
        </w:rPr>
        <w:t xml:space="preserve"> </w:t>
      </w:r>
      <w:r>
        <w:rPr>
          <w:spacing w:val="-3"/>
        </w:rPr>
        <w:t>本规范特指对易燃易爆危险品场所或设施、火灾危险性和危害性较大的其他场所或设施用</w:t>
      </w:r>
    </w:p>
    <w:p w14:paraId="5932EE2E" w14:textId="77777777" w:rsidR="00A71EEF" w:rsidRDefault="0081115D">
      <w:pPr>
        <w:pStyle w:val="a3"/>
        <w:spacing w:line="448" w:lineRule="auto"/>
        <w:ind w:left="840" w:right="2554" w:hanging="423"/>
      </w:pPr>
      <w:r>
        <w:t>地、防火隔离带、防火避难场地等进行的综合部署、具体安排和采取的安全措施。</w:t>
      </w:r>
      <w:r>
        <w:rPr>
          <w:b/>
        </w:rPr>
        <w:t xml:space="preserve">2.0.4 </w:t>
      </w:r>
      <w:r>
        <w:t>公共消防设施</w:t>
      </w:r>
      <w:r>
        <w:t xml:space="preserve"> public fire control facilities </w:t>
      </w:r>
    </w:p>
    <w:p w14:paraId="11E85200" w14:textId="77777777" w:rsidR="00A71EEF" w:rsidRDefault="0081115D">
      <w:pPr>
        <w:pStyle w:val="a3"/>
        <w:spacing w:line="264" w:lineRule="exact"/>
        <w:ind w:left="838"/>
      </w:pPr>
      <w:r>
        <w:t>灭火和应急救援所需的消防站、消防通信设施、消防供水设施、消防车通道等的统称。</w:t>
      </w:r>
      <w:r>
        <w:t xml:space="preserve"> </w:t>
      </w:r>
    </w:p>
    <w:p w14:paraId="189E8412" w14:textId="77777777" w:rsidR="00A71EEF" w:rsidRDefault="00A71EEF">
      <w:pPr>
        <w:spacing w:line="264" w:lineRule="exact"/>
        <w:sectPr w:rsidR="00A71EEF">
          <w:pgSz w:w="11910" w:h="16850"/>
          <w:pgMar w:top="1140" w:right="0" w:bottom="1420" w:left="1260" w:header="0" w:footer="1239" w:gutter="0"/>
          <w:cols w:space="720"/>
        </w:sectPr>
      </w:pPr>
    </w:p>
    <w:p w14:paraId="143D779D" w14:textId="77777777" w:rsidR="00A71EEF" w:rsidRDefault="0081115D">
      <w:pPr>
        <w:spacing w:before="47"/>
        <w:ind w:left="840"/>
        <w:rPr>
          <w:sz w:val="21"/>
        </w:rPr>
      </w:pPr>
      <w:r>
        <w:rPr>
          <w:b/>
          <w:sz w:val="21"/>
        </w:rPr>
        <w:t xml:space="preserve">2.0.5 </w:t>
      </w:r>
      <w:r>
        <w:rPr>
          <w:sz w:val="21"/>
        </w:rPr>
        <w:t>防火隔离带</w:t>
      </w:r>
      <w:r>
        <w:rPr>
          <w:sz w:val="21"/>
        </w:rPr>
        <w:t xml:space="preserve"> fire break </w:t>
      </w:r>
    </w:p>
    <w:p w14:paraId="15228A0B" w14:textId="77777777" w:rsidR="00A71EEF" w:rsidRDefault="00A71EEF">
      <w:pPr>
        <w:pStyle w:val="a3"/>
        <w:rPr>
          <w:sz w:val="18"/>
        </w:rPr>
      </w:pPr>
    </w:p>
    <w:p w14:paraId="691690D3" w14:textId="77777777" w:rsidR="00A71EEF" w:rsidRDefault="0081115D">
      <w:pPr>
        <w:pStyle w:val="a3"/>
        <w:ind w:left="838"/>
      </w:pPr>
      <w:r>
        <w:t>组织火灾大面积延烧的隔离空</w:t>
      </w:r>
      <w:r>
        <w:t>间。</w:t>
      </w:r>
      <w:r>
        <w:t xml:space="preserve"> </w:t>
      </w:r>
    </w:p>
    <w:p w14:paraId="21BEDDC6" w14:textId="77777777" w:rsidR="00A71EEF" w:rsidRDefault="00A71EEF">
      <w:pPr>
        <w:pStyle w:val="a3"/>
        <w:spacing w:before="8"/>
        <w:rPr>
          <w:sz w:val="15"/>
        </w:rPr>
      </w:pPr>
    </w:p>
    <w:p w14:paraId="324EB6B8" w14:textId="77777777" w:rsidR="00A71EEF" w:rsidRDefault="0081115D">
      <w:pPr>
        <w:pStyle w:val="4"/>
      </w:pPr>
      <w:r>
        <w:t xml:space="preserve">3 </w:t>
      </w:r>
      <w:r>
        <w:t>城市消防安全布局</w:t>
      </w:r>
      <w:r>
        <w:rPr>
          <w:w w:val="99"/>
        </w:rPr>
        <w:t xml:space="preserve"> </w:t>
      </w:r>
    </w:p>
    <w:p w14:paraId="10C476C1" w14:textId="77777777" w:rsidR="00A71EEF" w:rsidRDefault="00A71EEF">
      <w:pPr>
        <w:pStyle w:val="a3"/>
        <w:spacing w:before="6"/>
        <w:rPr>
          <w:b/>
          <w:sz w:val="17"/>
        </w:rPr>
      </w:pPr>
    </w:p>
    <w:p w14:paraId="5C0C8FA5" w14:textId="77777777" w:rsidR="00A71EEF" w:rsidRDefault="0081115D">
      <w:pPr>
        <w:pStyle w:val="a4"/>
        <w:numPr>
          <w:ilvl w:val="1"/>
          <w:numId w:val="127"/>
        </w:numPr>
        <w:tabs>
          <w:tab w:val="left" w:pos="1160"/>
        </w:tabs>
        <w:spacing w:line="446" w:lineRule="auto"/>
        <w:ind w:right="1604" w:firstLine="422"/>
        <w:jc w:val="both"/>
        <w:rPr>
          <w:sz w:val="21"/>
        </w:rPr>
      </w:pPr>
      <w:r>
        <w:rPr>
          <w:spacing w:val="-3"/>
          <w:sz w:val="21"/>
        </w:rPr>
        <w:t>城市消防安全布局应按城市消防安全和综合防灾的要求，对易燃易爆危险品场所或设施及影响范围、建筑耐火等级低或灭火救援条件差的建筑密集区、理事城区、历史文化街区、城市地下空间、防火隔离带、防灾避免场地等进行综合部署和具体安排，制定消防安全措施和规划管制措施。</w:t>
      </w:r>
      <w:r>
        <w:rPr>
          <w:sz w:val="21"/>
        </w:rPr>
        <w:t xml:space="preserve"> </w:t>
      </w:r>
    </w:p>
    <w:p w14:paraId="68EF9C5C" w14:textId="77777777" w:rsidR="00A71EEF" w:rsidRDefault="0081115D">
      <w:pPr>
        <w:pStyle w:val="a4"/>
        <w:numPr>
          <w:ilvl w:val="1"/>
          <w:numId w:val="127"/>
        </w:numPr>
        <w:tabs>
          <w:tab w:val="left" w:pos="1213"/>
        </w:tabs>
        <w:spacing w:line="267" w:lineRule="exact"/>
        <w:ind w:left="1212" w:hanging="373"/>
        <w:jc w:val="both"/>
        <w:rPr>
          <w:sz w:val="21"/>
        </w:rPr>
      </w:pPr>
      <w:r>
        <w:rPr>
          <w:spacing w:val="-3"/>
          <w:sz w:val="21"/>
        </w:rPr>
        <w:t>易燃易爆危险品场所或设施的消防安全应符合下列规定：</w:t>
      </w:r>
      <w:r>
        <w:rPr>
          <w:sz w:val="21"/>
        </w:rPr>
        <w:t xml:space="preserve"> </w:t>
      </w:r>
    </w:p>
    <w:p w14:paraId="4B4E5315" w14:textId="77777777" w:rsidR="00A71EEF" w:rsidRDefault="00A71EEF">
      <w:pPr>
        <w:pStyle w:val="a3"/>
        <w:rPr>
          <w:sz w:val="18"/>
        </w:rPr>
      </w:pPr>
    </w:p>
    <w:p w14:paraId="16D6286B" w14:textId="77777777" w:rsidR="00A71EEF" w:rsidRDefault="0081115D">
      <w:pPr>
        <w:pStyle w:val="a3"/>
        <w:spacing w:line="446" w:lineRule="auto"/>
        <w:ind w:left="418" w:right="1609" w:firstLine="419"/>
      </w:pPr>
      <w:r>
        <w:t>易燃易爆危险品场所或设施应按现行相关标准的规定控制规模，并应根据消防安全的要求合理布局。</w:t>
      </w:r>
      <w:r>
        <w:t xml:space="preserve"> </w:t>
      </w:r>
    </w:p>
    <w:p w14:paraId="30D957E8" w14:textId="77777777" w:rsidR="00A71EEF" w:rsidRDefault="0081115D">
      <w:pPr>
        <w:pStyle w:val="a3"/>
        <w:spacing w:line="446" w:lineRule="auto"/>
        <w:ind w:left="418" w:right="1608" w:firstLine="419"/>
        <w:jc w:val="both"/>
      </w:pPr>
      <w:r>
        <w:t>易燃易爆危险品场所或设施应设置在城市的边缘或相对独立的安全地带；大、中型易燃易爆危险品场所或设施应设置在城市建设用地边缘的独立安全地区，不得设置在城市常年主导风向的上风向、主要水源的上游或其他危及公共安全的地区。对周边地区有重大安全影响的易燃易爆危险品场所或设施，应设置防灾缓冲地带和可靠的安全设施。</w:t>
      </w:r>
      <w:r>
        <w:t xml:space="preserve"> </w:t>
      </w:r>
    </w:p>
    <w:p w14:paraId="1D0E1A41" w14:textId="77777777" w:rsidR="00A71EEF" w:rsidRDefault="0081115D">
      <w:pPr>
        <w:pStyle w:val="a3"/>
        <w:spacing w:line="446" w:lineRule="auto"/>
        <w:ind w:left="418" w:right="1608" w:firstLine="419"/>
        <w:jc w:val="both"/>
      </w:pPr>
      <w:r>
        <w:t>易燃易爆危险品场所或设施与相邻建筑、设施、交通线等的安全距离应符合国家现行相关标准的规定。城市建设用地范围内新建易燃易爆危险品生产、储存、装卸、经营场所或设施的安全距离，应控制其总用地范围内。</w:t>
      </w:r>
      <w:r>
        <w:t xml:space="preserve"> </w:t>
      </w:r>
    </w:p>
    <w:p w14:paraId="4111E137" w14:textId="77777777" w:rsidR="00A71EEF" w:rsidRDefault="0081115D">
      <w:pPr>
        <w:pStyle w:val="a3"/>
        <w:spacing w:line="446" w:lineRule="auto"/>
        <w:ind w:left="418" w:right="1450" w:firstLine="419"/>
      </w:pPr>
      <w:r>
        <w:rPr>
          <w:spacing w:val="-3"/>
        </w:rPr>
        <w:t>城市建设用地</w:t>
      </w:r>
      <w:r>
        <w:rPr>
          <w:spacing w:val="-3"/>
        </w:rPr>
        <w:t>范围内应控制汽车加油站、加气站和加油加气合建站的规模和布局，并应符</w:t>
      </w:r>
      <w:r>
        <w:rPr>
          <w:spacing w:val="-3"/>
        </w:rPr>
        <w:t xml:space="preserve"> </w:t>
      </w:r>
      <w:r>
        <w:rPr>
          <w:spacing w:val="-3"/>
        </w:rPr>
        <w:t>合现行国家标准《汽车加油加气站设计与施工规范》</w:t>
      </w:r>
      <w:r>
        <w:t>GB</w:t>
      </w:r>
      <w:r>
        <w:rPr>
          <w:spacing w:val="15"/>
        </w:rPr>
        <w:t xml:space="preserve"> </w:t>
      </w:r>
      <w:r>
        <w:t>50156</w:t>
      </w:r>
      <w:r>
        <w:rPr>
          <w:spacing w:val="-3"/>
        </w:rPr>
        <w:t>、《建筑设计规范》</w:t>
      </w:r>
      <w:r>
        <w:t>GB</w:t>
      </w:r>
      <w:r>
        <w:rPr>
          <w:spacing w:val="16"/>
        </w:rPr>
        <w:t xml:space="preserve"> </w:t>
      </w:r>
      <w:r>
        <w:t>5016</w:t>
      </w:r>
      <w:r>
        <w:rPr>
          <w:spacing w:val="-16"/>
        </w:rPr>
        <w:t xml:space="preserve"> </w:t>
      </w:r>
      <w:r>
        <w:rPr>
          <w:spacing w:val="-16"/>
        </w:rPr>
        <w:t>的有</w:t>
      </w:r>
      <w:r>
        <w:rPr>
          <w:spacing w:val="-10"/>
        </w:rPr>
        <w:t>关规定。</w:t>
      </w:r>
      <w:r>
        <w:t xml:space="preserve"> </w:t>
      </w:r>
    </w:p>
    <w:p w14:paraId="65F9DE42" w14:textId="77777777" w:rsidR="00A71EEF" w:rsidRDefault="0081115D">
      <w:pPr>
        <w:pStyle w:val="a3"/>
        <w:spacing w:line="446" w:lineRule="auto"/>
        <w:ind w:left="418" w:right="1505" w:firstLine="419"/>
      </w:pPr>
      <w:r>
        <w:rPr>
          <w:spacing w:val="-5"/>
        </w:rPr>
        <w:t>城市燃气系统应统筹规划，区域性输油管道和压力大于</w:t>
      </w:r>
      <w:r>
        <w:rPr>
          <w:spacing w:val="-5"/>
        </w:rPr>
        <w:t xml:space="preserve"> </w:t>
      </w:r>
      <w:r>
        <w:t>1.6MPa</w:t>
      </w:r>
      <w:r>
        <w:rPr>
          <w:spacing w:val="-8"/>
        </w:rPr>
        <w:t xml:space="preserve"> </w:t>
      </w:r>
      <w:r>
        <w:rPr>
          <w:spacing w:val="-8"/>
        </w:rPr>
        <w:t>的高压燃气管道不得穿越军</w:t>
      </w:r>
      <w:r>
        <w:rPr>
          <w:spacing w:val="-5"/>
        </w:rPr>
        <w:t>事设施、国家重点文物保护单位、其他易燃易爆危险品场所或设施用地、机场</w:t>
      </w:r>
      <w:r>
        <w:t>（</w:t>
      </w:r>
      <w:r>
        <w:rPr>
          <w:spacing w:val="-3"/>
        </w:rPr>
        <w:t>机场专用输油管除外</w:t>
      </w:r>
      <w:r>
        <w:t>）</w:t>
      </w:r>
      <w:r>
        <w:rPr>
          <w:spacing w:val="-3"/>
        </w:rPr>
        <w:t>、非危险品车站和港口码头；城市输油、输气管与周围建筑和设施之间的安全距离应符合国家现行有关技术标准的规定。</w:t>
      </w:r>
      <w:r>
        <w:t xml:space="preserve"> </w:t>
      </w:r>
    </w:p>
    <w:p w14:paraId="3DD07DAB" w14:textId="77777777" w:rsidR="00A71EEF" w:rsidRDefault="0081115D">
      <w:pPr>
        <w:pStyle w:val="a3"/>
        <w:spacing w:line="269" w:lineRule="exact"/>
        <w:ind w:left="838"/>
      </w:pPr>
      <w:r>
        <w:t>合理安排易燃易爆危险品运输线路及通行时段。</w:t>
      </w:r>
      <w:r>
        <w:t xml:space="preserve"> </w:t>
      </w:r>
    </w:p>
    <w:p w14:paraId="0271CDFC" w14:textId="77777777" w:rsidR="00A71EEF" w:rsidRDefault="00A71EEF">
      <w:pPr>
        <w:pStyle w:val="a3"/>
        <w:spacing w:before="8"/>
        <w:rPr>
          <w:sz w:val="17"/>
        </w:rPr>
      </w:pPr>
    </w:p>
    <w:p w14:paraId="62F7ED40" w14:textId="77777777" w:rsidR="00A71EEF" w:rsidRDefault="0081115D">
      <w:pPr>
        <w:pStyle w:val="a3"/>
        <w:spacing w:line="446" w:lineRule="auto"/>
        <w:ind w:left="418" w:right="1608" w:firstLine="419"/>
        <w:jc w:val="both"/>
      </w:pPr>
      <w:r>
        <w:t>现有影响城市消防安全的易燃易爆危险品场所或设施，应结合城市更新改造，进行调整规模、技术改造、搬迁或拆除等。构成重大隐患的，应采取停用、搬迁或拆除等措施，并应纳入近期建设规划。</w:t>
      </w:r>
      <w:r>
        <w:t xml:space="preserve"> </w:t>
      </w:r>
    </w:p>
    <w:p w14:paraId="5C558CA3" w14:textId="77777777" w:rsidR="00A71EEF" w:rsidRDefault="00A71EEF">
      <w:pPr>
        <w:spacing w:line="446" w:lineRule="auto"/>
        <w:jc w:val="both"/>
        <w:sectPr w:rsidR="00A71EEF">
          <w:pgSz w:w="11910" w:h="16850"/>
          <w:pgMar w:top="1220" w:right="0" w:bottom="1420" w:left="1260" w:header="0" w:footer="1239" w:gutter="0"/>
          <w:cols w:space="720"/>
        </w:sectPr>
      </w:pPr>
    </w:p>
    <w:p w14:paraId="590138A2" w14:textId="77777777" w:rsidR="00A71EEF" w:rsidRDefault="0081115D">
      <w:pPr>
        <w:pStyle w:val="a4"/>
        <w:numPr>
          <w:ilvl w:val="1"/>
          <w:numId w:val="127"/>
        </w:numPr>
        <w:tabs>
          <w:tab w:val="left" w:pos="1160"/>
        </w:tabs>
        <w:spacing w:before="47" w:line="446" w:lineRule="auto"/>
        <w:ind w:right="1604" w:firstLine="422"/>
        <w:rPr>
          <w:sz w:val="21"/>
        </w:rPr>
      </w:pPr>
      <w:r>
        <w:rPr>
          <w:spacing w:val="-3"/>
          <w:sz w:val="21"/>
        </w:rPr>
        <w:t>城市建设用地内，应建造一、二级耐火等级的建筑，控制三级耐火等级的建筑，严格限制四级耐火等级的建筑。</w:t>
      </w:r>
      <w:r>
        <w:rPr>
          <w:spacing w:val="-3"/>
          <w:sz w:val="21"/>
        </w:rPr>
        <w:t xml:space="preserve"> </w:t>
      </w:r>
    </w:p>
    <w:p w14:paraId="1EE67C84" w14:textId="77777777" w:rsidR="00A71EEF" w:rsidRDefault="0081115D">
      <w:pPr>
        <w:pStyle w:val="a4"/>
        <w:numPr>
          <w:ilvl w:val="1"/>
          <w:numId w:val="127"/>
        </w:numPr>
        <w:tabs>
          <w:tab w:val="left" w:pos="1159"/>
        </w:tabs>
        <w:spacing w:line="267" w:lineRule="exact"/>
        <w:ind w:left="1158" w:hanging="319"/>
        <w:rPr>
          <w:sz w:val="21"/>
        </w:rPr>
      </w:pPr>
      <w:r>
        <w:rPr>
          <w:spacing w:val="-3"/>
          <w:sz w:val="21"/>
        </w:rPr>
        <w:t>历史城区及历史文化街区的消防安全应符合</w:t>
      </w:r>
      <w:r>
        <w:rPr>
          <w:spacing w:val="-3"/>
          <w:sz w:val="21"/>
        </w:rPr>
        <w:t>下列规定：</w:t>
      </w:r>
      <w:r>
        <w:rPr>
          <w:sz w:val="21"/>
        </w:rPr>
        <w:t xml:space="preserve"> </w:t>
      </w:r>
    </w:p>
    <w:p w14:paraId="0B438961" w14:textId="77777777" w:rsidR="00A71EEF" w:rsidRDefault="00A71EEF">
      <w:pPr>
        <w:pStyle w:val="a3"/>
        <w:spacing w:before="2"/>
        <w:rPr>
          <w:sz w:val="18"/>
        </w:rPr>
      </w:pPr>
    </w:p>
    <w:p w14:paraId="38FA1545" w14:textId="77777777" w:rsidR="00A71EEF" w:rsidRDefault="0081115D">
      <w:pPr>
        <w:pStyle w:val="a3"/>
        <w:ind w:left="838"/>
      </w:pPr>
      <w:r>
        <w:t>历史城区应建立消防安全体系，因地制宜地配置消防设施、装备和器材；</w:t>
      </w:r>
      <w:r>
        <w:t xml:space="preserve"> </w:t>
      </w:r>
    </w:p>
    <w:p w14:paraId="6D0ED965" w14:textId="77777777" w:rsidR="00A71EEF" w:rsidRDefault="00A71EEF">
      <w:pPr>
        <w:pStyle w:val="a3"/>
        <w:rPr>
          <w:sz w:val="18"/>
        </w:rPr>
      </w:pPr>
    </w:p>
    <w:p w14:paraId="6DB6F605" w14:textId="77777777" w:rsidR="00A71EEF" w:rsidRDefault="0081115D">
      <w:pPr>
        <w:pStyle w:val="a3"/>
        <w:spacing w:line="446" w:lineRule="auto"/>
        <w:ind w:left="418" w:right="1609" w:firstLine="419"/>
      </w:pPr>
      <w:r>
        <w:t>历史城区不得设置生产、储存易燃易爆危险品的工厂和仓库，不得保留或新建输气、输油管线和储气、储油设施，不宜设置配气站，低压燃气调压设施宜采用小型调压装置；</w:t>
      </w:r>
      <w:r>
        <w:t xml:space="preserve"> </w:t>
      </w:r>
    </w:p>
    <w:p w14:paraId="1F090140" w14:textId="77777777" w:rsidR="00A71EEF" w:rsidRDefault="0081115D">
      <w:pPr>
        <w:pStyle w:val="a3"/>
        <w:spacing w:line="446" w:lineRule="auto"/>
        <w:ind w:left="418" w:right="1609" w:firstLine="419"/>
      </w:pPr>
      <w:r>
        <w:t>历史城区的道路系统在保持或延续原有道路格局和原有空间尺度的同时，应充分考虑必要的消防通道；</w:t>
      </w:r>
      <w:r>
        <w:t xml:space="preserve"> </w:t>
      </w:r>
    </w:p>
    <w:p w14:paraId="3781A93A" w14:textId="77777777" w:rsidR="00A71EEF" w:rsidRDefault="0081115D">
      <w:pPr>
        <w:pStyle w:val="a3"/>
        <w:spacing w:line="446" w:lineRule="auto"/>
        <w:ind w:left="418" w:right="1609" w:firstLine="419"/>
      </w:pPr>
      <w:r>
        <w:t>历史文化街区应配置小型，适用的消防设施、装备和器材；不符合消防车通道和消防给水要求的街巷，应设置水池、水缸、沙池、灭火器等消防设施和器材；</w:t>
      </w:r>
      <w:r>
        <w:t xml:space="preserve"> </w:t>
      </w:r>
    </w:p>
    <w:p w14:paraId="0445D9A9" w14:textId="77777777" w:rsidR="00A71EEF" w:rsidRDefault="0081115D">
      <w:pPr>
        <w:pStyle w:val="a3"/>
        <w:spacing w:line="446" w:lineRule="auto"/>
        <w:ind w:left="838" w:right="5497"/>
      </w:pPr>
      <w:r>
        <w:rPr>
          <w:spacing w:val="-3"/>
        </w:rPr>
        <w:t>历史文化街区外围宜设置环形消防车通道；</w:t>
      </w:r>
      <w:r>
        <w:rPr>
          <w:spacing w:val="-3"/>
        </w:rPr>
        <w:t xml:space="preserve">  </w:t>
      </w:r>
      <w:r>
        <w:rPr>
          <w:spacing w:val="-3"/>
        </w:rPr>
        <w:t>历史文化街区不得设置汽车加油站、加气站。</w:t>
      </w:r>
      <w:r>
        <w:t xml:space="preserve"> </w:t>
      </w:r>
    </w:p>
    <w:p w14:paraId="06BBD5BB" w14:textId="77777777" w:rsidR="00A71EEF" w:rsidRDefault="0081115D">
      <w:pPr>
        <w:pStyle w:val="a4"/>
        <w:numPr>
          <w:ilvl w:val="1"/>
          <w:numId w:val="127"/>
        </w:numPr>
        <w:tabs>
          <w:tab w:val="left" w:pos="1213"/>
        </w:tabs>
        <w:spacing w:line="446" w:lineRule="auto"/>
        <w:ind w:right="1445" w:firstLine="422"/>
        <w:rPr>
          <w:sz w:val="21"/>
        </w:rPr>
      </w:pPr>
      <w:r>
        <w:rPr>
          <w:spacing w:val="-3"/>
          <w:sz w:val="21"/>
        </w:rPr>
        <w:t>城市地下空间应严格控制规模，避免大面积相互贯通连接，并应配置相应的消防和应急救援设施。</w:t>
      </w:r>
      <w:r>
        <w:rPr>
          <w:sz w:val="21"/>
        </w:rPr>
        <w:t xml:space="preserve"> </w:t>
      </w:r>
    </w:p>
    <w:p w14:paraId="6F031649" w14:textId="77777777" w:rsidR="00A71EEF" w:rsidRDefault="0081115D">
      <w:pPr>
        <w:pStyle w:val="a4"/>
        <w:numPr>
          <w:ilvl w:val="1"/>
          <w:numId w:val="127"/>
        </w:numPr>
        <w:tabs>
          <w:tab w:val="left" w:pos="1159"/>
        </w:tabs>
        <w:spacing w:line="267" w:lineRule="exact"/>
        <w:ind w:left="1158" w:hanging="319"/>
        <w:rPr>
          <w:sz w:val="21"/>
        </w:rPr>
      </w:pPr>
      <w:r>
        <w:rPr>
          <w:spacing w:val="-3"/>
          <w:sz w:val="21"/>
        </w:rPr>
        <w:t>防火隔离带可利用道路、广场、水域等进行设置。</w:t>
      </w:r>
      <w:r>
        <w:rPr>
          <w:sz w:val="21"/>
        </w:rPr>
        <w:t xml:space="preserve"> </w:t>
      </w:r>
    </w:p>
    <w:p w14:paraId="647AE6ED" w14:textId="77777777" w:rsidR="00A71EEF" w:rsidRDefault="00A71EEF">
      <w:pPr>
        <w:pStyle w:val="a3"/>
        <w:spacing w:before="12"/>
        <w:rPr>
          <w:sz w:val="17"/>
        </w:rPr>
      </w:pPr>
    </w:p>
    <w:p w14:paraId="59FA0E67" w14:textId="77777777" w:rsidR="00A71EEF" w:rsidRDefault="0081115D">
      <w:pPr>
        <w:pStyle w:val="a4"/>
        <w:numPr>
          <w:ilvl w:val="1"/>
          <w:numId w:val="127"/>
        </w:numPr>
        <w:tabs>
          <w:tab w:val="left" w:pos="1159"/>
        </w:tabs>
        <w:spacing w:line="446" w:lineRule="auto"/>
        <w:ind w:right="1604" w:firstLine="422"/>
        <w:rPr>
          <w:sz w:val="21"/>
        </w:rPr>
      </w:pPr>
      <w:r>
        <w:rPr>
          <w:spacing w:val="-3"/>
          <w:sz w:val="21"/>
        </w:rPr>
        <w:t>城市防灾避难场地可结合道路、广场、运动场、绿地、公园、居住区公共场地等开敞空间进行设置。</w:t>
      </w:r>
      <w:r>
        <w:rPr>
          <w:sz w:val="21"/>
        </w:rPr>
        <w:t xml:space="preserve"> </w:t>
      </w:r>
    </w:p>
    <w:p w14:paraId="69076C5E" w14:textId="77777777" w:rsidR="00A71EEF" w:rsidRDefault="0081115D">
      <w:pPr>
        <w:pStyle w:val="a4"/>
        <w:numPr>
          <w:ilvl w:val="1"/>
          <w:numId w:val="127"/>
        </w:numPr>
        <w:tabs>
          <w:tab w:val="left" w:pos="1160"/>
        </w:tabs>
        <w:spacing w:line="446" w:lineRule="auto"/>
        <w:ind w:right="1604" w:firstLine="422"/>
        <w:rPr>
          <w:sz w:val="21"/>
        </w:rPr>
      </w:pPr>
      <w:r>
        <w:rPr>
          <w:spacing w:val="-3"/>
          <w:sz w:val="21"/>
        </w:rPr>
        <w:t>城市与森林、草原相邻的区域，应根据火灾风险和消防安全</w:t>
      </w:r>
      <w:r>
        <w:rPr>
          <w:spacing w:val="-3"/>
          <w:sz w:val="21"/>
        </w:rPr>
        <w:t>要求，规定并控制城市建设用地边缘与森林、草原边缘的安全距离。</w:t>
      </w:r>
      <w:r>
        <w:rPr>
          <w:sz w:val="21"/>
        </w:rPr>
        <w:t xml:space="preserve"> </w:t>
      </w:r>
    </w:p>
    <w:p w14:paraId="5CD54204" w14:textId="77777777" w:rsidR="00A71EEF" w:rsidRDefault="0081115D">
      <w:pPr>
        <w:pStyle w:val="4"/>
        <w:spacing w:line="278" w:lineRule="exact"/>
      </w:pPr>
      <w:r>
        <w:t xml:space="preserve">4 </w:t>
      </w:r>
      <w:r>
        <w:t>公共消防设施</w:t>
      </w:r>
      <w:r>
        <w:rPr>
          <w:w w:val="99"/>
        </w:rPr>
        <w:t xml:space="preserve"> </w:t>
      </w:r>
    </w:p>
    <w:p w14:paraId="7C52748F" w14:textId="77777777" w:rsidR="00A71EEF" w:rsidRDefault="00A71EEF">
      <w:pPr>
        <w:pStyle w:val="a3"/>
        <w:spacing w:before="1"/>
        <w:rPr>
          <w:b/>
          <w:sz w:val="17"/>
        </w:rPr>
      </w:pPr>
    </w:p>
    <w:p w14:paraId="024E7B61" w14:textId="77777777" w:rsidR="00A71EEF" w:rsidRDefault="0081115D">
      <w:pPr>
        <w:pStyle w:val="a4"/>
        <w:numPr>
          <w:ilvl w:val="1"/>
          <w:numId w:val="126"/>
        </w:numPr>
        <w:tabs>
          <w:tab w:val="left" w:pos="1159"/>
        </w:tabs>
        <w:spacing w:before="1"/>
        <w:ind w:hanging="319"/>
        <w:rPr>
          <w:b/>
          <w:sz w:val="21"/>
        </w:rPr>
      </w:pPr>
      <w:r>
        <w:rPr>
          <w:spacing w:val="-3"/>
          <w:sz w:val="21"/>
        </w:rPr>
        <w:t>消防站</w:t>
      </w:r>
      <w:r>
        <w:rPr>
          <w:b/>
          <w:w w:val="99"/>
          <w:sz w:val="21"/>
        </w:rPr>
        <w:t xml:space="preserve"> </w:t>
      </w:r>
    </w:p>
    <w:p w14:paraId="17DFDB3C" w14:textId="77777777" w:rsidR="00A71EEF" w:rsidRDefault="00A71EEF">
      <w:pPr>
        <w:pStyle w:val="a3"/>
        <w:spacing w:before="1"/>
        <w:rPr>
          <w:b/>
          <w:sz w:val="18"/>
        </w:rPr>
      </w:pPr>
    </w:p>
    <w:p w14:paraId="01EA399C" w14:textId="77777777" w:rsidR="00A71EEF" w:rsidRDefault="0081115D">
      <w:pPr>
        <w:pStyle w:val="a4"/>
        <w:numPr>
          <w:ilvl w:val="2"/>
          <w:numId w:val="126"/>
        </w:numPr>
        <w:tabs>
          <w:tab w:val="left" w:pos="1424"/>
        </w:tabs>
        <w:spacing w:line="446" w:lineRule="auto"/>
        <w:ind w:right="1657" w:firstLine="422"/>
        <w:rPr>
          <w:sz w:val="21"/>
        </w:rPr>
      </w:pPr>
      <w:r>
        <w:rPr>
          <w:spacing w:val="-3"/>
          <w:sz w:val="21"/>
        </w:rPr>
        <w:t>城市消防站分为陆上消防站、水上消防站和航空消防站；陆上消防站分为普通消防站、特勤消防站和战勤保障消防站。普通消防站分为一级普通消防站和二级普通消防站。</w:t>
      </w:r>
      <w:r>
        <w:rPr>
          <w:sz w:val="21"/>
        </w:rPr>
        <w:t xml:space="preserve"> </w:t>
      </w:r>
    </w:p>
    <w:p w14:paraId="11B0D19E" w14:textId="77777777" w:rsidR="00A71EEF" w:rsidRDefault="0081115D">
      <w:pPr>
        <w:pStyle w:val="a4"/>
        <w:numPr>
          <w:ilvl w:val="2"/>
          <w:numId w:val="126"/>
        </w:numPr>
        <w:tabs>
          <w:tab w:val="left" w:pos="1371"/>
        </w:tabs>
        <w:spacing w:line="267" w:lineRule="exact"/>
        <w:ind w:left="1370" w:hanging="531"/>
        <w:rPr>
          <w:sz w:val="21"/>
        </w:rPr>
      </w:pPr>
      <w:r>
        <w:rPr>
          <w:spacing w:val="-3"/>
          <w:sz w:val="21"/>
        </w:rPr>
        <w:t>陆上消防站设置应符合下列规定：</w:t>
      </w:r>
      <w:r>
        <w:rPr>
          <w:sz w:val="21"/>
        </w:rPr>
        <w:t xml:space="preserve"> </w:t>
      </w:r>
    </w:p>
    <w:p w14:paraId="476659DD" w14:textId="77777777" w:rsidR="00A71EEF" w:rsidRDefault="00A71EEF">
      <w:pPr>
        <w:pStyle w:val="a3"/>
        <w:spacing w:before="2"/>
        <w:rPr>
          <w:sz w:val="18"/>
        </w:rPr>
      </w:pPr>
    </w:p>
    <w:p w14:paraId="3C925E5C" w14:textId="77777777" w:rsidR="00A71EEF" w:rsidRDefault="0081115D">
      <w:pPr>
        <w:pStyle w:val="a3"/>
        <w:ind w:left="838"/>
      </w:pPr>
      <w:r>
        <w:t>城市建设用地范围内应设置一级普通消防站；</w:t>
      </w:r>
      <w:r>
        <w:t xml:space="preserve"> </w:t>
      </w:r>
    </w:p>
    <w:p w14:paraId="563AB88D" w14:textId="77777777" w:rsidR="00A71EEF" w:rsidRDefault="00A71EEF">
      <w:pPr>
        <w:pStyle w:val="a3"/>
        <w:rPr>
          <w:sz w:val="18"/>
        </w:rPr>
      </w:pPr>
    </w:p>
    <w:p w14:paraId="25C6DDDA" w14:textId="77777777" w:rsidR="00A71EEF" w:rsidRDefault="0081115D">
      <w:pPr>
        <w:pStyle w:val="a3"/>
        <w:ind w:left="838"/>
      </w:pPr>
      <w:r>
        <w:t>城市建成区内设置一级普通消防站确有困难的区域，经论证可设二级普通消防站。</w:t>
      </w:r>
      <w:r>
        <w:t xml:space="preserve"> </w:t>
      </w:r>
    </w:p>
    <w:p w14:paraId="5939CBDC" w14:textId="77777777" w:rsidR="00A71EEF" w:rsidRDefault="00A71EEF">
      <w:pPr>
        <w:pStyle w:val="a3"/>
        <w:rPr>
          <w:sz w:val="18"/>
        </w:rPr>
      </w:pPr>
    </w:p>
    <w:p w14:paraId="194EA4B2" w14:textId="77777777" w:rsidR="00A71EEF" w:rsidRDefault="0081115D">
      <w:pPr>
        <w:pStyle w:val="a3"/>
        <w:spacing w:line="446" w:lineRule="auto"/>
        <w:ind w:left="418" w:right="1609" w:firstLine="419"/>
      </w:pPr>
      <w:r>
        <w:t>地级及以上城市、经济较发达的县级城市应设置特勤消防站和战勤保障消防站，经济发达且有特勤任务需要的城镇可设置特勤消防站。</w:t>
      </w:r>
      <w:r>
        <w:t xml:space="preserve"> </w:t>
      </w:r>
    </w:p>
    <w:p w14:paraId="7910F81C" w14:textId="77777777" w:rsidR="00A71EEF" w:rsidRDefault="00A71EEF">
      <w:pPr>
        <w:spacing w:line="446" w:lineRule="auto"/>
        <w:sectPr w:rsidR="00A71EEF">
          <w:pgSz w:w="11910" w:h="16850"/>
          <w:pgMar w:top="1220" w:right="0" w:bottom="1420" w:left="1260" w:header="0" w:footer="1239" w:gutter="0"/>
          <w:cols w:space="720"/>
        </w:sectPr>
      </w:pPr>
    </w:p>
    <w:p w14:paraId="1B0B33E6" w14:textId="77777777" w:rsidR="00A71EEF" w:rsidRDefault="0081115D">
      <w:pPr>
        <w:pStyle w:val="a3"/>
        <w:spacing w:before="47" w:line="446" w:lineRule="auto"/>
        <w:ind w:left="418" w:right="1609" w:firstLine="419"/>
      </w:pPr>
      <w:r>
        <w:t>消防站应独立设置。特殊情况下，设在综合性建筑物中的消防站应有独立的功能分区，并应有与其他使用功能完全隔离，其交通组织应便于消防车应急出入。</w:t>
      </w:r>
      <w:r>
        <w:t xml:space="preserve"> </w:t>
      </w:r>
    </w:p>
    <w:p w14:paraId="17D2BD6C" w14:textId="77777777" w:rsidR="00A71EEF" w:rsidRDefault="0081115D">
      <w:pPr>
        <w:pStyle w:val="a4"/>
        <w:numPr>
          <w:ilvl w:val="2"/>
          <w:numId w:val="126"/>
        </w:numPr>
        <w:tabs>
          <w:tab w:val="left" w:pos="1371"/>
        </w:tabs>
        <w:spacing w:line="267" w:lineRule="exact"/>
        <w:ind w:left="1370" w:hanging="531"/>
        <w:rPr>
          <w:sz w:val="21"/>
        </w:rPr>
      </w:pPr>
      <w:r>
        <w:rPr>
          <w:spacing w:val="-3"/>
          <w:sz w:val="21"/>
        </w:rPr>
        <w:t>陆上消防站布局应符合下列规定：</w:t>
      </w:r>
      <w:r>
        <w:rPr>
          <w:sz w:val="21"/>
        </w:rPr>
        <w:t xml:space="preserve"> </w:t>
      </w:r>
    </w:p>
    <w:p w14:paraId="0AB99AED" w14:textId="77777777" w:rsidR="00A71EEF" w:rsidRDefault="00A71EEF">
      <w:pPr>
        <w:pStyle w:val="a3"/>
        <w:spacing w:before="2"/>
        <w:rPr>
          <w:sz w:val="18"/>
        </w:rPr>
      </w:pPr>
    </w:p>
    <w:p w14:paraId="0D791C8A" w14:textId="77777777" w:rsidR="00A71EEF" w:rsidRDefault="0081115D">
      <w:pPr>
        <w:pStyle w:val="a3"/>
        <w:spacing w:line="446" w:lineRule="auto"/>
        <w:ind w:left="418" w:right="1505" w:firstLine="419"/>
      </w:pPr>
      <w:r>
        <w:rPr>
          <w:spacing w:val="-5"/>
        </w:rPr>
        <w:t>城市建设用地范围内普通消防站布局，应以消防队接到出动指令后</w:t>
      </w:r>
      <w:r>
        <w:rPr>
          <w:spacing w:val="-5"/>
        </w:rPr>
        <w:t xml:space="preserve"> </w:t>
      </w:r>
      <w:r>
        <w:t>5min</w:t>
      </w:r>
      <w:r>
        <w:rPr>
          <w:spacing w:val="-7"/>
        </w:rPr>
        <w:t xml:space="preserve"> </w:t>
      </w:r>
      <w:r>
        <w:rPr>
          <w:spacing w:val="-7"/>
        </w:rPr>
        <w:t>内可以到达其辖区</w:t>
      </w:r>
      <w:r>
        <w:rPr>
          <w:spacing w:val="-5"/>
        </w:rPr>
        <w:t>边缘为原则确定。</w:t>
      </w:r>
      <w:r>
        <w:t xml:space="preserve"> </w:t>
      </w:r>
    </w:p>
    <w:p w14:paraId="7A489493" w14:textId="77777777" w:rsidR="00A71EEF" w:rsidRDefault="0081115D">
      <w:pPr>
        <w:pStyle w:val="a3"/>
        <w:spacing w:line="441" w:lineRule="auto"/>
        <w:ind w:left="418" w:right="1606" w:firstLine="419"/>
      </w:pPr>
      <w:r>
        <w:rPr>
          <w:spacing w:val="-5"/>
        </w:rPr>
        <w:t>普通消防站辖区面积不宜大于</w:t>
      </w:r>
      <w:r>
        <w:rPr>
          <w:spacing w:val="-5"/>
        </w:rPr>
        <w:t xml:space="preserve"> </w:t>
      </w:r>
      <w:r>
        <w:t>7km</w:t>
      </w:r>
      <w:r>
        <w:rPr>
          <w:position w:val="11"/>
          <w:sz w:val="11"/>
        </w:rPr>
        <w:t>2</w:t>
      </w:r>
      <w:r>
        <w:rPr>
          <w:spacing w:val="-3"/>
        </w:rPr>
        <w:t>；设在城市建设用地边缘地区、新区且</w:t>
      </w:r>
      <w:r>
        <w:rPr>
          <w:spacing w:val="-3"/>
        </w:rPr>
        <w:t>道路系统较为畅</w:t>
      </w:r>
      <w:r>
        <w:rPr>
          <w:spacing w:val="-5"/>
        </w:rPr>
        <w:t>通的普通消防站，应以消防队接到出动指令后</w:t>
      </w:r>
      <w:r>
        <w:rPr>
          <w:spacing w:val="-5"/>
        </w:rPr>
        <w:t xml:space="preserve"> </w:t>
      </w:r>
      <w:r>
        <w:t>5min</w:t>
      </w:r>
      <w:r>
        <w:rPr>
          <w:spacing w:val="-8"/>
        </w:rPr>
        <w:t xml:space="preserve"> </w:t>
      </w:r>
      <w:r>
        <w:rPr>
          <w:spacing w:val="-8"/>
        </w:rPr>
        <w:t>内可以到达其辖区边缘为原则确定辖区面</w:t>
      </w:r>
      <w:r>
        <w:rPr>
          <w:spacing w:val="-9"/>
        </w:rPr>
        <w:t>积，其辖区面积不应大于</w:t>
      </w:r>
      <w:r>
        <w:rPr>
          <w:spacing w:val="-9"/>
        </w:rPr>
        <w:t xml:space="preserve"> </w:t>
      </w:r>
      <w:r>
        <w:t>15km</w:t>
      </w:r>
      <w:r>
        <w:rPr>
          <w:position w:val="11"/>
          <w:sz w:val="11"/>
        </w:rPr>
        <w:t>2</w:t>
      </w:r>
      <w:r>
        <w:rPr>
          <w:spacing w:val="-3"/>
        </w:rPr>
        <w:t>；也可通过城市或区域火灾风险评估确定消防站辖区面积。</w:t>
      </w:r>
      <w:r>
        <w:t xml:space="preserve"> </w:t>
      </w:r>
    </w:p>
    <w:p w14:paraId="4D78BF51" w14:textId="77777777" w:rsidR="00A71EEF" w:rsidRDefault="0081115D">
      <w:pPr>
        <w:pStyle w:val="a3"/>
        <w:spacing w:line="446" w:lineRule="auto"/>
        <w:ind w:left="418" w:right="1609" w:firstLine="419"/>
      </w:pPr>
      <w:r>
        <w:t>特勤消防站应根据其特勤任务服务的主要对象，设在靠近其辖区中心且交通便捷的位置。特勤消防站同时兼有其辖区灭火救援任务的，其辖区面积宜与普通消防站辖区面积相同。</w:t>
      </w:r>
      <w:r>
        <w:t xml:space="preserve"> </w:t>
      </w:r>
    </w:p>
    <w:p w14:paraId="2C506044" w14:textId="77777777" w:rsidR="00A71EEF" w:rsidRDefault="0081115D">
      <w:pPr>
        <w:pStyle w:val="a3"/>
        <w:spacing w:line="446" w:lineRule="auto"/>
        <w:ind w:left="418" w:right="1450" w:firstLine="419"/>
      </w:pPr>
      <w:r>
        <w:rPr>
          <w:spacing w:val="-3"/>
        </w:rPr>
        <w:t>消防站辖区划定应结合地域特点、地形条件和火灾风险等，并应现状兼顾消防站辖区，不</w:t>
      </w:r>
      <w:r>
        <w:rPr>
          <w:spacing w:val="-3"/>
        </w:rPr>
        <w:t xml:space="preserve"> </w:t>
      </w:r>
      <w:r>
        <w:rPr>
          <w:spacing w:val="-3"/>
        </w:rPr>
        <w:t>宜跨越高速公路、城市快速路、铁路干线和较大的河流。当受地形条件限制，被高速公路、城</w:t>
      </w:r>
      <w:r>
        <w:rPr>
          <w:spacing w:val="-3"/>
        </w:rPr>
        <w:t xml:space="preserve"> </w:t>
      </w:r>
      <w:r>
        <w:rPr>
          <w:spacing w:val="-5"/>
        </w:rPr>
        <w:t>市快速路、铁路干线和较大的河流分隔，年平均风力在</w:t>
      </w:r>
      <w:r>
        <w:rPr>
          <w:spacing w:val="-5"/>
        </w:rPr>
        <w:t xml:space="preserve"> </w:t>
      </w:r>
      <w:r>
        <w:t>3</w:t>
      </w:r>
      <w:r>
        <w:rPr>
          <w:spacing w:val="-11"/>
        </w:rPr>
        <w:t xml:space="preserve"> </w:t>
      </w:r>
      <w:r>
        <w:rPr>
          <w:spacing w:val="-11"/>
        </w:rPr>
        <w:t>级以上或相对湿度在</w:t>
      </w:r>
      <w:r>
        <w:rPr>
          <w:spacing w:val="-11"/>
        </w:rPr>
        <w:t xml:space="preserve"> </w:t>
      </w:r>
      <w:r>
        <w:t>50</w:t>
      </w:r>
      <w:r>
        <w:rPr>
          <w:spacing w:val="-2"/>
        </w:rPr>
        <w:t>%</w:t>
      </w:r>
      <w:r>
        <w:rPr>
          <w:spacing w:val="-2"/>
        </w:rPr>
        <w:t>以下的地区，</w:t>
      </w:r>
      <w:r>
        <w:rPr>
          <w:spacing w:val="-2"/>
        </w:rPr>
        <w:t xml:space="preserve"> </w:t>
      </w:r>
      <w:r>
        <w:rPr>
          <w:spacing w:val="-3"/>
        </w:rPr>
        <w:t>应适当缩小消防站辖区面积。</w:t>
      </w:r>
      <w:r>
        <w:t xml:space="preserve"> </w:t>
      </w:r>
    </w:p>
    <w:p w14:paraId="2289E261" w14:textId="77777777" w:rsidR="00A71EEF" w:rsidRDefault="0081115D">
      <w:pPr>
        <w:pStyle w:val="a4"/>
        <w:numPr>
          <w:ilvl w:val="2"/>
          <w:numId w:val="126"/>
        </w:numPr>
        <w:tabs>
          <w:tab w:val="left" w:pos="1371"/>
        </w:tabs>
        <w:spacing w:line="267" w:lineRule="exact"/>
        <w:ind w:left="1370" w:hanging="531"/>
        <w:rPr>
          <w:sz w:val="21"/>
        </w:rPr>
      </w:pPr>
      <w:r>
        <w:rPr>
          <w:spacing w:val="-3"/>
          <w:sz w:val="21"/>
        </w:rPr>
        <w:t>陆上消防站建设用地面积应符合下列规定：</w:t>
      </w:r>
      <w:r>
        <w:rPr>
          <w:sz w:val="21"/>
        </w:rPr>
        <w:t xml:space="preserve"> </w:t>
      </w:r>
    </w:p>
    <w:p w14:paraId="1EBE5644" w14:textId="77777777" w:rsidR="00A71EEF" w:rsidRDefault="00A71EEF">
      <w:pPr>
        <w:pStyle w:val="a3"/>
        <w:spacing w:before="7"/>
        <w:rPr>
          <w:sz w:val="17"/>
        </w:rPr>
      </w:pPr>
    </w:p>
    <w:p w14:paraId="07003CEF" w14:textId="77777777" w:rsidR="00A71EEF" w:rsidRDefault="0081115D">
      <w:pPr>
        <w:pStyle w:val="a3"/>
        <w:spacing w:before="1" w:line="446" w:lineRule="auto"/>
        <w:ind w:left="838" w:right="6549"/>
        <w:jc w:val="both"/>
      </w:pPr>
      <w:r>
        <w:t>一级普通消防站</w:t>
      </w:r>
      <w:r>
        <w:t xml:space="preserve"> 3900 </w:t>
      </w:r>
      <w:r>
        <w:t>㎡～</w:t>
      </w:r>
      <w:r>
        <w:t xml:space="preserve">5600 </w:t>
      </w:r>
      <w:r>
        <w:t>㎡二级普通消防站</w:t>
      </w:r>
      <w:r>
        <w:t xml:space="preserve"> 2300 </w:t>
      </w:r>
      <w:r>
        <w:t>㎡～</w:t>
      </w:r>
      <w:r>
        <w:t xml:space="preserve">3800 </w:t>
      </w:r>
      <w:r>
        <w:t>㎡特勤消防站</w:t>
      </w:r>
      <w:r>
        <w:t xml:space="preserve"> 5600 </w:t>
      </w:r>
      <w:r>
        <w:t>㎡～</w:t>
      </w:r>
      <w:r>
        <w:t xml:space="preserve">7200 </w:t>
      </w:r>
      <w:r>
        <w:t>㎡</w:t>
      </w:r>
      <w:r>
        <w:t xml:space="preserve"> </w:t>
      </w:r>
    </w:p>
    <w:p w14:paraId="2F2E4237" w14:textId="77777777" w:rsidR="00A71EEF" w:rsidRDefault="0081115D">
      <w:pPr>
        <w:pStyle w:val="a3"/>
        <w:spacing w:line="268" w:lineRule="exact"/>
        <w:ind w:left="838"/>
        <w:jc w:val="both"/>
      </w:pPr>
      <w:r>
        <w:t>战勤保障消防站</w:t>
      </w:r>
      <w:r>
        <w:t xml:space="preserve"> 6200 </w:t>
      </w:r>
      <w:r>
        <w:t>㎡～</w:t>
      </w:r>
      <w:r>
        <w:t xml:space="preserve">7900 </w:t>
      </w:r>
      <w:r>
        <w:t>㎡</w:t>
      </w:r>
      <w:r>
        <w:t xml:space="preserve"> </w:t>
      </w:r>
    </w:p>
    <w:p w14:paraId="1CAF03F6" w14:textId="77777777" w:rsidR="00A71EEF" w:rsidRDefault="00A71EEF">
      <w:pPr>
        <w:pStyle w:val="a3"/>
        <w:rPr>
          <w:sz w:val="18"/>
        </w:rPr>
      </w:pPr>
    </w:p>
    <w:p w14:paraId="0137AEE4" w14:textId="77777777" w:rsidR="00A71EEF" w:rsidRDefault="0081115D">
      <w:pPr>
        <w:pStyle w:val="a3"/>
        <w:spacing w:line="446" w:lineRule="auto"/>
        <w:ind w:left="418" w:right="1609" w:firstLine="419"/>
        <w:jc w:val="both"/>
      </w:pPr>
      <w:r>
        <w:t>注：上</w:t>
      </w:r>
      <w:r>
        <w:t>述指标未包含站内消防车道、绿化用地面积，在确定消防站建设用地总面积时，可按</w:t>
      </w:r>
      <w:r>
        <w:t xml:space="preserve"> 0.5</w:t>
      </w:r>
      <w:r>
        <w:t>～</w:t>
      </w:r>
      <w:r>
        <w:t xml:space="preserve">0.6 </w:t>
      </w:r>
      <w:r>
        <w:t>的容积率进行测算；</w:t>
      </w:r>
      <w:r>
        <w:t xml:space="preserve"> </w:t>
      </w:r>
    </w:p>
    <w:p w14:paraId="503D0EFC" w14:textId="77777777" w:rsidR="00A71EEF" w:rsidRDefault="0081115D">
      <w:pPr>
        <w:pStyle w:val="a4"/>
        <w:numPr>
          <w:ilvl w:val="2"/>
          <w:numId w:val="126"/>
        </w:numPr>
        <w:tabs>
          <w:tab w:val="left" w:pos="1371"/>
        </w:tabs>
        <w:ind w:left="1370" w:hanging="531"/>
        <w:jc w:val="both"/>
        <w:rPr>
          <w:sz w:val="21"/>
        </w:rPr>
      </w:pPr>
      <w:r>
        <w:rPr>
          <w:spacing w:val="-3"/>
          <w:sz w:val="21"/>
        </w:rPr>
        <w:t>陆上消防站的选址应符合下列规定：</w:t>
      </w:r>
      <w:r>
        <w:rPr>
          <w:sz w:val="21"/>
        </w:rPr>
        <w:t xml:space="preserve"> </w:t>
      </w:r>
    </w:p>
    <w:p w14:paraId="5174AF31" w14:textId="77777777" w:rsidR="00A71EEF" w:rsidRDefault="00A71EEF">
      <w:pPr>
        <w:pStyle w:val="a3"/>
        <w:spacing w:before="12"/>
        <w:rPr>
          <w:sz w:val="17"/>
        </w:rPr>
      </w:pPr>
    </w:p>
    <w:p w14:paraId="0471C159" w14:textId="77777777" w:rsidR="00A71EEF" w:rsidRDefault="0081115D">
      <w:pPr>
        <w:pStyle w:val="a3"/>
        <w:ind w:left="838"/>
      </w:pPr>
      <w:r>
        <w:t>消防站应设置在便于消防车辆迅速出动的主、次干道的临街地段；</w:t>
      </w:r>
      <w:r>
        <w:t xml:space="preserve"> </w:t>
      </w:r>
    </w:p>
    <w:p w14:paraId="1B131EF1" w14:textId="77777777" w:rsidR="00A71EEF" w:rsidRDefault="00A71EEF">
      <w:pPr>
        <w:pStyle w:val="a3"/>
        <w:spacing w:before="12"/>
        <w:rPr>
          <w:sz w:val="17"/>
        </w:rPr>
      </w:pPr>
    </w:p>
    <w:p w14:paraId="4796D273" w14:textId="77777777" w:rsidR="00A71EEF" w:rsidRDefault="0081115D">
      <w:pPr>
        <w:pStyle w:val="a3"/>
        <w:spacing w:line="446" w:lineRule="auto"/>
        <w:ind w:left="418" w:right="1609" w:firstLine="419"/>
      </w:pPr>
      <w:r>
        <w:t>消防站执勤车辆的主出入口与医院、学校、幼儿园、托儿所、影剧院、商场、体育场馆、展览馆等人员密集场所的主要疏散出口的距离不应小于</w:t>
      </w:r>
      <w:r>
        <w:t xml:space="preserve"> 50m</w:t>
      </w:r>
      <w:r>
        <w:t>；</w:t>
      </w:r>
      <w:r>
        <w:t xml:space="preserve"> </w:t>
      </w:r>
    </w:p>
    <w:p w14:paraId="001469E3" w14:textId="77777777" w:rsidR="00A71EEF" w:rsidRDefault="0081115D">
      <w:pPr>
        <w:pStyle w:val="a3"/>
        <w:spacing w:before="1" w:line="446" w:lineRule="auto"/>
        <w:ind w:left="418" w:right="1609" w:firstLine="419"/>
      </w:pPr>
      <w:r>
        <w:t>消防站辖区内有易燃易爆危险品场所或设施的，消防站应设置在危险品场所或设施的常年主导风向的上风或侧风处，其用地边界距危险品部位不应小于</w:t>
      </w:r>
      <w:r>
        <w:t xml:space="preserve"> 200m</w:t>
      </w:r>
      <w:r>
        <w:t>。</w:t>
      </w:r>
      <w:r>
        <w:t xml:space="preserve"> </w:t>
      </w:r>
    </w:p>
    <w:p w14:paraId="2A2ED05B" w14:textId="77777777" w:rsidR="00A71EEF" w:rsidRDefault="00A71EEF">
      <w:pPr>
        <w:spacing w:line="446" w:lineRule="auto"/>
        <w:sectPr w:rsidR="00A71EEF">
          <w:pgSz w:w="11910" w:h="16850"/>
          <w:pgMar w:top="1220" w:right="0" w:bottom="1420" w:left="1260" w:header="0" w:footer="1239" w:gutter="0"/>
          <w:cols w:space="720"/>
        </w:sectPr>
      </w:pPr>
    </w:p>
    <w:p w14:paraId="60FBF0F3" w14:textId="77777777" w:rsidR="00A71EEF" w:rsidRDefault="0081115D">
      <w:pPr>
        <w:pStyle w:val="a4"/>
        <w:numPr>
          <w:ilvl w:val="2"/>
          <w:numId w:val="126"/>
        </w:numPr>
        <w:tabs>
          <w:tab w:val="left" w:pos="1371"/>
        </w:tabs>
        <w:spacing w:before="47" w:line="446" w:lineRule="auto"/>
        <w:ind w:right="1604" w:firstLine="422"/>
        <w:rPr>
          <w:sz w:val="21"/>
        </w:rPr>
      </w:pPr>
      <w:r>
        <w:rPr>
          <w:spacing w:val="-3"/>
          <w:sz w:val="21"/>
        </w:rPr>
        <w:t>有水上消防任务的水域应设置水上消防站。水上消防站的设置和布局应符合下列规定：</w:t>
      </w:r>
      <w:r>
        <w:rPr>
          <w:sz w:val="21"/>
        </w:rPr>
        <w:t xml:space="preserve"> </w:t>
      </w:r>
    </w:p>
    <w:p w14:paraId="3C57831A" w14:textId="77777777" w:rsidR="00A71EEF" w:rsidRDefault="0081115D">
      <w:pPr>
        <w:pStyle w:val="a3"/>
        <w:spacing w:line="446" w:lineRule="auto"/>
        <w:ind w:left="418" w:right="1609" w:firstLine="419"/>
      </w:pPr>
      <w:r>
        <w:t>水上消防站应设置供消防艇靠泊的岸线，岸线长度不应小于消防艇靠泊所需长度，河流、湖泊的岸线消防艇靠泊长度不应小于</w:t>
      </w:r>
      <w:r>
        <w:t xml:space="preserve"> 100m</w:t>
      </w:r>
      <w:r>
        <w:t>；</w:t>
      </w:r>
      <w:r>
        <w:t xml:space="preserve"> </w:t>
      </w:r>
    </w:p>
    <w:p w14:paraId="044D5AB6" w14:textId="77777777" w:rsidR="00A71EEF" w:rsidRDefault="0081115D">
      <w:pPr>
        <w:pStyle w:val="a3"/>
        <w:spacing w:line="446" w:lineRule="auto"/>
        <w:ind w:left="418" w:right="1817" w:firstLine="419"/>
      </w:pPr>
      <w:r>
        <w:t>水上消防站应设置陆上基地，路上基地用地面积应与陆上二级普通消防站的用地面积相同；。</w:t>
      </w:r>
      <w:r>
        <w:t xml:space="preserve"> </w:t>
      </w:r>
    </w:p>
    <w:p w14:paraId="269D9890" w14:textId="77777777" w:rsidR="00A71EEF" w:rsidRDefault="0081115D">
      <w:pPr>
        <w:pStyle w:val="a3"/>
        <w:spacing w:line="446" w:lineRule="auto"/>
        <w:ind w:left="418" w:right="1611" w:firstLine="419"/>
      </w:pPr>
      <w:r>
        <w:rPr>
          <w:spacing w:val="-5"/>
        </w:rPr>
        <w:t>水上消防站布局，应以消防队接到出动指</w:t>
      </w:r>
      <w:r>
        <w:rPr>
          <w:spacing w:val="-5"/>
        </w:rPr>
        <w:t>令后</w:t>
      </w:r>
      <w:r>
        <w:rPr>
          <w:spacing w:val="-5"/>
        </w:rPr>
        <w:t xml:space="preserve"> </w:t>
      </w:r>
      <w:r>
        <w:t>30min</w:t>
      </w:r>
      <w:r>
        <w:rPr>
          <w:spacing w:val="-8"/>
        </w:rPr>
        <w:t xml:space="preserve"> </w:t>
      </w:r>
      <w:r>
        <w:rPr>
          <w:spacing w:val="-8"/>
        </w:rPr>
        <w:t>内可到达其辖区边缘为原则确定；消防队至其辖区边缘的距离不应大于</w:t>
      </w:r>
      <w:r>
        <w:rPr>
          <w:spacing w:val="-8"/>
        </w:rPr>
        <w:t xml:space="preserve"> </w:t>
      </w:r>
      <w:r>
        <w:t>30km</w:t>
      </w:r>
      <w:r>
        <w:t>；</w:t>
      </w:r>
      <w:r>
        <w:t xml:space="preserve"> </w:t>
      </w:r>
    </w:p>
    <w:p w14:paraId="06F298BE" w14:textId="77777777" w:rsidR="00A71EEF" w:rsidRDefault="0081115D">
      <w:pPr>
        <w:pStyle w:val="a4"/>
        <w:numPr>
          <w:ilvl w:val="2"/>
          <w:numId w:val="126"/>
        </w:numPr>
        <w:tabs>
          <w:tab w:val="left" w:pos="1371"/>
        </w:tabs>
        <w:spacing w:line="267" w:lineRule="exact"/>
        <w:ind w:left="1370" w:hanging="531"/>
        <w:rPr>
          <w:sz w:val="21"/>
        </w:rPr>
      </w:pPr>
      <w:r>
        <w:rPr>
          <w:spacing w:val="-3"/>
          <w:sz w:val="21"/>
        </w:rPr>
        <w:t>水上消防站的选址应符合下列规定：</w:t>
      </w:r>
      <w:r>
        <w:rPr>
          <w:sz w:val="21"/>
        </w:rPr>
        <w:t xml:space="preserve"> </w:t>
      </w:r>
    </w:p>
    <w:p w14:paraId="23DA6EFE" w14:textId="77777777" w:rsidR="00A71EEF" w:rsidRDefault="00A71EEF">
      <w:pPr>
        <w:pStyle w:val="a3"/>
        <w:rPr>
          <w:sz w:val="18"/>
        </w:rPr>
      </w:pPr>
    </w:p>
    <w:p w14:paraId="0DE0C212" w14:textId="77777777" w:rsidR="00A71EEF" w:rsidRDefault="0081115D">
      <w:pPr>
        <w:pStyle w:val="a3"/>
        <w:spacing w:line="446" w:lineRule="auto"/>
        <w:ind w:left="418" w:right="1609" w:firstLine="419"/>
      </w:pPr>
      <w:r>
        <w:t>水上消防站应靠近港区、码头，避开港区、码头的作业区，避开水电站、大坝和水流不稳定水域。内河水上消防站宜设置在主要港区、码头的上游位置。</w:t>
      </w:r>
      <w:r>
        <w:t xml:space="preserve"> </w:t>
      </w:r>
    </w:p>
    <w:p w14:paraId="0281DE12" w14:textId="77777777" w:rsidR="00A71EEF" w:rsidRDefault="0081115D">
      <w:pPr>
        <w:pStyle w:val="a3"/>
        <w:spacing w:line="446" w:lineRule="auto"/>
        <w:ind w:left="418" w:right="1609" w:firstLine="419"/>
      </w:pPr>
      <w:r>
        <w:t>当水上消防站辖区内有危险品码头沿岸有危险品场所或设施时，水上消防站及其陆上基地边界距危险品部位不应小于</w:t>
      </w:r>
      <w:r>
        <w:t xml:space="preserve"> 200m</w:t>
      </w:r>
      <w:r>
        <w:t>。</w:t>
      </w:r>
      <w:r>
        <w:t xml:space="preserve"> </w:t>
      </w:r>
    </w:p>
    <w:p w14:paraId="4B310E7D" w14:textId="77777777" w:rsidR="00A71EEF" w:rsidRDefault="0081115D">
      <w:pPr>
        <w:pStyle w:val="a3"/>
        <w:spacing w:line="446" w:lineRule="auto"/>
        <w:ind w:left="418" w:right="1707" w:firstLine="419"/>
      </w:pPr>
      <w:r>
        <w:t>水上消防站趸船和陆上基地之间的距离不应大于</w:t>
      </w:r>
      <w:r>
        <w:t xml:space="preserve"> 500m</w:t>
      </w:r>
      <w:r>
        <w:t>，且不应跨越高速公路、城市快速路、铁路干线。</w:t>
      </w:r>
      <w:r>
        <w:t xml:space="preserve"> </w:t>
      </w:r>
    </w:p>
    <w:p w14:paraId="3405A2DC" w14:textId="77777777" w:rsidR="00A71EEF" w:rsidRDefault="0081115D">
      <w:pPr>
        <w:pStyle w:val="a4"/>
        <w:numPr>
          <w:ilvl w:val="2"/>
          <w:numId w:val="126"/>
        </w:numPr>
        <w:tabs>
          <w:tab w:val="left" w:pos="1371"/>
        </w:tabs>
        <w:ind w:left="1370" w:hanging="531"/>
        <w:rPr>
          <w:sz w:val="21"/>
        </w:rPr>
      </w:pPr>
      <w:r>
        <w:rPr>
          <w:spacing w:val="-3"/>
          <w:sz w:val="21"/>
        </w:rPr>
        <w:t>航空消防站设置应符合下列规定：</w:t>
      </w:r>
      <w:r>
        <w:rPr>
          <w:sz w:val="21"/>
        </w:rPr>
        <w:t xml:space="preserve"> </w:t>
      </w:r>
    </w:p>
    <w:p w14:paraId="5745AD69" w14:textId="77777777" w:rsidR="00A71EEF" w:rsidRDefault="00A71EEF">
      <w:pPr>
        <w:pStyle w:val="a3"/>
        <w:spacing w:before="10"/>
        <w:rPr>
          <w:sz w:val="17"/>
        </w:rPr>
      </w:pPr>
    </w:p>
    <w:p w14:paraId="271A66AB" w14:textId="77777777" w:rsidR="00A71EEF" w:rsidRDefault="0081115D">
      <w:pPr>
        <w:pStyle w:val="a3"/>
        <w:spacing w:line="446" w:lineRule="auto"/>
        <w:ind w:left="418" w:right="1609" w:firstLine="419"/>
      </w:pPr>
      <w:r>
        <w:rPr>
          <w:spacing w:val="-8"/>
        </w:rPr>
        <w:t>人口规模</w:t>
      </w:r>
      <w:r>
        <w:rPr>
          <w:spacing w:val="-8"/>
        </w:rPr>
        <w:t xml:space="preserve"> </w:t>
      </w:r>
      <w:r>
        <w:t>100</w:t>
      </w:r>
      <w:r>
        <w:rPr>
          <w:spacing w:val="-7"/>
        </w:rPr>
        <w:t xml:space="preserve"> </w:t>
      </w:r>
      <w:r>
        <w:rPr>
          <w:spacing w:val="-7"/>
        </w:rPr>
        <w:t>万人以上的城市和确有航空消防任务的城市，宜独立设置航空消防站，并应</w:t>
      </w:r>
      <w:r>
        <w:rPr>
          <w:spacing w:val="-5"/>
        </w:rPr>
        <w:t>符合当地空管部门的要求；</w:t>
      </w:r>
      <w:r>
        <w:rPr>
          <w:spacing w:val="-5"/>
        </w:rPr>
        <w:t xml:space="preserve"> </w:t>
      </w:r>
    </w:p>
    <w:p w14:paraId="3AE17993" w14:textId="77777777" w:rsidR="00A71EEF" w:rsidRDefault="0081115D">
      <w:pPr>
        <w:pStyle w:val="a3"/>
        <w:spacing w:line="446" w:lineRule="auto"/>
        <w:ind w:left="418" w:right="1609" w:firstLine="419"/>
      </w:pPr>
      <w:r>
        <w:rPr>
          <w:spacing w:val="-3"/>
        </w:rPr>
        <w:t>结合其他机场设置消防直升机战场的航空消防站，其陆上基地建筑应独立设置；当独立设置确有困难时，消防用房可与机场建筑合建，但应有独立的功能分区；</w:t>
      </w:r>
      <w:r>
        <w:t xml:space="preserve"> </w:t>
      </w:r>
    </w:p>
    <w:p w14:paraId="7701D2DE" w14:textId="77777777" w:rsidR="00A71EEF" w:rsidRDefault="0081115D">
      <w:pPr>
        <w:pStyle w:val="a3"/>
        <w:spacing w:line="446" w:lineRule="auto"/>
        <w:ind w:left="418" w:right="1609" w:firstLine="419"/>
      </w:pPr>
      <w:r>
        <w:rPr>
          <w:spacing w:val="-3"/>
        </w:rPr>
        <w:t>结合其他机场设置消防直升机战场的航空消防站，其陆上基地建筑应独立设置；当独立设置确有困难时，消防用房可与机场建筑合建，但应有独立的功能分区；</w:t>
      </w:r>
      <w:r>
        <w:t xml:space="preserve"> </w:t>
      </w:r>
    </w:p>
    <w:p w14:paraId="1C038004" w14:textId="77777777" w:rsidR="00A71EEF" w:rsidRDefault="0081115D">
      <w:pPr>
        <w:pStyle w:val="a3"/>
        <w:spacing w:line="446" w:lineRule="auto"/>
        <w:ind w:left="840" w:right="2554" w:hanging="3"/>
      </w:pPr>
      <w:r>
        <w:t>设有航空消防站的城市宜结合城市资源设置飞行员、消防空勤人员训练基地。</w:t>
      </w:r>
      <w:r>
        <w:rPr>
          <w:b/>
        </w:rPr>
        <w:t xml:space="preserve">4.1.9 </w:t>
      </w:r>
      <w:r>
        <w:t>消防直升机起降点设置应符合下列规定：</w:t>
      </w:r>
      <w:r>
        <w:t xml:space="preserve"> </w:t>
      </w:r>
    </w:p>
    <w:p w14:paraId="4D52EC8C" w14:textId="77777777" w:rsidR="00A71EEF" w:rsidRDefault="0081115D">
      <w:pPr>
        <w:pStyle w:val="a3"/>
        <w:spacing w:line="446" w:lineRule="auto"/>
        <w:ind w:left="418" w:right="1817" w:firstLine="419"/>
      </w:pPr>
      <w:r>
        <w:t>结合城市综合防灾体系、避难场地规划，在高层建筑密集区、城市和广场、运动场、公园、绿地等处设置消防直升机的</w:t>
      </w:r>
      <w:r>
        <w:t>固定或临时的地面起降点；</w:t>
      </w:r>
      <w:r>
        <w:t xml:space="preserve"> </w:t>
      </w:r>
    </w:p>
    <w:p w14:paraId="0149A190" w14:textId="77777777" w:rsidR="00A71EEF" w:rsidRDefault="0081115D">
      <w:pPr>
        <w:pStyle w:val="a3"/>
        <w:spacing w:line="267" w:lineRule="exact"/>
        <w:ind w:left="838"/>
      </w:pPr>
      <w:r>
        <w:t>消防直升机地面起降点场地应开阔、平整，场地的短边长度不应小于</w:t>
      </w:r>
      <w:r>
        <w:t xml:space="preserve"> 22m</w:t>
      </w:r>
      <w:r>
        <w:t>；场地的周边</w:t>
      </w:r>
      <w:r>
        <w:t xml:space="preserve"> 20m</w:t>
      </w:r>
    </w:p>
    <w:p w14:paraId="00C7B79B" w14:textId="77777777" w:rsidR="00A71EEF" w:rsidRDefault="00A71EEF">
      <w:pPr>
        <w:pStyle w:val="a3"/>
        <w:spacing w:before="12"/>
        <w:rPr>
          <w:sz w:val="17"/>
        </w:rPr>
      </w:pPr>
    </w:p>
    <w:p w14:paraId="08DB61D2" w14:textId="77777777" w:rsidR="00A71EEF" w:rsidRDefault="0081115D">
      <w:pPr>
        <w:pStyle w:val="a3"/>
        <w:ind w:left="418"/>
      </w:pPr>
      <w:r>
        <w:t>范围内不得栽种高大树木，不得设置架空线路。</w:t>
      </w:r>
      <w:r>
        <w:t xml:space="preserve"> </w:t>
      </w:r>
    </w:p>
    <w:p w14:paraId="63447037" w14:textId="77777777" w:rsidR="00A71EEF" w:rsidRDefault="00A71EEF">
      <w:pPr>
        <w:sectPr w:rsidR="00A71EEF">
          <w:pgSz w:w="11910" w:h="16850"/>
          <w:pgMar w:top="1220" w:right="0" w:bottom="1420" w:left="1260" w:header="0" w:footer="1239" w:gutter="0"/>
          <w:cols w:space="720"/>
        </w:sectPr>
      </w:pPr>
    </w:p>
    <w:p w14:paraId="5391E503" w14:textId="77777777" w:rsidR="00A71EEF" w:rsidRDefault="0081115D">
      <w:pPr>
        <w:pStyle w:val="a4"/>
        <w:numPr>
          <w:ilvl w:val="2"/>
          <w:numId w:val="125"/>
        </w:numPr>
        <w:tabs>
          <w:tab w:val="left" w:pos="1478"/>
        </w:tabs>
        <w:spacing w:before="47"/>
        <w:ind w:hanging="638"/>
        <w:rPr>
          <w:sz w:val="21"/>
        </w:rPr>
      </w:pPr>
      <w:r>
        <w:rPr>
          <w:spacing w:val="-3"/>
          <w:sz w:val="21"/>
        </w:rPr>
        <w:t>地级及以上城市宜设置消防训练培训基地和后勤保障基地。</w:t>
      </w:r>
      <w:r>
        <w:rPr>
          <w:sz w:val="21"/>
        </w:rPr>
        <w:t xml:space="preserve"> </w:t>
      </w:r>
    </w:p>
    <w:p w14:paraId="1F0B8E91" w14:textId="77777777" w:rsidR="00A71EEF" w:rsidRDefault="00A71EEF">
      <w:pPr>
        <w:pStyle w:val="a3"/>
        <w:rPr>
          <w:sz w:val="18"/>
        </w:rPr>
      </w:pPr>
    </w:p>
    <w:p w14:paraId="1969086D" w14:textId="77777777" w:rsidR="00A71EEF" w:rsidRDefault="0081115D">
      <w:pPr>
        <w:pStyle w:val="a4"/>
        <w:numPr>
          <w:ilvl w:val="2"/>
          <w:numId w:val="125"/>
        </w:numPr>
        <w:tabs>
          <w:tab w:val="left" w:pos="1478"/>
        </w:tabs>
        <w:ind w:hanging="638"/>
        <w:rPr>
          <w:sz w:val="21"/>
        </w:rPr>
      </w:pPr>
      <w:r>
        <w:rPr>
          <w:spacing w:val="-3"/>
          <w:sz w:val="21"/>
        </w:rPr>
        <w:t>消防装备配置应符合下列规定：</w:t>
      </w:r>
      <w:r>
        <w:rPr>
          <w:sz w:val="21"/>
        </w:rPr>
        <w:t xml:space="preserve"> </w:t>
      </w:r>
    </w:p>
    <w:p w14:paraId="6D74F677" w14:textId="77777777" w:rsidR="00A71EEF" w:rsidRDefault="00A71EEF">
      <w:pPr>
        <w:pStyle w:val="a3"/>
        <w:rPr>
          <w:sz w:val="18"/>
        </w:rPr>
      </w:pPr>
    </w:p>
    <w:p w14:paraId="3B202E43" w14:textId="77777777" w:rsidR="00A71EEF" w:rsidRDefault="0081115D">
      <w:pPr>
        <w:pStyle w:val="a3"/>
        <w:spacing w:line="446" w:lineRule="auto"/>
        <w:ind w:left="418" w:right="1609" w:firstLine="419"/>
      </w:pPr>
      <w:r>
        <w:t>陆上消防站应根据其辖区内的火灾风险和灭火、应急救援的要求，按《城市消防站建设标准》</w:t>
      </w:r>
      <w:r>
        <w:t>(</w:t>
      </w:r>
      <w:r>
        <w:t>建标</w:t>
      </w:r>
      <w:r>
        <w:t xml:space="preserve"> 152-2011)</w:t>
      </w:r>
      <w:r>
        <w:t>的规定，合理配置消防装备和器材；</w:t>
      </w:r>
      <w:r>
        <w:t xml:space="preserve"> </w:t>
      </w:r>
    </w:p>
    <w:p w14:paraId="5C9BA411" w14:textId="77777777" w:rsidR="00A71EEF" w:rsidRDefault="0081115D">
      <w:pPr>
        <w:pStyle w:val="a3"/>
        <w:spacing w:line="446" w:lineRule="auto"/>
        <w:ind w:left="840" w:right="4134" w:hanging="3"/>
      </w:pPr>
      <w:r>
        <w:rPr>
          <w:spacing w:val="-8"/>
        </w:rPr>
        <w:t>水上消防站应配置趸船</w:t>
      </w:r>
      <w:r>
        <w:rPr>
          <w:spacing w:val="-8"/>
        </w:rPr>
        <w:t xml:space="preserve"> </w:t>
      </w:r>
      <w:r>
        <w:t>1</w:t>
      </w:r>
      <w:r>
        <w:rPr>
          <w:spacing w:val="-17"/>
        </w:rPr>
        <w:t xml:space="preserve"> </w:t>
      </w:r>
      <w:r>
        <w:rPr>
          <w:spacing w:val="-17"/>
        </w:rPr>
        <w:t>艘，消防艇</w:t>
      </w:r>
      <w:r>
        <w:rPr>
          <w:spacing w:val="-17"/>
        </w:rPr>
        <w:t xml:space="preserve"> </w:t>
      </w:r>
      <w:r>
        <w:t>1</w:t>
      </w:r>
      <w:r>
        <w:t>～</w:t>
      </w:r>
      <w:r>
        <w:t>2</w:t>
      </w:r>
      <w:r>
        <w:rPr>
          <w:spacing w:val="-17"/>
        </w:rPr>
        <w:t xml:space="preserve"> </w:t>
      </w:r>
      <w:r>
        <w:rPr>
          <w:spacing w:val="-17"/>
        </w:rPr>
        <w:t>艘、指挥艇</w:t>
      </w:r>
      <w:r>
        <w:rPr>
          <w:spacing w:val="-17"/>
        </w:rPr>
        <w:t xml:space="preserve"> </w:t>
      </w:r>
      <w:r>
        <w:t>1</w:t>
      </w:r>
      <w:r>
        <w:rPr>
          <w:spacing w:val="-19"/>
        </w:rPr>
        <w:t xml:space="preserve"> </w:t>
      </w:r>
      <w:r>
        <w:rPr>
          <w:spacing w:val="-19"/>
        </w:rPr>
        <w:t>艘。</w:t>
      </w:r>
      <w:r>
        <w:rPr>
          <w:b/>
        </w:rPr>
        <w:t xml:space="preserve">4.2 </w:t>
      </w:r>
      <w:r>
        <w:rPr>
          <w:spacing w:val="-3"/>
        </w:rPr>
        <w:t>消防通信</w:t>
      </w:r>
      <w:r>
        <w:t xml:space="preserve"> </w:t>
      </w:r>
    </w:p>
    <w:p w14:paraId="59F2174F" w14:textId="77777777" w:rsidR="00A71EEF" w:rsidRDefault="0081115D">
      <w:pPr>
        <w:pStyle w:val="a4"/>
        <w:numPr>
          <w:ilvl w:val="2"/>
          <w:numId w:val="124"/>
        </w:numPr>
        <w:tabs>
          <w:tab w:val="left" w:pos="1371"/>
        </w:tabs>
        <w:rPr>
          <w:sz w:val="21"/>
        </w:rPr>
      </w:pPr>
      <w:r>
        <w:rPr>
          <w:spacing w:val="-3"/>
          <w:sz w:val="21"/>
        </w:rPr>
        <w:t>城市应设置消防通信指挥中心。</w:t>
      </w:r>
      <w:r>
        <w:rPr>
          <w:sz w:val="21"/>
        </w:rPr>
        <w:t xml:space="preserve"> </w:t>
      </w:r>
    </w:p>
    <w:p w14:paraId="37752A8F" w14:textId="77777777" w:rsidR="00A71EEF" w:rsidRDefault="00A71EEF">
      <w:pPr>
        <w:pStyle w:val="a3"/>
        <w:spacing w:before="12"/>
        <w:rPr>
          <w:sz w:val="17"/>
        </w:rPr>
      </w:pPr>
    </w:p>
    <w:p w14:paraId="24EE8944" w14:textId="77777777" w:rsidR="00A71EEF" w:rsidRDefault="0081115D">
      <w:pPr>
        <w:pStyle w:val="a4"/>
        <w:numPr>
          <w:ilvl w:val="2"/>
          <w:numId w:val="124"/>
        </w:numPr>
        <w:tabs>
          <w:tab w:val="left" w:pos="1371"/>
        </w:tabs>
        <w:spacing w:line="446" w:lineRule="auto"/>
        <w:ind w:left="418" w:right="1604" w:firstLine="422"/>
        <w:rPr>
          <w:sz w:val="21"/>
        </w:rPr>
      </w:pPr>
      <w:r>
        <w:rPr>
          <w:spacing w:val="-3"/>
          <w:sz w:val="21"/>
        </w:rPr>
        <w:t>城市消防通信指挥系统应覆盖全市，联通城市消防通信指挥中心和各消防站，并应具有受理火灾及其他灾害事故报警、灭火救援指挥调度、情报信息支持等主要功能。</w:t>
      </w:r>
      <w:r>
        <w:rPr>
          <w:sz w:val="21"/>
        </w:rPr>
        <w:t xml:space="preserve"> </w:t>
      </w:r>
    </w:p>
    <w:p w14:paraId="6E14BCF5" w14:textId="77777777" w:rsidR="00A71EEF" w:rsidRDefault="0081115D">
      <w:pPr>
        <w:pStyle w:val="a4"/>
        <w:numPr>
          <w:ilvl w:val="2"/>
          <w:numId w:val="124"/>
        </w:numPr>
        <w:tabs>
          <w:tab w:val="left" w:pos="1371"/>
        </w:tabs>
        <w:spacing w:line="446" w:lineRule="auto"/>
        <w:ind w:left="418" w:right="1551" w:firstLine="422"/>
        <w:rPr>
          <w:sz w:val="21"/>
        </w:rPr>
      </w:pPr>
      <w:r>
        <w:rPr>
          <w:spacing w:val="-3"/>
          <w:sz w:val="21"/>
        </w:rPr>
        <w:t>消防通信指挥系统应符合现行国家标准《消防通信指挥系统设计规范》</w:t>
      </w:r>
      <w:r>
        <w:rPr>
          <w:sz w:val="21"/>
        </w:rPr>
        <w:t>GB</w:t>
      </w:r>
      <w:r>
        <w:rPr>
          <w:spacing w:val="14"/>
          <w:sz w:val="21"/>
        </w:rPr>
        <w:t xml:space="preserve"> </w:t>
      </w:r>
      <w:r>
        <w:rPr>
          <w:sz w:val="21"/>
        </w:rPr>
        <w:t>50313</w:t>
      </w:r>
      <w:r>
        <w:rPr>
          <w:spacing w:val="-23"/>
          <w:sz w:val="21"/>
        </w:rPr>
        <w:t xml:space="preserve"> </w:t>
      </w:r>
      <w:r>
        <w:rPr>
          <w:spacing w:val="-23"/>
          <w:sz w:val="21"/>
        </w:rPr>
        <w:t>的</w:t>
      </w:r>
      <w:r>
        <w:rPr>
          <w:spacing w:val="-11"/>
          <w:sz w:val="21"/>
        </w:rPr>
        <w:t>有关规定。</w:t>
      </w:r>
      <w:r>
        <w:rPr>
          <w:sz w:val="21"/>
        </w:rPr>
        <w:t xml:space="preserve"> </w:t>
      </w:r>
    </w:p>
    <w:p w14:paraId="2CA1F93E" w14:textId="77777777" w:rsidR="00A71EEF" w:rsidRDefault="0081115D">
      <w:pPr>
        <w:pStyle w:val="a4"/>
        <w:numPr>
          <w:ilvl w:val="1"/>
          <w:numId w:val="123"/>
        </w:numPr>
        <w:tabs>
          <w:tab w:val="left" w:pos="1159"/>
        </w:tabs>
        <w:spacing w:line="267" w:lineRule="exact"/>
        <w:ind w:hanging="319"/>
        <w:rPr>
          <w:b/>
          <w:sz w:val="21"/>
        </w:rPr>
      </w:pPr>
      <w:r>
        <w:rPr>
          <w:spacing w:val="-3"/>
          <w:sz w:val="21"/>
        </w:rPr>
        <w:t>消防供水</w:t>
      </w:r>
      <w:r>
        <w:rPr>
          <w:b/>
          <w:w w:val="99"/>
          <w:sz w:val="21"/>
        </w:rPr>
        <w:t xml:space="preserve"> </w:t>
      </w:r>
    </w:p>
    <w:p w14:paraId="5CE38B46" w14:textId="77777777" w:rsidR="00A71EEF" w:rsidRDefault="00A71EEF">
      <w:pPr>
        <w:pStyle w:val="a3"/>
        <w:spacing w:before="2"/>
        <w:rPr>
          <w:b/>
          <w:sz w:val="18"/>
        </w:rPr>
      </w:pPr>
    </w:p>
    <w:p w14:paraId="2062EEC6" w14:textId="77777777" w:rsidR="00A71EEF" w:rsidRDefault="0081115D">
      <w:pPr>
        <w:pStyle w:val="a4"/>
        <w:numPr>
          <w:ilvl w:val="2"/>
          <w:numId w:val="123"/>
        </w:numPr>
        <w:tabs>
          <w:tab w:val="left" w:pos="1370"/>
        </w:tabs>
        <w:spacing w:line="446" w:lineRule="auto"/>
        <w:ind w:right="1608" w:firstLine="422"/>
        <w:rPr>
          <w:sz w:val="21"/>
        </w:rPr>
      </w:pPr>
      <w:r>
        <w:rPr>
          <w:spacing w:val="-2"/>
          <w:sz w:val="21"/>
        </w:rPr>
        <w:t>城市消防用水可有城市给水系统、消防水池及符合要求的其他人工水体、天然水</w:t>
      </w:r>
      <w:r>
        <w:rPr>
          <w:spacing w:val="-2"/>
          <w:sz w:val="21"/>
        </w:rPr>
        <w:t xml:space="preserve"> </w:t>
      </w:r>
      <w:r>
        <w:rPr>
          <w:spacing w:val="-2"/>
          <w:sz w:val="21"/>
        </w:rPr>
        <w:t>体</w:t>
      </w:r>
      <w:r>
        <w:rPr>
          <w:spacing w:val="-3"/>
          <w:sz w:val="21"/>
        </w:rPr>
        <w:t>、再生水等供给。当使用再生水作为消防用水时，水质应满足现行国家标准《污水再生利用工程设计规范》</w:t>
      </w:r>
      <w:r>
        <w:rPr>
          <w:sz w:val="21"/>
        </w:rPr>
        <w:t>GB 50335</w:t>
      </w:r>
      <w:r>
        <w:rPr>
          <w:spacing w:val="-10"/>
          <w:sz w:val="21"/>
        </w:rPr>
        <w:t xml:space="preserve"> </w:t>
      </w:r>
      <w:r>
        <w:rPr>
          <w:spacing w:val="-10"/>
          <w:sz w:val="21"/>
        </w:rPr>
        <w:t>的有关规定。</w:t>
      </w:r>
      <w:r>
        <w:rPr>
          <w:sz w:val="21"/>
        </w:rPr>
        <w:t xml:space="preserve"> </w:t>
      </w:r>
    </w:p>
    <w:p w14:paraId="0E6EDC74" w14:textId="77777777" w:rsidR="00A71EEF" w:rsidRDefault="0081115D">
      <w:pPr>
        <w:pStyle w:val="a4"/>
        <w:numPr>
          <w:ilvl w:val="2"/>
          <w:numId w:val="123"/>
        </w:numPr>
        <w:tabs>
          <w:tab w:val="left" w:pos="1371"/>
        </w:tabs>
        <w:spacing w:line="446" w:lineRule="auto"/>
        <w:ind w:right="1558" w:firstLine="422"/>
        <w:jc w:val="both"/>
        <w:rPr>
          <w:sz w:val="21"/>
        </w:rPr>
      </w:pPr>
      <w:r>
        <w:rPr>
          <w:spacing w:val="-3"/>
          <w:sz w:val="21"/>
        </w:rPr>
        <w:t>城市消防用水量应按同一时间内的火灾起数和一次灭火用水量确定，应符合现行国</w:t>
      </w:r>
      <w:r>
        <w:rPr>
          <w:spacing w:val="-3"/>
          <w:sz w:val="21"/>
        </w:rPr>
        <w:t xml:space="preserve"> </w:t>
      </w:r>
      <w:r>
        <w:rPr>
          <w:spacing w:val="-3"/>
          <w:sz w:val="21"/>
        </w:rPr>
        <w:t>家标准《建筑设计防火规范》</w:t>
      </w:r>
      <w:r>
        <w:rPr>
          <w:sz w:val="21"/>
        </w:rPr>
        <w:t>GB</w:t>
      </w:r>
      <w:r>
        <w:rPr>
          <w:spacing w:val="26"/>
          <w:sz w:val="21"/>
        </w:rPr>
        <w:t xml:space="preserve"> </w:t>
      </w:r>
      <w:r>
        <w:rPr>
          <w:sz w:val="21"/>
        </w:rPr>
        <w:t>50016</w:t>
      </w:r>
      <w:r>
        <w:rPr>
          <w:spacing w:val="-8"/>
          <w:sz w:val="21"/>
        </w:rPr>
        <w:t xml:space="preserve"> </w:t>
      </w:r>
      <w:r>
        <w:rPr>
          <w:spacing w:val="-8"/>
          <w:sz w:val="21"/>
        </w:rPr>
        <w:t>的有关规定；城市给水系统为分片区供水且管网系统未</w:t>
      </w:r>
      <w:r>
        <w:rPr>
          <w:spacing w:val="-5"/>
          <w:sz w:val="21"/>
        </w:rPr>
        <w:t>可靠联网时，城市消防给水量应分片区核定。</w:t>
      </w:r>
      <w:r>
        <w:rPr>
          <w:sz w:val="21"/>
        </w:rPr>
        <w:t xml:space="preserve"> </w:t>
      </w:r>
    </w:p>
    <w:p w14:paraId="4E0BFC4C" w14:textId="77777777" w:rsidR="00A71EEF" w:rsidRDefault="0081115D">
      <w:pPr>
        <w:pStyle w:val="a4"/>
        <w:numPr>
          <w:ilvl w:val="2"/>
          <w:numId w:val="123"/>
        </w:numPr>
        <w:tabs>
          <w:tab w:val="left" w:pos="1370"/>
        </w:tabs>
        <w:spacing w:line="446" w:lineRule="auto"/>
        <w:ind w:right="1604" w:firstLine="422"/>
        <w:jc w:val="both"/>
        <w:rPr>
          <w:sz w:val="21"/>
        </w:rPr>
      </w:pPr>
      <w:r>
        <w:rPr>
          <w:spacing w:val="-3"/>
          <w:sz w:val="21"/>
        </w:rPr>
        <w:t>利用城市给水系统作为消防水源，必须保障城市供水高峰时段消防用水的水量和水压要求。接有市政消火栓或消防水鹤的消防给水管道，其布置、管网管径和供水压力应符合现行国家标准《消防给水及消火栓系统技术规范》</w:t>
      </w:r>
      <w:r>
        <w:rPr>
          <w:sz w:val="21"/>
        </w:rPr>
        <w:t>GB</w:t>
      </w:r>
      <w:r>
        <w:rPr>
          <w:spacing w:val="-1"/>
          <w:sz w:val="21"/>
        </w:rPr>
        <w:t xml:space="preserve"> </w:t>
      </w:r>
      <w:r>
        <w:rPr>
          <w:sz w:val="21"/>
        </w:rPr>
        <w:t>50974</w:t>
      </w:r>
      <w:r>
        <w:rPr>
          <w:spacing w:val="-10"/>
          <w:sz w:val="21"/>
        </w:rPr>
        <w:t xml:space="preserve"> </w:t>
      </w:r>
      <w:r>
        <w:rPr>
          <w:spacing w:val="-10"/>
          <w:sz w:val="21"/>
        </w:rPr>
        <w:t>的有关规定。</w:t>
      </w:r>
      <w:r>
        <w:rPr>
          <w:sz w:val="21"/>
        </w:rPr>
        <w:t xml:space="preserve"> </w:t>
      </w:r>
    </w:p>
    <w:p w14:paraId="3CDAC541" w14:textId="77777777" w:rsidR="00A71EEF" w:rsidRDefault="0081115D">
      <w:pPr>
        <w:pStyle w:val="a4"/>
        <w:numPr>
          <w:ilvl w:val="2"/>
          <w:numId w:val="123"/>
        </w:numPr>
        <w:tabs>
          <w:tab w:val="left" w:pos="1371"/>
        </w:tabs>
        <w:spacing w:line="268" w:lineRule="exact"/>
        <w:ind w:left="1370" w:hanging="531"/>
        <w:rPr>
          <w:sz w:val="21"/>
        </w:rPr>
      </w:pPr>
      <w:r>
        <w:rPr>
          <w:spacing w:val="-3"/>
          <w:sz w:val="21"/>
        </w:rPr>
        <w:t>市政消火栓、消防水鹤设置应符合下列规定：</w:t>
      </w:r>
      <w:r>
        <w:rPr>
          <w:spacing w:val="-3"/>
          <w:sz w:val="21"/>
        </w:rPr>
        <w:t xml:space="preserve"> </w:t>
      </w:r>
    </w:p>
    <w:p w14:paraId="2FCE19B1" w14:textId="77777777" w:rsidR="00A71EEF" w:rsidRDefault="00A71EEF">
      <w:pPr>
        <w:pStyle w:val="a3"/>
        <w:spacing w:before="10"/>
        <w:rPr>
          <w:sz w:val="17"/>
        </w:rPr>
      </w:pPr>
    </w:p>
    <w:p w14:paraId="10BC754B" w14:textId="77777777" w:rsidR="00A71EEF" w:rsidRDefault="0081115D">
      <w:pPr>
        <w:pStyle w:val="a3"/>
        <w:spacing w:line="446" w:lineRule="auto"/>
        <w:ind w:left="418" w:right="1498" w:firstLine="419"/>
      </w:pPr>
      <w:r>
        <w:t>市政消火栓设置应符合现行国家标准《消防给水及消火栓系统技术规范》</w:t>
      </w:r>
      <w:r>
        <w:t xml:space="preserve">GB 50974 </w:t>
      </w:r>
      <w:r>
        <w:t>的有关规定。</w:t>
      </w:r>
      <w:r>
        <w:t xml:space="preserve"> </w:t>
      </w:r>
    </w:p>
    <w:p w14:paraId="28EC777E" w14:textId="77777777" w:rsidR="00A71EEF" w:rsidRDefault="0081115D">
      <w:pPr>
        <w:pStyle w:val="a3"/>
        <w:spacing w:line="446" w:lineRule="auto"/>
        <w:ind w:left="418" w:right="1817" w:firstLine="419"/>
      </w:pPr>
      <w:r>
        <w:t>市政消火栓应统一型号规格。市政消火栓宜采用地上式；采用地下式消火栓应有明显标志。寒冷地区设置的市政消火栓应采取防冻措施。</w:t>
      </w:r>
      <w:r>
        <w:t xml:space="preserve"> </w:t>
      </w:r>
    </w:p>
    <w:p w14:paraId="12B0EDED" w14:textId="77777777" w:rsidR="00A71EEF" w:rsidRDefault="0081115D">
      <w:pPr>
        <w:pStyle w:val="a3"/>
        <w:spacing w:line="267" w:lineRule="exact"/>
        <w:ind w:left="838"/>
      </w:pPr>
      <w:r>
        <w:t>寒冷地区可设置</w:t>
      </w:r>
      <w:r>
        <w:t>消防水鹤，其服务半径不宜大于</w:t>
      </w:r>
      <w:r>
        <w:t xml:space="preserve"> 1000m</w:t>
      </w:r>
      <w:r>
        <w:t>。</w:t>
      </w:r>
      <w:r>
        <w:t xml:space="preserve"> </w:t>
      </w:r>
    </w:p>
    <w:p w14:paraId="28A445B6" w14:textId="77777777" w:rsidR="00A71EEF" w:rsidRDefault="00A71EEF">
      <w:pPr>
        <w:pStyle w:val="a3"/>
        <w:spacing w:before="2"/>
        <w:rPr>
          <w:sz w:val="18"/>
        </w:rPr>
      </w:pPr>
    </w:p>
    <w:p w14:paraId="41131BD4" w14:textId="77777777" w:rsidR="00A71EEF" w:rsidRDefault="0081115D">
      <w:pPr>
        <w:pStyle w:val="a3"/>
        <w:ind w:left="838"/>
      </w:pPr>
      <w:r>
        <w:t>火灾风险较高的区域可适当增加市政消火栓或消防水鹤的设置密度，加大供水量和水压。</w:t>
      </w:r>
      <w:r>
        <w:t xml:space="preserve"> </w:t>
      </w:r>
    </w:p>
    <w:p w14:paraId="151F5D26" w14:textId="77777777" w:rsidR="00A71EEF" w:rsidRDefault="00A71EEF">
      <w:pPr>
        <w:sectPr w:rsidR="00A71EEF">
          <w:pgSz w:w="11910" w:h="16850"/>
          <w:pgMar w:top="1220" w:right="0" w:bottom="1420" w:left="1260" w:header="0" w:footer="1239" w:gutter="0"/>
          <w:cols w:space="720"/>
        </w:sectPr>
      </w:pPr>
    </w:p>
    <w:p w14:paraId="6F453911" w14:textId="77777777" w:rsidR="00A71EEF" w:rsidRDefault="0081115D">
      <w:pPr>
        <w:pStyle w:val="a4"/>
        <w:numPr>
          <w:ilvl w:val="2"/>
          <w:numId w:val="123"/>
        </w:numPr>
        <w:tabs>
          <w:tab w:val="left" w:pos="1370"/>
        </w:tabs>
        <w:spacing w:before="47"/>
        <w:ind w:left="1369" w:hanging="530"/>
        <w:rPr>
          <w:sz w:val="21"/>
        </w:rPr>
      </w:pPr>
      <w:r>
        <w:rPr>
          <w:spacing w:val="-3"/>
          <w:sz w:val="21"/>
        </w:rPr>
        <w:t>当有下列情况之一时，应设置城市消防水池：</w:t>
      </w:r>
      <w:r>
        <w:rPr>
          <w:spacing w:val="-3"/>
          <w:sz w:val="21"/>
        </w:rPr>
        <w:t xml:space="preserve"> </w:t>
      </w:r>
    </w:p>
    <w:p w14:paraId="4DAB3F34" w14:textId="77777777" w:rsidR="00A71EEF" w:rsidRDefault="00A71EEF">
      <w:pPr>
        <w:pStyle w:val="a3"/>
        <w:rPr>
          <w:sz w:val="18"/>
        </w:rPr>
      </w:pPr>
    </w:p>
    <w:p w14:paraId="3DA49BD0" w14:textId="77777777" w:rsidR="00A71EEF" w:rsidRDefault="0081115D">
      <w:pPr>
        <w:pStyle w:val="a3"/>
        <w:spacing w:line="446" w:lineRule="auto"/>
        <w:ind w:left="838" w:right="6129"/>
        <w:rPr>
          <w:b/>
        </w:rPr>
      </w:pPr>
      <w:r>
        <w:t>无市政消火栓或消防水鹤的城市区域；</w:t>
      </w:r>
      <w:r>
        <w:t xml:space="preserve"> </w:t>
      </w:r>
      <w:r>
        <w:t>无消防车道的城市区域；</w:t>
      </w:r>
      <w:r>
        <w:rPr>
          <w:b/>
          <w:w w:val="99"/>
        </w:rPr>
        <w:t xml:space="preserve"> </w:t>
      </w:r>
    </w:p>
    <w:p w14:paraId="6EFA3FF2" w14:textId="77777777" w:rsidR="00A71EEF" w:rsidRDefault="0081115D">
      <w:pPr>
        <w:pStyle w:val="a3"/>
        <w:ind w:left="838"/>
        <w:rPr>
          <w:b/>
        </w:rPr>
      </w:pPr>
      <w:r>
        <w:t>消防供水不足的城市区域或建筑群；</w:t>
      </w:r>
      <w:r>
        <w:rPr>
          <w:b/>
          <w:w w:val="99"/>
        </w:rPr>
        <w:t xml:space="preserve"> </w:t>
      </w:r>
    </w:p>
    <w:p w14:paraId="11740866" w14:textId="77777777" w:rsidR="00A71EEF" w:rsidRDefault="00A71EEF">
      <w:pPr>
        <w:pStyle w:val="a3"/>
        <w:spacing w:before="12"/>
        <w:rPr>
          <w:b/>
          <w:sz w:val="17"/>
        </w:rPr>
      </w:pPr>
    </w:p>
    <w:p w14:paraId="2B72F0AC" w14:textId="77777777" w:rsidR="00A71EEF" w:rsidRDefault="0081115D">
      <w:pPr>
        <w:pStyle w:val="a4"/>
        <w:numPr>
          <w:ilvl w:val="2"/>
          <w:numId w:val="123"/>
        </w:numPr>
        <w:tabs>
          <w:tab w:val="left" w:pos="1371"/>
        </w:tabs>
        <w:spacing w:line="446" w:lineRule="auto"/>
        <w:ind w:right="1813" w:firstLine="422"/>
        <w:rPr>
          <w:sz w:val="21"/>
        </w:rPr>
      </w:pPr>
      <w:r>
        <w:rPr>
          <w:spacing w:val="-3"/>
          <w:sz w:val="21"/>
        </w:rPr>
        <w:t>消防水池有效容量应根据保护对象计算确定。寒冷地区的消防水池应采取防冻措施。</w:t>
      </w:r>
      <w:r>
        <w:rPr>
          <w:sz w:val="21"/>
        </w:rPr>
        <w:t xml:space="preserve"> </w:t>
      </w:r>
    </w:p>
    <w:p w14:paraId="7387B220" w14:textId="77777777" w:rsidR="00A71EEF" w:rsidRDefault="0081115D">
      <w:pPr>
        <w:pStyle w:val="a4"/>
        <w:numPr>
          <w:ilvl w:val="2"/>
          <w:numId w:val="123"/>
        </w:numPr>
        <w:tabs>
          <w:tab w:val="left" w:pos="1371"/>
        </w:tabs>
        <w:spacing w:line="446" w:lineRule="auto"/>
        <w:ind w:right="1604" w:firstLine="422"/>
        <w:rPr>
          <w:sz w:val="21"/>
        </w:rPr>
      </w:pPr>
      <w:r>
        <w:rPr>
          <w:spacing w:val="-3"/>
          <w:sz w:val="21"/>
        </w:rPr>
        <w:t>每个消防站辖区内至少应设置一个为消防车提供应急水源的消防水池，或设置一处天然水源或人工水体的取水点，并应设置消防车取水通道等设施。</w:t>
      </w:r>
      <w:r>
        <w:rPr>
          <w:sz w:val="21"/>
        </w:rPr>
        <w:t xml:space="preserve"> </w:t>
      </w:r>
    </w:p>
    <w:p w14:paraId="37C965F1" w14:textId="77777777" w:rsidR="00A71EEF" w:rsidRDefault="0081115D">
      <w:pPr>
        <w:pStyle w:val="a4"/>
        <w:numPr>
          <w:ilvl w:val="1"/>
          <w:numId w:val="123"/>
        </w:numPr>
        <w:tabs>
          <w:tab w:val="left" w:pos="1159"/>
        </w:tabs>
        <w:spacing w:line="267" w:lineRule="exact"/>
        <w:ind w:hanging="319"/>
        <w:rPr>
          <w:b/>
          <w:sz w:val="21"/>
        </w:rPr>
      </w:pPr>
      <w:r>
        <w:rPr>
          <w:spacing w:val="-3"/>
          <w:sz w:val="21"/>
        </w:rPr>
        <w:t>消防车通道</w:t>
      </w:r>
      <w:r>
        <w:rPr>
          <w:b/>
          <w:w w:val="99"/>
          <w:sz w:val="21"/>
        </w:rPr>
        <w:t xml:space="preserve"> </w:t>
      </w:r>
    </w:p>
    <w:p w14:paraId="4458B32E" w14:textId="77777777" w:rsidR="00A71EEF" w:rsidRDefault="00A71EEF">
      <w:pPr>
        <w:pStyle w:val="a3"/>
        <w:spacing w:before="2"/>
        <w:rPr>
          <w:b/>
          <w:sz w:val="18"/>
        </w:rPr>
      </w:pPr>
    </w:p>
    <w:p w14:paraId="19DEC361" w14:textId="77777777" w:rsidR="00A71EEF" w:rsidRDefault="0081115D">
      <w:pPr>
        <w:pStyle w:val="a4"/>
        <w:numPr>
          <w:ilvl w:val="2"/>
          <w:numId w:val="123"/>
        </w:numPr>
        <w:tabs>
          <w:tab w:val="left" w:pos="1371"/>
        </w:tabs>
        <w:spacing w:line="446" w:lineRule="auto"/>
        <w:ind w:right="1604" w:firstLine="422"/>
        <w:jc w:val="both"/>
        <w:rPr>
          <w:sz w:val="21"/>
        </w:rPr>
      </w:pPr>
      <w:r>
        <w:rPr>
          <w:spacing w:val="-3"/>
          <w:sz w:val="21"/>
        </w:rPr>
        <w:t>消防车通道包括城市各级道路、居住区和企事业单位内部道路、消防车取水通道、建筑物消防车通道等，应符合消防车辆安全、快捷通行的。城市各级道路、居住区和企事业单位内部道路宜设置成环状，减少尽端路。</w:t>
      </w:r>
      <w:r>
        <w:rPr>
          <w:sz w:val="21"/>
        </w:rPr>
        <w:t xml:space="preserve"> </w:t>
      </w:r>
    </w:p>
    <w:p w14:paraId="11FA27A6" w14:textId="77777777" w:rsidR="00A71EEF" w:rsidRDefault="0081115D">
      <w:pPr>
        <w:pStyle w:val="a4"/>
        <w:numPr>
          <w:ilvl w:val="2"/>
          <w:numId w:val="123"/>
        </w:numPr>
        <w:tabs>
          <w:tab w:val="left" w:pos="1370"/>
        </w:tabs>
        <w:spacing w:line="268" w:lineRule="exact"/>
        <w:ind w:left="1369" w:hanging="530"/>
        <w:rPr>
          <w:sz w:val="21"/>
        </w:rPr>
      </w:pPr>
      <w:r>
        <w:rPr>
          <w:spacing w:val="-3"/>
          <w:sz w:val="21"/>
        </w:rPr>
        <w:t>消防车通道的设置应符合下列规定：</w:t>
      </w:r>
      <w:r>
        <w:rPr>
          <w:sz w:val="21"/>
        </w:rPr>
        <w:t xml:space="preserve"> </w:t>
      </w:r>
    </w:p>
    <w:p w14:paraId="44CFC2C0" w14:textId="77777777" w:rsidR="00A71EEF" w:rsidRDefault="00A71EEF">
      <w:pPr>
        <w:pStyle w:val="a3"/>
        <w:rPr>
          <w:sz w:val="18"/>
        </w:rPr>
      </w:pPr>
    </w:p>
    <w:p w14:paraId="716F2979" w14:textId="77777777" w:rsidR="00A71EEF" w:rsidRDefault="0081115D">
      <w:pPr>
        <w:pStyle w:val="a3"/>
        <w:ind w:left="838"/>
      </w:pPr>
      <w:r>
        <w:t>消防车通道之间的中心线间距不宜大于</w:t>
      </w:r>
      <w:r>
        <w:t xml:space="preserve"> 160m</w:t>
      </w:r>
      <w:r>
        <w:t>；</w:t>
      </w:r>
      <w:r>
        <w:t xml:space="preserve"> </w:t>
      </w:r>
    </w:p>
    <w:p w14:paraId="5096EC1C" w14:textId="77777777" w:rsidR="00A71EEF" w:rsidRDefault="00A71EEF">
      <w:pPr>
        <w:pStyle w:val="a3"/>
        <w:spacing w:before="12"/>
        <w:rPr>
          <w:sz w:val="17"/>
        </w:rPr>
      </w:pPr>
    </w:p>
    <w:p w14:paraId="48ECD067" w14:textId="77777777" w:rsidR="00A71EEF" w:rsidRDefault="0081115D">
      <w:pPr>
        <w:pStyle w:val="a3"/>
        <w:spacing w:line="446" w:lineRule="auto"/>
        <w:ind w:left="418" w:right="1609" w:firstLine="419"/>
      </w:pPr>
      <w:r>
        <w:t>环形消防车通道至少应有两处与其他车道连通，尽端式消防车通道应设置回车道或回车场地；</w:t>
      </w:r>
      <w:r>
        <w:t xml:space="preserve"> </w:t>
      </w:r>
    </w:p>
    <w:p w14:paraId="4003DE47" w14:textId="77777777" w:rsidR="00A71EEF" w:rsidRDefault="0081115D">
      <w:pPr>
        <w:pStyle w:val="a3"/>
        <w:ind w:left="838"/>
      </w:pPr>
      <w:r>
        <w:t>消防车通道的净宽度和净空高度均不应小于</w:t>
      </w:r>
      <w:r>
        <w:t xml:space="preserve"> 4m</w:t>
      </w:r>
      <w:r>
        <w:t>，与建筑外墙的距离宜大于</w:t>
      </w:r>
      <w:r>
        <w:t xml:space="preserve"> 5m</w:t>
      </w:r>
      <w:r>
        <w:t>；</w:t>
      </w:r>
      <w:r>
        <w:t xml:space="preserve"> </w:t>
      </w:r>
    </w:p>
    <w:p w14:paraId="6F7321FB" w14:textId="77777777" w:rsidR="00A71EEF" w:rsidRDefault="00A71EEF">
      <w:pPr>
        <w:pStyle w:val="a3"/>
        <w:rPr>
          <w:sz w:val="18"/>
        </w:rPr>
      </w:pPr>
    </w:p>
    <w:p w14:paraId="2EEB925F" w14:textId="77777777" w:rsidR="00A71EEF" w:rsidRDefault="0081115D">
      <w:pPr>
        <w:pStyle w:val="a3"/>
        <w:spacing w:line="446" w:lineRule="auto"/>
        <w:ind w:left="418" w:right="1498" w:firstLine="419"/>
      </w:pPr>
      <w:r>
        <w:t>消防车通道的坡度不宜大于</w:t>
      </w:r>
      <w:r>
        <w:t xml:space="preserve"> 8%</w:t>
      </w:r>
      <w:r>
        <w:t>，转弯半径应符合消防车的通行要求。举高消防车停靠和作业场地坡度不宜大于</w:t>
      </w:r>
      <w:r>
        <w:t xml:space="preserve"> 3%</w:t>
      </w:r>
      <w:r>
        <w:t>。</w:t>
      </w:r>
      <w:r>
        <w:t xml:space="preserve"> </w:t>
      </w:r>
    </w:p>
    <w:p w14:paraId="1E5B077A" w14:textId="77777777" w:rsidR="00A71EEF" w:rsidRDefault="0081115D">
      <w:pPr>
        <w:pStyle w:val="a4"/>
        <w:numPr>
          <w:ilvl w:val="2"/>
          <w:numId w:val="123"/>
        </w:numPr>
        <w:tabs>
          <w:tab w:val="left" w:pos="1371"/>
        </w:tabs>
        <w:spacing w:line="446" w:lineRule="auto"/>
        <w:ind w:right="1604" w:firstLine="422"/>
        <w:rPr>
          <w:sz w:val="21"/>
        </w:rPr>
      </w:pPr>
      <w:r>
        <w:rPr>
          <w:spacing w:val="-3"/>
          <w:sz w:val="21"/>
        </w:rPr>
        <w:t>供消防车取水的天然水源、消防水池及其他人工水体应设置消防车通道，消防车通</w:t>
      </w:r>
      <w:r>
        <w:rPr>
          <w:spacing w:val="-7"/>
          <w:sz w:val="21"/>
        </w:rPr>
        <w:t>道边缘距离取水点不宜大于</w:t>
      </w:r>
      <w:r>
        <w:rPr>
          <w:spacing w:val="-7"/>
          <w:sz w:val="21"/>
        </w:rPr>
        <w:t xml:space="preserve"> </w:t>
      </w:r>
      <w:r>
        <w:rPr>
          <w:sz w:val="21"/>
        </w:rPr>
        <w:t>2m</w:t>
      </w:r>
      <w:r>
        <w:rPr>
          <w:spacing w:val="-7"/>
          <w:sz w:val="21"/>
        </w:rPr>
        <w:t>，消防车距吸水水面高度不应超过</w:t>
      </w:r>
      <w:r>
        <w:rPr>
          <w:spacing w:val="-7"/>
          <w:sz w:val="21"/>
        </w:rPr>
        <w:t xml:space="preserve"> </w:t>
      </w:r>
      <w:r>
        <w:rPr>
          <w:sz w:val="21"/>
        </w:rPr>
        <w:t>6m</w:t>
      </w:r>
      <w:r>
        <w:rPr>
          <w:spacing w:val="-3"/>
          <w:sz w:val="21"/>
        </w:rPr>
        <w:t>。</w:t>
      </w:r>
      <w:r>
        <w:rPr>
          <w:sz w:val="21"/>
        </w:rPr>
        <w:t xml:space="preserve"> </w:t>
      </w:r>
    </w:p>
    <w:p w14:paraId="253A994E" w14:textId="77777777" w:rsidR="00A71EEF" w:rsidRDefault="00A71EEF">
      <w:pPr>
        <w:pStyle w:val="a3"/>
        <w:rPr>
          <w:sz w:val="20"/>
        </w:rPr>
      </w:pPr>
    </w:p>
    <w:p w14:paraId="541811D6" w14:textId="77777777" w:rsidR="00A71EEF" w:rsidRDefault="00A71EEF">
      <w:pPr>
        <w:pStyle w:val="a3"/>
        <w:rPr>
          <w:sz w:val="20"/>
        </w:rPr>
      </w:pPr>
    </w:p>
    <w:p w14:paraId="3A712A0A" w14:textId="77777777" w:rsidR="00A71EEF" w:rsidRDefault="00A71EEF">
      <w:pPr>
        <w:pStyle w:val="a3"/>
        <w:rPr>
          <w:sz w:val="20"/>
        </w:rPr>
      </w:pPr>
    </w:p>
    <w:p w14:paraId="22669FAC" w14:textId="77777777" w:rsidR="00A71EEF" w:rsidRDefault="00A71EEF">
      <w:pPr>
        <w:pStyle w:val="a3"/>
        <w:rPr>
          <w:sz w:val="20"/>
        </w:rPr>
      </w:pPr>
    </w:p>
    <w:p w14:paraId="56083B63" w14:textId="77777777" w:rsidR="00A71EEF" w:rsidRDefault="00A71EEF">
      <w:pPr>
        <w:pStyle w:val="a3"/>
        <w:rPr>
          <w:sz w:val="20"/>
        </w:rPr>
      </w:pPr>
    </w:p>
    <w:p w14:paraId="14DB1DC2" w14:textId="77777777" w:rsidR="00A71EEF" w:rsidRDefault="00A71EEF">
      <w:pPr>
        <w:pStyle w:val="a3"/>
        <w:rPr>
          <w:sz w:val="20"/>
        </w:rPr>
      </w:pPr>
    </w:p>
    <w:p w14:paraId="35115852" w14:textId="77777777" w:rsidR="00A71EEF" w:rsidRDefault="00A71EEF">
      <w:pPr>
        <w:pStyle w:val="a3"/>
        <w:rPr>
          <w:sz w:val="20"/>
        </w:rPr>
      </w:pPr>
    </w:p>
    <w:p w14:paraId="75760825" w14:textId="77777777" w:rsidR="00A71EEF" w:rsidRDefault="00A71EEF">
      <w:pPr>
        <w:pStyle w:val="a3"/>
        <w:rPr>
          <w:sz w:val="20"/>
        </w:rPr>
      </w:pPr>
    </w:p>
    <w:p w14:paraId="4C2362C9" w14:textId="77777777" w:rsidR="00A71EEF" w:rsidRDefault="00A71EEF">
      <w:pPr>
        <w:pStyle w:val="a3"/>
        <w:rPr>
          <w:sz w:val="20"/>
        </w:rPr>
      </w:pPr>
    </w:p>
    <w:p w14:paraId="04918FDE" w14:textId="77777777" w:rsidR="00A71EEF" w:rsidRDefault="00A71EEF">
      <w:pPr>
        <w:pStyle w:val="a3"/>
        <w:rPr>
          <w:sz w:val="20"/>
        </w:rPr>
      </w:pPr>
    </w:p>
    <w:p w14:paraId="5F48D8C4" w14:textId="77777777" w:rsidR="00A71EEF" w:rsidRDefault="00A71EEF">
      <w:pPr>
        <w:pStyle w:val="a3"/>
        <w:spacing w:before="8"/>
        <w:rPr>
          <w:sz w:val="28"/>
        </w:rPr>
      </w:pPr>
    </w:p>
    <w:p w14:paraId="08B0BBFC" w14:textId="77777777" w:rsidR="00A71EEF" w:rsidRDefault="0081115D">
      <w:pPr>
        <w:pStyle w:val="a3"/>
        <w:spacing w:before="71"/>
        <w:ind w:left="838"/>
      </w:pPr>
      <w:r>
        <w:t xml:space="preserve"> </w:t>
      </w:r>
    </w:p>
    <w:p w14:paraId="7F2871C8" w14:textId="77777777" w:rsidR="00A71EEF" w:rsidRDefault="00A71EEF">
      <w:pPr>
        <w:sectPr w:rsidR="00A71EEF">
          <w:pgSz w:w="11910" w:h="16850"/>
          <w:pgMar w:top="1220" w:right="0" w:bottom="1420" w:left="1260" w:header="0" w:footer="1239" w:gutter="0"/>
          <w:cols w:space="720"/>
        </w:sectPr>
      </w:pPr>
    </w:p>
    <w:p w14:paraId="4DA2118C" w14:textId="77777777" w:rsidR="00A71EEF" w:rsidRDefault="00A71EEF">
      <w:pPr>
        <w:pStyle w:val="a3"/>
        <w:spacing w:before="4"/>
        <w:rPr>
          <w:rFonts w:ascii="Times New Roman"/>
          <w:sz w:val="17"/>
        </w:rPr>
      </w:pPr>
    </w:p>
    <w:p w14:paraId="5D88067E" w14:textId="77777777" w:rsidR="00A71EEF" w:rsidRDefault="00A71EEF">
      <w:pPr>
        <w:rPr>
          <w:rFonts w:ascii="Times New Roman"/>
          <w:sz w:val="17"/>
        </w:rPr>
        <w:sectPr w:rsidR="00A71EEF">
          <w:footerReference w:type="default" r:id="rId493"/>
          <w:pgSz w:w="11910" w:h="16850"/>
          <w:pgMar w:top="1600" w:right="0" w:bottom="1420" w:left="1260" w:header="0" w:footer="1239" w:gutter="0"/>
          <w:pgNumType w:start="1520"/>
          <w:cols w:space="720"/>
        </w:sectPr>
      </w:pPr>
    </w:p>
    <w:p w14:paraId="466DF96C" w14:textId="77777777" w:rsidR="00A71EEF" w:rsidRDefault="0081115D">
      <w:pPr>
        <w:pStyle w:val="2"/>
        <w:ind w:left="3005"/>
        <w:jc w:val="left"/>
      </w:pPr>
      <w:bookmarkStart w:id="32" w:name="_bookmark32"/>
      <w:bookmarkEnd w:id="32"/>
      <w:r>
        <w:t>建筑防烟排烟系统技术标准</w:t>
      </w:r>
      <w:r>
        <w:rPr>
          <w:w w:val="99"/>
        </w:rPr>
        <w:t xml:space="preserve"> </w:t>
      </w:r>
    </w:p>
    <w:p w14:paraId="0406826C" w14:textId="77777777" w:rsidR="00A71EEF" w:rsidRDefault="00A71EEF">
      <w:pPr>
        <w:pStyle w:val="a3"/>
        <w:rPr>
          <w:b/>
          <w:sz w:val="20"/>
        </w:rPr>
      </w:pPr>
    </w:p>
    <w:p w14:paraId="08C62914" w14:textId="77777777" w:rsidR="00A71EEF" w:rsidRDefault="00A71EEF">
      <w:pPr>
        <w:pStyle w:val="a3"/>
        <w:spacing w:before="5"/>
        <w:rPr>
          <w:b/>
          <w:sz w:val="14"/>
        </w:rPr>
      </w:pPr>
    </w:p>
    <w:p w14:paraId="35228E74" w14:textId="77777777" w:rsidR="00A71EEF" w:rsidRDefault="0081115D">
      <w:pPr>
        <w:pStyle w:val="4"/>
        <w:spacing w:before="66"/>
      </w:pPr>
      <w:r>
        <w:t xml:space="preserve">1 </w:t>
      </w:r>
      <w:r>
        <w:t>总则</w:t>
      </w:r>
      <w:r>
        <w:rPr>
          <w:w w:val="99"/>
        </w:rPr>
        <w:t xml:space="preserve"> </w:t>
      </w:r>
    </w:p>
    <w:p w14:paraId="09BFB5BC" w14:textId="77777777" w:rsidR="00A71EEF" w:rsidRDefault="00A71EEF">
      <w:pPr>
        <w:pStyle w:val="a3"/>
        <w:spacing w:before="4"/>
        <w:rPr>
          <w:b/>
          <w:sz w:val="17"/>
        </w:rPr>
      </w:pPr>
    </w:p>
    <w:p w14:paraId="1AABAC9D" w14:textId="77777777" w:rsidR="00A71EEF" w:rsidRDefault="0081115D">
      <w:pPr>
        <w:pStyle w:val="a4"/>
        <w:numPr>
          <w:ilvl w:val="2"/>
          <w:numId w:val="122"/>
        </w:numPr>
        <w:tabs>
          <w:tab w:val="left" w:pos="1424"/>
        </w:tabs>
        <w:spacing w:line="446" w:lineRule="auto"/>
        <w:ind w:right="1551" w:firstLine="422"/>
        <w:jc w:val="both"/>
        <w:rPr>
          <w:color w:val="333333"/>
          <w:sz w:val="21"/>
        </w:rPr>
      </w:pPr>
      <w:r>
        <w:rPr>
          <w:color w:val="333333"/>
          <w:spacing w:val="-3"/>
          <w:sz w:val="21"/>
        </w:rPr>
        <w:t>为了合理设计建筑防烟、排烟系统，保证施工质量，规范验收和维护管理，减少火灾危害，保护人身和财产安全，制定本标准。</w:t>
      </w:r>
      <w:r>
        <w:rPr>
          <w:color w:val="333333"/>
          <w:sz w:val="21"/>
        </w:rPr>
        <w:t xml:space="preserve"> </w:t>
      </w:r>
    </w:p>
    <w:p w14:paraId="4709C92B" w14:textId="77777777" w:rsidR="00A71EEF" w:rsidRDefault="0081115D">
      <w:pPr>
        <w:pStyle w:val="a4"/>
        <w:numPr>
          <w:ilvl w:val="2"/>
          <w:numId w:val="122"/>
        </w:numPr>
        <w:tabs>
          <w:tab w:val="left" w:pos="1424"/>
        </w:tabs>
        <w:spacing w:line="446" w:lineRule="auto"/>
        <w:ind w:right="1583" w:firstLine="422"/>
        <w:jc w:val="both"/>
        <w:rPr>
          <w:sz w:val="21"/>
        </w:rPr>
      </w:pPr>
      <w:r>
        <w:rPr>
          <w:color w:val="333333"/>
          <w:spacing w:val="-16"/>
          <w:sz w:val="21"/>
        </w:rPr>
        <w:t>本标准适用于新建、扩建和改建的工业与民用建筑的防烟、排烟系统的设计、施工、</w:t>
      </w:r>
      <w:r>
        <w:rPr>
          <w:color w:val="333333"/>
          <w:spacing w:val="-4"/>
          <w:sz w:val="21"/>
        </w:rPr>
        <w:t>验收及维护管理。对于有特殊用途或特殊要求的工业与民用建筑，当专业标准有特别规定的，</w:t>
      </w:r>
      <w:r>
        <w:rPr>
          <w:color w:val="333333"/>
          <w:spacing w:val="-4"/>
          <w:sz w:val="21"/>
        </w:rPr>
        <w:t xml:space="preserve"> </w:t>
      </w:r>
      <w:r>
        <w:rPr>
          <w:color w:val="333333"/>
          <w:spacing w:val="-3"/>
          <w:sz w:val="21"/>
        </w:rPr>
        <w:t>可从其规定。</w:t>
      </w:r>
      <w:r>
        <w:rPr>
          <w:color w:val="333333"/>
          <w:sz w:val="21"/>
        </w:rPr>
        <w:t xml:space="preserve"> </w:t>
      </w:r>
    </w:p>
    <w:p w14:paraId="5D77510F" w14:textId="77777777" w:rsidR="00A71EEF" w:rsidRDefault="0081115D">
      <w:pPr>
        <w:pStyle w:val="a4"/>
        <w:numPr>
          <w:ilvl w:val="2"/>
          <w:numId w:val="122"/>
        </w:numPr>
        <w:tabs>
          <w:tab w:val="left" w:pos="1371"/>
        </w:tabs>
        <w:spacing w:line="268" w:lineRule="exact"/>
        <w:ind w:left="1370" w:hanging="531"/>
        <w:rPr>
          <w:sz w:val="19"/>
        </w:rPr>
      </w:pPr>
      <w:r>
        <w:rPr>
          <w:color w:val="333333"/>
          <w:spacing w:val="-3"/>
          <w:sz w:val="21"/>
        </w:rPr>
        <w:t>建筑防烟、排烟系统的设计，应结合建筑的特性和火灾烟气的发展规律等因素，采</w:t>
      </w:r>
      <w:r>
        <w:rPr>
          <w:color w:val="333333"/>
          <w:spacing w:val="-3"/>
          <w:sz w:val="21"/>
        </w:rPr>
        <w:t xml:space="preserve"> </w:t>
      </w:r>
    </w:p>
    <w:p w14:paraId="456D8F81" w14:textId="77777777" w:rsidR="00A71EEF" w:rsidRDefault="00A71EEF">
      <w:pPr>
        <w:pStyle w:val="a3"/>
        <w:spacing w:before="12"/>
        <w:rPr>
          <w:sz w:val="17"/>
        </w:rPr>
      </w:pPr>
    </w:p>
    <w:p w14:paraId="172726A6" w14:textId="77777777" w:rsidR="00A71EEF" w:rsidRDefault="0081115D">
      <w:pPr>
        <w:pStyle w:val="a3"/>
        <w:ind w:left="418"/>
      </w:pPr>
      <w:r>
        <w:rPr>
          <w:color w:val="333333"/>
        </w:rPr>
        <w:t>取有效的技术措施，做到安全可靠、技术先进、经济合理。</w:t>
      </w:r>
      <w:r>
        <w:rPr>
          <w:color w:val="333333"/>
        </w:rPr>
        <w:t xml:space="preserve"> </w:t>
      </w:r>
    </w:p>
    <w:p w14:paraId="54027F87" w14:textId="77777777" w:rsidR="00A71EEF" w:rsidRDefault="00A71EEF">
      <w:pPr>
        <w:pStyle w:val="a3"/>
        <w:rPr>
          <w:sz w:val="18"/>
        </w:rPr>
      </w:pPr>
    </w:p>
    <w:p w14:paraId="7EE333FB" w14:textId="77777777" w:rsidR="00A71EEF" w:rsidRDefault="0081115D">
      <w:pPr>
        <w:pStyle w:val="a4"/>
        <w:numPr>
          <w:ilvl w:val="2"/>
          <w:numId w:val="122"/>
        </w:numPr>
        <w:tabs>
          <w:tab w:val="left" w:pos="1371"/>
        </w:tabs>
        <w:spacing w:line="446" w:lineRule="auto"/>
        <w:ind w:right="1813" w:firstLine="422"/>
        <w:rPr>
          <w:sz w:val="19"/>
        </w:rPr>
      </w:pPr>
      <w:r>
        <w:rPr>
          <w:color w:val="333333"/>
          <w:spacing w:val="-3"/>
          <w:sz w:val="21"/>
        </w:rPr>
        <w:t>建筑防烟、排烟系统的设备，应选用符合国家现行有关标准和有关准入制度的产品。</w:t>
      </w:r>
      <w:r>
        <w:rPr>
          <w:color w:val="333333"/>
          <w:sz w:val="21"/>
        </w:rPr>
        <w:t xml:space="preserve"> </w:t>
      </w:r>
    </w:p>
    <w:p w14:paraId="6D4E317F" w14:textId="77777777" w:rsidR="00A71EEF" w:rsidRDefault="0081115D">
      <w:pPr>
        <w:pStyle w:val="a4"/>
        <w:numPr>
          <w:ilvl w:val="2"/>
          <w:numId w:val="122"/>
        </w:numPr>
        <w:tabs>
          <w:tab w:val="left" w:pos="1371"/>
        </w:tabs>
        <w:ind w:left="1370" w:hanging="531"/>
        <w:rPr>
          <w:sz w:val="19"/>
        </w:rPr>
      </w:pPr>
      <w:r>
        <w:rPr>
          <w:color w:val="333333"/>
          <w:spacing w:val="-3"/>
          <w:sz w:val="21"/>
        </w:rPr>
        <w:t>建筑防烟、排烟系统的设计、施工、验收及维护管理除执行本标准外，尚应符合国</w:t>
      </w:r>
      <w:r>
        <w:rPr>
          <w:color w:val="333333"/>
          <w:spacing w:val="-3"/>
          <w:sz w:val="21"/>
        </w:rPr>
        <w:t xml:space="preserve"> </w:t>
      </w:r>
    </w:p>
    <w:p w14:paraId="6BCDC527" w14:textId="77777777" w:rsidR="00A71EEF" w:rsidRDefault="00A71EEF">
      <w:pPr>
        <w:pStyle w:val="a3"/>
        <w:spacing w:before="12"/>
        <w:rPr>
          <w:sz w:val="17"/>
        </w:rPr>
      </w:pPr>
    </w:p>
    <w:p w14:paraId="50115849" w14:textId="77777777" w:rsidR="00A71EEF" w:rsidRDefault="0081115D">
      <w:pPr>
        <w:pStyle w:val="a3"/>
        <w:ind w:left="418"/>
      </w:pPr>
      <w:r>
        <w:rPr>
          <w:color w:val="333333"/>
        </w:rPr>
        <w:t>家现行有关标准的要求。</w:t>
      </w:r>
      <w:r>
        <w:rPr>
          <w:color w:val="333333"/>
        </w:rPr>
        <w:t xml:space="preserve"> </w:t>
      </w:r>
    </w:p>
    <w:p w14:paraId="4474D0BF" w14:textId="77777777" w:rsidR="00A71EEF" w:rsidRDefault="00A71EEF">
      <w:pPr>
        <w:pStyle w:val="a3"/>
        <w:spacing w:before="10"/>
        <w:rPr>
          <w:sz w:val="15"/>
        </w:rPr>
      </w:pPr>
    </w:p>
    <w:p w14:paraId="5078FC43" w14:textId="77777777" w:rsidR="00A71EEF" w:rsidRDefault="0081115D">
      <w:pPr>
        <w:pStyle w:val="4"/>
        <w:spacing w:before="1"/>
      </w:pPr>
      <w:r>
        <w:t xml:space="preserve">2 </w:t>
      </w:r>
      <w:r>
        <w:t>术语和符号</w:t>
      </w:r>
      <w:r>
        <w:rPr>
          <w:w w:val="99"/>
        </w:rPr>
        <w:t xml:space="preserve"> </w:t>
      </w:r>
    </w:p>
    <w:p w14:paraId="4C727E1D" w14:textId="77777777" w:rsidR="00A71EEF" w:rsidRDefault="00A71EEF">
      <w:pPr>
        <w:pStyle w:val="a3"/>
        <w:spacing w:before="3"/>
        <w:rPr>
          <w:b/>
          <w:sz w:val="17"/>
        </w:rPr>
      </w:pPr>
    </w:p>
    <w:p w14:paraId="5F5D0E54" w14:textId="77777777" w:rsidR="00A71EEF" w:rsidRDefault="0081115D">
      <w:pPr>
        <w:pStyle w:val="a4"/>
        <w:numPr>
          <w:ilvl w:val="1"/>
          <w:numId w:val="121"/>
        </w:numPr>
        <w:tabs>
          <w:tab w:val="left" w:pos="1160"/>
        </w:tabs>
        <w:spacing w:before="1"/>
        <w:rPr>
          <w:sz w:val="21"/>
        </w:rPr>
      </w:pPr>
      <w:r>
        <w:rPr>
          <w:spacing w:val="-3"/>
          <w:sz w:val="21"/>
        </w:rPr>
        <w:t>术语</w:t>
      </w:r>
      <w:r>
        <w:rPr>
          <w:sz w:val="21"/>
        </w:rPr>
        <w:t xml:space="preserve"> </w:t>
      </w:r>
    </w:p>
    <w:p w14:paraId="0FFB86A8" w14:textId="77777777" w:rsidR="00A71EEF" w:rsidRDefault="00A71EEF">
      <w:pPr>
        <w:pStyle w:val="a3"/>
        <w:spacing w:before="12"/>
        <w:rPr>
          <w:sz w:val="17"/>
        </w:rPr>
      </w:pPr>
    </w:p>
    <w:p w14:paraId="3F69A237" w14:textId="77777777" w:rsidR="00A71EEF" w:rsidRDefault="0081115D">
      <w:pPr>
        <w:pStyle w:val="a4"/>
        <w:numPr>
          <w:ilvl w:val="2"/>
          <w:numId w:val="121"/>
        </w:numPr>
        <w:tabs>
          <w:tab w:val="left" w:pos="1424"/>
        </w:tabs>
        <w:jc w:val="both"/>
        <w:rPr>
          <w:sz w:val="21"/>
        </w:rPr>
      </w:pPr>
      <w:r>
        <w:rPr>
          <w:color w:val="333333"/>
          <w:spacing w:val="-14"/>
          <w:sz w:val="21"/>
        </w:rPr>
        <w:t>防烟系统</w:t>
      </w:r>
      <w:r>
        <w:rPr>
          <w:color w:val="333333"/>
          <w:spacing w:val="-14"/>
          <w:sz w:val="21"/>
        </w:rPr>
        <w:t xml:space="preserve"> </w:t>
      </w:r>
      <w:r>
        <w:rPr>
          <w:color w:val="333333"/>
          <w:sz w:val="21"/>
        </w:rPr>
        <w:t>smoke</w:t>
      </w:r>
      <w:r>
        <w:rPr>
          <w:color w:val="333333"/>
          <w:spacing w:val="1"/>
          <w:sz w:val="21"/>
        </w:rPr>
        <w:t xml:space="preserve"> </w:t>
      </w:r>
      <w:r>
        <w:rPr>
          <w:color w:val="333333"/>
          <w:sz w:val="21"/>
        </w:rPr>
        <w:t xml:space="preserve">protection system </w:t>
      </w:r>
    </w:p>
    <w:p w14:paraId="5280E0E3" w14:textId="77777777" w:rsidR="00A71EEF" w:rsidRDefault="00A71EEF">
      <w:pPr>
        <w:pStyle w:val="a3"/>
        <w:spacing w:before="2"/>
        <w:rPr>
          <w:sz w:val="18"/>
        </w:rPr>
      </w:pPr>
    </w:p>
    <w:p w14:paraId="35403431" w14:textId="77777777" w:rsidR="00A71EEF" w:rsidRDefault="0081115D">
      <w:pPr>
        <w:pStyle w:val="a3"/>
        <w:spacing w:line="446" w:lineRule="auto"/>
        <w:ind w:left="418" w:right="1608" w:firstLine="419"/>
        <w:jc w:val="both"/>
      </w:pPr>
      <w:r>
        <w:rPr>
          <w:color w:val="333333"/>
        </w:rPr>
        <w:t>通过采用自然通风方式，防止火灾烟气在楼梯间、前室、避难层（间）等空间内积聚，或通过采用机械加压送风方式阻止火灾烟气侵入楼梯间、前室、避难层（间）等空间的系统，防烟系统分为自然通风系统和机械加压送风系统。</w:t>
      </w:r>
      <w:r>
        <w:rPr>
          <w:color w:val="333333"/>
        </w:rPr>
        <w:t xml:space="preserve"> </w:t>
      </w:r>
    </w:p>
    <w:p w14:paraId="7B1EF977" w14:textId="77777777" w:rsidR="00A71EEF" w:rsidRDefault="0081115D">
      <w:pPr>
        <w:pStyle w:val="a4"/>
        <w:numPr>
          <w:ilvl w:val="2"/>
          <w:numId w:val="121"/>
        </w:numPr>
        <w:tabs>
          <w:tab w:val="left" w:pos="1370"/>
        </w:tabs>
        <w:spacing w:line="268" w:lineRule="exact"/>
        <w:ind w:left="1369" w:hanging="530"/>
        <w:jc w:val="both"/>
        <w:rPr>
          <w:sz w:val="21"/>
        </w:rPr>
      </w:pPr>
      <w:r>
        <w:rPr>
          <w:color w:val="333333"/>
          <w:spacing w:val="-13"/>
          <w:sz w:val="21"/>
        </w:rPr>
        <w:t>排烟系统</w:t>
      </w:r>
      <w:r>
        <w:rPr>
          <w:color w:val="333333"/>
          <w:spacing w:val="-13"/>
          <w:sz w:val="21"/>
        </w:rPr>
        <w:t xml:space="preserve"> </w:t>
      </w:r>
      <w:r>
        <w:rPr>
          <w:color w:val="333333"/>
          <w:sz w:val="21"/>
        </w:rPr>
        <w:t>smoke</w:t>
      </w:r>
      <w:r>
        <w:rPr>
          <w:color w:val="333333"/>
          <w:spacing w:val="103"/>
          <w:sz w:val="21"/>
        </w:rPr>
        <w:t xml:space="preserve"> </w:t>
      </w:r>
      <w:r>
        <w:rPr>
          <w:color w:val="333333"/>
          <w:sz w:val="21"/>
        </w:rPr>
        <w:t>exhaust</w:t>
      </w:r>
      <w:r>
        <w:rPr>
          <w:color w:val="333333"/>
          <w:spacing w:val="1"/>
          <w:sz w:val="21"/>
        </w:rPr>
        <w:t xml:space="preserve"> </w:t>
      </w:r>
      <w:r>
        <w:rPr>
          <w:color w:val="333333"/>
          <w:sz w:val="21"/>
        </w:rPr>
        <w:t xml:space="preserve">system </w:t>
      </w:r>
    </w:p>
    <w:p w14:paraId="6E5536E0" w14:textId="77777777" w:rsidR="00A71EEF" w:rsidRDefault="00A71EEF">
      <w:pPr>
        <w:pStyle w:val="a3"/>
        <w:spacing w:before="12"/>
        <w:rPr>
          <w:sz w:val="17"/>
        </w:rPr>
      </w:pPr>
    </w:p>
    <w:p w14:paraId="562717E6" w14:textId="77777777" w:rsidR="00A71EEF" w:rsidRDefault="0081115D">
      <w:pPr>
        <w:pStyle w:val="a3"/>
        <w:spacing w:line="446" w:lineRule="auto"/>
        <w:ind w:left="418" w:right="1609" w:firstLine="419"/>
      </w:pPr>
      <w:r>
        <w:rPr>
          <w:color w:val="333333"/>
        </w:rPr>
        <w:t>采用自然排烟或机械排烟的方式，将房间、走道等空间的火灾烟气排至建筑物外的系统，</w:t>
      </w:r>
      <w:r>
        <w:rPr>
          <w:color w:val="333333"/>
        </w:rPr>
        <w:t xml:space="preserve"> </w:t>
      </w:r>
      <w:r>
        <w:rPr>
          <w:color w:val="333333"/>
        </w:rPr>
        <w:t>分为自然排烟系统和机械排烟系统。</w:t>
      </w:r>
      <w:r>
        <w:rPr>
          <w:color w:val="333333"/>
        </w:rPr>
        <w:t xml:space="preserve"> </w:t>
      </w:r>
    </w:p>
    <w:p w14:paraId="34CCBB61" w14:textId="77777777" w:rsidR="00A71EEF" w:rsidRDefault="0081115D">
      <w:pPr>
        <w:pStyle w:val="a4"/>
        <w:numPr>
          <w:ilvl w:val="2"/>
          <w:numId w:val="121"/>
        </w:numPr>
        <w:tabs>
          <w:tab w:val="left" w:pos="1370"/>
        </w:tabs>
        <w:ind w:left="1369" w:hanging="530"/>
        <w:rPr>
          <w:sz w:val="21"/>
        </w:rPr>
      </w:pPr>
      <w:r>
        <w:rPr>
          <w:color w:val="333333"/>
          <w:spacing w:val="-3"/>
          <w:sz w:val="21"/>
        </w:rPr>
        <w:t>直灌式机械加压送风</w:t>
      </w:r>
      <w:r>
        <w:rPr>
          <w:color w:val="333333"/>
          <w:spacing w:val="-3"/>
          <w:sz w:val="21"/>
        </w:rPr>
        <w:t xml:space="preserve"> </w:t>
      </w:r>
      <w:r>
        <w:rPr>
          <w:color w:val="333333"/>
          <w:sz w:val="21"/>
        </w:rPr>
        <w:t>mechanical pressurization</w:t>
      </w:r>
      <w:r>
        <w:rPr>
          <w:color w:val="333333"/>
          <w:spacing w:val="1"/>
          <w:sz w:val="21"/>
        </w:rPr>
        <w:t xml:space="preserve"> </w:t>
      </w:r>
      <w:r>
        <w:rPr>
          <w:color w:val="333333"/>
          <w:sz w:val="21"/>
        </w:rPr>
        <w:t>without air</w:t>
      </w:r>
      <w:r>
        <w:rPr>
          <w:color w:val="333333"/>
          <w:spacing w:val="104"/>
          <w:sz w:val="21"/>
        </w:rPr>
        <w:t xml:space="preserve"> </w:t>
      </w:r>
      <w:r>
        <w:rPr>
          <w:color w:val="333333"/>
          <w:sz w:val="21"/>
        </w:rPr>
        <w:t xml:space="preserve">shaft </w:t>
      </w:r>
    </w:p>
    <w:p w14:paraId="2D3D5680" w14:textId="77777777" w:rsidR="00A71EEF" w:rsidRDefault="00A71EEF">
      <w:pPr>
        <w:pStyle w:val="a3"/>
        <w:spacing w:before="12"/>
        <w:rPr>
          <w:sz w:val="17"/>
        </w:rPr>
      </w:pPr>
    </w:p>
    <w:p w14:paraId="252C334F" w14:textId="77777777" w:rsidR="00A71EEF" w:rsidRDefault="0081115D">
      <w:pPr>
        <w:pStyle w:val="a3"/>
        <w:ind w:left="838"/>
      </w:pPr>
      <w:r>
        <w:rPr>
          <w:color w:val="333333"/>
        </w:rPr>
        <w:t>无送风井道，采用风机直接对楼梯间进行机械加压的送风方式。</w:t>
      </w:r>
      <w:r>
        <w:rPr>
          <w:color w:val="333333"/>
        </w:rPr>
        <w:t xml:space="preserve"> </w:t>
      </w:r>
    </w:p>
    <w:p w14:paraId="2BB92A21" w14:textId="77777777" w:rsidR="00A71EEF" w:rsidRDefault="00A71EEF">
      <w:pPr>
        <w:pStyle w:val="a3"/>
        <w:rPr>
          <w:sz w:val="18"/>
        </w:rPr>
      </w:pPr>
    </w:p>
    <w:p w14:paraId="7991F1F3" w14:textId="77777777" w:rsidR="00A71EEF" w:rsidRDefault="0081115D">
      <w:pPr>
        <w:pStyle w:val="a4"/>
        <w:numPr>
          <w:ilvl w:val="2"/>
          <w:numId w:val="121"/>
        </w:numPr>
        <w:tabs>
          <w:tab w:val="left" w:pos="1424"/>
        </w:tabs>
        <w:rPr>
          <w:sz w:val="21"/>
        </w:rPr>
      </w:pPr>
      <w:r>
        <w:rPr>
          <w:color w:val="333333"/>
          <w:spacing w:val="-13"/>
          <w:sz w:val="21"/>
        </w:rPr>
        <w:t>自然排烟</w:t>
      </w:r>
      <w:r>
        <w:rPr>
          <w:color w:val="333333"/>
          <w:spacing w:val="-13"/>
          <w:sz w:val="21"/>
        </w:rPr>
        <w:t xml:space="preserve"> </w:t>
      </w:r>
      <w:r>
        <w:rPr>
          <w:color w:val="333333"/>
          <w:sz w:val="21"/>
        </w:rPr>
        <w:t>natural</w:t>
      </w:r>
      <w:r>
        <w:rPr>
          <w:color w:val="333333"/>
          <w:spacing w:val="103"/>
          <w:sz w:val="21"/>
        </w:rPr>
        <w:t xml:space="preserve"> </w:t>
      </w:r>
      <w:r>
        <w:rPr>
          <w:color w:val="333333"/>
          <w:sz w:val="21"/>
        </w:rPr>
        <w:t>smoke</w:t>
      </w:r>
      <w:r>
        <w:rPr>
          <w:color w:val="333333"/>
          <w:spacing w:val="1"/>
          <w:sz w:val="21"/>
        </w:rPr>
        <w:t xml:space="preserve"> </w:t>
      </w:r>
      <w:r>
        <w:rPr>
          <w:color w:val="333333"/>
          <w:sz w:val="21"/>
        </w:rPr>
        <w:t xml:space="preserve">exhaust </w:t>
      </w:r>
    </w:p>
    <w:p w14:paraId="6EFBFFCB" w14:textId="77777777" w:rsidR="00A71EEF" w:rsidRDefault="00A71EEF">
      <w:pPr>
        <w:pStyle w:val="a3"/>
        <w:spacing w:before="2"/>
        <w:rPr>
          <w:sz w:val="18"/>
        </w:rPr>
      </w:pPr>
    </w:p>
    <w:p w14:paraId="54910D26" w14:textId="77777777" w:rsidR="00A71EEF" w:rsidRDefault="0081115D">
      <w:pPr>
        <w:pStyle w:val="a3"/>
        <w:spacing w:line="446" w:lineRule="auto"/>
        <w:ind w:left="418" w:right="1609" w:firstLine="419"/>
      </w:pPr>
      <w:r>
        <w:rPr>
          <w:color w:val="333333"/>
        </w:rPr>
        <w:t>利用火灾热烟气流的浮力和外部风压作用，通过建筑开口将建筑内的烟气直接排至室外的排烟方式。</w:t>
      </w:r>
      <w:r>
        <w:rPr>
          <w:color w:val="333333"/>
        </w:rPr>
        <w:t xml:space="preserve"> </w:t>
      </w:r>
    </w:p>
    <w:p w14:paraId="5BB25520" w14:textId="77777777" w:rsidR="00A71EEF" w:rsidRDefault="00A71EEF">
      <w:pPr>
        <w:spacing w:line="446" w:lineRule="auto"/>
        <w:sectPr w:rsidR="00A71EEF">
          <w:pgSz w:w="11910" w:h="16850"/>
          <w:pgMar w:top="1140" w:right="0" w:bottom="1420" w:left="1260" w:header="0" w:footer="1239" w:gutter="0"/>
          <w:cols w:space="720"/>
        </w:sectPr>
      </w:pPr>
    </w:p>
    <w:p w14:paraId="6378A329" w14:textId="77777777" w:rsidR="00A71EEF" w:rsidRDefault="0081115D">
      <w:pPr>
        <w:pStyle w:val="a4"/>
        <w:numPr>
          <w:ilvl w:val="2"/>
          <w:numId w:val="121"/>
        </w:numPr>
        <w:tabs>
          <w:tab w:val="left" w:pos="1370"/>
        </w:tabs>
        <w:spacing w:before="47"/>
        <w:ind w:left="1369" w:hanging="530"/>
        <w:rPr>
          <w:sz w:val="21"/>
        </w:rPr>
      </w:pPr>
      <w:r>
        <w:rPr>
          <w:color w:val="333333"/>
          <w:spacing w:val="-3"/>
          <w:sz w:val="21"/>
        </w:rPr>
        <w:t>自然排烟窗</w:t>
      </w:r>
      <w:r>
        <w:rPr>
          <w:color w:val="333333"/>
          <w:sz w:val="21"/>
        </w:rPr>
        <w:t>（</w:t>
      </w:r>
      <w:r>
        <w:rPr>
          <w:color w:val="333333"/>
          <w:spacing w:val="-3"/>
          <w:sz w:val="21"/>
        </w:rPr>
        <w:t>口</w:t>
      </w:r>
      <w:r>
        <w:rPr>
          <w:color w:val="333333"/>
          <w:sz w:val="21"/>
        </w:rPr>
        <w:t>）</w:t>
      </w:r>
      <w:r>
        <w:rPr>
          <w:color w:val="333333"/>
          <w:sz w:val="21"/>
        </w:rPr>
        <w:t>natural smoke</w:t>
      </w:r>
      <w:r>
        <w:rPr>
          <w:color w:val="333333"/>
          <w:spacing w:val="1"/>
          <w:sz w:val="21"/>
        </w:rPr>
        <w:t xml:space="preserve"> </w:t>
      </w:r>
      <w:r>
        <w:rPr>
          <w:color w:val="333333"/>
          <w:sz w:val="21"/>
        </w:rPr>
        <w:t xml:space="preserve">vent </w:t>
      </w:r>
    </w:p>
    <w:p w14:paraId="2618435F" w14:textId="77777777" w:rsidR="00A71EEF" w:rsidRDefault="00A71EEF">
      <w:pPr>
        <w:pStyle w:val="a3"/>
        <w:rPr>
          <w:sz w:val="18"/>
        </w:rPr>
      </w:pPr>
    </w:p>
    <w:p w14:paraId="0BDD676F" w14:textId="77777777" w:rsidR="00A71EEF" w:rsidRDefault="0081115D">
      <w:pPr>
        <w:pStyle w:val="a3"/>
        <w:spacing w:line="446" w:lineRule="auto"/>
        <w:ind w:left="840" w:right="2345" w:hanging="3"/>
      </w:pPr>
      <w:r>
        <w:rPr>
          <w:color w:val="333333"/>
        </w:rPr>
        <w:t>具有排烟作用的可开启外窗或开口，可通过自动、手动、温控释放等方式开启。</w:t>
      </w:r>
      <w:r>
        <w:rPr>
          <w:b/>
        </w:rPr>
        <w:t xml:space="preserve">2.1.6 </w:t>
      </w:r>
      <w:r>
        <w:rPr>
          <w:color w:val="333333"/>
        </w:rPr>
        <w:t>烟羽流</w:t>
      </w:r>
      <w:r>
        <w:rPr>
          <w:color w:val="333333"/>
        </w:rPr>
        <w:t xml:space="preserve"> smoke plume </w:t>
      </w:r>
    </w:p>
    <w:p w14:paraId="47D5D195" w14:textId="77777777" w:rsidR="00A71EEF" w:rsidRDefault="0081115D">
      <w:pPr>
        <w:pStyle w:val="a3"/>
        <w:spacing w:line="446" w:lineRule="auto"/>
        <w:ind w:left="418" w:right="1609" w:firstLine="419"/>
      </w:pPr>
      <w:r>
        <w:rPr>
          <w:color w:val="333333"/>
        </w:rPr>
        <w:t>火灾时烟气卷吸周围空气所形成的混合烟气流。烟羽流按火焰及烟的流动情形，可分为轴对称型烟羽流</w:t>
      </w:r>
      <w:r>
        <w:rPr>
          <w:color w:val="333333"/>
        </w:rPr>
        <w:t>、阳台溢出型烟羽流、窗口型烟羽流等。</w:t>
      </w:r>
      <w:r>
        <w:rPr>
          <w:color w:val="333333"/>
        </w:rPr>
        <w:t xml:space="preserve"> </w:t>
      </w:r>
    </w:p>
    <w:p w14:paraId="70D62D2C" w14:textId="77777777" w:rsidR="00A71EEF" w:rsidRDefault="0081115D">
      <w:pPr>
        <w:pStyle w:val="a3"/>
        <w:spacing w:line="267" w:lineRule="exact"/>
        <w:ind w:left="840"/>
      </w:pPr>
      <w:r>
        <w:rPr>
          <w:b/>
        </w:rPr>
        <w:t>2.1.7</w:t>
      </w:r>
      <w:r>
        <w:rPr>
          <w:b/>
          <w:color w:val="333333"/>
        </w:rPr>
        <w:t xml:space="preserve"> </w:t>
      </w:r>
      <w:r>
        <w:rPr>
          <w:color w:val="333333"/>
        </w:rPr>
        <w:t>轴对称型烟羽流</w:t>
      </w:r>
      <w:r>
        <w:rPr>
          <w:color w:val="333333"/>
        </w:rPr>
        <w:t xml:space="preserve"> axisymmetric plume </w:t>
      </w:r>
    </w:p>
    <w:p w14:paraId="638FEE56" w14:textId="77777777" w:rsidR="00A71EEF" w:rsidRDefault="00A71EEF">
      <w:pPr>
        <w:pStyle w:val="a3"/>
        <w:spacing w:before="2"/>
        <w:rPr>
          <w:sz w:val="18"/>
        </w:rPr>
      </w:pPr>
    </w:p>
    <w:p w14:paraId="23B7551A" w14:textId="77777777" w:rsidR="00A71EEF" w:rsidRDefault="0081115D">
      <w:pPr>
        <w:pStyle w:val="a3"/>
        <w:spacing w:line="446" w:lineRule="auto"/>
        <w:ind w:left="840" w:right="3397" w:hanging="3"/>
      </w:pPr>
      <w:r>
        <w:rPr>
          <w:color w:val="333333"/>
        </w:rPr>
        <w:t>上升过程不与四周墙壁或障碍物接触，并且不受气流干扰的烟羽流。</w:t>
      </w:r>
      <w:r>
        <w:rPr>
          <w:b/>
        </w:rPr>
        <w:t xml:space="preserve">2.1.8 </w:t>
      </w:r>
      <w:r>
        <w:rPr>
          <w:color w:val="333333"/>
        </w:rPr>
        <w:t>阳台溢出型烟羽流</w:t>
      </w:r>
      <w:r>
        <w:rPr>
          <w:color w:val="333333"/>
        </w:rPr>
        <w:t xml:space="preserve"> balcony spill plume </w:t>
      </w:r>
    </w:p>
    <w:p w14:paraId="4B488396" w14:textId="77777777" w:rsidR="00A71EEF" w:rsidRDefault="0081115D">
      <w:pPr>
        <w:pStyle w:val="a3"/>
        <w:spacing w:line="446" w:lineRule="auto"/>
        <w:ind w:left="418" w:right="1609" w:firstLine="419"/>
      </w:pPr>
      <w:r>
        <w:rPr>
          <w:color w:val="333333"/>
        </w:rPr>
        <w:t>从着火房间的门（窗）梁处溢出，并沿着火房间外的阳台或水平突出物流动，至阳台或水平突出物的边缘向上溢出至相邻高大空间的烟羽流。</w:t>
      </w:r>
      <w:r>
        <w:rPr>
          <w:color w:val="333333"/>
        </w:rPr>
        <w:t xml:space="preserve"> </w:t>
      </w:r>
    </w:p>
    <w:p w14:paraId="37ECF3B9" w14:textId="77777777" w:rsidR="00A71EEF" w:rsidRDefault="0081115D">
      <w:pPr>
        <w:ind w:left="840"/>
        <w:rPr>
          <w:sz w:val="21"/>
        </w:rPr>
      </w:pPr>
      <w:r>
        <w:rPr>
          <w:b/>
          <w:sz w:val="21"/>
        </w:rPr>
        <w:t xml:space="preserve">2.1.9 </w:t>
      </w:r>
      <w:r>
        <w:rPr>
          <w:color w:val="333333"/>
          <w:sz w:val="21"/>
        </w:rPr>
        <w:t>窗口型烟羽流</w:t>
      </w:r>
      <w:r>
        <w:rPr>
          <w:color w:val="333333"/>
          <w:sz w:val="21"/>
        </w:rPr>
        <w:t xml:space="preserve"> window plume </w:t>
      </w:r>
    </w:p>
    <w:p w14:paraId="184EDF12" w14:textId="77777777" w:rsidR="00A71EEF" w:rsidRDefault="00A71EEF">
      <w:pPr>
        <w:pStyle w:val="a3"/>
        <w:spacing w:before="10"/>
        <w:rPr>
          <w:sz w:val="17"/>
        </w:rPr>
      </w:pPr>
    </w:p>
    <w:p w14:paraId="24D0675E" w14:textId="77777777" w:rsidR="00A71EEF" w:rsidRDefault="0081115D">
      <w:pPr>
        <w:pStyle w:val="a3"/>
        <w:spacing w:line="446" w:lineRule="auto"/>
        <w:ind w:left="840" w:right="1925" w:hanging="3"/>
      </w:pPr>
      <w:r>
        <w:rPr>
          <w:color w:val="333333"/>
          <w:spacing w:val="-3"/>
        </w:rPr>
        <w:t>从发生通风受限火灾的房间或隔间的门、窗等开口处溢出至相邻高大空间的烟羽流。</w:t>
      </w:r>
      <w:r>
        <w:rPr>
          <w:b/>
          <w:color w:val="333333"/>
        </w:rPr>
        <w:t xml:space="preserve">2.1.10 </w:t>
      </w:r>
      <w:r>
        <w:rPr>
          <w:color w:val="333333"/>
          <w:spacing w:val="-13"/>
        </w:rPr>
        <w:t>挡烟垂壁</w:t>
      </w:r>
      <w:r>
        <w:rPr>
          <w:color w:val="333333"/>
          <w:spacing w:val="-13"/>
        </w:rPr>
        <w:t xml:space="preserve"> </w:t>
      </w:r>
      <w:r>
        <w:rPr>
          <w:color w:val="333333"/>
        </w:rPr>
        <w:t>draft</w:t>
      </w:r>
      <w:r>
        <w:rPr>
          <w:color w:val="333333"/>
          <w:spacing w:val="104"/>
        </w:rPr>
        <w:t xml:space="preserve"> </w:t>
      </w:r>
      <w:r>
        <w:rPr>
          <w:color w:val="333333"/>
        </w:rPr>
        <w:t xml:space="preserve">curtain </w:t>
      </w:r>
    </w:p>
    <w:p w14:paraId="6A1A52F8" w14:textId="77777777" w:rsidR="00A71EEF" w:rsidRDefault="0081115D">
      <w:pPr>
        <w:pStyle w:val="a3"/>
        <w:spacing w:before="1" w:line="446" w:lineRule="auto"/>
        <w:ind w:left="418" w:right="1609" w:firstLine="419"/>
      </w:pPr>
      <w:r>
        <w:rPr>
          <w:color w:val="333333"/>
        </w:rPr>
        <w:t>用不燃材料制成，垂直安装在建筑顶棚、梁或吊顶下，能在火灾时形成一定的蓄烟空间的挡烟分隔设施。</w:t>
      </w:r>
      <w:r>
        <w:rPr>
          <w:color w:val="333333"/>
        </w:rPr>
        <w:t xml:space="preserve"> </w:t>
      </w:r>
    </w:p>
    <w:p w14:paraId="0EEDDB6C" w14:textId="77777777" w:rsidR="00A71EEF" w:rsidRDefault="0081115D">
      <w:pPr>
        <w:pStyle w:val="a4"/>
        <w:numPr>
          <w:ilvl w:val="2"/>
          <w:numId w:val="120"/>
        </w:numPr>
        <w:tabs>
          <w:tab w:val="left" w:pos="1530"/>
        </w:tabs>
        <w:ind w:hanging="690"/>
        <w:rPr>
          <w:sz w:val="21"/>
        </w:rPr>
      </w:pPr>
      <w:r>
        <w:rPr>
          <w:color w:val="333333"/>
          <w:spacing w:val="-15"/>
          <w:sz w:val="21"/>
        </w:rPr>
        <w:t>储烟仓</w:t>
      </w:r>
      <w:r>
        <w:rPr>
          <w:color w:val="333333"/>
          <w:spacing w:val="-15"/>
          <w:sz w:val="21"/>
        </w:rPr>
        <w:t xml:space="preserve"> </w:t>
      </w:r>
      <w:r>
        <w:rPr>
          <w:color w:val="333333"/>
          <w:sz w:val="21"/>
        </w:rPr>
        <w:t>smoke</w:t>
      </w:r>
      <w:r>
        <w:rPr>
          <w:color w:val="333333"/>
          <w:spacing w:val="1"/>
          <w:sz w:val="21"/>
        </w:rPr>
        <w:t xml:space="preserve"> </w:t>
      </w:r>
      <w:r>
        <w:rPr>
          <w:color w:val="333333"/>
          <w:sz w:val="21"/>
        </w:rPr>
        <w:t xml:space="preserve">reservoir </w:t>
      </w:r>
    </w:p>
    <w:p w14:paraId="56078437" w14:textId="77777777" w:rsidR="00A71EEF" w:rsidRDefault="00A71EEF">
      <w:pPr>
        <w:pStyle w:val="a3"/>
        <w:spacing w:before="12"/>
        <w:rPr>
          <w:sz w:val="17"/>
        </w:rPr>
      </w:pPr>
    </w:p>
    <w:p w14:paraId="796824D8" w14:textId="77777777" w:rsidR="00A71EEF" w:rsidRDefault="0081115D">
      <w:pPr>
        <w:pStyle w:val="a3"/>
        <w:spacing w:line="446" w:lineRule="auto"/>
        <w:ind w:left="418" w:right="1609" w:firstLine="419"/>
      </w:pPr>
      <w:r>
        <w:rPr>
          <w:color w:val="333333"/>
        </w:rPr>
        <w:t>位于建筑空间顶部，由挡烟垂壁、梁或隔墙等形成的用于蓄积火灾烟气的空间。储烟仓高度即设计烟层厚度。</w:t>
      </w:r>
      <w:r>
        <w:rPr>
          <w:color w:val="333333"/>
        </w:rPr>
        <w:t xml:space="preserve"> </w:t>
      </w:r>
    </w:p>
    <w:p w14:paraId="2B5A5DC5" w14:textId="77777777" w:rsidR="00A71EEF" w:rsidRDefault="0081115D">
      <w:pPr>
        <w:pStyle w:val="a4"/>
        <w:numPr>
          <w:ilvl w:val="2"/>
          <w:numId w:val="120"/>
        </w:numPr>
        <w:tabs>
          <w:tab w:val="left" w:pos="1530"/>
        </w:tabs>
        <w:ind w:hanging="690"/>
        <w:rPr>
          <w:sz w:val="21"/>
        </w:rPr>
      </w:pPr>
      <w:r>
        <w:rPr>
          <w:color w:val="333333"/>
          <w:spacing w:val="-13"/>
          <w:sz w:val="21"/>
        </w:rPr>
        <w:t>清晰高度</w:t>
      </w:r>
      <w:r>
        <w:rPr>
          <w:color w:val="333333"/>
          <w:spacing w:val="-13"/>
          <w:sz w:val="21"/>
        </w:rPr>
        <w:t xml:space="preserve"> </w:t>
      </w:r>
      <w:r>
        <w:rPr>
          <w:color w:val="333333"/>
          <w:sz w:val="21"/>
        </w:rPr>
        <w:t>clear</w:t>
      </w:r>
      <w:r>
        <w:rPr>
          <w:color w:val="333333"/>
          <w:spacing w:val="103"/>
          <w:sz w:val="21"/>
        </w:rPr>
        <w:t xml:space="preserve"> </w:t>
      </w:r>
      <w:r>
        <w:rPr>
          <w:color w:val="333333"/>
          <w:sz w:val="21"/>
        </w:rPr>
        <w:t xml:space="preserve">height </w:t>
      </w:r>
    </w:p>
    <w:p w14:paraId="44CC063D" w14:textId="77777777" w:rsidR="00A71EEF" w:rsidRDefault="00A71EEF">
      <w:pPr>
        <w:pStyle w:val="a3"/>
        <w:rPr>
          <w:sz w:val="18"/>
        </w:rPr>
      </w:pPr>
    </w:p>
    <w:p w14:paraId="62182A6D" w14:textId="77777777" w:rsidR="00A71EEF" w:rsidRDefault="0081115D">
      <w:pPr>
        <w:pStyle w:val="a3"/>
        <w:ind w:left="838"/>
      </w:pPr>
      <w:r>
        <w:rPr>
          <w:color w:val="333333"/>
        </w:rPr>
        <w:t>烟层下缘至室内地面的高度。</w:t>
      </w:r>
      <w:r>
        <w:rPr>
          <w:color w:val="333333"/>
        </w:rPr>
        <w:t xml:space="preserve"> </w:t>
      </w:r>
    </w:p>
    <w:p w14:paraId="54207063" w14:textId="77777777" w:rsidR="00A71EEF" w:rsidRDefault="00A71EEF">
      <w:pPr>
        <w:pStyle w:val="a3"/>
        <w:spacing w:before="12"/>
        <w:rPr>
          <w:sz w:val="17"/>
        </w:rPr>
      </w:pPr>
    </w:p>
    <w:p w14:paraId="7B84692B" w14:textId="77777777" w:rsidR="00A71EEF" w:rsidRDefault="0081115D">
      <w:pPr>
        <w:pStyle w:val="a4"/>
        <w:numPr>
          <w:ilvl w:val="2"/>
          <w:numId w:val="120"/>
        </w:numPr>
        <w:tabs>
          <w:tab w:val="left" w:pos="1530"/>
        </w:tabs>
        <w:ind w:hanging="690"/>
        <w:rPr>
          <w:sz w:val="21"/>
        </w:rPr>
      </w:pPr>
      <w:r>
        <w:rPr>
          <w:color w:val="333333"/>
          <w:spacing w:val="-10"/>
          <w:sz w:val="21"/>
        </w:rPr>
        <w:t>烟羽流质量流量</w:t>
      </w:r>
      <w:r>
        <w:rPr>
          <w:color w:val="333333"/>
          <w:spacing w:val="-10"/>
          <w:sz w:val="21"/>
        </w:rPr>
        <w:t xml:space="preserve"> </w:t>
      </w:r>
      <w:r>
        <w:rPr>
          <w:color w:val="333333"/>
          <w:sz w:val="21"/>
        </w:rPr>
        <w:t>mass</w:t>
      </w:r>
      <w:r>
        <w:rPr>
          <w:color w:val="333333"/>
          <w:spacing w:val="1"/>
          <w:sz w:val="21"/>
        </w:rPr>
        <w:t xml:space="preserve"> </w:t>
      </w:r>
      <w:r>
        <w:rPr>
          <w:color w:val="333333"/>
          <w:sz w:val="21"/>
        </w:rPr>
        <w:t>flow</w:t>
      </w:r>
      <w:r>
        <w:rPr>
          <w:color w:val="333333"/>
          <w:spacing w:val="103"/>
          <w:sz w:val="21"/>
        </w:rPr>
        <w:t xml:space="preserve"> </w:t>
      </w:r>
      <w:r>
        <w:rPr>
          <w:color w:val="333333"/>
          <w:sz w:val="21"/>
        </w:rPr>
        <w:t>rate</w:t>
      </w:r>
      <w:r>
        <w:rPr>
          <w:color w:val="333333"/>
          <w:spacing w:val="1"/>
          <w:sz w:val="21"/>
        </w:rPr>
        <w:t xml:space="preserve"> </w:t>
      </w:r>
      <w:r>
        <w:rPr>
          <w:color w:val="333333"/>
          <w:sz w:val="21"/>
        </w:rPr>
        <w:t>of</w:t>
      </w:r>
      <w:r>
        <w:rPr>
          <w:color w:val="333333"/>
          <w:spacing w:val="1"/>
          <w:sz w:val="21"/>
        </w:rPr>
        <w:t xml:space="preserve"> </w:t>
      </w:r>
      <w:r>
        <w:rPr>
          <w:color w:val="333333"/>
          <w:sz w:val="21"/>
        </w:rPr>
        <w:t xml:space="preserve">plume </w:t>
      </w:r>
    </w:p>
    <w:p w14:paraId="21C38358" w14:textId="77777777" w:rsidR="00A71EEF" w:rsidRDefault="00A71EEF">
      <w:pPr>
        <w:pStyle w:val="a3"/>
        <w:spacing w:before="2"/>
        <w:rPr>
          <w:sz w:val="18"/>
        </w:rPr>
      </w:pPr>
    </w:p>
    <w:p w14:paraId="64929006" w14:textId="77777777" w:rsidR="00A71EEF" w:rsidRDefault="0081115D">
      <w:pPr>
        <w:pStyle w:val="a3"/>
        <w:ind w:left="838"/>
      </w:pPr>
      <w:r>
        <w:rPr>
          <w:color w:val="333333"/>
        </w:rPr>
        <w:t>单位时间内烟羽流通过某一高度的水平断面的质量，单位为</w:t>
      </w:r>
      <w:r>
        <w:rPr>
          <w:color w:val="333333"/>
        </w:rPr>
        <w:t xml:space="preserve"> kg/s</w:t>
      </w:r>
      <w:r>
        <w:rPr>
          <w:color w:val="333333"/>
        </w:rPr>
        <w:t>。</w:t>
      </w:r>
      <w:r>
        <w:rPr>
          <w:color w:val="333333"/>
        </w:rPr>
        <w:t xml:space="preserve"> </w:t>
      </w:r>
    </w:p>
    <w:p w14:paraId="65AC13D7" w14:textId="77777777" w:rsidR="00A71EEF" w:rsidRDefault="00A71EEF">
      <w:pPr>
        <w:pStyle w:val="a3"/>
        <w:spacing w:before="12"/>
        <w:rPr>
          <w:sz w:val="17"/>
        </w:rPr>
      </w:pPr>
    </w:p>
    <w:p w14:paraId="1581FAE5" w14:textId="77777777" w:rsidR="00A71EEF" w:rsidRDefault="0081115D">
      <w:pPr>
        <w:pStyle w:val="a4"/>
        <w:numPr>
          <w:ilvl w:val="2"/>
          <w:numId w:val="120"/>
        </w:numPr>
        <w:tabs>
          <w:tab w:val="left" w:pos="1530"/>
        </w:tabs>
        <w:ind w:hanging="690"/>
        <w:rPr>
          <w:sz w:val="21"/>
        </w:rPr>
      </w:pPr>
      <w:r>
        <w:rPr>
          <w:color w:val="333333"/>
          <w:spacing w:val="-12"/>
          <w:sz w:val="21"/>
        </w:rPr>
        <w:t>排烟防火阀</w:t>
      </w:r>
      <w:r>
        <w:rPr>
          <w:color w:val="333333"/>
          <w:spacing w:val="-12"/>
          <w:sz w:val="21"/>
        </w:rPr>
        <w:t xml:space="preserve"> </w:t>
      </w:r>
      <w:r>
        <w:rPr>
          <w:color w:val="333333"/>
          <w:sz w:val="21"/>
        </w:rPr>
        <w:t>combination</w:t>
      </w:r>
      <w:r>
        <w:rPr>
          <w:color w:val="333333"/>
          <w:spacing w:val="1"/>
          <w:sz w:val="21"/>
        </w:rPr>
        <w:t xml:space="preserve"> </w:t>
      </w:r>
      <w:r>
        <w:rPr>
          <w:color w:val="333333"/>
          <w:sz w:val="21"/>
        </w:rPr>
        <w:t>fire and</w:t>
      </w:r>
      <w:r>
        <w:rPr>
          <w:color w:val="333333"/>
          <w:spacing w:val="103"/>
          <w:sz w:val="21"/>
        </w:rPr>
        <w:t xml:space="preserve"> </w:t>
      </w:r>
      <w:r>
        <w:rPr>
          <w:color w:val="333333"/>
          <w:sz w:val="21"/>
        </w:rPr>
        <w:t xml:space="preserve">smoke damper </w:t>
      </w:r>
    </w:p>
    <w:p w14:paraId="3682EA39" w14:textId="77777777" w:rsidR="00A71EEF" w:rsidRDefault="00A71EEF">
      <w:pPr>
        <w:pStyle w:val="a3"/>
        <w:rPr>
          <w:sz w:val="18"/>
        </w:rPr>
      </w:pPr>
    </w:p>
    <w:p w14:paraId="57606E0A" w14:textId="77777777" w:rsidR="00A71EEF" w:rsidRDefault="0081115D">
      <w:pPr>
        <w:pStyle w:val="a3"/>
        <w:spacing w:line="446" w:lineRule="auto"/>
        <w:ind w:left="418" w:right="1450" w:firstLine="419"/>
      </w:pPr>
      <w:r>
        <w:rPr>
          <w:color w:val="333333"/>
          <w:spacing w:val="-4"/>
        </w:rPr>
        <w:t>安装在机械排烟系统的管道上，平时呈开启状态，火灾时当排烟管道内烟气温度达到</w:t>
      </w:r>
      <w:r>
        <w:rPr>
          <w:color w:val="333333"/>
          <w:spacing w:val="-4"/>
        </w:rPr>
        <w:t xml:space="preserve"> </w:t>
      </w:r>
      <w:r>
        <w:rPr>
          <w:color w:val="333333"/>
        </w:rPr>
        <w:t xml:space="preserve">280℃ </w:t>
      </w:r>
      <w:r>
        <w:rPr>
          <w:color w:val="333333"/>
          <w:spacing w:val="-3"/>
        </w:rPr>
        <w:t>时关闭，并在一定时间内能满足漏烟量和耐火完整性要求，起隔烟阻火作用的阀门。一般由阀</w:t>
      </w:r>
      <w:r>
        <w:rPr>
          <w:color w:val="333333"/>
          <w:spacing w:val="-3"/>
        </w:rPr>
        <w:t xml:space="preserve"> </w:t>
      </w:r>
      <w:r>
        <w:rPr>
          <w:color w:val="333333"/>
          <w:spacing w:val="-3"/>
        </w:rPr>
        <w:t>体、叶片、执行机构和温感器等部件组成。</w:t>
      </w:r>
      <w:r>
        <w:rPr>
          <w:color w:val="333333"/>
        </w:rPr>
        <w:t xml:space="preserve"> </w:t>
      </w:r>
    </w:p>
    <w:p w14:paraId="296A4D9A" w14:textId="77777777" w:rsidR="00A71EEF" w:rsidRDefault="0081115D">
      <w:pPr>
        <w:pStyle w:val="a4"/>
        <w:numPr>
          <w:ilvl w:val="2"/>
          <w:numId w:val="120"/>
        </w:numPr>
        <w:tabs>
          <w:tab w:val="left" w:pos="1530"/>
        </w:tabs>
        <w:spacing w:line="268" w:lineRule="exact"/>
        <w:ind w:hanging="690"/>
        <w:rPr>
          <w:sz w:val="21"/>
        </w:rPr>
      </w:pPr>
      <w:r>
        <w:rPr>
          <w:color w:val="333333"/>
          <w:spacing w:val="-15"/>
          <w:sz w:val="21"/>
        </w:rPr>
        <w:t>排烟阀</w:t>
      </w:r>
      <w:r>
        <w:rPr>
          <w:color w:val="333333"/>
          <w:spacing w:val="-15"/>
          <w:sz w:val="21"/>
        </w:rPr>
        <w:t xml:space="preserve"> </w:t>
      </w:r>
      <w:r>
        <w:rPr>
          <w:color w:val="333333"/>
          <w:sz w:val="21"/>
        </w:rPr>
        <w:t>smoke</w:t>
      </w:r>
      <w:r>
        <w:rPr>
          <w:color w:val="333333"/>
          <w:spacing w:val="1"/>
          <w:sz w:val="21"/>
        </w:rPr>
        <w:t xml:space="preserve"> </w:t>
      </w:r>
      <w:r>
        <w:rPr>
          <w:color w:val="333333"/>
          <w:sz w:val="21"/>
        </w:rPr>
        <w:t xml:space="preserve">damper </w:t>
      </w:r>
    </w:p>
    <w:p w14:paraId="6E2FC9DC" w14:textId="77777777" w:rsidR="00A71EEF" w:rsidRDefault="00A71EEF">
      <w:pPr>
        <w:pStyle w:val="a3"/>
        <w:spacing w:before="2"/>
        <w:rPr>
          <w:sz w:val="18"/>
        </w:rPr>
      </w:pPr>
    </w:p>
    <w:p w14:paraId="3A5FF09D" w14:textId="77777777" w:rsidR="00A71EEF" w:rsidRDefault="0081115D">
      <w:pPr>
        <w:pStyle w:val="a3"/>
        <w:ind w:left="838"/>
      </w:pPr>
      <w:r>
        <w:rPr>
          <w:color w:val="333333"/>
        </w:rPr>
        <w:t>安装在机械排烟系统各支管端部（烟气吸入口）处，平时呈关闭状态并满足漏风量要求，</w:t>
      </w:r>
    </w:p>
    <w:p w14:paraId="0D9E7BE6" w14:textId="77777777" w:rsidR="00A71EEF" w:rsidRDefault="00A71EEF">
      <w:pPr>
        <w:sectPr w:rsidR="00A71EEF">
          <w:pgSz w:w="11910" w:h="16850"/>
          <w:pgMar w:top="1220" w:right="0" w:bottom="1420" w:left="1260" w:header="0" w:footer="1239" w:gutter="0"/>
          <w:cols w:space="720"/>
        </w:sectPr>
      </w:pPr>
    </w:p>
    <w:p w14:paraId="1403D743" w14:textId="77777777" w:rsidR="00A71EEF" w:rsidRDefault="0081115D">
      <w:pPr>
        <w:pStyle w:val="a3"/>
        <w:spacing w:before="47"/>
        <w:ind w:left="418"/>
      </w:pPr>
      <w:r>
        <w:rPr>
          <w:color w:val="333333"/>
        </w:rPr>
        <w:t>火灾时可手动和电动启闭，起排烟作用的阀门。一般由阀体、叶片、执行机构等部件组成。</w:t>
      </w:r>
      <w:r>
        <w:rPr>
          <w:color w:val="333333"/>
        </w:rPr>
        <w:t xml:space="preserve"> </w:t>
      </w:r>
    </w:p>
    <w:p w14:paraId="7265DB5C" w14:textId="77777777" w:rsidR="00A71EEF" w:rsidRDefault="00A71EEF">
      <w:pPr>
        <w:pStyle w:val="a3"/>
        <w:rPr>
          <w:sz w:val="18"/>
        </w:rPr>
      </w:pPr>
    </w:p>
    <w:p w14:paraId="489D5733" w14:textId="77777777" w:rsidR="00A71EEF" w:rsidRDefault="0081115D">
      <w:pPr>
        <w:pStyle w:val="a4"/>
        <w:numPr>
          <w:ilvl w:val="2"/>
          <w:numId w:val="120"/>
        </w:numPr>
        <w:tabs>
          <w:tab w:val="left" w:pos="1530"/>
        </w:tabs>
        <w:ind w:hanging="690"/>
        <w:rPr>
          <w:sz w:val="21"/>
        </w:rPr>
      </w:pPr>
      <w:r>
        <w:rPr>
          <w:color w:val="333333"/>
          <w:spacing w:val="-15"/>
          <w:sz w:val="21"/>
        </w:rPr>
        <w:t>排烟口</w:t>
      </w:r>
      <w:r>
        <w:rPr>
          <w:color w:val="333333"/>
          <w:spacing w:val="-15"/>
          <w:sz w:val="21"/>
        </w:rPr>
        <w:t xml:space="preserve"> </w:t>
      </w:r>
      <w:r>
        <w:rPr>
          <w:color w:val="333333"/>
          <w:sz w:val="21"/>
        </w:rPr>
        <w:t>smoke</w:t>
      </w:r>
      <w:r>
        <w:rPr>
          <w:color w:val="333333"/>
          <w:spacing w:val="1"/>
          <w:sz w:val="21"/>
        </w:rPr>
        <w:t xml:space="preserve"> </w:t>
      </w:r>
      <w:r>
        <w:rPr>
          <w:color w:val="333333"/>
          <w:sz w:val="21"/>
        </w:rPr>
        <w:t>exhaust</w:t>
      </w:r>
      <w:r>
        <w:rPr>
          <w:color w:val="333333"/>
          <w:spacing w:val="104"/>
          <w:sz w:val="21"/>
        </w:rPr>
        <w:t xml:space="preserve"> </w:t>
      </w:r>
      <w:r>
        <w:rPr>
          <w:color w:val="333333"/>
          <w:sz w:val="21"/>
        </w:rPr>
        <w:t xml:space="preserve">inlet </w:t>
      </w:r>
    </w:p>
    <w:p w14:paraId="57272641" w14:textId="77777777" w:rsidR="00A71EEF" w:rsidRDefault="00A71EEF">
      <w:pPr>
        <w:pStyle w:val="a3"/>
        <w:rPr>
          <w:sz w:val="18"/>
        </w:rPr>
      </w:pPr>
    </w:p>
    <w:p w14:paraId="13F36694" w14:textId="77777777" w:rsidR="00A71EEF" w:rsidRDefault="0081115D">
      <w:pPr>
        <w:pStyle w:val="a3"/>
        <w:ind w:left="838"/>
      </w:pPr>
      <w:r>
        <w:rPr>
          <w:color w:val="333333"/>
        </w:rPr>
        <w:t>机械排烟系统中烟气的入口。</w:t>
      </w:r>
      <w:r>
        <w:rPr>
          <w:color w:val="333333"/>
        </w:rPr>
        <w:t xml:space="preserve"> </w:t>
      </w:r>
    </w:p>
    <w:p w14:paraId="7BB302DF" w14:textId="77777777" w:rsidR="00A71EEF" w:rsidRDefault="00A71EEF">
      <w:pPr>
        <w:pStyle w:val="a3"/>
        <w:spacing w:before="1"/>
        <w:rPr>
          <w:sz w:val="18"/>
        </w:rPr>
      </w:pPr>
    </w:p>
    <w:p w14:paraId="1D820D50" w14:textId="77777777" w:rsidR="00A71EEF" w:rsidRDefault="0081115D">
      <w:pPr>
        <w:pStyle w:val="a4"/>
        <w:numPr>
          <w:ilvl w:val="2"/>
          <w:numId w:val="120"/>
        </w:numPr>
        <w:tabs>
          <w:tab w:val="left" w:pos="1530"/>
        </w:tabs>
        <w:spacing w:before="1"/>
        <w:ind w:hanging="690"/>
        <w:rPr>
          <w:sz w:val="21"/>
        </w:rPr>
      </w:pPr>
      <w:r>
        <w:rPr>
          <w:color w:val="333333"/>
          <w:spacing w:val="-15"/>
          <w:sz w:val="21"/>
        </w:rPr>
        <w:t>固定窗</w:t>
      </w:r>
      <w:r>
        <w:rPr>
          <w:color w:val="333333"/>
          <w:spacing w:val="-15"/>
          <w:sz w:val="21"/>
        </w:rPr>
        <w:t xml:space="preserve"> </w:t>
      </w:r>
      <w:r>
        <w:rPr>
          <w:color w:val="333333"/>
          <w:sz w:val="21"/>
        </w:rPr>
        <w:t>fixed</w:t>
      </w:r>
      <w:r>
        <w:rPr>
          <w:color w:val="333333"/>
          <w:spacing w:val="1"/>
          <w:sz w:val="21"/>
        </w:rPr>
        <w:t xml:space="preserve"> </w:t>
      </w:r>
      <w:r>
        <w:rPr>
          <w:color w:val="333333"/>
          <w:sz w:val="21"/>
        </w:rPr>
        <w:t xml:space="preserve">window for fire forcible entry </w:t>
      </w:r>
    </w:p>
    <w:p w14:paraId="214589E9" w14:textId="77777777" w:rsidR="00A71EEF" w:rsidRDefault="00A71EEF">
      <w:pPr>
        <w:pStyle w:val="a3"/>
        <w:spacing w:before="12"/>
        <w:rPr>
          <w:sz w:val="17"/>
        </w:rPr>
      </w:pPr>
    </w:p>
    <w:p w14:paraId="03C86CF1" w14:textId="77777777" w:rsidR="00A71EEF" w:rsidRDefault="0081115D">
      <w:pPr>
        <w:pStyle w:val="a3"/>
        <w:spacing w:line="446" w:lineRule="auto"/>
        <w:ind w:left="418" w:right="1609" w:firstLine="419"/>
      </w:pPr>
      <w:r>
        <w:rPr>
          <w:color w:val="333333"/>
        </w:rPr>
        <w:t>设置在设有机械防烟排烟系统的场所中，窗扇固定、平时不可开启，仅在火灾时便于人工破拆以排出火场中的烟和热的外窗。</w:t>
      </w:r>
      <w:r>
        <w:rPr>
          <w:color w:val="333333"/>
        </w:rPr>
        <w:t xml:space="preserve"> </w:t>
      </w:r>
    </w:p>
    <w:p w14:paraId="3B07FCFE" w14:textId="77777777" w:rsidR="00A71EEF" w:rsidRDefault="0081115D">
      <w:pPr>
        <w:pStyle w:val="a4"/>
        <w:numPr>
          <w:ilvl w:val="2"/>
          <w:numId w:val="120"/>
        </w:numPr>
        <w:tabs>
          <w:tab w:val="left" w:pos="1530"/>
        </w:tabs>
        <w:ind w:hanging="690"/>
        <w:rPr>
          <w:sz w:val="21"/>
        </w:rPr>
      </w:pPr>
      <w:r>
        <w:rPr>
          <w:color w:val="333333"/>
          <w:spacing w:val="-3"/>
          <w:sz w:val="21"/>
        </w:rPr>
        <w:t>可熔性采光带</w:t>
      </w:r>
      <w:r>
        <w:rPr>
          <w:color w:val="333333"/>
          <w:sz w:val="21"/>
        </w:rPr>
        <w:t>（</w:t>
      </w:r>
      <w:r>
        <w:rPr>
          <w:color w:val="333333"/>
          <w:spacing w:val="-3"/>
          <w:sz w:val="21"/>
        </w:rPr>
        <w:t>窗</w:t>
      </w:r>
      <w:r>
        <w:rPr>
          <w:color w:val="333333"/>
          <w:sz w:val="21"/>
        </w:rPr>
        <w:t>）</w:t>
      </w:r>
      <w:r>
        <w:rPr>
          <w:color w:val="333333"/>
          <w:sz w:val="21"/>
        </w:rPr>
        <w:t>fusible daylighting</w:t>
      </w:r>
      <w:r>
        <w:rPr>
          <w:color w:val="333333"/>
          <w:spacing w:val="1"/>
          <w:sz w:val="21"/>
        </w:rPr>
        <w:t xml:space="preserve"> </w:t>
      </w:r>
      <w:r>
        <w:rPr>
          <w:color w:val="333333"/>
          <w:sz w:val="21"/>
        </w:rPr>
        <w:t xml:space="preserve">band </w:t>
      </w:r>
    </w:p>
    <w:p w14:paraId="3C8172E4" w14:textId="77777777" w:rsidR="00A71EEF" w:rsidRDefault="0081115D">
      <w:pPr>
        <w:pStyle w:val="a3"/>
        <w:spacing w:before="163" w:line="350" w:lineRule="auto"/>
        <w:ind w:left="418" w:right="1498" w:firstLine="419"/>
      </w:pPr>
      <w:r>
        <w:rPr>
          <w:color w:val="333333"/>
        </w:rPr>
        <w:t>采用在</w:t>
      </w:r>
      <w:r>
        <w:rPr>
          <w:color w:val="333333"/>
        </w:rPr>
        <w:t xml:space="preserve"> 120</w:t>
      </w:r>
      <w:r>
        <w:rPr>
          <w:rFonts w:ascii="微软雅黑" w:eastAsia="微软雅黑" w:hAnsi="微软雅黑" w:hint="eastAsia"/>
          <w:color w:val="333333"/>
        </w:rPr>
        <w:t>〜</w:t>
      </w:r>
      <w:r>
        <w:rPr>
          <w:color w:val="333333"/>
        </w:rPr>
        <w:t>150℃</w:t>
      </w:r>
      <w:r>
        <w:rPr>
          <w:color w:val="333333"/>
        </w:rPr>
        <w:t>能自行熔化且不产生熔滴的材料制作，设置在建筑空间上部，用于排出火场中的烟和热的设施。</w:t>
      </w:r>
      <w:r>
        <w:rPr>
          <w:color w:val="333333"/>
        </w:rPr>
        <w:t xml:space="preserve"> </w:t>
      </w:r>
    </w:p>
    <w:p w14:paraId="4D216DC4" w14:textId="77777777" w:rsidR="00A71EEF" w:rsidRDefault="0081115D">
      <w:pPr>
        <w:pStyle w:val="a4"/>
        <w:numPr>
          <w:ilvl w:val="2"/>
          <w:numId w:val="120"/>
        </w:numPr>
        <w:tabs>
          <w:tab w:val="left" w:pos="1530"/>
        </w:tabs>
        <w:spacing w:before="110"/>
        <w:ind w:hanging="690"/>
        <w:rPr>
          <w:sz w:val="21"/>
        </w:rPr>
      </w:pPr>
      <w:r>
        <w:rPr>
          <w:color w:val="333333"/>
          <w:spacing w:val="-14"/>
          <w:sz w:val="21"/>
        </w:rPr>
        <w:t>独立前室</w:t>
      </w:r>
      <w:r>
        <w:rPr>
          <w:color w:val="333333"/>
          <w:spacing w:val="-14"/>
          <w:sz w:val="21"/>
        </w:rPr>
        <w:t xml:space="preserve"> </w:t>
      </w:r>
      <w:r>
        <w:rPr>
          <w:color w:val="333333"/>
          <w:sz w:val="21"/>
        </w:rPr>
        <w:t>independent</w:t>
      </w:r>
      <w:r>
        <w:rPr>
          <w:color w:val="333333"/>
          <w:spacing w:val="1"/>
          <w:sz w:val="21"/>
        </w:rPr>
        <w:t xml:space="preserve"> </w:t>
      </w:r>
      <w:r>
        <w:rPr>
          <w:color w:val="333333"/>
          <w:sz w:val="21"/>
        </w:rPr>
        <w:t xml:space="preserve">anteroom </w:t>
      </w:r>
    </w:p>
    <w:p w14:paraId="167CE959" w14:textId="77777777" w:rsidR="00A71EEF" w:rsidRDefault="00A71EEF">
      <w:pPr>
        <w:pStyle w:val="a3"/>
        <w:rPr>
          <w:sz w:val="18"/>
        </w:rPr>
      </w:pPr>
    </w:p>
    <w:p w14:paraId="5110B972" w14:textId="77777777" w:rsidR="00A71EEF" w:rsidRDefault="0081115D">
      <w:pPr>
        <w:pStyle w:val="a3"/>
        <w:ind w:left="838"/>
      </w:pPr>
      <w:r>
        <w:rPr>
          <w:color w:val="333333"/>
        </w:rPr>
        <w:t>只与一部疏散楼梯相连的前室。</w:t>
      </w:r>
      <w:r>
        <w:rPr>
          <w:color w:val="333333"/>
        </w:rPr>
        <w:t xml:space="preserve"> </w:t>
      </w:r>
    </w:p>
    <w:p w14:paraId="09A73A83" w14:textId="77777777" w:rsidR="00A71EEF" w:rsidRDefault="00A71EEF">
      <w:pPr>
        <w:pStyle w:val="a3"/>
        <w:spacing w:before="12"/>
        <w:rPr>
          <w:sz w:val="17"/>
        </w:rPr>
      </w:pPr>
    </w:p>
    <w:p w14:paraId="6F7C5CDF" w14:textId="77777777" w:rsidR="00A71EEF" w:rsidRDefault="0081115D">
      <w:pPr>
        <w:pStyle w:val="a4"/>
        <w:numPr>
          <w:ilvl w:val="2"/>
          <w:numId w:val="120"/>
        </w:numPr>
        <w:tabs>
          <w:tab w:val="left" w:pos="1530"/>
        </w:tabs>
        <w:ind w:hanging="690"/>
        <w:rPr>
          <w:sz w:val="21"/>
        </w:rPr>
      </w:pPr>
      <w:r>
        <w:rPr>
          <w:color w:val="333333"/>
          <w:spacing w:val="-13"/>
          <w:sz w:val="21"/>
        </w:rPr>
        <w:t>共用前室</w:t>
      </w:r>
      <w:r>
        <w:rPr>
          <w:color w:val="333333"/>
          <w:spacing w:val="-13"/>
          <w:sz w:val="21"/>
        </w:rPr>
        <w:t xml:space="preserve"> </w:t>
      </w:r>
      <w:r>
        <w:rPr>
          <w:color w:val="333333"/>
          <w:sz w:val="21"/>
        </w:rPr>
        <w:t>shared</w:t>
      </w:r>
      <w:r>
        <w:rPr>
          <w:color w:val="333333"/>
          <w:spacing w:val="103"/>
          <w:sz w:val="21"/>
        </w:rPr>
        <w:t xml:space="preserve"> </w:t>
      </w:r>
      <w:r>
        <w:rPr>
          <w:color w:val="333333"/>
          <w:sz w:val="21"/>
        </w:rPr>
        <w:t xml:space="preserve">anteroom </w:t>
      </w:r>
    </w:p>
    <w:p w14:paraId="1103DA70" w14:textId="77777777" w:rsidR="00A71EEF" w:rsidRDefault="00A71EEF">
      <w:pPr>
        <w:pStyle w:val="a3"/>
        <w:spacing w:before="2"/>
        <w:rPr>
          <w:sz w:val="18"/>
        </w:rPr>
      </w:pPr>
    </w:p>
    <w:p w14:paraId="5BDFC53D" w14:textId="77777777" w:rsidR="00A71EEF" w:rsidRDefault="0081115D">
      <w:pPr>
        <w:pStyle w:val="a3"/>
        <w:ind w:left="838"/>
      </w:pPr>
      <w:r>
        <w:rPr>
          <w:color w:val="333333"/>
        </w:rPr>
        <w:t>居住建筑）剪刀楼梯间的两个楼梯间共用同一前室时的前室。</w:t>
      </w:r>
      <w:r>
        <w:rPr>
          <w:color w:val="333333"/>
        </w:rPr>
        <w:t xml:space="preserve"> </w:t>
      </w:r>
    </w:p>
    <w:p w14:paraId="329EAB19" w14:textId="77777777" w:rsidR="00A71EEF" w:rsidRDefault="00A71EEF">
      <w:pPr>
        <w:pStyle w:val="a3"/>
        <w:rPr>
          <w:sz w:val="18"/>
        </w:rPr>
      </w:pPr>
    </w:p>
    <w:p w14:paraId="0C16B42E" w14:textId="77777777" w:rsidR="00A71EEF" w:rsidRDefault="0081115D">
      <w:pPr>
        <w:pStyle w:val="a4"/>
        <w:numPr>
          <w:ilvl w:val="2"/>
          <w:numId w:val="120"/>
        </w:numPr>
        <w:tabs>
          <w:tab w:val="left" w:pos="1530"/>
        </w:tabs>
        <w:ind w:hanging="690"/>
        <w:rPr>
          <w:sz w:val="21"/>
        </w:rPr>
      </w:pPr>
      <w:r>
        <w:rPr>
          <w:color w:val="333333"/>
          <w:spacing w:val="-13"/>
          <w:sz w:val="21"/>
        </w:rPr>
        <w:t>合用前室</w:t>
      </w:r>
      <w:r>
        <w:rPr>
          <w:color w:val="333333"/>
          <w:spacing w:val="-13"/>
          <w:sz w:val="21"/>
        </w:rPr>
        <w:t xml:space="preserve"> </w:t>
      </w:r>
      <w:r>
        <w:rPr>
          <w:color w:val="333333"/>
          <w:sz w:val="21"/>
        </w:rPr>
        <w:t xml:space="preserve">combined anteroom </w:t>
      </w:r>
    </w:p>
    <w:p w14:paraId="5E0AF0DF" w14:textId="77777777" w:rsidR="00A71EEF" w:rsidRDefault="00A71EEF">
      <w:pPr>
        <w:pStyle w:val="a3"/>
        <w:spacing w:before="12"/>
        <w:rPr>
          <w:sz w:val="17"/>
        </w:rPr>
      </w:pPr>
    </w:p>
    <w:p w14:paraId="64C782A3" w14:textId="77777777" w:rsidR="00A71EEF" w:rsidRDefault="0081115D">
      <w:pPr>
        <w:spacing w:line="446" w:lineRule="auto"/>
        <w:ind w:left="840" w:right="5288" w:hanging="3"/>
        <w:rPr>
          <w:b/>
          <w:sz w:val="21"/>
        </w:rPr>
      </w:pPr>
      <w:r>
        <w:rPr>
          <w:color w:val="333333"/>
          <w:sz w:val="21"/>
        </w:rPr>
        <w:t>防烟楼梯间前室与消防电梯前室合用时的前室。</w:t>
      </w:r>
      <w:r>
        <w:rPr>
          <w:b/>
          <w:sz w:val="21"/>
        </w:rPr>
        <w:t xml:space="preserve">2.2 </w:t>
      </w:r>
      <w:r>
        <w:rPr>
          <w:b/>
          <w:sz w:val="21"/>
        </w:rPr>
        <w:t>符号</w:t>
      </w:r>
      <w:r>
        <w:rPr>
          <w:b/>
          <w:w w:val="99"/>
          <w:sz w:val="21"/>
        </w:rPr>
        <w:t xml:space="preserve"> </w:t>
      </w:r>
    </w:p>
    <w:p w14:paraId="54EB8912" w14:textId="77777777" w:rsidR="00A71EEF" w:rsidRDefault="0081115D">
      <w:pPr>
        <w:ind w:left="840"/>
        <w:rPr>
          <w:b/>
          <w:sz w:val="21"/>
        </w:rPr>
      </w:pPr>
      <w:r>
        <w:rPr>
          <w:b/>
          <w:color w:val="333333"/>
          <w:sz w:val="21"/>
        </w:rPr>
        <w:t xml:space="preserve">2.2.1 </w:t>
      </w:r>
      <w:r>
        <w:rPr>
          <w:color w:val="333333"/>
          <w:sz w:val="21"/>
        </w:rPr>
        <w:t>计算几何参数</w:t>
      </w:r>
      <w:r>
        <w:rPr>
          <w:b/>
          <w:w w:val="99"/>
          <w:sz w:val="21"/>
        </w:rPr>
        <w:t xml:space="preserve"> </w:t>
      </w:r>
    </w:p>
    <w:p w14:paraId="6AF659EB" w14:textId="77777777" w:rsidR="00A71EEF" w:rsidRDefault="00A71EEF">
      <w:pPr>
        <w:pStyle w:val="a3"/>
        <w:rPr>
          <w:b/>
          <w:sz w:val="18"/>
        </w:rPr>
      </w:pPr>
    </w:p>
    <w:p w14:paraId="07E4792C" w14:textId="77777777" w:rsidR="00A71EEF" w:rsidRDefault="0081115D">
      <w:pPr>
        <w:pStyle w:val="a3"/>
        <w:spacing w:line="446" w:lineRule="auto"/>
        <w:ind w:left="838" w:right="6579"/>
      </w:pPr>
      <w:r>
        <w:rPr>
          <w:color w:val="333333"/>
        </w:rPr>
        <w:t>A—</w:t>
      </w:r>
      <w:r>
        <w:rPr>
          <w:color w:val="333333"/>
          <w:spacing w:val="-3"/>
        </w:rPr>
        <w:t>—</w:t>
      </w:r>
      <w:r>
        <w:rPr>
          <w:color w:val="333333"/>
          <w:spacing w:val="-3"/>
        </w:rPr>
        <w:t>每个疏散门的有效漏风面积；</w:t>
      </w:r>
      <w:r>
        <w:rPr>
          <w:color w:val="333333"/>
          <w:spacing w:val="-3"/>
        </w:rPr>
        <w:t xml:space="preserve"> </w:t>
      </w:r>
      <w:r>
        <w:rPr>
          <w:color w:val="333333"/>
        </w:rPr>
        <w:t>Ak—</w:t>
      </w:r>
      <w:r>
        <w:rPr>
          <w:color w:val="333333"/>
          <w:spacing w:val="-3"/>
        </w:rPr>
        <w:t>—</w:t>
      </w:r>
      <w:r>
        <w:rPr>
          <w:color w:val="333333"/>
          <w:spacing w:val="-3"/>
        </w:rPr>
        <w:t>开启门的截面面积；</w:t>
      </w:r>
      <w:r>
        <w:rPr>
          <w:color w:val="333333"/>
          <w:spacing w:val="-3"/>
        </w:rPr>
        <w:t xml:space="preserve">   A0——</w:t>
      </w:r>
      <w:r>
        <w:rPr>
          <w:color w:val="333333"/>
          <w:spacing w:val="-3"/>
        </w:rPr>
        <w:t>所有进气口总面积；</w:t>
      </w:r>
      <w:r>
        <w:rPr>
          <w:color w:val="333333"/>
          <w:spacing w:val="-3"/>
        </w:rPr>
        <w:t xml:space="preserve">   Am——</w:t>
      </w:r>
      <w:r>
        <w:rPr>
          <w:color w:val="333333"/>
          <w:spacing w:val="-3"/>
        </w:rPr>
        <w:t>门的面积；</w:t>
      </w:r>
      <w:r>
        <w:rPr>
          <w:color w:val="333333"/>
        </w:rPr>
        <w:t xml:space="preserve"> </w:t>
      </w:r>
    </w:p>
    <w:p w14:paraId="63093691" w14:textId="77777777" w:rsidR="00A71EEF" w:rsidRDefault="0081115D">
      <w:pPr>
        <w:pStyle w:val="a3"/>
        <w:spacing w:line="446" w:lineRule="auto"/>
        <w:ind w:left="838" w:right="6549"/>
      </w:pPr>
      <w:r>
        <w:rPr>
          <w:color w:val="333333"/>
        </w:rPr>
        <w:t>Af——</w:t>
      </w:r>
      <w:r>
        <w:rPr>
          <w:color w:val="333333"/>
        </w:rPr>
        <w:t>单个送风阀门的面积；</w:t>
      </w:r>
      <w:r>
        <w:rPr>
          <w:color w:val="333333"/>
        </w:rPr>
        <w:t xml:space="preserve"> Ag——</w:t>
      </w:r>
      <w:r>
        <w:rPr>
          <w:color w:val="333333"/>
        </w:rPr>
        <w:t>前室疏散门的总面积；</w:t>
      </w:r>
      <w:r>
        <w:rPr>
          <w:color w:val="333333"/>
        </w:rPr>
        <w:t xml:space="preserve"> Al——</w:t>
      </w:r>
      <w:r>
        <w:rPr>
          <w:color w:val="333333"/>
        </w:rPr>
        <w:t>楼梯间疏散门的总面积；</w:t>
      </w:r>
      <w:r>
        <w:rPr>
          <w:color w:val="333333"/>
        </w:rPr>
        <w:t xml:space="preserve"> AV——</w:t>
      </w:r>
      <w:r>
        <w:rPr>
          <w:color w:val="333333"/>
        </w:rPr>
        <w:t>自然排烟窗（口）截面积；</w:t>
      </w:r>
      <w:r>
        <w:rPr>
          <w:color w:val="333333"/>
        </w:rPr>
        <w:t xml:space="preserve"> AW——</w:t>
      </w:r>
      <w:r>
        <w:rPr>
          <w:color w:val="333333"/>
        </w:rPr>
        <w:t>窗口开口面积；</w:t>
      </w:r>
      <w:r>
        <w:rPr>
          <w:color w:val="333333"/>
        </w:rPr>
        <w:t xml:space="preserve"> </w:t>
      </w:r>
    </w:p>
    <w:p w14:paraId="737F519B" w14:textId="77777777" w:rsidR="00A71EEF" w:rsidRDefault="0081115D">
      <w:pPr>
        <w:pStyle w:val="a3"/>
        <w:spacing w:line="266" w:lineRule="exact"/>
        <w:ind w:left="838"/>
      </w:pPr>
      <w:r>
        <w:rPr>
          <w:color w:val="333333"/>
        </w:rPr>
        <w:t>B——</w:t>
      </w:r>
      <w:r>
        <w:rPr>
          <w:color w:val="333333"/>
        </w:rPr>
        <w:t>风管长边尺寸；</w:t>
      </w:r>
      <w:r>
        <w:rPr>
          <w:color w:val="333333"/>
        </w:rPr>
        <w:t xml:space="preserve"> </w:t>
      </w:r>
    </w:p>
    <w:p w14:paraId="766AADF4" w14:textId="77777777" w:rsidR="00A71EEF" w:rsidRDefault="00A71EEF">
      <w:pPr>
        <w:pStyle w:val="a3"/>
        <w:spacing w:before="2"/>
        <w:rPr>
          <w:sz w:val="18"/>
        </w:rPr>
      </w:pPr>
    </w:p>
    <w:p w14:paraId="75A05336" w14:textId="77777777" w:rsidR="00A71EEF" w:rsidRDefault="0081115D">
      <w:pPr>
        <w:pStyle w:val="a3"/>
        <w:ind w:left="838"/>
      </w:pPr>
      <w:r>
        <w:rPr>
          <w:color w:val="333333"/>
        </w:rPr>
        <w:t xml:space="preserve">b </w:t>
      </w:r>
      <w:r>
        <w:rPr>
          <w:color w:val="333333"/>
        </w:rPr>
        <w:t>一一从开口至阳台边沿的距离；</w:t>
      </w:r>
      <w:r>
        <w:rPr>
          <w:color w:val="333333"/>
        </w:rPr>
        <w:t xml:space="preserve"> </w:t>
      </w:r>
    </w:p>
    <w:p w14:paraId="22A53C46" w14:textId="77777777" w:rsidR="00A71EEF" w:rsidRDefault="00A71EEF">
      <w:pPr>
        <w:sectPr w:rsidR="00A71EEF">
          <w:pgSz w:w="11910" w:h="16850"/>
          <w:pgMar w:top="1220" w:right="0" w:bottom="1420" w:left="1260" w:header="0" w:footer="1239" w:gutter="0"/>
          <w:cols w:space="720"/>
        </w:sectPr>
      </w:pPr>
    </w:p>
    <w:p w14:paraId="3806146F" w14:textId="77777777" w:rsidR="00A71EEF" w:rsidRDefault="0081115D">
      <w:pPr>
        <w:pStyle w:val="a3"/>
        <w:spacing w:before="47"/>
        <w:ind w:left="838"/>
      </w:pPr>
      <w:r>
        <w:rPr>
          <w:color w:val="333333"/>
        </w:rPr>
        <w:t>dm——</w:t>
      </w:r>
      <w:r>
        <w:rPr>
          <w:color w:val="333333"/>
        </w:rPr>
        <w:t>门的把手到门闩的距离；</w:t>
      </w:r>
      <w:r>
        <w:rPr>
          <w:color w:val="333333"/>
        </w:rPr>
        <w:t xml:space="preserve"> </w:t>
      </w:r>
    </w:p>
    <w:p w14:paraId="5C4AB958" w14:textId="77777777" w:rsidR="00A71EEF" w:rsidRDefault="00A71EEF">
      <w:pPr>
        <w:pStyle w:val="a3"/>
        <w:rPr>
          <w:sz w:val="18"/>
        </w:rPr>
      </w:pPr>
    </w:p>
    <w:p w14:paraId="39B548B3" w14:textId="77777777" w:rsidR="00A71EEF" w:rsidRDefault="0081115D">
      <w:pPr>
        <w:pStyle w:val="a3"/>
        <w:spacing w:line="446" w:lineRule="auto"/>
        <w:ind w:left="838" w:right="5077"/>
      </w:pPr>
      <w:r>
        <w:rPr>
          <w:color w:val="333333"/>
        </w:rPr>
        <w:t xml:space="preserve">db </w:t>
      </w:r>
      <w:r>
        <w:rPr>
          <w:color w:val="333333"/>
        </w:rPr>
        <w:t>一一排烟系统吸入口最低点之下烟气层厚度；</w:t>
      </w:r>
      <w:r>
        <w:rPr>
          <w:color w:val="333333"/>
        </w:rPr>
        <w:t xml:space="preserve"> D——</w:t>
      </w:r>
      <w:r>
        <w:rPr>
          <w:color w:val="333333"/>
        </w:rPr>
        <w:t>风管直径；</w:t>
      </w:r>
      <w:r>
        <w:rPr>
          <w:color w:val="333333"/>
        </w:rPr>
        <w:t xml:space="preserve"> </w:t>
      </w:r>
    </w:p>
    <w:p w14:paraId="7AB2CBCC" w14:textId="77777777" w:rsidR="00A71EEF" w:rsidRDefault="0081115D">
      <w:pPr>
        <w:pStyle w:val="a3"/>
        <w:ind w:left="838"/>
      </w:pPr>
      <w:r>
        <w:rPr>
          <w:color w:val="333333"/>
        </w:rPr>
        <w:t xml:space="preserve">H </w:t>
      </w:r>
      <w:r>
        <w:rPr>
          <w:color w:val="333333"/>
        </w:rPr>
        <w:t>一一空间净高；</w:t>
      </w:r>
      <w:r>
        <w:rPr>
          <w:color w:val="333333"/>
        </w:rPr>
        <w:t xml:space="preserve"> </w:t>
      </w:r>
    </w:p>
    <w:p w14:paraId="384149F8" w14:textId="77777777" w:rsidR="00A71EEF" w:rsidRDefault="00A71EEF">
      <w:pPr>
        <w:pStyle w:val="a3"/>
        <w:spacing w:before="12"/>
        <w:rPr>
          <w:sz w:val="17"/>
        </w:rPr>
      </w:pPr>
    </w:p>
    <w:p w14:paraId="3BBF887C" w14:textId="77777777" w:rsidR="00A71EEF" w:rsidRDefault="0081115D">
      <w:pPr>
        <w:pStyle w:val="a3"/>
        <w:spacing w:line="446" w:lineRule="auto"/>
        <w:ind w:left="418" w:right="1714" w:firstLine="419"/>
      </w:pPr>
      <w:r>
        <w:rPr>
          <w:color w:val="333333"/>
        </w:rPr>
        <w:t>H′——</w:t>
      </w:r>
      <w:r>
        <w:rPr>
          <w:color w:val="333333"/>
        </w:rPr>
        <w:t>对于单层空间，取排烟空间的建筑净高度；对于多层空间，取最高疏散楼层的层高；</w:t>
      </w:r>
      <w:r>
        <w:rPr>
          <w:color w:val="333333"/>
        </w:rPr>
        <w:t xml:space="preserve"> </w:t>
      </w:r>
    </w:p>
    <w:p w14:paraId="3DE3CB46" w14:textId="77777777" w:rsidR="00A71EEF" w:rsidRDefault="0081115D">
      <w:pPr>
        <w:pStyle w:val="a3"/>
        <w:spacing w:line="446" w:lineRule="auto"/>
        <w:ind w:left="838" w:right="6654"/>
        <w:rPr>
          <w:b/>
        </w:rPr>
      </w:pPr>
      <w:r>
        <w:rPr>
          <w:color w:val="333333"/>
        </w:rPr>
        <w:t>H1——</w:t>
      </w:r>
      <w:r>
        <w:rPr>
          <w:color w:val="333333"/>
        </w:rPr>
        <w:t>燃料面至阳台的高度；</w:t>
      </w:r>
      <w:r>
        <w:t xml:space="preserve"> </w:t>
      </w:r>
      <w:r>
        <w:rPr>
          <w:color w:val="333333"/>
        </w:rPr>
        <w:t>HW——</w:t>
      </w:r>
      <w:r>
        <w:rPr>
          <w:color w:val="333333"/>
        </w:rPr>
        <w:t>窗口开口的</w:t>
      </w:r>
      <w:r>
        <w:rPr>
          <w:color w:val="333333"/>
        </w:rPr>
        <w:t>高度；</w:t>
      </w:r>
      <w:r>
        <w:rPr>
          <w:b/>
          <w:w w:val="99"/>
        </w:rPr>
        <w:t xml:space="preserve"> </w:t>
      </w:r>
    </w:p>
    <w:p w14:paraId="66FA082E" w14:textId="77777777" w:rsidR="00A71EEF" w:rsidRDefault="0081115D">
      <w:pPr>
        <w:pStyle w:val="a3"/>
        <w:spacing w:line="446" w:lineRule="auto"/>
        <w:ind w:left="838" w:right="7127"/>
      </w:pPr>
      <w:r>
        <w:rPr>
          <w:color w:val="333333"/>
        </w:rPr>
        <w:t>Hq-</w:t>
      </w:r>
      <w:r>
        <w:rPr>
          <w:color w:val="333333"/>
          <w:spacing w:val="-3"/>
        </w:rPr>
        <w:t>——</w:t>
      </w:r>
      <w:r>
        <w:rPr>
          <w:color w:val="333333"/>
          <w:spacing w:val="-3"/>
        </w:rPr>
        <w:t>最小清晰高度；</w:t>
      </w:r>
      <w:r>
        <w:rPr>
          <w:spacing w:val="-3"/>
        </w:rPr>
        <w:t xml:space="preserve"> </w:t>
      </w:r>
      <w:r>
        <w:rPr>
          <w:color w:val="333333"/>
        </w:rPr>
        <w:t>w—</w:t>
      </w:r>
      <w:r>
        <w:rPr>
          <w:color w:val="333333"/>
          <w:spacing w:val="-3"/>
        </w:rPr>
        <w:t>—</w:t>
      </w:r>
      <w:r>
        <w:rPr>
          <w:color w:val="333333"/>
          <w:spacing w:val="-3"/>
        </w:rPr>
        <w:t>火源区域的开口宽度；</w:t>
      </w:r>
      <w:r>
        <w:rPr>
          <w:color w:val="333333"/>
          <w:spacing w:val="-3"/>
        </w:rPr>
        <w:t xml:space="preserve"> W——</w:t>
      </w:r>
      <w:r>
        <w:rPr>
          <w:color w:val="333333"/>
          <w:spacing w:val="-3"/>
        </w:rPr>
        <w:t>烟羽流扩散宽度；</w:t>
      </w:r>
      <w:r>
        <w:rPr>
          <w:color w:val="333333"/>
          <w:spacing w:val="-3"/>
        </w:rPr>
        <w:t xml:space="preserve"> </w:t>
      </w:r>
      <w:r>
        <w:rPr>
          <w:color w:val="333333"/>
        </w:rPr>
        <w:t>Wm—</w:t>
      </w:r>
      <w:r>
        <w:rPr>
          <w:color w:val="333333"/>
          <w:spacing w:val="-3"/>
        </w:rPr>
        <w:t>—</w:t>
      </w:r>
      <w:r>
        <w:rPr>
          <w:color w:val="333333"/>
          <w:spacing w:val="-3"/>
        </w:rPr>
        <w:t>单扇门的宽度；</w:t>
      </w:r>
      <w:r>
        <w:rPr>
          <w:color w:val="333333"/>
        </w:rPr>
        <w:t xml:space="preserve"> </w:t>
      </w:r>
    </w:p>
    <w:p w14:paraId="2118BF0E" w14:textId="77777777" w:rsidR="00A71EEF" w:rsidRDefault="0081115D">
      <w:pPr>
        <w:pStyle w:val="a3"/>
        <w:spacing w:line="446" w:lineRule="auto"/>
        <w:ind w:left="838" w:right="6549"/>
        <w:rPr>
          <w:b/>
        </w:rPr>
      </w:pPr>
      <w:r>
        <w:rPr>
          <w:color w:val="333333"/>
        </w:rPr>
        <w:t xml:space="preserve">Z </w:t>
      </w:r>
      <w:r>
        <w:rPr>
          <w:color w:val="333333"/>
        </w:rPr>
        <w:t>一一燃料面到烟层底部的高度；</w:t>
      </w:r>
      <w:r>
        <w:rPr>
          <w:color w:val="333333"/>
        </w:rPr>
        <w:t xml:space="preserve"> Z1 </w:t>
      </w:r>
      <w:r>
        <w:rPr>
          <w:color w:val="333333"/>
        </w:rPr>
        <w:t>一一火焰极限高度；</w:t>
      </w:r>
      <w:r>
        <w:rPr>
          <w:b/>
          <w:w w:val="99"/>
        </w:rPr>
        <w:t xml:space="preserve"> </w:t>
      </w:r>
    </w:p>
    <w:p w14:paraId="4D66369B" w14:textId="77777777" w:rsidR="00A71EEF" w:rsidRDefault="0081115D">
      <w:pPr>
        <w:pStyle w:val="a3"/>
        <w:spacing w:line="446" w:lineRule="auto"/>
        <w:ind w:left="838" w:right="5709"/>
        <w:rPr>
          <w:b/>
        </w:rPr>
      </w:pPr>
      <w:r>
        <w:rPr>
          <w:color w:val="333333"/>
        </w:rPr>
        <w:t>Zb——</w:t>
      </w:r>
      <w:r>
        <w:rPr>
          <w:color w:val="333333"/>
        </w:rPr>
        <w:t>从阳台下缘至烟层底部的高度；</w:t>
      </w:r>
      <w:r>
        <w:rPr>
          <w:color w:val="333333"/>
        </w:rPr>
        <w:t xml:space="preserve"> Zw——</w:t>
      </w:r>
      <w:r>
        <w:rPr>
          <w:color w:val="333333"/>
        </w:rPr>
        <w:t>窗口开口的上缘到烟层底部的高度。</w:t>
      </w:r>
      <w:r>
        <w:rPr>
          <w:b/>
          <w:color w:val="333333"/>
        </w:rPr>
        <w:t xml:space="preserve">2.2.2 </w:t>
      </w:r>
      <w:r>
        <w:rPr>
          <w:color w:val="333333"/>
        </w:rPr>
        <w:t>计算风量、风速</w:t>
      </w:r>
      <w:r>
        <w:rPr>
          <w:b/>
          <w:w w:val="99"/>
        </w:rPr>
        <w:t xml:space="preserve"> </w:t>
      </w:r>
    </w:p>
    <w:p w14:paraId="6549ACD3" w14:textId="77777777" w:rsidR="00A71EEF" w:rsidRDefault="0081115D">
      <w:pPr>
        <w:pStyle w:val="a3"/>
        <w:spacing w:line="268" w:lineRule="exact"/>
        <w:ind w:left="838"/>
      </w:pPr>
      <w:r>
        <w:rPr>
          <w:color w:val="333333"/>
        </w:rPr>
        <w:t>g——</w:t>
      </w:r>
      <w:r>
        <w:rPr>
          <w:color w:val="333333"/>
        </w:rPr>
        <w:t>重力加速度；</w:t>
      </w:r>
      <w:r>
        <w:rPr>
          <w:color w:val="333333"/>
        </w:rPr>
        <w:t xml:space="preserve"> </w:t>
      </w:r>
    </w:p>
    <w:p w14:paraId="567816A8" w14:textId="77777777" w:rsidR="00A71EEF" w:rsidRDefault="00A71EEF">
      <w:pPr>
        <w:pStyle w:val="a3"/>
        <w:spacing w:before="11"/>
        <w:rPr>
          <w:sz w:val="17"/>
        </w:rPr>
      </w:pPr>
    </w:p>
    <w:p w14:paraId="580A1C79" w14:textId="77777777" w:rsidR="00A71EEF" w:rsidRDefault="0081115D">
      <w:pPr>
        <w:pStyle w:val="a3"/>
        <w:spacing w:line="446" w:lineRule="auto"/>
        <w:ind w:left="838" w:right="3819"/>
        <w:rPr>
          <w:b/>
        </w:rPr>
      </w:pPr>
      <w:r>
        <w:rPr>
          <w:color w:val="333333"/>
        </w:rPr>
        <w:t>Lhigh——</w:t>
      </w:r>
      <w:r>
        <w:rPr>
          <w:color w:val="333333"/>
        </w:rPr>
        <w:t>高压系统单位面积风管单位时间内的允许漏风量；</w:t>
      </w:r>
      <w:r>
        <w:rPr>
          <w:color w:val="333333"/>
        </w:rPr>
        <w:t xml:space="preserve"> Lj——</w:t>
      </w:r>
      <w:r>
        <w:rPr>
          <w:color w:val="333333"/>
        </w:rPr>
        <w:t>楼梯间的机械加压送风量；</w:t>
      </w:r>
      <w:r>
        <w:rPr>
          <w:b/>
          <w:w w:val="99"/>
        </w:rPr>
        <w:t xml:space="preserve"> </w:t>
      </w:r>
    </w:p>
    <w:p w14:paraId="16F327F3" w14:textId="77777777" w:rsidR="00A71EEF" w:rsidRDefault="0081115D">
      <w:pPr>
        <w:pStyle w:val="a3"/>
        <w:spacing w:line="446" w:lineRule="auto"/>
        <w:ind w:left="838" w:right="4237"/>
      </w:pPr>
      <w:r>
        <w:rPr>
          <w:color w:val="333333"/>
        </w:rPr>
        <w:t>Llow——</w:t>
      </w:r>
      <w:r>
        <w:rPr>
          <w:color w:val="333333"/>
        </w:rPr>
        <w:t>低压系统单位面积风管单位时间内的允许漏风量；</w:t>
      </w:r>
      <w:r>
        <w:t xml:space="preserve"> </w:t>
      </w:r>
      <w:r>
        <w:rPr>
          <w:color w:val="333333"/>
        </w:rPr>
        <w:t>Lmid——</w:t>
      </w:r>
      <w:r>
        <w:rPr>
          <w:color w:val="333333"/>
        </w:rPr>
        <w:t>中压系统单位面积风管单位时间内的允许漏风量</w:t>
      </w:r>
      <w:r>
        <w:rPr>
          <w:color w:val="333333"/>
        </w:rPr>
        <w:t>Ls——</w:t>
      </w:r>
      <w:r>
        <w:rPr>
          <w:color w:val="333333"/>
        </w:rPr>
        <w:t>前室的机械加压送风量；</w:t>
      </w:r>
      <w:r>
        <w:rPr>
          <w:color w:val="333333"/>
        </w:rPr>
        <w:t xml:space="preserve"> </w:t>
      </w:r>
    </w:p>
    <w:p w14:paraId="09504E87" w14:textId="77777777" w:rsidR="00A71EEF" w:rsidRDefault="0081115D">
      <w:pPr>
        <w:pStyle w:val="a3"/>
        <w:spacing w:line="446" w:lineRule="auto"/>
        <w:ind w:left="838" w:right="4760"/>
        <w:rPr>
          <w:b/>
        </w:rPr>
      </w:pPr>
      <w:r>
        <w:rPr>
          <w:color w:val="333333"/>
        </w:rPr>
        <w:t>L1—</w:t>
      </w:r>
      <w:r>
        <w:rPr>
          <w:color w:val="333333"/>
          <w:spacing w:val="-3"/>
        </w:rPr>
        <w:t>—</w:t>
      </w:r>
      <w:r>
        <w:rPr>
          <w:color w:val="333333"/>
          <w:spacing w:val="-3"/>
        </w:rPr>
        <w:t>门开启时，达到规定风速值所需的送风量</w:t>
      </w:r>
      <w:r>
        <w:rPr>
          <w:color w:val="333333"/>
          <w:spacing w:val="-3"/>
        </w:rPr>
        <w:t>;</w:t>
      </w:r>
      <w:r>
        <w:rPr>
          <w:spacing w:val="-3"/>
        </w:rPr>
        <w:t xml:space="preserve"> </w:t>
      </w:r>
      <w:r>
        <w:rPr>
          <w:color w:val="333333"/>
        </w:rPr>
        <w:t>L2—</w:t>
      </w:r>
      <w:r>
        <w:rPr>
          <w:color w:val="333333"/>
          <w:spacing w:val="-3"/>
        </w:rPr>
        <w:t>—</w:t>
      </w:r>
      <w:r>
        <w:rPr>
          <w:color w:val="333333"/>
          <w:spacing w:val="-3"/>
        </w:rPr>
        <w:t>门开启时，规定风速值下的其他门缝漏风总量；</w:t>
      </w:r>
      <w:r>
        <w:rPr>
          <w:spacing w:val="-3"/>
        </w:rPr>
        <w:t xml:space="preserve"> </w:t>
      </w:r>
      <w:r>
        <w:rPr>
          <w:color w:val="333333"/>
        </w:rPr>
        <w:t>L3—</w:t>
      </w:r>
      <w:r>
        <w:rPr>
          <w:color w:val="333333"/>
          <w:spacing w:val="-3"/>
        </w:rPr>
        <w:t>—</w:t>
      </w:r>
      <w:r>
        <w:rPr>
          <w:color w:val="333333"/>
          <w:spacing w:val="-3"/>
        </w:rPr>
        <w:t>未开启的常闭送风阀的漏风总量；</w:t>
      </w:r>
      <w:r>
        <w:rPr>
          <w:b/>
          <w:w w:val="99"/>
        </w:rPr>
        <w:t xml:space="preserve"> </w:t>
      </w:r>
    </w:p>
    <w:p w14:paraId="68E13BD3" w14:textId="77777777" w:rsidR="00A71EEF" w:rsidRDefault="0081115D">
      <w:pPr>
        <w:pStyle w:val="a3"/>
        <w:spacing w:line="446" w:lineRule="auto"/>
        <w:ind w:left="838" w:right="7127"/>
      </w:pPr>
      <w:r>
        <w:rPr>
          <w:color w:val="333333"/>
        </w:rPr>
        <w:t>Mρ——</w:t>
      </w:r>
      <w:r>
        <w:rPr>
          <w:color w:val="333333"/>
        </w:rPr>
        <w:t>烟羽流质量流量；</w:t>
      </w:r>
      <w:r>
        <w:t xml:space="preserve"> </w:t>
      </w:r>
      <w:r>
        <w:rPr>
          <w:color w:val="333333"/>
        </w:rPr>
        <w:t>v——</w:t>
      </w:r>
      <w:r>
        <w:rPr>
          <w:color w:val="333333"/>
        </w:rPr>
        <w:t>门洞断面风速；</w:t>
      </w:r>
      <w:r>
        <w:rPr>
          <w:color w:val="333333"/>
        </w:rPr>
        <w:t xml:space="preserve"> </w:t>
      </w:r>
    </w:p>
    <w:p w14:paraId="23C102FE" w14:textId="77777777" w:rsidR="00A71EEF" w:rsidRDefault="00A71EEF">
      <w:pPr>
        <w:spacing w:line="446" w:lineRule="auto"/>
        <w:sectPr w:rsidR="00A71EEF">
          <w:pgSz w:w="11910" w:h="16850"/>
          <w:pgMar w:top="1220" w:right="0" w:bottom="1420" w:left="1260" w:header="0" w:footer="1239" w:gutter="0"/>
          <w:cols w:space="720"/>
        </w:sectPr>
      </w:pPr>
    </w:p>
    <w:p w14:paraId="3E9C8EFC" w14:textId="77777777" w:rsidR="00A71EEF" w:rsidRDefault="0081115D">
      <w:pPr>
        <w:pStyle w:val="a3"/>
        <w:spacing w:before="47"/>
        <w:ind w:left="838"/>
      </w:pPr>
      <w:r>
        <w:rPr>
          <w:color w:val="333333"/>
        </w:rPr>
        <w:t>V——</w:t>
      </w:r>
      <w:r>
        <w:rPr>
          <w:color w:val="333333"/>
        </w:rPr>
        <w:t>排烟量；</w:t>
      </w:r>
      <w:r>
        <w:rPr>
          <w:color w:val="333333"/>
        </w:rPr>
        <w:t xml:space="preserve"> </w:t>
      </w:r>
    </w:p>
    <w:p w14:paraId="172622AE" w14:textId="77777777" w:rsidR="00A71EEF" w:rsidRDefault="00A71EEF">
      <w:pPr>
        <w:pStyle w:val="a3"/>
        <w:rPr>
          <w:sz w:val="18"/>
        </w:rPr>
      </w:pPr>
    </w:p>
    <w:p w14:paraId="2D0D2B7A" w14:textId="77777777" w:rsidR="00A71EEF" w:rsidRDefault="0081115D">
      <w:pPr>
        <w:pStyle w:val="a3"/>
        <w:spacing w:line="446" w:lineRule="auto"/>
        <w:ind w:left="838" w:right="6549"/>
      </w:pPr>
      <w:r>
        <w:rPr>
          <w:color w:val="333333"/>
        </w:rPr>
        <w:t>Vmax——</w:t>
      </w:r>
      <w:r>
        <w:rPr>
          <w:color w:val="333333"/>
        </w:rPr>
        <w:t>排烟口最大允许排烟量。</w:t>
      </w:r>
      <w:r>
        <w:rPr>
          <w:b/>
        </w:rPr>
        <w:t xml:space="preserve">2.2.3 </w:t>
      </w:r>
      <w:r>
        <w:rPr>
          <w:color w:val="333333"/>
        </w:rPr>
        <w:t>计算压力、热量、时间</w:t>
      </w:r>
      <w:r>
        <w:rPr>
          <w:color w:val="333333"/>
        </w:rPr>
        <w:t>Cp——</w:t>
      </w:r>
      <w:r>
        <w:rPr>
          <w:color w:val="333333"/>
        </w:rPr>
        <w:t>空气的定压比热；</w:t>
      </w:r>
      <w:r>
        <w:rPr>
          <w:color w:val="333333"/>
        </w:rPr>
        <w:t xml:space="preserve"> </w:t>
      </w:r>
    </w:p>
    <w:p w14:paraId="6D49BEFC" w14:textId="77777777" w:rsidR="00A71EEF" w:rsidRDefault="0081115D">
      <w:pPr>
        <w:pStyle w:val="a3"/>
        <w:spacing w:line="268" w:lineRule="exact"/>
        <w:ind w:left="838"/>
      </w:pPr>
      <w:r>
        <w:rPr>
          <w:color w:val="333333"/>
        </w:rPr>
        <w:t>F′——</w:t>
      </w:r>
      <w:r>
        <w:rPr>
          <w:color w:val="333333"/>
        </w:rPr>
        <w:t>门的总推力；</w:t>
      </w:r>
      <w:r>
        <w:rPr>
          <w:color w:val="333333"/>
        </w:rPr>
        <w:t xml:space="preserve"> </w:t>
      </w:r>
    </w:p>
    <w:p w14:paraId="4130B751" w14:textId="77777777" w:rsidR="00A71EEF" w:rsidRDefault="00A71EEF">
      <w:pPr>
        <w:pStyle w:val="a3"/>
        <w:rPr>
          <w:sz w:val="18"/>
        </w:rPr>
      </w:pPr>
    </w:p>
    <w:p w14:paraId="04F57C51" w14:textId="77777777" w:rsidR="00A71EEF" w:rsidRDefault="0081115D">
      <w:pPr>
        <w:pStyle w:val="a3"/>
        <w:spacing w:line="446" w:lineRule="auto"/>
        <w:ind w:left="838" w:right="5709"/>
      </w:pPr>
      <w:r>
        <w:rPr>
          <w:color w:val="333333"/>
        </w:rPr>
        <w:t>Fdc——</w:t>
      </w:r>
      <w:r>
        <w:rPr>
          <w:color w:val="333333"/>
        </w:rPr>
        <w:t>门把手处克服闭门器所需的力；</w:t>
      </w:r>
      <w:r>
        <w:rPr>
          <w:color w:val="333333"/>
        </w:rPr>
        <w:t xml:space="preserve"> M——</w:t>
      </w:r>
      <w:r>
        <w:rPr>
          <w:color w:val="333333"/>
        </w:rPr>
        <w:t>闭门器的开启力矩；</w:t>
      </w:r>
      <w:r>
        <w:rPr>
          <w:color w:val="333333"/>
        </w:rPr>
        <w:t xml:space="preserve"> </w:t>
      </w:r>
    </w:p>
    <w:p w14:paraId="58AED364" w14:textId="77777777" w:rsidR="00A71EEF" w:rsidRDefault="0081115D">
      <w:pPr>
        <w:pStyle w:val="a3"/>
        <w:spacing w:line="446" w:lineRule="auto"/>
        <w:ind w:left="838" w:right="6445"/>
      </w:pPr>
      <w:r>
        <w:rPr>
          <w:color w:val="333333"/>
        </w:rPr>
        <w:t>ρ0</w:t>
      </w:r>
      <w:r>
        <w:rPr>
          <w:color w:val="333333"/>
          <w:spacing w:val="-3"/>
        </w:rPr>
        <w:t>——</w:t>
      </w:r>
      <w:r>
        <w:rPr>
          <w:color w:val="333333"/>
          <w:spacing w:val="-3"/>
        </w:rPr>
        <w:t>环境温度下的气体密度；</w:t>
      </w:r>
      <w:r>
        <w:rPr>
          <w:color w:val="333333"/>
          <w:spacing w:val="-3"/>
        </w:rPr>
        <w:t xml:space="preserve"> </w:t>
      </w:r>
      <w:r>
        <w:rPr>
          <w:color w:val="333333"/>
        </w:rPr>
        <w:t>P—</w:t>
      </w:r>
      <w:r>
        <w:rPr>
          <w:color w:val="333333"/>
          <w:spacing w:val="-3"/>
        </w:rPr>
        <w:t>—</w:t>
      </w:r>
      <w:r>
        <w:rPr>
          <w:color w:val="333333"/>
          <w:spacing w:val="-3"/>
        </w:rPr>
        <w:t>疏散门的最大允许压力差；</w:t>
      </w:r>
      <w:r>
        <w:rPr>
          <w:color w:val="333333"/>
          <w:spacing w:val="-3"/>
        </w:rPr>
        <w:t xml:space="preserve">   </w:t>
      </w:r>
      <w:r>
        <w:rPr>
          <w:color w:val="333333"/>
        </w:rPr>
        <w:t>P</w:t>
      </w:r>
      <w:r>
        <w:rPr>
          <w:color w:val="333333"/>
          <w:spacing w:val="-8"/>
        </w:rPr>
        <w:t xml:space="preserve"> </w:t>
      </w:r>
      <w:r>
        <w:rPr>
          <w:color w:val="333333"/>
          <w:spacing w:val="-8"/>
        </w:rPr>
        <w:t>风管</w:t>
      </w:r>
      <w:r>
        <w:rPr>
          <w:color w:val="333333"/>
          <w:spacing w:val="-8"/>
        </w:rPr>
        <w:t>——</w:t>
      </w:r>
      <w:r>
        <w:rPr>
          <w:color w:val="333333"/>
          <w:spacing w:val="-8"/>
        </w:rPr>
        <w:t>风管系统工作压力；</w:t>
      </w:r>
      <w:r>
        <w:rPr>
          <w:color w:val="333333"/>
          <w:spacing w:val="-8"/>
        </w:rPr>
        <w:t xml:space="preserve"> </w:t>
      </w:r>
      <w:r>
        <w:rPr>
          <w:color w:val="333333"/>
        </w:rPr>
        <w:t>ΔP</w:t>
      </w:r>
      <w:r>
        <w:rPr>
          <w:color w:val="333333"/>
          <w:spacing w:val="-3"/>
        </w:rPr>
        <w:t>——</w:t>
      </w:r>
      <w:r>
        <w:rPr>
          <w:color w:val="333333"/>
          <w:spacing w:val="-3"/>
        </w:rPr>
        <w:t>计算漏风量的平均压力差；</w:t>
      </w:r>
      <w:r>
        <w:rPr>
          <w:color w:val="333333"/>
          <w:spacing w:val="-3"/>
        </w:rPr>
        <w:t xml:space="preserve"> </w:t>
      </w:r>
      <w:r>
        <w:rPr>
          <w:color w:val="333333"/>
        </w:rPr>
        <w:t>Q—</w:t>
      </w:r>
      <w:r>
        <w:rPr>
          <w:color w:val="333333"/>
          <w:spacing w:val="-2"/>
        </w:rPr>
        <w:t>—</w:t>
      </w:r>
      <w:r>
        <w:rPr>
          <w:color w:val="333333"/>
          <w:spacing w:val="-2"/>
        </w:rPr>
        <w:t>热释放速率；</w:t>
      </w:r>
      <w:r>
        <w:rPr>
          <w:color w:val="333333"/>
          <w:spacing w:val="-2"/>
        </w:rPr>
        <w:t xml:space="preserve"> </w:t>
      </w:r>
    </w:p>
    <w:p w14:paraId="45F0845C" w14:textId="77777777" w:rsidR="00A71EEF" w:rsidRDefault="0081115D">
      <w:pPr>
        <w:pStyle w:val="a3"/>
        <w:spacing w:line="446" w:lineRule="auto"/>
        <w:ind w:left="838" w:right="6287"/>
      </w:pPr>
      <w:r>
        <w:rPr>
          <w:color w:val="333333"/>
        </w:rPr>
        <w:t>Qc——</w:t>
      </w:r>
      <w:r>
        <w:rPr>
          <w:color w:val="333333"/>
        </w:rPr>
        <w:t>热释放速率中的对流部分；</w:t>
      </w:r>
      <w:r>
        <w:rPr>
          <w:color w:val="333333"/>
        </w:rPr>
        <w:t xml:space="preserve"> t——</w:t>
      </w:r>
      <w:r>
        <w:rPr>
          <w:color w:val="333333"/>
        </w:rPr>
        <w:t>火灾增长时间；</w:t>
      </w:r>
      <w:r>
        <w:rPr>
          <w:color w:val="333333"/>
        </w:rPr>
        <w:t xml:space="preserve"> </w:t>
      </w:r>
    </w:p>
    <w:p w14:paraId="37129FE1" w14:textId="77777777" w:rsidR="00A71EEF" w:rsidRDefault="0081115D">
      <w:pPr>
        <w:pStyle w:val="a3"/>
        <w:spacing w:line="446" w:lineRule="auto"/>
        <w:ind w:left="838" w:right="7127"/>
      </w:pPr>
      <w:r>
        <w:rPr>
          <w:color w:val="333333"/>
        </w:rPr>
        <w:t>T——</w:t>
      </w:r>
      <w:r>
        <w:rPr>
          <w:color w:val="333333"/>
        </w:rPr>
        <w:t>烟层的平均绝对温度；</w:t>
      </w:r>
      <w:r>
        <w:rPr>
          <w:color w:val="333333"/>
        </w:rPr>
        <w:t xml:space="preserve"> T0——</w:t>
      </w:r>
      <w:r>
        <w:rPr>
          <w:color w:val="333333"/>
        </w:rPr>
        <w:t>环境的绝对温度；</w:t>
      </w:r>
      <w:r>
        <w:rPr>
          <w:color w:val="333333"/>
        </w:rPr>
        <w:t xml:space="preserve"> </w:t>
      </w:r>
    </w:p>
    <w:p w14:paraId="608C4823" w14:textId="77777777" w:rsidR="00A71EEF" w:rsidRDefault="0081115D">
      <w:pPr>
        <w:pStyle w:val="a3"/>
        <w:ind w:left="838"/>
      </w:pPr>
      <w:r>
        <w:rPr>
          <w:color w:val="333333"/>
        </w:rPr>
        <w:t>ΔT——</w:t>
      </w:r>
      <w:r>
        <w:rPr>
          <w:color w:val="333333"/>
        </w:rPr>
        <w:t>烟层平均温度与环境温度之差。</w:t>
      </w:r>
      <w:r>
        <w:rPr>
          <w:color w:val="333333"/>
        </w:rPr>
        <w:t xml:space="preserve"> </w:t>
      </w:r>
    </w:p>
    <w:p w14:paraId="00B858E9" w14:textId="77777777" w:rsidR="00A71EEF" w:rsidRDefault="00A71EEF">
      <w:pPr>
        <w:pStyle w:val="a3"/>
        <w:spacing w:before="9"/>
        <w:rPr>
          <w:sz w:val="17"/>
        </w:rPr>
      </w:pPr>
    </w:p>
    <w:p w14:paraId="3B378F3A" w14:textId="77777777" w:rsidR="00A71EEF" w:rsidRDefault="0081115D">
      <w:pPr>
        <w:pStyle w:val="a4"/>
        <w:numPr>
          <w:ilvl w:val="2"/>
          <w:numId w:val="119"/>
        </w:numPr>
        <w:tabs>
          <w:tab w:val="left" w:pos="1424"/>
        </w:tabs>
        <w:spacing w:line="446" w:lineRule="auto"/>
        <w:ind w:right="7600" w:firstLine="2"/>
        <w:rPr>
          <w:sz w:val="21"/>
        </w:rPr>
      </w:pPr>
      <w:r>
        <w:rPr>
          <w:color w:val="333333"/>
          <w:spacing w:val="-3"/>
          <w:sz w:val="21"/>
        </w:rPr>
        <w:t>计</w:t>
      </w:r>
      <w:r>
        <w:rPr>
          <w:color w:val="333333"/>
          <w:spacing w:val="-3"/>
          <w:sz w:val="21"/>
        </w:rPr>
        <w:t xml:space="preserve"> </w:t>
      </w:r>
      <w:r>
        <w:rPr>
          <w:color w:val="333333"/>
          <w:spacing w:val="-3"/>
          <w:sz w:val="21"/>
        </w:rPr>
        <w:t>算</w:t>
      </w:r>
      <w:r>
        <w:rPr>
          <w:color w:val="333333"/>
          <w:spacing w:val="-3"/>
          <w:sz w:val="21"/>
        </w:rPr>
        <w:t xml:space="preserve"> </w:t>
      </w:r>
      <w:r>
        <w:rPr>
          <w:color w:val="333333"/>
          <w:spacing w:val="-3"/>
          <w:sz w:val="21"/>
        </w:rPr>
        <w:t>系</w:t>
      </w:r>
      <w:r>
        <w:rPr>
          <w:color w:val="333333"/>
          <w:spacing w:val="-3"/>
          <w:sz w:val="21"/>
        </w:rPr>
        <w:t xml:space="preserve"> </w:t>
      </w:r>
      <w:r>
        <w:rPr>
          <w:color w:val="333333"/>
          <w:spacing w:val="-3"/>
          <w:sz w:val="21"/>
        </w:rPr>
        <w:t>数</w:t>
      </w:r>
      <w:r>
        <w:rPr>
          <w:color w:val="333333"/>
          <w:spacing w:val="-3"/>
          <w:sz w:val="21"/>
        </w:rPr>
        <w:t xml:space="preserve"> </w:t>
      </w:r>
      <w:r>
        <w:rPr>
          <w:color w:val="333333"/>
          <w:sz w:val="21"/>
        </w:rPr>
        <w:t>α—</w:t>
      </w:r>
      <w:r>
        <w:rPr>
          <w:color w:val="333333"/>
          <w:spacing w:val="-3"/>
          <w:sz w:val="21"/>
        </w:rPr>
        <w:t>—</w:t>
      </w:r>
      <w:r>
        <w:rPr>
          <w:color w:val="333333"/>
          <w:spacing w:val="-3"/>
          <w:sz w:val="21"/>
        </w:rPr>
        <w:t>火灾增长系数；</w:t>
      </w:r>
      <w:r>
        <w:rPr>
          <w:color w:val="333333"/>
          <w:sz w:val="21"/>
        </w:rPr>
        <w:t xml:space="preserve"> </w:t>
      </w:r>
    </w:p>
    <w:p w14:paraId="5D7E80D5" w14:textId="77777777" w:rsidR="00A71EEF" w:rsidRDefault="0081115D">
      <w:pPr>
        <w:pStyle w:val="a3"/>
        <w:spacing w:line="446" w:lineRule="auto"/>
        <w:ind w:left="838" w:right="6287"/>
      </w:pPr>
      <w:r>
        <w:rPr>
          <w:color w:val="333333"/>
        </w:rPr>
        <w:t>αw——</w:t>
      </w:r>
      <w:r>
        <w:rPr>
          <w:color w:val="333333"/>
        </w:rPr>
        <w:t>窗口型烟羽流的修正系数；</w:t>
      </w:r>
      <w:r>
        <w:rPr>
          <w:color w:val="333333"/>
        </w:rPr>
        <w:t xml:space="preserve"> γ——</w:t>
      </w:r>
      <w:r>
        <w:rPr>
          <w:color w:val="333333"/>
        </w:rPr>
        <w:t>排烟位置系数；</w:t>
      </w:r>
      <w:r>
        <w:rPr>
          <w:color w:val="333333"/>
        </w:rPr>
        <w:t xml:space="preserve"> </w:t>
      </w:r>
    </w:p>
    <w:p w14:paraId="59214BBC" w14:textId="77777777" w:rsidR="00A71EEF" w:rsidRDefault="0081115D">
      <w:pPr>
        <w:pStyle w:val="a3"/>
        <w:ind w:left="838"/>
      </w:pPr>
      <w:r>
        <w:rPr>
          <w:color w:val="333333"/>
        </w:rPr>
        <w:t>C0——</w:t>
      </w:r>
      <w:r>
        <w:rPr>
          <w:color w:val="333333"/>
        </w:rPr>
        <w:t>进气口流量系数；</w:t>
      </w:r>
      <w:r>
        <w:rPr>
          <w:color w:val="333333"/>
        </w:rPr>
        <w:t xml:space="preserve"> </w:t>
      </w:r>
    </w:p>
    <w:p w14:paraId="6D635BC3" w14:textId="77777777" w:rsidR="00A71EEF" w:rsidRDefault="00A71EEF">
      <w:pPr>
        <w:pStyle w:val="a3"/>
        <w:rPr>
          <w:sz w:val="18"/>
        </w:rPr>
      </w:pPr>
    </w:p>
    <w:p w14:paraId="17C43A55" w14:textId="77777777" w:rsidR="00A71EEF" w:rsidRDefault="0081115D">
      <w:pPr>
        <w:pStyle w:val="a3"/>
        <w:spacing w:line="446" w:lineRule="auto"/>
        <w:ind w:left="838" w:right="6337"/>
      </w:pPr>
      <w:r>
        <w:rPr>
          <w:color w:val="333333"/>
        </w:rPr>
        <w:t>CV—</w:t>
      </w:r>
      <w:r>
        <w:rPr>
          <w:color w:val="333333"/>
          <w:spacing w:val="-2"/>
        </w:rPr>
        <w:t>—</w:t>
      </w:r>
      <w:r>
        <w:rPr>
          <w:color w:val="333333"/>
          <w:spacing w:val="-2"/>
        </w:rPr>
        <w:t>自然排烟窗</w:t>
      </w:r>
      <w:r>
        <w:rPr>
          <w:color w:val="333333"/>
          <w:spacing w:val="-3"/>
        </w:rPr>
        <w:t>（</w:t>
      </w:r>
      <w:r>
        <w:rPr>
          <w:color w:val="333333"/>
        </w:rPr>
        <w:t>口</w:t>
      </w:r>
      <w:r>
        <w:rPr>
          <w:color w:val="333333"/>
          <w:spacing w:val="-3"/>
        </w:rPr>
        <w:t>）</w:t>
      </w:r>
      <w:r>
        <w:rPr>
          <w:color w:val="333333"/>
          <w:spacing w:val="-2"/>
        </w:rPr>
        <w:t>流量系数；</w:t>
      </w:r>
      <w:r>
        <w:rPr>
          <w:color w:val="333333"/>
          <w:spacing w:val="-2"/>
        </w:rPr>
        <w:t xml:space="preserve"> </w:t>
      </w:r>
      <w:r>
        <w:rPr>
          <w:color w:val="333333"/>
        </w:rPr>
        <w:t>K—</w:t>
      </w:r>
      <w:r>
        <w:rPr>
          <w:color w:val="333333"/>
          <w:spacing w:val="-3"/>
        </w:rPr>
        <w:t>—</w:t>
      </w:r>
      <w:r>
        <w:rPr>
          <w:color w:val="333333"/>
          <w:spacing w:val="-3"/>
        </w:rPr>
        <w:t>烟气中对流放热量因子；</w:t>
      </w:r>
      <w:r>
        <w:rPr>
          <w:color w:val="333333"/>
          <w:spacing w:val="-3"/>
        </w:rPr>
        <w:t xml:space="preserve">  </w:t>
      </w:r>
      <w:r>
        <w:rPr>
          <w:color w:val="333333"/>
        </w:rPr>
        <w:t>n—</w:t>
      </w:r>
      <w:r>
        <w:rPr>
          <w:color w:val="333333"/>
          <w:spacing w:val="-2"/>
        </w:rPr>
        <w:t>—</w:t>
      </w:r>
      <w:r>
        <w:rPr>
          <w:color w:val="333333"/>
          <w:spacing w:val="-2"/>
        </w:rPr>
        <w:t>指数。</w:t>
      </w:r>
      <w:r>
        <w:rPr>
          <w:color w:val="333333"/>
        </w:rPr>
        <w:t xml:space="preserve"> </w:t>
      </w:r>
    </w:p>
    <w:p w14:paraId="5DFE9755" w14:textId="77777777" w:rsidR="00A71EEF" w:rsidRDefault="0081115D">
      <w:pPr>
        <w:pStyle w:val="a4"/>
        <w:numPr>
          <w:ilvl w:val="2"/>
          <w:numId w:val="119"/>
        </w:numPr>
        <w:tabs>
          <w:tab w:val="left" w:pos="1424"/>
        </w:tabs>
        <w:spacing w:line="268" w:lineRule="exact"/>
        <w:ind w:left="1423"/>
        <w:rPr>
          <w:b/>
          <w:color w:val="333333"/>
          <w:sz w:val="21"/>
        </w:rPr>
      </w:pPr>
      <w:r>
        <w:rPr>
          <w:color w:val="333333"/>
          <w:spacing w:val="-3"/>
          <w:sz w:val="21"/>
        </w:rPr>
        <w:t>计算其他符号</w:t>
      </w:r>
      <w:r>
        <w:rPr>
          <w:b/>
          <w:w w:val="99"/>
          <w:sz w:val="21"/>
        </w:rPr>
        <w:t xml:space="preserve"> </w:t>
      </w:r>
    </w:p>
    <w:p w14:paraId="0B008A86" w14:textId="77777777" w:rsidR="00A71EEF" w:rsidRDefault="00A71EEF">
      <w:pPr>
        <w:pStyle w:val="a3"/>
        <w:spacing w:before="12"/>
        <w:rPr>
          <w:b/>
          <w:sz w:val="17"/>
        </w:rPr>
      </w:pPr>
    </w:p>
    <w:p w14:paraId="2ECEE6B6" w14:textId="77777777" w:rsidR="00A71EEF" w:rsidRDefault="0081115D">
      <w:pPr>
        <w:pStyle w:val="a3"/>
        <w:spacing w:line="446" w:lineRule="auto"/>
        <w:ind w:left="838" w:right="6287"/>
        <w:rPr>
          <w:b/>
        </w:rPr>
      </w:pPr>
      <w:r>
        <w:rPr>
          <w:color w:val="333333"/>
        </w:rPr>
        <w:t>N1——</w:t>
      </w:r>
      <w:r>
        <w:rPr>
          <w:color w:val="333333"/>
        </w:rPr>
        <w:t>设计疏散门开启的楼层数量；</w:t>
      </w:r>
      <w:r>
        <w:t xml:space="preserve"> </w:t>
      </w:r>
      <w:r>
        <w:rPr>
          <w:color w:val="333333"/>
        </w:rPr>
        <w:t>N2——</w:t>
      </w:r>
      <w:r>
        <w:rPr>
          <w:color w:val="333333"/>
        </w:rPr>
        <w:t>漏风疏散门的数量；</w:t>
      </w:r>
      <w:r>
        <w:rPr>
          <w:b/>
          <w:w w:val="99"/>
        </w:rPr>
        <w:t xml:space="preserve"> </w:t>
      </w:r>
    </w:p>
    <w:p w14:paraId="52759827" w14:textId="77777777" w:rsidR="00A71EEF" w:rsidRDefault="00A71EEF">
      <w:pPr>
        <w:spacing w:line="446" w:lineRule="auto"/>
        <w:sectPr w:rsidR="00A71EEF">
          <w:pgSz w:w="11910" w:h="16850"/>
          <w:pgMar w:top="1220" w:right="0" w:bottom="1420" w:left="1260" w:header="0" w:footer="1239" w:gutter="0"/>
          <w:cols w:space="720"/>
        </w:sectPr>
      </w:pPr>
    </w:p>
    <w:p w14:paraId="045AE750" w14:textId="77777777" w:rsidR="00A71EEF" w:rsidRDefault="0081115D">
      <w:pPr>
        <w:pStyle w:val="a3"/>
        <w:spacing w:before="47"/>
        <w:ind w:left="838"/>
        <w:rPr>
          <w:b/>
        </w:rPr>
      </w:pPr>
      <w:r>
        <w:rPr>
          <w:color w:val="333333"/>
        </w:rPr>
        <w:t>N3——</w:t>
      </w:r>
      <w:r>
        <w:rPr>
          <w:color w:val="333333"/>
        </w:rPr>
        <w:t>漏风阀门的数量。</w:t>
      </w:r>
      <w:r>
        <w:rPr>
          <w:b/>
          <w:w w:val="99"/>
        </w:rPr>
        <w:t xml:space="preserve"> </w:t>
      </w:r>
    </w:p>
    <w:p w14:paraId="2E68A50E" w14:textId="77777777" w:rsidR="00A71EEF" w:rsidRDefault="00A71EEF">
      <w:pPr>
        <w:pStyle w:val="a3"/>
        <w:spacing w:before="8"/>
        <w:rPr>
          <w:b/>
          <w:sz w:val="15"/>
        </w:rPr>
      </w:pPr>
    </w:p>
    <w:p w14:paraId="7F90DE60" w14:textId="77777777" w:rsidR="00A71EEF" w:rsidRDefault="0081115D">
      <w:pPr>
        <w:pStyle w:val="4"/>
        <w:spacing w:before="1"/>
      </w:pPr>
      <w:r>
        <w:t xml:space="preserve">3 </w:t>
      </w:r>
      <w:r>
        <w:t>防烟系统设计</w:t>
      </w:r>
      <w:r>
        <w:rPr>
          <w:w w:val="99"/>
        </w:rPr>
        <w:t xml:space="preserve"> </w:t>
      </w:r>
    </w:p>
    <w:p w14:paraId="73B01656" w14:textId="77777777" w:rsidR="00A71EEF" w:rsidRDefault="00A71EEF">
      <w:pPr>
        <w:pStyle w:val="a3"/>
        <w:spacing w:before="3"/>
        <w:rPr>
          <w:b/>
          <w:sz w:val="17"/>
        </w:rPr>
      </w:pPr>
    </w:p>
    <w:p w14:paraId="4555DF0C" w14:textId="77777777" w:rsidR="00A71EEF" w:rsidRDefault="0081115D">
      <w:pPr>
        <w:pStyle w:val="a4"/>
        <w:numPr>
          <w:ilvl w:val="1"/>
          <w:numId w:val="118"/>
        </w:numPr>
        <w:tabs>
          <w:tab w:val="left" w:pos="1160"/>
        </w:tabs>
        <w:spacing w:before="1"/>
        <w:rPr>
          <w:b/>
          <w:sz w:val="21"/>
        </w:rPr>
      </w:pPr>
      <w:r>
        <w:rPr>
          <w:spacing w:val="-3"/>
          <w:sz w:val="21"/>
        </w:rPr>
        <w:t>一般规定</w:t>
      </w:r>
      <w:r>
        <w:rPr>
          <w:b/>
          <w:w w:val="99"/>
          <w:sz w:val="21"/>
        </w:rPr>
        <w:t xml:space="preserve"> </w:t>
      </w:r>
    </w:p>
    <w:p w14:paraId="0A5AA84E" w14:textId="77777777" w:rsidR="00A71EEF" w:rsidRDefault="00A71EEF">
      <w:pPr>
        <w:pStyle w:val="a3"/>
        <w:spacing w:before="1"/>
        <w:rPr>
          <w:b/>
          <w:sz w:val="18"/>
        </w:rPr>
      </w:pPr>
    </w:p>
    <w:p w14:paraId="52F75CC0" w14:textId="77777777" w:rsidR="00A71EEF" w:rsidRDefault="0081115D">
      <w:pPr>
        <w:pStyle w:val="a4"/>
        <w:numPr>
          <w:ilvl w:val="2"/>
          <w:numId w:val="118"/>
        </w:numPr>
        <w:tabs>
          <w:tab w:val="left" w:pos="1424"/>
        </w:tabs>
        <w:spacing w:line="446" w:lineRule="auto"/>
        <w:ind w:right="1445" w:firstLine="422"/>
        <w:rPr>
          <w:sz w:val="21"/>
        </w:rPr>
      </w:pPr>
      <w:r>
        <w:rPr>
          <w:spacing w:val="-3"/>
          <w:sz w:val="21"/>
        </w:rPr>
        <w:t>建筑防烟系统的设计应根据建筑高度、使用性质等因素，采用自然通风系统或机械加压送风系统。</w:t>
      </w:r>
      <w:r>
        <w:rPr>
          <w:sz w:val="21"/>
        </w:rPr>
        <w:t xml:space="preserve"> </w:t>
      </w:r>
    </w:p>
    <w:p w14:paraId="76AE163A" w14:textId="77777777" w:rsidR="00A71EEF" w:rsidRDefault="0081115D">
      <w:pPr>
        <w:pStyle w:val="a4"/>
        <w:numPr>
          <w:ilvl w:val="2"/>
          <w:numId w:val="118"/>
        </w:numPr>
        <w:tabs>
          <w:tab w:val="left" w:pos="1424"/>
        </w:tabs>
        <w:spacing w:line="446" w:lineRule="auto"/>
        <w:ind w:right="1553" w:firstLine="422"/>
        <w:rPr>
          <w:sz w:val="21"/>
        </w:rPr>
      </w:pPr>
      <w:r>
        <w:rPr>
          <w:spacing w:val="-9"/>
          <w:sz w:val="21"/>
        </w:rPr>
        <w:t>建筑高度大于</w:t>
      </w:r>
      <w:r>
        <w:rPr>
          <w:spacing w:val="-9"/>
          <w:sz w:val="21"/>
        </w:rPr>
        <w:t xml:space="preserve"> </w:t>
      </w:r>
      <w:r>
        <w:rPr>
          <w:sz w:val="21"/>
        </w:rPr>
        <w:t>50m</w:t>
      </w:r>
      <w:r>
        <w:rPr>
          <w:spacing w:val="-10"/>
          <w:sz w:val="21"/>
        </w:rPr>
        <w:t xml:space="preserve"> </w:t>
      </w:r>
      <w:r>
        <w:rPr>
          <w:spacing w:val="-10"/>
          <w:sz w:val="21"/>
        </w:rPr>
        <w:t>的公共建筑、工业建筑和建筑高度大于</w:t>
      </w:r>
      <w:r>
        <w:rPr>
          <w:spacing w:val="-10"/>
          <w:sz w:val="21"/>
        </w:rPr>
        <w:t xml:space="preserve"> </w:t>
      </w:r>
      <w:r>
        <w:rPr>
          <w:sz w:val="21"/>
        </w:rPr>
        <w:t>100m</w:t>
      </w:r>
      <w:r>
        <w:rPr>
          <w:spacing w:val="-8"/>
          <w:sz w:val="21"/>
        </w:rPr>
        <w:t xml:space="preserve"> </w:t>
      </w:r>
      <w:r>
        <w:rPr>
          <w:spacing w:val="-8"/>
          <w:sz w:val="21"/>
        </w:rPr>
        <w:t>的住宅建筑，其防烟</w:t>
      </w:r>
      <w:r>
        <w:rPr>
          <w:spacing w:val="-5"/>
          <w:sz w:val="21"/>
        </w:rPr>
        <w:t>楼梯间、独立前室、共用前室、合用前室及消防电梯前室应采用机械加压送风系统。</w:t>
      </w:r>
      <w:r>
        <w:rPr>
          <w:sz w:val="21"/>
        </w:rPr>
        <w:t xml:space="preserve"> </w:t>
      </w:r>
    </w:p>
    <w:p w14:paraId="0F979F2B" w14:textId="77777777" w:rsidR="00A71EEF" w:rsidRDefault="0081115D">
      <w:pPr>
        <w:pStyle w:val="a4"/>
        <w:numPr>
          <w:ilvl w:val="2"/>
          <w:numId w:val="118"/>
        </w:numPr>
        <w:tabs>
          <w:tab w:val="left" w:pos="1424"/>
        </w:tabs>
        <w:spacing w:line="446" w:lineRule="auto"/>
        <w:ind w:right="1551" w:firstLine="422"/>
        <w:rPr>
          <w:sz w:val="21"/>
        </w:rPr>
      </w:pPr>
      <w:r>
        <w:rPr>
          <w:spacing w:val="-7"/>
          <w:sz w:val="21"/>
        </w:rPr>
        <w:t>建筑高度小于或等于</w:t>
      </w:r>
      <w:r>
        <w:rPr>
          <w:spacing w:val="-7"/>
          <w:sz w:val="21"/>
        </w:rPr>
        <w:t xml:space="preserve"> </w:t>
      </w:r>
      <w:r>
        <w:rPr>
          <w:sz w:val="21"/>
        </w:rPr>
        <w:t>50m</w:t>
      </w:r>
      <w:r>
        <w:rPr>
          <w:spacing w:val="-10"/>
          <w:sz w:val="21"/>
        </w:rPr>
        <w:t xml:space="preserve"> </w:t>
      </w:r>
      <w:r>
        <w:rPr>
          <w:spacing w:val="-10"/>
          <w:sz w:val="21"/>
        </w:rPr>
        <w:t>的公共建筑、工业建筑和建筑高度小于或等于</w:t>
      </w:r>
      <w:r>
        <w:rPr>
          <w:spacing w:val="-10"/>
          <w:sz w:val="21"/>
        </w:rPr>
        <w:t xml:space="preserve"> </w:t>
      </w:r>
      <w:r>
        <w:rPr>
          <w:sz w:val="21"/>
        </w:rPr>
        <w:t>100m</w:t>
      </w:r>
      <w:r>
        <w:rPr>
          <w:spacing w:val="-12"/>
          <w:sz w:val="21"/>
        </w:rPr>
        <w:t xml:space="preserve"> </w:t>
      </w:r>
      <w:r>
        <w:rPr>
          <w:spacing w:val="-12"/>
          <w:sz w:val="21"/>
        </w:rPr>
        <w:t>的住宅</w:t>
      </w:r>
      <w:r>
        <w:rPr>
          <w:spacing w:val="-6"/>
          <w:sz w:val="21"/>
        </w:rPr>
        <w:t>建筑，其防烟楼梯间、独立前室、共用前室、合用前室</w:t>
      </w:r>
      <w:r>
        <w:rPr>
          <w:spacing w:val="-3"/>
          <w:sz w:val="21"/>
        </w:rPr>
        <w:t>（除共用前室与消防电梯前室合用外</w:t>
      </w:r>
      <w:r>
        <w:rPr>
          <w:sz w:val="21"/>
        </w:rPr>
        <w:t>）</w:t>
      </w:r>
      <w:r>
        <w:rPr>
          <w:sz w:val="21"/>
        </w:rPr>
        <w:t xml:space="preserve"> </w:t>
      </w:r>
      <w:r>
        <w:rPr>
          <w:spacing w:val="-3"/>
          <w:sz w:val="21"/>
        </w:rPr>
        <w:t>及消防电梯前室应采用自然通风系统；当不能设置自然通风系统时，应采用机械加压送风系</w:t>
      </w:r>
      <w:r>
        <w:rPr>
          <w:spacing w:val="-3"/>
          <w:sz w:val="21"/>
        </w:rPr>
        <w:t xml:space="preserve">  </w:t>
      </w:r>
      <w:r>
        <w:rPr>
          <w:spacing w:val="-3"/>
          <w:sz w:val="21"/>
        </w:rPr>
        <w:t>统。</w:t>
      </w:r>
      <w:r>
        <w:rPr>
          <w:spacing w:val="-3"/>
          <w:sz w:val="21"/>
        </w:rPr>
        <w:t>防烟系统的选择，尚应符合下列规定：</w:t>
      </w:r>
      <w:r>
        <w:rPr>
          <w:sz w:val="21"/>
        </w:rPr>
        <w:t xml:space="preserve"> </w:t>
      </w:r>
    </w:p>
    <w:p w14:paraId="46C1DDE8" w14:textId="77777777" w:rsidR="00A71EEF" w:rsidRDefault="0081115D">
      <w:pPr>
        <w:pStyle w:val="a3"/>
        <w:spacing w:line="446" w:lineRule="auto"/>
        <w:ind w:left="838" w:right="2977"/>
      </w:pPr>
      <w:r>
        <w:t>当独立前室或合用前室满足下列条件之一时，楼梯间可不设置防烟系统：</w:t>
      </w:r>
      <w:r>
        <w:t xml:space="preserve"> 1</w:t>
      </w:r>
      <w:r>
        <w:t>）采用全敞开的阳台或凹廊；</w:t>
      </w:r>
      <w:r>
        <w:t xml:space="preserve"> </w:t>
      </w:r>
    </w:p>
    <w:p w14:paraId="166AEA58" w14:textId="77777777" w:rsidR="00A71EEF" w:rsidRDefault="0081115D">
      <w:pPr>
        <w:pStyle w:val="a3"/>
        <w:ind w:left="838"/>
      </w:pPr>
      <w:r>
        <w:t>2</w:t>
      </w:r>
      <w:r>
        <w:t>）设有两个及以上不同朝向的可开启外窗，且独立前室两个外窗面积分别不小于</w:t>
      </w:r>
    </w:p>
    <w:p w14:paraId="1EACFC60" w14:textId="77777777" w:rsidR="00A71EEF" w:rsidRDefault="00A71EEF">
      <w:pPr>
        <w:pStyle w:val="a3"/>
        <w:spacing w:before="11"/>
        <w:rPr>
          <w:sz w:val="16"/>
        </w:rPr>
      </w:pPr>
    </w:p>
    <w:p w14:paraId="6D5AB082" w14:textId="77777777" w:rsidR="00A71EEF" w:rsidRDefault="0081115D">
      <w:pPr>
        <w:pStyle w:val="a3"/>
        <w:ind w:left="418"/>
        <w:jc w:val="both"/>
      </w:pPr>
      <w:r>
        <w:t>2.0m</w:t>
      </w:r>
      <w:r>
        <w:rPr>
          <w:position w:val="11"/>
          <w:sz w:val="11"/>
        </w:rPr>
        <w:t>2</w:t>
      </w:r>
      <w:r>
        <w:rPr>
          <w:sz w:val="11"/>
        </w:rPr>
        <w:t xml:space="preserve"> </w:t>
      </w:r>
      <w:r>
        <w:rPr>
          <w:spacing w:val="-6"/>
        </w:rPr>
        <w:t>，合用前室两个外窗面积分别不小于</w:t>
      </w:r>
      <w:r>
        <w:rPr>
          <w:spacing w:val="-6"/>
        </w:rPr>
        <w:t xml:space="preserve"> </w:t>
      </w:r>
      <w:r>
        <w:t>3.0m</w:t>
      </w:r>
      <w:r>
        <w:rPr>
          <w:position w:val="11"/>
          <w:sz w:val="11"/>
        </w:rPr>
        <w:t>2</w:t>
      </w:r>
      <w:r>
        <w:t>。</w:t>
      </w:r>
      <w:r>
        <w:t xml:space="preserve"> </w:t>
      </w:r>
    </w:p>
    <w:p w14:paraId="4B326FED" w14:textId="77777777" w:rsidR="00A71EEF" w:rsidRDefault="00A71EEF">
      <w:pPr>
        <w:pStyle w:val="a3"/>
        <w:spacing w:before="2"/>
        <w:rPr>
          <w:sz w:val="18"/>
        </w:rPr>
      </w:pPr>
    </w:p>
    <w:p w14:paraId="68FCA4F2" w14:textId="77777777" w:rsidR="00A71EEF" w:rsidRDefault="0081115D">
      <w:pPr>
        <w:pStyle w:val="a3"/>
        <w:spacing w:line="446" w:lineRule="auto"/>
        <w:ind w:left="418" w:right="1608" w:firstLine="419"/>
        <w:jc w:val="both"/>
      </w:pPr>
      <w:r>
        <w:t>当独立前室、共用前室及合用前室的机械加压送风口设置在前室的顶部或正对前室入口的墙面时，楼梯间可采用自然通风系统；当机械加压送风口未设置在前室的顶部或正对前室入口的墙面时，楼梯间应采用机械加压送风系统。</w:t>
      </w:r>
      <w:r>
        <w:t xml:space="preserve"> </w:t>
      </w:r>
    </w:p>
    <w:p w14:paraId="3F50CD8D" w14:textId="77777777" w:rsidR="00A71EEF" w:rsidRDefault="0081115D">
      <w:pPr>
        <w:pStyle w:val="a3"/>
        <w:spacing w:line="446" w:lineRule="auto"/>
        <w:ind w:left="418" w:right="1608" w:firstLine="419"/>
        <w:jc w:val="both"/>
      </w:pPr>
      <w:r>
        <w:t>当防烟楼梯间在裙房高度以上部分采用自然通风时，不具备自然通风条件的裙房的独立前室、共用前室及合用前室应采用机械加压送风系统，且独立前室、共用前室及合用前室送风口的设置方式应符合本条第</w:t>
      </w:r>
      <w:r>
        <w:t xml:space="preserve"> 2 </w:t>
      </w:r>
      <w:r>
        <w:t>款的规定。</w:t>
      </w:r>
      <w:r>
        <w:t xml:space="preserve"> </w:t>
      </w:r>
    </w:p>
    <w:p w14:paraId="19EA7ACF" w14:textId="77777777" w:rsidR="00A71EEF" w:rsidRDefault="0081115D">
      <w:pPr>
        <w:pStyle w:val="a4"/>
        <w:numPr>
          <w:ilvl w:val="2"/>
          <w:numId w:val="118"/>
        </w:numPr>
        <w:tabs>
          <w:tab w:val="left" w:pos="1424"/>
        </w:tabs>
        <w:spacing w:line="446" w:lineRule="auto"/>
        <w:ind w:right="1445" w:firstLine="422"/>
        <w:rPr>
          <w:sz w:val="21"/>
        </w:rPr>
      </w:pPr>
      <w:r>
        <w:rPr>
          <w:spacing w:val="-3"/>
          <w:sz w:val="21"/>
        </w:rPr>
        <w:t>建筑地下部分的防烟楼梯间前室及消防电梯前室，当无自然通风条件或自然通风不符合要求时，应采用机械加压送风系统。</w:t>
      </w:r>
      <w:r>
        <w:rPr>
          <w:sz w:val="21"/>
        </w:rPr>
        <w:t xml:space="preserve"> </w:t>
      </w:r>
    </w:p>
    <w:p w14:paraId="53760FD8" w14:textId="77777777" w:rsidR="00A71EEF" w:rsidRDefault="0081115D">
      <w:pPr>
        <w:pStyle w:val="a4"/>
        <w:numPr>
          <w:ilvl w:val="2"/>
          <w:numId w:val="118"/>
        </w:numPr>
        <w:tabs>
          <w:tab w:val="left" w:pos="1424"/>
        </w:tabs>
        <w:spacing w:line="267" w:lineRule="exact"/>
        <w:ind w:left="1423"/>
        <w:rPr>
          <w:sz w:val="21"/>
        </w:rPr>
      </w:pPr>
      <w:r>
        <w:rPr>
          <w:spacing w:val="-3"/>
          <w:sz w:val="21"/>
        </w:rPr>
        <w:t>防烟楼梯间及其前室的机械加压送风系统的设置应符合下列规定：</w:t>
      </w:r>
      <w:r>
        <w:rPr>
          <w:sz w:val="21"/>
        </w:rPr>
        <w:t xml:space="preserve"> </w:t>
      </w:r>
    </w:p>
    <w:p w14:paraId="734AB798" w14:textId="77777777" w:rsidR="00A71EEF" w:rsidRDefault="00A71EEF">
      <w:pPr>
        <w:pStyle w:val="a3"/>
        <w:rPr>
          <w:sz w:val="18"/>
        </w:rPr>
      </w:pPr>
    </w:p>
    <w:p w14:paraId="1472322A" w14:textId="77777777" w:rsidR="00A71EEF" w:rsidRDefault="0081115D">
      <w:pPr>
        <w:pStyle w:val="a3"/>
        <w:spacing w:line="446" w:lineRule="auto"/>
        <w:ind w:left="418" w:right="1505" w:firstLine="419"/>
      </w:pPr>
      <w:r>
        <w:rPr>
          <w:spacing w:val="-7"/>
        </w:rPr>
        <w:t>建筑高度小于或等于</w:t>
      </w:r>
      <w:r>
        <w:rPr>
          <w:spacing w:val="-7"/>
        </w:rPr>
        <w:t xml:space="preserve"> </w:t>
      </w:r>
      <w:r>
        <w:t>50m</w:t>
      </w:r>
      <w:r>
        <w:rPr>
          <w:spacing w:val="-10"/>
        </w:rPr>
        <w:t xml:space="preserve"> </w:t>
      </w:r>
      <w:r>
        <w:rPr>
          <w:spacing w:val="-10"/>
        </w:rPr>
        <w:t>的公共建筑、工业建筑和建筑高度小于或等于</w:t>
      </w:r>
      <w:r>
        <w:rPr>
          <w:spacing w:val="-10"/>
        </w:rPr>
        <w:t xml:space="preserve"> </w:t>
      </w:r>
      <w:r>
        <w:t>100m</w:t>
      </w:r>
      <w:r>
        <w:rPr>
          <w:spacing w:val="-9"/>
        </w:rPr>
        <w:t xml:space="preserve"> </w:t>
      </w:r>
      <w:r>
        <w:rPr>
          <w:spacing w:val="-9"/>
        </w:rPr>
        <w:t>的住宅建筑，</w:t>
      </w:r>
      <w:r>
        <w:rPr>
          <w:spacing w:val="-9"/>
        </w:rPr>
        <w:t xml:space="preserve"> </w:t>
      </w:r>
      <w:r>
        <w:rPr>
          <w:spacing w:val="-5"/>
        </w:rPr>
        <w:t>当采用独立前室且其仅有一个门与走道或房间相通时，可仅在楼梯间设置机械加压送风系统；</w:t>
      </w:r>
      <w:r>
        <w:rPr>
          <w:spacing w:val="-5"/>
        </w:rPr>
        <w:t xml:space="preserve"> </w:t>
      </w:r>
      <w:r>
        <w:rPr>
          <w:spacing w:val="-4"/>
        </w:rPr>
        <w:t>当独立前室有多个门时，楼梯间、独立前室应分别独立设置机械加压送风系统。</w:t>
      </w:r>
      <w:r>
        <w:t xml:space="preserve"> </w:t>
      </w:r>
    </w:p>
    <w:p w14:paraId="7BFB371E" w14:textId="77777777" w:rsidR="00A71EEF" w:rsidRDefault="0081115D">
      <w:pPr>
        <w:pStyle w:val="a3"/>
        <w:spacing w:line="268" w:lineRule="exact"/>
        <w:ind w:left="838"/>
      </w:pPr>
      <w:r>
        <w:rPr>
          <w:spacing w:val="-3"/>
        </w:rPr>
        <w:t>当采用合用前室时，楼梯间、合用前室应分别独立设置机械加压送风系统。</w:t>
      </w:r>
      <w:r>
        <w:rPr>
          <w:spacing w:val="-3"/>
        </w:rPr>
        <w:t xml:space="preserve"> </w:t>
      </w:r>
    </w:p>
    <w:p w14:paraId="6F7E6D23" w14:textId="77777777" w:rsidR="00A71EEF" w:rsidRDefault="00A71EEF">
      <w:pPr>
        <w:spacing w:line="268" w:lineRule="exact"/>
        <w:sectPr w:rsidR="00A71EEF">
          <w:pgSz w:w="11910" w:h="16850"/>
          <w:pgMar w:top="1220" w:right="0" w:bottom="1420" w:left="1260" w:header="0" w:footer="1239" w:gutter="0"/>
          <w:cols w:space="720"/>
        </w:sectPr>
      </w:pPr>
    </w:p>
    <w:p w14:paraId="602DBFA4" w14:textId="77777777" w:rsidR="00A71EEF" w:rsidRDefault="0081115D">
      <w:pPr>
        <w:pStyle w:val="a3"/>
        <w:spacing w:before="47" w:line="446" w:lineRule="auto"/>
        <w:ind w:left="840" w:right="1604" w:hanging="3"/>
      </w:pPr>
      <w:r>
        <w:rPr>
          <w:spacing w:val="-3"/>
        </w:rPr>
        <w:t>当采用剪刀楼梯时，其两个楼梯间及其前室的机械加压送风系统应分别独立设置。</w:t>
      </w:r>
      <w:r>
        <w:rPr>
          <w:spacing w:val="-3"/>
        </w:rPr>
        <w:t xml:space="preserve">  </w:t>
      </w:r>
      <w:r>
        <w:rPr>
          <w:b/>
          <w:spacing w:val="-3"/>
        </w:rPr>
        <w:t>3.1.6</w:t>
      </w:r>
      <w:r>
        <w:rPr>
          <w:b/>
          <w:spacing w:val="37"/>
        </w:rPr>
        <w:t xml:space="preserve"> </w:t>
      </w:r>
      <w:r>
        <w:rPr>
          <w:spacing w:val="-3"/>
        </w:rPr>
        <w:t>封闭楼梯间应采用自然通风系统，不能满足自然通风条件的封闭楼梯间，应设置机</w:t>
      </w:r>
    </w:p>
    <w:p w14:paraId="561DCE05" w14:textId="77777777" w:rsidR="00A71EEF" w:rsidRDefault="0081115D">
      <w:pPr>
        <w:pStyle w:val="a3"/>
        <w:spacing w:line="441" w:lineRule="auto"/>
        <w:ind w:left="418" w:right="1400"/>
      </w:pPr>
      <w:r>
        <w:t>械加压送风系统。当地下、半地下建筑（室）的封闭楼梯间不与地上楼梯间共用且地下仅为一层时，可不设置机械加压送风系统，但首层应设置有效面积不小于</w:t>
      </w:r>
      <w:r>
        <w:t xml:space="preserve"> 1.2m</w:t>
      </w:r>
      <w:r>
        <w:rPr>
          <w:position w:val="11"/>
          <w:sz w:val="11"/>
        </w:rPr>
        <w:t xml:space="preserve">2 </w:t>
      </w:r>
      <w:r>
        <w:t>的可开启外窗或直通室外的疏散门。</w:t>
      </w:r>
      <w:r>
        <w:t xml:space="preserve"> </w:t>
      </w:r>
    </w:p>
    <w:p w14:paraId="50756EAE" w14:textId="77777777" w:rsidR="00A71EEF" w:rsidRDefault="0081115D">
      <w:pPr>
        <w:pStyle w:val="a4"/>
        <w:numPr>
          <w:ilvl w:val="2"/>
          <w:numId w:val="117"/>
        </w:numPr>
        <w:tabs>
          <w:tab w:val="left" w:pos="1424"/>
        </w:tabs>
        <w:spacing w:before="3" w:line="446" w:lineRule="auto"/>
        <w:ind w:right="1445" w:firstLine="422"/>
        <w:rPr>
          <w:sz w:val="21"/>
        </w:rPr>
      </w:pPr>
      <w:r>
        <w:rPr>
          <w:spacing w:val="-3"/>
          <w:sz w:val="21"/>
        </w:rPr>
        <w:t>设置机械加压送风系统的场所，楼梯间应设置常开风口，前室应设置常闭风口；火灾</w:t>
      </w:r>
      <w:r>
        <w:rPr>
          <w:spacing w:val="-7"/>
          <w:sz w:val="21"/>
        </w:rPr>
        <w:t>时其联动开启方式应符合本标准第</w:t>
      </w:r>
      <w:r>
        <w:rPr>
          <w:spacing w:val="-7"/>
          <w:sz w:val="21"/>
        </w:rPr>
        <w:t xml:space="preserve"> </w:t>
      </w:r>
      <w:r>
        <w:rPr>
          <w:sz w:val="21"/>
        </w:rPr>
        <w:t>5.1.3</w:t>
      </w:r>
      <w:r>
        <w:rPr>
          <w:spacing w:val="-11"/>
          <w:sz w:val="21"/>
        </w:rPr>
        <w:t xml:space="preserve"> </w:t>
      </w:r>
      <w:r>
        <w:rPr>
          <w:spacing w:val="-11"/>
          <w:sz w:val="21"/>
        </w:rPr>
        <w:t>条的规</w:t>
      </w:r>
      <w:r>
        <w:rPr>
          <w:spacing w:val="-11"/>
          <w:sz w:val="21"/>
        </w:rPr>
        <w:t>定。</w:t>
      </w:r>
      <w:r>
        <w:rPr>
          <w:spacing w:val="-11"/>
          <w:sz w:val="21"/>
        </w:rPr>
        <w:t xml:space="preserve"> </w:t>
      </w:r>
    </w:p>
    <w:p w14:paraId="4423F362" w14:textId="77777777" w:rsidR="00A71EEF" w:rsidRDefault="0081115D">
      <w:pPr>
        <w:pStyle w:val="a4"/>
        <w:numPr>
          <w:ilvl w:val="2"/>
          <w:numId w:val="117"/>
        </w:numPr>
        <w:tabs>
          <w:tab w:val="left" w:pos="1424"/>
        </w:tabs>
        <w:spacing w:line="446" w:lineRule="auto"/>
        <w:ind w:right="1445" w:firstLine="422"/>
        <w:rPr>
          <w:sz w:val="21"/>
        </w:rPr>
      </w:pPr>
      <w:r>
        <w:rPr>
          <w:spacing w:val="-3"/>
          <w:sz w:val="21"/>
        </w:rPr>
        <w:t>避难层的防烟系统可根据建筑构造、设备布置等因素选择自然通风系统或机械加压送风系统。</w:t>
      </w:r>
      <w:r>
        <w:rPr>
          <w:sz w:val="21"/>
        </w:rPr>
        <w:t xml:space="preserve"> </w:t>
      </w:r>
    </w:p>
    <w:p w14:paraId="323CDF34" w14:textId="77777777" w:rsidR="00A71EEF" w:rsidRDefault="0081115D">
      <w:pPr>
        <w:pStyle w:val="a4"/>
        <w:numPr>
          <w:ilvl w:val="2"/>
          <w:numId w:val="117"/>
        </w:numPr>
        <w:tabs>
          <w:tab w:val="left" w:pos="1424"/>
        </w:tabs>
        <w:spacing w:line="446" w:lineRule="auto"/>
        <w:ind w:right="1445" w:firstLine="422"/>
        <w:rPr>
          <w:sz w:val="21"/>
        </w:rPr>
      </w:pPr>
      <w:r>
        <w:rPr>
          <w:spacing w:val="-3"/>
          <w:sz w:val="21"/>
        </w:rPr>
        <w:t>避难走道应在其前室及避难走道分别设置机械加压送风系统，但下列情况可仅在前室设置机械加压送风系统：</w:t>
      </w:r>
      <w:r>
        <w:rPr>
          <w:sz w:val="21"/>
        </w:rPr>
        <w:t xml:space="preserve"> </w:t>
      </w:r>
    </w:p>
    <w:p w14:paraId="644B973E" w14:textId="77777777" w:rsidR="00A71EEF" w:rsidRDefault="0081115D">
      <w:pPr>
        <w:pStyle w:val="a3"/>
        <w:spacing w:line="446" w:lineRule="auto"/>
        <w:ind w:left="838" w:right="5130"/>
        <w:jc w:val="both"/>
        <w:rPr>
          <w:b/>
        </w:rPr>
      </w:pPr>
      <w:r>
        <w:t>避难走道一端设置安全出口，且总长度小于</w:t>
      </w:r>
      <w:r>
        <w:t xml:space="preserve"> 30m</w:t>
      </w:r>
      <w:r>
        <w:t>；</w:t>
      </w:r>
      <w:r>
        <w:t xml:space="preserve"> </w:t>
      </w:r>
      <w:r>
        <w:t>避难走道两端设置安全出口，且总长度小于</w:t>
      </w:r>
      <w:r>
        <w:t xml:space="preserve"> 60m</w:t>
      </w:r>
      <w:r>
        <w:t>。</w:t>
      </w:r>
      <w:r>
        <w:rPr>
          <w:b/>
        </w:rPr>
        <w:t xml:space="preserve">3.2 </w:t>
      </w:r>
      <w:r>
        <w:t>自然通风设施</w:t>
      </w:r>
      <w:r>
        <w:rPr>
          <w:b/>
          <w:w w:val="99"/>
        </w:rPr>
        <w:t xml:space="preserve"> </w:t>
      </w:r>
    </w:p>
    <w:p w14:paraId="42F61F0F" w14:textId="77777777" w:rsidR="00A71EEF" w:rsidRDefault="0081115D">
      <w:pPr>
        <w:pStyle w:val="a4"/>
        <w:numPr>
          <w:ilvl w:val="2"/>
          <w:numId w:val="116"/>
        </w:numPr>
        <w:tabs>
          <w:tab w:val="left" w:pos="1424"/>
        </w:tabs>
        <w:spacing w:line="441" w:lineRule="auto"/>
        <w:ind w:right="1548" w:firstLine="422"/>
        <w:jc w:val="both"/>
        <w:rPr>
          <w:sz w:val="21"/>
        </w:rPr>
      </w:pPr>
      <w:r>
        <w:rPr>
          <w:spacing w:val="-4"/>
          <w:sz w:val="21"/>
        </w:rPr>
        <w:t>采用自然通风方式的封闭楼梯间、防烟楼梯间，应在最高部位设置面积不小于</w:t>
      </w:r>
      <w:r>
        <w:rPr>
          <w:spacing w:val="-4"/>
          <w:sz w:val="21"/>
        </w:rPr>
        <w:t xml:space="preserve"> </w:t>
      </w:r>
      <w:r>
        <w:rPr>
          <w:sz w:val="21"/>
        </w:rPr>
        <w:t>1.0m</w:t>
      </w:r>
      <w:r>
        <w:rPr>
          <w:position w:val="11"/>
          <w:sz w:val="11"/>
        </w:rPr>
        <w:t xml:space="preserve">2 </w:t>
      </w:r>
      <w:r>
        <w:rPr>
          <w:spacing w:val="-6"/>
          <w:sz w:val="21"/>
        </w:rPr>
        <w:t>的可开启外窗或开口；当建筑高度大于</w:t>
      </w:r>
      <w:r>
        <w:rPr>
          <w:spacing w:val="-6"/>
          <w:sz w:val="21"/>
        </w:rPr>
        <w:t xml:space="preserve"> </w:t>
      </w:r>
      <w:r>
        <w:rPr>
          <w:sz w:val="21"/>
        </w:rPr>
        <w:t>10m</w:t>
      </w:r>
      <w:r>
        <w:rPr>
          <w:spacing w:val="-7"/>
          <w:sz w:val="21"/>
        </w:rPr>
        <w:t xml:space="preserve"> </w:t>
      </w:r>
      <w:r>
        <w:rPr>
          <w:spacing w:val="-7"/>
          <w:sz w:val="21"/>
        </w:rPr>
        <w:t>时，尚应在楼梯间的外墙上每</w:t>
      </w:r>
      <w:r>
        <w:rPr>
          <w:spacing w:val="-7"/>
          <w:sz w:val="21"/>
        </w:rPr>
        <w:t xml:space="preserve"> </w:t>
      </w:r>
      <w:r>
        <w:rPr>
          <w:sz w:val="21"/>
        </w:rPr>
        <w:t>5</w:t>
      </w:r>
      <w:r>
        <w:rPr>
          <w:spacing w:val="-8"/>
          <w:sz w:val="21"/>
        </w:rPr>
        <w:t xml:space="preserve"> </w:t>
      </w:r>
      <w:r>
        <w:rPr>
          <w:spacing w:val="-8"/>
          <w:sz w:val="21"/>
        </w:rPr>
        <w:t>层内设置总面积不</w:t>
      </w:r>
      <w:r>
        <w:rPr>
          <w:spacing w:val="-24"/>
          <w:sz w:val="21"/>
        </w:rPr>
        <w:t>小于</w:t>
      </w:r>
      <w:r>
        <w:rPr>
          <w:spacing w:val="-24"/>
          <w:sz w:val="21"/>
        </w:rPr>
        <w:t xml:space="preserve"> </w:t>
      </w:r>
      <w:r>
        <w:rPr>
          <w:sz w:val="21"/>
        </w:rPr>
        <w:t>2.0</w:t>
      </w:r>
      <w:r>
        <w:rPr>
          <w:spacing w:val="1"/>
          <w:sz w:val="21"/>
        </w:rPr>
        <w:t xml:space="preserve"> </w:t>
      </w:r>
      <w:r>
        <w:rPr>
          <w:sz w:val="21"/>
        </w:rPr>
        <w:t>m</w:t>
      </w:r>
      <w:r>
        <w:rPr>
          <w:position w:val="11"/>
          <w:sz w:val="11"/>
        </w:rPr>
        <w:t>2</w:t>
      </w:r>
      <w:r>
        <w:rPr>
          <w:spacing w:val="47"/>
          <w:sz w:val="11"/>
        </w:rPr>
        <w:t xml:space="preserve"> </w:t>
      </w:r>
      <w:r>
        <w:rPr>
          <w:spacing w:val="-3"/>
          <w:sz w:val="21"/>
        </w:rPr>
        <w:t>的可开启外窗或开口，且布置间隔不大于</w:t>
      </w:r>
      <w:r>
        <w:rPr>
          <w:spacing w:val="-3"/>
          <w:sz w:val="21"/>
        </w:rPr>
        <w:t xml:space="preserve"> </w:t>
      </w:r>
      <w:r>
        <w:rPr>
          <w:sz w:val="21"/>
        </w:rPr>
        <w:t>3</w:t>
      </w:r>
      <w:r>
        <w:rPr>
          <w:spacing w:val="-20"/>
          <w:sz w:val="21"/>
        </w:rPr>
        <w:t xml:space="preserve"> </w:t>
      </w:r>
      <w:r>
        <w:rPr>
          <w:spacing w:val="-20"/>
          <w:sz w:val="21"/>
        </w:rPr>
        <w:t>层。</w:t>
      </w:r>
      <w:r>
        <w:rPr>
          <w:sz w:val="21"/>
        </w:rPr>
        <w:t xml:space="preserve"> </w:t>
      </w:r>
    </w:p>
    <w:p w14:paraId="77124DC0" w14:textId="77777777" w:rsidR="00A71EEF" w:rsidRDefault="0081115D">
      <w:pPr>
        <w:pStyle w:val="a4"/>
        <w:numPr>
          <w:ilvl w:val="2"/>
          <w:numId w:val="116"/>
        </w:numPr>
        <w:tabs>
          <w:tab w:val="left" w:pos="1424"/>
        </w:tabs>
        <w:spacing w:line="439" w:lineRule="auto"/>
        <w:ind w:right="1445" w:firstLine="422"/>
        <w:jc w:val="both"/>
        <w:rPr>
          <w:sz w:val="21"/>
        </w:rPr>
      </w:pPr>
      <w:r>
        <w:rPr>
          <w:spacing w:val="-3"/>
          <w:sz w:val="21"/>
        </w:rPr>
        <w:t>前室采用自然通风方式时，独立前室、消防电梯前室可开启外窗或开口的面积不应小</w:t>
      </w:r>
      <w:r>
        <w:rPr>
          <w:spacing w:val="-28"/>
          <w:sz w:val="21"/>
        </w:rPr>
        <w:t>于</w:t>
      </w:r>
      <w:r>
        <w:rPr>
          <w:spacing w:val="-28"/>
          <w:sz w:val="21"/>
        </w:rPr>
        <w:t xml:space="preserve"> </w:t>
      </w:r>
      <w:r>
        <w:rPr>
          <w:sz w:val="21"/>
        </w:rPr>
        <w:t>2.0</w:t>
      </w:r>
      <w:r>
        <w:rPr>
          <w:spacing w:val="1"/>
          <w:sz w:val="21"/>
        </w:rPr>
        <w:t xml:space="preserve"> </w:t>
      </w:r>
      <w:r>
        <w:rPr>
          <w:sz w:val="21"/>
        </w:rPr>
        <w:t>m2</w:t>
      </w:r>
      <w:r>
        <w:rPr>
          <w:spacing w:val="-7"/>
          <w:sz w:val="21"/>
        </w:rPr>
        <w:t>，共用前室、合用前室不应小于</w:t>
      </w:r>
      <w:r>
        <w:rPr>
          <w:spacing w:val="-7"/>
          <w:sz w:val="21"/>
        </w:rPr>
        <w:t xml:space="preserve"> </w:t>
      </w:r>
      <w:r>
        <w:rPr>
          <w:sz w:val="21"/>
        </w:rPr>
        <w:t>3.0</w:t>
      </w:r>
      <w:r>
        <w:rPr>
          <w:spacing w:val="1"/>
          <w:sz w:val="21"/>
        </w:rPr>
        <w:t xml:space="preserve"> </w:t>
      </w:r>
      <w:r>
        <w:rPr>
          <w:sz w:val="21"/>
        </w:rPr>
        <w:t>m</w:t>
      </w:r>
      <w:r>
        <w:rPr>
          <w:position w:val="11"/>
          <w:sz w:val="11"/>
        </w:rPr>
        <w:t>2</w:t>
      </w:r>
      <w:r>
        <w:rPr>
          <w:sz w:val="21"/>
        </w:rPr>
        <w:t>。</w:t>
      </w:r>
      <w:r>
        <w:rPr>
          <w:sz w:val="21"/>
        </w:rPr>
        <w:t xml:space="preserve"> </w:t>
      </w:r>
    </w:p>
    <w:p w14:paraId="143DADA6" w14:textId="77777777" w:rsidR="00A71EEF" w:rsidRDefault="0081115D">
      <w:pPr>
        <w:pStyle w:val="a4"/>
        <w:numPr>
          <w:ilvl w:val="2"/>
          <w:numId w:val="116"/>
        </w:numPr>
        <w:tabs>
          <w:tab w:val="left" w:pos="1424"/>
        </w:tabs>
        <w:spacing w:line="446" w:lineRule="auto"/>
        <w:ind w:right="1445" w:firstLine="422"/>
        <w:jc w:val="both"/>
        <w:rPr>
          <w:sz w:val="21"/>
        </w:rPr>
      </w:pPr>
      <w:r>
        <w:rPr>
          <w:spacing w:val="-3"/>
          <w:sz w:val="21"/>
        </w:rPr>
        <w:t>采用自然通风方式的避难层（</w:t>
      </w:r>
      <w:r>
        <w:rPr>
          <w:sz w:val="21"/>
        </w:rPr>
        <w:t>间</w:t>
      </w:r>
      <w:r>
        <w:rPr>
          <w:spacing w:val="-3"/>
          <w:sz w:val="21"/>
        </w:rPr>
        <w:t>）应设有不同朝向的可开启外窗，其有效面积不应小于该避难层</w:t>
      </w:r>
      <w:r>
        <w:rPr>
          <w:sz w:val="21"/>
        </w:rPr>
        <w:t>（</w:t>
      </w:r>
      <w:r>
        <w:rPr>
          <w:spacing w:val="-3"/>
          <w:sz w:val="21"/>
        </w:rPr>
        <w:t>间</w:t>
      </w:r>
      <w:r>
        <w:rPr>
          <w:sz w:val="21"/>
        </w:rPr>
        <w:t>）</w:t>
      </w:r>
      <w:r>
        <w:rPr>
          <w:spacing w:val="-3"/>
          <w:sz w:val="21"/>
        </w:rPr>
        <w:t>地面面积的</w:t>
      </w:r>
      <w:r>
        <w:rPr>
          <w:spacing w:val="-3"/>
          <w:sz w:val="21"/>
        </w:rPr>
        <w:t xml:space="preserve"> </w:t>
      </w:r>
      <w:r>
        <w:rPr>
          <w:sz w:val="21"/>
        </w:rPr>
        <w:t>2</w:t>
      </w:r>
      <w:r>
        <w:rPr>
          <w:spacing w:val="-7"/>
          <w:sz w:val="21"/>
        </w:rPr>
        <w:t>%</w:t>
      </w:r>
      <w:r>
        <w:rPr>
          <w:spacing w:val="-7"/>
          <w:sz w:val="21"/>
        </w:rPr>
        <w:t>，且每个朝向的面积不应小于</w:t>
      </w:r>
      <w:r>
        <w:rPr>
          <w:spacing w:val="-7"/>
          <w:sz w:val="21"/>
        </w:rPr>
        <w:t xml:space="preserve"> </w:t>
      </w:r>
      <w:r>
        <w:rPr>
          <w:sz w:val="21"/>
        </w:rPr>
        <w:t>2.0</w:t>
      </w:r>
      <w:r>
        <w:rPr>
          <w:spacing w:val="-19"/>
          <w:sz w:val="21"/>
        </w:rPr>
        <w:t xml:space="preserve"> </w:t>
      </w:r>
      <w:r>
        <w:rPr>
          <w:spacing w:val="-19"/>
          <w:sz w:val="21"/>
        </w:rPr>
        <w:t>㎡。</w:t>
      </w:r>
      <w:r>
        <w:rPr>
          <w:sz w:val="21"/>
        </w:rPr>
        <w:t xml:space="preserve"> </w:t>
      </w:r>
    </w:p>
    <w:p w14:paraId="1D3B6630" w14:textId="77777777" w:rsidR="00A71EEF" w:rsidRDefault="0081115D">
      <w:pPr>
        <w:pStyle w:val="a4"/>
        <w:numPr>
          <w:ilvl w:val="2"/>
          <w:numId w:val="116"/>
        </w:numPr>
        <w:tabs>
          <w:tab w:val="left" w:pos="1370"/>
        </w:tabs>
        <w:spacing w:line="386" w:lineRule="auto"/>
        <w:ind w:right="1604" w:firstLine="422"/>
        <w:jc w:val="both"/>
        <w:rPr>
          <w:sz w:val="21"/>
        </w:rPr>
      </w:pPr>
      <w:r>
        <w:rPr>
          <w:spacing w:val="-3"/>
          <w:sz w:val="21"/>
        </w:rPr>
        <w:t>可开启外窗应方便直接开启，设置在高处不便于直接开启的可开启外窗应在距地面</w:t>
      </w:r>
      <w:r>
        <w:rPr>
          <w:spacing w:val="-15"/>
          <w:sz w:val="21"/>
        </w:rPr>
        <w:t>高度为</w:t>
      </w:r>
      <w:r>
        <w:rPr>
          <w:spacing w:val="-15"/>
          <w:sz w:val="21"/>
        </w:rPr>
        <w:t xml:space="preserve"> </w:t>
      </w:r>
      <w:r>
        <w:rPr>
          <w:sz w:val="21"/>
        </w:rPr>
        <w:t>1.3</w:t>
      </w:r>
      <w:r>
        <w:rPr>
          <w:rFonts w:ascii="微软雅黑" w:eastAsia="微软雅黑" w:hint="eastAsia"/>
          <w:sz w:val="21"/>
        </w:rPr>
        <w:t>〜</w:t>
      </w:r>
      <w:r>
        <w:rPr>
          <w:sz w:val="21"/>
        </w:rPr>
        <w:t>1.5m</w:t>
      </w:r>
      <w:r>
        <w:rPr>
          <w:spacing w:val="-8"/>
          <w:sz w:val="21"/>
        </w:rPr>
        <w:t xml:space="preserve"> </w:t>
      </w:r>
      <w:r>
        <w:rPr>
          <w:spacing w:val="-8"/>
          <w:sz w:val="21"/>
        </w:rPr>
        <w:t>的位置设置手动开启装置。</w:t>
      </w:r>
      <w:r>
        <w:rPr>
          <w:sz w:val="21"/>
        </w:rPr>
        <w:t xml:space="preserve"> </w:t>
      </w:r>
    </w:p>
    <w:p w14:paraId="0ACC11B6" w14:textId="77777777" w:rsidR="00A71EEF" w:rsidRDefault="0081115D">
      <w:pPr>
        <w:pStyle w:val="a4"/>
        <w:numPr>
          <w:ilvl w:val="1"/>
          <w:numId w:val="115"/>
        </w:numPr>
        <w:tabs>
          <w:tab w:val="left" w:pos="1159"/>
        </w:tabs>
        <w:spacing w:line="211" w:lineRule="exact"/>
        <w:ind w:hanging="319"/>
        <w:rPr>
          <w:sz w:val="21"/>
        </w:rPr>
      </w:pPr>
      <w:r>
        <w:rPr>
          <w:spacing w:val="-3"/>
          <w:sz w:val="21"/>
        </w:rPr>
        <w:t>机械加压送风设施</w:t>
      </w:r>
      <w:r>
        <w:rPr>
          <w:sz w:val="21"/>
        </w:rPr>
        <w:t xml:space="preserve"> </w:t>
      </w:r>
    </w:p>
    <w:p w14:paraId="51D03787" w14:textId="77777777" w:rsidR="00A71EEF" w:rsidRDefault="00A71EEF">
      <w:pPr>
        <w:pStyle w:val="a3"/>
        <w:rPr>
          <w:sz w:val="18"/>
        </w:rPr>
      </w:pPr>
    </w:p>
    <w:p w14:paraId="3BEF09AA" w14:textId="77777777" w:rsidR="00A71EEF" w:rsidRDefault="0081115D">
      <w:pPr>
        <w:pStyle w:val="a4"/>
        <w:numPr>
          <w:ilvl w:val="2"/>
          <w:numId w:val="115"/>
        </w:numPr>
        <w:tabs>
          <w:tab w:val="left" w:pos="1370"/>
        </w:tabs>
        <w:spacing w:line="446" w:lineRule="auto"/>
        <w:ind w:right="1498" w:firstLine="422"/>
        <w:rPr>
          <w:sz w:val="21"/>
        </w:rPr>
      </w:pPr>
      <w:r>
        <w:rPr>
          <w:spacing w:val="-9"/>
          <w:sz w:val="21"/>
        </w:rPr>
        <w:t>建筑高度大于</w:t>
      </w:r>
      <w:r>
        <w:rPr>
          <w:spacing w:val="-9"/>
          <w:sz w:val="21"/>
        </w:rPr>
        <w:t xml:space="preserve"> </w:t>
      </w:r>
      <w:r>
        <w:rPr>
          <w:sz w:val="21"/>
        </w:rPr>
        <w:t>100m</w:t>
      </w:r>
      <w:r>
        <w:rPr>
          <w:spacing w:val="-8"/>
          <w:sz w:val="21"/>
        </w:rPr>
        <w:t xml:space="preserve"> </w:t>
      </w:r>
      <w:r>
        <w:rPr>
          <w:spacing w:val="-8"/>
          <w:sz w:val="21"/>
        </w:rPr>
        <w:t>的</w:t>
      </w:r>
      <w:r>
        <w:rPr>
          <w:spacing w:val="-8"/>
          <w:sz w:val="21"/>
        </w:rPr>
        <w:t>建筑，其机械加压送风系统应竖向分段独立设置，且每段高度</w:t>
      </w:r>
      <w:r>
        <w:rPr>
          <w:spacing w:val="-5"/>
          <w:sz w:val="21"/>
        </w:rPr>
        <w:t>不应超过</w:t>
      </w:r>
      <w:r>
        <w:rPr>
          <w:spacing w:val="-5"/>
          <w:sz w:val="21"/>
        </w:rPr>
        <w:t xml:space="preserve"> </w:t>
      </w:r>
      <w:r>
        <w:rPr>
          <w:sz w:val="21"/>
        </w:rPr>
        <w:t>100m</w:t>
      </w:r>
      <w:r>
        <w:rPr>
          <w:spacing w:val="-3"/>
          <w:sz w:val="21"/>
        </w:rPr>
        <w:t>。</w:t>
      </w:r>
      <w:r>
        <w:rPr>
          <w:sz w:val="21"/>
        </w:rPr>
        <w:t xml:space="preserve"> </w:t>
      </w:r>
    </w:p>
    <w:p w14:paraId="5C528D82" w14:textId="77777777" w:rsidR="00A71EEF" w:rsidRDefault="0081115D">
      <w:pPr>
        <w:pStyle w:val="a4"/>
        <w:numPr>
          <w:ilvl w:val="2"/>
          <w:numId w:val="115"/>
        </w:numPr>
        <w:tabs>
          <w:tab w:val="left" w:pos="1371"/>
        </w:tabs>
        <w:spacing w:line="446" w:lineRule="auto"/>
        <w:ind w:right="1604" w:firstLine="422"/>
        <w:rPr>
          <w:sz w:val="21"/>
        </w:rPr>
      </w:pPr>
      <w:r>
        <w:rPr>
          <w:spacing w:val="-3"/>
          <w:sz w:val="21"/>
        </w:rPr>
        <w:t>除本标准另有规定外，采用机械加压送风系统的防烟楼梯间及其前室应分别设置送风井（</w:t>
      </w:r>
      <w:r>
        <w:rPr>
          <w:sz w:val="21"/>
        </w:rPr>
        <w:t>管</w:t>
      </w:r>
      <w:r>
        <w:rPr>
          <w:spacing w:val="-3"/>
          <w:sz w:val="21"/>
        </w:rPr>
        <w:t>）道，送风口（</w:t>
      </w:r>
      <w:r>
        <w:rPr>
          <w:sz w:val="21"/>
        </w:rPr>
        <w:t>阀）</w:t>
      </w:r>
      <w:r>
        <w:rPr>
          <w:spacing w:val="-3"/>
          <w:sz w:val="21"/>
        </w:rPr>
        <w:t>和送风机。</w:t>
      </w:r>
      <w:r>
        <w:rPr>
          <w:sz w:val="21"/>
        </w:rPr>
        <w:t xml:space="preserve"> </w:t>
      </w:r>
    </w:p>
    <w:p w14:paraId="660B8A64" w14:textId="77777777" w:rsidR="00A71EEF" w:rsidRDefault="00A71EEF">
      <w:pPr>
        <w:spacing w:line="446" w:lineRule="auto"/>
        <w:rPr>
          <w:sz w:val="21"/>
        </w:rPr>
        <w:sectPr w:rsidR="00A71EEF">
          <w:pgSz w:w="11910" w:h="16850"/>
          <w:pgMar w:top="1220" w:right="0" w:bottom="1420" w:left="1260" w:header="0" w:footer="1239" w:gutter="0"/>
          <w:cols w:space="720"/>
        </w:sectPr>
      </w:pPr>
    </w:p>
    <w:p w14:paraId="63C91A2F" w14:textId="77777777" w:rsidR="00A71EEF" w:rsidRDefault="0081115D">
      <w:pPr>
        <w:pStyle w:val="a4"/>
        <w:numPr>
          <w:ilvl w:val="2"/>
          <w:numId w:val="115"/>
        </w:numPr>
        <w:tabs>
          <w:tab w:val="left" w:pos="1370"/>
        </w:tabs>
        <w:spacing w:before="47" w:line="446" w:lineRule="auto"/>
        <w:ind w:right="1604" w:firstLine="422"/>
        <w:rPr>
          <w:sz w:val="21"/>
        </w:rPr>
      </w:pPr>
      <w:r>
        <w:rPr>
          <w:spacing w:val="-7"/>
          <w:sz w:val="21"/>
        </w:rPr>
        <w:t>建筑高度小于或等于</w:t>
      </w:r>
      <w:r>
        <w:rPr>
          <w:spacing w:val="-7"/>
          <w:sz w:val="21"/>
        </w:rPr>
        <w:t xml:space="preserve"> </w:t>
      </w:r>
      <w:r>
        <w:rPr>
          <w:sz w:val="21"/>
        </w:rPr>
        <w:t>50m</w:t>
      </w:r>
      <w:r>
        <w:rPr>
          <w:spacing w:val="-8"/>
          <w:sz w:val="21"/>
        </w:rPr>
        <w:t xml:space="preserve"> </w:t>
      </w:r>
      <w:r>
        <w:rPr>
          <w:spacing w:val="-8"/>
          <w:sz w:val="21"/>
        </w:rPr>
        <w:t>的建筑，当楼梯间设置加压送风井</w:t>
      </w:r>
      <w:r>
        <w:rPr>
          <w:sz w:val="21"/>
        </w:rPr>
        <w:t>（</w:t>
      </w:r>
      <w:r>
        <w:rPr>
          <w:spacing w:val="-3"/>
          <w:sz w:val="21"/>
        </w:rPr>
        <w:t>管</w:t>
      </w:r>
      <w:r>
        <w:rPr>
          <w:sz w:val="21"/>
        </w:rPr>
        <w:t>）</w:t>
      </w:r>
      <w:r>
        <w:rPr>
          <w:spacing w:val="-3"/>
          <w:sz w:val="21"/>
        </w:rPr>
        <w:t>道确有困难时，</w:t>
      </w:r>
      <w:r>
        <w:rPr>
          <w:spacing w:val="-3"/>
          <w:sz w:val="21"/>
        </w:rPr>
        <w:t xml:space="preserve"> </w:t>
      </w:r>
      <w:r>
        <w:rPr>
          <w:spacing w:val="-3"/>
          <w:sz w:val="21"/>
        </w:rPr>
        <w:t>楼梯间可采用直灌式加压送风系统，并应符合下列规定：</w:t>
      </w:r>
      <w:r>
        <w:rPr>
          <w:sz w:val="21"/>
        </w:rPr>
        <w:t xml:space="preserve"> </w:t>
      </w:r>
    </w:p>
    <w:p w14:paraId="34FE6094" w14:textId="77777777" w:rsidR="00A71EEF" w:rsidRDefault="0081115D">
      <w:pPr>
        <w:pStyle w:val="a3"/>
        <w:spacing w:line="446" w:lineRule="auto"/>
        <w:ind w:left="418" w:right="1608" w:firstLine="419"/>
      </w:pPr>
      <w:r>
        <w:rPr>
          <w:spacing w:val="-7"/>
        </w:rPr>
        <w:t>建筑高度大于</w:t>
      </w:r>
      <w:r>
        <w:rPr>
          <w:spacing w:val="-7"/>
        </w:rPr>
        <w:t xml:space="preserve"> </w:t>
      </w:r>
      <w:r>
        <w:t>32m</w:t>
      </w:r>
      <w:r>
        <w:rPr>
          <w:spacing w:val="-7"/>
        </w:rPr>
        <w:t xml:space="preserve"> </w:t>
      </w:r>
      <w:r>
        <w:rPr>
          <w:spacing w:val="-7"/>
        </w:rPr>
        <w:t>的高层建筑，应采用楼梯间两点部位送风的方式，送风口之间距离不宜</w:t>
      </w:r>
      <w:r>
        <w:rPr>
          <w:spacing w:val="-11"/>
        </w:rPr>
        <w:t>小于建筑高度的</w:t>
      </w:r>
      <w:r>
        <w:rPr>
          <w:spacing w:val="-11"/>
        </w:rPr>
        <w:t xml:space="preserve"> </w:t>
      </w:r>
      <w:r>
        <w:t>1/2</w:t>
      </w:r>
      <w:r>
        <w:rPr>
          <w:spacing w:val="-1"/>
        </w:rPr>
        <w:t xml:space="preserve"> </w:t>
      </w:r>
      <w:r>
        <w:rPr>
          <w:spacing w:val="-1"/>
        </w:rPr>
        <w:t>；</w:t>
      </w:r>
      <w:r>
        <w:rPr>
          <w:spacing w:val="-1"/>
        </w:rPr>
        <w:t xml:space="preserve"> </w:t>
      </w:r>
    </w:p>
    <w:p w14:paraId="1DCBF000" w14:textId="77777777" w:rsidR="00A71EEF" w:rsidRDefault="0081115D">
      <w:pPr>
        <w:pStyle w:val="a3"/>
        <w:ind w:left="838"/>
      </w:pPr>
      <w:r>
        <w:t>送风量应按计算值或本标准第</w:t>
      </w:r>
      <w:r>
        <w:t xml:space="preserve"> 3.4.2 </w:t>
      </w:r>
      <w:r>
        <w:t>条规定的送风量增加</w:t>
      </w:r>
      <w:r>
        <w:t xml:space="preserve"> 20%</w:t>
      </w:r>
      <w:r>
        <w:t>；</w:t>
      </w:r>
      <w:r>
        <w:t xml:space="preserve"> </w:t>
      </w:r>
    </w:p>
    <w:p w14:paraId="33C2E87F" w14:textId="77777777" w:rsidR="00A71EEF" w:rsidRDefault="00A71EEF">
      <w:pPr>
        <w:pStyle w:val="a3"/>
        <w:spacing w:before="10"/>
        <w:rPr>
          <w:sz w:val="17"/>
        </w:rPr>
      </w:pPr>
    </w:p>
    <w:p w14:paraId="575E2854" w14:textId="77777777" w:rsidR="00A71EEF" w:rsidRDefault="0081115D">
      <w:pPr>
        <w:pStyle w:val="a3"/>
        <w:ind w:left="838"/>
      </w:pPr>
      <w:r>
        <w:t>加压送风口不宜设在影响人员疏散的部位。</w:t>
      </w:r>
      <w:r>
        <w:t xml:space="preserve"> </w:t>
      </w:r>
    </w:p>
    <w:p w14:paraId="523DF056" w14:textId="77777777" w:rsidR="00A71EEF" w:rsidRDefault="00A71EEF">
      <w:pPr>
        <w:pStyle w:val="a3"/>
        <w:spacing w:before="2"/>
        <w:rPr>
          <w:sz w:val="18"/>
        </w:rPr>
      </w:pPr>
    </w:p>
    <w:p w14:paraId="2D39FA92" w14:textId="77777777" w:rsidR="00A71EEF" w:rsidRDefault="0081115D">
      <w:pPr>
        <w:pStyle w:val="a4"/>
        <w:numPr>
          <w:ilvl w:val="2"/>
          <w:numId w:val="115"/>
        </w:numPr>
        <w:tabs>
          <w:tab w:val="left" w:pos="1370"/>
        </w:tabs>
        <w:spacing w:line="446" w:lineRule="auto"/>
        <w:ind w:right="1604" w:firstLine="422"/>
        <w:jc w:val="both"/>
        <w:rPr>
          <w:sz w:val="21"/>
        </w:rPr>
      </w:pPr>
      <w:r>
        <w:rPr>
          <w:spacing w:val="-3"/>
          <w:sz w:val="21"/>
        </w:rPr>
        <w:t>设置机械加压送风系统的楼梯间的地上部分与地下部分，其机械加压送风系统应分别独立设置。当受建筑条件限制，且地下部分为汽车库或设备用房时，可共用机械加压送风系统，并应符合下列规定：</w:t>
      </w:r>
      <w:r>
        <w:rPr>
          <w:sz w:val="21"/>
        </w:rPr>
        <w:t xml:space="preserve"> </w:t>
      </w:r>
    </w:p>
    <w:p w14:paraId="244E7906" w14:textId="77777777" w:rsidR="00A71EEF" w:rsidRDefault="0081115D">
      <w:pPr>
        <w:pStyle w:val="a3"/>
        <w:spacing w:line="446" w:lineRule="auto"/>
        <w:ind w:left="418" w:right="1608" w:firstLine="419"/>
        <w:jc w:val="both"/>
      </w:pPr>
      <w:r>
        <w:rPr>
          <w:spacing w:val="-7"/>
        </w:rPr>
        <w:t>应按本标准第</w:t>
      </w:r>
      <w:r>
        <w:rPr>
          <w:spacing w:val="-7"/>
        </w:rPr>
        <w:t xml:space="preserve"> </w:t>
      </w:r>
      <w:r>
        <w:t>3.4.5</w:t>
      </w:r>
      <w:r>
        <w:rPr>
          <w:spacing w:val="-7"/>
        </w:rPr>
        <w:t xml:space="preserve"> </w:t>
      </w:r>
      <w:r>
        <w:rPr>
          <w:spacing w:val="-7"/>
        </w:rPr>
        <w:t>条的规定分别计算地上、地下部分的加压送风量，相加后作为共用加</w:t>
      </w:r>
      <w:r>
        <w:rPr>
          <w:spacing w:val="-5"/>
        </w:rPr>
        <w:t>压送风系统风量；</w:t>
      </w:r>
      <w:r>
        <w:t xml:space="preserve"> </w:t>
      </w:r>
    </w:p>
    <w:p w14:paraId="7185A7AE" w14:textId="77777777" w:rsidR="00A71EEF" w:rsidRDefault="0081115D">
      <w:pPr>
        <w:pStyle w:val="a3"/>
        <w:spacing w:line="267" w:lineRule="exact"/>
        <w:ind w:left="838"/>
      </w:pPr>
      <w:r>
        <w:t>应采取有效措施分别满足地上、地下部分的送风量的要求。</w:t>
      </w:r>
      <w:r>
        <w:t xml:space="preserve"> </w:t>
      </w:r>
    </w:p>
    <w:p w14:paraId="2F7EA982" w14:textId="77777777" w:rsidR="00A71EEF" w:rsidRDefault="00A71EEF">
      <w:pPr>
        <w:pStyle w:val="a3"/>
        <w:spacing w:before="1"/>
        <w:rPr>
          <w:sz w:val="18"/>
        </w:rPr>
      </w:pPr>
    </w:p>
    <w:p w14:paraId="2939BE43" w14:textId="77777777" w:rsidR="00A71EEF" w:rsidRDefault="0081115D">
      <w:pPr>
        <w:pStyle w:val="a4"/>
        <w:numPr>
          <w:ilvl w:val="2"/>
          <w:numId w:val="115"/>
        </w:numPr>
        <w:tabs>
          <w:tab w:val="left" w:pos="1370"/>
        </w:tabs>
        <w:ind w:left="1369" w:hanging="530"/>
        <w:rPr>
          <w:sz w:val="21"/>
        </w:rPr>
      </w:pPr>
      <w:r>
        <w:rPr>
          <w:spacing w:val="-3"/>
          <w:sz w:val="21"/>
        </w:rPr>
        <w:t>机械加压送风风机宜采用轴流风机或中、低压离心风机，</w:t>
      </w:r>
      <w:r>
        <w:rPr>
          <w:spacing w:val="-3"/>
          <w:sz w:val="21"/>
        </w:rPr>
        <w:t>其设置应符合下列规定：</w:t>
      </w:r>
      <w:r>
        <w:rPr>
          <w:sz w:val="21"/>
        </w:rPr>
        <w:t xml:space="preserve"> </w:t>
      </w:r>
    </w:p>
    <w:p w14:paraId="2744E89B" w14:textId="77777777" w:rsidR="00A71EEF" w:rsidRDefault="00A71EEF">
      <w:pPr>
        <w:pStyle w:val="a3"/>
        <w:rPr>
          <w:sz w:val="18"/>
        </w:rPr>
      </w:pPr>
    </w:p>
    <w:p w14:paraId="199C5B1A" w14:textId="77777777" w:rsidR="00A71EEF" w:rsidRDefault="0081115D">
      <w:pPr>
        <w:pStyle w:val="a3"/>
        <w:spacing w:line="446" w:lineRule="auto"/>
        <w:ind w:left="838" w:right="3817"/>
      </w:pPr>
      <w:r>
        <w:t>送风机的进风口应直通室外，且应采取防止烟气被吸入的措施。送风机的进风口宜设在机械加压送风系统的下部。</w:t>
      </w:r>
      <w:r>
        <w:t xml:space="preserve"> </w:t>
      </w:r>
    </w:p>
    <w:p w14:paraId="1E5FB14A" w14:textId="77777777" w:rsidR="00A71EEF" w:rsidRDefault="0081115D">
      <w:pPr>
        <w:pStyle w:val="a3"/>
        <w:spacing w:line="446" w:lineRule="auto"/>
        <w:ind w:left="418" w:right="1608" w:firstLine="419"/>
      </w:pPr>
      <w:r>
        <w:t>送风机的进风口不应与排烟风机的出风口设在同一面上。当确有困难时，送风机的进风口与排烟风机的出风口应分开布置，且竖向布置时，送风机的进风口应设置在排烟出口的下方，</w:t>
      </w:r>
      <w:r>
        <w:t xml:space="preserve"> </w:t>
      </w:r>
      <w:r>
        <w:t>其两者边缘最小垂直距离不应小于</w:t>
      </w:r>
      <w:r>
        <w:t xml:space="preserve"> 6.0m</w:t>
      </w:r>
      <w:r>
        <w:t>；水平布置时，两者边缘最小水平距离不应小于</w:t>
      </w:r>
      <w:r>
        <w:t>20.0m</w:t>
      </w:r>
      <w:r>
        <w:t>。</w:t>
      </w:r>
      <w:r>
        <w:t xml:space="preserve"> </w:t>
      </w:r>
    </w:p>
    <w:p w14:paraId="58212A3D" w14:textId="77777777" w:rsidR="00A71EEF" w:rsidRDefault="0081115D">
      <w:pPr>
        <w:pStyle w:val="a3"/>
        <w:spacing w:line="267" w:lineRule="exact"/>
        <w:ind w:left="838"/>
      </w:pPr>
      <w:r>
        <w:t>送风机宜设置在系统的下部，且应采取保证各层送风量均匀性的措施。</w:t>
      </w:r>
      <w:r>
        <w:t xml:space="preserve"> </w:t>
      </w:r>
    </w:p>
    <w:p w14:paraId="0B5E5582" w14:textId="77777777" w:rsidR="00A71EEF" w:rsidRDefault="00A71EEF">
      <w:pPr>
        <w:pStyle w:val="a3"/>
        <w:rPr>
          <w:sz w:val="18"/>
        </w:rPr>
      </w:pPr>
    </w:p>
    <w:p w14:paraId="3D030C8E" w14:textId="77777777" w:rsidR="00A71EEF" w:rsidRDefault="0081115D">
      <w:pPr>
        <w:pStyle w:val="a3"/>
        <w:spacing w:line="446" w:lineRule="auto"/>
        <w:ind w:left="418" w:right="1714" w:firstLine="419"/>
      </w:pPr>
      <w:r>
        <w:t>送风机应设置在专用机房内，送风机房并应符合现行国家标准《建筑设计防火规范》</w:t>
      </w:r>
      <w:r>
        <w:t xml:space="preserve">GB 50016 </w:t>
      </w:r>
      <w:r>
        <w:t>的规定。</w:t>
      </w:r>
      <w:r>
        <w:t xml:space="preserve"> </w:t>
      </w:r>
    </w:p>
    <w:p w14:paraId="3905837F" w14:textId="77777777" w:rsidR="00A71EEF" w:rsidRDefault="0081115D">
      <w:pPr>
        <w:pStyle w:val="a3"/>
        <w:spacing w:line="446" w:lineRule="auto"/>
        <w:ind w:left="418" w:right="1609" w:firstLine="419"/>
      </w:pPr>
      <w:r>
        <w:t>当送风机出风管或进风管上安装单向风阀或电动风阀时，应采取火灾时自动开启阀门的措施</w:t>
      </w:r>
      <w:r>
        <w:t>。</w:t>
      </w:r>
      <w:r>
        <w:t xml:space="preserve"> </w:t>
      </w:r>
    </w:p>
    <w:p w14:paraId="239265CC" w14:textId="77777777" w:rsidR="00A71EEF" w:rsidRDefault="0081115D">
      <w:pPr>
        <w:pStyle w:val="a4"/>
        <w:numPr>
          <w:ilvl w:val="2"/>
          <w:numId w:val="115"/>
        </w:numPr>
        <w:tabs>
          <w:tab w:val="left" w:pos="1424"/>
        </w:tabs>
        <w:ind w:left="1423" w:hanging="584"/>
        <w:rPr>
          <w:sz w:val="21"/>
        </w:rPr>
      </w:pPr>
      <w:r>
        <w:rPr>
          <w:spacing w:val="-3"/>
          <w:sz w:val="21"/>
        </w:rPr>
        <w:t>加压送风口的设置应符合下列规定：</w:t>
      </w:r>
      <w:r>
        <w:rPr>
          <w:sz w:val="21"/>
        </w:rPr>
        <w:t xml:space="preserve"> </w:t>
      </w:r>
    </w:p>
    <w:p w14:paraId="4258019A" w14:textId="77777777" w:rsidR="00A71EEF" w:rsidRDefault="0081115D">
      <w:pPr>
        <w:pStyle w:val="a3"/>
        <w:spacing w:before="163" w:line="350" w:lineRule="auto"/>
        <w:ind w:left="838" w:right="2662"/>
        <w:rPr>
          <w:b/>
        </w:rPr>
      </w:pPr>
      <w:r>
        <w:rPr>
          <w:spacing w:val="-6"/>
        </w:rPr>
        <w:t>除直灌式加压送风方式外，楼梯间宜每隔</w:t>
      </w:r>
      <w:r>
        <w:rPr>
          <w:spacing w:val="-6"/>
        </w:rPr>
        <w:t xml:space="preserve"> </w:t>
      </w:r>
      <w:r>
        <w:t>2</w:t>
      </w:r>
      <w:r>
        <w:rPr>
          <w:rFonts w:ascii="微软雅黑" w:eastAsia="微软雅黑" w:hint="eastAsia"/>
          <w:spacing w:val="-3"/>
        </w:rPr>
        <w:t>〜</w:t>
      </w:r>
      <w:r>
        <w:t>3</w:t>
      </w:r>
      <w:r>
        <w:rPr>
          <w:spacing w:val="-8"/>
        </w:rPr>
        <w:t xml:space="preserve"> </w:t>
      </w:r>
      <w:r>
        <w:rPr>
          <w:spacing w:val="-8"/>
        </w:rPr>
        <w:t>层设一个常开式百叶送风口；</w:t>
      </w:r>
      <w:r>
        <w:rPr>
          <w:spacing w:val="-8"/>
        </w:rPr>
        <w:t xml:space="preserve"> </w:t>
      </w:r>
      <w:r>
        <w:rPr>
          <w:spacing w:val="-3"/>
        </w:rPr>
        <w:t>前室应每层设一个常闭式加压送风口，并应设手动开启装置；</w:t>
      </w:r>
      <w:r>
        <w:rPr>
          <w:b/>
          <w:w w:val="99"/>
        </w:rPr>
        <w:t xml:space="preserve"> </w:t>
      </w:r>
    </w:p>
    <w:p w14:paraId="45423727" w14:textId="77777777" w:rsidR="00A71EEF" w:rsidRDefault="0081115D">
      <w:pPr>
        <w:pStyle w:val="a3"/>
        <w:spacing w:before="110"/>
        <w:ind w:left="838"/>
        <w:rPr>
          <w:b/>
        </w:rPr>
      </w:pPr>
      <w:r>
        <w:t>送风口的风速不宜大于</w:t>
      </w:r>
      <w:r>
        <w:t xml:space="preserve"> 7m/s</w:t>
      </w:r>
      <w:r>
        <w:t>；</w:t>
      </w:r>
      <w:r>
        <w:rPr>
          <w:b/>
          <w:w w:val="99"/>
        </w:rPr>
        <w:t xml:space="preserve"> </w:t>
      </w:r>
    </w:p>
    <w:p w14:paraId="184AB494" w14:textId="77777777" w:rsidR="00A71EEF" w:rsidRDefault="00A71EEF">
      <w:pPr>
        <w:sectPr w:rsidR="00A71EEF">
          <w:pgSz w:w="11910" w:h="16850"/>
          <w:pgMar w:top="1220" w:right="0" w:bottom="1420" w:left="1260" w:header="0" w:footer="1239" w:gutter="0"/>
          <w:cols w:space="720"/>
        </w:sectPr>
      </w:pPr>
    </w:p>
    <w:p w14:paraId="04FE4A57" w14:textId="77777777" w:rsidR="00A71EEF" w:rsidRDefault="0081115D">
      <w:pPr>
        <w:pStyle w:val="a3"/>
        <w:spacing w:before="47"/>
        <w:ind w:left="838"/>
        <w:rPr>
          <w:b/>
        </w:rPr>
      </w:pPr>
      <w:r>
        <w:t>送风口不宜设置在被门挡住的部位。</w:t>
      </w:r>
      <w:r>
        <w:rPr>
          <w:b/>
          <w:w w:val="99"/>
        </w:rPr>
        <w:t xml:space="preserve"> </w:t>
      </w:r>
    </w:p>
    <w:p w14:paraId="2A76A467" w14:textId="77777777" w:rsidR="00A71EEF" w:rsidRDefault="00A71EEF">
      <w:pPr>
        <w:pStyle w:val="a3"/>
        <w:rPr>
          <w:b/>
          <w:sz w:val="18"/>
        </w:rPr>
      </w:pPr>
    </w:p>
    <w:p w14:paraId="248DD11F" w14:textId="77777777" w:rsidR="00A71EEF" w:rsidRDefault="0081115D">
      <w:pPr>
        <w:pStyle w:val="a4"/>
        <w:numPr>
          <w:ilvl w:val="2"/>
          <w:numId w:val="115"/>
        </w:numPr>
        <w:tabs>
          <w:tab w:val="left" w:pos="1370"/>
        </w:tabs>
        <w:spacing w:line="446" w:lineRule="auto"/>
        <w:ind w:right="1450" w:firstLine="422"/>
        <w:rPr>
          <w:sz w:val="21"/>
        </w:rPr>
      </w:pPr>
      <w:r>
        <w:rPr>
          <w:spacing w:val="-3"/>
          <w:sz w:val="21"/>
        </w:rPr>
        <w:t>机械加压送风系统应采用管道送风，且不应采用土建风道。送风管道应采用不燃材料</w:t>
      </w:r>
      <w:r>
        <w:rPr>
          <w:spacing w:val="-4"/>
          <w:sz w:val="21"/>
        </w:rPr>
        <w:t>制作且内壁应光滑。当送风管道内壁为金属时，设计风速不应大于</w:t>
      </w:r>
      <w:r>
        <w:rPr>
          <w:spacing w:val="-4"/>
          <w:sz w:val="21"/>
        </w:rPr>
        <w:t xml:space="preserve"> </w:t>
      </w:r>
      <w:r>
        <w:rPr>
          <w:sz w:val="21"/>
        </w:rPr>
        <w:t>20m/s</w:t>
      </w:r>
      <w:r>
        <w:rPr>
          <w:spacing w:val="-3"/>
          <w:sz w:val="21"/>
        </w:rPr>
        <w:t>；当送风管道内壁为非</w:t>
      </w:r>
      <w:r>
        <w:rPr>
          <w:spacing w:val="-5"/>
          <w:sz w:val="21"/>
        </w:rPr>
        <w:t>金属时，设计风速不应大于</w:t>
      </w:r>
      <w:r>
        <w:rPr>
          <w:spacing w:val="-5"/>
          <w:sz w:val="21"/>
        </w:rPr>
        <w:t xml:space="preserve"> </w:t>
      </w:r>
      <w:r>
        <w:rPr>
          <w:sz w:val="21"/>
        </w:rPr>
        <w:t>15m/s</w:t>
      </w:r>
      <w:r>
        <w:rPr>
          <w:spacing w:val="-3"/>
          <w:sz w:val="21"/>
        </w:rPr>
        <w:t>；送风管道的厚度应符合现行国家标准《通风与空调工程施工质量验收规范》</w:t>
      </w:r>
      <w:r>
        <w:rPr>
          <w:sz w:val="21"/>
        </w:rPr>
        <w:t>GB 50243</w:t>
      </w:r>
      <w:r>
        <w:rPr>
          <w:spacing w:val="-13"/>
          <w:sz w:val="21"/>
        </w:rPr>
        <w:t xml:space="preserve"> </w:t>
      </w:r>
      <w:r>
        <w:rPr>
          <w:spacing w:val="-13"/>
          <w:sz w:val="21"/>
        </w:rPr>
        <w:t>的规定。</w:t>
      </w:r>
      <w:r>
        <w:rPr>
          <w:sz w:val="21"/>
        </w:rPr>
        <w:t xml:space="preserve"> </w:t>
      </w:r>
    </w:p>
    <w:p w14:paraId="6F9C5399" w14:textId="77777777" w:rsidR="00A71EEF" w:rsidRDefault="0081115D">
      <w:pPr>
        <w:pStyle w:val="a4"/>
        <w:numPr>
          <w:ilvl w:val="2"/>
          <w:numId w:val="115"/>
        </w:numPr>
        <w:tabs>
          <w:tab w:val="left" w:pos="1370"/>
        </w:tabs>
        <w:spacing w:line="266" w:lineRule="exact"/>
        <w:ind w:left="1369" w:hanging="530"/>
        <w:rPr>
          <w:sz w:val="21"/>
        </w:rPr>
      </w:pPr>
      <w:r>
        <w:rPr>
          <w:spacing w:val="-3"/>
          <w:sz w:val="21"/>
        </w:rPr>
        <w:t>机械加压送风管道的设置和耐火极限应符合下列规定：</w:t>
      </w:r>
      <w:r>
        <w:rPr>
          <w:sz w:val="21"/>
        </w:rPr>
        <w:t xml:space="preserve"> </w:t>
      </w:r>
    </w:p>
    <w:p w14:paraId="5B3FFD68" w14:textId="77777777" w:rsidR="00A71EEF" w:rsidRDefault="00A71EEF">
      <w:pPr>
        <w:pStyle w:val="a3"/>
        <w:spacing w:before="2"/>
        <w:rPr>
          <w:sz w:val="18"/>
        </w:rPr>
      </w:pPr>
    </w:p>
    <w:p w14:paraId="40E95D1E" w14:textId="77777777" w:rsidR="00A71EEF" w:rsidRDefault="0081115D">
      <w:pPr>
        <w:pStyle w:val="a3"/>
        <w:spacing w:line="446" w:lineRule="auto"/>
        <w:ind w:left="418" w:right="1609" w:firstLine="419"/>
      </w:pPr>
      <w:r>
        <w:t>竖向设置的送风管道应独立设置在管道井内，当确有困难时，未设置在管道井内或与其他管道合用管道井的送风管道，其耐火极限不应低于</w:t>
      </w:r>
      <w:r>
        <w:t xml:space="preserve"> 1.00h </w:t>
      </w:r>
      <w:r>
        <w:t>；</w:t>
      </w:r>
      <w:r>
        <w:t xml:space="preserve"> </w:t>
      </w:r>
    </w:p>
    <w:p w14:paraId="53A615AC" w14:textId="77777777" w:rsidR="00A71EEF" w:rsidRDefault="0081115D">
      <w:pPr>
        <w:pStyle w:val="a3"/>
        <w:spacing w:line="446" w:lineRule="auto"/>
        <w:ind w:left="418" w:right="1391" w:firstLine="419"/>
      </w:pPr>
      <w:r>
        <w:t>水平设置的送风管道，当设置在吊顶内时，其耐火极限不应低于</w:t>
      </w:r>
      <w:r>
        <w:t xml:space="preserve"> 0.50h</w:t>
      </w:r>
      <w:r>
        <w:t>；当未设置在吊顶内时，其耐火极限不应低于</w:t>
      </w:r>
      <w:r>
        <w:t xml:space="preserve"> 1.00h</w:t>
      </w:r>
      <w:r>
        <w:t>。</w:t>
      </w:r>
      <w:r>
        <w:t xml:space="preserve"> </w:t>
      </w:r>
    </w:p>
    <w:p w14:paraId="259A5628" w14:textId="77777777" w:rsidR="00A71EEF" w:rsidRDefault="0081115D">
      <w:pPr>
        <w:pStyle w:val="a4"/>
        <w:numPr>
          <w:ilvl w:val="2"/>
          <w:numId w:val="115"/>
        </w:numPr>
        <w:tabs>
          <w:tab w:val="left" w:pos="1370"/>
        </w:tabs>
        <w:spacing w:line="446" w:lineRule="auto"/>
        <w:ind w:right="1604" w:firstLine="422"/>
        <w:rPr>
          <w:sz w:val="21"/>
        </w:rPr>
      </w:pPr>
      <w:r>
        <w:rPr>
          <w:spacing w:val="-5"/>
          <w:sz w:val="21"/>
        </w:rPr>
        <w:t>机械加压送风系统的管道井应采用耐火极限不低于</w:t>
      </w:r>
      <w:r>
        <w:rPr>
          <w:spacing w:val="-5"/>
          <w:sz w:val="21"/>
        </w:rPr>
        <w:t xml:space="preserve"> </w:t>
      </w:r>
      <w:r>
        <w:rPr>
          <w:sz w:val="21"/>
        </w:rPr>
        <w:t>1.00h</w:t>
      </w:r>
      <w:r>
        <w:rPr>
          <w:spacing w:val="-8"/>
          <w:sz w:val="21"/>
        </w:rPr>
        <w:t xml:space="preserve"> </w:t>
      </w:r>
      <w:r>
        <w:rPr>
          <w:spacing w:val="-8"/>
          <w:sz w:val="21"/>
        </w:rPr>
        <w:t>的隔墙与相邻部位分隔，</w:t>
      </w:r>
      <w:r>
        <w:rPr>
          <w:spacing w:val="-8"/>
          <w:sz w:val="21"/>
        </w:rPr>
        <w:t xml:space="preserve"> </w:t>
      </w:r>
      <w:r>
        <w:rPr>
          <w:spacing w:val="-5"/>
          <w:sz w:val="21"/>
        </w:rPr>
        <w:t>当墙上必须设置检修门时应采用乙级防火门。</w:t>
      </w:r>
      <w:r>
        <w:rPr>
          <w:sz w:val="21"/>
        </w:rPr>
        <w:t xml:space="preserve"> </w:t>
      </w:r>
    </w:p>
    <w:p w14:paraId="2CE7FAE0" w14:textId="77777777" w:rsidR="00A71EEF" w:rsidRDefault="0081115D">
      <w:pPr>
        <w:pStyle w:val="a4"/>
        <w:numPr>
          <w:ilvl w:val="2"/>
          <w:numId w:val="115"/>
        </w:numPr>
        <w:tabs>
          <w:tab w:val="left" w:pos="1478"/>
        </w:tabs>
        <w:ind w:left="1477" w:hanging="638"/>
        <w:rPr>
          <w:sz w:val="21"/>
        </w:rPr>
      </w:pPr>
      <w:r>
        <w:rPr>
          <w:spacing w:val="-3"/>
          <w:sz w:val="21"/>
        </w:rPr>
        <w:t>采用机械加压送风的场所不应设置百叶窗，且不宜设置可开启外窗。</w:t>
      </w:r>
      <w:r>
        <w:rPr>
          <w:spacing w:val="-3"/>
          <w:sz w:val="21"/>
        </w:rPr>
        <w:t xml:space="preserve"> </w:t>
      </w:r>
    </w:p>
    <w:p w14:paraId="5A901BA5" w14:textId="77777777" w:rsidR="00A71EEF" w:rsidRDefault="00A71EEF">
      <w:pPr>
        <w:pStyle w:val="a3"/>
        <w:spacing w:before="1"/>
        <w:rPr>
          <w:sz w:val="17"/>
        </w:rPr>
      </w:pPr>
    </w:p>
    <w:p w14:paraId="65817297" w14:textId="77777777" w:rsidR="00A71EEF" w:rsidRDefault="0081115D">
      <w:pPr>
        <w:pStyle w:val="a4"/>
        <w:numPr>
          <w:ilvl w:val="2"/>
          <w:numId w:val="115"/>
        </w:numPr>
        <w:tabs>
          <w:tab w:val="left" w:pos="1478"/>
        </w:tabs>
        <w:ind w:left="1477" w:hanging="638"/>
        <w:rPr>
          <w:sz w:val="11"/>
        </w:rPr>
      </w:pPr>
      <w:r>
        <w:rPr>
          <w:spacing w:val="-5"/>
          <w:sz w:val="21"/>
        </w:rPr>
        <w:t>设置机械加压送风系统的封闭楼梯间、防烟楼梯间，尚应在其顶部设置不小于</w:t>
      </w:r>
      <w:r>
        <w:rPr>
          <w:spacing w:val="-5"/>
          <w:sz w:val="21"/>
        </w:rPr>
        <w:t xml:space="preserve"> </w:t>
      </w:r>
      <w:r>
        <w:rPr>
          <w:sz w:val="21"/>
        </w:rPr>
        <w:t>1m</w:t>
      </w:r>
      <w:r>
        <w:rPr>
          <w:position w:val="11"/>
          <w:sz w:val="11"/>
        </w:rPr>
        <w:t>2</w:t>
      </w:r>
    </w:p>
    <w:p w14:paraId="3215E90B" w14:textId="77777777" w:rsidR="00A71EEF" w:rsidRDefault="00A71EEF">
      <w:pPr>
        <w:pStyle w:val="a3"/>
        <w:spacing w:before="2"/>
        <w:rPr>
          <w:sz w:val="17"/>
        </w:rPr>
      </w:pPr>
    </w:p>
    <w:p w14:paraId="0D9A0AD7" w14:textId="77777777" w:rsidR="00A71EEF" w:rsidRDefault="0081115D">
      <w:pPr>
        <w:pStyle w:val="a3"/>
        <w:ind w:left="418"/>
      </w:pPr>
      <w:r>
        <w:t>的固定窗。靠外墙的防烟楼梯间，尚应在其外墙上每</w:t>
      </w:r>
      <w:r>
        <w:t xml:space="preserve"> 5 </w:t>
      </w:r>
      <w:r>
        <w:t>层内设置总面积不小于</w:t>
      </w:r>
      <w:r>
        <w:t xml:space="preserve"> 2 m</w:t>
      </w:r>
      <w:r>
        <w:rPr>
          <w:position w:val="11"/>
          <w:sz w:val="11"/>
        </w:rPr>
        <w:t xml:space="preserve">2 </w:t>
      </w:r>
      <w:r>
        <w:t>的固定窗。</w:t>
      </w:r>
      <w:r>
        <w:t xml:space="preserve"> </w:t>
      </w:r>
    </w:p>
    <w:p w14:paraId="699E844A" w14:textId="77777777" w:rsidR="00A71EEF" w:rsidRDefault="00A71EEF">
      <w:pPr>
        <w:pStyle w:val="a3"/>
        <w:spacing w:before="2"/>
        <w:rPr>
          <w:sz w:val="18"/>
        </w:rPr>
      </w:pPr>
    </w:p>
    <w:p w14:paraId="0145EED7" w14:textId="77777777" w:rsidR="00A71EEF" w:rsidRDefault="0081115D">
      <w:pPr>
        <w:pStyle w:val="a4"/>
        <w:numPr>
          <w:ilvl w:val="2"/>
          <w:numId w:val="115"/>
        </w:numPr>
        <w:tabs>
          <w:tab w:val="left" w:pos="1530"/>
        </w:tabs>
        <w:spacing w:line="446" w:lineRule="auto"/>
        <w:ind w:right="1549" w:firstLine="422"/>
        <w:rPr>
          <w:sz w:val="21"/>
        </w:rPr>
      </w:pPr>
      <w:r>
        <w:rPr>
          <w:spacing w:val="-3"/>
          <w:sz w:val="21"/>
        </w:rPr>
        <w:t>设置机械加压送风系统的避难层（</w:t>
      </w:r>
      <w:r>
        <w:rPr>
          <w:sz w:val="21"/>
        </w:rPr>
        <w:t>间）</w:t>
      </w:r>
      <w:r>
        <w:rPr>
          <w:spacing w:val="-3"/>
          <w:sz w:val="21"/>
        </w:rPr>
        <w:t>，尚应在外墙设置可开启外窗，其有效面积不应小于该避难层（</w:t>
      </w:r>
      <w:r>
        <w:rPr>
          <w:sz w:val="21"/>
        </w:rPr>
        <w:t>间</w:t>
      </w:r>
      <w:r>
        <w:rPr>
          <w:spacing w:val="-3"/>
          <w:sz w:val="21"/>
        </w:rPr>
        <w:t>）</w:t>
      </w:r>
      <w:r>
        <w:rPr>
          <w:spacing w:val="-10"/>
          <w:sz w:val="21"/>
        </w:rPr>
        <w:t>地面面积的</w:t>
      </w:r>
      <w:r>
        <w:rPr>
          <w:spacing w:val="-10"/>
          <w:sz w:val="21"/>
        </w:rPr>
        <w:t xml:space="preserve"> </w:t>
      </w:r>
      <w:r>
        <w:rPr>
          <w:sz w:val="21"/>
        </w:rPr>
        <w:t>1</w:t>
      </w:r>
      <w:r>
        <w:rPr>
          <w:spacing w:val="-6"/>
          <w:sz w:val="21"/>
        </w:rPr>
        <w:t>%</w:t>
      </w:r>
      <w:r>
        <w:rPr>
          <w:spacing w:val="-6"/>
          <w:sz w:val="21"/>
        </w:rPr>
        <w:t>。有效面积的计算应符合本标准第</w:t>
      </w:r>
      <w:r>
        <w:rPr>
          <w:spacing w:val="-6"/>
          <w:sz w:val="21"/>
        </w:rPr>
        <w:t xml:space="preserve"> </w:t>
      </w:r>
      <w:r>
        <w:rPr>
          <w:sz w:val="21"/>
        </w:rPr>
        <w:t>4.3.5</w:t>
      </w:r>
      <w:r>
        <w:rPr>
          <w:spacing w:val="-11"/>
          <w:sz w:val="21"/>
        </w:rPr>
        <w:t xml:space="preserve"> </w:t>
      </w:r>
      <w:r>
        <w:rPr>
          <w:spacing w:val="-11"/>
          <w:sz w:val="21"/>
        </w:rPr>
        <w:t>条的规定。</w:t>
      </w:r>
      <w:r>
        <w:rPr>
          <w:sz w:val="21"/>
        </w:rPr>
        <w:t xml:space="preserve"> </w:t>
      </w:r>
    </w:p>
    <w:p w14:paraId="72E86D6B" w14:textId="77777777" w:rsidR="00A71EEF" w:rsidRDefault="0081115D">
      <w:pPr>
        <w:pStyle w:val="a4"/>
        <w:numPr>
          <w:ilvl w:val="1"/>
          <w:numId w:val="115"/>
        </w:numPr>
        <w:tabs>
          <w:tab w:val="left" w:pos="1160"/>
        </w:tabs>
        <w:spacing w:line="267" w:lineRule="exact"/>
        <w:ind w:left="1159" w:hanging="320"/>
        <w:rPr>
          <w:sz w:val="21"/>
        </w:rPr>
      </w:pPr>
      <w:r>
        <w:rPr>
          <w:spacing w:val="-3"/>
          <w:sz w:val="21"/>
        </w:rPr>
        <w:t>机械加压送风系统风量计算</w:t>
      </w:r>
      <w:r>
        <w:rPr>
          <w:sz w:val="21"/>
        </w:rPr>
        <w:t xml:space="preserve"> </w:t>
      </w:r>
    </w:p>
    <w:p w14:paraId="59BA8E5E" w14:textId="77777777" w:rsidR="00A71EEF" w:rsidRDefault="00A71EEF">
      <w:pPr>
        <w:pStyle w:val="a3"/>
        <w:spacing w:before="2"/>
        <w:rPr>
          <w:sz w:val="18"/>
        </w:rPr>
      </w:pPr>
    </w:p>
    <w:p w14:paraId="64F49220" w14:textId="77777777" w:rsidR="00A71EEF" w:rsidRDefault="0081115D">
      <w:pPr>
        <w:pStyle w:val="a4"/>
        <w:numPr>
          <w:ilvl w:val="2"/>
          <w:numId w:val="115"/>
        </w:numPr>
        <w:tabs>
          <w:tab w:val="left" w:pos="1370"/>
        </w:tabs>
        <w:ind w:left="1369" w:hanging="530"/>
        <w:rPr>
          <w:sz w:val="21"/>
        </w:rPr>
      </w:pPr>
      <w:r>
        <w:rPr>
          <w:spacing w:val="-6"/>
          <w:sz w:val="21"/>
        </w:rPr>
        <w:t>机械加压送风系统的设计风量不应小于计算风量的</w:t>
      </w:r>
      <w:r>
        <w:rPr>
          <w:spacing w:val="-6"/>
          <w:sz w:val="21"/>
        </w:rPr>
        <w:t xml:space="preserve"> </w:t>
      </w:r>
      <w:r>
        <w:rPr>
          <w:sz w:val="21"/>
        </w:rPr>
        <w:t>1.2</w:t>
      </w:r>
      <w:r>
        <w:rPr>
          <w:spacing w:val="-20"/>
          <w:sz w:val="21"/>
        </w:rPr>
        <w:t xml:space="preserve"> </w:t>
      </w:r>
      <w:r>
        <w:rPr>
          <w:spacing w:val="-20"/>
          <w:sz w:val="21"/>
        </w:rPr>
        <w:t>倍。</w:t>
      </w:r>
      <w:r>
        <w:rPr>
          <w:sz w:val="21"/>
        </w:rPr>
        <w:t xml:space="preserve"> </w:t>
      </w:r>
    </w:p>
    <w:p w14:paraId="1596B7A2" w14:textId="77777777" w:rsidR="00A71EEF" w:rsidRDefault="0081115D">
      <w:pPr>
        <w:pStyle w:val="a4"/>
        <w:numPr>
          <w:ilvl w:val="2"/>
          <w:numId w:val="115"/>
        </w:numPr>
        <w:tabs>
          <w:tab w:val="left" w:pos="1370"/>
        </w:tabs>
        <w:spacing w:before="41" w:line="500" w:lineRule="exact"/>
        <w:ind w:right="1604" w:firstLine="422"/>
        <w:rPr>
          <w:sz w:val="21"/>
        </w:rPr>
      </w:pPr>
      <w:r>
        <w:rPr>
          <w:spacing w:val="-3"/>
          <w:sz w:val="21"/>
        </w:rPr>
        <w:t>防烟楼梯间、独立前室、共用前室、合用前室和消防电梯前室的机械加压送风的计</w:t>
      </w:r>
      <w:r>
        <w:rPr>
          <w:spacing w:val="-8"/>
          <w:sz w:val="21"/>
        </w:rPr>
        <w:t>算风量应由本标准第</w:t>
      </w:r>
      <w:r>
        <w:rPr>
          <w:spacing w:val="-8"/>
          <w:sz w:val="21"/>
        </w:rPr>
        <w:t xml:space="preserve"> </w:t>
      </w:r>
      <w:r>
        <w:rPr>
          <w:sz w:val="21"/>
        </w:rPr>
        <w:t>3.4.5</w:t>
      </w:r>
      <w:r>
        <w:rPr>
          <w:spacing w:val="-24"/>
          <w:sz w:val="21"/>
        </w:rPr>
        <w:t xml:space="preserve"> </w:t>
      </w:r>
      <w:r>
        <w:rPr>
          <w:spacing w:val="-24"/>
          <w:sz w:val="21"/>
        </w:rPr>
        <w:t>条</w:t>
      </w:r>
      <w:r>
        <w:rPr>
          <w:rFonts w:ascii="微软雅黑" w:eastAsia="微软雅黑" w:hint="eastAsia"/>
          <w:spacing w:val="-3"/>
          <w:sz w:val="21"/>
        </w:rPr>
        <w:t>〜</w:t>
      </w:r>
      <w:r>
        <w:rPr>
          <w:spacing w:val="-25"/>
          <w:sz w:val="21"/>
        </w:rPr>
        <w:t>第</w:t>
      </w:r>
      <w:r>
        <w:rPr>
          <w:spacing w:val="-25"/>
          <w:sz w:val="21"/>
        </w:rPr>
        <w:t xml:space="preserve"> </w:t>
      </w:r>
      <w:r>
        <w:rPr>
          <w:sz w:val="21"/>
        </w:rPr>
        <w:t>3.4.8</w:t>
      </w:r>
      <w:r>
        <w:rPr>
          <w:spacing w:val="-11"/>
          <w:sz w:val="21"/>
        </w:rPr>
        <w:t xml:space="preserve"> </w:t>
      </w:r>
      <w:r>
        <w:rPr>
          <w:spacing w:val="-11"/>
          <w:sz w:val="21"/>
        </w:rPr>
        <w:t>条的规定计算确定。当系统负担建筑高度大于</w:t>
      </w:r>
      <w:r>
        <w:rPr>
          <w:spacing w:val="-11"/>
          <w:sz w:val="21"/>
        </w:rPr>
        <w:t xml:space="preserve"> </w:t>
      </w:r>
      <w:r>
        <w:rPr>
          <w:sz w:val="21"/>
        </w:rPr>
        <w:t>24m</w:t>
      </w:r>
    </w:p>
    <w:p w14:paraId="520F8BCE" w14:textId="77777777" w:rsidR="00A71EEF" w:rsidRDefault="0081115D">
      <w:pPr>
        <w:pStyle w:val="a3"/>
        <w:spacing w:before="123" w:line="350" w:lineRule="auto"/>
        <w:ind w:left="418" w:right="1452"/>
      </w:pPr>
      <w:r>
        <w:pict w14:anchorId="7132CAF3">
          <v:group id="_x0000_s1092" style="position:absolute;left:0;text-align:left;margin-left:102.4pt;margin-top:51.8pt;width:414.55pt;height:137.8pt;z-index:-251520512;mso-position-horizontal-relative:page" coordorigin="2048,1036" coordsize="8291,2756">
            <v:shape id="_x0000_s1095" type="#_x0000_t75" style="position:absolute;left:2048;top:1035;width:8287;height:2115">
              <v:imagedata r:id="rId494" o:title=""/>
            </v:shape>
            <v:shape id="_x0000_s1094" type="#_x0000_t75" style="position:absolute;left:2101;top:1293;width:8238;height:2498">
              <v:imagedata r:id="rId495" o:title=""/>
            </v:shape>
            <v:shape id="_x0000_s1093" type="#_x0000_t75" style="position:absolute;left:2100;top:1841;width:8146;height:1941">
              <v:imagedata r:id="rId496" o:title=""/>
            </v:shape>
            <w10:wrap anchorx="page"/>
          </v:group>
        </w:pict>
      </w:r>
      <w:r>
        <w:rPr>
          <w:spacing w:val="-5"/>
        </w:rPr>
        <w:t>时，防烟楼梯间、独立前室、合用前室和消防电梯前室应按计算值与表</w:t>
      </w:r>
      <w:r>
        <w:rPr>
          <w:spacing w:val="-5"/>
        </w:rPr>
        <w:t xml:space="preserve"> </w:t>
      </w:r>
      <w:r>
        <w:t>3.4.2-1</w:t>
      </w:r>
      <w:r>
        <w:rPr>
          <w:rFonts w:ascii="微软雅黑" w:eastAsia="微软雅黑" w:hint="eastAsia"/>
          <w:spacing w:val="-3"/>
        </w:rPr>
        <w:t>〜</w:t>
      </w:r>
      <w:r>
        <w:rPr>
          <w:spacing w:val="-22"/>
        </w:rPr>
        <w:t>表</w:t>
      </w:r>
      <w:r>
        <w:rPr>
          <w:spacing w:val="-22"/>
        </w:rPr>
        <w:t xml:space="preserve"> </w:t>
      </w:r>
      <w:r>
        <w:t>3.4.2-4</w:t>
      </w:r>
      <w:r>
        <w:rPr>
          <w:spacing w:val="-22"/>
        </w:rPr>
        <w:t xml:space="preserve"> </w:t>
      </w:r>
      <w:r>
        <w:rPr>
          <w:spacing w:val="-22"/>
        </w:rPr>
        <w:t>的</w:t>
      </w:r>
      <w:r>
        <w:rPr>
          <w:spacing w:val="-8"/>
        </w:rPr>
        <w:t>值中的较大值确定。</w:t>
      </w:r>
      <w:r>
        <w:t xml:space="preserve"> </w:t>
      </w:r>
    </w:p>
    <w:p w14:paraId="39734264" w14:textId="77777777" w:rsidR="00A71EEF" w:rsidRDefault="00A71EEF">
      <w:pPr>
        <w:spacing w:line="350" w:lineRule="auto"/>
        <w:sectPr w:rsidR="00A71EEF">
          <w:pgSz w:w="11910" w:h="16850"/>
          <w:pgMar w:top="1220" w:right="0" w:bottom="1420" w:left="1260" w:header="0" w:footer="1239" w:gutter="0"/>
          <w:cols w:space="720"/>
        </w:sectPr>
      </w:pPr>
    </w:p>
    <w:p w14:paraId="15C6C707" w14:textId="77777777" w:rsidR="00A71EEF" w:rsidRDefault="0081115D">
      <w:pPr>
        <w:pStyle w:val="a3"/>
        <w:ind w:left="853"/>
        <w:rPr>
          <w:sz w:val="20"/>
        </w:rPr>
      </w:pPr>
      <w:r>
        <w:rPr>
          <w:noProof/>
          <w:sz w:val="20"/>
        </w:rPr>
        <w:drawing>
          <wp:inline distT="0" distB="0" distL="0" distR="0" wp14:anchorId="44A0B51A" wp14:editId="645084C7">
            <wp:extent cx="5170170" cy="1619250"/>
            <wp:effectExtent l="0" t="0" r="0" b="0"/>
            <wp:docPr id="669" name="image3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image395.jpeg"/>
                    <pic:cNvPicPr/>
                  </pic:nvPicPr>
                  <pic:blipFill>
                    <a:blip r:embed="rId497" cstate="print"/>
                    <a:stretch>
                      <a:fillRect/>
                    </a:stretch>
                  </pic:blipFill>
                  <pic:spPr>
                    <a:xfrm>
                      <a:off x="0" y="0"/>
                      <a:ext cx="5170170" cy="1619250"/>
                    </a:xfrm>
                    <a:prstGeom prst="rect">
                      <a:avLst/>
                    </a:prstGeom>
                  </pic:spPr>
                </pic:pic>
              </a:graphicData>
            </a:graphic>
          </wp:inline>
        </w:drawing>
      </w:r>
    </w:p>
    <w:p w14:paraId="05CE2313" w14:textId="77777777" w:rsidR="00A71EEF" w:rsidRDefault="00A71EEF">
      <w:pPr>
        <w:pStyle w:val="a3"/>
        <w:spacing w:before="1"/>
        <w:rPr>
          <w:sz w:val="6"/>
        </w:rPr>
      </w:pPr>
    </w:p>
    <w:p w14:paraId="502446F9" w14:textId="77777777" w:rsidR="00A71EEF" w:rsidRDefault="0081115D">
      <w:pPr>
        <w:pStyle w:val="a3"/>
        <w:spacing w:before="46" w:line="350" w:lineRule="auto"/>
        <w:ind w:left="418" w:right="1453" w:firstLine="422"/>
      </w:pPr>
      <w:r>
        <w:t>注：</w:t>
      </w:r>
      <w:r>
        <w:t>1</w:t>
      </w:r>
      <w:r>
        <w:rPr>
          <w:spacing w:val="-13"/>
        </w:rPr>
        <w:t xml:space="preserve">. </w:t>
      </w:r>
      <w:r>
        <w:rPr>
          <w:spacing w:val="-13"/>
        </w:rPr>
        <w:t>表</w:t>
      </w:r>
      <w:r>
        <w:rPr>
          <w:spacing w:val="-13"/>
        </w:rPr>
        <w:t xml:space="preserve"> </w:t>
      </w:r>
      <w:r>
        <w:t>3.4.2-1</w:t>
      </w:r>
      <w:r>
        <w:rPr>
          <w:rFonts w:ascii="微软雅黑" w:eastAsia="微软雅黑" w:hAnsi="微软雅黑" w:hint="eastAsia"/>
        </w:rPr>
        <w:t>〜</w:t>
      </w:r>
      <w:r>
        <w:rPr>
          <w:spacing w:val="-25"/>
        </w:rPr>
        <w:t>表</w:t>
      </w:r>
      <w:r>
        <w:rPr>
          <w:spacing w:val="-25"/>
        </w:rPr>
        <w:t xml:space="preserve"> </w:t>
      </w:r>
      <w:r>
        <w:t>3.4.2-4</w:t>
      </w:r>
      <w:r>
        <w:rPr>
          <w:spacing w:val="-16"/>
        </w:rPr>
        <w:t xml:space="preserve"> </w:t>
      </w:r>
      <w:r>
        <w:rPr>
          <w:spacing w:val="-16"/>
        </w:rPr>
        <w:t>的风量按开启</w:t>
      </w:r>
      <w:r>
        <w:rPr>
          <w:spacing w:val="-16"/>
        </w:rPr>
        <w:t xml:space="preserve"> </w:t>
      </w:r>
      <w:r>
        <w:t>1</w:t>
      </w:r>
      <w:r>
        <w:rPr>
          <w:spacing w:val="-35"/>
        </w:rPr>
        <w:t xml:space="preserve"> </w:t>
      </w:r>
      <w:r>
        <w:rPr>
          <w:spacing w:val="-35"/>
        </w:rPr>
        <w:t>个</w:t>
      </w:r>
      <w:r>
        <w:rPr>
          <w:spacing w:val="-35"/>
        </w:rPr>
        <w:t xml:space="preserve"> </w:t>
      </w:r>
      <w:r>
        <w:t>2.0m×1.6m</w:t>
      </w:r>
      <w:r>
        <w:rPr>
          <w:spacing w:val="-8"/>
        </w:rPr>
        <w:t xml:space="preserve"> </w:t>
      </w:r>
      <w:r>
        <w:rPr>
          <w:spacing w:val="-8"/>
        </w:rPr>
        <w:t>的双扇门确定。当采用单扇</w:t>
      </w:r>
      <w:r>
        <w:rPr>
          <w:spacing w:val="-10"/>
        </w:rPr>
        <w:t>门时，其风量可乘以系数</w:t>
      </w:r>
      <w:r>
        <w:rPr>
          <w:spacing w:val="-10"/>
        </w:rPr>
        <w:t xml:space="preserve"> </w:t>
      </w:r>
      <w:r>
        <w:t>0.75</w:t>
      </w:r>
      <w:r>
        <w:rPr>
          <w:spacing w:val="-16"/>
        </w:rPr>
        <w:t xml:space="preserve"> </w:t>
      </w:r>
      <w:r>
        <w:rPr>
          <w:spacing w:val="-16"/>
        </w:rPr>
        <w:t>计算。</w:t>
      </w:r>
      <w:r>
        <w:t xml:space="preserve"> </w:t>
      </w:r>
    </w:p>
    <w:p w14:paraId="1AC3ABB4" w14:textId="77777777" w:rsidR="00A71EEF" w:rsidRDefault="0081115D">
      <w:pPr>
        <w:pStyle w:val="a4"/>
        <w:numPr>
          <w:ilvl w:val="0"/>
          <w:numId w:val="114"/>
        </w:numPr>
        <w:tabs>
          <w:tab w:val="left" w:pos="1051"/>
        </w:tabs>
        <w:spacing w:before="111"/>
        <w:rPr>
          <w:sz w:val="21"/>
        </w:rPr>
      </w:pPr>
      <w:r>
        <w:rPr>
          <w:spacing w:val="-3"/>
          <w:sz w:val="21"/>
        </w:rPr>
        <w:t>表中风量按开启着火层及其上下层，共开启三层的风量计算。</w:t>
      </w:r>
      <w:r>
        <w:rPr>
          <w:sz w:val="21"/>
        </w:rPr>
        <w:t xml:space="preserve"> </w:t>
      </w:r>
    </w:p>
    <w:p w14:paraId="5F9EEBC9" w14:textId="77777777" w:rsidR="00A71EEF" w:rsidRDefault="00A71EEF">
      <w:pPr>
        <w:pStyle w:val="a3"/>
        <w:spacing w:before="12"/>
        <w:rPr>
          <w:sz w:val="17"/>
        </w:rPr>
      </w:pPr>
    </w:p>
    <w:p w14:paraId="6EC85E3A" w14:textId="77777777" w:rsidR="00A71EEF" w:rsidRDefault="0081115D">
      <w:pPr>
        <w:pStyle w:val="a4"/>
        <w:numPr>
          <w:ilvl w:val="0"/>
          <w:numId w:val="114"/>
        </w:numPr>
        <w:tabs>
          <w:tab w:val="left" w:pos="1051"/>
        </w:tabs>
        <w:rPr>
          <w:sz w:val="21"/>
        </w:rPr>
      </w:pPr>
      <w:r>
        <w:rPr>
          <w:spacing w:val="-3"/>
          <w:sz w:val="21"/>
        </w:rPr>
        <w:t>表中风量的选取应按建筑高度或层数、风道材料、防火门漏风量等因素综合确定。</w:t>
      </w:r>
      <w:r>
        <w:rPr>
          <w:spacing w:val="-3"/>
          <w:sz w:val="21"/>
        </w:rPr>
        <w:t xml:space="preserve"> </w:t>
      </w:r>
    </w:p>
    <w:p w14:paraId="17D3B99B" w14:textId="77777777" w:rsidR="00A71EEF" w:rsidRDefault="00A71EEF">
      <w:pPr>
        <w:pStyle w:val="a3"/>
        <w:spacing w:before="12"/>
        <w:rPr>
          <w:sz w:val="17"/>
        </w:rPr>
      </w:pPr>
    </w:p>
    <w:p w14:paraId="30841D64" w14:textId="77777777" w:rsidR="00A71EEF" w:rsidRDefault="0081115D">
      <w:pPr>
        <w:pStyle w:val="a4"/>
        <w:numPr>
          <w:ilvl w:val="2"/>
          <w:numId w:val="115"/>
        </w:numPr>
        <w:tabs>
          <w:tab w:val="left" w:pos="1424"/>
        </w:tabs>
        <w:spacing w:line="441" w:lineRule="auto"/>
        <w:ind w:right="1445" w:firstLine="422"/>
        <w:rPr>
          <w:sz w:val="21"/>
        </w:rPr>
      </w:pPr>
      <w:r>
        <w:rPr>
          <w:spacing w:val="-3"/>
          <w:sz w:val="21"/>
        </w:rPr>
        <w:t>封闭避难层</w:t>
      </w:r>
      <w:r>
        <w:rPr>
          <w:sz w:val="21"/>
        </w:rPr>
        <w:t>（</w:t>
      </w:r>
      <w:r>
        <w:rPr>
          <w:spacing w:val="-3"/>
          <w:sz w:val="21"/>
        </w:rPr>
        <w:t>间）、避难走道的机械加压送风量应按避难层</w:t>
      </w:r>
      <w:r>
        <w:rPr>
          <w:sz w:val="21"/>
        </w:rPr>
        <w:t>（</w:t>
      </w:r>
      <w:r>
        <w:rPr>
          <w:spacing w:val="-3"/>
          <w:sz w:val="21"/>
        </w:rPr>
        <w:t>间</w:t>
      </w:r>
      <w:r>
        <w:rPr>
          <w:sz w:val="21"/>
        </w:rPr>
        <w:t>）</w:t>
      </w:r>
      <w:r>
        <w:rPr>
          <w:spacing w:val="-3"/>
          <w:sz w:val="21"/>
        </w:rPr>
        <w:t>、避难走道的净面</w:t>
      </w:r>
      <w:r>
        <w:rPr>
          <w:spacing w:val="-8"/>
          <w:sz w:val="21"/>
        </w:rPr>
        <w:t>积每平方米不少于</w:t>
      </w:r>
      <w:r>
        <w:rPr>
          <w:spacing w:val="-8"/>
          <w:sz w:val="21"/>
        </w:rPr>
        <w:t xml:space="preserve"> </w:t>
      </w:r>
      <w:r>
        <w:rPr>
          <w:sz w:val="21"/>
        </w:rPr>
        <w:t>30m</w:t>
      </w:r>
      <w:r>
        <w:rPr>
          <w:position w:val="11"/>
          <w:sz w:val="11"/>
        </w:rPr>
        <w:t>3</w:t>
      </w:r>
      <w:r>
        <w:rPr>
          <w:sz w:val="21"/>
        </w:rPr>
        <w:t>/h</w:t>
      </w:r>
      <w:r>
        <w:rPr>
          <w:spacing w:val="-8"/>
          <w:sz w:val="21"/>
        </w:rPr>
        <w:t xml:space="preserve"> </w:t>
      </w:r>
      <w:r>
        <w:rPr>
          <w:spacing w:val="-8"/>
          <w:sz w:val="21"/>
        </w:rPr>
        <w:t>计算。避难走道前室的送风量应按直接开向前室的疏散门的总断面积</w:t>
      </w:r>
      <w:r>
        <w:rPr>
          <w:spacing w:val="-24"/>
          <w:sz w:val="21"/>
        </w:rPr>
        <w:t>乘以</w:t>
      </w:r>
      <w:r>
        <w:rPr>
          <w:spacing w:val="-24"/>
          <w:sz w:val="21"/>
        </w:rPr>
        <w:t xml:space="preserve"> </w:t>
      </w:r>
      <w:r>
        <w:rPr>
          <w:sz w:val="21"/>
        </w:rPr>
        <w:t>1.0m/s</w:t>
      </w:r>
      <w:r>
        <w:rPr>
          <w:spacing w:val="-8"/>
          <w:sz w:val="21"/>
        </w:rPr>
        <w:t xml:space="preserve"> </w:t>
      </w:r>
      <w:r>
        <w:rPr>
          <w:spacing w:val="-8"/>
          <w:sz w:val="21"/>
        </w:rPr>
        <w:t>门洞断面风速计算。</w:t>
      </w:r>
      <w:r>
        <w:rPr>
          <w:sz w:val="21"/>
        </w:rPr>
        <w:t xml:space="preserve"> </w:t>
      </w:r>
    </w:p>
    <w:p w14:paraId="57685400" w14:textId="77777777" w:rsidR="00A71EEF" w:rsidRDefault="0081115D">
      <w:pPr>
        <w:pStyle w:val="a4"/>
        <w:numPr>
          <w:ilvl w:val="2"/>
          <w:numId w:val="115"/>
        </w:numPr>
        <w:tabs>
          <w:tab w:val="left" w:pos="1424"/>
        </w:tabs>
        <w:spacing w:before="5" w:line="448" w:lineRule="auto"/>
        <w:ind w:right="1445" w:firstLine="422"/>
        <w:rPr>
          <w:sz w:val="21"/>
        </w:rPr>
      </w:pPr>
      <w:r>
        <w:rPr>
          <w:spacing w:val="-3"/>
          <w:sz w:val="21"/>
        </w:rPr>
        <w:t>机械加压送风量应满足走廊至前室至楼梯间的压力呈递增分布，余压值应符合下列规定：</w:t>
      </w:r>
      <w:r>
        <w:rPr>
          <w:sz w:val="21"/>
        </w:rPr>
        <w:t xml:space="preserve"> </w:t>
      </w:r>
    </w:p>
    <w:p w14:paraId="586B7990" w14:textId="77777777" w:rsidR="00A71EEF" w:rsidRDefault="0081115D">
      <w:pPr>
        <w:pStyle w:val="a3"/>
        <w:spacing w:line="315" w:lineRule="exact"/>
        <w:ind w:left="838"/>
      </w:pPr>
      <w:r>
        <w:t>前室、封闭避难层（间）与走道之间的压差应为</w:t>
      </w:r>
      <w:r>
        <w:t xml:space="preserve"> 25</w:t>
      </w:r>
      <w:r>
        <w:rPr>
          <w:rFonts w:ascii="微软雅黑" w:eastAsia="微软雅黑" w:hint="eastAsia"/>
        </w:rPr>
        <w:t>〜</w:t>
      </w:r>
      <w:r>
        <w:t>30Pa</w:t>
      </w:r>
      <w:r>
        <w:t>；</w:t>
      </w:r>
      <w:r>
        <w:t xml:space="preserve"> </w:t>
      </w:r>
    </w:p>
    <w:p w14:paraId="2E2362EE" w14:textId="77777777" w:rsidR="00A71EEF" w:rsidRDefault="0081115D">
      <w:pPr>
        <w:pStyle w:val="a3"/>
        <w:spacing w:before="112"/>
        <w:ind w:left="838"/>
      </w:pPr>
      <w:r>
        <w:t>楼梯间与走道之间的压差应为</w:t>
      </w:r>
      <w:r>
        <w:t xml:space="preserve"> 40</w:t>
      </w:r>
      <w:r>
        <w:rPr>
          <w:rFonts w:ascii="微软雅黑" w:eastAsia="微软雅黑" w:hint="eastAsia"/>
        </w:rPr>
        <w:t>〜</w:t>
      </w:r>
      <w:r>
        <w:t>50Pa</w:t>
      </w:r>
      <w:r>
        <w:t>；</w:t>
      </w:r>
      <w:r>
        <w:t xml:space="preserve"> </w:t>
      </w:r>
    </w:p>
    <w:p w14:paraId="1E97013B" w14:textId="77777777" w:rsidR="00A71EEF" w:rsidRDefault="0081115D">
      <w:pPr>
        <w:pStyle w:val="a3"/>
        <w:spacing w:before="182"/>
        <w:ind w:left="838"/>
      </w:pPr>
      <w:r>
        <w:t>当系统余压值超过最大允许压力差时应采取泄压措施。最大允许压力差应由本标准第</w:t>
      </w:r>
      <w:r>
        <w:t xml:space="preserve"> 3.4.9</w:t>
      </w:r>
    </w:p>
    <w:p w14:paraId="2216F3D3" w14:textId="77777777" w:rsidR="00A71EEF" w:rsidRDefault="00A71EEF">
      <w:pPr>
        <w:pStyle w:val="a3"/>
        <w:spacing w:before="12"/>
        <w:rPr>
          <w:sz w:val="17"/>
        </w:rPr>
      </w:pPr>
    </w:p>
    <w:p w14:paraId="6594B2C0" w14:textId="77777777" w:rsidR="00A71EEF" w:rsidRDefault="0081115D">
      <w:pPr>
        <w:pStyle w:val="a3"/>
        <w:ind w:left="418"/>
      </w:pPr>
      <w:r>
        <w:t>条计算确定。</w:t>
      </w:r>
      <w:r>
        <w:t xml:space="preserve"> </w:t>
      </w:r>
    </w:p>
    <w:p w14:paraId="149A6C6F" w14:textId="77777777" w:rsidR="00A71EEF" w:rsidRDefault="00A71EEF">
      <w:pPr>
        <w:pStyle w:val="a3"/>
        <w:rPr>
          <w:sz w:val="18"/>
        </w:rPr>
      </w:pPr>
    </w:p>
    <w:p w14:paraId="033E9B65" w14:textId="77777777" w:rsidR="00A71EEF" w:rsidRDefault="0081115D">
      <w:pPr>
        <w:pStyle w:val="a4"/>
        <w:numPr>
          <w:ilvl w:val="2"/>
          <w:numId w:val="115"/>
        </w:numPr>
        <w:tabs>
          <w:tab w:val="left" w:pos="1424"/>
        </w:tabs>
        <w:ind w:left="1423" w:hanging="584"/>
        <w:rPr>
          <w:sz w:val="21"/>
        </w:rPr>
      </w:pPr>
      <w:r>
        <w:rPr>
          <w:spacing w:val="-3"/>
          <w:sz w:val="21"/>
        </w:rPr>
        <w:t>楼梯间或前室的机械加压送风量应按下列公式计算：</w:t>
      </w:r>
      <w:r>
        <w:rPr>
          <w:sz w:val="21"/>
        </w:rPr>
        <w:t xml:space="preserve"> </w:t>
      </w:r>
    </w:p>
    <w:p w14:paraId="13DC2698" w14:textId="77777777" w:rsidR="00A71EEF" w:rsidRDefault="00A71EEF">
      <w:pPr>
        <w:pStyle w:val="a3"/>
        <w:spacing w:before="2"/>
        <w:rPr>
          <w:sz w:val="18"/>
        </w:rPr>
      </w:pPr>
    </w:p>
    <w:p w14:paraId="7FC151D6" w14:textId="77777777" w:rsidR="00A71EEF" w:rsidRDefault="0081115D">
      <w:pPr>
        <w:pStyle w:val="a3"/>
        <w:spacing w:line="446" w:lineRule="auto"/>
        <w:ind w:left="2816" w:right="3294" w:hanging="106"/>
      </w:pPr>
      <w:r>
        <w:t xml:space="preserve">Lj  = L1  + L2                  </w:t>
      </w:r>
      <w:r>
        <w:t>（</w:t>
      </w:r>
      <w:r>
        <w:t>3.4.5-1</w:t>
      </w:r>
      <w:r>
        <w:t>）</w:t>
      </w:r>
      <w:r>
        <w:t xml:space="preserve"> Ls = L1 + L3</w:t>
      </w:r>
      <w:r>
        <w:rPr>
          <w:spacing w:val="96"/>
        </w:rPr>
        <w:t xml:space="preserve"> </w:t>
      </w:r>
      <w:r>
        <w:t>（</w:t>
      </w:r>
      <w:r>
        <w:t>3.4.5-2</w:t>
      </w:r>
      <w:r>
        <w:t>）</w:t>
      </w:r>
      <w:r>
        <w:t xml:space="preserve"> </w:t>
      </w:r>
    </w:p>
    <w:p w14:paraId="366D6D90" w14:textId="77777777" w:rsidR="00A71EEF" w:rsidRDefault="0081115D">
      <w:pPr>
        <w:pStyle w:val="a3"/>
        <w:spacing w:line="446" w:lineRule="auto"/>
        <w:ind w:left="838" w:right="5709"/>
      </w:pPr>
      <w:r>
        <w:t>式中：</w:t>
      </w:r>
      <w:r>
        <w:t>Lj——</w:t>
      </w:r>
      <w:r>
        <w:t>楼梯间的机械加压送风量；</w:t>
      </w:r>
      <w:r>
        <w:t xml:space="preserve"> Ls——</w:t>
      </w:r>
      <w:r>
        <w:t>前室的机械加压送风量；</w:t>
      </w:r>
      <w:r>
        <w:t xml:space="preserve"> </w:t>
      </w:r>
    </w:p>
    <w:p w14:paraId="1F10F9AB" w14:textId="77777777" w:rsidR="00A71EEF" w:rsidRDefault="0081115D">
      <w:pPr>
        <w:pStyle w:val="a3"/>
        <w:spacing w:line="436" w:lineRule="auto"/>
        <w:ind w:left="838" w:right="3867"/>
      </w:pPr>
      <w:r>
        <w:t>L1——</w:t>
      </w:r>
      <w:r>
        <w:t>门开启时，达到规定风速值所需的送风量</w:t>
      </w:r>
      <w:r>
        <w:t xml:space="preserve"> </w:t>
      </w:r>
      <w:r>
        <w:t>（</w:t>
      </w:r>
      <w:r>
        <w:t>m</w:t>
      </w:r>
      <w:r>
        <w:rPr>
          <w:position w:val="11"/>
          <w:sz w:val="11"/>
        </w:rPr>
        <w:t>3</w:t>
      </w:r>
      <w:r>
        <w:t>/s</w:t>
      </w:r>
      <w:r>
        <w:t>）；</w:t>
      </w:r>
      <w:r>
        <w:t xml:space="preserve"> L2——</w:t>
      </w:r>
      <w:r>
        <w:t>门开启时，规定风速值下，其他门缝漏风总量（</w:t>
      </w:r>
      <w:r>
        <w:t>m</w:t>
      </w:r>
      <w:r>
        <w:rPr>
          <w:position w:val="11"/>
          <w:sz w:val="11"/>
        </w:rPr>
        <w:t>3</w:t>
      </w:r>
      <w:r>
        <w:t>/s</w:t>
      </w:r>
      <w:r>
        <w:t>）；</w:t>
      </w:r>
      <w:r>
        <w:t xml:space="preserve"> L3——</w:t>
      </w:r>
      <w:r>
        <w:t>未开启的常闭送风阀的漏风总量（</w:t>
      </w:r>
      <w:r>
        <w:t>m</w:t>
      </w:r>
      <w:r>
        <w:rPr>
          <w:position w:val="11"/>
          <w:sz w:val="11"/>
        </w:rPr>
        <w:t>3</w:t>
      </w:r>
      <w:r>
        <w:t>/s</w:t>
      </w:r>
      <w:r>
        <w:t>）。</w:t>
      </w:r>
      <w:r>
        <w:t xml:space="preserve"> </w:t>
      </w:r>
    </w:p>
    <w:p w14:paraId="6946CC1E" w14:textId="77777777" w:rsidR="00A71EEF" w:rsidRDefault="0081115D">
      <w:pPr>
        <w:pStyle w:val="a4"/>
        <w:numPr>
          <w:ilvl w:val="2"/>
          <w:numId w:val="115"/>
        </w:numPr>
        <w:tabs>
          <w:tab w:val="left" w:pos="1424"/>
        </w:tabs>
        <w:ind w:left="1423" w:hanging="584"/>
        <w:rPr>
          <w:sz w:val="21"/>
        </w:rPr>
      </w:pPr>
      <w:r>
        <w:rPr>
          <w:spacing w:val="-3"/>
          <w:sz w:val="21"/>
        </w:rPr>
        <w:t>门开启时，达到规定风速值所需的送风量应按下式计算：</w:t>
      </w:r>
      <w:r>
        <w:rPr>
          <w:sz w:val="21"/>
        </w:rPr>
        <w:t xml:space="preserve"> </w:t>
      </w:r>
    </w:p>
    <w:p w14:paraId="5C11812D" w14:textId="77777777" w:rsidR="00A71EEF" w:rsidRDefault="00A71EEF">
      <w:pPr>
        <w:pStyle w:val="a3"/>
        <w:spacing w:before="11"/>
        <w:rPr>
          <w:sz w:val="17"/>
        </w:rPr>
      </w:pPr>
    </w:p>
    <w:p w14:paraId="269572DE" w14:textId="77777777" w:rsidR="00A71EEF" w:rsidRDefault="0081115D">
      <w:pPr>
        <w:pStyle w:val="a3"/>
        <w:ind w:left="2765"/>
        <w:rPr>
          <w:b/>
        </w:rPr>
      </w:pPr>
      <w:r>
        <w:t>L1= AkvN1</w:t>
      </w:r>
      <w:r>
        <w:rPr>
          <w:spacing w:val="99"/>
        </w:rPr>
        <w:t xml:space="preserve"> </w:t>
      </w:r>
      <w:r>
        <w:t>（</w:t>
      </w:r>
      <w:r>
        <w:t>3.4.6</w:t>
      </w:r>
      <w:r>
        <w:t>）</w:t>
      </w:r>
      <w:r>
        <w:rPr>
          <w:b/>
          <w:w w:val="99"/>
        </w:rPr>
        <w:t xml:space="preserve"> </w:t>
      </w:r>
    </w:p>
    <w:p w14:paraId="4E64681E" w14:textId="77777777" w:rsidR="00A71EEF" w:rsidRDefault="00A71EEF">
      <w:pPr>
        <w:sectPr w:rsidR="00A71EEF">
          <w:footerReference w:type="default" r:id="rId498"/>
          <w:pgSz w:w="11910" w:h="16850"/>
          <w:pgMar w:top="1080" w:right="0" w:bottom="1420" w:left="1260" w:header="0" w:footer="1239" w:gutter="0"/>
          <w:pgNumType w:start="1530"/>
          <w:cols w:space="720"/>
        </w:sectPr>
      </w:pPr>
    </w:p>
    <w:p w14:paraId="7CFB2CF3" w14:textId="77777777" w:rsidR="00A71EEF" w:rsidRDefault="0081115D">
      <w:pPr>
        <w:pStyle w:val="a3"/>
        <w:spacing w:before="57" w:line="446" w:lineRule="auto"/>
        <w:ind w:left="418" w:right="1659" w:firstLine="419"/>
      </w:pPr>
      <w:r>
        <w:t>式中：</w:t>
      </w:r>
      <w:r>
        <w:t>Ak——</w:t>
      </w:r>
      <w:r>
        <w:t>一层内开启门的截面面积（</w:t>
      </w:r>
      <w:r>
        <w:t>m</w:t>
      </w:r>
      <w:r>
        <w:rPr>
          <w:position w:val="11"/>
          <w:sz w:val="11"/>
        </w:rPr>
        <w:t>2</w:t>
      </w:r>
      <w:r>
        <w:t>），对于住宅楼梯前室，可按一个门的面积取值；</w:t>
      </w:r>
      <w:r>
        <w:t xml:space="preserve"> </w:t>
      </w:r>
    </w:p>
    <w:p w14:paraId="4AF84F40" w14:textId="77777777" w:rsidR="00A71EEF" w:rsidRDefault="0081115D">
      <w:pPr>
        <w:pStyle w:val="a3"/>
        <w:spacing w:line="446" w:lineRule="auto"/>
        <w:ind w:left="418" w:right="1452" w:firstLine="419"/>
      </w:pPr>
      <w:r>
        <w:t>v—</w:t>
      </w:r>
      <w:r>
        <w:rPr>
          <w:spacing w:val="-3"/>
        </w:rPr>
        <w:t>—</w:t>
      </w:r>
      <w:r>
        <w:rPr>
          <w:spacing w:val="-3"/>
        </w:rPr>
        <w:t>门洞断面风速</w:t>
      </w:r>
      <w:r>
        <w:t>（</w:t>
      </w:r>
      <w:r>
        <w:t>m/s</w:t>
      </w:r>
      <w:r>
        <w:t>）；</w:t>
      </w:r>
      <w:r>
        <w:rPr>
          <w:spacing w:val="-3"/>
        </w:rPr>
        <w:t>当楼梯间和独立前室、共用前室、合用前室均机械加压送风</w:t>
      </w:r>
      <w:r>
        <w:rPr>
          <w:spacing w:val="-3"/>
        </w:rPr>
        <w:t xml:space="preserve"> </w:t>
      </w:r>
      <w:r>
        <w:rPr>
          <w:spacing w:val="-4"/>
        </w:rPr>
        <w:t>时，通向楼梯间和独立前室、共用前室、合用前室疏散门的门洞断面风速均不应小于</w:t>
      </w:r>
      <w:r>
        <w:rPr>
          <w:spacing w:val="-4"/>
        </w:rPr>
        <w:t xml:space="preserve"> </w:t>
      </w:r>
      <w:r>
        <w:t>0.7m/s</w:t>
      </w:r>
      <w:r>
        <w:t>；</w:t>
      </w:r>
      <w:r>
        <w:t xml:space="preserve"> </w:t>
      </w:r>
    </w:p>
    <w:p w14:paraId="33053686" w14:textId="77777777" w:rsidR="00A71EEF" w:rsidRDefault="0081115D">
      <w:pPr>
        <w:pStyle w:val="a3"/>
        <w:spacing w:line="446" w:lineRule="auto"/>
        <w:ind w:left="418" w:right="1450" w:firstLine="419"/>
      </w:pPr>
      <w:r>
        <w:rPr>
          <w:spacing w:val="-3"/>
        </w:rPr>
        <w:t>当楼梯间机械加压送风、只有一个开启门的独立前室不送风时，通向楼梯间疏散门的门洞</w:t>
      </w:r>
      <w:r>
        <w:rPr>
          <w:spacing w:val="-3"/>
        </w:rPr>
        <w:t xml:space="preserve"> </w:t>
      </w:r>
      <w:r>
        <w:rPr>
          <w:spacing w:val="-8"/>
        </w:rPr>
        <w:t>断面风速不应小于</w:t>
      </w:r>
      <w:r>
        <w:rPr>
          <w:spacing w:val="-8"/>
        </w:rPr>
        <w:t xml:space="preserve"> </w:t>
      </w:r>
      <w:r>
        <w:t>1.0m/s</w:t>
      </w:r>
      <w:r>
        <w:rPr>
          <w:spacing w:val="-3"/>
        </w:rPr>
        <w:t>；当消防电梯前室机械加压送风时，通向消防电梯前室门的门洞断面</w:t>
      </w:r>
      <w:r>
        <w:rPr>
          <w:spacing w:val="-9"/>
        </w:rPr>
        <w:t>风速不应小于</w:t>
      </w:r>
      <w:r>
        <w:rPr>
          <w:spacing w:val="-9"/>
        </w:rPr>
        <w:t xml:space="preserve"> </w:t>
      </w:r>
      <w:r>
        <w:t>1.0m/s</w:t>
      </w:r>
      <w:r>
        <w:rPr>
          <w:spacing w:val="-3"/>
        </w:rPr>
        <w:t xml:space="preserve"> </w:t>
      </w:r>
      <w:r>
        <w:rPr>
          <w:spacing w:val="-3"/>
        </w:rPr>
        <w:t>；当独立前室、共用前室或合用前室机械加压送风而楼梯间采用可开启外</w:t>
      </w:r>
      <w:r>
        <w:rPr>
          <w:spacing w:val="-5"/>
        </w:rPr>
        <w:t>窗的自然通风系统时，通向独立前室、共用前室或合用前室疏散门的门洞风速不应小于</w:t>
      </w:r>
      <w:r>
        <w:rPr>
          <w:spacing w:val="-5"/>
        </w:rPr>
        <w:t xml:space="preserve"> </w:t>
      </w:r>
      <w:r>
        <w:t xml:space="preserve">0.6 </w:t>
      </w:r>
    </w:p>
    <w:p w14:paraId="6A097836" w14:textId="77777777" w:rsidR="00A71EEF" w:rsidRDefault="0081115D">
      <w:pPr>
        <w:pStyle w:val="a3"/>
        <w:spacing w:line="267" w:lineRule="exact"/>
        <w:ind w:left="418"/>
      </w:pPr>
      <w:r>
        <w:t>（</w:t>
      </w:r>
      <w:r>
        <w:t xml:space="preserve"> Al/ Ag+1</w:t>
      </w:r>
      <w:r>
        <w:t>）（</w:t>
      </w:r>
      <w:r>
        <w:t>m/s</w:t>
      </w:r>
      <w:r>
        <w:t>）；</w:t>
      </w:r>
      <w:r>
        <w:t xml:space="preserve">Al </w:t>
      </w:r>
      <w:r>
        <w:t>为楼梯间疏散门的总面积（</w:t>
      </w:r>
      <w:r>
        <w:t>m</w:t>
      </w:r>
      <w:r>
        <w:rPr>
          <w:position w:val="11"/>
          <w:sz w:val="11"/>
        </w:rPr>
        <w:t>2</w:t>
      </w:r>
      <w:r>
        <w:t>）；</w:t>
      </w:r>
      <w:r>
        <w:t xml:space="preserve">Ag </w:t>
      </w:r>
      <w:r>
        <w:t>为前室疏散门的总面积</w:t>
      </w:r>
    </w:p>
    <w:p w14:paraId="08559F0A" w14:textId="77777777" w:rsidR="00A71EEF" w:rsidRDefault="00A71EEF">
      <w:pPr>
        <w:pStyle w:val="a3"/>
        <w:spacing w:before="3"/>
        <w:rPr>
          <w:sz w:val="17"/>
        </w:rPr>
      </w:pPr>
    </w:p>
    <w:p w14:paraId="57C2F9EE" w14:textId="77777777" w:rsidR="00A71EEF" w:rsidRDefault="0081115D">
      <w:pPr>
        <w:pStyle w:val="a3"/>
        <w:ind w:left="418"/>
      </w:pPr>
      <w:r>
        <w:t>（</w:t>
      </w:r>
      <w:r>
        <w:t>m</w:t>
      </w:r>
      <w:r>
        <w:rPr>
          <w:position w:val="11"/>
          <w:sz w:val="11"/>
        </w:rPr>
        <w:t>2</w:t>
      </w:r>
      <w:r>
        <w:t>）。</w:t>
      </w:r>
      <w:r>
        <w:t xml:space="preserve"> </w:t>
      </w:r>
    </w:p>
    <w:p w14:paraId="6DFAFB3F" w14:textId="77777777" w:rsidR="00A71EEF" w:rsidRDefault="00A71EEF">
      <w:pPr>
        <w:pStyle w:val="a3"/>
        <w:spacing w:before="12"/>
        <w:rPr>
          <w:sz w:val="17"/>
        </w:rPr>
      </w:pPr>
    </w:p>
    <w:p w14:paraId="50858D48" w14:textId="77777777" w:rsidR="00A71EEF" w:rsidRDefault="0081115D">
      <w:pPr>
        <w:pStyle w:val="a3"/>
        <w:spacing w:line="446" w:lineRule="auto"/>
        <w:ind w:left="418" w:right="1508" w:firstLine="419"/>
      </w:pPr>
      <w:r>
        <w:t>N1—</w:t>
      </w:r>
      <w:r>
        <w:rPr>
          <w:spacing w:val="-3"/>
        </w:rPr>
        <w:t>—</w:t>
      </w:r>
      <w:r>
        <w:rPr>
          <w:spacing w:val="-3"/>
        </w:rPr>
        <w:t>设计疏散门开启的楼层数量；楼梯间：采用常开风口，当地上楼梯间为</w:t>
      </w:r>
      <w:r>
        <w:rPr>
          <w:spacing w:val="-3"/>
        </w:rPr>
        <w:t xml:space="preserve"> </w:t>
      </w:r>
      <w:r>
        <w:t>24m</w:t>
      </w:r>
      <w:r>
        <w:rPr>
          <w:spacing w:val="8"/>
        </w:rPr>
        <w:t xml:space="preserve"> </w:t>
      </w:r>
      <w:r>
        <w:rPr>
          <w:spacing w:val="8"/>
        </w:rPr>
        <w:t>以下</w:t>
      </w:r>
      <w:r>
        <w:rPr>
          <w:spacing w:val="-8"/>
        </w:rPr>
        <w:t>时，设计</w:t>
      </w:r>
      <w:r>
        <w:rPr>
          <w:spacing w:val="-8"/>
        </w:rPr>
        <w:t xml:space="preserve"> </w:t>
      </w:r>
      <w:r>
        <w:t>2</w:t>
      </w:r>
      <w:r>
        <w:rPr>
          <w:spacing w:val="-12"/>
        </w:rPr>
        <w:t xml:space="preserve"> </w:t>
      </w:r>
      <w:r>
        <w:rPr>
          <w:spacing w:val="-12"/>
        </w:rPr>
        <w:t>层内的疏散门开启，取</w:t>
      </w:r>
      <w:r>
        <w:rPr>
          <w:spacing w:val="-12"/>
        </w:rPr>
        <w:t xml:space="preserve"> </w:t>
      </w:r>
      <w:r>
        <w:t>N1=2</w:t>
      </w:r>
      <w:r>
        <w:rPr>
          <w:spacing w:val="-8"/>
        </w:rPr>
        <w:t>；当地上楼梯间为</w:t>
      </w:r>
      <w:r>
        <w:rPr>
          <w:spacing w:val="-8"/>
        </w:rPr>
        <w:t xml:space="preserve"> </w:t>
      </w:r>
      <w:r>
        <w:t>24m</w:t>
      </w:r>
      <w:r>
        <w:rPr>
          <w:spacing w:val="-13"/>
        </w:rPr>
        <w:t xml:space="preserve"> </w:t>
      </w:r>
      <w:r>
        <w:rPr>
          <w:spacing w:val="-13"/>
        </w:rPr>
        <w:t>及以上时，设计</w:t>
      </w:r>
      <w:r>
        <w:rPr>
          <w:spacing w:val="-13"/>
        </w:rPr>
        <w:t xml:space="preserve"> </w:t>
      </w:r>
      <w:r>
        <w:t>3</w:t>
      </w:r>
      <w:r>
        <w:rPr>
          <w:spacing w:val="-10"/>
        </w:rPr>
        <w:t xml:space="preserve"> </w:t>
      </w:r>
      <w:r>
        <w:rPr>
          <w:spacing w:val="-10"/>
        </w:rPr>
        <w:t>层内的疏散门</w:t>
      </w:r>
      <w:r>
        <w:rPr>
          <w:spacing w:val="-15"/>
        </w:rPr>
        <w:t>开启，取</w:t>
      </w:r>
      <w:r>
        <w:rPr>
          <w:spacing w:val="-15"/>
        </w:rPr>
        <w:t xml:space="preserve"> </w:t>
      </w:r>
      <w:r>
        <w:t>N1</w:t>
      </w:r>
      <w:r>
        <w:rPr>
          <w:spacing w:val="8"/>
        </w:rPr>
        <w:t xml:space="preserve"> =</w:t>
      </w:r>
      <w:r>
        <w:t>3</w:t>
      </w:r>
      <w:r>
        <w:rPr>
          <w:spacing w:val="-7"/>
        </w:rPr>
        <w:t>；当为地下楼梯间时，设计</w:t>
      </w:r>
      <w:r>
        <w:rPr>
          <w:spacing w:val="-7"/>
        </w:rPr>
        <w:t xml:space="preserve"> </w:t>
      </w:r>
      <w:r>
        <w:t>1</w:t>
      </w:r>
      <w:r>
        <w:rPr>
          <w:spacing w:val="-13"/>
        </w:rPr>
        <w:t xml:space="preserve"> </w:t>
      </w:r>
      <w:r>
        <w:rPr>
          <w:spacing w:val="-13"/>
        </w:rPr>
        <w:t>层内的疏散门开启，取</w:t>
      </w:r>
      <w:r>
        <w:rPr>
          <w:spacing w:val="-13"/>
        </w:rPr>
        <w:t xml:space="preserve"> </w:t>
      </w:r>
      <w:r>
        <w:t>N1=1</w:t>
      </w:r>
      <w:r>
        <w:rPr>
          <w:spacing w:val="-3"/>
        </w:rPr>
        <w:t>。前室：采用常闭风</w:t>
      </w:r>
      <w:r>
        <w:rPr>
          <w:spacing w:val="3"/>
        </w:rPr>
        <w:t>口，计算风量时取</w:t>
      </w:r>
      <w:r>
        <w:t>N1=3</w:t>
      </w:r>
      <w:r>
        <w:rPr>
          <w:spacing w:val="-3"/>
        </w:rPr>
        <w:t>。</w:t>
      </w:r>
      <w:r>
        <w:t xml:space="preserve"> </w:t>
      </w:r>
    </w:p>
    <w:p w14:paraId="2E89E47D" w14:textId="77777777" w:rsidR="00A71EEF" w:rsidRDefault="0081115D">
      <w:pPr>
        <w:pStyle w:val="a4"/>
        <w:numPr>
          <w:ilvl w:val="2"/>
          <w:numId w:val="115"/>
        </w:numPr>
        <w:tabs>
          <w:tab w:val="left" w:pos="1371"/>
        </w:tabs>
        <w:spacing w:line="267" w:lineRule="exact"/>
        <w:ind w:left="1370" w:hanging="531"/>
        <w:rPr>
          <w:sz w:val="21"/>
        </w:rPr>
      </w:pPr>
      <w:r>
        <w:rPr>
          <w:spacing w:val="-3"/>
          <w:sz w:val="21"/>
        </w:rPr>
        <w:t>门开启时，规定风速值下的其他门漏风总量应按下式计算：</w:t>
      </w:r>
      <w:r>
        <w:rPr>
          <w:sz w:val="21"/>
        </w:rPr>
        <w:t xml:space="preserve"> </w:t>
      </w:r>
    </w:p>
    <w:p w14:paraId="7B0F675F" w14:textId="77777777" w:rsidR="00A71EEF" w:rsidRDefault="0081115D">
      <w:pPr>
        <w:pStyle w:val="a3"/>
        <w:spacing w:before="2"/>
        <w:rPr>
          <w:sz w:val="27"/>
        </w:rPr>
      </w:pPr>
      <w:r>
        <w:rPr>
          <w:noProof/>
        </w:rPr>
        <w:drawing>
          <wp:anchor distT="0" distB="0" distL="0" distR="0" simplePos="0" relativeHeight="251704832" behindDoc="0" locked="0" layoutInCell="1" allowOverlap="1" wp14:anchorId="0002BA70" wp14:editId="03B6FCA2">
            <wp:simplePos x="0" y="0"/>
            <wp:positionH relativeFrom="page">
              <wp:posOffset>1325244</wp:posOffset>
            </wp:positionH>
            <wp:positionV relativeFrom="paragraph">
              <wp:posOffset>245848</wp:posOffset>
            </wp:positionV>
            <wp:extent cx="4397529" cy="452627"/>
            <wp:effectExtent l="0" t="0" r="0" b="0"/>
            <wp:wrapTopAndBottom/>
            <wp:docPr id="671" name="image3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image396.jpeg"/>
                    <pic:cNvPicPr/>
                  </pic:nvPicPr>
                  <pic:blipFill>
                    <a:blip r:embed="rId499" cstate="print"/>
                    <a:stretch>
                      <a:fillRect/>
                    </a:stretch>
                  </pic:blipFill>
                  <pic:spPr>
                    <a:xfrm>
                      <a:off x="0" y="0"/>
                      <a:ext cx="4397529" cy="452627"/>
                    </a:xfrm>
                    <a:prstGeom prst="rect">
                      <a:avLst/>
                    </a:prstGeom>
                  </pic:spPr>
                </pic:pic>
              </a:graphicData>
            </a:graphic>
          </wp:anchor>
        </w:drawing>
      </w:r>
    </w:p>
    <w:p w14:paraId="18FDB128" w14:textId="77777777" w:rsidR="00A71EEF" w:rsidRDefault="00A71EEF">
      <w:pPr>
        <w:pStyle w:val="a3"/>
        <w:rPr>
          <w:sz w:val="20"/>
        </w:rPr>
      </w:pPr>
    </w:p>
    <w:p w14:paraId="578218EE" w14:textId="77777777" w:rsidR="00A71EEF" w:rsidRDefault="00A71EEF">
      <w:pPr>
        <w:pStyle w:val="a3"/>
        <w:rPr>
          <w:sz w:val="20"/>
        </w:rPr>
      </w:pPr>
    </w:p>
    <w:p w14:paraId="350354A7" w14:textId="77777777" w:rsidR="00A71EEF" w:rsidRDefault="0081115D">
      <w:pPr>
        <w:pStyle w:val="a3"/>
        <w:spacing w:before="180"/>
        <w:ind w:left="838"/>
      </w:pPr>
      <w:r>
        <w:t>式中：</w:t>
      </w:r>
      <w:r>
        <w:rPr>
          <w:i/>
          <w:sz w:val="22"/>
        </w:rPr>
        <w:t>A</w:t>
      </w:r>
      <w:r>
        <w:t>——</w:t>
      </w:r>
      <w:r>
        <w:t>每个疏散门的有效漏风面积（</w:t>
      </w:r>
      <w:r>
        <w:t>m</w:t>
      </w:r>
      <w:r>
        <w:rPr>
          <w:position w:val="11"/>
          <w:sz w:val="11"/>
        </w:rPr>
        <w:t>2</w:t>
      </w:r>
      <w:r>
        <w:t>）；疏散门的门缝宽度取</w:t>
      </w:r>
      <w:r>
        <w:t xml:space="preserve"> 0.002</w:t>
      </w:r>
      <w:r>
        <w:rPr>
          <w:rFonts w:ascii="微软雅黑" w:eastAsia="微软雅黑" w:hAnsi="微软雅黑" w:hint="eastAsia"/>
        </w:rPr>
        <w:t>〜</w:t>
      </w:r>
      <w:r>
        <w:t>0.004m</w:t>
      </w:r>
      <w:r>
        <w:t>。</w:t>
      </w:r>
      <w:r>
        <w:t xml:space="preserve"> </w:t>
      </w:r>
    </w:p>
    <w:p w14:paraId="5BD35D9D" w14:textId="77777777" w:rsidR="00A71EEF" w:rsidRDefault="0081115D">
      <w:pPr>
        <w:pStyle w:val="a3"/>
        <w:spacing w:before="172"/>
        <w:ind w:left="838"/>
      </w:pPr>
      <w:r>
        <w:t>Δ</w:t>
      </w:r>
      <w:r>
        <w:rPr>
          <w:i/>
          <w:sz w:val="22"/>
        </w:rPr>
        <w:t>P</w:t>
      </w:r>
      <w:r>
        <w:t>——</w:t>
      </w:r>
      <w:r>
        <w:t>计算漏风量的平均压力差（</w:t>
      </w:r>
      <w:r>
        <w:t>Pa</w:t>
      </w:r>
      <w:r>
        <w:t>）；当开启门洞处风速为</w:t>
      </w:r>
      <w:r>
        <w:t xml:space="preserve"> 0.7m/s </w:t>
      </w:r>
      <w:r>
        <w:t>时，取</w:t>
      </w:r>
      <w:r>
        <w:t xml:space="preserve">△P </w:t>
      </w:r>
    </w:p>
    <w:p w14:paraId="56BB2CCC" w14:textId="77777777" w:rsidR="00A71EEF" w:rsidRDefault="00A71EEF">
      <w:pPr>
        <w:pStyle w:val="a3"/>
        <w:spacing w:before="10"/>
        <w:rPr>
          <w:sz w:val="17"/>
        </w:rPr>
      </w:pPr>
    </w:p>
    <w:p w14:paraId="65B26300" w14:textId="77777777" w:rsidR="00A71EEF" w:rsidRDefault="0081115D">
      <w:pPr>
        <w:pStyle w:val="a3"/>
        <w:ind w:left="418"/>
      </w:pPr>
      <w:r>
        <w:t>=6.0Pa</w:t>
      </w:r>
      <w:r>
        <w:t>；</w:t>
      </w:r>
      <w:r>
        <w:t xml:space="preserve"> </w:t>
      </w:r>
    </w:p>
    <w:p w14:paraId="078CEF7D" w14:textId="77777777" w:rsidR="00A71EEF" w:rsidRDefault="00A71EEF">
      <w:pPr>
        <w:pStyle w:val="a3"/>
        <w:spacing w:before="12"/>
        <w:rPr>
          <w:sz w:val="17"/>
        </w:rPr>
      </w:pPr>
    </w:p>
    <w:p w14:paraId="44CC44E2" w14:textId="77777777" w:rsidR="00A71EEF" w:rsidRDefault="0081115D">
      <w:pPr>
        <w:pStyle w:val="a3"/>
        <w:ind w:left="838"/>
      </w:pPr>
      <w:r>
        <w:t>当开启门洞处风速为</w:t>
      </w:r>
      <w:r>
        <w:t xml:space="preserve"> 1.0m/s </w:t>
      </w:r>
      <w:r>
        <w:t>时，取</w:t>
      </w:r>
      <w:r>
        <w:t>△P =12.0Pa</w:t>
      </w:r>
      <w:r>
        <w:t>；当开启门洞处风速为</w:t>
      </w:r>
      <w:r>
        <w:t xml:space="preserve"> 1.2m/s </w:t>
      </w:r>
      <w:r>
        <w:t>时，取</w:t>
      </w:r>
      <w:r>
        <w:t>Δ</w:t>
      </w:r>
    </w:p>
    <w:p w14:paraId="6B7B6DF6" w14:textId="77777777" w:rsidR="00A71EEF" w:rsidRDefault="00A71EEF">
      <w:pPr>
        <w:pStyle w:val="a3"/>
        <w:spacing w:before="5"/>
        <w:rPr>
          <w:sz w:val="17"/>
        </w:rPr>
      </w:pPr>
    </w:p>
    <w:p w14:paraId="79366ABA" w14:textId="77777777" w:rsidR="00A71EEF" w:rsidRDefault="0081115D">
      <w:pPr>
        <w:pStyle w:val="a3"/>
        <w:ind w:left="418"/>
      </w:pPr>
      <w:r>
        <w:rPr>
          <w:i/>
          <w:sz w:val="22"/>
        </w:rPr>
        <w:t>P</w:t>
      </w:r>
      <w:r>
        <w:t>=17.0Pa</w:t>
      </w:r>
      <w:r>
        <w:t>。</w:t>
      </w:r>
      <w:r>
        <w:t xml:space="preserve"> </w:t>
      </w:r>
    </w:p>
    <w:p w14:paraId="37A96538" w14:textId="77777777" w:rsidR="00A71EEF" w:rsidRDefault="00A71EEF">
      <w:pPr>
        <w:pStyle w:val="a3"/>
        <w:spacing w:before="12"/>
        <w:rPr>
          <w:sz w:val="16"/>
        </w:rPr>
      </w:pPr>
    </w:p>
    <w:p w14:paraId="789CF4B9" w14:textId="77777777" w:rsidR="00A71EEF" w:rsidRDefault="0081115D">
      <w:pPr>
        <w:pStyle w:val="a3"/>
        <w:spacing w:line="434" w:lineRule="auto"/>
        <w:ind w:left="838" w:right="6654"/>
        <w:rPr>
          <w:b/>
        </w:rPr>
      </w:pPr>
      <w:r>
        <w:rPr>
          <w:i/>
          <w:sz w:val="22"/>
        </w:rPr>
        <w:t>n—</w:t>
      </w:r>
      <w:r>
        <w:t>—</w:t>
      </w:r>
      <w:r>
        <w:t>指数（一般取</w:t>
      </w:r>
      <w:r>
        <w:t xml:space="preserve"> </w:t>
      </w:r>
      <w:r>
        <w:rPr>
          <w:i/>
          <w:sz w:val="22"/>
        </w:rPr>
        <w:t xml:space="preserve">n </w:t>
      </w:r>
      <w:r>
        <w:t>=2</w:t>
      </w:r>
      <w:r>
        <w:t>）；</w:t>
      </w:r>
      <w:r>
        <w:t xml:space="preserve"> 1.25——</w:t>
      </w:r>
      <w:r>
        <w:t>不严密处附加系数；</w:t>
      </w:r>
      <w:r>
        <w:rPr>
          <w:b/>
          <w:w w:val="99"/>
        </w:rPr>
        <w:t xml:space="preserve"> </w:t>
      </w:r>
    </w:p>
    <w:p w14:paraId="3865662D" w14:textId="77777777" w:rsidR="00A71EEF" w:rsidRDefault="0081115D">
      <w:pPr>
        <w:pStyle w:val="a3"/>
        <w:spacing w:before="4" w:line="434" w:lineRule="auto"/>
        <w:ind w:left="418" w:right="1450" w:firstLine="419"/>
      </w:pPr>
      <w:r>
        <w:rPr>
          <w:i/>
          <w:position w:val="1"/>
          <w:sz w:val="22"/>
        </w:rPr>
        <w:t>N</w:t>
      </w:r>
      <w:r>
        <w:rPr>
          <w:sz w:val="11"/>
        </w:rPr>
        <w:t>2</w:t>
      </w:r>
      <w:r>
        <w:rPr>
          <w:spacing w:val="-5"/>
          <w:position w:val="1"/>
        </w:rPr>
        <w:t>——</w:t>
      </w:r>
      <w:r>
        <w:rPr>
          <w:spacing w:val="-5"/>
          <w:position w:val="1"/>
        </w:rPr>
        <w:t>漏风疏散门的数量，楼梯间采用常开风口，取</w:t>
      </w:r>
      <w:r>
        <w:rPr>
          <w:spacing w:val="-5"/>
          <w:position w:val="1"/>
        </w:rPr>
        <w:t xml:space="preserve"> </w:t>
      </w:r>
      <w:r>
        <w:rPr>
          <w:position w:val="1"/>
        </w:rPr>
        <w:t>N2</w:t>
      </w:r>
      <w:r>
        <w:rPr>
          <w:spacing w:val="-2"/>
          <w:position w:val="1"/>
        </w:rPr>
        <w:t>=</w:t>
      </w:r>
      <w:r>
        <w:rPr>
          <w:spacing w:val="-2"/>
          <w:position w:val="1"/>
        </w:rPr>
        <w:t>加压楼梯间的总门数</w:t>
      </w:r>
      <w:r>
        <w:rPr>
          <w:spacing w:val="-2"/>
          <w:position w:val="1"/>
        </w:rPr>
        <w:t xml:space="preserve">- </w:t>
      </w:r>
      <w:r>
        <w:rPr>
          <w:position w:val="1"/>
        </w:rPr>
        <w:t>N1</w:t>
      </w:r>
      <w:r>
        <w:rPr>
          <w:spacing w:val="-11"/>
          <w:position w:val="1"/>
        </w:rPr>
        <w:t xml:space="preserve"> </w:t>
      </w:r>
      <w:r>
        <w:rPr>
          <w:spacing w:val="-11"/>
          <w:position w:val="1"/>
        </w:rPr>
        <w:t>楼层数上</w:t>
      </w:r>
      <w:r>
        <w:rPr>
          <w:spacing w:val="-7"/>
        </w:rPr>
        <w:t>的总门数。</w:t>
      </w:r>
      <w:r>
        <w:t xml:space="preserve"> </w:t>
      </w:r>
    </w:p>
    <w:p w14:paraId="250DA7B0" w14:textId="77777777" w:rsidR="00A71EEF" w:rsidRDefault="0081115D">
      <w:pPr>
        <w:pStyle w:val="a4"/>
        <w:numPr>
          <w:ilvl w:val="2"/>
          <w:numId w:val="115"/>
        </w:numPr>
        <w:tabs>
          <w:tab w:val="left" w:pos="1424"/>
        </w:tabs>
        <w:spacing w:before="11"/>
        <w:ind w:left="1423" w:hanging="584"/>
        <w:rPr>
          <w:sz w:val="21"/>
        </w:rPr>
      </w:pPr>
      <w:r>
        <w:rPr>
          <w:spacing w:val="-3"/>
          <w:sz w:val="21"/>
        </w:rPr>
        <w:t>未开启的常闭送风阀的漏风总量应按下式计算：</w:t>
      </w:r>
      <w:r>
        <w:rPr>
          <w:sz w:val="21"/>
        </w:rPr>
        <w:t xml:space="preserve"> </w:t>
      </w:r>
    </w:p>
    <w:p w14:paraId="17E6CE87" w14:textId="77777777" w:rsidR="00A71EEF" w:rsidRDefault="00A71EEF">
      <w:pPr>
        <w:rPr>
          <w:sz w:val="21"/>
        </w:rPr>
        <w:sectPr w:rsidR="00A71EEF">
          <w:pgSz w:w="11910" w:h="16850"/>
          <w:pgMar w:top="1200" w:right="0" w:bottom="1420" w:left="1260" w:header="0" w:footer="1239" w:gutter="0"/>
          <w:cols w:space="720"/>
        </w:sectPr>
      </w:pPr>
    </w:p>
    <w:p w14:paraId="0C8DBE61" w14:textId="77777777" w:rsidR="00A71EEF" w:rsidRDefault="0081115D">
      <w:pPr>
        <w:pStyle w:val="a3"/>
        <w:spacing w:before="47"/>
        <w:ind w:left="2186"/>
      </w:pPr>
      <w:r>
        <w:t>L3 =0.083×Af N3</w:t>
      </w:r>
      <w:r>
        <w:rPr>
          <w:spacing w:val="98"/>
        </w:rPr>
        <w:t xml:space="preserve"> </w:t>
      </w:r>
      <w:r>
        <w:t>（</w:t>
      </w:r>
      <w:r>
        <w:t>3.4.8</w:t>
      </w:r>
      <w:r>
        <w:t>）</w:t>
      </w:r>
      <w:r>
        <w:t xml:space="preserve"> </w:t>
      </w:r>
    </w:p>
    <w:p w14:paraId="34CD3E98" w14:textId="77777777" w:rsidR="00A71EEF" w:rsidRDefault="00A71EEF">
      <w:pPr>
        <w:pStyle w:val="a3"/>
        <w:spacing w:before="3"/>
        <w:rPr>
          <w:sz w:val="17"/>
        </w:rPr>
      </w:pPr>
    </w:p>
    <w:p w14:paraId="40E71F44" w14:textId="77777777" w:rsidR="00A71EEF" w:rsidRDefault="0081115D">
      <w:pPr>
        <w:pStyle w:val="a3"/>
        <w:spacing w:line="436" w:lineRule="auto"/>
        <w:ind w:left="838" w:right="4237"/>
      </w:pPr>
      <w:r>
        <w:t>式中：</w:t>
      </w:r>
      <w:r>
        <w:t>0.083——</w:t>
      </w:r>
      <w:r>
        <w:t>阀门单位面积的漏风量</w:t>
      </w:r>
      <w:r>
        <w:t xml:space="preserve"> [m</w:t>
      </w:r>
      <w:r>
        <w:rPr>
          <w:position w:val="11"/>
          <w:sz w:val="11"/>
        </w:rPr>
        <w:t>3</w:t>
      </w:r>
      <w:r>
        <w:t>/(s·m</w:t>
      </w:r>
      <w:r>
        <w:rPr>
          <w:position w:val="11"/>
          <w:sz w:val="11"/>
        </w:rPr>
        <w:t>2</w:t>
      </w:r>
      <w:r>
        <w:t>）</w:t>
      </w:r>
      <w:r>
        <w:t>]</w:t>
      </w:r>
      <w:r>
        <w:t>；</w:t>
      </w:r>
      <w:r>
        <w:t xml:space="preserve"> Af——</w:t>
      </w:r>
      <w:r>
        <w:t>单个送风阀门的面积（</w:t>
      </w:r>
      <w:r>
        <w:t>m</w:t>
      </w:r>
      <w:r>
        <w:rPr>
          <w:position w:val="11"/>
          <w:sz w:val="11"/>
        </w:rPr>
        <w:t>2</w:t>
      </w:r>
      <w:r>
        <w:t>）；</w:t>
      </w:r>
      <w:r>
        <w:t xml:space="preserve"> </w:t>
      </w:r>
    </w:p>
    <w:p w14:paraId="7DA74991" w14:textId="77777777" w:rsidR="00A71EEF" w:rsidRDefault="0081115D">
      <w:pPr>
        <w:pStyle w:val="a3"/>
        <w:spacing w:before="11" w:line="446" w:lineRule="auto"/>
        <w:ind w:left="840" w:right="3975" w:hanging="3"/>
      </w:pPr>
      <w:r>
        <w:t>N3——</w:t>
      </w:r>
      <w:r>
        <w:t>漏风阀门的数量：前室采用常闭风口取</w:t>
      </w:r>
      <w:r>
        <w:t xml:space="preserve"> N3=</w:t>
      </w:r>
      <w:r>
        <w:t>楼层数</w:t>
      </w:r>
      <w:r>
        <w:t>—3</w:t>
      </w:r>
      <w:r>
        <w:t>。</w:t>
      </w:r>
      <w:r>
        <w:rPr>
          <w:b/>
        </w:rPr>
        <w:t xml:space="preserve">3.4.9 </w:t>
      </w:r>
      <w:r>
        <w:t>疏散门的最大允许压力差应按下列公式计算：</w:t>
      </w:r>
      <w:r>
        <w:t xml:space="preserve"> </w:t>
      </w:r>
    </w:p>
    <w:p w14:paraId="15BE4606" w14:textId="77777777" w:rsidR="00A71EEF" w:rsidRDefault="0081115D">
      <w:pPr>
        <w:pStyle w:val="a3"/>
        <w:spacing w:line="446" w:lineRule="auto"/>
        <w:ind w:left="838" w:right="1368" w:firstLine="36"/>
      </w:pPr>
      <w:r>
        <w:t>P =2</w:t>
      </w:r>
      <w:r>
        <w:t>（</w:t>
      </w:r>
      <w:r>
        <w:t>F′-Fdc</w:t>
      </w:r>
      <w:r>
        <w:t>）（</w:t>
      </w:r>
      <w:r>
        <w:t>Wm</w:t>
      </w:r>
      <w:r>
        <w:t>－</w:t>
      </w:r>
      <w:r>
        <w:t xml:space="preserve"> dm</w:t>
      </w:r>
      <w:r>
        <w:t>）</w:t>
      </w:r>
      <w:r>
        <w:t>/</w:t>
      </w:r>
      <w:r>
        <w:t>（</w:t>
      </w:r>
      <w:r>
        <w:t xml:space="preserve"> Wm×Am</w:t>
      </w:r>
      <w:r>
        <w:t>）</w:t>
      </w:r>
      <w:r>
        <w:t xml:space="preserve">                            </w:t>
      </w:r>
      <w:r>
        <w:t>（</w:t>
      </w:r>
      <w:r>
        <w:t>3.4.9-1</w:t>
      </w:r>
      <w:r>
        <w:t>）</w:t>
      </w:r>
      <w:r>
        <w:t xml:space="preserve"> Fdc</w:t>
      </w:r>
      <w:r>
        <w:rPr>
          <w:spacing w:val="-2"/>
        </w:rPr>
        <w:t xml:space="preserve">  = </w:t>
      </w:r>
      <w:r>
        <w:t>M /</w:t>
      </w:r>
      <w:r>
        <w:t>（</w:t>
      </w:r>
      <w:r>
        <w:t>Wm</w:t>
      </w:r>
      <w:r>
        <w:t>－</w:t>
      </w:r>
      <w:r>
        <w:t>dm</w:t>
      </w:r>
      <w:r>
        <w:t>）</w:t>
      </w:r>
      <w:r>
        <w:t xml:space="preserve">                                 </w:t>
      </w:r>
      <w:r>
        <w:t xml:space="preserve">              </w:t>
      </w:r>
      <w:r>
        <w:t>（</w:t>
      </w:r>
      <w:r>
        <w:t>3.4.9-2</w:t>
      </w:r>
      <w:r>
        <w:t>）</w:t>
      </w:r>
      <w:r>
        <w:t xml:space="preserve"> </w:t>
      </w:r>
      <w:r>
        <w:t>式中：</w:t>
      </w:r>
      <w:r>
        <w:t>P</w:t>
      </w:r>
      <w:r>
        <w:rPr>
          <w:spacing w:val="-3"/>
        </w:rPr>
        <w:t>——</w:t>
      </w:r>
      <w:r>
        <w:rPr>
          <w:spacing w:val="-3"/>
        </w:rPr>
        <w:t>疏散门的最大允许压力差</w:t>
      </w:r>
      <w:r>
        <w:t>（</w:t>
      </w:r>
      <w:r>
        <w:t>Pa</w:t>
      </w:r>
      <w:r>
        <w:t>）；</w:t>
      </w:r>
      <w:r>
        <w:t xml:space="preserve"> </w:t>
      </w:r>
    </w:p>
    <w:p w14:paraId="3F9121E1" w14:textId="77777777" w:rsidR="00A71EEF" w:rsidRDefault="0081115D">
      <w:pPr>
        <w:pStyle w:val="a3"/>
        <w:spacing w:line="446" w:lineRule="auto"/>
        <w:ind w:left="838" w:right="5394"/>
      </w:pPr>
      <w:r>
        <w:t>F′——</w:t>
      </w:r>
      <w:r>
        <w:t>门的总推力（</w:t>
      </w:r>
      <w:r>
        <w:t>N</w:t>
      </w:r>
      <w:r>
        <w:t>），一般取</w:t>
      </w:r>
      <w:r>
        <w:t xml:space="preserve"> 110N</w:t>
      </w:r>
      <w:r>
        <w:t>；</w:t>
      </w:r>
      <w:r>
        <w:t xml:space="preserve"> Fdc——</w:t>
      </w:r>
      <w:r>
        <w:t>门把手处克服闭门器所需的力</w:t>
      </w:r>
      <w:r>
        <w:t xml:space="preserve"> </w:t>
      </w:r>
      <w:r>
        <w:t>（</w:t>
      </w:r>
      <w:r>
        <w:t>N</w:t>
      </w:r>
      <w:r>
        <w:t>）；</w:t>
      </w:r>
      <w:r>
        <w:t xml:space="preserve"> Wm——</w:t>
      </w:r>
      <w:r>
        <w:t>单扇门的宽度（</w:t>
      </w:r>
      <w:r>
        <w:t>m</w:t>
      </w:r>
      <w:r>
        <w:t>）；</w:t>
      </w:r>
      <w:r>
        <w:t xml:space="preserve"> </w:t>
      </w:r>
    </w:p>
    <w:p w14:paraId="3DCD9C71" w14:textId="77777777" w:rsidR="00A71EEF" w:rsidRDefault="0081115D">
      <w:pPr>
        <w:pStyle w:val="a3"/>
        <w:spacing w:line="268" w:lineRule="exact"/>
        <w:ind w:left="838"/>
      </w:pPr>
      <w:r>
        <w:t>Am——</w:t>
      </w:r>
      <w:r>
        <w:t>门的面积（</w:t>
      </w:r>
      <w:r>
        <w:t>m2</w:t>
      </w:r>
      <w:r>
        <w:t>）；</w:t>
      </w:r>
      <w:r>
        <w:t xml:space="preserve"> </w:t>
      </w:r>
    </w:p>
    <w:p w14:paraId="13F75D84" w14:textId="77777777" w:rsidR="00A71EEF" w:rsidRDefault="00A71EEF">
      <w:pPr>
        <w:pStyle w:val="a3"/>
        <w:spacing w:before="12"/>
        <w:rPr>
          <w:sz w:val="17"/>
        </w:rPr>
      </w:pPr>
    </w:p>
    <w:p w14:paraId="13CB48DA" w14:textId="77777777" w:rsidR="00A71EEF" w:rsidRDefault="0081115D">
      <w:pPr>
        <w:pStyle w:val="a3"/>
        <w:spacing w:line="446" w:lineRule="auto"/>
        <w:ind w:left="838" w:right="6234"/>
      </w:pPr>
      <w:r>
        <w:t>dm——</w:t>
      </w:r>
      <w:r>
        <w:t>门的把手到门闩的距离（</w:t>
      </w:r>
      <w:r>
        <w:t>m</w:t>
      </w:r>
      <w:r>
        <w:t>）；</w:t>
      </w:r>
      <w:r>
        <w:t xml:space="preserve"> M——</w:t>
      </w:r>
      <w:r>
        <w:t>闭门器的开启力矩（</w:t>
      </w:r>
      <w:r>
        <w:t>N•m</w:t>
      </w:r>
      <w:r>
        <w:t>）。</w:t>
      </w:r>
      <w:r>
        <w:t xml:space="preserve"> </w:t>
      </w:r>
    </w:p>
    <w:p w14:paraId="78B69A00" w14:textId="77777777" w:rsidR="00A71EEF" w:rsidRDefault="0081115D">
      <w:pPr>
        <w:pStyle w:val="4"/>
        <w:spacing w:line="275" w:lineRule="exact"/>
      </w:pPr>
      <w:r>
        <w:t xml:space="preserve">4 </w:t>
      </w:r>
      <w:r>
        <w:t>排烟系统设计</w:t>
      </w:r>
      <w:r>
        <w:rPr>
          <w:w w:val="99"/>
        </w:rPr>
        <w:t xml:space="preserve"> </w:t>
      </w:r>
    </w:p>
    <w:p w14:paraId="103EE4CB" w14:textId="77777777" w:rsidR="00A71EEF" w:rsidRDefault="00A71EEF">
      <w:pPr>
        <w:pStyle w:val="a3"/>
        <w:spacing w:before="6"/>
        <w:rPr>
          <w:b/>
          <w:sz w:val="17"/>
        </w:rPr>
      </w:pPr>
    </w:p>
    <w:p w14:paraId="57DBFDB6" w14:textId="77777777" w:rsidR="00A71EEF" w:rsidRDefault="0081115D">
      <w:pPr>
        <w:pStyle w:val="a4"/>
        <w:numPr>
          <w:ilvl w:val="1"/>
          <w:numId w:val="113"/>
        </w:numPr>
        <w:tabs>
          <w:tab w:val="left" w:pos="1160"/>
        </w:tabs>
        <w:rPr>
          <w:sz w:val="21"/>
        </w:rPr>
      </w:pPr>
      <w:r>
        <w:rPr>
          <w:spacing w:val="-3"/>
          <w:sz w:val="21"/>
        </w:rPr>
        <w:t>一般规定</w:t>
      </w:r>
      <w:r>
        <w:rPr>
          <w:sz w:val="21"/>
        </w:rPr>
        <w:t xml:space="preserve"> </w:t>
      </w:r>
    </w:p>
    <w:p w14:paraId="2DA11146" w14:textId="77777777" w:rsidR="00A71EEF" w:rsidRDefault="00A71EEF">
      <w:pPr>
        <w:pStyle w:val="a3"/>
        <w:spacing w:before="12"/>
        <w:rPr>
          <w:sz w:val="17"/>
        </w:rPr>
      </w:pPr>
    </w:p>
    <w:p w14:paraId="17208253" w14:textId="77777777" w:rsidR="00A71EEF" w:rsidRDefault="0081115D">
      <w:pPr>
        <w:pStyle w:val="a4"/>
        <w:numPr>
          <w:ilvl w:val="2"/>
          <w:numId w:val="113"/>
        </w:numPr>
        <w:tabs>
          <w:tab w:val="left" w:pos="1424"/>
        </w:tabs>
        <w:spacing w:line="446" w:lineRule="auto"/>
        <w:ind w:right="1445" w:firstLine="422"/>
        <w:rPr>
          <w:sz w:val="21"/>
        </w:rPr>
      </w:pPr>
      <w:r>
        <w:rPr>
          <w:spacing w:val="-3"/>
          <w:sz w:val="21"/>
        </w:rPr>
        <w:t>建筑排烟系统的设计应根据建筑的使用性质、平面布局等因素，优先采用自然排烟系统。</w:t>
      </w:r>
      <w:r>
        <w:rPr>
          <w:sz w:val="21"/>
        </w:rPr>
        <w:t xml:space="preserve"> </w:t>
      </w:r>
    </w:p>
    <w:p w14:paraId="5534601A" w14:textId="77777777" w:rsidR="00A71EEF" w:rsidRDefault="0081115D">
      <w:pPr>
        <w:pStyle w:val="a4"/>
        <w:numPr>
          <w:ilvl w:val="2"/>
          <w:numId w:val="113"/>
        </w:numPr>
        <w:tabs>
          <w:tab w:val="left" w:pos="1424"/>
        </w:tabs>
        <w:ind w:left="1423"/>
        <w:rPr>
          <w:sz w:val="21"/>
        </w:rPr>
      </w:pPr>
      <w:r>
        <w:rPr>
          <w:spacing w:val="-3"/>
          <w:sz w:val="21"/>
        </w:rPr>
        <w:t>同一个防烟分区应采用同一种排烟方式。</w:t>
      </w:r>
      <w:r>
        <w:rPr>
          <w:sz w:val="21"/>
        </w:rPr>
        <w:t xml:space="preserve"> </w:t>
      </w:r>
    </w:p>
    <w:p w14:paraId="555796E4" w14:textId="77777777" w:rsidR="00A71EEF" w:rsidRDefault="00A71EEF">
      <w:pPr>
        <w:pStyle w:val="a3"/>
        <w:rPr>
          <w:sz w:val="18"/>
        </w:rPr>
      </w:pPr>
    </w:p>
    <w:p w14:paraId="1C4493AE" w14:textId="77777777" w:rsidR="00A71EEF" w:rsidRDefault="0081115D">
      <w:pPr>
        <w:pStyle w:val="a4"/>
        <w:numPr>
          <w:ilvl w:val="2"/>
          <w:numId w:val="113"/>
        </w:numPr>
        <w:tabs>
          <w:tab w:val="left" w:pos="1424"/>
        </w:tabs>
        <w:spacing w:line="446" w:lineRule="auto"/>
        <w:ind w:left="838" w:right="1553" w:firstLine="2"/>
        <w:rPr>
          <w:sz w:val="21"/>
        </w:rPr>
      </w:pPr>
      <w:r>
        <w:rPr>
          <w:spacing w:val="-3"/>
          <w:sz w:val="21"/>
        </w:rPr>
        <w:t>建筑的中庭、与中庭相连通的回廊及周围场所的排烟系统的设计应符合下列规定：</w:t>
      </w:r>
      <w:r>
        <w:rPr>
          <w:spacing w:val="-3"/>
          <w:sz w:val="21"/>
        </w:rPr>
        <w:t xml:space="preserve"> </w:t>
      </w:r>
      <w:r>
        <w:rPr>
          <w:spacing w:val="-3"/>
          <w:sz w:val="21"/>
        </w:rPr>
        <w:t>中庭应设置排烟设施。</w:t>
      </w:r>
      <w:r>
        <w:rPr>
          <w:sz w:val="21"/>
        </w:rPr>
        <w:t xml:space="preserve"> </w:t>
      </w:r>
    </w:p>
    <w:p w14:paraId="0DE22E70" w14:textId="77777777" w:rsidR="00A71EEF" w:rsidRDefault="0081115D">
      <w:pPr>
        <w:pStyle w:val="a3"/>
        <w:spacing w:line="446" w:lineRule="auto"/>
        <w:ind w:left="838" w:right="1875"/>
      </w:pPr>
      <w:r>
        <w:rPr>
          <w:spacing w:val="-3"/>
        </w:rPr>
        <w:t>周围场所应按现行国家标准《建筑设计防火规范》</w:t>
      </w:r>
      <w:r>
        <w:t>GB 50016</w:t>
      </w:r>
      <w:r>
        <w:rPr>
          <w:spacing w:val="-9"/>
        </w:rPr>
        <w:t xml:space="preserve"> </w:t>
      </w:r>
      <w:r>
        <w:rPr>
          <w:spacing w:val="-9"/>
        </w:rPr>
        <w:t>中的规定设置排烟设施。</w:t>
      </w:r>
      <w:r>
        <w:rPr>
          <w:spacing w:val="-3"/>
        </w:rPr>
        <w:t>回廊排烟设施的设置应符合下列规定：</w:t>
      </w:r>
      <w:r>
        <w:t xml:space="preserve"> </w:t>
      </w:r>
    </w:p>
    <w:p w14:paraId="391C4951" w14:textId="77777777" w:rsidR="00A71EEF" w:rsidRDefault="0081115D">
      <w:pPr>
        <w:pStyle w:val="a4"/>
        <w:numPr>
          <w:ilvl w:val="0"/>
          <w:numId w:val="112"/>
        </w:numPr>
        <w:tabs>
          <w:tab w:val="left" w:pos="1156"/>
        </w:tabs>
        <w:spacing w:line="446" w:lineRule="auto"/>
        <w:ind w:right="1714" w:firstLine="419"/>
        <w:rPr>
          <w:sz w:val="21"/>
        </w:rPr>
      </w:pPr>
      <w:r>
        <w:rPr>
          <w:spacing w:val="-3"/>
          <w:sz w:val="21"/>
        </w:rPr>
        <w:t>当周围场所各房间均设置排烟设施时，回廊可不设，但商店建筑的回廊应设置排烟设施；</w:t>
      </w:r>
      <w:r>
        <w:rPr>
          <w:sz w:val="21"/>
        </w:rPr>
        <w:t xml:space="preserve"> </w:t>
      </w:r>
    </w:p>
    <w:p w14:paraId="0D357EF9" w14:textId="77777777" w:rsidR="00A71EEF" w:rsidRDefault="0081115D">
      <w:pPr>
        <w:pStyle w:val="a4"/>
        <w:numPr>
          <w:ilvl w:val="0"/>
          <w:numId w:val="112"/>
        </w:numPr>
        <w:tabs>
          <w:tab w:val="left" w:pos="1156"/>
        </w:tabs>
        <w:ind w:left="1155"/>
        <w:rPr>
          <w:sz w:val="21"/>
        </w:rPr>
      </w:pPr>
      <w:r>
        <w:rPr>
          <w:spacing w:val="-3"/>
          <w:sz w:val="21"/>
        </w:rPr>
        <w:t>当周围场所任一房间未设置排烟设施时，回廊应设置排烟设施。</w:t>
      </w:r>
      <w:r>
        <w:rPr>
          <w:sz w:val="21"/>
        </w:rPr>
        <w:t xml:space="preserve"> </w:t>
      </w:r>
    </w:p>
    <w:p w14:paraId="5854C210" w14:textId="77777777" w:rsidR="00A71EEF" w:rsidRDefault="00A71EEF">
      <w:pPr>
        <w:pStyle w:val="a3"/>
        <w:spacing w:before="10"/>
        <w:rPr>
          <w:sz w:val="17"/>
        </w:rPr>
      </w:pPr>
    </w:p>
    <w:p w14:paraId="46A5D513" w14:textId="77777777" w:rsidR="00A71EEF" w:rsidRDefault="0081115D">
      <w:pPr>
        <w:pStyle w:val="a3"/>
        <w:spacing w:line="446" w:lineRule="auto"/>
        <w:ind w:left="418" w:right="1608"/>
      </w:pPr>
      <w:r>
        <w:t>当中庭与周围场所未采用防火隔墙、防火玻璃隔墙、防火卷帘时，中庭与周围场所之间应设置挡烟垂壁。</w:t>
      </w:r>
      <w:r>
        <w:t xml:space="preserve"> </w:t>
      </w:r>
    </w:p>
    <w:p w14:paraId="62EC1E01" w14:textId="77777777" w:rsidR="00A71EEF" w:rsidRDefault="00A71EEF">
      <w:pPr>
        <w:spacing w:line="446" w:lineRule="auto"/>
        <w:sectPr w:rsidR="00A71EEF">
          <w:pgSz w:w="11910" w:h="16850"/>
          <w:pgMar w:top="1220" w:right="0" w:bottom="1420" w:left="1260" w:header="0" w:footer="1239" w:gutter="0"/>
          <w:cols w:space="720"/>
        </w:sectPr>
      </w:pPr>
    </w:p>
    <w:p w14:paraId="1747FFFB" w14:textId="77777777" w:rsidR="00A71EEF" w:rsidRDefault="0081115D">
      <w:pPr>
        <w:pStyle w:val="a3"/>
        <w:spacing w:before="47"/>
        <w:ind w:left="838"/>
      </w:pPr>
      <w:r>
        <w:t>中庭及其周围场所和回廊的排烟设计计算应符合本标准第</w:t>
      </w:r>
      <w:r>
        <w:t xml:space="preserve"> 4.6.5 </w:t>
      </w:r>
      <w:r>
        <w:t>条的规定。</w:t>
      </w:r>
      <w:r>
        <w:t xml:space="preserve"> </w:t>
      </w:r>
    </w:p>
    <w:p w14:paraId="4033FE13" w14:textId="77777777" w:rsidR="00A71EEF" w:rsidRDefault="00A71EEF">
      <w:pPr>
        <w:pStyle w:val="a3"/>
        <w:rPr>
          <w:sz w:val="18"/>
        </w:rPr>
      </w:pPr>
    </w:p>
    <w:p w14:paraId="25A6FA18" w14:textId="77777777" w:rsidR="00A71EEF" w:rsidRDefault="0081115D">
      <w:pPr>
        <w:pStyle w:val="a3"/>
        <w:spacing w:line="446" w:lineRule="auto"/>
        <w:ind w:left="418" w:right="1608" w:firstLine="419"/>
      </w:pPr>
      <w:r>
        <w:rPr>
          <w:spacing w:val="-5"/>
        </w:rPr>
        <w:t>中庭及其周围场所和回廊应根据建筑构造及本标准第</w:t>
      </w:r>
      <w:r>
        <w:rPr>
          <w:spacing w:val="-5"/>
        </w:rPr>
        <w:t xml:space="preserve"> </w:t>
      </w:r>
      <w:r>
        <w:t>4.6</w:t>
      </w:r>
      <w:r>
        <w:rPr>
          <w:spacing w:val="-7"/>
        </w:rPr>
        <w:t xml:space="preserve"> </w:t>
      </w:r>
      <w:r>
        <w:rPr>
          <w:spacing w:val="-7"/>
        </w:rPr>
        <w:t>节规定，选择设置自然排烟系统</w:t>
      </w:r>
      <w:r>
        <w:rPr>
          <w:spacing w:val="-5"/>
        </w:rPr>
        <w:t>或机械排烟系统。</w:t>
      </w:r>
      <w:r>
        <w:t xml:space="preserve"> </w:t>
      </w:r>
    </w:p>
    <w:p w14:paraId="11D5205F" w14:textId="77777777" w:rsidR="00A71EEF" w:rsidRDefault="0081115D">
      <w:pPr>
        <w:pStyle w:val="a4"/>
        <w:numPr>
          <w:ilvl w:val="2"/>
          <w:numId w:val="113"/>
        </w:numPr>
        <w:tabs>
          <w:tab w:val="left" w:pos="1424"/>
        </w:tabs>
        <w:spacing w:line="320" w:lineRule="exact"/>
        <w:ind w:left="1423"/>
        <w:rPr>
          <w:sz w:val="21"/>
        </w:rPr>
      </w:pPr>
      <w:r>
        <w:rPr>
          <w:spacing w:val="-5"/>
          <w:sz w:val="21"/>
        </w:rPr>
        <w:t>下列地上建筑或部位，当设置机械排烟系统时，尚应按本标准第</w:t>
      </w:r>
      <w:r>
        <w:rPr>
          <w:spacing w:val="-5"/>
          <w:sz w:val="21"/>
        </w:rPr>
        <w:t xml:space="preserve"> </w:t>
      </w:r>
      <w:r>
        <w:rPr>
          <w:sz w:val="21"/>
        </w:rPr>
        <w:t>4.4.14</w:t>
      </w:r>
      <w:r>
        <w:rPr>
          <w:spacing w:val="-27"/>
          <w:sz w:val="21"/>
        </w:rPr>
        <w:t xml:space="preserve"> </w:t>
      </w:r>
      <w:r>
        <w:rPr>
          <w:spacing w:val="-27"/>
          <w:sz w:val="21"/>
        </w:rPr>
        <w:t>条</w:t>
      </w:r>
      <w:r>
        <w:rPr>
          <w:rFonts w:ascii="微软雅黑" w:eastAsia="微软雅黑" w:hint="eastAsia"/>
          <w:sz w:val="21"/>
        </w:rPr>
        <w:t>〜</w:t>
      </w:r>
      <w:r>
        <w:rPr>
          <w:sz w:val="21"/>
        </w:rPr>
        <w:t>第</w:t>
      </w:r>
    </w:p>
    <w:p w14:paraId="38479216" w14:textId="77777777" w:rsidR="00A71EEF" w:rsidRDefault="0081115D">
      <w:pPr>
        <w:pStyle w:val="a3"/>
        <w:spacing w:before="179"/>
        <w:ind w:left="418"/>
      </w:pPr>
      <w:r>
        <w:t xml:space="preserve">4.4.16 </w:t>
      </w:r>
      <w:r>
        <w:t>条的要求在外墙或屋顶设置固定窗：</w:t>
      </w:r>
      <w:r>
        <w:t xml:space="preserve"> </w:t>
      </w:r>
    </w:p>
    <w:p w14:paraId="2CBC2AF6" w14:textId="77777777" w:rsidR="00A71EEF" w:rsidRDefault="00A71EEF">
      <w:pPr>
        <w:pStyle w:val="a3"/>
        <w:spacing w:before="3"/>
        <w:rPr>
          <w:sz w:val="17"/>
        </w:rPr>
      </w:pPr>
    </w:p>
    <w:p w14:paraId="49C8F875" w14:textId="77777777" w:rsidR="00A71EEF" w:rsidRDefault="0081115D">
      <w:pPr>
        <w:pStyle w:val="a3"/>
        <w:ind w:left="838"/>
      </w:pPr>
      <w:r>
        <w:t>任一层建筑面积大于</w:t>
      </w:r>
      <w:r>
        <w:t xml:space="preserve"> 2500m</w:t>
      </w:r>
      <w:r>
        <w:rPr>
          <w:position w:val="11"/>
          <w:sz w:val="11"/>
        </w:rPr>
        <w:t xml:space="preserve">2 </w:t>
      </w:r>
      <w:r>
        <w:t>的丙类厂房（仓库）；</w:t>
      </w:r>
      <w:r>
        <w:t xml:space="preserve"> </w:t>
      </w:r>
    </w:p>
    <w:p w14:paraId="3DF07938" w14:textId="77777777" w:rsidR="00A71EEF" w:rsidRDefault="00A71EEF">
      <w:pPr>
        <w:pStyle w:val="a3"/>
        <w:spacing w:before="4"/>
        <w:rPr>
          <w:sz w:val="17"/>
        </w:rPr>
      </w:pPr>
    </w:p>
    <w:p w14:paraId="4D673594" w14:textId="77777777" w:rsidR="00A71EEF" w:rsidRDefault="0081115D">
      <w:pPr>
        <w:pStyle w:val="a3"/>
        <w:spacing w:before="1" w:line="436" w:lineRule="auto"/>
        <w:ind w:left="838" w:right="2580"/>
      </w:pPr>
      <w:r>
        <w:t>任一</w:t>
      </w:r>
      <w:r>
        <w:t>层建筑面积大于</w:t>
      </w:r>
      <w:r>
        <w:t xml:space="preserve"> 3000 m</w:t>
      </w:r>
      <w:r>
        <w:rPr>
          <w:position w:val="11"/>
          <w:sz w:val="11"/>
        </w:rPr>
        <w:t xml:space="preserve">2 </w:t>
      </w:r>
      <w:r>
        <w:t>的商店建筑、展览建筑及类似功能的公共建筑；</w:t>
      </w:r>
      <w:r>
        <w:t xml:space="preserve"> </w:t>
      </w:r>
      <w:r>
        <w:t>总建筑面积大于</w:t>
      </w:r>
      <w:r>
        <w:t xml:space="preserve"> 1000 m</w:t>
      </w:r>
      <w:r>
        <w:rPr>
          <w:position w:val="11"/>
          <w:sz w:val="11"/>
        </w:rPr>
        <w:t xml:space="preserve">2 </w:t>
      </w:r>
      <w:r>
        <w:t>的歌舞、娱乐、放映、游艺场所；</w:t>
      </w:r>
      <w:r>
        <w:t xml:space="preserve"> </w:t>
      </w:r>
    </w:p>
    <w:p w14:paraId="0B7F5F9C" w14:textId="77777777" w:rsidR="00A71EEF" w:rsidRDefault="0081115D">
      <w:pPr>
        <w:pStyle w:val="a3"/>
        <w:spacing w:before="9" w:line="446" w:lineRule="auto"/>
        <w:ind w:left="838" w:right="3397"/>
      </w:pPr>
      <w:r>
        <w:t>商店建筑、展览建筑及类似功能的公共建筑中长度大于</w:t>
      </w:r>
      <w:r>
        <w:t xml:space="preserve"> 60m </w:t>
      </w:r>
      <w:r>
        <w:t>的走道；</w:t>
      </w:r>
      <w:r>
        <w:t xml:space="preserve"> </w:t>
      </w:r>
      <w:r>
        <w:t>靠外墙或贯通至建筑屋顶的中庭。</w:t>
      </w:r>
      <w:r>
        <w:t xml:space="preserve"> </w:t>
      </w:r>
    </w:p>
    <w:p w14:paraId="3083AC47" w14:textId="77777777" w:rsidR="00A71EEF" w:rsidRDefault="0081115D">
      <w:pPr>
        <w:pStyle w:val="a3"/>
        <w:spacing w:line="446" w:lineRule="auto"/>
        <w:ind w:left="418" w:right="1404" w:firstLine="419"/>
        <w:jc w:val="both"/>
      </w:pPr>
      <w:r>
        <w:t>注：当符合本标准第</w:t>
      </w:r>
      <w:r>
        <w:t xml:space="preserve"> 4.4.17 </w:t>
      </w:r>
      <w:r>
        <w:t>条规定的场所时，可采用可熔性采光带（窗）替代作固定窗。</w:t>
      </w:r>
      <w:r>
        <w:rPr>
          <w:b/>
          <w:color w:val="333333"/>
        </w:rPr>
        <w:t xml:space="preserve">4.2 </w:t>
      </w:r>
      <w:r>
        <w:rPr>
          <w:color w:val="333333"/>
        </w:rPr>
        <w:t>防烟分区</w:t>
      </w:r>
      <w:r>
        <w:rPr>
          <w:color w:val="333333"/>
        </w:rPr>
        <w:t xml:space="preserve"> </w:t>
      </w:r>
    </w:p>
    <w:p w14:paraId="4674FA02" w14:textId="77777777" w:rsidR="00A71EEF" w:rsidRDefault="0081115D">
      <w:pPr>
        <w:pStyle w:val="a4"/>
        <w:numPr>
          <w:ilvl w:val="2"/>
          <w:numId w:val="111"/>
        </w:numPr>
        <w:tabs>
          <w:tab w:val="left" w:pos="1424"/>
        </w:tabs>
        <w:spacing w:line="446" w:lineRule="auto"/>
        <w:ind w:right="1445" w:firstLine="422"/>
        <w:jc w:val="both"/>
        <w:rPr>
          <w:sz w:val="21"/>
        </w:rPr>
      </w:pPr>
      <w:r>
        <w:rPr>
          <w:spacing w:val="-3"/>
          <w:sz w:val="21"/>
        </w:rPr>
        <w:t>设置排烟系统的场所或部位应采用挡烟垂壁、结构梁及隔墙等划分防烟分区。防烟分区不应跨越防火分区。</w:t>
      </w:r>
      <w:r>
        <w:rPr>
          <w:sz w:val="21"/>
        </w:rPr>
        <w:t xml:space="preserve"> </w:t>
      </w:r>
    </w:p>
    <w:p w14:paraId="10A7ECE1" w14:textId="77777777" w:rsidR="00A71EEF" w:rsidRDefault="0081115D">
      <w:pPr>
        <w:pStyle w:val="a4"/>
        <w:numPr>
          <w:ilvl w:val="2"/>
          <w:numId w:val="111"/>
        </w:numPr>
        <w:tabs>
          <w:tab w:val="left" w:pos="1424"/>
        </w:tabs>
        <w:spacing w:line="446" w:lineRule="auto"/>
        <w:ind w:right="1445" w:firstLine="422"/>
        <w:jc w:val="both"/>
        <w:rPr>
          <w:sz w:val="21"/>
        </w:rPr>
      </w:pPr>
      <w:r>
        <w:rPr>
          <w:spacing w:val="-5"/>
          <w:sz w:val="21"/>
        </w:rPr>
        <w:t>挡烟垂壁等挡烟分隔设施的深度不应小于本标准第</w:t>
      </w:r>
      <w:r>
        <w:rPr>
          <w:spacing w:val="-5"/>
          <w:sz w:val="21"/>
        </w:rPr>
        <w:t xml:space="preserve"> </w:t>
      </w:r>
      <w:r>
        <w:rPr>
          <w:sz w:val="21"/>
        </w:rPr>
        <w:t>4.6.2</w:t>
      </w:r>
      <w:r>
        <w:rPr>
          <w:spacing w:val="-7"/>
          <w:sz w:val="21"/>
        </w:rPr>
        <w:t xml:space="preserve"> </w:t>
      </w:r>
      <w:r>
        <w:rPr>
          <w:spacing w:val="-7"/>
          <w:sz w:val="21"/>
        </w:rPr>
        <w:t>条规定的储烟仓厚度。对于</w:t>
      </w:r>
      <w:r>
        <w:rPr>
          <w:spacing w:val="-6"/>
          <w:sz w:val="21"/>
        </w:rPr>
        <w:t>有吊顶的空间，当吊顶开孔不均匀或开孔率小于或等于</w:t>
      </w:r>
      <w:r>
        <w:rPr>
          <w:spacing w:val="-6"/>
          <w:sz w:val="21"/>
        </w:rPr>
        <w:t xml:space="preserve"> </w:t>
      </w:r>
      <w:r>
        <w:rPr>
          <w:sz w:val="21"/>
        </w:rPr>
        <w:t>25</w:t>
      </w:r>
      <w:r>
        <w:rPr>
          <w:spacing w:val="-3"/>
          <w:sz w:val="21"/>
        </w:rPr>
        <w:t>%</w:t>
      </w:r>
      <w:r>
        <w:rPr>
          <w:spacing w:val="-3"/>
          <w:sz w:val="21"/>
        </w:rPr>
        <w:t>时，吊顶内空间高度不得计入储烟仓厚度。</w:t>
      </w:r>
      <w:r>
        <w:rPr>
          <w:sz w:val="21"/>
        </w:rPr>
        <w:t xml:space="preserve"> </w:t>
      </w:r>
    </w:p>
    <w:p w14:paraId="15373887" w14:textId="77777777" w:rsidR="00A71EEF" w:rsidRDefault="0081115D">
      <w:pPr>
        <w:pStyle w:val="a4"/>
        <w:numPr>
          <w:ilvl w:val="2"/>
          <w:numId w:val="111"/>
        </w:numPr>
        <w:tabs>
          <w:tab w:val="left" w:pos="1371"/>
        </w:tabs>
        <w:spacing w:line="446" w:lineRule="auto"/>
        <w:ind w:right="1604" w:firstLine="422"/>
        <w:rPr>
          <w:sz w:val="21"/>
        </w:rPr>
      </w:pPr>
      <w:r>
        <w:rPr>
          <w:spacing w:val="-3"/>
          <w:sz w:val="21"/>
        </w:rPr>
        <w:t>设置排烟设施的建筑内，敞开楼梯和自动扶梯穿越楼板的开口部应设置挡烟垂壁等设施。</w:t>
      </w:r>
      <w:r>
        <w:rPr>
          <w:sz w:val="21"/>
        </w:rPr>
        <w:t xml:space="preserve"> </w:t>
      </w:r>
    </w:p>
    <w:p w14:paraId="02803CC8" w14:textId="77777777" w:rsidR="00A71EEF" w:rsidRDefault="0081115D">
      <w:pPr>
        <w:pStyle w:val="a4"/>
        <w:numPr>
          <w:ilvl w:val="2"/>
          <w:numId w:val="111"/>
        </w:numPr>
        <w:tabs>
          <w:tab w:val="left" w:pos="1422"/>
        </w:tabs>
        <w:spacing w:line="446" w:lineRule="auto"/>
        <w:ind w:right="1500" w:firstLine="419"/>
        <w:rPr>
          <w:sz w:val="21"/>
        </w:rPr>
      </w:pPr>
      <w:r>
        <w:rPr>
          <w:noProof/>
        </w:rPr>
        <w:drawing>
          <wp:anchor distT="0" distB="0" distL="0" distR="0" simplePos="0" relativeHeight="251770368" behindDoc="1" locked="0" layoutInCell="1" allowOverlap="1" wp14:anchorId="1E069132" wp14:editId="7CFCF144">
            <wp:simplePos x="0" y="0"/>
            <wp:positionH relativeFrom="page">
              <wp:posOffset>1170305</wp:posOffset>
            </wp:positionH>
            <wp:positionV relativeFrom="paragraph">
              <wp:posOffset>915923</wp:posOffset>
            </wp:positionV>
            <wp:extent cx="5276850" cy="1838325"/>
            <wp:effectExtent l="0" t="0" r="0" b="0"/>
            <wp:wrapNone/>
            <wp:docPr id="673" name="image3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image397.jpeg"/>
                    <pic:cNvPicPr/>
                  </pic:nvPicPr>
                  <pic:blipFill>
                    <a:blip r:embed="rId500" cstate="print"/>
                    <a:stretch>
                      <a:fillRect/>
                    </a:stretch>
                  </pic:blipFill>
                  <pic:spPr>
                    <a:xfrm>
                      <a:off x="0" y="0"/>
                      <a:ext cx="5276850" cy="1838325"/>
                    </a:xfrm>
                    <a:prstGeom prst="rect">
                      <a:avLst/>
                    </a:prstGeom>
                  </pic:spPr>
                </pic:pic>
              </a:graphicData>
            </a:graphic>
          </wp:anchor>
        </w:drawing>
      </w:r>
      <w:r>
        <w:rPr>
          <w:spacing w:val="-4"/>
          <w:sz w:val="21"/>
        </w:rPr>
        <w:t>公共建筑、工业建筑防烟分区的最大允许面积及其长边最大允许长度应符合表</w:t>
      </w:r>
      <w:r>
        <w:rPr>
          <w:spacing w:val="-4"/>
          <w:sz w:val="21"/>
        </w:rPr>
        <w:t xml:space="preserve"> </w:t>
      </w:r>
      <w:r>
        <w:rPr>
          <w:sz w:val="21"/>
        </w:rPr>
        <w:t xml:space="preserve">4.2.4 </w:t>
      </w:r>
      <w:r>
        <w:rPr>
          <w:spacing w:val="-3"/>
          <w:sz w:val="21"/>
        </w:rPr>
        <w:t>的规定，当工业建筑采用自然排烟系统时，其防烟分区的长边长度尚不应大于</w:t>
      </w:r>
      <w:r>
        <w:rPr>
          <w:spacing w:val="-3"/>
          <w:sz w:val="21"/>
        </w:rPr>
        <w:t>建筑内空间净高</w:t>
      </w:r>
      <w:r>
        <w:rPr>
          <w:spacing w:val="-28"/>
          <w:sz w:val="21"/>
        </w:rPr>
        <w:t>的</w:t>
      </w:r>
      <w:r>
        <w:rPr>
          <w:spacing w:val="-28"/>
          <w:sz w:val="21"/>
        </w:rPr>
        <w:t xml:space="preserve"> </w:t>
      </w:r>
      <w:r>
        <w:rPr>
          <w:sz w:val="21"/>
        </w:rPr>
        <w:t>8</w:t>
      </w:r>
      <w:r>
        <w:rPr>
          <w:spacing w:val="-20"/>
          <w:sz w:val="21"/>
        </w:rPr>
        <w:t xml:space="preserve"> </w:t>
      </w:r>
      <w:r>
        <w:rPr>
          <w:spacing w:val="-20"/>
          <w:sz w:val="21"/>
        </w:rPr>
        <w:t>倍。</w:t>
      </w:r>
      <w:r>
        <w:rPr>
          <w:sz w:val="21"/>
        </w:rPr>
        <w:t xml:space="preserve"> </w:t>
      </w:r>
    </w:p>
    <w:p w14:paraId="0CA87ECE" w14:textId="77777777" w:rsidR="00A71EEF" w:rsidRDefault="00A71EEF">
      <w:pPr>
        <w:spacing w:line="446" w:lineRule="auto"/>
        <w:rPr>
          <w:sz w:val="21"/>
        </w:rPr>
        <w:sectPr w:rsidR="00A71EEF">
          <w:pgSz w:w="11910" w:h="16850"/>
          <w:pgMar w:top="1220" w:right="0" w:bottom="1420" w:left="1260" w:header="0" w:footer="1239" w:gutter="0"/>
          <w:cols w:space="720"/>
        </w:sectPr>
      </w:pPr>
    </w:p>
    <w:p w14:paraId="37155684" w14:textId="77777777" w:rsidR="00A71EEF" w:rsidRDefault="0081115D">
      <w:pPr>
        <w:pStyle w:val="a3"/>
        <w:spacing w:before="47"/>
        <w:ind w:left="838"/>
      </w:pPr>
      <w:r>
        <w:t>注：</w:t>
      </w:r>
      <w:r>
        <w:t>1.</w:t>
      </w:r>
      <w:r>
        <w:t>公共建筑、工业建筑中的走道宽度不大于</w:t>
      </w:r>
      <w:r>
        <w:t xml:space="preserve"> 2.5m </w:t>
      </w:r>
      <w:r>
        <w:t>时，其防烟分区的长边长度不应大于</w:t>
      </w:r>
    </w:p>
    <w:p w14:paraId="48A4E0D5" w14:textId="77777777" w:rsidR="00A71EEF" w:rsidRDefault="00A71EEF">
      <w:pPr>
        <w:pStyle w:val="a3"/>
        <w:rPr>
          <w:sz w:val="18"/>
        </w:rPr>
      </w:pPr>
    </w:p>
    <w:p w14:paraId="78522298" w14:textId="77777777" w:rsidR="00A71EEF" w:rsidRDefault="0081115D">
      <w:pPr>
        <w:pStyle w:val="a3"/>
        <w:ind w:left="418"/>
      </w:pPr>
      <w:r>
        <w:t>60m</w:t>
      </w:r>
      <w:r>
        <w:t>。</w:t>
      </w:r>
      <w:r>
        <w:t xml:space="preserve"> </w:t>
      </w:r>
    </w:p>
    <w:p w14:paraId="02060B8C" w14:textId="77777777" w:rsidR="00A71EEF" w:rsidRDefault="00A71EEF">
      <w:pPr>
        <w:pStyle w:val="a3"/>
        <w:rPr>
          <w:sz w:val="18"/>
        </w:rPr>
      </w:pPr>
    </w:p>
    <w:p w14:paraId="3CF5A3BF" w14:textId="77777777" w:rsidR="00A71EEF" w:rsidRDefault="0081115D">
      <w:pPr>
        <w:pStyle w:val="a4"/>
        <w:numPr>
          <w:ilvl w:val="0"/>
          <w:numId w:val="110"/>
        </w:numPr>
        <w:tabs>
          <w:tab w:val="left" w:pos="1051"/>
        </w:tabs>
        <w:rPr>
          <w:sz w:val="21"/>
        </w:rPr>
      </w:pPr>
      <w:r>
        <w:rPr>
          <w:spacing w:val="-10"/>
          <w:sz w:val="21"/>
        </w:rPr>
        <w:t>当空间净高大于</w:t>
      </w:r>
      <w:r>
        <w:rPr>
          <w:spacing w:val="-10"/>
          <w:sz w:val="21"/>
        </w:rPr>
        <w:t xml:space="preserve"> </w:t>
      </w:r>
      <w:r>
        <w:rPr>
          <w:sz w:val="21"/>
        </w:rPr>
        <w:t>9m</w:t>
      </w:r>
      <w:r>
        <w:rPr>
          <w:spacing w:val="-9"/>
          <w:sz w:val="21"/>
        </w:rPr>
        <w:t xml:space="preserve"> </w:t>
      </w:r>
      <w:r>
        <w:rPr>
          <w:spacing w:val="-9"/>
          <w:sz w:val="21"/>
        </w:rPr>
        <w:t>时，防烟分区之间可不设置挡烟设施。</w:t>
      </w:r>
      <w:r>
        <w:rPr>
          <w:sz w:val="21"/>
        </w:rPr>
        <w:t xml:space="preserve"> </w:t>
      </w:r>
    </w:p>
    <w:p w14:paraId="36979E79" w14:textId="77777777" w:rsidR="00A71EEF" w:rsidRDefault="00A71EEF">
      <w:pPr>
        <w:pStyle w:val="a3"/>
        <w:spacing w:before="1"/>
        <w:rPr>
          <w:sz w:val="18"/>
        </w:rPr>
      </w:pPr>
    </w:p>
    <w:p w14:paraId="71A74865" w14:textId="77777777" w:rsidR="00A71EEF" w:rsidRDefault="0081115D">
      <w:pPr>
        <w:pStyle w:val="a4"/>
        <w:numPr>
          <w:ilvl w:val="0"/>
          <w:numId w:val="110"/>
        </w:numPr>
        <w:tabs>
          <w:tab w:val="left" w:pos="1051"/>
        </w:tabs>
        <w:spacing w:before="1" w:line="446" w:lineRule="auto"/>
        <w:ind w:left="418" w:right="1609" w:firstLine="419"/>
        <w:rPr>
          <w:sz w:val="21"/>
        </w:rPr>
      </w:pPr>
      <w:r>
        <w:rPr>
          <w:spacing w:val="-3"/>
          <w:sz w:val="21"/>
        </w:rPr>
        <w:t>汽车库防烟分区的划分及其排烟量应符合现行国家规范《汽车库、修车库、停车场设计防火规范》</w:t>
      </w:r>
      <w:r>
        <w:rPr>
          <w:sz w:val="21"/>
        </w:rPr>
        <w:t>GB 50067</w:t>
      </w:r>
      <w:r>
        <w:rPr>
          <w:spacing w:val="-10"/>
          <w:sz w:val="21"/>
        </w:rPr>
        <w:t xml:space="preserve"> </w:t>
      </w:r>
      <w:r>
        <w:rPr>
          <w:spacing w:val="-10"/>
          <w:sz w:val="21"/>
        </w:rPr>
        <w:t>的相关规定。</w:t>
      </w:r>
      <w:r>
        <w:rPr>
          <w:sz w:val="21"/>
        </w:rPr>
        <w:t xml:space="preserve"> </w:t>
      </w:r>
    </w:p>
    <w:p w14:paraId="39912CA0" w14:textId="77777777" w:rsidR="00A71EEF" w:rsidRDefault="0081115D">
      <w:pPr>
        <w:pStyle w:val="a4"/>
        <w:numPr>
          <w:ilvl w:val="1"/>
          <w:numId w:val="109"/>
        </w:numPr>
        <w:tabs>
          <w:tab w:val="left" w:pos="1159"/>
        </w:tabs>
        <w:spacing w:line="267" w:lineRule="exact"/>
        <w:ind w:hanging="319"/>
        <w:rPr>
          <w:sz w:val="21"/>
        </w:rPr>
      </w:pPr>
      <w:r>
        <w:rPr>
          <w:spacing w:val="-3"/>
          <w:sz w:val="21"/>
        </w:rPr>
        <w:t>自然排烟设施</w:t>
      </w:r>
      <w:r>
        <w:rPr>
          <w:sz w:val="21"/>
        </w:rPr>
        <w:t xml:space="preserve"> </w:t>
      </w:r>
    </w:p>
    <w:p w14:paraId="1169B930" w14:textId="77777777" w:rsidR="00A71EEF" w:rsidRDefault="00A71EEF">
      <w:pPr>
        <w:pStyle w:val="a3"/>
        <w:spacing w:before="1"/>
        <w:rPr>
          <w:sz w:val="18"/>
        </w:rPr>
      </w:pPr>
    </w:p>
    <w:p w14:paraId="1FF22FB8" w14:textId="77777777" w:rsidR="00A71EEF" w:rsidRDefault="0081115D">
      <w:pPr>
        <w:pStyle w:val="a4"/>
        <w:numPr>
          <w:ilvl w:val="2"/>
          <w:numId w:val="109"/>
        </w:numPr>
        <w:tabs>
          <w:tab w:val="left" w:pos="1424"/>
        </w:tabs>
        <w:spacing w:before="1"/>
        <w:rPr>
          <w:sz w:val="21"/>
        </w:rPr>
      </w:pPr>
      <w:r>
        <w:rPr>
          <w:spacing w:val="-3"/>
          <w:sz w:val="21"/>
        </w:rPr>
        <w:t>采用自然排烟系统的场所应设置自然排烟窗</w:t>
      </w:r>
      <w:r>
        <w:rPr>
          <w:sz w:val="21"/>
        </w:rPr>
        <w:t>（口</w:t>
      </w:r>
      <w:r>
        <w:rPr>
          <w:spacing w:val="-3"/>
          <w:sz w:val="21"/>
        </w:rPr>
        <w:t>）。</w:t>
      </w:r>
      <w:r>
        <w:rPr>
          <w:sz w:val="21"/>
        </w:rPr>
        <w:t xml:space="preserve"> </w:t>
      </w:r>
    </w:p>
    <w:p w14:paraId="291D720C" w14:textId="77777777" w:rsidR="00A71EEF" w:rsidRDefault="00A71EEF">
      <w:pPr>
        <w:pStyle w:val="a3"/>
        <w:spacing w:before="12"/>
        <w:rPr>
          <w:sz w:val="17"/>
        </w:rPr>
      </w:pPr>
    </w:p>
    <w:p w14:paraId="69AD05C8" w14:textId="77777777" w:rsidR="00A71EEF" w:rsidRDefault="0081115D">
      <w:pPr>
        <w:pStyle w:val="a4"/>
        <w:numPr>
          <w:ilvl w:val="2"/>
          <w:numId w:val="109"/>
        </w:numPr>
        <w:tabs>
          <w:tab w:val="left" w:pos="1424"/>
        </w:tabs>
        <w:spacing w:line="446" w:lineRule="auto"/>
        <w:ind w:left="418" w:right="1447" w:firstLine="422"/>
        <w:rPr>
          <w:b/>
          <w:sz w:val="21"/>
        </w:rPr>
      </w:pPr>
      <w:r>
        <w:rPr>
          <w:spacing w:val="-3"/>
          <w:sz w:val="21"/>
        </w:rPr>
        <w:t>防烟分区内自然排烟窗（</w:t>
      </w:r>
      <w:r>
        <w:rPr>
          <w:sz w:val="21"/>
        </w:rPr>
        <w:t>口</w:t>
      </w:r>
      <w:r>
        <w:rPr>
          <w:spacing w:val="-3"/>
          <w:sz w:val="21"/>
        </w:rPr>
        <w:t>）</w:t>
      </w:r>
      <w:r>
        <w:rPr>
          <w:spacing w:val="-6"/>
          <w:sz w:val="21"/>
        </w:rPr>
        <w:t>的面积、数量、位置应按本标准第</w:t>
      </w:r>
      <w:r>
        <w:rPr>
          <w:spacing w:val="-6"/>
          <w:sz w:val="21"/>
        </w:rPr>
        <w:t xml:space="preserve"> </w:t>
      </w:r>
      <w:r>
        <w:rPr>
          <w:sz w:val="21"/>
        </w:rPr>
        <w:t>4.6.3</w:t>
      </w:r>
      <w:r>
        <w:rPr>
          <w:spacing w:val="-7"/>
          <w:sz w:val="21"/>
        </w:rPr>
        <w:t xml:space="preserve"> </w:t>
      </w:r>
      <w:r>
        <w:rPr>
          <w:spacing w:val="-7"/>
          <w:sz w:val="21"/>
        </w:rPr>
        <w:t>条规定经计算</w:t>
      </w:r>
      <w:r>
        <w:rPr>
          <w:spacing w:val="-5"/>
          <w:sz w:val="21"/>
        </w:rPr>
        <w:t>确定，且防烟分区内任一点与最近的自然排烟窗</w:t>
      </w:r>
      <w:r>
        <w:rPr>
          <w:spacing w:val="-3"/>
          <w:sz w:val="21"/>
        </w:rPr>
        <w:t>（</w:t>
      </w:r>
      <w:r>
        <w:rPr>
          <w:sz w:val="21"/>
        </w:rPr>
        <w:t>口）</w:t>
      </w:r>
      <w:r>
        <w:rPr>
          <w:spacing w:val="-5"/>
          <w:sz w:val="21"/>
        </w:rPr>
        <w:t>之间的水平距离不应大于</w:t>
      </w:r>
      <w:r>
        <w:rPr>
          <w:spacing w:val="-5"/>
          <w:sz w:val="21"/>
        </w:rPr>
        <w:t xml:space="preserve"> </w:t>
      </w:r>
      <w:r>
        <w:rPr>
          <w:sz w:val="21"/>
        </w:rPr>
        <w:t>30m</w:t>
      </w:r>
      <w:r>
        <w:rPr>
          <w:spacing w:val="-3"/>
          <w:sz w:val="21"/>
        </w:rPr>
        <w:t>。当工业建</w:t>
      </w:r>
      <w:r>
        <w:rPr>
          <w:spacing w:val="-5"/>
          <w:sz w:val="21"/>
        </w:rPr>
        <w:t>筑采用自然排烟方式时，其水平距离尚不应大于建筑内空间净高的</w:t>
      </w:r>
      <w:r>
        <w:rPr>
          <w:spacing w:val="-5"/>
          <w:sz w:val="21"/>
        </w:rPr>
        <w:t xml:space="preserve"> </w:t>
      </w:r>
      <w:r>
        <w:rPr>
          <w:sz w:val="21"/>
        </w:rPr>
        <w:t>2.8</w:t>
      </w:r>
      <w:r>
        <w:rPr>
          <w:spacing w:val="-8"/>
          <w:sz w:val="21"/>
        </w:rPr>
        <w:t xml:space="preserve"> </w:t>
      </w:r>
      <w:r>
        <w:rPr>
          <w:spacing w:val="-8"/>
          <w:sz w:val="21"/>
        </w:rPr>
        <w:t>倍；当公共建筑空间净</w:t>
      </w:r>
      <w:r>
        <w:rPr>
          <w:spacing w:val="-12"/>
          <w:sz w:val="21"/>
        </w:rPr>
        <w:t>高大于或等于</w:t>
      </w:r>
      <w:r>
        <w:rPr>
          <w:spacing w:val="-12"/>
          <w:sz w:val="21"/>
        </w:rPr>
        <w:t xml:space="preserve"> </w:t>
      </w:r>
      <w:r>
        <w:rPr>
          <w:sz w:val="21"/>
        </w:rPr>
        <w:t>6m</w:t>
      </w:r>
      <w:r>
        <w:rPr>
          <w:spacing w:val="-6"/>
          <w:sz w:val="21"/>
        </w:rPr>
        <w:t>，且具有自然对流条件时，其水平距离不应大于</w:t>
      </w:r>
      <w:r>
        <w:rPr>
          <w:spacing w:val="-6"/>
          <w:sz w:val="21"/>
        </w:rPr>
        <w:t xml:space="preserve"> </w:t>
      </w:r>
      <w:r>
        <w:rPr>
          <w:sz w:val="21"/>
        </w:rPr>
        <w:t>37.5m</w:t>
      </w:r>
      <w:r>
        <w:rPr>
          <w:spacing w:val="-3"/>
          <w:sz w:val="21"/>
        </w:rPr>
        <w:t>。</w:t>
      </w:r>
      <w:r>
        <w:rPr>
          <w:b/>
          <w:w w:val="99"/>
          <w:sz w:val="21"/>
        </w:rPr>
        <w:t xml:space="preserve"> </w:t>
      </w:r>
    </w:p>
    <w:p w14:paraId="2DC3B82D" w14:textId="77777777" w:rsidR="00A71EEF" w:rsidRDefault="0081115D">
      <w:pPr>
        <w:pStyle w:val="a4"/>
        <w:numPr>
          <w:ilvl w:val="2"/>
          <w:numId w:val="109"/>
        </w:numPr>
        <w:tabs>
          <w:tab w:val="left" w:pos="1424"/>
        </w:tabs>
        <w:spacing w:line="266" w:lineRule="exact"/>
        <w:rPr>
          <w:sz w:val="21"/>
        </w:rPr>
      </w:pPr>
      <w:r>
        <w:rPr>
          <w:spacing w:val="-3"/>
          <w:sz w:val="21"/>
        </w:rPr>
        <w:t>自然排烟窗</w:t>
      </w:r>
      <w:r>
        <w:rPr>
          <w:sz w:val="21"/>
        </w:rPr>
        <w:t>（</w:t>
      </w:r>
      <w:r>
        <w:rPr>
          <w:spacing w:val="-3"/>
          <w:sz w:val="21"/>
        </w:rPr>
        <w:t>口）应设置在排烟区域的顶部或外墙，并应符合下列规定：</w:t>
      </w:r>
      <w:r>
        <w:rPr>
          <w:spacing w:val="-3"/>
          <w:sz w:val="21"/>
        </w:rPr>
        <w:t xml:space="preserve"> </w:t>
      </w:r>
    </w:p>
    <w:p w14:paraId="487D6D1D" w14:textId="77777777" w:rsidR="00A71EEF" w:rsidRDefault="00A71EEF">
      <w:pPr>
        <w:pStyle w:val="a3"/>
        <w:spacing w:before="2"/>
        <w:rPr>
          <w:sz w:val="18"/>
        </w:rPr>
      </w:pPr>
    </w:p>
    <w:p w14:paraId="0ECFD86A" w14:textId="77777777" w:rsidR="00A71EEF" w:rsidRDefault="0081115D">
      <w:pPr>
        <w:pStyle w:val="a3"/>
        <w:ind w:left="838"/>
      </w:pPr>
      <w:r>
        <w:t>当设置在外墙上时，自然排烟窗（口）应在储烟仓以内，但走道、室内空间净高不大于</w:t>
      </w:r>
      <w:r>
        <w:t xml:space="preserve"> 3m</w:t>
      </w:r>
    </w:p>
    <w:p w14:paraId="56AE1D0B" w14:textId="77777777" w:rsidR="00A71EEF" w:rsidRDefault="00A71EEF">
      <w:pPr>
        <w:pStyle w:val="a3"/>
        <w:rPr>
          <w:sz w:val="18"/>
        </w:rPr>
      </w:pPr>
    </w:p>
    <w:p w14:paraId="709D1439" w14:textId="77777777" w:rsidR="00A71EEF" w:rsidRDefault="0081115D">
      <w:pPr>
        <w:pStyle w:val="a3"/>
        <w:spacing w:line="446" w:lineRule="auto"/>
        <w:ind w:left="838" w:right="4446" w:hanging="420"/>
      </w:pPr>
      <w:r>
        <w:t>的区域的自然排烟窗（口）可设置在室内净高度的</w:t>
      </w:r>
      <w:r>
        <w:t xml:space="preserve"> 1/2 </w:t>
      </w:r>
      <w:r>
        <w:t>以上；</w:t>
      </w:r>
      <w:r>
        <w:t xml:space="preserve"> </w:t>
      </w:r>
      <w:r>
        <w:t>自然排烟窗（口）的开启形式应有利于火灾烟气的排出；</w:t>
      </w:r>
      <w:r>
        <w:t xml:space="preserve"> </w:t>
      </w:r>
    </w:p>
    <w:p w14:paraId="551DB7C1" w14:textId="77777777" w:rsidR="00A71EEF" w:rsidRDefault="0081115D">
      <w:pPr>
        <w:pStyle w:val="a3"/>
        <w:spacing w:line="446" w:lineRule="auto"/>
        <w:ind w:left="838" w:right="3471"/>
      </w:pPr>
      <w:r>
        <w:t>当房间面积不大于</w:t>
      </w:r>
      <w:r>
        <w:t xml:space="preserve"> 200m</w:t>
      </w:r>
      <w:r>
        <w:rPr>
          <w:position w:val="11"/>
          <w:sz w:val="11"/>
        </w:rPr>
        <w:t xml:space="preserve">2 </w:t>
      </w:r>
      <w:r>
        <w:t>时，自然排烟窗（口）的开启方向可不限；</w:t>
      </w:r>
      <w:r>
        <w:t xml:space="preserve"> </w:t>
      </w:r>
      <w:r>
        <w:t>自然排烟窗（口）宜分散均匀布置，且每组的长度不宜大于</w:t>
      </w:r>
      <w:r>
        <w:t xml:space="preserve"> 3.0m</w:t>
      </w:r>
      <w:r>
        <w:t>；</w:t>
      </w:r>
      <w:r>
        <w:t xml:space="preserve"> </w:t>
      </w:r>
    </w:p>
    <w:p w14:paraId="701F5A6D" w14:textId="77777777" w:rsidR="00A71EEF" w:rsidRDefault="0081115D">
      <w:pPr>
        <w:pStyle w:val="a3"/>
        <w:spacing w:line="267" w:lineRule="exact"/>
        <w:ind w:left="838"/>
      </w:pPr>
      <w:r>
        <w:t>设置在防火墙两侧的自然排烟窗（口）之间最近边缘的水平距离不应小于</w:t>
      </w:r>
      <w:r>
        <w:t xml:space="preserve"> 2.0m</w:t>
      </w:r>
      <w:r>
        <w:t>。</w:t>
      </w:r>
      <w:r>
        <w:t xml:space="preserve"> </w:t>
      </w:r>
    </w:p>
    <w:p w14:paraId="7DDCF657" w14:textId="77777777" w:rsidR="00A71EEF" w:rsidRDefault="00A71EEF">
      <w:pPr>
        <w:pStyle w:val="a3"/>
        <w:spacing w:before="5"/>
        <w:rPr>
          <w:sz w:val="17"/>
        </w:rPr>
      </w:pPr>
    </w:p>
    <w:p w14:paraId="20E3536E" w14:textId="77777777" w:rsidR="00A71EEF" w:rsidRDefault="0081115D">
      <w:pPr>
        <w:pStyle w:val="a4"/>
        <w:numPr>
          <w:ilvl w:val="2"/>
          <w:numId w:val="109"/>
        </w:numPr>
        <w:tabs>
          <w:tab w:val="left" w:pos="1424"/>
        </w:tabs>
        <w:rPr>
          <w:sz w:val="21"/>
        </w:rPr>
      </w:pPr>
      <w:r>
        <w:rPr>
          <w:spacing w:val="-3"/>
          <w:sz w:val="21"/>
        </w:rPr>
        <w:t>厂房、仓库的自然排烟窗</w:t>
      </w:r>
      <w:r>
        <w:rPr>
          <w:sz w:val="21"/>
        </w:rPr>
        <w:t>（</w:t>
      </w:r>
      <w:r>
        <w:rPr>
          <w:spacing w:val="-3"/>
          <w:sz w:val="21"/>
        </w:rPr>
        <w:t>口</w:t>
      </w:r>
      <w:r>
        <w:rPr>
          <w:sz w:val="21"/>
        </w:rPr>
        <w:t>）</w:t>
      </w:r>
      <w:r>
        <w:rPr>
          <w:spacing w:val="-3"/>
          <w:sz w:val="21"/>
        </w:rPr>
        <w:t>设置尚应符合下列规定：</w:t>
      </w:r>
      <w:r>
        <w:rPr>
          <w:sz w:val="21"/>
        </w:rPr>
        <w:t xml:space="preserve"> </w:t>
      </w:r>
    </w:p>
    <w:p w14:paraId="4C04651F" w14:textId="77777777" w:rsidR="00A71EEF" w:rsidRDefault="00A71EEF">
      <w:pPr>
        <w:pStyle w:val="a3"/>
        <w:rPr>
          <w:sz w:val="18"/>
        </w:rPr>
      </w:pPr>
    </w:p>
    <w:p w14:paraId="5FA83F03" w14:textId="77777777" w:rsidR="00A71EEF" w:rsidRDefault="0081115D">
      <w:pPr>
        <w:pStyle w:val="a3"/>
        <w:ind w:left="838"/>
      </w:pPr>
      <w:r>
        <w:t>当设置在外墙时，自然排烟窗（口）应沿建筑物的两条对边均匀设置；</w:t>
      </w:r>
      <w:r>
        <w:t xml:space="preserve"> </w:t>
      </w:r>
    </w:p>
    <w:p w14:paraId="54862D61" w14:textId="77777777" w:rsidR="00A71EEF" w:rsidRDefault="00A71EEF">
      <w:pPr>
        <w:pStyle w:val="a3"/>
        <w:spacing w:before="12"/>
        <w:rPr>
          <w:sz w:val="17"/>
        </w:rPr>
      </w:pPr>
    </w:p>
    <w:p w14:paraId="3A87D388" w14:textId="77777777" w:rsidR="00A71EEF" w:rsidRDefault="0081115D">
      <w:pPr>
        <w:pStyle w:val="a3"/>
        <w:spacing w:line="436" w:lineRule="auto"/>
        <w:ind w:left="418" w:right="1608" w:firstLine="419"/>
        <w:jc w:val="both"/>
      </w:pPr>
      <w:r>
        <w:rPr>
          <w:spacing w:val="-3"/>
        </w:rPr>
        <w:t>当设置在屋顶时，自然排烟窗（</w:t>
      </w:r>
      <w:r>
        <w:t>口</w:t>
      </w:r>
      <w:r>
        <w:rPr>
          <w:spacing w:val="-3"/>
        </w:rPr>
        <w:t>）应在屋面均匀设置且宜采用自动控制方式开启；当屋</w:t>
      </w:r>
      <w:r>
        <w:rPr>
          <w:spacing w:val="-8"/>
        </w:rPr>
        <w:t>面斜度小于或等于</w:t>
      </w:r>
      <w:r>
        <w:rPr>
          <w:spacing w:val="-8"/>
        </w:rPr>
        <w:t xml:space="preserve"> </w:t>
      </w:r>
      <w:r>
        <w:t>12</w:t>
      </w:r>
      <w:r>
        <w:rPr>
          <w:spacing w:val="-10"/>
        </w:rPr>
        <w:t>°</w:t>
      </w:r>
      <w:r>
        <w:rPr>
          <w:spacing w:val="-10"/>
        </w:rPr>
        <w:t>时，每</w:t>
      </w:r>
      <w:r>
        <w:rPr>
          <w:spacing w:val="-10"/>
        </w:rPr>
        <w:t xml:space="preserve"> </w:t>
      </w:r>
      <w:r>
        <w:t>200m</w:t>
      </w:r>
      <w:r>
        <w:rPr>
          <w:position w:val="11"/>
          <w:sz w:val="11"/>
        </w:rPr>
        <w:t xml:space="preserve">2 </w:t>
      </w:r>
      <w:r>
        <w:rPr>
          <w:spacing w:val="-3"/>
        </w:rPr>
        <w:t>的建筑面积应设置相应的自然排烟窗</w:t>
      </w:r>
      <w:r>
        <w:t>（</w:t>
      </w:r>
      <w:r>
        <w:rPr>
          <w:spacing w:val="-3"/>
        </w:rPr>
        <w:t>口</w:t>
      </w:r>
      <w:r>
        <w:t>）；</w:t>
      </w:r>
      <w:r>
        <w:rPr>
          <w:spacing w:val="-3"/>
        </w:rPr>
        <w:t>当屋面斜度</w:t>
      </w:r>
      <w:r>
        <w:rPr>
          <w:spacing w:val="-20"/>
        </w:rPr>
        <w:t>大于</w:t>
      </w:r>
      <w:r>
        <w:rPr>
          <w:spacing w:val="-20"/>
        </w:rPr>
        <w:t xml:space="preserve"> </w:t>
      </w:r>
      <w:r>
        <w:t>12</w:t>
      </w:r>
      <w:r>
        <w:rPr>
          <w:spacing w:val="-12"/>
        </w:rPr>
        <w:t>°</w:t>
      </w:r>
      <w:r>
        <w:rPr>
          <w:spacing w:val="-12"/>
        </w:rPr>
        <w:t>时，每</w:t>
      </w:r>
      <w:r>
        <w:rPr>
          <w:spacing w:val="-12"/>
        </w:rPr>
        <w:t xml:space="preserve"> </w:t>
      </w:r>
      <w:r>
        <w:t>400m</w:t>
      </w:r>
      <w:r>
        <w:rPr>
          <w:position w:val="11"/>
          <w:sz w:val="11"/>
        </w:rPr>
        <w:t xml:space="preserve">2 </w:t>
      </w:r>
      <w:r>
        <w:rPr>
          <w:spacing w:val="-3"/>
        </w:rPr>
        <w:t>的建筑面积应设置相应的自然排烟窗（</w:t>
      </w:r>
      <w:r>
        <w:t>口</w:t>
      </w:r>
      <w:r>
        <w:rPr>
          <w:spacing w:val="-3"/>
        </w:rPr>
        <w:t>）。</w:t>
      </w:r>
      <w:r>
        <w:t xml:space="preserve"> </w:t>
      </w:r>
    </w:p>
    <w:p w14:paraId="07CAD476" w14:textId="77777777" w:rsidR="00A71EEF" w:rsidRDefault="0081115D">
      <w:pPr>
        <w:pStyle w:val="a4"/>
        <w:numPr>
          <w:ilvl w:val="2"/>
          <w:numId w:val="109"/>
        </w:numPr>
        <w:tabs>
          <w:tab w:val="left" w:pos="1424"/>
        </w:tabs>
        <w:spacing w:before="11" w:line="446" w:lineRule="auto"/>
        <w:ind w:left="838" w:right="1716" w:firstLine="2"/>
        <w:jc w:val="both"/>
        <w:rPr>
          <w:sz w:val="21"/>
        </w:rPr>
      </w:pPr>
      <w:r>
        <w:rPr>
          <w:spacing w:val="-3"/>
          <w:sz w:val="21"/>
        </w:rPr>
        <w:t>除本标准另有规定外，自然排烟窗</w:t>
      </w:r>
      <w:r>
        <w:rPr>
          <w:sz w:val="21"/>
        </w:rPr>
        <w:t>（</w:t>
      </w:r>
      <w:r>
        <w:rPr>
          <w:spacing w:val="-3"/>
          <w:sz w:val="21"/>
        </w:rPr>
        <w:t>口</w:t>
      </w:r>
      <w:r>
        <w:rPr>
          <w:sz w:val="21"/>
        </w:rPr>
        <w:t>）</w:t>
      </w:r>
      <w:r>
        <w:rPr>
          <w:spacing w:val="-3"/>
          <w:sz w:val="21"/>
        </w:rPr>
        <w:t>开启的有效面积尚应符合下列规定：</w:t>
      </w:r>
      <w:r>
        <w:rPr>
          <w:spacing w:val="-3"/>
          <w:sz w:val="21"/>
        </w:rPr>
        <w:t xml:space="preserve">   </w:t>
      </w:r>
      <w:r>
        <w:rPr>
          <w:spacing w:val="-7"/>
          <w:sz w:val="21"/>
        </w:rPr>
        <w:t>当采用开窗角大于</w:t>
      </w:r>
      <w:r>
        <w:rPr>
          <w:spacing w:val="-7"/>
          <w:sz w:val="21"/>
        </w:rPr>
        <w:t xml:space="preserve"> </w:t>
      </w:r>
      <w:r>
        <w:rPr>
          <w:sz w:val="21"/>
        </w:rPr>
        <w:t>70</w:t>
      </w:r>
      <w:r>
        <w:rPr>
          <w:spacing w:val="-5"/>
          <w:sz w:val="21"/>
        </w:rPr>
        <w:t>°</w:t>
      </w:r>
      <w:r>
        <w:rPr>
          <w:spacing w:val="-5"/>
          <w:sz w:val="21"/>
        </w:rPr>
        <w:t>的悬窗时，其面积应按窗的面积计算；当开窗角小于或等于</w:t>
      </w:r>
      <w:r>
        <w:rPr>
          <w:spacing w:val="-5"/>
          <w:sz w:val="21"/>
        </w:rPr>
        <w:t xml:space="preserve"> </w:t>
      </w:r>
      <w:r>
        <w:rPr>
          <w:sz w:val="21"/>
        </w:rPr>
        <w:t>70°</w:t>
      </w:r>
    </w:p>
    <w:p w14:paraId="0B45745C" w14:textId="77777777" w:rsidR="00A71EEF" w:rsidRDefault="0081115D">
      <w:pPr>
        <w:pStyle w:val="a3"/>
        <w:spacing w:before="1"/>
        <w:ind w:left="418"/>
      </w:pPr>
      <w:r>
        <w:rPr>
          <w:spacing w:val="-3"/>
        </w:rPr>
        <w:t>时，其面积应按窗最大开启时的水平投影面积计算。</w:t>
      </w:r>
      <w:r>
        <w:rPr>
          <w:spacing w:val="-3"/>
        </w:rPr>
        <w:t xml:space="preserve"> </w:t>
      </w:r>
    </w:p>
    <w:p w14:paraId="028D9776" w14:textId="77777777" w:rsidR="00A71EEF" w:rsidRDefault="00A71EEF">
      <w:pPr>
        <w:pStyle w:val="a3"/>
        <w:spacing w:before="12"/>
        <w:rPr>
          <w:sz w:val="17"/>
        </w:rPr>
      </w:pPr>
    </w:p>
    <w:p w14:paraId="0CF83986" w14:textId="77777777" w:rsidR="00A71EEF" w:rsidRDefault="0081115D">
      <w:pPr>
        <w:pStyle w:val="a3"/>
        <w:spacing w:line="446" w:lineRule="auto"/>
        <w:ind w:left="418" w:right="1505" w:firstLine="419"/>
      </w:pPr>
      <w:r>
        <w:rPr>
          <w:spacing w:val="-7"/>
        </w:rPr>
        <w:t>当采用开窗角大于</w:t>
      </w:r>
      <w:r>
        <w:rPr>
          <w:spacing w:val="-7"/>
        </w:rPr>
        <w:t xml:space="preserve"> </w:t>
      </w:r>
      <w:r>
        <w:t>70</w:t>
      </w:r>
      <w:r>
        <w:rPr>
          <w:spacing w:val="-5"/>
        </w:rPr>
        <w:t>°</w:t>
      </w:r>
      <w:r>
        <w:rPr>
          <w:spacing w:val="-5"/>
        </w:rPr>
        <w:t>的平开窗时，其面积应按窗的面积计算；当开窗角小于或等于</w:t>
      </w:r>
      <w:r>
        <w:rPr>
          <w:spacing w:val="-5"/>
        </w:rPr>
        <w:t xml:space="preserve"> </w:t>
      </w:r>
      <w:r>
        <w:t xml:space="preserve">70° </w:t>
      </w:r>
      <w:r>
        <w:rPr>
          <w:spacing w:val="-3"/>
        </w:rPr>
        <w:t>时，其面积应按窗最大开启时的竖向投影面积计算。</w:t>
      </w:r>
      <w:r>
        <w:rPr>
          <w:spacing w:val="-3"/>
        </w:rPr>
        <w:t xml:space="preserve"> </w:t>
      </w:r>
    </w:p>
    <w:p w14:paraId="29C3913D" w14:textId="77777777" w:rsidR="00A71EEF" w:rsidRDefault="00A71EEF">
      <w:pPr>
        <w:spacing w:line="446" w:lineRule="auto"/>
        <w:sectPr w:rsidR="00A71EEF">
          <w:pgSz w:w="11910" w:h="16850"/>
          <w:pgMar w:top="1220" w:right="0" w:bottom="1420" w:left="1260" w:header="0" w:footer="1239" w:gutter="0"/>
          <w:cols w:space="720"/>
        </w:sectPr>
      </w:pPr>
    </w:p>
    <w:p w14:paraId="4EA7AD89" w14:textId="77777777" w:rsidR="00A71EEF" w:rsidRDefault="0081115D">
      <w:pPr>
        <w:pStyle w:val="a3"/>
        <w:spacing w:before="47" w:line="446" w:lineRule="auto"/>
        <w:ind w:left="838" w:right="4446"/>
      </w:pPr>
      <w:r>
        <w:t>当采用推拉窗时，其面积应按开启的最大窗口面积计算。当采用百叶窗时，其面积应按窗的有效开口面积计算。</w:t>
      </w:r>
      <w:r>
        <w:t xml:space="preserve"> </w:t>
      </w:r>
    </w:p>
    <w:p w14:paraId="11B9504E" w14:textId="77777777" w:rsidR="00A71EEF" w:rsidRDefault="0081115D">
      <w:pPr>
        <w:pStyle w:val="a3"/>
        <w:spacing w:line="446" w:lineRule="auto"/>
        <w:ind w:left="418" w:right="1609" w:firstLine="419"/>
      </w:pPr>
      <w:r>
        <w:rPr>
          <w:spacing w:val="-5"/>
        </w:rPr>
        <w:t>当平推窗设置在顶部时，其面积可按窗的</w:t>
      </w:r>
      <w:r>
        <w:rPr>
          <w:spacing w:val="-5"/>
        </w:rPr>
        <w:t xml:space="preserve"> </w:t>
      </w:r>
      <w:r>
        <w:t>1/2</w:t>
      </w:r>
      <w:r>
        <w:rPr>
          <w:spacing w:val="-7"/>
        </w:rPr>
        <w:t xml:space="preserve"> </w:t>
      </w:r>
      <w:r>
        <w:rPr>
          <w:spacing w:val="-7"/>
        </w:rPr>
        <w:t>周长与平推距离乘积计算，且不应大于窗面</w:t>
      </w:r>
      <w:r>
        <w:rPr>
          <w:spacing w:val="-5"/>
        </w:rPr>
        <w:t>积。</w:t>
      </w:r>
      <w:r>
        <w:t xml:space="preserve"> </w:t>
      </w:r>
    </w:p>
    <w:p w14:paraId="0D4A6EF2" w14:textId="77777777" w:rsidR="00A71EEF" w:rsidRDefault="0081115D">
      <w:pPr>
        <w:pStyle w:val="a3"/>
        <w:spacing w:line="446" w:lineRule="auto"/>
        <w:ind w:left="418" w:right="1609" w:firstLine="419"/>
      </w:pPr>
      <w:r>
        <w:rPr>
          <w:spacing w:val="-5"/>
        </w:rPr>
        <w:t>当平推窗设置在外墙时，其面积可按窗的</w:t>
      </w:r>
      <w:r>
        <w:rPr>
          <w:spacing w:val="-5"/>
        </w:rPr>
        <w:t xml:space="preserve"> </w:t>
      </w:r>
      <w:r>
        <w:t>1/4</w:t>
      </w:r>
      <w:r>
        <w:rPr>
          <w:spacing w:val="-7"/>
        </w:rPr>
        <w:t xml:space="preserve"> </w:t>
      </w:r>
      <w:r>
        <w:rPr>
          <w:spacing w:val="-7"/>
        </w:rPr>
        <w:t>周长与平推距离乘积计算，且不应大于窗面</w:t>
      </w:r>
      <w:r>
        <w:rPr>
          <w:spacing w:val="-5"/>
        </w:rPr>
        <w:t>积。</w:t>
      </w:r>
      <w:r>
        <w:t xml:space="preserve"> </w:t>
      </w:r>
    </w:p>
    <w:p w14:paraId="7B8EECA3" w14:textId="77777777" w:rsidR="00A71EEF" w:rsidRDefault="0081115D">
      <w:pPr>
        <w:pStyle w:val="a4"/>
        <w:numPr>
          <w:ilvl w:val="2"/>
          <w:numId w:val="109"/>
        </w:numPr>
        <w:tabs>
          <w:tab w:val="left" w:pos="1424"/>
        </w:tabs>
        <w:rPr>
          <w:sz w:val="21"/>
        </w:rPr>
      </w:pPr>
      <w:r>
        <w:rPr>
          <w:spacing w:val="-3"/>
          <w:sz w:val="21"/>
        </w:rPr>
        <w:t>自然排烟窗</w:t>
      </w:r>
      <w:r>
        <w:rPr>
          <w:sz w:val="21"/>
        </w:rPr>
        <w:t>（</w:t>
      </w:r>
      <w:r>
        <w:rPr>
          <w:spacing w:val="-3"/>
          <w:sz w:val="21"/>
        </w:rPr>
        <w:t>口）应设置手动开启装置，设置在高位不便于直接开启的自然排烟窗</w:t>
      </w:r>
    </w:p>
    <w:p w14:paraId="3519284B" w14:textId="77777777" w:rsidR="00A71EEF" w:rsidRDefault="0081115D">
      <w:pPr>
        <w:pStyle w:val="a3"/>
        <w:spacing w:before="162" w:line="345" w:lineRule="auto"/>
        <w:ind w:left="418" w:right="1611"/>
      </w:pPr>
      <w:r>
        <w:t>（口）</w:t>
      </w:r>
      <w:r>
        <w:rPr>
          <w:spacing w:val="-8"/>
        </w:rPr>
        <w:t>，应设置距地面高度</w:t>
      </w:r>
      <w:r>
        <w:rPr>
          <w:spacing w:val="-8"/>
        </w:rPr>
        <w:t xml:space="preserve"> </w:t>
      </w:r>
      <w:r>
        <w:t>1.3</w:t>
      </w:r>
      <w:r>
        <w:rPr>
          <w:rFonts w:ascii="微软雅黑" w:eastAsia="微软雅黑" w:hint="eastAsia"/>
        </w:rPr>
        <w:t>〜</w:t>
      </w:r>
      <w:r>
        <w:t>1.5 m</w:t>
      </w:r>
      <w:r>
        <w:rPr>
          <w:spacing w:val="-12"/>
        </w:rPr>
        <w:t xml:space="preserve"> </w:t>
      </w:r>
      <w:r>
        <w:rPr>
          <w:spacing w:val="-12"/>
        </w:rPr>
        <w:t>的手动开启装置。净空高度大于</w:t>
      </w:r>
      <w:r>
        <w:rPr>
          <w:spacing w:val="-12"/>
        </w:rPr>
        <w:t xml:space="preserve"> </w:t>
      </w:r>
      <w:r>
        <w:t>9m</w:t>
      </w:r>
      <w:r>
        <w:rPr>
          <w:spacing w:val="-8"/>
        </w:rPr>
        <w:t xml:space="preserve"> </w:t>
      </w:r>
      <w:r>
        <w:rPr>
          <w:spacing w:val="-8"/>
        </w:rPr>
        <w:t>的中庭、建筑面积</w:t>
      </w:r>
      <w:r>
        <w:rPr>
          <w:spacing w:val="-21"/>
        </w:rPr>
        <w:t>大于</w:t>
      </w:r>
      <w:r>
        <w:rPr>
          <w:spacing w:val="-21"/>
        </w:rPr>
        <w:t xml:space="preserve"> </w:t>
      </w:r>
      <w:r>
        <w:t>2000m</w:t>
      </w:r>
      <w:r>
        <w:rPr>
          <w:position w:val="11"/>
          <w:sz w:val="11"/>
        </w:rPr>
        <w:t xml:space="preserve">2 </w:t>
      </w:r>
      <w:r>
        <w:rPr>
          <w:spacing w:val="-3"/>
        </w:rPr>
        <w:t>的营业厅、展览厅、多功能厅等场所，尚应设置集中手动开启装置和自动开启设</w:t>
      </w:r>
    </w:p>
    <w:p w14:paraId="212BA17C" w14:textId="77777777" w:rsidR="00A71EEF" w:rsidRDefault="0081115D">
      <w:pPr>
        <w:pStyle w:val="a3"/>
        <w:spacing w:before="113"/>
        <w:ind w:left="418"/>
      </w:pPr>
      <w:r>
        <w:t>施。</w:t>
      </w:r>
      <w:r>
        <w:t xml:space="preserve"> </w:t>
      </w:r>
    </w:p>
    <w:p w14:paraId="21DEDC87" w14:textId="77777777" w:rsidR="00A71EEF" w:rsidRDefault="00A71EEF">
      <w:pPr>
        <w:pStyle w:val="a3"/>
        <w:spacing w:before="2"/>
        <w:rPr>
          <w:sz w:val="17"/>
        </w:rPr>
      </w:pPr>
    </w:p>
    <w:p w14:paraId="7DBEEFA5" w14:textId="77777777" w:rsidR="00A71EEF" w:rsidRDefault="0081115D">
      <w:pPr>
        <w:pStyle w:val="a4"/>
        <w:numPr>
          <w:ilvl w:val="2"/>
          <w:numId w:val="109"/>
        </w:numPr>
        <w:tabs>
          <w:tab w:val="left" w:pos="1424"/>
        </w:tabs>
        <w:spacing w:line="446" w:lineRule="auto"/>
        <w:ind w:left="418" w:right="1608" w:firstLine="422"/>
        <w:jc w:val="both"/>
        <w:rPr>
          <w:sz w:val="21"/>
        </w:rPr>
      </w:pPr>
      <w:r>
        <w:rPr>
          <w:spacing w:val="-5"/>
          <w:sz w:val="21"/>
        </w:rPr>
        <w:t>除洁净厂房外，设置自然排烟系统的任一层建筑面积大于</w:t>
      </w:r>
      <w:r>
        <w:rPr>
          <w:spacing w:val="-5"/>
          <w:sz w:val="21"/>
        </w:rPr>
        <w:t xml:space="preserve"> </w:t>
      </w:r>
      <w:r>
        <w:rPr>
          <w:sz w:val="21"/>
        </w:rPr>
        <w:t>2500m</w:t>
      </w:r>
      <w:r>
        <w:rPr>
          <w:position w:val="11"/>
          <w:sz w:val="11"/>
        </w:rPr>
        <w:t>2</w:t>
      </w:r>
      <w:r>
        <w:rPr>
          <w:spacing w:val="-21"/>
          <w:position w:val="11"/>
          <w:sz w:val="11"/>
        </w:rPr>
        <w:t xml:space="preserve"> </w:t>
      </w:r>
      <w:r>
        <w:rPr>
          <w:spacing w:val="-3"/>
          <w:sz w:val="21"/>
        </w:rPr>
        <w:t>的制鞋、制衣、玩具、塑料、木器加</w:t>
      </w:r>
      <w:r>
        <w:rPr>
          <w:spacing w:val="-3"/>
          <w:sz w:val="21"/>
        </w:rPr>
        <w:t>工储存等丙类工业建筑，除自然排烟所需排烟窗</w:t>
      </w:r>
      <w:r>
        <w:rPr>
          <w:sz w:val="21"/>
        </w:rPr>
        <w:t>（</w:t>
      </w:r>
      <w:r>
        <w:rPr>
          <w:spacing w:val="-3"/>
          <w:sz w:val="21"/>
        </w:rPr>
        <w:t>口</w:t>
      </w:r>
      <w:r>
        <w:rPr>
          <w:sz w:val="21"/>
        </w:rPr>
        <w:t>）</w:t>
      </w:r>
      <w:r>
        <w:rPr>
          <w:spacing w:val="-3"/>
          <w:sz w:val="21"/>
        </w:rPr>
        <w:t>外，尚宜在屋面上增设可熔性采光带</w:t>
      </w:r>
      <w:r>
        <w:rPr>
          <w:sz w:val="21"/>
        </w:rPr>
        <w:t>（</w:t>
      </w:r>
      <w:r>
        <w:rPr>
          <w:spacing w:val="-3"/>
          <w:sz w:val="21"/>
        </w:rPr>
        <w:t>窗</w:t>
      </w:r>
      <w:r>
        <w:rPr>
          <w:sz w:val="21"/>
        </w:rPr>
        <w:t>）</w:t>
      </w:r>
      <w:r>
        <w:rPr>
          <w:spacing w:val="-3"/>
          <w:sz w:val="21"/>
        </w:rPr>
        <w:t>，其面积应符合下列规定：</w:t>
      </w:r>
      <w:r>
        <w:rPr>
          <w:sz w:val="21"/>
        </w:rPr>
        <w:t xml:space="preserve"> </w:t>
      </w:r>
    </w:p>
    <w:p w14:paraId="20FC8D85" w14:textId="77777777" w:rsidR="00A71EEF" w:rsidRDefault="0081115D">
      <w:pPr>
        <w:pStyle w:val="a3"/>
        <w:spacing w:line="446" w:lineRule="auto"/>
        <w:ind w:left="418" w:right="1817" w:firstLine="419"/>
        <w:jc w:val="both"/>
      </w:pPr>
      <w:r>
        <w:t>未设置自动喷水灭火系统的，或采用钢结构屋顶，或采用预应力钢筋混凝土屋面板的建筑，不应小于楼地面面积的</w:t>
      </w:r>
      <w:r>
        <w:t xml:space="preserve"> 10%</w:t>
      </w:r>
      <w:r>
        <w:t>；</w:t>
      </w:r>
      <w:r>
        <w:t xml:space="preserve"> </w:t>
      </w:r>
    </w:p>
    <w:p w14:paraId="13CDF578" w14:textId="77777777" w:rsidR="00A71EEF" w:rsidRDefault="0081115D">
      <w:pPr>
        <w:pStyle w:val="a3"/>
        <w:ind w:left="838"/>
        <w:jc w:val="both"/>
      </w:pPr>
      <w:r>
        <w:t>其他建筑不应小于楼地面面积的</w:t>
      </w:r>
      <w:r>
        <w:t xml:space="preserve"> 5%</w:t>
      </w:r>
      <w:r>
        <w:t>。</w:t>
      </w:r>
      <w:r>
        <w:t xml:space="preserve"> </w:t>
      </w:r>
    </w:p>
    <w:p w14:paraId="5F4EC160" w14:textId="77777777" w:rsidR="00A71EEF" w:rsidRDefault="00A71EEF">
      <w:pPr>
        <w:pStyle w:val="a3"/>
        <w:spacing w:before="11"/>
        <w:rPr>
          <w:sz w:val="17"/>
        </w:rPr>
      </w:pPr>
    </w:p>
    <w:p w14:paraId="6B5D7656" w14:textId="77777777" w:rsidR="00A71EEF" w:rsidRDefault="0081115D">
      <w:pPr>
        <w:pStyle w:val="a3"/>
        <w:spacing w:line="446" w:lineRule="auto"/>
        <w:ind w:left="840" w:right="4237" w:hanging="3"/>
      </w:pPr>
      <w:r>
        <w:t>注：可熔性采光带（窗）的有效面积应按其实际面积计算。</w:t>
      </w:r>
      <w:r>
        <w:rPr>
          <w:b/>
        </w:rPr>
        <w:t xml:space="preserve">4.4 </w:t>
      </w:r>
      <w:r>
        <w:t>机械排烟设施</w:t>
      </w:r>
      <w:r>
        <w:t xml:space="preserve"> </w:t>
      </w:r>
    </w:p>
    <w:p w14:paraId="7B91A1BF" w14:textId="77777777" w:rsidR="00A71EEF" w:rsidRDefault="0081115D">
      <w:pPr>
        <w:pStyle w:val="a4"/>
        <w:numPr>
          <w:ilvl w:val="2"/>
          <w:numId w:val="108"/>
        </w:numPr>
        <w:tabs>
          <w:tab w:val="left" w:pos="1424"/>
        </w:tabs>
        <w:spacing w:line="446" w:lineRule="auto"/>
        <w:ind w:right="1657" w:firstLine="422"/>
        <w:rPr>
          <w:sz w:val="21"/>
        </w:rPr>
      </w:pPr>
      <w:r>
        <w:rPr>
          <w:spacing w:val="-3"/>
          <w:sz w:val="21"/>
        </w:rPr>
        <w:t>当建筑的机械排烟系统沿水平方向布置时，每个防火分区的机械排烟系统应独立设置。</w:t>
      </w:r>
      <w:r>
        <w:rPr>
          <w:sz w:val="21"/>
        </w:rPr>
        <w:t xml:space="preserve"> </w:t>
      </w:r>
    </w:p>
    <w:p w14:paraId="1CF71ACB" w14:textId="77777777" w:rsidR="00A71EEF" w:rsidRDefault="0081115D">
      <w:pPr>
        <w:pStyle w:val="a4"/>
        <w:numPr>
          <w:ilvl w:val="2"/>
          <w:numId w:val="108"/>
        </w:numPr>
        <w:tabs>
          <w:tab w:val="left" w:pos="1424"/>
        </w:tabs>
        <w:spacing w:line="446" w:lineRule="auto"/>
        <w:ind w:right="1553" w:firstLine="422"/>
        <w:rPr>
          <w:sz w:val="21"/>
        </w:rPr>
      </w:pPr>
      <w:r>
        <w:rPr>
          <w:spacing w:val="-9"/>
          <w:sz w:val="21"/>
        </w:rPr>
        <w:t>建筑高度超过</w:t>
      </w:r>
      <w:r>
        <w:rPr>
          <w:spacing w:val="-9"/>
          <w:sz w:val="21"/>
        </w:rPr>
        <w:t xml:space="preserve"> </w:t>
      </w:r>
      <w:r>
        <w:rPr>
          <w:sz w:val="21"/>
        </w:rPr>
        <w:t>50m</w:t>
      </w:r>
      <w:r>
        <w:rPr>
          <w:spacing w:val="-11"/>
          <w:sz w:val="21"/>
        </w:rPr>
        <w:t xml:space="preserve"> </w:t>
      </w:r>
      <w:r>
        <w:rPr>
          <w:spacing w:val="-11"/>
          <w:sz w:val="21"/>
        </w:rPr>
        <w:t>的公共建筑和建筑高度超过</w:t>
      </w:r>
      <w:r>
        <w:rPr>
          <w:spacing w:val="-11"/>
          <w:sz w:val="21"/>
        </w:rPr>
        <w:t xml:space="preserve"> </w:t>
      </w:r>
      <w:r>
        <w:rPr>
          <w:sz w:val="21"/>
        </w:rPr>
        <w:t>100m</w:t>
      </w:r>
      <w:r>
        <w:rPr>
          <w:spacing w:val="-9"/>
          <w:sz w:val="21"/>
        </w:rPr>
        <w:t xml:space="preserve"> </w:t>
      </w:r>
      <w:r>
        <w:rPr>
          <w:spacing w:val="-9"/>
          <w:sz w:val="21"/>
        </w:rPr>
        <w:t>的住宅，其排烟系统应竖向分段</w:t>
      </w:r>
      <w:r>
        <w:rPr>
          <w:spacing w:val="-8"/>
          <w:sz w:val="21"/>
        </w:rPr>
        <w:t>独立设置，且公共建筑每段高度不应超过</w:t>
      </w:r>
      <w:r>
        <w:rPr>
          <w:spacing w:val="-8"/>
          <w:sz w:val="21"/>
        </w:rPr>
        <w:t xml:space="preserve"> </w:t>
      </w:r>
      <w:r>
        <w:rPr>
          <w:sz w:val="21"/>
        </w:rPr>
        <w:t>50m</w:t>
      </w:r>
      <w:r>
        <w:rPr>
          <w:spacing w:val="-7"/>
          <w:sz w:val="21"/>
        </w:rPr>
        <w:t>，住宅建筑每段高度不应超过</w:t>
      </w:r>
      <w:r>
        <w:rPr>
          <w:spacing w:val="-7"/>
          <w:sz w:val="21"/>
        </w:rPr>
        <w:t xml:space="preserve"> </w:t>
      </w:r>
      <w:r>
        <w:rPr>
          <w:sz w:val="21"/>
        </w:rPr>
        <w:t>100m</w:t>
      </w:r>
      <w:r>
        <w:rPr>
          <w:spacing w:val="-3"/>
          <w:sz w:val="21"/>
        </w:rPr>
        <w:t>。</w:t>
      </w:r>
      <w:r>
        <w:rPr>
          <w:sz w:val="21"/>
        </w:rPr>
        <w:t xml:space="preserve"> </w:t>
      </w:r>
    </w:p>
    <w:p w14:paraId="4ECBA1B5" w14:textId="77777777" w:rsidR="00A71EEF" w:rsidRDefault="0081115D">
      <w:pPr>
        <w:pStyle w:val="a4"/>
        <w:numPr>
          <w:ilvl w:val="2"/>
          <w:numId w:val="108"/>
        </w:numPr>
        <w:tabs>
          <w:tab w:val="left" w:pos="1424"/>
        </w:tabs>
        <w:spacing w:line="446" w:lineRule="auto"/>
        <w:ind w:right="1445" w:firstLine="422"/>
        <w:rPr>
          <w:sz w:val="21"/>
        </w:rPr>
      </w:pPr>
      <w:r>
        <w:rPr>
          <w:spacing w:val="-3"/>
          <w:sz w:val="21"/>
        </w:rPr>
        <w:t>排烟系统与通风、空气调节系统应分开设置；当确有困难时可以合用，但应符合排烟系统的要求，且当排烟口打开时，每个排烟合用系统的管道上需联动关闭的通风和空气调节系</w:t>
      </w:r>
      <w:r>
        <w:rPr>
          <w:spacing w:val="-3"/>
          <w:sz w:val="21"/>
        </w:rPr>
        <w:t xml:space="preserve"> </w:t>
      </w:r>
      <w:r>
        <w:rPr>
          <w:spacing w:val="-8"/>
          <w:sz w:val="21"/>
        </w:rPr>
        <w:t>统的控制阀门不应超过</w:t>
      </w:r>
      <w:r>
        <w:rPr>
          <w:spacing w:val="-8"/>
          <w:sz w:val="21"/>
        </w:rPr>
        <w:t xml:space="preserve"> </w:t>
      </w:r>
      <w:r>
        <w:rPr>
          <w:sz w:val="21"/>
        </w:rPr>
        <w:t>10</w:t>
      </w:r>
      <w:r>
        <w:rPr>
          <w:spacing w:val="-20"/>
          <w:sz w:val="21"/>
        </w:rPr>
        <w:t xml:space="preserve"> </w:t>
      </w:r>
      <w:r>
        <w:rPr>
          <w:spacing w:val="-20"/>
          <w:sz w:val="21"/>
        </w:rPr>
        <w:t>个。</w:t>
      </w:r>
      <w:r>
        <w:rPr>
          <w:sz w:val="21"/>
        </w:rPr>
        <w:t xml:space="preserve"> </w:t>
      </w:r>
    </w:p>
    <w:p w14:paraId="75076CED" w14:textId="77777777" w:rsidR="00A71EEF" w:rsidRDefault="0081115D">
      <w:pPr>
        <w:pStyle w:val="a4"/>
        <w:numPr>
          <w:ilvl w:val="2"/>
          <w:numId w:val="108"/>
        </w:numPr>
        <w:tabs>
          <w:tab w:val="left" w:pos="1424"/>
        </w:tabs>
        <w:spacing w:line="446" w:lineRule="auto"/>
        <w:ind w:right="1445" w:firstLine="422"/>
        <w:rPr>
          <w:sz w:val="21"/>
        </w:rPr>
      </w:pPr>
      <w:r>
        <w:rPr>
          <w:spacing w:val="-3"/>
          <w:sz w:val="21"/>
        </w:rPr>
        <w:t>排烟风机宜设置在排烟系统的最高处，烟气出口宜朝上，并应高于加压送风机和补风</w:t>
      </w:r>
      <w:r>
        <w:rPr>
          <w:spacing w:val="-5"/>
          <w:sz w:val="21"/>
        </w:rPr>
        <w:t>机的进风口，两者垂直距离或水平距离应符合本标准第</w:t>
      </w:r>
      <w:r>
        <w:rPr>
          <w:spacing w:val="-5"/>
          <w:sz w:val="21"/>
        </w:rPr>
        <w:t xml:space="preserve"> </w:t>
      </w:r>
      <w:r>
        <w:rPr>
          <w:sz w:val="21"/>
        </w:rPr>
        <w:t>3.3.5</w:t>
      </w:r>
      <w:r>
        <w:rPr>
          <w:spacing w:val="-28"/>
          <w:sz w:val="21"/>
        </w:rPr>
        <w:t xml:space="preserve"> </w:t>
      </w:r>
      <w:r>
        <w:rPr>
          <w:spacing w:val="-28"/>
          <w:sz w:val="21"/>
        </w:rPr>
        <w:t>条第</w:t>
      </w:r>
      <w:r>
        <w:rPr>
          <w:spacing w:val="-28"/>
          <w:sz w:val="21"/>
        </w:rPr>
        <w:t xml:space="preserve"> </w:t>
      </w:r>
      <w:r>
        <w:rPr>
          <w:sz w:val="21"/>
        </w:rPr>
        <w:t>3</w:t>
      </w:r>
      <w:r>
        <w:rPr>
          <w:spacing w:val="-10"/>
          <w:sz w:val="21"/>
        </w:rPr>
        <w:t xml:space="preserve"> </w:t>
      </w:r>
      <w:r>
        <w:rPr>
          <w:spacing w:val="-10"/>
          <w:sz w:val="21"/>
        </w:rPr>
        <w:t>款的规定。</w:t>
      </w:r>
      <w:r>
        <w:rPr>
          <w:spacing w:val="-10"/>
          <w:sz w:val="21"/>
        </w:rPr>
        <w:t xml:space="preserve"> </w:t>
      </w:r>
    </w:p>
    <w:p w14:paraId="38EAA793" w14:textId="77777777" w:rsidR="00A71EEF" w:rsidRDefault="00A71EEF">
      <w:pPr>
        <w:spacing w:line="446" w:lineRule="auto"/>
        <w:rPr>
          <w:sz w:val="21"/>
        </w:rPr>
        <w:sectPr w:rsidR="00A71EEF">
          <w:pgSz w:w="11910" w:h="16850"/>
          <w:pgMar w:top="1220" w:right="0" w:bottom="1420" w:left="1260" w:header="0" w:footer="1239" w:gutter="0"/>
          <w:cols w:space="720"/>
        </w:sectPr>
      </w:pPr>
    </w:p>
    <w:p w14:paraId="1D2B8666" w14:textId="77777777" w:rsidR="00A71EEF" w:rsidRDefault="0081115D">
      <w:pPr>
        <w:pStyle w:val="a4"/>
        <w:numPr>
          <w:ilvl w:val="2"/>
          <w:numId w:val="108"/>
        </w:numPr>
        <w:tabs>
          <w:tab w:val="left" w:pos="1371"/>
        </w:tabs>
        <w:spacing w:before="47" w:line="446" w:lineRule="auto"/>
        <w:ind w:right="1604" w:firstLine="422"/>
        <w:jc w:val="both"/>
        <w:rPr>
          <w:sz w:val="21"/>
        </w:rPr>
      </w:pPr>
      <w:r>
        <w:rPr>
          <w:spacing w:val="-5"/>
          <w:sz w:val="21"/>
        </w:rPr>
        <w:t>排烟风</w:t>
      </w:r>
      <w:r>
        <w:rPr>
          <w:spacing w:val="-5"/>
          <w:sz w:val="21"/>
        </w:rPr>
        <w:t>机应设置在专用机房内，并应符合本标准第</w:t>
      </w:r>
      <w:r>
        <w:rPr>
          <w:spacing w:val="-5"/>
          <w:sz w:val="21"/>
        </w:rPr>
        <w:t xml:space="preserve"> </w:t>
      </w:r>
      <w:r>
        <w:rPr>
          <w:sz w:val="21"/>
        </w:rPr>
        <w:t>3.3.5</w:t>
      </w:r>
      <w:r>
        <w:rPr>
          <w:spacing w:val="-25"/>
          <w:sz w:val="21"/>
        </w:rPr>
        <w:t xml:space="preserve"> </w:t>
      </w:r>
      <w:r>
        <w:rPr>
          <w:spacing w:val="-25"/>
          <w:sz w:val="21"/>
        </w:rPr>
        <w:t>条第</w:t>
      </w:r>
      <w:r>
        <w:rPr>
          <w:spacing w:val="-25"/>
          <w:sz w:val="21"/>
        </w:rPr>
        <w:t xml:space="preserve"> </w:t>
      </w:r>
      <w:r>
        <w:rPr>
          <w:sz w:val="21"/>
        </w:rPr>
        <w:t>5</w:t>
      </w:r>
      <w:r>
        <w:rPr>
          <w:spacing w:val="-9"/>
          <w:sz w:val="21"/>
        </w:rPr>
        <w:t xml:space="preserve"> </w:t>
      </w:r>
      <w:r>
        <w:rPr>
          <w:spacing w:val="-9"/>
          <w:sz w:val="21"/>
        </w:rPr>
        <w:t>款的规定，且风机</w:t>
      </w:r>
      <w:r>
        <w:rPr>
          <w:spacing w:val="-12"/>
          <w:sz w:val="21"/>
        </w:rPr>
        <w:t>两侧应有</w:t>
      </w:r>
      <w:r>
        <w:rPr>
          <w:spacing w:val="-12"/>
          <w:sz w:val="21"/>
        </w:rPr>
        <w:t xml:space="preserve"> </w:t>
      </w:r>
      <w:r>
        <w:rPr>
          <w:sz w:val="21"/>
        </w:rPr>
        <w:t>600mm</w:t>
      </w:r>
      <w:r>
        <w:rPr>
          <w:spacing w:val="-7"/>
          <w:sz w:val="21"/>
        </w:rPr>
        <w:t xml:space="preserve"> </w:t>
      </w:r>
      <w:r>
        <w:rPr>
          <w:spacing w:val="-7"/>
          <w:sz w:val="21"/>
        </w:rPr>
        <w:t>以上的空间。对于排烟系统与通风空气调节系统共用的系统，其排烟风机与排</w:t>
      </w:r>
      <w:r>
        <w:rPr>
          <w:spacing w:val="-5"/>
          <w:sz w:val="21"/>
        </w:rPr>
        <w:t>风风机的合用机房应符合下列规定：</w:t>
      </w:r>
      <w:r>
        <w:rPr>
          <w:sz w:val="21"/>
        </w:rPr>
        <w:t xml:space="preserve"> </w:t>
      </w:r>
    </w:p>
    <w:p w14:paraId="29CFC249" w14:textId="77777777" w:rsidR="00A71EEF" w:rsidRDefault="0081115D">
      <w:pPr>
        <w:pStyle w:val="a3"/>
        <w:spacing w:line="268" w:lineRule="exact"/>
        <w:ind w:left="838"/>
      </w:pPr>
      <w:r>
        <w:t>机房内应设置自动喷水灭火系统；</w:t>
      </w:r>
      <w:r>
        <w:t xml:space="preserve"> </w:t>
      </w:r>
    </w:p>
    <w:p w14:paraId="225D2C15" w14:textId="77777777" w:rsidR="00A71EEF" w:rsidRDefault="00A71EEF">
      <w:pPr>
        <w:pStyle w:val="a3"/>
        <w:rPr>
          <w:sz w:val="18"/>
        </w:rPr>
      </w:pPr>
    </w:p>
    <w:p w14:paraId="6B70F8FE" w14:textId="77777777" w:rsidR="00A71EEF" w:rsidRDefault="0081115D">
      <w:pPr>
        <w:pStyle w:val="a3"/>
        <w:ind w:left="838"/>
      </w:pPr>
      <w:r>
        <w:t>机房内不得设置用于机械加压送风的风机与管道；</w:t>
      </w:r>
      <w:r>
        <w:t xml:space="preserve"> </w:t>
      </w:r>
    </w:p>
    <w:p w14:paraId="680D2088" w14:textId="77777777" w:rsidR="00A71EEF" w:rsidRDefault="00A71EEF">
      <w:pPr>
        <w:pStyle w:val="a3"/>
        <w:spacing w:before="12"/>
        <w:rPr>
          <w:sz w:val="17"/>
        </w:rPr>
      </w:pPr>
    </w:p>
    <w:p w14:paraId="5AA5EFC6" w14:textId="77777777" w:rsidR="00A71EEF" w:rsidRDefault="0081115D">
      <w:pPr>
        <w:pStyle w:val="a3"/>
        <w:ind w:left="838"/>
        <w:jc w:val="both"/>
      </w:pPr>
      <w:r>
        <w:t>排烟风机与排烟管道的连接部件应能在</w:t>
      </w:r>
      <w:r>
        <w:t xml:space="preserve"> 280℃</w:t>
      </w:r>
      <w:r>
        <w:t>时连续</w:t>
      </w:r>
      <w:r>
        <w:t xml:space="preserve"> 30min </w:t>
      </w:r>
      <w:r>
        <w:t>保证其结构完整性。</w:t>
      </w:r>
      <w:r>
        <w:t xml:space="preserve"> </w:t>
      </w:r>
    </w:p>
    <w:p w14:paraId="2AEC6E20" w14:textId="77777777" w:rsidR="00A71EEF" w:rsidRDefault="00A71EEF">
      <w:pPr>
        <w:pStyle w:val="a3"/>
        <w:spacing w:before="2"/>
        <w:rPr>
          <w:sz w:val="18"/>
        </w:rPr>
      </w:pPr>
    </w:p>
    <w:p w14:paraId="4B498A61" w14:textId="77777777" w:rsidR="00A71EEF" w:rsidRDefault="0081115D">
      <w:pPr>
        <w:pStyle w:val="a4"/>
        <w:numPr>
          <w:ilvl w:val="2"/>
          <w:numId w:val="108"/>
        </w:numPr>
        <w:tabs>
          <w:tab w:val="left" w:pos="1424"/>
        </w:tabs>
        <w:spacing w:line="446" w:lineRule="auto"/>
        <w:ind w:right="1498" w:firstLine="422"/>
        <w:jc w:val="both"/>
        <w:rPr>
          <w:sz w:val="21"/>
        </w:rPr>
      </w:pPr>
      <w:r>
        <w:rPr>
          <w:spacing w:val="-8"/>
          <w:sz w:val="21"/>
        </w:rPr>
        <w:t>排烟风机应满足</w:t>
      </w:r>
      <w:r>
        <w:rPr>
          <w:spacing w:val="-8"/>
          <w:sz w:val="21"/>
        </w:rPr>
        <w:t xml:space="preserve"> </w:t>
      </w:r>
      <w:r>
        <w:rPr>
          <w:sz w:val="21"/>
        </w:rPr>
        <w:t>280</w:t>
      </w:r>
      <w:r>
        <w:rPr>
          <w:spacing w:val="-8"/>
          <w:sz w:val="21"/>
        </w:rPr>
        <w:t>℃</w:t>
      </w:r>
      <w:r>
        <w:rPr>
          <w:spacing w:val="-8"/>
          <w:sz w:val="21"/>
        </w:rPr>
        <w:t>时连续工作</w:t>
      </w:r>
      <w:r>
        <w:rPr>
          <w:spacing w:val="-8"/>
          <w:sz w:val="21"/>
        </w:rPr>
        <w:t xml:space="preserve"> </w:t>
      </w:r>
      <w:r>
        <w:rPr>
          <w:sz w:val="21"/>
        </w:rPr>
        <w:t>30min</w:t>
      </w:r>
      <w:r>
        <w:rPr>
          <w:spacing w:val="-8"/>
          <w:sz w:val="21"/>
        </w:rPr>
        <w:t xml:space="preserve"> </w:t>
      </w:r>
      <w:r>
        <w:rPr>
          <w:spacing w:val="-8"/>
          <w:sz w:val="21"/>
        </w:rPr>
        <w:t>的要求，排烟风机应与风机入口处的排烟防</w:t>
      </w:r>
      <w:r>
        <w:rPr>
          <w:spacing w:val="-5"/>
          <w:sz w:val="21"/>
        </w:rPr>
        <w:t>火阀连锁，当该阀关闭时，排烟风机应能停止运转。</w:t>
      </w:r>
      <w:r>
        <w:rPr>
          <w:spacing w:val="-5"/>
          <w:sz w:val="21"/>
        </w:rPr>
        <w:t xml:space="preserve"> </w:t>
      </w:r>
    </w:p>
    <w:p w14:paraId="5F4E9363" w14:textId="77777777" w:rsidR="00A71EEF" w:rsidRDefault="0081115D">
      <w:pPr>
        <w:pStyle w:val="a4"/>
        <w:numPr>
          <w:ilvl w:val="2"/>
          <w:numId w:val="108"/>
        </w:numPr>
        <w:tabs>
          <w:tab w:val="left" w:pos="1424"/>
        </w:tabs>
        <w:spacing w:line="446" w:lineRule="auto"/>
        <w:ind w:right="1445" w:firstLine="422"/>
        <w:jc w:val="both"/>
        <w:rPr>
          <w:sz w:val="21"/>
        </w:rPr>
      </w:pPr>
      <w:r>
        <w:rPr>
          <w:spacing w:val="-3"/>
          <w:sz w:val="21"/>
        </w:rPr>
        <w:t>机械排烟系统应采用管道排烟，且不应采用土建风道。排烟管道应采用不燃材料制作</w:t>
      </w:r>
      <w:r>
        <w:rPr>
          <w:spacing w:val="-4"/>
          <w:sz w:val="21"/>
        </w:rPr>
        <w:t>且内壁应光滑。当排烟管道内壁为金属时，管道设计风速不应大于</w:t>
      </w:r>
      <w:r>
        <w:rPr>
          <w:spacing w:val="-4"/>
          <w:sz w:val="21"/>
        </w:rPr>
        <w:t xml:space="preserve"> </w:t>
      </w:r>
      <w:r>
        <w:rPr>
          <w:sz w:val="21"/>
        </w:rPr>
        <w:t>20m/s</w:t>
      </w:r>
      <w:r>
        <w:rPr>
          <w:spacing w:val="-3"/>
          <w:sz w:val="21"/>
        </w:rPr>
        <w:t>；当排烟管道内壁为非</w:t>
      </w:r>
      <w:r>
        <w:rPr>
          <w:spacing w:val="-5"/>
          <w:sz w:val="21"/>
        </w:rPr>
        <w:t>金属时，管道设计风速不应大于</w:t>
      </w:r>
      <w:r>
        <w:rPr>
          <w:spacing w:val="-5"/>
          <w:sz w:val="21"/>
        </w:rPr>
        <w:t xml:space="preserve"> </w:t>
      </w:r>
      <w:r>
        <w:rPr>
          <w:sz w:val="21"/>
        </w:rPr>
        <w:t>15m/s</w:t>
      </w:r>
      <w:r>
        <w:rPr>
          <w:spacing w:val="-3"/>
          <w:sz w:val="21"/>
        </w:rPr>
        <w:t>；排烟管道的厚度应按现行国家标准《通风与空调工程施工质量验收规范》</w:t>
      </w:r>
      <w:r>
        <w:rPr>
          <w:sz w:val="21"/>
        </w:rPr>
        <w:t>GB 50243</w:t>
      </w:r>
      <w:r>
        <w:rPr>
          <w:spacing w:val="-9"/>
          <w:sz w:val="21"/>
        </w:rPr>
        <w:t xml:space="preserve"> </w:t>
      </w:r>
      <w:r>
        <w:rPr>
          <w:spacing w:val="-9"/>
          <w:sz w:val="21"/>
        </w:rPr>
        <w:t>的有关规定执行。</w:t>
      </w:r>
      <w:r>
        <w:rPr>
          <w:sz w:val="21"/>
        </w:rPr>
        <w:t xml:space="preserve"> </w:t>
      </w:r>
    </w:p>
    <w:p w14:paraId="6479293C" w14:textId="77777777" w:rsidR="00A71EEF" w:rsidRDefault="0081115D">
      <w:pPr>
        <w:pStyle w:val="a4"/>
        <w:numPr>
          <w:ilvl w:val="2"/>
          <w:numId w:val="108"/>
        </w:numPr>
        <w:tabs>
          <w:tab w:val="left" w:pos="1424"/>
        </w:tabs>
        <w:spacing w:line="269" w:lineRule="exact"/>
        <w:ind w:left="1423"/>
        <w:jc w:val="both"/>
        <w:rPr>
          <w:sz w:val="21"/>
        </w:rPr>
      </w:pPr>
      <w:r>
        <w:rPr>
          <w:spacing w:val="-3"/>
          <w:sz w:val="21"/>
        </w:rPr>
        <w:t>排烟管道的设置和耐火极限应符合下列规定：</w:t>
      </w:r>
      <w:r>
        <w:rPr>
          <w:spacing w:val="-3"/>
          <w:sz w:val="21"/>
        </w:rPr>
        <w:t xml:space="preserve"> </w:t>
      </w:r>
    </w:p>
    <w:p w14:paraId="172FCEB2" w14:textId="77777777" w:rsidR="00A71EEF" w:rsidRDefault="00A71EEF">
      <w:pPr>
        <w:pStyle w:val="a3"/>
        <w:spacing w:before="11"/>
        <w:rPr>
          <w:sz w:val="17"/>
        </w:rPr>
      </w:pPr>
    </w:p>
    <w:p w14:paraId="20194BB9" w14:textId="77777777" w:rsidR="00A71EEF" w:rsidRDefault="0081115D">
      <w:pPr>
        <w:pStyle w:val="a3"/>
        <w:ind w:left="838"/>
        <w:jc w:val="both"/>
      </w:pPr>
      <w:r>
        <w:t>排烟管道及其连接部件应能在</w:t>
      </w:r>
      <w:r>
        <w:t xml:space="preserve"> 280℃</w:t>
      </w:r>
      <w:r>
        <w:t>时连续</w:t>
      </w:r>
      <w:r>
        <w:t xml:space="preserve"> 30min </w:t>
      </w:r>
      <w:r>
        <w:t>保证其结构完整性。</w:t>
      </w:r>
      <w:r>
        <w:t xml:space="preserve"> </w:t>
      </w:r>
    </w:p>
    <w:p w14:paraId="057AAF82" w14:textId="77777777" w:rsidR="00A71EEF" w:rsidRDefault="00A71EEF">
      <w:pPr>
        <w:pStyle w:val="a3"/>
        <w:spacing w:before="12"/>
        <w:rPr>
          <w:sz w:val="17"/>
        </w:rPr>
      </w:pPr>
    </w:p>
    <w:p w14:paraId="4EABC3A6" w14:textId="77777777" w:rsidR="00A71EEF" w:rsidRDefault="0081115D">
      <w:pPr>
        <w:pStyle w:val="a3"/>
        <w:ind w:left="838"/>
      </w:pPr>
      <w:r>
        <w:t>竖向设置的排烟管道应设置在独立的管道井内，排烟管道的耐火极限不应低于</w:t>
      </w:r>
      <w:r>
        <w:t xml:space="preserve"> 0.50h</w:t>
      </w:r>
      <w:r>
        <w:t>。</w:t>
      </w:r>
      <w:r>
        <w:t xml:space="preserve"> </w:t>
      </w:r>
    </w:p>
    <w:p w14:paraId="2E7DA4B4" w14:textId="77777777" w:rsidR="00A71EEF" w:rsidRDefault="00A71EEF">
      <w:pPr>
        <w:pStyle w:val="a3"/>
        <w:spacing w:before="2"/>
        <w:rPr>
          <w:sz w:val="18"/>
        </w:rPr>
      </w:pPr>
    </w:p>
    <w:p w14:paraId="2524485C" w14:textId="77777777" w:rsidR="00A71EEF" w:rsidRDefault="0081115D">
      <w:pPr>
        <w:pStyle w:val="a3"/>
        <w:spacing w:line="446" w:lineRule="auto"/>
        <w:ind w:left="418" w:right="1391" w:firstLine="419"/>
      </w:pPr>
      <w:r>
        <w:t>水平设置的排烟管道应设置在吊顶内，其耐火极限不应低于</w:t>
      </w:r>
      <w:r>
        <w:t xml:space="preserve"> 0.50h</w:t>
      </w:r>
      <w:r>
        <w:t>；当确有困难时，可直接设置在室内，但管道的耐火极限不应小于</w:t>
      </w:r>
      <w:r>
        <w:t xml:space="preserve"> 1.00h</w:t>
      </w:r>
      <w:r>
        <w:t>。</w:t>
      </w:r>
      <w:r>
        <w:t xml:space="preserve"> </w:t>
      </w:r>
    </w:p>
    <w:p w14:paraId="7BF8C962" w14:textId="77777777" w:rsidR="00A71EEF" w:rsidRDefault="0081115D">
      <w:pPr>
        <w:pStyle w:val="a3"/>
        <w:spacing w:line="446" w:lineRule="auto"/>
        <w:ind w:left="418" w:right="1609" w:firstLine="419"/>
      </w:pPr>
      <w:r>
        <w:t>设置在走道部位吊顶内的排烟管道，以及穿越防火分区的排烟管道，其管道的耐火极限不应小于</w:t>
      </w:r>
      <w:r>
        <w:t xml:space="preserve"> 1.00h</w:t>
      </w:r>
      <w:r>
        <w:t>，但设备用房和汽车库的排烟管道耐火极限可不低于</w:t>
      </w:r>
      <w:r>
        <w:t xml:space="preserve"> 0.50h</w:t>
      </w:r>
      <w:r>
        <w:t>。</w:t>
      </w:r>
      <w:r>
        <w:t xml:space="preserve"> </w:t>
      </w:r>
    </w:p>
    <w:p w14:paraId="1252BE3F" w14:textId="77777777" w:rsidR="00A71EEF" w:rsidRDefault="0081115D">
      <w:pPr>
        <w:pStyle w:val="a4"/>
        <w:numPr>
          <w:ilvl w:val="2"/>
          <w:numId w:val="108"/>
        </w:numPr>
        <w:tabs>
          <w:tab w:val="left" w:pos="1424"/>
        </w:tabs>
        <w:spacing w:line="446" w:lineRule="auto"/>
        <w:ind w:right="1445" w:firstLine="422"/>
        <w:rPr>
          <w:sz w:val="21"/>
        </w:rPr>
      </w:pPr>
      <w:r>
        <w:rPr>
          <w:spacing w:val="-3"/>
          <w:sz w:val="21"/>
        </w:rPr>
        <w:t>当吊顶内有可燃物时，吊顶内的排烟管道应采用不燃材料进行隔热，并应与可燃物保</w:t>
      </w:r>
      <w:r>
        <w:rPr>
          <w:spacing w:val="-13"/>
          <w:sz w:val="21"/>
        </w:rPr>
        <w:t>持不小于</w:t>
      </w:r>
      <w:r>
        <w:rPr>
          <w:spacing w:val="-13"/>
          <w:sz w:val="21"/>
        </w:rPr>
        <w:t xml:space="preserve"> </w:t>
      </w:r>
      <w:r>
        <w:rPr>
          <w:sz w:val="21"/>
        </w:rPr>
        <w:t>150mm</w:t>
      </w:r>
      <w:r>
        <w:rPr>
          <w:spacing w:val="-12"/>
          <w:sz w:val="21"/>
        </w:rPr>
        <w:t xml:space="preserve"> </w:t>
      </w:r>
      <w:r>
        <w:rPr>
          <w:spacing w:val="-12"/>
          <w:sz w:val="21"/>
        </w:rPr>
        <w:t>的距离。</w:t>
      </w:r>
      <w:r>
        <w:rPr>
          <w:spacing w:val="-12"/>
          <w:sz w:val="21"/>
        </w:rPr>
        <w:t xml:space="preserve"> </w:t>
      </w:r>
    </w:p>
    <w:p w14:paraId="0B59444B" w14:textId="77777777" w:rsidR="00A71EEF" w:rsidRDefault="0081115D">
      <w:pPr>
        <w:pStyle w:val="a4"/>
        <w:numPr>
          <w:ilvl w:val="2"/>
          <w:numId w:val="108"/>
        </w:numPr>
        <w:tabs>
          <w:tab w:val="left" w:pos="1478"/>
        </w:tabs>
        <w:spacing w:line="446" w:lineRule="auto"/>
        <w:ind w:left="838" w:right="5288" w:firstLine="2"/>
        <w:rPr>
          <w:sz w:val="21"/>
        </w:rPr>
      </w:pPr>
      <w:r>
        <w:rPr>
          <w:spacing w:val="-2"/>
          <w:sz w:val="21"/>
        </w:rPr>
        <w:t>排烟管道下列部位</w:t>
      </w:r>
      <w:r>
        <w:rPr>
          <w:spacing w:val="-2"/>
          <w:sz w:val="21"/>
        </w:rPr>
        <w:t>应设置排烟防火阀：</w:t>
      </w:r>
      <w:r>
        <w:rPr>
          <w:spacing w:val="-2"/>
          <w:sz w:val="21"/>
        </w:rPr>
        <w:t xml:space="preserve"> </w:t>
      </w:r>
      <w:r>
        <w:rPr>
          <w:spacing w:val="-2"/>
          <w:sz w:val="21"/>
        </w:rPr>
        <w:t>垂直风管与每层水平风管交接处的水平管段上；</w:t>
      </w:r>
      <w:r>
        <w:rPr>
          <w:spacing w:val="-2"/>
          <w:sz w:val="21"/>
        </w:rPr>
        <w:t xml:space="preserve"> </w:t>
      </w:r>
      <w:r>
        <w:rPr>
          <w:spacing w:val="-2"/>
          <w:sz w:val="21"/>
        </w:rPr>
        <w:t>一个排烟系统负担多个防烟分区的排烟支管上；</w:t>
      </w:r>
      <w:r>
        <w:rPr>
          <w:spacing w:val="-2"/>
          <w:sz w:val="21"/>
        </w:rPr>
        <w:t xml:space="preserve"> </w:t>
      </w:r>
      <w:r>
        <w:rPr>
          <w:spacing w:val="-2"/>
          <w:sz w:val="21"/>
        </w:rPr>
        <w:t>排</w:t>
      </w:r>
      <w:r>
        <w:rPr>
          <w:spacing w:val="-3"/>
          <w:sz w:val="21"/>
        </w:rPr>
        <w:t>烟风机入口处；</w:t>
      </w:r>
      <w:r>
        <w:rPr>
          <w:sz w:val="21"/>
        </w:rPr>
        <w:t xml:space="preserve"> </w:t>
      </w:r>
    </w:p>
    <w:p w14:paraId="7A9D96B5" w14:textId="77777777" w:rsidR="00A71EEF" w:rsidRDefault="0081115D">
      <w:pPr>
        <w:pStyle w:val="a3"/>
        <w:spacing w:line="267" w:lineRule="exact"/>
        <w:ind w:left="838"/>
      </w:pPr>
      <w:r>
        <w:t>穿越防火分区处。</w:t>
      </w:r>
      <w:r>
        <w:t xml:space="preserve"> </w:t>
      </w:r>
    </w:p>
    <w:p w14:paraId="0AAB9711" w14:textId="77777777" w:rsidR="00A71EEF" w:rsidRDefault="00A71EEF">
      <w:pPr>
        <w:pStyle w:val="a3"/>
        <w:spacing w:before="10"/>
        <w:rPr>
          <w:sz w:val="17"/>
        </w:rPr>
      </w:pPr>
    </w:p>
    <w:p w14:paraId="73CF1DA5" w14:textId="77777777" w:rsidR="00A71EEF" w:rsidRDefault="0081115D">
      <w:pPr>
        <w:pStyle w:val="a4"/>
        <w:numPr>
          <w:ilvl w:val="2"/>
          <w:numId w:val="108"/>
        </w:numPr>
        <w:tabs>
          <w:tab w:val="left" w:pos="1478"/>
        </w:tabs>
        <w:spacing w:line="446" w:lineRule="auto"/>
        <w:ind w:right="1496" w:firstLine="422"/>
        <w:rPr>
          <w:sz w:val="21"/>
        </w:rPr>
      </w:pPr>
      <w:r>
        <w:rPr>
          <w:spacing w:val="-5"/>
          <w:sz w:val="21"/>
        </w:rPr>
        <w:t>设置排烟管道的管道井应采用耐火极限不小于</w:t>
      </w:r>
      <w:r>
        <w:rPr>
          <w:spacing w:val="-5"/>
          <w:sz w:val="21"/>
        </w:rPr>
        <w:t xml:space="preserve"> </w:t>
      </w:r>
      <w:r>
        <w:rPr>
          <w:sz w:val="21"/>
        </w:rPr>
        <w:t>1.00h</w:t>
      </w:r>
      <w:r>
        <w:rPr>
          <w:spacing w:val="-8"/>
          <w:sz w:val="21"/>
        </w:rPr>
        <w:t xml:space="preserve"> </w:t>
      </w:r>
      <w:r>
        <w:rPr>
          <w:spacing w:val="-8"/>
          <w:sz w:val="21"/>
        </w:rPr>
        <w:t>的隔墙与相邻区域分隔；当墙</w:t>
      </w:r>
      <w:r>
        <w:rPr>
          <w:spacing w:val="-5"/>
          <w:sz w:val="21"/>
        </w:rPr>
        <w:t>上必须设置检修门时，应采用乙级防火门。</w:t>
      </w:r>
      <w:r>
        <w:rPr>
          <w:sz w:val="21"/>
        </w:rPr>
        <w:t xml:space="preserve"> </w:t>
      </w:r>
    </w:p>
    <w:p w14:paraId="6BB1452A" w14:textId="77777777" w:rsidR="00A71EEF" w:rsidRDefault="00A71EEF">
      <w:pPr>
        <w:spacing w:line="446" w:lineRule="auto"/>
        <w:rPr>
          <w:sz w:val="21"/>
        </w:rPr>
        <w:sectPr w:rsidR="00A71EEF">
          <w:pgSz w:w="11910" w:h="16850"/>
          <w:pgMar w:top="1220" w:right="0" w:bottom="1420" w:left="1260" w:header="0" w:footer="1239" w:gutter="0"/>
          <w:cols w:space="720"/>
        </w:sectPr>
      </w:pPr>
    </w:p>
    <w:p w14:paraId="0AB750C6" w14:textId="77777777" w:rsidR="00A71EEF" w:rsidRDefault="0081115D">
      <w:pPr>
        <w:pStyle w:val="a4"/>
        <w:numPr>
          <w:ilvl w:val="2"/>
          <w:numId w:val="108"/>
        </w:numPr>
        <w:tabs>
          <w:tab w:val="left" w:pos="1478"/>
        </w:tabs>
        <w:spacing w:before="47" w:line="446" w:lineRule="auto"/>
        <w:ind w:right="1445" w:firstLine="422"/>
        <w:rPr>
          <w:sz w:val="21"/>
        </w:rPr>
      </w:pPr>
      <w:r>
        <w:rPr>
          <w:spacing w:val="-2"/>
          <w:sz w:val="21"/>
        </w:rPr>
        <w:t>排烟口的设置应按本标准第</w:t>
      </w:r>
      <w:r>
        <w:rPr>
          <w:spacing w:val="-2"/>
          <w:sz w:val="21"/>
        </w:rPr>
        <w:t xml:space="preserve"> </w:t>
      </w:r>
      <w:r>
        <w:rPr>
          <w:sz w:val="21"/>
        </w:rPr>
        <w:t>4.6.3</w:t>
      </w:r>
      <w:r>
        <w:rPr>
          <w:spacing w:val="-8"/>
          <w:sz w:val="21"/>
        </w:rPr>
        <w:t xml:space="preserve"> </w:t>
      </w:r>
      <w:r>
        <w:rPr>
          <w:spacing w:val="-8"/>
          <w:sz w:val="21"/>
        </w:rPr>
        <w:t>条经计算确定，且防烟分区内任一点与最近的排烟口之间的水平距离不应大于</w:t>
      </w:r>
      <w:r>
        <w:rPr>
          <w:spacing w:val="-8"/>
          <w:sz w:val="21"/>
        </w:rPr>
        <w:t xml:space="preserve"> </w:t>
      </w:r>
      <w:r>
        <w:rPr>
          <w:sz w:val="21"/>
        </w:rPr>
        <w:t>30m</w:t>
      </w:r>
      <w:r>
        <w:rPr>
          <w:spacing w:val="-10"/>
          <w:sz w:val="21"/>
        </w:rPr>
        <w:t>。除本标准第</w:t>
      </w:r>
      <w:r>
        <w:rPr>
          <w:spacing w:val="-10"/>
          <w:sz w:val="21"/>
        </w:rPr>
        <w:t xml:space="preserve"> </w:t>
      </w:r>
      <w:r>
        <w:rPr>
          <w:sz w:val="21"/>
        </w:rPr>
        <w:t>4.4.13</w:t>
      </w:r>
      <w:r>
        <w:rPr>
          <w:spacing w:val="-8"/>
          <w:sz w:val="21"/>
        </w:rPr>
        <w:t xml:space="preserve"> </w:t>
      </w:r>
      <w:r>
        <w:rPr>
          <w:spacing w:val="-8"/>
          <w:sz w:val="21"/>
        </w:rPr>
        <w:t>条规定的情况以外，排烟口的设置尚应</w:t>
      </w:r>
      <w:r>
        <w:rPr>
          <w:spacing w:val="-5"/>
          <w:sz w:val="21"/>
        </w:rPr>
        <w:t>符合下列规定：</w:t>
      </w:r>
      <w:r>
        <w:rPr>
          <w:sz w:val="21"/>
        </w:rPr>
        <w:t xml:space="preserve"> </w:t>
      </w:r>
    </w:p>
    <w:p w14:paraId="35A280CA" w14:textId="77777777" w:rsidR="00A71EEF" w:rsidRDefault="0081115D">
      <w:pPr>
        <w:pStyle w:val="a3"/>
        <w:spacing w:line="268" w:lineRule="exact"/>
        <w:ind w:left="838"/>
      </w:pPr>
      <w:r>
        <w:t>排烟口宜设置在顶棚或靠近顶棚的墙面上。</w:t>
      </w:r>
      <w:r>
        <w:t xml:space="preserve"> </w:t>
      </w:r>
    </w:p>
    <w:p w14:paraId="36339C73" w14:textId="77777777" w:rsidR="00A71EEF" w:rsidRDefault="00A71EEF">
      <w:pPr>
        <w:pStyle w:val="a3"/>
        <w:rPr>
          <w:sz w:val="18"/>
        </w:rPr>
      </w:pPr>
    </w:p>
    <w:p w14:paraId="7505C429" w14:textId="77777777" w:rsidR="00A71EEF" w:rsidRDefault="0081115D">
      <w:pPr>
        <w:pStyle w:val="a3"/>
        <w:spacing w:line="446" w:lineRule="auto"/>
        <w:ind w:left="418" w:right="1505" w:firstLine="419"/>
      </w:pPr>
      <w:r>
        <w:rPr>
          <w:spacing w:val="-5"/>
        </w:rPr>
        <w:t>排烟口应设在储烟仓内，但走道、室内空间净高不大于</w:t>
      </w:r>
      <w:r>
        <w:rPr>
          <w:spacing w:val="-5"/>
        </w:rPr>
        <w:t xml:space="preserve"> </w:t>
      </w:r>
      <w:r>
        <w:t>3m</w:t>
      </w:r>
      <w:r>
        <w:rPr>
          <w:spacing w:val="-7"/>
        </w:rPr>
        <w:t xml:space="preserve"> </w:t>
      </w:r>
      <w:r>
        <w:rPr>
          <w:spacing w:val="-7"/>
        </w:rPr>
        <w:t>的区域，其排烟口可设置在其净</w:t>
      </w:r>
      <w:r>
        <w:rPr>
          <w:spacing w:val="-15"/>
        </w:rPr>
        <w:t>空高度的</w:t>
      </w:r>
      <w:r>
        <w:rPr>
          <w:spacing w:val="-15"/>
        </w:rPr>
        <w:t xml:space="preserve"> </w:t>
      </w:r>
      <w:r>
        <w:t>1/2</w:t>
      </w:r>
      <w:r>
        <w:rPr>
          <w:spacing w:val="-11"/>
        </w:rPr>
        <w:t xml:space="preserve"> </w:t>
      </w:r>
      <w:r>
        <w:rPr>
          <w:spacing w:val="-11"/>
        </w:rPr>
        <w:t>以上；当设置在侧墙时，吊顶与其最近边缘的距离不应大于</w:t>
      </w:r>
      <w:r>
        <w:rPr>
          <w:spacing w:val="-11"/>
        </w:rPr>
        <w:t xml:space="preserve"> </w:t>
      </w:r>
      <w:r>
        <w:t>0.5m</w:t>
      </w:r>
      <w:r>
        <w:t>。</w:t>
      </w:r>
      <w:r>
        <w:t xml:space="preserve"> </w:t>
      </w:r>
    </w:p>
    <w:p w14:paraId="794357AC" w14:textId="77777777" w:rsidR="00A71EEF" w:rsidRDefault="0081115D">
      <w:pPr>
        <w:pStyle w:val="a3"/>
        <w:ind w:left="838"/>
      </w:pPr>
      <w:r>
        <w:t>对于需要设置机械排烟系统的房间，当其建筑面积小于</w:t>
      </w:r>
      <w:r>
        <w:t xml:space="preserve"> 50 </w:t>
      </w:r>
      <w:r>
        <w:t>㎡时，可通过走道排烟，排烟口</w:t>
      </w:r>
    </w:p>
    <w:p w14:paraId="27874836" w14:textId="77777777" w:rsidR="00A71EEF" w:rsidRDefault="00A71EEF">
      <w:pPr>
        <w:pStyle w:val="a3"/>
        <w:rPr>
          <w:sz w:val="18"/>
        </w:rPr>
      </w:pPr>
    </w:p>
    <w:p w14:paraId="0BEA1AA9" w14:textId="77777777" w:rsidR="00A71EEF" w:rsidRDefault="0081115D">
      <w:pPr>
        <w:pStyle w:val="a3"/>
        <w:ind w:left="418"/>
      </w:pPr>
      <w:r>
        <w:t>可设置在疏散走道；排烟量应按本标准第</w:t>
      </w:r>
      <w:r>
        <w:t xml:space="preserve"> 4.6.3 </w:t>
      </w:r>
      <w:r>
        <w:t>条第</w:t>
      </w:r>
      <w:r>
        <w:t xml:space="preserve"> 3 </w:t>
      </w:r>
      <w:r>
        <w:t>款计算。</w:t>
      </w:r>
      <w:r>
        <w:t xml:space="preserve"> </w:t>
      </w:r>
    </w:p>
    <w:p w14:paraId="2F0D6D1C" w14:textId="77777777" w:rsidR="00A71EEF" w:rsidRDefault="00A71EEF">
      <w:pPr>
        <w:pStyle w:val="a3"/>
        <w:spacing w:before="12"/>
        <w:rPr>
          <w:sz w:val="17"/>
        </w:rPr>
      </w:pPr>
    </w:p>
    <w:p w14:paraId="311F88FD" w14:textId="77777777" w:rsidR="00A71EEF" w:rsidRDefault="0081115D">
      <w:pPr>
        <w:pStyle w:val="a3"/>
        <w:spacing w:line="446" w:lineRule="auto"/>
        <w:ind w:left="418" w:right="1609" w:firstLine="419"/>
      </w:pPr>
      <w:r>
        <w:t>火灾时由火灾自动报警系统联动开启排烟区域的排烟阀或排烟口，应在现场设置手动开启装置</w:t>
      </w:r>
      <w:r>
        <w:t>。</w:t>
      </w:r>
      <w:r>
        <w:t xml:space="preserve"> </w:t>
      </w:r>
    </w:p>
    <w:p w14:paraId="21D72622" w14:textId="77777777" w:rsidR="00A71EEF" w:rsidRDefault="0081115D">
      <w:pPr>
        <w:pStyle w:val="a3"/>
        <w:spacing w:line="446" w:lineRule="auto"/>
        <w:ind w:left="418" w:right="1609" w:firstLine="419"/>
      </w:pPr>
      <w:r>
        <w:t>排烟口的设置宜使烟流方向与人员疏散方向相反，排烟口与附近安全出口相邻边缘之间的水平距离不应小于</w:t>
      </w:r>
      <w:r>
        <w:t xml:space="preserve"> 1.5m</w:t>
      </w:r>
      <w:r>
        <w:t>。</w:t>
      </w:r>
      <w:r>
        <w:t xml:space="preserve"> </w:t>
      </w:r>
    </w:p>
    <w:p w14:paraId="55DEA01F" w14:textId="77777777" w:rsidR="00A71EEF" w:rsidRDefault="0081115D">
      <w:pPr>
        <w:pStyle w:val="a3"/>
        <w:spacing w:line="446" w:lineRule="auto"/>
        <w:ind w:left="418" w:right="1503" w:firstLine="419"/>
      </w:pPr>
      <w:r>
        <w:rPr>
          <w:spacing w:val="-4"/>
        </w:rPr>
        <w:t>每个排烟口的排烟量不应大于最大允许排烟量，最大允许排烟量应按本标准第</w:t>
      </w:r>
      <w:r>
        <w:rPr>
          <w:spacing w:val="-4"/>
        </w:rPr>
        <w:t xml:space="preserve"> </w:t>
      </w:r>
      <w:r>
        <w:t>4.6.14</w:t>
      </w:r>
      <w:r>
        <w:rPr>
          <w:spacing w:val="-13"/>
        </w:rPr>
        <w:t xml:space="preserve"> </w:t>
      </w:r>
      <w:r>
        <w:rPr>
          <w:spacing w:val="-13"/>
        </w:rPr>
        <w:t>条的</w:t>
      </w:r>
      <w:r>
        <w:rPr>
          <w:spacing w:val="-6"/>
        </w:rPr>
        <w:t>规定计算确定。</w:t>
      </w:r>
      <w:r>
        <w:t xml:space="preserve"> </w:t>
      </w:r>
    </w:p>
    <w:p w14:paraId="58B1A0D3" w14:textId="77777777" w:rsidR="00A71EEF" w:rsidRDefault="0081115D">
      <w:pPr>
        <w:pStyle w:val="a3"/>
        <w:spacing w:line="267" w:lineRule="exact"/>
        <w:ind w:left="838"/>
      </w:pPr>
      <w:r>
        <w:t>排烟口的风速不宜大于</w:t>
      </w:r>
      <w:r>
        <w:t xml:space="preserve"> 10m/s</w:t>
      </w:r>
      <w:r>
        <w:t>。</w:t>
      </w:r>
      <w:r>
        <w:t xml:space="preserve"> </w:t>
      </w:r>
    </w:p>
    <w:p w14:paraId="31739725" w14:textId="77777777" w:rsidR="00A71EEF" w:rsidRDefault="00A71EEF">
      <w:pPr>
        <w:pStyle w:val="a3"/>
        <w:spacing w:before="2"/>
        <w:rPr>
          <w:sz w:val="18"/>
        </w:rPr>
      </w:pPr>
    </w:p>
    <w:p w14:paraId="3A7A2DC6" w14:textId="77777777" w:rsidR="00A71EEF" w:rsidRDefault="0081115D">
      <w:pPr>
        <w:pStyle w:val="a4"/>
        <w:numPr>
          <w:ilvl w:val="2"/>
          <w:numId w:val="108"/>
        </w:numPr>
        <w:tabs>
          <w:tab w:val="left" w:pos="1478"/>
        </w:tabs>
        <w:ind w:left="1477" w:hanging="638"/>
        <w:rPr>
          <w:sz w:val="21"/>
        </w:rPr>
      </w:pPr>
      <w:r>
        <w:rPr>
          <w:spacing w:val="-3"/>
          <w:sz w:val="21"/>
        </w:rPr>
        <w:t>当排烟口设在吊顶内且通过吊顶上部空间进行排烟时，应符合下列规定：</w:t>
      </w:r>
      <w:r>
        <w:rPr>
          <w:spacing w:val="-3"/>
          <w:sz w:val="21"/>
        </w:rPr>
        <w:t xml:space="preserve"> </w:t>
      </w:r>
    </w:p>
    <w:p w14:paraId="7C3ADBC5" w14:textId="77777777" w:rsidR="00A71EEF" w:rsidRDefault="00A71EEF">
      <w:pPr>
        <w:pStyle w:val="a3"/>
        <w:spacing w:before="12"/>
        <w:rPr>
          <w:sz w:val="17"/>
        </w:rPr>
      </w:pPr>
    </w:p>
    <w:p w14:paraId="790E0268" w14:textId="77777777" w:rsidR="00A71EEF" w:rsidRDefault="0081115D">
      <w:pPr>
        <w:pStyle w:val="a3"/>
        <w:ind w:left="838"/>
      </w:pPr>
      <w:r>
        <w:t>吊顶应采用不燃材料，且吊顶内不应有可燃物；</w:t>
      </w:r>
      <w:r>
        <w:t xml:space="preserve"> </w:t>
      </w:r>
    </w:p>
    <w:p w14:paraId="297F5B13" w14:textId="77777777" w:rsidR="00A71EEF" w:rsidRDefault="00A71EEF">
      <w:pPr>
        <w:pStyle w:val="a3"/>
        <w:spacing w:before="12"/>
        <w:rPr>
          <w:sz w:val="17"/>
        </w:rPr>
      </w:pPr>
    </w:p>
    <w:p w14:paraId="15D5B528" w14:textId="77777777" w:rsidR="00A71EEF" w:rsidRDefault="0081115D">
      <w:pPr>
        <w:pStyle w:val="a3"/>
        <w:ind w:left="838"/>
      </w:pPr>
      <w:r>
        <w:t>封闭式吊顶上设置的烟气流入口的颈部烟气速度不宜大于</w:t>
      </w:r>
      <w:r>
        <w:t xml:space="preserve"> 1.5m/s </w:t>
      </w:r>
      <w:r>
        <w:t>；</w:t>
      </w:r>
      <w:r>
        <w:t xml:space="preserve"> </w:t>
      </w:r>
    </w:p>
    <w:p w14:paraId="42937D6C" w14:textId="77777777" w:rsidR="00A71EEF" w:rsidRDefault="00A71EEF">
      <w:pPr>
        <w:pStyle w:val="a3"/>
        <w:spacing w:before="2"/>
        <w:rPr>
          <w:sz w:val="18"/>
        </w:rPr>
      </w:pPr>
    </w:p>
    <w:p w14:paraId="2F3F736C" w14:textId="77777777" w:rsidR="00A71EEF" w:rsidRDefault="0081115D">
      <w:pPr>
        <w:pStyle w:val="a3"/>
        <w:ind w:left="838"/>
      </w:pPr>
      <w:r>
        <w:t>非封闭式吊顶的开孔率不应小于吊顶净面积的</w:t>
      </w:r>
      <w:r>
        <w:t xml:space="preserve"> 25%</w:t>
      </w:r>
      <w:r>
        <w:t>，且孔洞应均匀布置。</w:t>
      </w:r>
      <w:r>
        <w:t xml:space="preserve"> </w:t>
      </w:r>
    </w:p>
    <w:p w14:paraId="303BD23F" w14:textId="77777777" w:rsidR="00A71EEF" w:rsidRDefault="00A71EEF">
      <w:pPr>
        <w:pStyle w:val="a3"/>
        <w:rPr>
          <w:sz w:val="18"/>
        </w:rPr>
      </w:pPr>
    </w:p>
    <w:p w14:paraId="01FD96D4" w14:textId="77777777" w:rsidR="00A71EEF" w:rsidRDefault="0081115D">
      <w:pPr>
        <w:pStyle w:val="a4"/>
        <w:numPr>
          <w:ilvl w:val="2"/>
          <w:numId w:val="108"/>
        </w:numPr>
        <w:tabs>
          <w:tab w:val="left" w:pos="1478"/>
        </w:tabs>
        <w:spacing w:line="446" w:lineRule="auto"/>
        <w:ind w:left="838" w:right="1812" w:firstLine="2"/>
        <w:rPr>
          <w:sz w:val="21"/>
        </w:rPr>
      </w:pPr>
      <w:r>
        <w:rPr>
          <w:spacing w:val="-7"/>
          <w:sz w:val="21"/>
        </w:rPr>
        <w:t>按本标准第</w:t>
      </w:r>
      <w:r>
        <w:rPr>
          <w:spacing w:val="-7"/>
          <w:sz w:val="21"/>
        </w:rPr>
        <w:t xml:space="preserve"> </w:t>
      </w:r>
      <w:r>
        <w:rPr>
          <w:sz w:val="21"/>
        </w:rPr>
        <w:t>4.1.4</w:t>
      </w:r>
      <w:r>
        <w:rPr>
          <w:spacing w:val="-7"/>
          <w:sz w:val="21"/>
        </w:rPr>
        <w:t xml:space="preserve"> </w:t>
      </w:r>
      <w:r>
        <w:rPr>
          <w:spacing w:val="-7"/>
          <w:sz w:val="21"/>
        </w:rPr>
        <w:t>条规定需要设置固定窗时，固定窗的布置应符合下列规定：</w:t>
      </w:r>
      <w:r>
        <w:rPr>
          <w:spacing w:val="-7"/>
          <w:sz w:val="21"/>
        </w:rPr>
        <w:t xml:space="preserve"> </w:t>
      </w:r>
      <w:r>
        <w:rPr>
          <w:spacing w:val="-3"/>
          <w:sz w:val="21"/>
        </w:rPr>
        <w:t>非顶层区域的固定窗应布置在每层的外墙上；</w:t>
      </w:r>
      <w:r>
        <w:rPr>
          <w:sz w:val="21"/>
        </w:rPr>
        <w:t xml:space="preserve"> </w:t>
      </w:r>
    </w:p>
    <w:p w14:paraId="788FF19E" w14:textId="77777777" w:rsidR="00A71EEF" w:rsidRDefault="0081115D">
      <w:pPr>
        <w:pStyle w:val="a3"/>
        <w:spacing w:line="446" w:lineRule="auto"/>
        <w:ind w:left="418" w:right="1609" w:firstLine="419"/>
      </w:pPr>
      <w:r>
        <w:t>顶层区域的固定窗应布置在屋顶或顶层的外墙上，但未设置自动喷水灭火系统的以及采用钢结构屋顶或预应力钢筋混凝土屋面板的建筑应布置在屋顶。</w:t>
      </w:r>
      <w:r>
        <w:t xml:space="preserve"> </w:t>
      </w:r>
    </w:p>
    <w:p w14:paraId="453539DB" w14:textId="77777777" w:rsidR="00A71EEF" w:rsidRDefault="0081115D">
      <w:pPr>
        <w:pStyle w:val="a4"/>
        <w:numPr>
          <w:ilvl w:val="2"/>
          <w:numId w:val="108"/>
        </w:numPr>
        <w:tabs>
          <w:tab w:val="left" w:pos="1530"/>
        </w:tabs>
        <w:spacing w:line="267" w:lineRule="exact"/>
        <w:ind w:left="1529" w:hanging="690"/>
        <w:rPr>
          <w:sz w:val="21"/>
        </w:rPr>
      </w:pPr>
      <w:r>
        <w:rPr>
          <w:spacing w:val="-3"/>
          <w:sz w:val="21"/>
        </w:rPr>
        <w:t>固定窗的设置和有效面积应符合下列规定：</w:t>
      </w:r>
      <w:r>
        <w:rPr>
          <w:sz w:val="21"/>
        </w:rPr>
        <w:t xml:space="preserve"> </w:t>
      </w:r>
    </w:p>
    <w:p w14:paraId="25F94FEA" w14:textId="77777777" w:rsidR="00A71EEF" w:rsidRDefault="00A71EEF">
      <w:pPr>
        <w:pStyle w:val="a3"/>
        <w:spacing w:before="2"/>
        <w:rPr>
          <w:sz w:val="18"/>
        </w:rPr>
      </w:pPr>
    </w:p>
    <w:p w14:paraId="687B972D" w14:textId="77777777" w:rsidR="00A71EEF" w:rsidRDefault="0081115D">
      <w:pPr>
        <w:pStyle w:val="a3"/>
        <w:ind w:left="838"/>
      </w:pPr>
      <w:r>
        <w:t>设置在顶层区域的固定窗，其总面积不应小于楼地面面积的</w:t>
      </w:r>
      <w:r>
        <w:t xml:space="preserve"> 2%</w:t>
      </w:r>
      <w:r>
        <w:t>。</w:t>
      </w:r>
      <w:r>
        <w:t xml:space="preserve"> </w:t>
      </w:r>
    </w:p>
    <w:p w14:paraId="68638B03" w14:textId="77777777" w:rsidR="00A71EEF" w:rsidRDefault="00A71EEF">
      <w:pPr>
        <w:pStyle w:val="a3"/>
        <w:rPr>
          <w:sz w:val="18"/>
        </w:rPr>
      </w:pPr>
    </w:p>
    <w:p w14:paraId="4DD8E0FC" w14:textId="77777777" w:rsidR="00A71EEF" w:rsidRDefault="0081115D">
      <w:pPr>
        <w:pStyle w:val="a3"/>
        <w:spacing w:line="446" w:lineRule="auto"/>
        <w:ind w:left="418" w:right="1503" w:firstLine="419"/>
      </w:pPr>
      <w:r>
        <w:rPr>
          <w:spacing w:val="-5"/>
        </w:rPr>
        <w:t>设置在靠外墙且不位于顶层区域的固定窗，单个固定窗的面积不应小于</w:t>
      </w:r>
      <w:r>
        <w:rPr>
          <w:spacing w:val="-5"/>
        </w:rPr>
        <w:t xml:space="preserve"> </w:t>
      </w:r>
      <w:r>
        <w:t>1</w:t>
      </w:r>
      <w:r>
        <w:rPr>
          <w:spacing w:val="-8"/>
        </w:rPr>
        <w:t xml:space="preserve"> </w:t>
      </w:r>
      <w:r>
        <w:rPr>
          <w:spacing w:val="-8"/>
        </w:rPr>
        <w:t>㎡，且间距不宜</w:t>
      </w:r>
      <w:r>
        <w:rPr>
          <w:spacing w:val="-18"/>
        </w:rPr>
        <w:t>大于</w:t>
      </w:r>
      <w:r>
        <w:rPr>
          <w:spacing w:val="-18"/>
        </w:rPr>
        <w:t xml:space="preserve"> </w:t>
      </w:r>
      <w:r>
        <w:t>20m</w:t>
      </w:r>
      <w:r>
        <w:rPr>
          <w:spacing w:val="-5"/>
        </w:rPr>
        <w:t>，其下沿距室内地面的高度不宜小于层高的</w:t>
      </w:r>
      <w:r>
        <w:rPr>
          <w:spacing w:val="-5"/>
        </w:rPr>
        <w:t xml:space="preserve"> </w:t>
      </w:r>
      <w:r>
        <w:t>1/2</w:t>
      </w:r>
      <w:r>
        <w:rPr>
          <w:spacing w:val="-3"/>
        </w:rPr>
        <w:t>。供消防救援人员进入的窗口面积不计入固定窗面积，但可组合布置。</w:t>
      </w:r>
      <w:r>
        <w:t xml:space="preserve"> </w:t>
      </w:r>
    </w:p>
    <w:p w14:paraId="143BF6CC" w14:textId="77777777" w:rsidR="00A71EEF" w:rsidRDefault="00A71EEF">
      <w:pPr>
        <w:spacing w:line="446" w:lineRule="auto"/>
        <w:sectPr w:rsidR="00A71EEF">
          <w:pgSz w:w="11910" w:h="16850"/>
          <w:pgMar w:top="1220" w:right="0" w:bottom="1420" w:left="1260" w:header="0" w:footer="1239" w:gutter="0"/>
          <w:cols w:space="720"/>
        </w:sectPr>
      </w:pPr>
    </w:p>
    <w:p w14:paraId="5B779C04" w14:textId="77777777" w:rsidR="00A71EEF" w:rsidRDefault="0081115D">
      <w:pPr>
        <w:pStyle w:val="a3"/>
        <w:spacing w:before="47"/>
        <w:ind w:left="838"/>
      </w:pPr>
      <w:r>
        <w:t>设置在中庭区域的固定窗，其总面积不应小于中庭楼地面面积的</w:t>
      </w:r>
      <w:r>
        <w:t xml:space="preserve"> 5%</w:t>
      </w:r>
      <w:r>
        <w:t>。</w:t>
      </w:r>
      <w:r>
        <w:t xml:space="preserve"> </w:t>
      </w:r>
    </w:p>
    <w:p w14:paraId="16A9303B" w14:textId="77777777" w:rsidR="00A71EEF" w:rsidRDefault="00A71EEF">
      <w:pPr>
        <w:pStyle w:val="a3"/>
        <w:rPr>
          <w:sz w:val="18"/>
        </w:rPr>
      </w:pPr>
    </w:p>
    <w:p w14:paraId="73ABF4B0" w14:textId="77777777" w:rsidR="00A71EEF" w:rsidRDefault="0081115D">
      <w:pPr>
        <w:pStyle w:val="a3"/>
        <w:spacing w:line="446" w:lineRule="auto"/>
        <w:ind w:left="418" w:right="1609" w:firstLine="419"/>
      </w:pPr>
      <w:r>
        <w:t>固定玻璃窗应按可破拆的玻璃面积计算，带有温控功能的可开启设施应按开启时的水平投影面积计算。</w:t>
      </w:r>
      <w:r>
        <w:t xml:space="preserve"> </w:t>
      </w:r>
    </w:p>
    <w:p w14:paraId="26D6F90D" w14:textId="77777777" w:rsidR="00A71EEF" w:rsidRDefault="0081115D">
      <w:pPr>
        <w:pStyle w:val="a4"/>
        <w:numPr>
          <w:ilvl w:val="2"/>
          <w:numId w:val="108"/>
        </w:numPr>
        <w:tabs>
          <w:tab w:val="left" w:pos="1530"/>
        </w:tabs>
        <w:ind w:left="1529" w:hanging="690"/>
        <w:rPr>
          <w:sz w:val="21"/>
        </w:rPr>
      </w:pPr>
      <w:r>
        <w:rPr>
          <w:spacing w:val="-3"/>
          <w:sz w:val="21"/>
        </w:rPr>
        <w:t>固定窗宜按每个防烟分区在屋顶或建筑外墙上</w:t>
      </w:r>
      <w:r>
        <w:rPr>
          <w:spacing w:val="-3"/>
          <w:sz w:val="21"/>
        </w:rPr>
        <w:t>均匀布置且不应跨越防火分区。</w:t>
      </w:r>
      <w:r>
        <w:rPr>
          <w:spacing w:val="-3"/>
          <w:sz w:val="21"/>
        </w:rPr>
        <w:t xml:space="preserve"> </w:t>
      </w:r>
    </w:p>
    <w:p w14:paraId="201D3DF8" w14:textId="77777777" w:rsidR="00A71EEF" w:rsidRDefault="00A71EEF">
      <w:pPr>
        <w:pStyle w:val="a3"/>
        <w:spacing w:before="2"/>
        <w:rPr>
          <w:sz w:val="17"/>
        </w:rPr>
      </w:pPr>
    </w:p>
    <w:p w14:paraId="1CDF0932" w14:textId="77777777" w:rsidR="00A71EEF" w:rsidRDefault="0081115D">
      <w:pPr>
        <w:pStyle w:val="a4"/>
        <w:numPr>
          <w:ilvl w:val="2"/>
          <w:numId w:val="108"/>
        </w:numPr>
        <w:tabs>
          <w:tab w:val="left" w:pos="1530"/>
        </w:tabs>
        <w:spacing w:line="446" w:lineRule="auto"/>
        <w:ind w:right="1466" w:firstLine="422"/>
        <w:rPr>
          <w:sz w:val="21"/>
        </w:rPr>
      </w:pPr>
      <w:r>
        <w:rPr>
          <w:spacing w:val="-2"/>
          <w:sz w:val="21"/>
        </w:rPr>
        <w:t>除洁净厂房外，设置机械排烟系统的任一层建筑面积大于</w:t>
      </w:r>
      <w:r>
        <w:rPr>
          <w:spacing w:val="-2"/>
          <w:sz w:val="21"/>
        </w:rPr>
        <w:t xml:space="preserve"> </w:t>
      </w:r>
      <w:r>
        <w:rPr>
          <w:sz w:val="21"/>
        </w:rPr>
        <w:t>2000m</w:t>
      </w:r>
      <w:r>
        <w:rPr>
          <w:position w:val="11"/>
          <w:sz w:val="11"/>
        </w:rPr>
        <w:t>2</w:t>
      </w:r>
      <w:r>
        <w:rPr>
          <w:spacing w:val="-25"/>
          <w:position w:val="11"/>
          <w:sz w:val="11"/>
        </w:rPr>
        <w:t xml:space="preserve"> </w:t>
      </w:r>
      <w:r>
        <w:rPr>
          <w:spacing w:val="-3"/>
          <w:sz w:val="21"/>
        </w:rPr>
        <w:t>的制鞋、制衣、玩具、塑料、木器加工储存等丙类工业建筑，可采用可熔性采光带（</w:t>
      </w:r>
      <w:r>
        <w:rPr>
          <w:sz w:val="21"/>
        </w:rPr>
        <w:t>窗</w:t>
      </w:r>
      <w:r>
        <w:rPr>
          <w:spacing w:val="-3"/>
          <w:sz w:val="21"/>
        </w:rPr>
        <w:t>）替代固定窗，其面积应符合下列规定：</w:t>
      </w:r>
      <w:r>
        <w:rPr>
          <w:sz w:val="21"/>
        </w:rPr>
        <w:t xml:space="preserve"> </w:t>
      </w:r>
    </w:p>
    <w:p w14:paraId="33707C30" w14:textId="77777777" w:rsidR="00A71EEF" w:rsidRDefault="0081115D">
      <w:pPr>
        <w:pStyle w:val="a3"/>
        <w:spacing w:line="446" w:lineRule="auto"/>
        <w:ind w:left="418" w:right="1609" w:firstLine="419"/>
      </w:pPr>
      <w:r>
        <w:t>未设置自动喷水灭火系统的或采用钢结构屋顶或预应力钢筋混凝土屋面板的建筑，不应小于楼地面面积的</w:t>
      </w:r>
      <w:r>
        <w:t xml:space="preserve"> 10%</w:t>
      </w:r>
      <w:r>
        <w:t>；</w:t>
      </w:r>
      <w:r>
        <w:t xml:space="preserve"> </w:t>
      </w:r>
    </w:p>
    <w:p w14:paraId="7D58F9AD" w14:textId="77777777" w:rsidR="00A71EEF" w:rsidRDefault="0081115D">
      <w:pPr>
        <w:pStyle w:val="a3"/>
        <w:ind w:left="838"/>
      </w:pPr>
      <w:r>
        <w:t>其他建筑不应小于楼地面面积的</w:t>
      </w:r>
      <w:r>
        <w:t xml:space="preserve"> 5%</w:t>
      </w:r>
      <w:r>
        <w:t>；</w:t>
      </w:r>
      <w:r>
        <w:t xml:space="preserve"> </w:t>
      </w:r>
    </w:p>
    <w:p w14:paraId="596F638C" w14:textId="77777777" w:rsidR="00A71EEF" w:rsidRDefault="00A71EEF">
      <w:pPr>
        <w:pStyle w:val="a3"/>
        <w:spacing w:before="12"/>
        <w:rPr>
          <w:sz w:val="17"/>
        </w:rPr>
      </w:pPr>
    </w:p>
    <w:p w14:paraId="214ADBE3" w14:textId="77777777" w:rsidR="00A71EEF" w:rsidRDefault="0081115D">
      <w:pPr>
        <w:pStyle w:val="a3"/>
        <w:spacing w:line="446" w:lineRule="auto"/>
        <w:ind w:left="840" w:right="4237" w:hanging="3"/>
        <w:rPr>
          <w:b/>
        </w:rPr>
      </w:pPr>
      <w:r>
        <w:t>注：可熔性采光带（窗）的有效面积应按其实际面积计算。</w:t>
      </w:r>
      <w:r>
        <w:rPr>
          <w:b/>
          <w:color w:val="333333"/>
        </w:rPr>
        <w:t xml:space="preserve">4.5 </w:t>
      </w:r>
      <w:r>
        <w:rPr>
          <w:color w:val="333333"/>
        </w:rPr>
        <w:t>补风系统</w:t>
      </w:r>
      <w:r>
        <w:rPr>
          <w:b/>
          <w:color w:val="333333"/>
          <w:w w:val="99"/>
        </w:rPr>
        <w:t xml:space="preserve"> </w:t>
      </w:r>
    </w:p>
    <w:p w14:paraId="4FE247C4" w14:textId="77777777" w:rsidR="00A71EEF" w:rsidRDefault="0081115D">
      <w:pPr>
        <w:pStyle w:val="a4"/>
        <w:numPr>
          <w:ilvl w:val="2"/>
          <w:numId w:val="107"/>
        </w:numPr>
        <w:tabs>
          <w:tab w:val="left" w:pos="1371"/>
        </w:tabs>
        <w:spacing w:line="446" w:lineRule="auto"/>
        <w:ind w:right="1603" w:firstLine="422"/>
        <w:rPr>
          <w:sz w:val="21"/>
        </w:rPr>
      </w:pPr>
      <w:r>
        <w:rPr>
          <w:spacing w:val="-6"/>
          <w:sz w:val="21"/>
        </w:rPr>
        <w:t>除地上建筑的走道或建筑面积小于</w:t>
      </w:r>
      <w:r>
        <w:rPr>
          <w:spacing w:val="-6"/>
          <w:sz w:val="21"/>
        </w:rPr>
        <w:t xml:space="preserve"> </w:t>
      </w:r>
      <w:r>
        <w:rPr>
          <w:sz w:val="21"/>
        </w:rPr>
        <w:t>500m2</w:t>
      </w:r>
      <w:r>
        <w:rPr>
          <w:spacing w:val="-8"/>
          <w:sz w:val="21"/>
        </w:rPr>
        <w:t xml:space="preserve"> </w:t>
      </w:r>
      <w:r>
        <w:rPr>
          <w:spacing w:val="-8"/>
          <w:sz w:val="21"/>
        </w:rPr>
        <w:t>的房间外，设置排烟系统的场所应设置补</w:t>
      </w:r>
      <w:r>
        <w:rPr>
          <w:spacing w:val="-6"/>
          <w:sz w:val="21"/>
        </w:rPr>
        <w:t>风系统。</w:t>
      </w:r>
      <w:r>
        <w:rPr>
          <w:sz w:val="21"/>
        </w:rPr>
        <w:t xml:space="preserve"> </w:t>
      </w:r>
    </w:p>
    <w:p w14:paraId="36E7FBCD" w14:textId="77777777" w:rsidR="00A71EEF" w:rsidRDefault="0081115D">
      <w:pPr>
        <w:pStyle w:val="a4"/>
        <w:numPr>
          <w:ilvl w:val="2"/>
          <w:numId w:val="107"/>
        </w:numPr>
        <w:tabs>
          <w:tab w:val="left" w:pos="1370"/>
        </w:tabs>
        <w:spacing w:line="267" w:lineRule="exact"/>
        <w:ind w:left="1369" w:hanging="530"/>
        <w:rPr>
          <w:sz w:val="21"/>
        </w:rPr>
      </w:pPr>
      <w:r>
        <w:rPr>
          <w:spacing w:val="-5"/>
          <w:sz w:val="21"/>
        </w:rPr>
        <w:t>补风系统应直接从室外引入空气，且补风量不应小于排烟量的</w:t>
      </w:r>
      <w:r>
        <w:rPr>
          <w:spacing w:val="-5"/>
          <w:sz w:val="21"/>
        </w:rPr>
        <w:t xml:space="preserve"> </w:t>
      </w:r>
      <w:r>
        <w:rPr>
          <w:sz w:val="21"/>
        </w:rPr>
        <w:t>50%</w:t>
      </w:r>
      <w:r>
        <w:rPr>
          <w:sz w:val="21"/>
        </w:rPr>
        <w:t>。</w:t>
      </w:r>
      <w:r>
        <w:rPr>
          <w:sz w:val="21"/>
        </w:rPr>
        <w:t xml:space="preserve"> </w:t>
      </w:r>
    </w:p>
    <w:p w14:paraId="7CB3B9E4" w14:textId="77777777" w:rsidR="00A71EEF" w:rsidRDefault="00A71EEF">
      <w:pPr>
        <w:pStyle w:val="a3"/>
        <w:spacing w:before="1"/>
        <w:rPr>
          <w:sz w:val="18"/>
        </w:rPr>
      </w:pPr>
    </w:p>
    <w:p w14:paraId="15EF588A" w14:textId="77777777" w:rsidR="00A71EEF" w:rsidRDefault="0081115D">
      <w:pPr>
        <w:pStyle w:val="a4"/>
        <w:numPr>
          <w:ilvl w:val="2"/>
          <w:numId w:val="107"/>
        </w:numPr>
        <w:tabs>
          <w:tab w:val="left" w:pos="1370"/>
        </w:tabs>
        <w:spacing w:before="1" w:line="446" w:lineRule="auto"/>
        <w:ind w:right="1604" w:firstLine="422"/>
        <w:rPr>
          <w:sz w:val="21"/>
        </w:rPr>
      </w:pPr>
      <w:r>
        <w:rPr>
          <w:spacing w:val="-3"/>
          <w:sz w:val="21"/>
        </w:rPr>
        <w:t>补风系统可采用疏散外门、手动或自动可开启外窗等自然进风方式以及机械送风方式。防火门、窗不得用作补风设施。风机应设置在专用机房内。</w:t>
      </w:r>
      <w:r>
        <w:rPr>
          <w:sz w:val="21"/>
        </w:rPr>
        <w:t xml:space="preserve"> </w:t>
      </w:r>
    </w:p>
    <w:p w14:paraId="1A247197" w14:textId="77777777" w:rsidR="00A71EEF" w:rsidRDefault="0081115D">
      <w:pPr>
        <w:pStyle w:val="a4"/>
        <w:numPr>
          <w:ilvl w:val="2"/>
          <w:numId w:val="107"/>
        </w:numPr>
        <w:tabs>
          <w:tab w:val="left" w:pos="1370"/>
        </w:tabs>
        <w:spacing w:line="446" w:lineRule="auto"/>
        <w:ind w:right="1604" w:firstLine="422"/>
        <w:jc w:val="both"/>
        <w:rPr>
          <w:sz w:val="21"/>
        </w:rPr>
      </w:pPr>
      <w:r>
        <w:rPr>
          <w:spacing w:val="-3"/>
          <w:sz w:val="21"/>
        </w:rPr>
        <w:t>补风口与排烟口设置在同一空间内相邻的防烟分区时，补风口位置不限；当补风口与排烟口设置在同一防烟分区时，补风口应设在储烟仓下沿以下；补风口与排烟口水平距离不</w:t>
      </w:r>
      <w:r>
        <w:rPr>
          <w:spacing w:val="-15"/>
          <w:sz w:val="21"/>
        </w:rPr>
        <w:t>应少于</w:t>
      </w:r>
      <w:r>
        <w:rPr>
          <w:spacing w:val="-15"/>
          <w:sz w:val="21"/>
        </w:rPr>
        <w:t xml:space="preserve"> </w:t>
      </w:r>
      <w:r>
        <w:rPr>
          <w:sz w:val="21"/>
        </w:rPr>
        <w:t>5m</w:t>
      </w:r>
      <w:r>
        <w:rPr>
          <w:spacing w:val="-3"/>
          <w:sz w:val="21"/>
        </w:rPr>
        <w:t>。</w:t>
      </w:r>
      <w:r>
        <w:rPr>
          <w:sz w:val="21"/>
        </w:rPr>
        <w:t xml:space="preserve"> </w:t>
      </w:r>
    </w:p>
    <w:p w14:paraId="03265DF7" w14:textId="77777777" w:rsidR="00A71EEF" w:rsidRDefault="0081115D">
      <w:pPr>
        <w:pStyle w:val="a4"/>
        <w:numPr>
          <w:ilvl w:val="2"/>
          <w:numId w:val="107"/>
        </w:numPr>
        <w:tabs>
          <w:tab w:val="left" w:pos="1370"/>
        </w:tabs>
        <w:spacing w:line="268" w:lineRule="exact"/>
        <w:ind w:left="1369" w:hanging="530"/>
        <w:rPr>
          <w:sz w:val="21"/>
        </w:rPr>
      </w:pPr>
      <w:r>
        <w:rPr>
          <w:spacing w:val="-3"/>
          <w:sz w:val="21"/>
        </w:rPr>
        <w:t>补风系统应与排烟系统联动开启或关闭。</w:t>
      </w:r>
      <w:r>
        <w:rPr>
          <w:sz w:val="21"/>
        </w:rPr>
        <w:t xml:space="preserve"> </w:t>
      </w:r>
    </w:p>
    <w:p w14:paraId="71EF715E" w14:textId="77777777" w:rsidR="00A71EEF" w:rsidRDefault="00A71EEF">
      <w:pPr>
        <w:pStyle w:val="a3"/>
        <w:spacing w:before="12"/>
        <w:rPr>
          <w:sz w:val="17"/>
        </w:rPr>
      </w:pPr>
    </w:p>
    <w:p w14:paraId="09DD1C8A" w14:textId="77777777" w:rsidR="00A71EEF" w:rsidRDefault="0081115D">
      <w:pPr>
        <w:pStyle w:val="a4"/>
        <w:numPr>
          <w:ilvl w:val="2"/>
          <w:numId w:val="107"/>
        </w:numPr>
        <w:tabs>
          <w:tab w:val="left" w:pos="1370"/>
        </w:tabs>
        <w:spacing w:line="446" w:lineRule="auto"/>
        <w:ind w:right="1604" w:firstLine="422"/>
        <w:rPr>
          <w:sz w:val="21"/>
        </w:rPr>
      </w:pPr>
      <w:r>
        <w:rPr>
          <w:spacing w:val="-7"/>
          <w:sz w:val="21"/>
        </w:rPr>
        <w:t>机械补风口的风速不宜大于</w:t>
      </w:r>
      <w:r>
        <w:rPr>
          <w:spacing w:val="-7"/>
          <w:sz w:val="21"/>
        </w:rPr>
        <w:t xml:space="preserve"> </w:t>
      </w:r>
      <w:r>
        <w:rPr>
          <w:sz w:val="21"/>
        </w:rPr>
        <w:t>10m/s</w:t>
      </w:r>
      <w:r>
        <w:rPr>
          <w:spacing w:val="-6"/>
          <w:sz w:val="21"/>
        </w:rPr>
        <w:t>，人员密集</w:t>
      </w:r>
      <w:r>
        <w:rPr>
          <w:spacing w:val="-6"/>
          <w:sz w:val="21"/>
        </w:rPr>
        <w:t>场所补风口的风速不宜大于</w:t>
      </w:r>
      <w:r>
        <w:rPr>
          <w:spacing w:val="-6"/>
          <w:sz w:val="21"/>
        </w:rPr>
        <w:t xml:space="preserve"> </w:t>
      </w:r>
      <w:r>
        <w:rPr>
          <w:sz w:val="21"/>
        </w:rPr>
        <w:t>5m/s</w:t>
      </w:r>
      <w:r>
        <w:rPr>
          <w:sz w:val="21"/>
        </w:rPr>
        <w:t>；自</w:t>
      </w:r>
      <w:r>
        <w:rPr>
          <w:spacing w:val="-8"/>
          <w:sz w:val="21"/>
        </w:rPr>
        <w:t>然补风口的风速不宜大于</w:t>
      </w:r>
      <w:r>
        <w:rPr>
          <w:spacing w:val="-8"/>
          <w:sz w:val="21"/>
        </w:rPr>
        <w:t xml:space="preserve"> </w:t>
      </w:r>
      <w:r>
        <w:rPr>
          <w:sz w:val="21"/>
        </w:rPr>
        <w:t>3m/s</w:t>
      </w:r>
      <w:r>
        <w:rPr>
          <w:spacing w:val="-3"/>
          <w:sz w:val="21"/>
        </w:rPr>
        <w:t>。</w:t>
      </w:r>
      <w:r>
        <w:rPr>
          <w:sz w:val="21"/>
        </w:rPr>
        <w:t xml:space="preserve"> </w:t>
      </w:r>
    </w:p>
    <w:p w14:paraId="029C8838" w14:textId="77777777" w:rsidR="00A71EEF" w:rsidRDefault="0081115D">
      <w:pPr>
        <w:pStyle w:val="a4"/>
        <w:numPr>
          <w:ilvl w:val="2"/>
          <w:numId w:val="107"/>
        </w:numPr>
        <w:tabs>
          <w:tab w:val="left" w:pos="1370"/>
        </w:tabs>
        <w:spacing w:line="446" w:lineRule="auto"/>
        <w:ind w:right="1445" w:firstLine="422"/>
        <w:rPr>
          <w:sz w:val="21"/>
        </w:rPr>
      </w:pPr>
      <w:r>
        <w:rPr>
          <w:spacing w:val="-6"/>
          <w:sz w:val="21"/>
        </w:rPr>
        <w:t>补风管道耐火极限不应低于</w:t>
      </w:r>
      <w:r>
        <w:rPr>
          <w:spacing w:val="-6"/>
          <w:sz w:val="21"/>
        </w:rPr>
        <w:t xml:space="preserve"> </w:t>
      </w:r>
      <w:r>
        <w:rPr>
          <w:sz w:val="21"/>
        </w:rPr>
        <w:t>0.50h</w:t>
      </w:r>
      <w:r>
        <w:rPr>
          <w:spacing w:val="-3"/>
          <w:sz w:val="21"/>
        </w:rPr>
        <w:t>，当补风管道跨越防火分区时，管道的耐火极限不</w:t>
      </w:r>
      <w:r>
        <w:rPr>
          <w:spacing w:val="-15"/>
          <w:sz w:val="21"/>
        </w:rPr>
        <w:t>应小于</w:t>
      </w:r>
      <w:r>
        <w:rPr>
          <w:spacing w:val="-15"/>
          <w:sz w:val="21"/>
        </w:rPr>
        <w:t xml:space="preserve"> </w:t>
      </w:r>
      <w:r>
        <w:rPr>
          <w:sz w:val="21"/>
        </w:rPr>
        <w:t>1.50h</w:t>
      </w:r>
      <w:r>
        <w:rPr>
          <w:spacing w:val="-3"/>
          <w:sz w:val="21"/>
        </w:rPr>
        <w:t>。</w:t>
      </w:r>
      <w:r>
        <w:rPr>
          <w:sz w:val="21"/>
        </w:rPr>
        <w:t xml:space="preserve"> </w:t>
      </w:r>
    </w:p>
    <w:p w14:paraId="4A2274A8" w14:textId="77777777" w:rsidR="00A71EEF" w:rsidRDefault="0081115D">
      <w:pPr>
        <w:pStyle w:val="a4"/>
        <w:numPr>
          <w:ilvl w:val="1"/>
          <w:numId w:val="106"/>
        </w:numPr>
        <w:tabs>
          <w:tab w:val="left" w:pos="1159"/>
        </w:tabs>
        <w:ind w:hanging="319"/>
        <w:rPr>
          <w:b/>
          <w:sz w:val="21"/>
        </w:rPr>
      </w:pPr>
      <w:r>
        <w:rPr>
          <w:color w:val="333333"/>
          <w:spacing w:val="-3"/>
          <w:sz w:val="21"/>
        </w:rPr>
        <w:t>排烟系统设计计算</w:t>
      </w:r>
      <w:r>
        <w:rPr>
          <w:b/>
          <w:w w:val="99"/>
          <w:sz w:val="21"/>
        </w:rPr>
        <w:t xml:space="preserve"> </w:t>
      </w:r>
    </w:p>
    <w:p w14:paraId="26E2203C" w14:textId="77777777" w:rsidR="00A71EEF" w:rsidRDefault="00A71EEF">
      <w:pPr>
        <w:pStyle w:val="a3"/>
        <w:spacing w:before="10"/>
        <w:rPr>
          <w:b/>
          <w:sz w:val="17"/>
        </w:rPr>
      </w:pPr>
    </w:p>
    <w:p w14:paraId="4BFB680D" w14:textId="77777777" w:rsidR="00A71EEF" w:rsidRDefault="0081115D">
      <w:pPr>
        <w:pStyle w:val="a4"/>
        <w:numPr>
          <w:ilvl w:val="2"/>
          <w:numId w:val="106"/>
        </w:numPr>
        <w:tabs>
          <w:tab w:val="left" w:pos="1424"/>
        </w:tabs>
        <w:rPr>
          <w:sz w:val="21"/>
        </w:rPr>
      </w:pPr>
      <w:r>
        <w:rPr>
          <w:spacing w:val="-6"/>
          <w:sz w:val="21"/>
        </w:rPr>
        <w:t>排烟系统的设计风量不应小于该系统计算风量的</w:t>
      </w:r>
      <w:r>
        <w:rPr>
          <w:spacing w:val="-6"/>
          <w:sz w:val="21"/>
        </w:rPr>
        <w:t xml:space="preserve"> </w:t>
      </w:r>
      <w:r>
        <w:rPr>
          <w:sz w:val="21"/>
        </w:rPr>
        <w:t>1.2</w:t>
      </w:r>
      <w:r>
        <w:rPr>
          <w:spacing w:val="-20"/>
          <w:sz w:val="21"/>
        </w:rPr>
        <w:t xml:space="preserve"> </w:t>
      </w:r>
      <w:r>
        <w:rPr>
          <w:spacing w:val="-20"/>
          <w:sz w:val="21"/>
        </w:rPr>
        <w:t>倍。</w:t>
      </w:r>
      <w:r>
        <w:rPr>
          <w:sz w:val="21"/>
        </w:rPr>
        <w:t xml:space="preserve"> </w:t>
      </w:r>
    </w:p>
    <w:p w14:paraId="06D394CA" w14:textId="77777777" w:rsidR="00A71EEF" w:rsidRDefault="00A71EEF">
      <w:pPr>
        <w:rPr>
          <w:sz w:val="21"/>
        </w:rPr>
        <w:sectPr w:rsidR="00A71EEF">
          <w:pgSz w:w="11910" w:h="16850"/>
          <w:pgMar w:top="1220" w:right="0" w:bottom="1420" w:left="1260" w:header="0" w:footer="1239" w:gutter="0"/>
          <w:cols w:space="720"/>
        </w:sectPr>
      </w:pPr>
    </w:p>
    <w:p w14:paraId="7DFFC998" w14:textId="77777777" w:rsidR="00A71EEF" w:rsidRDefault="0081115D">
      <w:pPr>
        <w:pStyle w:val="a4"/>
        <w:numPr>
          <w:ilvl w:val="2"/>
          <w:numId w:val="106"/>
        </w:numPr>
        <w:tabs>
          <w:tab w:val="left" w:pos="1424"/>
        </w:tabs>
        <w:spacing w:before="47" w:line="446" w:lineRule="auto"/>
        <w:ind w:left="418" w:right="1611" w:firstLine="422"/>
        <w:rPr>
          <w:sz w:val="21"/>
        </w:rPr>
      </w:pPr>
      <w:r>
        <w:rPr>
          <w:spacing w:val="-5"/>
          <w:sz w:val="21"/>
        </w:rPr>
        <w:t>当采用自然排烟方式时，储烟仓的厚度不应小于空间净高的</w:t>
      </w:r>
      <w:r>
        <w:rPr>
          <w:spacing w:val="-5"/>
          <w:sz w:val="21"/>
        </w:rPr>
        <w:t xml:space="preserve"> </w:t>
      </w:r>
      <w:r>
        <w:rPr>
          <w:sz w:val="21"/>
        </w:rPr>
        <w:t>20</w:t>
      </w:r>
      <w:r>
        <w:rPr>
          <w:spacing w:val="-2"/>
          <w:sz w:val="21"/>
        </w:rPr>
        <w:t>%</w:t>
      </w:r>
      <w:r>
        <w:rPr>
          <w:spacing w:val="-2"/>
          <w:sz w:val="21"/>
        </w:rPr>
        <w:t>，且不应小于</w:t>
      </w:r>
      <w:r>
        <w:rPr>
          <w:spacing w:val="-2"/>
          <w:sz w:val="21"/>
        </w:rPr>
        <w:t>500mm</w:t>
      </w:r>
      <w:r>
        <w:rPr>
          <w:spacing w:val="-5"/>
          <w:sz w:val="21"/>
        </w:rPr>
        <w:t>；当采用机械排烟方式时，不应小于空间净高的</w:t>
      </w:r>
      <w:r>
        <w:rPr>
          <w:spacing w:val="-5"/>
          <w:sz w:val="21"/>
        </w:rPr>
        <w:t xml:space="preserve"> </w:t>
      </w:r>
      <w:r>
        <w:rPr>
          <w:sz w:val="21"/>
        </w:rPr>
        <w:t>10</w:t>
      </w:r>
      <w:r>
        <w:rPr>
          <w:spacing w:val="-7"/>
          <w:sz w:val="21"/>
        </w:rPr>
        <w:t>%</w:t>
      </w:r>
      <w:r>
        <w:rPr>
          <w:spacing w:val="-7"/>
          <w:sz w:val="21"/>
        </w:rPr>
        <w:t>，且不应小于</w:t>
      </w:r>
      <w:r>
        <w:rPr>
          <w:spacing w:val="-7"/>
          <w:sz w:val="21"/>
        </w:rPr>
        <w:t xml:space="preserve"> </w:t>
      </w:r>
      <w:r>
        <w:rPr>
          <w:sz w:val="21"/>
        </w:rPr>
        <w:t>500mm</w:t>
      </w:r>
      <w:r>
        <w:rPr>
          <w:spacing w:val="-2"/>
          <w:sz w:val="21"/>
        </w:rPr>
        <w:t>。同时储烟仓底</w:t>
      </w:r>
      <w:r>
        <w:rPr>
          <w:spacing w:val="-4"/>
          <w:sz w:val="21"/>
        </w:rPr>
        <w:t>部距地面的高度应大于安全疏散所需的最小清晰高度，最小清晰高度应按本标准第</w:t>
      </w:r>
      <w:r>
        <w:rPr>
          <w:spacing w:val="-4"/>
          <w:sz w:val="21"/>
        </w:rPr>
        <w:t xml:space="preserve"> </w:t>
      </w:r>
      <w:r>
        <w:rPr>
          <w:sz w:val="21"/>
        </w:rPr>
        <w:t>4.6.9</w:t>
      </w:r>
      <w:r>
        <w:rPr>
          <w:spacing w:val="-14"/>
          <w:sz w:val="21"/>
        </w:rPr>
        <w:t xml:space="preserve"> </w:t>
      </w:r>
      <w:r>
        <w:rPr>
          <w:spacing w:val="-14"/>
          <w:sz w:val="21"/>
        </w:rPr>
        <w:t>条的</w:t>
      </w:r>
      <w:r>
        <w:rPr>
          <w:spacing w:val="-3"/>
          <w:sz w:val="21"/>
        </w:rPr>
        <w:t>规定计算确定。</w:t>
      </w:r>
      <w:r>
        <w:rPr>
          <w:sz w:val="21"/>
        </w:rPr>
        <w:t xml:space="preserve"> </w:t>
      </w:r>
    </w:p>
    <w:p w14:paraId="58E5BF9B" w14:textId="77777777" w:rsidR="00A71EEF" w:rsidRDefault="0081115D">
      <w:pPr>
        <w:pStyle w:val="a4"/>
        <w:numPr>
          <w:ilvl w:val="2"/>
          <w:numId w:val="106"/>
        </w:numPr>
        <w:tabs>
          <w:tab w:val="left" w:pos="1424"/>
        </w:tabs>
        <w:spacing w:line="267" w:lineRule="exact"/>
        <w:rPr>
          <w:sz w:val="21"/>
        </w:rPr>
      </w:pPr>
      <w:r>
        <w:rPr>
          <w:spacing w:val="-3"/>
          <w:sz w:val="21"/>
        </w:rPr>
        <w:t>除中庭外下列场所一个防烟分区的排烟量计算应符合下列规定：</w:t>
      </w:r>
      <w:r>
        <w:rPr>
          <w:sz w:val="21"/>
        </w:rPr>
        <w:t xml:space="preserve"> </w:t>
      </w:r>
    </w:p>
    <w:p w14:paraId="00F49306" w14:textId="77777777" w:rsidR="00A71EEF" w:rsidRDefault="00A71EEF">
      <w:pPr>
        <w:pStyle w:val="a3"/>
        <w:spacing w:before="2"/>
        <w:rPr>
          <w:sz w:val="17"/>
        </w:rPr>
      </w:pPr>
    </w:p>
    <w:p w14:paraId="41B90E5E" w14:textId="77777777" w:rsidR="00A71EEF" w:rsidRDefault="0081115D">
      <w:pPr>
        <w:pStyle w:val="a3"/>
        <w:spacing w:before="1" w:line="439" w:lineRule="auto"/>
        <w:ind w:left="418" w:right="1555" w:firstLine="419"/>
      </w:pPr>
      <w:r>
        <w:rPr>
          <w:spacing w:val="-7"/>
        </w:rPr>
        <w:t>建筑空间净高小于或等于</w:t>
      </w:r>
      <w:r>
        <w:rPr>
          <w:spacing w:val="-7"/>
        </w:rPr>
        <w:t xml:space="preserve"> </w:t>
      </w:r>
      <w:r>
        <w:t>6m</w:t>
      </w:r>
      <w:r>
        <w:rPr>
          <w:spacing w:val="-12"/>
        </w:rPr>
        <w:t xml:space="preserve"> </w:t>
      </w:r>
      <w:r>
        <w:rPr>
          <w:spacing w:val="-12"/>
        </w:rPr>
        <w:t>的场所，其排烟量应按不小于</w:t>
      </w:r>
      <w:r>
        <w:rPr>
          <w:spacing w:val="-12"/>
        </w:rPr>
        <w:t xml:space="preserve"> </w:t>
      </w:r>
      <w:r>
        <w:t>60 m</w:t>
      </w:r>
      <w:r>
        <w:rPr>
          <w:position w:val="11"/>
          <w:sz w:val="11"/>
        </w:rPr>
        <w:t>3</w:t>
      </w:r>
      <w:r>
        <w:t xml:space="preserve">/ </w:t>
      </w:r>
      <w:r>
        <w:t>（</w:t>
      </w:r>
      <w:r>
        <w:t>h·m</w:t>
      </w:r>
      <w:r>
        <w:rPr>
          <w:position w:val="11"/>
          <w:sz w:val="11"/>
        </w:rPr>
        <w:t>2</w:t>
      </w:r>
      <w:r>
        <w:t>）</w:t>
      </w:r>
      <w:r>
        <w:rPr>
          <w:spacing w:val="-2"/>
        </w:rPr>
        <w:t>计算，且取值</w:t>
      </w:r>
      <w:r>
        <w:rPr>
          <w:spacing w:val="-15"/>
        </w:rPr>
        <w:t>不小于</w:t>
      </w:r>
      <w:r>
        <w:rPr>
          <w:spacing w:val="-15"/>
        </w:rPr>
        <w:t xml:space="preserve"> </w:t>
      </w:r>
      <w:r>
        <w:t>15000m</w:t>
      </w:r>
      <w:r>
        <w:rPr>
          <w:position w:val="11"/>
          <w:sz w:val="11"/>
        </w:rPr>
        <w:t xml:space="preserve">3 </w:t>
      </w:r>
      <w:r>
        <w:t>/h</w:t>
      </w:r>
      <w:r>
        <w:rPr>
          <w:spacing w:val="-6"/>
        </w:rPr>
        <w:t>，或设置有效面积不小于该房间建筑面积</w:t>
      </w:r>
      <w:r>
        <w:rPr>
          <w:spacing w:val="-6"/>
        </w:rPr>
        <w:t xml:space="preserve"> </w:t>
      </w:r>
      <w:r>
        <w:t>2</w:t>
      </w:r>
      <w:r>
        <w:rPr>
          <w:spacing w:val="-3"/>
        </w:rPr>
        <w:t>%</w:t>
      </w:r>
      <w:r>
        <w:rPr>
          <w:spacing w:val="-3"/>
        </w:rPr>
        <w:t>的自然排烟窗</w:t>
      </w:r>
      <w:r>
        <w:t>（口</w:t>
      </w:r>
      <w:r>
        <w:rPr>
          <w:spacing w:val="-3"/>
        </w:rPr>
        <w:t>）。</w:t>
      </w:r>
      <w:r>
        <w:t xml:space="preserve"> </w:t>
      </w:r>
    </w:p>
    <w:p w14:paraId="73690709" w14:textId="77777777" w:rsidR="00A71EEF" w:rsidRDefault="0081115D">
      <w:pPr>
        <w:pStyle w:val="a3"/>
        <w:spacing w:before="6" w:line="446" w:lineRule="auto"/>
        <w:ind w:left="418" w:right="1505" w:firstLine="419"/>
      </w:pPr>
      <w:r>
        <w:rPr>
          <w:spacing w:val="-5"/>
        </w:rPr>
        <w:t>公共建筑、工业建筑中空间净高大于</w:t>
      </w:r>
      <w:r>
        <w:rPr>
          <w:spacing w:val="-5"/>
        </w:rPr>
        <w:t xml:space="preserve"> </w:t>
      </w:r>
      <w:r>
        <w:t>6m</w:t>
      </w:r>
      <w:r>
        <w:rPr>
          <w:spacing w:val="-7"/>
        </w:rPr>
        <w:t xml:space="preserve"> </w:t>
      </w:r>
      <w:r>
        <w:rPr>
          <w:spacing w:val="-7"/>
        </w:rPr>
        <w:t>的场所，其每个防烟分区排烟量应根据场所内的热</w:t>
      </w:r>
      <w:r>
        <w:rPr>
          <w:spacing w:val="-9"/>
        </w:rPr>
        <w:t>释放速率以及本标准第</w:t>
      </w:r>
      <w:r>
        <w:rPr>
          <w:spacing w:val="-9"/>
        </w:rPr>
        <w:t xml:space="preserve"> </w:t>
      </w:r>
      <w:r>
        <w:t>4.6.6</w:t>
      </w:r>
      <w:r>
        <w:rPr>
          <w:spacing w:val="-27"/>
        </w:rPr>
        <w:t xml:space="preserve"> </w:t>
      </w:r>
      <w:r>
        <w:rPr>
          <w:spacing w:val="-27"/>
        </w:rPr>
        <w:t>条</w:t>
      </w:r>
      <w:r>
        <w:t>～</w:t>
      </w:r>
      <w:r>
        <w:rPr>
          <w:spacing w:val="-26"/>
        </w:rPr>
        <w:t>第</w:t>
      </w:r>
      <w:r>
        <w:rPr>
          <w:spacing w:val="-26"/>
        </w:rPr>
        <w:t xml:space="preserve"> </w:t>
      </w:r>
      <w:r>
        <w:t>4.6.13</w:t>
      </w:r>
      <w:r>
        <w:rPr>
          <w:spacing w:val="-11"/>
        </w:rPr>
        <w:t xml:space="preserve"> </w:t>
      </w:r>
      <w:r>
        <w:rPr>
          <w:spacing w:val="-11"/>
        </w:rPr>
        <w:t>条的规定计算确定，且不应小于表</w:t>
      </w:r>
      <w:r>
        <w:rPr>
          <w:spacing w:val="-11"/>
        </w:rPr>
        <w:t xml:space="preserve"> </w:t>
      </w:r>
      <w:r>
        <w:t>4.6.3</w:t>
      </w:r>
      <w:r>
        <w:rPr>
          <w:spacing w:val="-15"/>
        </w:rPr>
        <w:t xml:space="preserve"> </w:t>
      </w:r>
      <w:r>
        <w:rPr>
          <w:spacing w:val="-15"/>
        </w:rPr>
        <w:t>中的数</w:t>
      </w:r>
      <w:r>
        <w:t xml:space="preserve"> </w:t>
      </w:r>
    </w:p>
    <w:p w14:paraId="1F3FD63D" w14:textId="77777777" w:rsidR="00A71EEF" w:rsidRDefault="0081115D">
      <w:pPr>
        <w:pStyle w:val="a3"/>
        <w:spacing w:line="446" w:lineRule="auto"/>
        <w:ind w:left="418" w:right="1609"/>
      </w:pPr>
      <w:r>
        <w:rPr>
          <w:noProof/>
        </w:rPr>
        <w:drawing>
          <wp:anchor distT="0" distB="0" distL="0" distR="0" simplePos="0" relativeHeight="251771392" behindDoc="1" locked="0" layoutInCell="1" allowOverlap="1" wp14:anchorId="0EC0B717" wp14:editId="123CAABA">
            <wp:simplePos x="0" y="0"/>
            <wp:positionH relativeFrom="page">
              <wp:posOffset>1408430</wp:posOffset>
            </wp:positionH>
            <wp:positionV relativeFrom="paragraph">
              <wp:posOffset>592201</wp:posOffset>
            </wp:positionV>
            <wp:extent cx="4911090" cy="2714625"/>
            <wp:effectExtent l="0" t="0" r="0" b="0"/>
            <wp:wrapNone/>
            <wp:docPr id="675" name="image3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image398.jpeg"/>
                    <pic:cNvPicPr/>
                  </pic:nvPicPr>
                  <pic:blipFill>
                    <a:blip r:embed="rId501" cstate="print"/>
                    <a:stretch>
                      <a:fillRect/>
                    </a:stretch>
                  </pic:blipFill>
                  <pic:spPr>
                    <a:xfrm>
                      <a:off x="0" y="0"/>
                      <a:ext cx="4911090" cy="2714625"/>
                    </a:xfrm>
                    <a:prstGeom prst="rect">
                      <a:avLst/>
                    </a:prstGeom>
                  </pic:spPr>
                </pic:pic>
              </a:graphicData>
            </a:graphic>
          </wp:anchor>
        </w:drawing>
      </w:r>
      <w:r>
        <w:rPr>
          <w:spacing w:val="-3"/>
        </w:rPr>
        <w:t>值，或设置自然排烟窗（</w:t>
      </w:r>
      <w:r>
        <w:t>口）</w:t>
      </w:r>
      <w:r>
        <w:rPr>
          <w:spacing w:val="-6"/>
        </w:rPr>
        <w:t>，其所需有效排烟面积应根据表</w:t>
      </w:r>
      <w:r>
        <w:rPr>
          <w:spacing w:val="-6"/>
        </w:rPr>
        <w:t xml:space="preserve"> </w:t>
      </w:r>
      <w:r>
        <w:t>4.6.3</w:t>
      </w:r>
      <w:r>
        <w:rPr>
          <w:spacing w:val="-8"/>
        </w:rPr>
        <w:t xml:space="preserve"> </w:t>
      </w:r>
      <w:r>
        <w:rPr>
          <w:spacing w:val="-8"/>
        </w:rPr>
        <w:t>及自然排烟窗</w:t>
      </w:r>
      <w:r>
        <w:t>（</w:t>
      </w:r>
      <w:r>
        <w:rPr>
          <w:spacing w:val="-3"/>
        </w:rPr>
        <w:t>口</w:t>
      </w:r>
      <w:r>
        <w:t>）</w:t>
      </w:r>
      <w:r>
        <w:rPr>
          <w:spacing w:val="-2"/>
        </w:rPr>
        <w:t>处风</w:t>
      </w:r>
      <w:r>
        <w:rPr>
          <w:spacing w:val="-3"/>
        </w:rPr>
        <w:t>速计算。</w:t>
      </w:r>
      <w:r>
        <w:t xml:space="preserve"> </w:t>
      </w:r>
    </w:p>
    <w:p w14:paraId="6F0AA046" w14:textId="77777777" w:rsidR="00A71EEF" w:rsidRDefault="00A71EEF">
      <w:pPr>
        <w:pStyle w:val="a3"/>
        <w:rPr>
          <w:sz w:val="20"/>
        </w:rPr>
      </w:pPr>
    </w:p>
    <w:p w14:paraId="05B38D87" w14:textId="77777777" w:rsidR="00A71EEF" w:rsidRDefault="00A71EEF">
      <w:pPr>
        <w:pStyle w:val="a3"/>
        <w:rPr>
          <w:sz w:val="20"/>
        </w:rPr>
      </w:pPr>
    </w:p>
    <w:p w14:paraId="54491D54" w14:textId="77777777" w:rsidR="00A71EEF" w:rsidRDefault="00A71EEF">
      <w:pPr>
        <w:pStyle w:val="a3"/>
        <w:rPr>
          <w:sz w:val="20"/>
        </w:rPr>
      </w:pPr>
    </w:p>
    <w:p w14:paraId="13F6FC94" w14:textId="77777777" w:rsidR="00A71EEF" w:rsidRDefault="00A71EEF">
      <w:pPr>
        <w:pStyle w:val="a3"/>
        <w:rPr>
          <w:sz w:val="20"/>
        </w:rPr>
      </w:pPr>
    </w:p>
    <w:p w14:paraId="0544842C" w14:textId="77777777" w:rsidR="00A71EEF" w:rsidRDefault="00A71EEF">
      <w:pPr>
        <w:pStyle w:val="a3"/>
        <w:rPr>
          <w:sz w:val="20"/>
        </w:rPr>
      </w:pPr>
    </w:p>
    <w:p w14:paraId="308F4D9F" w14:textId="77777777" w:rsidR="00A71EEF" w:rsidRDefault="00A71EEF">
      <w:pPr>
        <w:pStyle w:val="a3"/>
        <w:rPr>
          <w:sz w:val="20"/>
        </w:rPr>
      </w:pPr>
    </w:p>
    <w:p w14:paraId="04A1AB1A" w14:textId="77777777" w:rsidR="00A71EEF" w:rsidRDefault="00A71EEF">
      <w:pPr>
        <w:pStyle w:val="a3"/>
        <w:rPr>
          <w:sz w:val="20"/>
        </w:rPr>
      </w:pPr>
    </w:p>
    <w:p w14:paraId="492DABDB" w14:textId="77777777" w:rsidR="00A71EEF" w:rsidRDefault="00A71EEF">
      <w:pPr>
        <w:pStyle w:val="a3"/>
        <w:rPr>
          <w:sz w:val="20"/>
        </w:rPr>
      </w:pPr>
    </w:p>
    <w:p w14:paraId="7826DF39" w14:textId="77777777" w:rsidR="00A71EEF" w:rsidRDefault="00A71EEF">
      <w:pPr>
        <w:pStyle w:val="a3"/>
        <w:rPr>
          <w:sz w:val="20"/>
        </w:rPr>
      </w:pPr>
    </w:p>
    <w:p w14:paraId="064E98C7" w14:textId="77777777" w:rsidR="00A71EEF" w:rsidRDefault="00A71EEF">
      <w:pPr>
        <w:pStyle w:val="a3"/>
        <w:rPr>
          <w:sz w:val="20"/>
        </w:rPr>
      </w:pPr>
    </w:p>
    <w:p w14:paraId="1047C291" w14:textId="77777777" w:rsidR="00A71EEF" w:rsidRDefault="00A71EEF">
      <w:pPr>
        <w:pStyle w:val="a3"/>
        <w:rPr>
          <w:sz w:val="20"/>
        </w:rPr>
      </w:pPr>
    </w:p>
    <w:p w14:paraId="2BFFF7F7" w14:textId="77777777" w:rsidR="00A71EEF" w:rsidRDefault="00A71EEF">
      <w:pPr>
        <w:pStyle w:val="a3"/>
        <w:rPr>
          <w:sz w:val="20"/>
        </w:rPr>
      </w:pPr>
    </w:p>
    <w:p w14:paraId="15D8768E" w14:textId="77777777" w:rsidR="00A71EEF" w:rsidRDefault="00A71EEF">
      <w:pPr>
        <w:pStyle w:val="a3"/>
        <w:rPr>
          <w:sz w:val="20"/>
        </w:rPr>
      </w:pPr>
    </w:p>
    <w:p w14:paraId="2C48E56D" w14:textId="77777777" w:rsidR="00A71EEF" w:rsidRDefault="00A71EEF">
      <w:pPr>
        <w:pStyle w:val="a3"/>
        <w:rPr>
          <w:sz w:val="20"/>
        </w:rPr>
      </w:pPr>
    </w:p>
    <w:p w14:paraId="03965726" w14:textId="77777777" w:rsidR="00A71EEF" w:rsidRDefault="00A71EEF">
      <w:pPr>
        <w:pStyle w:val="a3"/>
        <w:rPr>
          <w:sz w:val="20"/>
        </w:rPr>
      </w:pPr>
    </w:p>
    <w:p w14:paraId="399A0A65" w14:textId="77777777" w:rsidR="00A71EEF" w:rsidRDefault="00A71EEF">
      <w:pPr>
        <w:pStyle w:val="a3"/>
        <w:rPr>
          <w:sz w:val="20"/>
        </w:rPr>
      </w:pPr>
    </w:p>
    <w:p w14:paraId="658DAA5E" w14:textId="77777777" w:rsidR="00A71EEF" w:rsidRDefault="00A71EEF">
      <w:pPr>
        <w:pStyle w:val="a3"/>
        <w:spacing w:before="5"/>
        <w:rPr>
          <w:sz w:val="23"/>
        </w:rPr>
      </w:pPr>
    </w:p>
    <w:p w14:paraId="06CDC4A6" w14:textId="77777777" w:rsidR="00A71EEF" w:rsidRDefault="0081115D">
      <w:pPr>
        <w:pStyle w:val="a3"/>
        <w:spacing w:before="1" w:line="446" w:lineRule="auto"/>
        <w:ind w:left="418" w:right="1325" w:firstLine="419"/>
        <w:jc w:val="both"/>
      </w:pPr>
      <w:r>
        <w:t>注：</w:t>
      </w:r>
      <w:r>
        <w:t>1</w:t>
      </w:r>
      <w:r>
        <w:rPr>
          <w:spacing w:val="-6"/>
        </w:rPr>
        <w:t>.</w:t>
      </w:r>
      <w:r>
        <w:rPr>
          <w:spacing w:val="-6"/>
        </w:rPr>
        <w:t>建筑空间净高大于</w:t>
      </w:r>
      <w:r>
        <w:rPr>
          <w:spacing w:val="-6"/>
        </w:rPr>
        <w:t xml:space="preserve"> </w:t>
      </w:r>
      <w:r>
        <w:t>9.0m</w:t>
      </w:r>
      <w:r>
        <w:rPr>
          <w:spacing w:val="-13"/>
        </w:rPr>
        <w:t xml:space="preserve"> </w:t>
      </w:r>
      <w:r>
        <w:rPr>
          <w:spacing w:val="-13"/>
        </w:rPr>
        <w:t>的，按</w:t>
      </w:r>
      <w:r>
        <w:rPr>
          <w:spacing w:val="-13"/>
        </w:rPr>
        <w:t xml:space="preserve"> </w:t>
      </w:r>
      <w:r>
        <w:t>9.0m</w:t>
      </w:r>
      <w:r>
        <w:rPr>
          <w:spacing w:val="-7"/>
        </w:rPr>
        <w:t xml:space="preserve"> </w:t>
      </w:r>
      <w:r>
        <w:rPr>
          <w:spacing w:val="-7"/>
        </w:rPr>
        <w:t>取值；建筑空间净高位于表中两个高度之间的，</w:t>
      </w:r>
      <w:r>
        <w:rPr>
          <w:spacing w:val="-7"/>
        </w:rPr>
        <w:t xml:space="preserve"> </w:t>
      </w:r>
      <w:r>
        <w:rPr>
          <w:spacing w:val="-8"/>
        </w:rPr>
        <w:t>按线性插值法取值；表中建筑空间净高为</w:t>
      </w:r>
      <w:r>
        <w:rPr>
          <w:spacing w:val="-8"/>
        </w:rPr>
        <w:t xml:space="preserve"> </w:t>
      </w:r>
      <w:r>
        <w:t>6m</w:t>
      </w:r>
      <w:r>
        <w:rPr>
          <w:spacing w:val="-8"/>
        </w:rPr>
        <w:t xml:space="preserve"> </w:t>
      </w:r>
      <w:r>
        <w:rPr>
          <w:spacing w:val="-8"/>
        </w:rPr>
        <w:t>处的各排烟量值为线性插值法的计算基准值。</w:t>
      </w:r>
      <w:r>
        <w:t xml:space="preserve"> </w:t>
      </w:r>
    </w:p>
    <w:p w14:paraId="1EFDC862" w14:textId="77777777" w:rsidR="00A71EEF" w:rsidRDefault="0081115D">
      <w:pPr>
        <w:pStyle w:val="a4"/>
        <w:numPr>
          <w:ilvl w:val="0"/>
          <w:numId w:val="105"/>
        </w:numPr>
        <w:tabs>
          <w:tab w:val="left" w:pos="1051"/>
        </w:tabs>
        <w:spacing w:line="446" w:lineRule="auto"/>
        <w:ind w:right="1505" w:firstLine="419"/>
        <w:jc w:val="both"/>
        <w:rPr>
          <w:sz w:val="21"/>
        </w:rPr>
      </w:pPr>
      <w:r>
        <w:rPr>
          <w:spacing w:val="-5"/>
          <w:sz w:val="21"/>
        </w:rPr>
        <w:t>当采用自然排烟方式时，储烟仓厚度应大于房间净高的</w:t>
      </w:r>
      <w:r>
        <w:rPr>
          <w:spacing w:val="-5"/>
          <w:sz w:val="21"/>
        </w:rPr>
        <w:t xml:space="preserve"> </w:t>
      </w:r>
      <w:r>
        <w:rPr>
          <w:sz w:val="21"/>
        </w:rPr>
        <w:t>20</w:t>
      </w:r>
      <w:r>
        <w:rPr>
          <w:spacing w:val="-3"/>
          <w:sz w:val="21"/>
        </w:rPr>
        <w:t>%</w:t>
      </w:r>
      <w:r>
        <w:rPr>
          <w:spacing w:val="-3"/>
          <w:sz w:val="21"/>
        </w:rPr>
        <w:t>；自然排烟窗</w:t>
      </w:r>
      <w:r>
        <w:rPr>
          <w:sz w:val="21"/>
        </w:rPr>
        <w:t>（口</w:t>
      </w:r>
      <w:r>
        <w:rPr>
          <w:spacing w:val="-3"/>
          <w:sz w:val="21"/>
        </w:rPr>
        <w:t>）</w:t>
      </w:r>
      <w:r>
        <w:rPr>
          <w:spacing w:val="-2"/>
          <w:sz w:val="21"/>
        </w:rPr>
        <w:t>面积</w:t>
      </w:r>
      <w:r>
        <w:rPr>
          <w:spacing w:val="-2"/>
          <w:sz w:val="21"/>
        </w:rPr>
        <w:t>=</w:t>
      </w:r>
      <w:r>
        <w:rPr>
          <w:spacing w:val="-2"/>
          <w:sz w:val="21"/>
        </w:rPr>
        <w:t>计</w:t>
      </w:r>
      <w:r>
        <w:rPr>
          <w:spacing w:val="-3"/>
          <w:sz w:val="21"/>
        </w:rPr>
        <w:t>算排烟量</w:t>
      </w:r>
      <w:r>
        <w:rPr>
          <w:spacing w:val="-3"/>
          <w:sz w:val="21"/>
        </w:rPr>
        <w:t>/</w:t>
      </w:r>
      <w:r>
        <w:rPr>
          <w:spacing w:val="-3"/>
          <w:sz w:val="21"/>
        </w:rPr>
        <w:t>自然排烟窗（口</w:t>
      </w:r>
      <w:r>
        <w:rPr>
          <w:sz w:val="21"/>
        </w:rPr>
        <w:t>）</w:t>
      </w:r>
      <w:r>
        <w:rPr>
          <w:spacing w:val="-3"/>
          <w:sz w:val="21"/>
        </w:rPr>
        <w:t>处风速；当采用顶开窗排烟时，其自然排烟窗（</w:t>
      </w:r>
      <w:r>
        <w:rPr>
          <w:sz w:val="21"/>
        </w:rPr>
        <w:t>口）</w:t>
      </w:r>
      <w:r>
        <w:rPr>
          <w:spacing w:val="-3"/>
          <w:sz w:val="21"/>
        </w:rPr>
        <w:t>的风速可按侧</w:t>
      </w:r>
      <w:r>
        <w:rPr>
          <w:spacing w:val="-11"/>
          <w:sz w:val="21"/>
        </w:rPr>
        <w:t>窗口部风速的</w:t>
      </w:r>
      <w:r>
        <w:rPr>
          <w:spacing w:val="-11"/>
          <w:sz w:val="21"/>
        </w:rPr>
        <w:t xml:space="preserve"> </w:t>
      </w:r>
      <w:r>
        <w:rPr>
          <w:sz w:val="21"/>
        </w:rPr>
        <w:t>1.4</w:t>
      </w:r>
      <w:r>
        <w:rPr>
          <w:spacing w:val="-15"/>
          <w:sz w:val="21"/>
        </w:rPr>
        <w:t xml:space="preserve"> </w:t>
      </w:r>
      <w:r>
        <w:rPr>
          <w:spacing w:val="-15"/>
          <w:sz w:val="21"/>
        </w:rPr>
        <w:t>倍计。</w:t>
      </w:r>
      <w:r>
        <w:rPr>
          <w:spacing w:val="-15"/>
          <w:sz w:val="21"/>
        </w:rPr>
        <w:t xml:space="preserve"> </w:t>
      </w:r>
    </w:p>
    <w:p w14:paraId="08FD144C" w14:textId="77777777" w:rsidR="00A71EEF" w:rsidRDefault="0081115D">
      <w:pPr>
        <w:pStyle w:val="a4"/>
        <w:numPr>
          <w:ilvl w:val="0"/>
          <w:numId w:val="105"/>
        </w:numPr>
        <w:tabs>
          <w:tab w:val="left" w:pos="1051"/>
        </w:tabs>
        <w:spacing w:line="441" w:lineRule="auto"/>
        <w:ind w:right="1474" w:firstLine="419"/>
        <w:jc w:val="both"/>
        <w:rPr>
          <w:sz w:val="21"/>
        </w:rPr>
      </w:pPr>
      <w:r>
        <w:rPr>
          <w:spacing w:val="-5"/>
          <w:sz w:val="21"/>
        </w:rPr>
        <w:t>当公共建筑仅需在走道或回廊设置排烟时，其机械排烟量不应小于</w:t>
      </w:r>
      <w:r>
        <w:rPr>
          <w:spacing w:val="-5"/>
          <w:sz w:val="21"/>
        </w:rPr>
        <w:t xml:space="preserve"> </w:t>
      </w:r>
      <w:r>
        <w:rPr>
          <w:sz w:val="21"/>
        </w:rPr>
        <w:t>13000m</w:t>
      </w:r>
      <w:r>
        <w:rPr>
          <w:position w:val="11"/>
          <w:sz w:val="11"/>
        </w:rPr>
        <w:t>3</w:t>
      </w:r>
      <w:r>
        <w:rPr>
          <w:sz w:val="21"/>
        </w:rPr>
        <w:t>/h</w:t>
      </w:r>
      <w:r>
        <w:rPr>
          <w:sz w:val="21"/>
        </w:rPr>
        <w:t>，</w:t>
      </w:r>
      <w:r>
        <w:rPr>
          <w:spacing w:val="-3"/>
          <w:sz w:val="21"/>
        </w:rPr>
        <w:t>或在走道两端（</w:t>
      </w:r>
      <w:r>
        <w:rPr>
          <w:sz w:val="21"/>
        </w:rPr>
        <w:t>侧</w:t>
      </w:r>
      <w:r>
        <w:rPr>
          <w:spacing w:val="-3"/>
          <w:sz w:val="21"/>
        </w:rPr>
        <w:t>）</w:t>
      </w:r>
      <w:r>
        <w:rPr>
          <w:spacing w:val="-6"/>
          <w:sz w:val="21"/>
        </w:rPr>
        <w:t>均设置面积不小于</w:t>
      </w:r>
      <w:r>
        <w:rPr>
          <w:spacing w:val="-6"/>
          <w:sz w:val="21"/>
        </w:rPr>
        <w:t xml:space="preserve"> </w:t>
      </w:r>
      <w:r>
        <w:rPr>
          <w:sz w:val="21"/>
        </w:rPr>
        <w:t>2m</w:t>
      </w:r>
      <w:r>
        <w:rPr>
          <w:position w:val="11"/>
          <w:sz w:val="11"/>
        </w:rPr>
        <w:t>2</w:t>
      </w:r>
      <w:r>
        <w:rPr>
          <w:spacing w:val="-16"/>
          <w:position w:val="11"/>
          <w:sz w:val="11"/>
        </w:rPr>
        <w:t xml:space="preserve"> </w:t>
      </w:r>
      <w:r>
        <w:rPr>
          <w:spacing w:val="-3"/>
          <w:sz w:val="21"/>
        </w:rPr>
        <w:t>的自然排烟窗</w:t>
      </w:r>
      <w:r>
        <w:rPr>
          <w:sz w:val="21"/>
        </w:rPr>
        <w:t>（</w:t>
      </w:r>
      <w:r>
        <w:rPr>
          <w:spacing w:val="-3"/>
          <w:sz w:val="21"/>
        </w:rPr>
        <w:t>口</w:t>
      </w:r>
      <w:r>
        <w:rPr>
          <w:sz w:val="21"/>
        </w:rPr>
        <w:t>）</w:t>
      </w:r>
      <w:r>
        <w:rPr>
          <w:spacing w:val="-3"/>
          <w:sz w:val="21"/>
        </w:rPr>
        <w:t>且两侧自然排烟窗</w:t>
      </w:r>
      <w:r>
        <w:rPr>
          <w:sz w:val="21"/>
        </w:rPr>
        <w:t>（</w:t>
      </w:r>
      <w:r>
        <w:rPr>
          <w:spacing w:val="-3"/>
          <w:sz w:val="21"/>
        </w:rPr>
        <w:t>口</w:t>
      </w:r>
      <w:r>
        <w:rPr>
          <w:sz w:val="21"/>
        </w:rPr>
        <w:t>）</w:t>
      </w:r>
      <w:r>
        <w:rPr>
          <w:spacing w:val="-3"/>
          <w:sz w:val="21"/>
        </w:rPr>
        <w:t>的距离不应小于</w:t>
      </w:r>
      <w:r>
        <w:rPr>
          <w:spacing w:val="-12"/>
          <w:sz w:val="21"/>
        </w:rPr>
        <w:t>走道长度的</w:t>
      </w:r>
      <w:r>
        <w:rPr>
          <w:spacing w:val="-12"/>
          <w:sz w:val="21"/>
        </w:rPr>
        <w:t xml:space="preserve"> </w:t>
      </w:r>
      <w:r>
        <w:rPr>
          <w:sz w:val="21"/>
        </w:rPr>
        <w:t>2/3</w:t>
      </w:r>
      <w:r>
        <w:rPr>
          <w:spacing w:val="-3"/>
          <w:sz w:val="21"/>
        </w:rPr>
        <w:t>。</w:t>
      </w:r>
      <w:r>
        <w:rPr>
          <w:sz w:val="21"/>
        </w:rPr>
        <w:t xml:space="preserve"> </w:t>
      </w:r>
    </w:p>
    <w:p w14:paraId="70006007" w14:textId="77777777" w:rsidR="00A71EEF" w:rsidRDefault="00A71EEF">
      <w:pPr>
        <w:spacing w:line="441" w:lineRule="auto"/>
        <w:jc w:val="both"/>
        <w:rPr>
          <w:sz w:val="21"/>
        </w:rPr>
        <w:sectPr w:rsidR="00A71EEF">
          <w:pgSz w:w="11910" w:h="16850"/>
          <w:pgMar w:top="1220" w:right="0" w:bottom="1420" w:left="1260" w:header="0" w:footer="1239" w:gutter="0"/>
          <w:cols w:space="720"/>
        </w:sectPr>
      </w:pPr>
    </w:p>
    <w:p w14:paraId="5970E421" w14:textId="77777777" w:rsidR="00A71EEF" w:rsidRDefault="0081115D">
      <w:pPr>
        <w:pStyle w:val="a4"/>
        <w:numPr>
          <w:ilvl w:val="0"/>
          <w:numId w:val="105"/>
        </w:numPr>
        <w:tabs>
          <w:tab w:val="left" w:pos="1051"/>
        </w:tabs>
        <w:spacing w:before="47" w:line="441" w:lineRule="auto"/>
        <w:ind w:right="1445" w:firstLine="419"/>
        <w:rPr>
          <w:sz w:val="21"/>
        </w:rPr>
      </w:pPr>
      <w:r>
        <w:rPr>
          <w:spacing w:val="-2"/>
          <w:sz w:val="21"/>
        </w:rPr>
        <w:t>当公共建筑房间内与走道或回廊均需设置排烟时，其走道或回廊的机械排烟量可按</w:t>
      </w:r>
      <w:r>
        <w:rPr>
          <w:spacing w:val="-2"/>
          <w:sz w:val="21"/>
        </w:rPr>
        <w:t xml:space="preserve"> </w:t>
      </w:r>
      <w:r>
        <w:rPr>
          <w:sz w:val="21"/>
        </w:rPr>
        <w:t>60 m</w:t>
      </w:r>
      <w:r>
        <w:rPr>
          <w:position w:val="11"/>
          <w:sz w:val="11"/>
        </w:rPr>
        <w:t>3</w:t>
      </w:r>
      <w:r>
        <w:rPr>
          <w:sz w:val="21"/>
        </w:rPr>
        <w:t>/</w:t>
      </w:r>
      <w:r>
        <w:rPr>
          <w:spacing w:val="12"/>
          <w:sz w:val="21"/>
        </w:rPr>
        <w:t xml:space="preserve"> </w:t>
      </w:r>
      <w:r>
        <w:rPr>
          <w:sz w:val="21"/>
        </w:rPr>
        <w:t>（</w:t>
      </w:r>
      <w:r>
        <w:rPr>
          <w:sz w:val="21"/>
        </w:rPr>
        <w:t>h·m</w:t>
      </w:r>
      <w:r>
        <w:rPr>
          <w:position w:val="11"/>
          <w:sz w:val="11"/>
        </w:rPr>
        <w:t>2</w:t>
      </w:r>
      <w:r>
        <w:rPr>
          <w:sz w:val="21"/>
        </w:rPr>
        <w:t>）</w:t>
      </w:r>
      <w:r>
        <w:rPr>
          <w:spacing w:val="-9"/>
          <w:sz w:val="21"/>
        </w:rPr>
        <w:t>计算且不小于</w:t>
      </w:r>
      <w:r>
        <w:rPr>
          <w:spacing w:val="-9"/>
          <w:sz w:val="21"/>
        </w:rPr>
        <w:t xml:space="preserve"> </w:t>
      </w:r>
      <w:r>
        <w:rPr>
          <w:sz w:val="21"/>
        </w:rPr>
        <w:t>13000m</w:t>
      </w:r>
      <w:r>
        <w:rPr>
          <w:position w:val="11"/>
          <w:sz w:val="11"/>
        </w:rPr>
        <w:t>3</w:t>
      </w:r>
      <w:r>
        <w:rPr>
          <w:sz w:val="21"/>
        </w:rPr>
        <w:t>/h</w:t>
      </w:r>
      <w:r>
        <w:rPr>
          <w:spacing w:val="-5"/>
          <w:sz w:val="21"/>
        </w:rPr>
        <w:t>，或设置有效面积不小于走道、回廊建筑面积</w:t>
      </w:r>
      <w:r>
        <w:rPr>
          <w:spacing w:val="-5"/>
          <w:sz w:val="21"/>
        </w:rPr>
        <w:t xml:space="preserve"> </w:t>
      </w:r>
      <w:r>
        <w:rPr>
          <w:sz w:val="21"/>
        </w:rPr>
        <w:t>2</w:t>
      </w:r>
      <w:r>
        <w:rPr>
          <w:spacing w:val="-1"/>
          <w:sz w:val="21"/>
        </w:rPr>
        <w:t>%</w:t>
      </w:r>
      <w:r>
        <w:rPr>
          <w:spacing w:val="-1"/>
          <w:sz w:val="21"/>
        </w:rPr>
        <w:t>的自然</w:t>
      </w:r>
      <w:r>
        <w:rPr>
          <w:spacing w:val="-1"/>
          <w:sz w:val="21"/>
        </w:rPr>
        <w:t>排烟窗</w:t>
      </w:r>
      <w:r>
        <w:rPr>
          <w:spacing w:val="-3"/>
          <w:sz w:val="21"/>
        </w:rPr>
        <w:t>（</w:t>
      </w:r>
      <w:r>
        <w:rPr>
          <w:sz w:val="21"/>
        </w:rPr>
        <w:t>口</w:t>
      </w:r>
      <w:r>
        <w:rPr>
          <w:spacing w:val="-3"/>
          <w:sz w:val="21"/>
        </w:rPr>
        <w:t>）。</w:t>
      </w:r>
      <w:r>
        <w:rPr>
          <w:sz w:val="21"/>
        </w:rPr>
        <w:t xml:space="preserve"> </w:t>
      </w:r>
    </w:p>
    <w:p w14:paraId="5AEC9BEE" w14:textId="77777777" w:rsidR="00A71EEF" w:rsidRDefault="0081115D">
      <w:pPr>
        <w:pStyle w:val="a4"/>
        <w:numPr>
          <w:ilvl w:val="2"/>
          <w:numId w:val="106"/>
        </w:numPr>
        <w:tabs>
          <w:tab w:val="left" w:pos="1424"/>
        </w:tabs>
        <w:spacing w:before="5" w:line="446" w:lineRule="auto"/>
        <w:ind w:left="838" w:right="1505" w:firstLine="2"/>
        <w:rPr>
          <w:sz w:val="21"/>
        </w:rPr>
      </w:pPr>
      <w:r>
        <w:rPr>
          <w:spacing w:val="-3"/>
          <w:sz w:val="21"/>
        </w:rPr>
        <w:t>当一个排烟系统担负多个防烟分区排烟时，其系统排烟量的计算应符合下列规定：</w:t>
      </w:r>
      <w:r>
        <w:rPr>
          <w:spacing w:val="-3"/>
          <w:sz w:val="21"/>
        </w:rPr>
        <w:t xml:space="preserve"> </w:t>
      </w:r>
      <w:r>
        <w:rPr>
          <w:spacing w:val="-5"/>
          <w:sz w:val="21"/>
        </w:rPr>
        <w:t>当系统负担具有相同净高场所时，对于建筑空间净高大于</w:t>
      </w:r>
      <w:r>
        <w:rPr>
          <w:spacing w:val="-5"/>
          <w:sz w:val="21"/>
        </w:rPr>
        <w:t xml:space="preserve"> </w:t>
      </w:r>
      <w:r>
        <w:rPr>
          <w:sz w:val="21"/>
        </w:rPr>
        <w:t>6m</w:t>
      </w:r>
      <w:r>
        <w:rPr>
          <w:spacing w:val="-8"/>
          <w:sz w:val="21"/>
        </w:rPr>
        <w:t xml:space="preserve"> </w:t>
      </w:r>
      <w:r>
        <w:rPr>
          <w:spacing w:val="-8"/>
          <w:sz w:val="21"/>
        </w:rPr>
        <w:t>的场所，应按排烟量最大的一</w:t>
      </w:r>
    </w:p>
    <w:p w14:paraId="4226E06A" w14:textId="77777777" w:rsidR="00A71EEF" w:rsidRDefault="0081115D">
      <w:pPr>
        <w:pStyle w:val="a3"/>
        <w:spacing w:line="446" w:lineRule="auto"/>
        <w:ind w:left="418" w:right="1505"/>
      </w:pPr>
      <w:r>
        <w:rPr>
          <w:spacing w:val="-5"/>
        </w:rPr>
        <w:t>个防烟分区的排烟量计算；对于建筑空间净高为</w:t>
      </w:r>
      <w:r>
        <w:rPr>
          <w:spacing w:val="-5"/>
        </w:rPr>
        <w:t xml:space="preserve"> </w:t>
      </w:r>
      <w:r>
        <w:t>6m</w:t>
      </w:r>
      <w:r>
        <w:rPr>
          <w:spacing w:val="-7"/>
        </w:rPr>
        <w:t xml:space="preserve"> </w:t>
      </w:r>
      <w:r>
        <w:rPr>
          <w:spacing w:val="-7"/>
        </w:rPr>
        <w:t>及以下的场所，应按同一防火分区中任意两</w:t>
      </w:r>
      <w:r>
        <w:rPr>
          <w:spacing w:val="-5"/>
        </w:rPr>
        <w:t>个相邻防烟分区的排烟量之和的最大值计算。</w:t>
      </w:r>
      <w:r>
        <w:t xml:space="preserve"> </w:t>
      </w:r>
    </w:p>
    <w:p w14:paraId="687C0C03" w14:textId="77777777" w:rsidR="00A71EEF" w:rsidRDefault="0081115D">
      <w:pPr>
        <w:pStyle w:val="a3"/>
        <w:spacing w:line="446" w:lineRule="auto"/>
        <w:ind w:left="418" w:right="1609" w:firstLine="419"/>
      </w:pPr>
      <w:r>
        <w:t>当系统负担具有不同净高场所时，应采用上述方法对系统中每个场所所需的排烟量进行计算，并取其中的最大值作为系统排烟量。</w:t>
      </w:r>
      <w:r>
        <w:t xml:space="preserve"> </w:t>
      </w:r>
    </w:p>
    <w:p w14:paraId="79E5B032" w14:textId="77777777" w:rsidR="00A71EEF" w:rsidRDefault="0081115D">
      <w:pPr>
        <w:pStyle w:val="a4"/>
        <w:numPr>
          <w:ilvl w:val="2"/>
          <w:numId w:val="106"/>
        </w:numPr>
        <w:tabs>
          <w:tab w:val="left" w:pos="1424"/>
        </w:tabs>
        <w:rPr>
          <w:sz w:val="21"/>
        </w:rPr>
      </w:pPr>
      <w:r>
        <w:rPr>
          <w:spacing w:val="-3"/>
          <w:sz w:val="21"/>
        </w:rPr>
        <w:t>中庭排烟量的设计计算应符合下列规定：</w:t>
      </w:r>
      <w:r>
        <w:rPr>
          <w:sz w:val="21"/>
        </w:rPr>
        <w:t xml:space="preserve"> </w:t>
      </w:r>
    </w:p>
    <w:p w14:paraId="7BA55796" w14:textId="77777777" w:rsidR="00A71EEF" w:rsidRDefault="00A71EEF">
      <w:pPr>
        <w:pStyle w:val="a3"/>
        <w:spacing w:before="10"/>
        <w:rPr>
          <w:sz w:val="17"/>
        </w:rPr>
      </w:pPr>
    </w:p>
    <w:p w14:paraId="111E0537" w14:textId="77777777" w:rsidR="00A71EEF" w:rsidRDefault="0081115D">
      <w:pPr>
        <w:pStyle w:val="a3"/>
        <w:spacing w:before="1" w:line="446" w:lineRule="auto"/>
        <w:ind w:left="418" w:right="1558" w:firstLine="419"/>
        <w:jc w:val="both"/>
      </w:pPr>
      <w:r>
        <w:rPr>
          <w:spacing w:val="-3"/>
        </w:rPr>
        <w:t>中庭周围场所设有排烟系统时，中庭采用机械排烟系统的，中庭排烟量应按周围场所防烟</w:t>
      </w:r>
      <w:r>
        <w:rPr>
          <w:spacing w:val="-7"/>
        </w:rPr>
        <w:t>分区中最大排烟量的</w:t>
      </w:r>
      <w:r>
        <w:rPr>
          <w:spacing w:val="-7"/>
        </w:rPr>
        <w:t xml:space="preserve"> </w:t>
      </w:r>
      <w:r>
        <w:t>2</w:t>
      </w:r>
      <w:r>
        <w:rPr>
          <w:spacing w:val="-11"/>
        </w:rPr>
        <w:t xml:space="preserve"> </w:t>
      </w:r>
      <w:r>
        <w:rPr>
          <w:spacing w:val="-11"/>
        </w:rPr>
        <w:t>倍数值计算，且不应小于</w:t>
      </w:r>
      <w:r>
        <w:rPr>
          <w:spacing w:val="-11"/>
        </w:rPr>
        <w:t xml:space="preserve"> </w:t>
      </w:r>
      <w:r>
        <w:t>107000m3/h</w:t>
      </w:r>
      <w:r>
        <w:rPr>
          <w:spacing w:val="-3"/>
        </w:rPr>
        <w:t>；中庭采用自然排烟系统时，应按上述排烟量和自然排烟窗</w:t>
      </w:r>
      <w:r>
        <w:t>（口</w:t>
      </w:r>
      <w:r>
        <w:rPr>
          <w:spacing w:val="-3"/>
        </w:rPr>
        <w:t>）</w:t>
      </w:r>
      <w:r>
        <w:rPr>
          <w:spacing w:val="-11"/>
        </w:rPr>
        <w:t>的风速不大于</w:t>
      </w:r>
      <w:r>
        <w:rPr>
          <w:spacing w:val="-11"/>
        </w:rPr>
        <w:t xml:space="preserve"> </w:t>
      </w:r>
      <w:r>
        <w:t>0.5m/s</w:t>
      </w:r>
      <w:r>
        <w:rPr>
          <w:spacing w:val="-9"/>
        </w:rPr>
        <w:t xml:space="preserve"> </w:t>
      </w:r>
      <w:r>
        <w:rPr>
          <w:spacing w:val="-9"/>
        </w:rPr>
        <w:t>计算有效开窗面积。</w:t>
      </w:r>
      <w:r>
        <w:t xml:space="preserve"> </w:t>
      </w:r>
    </w:p>
    <w:p w14:paraId="47BABBDD" w14:textId="77777777" w:rsidR="00A71EEF" w:rsidRDefault="0081115D">
      <w:pPr>
        <w:pStyle w:val="a3"/>
        <w:spacing w:line="446" w:lineRule="auto"/>
        <w:ind w:left="418" w:right="1450" w:firstLine="419"/>
      </w:pPr>
      <w:r>
        <w:rPr>
          <w:spacing w:val="-3"/>
        </w:rPr>
        <w:t>当中庭周围场所不需设置排烟系统，仅在回廊设置排烟系统时，回廊的排烟量不应小于本</w:t>
      </w:r>
      <w:r>
        <w:rPr>
          <w:spacing w:val="-3"/>
        </w:rPr>
        <w:t xml:space="preserve"> </w:t>
      </w:r>
      <w:r>
        <w:rPr>
          <w:spacing w:val="-14"/>
        </w:rPr>
        <w:t>标准第</w:t>
      </w:r>
      <w:r>
        <w:rPr>
          <w:spacing w:val="-14"/>
        </w:rPr>
        <w:t xml:space="preserve"> </w:t>
      </w:r>
      <w:r>
        <w:t>4.6.3</w:t>
      </w:r>
      <w:r>
        <w:rPr>
          <w:spacing w:val="-25"/>
        </w:rPr>
        <w:t xml:space="preserve"> </w:t>
      </w:r>
      <w:r>
        <w:rPr>
          <w:spacing w:val="-25"/>
        </w:rPr>
        <w:t>条第</w:t>
      </w:r>
      <w:r>
        <w:rPr>
          <w:spacing w:val="-25"/>
        </w:rPr>
        <w:t xml:space="preserve"> </w:t>
      </w:r>
      <w:r>
        <w:t>3</w:t>
      </w:r>
      <w:r>
        <w:rPr>
          <w:spacing w:val="-12"/>
        </w:rPr>
        <w:t xml:space="preserve"> </w:t>
      </w:r>
      <w:r>
        <w:rPr>
          <w:spacing w:val="-12"/>
        </w:rPr>
        <w:t>款的规定，中庭的排烟量不应小于</w:t>
      </w:r>
      <w:r>
        <w:rPr>
          <w:spacing w:val="-12"/>
        </w:rPr>
        <w:t xml:space="preserve"> </w:t>
      </w:r>
      <w:r>
        <w:t>40000m3/h</w:t>
      </w:r>
      <w:r>
        <w:rPr>
          <w:spacing w:val="-3"/>
        </w:rPr>
        <w:t>；中庭采用自然排烟系统时，</w:t>
      </w:r>
      <w:r>
        <w:rPr>
          <w:spacing w:val="-3"/>
        </w:rPr>
        <w:t xml:space="preserve"> </w:t>
      </w:r>
      <w:r>
        <w:rPr>
          <w:spacing w:val="-3"/>
        </w:rPr>
        <w:t>应按上述排烟量和自然排烟窗（</w:t>
      </w:r>
      <w:r>
        <w:t>口</w:t>
      </w:r>
      <w:r>
        <w:rPr>
          <w:spacing w:val="-3"/>
        </w:rPr>
        <w:t>）</w:t>
      </w:r>
      <w:r>
        <w:rPr>
          <w:spacing w:val="-11"/>
        </w:rPr>
        <w:t>的风速不大于</w:t>
      </w:r>
      <w:r>
        <w:rPr>
          <w:spacing w:val="-11"/>
        </w:rPr>
        <w:t xml:space="preserve"> </w:t>
      </w:r>
      <w:r>
        <w:t>0.4m/s</w:t>
      </w:r>
      <w:r>
        <w:rPr>
          <w:spacing w:val="-9"/>
        </w:rPr>
        <w:t xml:space="preserve"> </w:t>
      </w:r>
      <w:r>
        <w:rPr>
          <w:spacing w:val="-9"/>
        </w:rPr>
        <w:t>计算有效开窗面积。</w:t>
      </w:r>
      <w:r>
        <w:rPr>
          <w:spacing w:val="-9"/>
        </w:rPr>
        <w:t xml:space="preserve"> </w:t>
      </w:r>
    </w:p>
    <w:p w14:paraId="61C5DF8E" w14:textId="77777777" w:rsidR="00A71EEF" w:rsidRDefault="0081115D">
      <w:pPr>
        <w:pStyle w:val="a4"/>
        <w:numPr>
          <w:ilvl w:val="2"/>
          <w:numId w:val="106"/>
        </w:numPr>
        <w:tabs>
          <w:tab w:val="left" w:pos="1424"/>
        </w:tabs>
        <w:spacing w:line="268" w:lineRule="exact"/>
        <w:rPr>
          <w:sz w:val="21"/>
        </w:rPr>
      </w:pPr>
      <w:r>
        <w:rPr>
          <w:spacing w:val="-12"/>
          <w:sz w:val="21"/>
        </w:rPr>
        <w:t>除本标准第</w:t>
      </w:r>
      <w:r>
        <w:rPr>
          <w:spacing w:val="-12"/>
          <w:sz w:val="21"/>
        </w:rPr>
        <w:t xml:space="preserve"> </w:t>
      </w:r>
      <w:r>
        <w:rPr>
          <w:sz w:val="21"/>
        </w:rPr>
        <w:t>4.6.3</w:t>
      </w:r>
      <w:r>
        <w:rPr>
          <w:spacing w:val="-23"/>
          <w:sz w:val="21"/>
        </w:rPr>
        <w:t xml:space="preserve"> </w:t>
      </w:r>
      <w:r>
        <w:rPr>
          <w:spacing w:val="-23"/>
          <w:sz w:val="21"/>
        </w:rPr>
        <w:t>条、第</w:t>
      </w:r>
      <w:r>
        <w:rPr>
          <w:spacing w:val="-23"/>
          <w:sz w:val="21"/>
        </w:rPr>
        <w:t xml:space="preserve"> </w:t>
      </w:r>
      <w:r>
        <w:rPr>
          <w:sz w:val="21"/>
        </w:rPr>
        <w:t>4.6.5</w:t>
      </w:r>
      <w:r>
        <w:rPr>
          <w:spacing w:val="-9"/>
          <w:sz w:val="21"/>
        </w:rPr>
        <w:t xml:space="preserve"> </w:t>
      </w:r>
      <w:r>
        <w:rPr>
          <w:spacing w:val="-9"/>
          <w:sz w:val="21"/>
        </w:rPr>
        <w:t>条规定的场所外，其他场所的排烟量或自然排烟窗</w:t>
      </w:r>
    </w:p>
    <w:p w14:paraId="7F1E355B" w14:textId="77777777" w:rsidR="00A71EEF" w:rsidRDefault="00A71EEF">
      <w:pPr>
        <w:pStyle w:val="a3"/>
        <w:spacing w:before="11"/>
        <w:rPr>
          <w:sz w:val="17"/>
        </w:rPr>
      </w:pPr>
    </w:p>
    <w:p w14:paraId="44F1DE0B" w14:textId="77777777" w:rsidR="00A71EEF" w:rsidRDefault="0081115D">
      <w:pPr>
        <w:pStyle w:val="a3"/>
        <w:spacing w:line="446" w:lineRule="auto"/>
        <w:ind w:left="418" w:right="1608"/>
      </w:pPr>
      <w:r>
        <w:t>（口）面积应按照烟羽流类型，根据火灾热释放速率、清晰高度、烟羽流质量流量及烟羽流温度等参数计算确定。</w:t>
      </w:r>
      <w:r>
        <w:t xml:space="preserve"> </w:t>
      </w:r>
    </w:p>
    <w:p w14:paraId="0DE01AC0" w14:textId="77777777" w:rsidR="00A71EEF" w:rsidRDefault="00A71EEF">
      <w:pPr>
        <w:spacing w:line="446" w:lineRule="auto"/>
        <w:sectPr w:rsidR="00A71EEF">
          <w:footerReference w:type="default" r:id="rId502"/>
          <w:pgSz w:w="11910" w:h="16850"/>
          <w:pgMar w:top="1220" w:right="0" w:bottom="1420" w:left="1260" w:header="0" w:footer="1239" w:gutter="0"/>
          <w:pgNumType w:start="1540"/>
          <w:cols w:space="720"/>
        </w:sectPr>
      </w:pPr>
    </w:p>
    <w:p w14:paraId="696EE78D" w14:textId="77777777" w:rsidR="00A71EEF" w:rsidRDefault="0081115D">
      <w:pPr>
        <w:pStyle w:val="a4"/>
        <w:numPr>
          <w:ilvl w:val="2"/>
          <w:numId w:val="106"/>
        </w:numPr>
        <w:tabs>
          <w:tab w:val="left" w:pos="1424"/>
        </w:tabs>
        <w:spacing w:before="47" w:line="446" w:lineRule="auto"/>
        <w:ind w:left="418" w:right="1505" w:firstLine="422"/>
        <w:rPr>
          <w:sz w:val="21"/>
        </w:rPr>
      </w:pPr>
      <w:r>
        <w:rPr>
          <w:noProof/>
        </w:rPr>
        <w:drawing>
          <wp:anchor distT="0" distB="0" distL="0" distR="0" simplePos="0" relativeHeight="251705856" behindDoc="0" locked="0" layoutInCell="1" allowOverlap="1" wp14:anchorId="3C6E4BFB" wp14:editId="6E65AEAD">
            <wp:simplePos x="0" y="0"/>
            <wp:positionH relativeFrom="page">
              <wp:posOffset>1284605</wp:posOffset>
            </wp:positionH>
            <wp:positionV relativeFrom="paragraph">
              <wp:posOffset>1013205</wp:posOffset>
            </wp:positionV>
            <wp:extent cx="4958427" cy="3467100"/>
            <wp:effectExtent l="0" t="0" r="0" b="0"/>
            <wp:wrapTopAndBottom/>
            <wp:docPr id="677" name="image3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image399.jpeg"/>
                    <pic:cNvPicPr/>
                  </pic:nvPicPr>
                  <pic:blipFill>
                    <a:blip r:embed="rId503" cstate="print"/>
                    <a:stretch>
                      <a:fillRect/>
                    </a:stretch>
                  </pic:blipFill>
                  <pic:spPr>
                    <a:xfrm>
                      <a:off x="0" y="0"/>
                      <a:ext cx="4958427" cy="3467100"/>
                    </a:xfrm>
                    <a:prstGeom prst="rect">
                      <a:avLst/>
                    </a:prstGeom>
                  </pic:spPr>
                </pic:pic>
              </a:graphicData>
            </a:graphic>
          </wp:anchor>
        </w:drawing>
      </w:r>
      <w:r>
        <w:rPr>
          <w:spacing w:val="-6"/>
          <w:sz w:val="21"/>
        </w:rPr>
        <w:t>各类场所的火灾热释放速率可按本标准第</w:t>
      </w:r>
      <w:r>
        <w:rPr>
          <w:spacing w:val="-6"/>
          <w:sz w:val="21"/>
        </w:rPr>
        <w:t xml:space="preserve"> </w:t>
      </w:r>
      <w:r>
        <w:rPr>
          <w:sz w:val="21"/>
        </w:rPr>
        <w:t>4.6.10</w:t>
      </w:r>
      <w:r>
        <w:rPr>
          <w:spacing w:val="-11"/>
          <w:sz w:val="21"/>
        </w:rPr>
        <w:t xml:space="preserve"> </w:t>
      </w:r>
      <w:r>
        <w:rPr>
          <w:spacing w:val="-11"/>
          <w:sz w:val="21"/>
        </w:rPr>
        <w:t>条的规定计算且不应小于表</w:t>
      </w:r>
      <w:r>
        <w:rPr>
          <w:spacing w:val="-11"/>
          <w:sz w:val="21"/>
        </w:rPr>
        <w:t xml:space="preserve"> </w:t>
      </w:r>
      <w:r>
        <w:rPr>
          <w:sz w:val="21"/>
        </w:rPr>
        <w:t xml:space="preserve">4.6.7 </w:t>
      </w:r>
      <w:r>
        <w:rPr>
          <w:spacing w:val="-3"/>
          <w:sz w:val="21"/>
        </w:rPr>
        <w:t>规定的值。设置自动喷水灭火系统（简称喷淋</w:t>
      </w:r>
      <w:r>
        <w:rPr>
          <w:sz w:val="21"/>
        </w:rPr>
        <w:t>）</w:t>
      </w:r>
      <w:r>
        <w:rPr>
          <w:spacing w:val="-6"/>
          <w:sz w:val="21"/>
        </w:rPr>
        <w:t>的场所，其室内净高大于</w:t>
      </w:r>
      <w:r>
        <w:rPr>
          <w:spacing w:val="-6"/>
          <w:sz w:val="21"/>
        </w:rPr>
        <w:t xml:space="preserve"> </w:t>
      </w:r>
      <w:r>
        <w:rPr>
          <w:sz w:val="21"/>
        </w:rPr>
        <w:t>8m</w:t>
      </w:r>
      <w:r>
        <w:rPr>
          <w:spacing w:val="-7"/>
          <w:sz w:val="21"/>
        </w:rPr>
        <w:t xml:space="preserve"> </w:t>
      </w:r>
      <w:r>
        <w:rPr>
          <w:spacing w:val="-7"/>
          <w:sz w:val="21"/>
        </w:rPr>
        <w:t>时，应按无喷淋场</w:t>
      </w:r>
      <w:r>
        <w:rPr>
          <w:spacing w:val="-6"/>
          <w:sz w:val="21"/>
        </w:rPr>
        <w:t>所对待。</w:t>
      </w:r>
      <w:r>
        <w:rPr>
          <w:sz w:val="21"/>
        </w:rPr>
        <w:t xml:space="preserve"> </w:t>
      </w:r>
    </w:p>
    <w:p w14:paraId="5EB60814" w14:textId="77777777" w:rsidR="00A71EEF" w:rsidRDefault="0081115D">
      <w:pPr>
        <w:pStyle w:val="a4"/>
        <w:numPr>
          <w:ilvl w:val="2"/>
          <w:numId w:val="106"/>
        </w:numPr>
        <w:tabs>
          <w:tab w:val="left" w:pos="1424"/>
        </w:tabs>
        <w:spacing w:before="178" w:line="446" w:lineRule="auto"/>
        <w:ind w:left="418" w:right="1606" w:firstLine="422"/>
        <w:rPr>
          <w:sz w:val="21"/>
        </w:rPr>
      </w:pPr>
      <w:r>
        <w:rPr>
          <w:spacing w:val="-5"/>
          <w:sz w:val="21"/>
        </w:rPr>
        <w:t>当储烟仓的烟层与周围空气温差小于</w:t>
      </w:r>
      <w:r>
        <w:rPr>
          <w:spacing w:val="-5"/>
          <w:sz w:val="21"/>
        </w:rPr>
        <w:t xml:space="preserve"> </w:t>
      </w:r>
      <w:r>
        <w:rPr>
          <w:sz w:val="21"/>
        </w:rPr>
        <w:t>15</w:t>
      </w:r>
      <w:r>
        <w:rPr>
          <w:spacing w:val="-3"/>
          <w:sz w:val="21"/>
        </w:rPr>
        <w:t>℃</w:t>
      </w:r>
      <w:r>
        <w:rPr>
          <w:spacing w:val="-3"/>
          <w:sz w:val="21"/>
        </w:rPr>
        <w:t>时，应通过降低排烟口的位置等措施重新调整排烟设计。</w:t>
      </w:r>
      <w:r>
        <w:rPr>
          <w:sz w:val="21"/>
        </w:rPr>
        <w:t xml:space="preserve"> </w:t>
      </w:r>
    </w:p>
    <w:p w14:paraId="0860CAC6" w14:textId="77777777" w:rsidR="00A71EEF" w:rsidRDefault="0081115D">
      <w:pPr>
        <w:pStyle w:val="a4"/>
        <w:numPr>
          <w:ilvl w:val="2"/>
          <w:numId w:val="106"/>
        </w:numPr>
        <w:tabs>
          <w:tab w:val="left" w:pos="1424"/>
        </w:tabs>
        <w:spacing w:line="446" w:lineRule="auto"/>
        <w:ind w:left="418" w:right="1608" w:firstLine="422"/>
        <w:rPr>
          <w:sz w:val="21"/>
        </w:rPr>
      </w:pPr>
      <w:r>
        <w:rPr>
          <w:spacing w:val="-7"/>
          <w:sz w:val="21"/>
        </w:rPr>
        <w:t>走道、室内空间净高不大于</w:t>
      </w:r>
      <w:r>
        <w:rPr>
          <w:spacing w:val="-7"/>
          <w:sz w:val="21"/>
        </w:rPr>
        <w:t xml:space="preserve"> </w:t>
      </w:r>
      <w:r>
        <w:rPr>
          <w:sz w:val="21"/>
        </w:rPr>
        <w:t>3m</w:t>
      </w:r>
      <w:r>
        <w:rPr>
          <w:spacing w:val="-10"/>
          <w:sz w:val="21"/>
        </w:rPr>
        <w:t xml:space="preserve"> </w:t>
      </w:r>
      <w:r>
        <w:rPr>
          <w:spacing w:val="-10"/>
          <w:sz w:val="21"/>
        </w:rPr>
        <w:t>的区域，其最小清晰高度不宜小于其净高的</w:t>
      </w:r>
      <w:r>
        <w:rPr>
          <w:spacing w:val="-10"/>
          <w:sz w:val="21"/>
        </w:rPr>
        <w:t xml:space="preserve"> </w:t>
      </w:r>
      <w:r>
        <w:rPr>
          <w:sz w:val="21"/>
        </w:rPr>
        <w:t>1/2</w:t>
      </w:r>
      <w:r>
        <w:rPr>
          <w:spacing w:val="-2"/>
          <w:sz w:val="21"/>
        </w:rPr>
        <w:t>，其</w:t>
      </w:r>
      <w:r>
        <w:rPr>
          <w:spacing w:val="-3"/>
          <w:sz w:val="21"/>
        </w:rPr>
        <w:t>他区域的最小清晰高度应按下式计算：</w:t>
      </w:r>
      <w:r>
        <w:rPr>
          <w:sz w:val="21"/>
        </w:rPr>
        <w:t xml:space="preserve"> </w:t>
      </w:r>
    </w:p>
    <w:p w14:paraId="044FC9CD" w14:textId="77777777" w:rsidR="00A71EEF" w:rsidRDefault="0081115D">
      <w:pPr>
        <w:pStyle w:val="a3"/>
        <w:spacing w:line="448" w:lineRule="auto"/>
        <w:ind w:left="838" w:right="2912" w:firstLine="1581"/>
      </w:pPr>
      <w:r>
        <w:rPr>
          <w:position w:val="1"/>
        </w:rPr>
        <w:t>H</w:t>
      </w:r>
      <w:r>
        <w:rPr>
          <w:sz w:val="11"/>
        </w:rPr>
        <w:t xml:space="preserve">q  </w:t>
      </w:r>
      <w:r>
        <w:rPr>
          <w:position w:val="1"/>
        </w:rPr>
        <w:t>=1.6 +0.1</w:t>
      </w:r>
      <w:r>
        <w:rPr>
          <w:b/>
          <w:position w:val="1"/>
        </w:rPr>
        <w:t>·</w:t>
      </w:r>
      <w:r>
        <w:rPr>
          <w:position w:val="1"/>
        </w:rPr>
        <w:t xml:space="preserve">H′                       </w:t>
      </w:r>
      <w:r>
        <w:rPr>
          <w:position w:val="1"/>
        </w:rPr>
        <w:t>（</w:t>
      </w:r>
      <w:r>
        <w:rPr>
          <w:position w:val="1"/>
        </w:rPr>
        <w:t>4.6.9</w:t>
      </w:r>
      <w:r>
        <w:rPr>
          <w:position w:val="1"/>
        </w:rPr>
        <w:t>）</w:t>
      </w:r>
      <w:r>
        <w:rPr>
          <w:position w:val="1"/>
        </w:rPr>
        <w:t xml:space="preserve"> </w:t>
      </w:r>
      <w:r>
        <w:rPr>
          <w:position w:val="1"/>
        </w:rPr>
        <w:t>式中：</w:t>
      </w:r>
      <w:r>
        <w:rPr>
          <w:position w:val="1"/>
        </w:rPr>
        <w:t>H</w:t>
      </w:r>
      <w:r>
        <w:rPr>
          <w:sz w:val="11"/>
        </w:rPr>
        <w:t>q</w:t>
      </w:r>
      <w:r>
        <w:rPr>
          <w:spacing w:val="-3"/>
          <w:position w:val="1"/>
        </w:rPr>
        <w:t>——</w:t>
      </w:r>
      <w:r>
        <w:rPr>
          <w:spacing w:val="-3"/>
          <w:position w:val="1"/>
        </w:rPr>
        <w:t>最小清晰高度</w:t>
      </w:r>
      <w:r>
        <w:rPr>
          <w:position w:val="1"/>
        </w:rPr>
        <w:t>（</w:t>
      </w:r>
      <w:r>
        <w:rPr>
          <w:position w:val="1"/>
        </w:rPr>
        <w:t>m</w:t>
      </w:r>
      <w:r>
        <w:rPr>
          <w:position w:val="1"/>
        </w:rPr>
        <w:t>）；</w:t>
      </w:r>
      <w:r>
        <w:rPr>
          <w:position w:val="1"/>
        </w:rPr>
        <w:t xml:space="preserve"> </w:t>
      </w:r>
    </w:p>
    <w:p w14:paraId="03FD75F9" w14:textId="77777777" w:rsidR="00A71EEF" w:rsidRDefault="0081115D">
      <w:pPr>
        <w:pStyle w:val="a3"/>
        <w:spacing w:line="446" w:lineRule="auto"/>
        <w:ind w:left="418" w:right="1611" w:firstLine="419"/>
      </w:pPr>
      <w:r>
        <w:t>H′——</w:t>
      </w:r>
      <w:r>
        <w:t>对于单层空间，取排烟空间的建筑净高度（</w:t>
      </w:r>
      <w:r>
        <w:t>m</w:t>
      </w:r>
      <w:r>
        <w:t>）；对于多层空间，取最高疏散楼层的层高（</w:t>
      </w:r>
      <w:r>
        <w:t>m</w:t>
      </w:r>
      <w:r>
        <w:t>）。</w:t>
      </w:r>
      <w:r>
        <w:t xml:space="preserve"> </w:t>
      </w:r>
    </w:p>
    <w:p w14:paraId="2DA38349" w14:textId="77777777" w:rsidR="00A71EEF" w:rsidRDefault="0081115D">
      <w:pPr>
        <w:pStyle w:val="a4"/>
        <w:numPr>
          <w:ilvl w:val="2"/>
          <w:numId w:val="106"/>
        </w:numPr>
        <w:tabs>
          <w:tab w:val="left" w:pos="1530"/>
        </w:tabs>
        <w:ind w:left="1529" w:hanging="690"/>
        <w:rPr>
          <w:sz w:val="21"/>
        </w:rPr>
      </w:pPr>
      <w:r>
        <w:rPr>
          <w:spacing w:val="-3"/>
          <w:sz w:val="21"/>
        </w:rPr>
        <w:t>火灾热释放速率应按下式计算：</w:t>
      </w:r>
      <w:r>
        <w:rPr>
          <w:sz w:val="21"/>
        </w:rPr>
        <w:t xml:space="preserve"> </w:t>
      </w:r>
    </w:p>
    <w:p w14:paraId="74F05957" w14:textId="77777777" w:rsidR="00A71EEF" w:rsidRDefault="00A71EEF">
      <w:pPr>
        <w:pStyle w:val="a3"/>
        <w:spacing w:before="7"/>
        <w:rPr>
          <w:sz w:val="16"/>
        </w:rPr>
      </w:pPr>
    </w:p>
    <w:p w14:paraId="43A045EF" w14:textId="77777777" w:rsidR="00A71EEF" w:rsidRDefault="0081115D">
      <w:pPr>
        <w:pStyle w:val="a3"/>
        <w:ind w:left="1949"/>
        <w:rPr>
          <w:b/>
        </w:rPr>
      </w:pPr>
      <w:r>
        <w:t>Q =α·t</w:t>
      </w:r>
      <w:r>
        <w:rPr>
          <w:position w:val="11"/>
          <w:sz w:val="11"/>
        </w:rPr>
        <w:t>2</w:t>
      </w:r>
      <w:r>
        <w:rPr>
          <w:sz w:val="11"/>
        </w:rPr>
        <w:t xml:space="preserve"> </w:t>
      </w:r>
      <w:r>
        <w:t>（</w:t>
      </w:r>
      <w:r>
        <w:t>4.6.10</w:t>
      </w:r>
      <w:r>
        <w:t>）</w:t>
      </w:r>
      <w:r>
        <w:rPr>
          <w:b/>
          <w:w w:val="99"/>
        </w:rPr>
        <w:t xml:space="preserve"> </w:t>
      </w:r>
    </w:p>
    <w:p w14:paraId="76A7A7E1" w14:textId="77777777" w:rsidR="00A71EEF" w:rsidRDefault="00A71EEF">
      <w:pPr>
        <w:pStyle w:val="a3"/>
        <w:rPr>
          <w:b/>
          <w:sz w:val="18"/>
        </w:rPr>
      </w:pPr>
    </w:p>
    <w:p w14:paraId="18E05C93" w14:textId="77777777" w:rsidR="00A71EEF" w:rsidRDefault="0081115D">
      <w:pPr>
        <w:pStyle w:val="a3"/>
        <w:spacing w:line="448" w:lineRule="auto"/>
        <w:ind w:left="838" w:right="6654"/>
      </w:pPr>
      <w:r>
        <w:t>式中：</w:t>
      </w:r>
      <w:r>
        <w:t>Q——</w:t>
      </w:r>
      <w:r>
        <w:t>热释放速率（</w:t>
      </w:r>
      <w:r>
        <w:t>kW</w:t>
      </w:r>
      <w:r>
        <w:t>）；</w:t>
      </w:r>
      <w:r>
        <w:t xml:space="preserve"> t——</w:t>
      </w:r>
      <w:r>
        <w:t>火灾增长时间（</w:t>
      </w:r>
      <w:r>
        <w:t>s</w:t>
      </w:r>
      <w:r>
        <w:t>）；</w:t>
      </w:r>
      <w:r>
        <w:t xml:space="preserve"> </w:t>
      </w:r>
    </w:p>
    <w:p w14:paraId="724C345D" w14:textId="77777777" w:rsidR="00A71EEF" w:rsidRDefault="00A71EEF">
      <w:pPr>
        <w:spacing w:line="448" w:lineRule="auto"/>
        <w:sectPr w:rsidR="00A71EEF">
          <w:pgSz w:w="11910" w:h="16850"/>
          <w:pgMar w:top="1220" w:right="0" w:bottom="1420" w:left="1260" w:header="0" w:footer="1239" w:gutter="0"/>
          <w:cols w:space="720"/>
        </w:sectPr>
      </w:pPr>
    </w:p>
    <w:p w14:paraId="7081C021" w14:textId="77777777" w:rsidR="00A71EEF" w:rsidRDefault="0081115D">
      <w:pPr>
        <w:pStyle w:val="a3"/>
        <w:spacing w:before="57"/>
        <w:ind w:left="838"/>
      </w:pPr>
      <w:r>
        <w:t>α——</w:t>
      </w:r>
      <w:r>
        <w:t>火灾增长系数（按表</w:t>
      </w:r>
      <w:r>
        <w:t xml:space="preserve"> 4.6.10 </w:t>
      </w:r>
      <w:r>
        <w:t>取值）（</w:t>
      </w:r>
      <w:r>
        <w:t>kW/s</w:t>
      </w:r>
      <w:r>
        <w:rPr>
          <w:position w:val="11"/>
          <w:sz w:val="11"/>
        </w:rPr>
        <w:t>2</w:t>
      </w:r>
      <w:r>
        <w:t>）。</w:t>
      </w:r>
      <w:r>
        <w:t xml:space="preserve"> </w:t>
      </w:r>
    </w:p>
    <w:p w14:paraId="3CB4A501" w14:textId="77777777" w:rsidR="00A71EEF" w:rsidRDefault="0081115D">
      <w:pPr>
        <w:pStyle w:val="a3"/>
        <w:spacing w:before="8"/>
        <w:rPr>
          <w:sz w:val="12"/>
        </w:rPr>
      </w:pPr>
      <w:r>
        <w:rPr>
          <w:noProof/>
        </w:rPr>
        <w:drawing>
          <wp:anchor distT="0" distB="0" distL="0" distR="0" simplePos="0" relativeHeight="251706880" behindDoc="0" locked="0" layoutInCell="1" allowOverlap="1" wp14:anchorId="4DEB2286" wp14:editId="50985C4D">
            <wp:simplePos x="0" y="0"/>
            <wp:positionH relativeFrom="page">
              <wp:posOffset>1531619</wp:posOffset>
            </wp:positionH>
            <wp:positionV relativeFrom="paragraph">
              <wp:posOffset>127722</wp:posOffset>
            </wp:positionV>
            <wp:extent cx="4762517" cy="1762125"/>
            <wp:effectExtent l="0" t="0" r="0" b="0"/>
            <wp:wrapTopAndBottom/>
            <wp:docPr id="679" name="image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image400.jpeg"/>
                    <pic:cNvPicPr/>
                  </pic:nvPicPr>
                  <pic:blipFill>
                    <a:blip r:embed="rId504" cstate="print"/>
                    <a:stretch>
                      <a:fillRect/>
                    </a:stretch>
                  </pic:blipFill>
                  <pic:spPr>
                    <a:xfrm>
                      <a:off x="0" y="0"/>
                      <a:ext cx="4762517" cy="1762125"/>
                    </a:xfrm>
                    <a:prstGeom prst="rect">
                      <a:avLst/>
                    </a:prstGeom>
                  </pic:spPr>
                </pic:pic>
              </a:graphicData>
            </a:graphic>
          </wp:anchor>
        </w:drawing>
      </w:r>
    </w:p>
    <w:p w14:paraId="792AEA4E" w14:textId="77777777" w:rsidR="00A71EEF" w:rsidRDefault="0081115D">
      <w:pPr>
        <w:pStyle w:val="a4"/>
        <w:numPr>
          <w:ilvl w:val="2"/>
          <w:numId w:val="106"/>
        </w:numPr>
        <w:tabs>
          <w:tab w:val="left" w:pos="1530"/>
        </w:tabs>
        <w:spacing w:before="178"/>
        <w:ind w:left="1529" w:hanging="690"/>
        <w:rPr>
          <w:sz w:val="21"/>
        </w:rPr>
      </w:pPr>
      <w:r>
        <w:rPr>
          <w:spacing w:val="-3"/>
          <w:sz w:val="21"/>
        </w:rPr>
        <w:t>烟羽流质量流量计算宜符合下列规定：</w:t>
      </w:r>
      <w:r>
        <w:rPr>
          <w:spacing w:val="-3"/>
          <w:sz w:val="21"/>
        </w:rPr>
        <w:t xml:space="preserve"> </w:t>
      </w:r>
    </w:p>
    <w:p w14:paraId="7E6BB575" w14:textId="77777777" w:rsidR="00A71EEF" w:rsidRDefault="00A71EEF">
      <w:pPr>
        <w:pStyle w:val="a3"/>
        <w:rPr>
          <w:sz w:val="18"/>
        </w:rPr>
      </w:pPr>
    </w:p>
    <w:p w14:paraId="051D44EA" w14:textId="77777777" w:rsidR="00A71EEF" w:rsidRDefault="0081115D">
      <w:pPr>
        <w:pStyle w:val="a4"/>
        <w:numPr>
          <w:ilvl w:val="0"/>
          <w:numId w:val="104"/>
        </w:numPr>
        <w:tabs>
          <w:tab w:val="left" w:pos="948"/>
        </w:tabs>
        <w:ind w:hanging="530"/>
        <w:rPr>
          <w:sz w:val="21"/>
        </w:rPr>
      </w:pPr>
      <w:r>
        <w:rPr>
          <w:spacing w:val="-3"/>
          <w:sz w:val="21"/>
        </w:rPr>
        <w:t>轴对称型烟羽流：</w:t>
      </w:r>
      <w:r>
        <w:rPr>
          <w:sz w:val="21"/>
        </w:rPr>
        <w:t xml:space="preserve"> </w:t>
      </w:r>
    </w:p>
    <w:p w14:paraId="4EE97EC7" w14:textId="77777777" w:rsidR="00A71EEF" w:rsidRDefault="0081115D">
      <w:pPr>
        <w:pStyle w:val="a3"/>
        <w:spacing w:before="11"/>
        <w:rPr>
          <w:sz w:val="26"/>
        </w:rPr>
      </w:pPr>
      <w:r>
        <w:rPr>
          <w:noProof/>
        </w:rPr>
        <w:drawing>
          <wp:anchor distT="0" distB="0" distL="0" distR="0" simplePos="0" relativeHeight="251707904" behindDoc="0" locked="0" layoutInCell="1" allowOverlap="1" wp14:anchorId="0019C5DA" wp14:editId="77C7E16E">
            <wp:simplePos x="0" y="0"/>
            <wp:positionH relativeFrom="page">
              <wp:posOffset>1267774</wp:posOffset>
            </wp:positionH>
            <wp:positionV relativeFrom="paragraph">
              <wp:posOffset>243363</wp:posOffset>
            </wp:positionV>
            <wp:extent cx="4380568" cy="1447800"/>
            <wp:effectExtent l="0" t="0" r="0" b="0"/>
            <wp:wrapTopAndBottom/>
            <wp:docPr id="681" name="image4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image401.jpeg"/>
                    <pic:cNvPicPr/>
                  </pic:nvPicPr>
                  <pic:blipFill>
                    <a:blip r:embed="rId505" cstate="print"/>
                    <a:stretch>
                      <a:fillRect/>
                    </a:stretch>
                  </pic:blipFill>
                  <pic:spPr>
                    <a:xfrm>
                      <a:off x="0" y="0"/>
                      <a:ext cx="4380568" cy="1447800"/>
                    </a:xfrm>
                    <a:prstGeom prst="rect">
                      <a:avLst/>
                    </a:prstGeom>
                  </pic:spPr>
                </pic:pic>
              </a:graphicData>
            </a:graphic>
          </wp:anchor>
        </w:drawing>
      </w:r>
    </w:p>
    <w:p w14:paraId="6EB173DA" w14:textId="77777777" w:rsidR="00A71EEF" w:rsidRDefault="00A71EEF">
      <w:pPr>
        <w:pStyle w:val="a3"/>
        <w:rPr>
          <w:sz w:val="20"/>
        </w:rPr>
      </w:pPr>
    </w:p>
    <w:p w14:paraId="28B6710D" w14:textId="77777777" w:rsidR="00A71EEF" w:rsidRDefault="00A71EEF">
      <w:pPr>
        <w:pStyle w:val="a3"/>
        <w:rPr>
          <w:sz w:val="20"/>
        </w:rPr>
      </w:pPr>
    </w:p>
    <w:p w14:paraId="7A1BC720" w14:textId="77777777" w:rsidR="00A71EEF" w:rsidRDefault="00A71EEF">
      <w:pPr>
        <w:pStyle w:val="a3"/>
        <w:spacing w:before="10"/>
        <w:rPr>
          <w:sz w:val="18"/>
        </w:rPr>
      </w:pPr>
    </w:p>
    <w:p w14:paraId="16B31ACD" w14:textId="77777777" w:rsidR="00A71EEF" w:rsidRDefault="0081115D">
      <w:pPr>
        <w:pStyle w:val="a3"/>
        <w:spacing w:before="1"/>
        <w:ind w:left="418"/>
      </w:pPr>
      <w:r>
        <w:rPr>
          <w:position w:val="1"/>
        </w:rPr>
        <w:t>式中：</w:t>
      </w:r>
      <w:r>
        <w:rPr>
          <w:position w:val="1"/>
        </w:rPr>
        <w:t>Q</w:t>
      </w:r>
      <w:r>
        <w:rPr>
          <w:sz w:val="11"/>
        </w:rPr>
        <w:t>c</w:t>
      </w:r>
      <w:r>
        <w:rPr>
          <w:position w:val="1"/>
        </w:rPr>
        <w:t>——</w:t>
      </w:r>
      <w:r>
        <w:rPr>
          <w:position w:val="1"/>
        </w:rPr>
        <w:t>热释放速率的对流部分，一般取值为</w:t>
      </w:r>
      <w:r>
        <w:rPr>
          <w:position w:val="1"/>
        </w:rPr>
        <w:t xml:space="preserve"> Q</w:t>
      </w:r>
      <w:r>
        <w:rPr>
          <w:sz w:val="11"/>
        </w:rPr>
        <w:t>c</w:t>
      </w:r>
      <w:r>
        <w:rPr>
          <w:position w:val="1"/>
          <w:sz w:val="11"/>
        </w:rPr>
        <w:t xml:space="preserve"> </w:t>
      </w:r>
      <w:r>
        <w:rPr>
          <w:position w:val="1"/>
        </w:rPr>
        <w:t>=0.7 Q</w:t>
      </w:r>
      <w:r>
        <w:rPr>
          <w:position w:val="1"/>
        </w:rPr>
        <w:t>（</w:t>
      </w:r>
      <w:r>
        <w:rPr>
          <w:position w:val="1"/>
        </w:rPr>
        <w:t>kW</w:t>
      </w:r>
      <w:r>
        <w:rPr>
          <w:position w:val="1"/>
        </w:rPr>
        <w:t>）；</w:t>
      </w:r>
      <w:r>
        <w:rPr>
          <w:position w:val="1"/>
        </w:rPr>
        <w:t xml:space="preserve">  </w:t>
      </w:r>
      <w:r>
        <w:rPr>
          <w:position w:val="1"/>
        </w:rPr>
        <w:t xml:space="preserve"> </w:t>
      </w:r>
      <w:r>
        <w:rPr>
          <w:position w:val="1"/>
        </w:rPr>
        <w:t xml:space="preserve"> </w:t>
      </w:r>
      <w:r>
        <w:rPr>
          <w:position w:val="1"/>
        </w:rPr>
        <w:t xml:space="preserve"> </w:t>
      </w:r>
      <w:r>
        <w:rPr>
          <w:position w:val="1"/>
        </w:rPr>
        <w:t xml:space="preserve"> </w:t>
      </w:r>
      <w:r>
        <w:rPr>
          <w:position w:val="1"/>
        </w:rPr>
        <w:t xml:space="preserve"> </w:t>
      </w:r>
      <w:r>
        <w:rPr>
          <w:position w:val="1"/>
        </w:rPr>
        <w:t xml:space="preserve"> </w:t>
      </w:r>
      <w:r>
        <w:rPr>
          <w:position w:val="1"/>
        </w:rPr>
        <w:t xml:space="preserve"> </w:t>
      </w:r>
    </w:p>
    <w:p w14:paraId="7017EDD5" w14:textId="77777777" w:rsidR="00A71EEF" w:rsidRDefault="00A71EEF">
      <w:pPr>
        <w:pStyle w:val="a3"/>
        <w:spacing w:before="12"/>
        <w:rPr>
          <w:sz w:val="17"/>
        </w:rPr>
      </w:pPr>
    </w:p>
    <w:p w14:paraId="610BE988" w14:textId="77777777" w:rsidR="00A71EEF" w:rsidRDefault="0081115D">
      <w:pPr>
        <w:pStyle w:val="a3"/>
        <w:spacing w:line="446" w:lineRule="auto"/>
        <w:ind w:left="418" w:right="1822" w:firstLine="419"/>
      </w:pPr>
      <w:r>
        <w:t>Z——</w:t>
      </w:r>
      <w:r>
        <w:t>燃料面到烟层底部的高度（</w:t>
      </w:r>
      <w:r>
        <w:t>m</w:t>
      </w:r>
      <w:r>
        <w:t>）（取值应大于或等于最小清晰高度与燃料面高度之差）；</w:t>
      </w:r>
      <w:r>
        <w:t xml:space="preserve"> </w:t>
      </w:r>
    </w:p>
    <w:p w14:paraId="210AE8A4" w14:textId="77777777" w:rsidR="00A71EEF" w:rsidRDefault="0081115D">
      <w:pPr>
        <w:pStyle w:val="a3"/>
        <w:spacing w:line="446" w:lineRule="auto"/>
        <w:ind w:left="838" w:right="6546"/>
      </w:pPr>
      <w:r>
        <w:rPr>
          <w:position w:val="1"/>
        </w:rPr>
        <w:t>Z</w:t>
      </w:r>
      <w:r>
        <w:rPr>
          <w:sz w:val="11"/>
        </w:rPr>
        <w:t>1</w:t>
      </w:r>
      <w:r>
        <w:rPr>
          <w:spacing w:val="-3"/>
          <w:position w:val="1"/>
        </w:rPr>
        <w:t>——</w:t>
      </w:r>
      <w:r>
        <w:rPr>
          <w:spacing w:val="-3"/>
          <w:position w:val="1"/>
        </w:rPr>
        <w:t>火焰极限高度</w:t>
      </w:r>
      <w:r>
        <w:rPr>
          <w:position w:val="1"/>
        </w:rPr>
        <w:t>（</w:t>
      </w:r>
      <w:r>
        <w:rPr>
          <w:position w:val="1"/>
        </w:rPr>
        <w:t>m</w:t>
      </w:r>
      <w:r>
        <w:rPr>
          <w:position w:val="1"/>
        </w:rPr>
        <w:t>）；</w:t>
      </w:r>
      <w:r>
        <w:rPr>
          <w:position w:val="1"/>
        </w:rPr>
        <w:t xml:space="preserve"> M</w:t>
      </w:r>
      <w:r>
        <w:rPr>
          <w:sz w:val="11"/>
        </w:rPr>
        <w:t>ρ</w:t>
      </w:r>
      <w:r>
        <w:rPr>
          <w:spacing w:val="-3"/>
          <w:position w:val="1"/>
        </w:rPr>
        <w:t>——</w:t>
      </w:r>
      <w:r>
        <w:rPr>
          <w:spacing w:val="-3"/>
          <w:position w:val="1"/>
        </w:rPr>
        <w:t>烟羽流质量流量</w:t>
      </w:r>
      <w:r>
        <w:rPr>
          <w:position w:val="1"/>
        </w:rPr>
        <w:t>（</w:t>
      </w:r>
      <w:r>
        <w:rPr>
          <w:position w:val="1"/>
        </w:rPr>
        <w:t>kg/s</w:t>
      </w:r>
      <w:r>
        <w:rPr>
          <w:position w:val="1"/>
        </w:rPr>
        <w:t>）</w:t>
      </w:r>
      <w:r>
        <w:rPr>
          <w:spacing w:val="-3"/>
          <w:position w:val="1"/>
        </w:rPr>
        <w:t>。</w:t>
      </w:r>
      <w:r>
        <w:rPr>
          <w:position w:val="1"/>
        </w:rPr>
        <w:t xml:space="preserve"> </w:t>
      </w:r>
    </w:p>
    <w:p w14:paraId="3A8B9413" w14:textId="77777777" w:rsidR="00A71EEF" w:rsidRDefault="00A71EEF">
      <w:pPr>
        <w:pStyle w:val="a3"/>
        <w:rPr>
          <w:sz w:val="20"/>
        </w:rPr>
      </w:pPr>
    </w:p>
    <w:p w14:paraId="17BC7519" w14:textId="77777777" w:rsidR="00A71EEF" w:rsidRDefault="00A71EEF">
      <w:pPr>
        <w:pStyle w:val="a3"/>
        <w:rPr>
          <w:sz w:val="19"/>
        </w:rPr>
      </w:pPr>
    </w:p>
    <w:p w14:paraId="33E4EB8B" w14:textId="77777777" w:rsidR="00A71EEF" w:rsidRDefault="0081115D">
      <w:pPr>
        <w:pStyle w:val="a4"/>
        <w:numPr>
          <w:ilvl w:val="1"/>
          <w:numId w:val="104"/>
        </w:numPr>
        <w:tabs>
          <w:tab w:val="left" w:pos="1367"/>
        </w:tabs>
        <w:rPr>
          <w:sz w:val="21"/>
        </w:rPr>
      </w:pPr>
      <w:r>
        <w:rPr>
          <w:spacing w:val="-3"/>
          <w:sz w:val="21"/>
        </w:rPr>
        <w:t>阳台溢出型烟羽流：</w:t>
      </w:r>
      <w:r>
        <w:rPr>
          <w:sz w:val="21"/>
        </w:rPr>
        <w:t xml:space="preserve"> </w:t>
      </w:r>
    </w:p>
    <w:p w14:paraId="702CF475" w14:textId="77777777" w:rsidR="00A71EEF" w:rsidRDefault="0081115D">
      <w:pPr>
        <w:pStyle w:val="a3"/>
        <w:spacing w:before="11"/>
        <w:rPr>
          <w:sz w:val="23"/>
        </w:rPr>
      </w:pPr>
      <w:r>
        <w:rPr>
          <w:noProof/>
        </w:rPr>
        <w:drawing>
          <wp:anchor distT="0" distB="0" distL="0" distR="0" simplePos="0" relativeHeight="251708928" behindDoc="0" locked="0" layoutInCell="1" allowOverlap="1" wp14:anchorId="4A2043BB" wp14:editId="52D32D7B">
            <wp:simplePos x="0" y="0"/>
            <wp:positionH relativeFrom="page">
              <wp:posOffset>1430029</wp:posOffset>
            </wp:positionH>
            <wp:positionV relativeFrom="paragraph">
              <wp:posOffset>219234</wp:posOffset>
            </wp:positionV>
            <wp:extent cx="4968014" cy="342900"/>
            <wp:effectExtent l="0" t="0" r="0" b="0"/>
            <wp:wrapTopAndBottom/>
            <wp:docPr id="683" name="image4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image402.jpeg"/>
                    <pic:cNvPicPr/>
                  </pic:nvPicPr>
                  <pic:blipFill>
                    <a:blip r:embed="rId506" cstate="print"/>
                    <a:stretch>
                      <a:fillRect/>
                    </a:stretch>
                  </pic:blipFill>
                  <pic:spPr>
                    <a:xfrm>
                      <a:off x="0" y="0"/>
                      <a:ext cx="4968014" cy="342900"/>
                    </a:xfrm>
                    <a:prstGeom prst="rect">
                      <a:avLst/>
                    </a:prstGeom>
                  </pic:spPr>
                </pic:pic>
              </a:graphicData>
            </a:graphic>
          </wp:anchor>
        </w:drawing>
      </w:r>
    </w:p>
    <w:p w14:paraId="07AB18DB" w14:textId="77777777" w:rsidR="00A71EEF" w:rsidRDefault="00A71EEF">
      <w:pPr>
        <w:pStyle w:val="a3"/>
        <w:spacing w:before="1"/>
        <w:rPr>
          <w:sz w:val="19"/>
        </w:rPr>
      </w:pPr>
    </w:p>
    <w:p w14:paraId="49E52FD9" w14:textId="77777777" w:rsidR="00A71EEF" w:rsidRDefault="0081115D">
      <w:pPr>
        <w:ind w:left="1188"/>
        <w:rPr>
          <w:sz w:val="21"/>
        </w:rPr>
      </w:pPr>
      <w:r>
        <w:rPr>
          <w:i/>
        </w:rPr>
        <w:t xml:space="preserve">W </w:t>
      </w:r>
      <w:r>
        <w:rPr>
          <w:sz w:val="21"/>
        </w:rPr>
        <w:t xml:space="preserve">= </w:t>
      </w:r>
      <w:r>
        <w:rPr>
          <w:i/>
        </w:rPr>
        <w:t xml:space="preserve">w </w:t>
      </w:r>
      <w:r>
        <w:rPr>
          <w:sz w:val="21"/>
        </w:rPr>
        <w:t xml:space="preserve">+ </w:t>
      </w:r>
      <w:r>
        <w:rPr>
          <w:i/>
          <w:spacing w:val="-3"/>
        </w:rPr>
        <w:t>b</w:t>
      </w:r>
      <w:r>
        <w:rPr>
          <w:i/>
          <w:spacing w:val="76"/>
        </w:rPr>
        <w:t xml:space="preserve"> </w:t>
      </w:r>
      <w:r>
        <w:rPr>
          <w:sz w:val="21"/>
        </w:rPr>
        <w:t>（</w:t>
      </w:r>
      <w:r>
        <w:rPr>
          <w:sz w:val="21"/>
        </w:rPr>
        <w:t>4.6.11-5</w:t>
      </w:r>
      <w:r>
        <w:rPr>
          <w:sz w:val="21"/>
        </w:rPr>
        <w:t>）</w:t>
      </w:r>
      <w:r>
        <w:rPr>
          <w:sz w:val="21"/>
        </w:rPr>
        <w:t xml:space="preserve"> </w:t>
      </w:r>
    </w:p>
    <w:p w14:paraId="78696AB3" w14:textId="77777777" w:rsidR="00A71EEF" w:rsidRDefault="00A71EEF">
      <w:pPr>
        <w:pStyle w:val="a3"/>
        <w:spacing w:before="12"/>
        <w:rPr>
          <w:sz w:val="16"/>
        </w:rPr>
      </w:pPr>
    </w:p>
    <w:p w14:paraId="7F2F512E" w14:textId="77777777" w:rsidR="00A71EEF" w:rsidRDefault="0081115D">
      <w:pPr>
        <w:pStyle w:val="a3"/>
        <w:spacing w:line="427" w:lineRule="auto"/>
        <w:ind w:left="838" w:right="5709"/>
      </w:pPr>
      <w:r>
        <w:rPr>
          <w:position w:val="1"/>
        </w:rPr>
        <w:t>式中：</w:t>
      </w:r>
      <w:r>
        <w:rPr>
          <w:i/>
          <w:position w:val="1"/>
          <w:sz w:val="22"/>
        </w:rPr>
        <w:t>H</w:t>
      </w:r>
      <w:r>
        <w:rPr>
          <w:sz w:val="11"/>
        </w:rPr>
        <w:t>1</w:t>
      </w:r>
      <w:r>
        <w:rPr>
          <w:position w:val="1"/>
        </w:rPr>
        <w:t>——</w:t>
      </w:r>
      <w:r>
        <w:rPr>
          <w:position w:val="1"/>
        </w:rPr>
        <w:t>燃料面至阳台的高度（</w:t>
      </w:r>
      <w:r>
        <w:rPr>
          <w:position w:val="1"/>
        </w:rPr>
        <w:t>m</w:t>
      </w:r>
      <w:r>
        <w:rPr>
          <w:position w:val="1"/>
        </w:rPr>
        <w:t>）；</w:t>
      </w:r>
      <w:r>
        <w:rPr>
          <w:position w:val="1"/>
        </w:rPr>
        <w:t xml:space="preserve"> </w:t>
      </w:r>
      <w:r>
        <w:rPr>
          <w:i/>
          <w:position w:val="1"/>
          <w:sz w:val="22"/>
        </w:rPr>
        <w:t>Z</w:t>
      </w:r>
      <w:r>
        <w:rPr>
          <w:sz w:val="11"/>
        </w:rPr>
        <w:t>b</w:t>
      </w:r>
      <w:r>
        <w:rPr>
          <w:position w:val="1"/>
        </w:rPr>
        <w:t>——</w:t>
      </w:r>
      <w:r>
        <w:rPr>
          <w:position w:val="1"/>
        </w:rPr>
        <w:t>从阳台下缘至烟层底部的高度（</w:t>
      </w:r>
      <w:r>
        <w:rPr>
          <w:position w:val="1"/>
        </w:rPr>
        <w:t>m</w:t>
      </w:r>
      <w:r>
        <w:rPr>
          <w:position w:val="1"/>
        </w:rPr>
        <w:t>）；</w:t>
      </w:r>
      <w:r>
        <w:rPr>
          <w:position w:val="1"/>
        </w:rPr>
        <w:t xml:space="preserve"> </w:t>
      </w:r>
      <w:r>
        <w:rPr>
          <w:i/>
          <w:sz w:val="22"/>
        </w:rPr>
        <w:t>W</w:t>
      </w:r>
      <w:r>
        <w:t>——</w:t>
      </w:r>
      <w:r>
        <w:t>烟羽流扩散宽度（</w:t>
      </w:r>
      <w:r>
        <w:t>m</w:t>
      </w:r>
      <w:r>
        <w:t>）；</w:t>
      </w:r>
      <w:r>
        <w:t xml:space="preserve"> </w:t>
      </w:r>
    </w:p>
    <w:p w14:paraId="554A512A" w14:textId="77777777" w:rsidR="00A71EEF" w:rsidRDefault="00A71EEF">
      <w:pPr>
        <w:spacing w:line="427" w:lineRule="auto"/>
        <w:sectPr w:rsidR="00A71EEF">
          <w:pgSz w:w="11910" w:h="16850"/>
          <w:pgMar w:top="1200" w:right="0" w:bottom="1420" w:left="1260" w:header="0" w:footer="1239" w:gutter="0"/>
          <w:cols w:space="720"/>
        </w:sectPr>
      </w:pPr>
    </w:p>
    <w:p w14:paraId="1F18910D" w14:textId="77777777" w:rsidR="00A71EEF" w:rsidRDefault="0081115D">
      <w:pPr>
        <w:pStyle w:val="a3"/>
        <w:spacing w:before="57"/>
        <w:ind w:left="838"/>
      </w:pPr>
      <w:r>
        <w:rPr>
          <w:i/>
          <w:sz w:val="22"/>
        </w:rPr>
        <w:t>w</w:t>
      </w:r>
      <w:r>
        <w:t>——</w:t>
      </w:r>
      <w:r>
        <w:t>火源区域的开口宽度（</w:t>
      </w:r>
      <w:r>
        <w:t>m</w:t>
      </w:r>
      <w:r>
        <w:t>）；</w:t>
      </w:r>
      <w:r>
        <w:t xml:space="preserve"> </w:t>
      </w:r>
    </w:p>
    <w:p w14:paraId="0C815C91" w14:textId="77777777" w:rsidR="00A71EEF" w:rsidRDefault="00A71EEF">
      <w:pPr>
        <w:pStyle w:val="a3"/>
        <w:rPr>
          <w:sz w:val="17"/>
        </w:rPr>
      </w:pPr>
    </w:p>
    <w:p w14:paraId="59C8ED08" w14:textId="77777777" w:rsidR="00A71EEF" w:rsidRDefault="0081115D">
      <w:pPr>
        <w:pStyle w:val="a3"/>
        <w:ind w:left="838"/>
      </w:pPr>
      <w:r>
        <w:rPr>
          <w:i/>
          <w:sz w:val="22"/>
        </w:rPr>
        <w:t>b</w:t>
      </w:r>
      <w:r>
        <w:t>——</w:t>
      </w:r>
      <w:r>
        <w:t>从开口至阳台边沿的距离（</w:t>
      </w:r>
      <w:r>
        <w:t>m</w:t>
      </w:r>
      <w:r>
        <w:t>），</w:t>
      </w:r>
      <w:r>
        <w:t>b≠0</w:t>
      </w:r>
      <w:r>
        <w:t>；</w:t>
      </w:r>
      <w:r>
        <w:t xml:space="preserve"> </w:t>
      </w:r>
    </w:p>
    <w:p w14:paraId="0C3A3B41" w14:textId="77777777" w:rsidR="00A71EEF" w:rsidRDefault="00A71EEF">
      <w:pPr>
        <w:pStyle w:val="a3"/>
        <w:spacing w:before="10"/>
        <w:rPr>
          <w:sz w:val="17"/>
        </w:rPr>
      </w:pPr>
    </w:p>
    <w:p w14:paraId="30FFDCF1" w14:textId="77777777" w:rsidR="00A71EEF" w:rsidRDefault="0081115D">
      <w:pPr>
        <w:pStyle w:val="a4"/>
        <w:numPr>
          <w:ilvl w:val="1"/>
          <w:numId w:val="104"/>
        </w:numPr>
        <w:tabs>
          <w:tab w:val="left" w:pos="1367"/>
        </w:tabs>
        <w:rPr>
          <w:sz w:val="21"/>
        </w:rPr>
      </w:pPr>
      <w:r>
        <w:rPr>
          <w:spacing w:val="-3"/>
          <w:sz w:val="21"/>
        </w:rPr>
        <w:t>窗口型烟羽流：</w:t>
      </w:r>
      <w:r>
        <w:rPr>
          <w:sz w:val="21"/>
        </w:rPr>
        <w:t xml:space="preserve"> </w:t>
      </w:r>
    </w:p>
    <w:p w14:paraId="62CBE975" w14:textId="77777777" w:rsidR="00A71EEF" w:rsidRDefault="0081115D">
      <w:pPr>
        <w:pStyle w:val="a3"/>
        <w:spacing w:before="3"/>
        <w:rPr>
          <w:sz w:val="10"/>
        </w:rPr>
      </w:pPr>
      <w:r>
        <w:rPr>
          <w:noProof/>
        </w:rPr>
        <w:drawing>
          <wp:anchor distT="0" distB="0" distL="0" distR="0" simplePos="0" relativeHeight="251709952" behindDoc="0" locked="0" layoutInCell="1" allowOverlap="1" wp14:anchorId="0A84ABA4" wp14:editId="1EB971E5">
            <wp:simplePos x="0" y="0"/>
            <wp:positionH relativeFrom="page">
              <wp:posOffset>1225499</wp:posOffset>
            </wp:positionH>
            <wp:positionV relativeFrom="paragraph">
              <wp:posOffset>108434</wp:posOffset>
            </wp:positionV>
            <wp:extent cx="5467220" cy="838200"/>
            <wp:effectExtent l="0" t="0" r="0" b="0"/>
            <wp:wrapTopAndBottom/>
            <wp:docPr id="685" name="image4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image403.jpeg"/>
                    <pic:cNvPicPr/>
                  </pic:nvPicPr>
                  <pic:blipFill>
                    <a:blip r:embed="rId507" cstate="print"/>
                    <a:stretch>
                      <a:fillRect/>
                    </a:stretch>
                  </pic:blipFill>
                  <pic:spPr>
                    <a:xfrm>
                      <a:off x="0" y="0"/>
                      <a:ext cx="5467220" cy="838200"/>
                    </a:xfrm>
                    <a:prstGeom prst="rect">
                      <a:avLst/>
                    </a:prstGeom>
                  </pic:spPr>
                </pic:pic>
              </a:graphicData>
            </a:graphic>
          </wp:anchor>
        </w:drawing>
      </w:r>
      <w:r>
        <w:rPr>
          <w:noProof/>
        </w:rPr>
        <w:drawing>
          <wp:anchor distT="0" distB="0" distL="0" distR="0" simplePos="0" relativeHeight="251710976" behindDoc="0" locked="0" layoutInCell="1" allowOverlap="1" wp14:anchorId="4B532453" wp14:editId="4FA55E97">
            <wp:simplePos x="0" y="0"/>
            <wp:positionH relativeFrom="page">
              <wp:posOffset>1271261</wp:posOffset>
            </wp:positionH>
            <wp:positionV relativeFrom="paragraph">
              <wp:posOffset>1177139</wp:posOffset>
            </wp:positionV>
            <wp:extent cx="5568384" cy="495300"/>
            <wp:effectExtent l="0" t="0" r="0" b="0"/>
            <wp:wrapTopAndBottom/>
            <wp:docPr id="687" name="image4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image404.jpeg"/>
                    <pic:cNvPicPr/>
                  </pic:nvPicPr>
                  <pic:blipFill>
                    <a:blip r:embed="rId508" cstate="print"/>
                    <a:stretch>
                      <a:fillRect/>
                    </a:stretch>
                  </pic:blipFill>
                  <pic:spPr>
                    <a:xfrm>
                      <a:off x="0" y="0"/>
                      <a:ext cx="5568384" cy="495300"/>
                    </a:xfrm>
                    <a:prstGeom prst="rect">
                      <a:avLst/>
                    </a:prstGeom>
                  </pic:spPr>
                </pic:pic>
              </a:graphicData>
            </a:graphic>
          </wp:anchor>
        </w:drawing>
      </w:r>
    </w:p>
    <w:p w14:paraId="43C81A86" w14:textId="77777777" w:rsidR="00A71EEF" w:rsidRDefault="00A71EEF">
      <w:pPr>
        <w:pStyle w:val="a3"/>
        <w:rPr>
          <w:sz w:val="23"/>
        </w:rPr>
      </w:pPr>
    </w:p>
    <w:p w14:paraId="6EAE6B88" w14:textId="77777777" w:rsidR="00A71EEF" w:rsidRDefault="00A71EEF">
      <w:pPr>
        <w:pStyle w:val="a3"/>
        <w:rPr>
          <w:sz w:val="20"/>
        </w:rPr>
      </w:pPr>
    </w:p>
    <w:p w14:paraId="34602CFA" w14:textId="77777777" w:rsidR="00A71EEF" w:rsidRDefault="00A71EEF">
      <w:pPr>
        <w:pStyle w:val="a3"/>
        <w:rPr>
          <w:sz w:val="20"/>
        </w:rPr>
      </w:pPr>
    </w:p>
    <w:p w14:paraId="68AA544D" w14:textId="77777777" w:rsidR="00A71EEF" w:rsidRDefault="00A71EEF">
      <w:pPr>
        <w:pStyle w:val="a3"/>
        <w:spacing w:before="12"/>
        <w:rPr>
          <w:sz w:val="17"/>
        </w:rPr>
      </w:pPr>
    </w:p>
    <w:p w14:paraId="6970F3DF" w14:textId="77777777" w:rsidR="00A71EEF" w:rsidRDefault="0081115D">
      <w:pPr>
        <w:pStyle w:val="a3"/>
        <w:ind w:left="838"/>
      </w:pPr>
      <w:r>
        <w:pict w14:anchorId="162AA9EA">
          <v:shape id="_x0000_s1091" type="#_x0000_t202" style="position:absolute;left:0;text-align:left;margin-left:141.75pt;margin-top:6.75pt;width:2.8pt;height:5.55pt;z-index:-251519488;mso-position-horizontal-relative:page" filled="f" stroked="f">
            <v:textbox inset="0,0,0,0">
              <w:txbxContent>
                <w:p w14:paraId="48844225" w14:textId="77777777" w:rsidR="00A71EEF" w:rsidRDefault="0081115D">
                  <w:pPr>
                    <w:spacing w:line="110" w:lineRule="exact"/>
                    <w:rPr>
                      <w:sz w:val="11"/>
                    </w:rPr>
                  </w:pPr>
                  <w:r>
                    <w:rPr>
                      <w:sz w:val="11"/>
                    </w:rPr>
                    <w:t>w</w:t>
                  </w:r>
                </w:p>
              </w:txbxContent>
            </v:textbox>
            <w10:wrap anchorx="page"/>
          </v:shape>
        </w:pict>
      </w:r>
      <w:r>
        <w:t>式中：</w:t>
      </w:r>
      <w:r>
        <w:rPr>
          <w:i/>
          <w:sz w:val="22"/>
        </w:rPr>
        <w:t>A</w:t>
      </w:r>
      <w:r>
        <w:rPr>
          <w:i/>
          <w:spacing w:val="-55"/>
          <w:sz w:val="22"/>
        </w:rPr>
        <w:t xml:space="preserve"> </w:t>
      </w:r>
      <w:r>
        <w:rPr>
          <w:spacing w:val="-3"/>
        </w:rPr>
        <w:t>——</w:t>
      </w:r>
      <w:r>
        <w:rPr>
          <w:spacing w:val="-3"/>
        </w:rPr>
        <w:t>窗口开口的面积</w:t>
      </w:r>
      <w:r>
        <w:t>（</w:t>
      </w:r>
      <w:r>
        <w:t>m</w:t>
      </w:r>
      <w:r>
        <w:rPr>
          <w:position w:val="11"/>
          <w:sz w:val="11"/>
        </w:rPr>
        <w:t>2</w:t>
      </w:r>
      <w:r>
        <w:t>）；</w:t>
      </w:r>
      <w:r>
        <w:t xml:space="preserve"> </w:t>
      </w:r>
    </w:p>
    <w:p w14:paraId="2D48B36A" w14:textId="77777777" w:rsidR="00A71EEF" w:rsidRDefault="00A71EEF">
      <w:pPr>
        <w:pStyle w:val="a3"/>
        <w:spacing w:before="12"/>
        <w:rPr>
          <w:sz w:val="16"/>
        </w:rPr>
      </w:pPr>
    </w:p>
    <w:p w14:paraId="5917B795" w14:textId="77777777" w:rsidR="00A71EEF" w:rsidRDefault="0081115D">
      <w:pPr>
        <w:pStyle w:val="a3"/>
        <w:ind w:left="838"/>
      </w:pPr>
      <w:r>
        <w:rPr>
          <w:i/>
          <w:position w:val="1"/>
          <w:sz w:val="22"/>
        </w:rPr>
        <w:t>H</w:t>
      </w:r>
      <w:r>
        <w:rPr>
          <w:sz w:val="11"/>
        </w:rPr>
        <w:t>w</w:t>
      </w:r>
      <w:r>
        <w:rPr>
          <w:position w:val="1"/>
        </w:rPr>
        <w:t>——</w:t>
      </w:r>
      <w:r>
        <w:rPr>
          <w:position w:val="1"/>
        </w:rPr>
        <w:t>窗口开口的高度（</w:t>
      </w:r>
      <w:r>
        <w:rPr>
          <w:position w:val="1"/>
        </w:rPr>
        <w:t>m</w:t>
      </w:r>
      <w:r>
        <w:rPr>
          <w:position w:val="1"/>
        </w:rPr>
        <w:t>）；</w:t>
      </w:r>
      <w:r>
        <w:rPr>
          <w:position w:val="1"/>
        </w:rPr>
        <w:t xml:space="preserve"> </w:t>
      </w:r>
    </w:p>
    <w:p w14:paraId="7DEAB34E" w14:textId="77777777" w:rsidR="00A71EEF" w:rsidRDefault="00A71EEF">
      <w:pPr>
        <w:pStyle w:val="a3"/>
        <w:spacing w:before="2"/>
        <w:rPr>
          <w:sz w:val="17"/>
        </w:rPr>
      </w:pPr>
    </w:p>
    <w:p w14:paraId="2FEDB1EC" w14:textId="77777777" w:rsidR="00A71EEF" w:rsidRDefault="0081115D">
      <w:pPr>
        <w:pStyle w:val="a3"/>
        <w:ind w:left="838"/>
      </w:pPr>
      <w:r>
        <w:rPr>
          <w:i/>
          <w:position w:val="1"/>
          <w:sz w:val="22"/>
        </w:rPr>
        <w:t>Z</w:t>
      </w:r>
      <w:r>
        <w:rPr>
          <w:sz w:val="11"/>
        </w:rPr>
        <w:t>w</w:t>
      </w:r>
      <w:r>
        <w:rPr>
          <w:position w:val="1"/>
        </w:rPr>
        <w:t>——</w:t>
      </w:r>
      <w:r>
        <w:rPr>
          <w:position w:val="1"/>
        </w:rPr>
        <w:t>窗口开口的顶部到烟层底部的高度（</w:t>
      </w:r>
      <w:r>
        <w:rPr>
          <w:position w:val="1"/>
        </w:rPr>
        <w:t>m</w:t>
      </w:r>
      <w:r>
        <w:rPr>
          <w:position w:val="1"/>
        </w:rPr>
        <w:t>）；</w:t>
      </w:r>
      <w:r>
        <w:rPr>
          <w:position w:val="1"/>
        </w:rPr>
        <w:t xml:space="preserve"> </w:t>
      </w:r>
    </w:p>
    <w:p w14:paraId="4CCF6481" w14:textId="77777777" w:rsidR="00A71EEF" w:rsidRDefault="00A71EEF">
      <w:pPr>
        <w:pStyle w:val="a3"/>
        <w:spacing w:before="12"/>
        <w:rPr>
          <w:sz w:val="16"/>
        </w:rPr>
      </w:pPr>
    </w:p>
    <w:p w14:paraId="4B4F846D" w14:textId="77777777" w:rsidR="00A71EEF" w:rsidRDefault="0081115D">
      <w:pPr>
        <w:pStyle w:val="a3"/>
        <w:ind w:left="838"/>
      </w:pPr>
      <w:r>
        <w:rPr>
          <w:i/>
          <w:position w:val="1"/>
          <w:sz w:val="22"/>
        </w:rPr>
        <w:t>α</w:t>
      </w:r>
      <w:r>
        <w:rPr>
          <w:sz w:val="11"/>
        </w:rPr>
        <w:t>w</w:t>
      </w:r>
      <w:r>
        <w:rPr>
          <w:position w:val="1"/>
        </w:rPr>
        <w:t>——</w:t>
      </w:r>
      <w:r>
        <w:rPr>
          <w:position w:val="1"/>
        </w:rPr>
        <w:t>窗口型烟羽流的修正系数（</w:t>
      </w:r>
      <w:r>
        <w:rPr>
          <w:position w:val="1"/>
        </w:rPr>
        <w:t>m</w:t>
      </w:r>
      <w:r>
        <w:rPr>
          <w:position w:val="1"/>
        </w:rPr>
        <w:t>）。</w:t>
      </w:r>
      <w:r>
        <w:rPr>
          <w:position w:val="1"/>
        </w:rPr>
        <w:t xml:space="preserve"> </w:t>
      </w:r>
    </w:p>
    <w:p w14:paraId="44982217" w14:textId="77777777" w:rsidR="00A71EEF" w:rsidRDefault="00A71EEF">
      <w:pPr>
        <w:pStyle w:val="a3"/>
        <w:spacing w:before="10"/>
        <w:rPr>
          <w:sz w:val="17"/>
        </w:rPr>
      </w:pPr>
    </w:p>
    <w:p w14:paraId="1B6093B1" w14:textId="77777777" w:rsidR="00A71EEF" w:rsidRDefault="0081115D">
      <w:pPr>
        <w:pStyle w:val="a4"/>
        <w:numPr>
          <w:ilvl w:val="2"/>
          <w:numId w:val="106"/>
        </w:numPr>
        <w:tabs>
          <w:tab w:val="left" w:pos="1478"/>
        </w:tabs>
        <w:spacing w:before="1" w:line="446" w:lineRule="auto"/>
        <w:ind w:left="2626" w:right="2021" w:hanging="1787"/>
        <w:rPr>
          <w:sz w:val="21"/>
        </w:rPr>
      </w:pPr>
      <w:r>
        <w:rPr>
          <w:spacing w:val="-5"/>
          <w:sz w:val="21"/>
        </w:rPr>
        <w:t>烟层平均温度与环境温度的差应按下式计算或按本标准附录</w:t>
      </w:r>
      <w:r>
        <w:rPr>
          <w:spacing w:val="-5"/>
          <w:sz w:val="21"/>
        </w:rPr>
        <w:t xml:space="preserve"> </w:t>
      </w:r>
      <w:r>
        <w:rPr>
          <w:sz w:val="21"/>
        </w:rPr>
        <w:t>A</w:t>
      </w:r>
      <w:r>
        <w:rPr>
          <w:spacing w:val="-26"/>
          <w:sz w:val="21"/>
        </w:rPr>
        <w:t xml:space="preserve"> </w:t>
      </w:r>
      <w:r>
        <w:rPr>
          <w:spacing w:val="-26"/>
          <w:sz w:val="21"/>
        </w:rPr>
        <w:t>中表</w:t>
      </w:r>
      <w:r>
        <w:rPr>
          <w:spacing w:val="-26"/>
          <w:sz w:val="21"/>
        </w:rPr>
        <w:t xml:space="preserve"> </w:t>
      </w:r>
      <w:r>
        <w:rPr>
          <w:sz w:val="21"/>
        </w:rPr>
        <w:t>A</w:t>
      </w:r>
      <w:r>
        <w:rPr>
          <w:spacing w:val="-14"/>
          <w:sz w:val="21"/>
        </w:rPr>
        <w:t xml:space="preserve"> </w:t>
      </w:r>
      <w:r>
        <w:rPr>
          <w:spacing w:val="-14"/>
          <w:sz w:val="21"/>
        </w:rPr>
        <w:t>选取：</w:t>
      </w:r>
      <w:r>
        <w:rPr>
          <w:spacing w:val="-14"/>
          <w:position w:val="1"/>
          <w:sz w:val="21"/>
        </w:rPr>
        <w:t xml:space="preserve"> </w:t>
      </w:r>
      <w:r>
        <w:rPr>
          <w:position w:val="1"/>
          <w:sz w:val="21"/>
        </w:rPr>
        <w:t>ΔT = KQ</w:t>
      </w:r>
      <w:r>
        <w:rPr>
          <w:sz w:val="11"/>
        </w:rPr>
        <w:t>c</w:t>
      </w:r>
      <w:r>
        <w:rPr>
          <w:position w:val="1"/>
          <w:sz w:val="21"/>
        </w:rPr>
        <w:t>/M</w:t>
      </w:r>
      <w:r>
        <w:rPr>
          <w:sz w:val="11"/>
        </w:rPr>
        <w:t>ρ</w:t>
      </w:r>
      <w:r>
        <w:rPr>
          <w:position w:val="1"/>
          <w:sz w:val="21"/>
        </w:rPr>
        <w:t>C</w:t>
      </w:r>
      <w:r>
        <w:rPr>
          <w:sz w:val="11"/>
        </w:rPr>
        <w:t>ρ</w:t>
      </w:r>
      <w:r>
        <w:rPr>
          <w:spacing w:val="46"/>
          <w:position w:val="1"/>
          <w:sz w:val="11"/>
        </w:rPr>
        <w:t xml:space="preserve"> </w:t>
      </w:r>
      <w:r>
        <w:rPr>
          <w:position w:val="1"/>
          <w:sz w:val="21"/>
        </w:rPr>
        <w:t>（</w:t>
      </w:r>
      <w:r>
        <w:rPr>
          <w:position w:val="1"/>
          <w:sz w:val="21"/>
        </w:rPr>
        <w:t>4.6.12</w:t>
      </w:r>
      <w:r>
        <w:rPr>
          <w:position w:val="1"/>
          <w:sz w:val="21"/>
        </w:rPr>
        <w:t>）</w:t>
      </w:r>
      <w:r>
        <w:rPr>
          <w:position w:val="1"/>
          <w:sz w:val="21"/>
        </w:rPr>
        <w:t xml:space="preserve"> </w:t>
      </w:r>
    </w:p>
    <w:p w14:paraId="630E9DC7" w14:textId="77777777" w:rsidR="00A71EEF" w:rsidRDefault="0081115D">
      <w:pPr>
        <w:pStyle w:val="a3"/>
        <w:spacing w:line="272" w:lineRule="exact"/>
        <w:ind w:left="838"/>
      </w:pPr>
      <w:r>
        <w:t>式中：</w:t>
      </w:r>
      <w:r>
        <w:t>Δ</w:t>
      </w:r>
      <w:r>
        <w:rPr>
          <w:i/>
          <w:sz w:val="22"/>
        </w:rPr>
        <w:t>T</w:t>
      </w:r>
      <w:r>
        <w:t>——</w:t>
      </w:r>
      <w:r>
        <w:t>烟层平均温度与环境温度的差（</w:t>
      </w:r>
      <w:r>
        <w:t>K</w:t>
      </w:r>
      <w:r>
        <w:t>）；</w:t>
      </w:r>
      <w:r>
        <w:t xml:space="preserve"> </w:t>
      </w:r>
    </w:p>
    <w:p w14:paraId="42C7C923" w14:textId="77777777" w:rsidR="00A71EEF" w:rsidRDefault="00A71EEF">
      <w:pPr>
        <w:pStyle w:val="a3"/>
        <w:spacing w:before="11"/>
        <w:rPr>
          <w:sz w:val="16"/>
        </w:rPr>
      </w:pPr>
    </w:p>
    <w:p w14:paraId="057C287F" w14:textId="77777777" w:rsidR="00A71EEF" w:rsidRDefault="0081115D">
      <w:pPr>
        <w:pStyle w:val="a3"/>
        <w:spacing w:before="1"/>
        <w:ind w:left="838"/>
      </w:pPr>
      <w:r>
        <w:rPr>
          <w:i/>
          <w:position w:val="1"/>
          <w:sz w:val="22"/>
        </w:rPr>
        <w:t>C</w:t>
      </w:r>
      <w:r>
        <w:rPr>
          <w:sz w:val="11"/>
        </w:rPr>
        <w:t>ρ</w:t>
      </w:r>
      <w:r>
        <w:rPr>
          <w:position w:val="1"/>
        </w:rPr>
        <w:t>——</w:t>
      </w:r>
      <w:r>
        <w:rPr>
          <w:position w:val="1"/>
        </w:rPr>
        <w:t>空气的定压比热，一般取</w:t>
      </w:r>
      <w:r>
        <w:rPr>
          <w:position w:val="1"/>
        </w:rPr>
        <w:t xml:space="preserve"> </w:t>
      </w:r>
      <w:r>
        <w:rPr>
          <w:i/>
          <w:position w:val="1"/>
          <w:sz w:val="22"/>
        </w:rPr>
        <w:t>C</w:t>
      </w:r>
      <w:r>
        <w:rPr>
          <w:sz w:val="11"/>
        </w:rPr>
        <w:t>ρ</w:t>
      </w:r>
      <w:r>
        <w:rPr>
          <w:position w:val="1"/>
        </w:rPr>
        <w:t>=1.01 [kJ/ (kg•K ) ]</w:t>
      </w:r>
      <w:r>
        <w:rPr>
          <w:position w:val="1"/>
        </w:rPr>
        <w:t>；</w:t>
      </w:r>
      <w:r>
        <w:rPr>
          <w:position w:val="1"/>
        </w:rPr>
        <w:t xml:space="preserve"> </w:t>
      </w:r>
    </w:p>
    <w:p w14:paraId="072A4F61" w14:textId="77777777" w:rsidR="00A71EEF" w:rsidRDefault="00A71EEF">
      <w:pPr>
        <w:pStyle w:val="a3"/>
        <w:spacing w:before="2"/>
        <w:rPr>
          <w:sz w:val="17"/>
        </w:rPr>
      </w:pPr>
    </w:p>
    <w:p w14:paraId="7D33FB66" w14:textId="77777777" w:rsidR="00A71EEF" w:rsidRDefault="0081115D">
      <w:pPr>
        <w:pStyle w:val="a3"/>
        <w:ind w:left="838"/>
      </w:pPr>
      <w:r>
        <w:rPr>
          <w:i/>
          <w:sz w:val="22"/>
        </w:rPr>
        <w:t>K</w:t>
      </w:r>
      <w:r>
        <w:t>——</w:t>
      </w:r>
      <w:r>
        <w:t>烟气中对流放热量因子。当采用机械排烟时，取</w:t>
      </w:r>
      <w:r>
        <w:t xml:space="preserve"> </w:t>
      </w:r>
      <w:r>
        <w:rPr>
          <w:i/>
          <w:sz w:val="22"/>
        </w:rPr>
        <w:t xml:space="preserve">K </w:t>
      </w:r>
      <w:r>
        <w:t>=1.0</w:t>
      </w:r>
      <w:r>
        <w:t>；当采用自然排烟时，取</w:t>
      </w:r>
      <w:r>
        <w:t xml:space="preserve"> </w:t>
      </w:r>
      <w:r>
        <w:rPr>
          <w:i/>
          <w:sz w:val="22"/>
        </w:rPr>
        <w:t>K</w:t>
      </w:r>
      <w:r>
        <w:t xml:space="preserve"> </w:t>
      </w:r>
    </w:p>
    <w:p w14:paraId="4E407CFA" w14:textId="77777777" w:rsidR="00A71EEF" w:rsidRDefault="00A71EEF">
      <w:pPr>
        <w:pStyle w:val="a3"/>
        <w:spacing w:before="9"/>
        <w:rPr>
          <w:sz w:val="17"/>
        </w:rPr>
      </w:pPr>
    </w:p>
    <w:p w14:paraId="1B0765A7" w14:textId="77777777" w:rsidR="00A71EEF" w:rsidRDefault="0081115D">
      <w:pPr>
        <w:pStyle w:val="a3"/>
        <w:ind w:left="418"/>
      </w:pPr>
      <w:r>
        <w:t>=0.5</w:t>
      </w:r>
      <w:r>
        <w:t>。</w:t>
      </w:r>
      <w:r>
        <w:t xml:space="preserve"> </w:t>
      </w:r>
    </w:p>
    <w:p w14:paraId="05D3818D" w14:textId="77777777" w:rsidR="00A71EEF" w:rsidRDefault="00A71EEF">
      <w:pPr>
        <w:pStyle w:val="a3"/>
        <w:rPr>
          <w:sz w:val="18"/>
        </w:rPr>
      </w:pPr>
    </w:p>
    <w:p w14:paraId="1E1DB572" w14:textId="77777777" w:rsidR="00A71EEF" w:rsidRDefault="0081115D">
      <w:pPr>
        <w:pStyle w:val="a4"/>
        <w:numPr>
          <w:ilvl w:val="2"/>
          <w:numId w:val="106"/>
        </w:numPr>
        <w:tabs>
          <w:tab w:val="left" w:pos="1478"/>
        </w:tabs>
        <w:spacing w:before="1" w:line="446" w:lineRule="auto"/>
        <w:ind w:left="2549" w:right="2655" w:hanging="1710"/>
        <w:rPr>
          <w:b/>
          <w:sz w:val="21"/>
        </w:rPr>
      </w:pPr>
      <w:r>
        <w:rPr>
          <w:spacing w:val="-5"/>
          <w:sz w:val="21"/>
        </w:rPr>
        <w:t>每个防烟分区排烟量应按下列公式计算或按本标准附录</w:t>
      </w:r>
      <w:r>
        <w:rPr>
          <w:spacing w:val="-5"/>
          <w:sz w:val="21"/>
        </w:rPr>
        <w:t xml:space="preserve"> </w:t>
      </w:r>
      <w:r>
        <w:rPr>
          <w:sz w:val="21"/>
        </w:rPr>
        <w:t>A</w:t>
      </w:r>
      <w:r>
        <w:rPr>
          <w:spacing w:val="-10"/>
          <w:sz w:val="21"/>
        </w:rPr>
        <w:t xml:space="preserve"> </w:t>
      </w:r>
      <w:r>
        <w:rPr>
          <w:spacing w:val="-10"/>
          <w:sz w:val="21"/>
        </w:rPr>
        <w:t>查表选取：</w:t>
      </w:r>
      <w:r>
        <w:rPr>
          <w:spacing w:val="17"/>
          <w:position w:val="1"/>
          <w:sz w:val="21"/>
        </w:rPr>
        <w:t xml:space="preserve"> </w:t>
      </w:r>
      <w:r>
        <w:rPr>
          <w:position w:val="1"/>
          <w:sz w:val="21"/>
        </w:rPr>
        <w:t>V = M</w:t>
      </w:r>
      <w:r>
        <w:rPr>
          <w:sz w:val="11"/>
        </w:rPr>
        <w:t>ρ</w:t>
      </w:r>
      <w:r>
        <w:rPr>
          <w:position w:val="1"/>
          <w:sz w:val="21"/>
        </w:rPr>
        <w:t>T /ρ</w:t>
      </w:r>
      <w:r>
        <w:rPr>
          <w:sz w:val="11"/>
        </w:rPr>
        <w:t>0</w:t>
      </w:r>
      <w:r>
        <w:rPr>
          <w:position w:val="1"/>
          <w:sz w:val="21"/>
        </w:rPr>
        <w:t>T</w:t>
      </w:r>
      <w:r>
        <w:rPr>
          <w:sz w:val="11"/>
        </w:rPr>
        <w:t>0</w:t>
      </w:r>
      <w:r>
        <w:rPr>
          <w:spacing w:val="49"/>
          <w:position w:val="1"/>
          <w:sz w:val="11"/>
        </w:rPr>
        <w:t xml:space="preserve"> </w:t>
      </w:r>
      <w:r>
        <w:rPr>
          <w:position w:val="1"/>
          <w:sz w:val="21"/>
        </w:rPr>
        <w:t>（</w:t>
      </w:r>
      <w:r>
        <w:rPr>
          <w:position w:val="1"/>
          <w:sz w:val="21"/>
        </w:rPr>
        <w:t>4.6.13-1</w:t>
      </w:r>
      <w:r>
        <w:rPr>
          <w:position w:val="1"/>
          <w:sz w:val="21"/>
        </w:rPr>
        <w:t>）</w:t>
      </w:r>
      <w:r>
        <w:rPr>
          <w:b/>
          <w:w w:val="99"/>
          <w:position w:val="1"/>
          <w:sz w:val="21"/>
        </w:rPr>
        <w:t xml:space="preserve"> </w:t>
      </w:r>
    </w:p>
    <w:p w14:paraId="74C6AB3B" w14:textId="77777777" w:rsidR="00A71EEF" w:rsidRDefault="0081115D">
      <w:pPr>
        <w:pStyle w:val="a3"/>
        <w:spacing w:line="436" w:lineRule="auto"/>
        <w:ind w:left="838" w:right="3284" w:firstLine="1951"/>
      </w:pPr>
      <w:r>
        <w:rPr>
          <w:position w:val="1"/>
        </w:rPr>
        <w:t>T =T</w:t>
      </w:r>
      <w:r>
        <w:rPr>
          <w:sz w:val="11"/>
        </w:rPr>
        <w:t>0</w:t>
      </w:r>
      <w:r>
        <w:rPr>
          <w:position w:val="1"/>
          <w:sz w:val="11"/>
        </w:rPr>
        <w:t xml:space="preserve">    </w:t>
      </w:r>
      <w:r>
        <w:rPr>
          <w:position w:val="1"/>
        </w:rPr>
        <w:t xml:space="preserve">+ ΔT                 </w:t>
      </w:r>
      <w:r>
        <w:rPr>
          <w:position w:val="1"/>
        </w:rPr>
        <w:t>（</w:t>
      </w:r>
      <w:r>
        <w:rPr>
          <w:position w:val="1"/>
        </w:rPr>
        <w:t>4.6.13-2</w:t>
      </w:r>
      <w:r>
        <w:rPr>
          <w:position w:val="1"/>
        </w:rPr>
        <w:t>）</w:t>
      </w:r>
      <w:r>
        <w:rPr>
          <w:position w:val="1"/>
        </w:rPr>
        <w:t xml:space="preserve"> </w:t>
      </w:r>
      <w:r>
        <w:t>式中：</w:t>
      </w:r>
      <w:r>
        <w:t>V</w:t>
      </w:r>
      <w:r>
        <w:rPr>
          <w:spacing w:val="-2"/>
        </w:rPr>
        <w:t>——</w:t>
      </w:r>
      <w:r>
        <w:rPr>
          <w:spacing w:val="-2"/>
        </w:rPr>
        <w:t>排烟量</w:t>
      </w:r>
      <w:r>
        <w:t>（</w:t>
      </w:r>
      <w:r>
        <w:t>m</w:t>
      </w:r>
      <w:r>
        <w:rPr>
          <w:position w:val="11"/>
          <w:sz w:val="11"/>
        </w:rPr>
        <w:t>3</w:t>
      </w:r>
      <w:r>
        <w:t>/s</w:t>
      </w:r>
      <w:r>
        <w:t>）；</w:t>
      </w:r>
      <w:r>
        <w:t xml:space="preserve"> </w:t>
      </w:r>
    </w:p>
    <w:p w14:paraId="04A3E7F4" w14:textId="77777777" w:rsidR="00A71EEF" w:rsidRDefault="0081115D">
      <w:pPr>
        <w:pStyle w:val="a3"/>
        <w:spacing w:before="1" w:line="444" w:lineRule="auto"/>
        <w:ind w:left="838" w:right="2350"/>
      </w:pPr>
      <w:r>
        <w:pict w14:anchorId="7DC52E6D">
          <v:shape id="_x0000_s1090" type="#_x0000_t202" style="position:absolute;left:0;text-align:left;margin-left:115.45pt;margin-top:6.8pt;width:281.45pt;height:5.55pt;z-index:-251518464;mso-position-horizontal-relative:page" filled="f" stroked="f">
            <v:textbox inset="0,0,0,0">
              <w:txbxContent>
                <w:p w14:paraId="7CF76E9A" w14:textId="77777777" w:rsidR="00A71EEF" w:rsidRDefault="0081115D">
                  <w:pPr>
                    <w:tabs>
                      <w:tab w:val="left" w:pos="4258"/>
                      <w:tab w:val="left" w:pos="5573"/>
                    </w:tabs>
                    <w:spacing w:line="110" w:lineRule="exact"/>
                    <w:rPr>
                      <w:sz w:val="11"/>
                    </w:rPr>
                  </w:pPr>
                  <w:r>
                    <w:rPr>
                      <w:sz w:val="11"/>
                    </w:rPr>
                    <w:t>0</w:t>
                  </w:r>
                  <w:r>
                    <w:rPr>
                      <w:sz w:val="11"/>
                    </w:rPr>
                    <w:tab/>
                    <w:t>0</w:t>
                  </w:r>
                  <w:r>
                    <w:rPr>
                      <w:sz w:val="11"/>
                    </w:rPr>
                    <w:tab/>
                  </w:r>
                  <w:r>
                    <w:rPr>
                      <w:spacing w:val="-20"/>
                      <w:sz w:val="11"/>
                    </w:rPr>
                    <w:t>0</w:t>
                  </w:r>
                </w:p>
              </w:txbxContent>
            </v:textbox>
            <w10:wrap anchorx="page"/>
          </v:shape>
        </w:pict>
      </w:r>
      <w:r>
        <w:t>ρ</w:t>
      </w:r>
      <w:r>
        <w:rPr>
          <w:spacing w:val="-9"/>
        </w:rPr>
        <w:t xml:space="preserve"> ——</w:t>
      </w:r>
      <w:r>
        <w:rPr>
          <w:spacing w:val="-9"/>
        </w:rPr>
        <w:t>环境温度下的气体密度</w:t>
      </w:r>
      <w:r>
        <w:t>（</w:t>
      </w:r>
      <w:r>
        <w:t>kg/m</w:t>
      </w:r>
      <w:r>
        <w:rPr>
          <w:position w:val="11"/>
          <w:sz w:val="11"/>
        </w:rPr>
        <w:t>3</w:t>
      </w:r>
      <w:r>
        <w:t>）</w:t>
      </w:r>
      <w:r>
        <w:rPr>
          <w:spacing w:val="-15"/>
        </w:rPr>
        <w:t>，通常</w:t>
      </w:r>
      <w:r>
        <w:rPr>
          <w:spacing w:val="-15"/>
        </w:rPr>
        <w:t xml:space="preserve"> </w:t>
      </w:r>
      <w:r>
        <w:t>T</w:t>
      </w:r>
      <w:r>
        <w:rPr>
          <w:spacing w:val="-25"/>
        </w:rPr>
        <w:t xml:space="preserve"> =</w:t>
      </w:r>
      <w:r>
        <w:t>293.15K</w:t>
      </w:r>
      <w:r>
        <w:t>，</w:t>
      </w:r>
      <w:r>
        <w:t>ρ</w:t>
      </w:r>
      <w:r>
        <w:rPr>
          <w:spacing w:val="-52"/>
        </w:rPr>
        <w:t xml:space="preserve"> </w:t>
      </w:r>
      <w:r>
        <w:t>=1.2</w:t>
      </w:r>
      <w:r>
        <w:t>（</w:t>
      </w:r>
      <w:r>
        <w:t>kg/</w:t>
      </w:r>
      <w:r>
        <w:rPr>
          <w:spacing w:val="3"/>
        </w:rPr>
        <w:t xml:space="preserve"> </w:t>
      </w:r>
      <w:r>
        <w:t>m</w:t>
      </w:r>
      <w:r>
        <w:rPr>
          <w:position w:val="11"/>
          <w:sz w:val="11"/>
        </w:rPr>
        <w:t>3</w:t>
      </w:r>
      <w:r>
        <w:t>）；</w:t>
      </w:r>
      <w:r>
        <w:t xml:space="preserve"> </w:t>
      </w:r>
      <w:r>
        <w:rPr>
          <w:position w:val="1"/>
        </w:rPr>
        <w:t>T</w:t>
      </w:r>
      <w:r>
        <w:rPr>
          <w:sz w:val="11"/>
        </w:rPr>
        <w:t>0</w:t>
      </w:r>
      <w:r>
        <w:rPr>
          <w:spacing w:val="-3"/>
          <w:position w:val="1"/>
        </w:rPr>
        <w:t>——</w:t>
      </w:r>
      <w:r>
        <w:rPr>
          <w:spacing w:val="-3"/>
          <w:position w:val="1"/>
        </w:rPr>
        <w:t>环境的绝对温度（</w:t>
      </w:r>
      <w:r>
        <w:rPr>
          <w:spacing w:val="-3"/>
          <w:position w:val="1"/>
        </w:rPr>
        <w:t>K</w:t>
      </w:r>
      <w:r>
        <w:rPr>
          <w:spacing w:val="-3"/>
          <w:position w:val="1"/>
        </w:rPr>
        <w:t>）；</w:t>
      </w:r>
      <w:r>
        <w:rPr>
          <w:position w:val="1"/>
        </w:rPr>
        <w:t xml:space="preserve"> </w:t>
      </w:r>
    </w:p>
    <w:p w14:paraId="1F063650" w14:textId="77777777" w:rsidR="00A71EEF" w:rsidRDefault="0081115D">
      <w:pPr>
        <w:pStyle w:val="a3"/>
        <w:spacing w:before="3"/>
        <w:ind w:left="838"/>
      </w:pPr>
      <w:r>
        <w:t>T——</w:t>
      </w:r>
      <w:r>
        <w:t>烟层的平均绝对温度（</w:t>
      </w:r>
      <w:r>
        <w:t>K</w:t>
      </w:r>
      <w:r>
        <w:t>）。</w:t>
      </w:r>
      <w:r>
        <w:t xml:space="preserve"> </w:t>
      </w:r>
    </w:p>
    <w:p w14:paraId="4C5E5728" w14:textId="77777777" w:rsidR="00A71EEF" w:rsidRDefault="00A71EEF">
      <w:pPr>
        <w:pStyle w:val="a3"/>
        <w:spacing w:before="1"/>
        <w:rPr>
          <w:sz w:val="18"/>
        </w:rPr>
      </w:pPr>
    </w:p>
    <w:p w14:paraId="5A4266EE" w14:textId="77777777" w:rsidR="00A71EEF" w:rsidRDefault="0081115D">
      <w:pPr>
        <w:pStyle w:val="a4"/>
        <w:numPr>
          <w:ilvl w:val="2"/>
          <w:numId w:val="106"/>
        </w:numPr>
        <w:tabs>
          <w:tab w:val="left" w:pos="1478"/>
        </w:tabs>
        <w:spacing w:before="1" w:line="446" w:lineRule="auto"/>
        <w:ind w:left="418" w:right="1568" w:firstLine="422"/>
        <w:rPr>
          <w:sz w:val="21"/>
        </w:rPr>
      </w:pPr>
      <w:r>
        <w:rPr>
          <w:spacing w:val="-5"/>
          <w:position w:val="1"/>
          <w:sz w:val="21"/>
        </w:rPr>
        <w:t>机械排烟系统中，单个排烟口的最大允许排烟量</w:t>
      </w:r>
      <w:r>
        <w:rPr>
          <w:spacing w:val="-5"/>
          <w:position w:val="1"/>
          <w:sz w:val="21"/>
        </w:rPr>
        <w:t xml:space="preserve"> </w:t>
      </w:r>
      <w:r>
        <w:rPr>
          <w:position w:val="1"/>
          <w:sz w:val="21"/>
        </w:rPr>
        <w:t>V</w:t>
      </w:r>
      <w:r>
        <w:rPr>
          <w:sz w:val="11"/>
        </w:rPr>
        <w:t>max</w:t>
      </w:r>
      <w:r>
        <w:rPr>
          <w:spacing w:val="-24"/>
          <w:sz w:val="11"/>
        </w:rPr>
        <w:t xml:space="preserve"> </w:t>
      </w:r>
      <w:r>
        <w:rPr>
          <w:spacing w:val="-3"/>
          <w:position w:val="1"/>
          <w:sz w:val="21"/>
        </w:rPr>
        <w:t>宜按下式计算，或按本标准附</w:t>
      </w:r>
      <w:r>
        <w:rPr>
          <w:spacing w:val="-28"/>
          <w:sz w:val="21"/>
        </w:rPr>
        <w:t>录</w:t>
      </w:r>
      <w:r>
        <w:rPr>
          <w:spacing w:val="-28"/>
          <w:sz w:val="21"/>
        </w:rPr>
        <w:t xml:space="preserve"> </w:t>
      </w:r>
      <w:r>
        <w:rPr>
          <w:sz w:val="21"/>
        </w:rPr>
        <w:t>B</w:t>
      </w:r>
      <w:r>
        <w:rPr>
          <w:spacing w:val="-15"/>
          <w:sz w:val="21"/>
        </w:rPr>
        <w:t xml:space="preserve"> </w:t>
      </w:r>
      <w:r>
        <w:rPr>
          <w:spacing w:val="-15"/>
          <w:sz w:val="21"/>
        </w:rPr>
        <w:t>选取。</w:t>
      </w:r>
      <w:r>
        <w:rPr>
          <w:sz w:val="21"/>
        </w:rPr>
        <w:t xml:space="preserve"> </w:t>
      </w:r>
    </w:p>
    <w:p w14:paraId="4073AAA7" w14:textId="77777777" w:rsidR="00A71EEF" w:rsidRDefault="00A71EEF">
      <w:pPr>
        <w:spacing w:line="446" w:lineRule="auto"/>
        <w:rPr>
          <w:sz w:val="21"/>
        </w:rPr>
        <w:sectPr w:rsidR="00A71EEF">
          <w:pgSz w:w="11910" w:h="16850"/>
          <w:pgMar w:top="1200" w:right="0" w:bottom="1420" w:left="1260" w:header="0" w:footer="1239" w:gutter="0"/>
          <w:cols w:space="720"/>
        </w:sectPr>
      </w:pPr>
    </w:p>
    <w:p w14:paraId="30669B9D" w14:textId="77777777" w:rsidR="00A71EEF" w:rsidRDefault="0081115D">
      <w:pPr>
        <w:pStyle w:val="a3"/>
        <w:ind w:left="857"/>
        <w:rPr>
          <w:sz w:val="20"/>
        </w:rPr>
      </w:pPr>
      <w:r>
        <w:rPr>
          <w:noProof/>
          <w:sz w:val="20"/>
        </w:rPr>
        <w:drawing>
          <wp:inline distT="0" distB="0" distL="0" distR="0" wp14:anchorId="10930330" wp14:editId="72EDF804">
            <wp:extent cx="5047323" cy="657225"/>
            <wp:effectExtent l="0" t="0" r="0" b="0"/>
            <wp:docPr id="689" name="image4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image405.jpeg"/>
                    <pic:cNvPicPr/>
                  </pic:nvPicPr>
                  <pic:blipFill>
                    <a:blip r:embed="rId509" cstate="print"/>
                    <a:stretch>
                      <a:fillRect/>
                    </a:stretch>
                  </pic:blipFill>
                  <pic:spPr>
                    <a:xfrm>
                      <a:off x="0" y="0"/>
                      <a:ext cx="5047323" cy="657225"/>
                    </a:xfrm>
                    <a:prstGeom prst="rect">
                      <a:avLst/>
                    </a:prstGeom>
                  </pic:spPr>
                </pic:pic>
              </a:graphicData>
            </a:graphic>
          </wp:inline>
        </w:drawing>
      </w:r>
    </w:p>
    <w:p w14:paraId="6B6CB2CB" w14:textId="77777777" w:rsidR="00A71EEF" w:rsidRDefault="00A71EEF">
      <w:pPr>
        <w:pStyle w:val="a3"/>
        <w:spacing w:before="5"/>
        <w:rPr>
          <w:sz w:val="10"/>
        </w:rPr>
      </w:pPr>
    </w:p>
    <w:p w14:paraId="44141101" w14:textId="77777777" w:rsidR="00A71EEF" w:rsidRDefault="0081115D">
      <w:pPr>
        <w:pStyle w:val="a3"/>
        <w:spacing w:before="86"/>
        <w:ind w:left="840"/>
        <w:jc w:val="both"/>
      </w:pPr>
      <w:r>
        <w:pict w14:anchorId="2E509868">
          <v:shape id="_x0000_s1089" type="#_x0000_t202" style="position:absolute;left:0;text-align:left;margin-left:141.85pt;margin-top:11.05pt;width:8.3pt;height:5.55pt;z-index:-251517440;mso-position-horizontal-relative:page" filled="f" stroked="f">
            <v:textbox inset="0,0,0,0">
              <w:txbxContent>
                <w:p w14:paraId="2F2B1F58" w14:textId="77777777" w:rsidR="00A71EEF" w:rsidRDefault="0081115D">
                  <w:pPr>
                    <w:spacing w:line="110" w:lineRule="exact"/>
                    <w:rPr>
                      <w:sz w:val="11"/>
                    </w:rPr>
                  </w:pPr>
                  <w:r>
                    <w:rPr>
                      <w:sz w:val="11"/>
                    </w:rPr>
                    <w:t>max</w:t>
                  </w:r>
                </w:p>
              </w:txbxContent>
            </v:textbox>
            <w10:wrap anchorx="page"/>
          </v:shape>
        </w:pict>
      </w:r>
      <w:r>
        <w:t>式中：</w:t>
      </w:r>
      <w:r>
        <w:rPr>
          <w:i/>
          <w:sz w:val="22"/>
        </w:rPr>
        <w:t>V</w:t>
      </w:r>
      <w:r>
        <w:rPr>
          <w:i/>
          <w:spacing w:val="55"/>
          <w:sz w:val="22"/>
        </w:rPr>
        <w:t xml:space="preserve"> </w:t>
      </w:r>
      <w:r>
        <w:rPr>
          <w:spacing w:val="-3"/>
        </w:rPr>
        <w:t>——</w:t>
      </w:r>
      <w:r>
        <w:rPr>
          <w:spacing w:val="-3"/>
        </w:rPr>
        <w:t>排烟口最大允许排烟量</w:t>
      </w:r>
      <w:r>
        <w:rPr>
          <w:spacing w:val="-3"/>
        </w:rPr>
        <w:t xml:space="preserve"> </w:t>
      </w:r>
      <w:r>
        <w:t>（</w:t>
      </w:r>
      <w:r>
        <w:t>m</w:t>
      </w:r>
      <w:r>
        <w:rPr>
          <w:position w:val="11"/>
          <w:sz w:val="11"/>
        </w:rPr>
        <w:t>3</w:t>
      </w:r>
      <w:r>
        <w:t>/s</w:t>
      </w:r>
      <w:r>
        <w:t>）；</w:t>
      </w:r>
      <w:r>
        <w:t xml:space="preserve"> </w:t>
      </w:r>
    </w:p>
    <w:p w14:paraId="50DD258F" w14:textId="77777777" w:rsidR="00A71EEF" w:rsidRDefault="00A71EEF">
      <w:pPr>
        <w:pStyle w:val="a3"/>
        <w:spacing w:before="1"/>
        <w:rPr>
          <w:sz w:val="17"/>
        </w:rPr>
      </w:pPr>
    </w:p>
    <w:p w14:paraId="4EF6C2C1" w14:textId="77777777" w:rsidR="00A71EEF" w:rsidRDefault="0081115D">
      <w:pPr>
        <w:pStyle w:val="a3"/>
        <w:spacing w:line="424" w:lineRule="auto"/>
        <w:ind w:left="418" w:right="1611" w:firstLine="419"/>
        <w:jc w:val="both"/>
      </w:pPr>
      <w:r>
        <w:rPr>
          <w:i/>
          <w:sz w:val="22"/>
        </w:rPr>
        <w:t>γ</w:t>
      </w:r>
      <w:r>
        <w:rPr>
          <w:spacing w:val="-3"/>
        </w:rPr>
        <w:t>——</w:t>
      </w:r>
      <w:r>
        <w:rPr>
          <w:spacing w:val="-3"/>
        </w:rPr>
        <w:t>排烟位置系数；当风口中心点到最近墙体的距离</w:t>
      </w:r>
      <w:r>
        <w:rPr>
          <w:spacing w:val="-3"/>
        </w:rPr>
        <w:t>≥</w:t>
      </w:r>
      <w:r>
        <w:t>2</w:t>
      </w:r>
      <w:r>
        <w:rPr>
          <w:spacing w:val="-8"/>
        </w:rPr>
        <w:t xml:space="preserve"> </w:t>
      </w:r>
      <w:r>
        <w:rPr>
          <w:spacing w:val="-8"/>
        </w:rPr>
        <w:t>倍的排烟口当量直径时：</w:t>
      </w:r>
      <w:r>
        <w:t>γ</w:t>
      </w:r>
      <w:r>
        <w:t>取</w:t>
      </w:r>
      <w:r>
        <w:t>1.0</w:t>
      </w:r>
      <w:r>
        <w:rPr>
          <w:spacing w:val="-2"/>
        </w:rPr>
        <w:t>；当风口中心点到最近墙体的距离</w:t>
      </w:r>
      <w:r>
        <w:rPr>
          <w:spacing w:val="-2"/>
        </w:rPr>
        <w:t xml:space="preserve">&lt; </w:t>
      </w:r>
      <w:r>
        <w:t>2</w:t>
      </w:r>
      <w:r>
        <w:rPr>
          <w:spacing w:val="-8"/>
        </w:rPr>
        <w:t xml:space="preserve"> </w:t>
      </w:r>
      <w:r>
        <w:rPr>
          <w:spacing w:val="-8"/>
        </w:rPr>
        <w:t>倍的排烟口当量直径时：</w:t>
      </w:r>
      <w:r>
        <w:rPr>
          <w:i/>
          <w:spacing w:val="-3"/>
          <w:sz w:val="22"/>
        </w:rPr>
        <w:t>γ</w:t>
      </w:r>
      <w:r>
        <w:rPr>
          <w:spacing w:val="-23"/>
        </w:rPr>
        <w:t>取</w:t>
      </w:r>
      <w:r>
        <w:rPr>
          <w:spacing w:val="-23"/>
        </w:rPr>
        <w:t xml:space="preserve"> </w:t>
      </w:r>
      <w:r>
        <w:t>0.5</w:t>
      </w:r>
      <w:r>
        <w:rPr>
          <w:spacing w:val="-3"/>
        </w:rPr>
        <w:t>；当吸入口位于墙体上时，</w:t>
      </w:r>
      <w:r>
        <w:rPr>
          <w:i/>
          <w:sz w:val="22"/>
        </w:rPr>
        <w:t>γ</w:t>
      </w:r>
      <w:r>
        <w:rPr>
          <w:spacing w:val="-27"/>
        </w:rPr>
        <w:t>取</w:t>
      </w:r>
      <w:r>
        <w:rPr>
          <w:spacing w:val="-27"/>
        </w:rPr>
        <w:t xml:space="preserve"> </w:t>
      </w:r>
      <w:r>
        <w:t>0.5</w:t>
      </w:r>
      <w:r>
        <w:rPr>
          <w:spacing w:val="-3"/>
        </w:rPr>
        <w:t>。</w:t>
      </w:r>
      <w:r>
        <w:t xml:space="preserve"> </w:t>
      </w:r>
    </w:p>
    <w:p w14:paraId="6B9A3DDA" w14:textId="77777777" w:rsidR="00A71EEF" w:rsidRDefault="0081115D">
      <w:pPr>
        <w:pStyle w:val="a3"/>
        <w:spacing w:before="4"/>
        <w:ind w:left="838"/>
      </w:pPr>
      <w:r>
        <w:rPr>
          <w:i/>
          <w:position w:val="1"/>
          <w:sz w:val="22"/>
        </w:rPr>
        <w:t>d</w:t>
      </w:r>
      <w:r>
        <w:rPr>
          <w:sz w:val="11"/>
        </w:rPr>
        <w:t>b</w:t>
      </w:r>
      <w:r>
        <w:rPr>
          <w:position w:val="1"/>
        </w:rPr>
        <w:t>——</w:t>
      </w:r>
      <w:r>
        <w:rPr>
          <w:position w:val="1"/>
        </w:rPr>
        <w:t>排烟系统吸入口最低点之下烟气层厚度（</w:t>
      </w:r>
      <w:r>
        <w:rPr>
          <w:position w:val="1"/>
        </w:rPr>
        <w:t>m</w:t>
      </w:r>
      <w:r>
        <w:rPr>
          <w:position w:val="1"/>
        </w:rPr>
        <w:t>）；</w:t>
      </w:r>
      <w:r>
        <w:rPr>
          <w:position w:val="1"/>
        </w:rPr>
        <w:t xml:space="preserve"> </w:t>
      </w:r>
    </w:p>
    <w:p w14:paraId="1743C8F0" w14:textId="77777777" w:rsidR="00A71EEF" w:rsidRDefault="00A71EEF">
      <w:pPr>
        <w:pStyle w:val="a3"/>
        <w:rPr>
          <w:sz w:val="17"/>
        </w:rPr>
      </w:pPr>
    </w:p>
    <w:p w14:paraId="1E8052AA" w14:textId="77777777" w:rsidR="00A71EEF" w:rsidRDefault="0081115D">
      <w:pPr>
        <w:pStyle w:val="a3"/>
        <w:spacing w:line="424" w:lineRule="auto"/>
        <w:ind w:left="838" w:right="6443"/>
      </w:pPr>
      <w:r>
        <w:rPr>
          <w:i/>
          <w:w w:val="96"/>
          <w:sz w:val="22"/>
        </w:rPr>
        <w:t xml:space="preserve"> </w:t>
      </w:r>
      <w:r>
        <w:rPr>
          <w:i/>
          <w:sz w:val="22"/>
        </w:rPr>
        <w:t>T</w:t>
      </w:r>
      <w:r>
        <w:t>——</w:t>
      </w:r>
      <w:r>
        <w:t>烟层的平均绝对温度（</w:t>
      </w:r>
      <w:r>
        <w:t>K</w:t>
      </w:r>
      <w:r>
        <w:t>）；</w:t>
      </w:r>
      <w:r>
        <w:t xml:space="preserve"> </w:t>
      </w:r>
      <w:r>
        <w:rPr>
          <w:i/>
          <w:position w:val="1"/>
          <w:sz w:val="22"/>
        </w:rPr>
        <w:t>T</w:t>
      </w:r>
      <w:r>
        <w:rPr>
          <w:sz w:val="11"/>
        </w:rPr>
        <w:t>0</w:t>
      </w:r>
      <w:r>
        <w:rPr>
          <w:position w:val="1"/>
        </w:rPr>
        <w:t>——</w:t>
      </w:r>
      <w:r>
        <w:rPr>
          <w:position w:val="1"/>
        </w:rPr>
        <w:t>环境的绝对温度（</w:t>
      </w:r>
      <w:r>
        <w:rPr>
          <w:position w:val="1"/>
        </w:rPr>
        <w:t>K</w:t>
      </w:r>
      <w:r>
        <w:rPr>
          <w:position w:val="1"/>
        </w:rPr>
        <w:t>）。</w:t>
      </w:r>
      <w:r>
        <w:rPr>
          <w:position w:val="1"/>
        </w:rPr>
        <w:t xml:space="preserve"> </w:t>
      </w:r>
    </w:p>
    <w:p w14:paraId="3BF0156E" w14:textId="77777777" w:rsidR="00A71EEF" w:rsidRDefault="0081115D">
      <w:pPr>
        <w:pStyle w:val="a4"/>
        <w:numPr>
          <w:ilvl w:val="2"/>
          <w:numId w:val="106"/>
        </w:numPr>
        <w:tabs>
          <w:tab w:val="left" w:pos="1478"/>
        </w:tabs>
        <w:spacing w:before="13"/>
        <w:ind w:left="1477" w:hanging="638"/>
        <w:rPr>
          <w:sz w:val="21"/>
        </w:rPr>
      </w:pPr>
      <w:r>
        <w:rPr>
          <w:spacing w:val="-3"/>
          <w:sz w:val="21"/>
        </w:rPr>
        <w:t>采用自然排烟方式所需自然排烟窗</w:t>
      </w:r>
      <w:r>
        <w:rPr>
          <w:sz w:val="21"/>
        </w:rPr>
        <w:t>（</w:t>
      </w:r>
      <w:r>
        <w:rPr>
          <w:spacing w:val="-3"/>
          <w:sz w:val="21"/>
        </w:rPr>
        <w:t>口</w:t>
      </w:r>
      <w:r>
        <w:rPr>
          <w:sz w:val="21"/>
        </w:rPr>
        <w:t>）</w:t>
      </w:r>
      <w:r>
        <w:rPr>
          <w:spacing w:val="-3"/>
          <w:sz w:val="21"/>
        </w:rPr>
        <w:t>截面积宜按下式计算：</w:t>
      </w:r>
      <w:r>
        <w:rPr>
          <w:sz w:val="21"/>
        </w:rPr>
        <w:t xml:space="preserve"> </w:t>
      </w:r>
    </w:p>
    <w:p w14:paraId="0472F65B" w14:textId="77777777" w:rsidR="00A71EEF" w:rsidRDefault="0081115D">
      <w:pPr>
        <w:pStyle w:val="a3"/>
        <w:spacing w:before="5"/>
        <w:rPr>
          <w:sz w:val="10"/>
        </w:rPr>
      </w:pPr>
      <w:r>
        <w:rPr>
          <w:noProof/>
        </w:rPr>
        <w:drawing>
          <wp:anchor distT="0" distB="0" distL="0" distR="0" simplePos="0" relativeHeight="251712000" behindDoc="0" locked="0" layoutInCell="1" allowOverlap="1" wp14:anchorId="64F3976F" wp14:editId="70056C5E">
            <wp:simplePos x="0" y="0"/>
            <wp:positionH relativeFrom="page">
              <wp:posOffset>1456157</wp:posOffset>
            </wp:positionH>
            <wp:positionV relativeFrom="paragraph">
              <wp:posOffset>109867</wp:posOffset>
            </wp:positionV>
            <wp:extent cx="4269904" cy="1024127"/>
            <wp:effectExtent l="0" t="0" r="0" b="0"/>
            <wp:wrapTopAndBottom/>
            <wp:docPr id="691" name="image4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image406.jpeg"/>
                    <pic:cNvPicPr/>
                  </pic:nvPicPr>
                  <pic:blipFill>
                    <a:blip r:embed="rId510" cstate="print"/>
                    <a:stretch>
                      <a:fillRect/>
                    </a:stretch>
                  </pic:blipFill>
                  <pic:spPr>
                    <a:xfrm>
                      <a:off x="0" y="0"/>
                      <a:ext cx="4269904" cy="1024127"/>
                    </a:xfrm>
                    <a:prstGeom prst="rect">
                      <a:avLst/>
                    </a:prstGeom>
                  </pic:spPr>
                </pic:pic>
              </a:graphicData>
            </a:graphic>
          </wp:anchor>
        </w:drawing>
      </w:r>
    </w:p>
    <w:p w14:paraId="4961A8EC" w14:textId="77777777" w:rsidR="00A71EEF" w:rsidRDefault="00A71EEF">
      <w:pPr>
        <w:pStyle w:val="a3"/>
        <w:spacing w:before="8"/>
        <w:rPr>
          <w:sz w:val="6"/>
        </w:rPr>
      </w:pPr>
    </w:p>
    <w:p w14:paraId="429A317D" w14:textId="77777777" w:rsidR="00A71EEF" w:rsidRDefault="0081115D">
      <w:pPr>
        <w:pStyle w:val="a3"/>
        <w:ind w:left="389"/>
        <w:rPr>
          <w:sz w:val="20"/>
        </w:rPr>
      </w:pPr>
      <w:r>
        <w:rPr>
          <w:sz w:val="20"/>
        </w:rPr>
      </w:r>
      <w:r>
        <w:rPr>
          <w:sz w:val="20"/>
        </w:rPr>
        <w:pict w14:anchorId="7D8D0DFB">
          <v:group id="_x0000_s1084" style="width:442.4pt;height:25pt;mso-position-horizontal-relative:char;mso-position-vertical-relative:line" coordsize="8848,500">
            <v:rect id="_x0000_s1088" style="position:absolute;width:8848;height:500" stroked="f"/>
            <v:shape id="_x0000_s1087" type="#_x0000_t202" style="position:absolute;left:448;top:209;width:757;height:223" filled="f" stroked="f">
              <v:textbox inset="0,0,0,0">
                <w:txbxContent>
                  <w:p w14:paraId="50C991F7" w14:textId="77777777" w:rsidR="00A71EEF" w:rsidRDefault="0081115D">
                    <w:pPr>
                      <w:spacing w:line="223" w:lineRule="exact"/>
                      <w:rPr>
                        <w:i/>
                      </w:rPr>
                    </w:pPr>
                    <w:r>
                      <w:rPr>
                        <w:sz w:val="21"/>
                      </w:rPr>
                      <w:t>式中：</w:t>
                    </w:r>
                    <w:r>
                      <w:rPr>
                        <w:i/>
                      </w:rPr>
                      <w:t>A</w:t>
                    </w:r>
                  </w:p>
                </w:txbxContent>
              </v:textbox>
            </v:shape>
            <v:shape id="_x0000_s1086" type="#_x0000_t202" style="position:absolute;left:4286;top:195;width:76;height:111" filled="f" stroked="f">
              <v:textbox inset="0,0,0,0">
                <w:txbxContent>
                  <w:p w14:paraId="51B9A510" w14:textId="77777777" w:rsidR="00A71EEF" w:rsidRDefault="0081115D">
                    <w:pPr>
                      <w:spacing w:line="110" w:lineRule="exact"/>
                      <w:rPr>
                        <w:sz w:val="11"/>
                      </w:rPr>
                    </w:pPr>
                    <w:r>
                      <w:rPr>
                        <w:sz w:val="11"/>
                      </w:rPr>
                      <w:t>2</w:t>
                    </w:r>
                  </w:p>
                </w:txbxContent>
              </v:textbox>
            </v:shape>
            <v:shape id="_x0000_s1085" type="#_x0000_t202" style="position:absolute;left:1185;top:219;width:3701;height:212" filled="f" stroked="f">
              <v:textbox inset="0,0,0,0">
                <w:txbxContent>
                  <w:p w14:paraId="078EE8FD" w14:textId="77777777" w:rsidR="00A71EEF" w:rsidRDefault="0081115D">
                    <w:pPr>
                      <w:spacing w:line="211" w:lineRule="exact"/>
                      <w:rPr>
                        <w:sz w:val="21"/>
                      </w:rPr>
                    </w:pPr>
                    <w:r>
                      <w:rPr>
                        <w:sz w:val="11"/>
                      </w:rPr>
                      <w:t>v</w:t>
                    </w:r>
                    <w:r>
                      <w:rPr>
                        <w:position w:val="1"/>
                        <w:sz w:val="21"/>
                      </w:rPr>
                      <w:t>——</w:t>
                    </w:r>
                    <w:r>
                      <w:rPr>
                        <w:position w:val="1"/>
                        <w:sz w:val="21"/>
                      </w:rPr>
                      <w:t>自然排烟窗（口）截面积（</w:t>
                    </w:r>
                    <w:r>
                      <w:rPr>
                        <w:position w:val="1"/>
                        <w:sz w:val="21"/>
                      </w:rPr>
                      <w:t xml:space="preserve">m </w:t>
                    </w:r>
                    <w:r>
                      <w:rPr>
                        <w:position w:val="1"/>
                        <w:sz w:val="21"/>
                      </w:rPr>
                      <w:t>）；</w:t>
                    </w:r>
                    <w:r>
                      <w:rPr>
                        <w:position w:val="1"/>
                        <w:sz w:val="21"/>
                      </w:rPr>
                      <w:t xml:space="preserve"> </w:t>
                    </w:r>
                  </w:p>
                </w:txbxContent>
              </v:textbox>
            </v:shape>
            <w10:anchorlock/>
          </v:group>
        </w:pict>
      </w:r>
    </w:p>
    <w:p w14:paraId="30695464" w14:textId="77777777" w:rsidR="00A71EEF" w:rsidRDefault="0081115D">
      <w:pPr>
        <w:pStyle w:val="a3"/>
        <w:spacing w:before="145"/>
        <w:ind w:left="838"/>
      </w:pPr>
      <w:r>
        <w:pict w14:anchorId="275E48AD">
          <v:shape id="_x0000_s1083" type="#_x0000_t202" style="position:absolute;left:0;text-align:left;margin-left:110.2pt;margin-top:14pt;width:2.8pt;height:5.55pt;z-index:-251516416;mso-position-horizontal-relative:page" filled="f" stroked="f">
            <v:textbox inset="0,0,0,0">
              <w:txbxContent>
                <w:p w14:paraId="0B4E15DA" w14:textId="77777777" w:rsidR="00A71EEF" w:rsidRDefault="0081115D">
                  <w:pPr>
                    <w:spacing w:line="110" w:lineRule="exact"/>
                    <w:rPr>
                      <w:sz w:val="11"/>
                    </w:rPr>
                  </w:pPr>
                  <w:r>
                    <w:rPr>
                      <w:sz w:val="11"/>
                    </w:rPr>
                    <w:t>0</w:t>
                  </w:r>
                </w:p>
              </w:txbxContent>
            </v:textbox>
            <w10:wrap anchorx="page"/>
          </v:shape>
        </w:pict>
      </w:r>
      <w:r>
        <w:rPr>
          <w:i/>
          <w:sz w:val="22"/>
        </w:rPr>
        <w:t>A</w:t>
      </w:r>
      <w:r>
        <w:rPr>
          <w:i/>
          <w:spacing w:val="-55"/>
          <w:sz w:val="22"/>
        </w:rPr>
        <w:t xml:space="preserve"> </w:t>
      </w:r>
      <w:r>
        <w:rPr>
          <w:spacing w:val="-3"/>
        </w:rPr>
        <w:t>——</w:t>
      </w:r>
      <w:r>
        <w:rPr>
          <w:spacing w:val="-3"/>
        </w:rPr>
        <w:t>所有进气口总面积</w:t>
      </w:r>
      <w:r>
        <w:t>（</w:t>
      </w:r>
      <w:r>
        <w:t>m</w:t>
      </w:r>
      <w:r>
        <w:rPr>
          <w:position w:val="11"/>
          <w:sz w:val="11"/>
        </w:rPr>
        <w:t>2</w:t>
      </w:r>
      <w:r>
        <w:t>）；</w:t>
      </w:r>
      <w:r>
        <w:t xml:space="preserve"> </w:t>
      </w:r>
    </w:p>
    <w:p w14:paraId="53D73AD9" w14:textId="77777777" w:rsidR="00A71EEF" w:rsidRDefault="0081115D">
      <w:pPr>
        <w:pStyle w:val="a3"/>
        <w:spacing w:before="162"/>
        <w:ind w:left="838"/>
      </w:pPr>
      <w:r>
        <w:rPr>
          <w:i/>
          <w:position w:val="1"/>
          <w:sz w:val="22"/>
        </w:rPr>
        <w:t>C</w:t>
      </w:r>
      <w:r>
        <w:rPr>
          <w:sz w:val="11"/>
        </w:rPr>
        <w:t>v</w:t>
      </w:r>
      <w:r>
        <w:rPr>
          <w:position w:val="1"/>
        </w:rPr>
        <w:t>——</w:t>
      </w:r>
      <w:r>
        <w:rPr>
          <w:position w:val="1"/>
        </w:rPr>
        <w:t>自然排烟窗（口）流量系数（通常选定在</w:t>
      </w:r>
      <w:r>
        <w:rPr>
          <w:position w:val="1"/>
        </w:rPr>
        <w:t xml:space="preserve"> 0.5</w:t>
      </w:r>
      <w:r>
        <w:rPr>
          <w:rFonts w:ascii="微软雅黑" w:eastAsia="微软雅黑" w:hAnsi="微软雅黑" w:hint="eastAsia"/>
          <w:position w:val="1"/>
        </w:rPr>
        <w:t>〜</w:t>
      </w:r>
      <w:r>
        <w:rPr>
          <w:position w:val="1"/>
        </w:rPr>
        <w:t xml:space="preserve">0.7 </w:t>
      </w:r>
      <w:r>
        <w:rPr>
          <w:position w:val="1"/>
        </w:rPr>
        <w:t>之间）；</w:t>
      </w:r>
      <w:r>
        <w:rPr>
          <w:position w:val="1"/>
        </w:rPr>
        <w:t xml:space="preserve"> </w:t>
      </w:r>
    </w:p>
    <w:p w14:paraId="02F96B5B" w14:textId="77777777" w:rsidR="00A71EEF" w:rsidRDefault="0081115D">
      <w:pPr>
        <w:pStyle w:val="a3"/>
        <w:spacing w:before="169"/>
        <w:ind w:left="838"/>
        <w:jc w:val="both"/>
      </w:pPr>
      <w:r>
        <w:rPr>
          <w:i/>
          <w:position w:val="1"/>
          <w:sz w:val="22"/>
        </w:rPr>
        <w:t>C</w:t>
      </w:r>
      <w:r>
        <w:rPr>
          <w:sz w:val="11"/>
        </w:rPr>
        <w:t>0</w:t>
      </w:r>
      <w:r>
        <w:rPr>
          <w:position w:val="1"/>
        </w:rPr>
        <w:t>——</w:t>
      </w:r>
      <w:r>
        <w:rPr>
          <w:position w:val="1"/>
        </w:rPr>
        <w:t>进气口流量系数（通常约为</w:t>
      </w:r>
      <w:r>
        <w:rPr>
          <w:position w:val="1"/>
        </w:rPr>
        <w:t xml:space="preserve"> 0.6</w:t>
      </w:r>
      <w:r>
        <w:rPr>
          <w:position w:val="1"/>
        </w:rPr>
        <w:t>）；</w:t>
      </w:r>
      <w:r>
        <w:rPr>
          <w:position w:val="1"/>
        </w:rPr>
        <w:t xml:space="preserve"> </w:t>
      </w:r>
    </w:p>
    <w:p w14:paraId="35983157" w14:textId="77777777" w:rsidR="00A71EEF" w:rsidRDefault="00A71EEF">
      <w:pPr>
        <w:pStyle w:val="a3"/>
        <w:rPr>
          <w:sz w:val="17"/>
        </w:rPr>
      </w:pPr>
    </w:p>
    <w:p w14:paraId="2AA9A1B0" w14:textId="77777777" w:rsidR="00A71EEF" w:rsidRDefault="0081115D">
      <w:pPr>
        <w:pStyle w:val="a3"/>
        <w:ind w:left="838"/>
      </w:pPr>
      <w:r>
        <w:rPr>
          <w:i/>
          <w:sz w:val="22"/>
        </w:rPr>
        <w:t>g</w:t>
      </w:r>
      <w:r>
        <w:t>——</w:t>
      </w:r>
      <w:r>
        <w:t>重力加速度（</w:t>
      </w:r>
      <w:r>
        <w:t>m/s</w:t>
      </w:r>
      <w:r>
        <w:rPr>
          <w:position w:val="11"/>
          <w:sz w:val="11"/>
        </w:rPr>
        <w:t>2</w:t>
      </w:r>
      <w:r>
        <w:t>）。</w:t>
      </w:r>
      <w:r>
        <w:t xml:space="preserve"> </w:t>
      </w:r>
    </w:p>
    <w:p w14:paraId="48ACA791" w14:textId="77777777" w:rsidR="00A71EEF" w:rsidRDefault="00A71EEF">
      <w:pPr>
        <w:pStyle w:val="a3"/>
        <w:spacing w:before="2"/>
        <w:rPr>
          <w:sz w:val="17"/>
        </w:rPr>
      </w:pPr>
    </w:p>
    <w:p w14:paraId="22A53C38" w14:textId="77777777" w:rsidR="00A71EEF" w:rsidRDefault="0081115D">
      <w:pPr>
        <w:ind w:left="838"/>
        <w:rPr>
          <w:sz w:val="21"/>
        </w:rPr>
      </w:pPr>
      <w:r>
        <w:rPr>
          <w:position w:val="1"/>
          <w:sz w:val="21"/>
        </w:rPr>
        <w:t>注：公式中</w:t>
      </w:r>
      <w:r>
        <w:rPr>
          <w:position w:val="1"/>
          <w:sz w:val="21"/>
        </w:rPr>
        <w:t xml:space="preserve"> </w:t>
      </w:r>
      <w:r>
        <w:rPr>
          <w:i/>
          <w:position w:val="1"/>
        </w:rPr>
        <w:t>A</w:t>
      </w:r>
      <w:r>
        <w:rPr>
          <w:i/>
          <w:sz w:val="11"/>
        </w:rPr>
        <w:t>v</w:t>
      </w:r>
      <w:r>
        <w:rPr>
          <w:i/>
          <w:position w:val="1"/>
        </w:rPr>
        <w:t>C</w:t>
      </w:r>
      <w:r>
        <w:rPr>
          <w:sz w:val="11"/>
        </w:rPr>
        <w:t xml:space="preserve">v </w:t>
      </w:r>
      <w:r>
        <w:rPr>
          <w:position w:val="1"/>
          <w:sz w:val="21"/>
        </w:rPr>
        <w:t>在计算时应采用试算法。</w:t>
      </w:r>
      <w:r>
        <w:rPr>
          <w:position w:val="1"/>
          <w:sz w:val="21"/>
        </w:rPr>
        <w:t xml:space="preserve"> </w:t>
      </w:r>
    </w:p>
    <w:p w14:paraId="38040251" w14:textId="77777777" w:rsidR="00A71EEF" w:rsidRDefault="00A71EEF">
      <w:pPr>
        <w:pStyle w:val="a3"/>
        <w:spacing w:before="6"/>
        <w:rPr>
          <w:sz w:val="15"/>
        </w:rPr>
      </w:pPr>
    </w:p>
    <w:p w14:paraId="0CD9AC54" w14:textId="77777777" w:rsidR="00A71EEF" w:rsidRDefault="0081115D">
      <w:pPr>
        <w:pStyle w:val="4"/>
      </w:pPr>
      <w:r>
        <w:t xml:space="preserve">5 </w:t>
      </w:r>
      <w:r>
        <w:t>系统控制</w:t>
      </w:r>
      <w:r>
        <w:rPr>
          <w:w w:val="99"/>
        </w:rPr>
        <w:t xml:space="preserve"> </w:t>
      </w:r>
    </w:p>
    <w:p w14:paraId="15B4D042" w14:textId="77777777" w:rsidR="00A71EEF" w:rsidRDefault="00A71EEF">
      <w:pPr>
        <w:pStyle w:val="a3"/>
        <w:spacing w:before="4"/>
        <w:rPr>
          <w:b/>
          <w:sz w:val="17"/>
        </w:rPr>
      </w:pPr>
    </w:p>
    <w:p w14:paraId="54A6413A" w14:textId="77777777" w:rsidR="00A71EEF" w:rsidRDefault="0081115D">
      <w:pPr>
        <w:pStyle w:val="a4"/>
        <w:numPr>
          <w:ilvl w:val="1"/>
          <w:numId w:val="103"/>
        </w:numPr>
        <w:tabs>
          <w:tab w:val="left" w:pos="1160"/>
        </w:tabs>
        <w:rPr>
          <w:b/>
          <w:sz w:val="21"/>
        </w:rPr>
      </w:pPr>
      <w:r>
        <w:rPr>
          <w:spacing w:val="-3"/>
          <w:sz w:val="21"/>
        </w:rPr>
        <w:t>防烟系统</w:t>
      </w:r>
      <w:r>
        <w:rPr>
          <w:b/>
          <w:w w:val="99"/>
          <w:sz w:val="21"/>
        </w:rPr>
        <w:t xml:space="preserve"> </w:t>
      </w:r>
    </w:p>
    <w:p w14:paraId="09213254" w14:textId="77777777" w:rsidR="00A71EEF" w:rsidRDefault="00A71EEF">
      <w:pPr>
        <w:pStyle w:val="a3"/>
        <w:spacing w:before="1"/>
        <w:rPr>
          <w:b/>
          <w:sz w:val="18"/>
        </w:rPr>
      </w:pPr>
    </w:p>
    <w:p w14:paraId="59947557" w14:textId="77777777" w:rsidR="00A71EEF" w:rsidRDefault="0081115D">
      <w:pPr>
        <w:pStyle w:val="a4"/>
        <w:numPr>
          <w:ilvl w:val="2"/>
          <w:numId w:val="103"/>
        </w:numPr>
        <w:tabs>
          <w:tab w:val="left" w:pos="1371"/>
        </w:tabs>
        <w:spacing w:before="1"/>
        <w:rPr>
          <w:sz w:val="21"/>
        </w:rPr>
      </w:pPr>
      <w:r>
        <w:rPr>
          <w:spacing w:val="-3"/>
          <w:sz w:val="21"/>
        </w:rPr>
        <w:t>机械加压送风系统应与火灾自动报警系统联动，其联动控制应符合现行国家标准</w:t>
      </w:r>
    </w:p>
    <w:p w14:paraId="2F66669E" w14:textId="77777777" w:rsidR="00A71EEF" w:rsidRDefault="00A71EEF">
      <w:pPr>
        <w:pStyle w:val="a3"/>
        <w:spacing w:before="12"/>
        <w:rPr>
          <w:sz w:val="17"/>
        </w:rPr>
      </w:pPr>
    </w:p>
    <w:p w14:paraId="067B9757" w14:textId="77777777" w:rsidR="00A71EEF" w:rsidRDefault="0081115D">
      <w:pPr>
        <w:pStyle w:val="a3"/>
        <w:spacing w:line="446" w:lineRule="auto"/>
        <w:ind w:left="840" w:right="5027" w:hanging="423"/>
      </w:pPr>
      <w:r>
        <w:t>《火灾自动报警系统设计规范》</w:t>
      </w:r>
      <w:r>
        <w:t xml:space="preserve">GB 50116 </w:t>
      </w:r>
      <w:r>
        <w:t>的有关规定。</w:t>
      </w:r>
      <w:r>
        <w:rPr>
          <w:b/>
        </w:rPr>
        <w:t xml:space="preserve">5.1.2 </w:t>
      </w:r>
      <w:r>
        <w:t>加压送风机的启动应符合下列规定：</w:t>
      </w:r>
      <w:r>
        <w:t xml:space="preserve"> </w:t>
      </w:r>
    </w:p>
    <w:p w14:paraId="4E699336" w14:textId="77777777" w:rsidR="00A71EEF" w:rsidRDefault="0081115D">
      <w:pPr>
        <w:pStyle w:val="a3"/>
        <w:ind w:left="838"/>
        <w:rPr>
          <w:b/>
        </w:rPr>
      </w:pPr>
      <w:r>
        <w:t>现场手动启动；</w:t>
      </w:r>
      <w:r>
        <w:rPr>
          <w:b/>
          <w:w w:val="99"/>
        </w:rPr>
        <w:t xml:space="preserve"> </w:t>
      </w:r>
    </w:p>
    <w:p w14:paraId="434157B5" w14:textId="77777777" w:rsidR="00A71EEF" w:rsidRDefault="00A71EEF">
      <w:pPr>
        <w:pStyle w:val="a3"/>
        <w:rPr>
          <w:b/>
          <w:sz w:val="18"/>
        </w:rPr>
      </w:pPr>
    </w:p>
    <w:p w14:paraId="3CCE9378" w14:textId="77777777" w:rsidR="00A71EEF" w:rsidRDefault="0081115D">
      <w:pPr>
        <w:pStyle w:val="a3"/>
        <w:ind w:left="838"/>
        <w:rPr>
          <w:b/>
        </w:rPr>
      </w:pPr>
      <w:r>
        <w:t>通过火灾自动报警系统自动启动；</w:t>
      </w:r>
      <w:r>
        <w:rPr>
          <w:b/>
          <w:w w:val="99"/>
        </w:rPr>
        <w:t xml:space="preserve"> </w:t>
      </w:r>
    </w:p>
    <w:p w14:paraId="5BFC3ED4" w14:textId="77777777" w:rsidR="00A71EEF" w:rsidRDefault="00A71EEF">
      <w:pPr>
        <w:sectPr w:rsidR="00A71EEF">
          <w:pgSz w:w="11910" w:h="16850"/>
          <w:pgMar w:top="1420" w:right="0" w:bottom="1420" w:left="1260" w:header="0" w:footer="1239" w:gutter="0"/>
          <w:cols w:space="720"/>
        </w:sectPr>
      </w:pPr>
    </w:p>
    <w:p w14:paraId="77033BDB" w14:textId="77777777" w:rsidR="00A71EEF" w:rsidRDefault="0081115D">
      <w:pPr>
        <w:pStyle w:val="a3"/>
        <w:spacing w:before="47"/>
        <w:ind w:left="838"/>
      </w:pPr>
      <w:r>
        <w:t>消防控制室手动启动；</w:t>
      </w:r>
      <w:r>
        <w:t xml:space="preserve"> </w:t>
      </w:r>
    </w:p>
    <w:p w14:paraId="521C2F87" w14:textId="77777777" w:rsidR="00A71EEF" w:rsidRDefault="00A71EEF">
      <w:pPr>
        <w:pStyle w:val="a3"/>
        <w:rPr>
          <w:sz w:val="20"/>
        </w:rPr>
      </w:pPr>
    </w:p>
    <w:p w14:paraId="1E582855" w14:textId="77777777" w:rsidR="00A71EEF" w:rsidRDefault="0081115D">
      <w:pPr>
        <w:pStyle w:val="a3"/>
        <w:spacing w:before="3"/>
        <w:rPr>
          <w:sz w:val="14"/>
        </w:rPr>
      </w:pPr>
      <w:r>
        <w:rPr>
          <w:noProof/>
        </w:rPr>
        <w:drawing>
          <wp:anchor distT="0" distB="0" distL="0" distR="0" simplePos="0" relativeHeight="251713024" behindDoc="0" locked="0" layoutInCell="1" allowOverlap="1" wp14:anchorId="6716DD4D" wp14:editId="7334C59C">
            <wp:simplePos x="0" y="0"/>
            <wp:positionH relativeFrom="page">
              <wp:posOffset>1529097</wp:posOffset>
            </wp:positionH>
            <wp:positionV relativeFrom="paragraph">
              <wp:posOffset>140898</wp:posOffset>
            </wp:positionV>
            <wp:extent cx="5258402" cy="914400"/>
            <wp:effectExtent l="0" t="0" r="0" b="0"/>
            <wp:wrapTopAndBottom/>
            <wp:docPr id="693" name="image4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image406.jpeg"/>
                    <pic:cNvPicPr/>
                  </pic:nvPicPr>
                  <pic:blipFill>
                    <a:blip r:embed="rId510" cstate="print"/>
                    <a:stretch>
                      <a:fillRect/>
                    </a:stretch>
                  </pic:blipFill>
                  <pic:spPr>
                    <a:xfrm>
                      <a:off x="0" y="0"/>
                      <a:ext cx="5258402" cy="914400"/>
                    </a:xfrm>
                    <a:prstGeom prst="rect">
                      <a:avLst/>
                    </a:prstGeom>
                  </pic:spPr>
                </pic:pic>
              </a:graphicData>
            </a:graphic>
          </wp:anchor>
        </w:drawing>
      </w:r>
    </w:p>
    <w:p w14:paraId="37101A00" w14:textId="77777777" w:rsidR="00A71EEF" w:rsidRDefault="00A71EEF">
      <w:pPr>
        <w:pStyle w:val="a3"/>
        <w:spacing w:before="8"/>
        <w:rPr>
          <w:sz w:val="19"/>
        </w:rPr>
      </w:pPr>
    </w:p>
    <w:p w14:paraId="7FC232A9" w14:textId="77777777" w:rsidR="00A71EEF" w:rsidRDefault="0081115D">
      <w:pPr>
        <w:pStyle w:val="a3"/>
        <w:ind w:left="838"/>
      </w:pPr>
      <w:r>
        <w:t>系统中任一常闭加压送风口开启时，加压风机应能自动启动。</w:t>
      </w:r>
      <w:r>
        <w:t xml:space="preserve"> </w:t>
      </w:r>
    </w:p>
    <w:p w14:paraId="581E743B" w14:textId="77777777" w:rsidR="00A71EEF" w:rsidRDefault="00A71EEF">
      <w:pPr>
        <w:pStyle w:val="a3"/>
        <w:rPr>
          <w:sz w:val="18"/>
        </w:rPr>
      </w:pPr>
    </w:p>
    <w:p w14:paraId="235DD892" w14:textId="77777777" w:rsidR="00A71EEF" w:rsidRDefault="0081115D">
      <w:pPr>
        <w:pStyle w:val="a4"/>
        <w:numPr>
          <w:ilvl w:val="2"/>
          <w:numId w:val="102"/>
        </w:numPr>
        <w:tabs>
          <w:tab w:val="left" w:pos="1370"/>
        </w:tabs>
        <w:spacing w:line="448" w:lineRule="auto"/>
        <w:ind w:right="1604" w:firstLine="422"/>
        <w:rPr>
          <w:sz w:val="21"/>
        </w:rPr>
      </w:pPr>
      <w:r>
        <w:rPr>
          <w:spacing w:val="-6"/>
          <w:sz w:val="21"/>
        </w:rPr>
        <w:t>当防火分区内火灾确认后，应能在</w:t>
      </w:r>
      <w:r>
        <w:rPr>
          <w:spacing w:val="-6"/>
          <w:sz w:val="21"/>
        </w:rPr>
        <w:t xml:space="preserve"> </w:t>
      </w:r>
      <w:r>
        <w:rPr>
          <w:sz w:val="21"/>
        </w:rPr>
        <w:t>15s</w:t>
      </w:r>
      <w:r>
        <w:rPr>
          <w:spacing w:val="-8"/>
          <w:sz w:val="21"/>
        </w:rPr>
        <w:t xml:space="preserve"> </w:t>
      </w:r>
      <w:r>
        <w:rPr>
          <w:spacing w:val="-8"/>
          <w:sz w:val="21"/>
        </w:rPr>
        <w:t>内联动开启常闭加压送风口和加压送风机。</w:t>
      </w:r>
      <w:r>
        <w:rPr>
          <w:spacing w:val="-5"/>
          <w:sz w:val="21"/>
        </w:rPr>
        <w:t>并应符合下列规定：</w:t>
      </w:r>
      <w:r>
        <w:rPr>
          <w:sz w:val="21"/>
        </w:rPr>
        <w:t xml:space="preserve"> </w:t>
      </w:r>
    </w:p>
    <w:p w14:paraId="624A2A69" w14:textId="77777777" w:rsidR="00A71EEF" w:rsidRDefault="0081115D">
      <w:pPr>
        <w:pStyle w:val="a3"/>
        <w:spacing w:line="264" w:lineRule="exact"/>
        <w:ind w:left="838"/>
      </w:pPr>
      <w:r>
        <w:t>应开启该防火分区楼梯间的全部加压送风机；</w:t>
      </w:r>
      <w:r>
        <w:t xml:space="preserve"> </w:t>
      </w:r>
    </w:p>
    <w:p w14:paraId="5249E206" w14:textId="77777777" w:rsidR="00A71EEF" w:rsidRDefault="00A71EEF">
      <w:pPr>
        <w:pStyle w:val="a3"/>
        <w:spacing w:before="12"/>
        <w:rPr>
          <w:sz w:val="17"/>
        </w:rPr>
      </w:pPr>
    </w:p>
    <w:p w14:paraId="7770DEE3" w14:textId="77777777" w:rsidR="00A71EEF" w:rsidRDefault="0081115D">
      <w:pPr>
        <w:pStyle w:val="a3"/>
        <w:spacing w:line="446" w:lineRule="auto"/>
        <w:ind w:left="418" w:right="1609" w:firstLine="419"/>
      </w:pPr>
      <w:r>
        <w:t>应开</w:t>
      </w:r>
      <w:r>
        <w:t>启该防火分区内着火层及其相邻上下层前室及合用前室的常闭送风口，同时开启加压送风机。</w:t>
      </w:r>
      <w:r>
        <w:t xml:space="preserve"> </w:t>
      </w:r>
    </w:p>
    <w:p w14:paraId="40239B15" w14:textId="77777777" w:rsidR="00A71EEF" w:rsidRDefault="0081115D">
      <w:pPr>
        <w:pStyle w:val="a4"/>
        <w:numPr>
          <w:ilvl w:val="2"/>
          <w:numId w:val="102"/>
        </w:numPr>
        <w:tabs>
          <w:tab w:val="left" w:pos="1371"/>
        </w:tabs>
        <w:ind w:left="1370" w:hanging="531"/>
        <w:rPr>
          <w:sz w:val="21"/>
        </w:rPr>
      </w:pPr>
      <w:r>
        <w:rPr>
          <w:spacing w:val="-3"/>
          <w:sz w:val="21"/>
        </w:rPr>
        <w:t>机械加压送风系统宜设有测压装置及风压调节措施。</w:t>
      </w:r>
      <w:r>
        <w:rPr>
          <w:sz w:val="21"/>
        </w:rPr>
        <w:t xml:space="preserve"> </w:t>
      </w:r>
    </w:p>
    <w:p w14:paraId="31014EC5" w14:textId="77777777" w:rsidR="00A71EEF" w:rsidRDefault="00A71EEF">
      <w:pPr>
        <w:pStyle w:val="a3"/>
        <w:spacing w:before="12"/>
        <w:rPr>
          <w:sz w:val="17"/>
        </w:rPr>
      </w:pPr>
    </w:p>
    <w:p w14:paraId="1A37A2C0" w14:textId="77777777" w:rsidR="00A71EEF" w:rsidRDefault="0081115D">
      <w:pPr>
        <w:pStyle w:val="a4"/>
        <w:numPr>
          <w:ilvl w:val="2"/>
          <w:numId w:val="102"/>
        </w:numPr>
        <w:tabs>
          <w:tab w:val="left" w:pos="1371"/>
        </w:tabs>
        <w:ind w:left="1370" w:hanging="531"/>
        <w:rPr>
          <w:sz w:val="21"/>
        </w:rPr>
      </w:pPr>
      <w:r>
        <w:rPr>
          <w:spacing w:val="-3"/>
          <w:sz w:val="21"/>
        </w:rPr>
        <w:t>消防控制设备应显示防烟系统的送风机、阀门等设施启闭状态。</w:t>
      </w:r>
      <w:r>
        <w:rPr>
          <w:sz w:val="21"/>
        </w:rPr>
        <w:t xml:space="preserve"> </w:t>
      </w:r>
    </w:p>
    <w:p w14:paraId="636B68A7" w14:textId="77777777" w:rsidR="00A71EEF" w:rsidRDefault="00A71EEF">
      <w:pPr>
        <w:pStyle w:val="a3"/>
        <w:spacing w:before="2"/>
        <w:rPr>
          <w:sz w:val="18"/>
        </w:rPr>
      </w:pPr>
    </w:p>
    <w:p w14:paraId="2A9AC4C2" w14:textId="77777777" w:rsidR="00A71EEF" w:rsidRDefault="0081115D">
      <w:pPr>
        <w:pStyle w:val="a4"/>
        <w:numPr>
          <w:ilvl w:val="1"/>
          <w:numId w:val="103"/>
        </w:numPr>
        <w:tabs>
          <w:tab w:val="left" w:pos="1160"/>
        </w:tabs>
        <w:spacing w:before="1"/>
        <w:rPr>
          <w:sz w:val="21"/>
        </w:rPr>
      </w:pPr>
      <w:r>
        <w:rPr>
          <w:spacing w:val="-3"/>
          <w:sz w:val="21"/>
        </w:rPr>
        <w:t>排烟系统</w:t>
      </w:r>
      <w:r>
        <w:rPr>
          <w:sz w:val="21"/>
        </w:rPr>
        <w:t xml:space="preserve"> </w:t>
      </w:r>
    </w:p>
    <w:p w14:paraId="0E7B0425" w14:textId="77777777" w:rsidR="00A71EEF" w:rsidRDefault="00A71EEF">
      <w:pPr>
        <w:pStyle w:val="a3"/>
        <w:spacing w:before="12"/>
        <w:rPr>
          <w:sz w:val="17"/>
        </w:rPr>
      </w:pPr>
    </w:p>
    <w:p w14:paraId="205AC5BA" w14:textId="77777777" w:rsidR="00A71EEF" w:rsidRDefault="0081115D">
      <w:pPr>
        <w:pStyle w:val="a4"/>
        <w:numPr>
          <w:ilvl w:val="2"/>
          <w:numId w:val="103"/>
        </w:numPr>
        <w:tabs>
          <w:tab w:val="left" w:pos="1371"/>
        </w:tabs>
        <w:spacing w:line="446" w:lineRule="auto"/>
        <w:ind w:left="418" w:right="1604" w:firstLine="422"/>
        <w:rPr>
          <w:sz w:val="21"/>
        </w:rPr>
      </w:pPr>
      <w:r>
        <w:rPr>
          <w:spacing w:val="-3"/>
          <w:sz w:val="21"/>
        </w:rPr>
        <w:t>机械排烟系统应与火灾自动报警系统联动，其联动控制应符合现行国家标准《火灾自动报警系统设计规范》</w:t>
      </w:r>
      <w:r>
        <w:rPr>
          <w:sz w:val="21"/>
        </w:rPr>
        <w:t>GB</w:t>
      </w:r>
      <w:r>
        <w:rPr>
          <w:spacing w:val="1"/>
          <w:sz w:val="21"/>
        </w:rPr>
        <w:t xml:space="preserve"> </w:t>
      </w:r>
      <w:r>
        <w:rPr>
          <w:sz w:val="21"/>
        </w:rPr>
        <w:t>50116</w:t>
      </w:r>
      <w:r>
        <w:rPr>
          <w:spacing w:val="-10"/>
          <w:sz w:val="21"/>
        </w:rPr>
        <w:t xml:space="preserve"> </w:t>
      </w:r>
      <w:r>
        <w:rPr>
          <w:spacing w:val="-10"/>
          <w:sz w:val="21"/>
        </w:rPr>
        <w:t>的有关规定。</w:t>
      </w:r>
      <w:r>
        <w:rPr>
          <w:sz w:val="21"/>
        </w:rPr>
        <w:t xml:space="preserve"> </w:t>
      </w:r>
    </w:p>
    <w:p w14:paraId="55603295" w14:textId="77777777" w:rsidR="00A71EEF" w:rsidRDefault="0081115D">
      <w:pPr>
        <w:pStyle w:val="a4"/>
        <w:numPr>
          <w:ilvl w:val="2"/>
          <w:numId w:val="103"/>
        </w:numPr>
        <w:tabs>
          <w:tab w:val="left" w:pos="1370"/>
        </w:tabs>
        <w:ind w:left="1369" w:hanging="530"/>
        <w:rPr>
          <w:sz w:val="21"/>
        </w:rPr>
      </w:pPr>
      <w:r>
        <w:rPr>
          <w:spacing w:val="-3"/>
          <w:sz w:val="21"/>
        </w:rPr>
        <w:t>排烟风机、补风机的控制方式应符合下列规定：</w:t>
      </w:r>
      <w:r>
        <w:rPr>
          <w:sz w:val="21"/>
        </w:rPr>
        <w:t xml:space="preserve"> </w:t>
      </w:r>
    </w:p>
    <w:p w14:paraId="668158F1" w14:textId="77777777" w:rsidR="00A71EEF" w:rsidRDefault="00A71EEF">
      <w:pPr>
        <w:pStyle w:val="a3"/>
        <w:spacing w:before="12"/>
        <w:rPr>
          <w:sz w:val="17"/>
        </w:rPr>
      </w:pPr>
    </w:p>
    <w:p w14:paraId="0B3DF517" w14:textId="77777777" w:rsidR="00A71EEF" w:rsidRDefault="0081115D">
      <w:pPr>
        <w:pStyle w:val="a3"/>
        <w:ind w:left="838"/>
      </w:pPr>
      <w:r>
        <w:t>现场手动启动；</w:t>
      </w:r>
      <w:r>
        <w:t xml:space="preserve"> </w:t>
      </w:r>
    </w:p>
    <w:p w14:paraId="62F0172B" w14:textId="77777777" w:rsidR="00A71EEF" w:rsidRDefault="00A71EEF">
      <w:pPr>
        <w:pStyle w:val="a3"/>
        <w:spacing w:before="12"/>
        <w:rPr>
          <w:sz w:val="17"/>
        </w:rPr>
      </w:pPr>
    </w:p>
    <w:p w14:paraId="2FB5C615" w14:textId="77777777" w:rsidR="00A71EEF" w:rsidRDefault="0081115D">
      <w:pPr>
        <w:pStyle w:val="a3"/>
        <w:spacing w:line="448" w:lineRule="auto"/>
        <w:ind w:left="838" w:right="6969"/>
      </w:pPr>
      <w:r>
        <w:t>火灾自动报警系统自动启动；</w:t>
      </w:r>
      <w:r>
        <w:t xml:space="preserve"> </w:t>
      </w:r>
      <w:r>
        <w:t>消防控制室手动启动；</w:t>
      </w:r>
      <w:r>
        <w:t xml:space="preserve"> </w:t>
      </w:r>
    </w:p>
    <w:p w14:paraId="6B7CD7F6" w14:textId="77777777" w:rsidR="00A71EEF" w:rsidRDefault="0081115D">
      <w:pPr>
        <w:pStyle w:val="a3"/>
        <w:spacing w:line="264" w:lineRule="exact"/>
        <w:ind w:left="838"/>
      </w:pPr>
      <w:r>
        <w:t>系统中任一排烟阀或排烟口开启时，排烟风机、补风机自动启动；</w:t>
      </w:r>
      <w:r>
        <w:t xml:space="preserve"> </w:t>
      </w:r>
    </w:p>
    <w:p w14:paraId="2F75EB62" w14:textId="77777777" w:rsidR="00A71EEF" w:rsidRDefault="00A71EEF">
      <w:pPr>
        <w:pStyle w:val="a3"/>
        <w:rPr>
          <w:sz w:val="18"/>
        </w:rPr>
      </w:pPr>
    </w:p>
    <w:p w14:paraId="59D3E18C" w14:textId="77777777" w:rsidR="00A71EEF" w:rsidRDefault="0081115D">
      <w:pPr>
        <w:pStyle w:val="a3"/>
        <w:ind w:left="838"/>
        <w:jc w:val="both"/>
      </w:pPr>
      <w:r>
        <w:t>排烟防火阀在</w:t>
      </w:r>
      <w:r>
        <w:t xml:space="preserve"> 280℃</w:t>
      </w:r>
      <w:r>
        <w:t>时应自行关闭，并应连锁关闭排烟风机和补风机。</w:t>
      </w:r>
      <w:r>
        <w:t xml:space="preserve"> </w:t>
      </w:r>
    </w:p>
    <w:p w14:paraId="3080949F" w14:textId="77777777" w:rsidR="00A71EEF" w:rsidRDefault="00A71EEF">
      <w:pPr>
        <w:pStyle w:val="a3"/>
        <w:spacing w:before="2"/>
        <w:rPr>
          <w:sz w:val="18"/>
        </w:rPr>
      </w:pPr>
    </w:p>
    <w:p w14:paraId="4FD26CA8" w14:textId="77777777" w:rsidR="00A71EEF" w:rsidRDefault="0081115D">
      <w:pPr>
        <w:pStyle w:val="a4"/>
        <w:numPr>
          <w:ilvl w:val="2"/>
          <w:numId w:val="103"/>
        </w:numPr>
        <w:tabs>
          <w:tab w:val="left" w:pos="1371"/>
        </w:tabs>
        <w:spacing w:line="446" w:lineRule="auto"/>
        <w:ind w:left="418" w:right="1604" w:firstLine="422"/>
        <w:jc w:val="both"/>
        <w:rPr>
          <w:sz w:val="21"/>
        </w:rPr>
      </w:pPr>
      <w:r>
        <w:rPr>
          <w:spacing w:val="-3"/>
          <w:sz w:val="21"/>
        </w:rPr>
        <w:t>机械排烟系统中的常闭排烟阀或排烟口应具有火灾自动报警系统自动开启、消防控制室手动开启和现场手动开启功能，其开启信号应与排烟风机联动。当火灾确认后，火灾自动</w:t>
      </w:r>
      <w:r>
        <w:rPr>
          <w:spacing w:val="-8"/>
          <w:sz w:val="21"/>
        </w:rPr>
        <w:t>报警系统应在</w:t>
      </w:r>
      <w:r>
        <w:rPr>
          <w:spacing w:val="-8"/>
          <w:sz w:val="21"/>
        </w:rPr>
        <w:t xml:space="preserve"> </w:t>
      </w:r>
      <w:r>
        <w:rPr>
          <w:sz w:val="21"/>
        </w:rPr>
        <w:t>15s</w:t>
      </w:r>
      <w:r>
        <w:rPr>
          <w:spacing w:val="-7"/>
          <w:sz w:val="21"/>
        </w:rPr>
        <w:t xml:space="preserve"> </w:t>
      </w:r>
      <w:r>
        <w:rPr>
          <w:spacing w:val="-7"/>
          <w:sz w:val="21"/>
        </w:rPr>
        <w:t>内联动开启相应防烟分区的全部排烟阀、排烟口、排烟风机和补风设施，并</w:t>
      </w:r>
      <w:r>
        <w:rPr>
          <w:spacing w:val="-23"/>
          <w:sz w:val="21"/>
        </w:rPr>
        <w:t>应在</w:t>
      </w:r>
      <w:r>
        <w:rPr>
          <w:spacing w:val="-23"/>
          <w:sz w:val="21"/>
        </w:rPr>
        <w:t xml:space="preserve"> </w:t>
      </w:r>
      <w:r>
        <w:rPr>
          <w:sz w:val="21"/>
        </w:rPr>
        <w:t>30s</w:t>
      </w:r>
      <w:r>
        <w:rPr>
          <w:spacing w:val="-9"/>
          <w:sz w:val="21"/>
        </w:rPr>
        <w:t xml:space="preserve"> </w:t>
      </w:r>
      <w:r>
        <w:rPr>
          <w:spacing w:val="-9"/>
          <w:sz w:val="21"/>
        </w:rPr>
        <w:t>内自动关闭与排烟无关的通风、空调系统。</w:t>
      </w:r>
      <w:r>
        <w:rPr>
          <w:spacing w:val="-9"/>
          <w:sz w:val="21"/>
        </w:rPr>
        <w:t xml:space="preserve"> </w:t>
      </w:r>
    </w:p>
    <w:p w14:paraId="569F3B27" w14:textId="77777777" w:rsidR="00A71EEF" w:rsidRDefault="0081115D">
      <w:pPr>
        <w:pStyle w:val="a4"/>
        <w:numPr>
          <w:ilvl w:val="2"/>
          <w:numId w:val="103"/>
        </w:numPr>
        <w:tabs>
          <w:tab w:val="left" w:pos="1370"/>
        </w:tabs>
        <w:spacing w:line="446" w:lineRule="auto"/>
        <w:ind w:left="418" w:right="1604" w:firstLine="422"/>
        <w:rPr>
          <w:sz w:val="21"/>
        </w:rPr>
      </w:pPr>
      <w:r>
        <w:rPr>
          <w:spacing w:val="-3"/>
          <w:sz w:val="21"/>
        </w:rPr>
        <w:t>当火灾确认后，担负两个及以上防烟分区的排烟系统，应仅打开着火防烟分区的排烟阀或排烟口，其他防烟分区的排烟阀或排烟口应呈关闭状态。</w:t>
      </w:r>
      <w:r>
        <w:rPr>
          <w:sz w:val="21"/>
        </w:rPr>
        <w:t xml:space="preserve"> </w:t>
      </w:r>
    </w:p>
    <w:p w14:paraId="35AD2401" w14:textId="77777777" w:rsidR="00A71EEF" w:rsidRDefault="00A71EEF">
      <w:pPr>
        <w:spacing w:line="446" w:lineRule="auto"/>
        <w:rPr>
          <w:sz w:val="21"/>
        </w:rPr>
        <w:sectPr w:rsidR="00A71EEF">
          <w:pgSz w:w="11910" w:h="16850"/>
          <w:pgMar w:top="1220" w:right="0" w:bottom="1420" w:left="1260" w:header="0" w:footer="1239" w:gutter="0"/>
          <w:cols w:space="720"/>
        </w:sectPr>
      </w:pPr>
    </w:p>
    <w:p w14:paraId="4E4B163A" w14:textId="77777777" w:rsidR="00A71EEF" w:rsidRDefault="0081115D">
      <w:pPr>
        <w:pStyle w:val="a4"/>
        <w:numPr>
          <w:ilvl w:val="2"/>
          <w:numId w:val="103"/>
        </w:numPr>
        <w:tabs>
          <w:tab w:val="left" w:pos="1371"/>
        </w:tabs>
        <w:spacing w:before="47" w:line="446" w:lineRule="auto"/>
        <w:ind w:left="418" w:right="1558" w:firstLine="422"/>
        <w:jc w:val="both"/>
        <w:rPr>
          <w:sz w:val="21"/>
        </w:rPr>
      </w:pPr>
      <w:r>
        <w:rPr>
          <w:spacing w:val="-3"/>
          <w:sz w:val="21"/>
        </w:rPr>
        <w:t>活动挡烟垂壁应具有火灾自动报警系统自动启动和现场手动启动功能，当火灾确认</w:t>
      </w:r>
      <w:r>
        <w:rPr>
          <w:spacing w:val="-3"/>
          <w:sz w:val="21"/>
        </w:rPr>
        <w:t xml:space="preserve"> </w:t>
      </w:r>
      <w:r>
        <w:rPr>
          <w:spacing w:val="-7"/>
          <w:sz w:val="21"/>
        </w:rPr>
        <w:t>后，火灾自动报警系统应在</w:t>
      </w:r>
      <w:r>
        <w:rPr>
          <w:spacing w:val="-7"/>
          <w:sz w:val="21"/>
        </w:rPr>
        <w:t xml:space="preserve"> </w:t>
      </w:r>
      <w:r>
        <w:rPr>
          <w:sz w:val="21"/>
        </w:rPr>
        <w:t>15s</w:t>
      </w:r>
      <w:r>
        <w:rPr>
          <w:spacing w:val="-7"/>
          <w:sz w:val="21"/>
        </w:rPr>
        <w:t xml:space="preserve"> </w:t>
      </w:r>
      <w:r>
        <w:rPr>
          <w:spacing w:val="-7"/>
          <w:sz w:val="21"/>
        </w:rPr>
        <w:t>内联动相应防烟分区的全部活动挡烟垂壁，</w:t>
      </w:r>
      <w:r>
        <w:rPr>
          <w:spacing w:val="-7"/>
          <w:sz w:val="21"/>
        </w:rPr>
        <w:t xml:space="preserve"> </w:t>
      </w:r>
      <w:r>
        <w:rPr>
          <w:sz w:val="21"/>
        </w:rPr>
        <w:t>60s</w:t>
      </w:r>
      <w:r>
        <w:rPr>
          <w:spacing w:val="-9"/>
          <w:sz w:val="21"/>
        </w:rPr>
        <w:t xml:space="preserve"> </w:t>
      </w:r>
      <w:r>
        <w:rPr>
          <w:spacing w:val="-9"/>
          <w:sz w:val="21"/>
        </w:rPr>
        <w:t>以内挡烟垂壁</w:t>
      </w:r>
      <w:r>
        <w:rPr>
          <w:spacing w:val="-6"/>
          <w:sz w:val="21"/>
        </w:rPr>
        <w:t>应开启到位。</w:t>
      </w:r>
      <w:r>
        <w:rPr>
          <w:sz w:val="21"/>
        </w:rPr>
        <w:t xml:space="preserve"> </w:t>
      </w:r>
    </w:p>
    <w:p w14:paraId="31A07D12" w14:textId="77777777" w:rsidR="00A71EEF" w:rsidRDefault="0081115D">
      <w:pPr>
        <w:pStyle w:val="a4"/>
        <w:numPr>
          <w:ilvl w:val="2"/>
          <w:numId w:val="103"/>
        </w:numPr>
        <w:tabs>
          <w:tab w:val="left" w:pos="1370"/>
        </w:tabs>
        <w:spacing w:line="446" w:lineRule="auto"/>
        <w:ind w:left="418" w:right="1604" w:firstLine="422"/>
        <w:jc w:val="both"/>
        <w:rPr>
          <w:sz w:val="21"/>
        </w:rPr>
      </w:pPr>
      <w:r>
        <w:rPr>
          <w:spacing w:val="-3"/>
          <w:sz w:val="21"/>
        </w:rPr>
        <w:t>自动排烟窗可采用与火灾自动报警系统联动和温度释放装置联动的控制方式。当采</w:t>
      </w:r>
      <w:r>
        <w:rPr>
          <w:spacing w:val="-5"/>
          <w:sz w:val="21"/>
        </w:rPr>
        <w:t>用与火灾自动报警系统自动启动时，自动排烟窗应在</w:t>
      </w:r>
      <w:r>
        <w:rPr>
          <w:spacing w:val="-5"/>
          <w:sz w:val="21"/>
        </w:rPr>
        <w:t xml:space="preserve"> </w:t>
      </w:r>
      <w:r>
        <w:rPr>
          <w:sz w:val="21"/>
        </w:rPr>
        <w:t>60s</w:t>
      </w:r>
      <w:r>
        <w:rPr>
          <w:spacing w:val="-7"/>
          <w:sz w:val="21"/>
        </w:rPr>
        <w:t xml:space="preserve"> </w:t>
      </w:r>
      <w:r>
        <w:rPr>
          <w:spacing w:val="-7"/>
          <w:sz w:val="21"/>
        </w:rPr>
        <w:t>内或小于烟气充满储烟仓时间内开启</w:t>
      </w:r>
      <w:r>
        <w:rPr>
          <w:spacing w:val="-7"/>
          <w:sz w:val="21"/>
        </w:rPr>
        <w:t>完毕。带有温控功能自动排烟窗，其温控释放温度应大于环境温度</w:t>
      </w:r>
      <w:r>
        <w:rPr>
          <w:spacing w:val="-7"/>
          <w:sz w:val="21"/>
        </w:rPr>
        <w:t xml:space="preserve"> </w:t>
      </w:r>
      <w:r>
        <w:rPr>
          <w:sz w:val="21"/>
        </w:rPr>
        <w:t>30</w:t>
      </w:r>
      <w:r>
        <w:rPr>
          <w:spacing w:val="-13"/>
          <w:sz w:val="21"/>
        </w:rPr>
        <w:t>℃</w:t>
      </w:r>
      <w:r>
        <w:rPr>
          <w:spacing w:val="-13"/>
          <w:sz w:val="21"/>
        </w:rPr>
        <w:t>且小于</w:t>
      </w:r>
      <w:r>
        <w:rPr>
          <w:spacing w:val="-13"/>
          <w:sz w:val="21"/>
        </w:rPr>
        <w:t xml:space="preserve"> </w:t>
      </w:r>
      <w:r>
        <w:rPr>
          <w:sz w:val="21"/>
        </w:rPr>
        <w:t>100</w:t>
      </w:r>
      <w:r>
        <w:rPr>
          <w:spacing w:val="-2"/>
          <w:sz w:val="21"/>
        </w:rPr>
        <w:t>℃</w:t>
      </w:r>
      <w:r>
        <w:rPr>
          <w:spacing w:val="-2"/>
          <w:sz w:val="21"/>
        </w:rPr>
        <w:t>。</w:t>
      </w:r>
      <w:r>
        <w:rPr>
          <w:sz w:val="21"/>
        </w:rPr>
        <w:t xml:space="preserve"> </w:t>
      </w:r>
    </w:p>
    <w:p w14:paraId="74EAF8BF" w14:textId="77777777" w:rsidR="00A71EEF" w:rsidRDefault="0081115D">
      <w:pPr>
        <w:pStyle w:val="a4"/>
        <w:numPr>
          <w:ilvl w:val="2"/>
          <w:numId w:val="103"/>
        </w:numPr>
        <w:tabs>
          <w:tab w:val="left" w:pos="1371"/>
        </w:tabs>
        <w:spacing w:line="268" w:lineRule="exact"/>
        <w:rPr>
          <w:sz w:val="21"/>
        </w:rPr>
      </w:pPr>
      <w:r>
        <w:rPr>
          <w:spacing w:val="-3"/>
          <w:sz w:val="21"/>
        </w:rPr>
        <w:t>消防控制设备应显示排烟系统的排烟风机、补风机、阀门等设施启闭状态。</w:t>
      </w:r>
      <w:r>
        <w:rPr>
          <w:spacing w:val="-3"/>
          <w:sz w:val="21"/>
        </w:rPr>
        <w:t xml:space="preserve"> </w:t>
      </w:r>
    </w:p>
    <w:p w14:paraId="7555B616" w14:textId="77777777" w:rsidR="00A71EEF" w:rsidRDefault="00A71EEF">
      <w:pPr>
        <w:pStyle w:val="a3"/>
        <w:spacing w:before="8"/>
        <w:rPr>
          <w:sz w:val="15"/>
        </w:rPr>
      </w:pPr>
    </w:p>
    <w:p w14:paraId="74377030" w14:textId="77777777" w:rsidR="00A71EEF" w:rsidRDefault="0081115D">
      <w:pPr>
        <w:pStyle w:val="4"/>
      </w:pPr>
      <w:r>
        <w:t xml:space="preserve">6 </w:t>
      </w:r>
      <w:r>
        <w:t>系统施工</w:t>
      </w:r>
      <w:r>
        <w:rPr>
          <w:w w:val="99"/>
        </w:rPr>
        <w:t xml:space="preserve"> </w:t>
      </w:r>
    </w:p>
    <w:p w14:paraId="0DD7C791" w14:textId="77777777" w:rsidR="00A71EEF" w:rsidRDefault="00A71EEF">
      <w:pPr>
        <w:pStyle w:val="a3"/>
        <w:spacing w:before="4"/>
        <w:rPr>
          <w:b/>
          <w:sz w:val="17"/>
        </w:rPr>
      </w:pPr>
    </w:p>
    <w:p w14:paraId="2A0FCF55" w14:textId="77777777" w:rsidR="00A71EEF" w:rsidRDefault="0081115D">
      <w:pPr>
        <w:pStyle w:val="a4"/>
        <w:numPr>
          <w:ilvl w:val="1"/>
          <w:numId w:val="101"/>
        </w:numPr>
        <w:tabs>
          <w:tab w:val="left" w:pos="1159"/>
        </w:tabs>
        <w:ind w:hanging="319"/>
        <w:rPr>
          <w:b/>
          <w:sz w:val="21"/>
        </w:rPr>
      </w:pPr>
      <w:r>
        <w:rPr>
          <w:spacing w:val="-3"/>
          <w:sz w:val="21"/>
        </w:rPr>
        <w:t>一般规定</w:t>
      </w:r>
      <w:r>
        <w:rPr>
          <w:b/>
          <w:w w:val="99"/>
          <w:sz w:val="21"/>
        </w:rPr>
        <w:t xml:space="preserve"> </w:t>
      </w:r>
    </w:p>
    <w:p w14:paraId="3B91B88F" w14:textId="77777777" w:rsidR="00A71EEF" w:rsidRDefault="00A71EEF">
      <w:pPr>
        <w:pStyle w:val="a3"/>
        <w:spacing w:before="1"/>
        <w:rPr>
          <w:b/>
          <w:sz w:val="18"/>
        </w:rPr>
      </w:pPr>
    </w:p>
    <w:p w14:paraId="60622721" w14:textId="77777777" w:rsidR="00A71EEF" w:rsidRDefault="0081115D">
      <w:pPr>
        <w:pStyle w:val="a4"/>
        <w:numPr>
          <w:ilvl w:val="2"/>
          <w:numId w:val="101"/>
        </w:numPr>
        <w:tabs>
          <w:tab w:val="left" w:pos="1370"/>
        </w:tabs>
        <w:spacing w:before="1"/>
        <w:ind w:hanging="530"/>
        <w:rPr>
          <w:sz w:val="21"/>
        </w:rPr>
      </w:pPr>
      <w:r>
        <w:rPr>
          <w:spacing w:val="-5"/>
          <w:sz w:val="21"/>
        </w:rPr>
        <w:t>防烟、排烟系统的分部、分项工程划分可按本标准附录</w:t>
      </w:r>
      <w:r>
        <w:rPr>
          <w:spacing w:val="-5"/>
          <w:sz w:val="21"/>
        </w:rPr>
        <w:t xml:space="preserve"> </w:t>
      </w:r>
      <w:r>
        <w:rPr>
          <w:sz w:val="21"/>
        </w:rPr>
        <w:t>C</w:t>
      </w:r>
      <w:r>
        <w:rPr>
          <w:spacing w:val="-36"/>
          <w:sz w:val="21"/>
        </w:rPr>
        <w:t xml:space="preserve"> </w:t>
      </w:r>
      <w:r>
        <w:rPr>
          <w:spacing w:val="-36"/>
          <w:sz w:val="21"/>
        </w:rPr>
        <w:t>表</w:t>
      </w:r>
      <w:r>
        <w:rPr>
          <w:spacing w:val="-36"/>
          <w:sz w:val="21"/>
        </w:rPr>
        <w:t xml:space="preserve"> </w:t>
      </w:r>
      <w:r>
        <w:rPr>
          <w:sz w:val="21"/>
        </w:rPr>
        <w:t>C</w:t>
      </w:r>
      <w:r>
        <w:rPr>
          <w:spacing w:val="-15"/>
          <w:sz w:val="21"/>
        </w:rPr>
        <w:t xml:space="preserve"> </w:t>
      </w:r>
      <w:r>
        <w:rPr>
          <w:spacing w:val="-15"/>
          <w:sz w:val="21"/>
        </w:rPr>
        <w:t>执行。</w:t>
      </w:r>
      <w:r>
        <w:rPr>
          <w:spacing w:val="-15"/>
          <w:sz w:val="21"/>
        </w:rPr>
        <w:t xml:space="preserve"> </w:t>
      </w:r>
    </w:p>
    <w:p w14:paraId="30840D62" w14:textId="77777777" w:rsidR="00A71EEF" w:rsidRDefault="00A71EEF">
      <w:pPr>
        <w:pStyle w:val="a3"/>
        <w:spacing w:before="12"/>
        <w:rPr>
          <w:sz w:val="17"/>
        </w:rPr>
      </w:pPr>
    </w:p>
    <w:p w14:paraId="55022DC2" w14:textId="77777777" w:rsidR="00A71EEF" w:rsidRDefault="0081115D">
      <w:pPr>
        <w:pStyle w:val="a4"/>
        <w:numPr>
          <w:ilvl w:val="2"/>
          <w:numId w:val="101"/>
        </w:numPr>
        <w:tabs>
          <w:tab w:val="left" w:pos="1370"/>
        </w:tabs>
        <w:ind w:hanging="530"/>
        <w:rPr>
          <w:sz w:val="21"/>
        </w:rPr>
      </w:pPr>
      <w:r>
        <w:rPr>
          <w:spacing w:val="-3"/>
          <w:sz w:val="21"/>
        </w:rPr>
        <w:t>防烟、排烟系统施工前应具备下列条件：</w:t>
      </w:r>
      <w:r>
        <w:rPr>
          <w:sz w:val="21"/>
        </w:rPr>
        <w:t xml:space="preserve"> </w:t>
      </w:r>
    </w:p>
    <w:p w14:paraId="4FA25E6A" w14:textId="77777777" w:rsidR="00A71EEF" w:rsidRDefault="00A71EEF">
      <w:pPr>
        <w:pStyle w:val="a3"/>
        <w:spacing w:before="12"/>
        <w:rPr>
          <w:sz w:val="17"/>
        </w:rPr>
      </w:pPr>
    </w:p>
    <w:p w14:paraId="230CFAC7" w14:textId="77777777" w:rsidR="00A71EEF" w:rsidRDefault="0081115D">
      <w:pPr>
        <w:pStyle w:val="a3"/>
        <w:spacing w:line="446" w:lineRule="auto"/>
        <w:ind w:left="838" w:right="4866"/>
      </w:pPr>
      <w:r>
        <w:rPr>
          <w:spacing w:val="-3"/>
        </w:rPr>
        <w:t>经批准的施工图、设计说明书等设计文件应齐全；</w:t>
      </w:r>
      <w:r>
        <w:rPr>
          <w:spacing w:val="-3"/>
        </w:rPr>
        <w:t xml:space="preserve">  </w:t>
      </w:r>
      <w:r>
        <w:rPr>
          <w:spacing w:val="-3"/>
        </w:rPr>
        <w:t>设计单位应向施工、建设、监理单位进行技术交底；</w:t>
      </w:r>
      <w:r>
        <w:rPr>
          <w:spacing w:val="-3"/>
        </w:rPr>
        <w:t xml:space="preserve"> </w:t>
      </w:r>
    </w:p>
    <w:p w14:paraId="43FD57D8" w14:textId="77777777" w:rsidR="00A71EEF" w:rsidRDefault="0081115D">
      <w:pPr>
        <w:pStyle w:val="a3"/>
        <w:spacing w:before="1" w:line="446" w:lineRule="auto"/>
        <w:ind w:left="838" w:right="2134"/>
      </w:pPr>
      <w:r>
        <w:rPr>
          <w:spacing w:val="-3"/>
        </w:rPr>
        <w:t>系统主要材料、部件、设备的品种、型号规格符合设计要求，并能保证正常施工；</w:t>
      </w:r>
      <w:r>
        <w:rPr>
          <w:spacing w:val="-3"/>
        </w:rPr>
        <w:t xml:space="preserve"> </w:t>
      </w:r>
      <w:r>
        <w:rPr>
          <w:spacing w:val="-3"/>
        </w:rPr>
        <w:t>施工现场及施工中的给水、供电、供气等条件满足连续施工作业要求；</w:t>
      </w:r>
      <w:r>
        <w:t xml:space="preserve"> </w:t>
      </w:r>
    </w:p>
    <w:p w14:paraId="691FD21B" w14:textId="77777777" w:rsidR="00A71EEF" w:rsidRDefault="0081115D">
      <w:pPr>
        <w:pStyle w:val="a3"/>
        <w:ind w:left="838"/>
      </w:pPr>
      <w:r>
        <w:t>系统所需的预埋件、预留孔洞等施工前期条件符合设计要求。</w:t>
      </w:r>
      <w:r>
        <w:t xml:space="preserve"> </w:t>
      </w:r>
    </w:p>
    <w:p w14:paraId="04CC5172" w14:textId="77777777" w:rsidR="00A71EEF" w:rsidRDefault="00A71EEF">
      <w:pPr>
        <w:pStyle w:val="a3"/>
        <w:spacing w:before="12"/>
        <w:rPr>
          <w:sz w:val="17"/>
        </w:rPr>
      </w:pPr>
    </w:p>
    <w:p w14:paraId="2D5D2AA7" w14:textId="77777777" w:rsidR="00A71EEF" w:rsidRDefault="0081115D">
      <w:pPr>
        <w:pStyle w:val="a4"/>
        <w:numPr>
          <w:ilvl w:val="2"/>
          <w:numId w:val="101"/>
        </w:numPr>
        <w:tabs>
          <w:tab w:val="left" w:pos="1370"/>
        </w:tabs>
        <w:spacing w:line="446" w:lineRule="auto"/>
        <w:ind w:left="418" w:right="1606" w:firstLine="422"/>
        <w:rPr>
          <w:sz w:val="21"/>
        </w:rPr>
      </w:pPr>
      <w:r>
        <w:rPr>
          <w:spacing w:val="-5"/>
          <w:sz w:val="21"/>
        </w:rPr>
        <w:t>防烟、排烟系统的施工现场应进行质量管理，并应按本标准附录</w:t>
      </w:r>
      <w:r>
        <w:rPr>
          <w:spacing w:val="-5"/>
          <w:sz w:val="21"/>
        </w:rPr>
        <w:t xml:space="preserve"> </w:t>
      </w:r>
      <w:r>
        <w:rPr>
          <w:sz w:val="21"/>
        </w:rPr>
        <w:t>D</w:t>
      </w:r>
      <w:r>
        <w:rPr>
          <w:spacing w:val="2"/>
          <w:sz w:val="21"/>
        </w:rPr>
        <w:t xml:space="preserve"> </w:t>
      </w:r>
      <w:r>
        <w:rPr>
          <w:spacing w:val="2"/>
          <w:sz w:val="21"/>
        </w:rPr>
        <w:t>表</w:t>
      </w:r>
      <w:r>
        <w:rPr>
          <w:sz w:val="21"/>
        </w:rPr>
        <w:t>D-1</w:t>
      </w:r>
      <w:r>
        <w:rPr>
          <w:spacing w:val="-11"/>
          <w:sz w:val="21"/>
        </w:rPr>
        <w:t xml:space="preserve"> </w:t>
      </w:r>
      <w:r>
        <w:rPr>
          <w:spacing w:val="-11"/>
          <w:sz w:val="21"/>
        </w:rPr>
        <w:t>的要求进</w:t>
      </w:r>
      <w:r>
        <w:rPr>
          <w:spacing w:val="-7"/>
          <w:sz w:val="21"/>
        </w:rPr>
        <w:t>行检查记录。</w:t>
      </w:r>
      <w:r>
        <w:rPr>
          <w:sz w:val="21"/>
        </w:rPr>
        <w:t xml:space="preserve"> </w:t>
      </w:r>
    </w:p>
    <w:p w14:paraId="6A3A10E6" w14:textId="77777777" w:rsidR="00A71EEF" w:rsidRDefault="0081115D">
      <w:pPr>
        <w:pStyle w:val="a4"/>
        <w:numPr>
          <w:ilvl w:val="2"/>
          <w:numId w:val="101"/>
        </w:numPr>
        <w:tabs>
          <w:tab w:val="left" w:pos="1371"/>
        </w:tabs>
        <w:ind w:left="1370" w:hanging="531"/>
        <w:rPr>
          <w:sz w:val="21"/>
        </w:rPr>
      </w:pPr>
      <w:r>
        <w:rPr>
          <w:spacing w:val="-3"/>
          <w:sz w:val="21"/>
        </w:rPr>
        <w:t>防烟、排烟系统应按下列规定进行施工过程质量控制：</w:t>
      </w:r>
      <w:r>
        <w:rPr>
          <w:sz w:val="21"/>
        </w:rPr>
        <w:t xml:space="preserve"> </w:t>
      </w:r>
    </w:p>
    <w:p w14:paraId="50A7254A" w14:textId="77777777" w:rsidR="00A71EEF" w:rsidRDefault="00A71EEF">
      <w:pPr>
        <w:pStyle w:val="a3"/>
        <w:rPr>
          <w:sz w:val="18"/>
        </w:rPr>
      </w:pPr>
    </w:p>
    <w:p w14:paraId="374E6AA4" w14:textId="77777777" w:rsidR="00A71EEF" w:rsidRDefault="0081115D">
      <w:pPr>
        <w:pStyle w:val="a3"/>
        <w:spacing w:line="446" w:lineRule="auto"/>
        <w:ind w:left="418" w:right="1609" w:firstLine="419"/>
      </w:pPr>
      <w:r>
        <w:t>施工前，应对设备、材料及配件进行现场检查，检验合格后经监理工程师签证方可安装使用；</w:t>
      </w:r>
      <w:r>
        <w:t xml:space="preserve"> </w:t>
      </w:r>
    </w:p>
    <w:p w14:paraId="565DD87D" w14:textId="77777777" w:rsidR="00A71EEF" w:rsidRDefault="0081115D">
      <w:pPr>
        <w:pStyle w:val="a3"/>
        <w:ind w:left="838"/>
      </w:pPr>
      <w:r>
        <w:t>施工应按批准的施工图、设计说明书及其设计变更通知单等文件的要求进行；</w:t>
      </w:r>
      <w:r>
        <w:t xml:space="preserve"> </w:t>
      </w:r>
    </w:p>
    <w:p w14:paraId="6947151D" w14:textId="77777777" w:rsidR="00A71EEF" w:rsidRDefault="00A71EEF">
      <w:pPr>
        <w:pStyle w:val="a3"/>
        <w:spacing w:before="12"/>
        <w:rPr>
          <w:sz w:val="17"/>
        </w:rPr>
      </w:pPr>
    </w:p>
    <w:p w14:paraId="6701F457" w14:textId="77777777" w:rsidR="00A71EEF" w:rsidRDefault="0081115D">
      <w:pPr>
        <w:pStyle w:val="a3"/>
        <w:spacing w:line="446" w:lineRule="auto"/>
        <w:ind w:left="418" w:right="1609" w:firstLine="419"/>
      </w:pPr>
      <w:r>
        <w:t>各工序应按施工技术标准进行质量控制，每道工序完成后，应进行检查，检查合格后方可进入下道工序；</w:t>
      </w:r>
      <w:r>
        <w:t xml:space="preserve"> </w:t>
      </w:r>
    </w:p>
    <w:p w14:paraId="5107A2A5" w14:textId="77777777" w:rsidR="00A71EEF" w:rsidRDefault="0081115D">
      <w:pPr>
        <w:pStyle w:val="a3"/>
        <w:spacing w:line="446" w:lineRule="auto"/>
        <w:ind w:left="838" w:right="1714"/>
      </w:pPr>
      <w:r>
        <w:rPr>
          <w:spacing w:val="-3"/>
        </w:rPr>
        <w:t>相关各专业工种之间交接时，应进行检验，并经监理工程师签证后方可进入下道工序；</w:t>
      </w:r>
      <w:r>
        <w:rPr>
          <w:spacing w:val="-3"/>
        </w:rPr>
        <w:t xml:space="preserve"> </w:t>
      </w:r>
      <w:r>
        <w:rPr>
          <w:spacing w:val="-3"/>
        </w:rPr>
        <w:t>施工过程质量检查内容、数量、方法应符合本标准相关规定；</w:t>
      </w:r>
      <w:r>
        <w:t xml:space="preserve"> </w:t>
      </w:r>
    </w:p>
    <w:p w14:paraId="2CF76324" w14:textId="77777777" w:rsidR="00A71EEF" w:rsidRDefault="0081115D">
      <w:pPr>
        <w:pStyle w:val="a3"/>
        <w:spacing w:line="446" w:lineRule="auto"/>
        <w:ind w:left="838" w:right="4026"/>
      </w:pPr>
      <w:r>
        <w:rPr>
          <w:spacing w:val="-3"/>
        </w:rPr>
        <w:t>施工过程质量检查应由监理工程师组织施工单位人员完成；</w:t>
      </w:r>
      <w:r>
        <w:rPr>
          <w:spacing w:val="-3"/>
        </w:rPr>
        <w:t xml:space="preserve">  </w:t>
      </w:r>
      <w:r>
        <w:rPr>
          <w:spacing w:val="-3"/>
        </w:rPr>
        <w:t>系统安装完成后，施工单位应按相关专业调试规定进行调试；</w:t>
      </w:r>
      <w:r>
        <w:t xml:space="preserve"> </w:t>
      </w:r>
    </w:p>
    <w:p w14:paraId="29A335B2" w14:textId="77777777" w:rsidR="00A71EEF" w:rsidRDefault="00A71EEF">
      <w:pPr>
        <w:spacing w:line="446" w:lineRule="auto"/>
        <w:sectPr w:rsidR="00A71EEF">
          <w:pgSz w:w="11910" w:h="16850"/>
          <w:pgMar w:top="1220" w:right="0" w:bottom="1420" w:left="1260" w:header="0" w:footer="1239" w:gutter="0"/>
          <w:cols w:space="720"/>
        </w:sectPr>
      </w:pPr>
    </w:p>
    <w:p w14:paraId="754FAA6E" w14:textId="77777777" w:rsidR="00A71EEF" w:rsidRDefault="0081115D">
      <w:pPr>
        <w:pStyle w:val="a3"/>
        <w:spacing w:before="47" w:line="446" w:lineRule="auto"/>
        <w:ind w:left="418" w:right="1817" w:firstLine="419"/>
      </w:pPr>
      <w:r>
        <w:t>系统调试完成后，施工单位应向建设单位提交质量控制资料和各类施工过程质量检查记录。</w:t>
      </w:r>
      <w:r>
        <w:t xml:space="preserve"> </w:t>
      </w:r>
    </w:p>
    <w:p w14:paraId="0C4A23B8" w14:textId="77777777" w:rsidR="00A71EEF" w:rsidRDefault="0081115D">
      <w:pPr>
        <w:pStyle w:val="a4"/>
        <w:numPr>
          <w:ilvl w:val="2"/>
          <w:numId w:val="101"/>
        </w:numPr>
        <w:tabs>
          <w:tab w:val="left" w:pos="1370"/>
        </w:tabs>
        <w:spacing w:line="446" w:lineRule="auto"/>
        <w:ind w:left="418" w:right="1498" w:firstLine="422"/>
        <w:rPr>
          <w:sz w:val="21"/>
        </w:rPr>
      </w:pPr>
      <w:r>
        <w:rPr>
          <w:spacing w:val="-3"/>
          <w:sz w:val="21"/>
        </w:rPr>
        <w:t>防烟、排烟系统中的送风口、排风口、排烟防火阀、</w:t>
      </w:r>
      <w:r>
        <w:rPr>
          <w:spacing w:val="-3"/>
          <w:sz w:val="21"/>
        </w:rPr>
        <w:t>送风风机、排烟风机、固定窗等应设置明显永久标识。</w:t>
      </w:r>
      <w:r>
        <w:rPr>
          <w:sz w:val="21"/>
        </w:rPr>
        <w:t xml:space="preserve"> </w:t>
      </w:r>
    </w:p>
    <w:p w14:paraId="1348F0BC" w14:textId="77777777" w:rsidR="00A71EEF" w:rsidRDefault="0081115D">
      <w:pPr>
        <w:pStyle w:val="a4"/>
        <w:numPr>
          <w:ilvl w:val="2"/>
          <w:numId w:val="101"/>
        </w:numPr>
        <w:tabs>
          <w:tab w:val="left" w:pos="1371"/>
        </w:tabs>
        <w:spacing w:line="446" w:lineRule="auto"/>
        <w:ind w:left="418" w:right="1604" w:firstLine="422"/>
        <w:rPr>
          <w:sz w:val="21"/>
        </w:rPr>
      </w:pPr>
      <w:r>
        <w:rPr>
          <w:spacing w:val="-5"/>
          <w:sz w:val="21"/>
        </w:rPr>
        <w:t>防烟、排烟系统施工过程质量检查记录应由施工单位质量检查员按本标准附录</w:t>
      </w:r>
      <w:r>
        <w:rPr>
          <w:spacing w:val="-5"/>
          <w:sz w:val="21"/>
        </w:rPr>
        <w:t xml:space="preserve"> </w:t>
      </w:r>
      <w:r>
        <w:rPr>
          <w:sz w:val="21"/>
        </w:rPr>
        <w:t>D</w:t>
      </w:r>
      <w:r>
        <w:rPr>
          <w:spacing w:val="-23"/>
          <w:sz w:val="21"/>
        </w:rPr>
        <w:t xml:space="preserve"> </w:t>
      </w:r>
      <w:r>
        <w:rPr>
          <w:spacing w:val="-23"/>
          <w:sz w:val="21"/>
        </w:rPr>
        <w:t>填</w:t>
      </w:r>
      <w:r>
        <w:rPr>
          <w:spacing w:val="-8"/>
          <w:sz w:val="21"/>
        </w:rPr>
        <w:t>写，监理工程师进行检查，并做出检查结论。</w:t>
      </w:r>
      <w:r>
        <w:rPr>
          <w:sz w:val="21"/>
        </w:rPr>
        <w:t xml:space="preserve"> </w:t>
      </w:r>
    </w:p>
    <w:p w14:paraId="70481A2F" w14:textId="77777777" w:rsidR="00A71EEF" w:rsidRDefault="0081115D">
      <w:pPr>
        <w:pStyle w:val="a4"/>
        <w:numPr>
          <w:ilvl w:val="2"/>
          <w:numId w:val="101"/>
        </w:numPr>
        <w:tabs>
          <w:tab w:val="left" w:pos="1371"/>
        </w:tabs>
        <w:ind w:left="1370" w:hanging="531"/>
        <w:rPr>
          <w:sz w:val="21"/>
        </w:rPr>
      </w:pPr>
      <w:r>
        <w:rPr>
          <w:spacing w:val="-6"/>
          <w:sz w:val="21"/>
        </w:rPr>
        <w:t>防烟、排烟系统工程质量控制资料应按本标准附录</w:t>
      </w:r>
      <w:r>
        <w:rPr>
          <w:spacing w:val="-6"/>
          <w:sz w:val="21"/>
        </w:rPr>
        <w:t xml:space="preserve"> </w:t>
      </w:r>
      <w:r>
        <w:rPr>
          <w:sz w:val="21"/>
        </w:rPr>
        <w:t>E</w:t>
      </w:r>
      <w:r>
        <w:rPr>
          <w:spacing w:val="-10"/>
          <w:sz w:val="21"/>
        </w:rPr>
        <w:t xml:space="preserve"> </w:t>
      </w:r>
      <w:r>
        <w:rPr>
          <w:spacing w:val="-10"/>
          <w:sz w:val="21"/>
        </w:rPr>
        <w:t>的要求填写。</w:t>
      </w:r>
      <w:r>
        <w:rPr>
          <w:sz w:val="21"/>
        </w:rPr>
        <w:t xml:space="preserve"> </w:t>
      </w:r>
    </w:p>
    <w:p w14:paraId="19217EA1" w14:textId="77777777" w:rsidR="00A71EEF" w:rsidRDefault="00A71EEF">
      <w:pPr>
        <w:pStyle w:val="a3"/>
        <w:spacing w:before="11"/>
        <w:rPr>
          <w:sz w:val="17"/>
        </w:rPr>
      </w:pPr>
    </w:p>
    <w:p w14:paraId="35039C36" w14:textId="77777777" w:rsidR="00A71EEF" w:rsidRDefault="0081115D">
      <w:pPr>
        <w:pStyle w:val="a4"/>
        <w:numPr>
          <w:ilvl w:val="1"/>
          <w:numId w:val="101"/>
        </w:numPr>
        <w:tabs>
          <w:tab w:val="left" w:pos="1159"/>
        </w:tabs>
        <w:ind w:hanging="319"/>
        <w:rPr>
          <w:b/>
          <w:sz w:val="21"/>
        </w:rPr>
      </w:pPr>
      <w:r>
        <w:rPr>
          <w:spacing w:val="-3"/>
          <w:sz w:val="21"/>
        </w:rPr>
        <w:t>进场检验</w:t>
      </w:r>
      <w:r>
        <w:rPr>
          <w:b/>
          <w:w w:val="99"/>
          <w:sz w:val="21"/>
        </w:rPr>
        <w:t xml:space="preserve"> </w:t>
      </w:r>
    </w:p>
    <w:p w14:paraId="668CA685" w14:textId="77777777" w:rsidR="00A71EEF" w:rsidRDefault="00A71EEF">
      <w:pPr>
        <w:pStyle w:val="a3"/>
        <w:spacing w:before="12"/>
        <w:rPr>
          <w:b/>
          <w:sz w:val="17"/>
        </w:rPr>
      </w:pPr>
    </w:p>
    <w:p w14:paraId="3CDD3387" w14:textId="77777777" w:rsidR="00A71EEF" w:rsidRDefault="0081115D">
      <w:pPr>
        <w:pStyle w:val="a4"/>
        <w:numPr>
          <w:ilvl w:val="2"/>
          <w:numId w:val="101"/>
        </w:numPr>
        <w:tabs>
          <w:tab w:val="left" w:pos="1370"/>
        </w:tabs>
        <w:ind w:hanging="530"/>
        <w:rPr>
          <w:sz w:val="21"/>
        </w:rPr>
      </w:pPr>
      <w:r>
        <w:rPr>
          <w:spacing w:val="-3"/>
          <w:sz w:val="21"/>
        </w:rPr>
        <w:t>风管应符合下列规定：</w:t>
      </w:r>
      <w:r>
        <w:rPr>
          <w:sz w:val="21"/>
        </w:rPr>
        <w:t xml:space="preserve"> </w:t>
      </w:r>
    </w:p>
    <w:p w14:paraId="0D0E9B83" w14:textId="77777777" w:rsidR="00A71EEF" w:rsidRDefault="00A71EEF">
      <w:pPr>
        <w:pStyle w:val="a3"/>
        <w:spacing w:before="2"/>
        <w:rPr>
          <w:sz w:val="18"/>
        </w:rPr>
      </w:pPr>
    </w:p>
    <w:p w14:paraId="04709F6D" w14:textId="77777777" w:rsidR="00A71EEF" w:rsidRDefault="0081115D">
      <w:pPr>
        <w:pStyle w:val="a3"/>
        <w:spacing w:line="446" w:lineRule="auto"/>
        <w:ind w:left="418" w:right="1609" w:firstLine="419"/>
      </w:pPr>
      <w:r>
        <w:rPr>
          <w:noProof/>
        </w:rPr>
        <w:drawing>
          <wp:anchor distT="0" distB="0" distL="0" distR="0" simplePos="0" relativeHeight="251772416" behindDoc="1" locked="0" layoutInCell="1" allowOverlap="1" wp14:anchorId="4A8DEE6D" wp14:editId="4200B612">
            <wp:simplePos x="0" y="0"/>
            <wp:positionH relativeFrom="page">
              <wp:posOffset>1065530</wp:posOffset>
            </wp:positionH>
            <wp:positionV relativeFrom="paragraph">
              <wp:posOffset>538226</wp:posOffset>
            </wp:positionV>
            <wp:extent cx="5429250" cy="2133600"/>
            <wp:effectExtent l="0" t="0" r="0" b="0"/>
            <wp:wrapNone/>
            <wp:docPr id="695" name="image4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image407.jpeg"/>
                    <pic:cNvPicPr/>
                  </pic:nvPicPr>
                  <pic:blipFill>
                    <a:blip r:embed="rId511" cstate="print"/>
                    <a:stretch>
                      <a:fillRect/>
                    </a:stretch>
                  </pic:blipFill>
                  <pic:spPr>
                    <a:xfrm>
                      <a:off x="0" y="0"/>
                      <a:ext cx="5429250" cy="2133600"/>
                    </a:xfrm>
                    <a:prstGeom prst="rect">
                      <a:avLst/>
                    </a:prstGeom>
                  </pic:spPr>
                </pic:pic>
              </a:graphicData>
            </a:graphic>
          </wp:anchor>
        </w:drawing>
      </w:r>
      <w:r>
        <w:t>风管的材料品种、规格、厚度等应符合设计要求和现行国家标准的规定。当采用金属风管且设计无要求时，钢板或镀锌钢板的厚度应符合本标准表</w:t>
      </w:r>
      <w:r>
        <w:t xml:space="preserve"> 6.2.1 </w:t>
      </w:r>
      <w:r>
        <w:t>的规定。</w:t>
      </w:r>
      <w:r>
        <w:t xml:space="preserve"> </w:t>
      </w:r>
    </w:p>
    <w:p w14:paraId="6FA0B9DD" w14:textId="77777777" w:rsidR="00A71EEF" w:rsidRDefault="00A71EEF">
      <w:pPr>
        <w:pStyle w:val="a3"/>
        <w:rPr>
          <w:sz w:val="20"/>
        </w:rPr>
      </w:pPr>
    </w:p>
    <w:p w14:paraId="04074601" w14:textId="77777777" w:rsidR="00A71EEF" w:rsidRDefault="00A71EEF">
      <w:pPr>
        <w:pStyle w:val="a3"/>
        <w:rPr>
          <w:sz w:val="20"/>
        </w:rPr>
      </w:pPr>
    </w:p>
    <w:p w14:paraId="26154B70" w14:textId="77777777" w:rsidR="00A71EEF" w:rsidRDefault="00A71EEF">
      <w:pPr>
        <w:pStyle w:val="a3"/>
        <w:rPr>
          <w:sz w:val="20"/>
        </w:rPr>
      </w:pPr>
    </w:p>
    <w:p w14:paraId="19FBCE93" w14:textId="77777777" w:rsidR="00A71EEF" w:rsidRDefault="00A71EEF">
      <w:pPr>
        <w:pStyle w:val="a3"/>
        <w:rPr>
          <w:sz w:val="20"/>
        </w:rPr>
      </w:pPr>
    </w:p>
    <w:p w14:paraId="6C308A6F" w14:textId="77777777" w:rsidR="00A71EEF" w:rsidRDefault="00A71EEF">
      <w:pPr>
        <w:pStyle w:val="a3"/>
        <w:rPr>
          <w:sz w:val="20"/>
        </w:rPr>
      </w:pPr>
    </w:p>
    <w:p w14:paraId="1D3BA489" w14:textId="77777777" w:rsidR="00A71EEF" w:rsidRDefault="00A71EEF">
      <w:pPr>
        <w:pStyle w:val="a3"/>
        <w:rPr>
          <w:sz w:val="20"/>
        </w:rPr>
      </w:pPr>
    </w:p>
    <w:p w14:paraId="1423D7F1" w14:textId="77777777" w:rsidR="00A71EEF" w:rsidRDefault="00A71EEF">
      <w:pPr>
        <w:pStyle w:val="a3"/>
        <w:rPr>
          <w:sz w:val="20"/>
        </w:rPr>
      </w:pPr>
    </w:p>
    <w:p w14:paraId="3E1FE68F" w14:textId="77777777" w:rsidR="00A71EEF" w:rsidRDefault="00A71EEF">
      <w:pPr>
        <w:pStyle w:val="a3"/>
        <w:rPr>
          <w:sz w:val="20"/>
        </w:rPr>
      </w:pPr>
    </w:p>
    <w:p w14:paraId="68DCC3A7" w14:textId="77777777" w:rsidR="00A71EEF" w:rsidRDefault="00A71EEF">
      <w:pPr>
        <w:pStyle w:val="a3"/>
        <w:rPr>
          <w:sz w:val="20"/>
        </w:rPr>
      </w:pPr>
    </w:p>
    <w:p w14:paraId="784AD759" w14:textId="77777777" w:rsidR="00A71EEF" w:rsidRDefault="00A71EEF">
      <w:pPr>
        <w:pStyle w:val="a3"/>
        <w:rPr>
          <w:sz w:val="20"/>
        </w:rPr>
      </w:pPr>
    </w:p>
    <w:p w14:paraId="6A3470EF" w14:textId="77777777" w:rsidR="00A71EEF" w:rsidRDefault="00A71EEF">
      <w:pPr>
        <w:pStyle w:val="a3"/>
        <w:rPr>
          <w:sz w:val="20"/>
        </w:rPr>
      </w:pPr>
    </w:p>
    <w:p w14:paraId="78DD678C" w14:textId="77777777" w:rsidR="00A71EEF" w:rsidRDefault="00A71EEF">
      <w:pPr>
        <w:pStyle w:val="a3"/>
        <w:rPr>
          <w:sz w:val="20"/>
        </w:rPr>
      </w:pPr>
    </w:p>
    <w:p w14:paraId="60DA672F" w14:textId="77777777" w:rsidR="00A71EEF" w:rsidRDefault="00A71EEF">
      <w:pPr>
        <w:pStyle w:val="a3"/>
        <w:rPr>
          <w:sz w:val="20"/>
        </w:rPr>
      </w:pPr>
    </w:p>
    <w:p w14:paraId="35B563B2" w14:textId="77777777" w:rsidR="00A71EEF" w:rsidRDefault="0081115D">
      <w:pPr>
        <w:pStyle w:val="a3"/>
        <w:spacing w:line="350" w:lineRule="auto"/>
        <w:ind w:left="838" w:right="5447" w:hanging="420"/>
      </w:pPr>
      <w:r>
        <w:t>注：</w:t>
      </w:r>
      <w:r>
        <w:t>1.</w:t>
      </w:r>
      <w:r>
        <w:t>螺旋风管的钢板厚度可适当减小</w:t>
      </w:r>
      <w:r>
        <w:t xml:space="preserve"> 10%</w:t>
      </w:r>
      <w:r>
        <w:rPr>
          <w:rFonts w:ascii="微软雅黑" w:eastAsia="微软雅黑" w:hint="eastAsia"/>
        </w:rPr>
        <w:t>〜</w:t>
      </w:r>
      <w:r>
        <w:t>15%</w:t>
      </w:r>
      <w:r>
        <w:t>。</w:t>
      </w:r>
      <w:r>
        <w:t>2.</w:t>
      </w:r>
      <w:r>
        <w:t>不适用于防火隔墙的预埋管。</w:t>
      </w:r>
      <w:r>
        <w:t xml:space="preserve"> </w:t>
      </w:r>
    </w:p>
    <w:p w14:paraId="0ABE738B" w14:textId="77777777" w:rsidR="00A71EEF" w:rsidRDefault="0081115D">
      <w:pPr>
        <w:pStyle w:val="a3"/>
        <w:spacing w:before="111"/>
        <w:ind w:left="838"/>
      </w:pPr>
      <w:r>
        <w:t>检查数量：按风管、材料加工批的数量抽查</w:t>
      </w:r>
      <w:r>
        <w:t xml:space="preserve"> 10%</w:t>
      </w:r>
      <w:r>
        <w:t>，且不得少于</w:t>
      </w:r>
      <w:r>
        <w:t xml:space="preserve"> 5 </w:t>
      </w:r>
      <w:r>
        <w:t>件。</w:t>
      </w:r>
      <w:r>
        <w:t xml:space="preserve"> </w:t>
      </w:r>
    </w:p>
    <w:p w14:paraId="476340BC" w14:textId="77777777" w:rsidR="00A71EEF" w:rsidRDefault="00A71EEF">
      <w:pPr>
        <w:pStyle w:val="a3"/>
        <w:spacing w:before="12"/>
        <w:rPr>
          <w:sz w:val="17"/>
        </w:rPr>
      </w:pPr>
    </w:p>
    <w:p w14:paraId="45B750B3" w14:textId="77777777" w:rsidR="00A71EEF" w:rsidRDefault="0081115D">
      <w:pPr>
        <w:pStyle w:val="a3"/>
        <w:ind w:left="838"/>
      </w:pPr>
      <w:r>
        <w:t>检查方法：尺量检查、直观检查，查验风管、材料质量合格证明文件、性能检验报吿。</w:t>
      </w:r>
      <w:r>
        <w:t xml:space="preserve"> </w:t>
      </w:r>
    </w:p>
    <w:p w14:paraId="249FCC27" w14:textId="77777777" w:rsidR="00A71EEF" w:rsidRDefault="00A71EEF">
      <w:pPr>
        <w:pStyle w:val="a3"/>
        <w:rPr>
          <w:sz w:val="18"/>
        </w:rPr>
      </w:pPr>
    </w:p>
    <w:p w14:paraId="2167C7F1" w14:textId="77777777" w:rsidR="00A71EEF" w:rsidRDefault="0081115D">
      <w:pPr>
        <w:pStyle w:val="a3"/>
        <w:spacing w:line="446" w:lineRule="auto"/>
        <w:ind w:left="418" w:right="1714" w:firstLine="419"/>
      </w:pPr>
      <w:r>
        <w:t xml:space="preserve"> </w:t>
      </w:r>
      <w:r>
        <w:t>有耐火极限要求的风管的本体、框架与固定材料、密封垫料等必须为不燃材料，材料品种、规格、厚度及耐火极限等应符合设计要求和国家现行标准的规定。</w:t>
      </w:r>
      <w:r>
        <w:t xml:space="preserve"> </w:t>
      </w:r>
    </w:p>
    <w:p w14:paraId="256E1EE0" w14:textId="77777777" w:rsidR="00A71EEF" w:rsidRDefault="0081115D">
      <w:pPr>
        <w:pStyle w:val="a3"/>
        <w:ind w:left="838"/>
      </w:pPr>
      <w:r>
        <w:t>检查数量：按风管、材料加工批的数量抽查</w:t>
      </w:r>
      <w:r>
        <w:t xml:space="preserve"> 10%</w:t>
      </w:r>
      <w:r>
        <w:t>，且不应少于</w:t>
      </w:r>
      <w:r>
        <w:t xml:space="preserve"> 5 </w:t>
      </w:r>
      <w:r>
        <w:t>件。</w:t>
      </w:r>
      <w:r>
        <w:t xml:space="preserve"> </w:t>
      </w:r>
    </w:p>
    <w:p w14:paraId="0CA3454E" w14:textId="77777777" w:rsidR="00A71EEF" w:rsidRDefault="00A71EEF">
      <w:pPr>
        <w:pStyle w:val="a3"/>
        <w:spacing w:before="12"/>
        <w:rPr>
          <w:sz w:val="17"/>
        </w:rPr>
      </w:pPr>
    </w:p>
    <w:p w14:paraId="6EA67136" w14:textId="77777777" w:rsidR="00A71EEF" w:rsidRDefault="0081115D">
      <w:pPr>
        <w:pStyle w:val="a3"/>
        <w:spacing w:line="448" w:lineRule="auto"/>
        <w:ind w:left="840" w:right="2765" w:hanging="3"/>
      </w:pPr>
      <w:r>
        <w:t>检查方法：尺量检查、直观检查与点燃试验，查验材料质量合格证明文件。</w:t>
      </w:r>
      <w:r>
        <w:rPr>
          <w:b/>
        </w:rPr>
        <w:t xml:space="preserve">6.2.2 </w:t>
      </w:r>
      <w:r>
        <w:t>防烟、排烟系统中各类阀（口）应符合下列规定：</w:t>
      </w:r>
      <w:r>
        <w:t xml:space="preserve"> </w:t>
      </w:r>
    </w:p>
    <w:p w14:paraId="02522772" w14:textId="77777777" w:rsidR="00A71EEF" w:rsidRDefault="00A71EEF">
      <w:pPr>
        <w:spacing w:line="448" w:lineRule="auto"/>
        <w:sectPr w:rsidR="00A71EEF">
          <w:pgSz w:w="11910" w:h="16850"/>
          <w:pgMar w:top="1220" w:right="0" w:bottom="1420" w:left="1260" w:header="0" w:footer="1239" w:gutter="0"/>
          <w:cols w:space="720"/>
        </w:sectPr>
      </w:pPr>
    </w:p>
    <w:p w14:paraId="24BFF996" w14:textId="77777777" w:rsidR="00A71EEF" w:rsidRDefault="0081115D">
      <w:pPr>
        <w:pStyle w:val="a3"/>
        <w:spacing w:before="47" w:line="446" w:lineRule="auto"/>
        <w:ind w:left="418" w:right="1609" w:firstLine="419"/>
      </w:pPr>
      <w:r>
        <w:t>排烟防火阀、送风口、排烟阀或排烟口等必须符合有关消防产品标准的规定，其型号、规格、数量应符合设计要求，手动开启灵活、关闭可靠严密。</w:t>
      </w:r>
      <w:r>
        <w:t xml:space="preserve"> </w:t>
      </w:r>
    </w:p>
    <w:p w14:paraId="73D6B9AC" w14:textId="77777777" w:rsidR="00A71EEF" w:rsidRDefault="0081115D">
      <w:pPr>
        <w:pStyle w:val="a3"/>
        <w:spacing w:line="267" w:lineRule="exact"/>
        <w:ind w:left="838"/>
      </w:pPr>
      <w:r>
        <w:t>检查数量：按种类、批抽查</w:t>
      </w:r>
      <w:r>
        <w:t xml:space="preserve"> 10%</w:t>
      </w:r>
      <w:r>
        <w:t>，且不得少于</w:t>
      </w:r>
      <w:r>
        <w:t xml:space="preserve"> 2 </w:t>
      </w:r>
      <w:r>
        <w:t>个。</w:t>
      </w:r>
      <w:r>
        <w:t xml:space="preserve"> </w:t>
      </w:r>
    </w:p>
    <w:p w14:paraId="0F9DE596" w14:textId="77777777" w:rsidR="00A71EEF" w:rsidRDefault="00A71EEF">
      <w:pPr>
        <w:pStyle w:val="a3"/>
        <w:spacing w:before="2"/>
        <w:rPr>
          <w:sz w:val="18"/>
        </w:rPr>
      </w:pPr>
    </w:p>
    <w:p w14:paraId="377D66C3" w14:textId="77777777" w:rsidR="00A71EEF" w:rsidRDefault="0081115D">
      <w:pPr>
        <w:pStyle w:val="a3"/>
        <w:spacing w:line="446" w:lineRule="auto"/>
        <w:ind w:left="418" w:right="1609" w:firstLine="419"/>
      </w:pPr>
      <w:r>
        <w:rPr>
          <w:spacing w:val="-3"/>
        </w:rPr>
        <w:t>检查方法：测试、直观检查，查验产品的质量合格证明文件、符合国家市场准入要求的文件。</w:t>
      </w:r>
      <w:r>
        <w:t xml:space="preserve"> </w:t>
      </w:r>
    </w:p>
    <w:p w14:paraId="60DC1450" w14:textId="77777777" w:rsidR="00A71EEF" w:rsidRDefault="0081115D">
      <w:pPr>
        <w:pStyle w:val="a3"/>
        <w:spacing w:line="446" w:lineRule="auto"/>
        <w:ind w:left="418" w:right="1608" w:firstLine="419"/>
      </w:pPr>
      <w:r>
        <w:rPr>
          <w:spacing w:val="-3"/>
        </w:rPr>
        <w:t>防火阀、送风口和排烟阀或排烟口等的驱动装置，动作应可靠，在最大工作压力下工作正常。</w:t>
      </w:r>
      <w:r>
        <w:t xml:space="preserve"> </w:t>
      </w:r>
    </w:p>
    <w:p w14:paraId="76043A38" w14:textId="77777777" w:rsidR="00A71EEF" w:rsidRDefault="0081115D">
      <w:pPr>
        <w:pStyle w:val="a3"/>
        <w:ind w:left="838"/>
      </w:pPr>
      <w:r>
        <w:t>检查数量：按批抽查</w:t>
      </w:r>
      <w:r>
        <w:t xml:space="preserve"> 10%</w:t>
      </w:r>
      <w:r>
        <w:t>，且不得少于</w:t>
      </w:r>
      <w:r>
        <w:t xml:space="preserve"> 1 </w:t>
      </w:r>
      <w:r>
        <w:t>件。</w:t>
      </w:r>
      <w:r>
        <w:t xml:space="preserve"> </w:t>
      </w:r>
    </w:p>
    <w:p w14:paraId="1B3A6B89" w14:textId="77777777" w:rsidR="00A71EEF" w:rsidRDefault="00A71EEF">
      <w:pPr>
        <w:pStyle w:val="a3"/>
        <w:spacing w:before="10"/>
        <w:rPr>
          <w:sz w:val="17"/>
        </w:rPr>
      </w:pPr>
    </w:p>
    <w:p w14:paraId="2B3C1D8B" w14:textId="77777777" w:rsidR="00A71EEF" w:rsidRDefault="0081115D">
      <w:pPr>
        <w:pStyle w:val="a3"/>
        <w:spacing w:before="1" w:line="446" w:lineRule="auto"/>
        <w:ind w:left="418" w:right="1609" w:firstLine="419"/>
      </w:pPr>
      <w:r>
        <w:t>检查方法：测试、直观检查，查验产品的质量合格证明文件、符合国家市场准入要求的文件。</w:t>
      </w:r>
      <w:r>
        <w:t xml:space="preserve"> </w:t>
      </w:r>
    </w:p>
    <w:p w14:paraId="3C462EDE" w14:textId="77777777" w:rsidR="00A71EEF" w:rsidRDefault="0081115D">
      <w:pPr>
        <w:pStyle w:val="a3"/>
        <w:spacing w:line="446" w:lineRule="auto"/>
        <w:ind w:left="838" w:right="4657"/>
      </w:pPr>
      <w:r>
        <w:t>防烟、排烟系统柔性短管的制作材料必须为不燃材料。检查数量：全数检查。</w:t>
      </w:r>
      <w:r>
        <w:t xml:space="preserve"> </w:t>
      </w:r>
    </w:p>
    <w:p w14:paraId="6B80DE87" w14:textId="77777777" w:rsidR="00A71EEF" w:rsidRDefault="0081115D">
      <w:pPr>
        <w:pStyle w:val="a3"/>
        <w:spacing w:line="446" w:lineRule="auto"/>
        <w:ind w:left="418" w:right="1609" w:firstLine="419"/>
      </w:pPr>
      <w:r>
        <w:rPr>
          <w:spacing w:val="-3"/>
        </w:rPr>
        <w:t>检查方法：直观检查与点燃试验，查验产品的质量合格证明文件、符合国家市场准入要求的文件。</w:t>
      </w:r>
      <w:r>
        <w:t xml:space="preserve"> </w:t>
      </w:r>
    </w:p>
    <w:p w14:paraId="49E5BFC1" w14:textId="77777777" w:rsidR="00A71EEF" w:rsidRDefault="0081115D">
      <w:pPr>
        <w:pStyle w:val="a4"/>
        <w:numPr>
          <w:ilvl w:val="2"/>
          <w:numId w:val="100"/>
        </w:numPr>
        <w:tabs>
          <w:tab w:val="left" w:pos="1370"/>
        </w:tabs>
        <w:spacing w:line="446" w:lineRule="auto"/>
        <w:ind w:right="1604" w:firstLine="422"/>
        <w:rPr>
          <w:sz w:val="21"/>
        </w:rPr>
      </w:pPr>
      <w:r>
        <w:rPr>
          <w:spacing w:val="-3"/>
          <w:sz w:val="21"/>
        </w:rPr>
        <w:t>风机应符合产品标准和有关消防产品标准的规定，其型号、规格、数量应符合设计要求，出口方向应正确。</w:t>
      </w:r>
      <w:r>
        <w:rPr>
          <w:sz w:val="21"/>
        </w:rPr>
        <w:t xml:space="preserve"> </w:t>
      </w:r>
    </w:p>
    <w:p w14:paraId="0DFA195F" w14:textId="77777777" w:rsidR="00A71EEF" w:rsidRDefault="0081115D">
      <w:pPr>
        <w:pStyle w:val="a3"/>
        <w:ind w:left="838"/>
      </w:pPr>
      <w:r>
        <w:t>检查数量：全数检查。</w:t>
      </w:r>
      <w:r>
        <w:t xml:space="preserve"> </w:t>
      </w:r>
    </w:p>
    <w:p w14:paraId="4EAC0536" w14:textId="77777777" w:rsidR="00A71EEF" w:rsidRDefault="00A71EEF">
      <w:pPr>
        <w:pStyle w:val="a3"/>
        <w:spacing w:before="9"/>
        <w:rPr>
          <w:sz w:val="17"/>
        </w:rPr>
      </w:pPr>
    </w:p>
    <w:p w14:paraId="3850CF32" w14:textId="77777777" w:rsidR="00A71EEF" w:rsidRDefault="0081115D">
      <w:pPr>
        <w:pStyle w:val="a3"/>
        <w:spacing w:line="446" w:lineRule="auto"/>
        <w:ind w:left="418" w:right="1609" w:firstLine="419"/>
      </w:pPr>
      <w:r>
        <w:t>检查方法：核对、直观检查，查验产品的质量合格证明文件、符合国家市场准入要求的文件。</w:t>
      </w:r>
      <w:r>
        <w:t xml:space="preserve"> </w:t>
      </w:r>
    </w:p>
    <w:p w14:paraId="0F297E32" w14:textId="77777777" w:rsidR="00A71EEF" w:rsidRDefault="0081115D">
      <w:pPr>
        <w:pStyle w:val="a4"/>
        <w:numPr>
          <w:ilvl w:val="2"/>
          <w:numId w:val="100"/>
        </w:numPr>
        <w:tabs>
          <w:tab w:val="left" w:pos="1371"/>
        </w:tabs>
        <w:spacing w:before="1" w:line="446" w:lineRule="auto"/>
        <w:ind w:right="1604" w:firstLine="422"/>
        <w:rPr>
          <w:sz w:val="21"/>
        </w:rPr>
      </w:pPr>
      <w:r>
        <w:rPr>
          <w:spacing w:val="-3"/>
          <w:sz w:val="21"/>
        </w:rPr>
        <w:t>活动挡烟垂壁及其电动驱动装置和控制装置应符合有关消防产品标准的规定，其型号、规格、数量应符合设计要求，动作可靠。</w:t>
      </w:r>
      <w:r>
        <w:rPr>
          <w:sz w:val="21"/>
        </w:rPr>
        <w:t xml:space="preserve"> </w:t>
      </w:r>
    </w:p>
    <w:p w14:paraId="45DAED26" w14:textId="77777777" w:rsidR="00A71EEF" w:rsidRDefault="0081115D">
      <w:pPr>
        <w:pStyle w:val="a3"/>
        <w:ind w:left="838"/>
      </w:pPr>
      <w:r>
        <w:t>检查数量：按批抽查</w:t>
      </w:r>
      <w:r>
        <w:t xml:space="preserve"> 10%</w:t>
      </w:r>
      <w:r>
        <w:t>，且不得少于</w:t>
      </w:r>
      <w:r>
        <w:t xml:space="preserve"> 1 </w:t>
      </w:r>
      <w:r>
        <w:t>件。</w:t>
      </w:r>
      <w:r>
        <w:t xml:space="preserve"> </w:t>
      </w:r>
    </w:p>
    <w:p w14:paraId="7AC8B25A" w14:textId="77777777" w:rsidR="00A71EEF" w:rsidRDefault="00A71EEF">
      <w:pPr>
        <w:pStyle w:val="a3"/>
        <w:spacing w:before="12"/>
        <w:rPr>
          <w:sz w:val="17"/>
        </w:rPr>
      </w:pPr>
    </w:p>
    <w:p w14:paraId="006F27F3" w14:textId="77777777" w:rsidR="00A71EEF" w:rsidRDefault="0081115D">
      <w:pPr>
        <w:pStyle w:val="a3"/>
        <w:spacing w:line="446" w:lineRule="auto"/>
        <w:ind w:left="418" w:right="1609" w:firstLine="419"/>
      </w:pPr>
      <w:r>
        <w:t>检查方法：测试，直观检查，查验产品的质量合格证明文件、符合国家市场准入要求的文件。</w:t>
      </w:r>
      <w:r>
        <w:t xml:space="preserve"> </w:t>
      </w:r>
    </w:p>
    <w:p w14:paraId="435C557E" w14:textId="77777777" w:rsidR="00A71EEF" w:rsidRDefault="0081115D">
      <w:pPr>
        <w:pStyle w:val="a4"/>
        <w:numPr>
          <w:ilvl w:val="2"/>
          <w:numId w:val="100"/>
        </w:numPr>
        <w:tabs>
          <w:tab w:val="left" w:pos="1371"/>
        </w:tabs>
        <w:ind w:left="1370" w:hanging="531"/>
        <w:rPr>
          <w:sz w:val="21"/>
        </w:rPr>
      </w:pPr>
      <w:r>
        <w:rPr>
          <w:spacing w:val="-3"/>
          <w:sz w:val="21"/>
        </w:rPr>
        <w:t>自动排烟窗的驱动装置和控制装置应符合设计要求，动作可靠。</w:t>
      </w:r>
      <w:r>
        <w:rPr>
          <w:sz w:val="21"/>
        </w:rPr>
        <w:t xml:space="preserve"> </w:t>
      </w:r>
    </w:p>
    <w:p w14:paraId="48488FCD" w14:textId="77777777" w:rsidR="00A71EEF" w:rsidRDefault="00A71EEF">
      <w:pPr>
        <w:pStyle w:val="a3"/>
        <w:rPr>
          <w:sz w:val="18"/>
        </w:rPr>
      </w:pPr>
    </w:p>
    <w:p w14:paraId="22C1864A" w14:textId="77777777" w:rsidR="00A71EEF" w:rsidRDefault="0081115D">
      <w:pPr>
        <w:pStyle w:val="a3"/>
        <w:ind w:left="838"/>
      </w:pPr>
      <w:r>
        <w:t>检查数量：抽查</w:t>
      </w:r>
      <w:r>
        <w:t xml:space="preserve"> 10%</w:t>
      </w:r>
      <w:r>
        <w:t>，且不得少于</w:t>
      </w:r>
      <w:r>
        <w:t xml:space="preserve"> 1 </w:t>
      </w:r>
      <w:r>
        <w:t>件。</w:t>
      </w:r>
      <w:r>
        <w:t xml:space="preserve"> </w:t>
      </w:r>
    </w:p>
    <w:p w14:paraId="75497E0D" w14:textId="77777777" w:rsidR="00A71EEF" w:rsidRDefault="00A71EEF">
      <w:pPr>
        <w:pStyle w:val="a3"/>
        <w:spacing w:before="12"/>
        <w:rPr>
          <w:sz w:val="17"/>
        </w:rPr>
      </w:pPr>
    </w:p>
    <w:p w14:paraId="1F75A944" w14:textId="77777777" w:rsidR="00A71EEF" w:rsidRDefault="0081115D">
      <w:pPr>
        <w:pStyle w:val="a3"/>
        <w:spacing w:line="446" w:lineRule="auto"/>
        <w:ind w:left="418" w:right="1609" w:firstLine="419"/>
      </w:pPr>
      <w:r>
        <w:t>检查方法：测试，直观检查，查验产品的质量合格证明文件、符合国家市场准入要求的文件。</w:t>
      </w:r>
      <w:r>
        <w:t xml:space="preserve"> </w:t>
      </w:r>
    </w:p>
    <w:p w14:paraId="7FEB68F2" w14:textId="77777777" w:rsidR="00A71EEF" w:rsidRDefault="00A71EEF">
      <w:pPr>
        <w:spacing w:line="446" w:lineRule="auto"/>
        <w:sectPr w:rsidR="00A71EEF">
          <w:pgSz w:w="11910" w:h="16850"/>
          <w:pgMar w:top="1220" w:right="0" w:bottom="1420" w:left="1260" w:header="0" w:footer="1239" w:gutter="0"/>
          <w:cols w:space="720"/>
        </w:sectPr>
      </w:pPr>
    </w:p>
    <w:p w14:paraId="0526048D" w14:textId="77777777" w:rsidR="00A71EEF" w:rsidRDefault="0081115D">
      <w:pPr>
        <w:pStyle w:val="a4"/>
        <w:numPr>
          <w:ilvl w:val="2"/>
          <w:numId w:val="100"/>
        </w:numPr>
        <w:tabs>
          <w:tab w:val="left" w:pos="1371"/>
        </w:tabs>
        <w:spacing w:before="47"/>
        <w:ind w:left="1370" w:hanging="531"/>
        <w:rPr>
          <w:sz w:val="21"/>
        </w:rPr>
      </w:pPr>
      <w:r>
        <w:rPr>
          <w:spacing w:val="-6"/>
          <w:sz w:val="21"/>
        </w:rPr>
        <w:t>防烟、排烟系统工程进场检验记录应按本标准附录</w:t>
      </w:r>
      <w:r>
        <w:rPr>
          <w:spacing w:val="-6"/>
          <w:sz w:val="21"/>
        </w:rPr>
        <w:t xml:space="preserve"> </w:t>
      </w:r>
      <w:r>
        <w:rPr>
          <w:sz w:val="21"/>
        </w:rPr>
        <w:t>D</w:t>
      </w:r>
      <w:r>
        <w:rPr>
          <w:spacing w:val="-36"/>
          <w:sz w:val="21"/>
        </w:rPr>
        <w:t xml:space="preserve"> </w:t>
      </w:r>
      <w:r>
        <w:rPr>
          <w:spacing w:val="-36"/>
          <w:sz w:val="21"/>
        </w:rPr>
        <w:t>表</w:t>
      </w:r>
      <w:r>
        <w:rPr>
          <w:spacing w:val="-36"/>
          <w:sz w:val="21"/>
        </w:rPr>
        <w:t xml:space="preserve"> </w:t>
      </w:r>
      <w:r>
        <w:rPr>
          <w:sz w:val="21"/>
        </w:rPr>
        <w:t>D-2</w:t>
      </w:r>
      <w:r>
        <w:rPr>
          <w:spacing w:val="-15"/>
          <w:sz w:val="21"/>
        </w:rPr>
        <w:t xml:space="preserve"> </w:t>
      </w:r>
      <w:r>
        <w:rPr>
          <w:spacing w:val="-15"/>
          <w:sz w:val="21"/>
        </w:rPr>
        <w:t>填写。</w:t>
      </w:r>
      <w:r>
        <w:rPr>
          <w:sz w:val="21"/>
        </w:rPr>
        <w:t xml:space="preserve"> </w:t>
      </w:r>
    </w:p>
    <w:p w14:paraId="1E8959C9" w14:textId="77777777" w:rsidR="00A71EEF" w:rsidRDefault="00A71EEF">
      <w:pPr>
        <w:pStyle w:val="a3"/>
        <w:rPr>
          <w:sz w:val="18"/>
        </w:rPr>
      </w:pPr>
    </w:p>
    <w:p w14:paraId="16462F37" w14:textId="77777777" w:rsidR="00A71EEF" w:rsidRDefault="0081115D">
      <w:pPr>
        <w:pStyle w:val="a4"/>
        <w:numPr>
          <w:ilvl w:val="1"/>
          <w:numId w:val="101"/>
        </w:numPr>
        <w:tabs>
          <w:tab w:val="left" w:pos="1159"/>
        </w:tabs>
        <w:ind w:hanging="319"/>
        <w:rPr>
          <w:b/>
          <w:sz w:val="21"/>
        </w:rPr>
      </w:pPr>
      <w:r>
        <w:rPr>
          <w:spacing w:val="-3"/>
          <w:sz w:val="21"/>
        </w:rPr>
        <w:t>风管安装</w:t>
      </w:r>
      <w:r>
        <w:rPr>
          <w:b/>
          <w:w w:val="99"/>
          <w:sz w:val="21"/>
        </w:rPr>
        <w:t xml:space="preserve"> </w:t>
      </w:r>
    </w:p>
    <w:p w14:paraId="1D8E177E" w14:textId="77777777" w:rsidR="00A71EEF" w:rsidRDefault="00A71EEF">
      <w:pPr>
        <w:pStyle w:val="a3"/>
        <w:rPr>
          <w:b/>
          <w:sz w:val="18"/>
        </w:rPr>
      </w:pPr>
    </w:p>
    <w:p w14:paraId="6F27ED53" w14:textId="77777777" w:rsidR="00A71EEF" w:rsidRDefault="0081115D">
      <w:pPr>
        <w:pStyle w:val="a4"/>
        <w:numPr>
          <w:ilvl w:val="2"/>
          <w:numId w:val="101"/>
        </w:numPr>
        <w:tabs>
          <w:tab w:val="left" w:pos="1371"/>
        </w:tabs>
        <w:ind w:left="1370" w:hanging="531"/>
        <w:rPr>
          <w:sz w:val="21"/>
        </w:rPr>
      </w:pPr>
      <w:r>
        <w:rPr>
          <w:spacing w:val="-3"/>
          <w:sz w:val="21"/>
        </w:rPr>
        <w:t>金属风管的制作和连接应符合下列规定：</w:t>
      </w:r>
      <w:r>
        <w:rPr>
          <w:sz w:val="21"/>
        </w:rPr>
        <w:t xml:space="preserve"> </w:t>
      </w:r>
    </w:p>
    <w:p w14:paraId="69C87DF7" w14:textId="77777777" w:rsidR="00A71EEF" w:rsidRDefault="0081115D">
      <w:pPr>
        <w:pStyle w:val="a3"/>
        <w:spacing w:before="10"/>
        <w:rPr>
          <w:sz w:val="13"/>
        </w:rPr>
      </w:pPr>
      <w:r>
        <w:rPr>
          <w:noProof/>
        </w:rPr>
        <w:drawing>
          <wp:anchor distT="0" distB="0" distL="0" distR="0" simplePos="0" relativeHeight="251714048" behindDoc="0" locked="0" layoutInCell="1" allowOverlap="1" wp14:anchorId="3055AEA6" wp14:editId="6219F589">
            <wp:simplePos x="0" y="0"/>
            <wp:positionH relativeFrom="page">
              <wp:posOffset>1122680</wp:posOffset>
            </wp:positionH>
            <wp:positionV relativeFrom="paragraph">
              <wp:posOffset>137009</wp:posOffset>
            </wp:positionV>
            <wp:extent cx="4947285" cy="1600200"/>
            <wp:effectExtent l="0" t="0" r="0" b="0"/>
            <wp:wrapTopAndBottom/>
            <wp:docPr id="697" name="image4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image408.jpeg"/>
                    <pic:cNvPicPr/>
                  </pic:nvPicPr>
                  <pic:blipFill>
                    <a:blip r:embed="rId512" cstate="print"/>
                    <a:stretch>
                      <a:fillRect/>
                    </a:stretch>
                  </pic:blipFill>
                  <pic:spPr>
                    <a:xfrm>
                      <a:off x="0" y="0"/>
                      <a:ext cx="4947285" cy="1600200"/>
                    </a:xfrm>
                    <a:prstGeom prst="rect">
                      <a:avLst/>
                    </a:prstGeom>
                  </pic:spPr>
                </pic:pic>
              </a:graphicData>
            </a:graphic>
          </wp:anchor>
        </w:drawing>
      </w:r>
    </w:p>
    <w:p w14:paraId="4B954D76" w14:textId="77777777" w:rsidR="00A71EEF" w:rsidRDefault="0081115D">
      <w:pPr>
        <w:pStyle w:val="a3"/>
        <w:spacing w:before="163" w:line="446" w:lineRule="auto"/>
        <w:ind w:left="418" w:right="1609" w:firstLine="419"/>
      </w:pPr>
      <w:r>
        <w:rPr>
          <w:spacing w:val="-5"/>
        </w:rPr>
        <w:t>风管采用法兰连接时，风管法兰材料规格应按本标准表</w:t>
      </w:r>
      <w:r>
        <w:rPr>
          <w:spacing w:val="-5"/>
        </w:rPr>
        <w:t xml:space="preserve"> </w:t>
      </w:r>
      <w:r>
        <w:t>6.3.1</w:t>
      </w:r>
      <w:r>
        <w:rPr>
          <w:spacing w:val="-8"/>
        </w:rPr>
        <w:t xml:space="preserve"> </w:t>
      </w:r>
      <w:r>
        <w:rPr>
          <w:spacing w:val="-8"/>
        </w:rPr>
        <w:t>选用，其螺栓孔的间距不得</w:t>
      </w:r>
      <w:r>
        <w:rPr>
          <w:spacing w:val="-24"/>
        </w:rPr>
        <w:t>大于</w:t>
      </w:r>
      <w:r>
        <w:rPr>
          <w:spacing w:val="-24"/>
        </w:rPr>
        <w:t xml:space="preserve"> </w:t>
      </w:r>
      <w:r>
        <w:t>150mm</w:t>
      </w:r>
      <w:r>
        <w:rPr>
          <w:spacing w:val="-3"/>
        </w:rPr>
        <w:t>，矩形风管法兰四角处应设有螺孔；</w:t>
      </w:r>
      <w:r>
        <w:t xml:space="preserve"> </w:t>
      </w:r>
    </w:p>
    <w:p w14:paraId="39C994D0" w14:textId="77777777" w:rsidR="00A71EEF" w:rsidRDefault="0081115D">
      <w:pPr>
        <w:pStyle w:val="a3"/>
        <w:spacing w:line="446" w:lineRule="auto"/>
        <w:ind w:left="418" w:right="1608" w:firstLine="419"/>
      </w:pPr>
      <w:r>
        <w:rPr>
          <w:spacing w:val="-4"/>
        </w:rPr>
        <w:t>板材应采用咬口连接或铆接，除镀锌钢板及含有复合保护层的钢板外，板厚大于</w:t>
      </w:r>
      <w:r>
        <w:rPr>
          <w:spacing w:val="-4"/>
        </w:rPr>
        <w:t xml:space="preserve"> </w:t>
      </w:r>
      <w:r>
        <w:t>1.5mm</w:t>
      </w:r>
      <w:r>
        <w:rPr>
          <w:spacing w:val="-19"/>
        </w:rPr>
        <w:t xml:space="preserve"> </w:t>
      </w:r>
      <w:r>
        <w:rPr>
          <w:spacing w:val="-19"/>
        </w:rPr>
        <w:t>的</w:t>
      </w:r>
      <w:r>
        <w:rPr>
          <w:spacing w:val="-9"/>
        </w:rPr>
        <w:t>可采用焊接；</w:t>
      </w:r>
      <w:r>
        <w:t xml:space="preserve"> </w:t>
      </w:r>
    </w:p>
    <w:p w14:paraId="055ECD74" w14:textId="77777777" w:rsidR="00A71EEF" w:rsidRDefault="0081115D">
      <w:pPr>
        <w:pStyle w:val="a3"/>
        <w:spacing w:line="446" w:lineRule="auto"/>
        <w:ind w:left="418" w:right="1609" w:firstLine="419"/>
      </w:pPr>
      <w:r>
        <w:t>风管应以板材连接的密封为主，可辅以密封胶嵌缝或其他方法密封，密封面宜设在风管的正压侧；</w:t>
      </w:r>
      <w:r>
        <w:t xml:space="preserve">  </w:t>
      </w:r>
      <w:r>
        <w:t xml:space="preserve">  </w:t>
      </w:r>
      <w:r>
        <w:t xml:space="preserve"> </w:t>
      </w:r>
      <w:r>
        <w:t xml:space="preserve"> </w:t>
      </w:r>
    </w:p>
    <w:p w14:paraId="20FC7F1C" w14:textId="77777777" w:rsidR="00A71EEF" w:rsidRDefault="0081115D">
      <w:pPr>
        <w:pStyle w:val="a3"/>
        <w:ind w:left="838"/>
      </w:pPr>
      <w:r>
        <w:t>无法兰连接风管的薄钢板法兰高度及连接应按本标准表</w:t>
      </w:r>
      <w:r>
        <w:t xml:space="preserve"> 6.3.1 </w:t>
      </w:r>
      <w:r>
        <w:t>的规定执行；</w:t>
      </w:r>
      <w:r>
        <w:t xml:space="preserve"> </w:t>
      </w:r>
    </w:p>
    <w:p w14:paraId="11A50FD8" w14:textId="77777777" w:rsidR="00A71EEF" w:rsidRDefault="00A71EEF">
      <w:pPr>
        <w:pStyle w:val="a3"/>
        <w:spacing w:before="10"/>
        <w:rPr>
          <w:sz w:val="17"/>
        </w:rPr>
      </w:pPr>
    </w:p>
    <w:p w14:paraId="045D8D91" w14:textId="77777777" w:rsidR="00A71EEF" w:rsidRDefault="0081115D">
      <w:pPr>
        <w:pStyle w:val="a3"/>
        <w:spacing w:line="446" w:lineRule="auto"/>
        <w:ind w:left="418" w:right="1505" w:firstLine="419"/>
        <w:jc w:val="both"/>
      </w:pPr>
      <w:r>
        <w:rPr>
          <w:spacing w:val="-5"/>
        </w:rPr>
        <w:t>排烟风管的隔热层应采用厚度不小于</w:t>
      </w:r>
      <w:r>
        <w:rPr>
          <w:spacing w:val="-5"/>
        </w:rPr>
        <w:t xml:space="preserve"> </w:t>
      </w:r>
      <w:r>
        <w:t>40mm</w:t>
      </w:r>
      <w:r>
        <w:rPr>
          <w:spacing w:val="-8"/>
        </w:rPr>
        <w:t xml:space="preserve"> </w:t>
      </w:r>
      <w:r>
        <w:rPr>
          <w:spacing w:val="-8"/>
        </w:rPr>
        <w:t>的不燃绝热材料，绝热材料的施工及风管加固、</w:t>
      </w:r>
      <w:r>
        <w:rPr>
          <w:spacing w:val="-5"/>
        </w:rPr>
        <w:t>导流片的设置应按现行国家标准《通风与空调工程施工质量验收规范》</w:t>
      </w:r>
      <w:r>
        <w:t>GB 50243</w:t>
      </w:r>
      <w:r>
        <w:rPr>
          <w:spacing w:val="-9"/>
        </w:rPr>
        <w:t xml:space="preserve"> </w:t>
      </w:r>
      <w:r>
        <w:rPr>
          <w:spacing w:val="-9"/>
        </w:rPr>
        <w:t>的有关规定执</w:t>
      </w:r>
      <w:r>
        <w:rPr>
          <w:spacing w:val="-6"/>
        </w:rPr>
        <w:t>行。</w:t>
      </w:r>
      <w:r>
        <w:t xml:space="preserve"> </w:t>
      </w:r>
    </w:p>
    <w:p w14:paraId="140C9AB7" w14:textId="77777777" w:rsidR="00A71EEF" w:rsidRDefault="0081115D">
      <w:pPr>
        <w:pStyle w:val="a3"/>
        <w:spacing w:line="268" w:lineRule="exact"/>
        <w:ind w:left="838"/>
        <w:jc w:val="both"/>
      </w:pPr>
      <w:r>
        <w:t>检查数量：各系统按不小于</w:t>
      </w:r>
      <w:r>
        <w:t xml:space="preserve"> 30%</w:t>
      </w:r>
      <w:r>
        <w:t>检查。</w:t>
      </w:r>
      <w:r>
        <w:t xml:space="preserve"> </w:t>
      </w:r>
    </w:p>
    <w:p w14:paraId="42982A4F" w14:textId="77777777" w:rsidR="00A71EEF" w:rsidRDefault="00A71EEF">
      <w:pPr>
        <w:pStyle w:val="a3"/>
        <w:rPr>
          <w:sz w:val="18"/>
        </w:rPr>
      </w:pPr>
    </w:p>
    <w:p w14:paraId="629BEBA5" w14:textId="77777777" w:rsidR="00A71EEF" w:rsidRDefault="0081115D">
      <w:pPr>
        <w:pStyle w:val="a3"/>
        <w:ind w:left="838"/>
      </w:pPr>
      <w:r>
        <w:t>检查方法：尺量检查、直观检查。</w:t>
      </w:r>
      <w:r>
        <w:t xml:space="preserve"> </w:t>
      </w:r>
    </w:p>
    <w:p w14:paraId="12ABF5B5" w14:textId="77777777" w:rsidR="00A71EEF" w:rsidRDefault="00A71EEF">
      <w:pPr>
        <w:pStyle w:val="a3"/>
        <w:spacing w:before="2"/>
        <w:rPr>
          <w:sz w:val="18"/>
        </w:rPr>
      </w:pPr>
    </w:p>
    <w:p w14:paraId="69FDCF48" w14:textId="77777777" w:rsidR="00A71EEF" w:rsidRDefault="0081115D">
      <w:pPr>
        <w:pStyle w:val="a4"/>
        <w:numPr>
          <w:ilvl w:val="2"/>
          <w:numId w:val="101"/>
        </w:numPr>
        <w:tabs>
          <w:tab w:val="left" w:pos="1370"/>
        </w:tabs>
        <w:ind w:hanging="530"/>
        <w:rPr>
          <w:sz w:val="21"/>
        </w:rPr>
      </w:pPr>
      <w:r>
        <w:rPr>
          <w:spacing w:val="-3"/>
          <w:sz w:val="21"/>
        </w:rPr>
        <w:t>非金属风管的制作和连接应符合下列规定：</w:t>
      </w:r>
      <w:r>
        <w:rPr>
          <w:sz w:val="21"/>
        </w:rPr>
        <w:t xml:space="preserve"> </w:t>
      </w:r>
    </w:p>
    <w:p w14:paraId="4905F5A4" w14:textId="77777777" w:rsidR="00A71EEF" w:rsidRDefault="00A71EEF">
      <w:pPr>
        <w:pStyle w:val="a3"/>
        <w:rPr>
          <w:sz w:val="18"/>
        </w:rPr>
      </w:pPr>
    </w:p>
    <w:p w14:paraId="04AD716B" w14:textId="77777777" w:rsidR="00A71EEF" w:rsidRDefault="0081115D">
      <w:pPr>
        <w:pStyle w:val="a3"/>
        <w:spacing w:line="446" w:lineRule="auto"/>
        <w:ind w:left="838" w:right="1452"/>
      </w:pPr>
      <w:r>
        <w:rPr>
          <w:spacing w:val="-3"/>
        </w:rPr>
        <w:t>非金属风管的材料品种、规格、性能与厚度等应符合设计和现行国家产品标准的规定；</w:t>
      </w:r>
      <w:r>
        <w:rPr>
          <w:spacing w:val="-3"/>
        </w:rPr>
        <w:t xml:space="preserve">   </w:t>
      </w:r>
      <w:r>
        <w:rPr>
          <w:spacing w:val="-6"/>
        </w:rPr>
        <w:t>法兰的规格应分别符合本标准表</w:t>
      </w:r>
      <w:r>
        <w:rPr>
          <w:spacing w:val="-6"/>
        </w:rPr>
        <w:t xml:space="preserve"> </w:t>
      </w:r>
      <w:r>
        <w:t>6.3.2</w:t>
      </w:r>
      <w:r>
        <w:rPr>
          <w:spacing w:val="-10"/>
        </w:rPr>
        <w:t xml:space="preserve"> </w:t>
      </w:r>
      <w:r>
        <w:rPr>
          <w:spacing w:val="-10"/>
        </w:rPr>
        <w:t>的规定，其螺栓孔的间距不得大于</w:t>
      </w:r>
      <w:r>
        <w:rPr>
          <w:spacing w:val="-10"/>
        </w:rPr>
        <w:t xml:space="preserve"> </w:t>
      </w:r>
      <w:r>
        <w:t>120mm</w:t>
      </w:r>
      <w:r>
        <w:rPr>
          <w:spacing w:val="-1"/>
        </w:rPr>
        <w:t>；矩形风管</w:t>
      </w:r>
    </w:p>
    <w:p w14:paraId="0CE4CB60" w14:textId="77777777" w:rsidR="00A71EEF" w:rsidRDefault="0081115D">
      <w:pPr>
        <w:pStyle w:val="a3"/>
        <w:ind w:left="418"/>
      </w:pPr>
      <w:r>
        <w:t>法兰的四角处应设有螺孔；</w:t>
      </w:r>
      <w:r>
        <w:t xml:space="preserve"> </w:t>
      </w:r>
    </w:p>
    <w:p w14:paraId="405AC983" w14:textId="77777777" w:rsidR="00A71EEF" w:rsidRDefault="00A71EEF">
      <w:pPr>
        <w:pStyle w:val="a3"/>
        <w:rPr>
          <w:sz w:val="20"/>
        </w:rPr>
      </w:pPr>
    </w:p>
    <w:p w14:paraId="75F183CC" w14:textId="77777777" w:rsidR="00A71EEF" w:rsidRDefault="00A71EEF">
      <w:pPr>
        <w:pStyle w:val="a3"/>
        <w:rPr>
          <w:sz w:val="20"/>
        </w:rPr>
      </w:pPr>
    </w:p>
    <w:p w14:paraId="4D5A27D0" w14:textId="77777777" w:rsidR="00A71EEF" w:rsidRDefault="00A71EEF">
      <w:pPr>
        <w:pStyle w:val="a3"/>
        <w:rPr>
          <w:sz w:val="20"/>
        </w:rPr>
      </w:pPr>
    </w:p>
    <w:p w14:paraId="16B63666" w14:textId="77777777" w:rsidR="00A71EEF" w:rsidRDefault="00A71EEF">
      <w:pPr>
        <w:pStyle w:val="a3"/>
        <w:rPr>
          <w:sz w:val="20"/>
        </w:rPr>
      </w:pPr>
    </w:p>
    <w:p w14:paraId="6751A6BE" w14:textId="77777777" w:rsidR="00A71EEF" w:rsidRDefault="00A71EEF">
      <w:pPr>
        <w:pStyle w:val="a3"/>
        <w:spacing w:before="1"/>
        <w:rPr>
          <w:sz w:val="16"/>
        </w:rPr>
      </w:pPr>
    </w:p>
    <w:p w14:paraId="4276B000" w14:textId="77777777" w:rsidR="00A71EEF" w:rsidRDefault="0081115D">
      <w:pPr>
        <w:pStyle w:val="a3"/>
        <w:ind w:left="838"/>
      </w:pPr>
      <w:r>
        <w:t xml:space="preserve"> </w:t>
      </w:r>
    </w:p>
    <w:p w14:paraId="5E4AB5D5" w14:textId="77777777" w:rsidR="00A71EEF" w:rsidRDefault="00A71EEF">
      <w:pPr>
        <w:sectPr w:rsidR="00A71EEF">
          <w:pgSz w:w="11910" w:h="16850"/>
          <w:pgMar w:top="1220" w:right="0" w:bottom="1420" w:left="1260" w:header="0" w:footer="1239" w:gutter="0"/>
          <w:cols w:space="720"/>
        </w:sectPr>
      </w:pPr>
    </w:p>
    <w:p w14:paraId="732E914E" w14:textId="77777777" w:rsidR="00A71EEF" w:rsidRDefault="0081115D">
      <w:pPr>
        <w:pStyle w:val="a3"/>
        <w:spacing w:before="47"/>
        <w:ind w:left="838"/>
      </w:pPr>
      <w:r>
        <w:t>采用套管连接时，套管厚度不得小于风管板材的厚度；</w:t>
      </w:r>
      <w:r>
        <w:t xml:space="preserve"> </w:t>
      </w:r>
    </w:p>
    <w:p w14:paraId="5C8950E0" w14:textId="77777777" w:rsidR="00A71EEF" w:rsidRDefault="0081115D">
      <w:pPr>
        <w:pStyle w:val="a3"/>
        <w:spacing w:before="12"/>
        <w:rPr>
          <w:sz w:val="10"/>
        </w:rPr>
      </w:pPr>
      <w:r>
        <w:rPr>
          <w:noProof/>
        </w:rPr>
        <w:drawing>
          <wp:anchor distT="0" distB="0" distL="0" distR="0" simplePos="0" relativeHeight="251715072" behindDoc="0" locked="0" layoutInCell="1" allowOverlap="1" wp14:anchorId="18ED83CE" wp14:editId="6AE6330D">
            <wp:simplePos x="0" y="0"/>
            <wp:positionH relativeFrom="page">
              <wp:posOffset>1065530</wp:posOffset>
            </wp:positionH>
            <wp:positionV relativeFrom="paragraph">
              <wp:posOffset>113752</wp:posOffset>
            </wp:positionV>
            <wp:extent cx="5377877" cy="1562100"/>
            <wp:effectExtent l="0" t="0" r="0" b="0"/>
            <wp:wrapTopAndBottom/>
            <wp:docPr id="699" name="image4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 name="image409.jpeg"/>
                    <pic:cNvPicPr/>
                  </pic:nvPicPr>
                  <pic:blipFill>
                    <a:blip r:embed="rId513" cstate="print"/>
                    <a:stretch>
                      <a:fillRect/>
                    </a:stretch>
                  </pic:blipFill>
                  <pic:spPr>
                    <a:xfrm>
                      <a:off x="0" y="0"/>
                      <a:ext cx="5377877" cy="1562100"/>
                    </a:xfrm>
                    <a:prstGeom prst="rect">
                      <a:avLst/>
                    </a:prstGeom>
                  </pic:spPr>
                </pic:pic>
              </a:graphicData>
            </a:graphic>
          </wp:anchor>
        </w:drawing>
      </w:r>
    </w:p>
    <w:p w14:paraId="1AF07ED0" w14:textId="77777777" w:rsidR="00A71EEF" w:rsidRDefault="0081115D">
      <w:pPr>
        <w:pStyle w:val="a3"/>
        <w:spacing w:before="169" w:line="448" w:lineRule="auto"/>
        <w:ind w:left="418" w:right="1609" w:firstLine="419"/>
      </w:pPr>
      <w:r>
        <w:t>无机玻璃钢风管的玻璃布必须无碱或中碱，层数应符合现行国家标准《通风与空调工程施工质量验收规范》</w:t>
      </w:r>
      <w:r>
        <w:t xml:space="preserve">GB 50243 </w:t>
      </w:r>
      <w:r>
        <w:t>的规定，风管的表面不得出现泛卤或严重泛霜。</w:t>
      </w:r>
      <w:r>
        <w:t xml:space="preserve"> </w:t>
      </w:r>
    </w:p>
    <w:p w14:paraId="173DB873" w14:textId="77777777" w:rsidR="00A71EEF" w:rsidRDefault="0081115D">
      <w:pPr>
        <w:pStyle w:val="a3"/>
        <w:spacing w:line="264" w:lineRule="exact"/>
        <w:ind w:left="838"/>
      </w:pPr>
      <w:r>
        <w:t>检查数量：各系统按不小于</w:t>
      </w:r>
      <w:r>
        <w:t xml:space="preserve"> 30%</w:t>
      </w:r>
      <w:r>
        <w:t>检查。</w:t>
      </w:r>
      <w:r>
        <w:t xml:space="preserve"> </w:t>
      </w:r>
    </w:p>
    <w:p w14:paraId="35D9C0CF" w14:textId="77777777" w:rsidR="00A71EEF" w:rsidRDefault="00A71EEF">
      <w:pPr>
        <w:pStyle w:val="a3"/>
        <w:spacing w:before="12"/>
        <w:rPr>
          <w:sz w:val="17"/>
        </w:rPr>
      </w:pPr>
    </w:p>
    <w:p w14:paraId="7DC6A567" w14:textId="77777777" w:rsidR="00A71EEF" w:rsidRDefault="0081115D">
      <w:pPr>
        <w:pStyle w:val="a3"/>
        <w:ind w:left="838"/>
      </w:pPr>
      <w:r>
        <w:t>检查方法：尺量检查、直观检查。</w:t>
      </w:r>
      <w:r>
        <w:t xml:space="preserve"> </w:t>
      </w:r>
    </w:p>
    <w:p w14:paraId="48C46950" w14:textId="77777777" w:rsidR="00A71EEF" w:rsidRDefault="00A71EEF">
      <w:pPr>
        <w:pStyle w:val="a3"/>
        <w:spacing w:before="2"/>
        <w:rPr>
          <w:sz w:val="18"/>
        </w:rPr>
      </w:pPr>
    </w:p>
    <w:p w14:paraId="3208F682" w14:textId="77777777" w:rsidR="00A71EEF" w:rsidRDefault="0081115D">
      <w:pPr>
        <w:pStyle w:val="a4"/>
        <w:numPr>
          <w:ilvl w:val="2"/>
          <w:numId w:val="101"/>
        </w:numPr>
        <w:tabs>
          <w:tab w:val="left" w:pos="1371"/>
        </w:tabs>
        <w:spacing w:line="446" w:lineRule="auto"/>
        <w:ind w:left="418" w:right="1604" w:firstLine="422"/>
        <w:rPr>
          <w:sz w:val="21"/>
        </w:rPr>
      </w:pPr>
      <w:r>
        <w:rPr>
          <w:spacing w:val="-3"/>
          <w:sz w:val="21"/>
        </w:rPr>
        <w:t>风管应按系统类别进行强度和严密性检验，其强度和严密性应符合设计要求或下列规定：</w:t>
      </w:r>
      <w:r>
        <w:rPr>
          <w:sz w:val="21"/>
        </w:rPr>
        <w:t xml:space="preserve"> </w:t>
      </w:r>
    </w:p>
    <w:p w14:paraId="1CE5A7E7" w14:textId="77777777" w:rsidR="00A71EEF" w:rsidRDefault="0081115D">
      <w:pPr>
        <w:pStyle w:val="a3"/>
        <w:spacing w:line="448" w:lineRule="auto"/>
        <w:ind w:left="838" w:right="3030"/>
      </w:pPr>
      <w:r>
        <w:t>风管强度应符合现行行业标准《通风管道技术规程》</w:t>
      </w:r>
      <w:r>
        <w:t xml:space="preserve">JGJ/T 141 </w:t>
      </w:r>
      <w:r>
        <w:t>的规定。金属矩形风管的允许漏风量应符合下列规定：</w:t>
      </w:r>
      <w:r>
        <w:t xml:space="preserve"> </w:t>
      </w:r>
    </w:p>
    <w:p w14:paraId="3167181E" w14:textId="77777777" w:rsidR="00A71EEF" w:rsidRDefault="0081115D">
      <w:pPr>
        <w:pStyle w:val="a3"/>
        <w:ind w:left="748"/>
        <w:rPr>
          <w:sz w:val="20"/>
        </w:rPr>
      </w:pPr>
      <w:r>
        <w:rPr>
          <w:noProof/>
          <w:sz w:val="20"/>
        </w:rPr>
        <w:drawing>
          <wp:inline distT="0" distB="0" distL="0" distR="0" wp14:anchorId="1C4162ED" wp14:editId="137CD27A">
            <wp:extent cx="4931992" cy="1066800"/>
            <wp:effectExtent l="0" t="0" r="0" b="0"/>
            <wp:docPr id="701" name="image4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image410.jpeg"/>
                    <pic:cNvPicPr/>
                  </pic:nvPicPr>
                  <pic:blipFill>
                    <a:blip r:embed="rId514" cstate="print"/>
                    <a:stretch>
                      <a:fillRect/>
                    </a:stretch>
                  </pic:blipFill>
                  <pic:spPr>
                    <a:xfrm>
                      <a:off x="0" y="0"/>
                      <a:ext cx="4931992" cy="1066800"/>
                    </a:xfrm>
                    <a:prstGeom prst="rect">
                      <a:avLst/>
                    </a:prstGeom>
                  </pic:spPr>
                </pic:pic>
              </a:graphicData>
            </a:graphic>
          </wp:inline>
        </w:drawing>
      </w:r>
    </w:p>
    <w:p w14:paraId="5B151083" w14:textId="77777777" w:rsidR="00A71EEF" w:rsidRDefault="00A71EEF">
      <w:pPr>
        <w:pStyle w:val="a3"/>
        <w:rPr>
          <w:sz w:val="20"/>
        </w:rPr>
      </w:pPr>
    </w:p>
    <w:p w14:paraId="522754B8" w14:textId="77777777" w:rsidR="00A71EEF" w:rsidRDefault="00A71EEF">
      <w:pPr>
        <w:pStyle w:val="a3"/>
        <w:rPr>
          <w:sz w:val="20"/>
        </w:rPr>
      </w:pPr>
    </w:p>
    <w:p w14:paraId="49E9FC99" w14:textId="77777777" w:rsidR="00A71EEF" w:rsidRDefault="00A71EEF">
      <w:pPr>
        <w:pStyle w:val="a3"/>
        <w:spacing w:before="3"/>
        <w:rPr>
          <w:sz w:val="18"/>
        </w:rPr>
      </w:pPr>
    </w:p>
    <w:p w14:paraId="308C46AF" w14:textId="77777777" w:rsidR="00A71EEF" w:rsidRDefault="0081115D">
      <w:pPr>
        <w:pStyle w:val="a3"/>
        <w:spacing w:line="436" w:lineRule="auto"/>
        <w:ind w:left="418" w:right="1479" w:firstLine="419"/>
      </w:pPr>
      <w:r>
        <w:rPr>
          <w:position w:val="1"/>
        </w:rPr>
        <w:t>式中：</w:t>
      </w:r>
      <w:r>
        <w:rPr>
          <w:position w:val="1"/>
        </w:rPr>
        <w:t>L</w:t>
      </w:r>
      <w:r>
        <w:rPr>
          <w:sz w:val="11"/>
        </w:rPr>
        <w:t>low</w:t>
      </w:r>
      <w:r>
        <w:rPr>
          <w:position w:val="1"/>
        </w:rPr>
        <w:t>，</w:t>
      </w:r>
      <w:r>
        <w:rPr>
          <w:position w:val="1"/>
        </w:rPr>
        <w:t xml:space="preserve"> L</w:t>
      </w:r>
      <w:r>
        <w:rPr>
          <w:sz w:val="11"/>
        </w:rPr>
        <w:t>mid</w:t>
      </w:r>
      <w:r>
        <w:rPr>
          <w:position w:val="1"/>
        </w:rPr>
        <w:t>，</w:t>
      </w:r>
      <w:r>
        <w:rPr>
          <w:position w:val="1"/>
        </w:rPr>
        <w:t>L</w:t>
      </w:r>
      <w:r>
        <w:rPr>
          <w:sz w:val="11"/>
        </w:rPr>
        <w:t>high</w:t>
      </w:r>
      <w:r>
        <w:rPr>
          <w:position w:val="1"/>
        </w:rPr>
        <w:t>—</w:t>
      </w:r>
      <w:r>
        <w:rPr>
          <w:position w:val="1"/>
        </w:rPr>
        <w:t>系统风管在相应工作压力下，单位面积风管单位时间内的允许漏风</w:t>
      </w:r>
      <w:r>
        <w:t>量</w:t>
      </w:r>
      <w:r>
        <w:t>[m</w:t>
      </w:r>
      <w:r>
        <w:rPr>
          <w:position w:val="11"/>
          <w:sz w:val="11"/>
        </w:rPr>
        <w:t>3</w:t>
      </w:r>
      <w:r>
        <w:t>/</w:t>
      </w:r>
      <w:r>
        <w:t>（</w:t>
      </w:r>
      <w:r>
        <w:t>h·m</w:t>
      </w:r>
      <w:r>
        <w:rPr>
          <w:position w:val="11"/>
          <w:sz w:val="11"/>
        </w:rPr>
        <w:t>2</w:t>
      </w:r>
      <w:r>
        <w:t>）</w:t>
      </w:r>
      <w:r>
        <w:t>]</w:t>
      </w:r>
      <w:r>
        <w:t>；</w:t>
      </w:r>
      <w:r>
        <w:t xml:space="preserve"> </w:t>
      </w:r>
    </w:p>
    <w:p w14:paraId="10807DE5" w14:textId="77777777" w:rsidR="00A71EEF" w:rsidRDefault="0081115D">
      <w:pPr>
        <w:pStyle w:val="a3"/>
        <w:spacing w:before="9"/>
        <w:ind w:left="838"/>
      </w:pPr>
      <w:r>
        <w:rPr>
          <w:position w:val="1"/>
        </w:rPr>
        <w:t xml:space="preserve"> </w:t>
      </w:r>
      <w:r>
        <w:rPr>
          <w:position w:val="1"/>
        </w:rPr>
        <w:t xml:space="preserve"> </w:t>
      </w:r>
      <w:r>
        <w:rPr>
          <w:position w:val="1"/>
        </w:rPr>
        <w:t xml:space="preserve">  </w:t>
      </w:r>
      <w:r>
        <w:rPr>
          <w:position w:val="1"/>
        </w:rPr>
        <w:t xml:space="preserve"> </w:t>
      </w:r>
      <w:r>
        <w:rPr>
          <w:position w:val="1"/>
        </w:rPr>
        <w:t xml:space="preserve"> </w:t>
      </w:r>
      <w:r>
        <w:rPr>
          <w:spacing w:val="-3"/>
          <w:position w:val="1"/>
        </w:rPr>
        <w:t xml:space="preserve"> </w:t>
      </w:r>
      <w:r>
        <w:rPr>
          <w:position w:val="1"/>
        </w:rPr>
        <w:t xml:space="preserve"> </w:t>
      </w:r>
      <w:r>
        <w:rPr>
          <w:position w:val="1"/>
        </w:rPr>
        <w:t xml:space="preserve"> </w:t>
      </w:r>
      <w:r>
        <w:rPr>
          <w:spacing w:val="-3"/>
          <w:position w:val="1"/>
        </w:rPr>
        <w:t xml:space="preserve"> </w:t>
      </w:r>
      <w:r>
        <w:rPr>
          <w:position w:val="1"/>
        </w:rPr>
        <w:t xml:space="preserve"> </w:t>
      </w:r>
      <w:r>
        <w:rPr>
          <w:position w:val="1"/>
        </w:rPr>
        <w:t xml:space="preserve">  </w:t>
      </w:r>
      <w:r>
        <w:rPr>
          <w:position w:val="1"/>
        </w:rPr>
        <w:t xml:space="preserve"> </w:t>
      </w:r>
      <w:r>
        <w:rPr>
          <w:spacing w:val="-2"/>
          <w:position w:val="1"/>
        </w:rPr>
        <w:t xml:space="preserve"> </w:t>
      </w:r>
      <w:r>
        <w:rPr>
          <w:position w:val="1"/>
        </w:rPr>
        <w:t xml:space="preserve"> P</w:t>
      </w:r>
      <w:r>
        <w:rPr>
          <w:spacing w:val="-52"/>
          <w:position w:val="1"/>
        </w:rPr>
        <w:t xml:space="preserve"> </w:t>
      </w:r>
      <w:r>
        <w:rPr>
          <w:spacing w:val="-2"/>
          <w:sz w:val="11"/>
        </w:rPr>
        <w:t>风管</w:t>
      </w:r>
      <w:r>
        <w:rPr>
          <w:spacing w:val="-3"/>
          <w:position w:val="1"/>
        </w:rPr>
        <w:t>—</w:t>
      </w:r>
      <w:r>
        <w:rPr>
          <w:spacing w:val="-3"/>
          <w:position w:val="1"/>
        </w:rPr>
        <w:t>指风管系统的工作压力</w:t>
      </w:r>
      <w:r>
        <w:rPr>
          <w:position w:val="1"/>
        </w:rPr>
        <w:t>（</w:t>
      </w:r>
      <w:r>
        <w:rPr>
          <w:position w:val="1"/>
        </w:rPr>
        <w:t>Pa</w:t>
      </w:r>
      <w:r>
        <w:rPr>
          <w:position w:val="1"/>
        </w:rPr>
        <w:t>）</w:t>
      </w:r>
      <w:r>
        <w:rPr>
          <w:spacing w:val="-3"/>
          <w:position w:val="1"/>
        </w:rPr>
        <w:t>。</w:t>
      </w:r>
      <w:r>
        <w:rPr>
          <w:position w:val="1"/>
        </w:rPr>
        <w:t xml:space="preserve"> </w:t>
      </w:r>
    </w:p>
    <w:p w14:paraId="2C6A7742" w14:textId="77777777" w:rsidR="00A71EEF" w:rsidRDefault="00A71EEF">
      <w:pPr>
        <w:pStyle w:val="a3"/>
        <w:spacing w:before="3"/>
        <w:rPr>
          <w:sz w:val="18"/>
        </w:rPr>
      </w:pPr>
    </w:p>
    <w:p w14:paraId="0B6DFA3E" w14:textId="77777777" w:rsidR="00A71EEF" w:rsidRDefault="0081115D">
      <w:pPr>
        <w:pStyle w:val="a3"/>
        <w:ind w:left="838"/>
      </w:pPr>
      <w:r>
        <w:t>风管系统类别应按本标准表</w:t>
      </w:r>
      <w:r>
        <w:t xml:space="preserve"> 6.3.3 </w:t>
      </w:r>
      <w:r>
        <w:t>划分。</w:t>
      </w:r>
      <w:r>
        <w:t xml:space="preserve"> </w:t>
      </w:r>
    </w:p>
    <w:p w14:paraId="1525D925" w14:textId="77777777" w:rsidR="00A71EEF" w:rsidRDefault="00A71EEF">
      <w:pPr>
        <w:pStyle w:val="a3"/>
        <w:rPr>
          <w:sz w:val="20"/>
        </w:rPr>
      </w:pPr>
    </w:p>
    <w:p w14:paraId="680811E4" w14:textId="77777777" w:rsidR="00A71EEF" w:rsidRDefault="00A71EEF">
      <w:pPr>
        <w:pStyle w:val="a3"/>
        <w:rPr>
          <w:sz w:val="20"/>
        </w:rPr>
      </w:pPr>
    </w:p>
    <w:p w14:paraId="18A3538A" w14:textId="77777777" w:rsidR="00A71EEF" w:rsidRDefault="00A71EEF">
      <w:pPr>
        <w:pStyle w:val="a3"/>
        <w:rPr>
          <w:sz w:val="20"/>
        </w:rPr>
      </w:pPr>
    </w:p>
    <w:p w14:paraId="4CC88456" w14:textId="77777777" w:rsidR="00A71EEF" w:rsidRDefault="00A71EEF">
      <w:pPr>
        <w:pStyle w:val="a3"/>
        <w:rPr>
          <w:sz w:val="20"/>
        </w:rPr>
      </w:pPr>
    </w:p>
    <w:p w14:paraId="4389C1B7" w14:textId="77777777" w:rsidR="00A71EEF" w:rsidRDefault="00A71EEF">
      <w:pPr>
        <w:pStyle w:val="a3"/>
        <w:rPr>
          <w:sz w:val="20"/>
        </w:rPr>
      </w:pPr>
    </w:p>
    <w:p w14:paraId="16D96798" w14:textId="77777777" w:rsidR="00A71EEF" w:rsidRDefault="00A71EEF">
      <w:pPr>
        <w:pStyle w:val="a3"/>
        <w:rPr>
          <w:sz w:val="20"/>
        </w:rPr>
      </w:pPr>
    </w:p>
    <w:p w14:paraId="2D67EB17" w14:textId="77777777" w:rsidR="00A71EEF" w:rsidRDefault="00A71EEF">
      <w:pPr>
        <w:pStyle w:val="a3"/>
        <w:rPr>
          <w:sz w:val="20"/>
        </w:rPr>
      </w:pPr>
    </w:p>
    <w:p w14:paraId="06B2A607" w14:textId="77777777" w:rsidR="00A71EEF" w:rsidRDefault="00A71EEF">
      <w:pPr>
        <w:pStyle w:val="a3"/>
        <w:spacing w:before="5"/>
        <w:rPr>
          <w:sz w:val="28"/>
        </w:rPr>
      </w:pPr>
    </w:p>
    <w:p w14:paraId="0E9817C3" w14:textId="77777777" w:rsidR="00A71EEF" w:rsidRDefault="0081115D">
      <w:pPr>
        <w:pStyle w:val="a3"/>
        <w:spacing w:before="72"/>
        <w:ind w:left="838"/>
      </w:pPr>
      <w:r>
        <w:t xml:space="preserve"> </w:t>
      </w:r>
    </w:p>
    <w:p w14:paraId="7BD456AC" w14:textId="77777777" w:rsidR="00A71EEF" w:rsidRDefault="00A71EEF">
      <w:pPr>
        <w:sectPr w:rsidR="00A71EEF">
          <w:footerReference w:type="default" r:id="rId515"/>
          <w:pgSz w:w="11910" w:h="16850"/>
          <w:pgMar w:top="1220" w:right="0" w:bottom="1420" w:left="1260" w:header="0" w:footer="1239" w:gutter="0"/>
          <w:pgNumType w:start="1550"/>
          <w:cols w:space="720"/>
        </w:sectPr>
      </w:pPr>
    </w:p>
    <w:p w14:paraId="1C0E0597" w14:textId="77777777" w:rsidR="00A71EEF" w:rsidRDefault="0081115D">
      <w:pPr>
        <w:pStyle w:val="a3"/>
        <w:ind w:left="292"/>
        <w:rPr>
          <w:sz w:val="20"/>
        </w:rPr>
      </w:pPr>
      <w:r>
        <w:rPr>
          <w:noProof/>
          <w:sz w:val="20"/>
        </w:rPr>
        <w:drawing>
          <wp:inline distT="0" distB="0" distL="0" distR="0" wp14:anchorId="36A34486" wp14:editId="308896FB">
            <wp:extent cx="5665988" cy="1905000"/>
            <wp:effectExtent l="0" t="0" r="0" b="0"/>
            <wp:docPr id="703" name="image4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image411.jpeg"/>
                    <pic:cNvPicPr/>
                  </pic:nvPicPr>
                  <pic:blipFill>
                    <a:blip r:embed="rId516" cstate="print"/>
                    <a:stretch>
                      <a:fillRect/>
                    </a:stretch>
                  </pic:blipFill>
                  <pic:spPr>
                    <a:xfrm>
                      <a:off x="0" y="0"/>
                      <a:ext cx="5665988" cy="1905000"/>
                    </a:xfrm>
                    <a:prstGeom prst="rect">
                      <a:avLst/>
                    </a:prstGeom>
                  </pic:spPr>
                </pic:pic>
              </a:graphicData>
            </a:graphic>
          </wp:inline>
        </w:drawing>
      </w:r>
    </w:p>
    <w:p w14:paraId="60F92421" w14:textId="77777777" w:rsidR="00A71EEF" w:rsidRDefault="00A71EEF">
      <w:pPr>
        <w:pStyle w:val="a3"/>
        <w:spacing w:before="2"/>
        <w:rPr>
          <w:sz w:val="8"/>
        </w:rPr>
      </w:pPr>
    </w:p>
    <w:p w14:paraId="50EC019F" w14:textId="77777777" w:rsidR="00A71EEF" w:rsidRDefault="0081115D">
      <w:pPr>
        <w:pStyle w:val="a3"/>
        <w:spacing w:before="72"/>
        <w:ind w:left="1373"/>
      </w:pPr>
      <w:r>
        <w:t>金属圆形风管、非金属风管允许的气体漏风量应为金属矩形风管规定值的</w:t>
      </w:r>
      <w:r>
        <w:t xml:space="preserve"> 50%</w:t>
      </w:r>
      <w:r>
        <w:t>；</w:t>
      </w:r>
      <w:r>
        <w:t xml:space="preserve"> </w:t>
      </w:r>
    </w:p>
    <w:p w14:paraId="0906FF5D" w14:textId="77777777" w:rsidR="00A71EEF" w:rsidRDefault="00A71EEF">
      <w:pPr>
        <w:pStyle w:val="a3"/>
        <w:rPr>
          <w:sz w:val="18"/>
        </w:rPr>
      </w:pPr>
    </w:p>
    <w:p w14:paraId="6C7F5B03" w14:textId="77777777" w:rsidR="00A71EEF" w:rsidRDefault="0081115D">
      <w:pPr>
        <w:pStyle w:val="a3"/>
        <w:ind w:left="838"/>
      </w:pPr>
      <w:r>
        <w:t>排烟风管应按中压系统风管的规定。</w:t>
      </w:r>
      <w:r>
        <w:t xml:space="preserve"> </w:t>
      </w:r>
    </w:p>
    <w:p w14:paraId="6CD38630" w14:textId="77777777" w:rsidR="00A71EEF" w:rsidRDefault="00A71EEF">
      <w:pPr>
        <w:pStyle w:val="a3"/>
        <w:spacing w:before="5"/>
        <w:rPr>
          <w:sz w:val="17"/>
        </w:rPr>
      </w:pPr>
    </w:p>
    <w:p w14:paraId="09CFC246" w14:textId="77777777" w:rsidR="00A71EEF" w:rsidRDefault="0081115D">
      <w:pPr>
        <w:pStyle w:val="a3"/>
        <w:ind w:left="838"/>
      </w:pPr>
      <w:r>
        <w:t>检查数量：按风管系统类别和材质分别抽查，不应少于</w:t>
      </w:r>
      <w:r>
        <w:t xml:space="preserve"> 3 </w:t>
      </w:r>
      <w:r>
        <w:t>件及</w:t>
      </w:r>
      <w:r>
        <w:t xml:space="preserve"> 15 m</w:t>
      </w:r>
      <w:r>
        <w:rPr>
          <w:position w:val="11"/>
          <w:sz w:val="11"/>
        </w:rPr>
        <w:t>2</w:t>
      </w:r>
      <w:r>
        <w:t>。</w:t>
      </w:r>
      <w:r>
        <w:t xml:space="preserve"> </w:t>
      </w:r>
    </w:p>
    <w:p w14:paraId="025C9B06" w14:textId="77777777" w:rsidR="00A71EEF" w:rsidRDefault="00A71EEF">
      <w:pPr>
        <w:pStyle w:val="a3"/>
        <w:spacing w:before="12"/>
        <w:rPr>
          <w:sz w:val="17"/>
        </w:rPr>
      </w:pPr>
    </w:p>
    <w:p w14:paraId="35B3F35F" w14:textId="77777777" w:rsidR="00A71EEF" w:rsidRDefault="0081115D">
      <w:pPr>
        <w:pStyle w:val="a3"/>
        <w:spacing w:line="446" w:lineRule="auto"/>
        <w:ind w:left="418" w:right="1609" w:firstLine="419"/>
      </w:pPr>
      <w:r>
        <w:t>检查方法：检查产品合格证明文件和测试报告或进行测试。系统的强度和漏风量测试方法按现行行业标准《通风管道技术规程》</w:t>
      </w:r>
      <w:r>
        <w:t xml:space="preserve">JGJ/T 141 </w:t>
      </w:r>
      <w:r>
        <w:t>的有关规定执行。</w:t>
      </w:r>
      <w:r>
        <w:t xml:space="preserve"> </w:t>
      </w:r>
    </w:p>
    <w:p w14:paraId="538C5436" w14:textId="77777777" w:rsidR="00A71EEF" w:rsidRDefault="0081115D">
      <w:pPr>
        <w:pStyle w:val="a4"/>
        <w:numPr>
          <w:ilvl w:val="2"/>
          <w:numId w:val="101"/>
        </w:numPr>
        <w:tabs>
          <w:tab w:val="left" w:pos="1370"/>
        </w:tabs>
        <w:ind w:hanging="530"/>
        <w:rPr>
          <w:sz w:val="21"/>
        </w:rPr>
      </w:pPr>
      <w:r>
        <w:rPr>
          <w:spacing w:val="-3"/>
          <w:sz w:val="21"/>
        </w:rPr>
        <w:t>风管的安装应符合下列规定：</w:t>
      </w:r>
      <w:r>
        <w:rPr>
          <w:sz w:val="21"/>
        </w:rPr>
        <w:t xml:space="preserve"> </w:t>
      </w:r>
    </w:p>
    <w:p w14:paraId="49877E26" w14:textId="77777777" w:rsidR="00A71EEF" w:rsidRDefault="00A71EEF">
      <w:pPr>
        <w:pStyle w:val="a3"/>
        <w:spacing w:before="12"/>
        <w:rPr>
          <w:sz w:val="17"/>
        </w:rPr>
      </w:pPr>
    </w:p>
    <w:p w14:paraId="6DFF4C2C" w14:textId="77777777" w:rsidR="00A71EEF" w:rsidRDefault="0081115D">
      <w:pPr>
        <w:pStyle w:val="a3"/>
        <w:spacing w:line="446" w:lineRule="auto"/>
        <w:ind w:left="418" w:right="1609" w:firstLine="419"/>
      </w:pPr>
      <w:r>
        <w:t>风管的规格、安装位置、标高、走向应符合设计要求，且现场风管的安装不得缩小接口的有效截面。</w:t>
      </w:r>
      <w:r>
        <w:t xml:space="preserve"> </w:t>
      </w:r>
    </w:p>
    <w:p w14:paraId="761A220D" w14:textId="77777777" w:rsidR="00A71EEF" w:rsidRDefault="0081115D">
      <w:pPr>
        <w:pStyle w:val="a3"/>
        <w:spacing w:before="1" w:line="446" w:lineRule="auto"/>
        <w:ind w:left="418" w:right="1498" w:firstLine="419"/>
      </w:pPr>
      <w:r>
        <w:t>风管接口的连接应严密、牢固，垫片厚度不应小于</w:t>
      </w:r>
      <w:r>
        <w:t xml:space="preserve"> 3 mm</w:t>
      </w:r>
      <w:r>
        <w:t>，不应凸入管内和法兰外；排烟风管法兰垫片应为不燃材料，薄钢板法兰风管应采用螺栓连接。</w:t>
      </w:r>
      <w:r>
        <w:t xml:space="preserve"> </w:t>
      </w:r>
    </w:p>
    <w:p w14:paraId="6399467B" w14:textId="77777777" w:rsidR="00A71EEF" w:rsidRDefault="0081115D">
      <w:pPr>
        <w:pStyle w:val="a3"/>
        <w:spacing w:line="446" w:lineRule="auto"/>
        <w:ind w:left="418" w:right="1497" w:firstLine="419"/>
      </w:pPr>
      <w:r>
        <w:t>风管吊、支架的安装应按现行国家标准《通风与空调工程施工质量验收规范》</w:t>
      </w:r>
      <w:r>
        <w:t xml:space="preserve">GB 50243 </w:t>
      </w:r>
      <w:r>
        <w:t>的有关规定执行。</w:t>
      </w:r>
      <w:r>
        <w:t xml:space="preserve"> </w:t>
      </w:r>
      <w:r>
        <w:t xml:space="preserve"> </w:t>
      </w:r>
    </w:p>
    <w:p w14:paraId="0A31BCF8" w14:textId="77777777" w:rsidR="00A71EEF" w:rsidRDefault="0081115D">
      <w:pPr>
        <w:pStyle w:val="a3"/>
        <w:spacing w:line="446" w:lineRule="auto"/>
        <w:ind w:left="418" w:right="1817" w:firstLine="419"/>
      </w:pPr>
      <w:r>
        <w:t>风管与风机的连接宜采用法兰连接，或采用不燃材料的柔性短管连接。当风机仅用于防烟、排烟时，不宜采用柔性连接。</w:t>
      </w:r>
      <w:r>
        <w:t xml:space="preserve"> </w:t>
      </w:r>
    </w:p>
    <w:p w14:paraId="312B393B" w14:textId="77777777" w:rsidR="00A71EEF" w:rsidRDefault="0081115D">
      <w:pPr>
        <w:pStyle w:val="a3"/>
        <w:ind w:left="838"/>
      </w:pPr>
      <w:r>
        <w:t>风管与风机连接若有转弯处宜加装导流叶片，保证气流顺畅。</w:t>
      </w:r>
      <w:r>
        <w:t xml:space="preserve"> </w:t>
      </w:r>
    </w:p>
    <w:p w14:paraId="623F5CAE" w14:textId="77777777" w:rsidR="00A71EEF" w:rsidRDefault="00A71EEF">
      <w:pPr>
        <w:pStyle w:val="a3"/>
        <w:spacing w:before="10"/>
        <w:rPr>
          <w:sz w:val="17"/>
        </w:rPr>
      </w:pPr>
    </w:p>
    <w:p w14:paraId="33D36DA8" w14:textId="77777777" w:rsidR="00A71EEF" w:rsidRDefault="0081115D">
      <w:pPr>
        <w:pStyle w:val="a3"/>
        <w:spacing w:line="446" w:lineRule="auto"/>
        <w:ind w:left="838" w:right="1505"/>
      </w:pPr>
      <w:r>
        <w:rPr>
          <w:spacing w:val="-3"/>
        </w:rPr>
        <w:t>当风管穿越隔墙或楼板时，风管与隔墙之间的空隙应采用水泥砂浆等不燃材料严密填塞。</w:t>
      </w:r>
      <w:r>
        <w:rPr>
          <w:spacing w:val="-5"/>
        </w:rPr>
        <w:t>吊顶内的排烟管</w:t>
      </w:r>
      <w:r>
        <w:rPr>
          <w:spacing w:val="-5"/>
        </w:rPr>
        <w:t>道应采用不燃材料隔热，并应与可燃物保持不小于</w:t>
      </w:r>
      <w:r>
        <w:rPr>
          <w:spacing w:val="-5"/>
        </w:rPr>
        <w:t xml:space="preserve"> </w:t>
      </w:r>
      <w:r>
        <w:t>150mm</w:t>
      </w:r>
      <w:r>
        <w:rPr>
          <w:spacing w:val="-12"/>
        </w:rPr>
        <w:t xml:space="preserve"> </w:t>
      </w:r>
      <w:r>
        <w:rPr>
          <w:spacing w:val="-12"/>
        </w:rPr>
        <w:t>的距离。</w:t>
      </w:r>
      <w:r>
        <w:rPr>
          <w:spacing w:val="-12"/>
        </w:rPr>
        <w:t xml:space="preserve"> </w:t>
      </w:r>
    </w:p>
    <w:p w14:paraId="512295D4" w14:textId="77777777" w:rsidR="00A71EEF" w:rsidRDefault="0081115D">
      <w:pPr>
        <w:pStyle w:val="a3"/>
        <w:ind w:left="838"/>
      </w:pPr>
      <w:r>
        <w:t>检查数量：各系统按不小于</w:t>
      </w:r>
      <w:r>
        <w:t xml:space="preserve"> 30%</w:t>
      </w:r>
      <w:r>
        <w:t>检查。</w:t>
      </w:r>
      <w:r>
        <w:t xml:space="preserve"> </w:t>
      </w:r>
    </w:p>
    <w:p w14:paraId="36DAD104" w14:textId="77777777" w:rsidR="00A71EEF" w:rsidRDefault="00A71EEF">
      <w:pPr>
        <w:pStyle w:val="a3"/>
        <w:spacing w:before="12"/>
        <w:rPr>
          <w:sz w:val="17"/>
        </w:rPr>
      </w:pPr>
    </w:p>
    <w:p w14:paraId="0391489E" w14:textId="77777777" w:rsidR="00A71EEF" w:rsidRDefault="0081115D">
      <w:pPr>
        <w:pStyle w:val="a3"/>
        <w:ind w:left="838"/>
      </w:pPr>
      <w:r>
        <w:t>检查方法：核对材料，尺量检查、直观检查。</w:t>
      </w:r>
      <w:r>
        <w:t xml:space="preserve"> </w:t>
      </w:r>
    </w:p>
    <w:p w14:paraId="779B97C8" w14:textId="77777777" w:rsidR="00A71EEF" w:rsidRDefault="00A71EEF">
      <w:pPr>
        <w:pStyle w:val="a3"/>
        <w:rPr>
          <w:sz w:val="18"/>
        </w:rPr>
      </w:pPr>
    </w:p>
    <w:p w14:paraId="271AD150" w14:textId="77777777" w:rsidR="00A71EEF" w:rsidRDefault="0081115D">
      <w:pPr>
        <w:pStyle w:val="a4"/>
        <w:numPr>
          <w:ilvl w:val="2"/>
          <w:numId w:val="101"/>
        </w:numPr>
        <w:tabs>
          <w:tab w:val="left" w:pos="1370"/>
        </w:tabs>
        <w:spacing w:line="446" w:lineRule="auto"/>
        <w:ind w:left="418" w:right="1604" w:firstLine="422"/>
        <w:rPr>
          <w:sz w:val="21"/>
        </w:rPr>
      </w:pPr>
      <w:r>
        <w:rPr>
          <w:spacing w:val="-2"/>
          <w:sz w:val="21"/>
        </w:rPr>
        <w:t>风管</w:t>
      </w:r>
      <w:r>
        <w:rPr>
          <w:spacing w:val="-3"/>
          <w:sz w:val="21"/>
        </w:rPr>
        <w:t>（</w:t>
      </w:r>
      <w:r>
        <w:rPr>
          <w:sz w:val="21"/>
        </w:rPr>
        <w:t>道</w:t>
      </w:r>
      <w:r>
        <w:rPr>
          <w:spacing w:val="-3"/>
          <w:sz w:val="21"/>
        </w:rPr>
        <w:t>）系统安装完毕后，应按系统类别进行严密性检验，检验应以主、干管道</w:t>
      </w:r>
      <w:r>
        <w:rPr>
          <w:spacing w:val="-6"/>
          <w:sz w:val="21"/>
        </w:rPr>
        <w:t>为主，漏风量应符合设计与本标准第</w:t>
      </w:r>
      <w:r>
        <w:rPr>
          <w:spacing w:val="-6"/>
          <w:sz w:val="21"/>
        </w:rPr>
        <w:t xml:space="preserve"> </w:t>
      </w:r>
      <w:r>
        <w:rPr>
          <w:sz w:val="21"/>
        </w:rPr>
        <w:t>6.3.3</w:t>
      </w:r>
      <w:r>
        <w:rPr>
          <w:spacing w:val="-11"/>
          <w:sz w:val="21"/>
        </w:rPr>
        <w:t xml:space="preserve"> </w:t>
      </w:r>
      <w:r>
        <w:rPr>
          <w:spacing w:val="-11"/>
          <w:sz w:val="21"/>
        </w:rPr>
        <w:t>条的规定。</w:t>
      </w:r>
      <w:r>
        <w:rPr>
          <w:sz w:val="21"/>
        </w:rPr>
        <w:t xml:space="preserve"> </w:t>
      </w:r>
    </w:p>
    <w:p w14:paraId="4ADCB511" w14:textId="77777777" w:rsidR="00A71EEF" w:rsidRDefault="0081115D">
      <w:pPr>
        <w:pStyle w:val="a3"/>
        <w:ind w:left="838"/>
      </w:pPr>
      <w:r>
        <w:t>检查数量：按系统不小于</w:t>
      </w:r>
      <w:r>
        <w:t xml:space="preserve"> 30%</w:t>
      </w:r>
      <w:r>
        <w:t>检查，且不应少于</w:t>
      </w:r>
      <w:r>
        <w:t xml:space="preserve"> 1 </w:t>
      </w:r>
      <w:r>
        <w:t>个系统。</w:t>
      </w:r>
      <w:r>
        <w:t xml:space="preserve"> </w:t>
      </w:r>
    </w:p>
    <w:p w14:paraId="101B2033" w14:textId="77777777" w:rsidR="00A71EEF" w:rsidRDefault="00A71EEF">
      <w:pPr>
        <w:sectPr w:rsidR="00A71EEF">
          <w:pgSz w:w="11910" w:h="16850"/>
          <w:pgMar w:top="1120" w:right="0" w:bottom="1420" w:left="1260" w:header="0" w:footer="1239" w:gutter="0"/>
          <w:cols w:space="720"/>
        </w:sectPr>
      </w:pPr>
    </w:p>
    <w:p w14:paraId="7BAF01E4" w14:textId="77777777" w:rsidR="00A71EEF" w:rsidRDefault="0081115D">
      <w:pPr>
        <w:pStyle w:val="a3"/>
        <w:spacing w:before="47"/>
        <w:ind w:left="838"/>
      </w:pPr>
      <w:r>
        <w:t>检查方法：系统的严密性检验测试按现行国家标准《通风与空调工程施工质量验收规范》</w:t>
      </w:r>
    </w:p>
    <w:p w14:paraId="03E87EF8" w14:textId="77777777" w:rsidR="00A71EEF" w:rsidRDefault="00A71EEF">
      <w:pPr>
        <w:pStyle w:val="a3"/>
        <w:rPr>
          <w:sz w:val="18"/>
        </w:rPr>
      </w:pPr>
    </w:p>
    <w:p w14:paraId="095B9C61" w14:textId="77777777" w:rsidR="00A71EEF" w:rsidRDefault="0081115D">
      <w:pPr>
        <w:pStyle w:val="a3"/>
        <w:spacing w:line="446" w:lineRule="auto"/>
        <w:ind w:left="840" w:right="7547" w:hanging="423"/>
      </w:pPr>
      <w:r>
        <w:t xml:space="preserve">GB 50243 </w:t>
      </w:r>
      <w:r>
        <w:t>的有关规定执行。</w:t>
      </w:r>
      <w:r>
        <w:rPr>
          <w:b/>
        </w:rPr>
        <w:t xml:space="preserve">6.4 </w:t>
      </w:r>
      <w:r>
        <w:t>部件安装</w:t>
      </w:r>
      <w:r>
        <w:t xml:space="preserve"> </w:t>
      </w:r>
    </w:p>
    <w:p w14:paraId="1A8AF621" w14:textId="77777777" w:rsidR="00A71EEF" w:rsidRDefault="0081115D">
      <w:pPr>
        <w:pStyle w:val="a4"/>
        <w:numPr>
          <w:ilvl w:val="2"/>
          <w:numId w:val="99"/>
        </w:numPr>
        <w:tabs>
          <w:tab w:val="left" w:pos="1370"/>
        </w:tabs>
        <w:ind w:hanging="530"/>
        <w:rPr>
          <w:sz w:val="21"/>
        </w:rPr>
      </w:pPr>
      <w:r>
        <w:rPr>
          <w:spacing w:val="-3"/>
          <w:sz w:val="21"/>
        </w:rPr>
        <w:t>排烟防火阀的安装应符合下列规定：</w:t>
      </w:r>
      <w:r>
        <w:rPr>
          <w:sz w:val="21"/>
        </w:rPr>
        <w:t xml:space="preserve"> </w:t>
      </w:r>
    </w:p>
    <w:p w14:paraId="60110F00" w14:textId="77777777" w:rsidR="00A71EEF" w:rsidRDefault="00A71EEF">
      <w:pPr>
        <w:pStyle w:val="a3"/>
        <w:spacing w:before="12"/>
        <w:rPr>
          <w:sz w:val="17"/>
        </w:rPr>
      </w:pPr>
    </w:p>
    <w:p w14:paraId="097969FD" w14:textId="77777777" w:rsidR="00A71EEF" w:rsidRDefault="0081115D">
      <w:pPr>
        <w:pStyle w:val="a3"/>
        <w:ind w:left="838"/>
      </w:pPr>
      <w:r>
        <w:t>型号、规格及安装的方向、位置应符合设计要求；</w:t>
      </w:r>
      <w:r>
        <w:t xml:space="preserve"> </w:t>
      </w:r>
    </w:p>
    <w:p w14:paraId="11E3D379" w14:textId="77777777" w:rsidR="00A71EEF" w:rsidRDefault="00A71EEF">
      <w:pPr>
        <w:pStyle w:val="a3"/>
        <w:rPr>
          <w:sz w:val="18"/>
        </w:rPr>
      </w:pPr>
    </w:p>
    <w:p w14:paraId="6C348426" w14:textId="77777777" w:rsidR="00A71EEF" w:rsidRDefault="0081115D">
      <w:pPr>
        <w:pStyle w:val="a3"/>
        <w:ind w:left="838"/>
      </w:pPr>
      <w:r>
        <w:t>阀门应顺气流方向关闭，防火分区隔墙两侧的排烟防火阀距墙端面不应大于</w:t>
      </w:r>
      <w:r>
        <w:t xml:space="preserve"> 200mm</w:t>
      </w:r>
      <w:r>
        <w:t>；</w:t>
      </w:r>
      <w:r>
        <w:t xml:space="preserve"> </w:t>
      </w:r>
    </w:p>
    <w:p w14:paraId="35BE92AD" w14:textId="77777777" w:rsidR="00A71EEF" w:rsidRDefault="00A71EEF">
      <w:pPr>
        <w:pStyle w:val="a3"/>
        <w:spacing w:before="2"/>
        <w:rPr>
          <w:sz w:val="18"/>
        </w:rPr>
      </w:pPr>
    </w:p>
    <w:p w14:paraId="6B0DCDD6" w14:textId="77777777" w:rsidR="00A71EEF" w:rsidRDefault="0081115D">
      <w:pPr>
        <w:pStyle w:val="a3"/>
        <w:ind w:left="838"/>
      </w:pPr>
      <w:r>
        <w:t>手动和电动装置应灵活、可靠，阀门关闭严密；</w:t>
      </w:r>
      <w:r>
        <w:t xml:space="preserve"> </w:t>
      </w:r>
    </w:p>
    <w:p w14:paraId="0B9E8687" w14:textId="77777777" w:rsidR="00A71EEF" w:rsidRDefault="00A71EEF">
      <w:pPr>
        <w:pStyle w:val="a3"/>
        <w:rPr>
          <w:sz w:val="18"/>
        </w:rPr>
      </w:pPr>
    </w:p>
    <w:p w14:paraId="5B9B9F37" w14:textId="77777777" w:rsidR="00A71EEF" w:rsidRDefault="0081115D">
      <w:pPr>
        <w:pStyle w:val="a3"/>
        <w:spacing w:line="446" w:lineRule="auto"/>
        <w:ind w:left="838" w:right="1925"/>
      </w:pPr>
      <w:r>
        <w:rPr>
          <w:spacing w:val="-3"/>
        </w:rPr>
        <w:t>应设独立的支、吊架，当风管采用不燃材料防火隔热时，阀门安装处应有明显标识。</w:t>
      </w:r>
      <w:r>
        <w:rPr>
          <w:spacing w:val="-7"/>
        </w:rPr>
        <w:t>检查数量：各系统按不小于</w:t>
      </w:r>
      <w:r>
        <w:rPr>
          <w:spacing w:val="-7"/>
        </w:rPr>
        <w:t xml:space="preserve"> </w:t>
      </w:r>
      <w:r>
        <w:t>30</w:t>
      </w:r>
      <w:r>
        <w:rPr>
          <w:spacing w:val="-2"/>
        </w:rPr>
        <w:t>%</w:t>
      </w:r>
      <w:r>
        <w:rPr>
          <w:spacing w:val="-2"/>
        </w:rPr>
        <w:t>检查。</w:t>
      </w:r>
      <w:r>
        <w:t xml:space="preserve"> </w:t>
      </w:r>
    </w:p>
    <w:p w14:paraId="7C37E754" w14:textId="77777777" w:rsidR="00A71EEF" w:rsidRDefault="0081115D">
      <w:pPr>
        <w:pStyle w:val="a3"/>
        <w:ind w:left="838"/>
      </w:pPr>
      <w:r>
        <w:t>检查方法：尺量检查、直观检查及动作检查。</w:t>
      </w:r>
      <w:r>
        <w:t xml:space="preserve"> </w:t>
      </w:r>
    </w:p>
    <w:p w14:paraId="07B2865E" w14:textId="77777777" w:rsidR="00A71EEF" w:rsidRDefault="00A71EEF">
      <w:pPr>
        <w:pStyle w:val="a3"/>
        <w:spacing w:before="12"/>
        <w:rPr>
          <w:sz w:val="17"/>
        </w:rPr>
      </w:pPr>
    </w:p>
    <w:p w14:paraId="66D97992" w14:textId="77777777" w:rsidR="00A71EEF" w:rsidRDefault="0081115D">
      <w:pPr>
        <w:pStyle w:val="a4"/>
        <w:numPr>
          <w:ilvl w:val="2"/>
          <w:numId w:val="99"/>
        </w:numPr>
        <w:tabs>
          <w:tab w:val="left" w:pos="1371"/>
        </w:tabs>
        <w:spacing w:line="446" w:lineRule="auto"/>
        <w:ind w:left="418" w:right="1604" w:firstLine="422"/>
        <w:rPr>
          <w:sz w:val="21"/>
        </w:rPr>
      </w:pPr>
      <w:r>
        <w:rPr>
          <w:spacing w:val="-3"/>
          <w:sz w:val="21"/>
        </w:rPr>
        <w:t>送风口、排烟阀或排烟口的安装位置应符合标准和设计要求，并应固定牢靠，表面</w:t>
      </w:r>
      <w:r>
        <w:rPr>
          <w:spacing w:val="-5"/>
          <w:sz w:val="21"/>
        </w:rPr>
        <w:t>平整、不变形，调节灵活；排烟口距可燃物或可燃构件的距离不应小于</w:t>
      </w:r>
      <w:r>
        <w:rPr>
          <w:spacing w:val="-5"/>
          <w:sz w:val="21"/>
        </w:rPr>
        <w:t xml:space="preserve"> </w:t>
      </w:r>
      <w:r>
        <w:rPr>
          <w:sz w:val="21"/>
        </w:rPr>
        <w:t>1.5m</w:t>
      </w:r>
      <w:r>
        <w:rPr>
          <w:sz w:val="21"/>
        </w:rPr>
        <w:t>。</w:t>
      </w:r>
      <w:r>
        <w:rPr>
          <w:sz w:val="21"/>
        </w:rPr>
        <w:t xml:space="preserve"> </w:t>
      </w:r>
    </w:p>
    <w:p w14:paraId="4019C36F" w14:textId="77777777" w:rsidR="00A71EEF" w:rsidRDefault="0081115D">
      <w:pPr>
        <w:pStyle w:val="a3"/>
        <w:ind w:left="838"/>
      </w:pPr>
      <w:r>
        <w:t>检查数量：各系统按不小于</w:t>
      </w:r>
      <w:r>
        <w:t xml:space="preserve"> 30%</w:t>
      </w:r>
      <w:r>
        <w:t>检查。</w:t>
      </w:r>
      <w:r>
        <w:t xml:space="preserve"> </w:t>
      </w:r>
    </w:p>
    <w:p w14:paraId="376B5AA8" w14:textId="77777777" w:rsidR="00A71EEF" w:rsidRDefault="00A71EEF">
      <w:pPr>
        <w:pStyle w:val="a3"/>
        <w:rPr>
          <w:sz w:val="18"/>
        </w:rPr>
      </w:pPr>
    </w:p>
    <w:p w14:paraId="2C81B700" w14:textId="77777777" w:rsidR="00A71EEF" w:rsidRDefault="0081115D">
      <w:pPr>
        <w:pStyle w:val="a3"/>
        <w:ind w:left="838"/>
      </w:pPr>
      <w:r>
        <w:t>检查方法：尺量检查、直观检查。</w:t>
      </w:r>
      <w:r>
        <w:t xml:space="preserve"> </w:t>
      </w:r>
    </w:p>
    <w:p w14:paraId="075637EC" w14:textId="77777777" w:rsidR="00A71EEF" w:rsidRDefault="00A71EEF">
      <w:pPr>
        <w:pStyle w:val="a3"/>
        <w:spacing w:before="12"/>
        <w:rPr>
          <w:sz w:val="17"/>
        </w:rPr>
      </w:pPr>
    </w:p>
    <w:p w14:paraId="11ABFFB3" w14:textId="77777777" w:rsidR="00A71EEF" w:rsidRDefault="0081115D">
      <w:pPr>
        <w:pStyle w:val="a4"/>
        <w:numPr>
          <w:ilvl w:val="2"/>
          <w:numId w:val="99"/>
        </w:numPr>
        <w:tabs>
          <w:tab w:val="left" w:pos="1370"/>
        </w:tabs>
        <w:ind w:hanging="530"/>
        <w:rPr>
          <w:sz w:val="21"/>
        </w:rPr>
      </w:pPr>
      <w:r>
        <w:rPr>
          <w:spacing w:val="-3"/>
          <w:sz w:val="21"/>
        </w:rPr>
        <w:t>常闭送风口、排烟阀或排烟口的手动驱动装置应固定安装在明显可见、距楼地面</w:t>
      </w:r>
    </w:p>
    <w:p w14:paraId="0E7D3AE4" w14:textId="77777777" w:rsidR="00A71EEF" w:rsidRDefault="00A71EEF">
      <w:pPr>
        <w:pStyle w:val="a3"/>
        <w:spacing w:before="2"/>
        <w:rPr>
          <w:sz w:val="18"/>
        </w:rPr>
      </w:pPr>
    </w:p>
    <w:p w14:paraId="7548ED87" w14:textId="77777777" w:rsidR="00A71EEF" w:rsidRDefault="0081115D">
      <w:pPr>
        <w:pStyle w:val="a3"/>
        <w:spacing w:line="446" w:lineRule="auto"/>
        <w:ind w:left="838" w:right="1767" w:hanging="420"/>
      </w:pPr>
      <w:r>
        <w:t>1.3</w:t>
      </w:r>
      <w:r>
        <w:t>～</w:t>
      </w:r>
      <w:r>
        <w:t>1.5m</w:t>
      </w:r>
      <w:r>
        <w:rPr>
          <w:spacing w:val="-8"/>
        </w:rPr>
        <w:t xml:space="preserve"> </w:t>
      </w:r>
      <w:r>
        <w:rPr>
          <w:spacing w:val="-8"/>
        </w:rPr>
        <w:t>之间便于操作的位置，预埋套管不得有死弯及瘪陷，手动驱动装置操作应灵活。</w:t>
      </w:r>
      <w:r>
        <w:rPr>
          <w:spacing w:val="-9"/>
        </w:rPr>
        <w:t>检查数量：各系统按不小于</w:t>
      </w:r>
      <w:r>
        <w:rPr>
          <w:spacing w:val="-9"/>
        </w:rPr>
        <w:t xml:space="preserve"> </w:t>
      </w:r>
      <w:r>
        <w:t>30</w:t>
      </w:r>
      <w:r>
        <w:rPr>
          <w:spacing w:val="-2"/>
        </w:rPr>
        <w:t>%</w:t>
      </w:r>
      <w:r>
        <w:rPr>
          <w:spacing w:val="-2"/>
        </w:rPr>
        <w:t>检查。</w:t>
      </w:r>
      <w:r>
        <w:t xml:space="preserve"> </w:t>
      </w:r>
    </w:p>
    <w:p w14:paraId="09CD56CC" w14:textId="77777777" w:rsidR="00A71EEF" w:rsidRDefault="0081115D">
      <w:pPr>
        <w:pStyle w:val="a3"/>
        <w:spacing w:line="446" w:lineRule="auto"/>
        <w:ind w:left="840" w:right="5497" w:hanging="3"/>
      </w:pPr>
      <w:r>
        <w:t>检查方法：尺量检查、直观检查及操作检查。</w:t>
      </w:r>
      <w:r>
        <w:rPr>
          <w:b/>
        </w:rPr>
        <w:t xml:space="preserve">6.4.4 </w:t>
      </w:r>
      <w:r>
        <w:t>挡烟垂壁的安装应符合下列规定：</w:t>
      </w:r>
      <w:r>
        <w:t xml:space="preserve"> </w:t>
      </w:r>
    </w:p>
    <w:p w14:paraId="2587823D" w14:textId="77777777" w:rsidR="00A71EEF" w:rsidRDefault="0081115D">
      <w:pPr>
        <w:pStyle w:val="a3"/>
        <w:ind w:left="838"/>
      </w:pPr>
      <w:r>
        <w:t>型号、规格、下垂的长度和安装位置应符合设计要求；</w:t>
      </w:r>
      <w:r>
        <w:t xml:space="preserve"> </w:t>
      </w:r>
    </w:p>
    <w:p w14:paraId="5A9C257E" w14:textId="77777777" w:rsidR="00A71EEF" w:rsidRDefault="00A71EEF">
      <w:pPr>
        <w:pStyle w:val="a3"/>
        <w:spacing w:before="10"/>
        <w:rPr>
          <w:sz w:val="17"/>
        </w:rPr>
      </w:pPr>
    </w:p>
    <w:p w14:paraId="3357299E" w14:textId="77777777" w:rsidR="00A71EEF" w:rsidRDefault="0081115D">
      <w:pPr>
        <w:pStyle w:val="a3"/>
        <w:spacing w:before="1" w:line="446" w:lineRule="auto"/>
        <w:ind w:left="418" w:right="1498" w:firstLine="419"/>
      </w:pPr>
      <w:r>
        <w:t>活动挡烟垂壁与建筑结构（柱或墙）面的缝隙不应大于</w:t>
      </w:r>
      <w:r>
        <w:t xml:space="preserve"> 60mm</w:t>
      </w:r>
      <w:r>
        <w:t>，由两块或两块以上的挡烟垂帘组成的连续性挡烟垂壁，各块之间不应有缝隙，搭接宽度不应小于</w:t>
      </w:r>
      <w:r>
        <w:t xml:space="preserve"> 100mm</w:t>
      </w:r>
      <w:r>
        <w:t>；</w:t>
      </w:r>
      <w:r>
        <w:t xml:space="preserve"> </w:t>
      </w:r>
    </w:p>
    <w:p w14:paraId="31E459E2" w14:textId="77777777" w:rsidR="00A71EEF" w:rsidRDefault="0081115D">
      <w:pPr>
        <w:pStyle w:val="a3"/>
        <w:spacing w:line="446" w:lineRule="auto"/>
        <w:ind w:left="418" w:right="1609" w:firstLine="419"/>
      </w:pPr>
      <w:r>
        <w:rPr>
          <w:spacing w:val="-5"/>
        </w:rPr>
        <w:t>活动挡烟垂壁的手动操作按钮应固定安装在距楼地面</w:t>
      </w:r>
      <w:r>
        <w:rPr>
          <w:spacing w:val="-5"/>
        </w:rPr>
        <w:t xml:space="preserve"> </w:t>
      </w:r>
      <w:r>
        <w:t>1.3m~1.5m</w:t>
      </w:r>
      <w:r>
        <w:rPr>
          <w:spacing w:val="-7"/>
        </w:rPr>
        <w:t xml:space="preserve"> </w:t>
      </w:r>
      <w:r>
        <w:rPr>
          <w:spacing w:val="-7"/>
        </w:rPr>
        <w:t>之间便于操作、明显可见</w:t>
      </w:r>
      <w:r>
        <w:rPr>
          <w:spacing w:val="-5"/>
        </w:rPr>
        <w:t>处。</w:t>
      </w:r>
      <w:r>
        <w:t xml:space="preserve"> </w:t>
      </w:r>
    </w:p>
    <w:p w14:paraId="2058F185" w14:textId="77777777" w:rsidR="00A71EEF" w:rsidRDefault="0081115D">
      <w:pPr>
        <w:pStyle w:val="a3"/>
        <w:ind w:left="838"/>
      </w:pPr>
      <w:r>
        <w:t>检查数量：全数检查。</w:t>
      </w:r>
      <w:r>
        <w:t xml:space="preserve"> </w:t>
      </w:r>
    </w:p>
    <w:p w14:paraId="0F363A8F" w14:textId="77777777" w:rsidR="00A71EEF" w:rsidRDefault="00A71EEF">
      <w:pPr>
        <w:pStyle w:val="a3"/>
        <w:spacing w:before="12"/>
        <w:rPr>
          <w:sz w:val="17"/>
        </w:rPr>
      </w:pPr>
    </w:p>
    <w:p w14:paraId="2E713F1D" w14:textId="77777777" w:rsidR="00A71EEF" w:rsidRDefault="0081115D">
      <w:pPr>
        <w:pStyle w:val="a3"/>
        <w:spacing w:line="446" w:lineRule="auto"/>
        <w:ind w:left="840" w:right="4866" w:hanging="3"/>
      </w:pPr>
      <w:r>
        <w:t>检查方法：依据设计图核对，尺量检查、动作检查。</w:t>
      </w:r>
      <w:r>
        <w:rPr>
          <w:b/>
        </w:rPr>
        <w:t xml:space="preserve">6.4.5 </w:t>
      </w:r>
      <w:r>
        <w:t>排烟窗的安装应符合下列规定：</w:t>
      </w:r>
      <w:r>
        <w:t xml:space="preserve"> </w:t>
      </w:r>
    </w:p>
    <w:p w14:paraId="498F1A18" w14:textId="77777777" w:rsidR="00A71EEF" w:rsidRDefault="0081115D">
      <w:pPr>
        <w:pStyle w:val="a3"/>
        <w:ind w:left="838"/>
      </w:pPr>
      <w:r>
        <w:t>型号、规格和安装位置应符合设计要求；</w:t>
      </w:r>
      <w:r>
        <w:t xml:space="preserve"> </w:t>
      </w:r>
    </w:p>
    <w:p w14:paraId="11E8ED67" w14:textId="77777777" w:rsidR="00A71EEF" w:rsidRDefault="00A71EEF">
      <w:pPr>
        <w:sectPr w:rsidR="00A71EEF">
          <w:pgSz w:w="11910" w:h="16850"/>
          <w:pgMar w:top="1220" w:right="0" w:bottom="1420" w:left="1260" w:header="0" w:footer="1239" w:gutter="0"/>
          <w:cols w:space="720"/>
        </w:sectPr>
      </w:pPr>
    </w:p>
    <w:p w14:paraId="2FE8445D" w14:textId="77777777" w:rsidR="00A71EEF" w:rsidRDefault="0081115D">
      <w:pPr>
        <w:pStyle w:val="a3"/>
        <w:spacing w:before="47"/>
        <w:ind w:left="838"/>
      </w:pPr>
      <w:r>
        <w:t>安装应牢固、可靠，符合有关门窗施工验收规范要求，并应开启、关闭灵活；</w:t>
      </w:r>
      <w:r>
        <w:t xml:space="preserve"> </w:t>
      </w:r>
    </w:p>
    <w:p w14:paraId="7C93633F" w14:textId="77777777" w:rsidR="00A71EEF" w:rsidRDefault="00A71EEF">
      <w:pPr>
        <w:pStyle w:val="a3"/>
        <w:rPr>
          <w:sz w:val="18"/>
        </w:rPr>
      </w:pPr>
    </w:p>
    <w:p w14:paraId="3D536252" w14:textId="77777777" w:rsidR="00A71EEF" w:rsidRDefault="0081115D">
      <w:pPr>
        <w:pStyle w:val="a3"/>
        <w:spacing w:line="446" w:lineRule="auto"/>
        <w:ind w:left="838" w:right="1508"/>
      </w:pPr>
      <w:r>
        <w:rPr>
          <w:spacing w:val="-6"/>
        </w:rPr>
        <w:t>手动开启机构或按钮应固定安装在距楼地面</w:t>
      </w:r>
      <w:r>
        <w:rPr>
          <w:spacing w:val="-6"/>
        </w:rPr>
        <w:t xml:space="preserve"> </w:t>
      </w:r>
      <w:r>
        <w:t>1.3</w:t>
      </w:r>
      <w:r>
        <w:t>～</w:t>
      </w:r>
      <w:r>
        <w:t>1.5m</w:t>
      </w:r>
      <w:r>
        <w:rPr>
          <w:spacing w:val="-8"/>
        </w:rPr>
        <w:t xml:space="preserve"> </w:t>
      </w:r>
      <w:r>
        <w:rPr>
          <w:spacing w:val="-8"/>
        </w:rPr>
        <w:t>之间，并应便于操作、明显可见；</w:t>
      </w:r>
      <w:r>
        <w:rPr>
          <w:spacing w:val="-8"/>
        </w:rPr>
        <w:t xml:space="preserve"> </w:t>
      </w:r>
      <w:r>
        <w:rPr>
          <w:spacing w:val="-3"/>
        </w:rPr>
        <w:t>自动排烟窗驱动装置的安装应符合设计和产品技术文件要求，并应灵活、可靠。</w:t>
      </w:r>
      <w:r>
        <w:rPr>
          <w:spacing w:val="-3"/>
        </w:rPr>
        <w:t xml:space="preserve"> </w:t>
      </w:r>
    </w:p>
    <w:p w14:paraId="42EFB623" w14:textId="77777777" w:rsidR="00A71EEF" w:rsidRDefault="0081115D">
      <w:pPr>
        <w:pStyle w:val="a3"/>
        <w:ind w:left="838"/>
      </w:pPr>
      <w:r>
        <w:t>检查数量：全数检查。</w:t>
      </w:r>
      <w:r>
        <w:t xml:space="preserve"> </w:t>
      </w:r>
    </w:p>
    <w:p w14:paraId="012B2819" w14:textId="77777777" w:rsidR="00A71EEF" w:rsidRDefault="00A71EEF">
      <w:pPr>
        <w:pStyle w:val="a3"/>
        <w:spacing w:before="12"/>
        <w:rPr>
          <w:sz w:val="17"/>
        </w:rPr>
      </w:pPr>
    </w:p>
    <w:p w14:paraId="6FADF037" w14:textId="77777777" w:rsidR="00A71EEF" w:rsidRDefault="0081115D">
      <w:pPr>
        <w:pStyle w:val="a3"/>
        <w:ind w:left="838"/>
      </w:pPr>
      <w:r>
        <w:t>检查方法：依据设计图核对，操作检查、动作检查。</w:t>
      </w:r>
      <w:r>
        <w:t xml:space="preserve">6.5 </w:t>
      </w:r>
      <w:r>
        <w:t>风机安装</w:t>
      </w:r>
      <w:r>
        <w:t xml:space="preserve"> </w:t>
      </w:r>
    </w:p>
    <w:p w14:paraId="7EE56377" w14:textId="77777777" w:rsidR="00A71EEF" w:rsidRDefault="00A71EEF">
      <w:pPr>
        <w:pStyle w:val="a3"/>
        <w:rPr>
          <w:sz w:val="18"/>
        </w:rPr>
      </w:pPr>
    </w:p>
    <w:p w14:paraId="4125D0C7" w14:textId="77777777" w:rsidR="00A71EEF" w:rsidRDefault="0081115D">
      <w:pPr>
        <w:pStyle w:val="a4"/>
        <w:numPr>
          <w:ilvl w:val="2"/>
          <w:numId w:val="98"/>
        </w:numPr>
        <w:tabs>
          <w:tab w:val="left" w:pos="1371"/>
        </w:tabs>
        <w:spacing w:line="446" w:lineRule="auto"/>
        <w:ind w:right="1604" w:firstLine="422"/>
        <w:rPr>
          <w:sz w:val="21"/>
        </w:rPr>
      </w:pPr>
      <w:r>
        <w:rPr>
          <w:spacing w:val="-3"/>
          <w:sz w:val="21"/>
        </w:rPr>
        <w:t>风机的型号、规</w:t>
      </w:r>
      <w:r>
        <w:rPr>
          <w:spacing w:val="-3"/>
          <w:sz w:val="21"/>
        </w:rPr>
        <w:t>格应符合设计规定，其出口方向应正确，排烟风机的出口与加压送</w:t>
      </w:r>
      <w:r>
        <w:rPr>
          <w:spacing w:val="-6"/>
          <w:sz w:val="21"/>
        </w:rPr>
        <w:t>风机的进口之间的距离应符合本标准第</w:t>
      </w:r>
      <w:r>
        <w:rPr>
          <w:spacing w:val="-6"/>
          <w:sz w:val="21"/>
        </w:rPr>
        <w:t xml:space="preserve"> </w:t>
      </w:r>
      <w:r>
        <w:rPr>
          <w:sz w:val="21"/>
        </w:rPr>
        <w:t>3.3.5</w:t>
      </w:r>
      <w:r>
        <w:rPr>
          <w:spacing w:val="-11"/>
          <w:sz w:val="21"/>
        </w:rPr>
        <w:t xml:space="preserve"> </w:t>
      </w:r>
      <w:r>
        <w:rPr>
          <w:spacing w:val="-11"/>
          <w:sz w:val="21"/>
        </w:rPr>
        <w:t>条的规定。</w:t>
      </w:r>
      <w:r>
        <w:rPr>
          <w:sz w:val="21"/>
        </w:rPr>
        <w:t xml:space="preserve"> </w:t>
      </w:r>
    </w:p>
    <w:p w14:paraId="62C74891" w14:textId="77777777" w:rsidR="00A71EEF" w:rsidRDefault="0081115D">
      <w:pPr>
        <w:pStyle w:val="a3"/>
        <w:ind w:left="838"/>
      </w:pPr>
      <w:r>
        <w:t>检查数量：全数检查。</w:t>
      </w:r>
      <w:r>
        <w:t xml:space="preserve"> </w:t>
      </w:r>
    </w:p>
    <w:p w14:paraId="1237E08F" w14:textId="77777777" w:rsidR="00A71EEF" w:rsidRDefault="00A71EEF">
      <w:pPr>
        <w:pStyle w:val="a3"/>
        <w:rPr>
          <w:sz w:val="18"/>
        </w:rPr>
      </w:pPr>
    </w:p>
    <w:p w14:paraId="04AE876C" w14:textId="77777777" w:rsidR="00A71EEF" w:rsidRDefault="0081115D">
      <w:pPr>
        <w:pStyle w:val="a3"/>
        <w:ind w:left="838"/>
      </w:pPr>
      <w:r>
        <w:t>检查方法：依据设计图核对、直观检查。</w:t>
      </w:r>
      <w:r>
        <w:t xml:space="preserve"> </w:t>
      </w:r>
    </w:p>
    <w:p w14:paraId="368DF9ED" w14:textId="77777777" w:rsidR="00A71EEF" w:rsidRDefault="00A71EEF">
      <w:pPr>
        <w:pStyle w:val="a3"/>
        <w:spacing w:before="2"/>
        <w:rPr>
          <w:sz w:val="18"/>
        </w:rPr>
      </w:pPr>
    </w:p>
    <w:p w14:paraId="7FB9BBB5" w14:textId="77777777" w:rsidR="00A71EEF" w:rsidRDefault="0081115D">
      <w:pPr>
        <w:pStyle w:val="a4"/>
        <w:numPr>
          <w:ilvl w:val="2"/>
          <w:numId w:val="98"/>
        </w:numPr>
        <w:tabs>
          <w:tab w:val="left" w:pos="1370"/>
        </w:tabs>
        <w:ind w:left="1369" w:hanging="530"/>
        <w:rPr>
          <w:sz w:val="21"/>
        </w:rPr>
      </w:pPr>
      <w:r>
        <w:rPr>
          <w:spacing w:val="-6"/>
          <w:sz w:val="21"/>
        </w:rPr>
        <w:t>风机外壳至墙壁或其他设备的距离不应小于</w:t>
      </w:r>
      <w:r>
        <w:rPr>
          <w:spacing w:val="-6"/>
          <w:sz w:val="21"/>
        </w:rPr>
        <w:t xml:space="preserve"> </w:t>
      </w:r>
      <w:r>
        <w:rPr>
          <w:sz w:val="21"/>
        </w:rPr>
        <w:t>600mm</w:t>
      </w:r>
      <w:r>
        <w:rPr>
          <w:spacing w:val="-3"/>
          <w:sz w:val="21"/>
        </w:rPr>
        <w:t>。</w:t>
      </w:r>
      <w:r>
        <w:rPr>
          <w:sz w:val="21"/>
        </w:rPr>
        <w:t xml:space="preserve"> </w:t>
      </w:r>
    </w:p>
    <w:p w14:paraId="1362FAF4" w14:textId="77777777" w:rsidR="00A71EEF" w:rsidRDefault="00A71EEF">
      <w:pPr>
        <w:pStyle w:val="a3"/>
        <w:spacing w:before="12"/>
        <w:rPr>
          <w:sz w:val="17"/>
        </w:rPr>
      </w:pPr>
    </w:p>
    <w:p w14:paraId="57422134" w14:textId="77777777" w:rsidR="00A71EEF" w:rsidRDefault="0081115D">
      <w:pPr>
        <w:pStyle w:val="a3"/>
        <w:ind w:left="838"/>
      </w:pPr>
      <w:r>
        <w:t>检查数量：全数检查。</w:t>
      </w:r>
      <w:r>
        <w:t xml:space="preserve"> </w:t>
      </w:r>
    </w:p>
    <w:p w14:paraId="1F00BB6F" w14:textId="77777777" w:rsidR="00A71EEF" w:rsidRDefault="00A71EEF">
      <w:pPr>
        <w:pStyle w:val="a3"/>
        <w:spacing w:before="12"/>
        <w:rPr>
          <w:sz w:val="17"/>
        </w:rPr>
      </w:pPr>
    </w:p>
    <w:p w14:paraId="7A23483E" w14:textId="77777777" w:rsidR="00A71EEF" w:rsidRDefault="0081115D">
      <w:pPr>
        <w:pStyle w:val="a3"/>
        <w:spacing w:before="1"/>
        <w:ind w:left="838"/>
      </w:pPr>
      <w:r>
        <w:t>检查方法：依据设计图核对、直观检查。</w:t>
      </w:r>
      <w:r>
        <w:t xml:space="preserve"> </w:t>
      </w:r>
    </w:p>
    <w:p w14:paraId="36977832" w14:textId="77777777" w:rsidR="00A71EEF" w:rsidRDefault="00A71EEF">
      <w:pPr>
        <w:pStyle w:val="a3"/>
        <w:spacing w:before="1"/>
        <w:rPr>
          <w:sz w:val="18"/>
        </w:rPr>
      </w:pPr>
    </w:p>
    <w:p w14:paraId="6BEAF1CD" w14:textId="77777777" w:rsidR="00A71EEF" w:rsidRDefault="0081115D">
      <w:pPr>
        <w:pStyle w:val="a4"/>
        <w:numPr>
          <w:ilvl w:val="2"/>
          <w:numId w:val="98"/>
        </w:numPr>
        <w:tabs>
          <w:tab w:val="left" w:pos="1371"/>
        </w:tabs>
        <w:spacing w:line="446" w:lineRule="auto"/>
        <w:ind w:right="1604" w:firstLine="422"/>
        <w:rPr>
          <w:sz w:val="21"/>
        </w:rPr>
      </w:pPr>
      <w:r>
        <w:rPr>
          <w:spacing w:val="-3"/>
          <w:sz w:val="21"/>
        </w:rPr>
        <w:t>风机应设在混凝土或钢架基础上，且不应设置减振装置；若排烟系统与通风空调系统共用且需要设置减振装置时，不应使用橡胶减振装置。</w:t>
      </w:r>
      <w:r>
        <w:rPr>
          <w:sz w:val="21"/>
        </w:rPr>
        <w:t xml:space="preserve"> </w:t>
      </w:r>
    </w:p>
    <w:p w14:paraId="2F4B24EF" w14:textId="77777777" w:rsidR="00A71EEF" w:rsidRDefault="0081115D">
      <w:pPr>
        <w:pStyle w:val="a3"/>
        <w:spacing w:line="267" w:lineRule="exact"/>
        <w:ind w:left="838"/>
      </w:pPr>
      <w:r>
        <w:t>检查数量：全数检查。</w:t>
      </w:r>
      <w:r>
        <w:t xml:space="preserve"> </w:t>
      </w:r>
    </w:p>
    <w:p w14:paraId="70D4A82F" w14:textId="77777777" w:rsidR="00A71EEF" w:rsidRDefault="00A71EEF">
      <w:pPr>
        <w:pStyle w:val="a3"/>
        <w:spacing w:before="2"/>
        <w:rPr>
          <w:sz w:val="18"/>
        </w:rPr>
      </w:pPr>
    </w:p>
    <w:p w14:paraId="2944F83B" w14:textId="77777777" w:rsidR="00A71EEF" w:rsidRDefault="0081115D">
      <w:pPr>
        <w:pStyle w:val="a3"/>
        <w:ind w:left="838"/>
      </w:pPr>
      <w:r>
        <w:t>检查方法：依据设计图核对、直观检查。</w:t>
      </w:r>
      <w:r>
        <w:t xml:space="preserve"> </w:t>
      </w:r>
    </w:p>
    <w:p w14:paraId="55F3AB4D" w14:textId="77777777" w:rsidR="00A71EEF" w:rsidRDefault="00A71EEF">
      <w:pPr>
        <w:pStyle w:val="a3"/>
        <w:rPr>
          <w:sz w:val="18"/>
        </w:rPr>
      </w:pPr>
    </w:p>
    <w:p w14:paraId="7FFF87D4" w14:textId="77777777" w:rsidR="00A71EEF" w:rsidRDefault="0081115D">
      <w:pPr>
        <w:pStyle w:val="a4"/>
        <w:numPr>
          <w:ilvl w:val="2"/>
          <w:numId w:val="98"/>
        </w:numPr>
        <w:tabs>
          <w:tab w:val="left" w:pos="1370"/>
        </w:tabs>
        <w:spacing w:line="446" w:lineRule="auto"/>
        <w:ind w:right="1604" w:firstLine="422"/>
        <w:rPr>
          <w:sz w:val="21"/>
        </w:rPr>
      </w:pPr>
      <w:r>
        <w:rPr>
          <w:spacing w:val="-3"/>
          <w:sz w:val="21"/>
        </w:rPr>
        <w:t>吊装风机的支、吊架应焊接牢固、安装可靠，其结构形式和外形尺寸应符合设计或设备技术文件要求。</w:t>
      </w:r>
      <w:r>
        <w:rPr>
          <w:sz w:val="21"/>
        </w:rPr>
        <w:t xml:space="preserve"> </w:t>
      </w:r>
    </w:p>
    <w:p w14:paraId="090ACE93" w14:textId="77777777" w:rsidR="00A71EEF" w:rsidRDefault="0081115D">
      <w:pPr>
        <w:pStyle w:val="a3"/>
        <w:ind w:left="838"/>
      </w:pPr>
      <w:r>
        <w:t>检查数量：全数检查。</w:t>
      </w:r>
      <w:r>
        <w:t xml:space="preserve"> </w:t>
      </w:r>
      <w:r>
        <w:t xml:space="preserve"> </w:t>
      </w:r>
    </w:p>
    <w:p w14:paraId="7EA388EF" w14:textId="77777777" w:rsidR="00A71EEF" w:rsidRDefault="00A71EEF">
      <w:pPr>
        <w:pStyle w:val="a3"/>
        <w:rPr>
          <w:sz w:val="18"/>
        </w:rPr>
      </w:pPr>
    </w:p>
    <w:p w14:paraId="62C9271E" w14:textId="77777777" w:rsidR="00A71EEF" w:rsidRDefault="0081115D">
      <w:pPr>
        <w:pStyle w:val="a3"/>
        <w:ind w:left="838"/>
      </w:pPr>
      <w:r>
        <w:t>检查方法：依据设计图核对、直观检查。</w:t>
      </w:r>
      <w:r>
        <w:t xml:space="preserve"> </w:t>
      </w:r>
    </w:p>
    <w:p w14:paraId="59EE921F" w14:textId="77777777" w:rsidR="00A71EEF" w:rsidRDefault="00A71EEF">
      <w:pPr>
        <w:pStyle w:val="a3"/>
        <w:spacing w:before="12"/>
        <w:rPr>
          <w:sz w:val="17"/>
        </w:rPr>
      </w:pPr>
    </w:p>
    <w:p w14:paraId="3068A281" w14:textId="77777777" w:rsidR="00A71EEF" w:rsidRDefault="0081115D">
      <w:pPr>
        <w:pStyle w:val="a4"/>
        <w:numPr>
          <w:ilvl w:val="2"/>
          <w:numId w:val="98"/>
        </w:numPr>
        <w:tabs>
          <w:tab w:val="left" w:pos="1370"/>
        </w:tabs>
        <w:spacing w:line="446" w:lineRule="auto"/>
        <w:ind w:right="1604" w:firstLine="422"/>
        <w:rPr>
          <w:sz w:val="21"/>
        </w:rPr>
      </w:pPr>
      <w:r>
        <w:rPr>
          <w:spacing w:val="-3"/>
          <w:sz w:val="21"/>
        </w:rPr>
        <w:t>风机驱动装置的外露部位应装设防护罩；直通大气的进、出风口应装设防护网或采取其他安全设施，并应设防雨措施。</w:t>
      </w:r>
      <w:r>
        <w:rPr>
          <w:sz w:val="21"/>
        </w:rPr>
        <w:t xml:space="preserve"> </w:t>
      </w:r>
    </w:p>
    <w:p w14:paraId="392EF047" w14:textId="77777777" w:rsidR="00A71EEF" w:rsidRDefault="0081115D">
      <w:pPr>
        <w:pStyle w:val="a3"/>
        <w:ind w:left="838"/>
      </w:pPr>
      <w:r>
        <w:t>检查数量：全数检查。</w:t>
      </w:r>
      <w:r>
        <w:t xml:space="preserve"> </w:t>
      </w:r>
    </w:p>
    <w:p w14:paraId="58C49D39" w14:textId="77777777" w:rsidR="00A71EEF" w:rsidRDefault="00A71EEF">
      <w:pPr>
        <w:pStyle w:val="a3"/>
        <w:spacing w:before="12"/>
        <w:rPr>
          <w:sz w:val="17"/>
        </w:rPr>
      </w:pPr>
    </w:p>
    <w:p w14:paraId="09D06DD9" w14:textId="77777777" w:rsidR="00A71EEF" w:rsidRDefault="0081115D">
      <w:pPr>
        <w:pStyle w:val="a3"/>
        <w:ind w:left="838"/>
      </w:pPr>
      <w:r>
        <w:t>检查方法：依据设计图</w:t>
      </w:r>
      <w:r>
        <w:t>核对、直观检查。</w:t>
      </w:r>
      <w:r>
        <w:t xml:space="preserve"> </w:t>
      </w:r>
    </w:p>
    <w:p w14:paraId="1C12E504" w14:textId="77777777" w:rsidR="00A71EEF" w:rsidRDefault="00A71EEF">
      <w:pPr>
        <w:pStyle w:val="a3"/>
        <w:spacing w:before="11"/>
        <w:rPr>
          <w:sz w:val="15"/>
        </w:rPr>
      </w:pPr>
    </w:p>
    <w:p w14:paraId="1BE8935C" w14:textId="77777777" w:rsidR="00A71EEF" w:rsidRDefault="0081115D">
      <w:pPr>
        <w:pStyle w:val="4"/>
      </w:pPr>
      <w:r>
        <w:t xml:space="preserve">7 </w:t>
      </w:r>
      <w:r>
        <w:t>系统调试</w:t>
      </w:r>
      <w:r>
        <w:rPr>
          <w:w w:val="99"/>
        </w:rPr>
        <w:t xml:space="preserve"> </w:t>
      </w:r>
    </w:p>
    <w:p w14:paraId="446A0025" w14:textId="77777777" w:rsidR="00A71EEF" w:rsidRDefault="00A71EEF">
      <w:pPr>
        <w:pStyle w:val="a3"/>
        <w:spacing w:before="4"/>
        <w:rPr>
          <w:b/>
          <w:sz w:val="17"/>
        </w:rPr>
      </w:pPr>
    </w:p>
    <w:p w14:paraId="31946F79" w14:textId="77777777" w:rsidR="00A71EEF" w:rsidRDefault="0081115D">
      <w:pPr>
        <w:pStyle w:val="a4"/>
        <w:numPr>
          <w:ilvl w:val="1"/>
          <w:numId w:val="97"/>
        </w:numPr>
        <w:tabs>
          <w:tab w:val="left" w:pos="1159"/>
        </w:tabs>
        <w:ind w:hanging="319"/>
        <w:rPr>
          <w:sz w:val="21"/>
        </w:rPr>
      </w:pPr>
      <w:r>
        <w:rPr>
          <w:spacing w:val="-3"/>
          <w:sz w:val="21"/>
        </w:rPr>
        <w:t>一般规定</w:t>
      </w:r>
      <w:r>
        <w:rPr>
          <w:sz w:val="21"/>
        </w:rPr>
        <w:t xml:space="preserve"> </w:t>
      </w:r>
    </w:p>
    <w:p w14:paraId="26853B3E" w14:textId="77777777" w:rsidR="00A71EEF" w:rsidRDefault="00A71EEF">
      <w:pPr>
        <w:pStyle w:val="a3"/>
        <w:spacing w:before="12"/>
        <w:rPr>
          <w:sz w:val="17"/>
        </w:rPr>
      </w:pPr>
    </w:p>
    <w:p w14:paraId="603E7B89" w14:textId="77777777" w:rsidR="00A71EEF" w:rsidRDefault="0081115D">
      <w:pPr>
        <w:pStyle w:val="a4"/>
        <w:numPr>
          <w:ilvl w:val="2"/>
          <w:numId w:val="97"/>
        </w:numPr>
        <w:tabs>
          <w:tab w:val="left" w:pos="1371"/>
        </w:tabs>
        <w:spacing w:line="446" w:lineRule="auto"/>
        <w:ind w:right="1604" w:firstLine="422"/>
        <w:rPr>
          <w:sz w:val="21"/>
        </w:rPr>
      </w:pPr>
      <w:r>
        <w:rPr>
          <w:spacing w:val="-3"/>
          <w:sz w:val="21"/>
        </w:rPr>
        <w:t>系统调试应在系统施工完成及与工程有关的火灾自动报警系统及联动控制设备调试合格后进行。</w:t>
      </w:r>
      <w:r>
        <w:rPr>
          <w:sz w:val="21"/>
        </w:rPr>
        <w:t xml:space="preserve"> </w:t>
      </w:r>
    </w:p>
    <w:p w14:paraId="58161195" w14:textId="77777777" w:rsidR="00A71EEF" w:rsidRDefault="00A71EEF">
      <w:pPr>
        <w:spacing w:line="446" w:lineRule="auto"/>
        <w:rPr>
          <w:sz w:val="21"/>
        </w:rPr>
        <w:sectPr w:rsidR="00A71EEF">
          <w:pgSz w:w="11910" w:h="16850"/>
          <w:pgMar w:top="1220" w:right="0" w:bottom="1420" w:left="1260" w:header="0" w:footer="1239" w:gutter="0"/>
          <w:cols w:space="720"/>
        </w:sectPr>
      </w:pPr>
    </w:p>
    <w:p w14:paraId="61AD60A9" w14:textId="77777777" w:rsidR="00A71EEF" w:rsidRDefault="0081115D">
      <w:pPr>
        <w:pStyle w:val="a4"/>
        <w:numPr>
          <w:ilvl w:val="2"/>
          <w:numId w:val="97"/>
        </w:numPr>
        <w:tabs>
          <w:tab w:val="left" w:pos="1370"/>
        </w:tabs>
        <w:spacing w:before="47" w:line="446" w:lineRule="auto"/>
        <w:ind w:right="1604" w:firstLine="422"/>
        <w:rPr>
          <w:sz w:val="21"/>
        </w:rPr>
      </w:pPr>
      <w:r>
        <w:rPr>
          <w:spacing w:val="-3"/>
          <w:sz w:val="21"/>
        </w:rPr>
        <w:t>系统调试所使用的测试仪器和仪表，性能应稳定可靠，其精度等级及最小分度值应能满足测定的要求，并应符合国家有关计量法规及检定规程的规定。</w:t>
      </w:r>
      <w:r>
        <w:rPr>
          <w:sz w:val="21"/>
        </w:rPr>
        <w:t xml:space="preserve"> </w:t>
      </w:r>
    </w:p>
    <w:p w14:paraId="536223F0" w14:textId="77777777" w:rsidR="00A71EEF" w:rsidRDefault="0081115D">
      <w:pPr>
        <w:pStyle w:val="a4"/>
        <w:numPr>
          <w:ilvl w:val="2"/>
          <w:numId w:val="97"/>
        </w:numPr>
        <w:tabs>
          <w:tab w:val="left" w:pos="1370"/>
        </w:tabs>
        <w:spacing w:line="267" w:lineRule="exact"/>
        <w:ind w:left="1369" w:hanging="530"/>
        <w:rPr>
          <w:sz w:val="21"/>
        </w:rPr>
      </w:pPr>
      <w:r>
        <w:rPr>
          <w:spacing w:val="-3"/>
          <w:sz w:val="21"/>
        </w:rPr>
        <w:t>系统调试应由施工单位负责、监理单位监督，设计单位与建设单位参与和配合。</w:t>
      </w:r>
      <w:r>
        <w:rPr>
          <w:sz w:val="21"/>
        </w:rPr>
        <w:t xml:space="preserve"> </w:t>
      </w:r>
    </w:p>
    <w:p w14:paraId="77098148" w14:textId="77777777" w:rsidR="00A71EEF" w:rsidRDefault="00A71EEF">
      <w:pPr>
        <w:pStyle w:val="a3"/>
        <w:spacing w:before="2"/>
        <w:rPr>
          <w:sz w:val="18"/>
        </w:rPr>
      </w:pPr>
    </w:p>
    <w:p w14:paraId="42B191DB" w14:textId="77777777" w:rsidR="00A71EEF" w:rsidRDefault="0081115D">
      <w:pPr>
        <w:pStyle w:val="a4"/>
        <w:numPr>
          <w:ilvl w:val="2"/>
          <w:numId w:val="97"/>
        </w:numPr>
        <w:tabs>
          <w:tab w:val="left" w:pos="1371"/>
        </w:tabs>
        <w:spacing w:line="446" w:lineRule="auto"/>
        <w:ind w:right="1604" w:firstLine="422"/>
        <w:rPr>
          <w:sz w:val="21"/>
        </w:rPr>
      </w:pPr>
      <w:r>
        <w:rPr>
          <w:spacing w:val="-3"/>
          <w:sz w:val="21"/>
        </w:rPr>
        <w:t>系统调试前，施工单位应编制调试方案，报送专业监理工程师审核批准；调试结束后，必须提供完整的调试资料和报告。</w:t>
      </w:r>
      <w:r>
        <w:rPr>
          <w:sz w:val="21"/>
        </w:rPr>
        <w:t xml:space="preserve"> </w:t>
      </w:r>
    </w:p>
    <w:p w14:paraId="31354B36" w14:textId="77777777" w:rsidR="00A71EEF" w:rsidRDefault="0081115D">
      <w:pPr>
        <w:pStyle w:val="a4"/>
        <w:numPr>
          <w:ilvl w:val="2"/>
          <w:numId w:val="97"/>
        </w:numPr>
        <w:tabs>
          <w:tab w:val="left" w:pos="1370"/>
        </w:tabs>
        <w:spacing w:line="446" w:lineRule="auto"/>
        <w:ind w:right="1606" w:firstLine="422"/>
        <w:rPr>
          <w:sz w:val="21"/>
        </w:rPr>
      </w:pPr>
      <w:r>
        <w:rPr>
          <w:spacing w:val="-5"/>
          <w:sz w:val="21"/>
        </w:rPr>
        <w:t>系统调试应包括设备单机调试和系统联动调试，并按本标准附录</w:t>
      </w:r>
      <w:r>
        <w:rPr>
          <w:spacing w:val="-5"/>
          <w:sz w:val="21"/>
        </w:rPr>
        <w:t xml:space="preserve"> </w:t>
      </w:r>
      <w:r>
        <w:rPr>
          <w:sz w:val="21"/>
        </w:rPr>
        <w:t>D</w:t>
      </w:r>
      <w:r>
        <w:rPr>
          <w:spacing w:val="2"/>
          <w:sz w:val="21"/>
        </w:rPr>
        <w:t xml:space="preserve"> </w:t>
      </w:r>
      <w:r>
        <w:rPr>
          <w:spacing w:val="2"/>
          <w:sz w:val="21"/>
        </w:rPr>
        <w:t>表</w:t>
      </w:r>
      <w:r>
        <w:rPr>
          <w:sz w:val="21"/>
        </w:rPr>
        <w:t>D-4</w:t>
      </w:r>
      <w:r>
        <w:rPr>
          <w:spacing w:val="-11"/>
          <w:sz w:val="21"/>
        </w:rPr>
        <w:t xml:space="preserve"> </w:t>
      </w:r>
      <w:r>
        <w:rPr>
          <w:spacing w:val="-11"/>
          <w:sz w:val="21"/>
        </w:rPr>
        <w:t>填写调试</w:t>
      </w:r>
      <w:r>
        <w:rPr>
          <w:spacing w:val="-9"/>
          <w:sz w:val="21"/>
        </w:rPr>
        <w:t>记录。</w:t>
      </w:r>
      <w:r>
        <w:rPr>
          <w:sz w:val="21"/>
        </w:rPr>
        <w:t xml:space="preserve"> </w:t>
      </w:r>
    </w:p>
    <w:p w14:paraId="6493297C" w14:textId="77777777" w:rsidR="00A71EEF" w:rsidRDefault="0081115D">
      <w:pPr>
        <w:pStyle w:val="a4"/>
        <w:numPr>
          <w:ilvl w:val="1"/>
          <w:numId w:val="97"/>
        </w:numPr>
        <w:tabs>
          <w:tab w:val="left" w:pos="1159"/>
        </w:tabs>
        <w:ind w:hanging="319"/>
        <w:rPr>
          <w:b/>
          <w:sz w:val="21"/>
        </w:rPr>
      </w:pPr>
      <w:r>
        <w:rPr>
          <w:spacing w:val="-3"/>
          <w:sz w:val="21"/>
        </w:rPr>
        <w:t>单机调试</w:t>
      </w:r>
      <w:r>
        <w:rPr>
          <w:b/>
          <w:w w:val="99"/>
          <w:sz w:val="21"/>
        </w:rPr>
        <w:t xml:space="preserve"> </w:t>
      </w:r>
    </w:p>
    <w:p w14:paraId="7CAB7633" w14:textId="77777777" w:rsidR="00A71EEF" w:rsidRDefault="00A71EEF">
      <w:pPr>
        <w:pStyle w:val="a3"/>
        <w:spacing w:before="10"/>
        <w:rPr>
          <w:b/>
          <w:sz w:val="17"/>
        </w:rPr>
      </w:pPr>
    </w:p>
    <w:p w14:paraId="58E281E7" w14:textId="77777777" w:rsidR="00A71EEF" w:rsidRDefault="0081115D">
      <w:pPr>
        <w:pStyle w:val="a4"/>
        <w:numPr>
          <w:ilvl w:val="2"/>
          <w:numId w:val="97"/>
        </w:numPr>
        <w:tabs>
          <w:tab w:val="left" w:pos="1371"/>
        </w:tabs>
        <w:spacing w:before="1" w:line="446" w:lineRule="auto"/>
        <w:ind w:left="838" w:right="1503" w:firstLine="2"/>
        <w:rPr>
          <w:b/>
          <w:sz w:val="21"/>
        </w:rPr>
      </w:pPr>
      <w:r>
        <w:rPr>
          <w:spacing w:val="-5"/>
          <w:sz w:val="21"/>
        </w:rPr>
        <w:t>排烟防火阀的调试方法及要求应符合下列规定，并应按附录</w:t>
      </w:r>
      <w:r>
        <w:rPr>
          <w:spacing w:val="-5"/>
          <w:sz w:val="21"/>
        </w:rPr>
        <w:t xml:space="preserve"> </w:t>
      </w:r>
      <w:r>
        <w:rPr>
          <w:sz w:val="21"/>
        </w:rPr>
        <w:t>D</w:t>
      </w:r>
      <w:r>
        <w:rPr>
          <w:spacing w:val="-20"/>
          <w:sz w:val="21"/>
        </w:rPr>
        <w:t xml:space="preserve"> </w:t>
      </w:r>
      <w:r>
        <w:rPr>
          <w:spacing w:val="-20"/>
          <w:sz w:val="21"/>
        </w:rPr>
        <w:t>中表</w:t>
      </w:r>
      <w:r>
        <w:rPr>
          <w:spacing w:val="-20"/>
          <w:sz w:val="21"/>
        </w:rPr>
        <w:t xml:space="preserve"> </w:t>
      </w:r>
      <w:r>
        <w:rPr>
          <w:sz w:val="21"/>
        </w:rPr>
        <w:t>D-4</w:t>
      </w:r>
      <w:r>
        <w:rPr>
          <w:spacing w:val="-9"/>
          <w:sz w:val="21"/>
        </w:rPr>
        <w:t xml:space="preserve"> </w:t>
      </w:r>
      <w:r>
        <w:rPr>
          <w:spacing w:val="-9"/>
          <w:sz w:val="21"/>
        </w:rPr>
        <w:t>填写记录：</w:t>
      </w:r>
      <w:r>
        <w:rPr>
          <w:spacing w:val="-9"/>
          <w:sz w:val="21"/>
        </w:rPr>
        <w:t xml:space="preserve"> </w:t>
      </w:r>
      <w:r>
        <w:rPr>
          <w:spacing w:val="-3"/>
          <w:sz w:val="21"/>
        </w:rPr>
        <w:t>进行手动关闭、复位试验，阀门动作应灵敏、可靠，关闭应严密；</w:t>
      </w:r>
      <w:r>
        <w:rPr>
          <w:b/>
          <w:w w:val="99"/>
          <w:sz w:val="21"/>
        </w:rPr>
        <w:t xml:space="preserve"> </w:t>
      </w:r>
    </w:p>
    <w:p w14:paraId="049E7308" w14:textId="77777777" w:rsidR="00A71EEF" w:rsidRDefault="0081115D">
      <w:pPr>
        <w:pStyle w:val="a3"/>
        <w:spacing w:line="446" w:lineRule="auto"/>
        <w:ind w:left="838" w:right="1714"/>
        <w:rPr>
          <w:b/>
        </w:rPr>
      </w:pPr>
      <w:r>
        <w:rPr>
          <w:spacing w:val="-3"/>
        </w:rPr>
        <w:t>模拟火灾，相应区域火灾报警后，同一防火分区内排烟管道上的其他阀门应联动关闭；</w:t>
      </w:r>
      <w:r>
        <w:rPr>
          <w:spacing w:val="-3"/>
        </w:rPr>
        <w:t xml:space="preserve"> </w:t>
      </w:r>
      <w:r>
        <w:rPr>
          <w:spacing w:val="-3"/>
        </w:rPr>
        <w:t>阀门关闭后的状态信号应能反馈到消防控制室；</w:t>
      </w:r>
      <w:r>
        <w:rPr>
          <w:b/>
          <w:w w:val="99"/>
        </w:rPr>
        <w:t xml:space="preserve"> </w:t>
      </w:r>
    </w:p>
    <w:p w14:paraId="4DAFB3E6" w14:textId="77777777" w:rsidR="00A71EEF" w:rsidRDefault="0081115D">
      <w:pPr>
        <w:pStyle w:val="a3"/>
        <w:spacing w:line="446" w:lineRule="auto"/>
        <w:ind w:left="838" w:right="6129"/>
      </w:pPr>
      <w:r>
        <w:t>阀门关闭后应能联动相应的风机停止。调试数量：全数调试。</w:t>
      </w:r>
      <w:r>
        <w:t xml:space="preserve"> </w:t>
      </w:r>
    </w:p>
    <w:p w14:paraId="68956F05" w14:textId="77777777" w:rsidR="00A71EEF" w:rsidRDefault="0081115D">
      <w:pPr>
        <w:pStyle w:val="a4"/>
        <w:numPr>
          <w:ilvl w:val="2"/>
          <w:numId w:val="97"/>
        </w:numPr>
        <w:tabs>
          <w:tab w:val="left" w:pos="1370"/>
        </w:tabs>
        <w:spacing w:line="267" w:lineRule="exact"/>
        <w:ind w:left="1369" w:hanging="530"/>
        <w:rPr>
          <w:b/>
          <w:sz w:val="21"/>
        </w:rPr>
      </w:pPr>
      <w:r>
        <w:rPr>
          <w:spacing w:val="-3"/>
          <w:sz w:val="21"/>
        </w:rPr>
        <w:t>常闭送风口、排烟阀或排烟口的调试方法及要求应符合下列规定：</w:t>
      </w:r>
      <w:r>
        <w:rPr>
          <w:b/>
          <w:w w:val="99"/>
          <w:sz w:val="21"/>
        </w:rPr>
        <w:t xml:space="preserve"> </w:t>
      </w:r>
    </w:p>
    <w:p w14:paraId="47D1054F" w14:textId="77777777" w:rsidR="00A71EEF" w:rsidRDefault="00A71EEF">
      <w:pPr>
        <w:pStyle w:val="a3"/>
        <w:spacing w:before="1"/>
        <w:rPr>
          <w:b/>
          <w:sz w:val="18"/>
        </w:rPr>
      </w:pPr>
    </w:p>
    <w:p w14:paraId="38C57028" w14:textId="77777777" w:rsidR="00A71EEF" w:rsidRDefault="0081115D">
      <w:pPr>
        <w:pStyle w:val="a3"/>
        <w:spacing w:line="446" w:lineRule="auto"/>
        <w:ind w:left="418" w:right="1609" w:firstLine="419"/>
        <w:rPr>
          <w:b/>
        </w:rPr>
      </w:pPr>
      <w:r>
        <w:t>进行手动开启、复位试验，阀门动作应灵敏、可靠，远距离控制机构的脱扣钢丝连接不应松弛、脱落；</w:t>
      </w:r>
      <w:r>
        <w:rPr>
          <w:b/>
          <w:w w:val="99"/>
        </w:rPr>
        <w:t xml:space="preserve"> </w:t>
      </w:r>
    </w:p>
    <w:p w14:paraId="096C7AD0" w14:textId="77777777" w:rsidR="00A71EEF" w:rsidRDefault="0081115D">
      <w:pPr>
        <w:pStyle w:val="a3"/>
        <w:spacing w:line="446" w:lineRule="auto"/>
        <w:ind w:left="418" w:right="1609" w:firstLine="419"/>
      </w:pPr>
      <w:r>
        <w:t>模拟火灾，相应区域火灾报警后，同一防火分区的常闭送风口和同一防烟分区内的排烟阀或排烟口应联动开启；</w:t>
      </w:r>
      <w:r>
        <w:t xml:space="preserve"> </w:t>
      </w:r>
    </w:p>
    <w:p w14:paraId="21B02D98" w14:textId="77777777" w:rsidR="00A71EEF" w:rsidRDefault="0081115D">
      <w:pPr>
        <w:pStyle w:val="a3"/>
        <w:spacing w:line="446" w:lineRule="auto"/>
        <w:ind w:left="838" w:right="5288"/>
      </w:pPr>
      <w:r>
        <w:t>阀门开启后的状态信号应能反馈到消防控制室；</w:t>
      </w:r>
      <w:r>
        <w:t xml:space="preserve"> </w:t>
      </w:r>
      <w:r>
        <w:t>阀门开启后应能联动相应的风</w:t>
      </w:r>
      <w:r>
        <w:t>机启动。</w:t>
      </w:r>
      <w:r>
        <w:t xml:space="preserve"> </w:t>
      </w:r>
    </w:p>
    <w:p w14:paraId="7ED1E440" w14:textId="77777777" w:rsidR="00A71EEF" w:rsidRDefault="0081115D">
      <w:pPr>
        <w:pStyle w:val="a3"/>
        <w:ind w:left="838"/>
      </w:pPr>
      <w:r>
        <w:t>调试数量：全数调试。</w:t>
      </w:r>
      <w:r>
        <w:t xml:space="preserve"> </w:t>
      </w:r>
    </w:p>
    <w:p w14:paraId="552E68C1" w14:textId="77777777" w:rsidR="00A71EEF" w:rsidRDefault="00A71EEF">
      <w:pPr>
        <w:pStyle w:val="a3"/>
        <w:spacing w:before="10"/>
        <w:rPr>
          <w:sz w:val="17"/>
        </w:rPr>
      </w:pPr>
    </w:p>
    <w:p w14:paraId="7075978A" w14:textId="77777777" w:rsidR="00A71EEF" w:rsidRDefault="0081115D">
      <w:pPr>
        <w:pStyle w:val="a4"/>
        <w:numPr>
          <w:ilvl w:val="2"/>
          <w:numId w:val="97"/>
        </w:numPr>
        <w:tabs>
          <w:tab w:val="left" w:pos="1371"/>
        </w:tabs>
        <w:ind w:left="1370"/>
        <w:rPr>
          <w:b/>
          <w:sz w:val="21"/>
        </w:rPr>
      </w:pPr>
      <w:r>
        <w:rPr>
          <w:spacing w:val="-3"/>
          <w:sz w:val="21"/>
        </w:rPr>
        <w:t>活动挡烟垂壁的调试方法及要求应符合下列规定：</w:t>
      </w:r>
      <w:r>
        <w:rPr>
          <w:b/>
          <w:w w:val="99"/>
          <w:sz w:val="21"/>
        </w:rPr>
        <w:t xml:space="preserve"> </w:t>
      </w:r>
    </w:p>
    <w:p w14:paraId="6A438AC2" w14:textId="77777777" w:rsidR="00A71EEF" w:rsidRDefault="00A71EEF">
      <w:pPr>
        <w:pStyle w:val="a3"/>
        <w:rPr>
          <w:b/>
          <w:sz w:val="18"/>
        </w:rPr>
      </w:pPr>
    </w:p>
    <w:p w14:paraId="3C2F179B" w14:textId="77777777" w:rsidR="00A71EEF" w:rsidRDefault="0081115D">
      <w:pPr>
        <w:pStyle w:val="a3"/>
        <w:spacing w:line="446" w:lineRule="auto"/>
        <w:ind w:left="418" w:right="1817" w:firstLine="419"/>
      </w:pPr>
      <w:r>
        <w:t>手动操作挡烟垂壁按钮进行开启、复位试验，挡烟垂壁应灵敏、可靠地启动与到位后停止，下降高度应符合设计要求；</w:t>
      </w:r>
      <w:r>
        <w:t xml:space="preserve"> </w:t>
      </w:r>
      <w:r>
        <w:t xml:space="preserve"> </w:t>
      </w:r>
    </w:p>
    <w:p w14:paraId="75A97B0F" w14:textId="77777777" w:rsidR="00A71EEF" w:rsidRDefault="0081115D">
      <w:pPr>
        <w:pStyle w:val="a3"/>
        <w:spacing w:line="446" w:lineRule="auto"/>
        <w:ind w:left="418" w:right="1609" w:firstLine="419"/>
      </w:pPr>
      <w:r>
        <w:rPr>
          <w:spacing w:val="-5"/>
        </w:rPr>
        <w:t>模拟火灾，相应区域火灾报警后，同一防烟分区内挡烟垂壁应在</w:t>
      </w:r>
      <w:r>
        <w:rPr>
          <w:spacing w:val="-5"/>
        </w:rPr>
        <w:t xml:space="preserve"> </w:t>
      </w:r>
      <w:r>
        <w:t>60s</w:t>
      </w:r>
      <w:r>
        <w:rPr>
          <w:spacing w:val="-7"/>
        </w:rPr>
        <w:t xml:space="preserve"> </w:t>
      </w:r>
      <w:r>
        <w:rPr>
          <w:spacing w:val="-7"/>
        </w:rPr>
        <w:t>以内联动下降到设计</w:t>
      </w:r>
      <w:r>
        <w:rPr>
          <w:spacing w:val="-6"/>
        </w:rPr>
        <w:t>高度；</w:t>
      </w:r>
      <w:r>
        <w:t xml:space="preserve"> </w:t>
      </w:r>
    </w:p>
    <w:p w14:paraId="01E2E1EB" w14:textId="77777777" w:rsidR="00A71EEF" w:rsidRDefault="0081115D">
      <w:pPr>
        <w:pStyle w:val="a3"/>
        <w:ind w:left="838"/>
      </w:pPr>
      <w:r>
        <w:t>挡烟垂壁下降到设计高度后应能将状态信号反馈到消防控制室。</w:t>
      </w:r>
      <w:r>
        <w:t xml:space="preserve"> </w:t>
      </w:r>
    </w:p>
    <w:p w14:paraId="7801A466" w14:textId="77777777" w:rsidR="00A71EEF" w:rsidRDefault="00A71EEF">
      <w:pPr>
        <w:sectPr w:rsidR="00A71EEF">
          <w:pgSz w:w="11910" w:h="16850"/>
          <w:pgMar w:top="1220" w:right="0" w:bottom="1420" w:left="1260" w:header="0" w:footer="1239" w:gutter="0"/>
          <w:cols w:space="720"/>
        </w:sectPr>
      </w:pPr>
    </w:p>
    <w:p w14:paraId="720CC774" w14:textId="77777777" w:rsidR="00A71EEF" w:rsidRDefault="0081115D">
      <w:pPr>
        <w:pStyle w:val="a3"/>
        <w:spacing w:before="47"/>
        <w:ind w:left="838"/>
      </w:pPr>
      <w:r>
        <w:t>调试数量：全数调试。</w:t>
      </w:r>
      <w:r>
        <w:t xml:space="preserve"> </w:t>
      </w:r>
    </w:p>
    <w:p w14:paraId="6F4C9B5C" w14:textId="77777777" w:rsidR="00A71EEF" w:rsidRDefault="00A71EEF">
      <w:pPr>
        <w:pStyle w:val="a3"/>
        <w:rPr>
          <w:sz w:val="18"/>
        </w:rPr>
      </w:pPr>
    </w:p>
    <w:p w14:paraId="68F0F9C0" w14:textId="77777777" w:rsidR="00A71EEF" w:rsidRDefault="0081115D">
      <w:pPr>
        <w:pStyle w:val="a4"/>
        <w:numPr>
          <w:ilvl w:val="2"/>
          <w:numId w:val="97"/>
        </w:numPr>
        <w:tabs>
          <w:tab w:val="left" w:pos="1370"/>
        </w:tabs>
        <w:ind w:left="1369" w:hanging="530"/>
        <w:rPr>
          <w:b/>
          <w:sz w:val="21"/>
        </w:rPr>
      </w:pPr>
      <w:r>
        <w:rPr>
          <w:spacing w:val="-3"/>
          <w:sz w:val="21"/>
        </w:rPr>
        <w:t>自动排烟窗的调试方法及要求应符合下列规定：</w:t>
      </w:r>
      <w:r>
        <w:rPr>
          <w:b/>
          <w:w w:val="99"/>
          <w:sz w:val="21"/>
        </w:rPr>
        <w:t xml:space="preserve"> </w:t>
      </w:r>
    </w:p>
    <w:p w14:paraId="7FAA3927" w14:textId="77777777" w:rsidR="00A71EEF" w:rsidRDefault="00A71EEF">
      <w:pPr>
        <w:pStyle w:val="a3"/>
        <w:rPr>
          <w:b/>
          <w:sz w:val="18"/>
        </w:rPr>
      </w:pPr>
    </w:p>
    <w:p w14:paraId="405F776B" w14:textId="77777777" w:rsidR="00A71EEF" w:rsidRDefault="0081115D">
      <w:pPr>
        <w:pStyle w:val="a3"/>
        <w:ind w:left="838"/>
      </w:pPr>
      <w:r>
        <w:t>手动操作排烟窗开关进行开启、关闭试验，排烟窗动作应灵敏、可靠；</w:t>
      </w:r>
      <w:r>
        <w:t xml:space="preserve"> </w:t>
      </w:r>
    </w:p>
    <w:p w14:paraId="29750D3A" w14:textId="77777777" w:rsidR="00A71EEF" w:rsidRDefault="00A71EEF">
      <w:pPr>
        <w:pStyle w:val="a3"/>
        <w:spacing w:before="1"/>
        <w:rPr>
          <w:sz w:val="18"/>
        </w:rPr>
      </w:pPr>
    </w:p>
    <w:p w14:paraId="0A893D3F" w14:textId="77777777" w:rsidR="00A71EEF" w:rsidRDefault="0081115D">
      <w:pPr>
        <w:pStyle w:val="a3"/>
        <w:spacing w:before="1" w:line="446" w:lineRule="auto"/>
        <w:ind w:left="418" w:right="1609" w:firstLine="419"/>
      </w:pPr>
      <w:r>
        <w:t>模拟火灾，相应区域火灾报警后，同一防烟分区内排烟窗应能联动开启；完全开启时间应符合本标准第</w:t>
      </w:r>
      <w:r>
        <w:t xml:space="preserve"> 5.2.6 </w:t>
      </w:r>
      <w:r>
        <w:t>条的规定；</w:t>
      </w:r>
      <w:r>
        <w:t xml:space="preserve"> </w:t>
      </w:r>
    </w:p>
    <w:p w14:paraId="4DFF3ED3" w14:textId="77777777" w:rsidR="00A71EEF" w:rsidRDefault="0081115D">
      <w:pPr>
        <w:pStyle w:val="a3"/>
        <w:spacing w:line="446" w:lineRule="auto"/>
        <w:ind w:left="838" w:right="2977"/>
      </w:pPr>
      <w:r>
        <w:rPr>
          <w:spacing w:val="-3"/>
        </w:rPr>
        <w:t>与消防控制室联动的排烟窗完全开启后，状态信号应反馈到消防控制室。调试数量：全数调试。</w:t>
      </w:r>
      <w:r>
        <w:t xml:space="preserve"> </w:t>
      </w:r>
    </w:p>
    <w:p w14:paraId="541A138C" w14:textId="77777777" w:rsidR="00A71EEF" w:rsidRDefault="0081115D">
      <w:pPr>
        <w:pStyle w:val="a4"/>
        <w:numPr>
          <w:ilvl w:val="2"/>
          <w:numId w:val="97"/>
        </w:numPr>
        <w:tabs>
          <w:tab w:val="left" w:pos="1370"/>
        </w:tabs>
        <w:ind w:left="1369" w:hanging="530"/>
        <w:rPr>
          <w:b/>
          <w:sz w:val="21"/>
        </w:rPr>
      </w:pPr>
      <w:r>
        <w:rPr>
          <w:spacing w:val="-3"/>
          <w:sz w:val="21"/>
        </w:rPr>
        <w:t>送风机、排烟风机调试方法及要求应符合下列规定：</w:t>
      </w:r>
      <w:r>
        <w:rPr>
          <w:b/>
          <w:w w:val="99"/>
          <w:sz w:val="21"/>
        </w:rPr>
        <w:t xml:space="preserve"> </w:t>
      </w:r>
    </w:p>
    <w:p w14:paraId="076CB51C" w14:textId="77777777" w:rsidR="00A71EEF" w:rsidRDefault="00A71EEF">
      <w:pPr>
        <w:pStyle w:val="a3"/>
        <w:spacing w:before="10"/>
        <w:rPr>
          <w:b/>
          <w:sz w:val="17"/>
        </w:rPr>
      </w:pPr>
    </w:p>
    <w:p w14:paraId="706C9F14" w14:textId="77777777" w:rsidR="00A71EEF" w:rsidRDefault="0081115D">
      <w:pPr>
        <w:pStyle w:val="a3"/>
        <w:spacing w:line="446" w:lineRule="auto"/>
        <w:ind w:left="418" w:right="1498" w:firstLine="419"/>
      </w:pPr>
      <w:r>
        <w:t>手动开启风机，风机应正常运转</w:t>
      </w:r>
      <w:r>
        <w:t xml:space="preserve"> 2.0h</w:t>
      </w:r>
      <w:r>
        <w:t>，叶轮旋转方向应正确、运转平稳、无异常振动与声响；</w:t>
      </w:r>
      <w:r>
        <w:t xml:space="preserve"> </w:t>
      </w:r>
    </w:p>
    <w:p w14:paraId="121FAD0B" w14:textId="77777777" w:rsidR="00A71EEF" w:rsidRDefault="0081115D">
      <w:pPr>
        <w:pStyle w:val="a3"/>
        <w:spacing w:line="446" w:lineRule="auto"/>
        <w:ind w:left="838" w:right="1505"/>
      </w:pPr>
      <w:r>
        <w:rPr>
          <w:spacing w:val="-3"/>
        </w:rPr>
        <w:t>应核对风机的铭牌值，并应测定风机的风量、风压、电流和电压，其结果应与设计相符；</w:t>
      </w:r>
      <w:r>
        <w:rPr>
          <w:spacing w:val="-3"/>
        </w:rPr>
        <w:t xml:space="preserve"> </w:t>
      </w:r>
      <w:r>
        <w:rPr>
          <w:spacing w:val="-3"/>
        </w:rPr>
        <w:t>应能在消防控制室手动控制风机的启动、停止，风机的启动、停止状态信号应能反馈到消</w:t>
      </w:r>
    </w:p>
    <w:p w14:paraId="643E2C53" w14:textId="77777777" w:rsidR="00A71EEF" w:rsidRDefault="0081115D">
      <w:pPr>
        <w:pStyle w:val="a3"/>
        <w:ind w:left="418"/>
      </w:pPr>
      <w:r>
        <w:t>防控制室；</w:t>
      </w:r>
      <w:r>
        <w:t xml:space="preserve"> </w:t>
      </w:r>
    </w:p>
    <w:p w14:paraId="4037683C" w14:textId="77777777" w:rsidR="00A71EEF" w:rsidRDefault="00A71EEF">
      <w:pPr>
        <w:pStyle w:val="a3"/>
        <w:spacing w:before="12"/>
        <w:rPr>
          <w:sz w:val="17"/>
        </w:rPr>
      </w:pPr>
    </w:p>
    <w:p w14:paraId="28A697D8" w14:textId="77777777" w:rsidR="00A71EEF" w:rsidRDefault="0081115D">
      <w:pPr>
        <w:pStyle w:val="a3"/>
        <w:spacing w:line="446" w:lineRule="auto"/>
        <w:ind w:left="418" w:right="1609" w:firstLine="419"/>
      </w:pPr>
      <w:r>
        <w:t>当风机进、出风管上安装单向风阀或电动风阀时，风阀的开启与关闭应与风机的启动、停止同步。</w:t>
      </w:r>
      <w:r>
        <w:t xml:space="preserve"> </w:t>
      </w:r>
    </w:p>
    <w:p w14:paraId="1A1C0F57" w14:textId="77777777" w:rsidR="00A71EEF" w:rsidRDefault="0081115D">
      <w:pPr>
        <w:pStyle w:val="a3"/>
        <w:ind w:left="838"/>
      </w:pPr>
      <w:r>
        <w:t>调试数量：全数调试。</w:t>
      </w:r>
      <w:r>
        <w:t xml:space="preserve"> </w:t>
      </w:r>
    </w:p>
    <w:p w14:paraId="4185363A" w14:textId="77777777" w:rsidR="00A71EEF" w:rsidRDefault="00A71EEF">
      <w:pPr>
        <w:pStyle w:val="a3"/>
        <w:rPr>
          <w:sz w:val="18"/>
        </w:rPr>
      </w:pPr>
    </w:p>
    <w:p w14:paraId="2E7E1CB3" w14:textId="77777777" w:rsidR="00A71EEF" w:rsidRDefault="0081115D">
      <w:pPr>
        <w:pStyle w:val="a4"/>
        <w:numPr>
          <w:ilvl w:val="2"/>
          <w:numId w:val="97"/>
        </w:numPr>
        <w:tabs>
          <w:tab w:val="left" w:pos="1370"/>
        </w:tabs>
        <w:ind w:left="1369" w:hanging="530"/>
        <w:rPr>
          <w:b/>
          <w:sz w:val="21"/>
        </w:rPr>
      </w:pPr>
      <w:r>
        <w:rPr>
          <w:spacing w:val="-3"/>
          <w:sz w:val="21"/>
        </w:rPr>
        <w:t>机械加压送风系统风速及余压的调试方法及要求应符合下列规定：</w:t>
      </w:r>
      <w:r>
        <w:rPr>
          <w:b/>
          <w:w w:val="99"/>
          <w:sz w:val="21"/>
        </w:rPr>
        <w:t xml:space="preserve"> </w:t>
      </w:r>
    </w:p>
    <w:p w14:paraId="371FB966" w14:textId="77777777" w:rsidR="00A71EEF" w:rsidRDefault="00A71EEF">
      <w:pPr>
        <w:pStyle w:val="a3"/>
        <w:spacing w:before="12"/>
        <w:rPr>
          <w:b/>
          <w:sz w:val="17"/>
        </w:rPr>
      </w:pPr>
    </w:p>
    <w:p w14:paraId="571844A3" w14:textId="77777777" w:rsidR="00A71EEF" w:rsidRDefault="0081115D">
      <w:pPr>
        <w:pStyle w:val="a3"/>
        <w:spacing w:line="446" w:lineRule="auto"/>
        <w:ind w:left="418" w:right="1608" w:firstLine="419"/>
        <w:jc w:val="both"/>
      </w:pPr>
      <w:r>
        <w:t>应选取送风系统末端所对应的送风最不利的三个连续楼层模拟起火层及其上下层，封闭避难层（间）仅需选取本层，调试送风系统使上述楼层的楼梯间、前室及封闭避难层（间）的风压值及疏散门的门洞断面风速值与设计值的偏差不大于</w:t>
      </w:r>
      <w:r>
        <w:t xml:space="preserve"> 10%</w:t>
      </w:r>
      <w:r>
        <w:t>；</w:t>
      </w:r>
      <w:r>
        <w:t xml:space="preserve"> </w:t>
      </w:r>
    </w:p>
    <w:p w14:paraId="590DFF19" w14:textId="77777777" w:rsidR="00A71EEF" w:rsidRDefault="0081115D">
      <w:pPr>
        <w:pStyle w:val="a3"/>
        <w:spacing w:line="268" w:lineRule="exact"/>
        <w:ind w:left="838"/>
      </w:pPr>
      <w:r>
        <w:t>对楼梯间和前室的调试应单独分别进行，且互不影响；</w:t>
      </w:r>
      <w:r>
        <w:t xml:space="preserve"> </w:t>
      </w:r>
    </w:p>
    <w:p w14:paraId="090052C7" w14:textId="77777777" w:rsidR="00A71EEF" w:rsidRDefault="00A71EEF">
      <w:pPr>
        <w:pStyle w:val="a3"/>
        <w:spacing w:before="2"/>
        <w:rPr>
          <w:sz w:val="18"/>
        </w:rPr>
      </w:pPr>
    </w:p>
    <w:p w14:paraId="6C7456F6" w14:textId="77777777" w:rsidR="00A71EEF" w:rsidRDefault="0081115D">
      <w:pPr>
        <w:pStyle w:val="a3"/>
        <w:ind w:left="838"/>
      </w:pPr>
      <w:r>
        <w:t>调试楼梯间和前室疏散门的门洞断面风速时，设计疏散门开启的楼层数量应符合本标准第</w:t>
      </w:r>
    </w:p>
    <w:p w14:paraId="4638FDD3" w14:textId="77777777" w:rsidR="00A71EEF" w:rsidRDefault="00A71EEF">
      <w:pPr>
        <w:pStyle w:val="a3"/>
        <w:spacing w:before="12"/>
        <w:rPr>
          <w:sz w:val="17"/>
        </w:rPr>
      </w:pPr>
    </w:p>
    <w:p w14:paraId="136E5535" w14:textId="77777777" w:rsidR="00A71EEF" w:rsidRDefault="0081115D">
      <w:pPr>
        <w:pStyle w:val="a3"/>
        <w:ind w:left="418"/>
      </w:pPr>
      <w:r>
        <w:t xml:space="preserve">3.4.6 </w:t>
      </w:r>
      <w:r>
        <w:t>条的规定。</w:t>
      </w:r>
      <w:r>
        <w:t xml:space="preserve"> </w:t>
      </w:r>
    </w:p>
    <w:p w14:paraId="0AC785A9" w14:textId="77777777" w:rsidR="00A71EEF" w:rsidRDefault="00A71EEF">
      <w:pPr>
        <w:pStyle w:val="a3"/>
        <w:rPr>
          <w:sz w:val="18"/>
        </w:rPr>
      </w:pPr>
    </w:p>
    <w:p w14:paraId="235F48BD" w14:textId="77777777" w:rsidR="00A71EEF" w:rsidRDefault="0081115D">
      <w:pPr>
        <w:pStyle w:val="a3"/>
        <w:ind w:left="838"/>
      </w:pPr>
      <w:r>
        <w:t>调试数量：全数调试。</w:t>
      </w:r>
      <w:r>
        <w:t xml:space="preserve"> </w:t>
      </w:r>
    </w:p>
    <w:p w14:paraId="197631CF" w14:textId="77777777" w:rsidR="00A71EEF" w:rsidRDefault="00A71EEF">
      <w:pPr>
        <w:pStyle w:val="a3"/>
        <w:spacing w:before="2"/>
        <w:rPr>
          <w:sz w:val="18"/>
        </w:rPr>
      </w:pPr>
    </w:p>
    <w:p w14:paraId="6661A00C" w14:textId="77777777" w:rsidR="00A71EEF" w:rsidRDefault="0081115D">
      <w:pPr>
        <w:ind w:left="840"/>
        <w:rPr>
          <w:b/>
          <w:sz w:val="21"/>
        </w:rPr>
      </w:pPr>
      <w:r>
        <w:rPr>
          <w:b/>
          <w:sz w:val="21"/>
        </w:rPr>
        <w:t xml:space="preserve">7.2.7 </w:t>
      </w:r>
      <w:r>
        <w:rPr>
          <w:sz w:val="21"/>
        </w:rPr>
        <w:t>机械排烟系统风速和风量的调试方法及要求应符合下列规定：</w:t>
      </w:r>
      <w:r>
        <w:rPr>
          <w:b/>
          <w:w w:val="99"/>
          <w:sz w:val="21"/>
        </w:rPr>
        <w:t xml:space="preserve"> </w:t>
      </w:r>
    </w:p>
    <w:p w14:paraId="4A45E1FF" w14:textId="77777777" w:rsidR="00A71EEF" w:rsidRDefault="00A71EEF">
      <w:pPr>
        <w:pStyle w:val="a3"/>
        <w:rPr>
          <w:b/>
          <w:sz w:val="18"/>
        </w:rPr>
      </w:pPr>
    </w:p>
    <w:p w14:paraId="75FBD437" w14:textId="77777777" w:rsidR="00A71EEF" w:rsidRDefault="0081115D">
      <w:pPr>
        <w:pStyle w:val="a3"/>
        <w:spacing w:line="446" w:lineRule="auto"/>
        <w:ind w:left="418" w:right="1609" w:firstLine="419"/>
      </w:pPr>
      <w:r>
        <w:t>应根据设计模式，开启排烟风机</w:t>
      </w:r>
      <w:r>
        <w:t>和相应的排烟阀或排烟口，调试排烟系统使排烟阀或排烟口处的风速值及排烟量值达到设计要求；</w:t>
      </w:r>
      <w:r>
        <w:t xml:space="preserve"> </w:t>
      </w:r>
    </w:p>
    <w:p w14:paraId="5909475A" w14:textId="77777777" w:rsidR="00A71EEF" w:rsidRDefault="00A71EEF">
      <w:pPr>
        <w:spacing w:line="446" w:lineRule="auto"/>
        <w:sectPr w:rsidR="00A71EEF">
          <w:pgSz w:w="11910" w:h="16850"/>
          <w:pgMar w:top="1220" w:right="0" w:bottom="1420" w:left="1260" w:header="0" w:footer="1239" w:gutter="0"/>
          <w:cols w:space="720"/>
        </w:sectPr>
      </w:pPr>
    </w:p>
    <w:p w14:paraId="54032DD2" w14:textId="77777777" w:rsidR="00A71EEF" w:rsidRDefault="0081115D">
      <w:pPr>
        <w:pStyle w:val="a3"/>
        <w:spacing w:before="47" w:line="446" w:lineRule="auto"/>
        <w:ind w:left="418" w:right="1609" w:firstLine="419"/>
      </w:pPr>
      <w:r>
        <w:t>开启排烟系统的同时，还应开启补风机和相应的补风口，调试补风系统使补风口处的风速值及补风量值达到设计要求；</w:t>
      </w:r>
      <w:r>
        <w:t xml:space="preserve"> </w:t>
      </w:r>
    </w:p>
    <w:p w14:paraId="1901C13C" w14:textId="77777777" w:rsidR="00A71EEF" w:rsidRDefault="0081115D">
      <w:pPr>
        <w:pStyle w:val="a3"/>
        <w:spacing w:line="446" w:lineRule="auto"/>
        <w:ind w:left="838" w:right="3606"/>
      </w:pPr>
      <w:r>
        <w:t>应测试每个风口风速，核算每个风口的风量及其防烟分区总风量。调试数量：全数调试。</w:t>
      </w:r>
      <w:r>
        <w:t xml:space="preserve"> </w:t>
      </w:r>
    </w:p>
    <w:p w14:paraId="735EDC82" w14:textId="77777777" w:rsidR="00A71EEF" w:rsidRDefault="0081115D">
      <w:pPr>
        <w:pStyle w:val="a4"/>
        <w:numPr>
          <w:ilvl w:val="1"/>
          <w:numId w:val="97"/>
        </w:numPr>
        <w:tabs>
          <w:tab w:val="left" w:pos="1159"/>
        </w:tabs>
        <w:ind w:hanging="319"/>
        <w:rPr>
          <w:b/>
          <w:sz w:val="21"/>
        </w:rPr>
      </w:pPr>
      <w:r>
        <w:rPr>
          <w:spacing w:val="-3"/>
          <w:sz w:val="21"/>
        </w:rPr>
        <w:t>联动调试</w:t>
      </w:r>
      <w:r>
        <w:rPr>
          <w:b/>
          <w:w w:val="99"/>
          <w:sz w:val="21"/>
        </w:rPr>
        <w:t xml:space="preserve"> </w:t>
      </w:r>
    </w:p>
    <w:p w14:paraId="193E4C88" w14:textId="77777777" w:rsidR="00A71EEF" w:rsidRDefault="00A71EEF">
      <w:pPr>
        <w:pStyle w:val="a3"/>
        <w:spacing w:before="10"/>
        <w:rPr>
          <w:b/>
          <w:sz w:val="17"/>
        </w:rPr>
      </w:pPr>
    </w:p>
    <w:p w14:paraId="060AC711" w14:textId="77777777" w:rsidR="00A71EEF" w:rsidRDefault="0081115D">
      <w:pPr>
        <w:pStyle w:val="a4"/>
        <w:numPr>
          <w:ilvl w:val="2"/>
          <w:numId w:val="97"/>
        </w:numPr>
        <w:tabs>
          <w:tab w:val="left" w:pos="1370"/>
        </w:tabs>
        <w:ind w:left="1369" w:hanging="530"/>
        <w:rPr>
          <w:b/>
          <w:sz w:val="21"/>
        </w:rPr>
      </w:pPr>
      <w:r>
        <w:rPr>
          <w:spacing w:val="-3"/>
          <w:sz w:val="21"/>
        </w:rPr>
        <w:t>机械加压送风系统的联动调试方法及要求应符合下列规定：</w:t>
      </w:r>
      <w:r>
        <w:rPr>
          <w:b/>
          <w:w w:val="99"/>
          <w:sz w:val="21"/>
        </w:rPr>
        <w:t xml:space="preserve"> </w:t>
      </w:r>
    </w:p>
    <w:p w14:paraId="6683797E" w14:textId="77777777" w:rsidR="00A71EEF" w:rsidRDefault="00A71EEF">
      <w:pPr>
        <w:pStyle w:val="a3"/>
        <w:spacing w:before="2"/>
        <w:rPr>
          <w:b/>
          <w:sz w:val="18"/>
        </w:rPr>
      </w:pPr>
    </w:p>
    <w:p w14:paraId="5CD8B7F4" w14:textId="77777777" w:rsidR="00A71EEF" w:rsidRDefault="0081115D">
      <w:pPr>
        <w:pStyle w:val="a3"/>
        <w:ind w:left="838"/>
        <w:rPr>
          <w:b/>
        </w:rPr>
      </w:pPr>
      <w:r>
        <w:t>当任何一个常闭送风口开启时，相应的送风机均应能联动启动；</w:t>
      </w:r>
      <w:r>
        <w:rPr>
          <w:b/>
          <w:w w:val="99"/>
        </w:rPr>
        <w:t xml:space="preserve"> </w:t>
      </w:r>
    </w:p>
    <w:p w14:paraId="0115FC0A" w14:textId="77777777" w:rsidR="00A71EEF" w:rsidRDefault="00A71EEF">
      <w:pPr>
        <w:pStyle w:val="a3"/>
        <w:rPr>
          <w:b/>
          <w:sz w:val="18"/>
        </w:rPr>
      </w:pPr>
    </w:p>
    <w:p w14:paraId="4372AA6E" w14:textId="77777777" w:rsidR="00A71EEF" w:rsidRDefault="0081115D">
      <w:pPr>
        <w:pStyle w:val="a3"/>
        <w:spacing w:line="446" w:lineRule="auto"/>
        <w:ind w:left="418" w:right="1431" w:firstLine="419"/>
        <w:jc w:val="both"/>
      </w:pPr>
      <w:r>
        <w:rPr>
          <w:spacing w:val="-6"/>
        </w:rPr>
        <w:t>与火灾自动报警系统联动调试时，当火灾自动报警探测器发出火警信号后，应在</w:t>
      </w:r>
      <w:r>
        <w:rPr>
          <w:spacing w:val="-6"/>
        </w:rPr>
        <w:t xml:space="preserve"> </w:t>
      </w:r>
      <w:r>
        <w:t>15s</w:t>
      </w:r>
      <w:r>
        <w:rPr>
          <w:spacing w:val="-10"/>
        </w:rPr>
        <w:t xml:space="preserve"> </w:t>
      </w:r>
      <w:r>
        <w:rPr>
          <w:spacing w:val="-10"/>
        </w:rPr>
        <w:t>内启动</w:t>
      </w:r>
      <w:r>
        <w:rPr>
          <w:spacing w:val="-8"/>
        </w:rPr>
        <w:t>与设计要求一致的送风口、送风机，且其联动启动方式应符合现行国家标准《火灾自动报警系统</w:t>
      </w:r>
      <w:r>
        <w:rPr>
          <w:spacing w:val="-6"/>
        </w:rPr>
        <w:t>设计规范》</w:t>
      </w:r>
      <w:r>
        <w:t>GB 50116</w:t>
      </w:r>
      <w:r>
        <w:rPr>
          <w:spacing w:val="-9"/>
        </w:rPr>
        <w:t xml:space="preserve"> </w:t>
      </w:r>
      <w:r>
        <w:rPr>
          <w:spacing w:val="-9"/>
        </w:rPr>
        <w:t>的规定，其状态信号应反馈到消防控制室。</w:t>
      </w:r>
      <w:r>
        <w:t xml:space="preserve"> </w:t>
      </w:r>
    </w:p>
    <w:p w14:paraId="21010A8B" w14:textId="77777777" w:rsidR="00A71EEF" w:rsidRDefault="0081115D">
      <w:pPr>
        <w:pStyle w:val="a3"/>
        <w:spacing w:line="268" w:lineRule="exact"/>
        <w:ind w:left="838"/>
      </w:pPr>
      <w:r>
        <w:t>调试数量：全数调试。</w:t>
      </w:r>
      <w:r>
        <w:t xml:space="preserve"> </w:t>
      </w:r>
    </w:p>
    <w:p w14:paraId="3FFE2780" w14:textId="77777777" w:rsidR="00A71EEF" w:rsidRDefault="00A71EEF">
      <w:pPr>
        <w:pStyle w:val="a3"/>
        <w:rPr>
          <w:sz w:val="18"/>
        </w:rPr>
      </w:pPr>
    </w:p>
    <w:p w14:paraId="143E2B66" w14:textId="77777777" w:rsidR="00A71EEF" w:rsidRDefault="0081115D">
      <w:pPr>
        <w:pStyle w:val="a4"/>
        <w:numPr>
          <w:ilvl w:val="2"/>
          <w:numId w:val="97"/>
        </w:numPr>
        <w:tabs>
          <w:tab w:val="left" w:pos="1370"/>
        </w:tabs>
        <w:ind w:left="1369" w:hanging="530"/>
        <w:rPr>
          <w:b/>
          <w:sz w:val="21"/>
        </w:rPr>
      </w:pPr>
      <w:r>
        <w:rPr>
          <w:spacing w:val="-3"/>
          <w:sz w:val="21"/>
        </w:rPr>
        <w:t>机械排烟系统的联动调试方法及要求应符合下列规定：</w:t>
      </w:r>
      <w:r>
        <w:rPr>
          <w:b/>
          <w:w w:val="99"/>
          <w:sz w:val="21"/>
        </w:rPr>
        <w:t xml:space="preserve"> </w:t>
      </w:r>
    </w:p>
    <w:p w14:paraId="3013AFFD" w14:textId="77777777" w:rsidR="00A71EEF" w:rsidRDefault="00A71EEF">
      <w:pPr>
        <w:pStyle w:val="a3"/>
        <w:spacing w:before="2"/>
        <w:rPr>
          <w:b/>
          <w:sz w:val="18"/>
        </w:rPr>
      </w:pPr>
    </w:p>
    <w:p w14:paraId="7E533EC5" w14:textId="77777777" w:rsidR="00A71EEF" w:rsidRDefault="0081115D">
      <w:pPr>
        <w:pStyle w:val="a3"/>
        <w:ind w:left="838"/>
      </w:pPr>
      <w:r>
        <w:t>当任何一个常闭排烟阀或排烟口开启时，排烟风机均应能联动启动。</w:t>
      </w:r>
      <w:r>
        <w:t xml:space="preserve"> </w:t>
      </w:r>
    </w:p>
    <w:p w14:paraId="5A9BFECE" w14:textId="77777777" w:rsidR="00A71EEF" w:rsidRDefault="00A71EEF">
      <w:pPr>
        <w:pStyle w:val="a3"/>
        <w:rPr>
          <w:sz w:val="18"/>
        </w:rPr>
      </w:pPr>
    </w:p>
    <w:p w14:paraId="2D8B0CC3" w14:textId="77777777" w:rsidR="00A71EEF" w:rsidRDefault="0081115D">
      <w:pPr>
        <w:pStyle w:val="a3"/>
        <w:spacing w:line="446" w:lineRule="auto"/>
        <w:ind w:left="418" w:right="1431" w:firstLine="419"/>
        <w:jc w:val="both"/>
      </w:pPr>
      <w:r>
        <w:rPr>
          <w:spacing w:val="-5"/>
        </w:rPr>
        <w:t>应与火灾自动报警系统联动调试。当火灾自动报警系统发出火警信号后，机械排烟系统应启</w:t>
      </w:r>
      <w:r>
        <w:rPr>
          <w:spacing w:val="-7"/>
        </w:rPr>
        <w:t>动有关部位的排烟阀或排烟口、排烟风机；启动的排烟阀或排烟口、排烟风机应与设计和标准要</w:t>
      </w:r>
      <w:r>
        <w:rPr>
          <w:spacing w:val="-5"/>
        </w:rPr>
        <w:t>求一致，其状态信号应反馈到消防控制室。</w:t>
      </w:r>
      <w:r>
        <w:t xml:space="preserve"> </w:t>
      </w:r>
    </w:p>
    <w:p w14:paraId="4A756C35" w14:textId="77777777" w:rsidR="00A71EEF" w:rsidRDefault="0081115D">
      <w:pPr>
        <w:pStyle w:val="a3"/>
        <w:spacing w:line="268" w:lineRule="exact"/>
        <w:ind w:left="838"/>
      </w:pPr>
      <w:r>
        <w:t>有补风要求的机械排烟场所，当火灾确认后，补风系统应启动。</w:t>
      </w:r>
      <w:r>
        <w:t xml:space="preserve"> </w:t>
      </w:r>
    </w:p>
    <w:p w14:paraId="15C4FF27" w14:textId="77777777" w:rsidR="00A71EEF" w:rsidRDefault="00A71EEF">
      <w:pPr>
        <w:pStyle w:val="a3"/>
        <w:spacing w:before="12"/>
        <w:rPr>
          <w:sz w:val="17"/>
        </w:rPr>
      </w:pPr>
    </w:p>
    <w:p w14:paraId="417D4319" w14:textId="77777777" w:rsidR="00A71EEF" w:rsidRDefault="0081115D">
      <w:pPr>
        <w:pStyle w:val="a3"/>
        <w:spacing w:line="446" w:lineRule="auto"/>
        <w:ind w:left="418" w:right="1435" w:firstLine="419"/>
      </w:pPr>
      <w:r>
        <w:rPr>
          <w:spacing w:val="-7"/>
        </w:rPr>
        <w:t>排烟系统与通风、空调系统合用，当火灾自动报警系统发出火警信号后，由通风、空调系统</w:t>
      </w:r>
      <w:r>
        <w:rPr>
          <w:spacing w:val="-8"/>
        </w:rPr>
        <w:t>转换为排烟系统的时间应符合本标准第</w:t>
      </w:r>
      <w:r>
        <w:rPr>
          <w:spacing w:val="-8"/>
        </w:rPr>
        <w:t xml:space="preserve"> </w:t>
      </w:r>
      <w:r>
        <w:t>5.2.3</w:t>
      </w:r>
      <w:r>
        <w:rPr>
          <w:spacing w:val="-11"/>
        </w:rPr>
        <w:t xml:space="preserve"> </w:t>
      </w:r>
      <w:r>
        <w:rPr>
          <w:spacing w:val="-11"/>
        </w:rPr>
        <w:t>条的规定。</w:t>
      </w:r>
      <w:r>
        <w:t xml:space="preserve"> </w:t>
      </w:r>
    </w:p>
    <w:p w14:paraId="7D83FE4E" w14:textId="77777777" w:rsidR="00A71EEF" w:rsidRDefault="0081115D">
      <w:pPr>
        <w:pStyle w:val="a3"/>
        <w:spacing w:before="1"/>
        <w:ind w:left="838"/>
      </w:pPr>
      <w:r>
        <w:t>调试数量：全数调试。</w:t>
      </w:r>
      <w:r>
        <w:t xml:space="preserve"> </w:t>
      </w:r>
    </w:p>
    <w:p w14:paraId="4BBFE993" w14:textId="77777777" w:rsidR="00A71EEF" w:rsidRDefault="00A71EEF">
      <w:pPr>
        <w:pStyle w:val="a3"/>
        <w:spacing w:before="12"/>
        <w:rPr>
          <w:sz w:val="17"/>
        </w:rPr>
      </w:pPr>
    </w:p>
    <w:p w14:paraId="1C709455" w14:textId="77777777" w:rsidR="00A71EEF" w:rsidRDefault="0081115D">
      <w:pPr>
        <w:pStyle w:val="a4"/>
        <w:numPr>
          <w:ilvl w:val="2"/>
          <w:numId w:val="97"/>
        </w:numPr>
        <w:tabs>
          <w:tab w:val="left" w:pos="1370"/>
        </w:tabs>
        <w:ind w:left="1369" w:hanging="530"/>
        <w:rPr>
          <w:b/>
          <w:sz w:val="21"/>
        </w:rPr>
      </w:pPr>
      <w:r>
        <w:rPr>
          <w:spacing w:val="-3"/>
          <w:sz w:val="21"/>
        </w:rPr>
        <w:t>自动排烟窗的联动调试方法及要求应符合下列规定：</w:t>
      </w:r>
      <w:r>
        <w:rPr>
          <w:b/>
          <w:w w:val="99"/>
          <w:sz w:val="21"/>
        </w:rPr>
        <w:t xml:space="preserve"> </w:t>
      </w:r>
    </w:p>
    <w:p w14:paraId="25F731E2" w14:textId="77777777" w:rsidR="00A71EEF" w:rsidRDefault="00A71EEF">
      <w:pPr>
        <w:pStyle w:val="a3"/>
        <w:spacing w:before="2"/>
        <w:rPr>
          <w:b/>
          <w:sz w:val="18"/>
        </w:rPr>
      </w:pPr>
    </w:p>
    <w:p w14:paraId="17417D00" w14:textId="77777777" w:rsidR="00A71EEF" w:rsidRDefault="0081115D">
      <w:pPr>
        <w:pStyle w:val="a3"/>
        <w:spacing w:line="446" w:lineRule="auto"/>
        <w:ind w:left="838" w:right="2345"/>
      </w:pPr>
      <w:r>
        <w:rPr>
          <w:spacing w:val="-3"/>
        </w:rPr>
        <w:t>自动排烟窗应在火灾自动报警系统发出火警信号后联动开启到符合要求的位置；</w:t>
      </w:r>
      <w:r>
        <w:rPr>
          <w:spacing w:val="-3"/>
        </w:rPr>
        <w:t xml:space="preserve"> </w:t>
      </w:r>
      <w:r>
        <w:rPr>
          <w:spacing w:val="-3"/>
        </w:rPr>
        <w:t>动作状态信号应反馈到消防控制室。</w:t>
      </w:r>
      <w:r>
        <w:t xml:space="preserve"> </w:t>
      </w:r>
    </w:p>
    <w:p w14:paraId="466530EE" w14:textId="77777777" w:rsidR="00A71EEF" w:rsidRDefault="0081115D">
      <w:pPr>
        <w:pStyle w:val="a3"/>
        <w:spacing w:line="267" w:lineRule="exact"/>
        <w:ind w:left="838"/>
      </w:pPr>
      <w:r>
        <w:t>调试数量：全数调试。</w:t>
      </w:r>
      <w:r>
        <w:t xml:space="preserve"> </w:t>
      </w:r>
    </w:p>
    <w:p w14:paraId="331302B0" w14:textId="77777777" w:rsidR="00A71EEF" w:rsidRDefault="00A71EEF">
      <w:pPr>
        <w:pStyle w:val="a3"/>
        <w:spacing w:before="2"/>
        <w:rPr>
          <w:sz w:val="18"/>
        </w:rPr>
      </w:pPr>
    </w:p>
    <w:p w14:paraId="7B5AE6D0" w14:textId="77777777" w:rsidR="00A71EEF" w:rsidRDefault="0081115D">
      <w:pPr>
        <w:pStyle w:val="a4"/>
        <w:numPr>
          <w:ilvl w:val="2"/>
          <w:numId w:val="97"/>
        </w:numPr>
        <w:tabs>
          <w:tab w:val="left" w:pos="1371"/>
        </w:tabs>
        <w:ind w:left="1370"/>
        <w:rPr>
          <w:b/>
          <w:sz w:val="21"/>
        </w:rPr>
      </w:pPr>
      <w:r>
        <w:rPr>
          <w:spacing w:val="-3"/>
          <w:sz w:val="21"/>
        </w:rPr>
        <w:t>活动挡烟垂壁的联动调试方法及要求应符合下列规定：</w:t>
      </w:r>
      <w:r>
        <w:rPr>
          <w:b/>
          <w:w w:val="99"/>
          <w:sz w:val="21"/>
        </w:rPr>
        <w:t xml:space="preserve"> </w:t>
      </w:r>
    </w:p>
    <w:p w14:paraId="6955A156" w14:textId="77777777" w:rsidR="00A71EEF" w:rsidRDefault="00A71EEF">
      <w:pPr>
        <w:pStyle w:val="a3"/>
        <w:spacing w:before="12"/>
        <w:rPr>
          <w:b/>
          <w:sz w:val="17"/>
        </w:rPr>
      </w:pPr>
    </w:p>
    <w:p w14:paraId="151B501D" w14:textId="77777777" w:rsidR="00A71EEF" w:rsidRDefault="0081115D">
      <w:pPr>
        <w:pStyle w:val="a3"/>
        <w:spacing w:line="446" w:lineRule="auto"/>
        <w:ind w:left="838" w:right="4866"/>
      </w:pPr>
      <w:r>
        <w:t>活动挡烟垂壁应在火灾报警后联动下降到设计高度；</w:t>
      </w:r>
      <w:r>
        <w:t xml:space="preserve"> </w:t>
      </w:r>
      <w:r>
        <w:t>动作状态信号应反馈到消防控制室。</w:t>
      </w:r>
      <w:r>
        <w:t xml:space="preserve"> </w:t>
      </w:r>
    </w:p>
    <w:p w14:paraId="53DD2347" w14:textId="77777777" w:rsidR="00A71EEF" w:rsidRDefault="0081115D">
      <w:pPr>
        <w:pStyle w:val="a3"/>
        <w:ind w:left="838"/>
      </w:pPr>
      <w:r>
        <w:t>调试数量：全数调试。</w:t>
      </w:r>
      <w:r>
        <w:t xml:space="preserve"> </w:t>
      </w:r>
    </w:p>
    <w:p w14:paraId="659F4437" w14:textId="77777777" w:rsidR="00A71EEF" w:rsidRDefault="00A71EEF">
      <w:pPr>
        <w:sectPr w:rsidR="00A71EEF">
          <w:pgSz w:w="11910" w:h="16850"/>
          <w:pgMar w:top="1220" w:right="0" w:bottom="1420" w:left="1260" w:header="0" w:footer="1239" w:gutter="0"/>
          <w:cols w:space="720"/>
        </w:sectPr>
      </w:pPr>
    </w:p>
    <w:p w14:paraId="2A08E1A0" w14:textId="77777777" w:rsidR="00A71EEF" w:rsidRDefault="0081115D">
      <w:pPr>
        <w:pStyle w:val="4"/>
        <w:spacing w:before="37"/>
      </w:pPr>
      <w:r>
        <w:t xml:space="preserve">8 </w:t>
      </w:r>
      <w:r>
        <w:t>系统验收</w:t>
      </w:r>
      <w:r>
        <w:rPr>
          <w:w w:val="99"/>
        </w:rPr>
        <w:t xml:space="preserve"> </w:t>
      </w:r>
    </w:p>
    <w:p w14:paraId="31C48354" w14:textId="77777777" w:rsidR="00A71EEF" w:rsidRDefault="00A71EEF">
      <w:pPr>
        <w:pStyle w:val="a3"/>
        <w:spacing w:before="4"/>
        <w:rPr>
          <w:b/>
          <w:sz w:val="17"/>
        </w:rPr>
      </w:pPr>
    </w:p>
    <w:p w14:paraId="5AEEFCF0" w14:textId="77777777" w:rsidR="00A71EEF" w:rsidRDefault="0081115D">
      <w:pPr>
        <w:pStyle w:val="a4"/>
        <w:numPr>
          <w:ilvl w:val="1"/>
          <w:numId w:val="96"/>
        </w:numPr>
        <w:tabs>
          <w:tab w:val="left" w:pos="1160"/>
        </w:tabs>
        <w:spacing w:before="1"/>
        <w:rPr>
          <w:b/>
          <w:sz w:val="21"/>
        </w:rPr>
      </w:pPr>
      <w:r>
        <w:rPr>
          <w:spacing w:val="-3"/>
          <w:sz w:val="21"/>
        </w:rPr>
        <w:t>—</w:t>
      </w:r>
      <w:r>
        <w:rPr>
          <w:spacing w:val="-3"/>
          <w:sz w:val="21"/>
        </w:rPr>
        <w:t>般规定</w:t>
      </w:r>
      <w:r>
        <w:rPr>
          <w:b/>
          <w:w w:val="99"/>
          <w:sz w:val="21"/>
        </w:rPr>
        <w:t xml:space="preserve"> </w:t>
      </w:r>
    </w:p>
    <w:p w14:paraId="1D6A71B6" w14:textId="77777777" w:rsidR="00A71EEF" w:rsidRDefault="00A71EEF">
      <w:pPr>
        <w:pStyle w:val="a3"/>
        <w:spacing w:before="12"/>
        <w:rPr>
          <w:b/>
          <w:sz w:val="17"/>
        </w:rPr>
      </w:pPr>
    </w:p>
    <w:p w14:paraId="17990386" w14:textId="77777777" w:rsidR="00A71EEF" w:rsidRDefault="0081115D">
      <w:pPr>
        <w:pStyle w:val="a4"/>
        <w:numPr>
          <w:ilvl w:val="2"/>
          <w:numId w:val="96"/>
        </w:numPr>
        <w:tabs>
          <w:tab w:val="left" w:pos="1370"/>
        </w:tabs>
        <w:ind w:hanging="530"/>
        <w:rPr>
          <w:sz w:val="21"/>
        </w:rPr>
      </w:pPr>
      <w:r>
        <w:rPr>
          <w:spacing w:val="-3"/>
          <w:sz w:val="21"/>
        </w:rPr>
        <w:t>系统竣工后，应进行工程验收，验收不合格不得投入使用。</w:t>
      </w:r>
      <w:r>
        <w:rPr>
          <w:sz w:val="21"/>
        </w:rPr>
        <w:t xml:space="preserve"> </w:t>
      </w:r>
    </w:p>
    <w:p w14:paraId="6428EC31" w14:textId="77777777" w:rsidR="00A71EEF" w:rsidRDefault="00A71EEF">
      <w:pPr>
        <w:pStyle w:val="a3"/>
        <w:spacing w:before="2"/>
        <w:rPr>
          <w:sz w:val="18"/>
        </w:rPr>
      </w:pPr>
    </w:p>
    <w:p w14:paraId="10F9FCB4" w14:textId="77777777" w:rsidR="00A71EEF" w:rsidRDefault="0081115D">
      <w:pPr>
        <w:pStyle w:val="a4"/>
        <w:numPr>
          <w:ilvl w:val="2"/>
          <w:numId w:val="96"/>
        </w:numPr>
        <w:tabs>
          <w:tab w:val="left" w:pos="1371"/>
        </w:tabs>
        <w:ind w:left="1370" w:hanging="531"/>
        <w:rPr>
          <w:sz w:val="21"/>
        </w:rPr>
      </w:pPr>
      <w:r>
        <w:rPr>
          <w:spacing w:val="-3"/>
          <w:sz w:val="21"/>
        </w:rPr>
        <w:t>工程验收工作应由建设单位负责，并应组织设计、施工、监理等单位共同进行。</w:t>
      </w:r>
      <w:r>
        <w:rPr>
          <w:sz w:val="21"/>
        </w:rPr>
        <w:t xml:space="preserve"> </w:t>
      </w:r>
    </w:p>
    <w:p w14:paraId="61604441" w14:textId="77777777" w:rsidR="00A71EEF" w:rsidRDefault="00A71EEF">
      <w:pPr>
        <w:pStyle w:val="a3"/>
        <w:spacing w:before="12"/>
        <w:rPr>
          <w:sz w:val="17"/>
        </w:rPr>
      </w:pPr>
    </w:p>
    <w:p w14:paraId="45275AAA" w14:textId="77777777" w:rsidR="00A71EEF" w:rsidRDefault="0081115D">
      <w:pPr>
        <w:pStyle w:val="a4"/>
        <w:numPr>
          <w:ilvl w:val="2"/>
          <w:numId w:val="96"/>
        </w:numPr>
        <w:tabs>
          <w:tab w:val="left" w:pos="1371"/>
        </w:tabs>
        <w:ind w:left="1370" w:hanging="531"/>
        <w:rPr>
          <w:sz w:val="21"/>
        </w:rPr>
      </w:pPr>
      <w:r>
        <w:rPr>
          <w:spacing w:val="-7"/>
          <w:sz w:val="21"/>
        </w:rPr>
        <w:t>系统验收时应按本标准附录</w:t>
      </w:r>
      <w:r>
        <w:rPr>
          <w:spacing w:val="-7"/>
          <w:sz w:val="21"/>
        </w:rPr>
        <w:t xml:space="preserve"> </w:t>
      </w:r>
      <w:r>
        <w:rPr>
          <w:sz w:val="21"/>
        </w:rPr>
        <w:t>F</w:t>
      </w:r>
      <w:r>
        <w:rPr>
          <w:spacing w:val="-8"/>
          <w:sz w:val="21"/>
        </w:rPr>
        <w:t xml:space="preserve"> </w:t>
      </w:r>
      <w:r>
        <w:rPr>
          <w:spacing w:val="-8"/>
          <w:sz w:val="21"/>
        </w:rPr>
        <w:t>填写防烟、排烟系统及隐蔽工程验收记录表。</w:t>
      </w:r>
      <w:r>
        <w:rPr>
          <w:sz w:val="21"/>
        </w:rPr>
        <w:t xml:space="preserve"> </w:t>
      </w:r>
    </w:p>
    <w:p w14:paraId="11CDF890" w14:textId="77777777" w:rsidR="00A71EEF" w:rsidRDefault="00A71EEF">
      <w:pPr>
        <w:pStyle w:val="a3"/>
        <w:spacing w:before="12"/>
        <w:rPr>
          <w:sz w:val="17"/>
        </w:rPr>
      </w:pPr>
    </w:p>
    <w:p w14:paraId="25C566C2" w14:textId="77777777" w:rsidR="00A71EEF" w:rsidRDefault="0081115D">
      <w:pPr>
        <w:pStyle w:val="a4"/>
        <w:numPr>
          <w:ilvl w:val="2"/>
          <w:numId w:val="96"/>
        </w:numPr>
        <w:tabs>
          <w:tab w:val="left" w:pos="1371"/>
        </w:tabs>
        <w:ind w:left="1370" w:hanging="531"/>
        <w:rPr>
          <w:sz w:val="21"/>
        </w:rPr>
      </w:pPr>
      <w:r>
        <w:rPr>
          <w:spacing w:val="-3"/>
          <w:sz w:val="21"/>
        </w:rPr>
        <w:t>工程竣工验收时，施工单位应提供下列资料：</w:t>
      </w:r>
      <w:r>
        <w:rPr>
          <w:spacing w:val="-3"/>
          <w:sz w:val="21"/>
        </w:rPr>
        <w:t xml:space="preserve"> </w:t>
      </w:r>
    </w:p>
    <w:p w14:paraId="2103EE08" w14:textId="77777777" w:rsidR="00A71EEF" w:rsidRDefault="00A71EEF">
      <w:pPr>
        <w:pStyle w:val="a3"/>
        <w:spacing w:before="2"/>
        <w:rPr>
          <w:sz w:val="18"/>
        </w:rPr>
      </w:pPr>
    </w:p>
    <w:p w14:paraId="2ECF5C4F" w14:textId="77777777" w:rsidR="00A71EEF" w:rsidRDefault="0081115D">
      <w:pPr>
        <w:pStyle w:val="a3"/>
        <w:ind w:left="838"/>
      </w:pPr>
      <w:r>
        <w:t>竣工验收申请报告；</w:t>
      </w:r>
      <w:r>
        <w:t xml:space="preserve"> </w:t>
      </w:r>
    </w:p>
    <w:p w14:paraId="64150D67" w14:textId="77777777" w:rsidR="00A71EEF" w:rsidRDefault="00A71EEF">
      <w:pPr>
        <w:pStyle w:val="a3"/>
        <w:rPr>
          <w:sz w:val="18"/>
        </w:rPr>
      </w:pPr>
    </w:p>
    <w:p w14:paraId="16B005EE" w14:textId="77777777" w:rsidR="00A71EEF" w:rsidRDefault="0081115D">
      <w:pPr>
        <w:pStyle w:val="a3"/>
        <w:spacing w:before="1" w:line="446" w:lineRule="auto"/>
        <w:ind w:left="838" w:right="3397"/>
      </w:pPr>
      <w:r>
        <w:t>施工图、设计说明书、设计变更通知书和设计审核意见书、竣工图；</w:t>
      </w:r>
      <w:r>
        <w:t xml:space="preserve"> </w:t>
      </w:r>
      <w:r>
        <w:t>工程质量事故处理报告；</w:t>
      </w:r>
      <w:r>
        <w:t xml:space="preserve"> </w:t>
      </w:r>
    </w:p>
    <w:p w14:paraId="79E0494F" w14:textId="77777777" w:rsidR="00A71EEF" w:rsidRDefault="0081115D">
      <w:pPr>
        <w:pStyle w:val="a3"/>
        <w:ind w:left="838"/>
      </w:pPr>
      <w:r>
        <w:t>防烟、排烟系统施工过程质量检查记录；</w:t>
      </w:r>
      <w:r>
        <w:t xml:space="preserve"> </w:t>
      </w:r>
    </w:p>
    <w:p w14:paraId="2C695157" w14:textId="77777777" w:rsidR="00A71EEF" w:rsidRDefault="00A71EEF">
      <w:pPr>
        <w:pStyle w:val="a3"/>
        <w:spacing w:before="12"/>
        <w:rPr>
          <w:sz w:val="17"/>
        </w:rPr>
      </w:pPr>
    </w:p>
    <w:p w14:paraId="5F6230F9" w14:textId="77777777" w:rsidR="00A71EEF" w:rsidRDefault="0081115D">
      <w:pPr>
        <w:pStyle w:val="a3"/>
        <w:spacing w:line="446" w:lineRule="auto"/>
        <w:ind w:left="840" w:right="5497" w:hanging="3"/>
      </w:pPr>
      <w:r>
        <w:t>防烟、排烟系统工程质量控制资料检查记录。</w:t>
      </w:r>
      <w:r>
        <w:rPr>
          <w:b/>
        </w:rPr>
        <w:t xml:space="preserve">8.2 </w:t>
      </w:r>
      <w:r>
        <w:t>工程验收</w:t>
      </w:r>
      <w:r>
        <w:t xml:space="preserve"> </w:t>
      </w:r>
    </w:p>
    <w:p w14:paraId="54FDAD67" w14:textId="77777777" w:rsidR="00A71EEF" w:rsidRDefault="0081115D">
      <w:pPr>
        <w:pStyle w:val="a4"/>
        <w:numPr>
          <w:ilvl w:val="2"/>
          <w:numId w:val="95"/>
        </w:numPr>
        <w:tabs>
          <w:tab w:val="left" w:pos="1371"/>
        </w:tabs>
        <w:rPr>
          <w:b/>
          <w:sz w:val="21"/>
        </w:rPr>
      </w:pPr>
      <w:r>
        <w:rPr>
          <w:spacing w:val="-3"/>
          <w:sz w:val="21"/>
        </w:rPr>
        <w:t>防烟、排烟系统观感质量的综合验收方法及要求应符合下列规定：</w:t>
      </w:r>
      <w:r>
        <w:rPr>
          <w:b/>
          <w:w w:val="99"/>
          <w:sz w:val="21"/>
        </w:rPr>
        <w:t xml:space="preserve"> </w:t>
      </w:r>
    </w:p>
    <w:p w14:paraId="22F2264E" w14:textId="77777777" w:rsidR="00A71EEF" w:rsidRDefault="00A71EEF">
      <w:pPr>
        <w:pStyle w:val="a3"/>
        <w:spacing w:before="12"/>
        <w:rPr>
          <w:b/>
          <w:sz w:val="17"/>
        </w:rPr>
      </w:pPr>
    </w:p>
    <w:p w14:paraId="3EB448AA" w14:textId="77777777" w:rsidR="00A71EEF" w:rsidRDefault="0081115D">
      <w:pPr>
        <w:pStyle w:val="a3"/>
        <w:spacing w:line="446" w:lineRule="auto"/>
        <w:ind w:left="838" w:right="1505"/>
      </w:pPr>
      <w:r>
        <w:rPr>
          <w:spacing w:val="-3"/>
        </w:rPr>
        <w:t>风管表面应平整、无损坏；接管合理，风管的连接以及风管与风机的连接应无明显缺陷。风口表面应平整，颜色一致，安装位置正确，风口可调节部件应能正常动作。</w:t>
      </w:r>
      <w:r>
        <w:rPr>
          <w:spacing w:val="-3"/>
        </w:rPr>
        <w:t xml:space="preserve"> </w:t>
      </w:r>
    </w:p>
    <w:p w14:paraId="255482CB" w14:textId="77777777" w:rsidR="00A71EEF" w:rsidRDefault="0081115D">
      <w:pPr>
        <w:pStyle w:val="a3"/>
        <w:ind w:left="838"/>
      </w:pPr>
      <w:r>
        <w:t>各类调节装置安装应正确牢固、调节灵活，操作方便。</w:t>
      </w:r>
      <w:r>
        <w:t xml:space="preserve"> </w:t>
      </w:r>
    </w:p>
    <w:p w14:paraId="362A61D7" w14:textId="77777777" w:rsidR="00A71EEF" w:rsidRDefault="00A71EEF">
      <w:pPr>
        <w:pStyle w:val="a3"/>
        <w:rPr>
          <w:sz w:val="18"/>
        </w:rPr>
      </w:pPr>
    </w:p>
    <w:p w14:paraId="12F84282" w14:textId="77777777" w:rsidR="00A71EEF" w:rsidRDefault="0081115D">
      <w:pPr>
        <w:pStyle w:val="a3"/>
        <w:spacing w:line="446" w:lineRule="auto"/>
        <w:ind w:left="838" w:right="4026"/>
      </w:pPr>
      <w:r>
        <w:t>风管、部件及管道的支、吊架形式、位置及间距应符合要求。风机的安装应正确牢固。</w:t>
      </w:r>
      <w:r>
        <w:t xml:space="preserve"> </w:t>
      </w:r>
    </w:p>
    <w:p w14:paraId="591C410E" w14:textId="77777777" w:rsidR="00A71EEF" w:rsidRDefault="0081115D">
      <w:pPr>
        <w:pStyle w:val="a3"/>
        <w:ind w:left="838"/>
      </w:pPr>
      <w:r>
        <w:t>检查数量：各系统按</w:t>
      </w:r>
      <w:r>
        <w:t xml:space="preserve"> 30%</w:t>
      </w:r>
      <w:r>
        <w:t>抽查。</w:t>
      </w:r>
      <w:r>
        <w:t xml:space="preserve"> </w:t>
      </w:r>
    </w:p>
    <w:p w14:paraId="2BF88908" w14:textId="77777777" w:rsidR="00A71EEF" w:rsidRDefault="00A71EEF">
      <w:pPr>
        <w:pStyle w:val="a3"/>
        <w:rPr>
          <w:sz w:val="18"/>
        </w:rPr>
      </w:pPr>
    </w:p>
    <w:p w14:paraId="78ADD4AA" w14:textId="77777777" w:rsidR="00A71EEF" w:rsidRDefault="0081115D">
      <w:pPr>
        <w:pStyle w:val="a4"/>
        <w:numPr>
          <w:ilvl w:val="2"/>
          <w:numId w:val="95"/>
        </w:numPr>
        <w:tabs>
          <w:tab w:val="left" w:pos="1370"/>
        </w:tabs>
        <w:ind w:left="1369" w:hanging="530"/>
        <w:rPr>
          <w:b/>
          <w:sz w:val="21"/>
        </w:rPr>
      </w:pPr>
      <w:r>
        <w:rPr>
          <w:spacing w:val="-3"/>
          <w:sz w:val="21"/>
        </w:rPr>
        <w:t>防烟、排烟系统设备手动功能的验收方法及要求应符合下列规定：</w:t>
      </w:r>
      <w:r>
        <w:rPr>
          <w:b/>
          <w:w w:val="99"/>
          <w:sz w:val="21"/>
        </w:rPr>
        <w:t xml:space="preserve"> </w:t>
      </w:r>
    </w:p>
    <w:p w14:paraId="3FC47904" w14:textId="77777777" w:rsidR="00A71EEF" w:rsidRDefault="00A71EEF">
      <w:pPr>
        <w:pStyle w:val="a3"/>
        <w:spacing w:before="12"/>
        <w:rPr>
          <w:b/>
          <w:sz w:val="17"/>
        </w:rPr>
      </w:pPr>
    </w:p>
    <w:p w14:paraId="6F6360A6" w14:textId="77777777" w:rsidR="00A71EEF" w:rsidRDefault="0081115D">
      <w:pPr>
        <w:pStyle w:val="a3"/>
        <w:ind w:left="838"/>
      </w:pPr>
      <w:r>
        <w:t>送风机、排烟风机应能正常手动启动和停止，状态信号应在消防控制室显示；</w:t>
      </w:r>
      <w:r>
        <w:t xml:space="preserve"> </w:t>
      </w:r>
    </w:p>
    <w:p w14:paraId="527FA41C" w14:textId="77777777" w:rsidR="00A71EEF" w:rsidRDefault="00A71EEF">
      <w:pPr>
        <w:pStyle w:val="a3"/>
        <w:spacing w:before="2"/>
        <w:rPr>
          <w:sz w:val="18"/>
        </w:rPr>
      </w:pPr>
    </w:p>
    <w:p w14:paraId="05C79DEB" w14:textId="77777777" w:rsidR="00A71EEF" w:rsidRDefault="0081115D">
      <w:pPr>
        <w:pStyle w:val="a3"/>
        <w:spacing w:line="446" w:lineRule="auto"/>
        <w:ind w:left="418" w:right="1609" w:firstLine="419"/>
      </w:pPr>
      <w:r>
        <w:t>送风口、排烟阀或排烟口应能正常手动开启和复位，阀门关闭严密，动作信号应在消防控制室显示；</w:t>
      </w:r>
      <w:r>
        <w:t xml:space="preserve"> </w:t>
      </w:r>
    </w:p>
    <w:p w14:paraId="5601E862" w14:textId="77777777" w:rsidR="00A71EEF" w:rsidRDefault="0081115D">
      <w:pPr>
        <w:pStyle w:val="a3"/>
        <w:spacing w:line="446" w:lineRule="auto"/>
        <w:ind w:left="838" w:right="1714"/>
      </w:pPr>
      <w:r>
        <w:rPr>
          <w:spacing w:val="-3"/>
        </w:rPr>
        <w:t>活动挡烟垂壁、自动排烟窗应能正常手动开启和复位，动作信号应在消防控制室显示。</w:t>
      </w:r>
      <w:r>
        <w:rPr>
          <w:spacing w:val="-8"/>
        </w:rPr>
        <w:t>检查数量：各系统按</w:t>
      </w:r>
      <w:r>
        <w:rPr>
          <w:spacing w:val="-8"/>
        </w:rPr>
        <w:t xml:space="preserve"> </w:t>
      </w:r>
      <w:r>
        <w:t>30</w:t>
      </w:r>
      <w:r>
        <w:rPr>
          <w:spacing w:val="-1"/>
        </w:rPr>
        <w:t>%</w:t>
      </w:r>
      <w:r>
        <w:rPr>
          <w:spacing w:val="-1"/>
        </w:rPr>
        <w:t>抽查。</w:t>
      </w:r>
      <w:r>
        <w:t xml:space="preserve"> </w:t>
      </w:r>
    </w:p>
    <w:p w14:paraId="223CD14B" w14:textId="77777777" w:rsidR="00A71EEF" w:rsidRDefault="0081115D">
      <w:pPr>
        <w:pStyle w:val="a4"/>
        <w:numPr>
          <w:ilvl w:val="2"/>
          <w:numId w:val="95"/>
        </w:numPr>
        <w:tabs>
          <w:tab w:val="left" w:pos="1371"/>
        </w:tabs>
        <w:rPr>
          <w:b/>
          <w:sz w:val="21"/>
        </w:rPr>
      </w:pPr>
      <w:r>
        <w:rPr>
          <w:spacing w:val="-3"/>
          <w:sz w:val="21"/>
        </w:rPr>
        <w:t>防烟、排烟系统设备应按设计联动启动，其功能验收方法及要求应符合下列规定：</w:t>
      </w:r>
      <w:r>
        <w:rPr>
          <w:b/>
          <w:w w:val="99"/>
          <w:sz w:val="21"/>
        </w:rPr>
        <w:t xml:space="preserve"> </w:t>
      </w:r>
    </w:p>
    <w:p w14:paraId="1235EDFC" w14:textId="77777777" w:rsidR="00A71EEF" w:rsidRDefault="00A71EEF">
      <w:pPr>
        <w:pStyle w:val="a3"/>
        <w:spacing w:before="10"/>
        <w:rPr>
          <w:b/>
          <w:sz w:val="17"/>
        </w:rPr>
      </w:pPr>
    </w:p>
    <w:p w14:paraId="39F797D1" w14:textId="77777777" w:rsidR="00A71EEF" w:rsidRDefault="0081115D">
      <w:pPr>
        <w:pStyle w:val="a3"/>
        <w:ind w:left="838"/>
      </w:pPr>
      <w:r>
        <w:t>送风口的开启和送风机的启动应符合本标准第</w:t>
      </w:r>
      <w:r>
        <w:t xml:space="preserve"> 5.1.2 </w:t>
      </w:r>
      <w:r>
        <w:t>条、第</w:t>
      </w:r>
      <w:r>
        <w:t xml:space="preserve"> 5.1.3 </w:t>
      </w:r>
      <w:r>
        <w:t>条的规定；</w:t>
      </w:r>
      <w:r>
        <w:t xml:space="preserve"> </w:t>
      </w:r>
    </w:p>
    <w:p w14:paraId="6A87FA66" w14:textId="77777777" w:rsidR="00A71EEF" w:rsidRDefault="00A71EEF">
      <w:pPr>
        <w:pStyle w:val="a3"/>
        <w:spacing w:before="2"/>
        <w:rPr>
          <w:sz w:val="18"/>
        </w:rPr>
      </w:pPr>
    </w:p>
    <w:p w14:paraId="7D9E1436" w14:textId="77777777" w:rsidR="00A71EEF" w:rsidRDefault="0081115D">
      <w:pPr>
        <w:pStyle w:val="a3"/>
        <w:ind w:left="838"/>
      </w:pPr>
      <w:r>
        <w:t>排烟阀或排烟口的开启和排烟风机的启动应符合本标准第</w:t>
      </w:r>
      <w:r>
        <w:t xml:space="preserve"> 5.2.2 </w:t>
      </w:r>
      <w:r>
        <w:t>条</w:t>
      </w:r>
      <w:r>
        <w:t>、第</w:t>
      </w:r>
      <w:r>
        <w:t xml:space="preserve"> 5.2.3 </w:t>
      </w:r>
      <w:r>
        <w:t>条和第</w:t>
      </w:r>
      <w:r>
        <w:t xml:space="preserve"> 5.2.4</w:t>
      </w:r>
    </w:p>
    <w:p w14:paraId="347A50CE" w14:textId="77777777" w:rsidR="00A71EEF" w:rsidRDefault="00A71EEF">
      <w:pPr>
        <w:sectPr w:rsidR="00A71EEF">
          <w:pgSz w:w="11910" w:h="16850"/>
          <w:pgMar w:top="1200" w:right="0" w:bottom="1420" w:left="1260" w:header="0" w:footer="1239" w:gutter="0"/>
          <w:cols w:space="720"/>
        </w:sectPr>
      </w:pPr>
    </w:p>
    <w:p w14:paraId="537ACBF9" w14:textId="77777777" w:rsidR="00A71EEF" w:rsidRDefault="0081115D">
      <w:pPr>
        <w:pStyle w:val="a3"/>
        <w:spacing w:before="47"/>
        <w:ind w:left="418"/>
      </w:pPr>
      <w:r>
        <w:t>条的规定；</w:t>
      </w:r>
      <w:r>
        <w:t xml:space="preserve"> </w:t>
      </w:r>
    </w:p>
    <w:p w14:paraId="28EFE0D5" w14:textId="77777777" w:rsidR="00A71EEF" w:rsidRDefault="00A71EEF">
      <w:pPr>
        <w:pStyle w:val="a3"/>
        <w:rPr>
          <w:sz w:val="18"/>
        </w:rPr>
      </w:pPr>
    </w:p>
    <w:p w14:paraId="159108E6" w14:textId="77777777" w:rsidR="00A71EEF" w:rsidRDefault="0081115D">
      <w:pPr>
        <w:pStyle w:val="a3"/>
        <w:ind w:left="838"/>
      </w:pPr>
      <w:r>
        <w:t>活动挡烟垂壁开启到位的时间应符合本标准第</w:t>
      </w:r>
      <w:r>
        <w:t xml:space="preserve"> 5.2.5 </w:t>
      </w:r>
      <w:r>
        <w:t>条的规定；</w:t>
      </w:r>
      <w:r>
        <w:t xml:space="preserve"> </w:t>
      </w:r>
    </w:p>
    <w:p w14:paraId="780F17E6" w14:textId="77777777" w:rsidR="00A71EEF" w:rsidRDefault="00A71EEF">
      <w:pPr>
        <w:pStyle w:val="a3"/>
        <w:rPr>
          <w:sz w:val="18"/>
        </w:rPr>
      </w:pPr>
    </w:p>
    <w:p w14:paraId="7614C32B" w14:textId="77777777" w:rsidR="00A71EEF" w:rsidRDefault="0081115D">
      <w:pPr>
        <w:pStyle w:val="a3"/>
        <w:ind w:left="838"/>
      </w:pPr>
      <w:r>
        <w:t>自动排烟窗开启完毕的时间应符合本标准第</w:t>
      </w:r>
      <w:r>
        <w:t xml:space="preserve"> 5.2.6 </w:t>
      </w:r>
      <w:r>
        <w:t>条的规定；</w:t>
      </w:r>
      <w:r>
        <w:t xml:space="preserve"> </w:t>
      </w:r>
    </w:p>
    <w:p w14:paraId="15904920" w14:textId="77777777" w:rsidR="00A71EEF" w:rsidRDefault="00A71EEF">
      <w:pPr>
        <w:pStyle w:val="a3"/>
        <w:spacing w:before="1"/>
        <w:rPr>
          <w:sz w:val="18"/>
        </w:rPr>
      </w:pPr>
    </w:p>
    <w:p w14:paraId="5B5217E1" w14:textId="77777777" w:rsidR="00A71EEF" w:rsidRDefault="0081115D">
      <w:pPr>
        <w:pStyle w:val="a3"/>
        <w:spacing w:before="1" w:line="446" w:lineRule="auto"/>
        <w:ind w:left="838" w:right="5077"/>
      </w:pPr>
      <w:r>
        <w:rPr>
          <w:spacing w:val="-2"/>
        </w:rPr>
        <w:t>补风机的启动应符合本标准第</w:t>
      </w:r>
      <w:r>
        <w:rPr>
          <w:spacing w:val="-2"/>
        </w:rPr>
        <w:t xml:space="preserve"> </w:t>
      </w:r>
      <w:r>
        <w:t xml:space="preserve">5.2.2 </w:t>
      </w:r>
      <w:r>
        <w:t>条的规定；</w:t>
      </w:r>
      <w:r>
        <w:t xml:space="preserve"> </w:t>
      </w:r>
      <w:r>
        <w:rPr>
          <w:spacing w:val="-3"/>
        </w:rPr>
        <w:t>各部件、设备动作状态信号应在消防控制室显示。检查数量：全数检查。</w:t>
      </w:r>
      <w:r>
        <w:t xml:space="preserve"> </w:t>
      </w:r>
    </w:p>
    <w:p w14:paraId="776B08F9" w14:textId="77777777" w:rsidR="00A71EEF" w:rsidRDefault="0081115D">
      <w:pPr>
        <w:pStyle w:val="a4"/>
        <w:numPr>
          <w:ilvl w:val="2"/>
          <w:numId w:val="95"/>
        </w:numPr>
        <w:tabs>
          <w:tab w:val="left" w:pos="1370"/>
        </w:tabs>
        <w:spacing w:line="268" w:lineRule="exact"/>
        <w:ind w:left="1369" w:hanging="530"/>
        <w:rPr>
          <w:b/>
          <w:sz w:val="21"/>
        </w:rPr>
      </w:pPr>
      <w:r>
        <w:rPr>
          <w:spacing w:val="-3"/>
          <w:sz w:val="21"/>
        </w:rPr>
        <w:t>自然通风及自然排烟设施验收，下列项目应达到设计和标准要求：</w:t>
      </w:r>
      <w:r>
        <w:rPr>
          <w:b/>
          <w:w w:val="99"/>
          <w:sz w:val="21"/>
        </w:rPr>
        <w:t xml:space="preserve"> </w:t>
      </w:r>
    </w:p>
    <w:p w14:paraId="60442A6C" w14:textId="77777777" w:rsidR="00A71EEF" w:rsidRDefault="00A71EEF">
      <w:pPr>
        <w:pStyle w:val="a3"/>
        <w:rPr>
          <w:b/>
          <w:sz w:val="18"/>
        </w:rPr>
      </w:pPr>
    </w:p>
    <w:p w14:paraId="321C55B7" w14:textId="77777777" w:rsidR="00A71EEF" w:rsidRDefault="0081115D">
      <w:pPr>
        <w:pStyle w:val="a3"/>
        <w:spacing w:line="446" w:lineRule="auto"/>
        <w:ind w:left="838" w:right="2345"/>
      </w:pPr>
      <w:r>
        <w:rPr>
          <w:spacing w:val="-3"/>
        </w:rPr>
        <w:t>封闭楼梯间、防烟楼梯间、前室及消防电梯前室可开启外窗的布置方式和面积；</w:t>
      </w:r>
      <w:r>
        <w:rPr>
          <w:spacing w:val="-3"/>
        </w:rPr>
        <w:t xml:space="preserve"> </w:t>
      </w:r>
      <w:r>
        <w:rPr>
          <w:spacing w:val="-3"/>
        </w:rPr>
        <w:t>避难层</w:t>
      </w:r>
      <w:r>
        <w:t>（</w:t>
      </w:r>
      <w:r>
        <w:rPr>
          <w:spacing w:val="-3"/>
        </w:rPr>
        <w:t>间</w:t>
      </w:r>
      <w:r>
        <w:t>）</w:t>
      </w:r>
      <w:r>
        <w:rPr>
          <w:spacing w:val="-3"/>
        </w:rPr>
        <w:t>可开启外窗或百叶窗的布置方式和面积；</w:t>
      </w:r>
      <w:r>
        <w:t xml:space="preserve"> </w:t>
      </w:r>
    </w:p>
    <w:p w14:paraId="04111737" w14:textId="77777777" w:rsidR="00A71EEF" w:rsidRDefault="0081115D">
      <w:pPr>
        <w:pStyle w:val="a3"/>
        <w:spacing w:line="446" w:lineRule="auto"/>
        <w:ind w:left="838" w:right="1925"/>
      </w:pPr>
      <w:r>
        <w:rPr>
          <w:spacing w:val="-3"/>
        </w:rPr>
        <w:t>设置自然排烟场所的可开启外窗、排烟窗、可熔性采光带</w:t>
      </w:r>
      <w:r>
        <w:t>（</w:t>
      </w:r>
      <w:r>
        <w:rPr>
          <w:spacing w:val="-3"/>
        </w:rPr>
        <w:t>窗</w:t>
      </w:r>
      <w:r>
        <w:t>）</w:t>
      </w:r>
      <w:r>
        <w:rPr>
          <w:spacing w:val="-3"/>
        </w:rPr>
        <w:t>的布置方式和面积。</w:t>
      </w:r>
      <w:r>
        <w:rPr>
          <w:spacing w:val="-8"/>
        </w:rPr>
        <w:t>检查数量：各系统按</w:t>
      </w:r>
      <w:r>
        <w:rPr>
          <w:spacing w:val="-8"/>
        </w:rPr>
        <w:t xml:space="preserve"> </w:t>
      </w:r>
      <w:r>
        <w:t>30</w:t>
      </w:r>
      <w:r>
        <w:rPr>
          <w:spacing w:val="-1"/>
        </w:rPr>
        <w:t>%</w:t>
      </w:r>
      <w:r>
        <w:rPr>
          <w:spacing w:val="-1"/>
        </w:rPr>
        <w:t>检查。</w:t>
      </w:r>
      <w:r>
        <w:t xml:space="preserve"> </w:t>
      </w:r>
    </w:p>
    <w:p w14:paraId="1EB44245" w14:textId="77777777" w:rsidR="00A71EEF" w:rsidRDefault="0081115D">
      <w:pPr>
        <w:pStyle w:val="a4"/>
        <w:numPr>
          <w:ilvl w:val="2"/>
          <w:numId w:val="95"/>
        </w:numPr>
        <w:tabs>
          <w:tab w:val="left" w:pos="1371"/>
        </w:tabs>
        <w:spacing w:line="267" w:lineRule="exact"/>
        <w:rPr>
          <w:b/>
          <w:sz w:val="21"/>
        </w:rPr>
      </w:pPr>
      <w:r>
        <w:rPr>
          <w:spacing w:val="-3"/>
          <w:sz w:val="21"/>
        </w:rPr>
        <w:t>机械防烟系统的验收方法及要求应符合下列规定：</w:t>
      </w:r>
      <w:r>
        <w:rPr>
          <w:b/>
          <w:w w:val="99"/>
          <w:sz w:val="21"/>
        </w:rPr>
        <w:t xml:space="preserve"> </w:t>
      </w:r>
    </w:p>
    <w:p w14:paraId="045F07C5" w14:textId="77777777" w:rsidR="00A71EEF" w:rsidRDefault="00A71EEF">
      <w:pPr>
        <w:pStyle w:val="a3"/>
        <w:spacing w:before="1"/>
        <w:rPr>
          <w:b/>
          <w:sz w:val="18"/>
        </w:rPr>
      </w:pPr>
    </w:p>
    <w:p w14:paraId="4CB9B49B" w14:textId="77777777" w:rsidR="00A71EEF" w:rsidRDefault="0081115D">
      <w:pPr>
        <w:pStyle w:val="a3"/>
        <w:spacing w:before="1" w:line="446" w:lineRule="auto"/>
        <w:ind w:left="418" w:right="1608" w:firstLine="419"/>
        <w:jc w:val="both"/>
      </w:pPr>
      <w:r>
        <w:t>选取送风系统末端所对应的送风最不利的三个连续楼层模拟起火层及其上下层，封闭避难层（间）仅需选取本层，测试前室及封闭避难层（间）的风压值及疏散门的门洞断面风速值，</w:t>
      </w:r>
      <w:r>
        <w:t xml:space="preserve"> </w:t>
      </w:r>
      <w:r>
        <w:t>应分别符合本标准第</w:t>
      </w:r>
      <w:r>
        <w:t xml:space="preserve"> 3.4.4 </w:t>
      </w:r>
      <w:r>
        <w:t>条和第</w:t>
      </w:r>
      <w:r>
        <w:t xml:space="preserve"> 3.4.6 </w:t>
      </w:r>
      <w:r>
        <w:t>条的规定，且偏差不大于设计值的</w:t>
      </w:r>
      <w:r>
        <w:t xml:space="preserve"> 10%</w:t>
      </w:r>
      <w:r>
        <w:t>；</w:t>
      </w:r>
      <w:r>
        <w:t xml:space="preserve"> </w:t>
      </w:r>
    </w:p>
    <w:p w14:paraId="0B528650" w14:textId="77777777" w:rsidR="00A71EEF" w:rsidRDefault="0081115D">
      <w:pPr>
        <w:pStyle w:val="a3"/>
        <w:spacing w:line="268" w:lineRule="exact"/>
        <w:ind w:left="838"/>
      </w:pPr>
      <w:r>
        <w:t>对楼梯间和前室的测试应单独分别进行，且互不影响；</w:t>
      </w:r>
      <w:r>
        <w:t xml:space="preserve"> </w:t>
      </w:r>
    </w:p>
    <w:p w14:paraId="77F76308" w14:textId="77777777" w:rsidR="00A71EEF" w:rsidRDefault="00A71EEF">
      <w:pPr>
        <w:pStyle w:val="a3"/>
        <w:spacing w:before="12"/>
        <w:rPr>
          <w:sz w:val="17"/>
        </w:rPr>
      </w:pPr>
    </w:p>
    <w:p w14:paraId="689F1E0B" w14:textId="77777777" w:rsidR="00A71EEF" w:rsidRDefault="0081115D">
      <w:pPr>
        <w:pStyle w:val="a3"/>
        <w:spacing w:line="446" w:lineRule="auto"/>
        <w:ind w:left="838" w:right="2554"/>
      </w:pPr>
      <w:r>
        <w:rPr>
          <w:spacing w:val="-3"/>
        </w:rPr>
        <w:t>测试楼梯间和前室疏散门的门洞断面风速时，应同时开启三个楼层的疏散门。检查数量：全数检查。</w:t>
      </w:r>
      <w:r>
        <w:t xml:space="preserve"> </w:t>
      </w:r>
    </w:p>
    <w:p w14:paraId="3B507AD1" w14:textId="77777777" w:rsidR="00A71EEF" w:rsidRDefault="0081115D">
      <w:pPr>
        <w:pStyle w:val="a4"/>
        <w:numPr>
          <w:ilvl w:val="2"/>
          <w:numId w:val="95"/>
        </w:numPr>
        <w:tabs>
          <w:tab w:val="left" w:pos="1370"/>
        </w:tabs>
        <w:ind w:left="1369" w:hanging="530"/>
        <w:rPr>
          <w:b/>
          <w:sz w:val="21"/>
        </w:rPr>
      </w:pPr>
      <w:r>
        <w:rPr>
          <w:spacing w:val="-3"/>
          <w:sz w:val="21"/>
        </w:rPr>
        <w:t>机械排烟系统的性能验收方法及要求应符合下列规定：</w:t>
      </w:r>
      <w:r>
        <w:rPr>
          <w:b/>
          <w:w w:val="99"/>
          <w:sz w:val="21"/>
        </w:rPr>
        <w:t xml:space="preserve"> </w:t>
      </w:r>
    </w:p>
    <w:p w14:paraId="19847035" w14:textId="77777777" w:rsidR="00A71EEF" w:rsidRDefault="00A71EEF">
      <w:pPr>
        <w:pStyle w:val="a3"/>
        <w:rPr>
          <w:b/>
          <w:sz w:val="18"/>
        </w:rPr>
      </w:pPr>
    </w:p>
    <w:p w14:paraId="08D15149" w14:textId="77777777" w:rsidR="00A71EEF" w:rsidRDefault="0081115D">
      <w:pPr>
        <w:pStyle w:val="a3"/>
        <w:spacing w:line="446" w:lineRule="auto"/>
        <w:ind w:left="418" w:right="1609" w:firstLine="419"/>
      </w:pPr>
      <w:r>
        <w:t>开启任一防烟分区的全部排烟口，风机启动后测试排烟口处的风速，风速、风量应符合设计要求且偏差不大于设计值的</w:t>
      </w:r>
      <w:r>
        <w:t xml:space="preserve"> 10%</w:t>
      </w:r>
      <w:r>
        <w:t>；</w:t>
      </w:r>
      <w:r>
        <w:t xml:space="preserve"> </w:t>
      </w:r>
    </w:p>
    <w:p w14:paraId="6128218D" w14:textId="77777777" w:rsidR="00A71EEF" w:rsidRDefault="0081115D">
      <w:pPr>
        <w:pStyle w:val="a3"/>
        <w:spacing w:line="446" w:lineRule="auto"/>
        <w:ind w:left="418" w:right="1609" w:firstLine="419"/>
      </w:pPr>
      <w:r>
        <w:t>设有补风系统的场所，应测试补风口风速，风速、风量应符合设计要求且偏差不大于设计值的</w:t>
      </w:r>
      <w:r>
        <w:t xml:space="preserve"> 10%</w:t>
      </w:r>
      <w:r>
        <w:t>。</w:t>
      </w:r>
      <w:r>
        <w:t xml:space="preserve"> </w:t>
      </w:r>
    </w:p>
    <w:p w14:paraId="5B9C1BBA" w14:textId="77777777" w:rsidR="00A71EEF" w:rsidRDefault="0081115D">
      <w:pPr>
        <w:pStyle w:val="a3"/>
        <w:spacing w:line="267" w:lineRule="exact"/>
        <w:ind w:left="838"/>
      </w:pPr>
      <w:r>
        <w:t>检查数量：各系统全数检查。</w:t>
      </w:r>
      <w:r>
        <w:t xml:space="preserve"> </w:t>
      </w:r>
    </w:p>
    <w:p w14:paraId="0EE091EE" w14:textId="77777777" w:rsidR="00A71EEF" w:rsidRDefault="00A71EEF">
      <w:pPr>
        <w:pStyle w:val="a3"/>
        <w:spacing w:before="1"/>
        <w:rPr>
          <w:sz w:val="18"/>
        </w:rPr>
      </w:pPr>
    </w:p>
    <w:p w14:paraId="584B0564" w14:textId="77777777" w:rsidR="00A71EEF" w:rsidRDefault="0081115D">
      <w:pPr>
        <w:pStyle w:val="a4"/>
        <w:numPr>
          <w:ilvl w:val="2"/>
          <w:numId w:val="95"/>
        </w:numPr>
        <w:tabs>
          <w:tab w:val="left" w:pos="1371"/>
        </w:tabs>
        <w:spacing w:before="1"/>
        <w:rPr>
          <w:b/>
          <w:sz w:val="21"/>
        </w:rPr>
      </w:pPr>
      <w:r>
        <w:rPr>
          <w:spacing w:val="-3"/>
          <w:sz w:val="21"/>
        </w:rPr>
        <w:t>系统工程质量验收判定条件应符合下列规定：</w:t>
      </w:r>
      <w:r>
        <w:rPr>
          <w:b/>
          <w:spacing w:val="-3"/>
          <w:w w:val="99"/>
          <w:sz w:val="21"/>
        </w:rPr>
        <w:t xml:space="preserve"> </w:t>
      </w:r>
    </w:p>
    <w:p w14:paraId="511AB46E" w14:textId="77777777" w:rsidR="00A71EEF" w:rsidRDefault="00A71EEF">
      <w:pPr>
        <w:pStyle w:val="a3"/>
        <w:spacing w:before="12"/>
        <w:rPr>
          <w:b/>
          <w:sz w:val="17"/>
        </w:rPr>
      </w:pPr>
    </w:p>
    <w:p w14:paraId="0888B768" w14:textId="77777777" w:rsidR="00A71EEF" w:rsidRDefault="0081115D">
      <w:pPr>
        <w:pStyle w:val="a3"/>
        <w:spacing w:line="369" w:lineRule="auto"/>
        <w:ind w:left="418" w:right="1608" w:firstLine="419"/>
        <w:jc w:val="both"/>
      </w:pPr>
      <w:r>
        <w:rPr>
          <w:spacing w:val="-3"/>
        </w:rPr>
        <w:t>系统的设备、部件型号规格与设计不符，无出厂质量合格证明文件及符合国家市场准入制</w:t>
      </w:r>
      <w:r>
        <w:rPr>
          <w:spacing w:val="-6"/>
        </w:rPr>
        <w:t>度规定的文件，系统验收不符合本标准第</w:t>
      </w:r>
      <w:r>
        <w:rPr>
          <w:spacing w:val="-6"/>
        </w:rPr>
        <w:t xml:space="preserve"> </w:t>
      </w:r>
      <w:r>
        <w:t>8.2.2</w:t>
      </w:r>
      <w:r>
        <w:rPr>
          <w:spacing w:val="-23"/>
        </w:rPr>
        <w:t xml:space="preserve"> </w:t>
      </w:r>
      <w:r>
        <w:rPr>
          <w:spacing w:val="-23"/>
        </w:rPr>
        <w:t>条</w:t>
      </w:r>
      <w:r>
        <w:rPr>
          <w:rFonts w:ascii="微软雅黑" w:eastAsia="微软雅黑" w:hint="eastAsia"/>
        </w:rPr>
        <w:t>〜</w:t>
      </w:r>
      <w:r>
        <w:rPr>
          <w:spacing w:val="-22"/>
        </w:rPr>
        <w:t>第</w:t>
      </w:r>
      <w:r>
        <w:rPr>
          <w:spacing w:val="-22"/>
        </w:rPr>
        <w:t xml:space="preserve"> </w:t>
      </w:r>
      <w:r>
        <w:t>8.2.6</w:t>
      </w:r>
      <w:r>
        <w:rPr>
          <w:spacing w:val="-8"/>
        </w:rPr>
        <w:t xml:space="preserve"> </w:t>
      </w:r>
      <w:r>
        <w:rPr>
          <w:spacing w:val="-8"/>
        </w:rPr>
        <w:t>条任一款功能及主要性能参数要</w:t>
      </w:r>
      <w:r>
        <w:rPr>
          <w:spacing w:val="5"/>
        </w:rPr>
        <w:t>求的，定为</w:t>
      </w:r>
      <w:r>
        <w:t>A</w:t>
      </w:r>
      <w:r>
        <w:rPr>
          <w:spacing w:val="-10"/>
        </w:rPr>
        <w:t xml:space="preserve"> </w:t>
      </w:r>
      <w:r>
        <w:rPr>
          <w:spacing w:val="-10"/>
        </w:rPr>
        <w:t>类不合格；</w:t>
      </w:r>
      <w:r>
        <w:rPr>
          <w:spacing w:val="-10"/>
        </w:rPr>
        <w:t xml:space="preserve"> </w:t>
      </w:r>
    </w:p>
    <w:p w14:paraId="7FF0C348" w14:textId="77777777" w:rsidR="00A71EEF" w:rsidRDefault="00A71EEF">
      <w:pPr>
        <w:spacing w:line="369" w:lineRule="auto"/>
        <w:jc w:val="both"/>
        <w:sectPr w:rsidR="00A71EEF">
          <w:pgSz w:w="11910" w:h="16850"/>
          <w:pgMar w:top="1220" w:right="0" w:bottom="1420" w:left="1260" w:header="0" w:footer="1239" w:gutter="0"/>
          <w:cols w:space="720"/>
        </w:sectPr>
      </w:pPr>
    </w:p>
    <w:p w14:paraId="52808B54" w14:textId="77777777" w:rsidR="00A71EEF" w:rsidRDefault="0081115D">
      <w:pPr>
        <w:pStyle w:val="a3"/>
        <w:spacing w:before="47" w:line="446" w:lineRule="auto"/>
        <w:ind w:left="838" w:right="4395"/>
      </w:pPr>
      <w:r>
        <w:rPr>
          <w:spacing w:val="-9"/>
        </w:rPr>
        <w:t>不符合本标准第</w:t>
      </w:r>
      <w:r>
        <w:rPr>
          <w:spacing w:val="-9"/>
        </w:rPr>
        <w:t xml:space="preserve"> </w:t>
      </w:r>
      <w:r>
        <w:t>8.1.4</w:t>
      </w:r>
      <w:r>
        <w:rPr>
          <w:spacing w:val="-7"/>
        </w:rPr>
        <w:t xml:space="preserve"> </w:t>
      </w:r>
      <w:r>
        <w:rPr>
          <w:spacing w:val="-7"/>
        </w:rPr>
        <w:t>条任一款要求的定为</w:t>
      </w:r>
      <w:r>
        <w:rPr>
          <w:spacing w:val="-7"/>
        </w:rPr>
        <w:t xml:space="preserve"> </w:t>
      </w:r>
      <w:r>
        <w:t>B</w:t>
      </w:r>
      <w:r>
        <w:rPr>
          <w:spacing w:val="-11"/>
        </w:rPr>
        <w:t xml:space="preserve"> </w:t>
      </w:r>
      <w:r>
        <w:rPr>
          <w:spacing w:val="-11"/>
        </w:rPr>
        <w:t>类不合格；</w:t>
      </w:r>
      <w:r>
        <w:rPr>
          <w:spacing w:val="-11"/>
        </w:rPr>
        <w:t xml:space="preserve"> </w:t>
      </w:r>
      <w:r>
        <w:rPr>
          <w:spacing w:val="-9"/>
        </w:rPr>
        <w:t>不符合本标准第</w:t>
      </w:r>
      <w:r>
        <w:rPr>
          <w:spacing w:val="-9"/>
        </w:rPr>
        <w:t xml:space="preserve"> </w:t>
      </w:r>
      <w:r>
        <w:t>8.2.1</w:t>
      </w:r>
      <w:r>
        <w:rPr>
          <w:spacing w:val="-7"/>
        </w:rPr>
        <w:t xml:space="preserve"> </w:t>
      </w:r>
      <w:r>
        <w:rPr>
          <w:spacing w:val="-7"/>
        </w:rPr>
        <w:t>条任一款要求的定为</w:t>
      </w:r>
      <w:r>
        <w:rPr>
          <w:spacing w:val="-7"/>
        </w:rPr>
        <w:t xml:space="preserve"> </w:t>
      </w:r>
      <w:r>
        <w:t>C</w:t>
      </w:r>
      <w:r>
        <w:rPr>
          <w:spacing w:val="-11"/>
        </w:rPr>
        <w:t xml:space="preserve"> </w:t>
      </w:r>
      <w:r>
        <w:rPr>
          <w:spacing w:val="-11"/>
        </w:rPr>
        <w:t>类不合格；</w:t>
      </w:r>
      <w:r>
        <w:t xml:space="preserve"> </w:t>
      </w:r>
    </w:p>
    <w:p w14:paraId="286DFE31" w14:textId="77777777" w:rsidR="00A71EEF" w:rsidRDefault="0081115D">
      <w:pPr>
        <w:pStyle w:val="a3"/>
        <w:spacing w:line="267" w:lineRule="exact"/>
        <w:ind w:left="838"/>
      </w:pPr>
      <w:r>
        <w:t>系统验收合格判定应为：</w:t>
      </w:r>
      <w:r>
        <w:t xml:space="preserve">A=0 </w:t>
      </w:r>
      <w:r>
        <w:t>且</w:t>
      </w:r>
      <w:r>
        <w:t xml:space="preserve"> B≤2</w:t>
      </w:r>
      <w:r>
        <w:t>，</w:t>
      </w:r>
      <w:r>
        <w:t xml:space="preserve">B+C≤6 </w:t>
      </w:r>
      <w:r>
        <w:t>为合格，否则为不合格。</w:t>
      </w:r>
      <w:r>
        <w:t xml:space="preserve"> </w:t>
      </w:r>
    </w:p>
    <w:p w14:paraId="1EBD6E20" w14:textId="77777777" w:rsidR="00A71EEF" w:rsidRDefault="00A71EEF">
      <w:pPr>
        <w:pStyle w:val="a3"/>
        <w:spacing w:before="10"/>
        <w:rPr>
          <w:sz w:val="15"/>
        </w:rPr>
      </w:pPr>
    </w:p>
    <w:p w14:paraId="643690AC" w14:textId="77777777" w:rsidR="00A71EEF" w:rsidRDefault="0081115D">
      <w:pPr>
        <w:pStyle w:val="4"/>
        <w:spacing w:before="1"/>
      </w:pPr>
      <w:r>
        <w:t xml:space="preserve">9 </w:t>
      </w:r>
      <w:r>
        <w:t>维护管理</w:t>
      </w:r>
      <w:r>
        <w:rPr>
          <w:w w:val="99"/>
        </w:rPr>
        <w:t xml:space="preserve"> </w:t>
      </w:r>
    </w:p>
    <w:p w14:paraId="1C590887" w14:textId="77777777" w:rsidR="00A71EEF" w:rsidRDefault="00A71EEF">
      <w:pPr>
        <w:pStyle w:val="a3"/>
        <w:spacing w:before="3"/>
        <w:rPr>
          <w:b/>
          <w:sz w:val="17"/>
        </w:rPr>
      </w:pPr>
    </w:p>
    <w:p w14:paraId="1EA8E80E" w14:textId="77777777" w:rsidR="00A71EEF" w:rsidRDefault="0081115D">
      <w:pPr>
        <w:pStyle w:val="a4"/>
        <w:numPr>
          <w:ilvl w:val="2"/>
          <w:numId w:val="94"/>
        </w:numPr>
        <w:tabs>
          <w:tab w:val="left" w:pos="1370"/>
        </w:tabs>
        <w:spacing w:before="1" w:line="446" w:lineRule="auto"/>
        <w:ind w:right="1604" w:firstLine="422"/>
        <w:rPr>
          <w:sz w:val="21"/>
        </w:rPr>
      </w:pPr>
      <w:r>
        <w:rPr>
          <w:spacing w:val="-3"/>
          <w:sz w:val="21"/>
        </w:rPr>
        <w:t>建筑防烟、排烟系统应制定维护保养管理制度及操作规程，并应保证系统处于准工</w:t>
      </w:r>
      <w:r>
        <w:rPr>
          <w:spacing w:val="-6"/>
          <w:sz w:val="21"/>
        </w:rPr>
        <w:t>作状态。维护管理记录应按本标准附录</w:t>
      </w:r>
      <w:r>
        <w:rPr>
          <w:spacing w:val="-6"/>
          <w:sz w:val="21"/>
        </w:rPr>
        <w:t xml:space="preserve"> </w:t>
      </w:r>
      <w:r>
        <w:rPr>
          <w:sz w:val="21"/>
        </w:rPr>
        <w:t>G</w:t>
      </w:r>
      <w:r>
        <w:rPr>
          <w:spacing w:val="-16"/>
          <w:sz w:val="21"/>
        </w:rPr>
        <w:t xml:space="preserve"> </w:t>
      </w:r>
      <w:r>
        <w:rPr>
          <w:spacing w:val="-16"/>
          <w:sz w:val="21"/>
        </w:rPr>
        <w:t>填写。</w:t>
      </w:r>
      <w:r>
        <w:rPr>
          <w:sz w:val="21"/>
        </w:rPr>
        <w:t xml:space="preserve"> </w:t>
      </w:r>
    </w:p>
    <w:p w14:paraId="50DB1FBA" w14:textId="77777777" w:rsidR="00A71EEF" w:rsidRDefault="0081115D">
      <w:pPr>
        <w:pStyle w:val="a4"/>
        <w:numPr>
          <w:ilvl w:val="2"/>
          <w:numId w:val="94"/>
        </w:numPr>
        <w:tabs>
          <w:tab w:val="left" w:pos="1371"/>
        </w:tabs>
        <w:ind w:left="1370" w:hanging="531"/>
        <w:rPr>
          <w:sz w:val="21"/>
        </w:rPr>
      </w:pPr>
      <w:r>
        <w:rPr>
          <w:spacing w:val="-3"/>
          <w:sz w:val="21"/>
        </w:rPr>
        <w:t>维护、管理人员应熟悉防烟、排烟系统的原理、性能和操作维护规程。</w:t>
      </w:r>
      <w:r>
        <w:rPr>
          <w:spacing w:val="-3"/>
          <w:sz w:val="21"/>
        </w:rPr>
        <w:t xml:space="preserve"> </w:t>
      </w:r>
    </w:p>
    <w:p w14:paraId="015CF6B8" w14:textId="77777777" w:rsidR="00A71EEF" w:rsidRDefault="00A71EEF">
      <w:pPr>
        <w:pStyle w:val="a3"/>
        <w:spacing w:before="12"/>
        <w:rPr>
          <w:sz w:val="17"/>
        </w:rPr>
      </w:pPr>
    </w:p>
    <w:p w14:paraId="6671A3A5" w14:textId="77777777" w:rsidR="00A71EEF" w:rsidRDefault="0081115D">
      <w:pPr>
        <w:pStyle w:val="a4"/>
        <w:numPr>
          <w:ilvl w:val="2"/>
          <w:numId w:val="94"/>
        </w:numPr>
        <w:tabs>
          <w:tab w:val="left" w:pos="1370"/>
        </w:tabs>
        <w:spacing w:line="386" w:lineRule="auto"/>
        <w:ind w:right="1604" w:firstLine="422"/>
        <w:rPr>
          <w:sz w:val="21"/>
        </w:rPr>
      </w:pPr>
      <w:r>
        <w:rPr>
          <w:spacing w:val="-3"/>
          <w:sz w:val="21"/>
        </w:rPr>
        <w:t>每季度应对防烟、排烟风机、活动挡烟垂壁、自动排烟窗进行一次功能检测启动试</w:t>
      </w:r>
      <w:r>
        <w:rPr>
          <w:spacing w:val="-6"/>
          <w:sz w:val="21"/>
        </w:rPr>
        <w:t>验及供电线路检查，检查方法应符合本标准第</w:t>
      </w:r>
      <w:r>
        <w:rPr>
          <w:spacing w:val="-6"/>
          <w:sz w:val="21"/>
        </w:rPr>
        <w:t xml:space="preserve"> </w:t>
      </w:r>
      <w:r>
        <w:rPr>
          <w:sz w:val="21"/>
        </w:rPr>
        <w:t>7.2.3</w:t>
      </w:r>
      <w:r>
        <w:rPr>
          <w:spacing w:val="-26"/>
          <w:sz w:val="21"/>
        </w:rPr>
        <w:t xml:space="preserve"> </w:t>
      </w:r>
      <w:r>
        <w:rPr>
          <w:spacing w:val="-26"/>
          <w:sz w:val="21"/>
        </w:rPr>
        <w:t>条</w:t>
      </w:r>
      <w:r>
        <w:rPr>
          <w:rFonts w:ascii="微软雅黑" w:eastAsia="微软雅黑" w:hint="eastAsia"/>
          <w:spacing w:val="-3"/>
          <w:sz w:val="21"/>
        </w:rPr>
        <w:t>〜</w:t>
      </w:r>
      <w:r>
        <w:rPr>
          <w:spacing w:val="-26"/>
          <w:sz w:val="21"/>
        </w:rPr>
        <w:t>第</w:t>
      </w:r>
      <w:r>
        <w:rPr>
          <w:spacing w:val="-26"/>
          <w:sz w:val="21"/>
        </w:rPr>
        <w:t xml:space="preserve"> </w:t>
      </w:r>
      <w:r>
        <w:rPr>
          <w:sz w:val="21"/>
        </w:rPr>
        <w:t>7.2.5</w:t>
      </w:r>
      <w:r>
        <w:rPr>
          <w:spacing w:val="-11"/>
          <w:sz w:val="21"/>
        </w:rPr>
        <w:t xml:space="preserve"> </w:t>
      </w:r>
      <w:r>
        <w:rPr>
          <w:spacing w:val="-11"/>
          <w:sz w:val="21"/>
        </w:rPr>
        <w:t>条的规定。</w:t>
      </w:r>
      <w:r>
        <w:rPr>
          <w:spacing w:val="-11"/>
          <w:sz w:val="21"/>
        </w:rPr>
        <w:t xml:space="preserve"> </w:t>
      </w:r>
    </w:p>
    <w:p w14:paraId="309FD0A1" w14:textId="77777777" w:rsidR="00A71EEF" w:rsidRDefault="0081115D">
      <w:pPr>
        <w:pStyle w:val="a4"/>
        <w:numPr>
          <w:ilvl w:val="2"/>
          <w:numId w:val="94"/>
        </w:numPr>
        <w:tabs>
          <w:tab w:val="left" w:pos="1370"/>
        </w:tabs>
        <w:spacing w:line="213" w:lineRule="exact"/>
        <w:ind w:left="1369" w:hanging="530"/>
        <w:rPr>
          <w:sz w:val="21"/>
        </w:rPr>
      </w:pPr>
      <w:r>
        <w:rPr>
          <w:spacing w:val="-3"/>
          <w:sz w:val="21"/>
        </w:rPr>
        <w:t>每半年应对全部排烟防火阀、送风阀或送风口、排烟阀或排烟口进行自动和手动启</w:t>
      </w:r>
    </w:p>
    <w:p w14:paraId="7E136DB4" w14:textId="77777777" w:rsidR="00A71EEF" w:rsidRDefault="00A71EEF">
      <w:pPr>
        <w:pStyle w:val="a3"/>
        <w:rPr>
          <w:sz w:val="18"/>
        </w:rPr>
      </w:pPr>
    </w:p>
    <w:p w14:paraId="4A647B97" w14:textId="77777777" w:rsidR="00A71EEF" w:rsidRDefault="0081115D">
      <w:pPr>
        <w:pStyle w:val="a3"/>
        <w:ind w:left="418"/>
      </w:pPr>
      <w:r>
        <w:t>动试验一次，检查方法应符合本标准第</w:t>
      </w:r>
      <w:r>
        <w:t xml:space="preserve"> 7.2.1 </w:t>
      </w:r>
      <w:r>
        <w:t>条、第</w:t>
      </w:r>
      <w:r>
        <w:t xml:space="preserve"> 7.2.2 </w:t>
      </w:r>
      <w:r>
        <w:t>条的规定。</w:t>
      </w:r>
      <w:r>
        <w:t xml:space="preserve"> </w:t>
      </w:r>
    </w:p>
    <w:p w14:paraId="0BE62A99" w14:textId="77777777" w:rsidR="00A71EEF" w:rsidRDefault="00A71EEF">
      <w:pPr>
        <w:pStyle w:val="a3"/>
        <w:spacing w:before="12"/>
        <w:rPr>
          <w:sz w:val="17"/>
        </w:rPr>
      </w:pPr>
    </w:p>
    <w:p w14:paraId="17FCE1C9" w14:textId="77777777" w:rsidR="00A71EEF" w:rsidRDefault="0081115D">
      <w:pPr>
        <w:pStyle w:val="a4"/>
        <w:numPr>
          <w:ilvl w:val="2"/>
          <w:numId w:val="94"/>
        </w:numPr>
        <w:tabs>
          <w:tab w:val="left" w:pos="1371"/>
        </w:tabs>
        <w:spacing w:line="386" w:lineRule="auto"/>
        <w:ind w:right="1604" w:firstLine="422"/>
        <w:rPr>
          <w:sz w:val="21"/>
        </w:rPr>
      </w:pPr>
      <w:r>
        <w:rPr>
          <w:spacing w:val="-3"/>
          <w:sz w:val="21"/>
        </w:rPr>
        <w:t>每年应对全部防烟、排烟系统进行一次联动试验和性能检测，其联动功能和性能参</w:t>
      </w:r>
      <w:r>
        <w:rPr>
          <w:spacing w:val="-6"/>
          <w:sz w:val="21"/>
        </w:rPr>
        <w:t>数应符合原设计要求，检查方法应符合本标准第</w:t>
      </w:r>
      <w:r>
        <w:rPr>
          <w:spacing w:val="-6"/>
          <w:sz w:val="21"/>
        </w:rPr>
        <w:t xml:space="preserve"> </w:t>
      </w:r>
      <w:r>
        <w:rPr>
          <w:sz w:val="21"/>
        </w:rPr>
        <w:t>7.3</w:t>
      </w:r>
      <w:r>
        <w:rPr>
          <w:spacing w:val="-22"/>
          <w:sz w:val="21"/>
        </w:rPr>
        <w:t xml:space="preserve"> </w:t>
      </w:r>
      <w:r>
        <w:rPr>
          <w:spacing w:val="-22"/>
          <w:sz w:val="21"/>
        </w:rPr>
        <w:t>节和第</w:t>
      </w:r>
      <w:r>
        <w:rPr>
          <w:spacing w:val="-22"/>
          <w:sz w:val="21"/>
        </w:rPr>
        <w:t xml:space="preserve"> </w:t>
      </w:r>
      <w:r>
        <w:rPr>
          <w:sz w:val="21"/>
        </w:rPr>
        <w:t>8.2.5</w:t>
      </w:r>
      <w:r>
        <w:rPr>
          <w:spacing w:val="-26"/>
          <w:sz w:val="21"/>
        </w:rPr>
        <w:t xml:space="preserve"> </w:t>
      </w:r>
      <w:r>
        <w:rPr>
          <w:spacing w:val="-26"/>
          <w:sz w:val="21"/>
        </w:rPr>
        <w:t>条</w:t>
      </w:r>
      <w:r>
        <w:rPr>
          <w:rFonts w:ascii="微软雅黑" w:eastAsia="微软雅黑" w:hint="eastAsia"/>
          <w:spacing w:val="-3"/>
          <w:sz w:val="21"/>
        </w:rPr>
        <w:t>〜</w:t>
      </w:r>
      <w:r>
        <w:rPr>
          <w:spacing w:val="-25"/>
          <w:sz w:val="21"/>
        </w:rPr>
        <w:t>第</w:t>
      </w:r>
      <w:r>
        <w:rPr>
          <w:spacing w:val="-25"/>
          <w:sz w:val="21"/>
        </w:rPr>
        <w:t xml:space="preserve"> </w:t>
      </w:r>
      <w:r>
        <w:rPr>
          <w:sz w:val="21"/>
        </w:rPr>
        <w:t>8.2.7</w:t>
      </w:r>
      <w:r>
        <w:rPr>
          <w:spacing w:val="-11"/>
          <w:sz w:val="21"/>
        </w:rPr>
        <w:t xml:space="preserve"> </w:t>
      </w:r>
      <w:r>
        <w:rPr>
          <w:spacing w:val="-11"/>
          <w:sz w:val="21"/>
        </w:rPr>
        <w:t>条的规定。</w:t>
      </w:r>
      <w:r>
        <w:rPr>
          <w:sz w:val="21"/>
        </w:rPr>
        <w:t xml:space="preserve"> </w:t>
      </w:r>
    </w:p>
    <w:p w14:paraId="5B6EAA51" w14:textId="77777777" w:rsidR="00A71EEF" w:rsidRDefault="0081115D">
      <w:pPr>
        <w:pStyle w:val="a4"/>
        <w:numPr>
          <w:ilvl w:val="2"/>
          <w:numId w:val="94"/>
        </w:numPr>
        <w:tabs>
          <w:tab w:val="left" w:pos="1371"/>
        </w:tabs>
        <w:spacing w:line="214" w:lineRule="exact"/>
        <w:ind w:left="1370" w:hanging="531"/>
        <w:rPr>
          <w:sz w:val="21"/>
        </w:rPr>
      </w:pPr>
      <w:r>
        <w:rPr>
          <w:spacing w:val="-6"/>
          <w:sz w:val="21"/>
        </w:rPr>
        <w:t>排烟窗的温控释放装置、排烟防火阀的易熔片应有</w:t>
      </w:r>
      <w:r>
        <w:rPr>
          <w:spacing w:val="-6"/>
          <w:sz w:val="21"/>
        </w:rPr>
        <w:t xml:space="preserve"> </w:t>
      </w:r>
      <w:r>
        <w:rPr>
          <w:sz w:val="21"/>
        </w:rPr>
        <w:t>10</w:t>
      </w:r>
      <w:r>
        <w:rPr>
          <w:spacing w:val="-3"/>
          <w:sz w:val="21"/>
        </w:rPr>
        <w:t>%</w:t>
      </w:r>
      <w:r>
        <w:rPr>
          <w:spacing w:val="-3"/>
          <w:sz w:val="21"/>
        </w:rPr>
        <w:t>的备用件，且不少于</w:t>
      </w:r>
      <w:r>
        <w:rPr>
          <w:spacing w:val="-3"/>
          <w:sz w:val="21"/>
        </w:rPr>
        <w:t xml:space="preserve"> </w:t>
      </w:r>
      <w:r>
        <w:rPr>
          <w:sz w:val="21"/>
        </w:rPr>
        <w:t>10</w:t>
      </w:r>
      <w:r>
        <w:rPr>
          <w:spacing w:val="-19"/>
          <w:sz w:val="21"/>
        </w:rPr>
        <w:t xml:space="preserve"> </w:t>
      </w:r>
      <w:r>
        <w:rPr>
          <w:spacing w:val="-19"/>
          <w:sz w:val="21"/>
        </w:rPr>
        <w:t>只。</w:t>
      </w:r>
      <w:r>
        <w:rPr>
          <w:sz w:val="21"/>
        </w:rPr>
        <w:t xml:space="preserve"> </w:t>
      </w:r>
    </w:p>
    <w:p w14:paraId="3F88DE83" w14:textId="77777777" w:rsidR="00A71EEF" w:rsidRDefault="00A71EEF">
      <w:pPr>
        <w:pStyle w:val="a3"/>
        <w:rPr>
          <w:sz w:val="18"/>
        </w:rPr>
      </w:pPr>
    </w:p>
    <w:p w14:paraId="00CD0F73" w14:textId="77777777" w:rsidR="00A71EEF" w:rsidRDefault="0081115D">
      <w:pPr>
        <w:pStyle w:val="a4"/>
        <w:numPr>
          <w:ilvl w:val="2"/>
          <w:numId w:val="94"/>
        </w:numPr>
        <w:tabs>
          <w:tab w:val="left" w:pos="1371"/>
        </w:tabs>
        <w:spacing w:line="446" w:lineRule="auto"/>
        <w:ind w:right="1604" w:firstLine="422"/>
        <w:rPr>
          <w:sz w:val="21"/>
        </w:rPr>
      </w:pPr>
      <w:r>
        <w:rPr>
          <w:spacing w:val="-3"/>
          <w:sz w:val="21"/>
        </w:rPr>
        <w:t>当防烟排烟系统采用无机玻璃钢风管时，应每年对该风管质量检查，检查面积应不</w:t>
      </w:r>
      <w:r>
        <w:rPr>
          <w:spacing w:val="-10"/>
          <w:sz w:val="21"/>
        </w:rPr>
        <w:t>少于风管面积的</w:t>
      </w:r>
      <w:r>
        <w:rPr>
          <w:spacing w:val="-10"/>
          <w:sz w:val="21"/>
        </w:rPr>
        <w:t xml:space="preserve"> </w:t>
      </w:r>
      <w:r>
        <w:rPr>
          <w:sz w:val="21"/>
        </w:rPr>
        <w:t>30</w:t>
      </w:r>
      <w:r>
        <w:rPr>
          <w:spacing w:val="-3"/>
          <w:sz w:val="21"/>
        </w:rPr>
        <w:t>%</w:t>
      </w:r>
      <w:r>
        <w:rPr>
          <w:spacing w:val="-3"/>
          <w:sz w:val="21"/>
        </w:rPr>
        <w:t>；风管表面应光洁、无明显泛霜、结露和分层现象。</w:t>
      </w:r>
      <w:r>
        <w:rPr>
          <w:sz w:val="21"/>
        </w:rPr>
        <w:t xml:space="preserve"> </w:t>
      </w:r>
    </w:p>
    <w:p w14:paraId="55D669AC" w14:textId="77777777" w:rsidR="00A71EEF" w:rsidRDefault="00A71EEF">
      <w:pPr>
        <w:pStyle w:val="a3"/>
        <w:rPr>
          <w:sz w:val="20"/>
        </w:rPr>
      </w:pPr>
    </w:p>
    <w:p w14:paraId="1DA0BC7C" w14:textId="77777777" w:rsidR="00A71EEF" w:rsidRDefault="00A71EEF">
      <w:pPr>
        <w:pStyle w:val="a3"/>
        <w:rPr>
          <w:sz w:val="20"/>
        </w:rPr>
      </w:pPr>
    </w:p>
    <w:p w14:paraId="3A6BAD8D" w14:textId="77777777" w:rsidR="00A71EEF" w:rsidRDefault="00A71EEF">
      <w:pPr>
        <w:pStyle w:val="a3"/>
        <w:rPr>
          <w:sz w:val="20"/>
        </w:rPr>
      </w:pPr>
    </w:p>
    <w:p w14:paraId="4FEDBF28" w14:textId="77777777" w:rsidR="00A71EEF" w:rsidRDefault="00A71EEF">
      <w:pPr>
        <w:pStyle w:val="a3"/>
        <w:rPr>
          <w:sz w:val="20"/>
        </w:rPr>
      </w:pPr>
    </w:p>
    <w:p w14:paraId="6ECB3F90" w14:textId="77777777" w:rsidR="00A71EEF" w:rsidRDefault="00A71EEF">
      <w:pPr>
        <w:pStyle w:val="a3"/>
        <w:rPr>
          <w:sz w:val="20"/>
        </w:rPr>
      </w:pPr>
    </w:p>
    <w:p w14:paraId="065275F2" w14:textId="77777777" w:rsidR="00A71EEF" w:rsidRDefault="00A71EEF">
      <w:pPr>
        <w:pStyle w:val="a3"/>
        <w:rPr>
          <w:sz w:val="20"/>
        </w:rPr>
      </w:pPr>
    </w:p>
    <w:p w14:paraId="2483777E" w14:textId="77777777" w:rsidR="00A71EEF" w:rsidRDefault="00A71EEF">
      <w:pPr>
        <w:pStyle w:val="a3"/>
        <w:rPr>
          <w:sz w:val="20"/>
        </w:rPr>
      </w:pPr>
    </w:p>
    <w:p w14:paraId="628BE78D" w14:textId="77777777" w:rsidR="00A71EEF" w:rsidRDefault="00A71EEF">
      <w:pPr>
        <w:pStyle w:val="a3"/>
        <w:rPr>
          <w:sz w:val="20"/>
        </w:rPr>
      </w:pPr>
    </w:p>
    <w:p w14:paraId="2C3EF0B4" w14:textId="77777777" w:rsidR="00A71EEF" w:rsidRDefault="00A71EEF">
      <w:pPr>
        <w:pStyle w:val="a3"/>
        <w:rPr>
          <w:sz w:val="20"/>
        </w:rPr>
      </w:pPr>
    </w:p>
    <w:p w14:paraId="05A4F320" w14:textId="77777777" w:rsidR="00A71EEF" w:rsidRDefault="00A71EEF">
      <w:pPr>
        <w:pStyle w:val="a3"/>
        <w:rPr>
          <w:sz w:val="20"/>
        </w:rPr>
      </w:pPr>
    </w:p>
    <w:p w14:paraId="240FBBEA" w14:textId="77777777" w:rsidR="00A71EEF" w:rsidRDefault="00A71EEF">
      <w:pPr>
        <w:pStyle w:val="a3"/>
        <w:rPr>
          <w:sz w:val="20"/>
        </w:rPr>
      </w:pPr>
    </w:p>
    <w:p w14:paraId="0AA8B6B6" w14:textId="77777777" w:rsidR="00A71EEF" w:rsidRDefault="00A71EEF">
      <w:pPr>
        <w:pStyle w:val="a3"/>
        <w:rPr>
          <w:sz w:val="20"/>
        </w:rPr>
      </w:pPr>
    </w:p>
    <w:p w14:paraId="05760829" w14:textId="77777777" w:rsidR="00A71EEF" w:rsidRDefault="00A71EEF">
      <w:pPr>
        <w:pStyle w:val="a3"/>
        <w:rPr>
          <w:sz w:val="20"/>
        </w:rPr>
      </w:pPr>
    </w:p>
    <w:p w14:paraId="1C23CE89" w14:textId="77777777" w:rsidR="00A71EEF" w:rsidRDefault="00A71EEF">
      <w:pPr>
        <w:pStyle w:val="a3"/>
        <w:rPr>
          <w:sz w:val="20"/>
        </w:rPr>
      </w:pPr>
    </w:p>
    <w:p w14:paraId="24B715BE" w14:textId="77777777" w:rsidR="00A71EEF" w:rsidRDefault="00A71EEF">
      <w:pPr>
        <w:pStyle w:val="a3"/>
        <w:rPr>
          <w:sz w:val="20"/>
        </w:rPr>
      </w:pPr>
    </w:p>
    <w:p w14:paraId="1EC9E7CD" w14:textId="77777777" w:rsidR="00A71EEF" w:rsidRDefault="00A71EEF">
      <w:pPr>
        <w:pStyle w:val="a3"/>
        <w:rPr>
          <w:sz w:val="20"/>
        </w:rPr>
      </w:pPr>
    </w:p>
    <w:p w14:paraId="42CE6BC7" w14:textId="77777777" w:rsidR="00A71EEF" w:rsidRDefault="00A71EEF">
      <w:pPr>
        <w:pStyle w:val="a3"/>
        <w:rPr>
          <w:sz w:val="20"/>
        </w:rPr>
      </w:pPr>
    </w:p>
    <w:p w14:paraId="04099600" w14:textId="77777777" w:rsidR="00A71EEF" w:rsidRDefault="00A71EEF">
      <w:pPr>
        <w:pStyle w:val="a3"/>
        <w:rPr>
          <w:sz w:val="20"/>
        </w:rPr>
      </w:pPr>
    </w:p>
    <w:p w14:paraId="7ECC3645" w14:textId="77777777" w:rsidR="00A71EEF" w:rsidRDefault="00A71EEF">
      <w:pPr>
        <w:pStyle w:val="a3"/>
        <w:rPr>
          <w:sz w:val="20"/>
        </w:rPr>
      </w:pPr>
    </w:p>
    <w:p w14:paraId="7B4ADEB6" w14:textId="77777777" w:rsidR="00A71EEF" w:rsidRDefault="00A71EEF">
      <w:pPr>
        <w:pStyle w:val="a3"/>
        <w:rPr>
          <w:sz w:val="20"/>
        </w:rPr>
      </w:pPr>
    </w:p>
    <w:p w14:paraId="024EF0D2" w14:textId="77777777" w:rsidR="00A71EEF" w:rsidRDefault="00A71EEF">
      <w:pPr>
        <w:pStyle w:val="a3"/>
        <w:spacing w:before="10"/>
        <w:rPr>
          <w:sz w:val="23"/>
        </w:rPr>
      </w:pPr>
    </w:p>
    <w:p w14:paraId="29794FC7" w14:textId="77777777" w:rsidR="00A71EEF" w:rsidRDefault="0081115D">
      <w:pPr>
        <w:pStyle w:val="a3"/>
        <w:spacing w:before="72"/>
        <w:ind w:left="838"/>
      </w:pPr>
      <w:r>
        <w:t xml:space="preserve"> </w:t>
      </w:r>
    </w:p>
    <w:p w14:paraId="2DF65492" w14:textId="77777777" w:rsidR="00A71EEF" w:rsidRDefault="00A71EEF">
      <w:pPr>
        <w:sectPr w:rsidR="00A71EEF">
          <w:pgSz w:w="11910" w:h="16850"/>
          <w:pgMar w:top="1220" w:right="0" w:bottom="1420" w:left="1260" w:header="0" w:footer="1239" w:gutter="0"/>
          <w:cols w:space="720"/>
        </w:sectPr>
      </w:pPr>
    </w:p>
    <w:p w14:paraId="5E173643" w14:textId="77777777" w:rsidR="00A71EEF" w:rsidRDefault="00A71EEF">
      <w:pPr>
        <w:pStyle w:val="a3"/>
        <w:spacing w:before="4"/>
        <w:rPr>
          <w:rFonts w:ascii="Times New Roman"/>
          <w:sz w:val="17"/>
        </w:rPr>
      </w:pPr>
    </w:p>
    <w:p w14:paraId="3B897E48" w14:textId="77777777" w:rsidR="00A71EEF" w:rsidRDefault="00A71EEF">
      <w:pPr>
        <w:rPr>
          <w:rFonts w:ascii="Times New Roman"/>
          <w:sz w:val="17"/>
        </w:rPr>
        <w:sectPr w:rsidR="00A71EEF">
          <w:footerReference w:type="default" r:id="rId517"/>
          <w:pgSz w:w="11910" w:h="16850"/>
          <w:pgMar w:top="1600" w:right="0" w:bottom="1420" w:left="1260" w:header="0" w:footer="1239" w:gutter="0"/>
          <w:pgNumType w:start="1560"/>
          <w:cols w:space="720"/>
        </w:sectPr>
      </w:pPr>
    </w:p>
    <w:p w14:paraId="24BE771C" w14:textId="77777777" w:rsidR="00A71EEF" w:rsidRDefault="0081115D">
      <w:pPr>
        <w:pStyle w:val="2"/>
        <w:spacing w:before="157"/>
        <w:ind w:right="798"/>
        <w:rPr>
          <w:sz w:val="44"/>
        </w:rPr>
      </w:pPr>
      <w:bookmarkStart w:id="33" w:name="_bookmark33"/>
      <w:bookmarkEnd w:id="33"/>
      <w:r>
        <w:t>建筑内部装修设计防火规范</w:t>
      </w:r>
      <w:r>
        <w:rPr>
          <w:w w:val="99"/>
          <w:sz w:val="44"/>
        </w:rPr>
        <w:t xml:space="preserve"> </w:t>
      </w:r>
    </w:p>
    <w:p w14:paraId="39EC36AD" w14:textId="77777777" w:rsidR="00A71EEF" w:rsidRDefault="00A71EEF">
      <w:pPr>
        <w:pStyle w:val="a3"/>
        <w:rPr>
          <w:b/>
          <w:sz w:val="20"/>
        </w:rPr>
      </w:pPr>
    </w:p>
    <w:p w14:paraId="35FA6BF5" w14:textId="77777777" w:rsidR="00A71EEF" w:rsidRDefault="00A71EEF">
      <w:pPr>
        <w:pStyle w:val="a3"/>
        <w:spacing w:before="5"/>
        <w:rPr>
          <w:b/>
          <w:sz w:val="14"/>
        </w:rPr>
      </w:pPr>
    </w:p>
    <w:p w14:paraId="630C5910" w14:textId="77777777" w:rsidR="00A71EEF" w:rsidRDefault="0081115D">
      <w:pPr>
        <w:pStyle w:val="4"/>
        <w:spacing w:before="66"/>
      </w:pPr>
      <w:r>
        <w:t xml:space="preserve">1 </w:t>
      </w:r>
      <w:r>
        <w:t>总则</w:t>
      </w:r>
      <w:r>
        <w:rPr>
          <w:w w:val="99"/>
        </w:rPr>
        <w:t xml:space="preserve"> </w:t>
      </w:r>
    </w:p>
    <w:p w14:paraId="6BC1AA74" w14:textId="77777777" w:rsidR="00A71EEF" w:rsidRDefault="00A71EEF">
      <w:pPr>
        <w:pStyle w:val="a3"/>
        <w:spacing w:before="4"/>
        <w:rPr>
          <w:b/>
          <w:sz w:val="17"/>
        </w:rPr>
      </w:pPr>
    </w:p>
    <w:p w14:paraId="7FB516B4" w14:textId="77777777" w:rsidR="00A71EEF" w:rsidRDefault="0081115D">
      <w:pPr>
        <w:pStyle w:val="a3"/>
        <w:spacing w:line="446" w:lineRule="auto"/>
        <w:ind w:left="840" w:right="1604"/>
      </w:pPr>
      <w:r>
        <w:rPr>
          <w:b/>
          <w:color w:val="333333"/>
        </w:rPr>
        <w:t xml:space="preserve">1.1  </w:t>
      </w:r>
      <w:r>
        <w:t>为规范建筑内部装修设计，减少火灾危害，保护人身和财产安全，制定本规范。</w:t>
      </w:r>
      <w:r>
        <w:rPr>
          <w:b/>
          <w:color w:val="333333"/>
        </w:rPr>
        <w:t xml:space="preserve">1.2 </w:t>
      </w:r>
      <w:r>
        <w:t>本规范适用于工业和民用建筑的内部装修防火设计，不适用于古建筑和木结构建筑的</w:t>
      </w:r>
    </w:p>
    <w:p w14:paraId="6134ED40" w14:textId="77777777" w:rsidR="00A71EEF" w:rsidRDefault="0081115D">
      <w:pPr>
        <w:pStyle w:val="a3"/>
        <w:ind w:left="418"/>
      </w:pPr>
      <w:r>
        <w:t>内部装修防火设计。</w:t>
      </w:r>
      <w:r>
        <w:t xml:space="preserve"> </w:t>
      </w:r>
    </w:p>
    <w:p w14:paraId="467EA5D0" w14:textId="77777777" w:rsidR="00A71EEF" w:rsidRDefault="00A71EEF">
      <w:pPr>
        <w:pStyle w:val="a3"/>
        <w:spacing w:before="12"/>
        <w:rPr>
          <w:sz w:val="17"/>
        </w:rPr>
      </w:pPr>
    </w:p>
    <w:p w14:paraId="03ABF62E" w14:textId="77777777" w:rsidR="00A71EEF" w:rsidRDefault="0081115D">
      <w:pPr>
        <w:pStyle w:val="a4"/>
        <w:numPr>
          <w:ilvl w:val="1"/>
          <w:numId w:val="93"/>
        </w:numPr>
        <w:tabs>
          <w:tab w:val="left" w:pos="1159"/>
        </w:tabs>
        <w:spacing w:line="446" w:lineRule="auto"/>
        <w:ind w:right="1604" w:firstLine="422"/>
        <w:rPr>
          <w:sz w:val="21"/>
        </w:rPr>
      </w:pPr>
      <w:r>
        <w:rPr>
          <w:spacing w:val="-3"/>
          <w:sz w:val="21"/>
        </w:rPr>
        <w:t>建筑内部装修设计应积极采用不燃性材料和难燃性材料，避免采用燃烧时产生大量浓烟或有毒气体的材料，做到安全适用，技术先进，经济合理。</w:t>
      </w:r>
      <w:r>
        <w:rPr>
          <w:sz w:val="21"/>
        </w:rPr>
        <w:t xml:space="preserve"> </w:t>
      </w:r>
    </w:p>
    <w:p w14:paraId="770FFF7A" w14:textId="77777777" w:rsidR="00A71EEF" w:rsidRDefault="0081115D">
      <w:pPr>
        <w:pStyle w:val="a4"/>
        <w:numPr>
          <w:ilvl w:val="1"/>
          <w:numId w:val="93"/>
        </w:numPr>
        <w:tabs>
          <w:tab w:val="left" w:pos="1159"/>
        </w:tabs>
        <w:spacing w:before="1"/>
        <w:ind w:left="1158" w:hanging="319"/>
        <w:rPr>
          <w:sz w:val="21"/>
        </w:rPr>
      </w:pPr>
      <w:r>
        <w:rPr>
          <w:spacing w:val="-3"/>
          <w:sz w:val="21"/>
        </w:rPr>
        <w:t>建筑内部装修防火设计除执行本规范的规定外，尚应符合国家现行有关标准的规定。</w:t>
      </w:r>
      <w:r>
        <w:rPr>
          <w:sz w:val="21"/>
        </w:rPr>
        <w:t xml:space="preserve"> </w:t>
      </w:r>
    </w:p>
    <w:p w14:paraId="3BC8D113" w14:textId="77777777" w:rsidR="00A71EEF" w:rsidRDefault="00A71EEF">
      <w:pPr>
        <w:pStyle w:val="a3"/>
        <w:spacing w:before="7"/>
        <w:rPr>
          <w:sz w:val="15"/>
        </w:rPr>
      </w:pPr>
    </w:p>
    <w:p w14:paraId="22099328" w14:textId="77777777" w:rsidR="00A71EEF" w:rsidRDefault="0081115D">
      <w:pPr>
        <w:pStyle w:val="4"/>
        <w:spacing w:before="1"/>
      </w:pPr>
      <w:r>
        <w:t xml:space="preserve">2 </w:t>
      </w:r>
      <w:r>
        <w:t>术语</w:t>
      </w:r>
      <w:r>
        <w:rPr>
          <w:w w:val="99"/>
        </w:rPr>
        <w:t xml:space="preserve"> </w:t>
      </w:r>
    </w:p>
    <w:p w14:paraId="645F236C" w14:textId="77777777" w:rsidR="00A71EEF" w:rsidRDefault="00A71EEF">
      <w:pPr>
        <w:pStyle w:val="a3"/>
        <w:spacing w:before="3"/>
        <w:rPr>
          <w:b/>
          <w:sz w:val="17"/>
        </w:rPr>
      </w:pPr>
    </w:p>
    <w:p w14:paraId="30DEC16C" w14:textId="77777777" w:rsidR="00A71EEF" w:rsidRDefault="0081115D">
      <w:pPr>
        <w:pStyle w:val="a3"/>
        <w:spacing w:before="1"/>
        <w:ind w:left="840"/>
      </w:pPr>
      <w:r>
        <w:rPr>
          <w:b/>
          <w:color w:val="333333"/>
        </w:rPr>
        <w:t xml:space="preserve">2.1 </w:t>
      </w:r>
      <w:r>
        <w:t>建筑内部装修</w:t>
      </w:r>
      <w:r>
        <w:t xml:space="preserve"> interior decoration of buildings </w:t>
      </w:r>
    </w:p>
    <w:p w14:paraId="6CAF283E" w14:textId="77777777" w:rsidR="00A71EEF" w:rsidRDefault="00A71EEF">
      <w:pPr>
        <w:pStyle w:val="a3"/>
        <w:spacing w:before="1"/>
        <w:rPr>
          <w:sz w:val="18"/>
        </w:rPr>
      </w:pPr>
    </w:p>
    <w:p w14:paraId="16A7D4D4" w14:textId="77777777" w:rsidR="00A71EEF" w:rsidRDefault="0081115D">
      <w:pPr>
        <w:pStyle w:val="a3"/>
        <w:spacing w:line="446" w:lineRule="auto"/>
        <w:ind w:left="840" w:right="2345" w:hanging="3"/>
      </w:pPr>
      <w:r>
        <w:t>为满足功能需求，对建筑内部空间所进行的修饰、保护及固定设施安装等活动。</w:t>
      </w:r>
      <w:r>
        <w:rPr>
          <w:b/>
          <w:color w:val="333333"/>
        </w:rPr>
        <w:t xml:space="preserve">2.2 </w:t>
      </w:r>
      <w:r>
        <w:t>装饰织物</w:t>
      </w:r>
      <w:r>
        <w:t xml:space="preserve"> decorative fabric </w:t>
      </w:r>
    </w:p>
    <w:p w14:paraId="3F9C77B2" w14:textId="77777777" w:rsidR="00A71EEF" w:rsidRDefault="0081115D">
      <w:pPr>
        <w:pStyle w:val="a3"/>
        <w:spacing w:line="446" w:lineRule="auto"/>
        <w:ind w:left="418" w:right="1611" w:firstLine="419"/>
      </w:pPr>
      <w:r>
        <w:t>满足建筑内部功能需求，由棉、麻、丝、毛等天然纤维及其他合成纤维制作的纺织品，如窗帘、帷幕等。</w:t>
      </w:r>
      <w:r>
        <w:t xml:space="preserve"> </w:t>
      </w:r>
    </w:p>
    <w:p w14:paraId="70A8C7B8" w14:textId="77777777" w:rsidR="00A71EEF" w:rsidRDefault="0081115D">
      <w:pPr>
        <w:ind w:left="840"/>
        <w:rPr>
          <w:sz w:val="21"/>
        </w:rPr>
      </w:pPr>
      <w:r>
        <w:rPr>
          <w:b/>
          <w:color w:val="333333"/>
          <w:sz w:val="21"/>
        </w:rPr>
        <w:t>2.3</w:t>
      </w:r>
      <w:r>
        <w:rPr>
          <w:b/>
          <w:sz w:val="21"/>
        </w:rPr>
        <w:t xml:space="preserve"> </w:t>
      </w:r>
      <w:r>
        <w:rPr>
          <w:sz w:val="21"/>
        </w:rPr>
        <w:t>隔断</w:t>
      </w:r>
      <w:r>
        <w:rPr>
          <w:sz w:val="21"/>
        </w:rPr>
        <w:t xml:space="preserve"> partition </w:t>
      </w:r>
    </w:p>
    <w:p w14:paraId="1602D8CE" w14:textId="77777777" w:rsidR="00A71EEF" w:rsidRDefault="00A71EEF">
      <w:pPr>
        <w:pStyle w:val="a3"/>
        <w:spacing w:before="10"/>
        <w:rPr>
          <w:sz w:val="17"/>
        </w:rPr>
      </w:pPr>
    </w:p>
    <w:p w14:paraId="06440D2A" w14:textId="77777777" w:rsidR="00A71EEF" w:rsidRDefault="0081115D">
      <w:pPr>
        <w:pStyle w:val="a3"/>
        <w:spacing w:before="1" w:line="446" w:lineRule="auto"/>
        <w:ind w:left="840" w:right="5917" w:hanging="3"/>
      </w:pPr>
      <w:r>
        <w:t>建筑内部固定的、不到顶的垂直分隔物。</w:t>
      </w:r>
      <w:r>
        <w:rPr>
          <w:b/>
        </w:rPr>
        <w:t xml:space="preserve">2.4 </w:t>
      </w:r>
      <w:r>
        <w:t>固定家具</w:t>
      </w:r>
      <w:r>
        <w:t xml:space="preserve"> fixed furniture </w:t>
      </w:r>
    </w:p>
    <w:p w14:paraId="7BB9ABD1" w14:textId="77777777" w:rsidR="00A71EEF" w:rsidRDefault="0081115D">
      <w:pPr>
        <w:pStyle w:val="a3"/>
        <w:spacing w:line="446" w:lineRule="auto"/>
        <w:ind w:left="418" w:right="1609" w:firstLine="419"/>
      </w:pPr>
      <w:r>
        <w:t>与建筑结构固定在一起或不易改变位置的家具。如建筑内部的壁橱、壁柜、陈列台、大型货架等。</w:t>
      </w:r>
      <w:r>
        <w:t xml:space="preserve"> </w:t>
      </w:r>
    </w:p>
    <w:p w14:paraId="1D016D89" w14:textId="77777777" w:rsidR="00A71EEF" w:rsidRDefault="0081115D">
      <w:pPr>
        <w:pStyle w:val="4"/>
        <w:spacing w:line="278" w:lineRule="exact"/>
      </w:pPr>
      <w:r>
        <w:t xml:space="preserve">3 </w:t>
      </w:r>
      <w:r>
        <w:t>装修材料的分类和分级</w:t>
      </w:r>
      <w:r>
        <w:rPr>
          <w:w w:val="99"/>
        </w:rPr>
        <w:t xml:space="preserve"> </w:t>
      </w:r>
    </w:p>
    <w:p w14:paraId="5AD3D6F1" w14:textId="77777777" w:rsidR="00A71EEF" w:rsidRDefault="00A71EEF">
      <w:pPr>
        <w:pStyle w:val="a3"/>
        <w:spacing w:before="3"/>
        <w:rPr>
          <w:b/>
          <w:sz w:val="17"/>
        </w:rPr>
      </w:pPr>
    </w:p>
    <w:p w14:paraId="0BE9C1E8" w14:textId="77777777" w:rsidR="00A71EEF" w:rsidRDefault="0081115D">
      <w:pPr>
        <w:pStyle w:val="a3"/>
        <w:spacing w:line="446" w:lineRule="auto"/>
        <w:ind w:left="418" w:right="1604" w:firstLine="422"/>
      </w:pPr>
      <w:r>
        <w:rPr>
          <w:b/>
        </w:rPr>
        <w:t xml:space="preserve">3.1 </w:t>
      </w:r>
      <w:r>
        <w:t>装修材料按其使用部位和功能，可划分为顶棚装修材料、墙面装修材料、地面装修材料、隔断装修材料、固定家具、装饰织物、其他装修装饰材料七类。</w:t>
      </w:r>
      <w:r>
        <w:t xml:space="preserve"> </w:t>
      </w:r>
    </w:p>
    <w:p w14:paraId="21C09968" w14:textId="77777777" w:rsidR="00A71EEF" w:rsidRDefault="0081115D">
      <w:pPr>
        <w:pStyle w:val="a3"/>
        <w:spacing w:line="446" w:lineRule="auto"/>
        <w:ind w:left="840" w:right="2451" w:hanging="3"/>
      </w:pPr>
      <w:r>
        <w:rPr>
          <w:noProof/>
        </w:rPr>
        <w:drawing>
          <wp:anchor distT="0" distB="0" distL="0" distR="0" simplePos="0" relativeHeight="251773440" behindDoc="1" locked="0" layoutInCell="1" allowOverlap="1" wp14:anchorId="0314EDE9" wp14:editId="54F7A523">
            <wp:simplePos x="0" y="0"/>
            <wp:positionH relativeFrom="page">
              <wp:posOffset>1419225</wp:posOffset>
            </wp:positionH>
            <wp:positionV relativeFrom="paragraph">
              <wp:posOffset>529081</wp:posOffset>
            </wp:positionV>
            <wp:extent cx="4263432" cy="1173480"/>
            <wp:effectExtent l="0" t="0" r="0" b="0"/>
            <wp:wrapNone/>
            <wp:docPr id="705" name="image4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image412.jpeg"/>
                    <pic:cNvPicPr/>
                  </pic:nvPicPr>
                  <pic:blipFill>
                    <a:blip r:embed="rId518" cstate="print"/>
                    <a:stretch>
                      <a:fillRect/>
                    </a:stretch>
                  </pic:blipFill>
                  <pic:spPr>
                    <a:xfrm>
                      <a:off x="0" y="0"/>
                      <a:ext cx="4263432" cy="1173480"/>
                    </a:xfrm>
                    <a:prstGeom prst="rect">
                      <a:avLst/>
                    </a:prstGeom>
                  </pic:spPr>
                </pic:pic>
              </a:graphicData>
            </a:graphic>
          </wp:anchor>
        </w:drawing>
      </w:r>
      <w:r>
        <w:t xml:space="preserve"> </w:t>
      </w:r>
      <w:r>
        <w:t>注：其他装修装饰材料系指楼梯扶手、挂镜线、踢脚板、窗帘盒、暖气罩等。</w:t>
      </w:r>
      <w:r>
        <w:rPr>
          <w:b/>
        </w:rPr>
        <w:t xml:space="preserve">3.2 </w:t>
      </w:r>
      <w:r>
        <w:t>装修材料按其燃烧性能应划分为四级，并应符合本规范表</w:t>
      </w:r>
      <w:r>
        <w:t xml:space="preserve"> 3.0.2 </w:t>
      </w:r>
      <w:r>
        <w:t>的规定。</w:t>
      </w:r>
      <w:r>
        <w:t xml:space="preserve"> </w:t>
      </w:r>
    </w:p>
    <w:p w14:paraId="74C9E021" w14:textId="77777777" w:rsidR="00A71EEF" w:rsidRDefault="00A71EEF">
      <w:pPr>
        <w:spacing w:line="446" w:lineRule="auto"/>
        <w:sectPr w:rsidR="00A71EEF">
          <w:pgSz w:w="11910" w:h="16850"/>
          <w:pgMar w:top="1020" w:right="0" w:bottom="1420" w:left="1260" w:header="0" w:footer="1239" w:gutter="0"/>
          <w:cols w:space="720"/>
        </w:sectPr>
      </w:pPr>
    </w:p>
    <w:p w14:paraId="7FA83869" w14:textId="77777777" w:rsidR="00A71EEF" w:rsidRDefault="0081115D">
      <w:pPr>
        <w:pStyle w:val="a4"/>
        <w:numPr>
          <w:ilvl w:val="1"/>
          <w:numId w:val="92"/>
        </w:numPr>
        <w:tabs>
          <w:tab w:val="left" w:pos="1159"/>
        </w:tabs>
        <w:spacing w:before="47"/>
        <w:ind w:hanging="319"/>
        <w:rPr>
          <w:sz w:val="21"/>
        </w:rPr>
      </w:pPr>
      <w:r>
        <w:rPr>
          <w:spacing w:val="-3"/>
          <w:sz w:val="21"/>
        </w:rPr>
        <w:t>装修材料的燃烧性能等级应按现行国家标准《建筑材料及制品燃烧性能分级》</w:t>
      </w:r>
      <w:r>
        <w:rPr>
          <w:sz w:val="21"/>
        </w:rPr>
        <w:t>GB</w:t>
      </w:r>
      <w:r>
        <w:rPr>
          <w:spacing w:val="3"/>
          <w:sz w:val="21"/>
        </w:rPr>
        <w:t xml:space="preserve"> </w:t>
      </w:r>
      <w:r>
        <w:rPr>
          <w:sz w:val="21"/>
        </w:rPr>
        <w:t>8624</w:t>
      </w:r>
    </w:p>
    <w:p w14:paraId="73892008" w14:textId="77777777" w:rsidR="00A71EEF" w:rsidRDefault="00A71EEF">
      <w:pPr>
        <w:pStyle w:val="a3"/>
        <w:rPr>
          <w:sz w:val="18"/>
        </w:rPr>
      </w:pPr>
    </w:p>
    <w:p w14:paraId="6E9ED7E7" w14:textId="77777777" w:rsidR="00A71EEF" w:rsidRDefault="0081115D">
      <w:pPr>
        <w:pStyle w:val="a3"/>
        <w:ind w:left="418"/>
      </w:pPr>
      <w:r>
        <w:t>的有关规定，经检测确定。</w:t>
      </w:r>
      <w:r>
        <w:t xml:space="preserve"> </w:t>
      </w:r>
    </w:p>
    <w:p w14:paraId="5ECDA2A4" w14:textId="77777777" w:rsidR="00A71EEF" w:rsidRDefault="00A71EEF">
      <w:pPr>
        <w:pStyle w:val="a3"/>
        <w:spacing w:before="12"/>
        <w:rPr>
          <w:sz w:val="17"/>
        </w:rPr>
      </w:pPr>
    </w:p>
    <w:p w14:paraId="11E552CF" w14:textId="77777777" w:rsidR="00A71EEF" w:rsidRDefault="0081115D">
      <w:pPr>
        <w:pStyle w:val="a4"/>
        <w:numPr>
          <w:ilvl w:val="1"/>
          <w:numId w:val="92"/>
        </w:numPr>
        <w:tabs>
          <w:tab w:val="left" w:pos="1159"/>
        </w:tabs>
        <w:spacing w:line="448" w:lineRule="auto"/>
        <w:ind w:left="418" w:right="1575" w:firstLine="422"/>
        <w:rPr>
          <w:sz w:val="21"/>
        </w:rPr>
      </w:pPr>
      <w:r>
        <w:rPr>
          <w:spacing w:val="-6"/>
          <w:position w:val="1"/>
          <w:sz w:val="21"/>
        </w:rPr>
        <w:t>安装在金属龙骨上燃烧性能达到</w:t>
      </w:r>
      <w:r>
        <w:rPr>
          <w:spacing w:val="-6"/>
          <w:position w:val="1"/>
          <w:sz w:val="21"/>
        </w:rPr>
        <w:t xml:space="preserve"> </w:t>
      </w:r>
      <w:r>
        <w:rPr>
          <w:position w:val="1"/>
          <w:sz w:val="21"/>
        </w:rPr>
        <w:t>B</w:t>
      </w:r>
      <w:r>
        <w:rPr>
          <w:sz w:val="11"/>
        </w:rPr>
        <w:t>1</w:t>
      </w:r>
      <w:r>
        <w:rPr>
          <w:spacing w:val="-26"/>
          <w:sz w:val="11"/>
        </w:rPr>
        <w:t xml:space="preserve"> </w:t>
      </w:r>
      <w:r>
        <w:rPr>
          <w:spacing w:val="-6"/>
          <w:position w:val="1"/>
          <w:sz w:val="21"/>
        </w:rPr>
        <w:t>级的纸面石膏板、矿棉吸声板，可作为</w:t>
      </w:r>
      <w:r>
        <w:rPr>
          <w:spacing w:val="-6"/>
          <w:position w:val="1"/>
          <w:sz w:val="21"/>
        </w:rPr>
        <w:t xml:space="preserve"> </w:t>
      </w:r>
      <w:r>
        <w:rPr>
          <w:position w:val="1"/>
          <w:sz w:val="21"/>
        </w:rPr>
        <w:t>A</w:t>
      </w:r>
      <w:r>
        <w:rPr>
          <w:spacing w:val="-12"/>
          <w:position w:val="1"/>
          <w:sz w:val="21"/>
        </w:rPr>
        <w:t xml:space="preserve"> </w:t>
      </w:r>
      <w:r>
        <w:rPr>
          <w:spacing w:val="-12"/>
          <w:position w:val="1"/>
          <w:sz w:val="21"/>
        </w:rPr>
        <w:t>级装修材</w:t>
      </w:r>
      <w:r>
        <w:rPr>
          <w:spacing w:val="-8"/>
          <w:sz w:val="21"/>
        </w:rPr>
        <w:t>料使用。</w:t>
      </w:r>
      <w:r>
        <w:rPr>
          <w:sz w:val="21"/>
        </w:rPr>
        <w:t xml:space="preserve"> </w:t>
      </w:r>
    </w:p>
    <w:p w14:paraId="25A691E3" w14:textId="77777777" w:rsidR="00A71EEF" w:rsidRDefault="0081115D">
      <w:pPr>
        <w:pStyle w:val="a4"/>
        <w:numPr>
          <w:ilvl w:val="1"/>
          <w:numId w:val="92"/>
        </w:numPr>
        <w:tabs>
          <w:tab w:val="left" w:pos="1160"/>
        </w:tabs>
        <w:spacing w:line="264" w:lineRule="exact"/>
        <w:ind w:left="1159" w:hanging="320"/>
        <w:rPr>
          <w:sz w:val="11"/>
        </w:rPr>
      </w:pPr>
      <w:r>
        <w:rPr>
          <w:spacing w:val="-9"/>
          <w:position w:val="1"/>
          <w:sz w:val="21"/>
        </w:rPr>
        <w:t>单位面积质量小于</w:t>
      </w:r>
      <w:r>
        <w:rPr>
          <w:spacing w:val="-9"/>
          <w:position w:val="1"/>
          <w:sz w:val="21"/>
        </w:rPr>
        <w:t xml:space="preserve"> </w:t>
      </w:r>
      <w:r>
        <w:rPr>
          <w:position w:val="1"/>
          <w:sz w:val="21"/>
        </w:rPr>
        <w:t>300g/</w:t>
      </w:r>
      <w:r>
        <w:rPr>
          <w:spacing w:val="-6"/>
          <w:position w:val="1"/>
          <w:sz w:val="21"/>
        </w:rPr>
        <w:t>㎡的纸质、布质壁纸，当直接粘贴在</w:t>
      </w:r>
      <w:r>
        <w:rPr>
          <w:spacing w:val="-6"/>
          <w:position w:val="1"/>
          <w:sz w:val="21"/>
        </w:rPr>
        <w:t xml:space="preserve"> </w:t>
      </w:r>
      <w:r>
        <w:rPr>
          <w:position w:val="1"/>
          <w:sz w:val="21"/>
        </w:rPr>
        <w:t>A</w:t>
      </w:r>
      <w:r>
        <w:rPr>
          <w:spacing w:val="-13"/>
          <w:position w:val="1"/>
          <w:sz w:val="21"/>
        </w:rPr>
        <w:t xml:space="preserve"> </w:t>
      </w:r>
      <w:r>
        <w:rPr>
          <w:spacing w:val="-13"/>
          <w:position w:val="1"/>
          <w:sz w:val="21"/>
        </w:rPr>
        <w:t>级基材上时，可作为</w:t>
      </w:r>
      <w:r>
        <w:rPr>
          <w:spacing w:val="-13"/>
          <w:position w:val="1"/>
          <w:sz w:val="21"/>
        </w:rPr>
        <w:t xml:space="preserve"> </w:t>
      </w:r>
      <w:r>
        <w:rPr>
          <w:position w:val="1"/>
          <w:sz w:val="21"/>
        </w:rPr>
        <w:t>B</w:t>
      </w:r>
      <w:r>
        <w:rPr>
          <w:sz w:val="11"/>
        </w:rPr>
        <w:t>1</w:t>
      </w:r>
    </w:p>
    <w:p w14:paraId="02377E45" w14:textId="77777777" w:rsidR="00A71EEF" w:rsidRDefault="00A71EEF">
      <w:pPr>
        <w:pStyle w:val="a3"/>
        <w:rPr>
          <w:sz w:val="18"/>
        </w:rPr>
      </w:pPr>
    </w:p>
    <w:p w14:paraId="25F3D783" w14:textId="77777777" w:rsidR="00A71EEF" w:rsidRDefault="0081115D">
      <w:pPr>
        <w:pStyle w:val="a3"/>
        <w:ind w:left="418"/>
      </w:pPr>
      <w:r>
        <w:t>级装修材料使用。</w:t>
      </w:r>
      <w:r>
        <w:t xml:space="preserve"> </w:t>
      </w:r>
    </w:p>
    <w:p w14:paraId="169F8A25" w14:textId="77777777" w:rsidR="00A71EEF" w:rsidRDefault="00A71EEF">
      <w:pPr>
        <w:pStyle w:val="a3"/>
        <w:spacing w:before="2"/>
        <w:rPr>
          <w:sz w:val="18"/>
        </w:rPr>
      </w:pPr>
    </w:p>
    <w:p w14:paraId="018377D9" w14:textId="77777777" w:rsidR="00A71EEF" w:rsidRDefault="0081115D">
      <w:pPr>
        <w:pStyle w:val="a4"/>
        <w:numPr>
          <w:ilvl w:val="1"/>
          <w:numId w:val="92"/>
        </w:numPr>
        <w:tabs>
          <w:tab w:val="left" w:pos="1159"/>
        </w:tabs>
        <w:spacing w:line="446" w:lineRule="auto"/>
        <w:ind w:left="418" w:right="1529" w:firstLine="422"/>
        <w:rPr>
          <w:sz w:val="21"/>
        </w:rPr>
      </w:pPr>
      <w:r>
        <w:rPr>
          <w:spacing w:val="15"/>
          <w:sz w:val="21"/>
        </w:rPr>
        <w:t>施涂于</w:t>
      </w:r>
      <w:r>
        <w:rPr>
          <w:sz w:val="21"/>
        </w:rPr>
        <w:t>A</w:t>
      </w:r>
      <w:r>
        <w:rPr>
          <w:spacing w:val="-11"/>
          <w:sz w:val="21"/>
        </w:rPr>
        <w:t xml:space="preserve"> </w:t>
      </w:r>
      <w:r>
        <w:rPr>
          <w:spacing w:val="-11"/>
          <w:sz w:val="21"/>
        </w:rPr>
        <w:t>级基材上的无机装修涂料，可作为</w:t>
      </w:r>
      <w:r>
        <w:rPr>
          <w:spacing w:val="-11"/>
          <w:sz w:val="21"/>
        </w:rPr>
        <w:t xml:space="preserve"> </w:t>
      </w:r>
      <w:r>
        <w:rPr>
          <w:sz w:val="21"/>
        </w:rPr>
        <w:t>A</w:t>
      </w:r>
      <w:r>
        <w:rPr>
          <w:spacing w:val="-4"/>
          <w:sz w:val="21"/>
        </w:rPr>
        <w:t xml:space="preserve"> </w:t>
      </w:r>
      <w:r>
        <w:rPr>
          <w:spacing w:val="-4"/>
          <w:sz w:val="21"/>
        </w:rPr>
        <w:t>级装修材料使用；施涂于</w:t>
      </w:r>
      <w:r>
        <w:rPr>
          <w:sz w:val="21"/>
        </w:rPr>
        <w:t>A</w:t>
      </w:r>
      <w:r>
        <w:rPr>
          <w:spacing w:val="-10"/>
          <w:sz w:val="21"/>
        </w:rPr>
        <w:t xml:space="preserve"> </w:t>
      </w:r>
      <w:r>
        <w:rPr>
          <w:spacing w:val="-10"/>
          <w:sz w:val="21"/>
        </w:rPr>
        <w:t>级基材上，</w:t>
      </w:r>
      <w:r>
        <w:rPr>
          <w:spacing w:val="-10"/>
          <w:sz w:val="21"/>
        </w:rPr>
        <w:t xml:space="preserve"> </w:t>
      </w:r>
      <w:r>
        <w:rPr>
          <w:spacing w:val="-11"/>
          <w:position w:val="1"/>
          <w:sz w:val="21"/>
        </w:rPr>
        <w:t>湿涂覆比小于</w:t>
      </w:r>
      <w:r>
        <w:rPr>
          <w:spacing w:val="-11"/>
          <w:position w:val="1"/>
          <w:sz w:val="21"/>
        </w:rPr>
        <w:t xml:space="preserve"> </w:t>
      </w:r>
      <w:r>
        <w:rPr>
          <w:position w:val="1"/>
          <w:sz w:val="21"/>
        </w:rPr>
        <w:t>1.5kg/</w:t>
      </w:r>
      <w:r>
        <w:rPr>
          <w:spacing w:val="-7"/>
          <w:position w:val="1"/>
          <w:sz w:val="21"/>
        </w:rPr>
        <w:t>㎡，且涂层干膜厚度不大于</w:t>
      </w:r>
      <w:r>
        <w:rPr>
          <w:spacing w:val="-7"/>
          <w:position w:val="1"/>
          <w:sz w:val="21"/>
        </w:rPr>
        <w:t xml:space="preserve"> </w:t>
      </w:r>
      <w:r>
        <w:rPr>
          <w:position w:val="1"/>
          <w:sz w:val="21"/>
        </w:rPr>
        <w:t>1.0mm</w:t>
      </w:r>
      <w:r>
        <w:rPr>
          <w:spacing w:val="-11"/>
          <w:position w:val="1"/>
          <w:sz w:val="21"/>
        </w:rPr>
        <w:t xml:space="preserve"> </w:t>
      </w:r>
      <w:r>
        <w:rPr>
          <w:spacing w:val="-11"/>
          <w:position w:val="1"/>
          <w:sz w:val="21"/>
        </w:rPr>
        <w:t>的有机装修涂料，可作为</w:t>
      </w:r>
      <w:r>
        <w:rPr>
          <w:spacing w:val="-11"/>
          <w:position w:val="1"/>
          <w:sz w:val="21"/>
        </w:rPr>
        <w:t xml:space="preserve"> </w:t>
      </w:r>
      <w:r>
        <w:rPr>
          <w:position w:val="1"/>
          <w:sz w:val="21"/>
        </w:rPr>
        <w:t>B</w:t>
      </w:r>
      <w:r>
        <w:rPr>
          <w:sz w:val="11"/>
        </w:rPr>
        <w:t>1</w:t>
      </w:r>
      <w:r>
        <w:rPr>
          <w:spacing w:val="-25"/>
          <w:sz w:val="11"/>
        </w:rPr>
        <w:t xml:space="preserve"> </w:t>
      </w:r>
      <w:r>
        <w:rPr>
          <w:spacing w:val="-3"/>
          <w:position w:val="1"/>
          <w:sz w:val="21"/>
        </w:rPr>
        <w:t>级装修材料</w:t>
      </w:r>
      <w:r>
        <w:rPr>
          <w:spacing w:val="-3"/>
          <w:sz w:val="21"/>
        </w:rPr>
        <w:t>使用。</w:t>
      </w:r>
      <w:r>
        <w:rPr>
          <w:sz w:val="21"/>
        </w:rPr>
        <w:t xml:space="preserve"> </w:t>
      </w:r>
    </w:p>
    <w:p w14:paraId="2B998179" w14:textId="77777777" w:rsidR="00A71EEF" w:rsidRDefault="0081115D">
      <w:pPr>
        <w:pStyle w:val="a4"/>
        <w:numPr>
          <w:ilvl w:val="1"/>
          <w:numId w:val="92"/>
        </w:numPr>
        <w:tabs>
          <w:tab w:val="left" w:pos="1159"/>
        </w:tabs>
        <w:spacing w:line="446" w:lineRule="auto"/>
        <w:ind w:left="418" w:right="1604" w:firstLine="422"/>
        <w:rPr>
          <w:sz w:val="21"/>
        </w:rPr>
      </w:pPr>
      <w:r>
        <w:rPr>
          <w:spacing w:val="-3"/>
          <w:sz w:val="21"/>
        </w:rPr>
        <w:t>当使用多层装修材料时，各层装修材料的燃烧性能等级均应符合本规范的规定。复合型装修材料的燃烧性能等级应进行整体检测确定。</w:t>
      </w:r>
      <w:r>
        <w:rPr>
          <w:sz w:val="21"/>
        </w:rPr>
        <w:t xml:space="preserve"> </w:t>
      </w:r>
    </w:p>
    <w:p w14:paraId="3B08B6EE" w14:textId="77777777" w:rsidR="00A71EEF" w:rsidRDefault="0081115D">
      <w:pPr>
        <w:pStyle w:val="4"/>
        <w:spacing w:line="275" w:lineRule="exact"/>
      </w:pPr>
      <w:r>
        <w:t xml:space="preserve">4 </w:t>
      </w:r>
      <w:r>
        <w:t>特别场所</w:t>
      </w:r>
      <w:r>
        <w:rPr>
          <w:w w:val="99"/>
        </w:rPr>
        <w:t xml:space="preserve"> </w:t>
      </w:r>
    </w:p>
    <w:p w14:paraId="585EA1BD" w14:textId="77777777" w:rsidR="00A71EEF" w:rsidRDefault="00A71EEF">
      <w:pPr>
        <w:pStyle w:val="a3"/>
        <w:spacing w:before="5"/>
        <w:rPr>
          <w:b/>
          <w:sz w:val="17"/>
        </w:rPr>
      </w:pPr>
    </w:p>
    <w:p w14:paraId="416FA694" w14:textId="77777777" w:rsidR="00A71EEF" w:rsidRDefault="0081115D">
      <w:pPr>
        <w:pStyle w:val="a4"/>
        <w:numPr>
          <w:ilvl w:val="1"/>
          <w:numId w:val="91"/>
        </w:numPr>
        <w:tabs>
          <w:tab w:val="left" w:pos="1159"/>
        </w:tabs>
        <w:spacing w:line="446" w:lineRule="auto"/>
        <w:ind w:right="1813" w:firstLine="422"/>
        <w:rPr>
          <w:sz w:val="21"/>
        </w:rPr>
      </w:pPr>
      <w:r>
        <w:rPr>
          <w:spacing w:val="-3"/>
          <w:sz w:val="21"/>
        </w:rPr>
        <w:t>建筑内部装修不应擅自减少、改动、拆除、遮挡消防设施、疏散指示标志、安全出口、疏散出口、疏散走道和防火分区、防烟分区等。</w:t>
      </w:r>
      <w:r>
        <w:rPr>
          <w:spacing w:val="-3"/>
          <w:sz w:val="21"/>
        </w:rPr>
        <w:t xml:space="preserve"> </w:t>
      </w:r>
    </w:p>
    <w:p w14:paraId="73564A36" w14:textId="77777777" w:rsidR="00A71EEF" w:rsidRDefault="0081115D">
      <w:pPr>
        <w:pStyle w:val="a4"/>
        <w:numPr>
          <w:ilvl w:val="1"/>
          <w:numId w:val="91"/>
        </w:numPr>
        <w:tabs>
          <w:tab w:val="left" w:pos="1159"/>
        </w:tabs>
        <w:spacing w:line="446" w:lineRule="auto"/>
        <w:ind w:right="1604" w:firstLine="422"/>
        <w:rPr>
          <w:sz w:val="21"/>
        </w:rPr>
      </w:pPr>
      <w:r>
        <w:rPr>
          <w:spacing w:val="-3"/>
          <w:sz w:val="21"/>
        </w:rPr>
        <w:t>建筑内部消火栓箱门不应被装饰物遮掩，消火栓箱门四周的装修材料颜色应与消火栓箱门的颜色有明显区别或在消火栓箱门表面设置发光标志。</w:t>
      </w:r>
      <w:r>
        <w:rPr>
          <w:sz w:val="21"/>
        </w:rPr>
        <w:t xml:space="preserve"> </w:t>
      </w:r>
    </w:p>
    <w:p w14:paraId="506A00A3" w14:textId="77777777" w:rsidR="00A71EEF" w:rsidRDefault="0081115D">
      <w:pPr>
        <w:pStyle w:val="a4"/>
        <w:numPr>
          <w:ilvl w:val="1"/>
          <w:numId w:val="91"/>
        </w:numPr>
        <w:tabs>
          <w:tab w:val="left" w:pos="1159"/>
        </w:tabs>
        <w:ind w:left="1158" w:hanging="319"/>
        <w:rPr>
          <w:sz w:val="21"/>
        </w:rPr>
      </w:pPr>
      <w:r>
        <w:rPr>
          <w:spacing w:val="-3"/>
          <w:sz w:val="21"/>
        </w:rPr>
        <w:t>疏散走道和安全出口的顶棚、墙面不应采用影响人员安全疏散的镜面反光材料。</w:t>
      </w:r>
      <w:r>
        <w:rPr>
          <w:sz w:val="21"/>
        </w:rPr>
        <w:t xml:space="preserve"> </w:t>
      </w:r>
    </w:p>
    <w:p w14:paraId="0DA75358" w14:textId="77777777" w:rsidR="00A71EEF" w:rsidRDefault="00A71EEF">
      <w:pPr>
        <w:pStyle w:val="a3"/>
        <w:spacing w:before="10"/>
        <w:rPr>
          <w:sz w:val="17"/>
        </w:rPr>
      </w:pPr>
    </w:p>
    <w:p w14:paraId="6735208C" w14:textId="77777777" w:rsidR="00A71EEF" w:rsidRDefault="0081115D">
      <w:pPr>
        <w:pStyle w:val="a4"/>
        <w:numPr>
          <w:ilvl w:val="1"/>
          <w:numId w:val="91"/>
        </w:numPr>
        <w:tabs>
          <w:tab w:val="left" w:pos="1159"/>
        </w:tabs>
        <w:spacing w:before="1" w:line="446" w:lineRule="auto"/>
        <w:ind w:right="1505" w:firstLine="422"/>
        <w:rPr>
          <w:sz w:val="21"/>
        </w:rPr>
      </w:pPr>
      <w:r>
        <w:rPr>
          <w:spacing w:val="-5"/>
          <w:sz w:val="21"/>
        </w:rPr>
        <w:t>地上建筑的水平疏散走道和安全出口的门厅，其顶棚应采用</w:t>
      </w:r>
      <w:r>
        <w:rPr>
          <w:spacing w:val="-5"/>
          <w:sz w:val="21"/>
        </w:rPr>
        <w:t xml:space="preserve"> </w:t>
      </w:r>
      <w:r>
        <w:rPr>
          <w:sz w:val="21"/>
        </w:rPr>
        <w:t>A</w:t>
      </w:r>
      <w:r>
        <w:rPr>
          <w:spacing w:val="-7"/>
          <w:sz w:val="21"/>
        </w:rPr>
        <w:t xml:space="preserve"> </w:t>
      </w:r>
      <w:r>
        <w:rPr>
          <w:spacing w:val="-7"/>
          <w:sz w:val="21"/>
        </w:rPr>
        <w:t>级装修材料，其他部位应</w:t>
      </w:r>
      <w:r>
        <w:rPr>
          <w:spacing w:val="-9"/>
          <w:sz w:val="21"/>
        </w:rPr>
        <w:t>采用不低于</w:t>
      </w:r>
      <w:r>
        <w:rPr>
          <w:spacing w:val="-9"/>
          <w:sz w:val="21"/>
        </w:rPr>
        <w:t xml:space="preserve"> </w:t>
      </w:r>
      <w:r>
        <w:rPr>
          <w:sz w:val="21"/>
        </w:rPr>
        <w:t>B1</w:t>
      </w:r>
      <w:r>
        <w:rPr>
          <w:spacing w:val="-8"/>
          <w:sz w:val="21"/>
        </w:rPr>
        <w:t xml:space="preserve"> </w:t>
      </w:r>
      <w:r>
        <w:rPr>
          <w:spacing w:val="-8"/>
          <w:sz w:val="21"/>
        </w:rPr>
        <w:t>级的装修材料；地下民用建筑的疏散走道和安全出口的门厅，其顶棚、墙面和地</w:t>
      </w:r>
      <w:r>
        <w:rPr>
          <w:spacing w:val="7"/>
          <w:sz w:val="21"/>
        </w:rPr>
        <w:t>面均应采用</w:t>
      </w:r>
      <w:r>
        <w:rPr>
          <w:sz w:val="21"/>
        </w:rPr>
        <w:t>A</w:t>
      </w:r>
      <w:r>
        <w:rPr>
          <w:spacing w:val="-10"/>
          <w:sz w:val="21"/>
        </w:rPr>
        <w:t xml:space="preserve"> </w:t>
      </w:r>
      <w:r>
        <w:rPr>
          <w:spacing w:val="-10"/>
          <w:sz w:val="21"/>
        </w:rPr>
        <w:t>级装修材料。</w:t>
      </w:r>
      <w:r>
        <w:rPr>
          <w:spacing w:val="-10"/>
          <w:sz w:val="21"/>
        </w:rPr>
        <w:t xml:space="preserve"> </w:t>
      </w:r>
    </w:p>
    <w:p w14:paraId="7C2E82EE" w14:textId="77777777" w:rsidR="00A71EEF" w:rsidRDefault="0081115D">
      <w:pPr>
        <w:pStyle w:val="a4"/>
        <w:numPr>
          <w:ilvl w:val="1"/>
          <w:numId w:val="91"/>
        </w:numPr>
        <w:tabs>
          <w:tab w:val="left" w:pos="1159"/>
        </w:tabs>
        <w:spacing w:line="268" w:lineRule="exact"/>
        <w:ind w:left="1158" w:hanging="319"/>
        <w:rPr>
          <w:sz w:val="21"/>
        </w:rPr>
      </w:pPr>
      <w:r>
        <w:rPr>
          <w:spacing w:val="-6"/>
          <w:sz w:val="21"/>
        </w:rPr>
        <w:t>疏散楼梯间和前室的顶棚、墙面和地面均应采用</w:t>
      </w:r>
      <w:r>
        <w:rPr>
          <w:spacing w:val="-6"/>
          <w:sz w:val="21"/>
        </w:rPr>
        <w:t xml:space="preserve"> </w:t>
      </w:r>
      <w:r>
        <w:rPr>
          <w:sz w:val="21"/>
        </w:rPr>
        <w:t>A</w:t>
      </w:r>
      <w:r>
        <w:rPr>
          <w:spacing w:val="-10"/>
          <w:sz w:val="21"/>
        </w:rPr>
        <w:t xml:space="preserve"> </w:t>
      </w:r>
      <w:r>
        <w:rPr>
          <w:spacing w:val="-10"/>
          <w:sz w:val="21"/>
        </w:rPr>
        <w:t>级装修材料。</w:t>
      </w:r>
      <w:r>
        <w:rPr>
          <w:sz w:val="21"/>
        </w:rPr>
        <w:t xml:space="preserve"> </w:t>
      </w:r>
    </w:p>
    <w:p w14:paraId="1F61F021" w14:textId="77777777" w:rsidR="00A71EEF" w:rsidRDefault="00A71EEF">
      <w:pPr>
        <w:pStyle w:val="a3"/>
        <w:spacing w:before="1"/>
        <w:rPr>
          <w:sz w:val="18"/>
        </w:rPr>
      </w:pPr>
    </w:p>
    <w:p w14:paraId="0B45EBA5" w14:textId="77777777" w:rsidR="00A71EEF" w:rsidRDefault="0081115D">
      <w:pPr>
        <w:pStyle w:val="a4"/>
        <w:numPr>
          <w:ilvl w:val="1"/>
          <w:numId w:val="91"/>
        </w:numPr>
        <w:tabs>
          <w:tab w:val="left" w:pos="1159"/>
        </w:tabs>
        <w:spacing w:line="446" w:lineRule="auto"/>
        <w:ind w:right="1604" w:firstLine="422"/>
        <w:rPr>
          <w:sz w:val="21"/>
        </w:rPr>
      </w:pPr>
      <w:r>
        <w:rPr>
          <w:spacing w:val="-3"/>
          <w:sz w:val="21"/>
        </w:rPr>
        <w:t>建筑物内设有上下层相连通的中庭、走马廊、开敞楼梯、自动扶梯时，其连通部位的</w:t>
      </w:r>
      <w:r>
        <w:rPr>
          <w:spacing w:val="3"/>
          <w:sz w:val="21"/>
        </w:rPr>
        <w:t>顶棚、墙面应采用</w:t>
      </w:r>
      <w:r>
        <w:rPr>
          <w:sz w:val="21"/>
        </w:rPr>
        <w:t>A</w:t>
      </w:r>
      <w:r>
        <w:rPr>
          <w:spacing w:val="-12"/>
          <w:sz w:val="21"/>
        </w:rPr>
        <w:t xml:space="preserve"> </w:t>
      </w:r>
      <w:r>
        <w:rPr>
          <w:spacing w:val="-12"/>
          <w:sz w:val="21"/>
        </w:rPr>
        <w:t>级装修材料，其他部位应采用不低于</w:t>
      </w:r>
      <w:r>
        <w:rPr>
          <w:spacing w:val="-12"/>
          <w:sz w:val="21"/>
        </w:rPr>
        <w:t xml:space="preserve"> </w:t>
      </w:r>
      <w:r>
        <w:rPr>
          <w:sz w:val="21"/>
        </w:rPr>
        <w:t>B1</w:t>
      </w:r>
      <w:r>
        <w:rPr>
          <w:spacing w:val="-10"/>
          <w:sz w:val="21"/>
        </w:rPr>
        <w:t xml:space="preserve"> </w:t>
      </w:r>
      <w:r>
        <w:rPr>
          <w:spacing w:val="-10"/>
          <w:sz w:val="21"/>
        </w:rPr>
        <w:t>级的装修材料。</w:t>
      </w:r>
      <w:r>
        <w:rPr>
          <w:sz w:val="21"/>
        </w:rPr>
        <w:t xml:space="preserve"> </w:t>
      </w:r>
    </w:p>
    <w:p w14:paraId="146DE1A0" w14:textId="77777777" w:rsidR="00A71EEF" w:rsidRDefault="0081115D">
      <w:pPr>
        <w:pStyle w:val="a4"/>
        <w:numPr>
          <w:ilvl w:val="1"/>
          <w:numId w:val="91"/>
        </w:numPr>
        <w:tabs>
          <w:tab w:val="left" w:pos="1159"/>
        </w:tabs>
        <w:spacing w:line="446" w:lineRule="auto"/>
        <w:ind w:right="1604" w:firstLine="422"/>
        <w:rPr>
          <w:sz w:val="21"/>
        </w:rPr>
      </w:pPr>
      <w:r>
        <w:rPr>
          <w:spacing w:val="-3"/>
          <w:sz w:val="21"/>
        </w:rPr>
        <w:t>建筑内部变形缝</w:t>
      </w:r>
      <w:r>
        <w:rPr>
          <w:spacing w:val="-3"/>
          <w:sz w:val="21"/>
        </w:rPr>
        <w:t>(</w:t>
      </w:r>
      <w:r>
        <w:rPr>
          <w:spacing w:val="-3"/>
          <w:sz w:val="21"/>
        </w:rPr>
        <w:t>包括沉降缝、伸缩缝、抗震缝等</w:t>
      </w:r>
      <w:r>
        <w:rPr>
          <w:spacing w:val="-3"/>
          <w:sz w:val="21"/>
        </w:rPr>
        <w:t>)</w:t>
      </w:r>
      <w:r>
        <w:rPr>
          <w:spacing w:val="-3"/>
          <w:sz w:val="21"/>
        </w:rPr>
        <w:t>两侧基层的表面装修应采用不低于</w:t>
      </w:r>
      <w:r>
        <w:rPr>
          <w:spacing w:val="-3"/>
          <w:sz w:val="21"/>
        </w:rPr>
        <w:t>B1</w:t>
      </w:r>
      <w:r>
        <w:rPr>
          <w:spacing w:val="-10"/>
          <w:sz w:val="21"/>
        </w:rPr>
        <w:t xml:space="preserve"> </w:t>
      </w:r>
      <w:r>
        <w:rPr>
          <w:spacing w:val="-10"/>
          <w:sz w:val="21"/>
        </w:rPr>
        <w:t>级的装修材料。</w:t>
      </w:r>
      <w:r>
        <w:rPr>
          <w:sz w:val="21"/>
        </w:rPr>
        <w:t xml:space="preserve"> </w:t>
      </w:r>
    </w:p>
    <w:p w14:paraId="567571F1" w14:textId="77777777" w:rsidR="00A71EEF" w:rsidRDefault="0081115D">
      <w:pPr>
        <w:pStyle w:val="a4"/>
        <w:numPr>
          <w:ilvl w:val="1"/>
          <w:numId w:val="91"/>
        </w:numPr>
        <w:tabs>
          <w:tab w:val="left" w:pos="1159"/>
        </w:tabs>
        <w:ind w:left="1158" w:hanging="319"/>
        <w:rPr>
          <w:sz w:val="21"/>
        </w:rPr>
      </w:pPr>
      <w:r>
        <w:rPr>
          <w:spacing w:val="-6"/>
          <w:sz w:val="21"/>
        </w:rPr>
        <w:t>无窗房间内部装修材料的燃烧性能等级除</w:t>
      </w:r>
      <w:r>
        <w:rPr>
          <w:spacing w:val="-6"/>
          <w:sz w:val="21"/>
        </w:rPr>
        <w:t xml:space="preserve"> </w:t>
      </w:r>
      <w:r>
        <w:rPr>
          <w:sz w:val="21"/>
        </w:rPr>
        <w:t>A</w:t>
      </w:r>
      <w:r>
        <w:rPr>
          <w:spacing w:val="-17"/>
          <w:sz w:val="21"/>
        </w:rPr>
        <w:t xml:space="preserve"> </w:t>
      </w:r>
      <w:r>
        <w:rPr>
          <w:spacing w:val="-17"/>
          <w:sz w:val="21"/>
        </w:rPr>
        <w:t>级外，应在表</w:t>
      </w:r>
      <w:r>
        <w:rPr>
          <w:spacing w:val="-17"/>
          <w:sz w:val="21"/>
        </w:rPr>
        <w:t xml:space="preserve"> </w:t>
      </w:r>
      <w:r>
        <w:rPr>
          <w:sz w:val="21"/>
        </w:rPr>
        <w:t>5.1.1</w:t>
      </w:r>
      <w:r>
        <w:rPr>
          <w:spacing w:val="-19"/>
          <w:sz w:val="21"/>
        </w:rPr>
        <w:t>、表</w:t>
      </w:r>
      <w:r>
        <w:rPr>
          <w:spacing w:val="-19"/>
          <w:sz w:val="21"/>
        </w:rPr>
        <w:t xml:space="preserve"> </w:t>
      </w:r>
      <w:r>
        <w:rPr>
          <w:sz w:val="21"/>
        </w:rPr>
        <w:t>5.2.1</w:t>
      </w:r>
      <w:r>
        <w:rPr>
          <w:sz w:val="21"/>
        </w:rPr>
        <w:t>、表</w:t>
      </w:r>
    </w:p>
    <w:p w14:paraId="72A11AF1" w14:textId="77777777" w:rsidR="00A71EEF" w:rsidRDefault="00A71EEF">
      <w:pPr>
        <w:pStyle w:val="a3"/>
        <w:spacing w:before="10"/>
        <w:rPr>
          <w:sz w:val="17"/>
        </w:rPr>
      </w:pPr>
    </w:p>
    <w:p w14:paraId="29937B13" w14:textId="77777777" w:rsidR="00A71EEF" w:rsidRDefault="0081115D">
      <w:pPr>
        <w:pStyle w:val="a3"/>
        <w:spacing w:before="1"/>
        <w:ind w:left="418"/>
      </w:pPr>
      <w:r>
        <w:t>5.3.1</w:t>
      </w:r>
      <w:r>
        <w:t>、表</w:t>
      </w:r>
      <w:r>
        <w:t xml:space="preserve"> 6.0.1</w:t>
      </w:r>
      <w:r>
        <w:t>、表</w:t>
      </w:r>
      <w:r>
        <w:t xml:space="preserve"> 6.0.5 </w:t>
      </w:r>
      <w:r>
        <w:t>规定的基础上提高一级。</w:t>
      </w:r>
      <w:r>
        <w:t xml:space="preserve"> </w:t>
      </w:r>
    </w:p>
    <w:p w14:paraId="19E5548E" w14:textId="77777777" w:rsidR="00A71EEF" w:rsidRDefault="00A71EEF">
      <w:pPr>
        <w:sectPr w:rsidR="00A71EEF">
          <w:pgSz w:w="11910" w:h="16850"/>
          <w:pgMar w:top="1220" w:right="0" w:bottom="1420" w:left="1260" w:header="0" w:footer="1239" w:gutter="0"/>
          <w:cols w:space="720"/>
        </w:sectPr>
      </w:pPr>
    </w:p>
    <w:p w14:paraId="0DE99E76" w14:textId="77777777" w:rsidR="00A71EEF" w:rsidRDefault="0081115D">
      <w:pPr>
        <w:pStyle w:val="a4"/>
        <w:numPr>
          <w:ilvl w:val="1"/>
          <w:numId w:val="91"/>
        </w:numPr>
        <w:tabs>
          <w:tab w:val="left" w:pos="1159"/>
        </w:tabs>
        <w:spacing w:before="47" w:line="446" w:lineRule="auto"/>
        <w:ind w:right="1604" w:firstLine="422"/>
        <w:rPr>
          <w:sz w:val="21"/>
        </w:rPr>
      </w:pPr>
      <w:r>
        <w:rPr>
          <w:spacing w:val="-3"/>
          <w:sz w:val="21"/>
        </w:rPr>
        <w:t>消防水泵房、机械加压送风排烟机房、固定灭火系统钢瓶间、配电室、变压器室、发</w:t>
      </w:r>
      <w:r>
        <w:rPr>
          <w:spacing w:val="-5"/>
          <w:sz w:val="21"/>
        </w:rPr>
        <w:t>电机房、储油间、通风和空调机房等，其内部所有装修均应采用</w:t>
      </w:r>
      <w:r>
        <w:rPr>
          <w:spacing w:val="-5"/>
          <w:sz w:val="21"/>
        </w:rPr>
        <w:t xml:space="preserve"> </w:t>
      </w:r>
      <w:r>
        <w:rPr>
          <w:sz w:val="21"/>
        </w:rPr>
        <w:t>A</w:t>
      </w:r>
      <w:r>
        <w:rPr>
          <w:spacing w:val="-10"/>
          <w:sz w:val="21"/>
        </w:rPr>
        <w:t xml:space="preserve"> </w:t>
      </w:r>
      <w:r>
        <w:rPr>
          <w:spacing w:val="-10"/>
          <w:sz w:val="21"/>
        </w:rPr>
        <w:t>级装修材料。</w:t>
      </w:r>
      <w:r>
        <w:rPr>
          <w:spacing w:val="-10"/>
          <w:sz w:val="21"/>
        </w:rPr>
        <w:t xml:space="preserve"> </w:t>
      </w:r>
    </w:p>
    <w:p w14:paraId="5670C44C" w14:textId="77777777" w:rsidR="00A71EEF" w:rsidRDefault="0081115D">
      <w:pPr>
        <w:pStyle w:val="a4"/>
        <w:numPr>
          <w:ilvl w:val="1"/>
          <w:numId w:val="91"/>
        </w:numPr>
        <w:tabs>
          <w:tab w:val="left" w:pos="1264"/>
        </w:tabs>
        <w:spacing w:line="446" w:lineRule="auto"/>
        <w:ind w:right="1500" w:firstLine="422"/>
        <w:rPr>
          <w:sz w:val="21"/>
        </w:rPr>
      </w:pPr>
      <w:r>
        <w:rPr>
          <w:spacing w:val="-1"/>
          <w:sz w:val="21"/>
        </w:rPr>
        <w:t>消防控制室等重要房间，其顶棚和墙面应采用</w:t>
      </w:r>
      <w:r>
        <w:rPr>
          <w:sz w:val="21"/>
        </w:rPr>
        <w:t>A</w:t>
      </w:r>
      <w:r>
        <w:rPr>
          <w:spacing w:val="-8"/>
          <w:sz w:val="21"/>
        </w:rPr>
        <w:t xml:space="preserve"> </w:t>
      </w:r>
      <w:r>
        <w:rPr>
          <w:spacing w:val="-8"/>
          <w:sz w:val="21"/>
        </w:rPr>
        <w:t>级装修材料，地面及其他装修应采用</w:t>
      </w:r>
      <w:r>
        <w:rPr>
          <w:spacing w:val="-17"/>
          <w:sz w:val="21"/>
        </w:rPr>
        <w:t>不低于</w:t>
      </w:r>
      <w:r>
        <w:rPr>
          <w:spacing w:val="-17"/>
          <w:sz w:val="21"/>
        </w:rPr>
        <w:t xml:space="preserve"> </w:t>
      </w:r>
      <w:r>
        <w:rPr>
          <w:sz w:val="21"/>
        </w:rPr>
        <w:t>B1</w:t>
      </w:r>
      <w:r>
        <w:rPr>
          <w:spacing w:val="-10"/>
          <w:sz w:val="21"/>
        </w:rPr>
        <w:t xml:space="preserve"> </w:t>
      </w:r>
      <w:r>
        <w:rPr>
          <w:spacing w:val="-10"/>
          <w:sz w:val="21"/>
        </w:rPr>
        <w:t>级的装修材料。</w:t>
      </w:r>
      <w:r>
        <w:rPr>
          <w:sz w:val="21"/>
        </w:rPr>
        <w:t xml:space="preserve"> </w:t>
      </w:r>
    </w:p>
    <w:p w14:paraId="3F2770A0" w14:textId="77777777" w:rsidR="00A71EEF" w:rsidRDefault="0081115D">
      <w:pPr>
        <w:pStyle w:val="a4"/>
        <w:numPr>
          <w:ilvl w:val="1"/>
          <w:numId w:val="91"/>
        </w:numPr>
        <w:tabs>
          <w:tab w:val="left" w:pos="1266"/>
        </w:tabs>
        <w:ind w:left="1265" w:hanging="426"/>
        <w:rPr>
          <w:sz w:val="21"/>
        </w:rPr>
      </w:pPr>
      <w:r>
        <w:rPr>
          <w:spacing w:val="-6"/>
          <w:sz w:val="21"/>
        </w:rPr>
        <w:t>建筑物内的厨房，其顶棚、墙面、地面均应采用</w:t>
      </w:r>
      <w:r>
        <w:rPr>
          <w:spacing w:val="-6"/>
          <w:sz w:val="21"/>
        </w:rPr>
        <w:t xml:space="preserve"> </w:t>
      </w:r>
      <w:r>
        <w:rPr>
          <w:sz w:val="21"/>
        </w:rPr>
        <w:t>A</w:t>
      </w:r>
      <w:r>
        <w:rPr>
          <w:spacing w:val="-10"/>
          <w:sz w:val="21"/>
        </w:rPr>
        <w:t xml:space="preserve"> </w:t>
      </w:r>
      <w:r>
        <w:rPr>
          <w:spacing w:val="-10"/>
          <w:sz w:val="21"/>
        </w:rPr>
        <w:t>级装修材料。</w:t>
      </w:r>
      <w:r>
        <w:rPr>
          <w:sz w:val="21"/>
        </w:rPr>
        <w:t xml:space="preserve"> </w:t>
      </w:r>
    </w:p>
    <w:p w14:paraId="67187BDF" w14:textId="77777777" w:rsidR="00A71EEF" w:rsidRDefault="00A71EEF">
      <w:pPr>
        <w:pStyle w:val="a3"/>
        <w:spacing w:before="10"/>
        <w:rPr>
          <w:sz w:val="17"/>
        </w:rPr>
      </w:pPr>
    </w:p>
    <w:p w14:paraId="3154FA5F" w14:textId="77777777" w:rsidR="00A71EEF" w:rsidRDefault="0081115D">
      <w:pPr>
        <w:pStyle w:val="a4"/>
        <w:numPr>
          <w:ilvl w:val="1"/>
          <w:numId w:val="91"/>
        </w:numPr>
        <w:tabs>
          <w:tab w:val="left" w:pos="1264"/>
        </w:tabs>
        <w:spacing w:line="446" w:lineRule="auto"/>
        <w:ind w:right="1500" w:firstLine="422"/>
        <w:rPr>
          <w:sz w:val="21"/>
        </w:rPr>
      </w:pPr>
      <w:r>
        <w:rPr>
          <w:spacing w:val="-2"/>
          <w:sz w:val="21"/>
        </w:rPr>
        <w:t>经常使用明火器具的餐厅、科研试验室，其装修材料的燃烧性能等级除</w:t>
      </w:r>
      <w:r>
        <w:rPr>
          <w:sz w:val="21"/>
        </w:rPr>
        <w:t>A</w:t>
      </w:r>
      <w:r>
        <w:rPr>
          <w:spacing w:val="-10"/>
          <w:sz w:val="21"/>
        </w:rPr>
        <w:t xml:space="preserve"> </w:t>
      </w:r>
      <w:r>
        <w:rPr>
          <w:spacing w:val="-10"/>
          <w:sz w:val="21"/>
        </w:rPr>
        <w:t>级外，应在</w:t>
      </w:r>
      <w:r>
        <w:rPr>
          <w:spacing w:val="-32"/>
          <w:sz w:val="21"/>
        </w:rPr>
        <w:t>表</w:t>
      </w:r>
      <w:r>
        <w:rPr>
          <w:spacing w:val="-32"/>
          <w:sz w:val="21"/>
        </w:rPr>
        <w:t xml:space="preserve"> </w:t>
      </w:r>
      <w:r>
        <w:rPr>
          <w:sz w:val="21"/>
        </w:rPr>
        <w:t>5.1.1</w:t>
      </w:r>
      <w:r>
        <w:rPr>
          <w:spacing w:val="-19"/>
          <w:sz w:val="21"/>
        </w:rPr>
        <w:t>、表</w:t>
      </w:r>
      <w:r>
        <w:rPr>
          <w:spacing w:val="-19"/>
          <w:sz w:val="21"/>
        </w:rPr>
        <w:t xml:space="preserve"> </w:t>
      </w:r>
      <w:r>
        <w:rPr>
          <w:sz w:val="21"/>
        </w:rPr>
        <w:t>5.2.1</w:t>
      </w:r>
      <w:r>
        <w:rPr>
          <w:spacing w:val="-18"/>
          <w:sz w:val="21"/>
        </w:rPr>
        <w:t>、表</w:t>
      </w:r>
      <w:r>
        <w:rPr>
          <w:spacing w:val="-18"/>
          <w:sz w:val="21"/>
        </w:rPr>
        <w:t xml:space="preserve"> </w:t>
      </w:r>
      <w:r>
        <w:rPr>
          <w:sz w:val="21"/>
        </w:rPr>
        <w:t>5.3.1</w:t>
      </w:r>
      <w:r>
        <w:rPr>
          <w:spacing w:val="-19"/>
          <w:sz w:val="21"/>
        </w:rPr>
        <w:t>、表</w:t>
      </w:r>
      <w:r>
        <w:rPr>
          <w:spacing w:val="-19"/>
          <w:sz w:val="21"/>
        </w:rPr>
        <w:t xml:space="preserve"> </w:t>
      </w:r>
      <w:r>
        <w:rPr>
          <w:sz w:val="21"/>
        </w:rPr>
        <w:t>6.0.1</w:t>
      </w:r>
      <w:r>
        <w:rPr>
          <w:spacing w:val="-18"/>
          <w:sz w:val="21"/>
        </w:rPr>
        <w:t>、表</w:t>
      </w:r>
      <w:r>
        <w:rPr>
          <w:spacing w:val="-18"/>
          <w:sz w:val="21"/>
        </w:rPr>
        <w:t xml:space="preserve"> </w:t>
      </w:r>
      <w:r>
        <w:rPr>
          <w:sz w:val="21"/>
        </w:rPr>
        <w:t>6.0.5</w:t>
      </w:r>
      <w:r>
        <w:rPr>
          <w:spacing w:val="-9"/>
          <w:sz w:val="21"/>
        </w:rPr>
        <w:t xml:space="preserve"> </w:t>
      </w:r>
      <w:r>
        <w:rPr>
          <w:spacing w:val="-9"/>
          <w:sz w:val="21"/>
        </w:rPr>
        <w:t>规定的基础上提高一级。</w:t>
      </w:r>
      <w:r>
        <w:rPr>
          <w:spacing w:val="-9"/>
          <w:sz w:val="21"/>
        </w:rPr>
        <w:t xml:space="preserve"> </w:t>
      </w:r>
    </w:p>
    <w:p w14:paraId="2415D89E" w14:textId="77777777" w:rsidR="00A71EEF" w:rsidRDefault="0081115D">
      <w:pPr>
        <w:pStyle w:val="a4"/>
        <w:numPr>
          <w:ilvl w:val="1"/>
          <w:numId w:val="91"/>
        </w:numPr>
        <w:tabs>
          <w:tab w:val="left" w:pos="1264"/>
        </w:tabs>
        <w:spacing w:before="1" w:line="446" w:lineRule="auto"/>
        <w:ind w:right="1498" w:firstLine="422"/>
        <w:rPr>
          <w:sz w:val="21"/>
        </w:rPr>
      </w:pPr>
      <w:r>
        <w:rPr>
          <w:spacing w:val="-3"/>
          <w:sz w:val="21"/>
        </w:rPr>
        <w:t>民用</w:t>
      </w:r>
      <w:r>
        <w:rPr>
          <w:spacing w:val="-3"/>
          <w:sz w:val="21"/>
        </w:rPr>
        <w:t>建筑内的库房或贮藏间，其内部所有装修除应符合相应场所规定外，且应采用不</w:t>
      </w:r>
      <w:r>
        <w:rPr>
          <w:spacing w:val="-20"/>
          <w:sz w:val="21"/>
        </w:rPr>
        <w:t>低于</w:t>
      </w:r>
      <w:r>
        <w:rPr>
          <w:spacing w:val="-20"/>
          <w:sz w:val="21"/>
        </w:rPr>
        <w:t xml:space="preserve"> </w:t>
      </w:r>
      <w:r>
        <w:rPr>
          <w:sz w:val="21"/>
        </w:rPr>
        <w:t>B1</w:t>
      </w:r>
      <w:r>
        <w:rPr>
          <w:spacing w:val="-10"/>
          <w:sz w:val="21"/>
        </w:rPr>
        <w:t xml:space="preserve"> </w:t>
      </w:r>
      <w:r>
        <w:rPr>
          <w:spacing w:val="-10"/>
          <w:sz w:val="21"/>
        </w:rPr>
        <w:t>级的装修材料。</w:t>
      </w:r>
      <w:r>
        <w:rPr>
          <w:sz w:val="21"/>
        </w:rPr>
        <w:t xml:space="preserve"> </w:t>
      </w:r>
    </w:p>
    <w:p w14:paraId="7523F186" w14:textId="77777777" w:rsidR="00A71EEF" w:rsidRDefault="0081115D">
      <w:pPr>
        <w:pStyle w:val="a4"/>
        <w:numPr>
          <w:ilvl w:val="1"/>
          <w:numId w:val="91"/>
        </w:numPr>
        <w:tabs>
          <w:tab w:val="left" w:pos="1264"/>
        </w:tabs>
        <w:ind w:left="1263" w:hanging="424"/>
        <w:rPr>
          <w:sz w:val="21"/>
        </w:rPr>
      </w:pPr>
      <w:r>
        <w:rPr>
          <w:spacing w:val="-3"/>
          <w:sz w:val="21"/>
        </w:rPr>
        <w:t>展览性场所装修设计应符合下列规定</w:t>
      </w:r>
      <w:r>
        <w:rPr>
          <w:spacing w:val="-3"/>
          <w:sz w:val="21"/>
        </w:rPr>
        <w:t>:</w:t>
      </w:r>
      <w:r>
        <w:rPr>
          <w:sz w:val="21"/>
        </w:rPr>
        <w:t xml:space="preserve"> </w:t>
      </w:r>
    </w:p>
    <w:p w14:paraId="7EF5907F" w14:textId="77777777" w:rsidR="00A71EEF" w:rsidRDefault="00A71EEF">
      <w:pPr>
        <w:pStyle w:val="a3"/>
        <w:spacing w:before="12"/>
        <w:rPr>
          <w:sz w:val="17"/>
        </w:rPr>
      </w:pPr>
    </w:p>
    <w:p w14:paraId="2DB54ADA" w14:textId="77777777" w:rsidR="00A71EEF" w:rsidRDefault="0081115D">
      <w:pPr>
        <w:pStyle w:val="a3"/>
        <w:ind w:left="838"/>
      </w:pPr>
      <w:r>
        <w:t>展台材料应采用不低于</w:t>
      </w:r>
      <w:r>
        <w:t xml:space="preserve"> B1 </w:t>
      </w:r>
      <w:r>
        <w:t>级的装修材料。</w:t>
      </w:r>
      <w:r>
        <w:t xml:space="preserve"> </w:t>
      </w:r>
    </w:p>
    <w:p w14:paraId="1F056AA2" w14:textId="77777777" w:rsidR="00A71EEF" w:rsidRDefault="00A71EEF">
      <w:pPr>
        <w:pStyle w:val="a3"/>
        <w:spacing w:before="12"/>
        <w:rPr>
          <w:sz w:val="17"/>
        </w:rPr>
      </w:pPr>
    </w:p>
    <w:p w14:paraId="2DD88FBC" w14:textId="77777777" w:rsidR="00A71EEF" w:rsidRDefault="0081115D">
      <w:pPr>
        <w:pStyle w:val="a3"/>
        <w:spacing w:line="446" w:lineRule="auto"/>
        <w:ind w:left="418" w:right="1608" w:firstLine="419"/>
      </w:pPr>
      <w:r>
        <w:rPr>
          <w:spacing w:val="-4"/>
        </w:rPr>
        <w:t>在展厅设置电加热设备的餐饮操作区内，与电加热设备贴邻的墙面、操作台均应采用</w:t>
      </w:r>
      <w:r>
        <w:rPr>
          <w:spacing w:val="-4"/>
        </w:rPr>
        <w:t xml:space="preserve"> </w:t>
      </w:r>
      <w:r>
        <w:t>A</w:t>
      </w:r>
      <w:r>
        <w:rPr>
          <w:spacing w:val="-18"/>
        </w:rPr>
        <w:t xml:space="preserve"> </w:t>
      </w:r>
      <w:r>
        <w:rPr>
          <w:spacing w:val="-18"/>
        </w:rPr>
        <w:t>级</w:t>
      </w:r>
      <w:r>
        <w:rPr>
          <w:spacing w:val="-9"/>
        </w:rPr>
        <w:t>装修材料。</w:t>
      </w:r>
      <w:r>
        <w:t xml:space="preserve"> </w:t>
      </w:r>
    </w:p>
    <w:p w14:paraId="680EF2B1" w14:textId="77777777" w:rsidR="00A71EEF" w:rsidRDefault="0081115D">
      <w:pPr>
        <w:pStyle w:val="a3"/>
        <w:spacing w:before="1" w:line="446" w:lineRule="auto"/>
        <w:ind w:left="840" w:right="3397" w:hanging="3"/>
      </w:pPr>
      <w:r>
        <w:t>展台与卤钨灯等高温照明灯具贴邻部位的材料应采用</w:t>
      </w:r>
      <w:r>
        <w:t xml:space="preserve"> A </w:t>
      </w:r>
      <w:r>
        <w:t>级装修材料。</w:t>
      </w:r>
      <w:r>
        <w:rPr>
          <w:b/>
        </w:rPr>
        <w:t xml:space="preserve">4.15 </w:t>
      </w:r>
      <w:r>
        <w:t>住宅建筑装修设计尚应符合下列规定</w:t>
      </w:r>
      <w:r>
        <w:t xml:space="preserve">: </w:t>
      </w:r>
    </w:p>
    <w:p w14:paraId="20815083" w14:textId="77777777" w:rsidR="00A71EEF" w:rsidRDefault="0081115D">
      <w:pPr>
        <w:pStyle w:val="a3"/>
        <w:ind w:left="838"/>
        <w:rPr>
          <w:b/>
        </w:rPr>
      </w:pPr>
      <w:r>
        <w:t>不应改动住宅内部烟道、风道。</w:t>
      </w:r>
      <w:r>
        <w:rPr>
          <w:b/>
          <w:w w:val="99"/>
        </w:rPr>
        <w:t xml:space="preserve"> </w:t>
      </w:r>
    </w:p>
    <w:p w14:paraId="1BFA6DC3" w14:textId="77777777" w:rsidR="00A71EEF" w:rsidRDefault="00A71EEF">
      <w:pPr>
        <w:pStyle w:val="a3"/>
        <w:spacing w:before="12"/>
        <w:rPr>
          <w:b/>
          <w:sz w:val="17"/>
        </w:rPr>
      </w:pPr>
    </w:p>
    <w:p w14:paraId="71517FD8" w14:textId="77777777" w:rsidR="00A71EEF" w:rsidRDefault="0081115D">
      <w:pPr>
        <w:pStyle w:val="a3"/>
        <w:spacing w:line="446" w:lineRule="auto"/>
        <w:ind w:left="838" w:right="4974"/>
        <w:rPr>
          <w:b/>
        </w:rPr>
      </w:pPr>
      <w:r>
        <w:t>厨房内的固定橱柜宜采用不低于</w:t>
      </w:r>
      <w:r>
        <w:t xml:space="preserve"> B1 </w:t>
      </w:r>
      <w:r>
        <w:t>级的装修材料。卫生间顶棚宜采用</w:t>
      </w:r>
      <w:r>
        <w:t xml:space="preserve"> A </w:t>
      </w:r>
      <w:r>
        <w:t>级装修材料。</w:t>
      </w:r>
      <w:r>
        <w:rPr>
          <w:b/>
          <w:w w:val="99"/>
        </w:rPr>
        <w:t xml:space="preserve"> </w:t>
      </w:r>
    </w:p>
    <w:p w14:paraId="5EA26F89" w14:textId="77777777" w:rsidR="00A71EEF" w:rsidRDefault="0081115D">
      <w:pPr>
        <w:pStyle w:val="a3"/>
        <w:ind w:left="838"/>
        <w:rPr>
          <w:b/>
        </w:rPr>
      </w:pPr>
      <w:r>
        <w:t>阳台装修宜采用不低于</w:t>
      </w:r>
      <w:r>
        <w:t xml:space="preserve"> B1 </w:t>
      </w:r>
      <w:r>
        <w:t>级的装修材料。</w:t>
      </w:r>
      <w:r>
        <w:rPr>
          <w:b/>
          <w:w w:val="99"/>
        </w:rPr>
        <w:t xml:space="preserve"> </w:t>
      </w:r>
    </w:p>
    <w:p w14:paraId="189DD488" w14:textId="77777777" w:rsidR="00A71EEF" w:rsidRDefault="00A71EEF">
      <w:pPr>
        <w:pStyle w:val="a3"/>
        <w:rPr>
          <w:b/>
          <w:sz w:val="18"/>
        </w:rPr>
      </w:pPr>
    </w:p>
    <w:p w14:paraId="79EF1F3F" w14:textId="77777777" w:rsidR="00A71EEF" w:rsidRDefault="0081115D">
      <w:pPr>
        <w:pStyle w:val="a4"/>
        <w:numPr>
          <w:ilvl w:val="1"/>
          <w:numId w:val="90"/>
        </w:numPr>
        <w:tabs>
          <w:tab w:val="left" w:pos="1264"/>
        </w:tabs>
        <w:spacing w:line="446" w:lineRule="auto"/>
        <w:ind w:right="1450" w:firstLine="422"/>
        <w:jc w:val="both"/>
        <w:rPr>
          <w:sz w:val="21"/>
        </w:rPr>
      </w:pPr>
      <w:r>
        <w:rPr>
          <w:spacing w:val="-5"/>
          <w:sz w:val="21"/>
        </w:rPr>
        <w:t>照明灯具及电气设备、线路的高温部位，当靠近非</w:t>
      </w:r>
      <w:r>
        <w:rPr>
          <w:spacing w:val="-5"/>
          <w:sz w:val="21"/>
        </w:rPr>
        <w:t xml:space="preserve"> </w:t>
      </w:r>
      <w:r>
        <w:rPr>
          <w:sz w:val="21"/>
        </w:rPr>
        <w:t>A</w:t>
      </w:r>
      <w:r>
        <w:rPr>
          <w:spacing w:val="-8"/>
          <w:sz w:val="21"/>
        </w:rPr>
        <w:t xml:space="preserve"> </w:t>
      </w:r>
      <w:r>
        <w:rPr>
          <w:spacing w:val="-8"/>
          <w:sz w:val="21"/>
        </w:rPr>
        <w:t>级装修材料或构件时，应采取隔</w:t>
      </w:r>
      <w:r>
        <w:rPr>
          <w:spacing w:val="-6"/>
          <w:sz w:val="21"/>
        </w:rPr>
        <w:t>热、散热等防火保护措施，与窗帘、帷幕、幕布、软包等装修材料的距离不应小于</w:t>
      </w:r>
      <w:r>
        <w:rPr>
          <w:spacing w:val="-6"/>
          <w:sz w:val="21"/>
        </w:rPr>
        <w:t xml:space="preserve"> </w:t>
      </w:r>
      <w:r>
        <w:rPr>
          <w:sz w:val="21"/>
        </w:rPr>
        <w:t>500mm</w:t>
      </w:r>
      <w:r>
        <w:rPr>
          <w:sz w:val="21"/>
        </w:rPr>
        <w:t>；灯饰</w:t>
      </w:r>
      <w:r>
        <w:rPr>
          <w:spacing w:val="-10"/>
          <w:sz w:val="21"/>
        </w:rPr>
        <w:t>应采用不低于</w:t>
      </w:r>
      <w:r>
        <w:rPr>
          <w:spacing w:val="-10"/>
          <w:sz w:val="21"/>
        </w:rPr>
        <w:t xml:space="preserve"> </w:t>
      </w:r>
      <w:r>
        <w:rPr>
          <w:sz w:val="21"/>
        </w:rPr>
        <w:t>B1</w:t>
      </w:r>
      <w:r>
        <w:rPr>
          <w:spacing w:val="-11"/>
          <w:sz w:val="21"/>
        </w:rPr>
        <w:t xml:space="preserve"> </w:t>
      </w:r>
      <w:r>
        <w:rPr>
          <w:spacing w:val="-11"/>
          <w:sz w:val="21"/>
        </w:rPr>
        <w:t>级的材料。</w:t>
      </w:r>
      <w:r>
        <w:rPr>
          <w:spacing w:val="-11"/>
          <w:sz w:val="21"/>
        </w:rPr>
        <w:t xml:space="preserve"> </w:t>
      </w:r>
    </w:p>
    <w:p w14:paraId="658EBCC7" w14:textId="77777777" w:rsidR="00A71EEF" w:rsidRDefault="0081115D">
      <w:pPr>
        <w:pStyle w:val="a4"/>
        <w:numPr>
          <w:ilvl w:val="1"/>
          <w:numId w:val="90"/>
        </w:numPr>
        <w:tabs>
          <w:tab w:val="left" w:pos="1264"/>
        </w:tabs>
        <w:spacing w:line="446" w:lineRule="auto"/>
        <w:ind w:right="1606" w:firstLine="422"/>
        <w:jc w:val="both"/>
        <w:rPr>
          <w:b/>
          <w:sz w:val="21"/>
        </w:rPr>
      </w:pPr>
      <w:r>
        <w:rPr>
          <w:spacing w:val="-5"/>
          <w:sz w:val="21"/>
        </w:rPr>
        <w:t>建筑内部的配电箱、控制面板、接线盒、开关、插座等不应直接安装在低于</w:t>
      </w:r>
      <w:r>
        <w:rPr>
          <w:spacing w:val="-5"/>
          <w:sz w:val="21"/>
        </w:rPr>
        <w:t xml:space="preserve"> </w:t>
      </w:r>
      <w:r>
        <w:rPr>
          <w:sz w:val="21"/>
        </w:rPr>
        <w:t>B1</w:t>
      </w:r>
      <w:r>
        <w:rPr>
          <w:spacing w:val="-17"/>
          <w:sz w:val="21"/>
        </w:rPr>
        <w:t xml:space="preserve"> </w:t>
      </w:r>
      <w:r>
        <w:rPr>
          <w:spacing w:val="-17"/>
          <w:sz w:val="21"/>
        </w:rPr>
        <w:t>级的</w:t>
      </w:r>
      <w:r>
        <w:rPr>
          <w:spacing w:val="-3"/>
          <w:sz w:val="21"/>
        </w:rPr>
        <w:t>装修材料上；用于顶棚和墙面装修的木质类板材，当内部含有电器、电线等物体时，应采用不</w:t>
      </w:r>
      <w:r>
        <w:rPr>
          <w:spacing w:val="-20"/>
          <w:sz w:val="21"/>
        </w:rPr>
        <w:t>低于</w:t>
      </w:r>
      <w:r>
        <w:rPr>
          <w:spacing w:val="-20"/>
          <w:sz w:val="21"/>
        </w:rPr>
        <w:t xml:space="preserve"> </w:t>
      </w:r>
      <w:r>
        <w:rPr>
          <w:sz w:val="21"/>
        </w:rPr>
        <w:t>B1</w:t>
      </w:r>
      <w:r>
        <w:rPr>
          <w:spacing w:val="-11"/>
          <w:sz w:val="21"/>
        </w:rPr>
        <w:t xml:space="preserve"> </w:t>
      </w:r>
      <w:r>
        <w:rPr>
          <w:spacing w:val="-11"/>
          <w:sz w:val="21"/>
        </w:rPr>
        <w:t>级</w:t>
      </w:r>
      <w:r>
        <w:rPr>
          <w:spacing w:val="-11"/>
          <w:sz w:val="21"/>
        </w:rPr>
        <w:t>的材料。</w:t>
      </w:r>
      <w:r>
        <w:rPr>
          <w:b/>
          <w:w w:val="99"/>
          <w:sz w:val="21"/>
        </w:rPr>
        <w:t xml:space="preserve"> </w:t>
      </w:r>
    </w:p>
    <w:p w14:paraId="2FED191A" w14:textId="77777777" w:rsidR="00A71EEF" w:rsidRDefault="0081115D">
      <w:pPr>
        <w:pStyle w:val="a4"/>
        <w:numPr>
          <w:ilvl w:val="1"/>
          <w:numId w:val="90"/>
        </w:numPr>
        <w:tabs>
          <w:tab w:val="left" w:pos="1264"/>
        </w:tabs>
        <w:spacing w:line="446" w:lineRule="auto"/>
        <w:ind w:right="1498" w:firstLine="422"/>
        <w:jc w:val="both"/>
        <w:rPr>
          <w:sz w:val="21"/>
        </w:rPr>
      </w:pPr>
      <w:r>
        <w:rPr>
          <w:spacing w:val="-3"/>
          <w:sz w:val="21"/>
        </w:rPr>
        <w:t>当室内顶棚、墙面、地面和隔断装修材料内部安装电加热供暖系统时，室内采用的装</w:t>
      </w:r>
      <w:r>
        <w:rPr>
          <w:spacing w:val="-6"/>
          <w:sz w:val="21"/>
        </w:rPr>
        <w:t>修材料和绝热材料的燃烧性能等级应为</w:t>
      </w:r>
      <w:r>
        <w:rPr>
          <w:spacing w:val="-6"/>
          <w:sz w:val="21"/>
        </w:rPr>
        <w:t xml:space="preserve"> </w:t>
      </w:r>
      <w:r>
        <w:rPr>
          <w:sz w:val="21"/>
        </w:rPr>
        <w:t>A</w:t>
      </w:r>
      <w:r>
        <w:rPr>
          <w:spacing w:val="-8"/>
          <w:sz w:val="21"/>
        </w:rPr>
        <w:t xml:space="preserve"> </w:t>
      </w:r>
      <w:r>
        <w:rPr>
          <w:spacing w:val="-8"/>
          <w:sz w:val="21"/>
        </w:rPr>
        <w:t>级。当室内顶棚、墙面、地面和隔断装修材料内部安</w:t>
      </w:r>
    </w:p>
    <w:p w14:paraId="35E8C91F" w14:textId="77777777" w:rsidR="00A71EEF" w:rsidRDefault="00A71EEF">
      <w:pPr>
        <w:spacing w:line="446" w:lineRule="auto"/>
        <w:jc w:val="both"/>
        <w:rPr>
          <w:sz w:val="21"/>
        </w:rPr>
        <w:sectPr w:rsidR="00A71EEF">
          <w:pgSz w:w="11910" w:h="16850"/>
          <w:pgMar w:top="1220" w:right="0" w:bottom="1420" w:left="1260" w:header="0" w:footer="1239" w:gutter="0"/>
          <w:cols w:space="720"/>
        </w:sectPr>
      </w:pPr>
    </w:p>
    <w:p w14:paraId="3E787976" w14:textId="77777777" w:rsidR="00A71EEF" w:rsidRDefault="0081115D">
      <w:pPr>
        <w:pStyle w:val="a3"/>
        <w:spacing w:before="47" w:line="446" w:lineRule="auto"/>
        <w:ind w:left="418" w:right="1402"/>
      </w:pPr>
      <w:r>
        <w:rPr>
          <w:spacing w:val="-4"/>
        </w:rPr>
        <w:t>装水暖</w:t>
      </w:r>
      <w:r>
        <w:rPr>
          <w:spacing w:val="-4"/>
        </w:rPr>
        <w:t>(</w:t>
      </w:r>
      <w:r>
        <w:rPr>
          <w:spacing w:val="-4"/>
        </w:rPr>
        <w:t>或蒸汽</w:t>
      </w:r>
      <w:r>
        <w:rPr>
          <w:spacing w:val="-4"/>
        </w:rPr>
        <w:t>)</w:t>
      </w:r>
      <w:r>
        <w:rPr>
          <w:spacing w:val="-4"/>
        </w:rPr>
        <w:t>供暖系统时，其顶棚采用的装修材料和绝热材料的燃烧性能应为</w:t>
      </w:r>
      <w:r>
        <w:rPr>
          <w:spacing w:val="-4"/>
        </w:rPr>
        <w:t xml:space="preserve"> </w:t>
      </w:r>
      <w:r>
        <w:t>A</w:t>
      </w:r>
      <w:r>
        <w:rPr>
          <w:spacing w:val="-6"/>
        </w:rPr>
        <w:t xml:space="preserve"> </w:t>
      </w:r>
      <w:r>
        <w:rPr>
          <w:spacing w:val="-6"/>
        </w:rPr>
        <w:t>级，其他部位的装修材料和绝热材料的燃烧性能不应低于</w:t>
      </w:r>
      <w:r>
        <w:rPr>
          <w:spacing w:val="-6"/>
        </w:rPr>
        <w:t xml:space="preserve"> </w:t>
      </w:r>
      <w:r>
        <w:t>B1</w:t>
      </w:r>
      <w:r>
        <w:rPr>
          <w:spacing w:val="-8"/>
        </w:rPr>
        <w:t xml:space="preserve"> </w:t>
      </w:r>
      <w:r>
        <w:rPr>
          <w:spacing w:val="-8"/>
        </w:rPr>
        <w:t>级，且尚应符合本规范有关公共场所的规定。</w:t>
      </w:r>
      <w:r>
        <w:t xml:space="preserve"> </w:t>
      </w:r>
    </w:p>
    <w:p w14:paraId="2ED87D7C" w14:textId="77777777" w:rsidR="00A71EEF" w:rsidRDefault="0081115D">
      <w:pPr>
        <w:pStyle w:val="a4"/>
        <w:numPr>
          <w:ilvl w:val="1"/>
          <w:numId w:val="90"/>
        </w:numPr>
        <w:tabs>
          <w:tab w:val="left" w:pos="1264"/>
        </w:tabs>
        <w:spacing w:line="446" w:lineRule="auto"/>
        <w:ind w:right="1604" w:firstLine="422"/>
        <w:rPr>
          <w:sz w:val="21"/>
        </w:rPr>
      </w:pPr>
      <w:r>
        <w:rPr>
          <w:spacing w:val="-7"/>
          <w:sz w:val="21"/>
        </w:rPr>
        <w:t>建筑内部不宜设置采用</w:t>
      </w:r>
      <w:r>
        <w:rPr>
          <w:spacing w:val="-7"/>
          <w:sz w:val="21"/>
        </w:rPr>
        <w:t xml:space="preserve"> </w:t>
      </w:r>
      <w:r>
        <w:rPr>
          <w:sz w:val="21"/>
        </w:rPr>
        <w:t>B3</w:t>
      </w:r>
      <w:r>
        <w:rPr>
          <w:spacing w:val="-8"/>
          <w:sz w:val="21"/>
        </w:rPr>
        <w:t xml:space="preserve"> </w:t>
      </w:r>
      <w:r>
        <w:rPr>
          <w:spacing w:val="-8"/>
          <w:sz w:val="21"/>
        </w:rPr>
        <w:t>级装饰材料制成的壁挂、布艺等，当需要设置时，不应靠</w:t>
      </w:r>
      <w:r>
        <w:rPr>
          <w:spacing w:val="-5"/>
          <w:sz w:val="21"/>
        </w:rPr>
        <w:t>近电气线路、火源或热源，或采取隔离措施。</w:t>
      </w:r>
      <w:r>
        <w:rPr>
          <w:sz w:val="21"/>
        </w:rPr>
        <w:t xml:space="preserve"> </w:t>
      </w:r>
    </w:p>
    <w:p w14:paraId="4252BAD0" w14:textId="77777777" w:rsidR="00A71EEF" w:rsidRDefault="0081115D">
      <w:pPr>
        <w:pStyle w:val="a4"/>
        <w:numPr>
          <w:ilvl w:val="1"/>
          <w:numId w:val="90"/>
        </w:numPr>
        <w:tabs>
          <w:tab w:val="left" w:pos="1264"/>
        </w:tabs>
        <w:ind w:left="1263"/>
        <w:rPr>
          <w:sz w:val="21"/>
        </w:rPr>
      </w:pPr>
      <w:r>
        <w:rPr>
          <w:spacing w:val="-3"/>
          <w:sz w:val="21"/>
        </w:rPr>
        <w:t>本规范未明确规定的场所，其内部装修应按本规范有关规定类比执行。</w:t>
      </w:r>
      <w:r>
        <w:rPr>
          <w:spacing w:val="-3"/>
          <w:sz w:val="21"/>
        </w:rPr>
        <w:t xml:space="preserve"> </w:t>
      </w:r>
    </w:p>
    <w:p w14:paraId="7AD5A350" w14:textId="77777777" w:rsidR="00A71EEF" w:rsidRDefault="00A71EEF">
      <w:pPr>
        <w:pStyle w:val="a3"/>
        <w:spacing w:before="6"/>
        <w:rPr>
          <w:sz w:val="15"/>
        </w:rPr>
      </w:pPr>
    </w:p>
    <w:p w14:paraId="70E72786" w14:textId="77777777" w:rsidR="00A71EEF" w:rsidRDefault="0081115D">
      <w:pPr>
        <w:pStyle w:val="4"/>
      </w:pPr>
      <w:r>
        <w:t xml:space="preserve">5 </w:t>
      </w:r>
      <w:r>
        <w:t>民用建筑</w:t>
      </w:r>
      <w:r>
        <w:rPr>
          <w:w w:val="99"/>
        </w:rPr>
        <w:t xml:space="preserve"> </w:t>
      </w:r>
    </w:p>
    <w:p w14:paraId="6EE43C6F" w14:textId="77777777" w:rsidR="00A71EEF" w:rsidRDefault="00A71EEF">
      <w:pPr>
        <w:pStyle w:val="a3"/>
        <w:spacing w:before="6"/>
        <w:rPr>
          <w:b/>
          <w:sz w:val="17"/>
        </w:rPr>
      </w:pPr>
    </w:p>
    <w:p w14:paraId="44EF58CC" w14:textId="77777777" w:rsidR="00A71EEF" w:rsidRDefault="0081115D">
      <w:pPr>
        <w:pStyle w:val="a4"/>
        <w:numPr>
          <w:ilvl w:val="1"/>
          <w:numId w:val="89"/>
        </w:numPr>
        <w:tabs>
          <w:tab w:val="left" w:pos="1159"/>
        </w:tabs>
        <w:ind w:hanging="319"/>
        <w:rPr>
          <w:b/>
          <w:sz w:val="21"/>
        </w:rPr>
      </w:pPr>
      <w:r>
        <w:rPr>
          <w:spacing w:val="-3"/>
          <w:sz w:val="21"/>
        </w:rPr>
        <w:t>单层、多层民用建筑</w:t>
      </w:r>
      <w:r>
        <w:rPr>
          <w:b/>
          <w:w w:val="99"/>
          <w:sz w:val="21"/>
        </w:rPr>
        <w:t xml:space="preserve"> </w:t>
      </w:r>
    </w:p>
    <w:p w14:paraId="2D2E684C" w14:textId="77777777" w:rsidR="00A71EEF" w:rsidRDefault="00A71EEF">
      <w:pPr>
        <w:pStyle w:val="a3"/>
        <w:rPr>
          <w:b/>
          <w:sz w:val="18"/>
        </w:rPr>
      </w:pPr>
    </w:p>
    <w:p w14:paraId="6863EB72" w14:textId="77777777" w:rsidR="00A71EEF" w:rsidRDefault="0081115D">
      <w:pPr>
        <w:pStyle w:val="a4"/>
        <w:numPr>
          <w:ilvl w:val="2"/>
          <w:numId w:val="89"/>
        </w:numPr>
        <w:tabs>
          <w:tab w:val="left" w:pos="1367"/>
        </w:tabs>
        <w:jc w:val="left"/>
        <w:rPr>
          <w:sz w:val="21"/>
        </w:rPr>
      </w:pPr>
      <w:r>
        <w:rPr>
          <w:spacing w:val="-5"/>
          <w:sz w:val="21"/>
        </w:rPr>
        <w:t>单层、多层民用建筑内部各部位装修材料的燃烧性能等级，不应低于本规范表</w:t>
      </w:r>
      <w:r>
        <w:rPr>
          <w:spacing w:val="-5"/>
          <w:sz w:val="21"/>
        </w:rPr>
        <w:t xml:space="preserve"> </w:t>
      </w:r>
      <w:r>
        <w:rPr>
          <w:sz w:val="21"/>
        </w:rPr>
        <w:t>5.1.1</w:t>
      </w:r>
    </w:p>
    <w:p w14:paraId="5C4C6B53" w14:textId="77777777" w:rsidR="00A71EEF" w:rsidRDefault="00A71EEF">
      <w:pPr>
        <w:pStyle w:val="a3"/>
        <w:rPr>
          <w:sz w:val="18"/>
        </w:rPr>
      </w:pPr>
    </w:p>
    <w:p w14:paraId="7ABE331A" w14:textId="77777777" w:rsidR="00A71EEF" w:rsidRDefault="0081115D">
      <w:pPr>
        <w:pStyle w:val="a3"/>
        <w:ind w:left="418"/>
      </w:pPr>
      <w:r>
        <w:rPr>
          <w:noProof/>
        </w:rPr>
        <w:drawing>
          <wp:anchor distT="0" distB="0" distL="0" distR="0" simplePos="0" relativeHeight="251716096" behindDoc="0" locked="0" layoutInCell="1" allowOverlap="1" wp14:anchorId="3B8710FA" wp14:editId="47A30875">
            <wp:simplePos x="0" y="0"/>
            <wp:positionH relativeFrom="page">
              <wp:posOffset>1639570</wp:posOffset>
            </wp:positionH>
            <wp:positionV relativeFrom="paragraph">
              <wp:posOffset>248412</wp:posOffset>
            </wp:positionV>
            <wp:extent cx="4355546" cy="5257800"/>
            <wp:effectExtent l="0" t="0" r="0" b="0"/>
            <wp:wrapTopAndBottom/>
            <wp:docPr id="707" name="image4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 name="image413.png"/>
                    <pic:cNvPicPr/>
                  </pic:nvPicPr>
                  <pic:blipFill>
                    <a:blip r:embed="rId519" cstate="print"/>
                    <a:stretch>
                      <a:fillRect/>
                    </a:stretch>
                  </pic:blipFill>
                  <pic:spPr>
                    <a:xfrm>
                      <a:off x="0" y="0"/>
                      <a:ext cx="4355546" cy="5257800"/>
                    </a:xfrm>
                    <a:prstGeom prst="rect">
                      <a:avLst/>
                    </a:prstGeom>
                  </pic:spPr>
                </pic:pic>
              </a:graphicData>
            </a:graphic>
          </wp:anchor>
        </w:drawing>
      </w:r>
      <w:r>
        <w:t>的规定。</w:t>
      </w:r>
      <w:r>
        <w:t xml:space="preserve"> </w:t>
      </w:r>
    </w:p>
    <w:p w14:paraId="6DBB787C" w14:textId="77777777" w:rsidR="00A71EEF" w:rsidRDefault="00A71EEF">
      <w:pPr>
        <w:pStyle w:val="a3"/>
        <w:rPr>
          <w:sz w:val="20"/>
        </w:rPr>
      </w:pPr>
    </w:p>
    <w:p w14:paraId="4C0A199E" w14:textId="77777777" w:rsidR="00A71EEF" w:rsidRDefault="00A71EEF">
      <w:pPr>
        <w:pStyle w:val="a3"/>
        <w:rPr>
          <w:sz w:val="20"/>
        </w:rPr>
      </w:pPr>
    </w:p>
    <w:p w14:paraId="3A85A3E1" w14:textId="77777777" w:rsidR="00A71EEF" w:rsidRDefault="00A71EEF">
      <w:pPr>
        <w:pStyle w:val="a3"/>
        <w:spacing w:before="2"/>
        <w:rPr>
          <w:sz w:val="14"/>
        </w:rPr>
      </w:pPr>
    </w:p>
    <w:p w14:paraId="33ECD4A4" w14:textId="77777777" w:rsidR="00A71EEF" w:rsidRDefault="0081115D">
      <w:pPr>
        <w:pStyle w:val="a3"/>
        <w:spacing w:before="1"/>
        <w:ind w:right="912"/>
        <w:jc w:val="center"/>
      </w:pPr>
      <w:r>
        <w:t xml:space="preserve"> </w:t>
      </w:r>
    </w:p>
    <w:p w14:paraId="1FA6729E" w14:textId="77777777" w:rsidR="00A71EEF" w:rsidRDefault="00A71EEF">
      <w:pPr>
        <w:jc w:val="center"/>
        <w:sectPr w:rsidR="00A71EEF">
          <w:pgSz w:w="11910" w:h="16850"/>
          <w:pgMar w:top="1220" w:right="0" w:bottom="1420" w:left="1260" w:header="0" w:footer="1239" w:gutter="0"/>
          <w:cols w:space="720"/>
        </w:sectPr>
      </w:pPr>
    </w:p>
    <w:p w14:paraId="4F87E579" w14:textId="77777777" w:rsidR="00A71EEF" w:rsidRDefault="0081115D">
      <w:pPr>
        <w:pStyle w:val="a3"/>
        <w:ind w:left="778"/>
        <w:rPr>
          <w:sz w:val="20"/>
        </w:rPr>
      </w:pPr>
      <w:r>
        <w:rPr>
          <w:noProof/>
          <w:sz w:val="20"/>
        </w:rPr>
        <w:drawing>
          <wp:inline distT="0" distB="0" distL="0" distR="0" wp14:anchorId="54884ED6" wp14:editId="0C455BE2">
            <wp:extent cx="4652162" cy="7820025"/>
            <wp:effectExtent l="0" t="0" r="0" b="0"/>
            <wp:docPr id="709" name="image4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image414.png"/>
                    <pic:cNvPicPr/>
                  </pic:nvPicPr>
                  <pic:blipFill>
                    <a:blip r:embed="rId520" cstate="print"/>
                    <a:stretch>
                      <a:fillRect/>
                    </a:stretch>
                  </pic:blipFill>
                  <pic:spPr>
                    <a:xfrm>
                      <a:off x="0" y="0"/>
                      <a:ext cx="4652162" cy="7820025"/>
                    </a:xfrm>
                    <a:prstGeom prst="rect">
                      <a:avLst/>
                    </a:prstGeom>
                  </pic:spPr>
                </pic:pic>
              </a:graphicData>
            </a:graphic>
          </wp:inline>
        </w:drawing>
      </w:r>
    </w:p>
    <w:p w14:paraId="2B7B3723" w14:textId="77777777" w:rsidR="00A71EEF" w:rsidRDefault="00A71EEF">
      <w:pPr>
        <w:pStyle w:val="a3"/>
        <w:rPr>
          <w:sz w:val="20"/>
        </w:rPr>
      </w:pPr>
    </w:p>
    <w:p w14:paraId="30FF0DEF" w14:textId="77777777" w:rsidR="00A71EEF" w:rsidRDefault="00A71EEF">
      <w:pPr>
        <w:pStyle w:val="a3"/>
        <w:rPr>
          <w:sz w:val="20"/>
        </w:rPr>
      </w:pPr>
    </w:p>
    <w:p w14:paraId="43C669F5" w14:textId="77777777" w:rsidR="00A71EEF" w:rsidRDefault="00A71EEF">
      <w:pPr>
        <w:pStyle w:val="a3"/>
        <w:rPr>
          <w:sz w:val="20"/>
        </w:rPr>
      </w:pPr>
    </w:p>
    <w:p w14:paraId="2DDBB791" w14:textId="77777777" w:rsidR="00A71EEF" w:rsidRDefault="00A71EEF">
      <w:pPr>
        <w:pStyle w:val="a3"/>
        <w:spacing w:before="5"/>
        <w:rPr>
          <w:sz w:val="28"/>
        </w:rPr>
      </w:pPr>
    </w:p>
    <w:p w14:paraId="611E0E2A" w14:textId="77777777" w:rsidR="00A71EEF" w:rsidRDefault="0081115D">
      <w:pPr>
        <w:pStyle w:val="a3"/>
        <w:spacing w:before="72"/>
        <w:ind w:right="912"/>
        <w:jc w:val="center"/>
      </w:pPr>
      <w:r>
        <w:t xml:space="preserve"> </w:t>
      </w:r>
    </w:p>
    <w:p w14:paraId="59124EF4" w14:textId="77777777" w:rsidR="00A71EEF" w:rsidRDefault="00A71EEF">
      <w:pPr>
        <w:jc w:val="center"/>
        <w:sectPr w:rsidR="00A71EEF">
          <w:pgSz w:w="11910" w:h="16850"/>
          <w:pgMar w:top="1080" w:right="0" w:bottom="1420" w:left="1260" w:header="0" w:footer="1239" w:gutter="0"/>
          <w:cols w:space="720"/>
        </w:sectPr>
      </w:pPr>
    </w:p>
    <w:p w14:paraId="2E6BBD7C" w14:textId="77777777" w:rsidR="00A71EEF" w:rsidRDefault="0081115D">
      <w:pPr>
        <w:pStyle w:val="a4"/>
        <w:numPr>
          <w:ilvl w:val="2"/>
          <w:numId w:val="89"/>
        </w:numPr>
        <w:tabs>
          <w:tab w:val="left" w:pos="1633"/>
        </w:tabs>
        <w:spacing w:before="47" w:line="446" w:lineRule="auto"/>
        <w:ind w:left="418" w:right="1609" w:firstLine="631"/>
        <w:jc w:val="both"/>
        <w:rPr>
          <w:sz w:val="21"/>
        </w:rPr>
      </w:pPr>
      <w:r>
        <w:rPr>
          <w:spacing w:val="-11"/>
          <w:sz w:val="21"/>
        </w:rPr>
        <w:t>除本规范第</w:t>
      </w:r>
      <w:r>
        <w:rPr>
          <w:spacing w:val="-11"/>
          <w:sz w:val="21"/>
        </w:rPr>
        <w:t xml:space="preserve"> </w:t>
      </w:r>
      <w:r>
        <w:rPr>
          <w:sz w:val="21"/>
        </w:rPr>
        <w:t>4</w:t>
      </w:r>
      <w:r>
        <w:rPr>
          <w:spacing w:val="-13"/>
          <w:sz w:val="21"/>
        </w:rPr>
        <w:t xml:space="preserve"> </w:t>
      </w:r>
      <w:r>
        <w:rPr>
          <w:spacing w:val="-13"/>
          <w:sz w:val="21"/>
        </w:rPr>
        <w:t>章规定的场所和本规范表</w:t>
      </w:r>
      <w:r>
        <w:rPr>
          <w:spacing w:val="-13"/>
          <w:sz w:val="21"/>
        </w:rPr>
        <w:t xml:space="preserve"> </w:t>
      </w:r>
      <w:r>
        <w:rPr>
          <w:sz w:val="21"/>
        </w:rPr>
        <w:t>5.1.1</w:t>
      </w:r>
      <w:r>
        <w:rPr>
          <w:spacing w:val="-19"/>
          <w:sz w:val="21"/>
        </w:rPr>
        <w:t xml:space="preserve"> </w:t>
      </w:r>
      <w:r>
        <w:rPr>
          <w:spacing w:val="-19"/>
          <w:sz w:val="21"/>
        </w:rPr>
        <w:t>中序号为</w:t>
      </w:r>
      <w:r>
        <w:rPr>
          <w:spacing w:val="-19"/>
          <w:sz w:val="21"/>
        </w:rPr>
        <w:t xml:space="preserve"> </w:t>
      </w:r>
      <w:r>
        <w:rPr>
          <w:sz w:val="21"/>
        </w:rPr>
        <w:t>11~13</w:t>
      </w:r>
      <w:r>
        <w:rPr>
          <w:spacing w:val="-8"/>
          <w:sz w:val="21"/>
        </w:rPr>
        <w:t xml:space="preserve"> </w:t>
      </w:r>
      <w:r>
        <w:rPr>
          <w:spacing w:val="-8"/>
          <w:sz w:val="21"/>
        </w:rPr>
        <w:t>规定的部位外，单层、多层民用建筑内面积小于</w:t>
      </w:r>
      <w:r>
        <w:rPr>
          <w:spacing w:val="-8"/>
          <w:sz w:val="21"/>
        </w:rPr>
        <w:t xml:space="preserve"> </w:t>
      </w:r>
      <w:r>
        <w:rPr>
          <w:sz w:val="21"/>
        </w:rPr>
        <w:t>100</w:t>
      </w:r>
      <w:r>
        <w:rPr>
          <w:spacing w:val="-11"/>
          <w:sz w:val="21"/>
        </w:rPr>
        <w:t xml:space="preserve"> </w:t>
      </w:r>
      <w:r>
        <w:rPr>
          <w:spacing w:val="-11"/>
          <w:sz w:val="21"/>
        </w:rPr>
        <w:t>㎡的房间，当采用耐火极限不低于</w:t>
      </w:r>
      <w:r>
        <w:rPr>
          <w:spacing w:val="-11"/>
          <w:sz w:val="21"/>
        </w:rPr>
        <w:t xml:space="preserve"> </w:t>
      </w:r>
      <w:r>
        <w:rPr>
          <w:sz w:val="21"/>
        </w:rPr>
        <w:t>2.00h</w:t>
      </w:r>
      <w:r>
        <w:rPr>
          <w:spacing w:val="-8"/>
          <w:sz w:val="21"/>
        </w:rPr>
        <w:t xml:space="preserve"> </w:t>
      </w:r>
      <w:r>
        <w:rPr>
          <w:spacing w:val="-8"/>
          <w:sz w:val="21"/>
        </w:rPr>
        <w:t>的防火隔墙和甲级</w:t>
      </w:r>
      <w:r>
        <w:rPr>
          <w:spacing w:val="-6"/>
          <w:sz w:val="21"/>
        </w:rPr>
        <w:t>防火门、窗与其他部位分隔时，其装修材料的燃烧性能等级可在本规范表</w:t>
      </w:r>
      <w:r>
        <w:rPr>
          <w:spacing w:val="-6"/>
          <w:sz w:val="21"/>
        </w:rPr>
        <w:t xml:space="preserve"> </w:t>
      </w:r>
      <w:r>
        <w:rPr>
          <w:sz w:val="21"/>
        </w:rPr>
        <w:t>5.1.1</w:t>
      </w:r>
      <w:r>
        <w:rPr>
          <w:spacing w:val="-7"/>
          <w:sz w:val="21"/>
        </w:rPr>
        <w:t xml:space="preserve"> </w:t>
      </w:r>
      <w:r>
        <w:rPr>
          <w:spacing w:val="-7"/>
          <w:sz w:val="21"/>
        </w:rPr>
        <w:t>的基础上降低</w:t>
      </w:r>
      <w:r>
        <w:rPr>
          <w:spacing w:val="-6"/>
          <w:sz w:val="21"/>
        </w:rPr>
        <w:t>一级。</w:t>
      </w:r>
      <w:r>
        <w:rPr>
          <w:sz w:val="21"/>
        </w:rPr>
        <w:t xml:space="preserve"> </w:t>
      </w:r>
    </w:p>
    <w:p w14:paraId="76510587" w14:textId="77777777" w:rsidR="00A71EEF" w:rsidRDefault="0081115D">
      <w:pPr>
        <w:pStyle w:val="a4"/>
        <w:numPr>
          <w:ilvl w:val="2"/>
          <w:numId w:val="89"/>
        </w:numPr>
        <w:tabs>
          <w:tab w:val="left" w:pos="1370"/>
        </w:tabs>
        <w:spacing w:line="446" w:lineRule="auto"/>
        <w:ind w:left="418" w:right="1606" w:firstLine="422"/>
        <w:jc w:val="both"/>
        <w:rPr>
          <w:sz w:val="21"/>
        </w:rPr>
      </w:pPr>
      <w:r>
        <w:rPr>
          <w:spacing w:val="-12"/>
          <w:sz w:val="21"/>
        </w:rPr>
        <w:t>除本规范第</w:t>
      </w:r>
      <w:r>
        <w:rPr>
          <w:spacing w:val="-12"/>
          <w:sz w:val="21"/>
        </w:rPr>
        <w:t xml:space="preserve"> </w:t>
      </w:r>
      <w:r>
        <w:rPr>
          <w:sz w:val="21"/>
        </w:rPr>
        <w:t>4</w:t>
      </w:r>
      <w:r>
        <w:rPr>
          <w:spacing w:val="-13"/>
          <w:sz w:val="21"/>
        </w:rPr>
        <w:t xml:space="preserve"> </w:t>
      </w:r>
      <w:r>
        <w:rPr>
          <w:spacing w:val="-13"/>
          <w:sz w:val="21"/>
        </w:rPr>
        <w:t>章规定的场所和本规范表</w:t>
      </w:r>
      <w:r>
        <w:rPr>
          <w:spacing w:val="-13"/>
          <w:sz w:val="21"/>
        </w:rPr>
        <w:t xml:space="preserve"> </w:t>
      </w:r>
      <w:r>
        <w:rPr>
          <w:sz w:val="21"/>
        </w:rPr>
        <w:t>5.1.1</w:t>
      </w:r>
      <w:r>
        <w:rPr>
          <w:spacing w:val="-19"/>
          <w:sz w:val="21"/>
        </w:rPr>
        <w:t xml:space="preserve"> </w:t>
      </w:r>
      <w:r>
        <w:rPr>
          <w:spacing w:val="-19"/>
          <w:sz w:val="21"/>
        </w:rPr>
        <w:t>中序号为</w:t>
      </w:r>
      <w:r>
        <w:rPr>
          <w:spacing w:val="-19"/>
          <w:sz w:val="21"/>
        </w:rPr>
        <w:t xml:space="preserve"> </w:t>
      </w:r>
      <w:r>
        <w:rPr>
          <w:sz w:val="21"/>
        </w:rPr>
        <w:t>11~13</w:t>
      </w:r>
      <w:r>
        <w:rPr>
          <w:spacing w:val="-8"/>
          <w:sz w:val="21"/>
        </w:rPr>
        <w:t xml:space="preserve"> </w:t>
      </w:r>
      <w:r>
        <w:rPr>
          <w:spacing w:val="-8"/>
          <w:sz w:val="21"/>
        </w:rPr>
        <w:t>规定的部位外，当单</w:t>
      </w:r>
      <w:r>
        <w:rPr>
          <w:spacing w:val="-5"/>
          <w:sz w:val="21"/>
        </w:rPr>
        <w:t>层、多层民用建筑需做内部装修的空间内装有自动灭火系统时，除顶棚外，其内部装修材料的</w:t>
      </w:r>
      <w:r>
        <w:rPr>
          <w:spacing w:val="-7"/>
          <w:sz w:val="21"/>
        </w:rPr>
        <w:t>燃烧性能等级可在本规范表</w:t>
      </w:r>
      <w:r>
        <w:rPr>
          <w:spacing w:val="-7"/>
          <w:sz w:val="21"/>
        </w:rPr>
        <w:t xml:space="preserve"> </w:t>
      </w:r>
      <w:r>
        <w:rPr>
          <w:sz w:val="21"/>
        </w:rPr>
        <w:t>5.1.1</w:t>
      </w:r>
      <w:r>
        <w:rPr>
          <w:spacing w:val="-7"/>
          <w:sz w:val="21"/>
        </w:rPr>
        <w:t xml:space="preserve"> </w:t>
      </w:r>
      <w:r>
        <w:rPr>
          <w:spacing w:val="-7"/>
          <w:sz w:val="21"/>
        </w:rPr>
        <w:t>规定的基础上降低一级；当同时装有火灾自动报警装置和自</w:t>
      </w:r>
    </w:p>
    <w:p w14:paraId="1D4DF0D3" w14:textId="77777777" w:rsidR="00A71EEF" w:rsidRDefault="0081115D">
      <w:pPr>
        <w:pStyle w:val="a3"/>
        <w:spacing w:line="446" w:lineRule="auto"/>
        <w:ind w:left="840" w:right="1925" w:hanging="423"/>
        <w:jc w:val="both"/>
        <w:rPr>
          <w:b/>
        </w:rPr>
      </w:pPr>
      <w:r>
        <w:t>动灭火系统时，其装修材料的燃烧性</w:t>
      </w:r>
      <w:r>
        <w:t>能等级可在本规范表</w:t>
      </w:r>
      <w:r>
        <w:t xml:space="preserve"> 5.1.1 </w:t>
      </w:r>
      <w:r>
        <w:t>规定的基础上降低一级。</w:t>
      </w:r>
      <w:r>
        <w:rPr>
          <w:b/>
        </w:rPr>
        <w:t xml:space="preserve">5.2 </w:t>
      </w:r>
      <w:r>
        <w:t>高层民用建筑</w:t>
      </w:r>
      <w:r>
        <w:rPr>
          <w:b/>
          <w:w w:val="99"/>
        </w:rPr>
        <w:t xml:space="preserve"> </w:t>
      </w:r>
    </w:p>
    <w:p w14:paraId="521C8DF7" w14:textId="77777777" w:rsidR="00A71EEF" w:rsidRDefault="0081115D">
      <w:pPr>
        <w:pStyle w:val="a4"/>
        <w:numPr>
          <w:ilvl w:val="2"/>
          <w:numId w:val="88"/>
        </w:numPr>
        <w:tabs>
          <w:tab w:val="left" w:pos="1367"/>
        </w:tabs>
        <w:spacing w:line="446" w:lineRule="auto"/>
        <w:ind w:right="1608" w:firstLine="419"/>
        <w:jc w:val="both"/>
        <w:rPr>
          <w:sz w:val="21"/>
        </w:rPr>
      </w:pPr>
      <w:r>
        <w:rPr>
          <w:spacing w:val="-5"/>
          <w:sz w:val="21"/>
        </w:rPr>
        <w:t>高层民用建筑內部各部位装修材料的燃烧性能等级，不应低于本规范表</w:t>
      </w:r>
      <w:r>
        <w:rPr>
          <w:spacing w:val="-5"/>
          <w:sz w:val="21"/>
        </w:rPr>
        <w:t xml:space="preserve"> </w:t>
      </w:r>
      <w:r>
        <w:rPr>
          <w:sz w:val="21"/>
        </w:rPr>
        <w:t>5.2.1</w:t>
      </w:r>
      <w:r>
        <w:rPr>
          <w:spacing w:val="-17"/>
          <w:sz w:val="21"/>
        </w:rPr>
        <w:t xml:space="preserve"> </w:t>
      </w:r>
      <w:r>
        <w:rPr>
          <w:spacing w:val="-17"/>
          <w:sz w:val="21"/>
        </w:rPr>
        <w:t>的规</w:t>
      </w:r>
      <w:r>
        <w:rPr>
          <w:spacing w:val="-2"/>
          <w:sz w:val="21"/>
        </w:rPr>
        <w:t>定。</w:t>
      </w:r>
      <w:r>
        <w:rPr>
          <w:sz w:val="21"/>
        </w:rPr>
        <w:t xml:space="preserve"> </w:t>
      </w:r>
    </w:p>
    <w:p w14:paraId="2C7F293A" w14:textId="77777777" w:rsidR="00A71EEF" w:rsidRDefault="0081115D">
      <w:pPr>
        <w:pStyle w:val="a3"/>
        <w:ind w:left="793"/>
        <w:rPr>
          <w:sz w:val="20"/>
        </w:rPr>
      </w:pPr>
      <w:r>
        <w:rPr>
          <w:noProof/>
          <w:sz w:val="20"/>
        </w:rPr>
        <w:drawing>
          <wp:inline distT="0" distB="0" distL="0" distR="0" wp14:anchorId="5BE2B568" wp14:editId="23563B7D">
            <wp:extent cx="4661270" cy="4000500"/>
            <wp:effectExtent l="0" t="0" r="0" b="0"/>
            <wp:docPr id="711" name="image4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 name="image415.png"/>
                    <pic:cNvPicPr/>
                  </pic:nvPicPr>
                  <pic:blipFill>
                    <a:blip r:embed="rId521" cstate="print"/>
                    <a:stretch>
                      <a:fillRect/>
                    </a:stretch>
                  </pic:blipFill>
                  <pic:spPr>
                    <a:xfrm>
                      <a:off x="0" y="0"/>
                      <a:ext cx="4661270" cy="4000500"/>
                    </a:xfrm>
                    <a:prstGeom prst="rect">
                      <a:avLst/>
                    </a:prstGeom>
                  </pic:spPr>
                </pic:pic>
              </a:graphicData>
            </a:graphic>
          </wp:inline>
        </w:drawing>
      </w:r>
    </w:p>
    <w:p w14:paraId="255D7083" w14:textId="77777777" w:rsidR="00A71EEF" w:rsidRDefault="00A71EEF">
      <w:pPr>
        <w:pStyle w:val="a3"/>
        <w:rPr>
          <w:sz w:val="20"/>
        </w:rPr>
      </w:pPr>
    </w:p>
    <w:p w14:paraId="0CB20E49" w14:textId="77777777" w:rsidR="00A71EEF" w:rsidRDefault="00A71EEF">
      <w:pPr>
        <w:pStyle w:val="a3"/>
        <w:rPr>
          <w:sz w:val="20"/>
        </w:rPr>
      </w:pPr>
    </w:p>
    <w:p w14:paraId="25DABEF1" w14:textId="77777777" w:rsidR="00A71EEF" w:rsidRDefault="00A71EEF">
      <w:pPr>
        <w:pStyle w:val="a3"/>
        <w:rPr>
          <w:sz w:val="20"/>
        </w:rPr>
      </w:pPr>
    </w:p>
    <w:p w14:paraId="53DBF4C6" w14:textId="77777777" w:rsidR="00A71EEF" w:rsidRDefault="00A71EEF">
      <w:pPr>
        <w:pStyle w:val="a3"/>
        <w:rPr>
          <w:sz w:val="20"/>
        </w:rPr>
      </w:pPr>
    </w:p>
    <w:p w14:paraId="384A25E0" w14:textId="77777777" w:rsidR="00A71EEF" w:rsidRDefault="00A71EEF">
      <w:pPr>
        <w:pStyle w:val="a3"/>
        <w:rPr>
          <w:sz w:val="20"/>
        </w:rPr>
      </w:pPr>
    </w:p>
    <w:p w14:paraId="0F9BC2F7" w14:textId="77777777" w:rsidR="00A71EEF" w:rsidRDefault="00A71EEF">
      <w:pPr>
        <w:pStyle w:val="a3"/>
        <w:rPr>
          <w:sz w:val="20"/>
        </w:rPr>
      </w:pPr>
    </w:p>
    <w:p w14:paraId="6593473C" w14:textId="77777777" w:rsidR="00A71EEF" w:rsidRDefault="0081115D">
      <w:pPr>
        <w:pStyle w:val="a3"/>
        <w:spacing w:before="155"/>
        <w:ind w:right="912"/>
        <w:jc w:val="center"/>
      </w:pPr>
      <w:r>
        <w:t xml:space="preserve"> </w:t>
      </w:r>
    </w:p>
    <w:p w14:paraId="5E20A9E7" w14:textId="77777777" w:rsidR="00A71EEF" w:rsidRDefault="00A71EEF">
      <w:pPr>
        <w:jc w:val="center"/>
        <w:sectPr w:rsidR="00A71EEF">
          <w:pgSz w:w="11910" w:h="16850"/>
          <w:pgMar w:top="1220" w:right="0" w:bottom="1420" w:left="1260" w:header="0" w:footer="1239" w:gutter="0"/>
          <w:cols w:space="720"/>
        </w:sectPr>
      </w:pPr>
    </w:p>
    <w:p w14:paraId="2622EC58" w14:textId="77777777" w:rsidR="00A71EEF" w:rsidRDefault="0081115D">
      <w:pPr>
        <w:pStyle w:val="a3"/>
        <w:spacing w:before="167"/>
        <w:ind w:right="912"/>
        <w:jc w:val="center"/>
      </w:pPr>
      <w:r>
        <w:t xml:space="preserve"> </w:t>
      </w:r>
    </w:p>
    <w:p w14:paraId="24D1B540" w14:textId="77777777" w:rsidR="00A71EEF" w:rsidRDefault="00A71EEF">
      <w:pPr>
        <w:jc w:val="center"/>
        <w:sectPr w:rsidR="00A71EEF">
          <w:pgSz w:w="11910" w:h="16850"/>
          <w:pgMar w:top="1600" w:right="0" w:bottom="1420" w:left="1260" w:header="0" w:footer="1239" w:gutter="0"/>
          <w:cols w:space="720"/>
        </w:sectPr>
      </w:pPr>
    </w:p>
    <w:p w14:paraId="1C232474" w14:textId="77777777" w:rsidR="00A71EEF" w:rsidRDefault="0081115D">
      <w:pPr>
        <w:pStyle w:val="a3"/>
        <w:ind w:left="772"/>
        <w:rPr>
          <w:sz w:val="20"/>
        </w:rPr>
      </w:pPr>
      <w:r>
        <w:rPr>
          <w:sz w:val="20"/>
        </w:rPr>
      </w:r>
      <w:r>
        <w:rPr>
          <w:sz w:val="20"/>
        </w:rPr>
        <w:pict w14:anchorId="0DE916DD">
          <v:group id="_x0000_s1080" style="width:369.25pt;height:659.75pt;mso-position-horizontal-relative:char;mso-position-vertical-relative:line" coordsize="7385,13195">
            <v:shape id="_x0000_s1082" type="#_x0000_t75" style="position:absolute;left:696;width:6237;height:8597">
              <v:imagedata r:id="rId522" o:title=""/>
            </v:shape>
            <v:shape id="_x0000_s1081" type="#_x0000_t75" style="position:absolute;top:8303;width:7385;height:4891">
              <v:imagedata r:id="rId523" o:title=""/>
            </v:shape>
            <w10:anchorlock/>
          </v:group>
        </w:pict>
      </w:r>
    </w:p>
    <w:p w14:paraId="0B3A4591" w14:textId="77777777" w:rsidR="00A71EEF" w:rsidRDefault="00A71EEF">
      <w:pPr>
        <w:pStyle w:val="a3"/>
        <w:spacing w:before="9"/>
        <w:rPr>
          <w:sz w:val="10"/>
        </w:rPr>
      </w:pPr>
    </w:p>
    <w:p w14:paraId="558B93D5" w14:textId="77777777" w:rsidR="00A71EEF" w:rsidRDefault="0081115D">
      <w:pPr>
        <w:pStyle w:val="a3"/>
        <w:spacing w:before="72"/>
        <w:ind w:right="912"/>
        <w:jc w:val="center"/>
      </w:pPr>
      <w:r>
        <w:t xml:space="preserve"> </w:t>
      </w:r>
    </w:p>
    <w:p w14:paraId="66B32925" w14:textId="77777777" w:rsidR="00A71EEF" w:rsidRDefault="00A71EEF">
      <w:pPr>
        <w:jc w:val="center"/>
        <w:sectPr w:rsidR="00A71EEF">
          <w:pgSz w:w="11910" w:h="16850"/>
          <w:pgMar w:top="1200" w:right="0" w:bottom="1420" w:left="1260" w:header="0" w:footer="1239" w:gutter="0"/>
          <w:cols w:space="720"/>
        </w:sectPr>
      </w:pPr>
    </w:p>
    <w:p w14:paraId="023E5752" w14:textId="77777777" w:rsidR="00A71EEF" w:rsidRDefault="0081115D">
      <w:pPr>
        <w:pStyle w:val="a4"/>
        <w:numPr>
          <w:ilvl w:val="2"/>
          <w:numId w:val="88"/>
        </w:numPr>
        <w:tabs>
          <w:tab w:val="left" w:pos="1370"/>
        </w:tabs>
        <w:spacing w:before="47" w:line="446" w:lineRule="auto"/>
        <w:ind w:right="1450" w:firstLine="422"/>
        <w:rPr>
          <w:sz w:val="21"/>
        </w:rPr>
      </w:pPr>
      <w:r>
        <w:rPr>
          <w:spacing w:val="-11"/>
          <w:sz w:val="21"/>
        </w:rPr>
        <w:t>除本规范第</w:t>
      </w:r>
      <w:r>
        <w:rPr>
          <w:spacing w:val="-11"/>
          <w:sz w:val="21"/>
        </w:rPr>
        <w:t xml:space="preserve"> </w:t>
      </w:r>
      <w:r>
        <w:rPr>
          <w:sz w:val="21"/>
        </w:rPr>
        <w:t>4</w:t>
      </w:r>
      <w:r>
        <w:rPr>
          <w:spacing w:val="-12"/>
          <w:sz w:val="21"/>
        </w:rPr>
        <w:t xml:space="preserve"> </w:t>
      </w:r>
      <w:r>
        <w:rPr>
          <w:spacing w:val="-12"/>
          <w:sz w:val="21"/>
        </w:rPr>
        <w:t>章规定的场所和本规范表</w:t>
      </w:r>
      <w:r>
        <w:rPr>
          <w:spacing w:val="-12"/>
          <w:sz w:val="21"/>
        </w:rPr>
        <w:t xml:space="preserve"> </w:t>
      </w:r>
      <w:r>
        <w:rPr>
          <w:sz w:val="21"/>
        </w:rPr>
        <w:t>5.2.1</w:t>
      </w:r>
      <w:r>
        <w:rPr>
          <w:spacing w:val="-18"/>
          <w:sz w:val="21"/>
        </w:rPr>
        <w:t xml:space="preserve"> </w:t>
      </w:r>
      <w:r>
        <w:rPr>
          <w:spacing w:val="-18"/>
          <w:sz w:val="21"/>
        </w:rPr>
        <w:t>中序号为</w:t>
      </w:r>
      <w:r>
        <w:rPr>
          <w:spacing w:val="-18"/>
          <w:sz w:val="21"/>
        </w:rPr>
        <w:t xml:space="preserve"> </w:t>
      </w:r>
      <w:r>
        <w:rPr>
          <w:sz w:val="21"/>
        </w:rPr>
        <w:t>10~12</w:t>
      </w:r>
      <w:r>
        <w:rPr>
          <w:spacing w:val="-8"/>
          <w:sz w:val="21"/>
        </w:rPr>
        <w:t xml:space="preserve"> </w:t>
      </w:r>
      <w:r>
        <w:rPr>
          <w:spacing w:val="-8"/>
          <w:sz w:val="21"/>
        </w:rPr>
        <w:t>规定的部位外，高层民</w:t>
      </w:r>
      <w:r>
        <w:rPr>
          <w:spacing w:val="-7"/>
          <w:sz w:val="21"/>
        </w:rPr>
        <w:t>用建筑的裙房内面积小于</w:t>
      </w:r>
      <w:r>
        <w:rPr>
          <w:spacing w:val="-7"/>
          <w:sz w:val="21"/>
        </w:rPr>
        <w:t xml:space="preserve"> </w:t>
      </w:r>
      <w:r>
        <w:rPr>
          <w:sz w:val="21"/>
        </w:rPr>
        <w:t>500m²</w:t>
      </w:r>
      <w:r>
        <w:rPr>
          <w:spacing w:val="-2"/>
          <w:sz w:val="21"/>
        </w:rPr>
        <w:t>的房间，当设有自动灭火系统，并且采用耐火极限不低于</w:t>
      </w:r>
      <w:r>
        <w:rPr>
          <w:spacing w:val="-2"/>
          <w:sz w:val="21"/>
        </w:rPr>
        <w:t xml:space="preserve"> </w:t>
      </w:r>
      <w:r>
        <w:rPr>
          <w:sz w:val="21"/>
        </w:rPr>
        <w:t xml:space="preserve">2.00h </w:t>
      </w:r>
      <w:r>
        <w:rPr>
          <w:spacing w:val="-3"/>
          <w:sz w:val="21"/>
        </w:rPr>
        <w:t>的防火隔墙和甲级防火门、窗与其他部位分隔时，顶棚、墙面、地面装修材料的燃烧性能等级</w:t>
      </w:r>
      <w:r>
        <w:rPr>
          <w:spacing w:val="-3"/>
          <w:sz w:val="21"/>
        </w:rPr>
        <w:t xml:space="preserve"> </w:t>
      </w:r>
      <w:r>
        <w:rPr>
          <w:spacing w:val="-11"/>
          <w:sz w:val="21"/>
        </w:rPr>
        <w:t>可在本规范表</w:t>
      </w:r>
      <w:r>
        <w:rPr>
          <w:spacing w:val="-11"/>
          <w:sz w:val="21"/>
        </w:rPr>
        <w:t xml:space="preserve"> </w:t>
      </w:r>
      <w:r>
        <w:rPr>
          <w:sz w:val="21"/>
        </w:rPr>
        <w:t>5.2.1</w:t>
      </w:r>
      <w:r>
        <w:rPr>
          <w:spacing w:val="-9"/>
          <w:sz w:val="21"/>
        </w:rPr>
        <w:t xml:space="preserve"> </w:t>
      </w:r>
      <w:r>
        <w:rPr>
          <w:spacing w:val="-9"/>
          <w:sz w:val="21"/>
        </w:rPr>
        <w:t>规定的基础上降低一级。</w:t>
      </w:r>
      <w:r>
        <w:rPr>
          <w:sz w:val="21"/>
        </w:rPr>
        <w:t xml:space="preserve"> </w:t>
      </w:r>
    </w:p>
    <w:p w14:paraId="2CA8A754" w14:textId="77777777" w:rsidR="00A71EEF" w:rsidRDefault="0081115D">
      <w:pPr>
        <w:pStyle w:val="a4"/>
        <w:numPr>
          <w:ilvl w:val="2"/>
          <w:numId w:val="88"/>
        </w:numPr>
        <w:tabs>
          <w:tab w:val="left" w:pos="1370"/>
        </w:tabs>
        <w:spacing w:line="446" w:lineRule="auto"/>
        <w:ind w:right="1505" w:firstLine="422"/>
        <w:rPr>
          <w:sz w:val="21"/>
        </w:rPr>
      </w:pPr>
      <w:r>
        <w:rPr>
          <w:spacing w:val="-11"/>
          <w:sz w:val="21"/>
        </w:rPr>
        <w:t>除本规范第</w:t>
      </w:r>
      <w:r>
        <w:rPr>
          <w:spacing w:val="-11"/>
          <w:sz w:val="21"/>
        </w:rPr>
        <w:t xml:space="preserve"> </w:t>
      </w:r>
      <w:r>
        <w:rPr>
          <w:sz w:val="21"/>
        </w:rPr>
        <w:t>4</w:t>
      </w:r>
      <w:r>
        <w:rPr>
          <w:spacing w:val="-12"/>
          <w:sz w:val="21"/>
        </w:rPr>
        <w:t xml:space="preserve"> </w:t>
      </w:r>
      <w:r>
        <w:rPr>
          <w:spacing w:val="-12"/>
          <w:sz w:val="21"/>
        </w:rPr>
        <w:t>章规定的场所和本规范表</w:t>
      </w:r>
      <w:r>
        <w:rPr>
          <w:spacing w:val="-12"/>
          <w:sz w:val="21"/>
        </w:rPr>
        <w:t xml:space="preserve"> </w:t>
      </w:r>
      <w:r>
        <w:rPr>
          <w:sz w:val="21"/>
        </w:rPr>
        <w:t>5.2.1</w:t>
      </w:r>
      <w:r>
        <w:rPr>
          <w:spacing w:val="-18"/>
          <w:sz w:val="21"/>
        </w:rPr>
        <w:t xml:space="preserve"> </w:t>
      </w:r>
      <w:r>
        <w:rPr>
          <w:spacing w:val="-18"/>
          <w:sz w:val="21"/>
        </w:rPr>
        <w:t>中序号为</w:t>
      </w:r>
      <w:r>
        <w:rPr>
          <w:spacing w:val="-18"/>
          <w:sz w:val="21"/>
        </w:rPr>
        <w:t xml:space="preserve"> </w:t>
      </w:r>
      <w:r>
        <w:rPr>
          <w:sz w:val="21"/>
        </w:rPr>
        <w:t>10~12</w:t>
      </w:r>
      <w:r>
        <w:rPr>
          <w:spacing w:val="-8"/>
          <w:sz w:val="21"/>
        </w:rPr>
        <w:t xml:space="preserve"> </w:t>
      </w:r>
      <w:r>
        <w:rPr>
          <w:spacing w:val="-8"/>
          <w:sz w:val="21"/>
        </w:rPr>
        <w:t>规定的部位外，以及大</w:t>
      </w:r>
      <w:r>
        <w:rPr>
          <w:spacing w:val="-26"/>
          <w:sz w:val="21"/>
        </w:rPr>
        <w:t>于</w:t>
      </w:r>
      <w:r>
        <w:rPr>
          <w:spacing w:val="-26"/>
          <w:sz w:val="21"/>
        </w:rPr>
        <w:t xml:space="preserve"> </w:t>
      </w:r>
      <w:r>
        <w:rPr>
          <w:sz w:val="21"/>
        </w:rPr>
        <w:t>400</w:t>
      </w:r>
      <w:r>
        <w:rPr>
          <w:spacing w:val="-11"/>
          <w:sz w:val="21"/>
        </w:rPr>
        <w:t xml:space="preserve"> </w:t>
      </w:r>
      <w:r>
        <w:rPr>
          <w:spacing w:val="-11"/>
          <w:sz w:val="21"/>
        </w:rPr>
        <w:t>㎡的观众厅、会议厅和</w:t>
      </w:r>
      <w:r>
        <w:rPr>
          <w:spacing w:val="-11"/>
          <w:sz w:val="21"/>
        </w:rPr>
        <w:t xml:space="preserve"> </w:t>
      </w:r>
      <w:r>
        <w:rPr>
          <w:sz w:val="21"/>
        </w:rPr>
        <w:t>100m</w:t>
      </w:r>
      <w:r>
        <w:rPr>
          <w:spacing w:val="-8"/>
          <w:sz w:val="21"/>
        </w:rPr>
        <w:t xml:space="preserve"> </w:t>
      </w:r>
      <w:r>
        <w:rPr>
          <w:spacing w:val="-8"/>
          <w:sz w:val="21"/>
        </w:rPr>
        <w:t>以上的高层民用建筑外，当设有火灾自动报警装置和自动灭</w:t>
      </w:r>
      <w:r>
        <w:rPr>
          <w:spacing w:val="-6"/>
          <w:sz w:val="21"/>
        </w:rPr>
        <w:t>火系统时，除顶棚外，其内部装修材料的燃烧性能等级可在本规范表</w:t>
      </w:r>
      <w:r>
        <w:rPr>
          <w:spacing w:val="-6"/>
          <w:sz w:val="21"/>
        </w:rPr>
        <w:t xml:space="preserve"> </w:t>
      </w:r>
      <w:r>
        <w:rPr>
          <w:sz w:val="21"/>
        </w:rPr>
        <w:t>5.2.1</w:t>
      </w:r>
      <w:r>
        <w:rPr>
          <w:spacing w:val="-8"/>
          <w:sz w:val="21"/>
        </w:rPr>
        <w:t xml:space="preserve"> </w:t>
      </w:r>
      <w:r>
        <w:rPr>
          <w:spacing w:val="-8"/>
          <w:sz w:val="21"/>
        </w:rPr>
        <w:t>规定的基础上降低</w:t>
      </w:r>
      <w:r>
        <w:rPr>
          <w:spacing w:val="-5"/>
          <w:sz w:val="21"/>
        </w:rPr>
        <w:t>一级。</w:t>
      </w:r>
      <w:r>
        <w:rPr>
          <w:sz w:val="21"/>
        </w:rPr>
        <w:t xml:space="preserve"> </w:t>
      </w:r>
    </w:p>
    <w:p w14:paraId="5D280062" w14:textId="77777777" w:rsidR="00A71EEF" w:rsidRDefault="0081115D">
      <w:pPr>
        <w:pStyle w:val="a4"/>
        <w:numPr>
          <w:ilvl w:val="2"/>
          <w:numId w:val="88"/>
        </w:numPr>
        <w:tabs>
          <w:tab w:val="left" w:pos="1370"/>
        </w:tabs>
        <w:spacing w:line="448" w:lineRule="auto"/>
        <w:ind w:right="1575" w:firstLine="422"/>
        <w:rPr>
          <w:sz w:val="21"/>
        </w:rPr>
      </w:pPr>
      <w:r>
        <w:rPr>
          <w:spacing w:val="-5"/>
          <w:position w:val="1"/>
          <w:sz w:val="21"/>
        </w:rPr>
        <w:t>电视塔等特殊高层建筑的内部装修，装饰织物应采用不低于</w:t>
      </w:r>
      <w:r>
        <w:rPr>
          <w:spacing w:val="-5"/>
          <w:position w:val="1"/>
          <w:sz w:val="21"/>
        </w:rPr>
        <w:t xml:space="preserve"> </w:t>
      </w:r>
      <w:r>
        <w:rPr>
          <w:position w:val="1"/>
          <w:sz w:val="21"/>
        </w:rPr>
        <w:t>B</w:t>
      </w:r>
      <w:r>
        <w:rPr>
          <w:sz w:val="11"/>
        </w:rPr>
        <w:t>1</w:t>
      </w:r>
      <w:r>
        <w:rPr>
          <w:spacing w:val="-23"/>
          <w:sz w:val="11"/>
        </w:rPr>
        <w:t xml:space="preserve"> </w:t>
      </w:r>
      <w:r>
        <w:rPr>
          <w:spacing w:val="-3"/>
          <w:position w:val="1"/>
          <w:sz w:val="21"/>
        </w:rPr>
        <w:t>级的材料，其他均应</w:t>
      </w:r>
      <w:r>
        <w:rPr>
          <w:spacing w:val="-20"/>
          <w:sz w:val="21"/>
        </w:rPr>
        <w:t>采用</w:t>
      </w:r>
      <w:r>
        <w:rPr>
          <w:spacing w:val="-20"/>
          <w:sz w:val="21"/>
        </w:rPr>
        <w:t xml:space="preserve"> </w:t>
      </w:r>
      <w:r>
        <w:rPr>
          <w:sz w:val="21"/>
        </w:rPr>
        <w:t>A</w:t>
      </w:r>
      <w:r>
        <w:rPr>
          <w:spacing w:val="-10"/>
          <w:sz w:val="21"/>
        </w:rPr>
        <w:t xml:space="preserve"> </w:t>
      </w:r>
      <w:r>
        <w:rPr>
          <w:spacing w:val="-10"/>
          <w:sz w:val="21"/>
        </w:rPr>
        <w:t>级装修材料。</w:t>
      </w:r>
      <w:r>
        <w:rPr>
          <w:sz w:val="21"/>
        </w:rPr>
        <w:t xml:space="preserve"> </w:t>
      </w:r>
    </w:p>
    <w:p w14:paraId="62A3894A" w14:textId="77777777" w:rsidR="00A71EEF" w:rsidRDefault="0081115D">
      <w:pPr>
        <w:pStyle w:val="a4"/>
        <w:numPr>
          <w:ilvl w:val="1"/>
          <w:numId w:val="87"/>
        </w:numPr>
        <w:tabs>
          <w:tab w:val="left" w:pos="1159"/>
        </w:tabs>
        <w:spacing w:line="264" w:lineRule="exact"/>
        <w:ind w:hanging="319"/>
        <w:rPr>
          <w:b/>
          <w:sz w:val="21"/>
        </w:rPr>
      </w:pPr>
      <w:r>
        <w:rPr>
          <w:spacing w:val="-3"/>
          <w:sz w:val="21"/>
        </w:rPr>
        <w:t>地下民用建筑</w:t>
      </w:r>
      <w:r>
        <w:rPr>
          <w:b/>
          <w:w w:val="99"/>
          <w:sz w:val="21"/>
        </w:rPr>
        <w:t xml:space="preserve"> </w:t>
      </w:r>
    </w:p>
    <w:p w14:paraId="36D6C5FB" w14:textId="77777777" w:rsidR="00A71EEF" w:rsidRDefault="00A71EEF">
      <w:pPr>
        <w:pStyle w:val="a3"/>
        <w:spacing w:before="8"/>
        <w:rPr>
          <w:b/>
          <w:sz w:val="17"/>
        </w:rPr>
      </w:pPr>
    </w:p>
    <w:p w14:paraId="68760FD0" w14:textId="77777777" w:rsidR="00A71EEF" w:rsidRDefault="0081115D">
      <w:pPr>
        <w:pStyle w:val="a4"/>
        <w:numPr>
          <w:ilvl w:val="2"/>
          <w:numId w:val="87"/>
        </w:numPr>
        <w:tabs>
          <w:tab w:val="left" w:pos="1371"/>
        </w:tabs>
        <w:spacing w:line="446" w:lineRule="auto"/>
        <w:ind w:right="1606" w:firstLine="422"/>
        <w:rPr>
          <w:sz w:val="21"/>
        </w:rPr>
      </w:pPr>
      <w:r>
        <w:rPr>
          <w:noProof/>
        </w:rPr>
        <w:drawing>
          <wp:anchor distT="0" distB="0" distL="0" distR="0" simplePos="0" relativeHeight="251717120" behindDoc="0" locked="0" layoutInCell="1" allowOverlap="1" wp14:anchorId="421ED41B" wp14:editId="33BBF603">
            <wp:simplePos x="0" y="0"/>
            <wp:positionH relativeFrom="page">
              <wp:posOffset>1637029</wp:posOffset>
            </wp:positionH>
            <wp:positionV relativeFrom="paragraph">
              <wp:posOffset>671321</wp:posOffset>
            </wp:positionV>
            <wp:extent cx="4012924" cy="3505200"/>
            <wp:effectExtent l="0" t="0" r="0" b="0"/>
            <wp:wrapTopAndBottom/>
            <wp:docPr id="713" name="image4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image418.jpeg"/>
                    <pic:cNvPicPr/>
                  </pic:nvPicPr>
                  <pic:blipFill>
                    <a:blip r:embed="rId524" cstate="print"/>
                    <a:stretch>
                      <a:fillRect/>
                    </a:stretch>
                  </pic:blipFill>
                  <pic:spPr>
                    <a:xfrm>
                      <a:off x="0" y="0"/>
                      <a:ext cx="4012924" cy="3505200"/>
                    </a:xfrm>
                    <a:prstGeom prst="rect">
                      <a:avLst/>
                    </a:prstGeom>
                  </pic:spPr>
                </pic:pic>
              </a:graphicData>
            </a:graphic>
          </wp:anchor>
        </w:drawing>
      </w:r>
      <w:r>
        <w:rPr>
          <w:spacing w:val="-5"/>
          <w:sz w:val="21"/>
        </w:rPr>
        <w:t>地下民用建筑内部各部位装修材料的燃烧性能等級，不应低于本规范表</w:t>
      </w:r>
      <w:r>
        <w:rPr>
          <w:spacing w:val="-5"/>
          <w:sz w:val="21"/>
        </w:rPr>
        <w:t xml:space="preserve"> </w:t>
      </w:r>
      <w:r>
        <w:rPr>
          <w:sz w:val="21"/>
        </w:rPr>
        <w:t>5.3.1</w:t>
      </w:r>
      <w:r>
        <w:rPr>
          <w:spacing w:val="-17"/>
          <w:sz w:val="21"/>
        </w:rPr>
        <w:t xml:space="preserve"> </w:t>
      </w:r>
      <w:r>
        <w:rPr>
          <w:spacing w:val="-17"/>
          <w:sz w:val="21"/>
        </w:rPr>
        <w:t>的规</w:t>
      </w:r>
      <w:r>
        <w:rPr>
          <w:spacing w:val="-2"/>
          <w:sz w:val="21"/>
        </w:rPr>
        <w:t>定。</w:t>
      </w:r>
      <w:r>
        <w:rPr>
          <w:sz w:val="21"/>
        </w:rPr>
        <w:t xml:space="preserve"> </w:t>
      </w:r>
    </w:p>
    <w:p w14:paraId="14499268" w14:textId="77777777" w:rsidR="00A71EEF" w:rsidRDefault="00A71EEF">
      <w:pPr>
        <w:pStyle w:val="a3"/>
        <w:rPr>
          <w:sz w:val="20"/>
        </w:rPr>
      </w:pPr>
    </w:p>
    <w:p w14:paraId="65824C36" w14:textId="77777777" w:rsidR="00A71EEF" w:rsidRDefault="00A71EEF">
      <w:pPr>
        <w:pStyle w:val="a3"/>
        <w:rPr>
          <w:sz w:val="20"/>
        </w:rPr>
      </w:pPr>
    </w:p>
    <w:p w14:paraId="52B2A8CE" w14:textId="77777777" w:rsidR="00A71EEF" w:rsidRDefault="00A71EEF">
      <w:pPr>
        <w:pStyle w:val="a3"/>
        <w:spacing w:before="1"/>
        <w:rPr>
          <w:sz w:val="14"/>
        </w:rPr>
      </w:pPr>
    </w:p>
    <w:p w14:paraId="2B02C3F9" w14:textId="77777777" w:rsidR="00A71EEF" w:rsidRDefault="0081115D">
      <w:pPr>
        <w:pStyle w:val="a3"/>
        <w:spacing w:line="446" w:lineRule="auto"/>
        <w:ind w:left="418" w:right="1609" w:firstLine="419"/>
      </w:pPr>
      <w:r>
        <w:t>注：地下民用建筑系指单层、多层、高层民用建筑的地下部分，单独建造在地下的民用建筑以及平战结合的地下人防工程。</w:t>
      </w:r>
      <w:r>
        <w:t xml:space="preserve"> </w:t>
      </w:r>
    </w:p>
    <w:p w14:paraId="2424F8D5" w14:textId="77777777" w:rsidR="00A71EEF" w:rsidRDefault="00A71EEF">
      <w:pPr>
        <w:spacing w:line="446" w:lineRule="auto"/>
        <w:sectPr w:rsidR="00A71EEF">
          <w:pgSz w:w="11910" w:h="16850"/>
          <w:pgMar w:top="1220" w:right="0" w:bottom="1420" w:left="1260" w:header="0" w:footer="1239" w:gutter="0"/>
          <w:cols w:space="720"/>
        </w:sectPr>
      </w:pPr>
    </w:p>
    <w:p w14:paraId="396AC0E5" w14:textId="77777777" w:rsidR="00A71EEF" w:rsidRDefault="0081115D">
      <w:pPr>
        <w:pStyle w:val="a4"/>
        <w:numPr>
          <w:ilvl w:val="2"/>
          <w:numId w:val="87"/>
        </w:numPr>
        <w:tabs>
          <w:tab w:val="left" w:pos="1371"/>
        </w:tabs>
        <w:spacing w:before="47" w:line="446" w:lineRule="auto"/>
        <w:ind w:right="1606" w:firstLine="422"/>
        <w:jc w:val="both"/>
        <w:rPr>
          <w:sz w:val="21"/>
        </w:rPr>
      </w:pPr>
      <w:r>
        <w:rPr>
          <w:spacing w:val="-11"/>
          <w:sz w:val="21"/>
        </w:rPr>
        <w:t>除本规范第</w:t>
      </w:r>
      <w:r>
        <w:rPr>
          <w:spacing w:val="-11"/>
          <w:sz w:val="21"/>
        </w:rPr>
        <w:t xml:space="preserve"> </w:t>
      </w:r>
      <w:r>
        <w:rPr>
          <w:sz w:val="21"/>
        </w:rPr>
        <w:t>4</w:t>
      </w:r>
      <w:r>
        <w:rPr>
          <w:spacing w:val="-13"/>
          <w:sz w:val="21"/>
        </w:rPr>
        <w:t xml:space="preserve"> </w:t>
      </w:r>
      <w:r>
        <w:rPr>
          <w:spacing w:val="-13"/>
          <w:sz w:val="21"/>
        </w:rPr>
        <w:t>章规定的场所和本规范表</w:t>
      </w:r>
      <w:r>
        <w:rPr>
          <w:spacing w:val="-13"/>
          <w:sz w:val="21"/>
        </w:rPr>
        <w:t xml:space="preserve"> </w:t>
      </w:r>
      <w:r>
        <w:rPr>
          <w:sz w:val="21"/>
        </w:rPr>
        <w:t>5.3.1</w:t>
      </w:r>
      <w:r>
        <w:rPr>
          <w:spacing w:val="-19"/>
          <w:sz w:val="21"/>
        </w:rPr>
        <w:t xml:space="preserve"> </w:t>
      </w:r>
      <w:r>
        <w:rPr>
          <w:spacing w:val="-19"/>
          <w:sz w:val="21"/>
        </w:rPr>
        <w:t>中序号为</w:t>
      </w:r>
      <w:r>
        <w:rPr>
          <w:spacing w:val="-19"/>
          <w:sz w:val="21"/>
        </w:rPr>
        <w:t xml:space="preserve"> </w:t>
      </w:r>
      <w:r>
        <w:rPr>
          <w:sz w:val="21"/>
        </w:rPr>
        <w:t>6~8</w:t>
      </w:r>
      <w:r>
        <w:rPr>
          <w:spacing w:val="-8"/>
          <w:sz w:val="21"/>
        </w:rPr>
        <w:t xml:space="preserve"> </w:t>
      </w:r>
      <w:r>
        <w:rPr>
          <w:spacing w:val="-8"/>
          <w:sz w:val="21"/>
        </w:rPr>
        <w:t>规定的部位外，单独建</w:t>
      </w:r>
      <w:r>
        <w:rPr>
          <w:spacing w:val="-5"/>
          <w:sz w:val="21"/>
        </w:rPr>
        <w:t>造的地下民用建筑的地上部分，其门厅、休息室、办公室等内部装修材料的燃烧性能等级可在</w:t>
      </w:r>
      <w:r>
        <w:rPr>
          <w:spacing w:val="-14"/>
          <w:sz w:val="21"/>
        </w:rPr>
        <w:t>本规范表</w:t>
      </w:r>
      <w:r>
        <w:rPr>
          <w:spacing w:val="-14"/>
          <w:sz w:val="21"/>
        </w:rPr>
        <w:t xml:space="preserve"> </w:t>
      </w:r>
      <w:r>
        <w:rPr>
          <w:sz w:val="21"/>
        </w:rPr>
        <w:t>5.3.1</w:t>
      </w:r>
      <w:r>
        <w:rPr>
          <w:spacing w:val="-9"/>
          <w:sz w:val="21"/>
        </w:rPr>
        <w:t xml:space="preserve"> </w:t>
      </w:r>
      <w:r>
        <w:rPr>
          <w:spacing w:val="-9"/>
          <w:sz w:val="21"/>
        </w:rPr>
        <w:t>的基础上降低一级。</w:t>
      </w:r>
      <w:r>
        <w:rPr>
          <w:sz w:val="21"/>
        </w:rPr>
        <w:t xml:space="preserve"> </w:t>
      </w:r>
    </w:p>
    <w:p w14:paraId="4F76EFE6" w14:textId="77777777" w:rsidR="00A71EEF" w:rsidRDefault="0081115D">
      <w:pPr>
        <w:pStyle w:val="4"/>
        <w:spacing w:line="277" w:lineRule="exact"/>
      </w:pPr>
      <w:r>
        <w:t xml:space="preserve">6 </w:t>
      </w:r>
      <w:r>
        <w:t>厂房仓库</w:t>
      </w:r>
      <w:r>
        <w:rPr>
          <w:w w:val="99"/>
        </w:rPr>
        <w:t xml:space="preserve"> </w:t>
      </w:r>
    </w:p>
    <w:p w14:paraId="20DE3B2D" w14:textId="77777777" w:rsidR="00A71EEF" w:rsidRDefault="00A71EEF">
      <w:pPr>
        <w:pStyle w:val="a3"/>
        <w:spacing w:before="4"/>
        <w:rPr>
          <w:b/>
          <w:sz w:val="17"/>
        </w:rPr>
      </w:pPr>
    </w:p>
    <w:p w14:paraId="0890E10D" w14:textId="77777777" w:rsidR="00A71EEF" w:rsidRDefault="0081115D">
      <w:pPr>
        <w:pStyle w:val="a4"/>
        <w:numPr>
          <w:ilvl w:val="1"/>
          <w:numId w:val="86"/>
        </w:numPr>
        <w:tabs>
          <w:tab w:val="left" w:pos="1159"/>
        </w:tabs>
        <w:ind w:hanging="319"/>
        <w:rPr>
          <w:sz w:val="21"/>
        </w:rPr>
      </w:pPr>
      <w:r>
        <w:rPr>
          <w:spacing w:val="-5"/>
          <w:sz w:val="21"/>
        </w:rPr>
        <w:t>厂房内部各部位装修材料的燃烧性能等级，不应低于本规范表</w:t>
      </w:r>
      <w:r>
        <w:rPr>
          <w:spacing w:val="-5"/>
          <w:sz w:val="21"/>
        </w:rPr>
        <w:t xml:space="preserve"> </w:t>
      </w:r>
      <w:r>
        <w:rPr>
          <w:sz w:val="21"/>
        </w:rPr>
        <w:t>6.0.1</w:t>
      </w:r>
      <w:r>
        <w:rPr>
          <w:spacing w:val="-12"/>
          <w:sz w:val="21"/>
        </w:rPr>
        <w:t xml:space="preserve"> </w:t>
      </w:r>
      <w:r>
        <w:rPr>
          <w:spacing w:val="-12"/>
          <w:sz w:val="21"/>
        </w:rPr>
        <w:t>的规定。</w:t>
      </w:r>
      <w:r>
        <w:rPr>
          <w:spacing w:val="-12"/>
          <w:sz w:val="21"/>
        </w:rPr>
        <w:t xml:space="preserve"> </w:t>
      </w:r>
    </w:p>
    <w:p w14:paraId="39166FF0" w14:textId="77777777" w:rsidR="00A71EEF" w:rsidRDefault="00A71EEF">
      <w:pPr>
        <w:pStyle w:val="a3"/>
        <w:rPr>
          <w:sz w:val="20"/>
        </w:rPr>
      </w:pPr>
    </w:p>
    <w:p w14:paraId="2CD11737" w14:textId="77777777" w:rsidR="00A71EEF" w:rsidRDefault="0081115D">
      <w:pPr>
        <w:pStyle w:val="a3"/>
        <w:spacing w:before="12"/>
        <w:rPr>
          <w:sz w:val="17"/>
        </w:rPr>
      </w:pPr>
      <w:r>
        <w:rPr>
          <w:noProof/>
        </w:rPr>
        <w:drawing>
          <wp:anchor distT="0" distB="0" distL="0" distR="0" simplePos="0" relativeHeight="251718144" behindDoc="0" locked="0" layoutInCell="1" allowOverlap="1" wp14:anchorId="4CD9A1A3" wp14:editId="541ACE2B">
            <wp:simplePos x="0" y="0"/>
            <wp:positionH relativeFrom="page">
              <wp:posOffset>1161414</wp:posOffset>
            </wp:positionH>
            <wp:positionV relativeFrom="paragraph">
              <wp:posOffset>170925</wp:posOffset>
            </wp:positionV>
            <wp:extent cx="4806010" cy="5153025"/>
            <wp:effectExtent l="0" t="0" r="0" b="0"/>
            <wp:wrapTopAndBottom/>
            <wp:docPr id="715" name="image4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 name="image419.png"/>
                    <pic:cNvPicPr/>
                  </pic:nvPicPr>
                  <pic:blipFill>
                    <a:blip r:embed="rId525" cstate="print"/>
                    <a:stretch>
                      <a:fillRect/>
                    </a:stretch>
                  </pic:blipFill>
                  <pic:spPr>
                    <a:xfrm>
                      <a:off x="0" y="0"/>
                      <a:ext cx="4806010" cy="5153025"/>
                    </a:xfrm>
                    <a:prstGeom prst="rect">
                      <a:avLst/>
                    </a:prstGeom>
                  </pic:spPr>
                </pic:pic>
              </a:graphicData>
            </a:graphic>
          </wp:anchor>
        </w:drawing>
      </w:r>
    </w:p>
    <w:p w14:paraId="6C746854" w14:textId="77777777" w:rsidR="00A71EEF" w:rsidRDefault="00A71EEF">
      <w:pPr>
        <w:pStyle w:val="a3"/>
        <w:rPr>
          <w:sz w:val="20"/>
        </w:rPr>
      </w:pPr>
    </w:p>
    <w:p w14:paraId="48D34611" w14:textId="77777777" w:rsidR="00A71EEF" w:rsidRDefault="00A71EEF">
      <w:pPr>
        <w:pStyle w:val="a3"/>
        <w:spacing w:before="4"/>
        <w:rPr>
          <w:sz w:val="27"/>
        </w:rPr>
      </w:pPr>
    </w:p>
    <w:p w14:paraId="6C33D536" w14:textId="77777777" w:rsidR="00A71EEF" w:rsidRDefault="0081115D">
      <w:pPr>
        <w:pStyle w:val="a4"/>
        <w:numPr>
          <w:ilvl w:val="1"/>
          <w:numId w:val="86"/>
        </w:numPr>
        <w:tabs>
          <w:tab w:val="left" w:pos="1159"/>
        </w:tabs>
        <w:spacing w:before="72"/>
        <w:ind w:hanging="319"/>
        <w:rPr>
          <w:sz w:val="21"/>
        </w:rPr>
      </w:pPr>
      <w:r>
        <w:rPr>
          <w:spacing w:val="-12"/>
          <w:sz w:val="21"/>
        </w:rPr>
        <w:t>除本规范第</w:t>
      </w:r>
      <w:r>
        <w:rPr>
          <w:spacing w:val="-12"/>
          <w:sz w:val="21"/>
        </w:rPr>
        <w:t xml:space="preserve"> </w:t>
      </w:r>
      <w:r>
        <w:rPr>
          <w:sz w:val="21"/>
        </w:rPr>
        <w:t>4</w:t>
      </w:r>
      <w:r>
        <w:rPr>
          <w:spacing w:val="-8"/>
          <w:sz w:val="21"/>
        </w:rPr>
        <w:t xml:space="preserve"> </w:t>
      </w:r>
      <w:r>
        <w:rPr>
          <w:spacing w:val="-8"/>
          <w:sz w:val="21"/>
        </w:rPr>
        <w:t>章规定的场所和部位外，当单层、多层丙、丁、戊类厂房内同时设有火</w:t>
      </w:r>
    </w:p>
    <w:p w14:paraId="1B876D0F" w14:textId="77777777" w:rsidR="00A71EEF" w:rsidRDefault="00A71EEF">
      <w:pPr>
        <w:pStyle w:val="a3"/>
        <w:spacing w:before="1"/>
        <w:rPr>
          <w:sz w:val="18"/>
        </w:rPr>
      </w:pPr>
    </w:p>
    <w:p w14:paraId="356F966A" w14:textId="77777777" w:rsidR="00A71EEF" w:rsidRDefault="0081115D">
      <w:pPr>
        <w:pStyle w:val="a3"/>
        <w:spacing w:line="446" w:lineRule="auto"/>
        <w:ind w:left="418" w:right="1608"/>
      </w:pPr>
      <w:r>
        <w:rPr>
          <w:spacing w:val="-4"/>
        </w:rPr>
        <w:t>灾自动报警和自动灭火系统时，除顶棚外，其装修材料的燃烧性能等级可在本规范表</w:t>
      </w:r>
      <w:r>
        <w:rPr>
          <w:spacing w:val="-4"/>
        </w:rPr>
        <w:t xml:space="preserve"> </w:t>
      </w:r>
      <w:r>
        <w:t>6.0.1</w:t>
      </w:r>
      <w:r>
        <w:rPr>
          <w:spacing w:val="-18"/>
        </w:rPr>
        <w:t xml:space="preserve"> </w:t>
      </w:r>
      <w:r>
        <w:rPr>
          <w:spacing w:val="-18"/>
        </w:rPr>
        <w:t>规</w:t>
      </w:r>
      <w:r>
        <w:rPr>
          <w:spacing w:val="-7"/>
        </w:rPr>
        <w:t>定的基础上降低一级。</w:t>
      </w:r>
      <w:r>
        <w:t xml:space="preserve"> </w:t>
      </w:r>
    </w:p>
    <w:p w14:paraId="14EA42AB" w14:textId="77777777" w:rsidR="00A71EEF" w:rsidRDefault="0081115D">
      <w:pPr>
        <w:pStyle w:val="a4"/>
        <w:numPr>
          <w:ilvl w:val="1"/>
          <w:numId w:val="86"/>
        </w:numPr>
        <w:tabs>
          <w:tab w:val="left" w:pos="1159"/>
        </w:tabs>
        <w:spacing w:line="267" w:lineRule="exact"/>
        <w:ind w:hanging="319"/>
        <w:rPr>
          <w:sz w:val="21"/>
        </w:rPr>
      </w:pPr>
      <w:r>
        <w:rPr>
          <w:spacing w:val="-6"/>
          <w:position w:val="1"/>
          <w:sz w:val="21"/>
        </w:rPr>
        <w:t>当厂房的地面为架空地板时，其地面应采用不低于</w:t>
      </w:r>
      <w:r>
        <w:rPr>
          <w:spacing w:val="-6"/>
          <w:position w:val="1"/>
          <w:sz w:val="21"/>
        </w:rPr>
        <w:t xml:space="preserve"> </w:t>
      </w:r>
      <w:r>
        <w:rPr>
          <w:position w:val="1"/>
          <w:sz w:val="21"/>
        </w:rPr>
        <w:t>B</w:t>
      </w:r>
      <w:r>
        <w:rPr>
          <w:sz w:val="11"/>
        </w:rPr>
        <w:t>1</w:t>
      </w:r>
      <w:r>
        <w:rPr>
          <w:spacing w:val="-29"/>
          <w:sz w:val="11"/>
        </w:rPr>
        <w:t xml:space="preserve"> </w:t>
      </w:r>
      <w:r>
        <w:rPr>
          <w:spacing w:val="-3"/>
          <w:position w:val="1"/>
          <w:sz w:val="21"/>
        </w:rPr>
        <w:t>级的装修材料。</w:t>
      </w:r>
      <w:r>
        <w:rPr>
          <w:position w:val="1"/>
          <w:sz w:val="21"/>
        </w:rPr>
        <w:t xml:space="preserve"> </w:t>
      </w:r>
    </w:p>
    <w:p w14:paraId="7A0C4BA5" w14:textId="77777777" w:rsidR="00A71EEF" w:rsidRDefault="00A71EEF">
      <w:pPr>
        <w:pStyle w:val="a3"/>
        <w:spacing w:before="3"/>
        <w:rPr>
          <w:sz w:val="18"/>
        </w:rPr>
      </w:pPr>
    </w:p>
    <w:p w14:paraId="44BEFB9E" w14:textId="77777777" w:rsidR="00A71EEF" w:rsidRDefault="0081115D">
      <w:pPr>
        <w:pStyle w:val="a4"/>
        <w:numPr>
          <w:ilvl w:val="1"/>
          <w:numId w:val="86"/>
        </w:numPr>
        <w:tabs>
          <w:tab w:val="left" w:pos="1159"/>
        </w:tabs>
        <w:ind w:hanging="319"/>
        <w:rPr>
          <w:sz w:val="21"/>
        </w:rPr>
      </w:pPr>
      <w:r>
        <w:rPr>
          <w:spacing w:val="-3"/>
          <w:sz w:val="21"/>
        </w:rPr>
        <w:t>附设在工业建筑内的办公、研发、餐厅等辅助用房，当采用现行国家标准《建筑设计</w:t>
      </w:r>
    </w:p>
    <w:p w14:paraId="6DC7ADD8" w14:textId="77777777" w:rsidR="00A71EEF" w:rsidRDefault="00A71EEF">
      <w:pPr>
        <w:rPr>
          <w:sz w:val="21"/>
        </w:rPr>
        <w:sectPr w:rsidR="00A71EEF">
          <w:footerReference w:type="default" r:id="rId526"/>
          <w:pgSz w:w="11910" w:h="16850"/>
          <w:pgMar w:top="1220" w:right="0" w:bottom="1420" w:left="1260" w:header="0" w:footer="1239" w:gutter="0"/>
          <w:pgNumType w:start="1570"/>
          <w:cols w:space="720"/>
        </w:sectPr>
      </w:pPr>
    </w:p>
    <w:p w14:paraId="20652252" w14:textId="77777777" w:rsidR="00A71EEF" w:rsidRDefault="0081115D">
      <w:pPr>
        <w:pStyle w:val="a3"/>
        <w:spacing w:before="47" w:line="446" w:lineRule="auto"/>
        <w:ind w:left="418" w:right="1558"/>
      </w:pPr>
      <w:r>
        <w:rPr>
          <w:spacing w:val="-2"/>
        </w:rPr>
        <w:t>防火规范》</w:t>
      </w:r>
      <w:r>
        <w:t>GB 50016</w:t>
      </w:r>
      <w:r>
        <w:rPr>
          <w:spacing w:val="-8"/>
        </w:rPr>
        <w:t xml:space="preserve"> </w:t>
      </w:r>
      <w:r>
        <w:rPr>
          <w:spacing w:val="-8"/>
        </w:rPr>
        <w:t>规定的防火分隔和疏散设施时，其内部装修材料的燃烧性能等级可按民用</w:t>
      </w:r>
      <w:r>
        <w:rPr>
          <w:spacing w:val="-5"/>
        </w:rPr>
        <w:t>建筑的规定执行。</w:t>
      </w:r>
      <w:r>
        <w:t xml:space="preserve"> </w:t>
      </w:r>
    </w:p>
    <w:p w14:paraId="62E2582A" w14:textId="77777777" w:rsidR="00A71EEF" w:rsidRDefault="0081115D">
      <w:pPr>
        <w:pStyle w:val="a4"/>
        <w:numPr>
          <w:ilvl w:val="1"/>
          <w:numId w:val="86"/>
        </w:numPr>
        <w:tabs>
          <w:tab w:val="left" w:pos="1159"/>
        </w:tabs>
        <w:spacing w:line="267" w:lineRule="exact"/>
        <w:ind w:hanging="319"/>
        <w:rPr>
          <w:sz w:val="21"/>
        </w:rPr>
      </w:pPr>
      <w:r>
        <w:rPr>
          <w:spacing w:val="-5"/>
          <w:sz w:val="21"/>
        </w:rPr>
        <w:t>仓库内部各部位装修材料的燃烧性能等级，不应低于本规范表</w:t>
      </w:r>
      <w:r>
        <w:rPr>
          <w:spacing w:val="-5"/>
          <w:sz w:val="21"/>
        </w:rPr>
        <w:t xml:space="preserve"> </w:t>
      </w:r>
      <w:r>
        <w:rPr>
          <w:sz w:val="21"/>
        </w:rPr>
        <w:t>6.0.5</w:t>
      </w:r>
      <w:r>
        <w:rPr>
          <w:spacing w:val="-12"/>
          <w:sz w:val="21"/>
        </w:rPr>
        <w:t xml:space="preserve"> </w:t>
      </w:r>
      <w:r>
        <w:rPr>
          <w:spacing w:val="-12"/>
          <w:sz w:val="21"/>
        </w:rPr>
        <w:t>的规定。</w:t>
      </w:r>
      <w:r>
        <w:rPr>
          <w:spacing w:val="-12"/>
          <w:sz w:val="21"/>
        </w:rPr>
        <w:t xml:space="preserve"> </w:t>
      </w:r>
    </w:p>
    <w:p w14:paraId="205D1BD3" w14:textId="77777777" w:rsidR="00A71EEF" w:rsidRDefault="0081115D">
      <w:pPr>
        <w:pStyle w:val="2"/>
        <w:spacing w:before="143"/>
        <w:ind w:right="868"/>
      </w:pPr>
      <w:r>
        <w:rPr>
          <w:noProof/>
        </w:rPr>
        <w:drawing>
          <wp:anchor distT="0" distB="0" distL="0" distR="0" simplePos="0" relativeHeight="251719168" behindDoc="0" locked="0" layoutInCell="1" allowOverlap="1" wp14:anchorId="23642D4D" wp14:editId="552AA91B">
            <wp:simplePos x="0" y="0"/>
            <wp:positionH relativeFrom="page">
              <wp:posOffset>1170305</wp:posOffset>
            </wp:positionH>
            <wp:positionV relativeFrom="paragraph">
              <wp:posOffset>410336</wp:posOffset>
            </wp:positionV>
            <wp:extent cx="4735714" cy="4658296"/>
            <wp:effectExtent l="0" t="0" r="0" b="0"/>
            <wp:wrapTopAndBottom/>
            <wp:docPr id="717" name="image4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image420.png"/>
                    <pic:cNvPicPr/>
                  </pic:nvPicPr>
                  <pic:blipFill>
                    <a:blip r:embed="rId527" cstate="print"/>
                    <a:stretch>
                      <a:fillRect/>
                    </a:stretch>
                  </pic:blipFill>
                  <pic:spPr>
                    <a:xfrm>
                      <a:off x="0" y="0"/>
                      <a:ext cx="4735714" cy="4658296"/>
                    </a:xfrm>
                    <a:prstGeom prst="rect">
                      <a:avLst/>
                    </a:prstGeom>
                  </pic:spPr>
                </pic:pic>
              </a:graphicData>
            </a:graphic>
          </wp:anchor>
        </w:drawing>
      </w:r>
      <w:r>
        <w:rPr>
          <w:w w:val="99"/>
        </w:rPr>
        <w:t xml:space="preserve"> </w:t>
      </w:r>
    </w:p>
    <w:p w14:paraId="2F013BF4" w14:textId="77777777" w:rsidR="00A71EEF" w:rsidRDefault="00A71EEF">
      <w:pPr>
        <w:sectPr w:rsidR="00A71EEF">
          <w:pgSz w:w="11910" w:h="16850"/>
          <w:pgMar w:top="1220" w:right="0" w:bottom="1420" w:left="1260" w:header="0" w:footer="1239" w:gutter="0"/>
          <w:cols w:space="720"/>
        </w:sectPr>
      </w:pPr>
    </w:p>
    <w:p w14:paraId="5D65D25C" w14:textId="77777777" w:rsidR="00A71EEF" w:rsidRDefault="0081115D">
      <w:pPr>
        <w:spacing w:before="37"/>
        <w:ind w:left="3005"/>
        <w:rPr>
          <w:b/>
          <w:sz w:val="30"/>
        </w:rPr>
      </w:pPr>
      <w:bookmarkStart w:id="34" w:name="_bookmark34"/>
      <w:bookmarkEnd w:id="34"/>
      <w:r>
        <w:rPr>
          <w:b/>
          <w:sz w:val="30"/>
        </w:rPr>
        <w:t>自动喷水灭火系统设计规范</w:t>
      </w:r>
      <w:r>
        <w:rPr>
          <w:b/>
          <w:w w:val="99"/>
          <w:sz w:val="30"/>
        </w:rPr>
        <w:t xml:space="preserve"> </w:t>
      </w:r>
    </w:p>
    <w:p w14:paraId="264401A5" w14:textId="77777777" w:rsidR="00A71EEF" w:rsidRDefault="00A71EEF">
      <w:pPr>
        <w:pStyle w:val="a3"/>
        <w:rPr>
          <w:b/>
          <w:sz w:val="20"/>
        </w:rPr>
      </w:pPr>
    </w:p>
    <w:p w14:paraId="19FFD1D6" w14:textId="77777777" w:rsidR="00A71EEF" w:rsidRDefault="00A71EEF">
      <w:pPr>
        <w:pStyle w:val="a3"/>
        <w:spacing w:before="5"/>
        <w:rPr>
          <w:b/>
          <w:sz w:val="14"/>
        </w:rPr>
      </w:pPr>
    </w:p>
    <w:p w14:paraId="0621CFBE" w14:textId="77777777" w:rsidR="00A71EEF" w:rsidRDefault="0081115D">
      <w:pPr>
        <w:pStyle w:val="4"/>
        <w:spacing w:before="66"/>
      </w:pPr>
      <w:r>
        <w:t xml:space="preserve">1 </w:t>
      </w:r>
      <w:r>
        <w:t>总则</w:t>
      </w:r>
      <w:r>
        <w:rPr>
          <w:w w:val="99"/>
        </w:rPr>
        <w:t xml:space="preserve"> </w:t>
      </w:r>
    </w:p>
    <w:p w14:paraId="5A2B6D0F" w14:textId="77777777" w:rsidR="00A71EEF" w:rsidRDefault="00A71EEF">
      <w:pPr>
        <w:pStyle w:val="a3"/>
        <w:spacing w:before="4"/>
        <w:rPr>
          <w:b/>
          <w:sz w:val="17"/>
        </w:rPr>
      </w:pPr>
    </w:p>
    <w:p w14:paraId="4F03CBC3" w14:textId="77777777" w:rsidR="00A71EEF" w:rsidRDefault="0081115D">
      <w:pPr>
        <w:pStyle w:val="a4"/>
        <w:numPr>
          <w:ilvl w:val="1"/>
          <w:numId w:val="85"/>
        </w:numPr>
        <w:tabs>
          <w:tab w:val="left" w:pos="1213"/>
        </w:tabs>
        <w:ind w:hanging="373"/>
        <w:rPr>
          <w:sz w:val="21"/>
        </w:rPr>
      </w:pPr>
      <w:r>
        <w:rPr>
          <w:color w:val="333333"/>
          <w:spacing w:val="-3"/>
          <w:sz w:val="21"/>
        </w:rPr>
        <w:t>为了正确、合理地设计自动喷水灭火系统，保护人身和财产安全，制定本规范。</w:t>
      </w:r>
      <w:r>
        <w:rPr>
          <w:color w:val="333333"/>
          <w:sz w:val="21"/>
        </w:rPr>
        <w:t xml:space="preserve"> </w:t>
      </w:r>
    </w:p>
    <w:p w14:paraId="5FACE695" w14:textId="77777777" w:rsidR="00A71EEF" w:rsidRDefault="00A71EEF">
      <w:pPr>
        <w:pStyle w:val="a3"/>
        <w:spacing w:before="12"/>
        <w:rPr>
          <w:sz w:val="17"/>
        </w:rPr>
      </w:pPr>
    </w:p>
    <w:p w14:paraId="0716CDCE" w14:textId="77777777" w:rsidR="00A71EEF" w:rsidRDefault="0081115D">
      <w:pPr>
        <w:pStyle w:val="a4"/>
        <w:numPr>
          <w:ilvl w:val="1"/>
          <w:numId w:val="85"/>
        </w:numPr>
        <w:tabs>
          <w:tab w:val="left" w:pos="1213"/>
        </w:tabs>
        <w:ind w:hanging="373"/>
        <w:rPr>
          <w:sz w:val="21"/>
        </w:rPr>
      </w:pPr>
      <w:r>
        <w:rPr>
          <w:color w:val="333333"/>
          <w:spacing w:val="-3"/>
          <w:sz w:val="21"/>
        </w:rPr>
        <w:t>本规范适用于新建、扩建、改建的民用与工业建筑中自动喷水灭火系统的设计。</w:t>
      </w:r>
      <w:r>
        <w:rPr>
          <w:color w:val="333333"/>
          <w:sz w:val="21"/>
        </w:rPr>
        <w:t xml:space="preserve"> </w:t>
      </w:r>
    </w:p>
    <w:p w14:paraId="10E20BFD" w14:textId="77777777" w:rsidR="00A71EEF" w:rsidRDefault="00A71EEF">
      <w:pPr>
        <w:pStyle w:val="a3"/>
        <w:spacing w:before="2"/>
        <w:rPr>
          <w:sz w:val="18"/>
        </w:rPr>
      </w:pPr>
    </w:p>
    <w:p w14:paraId="4AF2AC92" w14:textId="77777777" w:rsidR="00A71EEF" w:rsidRDefault="0081115D">
      <w:pPr>
        <w:pStyle w:val="a3"/>
        <w:spacing w:line="446" w:lineRule="auto"/>
        <w:ind w:left="418" w:right="1609" w:firstLine="419"/>
      </w:pPr>
      <w:r>
        <w:rPr>
          <w:color w:val="333333"/>
        </w:rPr>
        <w:t>本规范不适用于火药、炸药、弹药、火工品工厂、核电站及飞机库等特殊功能建筑中自动喷水灭火系统的设计。</w:t>
      </w:r>
      <w:r>
        <w:rPr>
          <w:color w:val="333333"/>
        </w:rPr>
        <w:t xml:space="preserve"> </w:t>
      </w:r>
    </w:p>
    <w:p w14:paraId="5AD337B3" w14:textId="77777777" w:rsidR="00A71EEF" w:rsidRDefault="0081115D">
      <w:pPr>
        <w:pStyle w:val="a4"/>
        <w:numPr>
          <w:ilvl w:val="1"/>
          <w:numId w:val="85"/>
        </w:numPr>
        <w:tabs>
          <w:tab w:val="left" w:pos="1213"/>
        </w:tabs>
        <w:spacing w:line="446" w:lineRule="auto"/>
        <w:ind w:left="418" w:right="1445" w:firstLine="422"/>
        <w:rPr>
          <w:sz w:val="21"/>
        </w:rPr>
      </w:pPr>
      <w:r>
        <w:rPr>
          <w:color w:val="333333"/>
          <w:spacing w:val="-3"/>
          <w:sz w:val="21"/>
        </w:rPr>
        <w:t>自动喷水灭火系统的设计，应密切结合保护对象的功能和火灾特点，积极采用新技术、新设备、新材料，做到安全可靠、技术先进、经济合理。</w:t>
      </w:r>
      <w:r>
        <w:rPr>
          <w:color w:val="333333"/>
          <w:sz w:val="21"/>
        </w:rPr>
        <w:t xml:space="preserve"> </w:t>
      </w:r>
    </w:p>
    <w:p w14:paraId="740CC5FC" w14:textId="77777777" w:rsidR="00A71EEF" w:rsidRDefault="0081115D">
      <w:pPr>
        <w:pStyle w:val="a4"/>
        <w:numPr>
          <w:ilvl w:val="1"/>
          <w:numId w:val="85"/>
        </w:numPr>
        <w:tabs>
          <w:tab w:val="left" w:pos="1213"/>
        </w:tabs>
        <w:spacing w:line="446" w:lineRule="auto"/>
        <w:ind w:left="418" w:right="1445" w:firstLine="422"/>
        <w:rPr>
          <w:sz w:val="21"/>
        </w:rPr>
      </w:pPr>
      <w:r>
        <w:rPr>
          <w:color w:val="333333"/>
          <w:spacing w:val="-3"/>
          <w:sz w:val="21"/>
        </w:rPr>
        <w:t>设计采用的系统组件，必须符合国家现行的相关标准，并应符合消防产品市场准入制度的要求。</w:t>
      </w:r>
      <w:r>
        <w:rPr>
          <w:color w:val="333333"/>
          <w:sz w:val="21"/>
        </w:rPr>
        <w:t xml:space="preserve"> </w:t>
      </w:r>
    </w:p>
    <w:p w14:paraId="29144D55" w14:textId="77777777" w:rsidR="00A71EEF" w:rsidRDefault="0081115D">
      <w:pPr>
        <w:pStyle w:val="a4"/>
        <w:numPr>
          <w:ilvl w:val="1"/>
          <w:numId w:val="85"/>
        </w:numPr>
        <w:tabs>
          <w:tab w:val="left" w:pos="1213"/>
        </w:tabs>
        <w:spacing w:line="446" w:lineRule="auto"/>
        <w:ind w:left="418" w:right="1445" w:firstLine="422"/>
        <w:rPr>
          <w:sz w:val="21"/>
        </w:rPr>
      </w:pPr>
      <w:r>
        <w:rPr>
          <w:color w:val="333333"/>
          <w:spacing w:val="-3"/>
          <w:sz w:val="21"/>
        </w:rPr>
        <w:t>当设置自动喷水灭火系统的建筑或建筑内场所变更用途时，应校核原有系统的适用性。当不适用时，应按本规范重新设计。</w:t>
      </w:r>
      <w:r>
        <w:rPr>
          <w:color w:val="333333"/>
          <w:sz w:val="21"/>
        </w:rPr>
        <w:t xml:space="preserve"> </w:t>
      </w:r>
    </w:p>
    <w:p w14:paraId="0AE7883B" w14:textId="77777777" w:rsidR="00A71EEF" w:rsidRDefault="0081115D">
      <w:pPr>
        <w:pStyle w:val="a4"/>
        <w:numPr>
          <w:ilvl w:val="1"/>
          <w:numId w:val="85"/>
        </w:numPr>
        <w:tabs>
          <w:tab w:val="left" w:pos="1213"/>
        </w:tabs>
        <w:spacing w:line="446" w:lineRule="auto"/>
        <w:ind w:left="418" w:right="1445" w:firstLine="422"/>
        <w:rPr>
          <w:sz w:val="21"/>
        </w:rPr>
      </w:pPr>
      <w:r>
        <w:rPr>
          <w:color w:val="333333"/>
          <w:spacing w:val="-3"/>
          <w:sz w:val="21"/>
        </w:rPr>
        <w:t>自动喷水灭火系统的设计，除应符合本规范的规定外，尚应符合国家现行有关标准的规定。</w:t>
      </w:r>
      <w:r>
        <w:rPr>
          <w:color w:val="333333"/>
          <w:sz w:val="21"/>
        </w:rPr>
        <w:t xml:space="preserve"> </w:t>
      </w:r>
    </w:p>
    <w:p w14:paraId="6F61E472" w14:textId="77777777" w:rsidR="00A71EEF" w:rsidRDefault="0081115D">
      <w:pPr>
        <w:pStyle w:val="4"/>
        <w:spacing w:line="277" w:lineRule="exact"/>
      </w:pPr>
      <w:r>
        <w:t xml:space="preserve">2 </w:t>
      </w:r>
      <w:r>
        <w:t>术语和符号</w:t>
      </w:r>
      <w:r>
        <w:rPr>
          <w:w w:val="99"/>
        </w:rPr>
        <w:t xml:space="preserve"> </w:t>
      </w:r>
    </w:p>
    <w:p w14:paraId="1985DF47" w14:textId="77777777" w:rsidR="00A71EEF" w:rsidRDefault="00A71EEF">
      <w:pPr>
        <w:pStyle w:val="a3"/>
        <w:rPr>
          <w:b/>
          <w:sz w:val="17"/>
        </w:rPr>
      </w:pPr>
    </w:p>
    <w:p w14:paraId="3FD375FE" w14:textId="77777777" w:rsidR="00A71EEF" w:rsidRDefault="0081115D">
      <w:pPr>
        <w:pStyle w:val="a4"/>
        <w:numPr>
          <w:ilvl w:val="1"/>
          <w:numId w:val="84"/>
        </w:numPr>
        <w:tabs>
          <w:tab w:val="left" w:pos="1159"/>
        </w:tabs>
        <w:ind w:hanging="319"/>
        <w:rPr>
          <w:sz w:val="21"/>
        </w:rPr>
      </w:pPr>
      <w:r>
        <w:rPr>
          <w:spacing w:val="-3"/>
          <w:sz w:val="21"/>
        </w:rPr>
        <w:t>术语</w:t>
      </w:r>
      <w:r>
        <w:rPr>
          <w:sz w:val="21"/>
        </w:rPr>
        <w:t xml:space="preserve"> </w:t>
      </w:r>
    </w:p>
    <w:p w14:paraId="2E626AE4" w14:textId="77777777" w:rsidR="00A71EEF" w:rsidRDefault="00A71EEF">
      <w:pPr>
        <w:pStyle w:val="a3"/>
        <w:spacing w:before="2"/>
        <w:rPr>
          <w:sz w:val="18"/>
        </w:rPr>
      </w:pPr>
    </w:p>
    <w:p w14:paraId="10AB6999" w14:textId="77777777" w:rsidR="00A71EEF" w:rsidRDefault="0081115D">
      <w:pPr>
        <w:pStyle w:val="a4"/>
        <w:numPr>
          <w:ilvl w:val="2"/>
          <w:numId w:val="84"/>
        </w:numPr>
        <w:tabs>
          <w:tab w:val="left" w:pos="1371"/>
        </w:tabs>
        <w:rPr>
          <w:sz w:val="21"/>
        </w:rPr>
      </w:pPr>
      <w:r>
        <w:rPr>
          <w:spacing w:val="8"/>
          <w:sz w:val="21"/>
        </w:rPr>
        <w:t>自动喷水灭火系统</w:t>
      </w:r>
      <w:r>
        <w:rPr>
          <w:spacing w:val="8"/>
          <w:sz w:val="21"/>
        </w:rPr>
        <w:t xml:space="preserve"> </w:t>
      </w:r>
      <w:r>
        <w:rPr>
          <w:sz w:val="21"/>
        </w:rPr>
        <w:t>sprinkler</w:t>
      </w:r>
      <w:r>
        <w:rPr>
          <w:spacing w:val="1"/>
          <w:sz w:val="21"/>
        </w:rPr>
        <w:t xml:space="preserve"> </w:t>
      </w:r>
      <w:r>
        <w:rPr>
          <w:sz w:val="21"/>
        </w:rPr>
        <w:t xml:space="preserve">systems </w:t>
      </w:r>
    </w:p>
    <w:p w14:paraId="1AFED1F9" w14:textId="77777777" w:rsidR="00A71EEF" w:rsidRDefault="00A71EEF">
      <w:pPr>
        <w:pStyle w:val="a3"/>
        <w:spacing w:before="12"/>
        <w:rPr>
          <w:sz w:val="17"/>
        </w:rPr>
      </w:pPr>
    </w:p>
    <w:p w14:paraId="3CCA0A8F" w14:textId="77777777" w:rsidR="00A71EEF" w:rsidRDefault="0081115D">
      <w:pPr>
        <w:pStyle w:val="a3"/>
        <w:spacing w:line="446" w:lineRule="auto"/>
        <w:ind w:left="418" w:right="1609" w:firstLine="419"/>
      </w:pPr>
      <w:r>
        <w:t>由洒水喷头、报警阀组、水流报警装置（水流指示器或压力开关）等组件，以及管道、供水设施等组成，能在发生火灾时喷水的自动灭火系统。</w:t>
      </w:r>
      <w:r>
        <w:t xml:space="preserve"> </w:t>
      </w:r>
    </w:p>
    <w:p w14:paraId="2E03E645" w14:textId="77777777" w:rsidR="00A71EEF" w:rsidRDefault="0081115D">
      <w:pPr>
        <w:pStyle w:val="a4"/>
        <w:numPr>
          <w:ilvl w:val="2"/>
          <w:numId w:val="84"/>
        </w:numPr>
        <w:tabs>
          <w:tab w:val="left" w:pos="1370"/>
        </w:tabs>
        <w:spacing w:before="1"/>
        <w:ind w:left="1369" w:hanging="530"/>
        <w:rPr>
          <w:sz w:val="21"/>
        </w:rPr>
      </w:pPr>
      <w:r>
        <w:rPr>
          <w:spacing w:val="18"/>
          <w:sz w:val="21"/>
        </w:rPr>
        <w:t>闭式系统</w:t>
      </w:r>
      <w:r>
        <w:rPr>
          <w:spacing w:val="18"/>
          <w:sz w:val="21"/>
        </w:rPr>
        <w:t xml:space="preserve"> </w:t>
      </w:r>
      <w:r>
        <w:rPr>
          <w:sz w:val="21"/>
        </w:rPr>
        <w:t>close-type sprinkler</w:t>
      </w:r>
      <w:r>
        <w:rPr>
          <w:spacing w:val="1"/>
          <w:sz w:val="21"/>
        </w:rPr>
        <w:t xml:space="preserve"> </w:t>
      </w:r>
      <w:r>
        <w:rPr>
          <w:sz w:val="21"/>
        </w:rPr>
        <w:t xml:space="preserve">system </w:t>
      </w:r>
    </w:p>
    <w:p w14:paraId="66A5A222" w14:textId="77777777" w:rsidR="00A71EEF" w:rsidRDefault="00A71EEF">
      <w:pPr>
        <w:pStyle w:val="a3"/>
        <w:spacing w:before="12"/>
        <w:rPr>
          <w:sz w:val="17"/>
        </w:rPr>
      </w:pPr>
    </w:p>
    <w:p w14:paraId="7B49CD9C" w14:textId="77777777" w:rsidR="00A71EEF" w:rsidRDefault="0081115D">
      <w:pPr>
        <w:pStyle w:val="a3"/>
        <w:ind w:left="838"/>
      </w:pPr>
      <w:r>
        <w:t>采用闭式洒水喷头的自动喷水灭火系统。</w:t>
      </w:r>
      <w:r>
        <w:t xml:space="preserve"> </w:t>
      </w:r>
    </w:p>
    <w:p w14:paraId="5961E304" w14:textId="77777777" w:rsidR="00A71EEF" w:rsidRDefault="00A71EEF">
      <w:pPr>
        <w:pStyle w:val="a3"/>
        <w:spacing w:before="12"/>
        <w:rPr>
          <w:sz w:val="17"/>
        </w:rPr>
      </w:pPr>
    </w:p>
    <w:p w14:paraId="1B4EE859" w14:textId="77777777" w:rsidR="00A71EEF" w:rsidRDefault="0081115D">
      <w:pPr>
        <w:pStyle w:val="a4"/>
        <w:numPr>
          <w:ilvl w:val="2"/>
          <w:numId w:val="84"/>
        </w:numPr>
        <w:tabs>
          <w:tab w:val="left" w:pos="1370"/>
        </w:tabs>
        <w:ind w:left="1369" w:hanging="530"/>
        <w:rPr>
          <w:sz w:val="21"/>
        </w:rPr>
      </w:pPr>
      <w:r>
        <w:rPr>
          <w:spacing w:val="18"/>
          <w:sz w:val="21"/>
        </w:rPr>
        <w:t>开式系统</w:t>
      </w:r>
      <w:r>
        <w:rPr>
          <w:spacing w:val="18"/>
          <w:sz w:val="21"/>
        </w:rPr>
        <w:t xml:space="preserve"> </w:t>
      </w:r>
      <w:r>
        <w:rPr>
          <w:sz w:val="21"/>
        </w:rPr>
        <w:t>open-type sprinkler</w:t>
      </w:r>
      <w:r>
        <w:rPr>
          <w:spacing w:val="-2"/>
          <w:sz w:val="21"/>
        </w:rPr>
        <w:t xml:space="preserve"> </w:t>
      </w:r>
      <w:r>
        <w:rPr>
          <w:sz w:val="21"/>
        </w:rPr>
        <w:t xml:space="preserve">system </w:t>
      </w:r>
    </w:p>
    <w:p w14:paraId="3D345448" w14:textId="77777777" w:rsidR="00A71EEF" w:rsidRDefault="00A71EEF">
      <w:pPr>
        <w:pStyle w:val="a3"/>
        <w:spacing w:before="2"/>
        <w:rPr>
          <w:sz w:val="18"/>
        </w:rPr>
      </w:pPr>
    </w:p>
    <w:p w14:paraId="1B921F9B" w14:textId="77777777" w:rsidR="00A71EEF" w:rsidRDefault="0081115D">
      <w:pPr>
        <w:pStyle w:val="a3"/>
        <w:spacing w:line="446" w:lineRule="auto"/>
        <w:ind w:left="840" w:right="5283" w:hanging="3"/>
      </w:pPr>
      <w:r>
        <w:rPr>
          <w:spacing w:val="-3"/>
        </w:rPr>
        <w:t>采用开式洒水喷头的自动喷水灭火系统。</w:t>
      </w:r>
      <w:r>
        <w:rPr>
          <w:spacing w:val="-3"/>
        </w:rPr>
        <w:t xml:space="preserve">   </w:t>
      </w:r>
      <w:r>
        <w:rPr>
          <w:b/>
        </w:rPr>
        <w:t>2.1.4</w:t>
      </w:r>
      <w:r>
        <w:rPr>
          <w:b/>
          <w:spacing w:val="-1"/>
        </w:rPr>
        <w:t xml:space="preserve"> </w:t>
      </w:r>
      <w:r>
        <w:rPr>
          <w:spacing w:val="14"/>
        </w:rPr>
        <w:t>湿式系统</w:t>
      </w:r>
      <w:r>
        <w:rPr>
          <w:spacing w:val="14"/>
        </w:rPr>
        <w:t xml:space="preserve">  </w:t>
      </w:r>
      <w:r>
        <w:t>wet</w:t>
      </w:r>
      <w:r>
        <w:rPr>
          <w:spacing w:val="-2"/>
        </w:rPr>
        <w:t xml:space="preserve"> </w:t>
      </w:r>
      <w:r>
        <w:t>pipe</w:t>
      </w:r>
      <w:r>
        <w:rPr>
          <w:spacing w:val="1"/>
        </w:rPr>
        <w:t xml:space="preserve"> </w:t>
      </w:r>
      <w:r>
        <w:t xml:space="preserve">sprinkler system </w:t>
      </w:r>
    </w:p>
    <w:p w14:paraId="4FD341CB" w14:textId="77777777" w:rsidR="00A71EEF" w:rsidRDefault="0081115D">
      <w:pPr>
        <w:pStyle w:val="a3"/>
        <w:spacing w:line="448" w:lineRule="auto"/>
        <w:ind w:left="840" w:right="3606" w:hanging="3"/>
      </w:pPr>
      <w:r>
        <w:rPr>
          <w:spacing w:val="-3"/>
        </w:rPr>
        <w:t>准工作状态时配水管道内充满用于启动系统的有压水的闭式系统。</w:t>
      </w:r>
      <w:r>
        <w:rPr>
          <w:b/>
        </w:rPr>
        <w:t>2.1.5</w:t>
      </w:r>
      <w:r>
        <w:rPr>
          <w:b/>
          <w:spacing w:val="1"/>
        </w:rPr>
        <w:t xml:space="preserve"> </w:t>
      </w:r>
      <w:r>
        <w:rPr>
          <w:spacing w:val="18"/>
        </w:rPr>
        <w:t>干式系统</w:t>
      </w:r>
      <w:r>
        <w:rPr>
          <w:spacing w:val="18"/>
        </w:rPr>
        <w:t xml:space="preserve"> </w:t>
      </w:r>
      <w:r>
        <w:t>dry</w:t>
      </w:r>
      <w:r>
        <w:rPr>
          <w:spacing w:val="-2"/>
        </w:rPr>
        <w:t xml:space="preserve"> </w:t>
      </w:r>
      <w:r>
        <w:t>pipe sprinkler</w:t>
      </w:r>
      <w:r>
        <w:rPr>
          <w:spacing w:val="1"/>
        </w:rPr>
        <w:t xml:space="preserve"> </w:t>
      </w:r>
      <w:r>
        <w:t xml:space="preserve">system </w:t>
      </w:r>
    </w:p>
    <w:p w14:paraId="768FE355" w14:textId="77777777" w:rsidR="00A71EEF" w:rsidRDefault="0081115D">
      <w:pPr>
        <w:pStyle w:val="a3"/>
        <w:spacing w:line="264" w:lineRule="exact"/>
        <w:ind w:left="838"/>
      </w:pPr>
      <w:r>
        <w:t>准工作状态时配水管道内充满用于启动系统的有压气体的闭式系统。</w:t>
      </w:r>
      <w:r>
        <w:t xml:space="preserve"> </w:t>
      </w:r>
    </w:p>
    <w:p w14:paraId="091124E0" w14:textId="77777777" w:rsidR="00A71EEF" w:rsidRDefault="00A71EEF">
      <w:pPr>
        <w:spacing w:line="264" w:lineRule="exact"/>
        <w:sectPr w:rsidR="00A71EEF">
          <w:pgSz w:w="11910" w:h="16850"/>
          <w:pgMar w:top="1140" w:right="0" w:bottom="1420" w:left="1260" w:header="0" w:footer="1239" w:gutter="0"/>
          <w:cols w:space="720"/>
        </w:sectPr>
      </w:pPr>
    </w:p>
    <w:p w14:paraId="71C0558D" w14:textId="77777777" w:rsidR="00A71EEF" w:rsidRDefault="0081115D">
      <w:pPr>
        <w:pStyle w:val="a4"/>
        <w:numPr>
          <w:ilvl w:val="2"/>
          <w:numId w:val="83"/>
        </w:numPr>
        <w:tabs>
          <w:tab w:val="left" w:pos="1371"/>
        </w:tabs>
        <w:spacing w:before="47"/>
        <w:rPr>
          <w:sz w:val="21"/>
        </w:rPr>
      </w:pPr>
      <w:r>
        <w:rPr>
          <w:spacing w:val="14"/>
          <w:sz w:val="21"/>
        </w:rPr>
        <w:t>预作用系统</w:t>
      </w:r>
      <w:r>
        <w:rPr>
          <w:spacing w:val="14"/>
          <w:sz w:val="21"/>
        </w:rPr>
        <w:t xml:space="preserve"> </w:t>
      </w:r>
      <w:r>
        <w:rPr>
          <w:sz w:val="21"/>
        </w:rPr>
        <w:t>preaction</w:t>
      </w:r>
      <w:r>
        <w:rPr>
          <w:spacing w:val="-3"/>
          <w:sz w:val="21"/>
        </w:rPr>
        <w:t xml:space="preserve"> </w:t>
      </w:r>
      <w:r>
        <w:rPr>
          <w:sz w:val="21"/>
        </w:rPr>
        <w:t>sprinkler</w:t>
      </w:r>
      <w:r>
        <w:rPr>
          <w:spacing w:val="1"/>
          <w:sz w:val="21"/>
        </w:rPr>
        <w:t xml:space="preserve"> </w:t>
      </w:r>
      <w:r>
        <w:rPr>
          <w:sz w:val="21"/>
        </w:rPr>
        <w:t xml:space="preserve">system </w:t>
      </w:r>
    </w:p>
    <w:p w14:paraId="7A9EFA8E" w14:textId="77777777" w:rsidR="00A71EEF" w:rsidRDefault="00A71EEF">
      <w:pPr>
        <w:pStyle w:val="a3"/>
        <w:rPr>
          <w:sz w:val="18"/>
        </w:rPr>
      </w:pPr>
    </w:p>
    <w:p w14:paraId="3FFF0F00" w14:textId="77777777" w:rsidR="00A71EEF" w:rsidRDefault="0081115D">
      <w:pPr>
        <w:pStyle w:val="a3"/>
        <w:spacing w:line="446" w:lineRule="auto"/>
        <w:ind w:left="418" w:right="1609" w:firstLine="419"/>
      </w:pPr>
      <w:r>
        <w:t>准工作状态时配水管道内不充水，发生火灾时由火灾自动报警系统、充气管道上的压力开关联锁控制预作用装置和启动消防水泵，向配水管道供水的闭式系统。</w:t>
      </w:r>
      <w:r>
        <w:t xml:space="preserve"> </w:t>
      </w:r>
    </w:p>
    <w:p w14:paraId="36EF3EC1" w14:textId="77777777" w:rsidR="00A71EEF" w:rsidRDefault="0081115D">
      <w:pPr>
        <w:pStyle w:val="a4"/>
        <w:numPr>
          <w:ilvl w:val="2"/>
          <w:numId w:val="83"/>
        </w:numPr>
        <w:tabs>
          <w:tab w:val="left" w:pos="1424"/>
        </w:tabs>
        <w:ind w:left="1423" w:hanging="584"/>
        <w:rPr>
          <w:sz w:val="21"/>
        </w:rPr>
      </w:pPr>
      <w:r>
        <w:rPr>
          <w:spacing w:val="-3"/>
          <w:sz w:val="21"/>
        </w:rPr>
        <w:t>重复启闭预作用系统</w:t>
      </w:r>
      <w:r>
        <w:rPr>
          <w:spacing w:val="-3"/>
          <w:sz w:val="21"/>
        </w:rPr>
        <w:t xml:space="preserve"> </w:t>
      </w:r>
      <w:r>
        <w:rPr>
          <w:sz w:val="21"/>
        </w:rPr>
        <w:t>recycling preaction</w:t>
      </w:r>
      <w:r>
        <w:rPr>
          <w:spacing w:val="1"/>
          <w:sz w:val="21"/>
        </w:rPr>
        <w:t xml:space="preserve"> </w:t>
      </w:r>
      <w:r>
        <w:rPr>
          <w:sz w:val="21"/>
        </w:rPr>
        <w:t>sprinkler</w:t>
      </w:r>
      <w:r>
        <w:rPr>
          <w:spacing w:val="1"/>
          <w:sz w:val="21"/>
        </w:rPr>
        <w:t xml:space="preserve"> </w:t>
      </w:r>
      <w:r>
        <w:rPr>
          <w:sz w:val="21"/>
        </w:rPr>
        <w:t xml:space="preserve">system </w:t>
      </w:r>
    </w:p>
    <w:p w14:paraId="13473E18" w14:textId="77777777" w:rsidR="00A71EEF" w:rsidRDefault="00A71EEF">
      <w:pPr>
        <w:pStyle w:val="a3"/>
        <w:spacing w:before="12"/>
        <w:rPr>
          <w:sz w:val="17"/>
        </w:rPr>
      </w:pPr>
    </w:p>
    <w:p w14:paraId="2F25D93D" w14:textId="77777777" w:rsidR="00A71EEF" w:rsidRDefault="0081115D">
      <w:pPr>
        <w:pStyle w:val="a3"/>
        <w:spacing w:line="446" w:lineRule="auto"/>
        <w:ind w:left="840" w:right="3817" w:hanging="3"/>
      </w:pPr>
      <w:r>
        <w:t>能在扑灭火灾后自动关阀、复燃时再次开阀喷水的预作用系统。</w:t>
      </w:r>
      <w:r>
        <w:rPr>
          <w:b/>
        </w:rPr>
        <w:t xml:space="preserve">2.1.8 </w:t>
      </w:r>
      <w:r>
        <w:t>雨淋系统</w:t>
      </w:r>
      <w:r>
        <w:t xml:space="preserve"> deluge sprinkler system </w:t>
      </w:r>
    </w:p>
    <w:p w14:paraId="5A0BCDAE" w14:textId="77777777" w:rsidR="00A71EEF" w:rsidRDefault="0081115D">
      <w:pPr>
        <w:pStyle w:val="a3"/>
        <w:spacing w:line="446" w:lineRule="auto"/>
        <w:ind w:left="418" w:right="1609" w:firstLine="419"/>
      </w:pPr>
      <w:r>
        <w:t>由开式洒水喷头、雨淋报警阀组等组成，发生火灾时由火灾自动报警系统或传动管控制，</w:t>
      </w:r>
      <w:r>
        <w:t xml:space="preserve"> </w:t>
      </w:r>
      <w:r>
        <w:t>自动开启雨淋报警阀组和启动消防水泵，用于灭火的开式系统。</w:t>
      </w:r>
      <w:r>
        <w:t xml:space="preserve"> </w:t>
      </w:r>
    </w:p>
    <w:p w14:paraId="11DE61DB" w14:textId="77777777" w:rsidR="00A71EEF" w:rsidRDefault="0081115D">
      <w:pPr>
        <w:pStyle w:val="a4"/>
        <w:numPr>
          <w:ilvl w:val="2"/>
          <w:numId w:val="82"/>
        </w:numPr>
        <w:tabs>
          <w:tab w:val="left" w:pos="1371"/>
        </w:tabs>
        <w:spacing w:line="267" w:lineRule="exact"/>
        <w:rPr>
          <w:sz w:val="21"/>
        </w:rPr>
      </w:pPr>
      <w:r>
        <w:rPr>
          <w:spacing w:val="18"/>
          <w:sz w:val="21"/>
        </w:rPr>
        <w:t>水</w:t>
      </w:r>
      <w:r>
        <w:rPr>
          <w:spacing w:val="18"/>
          <w:sz w:val="21"/>
        </w:rPr>
        <w:t>幕系统</w:t>
      </w:r>
      <w:r>
        <w:rPr>
          <w:spacing w:val="18"/>
          <w:sz w:val="21"/>
        </w:rPr>
        <w:t xml:space="preserve"> </w:t>
      </w:r>
      <w:r>
        <w:rPr>
          <w:sz w:val="21"/>
        </w:rPr>
        <w:t>drencher sprinkler</w:t>
      </w:r>
      <w:r>
        <w:rPr>
          <w:spacing w:val="1"/>
          <w:sz w:val="21"/>
        </w:rPr>
        <w:t xml:space="preserve"> </w:t>
      </w:r>
      <w:r>
        <w:rPr>
          <w:sz w:val="21"/>
        </w:rPr>
        <w:t xml:space="preserve">system </w:t>
      </w:r>
    </w:p>
    <w:p w14:paraId="1B5CD9A4" w14:textId="77777777" w:rsidR="00A71EEF" w:rsidRDefault="00A71EEF">
      <w:pPr>
        <w:pStyle w:val="a3"/>
        <w:spacing w:before="2"/>
        <w:rPr>
          <w:sz w:val="18"/>
        </w:rPr>
      </w:pPr>
    </w:p>
    <w:p w14:paraId="54161C34" w14:textId="77777777" w:rsidR="00A71EEF" w:rsidRDefault="0081115D">
      <w:pPr>
        <w:pStyle w:val="a3"/>
        <w:spacing w:line="446" w:lineRule="auto"/>
        <w:ind w:left="418" w:right="1609" w:firstLine="419"/>
      </w:pPr>
      <w:r>
        <w:t>由开式洒水喷头或水幕喷头、雨淋报警阀组或感温雨淋报警阀等组成，用于防火分隔或防护冷却的开式系统。</w:t>
      </w:r>
      <w:r>
        <w:t xml:space="preserve"> </w:t>
      </w:r>
    </w:p>
    <w:p w14:paraId="6F44D67F" w14:textId="77777777" w:rsidR="00A71EEF" w:rsidRDefault="0081115D">
      <w:pPr>
        <w:pStyle w:val="a4"/>
        <w:numPr>
          <w:ilvl w:val="2"/>
          <w:numId w:val="82"/>
        </w:numPr>
        <w:tabs>
          <w:tab w:val="left" w:pos="1478"/>
        </w:tabs>
        <w:spacing w:line="267" w:lineRule="exact"/>
        <w:ind w:left="1477" w:hanging="638"/>
        <w:rPr>
          <w:sz w:val="21"/>
        </w:rPr>
      </w:pPr>
      <w:r>
        <w:rPr>
          <w:spacing w:val="-3"/>
          <w:sz w:val="21"/>
        </w:rPr>
        <w:t>防火分隔水幕</w:t>
      </w:r>
      <w:r>
        <w:rPr>
          <w:spacing w:val="-3"/>
          <w:sz w:val="21"/>
        </w:rPr>
        <w:t xml:space="preserve"> </w:t>
      </w:r>
      <w:r>
        <w:rPr>
          <w:sz w:val="21"/>
        </w:rPr>
        <w:t>fire</w:t>
      </w:r>
      <w:r>
        <w:rPr>
          <w:spacing w:val="1"/>
          <w:sz w:val="21"/>
        </w:rPr>
        <w:t xml:space="preserve"> </w:t>
      </w:r>
      <w:r>
        <w:rPr>
          <w:sz w:val="21"/>
        </w:rPr>
        <w:t>compartment drencher</w:t>
      </w:r>
      <w:r>
        <w:rPr>
          <w:spacing w:val="1"/>
          <w:sz w:val="21"/>
        </w:rPr>
        <w:t xml:space="preserve"> </w:t>
      </w:r>
      <w:r>
        <w:rPr>
          <w:sz w:val="21"/>
        </w:rPr>
        <w:t xml:space="preserve">sprinkler system </w:t>
      </w:r>
    </w:p>
    <w:p w14:paraId="3EE5BDA6" w14:textId="77777777" w:rsidR="00A71EEF" w:rsidRDefault="00A71EEF">
      <w:pPr>
        <w:pStyle w:val="a3"/>
        <w:spacing w:before="2"/>
        <w:rPr>
          <w:sz w:val="18"/>
        </w:rPr>
      </w:pPr>
    </w:p>
    <w:p w14:paraId="0EA9585B" w14:textId="77777777" w:rsidR="00A71EEF" w:rsidRDefault="0081115D">
      <w:pPr>
        <w:pStyle w:val="a3"/>
        <w:spacing w:line="446" w:lineRule="auto"/>
        <w:ind w:left="418" w:right="1609" w:firstLine="419"/>
      </w:pPr>
      <w:r>
        <w:t>由开式洒水喷头或水幕喷头、雨淋报警阀组或感温雨淋报警阀等组成，发生火灾时密集喷洒形成水墙或水帘的水幕系统。</w:t>
      </w:r>
      <w:r>
        <w:t xml:space="preserve"> </w:t>
      </w:r>
    </w:p>
    <w:p w14:paraId="11AF66BD" w14:textId="77777777" w:rsidR="00A71EEF" w:rsidRDefault="0081115D">
      <w:pPr>
        <w:pStyle w:val="a4"/>
        <w:numPr>
          <w:ilvl w:val="2"/>
          <w:numId w:val="82"/>
        </w:numPr>
        <w:tabs>
          <w:tab w:val="left" w:pos="1478"/>
        </w:tabs>
        <w:spacing w:line="267" w:lineRule="exact"/>
        <w:ind w:left="1477" w:hanging="638"/>
        <w:rPr>
          <w:sz w:val="21"/>
        </w:rPr>
      </w:pPr>
      <w:r>
        <w:rPr>
          <w:spacing w:val="12"/>
          <w:sz w:val="21"/>
        </w:rPr>
        <w:t>防护冷却水幕</w:t>
      </w:r>
      <w:r>
        <w:rPr>
          <w:spacing w:val="12"/>
          <w:sz w:val="21"/>
        </w:rPr>
        <w:t xml:space="preserve"> </w:t>
      </w:r>
      <w:r>
        <w:rPr>
          <w:sz w:val="21"/>
        </w:rPr>
        <w:t>cooling protection</w:t>
      </w:r>
      <w:r>
        <w:rPr>
          <w:spacing w:val="-2"/>
          <w:sz w:val="21"/>
        </w:rPr>
        <w:t xml:space="preserve"> </w:t>
      </w:r>
      <w:r>
        <w:rPr>
          <w:sz w:val="21"/>
        </w:rPr>
        <w:t>drencher</w:t>
      </w:r>
      <w:r>
        <w:rPr>
          <w:spacing w:val="1"/>
          <w:sz w:val="21"/>
        </w:rPr>
        <w:t xml:space="preserve"> </w:t>
      </w:r>
      <w:r>
        <w:rPr>
          <w:sz w:val="21"/>
        </w:rPr>
        <w:t>sprinkler</w:t>
      </w:r>
      <w:r>
        <w:rPr>
          <w:spacing w:val="-3"/>
          <w:sz w:val="21"/>
        </w:rPr>
        <w:t xml:space="preserve"> </w:t>
      </w:r>
      <w:r>
        <w:rPr>
          <w:sz w:val="21"/>
        </w:rPr>
        <w:t xml:space="preserve">system </w:t>
      </w:r>
    </w:p>
    <w:p w14:paraId="110525AC" w14:textId="77777777" w:rsidR="00A71EEF" w:rsidRDefault="00A71EEF">
      <w:pPr>
        <w:pStyle w:val="a3"/>
        <w:spacing w:before="2"/>
        <w:rPr>
          <w:sz w:val="18"/>
        </w:rPr>
      </w:pPr>
    </w:p>
    <w:p w14:paraId="0D82F621" w14:textId="77777777" w:rsidR="00A71EEF" w:rsidRDefault="0081115D">
      <w:pPr>
        <w:pStyle w:val="a3"/>
        <w:spacing w:line="446" w:lineRule="auto"/>
        <w:ind w:left="418" w:right="1609" w:firstLine="419"/>
      </w:pPr>
      <w:r>
        <w:t>由水幕喷头、雨淋报警阀组或</w:t>
      </w:r>
      <w:r>
        <w:t>感温雨淋报警阀等组成，发生火灾时用于冷却防火卷帘、防火玻璃墙等防火分隔设施的水幕系统。</w:t>
      </w:r>
      <w:r>
        <w:t xml:space="preserve"> </w:t>
      </w:r>
    </w:p>
    <w:p w14:paraId="7428FDC4" w14:textId="77777777" w:rsidR="00A71EEF" w:rsidRDefault="0081115D">
      <w:pPr>
        <w:pStyle w:val="a4"/>
        <w:numPr>
          <w:ilvl w:val="2"/>
          <w:numId w:val="82"/>
        </w:numPr>
        <w:tabs>
          <w:tab w:val="left" w:pos="1478"/>
        </w:tabs>
        <w:spacing w:line="267" w:lineRule="exact"/>
        <w:ind w:left="1477" w:hanging="638"/>
        <w:rPr>
          <w:sz w:val="21"/>
        </w:rPr>
      </w:pPr>
      <w:r>
        <w:rPr>
          <w:spacing w:val="-3"/>
          <w:sz w:val="21"/>
        </w:rPr>
        <w:t>防护冷却系统</w:t>
      </w:r>
      <w:r>
        <w:rPr>
          <w:spacing w:val="-3"/>
          <w:sz w:val="21"/>
        </w:rPr>
        <w:t xml:space="preserve"> </w:t>
      </w:r>
      <w:r>
        <w:rPr>
          <w:sz w:val="21"/>
        </w:rPr>
        <w:t>cooling protection</w:t>
      </w:r>
      <w:r>
        <w:rPr>
          <w:spacing w:val="-2"/>
          <w:sz w:val="21"/>
        </w:rPr>
        <w:t xml:space="preserve"> </w:t>
      </w:r>
      <w:r>
        <w:rPr>
          <w:sz w:val="21"/>
        </w:rPr>
        <w:t xml:space="preserve">sprinkler system </w:t>
      </w:r>
    </w:p>
    <w:p w14:paraId="639C47BB" w14:textId="77777777" w:rsidR="00A71EEF" w:rsidRDefault="00A71EEF">
      <w:pPr>
        <w:pStyle w:val="a3"/>
        <w:spacing w:before="2"/>
        <w:rPr>
          <w:sz w:val="18"/>
        </w:rPr>
      </w:pPr>
    </w:p>
    <w:p w14:paraId="7D78B0C3" w14:textId="77777777" w:rsidR="00A71EEF" w:rsidRDefault="0081115D">
      <w:pPr>
        <w:pStyle w:val="a3"/>
        <w:spacing w:line="446" w:lineRule="auto"/>
        <w:ind w:left="418" w:right="1609" w:firstLine="419"/>
      </w:pPr>
      <w:r>
        <w:t>由闭式洒水喷头、湿式报警阀组等组成，发生火灾时用于冷却防火卷帘、防火玻璃墙等防火分隔设施的闭式系统。</w:t>
      </w:r>
      <w:r>
        <w:t xml:space="preserve"> </w:t>
      </w:r>
    </w:p>
    <w:p w14:paraId="1A223542" w14:textId="77777777" w:rsidR="00A71EEF" w:rsidRDefault="0081115D">
      <w:pPr>
        <w:pStyle w:val="a4"/>
        <w:numPr>
          <w:ilvl w:val="2"/>
          <w:numId w:val="82"/>
        </w:numPr>
        <w:tabs>
          <w:tab w:val="left" w:pos="1478"/>
        </w:tabs>
        <w:spacing w:line="267" w:lineRule="exact"/>
        <w:ind w:left="1477" w:hanging="638"/>
        <w:rPr>
          <w:sz w:val="21"/>
        </w:rPr>
      </w:pPr>
      <w:r>
        <w:rPr>
          <w:spacing w:val="-1"/>
          <w:sz w:val="21"/>
        </w:rPr>
        <w:t>作用面积</w:t>
      </w:r>
      <w:r>
        <w:rPr>
          <w:spacing w:val="-1"/>
          <w:sz w:val="21"/>
        </w:rPr>
        <w:t xml:space="preserve"> </w:t>
      </w:r>
      <w:r>
        <w:rPr>
          <w:sz w:val="21"/>
        </w:rPr>
        <w:t>operation area</w:t>
      </w:r>
      <w:r>
        <w:rPr>
          <w:spacing w:val="-2"/>
          <w:sz w:val="21"/>
        </w:rPr>
        <w:t xml:space="preserve"> </w:t>
      </w:r>
      <w:r>
        <w:rPr>
          <w:sz w:val="21"/>
        </w:rPr>
        <w:t>of</w:t>
      </w:r>
      <w:r>
        <w:rPr>
          <w:spacing w:val="1"/>
          <w:sz w:val="21"/>
        </w:rPr>
        <w:t xml:space="preserve"> </w:t>
      </w:r>
      <w:r>
        <w:rPr>
          <w:sz w:val="21"/>
        </w:rPr>
        <w:t>sprinkler</w:t>
      </w:r>
      <w:r>
        <w:rPr>
          <w:spacing w:val="-3"/>
          <w:sz w:val="21"/>
        </w:rPr>
        <w:t xml:space="preserve"> </w:t>
      </w:r>
      <w:r>
        <w:rPr>
          <w:sz w:val="21"/>
        </w:rPr>
        <w:t xml:space="preserve">system </w:t>
      </w:r>
    </w:p>
    <w:p w14:paraId="2D61E7BD" w14:textId="77777777" w:rsidR="00A71EEF" w:rsidRDefault="00A71EEF">
      <w:pPr>
        <w:pStyle w:val="a3"/>
        <w:spacing w:before="2"/>
        <w:rPr>
          <w:sz w:val="18"/>
        </w:rPr>
      </w:pPr>
    </w:p>
    <w:p w14:paraId="2004116F" w14:textId="77777777" w:rsidR="00A71EEF" w:rsidRDefault="0081115D">
      <w:pPr>
        <w:pStyle w:val="a3"/>
        <w:ind w:left="838"/>
      </w:pPr>
      <w:r>
        <w:t xml:space="preserve"> </w:t>
      </w:r>
      <w:r>
        <w:t>一次火灾中系统按喷水强度保护的最大面积。</w:t>
      </w:r>
      <w:r>
        <w:t xml:space="preserve"> </w:t>
      </w:r>
    </w:p>
    <w:p w14:paraId="571D85A5" w14:textId="77777777" w:rsidR="00A71EEF" w:rsidRDefault="00A71EEF">
      <w:pPr>
        <w:pStyle w:val="a3"/>
        <w:spacing w:before="12"/>
        <w:rPr>
          <w:sz w:val="17"/>
        </w:rPr>
      </w:pPr>
    </w:p>
    <w:p w14:paraId="229CFF3B" w14:textId="77777777" w:rsidR="00A71EEF" w:rsidRDefault="0081115D">
      <w:pPr>
        <w:pStyle w:val="a4"/>
        <w:numPr>
          <w:ilvl w:val="2"/>
          <w:numId w:val="82"/>
        </w:numPr>
        <w:tabs>
          <w:tab w:val="left" w:pos="1478"/>
        </w:tabs>
        <w:ind w:left="1477" w:hanging="638"/>
        <w:rPr>
          <w:sz w:val="21"/>
        </w:rPr>
      </w:pPr>
      <w:r>
        <w:rPr>
          <w:spacing w:val="12"/>
          <w:sz w:val="21"/>
        </w:rPr>
        <w:t>响应时间指数</w:t>
      </w:r>
      <w:r>
        <w:rPr>
          <w:spacing w:val="12"/>
          <w:sz w:val="21"/>
        </w:rPr>
        <w:t xml:space="preserve"> </w:t>
      </w:r>
      <w:r>
        <w:rPr>
          <w:sz w:val="21"/>
        </w:rPr>
        <w:t>response time</w:t>
      </w:r>
      <w:r>
        <w:rPr>
          <w:spacing w:val="1"/>
          <w:sz w:val="21"/>
        </w:rPr>
        <w:t xml:space="preserve"> </w:t>
      </w:r>
      <w:r>
        <w:rPr>
          <w:sz w:val="21"/>
        </w:rPr>
        <w:t>index</w:t>
      </w:r>
      <w:r>
        <w:rPr>
          <w:sz w:val="21"/>
        </w:rPr>
        <w:t>（</w:t>
      </w:r>
      <w:r>
        <w:rPr>
          <w:sz w:val="21"/>
        </w:rPr>
        <w:t>RTI</w:t>
      </w:r>
      <w:r>
        <w:rPr>
          <w:sz w:val="21"/>
        </w:rPr>
        <w:t>）</w:t>
      </w:r>
      <w:r>
        <w:rPr>
          <w:sz w:val="21"/>
        </w:rPr>
        <w:t xml:space="preserve"> </w:t>
      </w:r>
    </w:p>
    <w:p w14:paraId="7BF850AC" w14:textId="77777777" w:rsidR="00A71EEF" w:rsidRDefault="00A71EEF">
      <w:pPr>
        <w:pStyle w:val="a3"/>
        <w:rPr>
          <w:sz w:val="18"/>
        </w:rPr>
      </w:pPr>
    </w:p>
    <w:p w14:paraId="003BD950" w14:textId="77777777" w:rsidR="00A71EEF" w:rsidRDefault="0081115D">
      <w:pPr>
        <w:pStyle w:val="a3"/>
        <w:ind w:left="838"/>
      </w:pPr>
      <w:r>
        <w:t>闭式洒水喷头的热敏性能指标。</w:t>
      </w:r>
      <w:r>
        <w:t xml:space="preserve"> </w:t>
      </w:r>
    </w:p>
    <w:p w14:paraId="130C8B3C" w14:textId="77777777" w:rsidR="00A71EEF" w:rsidRDefault="00A71EEF">
      <w:pPr>
        <w:pStyle w:val="a3"/>
        <w:spacing w:before="1"/>
        <w:rPr>
          <w:sz w:val="18"/>
        </w:rPr>
      </w:pPr>
    </w:p>
    <w:p w14:paraId="634646FA" w14:textId="77777777" w:rsidR="00A71EEF" w:rsidRDefault="0081115D">
      <w:pPr>
        <w:pStyle w:val="a4"/>
        <w:numPr>
          <w:ilvl w:val="2"/>
          <w:numId w:val="82"/>
        </w:numPr>
        <w:tabs>
          <w:tab w:val="left" w:pos="1478"/>
        </w:tabs>
        <w:spacing w:before="1"/>
        <w:ind w:left="1477" w:hanging="638"/>
        <w:rPr>
          <w:sz w:val="21"/>
        </w:rPr>
      </w:pPr>
      <w:r>
        <w:rPr>
          <w:spacing w:val="-2"/>
          <w:sz w:val="21"/>
        </w:rPr>
        <w:t>快速响应洒水喷头</w:t>
      </w:r>
      <w:r>
        <w:rPr>
          <w:spacing w:val="-2"/>
          <w:sz w:val="21"/>
        </w:rPr>
        <w:t xml:space="preserve"> </w:t>
      </w:r>
      <w:r>
        <w:rPr>
          <w:sz w:val="21"/>
        </w:rPr>
        <w:t>fast response</w:t>
      </w:r>
      <w:r>
        <w:rPr>
          <w:spacing w:val="1"/>
          <w:sz w:val="21"/>
        </w:rPr>
        <w:t xml:space="preserve"> </w:t>
      </w:r>
      <w:r>
        <w:rPr>
          <w:sz w:val="21"/>
        </w:rPr>
        <w:t xml:space="preserve">sprinkler </w:t>
      </w:r>
    </w:p>
    <w:p w14:paraId="1A1DC649" w14:textId="77777777" w:rsidR="00A71EEF" w:rsidRDefault="00A71EEF">
      <w:pPr>
        <w:pStyle w:val="a3"/>
        <w:spacing w:before="2"/>
        <w:rPr>
          <w:sz w:val="17"/>
        </w:rPr>
      </w:pPr>
    </w:p>
    <w:p w14:paraId="034CA5EE" w14:textId="77777777" w:rsidR="00A71EEF" w:rsidRDefault="0081115D">
      <w:pPr>
        <w:pStyle w:val="a3"/>
        <w:ind w:left="838"/>
      </w:pPr>
      <w:r>
        <w:t>响应时间指数</w:t>
      </w:r>
      <w:r>
        <w:t xml:space="preserve"> RTI≤50(m·s)</w:t>
      </w:r>
      <w:r>
        <w:rPr>
          <w:position w:val="11"/>
          <w:sz w:val="11"/>
        </w:rPr>
        <w:t xml:space="preserve">0.5 </w:t>
      </w:r>
      <w:r>
        <w:t>的闭式洒水喷头。</w:t>
      </w:r>
      <w:r>
        <w:t xml:space="preserve"> </w:t>
      </w:r>
    </w:p>
    <w:p w14:paraId="2E8652E9" w14:textId="77777777" w:rsidR="00A71EEF" w:rsidRDefault="00A71EEF">
      <w:pPr>
        <w:pStyle w:val="a3"/>
        <w:rPr>
          <w:sz w:val="18"/>
        </w:rPr>
      </w:pPr>
    </w:p>
    <w:p w14:paraId="72277801" w14:textId="77777777" w:rsidR="00A71EEF" w:rsidRDefault="0081115D">
      <w:pPr>
        <w:pStyle w:val="a4"/>
        <w:numPr>
          <w:ilvl w:val="2"/>
          <w:numId w:val="82"/>
        </w:numPr>
        <w:tabs>
          <w:tab w:val="left" w:pos="1478"/>
        </w:tabs>
        <w:ind w:left="1477" w:hanging="638"/>
        <w:rPr>
          <w:sz w:val="21"/>
        </w:rPr>
      </w:pPr>
      <w:r>
        <w:rPr>
          <w:spacing w:val="-2"/>
          <w:sz w:val="21"/>
        </w:rPr>
        <w:t>特殊响应洒水喷头</w:t>
      </w:r>
      <w:r>
        <w:rPr>
          <w:spacing w:val="-2"/>
          <w:sz w:val="21"/>
        </w:rPr>
        <w:t xml:space="preserve"> </w:t>
      </w:r>
      <w:r>
        <w:rPr>
          <w:sz w:val="21"/>
        </w:rPr>
        <w:t>special</w:t>
      </w:r>
      <w:r>
        <w:rPr>
          <w:spacing w:val="1"/>
          <w:sz w:val="21"/>
        </w:rPr>
        <w:t xml:space="preserve"> </w:t>
      </w:r>
      <w:r>
        <w:rPr>
          <w:sz w:val="21"/>
        </w:rPr>
        <w:t xml:space="preserve">response sprinkler </w:t>
      </w:r>
    </w:p>
    <w:p w14:paraId="6F33BA84" w14:textId="77777777" w:rsidR="00A71EEF" w:rsidRDefault="00A71EEF">
      <w:pPr>
        <w:pStyle w:val="a3"/>
        <w:spacing w:before="4"/>
        <w:rPr>
          <w:sz w:val="17"/>
        </w:rPr>
      </w:pPr>
    </w:p>
    <w:p w14:paraId="2E875968" w14:textId="77777777" w:rsidR="00A71EEF" w:rsidRDefault="0081115D">
      <w:pPr>
        <w:pStyle w:val="a3"/>
        <w:spacing w:before="1"/>
        <w:ind w:left="838"/>
      </w:pPr>
      <w:r>
        <w:t>响应时间指数</w:t>
      </w:r>
      <w:r>
        <w:t xml:space="preserve"> 50&lt;RTI≤80(m·s)</w:t>
      </w:r>
      <w:r>
        <w:rPr>
          <w:position w:val="11"/>
          <w:sz w:val="11"/>
        </w:rPr>
        <w:t xml:space="preserve">0.5 </w:t>
      </w:r>
      <w:r>
        <w:t>的闭式洒水喷头。</w:t>
      </w:r>
      <w:r>
        <w:t xml:space="preserve"> </w:t>
      </w:r>
    </w:p>
    <w:p w14:paraId="197DC393" w14:textId="77777777" w:rsidR="00A71EEF" w:rsidRDefault="00A71EEF">
      <w:pPr>
        <w:sectPr w:rsidR="00A71EEF">
          <w:pgSz w:w="11910" w:h="16850"/>
          <w:pgMar w:top="1220" w:right="0" w:bottom="1420" w:left="1260" w:header="0" w:footer="1239" w:gutter="0"/>
          <w:cols w:space="720"/>
        </w:sectPr>
      </w:pPr>
    </w:p>
    <w:p w14:paraId="08C49B3F" w14:textId="77777777" w:rsidR="00A71EEF" w:rsidRDefault="0081115D">
      <w:pPr>
        <w:pStyle w:val="a4"/>
        <w:numPr>
          <w:ilvl w:val="2"/>
          <w:numId w:val="82"/>
        </w:numPr>
        <w:tabs>
          <w:tab w:val="left" w:pos="1530"/>
        </w:tabs>
        <w:spacing w:before="47"/>
        <w:ind w:left="1529" w:hanging="690"/>
        <w:rPr>
          <w:sz w:val="21"/>
        </w:rPr>
      </w:pPr>
      <w:r>
        <w:rPr>
          <w:spacing w:val="-2"/>
          <w:sz w:val="21"/>
        </w:rPr>
        <w:t>标准响应洒水喷头</w:t>
      </w:r>
      <w:r>
        <w:rPr>
          <w:spacing w:val="-2"/>
          <w:sz w:val="21"/>
        </w:rPr>
        <w:t xml:space="preserve"> </w:t>
      </w:r>
      <w:r>
        <w:rPr>
          <w:sz w:val="21"/>
        </w:rPr>
        <w:t>standard response</w:t>
      </w:r>
      <w:r>
        <w:rPr>
          <w:spacing w:val="1"/>
          <w:sz w:val="21"/>
        </w:rPr>
        <w:t xml:space="preserve"> </w:t>
      </w:r>
      <w:r>
        <w:rPr>
          <w:sz w:val="21"/>
        </w:rPr>
        <w:t xml:space="preserve">sprinkler </w:t>
      </w:r>
    </w:p>
    <w:p w14:paraId="7984863E" w14:textId="77777777" w:rsidR="00A71EEF" w:rsidRDefault="00A71EEF">
      <w:pPr>
        <w:pStyle w:val="a3"/>
        <w:spacing w:before="3"/>
        <w:rPr>
          <w:sz w:val="17"/>
        </w:rPr>
      </w:pPr>
    </w:p>
    <w:p w14:paraId="6C1EE7DD" w14:textId="77777777" w:rsidR="00A71EEF" w:rsidRDefault="0081115D">
      <w:pPr>
        <w:pStyle w:val="a3"/>
        <w:ind w:left="838"/>
      </w:pPr>
      <w:r>
        <w:t>响应时间指数</w:t>
      </w:r>
      <w:r>
        <w:t xml:space="preserve"> 80&lt;RTI≤350(m·s)</w:t>
      </w:r>
      <w:r>
        <w:rPr>
          <w:position w:val="11"/>
          <w:sz w:val="11"/>
        </w:rPr>
        <w:t xml:space="preserve">0.5 </w:t>
      </w:r>
      <w:r>
        <w:t>的闭式洒水喷头。</w:t>
      </w:r>
      <w:r>
        <w:t xml:space="preserve"> </w:t>
      </w:r>
    </w:p>
    <w:p w14:paraId="78B2067D" w14:textId="77777777" w:rsidR="00A71EEF" w:rsidRDefault="00A71EEF">
      <w:pPr>
        <w:pStyle w:val="a3"/>
        <w:spacing w:before="12"/>
        <w:rPr>
          <w:sz w:val="17"/>
        </w:rPr>
      </w:pPr>
    </w:p>
    <w:p w14:paraId="60AFD754" w14:textId="77777777" w:rsidR="00A71EEF" w:rsidRDefault="0081115D">
      <w:pPr>
        <w:pStyle w:val="a4"/>
        <w:numPr>
          <w:ilvl w:val="2"/>
          <w:numId w:val="82"/>
        </w:numPr>
        <w:tabs>
          <w:tab w:val="left" w:pos="1530"/>
        </w:tabs>
        <w:ind w:left="1529" w:hanging="690"/>
        <w:rPr>
          <w:sz w:val="21"/>
        </w:rPr>
      </w:pPr>
      <w:r>
        <w:rPr>
          <w:spacing w:val="-3"/>
          <w:sz w:val="21"/>
        </w:rPr>
        <w:t>一只喷头的保护面积</w:t>
      </w:r>
      <w:r>
        <w:rPr>
          <w:spacing w:val="-3"/>
          <w:sz w:val="21"/>
        </w:rPr>
        <w:t xml:space="preserve"> </w:t>
      </w:r>
      <w:r>
        <w:rPr>
          <w:sz w:val="21"/>
        </w:rPr>
        <w:t>protection</w:t>
      </w:r>
      <w:r>
        <w:rPr>
          <w:spacing w:val="1"/>
          <w:sz w:val="21"/>
        </w:rPr>
        <w:t xml:space="preserve"> </w:t>
      </w:r>
      <w:r>
        <w:rPr>
          <w:sz w:val="21"/>
        </w:rPr>
        <w:t xml:space="preserve">area </w:t>
      </w:r>
      <w:r>
        <w:rPr>
          <w:spacing w:val="-3"/>
          <w:sz w:val="21"/>
        </w:rPr>
        <w:t>of</w:t>
      </w:r>
      <w:r>
        <w:rPr>
          <w:spacing w:val="7"/>
          <w:sz w:val="21"/>
        </w:rPr>
        <w:t xml:space="preserve"> </w:t>
      </w:r>
      <w:r>
        <w:rPr>
          <w:sz w:val="21"/>
        </w:rPr>
        <w:t xml:space="preserve">the sprinkler </w:t>
      </w:r>
    </w:p>
    <w:p w14:paraId="54E49D56" w14:textId="77777777" w:rsidR="00A71EEF" w:rsidRDefault="00A71EEF">
      <w:pPr>
        <w:pStyle w:val="a3"/>
        <w:spacing w:before="2"/>
        <w:rPr>
          <w:sz w:val="18"/>
        </w:rPr>
      </w:pPr>
    </w:p>
    <w:p w14:paraId="6174D4B1" w14:textId="77777777" w:rsidR="00A71EEF" w:rsidRDefault="0081115D">
      <w:pPr>
        <w:pStyle w:val="a3"/>
        <w:ind w:left="838"/>
      </w:pPr>
      <w:r>
        <w:t>同一根配水支管上相邻洒水喷头的距离与相邻配水支管之间距离的乘积。</w:t>
      </w:r>
      <w:r>
        <w:t xml:space="preserve"> </w:t>
      </w:r>
    </w:p>
    <w:p w14:paraId="5A106C15" w14:textId="77777777" w:rsidR="00A71EEF" w:rsidRDefault="00A71EEF">
      <w:pPr>
        <w:pStyle w:val="a3"/>
        <w:rPr>
          <w:sz w:val="18"/>
        </w:rPr>
      </w:pPr>
    </w:p>
    <w:p w14:paraId="430F3D0B" w14:textId="77777777" w:rsidR="00A71EEF" w:rsidRDefault="0081115D">
      <w:pPr>
        <w:pStyle w:val="a4"/>
        <w:numPr>
          <w:ilvl w:val="2"/>
          <w:numId w:val="82"/>
        </w:numPr>
        <w:tabs>
          <w:tab w:val="left" w:pos="1530"/>
        </w:tabs>
        <w:ind w:left="1529" w:hanging="690"/>
        <w:rPr>
          <w:sz w:val="21"/>
        </w:rPr>
      </w:pPr>
      <w:r>
        <w:rPr>
          <w:spacing w:val="6"/>
          <w:sz w:val="21"/>
        </w:rPr>
        <w:t>标准覆盖面积洒水喷头</w:t>
      </w:r>
      <w:r>
        <w:rPr>
          <w:spacing w:val="6"/>
          <w:sz w:val="21"/>
        </w:rPr>
        <w:t xml:space="preserve"> </w:t>
      </w:r>
      <w:r>
        <w:rPr>
          <w:sz w:val="21"/>
        </w:rPr>
        <w:t>standard</w:t>
      </w:r>
      <w:r>
        <w:rPr>
          <w:spacing w:val="1"/>
          <w:sz w:val="21"/>
        </w:rPr>
        <w:t xml:space="preserve"> </w:t>
      </w:r>
      <w:r>
        <w:rPr>
          <w:sz w:val="21"/>
        </w:rPr>
        <w:t xml:space="preserve">coverage sprinkler </w:t>
      </w:r>
    </w:p>
    <w:p w14:paraId="3AA5998D" w14:textId="77777777" w:rsidR="00A71EEF" w:rsidRDefault="00A71EEF">
      <w:pPr>
        <w:pStyle w:val="a3"/>
        <w:spacing w:before="2"/>
        <w:rPr>
          <w:sz w:val="17"/>
        </w:rPr>
      </w:pPr>
    </w:p>
    <w:p w14:paraId="7E0085CB" w14:textId="77777777" w:rsidR="00A71EEF" w:rsidRDefault="0081115D">
      <w:pPr>
        <w:pStyle w:val="a3"/>
        <w:spacing w:line="439" w:lineRule="auto"/>
        <w:ind w:left="418" w:right="1635" w:firstLine="419"/>
      </w:pPr>
      <w:r>
        <w:rPr>
          <w:spacing w:val="-9"/>
        </w:rPr>
        <w:t>流量系数</w:t>
      </w:r>
      <w:r>
        <w:rPr>
          <w:spacing w:val="-9"/>
        </w:rPr>
        <w:t xml:space="preserve"> </w:t>
      </w:r>
      <w:r>
        <w:t>K≥80</w:t>
      </w:r>
      <w:r>
        <w:rPr>
          <w:spacing w:val="-6"/>
        </w:rPr>
        <w:t>，一只喷头的最大保护面积不超过</w:t>
      </w:r>
      <w:r>
        <w:rPr>
          <w:spacing w:val="-6"/>
        </w:rPr>
        <w:t xml:space="preserve"> </w:t>
      </w:r>
      <w:r>
        <w:t>20m</w:t>
      </w:r>
      <w:r>
        <w:rPr>
          <w:position w:val="11"/>
          <w:sz w:val="11"/>
        </w:rPr>
        <w:t xml:space="preserve">2 </w:t>
      </w:r>
      <w:r>
        <w:rPr>
          <w:spacing w:val="-3"/>
        </w:rPr>
        <w:t>的直立型、下垂型洒水喷头及一只</w:t>
      </w:r>
      <w:r>
        <w:rPr>
          <w:spacing w:val="-7"/>
        </w:rPr>
        <w:t>喷头的最大保护面积不超过</w:t>
      </w:r>
      <w:r>
        <w:rPr>
          <w:spacing w:val="-7"/>
        </w:rPr>
        <w:t xml:space="preserve"> </w:t>
      </w:r>
      <w:r>
        <w:t>18m</w:t>
      </w:r>
      <w:r>
        <w:rPr>
          <w:position w:val="11"/>
          <w:sz w:val="11"/>
        </w:rPr>
        <w:t xml:space="preserve">2 </w:t>
      </w:r>
      <w:r>
        <w:rPr>
          <w:spacing w:val="-3"/>
        </w:rPr>
        <w:t>的边墙型洒水喷头。</w:t>
      </w:r>
      <w:r>
        <w:rPr>
          <w:spacing w:val="-3"/>
        </w:rPr>
        <w:t xml:space="preserve"> </w:t>
      </w:r>
    </w:p>
    <w:p w14:paraId="7519B933" w14:textId="77777777" w:rsidR="00A71EEF" w:rsidRDefault="0081115D">
      <w:pPr>
        <w:pStyle w:val="a4"/>
        <w:numPr>
          <w:ilvl w:val="2"/>
          <w:numId w:val="82"/>
        </w:numPr>
        <w:tabs>
          <w:tab w:val="left" w:pos="1478"/>
        </w:tabs>
        <w:spacing w:before="7"/>
        <w:ind w:left="1477" w:hanging="638"/>
        <w:rPr>
          <w:sz w:val="21"/>
        </w:rPr>
      </w:pPr>
      <w:r>
        <w:rPr>
          <w:spacing w:val="6"/>
          <w:sz w:val="21"/>
        </w:rPr>
        <w:t>扩大覆盖面积洒水喷头</w:t>
      </w:r>
      <w:r>
        <w:rPr>
          <w:spacing w:val="6"/>
          <w:sz w:val="21"/>
        </w:rPr>
        <w:t xml:space="preserve"> </w:t>
      </w:r>
      <w:r>
        <w:rPr>
          <w:sz w:val="21"/>
        </w:rPr>
        <w:t>extended</w:t>
      </w:r>
      <w:r>
        <w:rPr>
          <w:spacing w:val="1"/>
          <w:sz w:val="21"/>
        </w:rPr>
        <w:t xml:space="preserve"> </w:t>
      </w:r>
      <w:r>
        <w:rPr>
          <w:sz w:val="21"/>
        </w:rPr>
        <w:t>coverage</w:t>
      </w:r>
      <w:r>
        <w:rPr>
          <w:sz w:val="21"/>
        </w:rPr>
        <w:t>（</w:t>
      </w:r>
      <w:r>
        <w:rPr>
          <w:sz w:val="21"/>
        </w:rPr>
        <w:t>EC</w:t>
      </w:r>
      <w:r>
        <w:rPr>
          <w:sz w:val="21"/>
        </w:rPr>
        <w:t>）</w:t>
      </w:r>
      <w:r>
        <w:rPr>
          <w:sz w:val="21"/>
        </w:rPr>
        <w:t xml:space="preserve"> sprinkler </w:t>
      </w:r>
    </w:p>
    <w:p w14:paraId="76E2CE7D" w14:textId="77777777" w:rsidR="00A71EEF" w:rsidRDefault="00A71EEF">
      <w:pPr>
        <w:pStyle w:val="a3"/>
        <w:spacing w:before="12"/>
        <w:rPr>
          <w:sz w:val="17"/>
        </w:rPr>
      </w:pPr>
    </w:p>
    <w:p w14:paraId="76188014" w14:textId="77777777" w:rsidR="00A71EEF" w:rsidRDefault="0081115D">
      <w:pPr>
        <w:pStyle w:val="a3"/>
        <w:spacing w:line="439" w:lineRule="auto"/>
        <w:ind w:left="418" w:right="1498" w:firstLine="419"/>
      </w:pPr>
      <w:r>
        <w:t>流量系数</w:t>
      </w:r>
      <w:r>
        <w:t xml:space="preserve"> K≥80 </w:t>
      </w:r>
      <w:r>
        <w:t>，一只喷头的最大保护面积大于标准覆盖面积洒水喷头的保护面积，且不超过</w:t>
      </w:r>
      <w:r>
        <w:t xml:space="preserve"> 36m</w:t>
      </w:r>
      <w:r>
        <w:rPr>
          <w:position w:val="11"/>
          <w:sz w:val="11"/>
        </w:rPr>
        <w:t xml:space="preserve">2 </w:t>
      </w:r>
      <w:r>
        <w:t>的洒水喷头，包括直立型、下垂型和边墙型扩大覆盖面积洒水喷头。</w:t>
      </w:r>
      <w:r>
        <w:t xml:space="preserve"> </w:t>
      </w:r>
    </w:p>
    <w:p w14:paraId="24F6640C" w14:textId="77777777" w:rsidR="00A71EEF" w:rsidRDefault="0081115D">
      <w:pPr>
        <w:pStyle w:val="a4"/>
        <w:numPr>
          <w:ilvl w:val="2"/>
          <w:numId w:val="82"/>
        </w:numPr>
        <w:tabs>
          <w:tab w:val="left" w:pos="1478"/>
        </w:tabs>
        <w:spacing w:before="6"/>
        <w:ind w:left="1477" w:hanging="638"/>
        <w:rPr>
          <w:sz w:val="21"/>
        </w:rPr>
      </w:pPr>
      <w:r>
        <w:rPr>
          <w:spacing w:val="-2"/>
          <w:sz w:val="21"/>
        </w:rPr>
        <w:t>标准流量洒水喷头</w:t>
      </w:r>
      <w:r>
        <w:rPr>
          <w:spacing w:val="-2"/>
          <w:sz w:val="21"/>
        </w:rPr>
        <w:t xml:space="preserve"> </w:t>
      </w:r>
      <w:r>
        <w:rPr>
          <w:sz w:val="21"/>
        </w:rPr>
        <w:t>standard</w:t>
      </w:r>
      <w:r>
        <w:rPr>
          <w:spacing w:val="1"/>
          <w:sz w:val="21"/>
        </w:rPr>
        <w:t xml:space="preserve"> </w:t>
      </w:r>
      <w:r>
        <w:rPr>
          <w:sz w:val="21"/>
        </w:rPr>
        <w:t xml:space="preserve">orifice sprinkler </w:t>
      </w:r>
    </w:p>
    <w:p w14:paraId="1B68DFAD" w14:textId="77777777" w:rsidR="00A71EEF" w:rsidRDefault="00A71EEF">
      <w:pPr>
        <w:pStyle w:val="a3"/>
        <w:spacing w:before="12"/>
        <w:rPr>
          <w:sz w:val="17"/>
        </w:rPr>
      </w:pPr>
    </w:p>
    <w:p w14:paraId="2159B5FC" w14:textId="77777777" w:rsidR="00A71EEF" w:rsidRDefault="0081115D">
      <w:pPr>
        <w:pStyle w:val="a3"/>
        <w:ind w:left="838"/>
      </w:pPr>
      <w:r>
        <w:t>流量系数</w:t>
      </w:r>
      <w:r>
        <w:t xml:space="preserve"> K=80 </w:t>
      </w:r>
      <w:r>
        <w:t>的标准覆盖面积洒水喷头。</w:t>
      </w:r>
      <w:r>
        <w:t xml:space="preserve"> </w:t>
      </w:r>
    </w:p>
    <w:p w14:paraId="09A738A0" w14:textId="77777777" w:rsidR="00A71EEF" w:rsidRDefault="00A71EEF">
      <w:pPr>
        <w:pStyle w:val="a3"/>
        <w:spacing w:before="2"/>
        <w:rPr>
          <w:sz w:val="18"/>
        </w:rPr>
      </w:pPr>
    </w:p>
    <w:p w14:paraId="6F340ED0" w14:textId="77777777" w:rsidR="00A71EEF" w:rsidRDefault="0081115D">
      <w:pPr>
        <w:pStyle w:val="a4"/>
        <w:numPr>
          <w:ilvl w:val="2"/>
          <w:numId w:val="82"/>
        </w:numPr>
        <w:tabs>
          <w:tab w:val="left" w:pos="1478"/>
        </w:tabs>
        <w:ind w:left="1477" w:hanging="638"/>
        <w:jc w:val="both"/>
        <w:rPr>
          <w:sz w:val="21"/>
        </w:rPr>
      </w:pPr>
      <w:r>
        <w:rPr>
          <w:spacing w:val="6"/>
          <w:sz w:val="21"/>
        </w:rPr>
        <w:t>早期抑制快速响应喷头</w:t>
      </w:r>
      <w:r>
        <w:rPr>
          <w:spacing w:val="6"/>
          <w:sz w:val="21"/>
        </w:rPr>
        <w:t xml:space="preserve"> </w:t>
      </w:r>
      <w:r>
        <w:rPr>
          <w:sz w:val="21"/>
        </w:rPr>
        <w:t>early suppression</w:t>
      </w:r>
      <w:r>
        <w:rPr>
          <w:spacing w:val="1"/>
          <w:sz w:val="21"/>
        </w:rPr>
        <w:t xml:space="preserve"> </w:t>
      </w:r>
      <w:r>
        <w:rPr>
          <w:sz w:val="21"/>
        </w:rPr>
        <w:t>fast response</w:t>
      </w:r>
      <w:r>
        <w:rPr>
          <w:sz w:val="21"/>
        </w:rPr>
        <w:t>（</w:t>
      </w:r>
      <w:r>
        <w:rPr>
          <w:sz w:val="21"/>
        </w:rPr>
        <w:t>ESFR</w:t>
      </w:r>
      <w:r>
        <w:rPr>
          <w:sz w:val="21"/>
        </w:rPr>
        <w:t>）</w:t>
      </w:r>
      <w:r>
        <w:rPr>
          <w:sz w:val="21"/>
        </w:rPr>
        <w:t xml:space="preserve">sprinkler </w:t>
      </w:r>
    </w:p>
    <w:p w14:paraId="3B2946B6" w14:textId="77777777" w:rsidR="00A71EEF" w:rsidRDefault="00A71EEF">
      <w:pPr>
        <w:pStyle w:val="a3"/>
        <w:spacing w:before="3"/>
        <w:rPr>
          <w:sz w:val="17"/>
        </w:rPr>
      </w:pPr>
    </w:p>
    <w:p w14:paraId="398A856A" w14:textId="77777777" w:rsidR="00A71EEF" w:rsidRDefault="0081115D">
      <w:pPr>
        <w:pStyle w:val="a3"/>
        <w:spacing w:line="446" w:lineRule="auto"/>
        <w:ind w:left="418" w:right="1553" w:firstLine="419"/>
        <w:jc w:val="both"/>
      </w:pPr>
      <w:r>
        <w:rPr>
          <w:spacing w:val="-10"/>
        </w:rPr>
        <w:t>流量系数</w:t>
      </w:r>
      <w:r>
        <w:rPr>
          <w:spacing w:val="-10"/>
        </w:rPr>
        <w:t xml:space="preserve"> </w:t>
      </w:r>
      <w:r>
        <w:t>K≥161</w:t>
      </w:r>
      <w:r>
        <w:rPr>
          <w:spacing w:val="-8"/>
        </w:rPr>
        <w:t>，响应时间指数</w:t>
      </w:r>
      <w:r>
        <w:rPr>
          <w:spacing w:val="-8"/>
        </w:rPr>
        <w:t xml:space="preserve"> </w:t>
      </w:r>
      <w:r>
        <w:t>RTI≤28±8(m·s)</w:t>
      </w:r>
      <w:r>
        <w:rPr>
          <w:position w:val="11"/>
          <w:sz w:val="11"/>
        </w:rPr>
        <w:t>0.5</w:t>
      </w:r>
      <w:r>
        <w:rPr>
          <w:spacing w:val="-3"/>
        </w:rPr>
        <w:t>，用于保护堆垛与高架仓库的标准覆盖面积洒水喷头。</w:t>
      </w:r>
      <w:r>
        <w:t xml:space="preserve"> </w:t>
      </w:r>
    </w:p>
    <w:p w14:paraId="122D106C" w14:textId="77777777" w:rsidR="00A71EEF" w:rsidRDefault="0081115D">
      <w:pPr>
        <w:pStyle w:val="a4"/>
        <w:numPr>
          <w:ilvl w:val="2"/>
          <w:numId w:val="82"/>
        </w:numPr>
        <w:tabs>
          <w:tab w:val="left" w:pos="1478"/>
        </w:tabs>
        <w:ind w:left="1477" w:hanging="638"/>
        <w:jc w:val="both"/>
        <w:rPr>
          <w:sz w:val="21"/>
        </w:rPr>
      </w:pPr>
      <w:r>
        <w:rPr>
          <w:spacing w:val="-3"/>
          <w:sz w:val="21"/>
        </w:rPr>
        <w:t>特殊应用喷头</w:t>
      </w:r>
      <w:r>
        <w:rPr>
          <w:spacing w:val="-3"/>
          <w:sz w:val="21"/>
        </w:rPr>
        <w:t xml:space="preserve"> </w:t>
      </w:r>
      <w:r>
        <w:rPr>
          <w:sz w:val="21"/>
        </w:rPr>
        <w:t>specific application</w:t>
      </w:r>
      <w:r>
        <w:rPr>
          <w:spacing w:val="1"/>
          <w:sz w:val="21"/>
        </w:rPr>
        <w:t xml:space="preserve"> </w:t>
      </w:r>
      <w:r>
        <w:rPr>
          <w:sz w:val="21"/>
        </w:rPr>
        <w:t xml:space="preserve">sprinkler </w:t>
      </w:r>
    </w:p>
    <w:p w14:paraId="65DBBBB3" w14:textId="77777777" w:rsidR="00A71EEF" w:rsidRDefault="00A71EEF">
      <w:pPr>
        <w:pStyle w:val="a3"/>
        <w:spacing w:before="12"/>
        <w:rPr>
          <w:sz w:val="17"/>
        </w:rPr>
      </w:pPr>
    </w:p>
    <w:p w14:paraId="39BCB245" w14:textId="77777777" w:rsidR="00A71EEF" w:rsidRDefault="0081115D">
      <w:pPr>
        <w:pStyle w:val="a3"/>
        <w:spacing w:line="446" w:lineRule="auto"/>
        <w:ind w:left="418" w:right="1450" w:firstLine="419"/>
        <w:jc w:val="both"/>
      </w:pPr>
      <w:r>
        <w:rPr>
          <w:spacing w:val="-10"/>
        </w:rPr>
        <w:t>流量系数</w:t>
      </w:r>
      <w:r>
        <w:rPr>
          <w:spacing w:val="-10"/>
        </w:rPr>
        <w:t xml:space="preserve"> </w:t>
      </w:r>
      <w:r>
        <w:t>K≥161</w:t>
      </w:r>
      <w:r>
        <w:rPr>
          <w:spacing w:val="-3"/>
        </w:rPr>
        <w:t xml:space="preserve"> </w:t>
      </w:r>
      <w:r>
        <w:rPr>
          <w:spacing w:val="-3"/>
        </w:rPr>
        <w:t>，具有较大水滴粒径，在通过标准试验验证后，可用于民用建筑和厂房高大空间场所以及仓库的标准覆盖面积洒水喷头</w:t>
      </w:r>
      <w:r>
        <w:rPr>
          <w:spacing w:val="-3"/>
        </w:rPr>
        <w:t xml:space="preserve"> </w:t>
      </w:r>
      <w:r>
        <w:rPr>
          <w:spacing w:val="-3"/>
        </w:rPr>
        <w:t>，包括非仓库型特殊应用喷头和仓库型特殊应用喷头。</w:t>
      </w:r>
      <w:r>
        <w:t xml:space="preserve"> </w:t>
      </w:r>
    </w:p>
    <w:p w14:paraId="170FDEA8" w14:textId="77777777" w:rsidR="00A71EEF" w:rsidRDefault="0081115D">
      <w:pPr>
        <w:pStyle w:val="a4"/>
        <w:numPr>
          <w:ilvl w:val="2"/>
          <w:numId w:val="82"/>
        </w:numPr>
        <w:tabs>
          <w:tab w:val="left" w:pos="1478"/>
        </w:tabs>
        <w:spacing w:line="268" w:lineRule="exact"/>
        <w:ind w:left="1477" w:hanging="638"/>
        <w:jc w:val="both"/>
        <w:rPr>
          <w:sz w:val="21"/>
        </w:rPr>
      </w:pPr>
      <w:r>
        <w:rPr>
          <w:spacing w:val="18"/>
          <w:sz w:val="21"/>
        </w:rPr>
        <w:t>家用喷头</w:t>
      </w:r>
      <w:r>
        <w:rPr>
          <w:spacing w:val="18"/>
          <w:sz w:val="21"/>
        </w:rPr>
        <w:t xml:space="preserve"> </w:t>
      </w:r>
      <w:r>
        <w:rPr>
          <w:sz w:val="21"/>
        </w:rPr>
        <w:t xml:space="preserve">residential sprinkler </w:t>
      </w:r>
    </w:p>
    <w:p w14:paraId="56DD817C" w14:textId="77777777" w:rsidR="00A71EEF" w:rsidRDefault="00A71EEF">
      <w:pPr>
        <w:pStyle w:val="a3"/>
        <w:rPr>
          <w:sz w:val="18"/>
        </w:rPr>
      </w:pPr>
    </w:p>
    <w:p w14:paraId="0ABD6391" w14:textId="77777777" w:rsidR="00A71EEF" w:rsidRDefault="0081115D">
      <w:pPr>
        <w:pStyle w:val="a3"/>
        <w:spacing w:line="446" w:lineRule="auto"/>
        <w:ind w:left="840" w:right="3817" w:hanging="3"/>
      </w:pPr>
      <w:r>
        <w:t>适用于住宅建</w:t>
      </w:r>
      <w:r>
        <w:t>筑和非住宅类居住建筑的一种快速响应洒水喷头。</w:t>
      </w:r>
      <w:r>
        <w:rPr>
          <w:b/>
        </w:rPr>
        <w:t xml:space="preserve">2.1.25 </w:t>
      </w:r>
      <w:r>
        <w:t>配水干管</w:t>
      </w:r>
      <w:r>
        <w:t xml:space="preserve"> feed mains </w:t>
      </w:r>
    </w:p>
    <w:p w14:paraId="1EA16C46" w14:textId="77777777" w:rsidR="00A71EEF" w:rsidRDefault="0081115D">
      <w:pPr>
        <w:pStyle w:val="a3"/>
        <w:spacing w:line="446" w:lineRule="auto"/>
        <w:ind w:left="838" w:right="6757"/>
      </w:pPr>
      <w:r>
        <w:rPr>
          <w:spacing w:val="-3"/>
        </w:rPr>
        <w:t>报警阀后向配水管供水的管道。</w:t>
      </w:r>
      <w:r>
        <w:rPr>
          <w:b/>
        </w:rPr>
        <w:t xml:space="preserve">2.1.26 </w:t>
      </w:r>
      <w:r>
        <w:rPr>
          <w:spacing w:val="-2"/>
        </w:rPr>
        <w:t>配</w:t>
      </w:r>
      <w:r>
        <w:rPr>
          <w:spacing w:val="-2"/>
        </w:rPr>
        <w:t xml:space="preserve"> </w:t>
      </w:r>
      <w:r>
        <w:rPr>
          <w:spacing w:val="-2"/>
        </w:rPr>
        <w:t>水</w:t>
      </w:r>
      <w:r>
        <w:rPr>
          <w:spacing w:val="-2"/>
        </w:rPr>
        <w:t xml:space="preserve"> </w:t>
      </w:r>
      <w:r>
        <w:rPr>
          <w:spacing w:val="-2"/>
        </w:rPr>
        <w:t>管</w:t>
      </w:r>
      <w:r>
        <w:rPr>
          <w:spacing w:val="-2"/>
        </w:rPr>
        <w:t xml:space="preserve"> </w:t>
      </w:r>
      <w:r>
        <w:t xml:space="preserve">cross mains </w:t>
      </w:r>
      <w:r>
        <w:rPr>
          <w:spacing w:val="-3"/>
        </w:rPr>
        <w:t>向配水支管供水的管道。</w:t>
      </w:r>
      <w:r>
        <w:t xml:space="preserve"> </w:t>
      </w:r>
    </w:p>
    <w:p w14:paraId="31C36E8E" w14:textId="77777777" w:rsidR="00A71EEF" w:rsidRDefault="0081115D">
      <w:pPr>
        <w:spacing w:line="268" w:lineRule="exact"/>
        <w:ind w:left="840"/>
        <w:rPr>
          <w:sz w:val="21"/>
        </w:rPr>
      </w:pPr>
      <w:r>
        <w:rPr>
          <w:b/>
          <w:sz w:val="21"/>
        </w:rPr>
        <w:t>2.1.27</w:t>
      </w:r>
      <w:r>
        <w:rPr>
          <w:b/>
          <w:spacing w:val="-1"/>
          <w:sz w:val="21"/>
        </w:rPr>
        <w:t xml:space="preserve"> </w:t>
      </w:r>
      <w:r>
        <w:rPr>
          <w:spacing w:val="14"/>
          <w:sz w:val="21"/>
        </w:rPr>
        <w:t>配水支管</w:t>
      </w:r>
      <w:r>
        <w:rPr>
          <w:spacing w:val="14"/>
          <w:sz w:val="21"/>
        </w:rPr>
        <w:t xml:space="preserve">  </w:t>
      </w:r>
      <w:r>
        <w:rPr>
          <w:sz w:val="21"/>
        </w:rPr>
        <w:t xml:space="preserve">branch lines </w:t>
      </w:r>
    </w:p>
    <w:p w14:paraId="31750F1C" w14:textId="77777777" w:rsidR="00A71EEF" w:rsidRDefault="00A71EEF">
      <w:pPr>
        <w:pStyle w:val="a3"/>
        <w:spacing w:before="12"/>
        <w:rPr>
          <w:sz w:val="17"/>
        </w:rPr>
      </w:pPr>
    </w:p>
    <w:p w14:paraId="72D1709F" w14:textId="77777777" w:rsidR="00A71EEF" w:rsidRDefault="0081115D">
      <w:pPr>
        <w:pStyle w:val="a3"/>
        <w:spacing w:line="446" w:lineRule="auto"/>
        <w:ind w:left="840" w:right="5709" w:hanging="3"/>
      </w:pPr>
      <w:r>
        <w:rPr>
          <w:spacing w:val="-3"/>
        </w:rPr>
        <w:t>直接或通过短立管向洒水喷头供水的管道。</w:t>
      </w:r>
      <w:r>
        <w:rPr>
          <w:b/>
        </w:rPr>
        <w:t>2.1.28</w:t>
      </w:r>
      <w:r>
        <w:rPr>
          <w:b/>
          <w:spacing w:val="-1"/>
        </w:rPr>
        <w:t xml:space="preserve"> </w:t>
      </w:r>
      <w:r>
        <w:rPr>
          <w:spacing w:val="18"/>
        </w:rPr>
        <w:t>配水管道</w:t>
      </w:r>
      <w:r>
        <w:rPr>
          <w:spacing w:val="18"/>
        </w:rPr>
        <w:t xml:space="preserve"> </w:t>
      </w:r>
      <w:r>
        <w:t>system</w:t>
      </w:r>
      <w:r>
        <w:rPr>
          <w:spacing w:val="1"/>
        </w:rPr>
        <w:t xml:space="preserve"> </w:t>
      </w:r>
      <w:r>
        <w:t xml:space="preserve">pipes </w:t>
      </w:r>
    </w:p>
    <w:p w14:paraId="67DA8097" w14:textId="77777777" w:rsidR="00A71EEF" w:rsidRDefault="00A71EEF">
      <w:pPr>
        <w:spacing w:line="446" w:lineRule="auto"/>
        <w:sectPr w:rsidR="00A71EEF">
          <w:pgSz w:w="11910" w:h="16850"/>
          <w:pgMar w:top="1220" w:right="0" w:bottom="1420" w:left="1260" w:header="0" w:footer="1239" w:gutter="0"/>
          <w:cols w:space="720"/>
        </w:sectPr>
      </w:pPr>
    </w:p>
    <w:p w14:paraId="4484125F" w14:textId="77777777" w:rsidR="00A71EEF" w:rsidRDefault="0081115D">
      <w:pPr>
        <w:pStyle w:val="a3"/>
        <w:spacing w:before="47" w:line="446" w:lineRule="auto"/>
        <w:ind w:left="840" w:right="6129" w:hanging="3"/>
      </w:pPr>
      <w:r>
        <w:t>配水干管、配水管及配水支管的总称。</w:t>
      </w:r>
      <w:r>
        <w:rPr>
          <w:b/>
        </w:rPr>
        <w:t xml:space="preserve">2.1.29 </w:t>
      </w:r>
      <w:r>
        <w:t>短</w:t>
      </w:r>
      <w:r>
        <w:t xml:space="preserve"> </w:t>
      </w:r>
      <w:r>
        <w:t>立</w:t>
      </w:r>
      <w:r>
        <w:t xml:space="preserve"> </w:t>
      </w:r>
      <w:r>
        <w:t>管</w:t>
      </w:r>
      <w:r>
        <w:t xml:space="preserve"> sprig </w:t>
      </w:r>
    </w:p>
    <w:p w14:paraId="19C1A779" w14:textId="77777777" w:rsidR="00A71EEF" w:rsidRDefault="0081115D">
      <w:pPr>
        <w:pStyle w:val="a3"/>
        <w:spacing w:line="267" w:lineRule="exact"/>
        <w:ind w:left="838"/>
      </w:pPr>
      <w:r>
        <w:t>连接洒水喷头与配水支管的立管。</w:t>
      </w:r>
      <w:r>
        <w:t xml:space="preserve"> </w:t>
      </w:r>
    </w:p>
    <w:p w14:paraId="35428215" w14:textId="77777777" w:rsidR="00A71EEF" w:rsidRDefault="00A71EEF">
      <w:pPr>
        <w:pStyle w:val="a3"/>
        <w:spacing w:before="2"/>
        <w:rPr>
          <w:sz w:val="18"/>
        </w:rPr>
      </w:pPr>
    </w:p>
    <w:p w14:paraId="53853126" w14:textId="77777777" w:rsidR="00A71EEF" w:rsidRDefault="0081115D">
      <w:pPr>
        <w:pStyle w:val="a3"/>
        <w:ind w:left="840"/>
      </w:pPr>
      <w:r>
        <w:rPr>
          <w:b/>
        </w:rPr>
        <w:t xml:space="preserve">2.1.30 </w:t>
      </w:r>
      <w:r>
        <w:t>消防洒水软管</w:t>
      </w:r>
      <w:r>
        <w:t xml:space="preserve">  flexible sprinkler hose fittings </w:t>
      </w:r>
    </w:p>
    <w:p w14:paraId="37BB709F" w14:textId="77777777" w:rsidR="00A71EEF" w:rsidRDefault="00A71EEF">
      <w:pPr>
        <w:pStyle w:val="a3"/>
        <w:rPr>
          <w:sz w:val="18"/>
        </w:rPr>
      </w:pPr>
    </w:p>
    <w:p w14:paraId="2CDC5A3B" w14:textId="77777777" w:rsidR="00A71EEF" w:rsidRDefault="0081115D">
      <w:pPr>
        <w:pStyle w:val="a3"/>
        <w:spacing w:line="446" w:lineRule="auto"/>
        <w:ind w:left="840" w:right="3397" w:hanging="3"/>
      </w:pPr>
      <w:r>
        <w:t>连接洒水喷头与配水管道的挠性金属软管及洒水喷头调整固定装置。</w:t>
      </w:r>
      <w:r>
        <w:rPr>
          <w:b/>
        </w:rPr>
        <w:t xml:space="preserve">2.1.31 </w:t>
      </w:r>
      <w:r>
        <w:t>信</w:t>
      </w:r>
      <w:r>
        <w:t xml:space="preserve"> </w:t>
      </w:r>
      <w:r>
        <w:t>号</w:t>
      </w:r>
      <w:r>
        <w:t xml:space="preserve"> </w:t>
      </w:r>
      <w:r>
        <w:t>阀</w:t>
      </w:r>
      <w:r>
        <w:t xml:space="preserve"> signal valve </w:t>
      </w:r>
    </w:p>
    <w:p w14:paraId="1C7E5470" w14:textId="77777777" w:rsidR="00A71EEF" w:rsidRDefault="0081115D">
      <w:pPr>
        <w:pStyle w:val="a3"/>
        <w:spacing w:line="446" w:lineRule="auto"/>
        <w:ind w:left="840" w:right="6337" w:hanging="3"/>
      </w:pPr>
      <w:r>
        <w:t>具有输出启闭状态信号功能的阀门。</w:t>
      </w:r>
      <w:r>
        <w:rPr>
          <w:b/>
        </w:rPr>
        <w:t xml:space="preserve">2.2 </w:t>
      </w:r>
      <w:r>
        <w:t>符号</w:t>
      </w:r>
      <w:r>
        <w:t xml:space="preserve"> </w:t>
      </w:r>
    </w:p>
    <w:p w14:paraId="357A1FB6" w14:textId="77777777" w:rsidR="00A71EEF" w:rsidRDefault="0081115D">
      <w:pPr>
        <w:pStyle w:val="a3"/>
        <w:spacing w:line="267" w:lineRule="exact"/>
        <w:ind w:left="838"/>
      </w:pPr>
      <w:r>
        <w:rPr>
          <w:spacing w:val="-1"/>
        </w:rPr>
        <w:t>a—</w:t>
      </w:r>
      <w:r>
        <w:rPr>
          <w:spacing w:val="-3"/>
        </w:rPr>
        <w:t>—</w:t>
      </w:r>
      <w:r>
        <w:rPr>
          <w:spacing w:val="-3"/>
        </w:rPr>
        <w:t>喷头与障碍物的水平距离；</w:t>
      </w:r>
      <w:r>
        <w:t xml:space="preserve"> </w:t>
      </w:r>
    </w:p>
    <w:p w14:paraId="291F467C" w14:textId="77777777" w:rsidR="00A71EEF" w:rsidRDefault="00A71EEF">
      <w:pPr>
        <w:pStyle w:val="a3"/>
        <w:spacing w:before="1"/>
        <w:rPr>
          <w:sz w:val="18"/>
        </w:rPr>
      </w:pPr>
    </w:p>
    <w:p w14:paraId="2FDFD3D2" w14:textId="77777777" w:rsidR="00A71EEF" w:rsidRDefault="0081115D">
      <w:pPr>
        <w:pStyle w:val="a3"/>
        <w:spacing w:before="1" w:line="446" w:lineRule="auto"/>
        <w:ind w:left="838" w:right="5394"/>
      </w:pPr>
      <w:r>
        <w:t>b—</w:t>
      </w:r>
      <w:r>
        <w:rPr>
          <w:spacing w:val="-3"/>
        </w:rPr>
        <w:t>—</w:t>
      </w:r>
      <w:r>
        <w:rPr>
          <w:spacing w:val="-3"/>
        </w:rPr>
        <w:t>喷头溅水盘与障碍物底面的垂直距离；</w:t>
      </w:r>
      <w:r>
        <w:rPr>
          <w:spacing w:val="-3"/>
        </w:rPr>
        <w:t xml:space="preserve"> </w:t>
      </w:r>
      <w:r>
        <w:t>c—</w:t>
      </w:r>
      <w:r>
        <w:rPr>
          <w:spacing w:val="-3"/>
        </w:rPr>
        <w:t>—</w:t>
      </w:r>
      <w:r>
        <w:rPr>
          <w:spacing w:val="-3"/>
        </w:rPr>
        <w:t>障碍物横截面的一个边长；</w:t>
      </w:r>
      <w:r>
        <w:t xml:space="preserve"> </w:t>
      </w:r>
    </w:p>
    <w:p w14:paraId="38CDF1C9" w14:textId="77777777" w:rsidR="00A71EEF" w:rsidRDefault="0081115D">
      <w:pPr>
        <w:pStyle w:val="a3"/>
        <w:spacing w:line="448" w:lineRule="auto"/>
        <w:ind w:left="838" w:right="7127"/>
      </w:pPr>
      <w:r>
        <w:rPr>
          <w:position w:val="1"/>
        </w:rPr>
        <w:t>C</w:t>
      </w:r>
      <w:r>
        <w:rPr>
          <w:sz w:val="11"/>
        </w:rPr>
        <w:t>h</w:t>
      </w:r>
      <w:r>
        <w:rPr>
          <w:position w:val="1"/>
        </w:rPr>
        <w:t>——</w:t>
      </w:r>
      <w:r>
        <w:rPr>
          <w:position w:val="1"/>
        </w:rPr>
        <w:t>海澄</w:t>
      </w:r>
      <w:r>
        <w:rPr>
          <w:position w:val="1"/>
        </w:rPr>
        <w:t>—</w:t>
      </w:r>
      <w:r>
        <w:rPr>
          <w:position w:val="1"/>
        </w:rPr>
        <w:t>威廉系数；</w:t>
      </w:r>
      <w:r>
        <w:rPr>
          <w:position w:val="1"/>
        </w:rPr>
        <w:t xml:space="preserve"> </w:t>
      </w:r>
      <w:r>
        <w:t>d——</w:t>
      </w:r>
      <w:r>
        <w:t>管道外径；</w:t>
      </w:r>
      <w:r>
        <w:t xml:space="preserve"> </w:t>
      </w:r>
    </w:p>
    <w:p w14:paraId="4FC18555" w14:textId="77777777" w:rsidR="00A71EEF" w:rsidRDefault="0081115D">
      <w:pPr>
        <w:pStyle w:val="a3"/>
        <w:spacing w:line="446" w:lineRule="auto"/>
        <w:ind w:left="838" w:right="7074"/>
      </w:pPr>
      <w:r>
        <w:rPr>
          <w:position w:val="1"/>
        </w:rPr>
        <w:t>d</w:t>
      </w:r>
      <w:r>
        <w:rPr>
          <w:sz w:val="11"/>
        </w:rPr>
        <w:t>g</w:t>
      </w:r>
      <w:r>
        <w:rPr>
          <w:position w:val="1"/>
        </w:rPr>
        <w:t>——</w:t>
      </w:r>
      <w:r>
        <w:rPr>
          <w:position w:val="1"/>
        </w:rPr>
        <w:t>节流管的计算内径；</w:t>
      </w:r>
      <w:r>
        <w:rPr>
          <w:position w:val="1"/>
        </w:rPr>
        <w:t xml:space="preserve"> d</w:t>
      </w:r>
      <w:r>
        <w:rPr>
          <w:sz w:val="11"/>
        </w:rPr>
        <w:t>j</w:t>
      </w:r>
      <w:r>
        <w:rPr>
          <w:position w:val="1"/>
        </w:rPr>
        <w:t>——</w:t>
      </w:r>
      <w:r>
        <w:rPr>
          <w:position w:val="1"/>
        </w:rPr>
        <w:t>管道的计算内径；</w:t>
      </w:r>
      <w:r>
        <w:rPr>
          <w:position w:val="1"/>
        </w:rPr>
        <w:t xml:space="preserve"> d</w:t>
      </w:r>
      <w:r>
        <w:rPr>
          <w:sz w:val="11"/>
        </w:rPr>
        <w:t>k</w:t>
      </w:r>
      <w:r>
        <w:rPr>
          <w:position w:val="1"/>
        </w:rPr>
        <w:t>——</w:t>
      </w:r>
      <w:r>
        <w:rPr>
          <w:position w:val="1"/>
        </w:rPr>
        <w:t>减压孔板的孔口直径；</w:t>
      </w:r>
      <w:r>
        <w:rPr>
          <w:position w:val="1"/>
        </w:rPr>
        <w:t xml:space="preserve"> </w:t>
      </w:r>
    </w:p>
    <w:p w14:paraId="4E24FB80" w14:textId="77777777" w:rsidR="00A71EEF" w:rsidRDefault="0081115D">
      <w:pPr>
        <w:pStyle w:val="a3"/>
        <w:spacing w:line="268" w:lineRule="exact"/>
        <w:ind w:left="838"/>
      </w:pPr>
      <w:r>
        <w:t>e——</w:t>
      </w:r>
      <w:r>
        <w:t>障碍物横截面的另一个边长；</w:t>
      </w:r>
      <w:r>
        <w:t xml:space="preserve"> </w:t>
      </w:r>
    </w:p>
    <w:p w14:paraId="7BD12D5F" w14:textId="77777777" w:rsidR="00A71EEF" w:rsidRDefault="00A71EEF">
      <w:pPr>
        <w:pStyle w:val="a3"/>
        <w:spacing w:before="4"/>
        <w:rPr>
          <w:sz w:val="17"/>
        </w:rPr>
      </w:pPr>
    </w:p>
    <w:p w14:paraId="22C6877B" w14:textId="77777777" w:rsidR="00A71EEF" w:rsidRDefault="0081115D">
      <w:pPr>
        <w:pStyle w:val="a3"/>
        <w:spacing w:line="446" w:lineRule="auto"/>
        <w:ind w:left="838" w:right="5077"/>
      </w:pPr>
      <w:r>
        <w:t>f——</w:t>
      </w:r>
      <w:r>
        <w:t>喷头溅水盘与不到顶隔墙顶面的垂直间距；</w:t>
      </w:r>
      <w:r>
        <w:t xml:space="preserve"> g——</w:t>
      </w:r>
      <w:r>
        <w:t>重力加速度；</w:t>
      </w:r>
      <w:r>
        <w:t xml:space="preserve"> </w:t>
      </w:r>
    </w:p>
    <w:p w14:paraId="354837CD" w14:textId="77777777" w:rsidR="00A71EEF" w:rsidRDefault="0081115D">
      <w:pPr>
        <w:pStyle w:val="a3"/>
        <w:ind w:left="838"/>
      </w:pPr>
      <w:r>
        <w:t>H——</w:t>
      </w:r>
      <w:r>
        <w:t>水泵扬程或系统入口的供水压力；</w:t>
      </w:r>
      <w:r>
        <w:t xml:space="preserve"> </w:t>
      </w:r>
    </w:p>
    <w:p w14:paraId="2E917D34" w14:textId="77777777" w:rsidR="00A71EEF" w:rsidRDefault="00A71EEF">
      <w:pPr>
        <w:pStyle w:val="a3"/>
        <w:spacing w:before="12"/>
        <w:rPr>
          <w:sz w:val="17"/>
        </w:rPr>
      </w:pPr>
    </w:p>
    <w:p w14:paraId="1E7D038B" w14:textId="77777777" w:rsidR="00A71EEF" w:rsidRDefault="0081115D">
      <w:pPr>
        <w:pStyle w:val="a3"/>
        <w:spacing w:line="446" w:lineRule="auto"/>
        <w:ind w:left="838" w:right="4237"/>
      </w:pPr>
      <w:r>
        <w:rPr>
          <w:position w:val="1"/>
        </w:rPr>
        <w:t>H</w:t>
      </w:r>
      <w:r>
        <w:rPr>
          <w:sz w:val="11"/>
        </w:rPr>
        <w:t>c</w:t>
      </w:r>
      <w:r>
        <w:rPr>
          <w:position w:val="1"/>
        </w:rPr>
        <w:t>——</w:t>
      </w:r>
      <w:r>
        <w:rPr>
          <w:position w:val="1"/>
        </w:rPr>
        <w:t>从城市市政管网直接抽水时城市管网的最低水压；</w:t>
      </w:r>
      <w:r>
        <w:rPr>
          <w:position w:val="1"/>
        </w:rPr>
        <w:t xml:space="preserve"> H</w:t>
      </w:r>
      <w:r>
        <w:rPr>
          <w:sz w:val="11"/>
        </w:rPr>
        <w:t>g</w:t>
      </w:r>
      <w:r>
        <w:rPr>
          <w:position w:val="1"/>
        </w:rPr>
        <w:t>——</w:t>
      </w:r>
      <w:r>
        <w:rPr>
          <w:position w:val="1"/>
        </w:rPr>
        <w:t>节流管的水头损失；</w:t>
      </w:r>
      <w:r>
        <w:rPr>
          <w:position w:val="1"/>
        </w:rPr>
        <w:t xml:space="preserve"> </w:t>
      </w:r>
    </w:p>
    <w:p w14:paraId="3CFDA232" w14:textId="77777777" w:rsidR="00A71EEF" w:rsidRDefault="0081115D">
      <w:pPr>
        <w:pStyle w:val="a3"/>
        <w:spacing w:line="446" w:lineRule="auto"/>
        <w:ind w:left="838" w:right="7148"/>
      </w:pPr>
      <w:r>
        <w:rPr>
          <w:position w:val="1"/>
        </w:rPr>
        <w:t>H</w:t>
      </w:r>
      <w:r>
        <w:rPr>
          <w:sz w:val="11"/>
        </w:rPr>
        <w:t>k</w:t>
      </w:r>
      <w:r>
        <w:rPr>
          <w:spacing w:val="-3"/>
          <w:position w:val="1"/>
        </w:rPr>
        <w:t>——</w:t>
      </w:r>
      <w:r>
        <w:rPr>
          <w:spacing w:val="-3"/>
          <w:position w:val="1"/>
        </w:rPr>
        <w:t>减压孔板的水头损失；</w:t>
      </w:r>
      <w:r>
        <w:rPr>
          <w:spacing w:val="-3"/>
          <w:position w:val="1"/>
        </w:rPr>
        <w:t xml:space="preserve"> </w:t>
      </w:r>
      <w:r>
        <w:t>h—</w:t>
      </w:r>
      <w:r>
        <w:rPr>
          <w:spacing w:val="-3"/>
        </w:rPr>
        <w:t>—</w:t>
      </w:r>
      <w:r>
        <w:rPr>
          <w:spacing w:val="-3"/>
        </w:rPr>
        <w:t>最大净空高度；</w:t>
      </w:r>
      <w:r>
        <w:rPr>
          <w:spacing w:val="-3"/>
        </w:rPr>
        <w:t xml:space="preserve"> </w:t>
      </w:r>
      <w:r>
        <w:rPr>
          <w:spacing w:val="-3"/>
          <w:position w:val="1"/>
        </w:rPr>
        <w:t xml:space="preserve">  </w:t>
      </w:r>
      <w:r>
        <w:rPr>
          <w:position w:val="1"/>
        </w:rPr>
        <w:t>h</w:t>
      </w:r>
      <w:r>
        <w:rPr>
          <w:sz w:val="11"/>
        </w:rPr>
        <w:t>s</w:t>
      </w:r>
      <w:r>
        <w:rPr>
          <w:spacing w:val="-3"/>
          <w:position w:val="1"/>
        </w:rPr>
        <w:t>——</w:t>
      </w:r>
      <w:r>
        <w:rPr>
          <w:spacing w:val="-3"/>
          <w:position w:val="1"/>
        </w:rPr>
        <w:t>最大储物高度；</w:t>
      </w:r>
      <w:r>
        <w:rPr>
          <w:position w:val="1"/>
        </w:rPr>
        <w:t xml:space="preserve"> </w:t>
      </w:r>
    </w:p>
    <w:p w14:paraId="69442291" w14:textId="77777777" w:rsidR="00A71EEF" w:rsidRDefault="0081115D">
      <w:pPr>
        <w:pStyle w:val="a3"/>
        <w:spacing w:line="446" w:lineRule="auto"/>
        <w:ind w:left="838" w:right="6654"/>
      </w:pPr>
      <w:r>
        <w:t>i—</w:t>
      </w:r>
      <w:r>
        <w:rPr>
          <w:spacing w:val="-3"/>
        </w:rPr>
        <w:t>—</w:t>
      </w:r>
      <w:r>
        <w:rPr>
          <w:spacing w:val="-3"/>
        </w:rPr>
        <w:t>管道单位长度的水头损失；</w:t>
      </w:r>
      <w:r>
        <w:rPr>
          <w:spacing w:val="-3"/>
        </w:rPr>
        <w:t xml:space="preserve"> </w:t>
      </w:r>
      <w:r>
        <w:t>K—</w:t>
      </w:r>
      <w:r>
        <w:rPr>
          <w:spacing w:val="-3"/>
        </w:rPr>
        <w:t>—</w:t>
      </w:r>
      <w:r>
        <w:rPr>
          <w:spacing w:val="-3"/>
        </w:rPr>
        <w:t>喷头流量系数；</w:t>
      </w:r>
      <w:r>
        <w:t xml:space="preserve"> </w:t>
      </w:r>
    </w:p>
    <w:p w14:paraId="75EEFCAC" w14:textId="77777777" w:rsidR="00A71EEF" w:rsidRDefault="0081115D">
      <w:pPr>
        <w:pStyle w:val="a3"/>
        <w:ind w:left="838"/>
      </w:pPr>
      <w:r>
        <w:rPr>
          <w:spacing w:val="-1"/>
        </w:rPr>
        <w:t>L—</w:t>
      </w:r>
      <w:r>
        <w:rPr>
          <w:spacing w:val="-3"/>
        </w:rPr>
        <w:t>—</w:t>
      </w:r>
      <w:r>
        <w:rPr>
          <w:spacing w:val="-3"/>
        </w:rPr>
        <w:t>节流管的长度；</w:t>
      </w:r>
      <w:r>
        <w:t xml:space="preserve"> </w:t>
      </w:r>
    </w:p>
    <w:p w14:paraId="6C60572E" w14:textId="77777777" w:rsidR="00A71EEF" w:rsidRDefault="00A71EEF">
      <w:pPr>
        <w:sectPr w:rsidR="00A71EEF">
          <w:pgSz w:w="11910" w:h="16850"/>
          <w:pgMar w:top="1220" w:right="0" w:bottom="1420" w:left="1260" w:header="0" w:footer="1239" w:gutter="0"/>
          <w:cols w:space="720"/>
        </w:sectPr>
      </w:pPr>
    </w:p>
    <w:p w14:paraId="46FD73ED" w14:textId="77777777" w:rsidR="00A71EEF" w:rsidRDefault="0081115D">
      <w:pPr>
        <w:pStyle w:val="a3"/>
        <w:spacing w:before="47" w:line="446" w:lineRule="auto"/>
        <w:ind w:left="838" w:right="5394"/>
      </w:pPr>
      <w:r>
        <w:t>n—</w:t>
      </w:r>
      <w:r>
        <w:rPr>
          <w:spacing w:val="-3"/>
        </w:rPr>
        <w:t>—</w:t>
      </w:r>
      <w:r>
        <w:rPr>
          <w:spacing w:val="-3"/>
        </w:rPr>
        <w:t>最不利点处作用面积内的洒水喷头数；</w:t>
      </w:r>
      <w:r>
        <w:rPr>
          <w:spacing w:val="-3"/>
        </w:rPr>
        <w:t xml:space="preserve"> </w:t>
      </w:r>
      <w:r>
        <w:t>P—</w:t>
      </w:r>
      <w:r>
        <w:rPr>
          <w:spacing w:val="-3"/>
        </w:rPr>
        <w:t>—</w:t>
      </w:r>
      <w:r>
        <w:rPr>
          <w:spacing w:val="-3"/>
        </w:rPr>
        <w:t>喷头工作压力；</w:t>
      </w:r>
      <w:r>
        <w:t xml:space="preserve"> </w:t>
      </w:r>
    </w:p>
    <w:p w14:paraId="04551A73" w14:textId="77777777" w:rsidR="00A71EEF" w:rsidRDefault="0081115D">
      <w:pPr>
        <w:pStyle w:val="a3"/>
        <w:spacing w:line="446" w:lineRule="auto"/>
        <w:ind w:left="838" w:right="6076"/>
      </w:pPr>
      <w:r>
        <w:rPr>
          <w:position w:val="1"/>
        </w:rPr>
        <w:t>P</w:t>
      </w:r>
      <w:r>
        <w:rPr>
          <w:sz w:val="11"/>
        </w:rPr>
        <w:t>0</w:t>
      </w:r>
      <w:r>
        <w:rPr>
          <w:spacing w:val="-3"/>
          <w:position w:val="1"/>
        </w:rPr>
        <w:t>——</w:t>
      </w:r>
      <w:r>
        <w:rPr>
          <w:spacing w:val="-3"/>
          <w:position w:val="1"/>
        </w:rPr>
        <w:t>最不利点处喷头的工作压力；</w:t>
      </w:r>
      <w:r>
        <w:rPr>
          <w:spacing w:val="-3"/>
          <w:position w:val="1"/>
        </w:rPr>
        <w:t xml:space="preserve"> </w:t>
      </w:r>
      <w:r>
        <w:rPr>
          <w:position w:val="1"/>
        </w:rPr>
        <w:t>P</w:t>
      </w:r>
      <w:r>
        <w:rPr>
          <w:sz w:val="11"/>
        </w:rPr>
        <w:t>p</w:t>
      </w:r>
      <w:r>
        <w:rPr>
          <w:spacing w:val="-3"/>
          <w:position w:val="1"/>
        </w:rPr>
        <w:t>——</w:t>
      </w:r>
      <w:r>
        <w:rPr>
          <w:spacing w:val="-3"/>
          <w:position w:val="1"/>
        </w:rPr>
        <w:t>系统管道沿程和局部的水头损失；</w:t>
      </w:r>
      <w:r>
        <w:rPr>
          <w:spacing w:val="-3"/>
          <w:position w:val="1"/>
        </w:rPr>
        <w:t xml:space="preserve"> </w:t>
      </w:r>
      <w:r>
        <w:t>Q—</w:t>
      </w:r>
      <w:r>
        <w:rPr>
          <w:spacing w:val="-3"/>
        </w:rPr>
        <w:t>—</w:t>
      </w:r>
      <w:r>
        <w:rPr>
          <w:spacing w:val="-3"/>
        </w:rPr>
        <w:t>系统设计流量；</w:t>
      </w:r>
      <w:r>
        <w:t xml:space="preserve"> </w:t>
      </w:r>
    </w:p>
    <w:p w14:paraId="4FE46EF7" w14:textId="77777777" w:rsidR="00A71EEF" w:rsidRDefault="0081115D">
      <w:pPr>
        <w:pStyle w:val="a3"/>
        <w:spacing w:line="268" w:lineRule="exact"/>
        <w:ind w:left="838"/>
      </w:pPr>
      <w:r>
        <w:t>q——</w:t>
      </w:r>
      <w:r>
        <w:t>喷头流量；</w:t>
      </w:r>
      <w:r>
        <w:t xml:space="preserve"> </w:t>
      </w:r>
    </w:p>
    <w:p w14:paraId="0981D49F" w14:textId="77777777" w:rsidR="00A71EEF" w:rsidRDefault="00A71EEF">
      <w:pPr>
        <w:pStyle w:val="a3"/>
        <w:spacing w:before="12"/>
        <w:rPr>
          <w:sz w:val="17"/>
        </w:rPr>
      </w:pPr>
    </w:p>
    <w:p w14:paraId="54C697E6" w14:textId="77777777" w:rsidR="00A71EEF" w:rsidRDefault="0081115D">
      <w:pPr>
        <w:pStyle w:val="a3"/>
        <w:spacing w:line="446" w:lineRule="auto"/>
        <w:ind w:left="838" w:right="5077"/>
      </w:pPr>
      <w:r>
        <w:rPr>
          <w:position w:val="1"/>
        </w:rPr>
        <w:t>q</w:t>
      </w:r>
      <w:r>
        <w:rPr>
          <w:sz w:val="11"/>
        </w:rPr>
        <w:t>i</w:t>
      </w:r>
      <w:r>
        <w:rPr>
          <w:position w:val="1"/>
        </w:rPr>
        <w:t>——</w:t>
      </w:r>
      <w:r>
        <w:rPr>
          <w:position w:val="1"/>
        </w:rPr>
        <w:t>最不利点处作用面积内各喷头节点的流量；</w:t>
      </w:r>
      <w:r>
        <w:rPr>
          <w:position w:val="1"/>
        </w:rPr>
        <w:t xml:space="preserve"> q</w:t>
      </w:r>
      <w:r>
        <w:rPr>
          <w:sz w:val="11"/>
        </w:rPr>
        <w:t>g</w:t>
      </w:r>
      <w:r>
        <w:rPr>
          <w:position w:val="1"/>
        </w:rPr>
        <w:t>——</w:t>
      </w:r>
      <w:r>
        <w:rPr>
          <w:position w:val="1"/>
        </w:rPr>
        <w:t>管道设计流量；</w:t>
      </w:r>
      <w:r>
        <w:rPr>
          <w:position w:val="1"/>
        </w:rPr>
        <w:t xml:space="preserve"> </w:t>
      </w:r>
    </w:p>
    <w:p w14:paraId="61BE3EF9" w14:textId="77777777" w:rsidR="00A71EEF" w:rsidRDefault="0081115D">
      <w:pPr>
        <w:pStyle w:val="a3"/>
        <w:spacing w:line="268" w:lineRule="exact"/>
        <w:ind w:left="838"/>
      </w:pPr>
      <w:r>
        <w:t>S——</w:t>
      </w:r>
      <w:r>
        <w:t>喷头间距；</w:t>
      </w:r>
      <w:r>
        <w:t xml:space="preserve"> </w:t>
      </w:r>
    </w:p>
    <w:p w14:paraId="5A82D04A" w14:textId="77777777" w:rsidR="00A71EEF" w:rsidRDefault="00A71EEF">
      <w:pPr>
        <w:pStyle w:val="a3"/>
        <w:spacing w:before="1"/>
        <w:rPr>
          <w:sz w:val="18"/>
        </w:rPr>
      </w:pPr>
    </w:p>
    <w:p w14:paraId="677D8E0F" w14:textId="77777777" w:rsidR="00A71EEF" w:rsidRDefault="0081115D">
      <w:pPr>
        <w:pStyle w:val="a3"/>
        <w:spacing w:before="1" w:line="446" w:lineRule="auto"/>
        <w:ind w:left="838" w:right="6654"/>
      </w:pPr>
      <w:r>
        <w:rPr>
          <w:position w:val="1"/>
        </w:rPr>
        <w:t>S</w:t>
      </w:r>
      <w:r>
        <w:rPr>
          <w:sz w:val="11"/>
        </w:rPr>
        <w:t>L</w:t>
      </w:r>
      <w:r>
        <w:rPr>
          <w:spacing w:val="-3"/>
          <w:position w:val="1"/>
        </w:rPr>
        <w:t>——</w:t>
      </w:r>
      <w:r>
        <w:rPr>
          <w:spacing w:val="-3"/>
          <w:position w:val="1"/>
        </w:rPr>
        <w:t>喷头溅水盘与顶板的距离；</w:t>
      </w:r>
      <w:r>
        <w:rPr>
          <w:spacing w:val="-3"/>
          <w:position w:val="1"/>
        </w:rPr>
        <w:t xml:space="preserve"> </w:t>
      </w:r>
      <w:r>
        <w:rPr>
          <w:position w:val="1"/>
        </w:rPr>
        <w:t>S</w:t>
      </w:r>
      <w:r>
        <w:rPr>
          <w:sz w:val="11"/>
        </w:rPr>
        <w:t>W</w:t>
      </w:r>
      <w:r>
        <w:rPr>
          <w:spacing w:val="-3"/>
          <w:position w:val="1"/>
        </w:rPr>
        <w:t>——</w:t>
      </w:r>
      <w:r>
        <w:rPr>
          <w:spacing w:val="-3"/>
          <w:position w:val="1"/>
        </w:rPr>
        <w:t>喷头溅水盘与背墙的距离；</w:t>
      </w:r>
      <w:r>
        <w:rPr>
          <w:spacing w:val="-3"/>
          <w:position w:val="1"/>
        </w:rPr>
        <w:t xml:space="preserve"> </w:t>
      </w:r>
      <w:r>
        <w:t>V—</w:t>
      </w:r>
      <w:r>
        <w:rPr>
          <w:spacing w:val="-3"/>
        </w:rPr>
        <w:t>—</w:t>
      </w:r>
      <w:r>
        <w:rPr>
          <w:spacing w:val="-3"/>
        </w:rPr>
        <w:t>管道内水的平均流速；</w:t>
      </w:r>
      <w:r>
        <w:rPr>
          <w:spacing w:val="-3"/>
        </w:rPr>
        <w:t xml:space="preserve"> </w:t>
      </w:r>
      <w:r>
        <w:rPr>
          <w:spacing w:val="-3"/>
          <w:position w:val="1"/>
        </w:rPr>
        <w:t>V</w:t>
      </w:r>
      <w:r>
        <w:rPr>
          <w:spacing w:val="-3"/>
          <w:sz w:val="11"/>
        </w:rPr>
        <w:t>g</w:t>
      </w:r>
      <w:r>
        <w:rPr>
          <w:spacing w:val="-3"/>
          <w:position w:val="1"/>
        </w:rPr>
        <w:t>——</w:t>
      </w:r>
      <w:r>
        <w:rPr>
          <w:spacing w:val="-3"/>
          <w:position w:val="1"/>
        </w:rPr>
        <w:t>节流管内水的平均流速；</w:t>
      </w:r>
      <w:r>
        <w:rPr>
          <w:position w:val="1"/>
        </w:rPr>
        <w:t xml:space="preserve"> </w:t>
      </w:r>
    </w:p>
    <w:p w14:paraId="56BFB3DC" w14:textId="77777777" w:rsidR="00A71EEF" w:rsidRDefault="0081115D">
      <w:pPr>
        <w:pStyle w:val="a3"/>
        <w:spacing w:line="267" w:lineRule="exact"/>
        <w:ind w:left="838"/>
      </w:pPr>
      <w:r>
        <w:rPr>
          <w:position w:val="1"/>
        </w:rPr>
        <w:t>V</w:t>
      </w:r>
      <w:r>
        <w:rPr>
          <w:sz w:val="11"/>
        </w:rPr>
        <w:t>k</w:t>
      </w:r>
      <w:r>
        <w:rPr>
          <w:position w:val="1"/>
        </w:rPr>
        <w:t>——</w:t>
      </w:r>
      <w:r>
        <w:rPr>
          <w:position w:val="1"/>
        </w:rPr>
        <w:t>减压孔板后管道内水的平均流速；</w:t>
      </w:r>
      <w:r>
        <w:rPr>
          <w:position w:val="1"/>
        </w:rPr>
        <w:t xml:space="preserve"> </w:t>
      </w:r>
    </w:p>
    <w:p w14:paraId="1363D3AB" w14:textId="77777777" w:rsidR="00A71EEF" w:rsidRDefault="00A71EEF">
      <w:pPr>
        <w:pStyle w:val="a3"/>
        <w:spacing w:before="12"/>
        <w:rPr>
          <w:sz w:val="17"/>
        </w:rPr>
      </w:pPr>
    </w:p>
    <w:p w14:paraId="77BC0B4E" w14:textId="77777777" w:rsidR="00A71EEF" w:rsidRDefault="0081115D">
      <w:pPr>
        <w:pStyle w:val="a3"/>
        <w:ind w:left="838"/>
      </w:pPr>
      <w:r>
        <w:t>Z——</w:t>
      </w:r>
      <w:r>
        <w:t>最不利点处喷头与消防水池最低水位或系统入口管水平中心线之间的高程差；</w:t>
      </w:r>
      <w:r>
        <w:t xml:space="preserve"> </w:t>
      </w:r>
    </w:p>
    <w:p w14:paraId="040A946B" w14:textId="77777777" w:rsidR="00A71EEF" w:rsidRDefault="00A71EEF">
      <w:pPr>
        <w:pStyle w:val="a3"/>
        <w:spacing w:before="2"/>
        <w:rPr>
          <w:sz w:val="18"/>
        </w:rPr>
      </w:pPr>
    </w:p>
    <w:p w14:paraId="24EC81B3" w14:textId="77777777" w:rsidR="00A71EEF" w:rsidRDefault="0081115D">
      <w:pPr>
        <w:pStyle w:val="a3"/>
        <w:spacing w:line="446" w:lineRule="auto"/>
        <w:ind w:left="838" w:right="4657"/>
      </w:pPr>
      <w:r>
        <w:t>ζ——</w:t>
      </w:r>
      <w:r>
        <w:t>节流管中渐缩管与渐扩管的局部阻力系数之和；</w:t>
      </w:r>
      <w:r>
        <w:t xml:space="preserve"> ξ——</w:t>
      </w:r>
      <w:r>
        <w:t>减压孔板的局部阻力系数。</w:t>
      </w:r>
      <w:r>
        <w:t xml:space="preserve"> </w:t>
      </w:r>
    </w:p>
    <w:p w14:paraId="203865AE" w14:textId="77777777" w:rsidR="00A71EEF" w:rsidRDefault="0081115D">
      <w:pPr>
        <w:pStyle w:val="4"/>
        <w:spacing w:line="275" w:lineRule="exact"/>
      </w:pPr>
      <w:r>
        <w:t xml:space="preserve">3 </w:t>
      </w:r>
      <w:r>
        <w:t>设置场所火灾危险等级</w:t>
      </w:r>
      <w:r>
        <w:rPr>
          <w:w w:val="99"/>
        </w:rPr>
        <w:t xml:space="preserve"> </w:t>
      </w:r>
    </w:p>
    <w:p w14:paraId="2EA179C9" w14:textId="77777777" w:rsidR="00A71EEF" w:rsidRDefault="00A71EEF">
      <w:pPr>
        <w:pStyle w:val="a3"/>
        <w:spacing w:before="6"/>
        <w:rPr>
          <w:b/>
          <w:sz w:val="17"/>
        </w:rPr>
      </w:pPr>
    </w:p>
    <w:p w14:paraId="03C9E8FE" w14:textId="77777777" w:rsidR="00A71EEF" w:rsidRDefault="0081115D">
      <w:pPr>
        <w:pStyle w:val="a4"/>
        <w:numPr>
          <w:ilvl w:val="1"/>
          <w:numId w:val="81"/>
        </w:numPr>
        <w:tabs>
          <w:tab w:val="left" w:pos="1160"/>
        </w:tabs>
        <w:spacing w:before="1"/>
        <w:rPr>
          <w:sz w:val="21"/>
        </w:rPr>
      </w:pPr>
      <w:r>
        <w:rPr>
          <w:spacing w:val="-3"/>
          <w:sz w:val="21"/>
        </w:rPr>
        <w:t>设置场所的火灾危险等级应划分为轻危险级、中危险级</w:t>
      </w:r>
      <w:r>
        <w:rPr>
          <w:sz w:val="21"/>
        </w:rPr>
        <w:t>（</w:t>
      </w:r>
      <w:r>
        <w:rPr>
          <w:spacing w:val="-3"/>
          <w:sz w:val="21"/>
        </w:rPr>
        <w:t>Ⅰ</w:t>
      </w:r>
      <w:r>
        <w:rPr>
          <w:spacing w:val="-3"/>
          <w:sz w:val="21"/>
        </w:rPr>
        <w:t>级、</w:t>
      </w:r>
      <w:r>
        <w:rPr>
          <w:spacing w:val="-3"/>
          <w:sz w:val="21"/>
        </w:rPr>
        <w:t xml:space="preserve"> Ⅱ</w:t>
      </w:r>
      <w:r>
        <w:rPr>
          <w:spacing w:val="-3"/>
          <w:sz w:val="21"/>
        </w:rPr>
        <w:t>级）</w:t>
      </w:r>
      <w:r>
        <w:rPr>
          <w:spacing w:val="-2"/>
          <w:sz w:val="21"/>
        </w:rPr>
        <w:t>、严重危险级</w:t>
      </w:r>
    </w:p>
    <w:p w14:paraId="73FC0AFF" w14:textId="77777777" w:rsidR="00A71EEF" w:rsidRDefault="00A71EEF">
      <w:pPr>
        <w:pStyle w:val="a3"/>
        <w:spacing w:before="12"/>
        <w:rPr>
          <w:sz w:val="17"/>
        </w:rPr>
      </w:pPr>
    </w:p>
    <w:p w14:paraId="273ED7B8" w14:textId="77777777" w:rsidR="00A71EEF" w:rsidRDefault="0081115D">
      <w:pPr>
        <w:pStyle w:val="a3"/>
        <w:ind w:left="418"/>
      </w:pPr>
      <w:r>
        <w:t>（</w:t>
      </w:r>
      <w:r>
        <w:t>Ⅰ</w:t>
      </w:r>
      <w:r>
        <w:t>级、</w:t>
      </w:r>
      <w:r>
        <w:t xml:space="preserve"> Ⅱ</w:t>
      </w:r>
      <w:r>
        <w:t>级）和仓库危险级（</w:t>
      </w:r>
      <w:r>
        <w:t xml:space="preserve"> Ⅰ</w:t>
      </w:r>
      <w:r>
        <w:t>级、</w:t>
      </w:r>
      <w:r>
        <w:t xml:space="preserve"> Ⅱ</w:t>
      </w:r>
      <w:r>
        <w:t>级、</w:t>
      </w:r>
      <w:r>
        <w:t xml:space="preserve"> Ⅲ</w:t>
      </w:r>
      <w:r>
        <w:t>级）。</w:t>
      </w:r>
      <w:r>
        <w:t xml:space="preserve"> </w:t>
      </w:r>
    </w:p>
    <w:p w14:paraId="30E663B8" w14:textId="77777777" w:rsidR="00A71EEF" w:rsidRDefault="00A71EEF">
      <w:pPr>
        <w:pStyle w:val="a3"/>
        <w:rPr>
          <w:sz w:val="18"/>
        </w:rPr>
      </w:pPr>
    </w:p>
    <w:p w14:paraId="118C5453" w14:textId="77777777" w:rsidR="00A71EEF" w:rsidRDefault="0081115D">
      <w:pPr>
        <w:pStyle w:val="a4"/>
        <w:numPr>
          <w:ilvl w:val="1"/>
          <w:numId w:val="81"/>
        </w:numPr>
        <w:tabs>
          <w:tab w:val="left" w:pos="1159"/>
        </w:tabs>
        <w:spacing w:line="446" w:lineRule="auto"/>
        <w:ind w:left="418" w:right="1502" w:firstLine="422"/>
        <w:rPr>
          <w:sz w:val="21"/>
        </w:rPr>
      </w:pPr>
      <w:r>
        <w:rPr>
          <w:spacing w:val="-3"/>
          <w:sz w:val="21"/>
        </w:rPr>
        <w:t>设置场所的火灾危险等级，应根据其用途、容纳物品的火灾荷载及室内空间条件等因素，在分析火灾特点和热气流驱动洒水喷头开放及喷水到位的难易程度后确定</w:t>
      </w:r>
      <w:r>
        <w:rPr>
          <w:spacing w:val="-3"/>
          <w:sz w:val="21"/>
        </w:rPr>
        <w:t xml:space="preserve"> </w:t>
      </w:r>
      <w:r>
        <w:rPr>
          <w:spacing w:val="-3"/>
          <w:sz w:val="21"/>
        </w:rPr>
        <w:t>，设置场所应按本</w:t>
      </w:r>
      <w:r>
        <w:rPr>
          <w:spacing w:val="10"/>
          <w:sz w:val="21"/>
        </w:rPr>
        <w:t>规范附录</w:t>
      </w:r>
      <w:r>
        <w:rPr>
          <w:sz w:val="21"/>
        </w:rPr>
        <w:t>A</w:t>
      </w:r>
      <w:r>
        <w:rPr>
          <w:spacing w:val="-10"/>
          <w:sz w:val="21"/>
        </w:rPr>
        <w:t xml:space="preserve"> </w:t>
      </w:r>
      <w:r>
        <w:rPr>
          <w:spacing w:val="-10"/>
          <w:sz w:val="21"/>
        </w:rPr>
        <w:t>进行分类</w:t>
      </w:r>
      <w:r>
        <w:rPr>
          <w:spacing w:val="-10"/>
          <w:sz w:val="21"/>
        </w:rPr>
        <w:t xml:space="preserve"> </w:t>
      </w:r>
      <w:r>
        <w:rPr>
          <w:spacing w:val="-10"/>
          <w:sz w:val="21"/>
        </w:rPr>
        <w:t>。</w:t>
      </w:r>
      <w:r>
        <w:rPr>
          <w:sz w:val="21"/>
        </w:rPr>
        <w:t xml:space="preserve"> </w:t>
      </w:r>
    </w:p>
    <w:p w14:paraId="4F8BBCC2" w14:textId="77777777" w:rsidR="00A71EEF" w:rsidRDefault="0081115D">
      <w:pPr>
        <w:pStyle w:val="a4"/>
        <w:numPr>
          <w:ilvl w:val="1"/>
          <w:numId w:val="81"/>
        </w:numPr>
        <w:tabs>
          <w:tab w:val="left" w:pos="1159"/>
        </w:tabs>
        <w:spacing w:line="446" w:lineRule="auto"/>
        <w:ind w:left="418" w:right="1604" w:firstLine="422"/>
        <w:rPr>
          <w:sz w:val="21"/>
        </w:rPr>
      </w:pPr>
      <w:r>
        <w:rPr>
          <w:spacing w:val="-3"/>
          <w:sz w:val="21"/>
        </w:rPr>
        <w:t>当建筑物内各场所的火灾危险性及灭火难度存在较大差异时，宜按各场所的实际情况确定系统选型与火灾危险等级。</w:t>
      </w:r>
      <w:r>
        <w:rPr>
          <w:sz w:val="21"/>
        </w:rPr>
        <w:t xml:space="preserve"> </w:t>
      </w:r>
    </w:p>
    <w:p w14:paraId="3ED538B1" w14:textId="77777777" w:rsidR="00A71EEF" w:rsidRDefault="0081115D">
      <w:pPr>
        <w:pStyle w:val="4"/>
        <w:spacing w:line="278" w:lineRule="exact"/>
      </w:pPr>
      <w:r>
        <w:t xml:space="preserve">4 </w:t>
      </w:r>
      <w:r>
        <w:t>系统基本要求</w:t>
      </w:r>
      <w:r>
        <w:rPr>
          <w:w w:val="99"/>
        </w:rPr>
        <w:t xml:space="preserve"> </w:t>
      </w:r>
    </w:p>
    <w:p w14:paraId="14ECAC74" w14:textId="77777777" w:rsidR="00A71EEF" w:rsidRDefault="00A71EEF">
      <w:pPr>
        <w:pStyle w:val="a3"/>
        <w:spacing w:before="2"/>
        <w:rPr>
          <w:b/>
          <w:sz w:val="17"/>
        </w:rPr>
      </w:pPr>
    </w:p>
    <w:p w14:paraId="56A0A2EC" w14:textId="77777777" w:rsidR="00A71EEF" w:rsidRDefault="0081115D">
      <w:pPr>
        <w:pStyle w:val="a4"/>
        <w:numPr>
          <w:ilvl w:val="1"/>
          <w:numId w:val="80"/>
        </w:numPr>
        <w:tabs>
          <w:tab w:val="left" w:pos="1159"/>
        </w:tabs>
        <w:spacing w:before="1"/>
        <w:ind w:hanging="319"/>
        <w:rPr>
          <w:sz w:val="21"/>
        </w:rPr>
      </w:pPr>
      <w:r>
        <w:rPr>
          <w:spacing w:val="-3"/>
          <w:sz w:val="21"/>
        </w:rPr>
        <w:t>一般规定</w:t>
      </w:r>
      <w:r>
        <w:rPr>
          <w:sz w:val="21"/>
        </w:rPr>
        <w:t xml:space="preserve"> </w:t>
      </w:r>
    </w:p>
    <w:p w14:paraId="6B972E32" w14:textId="77777777" w:rsidR="00A71EEF" w:rsidRDefault="00A71EEF">
      <w:pPr>
        <w:pStyle w:val="a3"/>
        <w:spacing w:before="1"/>
        <w:rPr>
          <w:sz w:val="18"/>
        </w:rPr>
      </w:pPr>
    </w:p>
    <w:p w14:paraId="21D414AD" w14:textId="77777777" w:rsidR="00A71EEF" w:rsidRDefault="0081115D">
      <w:pPr>
        <w:pStyle w:val="a4"/>
        <w:numPr>
          <w:ilvl w:val="2"/>
          <w:numId w:val="80"/>
        </w:numPr>
        <w:tabs>
          <w:tab w:val="left" w:pos="1424"/>
        </w:tabs>
        <w:rPr>
          <w:sz w:val="21"/>
        </w:rPr>
      </w:pPr>
      <w:r>
        <w:rPr>
          <w:spacing w:val="-3"/>
          <w:sz w:val="21"/>
        </w:rPr>
        <w:t>自动喷水灭火系统的设置场所应符合国家现行相关标准的规定。</w:t>
      </w:r>
      <w:r>
        <w:rPr>
          <w:sz w:val="21"/>
        </w:rPr>
        <w:t xml:space="preserve"> </w:t>
      </w:r>
    </w:p>
    <w:p w14:paraId="6029E286" w14:textId="77777777" w:rsidR="00A71EEF" w:rsidRDefault="00A71EEF">
      <w:pPr>
        <w:rPr>
          <w:sz w:val="21"/>
        </w:rPr>
        <w:sectPr w:rsidR="00A71EEF">
          <w:pgSz w:w="11910" w:h="16850"/>
          <w:pgMar w:top="1220" w:right="0" w:bottom="1420" w:left="1260" w:header="0" w:footer="1239" w:gutter="0"/>
          <w:cols w:space="720"/>
        </w:sectPr>
      </w:pPr>
    </w:p>
    <w:p w14:paraId="41E418EE" w14:textId="77777777" w:rsidR="00A71EEF" w:rsidRDefault="0081115D">
      <w:pPr>
        <w:pStyle w:val="a4"/>
        <w:numPr>
          <w:ilvl w:val="2"/>
          <w:numId w:val="80"/>
        </w:numPr>
        <w:tabs>
          <w:tab w:val="left" w:pos="1424"/>
        </w:tabs>
        <w:spacing w:before="47" w:line="446" w:lineRule="auto"/>
        <w:ind w:left="838" w:right="4074" w:firstLine="2"/>
        <w:rPr>
          <w:b/>
          <w:sz w:val="21"/>
        </w:rPr>
      </w:pPr>
      <w:r>
        <w:rPr>
          <w:spacing w:val="-3"/>
          <w:sz w:val="21"/>
        </w:rPr>
        <w:t>自动喷水灭火系统不适用于存在较多下列物品的场所：</w:t>
      </w:r>
      <w:r>
        <w:rPr>
          <w:spacing w:val="-3"/>
          <w:sz w:val="21"/>
        </w:rPr>
        <w:t xml:space="preserve"> </w:t>
      </w:r>
      <w:r>
        <w:rPr>
          <w:spacing w:val="-3"/>
          <w:sz w:val="21"/>
        </w:rPr>
        <w:t>遇水发生爆炸或加速燃烧的物品；</w:t>
      </w:r>
      <w:r>
        <w:rPr>
          <w:b/>
          <w:w w:val="99"/>
          <w:sz w:val="21"/>
        </w:rPr>
        <w:t xml:space="preserve"> </w:t>
      </w:r>
    </w:p>
    <w:p w14:paraId="669D2BAA" w14:textId="77777777" w:rsidR="00A71EEF" w:rsidRDefault="0081115D">
      <w:pPr>
        <w:pStyle w:val="a3"/>
        <w:spacing w:line="446" w:lineRule="auto"/>
        <w:ind w:left="838" w:right="4866"/>
        <w:rPr>
          <w:b/>
        </w:rPr>
      </w:pPr>
      <w:r>
        <w:t>遇</w:t>
      </w:r>
      <w:r>
        <w:t>水发生剧烈化学反应或产生有毒有害物质的物品；</w:t>
      </w:r>
      <w:r>
        <w:t xml:space="preserve"> </w:t>
      </w:r>
      <w:r>
        <w:t>洒水将导致喷溅或沸溢的液体。</w:t>
      </w:r>
      <w:r>
        <w:rPr>
          <w:b/>
          <w:w w:val="99"/>
        </w:rPr>
        <w:t xml:space="preserve"> </w:t>
      </w:r>
    </w:p>
    <w:p w14:paraId="36A1045B" w14:textId="77777777" w:rsidR="00A71EEF" w:rsidRDefault="0081115D">
      <w:pPr>
        <w:pStyle w:val="a4"/>
        <w:numPr>
          <w:ilvl w:val="2"/>
          <w:numId w:val="80"/>
        </w:numPr>
        <w:tabs>
          <w:tab w:val="left" w:pos="1424"/>
        </w:tabs>
        <w:rPr>
          <w:sz w:val="21"/>
        </w:rPr>
      </w:pPr>
      <w:r>
        <w:rPr>
          <w:spacing w:val="-3"/>
          <w:sz w:val="21"/>
        </w:rPr>
        <w:t>自动喷水灭火系统的设计原则应符合下列规定：</w:t>
      </w:r>
      <w:r>
        <w:rPr>
          <w:sz w:val="21"/>
        </w:rPr>
        <w:t xml:space="preserve"> </w:t>
      </w:r>
    </w:p>
    <w:p w14:paraId="5A30EA9A" w14:textId="77777777" w:rsidR="00A71EEF" w:rsidRDefault="00A71EEF">
      <w:pPr>
        <w:pStyle w:val="a3"/>
        <w:spacing w:before="10"/>
        <w:rPr>
          <w:sz w:val="17"/>
        </w:rPr>
      </w:pPr>
    </w:p>
    <w:p w14:paraId="21A50418" w14:textId="77777777" w:rsidR="00A71EEF" w:rsidRDefault="0081115D">
      <w:pPr>
        <w:pStyle w:val="a3"/>
        <w:ind w:left="838"/>
      </w:pPr>
      <w:r>
        <w:t>闭式洒水喷头或启动系统的火灾探测器，应能有效探测初期火灾；</w:t>
      </w:r>
      <w:r>
        <w:t xml:space="preserve"> </w:t>
      </w:r>
    </w:p>
    <w:p w14:paraId="529AC0A5" w14:textId="77777777" w:rsidR="00A71EEF" w:rsidRDefault="00A71EEF">
      <w:pPr>
        <w:pStyle w:val="a3"/>
        <w:spacing w:before="2"/>
        <w:rPr>
          <w:sz w:val="18"/>
        </w:rPr>
      </w:pPr>
    </w:p>
    <w:p w14:paraId="15DD4F10" w14:textId="77777777" w:rsidR="00A71EEF" w:rsidRDefault="0081115D">
      <w:pPr>
        <w:pStyle w:val="a3"/>
        <w:spacing w:line="446" w:lineRule="auto"/>
        <w:ind w:left="418" w:right="1609" w:firstLine="419"/>
      </w:pPr>
      <w:r>
        <w:t>湿式系统、干式系统应在开放一只洒水喷头后自动启动，预作用系统、雨淋系统和水幕系统应根据其类型由火灾探测器、闭式洒水喷头作为探测元件，报警后自动启动；</w:t>
      </w:r>
      <w:r>
        <w:t xml:space="preserve"> </w:t>
      </w:r>
    </w:p>
    <w:p w14:paraId="662ED979" w14:textId="77777777" w:rsidR="00A71EEF" w:rsidRDefault="0081115D">
      <w:pPr>
        <w:pStyle w:val="a3"/>
        <w:spacing w:line="446" w:lineRule="auto"/>
        <w:ind w:left="838" w:right="2345"/>
      </w:pPr>
      <w:r>
        <w:rPr>
          <w:spacing w:val="-3"/>
        </w:rPr>
        <w:t>作用面积内开放的洒水喷头，应在规定时间内按设计选定的喷水强度持续喷水；</w:t>
      </w:r>
      <w:r>
        <w:rPr>
          <w:spacing w:val="-3"/>
        </w:rPr>
        <w:t xml:space="preserve"> </w:t>
      </w:r>
      <w:r>
        <w:rPr>
          <w:spacing w:val="-3"/>
        </w:rPr>
        <w:t>喷头洒水时，应均匀分布，且不应受阻挡。</w:t>
      </w:r>
      <w:r>
        <w:t xml:space="preserve"> </w:t>
      </w:r>
    </w:p>
    <w:p w14:paraId="2E59EDCB" w14:textId="77777777" w:rsidR="00A71EEF" w:rsidRDefault="0081115D">
      <w:pPr>
        <w:pStyle w:val="a4"/>
        <w:numPr>
          <w:ilvl w:val="1"/>
          <w:numId w:val="80"/>
        </w:numPr>
        <w:tabs>
          <w:tab w:val="left" w:pos="1160"/>
        </w:tabs>
        <w:ind w:left="1159" w:hanging="320"/>
        <w:rPr>
          <w:sz w:val="21"/>
        </w:rPr>
      </w:pPr>
      <w:r>
        <w:rPr>
          <w:spacing w:val="-3"/>
          <w:sz w:val="21"/>
        </w:rPr>
        <w:t>系统选型</w:t>
      </w:r>
      <w:r>
        <w:rPr>
          <w:sz w:val="21"/>
        </w:rPr>
        <w:t xml:space="preserve"> </w:t>
      </w:r>
    </w:p>
    <w:p w14:paraId="4B0461BB" w14:textId="77777777" w:rsidR="00A71EEF" w:rsidRDefault="00A71EEF">
      <w:pPr>
        <w:pStyle w:val="a3"/>
        <w:spacing w:before="10"/>
        <w:rPr>
          <w:sz w:val="17"/>
        </w:rPr>
      </w:pPr>
    </w:p>
    <w:p w14:paraId="02262CBD" w14:textId="77777777" w:rsidR="00A71EEF" w:rsidRDefault="0081115D">
      <w:pPr>
        <w:pStyle w:val="a4"/>
        <w:numPr>
          <w:ilvl w:val="2"/>
          <w:numId w:val="80"/>
        </w:numPr>
        <w:tabs>
          <w:tab w:val="left" w:pos="1370"/>
        </w:tabs>
        <w:spacing w:before="1" w:line="446" w:lineRule="auto"/>
        <w:ind w:left="418" w:right="1604" w:firstLine="422"/>
        <w:rPr>
          <w:sz w:val="21"/>
        </w:rPr>
      </w:pPr>
      <w:r>
        <w:rPr>
          <w:spacing w:val="-3"/>
          <w:sz w:val="21"/>
        </w:rPr>
        <w:t>自动喷水灭火系统选型应根据设置场所的建筑特征、环境条件和火灾特点等选择相应的开式或闭式系统。露天场所不宜采用闭式系统。</w:t>
      </w:r>
      <w:r>
        <w:rPr>
          <w:spacing w:val="-3"/>
          <w:sz w:val="21"/>
        </w:rPr>
        <w:t xml:space="preserve"> </w:t>
      </w:r>
    </w:p>
    <w:p w14:paraId="0D8EEE0F" w14:textId="77777777" w:rsidR="00A71EEF" w:rsidRDefault="0081115D">
      <w:pPr>
        <w:pStyle w:val="a4"/>
        <w:numPr>
          <w:ilvl w:val="2"/>
          <w:numId w:val="80"/>
        </w:numPr>
        <w:tabs>
          <w:tab w:val="left" w:pos="1370"/>
        </w:tabs>
        <w:ind w:left="1369" w:hanging="530"/>
        <w:rPr>
          <w:sz w:val="21"/>
        </w:rPr>
      </w:pPr>
      <w:r>
        <w:rPr>
          <w:spacing w:val="-10"/>
          <w:sz w:val="21"/>
        </w:rPr>
        <w:t>环境温度不低于</w:t>
      </w:r>
      <w:r>
        <w:rPr>
          <w:spacing w:val="-10"/>
          <w:sz w:val="21"/>
        </w:rPr>
        <w:t xml:space="preserve"> </w:t>
      </w:r>
      <w:r>
        <w:rPr>
          <w:sz w:val="21"/>
        </w:rPr>
        <w:t>4</w:t>
      </w:r>
      <w:r>
        <w:rPr>
          <w:spacing w:val="-11"/>
          <w:sz w:val="21"/>
        </w:rPr>
        <w:t>℃</w:t>
      </w:r>
      <w:r>
        <w:rPr>
          <w:spacing w:val="-11"/>
          <w:sz w:val="21"/>
        </w:rPr>
        <w:t>且不高于</w:t>
      </w:r>
      <w:r>
        <w:rPr>
          <w:spacing w:val="-11"/>
          <w:sz w:val="21"/>
        </w:rPr>
        <w:t xml:space="preserve"> </w:t>
      </w:r>
      <w:r>
        <w:rPr>
          <w:sz w:val="21"/>
        </w:rPr>
        <w:t>70</w:t>
      </w:r>
      <w:r>
        <w:rPr>
          <w:spacing w:val="-3"/>
          <w:sz w:val="21"/>
        </w:rPr>
        <w:t>℃</w:t>
      </w:r>
      <w:r>
        <w:rPr>
          <w:spacing w:val="-3"/>
          <w:sz w:val="21"/>
        </w:rPr>
        <w:t>的场所，应采用湿式系统。</w:t>
      </w:r>
      <w:r>
        <w:rPr>
          <w:sz w:val="21"/>
        </w:rPr>
        <w:t xml:space="preserve"> </w:t>
      </w:r>
    </w:p>
    <w:p w14:paraId="3F4F6D0C" w14:textId="77777777" w:rsidR="00A71EEF" w:rsidRDefault="00A71EEF">
      <w:pPr>
        <w:pStyle w:val="a3"/>
        <w:spacing w:before="12"/>
        <w:rPr>
          <w:sz w:val="17"/>
        </w:rPr>
      </w:pPr>
    </w:p>
    <w:p w14:paraId="65174DA8" w14:textId="77777777" w:rsidR="00A71EEF" w:rsidRDefault="0081115D">
      <w:pPr>
        <w:pStyle w:val="a4"/>
        <w:numPr>
          <w:ilvl w:val="2"/>
          <w:numId w:val="80"/>
        </w:numPr>
        <w:tabs>
          <w:tab w:val="left" w:pos="1424"/>
        </w:tabs>
        <w:spacing w:line="446" w:lineRule="auto"/>
        <w:ind w:left="840" w:right="3865" w:firstLine="0"/>
        <w:rPr>
          <w:sz w:val="21"/>
        </w:rPr>
      </w:pPr>
      <w:r>
        <w:rPr>
          <w:spacing w:val="-10"/>
          <w:sz w:val="21"/>
        </w:rPr>
        <w:t>环境温度低于</w:t>
      </w:r>
      <w:r>
        <w:rPr>
          <w:spacing w:val="-10"/>
          <w:sz w:val="21"/>
        </w:rPr>
        <w:t xml:space="preserve"> </w:t>
      </w:r>
      <w:r>
        <w:rPr>
          <w:sz w:val="21"/>
        </w:rPr>
        <w:t>4</w:t>
      </w:r>
      <w:r>
        <w:rPr>
          <w:spacing w:val="-12"/>
          <w:sz w:val="21"/>
        </w:rPr>
        <w:t>℃</w:t>
      </w:r>
      <w:r>
        <w:rPr>
          <w:spacing w:val="-12"/>
          <w:sz w:val="21"/>
        </w:rPr>
        <w:t>或高于</w:t>
      </w:r>
      <w:r>
        <w:rPr>
          <w:spacing w:val="-12"/>
          <w:sz w:val="21"/>
        </w:rPr>
        <w:t xml:space="preserve"> </w:t>
      </w:r>
      <w:r>
        <w:rPr>
          <w:sz w:val="21"/>
        </w:rPr>
        <w:t>70</w:t>
      </w:r>
      <w:r>
        <w:rPr>
          <w:spacing w:val="-3"/>
          <w:sz w:val="21"/>
        </w:rPr>
        <w:t>℃</w:t>
      </w:r>
      <w:r>
        <w:rPr>
          <w:spacing w:val="-3"/>
          <w:sz w:val="21"/>
        </w:rPr>
        <w:t>的场所，应采用干式系统。</w:t>
      </w:r>
      <w:r>
        <w:rPr>
          <w:b/>
          <w:sz w:val="21"/>
        </w:rPr>
        <w:t>4.2.4</w:t>
      </w:r>
      <w:r>
        <w:rPr>
          <w:b/>
          <w:spacing w:val="4"/>
          <w:sz w:val="21"/>
        </w:rPr>
        <w:t xml:space="preserve"> </w:t>
      </w:r>
      <w:r>
        <w:rPr>
          <w:spacing w:val="-3"/>
          <w:sz w:val="21"/>
        </w:rPr>
        <w:t>具有下列要求之一的场所，应采用预作用系统：</w:t>
      </w:r>
      <w:r>
        <w:rPr>
          <w:sz w:val="21"/>
        </w:rPr>
        <w:t xml:space="preserve"> </w:t>
      </w:r>
    </w:p>
    <w:p w14:paraId="4A0B203D" w14:textId="77777777" w:rsidR="00A71EEF" w:rsidRDefault="0081115D">
      <w:pPr>
        <w:pStyle w:val="a3"/>
        <w:ind w:left="838"/>
        <w:rPr>
          <w:b/>
        </w:rPr>
      </w:pPr>
      <w:r>
        <w:t>系统处于准工作状态时严禁误喷的场所；</w:t>
      </w:r>
      <w:r>
        <w:rPr>
          <w:b/>
          <w:w w:val="99"/>
        </w:rPr>
        <w:t xml:space="preserve"> </w:t>
      </w:r>
    </w:p>
    <w:p w14:paraId="27E0A7D1" w14:textId="77777777" w:rsidR="00A71EEF" w:rsidRDefault="00A71EEF">
      <w:pPr>
        <w:pStyle w:val="a3"/>
        <w:spacing w:before="12"/>
        <w:rPr>
          <w:b/>
          <w:sz w:val="17"/>
        </w:rPr>
      </w:pPr>
    </w:p>
    <w:p w14:paraId="7092C6BA" w14:textId="77777777" w:rsidR="00A71EEF" w:rsidRDefault="0081115D">
      <w:pPr>
        <w:pStyle w:val="a3"/>
        <w:spacing w:line="446" w:lineRule="auto"/>
        <w:ind w:left="838" w:right="5497"/>
        <w:rPr>
          <w:b/>
        </w:rPr>
      </w:pPr>
      <w:r>
        <w:t>系统处于准工作状态时严禁管道充水的场所；</w:t>
      </w:r>
      <w:r>
        <w:t xml:space="preserve"> </w:t>
      </w:r>
      <w:r>
        <w:t>用于替代干式系统的场所。</w:t>
      </w:r>
      <w:r>
        <w:rPr>
          <w:b/>
          <w:w w:val="99"/>
        </w:rPr>
        <w:t xml:space="preserve"> </w:t>
      </w:r>
    </w:p>
    <w:p w14:paraId="49DECA8D" w14:textId="77777777" w:rsidR="00A71EEF" w:rsidRDefault="0081115D">
      <w:pPr>
        <w:pStyle w:val="a4"/>
        <w:numPr>
          <w:ilvl w:val="2"/>
          <w:numId w:val="79"/>
        </w:numPr>
        <w:tabs>
          <w:tab w:val="left" w:pos="1371"/>
        </w:tabs>
        <w:spacing w:before="1"/>
        <w:rPr>
          <w:sz w:val="21"/>
        </w:rPr>
      </w:pPr>
      <w:r>
        <w:rPr>
          <w:spacing w:val="-3"/>
          <w:sz w:val="21"/>
        </w:rPr>
        <w:t>灭火后必须及时停止喷水的场所，应采用重复启闭预作用系统。</w:t>
      </w:r>
      <w:r>
        <w:rPr>
          <w:sz w:val="21"/>
        </w:rPr>
        <w:t xml:space="preserve"> </w:t>
      </w:r>
    </w:p>
    <w:p w14:paraId="030D5C2B" w14:textId="77777777" w:rsidR="00A71EEF" w:rsidRDefault="00A71EEF">
      <w:pPr>
        <w:pStyle w:val="a3"/>
        <w:spacing w:before="12"/>
        <w:rPr>
          <w:sz w:val="17"/>
        </w:rPr>
      </w:pPr>
    </w:p>
    <w:p w14:paraId="3295820A" w14:textId="77777777" w:rsidR="00A71EEF" w:rsidRDefault="0081115D">
      <w:pPr>
        <w:pStyle w:val="a4"/>
        <w:numPr>
          <w:ilvl w:val="2"/>
          <w:numId w:val="79"/>
        </w:numPr>
        <w:tabs>
          <w:tab w:val="left" w:pos="1370"/>
        </w:tabs>
        <w:ind w:left="1369" w:hanging="530"/>
        <w:rPr>
          <w:sz w:val="21"/>
        </w:rPr>
      </w:pPr>
      <w:r>
        <w:rPr>
          <w:spacing w:val="-3"/>
          <w:sz w:val="21"/>
        </w:rPr>
        <w:t>具有下列条件之一的场所，应采用雨淋系统：</w:t>
      </w:r>
      <w:r>
        <w:rPr>
          <w:spacing w:val="-3"/>
          <w:sz w:val="21"/>
        </w:rPr>
        <w:t xml:space="preserve"> </w:t>
      </w:r>
    </w:p>
    <w:p w14:paraId="2CAA77C1" w14:textId="77777777" w:rsidR="00A71EEF" w:rsidRDefault="00A71EEF">
      <w:pPr>
        <w:pStyle w:val="a3"/>
        <w:spacing w:before="2"/>
        <w:rPr>
          <w:sz w:val="18"/>
        </w:rPr>
      </w:pPr>
    </w:p>
    <w:p w14:paraId="22C0E17C" w14:textId="77777777" w:rsidR="00A71EEF" w:rsidRDefault="0081115D">
      <w:pPr>
        <w:pStyle w:val="a3"/>
        <w:spacing w:line="446" w:lineRule="auto"/>
        <w:ind w:left="838" w:right="1505"/>
      </w:pPr>
      <w:r>
        <w:rPr>
          <w:spacing w:val="-3"/>
        </w:rPr>
        <w:t>火灾的水平蔓延速度快、闭式洒水喷头的开放不能及时使喷水有效覆盖着火区域的场所；</w:t>
      </w:r>
      <w:r>
        <w:rPr>
          <w:spacing w:val="-3"/>
        </w:rPr>
        <w:t xml:space="preserve"> </w:t>
      </w:r>
      <w:r>
        <w:rPr>
          <w:spacing w:val="-1"/>
        </w:rPr>
        <w:t>设置场所的净空高度超过本规范第</w:t>
      </w:r>
      <w:r>
        <w:rPr>
          <w:spacing w:val="-1"/>
        </w:rPr>
        <w:t xml:space="preserve"> </w:t>
      </w:r>
      <w:r>
        <w:t>6.1.1</w:t>
      </w:r>
      <w:r>
        <w:rPr>
          <w:spacing w:val="-3"/>
        </w:rPr>
        <w:t xml:space="preserve"> </w:t>
      </w:r>
      <w:r>
        <w:rPr>
          <w:spacing w:val="-3"/>
        </w:rPr>
        <w:t>条的规定，且必须迅速扑救初期火灾的场所；</w:t>
      </w:r>
      <w:r>
        <w:rPr>
          <w:spacing w:val="-3"/>
        </w:rPr>
        <w:t xml:space="preserve"> </w:t>
      </w:r>
      <w:r>
        <w:rPr>
          <w:spacing w:val="-3"/>
        </w:rPr>
        <w:t>火灾危险等级为严重危险级</w:t>
      </w:r>
      <w:r>
        <w:rPr>
          <w:spacing w:val="-3"/>
        </w:rPr>
        <w:t>Ⅱ</w:t>
      </w:r>
      <w:r>
        <w:rPr>
          <w:spacing w:val="-3"/>
        </w:rPr>
        <w:t>级的场所。</w:t>
      </w:r>
      <w:r>
        <w:t xml:space="preserve"> </w:t>
      </w:r>
    </w:p>
    <w:p w14:paraId="5C9718A1" w14:textId="77777777" w:rsidR="00A71EEF" w:rsidRDefault="0081115D">
      <w:pPr>
        <w:pStyle w:val="a4"/>
        <w:numPr>
          <w:ilvl w:val="2"/>
          <w:numId w:val="79"/>
        </w:numPr>
        <w:tabs>
          <w:tab w:val="left" w:pos="1370"/>
        </w:tabs>
        <w:spacing w:line="446" w:lineRule="auto"/>
        <w:ind w:left="418" w:right="1608" w:firstLine="422"/>
        <w:rPr>
          <w:sz w:val="21"/>
        </w:rPr>
      </w:pPr>
      <w:r>
        <w:rPr>
          <w:spacing w:val="-2"/>
          <w:sz w:val="21"/>
        </w:rPr>
        <w:t>符合下列条件之一的场所，宜采用设置早期抑制快速响应喷头的自动喷水灭火系</w:t>
      </w:r>
      <w:r>
        <w:rPr>
          <w:spacing w:val="-2"/>
          <w:sz w:val="21"/>
        </w:rPr>
        <w:t xml:space="preserve"> </w:t>
      </w:r>
      <w:r>
        <w:rPr>
          <w:spacing w:val="-2"/>
          <w:sz w:val="21"/>
        </w:rPr>
        <w:t>统</w:t>
      </w:r>
      <w:r>
        <w:rPr>
          <w:spacing w:val="-3"/>
          <w:sz w:val="21"/>
        </w:rPr>
        <w:t>。当采用早期抑制快速响应喷头时，系统应为湿式系统，且系</w:t>
      </w:r>
      <w:r>
        <w:rPr>
          <w:spacing w:val="-3"/>
          <w:sz w:val="21"/>
        </w:rPr>
        <w:t>统设计基本参数应符合本规范第</w:t>
      </w:r>
      <w:r>
        <w:rPr>
          <w:spacing w:val="-3"/>
          <w:sz w:val="21"/>
        </w:rPr>
        <w:t>5.0.5</w:t>
      </w:r>
      <w:r>
        <w:rPr>
          <w:spacing w:val="-11"/>
          <w:sz w:val="21"/>
        </w:rPr>
        <w:t xml:space="preserve"> </w:t>
      </w:r>
      <w:r>
        <w:rPr>
          <w:spacing w:val="-11"/>
          <w:sz w:val="21"/>
        </w:rPr>
        <w:t>条的规定。</w:t>
      </w:r>
      <w:r>
        <w:rPr>
          <w:sz w:val="21"/>
        </w:rPr>
        <w:t xml:space="preserve"> </w:t>
      </w:r>
    </w:p>
    <w:p w14:paraId="2B98B660" w14:textId="77777777" w:rsidR="00A71EEF" w:rsidRDefault="00A71EEF">
      <w:pPr>
        <w:spacing w:line="446" w:lineRule="auto"/>
        <w:rPr>
          <w:sz w:val="21"/>
        </w:rPr>
        <w:sectPr w:rsidR="00A71EEF">
          <w:pgSz w:w="11910" w:h="16850"/>
          <w:pgMar w:top="1220" w:right="0" w:bottom="1420" w:left="1260" w:header="0" w:footer="1239" w:gutter="0"/>
          <w:cols w:space="720"/>
        </w:sectPr>
      </w:pPr>
    </w:p>
    <w:p w14:paraId="1C994B35" w14:textId="77777777" w:rsidR="00A71EEF" w:rsidRDefault="0081115D">
      <w:pPr>
        <w:pStyle w:val="a3"/>
        <w:spacing w:before="47" w:line="446" w:lineRule="auto"/>
        <w:ind w:left="418" w:right="1455" w:firstLine="419"/>
      </w:pPr>
      <w:r>
        <w:rPr>
          <w:spacing w:val="-7"/>
        </w:rPr>
        <w:t>最大净空高度不超过</w:t>
      </w:r>
      <w:r>
        <w:rPr>
          <w:spacing w:val="-7"/>
        </w:rPr>
        <w:t xml:space="preserve"> </w:t>
      </w:r>
      <w:r>
        <w:t>13.5m</w:t>
      </w:r>
      <w:r>
        <w:rPr>
          <w:spacing w:val="-12"/>
        </w:rPr>
        <w:t xml:space="preserve"> </w:t>
      </w:r>
      <w:r>
        <w:rPr>
          <w:spacing w:val="-12"/>
        </w:rPr>
        <w:t>且最大储物高度不超过</w:t>
      </w:r>
      <w:r>
        <w:rPr>
          <w:spacing w:val="-12"/>
        </w:rPr>
        <w:t xml:space="preserve"> </w:t>
      </w:r>
      <w:r>
        <w:t>12.0m</w:t>
      </w:r>
      <w:r>
        <w:rPr>
          <w:spacing w:val="-3"/>
        </w:rPr>
        <w:t>，储物类别为仓库危险级</w:t>
      </w:r>
      <w:r>
        <w:rPr>
          <w:spacing w:val="-3"/>
        </w:rPr>
        <w:t>Ⅰ</w:t>
      </w:r>
      <w:r>
        <w:rPr>
          <w:spacing w:val="-3"/>
        </w:rPr>
        <w:t>、</w:t>
      </w:r>
      <w:r>
        <w:rPr>
          <w:spacing w:val="-3"/>
        </w:rPr>
        <w:t>Ⅱ</w:t>
      </w:r>
      <w:r>
        <w:rPr>
          <w:spacing w:val="-3"/>
        </w:rPr>
        <w:t>级或沥青制品、箱装不发泡塑料的仓库及类似场所；</w:t>
      </w:r>
      <w:r>
        <w:t xml:space="preserve"> </w:t>
      </w:r>
    </w:p>
    <w:p w14:paraId="3FE6EAEC" w14:textId="77777777" w:rsidR="00A71EEF" w:rsidRDefault="0081115D">
      <w:pPr>
        <w:pStyle w:val="a3"/>
        <w:spacing w:line="446" w:lineRule="auto"/>
        <w:ind w:left="418" w:right="1455" w:firstLine="419"/>
      </w:pPr>
      <w:r>
        <w:rPr>
          <w:spacing w:val="-7"/>
        </w:rPr>
        <w:t>最大净空高度不超过</w:t>
      </w:r>
      <w:r>
        <w:rPr>
          <w:spacing w:val="-7"/>
        </w:rPr>
        <w:t xml:space="preserve"> </w:t>
      </w:r>
      <w:r>
        <w:t>12.0m</w:t>
      </w:r>
      <w:r>
        <w:rPr>
          <w:spacing w:val="-12"/>
        </w:rPr>
        <w:t xml:space="preserve"> </w:t>
      </w:r>
      <w:r>
        <w:rPr>
          <w:spacing w:val="-12"/>
        </w:rPr>
        <w:t>且最大储物高度不超过</w:t>
      </w:r>
      <w:r>
        <w:rPr>
          <w:spacing w:val="-12"/>
        </w:rPr>
        <w:t xml:space="preserve"> </w:t>
      </w:r>
      <w:r>
        <w:t>10.5m</w:t>
      </w:r>
      <w:r>
        <w:rPr>
          <w:spacing w:val="-3"/>
        </w:rPr>
        <w:t>，储物类别为袋装不发泡塑料、箱装发泡塑料和袋装发泡塑料的仓库及类似场所。</w:t>
      </w:r>
      <w:r>
        <w:t xml:space="preserve"> </w:t>
      </w:r>
    </w:p>
    <w:p w14:paraId="18CF4231" w14:textId="77777777" w:rsidR="00A71EEF" w:rsidRDefault="0081115D">
      <w:pPr>
        <w:pStyle w:val="a4"/>
        <w:numPr>
          <w:ilvl w:val="2"/>
          <w:numId w:val="79"/>
        </w:numPr>
        <w:tabs>
          <w:tab w:val="left" w:pos="1370"/>
        </w:tabs>
        <w:spacing w:line="446" w:lineRule="auto"/>
        <w:ind w:left="418" w:right="1604" w:firstLine="422"/>
        <w:rPr>
          <w:sz w:val="21"/>
        </w:rPr>
      </w:pPr>
      <w:r>
        <w:rPr>
          <w:spacing w:val="-3"/>
          <w:sz w:val="21"/>
        </w:rPr>
        <w:t>符合下列条件之一的场所，宜采用设置仓库型特殊应用喷头的自动喷水灭火系统，</w:t>
      </w:r>
      <w:r>
        <w:rPr>
          <w:spacing w:val="-3"/>
          <w:sz w:val="21"/>
        </w:rPr>
        <w:t xml:space="preserve"> </w:t>
      </w:r>
      <w:r>
        <w:rPr>
          <w:spacing w:val="-7"/>
          <w:sz w:val="21"/>
        </w:rPr>
        <w:t>系统设计基本参数应符合本规范第</w:t>
      </w:r>
      <w:r>
        <w:rPr>
          <w:spacing w:val="-7"/>
          <w:sz w:val="21"/>
        </w:rPr>
        <w:t xml:space="preserve"> </w:t>
      </w:r>
      <w:r>
        <w:rPr>
          <w:sz w:val="21"/>
        </w:rPr>
        <w:t>5.0.6</w:t>
      </w:r>
      <w:r>
        <w:rPr>
          <w:spacing w:val="-11"/>
          <w:sz w:val="21"/>
        </w:rPr>
        <w:t xml:space="preserve"> </w:t>
      </w:r>
      <w:r>
        <w:rPr>
          <w:spacing w:val="-11"/>
          <w:sz w:val="21"/>
        </w:rPr>
        <w:t>条的规定。</w:t>
      </w:r>
      <w:r>
        <w:rPr>
          <w:spacing w:val="-11"/>
          <w:sz w:val="21"/>
        </w:rPr>
        <w:t xml:space="preserve"> </w:t>
      </w:r>
    </w:p>
    <w:p w14:paraId="622B1F33" w14:textId="77777777" w:rsidR="00A71EEF" w:rsidRDefault="0081115D">
      <w:pPr>
        <w:pStyle w:val="a3"/>
        <w:spacing w:line="446" w:lineRule="auto"/>
        <w:ind w:left="418" w:right="1455" w:firstLine="419"/>
      </w:pPr>
      <w:r>
        <w:rPr>
          <w:spacing w:val="-7"/>
        </w:rPr>
        <w:t>最大净空</w:t>
      </w:r>
      <w:r>
        <w:rPr>
          <w:spacing w:val="-7"/>
        </w:rPr>
        <w:t>高度不超过</w:t>
      </w:r>
      <w:r>
        <w:rPr>
          <w:spacing w:val="-7"/>
        </w:rPr>
        <w:t xml:space="preserve"> </w:t>
      </w:r>
      <w:r>
        <w:t>12.0m</w:t>
      </w:r>
      <w:r>
        <w:rPr>
          <w:spacing w:val="-12"/>
        </w:rPr>
        <w:t xml:space="preserve"> </w:t>
      </w:r>
      <w:r>
        <w:rPr>
          <w:spacing w:val="-12"/>
        </w:rPr>
        <w:t>且最大储物高度不超过</w:t>
      </w:r>
      <w:r>
        <w:rPr>
          <w:spacing w:val="-12"/>
        </w:rPr>
        <w:t xml:space="preserve"> </w:t>
      </w:r>
      <w:r>
        <w:t>10.5m</w:t>
      </w:r>
      <w:r>
        <w:rPr>
          <w:spacing w:val="-3"/>
        </w:rPr>
        <w:t>，储物类别为仓库危险级</w:t>
      </w:r>
      <w:r>
        <w:rPr>
          <w:spacing w:val="-3"/>
        </w:rPr>
        <w:t>Ⅰ</w:t>
      </w:r>
      <w:r>
        <w:rPr>
          <w:spacing w:val="-3"/>
        </w:rPr>
        <w:t>、</w:t>
      </w:r>
      <w:r>
        <w:rPr>
          <w:spacing w:val="-3"/>
        </w:rPr>
        <w:t>Ⅱ</w:t>
      </w:r>
      <w:r>
        <w:rPr>
          <w:spacing w:val="-3"/>
        </w:rPr>
        <w:t>级或箱装不发泡塑料的仓库及类似场所；</w:t>
      </w:r>
      <w:r>
        <w:t xml:space="preserve"> </w:t>
      </w:r>
    </w:p>
    <w:p w14:paraId="2B58D9B8" w14:textId="77777777" w:rsidR="00A71EEF" w:rsidRDefault="0081115D">
      <w:pPr>
        <w:pStyle w:val="a3"/>
        <w:spacing w:line="446" w:lineRule="auto"/>
        <w:ind w:left="418" w:right="1455" w:firstLine="419"/>
      </w:pPr>
      <w:r>
        <w:rPr>
          <w:spacing w:val="-7"/>
        </w:rPr>
        <w:t>最大净空高度不超过</w:t>
      </w:r>
      <w:r>
        <w:rPr>
          <w:spacing w:val="-7"/>
        </w:rPr>
        <w:t xml:space="preserve"> </w:t>
      </w:r>
      <w:r>
        <w:t>7.5m</w:t>
      </w:r>
      <w:r>
        <w:rPr>
          <w:spacing w:val="-11"/>
        </w:rPr>
        <w:t xml:space="preserve"> </w:t>
      </w:r>
      <w:r>
        <w:rPr>
          <w:spacing w:val="-11"/>
        </w:rPr>
        <w:t>且最大储物高度不超过</w:t>
      </w:r>
      <w:r>
        <w:rPr>
          <w:spacing w:val="-11"/>
        </w:rPr>
        <w:t xml:space="preserve"> </w:t>
      </w:r>
      <w:r>
        <w:t>6.0m</w:t>
      </w:r>
      <w:r>
        <w:rPr>
          <w:spacing w:val="-3"/>
        </w:rPr>
        <w:t>，储物类别为袋装不发泡塑料和箱装发泡塑料的仓库及类似场所。</w:t>
      </w:r>
      <w:r>
        <w:t xml:space="preserve"> </w:t>
      </w:r>
    </w:p>
    <w:p w14:paraId="0AA53ACB" w14:textId="77777777" w:rsidR="00A71EEF" w:rsidRDefault="0081115D">
      <w:pPr>
        <w:pStyle w:val="a4"/>
        <w:numPr>
          <w:ilvl w:val="1"/>
          <w:numId w:val="80"/>
        </w:numPr>
        <w:tabs>
          <w:tab w:val="left" w:pos="1160"/>
        </w:tabs>
        <w:ind w:left="1159" w:hanging="320"/>
        <w:rPr>
          <w:sz w:val="21"/>
        </w:rPr>
      </w:pPr>
      <w:r>
        <w:rPr>
          <w:spacing w:val="-3"/>
          <w:sz w:val="21"/>
        </w:rPr>
        <w:t>其他</w:t>
      </w:r>
      <w:r>
        <w:rPr>
          <w:sz w:val="21"/>
        </w:rPr>
        <w:t xml:space="preserve"> </w:t>
      </w:r>
    </w:p>
    <w:p w14:paraId="7FCD3424" w14:textId="77777777" w:rsidR="00A71EEF" w:rsidRDefault="00A71EEF">
      <w:pPr>
        <w:pStyle w:val="a3"/>
        <w:spacing w:before="8"/>
        <w:rPr>
          <w:sz w:val="17"/>
        </w:rPr>
      </w:pPr>
    </w:p>
    <w:p w14:paraId="7E564455" w14:textId="77777777" w:rsidR="00A71EEF" w:rsidRDefault="0081115D">
      <w:pPr>
        <w:pStyle w:val="a4"/>
        <w:numPr>
          <w:ilvl w:val="2"/>
          <w:numId w:val="80"/>
        </w:numPr>
        <w:tabs>
          <w:tab w:val="left" w:pos="1371"/>
        </w:tabs>
        <w:spacing w:line="446" w:lineRule="auto"/>
        <w:ind w:left="418" w:right="1603" w:firstLine="422"/>
        <w:rPr>
          <w:sz w:val="21"/>
        </w:rPr>
      </w:pPr>
      <w:r>
        <w:rPr>
          <w:spacing w:val="-3"/>
          <w:sz w:val="21"/>
        </w:rPr>
        <w:t>建筑物中保护局部场所的干式系统、预作用系统、雨淋系统、自动喷水</w:t>
      </w:r>
      <w:r>
        <w:rPr>
          <w:spacing w:val="-3"/>
          <w:sz w:val="21"/>
        </w:rPr>
        <w:t>—</w:t>
      </w:r>
      <w:r>
        <w:rPr>
          <w:spacing w:val="-3"/>
          <w:sz w:val="21"/>
        </w:rPr>
        <w:t>泡沫联用系统，可串联接入同一建筑物内的湿式系统，并应与其配水干管连接。</w:t>
      </w:r>
      <w:r>
        <w:rPr>
          <w:sz w:val="21"/>
        </w:rPr>
        <w:t xml:space="preserve"> </w:t>
      </w:r>
    </w:p>
    <w:p w14:paraId="4E886970" w14:textId="77777777" w:rsidR="00A71EEF" w:rsidRDefault="0081115D">
      <w:pPr>
        <w:pStyle w:val="a4"/>
        <w:numPr>
          <w:ilvl w:val="2"/>
          <w:numId w:val="80"/>
        </w:numPr>
        <w:tabs>
          <w:tab w:val="left" w:pos="1371"/>
        </w:tabs>
        <w:spacing w:before="1"/>
        <w:ind w:left="1370" w:hanging="531"/>
        <w:rPr>
          <w:sz w:val="21"/>
        </w:rPr>
      </w:pPr>
      <w:r>
        <w:rPr>
          <w:spacing w:val="-3"/>
          <w:sz w:val="21"/>
        </w:rPr>
        <w:t>自动喷水灭火系统应有下列组件、配件和设施：</w:t>
      </w:r>
      <w:r>
        <w:rPr>
          <w:sz w:val="21"/>
        </w:rPr>
        <w:t xml:space="preserve"> </w:t>
      </w:r>
    </w:p>
    <w:p w14:paraId="6241D191" w14:textId="77777777" w:rsidR="00A71EEF" w:rsidRDefault="00A71EEF">
      <w:pPr>
        <w:pStyle w:val="a3"/>
        <w:spacing w:before="12"/>
        <w:rPr>
          <w:sz w:val="17"/>
        </w:rPr>
      </w:pPr>
    </w:p>
    <w:p w14:paraId="12118663" w14:textId="77777777" w:rsidR="00A71EEF" w:rsidRDefault="0081115D">
      <w:pPr>
        <w:pStyle w:val="a3"/>
        <w:spacing w:line="446" w:lineRule="auto"/>
        <w:ind w:left="418" w:right="1609" w:firstLine="419"/>
      </w:pPr>
      <w:r>
        <w:rPr>
          <w:spacing w:val="-3"/>
        </w:rPr>
        <w:t>应设有洒水喷头、报警阀组、水流报警装置等组件和末端试水装置，以及管道、供水设施等；</w:t>
      </w:r>
      <w:r>
        <w:t xml:space="preserve"> </w:t>
      </w:r>
    </w:p>
    <w:p w14:paraId="455D4E38" w14:textId="77777777" w:rsidR="00A71EEF" w:rsidRDefault="0081115D">
      <w:pPr>
        <w:pStyle w:val="a3"/>
        <w:spacing w:line="446" w:lineRule="auto"/>
        <w:ind w:left="418" w:right="1817" w:firstLine="419"/>
      </w:pPr>
      <w:r>
        <w:rPr>
          <w:spacing w:val="-3"/>
        </w:rPr>
        <w:t>控制管道静压的区段宜分区供水或设减压阀，控制管道动压的区段宜设减压孔板或节流管；</w:t>
      </w:r>
      <w:r>
        <w:t xml:space="preserve"> </w:t>
      </w:r>
    </w:p>
    <w:p w14:paraId="278E9469" w14:textId="77777777" w:rsidR="00A71EEF" w:rsidRDefault="0081115D">
      <w:pPr>
        <w:pStyle w:val="a3"/>
        <w:ind w:left="838"/>
      </w:pPr>
      <w:r>
        <w:t>应设有泄水阀（或泄水口）</w:t>
      </w:r>
      <w:r>
        <w:t xml:space="preserve"> </w:t>
      </w:r>
      <w:r>
        <w:t>、排气阀（或排气口）和排污口；</w:t>
      </w:r>
      <w:r>
        <w:t xml:space="preserve"> </w:t>
      </w:r>
    </w:p>
    <w:p w14:paraId="23E0405C" w14:textId="77777777" w:rsidR="00A71EEF" w:rsidRDefault="00A71EEF">
      <w:pPr>
        <w:pStyle w:val="a3"/>
        <w:rPr>
          <w:sz w:val="18"/>
        </w:rPr>
      </w:pPr>
    </w:p>
    <w:p w14:paraId="6D11D672" w14:textId="77777777" w:rsidR="00A71EEF" w:rsidRDefault="0081115D">
      <w:pPr>
        <w:pStyle w:val="a3"/>
        <w:spacing w:line="446" w:lineRule="auto"/>
        <w:ind w:left="418" w:right="1609" w:firstLine="419"/>
      </w:pPr>
      <w:r>
        <w:t>干式系统和预作用系统的配水管道应设快速排气阀。有压充气管道的快速排气阀入口前应设电动阀。</w:t>
      </w:r>
      <w:r>
        <w:t xml:space="preserve"> </w:t>
      </w:r>
    </w:p>
    <w:p w14:paraId="605CC920" w14:textId="77777777" w:rsidR="00A71EEF" w:rsidRDefault="0081115D">
      <w:pPr>
        <w:pStyle w:val="a4"/>
        <w:numPr>
          <w:ilvl w:val="2"/>
          <w:numId w:val="80"/>
        </w:numPr>
        <w:tabs>
          <w:tab w:val="left" w:pos="1371"/>
        </w:tabs>
        <w:ind w:left="1370" w:hanging="531"/>
        <w:rPr>
          <w:sz w:val="21"/>
        </w:rPr>
      </w:pPr>
      <w:r>
        <w:rPr>
          <w:spacing w:val="-5"/>
          <w:sz w:val="21"/>
        </w:rPr>
        <w:t>防</w:t>
      </w:r>
      <w:r>
        <w:rPr>
          <w:spacing w:val="-5"/>
          <w:sz w:val="21"/>
        </w:rPr>
        <w:t>护冷却水幕应直接将水喷向被保护对象；防火分隔水幕不宜用于尺寸超过</w:t>
      </w:r>
      <w:r>
        <w:rPr>
          <w:spacing w:val="-5"/>
          <w:sz w:val="21"/>
        </w:rPr>
        <w:t xml:space="preserve"> </w:t>
      </w:r>
      <w:r>
        <w:rPr>
          <w:sz w:val="21"/>
        </w:rPr>
        <w:t>15m</w:t>
      </w:r>
    </w:p>
    <w:p w14:paraId="629CB840" w14:textId="77777777" w:rsidR="00A71EEF" w:rsidRDefault="00A71EEF">
      <w:pPr>
        <w:pStyle w:val="a3"/>
        <w:spacing w:before="12"/>
        <w:rPr>
          <w:sz w:val="17"/>
        </w:rPr>
      </w:pPr>
    </w:p>
    <w:p w14:paraId="3155511C" w14:textId="77777777" w:rsidR="00A71EEF" w:rsidRDefault="0081115D">
      <w:pPr>
        <w:pStyle w:val="a3"/>
        <w:ind w:left="418"/>
      </w:pPr>
      <w:r>
        <w:t>（宽）</w:t>
      </w:r>
      <w:r>
        <w:t>×8m</w:t>
      </w:r>
      <w:r>
        <w:t>（高）的开口（舞台口除外）。</w:t>
      </w:r>
      <w:r>
        <w:t xml:space="preserve"> </w:t>
      </w:r>
    </w:p>
    <w:p w14:paraId="31155B31" w14:textId="77777777" w:rsidR="00A71EEF" w:rsidRDefault="00A71EEF">
      <w:pPr>
        <w:sectPr w:rsidR="00A71EEF">
          <w:pgSz w:w="11910" w:h="16850"/>
          <w:pgMar w:top="1220" w:right="0" w:bottom="1420" w:left="1260" w:header="0" w:footer="1239" w:gutter="0"/>
          <w:cols w:space="720"/>
        </w:sectPr>
      </w:pPr>
    </w:p>
    <w:p w14:paraId="1B582D3C" w14:textId="77777777" w:rsidR="00A71EEF" w:rsidRDefault="0081115D">
      <w:pPr>
        <w:pStyle w:val="4"/>
        <w:spacing w:before="37"/>
      </w:pPr>
      <w:r>
        <w:t xml:space="preserve">5 </w:t>
      </w:r>
      <w:r>
        <w:t>设计基本参数</w:t>
      </w:r>
      <w:r>
        <w:rPr>
          <w:w w:val="99"/>
        </w:rPr>
        <w:t xml:space="preserve"> </w:t>
      </w:r>
    </w:p>
    <w:p w14:paraId="20CC26BF" w14:textId="77777777" w:rsidR="00A71EEF" w:rsidRDefault="00A71EEF">
      <w:pPr>
        <w:pStyle w:val="a3"/>
        <w:spacing w:before="4"/>
        <w:rPr>
          <w:b/>
          <w:sz w:val="17"/>
        </w:rPr>
      </w:pPr>
    </w:p>
    <w:p w14:paraId="52F73FF5" w14:textId="77777777" w:rsidR="00A71EEF" w:rsidRDefault="0081115D">
      <w:pPr>
        <w:pStyle w:val="a4"/>
        <w:numPr>
          <w:ilvl w:val="1"/>
          <w:numId w:val="78"/>
        </w:numPr>
        <w:tabs>
          <w:tab w:val="left" w:pos="1159"/>
        </w:tabs>
        <w:spacing w:before="1"/>
        <w:ind w:hanging="319"/>
        <w:jc w:val="left"/>
        <w:rPr>
          <w:sz w:val="21"/>
        </w:rPr>
      </w:pPr>
      <w:r>
        <w:rPr>
          <w:noProof/>
        </w:rPr>
        <w:drawing>
          <wp:anchor distT="0" distB="0" distL="0" distR="0" simplePos="0" relativeHeight="251720192" behindDoc="0" locked="0" layoutInCell="1" allowOverlap="1" wp14:anchorId="60A64B3F" wp14:editId="66A192F1">
            <wp:simplePos x="0" y="0"/>
            <wp:positionH relativeFrom="page">
              <wp:posOffset>1310005</wp:posOffset>
            </wp:positionH>
            <wp:positionV relativeFrom="paragraph">
              <wp:posOffset>255905</wp:posOffset>
            </wp:positionV>
            <wp:extent cx="4972806" cy="1724025"/>
            <wp:effectExtent l="0" t="0" r="0" b="0"/>
            <wp:wrapTopAndBottom/>
            <wp:docPr id="719" name="image4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 name="image421.jpeg"/>
                    <pic:cNvPicPr/>
                  </pic:nvPicPr>
                  <pic:blipFill>
                    <a:blip r:embed="rId528" cstate="print"/>
                    <a:stretch>
                      <a:fillRect/>
                    </a:stretch>
                  </pic:blipFill>
                  <pic:spPr>
                    <a:xfrm>
                      <a:off x="0" y="0"/>
                      <a:ext cx="4972806" cy="1724025"/>
                    </a:xfrm>
                    <a:prstGeom prst="rect">
                      <a:avLst/>
                    </a:prstGeom>
                  </pic:spPr>
                </pic:pic>
              </a:graphicData>
            </a:graphic>
          </wp:anchor>
        </w:drawing>
      </w:r>
      <w:r>
        <w:rPr>
          <w:spacing w:val="-5"/>
          <w:sz w:val="21"/>
        </w:rPr>
        <w:t>民用建筑和厂房采用湿式系统时的设计基本参数不应低于表</w:t>
      </w:r>
      <w:r>
        <w:rPr>
          <w:spacing w:val="-5"/>
          <w:sz w:val="21"/>
        </w:rPr>
        <w:t xml:space="preserve"> </w:t>
      </w:r>
      <w:r>
        <w:rPr>
          <w:sz w:val="21"/>
        </w:rPr>
        <w:t>5.0.1</w:t>
      </w:r>
      <w:r>
        <w:rPr>
          <w:spacing w:val="-12"/>
          <w:sz w:val="21"/>
        </w:rPr>
        <w:t xml:space="preserve"> </w:t>
      </w:r>
      <w:r>
        <w:rPr>
          <w:spacing w:val="-12"/>
          <w:sz w:val="21"/>
        </w:rPr>
        <w:t>的规定。</w:t>
      </w:r>
      <w:r>
        <w:rPr>
          <w:spacing w:val="-12"/>
          <w:sz w:val="21"/>
        </w:rPr>
        <w:t xml:space="preserve"> </w:t>
      </w:r>
    </w:p>
    <w:p w14:paraId="725D7A49" w14:textId="77777777" w:rsidR="00A71EEF" w:rsidRDefault="0081115D">
      <w:pPr>
        <w:pStyle w:val="a4"/>
        <w:numPr>
          <w:ilvl w:val="1"/>
          <w:numId w:val="78"/>
        </w:numPr>
        <w:tabs>
          <w:tab w:val="left" w:pos="1159"/>
        </w:tabs>
        <w:spacing w:before="154" w:line="446" w:lineRule="auto"/>
        <w:ind w:left="418" w:right="1815" w:firstLine="422"/>
        <w:jc w:val="left"/>
        <w:rPr>
          <w:sz w:val="21"/>
        </w:rPr>
      </w:pPr>
      <w:r>
        <w:rPr>
          <w:spacing w:val="-5"/>
          <w:sz w:val="21"/>
        </w:rPr>
        <w:t>民用建筑和厂房高大空间场所采用湿式系统的设计基本参数不应低于表</w:t>
      </w:r>
      <w:r>
        <w:rPr>
          <w:spacing w:val="-5"/>
          <w:sz w:val="21"/>
        </w:rPr>
        <w:t xml:space="preserve"> </w:t>
      </w:r>
      <w:r>
        <w:rPr>
          <w:sz w:val="21"/>
        </w:rPr>
        <w:t>5.0.2</w:t>
      </w:r>
      <w:r>
        <w:rPr>
          <w:spacing w:val="-16"/>
          <w:sz w:val="21"/>
        </w:rPr>
        <w:t xml:space="preserve"> </w:t>
      </w:r>
      <w:r>
        <w:rPr>
          <w:spacing w:val="-16"/>
          <w:sz w:val="21"/>
        </w:rPr>
        <w:t>的规</w:t>
      </w:r>
      <w:r>
        <w:rPr>
          <w:spacing w:val="-10"/>
          <w:sz w:val="21"/>
        </w:rPr>
        <w:t>定。</w:t>
      </w:r>
      <w:r>
        <w:rPr>
          <w:sz w:val="21"/>
        </w:rPr>
        <w:t xml:space="preserve"> </w:t>
      </w:r>
    </w:p>
    <w:p w14:paraId="07292C06" w14:textId="77777777" w:rsidR="00A71EEF" w:rsidRDefault="00A71EEF">
      <w:pPr>
        <w:pStyle w:val="a3"/>
        <w:rPr>
          <w:sz w:val="20"/>
        </w:rPr>
      </w:pPr>
    </w:p>
    <w:p w14:paraId="518A8C10" w14:textId="77777777" w:rsidR="00A71EEF" w:rsidRDefault="00A71EEF">
      <w:pPr>
        <w:pStyle w:val="a3"/>
        <w:rPr>
          <w:sz w:val="20"/>
        </w:rPr>
      </w:pPr>
    </w:p>
    <w:p w14:paraId="4B2C3042" w14:textId="77777777" w:rsidR="00A71EEF" w:rsidRDefault="00A71EEF">
      <w:pPr>
        <w:pStyle w:val="a3"/>
        <w:rPr>
          <w:sz w:val="20"/>
        </w:rPr>
      </w:pPr>
    </w:p>
    <w:p w14:paraId="794423C6" w14:textId="77777777" w:rsidR="00A71EEF" w:rsidRDefault="00A71EEF">
      <w:pPr>
        <w:pStyle w:val="a3"/>
        <w:rPr>
          <w:sz w:val="20"/>
        </w:rPr>
      </w:pPr>
    </w:p>
    <w:p w14:paraId="461D4DED" w14:textId="77777777" w:rsidR="00A71EEF" w:rsidRDefault="00A71EEF">
      <w:pPr>
        <w:pStyle w:val="a3"/>
        <w:rPr>
          <w:sz w:val="20"/>
        </w:rPr>
      </w:pPr>
    </w:p>
    <w:p w14:paraId="6D43659F" w14:textId="77777777" w:rsidR="00A71EEF" w:rsidRDefault="00A71EEF">
      <w:pPr>
        <w:pStyle w:val="a3"/>
        <w:rPr>
          <w:sz w:val="20"/>
        </w:rPr>
      </w:pPr>
    </w:p>
    <w:p w14:paraId="4D9E6D83" w14:textId="77777777" w:rsidR="00A71EEF" w:rsidRDefault="0081115D">
      <w:pPr>
        <w:pStyle w:val="a3"/>
        <w:spacing w:before="5"/>
        <w:rPr>
          <w:sz w:val="25"/>
        </w:rPr>
      </w:pPr>
      <w:r>
        <w:rPr>
          <w:noProof/>
        </w:rPr>
        <w:drawing>
          <wp:anchor distT="0" distB="0" distL="0" distR="0" simplePos="0" relativeHeight="251721216" behindDoc="0" locked="0" layoutInCell="1" allowOverlap="1" wp14:anchorId="5F8F0655" wp14:editId="0CF2E278">
            <wp:simplePos x="0" y="0"/>
            <wp:positionH relativeFrom="page">
              <wp:posOffset>1417955</wp:posOffset>
            </wp:positionH>
            <wp:positionV relativeFrom="paragraph">
              <wp:posOffset>231513</wp:posOffset>
            </wp:positionV>
            <wp:extent cx="5029200" cy="1609725"/>
            <wp:effectExtent l="0" t="0" r="0" b="0"/>
            <wp:wrapTopAndBottom/>
            <wp:docPr id="721" name="image4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image422.jpeg"/>
                    <pic:cNvPicPr/>
                  </pic:nvPicPr>
                  <pic:blipFill>
                    <a:blip r:embed="rId529" cstate="print"/>
                    <a:stretch>
                      <a:fillRect/>
                    </a:stretch>
                  </pic:blipFill>
                  <pic:spPr>
                    <a:xfrm>
                      <a:off x="0" y="0"/>
                      <a:ext cx="5029200" cy="1609725"/>
                    </a:xfrm>
                    <a:prstGeom prst="rect">
                      <a:avLst/>
                    </a:prstGeom>
                  </pic:spPr>
                </pic:pic>
              </a:graphicData>
            </a:graphic>
          </wp:anchor>
        </w:drawing>
      </w:r>
    </w:p>
    <w:p w14:paraId="51DC1208" w14:textId="77777777" w:rsidR="00A71EEF" w:rsidRDefault="00A71EEF">
      <w:pPr>
        <w:pStyle w:val="a3"/>
        <w:spacing w:before="5"/>
        <w:rPr>
          <w:sz w:val="8"/>
        </w:rPr>
      </w:pPr>
    </w:p>
    <w:p w14:paraId="02AC95C6" w14:textId="77777777" w:rsidR="00A71EEF" w:rsidRDefault="0081115D">
      <w:pPr>
        <w:pStyle w:val="a4"/>
        <w:numPr>
          <w:ilvl w:val="1"/>
          <w:numId w:val="78"/>
        </w:numPr>
        <w:tabs>
          <w:tab w:val="left" w:pos="1159"/>
        </w:tabs>
        <w:spacing w:before="72" w:line="446" w:lineRule="auto"/>
        <w:ind w:left="418" w:right="1498" w:firstLine="422"/>
        <w:jc w:val="left"/>
        <w:rPr>
          <w:sz w:val="21"/>
        </w:rPr>
      </w:pPr>
      <w:r>
        <w:rPr>
          <w:spacing w:val="-8"/>
          <w:sz w:val="21"/>
        </w:rPr>
        <w:t>最大净空高度超过</w:t>
      </w:r>
      <w:r>
        <w:rPr>
          <w:spacing w:val="-8"/>
          <w:sz w:val="21"/>
        </w:rPr>
        <w:t xml:space="preserve"> </w:t>
      </w:r>
      <w:r>
        <w:rPr>
          <w:sz w:val="21"/>
        </w:rPr>
        <w:t>8m</w:t>
      </w:r>
      <w:r>
        <w:rPr>
          <w:spacing w:val="-11"/>
          <w:sz w:val="21"/>
        </w:rPr>
        <w:t xml:space="preserve"> </w:t>
      </w:r>
      <w:r>
        <w:rPr>
          <w:spacing w:val="-11"/>
          <w:sz w:val="21"/>
        </w:rPr>
        <w:t>的超级市场采用湿式系统的设计基本参数应按本规范第</w:t>
      </w:r>
      <w:r>
        <w:rPr>
          <w:spacing w:val="-11"/>
          <w:sz w:val="21"/>
        </w:rPr>
        <w:t xml:space="preserve"> </w:t>
      </w:r>
      <w:r>
        <w:rPr>
          <w:sz w:val="21"/>
        </w:rPr>
        <w:t>5.0.4</w:t>
      </w:r>
      <w:r>
        <w:rPr>
          <w:spacing w:val="-25"/>
          <w:sz w:val="21"/>
        </w:rPr>
        <w:t xml:space="preserve"> </w:t>
      </w:r>
      <w:r>
        <w:rPr>
          <w:spacing w:val="-25"/>
          <w:sz w:val="21"/>
        </w:rPr>
        <w:t>条</w:t>
      </w:r>
      <w:r>
        <w:rPr>
          <w:spacing w:val="-35"/>
          <w:sz w:val="21"/>
        </w:rPr>
        <w:t>和第</w:t>
      </w:r>
      <w:r>
        <w:rPr>
          <w:spacing w:val="-35"/>
          <w:sz w:val="21"/>
        </w:rPr>
        <w:t xml:space="preserve"> </w:t>
      </w:r>
      <w:r>
        <w:rPr>
          <w:sz w:val="21"/>
        </w:rPr>
        <w:t>5.0.5</w:t>
      </w:r>
      <w:r>
        <w:rPr>
          <w:spacing w:val="-9"/>
          <w:sz w:val="21"/>
        </w:rPr>
        <w:t xml:space="preserve"> </w:t>
      </w:r>
      <w:r>
        <w:rPr>
          <w:spacing w:val="-9"/>
          <w:sz w:val="21"/>
        </w:rPr>
        <w:t>条的规定执行。</w:t>
      </w:r>
      <w:r>
        <w:rPr>
          <w:spacing w:val="-9"/>
          <w:sz w:val="21"/>
        </w:rPr>
        <w:t xml:space="preserve"> </w:t>
      </w:r>
    </w:p>
    <w:p w14:paraId="31FA90BE" w14:textId="77777777" w:rsidR="00A71EEF" w:rsidRDefault="0081115D">
      <w:pPr>
        <w:pStyle w:val="a4"/>
        <w:numPr>
          <w:ilvl w:val="1"/>
          <w:numId w:val="78"/>
        </w:numPr>
        <w:tabs>
          <w:tab w:val="left" w:pos="1159"/>
        </w:tabs>
        <w:spacing w:line="267" w:lineRule="exact"/>
        <w:ind w:hanging="319"/>
        <w:jc w:val="left"/>
        <w:rPr>
          <w:sz w:val="21"/>
        </w:rPr>
      </w:pPr>
      <w:r>
        <w:rPr>
          <w:spacing w:val="-3"/>
          <w:sz w:val="21"/>
        </w:rPr>
        <w:t>仓库及类似场所采用湿式系统的设计基本参数应符合下列要求：</w:t>
      </w:r>
      <w:r>
        <w:rPr>
          <w:sz w:val="21"/>
        </w:rPr>
        <w:t xml:space="preserve"> </w:t>
      </w:r>
    </w:p>
    <w:p w14:paraId="748F8B42" w14:textId="77777777" w:rsidR="00A71EEF" w:rsidRDefault="00A71EEF">
      <w:pPr>
        <w:spacing w:line="267" w:lineRule="exact"/>
        <w:rPr>
          <w:sz w:val="21"/>
        </w:rPr>
        <w:sectPr w:rsidR="00A71EEF">
          <w:pgSz w:w="11910" w:h="16850"/>
          <w:pgMar w:top="1200" w:right="0" w:bottom="1420" w:left="1260" w:header="0" w:footer="1239" w:gutter="0"/>
          <w:cols w:space="720"/>
        </w:sectPr>
      </w:pPr>
    </w:p>
    <w:p w14:paraId="41DE69B3" w14:textId="77777777" w:rsidR="00A71EEF" w:rsidRDefault="0081115D">
      <w:pPr>
        <w:pStyle w:val="a4"/>
        <w:numPr>
          <w:ilvl w:val="0"/>
          <w:numId w:val="77"/>
        </w:numPr>
        <w:tabs>
          <w:tab w:val="left" w:pos="997"/>
        </w:tabs>
        <w:spacing w:before="47"/>
        <w:rPr>
          <w:sz w:val="21"/>
        </w:rPr>
      </w:pPr>
      <w:r>
        <w:rPr>
          <w:spacing w:val="-3"/>
          <w:sz w:val="21"/>
        </w:rPr>
        <w:t>当设置场所的火灾危险等级为仓库危险级</w:t>
      </w:r>
      <w:r>
        <w:rPr>
          <w:spacing w:val="-3"/>
          <w:sz w:val="21"/>
        </w:rPr>
        <w:t>Ⅰ</w:t>
      </w:r>
      <w:r>
        <w:rPr>
          <w:spacing w:val="-3"/>
          <w:sz w:val="21"/>
        </w:rPr>
        <w:t>级～</w:t>
      </w:r>
      <w:r>
        <w:rPr>
          <w:spacing w:val="-3"/>
          <w:sz w:val="21"/>
        </w:rPr>
        <w:t xml:space="preserve"> Ⅲ</w:t>
      </w:r>
      <w:r>
        <w:rPr>
          <w:spacing w:val="-3"/>
          <w:sz w:val="21"/>
        </w:rPr>
        <w:t>级时，</w:t>
      </w:r>
      <w:r>
        <w:rPr>
          <w:spacing w:val="-3"/>
          <w:sz w:val="21"/>
        </w:rPr>
        <w:t xml:space="preserve"> </w:t>
      </w:r>
      <w:r>
        <w:rPr>
          <w:spacing w:val="-3"/>
          <w:sz w:val="21"/>
        </w:rPr>
        <w:t>系统设计基本参数不应低于表</w:t>
      </w:r>
    </w:p>
    <w:p w14:paraId="0C89C249" w14:textId="77777777" w:rsidR="00A71EEF" w:rsidRDefault="00A71EEF">
      <w:pPr>
        <w:pStyle w:val="a3"/>
        <w:rPr>
          <w:sz w:val="18"/>
        </w:rPr>
      </w:pPr>
    </w:p>
    <w:p w14:paraId="1BEF1E39" w14:textId="77777777" w:rsidR="00A71EEF" w:rsidRDefault="0081115D">
      <w:pPr>
        <w:pStyle w:val="a3"/>
        <w:ind w:left="418"/>
      </w:pPr>
      <w:r>
        <w:t>5.0.4-1</w:t>
      </w:r>
      <w:r>
        <w:t>～表</w:t>
      </w:r>
      <w:r>
        <w:t xml:space="preserve"> 5.0.4-4 </w:t>
      </w:r>
      <w:r>
        <w:t>的规定；</w:t>
      </w:r>
      <w:r>
        <w:t xml:space="preserve"> </w:t>
      </w:r>
    </w:p>
    <w:p w14:paraId="3F6730EC" w14:textId="77777777" w:rsidR="00A71EEF" w:rsidRDefault="0081115D">
      <w:pPr>
        <w:pStyle w:val="a3"/>
        <w:spacing w:before="7"/>
        <w:rPr>
          <w:sz w:val="11"/>
        </w:rPr>
      </w:pPr>
      <w:r>
        <w:pict w14:anchorId="5CE6C52C">
          <v:group id="_x0000_s1077" style="position:absolute;margin-left:95.95pt;margin-top:9.35pt;width:401.25pt;height:421.5pt;z-index:-251485696;mso-wrap-distance-left:0;mso-wrap-distance-right:0;mso-position-horizontal-relative:page" coordorigin="1919,187" coordsize="8025,8430">
            <v:shape id="_x0000_s1079" type="#_x0000_t75" style="position:absolute;left:1919;top:187;width:7943;height:4530">
              <v:imagedata r:id="rId530" o:title=""/>
            </v:shape>
            <v:shape id="_x0000_s1078" type="#_x0000_t75" style="position:absolute;left:2037;top:4717;width:7907;height:3900">
              <v:imagedata r:id="rId531" o:title=""/>
            </v:shape>
            <w10:wrap type="topAndBottom" anchorx="page"/>
          </v:group>
        </w:pict>
      </w:r>
    </w:p>
    <w:p w14:paraId="74CC9AC2" w14:textId="77777777" w:rsidR="00A71EEF" w:rsidRDefault="00A71EEF">
      <w:pPr>
        <w:rPr>
          <w:sz w:val="11"/>
        </w:rPr>
        <w:sectPr w:rsidR="00A71EEF">
          <w:footerReference w:type="default" r:id="rId532"/>
          <w:pgSz w:w="11910" w:h="16850"/>
          <w:pgMar w:top="1220" w:right="0" w:bottom="1420" w:left="1260" w:header="0" w:footer="1239" w:gutter="0"/>
          <w:pgNumType w:start="1580"/>
          <w:cols w:space="720"/>
        </w:sectPr>
      </w:pPr>
    </w:p>
    <w:p w14:paraId="6859FA30" w14:textId="77777777" w:rsidR="00A71EEF" w:rsidRDefault="0081115D">
      <w:pPr>
        <w:pStyle w:val="a3"/>
        <w:ind w:left="1060"/>
        <w:rPr>
          <w:sz w:val="20"/>
        </w:rPr>
      </w:pPr>
      <w:r>
        <w:pict w14:anchorId="1C270FF0">
          <v:group id="_x0000_s1073" style="position:absolute;left:0;text-align:left;margin-left:82.45pt;margin-top:300.25pt;width:443.95pt;height:412.1pt;z-index:-251484672;mso-wrap-distance-left:0;mso-wrap-distance-right:0;mso-position-horizontal-relative:page" coordorigin="1649,6005" coordsize="8879,8242">
            <v:rect id="_x0000_s1076" style="position:absolute;left:1649;top:13747;width:8848;height:500" stroked="f"/>
            <v:shape id="_x0000_s1075" type="#_x0000_t75" style="position:absolute;left:2098;top:6005;width:8430;height:7740">
              <v:imagedata r:id="rId533" o:title=""/>
            </v:shape>
            <v:shape id="_x0000_s1074" type="#_x0000_t202" style="position:absolute;left:1678;top:13966;width:126;height:212" filled="f" stroked="f">
              <v:textbox inset="0,0,0,0">
                <w:txbxContent>
                  <w:p w14:paraId="67EC5513" w14:textId="77777777" w:rsidR="00A71EEF" w:rsidRDefault="0081115D">
                    <w:pPr>
                      <w:spacing w:line="211" w:lineRule="exact"/>
                      <w:rPr>
                        <w:sz w:val="21"/>
                      </w:rPr>
                    </w:pPr>
                    <w:r>
                      <w:rPr>
                        <w:sz w:val="21"/>
                      </w:rPr>
                      <w:t xml:space="preserve"> </w:t>
                    </w:r>
                  </w:p>
                </w:txbxContent>
              </v:textbox>
            </v:shape>
            <w10:wrap type="topAndBottom" anchorx="page"/>
          </v:group>
        </w:pict>
      </w:r>
      <w:r>
        <w:pict w14:anchorId="219B33B2">
          <v:shape id="_x0000_s1072" type="#_x0000_t202" style="position:absolute;left:0;text-align:left;margin-left:294.15pt;margin-top:770.05pt;width:19pt;height:9.4pt;z-index:-251515392;mso-position-horizontal-relative:page;mso-position-vertical-relative:page" filled="f" stroked="f">
            <v:textbox inset="0,0,0,0">
              <w:txbxContent>
                <w:p w14:paraId="47FF537D" w14:textId="77777777" w:rsidR="00A71EEF" w:rsidRDefault="0081115D">
                  <w:pPr>
                    <w:spacing w:line="188" w:lineRule="exact"/>
                    <w:rPr>
                      <w:rFonts w:ascii="等线"/>
                      <w:sz w:val="18"/>
                    </w:rPr>
                  </w:pPr>
                  <w:r>
                    <w:rPr>
                      <w:rFonts w:ascii="等线"/>
                      <w:sz w:val="18"/>
                    </w:rPr>
                    <w:t>1581</w:t>
                  </w:r>
                </w:p>
              </w:txbxContent>
            </v:textbox>
            <w10:wrap anchorx="page" anchory="page"/>
          </v:shape>
        </w:pict>
      </w:r>
      <w:r>
        <w:rPr>
          <w:noProof/>
          <w:sz w:val="20"/>
        </w:rPr>
        <w:drawing>
          <wp:inline distT="0" distB="0" distL="0" distR="0" wp14:anchorId="5A1AEE68" wp14:editId="5638F534">
            <wp:extent cx="4707536" cy="3743325"/>
            <wp:effectExtent l="0" t="0" r="0" b="0"/>
            <wp:docPr id="723" name="image4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 name="image426.jpeg"/>
                    <pic:cNvPicPr/>
                  </pic:nvPicPr>
                  <pic:blipFill>
                    <a:blip r:embed="rId534" cstate="print"/>
                    <a:stretch>
                      <a:fillRect/>
                    </a:stretch>
                  </pic:blipFill>
                  <pic:spPr>
                    <a:xfrm>
                      <a:off x="0" y="0"/>
                      <a:ext cx="4707536" cy="3743325"/>
                    </a:xfrm>
                    <a:prstGeom prst="rect">
                      <a:avLst/>
                    </a:prstGeom>
                  </pic:spPr>
                </pic:pic>
              </a:graphicData>
            </a:graphic>
          </wp:inline>
        </w:drawing>
      </w:r>
    </w:p>
    <w:p w14:paraId="5EDFEB10" w14:textId="77777777" w:rsidR="00A71EEF" w:rsidRDefault="00A71EEF">
      <w:pPr>
        <w:rPr>
          <w:sz w:val="20"/>
        </w:rPr>
        <w:sectPr w:rsidR="00A71EEF">
          <w:footerReference w:type="default" r:id="rId535"/>
          <w:pgSz w:w="11910" w:h="16850"/>
          <w:pgMar w:top="1380" w:right="0" w:bottom="280" w:left="1260" w:header="0" w:footer="0" w:gutter="0"/>
          <w:cols w:space="720"/>
        </w:sectPr>
      </w:pPr>
    </w:p>
    <w:p w14:paraId="4F49A6AB" w14:textId="77777777" w:rsidR="00A71EEF" w:rsidRDefault="0081115D">
      <w:pPr>
        <w:pStyle w:val="a4"/>
        <w:numPr>
          <w:ilvl w:val="0"/>
          <w:numId w:val="77"/>
        </w:numPr>
        <w:tabs>
          <w:tab w:val="left" w:pos="999"/>
        </w:tabs>
        <w:spacing w:before="47"/>
        <w:ind w:left="998"/>
        <w:rPr>
          <w:sz w:val="21"/>
        </w:rPr>
      </w:pPr>
      <w:r>
        <w:rPr>
          <w:spacing w:val="-3"/>
          <w:sz w:val="21"/>
        </w:rPr>
        <w:t>当仓库危险级</w:t>
      </w:r>
      <w:r>
        <w:rPr>
          <w:spacing w:val="-3"/>
          <w:sz w:val="21"/>
        </w:rPr>
        <w:t>Ⅰ</w:t>
      </w:r>
      <w:r>
        <w:rPr>
          <w:spacing w:val="-3"/>
          <w:sz w:val="21"/>
        </w:rPr>
        <w:t>级</w:t>
      </w:r>
      <w:r>
        <w:rPr>
          <w:spacing w:val="-3"/>
          <w:sz w:val="21"/>
        </w:rPr>
        <w:t xml:space="preserve"> </w:t>
      </w:r>
      <w:r>
        <w:rPr>
          <w:spacing w:val="-3"/>
          <w:sz w:val="21"/>
        </w:rPr>
        <w:t>、仓库危险级</w:t>
      </w:r>
      <w:r>
        <w:rPr>
          <w:spacing w:val="-3"/>
          <w:sz w:val="21"/>
        </w:rPr>
        <w:t>Ⅱ</w:t>
      </w:r>
      <w:r>
        <w:rPr>
          <w:spacing w:val="-3"/>
          <w:sz w:val="21"/>
        </w:rPr>
        <w:t>级场所中混杂储存仓库危险级</w:t>
      </w:r>
      <w:r>
        <w:rPr>
          <w:spacing w:val="-3"/>
          <w:sz w:val="21"/>
        </w:rPr>
        <w:t>Ⅲ</w:t>
      </w:r>
      <w:r>
        <w:rPr>
          <w:spacing w:val="-3"/>
          <w:sz w:val="21"/>
        </w:rPr>
        <w:t>级物品时，系统设计</w:t>
      </w:r>
    </w:p>
    <w:p w14:paraId="578BD080" w14:textId="77777777" w:rsidR="00A71EEF" w:rsidRDefault="00A71EEF">
      <w:pPr>
        <w:pStyle w:val="a3"/>
        <w:rPr>
          <w:sz w:val="18"/>
        </w:rPr>
      </w:pPr>
    </w:p>
    <w:p w14:paraId="29CAAB4C" w14:textId="77777777" w:rsidR="00A71EEF" w:rsidRDefault="0081115D">
      <w:pPr>
        <w:pStyle w:val="a3"/>
        <w:ind w:left="418"/>
      </w:pPr>
      <w:r>
        <w:t>基本参数不应低于表</w:t>
      </w:r>
      <w:r>
        <w:t xml:space="preserve"> 5.0.4-5 </w:t>
      </w:r>
      <w:r>
        <w:t>的规定。</w:t>
      </w:r>
      <w:r>
        <w:t xml:space="preserve"> </w:t>
      </w:r>
    </w:p>
    <w:p w14:paraId="5F1A528E" w14:textId="77777777" w:rsidR="00A71EEF" w:rsidRDefault="0081115D">
      <w:pPr>
        <w:pStyle w:val="a3"/>
        <w:spacing w:before="12"/>
        <w:rPr>
          <w:sz w:val="8"/>
        </w:rPr>
      </w:pPr>
      <w:r>
        <w:rPr>
          <w:noProof/>
        </w:rPr>
        <w:drawing>
          <wp:anchor distT="0" distB="0" distL="0" distR="0" simplePos="0" relativeHeight="251722240" behindDoc="0" locked="0" layoutInCell="1" allowOverlap="1" wp14:anchorId="6223BB88" wp14:editId="0FDE42FA">
            <wp:simplePos x="0" y="0"/>
            <wp:positionH relativeFrom="page">
              <wp:posOffset>1608982</wp:posOffset>
            </wp:positionH>
            <wp:positionV relativeFrom="paragraph">
              <wp:posOffset>97612</wp:posOffset>
            </wp:positionV>
            <wp:extent cx="4224065" cy="5523452"/>
            <wp:effectExtent l="0" t="0" r="0" b="0"/>
            <wp:wrapTopAndBottom/>
            <wp:docPr id="725" name="image4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image427.png"/>
                    <pic:cNvPicPr/>
                  </pic:nvPicPr>
                  <pic:blipFill>
                    <a:blip r:embed="rId536" cstate="print"/>
                    <a:stretch>
                      <a:fillRect/>
                    </a:stretch>
                  </pic:blipFill>
                  <pic:spPr>
                    <a:xfrm>
                      <a:off x="0" y="0"/>
                      <a:ext cx="4224065" cy="5523452"/>
                    </a:xfrm>
                    <a:prstGeom prst="rect">
                      <a:avLst/>
                    </a:prstGeom>
                  </pic:spPr>
                </pic:pic>
              </a:graphicData>
            </a:graphic>
          </wp:anchor>
        </w:drawing>
      </w:r>
    </w:p>
    <w:p w14:paraId="0FDE0A86" w14:textId="77777777" w:rsidR="00A71EEF" w:rsidRDefault="0081115D">
      <w:pPr>
        <w:pStyle w:val="a4"/>
        <w:numPr>
          <w:ilvl w:val="1"/>
          <w:numId w:val="78"/>
        </w:numPr>
        <w:tabs>
          <w:tab w:val="left" w:pos="738"/>
        </w:tabs>
        <w:spacing w:before="108" w:line="242" w:lineRule="auto"/>
        <w:ind w:left="418" w:right="1606" w:firstLine="0"/>
        <w:jc w:val="left"/>
        <w:rPr>
          <w:sz w:val="21"/>
        </w:rPr>
      </w:pPr>
      <w:r>
        <w:rPr>
          <w:spacing w:val="-5"/>
          <w:sz w:val="21"/>
        </w:rPr>
        <w:t>仓库及类似场所采用早期抑制快速响应喷头时，系统的设计基本参数不应低于表</w:t>
      </w:r>
      <w:r>
        <w:rPr>
          <w:spacing w:val="-5"/>
          <w:sz w:val="21"/>
        </w:rPr>
        <w:t xml:space="preserve"> </w:t>
      </w:r>
      <w:r>
        <w:rPr>
          <w:sz w:val="21"/>
        </w:rPr>
        <w:t>5.0.5</w:t>
      </w:r>
      <w:r>
        <w:rPr>
          <w:spacing w:val="-23"/>
          <w:sz w:val="21"/>
        </w:rPr>
        <w:t xml:space="preserve"> </w:t>
      </w:r>
      <w:r>
        <w:rPr>
          <w:spacing w:val="-23"/>
          <w:sz w:val="21"/>
        </w:rPr>
        <w:t>的</w:t>
      </w:r>
      <w:r>
        <w:rPr>
          <w:spacing w:val="-17"/>
          <w:sz w:val="21"/>
        </w:rPr>
        <w:t>规定。</w:t>
      </w:r>
      <w:r>
        <w:rPr>
          <w:sz w:val="21"/>
        </w:rPr>
        <w:t xml:space="preserve"> </w:t>
      </w:r>
    </w:p>
    <w:p w14:paraId="54467099" w14:textId="77777777" w:rsidR="00A71EEF" w:rsidRDefault="0081115D">
      <w:pPr>
        <w:pStyle w:val="a3"/>
        <w:spacing w:line="268" w:lineRule="exact"/>
        <w:ind w:left="418"/>
      </w:pPr>
      <w:r>
        <w:t xml:space="preserve"> </w:t>
      </w:r>
    </w:p>
    <w:p w14:paraId="2D5A8715" w14:textId="77777777" w:rsidR="00A71EEF" w:rsidRDefault="0081115D">
      <w:pPr>
        <w:pStyle w:val="a3"/>
        <w:spacing w:before="5"/>
        <w:ind w:left="418"/>
      </w:pPr>
      <w:r>
        <w:t xml:space="preserve"> </w:t>
      </w:r>
    </w:p>
    <w:p w14:paraId="04FD00E2" w14:textId="77777777" w:rsidR="00A71EEF" w:rsidRDefault="0081115D">
      <w:pPr>
        <w:pStyle w:val="a3"/>
        <w:spacing w:before="2"/>
        <w:ind w:left="418"/>
      </w:pPr>
      <w:r>
        <w:t xml:space="preserve"> </w:t>
      </w:r>
    </w:p>
    <w:p w14:paraId="79177FD1" w14:textId="77777777" w:rsidR="00A71EEF" w:rsidRDefault="0081115D">
      <w:pPr>
        <w:pStyle w:val="a3"/>
        <w:spacing w:before="5"/>
        <w:ind w:left="418"/>
      </w:pPr>
      <w:r>
        <w:t xml:space="preserve"> </w:t>
      </w:r>
    </w:p>
    <w:p w14:paraId="158F6B17" w14:textId="77777777" w:rsidR="00A71EEF" w:rsidRDefault="0081115D">
      <w:pPr>
        <w:pStyle w:val="a3"/>
        <w:spacing w:before="2"/>
        <w:ind w:left="418"/>
      </w:pPr>
      <w:r>
        <w:t xml:space="preserve"> </w:t>
      </w:r>
    </w:p>
    <w:p w14:paraId="3A0C1611" w14:textId="77777777" w:rsidR="00A71EEF" w:rsidRDefault="0081115D">
      <w:pPr>
        <w:pStyle w:val="a3"/>
        <w:spacing w:before="4"/>
        <w:ind w:left="418"/>
      </w:pPr>
      <w:r>
        <w:t xml:space="preserve"> </w:t>
      </w:r>
    </w:p>
    <w:p w14:paraId="7CB7534D" w14:textId="77777777" w:rsidR="00A71EEF" w:rsidRDefault="0081115D">
      <w:pPr>
        <w:pStyle w:val="a3"/>
        <w:spacing w:before="3"/>
        <w:ind w:left="418"/>
      </w:pPr>
      <w:r>
        <w:t xml:space="preserve"> </w:t>
      </w:r>
    </w:p>
    <w:p w14:paraId="2003BBF8" w14:textId="77777777" w:rsidR="00A71EEF" w:rsidRDefault="0081115D">
      <w:pPr>
        <w:pStyle w:val="a3"/>
        <w:spacing w:before="4"/>
        <w:ind w:left="418"/>
      </w:pPr>
      <w:r>
        <w:t xml:space="preserve"> </w:t>
      </w:r>
    </w:p>
    <w:p w14:paraId="4A4ECA79" w14:textId="77777777" w:rsidR="00A71EEF" w:rsidRDefault="0081115D">
      <w:pPr>
        <w:pStyle w:val="a3"/>
        <w:spacing w:before="3"/>
        <w:ind w:left="418"/>
      </w:pPr>
      <w:r>
        <w:t xml:space="preserve"> </w:t>
      </w:r>
    </w:p>
    <w:p w14:paraId="4BBA5255" w14:textId="77777777" w:rsidR="00A71EEF" w:rsidRDefault="0081115D">
      <w:pPr>
        <w:pStyle w:val="a3"/>
        <w:spacing w:before="4"/>
        <w:ind w:left="418"/>
      </w:pPr>
      <w:r>
        <w:t xml:space="preserve"> </w:t>
      </w:r>
    </w:p>
    <w:p w14:paraId="45F56091" w14:textId="77777777" w:rsidR="00A71EEF" w:rsidRDefault="0081115D">
      <w:pPr>
        <w:pStyle w:val="a3"/>
        <w:spacing w:before="2"/>
        <w:ind w:left="418"/>
      </w:pPr>
      <w:r>
        <w:t xml:space="preserve"> </w:t>
      </w:r>
    </w:p>
    <w:p w14:paraId="718684C6" w14:textId="77777777" w:rsidR="00A71EEF" w:rsidRDefault="0081115D">
      <w:pPr>
        <w:pStyle w:val="a3"/>
        <w:spacing w:before="5"/>
        <w:ind w:left="418"/>
      </w:pPr>
      <w:r>
        <w:t xml:space="preserve"> </w:t>
      </w:r>
    </w:p>
    <w:p w14:paraId="50A08190" w14:textId="77777777" w:rsidR="00A71EEF" w:rsidRDefault="0081115D">
      <w:pPr>
        <w:pStyle w:val="a3"/>
        <w:spacing w:before="2"/>
        <w:ind w:left="418"/>
      </w:pPr>
      <w:r>
        <w:t xml:space="preserve"> </w:t>
      </w:r>
    </w:p>
    <w:p w14:paraId="38973EDD" w14:textId="77777777" w:rsidR="00A71EEF" w:rsidRDefault="00A71EEF">
      <w:pPr>
        <w:sectPr w:rsidR="00A71EEF">
          <w:footerReference w:type="default" r:id="rId537"/>
          <w:pgSz w:w="11910" w:h="16850"/>
          <w:pgMar w:top="1220" w:right="0" w:bottom="1420" w:left="1260" w:header="0" w:footer="1239" w:gutter="0"/>
          <w:pgNumType w:start="1582"/>
          <w:cols w:space="720"/>
        </w:sectPr>
      </w:pPr>
    </w:p>
    <w:p w14:paraId="1D537E0D" w14:textId="77777777" w:rsidR="00A71EEF" w:rsidRDefault="00A71EEF">
      <w:pPr>
        <w:pStyle w:val="a3"/>
        <w:rPr>
          <w:sz w:val="20"/>
        </w:rPr>
      </w:pPr>
    </w:p>
    <w:p w14:paraId="2717836E" w14:textId="77777777" w:rsidR="00A71EEF" w:rsidRDefault="00A71EEF">
      <w:pPr>
        <w:pStyle w:val="a3"/>
        <w:rPr>
          <w:sz w:val="20"/>
        </w:rPr>
      </w:pPr>
    </w:p>
    <w:p w14:paraId="4C19CA1C" w14:textId="77777777" w:rsidR="00A71EEF" w:rsidRDefault="00A71EEF">
      <w:pPr>
        <w:pStyle w:val="a3"/>
        <w:spacing w:before="4"/>
        <w:rPr>
          <w:sz w:val="24"/>
        </w:rPr>
      </w:pPr>
    </w:p>
    <w:p w14:paraId="146B6206" w14:textId="77777777" w:rsidR="00A71EEF" w:rsidRDefault="0081115D">
      <w:pPr>
        <w:pStyle w:val="a3"/>
        <w:ind w:left="1497"/>
        <w:rPr>
          <w:sz w:val="20"/>
        </w:rPr>
      </w:pPr>
      <w:r>
        <w:rPr>
          <w:noProof/>
          <w:sz w:val="20"/>
        </w:rPr>
        <w:drawing>
          <wp:inline distT="0" distB="0" distL="0" distR="0" wp14:anchorId="5CBC19E1" wp14:editId="3739BB42">
            <wp:extent cx="4332452" cy="6191250"/>
            <wp:effectExtent l="0" t="0" r="0" b="0"/>
            <wp:docPr id="727" name="image4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 name="image428.png"/>
                    <pic:cNvPicPr/>
                  </pic:nvPicPr>
                  <pic:blipFill>
                    <a:blip r:embed="rId538" cstate="print"/>
                    <a:stretch>
                      <a:fillRect/>
                    </a:stretch>
                  </pic:blipFill>
                  <pic:spPr>
                    <a:xfrm>
                      <a:off x="0" y="0"/>
                      <a:ext cx="4332452" cy="6191250"/>
                    </a:xfrm>
                    <a:prstGeom prst="rect">
                      <a:avLst/>
                    </a:prstGeom>
                  </pic:spPr>
                </pic:pic>
              </a:graphicData>
            </a:graphic>
          </wp:inline>
        </w:drawing>
      </w:r>
    </w:p>
    <w:p w14:paraId="769C4F73" w14:textId="77777777" w:rsidR="00A71EEF" w:rsidRDefault="00A71EEF">
      <w:pPr>
        <w:pStyle w:val="a3"/>
        <w:spacing w:before="4"/>
        <w:rPr>
          <w:sz w:val="22"/>
        </w:rPr>
      </w:pPr>
    </w:p>
    <w:p w14:paraId="65A0F5B9" w14:textId="77777777" w:rsidR="00A71EEF" w:rsidRDefault="0081115D">
      <w:pPr>
        <w:pStyle w:val="a4"/>
        <w:numPr>
          <w:ilvl w:val="1"/>
          <w:numId w:val="78"/>
        </w:numPr>
        <w:tabs>
          <w:tab w:val="left" w:pos="1159"/>
        </w:tabs>
        <w:spacing w:before="72"/>
        <w:ind w:hanging="319"/>
        <w:jc w:val="left"/>
        <w:rPr>
          <w:sz w:val="21"/>
        </w:rPr>
      </w:pPr>
      <w:r>
        <w:rPr>
          <w:spacing w:val="-3"/>
          <w:sz w:val="21"/>
        </w:rPr>
        <w:t>仓库及类似场所采用仓库型特殊应用喷头时，湿式系统的设计基本参数不应低于表</w:t>
      </w:r>
    </w:p>
    <w:p w14:paraId="6AFF994A" w14:textId="77777777" w:rsidR="00A71EEF" w:rsidRDefault="00A71EEF">
      <w:pPr>
        <w:pStyle w:val="a3"/>
        <w:spacing w:before="12"/>
        <w:rPr>
          <w:sz w:val="17"/>
        </w:rPr>
      </w:pPr>
    </w:p>
    <w:p w14:paraId="6AA898FA" w14:textId="77777777" w:rsidR="00A71EEF" w:rsidRDefault="0081115D">
      <w:pPr>
        <w:pStyle w:val="a3"/>
        <w:ind w:left="418"/>
        <w:rPr>
          <w:b/>
        </w:rPr>
      </w:pPr>
      <w:r>
        <w:t xml:space="preserve">5.0.6 </w:t>
      </w:r>
      <w:r>
        <w:t>的规定。</w:t>
      </w:r>
      <w:r>
        <w:rPr>
          <w:b/>
          <w:w w:val="99"/>
        </w:rPr>
        <w:t xml:space="preserve"> </w:t>
      </w:r>
    </w:p>
    <w:p w14:paraId="61019AA4" w14:textId="77777777" w:rsidR="00A71EEF" w:rsidRDefault="00A71EEF">
      <w:pPr>
        <w:sectPr w:rsidR="00A71EEF">
          <w:pgSz w:w="11910" w:h="16850"/>
          <w:pgMar w:top="1600" w:right="0" w:bottom="1420" w:left="1260" w:header="0" w:footer="1239" w:gutter="0"/>
          <w:cols w:space="720"/>
        </w:sectPr>
      </w:pPr>
    </w:p>
    <w:p w14:paraId="15966E08" w14:textId="77777777" w:rsidR="00A71EEF" w:rsidRDefault="0081115D">
      <w:pPr>
        <w:pStyle w:val="a3"/>
        <w:ind w:left="1240"/>
        <w:rPr>
          <w:sz w:val="20"/>
        </w:rPr>
      </w:pPr>
      <w:r>
        <w:rPr>
          <w:noProof/>
          <w:sz w:val="20"/>
        </w:rPr>
        <w:drawing>
          <wp:inline distT="0" distB="0" distL="0" distR="0" wp14:anchorId="3CD1A9BE" wp14:editId="5269C4E6">
            <wp:extent cx="4489305" cy="6248400"/>
            <wp:effectExtent l="0" t="0" r="0" b="0"/>
            <wp:docPr id="729" name="image4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mage429.jpeg"/>
                    <pic:cNvPicPr/>
                  </pic:nvPicPr>
                  <pic:blipFill>
                    <a:blip r:embed="rId539" cstate="print"/>
                    <a:stretch>
                      <a:fillRect/>
                    </a:stretch>
                  </pic:blipFill>
                  <pic:spPr>
                    <a:xfrm>
                      <a:off x="0" y="0"/>
                      <a:ext cx="4489305" cy="6248400"/>
                    </a:xfrm>
                    <a:prstGeom prst="rect">
                      <a:avLst/>
                    </a:prstGeom>
                  </pic:spPr>
                </pic:pic>
              </a:graphicData>
            </a:graphic>
          </wp:inline>
        </w:drawing>
      </w:r>
    </w:p>
    <w:p w14:paraId="4707E453" w14:textId="77777777" w:rsidR="00A71EEF" w:rsidRDefault="00A71EEF">
      <w:pPr>
        <w:pStyle w:val="a3"/>
        <w:rPr>
          <w:b/>
          <w:sz w:val="20"/>
        </w:rPr>
      </w:pPr>
    </w:p>
    <w:p w14:paraId="14CF1F91" w14:textId="77777777" w:rsidR="00A71EEF" w:rsidRDefault="00A71EEF">
      <w:pPr>
        <w:pStyle w:val="a3"/>
        <w:rPr>
          <w:b/>
          <w:sz w:val="20"/>
        </w:rPr>
      </w:pPr>
    </w:p>
    <w:p w14:paraId="68FAC83A" w14:textId="77777777" w:rsidR="00A71EEF" w:rsidRDefault="00A71EEF">
      <w:pPr>
        <w:pStyle w:val="a3"/>
        <w:spacing w:before="7"/>
        <w:rPr>
          <w:b/>
          <w:sz w:val="20"/>
        </w:rPr>
      </w:pPr>
    </w:p>
    <w:p w14:paraId="77E04F01" w14:textId="77777777" w:rsidR="00A71EEF" w:rsidRDefault="0081115D">
      <w:pPr>
        <w:pStyle w:val="a4"/>
        <w:numPr>
          <w:ilvl w:val="1"/>
          <w:numId w:val="78"/>
        </w:numPr>
        <w:tabs>
          <w:tab w:val="left" w:pos="1213"/>
        </w:tabs>
        <w:spacing w:before="72" w:line="446" w:lineRule="auto"/>
        <w:ind w:left="418" w:right="1445" w:firstLine="422"/>
        <w:jc w:val="left"/>
        <w:rPr>
          <w:sz w:val="21"/>
        </w:rPr>
      </w:pPr>
      <w:r>
        <w:rPr>
          <w:spacing w:val="-3"/>
          <w:sz w:val="21"/>
        </w:rPr>
        <w:t>设置自动喷水灭火系统的仓库及类似场所，当采用货架储存时应采用钢制货架，并应采</w:t>
      </w:r>
      <w:r>
        <w:rPr>
          <w:spacing w:val="-5"/>
          <w:sz w:val="21"/>
        </w:rPr>
        <w:t>用通透层板，且层板中通透部分的面积不应小于层板总面积的</w:t>
      </w:r>
      <w:r>
        <w:rPr>
          <w:spacing w:val="-5"/>
          <w:sz w:val="21"/>
        </w:rPr>
        <w:t xml:space="preserve"> </w:t>
      </w:r>
      <w:r>
        <w:rPr>
          <w:sz w:val="21"/>
        </w:rPr>
        <w:t>50</w:t>
      </w:r>
      <w:r>
        <w:rPr>
          <w:spacing w:val="-3"/>
          <w:sz w:val="21"/>
        </w:rPr>
        <w:t>％。当采用木制货架或采用封闭层板货架时，其系统设置应按堆垛储物仓库确定。</w:t>
      </w:r>
      <w:r>
        <w:rPr>
          <w:spacing w:val="-3"/>
          <w:sz w:val="21"/>
        </w:rPr>
        <w:t xml:space="preserve"> </w:t>
      </w:r>
    </w:p>
    <w:p w14:paraId="7343D5D1" w14:textId="77777777" w:rsidR="00A71EEF" w:rsidRDefault="0081115D">
      <w:pPr>
        <w:pStyle w:val="a4"/>
        <w:numPr>
          <w:ilvl w:val="1"/>
          <w:numId w:val="78"/>
        </w:numPr>
        <w:tabs>
          <w:tab w:val="left" w:pos="1159"/>
        </w:tabs>
        <w:spacing w:line="446" w:lineRule="auto"/>
        <w:ind w:left="418" w:right="1604" w:firstLine="422"/>
        <w:jc w:val="both"/>
        <w:rPr>
          <w:sz w:val="21"/>
        </w:rPr>
      </w:pPr>
      <w:r>
        <w:rPr>
          <w:spacing w:val="-5"/>
          <w:sz w:val="21"/>
        </w:rPr>
        <w:t>货架仓库的最大净空高度或最大储物高度超过本规范第</w:t>
      </w:r>
      <w:r>
        <w:rPr>
          <w:spacing w:val="-5"/>
          <w:sz w:val="21"/>
        </w:rPr>
        <w:t xml:space="preserve"> </w:t>
      </w:r>
      <w:r>
        <w:rPr>
          <w:sz w:val="21"/>
        </w:rPr>
        <w:t>5.0.5</w:t>
      </w:r>
      <w:r>
        <w:rPr>
          <w:spacing w:val="-8"/>
          <w:sz w:val="21"/>
        </w:rPr>
        <w:t xml:space="preserve"> </w:t>
      </w:r>
      <w:r>
        <w:rPr>
          <w:spacing w:val="-8"/>
          <w:sz w:val="21"/>
        </w:rPr>
        <w:t>条的规定时，应设货架</w:t>
      </w:r>
      <w:r>
        <w:rPr>
          <w:spacing w:val="-5"/>
          <w:sz w:val="21"/>
        </w:rPr>
        <w:t>内置洒水喷头，且货架内置洒水喷头上方的层间隔板应为实层板。货架内置洒水喷头的设置应</w:t>
      </w:r>
      <w:r>
        <w:rPr>
          <w:spacing w:val="-4"/>
          <w:sz w:val="21"/>
        </w:rPr>
        <w:t>符合下列规定：</w:t>
      </w:r>
      <w:r>
        <w:rPr>
          <w:sz w:val="21"/>
        </w:rPr>
        <w:t xml:space="preserve"> </w:t>
      </w:r>
    </w:p>
    <w:p w14:paraId="0C6EA7E4" w14:textId="77777777" w:rsidR="00A71EEF" w:rsidRDefault="0081115D">
      <w:pPr>
        <w:pStyle w:val="a3"/>
        <w:spacing w:line="268" w:lineRule="exact"/>
        <w:ind w:left="838"/>
        <w:jc w:val="both"/>
      </w:pPr>
      <w:r>
        <w:t>仓库危险级</w:t>
      </w:r>
      <w:r>
        <w:t>Ⅰ</w:t>
      </w:r>
      <w:r>
        <w:t>级、</w:t>
      </w:r>
      <w:r>
        <w:t>Ⅱ</w:t>
      </w:r>
      <w:r>
        <w:t>级场所应在自地面起每</w:t>
      </w:r>
      <w:r>
        <w:t xml:space="preserve"> 3.0m </w:t>
      </w:r>
      <w:r>
        <w:t>设置一层货架内置洒水喷头，仓库危险级</w:t>
      </w:r>
    </w:p>
    <w:p w14:paraId="0C2B9E23" w14:textId="77777777" w:rsidR="00A71EEF" w:rsidRDefault="00A71EEF">
      <w:pPr>
        <w:spacing w:line="268" w:lineRule="exact"/>
        <w:jc w:val="both"/>
        <w:sectPr w:rsidR="00A71EEF">
          <w:pgSz w:w="11910" w:h="16850"/>
          <w:pgMar w:top="1120" w:right="0" w:bottom="1420" w:left="1260" w:header="0" w:footer="1239" w:gutter="0"/>
          <w:cols w:space="720"/>
        </w:sectPr>
      </w:pPr>
    </w:p>
    <w:p w14:paraId="005E630F" w14:textId="77777777" w:rsidR="00A71EEF" w:rsidRDefault="0081115D">
      <w:pPr>
        <w:pStyle w:val="a3"/>
        <w:spacing w:before="47" w:line="446" w:lineRule="auto"/>
        <w:ind w:left="418" w:right="1611"/>
      </w:pPr>
      <w:r>
        <w:rPr>
          <w:spacing w:val="-6"/>
        </w:rPr>
        <w:t>Ⅲ</w:t>
      </w:r>
      <w:r>
        <w:rPr>
          <w:spacing w:val="-6"/>
        </w:rPr>
        <w:t>级场所应在自地面起每</w:t>
      </w:r>
      <w:r>
        <w:rPr>
          <w:spacing w:val="-6"/>
        </w:rPr>
        <w:t xml:space="preserve"> </w:t>
      </w:r>
      <w:r>
        <w:t>1.5m~3.0m</w:t>
      </w:r>
      <w:r>
        <w:rPr>
          <w:spacing w:val="-7"/>
        </w:rPr>
        <w:t xml:space="preserve"> </w:t>
      </w:r>
      <w:r>
        <w:rPr>
          <w:spacing w:val="-7"/>
        </w:rPr>
        <w:t>设置一层货架内置洒水喷头，且最高层货架内置洒水喷头</w:t>
      </w:r>
      <w:r>
        <w:rPr>
          <w:spacing w:val="-9"/>
        </w:rPr>
        <w:t>与储物顶部的距离不应超过</w:t>
      </w:r>
      <w:r>
        <w:rPr>
          <w:spacing w:val="-9"/>
        </w:rPr>
        <w:t xml:space="preserve"> </w:t>
      </w:r>
      <w:r>
        <w:t>3.0m</w:t>
      </w:r>
      <w:r>
        <w:t>；</w:t>
      </w:r>
      <w:r>
        <w:t xml:space="preserve"> </w:t>
      </w:r>
    </w:p>
    <w:p w14:paraId="400AEEB8" w14:textId="77777777" w:rsidR="00A71EEF" w:rsidRDefault="0081115D">
      <w:pPr>
        <w:pStyle w:val="a3"/>
        <w:spacing w:line="446" w:lineRule="auto"/>
        <w:ind w:left="418" w:right="1560" w:firstLine="419"/>
      </w:pPr>
      <w:r>
        <w:rPr>
          <w:spacing w:val="-7"/>
        </w:rPr>
        <w:t>当采用流量系数等于</w:t>
      </w:r>
      <w:r>
        <w:rPr>
          <w:spacing w:val="-7"/>
        </w:rPr>
        <w:t xml:space="preserve"> </w:t>
      </w:r>
      <w:r>
        <w:t>80</w:t>
      </w:r>
      <w:r>
        <w:rPr>
          <w:spacing w:val="-10"/>
        </w:rPr>
        <w:t xml:space="preserve"> </w:t>
      </w:r>
      <w:r>
        <w:rPr>
          <w:spacing w:val="-10"/>
        </w:rPr>
        <w:t>的标准覆盖面积洒水喷头时，工作压力不应小于</w:t>
      </w:r>
      <w:r>
        <w:rPr>
          <w:spacing w:val="-10"/>
        </w:rPr>
        <w:t xml:space="preserve"> </w:t>
      </w:r>
      <w:r>
        <w:t>0.20MPa</w:t>
      </w:r>
      <w:r>
        <w:rPr>
          <w:spacing w:val="-1"/>
        </w:rPr>
        <w:t>；当采用</w:t>
      </w:r>
      <w:r>
        <w:rPr>
          <w:spacing w:val="-11"/>
        </w:rPr>
        <w:t>流量系数等于</w:t>
      </w:r>
      <w:r>
        <w:rPr>
          <w:spacing w:val="-11"/>
        </w:rPr>
        <w:t xml:space="preserve"> </w:t>
      </w:r>
      <w:r>
        <w:t>115</w:t>
      </w:r>
      <w:r>
        <w:rPr>
          <w:spacing w:val="-10"/>
        </w:rPr>
        <w:t xml:space="preserve"> </w:t>
      </w:r>
      <w:r>
        <w:rPr>
          <w:spacing w:val="-10"/>
        </w:rPr>
        <w:t>的标准覆盖面积洒水喷头时，工作压力不应小于</w:t>
      </w:r>
      <w:r>
        <w:rPr>
          <w:spacing w:val="-10"/>
        </w:rPr>
        <w:t xml:space="preserve"> </w:t>
      </w:r>
      <w:r>
        <w:t>0.10MPa</w:t>
      </w:r>
      <w:r>
        <w:t>；</w:t>
      </w:r>
      <w:r>
        <w:t xml:space="preserve"> </w:t>
      </w:r>
    </w:p>
    <w:p w14:paraId="7E74F27E" w14:textId="77777777" w:rsidR="00A71EEF" w:rsidRDefault="0081115D">
      <w:pPr>
        <w:pStyle w:val="a3"/>
        <w:spacing w:line="446" w:lineRule="auto"/>
        <w:ind w:left="418" w:right="1928" w:firstLine="419"/>
      </w:pPr>
      <w:r>
        <w:rPr>
          <w:noProof/>
        </w:rPr>
        <w:drawing>
          <wp:anchor distT="0" distB="0" distL="0" distR="0" simplePos="0" relativeHeight="251723264" behindDoc="0" locked="0" layoutInCell="1" allowOverlap="1" wp14:anchorId="3EB39474" wp14:editId="0A530B5F">
            <wp:simplePos x="0" y="0"/>
            <wp:positionH relativeFrom="page">
              <wp:posOffset>1837054</wp:posOffset>
            </wp:positionH>
            <wp:positionV relativeFrom="paragraph">
              <wp:posOffset>722630</wp:posOffset>
            </wp:positionV>
            <wp:extent cx="4423996" cy="1438275"/>
            <wp:effectExtent l="0" t="0" r="0" b="0"/>
            <wp:wrapTopAndBottom/>
            <wp:docPr id="731" name="image4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image430.jpeg"/>
                    <pic:cNvPicPr/>
                  </pic:nvPicPr>
                  <pic:blipFill>
                    <a:blip r:embed="rId540" cstate="print"/>
                    <a:stretch>
                      <a:fillRect/>
                    </a:stretch>
                  </pic:blipFill>
                  <pic:spPr>
                    <a:xfrm>
                      <a:off x="0" y="0"/>
                      <a:ext cx="4423996" cy="1438275"/>
                    </a:xfrm>
                    <a:prstGeom prst="rect">
                      <a:avLst/>
                    </a:prstGeom>
                  </pic:spPr>
                </pic:pic>
              </a:graphicData>
            </a:graphic>
          </wp:anchor>
        </w:drawing>
      </w:r>
      <w:r>
        <w:rPr>
          <w:spacing w:val="-7"/>
        </w:rPr>
        <w:t>洒水喷头间距不应大于</w:t>
      </w:r>
      <w:r>
        <w:rPr>
          <w:spacing w:val="-7"/>
        </w:rPr>
        <w:t xml:space="preserve"> </w:t>
      </w:r>
      <w:r>
        <w:t>3m</w:t>
      </w:r>
      <w:r>
        <w:rPr>
          <w:spacing w:val="-8"/>
        </w:rPr>
        <w:t>，且不应小于</w:t>
      </w:r>
      <w:r>
        <w:rPr>
          <w:spacing w:val="-8"/>
        </w:rPr>
        <w:t xml:space="preserve"> </w:t>
      </w:r>
      <w:r>
        <w:t>2m</w:t>
      </w:r>
      <w:r>
        <w:rPr>
          <w:spacing w:val="-3"/>
        </w:rPr>
        <w:t>。计算货架内开放洒水喷头数量不应小于表</w:t>
      </w:r>
      <w:r>
        <w:rPr>
          <w:spacing w:val="-3"/>
        </w:rPr>
        <w:t xml:space="preserve">5.0.8 </w:t>
      </w:r>
      <w:r>
        <w:rPr>
          <w:spacing w:val="-3"/>
        </w:rPr>
        <w:t>的规定；</w:t>
      </w:r>
      <w:r>
        <w:t xml:space="preserve"> </w:t>
      </w:r>
    </w:p>
    <w:p w14:paraId="6787B858" w14:textId="77777777" w:rsidR="00A71EEF" w:rsidRDefault="00A71EEF">
      <w:pPr>
        <w:pStyle w:val="a3"/>
        <w:rPr>
          <w:sz w:val="20"/>
        </w:rPr>
      </w:pPr>
    </w:p>
    <w:p w14:paraId="5CB7E973" w14:textId="77777777" w:rsidR="00A71EEF" w:rsidRDefault="00A71EEF">
      <w:pPr>
        <w:pStyle w:val="a3"/>
        <w:rPr>
          <w:sz w:val="20"/>
        </w:rPr>
      </w:pPr>
    </w:p>
    <w:p w14:paraId="1683C6AF" w14:textId="77777777" w:rsidR="00A71EEF" w:rsidRDefault="0081115D">
      <w:pPr>
        <w:pStyle w:val="a3"/>
        <w:spacing w:before="150" w:line="448" w:lineRule="auto"/>
        <w:ind w:left="840" w:right="4026" w:hanging="3"/>
      </w:pPr>
      <w:r>
        <w:t>设置</w:t>
      </w:r>
      <w:r>
        <w:t xml:space="preserve"> 2 </w:t>
      </w:r>
      <w:r>
        <w:t>层及以上货架内置洒水喷头时，洒水喷头应交错布置。</w:t>
      </w:r>
      <w:r>
        <w:rPr>
          <w:b/>
        </w:rPr>
        <w:t xml:space="preserve">5.9 </w:t>
      </w:r>
      <w:r>
        <w:t>仓库内设置自动喷水灭火系统时，宜设消防排水设施。</w:t>
      </w:r>
      <w:r>
        <w:t xml:space="preserve"> </w:t>
      </w:r>
    </w:p>
    <w:p w14:paraId="5869DC3F" w14:textId="77777777" w:rsidR="00A71EEF" w:rsidRDefault="0081115D">
      <w:pPr>
        <w:spacing w:line="264" w:lineRule="exact"/>
        <w:ind w:left="840"/>
        <w:rPr>
          <w:b/>
          <w:sz w:val="21"/>
        </w:rPr>
      </w:pPr>
      <w:r>
        <w:rPr>
          <w:b/>
          <w:sz w:val="21"/>
        </w:rPr>
        <w:t xml:space="preserve">5.10 </w:t>
      </w:r>
      <w:r>
        <w:rPr>
          <w:sz w:val="21"/>
        </w:rPr>
        <w:t>干式系统和雨淋系统的设计要求应符合下列规定：</w:t>
      </w:r>
      <w:r>
        <w:rPr>
          <w:b/>
          <w:w w:val="99"/>
          <w:sz w:val="21"/>
        </w:rPr>
        <w:t xml:space="preserve"> </w:t>
      </w:r>
    </w:p>
    <w:p w14:paraId="70335153" w14:textId="77777777" w:rsidR="00A71EEF" w:rsidRDefault="00A71EEF">
      <w:pPr>
        <w:pStyle w:val="a3"/>
        <w:rPr>
          <w:b/>
          <w:sz w:val="18"/>
        </w:rPr>
      </w:pPr>
    </w:p>
    <w:p w14:paraId="7BC3C154" w14:textId="77777777" w:rsidR="00A71EEF" w:rsidRDefault="0081115D">
      <w:pPr>
        <w:pStyle w:val="a3"/>
        <w:spacing w:line="446" w:lineRule="auto"/>
        <w:ind w:left="418" w:right="1505" w:firstLine="419"/>
      </w:pPr>
      <w:r>
        <w:rPr>
          <w:spacing w:val="-6"/>
        </w:rPr>
        <w:t>干式系统的喷水强度应按本规范表</w:t>
      </w:r>
      <w:r>
        <w:rPr>
          <w:spacing w:val="-6"/>
        </w:rPr>
        <w:t xml:space="preserve"> </w:t>
      </w:r>
      <w:r>
        <w:t>5.0.1</w:t>
      </w:r>
      <w:r>
        <w:rPr>
          <w:spacing w:val="-17"/>
        </w:rPr>
        <w:t>、表</w:t>
      </w:r>
      <w:r>
        <w:rPr>
          <w:spacing w:val="-17"/>
        </w:rPr>
        <w:t xml:space="preserve"> </w:t>
      </w:r>
      <w:r>
        <w:t>5.0.4-1</w:t>
      </w:r>
      <w:r>
        <w:t>～</w:t>
      </w:r>
      <w:r>
        <w:rPr>
          <w:spacing w:val="-24"/>
        </w:rPr>
        <w:t>表</w:t>
      </w:r>
      <w:r>
        <w:rPr>
          <w:spacing w:val="-24"/>
        </w:rPr>
        <w:t xml:space="preserve"> </w:t>
      </w:r>
      <w:r>
        <w:t>5.0.4-5</w:t>
      </w:r>
      <w:r>
        <w:rPr>
          <w:spacing w:val="-8"/>
        </w:rPr>
        <w:t xml:space="preserve"> </w:t>
      </w:r>
      <w:r>
        <w:rPr>
          <w:spacing w:val="-8"/>
        </w:rPr>
        <w:t>的规定值确定，系统作</w:t>
      </w:r>
      <w:r>
        <w:rPr>
          <w:spacing w:val="-10"/>
        </w:rPr>
        <w:t>用面积应按对应值的</w:t>
      </w:r>
      <w:r>
        <w:rPr>
          <w:spacing w:val="-10"/>
        </w:rPr>
        <w:t xml:space="preserve"> </w:t>
      </w:r>
      <w:r>
        <w:t>1.3</w:t>
      </w:r>
      <w:r>
        <w:rPr>
          <w:spacing w:val="-13"/>
        </w:rPr>
        <w:t xml:space="preserve"> </w:t>
      </w:r>
      <w:r>
        <w:rPr>
          <w:spacing w:val="-13"/>
        </w:rPr>
        <w:t>倍确定；</w:t>
      </w:r>
      <w:r>
        <w:t xml:space="preserve"> </w:t>
      </w:r>
    </w:p>
    <w:p w14:paraId="1FDCAE2D" w14:textId="77777777" w:rsidR="00A71EEF" w:rsidRDefault="0081115D">
      <w:pPr>
        <w:pStyle w:val="a3"/>
        <w:ind w:left="838"/>
      </w:pPr>
      <w:r>
        <w:t>雨淋系统的喷水强度和作用面积应按本规范表</w:t>
      </w:r>
      <w:r>
        <w:t xml:space="preserve"> 5.0.1 </w:t>
      </w:r>
      <w:r>
        <w:t>的规定值确定，且每个雨淋报警阀控</w:t>
      </w:r>
    </w:p>
    <w:p w14:paraId="7012B528" w14:textId="77777777" w:rsidR="00A71EEF" w:rsidRDefault="00A71EEF">
      <w:pPr>
        <w:pStyle w:val="a3"/>
        <w:spacing w:before="12"/>
        <w:rPr>
          <w:sz w:val="17"/>
        </w:rPr>
      </w:pPr>
    </w:p>
    <w:p w14:paraId="18BCC44F" w14:textId="77777777" w:rsidR="00A71EEF" w:rsidRDefault="0081115D">
      <w:pPr>
        <w:pStyle w:val="a3"/>
        <w:spacing w:line="448" w:lineRule="auto"/>
        <w:ind w:left="840" w:right="5387" w:hanging="423"/>
      </w:pPr>
      <w:r>
        <w:rPr>
          <w:spacing w:val="-6"/>
        </w:rPr>
        <w:t>制的喷水面积不宜大于表</w:t>
      </w:r>
      <w:r>
        <w:rPr>
          <w:spacing w:val="-6"/>
        </w:rPr>
        <w:t xml:space="preserve"> </w:t>
      </w:r>
      <w:r>
        <w:t>5.0.1</w:t>
      </w:r>
      <w:r>
        <w:rPr>
          <w:spacing w:val="-7"/>
        </w:rPr>
        <w:t xml:space="preserve"> </w:t>
      </w:r>
      <w:r>
        <w:rPr>
          <w:spacing w:val="-7"/>
        </w:rPr>
        <w:t>中的作用面积。</w:t>
      </w:r>
      <w:r>
        <w:rPr>
          <w:b/>
        </w:rPr>
        <w:t>5.11</w:t>
      </w:r>
      <w:r>
        <w:rPr>
          <w:b/>
          <w:spacing w:val="10"/>
        </w:rPr>
        <w:t xml:space="preserve"> </w:t>
      </w:r>
      <w:r>
        <w:rPr>
          <w:spacing w:val="-3"/>
        </w:rPr>
        <w:t>预作用系统的设计要求应符合下列规定：</w:t>
      </w:r>
      <w:r>
        <w:t xml:space="preserve"> </w:t>
      </w:r>
    </w:p>
    <w:p w14:paraId="1CC3B915" w14:textId="77777777" w:rsidR="00A71EEF" w:rsidRDefault="0081115D">
      <w:pPr>
        <w:pStyle w:val="a3"/>
        <w:spacing w:line="264" w:lineRule="exact"/>
        <w:ind w:left="838"/>
      </w:pPr>
      <w:r>
        <w:t>系统的喷水强度应按本规范表</w:t>
      </w:r>
      <w:r>
        <w:t xml:space="preserve"> 5.0.1</w:t>
      </w:r>
      <w:r>
        <w:t>、表</w:t>
      </w:r>
      <w:r>
        <w:t xml:space="preserve"> 5.0.4-1</w:t>
      </w:r>
      <w:r>
        <w:t>～表</w:t>
      </w:r>
      <w:r>
        <w:t xml:space="preserve"> 5.0.4-5 </w:t>
      </w:r>
      <w:r>
        <w:t>的规定值确定；</w:t>
      </w:r>
      <w:r>
        <w:t xml:space="preserve"> </w:t>
      </w:r>
    </w:p>
    <w:p w14:paraId="1BA01ED1" w14:textId="77777777" w:rsidR="00A71EEF" w:rsidRDefault="00A71EEF">
      <w:pPr>
        <w:pStyle w:val="a3"/>
        <w:spacing w:before="12"/>
        <w:rPr>
          <w:sz w:val="17"/>
        </w:rPr>
      </w:pPr>
    </w:p>
    <w:p w14:paraId="68CAF6A3" w14:textId="77777777" w:rsidR="00A71EEF" w:rsidRDefault="0081115D">
      <w:pPr>
        <w:pStyle w:val="a3"/>
        <w:ind w:left="838"/>
      </w:pPr>
      <w:r>
        <w:t>当系统采用仅由火灾自动报警系统直接控制预作用装置时，系统的作用面积应按本规范表</w:t>
      </w:r>
    </w:p>
    <w:p w14:paraId="4D64CCB1" w14:textId="77777777" w:rsidR="00A71EEF" w:rsidRDefault="00A71EEF">
      <w:pPr>
        <w:pStyle w:val="a3"/>
        <w:spacing w:before="2"/>
        <w:rPr>
          <w:sz w:val="18"/>
        </w:rPr>
      </w:pPr>
    </w:p>
    <w:p w14:paraId="2F0D7759" w14:textId="77777777" w:rsidR="00A71EEF" w:rsidRDefault="0081115D">
      <w:pPr>
        <w:pStyle w:val="a3"/>
        <w:ind w:left="418"/>
      </w:pPr>
      <w:r>
        <w:t>5.0.1</w:t>
      </w:r>
      <w:r>
        <w:t>、表</w:t>
      </w:r>
      <w:r>
        <w:t xml:space="preserve"> 5.0.4-1</w:t>
      </w:r>
      <w:r>
        <w:t>～表</w:t>
      </w:r>
      <w:r>
        <w:t xml:space="preserve"> 5.0.4-5 </w:t>
      </w:r>
      <w:r>
        <w:t>的规定值确定；</w:t>
      </w:r>
      <w:r>
        <w:t xml:space="preserve"> </w:t>
      </w:r>
    </w:p>
    <w:p w14:paraId="32A84B07" w14:textId="77777777" w:rsidR="00A71EEF" w:rsidRDefault="00A71EEF">
      <w:pPr>
        <w:pStyle w:val="a3"/>
        <w:spacing w:before="12"/>
        <w:rPr>
          <w:sz w:val="17"/>
        </w:rPr>
      </w:pPr>
    </w:p>
    <w:p w14:paraId="7D532022" w14:textId="77777777" w:rsidR="00A71EEF" w:rsidRDefault="0081115D">
      <w:pPr>
        <w:pStyle w:val="a3"/>
        <w:spacing w:line="446" w:lineRule="auto"/>
        <w:ind w:left="418" w:right="1609" w:firstLine="419"/>
      </w:pPr>
      <w:r>
        <w:t>当系统采用由火灾自动报警系统和充气管道上设置的压力开关控制预作用装置时，系统的作用面积应按本规范表</w:t>
      </w:r>
      <w:r>
        <w:t xml:space="preserve"> 5.0.1</w:t>
      </w:r>
      <w:r>
        <w:t>、表</w:t>
      </w:r>
      <w:r>
        <w:t xml:space="preserve"> 5.0.4-1</w:t>
      </w:r>
      <w:r>
        <w:t>～表</w:t>
      </w:r>
      <w:r>
        <w:t xml:space="preserve"> 5.0.4-5 </w:t>
      </w:r>
      <w:r>
        <w:t>规定值的</w:t>
      </w:r>
      <w:r>
        <w:t xml:space="preserve"> 1.3 </w:t>
      </w:r>
      <w:r>
        <w:t>倍确定。</w:t>
      </w:r>
      <w:r>
        <w:t xml:space="preserve"> </w:t>
      </w:r>
    </w:p>
    <w:p w14:paraId="7904BB53" w14:textId="77777777" w:rsidR="00A71EEF" w:rsidRDefault="0081115D">
      <w:pPr>
        <w:pStyle w:val="a4"/>
        <w:numPr>
          <w:ilvl w:val="1"/>
          <w:numId w:val="76"/>
        </w:numPr>
        <w:tabs>
          <w:tab w:val="left" w:pos="1264"/>
        </w:tabs>
        <w:spacing w:before="1" w:line="446" w:lineRule="auto"/>
        <w:ind w:right="1498" w:firstLine="422"/>
        <w:rPr>
          <w:sz w:val="21"/>
        </w:rPr>
      </w:pPr>
      <w:r>
        <w:rPr>
          <w:spacing w:val="-3"/>
          <w:sz w:val="21"/>
        </w:rPr>
        <w:t>仅在走道设置洒水喷头的闭式系统，其作用面积应按最大疏散距离所对应的走道面积确定。</w:t>
      </w:r>
      <w:r>
        <w:rPr>
          <w:sz w:val="21"/>
        </w:rPr>
        <w:t xml:space="preserve"> </w:t>
      </w:r>
    </w:p>
    <w:p w14:paraId="45934C79" w14:textId="77777777" w:rsidR="00A71EEF" w:rsidRDefault="0081115D">
      <w:pPr>
        <w:pStyle w:val="a4"/>
        <w:numPr>
          <w:ilvl w:val="1"/>
          <w:numId w:val="76"/>
        </w:numPr>
        <w:tabs>
          <w:tab w:val="left" w:pos="1266"/>
        </w:tabs>
        <w:spacing w:line="267" w:lineRule="exact"/>
        <w:ind w:left="1265" w:hanging="426"/>
        <w:rPr>
          <w:sz w:val="21"/>
        </w:rPr>
      </w:pPr>
      <w:r>
        <w:rPr>
          <w:spacing w:val="-5"/>
          <w:sz w:val="21"/>
        </w:rPr>
        <w:t>装设网格、栅板类通透性吊顶的场所，系统的喷水强度应按本规范表</w:t>
      </w:r>
      <w:r>
        <w:rPr>
          <w:spacing w:val="-5"/>
          <w:sz w:val="21"/>
        </w:rPr>
        <w:t xml:space="preserve"> </w:t>
      </w:r>
      <w:r>
        <w:rPr>
          <w:sz w:val="21"/>
        </w:rPr>
        <w:t>5.0.1</w:t>
      </w:r>
      <w:r>
        <w:rPr>
          <w:spacing w:val="-3"/>
          <w:sz w:val="21"/>
        </w:rPr>
        <w:t>、表</w:t>
      </w:r>
    </w:p>
    <w:p w14:paraId="3EE99865" w14:textId="77777777" w:rsidR="00A71EEF" w:rsidRDefault="00A71EEF">
      <w:pPr>
        <w:spacing w:line="267" w:lineRule="exact"/>
        <w:rPr>
          <w:sz w:val="21"/>
        </w:rPr>
        <w:sectPr w:rsidR="00A71EEF">
          <w:pgSz w:w="11910" w:h="16850"/>
          <w:pgMar w:top="1220" w:right="0" w:bottom="1420" w:left="1260" w:header="0" w:footer="1239" w:gutter="0"/>
          <w:cols w:space="720"/>
        </w:sectPr>
      </w:pPr>
    </w:p>
    <w:p w14:paraId="22883DC0" w14:textId="77777777" w:rsidR="00A71EEF" w:rsidRDefault="0081115D">
      <w:pPr>
        <w:pStyle w:val="a3"/>
        <w:spacing w:before="47"/>
        <w:ind w:left="418"/>
      </w:pPr>
      <w:r>
        <w:t>5.0.4-1</w:t>
      </w:r>
      <w:r>
        <w:t>～表</w:t>
      </w:r>
      <w:r>
        <w:t xml:space="preserve"> 5.0.4-5 </w:t>
      </w:r>
      <w:r>
        <w:t>规定值的</w:t>
      </w:r>
      <w:r>
        <w:t xml:space="preserve"> 1.3 </w:t>
      </w:r>
      <w:r>
        <w:t>倍确定，且喷头布置应按本规范第</w:t>
      </w:r>
      <w:r>
        <w:t xml:space="preserve"> 7.1.13 </w:t>
      </w:r>
      <w:r>
        <w:t>条的规定执行。</w:t>
      </w:r>
      <w:r>
        <w:t xml:space="preserve"> </w:t>
      </w:r>
    </w:p>
    <w:p w14:paraId="5FB5A72B" w14:textId="77777777" w:rsidR="00A71EEF" w:rsidRDefault="00A71EEF">
      <w:pPr>
        <w:pStyle w:val="a3"/>
        <w:rPr>
          <w:sz w:val="18"/>
        </w:rPr>
      </w:pPr>
    </w:p>
    <w:p w14:paraId="56DB1435" w14:textId="77777777" w:rsidR="00A71EEF" w:rsidRDefault="0081115D">
      <w:pPr>
        <w:pStyle w:val="a4"/>
        <w:numPr>
          <w:ilvl w:val="1"/>
          <w:numId w:val="76"/>
        </w:numPr>
        <w:tabs>
          <w:tab w:val="left" w:pos="1264"/>
        </w:tabs>
        <w:ind w:left="1263"/>
        <w:rPr>
          <w:sz w:val="21"/>
        </w:rPr>
      </w:pPr>
      <w:r>
        <w:rPr>
          <w:spacing w:val="-3"/>
          <w:sz w:val="21"/>
        </w:rPr>
        <w:t>水幕系统的设计基本参数应符合表</w:t>
      </w:r>
      <w:r>
        <w:rPr>
          <w:spacing w:val="-3"/>
          <w:sz w:val="21"/>
        </w:rPr>
        <w:t xml:space="preserve"> </w:t>
      </w:r>
      <w:r>
        <w:rPr>
          <w:sz w:val="21"/>
        </w:rPr>
        <w:t>5.0.14</w:t>
      </w:r>
      <w:r>
        <w:rPr>
          <w:spacing w:val="-13"/>
          <w:sz w:val="21"/>
        </w:rPr>
        <w:t xml:space="preserve"> </w:t>
      </w:r>
      <w:r>
        <w:rPr>
          <w:spacing w:val="-13"/>
          <w:sz w:val="21"/>
        </w:rPr>
        <w:t>的规定：</w:t>
      </w:r>
      <w:r>
        <w:rPr>
          <w:sz w:val="21"/>
        </w:rPr>
        <w:t xml:space="preserve"> </w:t>
      </w:r>
    </w:p>
    <w:p w14:paraId="2DA30B33" w14:textId="77777777" w:rsidR="00A71EEF" w:rsidRDefault="0081115D">
      <w:pPr>
        <w:pStyle w:val="a3"/>
        <w:spacing w:before="3"/>
        <w:rPr>
          <w:sz w:val="9"/>
        </w:rPr>
      </w:pPr>
      <w:r>
        <w:rPr>
          <w:noProof/>
        </w:rPr>
        <w:drawing>
          <wp:anchor distT="0" distB="0" distL="0" distR="0" simplePos="0" relativeHeight="251724288" behindDoc="0" locked="0" layoutInCell="1" allowOverlap="1" wp14:anchorId="2EE7FE33" wp14:editId="150FB755">
            <wp:simplePos x="0" y="0"/>
            <wp:positionH relativeFrom="page">
              <wp:posOffset>1936114</wp:posOffset>
            </wp:positionH>
            <wp:positionV relativeFrom="paragraph">
              <wp:posOffset>99980</wp:posOffset>
            </wp:positionV>
            <wp:extent cx="4500049" cy="1352550"/>
            <wp:effectExtent l="0" t="0" r="0" b="0"/>
            <wp:wrapTopAndBottom/>
            <wp:docPr id="733" name="image4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 name="image431.jpeg"/>
                    <pic:cNvPicPr/>
                  </pic:nvPicPr>
                  <pic:blipFill>
                    <a:blip r:embed="rId541" cstate="print"/>
                    <a:stretch>
                      <a:fillRect/>
                    </a:stretch>
                  </pic:blipFill>
                  <pic:spPr>
                    <a:xfrm>
                      <a:off x="0" y="0"/>
                      <a:ext cx="4500049" cy="1352550"/>
                    </a:xfrm>
                    <a:prstGeom prst="rect">
                      <a:avLst/>
                    </a:prstGeom>
                  </pic:spPr>
                </pic:pic>
              </a:graphicData>
            </a:graphic>
          </wp:anchor>
        </w:drawing>
      </w:r>
    </w:p>
    <w:p w14:paraId="62F1641D" w14:textId="77777777" w:rsidR="00A71EEF" w:rsidRDefault="0081115D">
      <w:pPr>
        <w:pStyle w:val="a4"/>
        <w:numPr>
          <w:ilvl w:val="1"/>
          <w:numId w:val="76"/>
        </w:numPr>
        <w:tabs>
          <w:tab w:val="left" w:pos="1266"/>
        </w:tabs>
        <w:spacing w:before="166" w:line="446" w:lineRule="auto"/>
        <w:ind w:right="1707" w:firstLine="422"/>
        <w:rPr>
          <w:sz w:val="21"/>
        </w:rPr>
      </w:pPr>
      <w:r>
        <w:rPr>
          <w:spacing w:val="-3"/>
          <w:sz w:val="21"/>
        </w:rPr>
        <w:t>当采用防护冷却系统保护防火卷帘、防火玻璃墙等防火分隔设施时，系统应独立设置，且应符合下列要求：</w:t>
      </w:r>
      <w:r>
        <w:rPr>
          <w:sz w:val="21"/>
        </w:rPr>
        <w:t xml:space="preserve"> </w:t>
      </w:r>
    </w:p>
    <w:p w14:paraId="619A9C67" w14:textId="77777777" w:rsidR="00A71EEF" w:rsidRDefault="0081115D">
      <w:pPr>
        <w:pStyle w:val="a3"/>
        <w:ind w:left="838"/>
      </w:pPr>
      <w:r>
        <w:t xml:space="preserve">1 </w:t>
      </w:r>
      <w:r>
        <w:t>喷头设置高度不应超过</w:t>
      </w:r>
      <w:r>
        <w:t xml:space="preserve"> 8m</w:t>
      </w:r>
      <w:r>
        <w:t>；当设置高度为</w:t>
      </w:r>
      <w:r>
        <w:t xml:space="preserve"> 4m~8m </w:t>
      </w:r>
      <w:r>
        <w:t>时，应采用快速响应洒水喷头；</w:t>
      </w:r>
      <w:r>
        <w:t xml:space="preserve"> </w:t>
      </w:r>
    </w:p>
    <w:p w14:paraId="036EFC87" w14:textId="77777777" w:rsidR="00A71EEF" w:rsidRDefault="00A71EEF">
      <w:pPr>
        <w:pStyle w:val="a3"/>
        <w:spacing w:before="12"/>
        <w:rPr>
          <w:sz w:val="17"/>
        </w:rPr>
      </w:pPr>
    </w:p>
    <w:p w14:paraId="53DA8A1A" w14:textId="77777777" w:rsidR="00A71EEF" w:rsidRDefault="0081115D">
      <w:pPr>
        <w:pStyle w:val="a3"/>
        <w:ind w:left="838"/>
      </w:pPr>
      <w:r>
        <w:t xml:space="preserve">2 </w:t>
      </w:r>
      <w:r>
        <w:t>喷头设置高度不超过</w:t>
      </w:r>
      <w:r>
        <w:t xml:space="preserve"> 4m </w:t>
      </w:r>
      <w:r>
        <w:t>时，喷水强度不应小于</w:t>
      </w:r>
      <w:r>
        <w:t xml:space="preserve"> 0.5L/</w:t>
      </w:r>
      <w:r>
        <w:t>（</w:t>
      </w:r>
      <w:r>
        <w:t>s·m</w:t>
      </w:r>
      <w:r>
        <w:t>）；当超过</w:t>
      </w:r>
      <w:r>
        <w:t xml:space="preserve"> 4m </w:t>
      </w:r>
      <w:r>
        <w:t>时，每增加</w:t>
      </w:r>
    </w:p>
    <w:p w14:paraId="01F0F718" w14:textId="77777777" w:rsidR="00A71EEF" w:rsidRDefault="00A71EEF">
      <w:pPr>
        <w:pStyle w:val="a3"/>
        <w:spacing w:before="2"/>
        <w:rPr>
          <w:sz w:val="18"/>
        </w:rPr>
      </w:pPr>
    </w:p>
    <w:p w14:paraId="1443F98F" w14:textId="77777777" w:rsidR="00A71EEF" w:rsidRDefault="0081115D">
      <w:pPr>
        <w:pStyle w:val="a3"/>
        <w:ind w:left="418"/>
      </w:pPr>
      <w:r>
        <w:t>1m</w:t>
      </w:r>
      <w:r>
        <w:t>，喷水强度应增加</w:t>
      </w:r>
      <w:r>
        <w:t xml:space="preserve"> 0.1L/</w:t>
      </w:r>
      <w:r>
        <w:t>（</w:t>
      </w:r>
      <w:r>
        <w:t>s·</w:t>
      </w:r>
      <w:r>
        <w:t>m</w:t>
      </w:r>
      <w:r>
        <w:t>）；</w:t>
      </w:r>
      <w:r>
        <w:t xml:space="preserve"> </w:t>
      </w:r>
    </w:p>
    <w:p w14:paraId="0EC9B261" w14:textId="77777777" w:rsidR="00A71EEF" w:rsidRDefault="00A71EEF">
      <w:pPr>
        <w:pStyle w:val="a3"/>
        <w:spacing w:before="12"/>
        <w:rPr>
          <w:sz w:val="17"/>
        </w:rPr>
      </w:pPr>
    </w:p>
    <w:p w14:paraId="6ACCEC08" w14:textId="77777777" w:rsidR="00A71EEF" w:rsidRDefault="0081115D">
      <w:pPr>
        <w:pStyle w:val="a3"/>
        <w:spacing w:line="446" w:lineRule="auto"/>
        <w:ind w:left="418" w:right="1393" w:firstLine="419"/>
      </w:pPr>
      <w:r>
        <w:t xml:space="preserve">3 </w:t>
      </w:r>
      <w:r>
        <w:t>喷头的设置应确保喷洒到被保护对象后布水均匀，喷头间距应为</w:t>
      </w:r>
      <w:r>
        <w:t xml:space="preserve"> 1.8m~2.4m</w:t>
      </w:r>
      <w:r>
        <w:t>；喷头溅水盘与防火分隔设施的水平距离不应大于</w:t>
      </w:r>
      <w:r>
        <w:t xml:space="preserve"> 0.3m</w:t>
      </w:r>
      <w:r>
        <w:t>，与顶板的距离应符合本规范第</w:t>
      </w:r>
      <w:r>
        <w:t xml:space="preserve"> 7.1.15 </w:t>
      </w:r>
      <w:r>
        <w:t>条的规定；</w:t>
      </w:r>
      <w:r>
        <w:t xml:space="preserve"> </w:t>
      </w:r>
    </w:p>
    <w:p w14:paraId="5287E2F8" w14:textId="77777777" w:rsidR="00A71EEF" w:rsidRDefault="0081115D">
      <w:pPr>
        <w:pStyle w:val="a3"/>
        <w:ind w:left="838"/>
      </w:pPr>
      <w:r>
        <w:t xml:space="preserve">4 </w:t>
      </w:r>
      <w:r>
        <w:t>持续喷水时间不应小于系统设置部位的耐火极限要求。</w:t>
      </w:r>
      <w:r>
        <w:t xml:space="preserve"> </w:t>
      </w:r>
    </w:p>
    <w:p w14:paraId="421B2BDF" w14:textId="77777777" w:rsidR="00A71EEF" w:rsidRDefault="00A71EEF">
      <w:pPr>
        <w:pStyle w:val="a3"/>
        <w:rPr>
          <w:sz w:val="18"/>
        </w:rPr>
      </w:pPr>
    </w:p>
    <w:p w14:paraId="276ED371" w14:textId="77777777" w:rsidR="00A71EEF" w:rsidRDefault="0081115D">
      <w:pPr>
        <w:pStyle w:val="a4"/>
        <w:numPr>
          <w:ilvl w:val="1"/>
          <w:numId w:val="76"/>
        </w:numPr>
        <w:tabs>
          <w:tab w:val="left" w:pos="1266"/>
        </w:tabs>
        <w:ind w:left="1265" w:hanging="426"/>
        <w:rPr>
          <w:sz w:val="21"/>
        </w:rPr>
      </w:pPr>
      <w:r>
        <w:rPr>
          <w:spacing w:val="-5"/>
          <w:sz w:val="21"/>
        </w:rPr>
        <w:t>除本规范另有规定外，自动喷水灭火系统的持续喷水时间应按火灾延续时间不小于</w:t>
      </w:r>
      <w:r>
        <w:rPr>
          <w:spacing w:val="-5"/>
          <w:sz w:val="21"/>
        </w:rPr>
        <w:t xml:space="preserve"> </w:t>
      </w:r>
      <w:r>
        <w:rPr>
          <w:sz w:val="21"/>
        </w:rPr>
        <w:t>1h</w:t>
      </w:r>
    </w:p>
    <w:p w14:paraId="61B27030" w14:textId="77777777" w:rsidR="00A71EEF" w:rsidRDefault="00A71EEF">
      <w:pPr>
        <w:pStyle w:val="a3"/>
        <w:spacing w:before="12"/>
        <w:rPr>
          <w:sz w:val="17"/>
        </w:rPr>
      </w:pPr>
    </w:p>
    <w:p w14:paraId="1586CEFC" w14:textId="77777777" w:rsidR="00A71EEF" w:rsidRDefault="0081115D">
      <w:pPr>
        <w:pStyle w:val="a3"/>
        <w:ind w:left="418"/>
      </w:pPr>
      <w:r>
        <w:t>确定。</w:t>
      </w:r>
      <w:r>
        <w:t xml:space="preserve"> </w:t>
      </w:r>
    </w:p>
    <w:p w14:paraId="6FBF6273" w14:textId="77777777" w:rsidR="00A71EEF" w:rsidRDefault="00A71EEF">
      <w:pPr>
        <w:pStyle w:val="a3"/>
        <w:spacing w:before="2"/>
        <w:rPr>
          <w:sz w:val="18"/>
        </w:rPr>
      </w:pPr>
    </w:p>
    <w:p w14:paraId="1C30CBDE" w14:textId="77777777" w:rsidR="00A71EEF" w:rsidRDefault="0081115D">
      <w:pPr>
        <w:pStyle w:val="a4"/>
        <w:numPr>
          <w:ilvl w:val="1"/>
          <w:numId w:val="76"/>
        </w:numPr>
        <w:tabs>
          <w:tab w:val="left" w:pos="1266"/>
        </w:tabs>
        <w:spacing w:line="446" w:lineRule="auto"/>
        <w:ind w:right="1498" w:firstLine="422"/>
        <w:rPr>
          <w:sz w:val="21"/>
        </w:rPr>
      </w:pPr>
      <w:r>
        <w:rPr>
          <w:spacing w:val="-3"/>
          <w:sz w:val="21"/>
        </w:rPr>
        <w:t>利用有压气体作为系统启动介质的干式系统和预作用系统，其配水管道内的气压值应根据报警阀的技术性能确定；利用有压气体检测管道是否严密的预作用系统，配水管道内的气</w:t>
      </w:r>
      <w:r>
        <w:rPr>
          <w:spacing w:val="-11"/>
          <w:sz w:val="21"/>
        </w:rPr>
        <w:t>压值不宜小于</w:t>
      </w:r>
      <w:r>
        <w:rPr>
          <w:spacing w:val="-11"/>
          <w:sz w:val="21"/>
        </w:rPr>
        <w:t xml:space="preserve"> </w:t>
      </w:r>
      <w:r>
        <w:rPr>
          <w:sz w:val="21"/>
        </w:rPr>
        <w:t>0.03MPa</w:t>
      </w:r>
      <w:r>
        <w:rPr>
          <w:spacing w:val="-10"/>
          <w:sz w:val="21"/>
        </w:rPr>
        <w:t>，且不宜大于</w:t>
      </w:r>
      <w:r>
        <w:rPr>
          <w:spacing w:val="-10"/>
          <w:sz w:val="21"/>
        </w:rPr>
        <w:t xml:space="preserve"> </w:t>
      </w:r>
      <w:r>
        <w:rPr>
          <w:sz w:val="21"/>
        </w:rPr>
        <w:t>0.05MPa</w:t>
      </w:r>
      <w:r>
        <w:rPr>
          <w:spacing w:val="-3"/>
          <w:sz w:val="21"/>
        </w:rPr>
        <w:t>。</w:t>
      </w:r>
      <w:r>
        <w:rPr>
          <w:sz w:val="21"/>
        </w:rPr>
        <w:t xml:space="preserve"> </w:t>
      </w:r>
    </w:p>
    <w:p w14:paraId="1709C151" w14:textId="77777777" w:rsidR="00A71EEF" w:rsidRDefault="0081115D">
      <w:pPr>
        <w:pStyle w:val="4"/>
        <w:spacing w:line="277" w:lineRule="exact"/>
      </w:pPr>
      <w:r>
        <w:t xml:space="preserve">6 </w:t>
      </w:r>
      <w:r>
        <w:t>系统组件</w:t>
      </w:r>
      <w:r>
        <w:rPr>
          <w:w w:val="99"/>
        </w:rPr>
        <w:t xml:space="preserve"> </w:t>
      </w:r>
    </w:p>
    <w:p w14:paraId="6C4A06B5" w14:textId="77777777" w:rsidR="00A71EEF" w:rsidRDefault="00A71EEF">
      <w:pPr>
        <w:pStyle w:val="a3"/>
        <w:spacing w:before="4"/>
        <w:rPr>
          <w:b/>
          <w:sz w:val="17"/>
        </w:rPr>
      </w:pPr>
    </w:p>
    <w:p w14:paraId="6EF03620" w14:textId="77777777" w:rsidR="00A71EEF" w:rsidRDefault="0081115D">
      <w:pPr>
        <w:pStyle w:val="a4"/>
        <w:numPr>
          <w:ilvl w:val="1"/>
          <w:numId w:val="75"/>
        </w:numPr>
        <w:tabs>
          <w:tab w:val="left" w:pos="1159"/>
        </w:tabs>
        <w:ind w:hanging="319"/>
        <w:rPr>
          <w:sz w:val="21"/>
        </w:rPr>
      </w:pPr>
      <w:r>
        <w:rPr>
          <w:spacing w:val="-3"/>
          <w:sz w:val="21"/>
        </w:rPr>
        <w:t>喷头</w:t>
      </w:r>
      <w:r>
        <w:rPr>
          <w:sz w:val="21"/>
        </w:rPr>
        <w:t xml:space="preserve"> </w:t>
      </w:r>
    </w:p>
    <w:p w14:paraId="10596AE1" w14:textId="77777777" w:rsidR="00A71EEF" w:rsidRDefault="00A71EEF">
      <w:pPr>
        <w:pStyle w:val="a3"/>
        <w:spacing w:before="12"/>
        <w:rPr>
          <w:sz w:val="17"/>
        </w:rPr>
      </w:pPr>
    </w:p>
    <w:p w14:paraId="5165F9F3" w14:textId="77777777" w:rsidR="00A71EEF" w:rsidRDefault="0081115D">
      <w:pPr>
        <w:pStyle w:val="a4"/>
        <w:numPr>
          <w:ilvl w:val="2"/>
          <w:numId w:val="75"/>
        </w:numPr>
        <w:tabs>
          <w:tab w:val="left" w:pos="1370"/>
        </w:tabs>
        <w:spacing w:line="446" w:lineRule="auto"/>
        <w:ind w:right="1608" w:firstLine="422"/>
        <w:rPr>
          <w:sz w:val="21"/>
        </w:rPr>
      </w:pPr>
      <w:r>
        <w:rPr>
          <w:spacing w:val="-5"/>
          <w:sz w:val="21"/>
        </w:rPr>
        <w:t>设置闭式系统的场所，洒水喷头类型和场所的最大净空高度应符合表</w:t>
      </w:r>
      <w:r>
        <w:rPr>
          <w:spacing w:val="-5"/>
          <w:sz w:val="21"/>
        </w:rPr>
        <w:t xml:space="preserve"> </w:t>
      </w:r>
      <w:r>
        <w:rPr>
          <w:sz w:val="21"/>
        </w:rPr>
        <w:t>6.1.1</w:t>
      </w:r>
      <w:r>
        <w:rPr>
          <w:spacing w:val="-6"/>
          <w:sz w:val="21"/>
        </w:rPr>
        <w:t xml:space="preserve"> </w:t>
      </w:r>
      <w:r>
        <w:rPr>
          <w:spacing w:val="-6"/>
          <w:sz w:val="21"/>
        </w:rPr>
        <w:t>的规</w:t>
      </w:r>
      <w:r>
        <w:rPr>
          <w:spacing w:val="-6"/>
          <w:sz w:val="21"/>
        </w:rPr>
        <w:t xml:space="preserve"> </w:t>
      </w:r>
      <w:r>
        <w:rPr>
          <w:spacing w:val="-6"/>
          <w:sz w:val="21"/>
        </w:rPr>
        <w:t>定</w:t>
      </w:r>
      <w:r>
        <w:rPr>
          <w:spacing w:val="-4"/>
          <w:sz w:val="21"/>
        </w:rPr>
        <w:t>；仅用于保护室内钢屋架等建筑构件的洒水喷头和设置货架内置洒水喷头的场所，可不受此表</w:t>
      </w:r>
      <w:r>
        <w:rPr>
          <w:spacing w:val="-3"/>
          <w:sz w:val="21"/>
        </w:rPr>
        <w:t>规定的限制。</w:t>
      </w:r>
      <w:r>
        <w:rPr>
          <w:sz w:val="21"/>
        </w:rPr>
        <w:t xml:space="preserve"> </w:t>
      </w:r>
    </w:p>
    <w:p w14:paraId="5032D2AB" w14:textId="77777777" w:rsidR="00A71EEF" w:rsidRDefault="00A71EEF">
      <w:pPr>
        <w:pStyle w:val="a3"/>
        <w:rPr>
          <w:sz w:val="20"/>
        </w:rPr>
      </w:pPr>
    </w:p>
    <w:p w14:paraId="48C8B978" w14:textId="77777777" w:rsidR="00A71EEF" w:rsidRDefault="00A71EEF">
      <w:pPr>
        <w:pStyle w:val="a3"/>
        <w:rPr>
          <w:sz w:val="20"/>
        </w:rPr>
      </w:pPr>
    </w:p>
    <w:p w14:paraId="57801825" w14:textId="77777777" w:rsidR="00A71EEF" w:rsidRDefault="00A71EEF">
      <w:pPr>
        <w:pStyle w:val="a3"/>
        <w:rPr>
          <w:sz w:val="20"/>
        </w:rPr>
      </w:pPr>
    </w:p>
    <w:p w14:paraId="682B1E54" w14:textId="77777777" w:rsidR="00A71EEF" w:rsidRDefault="00A71EEF">
      <w:pPr>
        <w:pStyle w:val="a3"/>
        <w:rPr>
          <w:sz w:val="20"/>
        </w:rPr>
      </w:pPr>
    </w:p>
    <w:p w14:paraId="59376304" w14:textId="77777777" w:rsidR="00A71EEF" w:rsidRDefault="00A71EEF">
      <w:pPr>
        <w:pStyle w:val="a3"/>
        <w:rPr>
          <w:sz w:val="20"/>
        </w:rPr>
      </w:pPr>
    </w:p>
    <w:p w14:paraId="3CDE7CE0" w14:textId="77777777" w:rsidR="00A71EEF" w:rsidRDefault="00A71EEF">
      <w:pPr>
        <w:pStyle w:val="a3"/>
        <w:rPr>
          <w:sz w:val="17"/>
        </w:rPr>
      </w:pPr>
    </w:p>
    <w:p w14:paraId="3E6970D8" w14:textId="77777777" w:rsidR="00A71EEF" w:rsidRDefault="0081115D">
      <w:pPr>
        <w:pStyle w:val="a3"/>
        <w:ind w:left="838"/>
      </w:pPr>
      <w:r>
        <w:t xml:space="preserve"> </w:t>
      </w:r>
    </w:p>
    <w:p w14:paraId="6E1AF5A4" w14:textId="77777777" w:rsidR="00A71EEF" w:rsidRDefault="00A71EEF">
      <w:pPr>
        <w:sectPr w:rsidR="00A71EEF">
          <w:pgSz w:w="11910" w:h="16850"/>
          <w:pgMar w:top="1220" w:right="0" w:bottom="1420" w:left="1260" w:header="0" w:footer="1239" w:gutter="0"/>
          <w:cols w:space="720"/>
        </w:sectPr>
      </w:pPr>
    </w:p>
    <w:p w14:paraId="1B4E995B" w14:textId="77777777" w:rsidR="00A71EEF" w:rsidRDefault="00A71EEF">
      <w:pPr>
        <w:pStyle w:val="a3"/>
        <w:spacing w:before="6" w:after="1"/>
        <w:rPr>
          <w:sz w:val="14"/>
        </w:rPr>
      </w:pPr>
    </w:p>
    <w:p w14:paraId="315DE671" w14:textId="77777777" w:rsidR="00A71EEF" w:rsidRDefault="0081115D">
      <w:pPr>
        <w:pStyle w:val="a3"/>
        <w:ind w:left="538"/>
        <w:rPr>
          <w:sz w:val="20"/>
        </w:rPr>
      </w:pPr>
      <w:r>
        <w:rPr>
          <w:noProof/>
          <w:sz w:val="20"/>
        </w:rPr>
        <w:drawing>
          <wp:inline distT="0" distB="0" distL="0" distR="0" wp14:anchorId="16F8F253" wp14:editId="677527B3">
            <wp:extent cx="4876800" cy="2562225"/>
            <wp:effectExtent l="0" t="0" r="0" b="0"/>
            <wp:docPr id="735" name="image4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 name="image432.jpeg"/>
                    <pic:cNvPicPr/>
                  </pic:nvPicPr>
                  <pic:blipFill>
                    <a:blip r:embed="rId542" cstate="print"/>
                    <a:stretch>
                      <a:fillRect/>
                    </a:stretch>
                  </pic:blipFill>
                  <pic:spPr>
                    <a:xfrm>
                      <a:off x="0" y="0"/>
                      <a:ext cx="4876800" cy="2562225"/>
                    </a:xfrm>
                    <a:prstGeom prst="rect">
                      <a:avLst/>
                    </a:prstGeom>
                  </pic:spPr>
                </pic:pic>
              </a:graphicData>
            </a:graphic>
          </wp:inline>
        </w:drawing>
      </w:r>
    </w:p>
    <w:p w14:paraId="7A5E413B" w14:textId="77777777" w:rsidR="00A71EEF" w:rsidRDefault="00A71EEF">
      <w:pPr>
        <w:pStyle w:val="a3"/>
        <w:spacing w:before="6"/>
        <w:rPr>
          <w:sz w:val="10"/>
        </w:rPr>
      </w:pPr>
    </w:p>
    <w:p w14:paraId="0CF97FE1" w14:textId="77777777" w:rsidR="00A71EEF" w:rsidRDefault="0081115D">
      <w:pPr>
        <w:pStyle w:val="a4"/>
        <w:numPr>
          <w:ilvl w:val="2"/>
          <w:numId w:val="75"/>
        </w:numPr>
        <w:tabs>
          <w:tab w:val="left" w:pos="1370"/>
        </w:tabs>
        <w:spacing w:before="72"/>
        <w:ind w:left="1369" w:hanging="530"/>
        <w:rPr>
          <w:sz w:val="21"/>
        </w:rPr>
      </w:pPr>
      <w:r>
        <w:rPr>
          <w:spacing w:val="-5"/>
          <w:sz w:val="21"/>
        </w:rPr>
        <w:t>闭式系统的洒水喷头，其公称动作温度宜高于环境最高温度</w:t>
      </w:r>
      <w:r>
        <w:rPr>
          <w:spacing w:val="-5"/>
          <w:sz w:val="21"/>
        </w:rPr>
        <w:t xml:space="preserve"> </w:t>
      </w:r>
      <w:r>
        <w:rPr>
          <w:sz w:val="21"/>
        </w:rPr>
        <w:t>30℃</w:t>
      </w:r>
      <w:r>
        <w:rPr>
          <w:sz w:val="21"/>
        </w:rPr>
        <w:t>。</w:t>
      </w:r>
      <w:r>
        <w:rPr>
          <w:sz w:val="21"/>
        </w:rPr>
        <w:t xml:space="preserve"> </w:t>
      </w:r>
    </w:p>
    <w:p w14:paraId="5AAB8F90" w14:textId="77777777" w:rsidR="00A71EEF" w:rsidRDefault="00A71EEF">
      <w:pPr>
        <w:pStyle w:val="a3"/>
        <w:spacing w:before="12"/>
        <w:rPr>
          <w:sz w:val="17"/>
        </w:rPr>
      </w:pPr>
    </w:p>
    <w:p w14:paraId="02AF6354" w14:textId="77777777" w:rsidR="00A71EEF" w:rsidRDefault="0081115D">
      <w:pPr>
        <w:pStyle w:val="a4"/>
        <w:numPr>
          <w:ilvl w:val="2"/>
          <w:numId w:val="75"/>
        </w:numPr>
        <w:tabs>
          <w:tab w:val="left" w:pos="1370"/>
        </w:tabs>
        <w:spacing w:before="1"/>
        <w:ind w:left="1369" w:hanging="530"/>
        <w:rPr>
          <w:sz w:val="21"/>
        </w:rPr>
      </w:pPr>
      <w:r>
        <w:rPr>
          <w:spacing w:val="-3"/>
          <w:sz w:val="21"/>
        </w:rPr>
        <w:t>湿式系统的洒水喷头选型应符合下列规定：</w:t>
      </w:r>
      <w:r>
        <w:rPr>
          <w:sz w:val="21"/>
        </w:rPr>
        <w:t xml:space="preserve"> </w:t>
      </w:r>
    </w:p>
    <w:p w14:paraId="1D824317" w14:textId="77777777" w:rsidR="00A71EEF" w:rsidRDefault="00A71EEF">
      <w:pPr>
        <w:pStyle w:val="a3"/>
        <w:spacing w:before="1"/>
        <w:rPr>
          <w:sz w:val="18"/>
        </w:rPr>
      </w:pPr>
    </w:p>
    <w:p w14:paraId="29549E54" w14:textId="77777777" w:rsidR="00A71EEF" w:rsidRDefault="0081115D">
      <w:pPr>
        <w:pStyle w:val="a3"/>
        <w:spacing w:line="446" w:lineRule="auto"/>
        <w:ind w:left="838" w:right="3186"/>
      </w:pPr>
      <w:r>
        <w:rPr>
          <w:spacing w:val="-3"/>
        </w:rPr>
        <w:t>不做吊顶的场所，当配水支管布置在梁下时，应采用直立型洒水喷头；</w:t>
      </w:r>
      <w:r>
        <w:rPr>
          <w:spacing w:val="-3"/>
        </w:rPr>
        <w:t xml:space="preserve"> </w:t>
      </w:r>
      <w:r>
        <w:rPr>
          <w:spacing w:val="-3"/>
        </w:rPr>
        <w:t>吊顶下布置的洒水喷头，应采用下垂型洒水喷头或吊顶型洒水喷头；</w:t>
      </w:r>
      <w:r>
        <w:t xml:space="preserve"> </w:t>
      </w:r>
    </w:p>
    <w:p w14:paraId="2E4AC63F" w14:textId="77777777" w:rsidR="00A71EEF" w:rsidRDefault="0081115D">
      <w:pPr>
        <w:pStyle w:val="a3"/>
        <w:spacing w:line="446" w:lineRule="auto"/>
        <w:ind w:left="418" w:right="1609" w:firstLine="419"/>
      </w:pPr>
      <w:r>
        <w:t>顶板为水平面的轻危险级、中危险级</w:t>
      </w:r>
      <w:r>
        <w:t>Ⅰ</w:t>
      </w:r>
      <w:r>
        <w:t>级住宅建筑、宿舍、旅馆建筑客房、医疗建筑病房和办公室，可采用边墙型洒水喷头；</w:t>
      </w:r>
      <w:r>
        <w:t xml:space="preserve"> </w:t>
      </w:r>
    </w:p>
    <w:p w14:paraId="05A42E8A" w14:textId="77777777" w:rsidR="00A71EEF" w:rsidRDefault="0081115D">
      <w:pPr>
        <w:pStyle w:val="a3"/>
        <w:ind w:left="838"/>
      </w:pPr>
      <w:r>
        <w:t>易受碰撞的部位，应采用带保护罩的洒水喷头或吊顶型洒水喷头；</w:t>
      </w:r>
      <w:r>
        <w:t xml:space="preserve"> </w:t>
      </w:r>
    </w:p>
    <w:p w14:paraId="069A1AD6" w14:textId="77777777" w:rsidR="00A71EEF" w:rsidRDefault="00A71EEF">
      <w:pPr>
        <w:pStyle w:val="a3"/>
        <w:spacing w:before="10"/>
        <w:rPr>
          <w:sz w:val="17"/>
        </w:rPr>
      </w:pPr>
    </w:p>
    <w:p w14:paraId="610427C8" w14:textId="77777777" w:rsidR="00A71EEF" w:rsidRDefault="0081115D">
      <w:pPr>
        <w:pStyle w:val="a3"/>
        <w:spacing w:before="1" w:line="446" w:lineRule="auto"/>
        <w:ind w:left="418" w:right="1609" w:firstLine="419"/>
      </w:pPr>
      <w:r>
        <w:t>顶板为水平面，且无梁、通风管道等障碍物影响喷头洒水的场所，可采用扩大覆盖面积洒水喷头；</w:t>
      </w:r>
      <w:r>
        <w:t xml:space="preserve"> </w:t>
      </w:r>
    </w:p>
    <w:p w14:paraId="77770BA7" w14:textId="77777777" w:rsidR="00A71EEF" w:rsidRDefault="0081115D">
      <w:pPr>
        <w:pStyle w:val="a3"/>
        <w:ind w:left="838"/>
      </w:pPr>
      <w:r>
        <w:t>住宅</w:t>
      </w:r>
      <w:r>
        <w:t>建筑和宿舍、公寓等非住宅类居住建筑宜采用家用喷头；</w:t>
      </w:r>
      <w:r>
        <w:t xml:space="preserve"> </w:t>
      </w:r>
    </w:p>
    <w:p w14:paraId="2D070A5E" w14:textId="77777777" w:rsidR="00A71EEF" w:rsidRDefault="00A71EEF">
      <w:pPr>
        <w:pStyle w:val="a3"/>
        <w:spacing w:before="12"/>
        <w:rPr>
          <w:sz w:val="17"/>
        </w:rPr>
      </w:pPr>
    </w:p>
    <w:p w14:paraId="02258601" w14:textId="77777777" w:rsidR="00A71EEF" w:rsidRDefault="0081115D">
      <w:pPr>
        <w:pStyle w:val="a3"/>
        <w:spacing w:line="446" w:lineRule="auto"/>
        <w:ind w:left="840" w:right="1925" w:hanging="3"/>
      </w:pPr>
      <w:r>
        <w:t>不宜选用隐蔽式洒水喷头；确需采用时，应仅适用于轻危险级和中危险级</w:t>
      </w:r>
      <w:r>
        <w:t>Ⅰ</w:t>
      </w:r>
      <w:r>
        <w:t>级场所。</w:t>
      </w:r>
      <w:r>
        <w:rPr>
          <w:b/>
        </w:rPr>
        <w:t xml:space="preserve">6.1.4 </w:t>
      </w:r>
      <w:r>
        <w:t>干式系统、预作用系统应采用直立型洒水喷头或干式下垂型洒水喷头。</w:t>
      </w:r>
      <w:r>
        <w:t xml:space="preserve"> </w:t>
      </w:r>
    </w:p>
    <w:p w14:paraId="74927D45" w14:textId="77777777" w:rsidR="00A71EEF" w:rsidRDefault="0081115D">
      <w:pPr>
        <w:pStyle w:val="a4"/>
        <w:numPr>
          <w:ilvl w:val="2"/>
          <w:numId w:val="74"/>
        </w:numPr>
        <w:tabs>
          <w:tab w:val="left" w:pos="1370"/>
        </w:tabs>
        <w:spacing w:line="446" w:lineRule="auto"/>
        <w:ind w:right="5288" w:firstLine="2"/>
        <w:rPr>
          <w:sz w:val="21"/>
        </w:rPr>
      </w:pPr>
      <w:r>
        <w:rPr>
          <w:spacing w:val="-2"/>
          <w:sz w:val="21"/>
        </w:rPr>
        <w:t>水幕系统的喷头选型应符合下列规定：</w:t>
      </w:r>
      <w:r>
        <w:rPr>
          <w:spacing w:val="-2"/>
          <w:sz w:val="21"/>
        </w:rPr>
        <w:t xml:space="preserve"> </w:t>
      </w:r>
      <w:r>
        <w:rPr>
          <w:spacing w:val="-2"/>
          <w:sz w:val="21"/>
        </w:rPr>
        <w:t>防火分隔水幕应采用开式洒水喷头或水幕喷头；</w:t>
      </w:r>
      <w:r>
        <w:rPr>
          <w:spacing w:val="-2"/>
          <w:sz w:val="21"/>
        </w:rPr>
        <w:t xml:space="preserve"> </w:t>
      </w:r>
      <w:r>
        <w:rPr>
          <w:spacing w:val="-2"/>
          <w:sz w:val="21"/>
        </w:rPr>
        <w:t>防</w:t>
      </w:r>
      <w:r>
        <w:rPr>
          <w:spacing w:val="-3"/>
          <w:sz w:val="21"/>
        </w:rPr>
        <w:t>护冷却水幕应采用水幕喷头。</w:t>
      </w:r>
      <w:r>
        <w:rPr>
          <w:sz w:val="21"/>
        </w:rPr>
        <w:t xml:space="preserve"> </w:t>
      </w:r>
    </w:p>
    <w:p w14:paraId="32DCC704" w14:textId="77777777" w:rsidR="00A71EEF" w:rsidRDefault="0081115D">
      <w:pPr>
        <w:pStyle w:val="a4"/>
        <w:numPr>
          <w:ilvl w:val="2"/>
          <w:numId w:val="74"/>
        </w:numPr>
        <w:tabs>
          <w:tab w:val="left" w:pos="1424"/>
        </w:tabs>
        <w:spacing w:line="268" w:lineRule="exact"/>
        <w:ind w:left="1423" w:hanging="584"/>
        <w:rPr>
          <w:sz w:val="21"/>
        </w:rPr>
      </w:pPr>
      <w:r>
        <w:rPr>
          <w:spacing w:val="-3"/>
          <w:sz w:val="21"/>
        </w:rPr>
        <w:t>自动喷水防护冷却系统可采用边墙型洒水洒头。</w:t>
      </w:r>
      <w:r>
        <w:rPr>
          <w:sz w:val="21"/>
        </w:rPr>
        <w:t xml:space="preserve"> </w:t>
      </w:r>
    </w:p>
    <w:p w14:paraId="5ACBB41A" w14:textId="77777777" w:rsidR="00A71EEF" w:rsidRDefault="00A71EEF">
      <w:pPr>
        <w:pStyle w:val="a3"/>
        <w:rPr>
          <w:sz w:val="18"/>
        </w:rPr>
      </w:pPr>
    </w:p>
    <w:p w14:paraId="53C92681" w14:textId="77777777" w:rsidR="00A71EEF" w:rsidRDefault="0081115D">
      <w:pPr>
        <w:pStyle w:val="a4"/>
        <w:numPr>
          <w:ilvl w:val="2"/>
          <w:numId w:val="74"/>
        </w:numPr>
        <w:tabs>
          <w:tab w:val="left" w:pos="1424"/>
        </w:tabs>
        <w:spacing w:line="446" w:lineRule="auto"/>
        <w:ind w:left="418" w:right="1657" w:firstLine="422"/>
        <w:rPr>
          <w:sz w:val="21"/>
        </w:rPr>
      </w:pPr>
      <w:r>
        <w:rPr>
          <w:spacing w:val="-3"/>
          <w:sz w:val="21"/>
        </w:rPr>
        <w:t>下列场所宜采用快速响应洒水喷头。当采用快速响应洒水喷头时，系统应为湿式系统。</w:t>
      </w:r>
      <w:r>
        <w:rPr>
          <w:sz w:val="21"/>
        </w:rPr>
        <w:t xml:space="preserve"> </w:t>
      </w:r>
    </w:p>
    <w:p w14:paraId="66D713A1" w14:textId="77777777" w:rsidR="00A71EEF" w:rsidRDefault="0081115D">
      <w:pPr>
        <w:pStyle w:val="a3"/>
        <w:ind w:left="838"/>
      </w:pPr>
      <w:r>
        <w:t>公共娱乐场所、中庭环廊；</w:t>
      </w:r>
      <w:r>
        <w:t xml:space="preserve"> </w:t>
      </w:r>
    </w:p>
    <w:p w14:paraId="6418EF7D" w14:textId="77777777" w:rsidR="00A71EEF" w:rsidRDefault="00A71EEF">
      <w:pPr>
        <w:sectPr w:rsidR="00A71EEF">
          <w:pgSz w:w="11910" w:h="16850"/>
          <w:pgMar w:top="1600" w:right="0" w:bottom="1420" w:left="1260" w:header="0" w:footer="1239" w:gutter="0"/>
          <w:cols w:space="720"/>
        </w:sectPr>
      </w:pPr>
    </w:p>
    <w:p w14:paraId="2BA86CBF" w14:textId="77777777" w:rsidR="00A71EEF" w:rsidRDefault="0081115D">
      <w:pPr>
        <w:pStyle w:val="a3"/>
        <w:spacing w:before="47" w:line="446" w:lineRule="auto"/>
        <w:ind w:left="838" w:right="2977"/>
      </w:pPr>
      <w:r>
        <w:rPr>
          <w:spacing w:val="-3"/>
        </w:rPr>
        <w:t>医院、疗养院的病房及治疗区域，老年、少儿、残疾人的集体活动场所；</w:t>
      </w:r>
      <w:r>
        <w:rPr>
          <w:spacing w:val="-3"/>
        </w:rPr>
        <w:t xml:space="preserve"> </w:t>
      </w:r>
      <w:r>
        <w:rPr>
          <w:spacing w:val="-3"/>
        </w:rPr>
        <w:t>超出消防水泵接合器供水高度的楼层；</w:t>
      </w:r>
      <w:r>
        <w:t xml:space="preserve"> </w:t>
      </w:r>
    </w:p>
    <w:p w14:paraId="7760A929" w14:textId="77777777" w:rsidR="00A71EEF" w:rsidRDefault="0081115D">
      <w:pPr>
        <w:pStyle w:val="a3"/>
        <w:spacing w:line="267" w:lineRule="exact"/>
        <w:ind w:left="838"/>
      </w:pPr>
      <w:r>
        <w:t>地下商业场所。</w:t>
      </w:r>
      <w:r>
        <w:t xml:space="preserve"> </w:t>
      </w:r>
    </w:p>
    <w:p w14:paraId="52467890" w14:textId="77777777" w:rsidR="00A71EEF" w:rsidRDefault="00A71EEF">
      <w:pPr>
        <w:pStyle w:val="a3"/>
        <w:spacing w:before="2"/>
        <w:rPr>
          <w:sz w:val="18"/>
        </w:rPr>
      </w:pPr>
    </w:p>
    <w:p w14:paraId="748C1117" w14:textId="77777777" w:rsidR="00A71EEF" w:rsidRDefault="0081115D">
      <w:pPr>
        <w:pStyle w:val="a4"/>
        <w:numPr>
          <w:ilvl w:val="2"/>
          <w:numId w:val="74"/>
        </w:numPr>
        <w:tabs>
          <w:tab w:val="left" w:pos="1424"/>
        </w:tabs>
        <w:ind w:left="1423" w:hanging="584"/>
        <w:rPr>
          <w:sz w:val="21"/>
        </w:rPr>
      </w:pPr>
      <w:r>
        <w:rPr>
          <w:spacing w:val="-3"/>
          <w:sz w:val="21"/>
        </w:rPr>
        <w:t>同一隔间内应采用相同热敏性能的洒水喷头。</w:t>
      </w:r>
      <w:r>
        <w:rPr>
          <w:spacing w:val="-3"/>
          <w:sz w:val="21"/>
        </w:rPr>
        <w:t xml:space="preserve"> </w:t>
      </w:r>
    </w:p>
    <w:p w14:paraId="3C7884F5" w14:textId="77777777" w:rsidR="00A71EEF" w:rsidRDefault="00A71EEF">
      <w:pPr>
        <w:pStyle w:val="a3"/>
        <w:rPr>
          <w:sz w:val="18"/>
        </w:rPr>
      </w:pPr>
    </w:p>
    <w:p w14:paraId="76919087" w14:textId="77777777" w:rsidR="00A71EEF" w:rsidRDefault="0081115D">
      <w:pPr>
        <w:pStyle w:val="a4"/>
        <w:numPr>
          <w:ilvl w:val="2"/>
          <w:numId w:val="74"/>
        </w:numPr>
        <w:tabs>
          <w:tab w:val="left" w:pos="1424"/>
        </w:tabs>
        <w:ind w:left="1423" w:hanging="584"/>
        <w:rPr>
          <w:sz w:val="21"/>
        </w:rPr>
      </w:pPr>
      <w:r>
        <w:rPr>
          <w:spacing w:val="-3"/>
          <w:sz w:val="21"/>
        </w:rPr>
        <w:t>雨淋系统的防护区内应采用相同的洒水喷头。</w:t>
      </w:r>
      <w:r>
        <w:rPr>
          <w:spacing w:val="-3"/>
          <w:sz w:val="21"/>
        </w:rPr>
        <w:t xml:space="preserve"> </w:t>
      </w:r>
    </w:p>
    <w:p w14:paraId="49628FF7" w14:textId="77777777" w:rsidR="00A71EEF" w:rsidRDefault="00A71EEF">
      <w:pPr>
        <w:pStyle w:val="a3"/>
        <w:spacing w:before="12"/>
        <w:rPr>
          <w:sz w:val="17"/>
        </w:rPr>
      </w:pPr>
    </w:p>
    <w:p w14:paraId="6539D98F" w14:textId="77777777" w:rsidR="00A71EEF" w:rsidRDefault="0081115D">
      <w:pPr>
        <w:pStyle w:val="a4"/>
        <w:numPr>
          <w:ilvl w:val="2"/>
          <w:numId w:val="74"/>
        </w:numPr>
        <w:tabs>
          <w:tab w:val="left" w:pos="1530"/>
        </w:tabs>
        <w:spacing w:line="446" w:lineRule="auto"/>
        <w:ind w:left="418" w:right="1601" w:firstLine="422"/>
        <w:rPr>
          <w:sz w:val="21"/>
        </w:rPr>
      </w:pPr>
      <w:r>
        <w:rPr>
          <w:spacing w:val="-4"/>
          <w:sz w:val="21"/>
        </w:rPr>
        <w:t>自动喷水灭火系统应有备用洒水洒头，其数量不应少于总数的</w:t>
      </w:r>
      <w:r>
        <w:rPr>
          <w:spacing w:val="-4"/>
          <w:sz w:val="21"/>
        </w:rPr>
        <w:t xml:space="preserve"> </w:t>
      </w:r>
      <w:r>
        <w:rPr>
          <w:sz w:val="21"/>
        </w:rPr>
        <w:t>1</w:t>
      </w:r>
      <w:r>
        <w:rPr>
          <w:spacing w:val="-2"/>
          <w:sz w:val="21"/>
        </w:rPr>
        <w:t>％，且每种型号均</w:t>
      </w:r>
      <w:r>
        <w:rPr>
          <w:spacing w:val="-3"/>
          <w:sz w:val="21"/>
        </w:rPr>
        <w:t>不得少于</w:t>
      </w:r>
      <w:r>
        <w:rPr>
          <w:spacing w:val="-3"/>
          <w:sz w:val="21"/>
        </w:rPr>
        <w:t xml:space="preserve"> </w:t>
      </w:r>
      <w:r>
        <w:rPr>
          <w:sz w:val="21"/>
        </w:rPr>
        <w:t>10</w:t>
      </w:r>
      <w:r>
        <w:rPr>
          <w:spacing w:val="-20"/>
          <w:sz w:val="21"/>
        </w:rPr>
        <w:t xml:space="preserve"> </w:t>
      </w:r>
      <w:r>
        <w:rPr>
          <w:spacing w:val="-20"/>
          <w:sz w:val="21"/>
        </w:rPr>
        <w:t>只。</w:t>
      </w:r>
      <w:r>
        <w:rPr>
          <w:sz w:val="21"/>
        </w:rPr>
        <w:t xml:space="preserve"> </w:t>
      </w:r>
    </w:p>
    <w:p w14:paraId="775C3330" w14:textId="77777777" w:rsidR="00A71EEF" w:rsidRDefault="0081115D">
      <w:pPr>
        <w:pStyle w:val="a4"/>
        <w:numPr>
          <w:ilvl w:val="1"/>
          <w:numId w:val="75"/>
        </w:numPr>
        <w:tabs>
          <w:tab w:val="left" w:pos="1159"/>
        </w:tabs>
        <w:spacing w:before="1"/>
        <w:ind w:hanging="319"/>
        <w:rPr>
          <w:b/>
          <w:sz w:val="21"/>
        </w:rPr>
      </w:pPr>
      <w:r>
        <w:rPr>
          <w:spacing w:val="-3"/>
          <w:sz w:val="21"/>
        </w:rPr>
        <w:t>报警阀组</w:t>
      </w:r>
      <w:r>
        <w:rPr>
          <w:b/>
          <w:w w:val="99"/>
          <w:sz w:val="21"/>
        </w:rPr>
        <w:t xml:space="preserve"> </w:t>
      </w:r>
    </w:p>
    <w:p w14:paraId="2724BC63" w14:textId="77777777" w:rsidR="00A71EEF" w:rsidRDefault="00A71EEF">
      <w:pPr>
        <w:pStyle w:val="a3"/>
        <w:spacing w:before="12"/>
        <w:rPr>
          <w:b/>
          <w:sz w:val="17"/>
        </w:rPr>
      </w:pPr>
    </w:p>
    <w:p w14:paraId="475BF6DC" w14:textId="77777777" w:rsidR="00A71EEF" w:rsidRDefault="0081115D">
      <w:pPr>
        <w:pStyle w:val="a4"/>
        <w:numPr>
          <w:ilvl w:val="2"/>
          <w:numId w:val="75"/>
        </w:numPr>
        <w:tabs>
          <w:tab w:val="left" w:pos="1424"/>
        </w:tabs>
        <w:spacing w:line="446" w:lineRule="auto"/>
        <w:ind w:right="1551" w:firstLine="422"/>
        <w:rPr>
          <w:sz w:val="21"/>
        </w:rPr>
      </w:pPr>
      <w:r>
        <w:rPr>
          <w:spacing w:val="-3"/>
          <w:sz w:val="21"/>
        </w:rPr>
        <w:t>自动喷水灭火系统应设报警阀组。保护室内钢屋架等建筑构件的闭式系统，</w:t>
      </w:r>
      <w:r>
        <w:rPr>
          <w:spacing w:val="-3"/>
          <w:sz w:val="21"/>
        </w:rPr>
        <w:t xml:space="preserve"> </w:t>
      </w:r>
      <w:r>
        <w:rPr>
          <w:spacing w:val="-3"/>
          <w:sz w:val="21"/>
        </w:rPr>
        <w:t>应设独立的报警阀组。水幕系统应设独立的报警阀组或感温雨淋报警阀。</w:t>
      </w:r>
      <w:r>
        <w:rPr>
          <w:sz w:val="21"/>
        </w:rPr>
        <w:t xml:space="preserve"> </w:t>
      </w:r>
    </w:p>
    <w:p w14:paraId="2E1A280B" w14:textId="77777777" w:rsidR="00A71EEF" w:rsidRDefault="0081115D">
      <w:pPr>
        <w:pStyle w:val="a4"/>
        <w:numPr>
          <w:ilvl w:val="2"/>
          <w:numId w:val="75"/>
        </w:numPr>
        <w:tabs>
          <w:tab w:val="left" w:pos="1370"/>
        </w:tabs>
        <w:spacing w:line="446" w:lineRule="auto"/>
        <w:ind w:right="1813" w:firstLine="422"/>
        <w:rPr>
          <w:sz w:val="21"/>
        </w:rPr>
      </w:pPr>
      <w:r>
        <w:rPr>
          <w:spacing w:val="-3"/>
          <w:sz w:val="21"/>
        </w:rPr>
        <w:t>串联接入湿式系统配水干管的其他自动喷水灭火系统，应分别设置独立的报警阀组，其控制的洒水喷头数计入湿式报警阀组控制的洒水喷头总数。</w:t>
      </w:r>
      <w:r>
        <w:rPr>
          <w:sz w:val="21"/>
        </w:rPr>
        <w:t xml:space="preserve"> </w:t>
      </w:r>
    </w:p>
    <w:p w14:paraId="3C7F0AD5" w14:textId="77777777" w:rsidR="00A71EEF" w:rsidRDefault="0081115D">
      <w:pPr>
        <w:pStyle w:val="a4"/>
        <w:numPr>
          <w:ilvl w:val="2"/>
          <w:numId w:val="75"/>
        </w:numPr>
        <w:tabs>
          <w:tab w:val="left" w:pos="1371"/>
        </w:tabs>
        <w:ind w:left="1370" w:hanging="531"/>
        <w:rPr>
          <w:sz w:val="21"/>
        </w:rPr>
      </w:pPr>
      <w:r>
        <w:rPr>
          <w:spacing w:val="-3"/>
          <w:sz w:val="21"/>
        </w:rPr>
        <w:t>一个报警阀组控制的洒水喷头数应符合下列规定：</w:t>
      </w:r>
      <w:r>
        <w:rPr>
          <w:sz w:val="21"/>
        </w:rPr>
        <w:t xml:space="preserve"> </w:t>
      </w:r>
    </w:p>
    <w:p w14:paraId="70CF693D" w14:textId="77777777" w:rsidR="00A71EEF" w:rsidRDefault="00A71EEF">
      <w:pPr>
        <w:pStyle w:val="a3"/>
        <w:spacing w:before="12"/>
        <w:rPr>
          <w:sz w:val="17"/>
        </w:rPr>
      </w:pPr>
    </w:p>
    <w:p w14:paraId="60053D86" w14:textId="77777777" w:rsidR="00A71EEF" w:rsidRDefault="0081115D">
      <w:pPr>
        <w:pStyle w:val="a3"/>
        <w:ind w:left="838"/>
      </w:pPr>
      <w:r>
        <w:t>湿式系统、预作用系统不宜超过</w:t>
      </w:r>
      <w:r>
        <w:t xml:space="preserve"> 800 </w:t>
      </w:r>
      <w:r>
        <w:t>只；干式系统不宜超过</w:t>
      </w:r>
      <w:r>
        <w:t xml:space="preserve"> 500 </w:t>
      </w:r>
      <w:r>
        <w:t>只；</w:t>
      </w:r>
      <w:r>
        <w:t xml:space="preserve"> </w:t>
      </w:r>
    </w:p>
    <w:p w14:paraId="44161AF7" w14:textId="77777777" w:rsidR="00A71EEF" w:rsidRDefault="00A71EEF">
      <w:pPr>
        <w:pStyle w:val="a3"/>
        <w:rPr>
          <w:sz w:val="18"/>
        </w:rPr>
      </w:pPr>
    </w:p>
    <w:p w14:paraId="1F15550B" w14:textId="77777777" w:rsidR="00A71EEF" w:rsidRDefault="0081115D">
      <w:pPr>
        <w:pStyle w:val="a3"/>
        <w:spacing w:line="446" w:lineRule="auto"/>
        <w:ind w:left="418" w:right="1609" w:firstLine="419"/>
      </w:pPr>
      <w:r>
        <w:t>当配水支管同时设置保护吊顶下方和上方空间的洒水喷头时，应只将数量较多一侧的洒水喷头计入报警阀组控制的洒水喷头总数。</w:t>
      </w:r>
      <w:r>
        <w:t xml:space="preserve"> </w:t>
      </w:r>
    </w:p>
    <w:p w14:paraId="106C3C46" w14:textId="77777777" w:rsidR="00A71EEF" w:rsidRDefault="0081115D">
      <w:pPr>
        <w:pStyle w:val="a4"/>
        <w:numPr>
          <w:ilvl w:val="2"/>
          <w:numId w:val="75"/>
        </w:numPr>
        <w:tabs>
          <w:tab w:val="left" w:pos="1370"/>
        </w:tabs>
        <w:ind w:left="1369" w:hanging="530"/>
        <w:rPr>
          <w:sz w:val="21"/>
        </w:rPr>
      </w:pPr>
      <w:r>
        <w:rPr>
          <w:spacing w:val="-5"/>
          <w:sz w:val="21"/>
        </w:rPr>
        <w:t>每个报警阀组供水的最高与最低位置洒水喷头，其高程差不宜大于</w:t>
      </w:r>
      <w:r>
        <w:rPr>
          <w:spacing w:val="-5"/>
          <w:sz w:val="21"/>
        </w:rPr>
        <w:t xml:space="preserve"> </w:t>
      </w:r>
      <w:r>
        <w:rPr>
          <w:sz w:val="21"/>
        </w:rPr>
        <w:t>50m</w:t>
      </w:r>
      <w:r>
        <w:rPr>
          <w:spacing w:val="-3"/>
          <w:sz w:val="21"/>
        </w:rPr>
        <w:t>。</w:t>
      </w:r>
      <w:r>
        <w:rPr>
          <w:sz w:val="21"/>
        </w:rPr>
        <w:t xml:space="preserve"> </w:t>
      </w:r>
    </w:p>
    <w:p w14:paraId="23510287" w14:textId="77777777" w:rsidR="00A71EEF" w:rsidRDefault="00A71EEF">
      <w:pPr>
        <w:pStyle w:val="a3"/>
        <w:spacing w:before="12"/>
        <w:rPr>
          <w:sz w:val="17"/>
        </w:rPr>
      </w:pPr>
    </w:p>
    <w:p w14:paraId="75DAB840" w14:textId="77777777" w:rsidR="00A71EEF" w:rsidRDefault="0081115D">
      <w:pPr>
        <w:pStyle w:val="a4"/>
        <w:numPr>
          <w:ilvl w:val="2"/>
          <w:numId w:val="75"/>
        </w:numPr>
        <w:tabs>
          <w:tab w:val="left" w:pos="1370"/>
        </w:tabs>
        <w:spacing w:line="446" w:lineRule="auto"/>
        <w:ind w:right="1604" w:firstLine="422"/>
        <w:rPr>
          <w:sz w:val="21"/>
        </w:rPr>
      </w:pPr>
      <w:r>
        <w:rPr>
          <w:spacing w:val="-3"/>
          <w:sz w:val="21"/>
        </w:rPr>
        <w:t>雨淋报警阀组的电磁阀，其入口应设过滤器。并联设置雨淋报警阀组的雨淋系统，</w:t>
      </w:r>
      <w:r>
        <w:rPr>
          <w:spacing w:val="-3"/>
          <w:sz w:val="21"/>
        </w:rPr>
        <w:t xml:space="preserve"> </w:t>
      </w:r>
      <w:r>
        <w:rPr>
          <w:spacing w:val="-3"/>
          <w:sz w:val="21"/>
        </w:rPr>
        <w:t>其雨淋报警阀控制腔的入口应设止回阀。</w:t>
      </w:r>
      <w:r>
        <w:rPr>
          <w:sz w:val="21"/>
        </w:rPr>
        <w:t xml:space="preserve"> </w:t>
      </w:r>
    </w:p>
    <w:p w14:paraId="62DB6CD4" w14:textId="77777777" w:rsidR="00A71EEF" w:rsidRDefault="0081115D">
      <w:pPr>
        <w:pStyle w:val="a4"/>
        <w:numPr>
          <w:ilvl w:val="2"/>
          <w:numId w:val="75"/>
        </w:numPr>
        <w:tabs>
          <w:tab w:val="left" w:pos="1370"/>
        </w:tabs>
        <w:spacing w:before="1" w:line="446" w:lineRule="auto"/>
        <w:ind w:right="1553" w:firstLine="422"/>
        <w:rPr>
          <w:sz w:val="21"/>
        </w:rPr>
      </w:pPr>
      <w:r>
        <w:rPr>
          <w:spacing w:val="-5"/>
          <w:sz w:val="21"/>
        </w:rPr>
        <w:t>报警阀组宜设在安全及易于操作的地点，报警阀距地面的高度宜为</w:t>
      </w:r>
      <w:r>
        <w:rPr>
          <w:spacing w:val="-5"/>
          <w:sz w:val="21"/>
        </w:rPr>
        <w:t xml:space="preserve"> </w:t>
      </w:r>
      <w:r>
        <w:rPr>
          <w:sz w:val="21"/>
        </w:rPr>
        <w:t>1.2m</w:t>
      </w:r>
      <w:r>
        <w:rPr>
          <w:spacing w:val="-3"/>
          <w:sz w:val="21"/>
        </w:rPr>
        <w:t>。设置报警阀组的部位应设有排水设施。</w:t>
      </w:r>
      <w:r>
        <w:rPr>
          <w:sz w:val="21"/>
        </w:rPr>
        <w:t xml:space="preserve"> </w:t>
      </w:r>
    </w:p>
    <w:p w14:paraId="16EAEB57" w14:textId="77777777" w:rsidR="00A71EEF" w:rsidRDefault="0081115D">
      <w:pPr>
        <w:pStyle w:val="a4"/>
        <w:numPr>
          <w:ilvl w:val="2"/>
          <w:numId w:val="75"/>
        </w:numPr>
        <w:tabs>
          <w:tab w:val="left" w:pos="1371"/>
        </w:tabs>
        <w:spacing w:line="446" w:lineRule="auto"/>
        <w:ind w:right="1603" w:firstLine="422"/>
        <w:rPr>
          <w:sz w:val="21"/>
        </w:rPr>
      </w:pPr>
      <w:r>
        <w:rPr>
          <w:spacing w:val="-3"/>
          <w:sz w:val="21"/>
        </w:rPr>
        <w:t>连接报警阀进出口的控制阀应采用信号阀。当不采用信号阀时，控制阀应设锁定阀位的锁具。</w:t>
      </w:r>
      <w:r>
        <w:rPr>
          <w:sz w:val="21"/>
        </w:rPr>
        <w:t xml:space="preserve"> </w:t>
      </w:r>
    </w:p>
    <w:p w14:paraId="4D5338C7" w14:textId="77777777" w:rsidR="00A71EEF" w:rsidRDefault="0081115D">
      <w:pPr>
        <w:pStyle w:val="a4"/>
        <w:numPr>
          <w:ilvl w:val="2"/>
          <w:numId w:val="75"/>
        </w:numPr>
        <w:tabs>
          <w:tab w:val="left" w:pos="1370"/>
        </w:tabs>
        <w:spacing w:line="267" w:lineRule="exact"/>
        <w:ind w:left="1369" w:hanging="530"/>
        <w:rPr>
          <w:sz w:val="21"/>
        </w:rPr>
      </w:pPr>
      <w:r>
        <w:rPr>
          <w:spacing w:val="-7"/>
          <w:sz w:val="21"/>
        </w:rPr>
        <w:t>水力警铃的工作压力不应小于</w:t>
      </w:r>
      <w:r>
        <w:rPr>
          <w:spacing w:val="-7"/>
          <w:sz w:val="21"/>
        </w:rPr>
        <w:t xml:space="preserve"> </w:t>
      </w:r>
      <w:r>
        <w:rPr>
          <w:sz w:val="21"/>
        </w:rPr>
        <w:t>0.05MPa</w:t>
      </w:r>
      <w:r>
        <w:rPr>
          <w:spacing w:val="-3"/>
          <w:sz w:val="21"/>
        </w:rPr>
        <w:t>，并应符合下列规定：</w:t>
      </w:r>
      <w:r>
        <w:rPr>
          <w:sz w:val="21"/>
        </w:rPr>
        <w:t xml:space="preserve"> </w:t>
      </w:r>
    </w:p>
    <w:p w14:paraId="0CB611C6" w14:textId="77777777" w:rsidR="00A71EEF" w:rsidRDefault="00A71EEF">
      <w:pPr>
        <w:pStyle w:val="a3"/>
        <w:spacing w:before="1"/>
        <w:rPr>
          <w:sz w:val="18"/>
        </w:rPr>
      </w:pPr>
    </w:p>
    <w:p w14:paraId="3FD4867D" w14:textId="77777777" w:rsidR="00A71EEF" w:rsidRDefault="0081115D">
      <w:pPr>
        <w:pStyle w:val="a3"/>
        <w:ind w:left="838"/>
      </w:pPr>
      <w:r>
        <w:t>应设在有人值班的地点附近或公共通道的外墙上；</w:t>
      </w:r>
      <w:r>
        <w:t xml:space="preserve"> </w:t>
      </w:r>
    </w:p>
    <w:p w14:paraId="57382DAB" w14:textId="77777777" w:rsidR="00A71EEF" w:rsidRDefault="00A71EEF">
      <w:pPr>
        <w:pStyle w:val="a3"/>
        <w:rPr>
          <w:sz w:val="18"/>
        </w:rPr>
      </w:pPr>
    </w:p>
    <w:p w14:paraId="213CE52B" w14:textId="77777777" w:rsidR="00A71EEF" w:rsidRDefault="0081115D">
      <w:pPr>
        <w:pStyle w:val="a3"/>
        <w:spacing w:line="446" w:lineRule="auto"/>
        <w:ind w:left="840" w:right="4028" w:hanging="3"/>
        <w:rPr>
          <w:b/>
        </w:rPr>
      </w:pPr>
      <w:r>
        <w:t>与报警阀连接的管道，其管径应为</w:t>
      </w:r>
      <w:r>
        <w:t xml:space="preserve"> 20mm</w:t>
      </w:r>
      <w:r>
        <w:t>，总长不宜大于</w:t>
      </w:r>
      <w:r>
        <w:t xml:space="preserve"> 20m</w:t>
      </w:r>
      <w:r>
        <w:t>。</w:t>
      </w:r>
      <w:r>
        <w:rPr>
          <w:b/>
        </w:rPr>
        <w:t xml:space="preserve">6.3 </w:t>
      </w:r>
      <w:r>
        <w:t>水流指示器</w:t>
      </w:r>
      <w:r>
        <w:rPr>
          <w:b/>
          <w:w w:val="99"/>
        </w:rPr>
        <w:t xml:space="preserve"> </w:t>
      </w:r>
    </w:p>
    <w:p w14:paraId="3830799D" w14:textId="77777777" w:rsidR="00A71EEF" w:rsidRDefault="0081115D">
      <w:pPr>
        <w:pStyle w:val="a4"/>
        <w:numPr>
          <w:ilvl w:val="2"/>
          <w:numId w:val="73"/>
        </w:numPr>
        <w:tabs>
          <w:tab w:val="left" w:pos="1371"/>
        </w:tabs>
        <w:rPr>
          <w:sz w:val="21"/>
        </w:rPr>
      </w:pPr>
      <w:r>
        <w:rPr>
          <w:spacing w:val="-3"/>
          <w:sz w:val="21"/>
        </w:rPr>
        <w:t>除报警阀组控制的洒水喷头只保护不超过防火分区面积的同层场所外，每个防火分</w:t>
      </w:r>
    </w:p>
    <w:p w14:paraId="36B65174" w14:textId="77777777" w:rsidR="00A71EEF" w:rsidRDefault="00A71EEF">
      <w:pPr>
        <w:rPr>
          <w:sz w:val="21"/>
        </w:rPr>
        <w:sectPr w:rsidR="00A71EEF">
          <w:pgSz w:w="11910" w:h="16850"/>
          <w:pgMar w:top="1220" w:right="0" w:bottom="1420" w:left="1260" w:header="0" w:footer="1239" w:gutter="0"/>
          <w:cols w:space="720"/>
        </w:sectPr>
      </w:pPr>
    </w:p>
    <w:p w14:paraId="0B5FABAE" w14:textId="77777777" w:rsidR="00A71EEF" w:rsidRDefault="0081115D">
      <w:pPr>
        <w:pStyle w:val="a3"/>
        <w:spacing w:before="47"/>
        <w:ind w:left="418"/>
      </w:pPr>
      <w:r>
        <w:t>区、每个楼层均应设水流指示器。</w:t>
      </w:r>
      <w:r>
        <w:t xml:space="preserve"> </w:t>
      </w:r>
    </w:p>
    <w:p w14:paraId="7049F232" w14:textId="77777777" w:rsidR="00A71EEF" w:rsidRDefault="00A71EEF">
      <w:pPr>
        <w:pStyle w:val="a3"/>
        <w:rPr>
          <w:sz w:val="18"/>
        </w:rPr>
      </w:pPr>
    </w:p>
    <w:p w14:paraId="5FDD6D03" w14:textId="77777777" w:rsidR="00A71EEF" w:rsidRDefault="0081115D">
      <w:pPr>
        <w:pStyle w:val="a4"/>
        <w:numPr>
          <w:ilvl w:val="2"/>
          <w:numId w:val="73"/>
        </w:numPr>
        <w:tabs>
          <w:tab w:val="left" w:pos="1370"/>
        </w:tabs>
        <w:ind w:left="1369" w:hanging="530"/>
        <w:rPr>
          <w:sz w:val="21"/>
        </w:rPr>
      </w:pPr>
      <w:r>
        <w:rPr>
          <w:spacing w:val="-3"/>
          <w:sz w:val="21"/>
        </w:rPr>
        <w:t>仓库内顶板下洒水喷头与货架内置洒水喷头应分别设置水流指示器。</w:t>
      </w:r>
      <w:r>
        <w:rPr>
          <w:spacing w:val="-3"/>
          <w:sz w:val="21"/>
        </w:rPr>
        <w:t xml:space="preserve"> </w:t>
      </w:r>
    </w:p>
    <w:p w14:paraId="4CABE7E0" w14:textId="77777777" w:rsidR="00A71EEF" w:rsidRDefault="00A71EEF">
      <w:pPr>
        <w:pStyle w:val="a3"/>
        <w:rPr>
          <w:sz w:val="18"/>
        </w:rPr>
      </w:pPr>
    </w:p>
    <w:p w14:paraId="79EB69C4" w14:textId="77777777" w:rsidR="00A71EEF" w:rsidRDefault="0081115D">
      <w:pPr>
        <w:pStyle w:val="a4"/>
        <w:numPr>
          <w:ilvl w:val="2"/>
          <w:numId w:val="73"/>
        </w:numPr>
        <w:tabs>
          <w:tab w:val="left" w:pos="1370"/>
        </w:tabs>
        <w:ind w:left="1369" w:hanging="530"/>
        <w:rPr>
          <w:sz w:val="21"/>
        </w:rPr>
      </w:pPr>
      <w:r>
        <w:rPr>
          <w:spacing w:val="-3"/>
          <w:sz w:val="21"/>
        </w:rPr>
        <w:t>当水流指示器入口前设置控制阀时，应采用信号阀。</w:t>
      </w:r>
      <w:r>
        <w:rPr>
          <w:sz w:val="21"/>
        </w:rPr>
        <w:t xml:space="preserve"> </w:t>
      </w:r>
    </w:p>
    <w:p w14:paraId="57458BE6" w14:textId="77777777" w:rsidR="00A71EEF" w:rsidRDefault="00A71EEF">
      <w:pPr>
        <w:pStyle w:val="a3"/>
        <w:spacing w:before="1"/>
        <w:rPr>
          <w:sz w:val="18"/>
        </w:rPr>
      </w:pPr>
    </w:p>
    <w:p w14:paraId="2214CE99" w14:textId="77777777" w:rsidR="00A71EEF" w:rsidRDefault="0081115D">
      <w:pPr>
        <w:pStyle w:val="a4"/>
        <w:numPr>
          <w:ilvl w:val="1"/>
          <w:numId w:val="72"/>
        </w:numPr>
        <w:tabs>
          <w:tab w:val="left" w:pos="1159"/>
        </w:tabs>
        <w:spacing w:before="1"/>
        <w:ind w:hanging="319"/>
        <w:rPr>
          <w:b/>
          <w:sz w:val="21"/>
        </w:rPr>
      </w:pPr>
      <w:r>
        <w:rPr>
          <w:spacing w:val="-3"/>
          <w:sz w:val="21"/>
        </w:rPr>
        <w:t>压力开关</w:t>
      </w:r>
      <w:r>
        <w:rPr>
          <w:b/>
          <w:w w:val="99"/>
          <w:sz w:val="21"/>
        </w:rPr>
        <w:t xml:space="preserve"> </w:t>
      </w:r>
    </w:p>
    <w:p w14:paraId="13468778" w14:textId="77777777" w:rsidR="00A71EEF" w:rsidRDefault="00A71EEF">
      <w:pPr>
        <w:pStyle w:val="a3"/>
        <w:spacing w:before="12"/>
        <w:rPr>
          <w:b/>
          <w:sz w:val="17"/>
        </w:rPr>
      </w:pPr>
    </w:p>
    <w:p w14:paraId="13C7CFCD" w14:textId="77777777" w:rsidR="00A71EEF" w:rsidRDefault="0081115D">
      <w:pPr>
        <w:pStyle w:val="a4"/>
        <w:numPr>
          <w:ilvl w:val="2"/>
          <w:numId w:val="72"/>
        </w:numPr>
        <w:tabs>
          <w:tab w:val="left" w:pos="1371"/>
        </w:tabs>
        <w:rPr>
          <w:sz w:val="21"/>
        </w:rPr>
      </w:pPr>
      <w:r>
        <w:rPr>
          <w:spacing w:val="-3"/>
          <w:sz w:val="21"/>
        </w:rPr>
        <w:t>雨淋系统和防火分隔水幕，其水流报警装置应采用压力开关。</w:t>
      </w:r>
      <w:r>
        <w:rPr>
          <w:sz w:val="21"/>
        </w:rPr>
        <w:t xml:space="preserve"> </w:t>
      </w:r>
    </w:p>
    <w:p w14:paraId="737BB0B4" w14:textId="77777777" w:rsidR="00A71EEF" w:rsidRDefault="00A71EEF">
      <w:pPr>
        <w:pStyle w:val="a3"/>
        <w:spacing w:before="12"/>
        <w:rPr>
          <w:sz w:val="17"/>
        </w:rPr>
      </w:pPr>
    </w:p>
    <w:p w14:paraId="6B36E34C" w14:textId="77777777" w:rsidR="00A71EEF" w:rsidRDefault="0081115D">
      <w:pPr>
        <w:pStyle w:val="a4"/>
        <w:numPr>
          <w:ilvl w:val="2"/>
          <w:numId w:val="72"/>
        </w:numPr>
        <w:tabs>
          <w:tab w:val="left" w:pos="1370"/>
        </w:tabs>
        <w:ind w:left="1369" w:hanging="530"/>
        <w:rPr>
          <w:sz w:val="21"/>
        </w:rPr>
      </w:pPr>
      <w:r>
        <w:rPr>
          <w:spacing w:val="-3"/>
          <w:sz w:val="21"/>
        </w:rPr>
        <w:t>自动喷水灭火系统应采用压力开关控制稳压泵，并应能调节启停压力。</w:t>
      </w:r>
      <w:r>
        <w:rPr>
          <w:spacing w:val="-3"/>
          <w:sz w:val="21"/>
        </w:rPr>
        <w:t xml:space="preserve"> </w:t>
      </w:r>
    </w:p>
    <w:p w14:paraId="33BAC8D4" w14:textId="77777777" w:rsidR="00A71EEF" w:rsidRDefault="00A71EEF">
      <w:pPr>
        <w:pStyle w:val="a3"/>
        <w:spacing w:before="2"/>
        <w:rPr>
          <w:sz w:val="18"/>
        </w:rPr>
      </w:pPr>
    </w:p>
    <w:p w14:paraId="1FB74E5A" w14:textId="77777777" w:rsidR="00A71EEF" w:rsidRDefault="0081115D">
      <w:pPr>
        <w:pStyle w:val="a4"/>
        <w:numPr>
          <w:ilvl w:val="1"/>
          <w:numId w:val="72"/>
        </w:numPr>
        <w:tabs>
          <w:tab w:val="left" w:pos="1159"/>
        </w:tabs>
        <w:ind w:hanging="319"/>
        <w:rPr>
          <w:b/>
          <w:sz w:val="21"/>
        </w:rPr>
      </w:pPr>
      <w:r>
        <w:rPr>
          <w:spacing w:val="-3"/>
          <w:sz w:val="21"/>
        </w:rPr>
        <w:t>末端试水装置</w:t>
      </w:r>
      <w:r>
        <w:rPr>
          <w:b/>
          <w:w w:val="99"/>
          <w:sz w:val="21"/>
        </w:rPr>
        <w:t xml:space="preserve"> </w:t>
      </w:r>
    </w:p>
    <w:p w14:paraId="5645844C" w14:textId="77777777" w:rsidR="00A71EEF" w:rsidRDefault="00A71EEF">
      <w:pPr>
        <w:pStyle w:val="a3"/>
        <w:rPr>
          <w:b/>
          <w:sz w:val="18"/>
        </w:rPr>
      </w:pPr>
    </w:p>
    <w:p w14:paraId="43F13AE4" w14:textId="77777777" w:rsidR="00A71EEF" w:rsidRDefault="0081115D">
      <w:pPr>
        <w:pStyle w:val="a4"/>
        <w:numPr>
          <w:ilvl w:val="2"/>
          <w:numId w:val="72"/>
        </w:numPr>
        <w:tabs>
          <w:tab w:val="left" w:pos="1424"/>
        </w:tabs>
        <w:spacing w:line="446" w:lineRule="auto"/>
        <w:ind w:left="418" w:right="1445" w:firstLine="422"/>
        <w:rPr>
          <w:sz w:val="21"/>
        </w:rPr>
      </w:pPr>
      <w:r>
        <w:rPr>
          <w:spacing w:val="-3"/>
          <w:sz w:val="21"/>
        </w:rPr>
        <w:t>每个报警阀组控制的最不利点洒水喷头处应设末端试水装置，其他防火分区、楼层均</w:t>
      </w:r>
      <w:r>
        <w:rPr>
          <w:spacing w:val="-12"/>
          <w:sz w:val="21"/>
        </w:rPr>
        <w:t>应设直径为</w:t>
      </w:r>
      <w:r>
        <w:rPr>
          <w:spacing w:val="-12"/>
          <w:sz w:val="21"/>
        </w:rPr>
        <w:t xml:space="preserve"> </w:t>
      </w:r>
      <w:r>
        <w:rPr>
          <w:sz w:val="21"/>
        </w:rPr>
        <w:t>25mm</w:t>
      </w:r>
      <w:r>
        <w:rPr>
          <w:spacing w:val="-11"/>
          <w:sz w:val="21"/>
        </w:rPr>
        <w:t xml:space="preserve"> </w:t>
      </w:r>
      <w:r>
        <w:rPr>
          <w:spacing w:val="-11"/>
          <w:sz w:val="21"/>
        </w:rPr>
        <w:t>的试水阀。</w:t>
      </w:r>
      <w:r>
        <w:rPr>
          <w:spacing w:val="-11"/>
          <w:sz w:val="21"/>
        </w:rPr>
        <w:t xml:space="preserve"> </w:t>
      </w:r>
    </w:p>
    <w:p w14:paraId="186D0A28" w14:textId="77777777" w:rsidR="00A71EEF" w:rsidRDefault="0081115D">
      <w:pPr>
        <w:pStyle w:val="a4"/>
        <w:numPr>
          <w:ilvl w:val="2"/>
          <w:numId w:val="72"/>
        </w:numPr>
        <w:tabs>
          <w:tab w:val="left" w:pos="1370"/>
        </w:tabs>
        <w:spacing w:line="446" w:lineRule="auto"/>
        <w:ind w:left="418" w:right="1505" w:firstLine="422"/>
        <w:rPr>
          <w:sz w:val="21"/>
        </w:rPr>
      </w:pPr>
      <w:r>
        <w:rPr>
          <w:spacing w:val="-2"/>
          <w:sz w:val="21"/>
        </w:rPr>
        <w:t>末端试水装置应由试水阀、压力表以及试水接头组成。试水接头出水口的流量系</w:t>
      </w:r>
      <w:r>
        <w:rPr>
          <w:spacing w:val="-2"/>
          <w:sz w:val="21"/>
        </w:rPr>
        <w:t xml:space="preserve"> </w:t>
      </w:r>
      <w:r>
        <w:rPr>
          <w:spacing w:val="-2"/>
          <w:sz w:val="21"/>
        </w:rPr>
        <w:t>数</w:t>
      </w:r>
      <w:r>
        <w:rPr>
          <w:spacing w:val="-3"/>
          <w:sz w:val="21"/>
        </w:rPr>
        <w:t>，应等同于同楼层或防火分区内的最小流量系数洒水喷头。末端试水装置的出水，应采取孔口</w:t>
      </w:r>
      <w:r>
        <w:rPr>
          <w:spacing w:val="-5"/>
          <w:sz w:val="21"/>
        </w:rPr>
        <w:t>出流的方式排入排水管道</w:t>
      </w:r>
      <w:r>
        <w:rPr>
          <w:spacing w:val="-5"/>
          <w:sz w:val="21"/>
        </w:rPr>
        <w:t xml:space="preserve"> </w:t>
      </w:r>
      <w:r>
        <w:rPr>
          <w:spacing w:val="-5"/>
          <w:sz w:val="21"/>
        </w:rPr>
        <w:t>，排水立管宜设伸顶通气管，且管径不应小于</w:t>
      </w:r>
      <w:r>
        <w:rPr>
          <w:spacing w:val="-5"/>
          <w:sz w:val="21"/>
        </w:rPr>
        <w:t xml:space="preserve"> </w:t>
      </w:r>
      <w:r>
        <w:rPr>
          <w:sz w:val="21"/>
        </w:rPr>
        <w:t>75mm</w:t>
      </w:r>
      <w:r>
        <w:rPr>
          <w:spacing w:val="-3"/>
          <w:sz w:val="21"/>
        </w:rPr>
        <w:t>。</w:t>
      </w:r>
      <w:r>
        <w:rPr>
          <w:sz w:val="21"/>
        </w:rPr>
        <w:t xml:space="preserve"> </w:t>
      </w:r>
    </w:p>
    <w:p w14:paraId="2A2B6564" w14:textId="77777777" w:rsidR="00A71EEF" w:rsidRDefault="0081115D">
      <w:pPr>
        <w:pStyle w:val="a4"/>
        <w:numPr>
          <w:ilvl w:val="2"/>
          <w:numId w:val="72"/>
        </w:numPr>
        <w:tabs>
          <w:tab w:val="left" w:pos="1371"/>
        </w:tabs>
        <w:spacing w:line="446" w:lineRule="auto"/>
        <w:ind w:left="418" w:right="1553" w:firstLine="422"/>
        <w:rPr>
          <w:sz w:val="21"/>
        </w:rPr>
      </w:pPr>
      <w:r>
        <w:rPr>
          <w:spacing w:val="-5"/>
          <w:sz w:val="21"/>
        </w:rPr>
        <w:t>末端试水装置和试水阀应有标识，距地面的高度宜为</w:t>
      </w:r>
      <w:r>
        <w:rPr>
          <w:spacing w:val="-5"/>
          <w:sz w:val="21"/>
        </w:rPr>
        <w:t xml:space="preserve"> </w:t>
      </w:r>
      <w:r>
        <w:rPr>
          <w:sz w:val="21"/>
        </w:rPr>
        <w:t>1.5m</w:t>
      </w:r>
      <w:r>
        <w:rPr>
          <w:spacing w:val="-3"/>
          <w:sz w:val="21"/>
        </w:rPr>
        <w:t>，并应采取不被他用的措施。</w:t>
      </w:r>
      <w:r>
        <w:rPr>
          <w:sz w:val="21"/>
        </w:rPr>
        <w:t xml:space="preserve"> </w:t>
      </w:r>
    </w:p>
    <w:p w14:paraId="5DDD8465" w14:textId="77777777" w:rsidR="00A71EEF" w:rsidRDefault="0081115D">
      <w:pPr>
        <w:pStyle w:val="4"/>
        <w:spacing w:line="275" w:lineRule="exact"/>
      </w:pPr>
      <w:r>
        <w:t xml:space="preserve">7 </w:t>
      </w:r>
      <w:r>
        <w:t>喷头布置</w:t>
      </w:r>
      <w:r>
        <w:rPr>
          <w:w w:val="99"/>
        </w:rPr>
        <w:t xml:space="preserve"> </w:t>
      </w:r>
    </w:p>
    <w:p w14:paraId="162CF315" w14:textId="77777777" w:rsidR="00A71EEF" w:rsidRDefault="00A71EEF">
      <w:pPr>
        <w:pStyle w:val="a3"/>
        <w:spacing w:before="5"/>
        <w:rPr>
          <w:b/>
          <w:sz w:val="17"/>
        </w:rPr>
      </w:pPr>
    </w:p>
    <w:p w14:paraId="55761EAE" w14:textId="77777777" w:rsidR="00A71EEF" w:rsidRDefault="0081115D">
      <w:pPr>
        <w:pStyle w:val="a4"/>
        <w:numPr>
          <w:ilvl w:val="1"/>
          <w:numId w:val="71"/>
        </w:numPr>
        <w:tabs>
          <w:tab w:val="left" w:pos="1159"/>
        </w:tabs>
        <w:ind w:hanging="319"/>
        <w:rPr>
          <w:b/>
          <w:sz w:val="21"/>
        </w:rPr>
      </w:pPr>
      <w:r>
        <w:rPr>
          <w:spacing w:val="-3"/>
          <w:sz w:val="21"/>
        </w:rPr>
        <w:t>一般规定</w:t>
      </w:r>
      <w:r>
        <w:rPr>
          <w:b/>
          <w:w w:val="99"/>
          <w:sz w:val="21"/>
        </w:rPr>
        <w:t xml:space="preserve"> </w:t>
      </w:r>
    </w:p>
    <w:p w14:paraId="2F83DFF0" w14:textId="77777777" w:rsidR="00A71EEF" w:rsidRDefault="00A71EEF">
      <w:pPr>
        <w:pStyle w:val="a3"/>
        <w:spacing w:before="12"/>
        <w:rPr>
          <w:b/>
          <w:sz w:val="17"/>
        </w:rPr>
      </w:pPr>
    </w:p>
    <w:p w14:paraId="7132D526" w14:textId="77777777" w:rsidR="00A71EEF" w:rsidRDefault="0081115D">
      <w:pPr>
        <w:pStyle w:val="a4"/>
        <w:numPr>
          <w:ilvl w:val="2"/>
          <w:numId w:val="71"/>
        </w:numPr>
        <w:tabs>
          <w:tab w:val="left" w:pos="1424"/>
        </w:tabs>
        <w:spacing w:line="446" w:lineRule="auto"/>
        <w:ind w:right="1445" w:firstLine="422"/>
        <w:rPr>
          <w:sz w:val="21"/>
        </w:rPr>
      </w:pPr>
      <w:r>
        <w:rPr>
          <w:spacing w:val="-3"/>
          <w:sz w:val="21"/>
        </w:rPr>
        <w:t>喷头应布置在顶板或吊顶下易于接触到火灾热气流并有利于均匀布水的位置。当喷头</w:t>
      </w:r>
      <w:r>
        <w:rPr>
          <w:spacing w:val="-7"/>
          <w:sz w:val="21"/>
        </w:rPr>
        <w:t>附近有障碍物时，应符合本规范第</w:t>
      </w:r>
      <w:r>
        <w:rPr>
          <w:spacing w:val="-7"/>
          <w:sz w:val="21"/>
        </w:rPr>
        <w:t xml:space="preserve"> </w:t>
      </w:r>
      <w:r>
        <w:rPr>
          <w:sz w:val="21"/>
        </w:rPr>
        <w:t>7.2</w:t>
      </w:r>
      <w:r>
        <w:rPr>
          <w:spacing w:val="-9"/>
          <w:sz w:val="21"/>
        </w:rPr>
        <w:t xml:space="preserve"> </w:t>
      </w:r>
      <w:r>
        <w:rPr>
          <w:spacing w:val="-9"/>
          <w:sz w:val="21"/>
        </w:rPr>
        <w:t>节的规定或增设补偿喷水强度的喷头。</w:t>
      </w:r>
      <w:r>
        <w:rPr>
          <w:spacing w:val="-9"/>
          <w:sz w:val="21"/>
        </w:rPr>
        <w:t xml:space="preserve"> </w:t>
      </w:r>
    </w:p>
    <w:p w14:paraId="46280046" w14:textId="77777777" w:rsidR="00A71EEF" w:rsidRDefault="0081115D">
      <w:pPr>
        <w:pStyle w:val="a4"/>
        <w:numPr>
          <w:ilvl w:val="2"/>
          <w:numId w:val="71"/>
        </w:numPr>
        <w:tabs>
          <w:tab w:val="left" w:pos="1424"/>
        </w:tabs>
        <w:spacing w:line="446" w:lineRule="auto"/>
        <w:ind w:right="1445" w:firstLine="422"/>
        <w:rPr>
          <w:sz w:val="21"/>
        </w:rPr>
      </w:pPr>
      <w:r>
        <w:rPr>
          <w:spacing w:val="-3"/>
          <w:sz w:val="21"/>
        </w:rPr>
        <w:t>直立型、下垂型标准覆盖面积洒水喷头的布置，包括同一根配水支管上喷头的间距及相邻配水支管的间距，应根据设置场所的火灾危险等级、洒水喷头类型和工作压力确定，并不</w:t>
      </w:r>
      <w:r>
        <w:rPr>
          <w:spacing w:val="-3"/>
          <w:sz w:val="21"/>
        </w:rPr>
        <w:t xml:space="preserve"> </w:t>
      </w:r>
      <w:r>
        <w:rPr>
          <w:spacing w:val="-13"/>
          <w:sz w:val="21"/>
        </w:rPr>
        <w:t>应大于表</w:t>
      </w:r>
      <w:r>
        <w:rPr>
          <w:spacing w:val="-13"/>
          <w:sz w:val="21"/>
        </w:rPr>
        <w:t xml:space="preserve"> </w:t>
      </w:r>
      <w:r>
        <w:rPr>
          <w:sz w:val="21"/>
        </w:rPr>
        <w:t>7.1.2</w:t>
      </w:r>
      <w:r>
        <w:rPr>
          <w:spacing w:val="-13"/>
          <w:sz w:val="21"/>
        </w:rPr>
        <w:t xml:space="preserve"> </w:t>
      </w:r>
      <w:r>
        <w:rPr>
          <w:spacing w:val="-13"/>
          <w:sz w:val="21"/>
        </w:rPr>
        <w:t>的规定，且不应小于</w:t>
      </w:r>
      <w:r>
        <w:rPr>
          <w:spacing w:val="-13"/>
          <w:sz w:val="21"/>
        </w:rPr>
        <w:t xml:space="preserve"> </w:t>
      </w:r>
      <w:r>
        <w:rPr>
          <w:sz w:val="21"/>
        </w:rPr>
        <w:t>1.8m</w:t>
      </w:r>
      <w:r>
        <w:rPr>
          <w:spacing w:val="-3"/>
          <w:sz w:val="21"/>
        </w:rPr>
        <w:t>。</w:t>
      </w:r>
      <w:r>
        <w:rPr>
          <w:sz w:val="21"/>
        </w:rPr>
        <w:t xml:space="preserve"> </w:t>
      </w:r>
    </w:p>
    <w:p w14:paraId="079F65CF" w14:textId="77777777" w:rsidR="00A71EEF" w:rsidRDefault="00A71EEF">
      <w:pPr>
        <w:pStyle w:val="a3"/>
        <w:rPr>
          <w:sz w:val="20"/>
        </w:rPr>
      </w:pPr>
    </w:p>
    <w:p w14:paraId="09116AA7" w14:textId="77777777" w:rsidR="00A71EEF" w:rsidRDefault="00A71EEF">
      <w:pPr>
        <w:pStyle w:val="a3"/>
        <w:rPr>
          <w:sz w:val="20"/>
        </w:rPr>
      </w:pPr>
    </w:p>
    <w:p w14:paraId="7C3541D6" w14:textId="77777777" w:rsidR="00A71EEF" w:rsidRDefault="00A71EEF">
      <w:pPr>
        <w:pStyle w:val="a3"/>
        <w:rPr>
          <w:sz w:val="20"/>
        </w:rPr>
      </w:pPr>
    </w:p>
    <w:p w14:paraId="222B9F49" w14:textId="77777777" w:rsidR="00A71EEF" w:rsidRDefault="00A71EEF">
      <w:pPr>
        <w:pStyle w:val="a3"/>
        <w:rPr>
          <w:sz w:val="20"/>
        </w:rPr>
      </w:pPr>
    </w:p>
    <w:p w14:paraId="7E8A86C3" w14:textId="77777777" w:rsidR="00A71EEF" w:rsidRDefault="00A71EEF">
      <w:pPr>
        <w:pStyle w:val="a3"/>
        <w:rPr>
          <w:sz w:val="20"/>
        </w:rPr>
      </w:pPr>
    </w:p>
    <w:p w14:paraId="2360DF7A" w14:textId="77777777" w:rsidR="00A71EEF" w:rsidRDefault="00A71EEF">
      <w:pPr>
        <w:pStyle w:val="a3"/>
        <w:rPr>
          <w:sz w:val="20"/>
        </w:rPr>
      </w:pPr>
    </w:p>
    <w:p w14:paraId="566A0FE1" w14:textId="77777777" w:rsidR="00A71EEF" w:rsidRDefault="00A71EEF">
      <w:pPr>
        <w:pStyle w:val="a3"/>
        <w:rPr>
          <w:sz w:val="20"/>
        </w:rPr>
      </w:pPr>
    </w:p>
    <w:p w14:paraId="3DF00C4C" w14:textId="77777777" w:rsidR="00A71EEF" w:rsidRDefault="00A71EEF">
      <w:pPr>
        <w:pStyle w:val="a3"/>
        <w:rPr>
          <w:sz w:val="20"/>
        </w:rPr>
      </w:pPr>
    </w:p>
    <w:p w14:paraId="3D14861E" w14:textId="77777777" w:rsidR="00A71EEF" w:rsidRDefault="00A71EEF">
      <w:pPr>
        <w:pStyle w:val="a3"/>
        <w:rPr>
          <w:sz w:val="20"/>
        </w:rPr>
      </w:pPr>
    </w:p>
    <w:p w14:paraId="576A03D0" w14:textId="77777777" w:rsidR="00A71EEF" w:rsidRDefault="00A71EEF">
      <w:pPr>
        <w:pStyle w:val="a3"/>
        <w:rPr>
          <w:sz w:val="20"/>
        </w:rPr>
      </w:pPr>
    </w:p>
    <w:p w14:paraId="19213761" w14:textId="77777777" w:rsidR="00A71EEF" w:rsidRDefault="00A71EEF">
      <w:pPr>
        <w:pStyle w:val="a3"/>
        <w:spacing w:before="7"/>
        <w:rPr>
          <w:sz w:val="28"/>
        </w:rPr>
      </w:pPr>
    </w:p>
    <w:p w14:paraId="2A563E89" w14:textId="77777777" w:rsidR="00A71EEF" w:rsidRDefault="0081115D">
      <w:pPr>
        <w:pStyle w:val="a3"/>
        <w:spacing w:before="72"/>
        <w:ind w:left="838"/>
      </w:pPr>
      <w:r>
        <w:t xml:space="preserve"> </w:t>
      </w:r>
    </w:p>
    <w:p w14:paraId="49A9CD62" w14:textId="77777777" w:rsidR="00A71EEF" w:rsidRDefault="00A71EEF">
      <w:pPr>
        <w:sectPr w:rsidR="00A71EEF">
          <w:pgSz w:w="11910" w:h="16850"/>
          <w:pgMar w:top="1220" w:right="0" w:bottom="1420" w:left="1260" w:header="0" w:footer="1239" w:gutter="0"/>
          <w:cols w:space="720"/>
        </w:sectPr>
      </w:pPr>
    </w:p>
    <w:p w14:paraId="12390A9C" w14:textId="77777777" w:rsidR="00A71EEF" w:rsidRDefault="00A71EEF">
      <w:pPr>
        <w:pStyle w:val="a3"/>
        <w:rPr>
          <w:sz w:val="20"/>
        </w:rPr>
      </w:pPr>
    </w:p>
    <w:p w14:paraId="3158CCA1" w14:textId="77777777" w:rsidR="00A71EEF" w:rsidRDefault="00A71EEF">
      <w:pPr>
        <w:pStyle w:val="a3"/>
        <w:rPr>
          <w:sz w:val="20"/>
        </w:rPr>
      </w:pPr>
    </w:p>
    <w:p w14:paraId="36AEFAAE" w14:textId="77777777" w:rsidR="00A71EEF" w:rsidRDefault="00A71EEF">
      <w:pPr>
        <w:pStyle w:val="a3"/>
        <w:rPr>
          <w:sz w:val="20"/>
        </w:rPr>
      </w:pPr>
    </w:p>
    <w:p w14:paraId="71D3B5E8" w14:textId="77777777" w:rsidR="00A71EEF" w:rsidRDefault="00A71EEF">
      <w:pPr>
        <w:pStyle w:val="a3"/>
        <w:spacing w:before="6"/>
        <w:rPr>
          <w:sz w:val="27"/>
        </w:rPr>
      </w:pPr>
    </w:p>
    <w:p w14:paraId="61F6772C" w14:textId="77777777" w:rsidR="00A71EEF" w:rsidRDefault="0081115D">
      <w:pPr>
        <w:pStyle w:val="a3"/>
        <w:ind w:left="992"/>
        <w:rPr>
          <w:sz w:val="20"/>
        </w:rPr>
      </w:pPr>
      <w:r>
        <w:rPr>
          <w:noProof/>
          <w:sz w:val="20"/>
        </w:rPr>
        <w:drawing>
          <wp:inline distT="0" distB="0" distL="0" distR="0" wp14:anchorId="1480FE28" wp14:editId="33A30F3C">
            <wp:extent cx="5081803" cy="2971800"/>
            <wp:effectExtent l="0" t="0" r="0" b="0"/>
            <wp:docPr id="737" name="image4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 name="image433.jpeg"/>
                    <pic:cNvPicPr/>
                  </pic:nvPicPr>
                  <pic:blipFill>
                    <a:blip r:embed="rId543" cstate="print"/>
                    <a:stretch>
                      <a:fillRect/>
                    </a:stretch>
                  </pic:blipFill>
                  <pic:spPr>
                    <a:xfrm>
                      <a:off x="0" y="0"/>
                      <a:ext cx="5081803" cy="2971800"/>
                    </a:xfrm>
                    <a:prstGeom prst="rect">
                      <a:avLst/>
                    </a:prstGeom>
                  </pic:spPr>
                </pic:pic>
              </a:graphicData>
            </a:graphic>
          </wp:inline>
        </w:drawing>
      </w:r>
    </w:p>
    <w:p w14:paraId="4746B06B" w14:textId="77777777" w:rsidR="00A71EEF" w:rsidRDefault="00A71EEF">
      <w:pPr>
        <w:pStyle w:val="a3"/>
        <w:spacing w:before="2"/>
        <w:rPr>
          <w:sz w:val="9"/>
        </w:rPr>
      </w:pPr>
    </w:p>
    <w:p w14:paraId="7DEAE61D" w14:textId="77777777" w:rsidR="00A71EEF" w:rsidRDefault="0081115D">
      <w:pPr>
        <w:pStyle w:val="a4"/>
        <w:numPr>
          <w:ilvl w:val="2"/>
          <w:numId w:val="71"/>
        </w:numPr>
        <w:tabs>
          <w:tab w:val="left" w:pos="1424"/>
        </w:tabs>
        <w:spacing w:before="72"/>
        <w:ind w:left="1423"/>
        <w:rPr>
          <w:sz w:val="21"/>
        </w:rPr>
      </w:pPr>
      <w:r>
        <w:rPr>
          <w:noProof/>
        </w:rPr>
        <w:drawing>
          <wp:anchor distT="0" distB="0" distL="0" distR="0" simplePos="0" relativeHeight="251725312" behindDoc="0" locked="0" layoutInCell="1" allowOverlap="1" wp14:anchorId="118C4E4F" wp14:editId="4EA4FA8D">
            <wp:simplePos x="0" y="0"/>
            <wp:positionH relativeFrom="page">
              <wp:posOffset>1484630</wp:posOffset>
            </wp:positionH>
            <wp:positionV relativeFrom="paragraph">
              <wp:posOffset>259461</wp:posOffset>
            </wp:positionV>
            <wp:extent cx="4514850" cy="1314450"/>
            <wp:effectExtent l="0" t="0" r="0" b="0"/>
            <wp:wrapTopAndBottom/>
            <wp:docPr id="739" name="image4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 name="image434.jpeg"/>
                    <pic:cNvPicPr/>
                  </pic:nvPicPr>
                  <pic:blipFill>
                    <a:blip r:embed="rId544" cstate="print"/>
                    <a:stretch>
                      <a:fillRect/>
                    </a:stretch>
                  </pic:blipFill>
                  <pic:spPr>
                    <a:xfrm>
                      <a:off x="0" y="0"/>
                      <a:ext cx="4514850" cy="1314450"/>
                    </a:xfrm>
                    <a:prstGeom prst="rect">
                      <a:avLst/>
                    </a:prstGeom>
                  </pic:spPr>
                </pic:pic>
              </a:graphicData>
            </a:graphic>
          </wp:anchor>
        </w:drawing>
      </w:r>
      <w:r>
        <w:rPr>
          <w:spacing w:val="-5"/>
          <w:sz w:val="21"/>
        </w:rPr>
        <w:t>边墙型标准覆盖面积洒水喷头的最大保护跨度与间距，应符合表</w:t>
      </w:r>
      <w:r>
        <w:rPr>
          <w:spacing w:val="-5"/>
          <w:sz w:val="21"/>
        </w:rPr>
        <w:t xml:space="preserve"> </w:t>
      </w:r>
      <w:r>
        <w:rPr>
          <w:sz w:val="21"/>
        </w:rPr>
        <w:t>7.1.3</w:t>
      </w:r>
      <w:r>
        <w:rPr>
          <w:spacing w:val="-13"/>
          <w:sz w:val="21"/>
        </w:rPr>
        <w:t xml:space="preserve"> </w:t>
      </w:r>
      <w:r>
        <w:rPr>
          <w:spacing w:val="-13"/>
          <w:sz w:val="21"/>
        </w:rPr>
        <w:t>的规定：</w:t>
      </w:r>
      <w:r>
        <w:rPr>
          <w:sz w:val="21"/>
        </w:rPr>
        <w:t xml:space="preserve"> </w:t>
      </w:r>
    </w:p>
    <w:p w14:paraId="378AE04B" w14:textId="77777777" w:rsidR="00A71EEF" w:rsidRDefault="0081115D">
      <w:pPr>
        <w:pStyle w:val="a4"/>
        <w:numPr>
          <w:ilvl w:val="2"/>
          <w:numId w:val="71"/>
        </w:numPr>
        <w:tabs>
          <w:tab w:val="left" w:pos="1422"/>
        </w:tabs>
        <w:spacing w:before="163"/>
        <w:ind w:left="1421"/>
        <w:rPr>
          <w:sz w:val="21"/>
        </w:rPr>
      </w:pPr>
      <w:r>
        <w:rPr>
          <w:spacing w:val="-3"/>
          <w:sz w:val="21"/>
        </w:rPr>
        <w:t>直立型、下垂型扩大覆盖面积洒水喷头应采用正方形布置，其布置间距不应大于表</w:t>
      </w:r>
    </w:p>
    <w:p w14:paraId="65CB7D87" w14:textId="77777777" w:rsidR="00A71EEF" w:rsidRDefault="00A71EEF">
      <w:pPr>
        <w:pStyle w:val="a3"/>
        <w:rPr>
          <w:sz w:val="18"/>
        </w:rPr>
      </w:pPr>
    </w:p>
    <w:p w14:paraId="4A9B8D8B" w14:textId="77777777" w:rsidR="00A71EEF" w:rsidRDefault="0081115D">
      <w:pPr>
        <w:pStyle w:val="a4"/>
        <w:numPr>
          <w:ilvl w:val="2"/>
          <w:numId w:val="70"/>
        </w:numPr>
        <w:tabs>
          <w:tab w:val="left" w:pos="997"/>
        </w:tabs>
        <w:jc w:val="left"/>
        <w:rPr>
          <w:sz w:val="21"/>
        </w:rPr>
      </w:pPr>
      <w:r>
        <w:rPr>
          <w:spacing w:val="-8"/>
          <w:sz w:val="21"/>
        </w:rPr>
        <w:t>的规定，且不应小于</w:t>
      </w:r>
      <w:r>
        <w:rPr>
          <w:spacing w:val="-8"/>
          <w:sz w:val="21"/>
        </w:rPr>
        <w:t xml:space="preserve"> </w:t>
      </w:r>
      <w:r>
        <w:rPr>
          <w:sz w:val="21"/>
        </w:rPr>
        <w:t>2.4m</w:t>
      </w:r>
      <w:r>
        <w:rPr>
          <w:spacing w:val="-3"/>
          <w:sz w:val="21"/>
        </w:rPr>
        <w:t>。</w:t>
      </w:r>
      <w:r>
        <w:rPr>
          <w:sz w:val="21"/>
        </w:rPr>
        <w:t xml:space="preserve"> </w:t>
      </w:r>
    </w:p>
    <w:p w14:paraId="4C91DDBE" w14:textId="77777777" w:rsidR="00A71EEF" w:rsidRDefault="0081115D">
      <w:pPr>
        <w:pStyle w:val="a3"/>
        <w:spacing w:before="8"/>
        <w:rPr>
          <w:sz w:val="29"/>
        </w:rPr>
      </w:pPr>
      <w:r>
        <w:rPr>
          <w:noProof/>
        </w:rPr>
        <w:drawing>
          <wp:anchor distT="0" distB="0" distL="0" distR="0" simplePos="0" relativeHeight="251726336" behindDoc="0" locked="0" layoutInCell="1" allowOverlap="1" wp14:anchorId="2A2CC280" wp14:editId="122E62B9">
            <wp:simplePos x="0" y="0"/>
            <wp:positionH relativeFrom="page">
              <wp:posOffset>1598930</wp:posOffset>
            </wp:positionH>
            <wp:positionV relativeFrom="paragraph">
              <wp:posOffset>266223</wp:posOffset>
            </wp:positionV>
            <wp:extent cx="4800600" cy="1152525"/>
            <wp:effectExtent l="0" t="0" r="0" b="0"/>
            <wp:wrapTopAndBottom/>
            <wp:docPr id="741" name="image4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 name="image435.jpeg"/>
                    <pic:cNvPicPr/>
                  </pic:nvPicPr>
                  <pic:blipFill>
                    <a:blip r:embed="rId545" cstate="print"/>
                    <a:stretch>
                      <a:fillRect/>
                    </a:stretch>
                  </pic:blipFill>
                  <pic:spPr>
                    <a:xfrm>
                      <a:off x="0" y="0"/>
                      <a:ext cx="4800600" cy="1152525"/>
                    </a:xfrm>
                    <a:prstGeom prst="rect">
                      <a:avLst/>
                    </a:prstGeom>
                  </pic:spPr>
                </pic:pic>
              </a:graphicData>
            </a:graphic>
          </wp:anchor>
        </w:drawing>
      </w:r>
    </w:p>
    <w:p w14:paraId="12F4B079" w14:textId="77777777" w:rsidR="00A71EEF" w:rsidRDefault="0081115D">
      <w:pPr>
        <w:pStyle w:val="a4"/>
        <w:numPr>
          <w:ilvl w:val="2"/>
          <w:numId w:val="70"/>
        </w:numPr>
        <w:tabs>
          <w:tab w:val="left" w:pos="1424"/>
        </w:tabs>
        <w:spacing w:before="178" w:line="446" w:lineRule="auto"/>
        <w:ind w:left="418" w:right="1445" w:firstLine="422"/>
        <w:jc w:val="both"/>
        <w:rPr>
          <w:sz w:val="21"/>
        </w:rPr>
      </w:pPr>
      <w:r>
        <w:rPr>
          <w:spacing w:val="-3"/>
          <w:sz w:val="21"/>
        </w:rPr>
        <w:t>边墙型扩大覆盖面积洒水喷头的最大保护跨度和配水支管上的洒水喷头间距，应按洒</w:t>
      </w:r>
      <w:r>
        <w:rPr>
          <w:spacing w:val="-5"/>
          <w:sz w:val="21"/>
        </w:rPr>
        <w:t>水喷头工作压力下能够喷湿对面墙和邻近端墙距溅水盘</w:t>
      </w:r>
      <w:r>
        <w:rPr>
          <w:spacing w:val="-5"/>
          <w:sz w:val="21"/>
        </w:rPr>
        <w:t xml:space="preserve"> </w:t>
      </w:r>
      <w:r>
        <w:rPr>
          <w:sz w:val="21"/>
        </w:rPr>
        <w:t>1.2m</w:t>
      </w:r>
      <w:r>
        <w:rPr>
          <w:spacing w:val="-8"/>
          <w:sz w:val="21"/>
        </w:rPr>
        <w:t xml:space="preserve"> </w:t>
      </w:r>
      <w:r>
        <w:rPr>
          <w:spacing w:val="-8"/>
          <w:sz w:val="21"/>
        </w:rPr>
        <w:t>高度以下的墙面确定，且保护面积</w:t>
      </w:r>
      <w:r>
        <w:rPr>
          <w:spacing w:val="-9"/>
          <w:sz w:val="21"/>
        </w:rPr>
        <w:t>内的喷水强度应符合本规范表</w:t>
      </w:r>
      <w:r>
        <w:rPr>
          <w:spacing w:val="-9"/>
          <w:sz w:val="21"/>
        </w:rPr>
        <w:t xml:space="preserve"> </w:t>
      </w:r>
      <w:r>
        <w:rPr>
          <w:sz w:val="21"/>
        </w:rPr>
        <w:t>5.0.1</w:t>
      </w:r>
      <w:r>
        <w:rPr>
          <w:spacing w:val="-13"/>
          <w:sz w:val="21"/>
        </w:rPr>
        <w:t xml:space="preserve"> </w:t>
      </w:r>
      <w:r>
        <w:rPr>
          <w:spacing w:val="-13"/>
          <w:sz w:val="21"/>
        </w:rPr>
        <w:t>的规定。</w:t>
      </w:r>
      <w:r>
        <w:rPr>
          <w:sz w:val="21"/>
        </w:rPr>
        <w:t xml:space="preserve"> </w:t>
      </w:r>
    </w:p>
    <w:p w14:paraId="5022BB64" w14:textId="77777777" w:rsidR="00A71EEF" w:rsidRDefault="0081115D">
      <w:pPr>
        <w:pStyle w:val="a4"/>
        <w:numPr>
          <w:ilvl w:val="2"/>
          <w:numId w:val="70"/>
        </w:numPr>
        <w:tabs>
          <w:tab w:val="left" w:pos="1371"/>
        </w:tabs>
        <w:spacing w:line="268" w:lineRule="exact"/>
        <w:ind w:left="1370" w:hanging="531"/>
        <w:jc w:val="left"/>
        <w:rPr>
          <w:sz w:val="19"/>
        </w:rPr>
      </w:pPr>
      <w:r>
        <w:rPr>
          <w:spacing w:val="-3"/>
          <w:sz w:val="21"/>
        </w:rPr>
        <w:t>除吊顶型洒水喷头及吊顶下设置的洒水喷头外，直立型、下垂型标准覆盖面积洒水</w:t>
      </w:r>
    </w:p>
    <w:p w14:paraId="5F7BD653" w14:textId="77777777" w:rsidR="00A71EEF" w:rsidRDefault="00A71EEF">
      <w:pPr>
        <w:spacing w:line="268" w:lineRule="exact"/>
        <w:rPr>
          <w:sz w:val="19"/>
        </w:rPr>
        <w:sectPr w:rsidR="00A71EEF">
          <w:footerReference w:type="default" r:id="rId546"/>
          <w:pgSz w:w="11910" w:h="16850"/>
          <w:pgMar w:top="1600" w:right="0" w:bottom="1420" w:left="1260" w:header="0" w:footer="1239" w:gutter="0"/>
          <w:pgNumType w:start="1590"/>
          <w:cols w:space="720"/>
        </w:sectPr>
      </w:pPr>
    </w:p>
    <w:p w14:paraId="2CDA16AE" w14:textId="77777777" w:rsidR="00A71EEF" w:rsidRDefault="0081115D">
      <w:pPr>
        <w:pStyle w:val="a3"/>
        <w:spacing w:before="47"/>
        <w:ind w:left="418"/>
      </w:pPr>
      <w:r>
        <w:t>喷头和扩大覆盖面积洒水喷头溅水盘与顶板的距离应为</w:t>
      </w:r>
      <w:r>
        <w:t xml:space="preserve"> 75</w:t>
      </w:r>
      <w:r>
        <w:t>～</w:t>
      </w:r>
      <w:r>
        <w:t>150mm</w:t>
      </w:r>
      <w:r>
        <w:t>，并应符合下列规定：</w:t>
      </w:r>
      <w:r>
        <w:t xml:space="preserve"> </w:t>
      </w:r>
    </w:p>
    <w:p w14:paraId="45A4D399" w14:textId="77777777" w:rsidR="00A71EEF" w:rsidRDefault="00A71EEF">
      <w:pPr>
        <w:pStyle w:val="a3"/>
        <w:rPr>
          <w:sz w:val="18"/>
        </w:rPr>
      </w:pPr>
    </w:p>
    <w:p w14:paraId="5F566BDF" w14:textId="77777777" w:rsidR="00A71EEF" w:rsidRDefault="0081115D">
      <w:pPr>
        <w:pStyle w:val="a3"/>
        <w:ind w:left="838"/>
      </w:pPr>
      <w:r>
        <w:t>当在梁或其他障碍物底面下方的平面上布置洒水喷头时，溅水盘与顶板的距离不应大于</w:t>
      </w:r>
    </w:p>
    <w:p w14:paraId="11753B4E" w14:textId="77777777" w:rsidR="00A71EEF" w:rsidRDefault="00A71EEF">
      <w:pPr>
        <w:pStyle w:val="a3"/>
        <w:rPr>
          <w:sz w:val="18"/>
        </w:rPr>
      </w:pPr>
    </w:p>
    <w:p w14:paraId="5970EB63" w14:textId="77777777" w:rsidR="00A71EEF" w:rsidRDefault="0081115D">
      <w:pPr>
        <w:pStyle w:val="a3"/>
        <w:ind w:left="418"/>
      </w:pPr>
      <w:r>
        <w:t>300mm</w:t>
      </w:r>
      <w:r>
        <w:t>，同时溅水盘与梁等障碍物底面的垂直距离应为</w:t>
      </w:r>
      <w:r>
        <w:t xml:space="preserve"> 25</w:t>
      </w:r>
      <w:r>
        <w:t>～</w:t>
      </w:r>
      <w:r>
        <w:t>100mm</w:t>
      </w:r>
      <w:r>
        <w:t>。</w:t>
      </w:r>
      <w:r>
        <w:t xml:space="preserve"> </w:t>
      </w:r>
    </w:p>
    <w:p w14:paraId="5C031CD0" w14:textId="77777777" w:rsidR="00A71EEF" w:rsidRDefault="00A71EEF">
      <w:pPr>
        <w:pStyle w:val="a3"/>
        <w:spacing w:before="1"/>
        <w:rPr>
          <w:sz w:val="18"/>
        </w:rPr>
      </w:pPr>
    </w:p>
    <w:p w14:paraId="7E754E52" w14:textId="77777777" w:rsidR="00A71EEF" w:rsidRDefault="0081115D">
      <w:pPr>
        <w:pStyle w:val="a3"/>
        <w:spacing w:before="1" w:line="446" w:lineRule="auto"/>
        <w:ind w:left="418" w:right="1609" w:firstLine="419"/>
      </w:pPr>
      <w:r>
        <w:rPr>
          <w:spacing w:val="-5"/>
        </w:rPr>
        <w:t>当在梁间布置洒水喷头时，洒水喷头与梁的距离应符合本规范第</w:t>
      </w:r>
      <w:r>
        <w:rPr>
          <w:spacing w:val="-5"/>
        </w:rPr>
        <w:t xml:space="preserve"> </w:t>
      </w:r>
      <w:r>
        <w:t>7.2.1</w:t>
      </w:r>
      <w:r>
        <w:rPr>
          <w:spacing w:val="-7"/>
        </w:rPr>
        <w:t xml:space="preserve"> </w:t>
      </w:r>
      <w:r>
        <w:rPr>
          <w:spacing w:val="-7"/>
        </w:rPr>
        <w:t>条的规定。确有困</w:t>
      </w:r>
      <w:r>
        <w:rPr>
          <w:spacing w:val="-8"/>
        </w:rPr>
        <w:t>难时，溅水盘与顶板的距离不应大于</w:t>
      </w:r>
      <w:r>
        <w:rPr>
          <w:spacing w:val="-8"/>
        </w:rPr>
        <w:t xml:space="preserve"> </w:t>
      </w:r>
      <w:r>
        <w:t>550mm</w:t>
      </w:r>
      <w:r>
        <w:rPr>
          <w:spacing w:val="-3"/>
        </w:rPr>
        <w:t>。梁间布置的洒水喷头，溅水盘与顶板距离达到</w:t>
      </w:r>
      <w:r>
        <w:rPr>
          <w:spacing w:val="-3"/>
        </w:rPr>
        <w:t>550mm</w:t>
      </w:r>
      <w:r>
        <w:rPr>
          <w:spacing w:val="-13"/>
        </w:rPr>
        <w:t xml:space="preserve"> </w:t>
      </w:r>
      <w:r>
        <w:rPr>
          <w:spacing w:val="-13"/>
        </w:rPr>
        <w:t>仍不能符合本规范第</w:t>
      </w:r>
      <w:r>
        <w:rPr>
          <w:spacing w:val="-13"/>
        </w:rPr>
        <w:t xml:space="preserve"> </w:t>
      </w:r>
      <w:r>
        <w:t>7.2.1</w:t>
      </w:r>
      <w:r>
        <w:rPr>
          <w:spacing w:val="-9"/>
        </w:rPr>
        <w:t xml:space="preserve"> </w:t>
      </w:r>
      <w:r>
        <w:rPr>
          <w:spacing w:val="-9"/>
        </w:rPr>
        <w:t>条的规定时，应在梁底面的下方增设洒水喷头。</w:t>
      </w:r>
      <w:r>
        <w:t xml:space="preserve"> </w:t>
      </w:r>
    </w:p>
    <w:p w14:paraId="754A9C2B" w14:textId="77777777" w:rsidR="00A71EEF" w:rsidRDefault="0081115D">
      <w:pPr>
        <w:pStyle w:val="a3"/>
        <w:spacing w:line="268" w:lineRule="exact"/>
        <w:ind w:left="838"/>
      </w:pPr>
      <w:r>
        <w:t>密肋梁板下方的洒水喷头，溅水盘与密肋梁板底面的垂直距离应为</w:t>
      </w:r>
      <w:r>
        <w:t xml:space="preserve"> 25</w:t>
      </w:r>
      <w:r>
        <w:t>～</w:t>
      </w:r>
      <w:r>
        <w:t>100mm</w:t>
      </w:r>
      <w:r>
        <w:t>。</w:t>
      </w:r>
      <w:r>
        <w:t xml:space="preserve"> </w:t>
      </w:r>
    </w:p>
    <w:p w14:paraId="4A560B8A" w14:textId="77777777" w:rsidR="00A71EEF" w:rsidRDefault="00A71EEF">
      <w:pPr>
        <w:pStyle w:val="a3"/>
        <w:rPr>
          <w:sz w:val="18"/>
        </w:rPr>
      </w:pPr>
    </w:p>
    <w:p w14:paraId="620598F4" w14:textId="77777777" w:rsidR="00A71EEF" w:rsidRDefault="0081115D">
      <w:pPr>
        <w:pStyle w:val="a3"/>
        <w:spacing w:line="446" w:lineRule="auto"/>
        <w:ind w:left="418" w:right="1603" w:firstLine="419"/>
      </w:pPr>
      <w:r>
        <w:t>无吊顶的梁间洒水喷头布置可采用不等距方式，但喷水强度仍应符合本规范表</w:t>
      </w:r>
      <w:r>
        <w:t xml:space="preserve"> 5.0.1</w:t>
      </w:r>
      <w:r>
        <w:t>、表</w:t>
      </w:r>
      <w:r>
        <w:t xml:space="preserve">5.0.2 </w:t>
      </w:r>
      <w:r>
        <w:t>和表</w:t>
      </w:r>
      <w:r>
        <w:t xml:space="preserve"> 5.0.4-1</w:t>
      </w:r>
      <w:r>
        <w:t>～表</w:t>
      </w:r>
      <w:r>
        <w:t xml:space="preserve"> 5.0.4-5 </w:t>
      </w:r>
      <w:r>
        <w:t>的要求。</w:t>
      </w:r>
      <w:r>
        <w:t xml:space="preserve"> </w:t>
      </w:r>
    </w:p>
    <w:p w14:paraId="0BC9B118" w14:textId="77777777" w:rsidR="00A71EEF" w:rsidRDefault="0081115D">
      <w:pPr>
        <w:pStyle w:val="a4"/>
        <w:numPr>
          <w:ilvl w:val="2"/>
          <w:numId w:val="70"/>
        </w:numPr>
        <w:tabs>
          <w:tab w:val="left" w:pos="1369"/>
        </w:tabs>
        <w:spacing w:line="446" w:lineRule="auto"/>
        <w:ind w:left="418" w:right="1606" w:firstLine="419"/>
        <w:jc w:val="left"/>
        <w:rPr>
          <w:sz w:val="19"/>
        </w:rPr>
      </w:pPr>
      <w:r>
        <w:rPr>
          <w:noProof/>
        </w:rPr>
        <w:drawing>
          <wp:anchor distT="0" distB="0" distL="0" distR="0" simplePos="0" relativeHeight="251774464" behindDoc="1" locked="0" layoutInCell="1" allowOverlap="1" wp14:anchorId="188E0BDB" wp14:editId="1C699053">
            <wp:simplePos x="0" y="0"/>
            <wp:positionH relativeFrom="page">
              <wp:posOffset>1598930</wp:posOffset>
            </wp:positionH>
            <wp:positionV relativeFrom="paragraph">
              <wp:posOffset>522351</wp:posOffset>
            </wp:positionV>
            <wp:extent cx="4857750" cy="1000125"/>
            <wp:effectExtent l="0" t="0" r="0" b="0"/>
            <wp:wrapNone/>
            <wp:docPr id="743" name="image4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 name="image436.jpeg"/>
                    <pic:cNvPicPr/>
                  </pic:nvPicPr>
                  <pic:blipFill>
                    <a:blip r:embed="rId547" cstate="print"/>
                    <a:stretch>
                      <a:fillRect/>
                    </a:stretch>
                  </pic:blipFill>
                  <pic:spPr>
                    <a:xfrm>
                      <a:off x="0" y="0"/>
                      <a:ext cx="4857750" cy="1000125"/>
                    </a:xfrm>
                    <a:prstGeom prst="rect">
                      <a:avLst/>
                    </a:prstGeom>
                  </pic:spPr>
                </pic:pic>
              </a:graphicData>
            </a:graphic>
          </wp:anchor>
        </w:drawing>
      </w:r>
      <w:r>
        <w:rPr>
          <w:spacing w:val="-3"/>
          <w:sz w:val="21"/>
        </w:rPr>
        <w:t>除吊顶型洒水喷头及吊顶下设置的洒水喷头外，直立型、下垂型早期抑制快速响应</w:t>
      </w:r>
      <w:r>
        <w:rPr>
          <w:spacing w:val="-5"/>
          <w:sz w:val="21"/>
        </w:rPr>
        <w:t>喷头、特殊应用喷头和家用喷头溅水盘与顶板的距离应符合表</w:t>
      </w:r>
      <w:r>
        <w:rPr>
          <w:spacing w:val="-5"/>
          <w:sz w:val="21"/>
        </w:rPr>
        <w:t xml:space="preserve"> </w:t>
      </w:r>
      <w:r>
        <w:rPr>
          <w:sz w:val="21"/>
        </w:rPr>
        <w:t>7.1.7</w:t>
      </w:r>
      <w:r>
        <w:rPr>
          <w:spacing w:val="-12"/>
          <w:sz w:val="21"/>
        </w:rPr>
        <w:t xml:space="preserve"> </w:t>
      </w:r>
      <w:r>
        <w:rPr>
          <w:spacing w:val="-12"/>
          <w:sz w:val="21"/>
        </w:rPr>
        <w:t>的规定。</w:t>
      </w:r>
      <w:r>
        <w:rPr>
          <w:spacing w:val="-12"/>
          <w:sz w:val="21"/>
        </w:rPr>
        <w:t xml:space="preserve"> </w:t>
      </w:r>
    </w:p>
    <w:p w14:paraId="539BA123" w14:textId="77777777" w:rsidR="00A71EEF" w:rsidRDefault="00A71EEF">
      <w:pPr>
        <w:pStyle w:val="a3"/>
        <w:rPr>
          <w:sz w:val="20"/>
        </w:rPr>
      </w:pPr>
    </w:p>
    <w:p w14:paraId="14819721" w14:textId="77777777" w:rsidR="00A71EEF" w:rsidRDefault="00A71EEF">
      <w:pPr>
        <w:pStyle w:val="a3"/>
        <w:rPr>
          <w:sz w:val="20"/>
        </w:rPr>
      </w:pPr>
    </w:p>
    <w:p w14:paraId="4A8F978B" w14:textId="77777777" w:rsidR="00A71EEF" w:rsidRDefault="00A71EEF">
      <w:pPr>
        <w:pStyle w:val="a3"/>
        <w:rPr>
          <w:sz w:val="20"/>
        </w:rPr>
      </w:pPr>
    </w:p>
    <w:p w14:paraId="01B57F13" w14:textId="77777777" w:rsidR="00A71EEF" w:rsidRDefault="00A71EEF">
      <w:pPr>
        <w:pStyle w:val="a3"/>
        <w:rPr>
          <w:sz w:val="20"/>
        </w:rPr>
      </w:pPr>
    </w:p>
    <w:p w14:paraId="2AD8ABA2" w14:textId="77777777" w:rsidR="00A71EEF" w:rsidRDefault="00A71EEF">
      <w:pPr>
        <w:pStyle w:val="a3"/>
        <w:rPr>
          <w:sz w:val="20"/>
        </w:rPr>
      </w:pPr>
    </w:p>
    <w:p w14:paraId="553D3461" w14:textId="77777777" w:rsidR="00A71EEF" w:rsidRDefault="00A71EEF">
      <w:pPr>
        <w:pStyle w:val="a3"/>
        <w:spacing w:before="1"/>
        <w:rPr>
          <w:sz w:val="25"/>
        </w:rPr>
      </w:pPr>
    </w:p>
    <w:p w14:paraId="280F4581" w14:textId="77777777" w:rsidR="00A71EEF" w:rsidRDefault="0081115D">
      <w:pPr>
        <w:pStyle w:val="a4"/>
        <w:numPr>
          <w:ilvl w:val="2"/>
          <w:numId w:val="70"/>
        </w:numPr>
        <w:tabs>
          <w:tab w:val="left" w:pos="1370"/>
        </w:tabs>
        <w:spacing w:before="1" w:line="446" w:lineRule="auto"/>
        <w:ind w:left="418" w:right="1431" w:firstLine="422"/>
        <w:jc w:val="left"/>
        <w:rPr>
          <w:sz w:val="19"/>
        </w:rPr>
      </w:pPr>
      <w:r>
        <w:rPr>
          <w:spacing w:val="-8"/>
          <w:sz w:val="21"/>
        </w:rPr>
        <w:t>图书馆、档案馆、商场、仓库中的通道上方宜设有喷头。喷头与被保护对象的水平距</w:t>
      </w:r>
      <w:r>
        <w:rPr>
          <w:spacing w:val="-13"/>
          <w:sz w:val="21"/>
        </w:rPr>
        <w:t>离不应小于</w:t>
      </w:r>
      <w:r>
        <w:rPr>
          <w:spacing w:val="-13"/>
          <w:sz w:val="21"/>
        </w:rPr>
        <w:t xml:space="preserve"> </w:t>
      </w:r>
      <w:r>
        <w:rPr>
          <w:sz w:val="21"/>
        </w:rPr>
        <w:t>0.30m</w:t>
      </w:r>
      <w:r>
        <w:rPr>
          <w:spacing w:val="-6"/>
          <w:sz w:val="21"/>
        </w:rPr>
        <w:t>，喷头溅水盘与保护对象的最小垂直距离不应小于表</w:t>
      </w:r>
      <w:r>
        <w:rPr>
          <w:spacing w:val="-6"/>
          <w:sz w:val="21"/>
        </w:rPr>
        <w:t xml:space="preserve"> </w:t>
      </w:r>
      <w:r>
        <w:rPr>
          <w:sz w:val="21"/>
        </w:rPr>
        <w:t>7.1</w:t>
      </w:r>
      <w:r>
        <w:rPr>
          <w:spacing w:val="2"/>
          <w:sz w:val="21"/>
        </w:rPr>
        <w:t xml:space="preserve">. </w:t>
      </w:r>
      <w:r>
        <w:rPr>
          <w:sz w:val="21"/>
        </w:rPr>
        <w:t>8</w:t>
      </w:r>
      <w:r>
        <w:rPr>
          <w:spacing w:val="-12"/>
          <w:sz w:val="21"/>
        </w:rPr>
        <w:t xml:space="preserve"> </w:t>
      </w:r>
      <w:r>
        <w:rPr>
          <w:spacing w:val="-12"/>
          <w:sz w:val="21"/>
        </w:rPr>
        <w:t>的规定。</w:t>
      </w:r>
      <w:r>
        <w:rPr>
          <w:spacing w:val="-12"/>
          <w:sz w:val="21"/>
        </w:rPr>
        <w:t xml:space="preserve"> </w:t>
      </w:r>
    </w:p>
    <w:p w14:paraId="6CEA3EA7" w14:textId="77777777" w:rsidR="00A71EEF" w:rsidRDefault="0081115D">
      <w:pPr>
        <w:pStyle w:val="a4"/>
        <w:numPr>
          <w:ilvl w:val="2"/>
          <w:numId w:val="70"/>
        </w:numPr>
        <w:tabs>
          <w:tab w:val="left" w:pos="1370"/>
        </w:tabs>
        <w:spacing w:line="446" w:lineRule="auto"/>
        <w:ind w:left="418" w:right="1604" w:firstLine="422"/>
        <w:jc w:val="left"/>
        <w:rPr>
          <w:sz w:val="19"/>
        </w:rPr>
      </w:pPr>
      <w:r>
        <w:rPr>
          <w:spacing w:val="-3"/>
          <w:sz w:val="21"/>
        </w:rPr>
        <w:t>货架内置洒水喷头宜与顶板下洒水喷头交错布置，其溅水盘与上方层板的距离应符</w:t>
      </w:r>
      <w:r>
        <w:rPr>
          <w:spacing w:val="-12"/>
          <w:sz w:val="21"/>
        </w:rPr>
        <w:t>合本规范第</w:t>
      </w:r>
      <w:r>
        <w:rPr>
          <w:spacing w:val="-12"/>
          <w:sz w:val="21"/>
        </w:rPr>
        <w:t xml:space="preserve"> </w:t>
      </w:r>
      <w:r>
        <w:rPr>
          <w:sz w:val="21"/>
        </w:rPr>
        <w:t>7.1.6</w:t>
      </w:r>
      <w:r>
        <w:rPr>
          <w:spacing w:val="-10"/>
          <w:sz w:val="21"/>
        </w:rPr>
        <w:t xml:space="preserve"> </w:t>
      </w:r>
      <w:r>
        <w:rPr>
          <w:spacing w:val="-10"/>
          <w:sz w:val="21"/>
        </w:rPr>
        <w:t>条的规定，与其下部储物顶面的垂直距离不应小于</w:t>
      </w:r>
      <w:r>
        <w:rPr>
          <w:spacing w:val="-10"/>
          <w:sz w:val="21"/>
        </w:rPr>
        <w:t xml:space="preserve"> </w:t>
      </w:r>
      <w:r>
        <w:rPr>
          <w:sz w:val="21"/>
        </w:rPr>
        <w:t>150mm</w:t>
      </w:r>
      <w:r>
        <w:rPr>
          <w:sz w:val="21"/>
        </w:rPr>
        <w:t>。</w:t>
      </w:r>
      <w:r>
        <w:rPr>
          <w:sz w:val="21"/>
        </w:rPr>
        <w:t xml:space="preserve"> </w:t>
      </w:r>
    </w:p>
    <w:p w14:paraId="71726FDF" w14:textId="77777777" w:rsidR="00A71EEF" w:rsidRDefault="0081115D">
      <w:pPr>
        <w:pStyle w:val="a4"/>
        <w:numPr>
          <w:ilvl w:val="2"/>
          <w:numId w:val="70"/>
        </w:numPr>
        <w:tabs>
          <w:tab w:val="left" w:pos="1478"/>
        </w:tabs>
        <w:spacing w:line="446" w:lineRule="auto"/>
        <w:ind w:left="418" w:right="1496" w:firstLine="422"/>
        <w:jc w:val="left"/>
        <w:rPr>
          <w:sz w:val="19"/>
        </w:rPr>
      </w:pPr>
      <w:r>
        <w:rPr>
          <w:spacing w:val="-5"/>
          <w:sz w:val="21"/>
        </w:rPr>
        <w:t>挡水板应为正方形或圆形金属板，其平面面积不宜小于</w:t>
      </w:r>
      <w:r>
        <w:rPr>
          <w:spacing w:val="-5"/>
          <w:sz w:val="21"/>
        </w:rPr>
        <w:t xml:space="preserve"> </w:t>
      </w:r>
      <w:r>
        <w:rPr>
          <w:sz w:val="21"/>
        </w:rPr>
        <w:t>0.12m</w:t>
      </w:r>
      <w:r>
        <w:rPr>
          <w:position w:val="11"/>
          <w:sz w:val="11"/>
        </w:rPr>
        <w:t>2</w:t>
      </w:r>
      <w:r>
        <w:rPr>
          <w:spacing w:val="-3"/>
          <w:sz w:val="21"/>
        </w:rPr>
        <w:t>，周围弯边的下沿宜与洒水喷头的溅水盘平齐。除下列情况和相关规范另有规定外，其他场所或部位不应采用挡水板：</w:t>
      </w:r>
      <w:r>
        <w:rPr>
          <w:sz w:val="21"/>
        </w:rPr>
        <w:t xml:space="preserve"> </w:t>
      </w:r>
    </w:p>
    <w:p w14:paraId="4E3AAABB" w14:textId="77777777" w:rsidR="00A71EEF" w:rsidRDefault="0081115D">
      <w:pPr>
        <w:pStyle w:val="a3"/>
        <w:spacing w:line="446" w:lineRule="auto"/>
        <w:ind w:left="418" w:right="1609" w:firstLine="419"/>
      </w:pPr>
      <w:r>
        <w:t>设置货架内置洒水喷头的仓库，当货架内置洒水喷头上方有孔洞、缝隙时，可在洒水喷头的上方设置挡水板；</w:t>
      </w:r>
      <w:r>
        <w:t xml:space="preserve"> </w:t>
      </w:r>
    </w:p>
    <w:p w14:paraId="3BB4B75A" w14:textId="77777777" w:rsidR="00A71EEF" w:rsidRDefault="0081115D">
      <w:pPr>
        <w:pStyle w:val="a3"/>
        <w:spacing w:line="446" w:lineRule="auto"/>
        <w:ind w:left="418" w:right="1505" w:firstLine="419"/>
      </w:pPr>
      <w:r>
        <w:rPr>
          <w:spacing w:val="-8"/>
        </w:rPr>
        <w:t>宽度大于本规范第</w:t>
      </w:r>
      <w:r>
        <w:rPr>
          <w:spacing w:val="-8"/>
        </w:rPr>
        <w:t xml:space="preserve"> </w:t>
      </w:r>
      <w:r>
        <w:t>7.2.3</w:t>
      </w:r>
      <w:r>
        <w:rPr>
          <w:spacing w:val="-7"/>
        </w:rPr>
        <w:t xml:space="preserve"> </w:t>
      </w:r>
      <w:r>
        <w:rPr>
          <w:spacing w:val="-7"/>
        </w:rPr>
        <w:t>条规定的障碍物，增设的洒水喷头上方有孔洞、</w:t>
      </w:r>
      <w:r>
        <w:rPr>
          <w:spacing w:val="-7"/>
        </w:rPr>
        <w:t xml:space="preserve"> </w:t>
      </w:r>
      <w:r>
        <w:rPr>
          <w:spacing w:val="-7"/>
        </w:rPr>
        <w:t>缝隙时，可</w:t>
      </w:r>
      <w:r>
        <w:rPr>
          <w:spacing w:val="-7"/>
        </w:rPr>
        <w:t>在洒</w:t>
      </w:r>
      <w:r>
        <w:rPr>
          <w:spacing w:val="-5"/>
        </w:rPr>
        <w:t>水喷头的上方设置挡水板。</w:t>
      </w:r>
      <w:r>
        <w:rPr>
          <w:spacing w:val="-5"/>
        </w:rPr>
        <w:t xml:space="preserve"> </w:t>
      </w:r>
    </w:p>
    <w:p w14:paraId="1EEAD55C" w14:textId="77777777" w:rsidR="00A71EEF" w:rsidRDefault="0081115D">
      <w:pPr>
        <w:pStyle w:val="a4"/>
        <w:numPr>
          <w:ilvl w:val="2"/>
          <w:numId w:val="70"/>
        </w:numPr>
        <w:tabs>
          <w:tab w:val="left" w:pos="1530"/>
        </w:tabs>
        <w:spacing w:line="446" w:lineRule="auto"/>
        <w:ind w:left="418" w:right="1760" w:firstLine="422"/>
        <w:jc w:val="left"/>
        <w:rPr>
          <w:sz w:val="21"/>
        </w:rPr>
      </w:pPr>
      <w:r>
        <w:rPr>
          <w:spacing w:val="-8"/>
          <w:sz w:val="21"/>
        </w:rPr>
        <w:t>净空高度大于</w:t>
      </w:r>
      <w:r>
        <w:rPr>
          <w:spacing w:val="-8"/>
          <w:sz w:val="21"/>
        </w:rPr>
        <w:t xml:space="preserve"> </w:t>
      </w:r>
      <w:r>
        <w:rPr>
          <w:sz w:val="21"/>
        </w:rPr>
        <w:t>800mm</w:t>
      </w:r>
      <w:r>
        <w:rPr>
          <w:spacing w:val="-8"/>
          <w:sz w:val="21"/>
        </w:rPr>
        <w:t xml:space="preserve"> </w:t>
      </w:r>
      <w:r>
        <w:rPr>
          <w:spacing w:val="-8"/>
          <w:sz w:val="21"/>
        </w:rPr>
        <w:t>的闷顶和技术夹层内应设置洒水喷头，当同时满足下列情况</w:t>
      </w:r>
      <w:r>
        <w:rPr>
          <w:spacing w:val="-5"/>
          <w:sz w:val="21"/>
        </w:rPr>
        <w:t>时，可不设置洒水喷头：</w:t>
      </w:r>
      <w:r>
        <w:rPr>
          <w:sz w:val="21"/>
        </w:rPr>
        <w:t xml:space="preserve"> </w:t>
      </w:r>
    </w:p>
    <w:p w14:paraId="3207DFD9" w14:textId="77777777" w:rsidR="00A71EEF" w:rsidRDefault="0081115D">
      <w:pPr>
        <w:pStyle w:val="a3"/>
        <w:ind w:left="838"/>
      </w:pPr>
      <w:r>
        <w:t>闷顶内敷设的配电线路采用不燃材料套管或封闭式金属线槽保护；</w:t>
      </w:r>
      <w:r>
        <w:t xml:space="preserve"> </w:t>
      </w:r>
    </w:p>
    <w:p w14:paraId="73234EDC" w14:textId="77777777" w:rsidR="00A71EEF" w:rsidRDefault="00A71EEF">
      <w:pPr>
        <w:sectPr w:rsidR="00A71EEF">
          <w:pgSz w:w="11910" w:h="16850"/>
          <w:pgMar w:top="1220" w:right="0" w:bottom="1420" w:left="1260" w:header="0" w:footer="1239" w:gutter="0"/>
          <w:cols w:space="720"/>
        </w:sectPr>
      </w:pPr>
    </w:p>
    <w:p w14:paraId="2C95559E" w14:textId="77777777" w:rsidR="00A71EEF" w:rsidRDefault="0081115D">
      <w:pPr>
        <w:pStyle w:val="a3"/>
        <w:spacing w:before="47" w:line="446" w:lineRule="auto"/>
        <w:ind w:left="838" w:right="5709"/>
      </w:pPr>
      <w:r>
        <w:t>风管保温材料等采用不燃、难燃材料制作；</w:t>
      </w:r>
      <w:r>
        <w:t xml:space="preserve"> </w:t>
      </w:r>
      <w:r>
        <w:t>无其他可燃物。</w:t>
      </w:r>
      <w:r>
        <w:t xml:space="preserve"> </w:t>
      </w:r>
    </w:p>
    <w:p w14:paraId="78026670" w14:textId="77777777" w:rsidR="00A71EEF" w:rsidRDefault="0081115D">
      <w:pPr>
        <w:pStyle w:val="a4"/>
        <w:numPr>
          <w:ilvl w:val="2"/>
          <w:numId w:val="70"/>
        </w:numPr>
        <w:tabs>
          <w:tab w:val="left" w:pos="1478"/>
        </w:tabs>
        <w:spacing w:line="446" w:lineRule="auto"/>
        <w:ind w:left="418" w:right="1498" w:firstLine="422"/>
        <w:jc w:val="left"/>
        <w:rPr>
          <w:sz w:val="19"/>
        </w:rPr>
      </w:pPr>
      <w:r>
        <w:rPr>
          <w:spacing w:val="-3"/>
          <w:sz w:val="21"/>
        </w:rPr>
        <w:t>当局部场所设置自动喷水灭火系统时，局部场所与相邻不设自动喷水灭火系统场所连通的走道和连通门窗的外侧，应设洒水喷头。</w:t>
      </w:r>
      <w:r>
        <w:rPr>
          <w:sz w:val="21"/>
        </w:rPr>
        <w:t xml:space="preserve"> </w:t>
      </w:r>
    </w:p>
    <w:p w14:paraId="0F20C0F0" w14:textId="77777777" w:rsidR="00A71EEF" w:rsidRDefault="0081115D">
      <w:pPr>
        <w:pStyle w:val="a4"/>
        <w:numPr>
          <w:ilvl w:val="2"/>
          <w:numId w:val="70"/>
        </w:numPr>
        <w:tabs>
          <w:tab w:val="left" w:pos="1478"/>
        </w:tabs>
        <w:spacing w:line="446" w:lineRule="auto"/>
        <w:ind w:left="418" w:right="1654" w:firstLine="422"/>
        <w:jc w:val="left"/>
        <w:rPr>
          <w:sz w:val="19"/>
        </w:rPr>
      </w:pPr>
      <w:r>
        <w:rPr>
          <w:spacing w:val="-5"/>
          <w:sz w:val="21"/>
        </w:rPr>
        <w:t>装设网格、栅板类通透性吊顶的场所，当通透面积占吊顶总面积的比例大于</w:t>
      </w:r>
      <w:r>
        <w:rPr>
          <w:spacing w:val="-5"/>
          <w:sz w:val="21"/>
        </w:rPr>
        <w:t xml:space="preserve"> </w:t>
      </w:r>
      <w:r>
        <w:rPr>
          <w:sz w:val="21"/>
        </w:rPr>
        <w:t>70</w:t>
      </w:r>
      <w:r>
        <w:rPr>
          <w:sz w:val="21"/>
        </w:rPr>
        <w:t>％</w:t>
      </w:r>
      <w:r>
        <w:rPr>
          <w:sz w:val="21"/>
        </w:rPr>
        <w:t xml:space="preserve"> </w:t>
      </w:r>
      <w:r>
        <w:rPr>
          <w:spacing w:val="-3"/>
          <w:sz w:val="21"/>
        </w:rPr>
        <w:t>时，喷头应设置在吊顶上方，并符合下列规定：</w:t>
      </w:r>
      <w:r>
        <w:rPr>
          <w:sz w:val="21"/>
        </w:rPr>
        <w:t xml:space="preserve"> </w:t>
      </w:r>
    </w:p>
    <w:p w14:paraId="7696808A" w14:textId="77777777" w:rsidR="00A71EEF" w:rsidRDefault="0081115D">
      <w:pPr>
        <w:pStyle w:val="a3"/>
        <w:spacing w:line="446" w:lineRule="auto"/>
        <w:ind w:left="418" w:right="1603" w:firstLine="419"/>
      </w:pPr>
      <w:r>
        <w:t>通透性吊顶开口部位的净宽度不应小于</w:t>
      </w:r>
      <w:r>
        <w:t xml:space="preserve"> 10mm </w:t>
      </w:r>
      <w:r>
        <w:t>，且开口部位的厚度不应大于开口的最小宽度；</w:t>
      </w:r>
      <w:r>
        <w:t xml:space="preserve"> </w:t>
      </w:r>
    </w:p>
    <w:p w14:paraId="06CE27AC" w14:textId="77777777" w:rsidR="00A71EEF" w:rsidRDefault="0081115D">
      <w:pPr>
        <w:pStyle w:val="a3"/>
        <w:spacing w:line="267" w:lineRule="exact"/>
        <w:ind w:left="838"/>
      </w:pPr>
      <w:r>
        <w:t>喷头间距及溅水盘与吊顶上表面的距离应符合</w:t>
      </w:r>
      <w:r>
        <w:t xml:space="preserve"> 7.1.13 </w:t>
      </w:r>
      <w:r>
        <w:t>的规定。</w:t>
      </w:r>
      <w:r>
        <w:t xml:space="preserve"> </w:t>
      </w:r>
    </w:p>
    <w:p w14:paraId="2DD49693" w14:textId="77777777" w:rsidR="00A71EEF" w:rsidRDefault="0081115D">
      <w:pPr>
        <w:pStyle w:val="a3"/>
        <w:spacing w:before="7"/>
      </w:pPr>
      <w:r>
        <w:rPr>
          <w:noProof/>
        </w:rPr>
        <w:drawing>
          <wp:anchor distT="0" distB="0" distL="0" distR="0" simplePos="0" relativeHeight="251727360" behindDoc="0" locked="0" layoutInCell="1" allowOverlap="1" wp14:anchorId="18D289BC" wp14:editId="5FFAB302">
            <wp:simplePos x="0" y="0"/>
            <wp:positionH relativeFrom="page">
              <wp:posOffset>1384935</wp:posOffset>
            </wp:positionH>
            <wp:positionV relativeFrom="paragraph">
              <wp:posOffset>200279</wp:posOffset>
            </wp:positionV>
            <wp:extent cx="5000279" cy="1552575"/>
            <wp:effectExtent l="0" t="0" r="0" b="0"/>
            <wp:wrapTopAndBottom/>
            <wp:docPr id="745" name="image4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 name="image437.jpeg"/>
                    <pic:cNvPicPr/>
                  </pic:nvPicPr>
                  <pic:blipFill>
                    <a:blip r:embed="rId548" cstate="print"/>
                    <a:stretch>
                      <a:fillRect/>
                    </a:stretch>
                  </pic:blipFill>
                  <pic:spPr>
                    <a:xfrm>
                      <a:off x="0" y="0"/>
                      <a:ext cx="5000279" cy="1552575"/>
                    </a:xfrm>
                    <a:prstGeom prst="rect">
                      <a:avLst/>
                    </a:prstGeom>
                  </pic:spPr>
                </pic:pic>
              </a:graphicData>
            </a:graphic>
          </wp:anchor>
        </w:drawing>
      </w:r>
    </w:p>
    <w:p w14:paraId="4FA15BDE" w14:textId="77777777" w:rsidR="00A71EEF" w:rsidRDefault="0081115D">
      <w:pPr>
        <w:pStyle w:val="a4"/>
        <w:numPr>
          <w:ilvl w:val="2"/>
          <w:numId w:val="70"/>
        </w:numPr>
        <w:tabs>
          <w:tab w:val="left" w:pos="1478"/>
        </w:tabs>
        <w:spacing w:before="170"/>
        <w:ind w:left="1477" w:hanging="638"/>
        <w:jc w:val="left"/>
        <w:rPr>
          <w:sz w:val="19"/>
        </w:rPr>
      </w:pPr>
      <w:r>
        <w:rPr>
          <w:spacing w:val="-3"/>
          <w:sz w:val="21"/>
        </w:rPr>
        <w:t>顶板或吊顶为斜面时，喷头的布置应符合下列要求：</w:t>
      </w:r>
      <w:r>
        <w:rPr>
          <w:sz w:val="21"/>
        </w:rPr>
        <w:t xml:space="preserve"> </w:t>
      </w:r>
    </w:p>
    <w:p w14:paraId="7C4E4503" w14:textId="77777777" w:rsidR="00A71EEF" w:rsidRDefault="00A71EEF">
      <w:pPr>
        <w:pStyle w:val="a3"/>
        <w:rPr>
          <w:sz w:val="18"/>
        </w:rPr>
      </w:pPr>
    </w:p>
    <w:p w14:paraId="61BA7D79" w14:textId="77777777" w:rsidR="00A71EEF" w:rsidRDefault="0081115D">
      <w:pPr>
        <w:pStyle w:val="a3"/>
        <w:ind w:left="838"/>
      </w:pPr>
      <w:r>
        <w:t xml:space="preserve">1 </w:t>
      </w:r>
      <w:r>
        <w:t>喷头应垂直于斜面，并应按斜面距离确定喷头间距；</w:t>
      </w:r>
      <w:r>
        <w:t xml:space="preserve"> </w:t>
      </w:r>
    </w:p>
    <w:p w14:paraId="4A6C6EB0" w14:textId="77777777" w:rsidR="00A71EEF" w:rsidRDefault="00A71EEF">
      <w:pPr>
        <w:pStyle w:val="a3"/>
        <w:spacing w:before="2"/>
        <w:rPr>
          <w:sz w:val="18"/>
        </w:rPr>
      </w:pPr>
    </w:p>
    <w:p w14:paraId="3CDF26B6" w14:textId="77777777" w:rsidR="00A71EEF" w:rsidRDefault="0081115D">
      <w:pPr>
        <w:pStyle w:val="a3"/>
        <w:spacing w:line="446" w:lineRule="auto"/>
        <w:ind w:left="418" w:right="1608" w:firstLine="419"/>
      </w:pPr>
      <w:r>
        <w:t>2</w:t>
      </w:r>
      <w:r>
        <w:rPr>
          <w:spacing w:val="-5"/>
        </w:rPr>
        <w:t xml:space="preserve"> </w:t>
      </w:r>
      <w:r>
        <w:rPr>
          <w:spacing w:val="-5"/>
        </w:rPr>
        <w:t>坡屋顶的屋脊处应设一排喷头，当屋顶坡度不小于</w:t>
      </w:r>
      <w:r>
        <w:rPr>
          <w:spacing w:val="-5"/>
        </w:rPr>
        <w:t xml:space="preserve"> </w:t>
      </w:r>
      <w:r>
        <w:t>1/3</w:t>
      </w:r>
      <w:r>
        <w:rPr>
          <w:spacing w:val="-8"/>
        </w:rPr>
        <w:t xml:space="preserve"> </w:t>
      </w:r>
      <w:r>
        <w:rPr>
          <w:spacing w:val="-8"/>
        </w:rPr>
        <w:t>时，喷头溅水盘至屋脊的垂直距</w:t>
      </w:r>
      <w:r>
        <w:rPr>
          <w:spacing w:val="-13"/>
        </w:rPr>
        <w:t>离不应大于</w:t>
      </w:r>
      <w:r>
        <w:rPr>
          <w:spacing w:val="-13"/>
        </w:rPr>
        <w:t xml:space="preserve"> </w:t>
      </w:r>
      <w:r>
        <w:t>800mm</w:t>
      </w:r>
      <w:r>
        <w:rPr>
          <w:spacing w:val="-8"/>
        </w:rPr>
        <w:t>；当屋顶坡度小于</w:t>
      </w:r>
      <w:r>
        <w:rPr>
          <w:spacing w:val="-8"/>
        </w:rPr>
        <w:t xml:space="preserve"> </w:t>
      </w:r>
      <w:r>
        <w:t>1/3</w:t>
      </w:r>
      <w:r>
        <w:rPr>
          <w:spacing w:val="-10"/>
        </w:rPr>
        <w:t xml:space="preserve"> </w:t>
      </w:r>
      <w:r>
        <w:rPr>
          <w:spacing w:val="-10"/>
        </w:rPr>
        <w:t>时，喷头溅水盘至屋脊的垂直距离不应大于</w:t>
      </w:r>
      <w:r>
        <w:rPr>
          <w:spacing w:val="-10"/>
        </w:rPr>
        <w:t xml:space="preserve"> </w:t>
      </w:r>
      <w:r>
        <w:t>600mm</w:t>
      </w:r>
      <w:r>
        <w:rPr>
          <w:spacing w:val="-3"/>
        </w:rPr>
        <w:t>。</w:t>
      </w:r>
      <w:r>
        <w:t xml:space="preserve"> </w:t>
      </w:r>
    </w:p>
    <w:p w14:paraId="57DCE69D" w14:textId="77777777" w:rsidR="00A71EEF" w:rsidRDefault="0081115D">
      <w:pPr>
        <w:pStyle w:val="a4"/>
        <w:numPr>
          <w:ilvl w:val="2"/>
          <w:numId w:val="70"/>
        </w:numPr>
        <w:tabs>
          <w:tab w:val="left" w:pos="1530"/>
        </w:tabs>
        <w:spacing w:line="267" w:lineRule="exact"/>
        <w:ind w:left="1529" w:hanging="690"/>
        <w:jc w:val="left"/>
        <w:rPr>
          <w:sz w:val="21"/>
        </w:rPr>
      </w:pPr>
      <w:r>
        <w:rPr>
          <w:spacing w:val="-3"/>
          <w:sz w:val="21"/>
        </w:rPr>
        <w:t>边墙型洒水喷头溅水盘与顶板和背墙的距离应符合表</w:t>
      </w:r>
      <w:r>
        <w:rPr>
          <w:spacing w:val="-3"/>
          <w:sz w:val="21"/>
        </w:rPr>
        <w:t xml:space="preserve"> </w:t>
      </w:r>
      <w:r>
        <w:rPr>
          <w:sz w:val="21"/>
        </w:rPr>
        <w:t>7.1.15</w:t>
      </w:r>
      <w:r>
        <w:rPr>
          <w:spacing w:val="-12"/>
          <w:sz w:val="21"/>
        </w:rPr>
        <w:t xml:space="preserve"> </w:t>
      </w:r>
      <w:r>
        <w:rPr>
          <w:spacing w:val="-12"/>
          <w:sz w:val="21"/>
        </w:rPr>
        <w:t>的规定。</w:t>
      </w:r>
      <w:r>
        <w:rPr>
          <w:spacing w:val="-12"/>
          <w:sz w:val="21"/>
        </w:rPr>
        <w:t xml:space="preserve"> </w:t>
      </w:r>
    </w:p>
    <w:p w14:paraId="5087EE59" w14:textId="77777777" w:rsidR="00A71EEF" w:rsidRDefault="0081115D">
      <w:pPr>
        <w:pStyle w:val="a3"/>
        <w:spacing w:before="4"/>
        <w:rPr>
          <w:sz w:val="28"/>
        </w:rPr>
      </w:pPr>
      <w:r>
        <w:rPr>
          <w:noProof/>
        </w:rPr>
        <w:drawing>
          <wp:anchor distT="0" distB="0" distL="0" distR="0" simplePos="0" relativeHeight="251728384" behindDoc="0" locked="0" layoutInCell="1" allowOverlap="1" wp14:anchorId="2FB23908" wp14:editId="6342B18F">
            <wp:simplePos x="0" y="0"/>
            <wp:positionH relativeFrom="page">
              <wp:posOffset>1113155</wp:posOffset>
            </wp:positionH>
            <wp:positionV relativeFrom="paragraph">
              <wp:posOffset>255373</wp:posOffset>
            </wp:positionV>
            <wp:extent cx="5278714" cy="1895475"/>
            <wp:effectExtent l="0" t="0" r="0" b="0"/>
            <wp:wrapTopAndBottom/>
            <wp:docPr id="747" name="image4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 name="image438.jpeg"/>
                    <pic:cNvPicPr/>
                  </pic:nvPicPr>
                  <pic:blipFill>
                    <a:blip r:embed="rId549" cstate="print"/>
                    <a:stretch>
                      <a:fillRect/>
                    </a:stretch>
                  </pic:blipFill>
                  <pic:spPr>
                    <a:xfrm>
                      <a:off x="0" y="0"/>
                      <a:ext cx="5278714" cy="1895475"/>
                    </a:xfrm>
                    <a:prstGeom prst="rect">
                      <a:avLst/>
                    </a:prstGeom>
                  </pic:spPr>
                </pic:pic>
              </a:graphicData>
            </a:graphic>
          </wp:anchor>
        </w:drawing>
      </w:r>
    </w:p>
    <w:p w14:paraId="09CFB9F5" w14:textId="77777777" w:rsidR="00A71EEF" w:rsidRDefault="0081115D">
      <w:pPr>
        <w:pStyle w:val="a4"/>
        <w:numPr>
          <w:ilvl w:val="2"/>
          <w:numId w:val="70"/>
        </w:numPr>
        <w:tabs>
          <w:tab w:val="left" w:pos="1530"/>
        </w:tabs>
        <w:spacing w:before="172" w:line="446" w:lineRule="auto"/>
        <w:ind w:left="418" w:right="1498" w:firstLine="422"/>
        <w:jc w:val="left"/>
        <w:rPr>
          <w:sz w:val="21"/>
        </w:rPr>
      </w:pPr>
      <w:r>
        <w:rPr>
          <w:spacing w:val="-4"/>
          <w:sz w:val="21"/>
        </w:rPr>
        <w:t>防火分隔水幕的喷头布置，应保证水幕的宽度不小于</w:t>
      </w:r>
      <w:r>
        <w:rPr>
          <w:spacing w:val="-4"/>
          <w:sz w:val="21"/>
        </w:rPr>
        <w:t xml:space="preserve"> </w:t>
      </w:r>
      <w:r>
        <w:rPr>
          <w:sz w:val="21"/>
        </w:rPr>
        <w:t>6m</w:t>
      </w:r>
      <w:r>
        <w:rPr>
          <w:spacing w:val="-3"/>
          <w:sz w:val="21"/>
        </w:rPr>
        <w:t>。采用水幕喷头时，喷头不</w:t>
      </w:r>
      <w:r>
        <w:rPr>
          <w:spacing w:val="-13"/>
          <w:sz w:val="21"/>
        </w:rPr>
        <w:t>应少于</w:t>
      </w:r>
      <w:r>
        <w:rPr>
          <w:spacing w:val="-13"/>
          <w:sz w:val="21"/>
        </w:rPr>
        <w:t xml:space="preserve"> </w:t>
      </w:r>
      <w:r>
        <w:rPr>
          <w:sz w:val="21"/>
        </w:rPr>
        <w:t>3</w:t>
      </w:r>
      <w:r>
        <w:rPr>
          <w:spacing w:val="-11"/>
          <w:sz w:val="21"/>
        </w:rPr>
        <w:t xml:space="preserve"> </w:t>
      </w:r>
      <w:r>
        <w:rPr>
          <w:spacing w:val="-11"/>
          <w:sz w:val="21"/>
        </w:rPr>
        <w:t>排；采用开式洒水喷头时，喷头不应少于</w:t>
      </w:r>
      <w:r>
        <w:rPr>
          <w:spacing w:val="-11"/>
          <w:sz w:val="21"/>
        </w:rPr>
        <w:t xml:space="preserve"> </w:t>
      </w:r>
      <w:r>
        <w:rPr>
          <w:sz w:val="21"/>
        </w:rPr>
        <w:t>2</w:t>
      </w:r>
      <w:r>
        <w:rPr>
          <w:spacing w:val="-8"/>
          <w:sz w:val="21"/>
        </w:rPr>
        <w:t xml:space="preserve"> </w:t>
      </w:r>
      <w:r>
        <w:rPr>
          <w:spacing w:val="-8"/>
          <w:sz w:val="21"/>
        </w:rPr>
        <w:t>排。防护冷却水幕的喷头宜布置成单排。</w:t>
      </w:r>
      <w:r>
        <w:rPr>
          <w:sz w:val="21"/>
        </w:rPr>
        <w:t xml:space="preserve"> </w:t>
      </w:r>
    </w:p>
    <w:p w14:paraId="011D9585" w14:textId="77777777" w:rsidR="00A71EEF" w:rsidRDefault="00A71EEF">
      <w:pPr>
        <w:spacing w:line="446" w:lineRule="auto"/>
        <w:rPr>
          <w:sz w:val="21"/>
        </w:rPr>
        <w:sectPr w:rsidR="00A71EEF">
          <w:pgSz w:w="11910" w:h="16850"/>
          <w:pgMar w:top="1220" w:right="0" w:bottom="1420" w:left="1260" w:header="0" w:footer="1239" w:gutter="0"/>
          <w:cols w:space="720"/>
        </w:sectPr>
      </w:pPr>
    </w:p>
    <w:p w14:paraId="66FDB48E" w14:textId="77777777" w:rsidR="00A71EEF" w:rsidRDefault="0081115D">
      <w:pPr>
        <w:pStyle w:val="a4"/>
        <w:numPr>
          <w:ilvl w:val="2"/>
          <w:numId w:val="70"/>
        </w:numPr>
        <w:tabs>
          <w:tab w:val="left" w:pos="1530"/>
        </w:tabs>
        <w:spacing w:before="47" w:line="446" w:lineRule="auto"/>
        <w:ind w:left="418" w:right="1548" w:firstLine="422"/>
        <w:jc w:val="left"/>
        <w:rPr>
          <w:sz w:val="21"/>
        </w:rPr>
      </w:pPr>
      <w:r>
        <w:rPr>
          <w:spacing w:val="-3"/>
          <w:sz w:val="21"/>
        </w:rPr>
        <w:t>当防火卷帘、防火玻璃墙等防火分隔设施需采用防护冷却系统保护时，喷头应根据可燃物的情况一侧或两侧布置；外墙可只在需要保护的一侧布置。</w:t>
      </w:r>
      <w:r>
        <w:rPr>
          <w:sz w:val="21"/>
        </w:rPr>
        <w:t xml:space="preserve"> </w:t>
      </w:r>
    </w:p>
    <w:p w14:paraId="2E048FFE" w14:textId="77777777" w:rsidR="00A71EEF" w:rsidRDefault="0081115D">
      <w:pPr>
        <w:pStyle w:val="a4"/>
        <w:numPr>
          <w:ilvl w:val="1"/>
          <w:numId w:val="71"/>
        </w:numPr>
        <w:tabs>
          <w:tab w:val="left" w:pos="1159"/>
        </w:tabs>
        <w:spacing w:line="267" w:lineRule="exact"/>
        <w:ind w:hanging="319"/>
        <w:rPr>
          <w:b/>
          <w:sz w:val="21"/>
        </w:rPr>
      </w:pPr>
      <w:r>
        <w:rPr>
          <w:spacing w:val="-3"/>
          <w:sz w:val="21"/>
        </w:rPr>
        <w:t>喷头与障碍物的距离</w:t>
      </w:r>
      <w:r>
        <w:rPr>
          <w:b/>
          <w:w w:val="99"/>
          <w:sz w:val="21"/>
        </w:rPr>
        <w:t xml:space="preserve"> </w:t>
      </w:r>
    </w:p>
    <w:p w14:paraId="0014D181" w14:textId="77777777" w:rsidR="00A71EEF" w:rsidRDefault="00A71EEF">
      <w:pPr>
        <w:pStyle w:val="a3"/>
        <w:spacing w:before="2"/>
        <w:rPr>
          <w:b/>
          <w:sz w:val="18"/>
        </w:rPr>
      </w:pPr>
    </w:p>
    <w:p w14:paraId="39B5E741" w14:textId="77777777" w:rsidR="00A71EEF" w:rsidRDefault="0081115D">
      <w:pPr>
        <w:pStyle w:val="a4"/>
        <w:numPr>
          <w:ilvl w:val="2"/>
          <w:numId w:val="71"/>
        </w:numPr>
        <w:tabs>
          <w:tab w:val="left" w:pos="1371"/>
        </w:tabs>
        <w:spacing w:line="446" w:lineRule="auto"/>
        <w:ind w:right="1445" w:firstLine="422"/>
        <w:rPr>
          <w:sz w:val="21"/>
        </w:rPr>
      </w:pPr>
      <w:r>
        <w:rPr>
          <w:noProof/>
        </w:rPr>
        <w:drawing>
          <wp:anchor distT="0" distB="0" distL="0" distR="0" simplePos="0" relativeHeight="251775488" behindDoc="1" locked="0" layoutInCell="1" allowOverlap="1" wp14:anchorId="10A2A9FF" wp14:editId="4B605674">
            <wp:simplePos x="0" y="0"/>
            <wp:positionH relativeFrom="page">
              <wp:posOffset>1701800</wp:posOffset>
            </wp:positionH>
            <wp:positionV relativeFrom="paragraph">
              <wp:posOffset>559561</wp:posOffset>
            </wp:positionV>
            <wp:extent cx="4706620" cy="1810384"/>
            <wp:effectExtent l="0" t="0" r="0" b="0"/>
            <wp:wrapNone/>
            <wp:docPr id="749" name="image4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 name="image439.jpeg"/>
                    <pic:cNvPicPr/>
                  </pic:nvPicPr>
                  <pic:blipFill>
                    <a:blip r:embed="rId550" cstate="print"/>
                    <a:stretch>
                      <a:fillRect/>
                    </a:stretch>
                  </pic:blipFill>
                  <pic:spPr>
                    <a:xfrm>
                      <a:off x="0" y="0"/>
                      <a:ext cx="4706620" cy="1810384"/>
                    </a:xfrm>
                    <a:prstGeom prst="rect">
                      <a:avLst/>
                    </a:prstGeom>
                  </pic:spPr>
                </pic:pic>
              </a:graphicData>
            </a:graphic>
          </wp:anchor>
        </w:drawing>
      </w:r>
      <w:r>
        <w:rPr>
          <w:spacing w:val="-3"/>
          <w:sz w:val="21"/>
        </w:rPr>
        <w:t>直立型、下垂型喷头与梁、通风管道等障碍物的距离（</w:t>
      </w:r>
      <w:r>
        <w:rPr>
          <w:spacing w:val="-24"/>
          <w:sz w:val="21"/>
        </w:rPr>
        <w:t>图</w:t>
      </w:r>
      <w:r>
        <w:rPr>
          <w:spacing w:val="-24"/>
          <w:sz w:val="21"/>
        </w:rPr>
        <w:t xml:space="preserve"> </w:t>
      </w:r>
      <w:r>
        <w:rPr>
          <w:sz w:val="21"/>
        </w:rPr>
        <w:t>7.2.1</w:t>
      </w:r>
      <w:r>
        <w:rPr>
          <w:sz w:val="21"/>
        </w:rPr>
        <w:t>）</w:t>
      </w:r>
      <w:r>
        <w:rPr>
          <w:spacing w:val="-12"/>
          <w:sz w:val="21"/>
        </w:rPr>
        <w:t>宜符合表</w:t>
      </w:r>
      <w:r>
        <w:rPr>
          <w:spacing w:val="-12"/>
          <w:sz w:val="21"/>
        </w:rPr>
        <w:t xml:space="preserve"> </w:t>
      </w:r>
      <w:r>
        <w:rPr>
          <w:sz w:val="21"/>
        </w:rPr>
        <w:t>7.2.1</w:t>
      </w:r>
      <w:r>
        <w:rPr>
          <w:spacing w:val="-24"/>
          <w:sz w:val="21"/>
        </w:rPr>
        <w:t xml:space="preserve"> </w:t>
      </w:r>
      <w:r>
        <w:rPr>
          <w:spacing w:val="-24"/>
          <w:sz w:val="21"/>
        </w:rPr>
        <w:t>的</w:t>
      </w:r>
      <w:r>
        <w:rPr>
          <w:spacing w:val="-17"/>
          <w:sz w:val="21"/>
        </w:rPr>
        <w:t>规定。</w:t>
      </w:r>
      <w:r>
        <w:rPr>
          <w:sz w:val="21"/>
        </w:rPr>
        <w:t xml:space="preserve"> </w:t>
      </w:r>
    </w:p>
    <w:p w14:paraId="12757498" w14:textId="77777777" w:rsidR="00A71EEF" w:rsidRDefault="00A71EEF">
      <w:pPr>
        <w:pStyle w:val="a3"/>
        <w:rPr>
          <w:sz w:val="20"/>
        </w:rPr>
      </w:pPr>
    </w:p>
    <w:p w14:paraId="3F06B360" w14:textId="77777777" w:rsidR="00A71EEF" w:rsidRDefault="00A71EEF">
      <w:pPr>
        <w:pStyle w:val="a3"/>
        <w:rPr>
          <w:sz w:val="20"/>
        </w:rPr>
      </w:pPr>
    </w:p>
    <w:p w14:paraId="7F1C40A3" w14:textId="77777777" w:rsidR="00A71EEF" w:rsidRDefault="00A71EEF">
      <w:pPr>
        <w:pStyle w:val="a3"/>
        <w:rPr>
          <w:sz w:val="20"/>
        </w:rPr>
      </w:pPr>
    </w:p>
    <w:p w14:paraId="79E8BA74" w14:textId="77777777" w:rsidR="00A71EEF" w:rsidRDefault="00A71EEF">
      <w:pPr>
        <w:pStyle w:val="a3"/>
        <w:rPr>
          <w:sz w:val="20"/>
        </w:rPr>
      </w:pPr>
    </w:p>
    <w:p w14:paraId="7045DD1D" w14:textId="77777777" w:rsidR="00A71EEF" w:rsidRDefault="00A71EEF">
      <w:pPr>
        <w:pStyle w:val="a3"/>
        <w:rPr>
          <w:sz w:val="20"/>
        </w:rPr>
      </w:pPr>
    </w:p>
    <w:p w14:paraId="43408DCF" w14:textId="77777777" w:rsidR="00A71EEF" w:rsidRDefault="00A71EEF">
      <w:pPr>
        <w:pStyle w:val="a3"/>
        <w:rPr>
          <w:sz w:val="20"/>
        </w:rPr>
      </w:pPr>
    </w:p>
    <w:p w14:paraId="1E8D03CF" w14:textId="77777777" w:rsidR="00A71EEF" w:rsidRDefault="00A71EEF">
      <w:pPr>
        <w:pStyle w:val="a3"/>
        <w:rPr>
          <w:sz w:val="20"/>
        </w:rPr>
      </w:pPr>
    </w:p>
    <w:p w14:paraId="22D7EC3A" w14:textId="77777777" w:rsidR="00A71EEF" w:rsidRDefault="00A71EEF">
      <w:pPr>
        <w:pStyle w:val="a3"/>
        <w:rPr>
          <w:sz w:val="20"/>
        </w:rPr>
      </w:pPr>
    </w:p>
    <w:p w14:paraId="508E203F" w14:textId="77777777" w:rsidR="00A71EEF" w:rsidRDefault="00A71EEF">
      <w:pPr>
        <w:pStyle w:val="a3"/>
        <w:rPr>
          <w:sz w:val="20"/>
        </w:rPr>
      </w:pPr>
    </w:p>
    <w:p w14:paraId="7777ED0C" w14:textId="77777777" w:rsidR="00A71EEF" w:rsidRDefault="00A71EEF">
      <w:pPr>
        <w:pStyle w:val="a3"/>
        <w:rPr>
          <w:sz w:val="20"/>
        </w:rPr>
      </w:pPr>
    </w:p>
    <w:p w14:paraId="4ECDCF3C" w14:textId="77777777" w:rsidR="00A71EEF" w:rsidRDefault="0081115D">
      <w:pPr>
        <w:pStyle w:val="a3"/>
        <w:spacing w:before="8"/>
        <w:rPr>
          <w:sz w:val="26"/>
        </w:rPr>
      </w:pPr>
      <w:r>
        <w:pict w14:anchorId="49E19088">
          <v:group id="_x0000_s1069" style="position:absolute;margin-left:104.9pt;margin-top:19pt;width:383.25pt;height:154.5pt;z-index:-251483648;mso-wrap-distance-left:0;mso-wrap-distance-right:0;mso-position-horizontal-relative:page" coordorigin="2098,380" coordsize="7665,3090">
            <v:shape id="_x0000_s1071" type="#_x0000_t75" style="position:absolute;left:2443;top:497;width:7320;height:2895">
              <v:imagedata r:id="rId551" o:title=""/>
            </v:shape>
            <v:shape id="_x0000_s1070" type="#_x0000_t75" style="position:absolute;left:2098;top:380;width:7115;height:3090">
              <v:imagedata r:id="rId552" o:title=""/>
            </v:shape>
            <w10:wrap type="topAndBottom" anchorx="page"/>
          </v:group>
        </w:pict>
      </w:r>
    </w:p>
    <w:p w14:paraId="4893FD99" w14:textId="77777777" w:rsidR="00A71EEF" w:rsidRDefault="0081115D">
      <w:pPr>
        <w:pStyle w:val="a4"/>
        <w:numPr>
          <w:ilvl w:val="2"/>
          <w:numId w:val="71"/>
        </w:numPr>
        <w:tabs>
          <w:tab w:val="left" w:pos="1369"/>
        </w:tabs>
        <w:spacing w:before="162" w:line="446" w:lineRule="auto"/>
        <w:ind w:right="1608" w:firstLine="419"/>
        <w:rPr>
          <w:sz w:val="21"/>
        </w:rPr>
      </w:pPr>
      <w:r>
        <w:rPr>
          <w:spacing w:val="-7"/>
          <w:sz w:val="21"/>
        </w:rPr>
        <w:t>特殊应用喷头溅水盘以下</w:t>
      </w:r>
      <w:r>
        <w:rPr>
          <w:spacing w:val="-7"/>
          <w:sz w:val="21"/>
        </w:rPr>
        <w:t xml:space="preserve"> </w:t>
      </w:r>
      <w:r>
        <w:rPr>
          <w:sz w:val="21"/>
        </w:rPr>
        <w:t>900mm</w:t>
      </w:r>
      <w:r>
        <w:rPr>
          <w:spacing w:val="-12"/>
          <w:sz w:val="21"/>
        </w:rPr>
        <w:t xml:space="preserve"> </w:t>
      </w:r>
      <w:r>
        <w:rPr>
          <w:spacing w:val="-12"/>
          <w:sz w:val="21"/>
        </w:rPr>
        <w:t>范围内，其他类型喷头溅水盘以下</w:t>
      </w:r>
      <w:r>
        <w:rPr>
          <w:spacing w:val="-12"/>
          <w:sz w:val="21"/>
        </w:rPr>
        <w:t xml:space="preserve"> </w:t>
      </w:r>
      <w:r>
        <w:rPr>
          <w:sz w:val="21"/>
        </w:rPr>
        <w:t>450mm</w:t>
      </w:r>
      <w:r>
        <w:rPr>
          <w:spacing w:val="-12"/>
          <w:sz w:val="21"/>
        </w:rPr>
        <w:t xml:space="preserve"> </w:t>
      </w:r>
      <w:r>
        <w:rPr>
          <w:spacing w:val="-12"/>
          <w:sz w:val="21"/>
        </w:rPr>
        <w:t>范围内，</w:t>
      </w:r>
      <w:r>
        <w:rPr>
          <w:spacing w:val="-12"/>
          <w:sz w:val="21"/>
        </w:rPr>
        <w:t xml:space="preserve"> </w:t>
      </w:r>
      <w:r>
        <w:rPr>
          <w:spacing w:val="-6"/>
          <w:sz w:val="21"/>
        </w:rPr>
        <w:t>当有屋架等间断障碍物或管道时，喷头与邻近障碍物的最小水平距离</w:t>
      </w:r>
      <w:r>
        <w:rPr>
          <w:spacing w:val="-3"/>
          <w:sz w:val="21"/>
        </w:rPr>
        <w:t>（</w:t>
      </w:r>
      <w:r>
        <w:rPr>
          <w:spacing w:val="-24"/>
          <w:sz w:val="21"/>
        </w:rPr>
        <w:t>图</w:t>
      </w:r>
      <w:r>
        <w:rPr>
          <w:spacing w:val="-24"/>
          <w:sz w:val="21"/>
        </w:rPr>
        <w:t xml:space="preserve"> </w:t>
      </w:r>
      <w:r>
        <w:rPr>
          <w:sz w:val="21"/>
        </w:rPr>
        <w:t>7.2.2</w:t>
      </w:r>
      <w:r>
        <w:rPr>
          <w:sz w:val="21"/>
        </w:rPr>
        <w:t>）</w:t>
      </w:r>
      <w:r>
        <w:rPr>
          <w:spacing w:val="-2"/>
          <w:sz w:val="21"/>
        </w:rPr>
        <w:t>应符合表</w:t>
      </w:r>
    </w:p>
    <w:p w14:paraId="7074B763" w14:textId="77777777" w:rsidR="00A71EEF" w:rsidRDefault="0081115D">
      <w:pPr>
        <w:pStyle w:val="a4"/>
        <w:numPr>
          <w:ilvl w:val="2"/>
          <w:numId w:val="69"/>
        </w:numPr>
        <w:tabs>
          <w:tab w:val="left" w:pos="997"/>
        </w:tabs>
        <w:spacing w:before="1"/>
        <w:jc w:val="left"/>
        <w:rPr>
          <w:sz w:val="21"/>
        </w:rPr>
      </w:pPr>
      <w:r>
        <w:rPr>
          <w:spacing w:val="-3"/>
          <w:sz w:val="21"/>
        </w:rPr>
        <w:t>的规定。</w:t>
      </w:r>
      <w:r>
        <w:rPr>
          <w:sz w:val="21"/>
        </w:rPr>
        <w:t xml:space="preserve"> </w:t>
      </w:r>
    </w:p>
    <w:p w14:paraId="48AC44E1" w14:textId="77777777" w:rsidR="00A71EEF" w:rsidRDefault="0081115D">
      <w:pPr>
        <w:pStyle w:val="a3"/>
        <w:spacing w:before="8"/>
        <w:rPr>
          <w:sz w:val="11"/>
        </w:rPr>
      </w:pPr>
      <w:r>
        <w:rPr>
          <w:noProof/>
        </w:rPr>
        <w:drawing>
          <wp:anchor distT="0" distB="0" distL="0" distR="0" simplePos="0" relativeHeight="251729408" behindDoc="0" locked="0" layoutInCell="1" allowOverlap="1" wp14:anchorId="6D729CED" wp14:editId="60FB2309">
            <wp:simplePos x="0" y="0"/>
            <wp:positionH relativeFrom="page">
              <wp:posOffset>1503680</wp:posOffset>
            </wp:positionH>
            <wp:positionV relativeFrom="paragraph">
              <wp:posOffset>119395</wp:posOffset>
            </wp:positionV>
            <wp:extent cx="4578327" cy="962025"/>
            <wp:effectExtent l="0" t="0" r="0" b="0"/>
            <wp:wrapTopAndBottom/>
            <wp:docPr id="751" name="image4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 name="image442.jpeg"/>
                    <pic:cNvPicPr/>
                  </pic:nvPicPr>
                  <pic:blipFill>
                    <a:blip r:embed="rId553" cstate="print"/>
                    <a:stretch>
                      <a:fillRect/>
                    </a:stretch>
                  </pic:blipFill>
                  <pic:spPr>
                    <a:xfrm>
                      <a:off x="0" y="0"/>
                      <a:ext cx="4578327" cy="962025"/>
                    </a:xfrm>
                    <a:prstGeom prst="rect">
                      <a:avLst/>
                    </a:prstGeom>
                  </pic:spPr>
                </pic:pic>
              </a:graphicData>
            </a:graphic>
          </wp:anchor>
        </w:drawing>
      </w:r>
    </w:p>
    <w:p w14:paraId="13DB4595" w14:textId="77777777" w:rsidR="00A71EEF" w:rsidRDefault="0081115D">
      <w:pPr>
        <w:pStyle w:val="a4"/>
        <w:numPr>
          <w:ilvl w:val="2"/>
          <w:numId w:val="69"/>
        </w:numPr>
        <w:tabs>
          <w:tab w:val="left" w:pos="1370"/>
        </w:tabs>
        <w:spacing w:before="178" w:line="446" w:lineRule="auto"/>
        <w:ind w:left="418" w:right="1500" w:firstLine="422"/>
        <w:jc w:val="left"/>
        <w:rPr>
          <w:sz w:val="19"/>
        </w:rPr>
      </w:pPr>
      <w:r>
        <w:rPr>
          <w:spacing w:val="-5"/>
          <w:sz w:val="21"/>
        </w:rPr>
        <w:t>当梁、通风管道、成排布置的管道、桥架等障碍物的宽度大于</w:t>
      </w:r>
      <w:r>
        <w:rPr>
          <w:spacing w:val="-5"/>
          <w:sz w:val="21"/>
        </w:rPr>
        <w:t xml:space="preserve"> </w:t>
      </w:r>
      <w:r>
        <w:rPr>
          <w:sz w:val="21"/>
        </w:rPr>
        <w:t>1.2m</w:t>
      </w:r>
      <w:r>
        <w:rPr>
          <w:spacing w:val="-8"/>
          <w:sz w:val="21"/>
        </w:rPr>
        <w:t xml:space="preserve"> </w:t>
      </w:r>
      <w:r>
        <w:rPr>
          <w:spacing w:val="-8"/>
          <w:sz w:val="21"/>
        </w:rPr>
        <w:t>时，其下方应增</w:t>
      </w:r>
      <w:r>
        <w:rPr>
          <w:spacing w:val="-7"/>
          <w:sz w:val="21"/>
        </w:rPr>
        <w:t>设喷头</w:t>
      </w:r>
      <w:r>
        <w:rPr>
          <w:spacing w:val="-3"/>
          <w:sz w:val="21"/>
        </w:rPr>
        <w:t>（</w:t>
      </w:r>
      <w:r>
        <w:rPr>
          <w:spacing w:val="-22"/>
          <w:sz w:val="21"/>
        </w:rPr>
        <w:t>图</w:t>
      </w:r>
      <w:r>
        <w:rPr>
          <w:spacing w:val="-22"/>
          <w:sz w:val="21"/>
        </w:rPr>
        <w:t xml:space="preserve"> </w:t>
      </w:r>
      <w:r>
        <w:rPr>
          <w:sz w:val="21"/>
        </w:rPr>
        <w:t>7.2.3</w:t>
      </w:r>
      <w:r>
        <w:rPr>
          <w:sz w:val="21"/>
        </w:rPr>
        <w:t>）</w:t>
      </w:r>
      <w:r>
        <w:rPr>
          <w:spacing w:val="-3"/>
          <w:sz w:val="21"/>
        </w:rPr>
        <w:t>；采用早期抑制快速响应喷头和特殊应用喷头的场所，当障碍物宽度大于</w:t>
      </w:r>
      <w:r>
        <w:rPr>
          <w:spacing w:val="-3"/>
          <w:sz w:val="21"/>
        </w:rPr>
        <w:t>0.6m</w:t>
      </w:r>
      <w:r>
        <w:rPr>
          <w:spacing w:val="-9"/>
          <w:sz w:val="21"/>
        </w:rPr>
        <w:t xml:space="preserve"> </w:t>
      </w:r>
      <w:r>
        <w:rPr>
          <w:spacing w:val="-9"/>
          <w:sz w:val="21"/>
        </w:rPr>
        <w:t>时，其下方应增设喷头。</w:t>
      </w:r>
      <w:r>
        <w:rPr>
          <w:sz w:val="21"/>
        </w:rPr>
        <w:t xml:space="preserve"> </w:t>
      </w:r>
    </w:p>
    <w:p w14:paraId="5E091070" w14:textId="77777777" w:rsidR="00A71EEF" w:rsidRDefault="0081115D">
      <w:pPr>
        <w:pStyle w:val="a3"/>
        <w:spacing w:line="268" w:lineRule="exact"/>
        <w:ind w:left="838"/>
      </w:pPr>
      <w:r>
        <w:t xml:space="preserve"> </w:t>
      </w:r>
    </w:p>
    <w:p w14:paraId="1CC87214" w14:textId="77777777" w:rsidR="00A71EEF" w:rsidRDefault="00A71EEF">
      <w:pPr>
        <w:spacing w:line="268" w:lineRule="exact"/>
        <w:sectPr w:rsidR="00A71EEF">
          <w:pgSz w:w="11910" w:h="16850"/>
          <w:pgMar w:top="1220" w:right="0" w:bottom="1420" w:left="1260" w:header="0" w:footer="1239" w:gutter="0"/>
          <w:cols w:space="720"/>
        </w:sectPr>
      </w:pPr>
    </w:p>
    <w:p w14:paraId="50CD377D" w14:textId="77777777" w:rsidR="00A71EEF" w:rsidRDefault="00A71EEF">
      <w:pPr>
        <w:pStyle w:val="a3"/>
        <w:rPr>
          <w:sz w:val="20"/>
        </w:rPr>
      </w:pPr>
    </w:p>
    <w:p w14:paraId="6BD6A886" w14:textId="77777777" w:rsidR="00A71EEF" w:rsidRDefault="00A71EEF">
      <w:pPr>
        <w:pStyle w:val="a3"/>
        <w:rPr>
          <w:sz w:val="20"/>
        </w:rPr>
      </w:pPr>
    </w:p>
    <w:p w14:paraId="250C0F06" w14:textId="77777777" w:rsidR="00A71EEF" w:rsidRDefault="00A71EEF">
      <w:pPr>
        <w:pStyle w:val="a3"/>
        <w:rPr>
          <w:sz w:val="20"/>
        </w:rPr>
      </w:pPr>
    </w:p>
    <w:p w14:paraId="5AA913D9" w14:textId="77777777" w:rsidR="00A71EEF" w:rsidRDefault="00A71EEF">
      <w:pPr>
        <w:pStyle w:val="a3"/>
        <w:spacing w:before="2"/>
        <w:rPr>
          <w:sz w:val="16"/>
        </w:rPr>
      </w:pPr>
    </w:p>
    <w:p w14:paraId="236B4E4A" w14:textId="77777777" w:rsidR="00A71EEF" w:rsidRDefault="0081115D">
      <w:pPr>
        <w:pStyle w:val="a3"/>
        <w:ind w:left="883"/>
        <w:rPr>
          <w:sz w:val="20"/>
        </w:rPr>
      </w:pPr>
      <w:r>
        <w:rPr>
          <w:noProof/>
          <w:sz w:val="20"/>
        </w:rPr>
        <w:drawing>
          <wp:inline distT="0" distB="0" distL="0" distR="0" wp14:anchorId="1D7C02B0" wp14:editId="397FDB6D">
            <wp:extent cx="4876800" cy="1714500"/>
            <wp:effectExtent l="0" t="0" r="0" b="0"/>
            <wp:docPr id="753" name="image4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 name="image443.jpeg"/>
                    <pic:cNvPicPr/>
                  </pic:nvPicPr>
                  <pic:blipFill>
                    <a:blip r:embed="rId554" cstate="print"/>
                    <a:stretch>
                      <a:fillRect/>
                    </a:stretch>
                  </pic:blipFill>
                  <pic:spPr>
                    <a:xfrm>
                      <a:off x="0" y="0"/>
                      <a:ext cx="4876800" cy="1714500"/>
                    </a:xfrm>
                    <a:prstGeom prst="rect">
                      <a:avLst/>
                    </a:prstGeom>
                  </pic:spPr>
                </pic:pic>
              </a:graphicData>
            </a:graphic>
          </wp:inline>
        </w:drawing>
      </w:r>
    </w:p>
    <w:p w14:paraId="66A73A48" w14:textId="77777777" w:rsidR="00A71EEF" w:rsidRDefault="00A71EEF">
      <w:pPr>
        <w:pStyle w:val="a3"/>
        <w:rPr>
          <w:sz w:val="20"/>
        </w:rPr>
      </w:pPr>
    </w:p>
    <w:p w14:paraId="3873CE59" w14:textId="77777777" w:rsidR="00A71EEF" w:rsidRDefault="00A71EEF">
      <w:pPr>
        <w:pStyle w:val="a3"/>
        <w:spacing w:before="5"/>
        <w:rPr>
          <w:sz w:val="28"/>
        </w:rPr>
      </w:pPr>
    </w:p>
    <w:p w14:paraId="4DBFFF47" w14:textId="77777777" w:rsidR="00A71EEF" w:rsidRDefault="0081115D">
      <w:pPr>
        <w:pStyle w:val="a4"/>
        <w:numPr>
          <w:ilvl w:val="2"/>
          <w:numId w:val="69"/>
        </w:numPr>
        <w:tabs>
          <w:tab w:val="left" w:pos="1371"/>
        </w:tabs>
        <w:spacing w:before="71" w:line="446" w:lineRule="auto"/>
        <w:ind w:left="418" w:right="1604" w:firstLine="422"/>
        <w:jc w:val="left"/>
        <w:rPr>
          <w:sz w:val="19"/>
        </w:rPr>
      </w:pPr>
      <w:r>
        <w:rPr>
          <w:noProof/>
        </w:rPr>
        <w:drawing>
          <wp:anchor distT="0" distB="0" distL="0" distR="0" simplePos="0" relativeHeight="251776512" behindDoc="1" locked="0" layoutInCell="1" allowOverlap="1" wp14:anchorId="7911B4FE" wp14:editId="375970A8">
            <wp:simplePos x="0" y="0"/>
            <wp:positionH relativeFrom="page">
              <wp:posOffset>1297939</wp:posOffset>
            </wp:positionH>
            <wp:positionV relativeFrom="paragraph">
              <wp:posOffset>644778</wp:posOffset>
            </wp:positionV>
            <wp:extent cx="4706620" cy="2305685"/>
            <wp:effectExtent l="0" t="0" r="0" b="0"/>
            <wp:wrapNone/>
            <wp:docPr id="755" name="image4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 name="image444.jpeg"/>
                    <pic:cNvPicPr/>
                  </pic:nvPicPr>
                  <pic:blipFill>
                    <a:blip r:embed="rId555" cstate="print"/>
                    <a:stretch>
                      <a:fillRect/>
                    </a:stretch>
                  </pic:blipFill>
                  <pic:spPr>
                    <a:xfrm>
                      <a:off x="0" y="0"/>
                      <a:ext cx="4706620" cy="2305685"/>
                    </a:xfrm>
                    <a:prstGeom prst="rect">
                      <a:avLst/>
                    </a:prstGeom>
                  </pic:spPr>
                </pic:pic>
              </a:graphicData>
            </a:graphic>
          </wp:anchor>
        </w:drawing>
      </w:r>
      <w:r>
        <w:rPr>
          <w:spacing w:val="-3"/>
          <w:sz w:val="21"/>
        </w:rPr>
        <w:t>标准覆盖面积洒水喷头、扩大覆盖面积洒水喷头和家用喷头与不到顶隔墙的水平距离和垂直距离（</w:t>
      </w:r>
      <w:r>
        <w:rPr>
          <w:spacing w:val="-27"/>
          <w:sz w:val="21"/>
        </w:rPr>
        <w:t>图</w:t>
      </w:r>
      <w:r>
        <w:rPr>
          <w:spacing w:val="-27"/>
          <w:sz w:val="21"/>
        </w:rPr>
        <w:t xml:space="preserve"> </w:t>
      </w:r>
      <w:r>
        <w:rPr>
          <w:sz w:val="21"/>
        </w:rPr>
        <w:t>7.2.4</w:t>
      </w:r>
      <w:r>
        <w:rPr>
          <w:sz w:val="21"/>
        </w:rPr>
        <w:t>）</w:t>
      </w:r>
      <w:r>
        <w:rPr>
          <w:spacing w:val="-13"/>
          <w:sz w:val="21"/>
        </w:rPr>
        <w:t>应符合表</w:t>
      </w:r>
      <w:r>
        <w:rPr>
          <w:spacing w:val="-13"/>
          <w:sz w:val="21"/>
        </w:rPr>
        <w:t xml:space="preserve"> </w:t>
      </w:r>
      <w:r>
        <w:rPr>
          <w:sz w:val="21"/>
        </w:rPr>
        <w:t>7.2.4</w:t>
      </w:r>
      <w:r>
        <w:rPr>
          <w:spacing w:val="-3"/>
          <w:sz w:val="21"/>
        </w:rPr>
        <w:t xml:space="preserve"> </w:t>
      </w:r>
      <w:r>
        <w:rPr>
          <w:spacing w:val="-3"/>
          <w:sz w:val="21"/>
        </w:rPr>
        <w:t>的规定。</w:t>
      </w:r>
      <w:r>
        <w:rPr>
          <w:spacing w:val="-3"/>
          <w:sz w:val="21"/>
        </w:rPr>
        <w:t xml:space="preserve"> </w:t>
      </w:r>
    </w:p>
    <w:p w14:paraId="59B1238E" w14:textId="77777777" w:rsidR="00A71EEF" w:rsidRDefault="00A71EEF">
      <w:pPr>
        <w:pStyle w:val="a3"/>
        <w:rPr>
          <w:sz w:val="20"/>
        </w:rPr>
      </w:pPr>
    </w:p>
    <w:p w14:paraId="7BADD37A" w14:textId="77777777" w:rsidR="00A71EEF" w:rsidRDefault="00A71EEF">
      <w:pPr>
        <w:pStyle w:val="a3"/>
        <w:rPr>
          <w:sz w:val="20"/>
        </w:rPr>
      </w:pPr>
    </w:p>
    <w:p w14:paraId="5696E7CE" w14:textId="77777777" w:rsidR="00A71EEF" w:rsidRDefault="00A71EEF">
      <w:pPr>
        <w:pStyle w:val="a3"/>
        <w:rPr>
          <w:sz w:val="20"/>
        </w:rPr>
      </w:pPr>
    </w:p>
    <w:p w14:paraId="7647A6AB" w14:textId="77777777" w:rsidR="00A71EEF" w:rsidRDefault="00A71EEF">
      <w:pPr>
        <w:pStyle w:val="a3"/>
        <w:rPr>
          <w:sz w:val="20"/>
        </w:rPr>
      </w:pPr>
    </w:p>
    <w:p w14:paraId="35D1F059" w14:textId="77777777" w:rsidR="00A71EEF" w:rsidRDefault="00A71EEF">
      <w:pPr>
        <w:pStyle w:val="a3"/>
        <w:rPr>
          <w:sz w:val="20"/>
        </w:rPr>
      </w:pPr>
    </w:p>
    <w:p w14:paraId="51FE547B" w14:textId="77777777" w:rsidR="00A71EEF" w:rsidRDefault="00A71EEF">
      <w:pPr>
        <w:pStyle w:val="a3"/>
        <w:rPr>
          <w:sz w:val="20"/>
        </w:rPr>
      </w:pPr>
    </w:p>
    <w:p w14:paraId="24FBDDD5" w14:textId="77777777" w:rsidR="00A71EEF" w:rsidRDefault="00A71EEF">
      <w:pPr>
        <w:pStyle w:val="a3"/>
        <w:rPr>
          <w:sz w:val="20"/>
        </w:rPr>
      </w:pPr>
    </w:p>
    <w:p w14:paraId="6D7A047A" w14:textId="77777777" w:rsidR="00A71EEF" w:rsidRDefault="00A71EEF">
      <w:pPr>
        <w:pStyle w:val="a3"/>
        <w:rPr>
          <w:sz w:val="20"/>
        </w:rPr>
      </w:pPr>
    </w:p>
    <w:p w14:paraId="7D0A9CD3" w14:textId="77777777" w:rsidR="00A71EEF" w:rsidRDefault="00A71EEF">
      <w:pPr>
        <w:pStyle w:val="a3"/>
        <w:rPr>
          <w:sz w:val="20"/>
        </w:rPr>
      </w:pPr>
    </w:p>
    <w:p w14:paraId="1B2F490F" w14:textId="77777777" w:rsidR="00A71EEF" w:rsidRDefault="00A71EEF">
      <w:pPr>
        <w:pStyle w:val="a3"/>
        <w:rPr>
          <w:sz w:val="20"/>
        </w:rPr>
      </w:pPr>
    </w:p>
    <w:p w14:paraId="0012886A" w14:textId="77777777" w:rsidR="00A71EEF" w:rsidRDefault="00A71EEF">
      <w:pPr>
        <w:pStyle w:val="a3"/>
        <w:rPr>
          <w:sz w:val="20"/>
        </w:rPr>
      </w:pPr>
    </w:p>
    <w:p w14:paraId="6207F451" w14:textId="77777777" w:rsidR="00A71EEF" w:rsidRDefault="00A71EEF">
      <w:pPr>
        <w:pStyle w:val="a3"/>
        <w:rPr>
          <w:sz w:val="20"/>
        </w:rPr>
      </w:pPr>
    </w:p>
    <w:p w14:paraId="6634AEE7" w14:textId="77777777" w:rsidR="00A71EEF" w:rsidRDefault="00A71EEF">
      <w:pPr>
        <w:pStyle w:val="a3"/>
        <w:rPr>
          <w:sz w:val="20"/>
        </w:rPr>
      </w:pPr>
    </w:p>
    <w:p w14:paraId="0E26B57A" w14:textId="77777777" w:rsidR="00A71EEF" w:rsidRDefault="00A71EEF">
      <w:pPr>
        <w:pStyle w:val="a3"/>
        <w:rPr>
          <w:sz w:val="20"/>
        </w:rPr>
      </w:pPr>
    </w:p>
    <w:p w14:paraId="7E0CCFD3" w14:textId="77777777" w:rsidR="00A71EEF" w:rsidRDefault="00A71EEF">
      <w:pPr>
        <w:pStyle w:val="a3"/>
        <w:rPr>
          <w:sz w:val="20"/>
        </w:rPr>
      </w:pPr>
    </w:p>
    <w:p w14:paraId="4C8DCEEF" w14:textId="77777777" w:rsidR="00A71EEF" w:rsidRDefault="0081115D">
      <w:pPr>
        <w:pStyle w:val="a3"/>
        <w:rPr>
          <w:sz w:val="12"/>
        </w:rPr>
      </w:pPr>
      <w:r>
        <w:rPr>
          <w:noProof/>
        </w:rPr>
        <w:drawing>
          <wp:anchor distT="0" distB="0" distL="0" distR="0" simplePos="0" relativeHeight="251730432" behindDoc="0" locked="0" layoutInCell="1" allowOverlap="1" wp14:anchorId="7D43A496" wp14:editId="270DFA3E">
            <wp:simplePos x="0" y="0"/>
            <wp:positionH relativeFrom="page">
              <wp:posOffset>1362075</wp:posOffset>
            </wp:positionH>
            <wp:positionV relativeFrom="paragraph">
              <wp:posOffset>122769</wp:posOffset>
            </wp:positionV>
            <wp:extent cx="4638675" cy="1476375"/>
            <wp:effectExtent l="0" t="0" r="0" b="0"/>
            <wp:wrapTopAndBottom/>
            <wp:docPr id="757" name="image4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 name="image445.jpeg"/>
                    <pic:cNvPicPr/>
                  </pic:nvPicPr>
                  <pic:blipFill>
                    <a:blip r:embed="rId556" cstate="print"/>
                    <a:stretch>
                      <a:fillRect/>
                    </a:stretch>
                  </pic:blipFill>
                  <pic:spPr>
                    <a:xfrm>
                      <a:off x="0" y="0"/>
                      <a:ext cx="4638675" cy="1476375"/>
                    </a:xfrm>
                    <a:prstGeom prst="rect">
                      <a:avLst/>
                    </a:prstGeom>
                  </pic:spPr>
                </pic:pic>
              </a:graphicData>
            </a:graphic>
          </wp:anchor>
        </w:drawing>
      </w:r>
    </w:p>
    <w:p w14:paraId="77487545" w14:textId="77777777" w:rsidR="00A71EEF" w:rsidRDefault="0081115D">
      <w:pPr>
        <w:pStyle w:val="a4"/>
        <w:numPr>
          <w:ilvl w:val="2"/>
          <w:numId w:val="69"/>
        </w:numPr>
        <w:tabs>
          <w:tab w:val="left" w:pos="1633"/>
        </w:tabs>
        <w:spacing w:before="179"/>
        <w:ind w:left="1632" w:hanging="584"/>
        <w:jc w:val="left"/>
        <w:rPr>
          <w:sz w:val="21"/>
        </w:rPr>
      </w:pPr>
      <w:r>
        <w:rPr>
          <w:spacing w:val="-3"/>
          <w:sz w:val="21"/>
        </w:rPr>
        <w:t>直立型、下垂型喷头与靠墙障碍物的距离（</w:t>
      </w:r>
      <w:r>
        <w:rPr>
          <w:spacing w:val="-26"/>
          <w:sz w:val="21"/>
        </w:rPr>
        <w:t>图</w:t>
      </w:r>
      <w:r>
        <w:rPr>
          <w:spacing w:val="-26"/>
          <w:sz w:val="21"/>
        </w:rPr>
        <w:t xml:space="preserve"> </w:t>
      </w:r>
      <w:r>
        <w:rPr>
          <w:sz w:val="21"/>
        </w:rPr>
        <w:t>7.2.5</w:t>
      </w:r>
      <w:r>
        <w:rPr>
          <w:sz w:val="21"/>
        </w:rPr>
        <w:t>）</w:t>
      </w:r>
      <w:r>
        <w:rPr>
          <w:spacing w:val="-3"/>
          <w:sz w:val="21"/>
        </w:rPr>
        <w:t>应符合下列规定：</w:t>
      </w:r>
      <w:r>
        <w:rPr>
          <w:sz w:val="21"/>
        </w:rPr>
        <w:t xml:space="preserve"> </w:t>
      </w:r>
    </w:p>
    <w:p w14:paraId="31C7DF17" w14:textId="77777777" w:rsidR="00A71EEF" w:rsidRDefault="00A71EEF">
      <w:pPr>
        <w:pStyle w:val="a3"/>
        <w:rPr>
          <w:sz w:val="20"/>
        </w:rPr>
      </w:pPr>
    </w:p>
    <w:p w14:paraId="5BC6351E" w14:textId="77777777" w:rsidR="00A71EEF" w:rsidRDefault="00A71EEF">
      <w:pPr>
        <w:pStyle w:val="a3"/>
        <w:rPr>
          <w:sz w:val="20"/>
        </w:rPr>
      </w:pPr>
    </w:p>
    <w:p w14:paraId="5DF0AFD7" w14:textId="77777777" w:rsidR="00A71EEF" w:rsidRDefault="00A71EEF">
      <w:pPr>
        <w:pStyle w:val="a3"/>
        <w:spacing w:before="2"/>
        <w:rPr>
          <w:sz w:val="17"/>
        </w:rPr>
      </w:pPr>
    </w:p>
    <w:p w14:paraId="7596B32E" w14:textId="77777777" w:rsidR="00A71EEF" w:rsidRDefault="0081115D">
      <w:pPr>
        <w:pStyle w:val="a3"/>
        <w:ind w:left="1049"/>
      </w:pPr>
      <w:r>
        <w:t xml:space="preserve"> </w:t>
      </w:r>
    </w:p>
    <w:p w14:paraId="3164D104" w14:textId="77777777" w:rsidR="00A71EEF" w:rsidRDefault="00A71EEF">
      <w:pPr>
        <w:sectPr w:rsidR="00A71EEF">
          <w:footerReference w:type="default" r:id="rId557"/>
          <w:pgSz w:w="11910" w:h="16850"/>
          <w:pgMar w:top="1600" w:right="0" w:bottom="1760" w:left="1260" w:header="0" w:footer="1573" w:gutter="0"/>
          <w:pgNumType w:start="1594"/>
          <w:cols w:space="720"/>
        </w:sectPr>
      </w:pPr>
    </w:p>
    <w:p w14:paraId="03B3501D" w14:textId="77777777" w:rsidR="00A71EEF" w:rsidRDefault="00A71EEF">
      <w:pPr>
        <w:pStyle w:val="a3"/>
        <w:rPr>
          <w:sz w:val="20"/>
        </w:rPr>
      </w:pPr>
    </w:p>
    <w:p w14:paraId="11150ADB" w14:textId="77777777" w:rsidR="00A71EEF" w:rsidRDefault="00A71EEF">
      <w:pPr>
        <w:pStyle w:val="a3"/>
        <w:rPr>
          <w:sz w:val="20"/>
        </w:rPr>
      </w:pPr>
    </w:p>
    <w:p w14:paraId="6F4E2E60" w14:textId="77777777" w:rsidR="00A71EEF" w:rsidRDefault="00A71EEF">
      <w:pPr>
        <w:pStyle w:val="a3"/>
        <w:rPr>
          <w:sz w:val="20"/>
        </w:rPr>
      </w:pPr>
    </w:p>
    <w:p w14:paraId="25560945" w14:textId="77777777" w:rsidR="00A71EEF" w:rsidRDefault="00A71EEF">
      <w:pPr>
        <w:pStyle w:val="a3"/>
        <w:spacing w:before="2"/>
        <w:rPr>
          <w:sz w:val="16"/>
        </w:rPr>
      </w:pPr>
    </w:p>
    <w:p w14:paraId="70AE6139" w14:textId="77777777" w:rsidR="00A71EEF" w:rsidRDefault="0081115D">
      <w:pPr>
        <w:pStyle w:val="a3"/>
        <w:ind w:left="577"/>
        <w:rPr>
          <w:sz w:val="20"/>
        </w:rPr>
      </w:pPr>
      <w:r>
        <w:rPr>
          <w:noProof/>
          <w:sz w:val="20"/>
        </w:rPr>
        <w:drawing>
          <wp:inline distT="0" distB="0" distL="0" distR="0" wp14:anchorId="5E45D7CA" wp14:editId="38745439">
            <wp:extent cx="5216011" cy="2343150"/>
            <wp:effectExtent l="0" t="0" r="0" b="0"/>
            <wp:docPr id="759" name="image4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image446.jpeg"/>
                    <pic:cNvPicPr/>
                  </pic:nvPicPr>
                  <pic:blipFill>
                    <a:blip r:embed="rId558" cstate="print"/>
                    <a:stretch>
                      <a:fillRect/>
                    </a:stretch>
                  </pic:blipFill>
                  <pic:spPr>
                    <a:xfrm>
                      <a:off x="0" y="0"/>
                      <a:ext cx="5216011" cy="2343150"/>
                    </a:xfrm>
                    <a:prstGeom prst="rect">
                      <a:avLst/>
                    </a:prstGeom>
                  </pic:spPr>
                </pic:pic>
              </a:graphicData>
            </a:graphic>
          </wp:inline>
        </w:drawing>
      </w:r>
    </w:p>
    <w:p w14:paraId="6CD4BAA5" w14:textId="77777777" w:rsidR="00A71EEF" w:rsidRDefault="00A71EEF">
      <w:pPr>
        <w:pStyle w:val="a3"/>
        <w:spacing w:before="1"/>
        <w:rPr>
          <w:sz w:val="10"/>
        </w:rPr>
      </w:pPr>
    </w:p>
    <w:p w14:paraId="38093E5C" w14:textId="77777777" w:rsidR="00A71EEF" w:rsidRDefault="0081115D">
      <w:pPr>
        <w:pStyle w:val="a3"/>
        <w:spacing w:before="71"/>
        <w:ind w:left="838"/>
      </w:pPr>
      <w:r>
        <w:t>障碍物横截面边长小于</w:t>
      </w:r>
      <w:r>
        <w:t xml:space="preserve"> 750mm </w:t>
      </w:r>
      <w:r>
        <w:t>时，喷头与障碍物的距离应按下式确定：</w:t>
      </w:r>
      <w:r>
        <w:t xml:space="preserve"> </w:t>
      </w:r>
    </w:p>
    <w:p w14:paraId="55AA10FC" w14:textId="77777777" w:rsidR="00A71EEF" w:rsidRDefault="00A71EEF">
      <w:pPr>
        <w:pStyle w:val="a3"/>
        <w:rPr>
          <w:sz w:val="18"/>
        </w:rPr>
      </w:pPr>
    </w:p>
    <w:p w14:paraId="785A6AE9" w14:textId="77777777" w:rsidR="00A71EEF" w:rsidRDefault="0081115D">
      <w:pPr>
        <w:pStyle w:val="a3"/>
        <w:ind w:left="3185"/>
      </w:pPr>
      <w:r>
        <w:t>a≥</w:t>
      </w:r>
      <w:r>
        <w:t>（</w:t>
      </w:r>
      <w:r>
        <w:t>e</w:t>
      </w:r>
      <w:r>
        <w:t>－</w:t>
      </w:r>
      <w:r>
        <w:t>200</w:t>
      </w:r>
      <w:r>
        <w:t>）＋</w:t>
      </w:r>
      <w:r>
        <w:t>b</w:t>
      </w:r>
      <w:r>
        <w:rPr>
          <w:spacing w:val="101"/>
        </w:rPr>
        <w:t xml:space="preserve"> </w:t>
      </w:r>
      <w:r>
        <w:t>（</w:t>
      </w:r>
      <w:r>
        <w:t>7.2.5</w:t>
      </w:r>
      <w:r>
        <w:t>）</w:t>
      </w:r>
      <w:r>
        <w:t xml:space="preserve"> </w:t>
      </w:r>
    </w:p>
    <w:p w14:paraId="3FC464E8" w14:textId="77777777" w:rsidR="00A71EEF" w:rsidRDefault="00A71EEF">
      <w:pPr>
        <w:pStyle w:val="a3"/>
        <w:spacing w:before="12"/>
        <w:rPr>
          <w:sz w:val="17"/>
        </w:rPr>
      </w:pPr>
    </w:p>
    <w:p w14:paraId="6C5FE049" w14:textId="77777777" w:rsidR="00A71EEF" w:rsidRDefault="0081115D">
      <w:pPr>
        <w:pStyle w:val="a3"/>
        <w:ind w:left="838"/>
      </w:pPr>
      <w:r>
        <w:t>式中：</w:t>
      </w:r>
      <w:r>
        <w:t>a——</w:t>
      </w:r>
      <w:r>
        <w:t>喷头与障碍物的水平距离（</w:t>
      </w:r>
      <w:r>
        <w:t>mm</w:t>
      </w:r>
      <w:r>
        <w:t>）；</w:t>
      </w:r>
      <w:r>
        <w:t xml:space="preserve"> </w:t>
      </w:r>
    </w:p>
    <w:p w14:paraId="352C3FB7" w14:textId="77777777" w:rsidR="00A71EEF" w:rsidRDefault="00A71EEF">
      <w:pPr>
        <w:pStyle w:val="a3"/>
        <w:spacing w:before="2"/>
        <w:rPr>
          <w:sz w:val="18"/>
        </w:rPr>
      </w:pPr>
    </w:p>
    <w:p w14:paraId="7D95183B" w14:textId="77777777" w:rsidR="00A71EEF" w:rsidRDefault="0081115D">
      <w:pPr>
        <w:pStyle w:val="a3"/>
        <w:spacing w:before="1" w:line="446" w:lineRule="auto"/>
        <w:ind w:left="838" w:right="4345"/>
      </w:pPr>
      <w:r>
        <w:t xml:space="preserve"> </w:t>
      </w:r>
      <w:r>
        <w:t xml:space="preserve"> </w:t>
      </w:r>
      <w:r>
        <w:t xml:space="preserve">    </w:t>
      </w:r>
      <w:r>
        <w:t>b——</w:t>
      </w:r>
      <w:r>
        <w:t>喷头溅水盘与障碍物底面的垂直距离（</w:t>
      </w:r>
      <w:r>
        <w:t>mm</w:t>
      </w:r>
      <w:r>
        <w:t>）；</w:t>
      </w:r>
      <w:r>
        <w:t xml:space="preserve"> e——</w:t>
      </w:r>
      <w:r>
        <w:t>障碍物横截面的边长（</w:t>
      </w:r>
      <w:r>
        <w:t>mm</w:t>
      </w:r>
      <w:r>
        <w:t>），</w:t>
      </w:r>
      <w:r>
        <w:t>e</w:t>
      </w:r>
      <w:r>
        <w:t>＜</w:t>
      </w:r>
      <w:r>
        <w:t>750</w:t>
      </w:r>
      <w:r>
        <w:t>。</w:t>
      </w:r>
      <w:r>
        <w:t xml:space="preserve"> </w:t>
      </w:r>
    </w:p>
    <w:p w14:paraId="5BCF9DF2" w14:textId="77777777" w:rsidR="00A71EEF" w:rsidRDefault="0081115D">
      <w:pPr>
        <w:pStyle w:val="a3"/>
        <w:spacing w:line="446" w:lineRule="auto"/>
        <w:ind w:left="418" w:right="1505" w:firstLine="419"/>
        <w:jc w:val="both"/>
      </w:pPr>
      <w:r>
        <w:t xml:space="preserve"> </w:t>
      </w:r>
      <w:r>
        <w:rPr>
          <w:spacing w:val="-7"/>
        </w:rPr>
        <w:t>障碍物横截面边长等于或大于</w:t>
      </w:r>
      <w:r>
        <w:rPr>
          <w:spacing w:val="-7"/>
        </w:rPr>
        <w:t xml:space="preserve"> </w:t>
      </w:r>
      <w:r>
        <w:t>750mm</w:t>
      </w:r>
      <w:r>
        <w:rPr>
          <w:spacing w:val="-33"/>
        </w:rPr>
        <w:t xml:space="preserve"> </w:t>
      </w:r>
      <w:r>
        <w:rPr>
          <w:spacing w:val="-33"/>
        </w:rPr>
        <w:t>或</w:t>
      </w:r>
      <w:r>
        <w:rPr>
          <w:spacing w:val="-33"/>
        </w:rPr>
        <w:t xml:space="preserve"> </w:t>
      </w:r>
      <w:r>
        <w:t>a</w:t>
      </w:r>
      <w:r>
        <w:rPr>
          <w:spacing w:val="-12"/>
        </w:rPr>
        <w:t xml:space="preserve"> </w:t>
      </w:r>
      <w:r>
        <w:rPr>
          <w:spacing w:val="-12"/>
        </w:rPr>
        <w:t>的计算值大于本规范表</w:t>
      </w:r>
      <w:r>
        <w:rPr>
          <w:spacing w:val="-12"/>
        </w:rPr>
        <w:t xml:space="preserve"> </w:t>
      </w:r>
      <w:r>
        <w:t>7.1.2</w:t>
      </w:r>
      <w:r>
        <w:rPr>
          <w:spacing w:val="-9"/>
        </w:rPr>
        <w:t xml:space="preserve"> </w:t>
      </w:r>
      <w:r>
        <w:rPr>
          <w:spacing w:val="-9"/>
        </w:rPr>
        <w:t>中喷头与端墙距离</w:t>
      </w:r>
      <w:r>
        <w:rPr>
          <w:spacing w:val="-5"/>
        </w:rPr>
        <w:t>的规定时，应在靠墙障碍物下增设喷头。</w:t>
      </w:r>
      <w:r>
        <w:t xml:space="preserve"> </w:t>
      </w:r>
    </w:p>
    <w:p w14:paraId="46EB3956" w14:textId="77777777" w:rsidR="00A71EEF" w:rsidRDefault="0081115D">
      <w:pPr>
        <w:pStyle w:val="a4"/>
        <w:numPr>
          <w:ilvl w:val="2"/>
          <w:numId w:val="69"/>
        </w:numPr>
        <w:tabs>
          <w:tab w:val="left" w:pos="1422"/>
        </w:tabs>
        <w:spacing w:line="446" w:lineRule="auto"/>
        <w:ind w:left="418" w:right="1555" w:firstLine="419"/>
        <w:jc w:val="both"/>
        <w:rPr>
          <w:sz w:val="21"/>
        </w:rPr>
      </w:pPr>
      <w:r>
        <w:rPr>
          <w:noProof/>
        </w:rPr>
        <w:drawing>
          <wp:anchor distT="0" distB="0" distL="0" distR="0" simplePos="0" relativeHeight="251731456" behindDoc="0" locked="0" layoutInCell="1" allowOverlap="1" wp14:anchorId="61CFE180" wp14:editId="7F0AE0AF">
            <wp:simplePos x="0" y="0"/>
            <wp:positionH relativeFrom="page">
              <wp:posOffset>1217930</wp:posOffset>
            </wp:positionH>
            <wp:positionV relativeFrom="paragraph">
              <wp:posOffset>999871</wp:posOffset>
            </wp:positionV>
            <wp:extent cx="4886169" cy="1970817"/>
            <wp:effectExtent l="0" t="0" r="0" b="0"/>
            <wp:wrapTopAndBottom/>
            <wp:docPr id="761" name="image4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 name="image447.jpeg"/>
                    <pic:cNvPicPr/>
                  </pic:nvPicPr>
                  <pic:blipFill>
                    <a:blip r:embed="rId559" cstate="print"/>
                    <a:stretch>
                      <a:fillRect/>
                    </a:stretch>
                  </pic:blipFill>
                  <pic:spPr>
                    <a:xfrm>
                      <a:off x="0" y="0"/>
                      <a:ext cx="4886169" cy="1970817"/>
                    </a:xfrm>
                    <a:prstGeom prst="rect">
                      <a:avLst/>
                    </a:prstGeom>
                  </pic:spPr>
                </pic:pic>
              </a:graphicData>
            </a:graphic>
          </wp:anchor>
        </w:drawing>
      </w:r>
      <w:r>
        <w:rPr>
          <w:spacing w:val="-5"/>
          <w:sz w:val="21"/>
        </w:rPr>
        <w:t>边墙型标准覆盖面积洒水喷头正前方</w:t>
      </w:r>
      <w:r>
        <w:rPr>
          <w:spacing w:val="-5"/>
          <w:sz w:val="21"/>
        </w:rPr>
        <w:t xml:space="preserve"> </w:t>
      </w:r>
      <w:r>
        <w:rPr>
          <w:sz w:val="21"/>
        </w:rPr>
        <w:t>1.2m</w:t>
      </w:r>
      <w:r>
        <w:rPr>
          <w:spacing w:val="-8"/>
          <w:sz w:val="21"/>
        </w:rPr>
        <w:t xml:space="preserve"> </w:t>
      </w:r>
      <w:r>
        <w:rPr>
          <w:spacing w:val="-8"/>
          <w:sz w:val="21"/>
        </w:rPr>
        <w:t>范围内，边墙型扩大覆盖面积洒水喷头和</w:t>
      </w:r>
      <w:r>
        <w:rPr>
          <w:spacing w:val="-9"/>
          <w:sz w:val="21"/>
        </w:rPr>
        <w:t>边墙型家用喷头正前方</w:t>
      </w:r>
      <w:r>
        <w:rPr>
          <w:spacing w:val="-9"/>
          <w:sz w:val="21"/>
        </w:rPr>
        <w:t xml:space="preserve"> </w:t>
      </w:r>
      <w:r>
        <w:rPr>
          <w:sz w:val="21"/>
        </w:rPr>
        <w:t>2.4m</w:t>
      </w:r>
      <w:r>
        <w:rPr>
          <w:spacing w:val="-16"/>
          <w:sz w:val="21"/>
        </w:rPr>
        <w:t xml:space="preserve"> </w:t>
      </w:r>
      <w:r>
        <w:rPr>
          <w:spacing w:val="-16"/>
          <w:sz w:val="21"/>
        </w:rPr>
        <w:t>范围</w:t>
      </w:r>
      <w:r>
        <w:rPr>
          <w:spacing w:val="-3"/>
          <w:sz w:val="21"/>
        </w:rPr>
        <w:t>（</w:t>
      </w:r>
      <w:r>
        <w:rPr>
          <w:spacing w:val="-22"/>
          <w:sz w:val="21"/>
        </w:rPr>
        <w:t>图</w:t>
      </w:r>
      <w:r>
        <w:rPr>
          <w:spacing w:val="-22"/>
          <w:sz w:val="21"/>
        </w:rPr>
        <w:t xml:space="preserve"> </w:t>
      </w:r>
      <w:r>
        <w:rPr>
          <w:sz w:val="21"/>
        </w:rPr>
        <w:t>7.2.6</w:t>
      </w:r>
      <w:r>
        <w:rPr>
          <w:sz w:val="21"/>
        </w:rPr>
        <w:t>）</w:t>
      </w:r>
      <w:r>
        <w:rPr>
          <w:spacing w:val="-3"/>
          <w:sz w:val="21"/>
        </w:rPr>
        <w:t>内，顶板或吊顶下不应有阻挡喷水的障碍物，其</w:t>
      </w:r>
      <w:r>
        <w:rPr>
          <w:spacing w:val="-9"/>
          <w:sz w:val="21"/>
        </w:rPr>
        <w:t>布置要求应符合表</w:t>
      </w:r>
      <w:r>
        <w:rPr>
          <w:spacing w:val="-9"/>
          <w:sz w:val="21"/>
        </w:rPr>
        <w:t xml:space="preserve"> </w:t>
      </w:r>
      <w:r>
        <w:rPr>
          <w:sz w:val="21"/>
        </w:rPr>
        <w:t>7.2.6-1</w:t>
      </w:r>
      <w:r>
        <w:rPr>
          <w:spacing w:val="-28"/>
          <w:sz w:val="21"/>
        </w:rPr>
        <w:t xml:space="preserve"> </w:t>
      </w:r>
      <w:r>
        <w:rPr>
          <w:spacing w:val="-28"/>
          <w:sz w:val="21"/>
        </w:rPr>
        <w:t>和表</w:t>
      </w:r>
      <w:r>
        <w:rPr>
          <w:spacing w:val="-28"/>
          <w:sz w:val="21"/>
        </w:rPr>
        <w:t xml:space="preserve"> </w:t>
      </w:r>
      <w:r>
        <w:rPr>
          <w:sz w:val="21"/>
        </w:rPr>
        <w:t>7.2.6-2</w:t>
      </w:r>
      <w:r>
        <w:rPr>
          <w:spacing w:val="-13"/>
          <w:sz w:val="21"/>
        </w:rPr>
        <w:t xml:space="preserve"> </w:t>
      </w:r>
      <w:r>
        <w:rPr>
          <w:spacing w:val="-13"/>
          <w:sz w:val="21"/>
        </w:rPr>
        <w:t>的规定。</w:t>
      </w:r>
      <w:r>
        <w:rPr>
          <w:sz w:val="21"/>
        </w:rPr>
        <w:t xml:space="preserve"> </w:t>
      </w:r>
    </w:p>
    <w:p w14:paraId="49036BB6" w14:textId="77777777" w:rsidR="00A71EEF" w:rsidRDefault="00A71EEF">
      <w:pPr>
        <w:spacing w:line="446" w:lineRule="auto"/>
        <w:jc w:val="both"/>
        <w:rPr>
          <w:sz w:val="21"/>
        </w:rPr>
        <w:sectPr w:rsidR="00A71EEF">
          <w:pgSz w:w="11910" w:h="16850"/>
          <w:pgMar w:top="1600" w:right="0" w:bottom="1940" w:left="1260" w:header="0" w:footer="1573" w:gutter="0"/>
          <w:cols w:space="720"/>
        </w:sectPr>
      </w:pPr>
    </w:p>
    <w:p w14:paraId="23480C4C" w14:textId="77777777" w:rsidR="00A71EEF" w:rsidRDefault="0081115D">
      <w:pPr>
        <w:pStyle w:val="a3"/>
        <w:ind w:left="440"/>
        <w:rPr>
          <w:sz w:val="20"/>
        </w:rPr>
      </w:pPr>
      <w:r>
        <w:rPr>
          <w:noProof/>
          <w:sz w:val="20"/>
        </w:rPr>
        <w:drawing>
          <wp:inline distT="0" distB="0" distL="0" distR="0" wp14:anchorId="5F5A9D12" wp14:editId="3248B35A">
            <wp:extent cx="4939030" cy="1866900"/>
            <wp:effectExtent l="0" t="0" r="0" b="0"/>
            <wp:docPr id="763" name="image4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 name="image448.jpeg"/>
                    <pic:cNvPicPr/>
                  </pic:nvPicPr>
                  <pic:blipFill>
                    <a:blip r:embed="rId560" cstate="print"/>
                    <a:stretch>
                      <a:fillRect/>
                    </a:stretch>
                  </pic:blipFill>
                  <pic:spPr>
                    <a:xfrm>
                      <a:off x="0" y="0"/>
                      <a:ext cx="4939030" cy="1866900"/>
                    </a:xfrm>
                    <a:prstGeom prst="rect">
                      <a:avLst/>
                    </a:prstGeom>
                  </pic:spPr>
                </pic:pic>
              </a:graphicData>
            </a:graphic>
          </wp:inline>
        </w:drawing>
      </w:r>
    </w:p>
    <w:p w14:paraId="1E0C77A8" w14:textId="77777777" w:rsidR="00A71EEF" w:rsidRDefault="00A71EEF">
      <w:pPr>
        <w:pStyle w:val="a3"/>
        <w:rPr>
          <w:sz w:val="20"/>
        </w:rPr>
      </w:pPr>
    </w:p>
    <w:p w14:paraId="5F573CC6" w14:textId="77777777" w:rsidR="00A71EEF" w:rsidRDefault="00A71EEF">
      <w:pPr>
        <w:pStyle w:val="a3"/>
        <w:rPr>
          <w:sz w:val="20"/>
        </w:rPr>
      </w:pPr>
    </w:p>
    <w:p w14:paraId="30C3627B" w14:textId="77777777" w:rsidR="00A71EEF" w:rsidRDefault="00A71EEF">
      <w:pPr>
        <w:pStyle w:val="a3"/>
        <w:rPr>
          <w:sz w:val="20"/>
        </w:rPr>
      </w:pPr>
    </w:p>
    <w:p w14:paraId="52A5C766" w14:textId="77777777" w:rsidR="00A71EEF" w:rsidRDefault="00A71EEF">
      <w:pPr>
        <w:pStyle w:val="a3"/>
        <w:rPr>
          <w:sz w:val="20"/>
        </w:rPr>
      </w:pPr>
    </w:p>
    <w:p w14:paraId="3CDF6F2B" w14:textId="77777777" w:rsidR="00A71EEF" w:rsidRDefault="00A71EEF">
      <w:pPr>
        <w:pStyle w:val="a3"/>
        <w:rPr>
          <w:sz w:val="20"/>
        </w:rPr>
      </w:pPr>
    </w:p>
    <w:p w14:paraId="62B899AA" w14:textId="77777777" w:rsidR="00A71EEF" w:rsidRDefault="00A71EEF">
      <w:pPr>
        <w:pStyle w:val="a3"/>
        <w:rPr>
          <w:sz w:val="20"/>
        </w:rPr>
      </w:pPr>
    </w:p>
    <w:p w14:paraId="5EEBEED0" w14:textId="77777777" w:rsidR="00A71EEF" w:rsidRDefault="00A71EEF">
      <w:pPr>
        <w:pStyle w:val="a3"/>
        <w:rPr>
          <w:sz w:val="20"/>
        </w:rPr>
      </w:pPr>
    </w:p>
    <w:p w14:paraId="1C359C86" w14:textId="77777777" w:rsidR="00A71EEF" w:rsidRDefault="00A71EEF">
      <w:pPr>
        <w:pStyle w:val="a3"/>
        <w:spacing w:before="2"/>
        <w:rPr>
          <w:sz w:val="25"/>
        </w:rPr>
      </w:pPr>
    </w:p>
    <w:p w14:paraId="4FC276ED" w14:textId="77777777" w:rsidR="00A71EEF" w:rsidRDefault="0081115D">
      <w:pPr>
        <w:pStyle w:val="a4"/>
        <w:numPr>
          <w:ilvl w:val="2"/>
          <w:numId w:val="69"/>
        </w:numPr>
        <w:tabs>
          <w:tab w:val="left" w:pos="1369"/>
        </w:tabs>
        <w:spacing w:before="71" w:line="446" w:lineRule="auto"/>
        <w:ind w:left="418" w:right="1433" w:firstLine="419"/>
        <w:jc w:val="left"/>
        <w:rPr>
          <w:sz w:val="19"/>
        </w:rPr>
      </w:pPr>
      <w:r>
        <w:pict w14:anchorId="2A15482E">
          <v:group id="_x0000_s1066" style="position:absolute;left:0;text-align:left;margin-left:102.65pt;margin-top:47.35pt;width:384.75pt;height:283.85pt;z-index:-251514368;mso-position-horizontal-relative:page" coordorigin="2053,947" coordsize="7695,5677">
            <v:shape id="_x0000_s1068" type="#_x0000_t75" style="position:absolute;left:2053;top:2769;width:7695;height:3855">
              <v:imagedata r:id="rId561" o:title=""/>
            </v:shape>
            <v:shape id="_x0000_s1067" type="#_x0000_t75" style="position:absolute;left:2289;top:947;width:7326;height:4049">
              <v:imagedata r:id="rId562" o:title=""/>
            </v:shape>
            <w10:wrap anchorx="page"/>
          </v:group>
        </w:pict>
      </w:r>
      <w:r>
        <w:rPr>
          <w:spacing w:val="-3"/>
          <w:sz w:val="21"/>
        </w:rPr>
        <w:t>边墙型洒水喷头两侧与顶板或吊顶下梁、通风管道等障碍物的距离（</w:t>
      </w:r>
      <w:r>
        <w:rPr>
          <w:spacing w:val="-22"/>
          <w:sz w:val="21"/>
        </w:rPr>
        <w:t>图</w:t>
      </w:r>
      <w:r>
        <w:rPr>
          <w:spacing w:val="-22"/>
          <w:sz w:val="21"/>
        </w:rPr>
        <w:t xml:space="preserve"> </w:t>
      </w:r>
      <w:r>
        <w:rPr>
          <w:sz w:val="21"/>
        </w:rPr>
        <w:t>7.2.7</w:t>
      </w:r>
      <w:r>
        <w:rPr>
          <w:sz w:val="21"/>
        </w:rPr>
        <w:t>），</w:t>
      </w:r>
      <w:r>
        <w:rPr>
          <w:spacing w:val="-3"/>
          <w:sz w:val="21"/>
        </w:rPr>
        <w:t>应</w:t>
      </w:r>
      <w:r>
        <w:rPr>
          <w:spacing w:val="-15"/>
          <w:sz w:val="21"/>
        </w:rPr>
        <w:t>符合表</w:t>
      </w:r>
      <w:r>
        <w:rPr>
          <w:spacing w:val="-15"/>
          <w:sz w:val="21"/>
        </w:rPr>
        <w:t xml:space="preserve"> </w:t>
      </w:r>
      <w:r>
        <w:rPr>
          <w:sz w:val="21"/>
        </w:rPr>
        <w:t>7.2.7-1</w:t>
      </w:r>
      <w:r>
        <w:rPr>
          <w:spacing w:val="-29"/>
          <w:sz w:val="21"/>
        </w:rPr>
        <w:t xml:space="preserve"> </w:t>
      </w:r>
      <w:r>
        <w:rPr>
          <w:spacing w:val="-29"/>
          <w:sz w:val="21"/>
        </w:rPr>
        <w:t>和表</w:t>
      </w:r>
      <w:r>
        <w:rPr>
          <w:spacing w:val="-29"/>
          <w:sz w:val="21"/>
        </w:rPr>
        <w:t xml:space="preserve"> </w:t>
      </w:r>
      <w:r>
        <w:rPr>
          <w:sz w:val="21"/>
        </w:rPr>
        <w:t>7.2.7-2</w:t>
      </w:r>
      <w:r>
        <w:rPr>
          <w:spacing w:val="-13"/>
          <w:sz w:val="21"/>
        </w:rPr>
        <w:t xml:space="preserve"> </w:t>
      </w:r>
      <w:r>
        <w:rPr>
          <w:spacing w:val="-13"/>
          <w:sz w:val="21"/>
        </w:rPr>
        <w:t>的规定。</w:t>
      </w:r>
      <w:r>
        <w:rPr>
          <w:sz w:val="21"/>
        </w:rPr>
        <w:t xml:space="preserve"> </w:t>
      </w:r>
    </w:p>
    <w:p w14:paraId="72594F6A" w14:textId="77777777" w:rsidR="00A71EEF" w:rsidRDefault="00A71EEF">
      <w:pPr>
        <w:pStyle w:val="a3"/>
        <w:rPr>
          <w:sz w:val="20"/>
        </w:rPr>
      </w:pPr>
    </w:p>
    <w:p w14:paraId="6748963C" w14:textId="77777777" w:rsidR="00A71EEF" w:rsidRDefault="00A71EEF">
      <w:pPr>
        <w:pStyle w:val="a3"/>
        <w:rPr>
          <w:sz w:val="20"/>
        </w:rPr>
      </w:pPr>
    </w:p>
    <w:p w14:paraId="66B85808" w14:textId="77777777" w:rsidR="00A71EEF" w:rsidRDefault="00A71EEF">
      <w:pPr>
        <w:pStyle w:val="a3"/>
        <w:rPr>
          <w:sz w:val="20"/>
        </w:rPr>
      </w:pPr>
    </w:p>
    <w:p w14:paraId="49161BBF" w14:textId="77777777" w:rsidR="00A71EEF" w:rsidRDefault="00A71EEF">
      <w:pPr>
        <w:pStyle w:val="a3"/>
        <w:rPr>
          <w:sz w:val="20"/>
        </w:rPr>
      </w:pPr>
    </w:p>
    <w:p w14:paraId="70335D5A" w14:textId="77777777" w:rsidR="00A71EEF" w:rsidRDefault="00A71EEF">
      <w:pPr>
        <w:pStyle w:val="a3"/>
        <w:rPr>
          <w:sz w:val="20"/>
        </w:rPr>
      </w:pPr>
    </w:p>
    <w:p w14:paraId="7D914645" w14:textId="77777777" w:rsidR="00A71EEF" w:rsidRDefault="00A71EEF">
      <w:pPr>
        <w:pStyle w:val="a3"/>
        <w:rPr>
          <w:sz w:val="20"/>
        </w:rPr>
      </w:pPr>
    </w:p>
    <w:p w14:paraId="4941B994" w14:textId="77777777" w:rsidR="00A71EEF" w:rsidRDefault="00A71EEF">
      <w:pPr>
        <w:pStyle w:val="a3"/>
        <w:rPr>
          <w:sz w:val="20"/>
        </w:rPr>
      </w:pPr>
    </w:p>
    <w:p w14:paraId="79794DFC" w14:textId="77777777" w:rsidR="00A71EEF" w:rsidRDefault="00A71EEF">
      <w:pPr>
        <w:pStyle w:val="a3"/>
        <w:rPr>
          <w:sz w:val="20"/>
        </w:rPr>
      </w:pPr>
    </w:p>
    <w:p w14:paraId="3DB1B9FA" w14:textId="77777777" w:rsidR="00A71EEF" w:rsidRDefault="00A71EEF">
      <w:pPr>
        <w:pStyle w:val="a3"/>
        <w:rPr>
          <w:sz w:val="20"/>
        </w:rPr>
      </w:pPr>
    </w:p>
    <w:p w14:paraId="6638885B" w14:textId="77777777" w:rsidR="00A71EEF" w:rsidRDefault="00A71EEF">
      <w:pPr>
        <w:pStyle w:val="a3"/>
        <w:rPr>
          <w:sz w:val="20"/>
        </w:rPr>
      </w:pPr>
    </w:p>
    <w:p w14:paraId="21D3F16A" w14:textId="77777777" w:rsidR="00A71EEF" w:rsidRDefault="00A71EEF">
      <w:pPr>
        <w:pStyle w:val="a3"/>
        <w:rPr>
          <w:sz w:val="20"/>
        </w:rPr>
      </w:pPr>
    </w:p>
    <w:p w14:paraId="5AE127A1" w14:textId="77777777" w:rsidR="00A71EEF" w:rsidRDefault="00A71EEF">
      <w:pPr>
        <w:pStyle w:val="a3"/>
        <w:rPr>
          <w:sz w:val="20"/>
        </w:rPr>
      </w:pPr>
    </w:p>
    <w:p w14:paraId="0ABA2734" w14:textId="77777777" w:rsidR="00A71EEF" w:rsidRDefault="00A71EEF">
      <w:pPr>
        <w:pStyle w:val="a3"/>
        <w:rPr>
          <w:sz w:val="20"/>
        </w:rPr>
      </w:pPr>
    </w:p>
    <w:p w14:paraId="227EB5F5" w14:textId="77777777" w:rsidR="00A71EEF" w:rsidRDefault="00A71EEF">
      <w:pPr>
        <w:pStyle w:val="a3"/>
        <w:rPr>
          <w:sz w:val="20"/>
        </w:rPr>
      </w:pPr>
    </w:p>
    <w:p w14:paraId="72173717" w14:textId="77777777" w:rsidR="00A71EEF" w:rsidRDefault="00A71EEF">
      <w:pPr>
        <w:pStyle w:val="a3"/>
        <w:rPr>
          <w:sz w:val="20"/>
        </w:rPr>
      </w:pPr>
    </w:p>
    <w:p w14:paraId="7FA96B4E" w14:textId="77777777" w:rsidR="00A71EEF" w:rsidRDefault="00A71EEF">
      <w:pPr>
        <w:pStyle w:val="a3"/>
        <w:rPr>
          <w:sz w:val="20"/>
        </w:rPr>
      </w:pPr>
    </w:p>
    <w:p w14:paraId="21869C94" w14:textId="77777777" w:rsidR="00A71EEF" w:rsidRDefault="00A71EEF">
      <w:pPr>
        <w:pStyle w:val="a3"/>
        <w:rPr>
          <w:sz w:val="20"/>
        </w:rPr>
      </w:pPr>
    </w:p>
    <w:p w14:paraId="44319C60" w14:textId="77777777" w:rsidR="00A71EEF" w:rsidRDefault="00A71EEF">
      <w:pPr>
        <w:pStyle w:val="a3"/>
        <w:rPr>
          <w:sz w:val="20"/>
        </w:rPr>
      </w:pPr>
    </w:p>
    <w:p w14:paraId="3E48FB12" w14:textId="77777777" w:rsidR="00A71EEF" w:rsidRDefault="00A71EEF">
      <w:pPr>
        <w:pStyle w:val="a3"/>
        <w:rPr>
          <w:sz w:val="20"/>
        </w:rPr>
      </w:pPr>
    </w:p>
    <w:p w14:paraId="10D4C678" w14:textId="77777777" w:rsidR="00A71EEF" w:rsidRDefault="00A71EEF">
      <w:pPr>
        <w:pStyle w:val="a3"/>
        <w:rPr>
          <w:sz w:val="20"/>
        </w:rPr>
      </w:pPr>
    </w:p>
    <w:p w14:paraId="4DCEB6C5" w14:textId="77777777" w:rsidR="00A71EEF" w:rsidRDefault="00A71EEF">
      <w:pPr>
        <w:pStyle w:val="a3"/>
        <w:rPr>
          <w:sz w:val="20"/>
        </w:rPr>
      </w:pPr>
    </w:p>
    <w:p w14:paraId="0E4680DB" w14:textId="77777777" w:rsidR="00A71EEF" w:rsidRDefault="00A71EEF">
      <w:pPr>
        <w:pStyle w:val="a3"/>
        <w:rPr>
          <w:sz w:val="20"/>
        </w:rPr>
      </w:pPr>
    </w:p>
    <w:p w14:paraId="41CA0A81" w14:textId="77777777" w:rsidR="00A71EEF" w:rsidRDefault="00A71EEF">
      <w:pPr>
        <w:pStyle w:val="a3"/>
        <w:rPr>
          <w:sz w:val="20"/>
        </w:rPr>
      </w:pPr>
    </w:p>
    <w:p w14:paraId="7F01D27F" w14:textId="77777777" w:rsidR="00A71EEF" w:rsidRDefault="00A71EEF">
      <w:pPr>
        <w:pStyle w:val="a3"/>
        <w:rPr>
          <w:sz w:val="20"/>
        </w:rPr>
      </w:pPr>
    </w:p>
    <w:p w14:paraId="03F557F6" w14:textId="77777777" w:rsidR="00A71EEF" w:rsidRDefault="00A71EEF">
      <w:pPr>
        <w:pStyle w:val="a3"/>
        <w:rPr>
          <w:sz w:val="20"/>
        </w:rPr>
      </w:pPr>
    </w:p>
    <w:p w14:paraId="763C3BBA" w14:textId="77777777" w:rsidR="00A71EEF" w:rsidRDefault="00A71EEF">
      <w:pPr>
        <w:pStyle w:val="a3"/>
        <w:rPr>
          <w:sz w:val="22"/>
        </w:rPr>
      </w:pPr>
    </w:p>
    <w:p w14:paraId="7FCC33B8" w14:textId="77777777" w:rsidR="00A71EEF" w:rsidRDefault="0081115D">
      <w:pPr>
        <w:pStyle w:val="a3"/>
        <w:spacing w:before="72"/>
        <w:ind w:left="418"/>
      </w:pPr>
      <w:r>
        <w:t xml:space="preserve"> </w:t>
      </w:r>
    </w:p>
    <w:p w14:paraId="57E92270" w14:textId="77777777" w:rsidR="00A71EEF" w:rsidRDefault="00A71EEF">
      <w:pPr>
        <w:sectPr w:rsidR="00A71EEF">
          <w:footerReference w:type="default" r:id="rId563"/>
          <w:pgSz w:w="11910" w:h="16850"/>
          <w:pgMar w:top="1080" w:right="0" w:bottom="1420" w:left="1260" w:header="0" w:footer="1239" w:gutter="0"/>
          <w:pgNumType w:start="1596"/>
          <w:cols w:space="720"/>
        </w:sectPr>
      </w:pPr>
    </w:p>
    <w:p w14:paraId="25DB01A0" w14:textId="77777777" w:rsidR="00A71EEF" w:rsidRDefault="0081115D">
      <w:pPr>
        <w:pStyle w:val="a3"/>
        <w:ind w:left="285"/>
        <w:rPr>
          <w:sz w:val="20"/>
        </w:rPr>
      </w:pPr>
      <w:r>
        <w:rPr>
          <w:noProof/>
          <w:sz w:val="20"/>
        </w:rPr>
        <w:drawing>
          <wp:inline distT="0" distB="0" distL="0" distR="0" wp14:anchorId="0D7EE74D" wp14:editId="587C3F9A">
            <wp:extent cx="4957215" cy="2057400"/>
            <wp:effectExtent l="0" t="0" r="0" b="0"/>
            <wp:docPr id="765" name="image4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 name="image451.jpeg"/>
                    <pic:cNvPicPr/>
                  </pic:nvPicPr>
                  <pic:blipFill>
                    <a:blip r:embed="rId564" cstate="print"/>
                    <a:stretch>
                      <a:fillRect/>
                    </a:stretch>
                  </pic:blipFill>
                  <pic:spPr>
                    <a:xfrm>
                      <a:off x="0" y="0"/>
                      <a:ext cx="4957215" cy="2057400"/>
                    </a:xfrm>
                    <a:prstGeom prst="rect">
                      <a:avLst/>
                    </a:prstGeom>
                  </pic:spPr>
                </pic:pic>
              </a:graphicData>
            </a:graphic>
          </wp:inline>
        </w:drawing>
      </w:r>
    </w:p>
    <w:p w14:paraId="5DDA0FEB" w14:textId="77777777" w:rsidR="00A71EEF" w:rsidRDefault="00A71EEF">
      <w:pPr>
        <w:pStyle w:val="a3"/>
        <w:rPr>
          <w:sz w:val="20"/>
        </w:rPr>
      </w:pPr>
    </w:p>
    <w:p w14:paraId="11A19E70" w14:textId="77777777" w:rsidR="00A71EEF" w:rsidRDefault="00A71EEF">
      <w:pPr>
        <w:pStyle w:val="a3"/>
        <w:rPr>
          <w:sz w:val="20"/>
        </w:rPr>
      </w:pPr>
    </w:p>
    <w:p w14:paraId="0047F007" w14:textId="77777777" w:rsidR="00A71EEF" w:rsidRDefault="00A71EEF">
      <w:pPr>
        <w:pStyle w:val="a3"/>
        <w:rPr>
          <w:sz w:val="20"/>
        </w:rPr>
      </w:pPr>
    </w:p>
    <w:p w14:paraId="62CFFF01" w14:textId="77777777" w:rsidR="00A71EEF" w:rsidRDefault="00A71EEF">
      <w:pPr>
        <w:pStyle w:val="a3"/>
        <w:rPr>
          <w:sz w:val="20"/>
        </w:rPr>
      </w:pPr>
    </w:p>
    <w:p w14:paraId="6076A79F" w14:textId="77777777" w:rsidR="00A71EEF" w:rsidRDefault="00A71EEF">
      <w:pPr>
        <w:pStyle w:val="a3"/>
        <w:rPr>
          <w:sz w:val="20"/>
        </w:rPr>
      </w:pPr>
    </w:p>
    <w:p w14:paraId="43097A52" w14:textId="77777777" w:rsidR="00A71EEF" w:rsidRDefault="00A71EEF">
      <w:pPr>
        <w:pStyle w:val="a3"/>
        <w:rPr>
          <w:sz w:val="20"/>
        </w:rPr>
      </w:pPr>
    </w:p>
    <w:p w14:paraId="5DA6636B" w14:textId="77777777" w:rsidR="00A71EEF" w:rsidRDefault="0081115D">
      <w:pPr>
        <w:pStyle w:val="a3"/>
        <w:spacing w:before="10"/>
        <w:rPr>
          <w:sz w:val="23"/>
        </w:rPr>
      </w:pPr>
      <w:r>
        <w:rPr>
          <w:noProof/>
        </w:rPr>
        <w:drawing>
          <wp:anchor distT="0" distB="0" distL="0" distR="0" simplePos="0" relativeHeight="251732480" behindDoc="0" locked="0" layoutInCell="1" allowOverlap="1" wp14:anchorId="31A0CD7D" wp14:editId="00F80663">
            <wp:simplePos x="0" y="0"/>
            <wp:positionH relativeFrom="page">
              <wp:posOffset>1062989</wp:posOffset>
            </wp:positionH>
            <wp:positionV relativeFrom="paragraph">
              <wp:posOffset>218249</wp:posOffset>
            </wp:positionV>
            <wp:extent cx="4819038" cy="1924050"/>
            <wp:effectExtent l="0" t="0" r="0" b="0"/>
            <wp:wrapTopAndBottom/>
            <wp:docPr id="767" name="image4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 name="image452.jpeg"/>
                    <pic:cNvPicPr/>
                  </pic:nvPicPr>
                  <pic:blipFill>
                    <a:blip r:embed="rId565" cstate="print"/>
                    <a:stretch>
                      <a:fillRect/>
                    </a:stretch>
                  </pic:blipFill>
                  <pic:spPr>
                    <a:xfrm>
                      <a:off x="0" y="0"/>
                      <a:ext cx="4819038" cy="1924050"/>
                    </a:xfrm>
                    <a:prstGeom prst="rect">
                      <a:avLst/>
                    </a:prstGeom>
                  </pic:spPr>
                </pic:pic>
              </a:graphicData>
            </a:graphic>
          </wp:anchor>
        </w:drawing>
      </w:r>
    </w:p>
    <w:p w14:paraId="5340F296" w14:textId="77777777" w:rsidR="00A71EEF" w:rsidRDefault="0081115D">
      <w:pPr>
        <w:pStyle w:val="4"/>
        <w:spacing w:before="134"/>
      </w:pPr>
      <w:r>
        <w:t xml:space="preserve">8 </w:t>
      </w:r>
      <w:r>
        <w:t>管道</w:t>
      </w:r>
      <w:r>
        <w:rPr>
          <w:w w:val="99"/>
        </w:rPr>
        <w:t xml:space="preserve"> </w:t>
      </w:r>
    </w:p>
    <w:p w14:paraId="7DA741D9" w14:textId="77777777" w:rsidR="00A71EEF" w:rsidRDefault="00A71EEF">
      <w:pPr>
        <w:pStyle w:val="a3"/>
        <w:spacing w:before="3"/>
        <w:rPr>
          <w:b/>
          <w:sz w:val="17"/>
        </w:rPr>
      </w:pPr>
    </w:p>
    <w:p w14:paraId="14962E7A" w14:textId="77777777" w:rsidR="00A71EEF" w:rsidRDefault="0081115D">
      <w:pPr>
        <w:pStyle w:val="a4"/>
        <w:numPr>
          <w:ilvl w:val="1"/>
          <w:numId w:val="68"/>
        </w:numPr>
        <w:tabs>
          <w:tab w:val="left" w:pos="1160"/>
        </w:tabs>
        <w:spacing w:before="1"/>
        <w:rPr>
          <w:sz w:val="21"/>
        </w:rPr>
      </w:pPr>
      <w:r>
        <w:rPr>
          <w:spacing w:val="-7"/>
          <w:sz w:val="21"/>
        </w:rPr>
        <w:t>配水管道的工作压力不应大于</w:t>
      </w:r>
      <w:r>
        <w:rPr>
          <w:spacing w:val="-7"/>
          <w:sz w:val="21"/>
        </w:rPr>
        <w:t xml:space="preserve"> </w:t>
      </w:r>
      <w:r>
        <w:rPr>
          <w:sz w:val="21"/>
        </w:rPr>
        <w:t>1.20MPa</w:t>
      </w:r>
      <w:r>
        <w:rPr>
          <w:spacing w:val="-3"/>
          <w:sz w:val="21"/>
        </w:rPr>
        <w:t>，并不应设置其他用水设施。</w:t>
      </w:r>
      <w:r>
        <w:rPr>
          <w:sz w:val="21"/>
        </w:rPr>
        <w:t xml:space="preserve"> </w:t>
      </w:r>
    </w:p>
    <w:p w14:paraId="6081AF8C" w14:textId="77777777" w:rsidR="00A71EEF" w:rsidRDefault="00A71EEF">
      <w:pPr>
        <w:pStyle w:val="a3"/>
        <w:spacing w:before="12"/>
        <w:rPr>
          <w:sz w:val="17"/>
        </w:rPr>
      </w:pPr>
    </w:p>
    <w:p w14:paraId="6A3874A9" w14:textId="77777777" w:rsidR="00A71EEF" w:rsidRDefault="0081115D">
      <w:pPr>
        <w:pStyle w:val="a4"/>
        <w:numPr>
          <w:ilvl w:val="1"/>
          <w:numId w:val="68"/>
        </w:numPr>
        <w:tabs>
          <w:tab w:val="left" w:pos="1160"/>
        </w:tabs>
        <w:rPr>
          <w:sz w:val="21"/>
        </w:rPr>
      </w:pPr>
      <w:r>
        <w:rPr>
          <w:spacing w:val="-3"/>
          <w:sz w:val="21"/>
        </w:rPr>
        <w:t>配水管道可采用内外壁热镀锌钢管、涂覆钢管、铜管、不锈钢管和氯化聚氯乙烯</w:t>
      </w:r>
    </w:p>
    <w:p w14:paraId="12E05954" w14:textId="77777777" w:rsidR="00A71EEF" w:rsidRDefault="00A71EEF">
      <w:pPr>
        <w:pStyle w:val="a3"/>
        <w:spacing w:before="2"/>
        <w:rPr>
          <w:sz w:val="18"/>
        </w:rPr>
      </w:pPr>
    </w:p>
    <w:p w14:paraId="43CFAE80" w14:textId="77777777" w:rsidR="00A71EEF" w:rsidRDefault="0081115D">
      <w:pPr>
        <w:pStyle w:val="a3"/>
        <w:ind w:left="418"/>
      </w:pPr>
      <w:r>
        <w:t>（</w:t>
      </w:r>
      <w:r>
        <w:t>PVC-C</w:t>
      </w:r>
      <w:r>
        <w:t>）管。当报警阀入口前管道采用不防腐的钢管时，应在报警阀前设置过滤器。</w:t>
      </w:r>
      <w:r>
        <w:t xml:space="preserve"> </w:t>
      </w:r>
    </w:p>
    <w:p w14:paraId="11664D2E" w14:textId="77777777" w:rsidR="00A71EEF" w:rsidRDefault="00A71EEF">
      <w:pPr>
        <w:pStyle w:val="a3"/>
        <w:rPr>
          <w:sz w:val="18"/>
        </w:rPr>
      </w:pPr>
    </w:p>
    <w:p w14:paraId="1CAB87AC" w14:textId="77777777" w:rsidR="00A71EEF" w:rsidRDefault="0081115D">
      <w:pPr>
        <w:pStyle w:val="a4"/>
        <w:numPr>
          <w:ilvl w:val="1"/>
          <w:numId w:val="68"/>
        </w:numPr>
        <w:tabs>
          <w:tab w:val="left" w:pos="1213"/>
        </w:tabs>
        <w:spacing w:line="446" w:lineRule="auto"/>
        <w:ind w:left="418" w:right="1553" w:firstLine="422"/>
        <w:jc w:val="both"/>
        <w:rPr>
          <w:sz w:val="21"/>
        </w:rPr>
      </w:pPr>
      <w:r>
        <w:rPr>
          <w:spacing w:val="-3"/>
          <w:sz w:val="21"/>
        </w:rPr>
        <w:t>自动喷水灭火系统采用氯化聚氯乙烯</w:t>
      </w:r>
      <w:r>
        <w:rPr>
          <w:sz w:val="21"/>
        </w:rPr>
        <w:t>（</w:t>
      </w:r>
      <w:r>
        <w:rPr>
          <w:sz w:val="21"/>
        </w:rPr>
        <w:t>PVC-C</w:t>
      </w:r>
      <w:r>
        <w:rPr>
          <w:sz w:val="21"/>
        </w:rPr>
        <w:t>）</w:t>
      </w:r>
      <w:r>
        <w:rPr>
          <w:spacing w:val="-3"/>
          <w:sz w:val="21"/>
        </w:rPr>
        <w:t>管材及管件时，设置场所的火灾危险等级应为轻危险级或中危险级</w:t>
      </w:r>
      <w:r>
        <w:rPr>
          <w:spacing w:val="-3"/>
          <w:sz w:val="21"/>
        </w:rPr>
        <w:t>Ⅰ</w:t>
      </w:r>
      <w:r>
        <w:rPr>
          <w:spacing w:val="-3"/>
          <w:sz w:val="21"/>
        </w:rPr>
        <w:t>级，系统应为湿式系统，并采用快速响应洒水喷头，且氯化聚氯乙烯（</w:t>
      </w:r>
      <w:r>
        <w:rPr>
          <w:spacing w:val="-3"/>
          <w:sz w:val="21"/>
        </w:rPr>
        <w:t>PVC-C</w:t>
      </w:r>
      <w:r>
        <w:rPr>
          <w:spacing w:val="-3"/>
          <w:sz w:val="21"/>
        </w:rPr>
        <w:t>）管材及管件应符合下列要求：</w:t>
      </w:r>
      <w:r>
        <w:rPr>
          <w:sz w:val="21"/>
        </w:rPr>
        <w:t xml:space="preserve"> </w:t>
      </w:r>
    </w:p>
    <w:p w14:paraId="7B80A088" w14:textId="77777777" w:rsidR="00A71EEF" w:rsidRDefault="0081115D">
      <w:pPr>
        <w:pStyle w:val="a3"/>
        <w:spacing w:line="446" w:lineRule="auto"/>
        <w:ind w:left="418" w:right="1613" w:firstLine="419"/>
        <w:jc w:val="both"/>
      </w:pPr>
      <w:r>
        <w:rPr>
          <w:spacing w:val="-6"/>
        </w:rPr>
        <w:t>应符合现行国家标准《自动喷水灭火系统第</w:t>
      </w:r>
      <w:r>
        <w:rPr>
          <w:spacing w:val="-6"/>
        </w:rPr>
        <w:t xml:space="preserve"> </w:t>
      </w:r>
      <w:r>
        <w:t>19</w:t>
      </w:r>
      <w:r>
        <w:rPr>
          <w:spacing w:val="-3"/>
        </w:rPr>
        <w:t xml:space="preserve"> </w:t>
      </w:r>
      <w:r>
        <w:rPr>
          <w:spacing w:val="-3"/>
        </w:rPr>
        <w:t>部分塑料管道及管件》</w:t>
      </w:r>
      <w:r>
        <w:t>GB/T 5135.19</w:t>
      </w:r>
      <w:r>
        <w:rPr>
          <w:spacing w:val="-18"/>
        </w:rPr>
        <w:t xml:space="preserve"> </w:t>
      </w:r>
      <w:r>
        <w:rPr>
          <w:spacing w:val="-18"/>
        </w:rPr>
        <w:t>的规</w:t>
      </w:r>
      <w:r>
        <w:rPr>
          <w:spacing w:val="-2"/>
        </w:rPr>
        <w:t>定；</w:t>
      </w:r>
      <w:r>
        <w:t xml:space="preserve"> </w:t>
      </w:r>
    </w:p>
    <w:p w14:paraId="109B7373" w14:textId="77777777" w:rsidR="00A71EEF" w:rsidRDefault="0081115D">
      <w:pPr>
        <w:pStyle w:val="a3"/>
        <w:ind w:left="838"/>
        <w:jc w:val="both"/>
      </w:pPr>
      <w:r>
        <w:t>应用于公称直径不超过</w:t>
      </w:r>
      <w:r>
        <w:t xml:space="preserve"> DN80 </w:t>
      </w:r>
      <w:r>
        <w:t>的配水管及配水支管，且不应穿越防火分区；</w:t>
      </w:r>
      <w:r>
        <w:t xml:space="preserve"> </w:t>
      </w:r>
    </w:p>
    <w:p w14:paraId="36A8C7F0" w14:textId="77777777" w:rsidR="00A71EEF" w:rsidRDefault="00A71EEF">
      <w:pPr>
        <w:pStyle w:val="a3"/>
        <w:spacing w:before="11"/>
        <w:rPr>
          <w:sz w:val="17"/>
        </w:rPr>
      </w:pPr>
    </w:p>
    <w:p w14:paraId="040B0EC5" w14:textId="77777777" w:rsidR="00A71EEF" w:rsidRDefault="0081115D">
      <w:pPr>
        <w:pStyle w:val="a3"/>
        <w:ind w:left="838"/>
      </w:pPr>
      <w:r>
        <w:t>当设置在有吊顶场所时，吊顶内应无其他可燃物，吊顶材料应为不燃或难燃装修材料；</w:t>
      </w:r>
      <w:r>
        <w:t xml:space="preserve"> </w:t>
      </w:r>
    </w:p>
    <w:p w14:paraId="3742411B" w14:textId="77777777" w:rsidR="00A71EEF" w:rsidRDefault="00A71EEF">
      <w:pPr>
        <w:sectPr w:rsidR="00A71EEF">
          <w:pgSz w:w="11910" w:h="16850"/>
          <w:pgMar w:top="1080" w:right="0" w:bottom="1420" w:left="1260" w:header="0" w:footer="1239" w:gutter="0"/>
          <w:cols w:space="720"/>
        </w:sectPr>
      </w:pPr>
    </w:p>
    <w:p w14:paraId="03C882BA" w14:textId="77777777" w:rsidR="00A71EEF" w:rsidRDefault="0081115D">
      <w:pPr>
        <w:pStyle w:val="a3"/>
        <w:spacing w:before="47" w:line="446" w:lineRule="auto"/>
        <w:ind w:left="418" w:right="1505" w:firstLine="419"/>
      </w:pPr>
      <w:r>
        <w:t>当设置在无吊顶场所时，该场所应为轻危险级场所，</w:t>
      </w:r>
      <w:r>
        <w:t xml:space="preserve"> </w:t>
      </w:r>
      <w:r>
        <w:t>顶板应为水平、光滑顶板，且喷头溅水盘与顶板的距离不应大于</w:t>
      </w:r>
      <w:r>
        <w:t xml:space="preserve"> 100mm</w:t>
      </w:r>
      <w:r>
        <w:t>。</w:t>
      </w:r>
      <w:r>
        <w:t xml:space="preserve"> </w:t>
      </w:r>
    </w:p>
    <w:p w14:paraId="3E4BCBD9" w14:textId="77777777" w:rsidR="00A71EEF" w:rsidRDefault="0081115D">
      <w:pPr>
        <w:pStyle w:val="a4"/>
        <w:numPr>
          <w:ilvl w:val="1"/>
          <w:numId w:val="68"/>
        </w:numPr>
        <w:tabs>
          <w:tab w:val="left" w:pos="1213"/>
        </w:tabs>
        <w:spacing w:line="267" w:lineRule="exact"/>
        <w:ind w:left="1212" w:hanging="373"/>
        <w:rPr>
          <w:sz w:val="21"/>
        </w:rPr>
      </w:pPr>
      <w:r>
        <w:rPr>
          <w:spacing w:val="-3"/>
          <w:sz w:val="21"/>
        </w:rPr>
        <w:t>洒水喷头与配水管道采用消防洒水软管连接时，应符合下列规定：</w:t>
      </w:r>
      <w:r>
        <w:rPr>
          <w:sz w:val="21"/>
        </w:rPr>
        <w:t xml:space="preserve"> </w:t>
      </w:r>
    </w:p>
    <w:p w14:paraId="7CD81919" w14:textId="77777777" w:rsidR="00A71EEF" w:rsidRDefault="00A71EEF">
      <w:pPr>
        <w:pStyle w:val="a3"/>
        <w:spacing w:before="2"/>
        <w:rPr>
          <w:sz w:val="18"/>
        </w:rPr>
      </w:pPr>
    </w:p>
    <w:p w14:paraId="0947C90C" w14:textId="77777777" w:rsidR="00A71EEF" w:rsidRDefault="0081115D">
      <w:pPr>
        <w:pStyle w:val="a3"/>
        <w:spacing w:line="446" w:lineRule="auto"/>
        <w:ind w:left="838" w:right="2554"/>
      </w:pPr>
      <w:r>
        <w:rPr>
          <w:spacing w:val="-3"/>
        </w:rPr>
        <w:t>消防洒水软管仅适用于轻危险级或中危险级</w:t>
      </w:r>
      <w:r>
        <w:rPr>
          <w:spacing w:val="-3"/>
        </w:rPr>
        <w:t>Ⅰ</w:t>
      </w:r>
      <w:r>
        <w:rPr>
          <w:spacing w:val="-3"/>
        </w:rPr>
        <w:t>级场所，且系统应为湿式系统；</w:t>
      </w:r>
      <w:r>
        <w:rPr>
          <w:spacing w:val="-3"/>
        </w:rPr>
        <w:t xml:space="preserve"> </w:t>
      </w:r>
      <w:r>
        <w:rPr>
          <w:spacing w:val="-3"/>
        </w:rPr>
        <w:t>消防洒水软管应设置在吊顶内；</w:t>
      </w:r>
      <w:r>
        <w:t xml:space="preserve"> </w:t>
      </w:r>
    </w:p>
    <w:p w14:paraId="21F899AB" w14:textId="77777777" w:rsidR="00A71EEF" w:rsidRDefault="0081115D">
      <w:pPr>
        <w:pStyle w:val="a3"/>
        <w:spacing w:line="267" w:lineRule="exact"/>
        <w:ind w:left="838"/>
      </w:pPr>
      <w:r>
        <w:t>消防洒水软管的长度不应超过</w:t>
      </w:r>
      <w:r>
        <w:t xml:space="preserve"> 1.8m</w:t>
      </w:r>
      <w:r>
        <w:t>。</w:t>
      </w:r>
      <w:r>
        <w:t xml:space="preserve"> </w:t>
      </w:r>
    </w:p>
    <w:p w14:paraId="592BF376" w14:textId="77777777" w:rsidR="00A71EEF" w:rsidRDefault="00A71EEF">
      <w:pPr>
        <w:pStyle w:val="a3"/>
        <w:spacing w:before="2"/>
        <w:rPr>
          <w:sz w:val="18"/>
        </w:rPr>
      </w:pPr>
    </w:p>
    <w:p w14:paraId="0627D481" w14:textId="77777777" w:rsidR="00A71EEF" w:rsidRDefault="0081115D">
      <w:pPr>
        <w:pStyle w:val="a4"/>
        <w:numPr>
          <w:ilvl w:val="1"/>
          <w:numId w:val="68"/>
        </w:numPr>
        <w:tabs>
          <w:tab w:val="left" w:pos="1160"/>
        </w:tabs>
        <w:rPr>
          <w:sz w:val="21"/>
        </w:rPr>
      </w:pPr>
      <w:r>
        <w:rPr>
          <w:spacing w:val="-3"/>
          <w:sz w:val="21"/>
        </w:rPr>
        <w:t>配水管道的连接方式应符合下列要求：</w:t>
      </w:r>
      <w:r>
        <w:rPr>
          <w:sz w:val="21"/>
        </w:rPr>
        <w:t xml:space="preserve"> </w:t>
      </w:r>
    </w:p>
    <w:p w14:paraId="41101C26" w14:textId="77777777" w:rsidR="00A71EEF" w:rsidRDefault="00A71EEF">
      <w:pPr>
        <w:pStyle w:val="a3"/>
        <w:rPr>
          <w:sz w:val="18"/>
        </w:rPr>
      </w:pPr>
    </w:p>
    <w:p w14:paraId="2214BBFE" w14:textId="77777777" w:rsidR="00A71EEF" w:rsidRDefault="0081115D">
      <w:pPr>
        <w:pStyle w:val="a3"/>
        <w:spacing w:line="446" w:lineRule="auto"/>
        <w:ind w:left="418" w:right="1609" w:firstLine="419"/>
      </w:pPr>
      <w:r>
        <w:t>镀锌钢管、涂覆钢管可采用沟槽式连接件（卡箍）、螺纹或法兰连接，当报警阀前采用内壁不防腐钢管时，可焊接连接；</w:t>
      </w:r>
      <w:r>
        <w:t xml:space="preserve"> </w:t>
      </w:r>
    </w:p>
    <w:p w14:paraId="107CBF1E" w14:textId="77777777" w:rsidR="00A71EEF" w:rsidRDefault="0081115D">
      <w:pPr>
        <w:pStyle w:val="a3"/>
        <w:ind w:left="838"/>
      </w:pPr>
      <w:r>
        <w:t>铜管可采用钎焊、</w:t>
      </w:r>
      <w:r>
        <w:t xml:space="preserve"> </w:t>
      </w:r>
      <w:r>
        <w:t>沟槽式连接件（卡箍）、法兰和卡压等连接方式；</w:t>
      </w:r>
      <w:r>
        <w:t xml:space="preserve"> </w:t>
      </w:r>
    </w:p>
    <w:p w14:paraId="1CBC8C16" w14:textId="77777777" w:rsidR="00A71EEF" w:rsidRDefault="00A71EEF">
      <w:pPr>
        <w:pStyle w:val="a3"/>
        <w:spacing w:before="12"/>
        <w:rPr>
          <w:sz w:val="17"/>
        </w:rPr>
      </w:pPr>
    </w:p>
    <w:p w14:paraId="0856E596" w14:textId="77777777" w:rsidR="00A71EEF" w:rsidRDefault="0081115D">
      <w:pPr>
        <w:pStyle w:val="a3"/>
        <w:ind w:left="838"/>
      </w:pPr>
      <w:r>
        <w:t>不锈钢管可采用沟槽式连接件（卡箍）、法兰、卡压等连接方式，不宜采用焊接；</w:t>
      </w:r>
      <w:r>
        <w:t xml:space="preserve"> </w:t>
      </w:r>
    </w:p>
    <w:p w14:paraId="08B26ACF" w14:textId="77777777" w:rsidR="00A71EEF" w:rsidRDefault="00A71EEF">
      <w:pPr>
        <w:pStyle w:val="a3"/>
        <w:rPr>
          <w:sz w:val="18"/>
        </w:rPr>
      </w:pPr>
    </w:p>
    <w:p w14:paraId="3FB84D55" w14:textId="77777777" w:rsidR="00A71EEF" w:rsidRDefault="0081115D">
      <w:pPr>
        <w:pStyle w:val="a3"/>
        <w:spacing w:line="446" w:lineRule="auto"/>
        <w:ind w:left="418" w:right="1611" w:firstLine="419"/>
      </w:pPr>
      <w:r>
        <w:t>氯化聚氯乙烯（</w:t>
      </w:r>
      <w:r>
        <w:t>PVC-C</w:t>
      </w:r>
      <w:r>
        <w:t>）管材、管件可采用粘接连接，氯化聚氯乙烯（</w:t>
      </w:r>
      <w:r>
        <w:t>PV</w:t>
      </w:r>
      <w:r>
        <w:t>C-C</w:t>
      </w:r>
      <w:r>
        <w:t>）管材、管件与其他材质管材、管件之间可采用螺纹、法兰或沟槽式连接件（卡箍）连接；</w:t>
      </w:r>
      <w:r>
        <w:t xml:space="preserve"> </w:t>
      </w:r>
    </w:p>
    <w:p w14:paraId="1C7B9052" w14:textId="77777777" w:rsidR="00A71EEF" w:rsidRDefault="0081115D">
      <w:pPr>
        <w:pStyle w:val="a3"/>
        <w:ind w:left="838"/>
      </w:pPr>
      <w:r>
        <w:t>铜管、不锈钢管、氯化聚氯乙烯（</w:t>
      </w:r>
      <w:r>
        <w:t>PVC-C</w:t>
      </w:r>
      <w:r>
        <w:t>）管应采用配套的支架、吊架。</w:t>
      </w:r>
      <w:r>
        <w:t xml:space="preserve"> </w:t>
      </w:r>
    </w:p>
    <w:p w14:paraId="4B5C567B" w14:textId="77777777" w:rsidR="00A71EEF" w:rsidRDefault="00A71EEF">
      <w:pPr>
        <w:pStyle w:val="a3"/>
        <w:rPr>
          <w:sz w:val="18"/>
        </w:rPr>
      </w:pPr>
    </w:p>
    <w:p w14:paraId="306E8B78" w14:textId="77777777" w:rsidR="00A71EEF" w:rsidRDefault="0081115D">
      <w:pPr>
        <w:pStyle w:val="a4"/>
        <w:numPr>
          <w:ilvl w:val="1"/>
          <w:numId w:val="68"/>
        </w:numPr>
        <w:tabs>
          <w:tab w:val="left" w:pos="1159"/>
        </w:tabs>
        <w:ind w:left="1158" w:hanging="319"/>
        <w:rPr>
          <w:sz w:val="21"/>
        </w:rPr>
      </w:pPr>
      <w:r>
        <w:rPr>
          <w:spacing w:val="-8"/>
          <w:sz w:val="21"/>
        </w:rPr>
        <w:t>系统中直径等于或大于</w:t>
      </w:r>
      <w:r>
        <w:rPr>
          <w:spacing w:val="-8"/>
          <w:sz w:val="21"/>
        </w:rPr>
        <w:t xml:space="preserve"> </w:t>
      </w:r>
      <w:r>
        <w:rPr>
          <w:sz w:val="21"/>
        </w:rPr>
        <w:t>100mm</w:t>
      </w:r>
      <w:r>
        <w:rPr>
          <w:spacing w:val="-9"/>
          <w:sz w:val="21"/>
        </w:rPr>
        <w:t xml:space="preserve"> </w:t>
      </w:r>
      <w:r>
        <w:rPr>
          <w:spacing w:val="-9"/>
          <w:sz w:val="21"/>
        </w:rPr>
        <w:t>的管道，应分段采用法兰或沟槽式连接件</w:t>
      </w:r>
      <w:r>
        <w:rPr>
          <w:sz w:val="21"/>
        </w:rPr>
        <w:t>（</w:t>
      </w:r>
      <w:r>
        <w:rPr>
          <w:spacing w:val="-2"/>
          <w:sz w:val="21"/>
        </w:rPr>
        <w:t>卡箍</w:t>
      </w:r>
      <w:r>
        <w:rPr>
          <w:sz w:val="21"/>
        </w:rPr>
        <w:t>）连</w:t>
      </w:r>
    </w:p>
    <w:p w14:paraId="1BE94BD2" w14:textId="77777777" w:rsidR="00A71EEF" w:rsidRDefault="00A71EEF">
      <w:pPr>
        <w:pStyle w:val="a3"/>
        <w:spacing w:before="1"/>
        <w:rPr>
          <w:sz w:val="18"/>
        </w:rPr>
      </w:pPr>
    </w:p>
    <w:p w14:paraId="600E66DE" w14:textId="77777777" w:rsidR="00A71EEF" w:rsidRDefault="0081115D">
      <w:pPr>
        <w:pStyle w:val="a3"/>
        <w:spacing w:before="1" w:line="446" w:lineRule="auto"/>
        <w:ind w:left="418" w:right="1450"/>
      </w:pPr>
      <w:r>
        <w:rPr>
          <w:spacing w:val="-5"/>
        </w:rPr>
        <w:t>接。水平管道上法兰间的管道长度不宜大于</w:t>
      </w:r>
      <w:r>
        <w:rPr>
          <w:spacing w:val="-5"/>
        </w:rPr>
        <w:t xml:space="preserve"> </w:t>
      </w:r>
      <w:r>
        <w:t>20m</w:t>
      </w:r>
      <w:r>
        <w:rPr>
          <w:spacing w:val="-6"/>
        </w:rPr>
        <w:t>；立管上法兰间的距离，不应跨越</w:t>
      </w:r>
      <w:r>
        <w:rPr>
          <w:spacing w:val="-6"/>
        </w:rPr>
        <w:t xml:space="preserve"> </w:t>
      </w:r>
      <w:r>
        <w:t>3</w:t>
      </w:r>
      <w:r>
        <w:rPr>
          <w:spacing w:val="-9"/>
        </w:rPr>
        <w:t xml:space="preserve"> </w:t>
      </w:r>
      <w:r>
        <w:rPr>
          <w:spacing w:val="-9"/>
        </w:rPr>
        <w:t>个及以上楼</w:t>
      </w:r>
      <w:r>
        <w:rPr>
          <w:spacing w:val="-11"/>
        </w:rPr>
        <w:t>层。净空高度大于</w:t>
      </w:r>
      <w:r>
        <w:rPr>
          <w:spacing w:val="-11"/>
        </w:rPr>
        <w:t xml:space="preserve"> </w:t>
      </w:r>
      <w:r>
        <w:t>8m</w:t>
      </w:r>
      <w:r>
        <w:rPr>
          <w:spacing w:val="-9"/>
        </w:rPr>
        <w:t xml:space="preserve"> </w:t>
      </w:r>
      <w:r>
        <w:rPr>
          <w:spacing w:val="-9"/>
        </w:rPr>
        <w:t>的场所内，立管上应有法兰。</w:t>
      </w:r>
      <w:r>
        <w:rPr>
          <w:spacing w:val="-9"/>
        </w:rPr>
        <w:t xml:space="preserve"> </w:t>
      </w:r>
    </w:p>
    <w:p w14:paraId="238D399A" w14:textId="77777777" w:rsidR="00A71EEF" w:rsidRDefault="0081115D">
      <w:pPr>
        <w:pStyle w:val="a4"/>
        <w:numPr>
          <w:ilvl w:val="1"/>
          <w:numId w:val="68"/>
        </w:numPr>
        <w:tabs>
          <w:tab w:val="left" w:pos="1159"/>
        </w:tabs>
        <w:spacing w:line="446" w:lineRule="auto"/>
        <w:ind w:left="418" w:right="1604" w:firstLine="422"/>
        <w:rPr>
          <w:sz w:val="21"/>
        </w:rPr>
      </w:pPr>
      <w:r>
        <w:rPr>
          <w:spacing w:val="-3"/>
          <w:sz w:val="21"/>
        </w:rPr>
        <w:t>管道的直径应经水力计算确定。配水管道的布置，应使配水管入口的压力均衡。轻危</w:t>
      </w:r>
      <w:r>
        <w:rPr>
          <w:spacing w:val="-5"/>
          <w:sz w:val="21"/>
        </w:rPr>
        <w:t>险级、中危险级场所中各配水管入口的压力均不宜大于</w:t>
      </w:r>
      <w:r>
        <w:rPr>
          <w:spacing w:val="-5"/>
          <w:sz w:val="21"/>
        </w:rPr>
        <w:t xml:space="preserve"> </w:t>
      </w:r>
      <w:r>
        <w:rPr>
          <w:sz w:val="21"/>
        </w:rPr>
        <w:t>0.40MPa</w:t>
      </w:r>
      <w:r>
        <w:rPr>
          <w:spacing w:val="-3"/>
          <w:sz w:val="21"/>
        </w:rPr>
        <w:t>。</w:t>
      </w:r>
      <w:r>
        <w:rPr>
          <w:sz w:val="21"/>
        </w:rPr>
        <w:t xml:space="preserve"> </w:t>
      </w:r>
    </w:p>
    <w:p w14:paraId="7BE79272" w14:textId="77777777" w:rsidR="00A71EEF" w:rsidRDefault="0081115D">
      <w:pPr>
        <w:pStyle w:val="a4"/>
        <w:numPr>
          <w:ilvl w:val="1"/>
          <w:numId w:val="68"/>
        </w:numPr>
        <w:tabs>
          <w:tab w:val="left" w:pos="1160"/>
        </w:tabs>
        <w:spacing w:line="446" w:lineRule="auto"/>
        <w:ind w:left="418" w:right="1604" w:firstLine="422"/>
        <w:rPr>
          <w:sz w:val="21"/>
        </w:rPr>
      </w:pPr>
      <w:r>
        <w:rPr>
          <w:spacing w:val="-3"/>
          <w:sz w:val="21"/>
        </w:rPr>
        <w:t>配水管两侧每根配水支管控制的标准流量洒水喷头数量，轻危险级、中危险级场所不</w:t>
      </w:r>
      <w:r>
        <w:rPr>
          <w:spacing w:val="-13"/>
          <w:sz w:val="21"/>
        </w:rPr>
        <w:t>应超过</w:t>
      </w:r>
      <w:r>
        <w:rPr>
          <w:spacing w:val="-13"/>
          <w:sz w:val="21"/>
        </w:rPr>
        <w:t xml:space="preserve"> </w:t>
      </w:r>
      <w:r>
        <w:rPr>
          <w:sz w:val="21"/>
        </w:rPr>
        <w:t>8</w:t>
      </w:r>
      <w:r>
        <w:rPr>
          <w:spacing w:val="-10"/>
          <w:sz w:val="21"/>
        </w:rPr>
        <w:t xml:space="preserve"> </w:t>
      </w:r>
      <w:r>
        <w:rPr>
          <w:spacing w:val="-10"/>
          <w:sz w:val="21"/>
        </w:rPr>
        <w:t>只，同时在吊顶上下设置喷头的配水支管，上下侧均不应超过</w:t>
      </w:r>
      <w:r>
        <w:rPr>
          <w:spacing w:val="-10"/>
          <w:sz w:val="21"/>
        </w:rPr>
        <w:t xml:space="preserve"> </w:t>
      </w:r>
      <w:r>
        <w:rPr>
          <w:sz w:val="21"/>
        </w:rPr>
        <w:t>8</w:t>
      </w:r>
      <w:r>
        <w:rPr>
          <w:spacing w:val="-8"/>
          <w:sz w:val="21"/>
        </w:rPr>
        <w:t xml:space="preserve"> </w:t>
      </w:r>
      <w:r>
        <w:rPr>
          <w:spacing w:val="-8"/>
          <w:sz w:val="21"/>
        </w:rPr>
        <w:t>只。严重危险级及仓</w:t>
      </w:r>
    </w:p>
    <w:p w14:paraId="7DEA26E2" w14:textId="77777777" w:rsidR="00A71EEF" w:rsidRDefault="0081115D">
      <w:pPr>
        <w:pStyle w:val="a3"/>
        <w:ind w:left="418"/>
      </w:pPr>
      <w:r>
        <w:t>库危险级场所均不应超过</w:t>
      </w:r>
      <w:r>
        <w:t xml:space="preserve"> 6 </w:t>
      </w:r>
      <w:r>
        <w:t>只。</w:t>
      </w:r>
      <w:r>
        <w:t xml:space="preserve"> </w:t>
      </w:r>
    </w:p>
    <w:p w14:paraId="1AE29587" w14:textId="77777777" w:rsidR="00A71EEF" w:rsidRDefault="00A71EEF">
      <w:pPr>
        <w:sectPr w:rsidR="00A71EEF">
          <w:pgSz w:w="11910" w:h="16850"/>
          <w:pgMar w:top="1220" w:right="0" w:bottom="1420" w:left="1260" w:header="0" w:footer="1239" w:gutter="0"/>
          <w:cols w:space="720"/>
        </w:sectPr>
      </w:pPr>
    </w:p>
    <w:p w14:paraId="018F2567" w14:textId="77777777" w:rsidR="00A71EEF" w:rsidRDefault="0081115D">
      <w:pPr>
        <w:pStyle w:val="a4"/>
        <w:numPr>
          <w:ilvl w:val="1"/>
          <w:numId w:val="68"/>
        </w:numPr>
        <w:tabs>
          <w:tab w:val="left" w:pos="1158"/>
        </w:tabs>
        <w:spacing w:before="47" w:line="446" w:lineRule="auto"/>
        <w:ind w:left="418" w:right="1606" w:firstLine="419"/>
        <w:rPr>
          <w:sz w:val="21"/>
        </w:rPr>
      </w:pPr>
      <w:r>
        <w:rPr>
          <w:noProof/>
        </w:rPr>
        <w:drawing>
          <wp:anchor distT="0" distB="0" distL="0" distR="0" simplePos="0" relativeHeight="251733504" behindDoc="0" locked="0" layoutInCell="1" allowOverlap="1" wp14:anchorId="4619AC80" wp14:editId="61FB8E9B">
            <wp:simplePos x="0" y="0"/>
            <wp:positionH relativeFrom="page">
              <wp:posOffset>1430019</wp:posOffset>
            </wp:positionH>
            <wp:positionV relativeFrom="paragraph">
              <wp:posOffset>752855</wp:posOffset>
            </wp:positionV>
            <wp:extent cx="4343594" cy="933450"/>
            <wp:effectExtent l="0" t="0" r="0" b="0"/>
            <wp:wrapTopAndBottom/>
            <wp:docPr id="769" name="image4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 name="image453.jpeg"/>
                    <pic:cNvPicPr/>
                  </pic:nvPicPr>
                  <pic:blipFill>
                    <a:blip r:embed="rId566" cstate="print"/>
                    <a:stretch>
                      <a:fillRect/>
                    </a:stretch>
                  </pic:blipFill>
                  <pic:spPr>
                    <a:xfrm>
                      <a:off x="0" y="0"/>
                      <a:ext cx="4343594" cy="933450"/>
                    </a:xfrm>
                    <a:prstGeom prst="rect">
                      <a:avLst/>
                    </a:prstGeom>
                  </pic:spPr>
                </pic:pic>
              </a:graphicData>
            </a:graphic>
          </wp:anchor>
        </w:drawing>
      </w:r>
      <w:r>
        <w:rPr>
          <w:noProof/>
        </w:rPr>
        <w:drawing>
          <wp:anchor distT="0" distB="0" distL="0" distR="0" simplePos="0" relativeHeight="251734528" behindDoc="0" locked="0" layoutInCell="1" allowOverlap="1" wp14:anchorId="0A9AA907" wp14:editId="6A53276A">
            <wp:simplePos x="0" y="0"/>
            <wp:positionH relativeFrom="page">
              <wp:posOffset>1424939</wp:posOffset>
            </wp:positionH>
            <wp:positionV relativeFrom="paragraph">
              <wp:posOffset>1860295</wp:posOffset>
            </wp:positionV>
            <wp:extent cx="4313900" cy="1581150"/>
            <wp:effectExtent l="0" t="0" r="0" b="0"/>
            <wp:wrapTopAndBottom/>
            <wp:docPr id="771" name="image4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 name="image454.jpeg"/>
                    <pic:cNvPicPr/>
                  </pic:nvPicPr>
                  <pic:blipFill>
                    <a:blip r:embed="rId567" cstate="print"/>
                    <a:stretch>
                      <a:fillRect/>
                    </a:stretch>
                  </pic:blipFill>
                  <pic:spPr>
                    <a:xfrm>
                      <a:off x="0" y="0"/>
                      <a:ext cx="4313900" cy="1581150"/>
                    </a:xfrm>
                    <a:prstGeom prst="rect">
                      <a:avLst/>
                    </a:prstGeom>
                  </pic:spPr>
                </pic:pic>
              </a:graphicData>
            </a:graphic>
          </wp:anchor>
        </w:drawing>
      </w:r>
      <w:r>
        <w:rPr>
          <w:spacing w:val="-3"/>
          <w:sz w:val="21"/>
        </w:rPr>
        <w:t>轻危险级、中危险级场所中配水支管、配水管控制的标准流量洒水喷头数量，不宜超</w:t>
      </w:r>
      <w:r>
        <w:rPr>
          <w:spacing w:val="-20"/>
          <w:sz w:val="21"/>
        </w:rPr>
        <w:t>过表</w:t>
      </w:r>
      <w:r>
        <w:rPr>
          <w:spacing w:val="-20"/>
          <w:sz w:val="21"/>
        </w:rPr>
        <w:t xml:space="preserve"> </w:t>
      </w:r>
      <w:r>
        <w:rPr>
          <w:sz w:val="21"/>
        </w:rPr>
        <w:t>8.0.9</w:t>
      </w:r>
      <w:r>
        <w:rPr>
          <w:spacing w:val="-13"/>
          <w:sz w:val="21"/>
        </w:rPr>
        <w:t xml:space="preserve"> </w:t>
      </w:r>
      <w:r>
        <w:rPr>
          <w:spacing w:val="-13"/>
          <w:sz w:val="21"/>
        </w:rPr>
        <w:t>的规定。</w:t>
      </w:r>
      <w:r>
        <w:rPr>
          <w:sz w:val="21"/>
        </w:rPr>
        <w:t xml:space="preserve"> </w:t>
      </w:r>
    </w:p>
    <w:p w14:paraId="6B9A8D39" w14:textId="77777777" w:rsidR="00A71EEF" w:rsidRDefault="00A71EEF">
      <w:pPr>
        <w:pStyle w:val="a3"/>
        <w:spacing w:before="1"/>
        <w:rPr>
          <w:sz w:val="16"/>
        </w:rPr>
      </w:pPr>
    </w:p>
    <w:p w14:paraId="2328B560" w14:textId="77777777" w:rsidR="00A71EEF" w:rsidRDefault="0081115D">
      <w:pPr>
        <w:pStyle w:val="a4"/>
        <w:numPr>
          <w:ilvl w:val="1"/>
          <w:numId w:val="68"/>
        </w:numPr>
        <w:tabs>
          <w:tab w:val="left" w:pos="1318"/>
        </w:tabs>
        <w:spacing w:before="165"/>
        <w:ind w:left="1318" w:hanging="478"/>
        <w:rPr>
          <w:sz w:val="21"/>
        </w:rPr>
      </w:pPr>
      <w:r>
        <w:rPr>
          <w:spacing w:val="-6"/>
          <w:sz w:val="21"/>
        </w:rPr>
        <w:t>短立管及末端试水装置的连接管，其管径不应小于</w:t>
      </w:r>
      <w:r>
        <w:rPr>
          <w:spacing w:val="-6"/>
          <w:sz w:val="21"/>
        </w:rPr>
        <w:t xml:space="preserve"> </w:t>
      </w:r>
      <w:r>
        <w:rPr>
          <w:sz w:val="21"/>
        </w:rPr>
        <w:t>25mm</w:t>
      </w:r>
      <w:r>
        <w:rPr>
          <w:spacing w:val="-3"/>
          <w:sz w:val="21"/>
        </w:rPr>
        <w:t>。</w:t>
      </w:r>
      <w:r>
        <w:rPr>
          <w:sz w:val="21"/>
        </w:rPr>
        <w:t xml:space="preserve"> </w:t>
      </w:r>
    </w:p>
    <w:p w14:paraId="6BC2F804" w14:textId="77777777" w:rsidR="00A71EEF" w:rsidRDefault="00A71EEF">
      <w:pPr>
        <w:pStyle w:val="a3"/>
        <w:spacing w:before="12"/>
        <w:rPr>
          <w:sz w:val="17"/>
        </w:rPr>
      </w:pPr>
    </w:p>
    <w:p w14:paraId="31B1B0FB" w14:textId="77777777" w:rsidR="00A71EEF" w:rsidRDefault="0081115D">
      <w:pPr>
        <w:pStyle w:val="a4"/>
        <w:numPr>
          <w:ilvl w:val="1"/>
          <w:numId w:val="68"/>
        </w:numPr>
        <w:tabs>
          <w:tab w:val="left" w:pos="1318"/>
        </w:tabs>
        <w:spacing w:line="446" w:lineRule="auto"/>
        <w:ind w:left="418" w:right="1455" w:firstLine="422"/>
        <w:rPr>
          <w:sz w:val="21"/>
        </w:rPr>
      </w:pPr>
      <w:r>
        <w:rPr>
          <w:spacing w:val="-3"/>
          <w:sz w:val="21"/>
        </w:rPr>
        <w:t>干式系统、由火灾自动报警系统和充气管道上设置的压力开关开启预作用装置的预作</w:t>
      </w:r>
      <w:r>
        <w:rPr>
          <w:spacing w:val="-5"/>
          <w:sz w:val="21"/>
        </w:rPr>
        <w:t>用系统</w:t>
      </w:r>
      <w:r>
        <w:rPr>
          <w:spacing w:val="-5"/>
          <w:sz w:val="21"/>
        </w:rPr>
        <w:t xml:space="preserve"> </w:t>
      </w:r>
      <w:r>
        <w:rPr>
          <w:spacing w:val="-5"/>
          <w:sz w:val="21"/>
        </w:rPr>
        <w:t>，其配水管道充水时间不宜大于</w:t>
      </w:r>
      <w:r>
        <w:rPr>
          <w:spacing w:val="-5"/>
          <w:sz w:val="21"/>
        </w:rPr>
        <w:t xml:space="preserve"> </w:t>
      </w:r>
      <w:r>
        <w:rPr>
          <w:sz w:val="21"/>
        </w:rPr>
        <w:t>1min</w:t>
      </w:r>
      <w:r>
        <w:rPr>
          <w:spacing w:val="-3"/>
          <w:sz w:val="21"/>
        </w:rPr>
        <w:t>；雨淋系统和仅由火灾自动报警系统联动开启预作</w:t>
      </w:r>
      <w:r>
        <w:rPr>
          <w:spacing w:val="-6"/>
          <w:sz w:val="21"/>
        </w:rPr>
        <w:t>用装置的预作用系统，其配水管道充水时间不宜大于</w:t>
      </w:r>
      <w:r>
        <w:rPr>
          <w:spacing w:val="-6"/>
          <w:sz w:val="21"/>
        </w:rPr>
        <w:t xml:space="preserve"> </w:t>
      </w:r>
      <w:r>
        <w:rPr>
          <w:sz w:val="21"/>
        </w:rPr>
        <w:t>2min</w:t>
      </w:r>
      <w:r>
        <w:rPr>
          <w:spacing w:val="-3"/>
          <w:sz w:val="21"/>
        </w:rPr>
        <w:t>。</w:t>
      </w:r>
      <w:r>
        <w:rPr>
          <w:sz w:val="21"/>
        </w:rPr>
        <w:t xml:space="preserve"> </w:t>
      </w:r>
    </w:p>
    <w:p w14:paraId="08DF6D05" w14:textId="77777777" w:rsidR="00A71EEF" w:rsidRDefault="0081115D">
      <w:pPr>
        <w:pStyle w:val="a4"/>
        <w:numPr>
          <w:ilvl w:val="1"/>
          <w:numId w:val="68"/>
        </w:numPr>
        <w:tabs>
          <w:tab w:val="left" w:pos="1266"/>
        </w:tabs>
        <w:spacing w:line="446" w:lineRule="auto"/>
        <w:ind w:left="418" w:right="1447" w:firstLine="422"/>
        <w:rPr>
          <w:sz w:val="21"/>
        </w:rPr>
      </w:pPr>
      <w:r>
        <w:rPr>
          <w:spacing w:val="-5"/>
          <w:sz w:val="21"/>
        </w:rPr>
        <w:t>干式系统、预作用系统的供气管道，采用钢管时，管径不宜小于</w:t>
      </w:r>
      <w:r>
        <w:rPr>
          <w:spacing w:val="-5"/>
          <w:sz w:val="21"/>
        </w:rPr>
        <w:t xml:space="preserve"> </w:t>
      </w:r>
      <w:r>
        <w:rPr>
          <w:sz w:val="21"/>
        </w:rPr>
        <w:t>15mm</w:t>
      </w:r>
      <w:r>
        <w:rPr>
          <w:spacing w:val="-2"/>
          <w:sz w:val="21"/>
        </w:rPr>
        <w:t>；采用铜管时，</w:t>
      </w:r>
      <w:r>
        <w:rPr>
          <w:spacing w:val="-2"/>
          <w:sz w:val="21"/>
        </w:rPr>
        <w:t xml:space="preserve"> </w:t>
      </w:r>
      <w:r>
        <w:rPr>
          <w:spacing w:val="-11"/>
          <w:sz w:val="21"/>
        </w:rPr>
        <w:t>管径不宜小于</w:t>
      </w:r>
      <w:r>
        <w:rPr>
          <w:spacing w:val="-11"/>
          <w:sz w:val="21"/>
        </w:rPr>
        <w:t xml:space="preserve"> </w:t>
      </w:r>
      <w:r>
        <w:rPr>
          <w:sz w:val="21"/>
        </w:rPr>
        <w:t>10mm</w:t>
      </w:r>
      <w:r>
        <w:rPr>
          <w:spacing w:val="-3"/>
          <w:sz w:val="21"/>
        </w:rPr>
        <w:t>。</w:t>
      </w:r>
      <w:r>
        <w:rPr>
          <w:sz w:val="21"/>
        </w:rPr>
        <w:t xml:space="preserve"> </w:t>
      </w:r>
    </w:p>
    <w:p w14:paraId="7E661881" w14:textId="77777777" w:rsidR="00A71EEF" w:rsidRDefault="0081115D">
      <w:pPr>
        <w:pStyle w:val="a4"/>
        <w:numPr>
          <w:ilvl w:val="1"/>
          <w:numId w:val="68"/>
        </w:numPr>
        <w:tabs>
          <w:tab w:val="left" w:pos="1266"/>
        </w:tabs>
        <w:spacing w:line="446" w:lineRule="auto"/>
        <w:ind w:left="418" w:right="1553" w:firstLine="422"/>
        <w:rPr>
          <w:sz w:val="21"/>
        </w:rPr>
      </w:pPr>
      <w:r>
        <w:rPr>
          <w:spacing w:val="-5"/>
          <w:sz w:val="21"/>
        </w:rPr>
        <w:t>水平设置的管道宜有坡度，并应坡向泄水阀。充水管道的坡度不宜小于</w:t>
      </w:r>
      <w:r>
        <w:rPr>
          <w:spacing w:val="-5"/>
          <w:sz w:val="21"/>
        </w:rPr>
        <w:t xml:space="preserve"> </w:t>
      </w:r>
      <w:r>
        <w:rPr>
          <w:sz w:val="21"/>
        </w:rPr>
        <w:t>2‰</w:t>
      </w:r>
      <w:r>
        <w:rPr>
          <w:spacing w:val="-1"/>
          <w:sz w:val="21"/>
        </w:rPr>
        <w:t>，准工作</w:t>
      </w:r>
      <w:r>
        <w:rPr>
          <w:spacing w:val="-7"/>
          <w:sz w:val="21"/>
        </w:rPr>
        <w:t>状态不充水管道的坡度不宜小于</w:t>
      </w:r>
      <w:r>
        <w:rPr>
          <w:spacing w:val="-7"/>
          <w:sz w:val="21"/>
        </w:rPr>
        <w:t xml:space="preserve"> </w:t>
      </w:r>
      <w:r>
        <w:rPr>
          <w:sz w:val="21"/>
        </w:rPr>
        <w:t>4</w:t>
      </w:r>
      <w:r>
        <w:rPr>
          <w:spacing w:val="-2"/>
          <w:sz w:val="21"/>
        </w:rPr>
        <w:t>‰</w:t>
      </w:r>
      <w:r>
        <w:rPr>
          <w:spacing w:val="-2"/>
          <w:sz w:val="21"/>
        </w:rPr>
        <w:t>。</w:t>
      </w:r>
      <w:r>
        <w:rPr>
          <w:sz w:val="21"/>
        </w:rPr>
        <w:t xml:space="preserve"> </w:t>
      </w:r>
    </w:p>
    <w:p w14:paraId="2DC6F5D7" w14:textId="77777777" w:rsidR="00A71EEF" w:rsidRDefault="0081115D">
      <w:pPr>
        <w:pStyle w:val="4"/>
        <w:spacing w:line="278" w:lineRule="exact"/>
      </w:pPr>
      <w:r>
        <w:t xml:space="preserve">9 </w:t>
      </w:r>
      <w:r>
        <w:t>水力计算</w:t>
      </w:r>
      <w:r>
        <w:rPr>
          <w:w w:val="99"/>
        </w:rPr>
        <w:t xml:space="preserve"> </w:t>
      </w:r>
    </w:p>
    <w:p w14:paraId="44D1FF03" w14:textId="77777777" w:rsidR="00A71EEF" w:rsidRDefault="00A71EEF">
      <w:pPr>
        <w:pStyle w:val="a3"/>
        <w:spacing w:before="3"/>
        <w:rPr>
          <w:b/>
          <w:sz w:val="17"/>
        </w:rPr>
      </w:pPr>
    </w:p>
    <w:p w14:paraId="473101FD" w14:textId="77777777" w:rsidR="00A71EEF" w:rsidRDefault="0081115D">
      <w:pPr>
        <w:pStyle w:val="a4"/>
        <w:numPr>
          <w:ilvl w:val="1"/>
          <w:numId w:val="67"/>
        </w:numPr>
        <w:tabs>
          <w:tab w:val="left" w:pos="736"/>
        </w:tabs>
        <w:jc w:val="left"/>
        <w:rPr>
          <w:sz w:val="24"/>
        </w:rPr>
      </w:pPr>
      <w:r>
        <w:rPr>
          <w:spacing w:val="-3"/>
          <w:sz w:val="21"/>
        </w:rPr>
        <w:t>系统的设计流量</w:t>
      </w:r>
      <w:r>
        <w:rPr>
          <w:color w:val="333333"/>
          <w:sz w:val="24"/>
        </w:rPr>
        <w:t xml:space="preserve"> </w:t>
      </w:r>
    </w:p>
    <w:p w14:paraId="3E260FF7" w14:textId="77777777" w:rsidR="00A71EEF" w:rsidRDefault="00A71EEF">
      <w:pPr>
        <w:pStyle w:val="a3"/>
        <w:spacing w:before="12"/>
        <w:rPr>
          <w:sz w:val="17"/>
        </w:rPr>
      </w:pPr>
    </w:p>
    <w:p w14:paraId="553F5464" w14:textId="77777777" w:rsidR="00A71EEF" w:rsidRDefault="0081115D">
      <w:pPr>
        <w:pStyle w:val="a4"/>
        <w:numPr>
          <w:ilvl w:val="2"/>
          <w:numId w:val="67"/>
        </w:numPr>
        <w:tabs>
          <w:tab w:val="left" w:pos="1422"/>
        </w:tabs>
        <w:rPr>
          <w:sz w:val="21"/>
        </w:rPr>
      </w:pPr>
      <w:r>
        <w:rPr>
          <w:spacing w:val="-3"/>
          <w:sz w:val="21"/>
        </w:rPr>
        <w:t>系统最不利点处喷头的工作压力应计算确定，喷头的流量应按下式计算：</w:t>
      </w:r>
      <w:r>
        <w:rPr>
          <w:spacing w:val="-3"/>
          <w:sz w:val="21"/>
        </w:rPr>
        <w:t xml:space="preserve"> </w:t>
      </w:r>
    </w:p>
    <w:p w14:paraId="79955C1D" w14:textId="77777777" w:rsidR="00A71EEF" w:rsidRDefault="00A71EEF">
      <w:pPr>
        <w:pStyle w:val="a3"/>
        <w:rPr>
          <w:sz w:val="20"/>
        </w:rPr>
      </w:pPr>
    </w:p>
    <w:p w14:paraId="71FBB1EE" w14:textId="77777777" w:rsidR="00A71EEF" w:rsidRDefault="0081115D">
      <w:pPr>
        <w:pStyle w:val="a3"/>
        <w:spacing w:before="1"/>
        <w:rPr>
          <w:sz w:val="17"/>
        </w:rPr>
      </w:pPr>
      <w:r>
        <w:rPr>
          <w:noProof/>
        </w:rPr>
        <w:drawing>
          <wp:anchor distT="0" distB="0" distL="0" distR="0" simplePos="0" relativeHeight="251735552" behindDoc="0" locked="0" layoutInCell="1" allowOverlap="1" wp14:anchorId="131BFE5A" wp14:editId="33F98B4D">
            <wp:simplePos x="0" y="0"/>
            <wp:positionH relativeFrom="page">
              <wp:posOffset>1818004</wp:posOffset>
            </wp:positionH>
            <wp:positionV relativeFrom="paragraph">
              <wp:posOffset>163794</wp:posOffset>
            </wp:positionV>
            <wp:extent cx="3961775" cy="304800"/>
            <wp:effectExtent l="0" t="0" r="0" b="0"/>
            <wp:wrapTopAndBottom/>
            <wp:docPr id="773" name="image4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 name="image455.jpeg"/>
                    <pic:cNvPicPr/>
                  </pic:nvPicPr>
                  <pic:blipFill>
                    <a:blip r:embed="rId568" cstate="print"/>
                    <a:stretch>
                      <a:fillRect/>
                    </a:stretch>
                  </pic:blipFill>
                  <pic:spPr>
                    <a:xfrm>
                      <a:off x="0" y="0"/>
                      <a:ext cx="3961775" cy="304800"/>
                    </a:xfrm>
                    <a:prstGeom prst="rect">
                      <a:avLst/>
                    </a:prstGeom>
                  </pic:spPr>
                </pic:pic>
              </a:graphicData>
            </a:graphic>
          </wp:anchor>
        </w:drawing>
      </w:r>
    </w:p>
    <w:p w14:paraId="5FE5D8CB" w14:textId="77777777" w:rsidR="00A71EEF" w:rsidRDefault="0081115D">
      <w:pPr>
        <w:pStyle w:val="a3"/>
        <w:spacing w:before="155" w:line="424" w:lineRule="auto"/>
        <w:ind w:left="838" w:right="6551"/>
      </w:pPr>
      <w:r>
        <w:t>式中：</w:t>
      </w:r>
      <w:r>
        <w:rPr>
          <w:i/>
          <w:sz w:val="22"/>
        </w:rPr>
        <w:t>q</w:t>
      </w:r>
      <w:r>
        <w:rPr>
          <w:spacing w:val="-2"/>
        </w:rPr>
        <w:t>——</w:t>
      </w:r>
      <w:r>
        <w:rPr>
          <w:spacing w:val="-2"/>
        </w:rPr>
        <w:t>喷头流量</w:t>
      </w:r>
      <w:r>
        <w:t>（</w:t>
      </w:r>
      <w:r>
        <w:t>L/min</w:t>
      </w:r>
      <w:r>
        <w:t>）；</w:t>
      </w:r>
      <w:r>
        <w:t xml:space="preserve"> </w:t>
      </w:r>
      <w:r>
        <w:rPr>
          <w:i/>
          <w:sz w:val="22"/>
        </w:rPr>
        <w:t>P</w:t>
      </w:r>
      <w:r>
        <w:rPr>
          <w:spacing w:val="-3"/>
        </w:rPr>
        <w:t>——</w:t>
      </w:r>
      <w:r>
        <w:rPr>
          <w:spacing w:val="-3"/>
        </w:rPr>
        <w:t>喷头工作压力</w:t>
      </w:r>
      <w:r>
        <w:t>（</w:t>
      </w:r>
      <w:r>
        <w:t>MPa</w:t>
      </w:r>
      <w:r>
        <w:t>）；</w:t>
      </w:r>
      <w:r>
        <w:t xml:space="preserve"> </w:t>
      </w:r>
      <w:r>
        <w:rPr>
          <w:i/>
          <w:sz w:val="22"/>
        </w:rPr>
        <w:t>K</w:t>
      </w:r>
      <w:r>
        <w:rPr>
          <w:spacing w:val="-3"/>
        </w:rPr>
        <w:t>——</w:t>
      </w:r>
      <w:r>
        <w:rPr>
          <w:spacing w:val="-3"/>
        </w:rPr>
        <w:t>喷头流量系数。</w:t>
      </w:r>
      <w:r>
        <w:t xml:space="preserve"> </w:t>
      </w:r>
    </w:p>
    <w:p w14:paraId="0FBABBCA" w14:textId="77777777" w:rsidR="00A71EEF" w:rsidRDefault="00A71EEF">
      <w:pPr>
        <w:spacing w:line="424" w:lineRule="auto"/>
        <w:sectPr w:rsidR="00A71EEF">
          <w:pgSz w:w="11910" w:h="16850"/>
          <w:pgMar w:top="1220" w:right="0" w:bottom="1420" w:left="1260" w:header="0" w:footer="1239" w:gutter="0"/>
          <w:cols w:space="720"/>
        </w:sectPr>
      </w:pPr>
    </w:p>
    <w:p w14:paraId="09C2F845" w14:textId="77777777" w:rsidR="00A71EEF" w:rsidRDefault="0081115D">
      <w:pPr>
        <w:pStyle w:val="a4"/>
        <w:numPr>
          <w:ilvl w:val="2"/>
          <w:numId w:val="67"/>
        </w:numPr>
        <w:tabs>
          <w:tab w:val="left" w:pos="1424"/>
        </w:tabs>
        <w:spacing w:before="47" w:line="446" w:lineRule="auto"/>
        <w:ind w:left="418" w:right="1445" w:firstLine="422"/>
        <w:rPr>
          <w:sz w:val="21"/>
        </w:rPr>
      </w:pPr>
      <w:r>
        <w:rPr>
          <w:spacing w:val="-3"/>
          <w:sz w:val="21"/>
        </w:rPr>
        <w:t>水力计算选定的最不利点处作用面积宜为矩形，其长边应平行于配水支管，其长度不</w:t>
      </w:r>
      <w:r>
        <w:rPr>
          <w:spacing w:val="-8"/>
          <w:sz w:val="21"/>
        </w:rPr>
        <w:t>宜小于作用面积平方根的</w:t>
      </w:r>
      <w:r>
        <w:rPr>
          <w:spacing w:val="-8"/>
          <w:sz w:val="21"/>
        </w:rPr>
        <w:t xml:space="preserve"> </w:t>
      </w:r>
      <w:r>
        <w:rPr>
          <w:sz w:val="21"/>
        </w:rPr>
        <w:t>1.2</w:t>
      </w:r>
      <w:r>
        <w:rPr>
          <w:spacing w:val="-2"/>
          <w:sz w:val="21"/>
        </w:rPr>
        <w:t xml:space="preserve"> </w:t>
      </w:r>
      <w:r>
        <w:rPr>
          <w:spacing w:val="-2"/>
          <w:sz w:val="21"/>
        </w:rPr>
        <w:t>倍。</w:t>
      </w:r>
      <w:r>
        <w:rPr>
          <w:sz w:val="21"/>
        </w:rPr>
        <w:t xml:space="preserve"> </w:t>
      </w:r>
    </w:p>
    <w:p w14:paraId="17BB3846" w14:textId="77777777" w:rsidR="00A71EEF" w:rsidRDefault="0081115D">
      <w:pPr>
        <w:pStyle w:val="a4"/>
        <w:numPr>
          <w:ilvl w:val="2"/>
          <w:numId w:val="67"/>
        </w:numPr>
        <w:tabs>
          <w:tab w:val="left" w:pos="1367"/>
        </w:tabs>
        <w:spacing w:line="446" w:lineRule="auto"/>
        <w:ind w:left="418" w:right="1606" w:firstLine="419"/>
        <w:rPr>
          <w:sz w:val="21"/>
        </w:rPr>
      </w:pPr>
      <w:r>
        <w:rPr>
          <w:noProof/>
        </w:rPr>
        <w:drawing>
          <wp:anchor distT="0" distB="0" distL="0" distR="0" simplePos="0" relativeHeight="251782656" behindDoc="0" locked="0" layoutInCell="1" allowOverlap="1" wp14:anchorId="0761E331" wp14:editId="51557696">
            <wp:simplePos x="0" y="0"/>
            <wp:positionH relativeFrom="page">
              <wp:posOffset>1806575</wp:posOffset>
            </wp:positionH>
            <wp:positionV relativeFrom="paragraph">
              <wp:posOffset>620902</wp:posOffset>
            </wp:positionV>
            <wp:extent cx="4061460" cy="527050"/>
            <wp:effectExtent l="0" t="0" r="0" b="0"/>
            <wp:wrapNone/>
            <wp:docPr id="775" name="image4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image456.jpeg"/>
                    <pic:cNvPicPr/>
                  </pic:nvPicPr>
                  <pic:blipFill>
                    <a:blip r:embed="rId569" cstate="print"/>
                    <a:stretch>
                      <a:fillRect/>
                    </a:stretch>
                  </pic:blipFill>
                  <pic:spPr>
                    <a:xfrm>
                      <a:off x="0" y="0"/>
                      <a:ext cx="4061460" cy="527050"/>
                    </a:xfrm>
                    <a:prstGeom prst="rect">
                      <a:avLst/>
                    </a:prstGeom>
                  </pic:spPr>
                </pic:pic>
              </a:graphicData>
            </a:graphic>
          </wp:anchor>
        </w:drawing>
      </w:r>
      <w:r>
        <w:rPr>
          <w:spacing w:val="-3"/>
          <w:sz w:val="21"/>
        </w:rPr>
        <w:t>系统的设计流量，应按最不利点处作用面积内喷头同时喷水的总流量确定，且应按下式计算：</w:t>
      </w:r>
      <w:r>
        <w:rPr>
          <w:sz w:val="21"/>
        </w:rPr>
        <w:t xml:space="preserve"> </w:t>
      </w:r>
    </w:p>
    <w:p w14:paraId="046A9AAB" w14:textId="77777777" w:rsidR="00A71EEF" w:rsidRDefault="00A71EEF">
      <w:pPr>
        <w:pStyle w:val="a3"/>
        <w:rPr>
          <w:sz w:val="20"/>
        </w:rPr>
      </w:pPr>
    </w:p>
    <w:p w14:paraId="08BC3F4E" w14:textId="77777777" w:rsidR="00A71EEF" w:rsidRDefault="00A71EEF">
      <w:pPr>
        <w:pStyle w:val="a3"/>
        <w:rPr>
          <w:sz w:val="20"/>
        </w:rPr>
      </w:pPr>
    </w:p>
    <w:p w14:paraId="38D55B1E" w14:textId="77777777" w:rsidR="00A71EEF" w:rsidRDefault="00A71EEF">
      <w:pPr>
        <w:pStyle w:val="a3"/>
        <w:rPr>
          <w:sz w:val="20"/>
        </w:rPr>
      </w:pPr>
    </w:p>
    <w:p w14:paraId="6C15682F" w14:textId="77777777" w:rsidR="00A71EEF" w:rsidRDefault="00A71EEF">
      <w:pPr>
        <w:pStyle w:val="a3"/>
        <w:rPr>
          <w:sz w:val="20"/>
        </w:rPr>
      </w:pPr>
    </w:p>
    <w:p w14:paraId="0C4ACE8F" w14:textId="77777777" w:rsidR="00A71EEF" w:rsidRDefault="00A71EEF">
      <w:pPr>
        <w:pStyle w:val="a3"/>
        <w:rPr>
          <w:sz w:val="20"/>
        </w:rPr>
      </w:pPr>
    </w:p>
    <w:p w14:paraId="2CE3049D" w14:textId="77777777" w:rsidR="00A71EEF" w:rsidRDefault="00A71EEF">
      <w:pPr>
        <w:pStyle w:val="a3"/>
        <w:spacing w:before="9"/>
        <w:rPr>
          <w:sz w:val="16"/>
        </w:rPr>
      </w:pPr>
    </w:p>
    <w:p w14:paraId="1C34CB83" w14:textId="77777777" w:rsidR="00A71EEF" w:rsidRDefault="0081115D">
      <w:pPr>
        <w:pStyle w:val="a3"/>
        <w:spacing w:before="1"/>
        <w:ind w:left="838"/>
      </w:pPr>
      <w:r>
        <w:t>式中：</w:t>
      </w:r>
      <w:r>
        <w:rPr>
          <w:i/>
          <w:sz w:val="22"/>
        </w:rPr>
        <w:t>Q</w:t>
      </w:r>
      <w:r>
        <w:t>——</w:t>
      </w:r>
      <w:r>
        <w:t>系统设计流量（</w:t>
      </w:r>
      <w:r>
        <w:t>L/s</w:t>
      </w:r>
      <w:r>
        <w:t>）；</w:t>
      </w:r>
      <w:r>
        <w:t xml:space="preserve"> </w:t>
      </w:r>
    </w:p>
    <w:p w14:paraId="30701737" w14:textId="77777777" w:rsidR="00A71EEF" w:rsidRDefault="00A71EEF">
      <w:pPr>
        <w:pStyle w:val="a3"/>
        <w:spacing w:before="1"/>
        <w:rPr>
          <w:sz w:val="17"/>
        </w:rPr>
      </w:pPr>
    </w:p>
    <w:p w14:paraId="57375C6A" w14:textId="77777777" w:rsidR="00A71EEF" w:rsidRDefault="0081115D">
      <w:pPr>
        <w:pStyle w:val="a3"/>
        <w:spacing w:line="424" w:lineRule="auto"/>
        <w:ind w:left="838" w:right="4184"/>
      </w:pPr>
      <w:r>
        <w:rPr>
          <w:i/>
          <w:position w:val="1"/>
          <w:sz w:val="22"/>
        </w:rPr>
        <w:t>q</w:t>
      </w:r>
      <w:r>
        <w:rPr>
          <w:sz w:val="11"/>
        </w:rPr>
        <w:t>i</w:t>
      </w:r>
      <w:r>
        <w:rPr>
          <w:position w:val="1"/>
        </w:rPr>
        <w:t>——</w:t>
      </w:r>
      <w:r>
        <w:rPr>
          <w:position w:val="1"/>
        </w:rPr>
        <w:t>最不利点处作用面积内各喷头节点的流量（</w:t>
      </w:r>
      <w:r>
        <w:rPr>
          <w:position w:val="1"/>
        </w:rPr>
        <w:t>L/min</w:t>
      </w:r>
      <w:r>
        <w:rPr>
          <w:position w:val="1"/>
        </w:rPr>
        <w:t>）；</w:t>
      </w:r>
      <w:r>
        <w:rPr>
          <w:position w:val="1"/>
        </w:rPr>
        <w:t xml:space="preserve"> </w:t>
      </w:r>
      <w:r>
        <w:rPr>
          <w:i/>
          <w:sz w:val="22"/>
        </w:rPr>
        <w:t>n</w:t>
      </w:r>
      <w:r>
        <w:t>——</w:t>
      </w:r>
      <w:r>
        <w:t>最不利点处作用面积内的洒水喷头数。</w:t>
      </w:r>
      <w:r>
        <w:t xml:space="preserve"> </w:t>
      </w:r>
    </w:p>
    <w:p w14:paraId="01E13AA2" w14:textId="77777777" w:rsidR="00A71EEF" w:rsidRDefault="0081115D">
      <w:pPr>
        <w:pStyle w:val="a4"/>
        <w:numPr>
          <w:ilvl w:val="2"/>
          <w:numId w:val="67"/>
        </w:numPr>
        <w:tabs>
          <w:tab w:val="left" w:pos="1370"/>
        </w:tabs>
        <w:spacing w:before="11" w:line="446" w:lineRule="auto"/>
        <w:ind w:left="418" w:right="1604" w:firstLine="422"/>
        <w:rPr>
          <w:sz w:val="21"/>
        </w:rPr>
      </w:pPr>
      <w:r>
        <w:rPr>
          <w:spacing w:val="-3"/>
          <w:sz w:val="21"/>
        </w:rPr>
        <w:t>保护防火卷帘、防火玻璃墙等防火分隔设施的防护冷却系统，系统的设计流量应按计算长度内喷头同时喷水的总流量确定。计算长度应符合下列要求：</w:t>
      </w:r>
      <w:r>
        <w:rPr>
          <w:sz w:val="21"/>
        </w:rPr>
        <w:t xml:space="preserve"> </w:t>
      </w:r>
    </w:p>
    <w:p w14:paraId="38931073" w14:textId="77777777" w:rsidR="00A71EEF" w:rsidRDefault="00A71EEF">
      <w:pPr>
        <w:pStyle w:val="a3"/>
        <w:rPr>
          <w:sz w:val="20"/>
        </w:rPr>
      </w:pPr>
    </w:p>
    <w:p w14:paraId="7CEADD13" w14:textId="77777777" w:rsidR="00A71EEF" w:rsidRDefault="00A71EEF">
      <w:pPr>
        <w:pStyle w:val="a3"/>
        <w:rPr>
          <w:sz w:val="19"/>
        </w:rPr>
      </w:pPr>
    </w:p>
    <w:p w14:paraId="593015D1" w14:textId="77777777" w:rsidR="00A71EEF" w:rsidRDefault="0081115D">
      <w:pPr>
        <w:pStyle w:val="a3"/>
        <w:spacing w:line="446" w:lineRule="auto"/>
        <w:ind w:left="418" w:right="1609" w:firstLine="419"/>
      </w:pPr>
      <w:r>
        <w:rPr>
          <w:spacing w:val="-5"/>
        </w:rPr>
        <w:t>当设置场所设有自动喷水灭火系统时，计算长度不应小于本规范第</w:t>
      </w:r>
      <w:r>
        <w:rPr>
          <w:spacing w:val="-5"/>
        </w:rPr>
        <w:t xml:space="preserve"> </w:t>
      </w:r>
      <w:r>
        <w:t>9.1.2</w:t>
      </w:r>
      <w:r>
        <w:rPr>
          <w:spacing w:val="-7"/>
        </w:rPr>
        <w:t xml:space="preserve"> </w:t>
      </w:r>
      <w:r>
        <w:rPr>
          <w:spacing w:val="-7"/>
        </w:rPr>
        <w:t>条确定的长边长</w:t>
      </w:r>
      <w:r>
        <w:rPr>
          <w:spacing w:val="-5"/>
        </w:rPr>
        <w:t>度；</w:t>
      </w:r>
      <w:r>
        <w:t xml:space="preserve"> </w:t>
      </w:r>
    </w:p>
    <w:p w14:paraId="24C1CCC4" w14:textId="77777777" w:rsidR="00A71EEF" w:rsidRDefault="0081115D">
      <w:pPr>
        <w:pStyle w:val="a3"/>
        <w:spacing w:line="446" w:lineRule="auto"/>
        <w:ind w:left="418" w:right="1609" w:firstLine="419"/>
      </w:pPr>
      <w:r>
        <w:t>当设置场所未设置自动喷水灭火系统时，计算长度不应小于任意一个防火分区内所有需保护的防火分隔设施总长度之和。</w:t>
      </w:r>
      <w:r>
        <w:t xml:space="preserve"> </w:t>
      </w:r>
    </w:p>
    <w:p w14:paraId="39D94CE0" w14:textId="77777777" w:rsidR="00A71EEF" w:rsidRDefault="0081115D">
      <w:pPr>
        <w:pStyle w:val="a4"/>
        <w:numPr>
          <w:ilvl w:val="2"/>
          <w:numId w:val="67"/>
        </w:numPr>
        <w:tabs>
          <w:tab w:val="left" w:pos="1424"/>
        </w:tabs>
        <w:spacing w:line="446" w:lineRule="auto"/>
        <w:ind w:left="418" w:right="1450" w:firstLine="422"/>
        <w:rPr>
          <w:sz w:val="21"/>
        </w:rPr>
      </w:pPr>
      <w:r>
        <w:rPr>
          <w:spacing w:val="-3"/>
          <w:sz w:val="21"/>
        </w:rPr>
        <w:t>系统设计流量的计算，应保证任意作用面积内的平均喷水强度不低于本规范表</w:t>
      </w:r>
      <w:r>
        <w:rPr>
          <w:spacing w:val="-3"/>
          <w:sz w:val="21"/>
        </w:rPr>
        <w:t xml:space="preserve">  5.0.1</w:t>
      </w:r>
      <w:r>
        <w:rPr>
          <w:spacing w:val="-20"/>
          <w:sz w:val="21"/>
        </w:rPr>
        <w:t>、表</w:t>
      </w:r>
      <w:r>
        <w:rPr>
          <w:spacing w:val="-20"/>
          <w:sz w:val="21"/>
        </w:rPr>
        <w:t xml:space="preserve"> </w:t>
      </w:r>
      <w:r>
        <w:rPr>
          <w:sz w:val="21"/>
        </w:rPr>
        <w:t>5.0.2</w:t>
      </w:r>
      <w:r>
        <w:rPr>
          <w:spacing w:val="-13"/>
          <w:sz w:val="21"/>
        </w:rPr>
        <w:t xml:space="preserve"> </w:t>
      </w:r>
      <w:r>
        <w:rPr>
          <w:spacing w:val="-13"/>
          <w:sz w:val="21"/>
        </w:rPr>
        <w:t>和表</w:t>
      </w:r>
      <w:r>
        <w:rPr>
          <w:spacing w:val="-13"/>
          <w:sz w:val="21"/>
        </w:rPr>
        <w:t xml:space="preserve"> </w:t>
      </w:r>
      <w:r>
        <w:rPr>
          <w:sz w:val="21"/>
        </w:rPr>
        <w:t>5.0.4-1</w:t>
      </w:r>
      <w:r>
        <w:rPr>
          <w:sz w:val="21"/>
        </w:rPr>
        <w:t>～</w:t>
      </w:r>
      <w:r>
        <w:rPr>
          <w:spacing w:val="-25"/>
          <w:sz w:val="21"/>
        </w:rPr>
        <w:t>表</w:t>
      </w:r>
      <w:r>
        <w:rPr>
          <w:spacing w:val="-25"/>
          <w:sz w:val="21"/>
        </w:rPr>
        <w:t xml:space="preserve"> </w:t>
      </w:r>
      <w:r>
        <w:rPr>
          <w:sz w:val="21"/>
        </w:rPr>
        <w:t>5.0.4-5</w:t>
      </w:r>
      <w:r>
        <w:rPr>
          <w:spacing w:val="-11"/>
          <w:sz w:val="21"/>
        </w:rPr>
        <w:t xml:space="preserve"> </w:t>
      </w:r>
      <w:r>
        <w:rPr>
          <w:spacing w:val="-11"/>
          <w:sz w:val="21"/>
        </w:rPr>
        <w:t>的规定值。最不利点处作用面积内任意</w:t>
      </w:r>
      <w:r>
        <w:rPr>
          <w:spacing w:val="-11"/>
          <w:sz w:val="21"/>
        </w:rPr>
        <w:t xml:space="preserve"> </w:t>
      </w:r>
      <w:r>
        <w:rPr>
          <w:sz w:val="21"/>
        </w:rPr>
        <w:t>4</w:t>
      </w:r>
      <w:r>
        <w:rPr>
          <w:spacing w:val="-12"/>
          <w:sz w:val="21"/>
        </w:rPr>
        <w:t xml:space="preserve"> </w:t>
      </w:r>
      <w:r>
        <w:rPr>
          <w:spacing w:val="-12"/>
          <w:sz w:val="21"/>
        </w:rPr>
        <w:t>只喷头围</w:t>
      </w:r>
      <w:r>
        <w:rPr>
          <w:spacing w:val="-8"/>
          <w:sz w:val="21"/>
        </w:rPr>
        <w:t>合范围内的平均喷水强度，轻危险、中危险级不应低于本规范表</w:t>
      </w:r>
      <w:r>
        <w:rPr>
          <w:spacing w:val="-8"/>
          <w:sz w:val="21"/>
        </w:rPr>
        <w:t xml:space="preserve"> </w:t>
      </w:r>
      <w:r>
        <w:rPr>
          <w:sz w:val="21"/>
        </w:rPr>
        <w:t>5.0.1</w:t>
      </w:r>
      <w:r>
        <w:rPr>
          <w:spacing w:val="-15"/>
          <w:sz w:val="21"/>
        </w:rPr>
        <w:t xml:space="preserve"> </w:t>
      </w:r>
      <w:r>
        <w:rPr>
          <w:spacing w:val="-15"/>
          <w:sz w:val="21"/>
        </w:rPr>
        <w:t>规定值的</w:t>
      </w:r>
      <w:r>
        <w:rPr>
          <w:spacing w:val="-15"/>
          <w:sz w:val="21"/>
        </w:rPr>
        <w:t xml:space="preserve"> </w:t>
      </w:r>
      <w:r>
        <w:rPr>
          <w:sz w:val="21"/>
        </w:rPr>
        <w:t>85</w:t>
      </w:r>
      <w:r>
        <w:rPr>
          <w:spacing w:val="-1"/>
          <w:sz w:val="21"/>
        </w:rPr>
        <w:t>%</w:t>
      </w:r>
      <w:r>
        <w:rPr>
          <w:spacing w:val="-1"/>
          <w:sz w:val="21"/>
        </w:rPr>
        <w:t>；严重危险</w:t>
      </w:r>
      <w:r>
        <w:rPr>
          <w:spacing w:val="-7"/>
          <w:sz w:val="21"/>
        </w:rPr>
        <w:t>级和仓库危险级不应低于本规范表</w:t>
      </w:r>
      <w:r>
        <w:rPr>
          <w:spacing w:val="-7"/>
          <w:sz w:val="21"/>
        </w:rPr>
        <w:t xml:space="preserve"> </w:t>
      </w:r>
      <w:r>
        <w:rPr>
          <w:sz w:val="21"/>
        </w:rPr>
        <w:t>5.0.1</w:t>
      </w:r>
      <w:r>
        <w:rPr>
          <w:spacing w:val="-29"/>
          <w:sz w:val="21"/>
        </w:rPr>
        <w:t xml:space="preserve"> </w:t>
      </w:r>
      <w:r>
        <w:rPr>
          <w:spacing w:val="-29"/>
          <w:sz w:val="21"/>
        </w:rPr>
        <w:t>和表</w:t>
      </w:r>
      <w:r>
        <w:rPr>
          <w:spacing w:val="-29"/>
          <w:sz w:val="21"/>
        </w:rPr>
        <w:t xml:space="preserve"> </w:t>
      </w:r>
      <w:r>
        <w:rPr>
          <w:sz w:val="21"/>
        </w:rPr>
        <w:t>5.0.4-1</w:t>
      </w:r>
      <w:r>
        <w:rPr>
          <w:sz w:val="21"/>
        </w:rPr>
        <w:t>～</w:t>
      </w:r>
      <w:r>
        <w:rPr>
          <w:spacing w:val="-26"/>
          <w:sz w:val="21"/>
        </w:rPr>
        <w:t>表</w:t>
      </w:r>
      <w:r>
        <w:rPr>
          <w:spacing w:val="-26"/>
          <w:sz w:val="21"/>
        </w:rPr>
        <w:t xml:space="preserve"> </w:t>
      </w:r>
      <w:r>
        <w:rPr>
          <w:sz w:val="21"/>
        </w:rPr>
        <w:t>5.0.4-5</w:t>
      </w:r>
      <w:r>
        <w:rPr>
          <w:spacing w:val="-11"/>
          <w:sz w:val="21"/>
        </w:rPr>
        <w:t xml:space="preserve"> </w:t>
      </w:r>
      <w:r>
        <w:rPr>
          <w:spacing w:val="-11"/>
          <w:sz w:val="21"/>
        </w:rPr>
        <w:t>的规定值。</w:t>
      </w:r>
      <w:r>
        <w:rPr>
          <w:spacing w:val="-11"/>
          <w:sz w:val="21"/>
        </w:rPr>
        <w:t xml:space="preserve"> </w:t>
      </w:r>
    </w:p>
    <w:p w14:paraId="606706C3" w14:textId="77777777" w:rsidR="00A71EEF" w:rsidRDefault="0081115D">
      <w:pPr>
        <w:pStyle w:val="a4"/>
        <w:numPr>
          <w:ilvl w:val="2"/>
          <w:numId w:val="67"/>
        </w:numPr>
        <w:tabs>
          <w:tab w:val="left" w:pos="1424"/>
        </w:tabs>
        <w:spacing w:line="446" w:lineRule="auto"/>
        <w:ind w:left="418" w:right="1445" w:firstLine="422"/>
        <w:rPr>
          <w:sz w:val="21"/>
        </w:rPr>
      </w:pPr>
      <w:r>
        <w:rPr>
          <w:spacing w:val="-3"/>
          <w:sz w:val="21"/>
        </w:rPr>
        <w:t>设置货架内置洒水喷头的仓库，顶板下洒水喷头与货架内置洒水喷头应分别计算设计流量，并应按其设计流量之和确定系统的设计流量。</w:t>
      </w:r>
      <w:r>
        <w:rPr>
          <w:spacing w:val="-3"/>
          <w:sz w:val="21"/>
        </w:rPr>
        <w:t xml:space="preserve"> </w:t>
      </w:r>
    </w:p>
    <w:p w14:paraId="6B7B5B6D" w14:textId="77777777" w:rsidR="00A71EEF" w:rsidRDefault="0081115D">
      <w:pPr>
        <w:pStyle w:val="a4"/>
        <w:numPr>
          <w:ilvl w:val="2"/>
          <w:numId w:val="67"/>
        </w:numPr>
        <w:tabs>
          <w:tab w:val="left" w:pos="1424"/>
        </w:tabs>
        <w:spacing w:line="446" w:lineRule="auto"/>
        <w:ind w:left="418" w:right="1445" w:firstLine="422"/>
        <w:rPr>
          <w:sz w:val="21"/>
        </w:rPr>
      </w:pPr>
      <w:r>
        <w:rPr>
          <w:spacing w:val="-3"/>
          <w:sz w:val="21"/>
        </w:rPr>
        <w:t>建筑内设有不同类型的系统或有不同危险等级的场所时，系统的设计流量应按其设计流量的最大值确定。</w:t>
      </w:r>
      <w:r>
        <w:rPr>
          <w:sz w:val="21"/>
        </w:rPr>
        <w:t xml:space="preserve"> </w:t>
      </w:r>
    </w:p>
    <w:p w14:paraId="766F56B6" w14:textId="77777777" w:rsidR="00A71EEF" w:rsidRDefault="0081115D">
      <w:pPr>
        <w:pStyle w:val="a4"/>
        <w:numPr>
          <w:ilvl w:val="2"/>
          <w:numId w:val="67"/>
        </w:numPr>
        <w:tabs>
          <w:tab w:val="left" w:pos="1371"/>
        </w:tabs>
        <w:spacing w:line="446" w:lineRule="auto"/>
        <w:ind w:left="418" w:right="1604" w:firstLine="422"/>
        <w:rPr>
          <w:sz w:val="21"/>
        </w:rPr>
      </w:pPr>
      <w:r>
        <w:rPr>
          <w:spacing w:val="-3"/>
          <w:sz w:val="21"/>
        </w:rPr>
        <w:t>当建筑物内同时设有自动喷水灭火系统和水幕系统时，系统的设计流量应按同时启用的自动喷水灭火系统和水幕系统的用水量计算，并应按二者之和中的最大值确定。</w:t>
      </w:r>
      <w:r>
        <w:rPr>
          <w:sz w:val="21"/>
        </w:rPr>
        <w:t xml:space="preserve"> </w:t>
      </w:r>
    </w:p>
    <w:p w14:paraId="285E7689" w14:textId="77777777" w:rsidR="00A71EEF" w:rsidRDefault="0081115D">
      <w:pPr>
        <w:pStyle w:val="a4"/>
        <w:numPr>
          <w:ilvl w:val="2"/>
          <w:numId w:val="67"/>
        </w:numPr>
        <w:tabs>
          <w:tab w:val="left" w:pos="1371"/>
        </w:tabs>
        <w:ind w:left="1370" w:hanging="531"/>
        <w:rPr>
          <w:sz w:val="21"/>
        </w:rPr>
      </w:pPr>
      <w:r>
        <w:rPr>
          <w:spacing w:val="-3"/>
          <w:sz w:val="21"/>
        </w:rPr>
        <w:t>雨淋系统和水幕系统的设计流量，应按雨淋报警阀控制的洒水喷头的流量之和确</w:t>
      </w:r>
    </w:p>
    <w:p w14:paraId="4AF62755" w14:textId="77777777" w:rsidR="00A71EEF" w:rsidRDefault="00A71EEF">
      <w:pPr>
        <w:rPr>
          <w:sz w:val="21"/>
        </w:rPr>
        <w:sectPr w:rsidR="00A71EEF">
          <w:footerReference w:type="default" r:id="rId570"/>
          <w:pgSz w:w="11910" w:h="16850"/>
          <w:pgMar w:top="1220" w:right="0" w:bottom="1420" w:left="1260" w:header="0" w:footer="1239" w:gutter="0"/>
          <w:pgNumType w:start="1600"/>
          <w:cols w:space="720"/>
        </w:sectPr>
      </w:pPr>
    </w:p>
    <w:p w14:paraId="604FBF3E" w14:textId="77777777" w:rsidR="00A71EEF" w:rsidRDefault="0081115D">
      <w:pPr>
        <w:pStyle w:val="a3"/>
        <w:spacing w:before="47" w:line="446" w:lineRule="auto"/>
        <w:ind w:left="418" w:right="1608"/>
      </w:pPr>
      <w:r>
        <w:t>定。多个雨淋报警阀并联的雨淋系统，系统设计流量应按同时启用雨淋报警阀的流量之和的最大值确定。</w:t>
      </w:r>
      <w:r>
        <w:t xml:space="preserve"> </w:t>
      </w:r>
    </w:p>
    <w:p w14:paraId="6E68A5C8" w14:textId="77777777" w:rsidR="00A71EEF" w:rsidRDefault="0081115D">
      <w:pPr>
        <w:pStyle w:val="a4"/>
        <w:numPr>
          <w:ilvl w:val="2"/>
          <w:numId w:val="67"/>
        </w:numPr>
        <w:tabs>
          <w:tab w:val="left" w:pos="1478"/>
        </w:tabs>
        <w:spacing w:line="446" w:lineRule="auto"/>
        <w:ind w:left="418" w:right="1498" w:firstLine="422"/>
        <w:rPr>
          <w:sz w:val="21"/>
        </w:rPr>
      </w:pPr>
      <w:r>
        <w:rPr>
          <w:spacing w:val="-3"/>
          <w:sz w:val="21"/>
        </w:rPr>
        <w:t>当原有系统延伸管道、扩展保护范围时，应对增设洒水喷头后的系统重新进行水力计算。</w:t>
      </w:r>
      <w:r>
        <w:rPr>
          <w:sz w:val="21"/>
        </w:rPr>
        <w:t xml:space="preserve"> </w:t>
      </w:r>
    </w:p>
    <w:p w14:paraId="3FACD7F3" w14:textId="77777777" w:rsidR="00A71EEF" w:rsidRDefault="0081115D">
      <w:pPr>
        <w:pStyle w:val="a4"/>
        <w:numPr>
          <w:ilvl w:val="1"/>
          <w:numId w:val="67"/>
        </w:numPr>
        <w:tabs>
          <w:tab w:val="left" w:pos="1159"/>
        </w:tabs>
        <w:ind w:left="1158" w:hanging="319"/>
        <w:jc w:val="left"/>
        <w:rPr>
          <w:b/>
          <w:sz w:val="21"/>
        </w:rPr>
      </w:pPr>
      <w:r>
        <w:rPr>
          <w:spacing w:val="-3"/>
          <w:sz w:val="21"/>
        </w:rPr>
        <w:t>管道水力计算</w:t>
      </w:r>
      <w:r>
        <w:rPr>
          <w:b/>
          <w:w w:val="99"/>
          <w:sz w:val="21"/>
        </w:rPr>
        <w:t xml:space="preserve"> </w:t>
      </w:r>
    </w:p>
    <w:p w14:paraId="64E56D80" w14:textId="77777777" w:rsidR="00A71EEF" w:rsidRDefault="00A71EEF">
      <w:pPr>
        <w:pStyle w:val="a3"/>
        <w:spacing w:before="10"/>
        <w:rPr>
          <w:b/>
          <w:sz w:val="17"/>
        </w:rPr>
      </w:pPr>
    </w:p>
    <w:p w14:paraId="50A6BABD" w14:textId="77777777" w:rsidR="00A71EEF" w:rsidRDefault="0081115D">
      <w:pPr>
        <w:pStyle w:val="a4"/>
        <w:numPr>
          <w:ilvl w:val="2"/>
          <w:numId w:val="67"/>
        </w:numPr>
        <w:tabs>
          <w:tab w:val="left" w:pos="1424"/>
        </w:tabs>
        <w:ind w:left="1423"/>
        <w:rPr>
          <w:sz w:val="21"/>
        </w:rPr>
      </w:pPr>
      <w:r>
        <w:rPr>
          <w:spacing w:val="-6"/>
          <w:sz w:val="21"/>
        </w:rPr>
        <w:t>管道内的水流速度宜采用经济流速，必要时可超过</w:t>
      </w:r>
      <w:r>
        <w:rPr>
          <w:spacing w:val="-6"/>
          <w:sz w:val="21"/>
        </w:rPr>
        <w:t xml:space="preserve"> </w:t>
      </w:r>
      <w:r>
        <w:rPr>
          <w:sz w:val="21"/>
        </w:rPr>
        <w:t>5m/s</w:t>
      </w:r>
      <w:r>
        <w:rPr>
          <w:spacing w:val="-10"/>
          <w:sz w:val="21"/>
        </w:rPr>
        <w:t>，但不应大于</w:t>
      </w:r>
      <w:r>
        <w:rPr>
          <w:spacing w:val="-10"/>
          <w:sz w:val="21"/>
        </w:rPr>
        <w:t xml:space="preserve"> </w:t>
      </w:r>
      <w:r>
        <w:rPr>
          <w:sz w:val="21"/>
        </w:rPr>
        <w:t>10m/s</w:t>
      </w:r>
      <w:r>
        <w:rPr>
          <w:spacing w:val="-3"/>
          <w:sz w:val="21"/>
        </w:rPr>
        <w:t>。</w:t>
      </w:r>
      <w:r>
        <w:rPr>
          <w:sz w:val="21"/>
        </w:rPr>
        <w:t xml:space="preserve"> </w:t>
      </w:r>
    </w:p>
    <w:p w14:paraId="2756CC70" w14:textId="77777777" w:rsidR="00A71EEF" w:rsidRDefault="00A71EEF">
      <w:pPr>
        <w:pStyle w:val="a3"/>
        <w:spacing w:before="2"/>
        <w:rPr>
          <w:sz w:val="18"/>
        </w:rPr>
      </w:pPr>
    </w:p>
    <w:p w14:paraId="47EDAE1E" w14:textId="77777777" w:rsidR="00A71EEF" w:rsidRDefault="0081115D">
      <w:pPr>
        <w:pStyle w:val="a4"/>
        <w:numPr>
          <w:ilvl w:val="2"/>
          <w:numId w:val="67"/>
        </w:numPr>
        <w:tabs>
          <w:tab w:val="left" w:pos="1424"/>
        </w:tabs>
        <w:ind w:left="1423"/>
        <w:rPr>
          <w:sz w:val="21"/>
        </w:rPr>
      </w:pPr>
      <w:r>
        <w:rPr>
          <w:spacing w:val="-3"/>
          <w:sz w:val="21"/>
        </w:rPr>
        <w:t>管道单位长度的沿程阻力损失应按下式计算：</w:t>
      </w:r>
      <w:r>
        <w:rPr>
          <w:spacing w:val="-3"/>
          <w:sz w:val="21"/>
        </w:rPr>
        <w:t xml:space="preserve"> </w:t>
      </w:r>
    </w:p>
    <w:p w14:paraId="043D8F0B" w14:textId="77777777" w:rsidR="00A71EEF" w:rsidRDefault="00A71EEF">
      <w:pPr>
        <w:pStyle w:val="a3"/>
        <w:rPr>
          <w:sz w:val="20"/>
        </w:rPr>
      </w:pPr>
    </w:p>
    <w:p w14:paraId="48A539D1" w14:textId="77777777" w:rsidR="00A71EEF" w:rsidRDefault="0081115D">
      <w:pPr>
        <w:pStyle w:val="a3"/>
        <w:spacing w:before="7"/>
        <w:rPr>
          <w:sz w:val="23"/>
        </w:rPr>
      </w:pPr>
      <w:r>
        <w:rPr>
          <w:noProof/>
        </w:rPr>
        <w:drawing>
          <wp:anchor distT="0" distB="0" distL="0" distR="0" simplePos="0" relativeHeight="251736576" behindDoc="0" locked="0" layoutInCell="1" allowOverlap="1" wp14:anchorId="56B343A3" wp14:editId="3636BAAD">
            <wp:simplePos x="0" y="0"/>
            <wp:positionH relativeFrom="page">
              <wp:posOffset>1330960</wp:posOffset>
            </wp:positionH>
            <wp:positionV relativeFrom="paragraph">
              <wp:posOffset>216852</wp:posOffset>
            </wp:positionV>
            <wp:extent cx="4319753" cy="533400"/>
            <wp:effectExtent l="0" t="0" r="0" b="0"/>
            <wp:wrapTopAndBottom/>
            <wp:docPr id="777" name="image4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 name="image457.jpeg"/>
                    <pic:cNvPicPr/>
                  </pic:nvPicPr>
                  <pic:blipFill>
                    <a:blip r:embed="rId571" cstate="print"/>
                    <a:stretch>
                      <a:fillRect/>
                    </a:stretch>
                  </pic:blipFill>
                  <pic:spPr>
                    <a:xfrm>
                      <a:off x="0" y="0"/>
                      <a:ext cx="4319753" cy="533400"/>
                    </a:xfrm>
                    <a:prstGeom prst="rect">
                      <a:avLst/>
                    </a:prstGeom>
                  </pic:spPr>
                </pic:pic>
              </a:graphicData>
            </a:graphic>
          </wp:anchor>
        </w:drawing>
      </w:r>
    </w:p>
    <w:p w14:paraId="05A7CFD6" w14:textId="77777777" w:rsidR="00A71EEF" w:rsidRDefault="00A71EEF">
      <w:pPr>
        <w:pStyle w:val="a3"/>
        <w:rPr>
          <w:sz w:val="20"/>
        </w:rPr>
      </w:pPr>
    </w:p>
    <w:p w14:paraId="11DCEE1B" w14:textId="77777777" w:rsidR="00A71EEF" w:rsidRDefault="00A71EEF">
      <w:pPr>
        <w:pStyle w:val="a3"/>
        <w:spacing w:before="8"/>
        <w:rPr>
          <w:sz w:val="27"/>
        </w:rPr>
      </w:pPr>
    </w:p>
    <w:p w14:paraId="63A73F79" w14:textId="77777777" w:rsidR="00A71EEF" w:rsidRDefault="0081115D">
      <w:pPr>
        <w:pStyle w:val="a3"/>
        <w:spacing w:before="71"/>
        <w:ind w:left="838"/>
      </w:pPr>
      <w:r>
        <w:t>式中：</w:t>
      </w:r>
      <w:r>
        <w:rPr>
          <w:i/>
          <w:sz w:val="22"/>
        </w:rPr>
        <w:t>i</w:t>
      </w:r>
      <w:r>
        <w:t>——</w:t>
      </w:r>
      <w:r>
        <w:t>管道单位长度的水头损失（</w:t>
      </w:r>
      <w:r>
        <w:t>kPa/m</w:t>
      </w:r>
      <w:r>
        <w:t>）；</w:t>
      </w:r>
      <w:r>
        <w:t xml:space="preserve"> </w:t>
      </w:r>
    </w:p>
    <w:p w14:paraId="223AF19B" w14:textId="77777777" w:rsidR="00A71EEF" w:rsidRDefault="00A71EEF">
      <w:pPr>
        <w:pStyle w:val="a3"/>
        <w:spacing w:before="2"/>
        <w:rPr>
          <w:sz w:val="17"/>
        </w:rPr>
      </w:pPr>
    </w:p>
    <w:p w14:paraId="4A538952" w14:textId="77777777" w:rsidR="00A71EEF" w:rsidRDefault="0081115D">
      <w:pPr>
        <w:pStyle w:val="a3"/>
        <w:ind w:left="838"/>
      </w:pPr>
      <w:r>
        <w:rPr>
          <w:position w:val="1"/>
        </w:rPr>
        <w:t xml:space="preserve"> </w:t>
      </w:r>
      <w:r>
        <w:rPr>
          <w:position w:val="1"/>
        </w:rPr>
        <w:t xml:space="preserve"> </w:t>
      </w:r>
      <w:r>
        <w:rPr>
          <w:position w:val="1"/>
        </w:rPr>
        <w:t xml:space="preserve">  </w:t>
      </w:r>
      <w:r>
        <w:rPr>
          <w:position w:val="1"/>
        </w:rPr>
        <w:t xml:space="preserve"> </w:t>
      </w:r>
      <w:r>
        <w:rPr>
          <w:position w:val="1"/>
        </w:rPr>
        <w:t xml:space="preserve"> </w:t>
      </w:r>
      <w:r>
        <w:rPr>
          <w:i/>
          <w:position w:val="1"/>
          <w:sz w:val="22"/>
        </w:rPr>
        <w:t>d</w:t>
      </w:r>
      <w:r>
        <w:rPr>
          <w:sz w:val="11"/>
        </w:rPr>
        <w:t>j</w:t>
      </w:r>
      <w:r>
        <w:rPr>
          <w:position w:val="1"/>
        </w:rPr>
        <w:t>——</w:t>
      </w:r>
      <w:r>
        <w:rPr>
          <w:position w:val="1"/>
        </w:rPr>
        <w:t>管道计算内径（</w:t>
      </w:r>
      <w:r>
        <w:rPr>
          <w:position w:val="1"/>
        </w:rPr>
        <w:t>mm</w:t>
      </w:r>
      <w:r>
        <w:rPr>
          <w:position w:val="1"/>
        </w:rPr>
        <w:t>）；</w:t>
      </w:r>
      <w:r>
        <w:rPr>
          <w:position w:val="1"/>
        </w:rPr>
        <w:t xml:space="preserve"> </w:t>
      </w:r>
    </w:p>
    <w:p w14:paraId="01C7E99B" w14:textId="77777777" w:rsidR="00A71EEF" w:rsidRDefault="00A71EEF">
      <w:pPr>
        <w:pStyle w:val="a3"/>
        <w:rPr>
          <w:sz w:val="17"/>
        </w:rPr>
      </w:pPr>
    </w:p>
    <w:p w14:paraId="6D59987A" w14:textId="77777777" w:rsidR="00A71EEF" w:rsidRDefault="0081115D">
      <w:pPr>
        <w:pStyle w:val="a3"/>
        <w:ind w:left="838"/>
      </w:pPr>
      <w:r>
        <w:rPr>
          <w:position w:val="1"/>
        </w:rPr>
        <w:t xml:space="preserve"> </w:t>
      </w:r>
      <w:r>
        <w:rPr>
          <w:position w:val="1"/>
        </w:rPr>
        <w:t xml:space="preserve"> </w:t>
      </w:r>
      <w:r>
        <w:rPr>
          <w:position w:val="1"/>
        </w:rPr>
        <w:t xml:space="preserve">  </w:t>
      </w:r>
      <w:r>
        <w:rPr>
          <w:position w:val="1"/>
        </w:rPr>
        <w:t xml:space="preserve"> </w:t>
      </w:r>
      <w:r>
        <w:rPr>
          <w:position w:val="1"/>
        </w:rPr>
        <w:t xml:space="preserve"> </w:t>
      </w:r>
      <w:r>
        <w:rPr>
          <w:i/>
          <w:position w:val="1"/>
          <w:sz w:val="22"/>
        </w:rPr>
        <w:t>q</w:t>
      </w:r>
      <w:r>
        <w:rPr>
          <w:sz w:val="11"/>
        </w:rPr>
        <w:t>g</w:t>
      </w:r>
      <w:r>
        <w:rPr>
          <w:position w:val="1"/>
        </w:rPr>
        <w:t>——</w:t>
      </w:r>
      <w:r>
        <w:rPr>
          <w:position w:val="1"/>
        </w:rPr>
        <w:t>管道设计流量（</w:t>
      </w:r>
      <w:r>
        <w:rPr>
          <w:position w:val="1"/>
        </w:rPr>
        <w:t>L/min</w:t>
      </w:r>
      <w:r>
        <w:rPr>
          <w:position w:val="1"/>
        </w:rPr>
        <w:t>）；</w:t>
      </w:r>
      <w:r>
        <w:rPr>
          <w:position w:val="1"/>
        </w:rPr>
        <w:t xml:space="preserve"> </w:t>
      </w:r>
    </w:p>
    <w:p w14:paraId="213B70DE" w14:textId="77777777" w:rsidR="00A71EEF" w:rsidRDefault="00A71EEF">
      <w:pPr>
        <w:pStyle w:val="a3"/>
        <w:spacing w:before="12"/>
        <w:rPr>
          <w:sz w:val="16"/>
        </w:rPr>
      </w:pPr>
    </w:p>
    <w:p w14:paraId="0065B876" w14:textId="77777777" w:rsidR="00A71EEF" w:rsidRDefault="0081115D">
      <w:pPr>
        <w:pStyle w:val="a3"/>
        <w:ind w:left="838"/>
      </w:pPr>
      <w:r>
        <w:rPr>
          <w:position w:val="1"/>
        </w:rPr>
        <w:t xml:space="preserve"> </w:t>
      </w:r>
      <w:r>
        <w:rPr>
          <w:position w:val="1"/>
        </w:rPr>
        <w:t xml:space="preserve"> </w:t>
      </w:r>
      <w:r>
        <w:rPr>
          <w:position w:val="1"/>
        </w:rPr>
        <w:t xml:space="preserve">  </w:t>
      </w:r>
      <w:r>
        <w:rPr>
          <w:position w:val="1"/>
        </w:rPr>
        <w:t xml:space="preserve"> </w:t>
      </w:r>
      <w:r>
        <w:rPr>
          <w:i/>
          <w:w w:val="96"/>
          <w:position w:val="1"/>
          <w:sz w:val="22"/>
        </w:rPr>
        <w:t xml:space="preserve"> </w:t>
      </w:r>
      <w:r>
        <w:rPr>
          <w:i/>
          <w:position w:val="1"/>
          <w:sz w:val="22"/>
        </w:rPr>
        <w:t>C</w:t>
      </w:r>
      <w:r>
        <w:rPr>
          <w:sz w:val="11"/>
        </w:rPr>
        <w:t>h</w:t>
      </w:r>
      <w:r>
        <w:rPr>
          <w:position w:val="1"/>
        </w:rPr>
        <w:t>——</w:t>
      </w:r>
      <w:r>
        <w:rPr>
          <w:position w:val="1"/>
        </w:rPr>
        <w:t>海澄</w:t>
      </w:r>
      <w:r>
        <w:rPr>
          <w:position w:val="1"/>
        </w:rPr>
        <w:t>—</w:t>
      </w:r>
      <w:r>
        <w:rPr>
          <w:position w:val="1"/>
        </w:rPr>
        <w:t>威廉系数，见表</w:t>
      </w:r>
      <w:r>
        <w:rPr>
          <w:position w:val="1"/>
        </w:rPr>
        <w:t xml:space="preserve"> 9.2.2</w:t>
      </w:r>
      <w:r>
        <w:rPr>
          <w:position w:val="1"/>
        </w:rPr>
        <w:t>。</w:t>
      </w:r>
      <w:r>
        <w:rPr>
          <w:position w:val="1"/>
        </w:rPr>
        <w:t xml:space="preserve"> </w:t>
      </w:r>
    </w:p>
    <w:p w14:paraId="5962491A" w14:textId="77777777" w:rsidR="00A71EEF" w:rsidRDefault="0081115D">
      <w:pPr>
        <w:pStyle w:val="a3"/>
        <w:spacing w:before="1"/>
        <w:rPr>
          <w:sz w:val="25"/>
        </w:rPr>
      </w:pPr>
      <w:r>
        <w:rPr>
          <w:noProof/>
        </w:rPr>
        <w:drawing>
          <wp:anchor distT="0" distB="0" distL="0" distR="0" simplePos="0" relativeHeight="251737600" behindDoc="0" locked="0" layoutInCell="1" allowOverlap="1" wp14:anchorId="6CA45F5A" wp14:editId="78EAFE19">
            <wp:simplePos x="0" y="0"/>
            <wp:positionH relativeFrom="page">
              <wp:posOffset>1936750</wp:posOffset>
            </wp:positionH>
            <wp:positionV relativeFrom="paragraph">
              <wp:posOffset>229036</wp:posOffset>
            </wp:positionV>
            <wp:extent cx="4100195" cy="914400"/>
            <wp:effectExtent l="0" t="0" r="0" b="0"/>
            <wp:wrapTopAndBottom/>
            <wp:docPr id="779" name="image4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 name="image458.jpeg"/>
                    <pic:cNvPicPr/>
                  </pic:nvPicPr>
                  <pic:blipFill>
                    <a:blip r:embed="rId572" cstate="print"/>
                    <a:stretch>
                      <a:fillRect/>
                    </a:stretch>
                  </pic:blipFill>
                  <pic:spPr>
                    <a:xfrm>
                      <a:off x="0" y="0"/>
                      <a:ext cx="4100195" cy="914400"/>
                    </a:xfrm>
                    <a:prstGeom prst="rect">
                      <a:avLst/>
                    </a:prstGeom>
                  </pic:spPr>
                </pic:pic>
              </a:graphicData>
            </a:graphic>
          </wp:anchor>
        </w:drawing>
      </w:r>
    </w:p>
    <w:p w14:paraId="2A9B5A2B" w14:textId="77777777" w:rsidR="00A71EEF" w:rsidRDefault="00A71EEF">
      <w:pPr>
        <w:pStyle w:val="a3"/>
        <w:rPr>
          <w:sz w:val="22"/>
        </w:rPr>
      </w:pPr>
    </w:p>
    <w:p w14:paraId="24DEDED1" w14:textId="77777777" w:rsidR="00A71EEF" w:rsidRDefault="00A71EEF">
      <w:pPr>
        <w:pStyle w:val="a3"/>
        <w:spacing w:before="11"/>
        <w:rPr>
          <w:sz w:val="29"/>
        </w:rPr>
      </w:pPr>
    </w:p>
    <w:p w14:paraId="1516BE70" w14:textId="77777777" w:rsidR="00A71EEF" w:rsidRDefault="0081115D">
      <w:pPr>
        <w:pStyle w:val="a4"/>
        <w:numPr>
          <w:ilvl w:val="2"/>
          <w:numId w:val="67"/>
        </w:numPr>
        <w:tabs>
          <w:tab w:val="left" w:pos="1371"/>
        </w:tabs>
        <w:ind w:left="1370" w:hanging="531"/>
        <w:rPr>
          <w:sz w:val="21"/>
        </w:rPr>
      </w:pPr>
      <w:r>
        <w:rPr>
          <w:spacing w:val="-5"/>
          <w:sz w:val="21"/>
        </w:rPr>
        <w:t>管道的局部水头损失宜采用当量长度法计算，且应符合本规范附录</w:t>
      </w:r>
      <w:r>
        <w:rPr>
          <w:spacing w:val="-5"/>
          <w:sz w:val="21"/>
        </w:rPr>
        <w:t xml:space="preserve"> </w:t>
      </w:r>
      <w:r>
        <w:rPr>
          <w:spacing w:val="-3"/>
          <w:sz w:val="21"/>
        </w:rPr>
        <w:t>C</w:t>
      </w:r>
      <w:r>
        <w:rPr>
          <w:spacing w:val="-2"/>
          <w:sz w:val="21"/>
        </w:rPr>
        <w:t xml:space="preserve"> </w:t>
      </w:r>
      <w:r>
        <w:rPr>
          <w:spacing w:val="-2"/>
          <w:sz w:val="21"/>
        </w:rPr>
        <w:t>的规定。</w:t>
      </w:r>
      <w:r>
        <w:rPr>
          <w:sz w:val="21"/>
        </w:rPr>
        <w:t xml:space="preserve"> </w:t>
      </w:r>
    </w:p>
    <w:p w14:paraId="24947F3E" w14:textId="77777777" w:rsidR="00A71EEF" w:rsidRDefault="00A71EEF">
      <w:pPr>
        <w:pStyle w:val="a3"/>
        <w:spacing w:before="12"/>
        <w:rPr>
          <w:sz w:val="17"/>
        </w:rPr>
      </w:pPr>
    </w:p>
    <w:p w14:paraId="6FE23BF9" w14:textId="77777777" w:rsidR="00A71EEF" w:rsidRDefault="0081115D">
      <w:pPr>
        <w:pStyle w:val="a4"/>
        <w:numPr>
          <w:ilvl w:val="2"/>
          <w:numId w:val="67"/>
        </w:numPr>
        <w:tabs>
          <w:tab w:val="left" w:pos="1371"/>
        </w:tabs>
        <w:ind w:left="1370" w:hanging="531"/>
        <w:rPr>
          <w:sz w:val="21"/>
        </w:rPr>
      </w:pPr>
      <w:r>
        <w:rPr>
          <w:spacing w:val="-3"/>
          <w:sz w:val="21"/>
        </w:rPr>
        <w:t>水泵扬程或系统入口的供水压力应按下式计算：</w:t>
      </w:r>
      <w:r>
        <w:rPr>
          <w:sz w:val="21"/>
        </w:rPr>
        <w:t xml:space="preserve"> </w:t>
      </w:r>
    </w:p>
    <w:p w14:paraId="5523A01D" w14:textId="77777777" w:rsidR="00A71EEF" w:rsidRDefault="00A71EEF">
      <w:pPr>
        <w:pStyle w:val="a3"/>
        <w:rPr>
          <w:sz w:val="20"/>
        </w:rPr>
      </w:pPr>
    </w:p>
    <w:p w14:paraId="52C25EA9" w14:textId="77777777" w:rsidR="00A71EEF" w:rsidRDefault="0081115D">
      <w:pPr>
        <w:pStyle w:val="a3"/>
        <w:rPr>
          <w:sz w:val="23"/>
        </w:rPr>
      </w:pPr>
      <w:r>
        <w:rPr>
          <w:noProof/>
        </w:rPr>
        <w:drawing>
          <wp:anchor distT="0" distB="0" distL="0" distR="0" simplePos="0" relativeHeight="251738624" behindDoc="0" locked="0" layoutInCell="1" allowOverlap="1" wp14:anchorId="6A22EF67" wp14:editId="59473907">
            <wp:simplePos x="0" y="0"/>
            <wp:positionH relativeFrom="page">
              <wp:posOffset>1330960</wp:posOffset>
            </wp:positionH>
            <wp:positionV relativeFrom="paragraph">
              <wp:posOffset>212328</wp:posOffset>
            </wp:positionV>
            <wp:extent cx="4972430" cy="285750"/>
            <wp:effectExtent l="0" t="0" r="0" b="0"/>
            <wp:wrapTopAndBottom/>
            <wp:docPr id="781" name="image4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 name="image459.jpeg"/>
                    <pic:cNvPicPr/>
                  </pic:nvPicPr>
                  <pic:blipFill>
                    <a:blip r:embed="rId573" cstate="print"/>
                    <a:stretch>
                      <a:fillRect/>
                    </a:stretch>
                  </pic:blipFill>
                  <pic:spPr>
                    <a:xfrm>
                      <a:off x="0" y="0"/>
                      <a:ext cx="4972430" cy="285750"/>
                    </a:xfrm>
                    <a:prstGeom prst="rect">
                      <a:avLst/>
                    </a:prstGeom>
                  </pic:spPr>
                </pic:pic>
              </a:graphicData>
            </a:graphic>
          </wp:anchor>
        </w:drawing>
      </w:r>
    </w:p>
    <w:p w14:paraId="05B66957" w14:textId="77777777" w:rsidR="00A71EEF" w:rsidRDefault="00A71EEF">
      <w:pPr>
        <w:pStyle w:val="a3"/>
        <w:spacing w:before="9"/>
        <w:rPr>
          <w:sz w:val="8"/>
        </w:rPr>
      </w:pPr>
    </w:p>
    <w:p w14:paraId="41F3F051" w14:textId="77777777" w:rsidR="00A71EEF" w:rsidRDefault="0081115D">
      <w:pPr>
        <w:pStyle w:val="a3"/>
        <w:spacing w:before="71"/>
        <w:ind w:left="838"/>
      </w:pPr>
      <w:r>
        <w:t>式中：</w:t>
      </w:r>
      <w:r>
        <w:rPr>
          <w:i/>
          <w:sz w:val="22"/>
        </w:rPr>
        <w:t>H</w:t>
      </w:r>
      <w:r>
        <w:t>——</w:t>
      </w:r>
      <w:r>
        <w:t>水泵扬程或系统入口的供水压力（</w:t>
      </w:r>
      <w:r>
        <w:t>MPa</w:t>
      </w:r>
      <w:r>
        <w:t>）；</w:t>
      </w:r>
      <w:r>
        <w:t xml:space="preserve"> </w:t>
      </w:r>
    </w:p>
    <w:p w14:paraId="465738BB" w14:textId="77777777" w:rsidR="00A71EEF" w:rsidRDefault="00A71EEF">
      <w:pPr>
        <w:pStyle w:val="a3"/>
        <w:spacing w:before="2"/>
        <w:rPr>
          <w:sz w:val="17"/>
        </w:rPr>
      </w:pPr>
    </w:p>
    <w:p w14:paraId="1B282797" w14:textId="77777777" w:rsidR="00A71EEF" w:rsidRDefault="0081115D">
      <w:pPr>
        <w:pStyle w:val="a3"/>
        <w:spacing w:line="439" w:lineRule="auto"/>
        <w:ind w:left="418" w:right="1503" w:firstLine="419"/>
        <w:jc w:val="both"/>
      </w:pPr>
      <w:r>
        <w:rPr>
          <w:position w:val="1"/>
        </w:rPr>
        <w:t>Σ</w:t>
      </w:r>
      <w:r>
        <w:rPr>
          <w:i/>
          <w:position w:val="1"/>
          <w:sz w:val="22"/>
        </w:rPr>
        <w:t>P</w:t>
      </w:r>
      <w:r>
        <w:rPr>
          <w:sz w:val="11"/>
        </w:rPr>
        <w:t>p</w:t>
      </w:r>
      <w:r>
        <w:rPr>
          <w:spacing w:val="-3"/>
          <w:position w:val="1"/>
        </w:rPr>
        <w:t>——</w:t>
      </w:r>
      <w:r>
        <w:rPr>
          <w:spacing w:val="-3"/>
          <w:position w:val="1"/>
        </w:rPr>
        <w:t>管道沿程和局部水头损失的累计值</w:t>
      </w:r>
      <w:r>
        <w:rPr>
          <w:position w:val="1"/>
        </w:rPr>
        <w:t>（</w:t>
      </w:r>
      <w:r>
        <w:rPr>
          <w:position w:val="1"/>
        </w:rPr>
        <w:t>MPa</w:t>
      </w:r>
      <w:r>
        <w:rPr>
          <w:position w:val="1"/>
        </w:rPr>
        <w:t>）</w:t>
      </w:r>
      <w:r>
        <w:rPr>
          <w:spacing w:val="-3"/>
          <w:position w:val="1"/>
        </w:rPr>
        <w:t>，报警阀的局部水头损失应按照产品样</w:t>
      </w:r>
      <w:r>
        <w:rPr>
          <w:spacing w:val="-5"/>
        </w:rPr>
        <w:t>本或检测数据确定。当无上述数据时，湿式报警阀取值</w:t>
      </w:r>
      <w:r>
        <w:rPr>
          <w:spacing w:val="-5"/>
        </w:rPr>
        <w:t xml:space="preserve"> </w:t>
      </w:r>
      <w:r>
        <w:t>0.04MPa</w:t>
      </w:r>
      <w:r>
        <w:rPr>
          <w:spacing w:val="-7"/>
        </w:rPr>
        <w:t>、干式报警阀取值</w:t>
      </w:r>
      <w:r>
        <w:rPr>
          <w:spacing w:val="-7"/>
        </w:rPr>
        <w:t xml:space="preserve"> </w:t>
      </w:r>
      <w:r>
        <w:t>0.02MPa</w:t>
      </w:r>
      <w:r>
        <w:t>、预</w:t>
      </w:r>
      <w:r>
        <w:rPr>
          <w:spacing w:val="-10"/>
        </w:rPr>
        <w:t>作用装置取值</w:t>
      </w:r>
      <w:r>
        <w:rPr>
          <w:spacing w:val="-10"/>
        </w:rPr>
        <w:t xml:space="preserve"> </w:t>
      </w:r>
      <w:r>
        <w:t>0.08MPa</w:t>
      </w:r>
      <w:r>
        <w:rPr>
          <w:spacing w:val="-9"/>
        </w:rPr>
        <w:t>、雨淋报警阀取值</w:t>
      </w:r>
      <w:r>
        <w:rPr>
          <w:spacing w:val="-9"/>
        </w:rPr>
        <w:t xml:space="preserve"> </w:t>
      </w:r>
      <w:r>
        <w:t>0.07MPa</w:t>
      </w:r>
      <w:r>
        <w:rPr>
          <w:spacing w:val="-9"/>
        </w:rPr>
        <w:t>、水流指示器取值</w:t>
      </w:r>
      <w:r>
        <w:rPr>
          <w:spacing w:val="-9"/>
        </w:rPr>
        <w:t xml:space="preserve"> </w:t>
      </w:r>
      <w:r>
        <w:t>0.02MPa</w:t>
      </w:r>
      <w:r>
        <w:t>；</w:t>
      </w:r>
      <w:r>
        <w:t xml:space="preserve"> </w:t>
      </w:r>
    </w:p>
    <w:p w14:paraId="6E839489" w14:textId="77777777" w:rsidR="00A71EEF" w:rsidRDefault="0081115D">
      <w:pPr>
        <w:pStyle w:val="a3"/>
        <w:ind w:left="838"/>
      </w:pPr>
      <w:r>
        <w:rPr>
          <w:i/>
          <w:position w:val="1"/>
          <w:sz w:val="22"/>
        </w:rPr>
        <w:t>P</w:t>
      </w:r>
      <w:r>
        <w:rPr>
          <w:sz w:val="11"/>
        </w:rPr>
        <w:t>0</w:t>
      </w:r>
      <w:r>
        <w:rPr>
          <w:position w:val="1"/>
        </w:rPr>
        <w:t>——</w:t>
      </w:r>
      <w:r>
        <w:rPr>
          <w:position w:val="1"/>
        </w:rPr>
        <w:t>最不利点处喷头的工作压力（</w:t>
      </w:r>
      <w:r>
        <w:rPr>
          <w:position w:val="1"/>
        </w:rPr>
        <w:t>MPa</w:t>
      </w:r>
      <w:r>
        <w:rPr>
          <w:position w:val="1"/>
        </w:rPr>
        <w:t>）；</w:t>
      </w:r>
      <w:r>
        <w:rPr>
          <w:position w:val="1"/>
        </w:rPr>
        <w:t xml:space="preserve"> </w:t>
      </w:r>
    </w:p>
    <w:p w14:paraId="48E62CF4" w14:textId="77777777" w:rsidR="00A71EEF" w:rsidRDefault="00A71EEF">
      <w:pPr>
        <w:sectPr w:rsidR="00A71EEF">
          <w:pgSz w:w="11910" w:h="16850"/>
          <w:pgMar w:top="1220" w:right="0" w:bottom="1420" w:left="1260" w:header="0" w:footer="1239" w:gutter="0"/>
          <w:cols w:space="720"/>
        </w:sectPr>
      </w:pPr>
    </w:p>
    <w:p w14:paraId="415756BF" w14:textId="77777777" w:rsidR="00A71EEF" w:rsidRDefault="0081115D">
      <w:pPr>
        <w:pStyle w:val="a3"/>
        <w:spacing w:before="57" w:line="434" w:lineRule="auto"/>
        <w:ind w:left="418" w:right="1505" w:firstLine="419"/>
      </w:pPr>
      <w:r>
        <w:rPr>
          <w:i/>
          <w:sz w:val="22"/>
        </w:rPr>
        <w:t>Z</w:t>
      </w:r>
      <w:r>
        <w:t>——</w:t>
      </w:r>
      <w:r>
        <w:t>最不利点处喷头与消防水池的最低水位或系统入口管水平中心线之间的高程差，当系统入口管或消防水池最低水位高于最不利点处喷头时，</w:t>
      </w:r>
      <w:r>
        <w:t xml:space="preserve">Z </w:t>
      </w:r>
      <w:r>
        <w:t>应取负值（</w:t>
      </w:r>
      <w:r>
        <w:t>MPa</w:t>
      </w:r>
      <w:r>
        <w:t>）；</w:t>
      </w:r>
      <w:r>
        <w:t xml:space="preserve"> </w:t>
      </w:r>
    </w:p>
    <w:p w14:paraId="4EA7A983" w14:textId="77777777" w:rsidR="00A71EEF" w:rsidRDefault="0081115D">
      <w:pPr>
        <w:pStyle w:val="a3"/>
        <w:spacing w:before="2"/>
        <w:ind w:left="838"/>
        <w:rPr>
          <w:sz w:val="11"/>
        </w:rPr>
      </w:pPr>
      <w:r>
        <w:rPr>
          <w:i/>
          <w:position w:val="1"/>
          <w:sz w:val="22"/>
        </w:rPr>
        <w:t>h</w:t>
      </w:r>
      <w:r>
        <w:rPr>
          <w:sz w:val="11"/>
        </w:rPr>
        <w:t>c</w:t>
      </w:r>
      <w:r>
        <w:rPr>
          <w:position w:val="1"/>
        </w:rPr>
        <w:t>——</w:t>
      </w:r>
      <w:r>
        <w:rPr>
          <w:position w:val="1"/>
        </w:rPr>
        <w:t>从城市市政管网直接抽水时城市管网的最低水压（</w:t>
      </w:r>
      <w:r>
        <w:rPr>
          <w:position w:val="1"/>
        </w:rPr>
        <w:t>MPa</w:t>
      </w:r>
      <w:r>
        <w:rPr>
          <w:position w:val="1"/>
        </w:rPr>
        <w:t>）；当从消防水池</w:t>
      </w:r>
      <w:r>
        <w:rPr>
          <w:position w:val="1"/>
        </w:rPr>
        <w:t>吸水时，</w:t>
      </w:r>
      <w:r>
        <w:rPr>
          <w:position w:val="1"/>
        </w:rPr>
        <w:t>h</w:t>
      </w:r>
      <w:r>
        <w:rPr>
          <w:sz w:val="11"/>
        </w:rPr>
        <w:t>c</w:t>
      </w:r>
    </w:p>
    <w:p w14:paraId="111EF569" w14:textId="77777777" w:rsidR="00A71EEF" w:rsidRDefault="00A71EEF">
      <w:pPr>
        <w:pStyle w:val="a3"/>
        <w:spacing w:before="12"/>
        <w:rPr>
          <w:sz w:val="17"/>
        </w:rPr>
      </w:pPr>
    </w:p>
    <w:p w14:paraId="6BB9896B" w14:textId="77777777" w:rsidR="00A71EEF" w:rsidRDefault="0081115D">
      <w:pPr>
        <w:pStyle w:val="a3"/>
        <w:ind w:left="418"/>
      </w:pPr>
      <w:r>
        <w:t>取</w:t>
      </w:r>
      <w:r>
        <w:t xml:space="preserve"> 0</w:t>
      </w:r>
      <w:r>
        <w:t>。</w:t>
      </w:r>
      <w:r>
        <w:t xml:space="preserve"> </w:t>
      </w:r>
    </w:p>
    <w:p w14:paraId="47D9CAA0" w14:textId="77777777" w:rsidR="00A71EEF" w:rsidRDefault="00A71EEF">
      <w:pPr>
        <w:pStyle w:val="a3"/>
        <w:spacing w:before="12"/>
        <w:rPr>
          <w:sz w:val="17"/>
        </w:rPr>
      </w:pPr>
    </w:p>
    <w:p w14:paraId="093F469A" w14:textId="77777777" w:rsidR="00A71EEF" w:rsidRDefault="0081115D">
      <w:pPr>
        <w:pStyle w:val="a4"/>
        <w:numPr>
          <w:ilvl w:val="1"/>
          <w:numId w:val="67"/>
        </w:numPr>
        <w:tabs>
          <w:tab w:val="left" w:pos="1160"/>
        </w:tabs>
        <w:ind w:left="1159" w:hanging="320"/>
        <w:jc w:val="left"/>
        <w:rPr>
          <w:b/>
          <w:sz w:val="21"/>
        </w:rPr>
      </w:pPr>
      <w:r>
        <w:rPr>
          <w:spacing w:val="-3"/>
          <w:sz w:val="21"/>
        </w:rPr>
        <w:t>减压设施</w:t>
      </w:r>
      <w:r>
        <w:rPr>
          <w:b/>
          <w:w w:val="99"/>
          <w:sz w:val="21"/>
        </w:rPr>
        <w:t xml:space="preserve"> </w:t>
      </w:r>
    </w:p>
    <w:p w14:paraId="5B8439B1" w14:textId="77777777" w:rsidR="00A71EEF" w:rsidRDefault="00A71EEF">
      <w:pPr>
        <w:pStyle w:val="a3"/>
        <w:spacing w:before="12"/>
        <w:rPr>
          <w:b/>
          <w:sz w:val="17"/>
        </w:rPr>
      </w:pPr>
    </w:p>
    <w:p w14:paraId="7AA61A88" w14:textId="77777777" w:rsidR="00A71EEF" w:rsidRDefault="0081115D">
      <w:pPr>
        <w:pStyle w:val="a4"/>
        <w:numPr>
          <w:ilvl w:val="2"/>
          <w:numId w:val="67"/>
        </w:numPr>
        <w:tabs>
          <w:tab w:val="left" w:pos="1424"/>
        </w:tabs>
        <w:ind w:left="1423"/>
        <w:rPr>
          <w:sz w:val="21"/>
        </w:rPr>
      </w:pPr>
      <w:r>
        <w:rPr>
          <w:spacing w:val="-3"/>
          <w:sz w:val="21"/>
        </w:rPr>
        <w:t>减压孔板应符合下列规定：</w:t>
      </w:r>
      <w:r>
        <w:rPr>
          <w:sz w:val="21"/>
        </w:rPr>
        <w:t xml:space="preserve"> </w:t>
      </w:r>
    </w:p>
    <w:p w14:paraId="5154CE70" w14:textId="77777777" w:rsidR="00A71EEF" w:rsidRDefault="00A71EEF">
      <w:pPr>
        <w:pStyle w:val="a3"/>
        <w:spacing w:before="2"/>
        <w:rPr>
          <w:sz w:val="18"/>
        </w:rPr>
      </w:pPr>
    </w:p>
    <w:p w14:paraId="3D80826B" w14:textId="77777777" w:rsidR="00A71EEF" w:rsidRDefault="0081115D">
      <w:pPr>
        <w:pStyle w:val="a3"/>
        <w:spacing w:line="446" w:lineRule="auto"/>
        <w:ind w:left="838" w:right="1402"/>
      </w:pPr>
      <w:r>
        <w:rPr>
          <w:spacing w:val="-8"/>
        </w:rPr>
        <w:t>应设在直径不小于</w:t>
      </w:r>
      <w:r>
        <w:rPr>
          <w:spacing w:val="-8"/>
        </w:rPr>
        <w:t xml:space="preserve"> </w:t>
      </w:r>
      <w:r>
        <w:t>50mm</w:t>
      </w:r>
      <w:r>
        <w:rPr>
          <w:spacing w:val="-10"/>
        </w:rPr>
        <w:t xml:space="preserve"> </w:t>
      </w:r>
      <w:r>
        <w:rPr>
          <w:spacing w:val="-10"/>
        </w:rPr>
        <w:t>的水平直管段上，前后管段的长度均不宜小于该管段直径的</w:t>
      </w:r>
      <w:r>
        <w:rPr>
          <w:spacing w:val="-10"/>
        </w:rPr>
        <w:t xml:space="preserve"> </w:t>
      </w:r>
      <w:r>
        <w:t>5</w:t>
      </w:r>
      <w:r>
        <w:rPr>
          <w:spacing w:val="-18"/>
        </w:rPr>
        <w:t xml:space="preserve"> </w:t>
      </w:r>
      <w:r>
        <w:rPr>
          <w:spacing w:val="-18"/>
        </w:rPr>
        <w:t>倍；</w:t>
      </w:r>
      <w:r>
        <w:rPr>
          <w:spacing w:val="-18"/>
        </w:rPr>
        <w:t xml:space="preserve"> </w:t>
      </w:r>
      <w:r>
        <w:rPr>
          <w:spacing w:val="-7"/>
        </w:rPr>
        <w:t>孔口直径不应小于设置管段直径的</w:t>
      </w:r>
      <w:r>
        <w:rPr>
          <w:spacing w:val="-7"/>
        </w:rPr>
        <w:t xml:space="preserve"> </w:t>
      </w:r>
      <w:r>
        <w:t>30</w:t>
      </w:r>
      <w:r>
        <w:rPr>
          <w:spacing w:val="-10"/>
        </w:rPr>
        <w:t>％，且不应小于</w:t>
      </w:r>
      <w:r>
        <w:rPr>
          <w:spacing w:val="-10"/>
        </w:rPr>
        <w:t xml:space="preserve"> </w:t>
      </w:r>
      <w:r>
        <w:t>20mm</w:t>
      </w:r>
      <w:r>
        <w:t>；</w:t>
      </w:r>
      <w:r>
        <w:t xml:space="preserve"> </w:t>
      </w:r>
    </w:p>
    <w:p w14:paraId="061813A6" w14:textId="77777777" w:rsidR="00A71EEF" w:rsidRDefault="0081115D">
      <w:pPr>
        <w:pStyle w:val="a3"/>
        <w:spacing w:line="267" w:lineRule="exact"/>
        <w:ind w:left="838"/>
      </w:pPr>
      <w:r>
        <w:t>应采用不锈钢板材制作。</w:t>
      </w:r>
      <w:r>
        <w:t xml:space="preserve"> </w:t>
      </w:r>
    </w:p>
    <w:p w14:paraId="64B6736F" w14:textId="77777777" w:rsidR="00A71EEF" w:rsidRDefault="00A71EEF">
      <w:pPr>
        <w:pStyle w:val="a3"/>
        <w:spacing w:before="2"/>
        <w:rPr>
          <w:sz w:val="18"/>
        </w:rPr>
      </w:pPr>
    </w:p>
    <w:p w14:paraId="46776901" w14:textId="77777777" w:rsidR="00A71EEF" w:rsidRDefault="0081115D">
      <w:pPr>
        <w:pStyle w:val="a4"/>
        <w:numPr>
          <w:ilvl w:val="2"/>
          <w:numId w:val="67"/>
        </w:numPr>
        <w:tabs>
          <w:tab w:val="left" w:pos="1371"/>
        </w:tabs>
        <w:ind w:left="1370" w:hanging="531"/>
        <w:rPr>
          <w:sz w:val="21"/>
        </w:rPr>
      </w:pPr>
      <w:r>
        <w:rPr>
          <w:spacing w:val="-3"/>
          <w:sz w:val="21"/>
        </w:rPr>
        <w:t>节流管应符合下列规定：</w:t>
      </w:r>
      <w:r>
        <w:rPr>
          <w:sz w:val="21"/>
        </w:rPr>
        <w:t xml:space="preserve"> </w:t>
      </w:r>
    </w:p>
    <w:p w14:paraId="6E04129E" w14:textId="77777777" w:rsidR="00A71EEF" w:rsidRDefault="00A71EEF">
      <w:pPr>
        <w:pStyle w:val="a3"/>
        <w:rPr>
          <w:sz w:val="18"/>
        </w:rPr>
      </w:pPr>
    </w:p>
    <w:p w14:paraId="2D4B2DA3" w14:textId="77777777" w:rsidR="00A71EEF" w:rsidRDefault="0081115D">
      <w:pPr>
        <w:pStyle w:val="a3"/>
        <w:spacing w:line="446" w:lineRule="auto"/>
        <w:ind w:left="838" w:right="6340"/>
      </w:pPr>
      <w:r>
        <w:t>直径宜按上游管段直径的</w:t>
      </w:r>
      <w:r>
        <w:t xml:space="preserve"> 1/2 </w:t>
      </w:r>
      <w:r>
        <w:t>确定；</w:t>
      </w:r>
      <w:r>
        <w:t xml:space="preserve"> </w:t>
      </w:r>
      <w:r>
        <w:t>长度不宜小于</w:t>
      </w:r>
      <w:r>
        <w:t xml:space="preserve"> 1m</w:t>
      </w:r>
      <w:r>
        <w:t>；</w:t>
      </w:r>
      <w:r>
        <w:t xml:space="preserve"> </w:t>
      </w:r>
    </w:p>
    <w:p w14:paraId="382291F8" w14:textId="77777777" w:rsidR="00A71EEF" w:rsidRDefault="0081115D">
      <w:pPr>
        <w:pStyle w:val="a3"/>
        <w:ind w:left="838"/>
      </w:pPr>
      <w:r>
        <w:t>节流管内水的平均流速不应大于</w:t>
      </w:r>
      <w:r>
        <w:t xml:space="preserve"> 20m/s</w:t>
      </w:r>
      <w:r>
        <w:t>。</w:t>
      </w:r>
      <w:r>
        <w:t xml:space="preserve"> </w:t>
      </w:r>
    </w:p>
    <w:p w14:paraId="2146A313" w14:textId="77777777" w:rsidR="00A71EEF" w:rsidRDefault="00A71EEF">
      <w:pPr>
        <w:pStyle w:val="a3"/>
        <w:spacing w:before="12"/>
        <w:rPr>
          <w:sz w:val="17"/>
        </w:rPr>
      </w:pPr>
    </w:p>
    <w:p w14:paraId="2DEACA6C" w14:textId="77777777" w:rsidR="00A71EEF" w:rsidRDefault="0081115D">
      <w:pPr>
        <w:pStyle w:val="a4"/>
        <w:numPr>
          <w:ilvl w:val="2"/>
          <w:numId w:val="67"/>
        </w:numPr>
        <w:tabs>
          <w:tab w:val="left" w:pos="1424"/>
        </w:tabs>
        <w:ind w:left="1423"/>
        <w:rPr>
          <w:sz w:val="21"/>
        </w:rPr>
      </w:pPr>
      <w:r>
        <w:rPr>
          <w:spacing w:val="-3"/>
          <w:sz w:val="21"/>
        </w:rPr>
        <w:t>减压孔板的水头损失，应按下式计算：</w:t>
      </w:r>
      <w:r>
        <w:rPr>
          <w:sz w:val="21"/>
        </w:rPr>
        <w:t xml:space="preserve"> </w:t>
      </w:r>
    </w:p>
    <w:p w14:paraId="236465C1" w14:textId="77777777" w:rsidR="00A71EEF" w:rsidRDefault="0081115D">
      <w:pPr>
        <w:pStyle w:val="a3"/>
        <w:spacing w:before="12"/>
        <w:rPr>
          <w:sz w:val="27"/>
        </w:rPr>
      </w:pPr>
      <w:r>
        <w:rPr>
          <w:noProof/>
        </w:rPr>
        <w:drawing>
          <wp:anchor distT="0" distB="0" distL="0" distR="0" simplePos="0" relativeHeight="251739648" behindDoc="0" locked="0" layoutInCell="1" allowOverlap="1" wp14:anchorId="1C63AFFD" wp14:editId="37634CB6">
            <wp:simplePos x="0" y="0"/>
            <wp:positionH relativeFrom="page">
              <wp:posOffset>1530350</wp:posOffset>
            </wp:positionH>
            <wp:positionV relativeFrom="paragraph">
              <wp:posOffset>252510</wp:posOffset>
            </wp:positionV>
            <wp:extent cx="3799457" cy="519493"/>
            <wp:effectExtent l="0" t="0" r="0" b="0"/>
            <wp:wrapTopAndBottom/>
            <wp:docPr id="783" name="image4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 name="image460.jpeg"/>
                    <pic:cNvPicPr/>
                  </pic:nvPicPr>
                  <pic:blipFill>
                    <a:blip r:embed="rId574" cstate="print"/>
                    <a:stretch>
                      <a:fillRect/>
                    </a:stretch>
                  </pic:blipFill>
                  <pic:spPr>
                    <a:xfrm>
                      <a:off x="0" y="0"/>
                      <a:ext cx="3799457" cy="519493"/>
                    </a:xfrm>
                    <a:prstGeom prst="rect">
                      <a:avLst/>
                    </a:prstGeom>
                  </pic:spPr>
                </pic:pic>
              </a:graphicData>
            </a:graphic>
          </wp:anchor>
        </w:drawing>
      </w:r>
    </w:p>
    <w:p w14:paraId="5DA072C1" w14:textId="77777777" w:rsidR="00A71EEF" w:rsidRDefault="00A71EEF">
      <w:pPr>
        <w:pStyle w:val="a3"/>
        <w:rPr>
          <w:sz w:val="20"/>
        </w:rPr>
      </w:pPr>
    </w:p>
    <w:p w14:paraId="6F5F478D" w14:textId="77777777" w:rsidR="00A71EEF" w:rsidRDefault="00A71EEF">
      <w:pPr>
        <w:pStyle w:val="a3"/>
        <w:rPr>
          <w:sz w:val="26"/>
        </w:rPr>
      </w:pPr>
    </w:p>
    <w:p w14:paraId="3548EC93" w14:textId="77777777" w:rsidR="00A71EEF" w:rsidRDefault="0081115D">
      <w:pPr>
        <w:pStyle w:val="a3"/>
        <w:spacing w:before="86"/>
        <w:ind w:left="838"/>
      </w:pPr>
      <w:r>
        <w:pict w14:anchorId="7782A6C0">
          <v:shape id="_x0000_s1065" type="#_x0000_t202" style="position:absolute;left:0;text-align:left;margin-left:141.75pt;margin-top:11.05pt;width:2.8pt;height:5.55pt;z-index:-251513344;mso-position-horizontal-relative:page" filled="f" stroked="f">
            <v:textbox inset="0,0,0,0">
              <w:txbxContent>
                <w:p w14:paraId="1C441FB7" w14:textId="77777777" w:rsidR="00A71EEF" w:rsidRDefault="0081115D">
                  <w:pPr>
                    <w:spacing w:line="110" w:lineRule="exact"/>
                    <w:rPr>
                      <w:sz w:val="11"/>
                    </w:rPr>
                  </w:pPr>
                  <w:r>
                    <w:rPr>
                      <w:sz w:val="11"/>
                    </w:rPr>
                    <w:t>k</w:t>
                  </w:r>
                </w:p>
              </w:txbxContent>
            </v:textbox>
            <w10:wrap anchorx="page"/>
          </v:shape>
        </w:pict>
      </w:r>
      <w:r>
        <w:t>式中：</w:t>
      </w:r>
      <w:r>
        <w:rPr>
          <w:i/>
          <w:sz w:val="22"/>
        </w:rPr>
        <w:t>H</w:t>
      </w:r>
      <w:r>
        <w:rPr>
          <w:i/>
          <w:spacing w:val="-55"/>
          <w:sz w:val="22"/>
        </w:rPr>
        <w:t xml:space="preserve"> </w:t>
      </w:r>
      <w:r>
        <w:rPr>
          <w:spacing w:val="-3"/>
        </w:rPr>
        <w:t>——</w:t>
      </w:r>
      <w:r>
        <w:rPr>
          <w:spacing w:val="-3"/>
        </w:rPr>
        <w:t>减压孔板的水头损失</w:t>
      </w:r>
      <w:r>
        <w:t>（</w:t>
      </w:r>
      <w:r>
        <w:t>10</w:t>
      </w:r>
      <w:r>
        <w:rPr>
          <w:position w:val="11"/>
          <w:sz w:val="11"/>
        </w:rPr>
        <w:t>-2</w:t>
      </w:r>
      <w:r>
        <w:t>MPa</w:t>
      </w:r>
      <w:r>
        <w:t>）；</w:t>
      </w:r>
      <w:r>
        <w:t xml:space="preserve"> </w:t>
      </w:r>
    </w:p>
    <w:p w14:paraId="49A8A316" w14:textId="77777777" w:rsidR="00A71EEF" w:rsidRDefault="00A71EEF">
      <w:pPr>
        <w:pStyle w:val="a3"/>
        <w:spacing w:before="11"/>
        <w:rPr>
          <w:sz w:val="16"/>
        </w:rPr>
      </w:pPr>
    </w:p>
    <w:p w14:paraId="65855B1B" w14:textId="77777777" w:rsidR="00A71EEF" w:rsidRDefault="0081115D">
      <w:pPr>
        <w:pStyle w:val="a3"/>
        <w:spacing w:before="1"/>
        <w:ind w:left="838"/>
      </w:pPr>
      <w:r>
        <w:rPr>
          <w:i/>
          <w:position w:val="1"/>
          <w:sz w:val="22"/>
        </w:rPr>
        <w:t>V</w:t>
      </w:r>
      <w:r>
        <w:rPr>
          <w:sz w:val="11"/>
        </w:rPr>
        <w:t>k</w:t>
      </w:r>
      <w:r>
        <w:rPr>
          <w:position w:val="1"/>
        </w:rPr>
        <w:t>——</w:t>
      </w:r>
      <w:r>
        <w:rPr>
          <w:position w:val="1"/>
        </w:rPr>
        <w:t>减压孔板后管道内水的平均流速（</w:t>
      </w:r>
      <w:r>
        <w:rPr>
          <w:position w:val="1"/>
        </w:rPr>
        <w:t>m/s</w:t>
      </w:r>
      <w:r>
        <w:rPr>
          <w:position w:val="1"/>
        </w:rPr>
        <w:t>）；</w:t>
      </w:r>
      <w:r>
        <w:rPr>
          <w:position w:val="1"/>
        </w:rPr>
        <w:t xml:space="preserve"> </w:t>
      </w:r>
    </w:p>
    <w:p w14:paraId="48050C06" w14:textId="77777777" w:rsidR="00A71EEF" w:rsidRDefault="00A71EEF">
      <w:pPr>
        <w:pStyle w:val="a3"/>
        <w:spacing w:before="2"/>
        <w:rPr>
          <w:sz w:val="17"/>
        </w:rPr>
      </w:pPr>
    </w:p>
    <w:p w14:paraId="04AB2DA1" w14:textId="77777777" w:rsidR="00A71EEF" w:rsidRDefault="0081115D">
      <w:pPr>
        <w:pStyle w:val="a3"/>
        <w:spacing w:line="434" w:lineRule="auto"/>
        <w:ind w:left="838" w:right="3461"/>
      </w:pPr>
      <w:r>
        <w:rPr>
          <w:noProof/>
        </w:rPr>
        <w:drawing>
          <wp:anchor distT="0" distB="0" distL="0" distR="0" simplePos="0" relativeHeight="251740672" behindDoc="0" locked="0" layoutInCell="1" allowOverlap="1" wp14:anchorId="6A43FC46" wp14:editId="4D31F241">
            <wp:simplePos x="0" y="0"/>
            <wp:positionH relativeFrom="page">
              <wp:posOffset>1684020</wp:posOffset>
            </wp:positionH>
            <wp:positionV relativeFrom="paragraph">
              <wp:posOffset>710692</wp:posOffset>
            </wp:positionV>
            <wp:extent cx="4434632" cy="533400"/>
            <wp:effectExtent l="0" t="0" r="0" b="0"/>
            <wp:wrapTopAndBottom/>
            <wp:docPr id="785" name="image4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 name="image461.jpeg"/>
                    <pic:cNvPicPr/>
                  </pic:nvPicPr>
                  <pic:blipFill>
                    <a:blip r:embed="rId575" cstate="print"/>
                    <a:stretch>
                      <a:fillRect/>
                    </a:stretch>
                  </pic:blipFill>
                  <pic:spPr>
                    <a:xfrm>
                      <a:off x="0" y="0"/>
                      <a:ext cx="4434632" cy="533400"/>
                    </a:xfrm>
                    <a:prstGeom prst="rect">
                      <a:avLst/>
                    </a:prstGeom>
                  </pic:spPr>
                </pic:pic>
              </a:graphicData>
            </a:graphic>
          </wp:anchor>
        </w:drawing>
      </w:r>
      <w:r>
        <w:t xml:space="preserve"> </w:t>
      </w:r>
      <w:r>
        <w:t xml:space="preserve"> </w:t>
      </w:r>
      <w:r>
        <w:rPr>
          <w:i/>
          <w:w w:val="96"/>
          <w:sz w:val="22"/>
        </w:rPr>
        <w:t xml:space="preserve"> </w:t>
      </w:r>
      <w:r>
        <w:rPr>
          <w:i/>
          <w:sz w:val="22"/>
        </w:rPr>
        <w:t>ξ</w:t>
      </w:r>
      <w:r>
        <w:t>——</w:t>
      </w:r>
      <w:r>
        <w:t>减压孔板的局部阻力系数，取值应按本规范附录</w:t>
      </w:r>
      <w:r>
        <w:t xml:space="preserve"> D </w:t>
      </w:r>
      <w:r>
        <w:t>确定。</w:t>
      </w:r>
      <w:r>
        <w:rPr>
          <w:b/>
        </w:rPr>
        <w:t xml:space="preserve">9.3.4 </w:t>
      </w:r>
      <w:r>
        <w:t>节流管的水头损失，应按下式计算：</w:t>
      </w:r>
      <w:r>
        <w:t xml:space="preserve"> </w:t>
      </w:r>
    </w:p>
    <w:p w14:paraId="36023F19" w14:textId="77777777" w:rsidR="00A71EEF" w:rsidRDefault="00A71EEF">
      <w:pPr>
        <w:pStyle w:val="a3"/>
        <w:rPr>
          <w:sz w:val="20"/>
        </w:rPr>
      </w:pPr>
    </w:p>
    <w:p w14:paraId="0F3B721C" w14:textId="77777777" w:rsidR="00A71EEF" w:rsidRDefault="00A71EEF">
      <w:pPr>
        <w:pStyle w:val="a3"/>
        <w:rPr>
          <w:sz w:val="20"/>
        </w:rPr>
      </w:pPr>
    </w:p>
    <w:p w14:paraId="76954F58" w14:textId="77777777" w:rsidR="00A71EEF" w:rsidRDefault="00A71EEF">
      <w:pPr>
        <w:pStyle w:val="a3"/>
        <w:spacing w:before="9"/>
        <w:rPr>
          <w:sz w:val="15"/>
        </w:rPr>
      </w:pPr>
    </w:p>
    <w:p w14:paraId="5911E57E" w14:textId="77777777" w:rsidR="00A71EEF" w:rsidRDefault="0081115D">
      <w:pPr>
        <w:pStyle w:val="a3"/>
        <w:ind w:left="838"/>
      </w:pPr>
      <w:r>
        <w:pict w14:anchorId="102785E0">
          <v:shape id="_x0000_s1064" type="#_x0000_t202" style="position:absolute;left:0;text-align:left;margin-left:141.75pt;margin-top:6.75pt;width:2.8pt;height:5.55pt;z-index:-251512320;mso-position-horizontal-relative:page" filled="f" stroked="f">
            <v:textbox inset="0,0,0,0">
              <w:txbxContent>
                <w:p w14:paraId="0CE04A1B" w14:textId="77777777" w:rsidR="00A71EEF" w:rsidRDefault="0081115D">
                  <w:pPr>
                    <w:spacing w:line="110" w:lineRule="exact"/>
                    <w:rPr>
                      <w:sz w:val="11"/>
                    </w:rPr>
                  </w:pPr>
                  <w:r>
                    <w:rPr>
                      <w:sz w:val="11"/>
                    </w:rPr>
                    <w:t>g</w:t>
                  </w:r>
                </w:p>
              </w:txbxContent>
            </v:textbox>
            <w10:wrap anchorx="page"/>
          </v:shape>
        </w:pict>
      </w:r>
      <w:r>
        <w:t>式中：</w:t>
      </w:r>
      <w:r>
        <w:rPr>
          <w:i/>
          <w:sz w:val="22"/>
        </w:rPr>
        <w:t>H</w:t>
      </w:r>
      <w:r>
        <w:rPr>
          <w:i/>
          <w:spacing w:val="-55"/>
          <w:sz w:val="22"/>
        </w:rPr>
        <w:t xml:space="preserve"> </w:t>
      </w:r>
      <w:r>
        <w:rPr>
          <w:spacing w:val="-3"/>
        </w:rPr>
        <w:t>——</w:t>
      </w:r>
      <w:r>
        <w:rPr>
          <w:spacing w:val="-3"/>
        </w:rPr>
        <w:t>节流管的水头损失</w:t>
      </w:r>
      <w:r>
        <w:t>（</w:t>
      </w:r>
      <w:r>
        <w:t>10</w:t>
      </w:r>
      <w:r>
        <w:rPr>
          <w:position w:val="11"/>
          <w:sz w:val="11"/>
        </w:rPr>
        <w:t>-2</w:t>
      </w:r>
      <w:r>
        <w:t>MPa</w:t>
      </w:r>
      <w:r>
        <w:t>）；</w:t>
      </w:r>
      <w:r>
        <w:t xml:space="preserve"> </w:t>
      </w:r>
    </w:p>
    <w:p w14:paraId="1E9DFCCD" w14:textId="77777777" w:rsidR="00A71EEF" w:rsidRDefault="00A71EEF">
      <w:pPr>
        <w:pStyle w:val="a3"/>
        <w:rPr>
          <w:sz w:val="17"/>
        </w:rPr>
      </w:pPr>
    </w:p>
    <w:p w14:paraId="2DF7F8C6" w14:textId="77777777" w:rsidR="00A71EEF" w:rsidRDefault="0081115D">
      <w:pPr>
        <w:pStyle w:val="a3"/>
        <w:ind w:left="838"/>
      </w:pPr>
      <w:r>
        <w:rPr>
          <w:i/>
          <w:sz w:val="22"/>
        </w:rPr>
        <w:t xml:space="preserve">ζ </w:t>
      </w:r>
      <w:r>
        <w:t>——</w:t>
      </w:r>
      <w:r>
        <w:t>节流管中渐缩管与渐扩管的局部阻力系数之和，取值</w:t>
      </w:r>
      <w:r>
        <w:t xml:space="preserve"> 0.7</w:t>
      </w:r>
      <w:r>
        <w:t>；</w:t>
      </w:r>
      <w:r>
        <w:t xml:space="preserve"> </w:t>
      </w:r>
    </w:p>
    <w:p w14:paraId="1D0F9587" w14:textId="77777777" w:rsidR="00A71EEF" w:rsidRDefault="00A71EEF">
      <w:pPr>
        <w:pStyle w:val="a3"/>
        <w:spacing w:before="12"/>
        <w:rPr>
          <w:sz w:val="16"/>
        </w:rPr>
      </w:pPr>
    </w:p>
    <w:p w14:paraId="79E82E76" w14:textId="77777777" w:rsidR="00A71EEF" w:rsidRDefault="0081115D">
      <w:pPr>
        <w:pStyle w:val="a3"/>
        <w:ind w:left="838"/>
      </w:pPr>
      <w:r>
        <w:rPr>
          <w:i/>
          <w:position w:val="1"/>
          <w:sz w:val="22"/>
        </w:rPr>
        <w:t>V</w:t>
      </w:r>
      <w:r>
        <w:rPr>
          <w:sz w:val="11"/>
        </w:rPr>
        <w:t>g</w:t>
      </w:r>
      <w:r>
        <w:rPr>
          <w:position w:val="1"/>
        </w:rPr>
        <w:t>——</w:t>
      </w:r>
      <w:r>
        <w:rPr>
          <w:position w:val="1"/>
        </w:rPr>
        <w:t>节流管内水的平均流速（</w:t>
      </w:r>
      <w:r>
        <w:rPr>
          <w:position w:val="1"/>
        </w:rPr>
        <w:t>m/s</w:t>
      </w:r>
      <w:r>
        <w:rPr>
          <w:position w:val="1"/>
        </w:rPr>
        <w:t>）；</w:t>
      </w:r>
      <w:r>
        <w:rPr>
          <w:position w:val="1"/>
        </w:rPr>
        <w:t xml:space="preserve"> </w:t>
      </w:r>
    </w:p>
    <w:p w14:paraId="5B4B5D93" w14:textId="77777777" w:rsidR="00A71EEF" w:rsidRDefault="00A71EEF">
      <w:pPr>
        <w:sectPr w:rsidR="00A71EEF">
          <w:pgSz w:w="11910" w:h="16850"/>
          <w:pgMar w:top="1200" w:right="0" w:bottom="1420" w:left="1260" w:header="0" w:footer="1239" w:gutter="0"/>
          <w:cols w:space="720"/>
        </w:sectPr>
      </w:pPr>
    </w:p>
    <w:p w14:paraId="7551C237" w14:textId="77777777" w:rsidR="00A71EEF" w:rsidRDefault="0081115D">
      <w:pPr>
        <w:pStyle w:val="a3"/>
        <w:spacing w:before="57"/>
        <w:ind w:left="838"/>
      </w:pPr>
      <w:r>
        <w:rPr>
          <w:i/>
          <w:position w:val="1"/>
          <w:sz w:val="22"/>
        </w:rPr>
        <w:t>d</w:t>
      </w:r>
      <w:r>
        <w:rPr>
          <w:sz w:val="11"/>
        </w:rPr>
        <w:t>g</w:t>
      </w:r>
      <w:r>
        <w:rPr>
          <w:position w:val="1"/>
          <w:sz w:val="11"/>
        </w:rPr>
        <w:t xml:space="preserve"> </w:t>
      </w:r>
      <w:r>
        <w:rPr>
          <w:position w:val="1"/>
        </w:rPr>
        <w:t>——</w:t>
      </w:r>
      <w:r>
        <w:rPr>
          <w:position w:val="1"/>
        </w:rPr>
        <w:t>节流管的计算内径（</w:t>
      </w:r>
      <w:r>
        <w:rPr>
          <w:position w:val="1"/>
        </w:rPr>
        <w:t>m</w:t>
      </w:r>
      <w:r>
        <w:rPr>
          <w:position w:val="1"/>
        </w:rPr>
        <w:t>），取值应按节流管内径减</w:t>
      </w:r>
      <w:r>
        <w:rPr>
          <w:position w:val="1"/>
        </w:rPr>
        <w:t xml:space="preserve"> 1mm </w:t>
      </w:r>
      <w:r>
        <w:rPr>
          <w:position w:val="1"/>
        </w:rPr>
        <w:t>确定；</w:t>
      </w:r>
      <w:r>
        <w:rPr>
          <w:position w:val="1"/>
        </w:rPr>
        <w:t xml:space="preserve"> </w:t>
      </w:r>
    </w:p>
    <w:p w14:paraId="5C94B4CF" w14:textId="77777777" w:rsidR="00A71EEF" w:rsidRDefault="00A71EEF">
      <w:pPr>
        <w:pStyle w:val="a3"/>
        <w:rPr>
          <w:sz w:val="17"/>
        </w:rPr>
      </w:pPr>
    </w:p>
    <w:p w14:paraId="4FE95AB7" w14:textId="77777777" w:rsidR="00A71EEF" w:rsidRDefault="0081115D">
      <w:pPr>
        <w:pStyle w:val="a3"/>
        <w:ind w:left="838"/>
        <w:rPr>
          <w:b/>
        </w:rPr>
      </w:pPr>
      <w:r>
        <w:rPr>
          <w:i/>
          <w:sz w:val="22"/>
        </w:rPr>
        <w:t xml:space="preserve">L </w:t>
      </w:r>
      <w:r>
        <w:t>——</w:t>
      </w:r>
      <w:r>
        <w:t>节流管的长度（</w:t>
      </w:r>
      <w:r>
        <w:t>m</w:t>
      </w:r>
      <w:r>
        <w:t>）。</w:t>
      </w:r>
      <w:r>
        <w:rPr>
          <w:b/>
          <w:w w:val="99"/>
        </w:rPr>
        <w:t xml:space="preserve"> </w:t>
      </w:r>
    </w:p>
    <w:p w14:paraId="4649FF70" w14:textId="77777777" w:rsidR="00A71EEF" w:rsidRDefault="00A71EEF">
      <w:pPr>
        <w:pStyle w:val="a3"/>
        <w:spacing w:before="10"/>
        <w:rPr>
          <w:b/>
          <w:sz w:val="17"/>
        </w:rPr>
      </w:pPr>
    </w:p>
    <w:p w14:paraId="1FD9472D" w14:textId="77777777" w:rsidR="00A71EEF" w:rsidRDefault="0081115D">
      <w:pPr>
        <w:spacing w:line="446" w:lineRule="auto"/>
        <w:ind w:left="838" w:right="6177" w:firstLine="2"/>
        <w:rPr>
          <w:b/>
          <w:sz w:val="21"/>
        </w:rPr>
      </w:pPr>
      <w:r>
        <w:rPr>
          <w:b/>
          <w:sz w:val="21"/>
        </w:rPr>
        <w:t xml:space="preserve">9.3.5 </w:t>
      </w:r>
      <w:r>
        <w:rPr>
          <w:sz w:val="21"/>
        </w:rPr>
        <w:t>减压阀的设置应符合下列规定：</w:t>
      </w:r>
      <w:r>
        <w:rPr>
          <w:sz w:val="21"/>
        </w:rPr>
        <w:t xml:space="preserve"> </w:t>
      </w:r>
      <w:r>
        <w:rPr>
          <w:sz w:val="21"/>
        </w:rPr>
        <w:t>应设在报警阀组入口前；</w:t>
      </w:r>
      <w:r>
        <w:rPr>
          <w:b/>
          <w:w w:val="99"/>
          <w:sz w:val="21"/>
        </w:rPr>
        <w:t xml:space="preserve"> </w:t>
      </w:r>
    </w:p>
    <w:p w14:paraId="6D8C5ADE" w14:textId="77777777" w:rsidR="00A71EEF" w:rsidRDefault="0081115D">
      <w:pPr>
        <w:pStyle w:val="a3"/>
        <w:ind w:left="838"/>
        <w:rPr>
          <w:b/>
        </w:rPr>
      </w:pPr>
      <w:r>
        <w:t>入口前应设过滤器，且便于排污；</w:t>
      </w:r>
      <w:r>
        <w:rPr>
          <w:b/>
          <w:w w:val="99"/>
        </w:rPr>
        <w:t xml:space="preserve"> </w:t>
      </w:r>
    </w:p>
    <w:p w14:paraId="3C86E877" w14:textId="77777777" w:rsidR="00A71EEF" w:rsidRDefault="00A71EEF">
      <w:pPr>
        <w:pStyle w:val="a3"/>
        <w:spacing w:before="12"/>
        <w:rPr>
          <w:b/>
          <w:sz w:val="17"/>
        </w:rPr>
      </w:pPr>
    </w:p>
    <w:p w14:paraId="1E90F3C6" w14:textId="77777777" w:rsidR="00A71EEF" w:rsidRDefault="0081115D">
      <w:pPr>
        <w:pStyle w:val="a3"/>
        <w:spacing w:line="446" w:lineRule="auto"/>
        <w:ind w:left="838" w:right="4866"/>
        <w:rPr>
          <w:b/>
        </w:rPr>
      </w:pPr>
      <w:r>
        <w:t>当连接两个及以上报警阀组时，应设置备用减压阀；</w:t>
      </w:r>
      <w:r>
        <w:t xml:space="preserve"> </w:t>
      </w:r>
      <w:r>
        <w:t>垂直设置的减压阀，水流方向宜向下；</w:t>
      </w:r>
      <w:r>
        <w:rPr>
          <w:b/>
          <w:w w:val="99"/>
        </w:rPr>
        <w:t xml:space="preserve"> </w:t>
      </w:r>
    </w:p>
    <w:p w14:paraId="39E4C4E7" w14:textId="77777777" w:rsidR="00A71EEF" w:rsidRDefault="0081115D">
      <w:pPr>
        <w:pStyle w:val="a3"/>
        <w:ind w:left="838"/>
        <w:rPr>
          <w:b/>
        </w:rPr>
      </w:pPr>
      <w:r>
        <w:rPr>
          <w:spacing w:val="-3"/>
        </w:rPr>
        <w:t>比例式减压阀宜垂直设置，可调式减压阀宜水平设置；</w:t>
      </w:r>
      <w:r>
        <w:rPr>
          <w:b/>
          <w:w w:val="99"/>
        </w:rPr>
        <w:t xml:space="preserve"> </w:t>
      </w:r>
    </w:p>
    <w:p w14:paraId="1862A0D2" w14:textId="77777777" w:rsidR="00A71EEF" w:rsidRDefault="00A71EEF">
      <w:pPr>
        <w:pStyle w:val="a3"/>
        <w:rPr>
          <w:b/>
          <w:sz w:val="18"/>
        </w:rPr>
      </w:pPr>
    </w:p>
    <w:p w14:paraId="1AC05608" w14:textId="77777777" w:rsidR="00A71EEF" w:rsidRDefault="0081115D">
      <w:pPr>
        <w:pStyle w:val="a3"/>
        <w:spacing w:line="446" w:lineRule="auto"/>
        <w:ind w:left="838" w:right="1505"/>
        <w:rPr>
          <w:b/>
        </w:rPr>
      </w:pPr>
      <w:r>
        <w:rPr>
          <w:spacing w:val="-3"/>
        </w:rPr>
        <w:t>减压阀前后应设控制阀和压力表，当减压阀主阀体自身带有压力表时，可不设置压力表；</w:t>
      </w:r>
      <w:r>
        <w:rPr>
          <w:spacing w:val="-3"/>
        </w:rPr>
        <w:t xml:space="preserve"> </w:t>
      </w:r>
      <w:r>
        <w:rPr>
          <w:spacing w:val="-3"/>
        </w:rPr>
        <w:t>减压阀和前后的阀门宜有保护或锁定调节配件的装置。</w:t>
      </w:r>
      <w:r>
        <w:rPr>
          <w:b/>
          <w:w w:val="99"/>
        </w:rPr>
        <w:t xml:space="preserve"> </w:t>
      </w:r>
    </w:p>
    <w:p w14:paraId="5FB13E28" w14:textId="77777777" w:rsidR="00A71EEF" w:rsidRDefault="0081115D">
      <w:pPr>
        <w:pStyle w:val="4"/>
        <w:spacing w:line="277" w:lineRule="exact"/>
      </w:pPr>
      <w:r>
        <w:t xml:space="preserve">10 </w:t>
      </w:r>
      <w:r>
        <w:t>供水</w:t>
      </w:r>
      <w:r>
        <w:rPr>
          <w:w w:val="99"/>
        </w:rPr>
        <w:t xml:space="preserve"> </w:t>
      </w:r>
    </w:p>
    <w:p w14:paraId="2DAA68C9" w14:textId="77777777" w:rsidR="00A71EEF" w:rsidRDefault="00A71EEF">
      <w:pPr>
        <w:pStyle w:val="a3"/>
        <w:spacing w:before="4"/>
        <w:rPr>
          <w:b/>
          <w:sz w:val="17"/>
        </w:rPr>
      </w:pPr>
    </w:p>
    <w:p w14:paraId="7D82C234" w14:textId="77777777" w:rsidR="00A71EEF" w:rsidRDefault="0081115D">
      <w:pPr>
        <w:pStyle w:val="a4"/>
        <w:numPr>
          <w:ilvl w:val="1"/>
          <w:numId w:val="66"/>
        </w:numPr>
        <w:tabs>
          <w:tab w:val="left" w:pos="1264"/>
        </w:tabs>
        <w:rPr>
          <w:b/>
          <w:sz w:val="21"/>
        </w:rPr>
      </w:pPr>
      <w:r>
        <w:rPr>
          <w:spacing w:val="-3"/>
          <w:sz w:val="21"/>
        </w:rPr>
        <w:t>一般规定</w:t>
      </w:r>
      <w:r>
        <w:rPr>
          <w:b/>
          <w:w w:val="99"/>
          <w:sz w:val="21"/>
        </w:rPr>
        <w:t xml:space="preserve"> </w:t>
      </w:r>
    </w:p>
    <w:p w14:paraId="1C614745" w14:textId="77777777" w:rsidR="00A71EEF" w:rsidRDefault="00A71EEF">
      <w:pPr>
        <w:pStyle w:val="a3"/>
        <w:spacing w:before="2"/>
        <w:rPr>
          <w:b/>
          <w:sz w:val="18"/>
        </w:rPr>
      </w:pPr>
    </w:p>
    <w:p w14:paraId="5AF7D7A4" w14:textId="77777777" w:rsidR="00A71EEF" w:rsidRDefault="0081115D">
      <w:pPr>
        <w:pStyle w:val="a4"/>
        <w:numPr>
          <w:ilvl w:val="2"/>
          <w:numId w:val="66"/>
        </w:numPr>
        <w:tabs>
          <w:tab w:val="left" w:pos="1530"/>
        </w:tabs>
        <w:spacing w:line="446" w:lineRule="auto"/>
        <w:ind w:right="1549" w:firstLine="422"/>
        <w:rPr>
          <w:sz w:val="21"/>
        </w:rPr>
      </w:pPr>
      <w:r>
        <w:rPr>
          <w:spacing w:val="-3"/>
          <w:sz w:val="21"/>
        </w:rPr>
        <w:t>系统用水应无污染、无腐蚀、无悬浮物。可由市政或企业的生产、消防给水管道供给，也可由消防水池或天然水源供给，并应确保持续喷水时间内的用水量。</w:t>
      </w:r>
      <w:r>
        <w:rPr>
          <w:sz w:val="21"/>
        </w:rPr>
        <w:t xml:space="preserve"> </w:t>
      </w:r>
    </w:p>
    <w:p w14:paraId="7118838B" w14:textId="77777777" w:rsidR="00A71EEF" w:rsidRDefault="0081115D">
      <w:pPr>
        <w:pStyle w:val="a4"/>
        <w:numPr>
          <w:ilvl w:val="2"/>
          <w:numId w:val="66"/>
        </w:numPr>
        <w:tabs>
          <w:tab w:val="left" w:pos="1530"/>
        </w:tabs>
        <w:spacing w:line="267" w:lineRule="exact"/>
        <w:ind w:left="1529" w:hanging="690"/>
        <w:rPr>
          <w:sz w:val="21"/>
        </w:rPr>
      </w:pPr>
      <w:r>
        <w:rPr>
          <w:spacing w:val="-3"/>
          <w:sz w:val="21"/>
        </w:rPr>
        <w:t>与生活用水合用的消防水箱和消防水池，其储水的水质应符合饮用水标准。</w:t>
      </w:r>
      <w:r>
        <w:rPr>
          <w:spacing w:val="-3"/>
          <w:sz w:val="21"/>
        </w:rPr>
        <w:t xml:space="preserve"> </w:t>
      </w:r>
    </w:p>
    <w:p w14:paraId="547B6AF3" w14:textId="77777777" w:rsidR="00A71EEF" w:rsidRDefault="00A71EEF">
      <w:pPr>
        <w:pStyle w:val="a3"/>
        <w:spacing w:before="1"/>
        <w:rPr>
          <w:sz w:val="18"/>
        </w:rPr>
      </w:pPr>
    </w:p>
    <w:p w14:paraId="1DC2C512" w14:textId="77777777" w:rsidR="00A71EEF" w:rsidRDefault="0081115D">
      <w:pPr>
        <w:pStyle w:val="a4"/>
        <w:numPr>
          <w:ilvl w:val="2"/>
          <w:numId w:val="66"/>
        </w:numPr>
        <w:tabs>
          <w:tab w:val="left" w:pos="1530"/>
        </w:tabs>
        <w:spacing w:before="1"/>
        <w:ind w:left="1529" w:hanging="690"/>
        <w:rPr>
          <w:sz w:val="21"/>
        </w:rPr>
      </w:pPr>
      <w:r>
        <w:rPr>
          <w:spacing w:val="-3"/>
          <w:sz w:val="21"/>
        </w:rPr>
        <w:t>严寒与寒冷地区，对系统中遭受冰冻影响的部分，应采取防冻措施。</w:t>
      </w:r>
      <w:r>
        <w:rPr>
          <w:spacing w:val="-3"/>
          <w:sz w:val="21"/>
        </w:rPr>
        <w:t xml:space="preserve"> </w:t>
      </w:r>
    </w:p>
    <w:p w14:paraId="540F0061" w14:textId="77777777" w:rsidR="00A71EEF" w:rsidRDefault="00A71EEF">
      <w:pPr>
        <w:pStyle w:val="a3"/>
        <w:spacing w:before="12"/>
        <w:rPr>
          <w:sz w:val="17"/>
        </w:rPr>
      </w:pPr>
    </w:p>
    <w:p w14:paraId="5E8E75F5" w14:textId="77777777" w:rsidR="00A71EEF" w:rsidRDefault="0081115D">
      <w:pPr>
        <w:pStyle w:val="a4"/>
        <w:numPr>
          <w:ilvl w:val="2"/>
          <w:numId w:val="66"/>
        </w:numPr>
        <w:tabs>
          <w:tab w:val="left" w:pos="1530"/>
        </w:tabs>
        <w:spacing w:line="446" w:lineRule="auto"/>
        <w:ind w:right="1505" w:firstLine="422"/>
        <w:rPr>
          <w:sz w:val="21"/>
        </w:rPr>
      </w:pPr>
      <w:r>
        <w:rPr>
          <w:spacing w:val="-3"/>
          <w:sz w:val="21"/>
        </w:rPr>
        <w:t>当自动喷水灭火系统中设有</w:t>
      </w:r>
      <w:r>
        <w:rPr>
          <w:spacing w:val="-3"/>
          <w:sz w:val="21"/>
        </w:rPr>
        <w:t xml:space="preserve"> </w:t>
      </w:r>
      <w:r>
        <w:rPr>
          <w:sz w:val="21"/>
        </w:rPr>
        <w:t>2</w:t>
      </w:r>
      <w:r>
        <w:rPr>
          <w:spacing w:val="-3"/>
          <w:sz w:val="21"/>
        </w:rPr>
        <w:t xml:space="preserve"> </w:t>
      </w:r>
      <w:r>
        <w:rPr>
          <w:spacing w:val="-3"/>
          <w:sz w:val="21"/>
        </w:rPr>
        <w:t>个及以上报警阀组时，报警阀组前应设环状供水管道。环状供水管道上设置的控制阀应采用信号阀；当不采用信号阀时，应设锁定阀位的锁具。</w:t>
      </w:r>
      <w:r>
        <w:rPr>
          <w:sz w:val="21"/>
        </w:rPr>
        <w:t xml:space="preserve"> </w:t>
      </w:r>
    </w:p>
    <w:p w14:paraId="1A50275A" w14:textId="77777777" w:rsidR="00A71EEF" w:rsidRDefault="0081115D">
      <w:pPr>
        <w:pStyle w:val="a4"/>
        <w:numPr>
          <w:ilvl w:val="1"/>
          <w:numId w:val="66"/>
        </w:numPr>
        <w:tabs>
          <w:tab w:val="left" w:pos="1266"/>
        </w:tabs>
        <w:ind w:left="1265" w:hanging="426"/>
        <w:rPr>
          <w:sz w:val="21"/>
        </w:rPr>
      </w:pPr>
      <w:r>
        <w:rPr>
          <w:spacing w:val="-3"/>
          <w:sz w:val="21"/>
        </w:rPr>
        <w:t>消防水泵</w:t>
      </w:r>
      <w:r>
        <w:rPr>
          <w:sz w:val="21"/>
        </w:rPr>
        <w:t xml:space="preserve"> </w:t>
      </w:r>
    </w:p>
    <w:p w14:paraId="10025807" w14:textId="77777777" w:rsidR="00A71EEF" w:rsidRDefault="00A71EEF">
      <w:pPr>
        <w:pStyle w:val="a3"/>
        <w:rPr>
          <w:sz w:val="18"/>
        </w:rPr>
      </w:pPr>
    </w:p>
    <w:p w14:paraId="44F7BE17" w14:textId="77777777" w:rsidR="00A71EEF" w:rsidRDefault="0081115D">
      <w:pPr>
        <w:pStyle w:val="a4"/>
        <w:numPr>
          <w:ilvl w:val="2"/>
          <w:numId w:val="66"/>
        </w:numPr>
        <w:tabs>
          <w:tab w:val="left" w:pos="1478"/>
        </w:tabs>
        <w:spacing w:line="446" w:lineRule="auto"/>
        <w:ind w:right="1496" w:firstLine="422"/>
        <w:rPr>
          <w:sz w:val="21"/>
        </w:rPr>
      </w:pPr>
      <w:r>
        <w:rPr>
          <w:spacing w:val="-3"/>
          <w:sz w:val="21"/>
        </w:rPr>
        <w:t>采用临时高压给水系统的自动喷水灭火系统，宜设置独立的消防水泵，并应按一用一备或二用一备，及最大一台消防水泵的工作性能设置备用泵。当与消火栓系统合用消防水泵时，系统管道应在报警阀前分开。</w:t>
      </w:r>
      <w:r>
        <w:rPr>
          <w:sz w:val="21"/>
        </w:rPr>
        <w:t xml:space="preserve"> </w:t>
      </w:r>
    </w:p>
    <w:p w14:paraId="6F443F03" w14:textId="77777777" w:rsidR="00A71EEF" w:rsidRDefault="0081115D">
      <w:pPr>
        <w:pStyle w:val="a4"/>
        <w:numPr>
          <w:ilvl w:val="2"/>
          <w:numId w:val="66"/>
        </w:numPr>
        <w:tabs>
          <w:tab w:val="left" w:pos="1478"/>
        </w:tabs>
        <w:spacing w:line="268" w:lineRule="exact"/>
        <w:ind w:left="1477" w:hanging="638"/>
        <w:rPr>
          <w:sz w:val="21"/>
        </w:rPr>
      </w:pPr>
      <w:r>
        <w:rPr>
          <w:spacing w:val="-3"/>
          <w:sz w:val="21"/>
        </w:rPr>
        <w:t>按二级负荷供电的建筑，宜采用柴油机泵作备用泵。</w:t>
      </w:r>
      <w:r>
        <w:rPr>
          <w:sz w:val="21"/>
        </w:rPr>
        <w:t xml:space="preserve"> </w:t>
      </w:r>
    </w:p>
    <w:p w14:paraId="28323AF2" w14:textId="77777777" w:rsidR="00A71EEF" w:rsidRDefault="00A71EEF">
      <w:pPr>
        <w:pStyle w:val="a3"/>
        <w:spacing w:before="12"/>
        <w:rPr>
          <w:sz w:val="17"/>
        </w:rPr>
      </w:pPr>
    </w:p>
    <w:p w14:paraId="2A0C1C46" w14:textId="77777777" w:rsidR="00A71EEF" w:rsidRDefault="0081115D">
      <w:pPr>
        <w:pStyle w:val="a4"/>
        <w:numPr>
          <w:ilvl w:val="2"/>
          <w:numId w:val="66"/>
        </w:numPr>
        <w:tabs>
          <w:tab w:val="left" w:pos="1478"/>
        </w:tabs>
        <w:spacing w:line="446" w:lineRule="auto"/>
        <w:ind w:right="1498" w:firstLine="422"/>
        <w:rPr>
          <w:sz w:val="21"/>
        </w:rPr>
      </w:pPr>
      <w:r>
        <w:rPr>
          <w:spacing w:val="-3"/>
          <w:sz w:val="21"/>
        </w:rPr>
        <w:t>系统的消防水泵、稳压泵，应采用自灌式吸水方式。采用天然水源时，消防水泵的吸水口应采取防止杂物堵塞的措施。</w:t>
      </w:r>
      <w:r>
        <w:rPr>
          <w:sz w:val="21"/>
        </w:rPr>
        <w:t xml:space="preserve"> </w:t>
      </w:r>
    </w:p>
    <w:p w14:paraId="2DA57269" w14:textId="77777777" w:rsidR="00A71EEF" w:rsidRDefault="0081115D">
      <w:pPr>
        <w:pStyle w:val="a4"/>
        <w:numPr>
          <w:ilvl w:val="2"/>
          <w:numId w:val="66"/>
        </w:numPr>
        <w:tabs>
          <w:tab w:val="left" w:pos="1478"/>
        </w:tabs>
        <w:spacing w:before="1"/>
        <w:ind w:left="1477" w:hanging="638"/>
        <w:rPr>
          <w:sz w:val="21"/>
        </w:rPr>
      </w:pPr>
      <w:r>
        <w:rPr>
          <w:spacing w:val="-7"/>
          <w:sz w:val="21"/>
        </w:rPr>
        <w:t>每组消防水泵的吸水</w:t>
      </w:r>
      <w:r>
        <w:rPr>
          <w:spacing w:val="-7"/>
          <w:sz w:val="21"/>
        </w:rPr>
        <w:t>管不应少于</w:t>
      </w:r>
      <w:r>
        <w:rPr>
          <w:spacing w:val="-7"/>
          <w:sz w:val="21"/>
        </w:rPr>
        <w:t xml:space="preserve"> </w:t>
      </w:r>
      <w:r>
        <w:rPr>
          <w:sz w:val="21"/>
        </w:rPr>
        <w:t>2</w:t>
      </w:r>
      <w:r>
        <w:rPr>
          <w:spacing w:val="-9"/>
          <w:sz w:val="21"/>
        </w:rPr>
        <w:t xml:space="preserve"> </w:t>
      </w:r>
      <w:r>
        <w:rPr>
          <w:spacing w:val="-9"/>
          <w:sz w:val="21"/>
        </w:rPr>
        <w:t>根。报警阀入口前设置环状管道的系统，每组消</w:t>
      </w:r>
    </w:p>
    <w:p w14:paraId="3F22FCD6" w14:textId="77777777" w:rsidR="00A71EEF" w:rsidRDefault="00A71EEF">
      <w:pPr>
        <w:pStyle w:val="a3"/>
        <w:spacing w:before="12"/>
        <w:rPr>
          <w:sz w:val="17"/>
        </w:rPr>
      </w:pPr>
    </w:p>
    <w:p w14:paraId="3C4A7DA7" w14:textId="77777777" w:rsidR="00A71EEF" w:rsidRDefault="0081115D">
      <w:pPr>
        <w:pStyle w:val="a3"/>
        <w:ind w:left="418"/>
      </w:pPr>
      <w:r>
        <w:t>防水泵的出水管不应少于</w:t>
      </w:r>
      <w:r>
        <w:t xml:space="preserve"> 2 </w:t>
      </w:r>
      <w:r>
        <w:t>根。消防水泵的吸水管应设控制阀和压力表；出水管应设控制阀、</w:t>
      </w:r>
    </w:p>
    <w:p w14:paraId="10C33654" w14:textId="77777777" w:rsidR="00A71EEF" w:rsidRDefault="00A71EEF">
      <w:pPr>
        <w:sectPr w:rsidR="00A71EEF">
          <w:pgSz w:w="11910" w:h="16850"/>
          <w:pgMar w:top="1200" w:right="0" w:bottom="1420" w:left="1260" w:header="0" w:footer="1239" w:gutter="0"/>
          <w:cols w:space="720"/>
        </w:sectPr>
      </w:pPr>
    </w:p>
    <w:p w14:paraId="2C07F302" w14:textId="77777777" w:rsidR="00A71EEF" w:rsidRDefault="0081115D">
      <w:pPr>
        <w:pStyle w:val="a3"/>
        <w:spacing w:before="47" w:line="446" w:lineRule="auto"/>
        <w:ind w:left="418" w:right="1608"/>
      </w:pPr>
      <w:r>
        <w:t>止回阀和压力表，出水管上还应设置流量和压力检测装置或预留可供连接流量和压力检测装置的接口。必要时，应采取控制消防水泵出口压力的措施。</w:t>
      </w:r>
      <w:r>
        <w:t xml:space="preserve"> </w:t>
      </w:r>
    </w:p>
    <w:p w14:paraId="480259EF" w14:textId="77777777" w:rsidR="00A71EEF" w:rsidRDefault="0081115D">
      <w:pPr>
        <w:pStyle w:val="a4"/>
        <w:numPr>
          <w:ilvl w:val="1"/>
          <w:numId w:val="66"/>
        </w:numPr>
        <w:tabs>
          <w:tab w:val="left" w:pos="1266"/>
        </w:tabs>
        <w:spacing w:line="267" w:lineRule="exact"/>
        <w:ind w:left="1265" w:hanging="426"/>
        <w:rPr>
          <w:sz w:val="21"/>
        </w:rPr>
      </w:pPr>
      <w:r>
        <w:rPr>
          <w:spacing w:val="-3"/>
          <w:sz w:val="21"/>
        </w:rPr>
        <w:t>高位消防水箱</w:t>
      </w:r>
      <w:r>
        <w:rPr>
          <w:sz w:val="21"/>
        </w:rPr>
        <w:t xml:space="preserve"> </w:t>
      </w:r>
    </w:p>
    <w:p w14:paraId="1D41073C" w14:textId="77777777" w:rsidR="00A71EEF" w:rsidRDefault="00A71EEF">
      <w:pPr>
        <w:pStyle w:val="a3"/>
        <w:spacing w:before="2"/>
        <w:rPr>
          <w:sz w:val="18"/>
        </w:rPr>
      </w:pPr>
    </w:p>
    <w:p w14:paraId="62BF415E" w14:textId="77777777" w:rsidR="00A71EEF" w:rsidRDefault="0081115D">
      <w:pPr>
        <w:pStyle w:val="a4"/>
        <w:numPr>
          <w:ilvl w:val="2"/>
          <w:numId w:val="66"/>
        </w:numPr>
        <w:tabs>
          <w:tab w:val="left" w:pos="1530"/>
        </w:tabs>
        <w:spacing w:line="446" w:lineRule="auto"/>
        <w:ind w:right="1549" w:firstLine="422"/>
        <w:jc w:val="both"/>
        <w:rPr>
          <w:sz w:val="21"/>
        </w:rPr>
      </w:pPr>
      <w:r>
        <w:rPr>
          <w:spacing w:val="-3"/>
          <w:sz w:val="21"/>
        </w:rPr>
        <w:t>采用临时高压给水系统的自动喷水灭火系统，应设高位消防水箱。自动喷水灭火系统可与消火栓系统合用高位消防水箱，其设置应符合现行国家标准《消防给水及消火栓系统技术规范》</w:t>
      </w:r>
      <w:r>
        <w:rPr>
          <w:sz w:val="21"/>
        </w:rPr>
        <w:t>GB 50974</w:t>
      </w:r>
      <w:r>
        <w:rPr>
          <w:spacing w:val="-13"/>
          <w:sz w:val="21"/>
        </w:rPr>
        <w:t xml:space="preserve"> </w:t>
      </w:r>
      <w:r>
        <w:rPr>
          <w:spacing w:val="-13"/>
          <w:sz w:val="21"/>
        </w:rPr>
        <w:t>的要求。</w:t>
      </w:r>
      <w:r>
        <w:rPr>
          <w:spacing w:val="-13"/>
          <w:sz w:val="21"/>
        </w:rPr>
        <w:t xml:space="preserve"> </w:t>
      </w:r>
    </w:p>
    <w:p w14:paraId="5E3B924E" w14:textId="77777777" w:rsidR="00A71EEF" w:rsidRDefault="0081115D">
      <w:pPr>
        <w:pStyle w:val="a4"/>
        <w:numPr>
          <w:ilvl w:val="2"/>
          <w:numId w:val="66"/>
        </w:numPr>
        <w:tabs>
          <w:tab w:val="left" w:pos="1478"/>
        </w:tabs>
        <w:spacing w:line="446" w:lineRule="auto"/>
        <w:ind w:right="1496" w:firstLine="422"/>
        <w:rPr>
          <w:sz w:val="21"/>
        </w:rPr>
      </w:pPr>
      <w:r>
        <w:rPr>
          <w:spacing w:val="-3"/>
          <w:sz w:val="21"/>
        </w:rPr>
        <w:t>高位消防水箱的设置高度不能满足系统最不利点处喷头的工作压力时，系统应设置增压稳压设施，增压稳压设施的设置应符合现行国家标准《消防给水及消火栓系统技术规范》</w:t>
      </w:r>
      <w:r>
        <w:rPr>
          <w:spacing w:val="-3"/>
          <w:sz w:val="21"/>
        </w:rPr>
        <w:t>GB 50974</w:t>
      </w:r>
      <w:r>
        <w:rPr>
          <w:spacing w:val="-13"/>
          <w:sz w:val="21"/>
        </w:rPr>
        <w:t xml:space="preserve"> </w:t>
      </w:r>
      <w:r>
        <w:rPr>
          <w:spacing w:val="-13"/>
          <w:sz w:val="21"/>
        </w:rPr>
        <w:t>的规定。</w:t>
      </w:r>
      <w:r>
        <w:rPr>
          <w:sz w:val="21"/>
        </w:rPr>
        <w:t xml:space="preserve"> </w:t>
      </w:r>
    </w:p>
    <w:p w14:paraId="2E68AE67" w14:textId="77777777" w:rsidR="00A71EEF" w:rsidRDefault="0081115D">
      <w:pPr>
        <w:pStyle w:val="a4"/>
        <w:numPr>
          <w:ilvl w:val="2"/>
          <w:numId w:val="66"/>
        </w:numPr>
        <w:tabs>
          <w:tab w:val="left" w:pos="1478"/>
        </w:tabs>
        <w:spacing w:line="446" w:lineRule="auto"/>
        <w:ind w:right="1496" w:firstLine="422"/>
        <w:jc w:val="both"/>
        <w:rPr>
          <w:sz w:val="21"/>
        </w:rPr>
      </w:pPr>
      <w:r>
        <w:rPr>
          <w:spacing w:val="-3"/>
          <w:sz w:val="21"/>
        </w:rPr>
        <w:t>采用临时高压给水系统的自动喷水灭火系统，当按现行国家标准《消防给水及消火栓系统技术规范》</w:t>
      </w:r>
      <w:r>
        <w:rPr>
          <w:sz w:val="21"/>
        </w:rPr>
        <w:t>GB</w:t>
      </w:r>
      <w:r>
        <w:rPr>
          <w:spacing w:val="17"/>
          <w:sz w:val="21"/>
        </w:rPr>
        <w:t xml:space="preserve"> </w:t>
      </w:r>
      <w:r>
        <w:rPr>
          <w:sz w:val="21"/>
        </w:rPr>
        <w:t>50974</w:t>
      </w:r>
      <w:r>
        <w:rPr>
          <w:spacing w:val="-8"/>
          <w:sz w:val="21"/>
        </w:rPr>
        <w:t xml:space="preserve"> </w:t>
      </w:r>
      <w:r>
        <w:rPr>
          <w:spacing w:val="-8"/>
          <w:sz w:val="21"/>
        </w:rPr>
        <w:t>的规定可不设置高位消防水箱时，系统应设气压供水设备。气压供</w:t>
      </w:r>
      <w:r>
        <w:rPr>
          <w:spacing w:val="-7"/>
          <w:sz w:val="21"/>
        </w:rPr>
        <w:t>水设备的有效水容积，应按系统最不利处</w:t>
      </w:r>
      <w:r>
        <w:rPr>
          <w:spacing w:val="-7"/>
          <w:sz w:val="21"/>
        </w:rPr>
        <w:t xml:space="preserve"> </w:t>
      </w:r>
      <w:r>
        <w:rPr>
          <w:sz w:val="21"/>
        </w:rPr>
        <w:t>4</w:t>
      </w:r>
      <w:r>
        <w:rPr>
          <w:spacing w:val="-11"/>
          <w:sz w:val="21"/>
        </w:rPr>
        <w:t xml:space="preserve"> </w:t>
      </w:r>
      <w:r>
        <w:rPr>
          <w:spacing w:val="-11"/>
          <w:sz w:val="21"/>
        </w:rPr>
        <w:t>只喷头在最低工作压力下的</w:t>
      </w:r>
      <w:r>
        <w:rPr>
          <w:spacing w:val="-11"/>
          <w:sz w:val="21"/>
        </w:rPr>
        <w:t xml:space="preserve"> </w:t>
      </w:r>
      <w:r>
        <w:rPr>
          <w:sz w:val="21"/>
        </w:rPr>
        <w:t>5min</w:t>
      </w:r>
      <w:r>
        <w:rPr>
          <w:spacing w:val="-8"/>
          <w:sz w:val="21"/>
        </w:rPr>
        <w:t xml:space="preserve"> </w:t>
      </w:r>
      <w:r>
        <w:rPr>
          <w:spacing w:val="-8"/>
          <w:sz w:val="21"/>
        </w:rPr>
        <w:t>用水量确定。干式</w:t>
      </w:r>
      <w:r>
        <w:rPr>
          <w:spacing w:val="-5"/>
          <w:sz w:val="21"/>
        </w:rPr>
        <w:t>系统、预作用系统设置的气压供水设备，应同时满足配水管道的充水要求。</w:t>
      </w:r>
      <w:r>
        <w:rPr>
          <w:sz w:val="21"/>
        </w:rPr>
        <w:t xml:space="preserve"> </w:t>
      </w:r>
    </w:p>
    <w:p w14:paraId="00F766C2" w14:textId="77777777" w:rsidR="00A71EEF" w:rsidRDefault="0081115D">
      <w:pPr>
        <w:pStyle w:val="a4"/>
        <w:numPr>
          <w:ilvl w:val="2"/>
          <w:numId w:val="66"/>
        </w:numPr>
        <w:tabs>
          <w:tab w:val="left" w:pos="1478"/>
        </w:tabs>
        <w:spacing w:line="267" w:lineRule="exact"/>
        <w:ind w:left="1477" w:hanging="638"/>
        <w:rPr>
          <w:sz w:val="21"/>
        </w:rPr>
      </w:pPr>
      <w:r>
        <w:rPr>
          <w:spacing w:val="-3"/>
          <w:sz w:val="21"/>
        </w:rPr>
        <w:t>高位消防水箱的出水管应符合下列规定：</w:t>
      </w:r>
      <w:r>
        <w:rPr>
          <w:sz w:val="21"/>
        </w:rPr>
        <w:t xml:space="preserve"> </w:t>
      </w:r>
    </w:p>
    <w:p w14:paraId="2E2DE2F0" w14:textId="77777777" w:rsidR="00A71EEF" w:rsidRDefault="00A71EEF">
      <w:pPr>
        <w:pStyle w:val="a3"/>
        <w:spacing w:before="10"/>
        <w:rPr>
          <w:sz w:val="17"/>
        </w:rPr>
      </w:pPr>
    </w:p>
    <w:p w14:paraId="3167EF73" w14:textId="77777777" w:rsidR="00A71EEF" w:rsidRDefault="0081115D">
      <w:pPr>
        <w:pStyle w:val="a3"/>
        <w:spacing w:line="446" w:lineRule="auto"/>
        <w:ind w:left="838" w:right="5293"/>
      </w:pPr>
      <w:r>
        <w:t>应设止回阀，并应与报警阀入口前管道连接；</w:t>
      </w:r>
      <w:r>
        <w:t xml:space="preserve"> </w:t>
      </w:r>
      <w:r>
        <w:t>出水管管径应经计算确定，且不应小于</w:t>
      </w:r>
      <w:r>
        <w:t xml:space="preserve"> 100mm</w:t>
      </w:r>
      <w:r>
        <w:t>。</w:t>
      </w:r>
      <w:r>
        <w:rPr>
          <w:b/>
        </w:rPr>
        <w:t xml:space="preserve">10.4 </w:t>
      </w:r>
      <w:r>
        <w:t>消防水泵接合器</w:t>
      </w:r>
      <w:r>
        <w:t xml:space="preserve"> </w:t>
      </w:r>
    </w:p>
    <w:p w14:paraId="7B59E115" w14:textId="77777777" w:rsidR="00A71EEF" w:rsidRDefault="0081115D">
      <w:pPr>
        <w:pStyle w:val="a4"/>
        <w:numPr>
          <w:ilvl w:val="2"/>
          <w:numId w:val="65"/>
        </w:numPr>
        <w:tabs>
          <w:tab w:val="left" w:pos="1530"/>
        </w:tabs>
        <w:spacing w:line="446" w:lineRule="auto"/>
        <w:ind w:right="1549" w:firstLine="422"/>
        <w:rPr>
          <w:sz w:val="21"/>
        </w:rPr>
      </w:pPr>
      <w:r>
        <w:rPr>
          <w:spacing w:val="-3"/>
          <w:sz w:val="21"/>
        </w:rPr>
        <w:t>系统应设消防水泵接合器，其数量应按系统的设计流量确定，每个消防水泵接合器</w:t>
      </w:r>
      <w:r>
        <w:rPr>
          <w:spacing w:val="-12"/>
          <w:sz w:val="21"/>
        </w:rPr>
        <w:t>的流量宜按</w:t>
      </w:r>
      <w:r>
        <w:rPr>
          <w:spacing w:val="-12"/>
          <w:sz w:val="21"/>
        </w:rPr>
        <w:t xml:space="preserve"> </w:t>
      </w:r>
      <w:r>
        <w:rPr>
          <w:sz w:val="21"/>
        </w:rPr>
        <w:t>10</w:t>
      </w:r>
      <w:r>
        <w:rPr>
          <w:sz w:val="21"/>
        </w:rPr>
        <w:t>～</w:t>
      </w:r>
      <w:r>
        <w:rPr>
          <w:sz w:val="21"/>
        </w:rPr>
        <w:t>15L/s</w:t>
      </w:r>
      <w:r>
        <w:rPr>
          <w:spacing w:val="-15"/>
          <w:sz w:val="21"/>
        </w:rPr>
        <w:t xml:space="preserve"> </w:t>
      </w:r>
      <w:r>
        <w:rPr>
          <w:spacing w:val="-15"/>
          <w:sz w:val="21"/>
        </w:rPr>
        <w:t>计算。</w:t>
      </w:r>
      <w:r>
        <w:rPr>
          <w:spacing w:val="-15"/>
          <w:sz w:val="21"/>
        </w:rPr>
        <w:t xml:space="preserve"> </w:t>
      </w:r>
    </w:p>
    <w:p w14:paraId="421CE411" w14:textId="77777777" w:rsidR="00A71EEF" w:rsidRDefault="0081115D">
      <w:pPr>
        <w:pStyle w:val="a4"/>
        <w:numPr>
          <w:ilvl w:val="2"/>
          <w:numId w:val="65"/>
        </w:numPr>
        <w:tabs>
          <w:tab w:val="left" w:pos="1530"/>
        </w:tabs>
        <w:spacing w:line="446" w:lineRule="auto"/>
        <w:ind w:right="1549" w:firstLine="422"/>
        <w:rPr>
          <w:sz w:val="21"/>
        </w:rPr>
      </w:pPr>
      <w:r>
        <w:rPr>
          <w:spacing w:val="-3"/>
          <w:sz w:val="21"/>
        </w:rPr>
        <w:t>当消防水泵接合器</w:t>
      </w:r>
      <w:r>
        <w:rPr>
          <w:spacing w:val="-3"/>
          <w:sz w:val="21"/>
        </w:rPr>
        <w:t>的供水能力不能满足最不利点处作用面积的流量和压力要求时，</w:t>
      </w:r>
      <w:r>
        <w:rPr>
          <w:spacing w:val="-3"/>
          <w:sz w:val="21"/>
        </w:rPr>
        <w:t xml:space="preserve"> </w:t>
      </w:r>
      <w:r>
        <w:rPr>
          <w:spacing w:val="-3"/>
          <w:sz w:val="21"/>
        </w:rPr>
        <w:t>应采取增压措施。</w:t>
      </w:r>
      <w:r>
        <w:rPr>
          <w:sz w:val="21"/>
        </w:rPr>
        <w:t xml:space="preserve"> </w:t>
      </w:r>
    </w:p>
    <w:p w14:paraId="696644F4" w14:textId="77777777" w:rsidR="00A71EEF" w:rsidRDefault="0081115D">
      <w:pPr>
        <w:pStyle w:val="4"/>
        <w:spacing w:line="277" w:lineRule="exact"/>
      </w:pPr>
      <w:r>
        <w:t xml:space="preserve">11 </w:t>
      </w:r>
      <w:r>
        <w:t>操作与控制</w:t>
      </w:r>
      <w:r>
        <w:rPr>
          <w:w w:val="99"/>
        </w:rPr>
        <w:t xml:space="preserve"> </w:t>
      </w:r>
    </w:p>
    <w:p w14:paraId="13702A3F" w14:textId="77777777" w:rsidR="00A71EEF" w:rsidRDefault="00A71EEF">
      <w:pPr>
        <w:pStyle w:val="a3"/>
        <w:spacing w:before="3"/>
        <w:rPr>
          <w:b/>
          <w:sz w:val="17"/>
        </w:rPr>
      </w:pPr>
    </w:p>
    <w:p w14:paraId="5111720D" w14:textId="77777777" w:rsidR="00A71EEF" w:rsidRDefault="0081115D">
      <w:pPr>
        <w:pStyle w:val="a4"/>
        <w:numPr>
          <w:ilvl w:val="1"/>
          <w:numId w:val="64"/>
        </w:numPr>
        <w:tabs>
          <w:tab w:val="left" w:pos="1318"/>
        </w:tabs>
        <w:spacing w:line="446" w:lineRule="auto"/>
        <w:ind w:right="1551" w:firstLine="422"/>
        <w:rPr>
          <w:sz w:val="21"/>
        </w:rPr>
      </w:pPr>
      <w:r>
        <w:rPr>
          <w:spacing w:val="-3"/>
          <w:sz w:val="21"/>
        </w:rPr>
        <w:t>湿式系统、干式系统应由消防水泵出水干管上设置的压力开关、高位消防水箱出水管上的流量开关和报警阀组压力开关直接自动启动消防水泵。</w:t>
      </w:r>
      <w:r>
        <w:rPr>
          <w:sz w:val="21"/>
        </w:rPr>
        <w:t xml:space="preserve"> </w:t>
      </w:r>
    </w:p>
    <w:p w14:paraId="25513B49" w14:textId="77777777" w:rsidR="00A71EEF" w:rsidRDefault="0081115D">
      <w:pPr>
        <w:pStyle w:val="a4"/>
        <w:numPr>
          <w:ilvl w:val="1"/>
          <w:numId w:val="64"/>
        </w:numPr>
        <w:tabs>
          <w:tab w:val="left" w:pos="1266"/>
        </w:tabs>
        <w:spacing w:line="446" w:lineRule="auto"/>
        <w:ind w:right="1498" w:firstLine="422"/>
        <w:rPr>
          <w:sz w:val="21"/>
        </w:rPr>
      </w:pPr>
      <w:r>
        <w:rPr>
          <w:spacing w:val="-3"/>
          <w:sz w:val="21"/>
        </w:rPr>
        <w:t>预作用系统应由火灾自动报警系统、消防水泵出水干管上设置的压力开关、高位消防水箱出水管上的流量开关和报警阀组压力开关直接自动启动消防水泵。</w:t>
      </w:r>
      <w:r>
        <w:rPr>
          <w:sz w:val="21"/>
        </w:rPr>
        <w:t xml:space="preserve"> </w:t>
      </w:r>
    </w:p>
    <w:p w14:paraId="385C1BD6" w14:textId="77777777" w:rsidR="00A71EEF" w:rsidRDefault="0081115D">
      <w:pPr>
        <w:pStyle w:val="a4"/>
        <w:numPr>
          <w:ilvl w:val="1"/>
          <w:numId w:val="64"/>
        </w:numPr>
        <w:tabs>
          <w:tab w:val="left" w:pos="1266"/>
        </w:tabs>
        <w:spacing w:line="267" w:lineRule="exact"/>
        <w:ind w:left="1265" w:hanging="426"/>
        <w:rPr>
          <w:sz w:val="21"/>
        </w:rPr>
      </w:pPr>
      <w:r>
        <w:rPr>
          <w:spacing w:val="-3"/>
          <w:sz w:val="21"/>
        </w:rPr>
        <w:t>雨淋系统和自动控制的水幕系统，消防水泵的自动启动方式应符合下列要求：</w:t>
      </w:r>
      <w:r>
        <w:rPr>
          <w:spacing w:val="-3"/>
          <w:sz w:val="21"/>
        </w:rPr>
        <w:t xml:space="preserve"> </w:t>
      </w:r>
    </w:p>
    <w:p w14:paraId="40A4C30C" w14:textId="77777777" w:rsidR="00A71EEF" w:rsidRDefault="00A71EEF">
      <w:pPr>
        <w:spacing w:line="267" w:lineRule="exact"/>
        <w:rPr>
          <w:sz w:val="21"/>
        </w:rPr>
        <w:sectPr w:rsidR="00A71EEF">
          <w:pgSz w:w="11910" w:h="16850"/>
          <w:pgMar w:top="1220" w:right="0" w:bottom="1420" w:left="1260" w:header="0" w:footer="1239" w:gutter="0"/>
          <w:cols w:space="720"/>
        </w:sectPr>
      </w:pPr>
    </w:p>
    <w:p w14:paraId="0BDB8931" w14:textId="77777777" w:rsidR="00A71EEF" w:rsidRDefault="0081115D">
      <w:pPr>
        <w:pStyle w:val="a3"/>
        <w:spacing w:before="47" w:line="446" w:lineRule="auto"/>
        <w:ind w:left="418" w:right="1609" w:firstLine="419"/>
        <w:jc w:val="both"/>
      </w:pPr>
      <w:r>
        <w:t>当采用火灾自动报警系统控制雨淋报警阀时，消防水泵应由火灾自动报警系统、消防水泵出水干管上设置的压力开关、高位消防水箱出水管上的流量开关和报警阀组压力开关直接自动启动；</w:t>
      </w:r>
      <w:r>
        <w:t xml:space="preserve"> </w:t>
      </w:r>
    </w:p>
    <w:p w14:paraId="002ACA83" w14:textId="77777777" w:rsidR="00A71EEF" w:rsidRDefault="0081115D">
      <w:pPr>
        <w:pStyle w:val="a3"/>
        <w:spacing w:line="446" w:lineRule="auto"/>
        <w:ind w:left="418" w:right="1609" w:firstLine="419"/>
      </w:pPr>
      <w:r>
        <w:t>当采用充液（水）传动管控制雨淋报警阀时，消防水泵应由消防水泵出水干管上设置的压力开关、高位消防水箱出水管上的流量开关和报警阀组压力开关直接启动。</w:t>
      </w:r>
      <w:r>
        <w:t xml:space="preserve"> </w:t>
      </w:r>
    </w:p>
    <w:p w14:paraId="04A7AF6D" w14:textId="77777777" w:rsidR="00A71EEF" w:rsidRDefault="0081115D">
      <w:pPr>
        <w:pStyle w:val="a4"/>
        <w:numPr>
          <w:ilvl w:val="1"/>
          <w:numId w:val="64"/>
        </w:numPr>
        <w:tabs>
          <w:tab w:val="left" w:pos="1264"/>
        </w:tabs>
        <w:spacing w:line="267" w:lineRule="exact"/>
        <w:ind w:left="1263" w:hanging="424"/>
        <w:rPr>
          <w:sz w:val="21"/>
        </w:rPr>
      </w:pPr>
      <w:r>
        <w:rPr>
          <w:spacing w:val="-3"/>
          <w:sz w:val="21"/>
        </w:rPr>
        <w:t>消防水泵除具有自动控制启动方式外，还应具备下列启动方式：</w:t>
      </w:r>
      <w:r>
        <w:rPr>
          <w:sz w:val="21"/>
        </w:rPr>
        <w:t xml:space="preserve"> </w:t>
      </w:r>
    </w:p>
    <w:p w14:paraId="3001A60B" w14:textId="77777777" w:rsidR="00A71EEF" w:rsidRDefault="00A71EEF">
      <w:pPr>
        <w:pStyle w:val="a3"/>
        <w:spacing w:before="1"/>
        <w:rPr>
          <w:sz w:val="18"/>
        </w:rPr>
      </w:pPr>
    </w:p>
    <w:p w14:paraId="4A4BB3BF" w14:textId="77777777" w:rsidR="00A71EEF" w:rsidRDefault="0081115D">
      <w:pPr>
        <w:pStyle w:val="a3"/>
        <w:spacing w:line="446" w:lineRule="auto"/>
        <w:ind w:left="838" w:right="6969"/>
      </w:pPr>
      <w:r>
        <w:t>消防控制室（盘）远程控制；</w:t>
      </w:r>
      <w:r>
        <w:t xml:space="preserve"> </w:t>
      </w:r>
      <w:r>
        <w:t>消防水泵房现场应急操作。</w:t>
      </w:r>
      <w:r>
        <w:t xml:space="preserve"> </w:t>
      </w:r>
    </w:p>
    <w:p w14:paraId="553B7F70" w14:textId="77777777" w:rsidR="00A71EEF" w:rsidRDefault="0081115D">
      <w:pPr>
        <w:pStyle w:val="a4"/>
        <w:numPr>
          <w:ilvl w:val="1"/>
          <w:numId w:val="64"/>
        </w:numPr>
        <w:tabs>
          <w:tab w:val="left" w:pos="1266"/>
        </w:tabs>
        <w:spacing w:line="446" w:lineRule="auto"/>
        <w:ind w:right="1498" w:firstLine="422"/>
        <w:rPr>
          <w:sz w:val="21"/>
        </w:rPr>
      </w:pPr>
      <w:r>
        <w:rPr>
          <w:spacing w:val="-3"/>
          <w:sz w:val="21"/>
        </w:rPr>
        <w:t>预作用装置的自动控制方式可采用仅有火灾自动报警系统直接控制，或由火灾自动报警</w:t>
      </w:r>
      <w:r>
        <w:rPr>
          <w:spacing w:val="-3"/>
          <w:sz w:val="21"/>
        </w:rPr>
        <w:t>系统和充气管道上设置的压力开关控制，并应符合下列要求：</w:t>
      </w:r>
      <w:r>
        <w:rPr>
          <w:sz w:val="21"/>
        </w:rPr>
        <w:t xml:space="preserve"> </w:t>
      </w:r>
    </w:p>
    <w:p w14:paraId="6694D423" w14:textId="77777777" w:rsidR="00A71EEF" w:rsidRDefault="0081115D">
      <w:pPr>
        <w:pStyle w:val="a3"/>
        <w:spacing w:line="446" w:lineRule="auto"/>
        <w:ind w:left="418" w:right="1817" w:firstLine="419"/>
      </w:pPr>
      <w:r>
        <w:t>处于准工作状态时严禁误喷的场所，宜采用仅有火灾自动报警系统直接控制的预作用系统；</w:t>
      </w:r>
      <w:r>
        <w:t xml:space="preserve"> </w:t>
      </w:r>
    </w:p>
    <w:p w14:paraId="769B247E" w14:textId="77777777" w:rsidR="00A71EEF" w:rsidRDefault="0081115D">
      <w:pPr>
        <w:pStyle w:val="a3"/>
        <w:spacing w:line="446" w:lineRule="auto"/>
        <w:ind w:left="418" w:right="1505" w:firstLine="419"/>
      </w:pPr>
      <w:r>
        <w:t>处于准工作状态时严禁管道充水的场所和用于替代干式系统的场所</w:t>
      </w:r>
      <w:r>
        <w:t xml:space="preserve"> </w:t>
      </w:r>
      <w:r>
        <w:t>，宜由火灾自动报警系统和充气管道上设置的压力开关控制的预作用系统。</w:t>
      </w:r>
      <w:r>
        <w:t xml:space="preserve"> </w:t>
      </w:r>
    </w:p>
    <w:p w14:paraId="38D3F78D" w14:textId="77777777" w:rsidR="00A71EEF" w:rsidRDefault="0081115D">
      <w:pPr>
        <w:pStyle w:val="a4"/>
        <w:numPr>
          <w:ilvl w:val="1"/>
          <w:numId w:val="64"/>
        </w:numPr>
        <w:tabs>
          <w:tab w:val="left" w:pos="1264"/>
        </w:tabs>
        <w:spacing w:line="267" w:lineRule="exact"/>
        <w:ind w:left="1263" w:hanging="424"/>
        <w:rPr>
          <w:sz w:val="21"/>
        </w:rPr>
      </w:pPr>
      <w:r>
        <w:rPr>
          <w:spacing w:val="-3"/>
          <w:sz w:val="21"/>
        </w:rPr>
        <w:t>雨淋报警阀的自动控制方式可采用电动、液（</w:t>
      </w:r>
      <w:r>
        <w:rPr>
          <w:sz w:val="21"/>
        </w:rPr>
        <w:t>水）</w:t>
      </w:r>
      <w:r>
        <w:rPr>
          <w:spacing w:val="-3"/>
          <w:sz w:val="21"/>
        </w:rPr>
        <w:t>动或气动。当雨淋报警阀采用充液</w:t>
      </w:r>
    </w:p>
    <w:p w14:paraId="36CCA6C7" w14:textId="77777777" w:rsidR="00A71EEF" w:rsidRDefault="00A71EEF">
      <w:pPr>
        <w:pStyle w:val="a3"/>
        <w:rPr>
          <w:sz w:val="18"/>
        </w:rPr>
      </w:pPr>
    </w:p>
    <w:p w14:paraId="6426EFDD" w14:textId="77777777" w:rsidR="00A71EEF" w:rsidRDefault="0081115D">
      <w:pPr>
        <w:pStyle w:val="a3"/>
        <w:spacing w:line="446" w:lineRule="auto"/>
        <w:ind w:left="418" w:right="1608"/>
      </w:pPr>
      <w:r>
        <w:t>（水）传动管自动控制时，闭式喷头与雨淋报警阀之间的高程差，应根据雨淋报警阀的性能确定。</w:t>
      </w:r>
      <w:r>
        <w:t xml:space="preserve"> </w:t>
      </w:r>
    </w:p>
    <w:p w14:paraId="44CCEDBE" w14:textId="77777777" w:rsidR="00A71EEF" w:rsidRDefault="0081115D">
      <w:pPr>
        <w:pStyle w:val="a4"/>
        <w:numPr>
          <w:ilvl w:val="1"/>
          <w:numId w:val="64"/>
        </w:numPr>
        <w:tabs>
          <w:tab w:val="left" w:pos="1266"/>
        </w:tabs>
        <w:spacing w:line="446" w:lineRule="auto"/>
        <w:ind w:right="1498" w:firstLine="422"/>
        <w:rPr>
          <w:sz w:val="21"/>
        </w:rPr>
      </w:pPr>
      <w:r>
        <w:rPr>
          <w:spacing w:val="-3"/>
          <w:sz w:val="21"/>
        </w:rPr>
        <w:t>预作用系统、雨淋系统和自动控制的水幕系统，应同时具备下列三种开启报警阀组的控制方式：</w:t>
      </w:r>
      <w:r>
        <w:rPr>
          <w:sz w:val="21"/>
        </w:rPr>
        <w:t xml:space="preserve"> </w:t>
      </w:r>
    </w:p>
    <w:p w14:paraId="04C9608D" w14:textId="77777777" w:rsidR="00A71EEF" w:rsidRDefault="0081115D">
      <w:pPr>
        <w:pStyle w:val="a3"/>
        <w:ind w:left="838"/>
      </w:pPr>
      <w:r>
        <w:t>自动控制；</w:t>
      </w:r>
      <w:r>
        <w:t xml:space="preserve"> </w:t>
      </w:r>
    </w:p>
    <w:p w14:paraId="3C89C27C" w14:textId="77777777" w:rsidR="00A71EEF" w:rsidRDefault="00A71EEF">
      <w:pPr>
        <w:pStyle w:val="a3"/>
        <w:spacing w:before="10"/>
        <w:rPr>
          <w:sz w:val="17"/>
        </w:rPr>
      </w:pPr>
    </w:p>
    <w:p w14:paraId="0BF6F0E8" w14:textId="77777777" w:rsidR="00A71EEF" w:rsidRDefault="0081115D">
      <w:pPr>
        <w:pStyle w:val="a3"/>
        <w:ind w:left="838"/>
      </w:pPr>
      <w:r>
        <w:t>消防控制室（盘）远程控制；</w:t>
      </w:r>
      <w:r>
        <w:t xml:space="preserve"> </w:t>
      </w:r>
    </w:p>
    <w:p w14:paraId="1B84B04D" w14:textId="77777777" w:rsidR="00A71EEF" w:rsidRDefault="00A71EEF">
      <w:pPr>
        <w:pStyle w:val="a3"/>
        <w:spacing w:before="2"/>
        <w:rPr>
          <w:sz w:val="18"/>
        </w:rPr>
      </w:pPr>
    </w:p>
    <w:p w14:paraId="4C6C4068" w14:textId="77777777" w:rsidR="00A71EEF" w:rsidRDefault="0081115D">
      <w:pPr>
        <w:pStyle w:val="a3"/>
        <w:ind w:left="838"/>
      </w:pPr>
      <w:r>
        <w:t>预作用装置或雨淋报警阀处现场手动应急操作。</w:t>
      </w:r>
      <w:r>
        <w:t xml:space="preserve"> </w:t>
      </w:r>
    </w:p>
    <w:p w14:paraId="6FEFA5BA" w14:textId="77777777" w:rsidR="00A71EEF" w:rsidRDefault="00A71EEF">
      <w:pPr>
        <w:pStyle w:val="a3"/>
        <w:rPr>
          <w:sz w:val="18"/>
        </w:rPr>
      </w:pPr>
    </w:p>
    <w:p w14:paraId="57B5C981" w14:textId="77777777" w:rsidR="00A71EEF" w:rsidRDefault="0081115D">
      <w:pPr>
        <w:pStyle w:val="a4"/>
        <w:numPr>
          <w:ilvl w:val="1"/>
          <w:numId w:val="64"/>
        </w:numPr>
        <w:tabs>
          <w:tab w:val="left" w:pos="1318"/>
        </w:tabs>
        <w:spacing w:line="446" w:lineRule="auto"/>
        <w:ind w:right="1551" w:firstLine="422"/>
        <w:rPr>
          <w:sz w:val="21"/>
        </w:rPr>
      </w:pPr>
      <w:r>
        <w:rPr>
          <w:spacing w:val="-3"/>
          <w:sz w:val="21"/>
        </w:rPr>
        <w:t>当建筑物整体采用湿式系统，局部场所采用预作用系统保护且预作用系统串联接入湿</w:t>
      </w:r>
      <w:r>
        <w:rPr>
          <w:spacing w:val="-7"/>
          <w:sz w:val="21"/>
        </w:rPr>
        <w:t>式系统时，除应符合本规范第</w:t>
      </w:r>
      <w:r>
        <w:rPr>
          <w:spacing w:val="-7"/>
          <w:sz w:val="21"/>
        </w:rPr>
        <w:t xml:space="preserve"> </w:t>
      </w:r>
      <w:r>
        <w:rPr>
          <w:sz w:val="21"/>
        </w:rPr>
        <w:t>11.0.1</w:t>
      </w:r>
      <w:r>
        <w:rPr>
          <w:spacing w:val="-8"/>
          <w:sz w:val="21"/>
        </w:rPr>
        <w:t xml:space="preserve"> </w:t>
      </w:r>
      <w:r>
        <w:rPr>
          <w:spacing w:val="-8"/>
          <w:sz w:val="21"/>
        </w:rPr>
        <w:t>条的规定外，预作用装置的控制方式还应符合本规范第</w:t>
      </w:r>
    </w:p>
    <w:p w14:paraId="74003A4B" w14:textId="77777777" w:rsidR="00A71EEF" w:rsidRDefault="0081115D">
      <w:pPr>
        <w:pStyle w:val="a3"/>
        <w:ind w:left="418"/>
      </w:pPr>
      <w:r>
        <w:t xml:space="preserve">11.0.7 </w:t>
      </w:r>
      <w:r>
        <w:t>条的规定。</w:t>
      </w:r>
      <w:r>
        <w:t xml:space="preserve"> </w:t>
      </w:r>
    </w:p>
    <w:p w14:paraId="47C946AF" w14:textId="77777777" w:rsidR="00A71EEF" w:rsidRDefault="00A71EEF">
      <w:pPr>
        <w:pStyle w:val="a3"/>
        <w:spacing w:before="12"/>
        <w:rPr>
          <w:sz w:val="17"/>
        </w:rPr>
      </w:pPr>
    </w:p>
    <w:p w14:paraId="0FA96FBC" w14:textId="77777777" w:rsidR="00A71EEF" w:rsidRDefault="0081115D">
      <w:pPr>
        <w:pStyle w:val="a4"/>
        <w:numPr>
          <w:ilvl w:val="1"/>
          <w:numId w:val="64"/>
        </w:numPr>
        <w:tabs>
          <w:tab w:val="left" w:pos="1318"/>
        </w:tabs>
        <w:ind w:left="1318"/>
        <w:rPr>
          <w:sz w:val="21"/>
        </w:rPr>
      </w:pPr>
      <w:r>
        <w:rPr>
          <w:spacing w:val="-3"/>
          <w:sz w:val="21"/>
        </w:rPr>
        <w:t>快速排气阀入口前的电动阀应在启动消防水泵的同时开启。</w:t>
      </w:r>
      <w:r>
        <w:rPr>
          <w:sz w:val="21"/>
        </w:rPr>
        <w:t xml:space="preserve"> </w:t>
      </w:r>
    </w:p>
    <w:p w14:paraId="72302FB3" w14:textId="77777777" w:rsidR="00A71EEF" w:rsidRDefault="00A71EEF">
      <w:pPr>
        <w:rPr>
          <w:sz w:val="21"/>
        </w:rPr>
        <w:sectPr w:rsidR="00A71EEF">
          <w:pgSz w:w="11910" w:h="16850"/>
          <w:pgMar w:top="1220" w:right="0" w:bottom="1420" w:left="1260" w:header="0" w:footer="1239" w:gutter="0"/>
          <w:cols w:space="720"/>
        </w:sectPr>
      </w:pPr>
    </w:p>
    <w:p w14:paraId="3DA2CCE8" w14:textId="77777777" w:rsidR="00A71EEF" w:rsidRDefault="0081115D">
      <w:pPr>
        <w:pStyle w:val="a4"/>
        <w:numPr>
          <w:ilvl w:val="1"/>
          <w:numId w:val="64"/>
        </w:numPr>
        <w:tabs>
          <w:tab w:val="left" w:pos="1424"/>
        </w:tabs>
        <w:spacing w:before="47" w:line="446" w:lineRule="auto"/>
        <w:ind w:right="1445" w:firstLine="422"/>
        <w:rPr>
          <w:sz w:val="21"/>
        </w:rPr>
      </w:pPr>
      <w:r>
        <w:rPr>
          <w:spacing w:val="-3"/>
          <w:sz w:val="21"/>
        </w:rPr>
        <w:t>消防控制室</w:t>
      </w:r>
      <w:r>
        <w:rPr>
          <w:sz w:val="21"/>
        </w:rPr>
        <w:t>（</w:t>
      </w:r>
      <w:r>
        <w:rPr>
          <w:spacing w:val="-3"/>
          <w:sz w:val="21"/>
        </w:rPr>
        <w:t>盘）应能显示水流指示器、压力开关、信号阀、消防水泵、消防水池及水箱水位、有压气体管道气压，以及电源和备用动力等是否处于正常状态的反馈信号，并应能</w:t>
      </w:r>
      <w:r>
        <w:rPr>
          <w:spacing w:val="-3"/>
          <w:sz w:val="21"/>
        </w:rPr>
        <w:t xml:space="preserve"> </w:t>
      </w:r>
      <w:r>
        <w:rPr>
          <w:spacing w:val="-3"/>
          <w:sz w:val="21"/>
        </w:rPr>
        <w:t>控制消防水泵、电磁阀、电动阀等的操作。</w:t>
      </w:r>
      <w:r>
        <w:rPr>
          <w:sz w:val="21"/>
        </w:rPr>
        <w:t xml:space="preserve"> </w:t>
      </w:r>
    </w:p>
    <w:p w14:paraId="299BA2E5" w14:textId="77777777" w:rsidR="00A71EEF" w:rsidRDefault="0081115D">
      <w:pPr>
        <w:pStyle w:val="4"/>
        <w:spacing w:line="277" w:lineRule="exact"/>
      </w:pPr>
      <w:r>
        <w:t xml:space="preserve">12 </w:t>
      </w:r>
      <w:r>
        <w:t>局部应用系统</w:t>
      </w:r>
      <w:r>
        <w:rPr>
          <w:w w:val="99"/>
        </w:rPr>
        <w:t xml:space="preserve"> </w:t>
      </w:r>
    </w:p>
    <w:p w14:paraId="52C4F106" w14:textId="77777777" w:rsidR="00A71EEF" w:rsidRDefault="00A71EEF">
      <w:pPr>
        <w:pStyle w:val="a3"/>
        <w:spacing w:before="4"/>
        <w:rPr>
          <w:b/>
          <w:sz w:val="17"/>
        </w:rPr>
      </w:pPr>
    </w:p>
    <w:p w14:paraId="685F581B" w14:textId="77777777" w:rsidR="00A71EEF" w:rsidRDefault="0081115D">
      <w:pPr>
        <w:pStyle w:val="a4"/>
        <w:numPr>
          <w:ilvl w:val="1"/>
          <w:numId w:val="63"/>
        </w:numPr>
        <w:tabs>
          <w:tab w:val="left" w:pos="1264"/>
        </w:tabs>
        <w:spacing w:line="441" w:lineRule="auto"/>
        <w:ind w:right="1582" w:firstLine="422"/>
        <w:jc w:val="both"/>
        <w:rPr>
          <w:sz w:val="21"/>
        </w:rPr>
      </w:pPr>
      <w:r>
        <w:rPr>
          <w:spacing w:val="-6"/>
          <w:sz w:val="21"/>
        </w:rPr>
        <w:t>局部应用系统应用于室内最大净空高度不超过</w:t>
      </w:r>
      <w:r>
        <w:rPr>
          <w:spacing w:val="-6"/>
          <w:sz w:val="21"/>
        </w:rPr>
        <w:t xml:space="preserve"> </w:t>
      </w:r>
      <w:r>
        <w:rPr>
          <w:sz w:val="21"/>
        </w:rPr>
        <w:t>8m</w:t>
      </w:r>
      <w:r>
        <w:rPr>
          <w:spacing w:val="-8"/>
          <w:sz w:val="21"/>
        </w:rPr>
        <w:t xml:space="preserve"> </w:t>
      </w:r>
      <w:r>
        <w:rPr>
          <w:spacing w:val="-8"/>
          <w:sz w:val="21"/>
        </w:rPr>
        <w:t>的民用建筑中，为局部设置且保护区域总建筑面积不超过</w:t>
      </w:r>
      <w:r>
        <w:rPr>
          <w:spacing w:val="-8"/>
          <w:sz w:val="21"/>
        </w:rPr>
        <w:t xml:space="preserve"> </w:t>
      </w:r>
      <w:r>
        <w:rPr>
          <w:sz w:val="21"/>
        </w:rPr>
        <w:t>1000m</w:t>
      </w:r>
      <w:r>
        <w:rPr>
          <w:position w:val="11"/>
          <w:sz w:val="11"/>
        </w:rPr>
        <w:t>2</w:t>
      </w:r>
      <w:r>
        <w:rPr>
          <w:spacing w:val="-18"/>
          <w:position w:val="11"/>
          <w:sz w:val="11"/>
        </w:rPr>
        <w:t xml:space="preserve"> </w:t>
      </w:r>
      <w:r>
        <w:rPr>
          <w:spacing w:val="-3"/>
          <w:sz w:val="21"/>
        </w:rPr>
        <w:t>的湿式系统。设置局部应用系统的场所应为轻危险级或中危险级</w:t>
      </w:r>
      <w:r>
        <w:rPr>
          <w:spacing w:val="-3"/>
          <w:sz w:val="21"/>
        </w:rPr>
        <w:t>Ⅰ</w:t>
      </w:r>
      <w:r>
        <w:rPr>
          <w:spacing w:val="-3"/>
          <w:sz w:val="21"/>
        </w:rPr>
        <w:t>级场所。</w:t>
      </w:r>
      <w:r>
        <w:rPr>
          <w:sz w:val="21"/>
        </w:rPr>
        <w:t xml:space="preserve"> </w:t>
      </w:r>
    </w:p>
    <w:p w14:paraId="2CC3F759" w14:textId="77777777" w:rsidR="00A71EEF" w:rsidRDefault="0081115D">
      <w:pPr>
        <w:pStyle w:val="a4"/>
        <w:numPr>
          <w:ilvl w:val="1"/>
          <w:numId w:val="63"/>
        </w:numPr>
        <w:tabs>
          <w:tab w:val="left" w:pos="1264"/>
        </w:tabs>
        <w:spacing w:before="6" w:line="446" w:lineRule="auto"/>
        <w:ind w:right="1500" w:firstLine="422"/>
        <w:jc w:val="both"/>
        <w:rPr>
          <w:sz w:val="21"/>
        </w:rPr>
      </w:pPr>
      <w:r>
        <w:rPr>
          <w:spacing w:val="-5"/>
          <w:sz w:val="21"/>
        </w:rPr>
        <w:t>局部应用系统</w:t>
      </w:r>
      <w:r>
        <w:rPr>
          <w:spacing w:val="-5"/>
          <w:sz w:val="21"/>
        </w:rPr>
        <w:t>应采用快速响应洒水喷头，喷水强度应符合本规范第</w:t>
      </w:r>
      <w:r>
        <w:rPr>
          <w:spacing w:val="-5"/>
          <w:sz w:val="21"/>
        </w:rPr>
        <w:t xml:space="preserve"> </w:t>
      </w:r>
      <w:r>
        <w:rPr>
          <w:sz w:val="21"/>
        </w:rPr>
        <w:t>5.0.1</w:t>
      </w:r>
      <w:r>
        <w:rPr>
          <w:spacing w:val="-10"/>
          <w:sz w:val="21"/>
        </w:rPr>
        <w:t xml:space="preserve"> </w:t>
      </w:r>
      <w:r>
        <w:rPr>
          <w:spacing w:val="-10"/>
          <w:sz w:val="21"/>
        </w:rPr>
        <w:t>条的规定，</w:t>
      </w:r>
      <w:r>
        <w:rPr>
          <w:spacing w:val="-10"/>
          <w:sz w:val="21"/>
        </w:rPr>
        <w:t xml:space="preserve"> </w:t>
      </w:r>
      <w:r>
        <w:rPr>
          <w:spacing w:val="-10"/>
          <w:sz w:val="21"/>
        </w:rPr>
        <w:t>持续喷水时间不应低于</w:t>
      </w:r>
      <w:r>
        <w:rPr>
          <w:spacing w:val="-10"/>
          <w:sz w:val="21"/>
        </w:rPr>
        <w:t xml:space="preserve"> </w:t>
      </w:r>
      <w:r>
        <w:rPr>
          <w:sz w:val="21"/>
        </w:rPr>
        <w:t>0.5h</w:t>
      </w:r>
      <w:r>
        <w:rPr>
          <w:spacing w:val="-3"/>
          <w:sz w:val="21"/>
        </w:rPr>
        <w:t>。</w:t>
      </w:r>
      <w:r>
        <w:rPr>
          <w:sz w:val="21"/>
        </w:rPr>
        <w:t xml:space="preserve"> </w:t>
      </w:r>
    </w:p>
    <w:p w14:paraId="74F4EE9D" w14:textId="77777777" w:rsidR="00A71EEF" w:rsidRDefault="0081115D">
      <w:pPr>
        <w:pStyle w:val="a4"/>
        <w:numPr>
          <w:ilvl w:val="1"/>
          <w:numId w:val="63"/>
        </w:numPr>
        <w:tabs>
          <w:tab w:val="left" w:pos="1264"/>
        </w:tabs>
        <w:spacing w:line="446" w:lineRule="auto"/>
        <w:ind w:right="1498" w:firstLine="422"/>
        <w:rPr>
          <w:sz w:val="21"/>
        </w:rPr>
      </w:pPr>
      <w:r>
        <w:rPr>
          <w:spacing w:val="-3"/>
          <w:sz w:val="21"/>
        </w:rPr>
        <w:t>局部应用系统保护区域内的房间和走道均应布置喷头。喷头的选型、布置和按开放喷头数确定的作用面积应符合下列规定：</w:t>
      </w:r>
      <w:r>
        <w:rPr>
          <w:sz w:val="21"/>
        </w:rPr>
        <w:t xml:space="preserve"> </w:t>
      </w:r>
    </w:p>
    <w:p w14:paraId="737302B4" w14:textId="77777777" w:rsidR="00A71EEF" w:rsidRDefault="0081115D">
      <w:pPr>
        <w:pStyle w:val="a3"/>
        <w:spacing w:line="446" w:lineRule="auto"/>
        <w:ind w:left="418" w:right="1609" w:firstLine="419"/>
      </w:pPr>
      <w:r>
        <w:t>采用标准覆盖面积洒水喷头的系统，喷头布置应符合轻危险级或中危险级</w:t>
      </w:r>
      <w:r>
        <w:t>Ⅰ</w:t>
      </w:r>
      <w:r>
        <w:t>级场所的有关规定，作用面积内开放的喷头数量应符合表</w:t>
      </w:r>
      <w:r>
        <w:t xml:space="preserve"> 12.0.3 </w:t>
      </w:r>
      <w:r>
        <w:t>的规定。</w:t>
      </w:r>
      <w:r>
        <w:t xml:space="preserve"> </w:t>
      </w:r>
    </w:p>
    <w:p w14:paraId="1E3BB565" w14:textId="77777777" w:rsidR="00A71EEF" w:rsidRDefault="0081115D">
      <w:pPr>
        <w:pStyle w:val="a3"/>
        <w:spacing w:before="12"/>
        <w:rPr>
          <w:sz w:val="17"/>
        </w:rPr>
      </w:pPr>
      <w:r>
        <w:rPr>
          <w:noProof/>
        </w:rPr>
        <w:drawing>
          <wp:anchor distT="0" distB="0" distL="0" distR="0" simplePos="0" relativeHeight="251741696" behindDoc="0" locked="0" layoutInCell="1" allowOverlap="1" wp14:anchorId="5747A92E" wp14:editId="73323C80">
            <wp:simplePos x="0" y="0"/>
            <wp:positionH relativeFrom="page">
              <wp:posOffset>1330325</wp:posOffset>
            </wp:positionH>
            <wp:positionV relativeFrom="paragraph">
              <wp:posOffset>171148</wp:posOffset>
            </wp:positionV>
            <wp:extent cx="4513457" cy="1076325"/>
            <wp:effectExtent l="0" t="0" r="0" b="0"/>
            <wp:wrapTopAndBottom/>
            <wp:docPr id="787" name="image4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 name="image462.jpeg"/>
                    <pic:cNvPicPr/>
                  </pic:nvPicPr>
                  <pic:blipFill>
                    <a:blip r:embed="rId576" cstate="print"/>
                    <a:stretch>
                      <a:fillRect/>
                    </a:stretch>
                  </pic:blipFill>
                  <pic:spPr>
                    <a:xfrm>
                      <a:off x="0" y="0"/>
                      <a:ext cx="4513457" cy="1076325"/>
                    </a:xfrm>
                    <a:prstGeom prst="rect">
                      <a:avLst/>
                    </a:prstGeom>
                  </pic:spPr>
                </pic:pic>
              </a:graphicData>
            </a:graphic>
          </wp:anchor>
        </w:drawing>
      </w:r>
    </w:p>
    <w:p w14:paraId="73AA9CDC" w14:textId="77777777" w:rsidR="00A71EEF" w:rsidRDefault="00A71EEF">
      <w:pPr>
        <w:pStyle w:val="a3"/>
        <w:rPr>
          <w:sz w:val="20"/>
        </w:rPr>
      </w:pPr>
    </w:p>
    <w:p w14:paraId="73509476" w14:textId="77777777" w:rsidR="00A71EEF" w:rsidRDefault="00A71EEF">
      <w:pPr>
        <w:pStyle w:val="a3"/>
        <w:spacing w:before="2"/>
        <w:rPr>
          <w:sz w:val="26"/>
        </w:rPr>
      </w:pPr>
    </w:p>
    <w:p w14:paraId="755C6C79" w14:textId="77777777" w:rsidR="00A71EEF" w:rsidRDefault="0081115D">
      <w:pPr>
        <w:pStyle w:val="a3"/>
        <w:spacing w:before="72"/>
        <w:ind w:left="838"/>
      </w:pPr>
      <w:r>
        <w:t>采用扩大覆盖面积洒水喷头的系统，喷头布置应符合本规范第</w:t>
      </w:r>
      <w:r>
        <w:t xml:space="preserve"> 7.1.4 </w:t>
      </w:r>
      <w:r>
        <w:t>条的规定。作用面积</w:t>
      </w:r>
    </w:p>
    <w:p w14:paraId="75BA56AA" w14:textId="77777777" w:rsidR="00A71EEF" w:rsidRDefault="00A71EEF">
      <w:pPr>
        <w:pStyle w:val="a3"/>
        <w:spacing w:before="2"/>
        <w:rPr>
          <w:sz w:val="18"/>
        </w:rPr>
      </w:pPr>
    </w:p>
    <w:p w14:paraId="089BA994" w14:textId="77777777" w:rsidR="00A71EEF" w:rsidRDefault="0081115D">
      <w:pPr>
        <w:pStyle w:val="a3"/>
        <w:ind w:left="418"/>
      </w:pPr>
      <w:r>
        <w:t>内开放喷头数量应按不少于</w:t>
      </w:r>
      <w:r>
        <w:t xml:space="preserve"> 6 </w:t>
      </w:r>
      <w:r>
        <w:t>只确定。</w:t>
      </w:r>
      <w:r>
        <w:t xml:space="preserve"> </w:t>
      </w:r>
    </w:p>
    <w:p w14:paraId="56C542F2" w14:textId="77777777" w:rsidR="00A71EEF" w:rsidRDefault="00A71EEF">
      <w:pPr>
        <w:pStyle w:val="a3"/>
        <w:rPr>
          <w:sz w:val="20"/>
        </w:rPr>
      </w:pPr>
    </w:p>
    <w:p w14:paraId="68A60FE2" w14:textId="77777777" w:rsidR="00A71EEF" w:rsidRDefault="00A71EEF">
      <w:pPr>
        <w:pStyle w:val="a3"/>
        <w:rPr>
          <w:sz w:val="20"/>
        </w:rPr>
      </w:pPr>
    </w:p>
    <w:p w14:paraId="45BC465D" w14:textId="77777777" w:rsidR="00A71EEF" w:rsidRDefault="00A71EEF">
      <w:pPr>
        <w:pStyle w:val="a3"/>
        <w:spacing w:before="12"/>
        <w:rPr>
          <w:sz w:val="16"/>
        </w:rPr>
      </w:pPr>
    </w:p>
    <w:p w14:paraId="62E441E3" w14:textId="77777777" w:rsidR="00A71EEF" w:rsidRDefault="0081115D">
      <w:pPr>
        <w:pStyle w:val="a4"/>
        <w:numPr>
          <w:ilvl w:val="1"/>
          <w:numId w:val="63"/>
        </w:numPr>
        <w:tabs>
          <w:tab w:val="left" w:pos="1266"/>
        </w:tabs>
        <w:spacing w:line="446" w:lineRule="auto"/>
        <w:ind w:right="1498" w:firstLine="422"/>
        <w:rPr>
          <w:sz w:val="21"/>
        </w:rPr>
      </w:pPr>
      <w:r>
        <w:rPr>
          <w:spacing w:val="-3"/>
          <w:sz w:val="21"/>
        </w:rPr>
        <w:t>当室内消火栓系统的设计流量能满足局部应用系统设计流量时，局部应用系统可与室内消火栓合用室内消</w:t>
      </w:r>
      <w:r>
        <w:rPr>
          <w:sz w:val="21"/>
        </w:rPr>
        <w:t xml:space="preserve"> </w:t>
      </w:r>
    </w:p>
    <w:p w14:paraId="69C09514" w14:textId="77777777" w:rsidR="00A71EEF" w:rsidRDefault="0081115D">
      <w:pPr>
        <w:pStyle w:val="a3"/>
        <w:ind w:left="838"/>
      </w:pPr>
      <w:r>
        <w:t>防用水量、稳压设施、消防水泵及供水管道等。当不满足时应按本规范第</w:t>
      </w:r>
      <w:r>
        <w:t xml:space="preserve"> 12.0.9 </w:t>
      </w:r>
      <w:r>
        <w:t>条执行。</w:t>
      </w:r>
      <w:r>
        <w:t xml:space="preserve"> </w:t>
      </w:r>
    </w:p>
    <w:p w14:paraId="1C240486" w14:textId="77777777" w:rsidR="00A71EEF" w:rsidRDefault="00A71EEF">
      <w:pPr>
        <w:pStyle w:val="a3"/>
        <w:spacing w:before="12"/>
        <w:rPr>
          <w:sz w:val="17"/>
        </w:rPr>
      </w:pPr>
    </w:p>
    <w:p w14:paraId="2CCE3D81" w14:textId="77777777" w:rsidR="00A71EEF" w:rsidRDefault="0081115D">
      <w:pPr>
        <w:pStyle w:val="a4"/>
        <w:numPr>
          <w:ilvl w:val="1"/>
          <w:numId w:val="63"/>
        </w:numPr>
        <w:tabs>
          <w:tab w:val="left" w:pos="1266"/>
        </w:tabs>
        <w:ind w:left="1265" w:hanging="426"/>
        <w:rPr>
          <w:sz w:val="21"/>
        </w:rPr>
      </w:pPr>
      <w:r>
        <w:rPr>
          <w:spacing w:val="-6"/>
          <w:sz w:val="21"/>
        </w:rPr>
        <w:t>采用标准覆盖面积洒水喷头且喷头总数不超过</w:t>
      </w:r>
      <w:r>
        <w:rPr>
          <w:spacing w:val="-6"/>
          <w:sz w:val="21"/>
        </w:rPr>
        <w:t xml:space="preserve"> </w:t>
      </w:r>
      <w:r>
        <w:rPr>
          <w:sz w:val="21"/>
        </w:rPr>
        <w:t>20</w:t>
      </w:r>
      <w:r>
        <w:rPr>
          <w:spacing w:val="-9"/>
          <w:sz w:val="21"/>
        </w:rPr>
        <w:t xml:space="preserve"> </w:t>
      </w:r>
      <w:r>
        <w:rPr>
          <w:spacing w:val="-9"/>
          <w:sz w:val="21"/>
        </w:rPr>
        <w:t>只，或采用扩大覆盖面积洒水喷头</w:t>
      </w:r>
    </w:p>
    <w:p w14:paraId="7F1A59DF" w14:textId="77777777" w:rsidR="00A71EEF" w:rsidRDefault="00A71EEF">
      <w:pPr>
        <w:pStyle w:val="a3"/>
        <w:spacing w:before="2"/>
        <w:rPr>
          <w:sz w:val="18"/>
        </w:rPr>
      </w:pPr>
    </w:p>
    <w:p w14:paraId="30F6C250" w14:textId="77777777" w:rsidR="00A71EEF" w:rsidRDefault="0081115D">
      <w:pPr>
        <w:pStyle w:val="a3"/>
        <w:ind w:left="418"/>
      </w:pPr>
      <w:r>
        <w:t>且喷头总数不超过</w:t>
      </w:r>
      <w:r>
        <w:t xml:space="preserve"> 12 </w:t>
      </w:r>
      <w:r>
        <w:t>只的局部应用系统，可不设报警阀组。</w:t>
      </w:r>
      <w:r>
        <w:t xml:space="preserve"> </w:t>
      </w:r>
    </w:p>
    <w:p w14:paraId="05894C1C" w14:textId="77777777" w:rsidR="00A71EEF" w:rsidRDefault="00A71EEF">
      <w:pPr>
        <w:pStyle w:val="a3"/>
        <w:rPr>
          <w:sz w:val="18"/>
        </w:rPr>
      </w:pPr>
    </w:p>
    <w:p w14:paraId="7F3987DD" w14:textId="77777777" w:rsidR="00A71EEF" w:rsidRDefault="0081115D">
      <w:pPr>
        <w:pStyle w:val="a4"/>
        <w:numPr>
          <w:ilvl w:val="1"/>
          <w:numId w:val="63"/>
        </w:numPr>
        <w:tabs>
          <w:tab w:val="left" w:pos="1266"/>
        </w:tabs>
        <w:spacing w:line="446" w:lineRule="auto"/>
        <w:ind w:right="1498" w:firstLine="422"/>
        <w:rPr>
          <w:sz w:val="21"/>
        </w:rPr>
      </w:pPr>
      <w:r>
        <w:rPr>
          <w:spacing w:val="-3"/>
          <w:sz w:val="21"/>
        </w:rPr>
        <w:t>不设报警阀组的局部应用系统，配水管可与室内消防竖管连接，其配水管的入口处应设过滤器和带有锁定装置的控制阀。</w:t>
      </w:r>
      <w:r>
        <w:rPr>
          <w:sz w:val="21"/>
        </w:rPr>
        <w:t xml:space="preserve"> </w:t>
      </w:r>
    </w:p>
    <w:p w14:paraId="5D1E243E" w14:textId="77777777" w:rsidR="00A71EEF" w:rsidRDefault="00A71EEF">
      <w:pPr>
        <w:spacing w:line="446" w:lineRule="auto"/>
        <w:rPr>
          <w:sz w:val="21"/>
        </w:rPr>
        <w:sectPr w:rsidR="00A71EEF">
          <w:pgSz w:w="11910" w:h="16850"/>
          <w:pgMar w:top="1220" w:right="0" w:bottom="1420" w:left="1260" w:header="0" w:footer="1239" w:gutter="0"/>
          <w:cols w:space="720"/>
        </w:sectPr>
      </w:pPr>
    </w:p>
    <w:p w14:paraId="68613B35" w14:textId="77777777" w:rsidR="00A71EEF" w:rsidRDefault="0081115D">
      <w:pPr>
        <w:pStyle w:val="a4"/>
        <w:numPr>
          <w:ilvl w:val="1"/>
          <w:numId w:val="63"/>
        </w:numPr>
        <w:tabs>
          <w:tab w:val="left" w:pos="1266"/>
        </w:tabs>
        <w:spacing w:before="47" w:line="446" w:lineRule="auto"/>
        <w:ind w:right="1498" w:firstLine="422"/>
        <w:rPr>
          <w:sz w:val="21"/>
        </w:rPr>
      </w:pPr>
      <w:r>
        <w:rPr>
          <w:spacing w:val="-3"/>
          <w:sz w:val="21"/>
        </w:rPr>
        <w:t>局部应用系统应设报警控制装置。报警控制装置应具有显示水流指示器、压力开关及消防水泵、信号阀等组件状态和输出启动消防水泵控制信号的功能。</w:t>
      </w:r>
      <w:r>
        <w:rPr>
          <w:sz w:val="21"/>
        </w:rPr>
        <w:t xml:space="preserve"> </w:t>
      </w:r>
    </w:p>
    <w:p w14:paraId="7529548A" w14:textId="77777777" w:rsidR="00A71EEF" w:rsidRDefault="0081115D">
      <w:pPr>
        <w:pStyle w:val="a4"/>
        <w:numPr>
          <w:ilvl w:val="1"/>
          <w:numId w:val="63"/>
        </w:numPr>
        <w:tabs>
          <w:tab w:val="left" w:pos="1266"/>
        </w:tabs>
        <w:spacing w:line="446" w:lineRule="auto"/>
        <w:ind w:right="1498" w:firstLine="422"/>
        <w:rPr>
          <w:sz w:val="21"/>
        </w:rPr>
      </w:pPr>
      <w:r>
        <w:rPr>
          <w:spacing w:val="-3"/>
          <w:sz w:val="21"/>
        </w:rPr>
        <w:t>不设报警阀组或采用消防水泵直接从市政供水管吸水的局部应用系统，应采取压力开关联动消防水泵的控制方式。不设报警阀组的系统可采用电动警铃报警。</w:t>
      </w:r>
      <w:r>
        <w:rPr>
          <w:sz w:val="21"/>
        </w:rPr>
        <w:t xml:space="preserve"> </w:t>
      </w:r>
    </w:p>
    <w:p w14:paraId="4D9D2EBD" w14:textId="77777777" w:rsidR="00A71EEF" w:rsidRDefault="0081115D">
      <w:pPr>
        <w:pStyle w:val="a4"/>
        <w:numPr>
          <w:ilvl w:val="1"/>
          <w:numId w:val="63"/>
        </w:numPr>
        <w:tabs>
          <w:tab w:val="left" w:pos="1264"/>
        </w:tabs>
        <w:spacing w:line="446" w:lineRule="auto"/>
        <w:ind w:right="1498" w:firstLine="422"/>
        <w:rPr>
          <w:sz w:val="21"/>
        </w:rPr>
      </w:pPr>
      <w:r>
        <w:rPr>
          <w:spacing w:val="-3"/>
          <w:sz w:val="21"/>
        </w:rPr>
        <w:t>无室内消火栓的建筑或室内消火栓系统的设计流量不能满足局部应用系统要求时，局部应用系统的供水应符合下列规定：</w:t>
      </w:r>
      <w:r>
        <w:rPr>
          <w:sz w:val="21"/>
        </w:rPr>
        <w:t xml:space="preserve"> </w:t>
      </w:r>
    </w:p>
    <w:p w14:paraId="2216E533" w14:textId="77777777" w:rsidR="00A71EEF" w:rsidRDefault="0081115D">
      <w:pPr>
        <w:pStyle w:val="a3"/>
        <w:spacing w:line="446" w:lineRule="auto"/>
        <w:ind w:left="418" w:right="1609" w:firstLine="419"/>
      </w:pPr>
      <w:r>
        <w:t>市政供水能够同时保证最大生活用水量和系统的流量与压力时，城市供水管可直接向系统供水；</w:t>
      </w:r>
      <w:r>
        <w:t xml:space="preserve"> </w:t>
      </w:r>
    </w:p>
    <w:p w14:paraId="63639584" w14:textId="77777777" w:rsidR="00A71EEF" w:rsidRDefault="0081115D">
      <w:pPr>
        <w:pStyle w:val="a3"/>
        <w:spacing w:line="446" w:lineRule="auto"/>
        <w:ind w:left="418" w:right="1609" w:firstLine="419"/>
      </w:pPr>
      <w:r>
        <w:t>市政供水不能同时保证最大生活用水量和系统的流量与压力，但允许消防水泵从城市供水管直接吸水时，系统可设直接从城市供水管吸水的消防水泵；</w:t>
      </w:r>
      <w:r>
        <w:t xml:space="preserve"> </w:t>
      </w:r>
    </w:p>
    <w:p w14:paraId="7E6BC76F" w14:textId="77777777" w:rsidR="00A71EEF" w:rsidRDefault="0081115D">
      <w:pPr>
        <w:pStyle w:val="a3"/>
        <w:spacing w:line="446" w:lineRule="auto"/>
        <w:ind w:left="418" w:right="1609" w:firstLine="419"/>
        <w:jc w:val="both"/>
      </w:pPr>
      <w:r>
        <w:t>市政供水不能同时保证最大生活用水量和系统的流量与压力，也不允许从市政供水管直接吸水时，系统应设储水池（罐）和消防水泵，储水池（罐）的有效容积应按系统用水量确定，</w:t>
      </w:r>
      <w:r>
        <w:t xml:space="preserve"> </w:t>
      </w:r>
      <w:r>
        <w:t>并可扣除系统持续</w:t>
      </w:r>
      <w:r>
        <w:t>喷水时间内仍能连续补水的补水量；</w:t>
      </w:r>
      <w:r>
        <w:t xml:space="preserve"> </w:t>
      </w:r>
    </w:p>
    <w:p w14:paraId="07CEEF67" w14:textId="77777777" w:rsidR="00A71EEF" w:rsidRDefault="0081115D">
      <w:pPr>
        <w:pStyle w:val="a3"/>
        <w:spacing w:line="268" w:lineRule="exact"/>
        <w:ind w:left="838"/>
      </w:pPr>
      <w:r>
        <w:t>可按三级负荷供电，且可不设备用泵；</w:t>
      </w:r>
      <w:r>
        <w:t xml:space="preserve"> </w:t>
      </w:r>
    </w:p>
    <w:p w14:paraId="28C3027C" w14:textId="77777777" w:rsidR="00A71EEF" w:rsidRDefault="00A71EEF">
      <w:pPr>
        <w:pStyle w:val="a3"/>
        <w:spacing w:before="8"/>
        <w:rPr>
          <w:sz w:val="17"/>
        </w:rPr>
      </w:pPr>
    </w:p>
    <w:p w14:paraId="5C430E23" w14:textId="77777777" w:rsidR="00A71EEF" w:rsidRDefault="0081115D">
      <w:pPr>
        <w:pStyle w:val="a3"/>
        <w:ind w:left="838"/>
      </w:pPr>
      <w:r>
        <w:t>应设置倒流防止器或采取其他有效防止污染生活用水的措施。</w:t>
      </w:r>
      <w:r>
        <w:t xml:space="preserve"> </w:t>
      </w:r>
    </w:p>
    <w:p w14:paraId="13822C4F" w14:textId="77777777" w:rsidR="00A71EEF" w:rsidRDefault="00A71EEF">
      <w:pPr>
        <w:pStyle w:val="a3"/>
        <w:rPr>
          <w:sz w:val="20"/>
        </w:rPr>
      </w:pPr>
    </w:p>
    <w:p w14:paraId="03EA9324" w14:textId="77777777" w:rsidR="00A71EEF" w:rsidRDefault="00A71EEF">
      <w:pPr>
        <w:pStyle w:val="a3"/>
        <w:rPr>
          <w:sz w:val="20"/>
        </w:rPr>
      </w:pPr>
    </w:p>
    <w:p w14:paraId="591B87A5" w14:textId="77777777" w:rsidR="00A71EEF" w:rsidRDefault="00A71EEF">
      <w:pPr>
        <w:pStyle w:val="a3"/>
        <w:rPr>
          <w:sz w:val="20"/>
        </w:rPr>
      </w:pPr>
    </w:p>
    <w:p w14:paraId="102FAE4B" w14:textId="77777777" w:rsidR="00A71EEF" w:rsidRDefault="00A71EEF">
      <w:pPr>
        <w:pStyle w:val="a3"/>
        <w:rPr>
          <w:sz w:val="20"/>
        </w:rPr>
      </w:pPr>
    </w:p>
    <w:p w14:paraId="103E3590" w14:textId="77777777" w:rsidR="00A71EEF" w:rsidRDefault="00A71EEF">
      <w:pPr>
        <w:pStyle w:val="a3"/>
        <w:rPr>
          <w:sz w:val="20"/>
        </w:rPr>
      </w:pPr>
    </w:p>
    <w:p w14:paraId="3D997F46" w14:textId="77777777" w:rsidR="00A71EEF" w:rsidRDefault="00A71EEF">
      <w:pPr>
        <w:pStyle w:val="a3"/>
        <w:rPr>
          <w:sz w:val="20"/>
        </w:rPr>
      </w:pPr>
    </w:p>
    <w:p w14:paraId="44B46F7B" w14:textId="77777777" w:rsidR="00A71EEF" w:rsidRDefault="00A71EEF">
      <w:pPr>
        <w:pStyle w:val="a3"/>
        <w:rPr>
          <w:sz w:val="20"/>
        </w:rPr>
      </w:pPr>
    </w:p>
    <w:p w14:paraId="59258D5C" w14:textId="77777777" w:rsidR="00A71EEF" w:rsidRDefault="00A71EEF">
      <w:pPr>
        <w:pStyle w:val="a3"/>
        <w:rPr>
          <w:sz w:val="20"/>
        </w:rPr>
      </w:pPr>
    </w:p>
    <w:p w14:paraId="10ACEDCC" w14:textId="77777777" w:rsidR="00A71EEF" w:rsidRDefault="00A71EEF">
      <w:pPr>
        <w:pStyle w:val="a3"/>
        <w:rPr>
          <w:sz w:val="20"/>
        </w:rPr>
      </w:pPr>
    </w:p>
    <w:p w14:paraId="552B69C0" w14:textId="77777777" w:rsidR="00A71EEF" w:rsidRDefault="00A71EEF">
      <w:pPr>
        <w:pStyle w:val="a3"/>
        <w:rPr>
          <w:sz w:val="20"/>
        </w:rPr>
      </w:pPr>
    </w:p>
    <w:p w14:paraId="7D84BEE4" w14:textId="77777777" w:rsidR="00A71EEF" w:rsidRDefault="00A71EEF">
      <w:pPr>
        <w:pStyle w:val="a3"/>
        <w:rPr>
          <w:sz w:val="20"/>
        </w:rPr>
      </w:pPr>
    </w:p>
    <w:p w14:paraId="689C305B" w14:textId="77777777" w:rsidR="00A71EEF" w:rsidRDefault="00A71EEF">
      <w:pPr>
        <w:pStyle w:val="a3"/>
        <w:spacing w:before="10"/>
        <w:rPr>
          <w:sz w:val="26"/>
        </w:rPr>
      </w:pPr>
    </w:p>
    <w:p w14:paraId="4AF7F2E4" w14:textId="77777777" w:rsidR="00A71EEF" w:rsidRDefault="0081115D">
      <w:pPr>
        <w:pStyle w:val="a3"/>
        <w:spacing w:before="72"/>
        <w:ind w:left="3298"/>
      </w:pPr>
      <w:r>
        <w:t xml:space="preserve"> </w:t>
      </w:r>
    </w:p>
    <w:p w14:paraId="252DFAE2" w14:textId="77777777" w:rsidR="00A71EEF" w:rsidRDefault="00A71EEF">
      <w:pPr>
        <w:sectPr w:rsidR="00A71EEF">
          <w:pgSz w:w="11910" w:h="16850"/>
          <w:pgMar w:top="1220" w:right="0" w:bottom="1420" w:left="1260" w:header="0" w:footer="1239" w:gutter="0"/>
          <w:cols w:space="720"/>
        </w:sectPr>
      </w:pPr>
    </w:p>
    <w:p w14:paraId="6FFE72B6" w14:textId="77777777" w:rsidR="00A71EEF" w:rsidRDefault="0081115D">
      <w:pPr>
        <w:pStyle w:val="2"/>
        <w:ind w:right="868"/>
      </w:pPr>
      <w:bookmarkStart w:id="35" w:name="_bookmark35"/>
      <w:bookmarkEnd w:id="35"/>
      <w:r>
        <w:t>地铁设计防火标准</w:t>
      </w:r>
      <w:r>
        <w:rPr>
          <w:w w:val="99"/>
        </w:rPr>
        <w:t xml:space="preserve"> </w:t>
      </w:r>
    </w:p>
    <w:p w14:paraId="0F839C51" w14:textId="77777777" w:rsidR="00A71EEF" w:rsidRDefault="00A71EEF">
      <w:pPr>
        <w:pStyle w:val="a3"/>
        <w:rPr>
          <w:b/>
          <w:sz w:val="20"/>
        </w:rPr>
      </w:pPr>
    </w:p>
    <w:p w14:paraId="47108DFE" w14:textId="77777777" w:rsidR="00A71EEF" w:rsidRDefault="00A71EEF">
      <w:pPr>
        <w:pStyle w:val="a3"/>
        <w:spacing w:before="5"/>
        <w:rPr>
          <w:b/>
          <w:sz w:val="14"/>
        </w:rPr>
      </w:pPr>
    </w:p>
    <w:p w14:paraId="61241673" w14:textId="77777777" w:rsidR="00A71EEF" w:rsidRDefault="0081115D">
      <w:pPr>
        <w:pStyle w:val="4"/>
        <w:spacing w:before="66"/>
      </w:pPr>
      <w:r>
        <w:t xml:space="preserve">1 </w:t>
      </w:r>
      <w:r>
        <w:t>总则</w:t>
      </w:r>
      <w:r>
        <w:rPr>
          <w:w w:val="99"/>
        </w:rPr>
        <w:t xml:space="preserve"> </w:t>
      </w:r>
    </w:p>
    <w:p w14:paraId="407E1710" w14:textId="77777777" w:rsidR="00A71EEF" w:rsidRDefault="00A71EEF">
      <w:pPr>
        <w:pStyle w:val="a3"/>
        <w:spacing w:before="4"/>
        <w:rPr>
          <w:b/>
          <w:sz w:val="17"/>
        </w:rPr>
      </w:pPr>
    </w:p>
    <w:p w14:paraId="4047A01F" w14:textId="77777777" w:rsidR="00A71EEF" w:rsidRDefault="0081115D">
      <w:pPr>
        <w:pStyle w:val="a4"/>
        <w:numPr>
          <w:ilvl w:val="1"/>
          <w:numId w:val="62"/>
        </w:numPr>
        <w:tabs>
          <w:tab w:val="left" w:pos="1159"/>
        </w:tabs>
        <w:ind w:hanging="319"/>
        <w:rPr>
          <w:sz w:val="21"/>
        </w:rPr>
      </w:pPr>
      <w:r>
        <w:rPr>
          <w:spacing w:val="-3"/>
          <w:sz w:val="21"/>
        </w:rPr>
        <w:t>为预防地铁火灾、减少地铁火灾危害，保护人身和财产的安全，制定本标准。</w:t>
      </w:r>
      <w:r>
        <w:rPr>
          <w:spacing w:val="-3"/>
          <w:sz w:val="21"/>
        </w:rPr>
        <w:t xml:space="preserve"> </w:t>
      </w:r>
    </w:p>
    <w:p w14:paraId="16D6A0E7" w14:textId="77777777" w:rsidR="00A71EEF" w:rsidRDefault="00A71EEF">
      <w:pPr>
        <w:pStyle w:val="a3"/>
        <w:spacing w:before="12"/>
        <w:rPr>
          <w:sz w:val="17"/>
        </w:rPr>
      </w:pPr>
    </w:p>
    <w:p w14:paraId="42E77703" w14:textId="77777777" w:rsidR="00A71EEF" w:rsidRDefault="0081115D">
      <w:pPr>
        <w:pStyle w:val="a4"/>
        <w:numPr>
          <w:ilvl w:val="1"/>
          <w:numId w:val="62"/>
        </w:numPr>
        <w:tabs>
          <w:tab w:val="left" w:pos="1160"/>
        </w:tabs>
        <w:ind w:left="1159" w:hanging="320"/>
        <w:rPr>
          <w:sz w:val="21"/>
        </w:rPr>
      </w:pPr>
      <w:r>
        <w:rPr>
          <w:spacing w:val="-3"/>
          <w:sz w:val="21"/>
        </w:rPr>
        <w:t>本标准适用于新建、扩建地铁和轻轨交通工程的防火设计。</w:t>
      </w:r>
      <w:r>
        <w:rPr>
          <w:sz w:val="21"/>
        </w:rPr>
        <w:t xml:space="preserve"> </w:t>
      </w:r>
    </w:p>
    <w:p w14:paraId="44CD97AA" w14:textId="77777777" w:rsidR="00A71EEF" w:rsidRDefault="00A71EEF">
      <w:pPr>
        <w:pStyle w:val="a3"/>
        <w:spacing w:before="2"/>
        <w:rPr>
          <w:sz w:val="18"/>
        </w:rPr>
      </w:pPr>
    </w:p>
    <w:p w14:paraId="1E402BFA" w14:textId="77777777" w:rsidR="00A71EEF" w:rsidRDefault="0081115D">
      <w:pPr>
        <w:pStyle w:val="a4"/>
        <w:numPr>
          <w:ilvl w:val="1"/>
          <w:numId w:val="62"/>
        </w:numPr>
        <w:tabs>
          <w:tab w:val="left" w:pos="1159"/>
        </w:tabs>
        <w:ind w:hanging="319"/>
        <w:rPr>
          <w:sz w:val="21"/>
        </w:rPr>
      </w:pPr>
      <w:r>
        <w:rPr>
          <w:spacing w:val="-3"/>
          <w:sz w:val="21"/>
        </w:rPr>
        <w:t>一条线路、一座换乘车站及其相邻区间的防火设计可按同一时间发生一处火灾考虑。</w:t>
      </w:r>
      <w:r>
        <w:rPr>
          <w:sz w:val="21"/>
        </w:rPr>
        <w:t xml:space="preserve"> </w:t>
      </w:r>
    </w:p>
    <w:p w14:paraId="1EE3D9C8" w14:textId="77777777" w:rsidR="00A71EEF" w:rsidRDefault="00A71EEF">
      <w:pPr>
        <w:pStyle w:val="a3"/>
        <w:rPr>
          <w:sz w:val="18"/>
        </w:rPr>
      </w:pPr>
    </w:p>
    <w:p w14:paraId="26269DD5" w14:textId="77777777" w:rsidR="00A71EEF" w:rsidRDefault="0081115D">
      <w:pPr>
        <w:pStyle w:val="a4"/>
        <w:numPr>
          <w:ilvl w:val="1"/>
          <w:numId w:val="62"/>
        </w:numPr>
        <w:tabs>
          <w:tab w:val="left" w:pos="1159"/>
        </w:tabs>
        <w:spacing w:line="446" w:lineRule="auto"/>
        <w:ind w:left="418" w:right="1604" w:firstLine="422"/>
        <w:rPr>
          <w:sz w:val="21"/>
        </w:rPr>
      </w:pPr>
      <w:r>
        <w:rPr>
          <w:spacing w:val="-3"/>
          <w:sz w:val="21"/>
        </w:rPr>
        <w:t>防火设计应遵循国家有关方针政策，从全局出发，统筹兼顾，做到安全适用、技术先进、经济合理。</w:t>
      </w:r>
      <w:r>
        <w:rPr>
          <w:sz w:val="21"/>
        </w:rPr>
        <w:t xml:space="preserve"> </w:t>
      </w:r>
    </w:p>
    <w:p w14:paraId="3281B57E" w14:textId="77777777" w:rsidR="00A71EEF" w:rsidRDefault="0081115D">
      <w:pPr>
        <w:pStyle w:val="a4"/>
        <w:numPr>
          <w:ilvl w:val="1"/>
          <w:numId w:val="62"/>
        </w:numPr>
        <w:tabs>
          <w:tab w:val="left" w:pos="1159"/>
        </w:tabs>
        <w:spacing w:line="446" w:lineRule="auto"/>
        <w:ind w:left="418" w:right="1604" w:firstLine="422"/>
        <w:rPr>
          <w:sz w:val="21"/>
        </w:rPr>
      </w:pPr>
      <w:r>
        <w:rPr>
          <w:spacing w:val="-3"/>
          <w:sz w:val="21"/>
        </w:rPr>
        <w:t>地铁和轻轨交通工程的防火设计除应符合本标准的规定外，尚应符合现行国家有关标准的规定。</w:t>
      </w:r>
      <w:r>
        <w:rPr>
          <w:sz w:val="21"/>
        </w:rPr>
        <w:t xml:space="preserve"> </w:t>
      </w:r>
    </w:p>
    <w:p w14:paraId="351C76B2" w14:textId="77777777" w:rsidR="00A71EEF" w:rsidRDefault="0081115D">
      <w:pPr>
        <w:pStyle w:val="4"/>
        <w:spacing w:line="275" w:lineRule="exact"/>
      </w:pPr>
      <w:r>
        <w:t xml:space="preserve">2 </w:t>
      </w:r>
      <w:r>
        <w:t>术语</w:t>
      </w:r>
      <w:r>
        <w:rPr>
          <w:w w:val="99"/>
        </w:rPr>
        <w:t xml:space="preserve"> </w:t>
      </w:r>
    </w:p>
    <w:p w14:paraId="20024EED" w14:textId="77777777" w:rsidR="00A71EEF" w:rsidRDefault="00A71EEF">
      <w:pPr>
        <w:pStyle w:val="a3"/>
        <w:spacing w:before="6"/>
        <w:rPr>
          <w:b/>
          <w:sz w:val="17"/>
        </w:rPr>
      </w:pPr>
    </w:p>
    <w:p w14:paraId="139A9FC9" w14:textId="77777777" w:rsidR="00A71EEF" w:rsidRDefault="0081115D">
      <w:pPr>
        <w:pStyle w:val="a4"/>
        <w:numPr>
          <w:ilvl w:val="1"/>
          <w:numId w:val="61"/>
        </w:numPr>
        <w:tabs>
          <w:tab w:val="left" w:pos="1159"/>
        </w:tabs>
        <w:spacing w:before="1"/>
        <w:ind w:hanging="319"/>
        <w:rPr>
          <w:sz w:val="21"/>
        </w:rPr>
      </w:pPr>
      <w:r>
        <w:rPr>
          <w:spacing w:val="-3"/>
          <w:sz w:val="21"/>
        </w:rPr>
        <w:t>安全出口</w:t>
      </w:r>
      <w:r>
        <w:rPr>
          <w:spacing w:val="-3"/>
          <w:sz w:val="21"/>
        </w:rPr>
        <w:t xml:space="preserve"> </w:t>
      </w:r>
      <w:r>
        <w:rPr>
          <w:sz w:val="21"/>
        </w:rPr>
        <w:t>safety</w:t>
      </w:r>
      <w:r>
        <w:rPr>
          <w:spacing w:val="1"/>
          <w:sz w:val="21"/>
        </w:rPr>
        <w:t xml:space="preserve"> </w:t>
      </w:r>
      <w:r>
        <w:rPr>
          <w:sz w:val="21"/>
        </w:rPr>
        <w:t xml:space="preserve">exit </w:t>
      </w:r>
    </w:p>
    <w:p w14:paraId="2DF092A6" w14:textId="77777777" w:rsidR="00A71EEF" w:rsidRDefault="00A71EEF">
      <w:pPr>
        <w:pStyle w:val="a3"/>
        <w:spacing w:before="12"/>
        <w:rPr>
          <w:sz w:val="17"/>
        </w:rPr>
      </w:pPr>
    </w:p>
    <w:p w14:paraId="0136BFBA" w14:textId="77777777" w:rsidR="00A71EEF" w:rsidRDefault="0081115D">
      <w:pPr>
        <w:pStyle w:val="a3"/>
        <w:spacing w:line="446" w:lineRule="auto"/>
        <w:ind w:left="418" w:right="1609" w:firstLine="419"/>
      </w:pPr>
      <w:r>
        <w:t>供人员安全疏散，并能直接通向室内外安全区域的车站出口、楼梯或扶梯的出口、联络通道的入口、区间风井内直通地面的楼梯间入口。</w:t>
      </w:r>
      <w:r>
        <w:t xml:space="preserve"> </w:t>
      </w:r>
    </w:p>
    <w:p w14:paraId="2C65F8BF" w14:textId="77777777" w:rsidR="00A71EEF" w:rsidRDefault="0081115D">
      <w:pPr>
        <w:pStyle w:val="a4"/>
        <w:numPr>
          <w:ilvl w:val="1"/>
          <w:numId w:val="61"/>
        </w:numPr>
        <w:tabs>
          <w:tab w:val="left" w:pos="1160"/>
        </w:tabs>
        <w:ind w:left="1159" w:hanging="320"/>
        <w:rPr>
          <w:sz w:val="21"/>
        </w:rPr>
      </w:pPr>
      <w:r>
        <w:rPr>
          <w:spacing w:val="-3"/>
          <w:sz w:val="21"/>
        </w:rPr>
        <w:t>点式换乘车站</w:t>
      </w:r>
      <w:r>
        <w:rPr>
          <w:spacing w:val="-3"/>
          <w:sz w:val="21"/>
        </w:rPr>
        <w:t xml:space="preserve"> </w:t>
      </w:r>
      <w:r>
        <w:rPr>
          <w:sz w:val="21"/>
        </w:rPr>
        <w:t>transfer</w:t>
      </w:r>
      <w:r>
        <w:rPr>
          <w:spacing w:val="1"/>
          <w:sz w:val="21"/>
        </w:rPr>
        <w:t xml:space="preserve"> </w:t>
      </w:r>
      <w:r>
        <w:rPr>
          <w:sz w:val="21"/>
        </w:rPr>
        <w:t>station by</w:t>
      </w:r>
      <w:r>
        <w:rPr>
          <w:spacing w:val="-2"/>
          <w:sz w:val="21"/>
        </w:rPr>
        <w:t xml:space="preserve"> </w:t>
      </w:r>
      <w:r>
        <w:rPr>
          <w:sz w:val="21"/>
        </w:rPr>
        <w:t xml:space="preserve">cross-platform </w:t>
      </w:r>
    </w:p>
    <w:p w14:paraId="5F047760" w14:textId="77777777" w:rsidR="00A71EEF" w:rsidRDefault="00A71EEF">
      <w:pPr>
        <w:pStyle w:val="a3"/>
        <w:spacing w:before="12"/>
        <w:rPr>
          <w:sz w:val="17"/>
        </w:rPr>
      </w:pPr>
    </w:p>
    <w:p w14:paraId="496487DC" w14:textId="77777777" w:rsidR="00A71EEF" w:rsidRDefault="0081115D">
      <w:pPr>
        <w:pStyle w:val="a3"/>
        <w:spacing w:line="446" w:lineRule="auto"/>
        <w:ind w:left="840" w:right="5075" w:hanging="3"/>
      </w:pPr>
      <w:r>
        <w:rPr>
          <w:spacing w:val="-3"/>
        </w:rPr>
        <w:t>站台与站台之间以点式相交形式换乘的车站。</w:t>
      </w:r>
      <w:r>
        <w:rPr>
          <w:spacing w:val="-3"/>
        </w:rPr>
        <w:t xml:space="preserve">   </w:t>
      </w:r>
      <w:r>
        <w:rPr>
          <w:b/>
        </w:rPr>
        <w:t xml:space="preserve">2.3 </w:t>
      </w:r>
      <w:r>
        <w:rPr>
          <w:spacing w:val="-3"/>
        </w:rPr>
        <w:t>路堑式车站、区间</w:t>
      </w:r>
      <w:r>
        <w:rPr>
          <w:spacing w:val="-3"/>
        </w:rPr>
        <w:t xml:space="preserve"> </w:t>
      </w:r>
      <w:r>
        <w:t>open</w:t>
      </w:r>
      <w:r>
        <w:rPr>
          <w:spacing w:val="1"/>
        </w:rPr>
        <w:t xml:space="preserve"> </w:t>
      </w:r>
      <w:r>
        <w:t>cut</w:t>
      </w:r>
      <w:r>
        <w:rPr>
          <w:spacing w:val="1"/>
        </w:rPr>
        <w:t xml:space="preserve"> </w:t>
      </w:r>
      <w:r>
        <w:t>station</w:t>
      </w:r>
      <w:r>
        <w:t>，</w:t>
      </w:r>
      <w:r>
        <w:t xml:space="preserve">track </w:t>
      </w:r>
    </w:p>
    <w:p w14:paraId="30BCED52" w14:textId="77777777" w:rsidR="00A71EEF" w:rsidRDefault="0081115D">
      <w:pPr>
        <w:pStyle w:val="a3"/>
        <w:spacing w:line="446" w:lineRule="auto"/>
        <w:ind w:left="840" w:right="2345" w:hanging="3"/>
      </w:pPr>
      <w:r>
        <w:t>浅埋地下一层，外墙上方或顶板开窗、具备自然通风和排烟条件的车站、区间。</w:t>
      </w:r>
      <w:r>
        <w:rPr>
          <w:b/>
        </w:rPr>
        <w:t xml:space="preserve">2.4 </w:t>
      </w:r>
      <w:r>
        <w:t>联络通道</w:t>
      </w:r>
      <w:r>
        <w:t xml:space="preserve"> cross-passageway </w:t>
      </w:r>
    </w:p>
    <w:p w14:paraId="5AE939EE" w14:textId="77777777" w:rsidR="00A71EEF" w:rsidRDefault="0081115D">
      <w:pPr>
        <w:pStyle w:val="a3"/>
        <w:spacing w:line="448" w:lineRule="auto"/>
        <w:ind w:left="840" w:right="2977" w:hanging="3"/>
        <w:rPr>
          <w:b/>
        </w:rPr>
      </w:pPr>
      <w:r>
        <w:t>连接相邻两条单洞单线载客运营地下区间、可供人员安全疏散用</w:t>
      </w:r>
      <w:r>
        <w:t>的通道。</w:t>
      </w:r>
      <w:r>
        <w:rPr>
          <w:b/>
        </w:rPr>
        <w:t xml:space="preserve">2.5 </w:t>
      </w:r>
      <w:r>
        <w:t>消防专用通道</w:t>
      </w:r>
      <w:r>
        <w:t xml:space="preserve"> fire access</w:t>
      </w:r>
      <w:r>
        <w:rPr>
          <w:b/>
          <w:w w:val="99"/>
        </w:rPr>
        <w:t xml:space="preserve"> </w:t>
      </w:r>
    </w:p>
    <w:p w14:paraId="406042D1" w14:textId="77777777" w:rsidR="00A71EEF" w:rsidRDefault="0081115D">
      <w:pPr>
        <w:pStyle w:val="a3"/>
        <w:spacing w:line="446" w:lineRule="auto"/>
        <w:ind w:left="840" w:right="1925" w:hanging="3"/>
      </w:pPr>
      <w:r>
        <w:t>供消防人员从地面进入站厅、站台、区间等区域进行灭火救援的专用通道和楼梯间。</w:t>
      </w:r>
      <w:r>
        <w:rPr>
          <w:b/>
        </w:rPr>
        <w:t xml:space="preserve">2.6 </w:t>
      </w:r>
      <w:r>
        <w:t>纵向疏散平台</w:t>
      </w:r>
      <w:r>
        <w:t xml:space="preserve"> longitudinal evacuation walkway </w:t>
      </w:r>
    </w:p>
    <w:p w14:paraId="47F02038" w14:textId="77777777" w:rsidR="00A71EEF" w:rsidRDefault="0081115D">
      <w:pPr>
        <w:pStyle w:val="a3"/>
        <w:ind w:left="838"/>
      </w:pPr>
      <w:r>
        <w:t>在区间内平行于线路并靠站台侧设置、供人员疏散用的纵向连续走道。</w:t>
      </w:r>
      <w:r>
        <w:t xml:space="preserve"> </w:t>
      </w:r>
    </w:p>
    <w:p w14:paraId="6210EB71" w14:textId="77777777" w:rsidR="00A71EEF" w:rsidRDefault="00A71EEF">
      <w:pPr>
        <w:pStyle w:val="a3"/>
        <w:spacing w:before="1"/>
        <w:rPr>
          <w:sz w:val="15"/>
        </w:rPr>
      </w:pPr>
    </w:p>
    <w:p w14:paraId="3E254BDB" w14:textId="77777777" w:rsidR="00A71EEF" w:rsidRDefault="0081115D">
      <w:pPr>
        <w:pStyle w:val="4"/>
      </w:pPr>
      <w:r>
        <w:t xml:space="preserve">3 </w:t>
      </w:r>
      <w:r>
        <w:t>总平面布局</w:t>
      </w:r>
      <w:r>
        <w:rPr>
          <w:w w:val="99"/>
        </w:rPr>
        <w:t xml:space="preserve"> </w:t>
      </w:r>
    </w:p>
    <w:p w14:paraId="37DBE96D" w14:textId="77777777" w:rsidR="00A71EEF" w:rsidRDefault="00A71EEF">
      <w:pPr>
        <w:pStyle w:val="a3"/>
        <w:spacing w:before="3"/>
        <w:rPr>
          <w:b/>
          <w:sz w:val="17"/>
        </w:rPr>
      </w:pPr>
    </w:p>
    <w:p w14:paraId="0A96BE69" w14:textId="77777777" w:rsidR="00A71EEF" w:rsidRDefault="0081115D">
      <w:pPr>
        <w:pStyle w:val="a4"/>
        <w:numPr>
          <w:ilvl w:val="1"/>
          <w:numId w:val="60"/>
        </w:numPr>
        <w:tabs>
          <w:tab w:val="left" w:pos="1159"/>
        </w:tabs>
        <w:spacing w:before="1"/>
        <w:ind w:hanging="319"/>
        <w:rPr>
          <w:b/>
          <w:sz w:val="21"/>
        </w:rPr>
      </w:pPr>
      <w:r>
        <w:rPr>
          <w:spacing w:val="-3"/>
          <w:sz w:val="21"/>
        </w:rPr>
        <w:t>车站与区间</w:t>
      </w:r>
      <w:r>
        <w:rPr>
          <w:b/>
          <w:w w:val="99"/>
          <w:sz w:val="21"/>
        </w:rPr>
        <w:t xml:space="preserve"> </w:t>
      </w:r>
    </w:p>
    <w:p w14:paraId="54138461" w14:textId="77777777" w:rsidR="00A71EEF" w:rsidRDefault="00A71EEF">
      <w:pPr>
        <w:pStyle w:val="a3"/>
        <w:spacing w:before="2"/>
        <w:rPr>
          <w:b/>
          <w:sz w:val="18"/>
        </w:rPr>
      </w:pPr>
    </w:p>
    <w:p w14:paraId="0BCA6CF6" w14:textId="77777777" w:rsidR="00A71EEF" w:rsidRDefault="0081115D">
      <w:pPr>
        <w:pStyle w:val="a4"/>
        <w:numPr>
          <w:ilvl w:val="2"/>
          <w:numId w:val="60"/>
        </w:numPr>
        <w:tabs>
          <w:tab w:val="left" w:pos="1370"/>
        </w:tabs>
        <w:spacing w:line="446" w:lineRule="auto"/>
        <w:ind w:right="1604" w:firstLine="422"/>
        <w:rPr>
          <w:sz w:val="21"/>
        </w:rPr>
      </w:pPr>
      <w:r>
        <w:rPr>
          <w:spacing w:val="-3"/>
          <w:sz w:val="21"/>
        </w:rPr>
        <w:t>地上车站建筑的周围应设置环形消防车道，确有困难时，可沿车站建筑的一个长边设置消防车道。</w:t>
      </w:r>
      <w:r>
        <w:rPr>
          <w:sz w:val="21"/>
        </w:rPr>
        <w:t xml:space="preserve"> </w:t>
      </w:r>
    </w:p>
    <w:p w14:paraId="6FC2C62C" w14:textId="77777777" w:rsidR="00A71EEF" w:rsidRDefault="00A71EEF">
      <w:pPr>
        <w:spacing w:line="446" w:lineRule="auto"/>
        <w:rPr>
          <w:sz w:val="21"/>
        </w:rPr>
        <w:sectPr w:rsidR="00A71EEF">
          <w:pgSz w:w="11910" w:h="16850"/>
          <w:pgMar w:top="1140" w:right="0" w:bottom="1420" w:left="1260" w:header="0" w:footer="1239" w:gutter="0"/>
          <w:cols w:space="720"/>
        </w:sectPr>
      </w:pPr>
    </w:p>
    <w:p w14:paraId="1E3977A7" w14:textId="77777777" w:rsidR="00A71EEF" w:rsidRDefault="0081115D">
      <w:pPr>
        <w:pStyle w:val="a4"/>
        <w:numPr>
          <w:ilvl w:val="2"/>
          <w:numId w:val="60"/>
        </w:numPr>
        <w:tabs>
          <w:tab w:val="left" w:pos="1371"/>
        </w:tabs>
        <w:spacing w:before="47" w:line="446" w:lineRule="auto"/>
        <w:ind w:right="1604" w:firstLine="422"/>
        <w:jc w:val="both"/>
        <w:rPr>
          <w:sz w:val="21"/>
        </w:rPr>
      </w:pPr>
      <w:r>
        <w:rPr>
          <w:spacing w:val="-3"/>
          <w:sz w:val="21"/>
        </w:rPr>
        <w:t>地下车站的出入口、风亭、电梯和消防专用通道的出入口等附属建筑，地上车站、地上区间、地下区间及其敞口段</w:t>
      </w:r>
      <w:r>
        <w:rPr>
          <w:sz w:val="21"/>
        </w:rPr>
        <w:t>（</w:t>
      </w:r>
      <w:r>
        <w:rPr>
          <w:spacing w:val="-3"/>
          <w:sz w:val="21"/>
        </w:rPr>
        <w:t>含车辆基地出入线</w:t>
      </w:r>
      <w:r>
        <w:rPr>
          <w:sz w:val="21"/>
        </w:rPr>
        <w:t>）</w:t>
      </w:r>
      <w:r>
        <w:rPr>
          <w:spacing w:val="-3"/>
          <w:sz w:val="21"/>
        </w:rPr>
        <w:t>、区间风井及风亭等，与周围建筑物、储罐（</w:t>
      </w:r>
      <w:r>
        <w:rPr>
          <w:sz w:val="21"/>
        </w:rPr>
        <w:t>区</w:t>
      </w:r>
      <w:r>
        <w:rPr>
          <w:spacing w:val="-3"/>
          <w:sz w:val="21"/>
        </w:rPr>
        <w:t>）、地下油管等的防火间距应符合现行国家有关标准的规定。</w:t>
      </w:r>
      <w:r>
        <w:rPr>
          <w:sz w:val="21"/>
        </w:rPr>
        <w:t xml:space="preserve"> </w:t>
      </w:r>
    </w:p>
    <w:p w14:paraId="1DB00A47" w14:textId="77777777" w:rsidR="00A71EEF" w:rsidRDefault="0081115D">
      <w:pPr>
        <w:pStyle w:val="a3"/>
        <w:spacing w:line="446" w:lineRule="auto"/>
        <w:ind w:left="418" w:right="1609" w:firstLine="419"/>
        <w:jc w:val="both"/>
      </w:pPr>
      <w:r>
        <w:rPr>
          <w:spacing w:val="-5"/>
        </w:rPr>
        <w:t>地下车站的采光窗井与相邻地面建筑之间的防火间距应符合表</w:t>
      </w:r>
      <w:r>
        <w:rPr>
          <w:spacing w:val="-5"/>
        </w:rPr>
        <w:t xml:space="preserve"> </w:t>
      </w:r>
      <w:r>
        <w:t>3.1.2</w:t>
      </w:r>
      <w:r>
        <w:rPr>
          <w:spacing w:val="-7"/>
        </w:rPr>
        <w:t xml:space="preserve"> </w:t>
      </w:r>
      <w:r>
        <w:rPr>
          <w:spacing w:val="-7"/>
        </w:rPr>
        <w:t>的规定，当相邻地面</w:t>
      </w:r>
      <w:r>
        <w:rPr>
          <w:spacing w:val="-5"/>
        </w:rPr>
        <w:t>建筑物的外墙为防火墙或在采光窗井与地面建筑物之间设置防火墙时，防火间距不限。</w:t>
      </w:r>
      <w:r>
        <w:t xml:space="preserve"> </w:t>
      </w:r>
    </w:p>
    <w:p w14:paraId="0586F9A6" w14:textId="77777777" w:rsidR="00A71EEF" w:rsidRDefault="0081115D">
      <w:pPr>
        <w:pStyle w:val="6"/>
        <w:spacing w:line="267" w:lineRule="exact"/>
        <w:ind w:left="1886"/>
        <w:jc w:val="both"/>
      </w:pPr>
      <w:r>
        <w:t>表</w:t>
      </w:r>
      <w:r>
        <w:t xml:space="preserve"> 3.1.2 </w:t>
      </w:r>
      <w:r>
        <w:t>地下车站的采光窗井与相邻地面建筑之间的防火间距（</w:t>
      </w:r>
      <w:r>
        <w:t>m</w:t>
      </w:r>
      <w:r>
        <w:t>）</w:t>
      </w:r>
      <w:r>
        <w:rPr>
          <w:w w:val="99"/>
        </w:rPr>
        <w:t xml:space="preserve"> </w:t>
      </w:r>
    </w:p>
    <w:p w14:paraId="2623FD18" w14:textId="77777777" w:rsidR="00A71EEF" w:rsidRDefault="0081115D">
      <w:pPr>
        <w:pStyle w:val="a3"/>
        <w:spacing w:before="7"/>
        <w:rPr>
          <w:b/>
          <w:sz w:val="23"/>
        </w:rPr>
      </w:pPr>
      <w:r>
        <w:rPr>
          <w:noProof/>
        </w:rPr>
        <w:drawing>
          <wp:anchor distT="0" distB="0" distL="0" distR="0" simplePos="0" relativeHeight="251742720" behindDoc="0" locked="0" layoutInCell="1" allowOverlap="1" wp14:anchorId="6947DED4" wp14:editId="053C4D40">
            <wp:simplePos x="0" y="0"/>
            <wp:positionH relativeFrom="page">
              <wp:posOffset>1203325</wp:posOffset>
            </wp:positionH>
            <wp:positionV relativeFrom="paragraph">
              <wp:posOffset>216769</wp:posOffset>
            </wp:positionV>
            <wp:extent cx="5168265" cy="2009775"/>
            <wp:effectExtent l="0" t="0" r="0" b="0"/>
            <wp:wrapTopAndBottom/>
            <wp:docPr id="789" name="image4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 name="image463.jpeg"/>
                    <pic:cNvPicPr/>
                  </pic:nvPicPr>
                  <pic:blipFill>
                    <a:blip r:embed="rId577" cstate="print"/>
                    <a:stretch>
                      <a:fillRect/>
                    </a:stretch>
                  </pic:blipFill>
                  <pic:spPr>
                    <a:xfrm>
                      <a:off x="0" y="0"/>
                      <a:ext cx="5168265" cy="2009775"/>
                    </a:xfrm>
                    <a:prstGeom prst="rect">
                      <a:avLst/>
                    </a:prstGeom>
                  </pic:spPr>
                </pic:pic>
              </a:graphicData>
            </a:graphic>
          </wp:anchor>
        </w:drawing>
      </w:r>
    </w:p>
    <w:p w14:paraId="4DB14681" w14:textId="77777777" w:rsidR="00A71EEF" w:rsidRDefault="0081115D">
      <w:pPr>
        <w:pStyle w:val="a4"/>
        <w:numPr>
          <w:ilvl w:val="2"/>
          <w:numId w:val="60"/>
        </w:numPr>
        <w:tabs>
          <w:tab w:val="left" w:pos="1370"/>
        </w:tabs>
        <w:spacing w:before="163"/>
        <w:ind w:left="1369" w:hanging="530"/>
        <w:rPr>
          <w:sz w:val="21"/>
        </w:rPr>
      </w:pPr>
      <w:r>
        <w:rPr>
          <w:spacing w:val="-3"/>
          <w:sz w:val="21"/>
        </w:rPr>
        <w:t>地下车站的进风、排风和活塞风采用高风亭时，风口的位置应符合下列规定：</w:t>
      </w:r>
      <w:r>
        <w:rPr>
          <w:sz w:val="21"/>
        </w:rPr>
        <w:t xml:space="preserve"> </w:t>
      </w:r>
    </w:p>
    <w:p w14:paraId="24EA92F7" w14:textId="77777777" w:rsidR="00A71EEF" w:rsidRDefault="00A71EEF">
      <w:pPr>
        <w:pStyle w:val="a3"/>
        <w:spacing w:before="12"/>
        <w:rPr>
          <w:sz w:val="17"/>
        </w:rPr>
      </w:pPr>
    </w:p>
    <w:p w14:paraId="5614C7E0" w14:textId="77777777" w:rsidR="00A71EEF" w:rsidRDefault="0081115D">
      <w:pPr>
        <w:pStyle w:val="a3"/>
        <w:ind w:left="838"/>
      </w:pPr>
      <w:r>
        <w:t>排风口、活塞风口应高于进风口；</w:t>
      </w:r>
      <w:r>
        <w:t xml:space="preserve"> </w:t>
      </w:r>
    </w:p>
    <w:p w14:paraId="7644B46A" w14:textId="77777777" w:rsidR="00A71EEF" w:rsidRDefault="00A71EEF">
      <w:pPr>
        <w:pStyle w:val="a3"/>
        <w:spacing w:before="2"/>
        <w:rPr>
          <w:sz w:val="18"/>
        </w:rPr>
      </w:pPr>
    </w:p>
    <w:p w14:paraId="44CA30C2" w14:textId="77777777" w:rsidR="00A71EEF" w:rsidRDefault="0081115D">
      <w:pPr>
        <w:pStyle w:val="a3"/>
        <w:spacing w:line="446" w:lineRule="auto"/>
        <w:ind w:left="840" w:right="1455" w:hanging="3"/>
      </w:pPr>
      <w:r>
        <w:t>进风口、排风口、活塞风口两两之间的最小水平距离不应小于</w:t>
      </w:r>
      <w:r>
        <w:t xml:space="preserve"> 5m</w:t>
      </w:r>
      <w:r>
        <w:t>，且不宜位于同一方向。</w:t>
      </w:r>
      <w:r>
        <w:rPr>
          <w:b/>
        </w:rPr>
        <w:t xml:space="preserve">3.1.4 </w:t>
      </w:r>
      <w:r>
        <w:t>采用敞口低风井的进风井、排风井和活塞风井，风井之间、风井与出入口之间的最</w:t>
      </w:r>
    </w:p>
    <w:p w14:paraId="1BBD4BD5" w14:textId="77777777" w:rsidR="00A71EEF" w:rsidRDefault="0081115D">
      <w:pPr>
        <w:pStyle w:val="a3"/>
        <w:spacing w:line="267" w:lineRule="exact"/>
        <w:ind w:left="418"/>
      </w:pPr>
      <w:r>
        <w:t>小水平距离应符合下列规定：</w:t>
      </w:r>
      <w:r>
        <w:t xml:space="preserve"> </w:t>
      </w:r>
    </w:p>
    <w:p w14:paraId="4812FD8D" w14:textId="77777777" w:rsidR="00A71EEF" w:rsidRDefault="00A71EEF">
      <w:pPr>
        <w:pStyle w:val="a3"/>
        <w:spacing w:before="2"/>
        <w:rPr>
          <w:sz w:val="18"/>
        </w:rPr>
      </w:pPr>
    </w:p>
    <w:p w14:paraId="1B95D587" w14:textId="77777777" w:rsidR="00A71EEF" w:rsidRDefault="0081115D">
      <w:pPr>
        <w:pStyle w:val="a3"/>
        <w:ind w:left="838"/>
        <w:rPr>
          <w:b/>
        </w:rPr>
      </w:pPr>
      <w:r>
        <w:t>进风井与排风井、活塞风井之间不应小于</w:t>
      </w:r>
      <w:r>
        <w:t xml:space="preserve"> 10m</w:t>
      </w:r>
      <w:r>
        <w:t>；</w:t>
      </w:r>
      <w:r>
        <w:rPr>
          <w:b/>
          <w:w w:val="99"/>
        </w:rPr>
        <w:t xml:space="preserve"> </w:t>
      </w:r>
    </w:p>
    <w:p w14:paraId="5E2D6492" w14:textId="77777777" w:rsidR="00A71EEF" w:rsidRDefault="00A71EEF">
      <w:pPr>
        <w:pStyle w:val="a3"/>
        <w:rPr>
          <w:b/>
          <w:sz w:val="18"/>
        </w:rPr>
      </w:pPr>
    </w:p>
    <w:p w14:paraId="0E782EA7" w14:textId="77777777" w:rsidR="00A71EEF" w:rsidRDefault="0081115D">
      <w:pPr>
        <w:pStyle w:val="a3"/>
        <w:ind w:left="838"/>
        <w:rPr>
          <w:b/>
        </w:rPr>
      </w:pPr>
      <w:r>
        <w:t>活塞风井之间或活塞风井与排风井之间不应小于</w:t>
      </w:r>
      <w:r>
        <w:t xml:space="preserve"> 5m</w:t>
      </w:r>
      <w:r>
        <w:t>；</w:t>
      </w:r>
      <w:r>
        <w:rPr>
          <w:b/>
          <w:w w:val="99"/>
        </w:rPr>
        <w:t xml:space="preserve"> </w:t>
      </w:r>
    </w:p>
    <w:p w14:paraId="33A26894" w14:textId="77777777" w:rsidR="00A71EEF" w:rsidRDefault="00A71EEF">
      <w:pPr>
        <w:pStyle w:val="a3"/>
        <w:rPr>
          <w:b/>
          <w:sz w:val="18"/>
        </w:rPr>
      </w:pPr>
    </w:p>
    <w:p w14:paraId="7892BA2C" w14:textId="77777777" w:rsidR="00A71EEF" w:rsidRDefault="0081115D">
      <w:pPr>
        <w:pStyle w:val="a3"/>
        <w:ind w:left="838"/>
        <w:rPr>
          <w:b/>
        </w:rPr>
      </w:pPr>
      <w:r>
        <w:t>排风井、活塞风井与车站出入口之间不应小于</w:t>
      </w:r>
      <w:r>
        <w:t xml:space="preserve"> 10m</w:t>
      </w:r>
      <w:r>
        <w:t>；</w:t>
      </w:r>
      <w:r>
        <w:rPr>
          <w:b/>
          <w:w w:val="99"/>
        </w:rPr>
        <w:t xml:space="preserve"> </w:t>
      </w:r>
    </w:p>
    <w:p w14:paraId="2FFD23F8" w14:textId="77777777" w:rsidR="00A71EEF" w:rsidRDefault="00A71EEF">
      <w:pPr>
        <w:pStyle w:val="a3"/>
        <w:spacing w:before="2"/>
        <w:rPr>
          <w:b/>
          <w:sz w:val="18"/>
        </w:rPr>
      </w:pPr>
    </w:p>
    <w:p w14:paraId="1D59AFD9" w14:textId="77777777" w:rsidR="00A71EEF" w:rsidRDefault="0081115D">
      <w:pPr>
        <w:pStyle w:val="a3"/>
        <w:ind w:left="838"/>
        <w:rPr>
          <w:b/>
        </w:rPr>
      </w:pPr>
      <w:r>
        <w:t>排风井、活塞风井与消防专用通道出入口之间不应小于</w:t>
      </w:r>
      <w:r>
        <w:t xml:space="preserve"> 5m</w:t>
      </w:r>
      <w:r>
        <w:t>。</w:t>
      </w:r>
      <w:r>
        <w:rPr>
          <w:b/>
          <w:w w:val="99"/>
        </w:rPr>
        <w:t xml:space="preserve"> </w:t>
      </w:r>
    </w:p>
    <w:p w14:paraId="14BBC7A4" w14:textId="77777777" w:rsidR="00A71EEF" w:rsidRDefault="00A71EEF">
      <w:pPr>
        <w:pStyle w:val="a3"/>
        <w:spacing w:before="12"/>
        <w:rPr>
          <w:b/>
          <w:sz w:val="17"/>
        </w:rPr>
      </w:pPr>
    </w:p>
    <w:p w14:paraId="02E68DB6" w14:textId="77777777" w:rsidR="00A71EEF" w:rsidRDefault="0081115D">
      <w:pPr>
        <w:pStyle w:val="a4"/>
        <w:numPr>
          <w:ilvl w:val="2"/>
          <w:numId w:val="59"/>
        </w:numPr>
        <w:tabs>
          <w:tab w:val="left" w:pos="1371"/>
        </w:tabs>
        <w:spacing w:line="446" w:lineRule="auto"/>
        <w:ind w:right="1604" w:firstLine="422"/>
        <w:rPr>
          <w:sz w:val="21"/>
        </w:rPr>
      </w:pPr>
      <w:r>
        <w:rPr>
          <w:spacing w:val="-3"/>
          <w:sz w:val="21"/>
        </w:rPr>
        <w:t>采用敞口低风井的排风井、活塞风井宜设置在地下车站出入口、进风井的常年主导风向的下风侧。</w:t>
      </w:r>
      <w:r>
        <w:rPr>
          <w:sz w:val="21"/>
        </w:rPr>
        <w:t xml:space="preserve"> </w:t>
      </w:r>
    </w:p>
    <w:p w14:paraId="61D73C42" w14:textId="77777777" w:rsidR="00A71EEF" w:rsidRDefault="0081115D">
      <w:pPr>
        <w:pStyle w:val="a4"/>
        <w:numPr>
          <w:ilvl w:val="2"/>
          <w:numId w:val="59"/>
        </w:numPr>
        <w:tabs>
          <w:tab w:val="left" w:pos="1370"/>
        </w:tabs>
        <w:spacing w:line="446" w:lineRule="auto"/>
        <w:ind w:right="1608" w:firstLine="422"/>
        <w:rPr>
          <w:sz w:val="21"/>
        </w:rPr>
      </w:pPr>
      <w:r>
        <w:rPr>
          <w:spacing w:val="-3"/>
          <w:sz w:val="21"/>
        </w:rPr>
        <w:t>独立建造的消防水泵房应符合现行国家标准《建筑设计防火规范》</w:t>
      </w:r>
      <w:r>
        <w:rPr>
          <w:sz w:val="21"/>
        </w:rPr>
        <w:t>GB</w:t>
      </w:r>
      <w:r>
        <w:rPr>
          <w:spacing w:val="15"/>
          <w:sz w:val="21"/>
        </w:rPr>
        <w:t xml:space="preserve"> </w:t>
      </w:r>
      <w:r>
        <w:rPr>
          <w:sz w:val="21"/>
        </w:rPr>
        <w:t>50016</w:t>
      </w:r>
      <w:r>
        <w:rPr>
          <w:spacing w:val="-12"/>
          <w:sz w:val="21"/>
        </w:rPr>
        <w:t xml:space="preserve"> </w:t>
      </w:r>
      <w:r>
        <w:rPr>
          <w:spacing w:val="-12"/>
          <w:sz w:val="21"/>
        </w:rPr>
        <w:t>的规定</w:t>
      </w:r>
      <w:r>
        <w:rPr>
          <w:spacing w:val="-5"/>
          <w:sz w:val="21"/>
        </w:rPr>
        <w:t>。地上车站的消防水泵房宜布置在首层，当布置在其他楼层时，应靠近安全出口；地下车站的</w:t>
      </w:r>
      <w:r>
        <w:rPr>
          <w:spacing w:val="-3"/>
          <w:sz w:val="21"/>
        </w:rPr>
        <w:t>消防水泵房应布置在站厅层及以上楼层，并宜布置在站厅层设备管理区内的消防专用通道附近。</w:t>
      </w:r>
      <w:r>
        <w:rPr>
          <w:sz w:val="21"/>
        </w:rPr>
        <w:t xml:space="preserve"> </w:t>
      </w:r>
    </w:p>
    <w:p w14:paraId="192F9236" w14:textId="77777777" w:rsidR="00A71EEF" w:rsidRDefault="00A71EEF">
      <w:pPr>
        <w:spacing w:line="446" w:lineRule="auto"/>
        <w:rPr>
          <w:sz w:val="21"/>
        </w:rPr>
        <w:sectPr w:rsidR="00A71EEF">
          <w:pgSz w:w="11910" w:h="16850"/>
          <w:pgMar w:top="1220" w:right="0" w:bottom="1420" w:left="1260" w:header="0" w:footer="1239" w:gutter="0"/>
          <w:cols w:space="720"/>
        </w:sectPr>
      </w:pPr>
    </w:p>
    <w:p w14:paraId="5108F11E" w14:textId="77777777" w:rsidR="00A71EEF" w:rsidRDefault="0081115D">
      <w:pPr>
        <w:pStyle w:val="a4"/>
        <w:numPr>
          <w:ilvl w:val="1"/>
          <w:numId w:val="60"/>
        </w:numPr>
        <w:tabs>
          <w:tab w:val="left" w:pos="1160"/>
        </w:tabs>
        <w:spacing w:before="47"/>
        <w:ind w:left="1159" w:hanging="320"/>
        <w:rPr>
          <w:sz w:val="21"/>
        </w:rPr>
      </w:pPr>
      <w:r>
        <w:rPr>
          <w:spacing w:val="-3"/>
          <w:sz w:val="21"/>
        </w:rPr>
        <w:t>控制中心与主变电所</w:t>
      </w:r>
      <w:r>
        <w:rPr>
          <w:sz w:val="21"/>
        </w:rPr>
        <w:t xml:space="preserve"> </w:t>
      </w:r>
    </w:p>
    <w:p w14:paraId="5F16DB05" w14:textId="77777777" w:rsidR="00A71EEF" w:rsidRDefault="00A71EEF">
      <w:pPr>
        <w:pStyle w:val="a3"/>
        <w:rPr>
          <w:sz w:val="18"/>
        </w:rPr>
      </w:pPr>
    </w:p>
    <w:p w14:paraId="0ADD47D4" w14:textId="77777777" w:rsidR="00A71EEF" w:rsidRDefault="0081115D">
      <w:pPr>
        <w:pStyle w:val="a4"/>
        <w:numPr>
          <w:ilvl w:val="2"/>
          <w:numId w:val="60"/>
        </w:numPr>
        <w:tabs>
          <w:tab w:val="left" w:pos="1371"/>
        </w:tabs>
        <w:spacing w:line="446" w:lineRule="auto"/>
        <w:ind w:right="1604" w:firstLine="422"/>
        <w:rPr>
          <w:sz w:val="21"/>
        </w:rPr>
      </w:pPr>
      <w:r>
        <w:rPr>
          <w:spacing w:val="-3"/>
          <w:sz w:val="21"/>
        </w:rPr>
        <w:t>独立建造的控制中心、地上主变电所应设置环形消防车道，确有困难时，可沿建筑的一个长边设置消防车道。</w:t>
      </w:r>
      <w:r>
        <w:rPr>
          <w:spacing w:val="-3"/>
          <w:sz w:val="21"/>
        </w:rPr>
        <w:t xml:space="preserve"> </w:t>
      </w:r>
    </w:p>
    <w:p w14:paraId="661950E7" w14:textId="77777777" w:rsidR="00A71EEF" w:rsidRDefault="0081115D">
      <w:pPr>
        <w:pStyle w:val="a4"/>
        <w:numPr>
          <w:ilvl w:val="2"/>
          <w:numId w:val="60"/>
        </w:numPr>
        <w:tabs>
          <w:tab w:val="left" w:pos="1370"/>
        </w:tabs>
        <w:spacing w:line="446" w:lineRule="auto"/>
        <w:ind w:right="1604" w:firstLine="422"/>
        <w:jc w:val="both"/>
        <w:rPr>
          <w:sz w:val="21"/>
        </w:rPr>
      </w:pPr>
      <w:r>
        <w:rPr>
          <w:spacing w:val="-3"/>
          <w:sz w:val="21"/>
        </w:rPr>
        <w:t>控制中心宜独立建造，不应与商业、娱乐等人员密集的场所合建，并应避开易燃、易爆场所；确需与其他建筑合建时，控制中心应采用无门窗洞口的防火墙与建筑的其他部分分隔。</w:t>
      </w:r>
      <w:r>
        <w:rPr>
          <w:sz w:val="21"/>
        </w:rPr>
        <w:t xml:space="preserve"> </w:t>
      </w:r>
    </w:p>
    <w:p w14:paraId="7441934B" w14:textId="77777777" w:rsidR="00A71EEF" w:rsidRDefault="0081115D">
      <w:pPr>
        <w:pStyle w:val="a4"/>
        <w:numPr>
          <w:ilvl w:val="2"/>
          <w:numId w:val="60"/>
        </w:numPr>
        <w:tabs>
          <w:tab w:val="left" w:pos="1370"/>
        </w:tabs>
        <w:spacing w:line="268" w:lineRule="exact"/>
        <w:ind w:left="1369" w:hanging="530"/>
        <w:rPr>
          <w:sz w:val="21"/>
        </w:rPr>
      </w:pPr>
      <w:r>
        <w:rPr>
          <w:spacing w:val="-3"/>
          <w:sz w:val="21"/>
        </w:rPr>
        <w:t>主变电所应独立建造。</w:t>
      </w:r>
      <w:r>
        <w:rPr>
          <w:sz w:val="21"/>
        </w:rPr>
        <w:t xml:space="preserve"> </w:t>
      </w:r>
    </w:p>
    <w:p w14:paraId="12BC9B3C" w14:textId="77777777" w:rsidR="00A71EEF" w:rsidRDefault="00A71EEF">
      <w:pPr>
        <w:pStyle w:val="a3"/>
        <w:rPr>
          <w:sz w:val="18"/>
        </w:rPr>
      </w:pPr>
    </w:p>
    <w:p w14:paraId="689C115B" w14:textId="77777777" w:rsidR="00A71EEF" w:rsidRDefault="0081115D">
      <w:pPr>
        <w:pStyle w:val="a4"/>
        <w:numPr>
          <w:ilvl w:val="1"/>
          <w:numId w:val="60"/>
        </w:numPr>
        <w:tabs>
          <w:tab w:val="left" w:pos="1160"/>
        </w:tabs>
        <w:ind w:left="1159" w:hanging="320"/>
        <w:rPr>
          <w:b/>
          <w:sz w:val="21"/>
        </w:rPr>
      </w:pPr>
      <w:r>
        <w:rPr>
          <w:spacing w:val="-3"/>
          <w:sz w:val="21"/>
        </w:rPr>
        <w:t>车辆基地</w:t>
      </w:r>
      <w:r>
        <w:rPr>
          <w:b/>
          <w:w w:val="99"/>
          <w:sz w:val="21"/>
        </w:rPr>
        <w:t xml:space="preserve"> </w:t>
      </w:r>
    </w:p>
    <w:p w14:paraId="4652B19D" w14:textId="77777777" w:rsidR="00A71EEF" w:rsidRDefault="00A71EEF">
      <w:pPr>
        <w:pStyle w:val="a3"/>
        <w:rPr>
          <w:b/>
          <w:sz w:val="18"/>
        </w:rPr>
      </w:pPr>
    </w:p>
    <w:p w14:paraId="6D74C0E7" w14:textId="77777777" w:rsidR="00A71EEF" w:rsidRDefault="0081115D">
      <w:pPr>
        <w:pStyle w:val="a4"/>
        <w:numPr>
          <w:ilvl w:val="2"/>
          <w:numId w:val="60"/>
        </w:numPr>
        <w:tabs>
          <w:tab w:val="left" w:pos="1370"/>
        </w:tabs>
        <w:spacing w:line="446" w:lineRule="auto"/>
        <w:ind w:right="1604" w:firstLine="422"/>
        <w:rPr>
          <w:sz w:val="21"/>
        </w:rPr>
      </w:pPr>
      <w:r>
        <w:rPr>
          <w:spacing w:val="-3"/>
          <w:sz w:val="21"/>
        </w:rPr>
        <w:t>车辆基地应避免设置在甲、乙类厂</w:t>
      </w:r>
      <w:r>
        <w:rPr>
          <w:spacing w:val="-3"/>
          <w:sz w:val="21"/>
        </w:rPr>
        <w:t>(</w:t>
      </w:r>
      <w:r>
        <w:rPr>
          <w:spacing w:val="-3"/>
          <w:sz w:val="21"/>
        </w:rPr>
        <w:t>库</w:t>
      </w:r>
      <w:r>
        <w:rPr>
          <w:spacing w:val="-3"/>
          <w:sz w:val="21"/>
        </w:rPr>
        <w:t>)</w:t>
      </w:r>
      <w:r>
        <w:rPr>
          <w:spacing w:val="-3"/>
          <w:sz w:val="21"/>
        </w:rPr>
        <w:t>房和甲、乙、丙类液体、可燃气体储罐及可燃材料堆场附近。</w:t>
      </w:r>
      <w:r>
        <w:rPr>
          <w:sz w:val="21"/>
        </w:rPr>
        <w:t xml:space="preserve"> </w:t>
      </w:r>
    </w:p>
    <w:p w14:paraId="33195B33" w14:textId="77777777" w:rsidR="00A71EEF" w:rsidRDefault="0081115D">
      <w:pPr>
        <w:pStyle w:val="a4"/>
        <w:numPr>
          <w:ilvl w:val="2"/>
          <w:numId w:val="60"/>
        </w:numPr>
        <w:tabs>
          <w:tab w:val="left" w:pos="1370"/>
        </w:tabs>
        <w:spacing w:line="446" w:lineRule="auto"/>
        <w:ind w:right="1604" w:firstLine="422"/>
        <w:rPr>
          <w:sz w:val="21"/>
        </w:rPr>
      </w:pPr>
      <w:r>
        <w:rPr>
          <w:spacing w:val="-3"/>
          <w:sz w:val="21"/>
        </w:rPr>
        <w:t>车辆基地的总平面布置应以车辆段</w:t>
      </w:r>
      <w:r>
        <w:rPr>
          <w:spacing w:val="-3"/>
          <w:sz w:val="21"/>
        </w:rPr>
        <w:t>(</w:t>
      </w:r>
      <w:r>
        <w:rPr>
          <w:spacing w:val="-3"/>
          <w:sz w:val="21"/>
        </w:rPr>
        <w:t>停车场</w:t>
      </w:r>
      <w:r>
        <w:rPr>
          <w:spacing w:val="-3"/>
          <w:sz w:val="21"/>
        </w:rPr>
        <w:t>)</w:t>
      </w:r>
      <w:r>
        <w:rPr>
          <w:spacing w:val="-3"/>
          <w:sz w:val="21"/>
        </w:rPr>
        <w:t>为主体，根据功能需要及地形条件合理确定基地内各建筑的位置、防火间距、运输道路和消防水源等。</w:t>
      </w:r>
      <w:r>
        <w:rPr>
          <w:sz w:val="21"/>
        </w:rPr>
        <w:t xml:space="preserve"> </w:t>
      </w:r>
    </w:p>
    <w:p w14:paraId="6ECC81FA" w14:textId="77777777" w:rsidR="00A71EEF" w:rsidRDefault="0081115D">
      <w:pPr>
        <w:pStyle w:val="a4"/>
        <w:numPr>
          <w:ilvl w:val="2"/>
          <w:numId w:val="60"/>
        </w:numPr>
        <w:tabs>
          <w:tab w:val="left" w:pos="1371"/>
        </w:tabs>
        <w:spacing w:line="446" w:lineRule="auto"/>
        <w:ind w:right="1556" w:firstLine="422"/>
        <w:rPr>
          <w:sz w:val="21"/>
        </w:rPr>
      </w:pPr>
      <w:r>
        <w:rPr>
          <w:spacing w:val="-3"/>
          <w:sz w:val="21"/>
        </w:rPr>
        <w:t>车辆基地内的消防车道除应符合现行国家标准《建筑设计防火规范》</w:t>
      </w:r>
      <w:r>
        <w:rPr>
          <w:sz w:val="21"/>
        </w:rPr>
        <w:t>GB</w:t>
      </w:r>
      <w:r>
        <w:rPr>
          <w:spacing w:val="13"/>
          <w:sz w:val="21"/>
        </w:rPr>
        <w:t xml:space="preserve"> </w:t>
      </w:r>
      <w:r>
        <w:rPr>
          <w:sz w:val="21"/>
        </w:rPr>
        <w:t>50016</w:t>
      </w:r>
      <w:r>
        <w:rPr>
          <w:spacing w:val="-18"/>
          <w:sz w:val="21"/>
        </w:rPr>
        <w:t xml:space="preserve"> </w:t>
      </w:r>
      <w:r>
        <w:rPr>
          <w:spacing w:val="-18"/>
          <w:sz w:val="21"/>
        </w:rPr>
        <w:t>的规</w:t>
      </w:r>
      <w:r>
        <w:rPr>
          <w:spacing w:val="-3"/>
          <w:sz w:val="21"/>
        </w:rPr>
        <w:t>定外，尚应符合下列规定：</w:t>
      </w:r>
      <w:r>
        <w:rPr>
          <w:spacing w:val="-3"/>
          <w:sz w:val="21"/>
        </w:rPr>
        <w:t xml:space="preserve"> </w:t>
      </w:r>
    </w:p>
    <w:p w14:paraId="36A3347B" w14:textId="77777777" w:rsidR="00A71EEF" w:rsidRDefault="0081115D">
      <w:pPr>
        <w:pStyle w:val="a3"/>
        <w:spacing w:line="446" w:lineRule="auto"/>
        <w:ind w:left="418" w:right="1611" w:firstLine="419"/>
      </w:pPr>
      <w:r>
        <w:rPr>
          <w:spacing w:val="-6"/>
        </w:rPr>
        <w:t>车辆基地内应设置不少于</w:t>
      </w:r>
      <w:r>
        <w:rPr>
          <w:spacing w:val="-6"/>
        </w:rPr>
        <w:t xml:space="preserve"> </w:t>
      </w:r>
      <w:r>
        <w:t>2</w:t>
      </w:r>
      <w:r>
        <w:rPr>
          <w:spacing w:val="-7"/>
        </w:rPr>
        <w:t xml:space="preserve"> </w:t>
      </w:r>
      <w:r>
        <w:rPr>
          <w:spacing w:val="-7"/>
        </w:rPr>
        <w:t>条与外界道路相通的消防车道，并应与基地内各建筑的消防车</w:t>
      </w:r>
      <w:r>
        <w:rPr>
          <w:spacing w:val="-5"/>
        </w:rPr>
        <w:t>道连通成环形消防车道。消防车道不宜与列车进入咽喉区前的出入线平交。</w:t>
      </w:r>
      <w:r>
        <w:t xml:space="preserve"> </w:t>
      </w:r>
    </w:p>
    <w:p w14:paraId="2E211273" w14:textId="77777777" w:rsidR="00A71EEF" w:rsidRDefault="0081115D">
      <w:pPr>
        <w:pStyle w:val="a3"/>
        <w:spacing w:line="446" w:lineRule="auto"/>
        <w:ind w:left="418" w:right="1609" w:firstLine="419"/>
      </w:pPr>
      <w:r>
        <w:t>停车库、列检库、停车列</w:t>
      </w:r>
      <w:r>
        <w:t>检库、运用库、联合检修库、物资总库及易燃物品库周围应设置环形消防车道。</w:t>
      </w:r>
      <w:r>
        <w:t xml:space="preserve"> </w:t>
      </w:r>
    </w:p>
    <w:p w14:paraId="45CD8F5B" w14:textId="77777777" w:rsidR="00A71EEF" w:rsidRDefault="0081115D">
      <w:pPr>
        <w:pStyle w:val="a3"/>
        <w:spacing w:line="446" w:lineRule="auto"/>
        <w:ind w:left="418" w:right="1505" w:firstLine="419"/>
      </w:pPr>
      <w:r>
        <w:rPr>
          <w:spacing w:val="-3"/>
        </w:rPr>
        <w:t>停车库、列检库、停车列检库、运用库、联合检修库每线列位在两列或两列以上时，宜在</w:t>
      </w:r>
      <w:r>
        <w:rPr>
          <w:spacing w:val="-4"/>
        </w:rPr>
        <w:t>列位之间沿横向设置可供消防车通行的道路；当库房的各自总宽度大于</w:t>
      </w:r>
      <w:r>
        <w:rPr>
          <w:spacing w:val="-4"/>
        </w:rPr>
        <w:t xml:space="preserve"> </w:t>
      </w:r>
      <w:r>
        <w:t>150m</w:t>
      </w:r>
      <w:r>
        <w:rPr>
          <w:spacing w:val="-7"/>
        </w:rPr>
        <w:t xml:space="preserve"> </w:t>
      </w:r>
      <w:r>
        <w:rPr>
          <w:spacing w:val="-7"/>
        </w:rPr>
        <w:t>时，应在库房的中</w:t>
      </w:r>
      <w:r>
        <w:rPr>
          <w:spacing w:val="-5"/>
        </w:rPr>
        <w:t>间沿纵向设置可供消防车通行的道路。</w:t>
      </w:r>
      <w:r>
        <w:t xml:space="preserve"> </w:t>
      </w:r>
    </w:p>
    <w:p w14:paraId="7A017E21" w14:textId="77777777" w:rsidR="00A71EEF" w:rsidRDefault="0081115D">
      <w:pPr>
        <w:pStyle w:val="a4"/>
        <w:numPr>
          <w:ilvl w:val="2"/>
          <w:numId w:val="60"/>
        </w:numPr>
        <w:tabs>
          <w:tab w:val="left" w:pos="1371"/>
        </w:tabs>
        <w:spacing w:line="446" w:lineRule="auto"/>
        <w:ind w:right="1604" w:firstLine="422"/>
        <w:jc w:val="both"/>
        <w:rPr>
          <w:sz w:val="21"/>
        </w:rPr>
      </w:pPr>
      <w:r>
        <w:rPr>
          <w:spacing w:val="-3"/>
          <w:sz w:val="21"/>
        </w:rPr>
        <w:t>车辆基地不宜设置在地下。当车辆基地的停车库、列检库、停车列检库、运用库、</w:t>
      </w:r>
      <w:r>
        <w:rPr>
          <w:spacing w:val="-4"/>
          <w:sz w:val="21"/>
        </w:rPr>
        <w:t>联合检修库等设置在地下时，应在地下设置环形消防车道；当库房的总宽度不大于</w:t>
      </w:r>
      <w:r>
        <w:rPr>
          <w:spacing w:val="-4"/>
          <w:sz w:val="21"/>
        </w:rPr>
        <w:t xml:space="preserve"> </w:t>
      </w:r>
      <w:r>
        <w:rPr>
          <w:sz w:val="21"/>
        </w:rPr>
        <w:t>75m</w:t>
      </w:r>
      <w:r>
        <w:rPr>
          <w:spacing w:val="-10"/>
          <w:sz w:val="21"/>
        </w:rPr>
        <w:t xml:space="preserve"> </w:t>
      </w:r>
      <w:r>
        <w:rPr>
          <w:spacing w:val="-10"/>
          <w:sz w:val="21"/>
        </w:rPr>
        <w:t>时，可</w:t>
      </w:r>
      <w:r>
        <w:rPr>
          <w:spacing w:val="-5"/>
          <w:sz w:val="21"/>
        </w:rPr>
        <w:t>沿库房的一条长边设置地下消防车道，但尽头式消防车道应设置回车道或回车场，回车场的面</w:t>
      </w:r>
      <w:r>
        <w:rPr>
          <w:spacing w:val="-13"/>
          <w:sz w:val="21"/>
        </w:rPr>
        <w:t>积不应小于</w:t>
      </w:r>
      <w:r>
        <w:rPr>
          <w:spacing w:val="-13"/>
          <w:sz w:val="21"/>
        </w:rPr>
        <w:t xml:space="preserve"> </w:t>
      </w:r>
      <w:r>
        <w:rPr>
          <w:sz w:val="21"/>
        </w:rPr>
        <w:t>15m×15m</w:t>
      </w:r>
      <w:r>
        <w:rPr>
          <w:sz w:val="21"/>
        </w:rPr>
        <w:t>。</w:t>
      </w:r>
      <w:r>
        <w:rPr>
          <w:sz w:val="21"/>
        </w:rPr>
        <w:t xml:space="preserve"> </w:t>
      </w:r>
    </w:p>
    <w:p w14:paraId="2650C3A8" w14:textId="77777777" w:rsidR="00A71EEF" w:rsidRDefault="0081115D">
      <w:pPr>
        <w:pStyle w:val="a3"/>
        <w:spacing w:line="446" w:lineRule="auto"/>
        <w:ind w:left="418" w:right="1609" w:firstLine="419"/>
        <w:jc w:val="both"/>
      </w:pPr>
      <w:r>
        <w:rPr>
          <w:spacing w:val="-3"/>
        </w:rPr>
        <w:t>地下消防车道与停车库、列检库、停车列检库、运用库、联合检修库之间应采用耐火极限</w:t>
      </w:r>
      <w:r>
        <w:rPr>
          <w:spacing w:val="-10"/>
        </w:rPr>
        <w:t>不低于</w:t>
      </w:r>
      <w:r>
        <w:rPr>
          <w:spacing w:val="-10"/>
        </w:rPr>
        <w:t xml:space="preserve"> </w:t>
      </w:r>
      <w:r>
        <w:t>3.00h</w:t>
      </w:r>
      <w:r>
        <w:rPr>
          <w:spacing w:val="-7"/>
        </w:rPr>
        <w:t xml:space="preserve"> </w:t>
      </w:r>
      <w:r>
        <w:rPr>
          <w:spacing w:val="-7"/>
        </w:rPr>
        <w:t>的防火墙分隔。防火墙上应设置消防救援入口，入口处应采用乙级防火门等进行</w:t>
      </w:r>
      <w:r>
        <w:rPr>
          <w:spacing w:val="-6"/>
        </w:rPr>
        <w:t>分隔。</w:t>
      </w:r>
      <w:r>
        <w:t xml:space="preserve"> </w:t>
      </w:r>
    </w:p>
    <w:p w14:paraId="036ECDB1" w14:textId="77777777" w:rsidR="00A71EEF" w:rsidRDefault="00A71EEF">
      <w:pPr>
        <w:spacing w:line="446" w:lineRule="auto"/>
        <w:jc w:val="both"/>
        <w:sectPr w:rsidR="00A71EEF">
          <w:footerReference w:type="default" r:id="rId578"/>
          <w:pgSz w:w="11910" w:h="16850"/>
          <w:pgMar w:top="1220" w:right="0" w:bottom="1420" w:left="1260" w:header="0" w:footer="1239" w:gutter="0"/>
          <w:pgNumType w:start="1610"/>
          <w:cols w:space="720"/>
        </w:sectPr>
      </w:pPr>
    </w:p>
    <w:p w14:paraId="4CD5A19E" w14:textId="77777777" w:rsidR="00A71EEF" w:rsidRDefault="0081115D">
      <w:pPr>
        <w:pStyle w:val="a4"/>
        <w:numPr>
          <w:ilvl w:val="2"/>
          <w:numId w:val="60"/>
        </w:numPr>
        <w:tabs>
          <w:tab w:val="left" w:pos="1371"/>
        </w:tabs>
        <w:spacing w:before="47"/>
        <w:ind w:left="1370" w:hanging="531"/>
        <w:rPr>
          <w:sz w:val="21"/>
        </w:rPr>
      </w:pPr>
      <w:r>
        <w:rPr>
          <w:spacing w:val="-3"/>
          <w:sz w:val="21"/>
        </w:rPr>
        <w:t>易燃物品库应独立布置，并应按存放物品的不同性质分库设置。</w:t>
      </w:r>
      <w:r>
        <w:rPr>
          <w:sz w:val="21"/>
        </w:rPr>
        <w:t xml:space="preserve"> </w:t>
      </w:r>
    </w:p>
    <w:p w14:paraId="3AA60B95" w14:textId="77777777" w:rsidR="00A71EEF" w:rsidRDefault="00A71EEF">
      <w:pPr>
        <w:pStyle w:val="a3"/>
        <w:spacing w:before="8"/>
        <w:rPr>
          <w:sz w:val="15"/>
        </w:rPr>
      </w:pPr>
    </w:p>
    <w:p w14:paraId="0F171D29" w14:textId="77777777" w:rsidR="00A71EEF" w:rsidRDefault="0081115D">
      <w:pPr>
        <w:pStyle w:val="4"/>
        <w:spacing w:before="1"/>
      </w:pPr>
      <w:r>
        <w:t xml:space="preserve">4 </w:t>
      </w:r>
      <w:r>
        <w:t>建筑的耐火等级与防火分隔</w:t>
      </w:r>
      <w:r>
        <w:rPr>
          <w:w w:val="99"/>
        </w:rPr>
        <w:t xml:space="preserve"> </w:t>
      </w:r>
    </w:p>
    <w:p w14:paraId="04C6730F" w14:textId="77777777" w:rsidR="00A71EEF" w:rsidRDefault="00A71EEF">
      <w:pPr>
        <w:pStyle w:val="a3"/>
        <w:spacing w:before="3"/>
        <w:rPr>
          <w:b/>
          <w:sz w:val="17"/>
        </w:rPr>
      </w:pPr>
    </w:p>
    <w:p w14:paraId="4C38ACAA" w14:textId="77777777" w:rsidR="00A71EEF" w:rsidRDefault="0081115D">
      <w:pPr>
        <w:pStyle w:val="a4"/>
        <w:numPr>
          <w:ilvl w:val="1"/>
          <w:numId w:val="58"/>
        </w:numPr>
        <w:tabs>
          <w:tab w:val="left" w:pos="1159"/>
        </w:tabs>
        <w:spacing w:before="1"/>
        <w:ind w:hanging="319"/>
        <w:rPr>
          <w:sz w:val="21"/>
        </w:rPr>
      </w:pPr>
      <w:r>
        <w:rPr>
          <w:spacing w:val="-3"/>
          <w:sz w:val="21"/>
        </w:rPr>
        <w:t>一般规定</w:t>
      </w:r>
      <w:r>
        <w:rPr>
          <w:sz w:val="21"/>
        </w:rPr>
        <w:t xml:space="preserve"> </w:t>
      </w:r>
    </w:p>
    <w:p w14:paraId="3544C1A9" w14:textId="77777777" w:rsidR="00A71EEF" w:rsidRDefault="00A71EEF">
      <w:pPr>
        <w:pStyle w:val="a3"/>
        <w:spacing w:before="1"/>
        <w:rPr>
          <w:sz w:val="18"/>
        </w:rPr>
      </w:pPr>
    </w:p>
    <w:p w14:paraId="29C64A4F" w14:textId="77777777" w:rsidR="00A71EEF" w:rsidRDefault="0081115D">
      <w:pPr>
        <w:pStyle w:val="a4"/>
        <w:numPr>
          <w:ilvl w:val="2"/>
          <w:numId w:val="58"/>
        </w:numPr>
        <w:tabs>
          <w:tab w:val="left" w:pos="1370"/>
        </w:tabs>
        <w:ind w:hanging="530"/>
        <w:rPr>
          <w:sz w:val="21"/>
        </w:rPr>
      </w:pPr>
      <w:r>
        <w:rPr>
          <w:spacing w:val="-3"/>
          <w:sz w:val="21"/>
        </w:rPr>
        <w:t>下列建筑的耐火等级应为一级：</w:t>
      </w:r>
      <w:r>
        <w:rPr>
          <w:sz w:val="21"/>
        </w:rPr>
        <w:t xml:space="preserve"> </w:t>
      </w:r>
    </w:p>
    <w:p w14:paraId="371D9157" w14:textId="77777777" w:rsidR="00A71EEF" w:rsidRDefault="00A71EEF">
      <w:pPr>
        <w:pStyle w:val="a3"/>
        <w:rPr>
          <w:sz w:val="18"/>
        </w:rPr>
      </w:pPr>
    </w:p>
    <w:p w14:paraId="045D8BE1" w14:textId="77777777" w:rsidR="00A71EEF" w:rsidRDefault="0081115D">
      <w:pPr>
        <w:pStyle w:val="a3"/>
        <w:ind w:left="838"/>
      </w:pPr>
      <w:r>
        <w:t>地下车站及其出入口通道、风道；</w:t>
      </w:r>
      <w:r>
        <w:t xml:space="preserve"> </w:t>
      </w:r>
    </w:p>
    <w:p w14:paraId="13CBDEFA" w14:textId="77777777" w:rsidR="00A71EEF" w:rsidRDefault="00A71EEF">
      <w:pPr>
        <w:pStyle w:val="a3"/>
        <w:spacing w:before="12"/>
        <w:rPr>
          <w:sz w:val="17"/>
        </w:rPr>
      </w:pPr>
    </w:p>
    <w:p w14:paraId="0F35E50E" w14:textId="77777777" w:rsidR="00A71EEF" w:rsidRDefault="0081115D">
      <w:pPr>
        <w:pStyle w:val="a3"/>
        <w:spacing w:line="446" w:lineRule="auto"/>
        <w:ind w:left="838" w:right="5917"/>
      </w:pPr>
      <w:r>
        <w:rPr>
          <w:spacing w:val="-3"/>
        </w:rPr>
        <w:t>地下区间、联络通道、区间风井及风道；</w:t>
      </w:r>
      <w:r>
        <w:rPr>
          <w:spacing w:val="-3"/>
        </w:rPr>
        <w:t xml:space="preserve"> </w:t>
      </w:r>
      <w:r>
        <w:rPr>
          <w:spacing w:val="-2"/>
        </w:rPr>
        <w:t>控制中心；</w:t>
      </w:r>
      <w:r>
        <w:t xml:space="preserve"> </w:t>
      </w:r>
    </w:p>
    <w:p w14:paraId="21A10176" w14:textId="77777777" w:rsidR="00A71EEF" w:rsidRDefault="0081115D">
      <w:pPr>
        <w:pStyle w:val="a3"/>
        <w:spacing w:before="1"/>
        <w:ind w:left="838"/>
      </w:pPr>
      <w:r>
        <w:rPr>
          <w:spacing w:val="-2"/>
        </w:rPr>
        <w:t>主变电所；</w:t>
      </w:r>
      <w:r>
        <w:t xml:space="preserve"> </w:t>
      </w:r>
    </w:p>
    <w:p w14:paraId="38C1C843" w14:textId="77777777" w:rsidR="00A71EEF" w:rsidRDefault="00A71EEF">
      <w:pPr>
        <w:pStyle w:val="a3"/>
        <w:spacing w:before="12"/>
        <w:rPr>
          <w:sz w:val="17"/>
        </w:rPr>
      </w:pPr>
    </w:p>
    <w:p w14:paraId="7D2C753F" w14:textId="77777777" w:rsidR="00A71EEF" w:rsidRDefault="0081115D">
      <w:pPr>
        <w:pStyle w:val="a3"/>
        <w:ind w:left="838"/>
      </w:pPr>
      <w:r>
        <w:t>易燃物品库、油漆库；</w:t>
      </w:r>
      <w:r>
        <w:t xml:space="preserve"> </w:t>
      </w:r>
    </w:p>
    <w:p w14:paraId="2D9AF9F5" w14:textId="77777777" w:rsidR="00A71EEF" w:rsidRDefault="00A71EEF">
      <w:pPr>
        <w:pStyle w:val="a3"/>
        <w:spacing w:before="2"/>
        <w:rPr>
          <w:sz w:val="18"/>
        </w:rPr>
      </w:pPr>
    </w:p>
    <w:p w14:paraId="2D740073" w14:textId="77777777" w:rsidR="00A71EEF" w:rsidRDefault="0081115D">
      <w:pPr>
        <w:pStyle w:val="a3"/>
        <w:spacing w:line="446" w:lineRule="auto"/>
        <w:ind w:left="840" w:right="2765" w:hanging="3"/>
      </w:pPr>
      <w:r>
        <w:t>地下停车库、列检库、停车列检库、运用库、联合检修库及其他检修用房。</w:t>
      </w:r>
      <w:r>
        <w:rPr>
          <w:b/>
        </w:rPr>
        <w:t xml:space="preserve">4.1.2 </w:t>
      </w:r>
      <w:r>
        <w:t>下列建筑的耐火等级不应低于二级：</w:t>
      </w:r>
      <w:r>
        <w:t xml:space="preserve"> </w:t>
      </w:r>
    </w:p>
    <w:p w14:paraId="56420A73" w14:textId="77777777" w:rsidR="00A71EEF" w:rsidRDefault="0081115D">
      <w:pPr>
        <w:pStyle w:val="a3"/>
        <w:spacing w:line="267" w:lineRule="exact"/>
        <w:ind w:left="838"/>
      </w:pPr>
      <w:r>
        <w:t>地上车站及地上区间；</w:t>
      </w:r>
      <w:r>
        <w:t xml:space="preserve"> </w:t>
      </w:r>
    </w:p>
    <w:p w14:paraId="3E97D357" w14:textId="77777777" w:rsidR="00A71EEF" w:rsidRDefault="00A71EEF">
      <w:pPr>
        <w:pStyle w:val="a3"/>
        <w:spacing w:before="2"/>
        <w:rPr>
          <w:sz w:val="18"/>
        </w:rPr>
      </w:pPr>
    </w:p>
    <w:p w14:paraId="61938A38" w14:textId="77777777" w:rsidR="00A71EEF" w:rsidRDefault="0081115D">
      <w:pPr>
        <w:pStyle w:val="a3"/>
        <w:ind w:left="838"/>
      </w:pPr>
      <w:r>
        <w:t>地下车站出入口地面厅、风亭等地面建（构）筑物；</w:t>
      </w:r>
      <w:r>
        <w:t xml:space="preserve"> </w:t>
      </w:r>
    </w:p>
    <w:p w14:paraId="742A6979" w14:textId="77777777" w:rsidR="00A71EEF" w:rsidRDefault="00A71EEF">
      <w:pPr>
        <w:pStyle w:val="a3"/>
        <w:rPr>
          <w:sz w:val="18"/>
        </w:rPr>
      </w:pPr>
    </w:p>
    <w:p w14:paraId="1A1D2CB6" w14:textId="77777777" w:rsidR="00A71EEF" w:rsidRDefault="0081115D">
      <w:pPr>
        <w:pStyle w:val="a3"/>
        <w:spacing w:line="446" w:lineRule="auto"/>
        <w:ind w:left="418" w:right="1609" w:firstLine="419"/>
      </w:pPr>
      <w:r>
        <w:t>运用库、检修库、综合维修中心的维修综合楼、物质总库的库房、调机库、牵引降压混合变电所、洗车机库（棚）、不落轮镟库、工程车库和综合办公楼等生活辅助建筑。</w:t>
      </w:r>
      <w:r>
        <w:t xml:space="preserve"> </w:t>
      </w:r>
    </w:p>
    <w:p w14:paraId="6C490F5E" w14:textId="77777777" w:rsidR="00A71EEF" w:rsidRDefault="0081115D">
      <w:pPr>
        <w:pStyle w:val="a4"/>
        <w:numPr>
          <w:ilvl w:val="2"/>
          <w:numId w:val="57"/>
        </w:numPr>
        <w:tabs>
          <w:tab w:val="left" w:pos="1371"/>
        </w:tabs>
        <w:spacing w:line="446" w:lineRule="auto"/>
        <w:ind w:right="1445" w:firstLine="422"/>
        <w:rPr>
          <w:sz w:val="21"/>
        </w:rPr>
      </w:pPr>
      <w:r>
        <w:rPr>
          <w:spacing w:val="-5"/>
          <w:sz w:val="21"/>
        </w:rPr>
        <w:t>地下车站的风道、区间风井及其风道等的围护结构的耐火极限均不应低于</w:t>
      </w:r>
      <w:r>
        <w:rPr>
          <w:spacing w:val="-5"/>
          <w:sz w:val="21"/>
        </w:rPr>
        <w:t xml:space="preserve"> </w:t>
      </w:r>
      <w:r>
        <w:rPr>
          <w:sz w:val="21"/>
        </w:rPr>
        <w:t>3.00h</w:t>
      </w:r>
      <w:r>
        <w:rPr>
          <w:sz w:val="21"/>
        </w:rPr>
        <w:t>，区</w:t>
      </w:r>
      <w:r>
        <w:rPr>
          <w:spacing w:val="-6"/>
          <w:sz w:val="21"/>
        </w:rPr>
        <w:t>间风井内柱、梁、楼板的耐火极限均不应低于</w:t>
      </w:r>
      <w:r>
        <w:rPr>
          <w:spacing w:val="-6"/>
          <w:sz w:val="21"/>
        </w:rPr>
        <w:t xml:space="preserve"> </w:t>
      </w:r>
      <w:r>
        <w:rPr>
          <w:sz w:val="21"/>
        </w:rPr>
        <w:t>2.00h</w:t>
      </w:r>
      <w:r>
        <w:rPr>
          <w:spacing w:val="-3"/>
          <w:sz w:val="21"/>
        </w:rPr>
        <w:t>。</w:t>
      </w:r>
      <w:r>
        <w:rPr>
          <w:sz w:val="21"/>
        </w:rPr>
        <w:t xml:space="preserve"> </w:t>
      </w:r>
    </w:p>
    <w:p w14:paraId="49DF6D67" w14:textId="77777777" w:rsidR="00A71EEF" w:rsidRDefault="0081115D">
      <w:pPr>
        <w:pStyle w:val="a4"/>
        <w:numPr>
          <w:ilvl w:val="2"/>
          <w:numId w:val="57"/>
        </w:numPr>
        <w:tabs>
          <w:tab w:val="left" w:pos="1371"/>
        </w:tabs>
        <w:spacing w:line="446" w:lineRule="auto"/>
        <w:ind w:right="1604" w:firstLine="422"/>
        <w:jc w:val="both"/>
        <w:rPr>
          <w:sz w:val="21"/>
        </w:rPr>
      </w:pPr>
      <w:r>
        <w:rPr>
          <w:spacing w:val="-2"/>
          <w:sz w:val="21"/>
        </w:rPr>
        <w:t>车站</w:t>
      </w:r>
      <w:r>
        <w:rPr>
          <w:spacing w:val="-3"/>
          <w:sz w:val="21"/>
        </w:rPr>
        <w:t>（车辆基地）</w:t>
      </w:r>
      <w:r>
        <w:rPr>
          <w:spacing w:val="-1"/>
          <w:sz w:val="21"/>
        </w:rPr>
        <w:t>控制室</w:t>
      </w:r>
      <w:r>
        <w:rPr>
          <w:sz w:val="21"/>
        </w:rPr>
        <w:t>（</w:t>
      </w:r>
      <w:r>
        <w:rPr>
          <w:spacing w:val="-3"/>
          <w:sz w:val="21"/>
        </w:rPr>
        <w:t>含防灾报警设备室</w:t>
      </w:r>
      <w:r>
        <w:rPr>
          <w:sz w:val="21"/>
        </w:rPr>
        <w:t>）</w:t>
      </w:r>
      <w:r>
        <w:rPr>
          <w:spacing w:val="-3"/>
          <w:sz w:val="21"/>
        </w:rPr>
        <w:t>、变电所、配电室、通信及信号机房、固定灭火装置设备室、消防水泵房、废水泵房、通风机房、环控电控室、站台门控制室、</w:t>
      </w:r>
      <w:r>
        <w:rPr>
          <w:spacing w:val="-4"/>
          <w:sz w:val="21"/>
        </w:rPr>
        <w:t>蓄电池室等火灾时需运作的房间，应分别独立设置，并应采用耐火极限不低于</w:t>
      </w:r>
      <w:r>
        <w:rPr>
          <w:spacing w:val="-4"/>
          <w:sz w:val="21"/>
        </w:rPr>
        <w:t xml:space="preserve"> </w:t>
      </w:r>
      <w:r>
        <w:rPr>
          <w:sz w:val="21"/>
        </w:rPr>
        <w:t>2.00h</w:t>
      </w:r>
      <w:r>
        <w:rPr>
          <w:spacing w:val="-9"/>
          <w:sz w:val="21"/>
        </w:rPr>
        <w:t xml:space="preserve"> </w:t>
      </w:r>
      <w:r>
        <w:rPr>
          <w:spacing w:val="-9"/>
          <w:sz w:val="21"/>
        </w:rPr>
        <w:t>的防火隔</w:t>
      </w:r>
      <w:r>
        <w:rPr>
          <w:spacing w:val="-10"/>
          <w:sz w:val="21"/>
        </w:rPr>
        <w:t>墙和耐火极限不低于</w:t>
      </w:r>
      <w:r>
        <w:rPr>
          <w:spacing w:val="-10"/>
          <w:sz w:val="21"/>
        </w:rPr>
        <w:t xml:space="preserve"> </w:t>
      </w:r>
      <w:r>
        <w:rPr>
          <w:sz w:val="21"/>
        </w:rPr>
        <w:t>1.50h</w:t>
      </w:r>
      <w:r>
        <w:rPr>
          <w:spacing w:val="-9"/>
          <w:sz w:val="21"/>
        </w:rPr>
        <w:t xml:space="preserve"> </w:t>
      </w:r>
      <w:r>
        <w:rPr>
          <w:spacing w:val="-9"/>
          <w:sz w:val="21"/>
        </w:rPr>
        <w:t>的楼板与其他部位分隔。</w:t>
      </w:r>
      <w:r>
        <w:rPr>
          <w:spacing w:val="-9"/>
          <w:sz w:val="21"/>
        </w:rPr>
        <w:t xml:space="preserve"> </w:t>
      </w:r>
    </w:p>
    <w:p w14:paraId="1B74E3C2" w14:textId="77777777" w:rsidR="00A71EEF" w:rsidRDefault="0081115D">
      <w:pPr>
        <w:pStyle w:val="a4"/>
        <w:numPr>
          <w:ilvl w:val="2"/>
          <w:numId w:val="57"/>
        </w:numPr>
        <w:tabs>
          <w:tab w:val="left" w:pos="1370"/>
        </w:tabs>
        <w:spacing w:line="446" w:lineRule="auto"/>
        <w:ind w:right="1812" w:firstLine="422"/>
        <w:rPr>
          <w:sz w:val="21"/>
        </w:rPr>
      </w:pPr>
      <w:r>
        <w:rPr>
          <w:spacing w:val="-3"/>
          <w:sz w:val="21"/>
        </w:rPr>
        <w:t>车站内的商铺设置以及与地下商业等非地铁功能的场所相邻的车站应符合下列规定：</w:t>
      </w:r>
      <w:r>
        <w:rPr>
          <w:sz w:val="21"/>
        </w:rPr>
        <w:t xml:space="preserve"> </w:t>
      </w:r>
    </w:p>
    <w:p w14:paraId="6E524D0F" w14:textId="77777777" w:rsidR="00A71EEF" w:rsidRDefault="0081115D">
      <w:pPr>
        <w:pStyle w:val="a3"/>
        <w:spacing w:line="446" w:lineRule="auto"/>
        <w:ind w:left="418" w:right="1609" w:firstLine="419"/>
      </w:pPr>
      <w:r>
        <w:t>站台层、站厅付费区、站厅非付费区的乘客疏散区以及用于乘客疏散的通道内，严禁设置商铺和非地铁运营用房。</w:t>
      </w:r>
      <w:r>
        <w:t xml:space="preserve"> </w:t>
      </w:r>
    </w:p>
    <w:p w14:paraId="66633281" w14:textId="77777777" w:rsidR="00A71EEF" w:rsidRDefault="0081115D">
      <w:pPr>
        <w:pStyle w:val="a3"/>
        <w:ind w:left="838"/>
      </w:pPr>
      <w:r>
        <w:t>在站厅非付费区的乘客疏散区外设置的商铺，不得经营和储存甲、乙类火灾危险性的商</w:t>
      </w:r>
    </w:p>
    <w:p w14:paraId="06957B06" w14:textId="77777777" w:rsidR="00A71EEF" w:rsidRDefault="00A71EEF">
      <w:pPr>
        <w:pStyle w:val="a3"/>
        <w:spacing w:before="7"/>
        <w:rPr>
          <w:sz w:val="17"/>
        </w:rPr>
      </w:pPr>
    </w:p>
    <w:p w14:paraId="2F9D47D5" w14:textId="77777777" w:rsidR="00A71EEF" w:rsidRDefault="0081115D">
      <w:pPr>
        <w:pStyle w:val="a3"/>
        <w:spacing w:before="1"/>
        <w:ind w:left="418"/>
      </w:pPr>
      <w:r>
        <w:t>品，不得储存可燃性液体类商品。每个站厅商铺的总建筑面积不应大于</w:t>
      </w:r>
      <w:r>
        <w:t xml:space="preserve"> 100m²</w:t>
      </w:r>
      <w:r>
        <w:t>，单处商铺的建筑</w:t>
      </w:r>
    </w:p>
    <w:p w14:paraId="3FD98820" w14:textId="77777777" w:rsidR="00A71EEF" w:rsidRDefault="00A71EEF">
      <w:pPr>
        <w:sectPr w:rsidR="00A71EEF">
          <w:pgSz w:w="11910" w:h="16850"/>
          <w:pgMar w:top="1220" w:right="0" w:bottom="1420" w:left="1260" w:header="0" w:footer="1239" w:gutter="0"/>
          <w:cols w:space="720"/>
        </w:sectPr>
      </w:pPr>
    </w:p>
    <w:p w14:paraId="174813FC" w14:textId="77777777" w:rsidR="00A71EEF" w:rsidRDefault="0081115D">
      <w:pPr>
        <w:pStyle w:val="a3"/>
        <w:spacing w:before="47" w:line="446" w:lineRule="auto"/>
        <w:ind w:left="418" w:right="1560"/>
      </w:pPr>
      <w:r>
        <w:rPr>
          <w:spacing w:val="-9"/>
        </w:rPr>
        <w:t>面积不应大于</w:t>
      </w:r>
      <w:r>
        <w:rPr>
          <w:spacing w:val="-9"/>
        </w:rPr>
        <w:t xml:space="preserve"> </w:t>
      </w:r>
      <w:r>
        <w:t>30m²</w:t>
      </w:r>
      <w:r>
        <w:rPr>
          <w:spacing w:val="-7"/>
        </w:rPr>
        <w:t>。商铺应采用耐火极限不低于</w:t>
      </w:r>
      <w:r>
        <w:rPr>
          <w:spacing w:val="-7"/>
        </w:rPr>
        <w:t xml:space="preserve"> </w:t>
      </w:r>
      <w:r>
        <w:t>2.00h</w:t>
      </w:r>
      <w:r>
        <w:rPr>
          <w:spacing w:val="-12"/>
        </w:rPr>
        <w:t xml:space="preserve"> </w:t>
      </w:r>
      <w:r>
        <w:rPr>
          <w:spacing w:val="-12"/>
        </w:rPr>
        <w:t>的防火隔墙或耐火极限不低于</w:t>
      </w:r>
      <w:r>
        <w:rPr>
          <w:spacing w:val="-12"/>
        </w:rPr>
        <w:t xml:space="preserve"> </w:t>
      </w:r>
      <w:r>
        <w:t>3.00h</w:t>
      </w:r>
      <w:r>
        <w:rPr>
          <w:spacing w:val="-25"/>
        </w:rPr>
        <w:t xml:space="preserve"> </w:t>
      </w:r>
      <w:r>
        <w:rPr>
          <w:spacing w:val="-25"/>
        </w:rPr>
        <w:t>的</w:t>
      </w:r>
      <w:r>
        <w:rPr>
          <w:spacing w:val="-8"/>
        </w:rPr>
        <w:t>防火卷帘与其他部位</w:t>
      </w:r>
      <w:r>
        <w:rPr>
          <w:spacing w:val="-8"/>
        </w:rPr>
        <w:t>分隔，商铺内应设置火灾自动报警和灭火系统。</w:t>
      </w:r>
      <w:r>
        <w:t xml:space="preserve"> </w:t>
      </w:r>
    </w:p>
    <w:p w14:paraId="433374A7" w14:textId="77777777" w:rsidR="00A71EEF" w:rsidRDefault="0081115D">
      <w:pPr>
        <w:pStyle w:val="a3"/>
        <w:spacing w:line="446" w:lineRule="auto"/>
        <w:ind w:left="418" w:right="1608" w:firstLine="419"/>
      </w:pPr>
      <w:r>
        <w:rPr>
          <w:spacing w:val="-3"/>
        </w:rPr>
        <w:t>在站厅的上层或下层设置商业等非地铁功能的场所时，站厅严禁采用中庭与商业等非地铁功能的场所连通；在站厅非付费区连通商业等非地铁功能场所的楼梯或扶梯的开口部位应设置</w:t>
      </w:r>
      <w:r>
        <w:rPr>
          <w:spacing w:val="-6"/>
        </w:rPr>
        <w:t>耐火极限不低于</w:t>
      </w:r>
      <w:r>
        <w:rPr>
          <w:spacing w:val="-6"/>
        </w:rPr>
        <w:t xml:space="preserve"> </w:t>
      </w:r>
      <w:r>
        <w:t>3.00h</w:t>
      </w:r>
      <w:r>
        <w:rPr>
          <w:spacing w:val="-5"/>
        </w:rPr>
        <w:t xml:space="preserve"> </w:t>
      </w:r>
      <w:r>
        <w:rPr>
          <w:spacing w:val="-5"/>
        </w:rPr>
        <w:t>的防火卷帘，防火卷帘应能分别由地铁、商业等非地铁功能的场所控</w:t>
      </w:r>
      <w:r>
        <w:rPr>
          <w:spacing w:val="-4"/>
        </w:rPr>
        <w:t>制，楼梯或扶梯周围的其他临界面应设置防火墙。</w:t>
      </w:r>
      <w:r>
        <w:t xml:space="preserve"> </w:t>
      </w:r>
    </w:p>
    <w:p w14:paraId="280EF6CC" w14:textId="77777777" w:rsidR="00A71EEF" w:rsidRDefault="0081115D">
      <w:pPr>
        <w:pStyle w:val="a3"/>
        <w:spacing w:line="446" w:lineRule="auto"/>
        <w:ind w:left="418" w:right="1608" w:firstLine="419"/>
        <w:jc w:val="both"/>
      </w:pPr>
      <w:r>
        <w:t>在站厅层与站台层之间设置商业等非地铁功能的场所时，站台至站厅的楼梯或扶梯不应与商业等非地铁功能的场所连通，楼梯或扶梯穿越商业等非地铁功能的场所的部位周围应设置无门窗洞口的</w:t>
      </w:r>
      <w:r>
        <w:t>防火墙。</w:t>
      </w:r>
      <w:r>
        <w:t xml:space="preserve"> </w:t>
      </w:r>
    </w:p>
    <w:p w14:paraId="611EB890" w14:textId="77777777" w:rsidR="00A71EEF" w:rsidRDefault="0081115D">
      <w:pPr>
        <w:pStyle w:val="a4"/>
        <w:numPr>
          <w:ilvl w:val="2"/>
          <w:numId w:val="57"/>
        </w:numPr>
        <w:tabs>
          <w:tab w:val="left" w:pos="1371"/>
        </w:tabs>
        <w:spacing w:line="446" w:lineRule="auto"/>
        <w:ind w:right="1452" w:firstLine="422"/>
        <w:rPr>
          <w:sz w:val="21"/>
        </w:rPr>
      </w:pPr>
      <w:r>
        <w:rPr>
          <w:spacing w:val="-3"/>
          <w:sz w:val="21"/>
        </w:rPr>
        <w:t>在站厅公共区同层布置的商业等非地铁功能的场所，应采用防火墙与站厅公共区进行分隔，相互间宜采用下沉广场或连接通道等方式连通，不应直接连通。下沉广场的宽度不应小</w:t>
      </w:r>
      <w:r>
        <w:rPr>
          <w:spacing w:val="-3"/>
          <w:sz w:val="21"/>
        </w:rPr>
        <w:t xml:space="preserve"> </w:t>
      </w:r>
      <w:r>
        <w:rPr>
          <w:spacing w:val="-25"/>
          <w:sz w:val="21"/>
        </w:rPr>
        <w:t>于</w:t>
      </w:r>
      <w:r>
        <w:rPr>
          <w:spacing w:val="-25"/>
          <w:sz w:val="21"/>
        </w:rPr>
        <w:t xml:space="preserve"> </w:t>
      </w:r>
      <w:r>
        <w:rPr>
          <w:sz w:val="21"/>
        </w:rPr>
        <w:t>13m</w:t>
      </w:r>
      <w:r>
        <w:rPr>
          <w:spacing w:val="-7"/>
          <w:sz w:val="21"/>
        </w:rPr>
        <w:t>；连接通道的长度不应小于</w:t>
      </w:r>
      <w:r>
        <w:rPr>
          <w:spacing w:val="-7"/>
          <w:sz w:val="21"/>
        </w:rPr>
        <w:t xml:space="preserve"> </w:t>
      </w:r>
      <w:r>
        <w:rPr>
          <w:sz w:val="21"/>
        </w:rPr>
        <w:t>10m</w:t>
      </w:r>
      <w:r>
        <w:rPr>
          <w:spacing w:val="-9"/>
          <w:sz w:val="21"/>
        </w:rPr>
        <w:t>、宽度不应大于</w:t>
      </w:r>
      <w:r>
        <w:rPr>
          <w:spacing w:val="-9"/>
          <w:sz w:val="21"/>
        </w:rPr>
        <w:t xml:space="preserve"> </w:t>
      </w:r>
      <w:r>
        <w:rPr>
          <w:sz w:val="21"/>
        </w:rPr>
        <w:t>8m</w:t>
      </w:r>
      <w:r>
        <w:rPr>
          <w:spacing w:val="-8"/>
          <w:sz w:val="21"/>
        </w:rPr>
        <w:t>，连接通道内应设置</w:t>
      </w:r>
      <w:r>
        <w:rPr>
          <w:spacing w:val="-8"/>
          <w:sz w:val="21"/>
        </w:rPr>
        <w:t xml:space="preserve"> </w:t>
      </w:r>
      <w:r>
        <w:rPr>
          <w:sz w:val="21"/>
        </w:rPr>
        <w:t>2</w:t>
      </w:r>
      <w:r>
        <w:rPr>
          <w:spacing w:val="-8"/>
          <w:sz w:val="21"/>
        </w:rPr>
        <w:t xml:space="preserve"> </w:t>
      </w:r>
      <w:r>
        <w:rPr>
          <w:spacing w:val="-8"/>
          <w:sz w:val="21"/>
        </w:rPr>
        <w:t>道分别由地铁和</w:t>
      </w:r>
      <w:r>
        <w:rPr>
          <w:spacing w:val="-7"/>
          <w:sz w:val="21"/>
        </w:rPr>
        <w:t>商业等非地铁功能的场所控制且耐火极限均不低于</w:t>
      </w:r>
      <w:r>
        <w:rPr>
          <w:spacing w:val="-7"/>
          <w:sz w:val="21"/>
        </w:rPr>
        <w:t xml:space="preserve"> </w:t>
      </w:r>
      <w:r>
        <w:rPr>
          <w:sz w:val="21"/>
        </w:rPr>
        <w:t>3.00h</w:t>
      </w:r>
      <w:r>
        <w:rPr>
          <w:spacing w:val="-10"/>
          <w:sz w:val="21"/>
        </w:rPr>
        <w:t xml:space="preserve"> </w:t>
      </w:r>
      <w:r>
        <w:rPr>
          <w:spacing w:val="-10"/>
          <w:sz w:val="21"/>
        </w:rPr>
        <w:t>的防火卷帘。</w:t>
      </w:r>
      <w:r>
        <w:rPr>
          <w:sz w:val="21"/>
        </w:rPr>
        <w:t xml:space="preserve"> </w:t>
      </w:r>
    </w:p>
    <w:p w14:paraId="729B5EF3" w14:textId="77777777" w:rsidR="00A71EEF" w:rsidRDefault="0081115D">
      <w:pPr>
        <w:pStyle w:val="a4"/>
        <w:numPr>
          <w:ilvl w:val="2"/>
          <w:numId w:val="57"/>
        </w:numPr>
        <w:tabs>
          <w:tab w:val="left" w:pos="1370"/>
        </w:tabs>
        <w:spacing w:line="446" w:lineRule="auto"/>
        <w:ind w:right="1604" w:firstLine="422"/>
        <w:rPr>
          <w:sz w:val="21"/>
        </w:rPr>
      </w:pPr>
      <w:r>
        <w:rPr>
          <w:spacing w:val="-3"/>
          <w:sz w:val="21"/>
        </w:rPr>
        <w:t>车辆基地建筑的上部不宜设置其他使用功能的场所或建筑，确需设置时，应符合下列规定：</w:t>
      </w:r>
      <w:r>
        <w:rPr>
          <w:sz w:val="21"/>
        </w:rPr>
        <w:t xml:space="preserve"> </w:t>
      </w:r>
    </w:p>
    <w:p w14:paraId="4D968D08" w14:textId="77777777" w:rsidR="00A71EEF" w:rsidRDefault="0081115D">
      <w:pPr>
        <w:pStyle w:val="a3"/>
        <w:ind w:left="838"/>
      </w:pPr>
      <w:r>
        <w:t>车辆基地与其他功能场所之间应采用耐火极限不低于</w:t>
      </w:r>
      <w:r>
        <w:t xml:space="preserve"> 3.00h </w:t>
      </w:r>
      <w:r>
        <w:t>的楼板分隔；</w:t>
      </w:r>
      <w:r>
        <w:t xml:space="preserve"> </w:t>
      </w:r>
    </w:p>
    <w:p w14:paraId="23AD5662" w14:textId="77777777" w:rsidR="00A71EEF" w:rsidRDefault="00A71EEF">
      <w:pPr>
        <w:pStyle w:val="a3"/>
        <w:spacing w:before="7"/>
        <w:rPr>
          <w:sz w:val="17"/>
        </w:rPr>
      </w:pPr>
    </w:p>
    <w:p w14:paraId="4BD7A559" w14:textId="77777777" w:rsidR="00A71EEF" w:rsidRDefault="0081115D">
      <w:pPr>
        <w:pStyle w:val="a3"/>
        <w:spacing w:line="446" w:lineRule="auto"/>
        <w:ind w:left="840" w:right="1613" w:hanging="3"/>
        <w:rPr>
          <w:b/>
        </w:rPr>
      </w:pPr>
      <w:r>
        <w:t>车辆基地建筑的承重构件的耐火极限不应低于</w:t>
      </w:r>
      <w:r>
        <w:t xml:space="preserve"> 3.00h</w:t>
      </w:r>
      <w:r>
        <w:t>，楼板的耐火极限不应低于</w:t>
      </w:r>
      <w:r>
        <w:t xml:space="preserve"> 2.00h</w:t>
      </w:r>
      <w:r>
        <w:t>。</w:t>
      </w:r>
      <w:r>
        <w:rPr>
          <w:b/>
        </w:rPr>
        <w:t xml:space="preserve">4.2 </w:t>
      </w:r>
      <w:r>
        <w:t>地下车站</w:t>
      </w:r>
      <w:r>
        <w:rPr>
          <w:b/>
          <w:w w:val="99"/>
        </w:rPr>
        <w:t xml:space="preserve"> </w:t>
      </w:r>
    </w:p>
    <w:p w14:paraId="2AEF2691" w14:textId="77777777" w:rsidR="00A71EEF" w:rsidRDefault="0081115D">
      <w:pPr>
        <w:pStyle w:val="a4"/>
        <w:numPr>
          <w:ilvl w:val="2"/>
          <w:numId w:val="56"/>
        </w:numPr>
        <w:tabs>
          <w:tab w:val="left" w:pos="1371"/>
        </w:tabs>
        <w:rPr>
          <w:sz w:val="21"/>
        </w:rPr>
      </w:pPr>
      <w:r>
        <w:rPr>
          <w:spacing w:val="-5"/>
          <w:sz w:val="21"/>
        </w:rPr>
        <w:t>站台和站厅公共区可划分为同一个防火分区，站厅公共区的建筑面积不宜大于</w:t>
      </w:r>
      <w:r>
        <w:rPr>
          <w:spacing w:val="-5"/>
          <w:sz w:val="21"/>
        </w:rPr>
        <w:t xml:space="preserve"> </w:t>
      </w:r>
      <w:r>
        <w:rPr>
          <w:sz w:val="21"/>
        </w:rPr>
        <w:t>5000m</w:t>
      </w:r>
    </w:p>
    <w:p w14:paraId="33A75D59" w14:textId="77777777" w:rsidR="00A71EEF" w:rsidRDefault="00A71EEF">
      <w:pPr>
        <w:pStyle w:val="a3"/>
        <w:rPr>
          <w:sz w:val="18"/>
        </w:rPr>
      </w:pPr>
    </w:p>
    <w:p w14:paraId="36B4DC8D" w14:textId="77777777" w:rsidR="00A71EEF" w:rsidRDefault="0081115D">
      <w:pPr>
        <w:pStyle w:val="a3"/>
        <w:ind w:left="418"/>
      </w:pPr>
      <w:r>
        <w:t>²</w:t>
      </w:r>
      <w:r>
        <w:t>。</w:t>
      </w:r>
      <w:r>
        <w:t xml:space="preserve"> </w:t>
      </w:r>
    </w:p>
    <w:p w14:paraId="537DD00F" w14:textId="77777777" w:rsidR="00A71EEF" w:rsidRDefault="00A71EEF">
      <w:pPr>
        <w:pStyle w:val="a3"/>
        <w:spacing w:before="12"/>
        <w:rPr>
          <w:sz w:val="17"/>
        </w:rPr>
      </w:pPr>
    </w:p>
    <w:p w14:paraId="1CA3AA31" w14:textId="77777777" w:rsidR="00A71EEF" w:rsidRDefault="0081115D">
      <w:pPr>
        <w:pStyle w:val="a4"/>
        <w:numPr>
          <w:ilvl w:val="2"/>
          <w:numId w:val="56"/>
        </w:numPr>
        <w:tabs>
          <w:tab w:val="left" w:pos="1371"/>
        </w:tabs>
        <w:spacing w:before="1" w:line="446" w:lineRule="auto"/>
        <w:ind w:left="418" w:right="1558" w:firstLine="422"/>
        <w:jc w:val="both"/>
        <w:rPr>
          <w:sz w:val="21"/>
        </w:rPr>
      </w:pPr>
      <w:r>
        <w:rPr>
          <w:spacing w:val="-3"/>
          <w:sz w:val="21"/>
        </w:rPr>
        <w:t>站厅设备管理区应与站厅、站台公共区划分为不同的防火分区，设备管理区每个防</w:t>
      </w:r>
      <w:r>
        <w:rPr>
          <w:spacing w:val="-3"/>
          <w:sz w:val="21"/>
        </w:rPr>
        <w:t xml:space="preserve"> </w:t>
      </w:r>
      <w:r>
        <w:rPr>
          <w:spacing w:val="-5"/>
          <w:sz w:val="21"/>
        </w:rPr>
        <w:t>火分区的最大允许建筑面积不应大于</w:t>
      </w:r>
      <w:r>
        <w:rPr>
          <w:spacing w:val="-5"/>
          <w:sz w:val="21"/>
        </w:rPr>
        <w:t xml:space="preserve"> </w:t>
      </w:r>
      <w:r>
        <w:rPr>
          <w:sz w:val="21"/>
        </w:rPr>
        <w:t>1500m²</w:t>
      </w:r>
      <w:r>
        <w:rPr>
          <w:spacing w:val="-3"/>
          <w:sz w:val="21"/>
        </w:rPr>
        <w:t>。消防水泵房、污水和废水泵房、厕所、盥洗、茶水、清扫等房间的建筑面积可不计入所在防火分区的建筑面积。</w:t>
      </w:r>
      <w:r>
        <w:rPr>
          <w:sz w:val="21"/>
        </w:rPr>
        <w:t xml:space="preserve"> </w:t>
      </w:r>
    </w:p>
    <w:p w14:paraId="4DC4CC01" w14:textId="77777777" w:rsidR="00A71EEF" w:rsidRDefault="0081115D">
      <w:pPr>
        <w:pStyle w:val="a4"/>
        <w:numPr>
          <w:ilvl w:val="2"/>
          <w:numId w:val="56"/>
        </w:numPr>
        <w:tabs>
          <w:tab w:val="left" w:pos="1371"/>
        </w:tabs>
        <w:spacing w:line="446" w:lineRule="auto"/>
        <w:ind w:left="418" w:right="1450" w:firstLine="422"/>
        <w:rPr>
          <w:sz w:val="21"/>
        </w:rPr>
      </w:pPr>
      <w:r>
        <w:rPr>
          <w:spacing w:val="-3"/>
          <w:sz w:val="21"/>
        </w:rPr>
        <w:t>地下一层侧式站台与同层站厅公共区可划为同一个防火分区，但站台上任一点至车站</w:t>
      </w:r>
      <w:r>
        <w:rPr>
          <w:spacing w:val="-5"/>
          <w:sz w:val="21"/>
        </w:rPr>
        <w:t>直通地面的疏散通道口的最大距离不应大于</w:t>
      </w:r>
      <w:r>
        <w:rPr>
          <w:spacing w:val="-5"/>
          <w:sz w:val="21"/>
        </w:rPr>
        <w:t xml:space="preserve"> </w:t>
      </w:r>
      <w:r>
        <w:rPr>
          <w:sz w:val="21"/>
        </w:rPr>
        <w:t>50m</w:t>
      </w:r>
      <w:r>
        <w:rPr>
          <w:spacing w:val="-9"/>
          <w:sz w:val="21"/>
        </w:rPr>
        <w:t>；当大于</w:t>
      </w:r>
      <w:r>
        <w:rPr>
          <w:spacing w:val="-9"/>
          <w:sz w:val="21"/>
        </w:rPr>
        <w:t xml:space="preserve"> </w:t>
      </w:r>
      <w:r>
        <w:rPr>
          <w:sz w:val="21"/>
        </w:rPr>
        <w:t>50m</w:t>
      </w:r>
      <w:r>
        <w:rPr>
          <w:spacing w:val="-7"/>
          <w:sz w:val="21"/>
        </w:rPr>
        <w:t xml:space="preserve"> </w:t>
      </w:r>
      <w:r>
        <w:rPr>
          <w:spacing w:val="-7"/>
          <w:sz w:val="21"/>
        </w:rPr>
        <w:t>时，应在与同层站厅的邻接面处或站厅的适当位置采用耐火极限不低于</w:t>
      </w:r>
      <w:r>
        <w:rPr>
          <w:spacing w:val="-7"/>
          <w:sz w:val="21"/>
        </w:rPr>
        <w:t xml:space="preserve"> </w:t>
      </w:r>
      <w:r>
        <w:rPr>
          <w:sz w:val="21"/>
        </w:rPr>
        <w:t>2.00h</w:t>
      </w:r>
      <w:r>
        <w:rPr>
          <w:spacing w:val="-9"/>
          <w:sz w:val="21"/>
        </w:rPr>
        <w:t xml:space="preserve"> </w:t>
      </w:r>
      <w:r>
        <w:rPr>
          <w:spacing w:val="-9"/>
          <w:sz w:val="21"/>
        </w:rPr>
        <w:t>的防火隔墙等进行分隔。</w:t>
      </w:r>
      <w:r>
        <w:rPr>
          <w:sz w:val="21"/>
        </w:rPr>
        <w:t xml:space="preserve"> </w:t>
      </w:r>
    </w:p>
    <w:p w14:paraId="11D310AB" w14:textId="77777777" w:rsidR="00A71EEF" w:rsidRDefault="0081115D">
      <w:pPr>
        <w:pStyle w:val="a4"/>
        <w:numPr>
          <w:ilvl w:val="2"/>
          <w:numId w:val="56"/>
        </w:numPr>
        <w:tabs>
          <w:tab w:val="left" w:pos="1370"/>
        </w:tabs>
        <w:spacing w:line="268" w:lineRule="exact"/>
        <w:ind w:left="1369" w:hanging="530"/>
        <w:rPr>
          <w:sz w:val="21"/>
        </w:rPr>
      </w:pPr>
      <w:r>
        <w:rPr>
          <w:spacing w:val="-3"/>
          <w:sz w:val="21"/>
        </w:rPr>
        <w:t>上、下重叠平行站台的车站应符合下列规定：</w:t>
      </w:r>
      <w:r>
        <w:rPr>
          <w:spacing w:val="-3"/>
          <w:sz w:val="21"/>
        </w:rPr>
        <w:t xml:space="preserve"> </w:t>
      </w:r>
    </w:p>
    <w:p w14:paraId="69331C7A" w14:textId="77777777" w:rsidR="00A71EEF" w:rsidRDefault="00A71EEF">
      <w:pPr>
        <w:spacing w:line="268" w:lineRule="exact"/>
        <w:rPr>
          <w:sz w:val="21"/>
        </w:rPr>
        <w:sectPr w:rsidR="00A71EEF">
          <w:pgSz w:w="11910" w:h="16850"/>
          <w:pgMar w:top="1220" w:right="0" w:bottom="1420" w:left="1260" w:header="0" w:footer="1239" w:gutter="0"/>
          <w:cols w:space="720"/>
        </w:sectPr>
      </w:pPr>
    </w:p>
    <w:p w14:paraId="68D8628A" w14:textId="77777777" w:rsidR="00A71EEF" w:rsidRDefault="0081115D">
      <w:pPr>
        <w:pStyle w:val="a3"/>
        <w:spacing w:before="47" w:line="446" w:lineRule="auto"/>
        <w:ind w:left="418" w:right="1609" w:firstLine="419"/>
        <w:jc w:val="both"/>
      </w:pPr>
      <w:r>
        <w:t>下层站台穿越上层站台至站厅的楼梯或扶梯，应在上层站台的楼梯或扶梯开口部位设置耐火极限不低于</w:t>
      </w:r>
      <w:r>
        <w:t xml:space="preserve"> 2.00h </w:t>
      </w:r>
      <w:r>
        <w:t>的防火隔墙；</w:t>
      </w:r>
      <w:r>
        <w:t xml:space="preserve"> </w:t>
      </w:r>
    </w:p>
    <w:p w14:paraId="50492964" w14:textId="77777777" w:rsidR="00A71EEF" w:rsidRDefault="0081115D">
      <w:pPr>
        <w:pStyle w:val="a3"/>
        <w:spacing w:line="446" w:lineRule="auto"/>
        <w:ind w:left="418" w:right="1608" w:firstLine="419"/>
        <w:jc w:val="both"/>
      </w:pPr>
      <w:r>
        <w:rPr>
          <w:spacing w:val="-3"/>
        </w:rPr>
        <w:t>上、下层站台之间的联系楼梯或扶梯，除可在下层站台的楼梯或扶梯开口处人员上下通行</w:t>
      </w:r>
      <w:r>
        <w:rPr>
          <w:spacing w:val="-6"/>
        </w:rPr>
        <w:t>的部位采用耐火极限不低于</w:t>
      </w:r>
      <w:r>
        <w:rPr>
          <w:spacing w:val="-6"/>
        </w:rPr>
        <w:t xml:space="preserve"> </w:t>
      </w:r>
      <w:r>
        <w:t>3.00h</w:t>
      </w:r>
      <w:r>
        <w:rPr>
          <w:spacing w:val="-7"/>
        </w:rPr>
        <w:t xml:space="preserve"> </w:t>
      </w:r>
      <w:r>
        <w:rPr>
          <w:spacing w:val="-7"/>
        </w:rPr>
        <w:t>的防火卷帘等进行分隔外，其他部位应设置耐火极限不低于</w:t>
      </w:r>
      <w:r>
        <w:rPr>
          <w:spacing w:val="-7"/>
        </w:rPr>
        <w:t>2.00h</w:t>
      </w:r>
      <w:r>
        <w:rPr>
          <w:spacing w:val="-10"/>
        </w:rPr>
        <w:t xml:space="preserve"> </w:t>
      </w:r>
      <w:r>
        <w:rPr>
          <w:spacing w:val="-10"/>
        </w:rPr>
        <w:t>的防火隔墙。</w:t>
      </w:r>
      <w:r>
        <w:t xml:space="preserve"> </w:t>
      </w:r>
    </w:p>
    <w:p w14:paraId="21C5B254" w14:textId="77777777" w:rsidR="00A71EEF" w:rsidRDefault="0081115D">
      <w:pPr>
        <w:pStyle w:val="a4"/>
        <w:numPr>
          <w:ilvl w:val="2"/>
          <w:numId w:val="56"/>
        </w:numPr>
        <w:tabs>
          <w:tab w:val="left" w:pos="1370"/>
        </w:tabs>
        <w:spacing w:line="446" w:lineRule="auto"/>
        <w:ind w:left="418" w:right="1606" w:firstLine="422"/>
        <w:jc w:val="both"/>
        <w:rPr>
          <w:sz w:val="21"/>
        </w:rPr>
      </w:pPr>
      <w:r>
        <w:rPr>
          <w:spacing w:val="-5"/>
          <w:sz w:val="21"/>
        </w:rPr>
        <w:t>多线同层站台平行换乘车站的各站台之间应设置耐火极限不低于</w:t>
      </w:r>
      <w:r>
        <w:rPr>
          <w:spacing w:val="-5"/>
          <w:sz w:val="21"/>
        </w:rPr>
        <w:t xml:space="preserve"> </w:t>
      </w:r>
      <w:r>
        <w:rPr>
          <w:sz w:val="21"/>
        </w:rPr>
        <w:t>2.00h</w:t>
      </w:r>
      <w:r>
        <w:rPr>
          <w:spacing w:val="-10"/>
          <w:sz w:val="21"/>
        </w:rPr>
        <w:t xml:space="preserve"> </w:t>
      </w:r>
      <w:r>
        <w:rPr>
          <w:spacing w:val="-10"/>
          <w:sz w:val="21"/>
        </w:rPr>
        <w:t>的纵向防火</w:t>
      </w:r>
      <w:r>
        <w:rPr>
          <w:spacing w:val="-8"/>
          <w:sz w:val="21"/>
        </w:rPr>
        <w:t>隔墙，该防火隔墙应延伸至站台有效长度外不小于</w:t>
      </w:r>
      <w:r>
        <w:rPr>
          <w:spacing w:val="-8"/>
          <w:sz w:val="21"/>
        </w:rPr>
        <w:t xml:space="preserve"> </w:t>
      </w:r>
      <w:r>
        <w:rPr>
          <w:sz w:val="21"/>
        </w:rPr>
        <w:t>10m</w:t>
      </w:r>
      <w:r>
        <w:rPr>
          <w:spacing w:val="-3"/>
          <w:sz w:val="21"/>
        </w:rPr>
        <w:t>。</w:t>
      </w:r>
      <w:r>
        <w:rPr>
          <w:sz w:val="21"/>
        </w:rPr>
        <w:t xml:space="preserve"> </w:t>
      </w:r>
    </w:p>
    <w:p w14:paraId="3857018E" w14:textId="77777777" w:rsidR="00A71EEF" w:rsidRDefault="0081115D">
      <w:pPr>
        <w:pStyle w:val="a4"/>
        <w:numPr>
          <w:ilvl w:val="2"/>
          <w:numId w:val="56"/>
        </w:numPr>
        <w:tabs>
          <w:tab w:val="left" w:pos="1370"/>
        </w:tabs>
        <w:spacing w:line="446" w:lineRule="auto"/>
        <w:ind w:left="418" w:right="1604" w:firstLine="422"/>
        <w:jc w:val="both"/>
        <w:rPr>
          <w:b/>
          <w:sz w:val="21"/>
        </w:rPr>
      </w:pPr>
      <w:r>
        <w:rPr>
          <w:spacing w:val="-3"/>
          <w:sz w:val="21"/>
        </w:rPr>
        <w:t>点式换乘车站站台之间的换乘通道和换乘梯，除可在下层站台的通</w:t>
      </w:r>
      <w:r>
        <w:rPr>
          <w:spacing w:val="-3"/>
          <w:sz w:val="21"/>
        </w:rPr>
        <w:t>道或楼梯或扶梯</w:t>
      </w:r>
      <w:r>
        <w:rPr>
          <w:spacing w:val="-5"/>
          <w:sz w:val="21"/>
        </w:rPr>
        <w:t>口处人员上下通行的部位采用耐火极限不低于</w:t>
      </w:r>
      <w:r>
        <w:rPr>
          <w:spacing w:val="-5"/>
          <w:sz w:val="21"/>
        </w:rPr>
        <w:t xml:space="preserve"> </w:t>
      </w:r>
      <w:r>
        <w:rPr>
          <w:sz w:val="21"/>
        </w:rPr>
        <w:t>3.00h</w:t>
      </w:r>
      <w:r>
        <w:rPr>
          <w:spacing w:val="-7"/>
          <w:sz w:val="21"/>
        </w:rPr>
        <w:t xml:space="preserve"> </w:t>
      </w:r>
      <w:r>
        <w:rPr>
          <w:spacing w:val="-7"/>
          <w:sz w:val="21"/>
        </w:rPr>
        <w:t>的防火卷帘等进行分隔外，其他部位应设</w:t>
      </w:r>
      <w:r>
        <w:rPr>
          <w:spacing w:val="-11"/>
          <w:sz w:val="21"/>
        </w:rPr>
        <w:t>置耐火极限不低于</w:t>
      </w:r>
      <w:r>
        <w:rPr>
          <w:spacing w:val="-11"/>
          <w:sz w:val="21"/>
        </w:rPr>
        <w:t xml:space="preserve"> </w:t>
      </w:r>
      <w:r>
        <w:rPr>
          <w:sz w:val="21"/>
        </w:rPr>
        <w:t>2.00h</w:t>
      </w:r>
      <w:r>
        <w:rPr>
          <w:spacing w:val="-10"/>
          <w:sz w:val="21"/>
        </w:rPr>
        <w:t xml:space="preserve"> </w:t>
      </w:r>
      <w:r>
        <w:rPr>
          <w:spacing w:val="-10"/>
          <w:sz w:val="21"/>
        </w:rPr>
        <w:t>的防火隔墙。</w:t>
      </w:r>
      <w:r>
        <w:rPr>
          <w:b/>
          <w:w w:val="99"/>
          <w:sz w:val="21"/>
        </w:rPr>
        <w:t xml:space="preserve"> </w:t>
      </w:r>
    </w:p>
    <w:p w14:paraId="7CE37189" w14:textId="77777777" w:rsidR="00A71EEF" w:rsidRDefault="0081115D">
      <w:pPr>
        <w:pStyle w:val="a4"/>
        <w:numPr>
          <w:ilvl w:val="2"/>
          <w:numId w:val="56"/>
        </w:numPr>
        <w:tabs>
          <w:tab w:val="left" w:pos="1370"/>
        </w:tabs>
        <w:spacing w:line="446" w:lineRule="auto"/>
        <w:ind w:left="418" w:right="1508" w:firstLine="422"/>
        <w:jc w:val="both"/>
        <w:rPr>
          <w:sz w:val="21"/>
        </w:rPr>
      </w:pPr>
      <w:r>
        <w:rPr>
          <w:spacing w:val="-3"/>
          <w:sz w:val="21"/>
        </w:rPr>
        <w:t>侧式站台与同层站厅换乘车站，除可在站台连接同层站厅的通道口部位采用耐火极限</w:t>
      </w:r>
      <w:r>
        <w:rPr>
          <w:spacing w:val="-14"/>
          <w:sz w:val="21"/>
        </w:rPr>
        <w:t>不低于</w:t>
      </w:r>
      <w:r>
        <w:rPr>
          <w:spacing w:val="-14"/>
          <w:sz w:val="21"/>
        </w:rPr>
        <w:t xml:space="preserve"> </w:t>
      </w:r>
      <w:r>
        <w:rPr>
          <w:sz w:val="21"/>
        </w:rPr>
        <w:t>3.00h</w:t>
      </w:r>
      <w:r>
        <w:rPr>
          <w:spacing w:val="-11"/>
          <w:sz w:val="21"/>
        </w:rPr>
        <w:t xml:space="preserve"> </w:t>
      </w:r>
      <w:r>
        <w:rPr>
          <w:spacing w:val="-11"/>
          <w:sz w:val="21"/>
        </w:rPr>
        <w:t>的防火卷帘等进行分隔外，其他部位应设置耐火极限不低于</w:t>
      </w:r>
      <w:r>
        <w:rPr>
          <w:spacing w:val="-11"/>
          <w:sz w:val="21"/>
        </w:rPr>
        <w:t xml:space="preserve"> </w:t>
      </w:r>
      <w:r>
        <w:rPr>
          <w:sz w:val="21"/>
        </w:rPr>
        <w:t>3.00h</w:t>
      </w:r>
      <w:r>
        <w:rPr>
          <w:spacing w:val="-11"/>
          <w:sz w:val="21"/>
        </w:rPr>
        <w:t xml:space="preserve"> </w:t>
      </w:r>
      <w:r>
        <w:rPr>
          <w:spacing w:val="-11"/>
          <w:sz w:val="21"/>
        </w:rPr>
        <w:t>的防火墙。</w:t>
      </w:r>
      <w:r>
        <w:rPr>
          <w:sz w:val="21"/>
        </w:rPr>
        <w:t xml:space="preserve"> </w:t>
      </w:r>
    </w:p>
    <w:p w14:paraId="3C878384" w14:textId="77777777" w:rsidR="00A71EEF" w:rsidRDefault="0081115D">
      <w:pPr>
        <w:pStyle w:val="a4"/>
        <w:numPr>
          <w:ilvl w:val="2"/>
          <w:numId w:val="56"/>
        </w:numPr>
        <w:tabs>
          <w:tab w:val="left" w:pos="1371"/>
        </w:tabs>
        <w:spacing w:line="446" w:lineRule="auto"/>
        <w:ind w:left="418" w:right="1604" w:firstLine="422"/>
        <w:jc w:val="both"/>
        <w:rPr>
          <w:sz w:val="21"/>
        </w:rPr>
      </w:pPr>
      <w:r>
        <w:rPr>
          <w:spacing w:val="-5"/>
          <w:sz w:val="21"/>
        </w:rPr>
        <w:t>通道换乘车站的站间换乘通道两侧应设置耐火极限不低于</w:t>
      </w:r>
      <w:r>
        <w:rPr>
          <w:spacing w:val="-5"/>
          <w:sz w:val="21"/>
        </w:rPr>
        <w:t xml:space="preserve"> </w:t>
      </w:r>
      <w:r>
        <w:rPr>
          <w:sz w:val="21"/>
        </w:rPr>
        <w:t>2.00h</w:t>
      </w:r>
      <w:r>
        <w:rPr>
          <w:spacing w:val="-8"/>
          <w:sz w:val="21"/>
        </w:rPr>
        <w:t xml:space="preserve"> </w:t>
      </w:r>
      <w:r>
        <w:rPr>
          <w:spacing w:val="-8"/>
          <w:sz w:val="21"/>
        </w:rPr>
        <w:t>的防火隔墙，通道</w:t>
      </w:r>
      <w:r>
        <w:rPr>
          <w:spacing w:val="-16"/>
          <w:sz w:val="21"/>
        </w:rPr>
        <w:t>内应采用</w:t>
      </w:r>
      <w:r>
        <w:rPr>
          <w:spacing w:val="-16"/>
          <w:sz w:val="21"/>
        </w:rPr>
        <w:t xml:space="preserve"> </w:t>
      </w:r>
      <w:r>
        <w:rPr>
          <w:sz w:val="21"/>
        </w:rPr>
        <w:t>2</w:t>
      </w:r>
      <w:r>
        <w:rPr>
          <w:spacing w:val="-13"/>
          <w:sz w:val="21"/>
        </w:rPr>
        <w:t xml:space="preserve"> </w:t>
      </w:r>
      <w:r>
        <w:rPr>
          <w:spacing w:val="-13"/>
          <w:sz w:val="21"/>
        </w:rPr>
        <w:t>道耐火极限均不低于</w:t>
      </w:r>
      <w:r>
        <w:rPr>
          <w:spacing w:val="-13"/>
          <w:sz w:val="21"/>
        </w:rPr>
        <w:t xml:space="preserve"> </w:t>
      </w:r>
      <w:r>
        <w:rPr>
          <w:sz w:val="21"/>
        </w:rPr>
        <w:t>3.00h</w:t>
      </w:r>
      <w:r>
        <w:rPr>
          <w:spacing w:val="-9"/>
          <w:sz w:val="21"/>
        </w:rPr>
        <w:t xml:space="preserve"> </w:t>
      </w:r>
      <w:r>
        <w:rPr>
          <w:spacing w:val="-9"/>
          <w:sz w:val="21"/>
        </w:rPr>
        <w:t>的防火卷帘等进行分隔。</w:t>
      </w:r>
      <w:r>
        <w:rPr>
          <w:sz w:val="21"/>
        </w:rPr>
        <w:t xml:space="preserve"> </w:t>
      </w:r>
    </w:p>
    <w:p w14:paraId="35CD246A" w14:textId="77777777" w:rsidR="00A71EEF" w:rsidRDefault="0081115D">
      <w:pPr>
        <w:pStyle w:val="a4"/>
        <w:numPr>
          <w:ilvl w:val="2"/>
          <w:numId w:val="56"/>
        </w:numPr>
        <w:tabs>
          <w:tab w:val="left" w:pos="1371"/>
        </w:tabs>
        <w:spacing w:line="446" w:lineRule="auto"/>
        <w:ind w:left="418" w:right="1604" w:firstLine="422"/>
        <w:rPr>
          <w:sz w:val="21"/>
        </w:rPr>
      </w:pPr>
      <w:r>
        <w:rPr>
          <w:spacing w:val="-3"/>
          <w:sz w:val="21"/>
        </w:rPr>
        <w:t>站厅层位于站台层下方时，除可在站厅至站台的楼梯或扶梯开口处人员上下通行的</w:t>
      </w:r>
      <w:r>
        <w:rPr>
          <w:spacing w:val="-7"/>
          <w:sz w:val="21"/>
        </w:rPr>
        <w:t>部位采用耐火极限不低于</w:t>
      </w:r>
      <w:r>
        <w:rPr>
          <w:spacing w:val="-7"/>
          <w:sz w:val="21"/>
        </w:rPr>
        <w:t xml:space="preserve"> </w:t>
      </w:r>
      <w:r>
        <w:rPr>
          <w:sz w:val="21"/>
        </w:rPr>
        <w:t>3.00h</w:t>
      </w:r>
      <w:r>
        <w:rPr>
          <w:spacing w:val="-8"/>
          <w:sz w:val="21"/>
        </w:rPr>
        <w:t xml:space="preserve"> </w:t>
      </w:r>
      <w:r>
        <w:rPr>
          <w:spacing w:val="-8"/>
          <w:sz w:val="21"/>
        </w:rPr>
        <w:t>的防火卷帘等进行分隔外，其他部位应设置耐火极限不低于</w:t>
      </w:r>
      <w:r>
        <w:rPr>
          <w:spacing w:val="-8"/>
          <w:sz w:val="21"/>
        </w:rPr>
        <w:t>2.00h</w:t>
      </w:r>
      <w:r>
        <w:rPr>
          <w:spacing w:val="-10"/>
          <w:sz w:val="21"/>
        </w:rPr>
        <w:t xml:space="preserve"> </w:t>
      </w:r>
      <w:r>
        <w:rPr>
          <w:spacing w:val="-10"/>
          <w:sz w:val="21"/>
        </w:rPr>
        <w:t>的防火隔墙。</w:t>
      </w:r>
      <w:r>
        <w:rPr>
          <w:sz w:val="21"/>
        </w:rPr>
        <w:t xml:space="preserve"> </w:t>
      </w:r>
    </w:p>
    <w:p w14:paraId="19FAB899" w14:textId="77777777" w:rsidR="00A71EEF" w:rsidRDefault="0081115D">
      <w:pPr>
        <w:pStyle w:val="a4"/>
        <w:numPr>
          <w:ilvl w:val="2"/>
          <w:numId w:val="56"/>
        </w:numPr>
        <w:tabs>
          <w:tab w:val="left" w:pos="1478"/>
        </w:tabs>
        <w:spacing w:line="446" w:lineRule="auto"/>
        <w:ind w:left="418" w:right="1498" w:firstLine="422"/>
        <w:rPr>
          <w:sz w:val="21"/>
        </w:rPr>
      </w:pPr>
      <w:r>
        <w:rPr>
          <w:spacing w:val="-3"/>
          <w:sz w:val="21"/>
        </w:rPr>
        <w:t>在站厅层与站台层之间设置地铁设备层时，站台至站厅的楼梯或扶梯穿越设备层的部位周围应设置无门窗洞口的防火墙。</w:t>
      </w:r>
      <w:r>
        <w:rPr>
          <w:sz w:val="21"/>
        </w:rPr>
        <w:t xml:space="preserve"> </w:t>
      </w:r>
    </w:p>
    <w:p w14:paraId="42888100" w14:textId="77777777" w:rsidR="00A71EEF" w:rsidRDefault="0081115D">
      <w:pPr>
        <w:pStyle w:val="a4"/>
        <w:numPr>
          <w:ilvl w:val="2"/>
          <w:numId w:val="56"/>
        </w:numPr>
        <w:tabs>
          <w:tab w:val="left" w:pos="1478"/>
        </w:tabs>
        <w:spacing w:line="446" w:lineRule="auto"/>
        <w:ind w:left="418" w:right="1705" w:firstLine="422"/>
        <w:rPr>
          <w:b/>
          <w:sz w:val="21"/>
        </w:rPr>
      </w:pPr>
      <w:r>
        <w:rPr>
          <w:spacing w:val="-3"/>
          <w:sz w:val="21"/>
        </w:rPr>
        <w:t>站台与站厅公共区之间除上下楼梯或扶梯的开口外，不应设置其他上下连通的开口。</w:t>
      </w:r>
      <w:r>
        <w:rPr>
          <w:b/>
          <w:w w:val="99"/>
          <w:sz w:val="21"/>
        </w:rPr>
        <w:t xml:space="preserve"> </w:t>
      </w:r>
    </w:p>
    <w:p w14:paraId="09C9B86B" w14:textId="77777777" w:rsidR="00A71EEF" w:rsidRDefault="0081115D">
      <w:pPr>
        <w:pStyle w:val="a4"/>
        <w:numPr>
          <w:ilvl w:val="1"/>
          <w:numId w:val="55"/>
        </w:numPr>
        <w:tabs>
          <w:tab w:val="left" w:pos="1159"/>
        </w:tabs>
        <w:ind w:hanging="319"/>
        <w:rPr>
          <w:b/>
          <w:sz w:val="21"/>
        </w:rPr>
      </w:pPr>
      <w:r>
        <w:rPr>
          <w:spacing w:val="-3"/>
          <w:sz w:val="21"/>
        </w:rPr>
        <w:t>地上车站</w:t>
      </w:r>
      <w:r>
        <w:rPr>
          <w:b/>
          <w:w w:val="99"/>
          <w:sz w:val="21"/>
        </w:rPr>
        <w:t xml:space="preserve"> </w:t>
      </w:r>
    </w:p>
    <w:p w14:paraId="1AB48510" w14:textId="77777777" w:rsidR="00A71EEF" w:rsidRDefault="00A71EEF">
      <w:pPr>
        <w:pStyle w:val="a3"/>
        <w:spacing w:before="5"/>
        <w:rPr>
          <w:b/>
          <w:sz w:val="17"/>
        </w:rPr>
      </w:pPr>
    </w:p>
    <w:p w14:paraId="1A618664" w14:textId="77777777" w:rsidR="00A71EEF" w:rsidRDefault="0081115D">
      <w:pPr>
        <w:pStyle w:val="a4"/>
        <w:numPr>
          <w:ilvl w:val="2"/>
          <w:numId w:val="55"/>
        </w:numPr>
        <w:tabs>
          <w:tab w:val="left" w:pos="1370"/>
        </w:tabs>
        <w:ind w:hanging="530"/>
        <w:jc w:val="both"/>
        <w:rPr>
          <w:sz w:val="21"/>
        </w:rPr>
      </w:pPr>
      <w:r>
        <w:rPr>
          <w:spacing w:val="-5"/>
          <w:sz w:val="21"/>
        </w:rPr>
        <w:t>站厅公共区每个防火分区的最大允许建筑面积不宜大于</w:t>
      </w:r>
      <w:r>
        <w:rPr>
          <w:spacing w:val="-5"/>
          <w:sz w:val="21"/>
        </w:rPr>
        <w:t xml:space="preserve"> </w:t>
      </w:r>
      <w:r>
        <w:rPr>
          <w:sz w:val="21"/>
        </w:rPr>
        <w:t>5000m²</w:t>
      </w:r>
      <w:r>
        <w:rPr>
          <w:spacing w:val="-3"/>
          <w:sz w:val="21"/>
        </w:rPr>
        <w:t>。</w:t>
      </w:r>
      <w:r>
        <w:rPr>
          <w:sz w:val="21"/>
        </w:rPr>
        <w:t xml:space="preserve"> </w:t>
      </w:r>
    </w:p>
    <w:p w14:paraId="2A6D5A0F" w14:textId="77777777" w:rsidR="00A71EEF" w:rsidRDefault="00A71EEF">
      <w:pPr>
        <w:pStyle w:val="a3"/>
        <w:spacing w:before="12"/>
        <w:rPr>
          <w:sz w:val="17"/>
        </w:rPr>
      </w:pPr>
    </w:p>
    <w:p w14:paraId="4024BFF9" w14:textId="77777777" w:rsidR="00A71EEF" w:rsidRDefault="0081115D">
      <w:pPr>
        <w:pStyle w:val="a4"/>
        <w:numPr>
          <w:ilvl w:val="2"/>
          <w:numId w:val="55"/>
        </w:numPr>
        <w:tabs>
          <w:tab w:val="left" w:pos="1370"/>
        </w:tabs>
        <w:spacing w:line="446" w:lineRule="auto"/>
        <w:ind w:left="418" w:right="1558" w:firstLine="422"/>
        <w:jc w:val="both"/>
        <w:rPr>
          <w:sz w:val="21"/>
        </w:rPr>
      </w:pPr>
      <w:r>
        <w:rPr>
          <w:spacing w:val="-3"/>
          <w:sz w:val="21"/>
        </w:rPr>
        <w:t>站厅设备管理区应与站台、站厅公共区划分为不同的防火分</w:t>
      </w:r>
      <w:r>
        <w:rPr>
          <w:spacing w:val="-3"/>
          <w:sz w:val="21"/>
        </w:rPr>
        <w:t>区，设备管理区每个防</w:t>
      </w:r>
      <w:r>
        <w:rPr>
          <w:spacing w:val="-3"/>
          <w:sz w:val="21"/>
        </w:rPr>
        <w:t xml:space="preserve"> </w:t>
      </w:r>
      <w:r>
        <w:rPr>
          <w:spacing w:val="-6"/>
          <w:sz w:val="21"/>
        </w:rPr>
        <w:t>火分区的最大允许建筑面积不应大于</w:t>
      </w:r>
      <w:r>
        <w:rPr>
          <w:spacing w:val="-6"/>
          <w:sz w:val="21"/>
        </w:rPr>
        <w:t xml:space="preserve"> </w:t>
      </w:r>
      <w:r>
        <w:rPr>
          <w:sz w:val="21"/>
        </w:rPr>
        <w:t>2500m²</w:t>
      </w:r>
      <w:r>
        <w:rPr>
          <w:spacing w:val="-7"/>
          <w:sz w:val="21"/>
        </w:rPr>
        <w:t>；对于建筑高度大于</w:t>
      </w:r>
      <w:r>
        <w:rPr>
          <w:spacing w:val="-7"/>
          <w:sz w:val="21"/>
        </w:rPr>
        <w:t xml:space="preserve"> </w:t>
      </w:r>
      <w:r>
        <w:rPr>
          <w:sz w:val="21"/>
        </w:rPr>
        <w:t>24m</w:t>
      </w:r>
      <w:r>
        <w:rPr>
          <w:spacing w:val="-8"/>
          <w:sz w:val="21"/>
        </w:rPr>
        <w:t xml:space="preserve"> </w:t>
      </w:r>
      <w:r>
        <w:rPr>
          <w:spacing w:val="-8"/>
          <w:sz w:val="21"/>
        </w:rPr>
        <w:t>的高架车站，其设备管理区每个防火分区的最大允许建筑面积不应大于</w:t>
      </w:r>
      <w:r>
        <w:rPr>
          <w:spacing w:val="-8"/>
          <w:sz w:val="21"/>
        </w:rPr>
        <w:t xml:space="preserve"> </w:t>
      </w:r>
      <w:r>
        <w:rPr>
          <w:sz w:val="21"/>
        </w:rPr>
        <w:t>1500m²</w:t>
      </w:r>
      <w:r>
        <w:rPr>
          <w:spacing w:val="-3"/>
          <w:sz w:val="21"/>
        </w:rPr>
        <w:t>。</w:t>
      </w:r>
      <w:r>
        <w:rPr>
          <w:sz w:val="21"/>
        </w:rPr>
        <w:t xml:space="preserve"> </w:t>
      </w:r>
    </w:p>
    <w:p w14:paraId="5CE59B15" w14:textId="77777777" w:rsidR="00A71EEF" w:rsidRDefault="00A71EEF">
      <w:pPr>
        <w:spacing w:line="446" w:lineRule="auto"/>
        <w:jc w:val="both"/>
        <w:rPr>
          <w:sz w:val="21"/>
        </w:rPr>
        <w:sectPr w:rsidR="00A71EEF">
          <w:pgSz w:w="11910" w:h="16850"/>
          <w:pgMar w:top="1220" w:right="0" w:bottom="1420" w:left="1260" w:header="0" w:footer="1239" w:gutter="0"/>
          <w:cols w:space="720"/>
        </w:sectPr>
      </w:pPr>
    </w:p>
    <w:p w14:paraId="6F7B567C" w14:textId="77777777" w:rsidR="00A71EEF" w:rsidRDefault="0081115D">
      <w:pPr>
        <w:pStyle w:val="a4"/>
        <w:numPr>
          <w:ilvl w:val="2"/>
          <w:numId w:val="55"/>
        </w:numPr>
        <w:tabs>
          <w:tab w:val="left" w:pos="1370"/>
        </w:tabs>
        <w:spacing w:before="47" w:line="446" w:lineRule="auto"/>
        <w:ind w:left="418" w:right="1604" w:firstLine="422"/>
        <w:jc w:val="both"/>
        <w:rPr>
          <w:sz w:val="21"/>
        </w:rPr>
      </w:pPr>
      <w:r>
        <w:rPr>
          <w:spacing w:val="-3"/>
          <w:sz w:val="21"/>
        </w:rPr>
        <w:t>站厅位于站台上方且站台层不具备自然排烟条件时，除可在站台至站厅的楼梯或扶</w:t>
      </w:r>
      <w:r>
        <w:rPr>
          <w:spacing w:val="-5"/>
          <w:sz w:val="21"/>
        </w:rPr>
        <w:t>梯开口处人员上下通行的部位采用耐火极限不低于</w:t>
      </w:r>
      <w:r>
        <w:rPr>
          <w:spacing w:val="-5"/>
          <w:sz w:val="21"/>
        </w:rPr>
        <w:t xml:space="preserve"> </w:t>
      </w:r>
      <w:r>
        <w:rPr>
          <w:sz w:val="21"/>
        </w:rPr>
        <w:t>3.00h</w:t>
      </w:r>
      <w:r>
        <w:rPr>
          <w:spacing w:val="-7"/>
          <w:sz w:val="21"/>
        </w:rPr>
        <w:t xml:space="preserve"> </w:t>
      </w:r>
      <w:r>
        <w:rPr>
          <w:spacing w:val="-7"/>
          <w:sz w:val="21"/>
        </w:rPr>
        <w:t>的防火卷帘等进行分隔外，其他部位</w:t>
      </w:r>
      <w:r>
        <w:rPr>
          <w:spacing w:val="-10"/>
          <w:sz w:val="21"/>
        </w:rPr>
        <w:t>应设置耐火极限不低于</w:t>
      </w:r>
      <w:r>
        <w:rPr>
          <w:spacing w:val="-10"/>
          <w:sz w:val="21"/>
        </w:rPr>
        <w:t xml:space="preserve"> </w:t>
      </w:r>
      <w:r>
        <w:rPr>
          <w:sz w:val="21"/>
        </w:rPr>
        <w:t>2.00h</w:t>
      </w:r>
      <w:r>
        <w:rPr>
          <w:spacing w:val="-10"/>
          <w:sz w:val="21"/>
        </w:rPr>
        <w:t xml:space="preserve"> </w:t>
      </w:r>
      <w:r>
        <w:rPr>
          <w:spacing w:val="-10"/>
          <w:sz w:val="21"/>
        </w:rPr>
        <w:t>的防火隔墙。</w:t>
      </w:r>
      <w:r>
        <w:rPr>
          <w:sz w:val="21"/>
        </w:rPr>
        <w:t xml:space="preserve"> </w:t>
      </w:r>
    </w:p>
    <w:p w14:paraId="69B1B56D" w14:textId="77777777" w:rsidR="00A71EEF" w:rsidRDefault="0081115D">
      <w:pPr>
        <w:pStyle w:val="a4"/>
        <w:numPr>
          <w:ilvl w:val="1"/>
          <w:numId w:val="55"/>
        </w:numPr>
        <w:tabs>
          <w:tab w:val="left" w:pos="1159"/>
        </w:tabs>
        <w:spacing w:line="268" w:lineRule="exact"/>
        <w:ind w:hanging="319"/>
        <w:rPr>
          <w:b/>
          <w:sz w:val="21"/>
        </w:rPr>
      </w:pPr>
      <w:r>
        <w:rPr>
          <w:spacing w:val="-3"/>
          <w:sz w:val="21"/>
        </w:rPr>
        <w:t>控制中心与主变电所</w:t>
      </w:r>
      <w:r>
        <w:rPr>
          <w:b/>
          <w:w w:val="99"/>
          <w:sz w:val="21"/>
        </w:rPr>
        <w:t xml:space="preserve"> </w:t>
      </w:r>
    </w:p>
    <w:p w14:paraId="618A0377" w14:textId="77777777" w:rsidR="00A71EEF" w:rsidRDefault="00A71EEF">
      <w:pPr>
        <w:pStyle w:val="a3"/>
        <w:rPr>
          <w:b/>
          <w:sz w:val="18"/>
        </w:rPr>
      </w:pPr>
    </w:p>
    <w:p w14:paraId="06B3E984" w14:textId="77777777" w:rsidR="00A71EEF" w:rsidRDefault="0081115D">
      <w:pPr>
        <w:pStyle w:val="a4"/>
        <w:numPr>
          <w:ilvl w:val="2"/>
          <w:numId w:val="55"/>
        </w:numPr>
        <w:tabs>
          <w:tab w:val="left" w:pos="1371"/>
        </w:tabs>
        <w:spacing w:line="446" w:lineRule="auto"/>
        <w:ind w:left="418" w:right="1604" w:firstLine="422"/>
        <w:rPr>
          <w:sz w:val="21"/>
        </w:rPr>
      </w:pPr>
      <w:r>
        <w:rPr>
          <w:spacing w:val="-3"/>
          <w:sz w:val="21"/>
        </w:rPr>
        <w:t>中央控制室应远离电源室、隔离变室、高压配电室等火灾危险性大的房间，中央控制室内不得穿越与指挥调度无关的管线。</w:t>
      </w:r>
      <w:r>
        <w:rPr>
          <w:sz w:val="21"/>
        </w:rPr>
        <w:t xml:space="preserve"> </w:t>
      </w:r>
    </w:p>
    <w:p w14:paraId="3F12150A" w14:textId="77777777" w:rsidR="00A71EEF" w:rsidRDefault="0081115D">
      <w:pPr>
        <w:pStyle w:val="a4"/>
        <w:numPr>
          <w:ilvl w:val="2"/>
          <w:numId w:val="55"/>
        </w:numPr>
        <w:tabs>
          <w:tab w:val="left" w:pos="1371"/>
        </w:tabs>
        <w:ind w:left="1370" w:hanging="531"/>
        <w:rPr>
          <w:sz w:val="21"/>
        </w:rPr>
      </w:pPr>
      <w:r>
        <w:rPr>
          <w:spacing w:val="-3"/>
          <w:sz w:val="21"/>
        </w:rPr>
        <w:t>设置在应急指挥室与中央控制室之间的观察窗，应采用甲级防火玻璃窗。</w:t>
      </w:r>
      <w:r>
        <w:rPr>
          <w:spacing w:val="-3"/>
          <w:sz w:val="21"/>
        </w:rPr>
        <w:t xml:space="preserve"> </w:t>
      </w:r>
    </w:p>
    <w:p w14:paraId="33BE014B" w14:textId="77777777" w:rsidR="00A71EEF" w:rsidRDefault="00A71EEF">
      <w:pPr>
        <w:pStyle w:val="a3"/>
        <w:rPr>
          <w:sz w:val="18"/>
        </w:rPr>
      </w:pPr>
    </w:p>
    <w:p w14:paraId="1B4459DD" w14:textId="77777777" w:rsidR="00A71EEF" w:rsidRDefault="0081115D">
      <w:pPr>
        <w:pStyle w:val="a4"/>
        <w:numPr>
          <w:ilvl w:val="2"/>
          <w:numId w:val="55"/>
        </w:numPr>
        <w:tabs>
          <w:tab w:val="left" w:pos="1371"/>
        </w:tabs>
        <w:spacing w:line="446" w:lineRule="auto"/>
        <w:ind w:left="418" w:right="1604" w:firstLine="422"/>
        <w:rPr>
          <w:sz w:val="21"/>
        </w:rPr>
      </w:pPr>
      <w:r>
        <w:rPr>
          <w:spacing w:val="-5"/>
          <w:sz w:val="21"/>
        </w:rPr>
        <w:t>控制中心的设备用房宜集中布置，并应采用耐火极限不低于</w:t>
      </w:r>
      <w:r>
        <w:rPr>
          <w:spacing w:val="-5"/>
          <w:sz w:val="21"/>
        </w:rPr>
        <w:t xml:space="preserve"> </w:t>
      </w:r>
      <w:r>
        <w:rPr>
          <w:sz w:val="21"/>
        </w:rPr>
        <w:t>2.00h</w:t>
      </w:r>
      <w:r>
        <w:rPr>
          <w:spacing w:val="-8"/>
          <w:sz w:val="21"/>
        </w:rPr>
        <w:t xml:space="preserve"> </w:t>
      </w:r>
      <w:r>
        <w:rPr>
          <w:spacing w:val="-8"/>
          <w:sz w:val="21"/>
        </w:rPr>
        <w:t>的防火隔墙和耐</w:t>
      </w:r>
      <w:r>
        <w:rPr>
          <w:spacing w:val="-12"/>
          <w:sz w:val="21"/>
        </w:rPr>
        <w:t>火极限不低于</w:t>
      </w:r>
      <w:r>
        <w:rPr>
          <w:spacing w:val="-12"/>
          <w:sz w:val="21"/>
        </w:rPr>
        <w:t xml:space="preserve"> </w:t>
      </w:r>
      <w:r>
        <w:rPr>
          <w:sz w:val="21"/>
        </w:rPr>
        <w:t>1.50h</w:t>
      </w:r>
      <w:r>
        <w:rPr>
          <w:spacing w:val="-9"/>
          <w:sz w:val="21"/>
        </w:rPr>
        <w:t xml:space="preserve"> </w:t>
      </w:r>
      <w:r>
        <w:rPr>
          <w:spacing w:val="-9"/>
          <w:sz w:val="21"/>
        </w:rPr>
        <w:t>的楼板与其他部位进行分隔。</w:t>
      </w:r>
      <w:r>
        <w:rPr>
          <w:sz w:val="21"/>
        </w:rPr>
        <w:t xml:space="preserve"> </w:t>
      </w:r>
    </w:p>
    <w:p w14:paraId="28382EEE" w14:textId="77777777" w:rsidR="00A71EEF" w:rsidRDefault="0081115D">
      <w:pPr>
        <w:pStyle w:val="a4"/>
        <w:numPr>
          <w:ilvl w:val="2"/>
          <w:numId w:val="55"/>
        </w:numPr>
        <w:tabs>
          <w:tab w:val="left" w:pos="1371"/>
        </w:tabs>
        <w:spacing w:line="446" w:lineRule="auto"/>
        <w:ind w:left="418" w:right="1604" w:firstLine="422"/>
        <w:rPr>
          <w:sz w:val="21"/>
        </w:rPr>
      </w:pPr>
      <w:r>
        <w:rPr>
          <w:spacing w:val="-3"/>
          <w:sz w:val="21"/>
        </w:rPr>
        <w:t>除直接开向室外的门外，变压器室、补偿装置室、蓄电池室、电缆夹层、配电装置室的门以及配电装置室中间隔墙上的门均应采用甲级防火门。</w:t>
      </w:r>
      <w:r>
        <w:rPr>
          <w:sz w:val="21"/>
        </w:rPr>
        <w:t xml:space="preserve"> </w:t>
      </w:r>
    </w:p>
    <w:p w14:paraId="0E6D2A6B" w14:textId="77777777" w:rsidR="00A71EEF" w:rsidRDefault="0081115D">
      <w:pPr>
        <w:pStyle w:val="a4"/>
        <w:numPr>
          <w:ilvl w:val="2"/>
          <w:numId w:val="55"/>
        </w:numPr>
        <w:tabs>
          <w:tab w:val="left" w:pos="1371"/>
        </w:tabs>
        <w:spacing w:line="267" w:lineRule="exact"/>
        <w:ind w:left="1370" w:hanging="531"/>
        <w:rPr>
          <w:sz w:val="21"/>
        </w:rPr>
      </w:pPr>
      <w:r>
        <w:rPr>
          <w:spacing w:val="-3"/>
          <w:sz w:val="21"/>
        </w:rPr>
        <w:t>主变电所的消防控制设备应设置在主变电所有人值守的控制室内。</w:t>
      </w:r>
      <w:r>
        <w:rPr>
          <w:sz w:val="21"/>
        </w:rPr>
        <w:t xml:space="preserve"> </w:t>
      </w:r>
    </w:p>
    <w:p w14:paraId="0D010911" w14:textId="77777777" w:rsidR="00A71EEF" w:rsidRDefault="00A71EEF">
      <w:pPr>
        <w:pStyle w:val="a3"/>
        <w:spacing w:before="1"/>
        <w:rPr>
          <w:sz w:val="18"/>
        </w:rPr>
      </w:pPr>
    </w:p>
    <w:p w14:paraId="7BC57B82" w14:textId="77777777" w:rsidR="00A71EEF" w:rsidRDefault="0081115D">
      <w:pPr>
        <w:pStyle w:val="a4"/>
        <w:numPr>
          <w:ilvl w:val="1"/>
          <w:numId w:val="55"/>
        </w:numPr>
        <w:tabs>
          <w:tab w:val="left" w:pos="1159"/>
        </w:tabs>
        <w:spacing w:before="1"/>
        <w:ind w:hanging="319"/>
        <w:rPr>
          <w:sz w:val="21"/>
        </w:rPr>
      </w:pPr>
      <w:r>
        <w:rPr>
          <w:spacing w:val="-3"/>
          <w:sz w:val="21"/>
        </w:rPr>
        <w:t>车辆基地</w:t>
      </w:r>
      <w:r>
        <w:rPr>
          <w:sz w:val="21"/>
        </w:rPr>
        <w:t xml:space="preserve"> </w:t>
      </w:r>
    </w:p>
    <w:p w14:paraId="62201C1E" w14:textId="77777777" w:rsidR="00A71EEF" w:rsidRDefault="00A71EEF">
      <w:pPr>
        <w:pStyle w:val="a3"/>
        <w:spacing w:before="12"/>
        <w:rPr>
          <w:sz w:val="17"/>
        </w:rPr>
      </w:pPr>
    </w:p>
    <w:p w14:paraId="04E38857" w14:textId="77777777" w:rsidR="00A71EEF" w:rsidRDefault="0081115D">
      <w:pPr>
        <w:pStyle w:val="a4"/>
        <w:numPr>
          <w:ilvl w:val="2"/>
          <w:numId w:val="55"/>
        </w:numPr>
        <w:tabs>
          <w:tab w:val="left" w:pos="1370"/>
        </w:tabs>
        <w:ind w:hanging="530"/>
        <w:rPr>
          <w:sz w:val="21"/>
        </w:rPr>
      </w:pPr>
      <w:r>
        <w:rPr>
          <w:spacing w:val="-3"/>
          <w:sz w:val="21"/>
        </w:rPr>
        <w:t>油漆库及其预处理库宜独立建造，且应符合下列规定：</w:t>
      </w:r>
      <w:r>
        <w:rPr>
          <w:sz w:val="21"/>
        </w:rPr>
        <w:t xml:space="preserve"> </w:t>
      </w:r>
    </w:p>
    <w:p w14:paraId="27F21220" w14:textId="77777777" w:rsidR="00A71EEF" w:rsidRDefault="00A71EEF">
      <w:pPr>
        <w:pStyle w:val="a3"/>
        <w:rPr>
          <w:sz w:val="18"/>
        </w:rPr>
      </w:pPr>
    </w:p>
    <w:p w14:paraId="0CAE2906" w14:textId="77777777" w:rsidR="00A71EEF" w:rsidRDefault="0081115D">
      <w:pPr>
        <w:pStyle w:val="a3"/>
        <w:ind w:left="838"/>
      </w:pPr>
      <w:r>
        <w:t>油漆存放间、漆工间、干燥间等房间应采用防火墙和甲级防火门与其他部位分隔；</w:t>
      </w:r>
      <w:r>
        <w:t xml:space="preserve"> </w:t>
      </w:r>
    </w:p>
    <w:p w14:paraId="10688507" w14:textId="77777777" w:rsidR="00A71EEF" w:rsidRDefault="00A71EEF">
      <w:pPr>
        <w:pStyle w:val="a3"/>
        <w:spacing w:before="2"/>
        <w:rPr>
          <w:sz w:val="18"/>
        </w:rPr>
      </w:pPr>
    </w:p>
    <w:p w14:paraId="14C419B7" w14:textId="77777777" w:rsidR="00A71EEF" w:rsidRDefault="0081115D">
      <w:pPr>
        <w:pStyle w:val="a3"/>
        <w:spacing w:line="446" w:lineRule="auto"/>
        <w:ind w:left="838" w:right="1714"/>
      </w:pPr>
      <w:r>
        <w:rPr>
          <w:spacing w:val="-3"/>
        </w:rPr>
        <w:t>油漆库及其预处理库的屋顶或门、窗的泄压面积应符合要求，应采用不发火花的地面；</w:t>
      </w:r>
      <w:r>
        <w:rPr>
          <w:spacing w:val="-3"/>
        </w:rPr>
        <w:t xml:space="preserve"> </w:t>
      </w:r>
      <w:r>
        <w:rPr>
          <w:spacing w:val="-3"/>
        </w:rPr>
        <w:t>油漆库及其预处理库内不应设办公室、休息室或更衣室等用房；</w:t>
      </w:r>
      <w:r>
        <w:t xml:space="preserve"> </w:t>
      </w:r>
    </w:p>
    <w:p w14:paraId="421B2F7D" w14:textId="77777777" w:rsidR="00A71EEF" w:rsidRDefault="0081115D">
      <w:pPr>
        <w:pStyle w:val="a3"/>
        <w:spacing w:line="267" w:lineRule="exact"/>
        <w:ind w:left="838"/>
      </w:pPr>
      <w:r>
        <w:rPr>
          <w:spacing w:val="-3"/>
        </w:rPr>
        <w:t>油漆库及其预处理库中的设备坑内应采取降低气雾浓度的措施；</w:t>
      </w:r>
      <w:r>
        <w:t xml:space="preserve"> </w:t>
      </w:r>
    </w:p>
    <w:p w14:paraId="27F9961E" w14:textId="77777777" w:rsidR="00A71EEF" w:rsidRDefault="00A71EEF">
      <w:pPr>
        <w:pStyle w:val="a3"/>
        <w:spacing w:before="1"/>
        <w:rPr>
          <w:sz w:val="18"/>
        </w:rPr>
      </w:pPr>
    </w:p>
    <w:p w14:paraId="2D00D038" w14:textId="77777777" w:rsidR="00A71EEF" w:rsidRDefault="0081115D">
      <w:pPr>
        <w:pStyle w:val="a3"/>
        <w:spacing w:before="1" w:line="446" w:lineRule="auto"/>
        <w:ind w:left="418" w:right="1609" w:firstLine="419"/>
      </w:pPr>
      <w:r>
        <w:t>当油漆库与联合检修库合建时，应布置在联合检修库外墙一侧，并应采用无门窗洞口的防火墙与联合检修库分隔。</w:t>
      </w:r>
      <w:r>
        <w:t xml:space="preserve"> </w:t>
      </w:r>
    </w:p>
    <w:p w14:paraId="1340CD96" w14:textId="77777777" w:rsidR="00A71EEF" w:rsidRDefault="0081115D">
      <w:pPr>
        <w:pStyle w:val="a4"/>
        <w:numPr>
          <w:ilvl w:val="2"/>
          <w:numId w:val="55"/>
        </w:numPr>
        <w:tabs>
          <w:tab w:val="left" w:pos="1371"/>
        </w:tabs>
        <w:spacing w:line="446" w:lineRule="auto"/>
        <w:ind w:left="418" w:right="1604" w:firstLine="422"/>
        <w:jc w:val="both"/>
        <w:rPr>
          <w:sz w:val="21"/>
        </w:rPr>
      </w:pPr>
      <w:r>
        <w:rPr>
          <w:spacing w:val="-3"/>
          <w:sz w:val="21"/>
        </w:rPr>
        <w:t>酸性蓄电池充电间宜独立建造，不应与值班室或其他经常有人的场所相邻布置；当与其他建筑合建时，应靠外墙单层设置，并应采用防火墙与其他部位隔开，当防火墙上必须设置门、窗时，应采用甲级防火门、窗。</w:t>
      </w:r>
      <w:r>
        <w:rPr>
          <w:sz w:val="21"/>
        </w:rPr>
        <w:t xml:space="preserve"> </w:t>
      </w:r>
    </w:p>
    <w:p w14:paraId="381BB3C8" w14:textId="77777777" w:rsidR="00A71EEF" w:rsidRDefault="0081115D">
      <w:pPr>
        <w:pStyle w:val="a4"/>
        <w:numPr>
          <w:ilvl w:val="2"/>
          <w:numId w:val="55"/>
        </w:numPr>
        <w:tabs>
          <w:tab w:val="left" w:pos="1370"/>
        </w:tabs>
        <w:spacing w:line="268" w:lineRule="exact"/>
        <w:ind w:hanging="530"/>
        <w:rPr>
          <w:sz w:val="21"/>
        </w:rPr>
      </w:pPr>
      <w:r>
        <w:rPr>
          <w:spacing w:val="-3"/>
          <w:sz w:val="21"/>
        </w:rPr>
        <w:t>运用库内的运转办</w:t>
      </w:r>
      <w:r>
        <w:rPr>
          <w:spacing w:val="-3"/>
          <w:sz w:val="21"/>
        </w:rPr>
        <w:t>公区宜单独划分防火分区。</w:t>
      </w:r>
      <w:r>
        <w:rPr>
          <w:spacing w:val="-3"/>
          <w:sz w:val="21"/>
        </w:rPr>
        <w:t xml:space="preserve"> </w:t>
      </w:r>
    </w:p>
    <w:p w14:paraId="19CCD3A7" w14:textId="77777777" w:rsidR="00A71EEF" w:rsidRDefault="00A71EEF">
      <w:pPr>
        <w:pStyle w:val="a3"/>
        <w:spacing w:before="12"/>
        <w:rPr>
          <w:sz w:val="17"/>
        </w:rPr>
      </w:pPr>
    </w:p>
    <w:p w14:paraId="61E078E5" w14:textId="77777777" w:rsidR="00A71EEF" w:rsidRDefault="0081115D">
      <w:pPr>
        <w:pStyle w:val="a4"/>
        <w:numPr>
          <w:ilvl w:val="2"/>
          <w:numId w:val="55"/>
        </w:numPr>
        <w:tabs>
          <w:tab w:val="left" w:pos="1370"/>
        </w:tabs>
        <w:spacing w:line="446" w:lineRule="auto"/>
        <w:ind w:left="418" w:right="1558" w:firstLine="422"/>
        <w:jc w:val="both"/>
        <w:rPr>
          <w:sz w:val="21"/>
        </w:rPr>
      </w:pPr>
      <w:r>
        <w:rPr>
          <w:spacing w:val="-3"/>
          <w:sz w:val="21"/>
        </w:rPr>
        <w:t>地下停车库、列检库、停车列检库、运用库和联合检修库等场所应单独划分防火分</w:t>
      </w:r>
      <w:r>
        <w:rPr>
          <w:spacing w:val="-3"/>
          <w:sz w:val="21"/>
        </w:rPr>
        <w:t xml:space="preserve"> </w:t>
      </w:r>
      <w:r>
        <w:rPr>
          <w:spacing w:val="-4"/>
          <w:sz w:val="21"/>
        </w:rPr>
        <w:t>区，每个防火分区的最大允许建筑面积不应大于</w:t>
      </w:r>
      <w:r>
        <w:rPr>
          <w:spacing w:val="-4"/>
          <w:sz w:val="21"/>
        </w:rPr>
        <w:t xml:space="preserve"> </w:t>
      </w:r>
      <w:r>
        <w:rPr>
          <w:sz w:val="21"/>
        </w:rPr>
        <w:t>6000m²</w:t>
      </w:r>
      <w:r>
        <w:rPr>
          <w:spacing w:val="-3"/>
          <w:sz w:val="21"/>
        </w:rPr>
        <w:t>；当设置自动灭火系统时，每个防火分区的最大允许建筑面积不限。</w:t>
      </w:r>
      <w:r>
        <w:rPr>
          <w:sz w:val="21"/>
        </w:rPr>
        <w:t xml:space="preserve"> </w:t>
      </w:r>
    </w:p>
    <w:p w14:paraId="7B8AD11D" w14:textId="77777777" w:rsidR="00A71EEF" w:rsidRDefault="00A71EEF">
      <w:pPr>
        <w:spacing w:line="446" w:lineRule="auto"/>
        <w:jc w:val="both"/>
        <w:rPr>
          <w:sz w:val="21"/>
        </w:rPr>
        <w:sectPr w:rsidR="00A71EEF">
          <w:pgSz w:w="11910" w:h="16850"/>
          <w:pgMar w:top="1220" w:right="0" w:bottom="1420" w:left="1260" w:header="0" w:footer="1239" w:gutter="0"/>
          <w:cols w:space="720"/>
        </w:sectPr>
      </w:pPr>
    </w:p>
    <w:p w14:paraId="17854345" w14:textId="77777777" w:rsidR="00A71EEF" w:rsidRDefault="0081115D">
      <w:pPr>
        <w:pStyle w:val="a4"/>
        <w:numPr>
          <w:ilvl w:val="2"/>
          <w:numId w:val="55"/>
        </w:numPr>
        <w:tabs>
          <w:tab w:val="left" w:pos="1370"/>
        </w:tabs>
        <w:spacing w:before="47" w:line="446" w:lineRule="auto"/>
        <w:ind w:left="418" w:right="1604" w:firstLine="422"/>
        <w:rPr>
          <w:sz w:val="21"/>
        </w:rPr>
      </w:pPr>
      <w:r>
        <w:rPr>
          <w:spacing w:val="-3"/>
          <w:sz w:val="21"/>
        </w:rPr>
        <w:t>地上停车库、列检库、停车列检库、运用库和联合检修库等场所的防火分区划分应符合现行国家标准《建筑设计防火规范》</w:t>
      </w:r>
      <w:r>
        <w:rPr>
          <w:sz w:val="21"/>
        </w:rPr>
        <w:t>GB</w:t>
      </w:r>
      <w:r>
        <w:rPr>
          <w:spacing w:val="1"/>
          <w:sz w:val="21"/>
        </w:rPr>
        <w:t xml:space="preserve"> </w:t>
      </w:r>
      <w:r>
        <w:rPr>
          <w:sz w:val="21"/>
        </w:rPr>
        <w:t>50016</w:t>
      </w:r>
      <w:r>
        <w:rPr>
          <w:spacing w:val="-13"/>
          <w:sz w:val="21"/>
        </w:rPr>
        <w:t xml:space="preserve"> </w:t>
      </w:r>
      <w:r>
        <w:rPr>
          <w:spacing w:val="-13"/>
          <w:sz w:val="21"/>
        </w:rPr>
        <w:t>的规定。</w:t>
      </w:r>
      <w:r>
        <w:rPr>
          <w:sz w:val="21"/>
        </w:rPr>
        <w:t xml:space="preserve"> </w:t>
      </w:r>
    </w:p>
    <w:p w14:paraId="6E7259BF" w14:textId="77777777" w:rsidR="00A71EEF" w:rsidRDefault="0081115D">
      <w:pPr>
        <w:pStyle w:val="4"/>
        <w:spacing w:line="275" w:lineRule="exact"/>
      </w:pPr>
      <w:r>
        <w:t xml:space="preserve">5 </w:t>
      </w:r>
      <w:r>
        <w:t>安全疏散</w:t>
      </w:r>
      <w:r>
        <w:rPr>
          <w:w w:val="99"/>
        </w:rPr>
        <w:t xml:space="preserve"> </w:t>
      </w:r>
    </w:p>
    <w:p w14:paraId="33E9F09E" w14:textId="77777777" w:rsidR="00A71EEF" w:rsidRDefault="00A71EEF">
      <w:pPr>
        <w:pStyle w:val="a3"/>
        <w:spacing w:before="6"/>
        <w:rPr>
          <w:b/>
          <w:sz w:val="17"/>
        </w:rPr>
      </w:pPr>
    </w:p>
    <w:p w14:paraId="30C0BD88" w14:textId="77777777" w:rsidR="00A71EEF" w:rsidRDefault="0081115D">
      <w:pPr>
        <w:pStyle w:val="a4"/>
        <w:numPr>
          <w:ilvl w:val="1"/>
          <w:numId w:val="54"/>
        </w:numPr>
        <w:tabs>
          <w:tab w:val="left" w:pos="1159"/>
        </w:tabs>
        <w:spacing w:before="1"/>
        <w:ind w:hanging="319"/>
        <w:rPr>
          <w:sz w:val="21"/>
        </w:rPr>
      </w:pPr>
      <w:r>
        <w:rPr>
          <w:spacing w:val="-3"/>
          <w:sz w:val="21"/>
        </w:rPr>
        <w:t>一般规定</w:t>
      </w:r>
      <w:r>
        <w:rPr>
          <w:sz w:val="21"/>
        </w:rPr>
        <w:t xml:space="preserve"> </w:t>
      </w:r>
    </w:p>
    <w:p w14:paraId="6D33E5F7" w14:textId="77777777" w:rsidR="00A71EEF" w:rsidRDefault="00A71EEF">
      <w:pPr>
        <w:pStyle w:val="a3"/>
        <w:spacing w:before="12"/>
        <w:rPr>
          <w:sz w:val="17"/>
        </w:rPr>
      </w:pPr>
    </w:p>
    <w:p w14:paraId="7B0A3395" w14:textId="77777777" w:rsidR="00A71EEF" w:rsidRDefault="0081115D">
      <w:pPr>
        <w:pStyle w:val="a4"/>
        <w:numPr>
          <w:ilvl w:val="2"/>
          <w:numId w:val="54"/>
        </w:numPr>
        <w:tabs>
          <w:tab w:val="left" w:pos="1370"/>
        </w:tabs>
        <w:spacing w:line="446" w:lineRule="auto"/>
        <w:ind w:right="1604" w:firstLine="422"/>
        <w:jc w:val="both"/>
        <w:rPr>
          <w:sz w:val="21"/>
        </w:rPr>
      </w:pPr>
      <w:r>
        <w:rPr>
          <w:spacing w:val="-3"/>
          <w:sz w:val="21"/>
        </w:rPr>
        <w:t>站台至站厅或其他安全区域的疏散楼梯、自动扶梯和疏散通道的通过能力，应保证在远期或客流控制期中超高峰小时最大客流量时，一列进站列车所载乘客及站台上的候车乘客</w:t>
      </w:r>
      <w:r>
        <w:rPr>
          <w:spacing w:val="-19"/>
          <w:sz w:val="21"/>
        </w:rPr>
        <w:t>能在</w:t>
      </w:r>
      <w:r>
        <w:rPr>
          <w:spacing w:val="-19"/>
          <w:sz w:val="21"/>
        </w:rPr>
        <w:t xml:space="preserve"> </w:t>
      </w:r>
      <w:r>
        <w:rPr>
          <w:sz w:val="21"/>
        </w:rPr>
        <w:t>4min</w:t>
      </w:r>
      <w:r>
        <w:rPr>
          <w:spacing w:val="-12"/>
          <w:sz w:val="21"/>
        </w:rPr>
        <w:t xml:space="preserve"> </w:t>
      </w:r>
      <w:r>
        <w:rPr>
          <w:spacing w:val="-12"/>
          <w:sz w:val="21"/>
        </w:rPr>
        <w:t>内全部撤离站台，并应能在</w:t>
      </w:r>
      <w:r>
        <w:rPr>
          <w:spacing w:val="-12"/>
          <w:sz w:val="21"/>
        </w:rPr>
        <w:t xml:space="preserve"> </w:t>
      </w:r>
      <w:r>
        <w:rPr>
          <w:sz w:val="21"/>
        </w:rPr>
        <w:t>6min</w:t>
      </w:r>
      <w:r>
        <w:rPr>
          <w:spacing w:val="-9"/>
          <w:sz w:val="21"/>
        </w:rPr>
        <w:t xml:space="preserve"> </w:t>
      </w:r>
      <w:r>
        <w:rPr>
          <w:spacing w:val="-9"/>
          <w:sz w:val="21"/>
        </w:rPr>
        <w:t>内全部疏散至站厅公共区或其他安全区域。</w:t>
      </w:r>
      <w:r>
        <w:rPr>
          <w:sz w:val="21"/>
        </w:rPr>
        <w:t xml:space="preserve"> </w:t>
      </w:r>
    </w:p>
    <w:p w14:paraId="5169C8E6" w14:textId="77777777" w:rsidR="00A71EEF" w:rsidRDefault="0081115D">
      <w:pPr>
        <w:pStyle w:val="a4"/>
        <w:numPr>
          <w:ilvl w:val="2"/>
          <w:numId w:val="54"/>
        </w:numPr>
        <w:tabs>
          <w:tab w:val="left" w:pos="1371"/>
        </w:tabs>
        <w:spacing w:line="268" w:lineRule="exact"/>
        <w:ind w:left="1370" w:hanging="531"/>
        <w:rPr>
          <w:sz w:val="21"/>
        </w:rPr>
      </w:pPr>
      <w:r>
        <w:rPr>
          <w:spacing w:val="-3"/>
          <w:sz w:val="21"/>
        </w:rPr>
        <w:t>乘客全部撤离站台的时间应满足下式要求：</w:t>
      </w:r>
      <w:r>
        <w:rPr>
          <w:sz w:val="21"/>
        </w:rPr>
        <w:t xml:space="preserve"> </w:t>
      </w:r>
    </w:p>
    <w:p w14:paraId="624CFD70" w14:textId="77777777" w:rsidR="00A71EEF" w:rsidRDefault="0081115D">
      <w:pPr>
        <w:pStyle w:val="a3"/>
        <w:spacing w:before="11"/>
      </w:pPr>
      <w:r>
        <w:rPr>
          <w:noProof/>
        </w:rPr>
        <w:drawing>
          <wp:anchor distT="0" distB="0" distL="0" distR="0" simplePos="0" relativeHeight="251743744" behindDoc="0" locked="0" layoutInCell="1" allowOverlap="1" wp14:anchorId="756C48BE" wp14:editId="562F9F94">
            <wp:simplePos x="0" y="0"/>
            <wp:positionH relativeFrom="page">
              <wp:posOffset>1427413</wp:posOffset>
            </wp:positionH>
            <wp:positionV relativeFrom="paragraph">
              <wp:posOffset>202913</wp:posOffset>
            </wp:positionV>
            <wp:extent cx="4864364" cy="528066"/>
            <wp:effectExtent l="0" t="0" r="0" b="0"/>
            <wp:wrapTopAndBottom/>
            <wp:docPr id="791" name="image4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 name="image464.jpeg"/>
                    <pic:cNvPicPr/>
                  </pic:nvPicPr>
                  <pic:blipFill>
                    <a:blip r:embed="rId579" cstate="print"/>
                    <a:stretch>
                      <a:fillRect/>
                    </a:stretch>
                  </pic:blipFill>
                  <pic:spPr>
                    <a:xfrm>
                      <a:off x="0" y="0"/>
                      <a:ext cx="4864364" cy="528066"/>
                    </a:xfrm>
                    <a:prstGeom prst="rect">
                      <a:avLst/>
                    </a:prstGeom>
                  </pic:spPr>
                </pic:pic>
              </a:graphicData>
            </a:graphic>
          </wp:anchor>
        </w:drawing>
      </w:r>
    </w:p>
    <w:p w14:paraId="3EA3A261" w14:textId="77777777" w:rsidR="00A71EEF" w:rsidRDefault="00A71EEF">
      <w:pPr>
        <w:pStyle w:val="a3"/>
        <w:rPr>
          <w:sz w:val="20"/>
        </w:rPr>
      </w:pPr>
    </w:p>
    <w:p w14:paraId="26994446" w14:textId="77777777" w:rsidR="00A71EEF" w:rsidRDefault="00A71EEF">
      <w:pPr>
        <w:pStyle w:val="a3"/>
        <w:rPr>
          <w:sz w:val="20"/>
        </w:rPr>
      </w:pPr>
    </w:p>
    <w:p w14:paraId="60DCED85" w14:textId="77777777" w:rsidR="00A71EEF" w:rsidRDefault="0081115D">
      <w:pPr>
        <w:pStyle w:val="a3"/>
        <w:spacing w:before="147"/>
        <w:ind w:left="838"/>
      </w:pPr>
      <w:r>
        <w:rPr>
          <w:position w:val="1"/>
        </w:rPr>
        <w:t>式中：</w:t>
      </w:r>
      <w:r>
        <w:rPr>
          <w:i/>
          <w:position w:val="1"/>
          <w:sz w:val="22"/>
        </w:rPr>
        <w:t>Q</w:t>
      </w:r>
      <w:r>
        <w:rPr>
          <w:sz w:val="11"/>
        </w:rPr>
        <w:t>1</w:t>
      </w:r>
      <w:r>
        <w:rPr>
          <w:position w:val="1"/>
        </w:rPr>
        <w:t>——</w:t>
      </w:r>
      <w:r>
        <w:rPr>
          <w:position w:val="1"/>
        </w:rPr>
        <w:t>远期或客流控制期中超高峰小时最大客流量时一列进站列车的载客人数</w:t>
      </w:r>
    </w:p>
    <w:p w14:paraId="1690FB15" w14:textId="77777777" w:rsidR="00A71EEF" w:rsidRDefault="00A71EEF">
      <w:pPr>
        <w:pStyle w:val="a3"/>
        <w:spacing w:before="12"/>
        <w:rPr>
          <w:sz w:val="17"/>
        </w:rPr>
      </w:pPr>
    </w:p>
    <w:p w14:paraId="52FD2075" w14:textId="77777777" w:rsidR="00A71EEF" w:rsidRDefault="0081115D">
      <w:pPr>
        <w:pStyle w:val="a3"/>
        <w:ind w:left="418"/>
      </w:pPr>
      <w:r>
        <w:t>（人）；</w:t>
      </w:r>
      <w:r>
        <w:t xml:space="preserve"> </w:t>
      </w:r>
    </w:p>
    <w:p w14:paraId="53D2FB73" w14:textId="77777777" w:rsidR="00A71EEF" w:rsidRDefault="00A71EEF">
      <w:pPr>
        <w:pStyle w:val="a3"/>
        <w:spacing w:before="2"/>
        <w:rPr>
          <w:sz w:val="17"/>
        </w:rPr>
      </w:pPr>
    </w:p>
    <w:p w14:paraId="60054789" w14:textId="77777777" w:rsidR="00A71EEF" w:rsidRDefault="0081115D">
      <w:pPr>
        <w:pStyle w:val="a3"/>
        <w:spacing w:before="1" w:line="424" w:lineRule="auto"/>
        <w:ind w:left="838" w:right="2717"/>
        <w:rPr>
          <w:b/>
        </w:rPr>
      </w:pPr>
      <w:r>
        <w:rPr>
          <w:i/>
          <w:position w:val="1"/>
          <w:sz w:val="22"/>
        </w:rPr>
        <w:t>Q</w:t>
      </w:r>
      <w:r>
        <w:rPr>
          <w:sz w:val="11"/>
        </w:rPr>
        <w:t>2</w:t>
      </w:r>
      <w:r>
        <w:rPr>
          <w:position w:val="1"/>
        </w:rPr>
        <w:t>——</w:t>
      </w:r>
      <w:r>
        <w:rPr>
          <w:position w:val="1"/>
        </w:rPr>
        <w:t>远期或客流控制期中超高峰小时站台上的最大候车乘客人数（人）；</w:t>
      </w:r>
      <w:r>
        <w:rPr>
          <w:position w:val="1"/>
        </w:rPr>
        <w:t xml:space="preserve"> </w:t>
      </w:r>
      <w:r>
        <w:rPr>
          <w:i/>
          <w:position w:val="1"/>
          <w:sz w:val="22"/>
        </w:rPr>
        <w:t>A</w:t>
      </w:r>
      <w:r>
        <w:rPr>
          <w:sz w:val="11"/>
        </w:rPr>
        <w:t>1</w:t>
      </w:r>
      <w:r>
        <w:rPr>
          <w:position w:val="1"/>
        </w:rPr>
        <w:t>——</w:t>
      </w:r>
      <w:r>
        <w:rPr>
          <w:position w:val="1"/>
        </w:rPr>
        <w:t>一台自动扶梯的通过能力</w:t>
      </w:r>
      <w:r>
        <w:rPr>
          <w:position w:val="1"/>
        </w:rPr>
        <w:t>[</w:t>
      </w:r>
      <w:r>
        <w:rPr>
          <w:position w:val="1"/>
        </w:rPr>
        <w:t>人</w:t>
      </w:r>
      <w:r>
        <w:rPr>
          <w:position w:val="1"/>
        </w:rPr>
        <w:t>/</w:t>
      </w:r>
      <w:r>
        <w:rPr>
          <w:position w:val="1"/>
        </w:rPr>
        <w:t>（</w:t>
      </w:r>
      <w:r>
        <w:rPr>
          <w:position w:val="1"/>
        </w:rPr>
        <w:t>min·</w:t>
      </w:r>
      <w:r>
        <w:rPr>
          <w:position w:val="1"/>
        </w:rPr>
        <w:t>台）</w:t>
      </w:r>
      <w:r>
        <w:rPr>
          <w:position w:val="1"/>
        </w:rPr>
        <w:t>]</w:t>
      </w:r>
      <w:r>
        <w:rPr>
          <w:position w:val="1"/>
        </w:rPr>
        <w:t>；</w:t>
      </w:r>
      <w:r>
        <w:rPr>
          <w:b/>
          <w:w w:val="99"/>
          <w:position w:val="1"/>
        </w:rPr>
        <w:t xml:space="preserve"> </w:t>
      </w:r>
    </w:p>
    <w:p w14:paraId="45964E07" w14:textId="77777777" w:rsidR="00A71EEF" w:rsidRDefault="0081115D">
      <w:pPr>
        <w:pStyle w:val="a3"/>
        <w:spacing w:before="3" w:line="424" w:lineRule="auto"/>
        <w:ind w:left="838" w:right="4237"/>
      </w:pPr>
      <w:r>
        <w:rPr>
          <w:i/>
          <w:position w:val="1"/>
          <w:sz w:val="22"/>
        </w:rPr>
        <w:t>A</w:t>
      </w:r>
      <w:r>
        <w:rPr>
          <w:sz w:val="11"/>
        </w:rPr>
        <w:t>2</w:t>
      </w:r>
      <w:r>
        <w:rPr>
          <w:position w:val="1"/>
        </w:rPr>
        <w:t>——</w:t>
      </w:r>
      <w:r>
        <w:rPr>
          <w:position w:val="1"/>
        </w:rPr>
        <w:t>单位宽度疏散楼梯的通过能力</w:t>
      </w:r>
      <w:r>
        <w:rPr>
          <w:position w:val="1"/>
        </w:rPr>
        <w:t>[</w:t>
      </w:r>
      <w:r>
        <w:rPr>
          <w:position w:val="1"/>
        </w:rPr>
        <w:t>人</w:t>
      </w:r>
      <w:r>
        <w:rPr>
          <w:position w:val="1"/>
        </w:rPr>
        <w:t>/</w:t>
      </w:r>
      <w:r>
        <w:rPr>
          <w:position w:val="1"/>
        </w:rPr>
        <w:t>（</w:t>
      </w:r>
      <w:r>
        <w:rPr>
          <w:position w:val="1"/>
        </w:rPr>
        <w:t>min·m</w:t>
      </w:r>
      <w:r>
        <w:rPr>
          <w:position w:val="1"/>
        </w:rPr>
        <w:t>）</w:t>
      </w:r>
      <w:r>
        <w:rPr>
          <w:position w:val="1"/>
        </w:rPr>
        <w:t>]</w:t>
      </w:r>
      <w:r>
        <w:rPr>
          <w:position w:val="1"/>
        </w:rPr>
        <w:t>；</w:t>
      </w:r>
      <w:r>
        <w:rPr>
          <w:position w:val="1"/>
        </w:rPr>
        <w:t xml:space="preserve"> </w:t>
      </w:r>
      <w:r>
        <w:rPr>
          <w:i/>
          <w:sz w:val="22"/>
        </w:rPr>
        <w:t>N</w:t>
      </w:r>
      <w:r>
        <w:t>——</w:t>
      </w:r>
      <w:r>
        <w:t>用作疏散的自动扶梯的数量（台）；</w:t>
      </w:r>
      <w:r>
        <w:t xml:space="preserve"> </w:t>
      </w:r>
    </w:p>
    <w:p w14:paraId="323C34AA" w14:textId="77777777" w:rsidR="00A71EEF" w:rsidRDefault="0081115D">
      <w:pPr>
        <w:pStyle w:val="a3"/>
        <w:spacing w:before="1"/>
        <w:ind w:left="838"/>
      </w:pPr>
      <w:r>
        <w:rPr>
          <w:i/>
          <w:sz w:val="22"/>
        </w:rPr>
        <w:t>B</w:t>
      </w:r>
      <w:r>
        <w:t>——</w:t>
      </w:r>
      <w:r>
        <w:t>疏散楼梯的总宽度（</w:t>
      </w:r>
      <w:r>
        <w:t>m</w:t>
      </w:r>
      <w:r>
        <w:t>）（每组楼梯的宽度应按</w:t>
      </w:r>
      <w:r>
        <w:t xml:space="preserve"> 0.55m </w:t>
      </w:r>
      <w:r>
        <w:t>的整倍数计算）。</w:t>
      </w:r>
      <w:r>
        <w:t xml:space="preserve"> </w:t>
      </w:r>
    </w:p>
    <w:p w14:paraId="4ABD3A98" w14:textId="77777777" w:rsidR="00A71EEF" w:rsidRDefault="00A71EEF">
      <w:pPr>
        <w:pStyle w:val="a3"/>
        <w:spacing w:before="11"/>
        <w:rPr>
          <w:sz w:val="17"/>
        </w:rPr>
      </w:pPr>
    </w:p>
    <w:p w14:paraId="587DB514" w14:textId="77777777" w:rsidR="00A71EEF" w:rsidRDefault="0081115D">
      <w:pPr>
        <w:pStyle w:val="a4"/>
        <w:numPr>
          <w:ilvl w:val="2"/>
          <w:numId w:val="54"/>
        </w:numPr>
        <w:tabs>
          <w:tab w:val="left" w:pos="1371"/>
        </w:tabs>
        <w:spacing w:line="446" w:lineRule="auto"/>
        <w:ind w:right="1604" w:firstLine="422"/>
        <w:rPr>
          <w:sz w:val="21"/>
        </w:rPr>
      </w:pPr>
      <w:r>
        <w:rPr>
          <w:spacing w:val="-3"/>
          <w:sz w:val="21"/>
        </w:rPr>
        <w:t>在公共区付费区与非付费区之间的栅栏上应设置平开疏散门。自动检票机和疏散门的通过能力应满足下式要求：</w:t>
      </w:r>
      <w:r>
        <w:rPr>
          <w:sz w:val="21"/>
        </w:rPr>
        <w:t xml:space="preserve"> </w:t>
      </w:r>
    </w:p>
    <w:p w14:paraId="6998B4A1" w14:textId="77777777" w:rsidR="00A71EEF" w:rsidRDefault="00A71EEF">
      <w:pPr>
        <w:pStyle w:val="a3"/>
        <w:rPr>
          <w:sz w:val="20"/>
        </w:rPr>
      </w:pPr>
    </w:p>
    <w:p w14:paraId="225661B4" w14:textId="77777777" w:rsidR="00A71EEF" w:rsidRDefault="0081115D">
      <w:pPr>
        <w:pStyle w:val="a3"/>
        <w:spacing w:before="6"/>
        <w:rPr>
          <w:sz w:val="15"/>
        </w:rPr>
      </w:pPr>
      <w:r>
        <w:rPr>
          <w:noProof/>
        </w:rPr>
        <w:drawing>
          <wp:anchor distT="0" distB="0" distL="0" distR="0" simplePos="0" relativeHeight="251744768" behindDoc="0" locked="0" layoutInCell="1" allowOverlap="1" wp14:anchorId="7C09C2A9" wp14:editId="1D7DBBB1">
            <wp:simplePos x="0" y="0"/>
            <wp:positionH relativeFrom="page">
              <wp:posOffset>1066580</wp:posOffset>
            </wp:positionH>
            <wp:positionV relativeFrom="paragraph">
              <wp:posOffset>151010</wp:posOffset>
            </wp:positionV>
            <wp:extent cx="4637660" cy="339470"/>
            <wp:effectExtent l="0" t="0" r="0" b="0"/>
            <wp:wrapTopAndBottom/>
            <wp:docPr id="793" name="image4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 name="image465.jpeg"/>
                    <pic:cNvPicPr/>
                  </pic:nvPicPr>
                  <pic:blipFill>
                    <a:blip r:embed="rId580" cstate="print"/>
                    <a:stretch>
                      <a:fillRect/>
                    </a:stretch>
                  </pic:blipFill>
                  <pic:spPr>
                    <a:xfrm>
                      <a:off x="0" y="0"/>
                      <a:ext cx="4637660" cy="339470"/>
                    </a:xfrm>
                    <a:prstGeom prst="rect">
                      <a:avLst/>
                    </a:prstGeom>
                  </pic:spPr>
                </pic:pic>
              </a:graphicData>
            </a:graphic>
          </wp:anchor>
        </w:drawing>
      </w:r>
    </w:p>
    <w:p w14:paraId="66EEE85E" w14:textId="77777777" w:rsidR="00A71EEF" w:rsidRDefault="00A71EEF">
      <w:pPr>
        <w:pStyle w:val="a3"/>
        <w:rPr>
          <w:sz w:val="20"/>
        </w:rPr>
      </w:pPr>
    </w:p>
    <w:p w14:paraId="76553DE7" w14:textId="77777777" w:rsidR="00A71EEF" w:rsidRDefault="00A71EEF">
      <w:pPr>
        <w:pStyle w:val="a3"/>
        <w:spacing w:before="11"/>
        <w:rPr>
          <w:sz w:val="25"/>
        </w:rPr>
      </w:pPr>
    </w:p>
    <w:p w14:paraId="3F34CC5E" w14:textId="77777777" w:rsidR="00A71EEF" w:rsidRDefault="0081115D">
      <w:pPr>
        <w:pStyle w:val="a3"/>
        <w:spacing w:before="71" w:line="427" w:lineRule="auto"/>
        <w:ind w:left="838" w:right="4290"/>
      </w:pPr>
      <w:r>
        <w:rPr>
          <w:position w:val="1"/>
        </w:rPr>
        <w:t>式中：</w:t>
      </w:r>
      <w:r>
        <w:rPr>
          <w:i/>
          <w:position w:val="1"/>
          <w:sz w:val="22"/>
        </w:rPr>
        <w:t>A</w:t>
      </w:r>
      <w:r>
        <w:rPr>
          <w:sz w:val="11"/>
        </w:rPr>
        <w:t>3</w:t>
      </w:r>
      <w:r>
        <w:rPr>
          <w:spacing w:val="-3"/>
          <w:position w:val="1"/>
        </w:rPr>
        <w:t>——</w:t>
      </w:r>
      <w:r>
        <w:rPr>
          <w:spacing w:val="-3"/>
          <w:position w:val="1"/>
        </w:rPr>
        <w:t>自动检票机门常开时的通过能力</w:t>
      </w:r>
      <w:r>
        <w:rPr>
          <w:position w:val="1"/>
        </w:rPr>
        <w:t>（人</w:t>
      </w:r>
      <w:r>
        <w:rPr>
          <w:position w:val="1"/>
        </w:rPr>
        <w:t>/min</w:t>
      </w:r>
      <w:r>
        <w:rPr>
          <w:position w:val="1"/>
        </w:rPr>
        <w:t>）；</w:t>
      </w:r>
      <w:r>
        <w:rPr>
          <w:position w:val="1"/>
        </w:rPr>
        <w:t xml:space="preserve"> </w:t>
      </w:r>
      <w:r>
        <w:rPr>
          <w:i/>
          <w:position w:val="1"/>
          <w:sz w:val="22"/>
        </w:rPr>
        <w:t>A</w:t>
      </w:r>
      <w:r>
        <w:rPr>
          <w:sz w:val="11"/>
        </w:rPr>
        <w:t>4</w:t>
      </w:r>
      <w:r>
        <w:rPr>
          <w:spacing w:val="-3"/>
          <w:position w:val="1"/>
        </w:rPr>
        <w:t>——</w:t>
      </w:r>
      <w:r>
        <w:rPr>
          <w:spacing w:val="-3"/>
          <w:position w:val="1"/>
        </w:rPr>
        <w:t>单位宽度疏散门的通过能</w:t>
      </w:r>
      <w:r>
        <w:rPr>
          <w:spacing w:val="-3"/>
          <w:position w:val="1"/>
        </w:rPr>
        <w:t>力</w:t>
      </w:r>
      <w:r>
        <w:rPr>
          <w:spacing w:val="-3"/>
          <w:position w:val="1"/>
        </w:rPr>
        <w:t>[</w:t>
      </w:r>
      <w:r>
        <w:rPr>
          <w:spacing w:val="-3"/>
          <w:position w:val="1"/>
        </w:rPr>
        <w:t>人</w:t>
      </w:r>
      <w:r>
        <w:rPr>
          <w:position w:val="1"/>
        </w:rPr>
        <w:t>/</w:t>
      </w:r>
      <w:r>
        <w:rPr>
          <w:position w:val="1"/>
        </w:rPr>
        <w:t>（</w:t>
      </w:r>
      <w:r>
        <w:rPr>
          <w:position w:val="1"/>
        </w:rPr>
        <w:t>min·m</w:t>
      </w:r>
      <w:r>
        <w:rPr>
          <w:position w:val="1"/>
        </w:rPr>
        <w:t>）</w:t>
      </w:r>
      <w:r>
        <w:rPr>
          <w:position w:val="1"/>
        </w:rPr>
        <w:t>]</w:t>
      </w:r>
      <w:r>
        <w:rPr>
          <w:position w:val="1"/>
        </w:rPr>
        <w:t>；</w:t>
      </w:r>
      <w:r>
        <w:rPr>
          <w:position w:val="1"/>
        </w:rPr>
        <w:t xml:space="preserve"> </w:t>
      </w:r>
      <w:r>
        <w:t xml:space="preserve"> </w:t>
      </w:r>
      <w:r>
        <w:rPr>
          <w:i/>
          <w:sz w:val="22"/>
        </w:rPr>
        <w:t>L</w:t>
      </w:r>
      <w:r>
        <w:rPr>
          <w:spacing w:val="-3"/>
        </w:rPr>
        <w:t>——</w:t>
      </w:r>
      <w:r>
        <w:rPr>
          <w:spacing w:val="-3"/>
        </w:rPr>
        <w:t>疏散门的净宽度</w:t>
      </w:r>
      <w:r>
        <w:t>（</w:t>
      </w:r>
      <w:r>
        <w:t>m</w:t>
      </w:r>
      <w:r>
        <w:t>）（</w:t>
      </w:r>
      <w:r>
        <w:rPr>
          <w:spacing w:val="-26"/>
        </w:rPr>
        <w:t>按</w:t>
      </w:r>
      <w:r>
        <w:rPr>
          <w:spacing w:val="-26"/>
        </w:rPr>
        <w:t xml:space="preserve"> </w:t>
      </w:r>
      <w:r>
        <w:t>0.55m</w:t>
      </w:r>
      <w:r>
        <w:rPr>
          <w:spacing w:val="-10"/>
        </w:rPr>
        <w:t xml:space="preserve"> </w:t>
      </w:r>
      <w:r>
        <w:rPr>
          <w:spacing w:val="-10"/>
        </w:rPr>
        <w:t>的整倍数计算</w:t>
      </w:r>
      <w:r>
        <w:t>）</w:t>
      </w:r>
      <w:r>
        <w:rPr>
          <w:spacing w:val="-3"/>
        </w:rPr>
        <w:t>。</w:t>
      </w:r>
      <w:r>
        <w:t xml:space="preserve"> </w:t>
      </w:r>
    </w:p>
    <w:p w14:paraId="6790F8F4" w14:textId="77777777" w:rsidR="00A71EEF" w:rsidRDefault="00A71EEF">
      <w:pPr>
        <w:spacing w:line="427" w:lineRule="auto"/>
        <w:sectPr w:rsidR="00A71EEF">
          <w:pgSz w:w="11910" w:h="16850"/>
          <w:pgMar w:top="1220" w:right="0" w:bottom="1420" w:left="1260" w:header="0" w:footer="1239" w:gutter="0"/>
          <w:cols w:space="720"/>
        </w:sectPr>
      </w:pPr>
    </w:p>
    <w:p w14:paraId="3FAB9B6E" w14:textId="77777777" w:rsidR="00A71EEF" w:rsidRDefault="0081115D">
      <w:pPr>
        <w:pStyle w:val="a4"/>
        <w:numPr>
          <w:ilvl w:val="2"/>
          <w:numId w:val="54"/>
        </w:numPr>
        <w:tabs>
          <w:tab w:val="left" w:pos="1371"/>
        </w:tabs>
        <w:spacing w:before="47" w:line="446" w:lineRule="auto"/>
        <w:ind w:right="1450" w:firstLine="422"/>
        <w:rPr>
          <w:sz w:val="21"/>
        </w:rPr>
      </w:pPr>
      <w:r>
        <w:rPr>
          <w:spacing w:val="-6"/>
          <w:sz w:val="21"/>
        </w:rPr>
        <w:t>每个站厅公共区应至少设置</w:t>
      </w:r>
      <w:r>
        <w:rPr>
          <w:spacing w:val="-6"/>
          <w:sz w:val="21"/>
        </w:rPr>
        <w:t xml:space="preserve"> </w:t>
      </w:r>
      <w:r>
        <w:rPr>
          <w:sz w:val="21"/>
        </w:rPr>
        <w:t>2</w:t>
      </w:r>
      <w:r>
        <w:rPr>
          <w:spacing w:val="-8"/>
          <w:sz w:val="21"/>
        </w:rPr>
        <w:t xml:space="preserve"> </w:t>
      </w:r>
      <w:r>
        <w:rPr>
          <w:spacing w:val="-8"/>
          <w:sz w:val="21"/>
        </w:rPr>
        <w:t>个直通室外的安全出口。安全出口应分散布置，且相邻</w:t>
      </w:r>
      <w:r>
        <w:rPr>
          <w:spacing w:val="-5"/>
          <w:sz w:val="21"/>
        </w:rPr>
        <w:t>两个安全出口之间的最小水平距离不应小于</w:t>
      </w:r>
      <w:r>
        <w:rPr>
          <w:spacing w:val="-5"/>
          <w:sz w:val="21"/>
        </w:rPr>
        <w:t xml:space="preserve"> </w:t>
      </w:r>
      <w:r>
        <w:rPr>
          <w:sz w:val="21"/>
        </w:rPr>
        <w:t>20m</w:t>
      </w:r>
      <w:r>
        <w:rPr>
          <w:spacing w:val="-3"/>
          <w:sz w:val="21"/>
        </w:rPr>
        <w:t>。换乘车站共用一个站厅公共区时，站厅公共区</w:t>
      </w:r>
      <w:r>
        <w:rPr>
          <w:spacing w:val="-7"/>
          <w:sz w:val="21"/>
        </w:rPr>
        <w:t>的安全出口应按每条线不少于</w:t>
      </w:r>
      <w:r>
        <w:rPr>
          <w:spacing w:val="-7"/>
          <w:sz w:val="21"/>
        </w:rPr>
        <w:t xml:space="preserve"> </w:t>
      </w:r>
      <w:r>
        <w:rPr>
          <w:sz w:val="21"/>
        </w:rPr>
        <w:t>2</w:t>
      </w:r>
      <w:r>
        <w:rPr>
          <w:spacing w:val="-13"/>
          <w:sz w:val="21"/>
        </w:rPr>
        <w:t xml:space="preserve"> </w:t>
      </w:r>
      <w:r>
        <w:rPr>
          <w:spacing w:val="-13"/>
          <w:sz w:val="21"/>
        </w:rPr>
        <w:t>个设置。</w:t>
      </w:r>
      <w:r>
        <w:rPr>
          <w:sz w:val="21"/>
        </w:rPr>
        <w:t xml:space="preserve"> </w:t>
      </w:r>
    </w:p>
    <w:p w14:paraId="3576AF4A" w14:textId="77777777" w:rsidR="00A71EEF" w:rsidRDefault="0081115D">
      <w:pPr>
        <w:pStyle w:val="a4"/>
        <w:numPr>
          <w:ilvl w:val="2"/>
          <w:numId w:val="54"/>
        </w:numPr>
        <w:tabs>
          <w:tab w:val="left" w:pos="1371"/>
        </w:tabs>
        <w:spacing w:line="268" w:lineRule="exact"/>
        <w:ind w:left="1370" w:hanging="531"/>
        <w:rPr>
          <w:sz w:val="21"/>
        </w:rPr>
      </w:pPr>
      <w:r>
        <w:rPr>
          <w:spacing w:val="-5"/>
          <w:sz w:val="21"/>
        </w:rPr>
        <w:t>每个站台至站厅公共区的楼扶梯分组数量不宜少于列车编组数的</w:t>
      </w:r>
      <w:r>
        <w:rPr>
          <w:spacing w:val="-5"/>
          <w:sz w:val="21"/>
        </w:rPr>
        <w:t xml:space="preserve"> </w:t>
      </w:r>
      <w:r>
        <w:rPr>
          <w:sz w:val="21"/>
        </w:rPr>
        <w:t>1/3</w:t>
      </w:r>
      <w:r>
        <w:rPr>
          <w:spacing w:val="-10"/>
          <w:sz w:val="21"/>
        </w:rPr>
        <w:t>，且不得少于</w:t>
      </w:r>
      <w:r>
        <w:rPr>
          <w:spacing w:val="-10"/>
          <w:sz w:val="21"/>
        </w:rPr>
        <w:t xml:space="preserve"> </w:t>
      </w:r>
      <w:r>
        <w:rPr>
          <w:sz w:val="21"/>
        </w:rPr>
        <w:t>2</w:t>
      </w:r>
    </w:p>
    <w:p w14:paraId="252F8C0A" w14:textId="77777777" w:rsidR="00A71EEF" w:rsidRDefault="00A71EEF">
      <w:pPr>
        <w:pStyle w:val="a3"/>
        <w:rPr>
          <w:sz w:val="18"/>
        </w:rPr>
      </w:pPr>
    </w:p>
    <w:p w14:paraId="2C1C3386" w14:textId="77777777" w:rsidR="00A71EEF" w:rsidRDefault="0081115D">
      <w:pPr>
        <w:pStyle w:val="a3"/>
        <w:ind w:left="418"/>
      </w:pPr>
      <w:r>
        <w:t>个。</w:t>
      </w:r>
      <w:r>
        <w:t xml:space="preserve"> </w:t>
      </w:r>
    </w:p>
    <w:p w14:paraId="50F177FE" w14:textId="77777777" w:rsidR="00A71EEF" w:rsidRDefault="00A71EEF">
      <w:pPr>
        <w:pStyle w:val="a3"/>
        <w:spacing w:before="12"/>
        <w:rPr>
          <w:sz w:val="17"/>
        </w:rPr>
      </w:pPr>
    </w:p>
    <w:p w14:paraId="5A951CB8" w14:textId="77777777" w:rsidR="00A71EEF" w:rsidRDefault="0081115D">
      <w:pPr>
        <w:pStyle w:val="a4"/>
        <w:numPr>
          <w:ilvl w:val="2"/>
          <w:numId w:val="54"/>
        </w:numPr>
        <w:tabs>
          <w:tab w:val="left" w:pos="1370"/>
        </w:tabs>
        <w:ind w:left="1369" w:hanging="530"/>
        <w:rPr>
          <w:sz w:val="21"/>
        </w:rPr>
      </w:pPr>
      <w:r>
        <w:rPr>
          <w:spacing w:val="-3"/>
          <w:sz w:val="21"/>
        </w:rPr>
        <w:t>电梯、竖井爬梯、消防专用通道以及管理区的楼梯不得用作乘客的安全疏散设施。</w:t>
      </w:r>
      <w:r>
        <w:rPr>
          <w:sz w:val="21"/>
        </w:rPr>
        <w:t xml:space="preserve"> </w:t>
      </w:r>
    </w:p>
    <w:p w14:paraId="257BA9B2" w14:textId="77777777" w:rsidR="00A71EEF" w:rsidRDefault="00A71EEF">
      <w:pPr>
        <w:pStyle w:val="a3"/>
        <w:spacing w:before="2"/>
        <w:rPr>
          <w:sz w:val="18"/>
        </w:rPr>
      </w:pPr>
    </w:p>
    <w:p w14:paraId="1429C5E4" w14:textId="77777777" w:rsidR="00A71EEF" w:rsidRDefault="0081115D">
      <w:pPr>
        <w:pStyle w:val="a4"/>
        <w:numPr>
          <w:ilvl w:val="2"/>
          <w:numId w:val="54"/>
        </w:numPr>
        <w:tabs>
          <w:tab w:val="left" w:pos="1370"/>
        </w:tabs>
        <w:spacing w:line="446" w:lineRule="auto"/>
        <w:ind w:right="1604" w:firstLine="422"/>
        <w:rPr>
          <w:sz w:val="21"/>
        </w:rPr>
      </w:pPr>
      <w:r>
        <w:rPr>
          <w:spacing w:val="-3"/>
          <w:sz w:val="21"/>
        </w:rPr>
        <w:t>站台设备管理区可利用站台公共区进行疏散，但有人值守的设备管理区应至少设置一个直通室外的安全出口。</w:t>
      </w:r>
      <w:r>
        <w:rPr>
          <w:spacing w:val="-3"/>
          <w:sz w:val="21"/>
        </w:rPr>
        <w:t xml:space="preserve"> </w:t>
      </w:r>
    </w:p>
    <w:p w14:paraId="21998675" w14:textId="77777777" w:rsidR="00A71EEF" w:rsidRDefault="0081115D">
      <w:pPr>
        <w:pStyle w:val="a4"/>
        <w:numPr>
          <w:ilvl w:val="2"/>
          <w:numId w:val="54"/>
        </w:numPr>
        <w:tabs>
          <w:tab w:val="left" w:pos="1370"/>
        </w:tabs>
        <w:spacing w:line="446" w:lineRule="auto"/>
        <w:ind w:right="1604" w:firstLine="422"/>
        <w:rPr>
          <w:sz w:val="21"/>
        </w:rPr>
      </w:pPr>
      <w:r>
        <w:rPr>
          <w:spacing w:val="-3"/>
          <w:sz w:val="21"/>
        </w:rPr>
        <w:t>站台的两端部均应设置从区间疏散至站台的楼梯。当站台设置站台门时，站台门的端门应向站台公共区方向开启。</w:t>
      </w:r>
      <w:r>
        <w:rPr>
          <w:sz w:val="21"/>
        </w:rPr>
        <w:t xml:space="preserve"> </w:t>
      </w:r>
    </w:p>
    <w:p w14:paraId="19C80D0C" w14:textId="77777777" w:rsidR="00A71EEF" w:rsidRDefault="0081115D">
      <w:pPr>
        <w:pStyle w:val="a4"/>
        <w:numPr>
          <w:ilvl w:val="2"/>
          <w:numId w:val="54"/>
        </w:numPr>
        <w:tabs>
          <w:tab w:val="left" w:pos="1371"/>
        </w:tabs>
        <w:spacing w:line="446" w:lineRule="auto"/>
        <w:ind w:right="1604" w:firstLine="422"/>
        <w:rPr>
          <w:sz w:val="21"/>
        </w:rPr>
      </w:pPr>
      <w:r>
        <w:rPr>
          <w:spacing w:val="-3"/>
          <w:sz w:val="21"/>
        </w:rPr>
        <w:t>站台每侧站台门上的应急门数量宜按列车编组数确定。当应急门设置在站台计算长度内的设备管理区和楼梯、扶梯段内时，应核算侧站台在应急门开启时的通过能力。</w:t>
      </w:r>
      <w:r>
        <w:rPr>
          <w:sz w:val="21"/>
        </w:rPr>
        <w:t xml:space="preserve"> </w:t>
      </w:r>
    </w:p>
    <w:p w14:paraId="2AA95755" w14:textId="77777777" w:rsidR="00A71EEF" w:rsidRDefault="0081115D">
      <w:pPr>
        <w:pStyle w:val="a4"/>
        <w:numPr>
          <w:ilvl w:val="2"/>
          <w:numId w:val="54"/>
        </w:numPr>
        <w:tabs>
          <w:tab w:val="left" w:pos="1478"/>
        </w:tabs>
        <w:spacing w:line="446" w:lineRule="auto"/>
        <w:ind w:right="1496" w:firstLine="422"/>
        <w:rPr>
          <w:sz w:val="21"/>
        </w:rPr>
      </w:pPr>
      <w:r>
        <w:rPr>
          <w:spacing w:val="-3"/>
          <w:sz w:val="21"/>
        </w:rPr>
        <w:t>站厅公共区和站台计算长度内任一点到疏散通道口和疏散楼梯口或用于疏散的自动</w:t>
      </w:r>
      <w:r>
        <w:rPr>
          <w:spacing w:val="-7"/>
          <w:sz w:val="21"/>
        </w:rPr>
        <w:t>扶梯口的</w:t>
      </w:r>
      <w:r>
        <w:rPr>
          <w:spacing w:val="-7"/>
          <w:sz w:val="21"/>
        </w:rPr>
        <w:t>最大疏散距离不应大于</w:t>
      </w:r>
      <w:r>
        <w:rPr>
          <w:spacing w:val="-7"/>
          <w:sz w:val="21"/>
        </w:rPr>
        <w:t xml:space="preserve"> </w:t>
      </w:r>
      <w:r>
        <w:rPr>
          <w:sz w:val="21"/>
        </w:rPr>
        <w:t>50m</w:t>
      </w:r>
      <w:r>
        <w:rPr>
          <w:spacing w:val="-3"/>
          <w:sz w:val="21"/>
        </w:rPr>
        <w:t>。</w:t>
      </w:r>
      <w:r>
        <w:rPr>
          <w:sz w:val="21"/>
        </w:rPr>
        <w:t xml:space="preserve"> </w:t>
      </w:r>
    </w:p>
    <w:p w14:paraId="3D8826C7" w14:textId="77777777" w:rsidR="00A71EEF" w:rsidRDefault="0081115D">
      <w:pPr>
        <w:pStyle w:val="a4"/>
        <w:numPr>
          <w:ilvl w:val="2"/>
          <w:numId w:val="54"/>
        </w:numPr>
        <w:tabs>
          <w:tab w:val="left" w:pos="1478"/>
        </w:tabs>
        <w:spacing w:line="446" w:lineRule="auto"/>
        <w:ind w:right="1496" w:firstLine="422"/>
        <w:rPr>
          <w:sz w:val="21"/>
        </w:rPr>
      </w:pPr>
      <w:r>
        <w:rPr>
          <w:spacing w:val="-3"/>
          <w:sz w:val="21"/>
        </w:rPr>
        <w:t>站厅公共区与商业等非地铁功能的场所的安全出口应各自独立设置。两者的连通口和上、下联系楼梯或扶梯不得作为相互间的安全出口。</w:t>
      </w:r>
      <w:r>
        <w:rPr>
          <w:sz w:val="21"/>
        </w:rPr>
        <w:t xml:space="preserve"> </w:t>
      </w:r>
    </w:p>
    <w:p w14:paraId="2B448466" w14:textId="77777777" w:rsidR="00A71EEF" w:rsidRDefault="0081115D">
      <w:pPr>
        <w:pStyle w:val="a4"/>
        <w:numPr>
          <w:ilvl w:val="2"/>
          <w:numId w:val="54"/>
        </w:numPr>
        <w:tabs>
          <w:tab w:val="left" w:pos="1478"/>
        </w:tabs>
        <w:ind w:left="1477" w:hanging="638"/>
        <w:rPr>
          <w:sz w:val="21"/>
        </w:rPr>
      </w:pPr>
      <w:r>
        <w:rPr>
          <w:spacing w:val="-3"/>
          <w:sz w:val="21"/>
        </w:rPr>
        <w:t>当站台至站厅和站厅至地面的上、下行方式采用自动扶梯时，应增设步行楼梯。</w:t>
      </w:r>
      <w:r>
        <w:rPr>
          <w:spacing w:val="-3"/>
          <w:sz w:val="21"/>
        </w:rPr>
        <w:t xml:space="preserve"> </w:t>
      </w:r>
    </w:p>
    <w:p w14:paraId="7E980A4D" w14:textId="77777777" w:rsidR="00A71EEF" w:rsidRDefault="00A71EEF">
      <w:pPr>
        <w:pStyle w:val="a3"/>
        <w:spacing w:before="8"/>
        <w:rPr>
          <w:sz w:val="17"/>
        </w:rPr>
      </w:pPr>
    </w:p>
    <w:p w14:paraId="29D03697" w14:textId="77777777" w:rsidR="00A71EEF" w:rsidRDefault="0081115D">
      <w:pPr>
        <w:pStyle w:val="a4"/>
        <w:numPr>
          <w:ilvl w:val="2"/>
          <w:numId w:val="54"/>
        </w:numPr>
        <w:tabs>
          <w:tab w:val="left" w:pos="1478"/>
        </w:tabs>
        <w:spacing w:line="446" w:lineRule="auto"/>
        <w:ind w:right="1496" w:firstLine="422"/>
        <w:rPr>
          <w:sz w:val="21"/>
        </w:rPr>
      </w:pPr>
      <w:r>
        <w:rPr>
          <w:spacing w:val="-3"/>
          <w:sz w:val="21"/>
        </w:rPr>
        <w:t>乘客出入口通道的疏散路线应各自独立，不得重叠或设置门槛、有碍疏散的物体及袋形走道。两个或以上汇入同一条疏散通道的出入口，应视为一个安全出口。</w:t>
      </w:r>
      <w:r>
        <w:rPr>
          <w:spacing w:val="-3"/>
          <w:sz w:val="21"/>
        </w:rPr>
        <w:t xml:space="preserve"> </w:t>
      </w:r>
      <w:r>
        <w:rPr>
          <w:spacing w:val="-2"/>
          <w:sz w:val="21"/>
        </w:rPr>
        <w:t xml:space="preserve"> </w:t>
      </w:r>
      <w:r>
        <w:rPr>
          <w:sz w:val="21"/>
        </w:rPr>
        <w:t xml:space="preserve"> </w:t>
      </w:r>
    </w:p>
    <w:p w14:paraId="33CB1A32" w14:textId="77777777" w:rsidR="00A71EEF" w:rsidRDefault="0081115D">
      <w:pPr>
        <w:pStyle w:val="a4"/>
        <w:numPr>
          <w:ilvl w:val="1"/>
          <w:numId w:val="54"/>
        </w:numPr>
        <w:tabs>
          <w:tab w:val="left" w:pos="1159"/>
        </w:tabs>
        <w:ind w:hanging="319"/>
        <w:rPr>
          <w:sz w:val="21"/>
        </w:rPr>
      </w:pPr>
      <w:r>
        <w:rPr>
          <w:spacing w:val="-3"/>
          <w:sz w:val="21"/>
        </w:rPr>
        <w:t>地下车站</w:t>
      </w:r>
      <w:r>
        <w:rPr>
          <w:sz w:val="21"/>
        </w:rPr>
        <w:t xml:space="preserve"> </w:t>
      </w:r>
    </w:p>
    <w:p w14:paraId="11B8B3C1" w14:textId="77777777" w:rsidR="00A71EEF" w:rsidRDefault="00A71EEF">
      <w:pPr>
        <w:pStyle w:val="a3"/>
        <w:rPr>
          <w:sz w:val="18"/>
        </w:rPr>
      </w:pPr>
    </w:p>
    <w:p w14:paraId="75D4A071" w14:textId="77777777" w:rsidR="00A71EEF" w:rsidRDefault="0081115D">
      <w:pPr>
        <w:pStyle w:val="a4"/>
        <w:numPr>
          <w:ilvl w:val="2"/>
          <w:numId w:val="54"/>
        </w:numPr>
        <w:tabs>
          <w:tab w:val="left" w:pos="1371"/>
        </w:tabs>
        <w:ind w:left="1370" w:hanging="531"/>
        <w:rPr>
          <w:sz w:val="21"/>
        </w:rPr>
      </w:pPr>
      <w:r>
        <w:rPr>
          <w:spacing w:val="-5"/>
          <w:sz w:val="21"/>
        </w:rPr>
        <w:t>有人值守的设备管理区内每个防火分区安全出口的数量不应少于</w:t>
      </w:r>
      <w:r>
        <w:rPr>
          <w:spacing w:val="-5"/>
          <w:sz w:val="21"/>
        </w:rPr>
        <w:t xml:space="preserve"> </w:t>
      </w:r>
      <w:r>
        <w:rPr>
          <w:sz w:val="21"/>
        </w:rPr>
        <w:t>2</w:t>
      </w:r>
      <w:r>
        <w:rPr>
          <w:spacing w:val="-14"/>
          <w:sz w:val="21"/>
        </w:rPr>
        <w:t xml:space="preserve"> </w:t>
      </w:r>
      <w:r>
        <w:rPr>
          <w:spacing w:val="-14"/>
          <w:sz w:val="21"/>
        </w:rPr>
        <w:t>个，并应至少有</w:t>
      </w:r>
      <w:r>
        <w:rPr>
          <w:spacing w:val="-14"/>
          <w:sz w:val="21"/>
        </w:rPr>
        <w:t xml:space="preserve"> </w:t>
      </w:r>
      <w:r>
        <w:rPr>
          <w:sz w:val="21"/>
        </w:rPr>
        <w:t>1</w:t>
      </w:r>
    </w:p>
    <w:p w14:paraId="791C0B21" w14:textId="77777777" w:rsidR="00A71EEF" w:rsidRDefault="00A71EEF">
      <w:pPr>
        <w:pStyle w:val="a3"/>
        <w:spacing w:before="2"/>
        <w:rPr>
          <w:sz w:val="18"/>
        </w:rPr>
      </w:pPr>
    </w:p>
    <w:p w14:paraId="43E3E966" w14:textId="77777777" w:rsidR="00A71EEF" w:rsidRDefault="0081115D">
      <w:pPr>
        <w:pStyle w:val="a3"/>
        <w:spacing w:line="446" w:lineRule="auto"/>
        <w:ind w:left="418" w:right="1609"/>
      </w:pPr>
      <w:r>
        <w:rPr>
          <w:spacing w:val="-5"/>
        </w:rPr>
        <w:t>个安全出口直通地面。当值守人员小于或等于</w:t>
      </w:r>
      <w:r>
        <w:rPr>
          <w:spacing w:val="-5"/>
        </w:rPr>
        <w:t xml:space="preserve"> </w:t>
      </w:r>
      <w:r>
        <w:t>3</w:t>
      </w:r>
      <w:r>
        <w:rPr>
          <w:spacing w:val="-7"/>
        </w:rPr>
        <w:t xml:space="preserve"> </w:t>
      </w:r>
      <w:r>
        <w:rPr>
          <w:spacing w:val="-7"/>
        </w:rPr>
        <w:t>人时，设备管理区可利用与相邻防火分区相通</w:t>
      </w:r>
      <w:r>
        <w:rPr>
          <w:spacing w:val="-5"/>
        </w:rPr>
        <w:t>的防火门或能通向站厅公共区的出口作为安全出口。</w:t>
      </w:r>
      <w:r>
        <w:rPr>
          <w:spacing w:val="-5"/>
        </w:rPr>
        <w:t xml:space="preserve"> </w:t>
      </w:r>
    </w:p>
    <w:p w14:paraId="197DC400" w14:textId="77777777" w:rsidR="00A71EEF" w:rsidRDefault="0081115D">
      <w:pPr>
        <w:pStyle w:val="a4"/>
        <w:numPr>
          <w:ilvl w:val="2"/>
          <w:numId w:val="54"/>
        </w:numPr>
        <w:tabs>
          <w:tab w:val="left" w:pos="1371"/>
        </w:tabs>
        <w:spacing w:line="446" w:lineRule="auto"/>
        <w:ind w:right="1604" w:firstLine="422"/>
        <w:rPr>
          <w:sz w:val="21"/>
        </w:rPr>
      </w:pPr>
      <w:r>
        <w:rPr>
          <w:spacing w:val="-5"/>
          <w:sz w:val="21"/>
        </w:rPr>
        <w:t>地下一层侧式站台车站，每侧站台应至少设置</w:t>
      </w:r>
      <w:r>
        <w:rPr>
          <w:spacing w:val="-5"/>
          <w:sz w:val="21"/>
        </w:rPr>
        <w:t xml:space="preserve"> </w:t>
      </w:r>
      <w:r>
        <w:rPr>
          <w:sz w:val="21"/>
        </w:rPr>
        <w:t>2</w:t>
      </w:r>
      <w:r>
        <w:rPr>
          <w:spacing w:val="-8"/>
          <w:sz w:val="21"/>
        </w:rPr>
        <w:t xml:space="preserve"> </w:t>
      </w:r>
      <w:r>
        <w:rPr>
          <w:spacing w:val="-8"/>
          <w:sz w:val="21"/>
        </w:rPr>
        <w:t>个直通地面或其他室外空间的安全</w:t>
      </w:r>
      <w:r>
        <w:rPr>
          <w:spacing w:val="-5"/>
          <w:sz w:val="21"/>
        </w:rPr>
        <w:t>出口。与站厅公共区同层布置的站台应符合下列规定：</w:t>
      </w:r>
      <w:r>
        <w:rPr>
          <w:sz w:val="21"/>
        </w:rPr>
        <w:t xml:space="preserve"> </w:t>
      </w:r>
    </w:p>
    <w:p w14:paraId="08D4F498" w14:textId="77777777" w:rsidR="00A71EEF" w:rsidRDefault="0081115D">
      <w:pPr>
        <w:pStyle w:val="a3"/>
        <w:spacing w:line="446" w:lineRule="auto"/>
        <w:ind w:left="418" w:right="1609" w:firstLine="419"/>
      </w:pPr>
      <w:r>
        <w:rPr>
          <w:spacing w:val="-4"/>
        </w:rPr>
        <w:t>当站台与站厅公共区之间设置防火隔墙时，应在该防火隔墙上设置至少</w:t>
      </w:r>
      <w:r>
        <w:rPr>
          <w:spacing w:val="-4"/>
        </w:rPr>
        <w:t xml:space="preserve"> </w:t>
      </w:r>
      <w:r>
        <w:t>2</w:t>
      </w:r>
      <w:r>
        <w:rPr>
          <w:spacing w:val="-7"/>
        </w:rPr>
        <w:t xml:space="preserve"> </w:t>
      </w:r>
      <w:r>
        <w:rPr>
          <w:spacing w:val="-7"/>
        </w:rPr>
        <w:t>个门洞，相邻两</w:t>
      </w:r>
      <w:r>
        <w:rPr>
          <w:spacing w:val="-8"/>
        </w:rPr>
        <w:t>门洞之间的最小水平距离不应小于</w:t>
      </w:r>
      <w:r>
        <w:rPr>
          <w:spacing w:val="-8"/>
        </w:rPr>
        <w:t xml:space="preserve"> </w:t>
      </w:r>
      <w:r>
        <w:t>10m</w:t>
      </w:r>
      <w:r>
        <w:t>；</w:t>
      </w:r>
      <w:r>
        <w:t xml:space="preserve"> </w:t>
      </w:r>
    </w:p>
    <w:p w14:paraId="6CB80E5C" w14:textId="77777777" w:rsidR="00A71EEF" w:rsidRDefault="00A71EEF">
      <w:pPr>
        <w:spacing w:line="446" w:lineRule="auto"/>
        <w:sectPr w:rsidR="00A71EEF">
          <w:pgSz w:w="11910" w:h="16850"/>
          <w:pgMar w:top="1220" w:right="0" w:bottom="1420" w:left="1260" w:header="0" w:footer="1239" w:gutter="0"/>
          <w:cols w:space="720"/>
        </w:sectPr>
      </w:pPr>
    </w:p>
    <w:p w14:paraId="6C0BC087" w14:textId="77777777" w:rsidR="00A71EEF" w:rsidRDefault="0081115D">
      <w:pPr>
        <w:pStyle w:val="a3"/>
        <w:spacing w:before="47" w:line="446" w:lineRule="auto"/>
        <w:ind w:left="418" w:right="1608" w:firstLine="419"/>
      </w:pPr>
      <w:r>
        <w:t>当站台与站厅公共区之间未设置防火隔墙时，站台上任一点至地面或其他室外空间的疏散时间不应大于</w:t>
      </w:r>
      <w:r>
        <w:t xml:space="preserve"> 6min</w:t>
      </w:r>
      <w:r>
        <w:t>。</w:t>
      </w:r>
      <w:r>
        <w:t xml:space="preserve"> </w:t>
      </w:r>
    </w:p>
    <w:p w14:paraId="19E5E478" w14:textId="77777777" w:rsidR="00A71EEF" w:rsidRDefault="0081115D">
      <w:pPr>
        <w:pStyle w:val="a4"/>
        <w:numPr>
          <w:ilvl w:val="2"/>
          <w:numId w:val="54"/>
        </w:numPr>
        <w:tabs>
          <w:tab w:val="left" w:pos="1370"/>
        </w:tabs>
        <w:spacing w:line="446" w:lineRule="auto"/>
        <w:ind w:right="1604" w:firstLine="422"/>
        <w:rPr>
          <w:sz w:val="21"/>
        </w:rPr>
      </w:pPr>
      <w:r>
        <w:rPr>
          <w:spacing w:val="-3"/>
          <w:sz w:val="21"/>
        </w:rPr>
        <w:t>侧式站台利用站台之间的过轨地道作为安全疏散通道时，应在上、下行轨道之间设</w:t>
      </w:r>
      <w:r>
        <w:rPr>
          <w:spacing w:val="-9"/>
          <w:sz w:val="21"/>
        </w:rPr>
        <w:t>置耐火极限不低于</w:t>
      </w:r>
      <w:r>
        <w:rPr>
          <w:spacing w:val="-9"/>
          <w:sz w:val="21"/>
        </w:rPr>
        <w:t xml:space="preserve"> </w:t>
      </w:r>
      <w:r>
        <w:rPr>
          <w:sz w:val="21"/>
        </w:rPr>
        <w:t>2.00h</w:t>
      </w:r>
      <w:r>
        <w:rPr>
          <w:spacing w:val="-10"/>
          <w:sz w:val="21"/>
        </w:rPr>
        <w:t xml:space="preserve"> </w:t>
      </w:r>
      <w:r>
        <w:rPr>
          <w:spacing w:val="-10"/>
          <w:sz w:val="21"/>
        </w:rPr>
        <w:t>的防火隔墙。</w:t>
      </w:r>
      <w:r>
        <w:rPr>
          <w:sz w:val="21"/>
        </w:rPr>
        <w:t xml:space="preserve"> </w:t>
      </w:r>
    </w:p>
    <w:p w14:paraId="237A98F3" w14:textId="77777777" w:rsidR="00A71EEF" w:rsidRDefault="0081115D">
      <w:pPr>
        <w:pStyle w:val="a4"/>
        <w:numPr>
          <w:ilvl w:val="2"/>
          <w:numId w:val="54"/>
        </w:numPr>
        <w:tabs>
          <w:tab w:val="left" w:pos="1370"/>
        </w:tabs>
        <w:spacing w:line="446" w:lineRule="auto"/>
        <w:ind w:right="1604" w:firstLine="422"/>
        <w:rPr>
          <w:sz w:val="21"/>
        </w:rPr>
      </w:pPr>
      <w:r>
        <w:rPr>
          <w:spacing w:val="-3"/>
          <w:sz w:val="21"/>
        </w:rPr>
        <w:t>站台端部通向区间的楼梯不得用作站台区乘客的安全疏散设施。换乘车站的换乘通道、换乘梯不得用作乘客的安全疏散设施。</w:t>
      </w:r>
      <w:r>
        <w:rPr>
          <w:sz w:val="21"/>
        </w:rPr>
        <w:t xml:space="preserve"> </w:t>
      </w:r>
    </w:p>
    <w:p w14:paraId="314A7573" w14:textId="77777777" w:rsidR="00A71EEF" w:rsidRDefault="0081115D">
      <w:pPr>
        <w:pStyle w:val="a4"/>
        <w:numPr>
          <w:ilvl w:val="2"/>
          <w:numId w:val="54"/>
        </w:numPr>
        <w:tabs>
          <w:tab w:val="left" w:pos="1371"/>
        </w:tabs>
        <w:spacing w:line="446" w:lineRule="auto"/>
        <w:ind w:right="1603" w:firstLine="422"/>
        <w:rPr>
          <w:sz w:val="21"/>
        </w:rPr>
      </w:pPr>
      <w:r>
        <w:rPr>
          <w:spacing w:val="-5"/>
          <w:sz w:val="21"/>
        </w:rPr>
        <w:t>有人值守的设备管理用房的疏散门至最近安全出口的距离，当疏散门位于</w:t>
      </w:r>
      <w:r>
        <w:rPr>
          <w:spacing w:val="-5"/>
          <w:sz w:val="21"/>
        </w:rPr>
        <w:t xml:space="preserve"> </w:t>
      </w:r>
      <w:r>
        <w:rPr>
          <w:sz w:val="21"/>
        </w:rPr>
        <w:t>2</w:t>
      </w:r>
      <w:r>
        <w:rPr>
          <w:spacing w:val="-13"/>
          <w:sz w:val="21"/>
        </w:rPr>
        <w:t xml:space="preserve"> </w:t>
      </w:r>
      <w:r>
        <w:rPr>
          <w:spacing w:val="-13"/>
          <w:sz w:val="21"/>
        </w:rPr>
        <w:t>个安全</w:t>
      </w:r>
      <w:r>
        <w:rPr>
          <w:spacing w:val="-11"/>
          <w:sz w:val="21"/>
        </w:rPr>
        <w:t>出口之间时，不应大于</w:t>
      </w:r>
      <w:r>
        <w:rPr>
          <w:spacing w:val="-11"/>
          <w:sz w:val="21"/>
        </w:rPr>
        <w:t xml:space="preserve"> </w:t>
      </w:r>
      <w:r>
        <w:rPr>
          <w:sz w:val="21"/>
        </w:rPr>
        <w:t>40m</w:t>
      </w:r>
      <w:r>
        <w:rPr>
          <w:sz w:val="21"/>
        </w:rPr>
        <w:t>；</w:t>
      </w:r>
      <w:r>
        <w:rPr>
          <w:spacing w:val="-6"/>
          <w:sz w:val="21"/>
        </w:rPr>
        <w:t>当疏散门位于袋形走道两侧或尽端时，不应大于</w:t>
      </w:r>
      <w:r>
        <w:rPr>
          <w:spacing w:val="-6"/>
          <w:sz w:val="21"/>
        </w:rPr>
        <w:t xml:space="preserve"> </w:t>
      </w:r>
      <w:r>
        <w:rPr>
          <w:sz w:val="21"/>
        </w:rPr>
        <w:t>22m</w:t>
      </w:r>
      <w:r>
        <w:rPr>
          <w:spacing w:val="-3"/>
          <w:sz w:val="21"/>
        </w:rPr>
        <w:t>。</w:t>
      </w:r>
      <w:r>
        <w:rPr>
          <w:sz w:val="21"/>
        </w:rPr>
        <w:t xml:space="preserve"> </w:t>
      </w:r>
    </w:p>
    <w:p w14:paraId="10888815" w14:textId="77777777" w:rsidR="00A71EEF" w:rsidRDefault="0081115D">
      <w:pPr>
        <w:pStyle w:val="a4"/>
        <w:numPr>
          <w:ilvl w:val="2"/>
          <w:numId w:val="54"/>
        </w:numPr>
        <w:tabs>
          <w:tab w:val="left" w:pos="1370"/>
        </w:tabs>
        <w:spacing w:line="446" w:lineRule="auto"/>
        <w:ind w:right="1450" w:firstLine="422"/>
        <w:rPr>
          <w:sz w:val="21"/>
        </w:rPr>
      </w:pPr>
      <w:r>
        <w:rPr>
          <w:spacing w:val="-7"/>
          <w:sz w:val="21"/>
        </w:rPr>
        <w:t>出入口通道的长度不宜大于</w:t>
      </w:r>
      <w:r>
        <w:rPr>
          <w:spacing w:val="-7"/>
          <w:sz w:val="21"/>
        </w:rPr>
        <w:t xml:space="preserve"> </w:t>
      </w:r>
      <w:r>
        <w:rPr>
          <w:sz w:val="21"/>
        </w:rPr>
        <w:t>100m</w:t>
      </w:r>
      <w:r>
        <w:rPr>
          <w:spacing w:val="-11"/>
          <w:sz w:val="21"/>
        </w:rPr>
        <w:t>；当大于</w:t>
      </w:r>
      <w:r>
        <w:rPr>
          <w:spacing w:val="-11"/>
          <w:sz w:val="21"/>
        </w:rPr>
        <w:t xml:space="preserve"> </w:t>
      </w:r>
      <w:r>
        <w:rPr>
          <w:sz w:val="21"/>
        </w:rPr>
        <w:t>100m</w:t>
      </w:r>
      <w:r>
        <w:rPr>
          <w:spacing w:val="-9"/>
          <w:sz w:val="21"/>
        </w:rPr>
        <w:t xml:space="preserve"> </w:t>
      </w:r>
      <w:r>
        <w:rPr>
          <w:spacing w:val="-9"/>
          <w:sz w:val="21"/>
        </w:rPr>
        <w:t>时，应增设安全出口，且该通道内任</w:t>
      </w:r>
      <w:r>
        <w:rPr>
          <w:spacing w:val="-8"/>
          <w:sz w:val="21"/>
        </w:rPr>
        <w:t>一点至最近安全出口的疏散距离不应大于</w:t>
      </w:r>
      <w:r>
        <w:rPr>
          <w:spacing w:val="-8"/>
          <w:sz w:val="21"/>
        </w:rPr>
        <w:t xml:space="preserve"> </w:t>
      </w:r>
      <w:r>
        <w:rPr>
          <w:sz w:val="21"/>
        </w:rPr>
        <w:t>50m</w:t>
      </w:r>
      <w:r>
        <w:rPr>
          <w:spacing w:val="-3"/>
          <w:sz w:val="21"/>
        </w:rPr>
        <w:t>。</w:t>
      </w:r>
      <w:r>
        <w:rPr>
          <w:sz w:val="21"/>
        </w:rPr>
        <w:t xml:space="preserve"> </w:t>
      </w:r>
    </w:p>
    <w:p w14:paraId="60D95628" w14:textId="77777777" w:rsidR="00A71EEF" w:rsidRDefault="0081115D">
      <w:pPr>
        <w:pStyle w:val="a4"/>
        <w:numPr>
          <w:ilvl w:val="2"/>
          <w:numId w:val="54"/>
        </w:numPr>
        <w:tabs>
          <w:tab w:val="left" w:pos="1371"/>
        </w:tabs>
        <w:ind w:left="1370" w:hanging="531"/>
        <w:rPr>
          <w:sz w:val="21"/>
        </w:rPr>
      </w:pPr>
      <w:r>
        <w:rPr>
          <w:spacing w:val="-3"/>
          <w:sz w:val="21"/>
        </w:rPr>
        <w:t>设备层的安全出口应独立设置。</w:t>
      </w:r>
      <w:r>
        <w:rPr>
          <w:sz w:val="21"/>
        </w:rPr>
        <w:t xml:space="preserve"> </w:t>
      </w:r>
    </w:p>
    <w:p w14:paraId="0CCB3625" w14:textId="77777777" w:rsidR="00A71EEF" w:rsidRDefault="00A71EEF">
      <w:pPr>
        <w:pStyle w:val="a3"/>
        <w:spacing w:before="8"/>
        <w:rPr>
          <w:sz w:val="17"/>
        </w:rPr>
      </w:pPr>
    </w:p>
    <w:p w14:paraId="6AE8D559" w14:textId="77777777" w:rsidR="00A71EEF" w:rsidRDefault="0081115D">
      <w:pPr>
        <w:pStyle w:val="a4"/>
        <w:numPr>
          <w:ilvl w:val="2"/>
          <w:numId w:val="54"/>
        </w:numPr>
        <w:tabs>
          <w:tab w:val="left" w:pos="1370"/>
        </w:tabs>
        <w:spacing w:line="446" w:lineRule="auto"/>
        <w:ind w:right="1604" w:firstLine="422"/>
        <w:rPr>
          <w:sz w:val="21"/>
        </w:rPr>
      </w:pPr>
      <w:r>
        <w:rPr>
          <w:spacing w:val="-5"/>
          <w:sz w:val="21"/>
        </w:rPr>
        <w:t>地下车站应设置消防专用通道。当地下车站超过</w:t>
      </w:r>
      <w:r>
        <w:rPr>
          <w:spacing w:val="-5"/>
          <w:sz w:val="21"/>
        </w:rPr>
        <w:t xml:space="preserve"> </w:t>
      </w:r>
      <w:r>
        <w:rPr>
          <w:sz w:val="21"/>
        </w:rPr>
        <w:t>3</w:t>
      </w:r>
      <w:r>
        <w:rPr>
          <w:spacing w:val="-24"/>
          <w:sz w:val="21"/>
        </w:rPr>
        <w:t xml:space="preserve"> </w:t>
      </w:r>
      <w:r>
        <w:rPr>
          <w:spacing w:val="-24"/>
          <w:sz w:val="21"/>
        </w:rPr>
        <w:t>层</w:t>
      </w:r>
      <w:r>
        <w:rPr>
          <w:spacing w:val="-3"/>
          <w:sz w:val="21"/>
        </w:rPr>
        <w:t>（</w:t>
      </w:r>
      <w:r>
        <w:rPr>
          <w:spacing w:val="-24"/>
          <w:sz w:val="21"/>
        </w:rPr>
        <w:t>含</w:t>
      </w:r>
      <w:r>
        <w:rPr>
          <w:spacing w:val="-24"/>
          <w:sz w:val="21"/>
        </w:rPr>
        <w:t xml:space="preserve"> </w:t>
      </w:r>
      <w:r>
        <w:rPr>
          <w:sz w:val="21"/>
        </w:rPr>
        <w:t>3</w:t>
      </w:r>
      <w:r>
        <w:rPr>
          <w:spacing w:val="-24"/>
          <w:sz w:val="21"/>
        </w:rPr>
        <w:t xml:space="preserve"> </w:t>
      </w:r>
      <w:r>
        <w:rPr>
          <w:spacing w:val="-24"/>
          <w:sz w:val="21"/>
        </w:rPr>
        <w:t>层</w:t>
      </w:r>
      <w:r>
        <w:rPr>
          <w:spacing w:val="-3"/>
          <w:sz w:val="21"/>
        </w:rPr>
        <w:t>）时，消防专用通道应设置为防烟楼梯间。</w:t>
      </w:r>
      <w:r>
        <w:rPr>
          <w:sz w:val="21"/>
        </w:rPr>
        <w:t xml:space="preserve"> </w:t>
      </w:r>
    </w:p>
    <w:p w14:paraId="014DA21C" w14:textId="77777777" w:rsidR="00A71EEF" w:rsidRDefault="0081115D">
      <w:pPr>
        <w:pStyle w:val="a4"/>
        <w:numPr>
          <w:ilvl w:val="1"/>
          <w:numId w:val="54"/>
        </w:numPr>
        <w:tabs>
          <w:tab w:val="left" w:pos="1159"/>
        </w:tabs>
        <w:spacing w:before="1"/>
        <w:ind w:hanging="319"/>
        <w:rPr>
          <w:b/>
          <w:sz w:val="21"/>
        </w:rPr>
      </w:pPr>
      <w:r>
        <w:rPr>
          <w:spacing w:val="-3"/>
          <w:sz w:val="21"/>
        </w:rPr>
        <w:t>地上车站</w:t>
      </w:r>
      <w:r>
        <w:rPr>
          <w:b/>
          <w:w w:val="99"/>
          <w:sz w:val="21"/>
        </w:rPr>
        <w:t xml:space="preserve"> </w:t>
      </w:r>
    </w:p>
    <w:p w14:paraId="1A50B982" w14:textId="77777777" w:rsidR="00A71EEF" w:rsidRDefault="00A71EEF">
      <w:pPr>
        <w:pStyle w:val="a3"/>
        <w:spacing w:before="12"/>
        <w:rPr>
          <w:b/>
          <w:sz w:val="17"/>
        </w:rPr>
      </w:pPr>
    </w:p>
    <w:p w14:paraId="25E95F96" w14:textId="77777777" w:rsidR="00A71EEF" w:rsidRDefault="0081115D">
      <w:pPr>
        <w:pStyle w:val="a4"/>
        <w:numPr>
          <w:ilvl w:val="2"/>
          <w:numId w:val="54"/>
        </w:numPr>
        <w:tabs>
          <w:tab w:val="left" w:pos="1371"/>
        </w:tabs>
        <w:ind w:left="1370" w:hanging="531"/>
        <w:rPr>
          <w:sz w:val="21"/>
        </w:rPr>
      </w:pPr>
      <w:r>
        <w:rPr>
          <w:spacing w:val="-3"/>
          <w:sz w:val="21"/>
        </w:rPr>
        <w:t>站厅通向天桥的出口可作为安全出口，且应符合下列规定：</w:t>
      </w:r>
      <w:r>
        <w:rPr>
          <w:sz w:val="21"/>
        </w:rPr>
        <w:t xml:space="preserve"> </w:t>
      </w:r>
    </w:p>
    <w:p w14:paraId="0504B4AE" w14:textId="77777777" w:rsidR="00A71EEF" w:rsidRDefault="00A71EEF">
      <w:pPr>
        <w:pStyle w:val="a3"/>
        <w:spacing w:before="2"/>
        <w:rPr>
          <w:sz w:val="18"/>
        </w:rPr>
      </w:pPr>
    </w:p>
    <w:p w14:paraId="2094355E" w14:textId="77777777" w:rsidR="00A71EEF" w:rsidRDefault="0081115D">
      <w:pPr>
        <w:pStyle w:val="a3"/>
        <w:spacing w:line="446" w:lineRule="auto"/>
        <w:ind w:left="838" w:right="4237"/>
        <w:rPr>
          <w:b/>
        </w:rPr>
      </w:pPr>
      <w:r>
        <w:t>应采用不燃材料制作，内部装修材料的燃烧性能应为</w:t>
      </w:r>
      <w:r>
        <w:t xml:space="preserve"> A </w:t>
      </w:r>
      <w:r>
        <w:t>级；</w:t>
      </w:r>
      <w:r>
        <w:t xml:space="preserve"> </w:t>
      </w:r>
      <w:r>
        <w:t>应具有良好的自然排烟条件；</w:t>
      </w:r>
      <w:r>
        <w:rPr>
          <w:b/>
          <w:w w:val="99"/>
        </w:rPr>
        <w:t xml:space="preserve"> </w:t>
      </w:r>
    </w:p>
    <w:p w14:paraId="70D0112E" w14:textId="77777777" w:rsidR="00A71EEF" w:rsidRDefault="0081115D">
      <w:pPr>
        <w:pStyle w:val="a3"/>
        <w:spacing w:line="446" w:lineRule="auto"/>
        <w:ind w:left="838" w:right="6969"/>
        <w:rPr>
          <w:b/>
        </w:rPr>
      </w:pPr>
      <w:r>
        <w:t>不得用于人行外的其他用途；</w:t>
      </w:r>
      <w:r>
        <w:t xml:space="preserve"> </w:t>
      </w:r>
      <w:r>
        <w:t>应能直接通至地面。</w:t>
      </w:r>
      <w:r>
        <w:rPr>
          <w:b/>
          <w:w w:val="99"/>
        </w:rPr>
        <w:t xml:space="preserve"> </w:t>
      </w:r>
    </w:p>
    <w:p w14:paraId="792FF27A" w14:textId="77777777" w:rsidR="00A71EEF" w:rsidRDefault="0081115D">
      <w:pPr>
        <w:pStyle w:val="a4"/>
        <w:numPr>
          <w:ilvl w:val="2"/>
          <w:numId w:val="54"/>
        </w:numPr>
        <w:tabs>
          <w:tab w:val="left" w:pos="1370"/>
        </w:tabs>
        <w:spacing w:line="446" w:lineRule="auto"/>
        <w:ind w:right="1608" w:firstLine="422"/>
        <w:jc w:val="both"/>
        <w:rPr>
          <w:sz w:val="21"/>
        </w:rPr>
      </w:pPr>
      <w:r>
        <w:rPr>
          <w:spacing w:val="-5"/>
          <w:sz w:val="21"/>
        </w:rPr>
        <w:t>换乘车站的换乘通道和换乘梯应采用不燃材料制作，其装修材料的燃烧性能应为</w:t>
      </w:r>
      <w:r>
        <w:rPr>
          <w:spacing w:val="-5"/>
          <w:sz w:val="21"/>
        </w:rPr>
        <w:t xml:space="preserve"> </w:t>
      </w:r>
      <w:r>
        <w:rPr>
          <w:sz w:val="21"/>
        </w:rPr>
        <w:t xml:space="preserve">A </w:t>
      </w:r>
      <w:r>
        <w:rPr>
          <w:spacing w:val="-3"/>
          <w:sz w:val="21"/>
        </w:rPr>
        <w:t>级；当换乘通道和换乘梯具有良好的自然排烟条件时，换乘车站通向该换乘通道或换乘梯的出口可作为安全出口。</w:t>
      </w:r>
      <w:r>
        <w:rPr>
          <w:sz w:val="21"/>
        </w:rPr>
        <w:t xml:space="preserve"> </w:t>
      </w:r>
    </w:p>
    <w:p w14:paraId="3F7635F8" w14:textId="77777777" w:rsidR="00A71EEF" w:rsidRDefault="0081115D">
      <w:pPr>
        <w:pStyle w:val="a4"/>
        <w:numPr>
          <w:ilvl w:val="2"/>
          <w:numId w:val="54"/>
        </w:numPr>
        <w:tabs>
          <w:tab w:val="left" w:pos="1370"/>
        </w:tabs>
        <w:spacing w:line="446" w:lineRule="auto"/>
        <w:ind w:right="1813" w:firstLine="422"/>
        <w:rPr>
          <w:sz w:val="21"/>
        </w:rPr>
      </w:pPr>
      <w:r>
        <w:rPr>
          <w:spacing w:val="-3"/>
          <w:sz w:val="21"/>
        </w:rPr>
        <w:t>地面侧式站台车站的过轨地道可作为疏散通道，上跨轨道的通道不得作为疏散通道。</w:t>
      </w:r>
      <w:r>
        <w:rPr>
          <w:sz w:val="21"/>
        </w:rPr>
        <w:t xml:space="preserve"> </w:t>
      </w:r>
    </w:p>
    <w:p w14:paraId="35014A7A" w14:textId="77777777" w:rsidR="00A71EEF" w:rsidRDefault="0081115D">
      <w:pPr>
        <w:pStyle w:val="a4"/>
        <w:numPr>
          <w:ilvl w:val="2"/>
          <w:numId w:val="54"/>
        </w:numPr>
        <w:tabs>
          <w:tab w:val="left" w:pos="1370"/>
        </w:tabs>
        <w:spacing w:line="446" w:lineRule="auto"/>
        <w:ind w:right="1604" w:firstLine="422"/>
        <w:rPr>
          <w:sz w:val="21"/>
        </w:rPr>
      </w:pPr>
      <w:r>
        <w:rPr>
          <w:spacing w:val="-3"/>
          <w:sz w:val="21"/>
        </w:rPr>
        <w:t>设备管理区内房间的疏散门至最近安全出口的疏散距离应符合现行国家标准《建筑设计防火规范》</w:t>
      </w:r>
      <w:r>
        <w:rPr>
          <w:sz w:val="21"/>
        </w:rPr>
        <w:t>GB 50016</w:t>
      </w:r>
      <w:r>
        <w:rPr>
          <w:spacing w:val="-13"/>
          <w:sz w:val="21"/>
        </w:rPr>
        <w:t xml:space="preserve"> </w:t>
      </w:r>
      <w:r>
        <w:rPr>
          <w:spacing w:val="-13"/>
          <w:sz w:val="21"/>
        </w:rPr>
        <w:t>的规定。</w:t>
      </w:r>
      <w:r>
        <w:rPr>
          <w:sz w:val="21"/>
        </w:rPr>
        <w:t xml:space="preserve"> </w:t>
      </w:r>
    </w:p>
    <w:p w14:paraId="0D930CEE" w14:textId="77777777" w:rsidR="00A71EEF" w:rsidRDefault="0081115D">
      <w:pPr>
        <w:pStyle w:val="a4"/>
        <w:numPr>
          <w:ilvl w:val="2"/>
          <w:numId w:val="54"/>
        </w:numPr>
        <w:tabs>
          <w:tab w:val="left" w:pos="1370"/>
        </w:tabs>
        <w:spacing w:line="446" w:lineRule="auto"/>
        <w:ind w:right="1813" w:firstLine="422"/>
        <w:rPr>
          <w:sz w:val="21"/>
        </w:rPr>
      </w:pPr>
      <w:r>
        <w:rPr>
          <w:spacing w:val="-3"/>
          <w:sz w:val="21"/>
        </w:rPr>
        <w:t>与区间纵向疏散平台相连通的站台的安全出口，可利用站台门上能双向开启的端门。</w:t>
      </w:r>
      <w:r>
        <w:rPr>
          <w:sz w:val="21"/>
        </w:rPr>
        <w:t xml:space="preserve"> </w:t>
      </w:r>
    </w:p>
    <w:p w14:paraId="5D63BB6F" w14:textId="77777777" w:rsidR="00A71EEF" w:rsidRDefault="00A71EEF">
      <w:pPr>
        <w:spacing w:line="446" w:lineRule="auto"/>
        <w:rPr>
          <w:sz w:val="21"/>
        </w:rPr>
        <w:sectPr w:rsidR="00A71EEF">
          <w:pgSz w:w="11910" w:h="16850"/>
          <w:pgMar w:top="1220" w:right="0" w:bottom="1420" w:left="1260" w:header="0" w:footer="1239" w:gutter="0"/>
          <w:cols w:space="720"/>
        </w:sectPr>
      </w:pPr>
    </w:p>
    <w:p w14:paraId="561A7B46" w14:textId="77777777" w:rsidR="00A71EEF" w:rsidRDefault="0081115D">
      <w:pPr>
        <w:pStyle w:val="a4"/>
        <w:numPr>
          <w:ilvl w:val="2"/>
          <w:numId w:val="54"/>
        </w:numPr>
        <w:tabs>
          <w:tab w:val="left" w:pos="1370"/>
        </w:tabs>
        <w:spacing w:before="47" w:line="446" w:lineRule="auto"/>
        <w:ind w:right="1604" w:firstLine="422"/>
        <w:rPr>
          <w:sz w:val="21"/>
        </w:rPr>
      </w:pPr>
      <w:r>
        <w:rPr>
          <w:spacing w:val="-9"/>
          <w:sz w:val="21"/>
        </w:rPr>
        <w:t>建筑高度超过</w:t>
      </w:r>
      <w:r>
        <w:rPr>
          <w:spacing w:val="-9"/>
          <w:sz w:val="21"/>
        </w:rPr>
        <w:t xml:space="preserve"> </w:t>
      </w:r>
      <w:r>
        <w:rPr>
          <w:sz w:val="21"/>
        </w:rPr>
        <w:t>24m</w:t>
      </w:r>
      <w:r>
        <w:rPr>
          <w:spacing w:val="-8"/>
          <w:sz w:val="21"/>
        </w:rPr>
        <w:t xml:space="preserve"> </w:t>
      </w:r>
      <w:r>
        <w:rPr>
          <w:spacing w:val="-8"/>
          <w:sz w:val="21"/>
        </w:rPr>
        <w:t>且相连区间未设纵向疏散平台的高架车站，应在站台增设直达地</w:t>
      </w:r>
      <w:r>
        <w:rPr>
          <w:spacing w:val="-5"/>
          <w:sz w:val="21"/>
        </w:rPr>
        <w:t>面的疏散楼梯。</w:t>
      </w:r>
      <w:r>
        <w:rPr>
          <w:sz w:val="21"/>
        </w:rPr>
        <w:t xml:space="preserve"> </w:t>
      </w:r>
    </w:p>
    <w:p w14:paraId="50F80020" w14:textId="77777777" w:rsidR="00A71EEF" w:rsidRDefault="0081115D">
      <w:pPr>
        <w:pStyle w:val="a4"/>
        <w:numPr>
          <w:ilvl w:val="1"/>
          <w:numId w:val="54"/>
        </w:numPr>
        <w:tabs>
          <w:tab w:val="left" w:pos="1159"/>
        </w:tabs>
        <w:spacing w:line="267" w:lineRule="exact"/>
        <w:ind w:hanging="319"/>
        <w:rPr>
          <w:b/>
          <w:sz w:val="21"/>
        </w:rPr>
      </w:pPr>
      <w:r>
        <w:rPr>
          <w:spacing w:val="-3"/>
          <w:sz w:val="21"/>
        </w:rPr>
        <w:t>区间</w:t>
      </w:r>
      <w:r>
        <w:rPr>
          <w:b/>
          <w:w w:val="99"/>
          <w:sz w:val="21"/>
        </w:rPr>
        <w:t xml:space="preserve"> </w:t>
      </w:r>
    </w:p>
    <w:p w14:paraId="5529A158" w14:textId="77777777" w:rsidR="00A71EEF" w:rsidRDefault="00A71EEF">
      <w:pPr>
        <w:pStyle w:val="a3"/>
        <w:spacing w:before="2"/>
        <w:rPr>
          <w:b/>
          <w:sz w:val="18"/>
        </w:rPr>
      </w:pPr>
    </w:p>
    <w:p w14:paraId="391F7F04" w14:textId="77777777" w:rsidR="00A71EEF" w:rsidRDefault="0081115D">
      <w:pPr>
        <w:pStyle w:val="a4"/>
        <w:numPr>
          <w:ilvl w:val="2"/>
          <w:numId w:val="54"/>
        </w:numPr>
        <w:tabs>
          <w:tab w:val="left" w:pos="1371"/>
        </w:tabs>
        <w:spacing w:line="446" w:lineRule="auto"/>
        <w:ind w:right="1813" w:firstLine="422"/>
        <w:rPr>
          <w:sz w:val="21"/>
        </w:rPr>
      </w:pPr>
      <w:r>
        <w:rPr>
          <w:spacing w:val="-3"/>
          <w:sz w:val="21"/>
        </w:rPr>
        <w:t>载客运营轨道区的道床面应平整、连续、无障碍物，并应满足人员疏散行走的要求。</w:t>
      </w:r>
      <w:r>
        <w:rPr>
          <w:sz w:val="21"/>
        </w:rPr>
        <w:t xml:space="preserve"> </w:t>
      </w:r>
    </w:p>
    <w:p w14:paraId="08589253" w14:textId="77777777" w:rsidR="00A71EEF" w:rsidRDefault="0081115D">
      <w:pPr>
        <w:pStyle w:val="a4"/>
        <w:numPr>
          <w:ilvl w:val="2"/>
          <w:numId w:val="54"/>
        </w:numPr>
        <w:tabs>
          <w:tab w:val="left" w:pos="1371"/>
        </w:tabs>
        <w:spacing w:line="446" w:lineRule="auto"/>
        <w:ind w:right="1604" w:firstLine="422"/>
        <w:rPr>
          <w:sz w:val="21"/>
        </w:rPr>
      </w:pPr>
      <w:r>
        <w:rPr>
          <w:spacing w:val="-3"/>
          <w:sz w:val="21"/>
        </w:rPr>
        <w:t>两条单线载客运营地下区间之间应设置联络通道，相邻两条联络通道之间的最小水</w:t>
      </w:r>
      <w:r>
        <w:rPr>
          <w:spacing w:val="-10"/>
          <w:sz w:val="21"/>
        </w:rPr>
        <w:t>平距离不应大于</w:t>
      </w:r>
      <w:r>
        <w:rPr>
          <w:spacing w:val="-10"/>
          <w:sz w:val="21"/>
        </w:rPr>
        <w:t xml:space="preserve"> </w:t>
      </w:r>
      <w:r>
        <w:rPr>
          <w:sz w:val="21"/>
        </w:rPr>
        <w:t>600m</w:t>
      </w:r>
      <w:r>
        <w:rPr>
          <w:spacing w:val="-3"/>
          <w:sz w:val="21"/>
        </w:rPr>
        <w:t>，通道内应设置一道并列二樘且反向开启的甲级防火门。</w:t>
      </w:r>
      <w:r>
        <w:rPr>
          <w:spacing w:val="-3"/>
          <w:sz w:val="21"/>
        </w:rPr>
        <w:t xml:space="preserve"> </w:t>
      </w:r>
    </w:p>
    <w:p w14:paraId="48F233C6" w14:textId="77777777" w:rsidR="00A71EEF" w:rsidRDefault="0081115D">
      <w:pPr>
        <w:pStyle w:val="a4"/>
        <w:numPr>
          <w:ilvl w:val="2"/>
          <w:numId w:val="54"/>
        </w:numPr>
        <w:tabs>
          <w:tab w:val="left" w:pos="1370"/>
        </w:tabs>
        <w:ind w:left="1369" w:hanging="530"/>
        <w:rPr>
          <w:sz w:val="21"/>
        </w:rPr>
      </w:pPr>
      <w:r>
        <w:rPr>
          <w:spacing w:val="-3"/>
          <w:sz w:val="21"/>
        </w:rPr>
        <w:t>载客运营地下区间内应设置纵向疏散平台。</w:t>
      </w:r>
      <w:r>
        <w:rPr>
          <w:sz w:val="21"/>
        </w:rPr>
        <w:t xml:space="preserve"> </w:t>
      </w:r>
    </w:p>
    <w:p w14:paraId="0EB9008F" w14:textId="77777777" w:rsidR="00A71EEF" w:rsidRDefault="00A71EEF">
      <w:pPr>
        <w:pStyle w:val="a3"/>
        <w:spacing w:before="10"/>
        <w:rPr>
          <w:sz w:val="17"/>
        </w:rPr>
      </w:pPr>
    </w:p>
    <w:p w14:paraId="6A572851" w14:textId="77777777" w:rsidR="00A71EEF" w:rsidRDefault="0081115D">
      <w:pPr>
        <w:pStyle w:val="a4"/>
        <w:numPr>
          <w:ilvl w:val="2"/>
          <w:numId w:val="54"/>
        </w:numPr>
        <w:tabs>
          <w:tab w:val="left" w:pos="1370"/>
        </w:tabs>
        <w:spacing w:before="1" w:line="446" w:lineRule="auto"/>
        <w:ind w:right="1505" w:firstLine="422"/>
        <w:rPr>
          <w:sz w:val="21"/>
        </w:rPr>
      </w:pPr>
      <w:r>
        <w:rPr>
          <w:spacing w:val="-5"/>
          <w:sz w:val="21"/>
        </w:rPr>
        <w:t>单洞双线载客运营地下区间的线路间宜设置耐火极限不低于</w:t>
      </w:r>
      <w:r>
        <w:rPr>
          <w:spacing w:val="-5"/>
          <w:sz w:val="21"/>
        </w:rPr>
        <w:t xml:space="preserve"> </w:t>
      </w:r>
      <w:r>
        <w:rPr>
          <w:sz w:val="21"/>
        </w:rPr>
        <w:t>3.00h</w:t>
      </w:r>
      <w:r>
        <w:rPr>
          <w:spacing w:val="-7"/>
          <w:sz w:val="21"/>
        </w:rPr>
        <w:t xml:space="preserve"> </w:t>
      </w:r>
      <w:r>
        <w:rPr>
          <w:spacing w:val="-7"/>
          <w:sz w:val="21"/>
        </w:rPr>
        <w:t>的防火墙；不设置</w:t>
      </w:r>
      <w:r>
        <w:rPr>
          <w:spacing w:val="-4"/>
          <w:sz w:val="21"/>
        </w:rPr>
        <w:t>防火墙且不能敷设排烟道</w:t>
      </w:r>
      <w:r>
        <w:rPr>
          <w:sz w:val="21"/>
        </w:rPr>
        <w:t>（</w:t>
      </w:r>
      <w:r>
        <w:rPr>
          <w:spacing w:val="-3"/>
          <w:sz w:val="21"/>
        </w:rPr>
        <w:t>管</w:t>
      </w:r>
      <w:r>
        <w:rPr>
          <w:sz w:val="21"/>
        </w:rPr>
        <w:t>）</w:t>
      </w:r>
      <w:r>
        <w:rPr>
          <w:spacing w:val="-6"/>
          <w:sz w:val="21"/>
        </w:rPr>
        <w:t>时，在地下区间内应每隔</w:t>
      </w:r>
      <w:r>
        <w:rPr>
          <w:spacing w:val="-6"/>
          <w:sz w:val="21"/>
        </w:rPr>
        <w:t xml:space="preserve"> </w:t>
      </w:r>
      <w:r>
        <w:rPr>
          <w:sz w:val="21"/>
        </w:rPr>
        <w:t>800m</w:t>
      </w:r>
      <w:r>
        <w:rPr>
          <w:spacing w:val="-7"/>
          <w:sz w:val="21"/>
        </w:rPr>
        <w:t xml:space="preserve"> </w:t>
      </w:r>
      <w:r>
        <w:rPr>
          <w:spacing w:val="-7"/>
          <w:sz w:val="21"/>
        </w:rPr>
        <w:t>设置一个直通地面的疏散井，井</w:t>
      </w:r>
      <w:r>
        <w:rPr>
          <w:spacing w:val="-4"/>
          <w:sz w:val="21"/>
        </w:rPr>
        <w:t>内的楼梯间应采用防烟楼梯间。</w:t>
      </w:r>
      <w:r>
        <w:rPr>
          <w:sz w:val="21"/>
        </w:rPr>
        <w:t xml:space="preserve"> </w:t>
      </w:r>
    </w:p>
    <w:p w14:paraId="2CB2985F" w14:textId="77777777" w:rsidR="00A71EEF" w:rsidRDefault="0081115D">
      <w:pPr>
        <w:pStyle w:val="a4"/>
        <w:numPr>
          <w:ilvl w:val="2"/>
          <w:numId w:val="54"/>
        </w:numPr>
        <w:tabs>
          <w:tab w:val="left" w:pos="1370"/>
        </w:tabs>
        <w:spacing w:line="268" w:lineRule="exact"/>
        <w:ind w:left="1369" w:hanging="530"/>
        <w:rPr>
          <w:sz w:val="21"/>
        </w:rPr>
      </w:pPr>
      <w:r>
        <w:rPr>
          <w:spacing w:val="-3"/>
          <w:sz w:val="21"/>
        </w:rPr>
        <w:t>当地下区间利用区间风井进行疏散时，风井内应设置直达地面的防烟楼梯间。</w:t>
      </w:r>
      <w:r>
        <w:rPr>
          <w:sz w:val="21"/>
        </w:rPr>
        <w:t xml:space="preserve"> </w:t>
      </w:r>
    </w:p>
    <w:p w14:paraId="5A8C5265" w14:textId="77777777" w:rsidR="00A71EEF" w:rsidRDefault="00A71EEF">
      <w:pPr>
        <w:pStyle w:val="a3"/>
        <w:spacing w:before="1"/>
        <w:rPr>
          <w:sz w:val="18"/>
        </w:rPr>
      </w:pPr>
    </w:p>
    <w:p w14:paraId="5441DD62" w14:textId="77777777" w:rsidR="00A71EEF" w:rsidRDefault="0081115D">
      <w:pPr>
        <w:pStyle w:val="a4"/>
        <w:numPr>
          <w:ilvl w:val="2"/>
          <w:numId w:val="54"/>
        </w:numPr>
        <w:tabs>
          <w:tab w:val="left" w:pos="1370"/>
        </w:tabs>
        <w:spacing w:line="446" w:lineRule="auto"/>
        <w:ind w:right="1604" w:firstLine="422"/>
        <w:rPr>
          <w:sz w:val="21"/>
        </w:rPr>
      </w:pPr>
      <w:r>
        <w:rPr>
          <w:spacing w:val="-3"/>
          <w:sz w:val="21"/>
        </w:rPr>
        <w:t>列车客室门应设置手动紧急解锁装置；需行驶于地下区间的列车的车头和车尾节应设置疏散门，各节车厢之间应贯通。</w:t>
      </w:r>
      <w:r>
        <w:rPr>
          <w:sz w:val="21"/>
        </w:rPr>
        <w:t xml:space="preserve"> </w:t>
      </w:r>
    </w:p>
    <w:p w14:paraId="7DD6D9A1" w14:textId="77777777" w:rsidR="00A71EEF" w:rsidRDefault="0081115D">
      <w:pPr>
        <w:pStyle w:val="a4"/>
        <w:numPr>
          <w:ilvl w:val="2"/>
          <w:numId w:val="54"/>
        </w:numPr>
        <w:tabs>
          <w:tab w:val="left" w:pos="1370"/>
        </w:tabs>
        <w:spacing w:line="446" w:lineRule="auto"/>
        <w:ind w:right="1604" w:firstLine="422"/>
        <w:jc w:val="both"/>
        <w:rPr>
          <w:sz w:val="21"/>
        </w:rPr>
      </w:pPr>
      <w:r>
        <w:rPr>
          <w:spacing w:val="-3"/>
          <w:sz w:val="21"/>
        </w:rPr>
        <w:t>区间两端采用侧式站台车站的载客运营地上区间，应设置纵向疏散平台；区间两端采用岛式站台车站的地上载客运营区间，应在上、下行线路之</w:t>
      </w:r>
      <w:r>
        <w:rPr>
          <w:spacing w:val="-3"/>
          <w:sz w:val="21"/>
        </w:rPr>
        <w:t>间设置纵向疏散平台，并应符合下列规定：</w:t>
      </w:r>
      <w:r>
        <w:rPr>
          <w:sz w:val="21"/>
        </w:rPr>
        <w:t xml:space="preserve"> </w:t>
      </w:r>
    </w:p>
    <w:p w14:paraId="3667FE4F" w14:textId="77777777" w:rsidR="00A71EEF" w:rsidRDefault="0081115D">
      <w:pPr>
        <w:pStyle w:val="a3"/>
        <w:spacing w:line="446" w:lineRule="auto"/>
        <w:ind w:left="418" w:right="1609" w:firstLine="419"/>
      </w:pPr>
      <w:r>
        <w:t>对于上、下行线合一的载客运营地上区间，当列车车头、车尾节设置疏散门，且各节车厢相互贯通或车辆侧门设置乘客下到道床面的设施时，可不设置纵向疏散平台。</w:t>
      </w:r>
      <w:r>
        <w:t xml:space="preserve"> </w:t>
      </w:r>
    </w:p>
    <w:p w14:paraId="4E93EA40" w14:textId="77777777" w:rsidR="00A71EEF" w:rsidRDefault="0081115D">
      <w:pPr>
        <w:pStyle w:val="a3"/>
        <w:spacing w:line="446" w:lineRule="auto"/>
        <w:ind w:left="418" w:right="1609" w:firstLine="419"/>
      </w:pPr>
      <w:r>
        <w:t>对于上、下行线分开的单向载客运营地上区间，当列车车头、车尾节设置疏散门，且各节车厢相互贯通时，可不设置纵向疏散平台。</w:t>
      </w:r>
      <w:r>
        <w:t xml:space="preserve"> </w:t>
      </w:r>
    </w:p>
    <w:p w14:paraId="1B8E7304" w14:textId="77777777" w:rsidR="00A71EEF" w:rsidRDefault="0081115D">
      <w:pPr>
        <w:pStyle w:val="a4"/>
        <w:numPr>
          <w:ilvl w:val="1"/>
          <w:numId w:val="54"/>
        </w:numPr>
        <w:tabs>
          <w:tab w:val="left" w:pos="1159"/>
        </w:tabs>
        <w:ind w:hanging="319"/>
        <w:rPr>
          <w:b/>
          <w:sz w:val="21"/>
        </w:rPr>
      </w:pPr>
      <w:r>
        <w:rPr>
          <w:spacing w:val="-3"/>
          <w:sz w:val="21"/>
        </w:rPr>
        <w:t>控制中心、主变电所与车辆基地</w:t>
      </w:r>
      <w:r>
        <w:rPr>
          <w:b/>
          <w:w w:val="99"/>
          <w:sz w:val="21"/>
        </w:rPr>
        <w:t xml:space="preserve"> </w:t>
      </w:r>
    </w:p>
    <w:p w14:paraId="42DF2B28" w14:textId="77777777" w:rsidR="00A71EEF" w:rsidRDefault="00A71EEF">
      <w:pPr>
        <w:pStyle w:val="a3"/>
        <w:spacing w:before="9"/>
        <w:rPr>
          <w:b/>
          <w:sz w:val="17"/>
        </w:rPr>
      </w:pPr>
    </w:p>
    <w:p w14:paraId="06877B0C" w14:textId="77777777" w:rsidR="00A71EEF" w:rsidRDefault="0081115D">
      <w:pPr>
        <w:pStyle w:val="a4"/>
        <w:numPr>
          <w:ilvl w:val="2"/>
          <w:numId w:val="54"/>
        </w:numPr>
        <w:tabs>
          <w:tab w:val="left" w:pos="1371"/>
        </w:tabs>
        <w:spacing w:before="1"/>
        <w:ind w:left="1370" w:hanging="531"/>
        <w:jc w:val="both"/>
        <w:rPr>
          <w:sz w:val="21"/>
        </w:rPr>
      </w:pPr>
      <w:r>
        <w:rPr>
          <w:spacing w:val="-7"/>
          <w:sz w:val="21"/>
        </w:rPr>
        <w:t>中央控制室的安全出口不应少于</w:t>
      </w:r>
      <w:r>
        <w:rPr>
          <w:spacing w:val="-7"/>
          <w:sz w:val="21"/>
        </w:rPr>
        <w:t xml:space="preserve"> </w:t>
      </w:r>
      <w:r>
        <w:rPr>
          <w:sz w:val="21"/>
        </w:rPr>
        <w:t>2</w:t>
      </w:r>
      <w:r>
        <w:rPr>
          <w:spacing w:val="-9"/>
          <w:sz w:val="21"/>
        </w:rPr>
        <w:t xml:space="preserve"> </w:t>
      </w:r>
      <w:r>
        <w:rPr>
          <w:spacing w:val="-9"/>
          <w:sz w:val="21"/>
        </w:rPr>
        <w:t>个，室内的设备布置应方便人员安全疏散。</w:t>
      </w:r>
      <w:r>
        <w:rPr>
          <w:sz w:val="21"/>
        </w:rPr>
        <w:t xml:space="preserve"> </w:t>
      </w:r>
    </w:p>
    <w:p w14:paraId="168822D9" w14:textId="77777777" w:rsidR="00A71EEF" w:rsidRDefault="00A71EEF">
      <w:pPr>
        <w:pStyle w:val="a3"/>
        <w:spacing w:before="12"/>
        <w:rPr>
          <w:sz w:val="17"/>
        </w:rPr>
      </w:pPr>
    </w:p>
    <w:p w14:paraId="7FADAE1A" w14:textId="77777777" w:rsidR="00A71EEF" w:rsidRDefault="0081115D">
      <w:pPr>
        <w:pStyle w:val="a4"/>
        <w:numPr>
          <w:ilvl w:val="2"/>
          <w:numId w:val="54"/>
        </w:numPr>
        <w:tabs>
          <w:tab w:val="left" w:pos="1371"/>
        </w:tabs>
        <w:spacing w:line="446" w:lineRule="auto"/>
        <w:ind w:right="1608" w:firstLine="422"/>
        <w:jc w:val="both"/>
        <w:rPr>
          <w:sz w:val="21"/>
        </w:rPr>
      </w:pPr>
      <w:r>
        <w:rPr>
          <w:spacing w:val="-10"/>
          <w:sz w:val="21"/>
        </w:rPr>
        <w:t>建筑面积大于</w:t>
      </w:r>
      <w:r>
        <w:rPr>
          <w:spacing w:val="-10"/>
          <w:sz w:val="21"/>
        </w:rPr>
        <w:t xml:space="preserve"> </w:t>
      </w:r>
      <w:r>
        <w:rPr>
          <w:sz w:val="21"/>
        </w:rPr>
        <w:t>250m2</w:t>
      </w:r>
      <w:r>
        <w:rPr>
          <w:spacing w:val="-10"/>
          <w:sz w:val="21"/>
        </w:rPr>
        <w:t xml:space="preserve"> </w:t>
      </w:r>
      <w:r>
        <w:rPr>
          <w:spacing w:val="-10"/>
          <w:sz w:val="21"/>
        </w:rPr>
        <w:t>的控制室和配电装置室、补偿装置室、电缆夹层应至少设置</w:t>
      </w:r>
      <w:r>
        <w:rPr>
          <w:spacing w:val="-10"/>
          <w:sz w:val="21"/>
        </w:rPr>
        <w:t xml:space="preserve"> </w:t>
      </w:r>
      <w:r>
        <w:rPr>
          <w:sz w:val="21"/>
        </w:rPr>
        <w:t xml:space="preserve">2 </w:t>
      </w:r>
      <w:r>
        <w:rPr>
          <w:spacing w:val="-5"/>
          <w:sz w:val="21"/>
        </w:rPr>
        <w:t>个安全出口，并宜布置在设备室的两端。建筑长度大于</w:t>
      </w:r>
      <w:r>
        <w:rPr>
          <w:spacing w:val="-5"/>
          <w:sz w:val="21"/>
        </w:rPr>
        <w:t xml:space="preserve"> </w:t>
      </w:r>
      <w:r>
        <w:rPr>
          <w:sz w:val="21"/>
        </w:rPr>
        <w:t>60m</w:t>
      </w:r>
      <w:r>
        <w:rPr>
          <w:spacing w:val="-7"/>
          <w:sz w:val="21"/>
        </w:rPr>
        <w:t xml:space="preserve"> </w:t>
      </w:r>
      <w:r>
        <w:rPr>
          <w:spacing w:val="-7"/>
          <w:sz w:val="21"/>
        </w:rPr>
        <w:t>的配电装置室，应在其中间适当部</w:t>
      </w:r>
      <w:r>
        <w:rPr>
          <w:spacing w:val="-17"/>
          <w:sz w:val="21"/>
        </w:rPr>
        <w:t>位增设</w:t>
      </w:r>
      <w:r>
        <w:rPr>
          <w:spacing w:val="-17"/>
          <w:sz w:val="21"/>
        </w:rPr>
        <w:t xml:space="preserve"> </w:t>
      </w:r>
      <w:r>
        <w:rPr>
          <w:sz w:val="21"/>
        </w:rPr>
        <w:t>1</w:t>
      </w:r>
      <w:r>
        <w:rPr>
          <w:spacing w:val="-10"/>
          <w:sz w:val="21"/>
        </w:rPr>
        <w:t xml:space="preserve"> </w:t>
      </w:r>
      <w:r>
        <w:rPr>
          <w:spacing w:val="-10"/>
          <w:sz w:val="21"/>
        </w:rPr>
        <w:t>个安全出口。</w:t>
      </w:r>
      <w:r>
        <w:rPr>
          <w:sz w:val="21"/>
        </w:rPr>
        <w:t xml:space="preserve"> </w:t>
      </w:r>
    </w:p>
    <w:p w14:paraId="44FD2264" w14:textId="77777777" w:rsidR="00A71EEF" w:rsidRDefault="0081115D">
      <w:pPr>
        <w:pStyle w:val="a4"/>
        <w:numPr>
          <w:ilvl w:val="2"/>
          <w:numId w:val="54"/>
        </w:numPr>
        <w:tabs>
          <w:tab w:val="left" w:pos="1371"/>
        </w:tabs>
        <w:spacing w:line="446" w:lineRule="auto"/>
        <w:ind w:right="1604" w:firstLine="422"/>
        <w:jc w:val="both"/>
        <w:rPr>
          <w:sz w:val="21"/>
        </w:rPr>
      </w:pPr>
      <w:r>
        <w:rPr>
          <w:spacing w:val="-3"/>
          <w:sz w:val="21"/>
        </w:rPr>
        <w:t>地下停车库、列检库、停车列检库、运用库和联合检修库等场所内每个防火分区的</w:t>
      </w:r>
      <w:r>
        <w:rPr>
          <w:spacing w:val="-9"/>
          <w:sz w:val="21"/>
        </w:rPr>
        <w:t>安全出口不应少于</w:t>
      </w:r>
      <w:r>
        <w:rPr>
          <w:spacing w:val="-9"/>
          <w:sz w:val="21"/>
        </w:rPr>
        <w:t xml:space="preserve"> </w:t>
      </w:r>
      <w:r>
        <w:rPr>
          <w:sz w:val="21"/>
        </w:rPr>
        <w:t>2</w:t>
      </w:r>
      <w:r>
        <w:rPr>
          <w:spacing w:val="-9"/>
          <w:sz w:val="21"/>
        </w:rPr>
        <w:t xml:space="preserve"> </w:t>
      </w:r>
      <w:r>
        <w:rPr>
          <w:spacing w:val="-9"/>
          <w:sz w:val="21"/>
        </w:rPr>
        <w:t>个，并应符合下列规定：</w:t>
      </w:r>
      <w:r>
        <w:rPr>
          <w:sz w:val="21"/>
        </w:rPr>
        <w:t xml:space="preserve"> </w:t>
      </w:r>
    </w:p>
    <w:p w14:paraId="3E1D356A" w14:textId="77777777" w:rsidR="00A71EEF" w:rsidRDefault="00A71EEF">
      <w:pPr>
        <w:spacing w:line="446" w:lineRule="auto"/>
        <w:jc w:val="both"/>
        <w:rPr>
          <w:sz w:val="21"/>
        </w:rPr>
        <w:sectPr w:rsidR="00A71EEF">
          <w:pgSz w:w="11910" w:h="16850"/>
          <w:pgMar w:top="1220" w:right="0" w:bottom="1420" w:left="1260" w:header="0" w:footer="1239" w:gutter="0"/>
          <w:cols w:space="720"/>
        </w:sectPr>
      </w:pPr>
    </w:p>
    <w:p w14:paraId="0196EA3F" w14:textId="77777777" w:rsidR="00A71EEF" w:rsidRDefault="0081115D">
      <w:pPr>
        <w:pStyle w:val="a3"/>
        <w:spacing w:before="47" w:line="446" w:lineRule="auto"/>
        <w:ind w:left="418" w:right="1450" w:firstLine="419"/>
      </w:pPr>
      <w:r>
        <w:rPr>
          <w:spacing w:val="-8"/>
        </w:rPr>
        <w:t>当室内外高差不大于</w:t>
      </w:r>
      <w:r>
        <w:rPr>
          <w:spacing w:val="-8"/>
        </w:rPr>
        <w:t xml:space="preserve"> </w:t>
      </w:r>
      <w:r>
        <w:t>10m</w:t>
      </w:r>
      <w:r>
        <w:rPr>
          <w:spacing w:val="-10"/>
        </w:rPr>
        <w:t>，平面上有</w:t>
      </w:r>
      <w:r>
        <w:rPr>
          <w:spacing w:val="-10"/>
        </w:rPr>
        <w:t xml:space="preserve"> </w:t>
      </w:r>
      <w:r>
        <w:t>2</w:t>
      </w:r>
      <w:r>
        <w:rPr>
          <w:spacing w:val="-24"/>
        </w:rPr>
        <w:t xml:space="preserve"> </w:t>
      </w:r>
      <w:r>
        <w:rPr>
          <w:spacing w:val="-24"/>
        </w:rPr>
        <w:t>个或</w:t>
      </w:r>
      <w:r>
        <w:rPr>
          <w:spacing w:val="-24"/>
        </w:rPr>
        <w:t xml:space="preserve"> </w:t>
      </w:r>
      <w:r>
        <w:t>2</w:t>
      </w:r>
      <w:r>
        <w:rPr>
          <w:spacing w:val="-8"/>
        </w:rPr>
        <w:t xml:space="preserve"> </w:t>
      </w:r>
      <w:r>
        <w:rPr>
          <w:spacing w:val="-8"/>
        </w:rPr>
        <w:t>个以上的防火分区相邻布置时，每个防火分区</w:t>
      </w:r>
      <w:r>
        <w:rPr>
          <w:spacing w:val="-5"/>
        </w:rPr>
        <w:t>可利用一个设置在防火墙上并通向相邻防火分区的甲级防火门作为第二个安全出口，但必须至</w:t>
      </w:r>
      <w:r>
        <w:rPr>
          <w:spacing w:val="-5"/>
        </w:rPr>
        <w:t xml:space="preserve"> </w:t>
      </w:r>
      <w:r>
        <w:rPr>
          <w:spacing w:val="-16"/>
        </w:rPr>
        <w:t>少设</w:t>
      </w:r>
      <w:r>
        <w:rPr>
          <w:spacing w:val="-16"/>
        </w:rPr>
        <w:t>置</w:t>
      </w:r>
      <w:r>
        <w:rPr>
          <w:spacing w:val="-16"/>
        </w:rPr>
        <w:t xml:space="preserve"> </w:t>
      </w:r>
      <w:r>
        <w:t>1</w:t>
      </w:r>
      <w:r>
        <w:rPr>
          <w:spacing w:val="-9"/>
        </w:rPr>
        <w:t xml:space="preserve"> </w:t>
      </w:r>
      <w:r>
        <w:rPr>
          <w:spacing w:val="-9"/>
        </w:rPr>
        <w:t>个直通室外的安全出口。</w:t>
      </w:r>
      <w:r>
        <w:t xml:space="preserve"> </w:t>
      </w:r>
    </w:p>
    <w:p w14:paraId="15A511FC" w14:textId="77777777" w:rsidR="00A71EEF" w:rsidRDefault="0081115D">
      <w:pPr>
        <w:pStyle w:val="a3"/>
        <w:spacing w:line="446" w:lineRule="auto"/>
        <w:ind w:left="418" w:right="1609" w:firstLine="419"/>
      </w:pPr>
      <w:r>
        <w:t>采光竖井或进风竖井内设置直通地面的疏散楼梯，且通向竖井处设置常闭甲级防火门的防火分区，可设置另一个通向室外或避难走道的安全出口。</w:t>
      </w:r>
      <w:r>
        <w:t xml:space="preserve"> </w:t>
      </w:r>
    </w:p>
    <w:p w14:paraId="78AFB2A2" w14:textId="77777777" w:rsidR="00A71EEF" w:rsidRDefault="0081115D">
      <w:pPr>
        <w:pStyle w:val="a4"/>
        <w:numPr>
          <w:ilvl w:val="2"/>
          <w:numId w:val="54"/>
        </w:numPr>
        <w:tabs>
          <w:tab w:val="left" w:pos="1371"/>
        </w:tabs>
        <w:spacing w:line="446" w:lineRule="auto"/>
        <w:ind w:right="1604" w:firstLine="422"/>
        <w:rPr>
          <w:sz w:val="21"/>
        </w:rPr>
      </w:pPr>
      <w:r>
        <w:rPr>
          <w:spacing w:val="-3"/>
          <w:sz w:val="21"/>
        </w:rPr>
        <w:t>地下停车库、列检库、停车列检库、运用库和联合检修库的室内最远一点至最近安</w:t>
      </w:r>
      <w:r>
        <w:rPr>
          <w:spacing w:val="-7"/>
          <w:sz w:val="21"/>
        </w:rPr>
        <w:t>全出口的疏散距离不应大于</w:t>
      </w:r>
      <w:r>
        <w:rPr>
          <w:spacing w:val="-7"/>
          <w:sz w:val="21"/>
        </w:rPr>
        <w:t xml:space="preserve"> </w:t>
      </w:r>
      <w:r>
        <w:rPr>
          <w:sz w:val="21"/>
        </w:rPr>
        <w:t>45m</w:t>
      </w:r>
      <w:r>
        <w:rPr>
          <w:spacing w:val="-6"/>
          <w:sz w:val="21"/>
        </w:rPr>
        <w:t>；当设置自动灭火系统时，不应大于</w:t>
      </w:r>
      <w:r>
        <w:rPr>
          <w:spacing w:val="-6"/>
          <w:sz w:val="21"/>
        </w:rPr>
        <w:t xml:space="preserve"> </w:t>
      </w:r>
      <w:r>
        <w:rPr>
          <w:sz w:val="21"/>
        </w:rPr>
        <w:t>60m</w:t>
      </w:r>
      <w:r>
        <w:rPr>
          <w:spacing w:val="-3"/>
          <w:sz w:val="21"/>
        </w:rPr>
        <w:t>。</w:t>
      </w:r>
      <w:r>
        <w:rPr>
          <w:sz w:val="21"/>
        </w:rPr>
        <w:t xml:space="preserve"> </w:t>
      </w:r>
    </w:p>
    <w:p w14:paraId="0764DE23" w14:textId="77777777" w:rsidR="00A71EEF" w:rsidRDefault="0081115D">
      <w:pPr>
        <w:pStyle w:val="a4"/>
        <w:numPr>
          <w:ilvl w:val="2"/>
          <w:numId w:val="54"/>
        </w:numPr>
        <w:tabs>
          <w:tab w:val="left" w:pos="1371"/>
        </w:tabs>
        <w:spacing w:line="446" w:lineRule="auto"/>
        <w:ind w:right="1604" w:firstLine="422"/>
        <w:rPr>
          <w:sz w:val="21"/>
        </w:rPr>
      </w:pPr>
      <w:r>
        <w:rPr>
          <w:spacing w:val="-3"/>
          <w:sz w:val="21"/>
        </w:rPr>
        <w:t>车辆基地和其建筑上部其他功能场所的人员安全出口应分别独立设置，且不得相互借用。</w:t>
      </w:r>
      <w:r>
        <w:rPr>
          <w:sz w:val="21"/>
        </w:rPr>
        <w:t xml:space="preserve"> </w:t>
      </w:r>
    </w:p>
    <w:p w14:paraId="43AAA886" w14:textId="77777777" w:rsidR="00A71EEF" w:rsidRDefault="0081115D">
      <w:pPr>
        <w:pStyle w:val="a4"/>
        <w:numPr>
          <w:ilvl w:val="1"/>
          <w:numId w:val="54"/>
        </w:numPr>
        <w:tabs>
          <w:tab w:val="left" w:pos="1159"/>
        </w:tabs>
        <w:ind w:hanging="319"/>
        <w:rPr>
          <w:sz w:val="21"/>
        </w:rPr>
      </w:pPr>
      <w:r>
        <w:rPr>
          <w:spacing w:val="-3"/>
          <w:sz w:val="21"/>
        </w:rPr>
        <w:t>疏散指示标志</w:t>
      </w:r>
      <w:r>
        <w:rPr>
          <w:sz w:val="21"/>
        </w:rPr>
        <w:t xml:space="preserve"> </w:t>
      </w:r>
    </w:p>
    <w:p w14:paraId="05100549" w14:textId="77777777" w:rsidR="00A71EEF" w:rsidRDefault="00A71EEF">
      <w:pPr>
        <w:pStyle w:val="a3"/>
        <w:spacing w:before="9"/>
        <w:rPr>
          <w:sz w:val="17"/>
        </w:rPr>
      </w:pPr>
    </w:p>
    <w:p w14:paraId="52A76483" w14:textId="77777777" w:rsidR="00A71EEF" w:rsidRDefault="0081115D">
      <w:pPr>
        <w:pStyle w:val="a4"/>
        <w:numPr>
          <w:ilvl w:val="2"/>
          <w:numId w:val="54"/>
        </w:numPr>
        <w:tabs>
          <w:tab w:val="left" w:pos="1370"/>
        </w:tabs>
        <w:spacing w:before="1" w:line="446" w:lineRule="auto"/>
        <w:ind w:right="1604" w:firstLine="422"/>
        <w:jc w:val="both"/>
        <w:rPr>
          <w:sz w:val="21"/>
        </w:rPr>
      </w:pPr>
      <w:r>
        <w:rPr>
          <w:spacing w:val="-3"/>
          <w:sz w:val="21"/>
        </w:rPr>
        <w:t>站台和站厅公共区、人行楼梯及其转角处、自动扶梯、疏散通道及其转角处、防烟楼梯间、消防专用通道、安全出口、避难走道、设备管理区内的走道和变电所的疏散通道等，</w:t>
      </w:r>
      <w:r>
        <w:rPr>
          <w:spacing w:val="-3"/>
          <w:sz w:val="21"/>
        </w:rPr>
        <w:t xml:space="preserve"> </w:t>
      </w:r>
      <w:r>
        <w:rPr>
          <w:spacing w:val="-3"/>
          <w:sz w:val="21"/>
        </w:rPr>
        <w:t>均应设置电光源型疏散指示标志。</w:t>
      </w:r>
      <w:r>
        <w:rPr>
          <w:sz w:val="21"/>
        </w:rPr>
        <w:t xml:space="preserve"> </w:t>
      </w:r>
    </w:p>
    <w:p w14:paraId="7AC7C8C2" w14:textId="77777777" w:rsidR="00A71EEF" w:rsidRDefault="0081115D">
      <w:pPr>
        <w:pStyle w:val="a4"/>
        <w:numPr>
          <w:ilvl w:val="2"/>
          <w:numId w:val="54"/>
        </w:numPr>
        <w:tabs>
          <w:tab w:val="left" w:pos="1370"/>
        </w:tabs>
        <w:spacing w:line="446" w:lineRule="auto"/>
        <w:ind w:right="1558" w:firstLine="422"/>
        <w:jc w:val="both"/>
        <w:rPr>
          <w:sz w:val="21"/>
        </w:rPr>
      </w:pPr>
      <w:r>
        <w:rPr>
          <w:spacing w:val="-3"/>
          <w:sz w:val="21"/>
        </w:rPr>
        <w:t>站台和站厅公共区内的疏散指示标志应设置在柱面或墙面上，标志的上边缘距地面</w:t>
      </w:r>
      <w:r>
        <w:rPr>
          <w:spacing w:val="-3"/>
          <w:sz w:val="21"/>
        </w:rPr>
        <w:t xml:space="preserve"> </w:t>
      </w:r>
      <w:r>
        <w:rPr>
          <w:spacing w:val="-11"/>
          <w:sz w:val="21"/>
        </w:rPr>
        <w:t>不应大于</w:t>
      </w:r>
      <w:r>
        <w:rPr>
          <w:spacing w:val="-11"/>
          <w:sz w:val="21"/>
        </w:rPr>
        <w:t xml:space="preserve"> </w:t>
      </w:r>
      <w:r>
        <w:rPr>
          <w:sz w:val="21"/>
        </w:rPr>
        <w:t>1m</w:t>
      </w:r>
      <w:r>
        <w:rPr>
          <w:spacing w:val="-8"/>
          <w:sz w:val="21"/>
        </w:rPr>
        <w:t>、间距不应大于</w:t>
      </w:r>
      <w:r>
        <w:rPr>
          <w:spacing w:val="-8"/>
          <w:sz w:val="21"/>
        </w:rPr>
        <w:t xml:space="preserve"> </w:t>
      </w:r>
      <w:r>
        <w:rPr>
          <w:sz w:val="21"/>
        </w:rPr>
        <w:t>20m</w:t>
      </w:r>
      <w:r>
        <w:rPr>
          <w:spacing w:val="-8"/>
          <w:sz w:val="21"/>
        </w:rPr>
        <w:t xml:space="preserve"> </w:t>
      </w:r>
      <w:r>
        <w:rPr>
          <w:spacing w:val="-8"/>
          <w:sz w:val="21"/>
        </w:rPr>
        <w:t>且不应大于两跨柱间距；在这些标志相对应位置的吊顶下宜增设疏散指示标志，其下边缘距地面不应小于</w:t>
      </w:r>
      <w:r>
        <w:rPr>
          <w:spacing w:val="-8"/>
          <w:sz w:val="21"/>
        </w:rPr>
        <w:t xml:space="preserve"> </w:t>
      </w:r>
      <w:r>
        <w:rPr>
          <w:sz w:val="21"/>
        </w:rPr>
        <w:t>2.2m</w:t>
      </w:r>
      <w:r>
        <w:rPr>
          <w:spacing w:val="-7"/>
          <w:sz w:val="21"/>
        </w:rPr>
        <w:t>，上边缘距吊顶面不应小于</w:t>
      </w:r>
      <w:r>
        <w:rPr>
          <w:spacing w:val="-7"/>
          <w:sz w:val="21"/>
        </w:rPr>
        <w:t xml:space="preserve"> </w:t>
      </w:r>
      <w:r>
        <w:rPr>
          <w:sz w:val="21"/>
        </w:rPr>
        <w:t>0.5m</w:t>
      </w:r>
      <w:r>
        <w:rPr>
          <w:spacing w:val="-3"/>
          <w:sz w:val="21"/>
        </w:rPr>
        <w:t>。</w:t>
      </w:r>
      <w:r>
        <w:rPr>
          <w:sz w:val="21"/>
        </w:rPr>
        <w:t xml:space="preserve"> </w:t>
      </w:r>
    </w:p>
    <w:p w14:paraId="5D6DAC24" w14:textId="77777777" w:rsidR="00A71EEF" w:rsidRDefault="0081115D">
      <w:pPr>
        <w:pStyle w:val="a4"/>
        <w:numPr>
          <w:ilvl w:val="2"/>
          <w:numId w:val="54"/>
        </w:numPr>
        <w:tabs>
          <w:tab w:val="left" w:pos="1371"/>
        </w:tabs>
        <w:spacing w:line="446" w:lineRule="auto"/>
        <w:ind w:right="1603" w:firstLine="422"/>
        <w:jc w:val="both"/>
        <w:rPr>
          <w:sz w:val="21"/>
        </w:rPr>
      </w:pPr>
      <w:r>
        <w:rPr>
          <w:spacing w:val="-3"/>
          <w:sz w:val="21"/>
        </w:rPr>
        <w:t>安全出口和疏散通道出口处的疏散指示标志应设置在门洞边缘或门洞的上部，标志</w:t>
      </w:r>
      <w:r>
        <w:rPr>
          <w:spacing w:val="-7"/>
          <w:sz w:val="21"/>
        </w:rPr>
        <w:t>的上边缘距吊顶面不应小于</w:t>
      </w:r>
      <w:r>
        <w:rPr>
          <w:spacing w:val="-7"/>
          <w:sz w:val="21"/>
        </w:rPr>
        <w:t xml:space="preserve"> </w:t>
      </w:r>
      <w:r>
        <w:rPr>
          <w:sz w:val="21"/>
        </w:rPr>
        <w:t>0.5m</w:t>
      </w:r>
      <w:r>
        <w:rPr>
          <w:spacing w:val="-8"/>
          <w:sz w:val="21"/>
        </w:rPr>
        <w:t>，下边缘距地面不应小于</w:t>
      </w:r>
      <w:r>
        <w:rPr>
          <w:spacing w:val="-8"/>
          <w:sz w:val="21"/>
        </w:rPr>
        <w:t xml:space="preserve"> </w:t>
      </w:r>
      <w:r>
        <w:rPr>
          <w:sz w:val="21"/>
        </w:rPr>
        <w:t>2m</w:t>
      </w:r>
      <w:r>
        <w:rPr>
          <w:spacing w:val="-3"/>
          <w:sz w:val="21"/>
        </w:rPr>
        <w:t>。</w:t>
      </w:r>
      <w:r>
        <w:rPr>
          <w:sz w:val="21"/>
        </w:rPr>
        <w:t xml:space="preserve"> </w:t>
      </w:r>
    </w:p>
    <w:p w14:paraId="5371D00C" w14:textId="77777777" w:rsidR="00A71EEF" w:rsidRDefault="0081115D">
      <w:pPr>
        <w:pStyle w:val="a4"/>
        <w:numPr>
          <w:ilvl w:val="2"/>
          <w:numId w:val="54"/>
        </w:numPr>
        <w:tabs>
          <w:tab w:val="left" w:pos="1371"/>
        </w:tabs>
        <w:spacing w:line="446" w:lineRule="auto"/>
        <w:ind w:right="1558" w:firstLine="422"/>
        <w:jc w:val="both"/>
        <w:rPr>
          <w:sz w:val="21"/>
        </w:rPr>
      </w:pPr>
      <w:r>
        <w:rPr>
          <w:spacing w:val="-3"/>
          <w:sz w:val="21"/>
        </w:rPr>
        <w:t>疏散通道两侧及转角处的疏散指示标志应设置在墙面上，标志的上边缘距地面不应</w:t>
      </w:r>
      <w:r>
        <w:rPr>
          <w:spacing w:val="-3"/>
          <w:sz w:val="21"/>
        </w:rPr>
        <w:t xml:space="preserve"> </w:t>
      </w:r>
      <w:r>
        <w:rPr>
          <w:spacing w:val="-17"/>
          <w:sz w:val="21"/>
        </w:rPr>
        <w:t>大于</w:t>
      </w:r>
      <w:r>
        <w:rPr>
          <w:spacing w:val="-17"/>
          <w:sz w:val="21"/>
        </w:rPr>
        <w:t xml:space="preserve"> </w:t>
      </w:r>
      <w:r>
        <w:rPr>
          <w:sz w:val="21"/>
        </w:rPr>
        <w:t>1m</w:t>
      </w:r>
      <w:r>
        <w:rPr>
          <w:spacing w:val="-8"/>
          <w:sz w:val="21"/>
        </w:rPr>
        <w:t>、间距不应大于</w:t>
      </w:r>
      <w:r>
        <w:rPr>
          <w:spacing w:val="-8"/>
          <w:sz w:val="21"/>
        </w:rPr>
        <w:t xml:space="preserve"> </w:t>
      </w:r>
      <w:r>
        <w:rPr>
          <w:sz w:val="21"/>
        </w:rPr>
        <w:t>10m</w:t>
      </w:r>
      <w:r>
        <w:rPr>
          <w:sz w:val="21"/>
        </w:rPr>
        <w:t>，</w:t>
      </w:r>
      <w:r>
        <w:rPr>
          <w:spacing w:val="-6"/>
          <w:sz w:val="21"/>
        </w:rPr>
        <w:t>通道转角处的标志间距不应大于</w:t>
      </w:r>
      <w:r>
        <w:rPr>
          <w:spacing w:val="-6"/>
          <w:sz w:val="21"/>
        </w:rPr>
        <w:t xml:space="preserve"> </w:t>
      </w:r>
      <w:r>
        <w:rPr>
          <w:sz w:val="21"/>
        </w:rPr>
        <w:t>1m</w:t>
      </w:r>
      <w:r>
        <w:rPr>
          <w:spacing w:val="-3"/>
          <w:sz w:val="21"/>
        </w:rPr>
        <w:t>；在这些标志相对应位置的吊</w:t>
      </w:r>
      <w:r>
        <w:rPr>
          <w:spacing w:val="-4"/>
          <w:sz w:val="21"/>
        </w:rPr>
        <w:t>顶下宜增设疏散指示标志，其下边缘距地面不应小于</w:t>
      </w:r>
      <w:r>
        <w:rPr>
          <w:spacing w:val="-4"/>
          <w:sz w:val="21"/>
        </w:rPr>
        <w:t xml:space="preserve"> </w:t>
      </w:r>
      <w:r>
        <w:rPr>
          <w:sz w:val="21"/>
        </w:rPr>
        <w:t>2.2m</w:t>
      </w:r>
      <w:r>
        <w:rPr>
          <w:spacing w:val="-3"/>
          <w:sz w:val="21"/>
        </w:rPr>
        <w:t>。设备管理区疏散走道内的疏散指示</w:t>
      </w:r>
      <w:r>
        <w:rPr>
          <w:spacing w:val="-9"/>
          <w:sz w:val="21"/>
        </w:rPr>
        <w:t>标志间距不应大于</w:t>
      </w:r>
      <w:r>
        <w:rPr>
          <w:spacing w:val="-9"/>
          <w:sz w:val="21"/>
        </w:rPr>
        <w:t xml:space="preserve"> </w:t>
      </w:r>
      <w:r>
        <w:rPr>
          <w:sz w:val="21"/>
        </w:rPr>
        <w:t>10m</w:t>
      </w:r>
      <w:r>
        <w:rPr>
          <w:sz w:val="21"/>
        </w:rPr>
        <w:t>。</w:t>
      </w:r>
      <w:r>
        <w:rPr>
          <w:sz w:val="21"/>
        </w:rPr>
        <w:t xml:space="preserve"> </w:t>
      </w:r>
    </w:p>
    <w:p w14:paraId="50473693" w14:textId="77777777" w:rsidR="00A71EEF" w:rsidRDefault="0081115D">
      <w:pPr>
        <w:pStyle w:val="a4"/>
        <w:numPr>
          <w:ilvl w:val="2"/>
          <w:numId w:val="54"/>
        </w:numPr>
        <w:tabs>
          <w:tab w:val="left" w:pos="1370"/>
        </w:tabs>
        <w:spacing w:line="446" w:lineRule="auto"/>
        <w:ind w:right="1813" w:firstLine="422"/>
        <w:jc w:val="both"/>
        <w:rPr>
          <w:sz w:val="21"/>
        </w:rPr>
      </w:pPr>
      <w:r>
        <w:rPr>
          <w:spacing w:val="-6"/>
          <w:sz w:val="21"/>
        </w:rPr>
        <w:t>自动扶梯起点侧面及人行楼梯起步的</w:t>
      </w:r>
      <w:r>
        <w:rPr>
          <w:spacing w:val="-6"/>
          <w:sz w:val="21"/>
        </w:rPr>
        <w:t xml:space="preserve"> </w:t>
      </w:r>
      <w:r>
        <w:rPr>
          <w:sz w:val="21"/>
        </w:rPr>
        <w:t>3</w:t>
      </w:r>
      <w:r>
        <w:rPr>
          <w:spacing w:val="-8"/>
          <w:sz w:val="21"/>
        </w:rPr>
        <w:t xml:space="preserve"> </w:t>
      </w:r>
      <w:r>
        <w:rPr>
          <w:spacing w:val="-8"/>
          <w:sz w:val="21"/>
        </w:rPr>
        <w:t>阶踏步立面处，宜增设蓄光型疏散指示标</w:t>
      </w:r>
      <w:r>
        <w:rPr>
          <w:spacing w:val="-6"/>
          <w:sz w:val="21"/>
        </w:rPr>
        <w:t>志。</w:t>
      </w:r>
      <w:r>
        <w:rPr>
          <w:sz w:val="21"/>
        </w:rPr>
        <w:t xml:space="preserve"> </w:t>
      </w:r>
    </w:p>
    <w:p w14:paraId="5705738D" w14:textId="77777777" w:rsidR="00A71EEF" w:rsidRDefault="0081115D">
      <w:pPr>
        <w:pStyle w:val="a4"/>
        <w:numPr>
          <w:ilvl w:val="2"/>
          <w:numId w:val="54"/>
        </w:numPr>
        <w:tabs>
          <w:tab w:val="left" w:pos="1371"/>
        </w:tabs>
        <w:spacing w:line="446" w:lineRule="auto"/>
        <w:ind w:right="1604" w:firstLine="422"/>
        <w:jc w:val="both"/>
        <w:rPr>
          <w:sz w:val="21"/>
        </w:rPr>
      </w:pPr>
      <w:r>
        <w:rPr>
          <w:spacing w:val="-3"/>
          <w:sz w:val="21"/>
        </w:rPr>
        <w:t>地下</w:t>
      </w:r>
      <w:r>
        <w:rPr>
          <w:spacing w:val="-3"/>
          <w:sz w:val="21"/>
        </w:rPr>
        <w:t>区间纵向疏散平台上应设置疏散指示标志和与疏散出口的距离标识。疏散指示标志和疏散出口的距离标识应设置在疏散平台的侧墙上，不应侵占疏散平台宽度，间距不宜大</w:t>
      </w:r>
      <w:r>
        <w:rPr>
          <w:spacing w:val="-28"/>
          <w:sz w:val="21"/>
        </w:rPr>
        <w:t>于</w:t>
      </w:r>
      <w:r>
        <w:rPr>
          <w:spacing w:val="-28"/>
          <w:sz w:val="21"/>
        </w:rPr>
        <w:t xml:space="preserve"> </w:t>
      </w:r>
      <w:r>
        <w:rPr>
          <w:sz w:val="21"/>
        </w:rPr>
        <w:t>15m</w:t>
      </w:r>
      <w:r>
        <w:rPr>
          <w:spacing w:val="-3"/>
          <w:sz w:val="21"/>
        </w:rPr>
        <w:t>。</w:t>
      </w:r>
      <w:r>
        <w:rPr>
          <w:sz w:val="21"/>
        </w:rPr>
        <w:t xml:space="preserve"> </w:t>
      </w:r>
    </w:p>
    <w:p w14:paraId="072ED360" w14:textId="77777777" w:rsidR="00A71EEF" w:rsidRDefault="0081115D">
      <w:pPr>
        <w:pStyle w:val="a4"/>
        <w:numPr>
          <w:ilvl w:val="2"/>
          <w:numId w:val="54"/>
        </w:numPr>
        <w:tabs>
          <w:tab w:val="left" w:pos="1371"/>
        </w:tabs>
        <w:spacing w:line="268" w:lineRule="exact"/>
        <w:ind w:left="1370" w:hanging="531"/>
        <w:rPr>
          <w:sz w:val="21"/>
        </w:rPr>
      </w:pPr>
      <w:r>
        <w:rPr>
          <w:spacing w:val="-3"/>
          <w:sz w:val="21"/>
        </w:rPr>
        <w:t>地下区间之间的联络通道的洞口上部，应垂直于门洞设置具有双面标识常亮的疏散</w:t>
      </w:r>
    </w:p>
    <w:p w14:paraId="2A6FB39D" w14:textId="77777777" w:rsidR="00A71EEF" w:rsidRDefault="00A71EEF">
      <w:pPr>
        <w:spacing w:line="268" w:lineRule="exact"/>
        <w:rPr>
          <w:sz w:val="21"/>
        </w:rPr>
        <w:sectPr w:rsidR="00A71EEF">
          <w:pgSz w:w="11910" w:h="16850"/>
          <w:pgMar w:top="1220" w:right="0" w:bottom="1420" w:left="1260" w:header="0" w:footer="1239" w:gutter="0"/>
          <w:cols w:space="720"/>
        </w:sectPr>
      </w:pPr>
    </w:p>
    <w:p w14:paraId="1A4A482F" w14:textId="77777777" w:rsidR="00A71EEF" w:rsidRDefault="0081115D">
      <w:pPr>
        <w:pStyle w:val="a3"/>
        <w:spacing w:before="47"/>
        <w:ind w:left="418"/>
      </w:pPr>
      <w:r>
        <w:t>指示标志。</w:t>
      </w:r>
      <w:r>
        <w:t xml:space="preserve"> </w:t>
      </w:r>
    </w:p>
    <w:p w14:paraId="2EBFE4C1" w14:textId="77777777" w:rsidR="00A71EEF" w:rsidRDefault="00A71EEF">
      <w:pPr>
        <w:pStyle w:val="a3"/>
        <w:rPr>
          <w:sz w:val="18"/>
        </w:rPr>
      </w:pPr>
    </w:p>
    <w:p w14:paraId="12B78400" w14:textId="77777777" w:rsidR="00A71EEF" w:rsidRDefault="0081115D">
      <w:pPr>
        <w:pStyle w:val="a4"/>
        <w:numPr>
          <w:ilvl w:val="2"/>
          <w:numId w:val="54"/>
        </w:numPr>
        <w:tabs>
          <w:tab w:val="left" w:pos="1371"/>
        </w:tabs>
        <w:spacing w:line="432" w:lineRule="auto"/>
        <w:ind w:right="1604" w:firstLine="422"/>
        <w:rPr>
          <w:b/>
          <w:sz w:val="24"/>
        </w:rPr>
      </w:pPr>
      <w:r>
        <w:rPr>
          <w:spacing w:val="-3"/>
          <w:sz w:val="21"/>
        </w:rPr>
        <w:t>疏散指示标志应设置在不被遮挡的醒目位置，不应设置在可开启的门、窗和其他可移动的物体上。疏散指示标志的图形及其文字的尺寸应与空间大小及标志的设置间距匹配。</w:t>
      </w:r>
      <w:r>
        <w:rPr>
          <w:spacing w:val="-3"/>
          <w:sz w:val="21"/>
        </w:rPr>
        <w:t xml:space="preserve">  </w:t>
      </w:r>
      <w:r>
        <w:rPr>
          <w:b/>
          <w:sz w:val="24"/>
        </w:rPr>
        <w:t>6</w:t>
      </w:r>
      <w:r>
        <w:rPr>
          <w:b/>
          <w:spacing w:val="-1"/>
          <w:sz w:val="24"/>
        </w:rPr>
        <w:t xml:space="preserve"> </w:t>
      </w:r>
      <w:r>
        <w:rPr>
          <w:b/>
          <w:spacing w:val="-1"/>
          <w:sz w:val="24"/>
        </w:rPr>
        <w:t>建筑构造</w:t>
      </w:r>
      <w:r>
        <w:rPr>
          <w:b/>
          <w:spacing w:val="-1"/>
          <w:w w:val="99"/>
          <w:sz w:val="24"/>
        </w:rPr>
        <w:t xml:space="preserve"> </w:t>
      </w:r>
    </w:p>
    <w:p w14:paraId="254FBD35" w14:textId="77777777" w:rsidR="00A71EEF" w:rsidRDefault="0081115D">
      <w:pPr>
        <w:pStyle w:val="a4"/>
        <w:numPr>
          <w:ilvl w:val="1"/>
          <w:numId w:val="53"/>
        </w:numPr>
        <w:tabs>
          <w:tab w:val="left" w:pos="1159"/>
        </w:tabs>
        <w:spacing w:line="247" w:lineRule="exact"/>
        <w:ind w:hanging="319"/>
        <w:rPr>
          <w:sz w:val="21"/>
        </w:rPr>
      </w:pPr>
      <w:r>
        <w:rPr>
          <w:spacing w:val="-3"/>
          <w:sz w:val="21"/>
        </w:rPr>
        <w:t>防火分隔设施</w:t>
      </w:r>
      <w:r>
        <w:rPr>
          <w:sz w:val="21"/>
        </w:rPr>
        <w:t xml:space="preserve"> </w:t>
      </w:r>
    </w:p>
    <w:p w14:paraId="7F1A5F7C" w14:textId="77777777" w:rsidR="00A71EEF" w:rsidRDefault="00A71EEF">
      <w:pPr>
        <w:pStyle w:val="a3"/>
        <w:rPr>
          <w:sz w:val="18"/>
        </w:rPr>
      </w:pPr>
    </w:p>
    <w:p w14:paraId="31CE11F5" w14:textId="77777777" w:rsidR="00A71EEF" w:rsidRDefault="0081115D">
      <w:pPr>
        <w:pStyle w:val="a4"/>
        <w:numPr>
          <w:ilvl w:val="2"/>
          <w:numId w:val="53"/>
        </w:numPr>
        <w:tabs>
          <w:tab w:val="left" w:pos="1371"/>
        </w:tabs>
        <w:spacing w:line="446" w:lineRule="auto"/>
        <w:ind w:right="1604" w:firstLine="422"/>
        <w:jc w:val="both"/>
        <w:rPr>
          <w:sz w:val="21"/>
        </w:rPr>
      </w:pPr>
      <w:r>
        <w:rPr>
          <w:spacing w:val="-3"/>
          <w:sz w:val="21"/>
        </w:rPr>
        <w:t>在所有管线</w:t>
      </w:r>
      <w:r>
        <w:rPr>
          <w:sz w:val="21"/>
        </w:rPr>
        <w:t>（</w:t>
      </w:r>
      <w:r>
        <w:rPr>
          <w:spacing w:val="-3"/>
          <w:sz w:val="21"/>
        </w:rPr>
        <w:t>道）穿越防火墙、防火隔墙、楼板、电缆通道和管沟隔墙处，均应采用防火封堵材料紧密填实。在难燃或可燃材质的管线</w:t>
      </w:r>
      <w:r>
        <w:rPr>
          <w:sz w:val="21"/>
        </w:rPr>
        <w:t>（</w:t>
      </w:r>
      <w:r>
        <w:rPr>
          <w:spacing w:val="-3"/>
          <w:sz w:val="21"/>
        </w:rPr>
        <w:t>道</w:t>
      </w:r>
      <w:r>
        <w:rPr>
          <w:sz w:val="21"/>
        </w:rPr>
        <w:t>）</w:t>
      </w:r>
      <w:r>
        <w:rPr>
          <w:spacing w:val="-3"/>
          <w:sz w:val="21"/>
        </w:rPr>
        <w:t>穿越防火墙、防火隔墙、楼板处，</w:t>
      </w:r>
      <w:r>
        <w:rPr>
          <w:spacing w:val="-3"/>
          <w:sz w:val="21"/>
        </w:rPr>
        <w:t xml:space="preserve"> </w:t>
      </w:r>
      <w:r>
        <w:rPr>
          <w:spacing w:val="-3"/>
          <w:sz w:val="21"/>
        </w:rPr>
        <w:t>应在墙体或楼板两侧的管线</w:t>
      </w:r>
      <w:r>
        <w:rPr>
          <w:sz w:val="21"/>
        </w:rPr>
        <w:t>（</w:t>
      </w:r>
      <w:r>
        <w:rPr>
          <w:spacing w:val="-3"/>
          <w:sz w:val="21"/>
        </w:rPr>
        <w:t>道</w:t>
      </w:r>
      <w:r>
        <w:rPr>
          <w:sz w:val="21"/>
        </w:rPr>
        <w:t>）</w:t>
      </w:r>
      <w:r>
        <w:rPr>
          <w:spacing w:val="-3"/>
          <w:sz w:val="21"/>
        </w:rPr>
        <w:t>上采取防火封堵措施。在管道穿越防火墙、防火隔墙、楼板</w:t>
      </w:r>
      <w:r>
        <w:rPr>
          <w:spacing w:val="-13"/>
          <w:sz w:val="21"/>
        </w:rPr>
        <w:t>处两侧各</w:t>
      </w:r>
      <w:r>
        <w:rPr>
          <w:spacing w:val="-13"/>
          <w:sz w:val="21"/>
        </w:rPr>
        <w:t xml:space="preserve"> </w:t>
      </w:r>
      <w:r>
        <w:rPr>
          <w:sz w:val="21"/>
        </w:rPr>
        <w:t>1.0m</w:t>
      </w:r>
      <w:r>
        <w:rPr>
          <w:spacing w:val="-9"/>
          <w:sz w:val="21"/>
        </w:rPr>
        <w:t xml:space="preserve"> </w:t>
      </w:r>
      <w:r>
        <w:rPr>
          <w:spacing w:val="-9"/>
          <w:sz w:val="21"/>
        </w:rPr>
        <w:t>范围内的管道保温材料应采用不燃材料。</w:t>
      </w:r>
      <w:r>
        <w:rPr>
          <w:sz w:val="21"/>
        </w:rPr>
        <w:t xml:space="preserve"> </w:t>
      </w:r>
    </w:p>
    <w:p w14:paraId="4993ABDC" w14:textId="77777777" w:rsidR="00A71EEF" w:rsidRDefault="0081115D">
      <w:pPr>
        <w:pStyle w:val="a4"/>
        <w:numPr>
          <w:ilvl w:val="2"/>
          <w:numId w:val="53"/>
        </w:numPr>
        <w:tabs>
          <w:tab w:val="left" w:pos="1371"/>
        </w:tabs>
        <w:spacing w:line="446" w:lineRule="auto"/>
        <w:ind w:right="1604" w:firstLine="422"/>
        <w:rPr>
          <w:sz w:val="21"/>
        </w:rPr>
      </w:pPr>
      <w:r>
        <w:rPr>
          <w:spacing w:val="-3"/>
          <w:sz w:val="21"/>
        </w:rPr>
        <w:t>电缆至建筑物的入口或配电间和控制室的沟道入口处、电缆引至电气柜</w:t>
      </w:r>
      <w:r>
        <w:rPr>
          <w:sz w:val="21"/>
        </w:rPr>
        <w:t>（</w:t>
      </w:r>
      <w:r>
        <w:rPr>
          <w:spacing w:val="-3"/>
          <w:sz w:val="21"/>
        </w:rPr>
        <w:t>盘</w:t>
      </w:r>
      <w:r>
        <w:rPr>
          <w:sz w:val="21"/>
        </w:rPr>
        <w:t>）</w:t>
      </w:r>
      <w:r>
        <w:rPr>
          <w:spacing w:val="-2"/>
          <w:sz w:val="21"/>
        </w:rPr>
        <w:t>或控</w:t>
      </w:r>
      <w:r>
        <w:rPr>
          <w:spacing w:val="-3"/>
          <w:sz w:val="21"/>
        </w:rPr>
        <w:t>制屏的开孔部位，应采取防火封堵措施。</w:t>
      </w:r>
      <w:r>
        <w:rPr>
          <w:sz w:val="21"/>
        </w:rPr>
        <w:t xml:space="preserve"> </w:t>
      </w:r>
    </w:p>
    <w:p w14:paraId="4134F82E" w14:textId="77777777" w:rsidR="00A71EEF" w:rsidRDefault="0081115D">
      <w:pPr>
        <w:pStyle w:val="a4"/>
        <w:numPr>
          <w:ilvl w:val="2"/>
          <w:numId w:val="53"/>
        </w:numPr>
        <w:tabs>
          <w:tab w:val="left" w:pos="1370"/>
        </w:tabs>
        <w:spacing w:line="446" w:lineRule="auto"/>
        <w:ind w:right="1604" w:firstLine="422"/>
        <w:rPr>
          <w:sz w:val="21"/>
        </w:rPr>
      </w:pPr>
      <w:r>
        <w:rPr>
          <w:spacing w:val="-3"/>
          <w:sz w:val="21"/>
        </w:rPr>
        <w:t>防火墙上、防烟楼梯间和避难走道的前室入口处、联络通道处的门均应采用甲级防火门，防火隔墙上的门、管道井的检查门及其他部位的疏散门均应采用乙级防火门。</w:t>
      </w:r>
      <w:r>
        <w:rPr>
          <w:sz w:val="21"/>
        </w:rPr>
        <w:t xml:space="preserve"> </w:t>
      </w:r>
    </w:p>
    <w:p w14:paraId="2821CDB6" w14:textId="77777777" w:rsidR="00A71EEF" w:rsidRDefault="0081115D">
      <w:pPr>
        <w:pStyle w:val="a4"/>
        <w:numPr>
          <w:ilvl w:val="2"/>
          <w:numId w:val="53"/>
        </w:numPr>
        <w:tabs>
          <w:tab w:val="left" w:pos="1370"/>
        </w:tabs>
        <w:spacing w:line="446" w:lineRule="auto"/>
        <w:ind w:right="1604" w:firstLine="422"/>
        <w:rPr>
          <w:sz w:val="21"/>
        </w:rPr>
      </w:pPr>
      <w:r>
        <w:rPr>
          <w:spacing w:val="-3"/>
          <w:sz w:val="21"/>
        </w:rPr>
        <w:t>疏散门及消防专用出入口、联络通道和区间风井处的防火门，应保证火灾时不需使用钥匙等工具即能向疏散方向开启，并应在显著位置设置标识和使用提示。</w:t>
      </w:r>
      <w:r>
        <w:rPr>
          <w:sz w:val="21"/>
        </w:rPr>
        <w:t xml:space="preserve"> </w:t>
      </w:r>
    </w:p>
    <w:p w14:paraId="33DD8028" w14:textId="77777777" w:rsidR="00A71EEF" w:rsidRDefault="0081115D">
      <w:pPr>
        <w:pStyle w:val="a4"/>
        <w:numPr>
          <w:ilvl w:val="2"/>
          <w:numId w:val="53"/>
        </w:numPr>
        <w:tabs>
          <w:tab w:val="left" w:pos="1370"/>
        </w:tabs>
        <w:ind w:left="1369" w:hanging="530"/>
        <w:rPr>
          <w:sz w:val="21"/>
        </w:rPr>
      </w:pPr>
      <w:r>
        <w:rPr>
          <w:spacing w:val="-3"/>
          <w:sz w:val="21"/>
        </w:rPr>
        <w:t>设置在建筑变形缝附近的防火门，门扇启闭时不应骑跨变形缝。</w:t>
      </w:r>
      <w:r>
        <w:rPr>
          <w:sz w:val="21"/>
        </w:rPr>
        <w:t xml:space="preserve"> </w:t>
      </w:r>
    </w:p>
    <w:p w14:paraId="538A4B7B" w14:textId="77777777" w:rsidR="00A71EEF" w:rsidRDefault="00A71EEF">
      <w:pPr>
        <w:pStyle w:val="a3"/>
        <w:spacing w:before="10"/>
        <w:rPr>
          <w:sz w:val="17"/>
        </w:rPr>
      </w:pPr>
    </w:p>
    <w:p w14:paraId="7B7E9C6D" w14:textId="77777777" w:rsidR="00A71EEF" w:rsidRDefault="0081115D">
      <w:pPr>
        <w:pStyle w:val="a4"/>
        <w:numPr>
          <w:ilvl w:val="2"/>
          <w:numId w:val="53"/>
        </w:numPr>
        <w:tabs>
          <w:tab w:val="left" w:pos="1370"/>
        </w:tabs>
        <w:spacing w:line="446" w:lineRule="auto"/>
        <w:ind w:right="1604" w:firstLine="422"/>
        <w:rPr>
          <w:sz w:val="21"/>
        </w:rPr>
      </w:pPr>
      <w:r>
        <w:rPr>
          <w:spacing w:val="-3"/>
          <w:sz w:val="21"/>
        </w:rPr>
        <w:t>在过</w:t>
      </w:r>
      <w:r>
        <w:rPr>
          <w:spacing w:val="-3"/>
          <w:sz w:val="21"/>
        </w:rPr>
        <w:t>往列车及隧道通风的正、负压力作用下，区间风井内防烟楼梯间前室和联络通道处的防火门不应自动开启。</w:t>
      </w:r>
      <w:r>
        <w:rPr>
          <w:sz w:val="21"/>
        </w:rPr>
        <w:t xml:space="preserve"> </w:t>
      </w:r>
    </w:p>
    <w:p w14:paraId="4343ED45" w14:textId="77777777" w:rsidR="00A71EEF" w:rsidRDefault="0081115D">
      <w:pPr>
        <w:pStyle w:val="a4"/>
        <w:numPr>
          <w:ilvl w:val="2"/>
          <w:numId w:val="53"/>
        </w:numPr>
        <w:tabs>
          <w:tab w:val="left" w:pos="1371"/>
        </w:tabs>
        <w:ind w:left="1370"/>
        <w:rPr>
          <w:sz w:val="21"/>
        </w:rPr>
      </w:pPr>
      <w:r>
        <w:rPr>
          <w:spacing w:val="-3"/>
          <w:sz w:val="21"/>
        </w:rPr>
        <w:t>防火墙上的窗口应采用固定式甲级防火窗。</w:t>
      </w:r>
      <w:r>
        <w:rPr>
          <w:sz w:val="21"/>
        </w:rPr>
        <w:t xml:space="preserve"> </w:t>
      </w:r>
    </w:p>
    <w:p w14:paraId="1FF24AA8" w14:textId="77777777" w:rsidR="00A71EEF" w:rsidRDefault="00A71EEF">
      <w:pPr>
        <w:pStyle w:val="a3"/>
        <w:rPr>
          <w:sz w:val="18"/>
        </w:rPr>
      </w:pPr>
    </w:p>
    <w:p w14:paraId="2D26D9A9" w14:textId="77777777" w:rsidR="00A71EEF" w:rsidRDefault="0081115D">
      <w:pPr>
        <w:pStyle w:val="a4"/>
        <w:numPr>
          <w:ilvl w:val="2"/>
          <w:numId w:val="53"/>
        </w:numPr>
        <w:tabs>
          <w:tab w:val="left" w:pos="1370"/>
        </w:tabs>
        <w:spacing w:line="446" w:lineRule="auto"/>
        <w:ind w:right="1604" w:firstLine="422"/>
        <w:rPr>
          <w:sz w:val="21"/>
        </w:rPr>
      </w:pPr>
      <w:r>
        <w:rPr>
          <w:spacing w:val="-3"/>
          <w:sz w:val="21"/>
        </w:rPr>
        <w:t>防火隔墙上的窗口应采用固定式乙级防火窗，必须设置活动式防火窗时，应具备火灾时能自动关闭的功能。</w:t>
      </w:r>
      <w:r>
        <w:rPr>
          <w:sz w:val="21"/>
        </w:rPr>
        <w:t xml:space="preserve"> </w:t>
      </w:r>
    </w:p>
    <w:p w14:paraId="4678FEF0" w14:textId="77777777" w:rsidR="00A71EEF" w:rsidRDefault="0081115D">
      <w:pPr>
        <w:pStyle w:val="a4"/>
        <w:numPr>
          <w:ilvl w:val="2"/>
          <w:numId w:val="53"/>
        </w:numPr>
        <w:tabs>
          <w:tab w:val="left" w:pos="1371"/>
        </w:tabs>
        <w:ind w:left="1370"/>
        <w:rPr>
          <w:sz w:val="21"/>
        </w:rPr>
      </w:pPr>
      <w:r>
        <w:rPr>
          <w:spacing w:val="-3"/>
          <w:sz w:val="21"/>
        </w:rPr>
        <w:t>乘客的疏散通道上不应设置防火卷帘。</w:t>
      </w:r>
      <w:r>
        <w:rPr>
          <w:sz w:val="21"/>
        </w:rPr>
        <w:t xml:space="preserve"> </w:t>
      </w:r>
    </w:p>
    <w:p w14:paraId="2AD90F29" w14:textId="77777777" w:rsidR="00A71EEF" w:rsidRDefault="00A71EEF">
      <w:pPr>
        <w:pStyle w:val="a3"/>
        <w:spacing w:before="12"/>
        <w:rPr>
          <w:sz w:val="17"/>
        </w:rPr>
      </w:pPr>
    </w:p>
    <w:p w14:paraId="642766CB" w14:textId="77777777" w:rsidR="00A71EEF" w:rsidRDefault="0081115D">
      <w:pPr>
        <w:pStyle w:val="a4"/>
        <w:numPr>
          <w:ilvl w:val="1"/>
          <w:numId w:val="53"/>
        </w:numPr>
        <w:tabs>
          <w:tab w:val="left" w:pos="1159"/>
        </w:tabs>
        <w:ind w:hanging="319"/>
        <w:rPr>
          <w:b/>
          <w:sz w:val="21"/>
        </w:rPr>
      </w:pPr>
      <w:r>
        <w:rPr>
          <w:spacing w:val="-3"/>
          <w:sz w:val="21"/>
        </w:rPr>
        <w:t>自动扶梯、楼梯间、管道井与纵向疏散平台</w:t>
      </w:r>
      <w:r>
        <w:rPr>
          <w:b/>
          <w:w w:val="99"/>
          <w:sz w:val="21"/>
        </w:rPr>
        <w:t xml:space="preserve"> </w:t>
      </w:r>
    </w:p>
    <w:p w14:paraId="569F5DD9" w14:textId="77777777" w:rsidR="00A71EEF" w:rsidRDefault="00A71EEF">
      <w:pPr>
        <w:pStyle w:val="a3"/>
        <w:rPr>
          <w:b/>
          <w:sz w:val="18"/>
        </w:rPr>
      </w:pPr>
    </w:p>
    <w:p w14:paraId="3AE04172" w14:textId="77777777" w:rsidR="00A71EEF" w:rsidRDefault="0081115D">
      <w:pPr>
        <w:pStyle w:val="a4"/>
        <w:numPr>
          <w:ilvl w:val="2"/>
          <w:numId w:val="53"/>
        </w:numPr>
        <w:tabs>
          <w:tab w:val="left" w:pos="1371"/>
        </w:tabs>
        <w:ind w:left="1370"/>
        <w:rPr>
          <w:sz w:val="21"/>
        </w:rPr>
      </w:pPr>
      <w:r>
        <w:rPr>
          <w:spacing w:val="-3"/>
          <w:sz w:val="21"/>
        </w:rPr>
        <w:t>火灾时兼作疏散用的自动扶梯应符合下列规定：</w:t>
      </w:r>
      <w:r>
        <w:rPr>
          <w:sz w:val="21"/>
        </w:rPr>
        <w:t xml:space="preserve"> </w:t>
      </w:r>
    </w:p>
    <w:p w14:paraId="483B96AB" w14:textId="77777777" w:rsidR="00A71EEF" w:rsidRDefault="00A71EEF">
      <w:pPr>
        <w:pStyle w:val="a3"/>
        <w:spacing w:before="2"/>
        <w:rPr>
          <w:sz w:val="18"/>
        </w:rPr>
      </w:pPr>
    </w:p>
    <w:p w14:paraId="310FF94F" w14:textId="77777777" w:rsidR="00A71EEF" w:rsidRDefault="0081115D">
      <w:pPr>
        <w:pStyle w:val="a3"/>
        <w:spacing w:line="446" w:lineRule="auto"/>
        <w:ind w:left="838" w:right="7600"/>
      </w:pPr>
      <w:r>
        <w:rPr>
          <w:spacing w:val="-3"/>
        </w:rPr>
        <w:t>应按一级负荷供电；</w:t>
      </w:r>
      <w:r>
        <w:rPr>
          <w:spacing w:val="-3"/>
        </w:rPr>
        <w:t xml:space="preserve">  </w:t>
      </w:r>
      <w:r>
        <w:rPr>
          <w:spacing w:val="-3"/>
        </w:rPr>
        <w:t>应采用不燃材料制造；</w:t>
      </w:r>
      <w:r>
        <w:t xml:space="preserve"> </w:t>
      </w:r>
    </w:p>
    <w:p w14:paraId="4CDC27B6" w14:textId="77777777" w:rsidR="00A71EEF" w:rsidRDefault="0081115D">
      <w:pPr>
        <w:pStyle w:val="a3"/>
        <w:spacing w:line="267" w:lineRule="exact"/>
        <w:ind w:left="838"/>
      </w:pPr>
      <w:r>
        <w:t>应能在事故时保持运行；</w:t>
      </w:r>
      <w:r>
        <w:t xml:space="preserve"> </w:t>
      </w:r>
    </w:p>
    <w:p w14:paraId="34EC4D0E" w14:textId="77777777" w:rsidR="00A71EEF" w:rsidRDefault="00A71EEF">
      <w:pPr>
        <w:pStyle w:val="a3"/>
        <w:spacing w:before="1"/>
        <w:rPr>
          <w:sz w:val="18"/>
        </w:rPr>
      </w:pPr>
    </w:p>
    <w:p w14:paraId="6854E70D" w14:textId="77777777" w:rsidR="00A71EEF" w:rsidRDefault="0081115D">
      <w:pPr>
        <w:pStyle w:val="a3"/>
        <w:spacing w:before="1"/>
        <w:ind w:left="838"/>
      </w:pPr>
      <w:r>
        <w:t>平时运行方向应与人员的疏散方向一致；</w:t>
      </w:r>
      <w:r>
        <w:t xml:space="preserve"> </w:t>
      </w:r>
    </w:p>
    <w:p w14:paraId="1C30DD2E" w14:textId="77777777" w:rsidR="00A71EEF" w:rsidRDefault="00A71EEF">
      <w:pPr>
        <w:sectPr w:rsidR="00A71EEF">
          <w:footerReference w:type="default" r:id="rId581"/>
          <w:pgSz w:w="11910" w:h="16850"/>
          <w:pgMar w:top="1220" w:right="0" w:bottom="1420" w:left="1260" w:header="0" w:footer="1239" w:gutter="0"/>
          <w:pgNumType w:start="1620"/>
          <w:cols w:space="720"/>
        </w:sectPr>
      </w:pPr>
    </w:p>
    <w:p w14:paraId="19A1E011" w14:textId="77777777" w:rsidR="00A71EEF" w:rsidRDefault="0081115D">
      <w:pPr>
        <w:pStyle w:val="a3"/>
        <w:spacing w:before="47"/>
        <w:ind w:left="838"/>
      </w:pPr>
      <w:r>
        <w:t>自动扶梯的下部空间与其他部位之间应采取防火分隔措施；</w:t>
      </w:r>
      <w:r>
        <w:t xml:space="preserve">  </w:t>
      </w:r>
      <w:r>
        <w:t xml:space="preserve"> </w:t>
      </w:r>
    </w:p>
    <w:p w14:paraId="721DA20C" w14:textId="77777777" w:rsidR="00A71EEF" w:rsidRDefault="00A71EEF">
      <w:pPr>
        <w:pStyle w:val="a3"/>
        <w:rPr>
          <w:sz w:val="18"/>
        </w:rPr>
      </w:pPr>
    </w:p>
    <w:p w14:paraId="75DE9733" w14:textId="77777777" w:rsidR="00A71EEF" w:rsidRDefault="0081115D">
      <w:pPr>
        <w:pStyle w:val="a3"/>
        <w:spacing w:line="446" w:lineRule="auto"/>
        <w:ind w:left="418" w:right="1609" w:firstLine="419"/>
      </w:pPr>
      <w:r>
        <w:t>暴露在室外环境的自动扶梯应采取防滑措施；位于寒冷或严寒地区时，应采取防冰雪积聚和防冻的措施。</w:t>
      </w:r>
      <w:r>
        <w:t xml:space="preserve"> </w:t>
      </w:r>
    </w:p>
    <w:p w14:paraId="775B6EA5" w14:textId="77777777" w:rsidR="00A71EEF" w:rsidRDefault="0081115D">
      <w:pPr>
        <w:pStyle w:val="a4"/>
        <w:numPr>
          <w:ilvl w:val="2"/>
          <w:numId w:val="53"/>
        </w:numPr>
        <w:tabs>
          <w:tab w:val="left" w:pos="1371"/>
        </w:tabs>
        <w:spacing w:line="446" w:lineRule="auto"/>
        <w:ind w:right="1813" w:firstLine="422"/>
        <w:rPr>
          <w:sz w:val="21"/>
        </w:rPr>
      </w:pPr>
      <w:r>
        <w:rPr>
          <w:spacing w:val="-3"/>
          <w:sz w:val="21"/>
        </w:rPr>
        <w:t>封闭楼梯间和防烟楼梯间的防火构造要求应符合现行国家标准《建筑设计防火规范》</w:t>
      </w:r>
      <w:r>
        <w:rPr>
          <w:spacing w:val="-3"/>
          <w:sz w:val="21"/>
        </w:rPr>
        <w:t>GB 50016</w:t>
      </w:r>
      <w:r>
        <w:rPr>
          <w:spacing w:val="-12"/>
          <w:sz w:val="21"/>
        </w:rPr>
        <w:t xml:space="preserve"> </w:t>
      </w:r>
      <w:r>
        <w:rPr>
          <w:spacing w:val="-12"/>
          <w:sz w:val="21"/>
        </w:rPr>
        <w:t>的规定。</w:t>
      </w:r>
      <w:r>
        <w:rPr>
          <w:spacing w:val="-12"/>
          <w:sz w:val="21"/>
        </w:rPr>
        <w:t xml:space="preserve"> </w:t>
      </w:r>
    </w:p>
    <w:p w14:paraId="09B0982C" w14:textId="77777777" w:rsidR="00A71EEF" w:rsidRDefault="0081115D">
      <w:pPr>
        <w:pStyle w:val="a4"/>
        <w:numPr>
          <w:ilvl w:val="2"/>
          <w:numId w:val="53"/>
        </w:numPr>
        <w:tabs>
          <w:tab w:val="left" w:pos="1371"/>
        </w:tabs>
        <w:spacing w:line="267" w:lineRule="exact"/>
        <w:ind w:left="1370"/>
        <w:rPr>
          <w:sz w:val="21"/>
        </w:rPr>
      </w:pPr>
      <w:r>
        <w:rPr>
          <w:spacing w:val="-3"/>
          <w:sz w:val="21"/>
        </w:rPr>
        <w:t>电缆井、管道井应分别独立设置。电缆井、管道井的井壁均应采用耐火极限不低于</w:t>
      </w:r>
    </w:p>
    <w:p w14:paraId="56CA7692" w14:textId="77777777" w:rsidR="00A71EEF" w:rsidRDefault="00A71EEF">
      <w:pPr>
        <w:pStyle w:val="a3"/>
        <w:spacing w:before="2"/>
        <w:rPr>
          <w:sz w:val="18"/>
        </w:rPr>
      </w:pPr>
    </w:p>
    <w:p w14:paraId="3033ADC9" w14:textId="77777777" w:rsidR="00A71EEF" w:rsidRDefault="0081115D">
      <w:pPr>
        <w:pStyle w:val="a3"/>
        <w:ind w:left="418"/>
      </w:pPr>
      <w:r>
        <w:t xml:space="preserve">1.00h </w:t>
      </w:r>
      <w:r>
        <w:t>的不燃性实体墙。</w:t>
      </w:r>
      <w:r>
        <w:t xml:space="preserve"> </w:t>
      </w:r>
    </w:p>
    <w:p w14:paraId="499EBD54" w14:textId="77777777" w:rsidR="00A71EEF" w:rsidRDefault="00A71EEF">
      <w:pPr>
        <w:pStyle w:val="a3"/>
        <w:rPr>
          <w:sz w:val="18"/>
        </w:rPr>
      </w:pPr>
    </w:p>
    <w:p w14:paraId="69D21A07" w14:textId="77777777" w:rsidR="00A71EEF" w:rsidRDefault="0081115D">
      <w:pPr>
        <w:pStyle w:val="a4"/>
        <w:numPr>
          <w:ilvl w:val="2"/>
          <w:numId w:val="53"/>
        </w:numPr>
        <w:tabs>
          <w:tab w:val="left" w:pos="1371"/>
        </w:tabs>
        <w:ind w:left="1370"/>
        <w:rPr>
          <w:sz w:val="21"/>
        </w:rPr>
      </w:pPr>
      <w:r>
        <w:rPr>
          <w:spacing w:val="-3"/>
          <w:sz w:val="21"/>
        </w:rPr>
        <w:t>区间纵向疏散平台应符合下列规定：</w:t>
      </w:r>
      <w:r>
        <w:rPr>
          <w:sz w:val="21"/>
        </w:rPr>
        <w:t xml:space="preserve"> </w:t>
      </w:r>
    </w:p>
    <w:p w14:paraId="3C3D6891" w14:textId="77777777" w:rsidR="00A71EEF" w:rsidRDefault="00A71EEF">
      <w:pPr>
        <w:pStyle w:val="a3"/>
        <w:spacing w:before="12"/>
        <w:rPr>
          <w:sz w:val="17"/>
        </w:rPr>
      </w:pPr>
    </w:p>
    <w:p w14:paraId="1AE15D57" w14:textId="77777777" w:rsidR="00A71EEF" w:rsidRDefault="0081115D">
      <w:pPr>
        <w:pStyle w:val="a3"/>
        <w:ind w:left="838"/>
        <w:jc w:val="both"/>
      </w:pPr>
      <w:r>
        <w:t>单侧临空时，平台的宽度不宜小于</w:t>
      </w:r>
      <w:r>
        <w:t xml:space="preserve"> 0.6m</w:t>
      </w:r>
      <w:r>
        <w:t>；双侧临空时，平台的宽度不宜小于</w:t>
      </w:r>
      <w:r>
        <w:t xml:space="preserve"> 0.9m</w:t>
      </w:r>
      <w:r>
        <w:t>。</w:t>
      </w:r>
      <w:r>
        <w:t xml:space="preserve"> </w:t>
      </w:r>
    </w:p>
    <w:p w14:paraId="52C6A434" w14:textId="77777777" w:rsidR="00A71EEF" w:rsidRDefault="00A71EEF">
      <w:pPr>
        <w:pStyle w:val="a3"/>
        <w:spacing w:before="2"/>
        <w:rPr>
          <w:sz w:val="18"/>
        </w:rPr>
      </w:pPr>
    </w:p>
    <w:p w14:paraId="29963150" w14:textId="77777777" w:rsidR="00A71EEF" w:rsidRDefault="0081115D">
      <w:pPr>
        <w:pStyle w:val="a3"/>
        <w:spacing w:line="446" w:lineRule="auto"/>
        <w:ind w:left="838" w:right="5027"/>
        <w:jc w:val="both"/>
      </w:pPr>
      <w:r>
        <w:rPr>
          <w:spacing w:val="-6"/>
        </w:rPr>
        <w:t>平台的设置高度宜低于车辆地板面</w:t>
      </w:r>
      <w:r>
        <w:rPr>
          <w:spacing w:val="-6"/>
        </w:rPr>
        <w:t xml:space="preserve"> </w:t>
      </w:r>
      <w:r>
        <w:t>0.10m</w:t>
      </w:r>
      <w:r>
        <w:t>～</w:t>
      </w:r>
      <w:r>
        <w:t>0.15m</w:t>
      </w:r>
      <w:r>
        <w:rPr>
          <w:spacing w:val="-3"/>
        </w:rPr>
        <w:t>。</w:t>
      </w:r>
      <w:r>
        <w:rPr>
          <w:spacing w:val="-6"/>
        </w:rPr>
        <w:t>靠区间壁的墙上应设置靠墙扶手，高度宜为</w:t>
      </w:r>
      <w:r>
        <w:rPr>
          <w:spacing w:val="-6"/>
        </w:rPr>
        <w:t xml:space="preserve"> </w:t>
      </w:r>
      <w:r>
        <w:t>0.9m</w:t>
      </w:r>
      <w:r>
        <w:rPr>
          <w:spacing w:val="-3"/>
        </w:rPr>
        <w:t>。纵向疏散平台面标高与联络通道地坪标高宜接平。</w:t>
      </w:r>
      <w:r>
        <w:rPr>
          <w:spacing w:val="-7"/>
        </w:rPr>
        <w:t>疏散平台的耐火极限不应低于</w:t>
      </w:r>
      <w:r>
        <w:rPr>
          <w:spacing w:val="-7"/>
        </w:rPr>
        <w:t xml:space="preserve"> </w:t>
      </w:r>
      <w:r>
        <w:t>1.00h</w:t>
      </w:r>
      <w:r>
        <w:rPr>
          <w:spacing w:val="-3"/>
        </w:rPr>
        <w:t>。</w:t>
      </w:r>
      <w:r>
        <w:t xml:space="preserve"> </w:t>
      </w:r>
    </w:p>
    <w:p w14:paraId="01EE9C6A" w14:textId="77777777" w:rsidR="00A71EEF" w:rsidRDefault="0081115D">
      <w:pPr>
        <w:pStyle w:val="a4"/>
        <w:numPr>
          <w:ilvl w:val="1"/>
          <w:numId w:val="53"/>
        </w:numPr>
        <w:tabs>
          <w:tab w:val="left" w:pos="1159"/>
        </w:tabs>
        <w:spacing w:line="267" w:lineRule="exact"/>
        <w:ind w:hanging="319"/>
        <w:rPr>
          <w:sz w:val="21"/>
        </w:rPr>
      </w:pPr>
      <w:r>
        <w:rPr>
          <w:spacing w:val="-3"/>
          <w:sz w:val="21"/>
        </w:rPr>
        <w:t>建筑内部装修</w:t>
      </w:r>
      <w:r>
        <w:rPr>
          <w:sz w:val="21"/>
        </w:rPr>
        <w:t xml:space="preserve"> </w:t>
      </w:r>
    </w:p>
    <w:p w14:paraId="39F33386" w14:textId="77777777" w:rsidR="00A71EEF" w:rsidRDefault="00A71EEF">
      <w:pPr>
        <w:pStyle w:val="a3"/>
        <w:rPr>
          <w:sz w:val="18"/>
        </w:rPr>
      </w:pPr>
    </w:p>
    <w:p w14:paraId="420C6B2E" w14:textId="77777777" w:rsidR="00A71EEF" w:rsidRDefault="0081115D">
      <w:pPr>
        <w:pStyle w:val="a4"/>
        <w:numPr>
          <w:ilvl w:val="2"/>
          <w:numId w:val="53"/>
        </w:numPr>
        <w:tabs>
          <w:tab w:val="left" w:pos="1371"/>
        </w:tabs>
        <w:spacing w:line="446" w:lineRule="auto"/>
        <w:ind w:right="1604" w:firstLine="422"/>
        <w:jc w:val="both"/>
        <w:rPr>
          <w:sz w:val="21"/>
        </w:rPr>
      </w:pPr>
      <w:r>
        <w:rPr>
          <w:spacing w:val="-5"/>
          <w:sz w:val="21"/>
        </w:rPr>
        <w:t>地上车站公共区的墙面和顶棚装修材料的燃烧性能均应为</w:t>
      </w:r>
      <w:r>
        <w:rPr>
          <w:spacing w:val="-5"/>
          <w:sz w:val="21"/>
        </w:rPr>
        <w:t xml:space="preserve"> </w:t>
      </w:r>
      <w:r>
        <w:rPr>
          <w:sz w:val="21"/>
        </w:rPr>
        <w:t>A</w:t>
      </w:r>
      <w:r>
        <w:rPr>
          <w:spacing w:val="-8"/>
          <w:sz w:val="21"/>
        </w:rPr>
        <w:t xml:space="preserve"> </w:t>
      </w:r>
      <w:r>
        <w:rPr>
          <w:spacing w:val="-8"/>
          <w:sz w:val="21"/>
        </w:rPr>
        <w:t>级，满足自然排烟条件</w:t>
      </w:r>
      <w:r>
        <w:rPr>
          <w:spacing w:val="-7"/>
          <w:position w:val="1"/>
          <w:sz w:val="21"/>
        </w:rPr>
        <w:t>的车站公共区，其地面装修材料的燃烧性能不应低于</w:t>
      </w:r>
      <w:r>
        <w:rPr>
          <w:spacing w:val="-7"/>
          <w:position w:val="1"/>
          <w:sz w:val="21"/>
        </w:rPr>
        <w:t xml:space="preserve"> </w:t>
      </w:r>
      <w:r>
        <w:rPr>
          <w:position w:val="1"/>
          <w:sz w:val="21"/>
        </w:rPr>
        <w:t>B</w:t>
      </w:r>
      <w:r>
        <w:rPr>
          <w:sz w:val="11"/>
        </w:rPr>
        <w:t>1</w:t>
      </w:r>
      <w:r>
        <w:rPr>
          <w:spacing w:val="-29"/>
          <w:sz w:val="11"/>
        </w:rPr>
        <w:t xml:space="preserve"> </w:t>
      </w:r>
      <w:r>
        <w:rPr>
          <w:spacing w:val="-2"/>
          <w:position w:val="1"/>
          <w:sz w:val="21"/>
        </w:rPr>
        <w:t>级。</w:t>
      </w:r>
      <w:r>
        <w:rPr>
          <w:position w:val="1"/>
          <w:sz w:val="21"/>
        </w:rPr>
        <w:t xml:space="preserve"> </w:t>
      </w:r>
    </w:p>
    <w:p w14:paraId="7178A9D6" w14:textId="77777777" w:rsidR="00A71EEF" w:rsidRDefault="0081115D">
      <w:pPr>
        <w:pStyle w:val="a4"/>
        <w:numPr>
          <w:ilvl w:val="2"/>
          <w:numId w:val="53"/>
        </w:numPr>
        <w:tabs>
          <w:tab w:val="left" w:pos="1371"/>
        </w:tabs>
        <w:spacing w:line="446" w:lineRule="auto"/>
        <w:ind w:right="1551" w:firstLine="422"/>
        <w:jc w:val="both"/>
        <w:rPr>
          <w:sz w:val="21"/>
        </w:rPr>
      </w:pPr>
      <w:r>
        <w:rPr>
          <w:spacing w:val="-2"/>
          <w:sz w:val="21"/>
        </w:rPr>
        <w:t>休息室、更衣室、卫生间等场所，其顶棚装修材料的燃烧性能均应为</w:t>
      </w:r>
      <w:r>
        <w:rPr>
          <w:sz w:val="21"/>
        </w:rPr>
        <w:t>A</w:t>
      </w:r>
      <w:r>
        <w:rPr>
          <w:spacing w:val="-10"/>
          <w:sz w:val="21"/>
        </w:rPr>
        <w:t xml:space="preserve"> </w:t>
      </w:r>
      <w:r>
        <w:rPr>
          <w:spacing w:val="-10"/>
          <w:sz w:val="21"/>
        </w:rPr>
        <w:t>级，墙面、</w:t>
      </w:r>
      <w:r>
        <w:rPr>
          <w:spacing w:val="-7"/>
          <w:position w:val="1"/>
          <w:sz w:val="21"/>
        </w:rPr>
        <w:t>地面装修材料的燃烧性能均不应低于</w:t>
      </w:r>
      <w:r>
        <w:rPr>
          <w:spacing w:val="-7"/>
          <w:position w:val="1"/>
          <w:sz w:val="21"/>
        </w:rPr>
        <w:t xml:space="preserve"> </w:t>
      </w:r>
      <w:r>
        <w:rPr>
          <w:position w:val="1"/>
          <w:sz w:val="21"/>
        </w:rPr>
        <w:t>B</w:t>
      </w:r>
      <w:r>
        <w:rPr>
          <w:sz w:val="11"/>
        </w:rPr>
        <w:t>1</w:t>
      </w:r>
      <w:r>
        <w:rPr>
          <w:spacing w:val="-22"/>
          <w:sz w:val="11"/>
        </w:rPr>
        <w:t xml:space="preserve"> </w:t>
      </w:r>
      <w:r>
        <w:rPr>
          <w:spacing w:val="-6"/>
          <w:position w:val="1"/>
          <w:sz w:val="21"/>
        </w:rPr>
        <w:t>级。除架空地板的燃烧性能可为</w:t>
      </w:r>
      <w:r>
        <w:rPr>
          <w:spacing w:val="-6"/>
          <w:position w:val="1"/>
          <w:sz w:val="21"/>
        </w:rPr>
        <w:t xml:space="preserve"> </w:t>
      </w:r>
      <w:r>
        <w:rPr>
          <w:position w:val="1"/>
          <w:sz w:val="21"/>
        </w:rPr>
        <w:t>B</w:t>
      </w:r>
      <w:r>
        <w:rPr>
          <w:sz w:val="11"/>
        </w:rPr>
        <w:t>1</w:t>
      </w:r>
      <w:r>
        <w:rPr>
          <w:spacing w:val="-22"/>
          <w:sz w:val="11"/>
        </w:rPr>
        <w:t xml:space="preserve"> </w:t>
      </w:r>
      <w:r>
        <w:rPr>
          <w:spacing w:val="-3"/>
          <w:position w:val="1"/>
          <w:sz w:val="21"/>
        </w:rPr>
        <w:t>级外，设备管理区用</w:t>
      </w:r>
      <w:r>
        <w:rPr>
          <w:spacing w:val="-1"/>
          <w:sz w:val="21"/>
        </w:rPr>
        <w:t>房的顶棚、墙面、地面装修材料的燃烧性能均应为</w:t>
      </w:r>
      <w:r>
        <w:rPr>
          <w:sz w:val="21"/>
        </w:rPr>
        <w:t>A</w:t>
      </w:r>
      <w:r>
        <w:rPr>
          <w:spacing w:val="-19"/>
          <w:sz w:val="21"/>
        </w:rPr>
        <w:t xml:space="preserve"> </w:t>
      </w:r>
      <w:r>
        <w:rPr>
          <w:spacing w:val="-19"/>
          <w:sz w:val="21"/>
        </w:rPr>
        <w:t>级。</w:t>
      </w:r>
      <w:r>
        <w:rPr>
          <w:sz w:val="21"/>
        </w:rPr>
        <w:t xml:space="preserve"> </w:t>
      </w:r>
    </w:p>
    <w:p w14:paraId="3D1866B0" w14:textId="77777777" w:rsidR="00A71EEF" w:rsidRDefault="0081115D">
      <w:pPr>
        <w:pStyle w:val="a4"/>
        <w:numPr>
          <w:ilvl w:val="2"/>
          <w:numId w:val="53"/>
        </w:numPr>
        <w:tabs>
          <w:tab w:val="left" w:pos="1371"/>
        </w:tabs>
        <w:spacing w:line="268" w:lineRule="exact"/>
        <w:ind w:left="1370"/>
        <w:jc w:val="both"/>
        <w:rPr>
          <w:sz w:val="21"/>
        </w:rPr>
      </w:pPr>
      <w:r>
        <w:rPr>
          <w:spacing w:val="-5"/>
          <w:sz w:val="21"/>
        </w:rPr>
        <w:t>中央控制室、应急指挥室、控制中心的顶棚和墙面装修材料的燃烧性能均应为</w:t>
      </w:r>
      <w:r>
        <w:rPr>
          <w:spacing w:val="-5"/>
          <w:sz w:val="21"/>
        </w:rPr>
        <w:t xml:space="preserve"> </w:t>
      </w:r>
      <w:r>
        <w:rPr>
          <w:sz w:val="21"/>
        </w:rPr>
        <w:t>A</w:t>
      </w:r>
    </w:p>
    <w:p w14:paraId="6C282FCC" w14:textId="77777777" w:rsidR="00A71EEF" w:rsidRDefault="00A71EEF">
      <w:pPr>
        <w:pStyle w:val="a3"/>
        <w:spacing w:before="11"/>
        <w:rPr>
          <w:sz w:val="17"/>
        </w:rPr>
      </w:pPr>
    </w:p>
    <w:p w14:paraId="5CBE9859" w14:textId="77777777" w:rsidR="00A71EEF" w:rsidRDefault="0081115D">
      <w:pPr>
        <w:pStyle w:val="a3"/>
        <w:spacing w:before="1" w:line="448" w:lineRule="auto"/>
        <w:ind w:left="840" w:right="2736" w:hanging="423"/>
        <w:jc w:val="both"/>
      </w:pPr>
      <w:r>
        <w:rPr>
          <w:position w:val="1"/>
        </w:rPr>
        <w:t>级，地面、隔断、调度台椅、窗帘及其他装饰材料的燃烧性能均不应低于</w:t>
      </w:r>
      <w:r>
        <w:rPr>
          <w:position w:val="1"/>
        </w:rPr>
        <w:t xml:space="preserve"> B</w:t>
      </w:r>
      <w:r>
        <w:rPr>
          <w:sz w:val="11"/>
        </w:rPr>
        <w:t xml:space="preserve">1 </w:t>
      </w:r>
      <w:r>
        <w:rPr>
          <w:position w:val="1"/>
        </w:rPr>
        <w:t>级。</w:t>
      </w:r>
      <w:r>
        <w:rPr>
          <w:b/>
        </w:rPr>
        <w:t xml:space="preserve">6.3.4 </w:t>
      </w:r>
      <w:r>
        <w:t>除地面绝缘材料外，主变电所室内装修材料的燃烧性能应为</w:t>
      </w:r>
      <w:r>
        <w:t xml:space="preserve"> A </w:t>
      </w:r>
      <w:r>
        <w:t>级。</w:t>
      </w:r>
      <w:r>
        <w:t xml:space="preserve"> </w:t>
      </w:r>
    </w:p>
    <w:p w14:paraId="16E77643" w14:textId="77777777" w:rsidR="00A71EEF" w:rsidRDefault="0081115D">
      <w:pPr>
        <w:pStyle w:val="a4"/>
        <w:numPr>
          <w:ilvl w:val="2"/>
          <w:numId w:val="52"/>
        </w:numPr>
        <w:tabs>
          <w:tab w:val="left" w:pos="1371"/>
        </w:tabs>
        <w:spacing w:line="446" w:lineRule="auto"/>
        <w:ind w:right="1604" w:firstLine="422"/>
        <w:jc w:val="both"/>
        <w:rPr>
          <w:sz w:val="21"/>
        </w:rPr>
      </w:pPr>
      <w:r>
        <w:rPr>
          <w:spacing w:val="-3"/>
          <w:sz w:val="21"/>
        </w:rPr>
        <w:t>除不燃性墙面和地面的饰面涂层外，停车库、列检库、停车列检库、运用库和联合</w:t>
      </w:r>
      <w:r>
        <w:rPr>
          <w:spacing w:val="-5"/>
          <w:sz w:val="21"/>
        </w:rPr>
        <w:t>检修库、物资库等建筑内部装修材料的燃烧性能均应为</w:t>
      </w:r>
      <w:r>
        <w:rPr>
          <w:spacing w:val="-5"/>
          <w:sz w:val="21"/>
        </w:rPr>
        <w:t xml:space="preserve"> </w:t>
      </w:r>
      <w:r>
        <w:rPr>
          <w:sz w:val="21"/>
        </w:rPr>
        <w:t>A</w:t>
      </w:r>
      <w:r>
        <w:rPr>
          <w:spacing w:val="-19"/>
          <w:sz w:val="21"/>
        </w:rPr>
        <w:t xml:space="preserve"> </w:t>
      </w:r>
      <w:r>
        <w:rPr>
          <w:spacing w:val="-19"/>
          <w:sz w:val="21"/>
        </w:rPr>
        <w:t>级。</w:t>
      </w:r>
      <w:r>
        <w:rPr>
          <w:sz w:val="21"/>
        </w:rPr>
        <w:t xml:space="preserve"> </w:t>
      </w:r>
    </w:p>
    <w:p w14:paraId="48B09958" w14:textId="77777777" w:rsidR="00A71EEF" w:rsidRDefault="0081115D">
      <w:pPr>
        <w:pStyle w:val="a4"/>
        <w:numPr>
          <w:ilvl w:val="2"/>
          <w:numId w:val="52"/>
        </w:numPr>
        <w:tabs>
          <w:tab w:val="left" w:pos="1370"/>
        </w:tabs>
        <w:spacing w:line="446" w:lineRule="auto"/>
        <w:ind w:right="1604" w:firstLine="422"/>
        <w:jc w:val="both"/>
        <w:rPr>
          <w:sz w:val="21"/>
        </w:rPr>
      </w:pPr>
      <w:r>
        <w:rPr>
          <w:spacing w:val="-3"/>
          <w:sz w:val="21"/>
        </w:rPr>
        <w:t>站厅、站台、人员出入口、疏散楼梯及楼梯间、疏散通道、避难走道、联络通道等</w:t>
      </w:r>
      <w:r>
        <w:rPr>
          <w:spacing w:val="-4"/>
          <w:sz w:val="21"/>
        </w:rPr>
        <w:t>人员疏散部位和消防专用通道，其墙面、地面、顶棚及隔断装修材料的燃烧性能均应为</w:t>
      </w:r>
      <w:r>
        <w:rPr>
          <w:spacing w:val="-4"/>
          <w:sz w:val="21"/>
        </w:rPr>
        <w:t xml:space="preserve"> </w:t>
      </w:r>
      <w:r>
        <w:rPr>
          <w:sz w:val="21"/>
        </w:rPr>
        <w:t>A</w:t>
      </w:r>
      <w:r>
        <w:rPr>
          <w:spacing w:val="-14"/>
          <w:sz w:val="21"/>
        </w:rPr>
        <w:t xml:space="preserve"> </w:t>
      </w:r>
      <w:r>
        <w:rPr>
          <w:spacing w:val="-14"/>
          <w:sz w:val="21"/>
        </w:rPr>
        <w:t>级，</w:t>
      </w:r>
      <w:r>
        <w:rPr>
          <w:spacing w:val="-14"/>
          <w:sz w:val="21"/>
        </w:rPr>
        <w:t xml:space="preserve"> </w:t>
      </w:r>
      <w:r>
        <w:rPr>
          <w:spacing w:val="-5"/>
          <w:position w:val="1"/>
          <w:sz w:val="21"/>
        </w:rPr>
        <w:t>但站台门的绝缘层和地上具有自然排烟条件的房间地面装修材料的燃烧性</w:t>
      </w:r>
      <w:r>
        <w:rPr>
          <w:spacing w:val="-5"/>
          <w:position w:val="1"/>
          <w:sz w:val="21"/>
        </w:rPr>
        <w:t>能可为</w:t>
      </w:r>
      <w:r>
        <w:rPr>
          <w:spacing w:val="-5"/>
          <w:position w:val="1"/>
          <w:sz w:val="21"/>
        </w:rPr>
        <w:t xml:space="preserve"> </w:t>
      </w:r>
      <w:r>
        <w:rPr>
          <w:position w:val="1"/>
          <w:sz w:val="21"/>
        </w:rPr>
        <w:t>B</w:t>
      </w:r>
      <w:r>
        <w:rPr>
          <w:sz w:val="11"/>
        </w:rPr>
        <w:t>1</w:t>
      </w:r>
      <w:r>
        <w:rPr>
          <w:spacing w:val="-27"/>
          <w:sz w:val="11"/>
        </w:rPr>
        <w:t xml:space="preserve"> </w:t>
      </w:r>
      <w:r>
        <w:rPr>
          <w:spacing w:val="-3"/>
          <w:position w:val="1"/>
          <w:sz w:val="21"/>
        </w:rPr>
        <w:t>级。</w:t>
      </w:r>
      <w:r>
        <w:rPr>
          <w:position w:val="1"/>
          <w:sz w:val="21"/>
        </w:rPr>
        <w:t xml:space="preserve"> </w:t>
      </w:r>
    </w:p>
    <w:p w14:paraId="39F796DE" w14:textId="77777777" w:rsidR="00A71EEF" w:rsidRDefault="0081115D">
      <w:pPr>
        <w:pStyle w:val="a4"/>
        <w:numPr>
          <w:ilvl w:val="2"/>
          <w:numId w:val="52"/>
        </w:numPr>
        <w:tabs>
          <w:tab w:val="left" w:pos="1371"/>
        </w:tabs>
        <w:spacing w:line="268" w:lineRule="exact"/>
        <w:ind w:left="1370"/>
        <w:rPr>
          <w:sz w:val="21"/>
        </w:rPr>
      </w:pPr>
      <w:r>
        <w:rPr>
          <w:spacing w:val="-3"/>
          <w:sz w:val="21"/>
        </w:rPr>
        <w:t>疏散通道和疏散楼梯的地面材料应具有防滑特性。</w:t>
      </w:r>
      <w:r>
        <w:rPr>
          <w:sz w:val="21"/>
        </w:rPr>
        <w:t xml:space="preserve"> </w:t>
      </w:r>
    </w:p>
    <w:p w14:paraId="6A638A94" w14:textId="77777777" w:rsidR="00A71EEF" w:rsidRDefault="00A71EEF">
      <w:pPr>
        <w:spacing w:line="268" w:lineRule="exact"/>
        <w:rPr>
          <w:sz w:val="21"/>
        </w:rPr>
        <w:sectPr w:rsidR="00A71EEF">
          <w:pgSz w:w="11910" w:h="16850"/>
          <w:pgMar w:top="1220" w:right="0" w:bottom="1420" w:left="1260" w:header="0" w:footer="1239" w:gutter="0"/>
          <w:cols w:space="720"/>
        </w:sectPr>
      </w:pPr>
    </w:p>
    <w:p w14:paraId="07C837FF" w14:textId="77777777" w:rsidR="00A71EEF" w:rsidRDefault="0081115D">
      <w:pPr>
        <w:pStyle w:val="a4"/>
        <w:numPr>
          <w:ilvl w:val="2"/>
          <w:numId w:val="52"/>
        </w:numPr>
        <w:tabs>
          <w:tab w:val="left" w:pos="1370"/>
        </w:tabs>
        <w:spacing w:before="47" w:line="446" w:lineRule="auto"/>
        <w:ind w:right="1604" w:firstLine="422"/>
        <w:rPr>
          <w:sz w:val="21"/>
        </w:rPr>
      </w:pPr>
      <w:r>
        <w:rPr>
          <w:spacing w:val="-3"/>
          <w:sz w:val="21"/>
        </w:rPr>
        <w:t>广告灯箱、导向标志、座椅、电话亭、售检票亭（</w:t>
      </w:r>
      <w:r>
        <w:rPr>
          <w:sz w:val="21"/>
        </w:rPr>
        <w:t>机</w:t>
      </w:r>
      <w:r>
        <w:rPr>
          <w:spacing w:val="-3"/>
          <w:sz w:val="21"/>
        </w:rPr>
        <w:t>）等固定设施的燃烧性能均不</w:t>
      </w:r>
      <w:r>
        <w:rPr>
          <w:spacing w:val="-15"/>
          <w:position w:val="1"/>
          <w:sz w:val="21"/>
        </w:rPr>
        <w:t>应低于</w:t>
      </w:r>
      <w:r>
        <w:rPr>
          <w:spacing w:val="-15"/>
          <w:position w:val="1"/>
          <w:sz w:val="21"/>
        </w:rPr>
        <w:t xml:space="preserve"> </w:t>
      </w:r>
      <w:r>
        <w:rPr>
          <w:position w:val="1"/>
          <w:sz w:val="21"/>
        </w:rPr>
        <w:t>B</w:t>
      </w:r>
      <w:r>
        <w:rPr>
          <w:sz w:val="11"/>
        </w:rPr>
        <w:t>1</w:t>
      </w:r>
      <w:r>
        <w:rPr>
          <w:spacing w:val="-29"/>
          <w:sz w:val="11"/>
        </w:rPr>
        <w:t xml:space="preserve"> </w:t>
      </w:r>
      <w:r>
        <w:rPr>
          <w:spacing w:val="-7"/>
          <w:position w:val="1"/>
          <w:sz w:val="21"/>
        </w:rPr>
        <w:t>级，垃圾箱的燃烧性能应为</w:t>
      </w:r>
      <w:r>
        <w:rPr>
          <w:spacing w:val="-7"/>
          <w:position w:val="1"/>
          <w:sz w:val="21"/>
        </w:rPr>
        <w:t xml:space="preserve"> </w:t>
      </w:r>
      <w:r>
        <w:rPr>
          <w:position w:val="1"/>
          <w:sz w:val="21"/>
        </w:rPr>
        <w:t>A</w:t>
      </w:r>
      <w:r>
        <w:rPr>
          <w:spacing w:val="-20"/>
          <w:position w:val="1"/>
          <w:sz w:val="21"/>
        </w:rPr>
        <w:t xml:space="preserve"> </w:t>
      </w:r>
      <w:r>
        <w:rPr>
          <w:spacing w:val="-20"/>
          <w:position w:val="1"/>
          <w:sz w:val="21"/>
        </w:rPr>
        <w:t>级。</w:t>
      </w:r>
      <w:r>
        <w:rPr>
          <w:position w:val="1"/>
          <w:sz w:val="21"/>
        </w:rPr>
        <w:t xml:space="preserve"> </w:t>
      </w:r>
    </w:p>
    <w:p w14:paraId="2718D827" w14:textId="77777777" w:rsidR="00A71EEF" w:rsidRDefault="0081115D">
      <w:pPr>
        <w:pStyle w:val="a4"/>
        <w:numPr>
          <w:ilvl w:val="2"/>
          <w:numId w:val="52"/>
        </w:numPr>
        <w:tabs>
          <w:tab w:val="left" w:pos="1371"/>
        </w:tabs>
        <w:spacing w:line="446" w:lineRule="auto"/>
        <w:ind w:right="1604" w:firstLine="422"/>
        <w:rPr>
          <w:sz w:val="21"/>
        </w:rPr>
      </w:pPr>
      <w:r>
        <w:rPr>
          <w:spacing w:val="-3"/>
          <w:sz w:val="21"/>
        </w:rPr>
        <w:t>车站内使用的玻璃应采用安全玻璃。在设备管理区设置的玻璃门、窗，其耐火性能不应低于该防火分隔部位的耐火性能要求。</w:t>
      </w:r>
      <w:r>
        <w:rPr>
          <w:sz w:val="21"/>
        </w:rPr>
        <w:t xml:space="preserve"> </w:t>
      </w:r>
    </w:p>
    <w:p w14:paraId="7F291194" w14:textId="77777777" w:rsidR="00A71EEF" w:rsidRDefault="0081115D">
      <w:pPr>
        <w:pStyle w:val="a4"/>
        <w:numPr>
          <w:ilvl w:val="2"/>
          <w:numId w:val="52"/>
        </w:numPr>
        <w:tabs>
          <w:tab w:val="left" w:pos="1478"/>
        </w:tabs>
        <w:ind w:left="1477" w:hanging="638"/>
        <w:rPr>
          <w:sz w:val="21"/>
        </w:rPr>
      </w:pPr>
      <w:r>
        <w:rPr>
          <w:spacing w:val="-3"/>
          <w:sz w:val="21"/>
        </w:rPr>
        <w:t>室内装修材料不得采用石棉制品、玻璃纤维和塑料类制品。</w:t>
      </w:r>
      <w:r>
        <w:rPr>
          <w:sz w:val="21"/>
        </w:rPr>
        <w:t xml:space="preserve"> </w:t>
      </w:r>
    </w:p>
    <w:p w14:paraId="65944A8F" w14:textId="77777777" w:rsidR="00A71EEF" w:rsidRDefault="00A71EEF">
      <w:pPr>
        <w:pStyle w:val="a3"/>
        <w:spacing w:before="6"/>
        <w:rPr>
          <w:sz w:val="15"/>
        </w:rPr>
      </w:pPr>
    </w:p>
    <w:p w14:paraId="04FD2A18" w14:textId="77777777" w:rsidR="00A71EEF" w:rsidRDefault="0081115D">
      <w:pPr>
        <w:pStyle w:val="4"/>
      </w:pPr>
      <w:r>
        <w:t xml:space="preserve">7 </w:t>
      </w:r>
      <w:r>
        <w:t>消防给水与灭火设施</w:t>
      </w:r>
      <w:r>
        <w:rPr>
          <w:w w:val="99"/>
        </w:rPr>
        <w:t xml:space="preserve"> </w:t>
      </w:r>
    </w:p>
    <w:p w14:paraId="7F447B89" w14:textId="77777777" w:rsidR="00A71EEF" w:rsidRDefault="00A71EEF">
      <w:pPr>
        <w:pStyle w:val="a3"/>
        <w:spacing w:before="6"/>
        <w:rPr>
          <w:b/>
          <w:sz w:val="17"/>
        </w:rPr>
      </w:pPr>
    </w:p>
    <w:p w14:paraId="0144260B" w14:textId="77777777" w:rsidR="00A71EEF" w:rsidRDefault="0081115D">
      <w:pPr>
        <w:pStyle w:val="a4"/>
        <w:numPr>
          <w:ilvl w:val="1"/>
          <w:numId w:val="51"/>
        </w:numPr>
        <w:tabs>
          <w:tab w:val="left" w:pos="1160"/>
        </w:tabs>
        <w:rPr>
          <w:b/>
          <w:sz w:val="21"/>
        </w:rPr>
      </w:pPr>
      <w:r>
        <w:rPr>
          <w:spacing w:val="-3"/>
          <w:sz w:val="21"/>
        </w:rPr>
        <w:t>一般规定</w:t>
      </w:r>
      <w:r>
        <w:rPr>
          <w:b/>
          <w:w w:val="99"/>
          <w:sz w:val="21"/>
        </w:rPr>
        <w:t xml:space="preserve"> </w:t>
      </w:r>
    </w:p>
    <w:p w14:paraId="2E741D6F" w14:textId="77777777" w:rsidR="00A71EEF" w:rsidRDefault="00A71EEF">
      <w:pPr>
        <w:pStyle w:val="a3"/>
        <w:rPr>
          <w:b/>
          <w:sz w:val="18"/>
        </w:rPr>
      </w:pPr>
    </w:p>
    <w:p w14:paraId="3799EFF6" w14:textId="77777777" w:rsidR="00A71EEF" w:rsidRDefault="0081115D">
      <w:pPr>
        <w:pStyle w:val="a4"/>
        <w:numPr>
          <w:ilvl w:val="2"/>
          <w:numId w:val="51"/>
        </w:numPr>
        <w:tabs>
          <w:tab w:val="left" w:pos="1371"/>
        </w:tabs>
        <w:rPr>
          <w:sz w:val="21"/>
        </w:rPr>
      </w:pPr>
      <w:r>
        <w:rPr>
          <w:spacing w:val="-3"/>
          <w:sz w:val="21"/>
        </w:rPr>
        <w:t>除高架区间外，地铁工程应设置室内外消防给水系统。</w:t>
      </w:r>
      <w:r>
        <w:rPr>
          <w:sz w:val="21"/>
        </w:rPr>
        <w:t xml:space="preserve"> </w:t>
      </w:r>
    </w:p>
    <w:p w14:paraId="27977E08" w14:textId="77777777" w:rsidR="00A71EEF" w:rsidRDefault="00A71EEF">
      <w:pPr>
        <w:pStyle w:val="a3"/>
        <w:rPr>
          <w:sz w:val="18"/>
        </w:rPr>
      </w:pPr>
    </w:p>
    <w:p w14:paraId="79CAC9FA" w14:textId="77777777" w:rsidR="00A71EEF" w:rsidRDefault="0081115D">
      <w:pPr>
        <w:pStyle w:val="a4"/>
        <w:numPr>
          <w:ilvl w:val="2"/>
          <w:numId w:val="51"/>
        </w:numPr>
        <w:tabs>
          <w:tab w:val="left" w:pos="1370"/>
        </w:tabs>
        <w:spacing w:line="446" w:lineRule="auto"/>
        <w:ind w:left="418" w:right="1604" w:firstLine="422"/>
        <w:rPr>
          <w:sz w:val="21"/>
        </w:rPr>
      </w:pPr>
      <w:r>
        <w:rPr>
          <w:spacing w:val="-3"/>
          <w:sz w:val="21"/>
        </w:rPr>
        <w:t>消防用水宜由市政给水管网供给，也可采用消防水池或天然水源供给。利用天然水源时，应保证枯水期最低水位时的消防用水要求，并应设置可靠的取水设施。</w:t>
      </w:r>
      <w:r>
        <w:rPr>
          <w:spacing w:val="-3"/>
          <w:sz w:val="21"/>
        </w:rPr>
        <w:t xml:space="preserve"> </w:t>
      </w:r>
    </w:p>
    <w:p w14:paraId="73B36A30" w14:textId="77777777" w:rsidR="00A71EEF" w:rsidRDefault="0081115D">
      <w:pPr>
        <w:pStyle w:val="a4"/>
        <w:numPr>
          <w:ilvl w:val="2"/>
          <w:numId w:val="51"/>
        </w:numPr>
        <w:tabs>
          <w:tab w:val="left" w:pos="1371"/>
        </w:tabs>
        <w:spacing w:line="446" w:lineRule="auto"/>
        <w:ind w:left="418" w:right="1604" w:firstLine="422"/>
        <w:rPr>
          <w:sz w:val="21"/>
        </w:rPr>
      </w:pPr>
      <w:r>
        <w:rPr>
          <w:spacing w:val="-3"/>
          <w:sz w:val="21"/>
        </w:rPr>
        <w:t>室内消防给水应采用与生产、生活分开的给水系统。消防给水应采用高压或临时高压给水系统。当室内消防用水量达到最大流量时，其水压应满足室内最不利点灭火系统的要</w:t>
      </w:r>
      <w:r>
        <w:rPr>
          <w:spacing w:val="-3"/>
          <w:sz w:val="21"/>
        </w:rPr>
        <w:t xml:space="preserve"> </w:t>
      </w:r>
      <w:r>
        <w:rPr>
          <w:spacing w:val="-3"/>
          <w:sz w:val="21"/>
        </w:rPr>
        <w:t>求，消防给水管网应设置防超压设施。</w:t>
      </w:r>
      <w:r>
        <w:rPr>
          <w:sz w:val="21"/>
        </w:rPr>
        <w:t xml:space="preserve"> </w:t>
      </w:r>
    </w:p>
    <w:p w14:paraId="44FDA2B5" w14:textId="77777777" w:rsidR="00A71EEF" w:rsidRDefault="0081115D">
      <w:pPr>
        <w:pStyle w:val="a4"/>
        <w:numPr>
          <w:ilvl w:val="2"/>
          <w:numId w:val="51"/>
        </w:numPr>
        <w:tabs>
          <w:tab w:val="left" w:pos="1371"/>
        </w:tabs>
        <w:spacing w:line="446" w:lineRule="auto"/>
        <w:ind w:left="418" w:right="1604" w:firstLine="422"/>
        <w:rPr>
          <w:sz w:val="21"/>
        </w:rPr>
      </w:pPr>
      <w:r>
        <w:rPr>
          <w:spacing w:val="-3"/>
          <w:sz w:val="21"/>
        </w:rPr>
        <w:t>消防用水量应按车站或地下区间在同一时间内发生一次火灾时的室内外消防用水量之和计算，并应符合下列规定：</w:t>
      </w:r>
      <w:r>
        <w:rPr>
          <w:sz w:val="21"/>
        </w:rPr>
        <w:t xml:space="preserve"> </w:t>
      </w:r>
    </w:p>
    <w:p w14:paraId="5157C98D" w14:textId="77777777" w:rsidR="00A71EEF" w:rsidRDefault="0081115D">
      <w:pPr>
        <w:pStyle w:val="a3"/>
        <w:spacing w:line="446" w:lineRule="auto"/>
        <w:ind w:left="418" w:right="1609" w:firstLine="419"/>
      </w:pPr>
      <w:r>
        <w:t>地铁建筑内设置消火栓系统、自动喷水灭火系统等灭火设施时，其室内消防用水量应按同时开启的灭火系统用水量之和计算；</w:t>
      </w:r>
      <w:r>
        <w:t xml:space="preserve">  </w:t>
      </w:r>
      <w:r>
        <w:t xml:space="preserve"> </w:t>
      </w:r>
    </w:p>
    <w:p w14:paraId="2FDC1139" w14:textId="77777777" w:rsidR="00A71EEF" w:rsidRDefault="0081115D">
      <w:pPr>
        <w:pStyle w:val="a3"/>
        <w:spacing w:line="446" w:lineRule="auto"/>
        <w:ind w:left="418" w:right="1817" w:firstLine="419"/>
      </w:pPr>
      <w:r>
        <w:t>控制中心和车辆基地的消防用水量应符合现行国家标准《消防给水及消火栓系统技术规范》</w:t>
      </w:r>
      <w:r>
        <w:t xml:space="preserve">GB 50974 </w:t>
      </w:r>
      <w:r>
        <w:t>的规定。</w:t>
      </w:r>
      <w:r>
        <w:t xml:space="preserve"> </w:t>
      </w:r>
    </w:p>
    <w:p w14:paraId="288D79DF" w14:textId="77777777" w:rsidR="00A71EEF" w:rsidRDefault="0081115D">
      <w:pPr>
        <w:pStyle w:val="a4"/>
        <w:numPr>
          <w:ilvl w:val="2"/>
          <w:numId w:val="51"/>
        </w:numPr>
        <w:tabs>
          <w:tab w:val="left" w:pos="1371"/>
        </w:tabs>
        <w:rPr>
          <w:sz w:val="21"/>
        </w:rPr>
      </w:pPr>
      <w:r>
        <w:rPr>
          <w:spacing w:val="-3"/>
          <w:sz w:val="21"/>
        </w:rPr>
        <w:t>自动喷水灭火系统的管网宜与室内消火栓系统的管网分开设置。</w:t>
      </w:r>
      <w:r>
        <w:rPr>
          <w:sz w:val="21"/>
        </w:rPr>
        <w:t xml:space="preserve"> </w:t>
      </w:r>
    </w:p>
    <w:p w14:paraId="56892266" w14:textId="77777777" w:rsidR="00A71EEF" w:rsidRDefault="00A71EEF">
      <w:pPr>
        <w:pStyle w:val="a3"/>
        <w:spacing w:before="9"/>
        <w:rPr>
          <w:sz w:val="17"/>
        </w:rPr>
      </w:pPr>
    </w:p>
    <w:p w14:paraId="65F97A58" w14:textId="77777777" w:rsidR="00A71EEF" w:rsidRDefault="0081115D">
      <w:pPr>
        <w:pStyle w:val="a4"/>
        <w:numPr>
          <w:ilvl w:val="2"/>
          <w:numId w:val="51"/>
        </w:numPr>
        <w:tabs>
          <w:tab w:val="left" w:pos="1371"/>
        </w:tabs>
        <w:spacing w:line="446" w:lineRule="auto"/>
        <w:ind w:left="418" w:right="1447" w:firstLine="422"/>
        <w:rPr>
          <w:sz w:val="21"/>
        </w:rPr>
      </w:pPr>
      <w:r>
        <w:rPr>
          <w:spacing w:val="-5"/>
          <w:sz w:val="21"/>
        </w:rPr>
        <w:t>地铁工程地下部分室内外消火栓系统的设计火灾延续时间不应小于</w:t>
      </w:r>
      <w:r>
        <w:rPr>
          <w:spacing w:val="-5"/>
          <w:sz w:val="21"/>
        </w:rPr>
        <w:t xml:space="preserve"> </w:t>
      </w:r>
      <w:r>
        <w:rPr>
          <w:sz w:val="21"/>
        </w:rPr>
        <w:t>2.00h</w:t>
      </w:r>
      <w:r>
        <w:rPr>
          <w:spacing w:val="-1"/>
          <w:sz w:val="21"/>
        </w:rPr>
        <w:t>，地上建筑</w:t>
      </w:r>
      <w:r>
        <w:rPr>
          <w:spacing w:val="-3"/>
          <w:sz w:val="21"/>
        </w:rPr>
        <w:t>室内外消火栓系统的设计火灾延续时间应符合现行国家标准《消防给水及消火栓系统技术规</w:t>
      </w:r>
    </w:p>
    <w:p w14:paraId="2ED77343" w14:textId="77777777" w:rsidR="00A71EEF" w:rsidRDefault="0081115D">
      <w:pPr>
        <w:pStyle w:val="a3"/>
        <w:spacing w:line="446" w:lineRule="auto"/>
        <w:ind w:left="418" w:right="1558"/>
      </w:pPr>
      <w:r>
        <w:t>范》</w:t>
      </w:r>
      <w:r>
        <w:t>GB 50974</w:t>
      </w:r>
      <w:r>
        <w:rPr>
          <w:spacing w:val="-8"/>
        </w:rPr>
        <w:t xml:space="preserve"> </w:t>
      </w:r>
      <w:r>
        <w:rPr>
          <w:spacing w:val="-8"/>
        </w:rPr>
        <w:t>的规定，自动喷水灭火系统的设计火灾延续</w:t>
      </w:r>
      <w:r>
        <w:rPr>
          <w:spacing w:val="-8"/>
        </w:rPr>
        <w:t>时间应符合现行国家标准《自动喷水</w:t>
      </w:r>
      <w:r>
        <w:rPr>
          <w:spacing w:val="-5"/>
        </w:rPr>
        <w:t>灭火系统设计规范》</w:t>
      </w:r>
      <w:r>
        <w:t>GB 50084</w:t>
      </w:r>
      <w:r>
        <w:rPr>
          <w:spacing w:val="-13"/>
        </w:rPr>
        <w:t xml:space="preserve"> </w:t>
      </w:r>
      <w:r>
        <w:rPr>
          <w:spacing w:val="-13"/>
        </w:rPr>
        <w:t>的规定。</w:t>
      </w:r>
      <w:r>
        <w:t xml:space="preserve"> </w:t>
      </w:r>
    </w:p>
    <w:p w14:paraId="1A6D9D65" w14:textId="77777777" w:rsidR="00A71EEF" w:rsidRDefault="0081115D">
      <w:pPr>
        <w:pStyle w:val="a4"/>
        <w:numPr>
          <w:ilvl w:val="2"/>
          <w:numId w:val="51"/>
        </w:numPr>
        <w:tabs>
          <w:tab w:val="left" w:pos="1371"/>
        </w:tabs>
        <w:spacing w:line="446" w:lineRule="auto"/>
        <w:ind w:left="418" w:right="1604" w:firstLine="422"/>
        <w:rPr>
          <w:sz w:val="21"/>
        </w:rPr>
      </w:pPr>
      <w:r>
        <w:rPr>
          <w:spacing w:val="-3"/>
          <w:sz w:val="21"/>
        </w:rPr>
        <w:t>地下车站和设置室内消火栓系统的地上建筑应设置消防水泵接合器，并应符合下列规定：</w:t>
      </w:r>
      <w:r>
        <w:rPr>
          <w:sz w:val="21"/>
        </w:rPr>
        <w:t xml:space="preserve"> </w:t>
      </w:r>
    </w:p>
    <w:p w14:paraId="7A3BED2D" w14:textId="77777777" w:rsidR="00A71EEF" w:rsidRDefault="0081115D">
      <w:pPr>
        <w:pStyle w:val="a3"/>
        <w:spacing w:line="267" w:lineRule="exact"/>
        <w:ind w:left="838"/>
      </w:pPr>
      <w:r>
        <w:rPr>
          <w:spacing w:val="-3"/>
        </w:rPr>
        <w:t>消防水泵接合器的数量应按室内消防用水量经计算确定，每个消防水泵接合器的流量应按</w:t>
      </w:r>
    </w:p>
    <w:p w14:paraId="6806CE1B" w14:textId="77777777" w:rsidR="00A71EEF" w:rsidRDefault="00A71EEF">
      <w:pPr>
        <w:pStyle w:val="a3"/>
        <w:spacing w:before="2"/>
        <w:rPr>
          <w:sz w:val="18"/>
        </w:rPr>
      </w:pPr>
    </w:p>
    <w:p w14:paraId="681DDE43" w14:textId="77777777" w:rsidR="00A71EEF" w:rsidRDefault="0081115D">
      <w:pPr>
        <w:pStyle w:val="a3"/>
        <w:ind w:left="418"/>
      </w:pPr>
      <w:r>
        <w:t>10</w:t>
      </w:r>
      <w:r>
        <w:t>～</w:t>
      </w:r>
      <w:r>
        <w:t xml:space="preserve">15L/s </w:t>
      </w:r>
      <w:r>
        <w:t>计算；</w:t>
      </w:r>
      <w:r>
        <w:t xml:space="preserve"> </w:t>
      </w:r>
    </w:p>
    <w:p w14:paraId="5CE4A53A" w14:textId="77777777" w:rsidR="00A71EEF" w:rsidRDefault="00A71EEF">
      <w:pPr>
        <w:sectPr w:rsidR="00A71EEF">
          <w:pgSz w:w="11910" w:h="16850"/>
          <w:pgMar w:top="1220" w:right="0" w:bottom="1420" w:left="1260" w:header="0" w:footer="1239" w:gutter="0"/>
          <w:cols w:space="720"/>
        </w:sectPr>
      </w:pPr>
    </w:p>
    <w:p w14:paraId="4AA389B2" w14:textId="77777777" w:rsidR="00A71EEF" w:rsidRDefault="0081115D">
      <w:pPr>
        <w:pStyle w:val="a3"/>
        <w:spacing w:before="47" w:line="446" w:lineRule="auto"/>
        <w:ind w:left="418" w:right="1609" w:firstLine="419"/>
      </w:pPr>
      <w:r>
        <w:t>消防水泵接合器应设置在室外便于消防车取用处，地下车站宜设置在出入口或风亭附近的明显位置，距离室外消火栓或消防水池取水口宜为</w:t>
      </w:r>
      <w:r>
        <w:t xml:space="preserve"> 15</w:t>
      </w:r>
      <w:r>
        <w:t>～</w:t>
      </w:r>
      <w:r>
        <w:t>40m</w:t>
      </w:r>
      <w:r>
        <w:t>；</w:t>
      </w:r>
      <w:r>
        <w:t xml:space="preserve"> </w:t>
      </w:r>
    </w:p>
    <w:p w14:paraId="7EE65384" w14:textId="77777777" w:rsidR="00A71EEF" w:rsidRDefault="0081115D">
      <w:pPr>
        <w:pStyle w:val="a3"/>
        <w:spacing w:line="446" w:lineRule="auto"/>
        <w:ind w:left="418" w:right="1609" w:firstLine="419"/>
      </w:pPr>
      <w:r>
        <w:t>消防水泵接合器宜采用地上式，并应设置相应的永久性固定标识，位于寒冷和严寒地区应采取防冻措施。</w:t>
      </w:r>
      <w:r>
        <w:t xml:space="preserve"> </w:t>
      </w:r>
    </w:p>
    <w:p w14:paraId="651EF7B2" w14:textId="77777777" w:rsidR="00A71EEF" w:rsidRDefault="0081115D">
      <w:pPr>
        <w:pStyle w:val="a4"/>
        <w:numPr>
          <w:ilvl w:val="1"/>
          <w:numId w:val="51"/>
        </w:numPr>
        <w:tabs>
          <w:tab w:val="left" w:pos="1159"/>
        </w:tabs>
        <w:ind w:left="1158" w:hanging="319"/>
        <w:rPr>
          <w:sz w:val="21"/>
        </w:rPr>
      </w:pPr>
      <w:r>
        <w:rPr>
          <w:spacing w:val="-3"/>
          <w:sz w:val="21"/>
        </w:rPr>
        <w:t>室外消火栓系统</w:t>
      </w:r>
      <w:r>
        <w:rPr>
          <w:sz w:val="21"/>
        </w:rPr>
        <w:t xml:space="preserve"> </w:t>
      </w:r>
    </w:p>
    <w:p w14:paraId="70115488" w14:textId="77777777" w:rsidR="00A71EEF" w:rsidRDefault="00A71EEF">
      <w:pPr>
        <w:pStyle w:val="a3"/>
        <w:spacing w:before="10"/>
        <w:rPr>
          <w:sz w:val="17"/>
        </w:rPr>
      </w:pPr>
    </w:p>
    <w:p w14:paraId="63E4E2AF" w14:textId="77777777" w:rsidR="00A71EEF" w:rsidRDefault="0081115D">
      <w:pPr>
        <w:pStyle w:val="a4"/>
        <w:numPr>
          <w:ilvl w:val="2"/>
          <w:numId w:val="51"/>
        </w:numPr>
        <w:tabs>
          <w:tab w:val="left" w:pos="1371"/>
        </w:tabs>
        <w:rPr>
          <w:sz w:val="21"/>
        </w:rPr>
      </w:pPr>
      <w:r>
        <w:rPr>
          <w:spacing w:val="-3"/>
          <w:sz w:val="21"/>
        </w:rPr>
        <w:t>除地上区间外，地铁车站及其附属建筑、车辆基地应设置室外消火栓系统。</w:t>
      </w:r>
      <w:r>
        <w:rPr>
          <w:spacing w:val="-3"/>
          <w:sz w:val="21"/>
        </w:rPr>
        <w:t xml:space="preserve"> </w:t>
      </w:r>
    </w:p>
    <w:p w14:paraId="5ED94863" w14:textId="77777777" w:rsidR="00A71EEF" w:rsidRDefault="00A71EEF">
      <w:pPr>
        <w:pStyle w:val="a3"/>
        <w:spacing w:before="2"/>
        <w:rPr>
          <w:sz w:val="18"/>
        </w:rPr>
      </w:pPr>
    </w:p>
    <w:p w14:paraId="50BADE9F" w14:textId="77777777" w:rsidR="00A71EEF" w:rsidRDefault="0081115D">
      <w:pPr>
        <w:pStyle w:val="a4"/>
        <w:numPr>
          <w:ilvl w:val="2"/>
          <w:numId w:val="51"/>
        </w:numPr>
        <w:tabs>
          <w:tab w:val="left" w:pos="1370"/>
        </w:tabs>
        <w:spacing w:line="446" w:lineRule="auto"/>
        <w:ind w:left="418" w:right="1603" w:firstLine="422"/>
        <w:rPr>
          <w:sz w:val="21"/>
        </w:rPr>
      </w:pPr>
      <w:r>
        <w:rPr>
          <w:spacing w:val="-5"/>
          <w:sz w:val="21"/>
        </w:rPr>
        <w:t>地下车站的室外消火栓设置数量应满足灭火救援要求，且不应少于</w:t>
      </w:r>
      <w:r>
        <w:rPr>
          <w:spacing w:val="-5"/>
          <w:sz w:val="21"/>
        </w:rPr>
        <w:t xml:space="preserve"> </w:t>
      </w:r>
      <w:r>
        <w:rPr>
          <w:sz w:val="21"/>
        </w:rPr>
        <w:t>2</w:t>
      </w:r>
      <w:r>
        <w:rPr>
          <w:spacing w:val="-9"/>
          <w:sz w:val="21"/>
        </w:rPr>
        <w:t xml:space="preserve"> </w:t>
      </w:r>
      <w:r>
        <w:rPr>
          <w:spacing w:val="-9"/>
          <w:sz w:val="21"/>
        </w:rPr>
        <w:t>个，其室外消</w:t>
      </w:r>
      <w:r>
        <w:rPr>
          <w:spacing w:val="-10"/>
          <w:sz w:val="21"/>
        </w:rPr>
        <w:t>火栓设计流量不应小于</w:t>
      </w:r>
      <w:r>
        <w:rPr>
          <w:spacing w:val="-10"/>
          <w:sz w:val="21"/>
        </w:rPr>
        <w:t xml:space="preserve"> </w:t>
      </w:r>
      <w:r>
        <w:rPr>
          <w:sz w:val="21"/>
        </w:rPr>
        <w:t>20L/s</w:t>
      </w:r>
      <w:r>
        <w:rPr>
          <w:spacing w:val="-3"/>
          <w:sz w:val="21"/>
        </w:rPr>
        <w:t>。</w:t>
      </w:r>
      <w:r>
        <w:rPr>
          <w:sz w:val="21"/>
        </w:rPr>
        <w:t xml:space="preserve"> </w:t>
      </w:r>
    </w:p>
    <w:p w14:paraId="2BFB5FBE" w14:textId="77777777" w:rsidR="00A71EEF" w:rsidRDefault="0081115D">
      <w:pPr>
        <w:pStyle w:val="a4"/>
        <w:numPr>
          <w:ilvl w:val="2"/>
          <w:numId w:val="51"/>
        </w:numPr>
        <w:tabs>
          <w:tab w:val="left" w:pos="1371"/>
        </w:tabs>
        <w:spacing w:line="446" w:lineRule="auto"/>
        <w:ind w:left="418" w:right="1604" w:firstLine="422"/>
        <w:rPr>
          <w:sz w:val="21"/>
        </w:rPr>
      </w:pPr>
      <w:r>
        <w:rPr>
          <w:spacing w:val="-3"/>
          <w:sz w:val="21"/>
        </w:rPr>
        <w:t>地上车站、控制中心等地上建筑和地上、地下车辆基地的室外消火栓设计流量，应符合现行国家标准《消防给水及消火栓系统技术规范》</w:t>
      </w:r>
      <w:r>
        <w:rPr>
          <w:sz w:val="21"/>
        </w:rPr>
        <w:t>GB</w:t>
      </w:r>
      <w:r>
        <w:rPr>
          <w:spacing w:val="2"/>
          <w:sz w:val="21"/>
        </w:rPr>
        <w:t xml:space="preserve"> </w:t>
      </w:r>
      <w:r>
        <w:rPr>
          <w:sz w:val="21"/>
        </w:rPr>
        <w:t>50974</w:t>
      </w:r>
      <w:r>
        <w:rPr>
          <w:spacing w:val="-13"/>
          <w:sz w:val="21"/>
        </w:rPr>
        <w:t xml:space="preserve"> </w:t>
      </w:r>
      <w:r>
        <w:rPr>
          <w:spacing w:val="-13"/>
          <w:sz w:val="21"/>
        </w:rPr>
        <w:t>的规定。</w:t>
      </w:r>
      <w:r>
        <w:rPr>
          <w:sz w:val="21"/>
        </w:rPr>
        <w:t xml:space="preserve"> </w:t>
      </w:r>
    </w:p>
    <w:p w14:paraId="6594B7AA" w14:textId="77777777" w:rsidR="00A71EEF" w:rsidRDefault="0081115D">
      <w:pPr>
        <w:pStyle w:val="a4"/>
        <w:numPr>
          <w:ilvl w:val="2"/>
          <w:numId w:val="51"/>
        </w:numPr>
        <w:tabs>
          <w:tab w:val="left" w:pos="1371"/>
        </w:tabs>
        <w:rPr>
          <w:sz w:val="21"/>
        </w:rPr>
      </w:pPr>
      <w:r>
        <w:rPr>
          <w:spacing w:val="-6"/>
          <w:sz w:val="21"/>
        </w:rPr>
        <w:t>主变电所的室外消火栓设计流量不应小于表</w:t>
      </w:r>
      <w:r>
        <w:rPr>
          <w:spacing w:val="-6"/>
          <w:sz w:val="21"/>
        </w:rPr>
        <w:t xml:space="preserve"> </w:t>
      </w:r>
      <w:r>
        <w:rPr>
          <w:sz w:val="21"/>
        </w:rPr>
        <w:t>7.2.4</w:t>
      </w:r>
      <w:r>
        <w:rPr>
          <w:spacing w:val="-13"/>
          <w:sz w:val="21"/>
        </w:rPr>
        <w:t xml:space="preserve"> </w:t>
      </w:r>
      <w:r>
        <w:rPr>
          <w:spacing w:val="-13"/>
          <w:sz w:val="21"/>
        </w:rPr>
        <w:t>的规定。</w:t>
      </w:r>
      <w:r>
        <w:rPr>
          <w:sz w:val="21"/>
        </w:rPr>
        <w:t xml:space="preserve"> </w:t>
      </w:r>
    </w:p>
    <w:p w14:paraId="1556E514" w14:textId="77777777" w:rsidR="00A71EEF" w:rsidRDefault="00A71EEF">
      <w:pPr>
        <w:pStyle w:val="a3"/>
        <w:spacing w:before="10"/>
        <w:rPr>
          <w:sz w:val="17"/>
        </w:rPr>
      </w:pPr>
    </w:p>
    <w:p w14:paraId="419EEE75" w14:textId="77777777" w:rsidR="00A71EEF" w:rsidRDefault="0081115D">
      <w:pPr>
        <w:pStyle w:val="6"/>
        <w:spacing w:before="1"/>
        <w:ind w:left="3099"/>
      </w:pPr>
      <w:r>
        <w:t>表</w:t>
      </w:r>
      <w:r>
        <w:t xml:space="preserve"> 7.2.4 </w:t>
      </w:r>
      <w:r>
        <w:t>主变电所的室外消火栓设计流量</w:t>
      </w:r>
      <w:r>
        <w:rPr>
          <w:w w:val="99"/>
        </w:rPr>
        <w:t xml:space="preserve"> </w:t>
      </w:r>
    </w:p>
    <w:p w14:paraId="092ECF35" w14:textId="77777777" w:rsidR="00A71EEF" w:rsidRDefault="0081115D">
      <w:pPr>
        <w:pStyle w:val="a3"/>
        <w:spacing w:before="2"/>
        <w:rPr>
          <w:b/>
          <w:sz w:val="20"/>
        </w:rPr>
      </w:pPr>
      <w:r>
        <w:rPr>
          <w:noProof/>
        </w:rPr>
        <w:drawing>
          <wp:anchor distT="0" distB="0" distL="0" distR="0" simplePos="0" relativeHeight="251745792" behindDoc="0" locked="0" layoutInCell="1" allowOverlap="1" wp14:anchorId="7B963729" wp14:editId="4CCF1322">
            <wp:simplePos x="0" y="0"/>
            <wp:positionH relativeFrom="page">
              <wp:posOffset>1122044</wp:posOffset>
            </wp:positionH>
            <wp:positionV relativeFrom="paragraph">
              <wp:posOffset>189261</wp:posOffset>
            </wp:positionV>
            <wp:extent cx="5135880" cy="723900"/>
            <wp:effectExtent l="0" t="0" r="0" b="0"/>
            <wp:wrapTopAndBottom/>
            <wp:docPr id="795" name="image4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 name="image466.jpeg"/>
                    <pic:cNvPicPr/>
                  </pic:nvPicPr>
                  <pic:blipFill>
                    <a:blip r:embed="rId582" cstate="print"/>
                    <a:stretch>
                      <a:fillRect/>
                    </a:stretch>
                  </pic:blipFill>
                  <pic:spPr>
                    <a:xfrm>
                      <a:off x="0" y="0"/>
                      <a:ext cx="5135880" cy="723900"/>
                    </a:xfrm>
                    <a:prstGeom prst="rect">
                      <a:avLst/>
                    </a:prstGeom>
                  </pic:spPr>
                </pic:pic>
              </a:graphicData>
            </a:graphic>
          </wp:anchor>
        </w:drawing>
      </w:r>
    </w:p>
    <w:p w14:paraId="63CFC96B" w14:textId="77777777" w:rsidR="00A71EEF" w:rsidRDefault="00A71EEF">
      <w:pPr>
        <w:pStyle w:val="a3"/>
        <w:rPr>
          <w:b/>
          <w:sz w:val="20"/>
        </w:rPr>
      </w:pPr>
    </w:p>
    <w:p w14:paraId="356EEB4F" w14:textId="77777777" w:rsidR="00A71EEF" w:rsidRDefault="00A71EEF">
      <w:pPr>
        <w:pStyle w:val="a3"/>
        <w:rPr>
          <w:b/>
          <w:sz w:val="20"/>
        </w:rPr>
      </w:pPr>
    </w:p>
    <w:p w14:paraId="7B45FC94" w14:textId="77777777" w:rsidR="00A71EEF" w:rsidRDefault="0081115D">
      <w:pPr>
        <w:pStyle w:val="a4"/>
        <w:numPr>
          <w:ilvl w:val="2"/>
          <w:numId w:val="51"/>
        </w:numPr>
        <w:tabs>
          <w:tab w:val="left" w:pos="1371"/>
        </w:tabs>
        <w:spacing w:before="151" w:line="446" w:lineRule="auto"/>
        <w:ind w:left="418" w:right="1604" w:firstLine="422"/>
        <w:jc w:val="both"/>
        <w:rPr>
          <w:sz w:val="21"/>
        </w:rPr>
      </w:pPr>
      <w:r>
        <w:rPr>
          <w:spacing w:val="-6"/>
          <w:sz w:val="21"/>
        </w:rPr>
        <w:t>车站消防给水系统的进水管不应少于</w:t>
      </w:r>
      <w:r>
        <w:rPr>
          <w:spacing w:val="-6"/>
          <w:sz w:val="21"/>
        </w:rPr>
        <w:t xml:space="preserve"> </w:t>
      </w:r>
      <w:r>
        <w:rPr>
          <w:sz w:val="21"/>
        </w:rPr>
        <w:t>2</w:t>
      </w:r>
      <w:r>
        <w:rPr>
          <w:spacing w:val="-8"/>
          <w:sz w:val="21"/>
        </w:rPr>
        <w:t xml:space="preserve"> </w:t>
      </w:r>
      <w:r>
        <w:rPr>
          <w:spacing w:val="-8"/>
          <w:sz w:val="21"/>
        </w:rPr>
        <w:t>条，并宜从两条市政给水管道引入，当其中</w:t>
      </w:r>
      <w:r>
        <w:rPr>
          <w:spacing w:val="-5"/>
          <w:sz w:val="21"/>
        </w:rPr>
        <w:t>一条进水管发生故障时，另一条进水管应仍能保证全部消防用水量；当车站周边仅有一条市政</w:t>
      </w:r>
      <w:r>
        <w:rPr>
          <w:spacing w:val="-4"/>
          <w:sz w:val="21"/>
        </w:rPr>
        <w:t>枝状给水管道时，应设置消防水池。</w:t>
      </w:r>
      <w:r>
        <w:rPr>
          <w:sz w:val="21"/>
        </w:rPr>
        <w:t xml:space="preserve"> </w:t>
      </w:r>
    </w:p>
    <w:p w14:paraId="46F7B386" w14:textId="77777777" w:rsidR="00A71EEF" w:rsidRDefault="0081115D">
      <w:pPr>
        <w:pStyle w:val="a4"/>
        <w:numPr>
          <w:ilvl w:val="2"/>
          <w:numId w:val="51"/>
        </w:numPr>
        <w:tabs>
          <w:tab w:val="left" w:pos="1371"/>
        </w:tabs>
        <w:spacing w:line="446" w:lineRule="auto"/>
        <w:ind w:left="418" w:right="1604" w:firstLine="422"/>
        <w:rPr>
          <w:sz w:val="21"/>
        </w:rPr>
      </w:pPr>
      <w:r>
        <w:rPr>
          <w:spacing w:val="-3"/>
          <w:sz w:val="21"/>
        </w:rPr>
        <w:t>车辆基地的室外消防给水系统宜与生产、生活给水管道合并，当生产、生活用水量达到最大小时用水量时，合并的给水管道系统仍应能保证全部消防用水量。</w:t>
      </w:r>
      <w:r>
        <w:rPr>
          <w:sz w:val="21"/>
        </w:rPr>
        <w:t xml:space="preserve"> </w:t>
      </w:r>
    </w:p>
    <w:p w14:paraId="27AEFBF7" w14:textId="77777777" w:rsidR="00A71EEF" w:rsidRDefault="0081115D">
      <w:pPr>
        <w:pStyle w:val="a4"/>
        <w:numPr>
          <w:ilvl w:val="2"/>
          <w:numId w:val="51"/>
        </w:numPr>
        <w:tabs>
          <w:tab w:val="left" w:pos="1371"/>
        </w:tabs>
        <w:spacing w:line="446" w:lineRule="auto"/>
        <w:ind w:left="418" w:right="1500" w:firstLine="422"/>
        <w:jc w:val="both"/>
        <w:rPr>
          <w:sz w:val="21"/>
        </w:rPr>
      </w:pPr>
      <w:r>
        <w:rPr>
          <w:spacing w:val="-6"/>
          <w:sz w:val="21"/>
        </w:rPr>
        <w:t>室外消火栓宜采用地上式。地上式消火栓应有</w:t>
      </w:r>
      <w:r>
        <w:rPr>
          <w:spacing w:val="-6"/>
          <w:sz w:val="21"/>
        </w:rPr>
        <w:t xml:space="preserve"> </w:t>
      </w:r>
      <w:r>
        <w:rPr>
          <w:sz w:val="21"/>
        </w:rPr>
        <w:t>1</w:t>
      </w:r>
      <w:r>
        <w:rPr>
          <w:spacing w:val="-35"/>
          <w:sz w:val="21"/>
        </w:rPr>
        <w:t xml:space="preserve"> </w:t>
      </w:r>
      <w:r>
        <w:rPr>
          <w:spacing w:val="-35"/>
          <w:sz w:val="21"/>
        </w:rPr>
        <w:t>个</w:t>
      </w:r>
      <w:r>
        <w:rPr>
          <w:spacing w:val="-35"/>
          <w:sz w:val="21"/>
        </w:rPr>
        <w:t xml:space="preserve"> </w:t>
      </w:r>
      <w:r>
        <w:rPr>
          <w:sz w:val="21"/>
        </w:rPr>
        <w:t>DN150</w:t>
      </w:r>
      <w:r>
        <w:rPr>
          <w:spacing w:val="-35"/>
          <w:sz w:val="21"/>
        </w:rPr>
        <w:t xml:space="preserve"> </w:t>
      </w:r>
      <w:r>
        <w:rPr>
          <w:spacing w:val="-35"/>
          <w:sz w:val="21"/>
        </w:rPr>
        <w:t>或</w:t>
      </w:r>
      <w:r>
        <w:rPr>
          <w:spacing w:val="-35"/>
          <w:sz w:val="21"/>
        </w:rPr>
        <w:t xml:space="preserve"> </w:t>
      </w:r>
      <w:r>
        <w:rPr>
          <w:sz w:val="21"/>
        </w:rPr>
        <w:t>DN100</w:t>
      </w:r>
      <w:r>
        <w:rPr>
          <w:spacing w:val="-35"/>
          <w:sz w:val="21"/>
        </w:rPr>
        <w:t xml:space="preserve"> </w:t>
      </w:r>
      <w:r>
        <w:rPr>
          <w:spacing w:val="-35"/>
          <w:sz w:val="21"/>
        </w:rPr>
        <w:t>和</w:t>
      </w:r>
      <w:r>
        <w:rPr>
          <w:spacing w:val="-35"/>
          <w:sz w:val="21"/>
        </w:rPr>
        <w:t xml:space="preserve"> </w:t>
      </w:r>
      <w:r>
        <w:rPr>
          <w:sz w:val="21"/>
        </w:rPr>
        <w:t>2</w:t>
      </w:r>
      <w:r>
        <w:rPr>
          <w:spacing w:val="-34"/>
          <w:sz w:val="21"/>
        </w:rPr>
        <w:t xml:space="preserve"> </w:t>
      </w:r>
      <w:r>
        <w:rPr>
          <w:spacing w:val="-34"/>
          <w:sz w:val="21"/>
        </w:rPr>
        <w:t>个</w:t>
      </w:r>
      <w:r>
        <w:rPr>
          <w:spacing w:val="-34"/>
          <w:sz w:val="21"/>
        </w:rPr>
        <w:t xml:space="preserve"> </w:t>
      </w:r>
      <w:r>
        <w:rPr>
          <w:sz w:val="21"/>
        </w:rPr>
        <w:t>DN65</w:t>
      </w:r>
      <w:r>
        <w:rPr>
          <w:spacing w:val="-18"/>
          <w:sz w:val="21"/>
        </w:rPr>
        <w:t xml:space="preserve"> </w:t>
      </w:r>
      <w:r>
        <w:rPr>
          <w:spacing w:val="-18"/>
          <w:sz w:val="21"/>
        </w:rPr>
        <w:t>的栓</w:t>
      </w:r>
      <w:r>
        <w:rPr>
          <w:spacing w:val="-11"/>
          <w:sz w:val="21"/>
        </w:rPr>
        <w:t>口，地下式消火栓应有</w:t>
      </w:r>
      <w:r>
        <w:rPr>
          <w:spacing w:val="-11"/>
          <w:sz w:val="21"/>
        </w:rPr>
        <w:t xml:space="preserve"> </w:t>
      </w:r>
      <w:r>
        <w:rPr>
          <w:sz w:val="21"/>
        </w:rPr>
        <w:t>DN100</w:t>
      </w:r>
      <w:r>
        <w:rPr>
          <w:spacing w:val="-33"/>
          <w:sz w:val="21"/>
        </w:rPr>
        <w:t xml:space="preserve"> </w:t>
      </w:r>
      <w:r>
        <w:rPr>
          <w:spacing w:val="-33"/>
          <w:sz w:val="21"/>
        </w:rPr>
        <w:t>和</w:t>
      </w:r>
      <w:r>
        <w:rPr>
          <w:spacing w:val="-33"/>
          <w:sz w:val="21"/>
        </w:rPr>
        <w:t xml:space="preserve"> </w:t>
      </w:r>
      <w:r>
        <w:rPr>
          <w:sz w:val="21"/>
        </w:rPr>
        <w:t>DN65</w:t>
      </w:r>
      <w:r>
        <w:rPr>
          <w:spacing w:val="-18"/>
          <w:sz w:val="21"/>
        </w:rPr>
        <w:t xml:space="preserve"> </w:t>
      </w:r>
      <w:r>
        <w:rPr>
          <w:spacing w:val="-18"/>
          <w:sz w:val="21"/>
        </w:rPr>
        <w:t>的栓口各</w:t>
      </w:r>
      <w:r>
        <w:rPr>
          <w:spacing w:val="-18"/>
          <w:sz w:val="21"/>
        </w:rPr>
        <w:t xml:space="preserve"> </w:t>
      </w:r>
      <w:r>
        <w:rPr>
          <w:sz w:val="21"/>
        </w:rPr>
        <w:t>1</w:t>
      </w:r>
      <w:r>
        <w:rPr>
          <w:spacing w:val="-8"/>
          <w:sz w:val="21"/>
        </w:rPr>
        <w:t xml:space="preserve"> </w:t>
      </w:r>
      <w:r>
        <w:rPr>
          <w:spacing w:val="-8"/>
          <w:sz w:val="21"/>
        </w:rPr>
        <w:t>个。位于寒冷和严寒地区时，室外消火栓应采</w:t>
      </w:r>
      <w:r>
        <w:rPr>
          <w:spacing w:val="-5"/>
          <w:sz w:val="21"/>
        </w:rPr>
        <w:t>取防冻措施。室外消火栓应设置相应的永久性固定标识。</w:t>
      </w:r>
      <w:r>
        <w:rPr>
          <w:sz w:val="21"/>
        </w:rPr>
        <w:t xml:space="preserve"> </w:t>
      </w:r>
    </w:p>
    <w:p w14:paraId="7F04F5DD" w14:textId="77777777" w:rsidR="00A71EEF" w:rsidRDefault="0081115D">
      <w:pPr>
        <w:pStyle w:val="a4"/>
        <w:numPr>
          <w:ilvl w:val="2"/>
          <w:numId w:val="51"/>
        </w:numPr>
        <w:tabs>
          <w:tab w:val="left" w:pos="1371"/>
        </w:tabs>
        <w:spacing w:line="446" w:lineRule="auto"/>
        <w:ind w:left="418" w:right="1500" w:firstLine="422"/>
        <w:jc w:val="both"/>
        <w:rPr>
          <w:sz w:val="21"/>
        </w:rPr>
      </w:pPr>
      <w:r>
        <w:rPr>
          <w:spacing w:val="-6"/>
          <w:sz w:val="21"/>
        </w:rPr>
        <w:t>室外消火栓的布置间距不应大于</w:t>
      </w:r>
      <w:r>
        <w:rPr>
          <w:spacing w:val="-6"/>
          <w:sz w:val="21"/>
        </w:rPr>
        <w:t xml:space="preserve"> </w:t>
      </w:r>
      <w:r>
        <w:rPr>
          <w:sz w:val="21"/>
        </w:rPr>
        <w:t>120m</w:t>
      </w:r>
      <w:r>
        <w:rPr>
          <w:spacing w:val="-6"/>
          <w:sz w:val="21"/>
        </w:rPr>
        <w:t>，每个消火栓的保护半径不应大于</w:t>
      </w:r>
      <w:r>
        <w:rPr>
          <w:spacing w:val="-6"/>
          <w:sz w:val="21"/>
        </w:rPr>
        <w:t xml:space="preserve"> </w:t>
      </w:r>
      <w:r>
        <w:rPr>
          <w:sz w:val="21"/>
        </w:rPr>
        <w:t>150m</w:t>
      </w:r>
      <w:r>
        <w:rPr>
          <w:spacing w:val="-2"/>
          <w:sz w:val="21"/>
        </w:rPr>
        <w:t>。检修</w:t>
      </w:r>
      <w:r>
        <w:rPr>
          <w:spacing w:val="-7"/>
          <w:sz w:val="21"/>
        </w:rPr>
        <w:t>阀之间的消火栓数量不应大于</w:t>
      </w:r>
      <w:r>
        <w:rPr>
          <w:spacing w:val="-7"/>
          <w:sz w:val="21"/>
        </w:rPr>
        <w:t xml:space="preserve"> </w:t>
      </w:r>
      <w:r>
        <w:rPr>
          <w:sz w:val="21"/>
        </w:rPr>
        <w:t>5</w:t>
      </w:r>
      <w:r>
        <w:rPr>
          <w:spacing w:val="-20"/>
          <w:sz w:val="21"/>
        </w:rPr>
        <w:t xml:space="preserve"> </w:t>
      </w:r>
      <w:r>
        <w:rPr>
          <w:spacing w:val="-20"/>
          <w:sz w:val="21"/>
        </w:rPr>
        <w:t>个。</w:t>
      </w:r>
      <w:r>
        <w:rPr>
          <w:sz w:val="21"/>
        </w:rPr>
        <w:t xml:space="preserve"> </w:t>
      </w:r>
    </w:p>
    <w:p w14:paraId="7C5915E5" w14:textId="77777777" w:rsidR="00A71EEF" w:rsidRDefault="0081115D">
      <w:pPr>
        <w:pStyle w:val="a4"/>
        <w:numPr>
          <w:ilvl w:val="1"/>
          <w:numId w:val="51"/>
        </w:numPr>
        <w:tabs>
          <w:tab w:val="left" w:pos="1159"/>
        </w:tabs>
        <w:ind w:left="1158" w:hanging="319"/>
        <w:rPr>
          <w:b/>
          <w:sz w:val="21"/>
        </w:rPr>
      </w:pPr>
      <w:r>
        <w:rPr>
          <w:spacing w:val="-3"/>
          <w:sz w:val="21"/>
        </w:rPr>
        <w:t>室内消火栓系统</w:t>
      </w:r>
      <w:r>
        <w:rPr>
          <w:b/>
          <w:w w:val="99"/>
          <w:sz w:val="21"/>
        </w:rPr>
        <w:t xml:space="preserve"> </w:t>
      </w:r>
    </w:p>
    <w:p w14:paraId="00A9E0B7" w14:textId="77777777" w:rsidR="00A71EEF" w:rsidRDefault="00A71EEF">
      <w:pPr>
        <w:pStyle w:val="a3"/>
        <w:spacing w:before="8"/>
        <w:rPr>
          <w:b/>
          <w:sz w:val="17"/>
        </w:rPr>
      </w:pPr>
    </w:p>
    <w:p w14:paraId="101E7CF6" w14:textId="77777777" w:rsidR="00A71EEF" w:rsidRDefault="0081115D">
      <w:pPr>
        <w:pStyle w:val="a4"/>
        <w:numPr>
          <w:ilvl w:val="2"/>
          <w:numId w:val="51"/>
        </w:numPr>
        <w:tabs>
          <w:tab w:val="left" w:pos="1370"/>
        </w:tabs>
        <w:ind w:left="1369" w:hanging="530"/>
        <w:rPr>
          <w:sz w:val="21"/>
        </w:rPr>
      </w:pPr>
      <w:r>
        <w:rPr>
          <w:spacing w:val="-5"/>
          <w:sz w:val="21"/>
        </w:rPr>
        <w:t>车站的站厅层、站台层、设备层、地下区间及长度大于</w:t>
      </w:r>
      <w:r>
        <w:rPr>
          <w:spacing w:val="-5"/>
          <w:sz w:val="21"/>
        </w:rPr>
        <w:t xml:space="preserve"> </w:t>
      </w:r>
      <w:r>
        <w:rPr>
          <w:sz w:val="21"/>
        </w:rPr>
        <w:t>30m</w:t>
      </w:r>
      <w:r>
        <w:rPr>
          <w:spacing w:val="-9"/>
          <w:sz w:val="21"/>
        </w:rPr>
        <w:t xml:space="preserve"> </w:t>
      </w:r>
      <w:r>
        <w:rPr>
          <w:spacing w:val="-9"/>
          <w:sz w:val="21"/>
        </w:rPr>
        <w:t>的人行通道等处均应设</w:t>
      </w:r>
    </w:p>
    <w:p w14:paraId="7CACB0D9" w14:textId="77777777" w:rsidR="00A71EEF" w:rsidRDefault="00A71EEF">
      <w:pPr>
        <w:rPr>
          <w:sz w:val="21"/>
        </w:rPr>
        <w:sectPr w:rsidR="00A71EEF">
          <w:pgSz w:w="11910" w:h="16850"/>
          <w:pgMar w:top="1220" w:right="0" w:bottom="1420" w:left="1260" w:header="0" w:footer="1239" w:gutter="0"/>
          <w:cols w:space="720"/>
        </w:sectPr>
      </w:pPr>
    </w:p>
    <w:p w14:paraId="0809651E" w14:textId="77777777" w:rsidR="00A71EEF" w:rsidRDefault="0081115D">
      <w:pPr>
        <w:pStyle w:val="a3"/>
        <w:spacing w:before="47"/>
        <w:ind w:left="418"/>
      </w:pPr>
      <w:r>
        <w:t>置室内消火栓。</w:t>
      </w:r>
      <w:r>
        <w:t xml:space="preserve"> </w:t>
      </w:r>
    </w:p>
    <w:p w14:paraId="6B78D788" w14:textId="77777777" w:rsidR="00A71EEF" w:rsidRDefault="00A71EEF">
      <w:pPr>
        <w:pStyle w:val="a3"/>
        <w:rPr>
          <w:sz w:val="18"/>
        </w:rPr>
      </w:pPr>
    </w:p>
    <w:p w14:paraId="15F17FFC" w14:textId="77777777" w:rsidR="00A71EEF" w:rsidRDefault="0081115D">
      <w:pPr>
        <w:pStyle w:val="a4"/>
        <w:numPr>
          <w:ilvl w:val="2"/>
          <w:numId w:val="51"/>
        </w:numPr>
        <w:tabs>
          <w:tab w:val="left" w:pos="1371"/>
        </w:tabs>
        <w:spacing w:line="446" w:lineRule="auto"/>
        <w:ind w:left="418" w:right="1450" w:firstLine="422"/>
        <w:rPr>
          <w:sz w:val="21"/>
        </w:rPr>
      </w:pPr>
      <w:r>
        <w:rPr>
          <w:spacing w:val="-6"/>
          <w:sz w:val="21"/>
        </w:rPr>
        <w:t>地下车站的室内消火栓设计流量不应小于</w:t>
      </w:r>
      <w:r>
        <w:rPr>
          <w:spacing w:val="-6"/>
          <w:sz w:val="21"/>
        </w:rPr>
        <w:t xml:space="preserve"> </w:t>
      </w:r>
      <w:r>
        <w:rPr>
          <w:sz w:val="21"/>
        </w:rPr>
        <w:t>20L/s</w:t>
      </w:r>
      <w:r>
        <w:rPr>
          <w:spacing w:val="-3"/>
          <w:sz w:val="21"/>
        </w:rPr>
        <w:t>。地下车站出入口通道、地下折返线</w:t>
      </w:r>
      <w:r>
        <w:rPr>
          <w:spacing w:val="-6"/>
          <w:sz w:val="21"/>
        </w:rPr>
        <w:t>及地下区间的室内消火栓设计流量不应小于</w:t>
      </w:r>
      <w:r>
        <w:rPr>
          <w:spacing w:val="-6"/>
          <w:sz w:val="21"/>
        </w:rPr>
        <w:t xml:space="preserve"> </w:t>
      </w:r>
      <w:r>
        <w:rPr>
          <w:sz w:val="21"/>
        </w:rPr>
        <w:t>10L/s</w:t>
      </w:r>
      <w:r>
        <w:rPr>
          <w:sz w:val="21"/>
        </w:rPr>
        <w:t>。</w:t>
      </w:r>
      <w:r>
        <w:rPr>
          <w:sz w:val="21"/>
        </w:rPr>
        <w:t xml:space="preserve"> </w:t>
      </w:r>
    </w:p>
    <w:p w14:paraId="6CC79886" w14:textId="77777777" w:rsidR="00A71EEF" w:rsidRDefault="0081115D">
      <w:pPr>
        <w:pStyle w:val="a4"/>
        <w:numPr>
          <w:ilvl w:val="2"/>
          <w:numId w:val="51"/>
        </w:numPr>
        <w:tabs>
          <w:tab w:val="left" w:pos="1371"/>
        </w:tabs>
        <w:spacing w:line="446" w:lineRule="auto"/>
        <w:ind w:left="418" w:right="1604" w:firstLine="422"/>
        <w:rPr>
          <w:sz w:val="21"/>
        </w:rPr>
      </w:pPr>
      <w:r>
        <w:rPr>
          <w:spacing w:val="-3"/>
          <w:sz w:val="21"/>
        </w:rPr>
        <w:t>地上车站、控制中心等地上建筑和地上、地下车辆基地的室内消火栓用水量，应符合现行国家标准《消防给水及消火栓系统技术规范》</w:t>
      </w:r>
      <w:r>
        <w:rPr>
          <w:sz w:val="21"/>
        </w:rPr>
        <w:t>GB</w:t>
      </w:r>
      <w:r>
        <w:rPr>
          <w:spacing w:val="2"/>
          <w:sz w:val="21"/>
        </w:rPr>
        <w:t xml:space="preserve"> </w:t>
      </w:r>
      <w:r>
        <w:rPr>
          <w:sz w:val="21"/>
        </w:rPr>
        <w:t>50974</w:t>
      </w:r>
      <w:r>
        <w:rPr>
          <w:spacing w:val="-13"/>
          <w:sz w:val="21"/>
        </w:rPr>
        <w:t xml:space="preserve"> </w:t>
      </w:r>
      <w:r>
        <w:rPr>
          <w:spacing w:val="-13"/>
          <w:sz w:val="21"/>
        </w:rPr>
        <w:t>的规定。</w:t>
      </w:r>
      <w:r>
        <w:rPr>
          <w:sz w:val="21"/>
        </w:rPr>
        <w:t xml:space="preserve"> </w:t>
      </w:r>
    </w:p>
    <w:p w14:paraId="40332C70" w14:textId="77777777" w:rsidR="00A71EEF" w:rsidRDefault="0081115D">
      <w:pPr>
        <w:pStyle w:val="a4"/>
        <w:numPr>
          <w:ilvl w:val="2"/>
          <w:numId w:val="51"/>
        </w:numPr>
        <w:tabs>
          <w:tab w:val="left" w:pos="1371"/>
        </w:tabs>
        <w:spacing w:line="267" w:lineRule="exact"/>
        <w:rPr>
          <w:sz w:val="21"/>
        </w:rPr>
      </w:pPr>
      <w:r>
        <w:rPr>
          <w:spacing w:val="-6"/>
          <w:sz w:val="21"/>
        </w:rPr>
        <w:t>主变电所的室内消火栓设计流量不应小于表</w:t>
      </w:r>
      <w:r>
        <w:rPr>
          <w:spacing w:val="-6"/>
          <w:sz w:val="21"/>
        </w:rPr>
        <w:t xml:space="preserve"> </w:t>
      </w:r>
      <w:r>
        <w:rPr>
          <w:sz w:val="21"/>
        </w:rPr>
        <w:t>7.3.4</w:t>
      </w:r>
      <w:r>
        <w:rPr>
          <w:spacing w:val="-13"/>
          <w:sz w:val="21"/>
        </w:rPr>
        <w:t xml:space="preserve"> </w:t>
      </w:r>
      <w:r>
        <w:rPr>
          <w:spacing w:val="-13"/>
          <w:sz w:val="21"/>
        </w:rPr>
        <w:t>的规定。</w:t>
      </w:r>
      <w:r>
        <w:rPr>
          <w:sz w:val="21"/>
        </w:rPr>
        <w:t xml:space="preserve"> </w:t>
      </w:r>
    </w:p>
    <w:p w14:paraId="063CA3ED" w14:textId="77777777" w:rsidR="00A71EEF" w:rsidRDefault="00A71EEF">
      <w:pPr>
        <w:pStyle w:val="a3"/>
        <w:spacing w:before="2"/>
        <w:rPr>
          <w:sz w:val="18"/>
        </w:rPr>
      </w:pPr>
    </w:p>
    <w:p w14:paraId="5F696967" w14:textId="77777777" w:rsidR="00A71EEF" w:rsidRDefault="0081115D">
      <w:pPr>
        <w:pStyle w:val="6"/>
        <w:ind w:left="3099"/>
      </w:pPr>
      <w:r>
        <w:t>表</w:t>
      </w:r>
      <w:r>
        <w:t xml:space="preserve"> 7.3.4 </w:t>
      </w:r>
      <w:r>
        <w:t>主变电所的室内消火栓设计流量</w:t>
      </w:r>
      <w:r>
        <w:rPr>
          <w:w w:val="99"/>
        </w:rPr>
        <w:t xml:space="preserve"> </w:t>
      </w:r>
    </w:p>
    <w:p w14:paraId="69FD77FF" w14:textId="77777777" w:rsidR="00A71EEF" w:rsidRDefault="0081115D">
      <w:pPr>
        <w:pStyle w:val="a3"/>
        <w:spacing w:before="9"/>
        <w:rPr>
          <w:b/>
          <w:sz w:val="22"/>
        </w:rPr>
      </w:pPr>
      <w:r>
        <w:rPr>
          <w:noProof/>
        </w:rPr>
        <w:drawing>
          <wp:anchor distT="0" distB="0" distL="0" distR="0" simplePos="0" relativeHeight="251746816" behindDoc="0" locked="0" layoutInCell="1" allowOverlap="1" wp14:anchorId="3F1DE747" wp14:editId="793E6628">
            <wp:simplePos x="0" y="0"/>
            <wp:positionH relativeFrom="page">
              <wp:posOffset>1057910</wp:posOffset>
            </wp:positionH>
            <wp:positionV relativeFrom="paragraph">
              <wp:posOffset>209835</wp:posOffset>
            </wp:positionV>
            <wp:extent cx="5246406" cy="2266950"/>
            <wp:effectExtent l="0" t="0" r="0" b="0"/>
            <wp:wrapTopAndBottom/>
            <wp:docPr id="797" name="image4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 name="image467.jpeg"/>
                    <pic:cNvPicPr/>
                  </pic:nvPicPr>
                  <pic:blipFill>
                    <a:blip r:embed="rId583" cstate="print"/>
                    <a:stretch>
                      <a:fillRect/>
                    </a:stretch>
                  </pic:blipFill>
                  <pic:spPr>
                    <a:xfrm>
                      <a:off x="0" y="0"/>
                      <a:ext cx="5246406" cy="2266950"/>
                    </a:xfrm>
                    <a:prstGeom prst="rect">
                      <a:avLst/>
                    </a:prstGeom>
                  </pic:spPr>
                </pic:pic>
              </a:graphicData>
            </a:graphic>
          </wp:anchor>
        </w:drawing>
      </w:r>
    </w:p>
    <w:p w14:paraId="3BF15AD6" w14:textId="77777777" w:rsidR="00A71EEF" w:rsidRDefault="0081115D">
      <w:pPr>
        <w:pStyle w:val="a4"/>
        <w:numPr>
          <w:ilvl w:val="2"/>
          <w:numId w:val="51"/>
        </w:numPr>
        <w:tabs>
          <w:tab w:val="left" w:pos="1370"/>
        </w:tabs>
        <w:spacing w:before="166"/>
        <w:ind w:left="1369" w:hanging="530"/>
        <w:rPr>
          <w:sz w:val="21"/>
        </w:rPr>
      </w:pPr>
      <w:r>
        <w:rPr>
          <w:spacing w:val="-3"/>
          <w:sz w:val="21"/>
        </w:rPr>
        <w:t>室内消火栓的布置应符合下列规定：</w:t>
      </w:r>
      <w:r>
        <w:rPr>
          <w:sz w:val="21"/>
        </w:rPr>
        <w:t xml:space="preserve"> </w:t>
      </w:r>
    </w:p>
    <w:p w14:paraId="35369E7B" w14:textId="77777777" w:rsidR="00A71EEF" w:rsidRDefault="00A71EEF">
      <w:pPr>
        <w:pStyle w:val="a3"/>
        <w:spacing w:before="12"/>
        <w:rPr>
          <w:sz w:val="17"/>
        </w:rPr>
      </w:pPr>
    </w:p>
    <w:p w14:paraId="0B6AAD41" w14:textId="77777777" w:rsidR="00A71EEF" w:rsidRDefault="0081115D">
      <w:pPr>
        <w:pStyle w:val="a3"/>
        <w:spacing w:line="446" w:lineRule="auto"/>
        <w:ind w:left="418" w:right="1609" w:firstLine="419"/>
      </w:pPr>
      <w:r>
        <w:rPr>
          <w:spacing w:val="-3"/>
        </w:rPr>
        <w:t>消火栓的布置应保证每个防火分区同层有两支水枪的充实水柱同时到达任何部位，水枪的</w:t>
      </w:r>
      <w:r>
        <w:rPr>
          <w:spacing w:val="-9"/>
        </w:rPr>
        <w:t>充实水柱不应小于</w:t>
      </w:r>
      <w:r>
        <w:rPr>
          <w:spacing w:val="-9"/>
        </w:rPr>
        <w:t xml:space="preserve"> </w:t>
      </w:r>
      <w:r>
        <w:t>10m</w:t>
      </w:r>
      <w:r>
        <w:t>；</w:t>
      </w:r>
      <w:r>
        <w:t xml:space="preserve"> </w:t>
      </w:r>
    </w:p>
    <w:p w14:paraId="16853E8E" w14:textId="77777777" w:rsidR="00A71EEF" w:rsidRDefault="0081115D">
      <w:pPr>
        <w:pStyle w:val="a3"/>
        <w:spacing w:line="446" w:lineRule="auto"/>
        <w:ind w:left="418" w:right="1450" w:firstLine="419"/>
        <w:jc w:val="both"/>
      </w:pPr>
      <w:r>
        <w:rPr>
          <w:spacing w:val="-4"/>
        </w:rPr>
        <w:t>消火栓的间距应经计算确定，且单口单阀消火栓的间距不应大于</w:t>
      </w:r>
      <w:r>
        <w:rPr>
          <w:spacing w:val="-4"/>
        </w:rPr>
        <w:t xml:space="preserve"> </w:t>
      </w:r>
      <w:r>
        <w:t>30m</w:t>
      </w:r>
      <w:r>
        <w:rPr>
          <w:spacing w:val="-3"/>
        </w:rPr>
        <w:t>，两只单口单阀为一组</w:t>
      </w:r>
      <w:r>
        <w:rPr>
          <w:spacing w:val="-7"/>
        </w:rPr>
        <w:t>的消火栓间距不应大于</w:t>
      </w:r>
      <w:r>
        <w:rPr>
          <w:spacing w:val="-7"/>
        </w:rPr>
        <w:t xml:space="preserve"> </w:t>
      </w:r>
      <w:r>
        <w:t>50m</w:t>
      </w:r>
      <w:r>
        <w:t>，</w:t>
      </w:r>
      <w:r>
        <w:rPr>
          <w:spacing w:val="-5"/>
        </w:rPr>
        <w:t>地下区间及配线区内消火栓的间距不应大于</w:t>
      </w:r>
      <w:r>
        <w:rPr>
          <w:spacing w:val="-5"/>
        </w:rPr>
        <w:t xml:space="preserve"> </w:t>
      </w:r>
      <w:r>
        <w:t>50m</w:t>
      </w:r>
      <w:r>
        <w:rPr>
          <w:spacing w:val="-3"/>
        </w:rPr>
        <w:t>，人行通道内消火</w:t>
      </w:r>
      <w:r>
        <w:rPr>
          <w:spacing w:val="-9"/>
        </w:rPr>
        <w:t>栓的间距不应大于</w:t>
      </w:r>
      <w:r>
        <w:rPr>
          <w:spacing w:val="-9"/>
        </w:rPr>
        <w:t xml:space="preserve"> </w:t>
      </w:r>
      <w:r>
        <w:t>20m</w:t>
      </w:r>
      <w:r>
        <w:t>；</w:t>
      </w:r>
      <w:r>
        <w:t xml:space="preserve"> </w:t>
      </w:r>
    </w:p>
    <w:p w14:paraId="10BD79F2" w14:textId="77777777" w:rsidR="00A71EEF" w:rsidRDefault="0081115D">
      <w:pPr>
        <w:pStyle w:val="a3"/>
        <w:spacing w:line="446" w:lineRule="auto"/>
        <w:ind w:left="418" w:right="1609" w:firstLine="419"/>
      </w:pPr>
      <w:r>
        <w:t>站厅层、侧式站台层和车站设备管理区宜设置单口单阀消火栓，岛式站台层宜设置两只单口单阀为一组的消火栓；</w:t>
      </w:r>
      <w:r>
        <w:t xml:space="preserve"> </w:t>
      </w:r>
    </w:p>
    <w:p w14:paraId="4FFC00C5" w14:textId="77777777" w:rsidR="00A71EEF" w:rsidRDefault="0081115D">
      <w:pPr>
        <w:pStyle w:val="a3"/>
        <w:ind w:left="838"/>
      </w:pPr>
      <w:r>
        <w:t>除地下区间外，消火栓箱内应配备水带、水枪和消防软管卷盘；</w:t>
      </w:r>
      <w:r>
        <w:t xml:space="preserve"> </w:t>
      </w:r>
    </w:p>
    <w:p w14:paraId="11B666D4" w14:textId="77777777" w:rsidR="00A71EEF" w:rsidRDefault="00A71EEF">
      <w:pPr>
        <w:pStyle w:val="a3"/>
        <w:spacing w:before="11"/>
        <w:rPr>
          <w:sz w:val="17"/>
        </w:rPr>
      </w:pPr>
    </w:p>
    <w:p w14:paraId="1D937DA7" w14:textId="77777777" w:rsidR="00A71EEF" w:rsidRDefault="0081115D">
      <w:pPr>
        <w:pStyle w:val="a3"/>
        <w:spacing w:line="446" w:lineRule="auto"/>
        <w:ind w:left="418" w:right="1608" w:firstLine="419"/>
      </w:pPr>
      <w:r>
        <w:t>地下区间可不设置消火栓箱，但应将水带、水枪等配套消防设施设置在车站站台层端部的专用消防箱内，并应有明显标志；</w:t>
      </w:r>
      <w:r>
        <w:t xml:space="preserve"> </w:t>
      </w:r>
    </w:p>
    <w:p w14:paraId="3E4830B5" w14:textId="77777777" w:rsidR="00A71EEF" w:rsidRDefault="0081115D">
      <w:pPr>
        <w:pStyle w:val="a3"/>
        <w:spacing w:before="1"/>
        <w:ind w:left="838"/>
      </w:pPr>
      <w:r>
        <w:t>消火栓口距离地面或操作基本面宜为</w:t>
      </w:r>
      <w:r>
        <w:t xml:space="preserve"> 1.1m</w:t>
      </w:r>
      <w:r>
        <w:t>；</w:t>
      </w:r>
      <w:r>
        <w:t xml:space="preserve"> </w:t>
      </w:r>
    </w:p>
    <w:p w14:paraId="72815CB4" w14:textId="77777777" w:rsidR="00A71EEF" w:rsidRDefault="00A71EEF">
      <w:pPr>
        <w:pStyle w:val="a3"/>
        <w:spacing w:before="12"/>
        <w:rPr>
          <w:sz w:val="17"/>
        </w:rPr>
      </w:pPr>
    </w:p>
    <w:p w14:paraId="67CE5422" w14:textId="77777777" w:rsidR="00A71EEF" w:rsidRDefault="0081115D">
      <w:pPr>
        <w:pStyle w:val="a3"/>
        <w:ind w:left="838"/>
      </w:pPr>
      <w:r>
        <w:t>消火栓口处的出水动压力大于</w:t>
      </w:r>
      <w:r>
        <w:t xml:space="preserve"> 0.7MPa </w:t>
      </w:r>
      <w:r>
        <w:t>时，应设置减压措施。</w:t>
      </w:r>
      <w:r>
        <w:t xml:space="preserve"> </w:t>
      </w:r>
    </w:p>
    <w:p w14:paraId="717E882C" w14:textId="77777777" w:rsidR="00A71EEF" w:rsidRDefault="00A71EEF">
      <w:pPr>
        <w:sectPr w:rsidR="00A71EEF">
          <w:pgSz w:w="11910" w:h="16850"/>
          <w:pgMar w:top="1220" w:right="0" w:bottom="1420" w:left="1260" w:header="0" w:footer="1239" w:gutter="0"/>
          <w:cols w:space="720"/>
        </w:sectPr>
      </w:pPr>
    </w:p>
    <w:p w14:paraId="1E3AE870" w14:textId="77777777" w:rsidR="00A71EEF" w:rsidRDefault="0081115D">
      <w:pPr>
        <w:pStyle w:val="a4"/>
        <w:numPr>
          <w:ilvl w:val="2"/>
          <w:numId w:val="51"/>
        </w:numPr>
        <w:tabs>
          <w:tab w:val="left" w:pos="1371"/>
        </w:tabs>
        <w:spacing w:before="47"/>
        <w:rPr>
          <w:sz w:val="21"/>
        </w:rPr>
      </w:pPr>
      <w:r>
        <w:rPr>
          <w:spacing w:val="-3"/>
          <w:sz w:val="21"/>
        </w:rPr>
        <w:t>室内消防给水管道的布置应符合下列规定：</w:t>
      </w:r>
      <w:r>
        <w:rPr>
          <w:sz w:val="21"/>
        </w:rPr>
        <w:t xml:space="preserve"> </w:t>
      </w:r>
    </w:p>
    <w:p w14:paraId="54F3CC41" w14:textId="77777777" w:rsidR="00A71EEF" w:rsidRDefault="00A71EEF">
      <w:pPr>
        <w:pStyle w:val="a3"/>
        <w:rPr>
          <w:sz w:val="18"/>
        </w:rPr>
      </w:pPr>
    </w:p>
    <w:p w14:paraId="27EFC2F7" w14:textId="77777777" w:rsidR="00A71EEF" w:rsidRDefault="0081115D">
      <w:pPr>
        <w:pStyle w:val="a3"/>
        <w:ind w:left="838"/>
      </w:pPr>
      <w:r>
        <w:t>车站和地下区间的消火栓给水管道应连成环状；</w:t>
      </w:r>
      <w:r>
        <w:t xml:space="preserve"> </w:t>
      </w:r>
    </w:p>
    <w:p w14:paraId="3417400B" w14:textId="77777777" w:rsidR="00A71EEF" w:rsidRDefault="00A71EEF">
      <w:pPr>
        <w:pStyle w:val="a3"/>
        <w:rPr>
          <w:sz w:val="18"/>
        </w:rPr>
      </w:pPr>
    </w:p>
    <w:p w14:paraId="7B00B651" w14:textId="77777777" w:rsidR="00A71EEF" w:rsidRDefault="0081115D">
      <w:pPr>
        <w:pStyle w:val="a3"/>
        <w:spacing w:line="446" w:lineRule="auto"/>
        <w:ind w:left="418" w:right="1609" w:firstLine="419"/>
      </w:pPr>
      <w:r>
        <w:t>地下区间上、下行线应各从地下车站引入一根消防给水管，并宜在区间中部连通，且在车站端部应与车站环状管网相接；</w:t>
      </w:r>
      <w:r>
        <w:t xml:space="preserve"> </w:t>
      </w:r>
    </w:p>
    <w:p w14:paraId="655F36D6" w14:textId="77777777" w:rsidR="00A71EEF" w:rsidRDefault="0081115D">
      <w:pPr>
        <w:pStyle w:val="a3"/>
        <w:spacing w:line="446" w:lineRule="auto"/>
        <w:ind w:left="418" w:right="1609" w:firstLine="419"/>
      </w:pPr>
      <w:r>
        <w:t>室内消防给水管道应采用阀门分成若干独立管段，阀门的布置应保证检修管道时关闭停用消火栓的数量不大于</w:t>
      </w:r>
      <w:r>
        <w:t xml:space="preserve"> 5 </w:t>
      </w:r>
      <w:r>
        <w:t>个；</w:t>
      </w:r>
      <w:r>
        <w:t xml:space="preserve"> </w:t>
      </w:r>
    </w:p>
    <w:p w14:paraId="10C7A1DC" w14:textId="77777777" w:rsidR="00A71EEF" w:rsidRDefault="0081115D">
      <w:pPr>
        <w:pStyle w:val="a3"/>
        <w:ind w:left="838"/>
      </w:pPr>
      <w:r>
        <w:t>消防给水管道上的阀门应保持常开状态，并应有明显的</w:t>
      </w:r>
      <w:r>
        <w:t>启闭标志；</w:t>
      </w:r>
      <w:r>
        <w:t xml:space="preserve"> </w:t>
      </w:r>
    </w:p>
    <w:p w14:paraId="559940E6" w14:textId="77777777" w:rsidR="00A71EEF" w:rsidRDefault="00A71EEF">
      <w:pPr>
        <w:pStyle w:val="a3"/>
        <w:spacing w:before="12"/>
        <w:rPr>
          <w:sz w:val="17"/>
        </w:rPr>
      </w:pPr>
    </w:p>
    <w:p w14:paraId="735B986F" w14:textId="77777777" w:rsidR="00A71EEF" w:rsidRDefault="0081115D">
      <w:pPr>
        <w:pStyle w:val="a3"/>
        <w:spacing w:line="446" w:lineRule="auto"/>
        <w:ind w:left="418" w:right="1609" w:firstLine="419"/>
      </w:pPr>
      <w:r>
        <w:rPr>
          <w:spacing w:val="-3"/>
        </w:rPr>
        <w:t>在寒冷和严寒地区，站厅与室外连通部分的明露消防给水管道应采取防冻措施或采用干式系统；</w:t>
      </w:r>
      <w:r>
        <w:t xml:space="preserve"> </w:t>
      </w:r>
    </w:p>
    <w:p w14:paraId="1BF3D536" w14:textId="77777777" w:rsidR="00A71EEF" w:rsidRDefault="0081115D">
      <w:pPr>
        <w:pStyle w:val="a3"/>
        <w:spacing w:line="446" w:lineRule="auto"/>
        <w:ind w:left="418" w:right="1609" w:firstLine="419"/>
      </w:pPr>
      <w:r>
        <w:rPr>
          <w:spacing w:val="-3"/>
        </w:rPr>
        <w:t>当车站、区间采用临时高压给水系统时，车站控制室及消火栓处应设置消火栓的水泵启动按钮。</w:t>
      </w:r>
      <w:r>
        <w:t xml:space="preserve"> </w:t>
      </w:r>
    </w:p>
    <w:p w14:paraId="744727E5" w14:textId="77777777" w:rsidR="00A71EEF" w:rsidRDefault="0081115D">
      <w:pPr>
        <w:pStyle w:val="a4"/>
        <w:numPr>
          <w:ilvl w:val="1"/>
          <w:numId w:val="51"/>
        </w:numPr>
        <w:tabs>
          <w:tab w:val="left" w:pos="1159"/>
        </w:tabs>
        <w:spacing w:line="267" w:lineRule="exact"/>
        <w:ind w:left="1158" w:hanging="319"/>
        <w:rPr>
          <w:b/>
          <w:sz w:val="21"/>
        </w:rPr>
      </w:pPr>
      <w:r>
        <w:rPr>
          <w:spacing w:val="-3"/>
          <w:sz w:val="21"/>
        </w:rPr>
        <w:t>自动灭火系统与其他灭火设施</w:t>
      </w:r>
      <w:r>
        <w:rPr>
          <w:b/>
          <w:w w:val="99"/>
          <w:sz w:val="21"/>
        </w:rPr>
        <w:t xml:space="preserve"> </w:t>
      </w:r>
    </w:p>
    <w:p w14:paraId="68D26DA1" w14:textId="77777777" w:rsidR="00A71EEF" w:rsidRDefault="00A71EEF">
      <w:pPr>
        <w:pStyle w:val="a3"/>
        <w:spacing w:before="2"/>
        <w:rPr>
          <w:b/>
          <w:sz w:val="18"/>
        </w:rPr>
      </w:pPr>
    </w:p>
    <w:p w14:paraId="6BC4B9FD" w14:textId="77777777" w:rsidR="00A71EEF" w:rsidRDefault="0081115D">
      <w:pPr>
        <w:pStyle w:val="a4"/>
        <w:numPr>
          <w:ilvl w:val="2"/>
          <w:numId w:val="51"/>
        </w:numPr>
        <w:tabs>
          <w:tab w:val="left" w:pos="1371"/>
        </w:tabs>
        <w:rPr>
          <w:sz w:val="21"/>
        </w:rPr>
      </w:pPr>
      <w:r>
        <w:rPr>
          <w:spacing w:val="-3"/>
          <w:sz w:val="21"/>
        </w:rPr>
        <w:t>下列场所应设置自动喷水灭火系统：</w:t>
      </w:r>
      <w:r>
        <w:rPr>
          <w:sz w:val="21"/>
        </w:rPr>
        <w:t xml:space="preserve"> </w:t>
      </w:r>
    </w:p>
    <w:p w14:paraId="75200C74" w14:textId="77777777" w:rsidR="00A71EEF" w:rsidRDefault="00A71EEF">
      <w:pPr>
        <w:pStyle w:val="a3"/>
        <w:rPr>
          <w:sz w:val="18"/>
        </w:rPr>
      </w:pPr>
    </w:p>
    <w:p w14:paraId="698AAD8F" w14:textId="77777777" w:rsidR="00A71EEF" w:rsidRDefault="0081115D">
      <w:pPr>
        <w:pStyle w:val="a3"/>
        <w:spacing w:line="446" w:lineRule="auto"/>
        <w:ind w:left="418" w:right="1498" w:firstLine="419"/>
      </w:pPr>
      <w:r>
        <w:t>建筑面积大于</w:t>
      </w:r>
      <w:r>
        <w:t xml:space="preserve"> 6000m²</w:t>
      </w:r>
      <w:r>
        <w:t>的地下、半地下和上盖设置了其他功能建筑的停车库、列检库、停车列检库、运用库、联合检修库；</w:t>
      </w:r>
      <w:r>
        <w:t xml:space="preserve"> </w:t>
      </w:r>
    </w:p>
    <w:p w14:paraId="083124B0" w14:textId="77777777" w:rsidR="00A71EEF" w:rsidRDefault="0081115D">
      <w:pPr>
        <w:pStyle w:val="a3"/>
        <w:spacing w:line="446" w:lineRule="auto"/>
        <w:ind w:left="840" w:right="4866" w:hanging="3"/>
      </w:pPr>
      <w:r>
        <w:t>可燃物品的仓库和难燃物品的高架仓库或高层仓库。</w:t>
      </w:r>
      <w:r>
        <w:rPr>
          <w:b/>
        </w:rPr>
        <w:t xml:space="preserve">7.4.2 </w:t>
      </w:r>
      <w:r>
        <w:t>下列场所应设置自动灭火系统：</w:t>
      </w:r>
      <w:r>
        <w:t xml:space="preserve"> </w:t>
      </w:r>
    </w:p>
    <w:p w14:paraId="60593054" w14:textId="77777777" w:rsidR="00A71EEF" w:rsidRDefault="0081115D">
      <w:pPr>
        <w:pStyle w:val="a3"/>
        <w:spacing w:line="446" w:lineRule="auto"/>
        <w:ind w:left="418" w:right="1817" w:firstLine="419"/>
      </w:pPr>
      <w:r>
        <w:t>地下车站的环控电控室、通信设备室（含电源室）、信号设备室（含电源室）、公网机房、降压变电所、牵引变电所、站台门控制室、蓄电池室、自动售检票设备室；</w:t>
      </w:r>
      <w:r>
        <w:t xml:space="preserve"> </w:t>
      </w:r>
    </w:p>
    <w:p w14:paraId="589FEFCA" w14:textId="77777777" w:rsidR="00A71EEF" w:rsidRDefault="0081115D">
      <w:pPr>
        <w:pStyle w:val="a3"/>
        <w:spacing w:line="446" w:lineRule="auto"/>
        <w:ind w:left="418" w:right="1609" w:firstLine="419"/>
      </w:pPr>
      <w:r>
        <w:t>地下主变电所的变压器室、控制室、补偿装置室、配电装置室、蓄电池室、接地电阻室、站用变电室等；</w:t>
      </w:r>
      <w:r>
        <w:t xml:space="preserve"> </w:t>
      </w:r>
    </w:p>
    <w:p w14:paraId="0ABEFA18" w14:textId="77777777" w:rsidR="00A71EEF" w:rsidRDefault="0081115D">
      <w:pPr>
        <w:pStyle w:val="a3"/>
        <w:spacing w:line="446" w:lineRule="auto"/>
        <w:ind w:left="418" w:right="1608" w:firstLine="419"/>
      </w:pPr>
      <w:r>
        <w:t>控制中心的综合监控设备室、通信机房、信号机房、自动售检票机房、计算机数据中心、电源室等无人值守的重要电气设备用房。</w:t>
      </w:r>
      <w:r>
        <w:t xml:space="preserve"> </w:t>
      </w:r>
    </w:p>
    <w:p w14:paraId="5B8D18CC" w14:textId="77777777" w:rsidR="00A71EEF" w:rsidRDefault="0081115D">
      <w:pPr>
        <w:pStyle w:val="a3"/>
        <w:spacing w:line="446" w:lineRule="auto"/>
        <w:ind w:left="418" w:right="1604" w:firstLine="422"/>
        <w:jc w:val="both"/>
      </w:pPr>
      <w:r>
        <w:rPr>
          <w:b/>
        </w:rPr>
        <w:t xml:space="preserve">7.4.3 </w:t>
      </w:r>
      <w:r>
        <w:t>除区间外，地铁工程内应配置建筑灭火器。车站内的公共区、设备管理区、主变电所和其他有人值守的设备用房设置的灭火器，应按现行国家标准《建筑灭</w:t>
      </w:r>
      <w:r>
        <w:t>火器配置设计规范》</w:t>
      </w:r>
      <w:r>
        <w:t xml:space="preserve">GB 50140 </w:t>
      </w:r>
      <w:r>
        <w:t>规定的严重危险级配置。</w:t>
      </w:r>
      <w:r>
        <w:t xml:space="preserve"> </w:t>
      </w:r>
    </w:p>
    <w:p w14:paraId="4EFD3F26" w14:textId="77777777" w:rsidR="00A71EEF" w:rsidRDefault="0081115D">
      <w:pPr>
        <w:pStyle w:val="a4"/>
        <w:numPr>
          <w:ilvl w:val="1"/>
          <w:numId w:val="51"/>
        </w:numPr>
        <w:tabs>
          <w:tab w:val="left" w:pos="1159"/>
        </w:tabs>
        <w:spacing w:line="268" w:lineRule="exact"/>
        <w:ind w:left="1158" w:hanging="319"/>
        <w:rPr>
          <w:b/>
          <w:sz w:val="21"/>
        </w:rPr>
      </w:pPr>
      <w:r>
        <w:rPr>
          <w:spacing w:val="-3"/>
          <w:sz w:val="21"/>
        </w:rPr>
        <w:t>消防水泵与消防水池</w:t>
      </w:r>
      <w:r>
        <w:rPr>
          <w:b/>
          <w:w w:val="99"/>
          <w:sz w:val="21"/>
        </w:rPr>
        <w:t xml:space="preserve"> </w:t>
      </w:r>
    </w:p>
    <w:p w14:paraId="646C6401" w14:textId="77777777" w:rsidR="00A71EEF" w:rsidRDefault="00A71EEF">
      <w:pPr>
        <w:spacing w:line="268" w:lineRule="exact"/>
        <w:rPr>
          <w:sz w:val="21"/>
        </w:rPr>
        <w:sectPr w:rsidR="00A71EEF">
          <w:pgSz w:w="11910" w:h="16850"/>
          <w:pgMar w:top="1220" w:right="0" w:bottom="1420" w:left="1260" w:header="0" w:footer="1239" w:gutter="0"/>
          <w:cols w:space="720"/>
        </w:sectPr>
      </w:pPr>
    </w:p>
    <w:p w14:paraId="2D4553FB" w14:textId="77777777" w:rsidR="00A71EEF" w:rsidRDefault="0081115D">
      <w:pPr>
        <w:pStyle w:val="a4"/>
        <w:numPr>
          <w:ilvl w:val="2"/>
          <w:numId w:val="51"/>
        </w:numPr>
        <w:tabs>
          <w:tab w:val="left" w:pos="1370"/>
        </w:tabs>
        <w:spacing w:before="47" w:line="446" w:lineRule="auto"/>
        <w:ind w:left="418" w:right="1604" w:firstLine="422"/>
        <w:jc w:val="both"/>
        <w:rPr>
          <w:sz w:val="21"/>
        </w:rPr>
      </w:pPr>
      <w:r>
        <w:rPr>
          <w:spacing w:val="-3"/>
          <w:sz w:val="21"/>
        </w:rPr>
        <w:t>当市政给水管网能满足消防用水量要求，但供水压力不能满足设计消防供水压力要求时，应设置消防水泵。消防水泵宜从市政给水管网取水加压，并应在消防进水管的起端设置倒流防止器或其他能防止倒流污染的装置。</w:t>
      </w:r>
      <w:r>
        <w:rPr>
          <w:sz w:val="21"/>
        </w:rPr>
        <w:t xml:space="preserve"> </w:t>
      </w:r>
    </w:p>
    <w:p w14:paraId="57B380F3" w14:textId="77777777" w:rsidR="00A71EEF" w:rsidRDefault="0081115D">
      <w:pPr>
        <w:pStyle w:val="a4"/>
        <w:numPr>
          <w:ilvl w:val="2"/>
          <w:numId w:val="51"/>
        </w:numPr>
        <w:tabs>
          <w:tab w:val="left" w:pos="1370"/>
        </w:tabs>
        <w:spacing w:line="446" w:lineRule="auto"/>
        <w:ind w:left="418" w:right="1604" w:firstLine="422"/>
        <w:rPr>
          <w:sz w:val="21"/>
        </w:rPr>
      </w:pPr>
      <w:r>
        <w:rPr>
          <w:spacing w:val="-3"/>
          <w:sz w:val="21"/>
        </w:rPr>
        <w:t>当市政给水管网的供水量不能满足设计消防用水量要求时，应设置消防水池、消防水泵及增压装置。</w:t>
      </w:r>
      <w:r>
        <w:rPr>
          <w:sz w:val="21"/>
        </w:rPr>
        <w:t xml:space="preserve"> </w:t>
      </w:r>
    </w:p>
    <w:p w14:paraId="1C66D008" w14:textId="77777777" w:rsidR="00A71EEF" w:rsidRDefault="0081115D">
      <w:pPr>
        <w:pStyle w:val="a4"/>
        <w:numPr>
          <w:ilvl w:val="2"/>
          <w:numId w:val="51"/>
        </w:numPr>
        <w:tabs>
          <w:tab w:val="left" w:pos="1371"/>
        </w:tabs>
        <w:spacing w:line="446" w:lineRule="auto"/>
        <w:ind w:left="418" w:right="1604" w:firstLine="422"/>
        <w:rPr>
          <w:sz w:val="21"/>
        </w:rPr>
      </w:pPr>
      <w:r>
        <w:rPr>
          <w:spacing w:val="-3"/>
          <w:sz w:val="21"/>
        </w:rPr>
        <w:t>地面车站、高架车站采用消防水泵加压供水的消火栓给水系统，应设置稳压装置及气压设备，可不设置高位水箱。</w:t>
      </w:r>
      <w:r>
        <w:rPr>
          <w:sz w:val="21"/>
        </w:rPr>
        <w:t xml:space="preserve"> </w:t>
      </w:r>
    </w:p>
    <w:p w14:paraId="2F479002" w14:textId="77777777" w:rsidR="00A71EEF" w:rsidRDefault="0081115D">
      <w:pPr>
        <w:pStyle w:val="a4"/>
        <w:numPr>
          <w:ilvl w:val="2"/>
          <w:numId w:val="51"/>
        </w:numPr>
        <w:tabs>
          <w:tab w:val="left" w:pos="1370"/>
        </w:tabs>
        <w:spacing w:line="446" w:lineRule="auto"/>
        <w:ind w:left="418" w:right="1604" w:firstLine="422"/>
        <w:rPr>
          <w:sz w:val="21"/>
        </w:rPr>
      </w:pPr>
      <w:r>
        <w:rPr>
          <w:spacing w:val="-3"/>
          <w:sz w:val="21"/>
        </w:rPr>
        <w:t>从给水管网直接吸水的消防水泵，其扬程计算应按市政给水管网的最低水压计，并以室外给水管网的最高水压校核管网压力。</w:t>
      </w:r>
      <w:r>
        <w:rPr>
          <w:sz w:val="21"/>
        </w:rPr>
        <w:t xml:space="preserve"> </w:t>
      </w:r>
    </w:p>
    <w:p w14:paraId="676C730B" w14:textId="77777777" w:rsidR="00A71EEF" w:rsidRDefault="0081115D">
      <w:pPr>
        <w:pStyle w:val="a4"/>
        <w:numPr>
          <w:ilvl w:val="2"/>
          <w:numId w:val="51"/>
        </w:numPr>
        <w:tabs>
          <w:tab w:val="left" w:pos="1371"/>
        </w:tabs>
        <w:spacing w:line="446" w:lineRule="auto"/>
        <w:ind w:left="418" w:right="1604" w:firstLine="422"/>
        <w:jc w:val="both"/>
        <w:rPr>
          <w:sz w:val="21"/>
        </w:rPr>
      </w:pPr>
      <w:r>
        <w:rPr>
          <w:spacing w:val="-3"/>
          <w:sz w:val="21"/>
        </w:rPr>
        <w:t>当市政供水压力不能保证自动喷水灭火系统最不利点的工作压力或不能满足消火栓给水系统最不利点的静水压力时，车站及地铁附属建筑的消防给水系统应设置增压装置。对于无法利用市政给水管网的压力进行稳压的临时高压系统，应设置稳压泵和稳压罐。室内消火栓</w:t>
      </w:r>
      <w:r>
        <w:rPr>
          <w:spacing w:val="-5"/>
          <w:sz w:val="21"/>
        </w:rPr>
        <w:t>给水系统和自动喷水灭火系统的稳压罐的有效容积均不应小于</w:t>
      </w:r>
      <w:r>
        <w:rPr>
          <w:spacing w:val="-5"/>
          <w:sz w:val="21"/>
        </w:rPr>
        <w:t xml:space="preserve"> </w:t>
      </w:r>
      <w:r>
        <w:rPr>
          <w:sz w:val="21"/>
        </w:rPr>
        <w:t>1</w:t>
      </w:r>
      <w:r>
        <w:rPr>
          <w:sz w:val="21"/>
        </w:rPr>
        <w:t>50L</w:t>
      </w:r>
      <w:r>
        <w:rPr>
          <w:spacing w:val="-3"/>
          <w:sz w:val="21"/>
        </w:rPr>
        <w:t>。</w:t>
      </w:r>
      <w:r>
        <w:rPr>
          <w:sz w:val="21"/>
        </w:rPr>
        <w:t xml:space="preserve"> </w:t>
      </w:r>
    </w:p>
    <w:p w14:paraId="4686506D" w14:textId="77777777" w:rsidR="00A71EEF" w:rsidRDefault="0081115D">
      <w:pPr>
        <w:pStyle w:val="a4"/>
        <w:numPr>
          <w:ilvl w:val="2"/>
          <w:numId w:val="51"/>
        </w:numPr>
        <w:tabs>
          <w:tab w:val="left" w:pos="1371"/>
        </w:tabs>
        <w:spacing w:line="446" w:lineRule="auto"/>
        <w:ind w:left="418" w:right="1604" w:firstLine="422"/>
        <w:rPr>
          <w:sz w:val="21"/>
        </w:rPr>
      </w:pPr>
      <w:r>
        <w:rPr>
          <w:spacing w:val="-3"/>
          <w:sz w:val="21"/>
        </w:rPr>
        <w:t>消火栓系统和自动喷水灭火系统的消防水泵均应设置备用泵，其工作能力不应小于其中最大一台消防水泵的要求。</w:t>
      </w:r>
      <w:r>
        <w:rPr>
          <w:sz w:val="21"/>
        </w:rPr>
        <w:t xml:space="preserve"> </w:t>
      </w:r>
    </w:p>
    <w:p w14:paraId="29C840DD" w14:textId="77777777" w:rsidR="00A71EEF" w:rsidRDefault="0081115D">
      <w:pPr>
        <w:pStyle w:val="a4"/>
        <w:numPr>
          <w:ilvl w:val="2"/>
          <w:numId w:val="51"/>
        </w:numPr>
        <w:tabs>
          <w:tab w:val="left" w:pos="1371"/>
        </w:tabs>
        <w:rPr>
          <w:sz w:val="21"/>
        </w:rPr>
      </w:pPr>
      <w:r>
        <w:rPr>
          <w:spacing w:val="-3"/>
          <w:sz w:val="21"/>
        </w:rPr>
        <w:t>符合下列情况之一时，车辆基地应设置消防水池：</w:t>
      </w:r>
      <w:r>
        <w:rPr>
          <w:sz w:val="21"/>
        </w:rPr>
        <w:t xml:space="preserve"> </w:t>
      </w:r>
    </w:p>
    <w:p w14:paraId="026D1AE8" w14:textId="77777777" w:rsidR="00A71EEF" w:rsidRDefault="00A71EEF">
      <w:pPr>
        <w:pStyle w:val="a3"/>
        <w:spacing w:before="7"/>
        <w:rPr>
          <w:sz w:val="17"/>
        </w:rPr>
      </w:pPr>
    </w:p>
    <w:p w14:paraId="2EADE7BC" w14:textId="77777777" w:rsidR="00A71EEF" w:rsidRDefault="0081115D">
      <w:pPr>
        <w:pStyle w:val="a3"/>
        <w:spacing w:line="446" w:lineRule="auto"/>
        <w:ind w:left="418" w:right="1609" w:firstLine="419"/>
      </w:pPr>
      <w:r>
        <w:t>当生产、生活用水量达到最大时，市政给水管网的进水管或天然水源不能满足室内外消防用水量；</w:t>
      </w:r>
      <w:r>
        <w:t xml:space="preserve"> </w:t>
      </w:r>
    </w:p>
    <w:p w14:paraId="609FECA4" w14:textId="77777777" w:rsidR="00A71EEF" w:rsidRDefault="0081115D">
      <w:pPr>
        <w:pStyle w:val="a3"/>
        <w:spacing w:line="446" w:lineRule="auto"/>
        <w:ind w:left="418" w:right="1611" w:firstLine="419"/>
      </w:pPr>
      <w:r>
        <w:rPr>
          <w:spacing w:val="-7"/>
        </w:rPr>
        <w:t>市政给水管网为枝状或只有</w:t>
      </w:r>
      <w:r>
        <w:rPr>
          <w:spacing w:val="-7"/>
        </w:rPr>
        <w:t xml:space="preserve"> </w:t>
      </w:r>
      <w:r>
        <w:t>1</w:t>
      </w:r>
      <w:r>
        <w:rPr>
          <w:spacing w:val="-10"/>
        </w:rPr>
        <w:t xml:space="preserve"> </w:t>
      </w:r>
      <w:r>
        <w:rPr>
          <w:spacing w:val="-10"/>
        </w:rPr>
        <w:t>条进水管，且室内外消防用水量之和大于</w:t>
      </w:r>
      <w:r>
        <w:rPr>
          <w:spacing w:val="-10"/>
        </w:rPr>
        <w:t xml:space="preserve"> </w:t>
      </w:r>
      <w:r>
        <w:t>20L/s</w:t>
      </w:r>
      <w:r>
        <w:rPr>
          <w:spacing w:val="-10"/>
        </w:rPr>
        <w:t xml:space="preserve"> </w:t>
      </w:r>
      <w:r>
        <w:rPr>
          <w:spacing w:val="-10"/>
        </w:rPr>
        <w:t>或建筑高度</w:t>
      </w:r>
      <w:r>
        <w:rPr>
          <w:spacing w:val="-25"/>
        </w:rPr>
        <w:t>大于</w:t>
      </w:r>
      <w:r>
        <w:rPr>
          <w:spacing w:val="-25"/>
        </w:rPr>
        <w:t xml:space="preserve"> </w:t>
      </w:r>
      <w:r>
        <w:t>50m</w:t>
      </w:r>
      <w:r>
        <w:t>；</w:t>
      </w:r>
      <w:r>
        <w:t xml:space="preserve"> </w:t>
      </w:r>
    </w:p>
    <w:p w14:paraId="72463C25" w14:textId="77777777" w:rsidR="00A71EEF" w:rsidRDefault="0081115D">
      <w:pPr>
        <w:pStyle w:val="a3"/>
        <w:spacing w:line="267" w:lineRule="exact"/>
        <w:ind w:left="838"/>
      </w:pPr>
      <w:r>
        <w:t>市政给水管网的流量小于车辆基地内一次火灾需要的室内外消防给水设计流量。</w:t>
      </w:r>
      <w:r>
        <w:t xml:space="preserve"> </w:t>
      </w:r>
    </w:p>
    <w:p w14:paraId="0B7E5F37" w14:textId="77777777" w:rsidR="00A71EEF" w:rsidRDefault="00A71EEF">
      <w:pPr>
        <w:pStyle w:val="a3"/>
        <w:spacing w:before="10"/>
        <w:rPr>
          <w:sz w:val="15"/>
        </w:rPr>
      </w:pPr>
    </w:p>
    <w:p w14:paraId="0A17798E" w14:textId="77777777" w:rsidR="00A71EEF" w:rsidRDefault="0081115D">
      <w:pPr>
        <w:pStyle w:val="4"/>
      </w:pPr>
      <w:r>
        <w:t xml:space="preserve">8 </w:t>
      </w:r>
      <w:r>
        <w:t>防烟与排烟</w:t>
      </w:r>
      <w:r>
        <w:rPr>
          <w:w w:val="99"/>
        </w:rPr>
        <w:t xml:space="preserve"> </w:t>
      </w:r>
    </w:p>
    <w:p w14:paraId="419EF562" w14:textId="77777777" w:rsidR="00A71EEF" w:rsidRDefault="00A71EEF">
      <w:pPr>
        <w:pStyle w:val="a3"/>
        <w:spacing w:before="4"/>
        <w:rPr>
          <w:b/>
          <w:sz w:val="17"/>
        </w:rPr>
      </w:pPr>
    </w:p>
    <w:p w14:paraId="0A387E4E" w14:textId="77777777" w:rsidR="00A71EEF" w:rsidRDefault="0081115D">
      <w:pPr>
        <w:pStyle w:val="a4"/>
        <w:numPr>
          <w:ilvl w:val="1"/>
          <w:numId w:val="50"/>
        </w:numPr>
        <w:tabs>
          <w:tab w:val="left" w:pos="1159"/>
        </w:tabs>
        <w:ind w:hanging="319"/>
        <w:rPr>
          <w:sz w:val="21"/>
        </w:rPr>
      </w:pPr>
      <w:r>
        <w:rPr>
          <w:spacing w:val="-3"/>
          <w:sz w:val="21"/>
        </w:rPr>
        <w:t>一般规定</w:t>
      </w:r>
      <w:r>
        <w:rPr>
          <w:sz w:val="21"/>
        </w:rPr>
        <w:t xml:space="preserve"> </w:t>
      </w:r>
    </w:p>
    <w:p w14:paraId="345237AD" w14:textId="77777777" w:rsidR="00A71EEF" w:rsidRDefault="00A71EEF">
      <w:pPr>
        <w:pStyle w:val="a3"/>
        <w:rPr>
          <w:sz w:val="18"/>
        </w:rPr>
      </w:pPr>
    </w:p>
    <w:p w14:paraId="512EAA4F" w14:textId="77777777" w:rsidR="00A71EEF" w:rsidRDefault="0081115D">
      <w:pPr>
        <w:pStyle w:val="a4"/>
        <w:numPr>
          <w:ilvl w:val="2"/>
          <w:numId w:val="50"/>
        </w:numPr>
        <w:tabs>
          <w:tab w:val="left" w:pos="1371"/>
        </w:tabs>
        <w:rPr>
          <w:sz w:val="21"/>
        </w:rPr>
      </w:pPr>
      <w:r>
        <w:rPr>
          <w:spacing w:val="-3"/>
          <w:sz w:val="21"/>
        </w:rPr>
        <w:t>下列场所应设置排烟设施：</w:t>
      </w:r>
      <w:r>
        <w:rPr>
          <w:sz w:val="21"/>
        </w:rPr>
        <w:t xml:space="preserve"> </w:t>
      </w:r>
    </w:p>
    <w:p w14:paraId="064876F6" w14:textId="77777777" w:rsidR="00A71EEF" w:rsidRDefault="00A71EEF">
      <w:pPr>
        <w:pStyle w:val="a3"/>
        <w:spacing w:before="2"/>
        <w:rPr>
          <w:sz w:val="18"/>
        </w:rPr>
      </w:pPr>
    </w:p>
    <w:p w14:paraId="2508822D" w14:textId="77777777" w:rsidR="00A71EEF" w:rsidRDefault="0081115D">
      <w:pPr>
        <w:pStyle w:val="a3"/>
        <w:ind w:left="838"/>
      </w:pPr>
      <w:r>
        <w:rPr>
          <w:spacing w:val="-3"/>
        </w:rPr>
        <w:t>地下或封闭车站的站厅、站台公共区；</w:t>
      </w:r>
      <w:r>
        <w:t xml:space="preserve"> </w:t>
      </w:r>
    </w:p>
    <w:p w14:paraId="5276C4C6" w14:textId="77777777" w:rsidR="00A71EEF" w:rsidRDefault="00A71EEF">
      <w:pPr>
        <w:pStyle w:val="a3"/>
        <w:spacing w:before="12"/>
        <w:rPr>
          <w:sz w:val="17"/>
        </w:rPr>
      </w:pPr>
    </w:p>
    <w:p w14:paraId="3167C443" w14:textId="77777777" w:rsidR="00A71EEF" w:rsidRDefault="0081115D">
      <w:pPr>
        <w:pStyle w:val="a3"/>
        <w:spacing w:line="446" w:lineRule="auto"/>
        <w:ind w:left="418" w:right="1661" w:firstLine="419"/>
      </w:pPr>
      <w:r>
        <w:rPr>
          <w:spacing w:val="-5"/>
        </w:rPr>
        <w:t>同一个防火分区内总建筑面积大于</w:t>
      </w:r>
      <w:r>
        <w:rPr>
          <w:spacing w:val="-5"/>
        </w:rPr>
        <w:t xml:space="preserve"> </w:t>
      </w:r>
      <w:r>
        <w:t>200m²</w:t>
      </w:r>
      <w:r>
        <w:rPr>
          <w:spacing w:val="-3"/>
        </w:rPr>
        <w:t>的地下车站设备管理区，地下单个建筑面积大于</w:t>
      </w:r>
      <w:r>
        <w:rPr>
          <w:spacing w:val="-3"/>
        </w:rPr>
        <w:t>50m²</w:t>
      </w:r>
      <w:r>
        <w:rPr>
          <w:spacing w:val="-3"/>
        </w:rPr>
        <w:t>且经常有人停留或可燃物较多的房间；</w:t>
      </w:r>
      <w:r>
        <w:t xml:space="preserve"> </w:t>
      </w:r>
    </w:p>
    <w:p w14:paraId="74E0FA21" w14:textId="77777777" w:rsidR="00A71EEF" w:rsidRDefault="0081115D">
      <w:pPr>
        <w:pStyle w:val="a3"/>
        <w:ind w:left="838"/>
      </w:pPr>
      <w:r>
        <w:t>连续长度大于一列列车长度的地下区间和全封闭车道；</w:t>
      </w:r>
      <w:r>
        <w:t xml:space="preserve"> </w:t>
      </w:r>
    </w:p>
    <w:p w14:paraId="75E8C23D" w14:textId="77777777" w:rsidR="00A71EEF" w:rsidRDefault="00A71EEF">
      <w:pPr>
        <w:sectPr w:rsidR="00A71EEF">
          <w:pgSz w:w="11910" w:h="16850"/>
          <w:pgMar w:top="1220" w:right="0" w:bottom="1420" w:left="1260" w:header="0" w:footer="1239" w:gutter="0"/>
          <w:cols w:space="720"/>
        </w:sectPr>
      </w:pPr>
    </w:p>
    <w:p w14:paraId="7D70A0E8" w14:textId="77777777" w:rsidR="00A71EEF" w:rsidRDefault="0081115D">
      <w:pPr>
        <w:pStyle w:val="a3"/>
        <w:spacing w:before="47" w:line="446" w:lineRule="auto"/>
        <w:ind w:left="418" w:right="1608" w:firstLine="419"/>
        <w:jc w:val="both"/>
      </w:pPr>
      <w:r>
        <w:rPr>
          <w:spacing w:val="-6"/>
        </w:rPr>
        <w:t>车站设备管理区内长度大于</w:t>
      </w:r>
      <w:r>
        <w:rPr>
          <w:spacing w:val="-6"/>
        </w:rPr>
        <w:t xml:space="preserve"> </w:t>
      </w:r>
      <w:r>
        <w:t>20m</w:t>
      </w:r>
      <w:r>
        <w:rPr>
          <w:spacing w:val="-12"/>
        </w:rPr>
        <w:t xml:space="preserve"> </w:t>
      </w:r>
      <w:r>
        <w:rPr>
          <w:spacing w:val="-12"/>
        </w:rPr>
        <w:t>的内走道，长度大于</w:t>
      </w:r>
      <w:r>
        <w:rPr>
          <w:spacing w:val="-12"/>
        </w:rPr>
        <w:t xml:space="preserve"> </w:t>
      </w:r>
      <w:r>
        <w:t>60m</w:t>
      </w:r>
      <w:r>
        <w:rPr>
          <w:spacing w:val="-8"/>
        </w:rPr>
        <w:t xml:space="preserve"> </w:t>
      </w:r>
      <w:r>
        <w:rPr>
          <w:spacing w:val="-8"/>
        </w:rPr>
        <w:t>的地下换乘通道、连接通道和出</w:t>
      </w:r>
      <w:r>
        <w:rPr>
          <w:spacing w:val="-6"/>
        </w:rPr>
        <w:t>入口通道。</w:t>
      </w:r>
      <w:r>
        <w:t xml:space="preserve"> </w:t>
      </w:r>
    </w:p>
    <w:p w14:paraId="64D9E322" w14:textId="77777777" w:rsidR="00A71EEF" w:rsidRDefault="0081115D">
      <w:pPr>
        <w:pStyle w:val="a4"/>
        <w:numPr>
          <w:ilvl w:val="2"/>
          <w:numId w:val="50"/>
        </w:numPr>
        <w:tabs>
          <w:tab w:val="left" w:pos="1370"/>
        </w:tabs>
        <w:spacing w:line="446" w:lineRule="auto"/>
        <w:ind w:left="418" w:right="1604" w:firstLine="422"/>
        <w:jc w:val="both"/>
        <w:rPr>
          <w:sz w:val="21"/>
        </w:rPr>
      </w:pPr>
      <w:r>
        <w:rPr>
          <w:spacing w:val="-3"/>
          <w:sz w:val="21"/>
        </w:rPr>
        <w:t>防烟楼梯间及其前室、避难走道及其前室应设置防烟设施。地下车站设置机械加压送风系统的封闭楼梯间、防烟楼梯间宜在其顶部设置固定窗，但公共区供乘客疏散、设置机械加压送风系统的封闭楼梯间、防烟楼梯间顶部应设置固定窗。</w:t>
      </w:r>
      <w:r>
        <w:rPr>
          <w:sz w:val="21"/>
        </w:rPr>
        <w:t xml:space="preserve"> </w:t>
      </w:r>
    </w:p>
    <w:p w14:paraId="15EB7D20" w14:textId="77777777" w:rsidR="00A71EEF" w:rsidRDefault="0081115D">
      <w:pPr>
        <w:pStyle w:val="a4"/>
        <w:numPr>
          <w:ilvl w:val="2"/>
          <w:numId w:val="50"/>
        </w:numPr>
        <w:tabs>
          <w:tab w:val="left" w:pos="1371"/>
        </w:tabs>
        <w:spacing w:line="268" w:lineRule="exact"/>
        <w:rPr>
          <w:sz w:val="21"/>
        </w:rPr>
      </w:pPr>
      <w:r>
        <w:rPr>
          <w:spacing w:val="-3"/>
          <w:sz w:val="21"/>
        </w:rPr>
        <w:t>防烟、排烟系统的设计应符合下列规定：</w:t>
      </w:r>
      <w:r>
        <w:rPr>
          <w:spacing w:val="-3"/>
          <w:sz w:val="21"/>
        </w:rPr>
        <w:t xml:space="preserve"> </w:t>
      </w:r>
    </w:p>
    <w:p w14:paraId="062BEC13" w14:textId="77777777" w:rsidR="00A71EEF" w:rsidRDefault="00A71EEF">
      <w:pPr>
        <w:pStyle w:val="a3"/>
        <w:rPr>
          <w:sz w:val="18"/>
        </w:rPr>
      </w:pPr>
    </w:p>
    <w:p w14:paraId="5E0C5843" w14:textId="77777777" w:rsidR="00A71EEF" w:rsidRDefault="0081115D">
      <w:pPr>
        <w:pStyle w:val="a3"/>
        <w:spacing w:line="446" w:lineRule="auto"/>
        <w:ind w:left="418" w:right="1609" w:firstLine="419"/>
      </w:pPr>
      <w:r>
        <w:t>当对站厅公共区进行排烟时，应能防止烟气进入出入口通道、换乘通道、站台、连接通道等邻近区域；</w:t>
      </w:r>
      <w:r>
        <w:t xml:space="preserve"> </w:t>
      </w:r>
    </w:p>
    <w:p w14:paraId="1AA2E77F" w14:textId="77777777" w:rsidR="00A71EEF" w:rsidRDefault="0081115D">
      <w:pPr>
        <w:pStyle w:val="a3"/>
        <w:spacing w:line="446" w:lineRule="auto"/>
        <w:ind w:left="838" w:right="1505"/>
      </w:pPr>
      <w:r>
        <w:rPr>
          <w:spacing w:val="-3"/>
        </w:rPr>
        <w:t>当对站台公共区进行排烟时，应能防止烟气进入站厅、地下区间、换乘通道等邻近区域；</w:t>
      </w:r>
      <w:r>
        <w:rPr>
          <w:spacing w:val="-3"/>
        </w:rPr>
        <w:t xml:space="preserve"> </w:t>
      </w:r>
      <w:r>
        <w:rPr>
          <w:spacing w:val="-3"/>
        </w:rPr>
        <w:t>当对地下区间进行纵向控烟时，应能控制烟流方向与乘客疏散方向相反，并应能防止烟气</w:t>
      </w:r>
    </w:p>
    <w:p w14:paraId="7697AEDA" w14:textId="77777777" w:rsidR="00A71EEF" w:rsidRDefault="0081115D">
      <w:pPr>
        <w:pStyle w:val="a3"/>
        <w:ind w:left="418"/>
      </w:pPr>
      <w:r>
        <w:t>逆流和进入相邻车站、相邻区间；</w:t>
      </w:r>
      <w:r>
        <w:t xml:space="preserve"> </w:t>
      </w:r>
    </w:p>
    <w:p w14:paraId="341BD87B" w14:textId="77777777" w:rsidR="00A71EEF" w:rsidRDefault="00A71EEF">
      <w:pPr>
        <w:pStyle w:val="a3"/>
        <w:spacing w:before="10"/>
        <w:rPr>
          <w:sz w:val="17"/>
        </w:rPr>
      </w:pPr>
    </w:p>
    <w:p w14:paraId="2B4CC71E" w14:textId="77777777" w:rsidR="00A71EEF" w:rsidRDefault="0081115D">
      <w:pPr>
        <w:pStyle w:val="a3"/>
        <w:spacing w:line="446" w:lineRule="auto"/>
        <w:ind w:left="418" w:right="1609" w:firstLine="419"/>
      </w:pPr>
      <w:r>
        <w:t>对于设置自动灭火系统的设备用房，其防烟或排烟系统的控制应能满足自动灭火系统有效灭火的需要。</w:t>
      </w:r>
      <w:r>
        <w:t xml:space="preserve"> </w:t>
      </w:r>
    </w:p>
    <w:p w14:paraId="3B7F9AF9" w14:textId="77777777" w:rsidR="00A71EEF" w:rsidRDefault="0081115D">
      <w:pPr>
        <w:pStyle w:val="a4"/>
        <w:numPr>
          <w:ilvl w:val="2"/>
          <w:numId w:val="50"/>
        </w:numPr>
        <w:tabs>
          <w:tab w:val="left" w:pos="1371"/>
        </w:tabs>
        <w:spacing w:before="1" w:line="446" w:lineRule="auto"/>
        <w:ind w:left="418" w:right="1813" w:firstLine="422"/>
        <w:rPr>
          <w:sz w:val="21"/>
        </w:rPr>
      </w:pPr>
      <w:r>
        <w:rPr>
          <w:spacing w:val="-3"/>
          <w:sz w:val="21"/>
        </w:rPr>
        <w:t>机械防烟系统和机械排烟系统可与正常通风系统合用，合用的通风系统应符合防烟、排烟系统的要求，且该系统由正常运转模式转为防烟或排烟运转模式的时间不应大于</w:t>
      </w:r>
      <w:r>
        <w:rPr>
          <w:spacing w:val="-3"/>
          <w:sz w:val="21"/>
        </w:rPr>
        <w:t>180s</w:t>
      </w:r>
      <w:r>
        <w:rPr>
          <w:spacing w:val="-3"/>
          <w:sz w:val="21"/>
        </w:rPr>
        <w:t>。</w:t>
      </w:r>
      <w:r>
        <w:rPr>
          <w:sz w:val="21"/>
        </w:rPr>
        <w:t xml:space="preserve"> </w:t>
      </w:r>
    </w:p>
    <w:p w14:paraId="29690A77" w14:textId="77777777" w:rsidR="00A71EEF" w:rsidRDefault="0081115D">
      <w:pPr>
        <w:pStyle w:val="a4"/>
        <w:numPr>
          <w:ilvl w:val="2"/>
          <w:numId w:val="50"/>
        </w:numPr>
        <w:tabs>
          <w:tab w:val="left" w:pos="1371"/>
        </w:tabs>
        <w:spacing w:line="446" w:lineRule="auto"/>
        <w:ind w:left="418" w:right="1558" w:firstLine="422"/>
        <w:jc w:val="both"/>
        <w:rPr>
          <w:sz w:val="21"/>
        </w:rPr>
      </w:pPr>
      <w:r>
        <w:rPr>
          <w:spacing w:val="-3"/>
          <w:sz w:val="21"/>
        </w:rPr>
        <w:t>站厅公共区和设备管理区应采用挡烟垂壁或建筑结构划分防烟分区，</w:t>
      </w:r>
      <w:r>
        <w:rPr>
          <w:spacing w:val="-3"/>
          <w:sz w:val="21"/>
        </w:rPr>
        <w:t>防烟分区不应</w:t>
      </w:r>
      <w:r>
        <w:rPr>
          <w:spacing w:val="-3"/>
          <w:sz w:val="21"/>
        </w:rPr>
        <w:t xml:space="preserve"> </w:t>
      </w:r>
      <w:r>
        <w:rPr>
          <w:spacing w:val="-4"/>
          <w:sz w:val="21"/>
        </w:rPr>
        <w:t>跨越防火分区。站厅公共区内每个防烟分区的最大允许建筑面积不应大于</w:t>
      </w:r>
      <w:r>
        <w:rPr>
          <w:spacing w:val="-4"/>
          <w:sz w:val="21"/>
        </w:rPr>
        <w:t xml:space="preserve"> </w:t>
      </w:r>
      <w:r>
        <w:rPr>
          <w:sz w:val="21"/>
        </w:rPr>
        <w:t>2000m²</w:t>
      </w:r>
      <w:r>
        <w:rPr>
          <w:spacing w:val="-2"/>
          <w:sz w:val="21"/>
        </w:rPr>
        <w:t>，设备管理区</w:t>
      </w:r>
      <w:r>
        <w:rPr>
          <w:spacing w:val="-6"/>
          <w:sz w:val="21"/>
        </w:rPr>
        <w:t>内每个防烟分区的最大允许建筑面积不应大于</w:t>
      </w:r>
      <w:r>
        <w:rPr>
          <w:spacing w:val="-6"/>
          <w:sz w:val="21"/>
        </w:rPr>
        <w:t xml:space="preserve"> </w:t>
      </w:r>
      <w:r>
        <w:rPr>
          <w:sz w:val="21"/>
        </w:rPr>
        <w:t>750m²</w:t>
      </w:r>
      <w:r>
        <w:rPr>
          <w:spacing w:val="-3"/>
          <w:sz w:val="21"/>
        </w:rPr>
        <w:t>。</w:t>
      </w:r>
      <w:r>
        <w:rPr>
          <w:sz w:val="21"/>
        </w:rPr>
        <w:t xml:space="preserve"> </w:t>
      </w:r>
    </w:p>
    <w:p w14:paraId="3DC34010" w14:textId="77777777" w:rsidR="00A71EEF" w:rsidRDefault="0081115D">
      <w:pPr>
        <w:pStyle w:val="a4"/>
        <w:numPr>
          <w:ilvl w:val="2"/>
          <w:numId w:val="50"/>
        </w:numPr>
        <w:tabs>
          <w:tab w:val="left" w:pos="1370"/>
        </w:tabs>
        <w:spacing w:line="446" w:lineRule="auto"/>
        <w:ind w:left="418" w:right="1604" w:firstLine="422"/>
        <w:jc w:val="both"/>
        <w:rPr>
          <w:sz w:val="21"/>
        </w:rPr>
      </w:pPr>
      <w:r>
        <w:rPr>
          <w:spacing w:val="-3"/>
          <w:sz w:val="21"/>
        </w:rPr>
        <w:t>公共区楼扶梯穿越楼板的开口部位、公共区吊顶与其他场所连接处的顶棚或吊顶面</w:t>
      </w:r>
      <w:r>
        <w:rPr>
          <w:spacing w:val="-13"/>
          <w:sz w:val="21"/>
        </w:rPr>
        <w:t>高差不足</w:t>
      </w:r>
      <w:r>
        <w:rPr>
          <w:spacing w:val="-13"/>
          <w:sz w:val="21"/>
        </w:rPr>
        <w:t xml:space="preserve"> </w:t>
      </w:r>
      <w:r>
        <w:rPr>
          <w:sz w:val="21"/>
        </w:rPr>
        <w:t>0.5m</w:t>
      </w:r>
      <w:r>
        <w:rPr>
          <w:spacing w:val="-9"/>
          <w:sz w:val="21"/>
        </w:rPr>
        <w:t xml:space="preserve"> </w:t>
      </w:r>
      <w:r>
        <w:rPr>
          <w:spacing w:val="-9"/>
          <w:sz w:val="21"/>
        </w:rPr>
        <w:t>的部位应设置挡烟垂壁。</w:t>
      </w:r>
      <w:r>
        <w:rPr>
          <w:sz w:val="21"/>
        </w:rPr>
        <w:t xml:space="preserve"> </w:t>
      </w:r>
    </w:p>
    <w:p w14:paraId="067D6E92" w14:textId="77777777" w:rsidR="00A71EEF" w:rsidRDefault="0081115D">
      <w:pPr>
        <w:pStyle w:val="a4"/>
        <w:numPr>
          <w:ilvl w:val="2"/>
          <w:numId w:val="50"/>
        </w:numPr>
        <w:tabs>
          <w:tab w:val="left" w:pos="1371"/>
        </w:tabs>
        <w:spacing w:line="446" w:lineRule="auto"/>
        <w:ind w:left="418" w:right="1445" w:firstLine="422"/>
        <w:rPr>
          <w:sz w:val="21"/>
        </w:rPr>
      </w:pPr>
      <w:r>
        <w:rPr>
          <w:spacing w:val="-5"/>
          <w:sz w:val="21"/>
        </w:rPr>
        <w:t>挡烟垂壁或划分防烟分区的建筑结构应为不燃材料且耐火极限不应低于</w:t>
      </w:r>
      <w:r>
        <w:rPr>
          <w:spacing w:val="-5"/>
          <w:sz w:val="21"/>
        </w:rPr>
        <w:t xml:space="preserve"> </w:t>
      </w:r>
      <w:r>
        <w:rPr>
          <w:sz w:val="21"/>
        </w:rPr>
        <w:t>0.50h</w:t>
      </w:r>
      <w:r>
        <w:rPr>
          <w:sz w:val="21"/>
        </w:rPr>
        <w:t>，凸出</w:t>
      </w:r>
      <w:r>
        <w:rPr>
          <w:spacing w:val="-7"/>
          <w:sz w:val="21"/>
        </w:rPr>
        <w:t>顶棚或封闭吊顶不应小于</w:t>
      </w:r>
      <w:r>
        <w:rPr>
          <w:spacing w:val="-7"/>
          <w:sz w:val="21"/>
        </w:rPr>
        <w:t xml:space="preserve"> </w:t>
      </w:r>
      <w:r>
        <w:rPr>
          <w:sz w:val="21"/>
        </w:rPr>
        <w:t>0.5m</w:t>
      </w:r>
      <w:r>
        <w:rPr>
          <w:spacing w:val="-3"/>
          <w:sz w:val="21"/>
        </w:rPr>
        <w:t>。挡烟垂壁的下缘至地面、楼梯或扶梯踏步面的垂直距离不应小</w:t>
      </w:r>
      <w:r>
        <w:rPr>
          <w:spacing w:val="-28"/>
          <w:sz w:val="21"/>
        </w:rPr>
        <w:t>于</w:t>
      </w:r>
      <w:r>
        <w:rPr>
          <w:spacing w:val="-28"/>
          <w:sz w:val="21"/>
        </w:rPr>
        <w:t xml:space="preserve"> </w:t>
      </w:r>
      <w:r>
        <w:rPr>
          <w:sz w:val="21"/>
        </w:rPr>
        <w:t>2.3m</w:t>
      </w:r>
      <w:r>
        <w:rPr>
          <w:spacing w:val="-3"/>
          <w:sz w:val="21"/>
        </w:rPr>
        <w:t>。</w:t>
      </w:r>
      <w:r>
        <w:rPr>
          <w:sz w:val="21"/>
        </w:rPr>
        <w:t xml:space="preserve"> </w:t>
      </w:r>
    </w:p>
    <w:p w14:paraId="150798D4" w14:textId="77777777" w:rsidR="00A71EEF" w:rsidRDefault="0081115D">
      <w:pPr>
        <w:pStyle w:val="a4"/>
        <w:numPr>
          <w:ilvl w:val="1"/>
          <w:numId w:val="50"/>
        </w:numPr>
        <w:tabs>
          <w:tab w:val="left" w:pos="1159"/>
        </w:tabs>
        <w:spacing w:line="268" w:lineRule="exact"/>
        <w:ind w:hanging="319"/>
        <w:rPr>
          <w:sz w:val="21"/>
        </w:rPr>
      </w:pPr>
      <w:r>
        <w:rPr>
          <w:spacing w:val="-3"/>
          <w:sz w:val="21"/>
        </w:rPr>
        <w:t>车站、控制中心、主变电所与车辆基地</w:t>
      </w:r>
      <w:r>
        <w:rPr>
          <w:sz w:val="21"/>
        </w:rPr>
        <w:t xml:space="preserve"> </w:t>
      </w:r>
    </w:p>
    <w:p w14:paraId="5F7EC2EC" w14:textId="77777777" w:rsidR="00A71EEF" w:rsidRDefault="00A71EEF">
      <w:pPr>
        <w:pStyle w:val="a3"/>
        <w:spacing w:before="10"/>
        <w:rPr>
          <w:sz w:val="17"/>
        </w:rPr>
      </w:pPr>
    </w:p>
    <w:p w14:paraId="1D08C3A2" w14:textId="77777777" w:rsidR="00A71EEF" w:rsidRDefault="0081115D">
      <w:pPr>
        <w:pStyle w:val="a4"/>
        <w:numPr>
          <w:ilvl w:val="2"/>
          <w:numId w:val="50"/>
        </w:numPr>
        <w:tabs>
          <w:tab w:val="left" w:pos="1371"/>
        </w:tabs>
        <w:spacing w:line="446" w:lineRule="auto"/>
        <w:ind w:left="418" w:right="1604" w:firstLine="422"/>
        <w:rPr>
          <w:sz w:val="21"/>
        </w:rPr>
      </w:pPr>
      <w:r>
        <w:rPr>
          <w:spacing w:val="-3"/>
          <w:sz w:val="21"/>
        </w:rPr>
        <w:t>地上车站宜采用自然排烟方式，其中不符合自然排烟要求的场所应设置机械排烟设施。</w:t>
      </w:r>
      <w:r>
        <w:rPr>
          <w:sz w:val="21"/>
        </w:rPr>
        <w:t xml:space="preserve"> </w:t>
      </w:r>
    </w:p>
    <w:p w14:paraId="7445E6E7" w14:textId="77777777" w:rsidR="00A71EEF" w:rsidRDefault="00A71EEF">
      <w:pPr>
        <w:spacing w:line="446" w:lineRule="auto"/>
        <w:rPr>
          <w:sz w:val="21"/>
        </w:rPr>
        <w:sectPr w:rsidR="00A71EEF">
          <w:pgSz w:w="11910" w:h="16850"/>
          <w:pgMar w:top="1220" w:right="0" w:bottom="1420" w:left="1260" w:header="0" w:footer="1239" w:gutter="0"/>
          <w:cols w:space="720"/>
        </w:sectPr>
      </w:pPr>
    </w:p>
    <w:p w14:paraId="38B82FF1" w14:textId="77777777" w:rsidR="00A71EEF" w:rsidRDefault="0081115D">
      <w:pPr>
        <w:pStyle w:val="a4"/>
        <w:numPr>
          <w:ilvl w:val="2"/>
          <w:numId w:val="50"/>
        </w:numPr>
        <w:tabs>
          <w:tab w:val="left" w:pos="1370"/>
        </w:tabs>
        <w:spacing w:before="47" w:line="446" w:lineRule="auto"/>
        <w:ind w:left="418" w:right="1503" w:firstLine="422"/>
        <w:rPr>
          <w:sz w:val="21"/>
        </w:rPr>
      </w:pPr>
      <w:r>
        <w:rPr>
          <w:spacing w:val="-3"/>
          <w:sz w:val="21"/>
        </w:rPr>
        <w:t>采用自然排烟的车站或路堑式车站，外墙上方或顶盖上可开启排烟口的有效面积不应</w:t>
      </w:r>
      <w:r>
        <w:rPr>
          <w:spacing w:val="-6"/>
          <w:sz w:val="21"/>
        </w:rPr>
        <w:t>小于所在场所地面面积的</w:t>
      </w:r>
      <w:r>
        <w:rPr>
          <w:spacing w:val="-6"/>
          <w:sz w:val="21"/>
        </w:rPr>
        <w:t xml:space="preserve"> </w:t>
      </w:r>
      <w:r>
        <w:rPr>
          <w:sz w:val="21"/>
        </w:rPr>
        <w:t>2</w:t>
      </w:r>
      <w:r>
        <w:rPr>
          <w:spacing w:val="-5"/>
          <w:sz w:val="21"/>
        </w:rPr>
        <w:t>％，且区域内任一点至最近自然排烟口的水平距离不应大于</w:t>
      </w:r>
      <w:r>
        <w:rPr>
          <w:spacing w:val="-5"/>
          <w:sz w:val="21"/>
        </w:rPr>
        <w:t xml:space="preserve"> </w:t>
      </w:r>
      <w:r>
        <w:rPr>
          <w:sz w:val="21"/>
        </w:rPr>
        <w:t>30m</w:t>
      </w:r>
      <w:r>
        <w:rPr>
          <w:sz w:val="21"/>
        </w:rPr>
        <w:t>。常</w:t>
      </w:r>
      <w:r>
        <w:rPr>
          <w:spacing w:val="-3"/>
          <w:sz w:val="21"/>
        </w:rPr>
        <w:t>闭的自然排烟口（</w:t>
      </w:r>
      <w:r>
        <w:rPr>
          <w:sz w:val="21"/>
        </w:rPr>
        <w:t>窗</w:t>
      </w:r>
      <w:r>
        <w:rPr>
          <w:spacing w:val="-3"/>
          <w:sz w:val="21"/>
        </w:rPr>
        <w:t>）应设置自动和手动开启的装置。</w:t>
      </w:r>
      <w:r>
        <w:rPr>
          <w:sz w:val="21"/>
        </w:rPr>
        <w:t xml:space="preserve"> </w:t>
      </w:r>
    </w:p>
    <w:p w14:paraId="0D140C7E" w14:textId="77777777" w:rsidR="00A71EEF" w:rsidRDefault="0081115D">
      <w:pPr>
        <w:pStyle w:val="a4"/>
        <w:numPr>
          <w:ilvl w:val="2"/>
          <w:numId w:val="50"/>
        </w:numPr>
        <w:tabs>
          <w:tab w:val="left" w:pos="1371"/>
        </w:tabs>
        <w:spacing w:line="268" w:lineRule="exact"/>
        <w:rPr>
          <w:sz w:val="21"/>
        </w:rPr>
      </w:pPr>
      <w:r>
        <w:rPr>
          <w:spacing w:val="-3"/>
          <w:sz w:val="21"/>
        </w:rPr>
        <w:t>地下车站公共区的排烟应符合下列规定：</w:t>
      </w:r>
      <w:r>
        <w:rPr>
          <w:sz w:val="21"/>
        </w:rPr>
        <w:t xml:space="preserve"> </w:t>
      </w:r>
    </w:p>
    <w:p w14:paraId="552FEC61" w14:textId="77777777" w:rsidR="00A71EEF" w:rsidRDefault="00A71EEF">
      <w:pPr>
        <w:pStyle w:val="a3"/>
        <w:rPr>
          <w:sz w:val="18"/>
        </w:rPr>
      </w:pPr>
    </w:p>
    <w:p w14:paraId="2A8C1E54" w14:textId="77777777" w:rsidR="00A71EEF" w:rsidRDefault="0081115D">
      <w:pPr>
        <w:pStyle w:val="a3"/>
        <w:spacing w:line="446" w:lineRule="auto"/>
        <w:ind w:left="418" w:right="1608" w:firstLine="419"/>
        <w:jc w:val="both"/>
      </w:pPr>
      <w:r>
        <w:rPr>
          <w:spacing w:val="-3"/>
        </w:rPr>
        <w:t>当站厅发生火灾时，应对着火防烟分区排烟，可由出入口自然补风，补风通路的空气总阻</w:t>
      </w:r>
      <w:r>
        <w:rPr>
          <w:spacing w:val="-8"/>
        </w:rPr>
        <w:t>力应符合本标准第</w:t>
      </w:r>
      <w:r>
        <w:rPr>
          <w:spacing w:val="-8"/>
        </w:rPr>
        <w:t xml:space="preserve"> </w:t>
      </w:r>
      <w:r>
        <w:t>8.2.6</w:t>
      </w:r>
      <w:r>
        <w:rPr>
          <w:spacing w:val="-11"/>
        </w:rPr>
        <w:t xml:space="preserve"> </w:t>
      </w:r>
      <w:r>
        <w:rPr>
          <w:spacing w:val="-11"/>
        </w:rPr>
        <w:t>条的规定；当不符合本标准第</w:t>
      </w:r>
      <w:r>
        <w:rPr>
          <w:spacing w:val="-11"/>
        </w:rPr>
        <w:t xml:space="preserve"> </w:t>
      </w:r>
      <w:r>
        <w:t>8.2.6</w:t>
      </w:r>
      <w:r>
        <w:rPr>
          <w:spacing w:val="-8"/>
        </w:rPr>
        <w:t xml:space="preserve"> </w:t>
      </w:r>
      <w:r>
        <w:rPr>
          <w:spacing w:val="-8"/>
        </w:rPr>
        <w:t>条的规定时，应设置机械补风系</w:t>
      </w:r>
      <w:r>
        <w:rPr>
          <w:spacing w:val="-6"/>
        </w:rPr>
        <w:t>统。</w:t>
      </w:r>
      <w:r>
        <w:t xml:space="preserve"> </w:t>
      </w:r>
    </w:p>
    <w:p w14:paraId="5C74553B" w14:textId="77777777" w:rsidR="00A71EEF" w:rsidRDefault="0081115D">
      <w:pPr>
        <w:pStyle w:val="a3"/>
        <w:spacing w:line="268" w:lineRule="exact"/>
        <w:ind w:left="838"/>
      </w:pPr>
      <w:r>
        <w:t>当站台发生火灾时，应对站台区域排烟，并宜由出入口、站厅补风。</w:t>
      </w:r>
      <w:r>
        <w:t xml:space="preserve"> </w:t>
      </w:r>
    </w:p>
    <w:p w14:paraId="75F694AB" w14:textId="77777777" w:rsidR="00A71EEF" w:rsidRDefault="00A71EEF">
      <w:pPr>
        <w:pStyle w:val="a3"/>
        <w:spacing w:before="12"/>
        <w:rPr>
          <w:sz w:val="17"/>
        </w:rPr>
      </w:pPr>
    </w:p>
    <w:p w14:paraId="0FB254F7" w14:textId="77777777" w:rsidR="00A71EEF" w:rsidRDefault="0081115D">
      <w:pPr>
        <w:pStyle w:val="a3"/>
        <w:spacing w:line="446" w:lineRule="auto"/>
        <w:ind w:left="840" w:right="2345" w:hanging="3"/>
      </w:pPr>
      <w:r>
        <w:t>车站公共区发生火灾、驶向该站的列车需要越站时，应联动关闭全封闭站台门。</w:t>
      </w:r>
      <w:r>
        <w:rPr>
          <w:b/>
        </w:rPr>
        <w:t xml:space="preserve">8.2.4 </w:t>
      </w:r>
      <w:r>
        <w:t>排烟风机及风管的风量应符合下列规定：</w:t>
      </w:r>
      <w:r>
        <w:t xml:space="preserve"> </w:t>
      </w:r>
    </w:p>
    <w:p w14:paraId="4772507C" w14:textId="77777777" w:rsidR="00A71EEF" w:rsidRDefault="0081115D">
      <w:pPr>
        <w:pStyle w:val="a3"/>
        <w:ind w:left="838"/>
      </w:pPr>
      <w:r>
        <w:t>排烟量应按各防烟分区的建筑面积不小于</w:t>
      </w:r>
      <w:r>
        <w:t xml:space="preserve"> 60m³/</w:t>
      </w:r>
      <w:r>
        <w:t>（</w:t>
      </w:r>
      <w:r>
        <w:t>m²·h</w:t>
      </w:r>
      <w:r>
        <w:t>）分别计算；</w:t>
      </w:r>
      <w:r>
        <w:t xml:space="preserve"> </w:t>
      </w:r>
    </w:p>
    <w:p w14:paraId="07868D33" w14:textId="77777777" w:rsidR="00A71EEF" w:rsidRDefault="00A71EEF">
      <w:pPr>
        <w:pStyle w:val="a3"/>
        <w:spacing w:before="12"/>
        <w:rPr>
          <w:sz w:val="17"/>
        </w:rPr>
      </w:pPr>
    </w:p>
    <w:p w14:paraId="4FE3A36F" w14:textId="77777777" w:rsidR="00A71EEF" w:rsidRDefault="0081115D">
      <w:pPr>
        <w:pStyle w:val="a3"/>
        <w:ind w:left="838"/>
      </w:pPr>
      <w:r>
        <w:t>当防烟分区中包含轨道区时，应按列车设计火灾规模计算排烟量；</w:t>
      </w:r>
      <w:r>
        <w:t xml:space="preserve"> </w:t>
      </w:r>
    </w:p>
    <w:p w14:paraId="6B01C538" w14:textId="77777777" w:rsidR="00A71EEF" w:rsidRDefault="00A71EEF">
      <w:pPr>
        <w:pStyle w:val="a3"/>
        <w:spacing w:before="2"/>
        <w:rPr>
          <w:sz w:val="18"/>
        </w:rPr>
      </w:pPr>
    </w:p>
    <w:p w14:paraId="3DF7E4C3" w14:textId="77777777" w:rsidR="00A71EEF" w:rsidRDefault="0081115D">
      <w:pPr>
        <w:pStyle w:val="a3"/>
        <w:spacing w:line="446" w:lineRule="auto"/>
        <w:ind w:left="418" w:right="1609" w:firstLine="419"/>
      </w:pPr>
      <w:r>
        <w:rPr>
          <w:spacing w:val="-6"/>
        </w:rPr>
        <w:t>地下站台的排烟量除应符合本条第</w:t>
      </w:r>
      <w:r>
        <w:rPr>
          <w:spacing w:val="-6"/>
        </w:rPr>
        <w:t xml:space="preserve"> </w:t>
      </w:r>
      <w:r>
        <w:t>1</w:t>
      </w:r>
      <w:r>
        <w:rPr>
          <w:spacing w:val="-19"/>
        </w:rPr>
        <w:t xml:space="preserve"> </w:t>
      </w:r>
      <w:r>
        <w:rPr>
          <w:spacing w:val="-19"/>
        </w:rPr>
        <w:t>款、第</w:t>
      </w:r>
      <w:r>
        <w:rPr>
          <w:spacing w:val="-19"/>
        </w:rPr>
        <w:t xml:space="preserve"> </w:t>
      </w:r>
      <w:r>
        <w:t>2</w:t>
      </w:r>
      <w:r>
        <w:rPr>
          <w:spacing w:val="-8"/>
        </w:rPr>
        <w:t xml:space="preserve"> </w:t>
      </w:r>
      <w:r>
        <w:rPr>
          <w:spacing w:val="-8"/>
        </w:rPr>
        <w:t>款的要求外，还应保证站厅到站台的楼梯或</w:t>
      </w:r>
      <w:r>
        <w:rPr>
          <w:spacing w:val="-10"/>
        </w:rPr>
        <w:t>扶梯口处具有不小于</w:t>
      </w:r>
      <w:r>
        <w:rPr>
          <w:spacing w:val="-10"/>
        </w:rPr>
        <w:t xml:space="preserve"> </w:t>
      </w:r>
      <w:r>
        <w:t>1.5m/s</w:t>
      </w:r>
      <w:r>
        <w:rPr>
          <w:spacing w:val="-10"/>
        </w:rPr>
        <w:t xml:space="preserve"> </w:t>
      </w:r>
      <w:r>
        <w:rPr>
          <w:spacing w:val="-10"/>
        </w:rPr>
        <w:t>的向下气流；</w:t>
      </w:r>
      <w:r>
        <w:t xml:space="preserve"> </w:t>
      </w:r>
    </w:p>
    <w:p w14:paraId="6A0FEA93" w14:textId="77777777" w:rsidR="00A71EEF" w:rsidRDefault="0081115D">
      <w:pPr>
        <w:pStyle w:val="a3"/>
        <w:spacing w:line="446" w:lineRule="auto"/>
        <w:ind w:left="418" w:right="1608" w:firstLine="419"/>
      </w:pPr>
      <w:r>
        <w:t>排烟风机的风量应按所负担的防烟分区中最大一个防烟分区的排烟量、风管（道）的漏风量及其他防烟分区的排烟口或排烟阀的漏风量之和计算；</w:t>
      </w:r>
      <w:r>
        <w:t xml:space="preserve"> </w:t>
      </w:r>
    </w:p>
    <w:p w14:paraId="7FA6EC27" w14:textId="77777777" w:rsidR="00A71EEF" w:rsidRDefault="0081115D">
      <w:pPr>
        <w:pStyle w:val="a3"/>
        <w:ind w:left="838"/>
      </w:pPr>
      <w:r>
        <w:t>排烟风机的风量不应低于</w:t>
      </w:r>
      <w:r>
        <w:t xml:space="preserve"> 7200m³/h</w:t>
      </w:r>
      <w:r>
        <w:t>。</w:t>
      </w:r>
      <w:r>
        <w:t xml:space="preserve"> </w:t>
      </w:r>
    </w:p>
    <w:p w14:paraId="41BEA3CE" w14:textId="77777777" w:rsidR="00A71EEF" w:rsidRDefault="00A71EEF">
      <w:pPr>
        <w:pStyle w:val="a3"/>
        <w:spacing w:before="10"/>
        <w:rPr>
          <w:sz w:val="17"/>
        </w:rPr>
      </w:pPr>
    </w:p>
    <w:p w14:paraId="499EF79E" w14:textId="77777777" w:rsidR="00A71EEF" w:rsidRDefault="0081115D">
      <w:pPr>
        <w:pStyle w:val="a3"/>
        <w:ind w:left="840"/>
      </w:pPr>
      <w:r>
        <w:rPr>
          <w:b/>
        </w:rPr>
        <w:t xml:space="preserve">8.2.5 </w:t>
      </w:r>
      <w:r>
        <w:t>机械排烟系统中的排烟口和排烟阀的设置应符合下列规定：</w:t>
      </w:r>
      <w:r>
        <w:t xml:space="preserve"> </w:t>
      </w:r>
    </w:p>
    <w:p w14:paraId="728E43CF" w14:textId="77777777" w:rsidR="00A71EEF" w:rsidRDefault="00A71EEF">
      <w:pPr>
        <w:pStyle w:val="a3"/>
        <w:spacing w:before="2"/>
        <w:rPr>
          <w:sz w:val="18"/>
        </w:rPr>
      </w:pPr>
    </w:p>
    <w:p w14:paraId="56CC4D1D" w14:textId="77777777" w:rsidR="00A71EEF" w:rsidRDefault="0081115D">
      <w:pPr>
        <w:pStyle w:val="a3"/>
        <w:ind w:left="838"/>
      </w:pPr>
      <w:r>
        <w:t>排烟口和排烟阀应按防烟分区设置；</w:t>
      </w:r>
      <w:r>
        <w:t xml:space="preserve"> </w:t>
      </w:r>
    </w:p>
    <w:p w14:paraId="76B7478B" w14:textId="77777777" w:rsidR="00A71EEF" w:rsidRDefault="00A71EEF">
      <w:pPr>
        <w:pStyle w:val="a3"/>
        <w:rPr>
          <w:sz w:val="18"/>
        </w:rPr>
      </w:pPr>
    </w:p>
    <w:p w14:paraId="7040A2EB" w14:textId="77777777" w:rsidR="00A71EEF" w:rsidRDefault="0081115D">
      <w:pPr>
        <w:pStyle w:val="a3"/>
        <w:spacing w:line="446" w:lineRule="auto"/>
        <w:ind w:left="418" w:right="1558" w:firstLine="419"/>
      </w:pPr>
      <w:r>
        <w:rPr>
          <w:spacing w:val="-5"/>
        </w:rPr>
        <w:t>防烟分区内任一点至最近排烟口的水平距离不应大于</w:t>
      </w:r>
      <w:r>
        <w:rPr>
          <w:spacing w:val="-5"/>
        </w:rPr>
        <w:t xml:space="preserve"> </w:t>
      </w:r>
      <w:r>
        <w:t>30m</w:t>
      </w:r>
      <w:r>
        <w:rPr>
          <w:spacing w:val="-8"/>
        </w:rPr>
        <w:t>，当室内净高大于</w:t>
      </w:r>
      <w:r>
        <w:rPr>
          <w:spacing w:val="-8"/>
        </w:rPr>
        <w:t xml:space="preserve"> </w:t>
      </w:r>
      <w:r>
        <w:t>6m</w:t>
      </w:r>
      <w:r>
        <w:rPr>
          <w:spacing w:val="-10"/>
        </w:rPr>
        <w:t xml:space="preserve"> </w:t>
      </w:r>
      <w:r>
        <w:rPr>
          <w:spacing w:val="-10"/>
        </w:rPr>
        <w:t>时，该距离</w:t>
      </w:r>
      <w:r>
        <w:rPr>
          <w:spacing w:val="-16"/>
        </w:rPr>
        <w:t>可增加至</w:t>
      </w:r>
      <w:r>
        <w:rPr>
          <w:spacing w:val="-16"/>
        </w:rPr>
        <w:t xml:space="preserve"> </w:t>
      </w:r>
      <w:r>
        <w:t>37.5m</w:t>
      </w:r>
      <w:r>
        <w:t>；</w:t>
      </w:r>
      <w:r>
        <w:t xml:space="preserve"> </w:t>
      </w:r>
    </w:p>
    <w:p w14:paraId="7AB70249" w14:textId="77777777" w:rsidR="00A71EEF" w:rsidRDefault="0081115D">
      <w:pPr>
        <w:pStyle w:val="a3"/>
        <w:ind w:left="838"/>
      </w:pPr>
      <w:r>
        <w:t>排烟口底边距挡烟垂壁下沿的垂直距离不应小于</w:t>
      </w:r>
      <w:r>
        <w:t xml:space="preserve"> 0.5m</w:t>
      </w:r>
      <w:r>
        <w:t>，水平距离安全出口不应小于</w:t>
      </w:r>
      <w:r>
        <w:t xml:space="preserve"> 3.0m</w:t>
      </w:r>
      <w:r>
        <w:t>；</w:t>
      </w:r>
      <w:r>
        <w:t xml:space="preserve"> </w:t>
      </w:r>
    </w:p>
    <w:p w14:paraId="59DFA088" w14:textId="77777777" w:rsidR="00A71EEF" w:rsidRDefault="00A71EEF">
      <w:pPr>
        <w:pStyle w:val="a3"/>
        <w:rPr>
          <w:sz w:val="18"/>
        </w:rPr>
      </w:pPr>
    </w:p>
    <w:p w14:paraId="731E5E8A" w14:textId="77777777" w:rsidR="00A71EEF" w:rsidRDefault="0081115D">
      <w:pPr>
        <w:pStyle w:val="a3"/>
        <w:ind w:left="838"/>
      </w:pPr>
      <w:r>
        <w:t>排烟口的风速不宜大于</w:t>
      </w:r>
      <w:r>
        <w:t xml:space="preserve"> 7m/s</w:t>
      </w:r>
      <w:r>
        <w:t>；</w:t>
      </w:r>
      <w:r>
        <w:t xml:space="preserve"> </w:t>
      </w:r>
    </w:p>
    <w:p w14:paraId="6F1DCBDE" w14:textId="77777777" w:rsidR="00A71EEF" w:rsidRDefault="00A71EEF">
      <w:pPr>
        <w:pStyle w:val="a3"/>
        <w:spacing w:before="12"/>
        <w:rPr>
          <w:sz w:val="17"/>
        </w:rPr>
      </w:pPr>
    </w:p>
    <w:p w14:paraId="6522E7AD" w14:textId="77777777" w:rsidR="00A71EEF" w:rsidRDefault="0081115D">
      <w:pPr>
        <w:pStyle w:val="a3"/>
        <w:ind w:left="838"/>
      </w:pPr>
      <w:r>
        <w:t>正常为关闭状态的排烟口和排烟阀，应能在火灾时联动自动开启；</w:t>
      </w:r>
      <w:r>
        <w:t xml:space="preserve"> </w:t>
      </w:r>
    </w:p>
    <w:p w14:paraId="071EC493" w14:textId="77777777" w:rsidR="00A71EEF" w:rsidRDefault="00A71EEF">
      <w:pPr>
        <w:pStyle w:val="a3"/>
        <w:spacing w:before="2"/>
        <w:rPr>
          <w:sz w:val="18"/>
        </w:rPr>
      </w:pPr>
    </w:p>
    <w:p w14:paraId="4267DE05" w14:textId="77777777" w:rsidR="00A71EEF" w:rsidRDefault="0081115D">
      <w:pPr>
        <w:pStyle w:val="a3"/>
        <w:spacing w:line="446" w:lineRule="auto"/>
        <w:ind w:left="840" w:right="2084" w:hanging="3"/>
      </w:pPr>
      <w:r>
        <w:t>建筑面积小于或等于</w:t>
      </w:r>
      <w:r>
        <w:t xml:space="preserve"> 50m²</w:t>
      </w:r>
      <w:r>
        <w:t>且需要机械排烟的房间，其排烟口可设置在相邻走道内。</w:t>
      </w:r>
      <w:r>
        <w:rPr>
          <w:b/>
        </w:rPr>
        <w:t xml:space="preserve">8.2.6 </w:t>
      </w:r>
      <w:r>
        <w:t>排烟区应采取补风措施，并应符合下列规定：</w:t>
      </w:r>
      <w:r>
        <w:t xml:space="preserve"> </w:t>
      </w:r>
    </w:p>
    <w:p w14:paraId="25BD3C83" w14:textId="77777777" w:rsidR="00A71EEF" w:rsidRDefault="0081115D">
      <w:pPr>
        <w:pStyle w:val="a3"/>
        <w:spacing w:line="446" w:lineRule="auto"/>
        <w:ind w:left="418" w:right="1505" w:firstLine="419"/>
      </w:pPr>
      <w:r>
        <w:rPr>
          <w:spacing w:val="-6"/>
        </w:rPr>
        <w:t>当补风通路的空气总阻力不大于</w:t>
      </w:r>
      <w:r>
        <w:rPr>
          <w:spacing w:val="-6"/>
        </w:rPr>
        <w:t xml:space="preserve"> </w:t>
      </w:r>
      <w:r>
        <w:t>50Pa</w:t>
      </w:r>
      <w:r>
        <w:rPr>
          <w:spacing w:val="-7"/>
        </w:rPr>
        <w:t xml:space="preserve"> </w:t>
      </w:r>
      <w:r>
        <w:rPr>
          <w:spacing w:val="-7"/>
        </w:rPr>
        <w:t>时，可采用自然补风方式，但应保证火灾时补风通道</w:t>
      </w:r>
      <w:r>
        <w:rPr>
          <w:spacing w:val="-6"/>
        </w:rPr>
        <w:t>畅通；</w:t>
      </w:r>
      <w:r>
        <w:t xml:space="preserve"> </w:t>
      </w:r>
    </w:p>
    <w:p w14:paraId="67C72722" w14:textId="77777777" w:rsidR="00A71EEF" w:rsidRDefault="00A71EEF">
      <w:pPr>
        <w:spacing w:line="446" w:lineRule="auto"/>
        <w:sectPr w:rsidR="00A71EEF">
          <w:pgSz w:w="11910" w:h="16850"/>
          <w:pgMar w:top="1220" w:right="0" w:bottom="1420" w:left="1260" w:header="0" w:footer="1239" w:gutter="0"/>
          <w:cols w:space="720"/>
        </w:sectPr>
      </w:pPr>
    </w:p>
    <w:p w14:paraId="5E35305F" w14:textId="77777777" w:rsidR="00A71EEF" w:rsidRDefault="0081115D">
      <w:pPr>
        <w:pStyle w:val="a3"/>
        <w:spacing w:before="47" w:line="446" w:lineRule="auto"/>
        <w:ind w:left="418" w:right="1505" w:firstLine="419"/>
      </w:pPr>
      <w:r>
        <w:rPr>
          <w:spacing w:val="-6"/>
        </w:rPr>
        <w:t>当补风通路的空气总阻力大于</w:t>
      </w:r>
      <w:r>
        <w:rPr>
          <w:spacing w:val="-6"/>
        </w:rPr>
        <w:t xml:space="preserve"> </w:t>
      </w:r>
      <w:r>
        <w:t>50Pa</w:t>
      </w:r>
      <w:r>
        <w:rPr>
          <w:spacing w:val="-8"/>
        </w:rPr>
        <w:t xml:space="preserve"> </w:t>
      </w:r>
      <w:r>
        <w:rPr>
          <w:spacing w:val="-8"/>
        </w:rPr>
        <w:t>时，应采用机械补风方式，且机械补风的风量不应小于</w:t>
      </w:r>
      <w:r>
        <w:rPr>
          <w:spacing w:val="-13"/>
        </w:rPr>
        <w:t>排烟风量的</w:t>
      </w:r>
      <w:r>
        <w:rPr>
          <w:spacing w:val="-13"/>
        </w:rPr>
        <w:t xml:space="preserve"> </w:t>
      </w:r>
      <w:r>
        <w:t>50</w:t>
      </w:r>
      <w:r>
        <w:rPr>
          <w:spacing w:val="-3"/>
        </w:rPr>
        <w:t>％，不应大于排烟量；</w:t>
      </w:r>
      <w:r>
        <w:t xml:space="preserve"> </w:t>
      </w:r>
    </w:p>
    <w:p w14:paraId="398D915E" w14:textId="77777777" w:rsidR="00A71EEF" w:rsidRDefault="0081115D">
      <w:pPr>
        <w:pStyle w:val="a3"/>
        <w:spacing w:line="446" w:lineRule="auto"/>
        <w:ind w:left="418" w:right="1609" w:firstLine="419"/>
      </w:pPr>
      <w:r>
        <w:t>补风口宜设置在与排烟空间相通的相邻防烟分区内；当补风口与排烟口设置在同一防烟分区内时，补风口应设置在室内净高</w:t>
      </w:r>
      <w:r>
        <w:t xml:space="preserve"> 1/2 </w:t>
      </w:r>
      <w:r>
        <w:t>以下，水平距离排烟口不应小于</w:t>
      </w:r>
      <w:r>
        <w:t xml:space="preserve"> 10m</w:t>
      </w:r>
      <w:r>
        <w:t>。</w:t>
      </w:r>
      <w:r>
        <w:t xml:space="preserve"> </w:t>
      </w:r>
    </w:p>
    <w:p w14:paraId="070E895C" w14:textId="77777777" w:rsidR="00A71EEF" w:rsidRDefault="0081115D">
      <w:pPr>
        <w:pStyle w:val="a4"/>
        <w:numPr>
          <w:ilvl w:val="2"/>
          <w:numId w:val="49"/>
        </w:numPr>
        <w:tabs>
          <w:tab w:val="left" w:pos="1371"/>
        </w:tabs>
        <w:spacing w:line="446" w:lineRule="auto"/>
        <w:ind w:right="1604" w:firstLine="422"/>
        <w:rPr>
          <w:sz w:val="21"/>
        </w:rPr>
      </w:pPr>
      <w:r>
        <w:rPr>
          <w:spacing w:val="-3"/>
          <w:sz w:val="21"/>
        </w:rPr>
        <w:t>车辆基地的地下停车库、列检库、停车列检库、运用库、联合检修库、镟轮库、工程车库等场所应设置排烟系统。</w:t>
      </w:r>
      <w:r>
        <w:rPr>
          <w:sz w:val="21"/>
        </w:rPr>
        <w:t xml:space="preserve"> </w:t>
      </w:r>
    </w:p>
    <w:p w14:paraId="53B84977" w14:textId="77777777" w:rsidR="00A71EEF" w:rsidRDefault="0081115D">
      <w:pPr>
        <w:pStyle w:val="a4"/>
        <w:numPr>
          <w:ilvl w:val="2"/>
          <w:numId w:val="49"/>
        </w:numPr>
        <w:tabs>
          <w:tab w:val="left" w:pos="1371"/>
        </w:tabs>
        <w:ind w:left="1370"/>
        <w:rPr>
          <w:sz w:val="21"/>
        </w:rPr>
      </w:pPr>
      <w:r>
        <w:rPr>
          <w:spacing w:val="-3"/>
          <w:sz w:val="21"/>
        </w:rPr>
        <w:t>设置自动灭火系统的设备房应符合下列规定：</w:t>
      </w:r>
      <w:r>
        <w:rPr>
          <w:spacing w:val="-3"/>
          <w:sz w:val="21"/>
        </w:rPr>
        <w:t xml:space="preserve"> </w:t>
      </w:r>
    </w:p>
    <w:p w14:paraId="5FE7392A" w14:textId="77777777" w:rsidR="00A71EEF" w:rsidRDefault="00A71EEF">
      <w:pPr>
        <w:pStyle w:val="a3"/>
        <w:spacing w:before="11"/>
        <w:rPr>
          <w:sz w:val="17"/>
        </w:rPr>
      </w:pPr>
    </w:p>
    <w:p w14:paraId="4488DF6B" w14:textId="77777777" w:rsidR="00A71EEF" w:rsidRDefault="0081115D">
      <w:pPr>
        <w:pStyle w:val="a3"/>
        <w:ind w:left="838"/>
      </w:pPr>
      <w:r>
        <w:t>在穿越该房间开设风口的通风管上，应设置动作温度为</w:t>
      </w:r>
      <w:r>
        <w:t xml:space="preserve"> 70℃</w:t>
      </w:r>
      <w:r>
        <w:t>的防火阀；</w:t>
      </w:r>
      <w:r>
        <w:t xml:space="preserve"> </w:t>
      </w:r>
    </w:p>
    <w:p w14:paraId="51EFD992" w14:textId="77777777" w:rsidR="00A71EEF" w:rsidRDefault="00A71EEF">
      <w:pPr>
        <w:pStyle w:val="a3"/>
        <w:spacing w:before="12"/>
        <w:rPr>
          <w:sz w:val="17"/>
        </w:rPr>
      </w:pPr>
    </w:p>
    <w:p w14:paraId="797A9DBD" w14:textId="77777777" w:rsidR="00A71EEF" w:rsidRDefault="0081115D">
      <w:pPr>
        <w:pStyle w:val="a3"/>
        <w:ind w:left="838"/>
      </w:pPr>
      <w:r>
        <w:t>防火</w:t>
      </w:r>
      <w:r>
        <w:t>阀应能与自动灭火系统的启动联动关闭；</w:t>
      </w:r>
      <w:r>
        <w:t xml:space="preserve"> </w:t>
      </w:r>
    </w:p>
    <w:p w14:paraId="7002447B" w14:textId="77777777" w:rsidR="00A71EEF" w:rsidRDefault="00A71EEF">
      <w:pPr>
        <w:pStyle w:val="a3"/>
        <w:spacing w:before="2"/>
        <w:rPr>
          <w:sz w:val="18"/>
        </w:rPr>
      </w:pPr>
    </w:p>
    <w:p w14:paraId="220A2762" w14:textId="77777777" w:rsidR="00A71EEF" w:rsidRDefault="0081115D">
      <w:pPr>
        <w:pStyle w:val="a3"/>
        <w:ind w:left="838"/>
      </w:pPr>
      <w:r>
        <w:t>当灭火介质的相对密度大于</w:t>
      </w:r>
      <w:r>
        <w:t xml:space="preserve"> 1 </w:t>
      </w:r>
      <w:r>
        <w:t>时，排风口应设置在该房间的下部。</w:t>
      </w:r>
      <w:r>
        <w:t xml:space="preserve"> </w:t>
      </w:r>
    </w:p>
    <w:p w14:paraId="7A95A873" w14:textId="77777777" w:rsidR="00A71EEF" w:rsidRDefault="00A71EEF">
      <w:pPr>
        <w:pStyle w:val="a3"/>
        <w:spacing w:before="12"/>
        <w:rPr>
          <w:sz w:val="17"/>
        </w:rPr>
      </w:pPr>
    </w:p>
    <w:p w14:paraId="5A6C396A" w14:textId="77777777" w:rsidR="00A71EEF" w:rsidRDefault="0081115D">
      <w:pPr>
        <w:pStyle w:val="a4"/>
        <w:numPr>
          <w:ilvl w:val="2"/>
          <w:numId w:val="49"/>
        </w:numPr>
        <w:tabs>
          <w:tab w:val="left" w:pos="1371"/>
        </w:tabs>
        <w:spacing w:line="446" w:lineRule="auto"/>
        <w:ind w:right="1450" w:firstLine="422"/>
        <w:rPr>
          <w:sz w:val="21"/>
        </w:rPr>
      </w:pPr>
      <w:r>
        <w:rPr>
          <w:spacing w:val="-3"/>
          <w:sz w:val="21"/>
        </w:rPr>
        <w:t>排烟风机应与排烟口</w:t>
      </w:r>
      <w:r>
        <w:rPr>
          <w:sz w:val="21"/>
        </w:rPr>
        <w:t>（</w:t>
      </w:r>
      <w:r>
        <w:rPr>
          <w:spacing w:val="-3"/>
          <w:sz w:val="21"/>
        </w:rPr>
        <w:t>阀</w:t>
      </w:r>
      <w:r>
        <w:rPr>
          <w:sz w:val="21"/>
        </w:rPr>
        <w:t>）</w:t>
      </w:r>
      <w:r>
        <w:rPr>
          <w:spacing w:val="-3"/>
          <w:sz w:val="21"/>
        </w:rPr>
        <w:t>联动，当任何一个排烟口（</w:t>
      </w:r>
      <w:r>
        <w:rPr>
          <w:sz w:val="21"/>
        </w:rPr>
        <w:t>阀</w:t>
      </w:r>
      <w:r>
        <w:rPr>
          <w:spacing w:val="-3"/>
          <w:sz w:val="21"/>
        </w:rPr>
        <w:t>）开启或排风口转为排烟口</w:t>
      </w:r>
      <w:r>
        <w:rPr>
          <w:spacing w:val="-4"/>
          <w:sz w:val="21"/>
        </w:rPr>
        <w:t>时，系统应能自动转为排烟状态；当烟气温度大于</w:t>
      </w:r>
      <w:r>
        <w:rPr>
          <w:spacing w:val="-4"/>
          <w:sz w:val="21"/>
        </w:rPr>
        <w:t xml:space="preserve"> </w:t>
      </w:r>
      <w:r>
        <w:rPr>
          <w:sz w:val="21"/>
        </w:rPr>
        <w:t>280</w:t>
      </w:r>
      <w:r>
        <w:rPr>
          <w:spacing w:val="-3"/>
          <w:sz w:val="21"/>
        </w:rPr>
        <w:t>℃</w:t>
      </w:r>
      <w:r>
        <w:rPr>
          <w:spacing w:val="-3"/>
          <w:sz w:val="21"/>
        </w:rPr>
        <w:t>时，排烟风机应与风机入口处或干管上的防火阀关闭联动关闭。</w:t>
      </w:r>
      <w:r>
        <w:rPr>
          <w:spacing w:val="-3"/>
          <w:sz w:val="21"/>
        </w:rPr>
        <w:t xml:space="preserve"> </w:t>
      </w:r>
    </w:p>
    <w:p w14:paraId="04E3783F" w14:textId="77777777" w:rsidR="00A71EEF" w:rsidRDefault="0081115D">
      <w:pPr>
        <w:pStyle w:val="a4"/>
        <w:numPr>
          <w:ilvl w:val="1"/>
          <w:numId w:val="50"/>
        </w:numPr>
        <w:tabs>
          <w:tab w:val="left" w:pos="1159"/>
        </w:tabs>
        <w:spacing w:line="268" w:lineRule="exact"/>
        <w:ind w:hanging="319"/>
        <w:rPr>
          <w:b/>
          <w:sz w:val="21"/>
        </w:rPr>
      </w:pPr>
      <w:r>
        <w:rPr>
          <w:spacing w:val="-3"/>
          <w:sz w:val="21"/>
        </w:rPr>
        <w:t>区间</w:t>
      </w:r>
      <w:r>
        <w:rPr>
          <w:b/>
          <w:w w:val="99"/>
          <w:sz w:val="21"/>
        </w:rPr>
        <w:t xml:space="preserve"> </w:t>
      </w:r>
    </w:p>
    <w:p w14:paraId="2588A91C" w14:textId="77777777" w:rsidR="00A71EEF" w:rsidRDefault="00A71EEF">
      <w:pPr>
        <w:pStyle w:val="a3"/>
        <w:rPr>
          <w:b/>
          <w:sz w:val="18"/>
        </w:rPr>
      </w:pPr>
    </w:p>
    <w:p w14:paraId="06CC4EB3" w14:textId="77777777" w:rsidR="00A71EEF" w:rsidRDefault="0081115D">
      <w:pPr>
        <w:pStyle w:val="a4"/>
        <w:numPr>
          <w:ilvl w:val="2"/>
          <w:numId w:val="50"/>
        </w:numPr>
        <w:tabs>
          <w:tab w:val="left" w:pos="1370"/>
        </w:tabs>
        <w:spacing w:line="446" w:lineRule="auto"/>
        <w:ind w:left="418" w:right="1604" w:firstLine="422"/>
        <w:rPr>
          <w:sz w:val="21"/>
        </w:rPr>
      </w:pPr>
      <w:r>
        <w:rPr>
          <w:spacing w:val="-3"/>
          <w:sz w:val="21"/>
        </w:rPr>
        <w:t>地下区间的排烟宜采用纵向通风控制方式，采用纵向通风方式确有困难的区段，可采用排烟道</w:t>
      </w:r>
      <w:r>
        <w:rPr>
          <w:sz w:val="21"/>
        </w:rPr>
        <w:t>（</w:t>
      </w:r>
      <w:r>
        <w:rPr>
          <w:spacing w:val="-3"/>
          <w:sz w:val="21"/>
        </w:rPr>
        <w:t>管</w:t>
      </w:r>
      <w:r>
        <w:rPr>
          <w:sz w:val="21"/>
        </w:rPr>
        <w:t>）</w:t>
      </w:r>
      <w:r>
        <w:rPr>
          <w:spacing w:val="-3"/>
          <w:sz w:val="21"/>
        </w:rPr>
        <w:t>进行排烟。地下区间的排烟尚应符合下列规定：</w:t>
      </w:r>
      <w:r>
        <w:rPr>
          <w:sz w:val="21"/>
        </w:rPr>
        <w:t xml:space="preserve"> </w:t>
      </w:r>
    </w:p>
    <w:p w14:paraId="66F3CCFE" w14:textId="77777777" w:rsidR="00A71EEF" w:rsidRDefault="0081115D">
      <w:pPr>
        <w:pStyle w:val="a3"/>
        <w:ind w:left="838"/>
      </w:pPr>
      <w:r>
        <w:t>采用纵向通风时，区间断面的排烟风速不应小于</w:t>
      </w:r>
      <w:r>
        <w:t xml:space="preserve"> 2m/s</w:t>
      </w:r>
      <w:r>
        <w:t>，不得大于</w:t>
      </w:r>
      <w:r>
        <w:t xml:space="preserve"> 11m/s</w:t>
      </w:r>
      <w:r>
        <w:t>；</w:t>
      </w:r>
      <w:r>
        <w:t xml:space="preserve"> </w:t>
      </w:r>
    </w:p>
    <w:p w14:paraId="320C0D4F" w14:textId="77777777" w:rsidR="00A71EEF" w:rsidRDefault="00A71EEF">
      <w:pPr>
        <w:pStyle w:val="a3"/>
        <w:spacing w:before="12"/>
        <w:rPr>
          <w:sz w:val="17"/>
        </w:rPr>
      </w:pPr>
    </w:p>
    <w:p w14:paraId="13674BCB" w14:textId="77777777" w:rsidR="00A71EEF" w:rsidRDefault="0081115D">
      <w:pPr>
        <w:pStyle w:val="a3"/>
        <w:spacing w:line="446" w:lineRule="auto"/>
        <w:ind w:left="418" w:right="1609" w:firstLine="419"/>
      </w:pPr>
      <w:r>
        <w:t>正线区间的通风方向应与乘客疏散方向相反，列车出入线、停车线等无载客轨道区间的通风方向应能使烟气尽快排至室外。</w:t>
      </w:r>
      <w:r>
        <w:t xml:space="preserve"> </w:t>
      </w:r>
    </w:p>
    <w:p w14:paraId="7CD37825" w14:textId="77777777" w:rsidR="00A71EEF" w:rsidRDefault="0081115D">
      <w:pPr>
        <w:pStyle w:val="a4"/>
        <w:numPr>
          <w:ilvl w:val="2"/>
          <w:numId w:val="50"/>
        </w:numPr>
        <w:tabs>
          <w:tab w:val="left" w:pos="1371"/>
        </w:tabs>
        <w:spacing w:before="1" w:line="446" w:lineRule="auto"/>
        <w:ind w:left="418" w:right="1604" w:firstLine="422"/>
        <w:rPr>
          <w:sz w:val="21"/>
        </w:rPr>
      </w:pPr>
      <w:r>
        <w:rPr>
          <w:spacing w:val="-3"/>
          <w:sz w:val="21"/>
        </w:rPr>
        <w:t>地下区间的排烟应考虑相邻区间及出入线、渡线、联络线等对着火区间气流的不利影响。</w:t>
      </w:r>
      <w:r>
        <w:rPr>
          <w:sz w:val="21"/>
        </w:rPr>
        <w:t xml:space="preserve"> </w:t>
      </w:r>
    </w:p>
    <w:p w14:paraId="57B515A2" w14:textId="77777777" w:rsidR="00A71EEF" w:rsidRDefault="0081115D">
      <w:pPr>
        <w:pStyle w:val="a4"/>
        <w:numPr>
          <w:ilvl w:val="2"/>
          <w:numId w:val="50"/>
        </w:numPr>
        <w:tabs>
          <w:tab w:val="left" w:pos="1370"/>
        </w:tabs>
        <w:ind w:left="1369" w:hanging="530"/>
        <w:rPr>
          <w:sz w:val="21"/>
        </w:rPr>
      </w:pPr>
      <w:r>
        <w:rPr>
          <w:spacing w:val="-3"/>
          <w:sz w:val="21"/>
        </w:rPr>
        <w:t>地下区间内排烟射流风机宜备用一组，且不宜吊装在隧道上方。</w:t>
      </w:r>
      <w:r>
        <w:rPr>
          <w:sz w:val="21"/>
        </w:rPr>
        <w:t xml:space="preserve"> </w:t>
      </w:r>
    </w:p>
    <w:p w14:paraId="590BBACC" w14:textId="77777777" w:rsidR="00A71EEF" w:rsidRDefault="00A71EEF">
      <w:pPr>
        <w:pStyle w:val="a3"/>
        <w:spacing w:before="12"/>
        <w:rPr>
          <w:sz w:val="17"/>
        </w:rPr>
      </w:pPr>
    </w:p>
    <w:p w14:paraId="320A00DF" w14:textId="77777777" w:rsidR="00A71EEF" w:rsidRDefault="0081115D">
      <w:pPr>
        <w:pStyle w:val="a4"/>
        <w:numPr>
          <w:ilvl w:val="2"/>
          <w:numId w:val="50"/>
        </w:numPr>
        <w:tabs>
          <w:tab w:val="left" w:pos="1371"/>
        </w:tabs>
        <w:spacing w:line="446" w:lineRule="auto"/>
        <w:ind w:left="418" w:right="1604" w:firstLine="422"/>
        <w:rPr>
          <w:sz w:val="21"/>
        </w:rPr>
      </w:pPr>
      <w:r>
        <w:rPr>
          <w:spacing w:val="-3"/>
          <w:sz w:val="21"/>
        </w:rPr>
        <w:t>两座车站之间正常同时存在两列或两列以上列车同向运行的地下区间，排烟时应能使非着火列车处于无烟区。</w:t>
      </w:r>
      <w:r>
        <w:rPr>
          <w:spacing w:val="-3"/>
          <w:sz w:val="21"/>
        </w:rPr>
        <w:t xml:space="preserve"> </w:t>
      </w:r>
    </w:p>
    <w:p w14:paraId="44D03FE8" w14:textId="77777777" w:rsidR="00A71EEF" w:rsidRDefault="0081115D">
      <w:pPr>
        <w:pStyle w:val="a4"/>
        <w:numPr>
          <w:ilvl w:val="2"/>
          <w:numId w:val="50"/>
        </w:numPr>
        <w:tabs>
          <w:tab w:val="left" w:pos="1371"/>
        </w:tabs>
        <w:spacing w:line="446" w:lineRule="auto"/>
        <w:ind w:left="418" w:right="1604" w:firstLine="422"/>
        <w:rPr>
          <w:sz w:val="21"/>
        </w:rPr>
      </w:pPr>
      <w:r>
        <w:rPr>
          <w:spacing w:val="-3"/>
          <w:sz w:val="21"/>
        </w:rPr>
        <w:t>设置隔声罩的地上区间和路堑式地下区间的排烟应采用自然排烟方式。自然排烟口的</w:t>
      </w:r>
      <w:r>
        <w:rPr>
          <w:spacing w:val="-3"/>
          <w:sz w:val="21"/>
        </w:rPr>
        <w:t>设置应符合下列规定：</w:t>
      </w:r>
      <w:r>
        <w:rPr>
          <w:sz w:val="21"/>
        </w:rPr>
        <w:t xml:space="preserve"> </w:t>
      </w:r>
    </w:p>
    <w:p w14:paraId="04307968" w14:textId="77777777" w:rsidR="00A71EEF" w:rsidRDefault="0081115D">
      <w:pPr>
        <w:pStyle w:val="a3"/>
        <w:spacing w:line="267" w:lineRule="exact"/>
        <w:ind w:left="838"/>
      </w:pPr>
      <w:r>
        <w:t>排烟口应设于区间外墙上方或顶板上，有效面积不应小于该区间水平投影面积的</w:t>
      </w:r>
      <w:r>
        <w:t xml:space="preserve"> 5</w:t>
      </w:r>
      <w:r>
        <w:t>％；</w:t>
      </w:r>
      <w:r>
        <w:t xml:space="preserve"> </w:t>
      </w:r>
    </w:p>
    <w:p w14:paraId="52AE4141" w14:textId="77777777" w:rsidR="00A71EEF" w:rsidRDefault="00A71EEF">
      <w:pPr>
        <w:pStyle w:val="a3"/>
        <w:spacing w:before="1"/>
        <w:rPr>
          <w:sz w:val="18"/>
        </w:rPr>
      </w:pPr>
    </w:p>
    <w:p w14:paraId="020A367B" w14:textId="77777777" w:rsidR="00A71EEF" w:rsidRDefault="0081115D">
      <w:pPr>
        <w:pStyle w:val="a3"/>
        <w:spacing w:before="1"/>
        <w:ind w:left="838"/>
      </w:pPr>
      <w:r>
        <w:t>常闭的自然排烟口应设置自动和手动开启装置。</w:t>
      </w:r>
      <w:r>
        <w:t xml:space="preserve"> </w:t>
      </w:r>
    </w:p>
    <w:p w14:paraId="5CD8B452" w14:textId="77777777" w:rsidR="00A71EEF" w:rsidRDefault="00A71EEF">
      <w:pPr>
        <w:sectPr w:rsidR="00A71EEF">
          <w:pgSz w:w="11910" w:h="16850"/>
          <w:pgMar w:top="1220" w:right="0" w:bottom="1420" w:left="1260" w:header="0" w:footer="1239" w:gutter="0"/>
          <w:cols w:space="720"/>
        </w:sectPr>
      </w:pPr>
    </w:p>
    <w:p w14:paraId="008A8B02" w14:textId="77777777" w:rsidR="00A71EEF" w:rsidRDefault="0081115D">
      <w:pPr>
        <w:pStyle w:val="a4"/>
        <w:numPr>
          <w:ilvl w:val="1"/>
          <w:numId w:val="50"/>
        </w:numPr>
        <w:tabs>
          <w:tab w:val="left" w:pos="1159"/>
        </w:tabs>
        <w:spacing w:before="47"/>
        <w:ind w:hanging="319"/>
        <w:rPr>
          <w:sz w:val="21"/>
        </w:rPr>
      </w:pPr>
      <w:r>
        <w:rPr>
          <w:spacing w:val="-3"/>
          <w:sz w:val="21"/>
        </w:rPr>
        <w:t>排烟设备与管道</w:t>
      </w:r>
      <w:r>
        <w:rPr>
          <w:sz w:val="21"/>
        </w:rPr>
        <w:t xml:space="preserve"> </w:t>
      </w:r>
    </w:p>
    <w:p w14:paraId="5E036E58" w14:textId="77777777" w:rsidR="00A71EEF" w:rsidRDefault="00A71EEF">
      <w:pPr>
        <w:pStyle w:val="a3"/>
        <w:rPr>
          <w:sz w:val="18"/>
        </w:rPr>
      </w:pPr>
    </w:p>
    <w:p w14:paraId="44ACFCA9" w14:textId="77777777" w:rsidR="00A71EEF" w:rsidRDefault="0081115D">
      <w:pPr>
        <w:pStyle w:val="a4"/>
        <w:numPr>
          <w:ilvl w:val="2"/>
          <w:numId w:val="50"/>
        </w:numPr>
        <w:tabs>
          <w:tab w:val="left" w:pos="1370"/>
        </w:tabs>
        <w:spacing w:line="446" w:lineRule="auto"/>
        <w:ind w:left="418" w:right="1604" w:firstLine="422"/>
        <w:jc w:val="both"/>
        <w:rPr>
          <w:sz w:val="21"/>
        </w:rPr>
      </w:pPr>
      <w:r>
        <w:rPr>
          <w:spacing w:val="-3"/>
          <w:sz w:val="21"/>
        </w:rPr>
        <w:t>排烟风机宜设置在排烟区的同层或上层，并宜与补风机、加压送风机分别设置在不同的机房内，排烟管道宜顺气流方向向上坡或水平敷设。地下车站的排烟风机确需与补风机、</w:t>
      </w:r>
      <w:r>
        <w:rPr>
          <w:spacing w:val="-5"/>
          <w:sz w:val="21"/>
        </w:rPr>
        <w:t>加压送风机共用机房时，设置在机房内的排烟管道及其连接件的耐火极限不应低于</w:t>
      </w:r>
      <w:r>
        <w:rPr>
          <w:spacing w:val="-5"/>
          <w:sz w:val="21"/>
        </w:rPr>
        <w:t xml:space="preserve"> </w:t>
      </w:r>
      <w:r>
        <w:rPr>
          <w:sz w:val="21"/>
        </w:rPr>
        <w:t>1.50h</w:t>
      </w:r>
      <w:r>
        <w:rPr>
          <w:spacing w:val="-3"/>
          <w:sz w:val="21"/>
        </w:rPr>
        <w:t>。</w:t>
      </w:r>
      <w:r>
        <w:rPr>
          <w:sz w:val="21"/>
        </w:rPr>
        <w:t xml:space="preserve"> </w:t>
      </w:r>
    </w:p>
    <w:p w14:paraId="3B65CAC4" w14:textId="77777777" w:rsidR="00A71EEF" w:rsidRDefault="0081115D">
      <w:pPr>
        <w:pStyle w:val="a4"/>
        <w:numPr>
          <w:ilvl w:val="2"/>
          <w:numId w:val="50"/>
        </w:numPr>
        <w:tabs>
          <w:tab w:val="left" w:pos="1370"/>
        </w:tabs>
        <w:spacing w:line="446" w:lineRule="auto"/>
        <w:ind w:left="418" w:right="1606" w:firstLine="422"/>
        <w:jc w:val="both"/>
        <w:rPr>
          <w:sz w:val="21"/>
        </w:rPr>
      </w:pPr>
      <w:r>
        <w:rPr>
          <w:spacing w:val="-7"/>
          <w:sz w:val="21"/>
        </w:rPr>
        <w:t>地下车站的排烟风机在</w:t>
      </w:r>
      <w:r>
        <w:rPr>
          <w:spacing w:val="-7"/>
          <w:sz w:val="21"/>
        </w:rPr>
        <w:t xml:space="preserve"> </w:t>
      </w:r>
      <w:r>
        <w:rPr>
          <w:sz w:val="21"/>
        </w:rPr>
        <w:t>280</w:t>
      </w:r>
      <w:r>
        <w:rPr>
          <w:spacing w:val="-7"/>
          <w:sz w:val="21"/>
        </w:rPr>
        <w:t>℃</w:t>
      </w:r>
      <w:r>
        <w:rPr>
          <w:spacing w:val="-7"/>
          <w:sz w:val="21"/>
        </w:rPr>
        <w:t>时应能连续工作不小于</w:t>
      </w:r>
      <w:r>
        <w:rPr>
          <w:spacing w:val="-7"/>
          <w:sz w:val="21"/>
        </w:rPr>
        <w:t xml:space="preserve"> </w:t>
      </w:r>
      <w:r>
        <w:rPr>
          <w:sz w:val="21"/>
        </w:rPr>
        <w:t>1.0h</w:t>
      </w:r>
      <w:r>
        <w:rPr>
          <w:spacing w:val="-3"/>
          <w:sz w:val="21"/>
        </w:rPr>
        <w:t>，地上车站和控制中心及</w:t>
      </w:r>
      <w:r>
        <w:rPr>
          <w:spacing w:val="-7"/>
          <w:sz w:val="21"/>
        </w:rPr>
        <w:t>其他附属建筑的排烟风机在</w:t>
      </w:r>
      <w:r>
        <w:rPr>
          <w:spacing w:val="-7"/>
          <w:sz w:val="21"/>
        </w:rPr>
        <w:t xml:space="preserve"> </w:t>
      </w:r>
      <w:r>
        <w:rPr>
          <w:sz w:val="21"/>
        </w:rPr>
        <w:t>280</w:t>
      </w:r>
      <w:r>
        <w:rPr>
          <w:spacing w:val="-8"/>
          <w:sz w:val="21"/>
        </w:rPr>
        <w:t>℃</w:t>
      </w:r>
      <w:r>
        <w:rPr>
          <w:spacing w:val="-8"/>
          <w:sz w:val="21"/>
        </w:rPr>
        <w:t>时应能连续工作不小于</w:t>
      </w:r>
      <w:r>
        <w:rPr>
          <w:spacing w:val="-8"/>
          <w:sz w:val="21"/>
        </w:rPr>
        <w:t xml:space="preserve"> </w:t>
      </w:r>
      <w:r>
        <w:rPr>
          <w:sz w:val="21"/>
        </w:rPr>
        <w:t>0.5h</w:t>
      </w:r>
      <w:r>
        <w:rPr>
          <w:spacing w:val="-3"/>
          <w:sz w:val="21"/>
        </w:rPr>
        <w:t>。</w:t>
      </w:r>
      <w:r>
        <w:rPr>
          <w:sz w:val="21"/>
        </w:rPr>
        <w:t xml:space="preserve"> </w:t>
      </w:r>
    </w:p>
    <w:p w14:paraId="4B20A635" w14:textId="77777777" w:rsidR="00A71EEF" w:rsidRDefault="0081115D">
      <w:pPr>
        <w:pStyle w:val="a4"/>
        <w:numPr>
          <w:ilvl w:val="2"/>
          <w:numId w:val="50"/>
        </w:numPr>
        <w:tabs>
          <w:tab w:val="left" w:pos="1371"/>
        </w:tabs>
        <w:spacing w:line="446" w:lineRule="auto"/>
        <w:ind w:left="418" w:right="1445" w:firstLine="422"/>
        <w:rPr>
          <w:sz w:val="21"/>
        </w:rPr>
      </w:pPr>
      <w:r>
        <w:rPr>
          <w:spacing w:val="-5"/>
          <w:sz w:val="21"/>
        </w:rPr>
        <w:t>地下区间的排烟风机的运转时间不应小于区间乘客疏散所需的最长时间，且在</w:t>
      </w:r>
      <w:r>
        <w:rPr>
          <w:spacing w:val="-5"/>
          <w:sz w:val="21"/>
        </w:rPr>
        <w:t xml:space="preserve"> </w:t>
      </w:r>
      <w:r>
        <w:rPr>
          <w:sz w:val="21"/>
        </w:rPr>
        <w:t xml:space="preserve">280℃ </w:t>
      </w:r>
      <w:r>
        <w:rPr>
          <w:spacing w:val="-8"/>
          <w:sz w:val="21"/>
        </w:rPr>
        <w:t>时应能连续工作不小于</w:t>
      </w:r>
      <w:r>
        <w:rPr>
          <w:spacing w:val="-8"/>
          <w:sz w:val="21"/>
        </w:rPr>
        <w:t xml:space="preserve"> </w:t>
      </w:r>
      <w:r>
        <w:rPr>
          <w:spacing w:val="-3"/>
          <w:sz w:val="21"/>
        </w:rPr>
        <w:t>1h</w:t>
      </w:r>
      <w:r>
        <w:rPr>
          <w:sz w:val="21"/>
        </w:rPr>
        <w:t>。</w:t>
      </w:r>
      <w:r>
        <w:rPr>
          <w:sz w:val="21"/>
        </w:rPr>
        <w:t xml:space="preserve"> </w:t>
      </w:r>
    </w:p>
    <w:p w14:paraId="3E951366" w14:textId="77777777" w:rsidR="00A71EEF" w:rsidRDefault="0081115D">
      <w:pPr>
        <w:pStyle w:val="a4"/>
        <w:numPr>
          <w:ilvl w:val="2"/>
          <w:numId w:val="50"/>
        </w:numPr>
        <w:tabs>
          <w:tab w:val="left" w:pos="1371"/>
        </w:tabs>
        <w:spacing w:line="446" w:lineRule="auto"/>
        <w:ind w:left="418" w:right="1604" w:firstLine="422"/>
        <w:rPr>
          <w:sz w:val="21"/>
        </w:rPr>
      </w:pPr>
      <w:r>
        <w:rPr>
          <w:spacing w:val="-3"/>
          <w:sz w:val="21"/>
        </w:rPr>
        <w:t>排烟</w:t>
      </w:r>
      <w:r>
        <w:rPr>
          <w:spacing w:val="-3"/>
          <w:sz w:val="21"/>
        </w:rPr>
        <w:t>系统中烟气流经的风阀、消声器和软接头等辅助设备，其耐高温性能不应低于风机的耐高温性能。</w:t>
      </w:r>
      <w:r>
        <w:rPr>
          <w:sz w:val="21"/>
        </w:rPr>
        <w:t xml:space="preserve"> </w:t>
      </w:r>
    </w:p>
    <w:p w14:paraId="78160937" w14:textId="77777777" w:rsidR="00A71EEF" w:rsidRDefault="0081115D">
      <w:pPr>
        <w:pStyle w:val="a4"/>
        <w:numPr>
          <w:ilvl w:val="2"/>
          <w:numId w:val="50"/>
        </w:numPr>
        <w:tabs>
          <w:tab w:val="left" w:pos="1371"/>
        </w:tabs>
        <w:spacing w:line="446" w:lineRule="auto"/>
        <w:ind w:left="418" w:right="1447" w:firstLine="422"/>
        <w:rPr>
          <w:sz w:val="21"/>
        </w:rPr>
      </w:pPr>
      <w:r>
        <w:rPr>
          <w:spacing w:val="-5"/>
          <w:sz w:val="21"/>
        </w:rPr>
        <w:t>火灾时需要运行的风机，从静态转换为事故状态所需时间不应大于</w:t>
      </w:r>
      <w:r>
        <w:rPr>
          <w:spacing w:val="-5"/>
          <w:sz w:val="21"/>
        </w:rPr>
        <w:t xml:space="preserve"> </w:t>
      </w:r>
      <w:r>
        <w:rPr>
          <w:sz w:val="21"/>
        </w:rPr>
        <w:t>30s</w:t>
      </w:r>
      <w:r>
        <w:rPr>
          <w:sz w:val="21"/>
        </w:rPr>
        <w:t>，</w:t>
      </w:r>
      <w:r>
        <w:rPr>
          <w:spacing w:val="-3"/>
          <w:sz w:val="21"/>
        </w:rPr>
        <w:t>从运转状态</w:t>
      </w:r>
      <w:r>
        <w:rPr>
          <w:spacing w:val="-7"/>
          <w:sz w:val="21"/>
        </w:rPr>
        <w:t>转换为事故状态所需时间不应大于</w:t>
      </w:r>
      <w:r>
        <w:rPr>
          <w:spacing w:val="-7"/>
          <w:sz w:val="21"/>
        </w:rPr>
        <w:t xml:space="preserve"> </w:t>
      </w:r>
      <w:r>
        <w:rPr>
          <w:sz w:val="21"/>
        </w:rPr>
        <w:t>60s</w:t>
      </w:r>
      <w:r>
        <w:rPr>
          <w:spacing w:val="-3"/>
          <w:sz w:val="21"/>
        </w:rPr>
        <w:t>。</w:t>
      </w:r>
      <w:r>
        <w:rPr>
          <w:sz w:val="21"/>
        </w:rPr>
        <w:t xml:space="preserve"> </w:t>
      </w:r>
    </w:p>
    <w:p w14:paraId="006C8908" w14:textId="77777777" w:rsidR="00A71EEF" w:rsidRDefault="0081115D">
      <w:pPr>
        <w:pStyle w:val="a4"/>
        <w:numPr>
          <w:ilvl w:val="2"/>
          <w:numId w:val="50"/>
        </w:numPr>
        <w:tabs>
          <w:tab w:val="left" w:pos="1370"/>
        </w:tabs>
        <w:ind w:left="1369" w:hanging="530"/>
        <w:rPr>
          <w:sz w:val="21"/>
        </w:rPr>
      </w:pPr>
      <w:r>
        <w:rPr>
          <w:spacing w:val="-3"/>
          <w:sz w:val="21"/>
        </w:rPr>
        <w:t>火灾时用于风机的保护装置不应影响风机的排烟功能。</w:t>
      </w:r>
      <w:r>
        <w:rPr>
          <w:sz w:val="21"/>
        </w:rPr>
        <w:t xml:space="preserve"> </w:t>
      </w:r>
    </w:p>
    <w:p w14:paraId="5ED1A9BB" w14:textId="77777777" w:rsidR="00A71EEF" w:rsidRDefault="00A71EEF">
      <w:pPr>
        <w:pStyle w:val="a3"/>
        <w:spacing w:before="9"/>
        <w:rPr>
          <w:sz w:val="17"/>
        </w:rPr>
      </w:pPr>
    </w:p>
    <w:p w14:paraId="2C69631F" w14:textId="77777777" w:rsidR="00A71EEF" w:rsidRDefault="0081115D">
      <w:pPr>
        <w:pStyle w:val="a4"/>
        <w:numPr>
          <w:ilvl w:val="2"/>
          <w:numId w:val="50"/>
        </w:numPr>
        <w:tabs>
          <w:tab w:val="left" w:pos="1370"/>
        </w:tabs>
        <w:ind w:left="1369" w:hanging="530"/>
        <w:rPr>
          <w:sz w:val="21"/>
        </w:rPr>
      </w:pPr>
      <w:r>
        <w:rPr>
          <w:spacing w:val="-3"/>
          <w:sz w:val="21"/>
        </w:rPr>
        <w:t>用于防烟与排烟的管道、风口与阀门应符合下列规定：</w:t>
      </w:r>
      <w:r>
        <w:rPr>
          <w:sz w:val="21"/>
        </w:rPr>
        <w:t xml:space="preserve"> </w:t>
      </w:r>
    </w:p>
    <w:p w14:paraId="620C68B0" w14:textId="77777777" w:rsidR="00A71EEF" w:rsidRDefault="00A71EEF">
      <w:pPr>
        <w:pStyle w:val="a3"/>
        <w:rPr>
          <w:sz w:val="18"/>
        </w:rPr>
      </w:pPr>
    </w:p>
    <w:p w14:paraId="11190C45" w14:textId="77777777" w:rsidR="00A71EEF" w:rsidRDefault="0081115D">
      <w:pPr>
        <w:pStyle w:val="a3"/>
        <w:ind w:left="838"/>
      </w:pPr>
      <w:r>
        <w:t>管道、风口与阀门应采用不燃材料制作；</w:t>
      </w:r>
      <w:r>
        <w:t xml:space="preserve"> </w:t>
      </w:r>
    </w:p>
    <w:p w14:paraId="08F86EDD" w14:textId="77777777" w:rsidR="00A71EEF" w:rsidRDefault="00A71EEF">
      <w:pPr>
        <w:pStyle w:val="a3"/>
        <w:spacing w:before="2"/>
        <w:rPr>
          <w:sz w:val="18"/>
        </w:rPr>
      </w:pPr>
    </w:p>
    <w:p w14:paraId="3DC1C5D0" w14:textId="77777777" w:rsidR="00A71EEF" w:rsidRDefault="0081115D">
      <w:pPr>
        <w:pStyle w:val="a3"/>
        <w:spacing w:line="446" w:lineRule="auto"/>
        <w:ind w:left="840" w:right="1604" w:hanging="3"/>
      </w:pPr>
      <w:r>
        <w:t>排烟管道不应穿越前室或楼梯间，必须穿越时，管道的耐火极限不应低于</w:t>
      </w:r>
      <w:r>
        <w:t xml:space="preserve">  2.00h</w:t>
      </w:r>
      <w:r>
        <w:t>。</w:t>
      </w:r>
      <w:r>
        <w:rPr>
          <w:b/>
        </w:rPr>
        <w:t xml:space="preserve">8.4.8 </w:t>
      </w:r>
      <w:r>
        <w:t>除承担轨行区域的防排烟系统外，其他区域的防排烟系统管道应采用金属或其他非</w:t>
      </w:r>
    </w:p>
    <w:p w14:paraId="4DCE98E0" w14:textId="77777777" w:rsidR="00A71EEF" w:rsidRDefault="0081115D">
      <w:pPr>
        <w:pStyle w:val="a3"/>
        <w:spacing w:line="446" w:lineRule="auto"/>
        <w:ind w:left="418" w:right="1391"/>
      </w:pPr>
      <w:r>
        <w:t>土建井道。金属防烟或排烟风管道内的风速不应大于</w:t>
      </w:r>
      <w:r>
        <w:t xml:space="preserve"> 20m/s</w:t>
      </w:r>
      <w:r>
        <w:t>，非金属防烟或排烟管道内的风速不应大于</w:t>
      </w:r>
      <w:r>
        <w:t xml:space="preserve"> 15m/s</w:t>
      </w:r>
      <w:r>
        <w:t>。</w:t>
      </w:r>
      <w:r>
        <w:t xml:space="preserve"> </w:t>
      </w:r>
    </w:p>
    <w:p w14:paraId="09CB9AD3" w14:textId="77777777" w:rsidR="00A71EEF" w:rsidRDefault="0081115D">
      <w:pPr>
        <w:pStyle w:val="a3"/>
        <w:spacing w:line="446" w:lineRule="auto"/>
        <w:ind w:left="418" w:right="1604" w:firstLine="422"/>
      </w:pPr>
      <w:r>
        <w:rPr>
          <w:b/>
        </w:rPr>
        <w:t xml:space="preserve">8.4.9 </w:t>
      </w:r>
      <w:r>
        <w:t>除隧道通风系统外，下列部位应设置防火阀，防火阀的动作温度应根据风管的用途确定：</w:t>
      </w:r>
      <w:r>
        <w:t xml:space="preserve"> </w:t>
      </w:r>
    </w:p>
    <w:p w14:paraId="62FF5523" w14:textId="77777777" w:rsidR="00A71EEF" w:rsidRDefault="0081115D">
      <w:pPr>
        <w:pStyle w:val="a3"/>
        <w:spacing w:line="446" w:lineRule="auto"/>
        <w:ind w:left="838" w:right="5288"/>
      </w:pPr>
      <w:r>
        <w:t>垂直风管与每层水平风管相接处的水平管段上；</w:t>
      </w:r>
      <w:r>
        <w:t xml:space="preserve"> </w:t>
      </w:r>
      <w:r>
        <w:t>排烟风机的入口处；</w:t>
      </w:r>
      <w:r>
        <w:t xml:space="preserve"> </w:t>
      </w:r>
    </w:p>
    <w:p w14:paraId="7871FA4D" w14:textId="77777777" w:rsidR="00A71EEF" w:rsidRDefault="0081115D">
      <w:pPr>
        <w:pStyle w:val="a3"/>
        <w:spacing w:line="446" w:lineRule="auto"/>
        <w:ind w:left="838" w:right="6129"/>
      </w:pPr>
      <w:r>
        <w:t>风管穿越防火分区的防火墙和楼板处；</w:t>
      </w:r>
      <w:r>
        <w:t xml:space="preserve"> </w:t>
      </w:r>
      <w:r>
        <w:t>风管穿越有隔墙的变形缝处。</w:t>
      </w:r>
      <w:r>
        <w:t xml:space="preserve"> </w:t>
      </w:r>
    </w:p>
    <w:p w14:paraId="479C4CF7" w14:textId="77777777" w:rsidR="00A71EEF" w:rsidRDefault="0081115D">
      <w:pPr>
        <w:pStyle w:val="4"/>
        <w:spacing w:line="278" w:lineRule="exact"/>
      </w:pPr>
      <w:r>
        <w:t xml:space="preserve">9 </w:t>
      </w:r>
      <w:r>
        <w:t>火</w:t>
      </w:r>
      <w:r>
        <w:t>灾自动报警</w:t>
      </w:r>
      <w:r>
        <w:rPr>
          <w:w w:val="99"/>
        </w:rPr>
        <w:t xml:space="preserve"> </w:t>
      </w:r>
    </w:p>
    <w:p w14:paraId="52417646" w14:textId="77777777" w:rsidR="00A71EEF" w:rsidRDefault="00A71EEF">
      <w:pPr>
        <w:pStyle w:val="a3"/>
        <w:spacing w:before="12"/>
        <w:rPr>
          <w:b/>
          <w:sz w:val="16"/>
        </w:rPr>
      </w:pPr>
    </w:p>
    <w:p w14:paraId="34632D67" w14:textId="77777777" w:rsidR="00A71EEF" w:rsidRDefault="0081115D">
      <w:pPr>
        <w:pStyle w:val="a4"/>
        <w:numPr>
          <w:ilvl w:val="1"/>
          <w:numId w:val="48"/>
        </w:numPr>
        <w:tabs>
          <w:tab w:val="left" w:pos="1159"/>
        </w:tabs>
        <w:ind w:hanging="319"/>
        <w:rPr>
          <w:b/>
          <w:sz w:val="21"/>
        </w:rPr>
      </w:pPr>
      <w:r>
        <w:rPr>
          <w:spacing w:val="-3"/>
          <w:sz w:val="21"/>
        </w:rPr>
        <w:t>一般规定</w:t>
      </w:r>
      <w:r>
        <w:rPr>
          <w:b/>
          <w:w w:val="99"/>
          <w:sz w:val="21"/>
        </w:rPr>
        <w:t xml:space="preserve"> </w:t>
      </w:r>
    </w:p>
    <w:p w14:paraId="5BD19751" w14:textId="77777777" w:rsidR="00A71EEF" w:rsidRDefault="00A71EEF">
      <w:pPr>
        <w:pStyle w:val="a3"/>
        <w:spacing w:before="2"/>
        <w:rPr>
          <w:b/>
          <w:sz w:val="18"/>
        </w:rPr>
      </w:pPr>
    </w:p>
    <w:p w14:paraId="12A6E288" w14:textId="77777777" w:rsidR="00A71EEF" w:rsidRDefault="0081115D">
      <w:pPr>
        <w:pStyle w:val="a4"/>
        <w:numPr>
          <w:ilvl w:val="2"/>
          <w:numId w:val="48"/>
        </w:numPr>
        <w:tabs>
          <w:tab w:val="left" w:pos="1370"/>
        </w:tabs>
        <w:ind w:hanging="530"/>
        <w:rPr>
          <w:sz w:val="21"/>
        </w:rPr>
      </w:pPr>
      <w:r>
        <w:rPr>
          <w:spacing w:val="-3"/>
          <w:sz w:val="21"/>
        </w:rPr>
        <w:t>车站、地下区间、区间变电所及系统设备用房、主变电所、控制中心、车辆基地应</w:t>
      </w:r>
    </w:p>
    <w:p w14:paraId="274D48A9" w14:textId="77777777" w:rsidR="00A71EEF" w:rsidRDefault="00A71EEF">
      <w:pPr>
        <w:rPr>
          <w:sz w:val="21"/>
        </w:rPr>
        <w:sectPr w:rsidR="00A71EEF">
          <w:footerReference w:type="default" r:id="rId584"/>
          <w:pgSz w:w="11910" w:h="16850"/>
          <w:pgMar w:top="1220" w:right="0" w:bottom="1420" w:left="1260" w:header="0" w:footer="1239" w:gutter="0"/>
          <w:pgNumType w:start="1630"/>
          <w:cols w:space="720"/>
        </w:sectPr>
      </w:pPr>
    </w:p>
    <w:p w14:paraId="5AE93949" w14:textId="77777777" w:rsidR="00A71EEF" w:rsidRDefault="0081115D">
      <w:pPr>
        <w:pStyle w:val="a3"/>
        <w:spacing w:before="47"/>
        <w:ind w:left="418"/>
      </w:pPr>
      <w:r>
        <w:t>设置火灾自动报警系统。</w:t>
      </w:r>
      <w:r>
        <w:t xml:space="preserve"> </w:t>
      </w:r>
    </w:p>
    <w:p w14:paraId="404780B5" w14:textId="77777777" w:rsidR="00A71EEF" w:rsidRDefault="00A71EEF">
      <w:pPr>
        <w:pStyle w:val="a3"/>
        <w:rPr>
          <w:sz w:val="18"/>
        </w:rPr>
      </w:pPr>
    </w:p>
    <w:p w14:paraId="12217BC5" w14:textId="77777777" w:rsidR="00A71EEF" w:rsidRDefault="0081115D">
      <w:pPr>
        <w:pStyle w:val="a4"/>
        <w:numPr>
          <w:ilvl w:val="2"/>
          <w:numId w:val="48"/>
        </w:numPr>
        <w:tabs>
          <w:tab w:val="left" w:pos="1371"/>
        </w:tabs>
        <w:spacing w:line="446" w:lineRule="auto"/>
        <w:ind w:left="418" w:right="1604" w:firstLine="422"/>
        <w:rPr>
          <w:sz w:val="21"/>
        </w:rPr>
      </w:pPr>
      <w:r>
        <w:rPr>
          <w:spacing w:val="-3"/>
          <w:sz w:val="21"/>
        </w:rPr>
        <w:t>正常运行工况需控制的设备，应由环境与设备监控系统直接监控；火灾工况专用的设备，应由火灾自动报警系统直接监控。</w:t>
      </w:r>
      <w:r>
        <w:rPr>
          <w:sz w:val="21"/>
        </w:rPr>
        <w:t xml:space="preserve"> </w:t>
      </w:r>
    </w:p>
    <w:p w14:paraId="2995EA24" w14:textId="77777777" w:rsidR="00A71EEF" w:rsidRDefault="0081115D">
      <w:pPr>
        <w:pStyle w:val="a4"/>
        <w:numPr>
          <w:ilvl w:val="2"/>
          <w:numId w:val="48"/>
        </w:numPr>
        <w:tabs>
          <w:tab w:val="left" w:pos="1370"/>
        </w:tabs>
        <w:spacing w:line="446" w:lineRule="auto"/>
        <w:ind w:left="418" w:right="1604" w:firstLine="422"/>
        <w:rPr>
          <w:sz w:val="21"/>
        </w:rPr>
      </w:pPr>
      <w:r>
        <w:rPr>
          <w:spacing w:val="-3"/>
          <w:sz w:val="21"/>
        </w:rPr>
        <w:t>正常运行与火灾工况均需控制的设备，平时可由环境与设备监控系统直接监控，火灾时应能接收火灾自动报警系统指令，并应优先执行火灾自动报警系统确定的火灾工况。</w:t>
      </w:r>
      <w:r>
        <w:rPr>
          <w:sz w:val="21"/>
        </w:rPr>
        <w:t xml:space="preserve"> </w:t>
      </w:r>
    </w:p>
    <w:p w14:paraId="77443C0B" w14:textId="77777777" w:rsidR="00A71EEF" w:rsidRDefault="0081115D">
      <w:pPr>
        <w:pStyle w:val="a4"/>
        <w:numPr>
          <w:ilvl w:val="2"/>
          <w:numId w:val="48"/>
        </w:numPr>
        <w:tabs>
          <w:tab w:val="left" w:pos="1371"/>
        </w:tabs>
        <w:spacing w:line="446" w:lineRule="auto"/>
        <w:ind w:left="418" w:right="1604" w:firstLine="422"/>
        <w:rPr>
          <w:sz w:val="21"/>
        </w:rPr>
      </w:pPr>
      <w:r>
        <w:rPr>
          <w:spacing w:val="-3"/>
          <w:sz w:val="21"/>
        </w:rPr>
        <w:t>换乘车站的火灾自动报警系统宜集中设置，按线路设置的火灾自动报警系统之间应能相互传输并显示状态信息。</w:t>
      </w:r>
      <w:r>
        <w:rPr>
          <w:sz w:val="21"/>
        </w:rPr>
        <w:t xml:space="preserve"> </w:t>
      </w:r>
    </w:p>
    <w:p w14:paraId="0FC07174" w14:textId="77777777" w:rsidR="00A71EEF" w:rsidRDefault="0081115D">
      <w:pPr>
        <w:pStyle w:val="a4"/>
        <w:numPr>
          <w:ilvl w:val="2"/>
          <w:numId w:val="48"/>
        </w:numPr>
        <w:tabs>
          <w:tab w:val="left" w:pos="1371"/>
        </w:tabs>
        <w:ind w:left="1370" w:hanging="531"/>
        <w:rPr>
          <w:sz w:val="21"/>
        </w:rPr>
      </w:pPr>
      <w:r>
        <w:rPr>
          <w:spacing w:val="-3"/>
          <w:sz w:val="21"/>
        </w:rPr>
        <w:t>车辆基地上部设置其他功能的建筑时，两者的控制中心应能实现信息互通。</w:t>
      </w:r>
      <w:r>
        <w:rPr>
          <w:spacing w:val="-3"/>
          <w:sz w:val="21"/>
        </w:rPr>
        <w:t xml:space="preserve"> </w:t>
      </w:r>
    </w:p>
    <w:p w14:paraId="64CD2191" w14:textId="77777777" w:rsidR="00A71EEF" w:rsidRDefault="00A71EEF">
      <w:pPr>
        <w:pStyle w:val="a3"/>
        <w:spacing w:before="10"/>
        <w:rPr>
          <w:sz w:val="17"/>
        </w:rPr>
      </w:pPr>
    </w:p>
    <w:p w14:paraId="2C8D9AE2" w14:textId="77777777" w:rsidR="00A71EEF" w:rsidRDefault="0081115D">
      <w:pPr>
        <w:pStyle w:val="a4"/>
        <w:numPr>
          <w:ilvl w:val="2"/>
          <w:numId w:val="48"/>
        </w:numPr>
        <w:tabs>
          <w:tab w:val="left" w:pos="1371"/>
        </w:tabs>
        <w:spacing w:line="446" w:lineRule="auto"/>
        <w:ind w:left="418" w:right="1604" w:firstLine="422"/>
        <w:rPr>
          <w:sz w:val="21"/>
        </w:rPr>
      </w:pPr>
      <w:r>
        <w:rPr>
          <w:spacing w:val="-3"/>
          <w:sz w:val="21"/>
        </w:rPr>
        <w:t>地铁工程的火灾自动报警系统应由中央级、车站级或车辆基地级、现场级火灾自动报警系统及相关通信网络组成。</w:t>
      </w:r>
      <w:r>
        <w:rPr>
          <w:sz w:val="21"/>
        </w:rPr>
        <w:t xml:space="preserve"> </w:t>
      </w:r>
    </w:p>
    <w:p w14:paraId="4F7B9675" w14:textId="77777777" w:rsidR="00A71EEF" w:rsidRDefault="0081115D">
      <w:pPr>
        <w:pStyle w:val="a4"/>
        <w:numPr>
          <w:ilvl w:val="1"/>
          <w:numId w:val="48"/>
        </w:numPr>
        <w:tabs>
          <w:tab w:val="left" w:pos="1160"/>
        </w:tabs>
        <w:ind w:left="1159" w:hanging="320"/>
        <w:rPr>
          <w:sz w:val="21"/>
        </w:rPr>
      </w:pPr>
      <w:r>
        <w:rPr>
          <w:spacing w:val="-3"/>
          <w:sz w:val="21"/>
        </w:rPr>
        <w:t>监控管理</w:t>
      </w:r>
      <w:r>
        <w:rPr>
          <w:sz w:val="21"/>
        </w:rPr>
        <w:t xml:space="preserve"> </w:t>
      </w:r>
    </w:p>
    <w:p w14:paraId="5347F5D9" w14:textId="77777777" w:rsidR="00A71EEF" w:rsidRDefault="00A71EEF">
      <w:pPr>
        <w:pStyle w:val="a3"/>
        <w:rPr>
          <w:sz w:val="18"/>
        </w:rPr>
      </w:pPr>
    </w:p>
    <w:p w14:paraId="0AAF5C87" w14:textId="77777777" w:rsidR="00A71EEF" w:rsidRDefault="0081115D">
      <w:pPr>
        <w:pStyle w:val="a4"/>
        <w:numPr>
          <w:ilvl w:val="2"/>
          <w:numId w:val="48"/>
        </w:numPr>
        <w:tabs>
          <w:tab w:val="left" w:pos="1371"/>
        </w:tabs>
        <w:spacing w:line="446" w:lineRule="auto"/>
        <w:ind w:left="418" w:right="1604" w:firstLine="422"/>
        <w:jc w:val="both"/>
        <w:rPr>
          <w:sz w:val="21"/>
        </w:rPr>
      </w:pPr>
      <w:r>
        <w:rPr>
          <w:spacing w:val="-3"/>
          <w:sz w:val="21"/>
        </w:rPr>
        <w:t>中央级火灾自动报警系统，应具备显示全线火灾报警信息和对全线消防设备实行集中控制、故障报警、信息显示、查询打印等功能，并应靠近行车调度设置在控制中心的中央控制室内。中央控制室内的综合显示屏上应能显示全线的火灾信息。</w:t>
      </w:r>
      <w:r>
        <w:rPr>
          <w:sz w:val="21"/>
        </w:rPr>
        <w:t xml:space="preserve"> </w:t>
      </w:r>
    </w:p>
    <w:p w14:paraId="047D6098" w14:textId="77777777" w:rsidR="00A71EEF" w:rsidRDefault="0081115D">
      <w:pPr>
        <w:pStyle w:val="a4"/>
        <w:numPr>
          <w:ilvl w:val="2"/>
          <w:numId w:val="48"/>
        </w:numPr>
        <w:tabs>
          <w:tab w:val="left" w:pos="1370"/>
        </w:tabs>
        <w:spacing w:line="446" w:lineRule="auto"/>
        <w:ind w:left="418" w:right="1604" w:firstLine="422"/>
        <w:jc w:val="both"/>
        <w:rPr>
          <w:sz w:val="21"/>
        </w:rPr>
      </w:pPr>
      <w:r>
        <w:rPr>
          <w:spacing w:val="-3"/>
          <w:sz w:val="21"/>
        </w:rPr>
        <w:t>车站级火灾自动报警系统，应具备对其所管辖范围内车站和相邻区间的消防设备实行监控管理、故障报警、信息显示、查询打印及信息上传控制中心等功能，并应设置在车站控制室内。主变电所宜设置区域报警控制盘，并应纳入邻近车站统一管理。</w:t>
      </w:r>
      <w:r>
        <w:rPr>
          <w:sz w:val="21"/>
        </w:rPr>
        <w:t xml:space="preserve"> </w:t>
      </w:r>
    </w:p>
    <w:p w14:paraId="58EF4783" w14:textId="77777777" w:rsidR="00A71EEF" w:rsidRDefault="0081115D">
      <w:pPr>
        <w:pStyle w:val="a4"/>
        <w:numPr>
          <w:ilvl w:val="2"/>
          <w:numId w:val="48"/>
        </w:numPr>
        <w:tabs>
          <w:tab w:val="left" w:pos="1371"/>
        </w:tabs>
        <w:spacing w:line="446" w:lineRule="auto"/>
        <w:ind w:left="418" w:right="1604" w:firstLine="422"/>
        <w:jc w:val="both"/>
        <w:rPr>
          <w:sz w:val="21"/>
        </w:rPr>
      </w:pPr>
      <w:r>
        <w:rPr>
          <w:spacing w:val="-3"/>
          <w:sz w:val="21"/>
        </w:rPr>
        <w:t>车辆基地级火灾自动报警系统应具备对其所辖范围独立执行消防监控管理，显示整个</w:t>
      </w:r>
      <w:r>
        <w:rPr>
          <w:spacing w:val="-3"/>
          <w:sz w:val="21"/>
        </w:rPr>
        <w:t>车辆基地火灾报警信息和对本辖区进行消防控制、故障报警、信息显示、查询打印及信息上传控制中心等功能，并应设置消防控制室。</w:t>
      </w:r>
      <w:r>
        <w:rPr>
          <w:sz w:val="21"/>
        </w:rPr>
        <w:t xml:space="preserve"> </w:t>
      </w:r>
    </w:p>
    <w:p w14:paraId="6E975171" w14:textId="77777777" w:rsidR="00A71EEF" w:rsidRDefault="0081115D">
      <w:pPr>
        <w:pStyle w:val="a4"/>
        <w:numPr>
          <w:ilvl w:val="2"/>
          <w:numId w:val="48"/>
        </w:numPr>
        <w:tabs>
          <w:tab w:val="left" w:pos="1370"/>
        </w:tabs>
        <w:spacing w:line="446" w:lineRule="auto"/>
        <w:ind w:left="418" w:right="1604" w:firstLine="422"/>
        <w:jc w:val="both"/>
        <w:rPr>
          <w:sz w:val="21"/>
        </w:rPr>
      </w:pPr>
      <w:r>
        <w:rPr>
          <w:spacing w:val="-3"/>
          <w:sz w:val="21"/>
        </w:rPr>
        <w:t>车辆基地的消防控制室宜设置在综合楼或停车列检库等的办公区域内。消防控制室内应设置火灾报警控制器、图形显示终端、打印机等设备，在重要库房或办公区域内应设置区域火灾报警控制器，其他建筑的火灾报警设备和消防联动设备均应纳入邻近的区域火灾报警控制器中。</w:t>
      </w:r>
      <w:r>
        <w:rPr>
          <w:sz w:val="21"/>
        </w:rPr>
        <w:t xml:space="preserve"> </w:t>
      </w:r>
    </w:p>
    <w:p w14:paraId="3E1C489F" w14:textId="77777777" w:rsidR="00A71EEF" w:rsidRDefault="0081115D">
      <w:pPr>
        <w:pStyle w:val="a4"/>
        <w:numPr>
          <w:ilvl w:val="2"/>
          <w:numId w:val="48"/>
        </w:numPr>
        <w:tabs>
          <w:tab w:val="left" w:pos="1370"/>
        </w:tabs>
        <w:spacing w:line="446" w:lineRule="auto"/>
        <w:ind w:left="418" w:right="1604" w:firstLine="422"/>
        <w:rPr>
          <w:sz w:val="21"/>
        </w:rPr>
      </w:pPr>
      <w:r>
        <w:rPr>
          <w:spacing w:val="-3"/>
          <w:sz w:val="21"/>
        </w:rPr>
        <w:t>控制中心建筑内的火灾自动报警系统应设置消防控制室。消防控制室宜与控制中心建筑的监控室合设，但应能对其所辖范围独立执行消防监控管理。</w:t>
      </w:r>
      <w:r>
        <w:rPr>
          <w:sz w:val="21"/>
        </w:rPr>
        <w:t xml:space="preserve"> </w:t>
      </w:r>
    </w:p>
    <w:p w14:paraId="5E1ADD3E" w14:textId="77777777" w:rsidR="00A71EEF" w:rsidRDefault="00A71EEF">
      <w:pPr>
        <w:spacing w:line="446" w:lineRule="auto"/>
        <w:rPr>
          <w:sz w:val="21"/>
        </w:rPr>
        <w:sectPr w:rsidR="00A71EEF">
          <w:pgSz w:w="11910" w:h="16850"/>
          <w:pgMar w:top="1220" w:right="0" w:bottom="1420" w:left="1260" w:header="0" w:footer="1239" w:gutter="0"/>
          <w:cols w:space="720"/>
        </w:sectPr>
      </w:pPr>
    </w:p>
    <w:p w14:paraId="47A6796D" w14:textId="77777777" w:rsidR="00A71EEF" w:rsidRDefault="0081115D">
      <w:pPr>
        <w:pStyle w:val="a4"/>
        <w:numPr>
          <w:ilvl w:val="2"/>
          <w:numId w:val="48"/>
        </w:numPr>
        <w:tabs>
          <w:tab w:val="left" w:pos="1371"/>
        </w:tabs>
        <w:spacing w:before="47" w:line="446" w:lineRule="auto"/>
        <w:ind w:left="418" w:right="1604" w:firstLine="422"/>
        <w:jc w:val="both"/>
        <w:rPr>
          <w:sz w:val="21"/>
        </w:rPr>
      </w:pPr>
      <w:r>
        <w:rPr>
          <w:spacing w:val="-3"/>
          <w:sz w:val="21"/>
        </w:rPr>
        <w:t>现场级火灾自动报警系统网络应独立设置，并应在总线回路中设置短路隔离器，回路中每只总线短路隔离器隔离的火灾探测器、手动火灾报警按钮和模块等消防设备的总数不宜</w:t>
      </w:r>
      <w:r>
        <w:rPr>
          <w:spacing w:val="-20"/>
          <w:sz w:val="21"/>
        </w:rPr>
        <w:t>大于</w:t>
      </w:r>
      <w:r>
        <w:rPr>
          <w:spacing w:val="-20"/>
          <w:sz w:val="21"/>
        </w:rPr>
        <w:t xml:space="preserve"> </w:t>
      </w:r>
      <w:r>
        <w:rPr>
          <w:sz w:val="21"/>
        </w:rPr>
        <w:t>32</w:t>
      </w:r>
      <w:r>
        <w:rPr>
          <w:spacing w:val="-20"/>
          <w:sz w:val="21"/>
        </w:rPr>
        <w:t xml:space="preserve"> </w:t>
      </w:r>
      <w:r>
        <w:rPr>
          <w:spacing w:val="-20"/>
          <w:sz w:val="21"/>
        </w:rPr>
        <w:t>个。</w:t>
      </w:r>
      <w:r>
        <w:rPr>
          <w:sz w:val="21"/>
        </w:rPr>
        <w:t xml:space="preserve"> </w:t>
      </w:r>
    </w:p>
    <w:p w14:paraId="588D25A2" w14:textId="77777777" w:rsidR="00A71EEF" w:rsidRDefault="0081115D">
      <w:pPr>
        <w:pStyle w:val="a4"/>
        <w:numPr>
          <w:ilvl w:val="2"/>
          <w:numId w:val="48"/>
        </w:numPr>
        <w:tabs>
          <w:tab w:val="left" w:pos="1371"/>
        </w:tabs>
        <w:spacing w:line="446" w:lineRule="auto"/>
        <w:ind w:left="418" w:right="1604" w:firstLine="422"/>
        <w:rPr>
          <w:sz w:val="21"/>
        </w:rPr>
      </w:pPr>
      <w:r>
        <w:rPr>
          <w:spacing w:val="-3"/>
          <w:sz w:val="21"/>
        </w:rPr>
        <w:t>设置在控制中心、车站、车辆基地的火灾报警控制器，应通过骨干信息传输网络连通。骨干信息传输网络宜采用独立的光纤网络或公共传输网络专用通道。</w:t>
      </w:r>
      <w:r>
        <w:rPr>
          <w:sz w:val="21"/>
        </w:rPr>
        <w:t xml:space="preserve"> </w:t>
      </w:r>
    </w:p>
    <w:p w14:paraId="39E9AC4A" w14:textId="77777777" w:rsidR="00A71EEF" w:rsidRDefault="0081115D">
      <w:pPr>
        <w:pStyle w:val="a4"/>
        <w:numPr>
          <w:ilvl w:val="1"/>
          <w:numId w:val="48"/>
        </w:numPr>
        <w:tabs>
          <w:tab w:val="left" w:pos="1160"/>
        </w:tabs>
        <w:spacing w:line="267" w:lineRule="exact"/>
        <w:ind w:left="1159" w:hanging="320"/>
        <w:rPr>
          <w:b/>
          <w:sz w:val="21"/>
        </w:rPr>
      </w:pPr>
      <w:r>
        <w:rPr>
          <w:spacing w:val="-3"/>
          <w:sz w:val="21"/>
        </w:rPr>
        <w:t>火灾探测器</w:t>
      </w:r>
      <w:r>
        <w:rPr>
          <w:b/>
          <w:w w:val="99"/>
          <w:sz w:val="21"/>
        </w:rPr>
        <w:t xml:space="preserve"> </w:t>
      </w:r>
    </w:p>
    <w:p w14:paraId="54837710" w14:textId="77777777" w:rsidR="00A71EEF" w:rsidRDefault="00A71EEF">
      <w:pPr>
        <w:pStyle w:val="a3"/>
        <w:spacing w:before="1"/>
        <w:rPr>
          <w:b/>
          <w:sz w:val="18"/>
        </w:rPr>
      </w:pPr>
    </w:p>
    <w:p w14:paraId="527B7508" w14:textId="77777777" w:rsidR="00A71EEF" w:rsidRDefault="0081115D">
      <w:pPr>
        <w:pStyle w:val="a4"/>
        <w:numPr>
          <w:ilvl w:val="2"/>
          <w:numId w:val="48"/>
        </w:numPr>
        <w:tabs>
          <w:tab w:val="left" w:pos="1370"/>
        </w:tabs>
        <w:ind w:hanging="530"/>
        <w:rPr>
          <w:sz w:val="21"/>
        </w:rPr>
      </w:pPr>
      <w:r>
        <w:rPr>
          <w:spacing w:val="-3"/>
          <w:sz w:val="21"/>
        </w:rPr>
        <w:t>下列场所应设置火灾探测器，并宜选用感烟火灾探测器：</w:t>
      </w:r>
      <w:r>
        <w:rPr>
          <w:sz w:val="21"/>
        </w:rPr>
        <w:t xml:space="preserve"> </w:t>
      </w:r>
    </w:p>
    <w:p w14:paraId="6545940A" w14:textId="77777777" w:rsidR="00A71EEF" w:rsidRDefault="00A71EEF">
      <w:pPr>
        <w:pStyle w:val="a3"/>
        <w:rPr>
          <w:sz w:val="18"/>
        </w:rPr>
      </w:pPr>
    </w:p>
    <w:p w14:paraId="394D1F32" w14:textId="77777777" w:rsidR="00A71EEF" w:rsidRDefault="0081115D">
      <w:pPr>
        <w:pStyle w:val="a3"/>
        <w:ind w:left="838"/>
      </w:pPr>
      <w:r>
        <w:t>车站公共区；</w:t>
      </w:r>
      <w:r>
        <w:t xml:space="preserve"> </w:t>
      </w:r>
    </w:p>
    <w:p w14:paraId="5EB299A7" w14:textId="77777777" w:rsidR="00A71EEF" w:rsidRDefault="00A71EEF">
      <w:pPr>
        <w:pStyle w:val="a3"/>
        <w:rPr>
          <w:sz w:val="18"/>
        </w:rPr>
      </w:pPr>
    </w:p>
    <w:p w14:paraId="04BD895E" w14:textId="77777777" w:rsidR="00A71EEF" w:rsidRDefault="0081115D">
      <w:pPr>
        <w:pStyle w:val="a3"/>
        <w:ind w:left="838"/>
      </w:pPr>
      <w:r>
        <w:t>车站的设备管理区内的房间、电梯井道上部；</w:t>
      </w:r>
      <w:r>
        <w:t xml:space="preserve"> </w:t>
      </w:r>
    </w:p>
    <w:p w14:paraId="764B8BA0" w14:textId="77777777" w:rsidR="00A71EEF" w:rsidRDefault="00A71EEF">
      <w:pPr>
        <w:pStyle w:val="a3"/>
        <w:spacing w:before="2"/>
        <w:rPr>
          <w:sz w:val="18"/>
        </w:rPr>
      </w:pPr>
    </w:p>
    <w:p w14:paraId="4B3866F8" w14:textId="77777777" w:rsidR="00A71EEF" w:rsidRDefault="0081115D">
      <w:pPr>
        <w:pStyle w:val="a3"/>
        <w:spacing w:line="446" w:lineRule="auto"/>
        <w:ind w:left="838" w:right="1505"/>
      </w:pPr>
      <w:r>
        <w:rPr>
          <w:spacing w:val="-6"/>
        </w:rPr>
        <w:t>地下车站设备管理区内长度大于</w:t>
      </w:r>
      <w:r>
        <w:rPr>
          <w:spacing w:val="-6"/>
        </w:rPr>
        <w:t xml:space="preserve"> </w:t>
      </w:r>
      <w:r>
        <w:t>20m</w:t>
      </w:r>
      <w:r>
        <w:rPr>
          <w:spacing w:val="-12"/>
        </w:rPr>
        <w:t xml:space="preserve"> </w:t>
      </w:r>
      <w:r>
        <w:rPr>
          <w:spacing w:val="-12"/>
        </w:rPr>
        <w:t>的走道、长度大于</w:t>
      </w:r>
      <w:r>
        <w:rPr>
          <w:spacing w:val="-12"/>
        </w:rPr>
        <w:t xml:space="preserve"> </w:t>
      </w:r>
      <w:r>
        <w:t>60m</w:t>
      </w:r>
      <w:r>
        <w:rPr>
          <w:spacing w:val="-9"/>
        </w:rPr>
        <w:t xml:space="preserve"> </w:t>
      </w:r>
      <w:r>
        <w:rPr>
          <w:spacing w:val="-9"/>
        </w:rPr>
        <w:t>的地下连通道和出入口通道；</w:t>
      </w:r>
      <w:r>
        <w:rPr>
          <w:spacing w:val="-9"/>
        </w:rPr>
        <w:t xml:space="preserve"> </w:t>
      </w:r>
      <w:r>
        <w:rPr>
          <w:spacing w:val="-3"/>
        </w:rPr>
        <w:t>主变电所的设备间；</w:t>
      </w:r>
      <w:r>
        <w:t xml:space="preserve"> </w:t>
      </w:r>
    </w:p>
    <w:p w14:paraId="4DD31D06" w14:textId="77777777" w:rsidR="00A71EEF" w:rsidRDefault="0081115D">
      <w:pPr>
        <w:pStyle w:val="a3"/>
        <w:spacing w:line="446" w:lineRule="auto"/>
        <w:ind w:left="840" w:right="4026" w:hanging="3"/>
      </w:pPr>
      <w:r>
        <w:t>车辆基地的综合楼、信号楼、变电所和其他设备间、办公室。</w:t>
      </w:r>
      <w:r>
        <w:rPr>
          <w:b/>
        </w:rPr>
        <w:t xml:space="preserve">9.3.2 </w:t>
      </w:r>
      <w:r>
        <w:t>防火卷帘两侧应设置感烟火灾探测器。</w:t>
      </w:r>
      <w:r>
        <w:t xml:space="preserve"> </w:t>
      </w:r>
    </w:p>
    <w:p w14:paraId="370D3C5B" w14:textId="77777777" w:rsidR="00A71EEF" w:rsidRDefault="0081115D">
      <w:pPr>
        <w:pStyle w:val="a4"/>
        <w:numPr>
          <w:ilvl w:val="2"/>
          <w:numId w:val="47"/>
        </w:numPr>
        <w:tabs>
          <w:tab w:val="left" w:pos="1371"/>
        </w:tabs>
        <w:rPr>
          <w:sz w:val="21"/>
        </w:rPr>
      </w:pPr>
      <w:r>
        <w:rPr>
          <w:spacing w:val="-3"/>
          <w:sz w:val="21"/>
        </w:rPr>
        <w:t>茶水间应设置火灾探测器，并宜采用感温火灾探测器。</w:t>
      </w:r>
      <w:r>
        <w:rPr>
          <w:sz w:val="21"/>
        </w:rPr>
        <w:t xml:space="preserve"> </w:t>
      </w:r>
    </w:p>
    <w:p w14:paraId="11D14C59" w14:textId="77777777" w:rsidR="00A71EEF" w:rsidRDefault="00A71EEF">
      <w:pPr>
        <w:pStyle w:val="a3"/>
        <w:spacing w:before="10"/>
        <w:rPr>
          <w:sz w:val="17"/>
        </w:rPr>
      </w:pPr>
    </w:p>
    <w:p w14:paraId="256AAB48" w14:textId="77777777" w:rsidR="00A71EEF" w:rsidRDefault="0081115D">
      <w:pPr>
        <w:pStyle w:val="a4"/>
        <w:numPr>
          <w:ilvl w:val="2"/>
          <w:numId w:val="47"/>
        </w:numPr>
        <w:tabs>
          <w:tab w:val="left" w:pos="1371"/>
        </w:tabs>
        <w:spacing w:line="446" w:lineRule="auto"/>
        <w:ind w:left="418" w:right="1604" w:firstLine="422"/>
        <w:rPr>
          <w:sz w:val="21"/>
        </w:rPr>
      </w:pPr>
      <w:r>
        <w:rPr>
          <w:spacing w:val="-3"/>
          <w:sz w:val="21"/>
        </w:rPr>
        <w:t>站台下的电缆通道、变电所电缆夹层的电缆桥架上应设置火灾探测器，并宜采用线型感温火灾探测器。</w:t>
      </w:r>
      <w:r>
        <w:rPr>
          <w:sz w:val="21"/>
        </w:rPr>
        <w:t xml:space="preserve"> </w:t>
      </w:r>
    </w:p>
    <w:p w14:paraId="08399E6F" w14:textId="77777777" w:rsidR="00A71EEF" w:rsidRDefault="0081115D">
      <w:pPr>
        <w:pStyle w:val="a4"/>
        <w:numPr>
          <w:ilvl w:val="2"/>
          <w:numId w:val="47"/>
        </w:numPr>
        <w:tabs>
          <w:tab w:val="left" w:pos="1371"/>
        </w:tabs>
        <w:spacing w:line="446" w:lineRule="auto"/>
        <w:ind w:left="418" w:right="1604" w:firstLine="422"/>
        <w:jc w:val="both"/>
        <w:rPr>
          <w:sz w:val="21"/>
        </w:rPr>
      </w:pPr>
      <w:r>
        <w:rPr>
          <w:spacing w:val="-3"/>
          <w:sz w:val="21"/>
        </w:rPr>
        <w:t>车辆基地的停车库、列检库、停车列检库、运用库、联合检修库及物资库等库房应设置火灾探测器，其中的大空间场所宜采用吸气式空气采样探测器、红外光束感烟火灾探测器及可视烟雾图像探测器等。</w:t>
      </w:r>
      <w:r>
        <w:rPr>
          <w:spacing w:val="-3"/>
          <w:sz w:val="21"/>
        </w:rPr>
        <w:t xml:space="preserve"> </w:t>
      </w:r>
    </w:p>
    <w:p w14:paraId="257FC16C" w14:textId="77777777" w:rsidR="00A71EEF" w:rsidRDefault="0081115D">
      <w:pPr>
        <w:pStyle w:val="a4"/>
        <w:numPr>
          <w:ilvl w:val="1"/>
          <w:numId w:val="48"/>
        </w:numPr>
        <w:tabs>
          <w:tab w:val="left" w:pos="1159"/>
        </w:tabs>
        <w:spacing w:line="268" w:lineRule="exact"/>
        <w:ind w:hanging="319"/>
        <w:rPr>
          <w:sz w:val="21"/>
        </w:rPr>
      </w:pPr>
      <w:r>
        <w:rPr>
          <w:spacing w:val="-3"/>
          <w:sz w:val="21"/>
        </w:rPr>
        <w:t>报警及警报装置</w:t>
      </w:r>
      <w:r>
        <w:rPr>
          <w:sz w:val="21"/>
        </w:rPr>
        <w:t xml:space="preserve"> </w:t>
      </w:r>
    </w:p>
    <w:p w14:paraId="312C0F72" w14:textId="77777777" w:rsidR="00A71EEF" w:rsidRDefault="00A71EEF">
      <w:pPr>
        <w:pStyle w:val="a3"/>
        <w:spacing w:before="12"/>
        <w:rPr>
          <w:sz w:val="17"/>
        </w:rPr>
      </w:pPr>
    </w:p>
    <w:p w14:paraId="02595FA2" w14:textId="77777777" w:rsidR="00A71EEF" w:rsidRDefault="0081115D">
      <w:pPr>
        <w:pStyle w:val="a4"/>
        <w:numPr>
          <w:ilvl w:val="2"/>
          <w:numId w:val="48"/>
        </w:numPr>
        <w:tabs>
          <w:tab w:val="left" w:pos="1370"/>
        </w:tabs>
        <w:ind w:hanging="530"/>
        <w:rPr>
          <w:sz w:val="21"/>
        </w:rPr>
      </w:pPr>
      <w:r>
        <w:rPr>
          <w:spacing w:val="-3"/>
          <w:sz w:val="21"/>
        </w:rPr>
        <w:t>下列部位应设置带地址的手动报警按钮：</w:t>
      </w:r>
      <w:r>
        <w:rPr>
          <w:sz w:val="21"/>
        </w:rPr>
        <w:t xml:space="preserve"> </w:t>
      </w:r>
    </w:p>
    <w:p w14:paraId="39B68DD0" w14:textId="77777777" w:rsidR="00A71EEF" w:rsidRDefault="00A71EEF">
      <w:pPr>
        <w:pStyle w:val="a3"/>
        <w:spacing w:before="2"/>
        <w:rPr>
          <w:sz w:val="18"/>
        </w:rPr>
      </w:pPr>
    </w:p>
    <w:p w14:paraId="2B6B34BD" w14:textId="77777777" w:rsidR="00A71EEF" w:rsidRDefault="0081115D">
      <w:pPr>
        <w:pStyle w:val="a3"/>
        <w:spacing w:line="446" w:lineRule="auto"/>
        <w:ind w:left="838" w:right="3186"/>
      </w:pPr>
      <w:r>
        <w:rPr>
          <w:spacing w:val="-3"/>
        </w:rPr>
        <w:t>车站公共区、设备管理区、车辆基地内的设备区和办公区、主变电所；</w:t>
      </w:r>
      <w:r>
        <w:rPr>
          <w:spacing w:val="-3"/>
        </w:rPr>
        <w:t xml:space="preserve"> </w:t>
      </w:r>
      <w:r>
        <w:rPr>
          <w:spacing w:val="-3"/>
        </w:rPr>
        <w:t>地下区间纵向疏散平台的侧壁上；</w:t>
      </w:r>
      <w:r>
        <w:t xml:space="preserve"> </w:t>
      </w:r>
    </w:p>
    <w:p w14:paraId="4AD30EC7" w14:textId="77777777" w:rsidR="00A71EEF" w:rsidRDefault="0081115D">
      <w:pPr>
        <w:pStyle w:val="a3"/>
        <w:spacing w:line="267" w:lineRule="exact"/>
        <w:ind w:left="838"/>
      </w:pPr>
      <w:r>
        <w:t>其他长度大于</w:t>
      </w:r>
      <w:r>
        <w:t xml:space="preserve"> 30m </w:t>
      </w:r>
      <w:r>
        <w:t>的封闭疏散通道。</w:t>
      </w:r>
      <w:r>
        <w:t xml:space="preserve"> </w:t>
      </w:r>
    </w:p>
    <w:p w14:paraId="1DEAB326" w14:textId="77777777" w:rsidR="00A71EEF" w:rsidRDefault="00A71EEF">
      <w:pPr>
        <w:pStyle w:val="a3"/>
        <w:spacing w:before="2"/>
        <w:rPr>
          <w:sz w:val="18"/>
        </w:rPr>
      </w:pPr>
    </w:p>
    <w:p w14:paraId="4FE77DE3" w14:textId="77777777" w:rsidR="00A71EEF" w:rsidRDefault="0081115D">
      <w:pPr>
        <w:pStyle w:val="a4"/>
        <w:numPr>
          <w:ilvl w:val="2"/>
          <w:numId w:val="48"/>
        </w:numPr>
        <w:tabs>
          <w:tab w:val="left" w:pos="1370"/>
        </w:tabs>
        <w:ind w:hanging="530"/>
        <w:rPr>
          <w:sz w:val="21"/>
        </w:rPr>
      </w:pPr>
      <w:r>
        <w:rPr>
          <w:spacing w:val="-3"/>
          <w:sz w:val="21"/>
        </w:rPr>
        <w:t>车站内的消火栓箱旁应设置带地址的手动报警按钮。</w:t>
      </w:r>
      <w:r>
        <w:rPr>
          <w:sz w:val="21"/>
        </w:rPr>
        <w:t xml:space="preserve"> </w:t>
      </w:r>
    </w:p>
    <w:p w14:paraId="7ED5596F" w14:textId="77777777" w:rsidR="00A71EEF" w:rsidRDefault="00A71EEF">
      <w:pPr>
        <w:pStyle w:val="a3"/>
        <w:rPr>
          <w:sz w:val="18"/>
        </w:rPr>
      </w:pPr>
    </w:p>
    <w:p w14:paraId="59D4EDB6" w14:textId="77777777" w:rsidR="00A71EEF" w:rsidRDefault="0081115D">
      <w:pPr>
        <w:pStyle w:val="a4"/>
        <w:numPr>
          <w:ilvl w:val="2"/>
          <w:numId w:val="48"/>
        </w:numPr>
        <w:tabs>
          <w:tab w:val="left" w:pos="1370"/>
        </w:tabs>
        <w:ind w:hanging="530"/>
        <w:rPr>
          <w:b/>
          <w:sz w:val="21"/>
        </w:rPr>
      </w:pPr>
      <w:r>
        <w:rPr>
          <w:spacing w:val="-3"/>
          <w:sz w:val="21"/>
        </w:rPr>
        <w:t>车站公共区和设备管理区内应设置火灾报警警铃。</w:t>
      </w:r>
      <w:r>
        <w:rPr>
          <w:b/>
          <w:w w:val="99"/>
          <w:sz w:val="21"/>
        </w:rPr>
        <w:t xml:space="preserve"> </w:t>
      </w:r>
    </w:p>
    <w:p w14:paraId="58B038A8" w14:textId="77777777" w:rsidR="00A71EEF" w:rsidRDefault="00A71EEF">
      <w:pPr>
        <w:pStyle w:val="a3"/>
        <w:spacing w:before="12"/>
        <w:rPr>
          <w:b/>
          <w:sz w:val="17"/>
        </w:rPr>
      </w:pPr>
    </w:p>
    <w:p w14:paraId="7B7A6131" w14:textId="77777777" w:rsidR="00A71EEF" w:rsidRDefault="0081115D">
      <w:pPr>
        <w:pStyle w:val="a4"/>
        <w:numPr>
          <w:ilvl w:val="2"/>
          <w:numId w:val="48"/>
        </w:numPr>
        <w:tabs>
          <w:tab w:val="left" w:pos="1370"/>
        </w:tabs>
        <w:ind w:hanging="530"/>
        <w:rPr>
          <w:sz w:val="21"/>
        </w:rPr>
      </w:pPr>
      <w:r>
        <w:rPr>
          <w:spacing w:val="-3"/>
          <w:sz w:val="21"/>
        </w:rPr>
        <w:t>火灾报警警铃应设置在走道</w:t>
      </w:r>
      <w:r>
        <w:rPr>
          <w:spacing w:val="-3"/>
          <w:sz w:val="21"/>
        </w:rPr>
        <w:t>靠近楼梯出口处和经常有人工作的部位。</w:t>
      </w:r>
      <w:r>
        <w:rPr>
          <w:spacing w:val="-3"/>
          <w:sz w:val="21"/>
        </w:rPr>
        <w:t xml:space="preserve"> </w:t>
      </w:r>
    </w:p>
    <w:p w14:paraId="20EF7EAD" w14:textId="77777777" w:rsidR="00A71EEF" w:rsidRDefault="00A71EEF">
      <w:pPr>
        <w:pStyle w:val="a3"/>
        <w:spacing w:before="2"/>
        <w:rPr>
          <w:sz w:val="18"/>
        </w:rPr>
      </w:pPr>
    </w:p>
    <w:p w14:paraId="1EDB7FA7" w14:textId="77777777" w:rsidR="00A71EEF" w:rsidRDefault="0081115D">
      <w:pPr>
        <w:pStyle w:val="a4"/>
        <w:numPr>
          <w:ilvl w:val="1"/>
          <w:numId w:val="48"/>
        </w:numPr>
        <w:tabs>
          <w:tab w:val="left" w:pos="1159"/>
        </w:tabs>
        <w:ind w:hanging="319"/>
        <w:rPr>
          <w:b/>
          <w:sz w:val="21"/>
        </w:rPr>
      </w:pPr>
      <w:r>
        <w:rPr>
          <w:spacing w:val="-3"/>
          <w:sz w:val="21"/>
        </w:rPr>
        <w:t>消防联动控制</w:t>
      </w:r>
      <w:r>
        <w:rPr>
          <w:b/>
          <w:w w:val="99"/>
          <w:sz w:val="21"/>
        </w:rPr>
        <w:t xml:space="preserve"> </w:t>
      </w:r>
    </w:p>
    <w:p w14:paraId="65BCE41C" w14:textId="77777777" w:rsidR="00A71EEF" w:rsidRDefault="00A71EEF">
      <w:pPr>
        <w:rPr>
          <w:sz w:val="21"/>
        </w:rPr>
        <w:sectPr w:rsidR="00A71EEF">
          <w:pgSz w:w="11910" w:h="16850"/>
          <w:pgMar w:top="1220" w:right="0" w:bottom="1420" w:left="1260" w:header="0" w:footer="1239" w:gutter="0"/>
          <w:cols w:space="720"/>
        </w:sectPr>
      </w:pPr>
    </w:p>
    <w:p w14:paraId="1A87FA17" w14:textId="77777777" w:rsidR="00A71EEF" w:rsidRDefault="0081115D">
      <w:pPr>
        <w:pStyle w:val="a4"/>
        <w:numPr>
          <w:ilvl w:val="2"/>
          <w:numId w:val="48"/>
        </w:numPr>
        <w:tabs>
          <w:tab w:val="left" w:pos="1370"/>
        </w:tabs>
        <w:spacing w:before="47" w:line="446" w:lineRule="auto"/>
        <w:ind w:left="418" w:right="1813" w:firstLine="422"/>
        <w:rPr>
          <w:sz w:val="21"/>
        </w:rPr>
      </w:pPr>
      <w:r>
        <w:rPr>
          <w:spacing w:val="-3"/>
          <w:sz w:val="21"/>
        </w:rPr>
        <w:t>消防控制设备宜采用集中控制方式，其动作状态信号应能在消防控制室显示、记录。消防水泵、专用防烟和排烟风机的控制设备应具有自动控制和手动控制方式。</w:t>
      </w:r>
      <w:r>
        <w:rPr>
          <w:sz w:val="21"/>
        </w:rPr>
        <w:t xml:space="preserve"> </w:t>
      </w:r>
    </w:p>
    <w:p w14:paraId="6D91F7C1" w14:textId="77777777" w:rsidR="00A71EEF" w:rsidRDefault="0081115D">
      <w:pPr>
        <w:pStyle w:val="a4"/>
        <w:numPr>
          <w:ilvl w:val="2"/>
          <w:numId w:val="48"/>
        </w:numPr>
        <w:tabs>
          <w:tab w:val="left" w:pos="1371"/>
        </w:tabs>
        <w:spacing w:line="267" w:lineRule="exact"/>
        <w:ind w:left="1370" w:hanging="531"/>
        <w:rPr>
          <w:sz w:val="21"/>
        </w:rPr>
      </w:pPr>
      <w:r>
        <w:rPr>
          <w:spacing w:val="-3"/>
          <w:sz w:val="21"/>
        </w:rPr>
        <w:t>防烟和排烟系统的控制应能在火灾确认后实现下列功能：</w:t>
      </w:r>
      <w:r>
        <w:rPr>
          <w:sz w:val="21"/>
        </w:rPr>
        <w:t xml:space="preserve"> </w:t>
      </w:r>
    </w:p>
    <w:p w14:paraId="13DA982F" w14:textId="77777777" w:rsidR="00A71EEF" w:rsidRDefault="00A71EEF">
      <w:pPr>
        <w:pStyle w:val="a3"/>
        <w:spacing w:before="2"/>
        <w:rPr>
          <w:sz w:val="18"/>
        </w:rPr>
      </w:pPr>
    </w:p>
    <w:p w14:paraId="440CFA4C" w14:textId="77777777" w:rsidR="00A71EEF" w:rsidRDefault="0081115D">
      <w:pPr>
        <w:pStyle w:val="a3"/>
        <w:ind w:left="838"/>
      </w:pPr>
      <w:r>
        <w:t>控制防烟和排烟风机、排烟阀、防火阀，并接收其状态反馈信息；</w:t>
      </w:r>
      <w:r>
        <w:t xml:space="preserve"> </w:t>
      </w:r>
    </w:p>
    <w:p w14:paraId="40EB0A6E" w14:textId="77777777" w:rsidR="00A71EEF" w:rsidRDefault="00A71EEF">
      <w:pPr>
        <w:pStyle w:val="a3"/>
        <w:rPr>
          <w:sz w:val="18"/>
        </w:rPr>
      </w:pPr>
    </w:p>
    <w:p w14:paraId="13FBE91E" w14:textId="77777777" w:rsidR="00A71EEF" w:rsidRDefault="0081115D">
      <w:pPr>
        <w:pStyle w:val="a3"/>
        <w:spacing w:line="446" w:lineRule="auto"/>
        <w:ind w:left="418" w:right="1609" w:firstLine="419"/>
      </w:pPr>
      <w:r>
        <w:t>直接向环境与设备监控系统发出报警信息及模式指令，由环境与设备监控系统自动启动防烟和排烟与正常通风合用的设备转入火灾控制模式，并接收模式控制反馈信息；</w:t>
      </w:r>
      <w:r>
        <w:t xml:space="preserve"> </w:t>
      </w:r>
    </w:p>
    <w:p w14:paraId="422ADE7E" w14:textId="77777777" w:rsidR="00A71EEF" w:rsidRDefault="0081115D">
      <w:pPr>
        <w:pStyle w:val="a3"/>
        <w:spacing w:line="446" w:lineRule="auto"/>
        <w:ind w:left="418" w:right="1609" w:firstLine="419"/>
        <w:jc w:val="both"/>
      </w:pPr>
      <w:r>
        <w:t>根据控制中心确定的地下区间乘客疏散方向，直接向环境与设备监控系统发出报警信息及模式指令，由环境与设备监控系统自动控制区间两端的事故风机及其风阀转入火灾控制模式，</w:t>
      </w:r>
      <w:r>
        <w:t xml:space="preserve"> </w:t>
      </w:r>
      <w:r>
        <w:t>并接收模式控制反馈信息。</w:t>
      </w:r>
      <w:r>
        <w:t xml:space="preserve"> </w:t>
      </w:r>
    </w:p>
    <w:p w14:paraId="01A66344" w14:textId="77777777" w:rsidR="00A71EEF" w:rsidRDefault="0081115D">
      <w:pPr>
        <w:pStyle w:val="a4"/>
        <w:numPr>
          <w:ilvl w:val="2"/>
          <w:numId w:val="48"/>
        </w:numPr>
        <w:tabs>
          <w:tab w:val="left" w:pos="1371"/>
        </w:tabs>
        <w:spacing w:line="446" w:lineRule="auto"/>
        <w:ind w:left="418" w:right="1604" w:firstLine="422"/>
        <w:rPr>
          <w:sz w:val="21"/>
        </w:rPr>
      </w:pPr>
      <w:r>
        <w:rPr>
          <w:spacing w:val="-3"/>
          <w:sz w:val="21"/>
        </w:rPr>
        <w:t>站台门的联动开启应由车站控制室值班人员确认后人工控制。自动检票机的联动控制应能联动控制自动检票机的释放，并应能接收自动检票机的状态反馈信息。</w:t>
      </w:r>
      <w:r>
        <w:rPr>
          <w:spacing w:val="-3"/>
          <w:sz w:val="21"/>
        </w:rPr>
        <w:t xml:space="preserve"> </w:t>
      </w:r>
    </w:p>
    <w:p w14:paraId="673AD2DC" w14:textId="77777777" w:rsidR="00A71EEF" w:rsidRDefault="0081115D">
      <w:pPr>
        <w:pStyle w:val="a4"/>
        <w:numPr>
          <w:ilvl w:val="2"/>
          <w:numId w:val="48"/>
        </w:numPr>
        <w:tabs>
          <w:tab w:val="left" w:pos="1370"/>
        </w:tabs>
        <w:spacing w:line="267" w:lineRule="exact"/>
        <w:ind w:hanging="530"/>
        <w:rPr>
          <w:sz w:val="21"/>
        </w:rPr>
      </w:pPr>
      <w:r>
        <w:rPr>
          <w:spacing w:val="-3"/>
          <w:sz w:val="21"/>
        </w:rPr>
        <w:t>门禁的联动控制应符合下列规定：</w:t>
      </w:r>
      <w:r>
        <w:rPr>
          <w:sz w:val="21"/>
        </w:rPr>
        <w:t xml:space="preserve"> </w:t>
      </w:r>
    </w:p>
    <w:p w14:paraId="56B833BD" w14:textId="77777777" w:rsidR="00A71EEF" w:rsidRDefault="00A71EEF">
      <w:pPr>
        <w:pStyle w:val="a3"/>
        <w:spacing w:before="1"/>
        <w:rPr>
          <w:sz w:val="18"/>
        </w:rPr>
      </w:pPr>
    </w:p>
    <w:p w14:paraId="73A5BB97" w14:textId="77777777" w:rsidR="00A71EEF" w:rsidRDefault="0081115D">
      <w:pPr>
        <w:pStyle w:val="a3"/>
        <w:spacing w:line="446" w:lineRule="auto"/>
        <w:ind w:left="838" w:right="2554"/>
      </w:pPr>
      <w:r>
        <w:rPr>
          <w:spacing w:val="-3"/>
        </w:rPr>
        <w:t>火灾自动报警系统应能将火灾信息发送至门禁系统，由门禁系统控制门解禁；</w:t>
      </w:r>
      <w:r>
        <w:rPr>
          <w:spacing w:val="-3"/>
        </w:rPr>
        <w:t xml:space="preserve"> </w:t>
      </w:r>
      <w:r>
        <w:rPr>
          <w:spacing w:val="-3"/>
        </w:rPr>
        <w:t>门禁系统应能在车站控制室或消防控制室内手动控制；</w:t>
      </w:r>
      <w:r>
        <w:t xml:space="preserve"> </w:t>
      </w:r>
    </w:p>
    <w:p w14:paraId="381A7935" w14:textId="77777777" w:rsidR="00A71EEF" w:rsidRDefault="0081115D">
      <w:pPr>
        <w:pStyle w:val="a3"/>
        <w:spacing w:line="267" w:lineRule="exact"/>
        <w:ind w:left="838"/>
      </w:pPr>
      <w:r>
        <w:t>当供电中断时，门禁系统应能自动解禁。</w:t>
      </w:r>
      <w:r>
        <w:t xml:space="preserve"> </w:t>
      </w:r>
    </w:p>
    <w:p w14:paraId="6AA8A8B7" w14:textId="77777777" w:rsidR="00A71EEF" w:rsidRDefault="00A71EEF">
      <w:pPr>
        <w:pStyle w:val="a3"/>
        <w:spacing w:before="1"/>
        <w:rPr>
          <w:sz w:val="18"/>
        </w:rPr>
      </w:pPr>
    </w:p>
    <w:p w14:paraId="635D52BD" w14:textId="77777777" w:rsidR="00A71EEF" w:rsidRDefault="0081115D">
      <w:pPr>
        <w:pStyle w:val="a4"/>
        <w:numPr>
          <w:ilvl w:val="2"/>
          <w:numId w:val="48"/>
        </w:numPr>
        <w:tabs>
          <w:tab w:val="left" w:pos="1371"/>
        </w:tabs>
        <w:spacing w:before="1" w:line="446" w:lineRule="auto"/>
        <w:ind w:left="418" w:right="1604" w:firstLine="422"/>
        <w:jc w:val="both"/>
        <w:rPr>
          <w:sz w:val="21"/>
        </w:rPr>
      </w:pPr>
      <w:r>
        <w:rPr>
          <w:spacing w:val="-3"/>
          <w:sz w:val="21"/>
        </w:rPr>
        <w:t>电梯应能在火灾时通过火灾自动报警系统或环境与设备监控系统联动控制返至疏散层，火灾自动报警系统或环境与设备监控系统应能接收电梯的状态反馈信息，不应直接控制站厅内自动扶梯的启停。</w:t>
      </w:r>
      <w:r>
        <w:rPr>
          <w:sz w:val="21"/>
        </w:rPr>
        <w:t xml:space="preserve"> </w:t>
      </w:r>
    </w:p>
    <w:p w14:paraId="0E3C09D6" w14:textId="77777777" w:rsidR="00A71EEF" w:rsidRDefault="0081115D">
      <w:pPr>
        <w:pStyle w:val="4"/>
        <w:spacing w:line="276" w:lineRule="exact"/>
      </w:pPr>
      <w:r>
        <w:t xml:space="preserve">10 </w:t>
      </w:r>
      <w:r>
        <w:t>消防通信</w:t>
      </w:r>
      <w:r>
        <w:rPr>
          <w:w w:val="99"/>
        </w:rPr>
        <w:t xml:space="preserve"> </w:t>
      </w:r>
    </w:p>
    <w:p w14:paraId="3051FCCF" w14:textId="77777777" w:rsidR="00A71EEF" w:rsidRDefault="00A71EEF">
      <w:pPr>
        <w:pStyle w:val="a3"/>
        <w:spacing w:before="4"/>
        <w:rPr>
          <w:b/>
          <w:sz w:val="17"/>
        </w:rPr>
      </w:pPr>
    </w:p>
    <w:p w14:paraId="545C4F2A" w14:textId="77777777" w:rsidR="00A71EEF" w:rsidRDefault="0081115D">
      <w:pPr>
        <w:pStyle w:val="a4"/>
        <w:numPr>
          <w:ilvl w:val="1"/>
          <w:numId w:val="46"/>
        </w:numPr>
        <w:tabs>
          <w:tab w:val="left" w:pos="1264"/>
        </w:tabs>
        <w:spacing w:line="446" w:lineRule="auto"/>
        <w:ind w:right="1498" w:firstLine="422"/>
        <w:rPr>
          <w:sz w:val="21"/>
        </w:rPr>
      </w:pPr>
      <w:r>
        <w:rPr>
          <w:spacing w:val="-3"/>
          <w:sz w:val="21"/>
        </w:rPr>
        <w:t>消防通信应包括消防专用电话、防灾调度电话、消防无线通信、视频监视及消防应急广播。</w:t>
      </w:r>
      <w:r>
        <w:rPr>
          <w:sz w:val="21"/>
        </w:rPr>
        <w:t xml:space="preserve"> </w:t>
      </w:r>
    </w:p>
    <w:p w14:paraId="7455E069" w14:textId="77777777" w:rsidR="00A71EEF" w:rsidRDefault="0081115D">
      <w:pPr>
        <w:pStyle w:val="a4"/>
        <w:numPr>
          <w:ilvl w:val="1"/>
          <w:numId w:val="46"/>
        </w:numPr>
        <w:tabs>
          <w:tab w:val="left" w:pos="1266"/>
        </w:tabs>
        <w:ind w:left="1265" w:hanging="426"/>
        <w:rPr>
          <w:sz w:val="21"/>
        </w:rPr>
      </w:pPr>
      <w:r>
        <w:rPr>
          <w:spacing w:val="-3"/>
          <w:sz w:val="21"/>
        </w:rPr>
        <w:t>控制中心应具有全线消防救援、调度指挥和上一级防灾指挥中心联网的功能。</w:t>
      </w:r>
      <w:r>
        <w:rPr>
          <w:spacing w:val="-3"/>
          <w:sz w:val="21"/>
        </w:rPr>
        <w:t xml:space="preserve"> </w:t>
      </w:r>
    </w:p>
    <w:p w14:paraId="1D8F1A67" w14:textId="77777777" w:rsidR="00A71EEF" w:rsidRDefault="00A71EEF">
      <w:pPr>
        <w:pStyle w:val="a3"/>
        <w:spacing w:before="12"/>
        <w:rPr>
          <w:sz w:val="17"/>
        </w:rPr>
      </w:pPr>
    </w:p>
    <w:p w14:paraId="15F49772" w14:textId="77777777" w:rsidR="00A71EEF" w:rsidRDefault="0081115D">
      <w:pPr>
        <w:pStyle w:val="a4"/>
        <w:numPr>
          <w:ilvl w:val="1"/>
          <w:numId w:val="46"/>
        </w:numPr>
        <w:tabs>
          <w:tab w:val="left" w:pos="1264"/>
        </w:tabs>
        <w:spacing w:line="446" w:lineRule="auto"/>
        <w:ind w:right="1498" w:firstLine="422"/>
        <w:rPr>
          <w:sz w:val="21"/>
        </w:rPr>
      </w:pPr>
      <w:r>
        <w:rPr>
          <w:spacing w:val="-7"/>
          <w:sz w:val="21"/>
        </w:rPr>
        <w:t>控制中心防灾调度应设置</w:t>
      </w:r>
      <w:r>
        <w:rPr>
          <w:spacing w:val="-7"/>
          <w:sz w:val="21"/>
        </w:rPr>
        <w:t xml:space="preserve"> </w:t>
      </w:r>
      <w:r>
        <w:rPr>
          <w:sz w:val="21"/>
        </w:rPr>
        <w:t>119</w:t>
      </w:r>
      <w:r>
        <w:rPr>
          <w:spacing w:val="-8"/>
          <w:sz w:val="21"/>
        </w:rPr>
        <w:t xml:space="preserve"> </w:t>
      </w:r>
      <w:r>
        <w:rPr>
          <w:spacing w:val="-8"/>
          <w:sz w:val="21"/>
        </w:rPr>
        <w:t>专用直拨电话、广播系统操作终端和视频监视系统独立</w:t>
      </w:r>
      <w:r>
        <w:rPr>
          <w:spacing w:val="-5"/>
          <w:sz w:val="21"/>
        </w:rPr>
        <w:t>的监视器及操作终端，车站和车辆基地的消防控制室或值班室等处应设置可直接报警的</w:t>
      </w:r>
      <w:r>
        <w:rPr>
          <w:spacing w:val="-5"/>
          <w:sz w:val="21"/>
        </w:rPr>
        <w:t>直拨电</w:t>
      </w:r>
      <w:r>
        <w:rPr>
          <w:spacing w:val="-4"/>
          <w:sz w:val="21"/>
        </w:rPr>
        <w:t>话。</w:t>
      </w:r>
      <w:r>
        <w:rPr>
          <w:sz w:val="21"/>
        </w:rPr>
        <w:t xml:space="preserve"> </w:t>
      </w:r>
    </w:p>
    <w:p w14:paraId="6362A277" w14:textId="77777777" w:rsidR="00A71EEF" w:rsidRDefault="0081115D">
      <w:pPr>
        <w:pStyle w:val="a4"/>
        <w:numPr>
          <w:ilvl w:val="1"/>
          <w:numId w:val="46"/>
        </w:numPr>
        <w:tabs>
          <w:tab w:val="left" w:pos="1266"/>
        </w:tabs>
        <w:spacing w:line="268" w:lineRule="exact"/>
        <w:ind w:left="1265" w:hanging="426"/>
        <w:rPr>
          <w:sz w:val="21"/>
        </w:rPr>
      </w:pPr>
      <w:r>
        <w:rPr>
          <w:spacing w:val="-3"/>
          <w:sz w:val="21"/>
        </w:rPr>
        <w:t>地铁全线应设置独立的消防专用电话系统，其设置应符合下列规定：</w:t>
      </w:r>
      <w:r>
        <w:rPr>
          <w:spacing w:val="-3"/>
          <w:sz w:val="21"/>
        </w:rPr>
        <w:t xml:space="preserve"> </w:t>
      </w:r>
    </w:p>
    <w:p w14:paraId="59FF95F5" w14:textId="77777777" w:rsidR="00A71EEF" w:rsidRDefault="00A71EEF">
      <w:pPr>
        <w:pStyle w:val="a3"/>
        <w:rPr>
          <w:sz w:val="18"/>
        </w:rPr>
      </w:pPr>
    </w:p>
    <w:p w14:paraId="3D28B2F8" w14:textId="77777777" w:rsidR="00A71EEF" w:rsidRDefault="0081115D">
      <w:pPr>
        <w:pStyle w:val="a3"/>
        <w:spacing w:line="446" w:lineRule="auto"/>
        <w:ind w:left="418" w:right="1609" w:firstLine="419"/>
      </w:pPr>
      <w:r>
        <w:t>控制中心的消防值班室、车站控制室、车辆基地的消防控制（值班）室应设置消防专用电话总机；</w:t>
      </w:r>
      <w:r>
        <w:t xml:space="preserve"> </w:t>
      </w:r>
    </w:p>
    <w:p w14:paraId="5D669B33" w14:textId="77777777" w:rsidR="00A71EEF" w:rsidRDefault="00A71EEF">
      <w:pPr>
        <w:spacing w:line="446" w:lineRule="auto"/>
        <w:sectPr w:rsidR="00A71EEF">
          <w:pgSz w:w="11910" w:h="16850"/>
          <w:pgMar w:top="1220" w:right="0" w:bottom="1420" w:left="1260" w:header="0" w:footer="1239" w:gutter="0"/>
          <w:cols w:space="720"/>
        </w:sectPr>
      </w:pPr>
    </w:p>
    <w:p w14:paraId="445CDBD4" w14:textId="77777777" w:rsidR="00A71EEF" w:rsidRDefault="0081115D">
      <w:pPr>
        <w:pStyle w:val="a3"/>
        <w:spacing w:before="47" w:line="446" w:lineRule="auto"/>
        <w:ind w:left="418" w:right="1609" w:firstLine="419"/>
      </w:pPr>
      <w:r>
        <w:t>消防水泵房、变配电室、通风和排烟机房及其他与消防联动控制有关的机房、自动灭火系统手动操作装置及区域报警控制器或显示器处，应设置消防专用电话分机；</w:t>
      </w:r>
      <w:r>
        <w:t xml:space="preserve"> </w:t>
      </w:r>
    </w:p>
    <w:p w14:paraId="396A27DC" w14:textId="77777777" w:rsidR="00A71EEF" w:rsidRDefault="0081115D">
      <w:pPr>
        <w:pStyle w:val="a3"/>
        <w:spacing w:line="446" w:lineRule="auto"/>
        <w:ind w:left="418" w:right="1609" w:firstLine="419"/>
      </w:pPr>
      <w:r>
        <w:t>手动火灾报警按钮和消火栓按钮等的设置部位应设置电话插孔，电话插孔应按区域采用共线方式接入消防专用电话总机。</w:t>
      </w:r>
      <w:r>
        <w:t xml:space="preserve"> </w:t>
      </w:r>
    </w:p>
    <w:p w14:paraId="38880694" w14:textId="77777777" w:rsidR="00A71EEF" w:rsidRDefault="0081115D">
      <w:pPr>
        <w:pStyle w:val="a4"/>
        <w:numPr>
          <w:ilvl w:val="1"/>
          <w:numId w:val="46"/>
        </w:numPr>
        <w:tabs>
          <w:tab w:val="left" w:pos="1266"/>
        </w:tabs>
        <w:ind w:left="1265" w:hanging="426"/>
        <w:rPr>
          <w:sz w:val="21"/>
        </w:rPr>
      </w:pPr>
      <w:r>
        <w:rPr>
          <w:spacing w:val="-3"/>
          <w:sz w:val="21"/>
        </w:rPr>
        <w:t>地铁全线应设置防灾调度电话系统和防灾无线通信系统，其设置应符合下列规定：</w:t>
      </w:r>
      <w:r>
        <w:rPr>
          <w:sz w:val="21"/>
        </w:rPr>
        <w:t xml:space="preserve"> </w:t>
      </w:r>
    </w:p>
    <w:p w14:paraId="55712592" w14:textId="77777777" w:rsidR="00A71EEF" w:rsidRDefault="00A71EEF">
      <w:pPr>
        <w:pStyle w:val="a3"/>
        <w:spacing w:before="10"/>
        <w:rPr>
          <w:sz w:val="17"/>
        </w:rPr>
      </w:pPr>
    </w:p>
    <w:p w14:paraId="70BB28A7" w14:textId="77777777" w:rsidR="00A71EEF" w:rsidRDefault="0081115D">
      <w:pPr>
        <w:pStyle w:val="a3"/>
        <w:ind w:left="838"/>
      </w:pPr>
      <w:r>
        <w:t>防灾调度电话、无线通信总机（台）应设置在控制中心防灾调度；</w:t>
      </w:r>
      <w:r>
        <w:t xml:space="preserve"> </w:t>
      </w:r>
    </w:p>
    <w:p w14:paraId="57138DF8" w14:textId="77777777" w:rsidR="00A71EEF" w:rsidRDefault="00A71EEF">
      <w:pPr>
        <w:pStyle w:val="a3"/>
        <w:spacing w:before="2"/>
        <w:rPr>
          <w:sz w:val="18"/>
        </w:rPr>
      </w:pPr>
    </w:p>
    <w:p w14:paraId="243A5450" w14:textId="77777777" w:rsidR="00A71EEF" w:rsidRDefault="0081115D">
      <w:pPr>
        <w:pStyle w:val="a3"/>
        <w:spacing w:line="446" w:lineRule="auto"/>
        <w:ind w:left="838" w:right="2554"/>
        <w:jc w:val="both"/>
      </w:pPr>
      <w:r>
        <w:rPr>
          <w:spacing w:val="-3"/>
        </w:rPr>
        <w:t>各车站、主变电所、车辆基地防灾值班室应设置防灾调度分机和无线手持台；</w:t>
      </w:r>
      <w:r>
        <w:rPr>
          <w:spacing w:val="-3"/>
        </w:rPr>
        <w:t xml:space="preserve"> </w:t>
      </w:r>
      <w:r>
        <w:rPr>
          <w:spacing w:val="-3"/>
        </w:rPr>
        <w:t>防灾无线通信系统应满足消防救援需要，且其无线信号应覆盖地铁全线范围。</w:t>
      </w:r>
      <w:r>
        <w:rPr>
          <w:b/>
          <w:spacing w:val="-3"/>
        </w:rPr>
        <w:t>10.6</w:t>
      </w:r>
      <w:r>
        <w:rPr>
          <w:b/>
          <w:spacing w:val="4"/>
        </w:rPr>
        <w:t xml:space="preserve"> </w:t>
      </w:r>
      <w:r>
        <w:rPr>
          <w:spacing w:val="-3"/>
        </w:rPr>
        <w:t>地下线应设置消防无线引入系统，其设置应符合下列规定：</w:t>
      </w:r>
      <w:r>
        <w:t xml:space="preserve"> </w:t>
      </w:r>
    </w:p>
    <w:p w14:paraId="6CC14625" w14:textId="77777777" w:rsidR="00A71EEF" w:rsidRDefault="0081115D">
      <w:pPr>
        <w:pStyle w:val="a3"/>
        <w:spacing w:line="268" w:lineRule="exact"/>
        <w:ind w:left="838"/>
      </w:pPr>
      <w:r>
        <w:t>消防无线引入信号应覆盖地铁全线范围；</w:t>
      </w:r>
      <w:r>
        <w:t xml:space="preserve"> </w:t>
      </w:r>
    </w:p>
    <w:p w14:paraId="4DACE56A" w14:textId="77777777" w:rsidR="00A71EEF" w:rsidRDefault="00A71EEF">
      <w:pPr>
        <w:pStyle w:val="a3"/>
        <w:rPr>
          <w:sz w:val="18"/>
        </w:rPr>
      </w:pPr>
    </w:p>
    <w:p w14:paraId="7CE9E39A" w14:textId="77777777" w:rsidR="00A71EEF" w:rsidRDefault="0081115D">
      <w:pPr>
        <w:pStyle w:val="a3"/>
        <w:spacing w:line="446" w:lineRule="auto"/>
        <w:ind w:left="418" w:right="1609" w:firstLine="419"/>
      </w:pPr>
      <w:r>
        <w:t>消防无线引入系</w:t>
      </w:r>
      <w:r>
        <w:t>统的制式应与地面消防无线通信系统保持一致，并应符合当地消防部门的要求；</w:t>
      </w:r>
      <w:r>
        <w:t xml:space="preserve"> </w:t>
      </w:r>
    </w:p>
    <w:p w14:paraId="33CD91D1" w14:textId="77777777" w:rsidR="00A71EEF" w:rsidRDefault="0081115D">
      <w:pPr>
        <w:pStyle w:val="a3"/>
        <w:ind w:left="838"/>
      </w:pPr>
      <w:r>
        <w:t>消防无线引入系统应至少提供</w:t>
      </w:r>
      <w:r>
        <w:t xml:space="preserve"> 3 </w:t>
      </w:r>
      <w:r>
        <w:t>个信道，并应提供集中网管界面。</w:t>
      </w:r>
      <w:r>
        <w:t xml:space="preserve"> </w:t>
      </w:r>
    </w:p>
    <w:p w14:paraId="705FD6F7" w14:textId="77777777" w:rsidR="00A71EEF" w:rsidRDefault="00A71EEF">
      <w:pPr>
        <w:pStyle w:val="a3"/>
        <w:spacing w:before="12"/>
        <w:rPr>
          <w:sz w:val="17"/>
        </w:rPr>
      </w:pPr>
    </w:p>
    <w:p w14:paraId="27C6ABFB" w14:textId="77777777" w:rsidR="00A71EEF" w:rsidRDefault="0081115D">
      <w:pPr>
        <w:pStyle w:val="a4"/>
        <w:numPr>
          <w:ilvl w:val="1"/>
          <w:numId w:val="45"/>
        </w:numPr>
        <w:tabs>
          <w:tab w:val="left" w:pos="1264"/>
        </w:tabs>
        <w:spacing w:line="446" w:lineRule="auto"/>
        <w:ind w:right="1498" w:firstLine="422"/>
        <w:rPr>
          <w:sz w:val="21"/>
        </w:rPr>
      </w:pPr>
      <w:r>
        <w:rPr>
          <w:spacing w:val="-3"/>
          <w:sz w:val="21"/>
        </w:rPr>
        <w:t>车站、主变电所、车辆基地应设置消防应急广播系统，并宜与运营广播合用。站厅、站台、通道等公共区和设备管理区用房应设置消防应急广播扬声器。</w:t>
      </w:r>
      <w:r>
        <w:rPr>
          <w:sz w:val="21"/>
        </w:rPr>
        <w:t xml:space="preserve"> </w:t>
      </w:r>
    </w:p>
    <w:p w14:paraId="0BC0858B" w14:textId="77777777" w:rsidR="00A71EEF" w:rsidRDefault="0081115D">
      <w:pPr>
        <w:pStyle w:val="a4"/>
        <w:numPr>
          <w:ilvl w:val="1"/>
          <w:numId w:val="45"/>
        </w:numPr>
        <w:tabs>
          <w:tab w:val="left" w:pos="1266"/>
        </w:tabs>
        <w:ind w:left="1265" w:hanging="426"/>
        <w:rPr>
          <w:sz w:val="21"/>
        </w:rPr>
      </w:pPr>
      <w:r>
        <w:rPr>
          <w:spacing w:val="-3"/>
          <w:sz w:val="21"/>
        </w:rPr>
        <w:t>与运营广播合用的消防应急广播系统应符合下列规定：</w:t>
      </w:r>
      <w:r>
        <w:rPr>
          <w:sz w:val="21"/>
        </w:rPr>
        <w:t xml:space="preserve"> </w:t>
      </w:r>
    </w:p>
    <w:p w14:paraId="73CFD24D" w14:textId="77777777" w:rsidR="00A71EEF" w:rsidRDefault="00A71EEF">
      <w:pPr>
        <w:pStyle w:val="a3"/>
        <w:rPr>
          <w:sz w:val="18"/>
        </w:rPr>
      </w:pPr>
    </w:p>
    <w:p w14:paraId="06C3C5A5" w14:textId="77777777" w:rsidR="00A71EEF" w:rsidRDefault="0081115D">
      <w:pPr>
        <w:pStyle w:val="a3"/>
        <w:ind w:left="838"/>
      </w:pPr>
      <w:r>
        <w:t>广播系统应具有优先级处理，且消防应急广播应具有最高优先级；</w:t>
      </w:r>
      <w:r>
        <w:t xml:space="preserve"> </w:t>
      </w:r>
    </w:p>
    <w:p w14:paraId="1F81ED30" w14:textId="77777777" w:rsidR="00A71EEF" w:rsidRDefault="00A71EEF">
      <w:pPr>
        <w:pStyle w:val="a3"/>
        <w:spacing w:before="12"/>
        <w:rPr>
          <w:sz w:val="17"/>
        </w:rPr>
      </w:pPr>
    </w:p>
    <w:p w14:paraId="5674FE49" w14:textId="77777777" w:rsidR="00A71EEF" w:rsidRDefault="0081115D">
      <w:pPr>
        <w:pStyle w:val="a3"/>
        <w:spacing w:line="446" w:lineRule="auto"/>
        <w:ind w:left="418" w:right="1609" w:firstLine="419"/>
      </w:pPr>
      <w:r>
        <w:t>控制中心防灾调度台可对全线各车站进行遥控开关机、选站、选区广播或全线统一广播，</w:t>
      </w:r>
      <w:r>
        <w:t xml:space="preserve"> </w:t>
      </w:r>
      <w:r>
        <w:t>并应具有接收各车站工作状态的反馈信息和同步录音功能；</w:t>
      </w:r>
      <w:r>
        <w:t xml:space="preserve"> </w:t>
      </w:r>
    </w:p>
    <w:p w14:paraId="614C2B08" w14:textId="77777777" w:rsidR="00A71EEF" w:rsidRDefault="0081115D">
      <w:pPr>
        <w:pStyle w:val="a3"/>
        <w:spacing w:before="1" w:line="446" w:lineRule="auto"/>
        <w:ind w:left="418" w:right="1609" w:firstLine="419"/>
      </w:pPr>
      <w:r>
        <w:t>车站防灾值班员可同时对本车站或分区、分路进行广播，并应设置自动、手动和紧急三种广播模式；</w:t>
      </w:r>
      <w:r>
        <w:t xml:space="preserve"> </w:t>
      </w:r>
    </w:p>
    <w:p w14:paraId="421BBD0E" w14:textId="77777777" w:rsidR="00A71EEF" w:rsidRDefault="0081115D">
      <w:pPr>
        <w:pStyle w:val="a3"/>
        <w:spacing w:line="446" w:lineRule="auto"/>
        <w:ind w:left="418" w:right="1714" w:firstLine="419"/>
      </w:pPr>
      <w:r>
        <w:rPr>
          <w:spacing w:val="-5"/>
        </w:rPr>
        <w:t>广播系统的功率放大器应每台对应一路负载，并应进行</w:t>
      </w:r>
      <w:r>
        <w:rPr>
          <w:spacing w:val="-5"/>
        </w:rPr>
        <w:t xml:space="preserve"> </w:t>
      </w:r>
      <w:r>
        <w:t>n</w:t>
      </w:r>
      <w:r>
        <w:t>＋</w:t>
      </w:r>
      <w:r>
        <w:t>1</w:t>
      </w:r>
      <w:r>
        <w:rPr>
          <w:spacing w:val="-8"/>
        </w:rPr>
        <w:t xml:space="preserve"> </w:t>
      </w:r>
      <w:r>
        <w:rPr>
          <w:spacing w:val="-8"/>
        </w:rPr>
        <w:t>配置，备机可自动或手动切</w:t>
      </w:r>
      <w:r>
        <w:rPr>
          <w:spacing w:val="-6"/>
        </w:rPr>
        <w:t>换。</w:t>
      </w:r>
      <w:r>
        <w:t xml:space="preserve"> </w:t>
      </w:r>
    </w:p>
    <w:p w14:paraId="3D30922F" w14:textId="77777777" w:rsidR="00A71EEF" w:rsidRDefault="0081115D">
      <w:pPr>
        <w:pStyle w:val="a4"/>
        <w:numPr>
          <w:ilvl w:val="1"/>
          <w:numId w:val="45"/>
        </w:numPr>
        <w:tabs>
          <w:tab w:val="left" w:pos="1266"/>
        </w:tabs>
        <w:spacing w:line="267" w:lineRule="exact"/>
        <w:ind w:left="1265" w:hanging="426"/>
        <w:rPr>
          <w:sz w:val="21"/>
        </w:rPr>
      </w:pPr>
      <w:r>
        <w:rPr>
          <w:spacing w:val="-3"/>
          <w:sz w:val="21"/>
        </w:rPr>
        <w:t>车辆客室应设置供乘客与司机或控制中心紧急对讲的装置，并应设置明显的告示牌。</w:t>
      </w:r>
      <w:r>
        <w:rPr>
          <w:sz w:val="21"/>
        </w:rPr>
        <w:t xml:space="preserve"> </w:t>
      </w:r>
    </w:p>
    <w:p w14:paraId="0B64F596" w14:textId="77777777" w:rsidR="00A71EEF" w:rsidRDefault="00A71EEF">
      <w:pPr>
        <w:pStyle w:val="a3"/>
        <w:spacing w:before="10"/>
        <w:rPr>
          <w:sz w:val="15"/>
        </w:rPr>
      </w:pPr>
    </w:p>
    <w:p w14:paraId="3B2E2D2C" w14:textId="77777777" w:rsidR="00A71EEF" w:rsidRDefault="0081115D">
      <w:pPr>
        <w:pStyle w:val="4"/>
      </w:pPr>
      <w:r>
        <w:t xml:space="preserve">11 </w:t>
      </w:r>
      <w:r>
        <w:t>消防配电与应急照明</w:t>
      </w:r>
      <w:r>
        <w:rPr>
          <w:w w:val="99"/>
        </w:rPr>
        <w:t xml:space="preserve"> </w:t>
      </w:r>
    </w:p>
    <w:p w14:paraId="7587B4DE" w14:textId="77777777" w:rsidR="00A71EEF" w:rsidRDefault="00A71EEF">
      <w:pPr>
        <w:pStyle w:val="a3"/>
        <w:spacing w:before="4"/>
        <w:rPr>
          <w:b/>
          <w:sz w:val="17"/>
        </w:rPr>
      </w:pPr>
    </w:p>
    <w:p w14:paraId="72329837" w14:textId="77777777" w:rsidR="00A71EEF" w:rsidRDefault="0081115D">
      <w:pPr>
        <w:pStyle w:val="a4"/>
        <w:numPr>
          <w:ilvl w:val="1"/>
          <w:numId w:val="44"/>
        </w:numPr>
        <w:tabs>
          <w:tab w:val="left" w:pos="1264"/>
        </w:tabs>
        <w:rPr>
          <w:sz w:val="21"/>
        </w:rPr>
      </w:pPr>
      <w:r>
        <w:rPr>
          <w:spacing w:val="-3"/>
          <w:sz w:val="21"/>
        </w:rPr>
        <w:t>消防配电</w:t>
      </w:r>
      <w:r>
        <w:rPr>
          <w:sz w:val="21"/>
        </w:rPr>
        <w:t xml:space="preserve"> </w:t>
      </w:r>
    </w:p>
    <w:p w14:paraId="1A0661A8" w14:textId="77777777" w:rsidR="00A71EEF" w:rsidRDefault="00A71EEF">
      <w:pPr>
        <w:pStyle w:val="a3"/>
        <w:spacing w:before="12"/>
        <w:rPr>
          <w:sz w:val="17"/>
        </w:rPr>
      </w:pPr>
    </w:p>
    <w:p w14:paraId="01DD1E43" w14:textId="77777777" w:rsidR="00A71EEF" w:rsidRDefault="0081115D">
      <w:pPr>
        <w:pStyle w:val="a4"/>
        <w:numPr>
          <w:ilvl w:val="2"/>
          <w:numId w:val="44"/>
        </w:numPr>
        <w:tabs>
          <w:tab w:val="left" w:pos="1478"/>
        </w:tabs>
        <w:spacing w:before="1" w:line="446" w:lineRule="auto"/>
        <w:ind w:right="1495" w:firstLine="422"/>
        <w:rPr>
          <w:sz w:val="21"/>
        </w:rPr>
      </w:pPr>
      <w:r>
        <w:rPr>
          <w:spacing w:val="-3"/>
          <w:sz w:val="21"/>
        </w:rPr>
        <w:t>地铁的消防用电负荷应为一级负荷。其中，火灾自动报警系统、环境与设备监控系统、变电所操作电源和地下车站及区间的应急照明用电负荷应为特别重要负荷。</w:t>
      </w:r>
      <w:r>
        <w:rPr>
          <w:sz w:val="21"/>
        </w:rPr>
        <w:t xml:space="preserve"> </w:t>
      </w:r>
    </w:p>
    <w:p w14:paraId="1ADE949C" w14:textId="77777777" w:rsidR="00A71EEF" w:rsidRDefault="00A71EEF">
      <w:pPr>
        <w:spacing w:line="446" w:lineRule="auto"/>
        <w:rPr>
          <w:sz w:val="21"/>
        </w:rPr>
        <w:sectPr w:rsidR="00A71EEF">
          <w:pgSz w:w="11910" w:h="16850"/>
          <w:pgMar w:top="1220" w:right="0" w:bottom="1420" w:left="1260" w:header="0" w:footer="1239" w:gutter="0"/>
          <w:cols w:space="720"/>
        </w:sectPr>
      </w:pPr>
    </w:p>
    <w:p w14:paraId="67F7D4DA" w14:textId="77777777" w:rsidR="00A71EEF" w:rsidRDefault="0081115D">
      <w:pPr>
        <w:pStyle w:val="a4"/>
        <w:numPr>
          <w:ilvl w:val="2"/>
          <w:numId w:val="44"/>
        </w:numPr>
        <w:tabs>
          <w:tab w:val="left" w:pos="1478"/>
        </w:tabs>
        <w:spacing w:before="47" w:line="446" w:lineRule="auto"/>
        <w:ind w:right="1498" w:firstLine="422"/>
        <w:rPr>
          <w:sz w:val="21"/>
        </w:rPr>
      </w:pPr>
      <w:r>
        <w:rPr>
          <w:spacing w:val="-3"/>
          <w:sz w:val="21"/>
        </w:rPr>
        <w:t>火灾自动报警系统、环境与设备监控系统、消房泵及消防水管电保温设备、通信、信号、变电所操作电源、站台门、防火卷帘、活动挡烟垂壁、自动灭火系统、事故疏散兼用的自动扶梯、地下车站及区间的废水泵等应采用双重电源供电，并应在最末一级配电箱处进行自动切换。其中，火灾自动报警系统、环境与设备监控系统、变电所操作电源和地下车站及区间的应急照明电</w:t>
      </w:r>
      <w:r>
        <w:rPr>
          <w:spacing w:val="-3"/>
          <w:sz w:val="21"/>
        </w:rPr>
        <w:t>源应增设应急电源。</w:t>
      </w:r>
      <w:r>
        <w:rPr>
          <w:sz w:val="21"/>
        </w:rPr>
        <w:t xml:space="preserve"> </w:t>
      </w:r>
    </w:p>
    <w:p w14:paraId="29AD982C" w14:textId="77777777" w:rsidR="00A71EEF" w:rsidRDefault="0081115D">
      <w:pPr>
        <w:pStyle w:val="a4"/>
        <w:numPr>
          <w:ilvl w:val="2"/>
          <w:numId w:val="44"/>
        </w:numPr>
        <w:tabs>
          <w:tab w:val="left" w:pos="1478"/>
        </w:tabs>
        <w:spacing w:line="446" w:lineRule="auto"/>
        <w:ind w:right="1496" w:firstLine="422"/>
        <w:rPr>
          <w:sz w:val="21"/>
        </w:rPr>
      </w:pPr>
      <w:r>
        <w:rPr>
          <w:spacing w:val="-3"/>
          <w:sz w:val="21"/>
        </w:rPr>
        <w:t>车站内设置在同一侧</w:t>
      </w:r>
      <w:r>
        <w:rPr>
          <w:sz w:val="21"/>
        </w:rPr>
        <w:t>（</w:t>
      </w:r>
      <w:r>
        <w:rPr>
          <w:spacing w:val="-3"/>
          <w:sz w:val="21"/>
        </w:rPr>
        <w:t>端</w:t>
      </w:r>
      <w:r>
        <w:rPr>
          <w:sz w:val="21"/>
        </w:rPr>
        <w:t>）</w:t>
      </w:r>
      <w:r>
        <w:rPr>
          <w:spacing w:val="-3"/>
          <w:sz w:val="21"/>
        </w:rPr>
        <w:t>的火灾事故风机、防排烟风机及相关风阀等一级负荷，</w:t>
      </w:r>
      <w:r>
        <w:rPr>
          <w:spacing w:val="-3"/>
          <w:sz w:val="21"/>
        </w:rPr>
        <w:t xml:space="preserve"> </w:t>
      </w:r>
      <w:r>
        <w:rPr>
          <w:spacing w:val="-3"/>
          <w:sz w:val="21"/>
        </w:rPr>
        <w:t>其供电电源应由该侧</w:t>
      </w:r>
      <w:r>
        <w:rPr>
          <w:sz w:val="21"/>
        </w:rPr>
        <w:t>（</w:t>
      </w:r>
      <w:r>
        <w:rPr>
          <w:spacing w:val="-3"/>
          <w:sz w:val="21"/>
        </w:rPr>
        <w:t>端</w:t>
      </w:r>
      <w:r>
        <w:rPr>
          <w:sz w:val="21"/>
        </w:rPr>
        <w:t>）</w:t>
      </w:r>
      <w:r>
        <w:rPr>
          <w:spacing w:val="-3"/>
          <w:sz w:val="21"/>
        </w:rPr>
        <w:t>双重电源自切柜单回路放射式供电；当供电距离较长时，宜采用由变电所双重电源直接供电，并应在最末一级配电箱处自动切换。</w:t>
      </w:r>
      <w:r>
        <w:rPr>
          <w:sz w:val="21"/>
        </w:rPr>
        <w:t xml:space="preserve"> </w:t>
      </w:r>
    </w:p>
    <w:p w14:paraId="03B395D2" w14:textId="77777777" w:rsidR="00A71EEF" w:rsidRDefault="0081115D">
      <w:pPr>
        <w:pStyle w:val="a4"/>
        <w:numPr>
          <w:ilvl w:val="2"/>
          <w:numId w:val="44"/>
        </w:numPr>
        <w:tabs>
          <w:tab w:val="left" w:pos="1478"/>
        </w:tabs>
        <w:spacing w:line="446" w:lineRule="auto"/>
        <w:ind w:right="1496" w:firstLine="422"/>
        <w:rPr>
          <w:sz w:val="21"/>
        </w:rPr>
      </w:pPr>
      <w:r>
        <w:rPr>
          <w:spacing w:val="-3"/>
          <w:sz w:val="21"/>
        </w:rPr>
        <w:t>防火卷帘、活动挡烟垂壁、自动灭火系统等用电负荷较小的消防用电设备，宜就近共用双电源自切箱采用放射式供电。</w:t>
      </w:r>
      <w:r>
        <w:rPr>
          <w:sz w:val="21"/>
        </w:rPr>
        <w:t xml:space="preserve"> </w:t>
      </w:r>
    </w:p>
    <w:p w14:paraId="1B8757DB" w14:textId="77777777" w:rsidR="00A71EEF" w:rsidRDefault="0081115D">
      <w:pPr>
        <w:pStyle w:val="a4"/>
        <w:numPr>
          <w:ilvl w:val="2"/>
          <w:numId w:val="44"/>
        </w:numPr>
        <w:tabs>
          <w:tab w:val="left" w:pos="1478"/>
        </w:tabs>
        <w:spacing w:line="446" w:lineRule="auto"/>
        <w:ind w:right="1707" w:firstLine="422"/>
        <w:rPr>
          <w:sz w:val="21"/>
        </w:rPr>
      </w:pPr>
      <w:r>
        <w:rPr>
          <w:spacing w:val="-3"/>
          <w:sz w:val="21"/>
        </w:rPr>
        <w:t>应急照明应由应急电源提供专用回路供电，并应按公共区与设备管理区分回路供电。备用照明和疏散照明不应由同一分支回路供电。</w:t>
      </w:r>
      <w:r>
        <w:rPr>
          <w:spacing w:val="-3"/>
          <w:sz w:val="21"/>
        </w:rPr>
        <w:t xml:space="preserve"> </w:t>
      </w:r>
    </w:p>
    <w:p w14:paraId="324239BC" w14:textId="77777777" w:rsidR="00A71EEF" w:rsidRDefault="0081115D">
      <w:pPr>
        <w:pStyle w:val="a4"/>
        <w:numPr>
          <w:ilvl w:val="2"/>
          <w:numId w:val="44"/>
        </w:numPr>
        <w:tabs>
          <w:tab w:val="left" w:pos="1478"/>
        </w:tabs>
        <w:spacing w:line="446" w:lineRule="auto"/>
        <w:ind w:right="1498" w:firstLine="422"/>
        <w:rPr>
          <w:sz w:val="21"/>
        </w:rPr>
      </w:pPr>
      <w:r>
        <w:rPr>
          <w:spacing w:val="-3"/>
          <w:sz w:val="21"/>
        </w:rPr>
        <w:t>消防用电设备作用于火灾时的控制回路，不得设置作</w:t>
      </w:r>
      <w:r>
        <w:rPr>
          <w:spacing w:val="-3"/>
          <w:sz w:val="21"/>
        </w:rPr>
        <w:t>用于跳闸的过载保护或采用变频调速器作为控制装置。</w:t>
      </w:r>
      <w:r>
        <w:rPr>
          <w:sz w:val="21"/>
        </w:rPr>
        <w:t xml:space="preserve"> </w:t>
      </w:r>
    </w:p>
    <w:p w14:paraId="31ADBE95" w14:textId="77777777" w:rsidR="00A71EEF" w:rsidRDefault="0081115D">
      <w:pPr>
        <w:pStyle w:val="a4"/>
        <w:numPr>
          <w:ilvl w:val="1"/>
          <w:numId w:val="44"/>
        </w:numPr>
        <w:tabs>
          <w:tab w:val="left" w:pos="1264"/>
        </w:tabs>
        <w:spacing w:line="267" w:lineRule="exact"/>
        <w:rPr>
          <w:sz w:val="21"/>
        </w:rPr>
      </w:pPr>
      <w:r>
        <w:rPr>
          <w:spacing w:val="-3"/>
          <w:sz w:val="21"/>
        </w:rPr>
        <w:t>应急照明</w:t>
      </w:r>
      <w:r>
        <w:rPr>
          <w:sz w:val="21"/>
        </w:rPr>
        <w:t xml:space="preserve"> </w:t>
      </w:r>
    </w:p>
    <w:p w14:paraId="7175396F" w14:textId="77777777" w:rsidR="00A71EEF" w:rsidRDefault="00A71EEF">
      <w:pPr>
        <w:pStyle w:val="a3"/>
        <w:spacing w:before="10"/>
        <w:rPr>
          <w:sz w:val="17"/>
        </w:rPr>
      </w:pPr>
    </w:p>
    <w:p w14:paraId="39295953" w14:textId="77777777" w:rsidR="00A71EEF" w:rsidRDefault="0081115D">
      <w:pPr>
        <w:pStyle w:val="a4"/>
        <w:numPr>
          <w:ilvl w:val="2"/>
          <w:numId w:val="44"/>
        </w:numPr>
        <w:tabs>
          <w:tab w:val="left" w:pos="1478"/>
        </w:tabs>
        <w:spacing w:before="1" w:line="446" w:lineRule="auto"/>
        <w:ind w:right="1498" w:firstLine="422"/>
        <w:rPr>
          <w:sz w:val="21"/>
        </w:rPr>
      </w:pPr>
      <w:r>
        <w:rPr>
          <w:spacing w:val="-3"/>
          <w:sz w:val="21"/>
        </w:rPr>
        <w:t>变电所、配电室、环控电控室、通信机房、信号机房、消防水泵房、事故风机房、防排烟机房、车站控制室、站长室以及火灾时仍需坚持工作的其他房间，应设置备用照明。</w:t>
      </w:r>
      <w:r>
        <w:rPr>
          <w:sz w:val="21"/>
        </w:rPr>
        <w:t xml:space="preserve"> </w:t>
      </w:r>
    </w:p>
    <w:p w14:paraId="0254A4B1" w14:textId="77777777" w:rsidR="00A71EEF" w:rsidRDefault="0081115D">
      <w:pPr>
        <w:pStyle w:val="a4"/>
        <w:numPr>
          <w:ilvl w:val="2"/>
          <w:numId w:val="44"/>
        </w:numPr>
        <w:tabs>
          <w:tab w:val="left" w:pos="1478"/>
        </w:tabs>
        <w:spacing w:line="446" w:lineRule="auto"/>
        <w:ind w:right="1498" w:firstLine="422"/>
        <w:rPr>
          <w:sz w:val="21"/>
        </w:rPr>
      </w:pPr>
      <w:r>
        <w:rPr>
          <w:spacing w:val="-3"/>
          <w:sz w:val="21"/>
        </w:rPr>
        <w:t>车站公共区、楼梯或扶梯处、疏散通道、避难走道</w:t>
      </w:r>
      <w:r>
        <w:rPr>
          <w:sz w:val="21"/>
        </w:rPr>
        <w:t>（</w:t>
      </w:r>
      <w:r>
        <w:rPr>
          <w:spacing w:val="-3"/>
          <w:sz w:val="21"/>
        </w:rPr>
        <w:t>含前室</w:t>
      </w:r>
      <w:r>
        <w:rPr>
          <w:sz w:val="21"/>
        </w:rPr>
        <w:t>）</w:t>
      </w:r>
      <w:r>
        <w:rPr>
          <w:spacing w:val="-3"/>
          <w:sz w:val="21"/>
        </w:rPr>
        <w:t>、安全出口、长度大</w:t>
      </w:r>
      <w:r>
        <w:rPr>
          <w:spacing w:val="-26"/>
          <w:sz w:val="21"/>
        </w:rPr>
        <w:t>于</w:t>
      </w:r>
      <w:r>
        <w:rPr>
          <w:spacing w:val="-26"/>
          <w:sz w:val="21"/>
        </w:rPr>
        <w:t xml:space="preserve"> </w:t>
      </w:r>
      <w:r>
        <w:rPr>
          <w:sz w:val="21"/>
        </w:rPr>
        <w:t>20m</w:t>
      </w:r>
      <w:r>
        <w:rPr>
          <w:spacing w:val="-8"/>
          <w:sz w:val="21"/>
        </w:rPr>
        <w:t xml:space="preserve"> </w:t>
      </w:r>
      <w:r>
        <w:rPr>
          <w:spacing w:val="-8"/>
          <w:sz w:val="21"/>
        </w:rPr>
        <w:t>的内走道、消防楼梯间、防烟楼梯间</w:t>
      </w:r>
      <w:r>
        <w:rPr>
          <w:spacing w:val="-3"/>
          <w:sz w:val="21"/>
        </w:rPr>
        <w:t>（</w:t>
      </w:r>
      <w:r>
        <w:rPr>
          <w:spacing w:val="-2"/>
          <w:sz w:val="21"/>
        </w:rPr>
        <w:t>含前室</w:t>
      </w:r>
      <w:r>
        <w:rPr>
          <w:sz w:val="21"/>
        </w:rPr>
        <w:t>）</w:t>
      </w:r>
      <w:r>
        <w:rPr>
          <w:spacing w:val="-3"/>
          <w:sz w:val="21"/>
        </w:rPr>
        <w:t>、地下区间、联络通道应设置疏散照</w:t>
      </w:r>
    </w:p>
    <w:p w14:paraId="043EBE1F" w14:textId="77777777" w:rsidR="00A71EEF" w:rsidRDefault="0081115D">
      <w:pPr>
        <w:pStyle w:val="a3"/>
        <w:ind w:left="418"/>
      </w:pPr>
      <w:r>
        <w:t>明。</w:t>
      </w:r>
      <w:r>
        <w:t xml:space="preserve"> </w:t>
      </w:r>
    </w:p>
    <w:p w14:paraId="761057FE" w14:textId="77777777" w:rsidR="00A71EEF" w:rsidRDefault="00A71EEF">
      <w:pPr>
        <w:pStyle w:val="a3"/>
        <w:spacing w:before="10"/>
        <w:rPr>
          <w:sz w:val="17"/>
        </w:rPr>
      </w:pPr>
    </w:p>
    <w:p w14:paraId="6C0CACF6" w14:textId="77777777" w:rsidR="00A71EEF" w:rsidRDefault="0081115D">
      <w:pPr>
        <w:pStyle w:val="a4"/>
        <w:numPr>
          <w:ilvl w:val="2"/>
          <w:numId w:val="44"/>
        </w:numPr>
        <w:tabs>
          <w:tab w:val="left" w:pos="1478"/>
        </w:tabs>
        <w:ind w:left="1477" w:hanging="638"/>
        <w:rPr>
          <w:sz w:val="21"/>
        </w:rPr>
      </w:pPr>
      <w:r>
        <w:rPr>
          <w:spacing w:val="-3"/>
          <w:sz w:val="21"/>
        </w:rPr>
        <w:t>应急照明灯具宜设置在墙面或顶棚处。</w:t>
      </w:r>
      <w:r>
        <w:rPr>
          <w:sz w:val="21"/>
        </w:rPr>
        <w:t xml:space="preserve"> </w:t>
      </w:r>
    </w:p>
    <w:p w14:paraId="3D545A78" w14:textId="77777777" w:rsidR="00A71EEF" w:rsidRDefault="00A71EEF">
      <w:pPr>
        <w:pStyle w:val="a3"/>
        <w:spacing w:before="2"/>
        <w:rPr>
          <w:sz w:val="18"/>
        </w:rPr>
      </w:pPr>
    </w:p>
    <w:p w14:paraId="681F863B" w14:textId="77777777" w:rsidR="00A71EEF" w:rsidRDefault="0081115D">
      <w:pPr>
        <w:pStyle w:val="a4"/>
        <w:numPr>
          <w:ilvl w:val="2"/>
          <w:numId w:val="44"/>
        </w:numPr>
        <w:tabs>
          <w:tab w:val="left" w:pos="1478"/>
        </w:tabs>
        <w:ind w:left="1477" w:hanging="638"/>
        <w:rPr>
          <w:sz w:val="21"/>
        </w:rPr>
      </w:pPr>
      <w:r>
        <w:rPr>
          <w:spacing w:val="-3"/>
          <w:sz w:val="21"/>
        </w:rPr>
        <w:t>应急照明的照度应符合下列规定：</w:t>
      </w:r>
      <w:r>
        <w:rPr>
          <w:sz w:val="21"/>
        </w:rPr>
        <w:t xml:space="preserve"> </w:t>
      </w:r>
    </w:p>
    <w:p w14:paraId="1C6D8111" w14:textId="77777777" w:rsidR="00A71EEF" w:rsidRDefault="00A71EEF">
      <w:pPr>
        <w:pStyle w:val="a3"/>
        <w:spacing w:before="12"/>
        <w:rPr>
          <w:sz w:val="17"/>
        </w:rPr>
      </w:pPr>
    </w:p>
    <w:p w14:paraId="2FFD37C7" w14:textId="77777777" w:rsidR="00A71EEF" w:rsidRDefault="0081115D">
      <w:pPr>
        <w:pStyle w:val="a3"/>
        <w:spacing w:line="446" w:lineRule="auto"/>
        <w:ind w:left="418" w:right="1391" w:firstLine="419"/>
      </w:pPr>
      <w:r>
        <w:t>车站疏散照明的地面最低水平照度不应小于</w:t>
      </w:r>
      <w:r>
        <w:t xml:space="preserve"> 3.0lx</w:t>
      </w:r>
      <w:r>
        <w:t>，楼梯或扶梯、疏散通道转角处的照度不应低于</w:t>
      </w:r>
      <w:r>
        <w:t xml:space="preserve"> 5.0lx</w:t>
      </w:r>
      <w:r>
        <w:t>；</w:t>
      </w:r>
      <w:r>
        <w:t xml:space="preserve"> </w:t>
      </w:r>
    </w:p>
    <w:p w14:paraId="20519587" w14:textId="77777777" w:rsidR="00A71EEF" w:rsidRDefault="0081115D">
      <w:pPr>
        <w:pStyle w:val="a3"/>
        <w:ind w:left="838"/>
      </w:pPr>
      <w:r>
        <w:t>地下区间道床面疏散照明的最低水平照度不应小于</w:t>
      </w:r>
      <w:r>
        <w:t xml:space="preserve"> 3.0lx</w:t>
      </w:r>
      <w:r>
        <w:t>；</w:t>
      </w:r>
      <w:r>
        <w:t xml:space="preserve"> </w:t>
      </w:r>
    </w:p>
    <w:p w14:paraId="74E21369" w14:textId="77777777" w:rsidR="00A71EEF" w:rsidRDefault="00A71EEF">
      <w:pPr>
        <w:pStyle w:val="a3"/>
        <w:rPr>
          <w:sz w:val="18"/>
        </w:rPr>
      </w:pPr>
    </w:p>
    <w:p w14:paraId="200FAC44" w14:textId="77777777" w:rsidR="00A71EEF" w:rsidRDefault="0081115D">
      <w:pPr>
        <w:pStyle w:val="a3"/>
        <w:spacing w:line="446" w:lineRule="auto"/>
        <w:ind w:left="418" w:right="1609" w:firstLine="419"/>
      </w:pPr>
      <w:r>
        <w:t>变电所、配电室、环控电控室、通信机房、信号机房、消防水泵房、车站控制室、站长室等应急指挥和应急设备设置场所的备用照明，其照度不应低于正常照明照度的</w:t>
      </w:r>
      <w:r>
        <w:t xml:space="preserve"> 50</w:t>
      </w:r>
      <w:r>
        <w:t>％；</w:t>
      </w:r>
      <w:r>
        <w:t xml:space="preserve"> </w:t>
      </w:r>
    </w:p>
    <w:p w14:paraId="14506FC4" w14:textId="77777777" w:rsidR="00A71EEF" w:rsidRDefault="0081115D">
      <w:pPr>
        <w:pStyle w:val="a3"/>
        <w:ind w:left="838"/>
      </w:pPr>
      <w:r>
        <w:t>其他场所的备用照明，其照度不应低于正常照明照度的</w:t>
      </w:r>
      <w:r>
        <w:t xml:space="preserve"> 10</w:t>
      </w:r>
      <w:r>
        <w:t>％。</w:t>
      </w:r>
      <w:r>
        <w:t xml:space="preserve"> </w:t>
      </w:r>
    </w:p>
    <w:p w14:paraId="6CDC7B7B" w14:textId="77777777" w:rsidR="00A71EEF" w:rsidRDefault="00A71EEF">
      <w:pPr>
        <w:sectPr w:rsidR="00A71EEF">
          <w:pgSz w:w="11910" w:h="16850"/>
          <w:pgMar w:top="1220" w:right="0" w:bottom="1420" w:left="1260" w:header="0" w:footer="1239" w:gutter="0"/>
          <w:cols w:space="720"/>
        </w:sectPr>
      </w:pPr>
    </w:p>
    <w:p w14:paraId="617A103F" w14:textId="77777777" w:rsidR="00A71EEF" w:rsidRDefault="0081115D">
      <w:pPr>
        <w:pStyle w:val="a4"/>
        <w:numPr>
          <w:ilvl w:val="2"/>
          <w:numId w:val="44"/>
        </w:numPr>
        <w:tabs>
          <w:tab w:val="left" w:pos="1478"/>
        </w:tabs>
        <w:spacing w:before="47" w:line="446" w:lineRule="auto"/>
        <w:ind w:right="1551" w:firstLine="422"/>
        <w:rPr>
          <w:sz w:val="21"/>
        </w:rPr>
      </w:pPr>
      <w:r>
        <w:rPr>
          <w:spacing w:val="-5"/>
          <w:sz w:val="21"/>
        </w:rPr>
        <w:t>地下车站及区间应急照明的持续供电时间不应小于</w:t>
      </w:r>
      <w:r>
        <w:rPr>
          <w:spacing w:val="-5"/>
          <w:sz w:val="21"/>
        </w:rPr>
        <w:t xml:space="preserve"> </w:t>
      </w:r>
      <w:r>
        <w:rPr>
          <w:sz w:val="21"/>
        </w:rPr>
        <w:t>60min</w:t>
      </w:r>
      <w:r>
        <w:rPr>
          <w:spacing w:val="-3"/>
          <w:sz w:val="21"/>
        </w:rPr>
        <w:t>，由正常照明转换为应急</w:t>
      </w:r>
      <w:r>
        <w:rPr>
          <w:spacing w:val="-8"/>
          <w:sz w:val="21"/>
        </w:rPr>
        <w:t>照</w:t>
      </w:r>
      <w:r>
        <w:rPr>
          <w:spacing w:val="-8"/>
          <w:sz w:val="21"/>
        </w:rPr>
        <w:t>明的切换时间不应大于</w:t>
      </w:r>
      <w:r>
        <w:rPr>
          <w:spacing w:val="-8"/>
          <w:sz w:val="21"/>
        </w:rPr>
        <w:t xml:space="preserve"> </w:t>
      </w:r>
      <w:r>
        <w:rPr>
          <w:sz w:val="21"/>
        </w:rPr>
        <w:t>5s</w:t>
      </w:r>
      <w:r>
        <w:rPr>
          <w:spacing w:val="-3"/>
          <w:sz w:val="21"/>
        </w:rPr>
        <w:t>。</w:t>
      </w:r>
      <w:r>
        <w:rPr>
          <w:sz w:val="21"/>
        </w:rPr>
        <w:t xml:space="preserve"> </w:t>
      </w:r>
    </w:p>
    <w:p w14:paraId="22CE36C0" w14:textId="77777777" w:rsidR="00A71EEF" w:rsidRDefault="0081115D">
      <w:pPr>
        <w:pStyle w:val="a4"/>
        <w:numPr>
          <w:ilvl w:val="1"/>
          <w:numId w:val="44"/>
        </w:numPr>
        <w:tabs>
          <w:tab w:val="left" w:pos="1264"/>
        </w:tabs>
        <w:spacing w:line="267" w:lineRule="exact"/>
        <w:rPr>
          <w:b/>
          <w:sz w:val="21"/>
        </w:rPr>
      </w:pPr>
      <w:r>
        <w:rPr>
          <w:spacing w:val="-3"/>
          <w:sz w:val="21"/>
        </w:rPr>
        <w:t>电线电缆的选择、敷设</w:t>
      </w:r>
      <w:r>
        <w:rPr>
          <w:b/>
          <w:spacing w:val="-3"/>
          <w:w w:val="99"/>
          <w:sz w:val="21"/>
        </w:rPr>
        <w:t xml:space="preserve"> </w:t>
      </w:r>
    </w:p>
    <w:p w14:paraId="5C1732DF" w14:textId="77777777" w:rsidR="00A71EEF" w:rsidRDefault="00A71EEF">
      <w:pPr>
        <w:pStyle w:val="a3"/>
        <w:spacing w:before="2"/>
        <w:rPr>
          <w:b/>
          <w:sz w:val="18"/>
        </w:rPr>
      </w:pPr>
    </w:p>
    <w:p w14:paraId="01078E06" w14:textId="77777777" w:rsidR="00A71EEF" w:rsidRDefault="0081115D">
      <w:pPr>
        <w:pStyle w:val="a4"/>
        <w:numPr>
          <w:ilvl w:val="2"/>
          <w:numId w:val="44"/>
        </w:numPr>
        <w:tabs>
          <w:tab w:val="left" w:pos="1478"/>
        </w:tabs>
        <w:spacing w:line="446" w:lineRule="auto"/>
        <w:ind w:right="1498" w:firstLine="422"/>
        <w:rPr>
          <w:sz w:val="21"/>
        </w:rPr>
      </w:pPr>
      <w:r>
        <w:rPr>
          <w:spacing w:val="-3"/>
          <w:sz w:val="21"/>
        </w:rPr>
        <w:t>消防用电设备的电线电缆选择和敷设应满足火灾时连续供电的需要，所有电线电缆均应为铜芯。</w:t>
      </w:r>
      <w:r>
        <w:rPr>
          <w:sz w:val="21"/>
        </w:rPr>
        <w:t xml:space="preserve"> </w:t>
      </w:r>
    </w:p>
    <w:p w14:paraId="19E03D12" w14:textId="77777777" w:rsidR="00A71EEF" w:rsidRDefault="0081115D">
      <w:pPr>
        <w:pStyle w:val="a4"/>
        <w:numPr>
          <w:ilvl w:val="2"/>
          <w:numId w:val="44"/>
        </w:numPr>
        <w:tabs>
          <w:tab w:val="left" w:pos="1478"/>
        </w:tabs>
        <w:spacing w:line="446" w:lineRule="auto"/>
        <w:ind w:right="1498" w:firstLine="422"/>
        <w:rPr>
          <w:sz w:val="21"/>
        </w:rPr>
      </w:pPr>
      <w:r>
        <w:rPr>
          <w:spacing w:val="-3"/>
          <w:sz w:val="21"/>
        </w:rPr>
        <w:t>地下线路敷设的电线电缆应采用低烟无卤阻燃电线电缆，地上线路敷设的电线电缆宜采用低烟无卤阻燃电线电缆。</w:t>
      </w:r>
      <w:r>
        <w:rPr>
          <w:sz w:val="21"/>
        </w:rPr>
        <w:t xml:space="preserve"> </w:t>
      </w:r>
    </w:p>
    <w:p w14:paraId="4A939A8E" w14:textId="77777777" w:rsidR="00A71EEF" w:rsidRDefault="0081115D">
      <w:pPr>
        <w:pStyle w:val="a4"/>
        <w:numPr>
          <w:ilvl w:val="2"/>
          <w:numId w:val="44"/>
        </w:numPr>
        <w:tabs>
          <w:tab w:val="left" w:pos="1478"/>
        </w:tabs>
        <w:ind w:left="1477" w:hanging="638"/>
        <w:rPr>
          <w:sz w:val="21"/>
        </w:rPr>
      </w:pPr>
      <w:r>
        <w:rPr>
          <w:spacing w:val="-3"/>
          <w:sz w:val="21"/>
        </w:rPr>
        <w:t>中压电缆宜采用耐火电缆。</w:t>
      </w:r>
      <w:r>
        <w:rPr>
          <w:sz w:val="21"/>
        </w:rPr>
        <w:t xml:space="preserve"> </w:t>
      </w:r>
    </w:p>
    <w:p w14:paraId="1B9D15B6" w14:textId="77777777" w:rsidR="00A71EEF" w:rsidRDefault="00A71EEF">
      <w:pPr>
        <w:pStyle w:val="a3"/>
        <w:spacing w:before="10"/>
        <w:rPr>
          <w:sz w:val="17"/>
        </w:rPr>
      </w:pPr>
    </w:p>
    <w:p w14:paraId="7456BA49" w14:textId="77777777" w:rsidR="00A71EEF" w:rsidRDefault="0081115D">
      <w:pPr>
        <w:pStyle w:val="a4"/>
        <w:numPr>
          <w:ilvl w:val="2"/>
          <w:numId w:val="44"/>
        </w:numPr>
        <w:tabs>
          <w:tab w:val="left" w:pos="1478"/>
        </w:tabs>
        <w:spacing w:before="1" w:line="446" w:lineRule="auto"/>
        <w:ind w:right="1496" w:firstLine="422"/>
        <w:rPr>
          <w:sz w:val="21"/>
        </w:rPr>
      </w:pPr>
      <w:r>
        <w:rPr>
          <w:spacing w:val="-3"/>
          <w:sz w:val="21"/>
        </w:rPr>
        <w:t>消防用电设备的配电线路应采用耐火电线电缆，由变电所引至重要消防用电设备的电源主干线及分支干线，宜采用矿物绝缘类不燃性电缆。</w:t>
      </w:r>
      <w:r>
        <w:rPr>
          <w:sz w:val="21"/>
        </w:rPr>
        <w:t xml:space="preserve"> </w:t>
      </w:r>
    </w:p>
    <w:p w14:paraId="3E357430" w14:textId="77777777" w:rsidR="00A71EEF" w:rsidRDefault="0081115D">
      <w:pPr>
        <w:pStyle w:val="a4"/>
        <w:numPr>
          <w:ilvl w:val="2"/>
          <w:numId w:val="44"/>
        </w:numPr>
        <w:tabs>
          <w:tab w:val="left" w:pos="1478"/>
        </w:tabs>
        <w:spacing w:line="446" w:lineRule="auto"/>
        <w:ind w:right="1498" w:firstLine="422"/>
        <w:rPr>
          <w:sz w:val="21"/>
        </w:rPr>
      </w:pPr>
      <w:r>
        <w:rPr>
          <w:spacing w:val="-5"/>
          <w:sz w:val="21"/>
        </w:rPr>
        <w:t>当电缆成束敷设时，应采用阻燃电缆，且电缆的阻燃级别不应低于</w:t>
      </w:r>
      <w:r>
        <w:rPr>
          <w:spacing w:val="-5"/>
          <w:sz w:val="21"/>
        </w:rPr>
        <w:t xml:space="preserve"> </w:t>
      </w:r>
      <w:r>
        <w:rPr>
          <w:sz w:val="21"/>
        </w:rPr>
        <w:t>B</w:t>
      </w:r>
      <w:r>
        <w:rPr>
          <w:spacing w:val="-9"/>
          <w:sz w:val="21"/>
        </w:rPr>
        <w:t xml:space="preserve"> </w:t>
      </w:r>
      <w:r>
        <w:rPr>
          <w:spacing w:val="-9"/>
          <w:sz w:val="21"/>
        </w:rPr>
        <w:t>级，敷设在同</w:t>
      </w:r>
      <w:r>
        <w:rPr>
          <w:spacing w:val="-5"/>
          <w:sz w:val="21"/>
        </w:rPr>
        <w:t>一建筑内的电缆的阻燃级别宜相同。</w:t>
      </w:r>
      <w:r>
        <w:rPr>
          <w:sz w:val="21"/>
        </w:rPr>
        <w:t xml:space="preserve"> </w:t>
      </w:r>
    </w:p>
    <w:p w14:paraId="23B71E0C" w14:textId="77777777" w:rsidR="00A71EEF" w:rsidRDefault="00A71EEF">
      <w:pPr>
        <w:pStyle w:val="a3"/>
        <w:rPr>
          <w:sz w:val="20"/>
        </w:rPr>
      </w:pPr>
    </w:p>
    <w:p w14:paraId="43086636" w14:textId="77777777" w:rsidR="00A71EEF" w:rsidRDefault="00A71EEF">
      <w:pPr>
        <w:pStyle w:val="a3"/>
        <w:rPr>
          <w:sz w:val="20"/>
        </w:rPr>
      </w:pPr>
    </w:p>
    <w:p w14:paraId="3445F3C5" w14:textId="77777777" w:rsidR="00A71EEF" w:rsidRDefault="00A71EEF">
      <w:pPr>
        <w:pStyle w:val="a3"/>
        <w:rPr>
          <w:sz w:val="20"/>
        </w:rPr>
      </w:pPr>
    </w:p>
    <w:p w14:paraId="7AA59159" w14:textId="77777777" w:rsidR="00A71EEF" w:rsidRDefault="00A71EEF">
      <w:pPr>
        <w:pStyle w:val="a3"/>
        <w:rPr>
          <w:sz w:val="20"/>
        </w:rPr>
      </w:pPr>
    </w:p>
    <w:p w14:paraId="3CC5F9CB" w14:textId="77777777" w:rsidR="00A71EEF" w:rsidRDefault="00A71EEF">
      <w:pPr>
        <w:pStyle w:val="a3"/>
        <w:rPr>
          <w:sz w:val="20"/>
        </w:rPr>
      </w:pPr>
    </w:p>
    <w:p w14:paraId="120CC155" w14:textId="77777777" w:rsidR="00A71EEF" w:rsidRDefault="00A71EEF">
      <w:pPr>
        <w:pStyle w:val="a3"/>
        <w:rPr>
          <w:sz w:val="20"/>
        </w:rPr>
      </w:pPr>
    </w:p>
    <w:p w14:paraId="0E619287" w14:textId="77777777" w:rsidR="00A71EEF" w:rsidRDefault="00A71EEF">
      <w:pPr>
        <w:pStyle w:val="a3"/>
        <w:rPr>
          <w:sz w:val="20"/>
        </w:rPr>
      </w:pPr>
    </w:p>
    <w:p w14:paraId="503F04CE" w14:textId="77777777" w:rsidR="00A71EEF" w:rsidRDefault="00A71EEF">
      <w:pPr>
        <w:pStyle w:val="a3"/>
        <w:rPr>
          <w:sz w:val="20"/>
        </w:rPr>
      </w:pPr>
    </w:p>
    <w:p w14:paraId="1CA842C8" w14:textId="77777777" w:rsidR="00A71EEF" w:rsidRDefault="00A71EEF">
      <w:pPr>
        <w:pStyle w:val="a3"/>
        <w:rPr>
          <w:sz w:val="20"/>
        </w:rPr>
      </w:pPr>
    </w:p>
    <w:p w14:paraId="7E16B45D" w14:textId="77777777" w:rsidR="00A71EEF" w:rsidRDefault="00A71EEF">
      <w:pPr>
        <w:pStyle w:val="a3"/>
        <w:rPr>
          <w:sz w:val="20"/>
        </w:rPr>
      </w:pPr>
    </w:p>
    <w:p w14:paraId="48125F74" w14:textId="77777777" w:rsidR="00A71EEF" w:rsidRDefault="00A71EEF">
      <w:pPr>
        <w:pStyle w:val="a3"/>
        <w:rPr>
          <w:sz w:val="20"/>
        </w:rPr>
      </w:pPr>
    </w:p>
    <w:p w14:paraId="03E4AECD" w14:textId="77777777" w:rsidR="00A71EEF" w:rsidRDefault="00A71EEF">
      <w:pPr>
        <w:pStyle w:val="a3"/>
        <w:rPr>
          <w:sz w:val="20"/>
        </w:rPr>
      </w:pPr>
    </w:p>
    <w:p w14:paraId="771290C9" w14:textId="77777777" w:rsidR="00A71EEF" w:rsidRDefault="00A71EEF">
      <w:pPr>
        <w:pStyle w:val="a3"/>
        <w:rPr>
          <w:sz w:val="20"/>
        </w:rPr>
      </w:pPr>
    </w:p>
    <w:p w14:paraId="1E497691" w14:textId="77777777" w:rsidR="00A71EEF" w:rsidRDefault="00A71EEF">
      <w:pPr>
        <w:pStyle w:val="a3"/>
        <w:rPr>
          <w:sz w:val="20"/>
        </w:rPr>
      </w:pPr>
    </w:p>
    <w:p w14:paraId="035662C9" w14:textId="77777777" w:rsidR="00A71EEF" w:rsidRDefault="00A71EEF">
      <w:pPr>
        <w:pStyle w:val="a3"/>
        <w:rPr>
          <w:sz w:val="20"/>
        </w:rPr>
      </w:pPr>
    </w:p>
    <w:p w14:paraId="24185EC9" w14:textId="77777777" w:rsidR="00A71EEF" w:rsidRDefault="00A71EEF">
      <w:pPr>
        <w:pStyle w:val="a3"/>
        <w:rPr>
          <w:sz w:val="20"/>
        </w:rPr>
      </w:pPr>
    </w:p>
    <w:p w14:paraId="55F90D79" w14:textId="77777777" w:rsidR="00A71EEF" w:rsidRDefault="00A71EEF">
      <w:pPr>
        <w:pStyle w:val="a3"/>
        <w:rPr>
          <w:sz w:val="20"/>
        </w:rPr>
      </w:pPr>
    </w:p>
    <w:p w14:paraId="4E86CD99" w14:textId="77777777" w:rsidR="00A71EEF" w:rsidRDefault="00A71EEF">
      <w:pPr>
        <w:pStyle w:val="a3"/>
        <w:rPr>
          <w:sz w:val="20"/>
        </w:rPr>
      </w:pPr>
    </w:p>
    <w:p w14:paraId="248A3CFA" w14:textId="77777777" w:rsidR="00A71EEF" w:rsidRDefault="00A71EEF">
      <w:pPr>
        <w:pStyle w:val="a3"/>
        <w:rPr>
          <w:sz w:val="20"/>
        </w:rPr>
      </w:pPr>
    </w:p>
    <w:p w14:paraId="665206DA" w14:textId="77777777" w:rsidR="00A71EEF" w:rsidRDefault="00A71EEF">
      <w:pPr>
        <w:pStyle w:val="a3"/>
        <w:rPr>
          <w:sz w:val="20"/>
        </w:rPr>
      </w:pPr>
    </w:p>
    <w:p w14:paraId="73DDD6B3" w14:textId="77777777" w:rsidR="00A71EEF" w:rsidRDefault="00A71EEF">
      <w:pPr>
        <w:pStyle w:val="a3"/>
        <w:rPr>
          <w:sz w:val="20"/>
        </w:rPr>
      </w:pPr>
    </w:p>
    <w:p w14:paraId="20827462" w14:textId="77777777" w:rsidR="00A71EEF" w:rsidRDefault="00A71EEF">
      <w:pPr>
        <w:pStyle w:val="a3"/>
        <w:rPr>
          <w:sz w:val="20"/>
        </w:rPr>
      </w:pPr>
    </w:p>
    <w:p w14:paraId="47B7A80C" w14:textId="77777777" w:rsidR="00A71EEF" w:rsidRDefault="00A71EEF">
      <w:pPr>
        <w:pStyle w:val="a3"/>
        <w:rPr>
          <w:sz w:val="20"/>
        </w:rPr>
      </w:pPr>
    </w:p>
    <w:p w14:paraId="6BB6A308" w14:textId="77777777" w:rsidR="00A71EEF" w:rsidRDefault="00A71EEF">
      <w:pPr>
        <w:pStyle w:val="a3"/>
        <w:rPr>
          <w:sz w:val="20"/>
        </w:rPr>
      </w:pPr>
    </w:p>
    <w:p w14:paraId="58995F78" w14:textId="77777777" w:rsidR="00A71EEF" w:rsidRDefault="00A71EEF">
      <w:pPr>
        <w:pStyle w:val="a3"/>
        <w:rPr>
          <w:sz w:val="20"/>
        </w:rPr>
      </w:pPr>
    </w:p>
    <w:p w14:paraId="0EF05849" w14:textId="77777777" w:rsidR="00A71EEF" w:rsidRDefault="00A71EEF">
      <w:pPr>
        <w:pStyle w:val="a3"/>
        <w:rPr>
          <w:sz w:val="20"/>
        </w:rPr>
      </w:pPr>
    </w:p>
    <w:p w14:paraId="3577AC41" w14:textId="77777777" w:rsidR="00A71EEF" w:rsidRDefault="00A71EEF">
      <w:pPr>
        <w:pStyle w:val="a3"/>
        <w:rPr>
          <w:sz w:val="20"/>
        </w:rPr>
      </w:pPr>
    </w:p>
    <w:p w14:paraId="4B181B3F" w14:textId="77777777" w:rsidR="00A71EEF" w:rsidRDefault="00A71EEF">
      <w:pPr>
        <w:pStyle w:val="a3"/>
        <w:rPr>
          <w:sz w:val="20"/>
        </w:rPr>
      </w:pPr>
    </w:p>
    <w:p w14:paraId="76DA0D5C" w14:textId="77777777" w:rsidR="00A71EEF" w:rsidRDefault="00A71EEF">
      <w:pPr>
        <w:pStyle w:val="a3"/>
        <w:spacing w:before="11"/>
        <w:rPr>
          <w:sz w:val="19"/>
        </w:rPr>
      </w:pPr>
    </w:p>
    <w:p w14:paraId="263F7B95" w14:textId="77777777" w:rsidR="00A71EEF" w:rsidRDefault="0081115D">
      <w:pPr>
        <w:pStyle w:val="a3"/>
        <w:spacing w:before="71"/>
        <w:ind w:left="3298"/>
      </w:pPr>
      <w:r>
        <w:t xml:space="preserve"> </w:t>
      </w:r>
    </w:p>
    <w:p w14:paraId="6C74D207" w14:textId="77777777" w:rsidR="00A71EEF" w:rsidRDefault="00A71EEF">
      <w:pPr>
        <w:sectPr w:rsidR="00A71EEF">
          <w:pgSz w:w="11910" w:h="16850"/>
          <w:pgMar w:top="1220" w:right="0" w:bottom="1420" w:left="1260" w:header="0" w:footer="1239" w:gutter="0"/>
          <w:cols w:space="720"/>
        </w:sectPr>
      </w:pPr>
    </w:p>
    <w:p w14:paraId="58AA3AA5" w14:textId="77777777" w:rsidR="00A71EEF" w:rsidRDefault="0081115D">
      <w:pPr>
        <w:pStyle w:val="2"/>
        <w:spacing w:before="157"/>
        <w:ind w:right="798"/>
        <w:rPr>
          <w:sz w:val="44"/>
        </w:rPr>
      </w:pPr>
      <w:bookmarkStart w:id="36" w:name="_bookmark36"/>
      <w:bookmarkEnd w:id="36"/>
      <w:r>
        <w:t>消防通信指挥系统设计规范</w:t>
      </w:r>
      <w:r>
        <w:rPr>
          <w:w w:val="99"/>
          <w:sz w:val="44"/>
        </w:rPr>
        <w:t xml:space="preserve"> </w:t>
      </w:r>
    </w:p>
    <w:p w14:paraId="1598BF8F" w14:textId="77777777" w:rsidR="00A71EEF" w:rsidRDefault="00A71EEF">
      <w:pPr>
        <w:pStyle w:val="a3"/>
        <w:rPr>
          <w:b/>
          <w:sz w:val="20"/>
        </w:rPr>
      </w:pPr>
    </w:p>
    <w:p w14:paraId="1FF98ED8" w14:textId="77777777" w:rsidR="00A71EEF" w:rsidRDefault="00A71EEF">
      <w:pPr>
        <w:pStyle w:val="a3"/>
        <w:spacing w:before="5"/>
        <w:rPr>
          <w:b/>
          <w:sz w:val="14"/>
        </w:rPr>
      </w:pPr>
    </w:p>
    <w:p w14:paraId="43E9A94B" w14:textId="77777777" w:rsidR="00A71EEF" w:rsidRDefault="0081115D">
      <w:pPr>
        <w:pStyle w:val="4"/>
        <w:spacing w:before="66"/>
      </w:pPr>
      <w:r>
        <w:t xml:space="preserve">1 </w:t>
      </w:r>
      <w:r>
        <w:t>总则</w:t>
      </w:r>
      <w:r>
        <w:rPr>
          <w:w w:val="99"/>
        </w:rPr>
        <w:t xml:space="preserve"> </w:t>
      </w:r>
    </w:p>
    <w:p w14:paraId="76107E41" w14:textId="77777777" w:rsidR="00A71EEF" w:rsidRDefault="00A71EEF">
      <w:pPr>
        <w:pStyle w:val="a3"/>
        <w:spacing w:before="4"/>
        <w:rPr>
          <w:b/>
          <w:sz w:val="17"/>
        </w:rPr>
      </w:pPr>
    </w:p>
    <w:p w14:paraId="71C885E9" w14:textId="77777777" w:rsidR="00A71EEF" w:rsidRDefault="0081115D">
      <w:pPr>
        <w:pStyle w:val="a4"/>
        <w:numPr>
          <w:ilvl w:val="1"/>
          <w:numId w:val="43"/>
        </w:numPr>
        <w:tabs>
          <w:tab w:val="left" w:pos="1160"/>
        </w:tabs>
        <w:spacing w:line="446" w:lineRule="auto"/>
        <w:ind w:right="1431" w:firstLine="422"/>
        <w:jc w:val="both"/>
        <w:rPr>
          <w:sz w:val="21"/>
        </w:rPr>
      </w:pPr>
      <w:r>
        <w:rPr>
          <w:spacing w:val="-6"/>
          <w:sz w:val="21"/>
        </w:rPr>
        <w:t>为了规范消防通信指挥系统设计，构建完整的消防通信指挥技术支撑体系，提高消防部</w:t>
      </w:r>
      <w:r>
        <w:rPr>
          <w:spacing w:val="-8"/>
          <w:sz w:val="21"/>
        </w:rPr>
        <w:t>队灭火救援能力，满足各级消防责任辖区和跨区域作战指挥通信需要，保护公民生命、财产和社</w:t>
      </w:r>
      <w:r>
        <w:rPr>
          <w:spacing w:val="-5"/>
          <w:sz w:val="21"/>
        </w:rPr>
        <w:t>会公共安全，制定本规范。</w:t>
      </w:r>
      <w:r>
        <w:rPr>
          <w:spacing w:val="-5"/>
          <w:sz w:val="21"/>
        </w:rPr>
        <w:t xml:space="preserve"> </w:t>
      </w:r>
    </w:p>
    <w:p w14:paraId="34C6370D" w14:textId="77777777" w:rsidR="00A71EEF" w:rsidRDefault="0081115D">
      <w:pPr>
        <w:pStyle w:val="a4"/>
        <w:numPr>
          <w:ilvl w:val="1"/>
          <w:numId w:val="43"/>
        </w:numPr>
        <w:tabs>
          <w:tab w:val="left" w:pos="1159"/>
        </w:tabs>
        <w:spacing w:line="268" w:lineRule="exact"/>
        <w:ind w:left="1158" w:hanging="319"/>
        <w:rPr>
          <w:sz w:val="21"/>
        </w:rPr>
      </w:pPr>
      <w:r>
        <w:rPr>
          <w:spacing w:val="-3"/>
          <w:sz w:val="21"/>
        </w:rPr>
        <w:t>本规范适用于新建、改建、扩建的消防通信指挥系统设计。</w:t>
      </w:r>
      <w:r>
        <w:rPr>
          <w:sz w:val="21"/>
        </w:rPr>
        <w:t xml:space="preserve"> </w:t>
      </w:r>
    </w:p>
    <w:p w14:paraId="333ACDDB" w14:textId="77777777" w:rsidR="00A71EEF" w:rsidRDefault="00A71EEF">
      <w:pPr>
        <w:pStyle w:val="a3"/>
        <w:rPr>
          <w:sz w:val="18"/>
        </w:rPr>
      </w:pPr>
    </w:p>
    <w:p w14:paraId="71F8261E" w14:textId="77777777" w:rsidR="00A71EEF" w:rsidRDefault="0081115D">
      <w:pPr>
        <w:pStyle w:val="a4"/>
        <w:numPr>
          <w:ilvl w:val="1"/>
          <w:numId w:val="43"/>
        </w:numPr>
        <w:tabs>
          <w:tab w:val="left" w:pos="1159"/>
        </w:tabs>
        <w:spacing w:line="446" w:lineRule="auto"/>
        <w:ind w:right="1431" w:firstLine="422"/>
        <w:jc w:val="both"/>
        <w:rPr>
          <w:sz w:val="21"/>
        </w:rPr>
      </w:pPr>
      <w:r>
        <w:rPr>
          <w:spacing w:val="-6"/>
          <w:sz w:val="21"/>
        </w:rPr>
        <w:t>消防通信指挥系统的设计应遵循国家有关方针、政策和法律、法规，适应扑救火灾和处</w:t>
      </w:r>
      <w:r>
        <w:rPr>
          <w:spacing w:val="-8"/>
          <w:sz w:val="21"/>
        </w:rPr>
        <w:t>置其他灾害事故的需要，并与通信、网络等公共基础设施建设发展相协调，做到安全实用、技术</w:t>
      </w:r>
      <w:r>
        <w:rPr>
          <w:spacing w:val="-5"/>
          <w:sz w:val="21"/>
        </w:rPr>
        <w:t>先进、经济合理。</w:t>
      </w:r>
      <w:r>
        <w:rPr>
          <w:sz w:val="21"/>
        </w:rPr>
        <w:t xml:space="preserve"> </w:t>
      </w:r>
    </w:p>
    <w:p w14:paraId="57DB4BC0" w14:textId="77777777" w:rsidR="00A71EEF" w:rsidRDefault="0081115D">
      <w:pPr>
        <w:pStyle w:val="a4"/>
        <w:numPr>
          <w:ilvl w:val="1"/>
          <w:numId w:val="43"/>
        </w:numPr>
        <w:tabs>
          <w:tab w:val="left" w:pos="1159"/>
        </w:tabs>
        <w:spacing w:line="268" w:lineRule="exact"/>
        <w:ind w:left="1158" w:hanging="319"/>
        <w:rPr>
          <w:sz w:val="21"/>
        </w:rPr>
      </w:pPr>
      <w:r>
        <w:rPr>
          <w:spacing w:val="-3"/>
          <w:sz w:val="21"/>
        </w:rPr>
        <w:t>消防通信指挥系统的设计除应符合本规范外，尚应符合国家现行有关标准的规定。</w:t>
      </w:r>
      <w:r>
        <w:rPr>
          <w:sz w:val="21"/>
        </w:rPr>
        <w:t xml:space="preserve"> </w:t>
      </w:r>
    </w:p>
    <w:p w14:paraId="12F5F286" w14:textId="77777777" w:rsidR="00A71EEF" w:rsidRDefault="00A71EEF">
      <w:pPr>
        <w:pStyle w:val="a3"/>
        <w:spacing w:before="10"/>
        <w:rPr>
          <w:sz w:val="15"/>
        </w:rPr>
      </w:pPr>
    </w:p>
    <w:p w14:paraId="0065B621" w14:textId="77777777" w:rsidR="00A71EEF" w:rsidRDefault="0081115D">
      <w:pPr>
        <w:pStyle w:val="4"/>
      </w:pPr>
      <w:r>
        <w:t xml:space="preserve">2 </w:t>
      </w:r>
      <w:r>
        <w:t>术语</w:t>
      </w:r>
      <w:r>
        <w:rPr>
          <w:w w:val="99"/>
        </w:rPr>
        <w:t xml:space="preserve"> </w:t>
      </w:r>
    </w:p>
    <w:p w14:paraId="5908D359" w14:textId="77777777" w:rsidR="00A71EEF" w:rsidRDefault="00A71EEF">
      <w:pPr>
        <w:pStyle w:val="a3"/>
        <w:spacing w:before="4"/>
        <w:rPr>
          <w:b/>
          <w:sz w:val="17"/>
        </w:rPr>
      </w:pPr>
    </w:p>
    <w:p w14:paraId="42A0E27D" w14:textId="77777777" w:rsidR="00A71EEF" w:rsidRDefault="0081115D">
      <w:pPr>
        <w:pStyle w:val="a4"/>
        <w:numPr>
          <w:ilvl w:val="1"/>
          <w:numId w:val="42"/>
        </w:numPr>
        <w:tabs>
          <w:tab w:val="left" w:pos="1159"/>
        </w:tabs>
        <w:ind w:hanging="319"/>
        <w:rPr>
          <w:sz w:val="21"/>
        </w:rPr>
      </w:pPr>
      <w:r>
        <w:rPr>
          <w:spacing w:val="-3"/>
          <w:sz w:val="21"/>
        </w:rPr>
        <w:t>消防通信指挥中心</w:t>
      </w:r>
      <w:r>
        <w:rPr>
          <w:spacing w:val="-3"/>
          <w:sz w:val="21"/>
        </w:rPr>
        <w:t xml:space="preserve"> </w:t>
      </w:r>
      <w:r>
        <w:rPr>
          <w:sz w:val="21"/>
        </w:rPr>
        <w:t>fire</w:t>
      </w:r>
      <w:r>
        <w:rPr>
          <w:spacing w:val="1"/>
          <w:sz w:val="21"/>
        </w:rPr>
        <w:t xml:space="preserve"> </w:t>
      </w:r>
      <w:r>
        <w:rPr>
          <w:sz w:val="21"/>
        </w:rPr>
        <w:t>communication and</w:t>
      </w:r>
      <w:r>
        <w:rPr>
          <w:spacing w:val="1"/>
          <w:sz w:val="21"/>
        </w:rPr>
        <w:t xml:space="preserve"> </w:t>
      </w:r>
      <w:r>
        <w:rPr>
          <w:sz w:val="21"/>
        </w:rPr>
        <w:t>command</w:t>
      </w:r>
      <w:r>
        <w:rPr>
          <w:spacing w:val="-2"/>
          <w:sz w:val="21"/>
        </w:rPr>
        <w:t xml:space="preserve"> </w:t>
      </w:r>
      <w:r>
        <w:rPr>
          <w:sz w:val="21"/>
        </w:rPr>
        <w:t xml:space="preserve">center </w:t>
      </w:r>
    </w:p>
    <w:p w14:paraId="311D9F84" w14:textId="77777777" w:rsidR="00A71EEF" w:rsidRDefault="00A71EEF">
      <w:pPr>
        <w:pStyle w:val="a3"/>
        <w:rPr>
          <w:sz w:val="18"/>
        </w:rPr>
      </w:pPr>
    </w:p>
    <w:p w14:paraId="587D5714" w14:textId="77777777" w:rsidR="00A71EEF" w:rsidRDefault="0081115D">
      <w:pPr>
        <w:pStyle w:val="a3"/>
        <w:spacing w:line="446" w:lineRule="auto"/>
        <w:ind w:left="418" w:right="1433" w:firstLine="419"/>
      </w:pPr>
      <w:r>
        <w:rPr>
          <w:spacing w:val="-6"/>
        </w:rPr>
        <w:t>设在消防指挥机构，能与公安机关指挥中心、政府相关部门互联互通，具有受理火灾及其他</w:t>
      </w:r>
      <w:r>
        <w:rPr>
          <w:spacing w:val="-4"/>
        </w:rPr>
        <w:t>灾害事故报警、灭火救援高度指挥、情报信息支持等功能的部分。</w:t>
      </w:r>
      <w:r>
        <w:t xml:space="preserve"> </w:t>
      </w:r>
    </w:p>
    <w:p w14:paraId="5B828915" w14:textId="77777777" w:rsidR="00A71EEF" w:rsidRDefault="0081115D">
      <w:pPr>
        <w:pStyle w:val="a4"/>
        <w:numPr>
          <w:ilvl w:val="1"/>
          <w:numId w:val="42"/>
        </w:numPr>
        <w:tabs>
          <w:tab w:val="left" w:pos="1160"/>
        </w:tabs>
        <w:ind w:left="1159" w:hanging="320"/>
        <w:rPr>
          <w:sz w:val="21"/>
        </w:rPr>
      </w:pPr>
      <w:r>
        <w:rPr>
          <w:spacing w:val="-3"/>
          <w:sz w:val="21"/>
        </w:rPr>
        <w:t>移动消防指挥中心</w:t>
      </w:r>
      <w:r>
        <w:rPr>
          <w:spacing w:val="-3"/>
          <w:sz w:val="21"/>
        </w:rPr>
        <w:t xml:space="preserve"> </w:t>
      </w:r>
      <w:r>
        <w:rPr>
          <w:sz w:val="21"/>
        </w:rPr>
        <w:t>mobile</w:t>
      </w:r>
      <w:r>
        <w:rPr>
          <w:spacing w:val="1"/>
          <w:sz w:val="21"/>
        </w:rPr>
        <w:t xml:space="preserve"> </w:t>
      </w:r>
      <w:r>
        <w:rPr>
          <w:sz w:val="21"/>
        </w:rPr>
        <w:t>fire</w:t>
      </w:r>
      <w:r>
        <w:rPr>
          <w:spacing w:val="-3"/>
          <w:sz w:val="21"/>
        </w:rPr>
        <w:t xml:space="preserve"> </w:t>
      </w:r>
      <w:r>
        <w:rPr>
          <w:sz w:val="21"/>
        </w:rPr>
        <w:t>communication</w:t>
      </w:r>
      <w:r>
        <w:rPr>
          <w:spacing w:val="1"/>
          <w:sz w:val="21"/>
        </w:rPr>
        <w:t xml:space="preserve"> </w:t>
      </w:r>
      <w:r>
        <w:rPr>
          <w:sz w:val="21"/>
        </w:rPr>
        <w:t>and command</w:t>
      </w:r>
      <w:r>
        <w:rPr>
          <w:spacing w:val="1"/>
          <w:sz w:val="21"/>
        </w:rPr>
        <w:t xml:space="preserve"> </w:t>
      </w:r>
      <w:r>
        <w:rPr>
          <w:sz w:val="21"/>
        </w:rPr>
        <w:t xml:space="preserve">center </w:t>
      </w:r>
    </w:p>
    <w:p w14:paraId="39D1DD45" w14:textId="77777777" w:rsidR="00A71EEF" w:rsidRDefault="00A71EEF">
      <w:pPr>
        <w:pStyle w:val="a3"/>
        <w:spacing w:before="12"/>
        <w:rPr>
          <w:sz w:val="17"/>
        </w:rPr>
      </w:pPr>
    </w:p>
    <w:p w14:paraId="43227675" w14:textId="77777777" w:rsidR="00A71EEF" w:rsidRDefault="0081115D">
      <w:pPr>
        <w:pStyle w:val="a3"/>
        <w:spacing w:line="446" w:lineRule="auto"/>
        <w:ind w:left="418" w:right="1410" w:firstLine="419"/>
      </w:pPr>
      <w:r>
        <w:t>设在消防通信指挥车等移动载体上，具有在火场及其他灾害事故现场或消防勤</w:t>
      </w:r>
      <w:r>
        <w:t>务现场进行通信组网、指挥通信、情报信息支持等功能的部分，是消防通信指挥中心的延伸。</w:t>
      </w:r>
      <w:r>
        <w:t xml:space="preserve"> </w:t>
      </w:r>
    </w:p>
    <w:p w14:paraId="1C2750E8" w14:textId="77777777" w:rsidR="00A71EEF" w:rsidRDefault="0081115D">
      <w:pPr>
        <w:pStyle w:val="a4"/>
        <w:numPr>
          <w:ilvl w:val="1"/>
          <w:numId w:val="42"/>
        </w:numPr>
        <w:tabs>
          <w:tab w:val="left" w:pos="1159"/>
        </w:tabs>
        <w:ind w:hanging="319"/>
        <w:rPr>
          <w:sz w:val="21"/>
        </w:rPr>
      </w:pPr>
      <w:r>
        <w:rPr>
          <w:spacing w:val="-3"/>
          <w:sz w:val="21"/>
        </w:rPr>
        <w:t>火警受理子系统</w:t>
      </w:r>
      <w:r>
        <w:rPr>
          <w:spacing w:val="-3"/>
          <w:sz w:val="21"/>
        </w:rPr>
        <w:t xml:space="preserve"> </w:t>
      </w:r>
      <w:r>
        <w:rPr>
          <w:sz w:val="21"/>
        </w:rPr>
        <w:t>fire</w:t>
      </w:r>
      <w:r>
        <w:rPr>
          <w:spacing w:val="1"/>
          <w:sz w:val="21"/>
        </w:rPr>
        <w:t xml:space="preserve"> </w:t>
      </w:r>
      <w:r>
        <w:rPr>
          <w:sz w:val="21"/>
        </w:rPr>
        <w:t>alarm</w:t>
      </w:r>
      <w:r>
        <w:rPr>
          <w:spacing w:val="1"/>
          <w:sz w:val="21"/>
        </w:rPr>
        <w:t xml:space="preserve"> </w:t>
      </w:r>
      <w:r>
        <w:rPr>
          <w:sz w:val="21"/>
        </w:rPr>
        <w:t>acceptance</w:t>
      </w:r>
      <w:r>
        <w:rPr>
          <w:spacing w:val="-3"/>
          <w:sz w:val="21"/>
        </w:rPr>
        <w:t xml:space="preserve"> </w:t>
      </w:r>
      <w:r>
        <w:rPr>
          <w:sz w:val="21"/>
        </w:rPr>
        <w:t xml:space="preserve">sub-system </w:t>
      </w:r>
    </w:p>
    <w:p w14:paraId="2B578510" w14:textId="77777777" w:rsidR="00A71EEF" w:rsidRDefault="00A71EEF">
      <w:pPr>
        <w:pStyle w:val="a3"/>
        <w:rPr>
          <w:sz w:val="18"/>
        </w:rPr>
      </w:pPr>
    </w:p>
    <w:p w14:paraId="579873CE" w14:textId="77777777" w:rsidR="00A71EEF" w:rsidRDefault="0081115D">
      <w:pPr>
        <w:pStyle w:val="a3"/>
        <w:spacing w:line="448" w:lineRule="auto"/>
        <w:ind w:left="418" w:right="1431" w:firstLine="419"/>
      </w:pPr>
      <w:r>
        <w:rPr>
          <w:spacing w:val="-6"/>
        </w:rPr>
        <w:t>消防通信指挥系统中，通过通信网络，接收、处理火灾及其他灾害事故报警和相关信息的部</w:t>
      </w:r>
      <w:r>
        <w:rPr>
          <w:spacing w:val="-4"/>
        </w:rPr>
        <w:t>分。主要设备有火警受理终端、消防站火警终端等。</w:t>
      </w:r>
      <w:r>
        <w:rPr>
          <w:spacing w:val="-4"/>
        </w:rPr>
        <w:t xml:space="preserve"> </w:t>
      </w:r>
    </w:p>
    <w:p w14:paraId="0E9F7A22" w14:textId="77777777" w:rsidR="00A71EEF" w:rsidRDefault="0081115D">
      <w:pPr>
        <w:pStyle w:val="a4"/>
        <w:numPr>
          <w:ilvl w:val="1"/>
          <w:numId w:val="42"/>
        </w:numPr>
        <w:tabs>
          <w:tab w:val="left" w:pos="1160"/>
        </w:tabs>
        <w:spacing w:line="264" w:lineRule="exact"/>
        <w:ind w:left="1159" w:hanging="320"/>
        <w:rPr>
          <w:sz w:val="21"/>
        </w:rPr>
      </w:pPr>
      <w:r>
        <w:rPr>
          <w:spacing w:val="-3"/>
          <w:sz w:val="21"/>
        </w:rPr>
        <w:t>跨区域调度指挥子系统</w:t>
      </w:r>
      <w:r>
        <w:rPr>
          <w:spacing w:val="-3"/>
          <w:sz w:val="21"/>
        </w:rPr>
        <w:t xml:space="preserve"> </w:t>
      </w:r>
      <w:r>
        <w:rPr>
          <w:sz w:val="21"/>
        </w:rPr>
        <w:t>cross-zone</w:t>
      </w:r>
      <w:r>
        <w:rPr>
          <w:spacing w:val="-2"/>
          <w:sz w:val="21"/>
        </w:rPr>
        <w:t xml:space="preserve"> </w:t>
      </w:r>
      <w:r>
        <w:rPr>
          <w:sz w:val="21"/>
        </w:rPr>
        <w:t>command</w:t>
      </w:r>
      <w:r>
        <w:rPr>
          <w:spacing w:val="-2"/>
          <w:sz w:val="21"/>
        </w:rPr>
        <w:t xml:space="preserve"> </w:t>
      </w:r>
      <w:r>
        <w:rPr>
          <w:sz w:val="21"/>
        </w:rPr>
        <w:t>and</w:t>
      </w:r>
      <w:r>
        <w:rPr>
          <w:spacing w:val="1"/>
          <w:sz w:val="21"/>
        </w:rPr>
        <w:t xml:space="preserve"> </w:t>
      </w:r>
      <w:r>
        <w:rPr>
          <w:sz w:val="21"/>
        </w:rPr>
        <w:t>dispatch</w:t>
      </w:r>
      <w:r>
        <w:rPr>
          <w:spacing w:val="1"/>
          <w:sz w:val="21"/>
        </w:rPr>
        <w:t xml:space="preserve"> </w:t>
      </w:r>
      <w:r>
        <w:rPr>
          <w:sz w:val="21"/>
        </w:rPr>
        <w:t xml:space="preserve">sub-system </w:t>
      </w:r>
    </w:p>
    <w:p w14:paraId="171D2B18" w14:textId="77777777" w:rsidR="00A71EEF" w:rsidRDefault="00A71EEF">
      <w:pPr>
        <w:pStyle w:val="a3"/>
        <w:spacing w:before="12"/>
        <w:rPr>
          <w:sz w:val="17"/>
        </w:rPr>
      </w:pPr>
    </w:p>
    <w:p w14:paraId="550AE8CC" w14:textId="77777777" w:rsidR="00A71EEF" w:rsidRDefault="0081115D">
      <w:pPr>
        <w:pStyle w:val="a3"/>
        <w:spacing w:line="446" w:lineRule="auto"/>
        <w:ind w:left="418" w:right="1433" w:firstLine="419"/>
      </w:pPr>
      <w:r>
        <w:rPr>
          <w:spacing w:val="-6"/>
        </w:rPr>
        <w:t>消防通信指挥系统中，通过通信网络，进行跨区域灭火救援调度指挥的部分。主要设备有调</w:t>
      </w:r>
      <w:r>
        <w:rPr>
          <w:spacing w:val="-4"/>
        </w:rPr>
        <w:t>度指挥终端等。</w:t>
      </w:r>
      <w:r>
        <w:t xml:space="preserve"> </w:t>
      </w:r>
    </w:p>
    <w:p w14:paraId="1E91B2FA" w14:textId="77777777" w:rsidR="00A71EEF" w:rsidRDefault="0081115D">
      <w:pPr>
        <w:pStyle w:val="a4"/>
        <w:numPr>
          <w:ilvl w:val="1"/>
          <w:numId w:val="42"/>
        </w:numPr>
        <w:tabs>
          <w:tab w:val="left" w:pos="1160"/>
        </w:tabs>
        <w:ind w:left="1159" w:hanging="320"/>
        <w:rPr>
          <w:sz w:val="21"/>
        </w:rPr>
      </w:pPr>
      <w:r>
        <w:rPr>
          <w:spacing w:val="-3"/>
          <w:sz w:val="21"/>
        </w:rPr>
        <w:t>现场指挥子系统</w:t>
      </w:r>
      <w:r>
        <w:rPr>
          <w:spacing w:val="-3"/>
          <w:sz w:val="21"/>
        </w:rPr>
        <w:t xml:space="preserve"> </w:t>
      </w:r>
      <w:r>
        <w:rPr>
          <w:sz w:val="21"/>
        </w:rPr>
        <w:t>fireground</w:t>
      </w:r>
      <w:r>
        <w:rPr>
          <w:spacing w:val="1"/>
          <w:sz w:val="21"/>
        </w:rPr>
        <w:t xml:space="preserve"> </w:t>
      </w:r>
      <w:r>
        <w:rPr>
          <w:sz w:val="21"/>
        </w:rPr>
        <w:t xml:space="preserve">command sub-system </w:t>
      </w:r>
    </w:p>
    <w:p w14:paraId="568BE4A1" w14:textId="77777777" w:rsidR="00A71EEF" w:rsidRDefault="00A71EEF">
      <w:pPr>
        <w:pStyle w:val="a3"/>
        <w:spacing w:before="12"/>
        <w:rPr>
          <w:sz w:val="17"/>
        </w:rPr>
      </w:pPr>
    </w:p>
    <w:p w14:paraId="4FCEDD16" w14:textId="77777777" w:rsidR="00A71EEF" w:rsidRDefault="0081115D">
      <w:pPr>
        <w:pStyle w:val="a3"/>
        <w:spacing w:line="448" w:lineRule="auto"/>
        <w:ind w:left="418" w:right="1433" w:firstLine="419"/>
      </w:pPr>
      <w:r>
        <w:rPr>
          <w:spacing w:val="-6"/>
        </w:rPr>
        <w:t>消防通信指挥系统中，通过通信网络，在火灾及其他灾害事故现场进行灭火救援指挥、情报</w:t>
      </w:r>
      <w:r>
        <w:rPr>
          <w:spacing w:val="-4"/>
        </w:rPr>
        <w:t>信息支持的部分。主要设备有现场指挥终端、便携式消防作战指挥平台等。</w:t>
      </w:r>
      <w:r>
        <w:t xml:space="preserve"> </w:t>
      </w:r>
    </w:p>
    <w:p w14:paraId="4E0484B6" w14:textId="77777777" w:rsidR="00A71EEF" w:rsidRDefault="0081115D">
      <w:pPr>
        <w:pStyle w:val="a4"/>
        <w:numPr>
          <w:ilvl w:val="1"/>
          <w:numId w:val="42"/>
        </w:numPr>
        <w:tabs>
          <w:tab w:val="left" w:pos="1160"/>
        </w:tabs>
        <w:spacing w:line="264" w:lineRule="exact"/>
        <w:ind w:left="1159" w:hanging="320"/>
        <w:rPr>
          <w:sz w:val="21"/>
        </w:rPr>
      </w:pPr>
      <w:r>
        <w:rPr>
          <w:spacing w:val="-3"/>
          <w:sz w:val="21"/>
        </w:rPr>
        <w:t>指挥模拟训练子系统</w:t>
      </w:r>
      <w:r>
        <w:rPr>
          <w:spacing w:val="-3"/>
          <w:sz w:val="21"/>
        </w:rPr>
        <w:t xml:space="preserve"> </w:t>
      </w:r>
      <w:r>
        <w:rPr>
          <w:sz w:val="21"/>
        </w:rPr>
        <w:t>command</w:t>
      </w:r>
      <w:r>
        <w:rPr>
          <w:spacing w:val="1"/>
          <w:sz w:val="21"/>
        </w:rPr>
        <w:t xml:space="preserve"> </w:t>
      </w:r>
      <w:r>
        <w:rPr>
          <w:sz w:val="21"/>
        </w:rPr>
        <w:t>simulation drill</w:t>
      </w:r>
      <w:r>
        <w:rPr>
          <w:spacing w:val="1"/>
          <w:sz w:val="21"/>
        </w:rPr>
        <w:t xml:space="preserve"> </w:t>
      </w:r>
      <w:r>
        <w:rPr>
          <w:sz w:val="21"/>
        </w:rPr>
        <w:t xml:space="preserve">sub-system </w:t>
      </w:r>
    </w:p>
    <w:p w14:paraId="1E640D4A" w14:textId="77777777" w:rsidR="00A71EEF" w:rsidRDefault="00A71EEF">
      <w:pPr>
        <w:spacing w:line="264" w:lineRule="exact"/>
        <w:rPr>
          <w:sz w:val="21"/>
        </w:rPr>
        <w:sectPr w:rsidR="00A71EEF">
          <w:pgSz w:w="11910" w:h="16850"/>
          <w:pgMar w:top="1020" w:right="0" w:bottom="1420" w:left="1260" w:header="0" w:footer="1239" w:gutter="0"/>
          <w:cols w:space="720"/>
        </w:sectPr>
      </w:pPr>
    </w:p>
    <w:p w14:paraId="7F5E9B2F" w14:textId="77777777" w:rsidR="00A71EEF" w:rsidRDefault="0081115D">
      <w:pPr>
        <w:pStyle w:val="a3"/>
        <w:spacing w:before="47" w:line="446" w:lineRule="auto"/>
        <w:ind w:left="840" w:right="1505" w:hanging="3"/>
      </w:pPr>
      <w:r>
        <w:t>消防通信指挥系统中，利用系统资源对消防指挥人员进行灭火</w:t>
      </w:r>
      <w:r>
        <w:t>救援模拟指挥训练的部分。</w:t>
      </w:r>
      <w:r>
        <w:rPr>
          <w:b/>
        </w:rPr>
        <w:t xml:space="preserve">2.7 </w:t>
      </w:r>
      <w:r>
        <w:t>消防图像管理子系统</w:t>
      </w:r>
      <w:r>
        <w:t xml:space="preserve"> graphical fire information sub-system </w:t>
      </w:r>
    </w:p>
    <w:p w14:paraId="6B7448F7" w14:textId="77777777" w:rsidR="00A71EEF" w:rsidRDefault="0081115D">
      <w:pPr>
        <w:pStyle w:val="a3"/>
        <w:spacing w:line="446" w:lineRule="auto"/>
        <w:ind w:left="840" w:right="1505" w:hanging="3"/>
      </w:pPr>
      <w:r>
        <w:t>消防通信指挥系统中，综合应用与灭火救援有关的图像信息资源，实施可视指挥的部分。</w:t>
      </w:r>
      <w:r>
        <w:rPr>
          <w:b/>
        </w:rPr>
        <w:t xml:space="preserve">2.8 </w:t>
      </w:r>
      <w:r>
        <w:t>消防车辆管理子系统</w:t>
      </w:r>
      <w:r>
        <w:t xml:space="preserve"> fire vehicle management sub-system </w:t>
      </w:r>
    </w:p>
    <w:p w14:paraId="67202556" w14:textId="77777777" w:rsidR="00A71EEF" w:rsidRDefault="0081115D">
      <w:pPr>
        <w:pStyle w:val="a3"/>
        <w:spacing w:line="446" w:lineRule="auto"/>
        <w:ind w:left="418" w:right="1433" w:firstLine="419"/>
      </w:pPr>
      <w:r>
        <w:rPr>
          <w:spacing w:val="-7"/>
        </w:rPr>
        <w:t>消防通信指挥系统，对消防车辆的位置、运行及作战状态、上装、车载器材等信息进行动态</w:t>
      </w:r>
      <w:r>
        <w:rPr>
          <w:spacing w:val="-5"/>
        </w:rPr>
        <w:t>管理的部分。主要设备有车载终端等。</w:t>
      </w:r>
      <w:r>
        <w:t xml:space="preserve"> </w:t>
      </w:r>
    </w:p>
    <w:p w14:paraId="57454CF3" w14:textId="77777777" w:rsidR="00A71EEF" w:rsidRDefault="0081115D">
      <w:pPr>
        <w:pStyle w:val="a4"/>
        <w:numPr>
          <w:ilvl w:val="1"/>
          <w:numId w:val="41"/>
        </w:numPr>
        <w:tabs>
          <w:tab w:val="left" w:pos="1159"/>
        </w:tabs>
        <w:spacing w:line="446" w:lineRule="auto"/>
        <w:ind w:right="1433" w:firstLine="422"/>
        <w:rPr>
          <w:sz w:val="21"/>
        </w:rPr>
      </w:pPr>
      <w:r>
        <w:rPr>
          <w:spacing w:val="8"/>
          <w:sz w:val="21"/>
        </w:rPr>
        <w:t>消防指挥决策支持子系统</w:t>
      </w:r>
      <w:r>
        <w:rPr>
          <w:spacing w:val="8"/>
          <w:sz w:val="21"/>
        </w:rPr>
        <w:t xml:space="preserve"> </w:t>
      </w:r>
      <w:r>
        <w:rPr>
          <w:sz w:val="21"/>
        </w:rPr>
        <w:t>fire</w:t>
      </w:r>
      <w:r>
        <w:rPr>
          <w:spacing w:val="58"/>
          <w:sz w:val="21"/>
        </w:rPr>
        <w:t xml:space="preserve"> </w:t>
      </w:r>
      <w:r>
        <w:rPr>
          <w:sz w:val="21"/>
        </w:rPr>
        <w:t>command</w:t>
      </w:r>
      <w:r>
        <w:rPr>
          <w:spacing w:val="55"/>
          <w:sz w:val="21"/>
        </w:rPr>
        <w:t xml:space="preserve"> </w:t>
      </w:r>
      <w:r>
        <w:rPr>
          <w:sz w:val="21"/>
        </w:rPr>
        <w:t>and</w:t>
      </w:r>
      <w:r>
        <w:rPr>
          <w:spacing w:val="59"/>
          <w:sz w:val="21"/>
        </w:rPr>
        <w:t xml:space="preserve"> </w:t>
      </w:r>
      <w:r>
        <w:rPr>
          <w:sz w:val="21"/>
        </w:rPr>
        <w:t>decision-making</w:t>
      </w:r>
      <w:r>
        <w:rPr>
          <w:spacing w:val="58"/>
          <w:sz w:val="21"/>
        </w:rPr>
        <w:t xml:space="preserve"> </w:t>
      </w:r>
      <w:r>
        <w:rPr>
          <w:sz w:val="21"/>
        </w:rPr>
        <w:t>supporting</w:t>
      </w:r>
      <w:r>
        <w:rPr>
          <w:spacing w:val="58"/>
          <w:sz w:val="21"/>
        </w:rPr>
        <w:t xml:space="preserve"> </w:t>
      </w:r>
      <w:r>
        <w:rPr>
          <w:sz w:val="21"/>
        </w:rPr>
        <w:t xml:space="preserve">sub- system </w:t>
      </w:r>
    </w:p>
    <w:p w14:paraId="18A5F805" w14:textId="77777777" w:rsidR="00A71EEF" w:rsidRDefault="0081115D">
      <w:pPr>
        <w:pStyle w:val="a3"/>
        <w:spacing w:line="446" w:lineRule="auto"/>
        <w:ind w:left="418" w:right="1325" w:firstLine="419"/>
      </w:pPr>
      <w:r>
        <w:t>消防通信指挥系统中，综合集成数据、模型、知识等信息，通过预案、辅助决策专家系统，</w:t>
      </w:r>
      <w:r>
        <w:t xml:space="preserve"> </w:t>
      </w:r>
      <w:r>
        <w:t>为灭火救援指挥提供决策支持的部分。</w:t>
      </w:r>
      <w:r>
        <w:t xml:space="preserve"> </w:t>
      </w:r>
    </w:p>
    <w:p w14:paraId="3228A751" w14:textId="77777777" w:rsidR="00A71EEF" w:rsidRDefault="0081115D">
      <w:pPr>
        <w:pStyle w:val="a4"/>
        <w:numPr>
          <w:ilvl w:val="1"/>
          <w:numId w:val="41"/>
        </w:numPr>
        <w:tabs>
          <w:tab w:val="left" w:pos="1266"/>
        </w:tabs>
        <w:ind w:left="1265" w:hanging="426"/>
        <w:rPr>
          <w:sz w:val="21"/>
        </w:rPr>
      </w:pPr>
      <w:r>
        <w:rPr>
          <w:spacing w:val="-3"/>
          <w:sz w:val="21"/>
        </w:rPr>
        <w:t>指挥信息管理子系统</w:t>
      </w:r>
      <w:r>
        <w:rPr>
          <w:spacing w:val="-3"/>
          <w:sz w:val="21"/>
        </w:rPr>
        <w:t xml:space="preserve"> </w:t>
      </w:r>
      <w:r>
        <w:rPr>
          <w:sz w:val="21"/>
        </w:rPr>
        <w:t>command</w:t>
      </w:r>
      <w:r>
        <w:rPr>
          <w:spacing w:val="1"/>
          <w:sz w:val="21"/>
        </w:rPr>
        <w:t xml:space="preserve"> </w:t>
      </w:r>
      <w:r>
        <w:rPr>
          <w:sz w:val="21"/>
        </w:rPr>
        <w:t>information management</w:t>
      </w:r>
      <w:r>
        <w:rPr>
          <w:spacing w:val="1"/>
          <w:sz w:val="21"/>
        </w:rPr>
        <w:t xml:space="preserve"> </w:t>
      </w:r>
      <w:r>
        <w:rPr>
          <w:sz w:val="21"/>
        </w:rPr>
        <w:t xml:space="preserve">sub-system </w:t>
      </w:r>
    </w:p>
    <w:p w14:paraId="5CA79D8C" w14:textId="77777777" w:rsidR="00A71EEF" w:rsidRDefault="00A71EEF">
      <w:pPr>
        <w:pStyle w:val="a3"/>
        <w:spacing w:before="8"/>
        <w:rPr>
          <w:sz w:val="17"/>
        </w:rPr>
      </w:pPr>
    </w:p>
    <w:p w14:paraId="2553FCDF" w14:textId="77777777" w:rsidR="00A71EEF" w:rsidRDefault="0081115D">
      <w:pPr>
        <w:pStyle w:val="a3"/>
        <w:spacing w:line="446" w:lineRule="auto"/>
        <w:ind w:left="418" w:right="1436" w:firstLine="419"/>
      </w:pPr>
      <w:r>
        <w:rPr>
          <w:spacing w:val="-7"/>
        </w:rPr>
        <w:t>消防通信指挥系统中，对灭火救援信息进行采集、存储、处理，提供信息查询、分析、共享</w:t>
      </w:r>
      <w:r>
        <w:rPr>
          <w:spacing w:val="-6"/>
        </w:rPr>
        <w:t>的部分。</w:t>
      </w:r>
      <w:r>
        <w:t xml:space="preserve"> </w:t>
      </w:r>
    </w:p>
    <w:p w14:paraId="2218B7E7" w14:textId="77777777" w:rsidR="00A71EEF" w:rsidRDefault="0081115D">
      <w:pPr>
        <w:pStyle w:val="a4"/>
        <w:numPr>
          <w:ilvl w:val="1"/>
          <w:numId w:val="41"/>
        </w:numPr>
        <w:tabs>
          <w:tab w:val="left" w:pos="1266"/>
        </w:tabs>
        <w:spacing w:before="1"/>
        <w:ind w:left="1265" w:hanging="426"/>
        <w:rPr>
          <w:sz w:val="21"/>
        </w:rPr>
      </w:pPr>
      <w:r>
        <w:rPr>
          <w:spacing w:val="-3"/>
          <w:sz w:val="21"/>
        </w:rPr>
        <w:t>消防地理信息子系统</w:t>
      </w:r>
      <w:r>
        <w:rPr>
          <w:spacing w:val="-3"/>
          <w:sz w:val="21"/>
        </w:rPr>
        <w:t xml:space="preserve"> </w:t>
      </w:r>
      <w:r>
        <w:rPr>
          <w:sz w:val="21"/>
        </w:rPr>
        <w:t>geographical</w:t>
      </w:r>
      <w:r>
        <w:rPr>
          <w:spacing w:val="-2"/>
          <w:sz w:val="21"/>
        </w:rPr>
        <w:t xml:space="preserve"> </w:t>
      </w:r>
      <w:r>
        <w:rPr>
          <w:sz w:val="21"/>
        </w:rPr>
        <w:t>fire</w:t>
      </w:r>
      <w:r>
        <w:rPr>
          <w:spacing w:val="1"/>
          <w:sz w:val="21"/>
        </w:rPr>
        <w:t xml:space="preserve"> </w:t>
      </w:r>
      <w:r>
        <w:rPr>
          <w:sz w:val="21"/>
        </w:rPr>
        <w:t xml:space="preserve">information sub-system </w:t>
      </w:r>
    </w:p>
    <w:p w14:paraId="2953D7EF" w14:textId="77777777" w:rsidR="00A71EEF" w:rsidRDefault="00A71EEF">
      <w:pPr>
        <w:pStyle w:val="a3"/>
        <w:spacing w:before="12"/>
        <w:rPr>
          <w:sz w:val="17"/>
        </w:rPr>
      </w:pPr>
    </w:p>
    <w:p w14:paraId="108FBC73" w14:textId="77777777" w:rsidR="00A71EEF" w:rsidRDefault="0081115D">
      <w:pPr>
        <w:pStyle w:val="a3"/>
        <w:spacing w:line="446" w:lineRule="auto"/>
        <w:ind w:left="418" w:right="1431" w:firstLine="419"/>
      </w:pPr>
      <w:r>
        <w:rPr>
          <w:spacing w:val="-6"/>
        </w:rPr>
        <w:t>消防通信指挥系统中，利用地理信息技术的空间分析和可视化平台，将灭火救援指挥数据信</w:t>
      </w:r>
      <w:r>
        <w:rPr>
          <w:spacing w:val="-4"/>
        </w:rPr>
        <w:t>息与空间信息关联，并对地图数据、属性数据等进行统一管理及维护的部分。</w:t>
      </w:r>
      <w:r>
        <w:rPr>
          <w:spacing w:val="-4"/>
        </w:rPr>
        <w:t xml:space="preserve"> </w:t>
      </w:r>
    </w:p>
    <w:p w14:paraId="753D4C55" w14:textId="77777777" w:rsidR="00A71EEF" w:rsidRDefault="0081115D">
      <w:pPr>
        <w:pStyle w:val="a4"/>
        <w:numPr>
          <w:ilvl w:val="1"/>
          <w:numId w:val="41"/>
        </w:numPr>
        <w:tabs>
          <w:tab w:val="left" w:pos="1264"/>
        </w:tabs>
        <w:ind w:left="1263" w:hanging="424"/>
        <w:rPr>
          <w:sz w:val="21"/>
        </w:rPr>
      </w:pPr>
      <w:r>
        <w:rPr>
          <w:spacing w:val="-3"/>
          <w:sz w:val="21"/>
        </w:rPr>
        <w:t>消防信息显示子系统</w:t>
      </w:r>
      <w:r>
        <w:rPr>
          <w:spacing w:val="-3"/>
          <w:sz w:val="21"/>
        </w:rPr>
        <w:t xml:space="preserve"> </w:t>
      </w:r>
      <w:r>
        <w:rPr>
          <w:sz w:val="21"/>
        </w:rPr>
        <w:t>fire</w:t>
      </w:r>
      <w:r>
        <w:rPr>
          <w:spacing w:val="-2"/>
          <w:sz w:val="21"/>
        </w:rPr>
        <w:t xml:space="preserve"> </w:t>
      </w:r>
      <w:r>
        <w:rPr>
          <w:sz w:val="21"/>
        </w:rPr>
        <w:t>information</w:t>
      </w:r>
      <w:r>
        <w:rPr>
          <w:spacing w:val="-2"/>
          <w:sz w:val="21"/>
        </w:rPr>
        <w:t xml:space="preserve"> </w:t>
      </w:r>
      <w:r>
        <w:rPr>
          <w:sz w:val="21"/>
        </w:rPr>
        <w:t>display</w:t>
      </w:r>
      <w:r>
        <w:rPr>
          <w:spacing w:val="1"/>
          <w:sz w:val="21"/>
        </w:rPr>
        <w:t xml:space="preserve"> </w:t>
      </w:r>
      <w:r>
        <w:rPr>
          <w:sz w:val="21"/>
        </w:rPr>
        <w:t xml:space="preserve">sub-system </w:t>
      </w:r>
    </w:p>
    <w:p w14:paraId="4BA660CC" w14:textId="77777777" w:rsidR="00A71EEF" w:rsidRDefault="00A71EEF">
      <w:pPr>
        <w:pStyle w:val="a3"/>
        <w:spacing w:before="12"/>
        <w:rPr>
          <w:sz w:val="17"/>
        </w:rPr>
      </w:pPr>
    </w:p>
    <w:p w14:paraId="48DC5F21" w14:textId="77777777" w:rsidR="00A71EEF" w:rsidRDefault="0081115D">
      <w:pPr>
        <w:pStyle w:val="a3"/>
        <w:spacing w:line="446" w:lineRule="auto"/>
        <w:ind w:left="418" w:right="1431" w:firstLine="419"/>
      </w:pPr>
      <w:r>
        <w:rPr>
          <w:spacing w:val="-6"/>
        </w:rPr>
        <w:t>消防通信指挥系统中，对汇集到消防通信指挥中心的图像、数据及文字等进行组合选取和显</w:t>
      </w:r>
      <w:r>
        <w:rPr>
          <w:spacing w:val="-4"/>
        </w:rPr>
        <w:t>示的部分。</w:t>
      </w:r>
      <w:r>
        <w:t xml:space="preserve"> </w:t>
      </w:r>
    </w:p>
    <w:p w14:paraId="493A59D7" w14:textId="77777777" w:rsidR="00A71EEF" w:rsidRDefault="0081115D">
      <w:pPr>
        <w:pStyle w:val="a4"/>
        <w:numPr>
          <w:ilvl w:val="1"/>
          <w:numId w:val="41"/>
        </w:numPr>
        <w:tabs>
          <w:tab w:val="left" w:pos="1266"/>
        </w:tabs>
        <w:spacing w:before="1"/>
        <w:ind w:left="1265" w:hanging="426"/>
        <w:rPr>
          <w:sz w:val="21"/>
        </w:rPr>
      </w:pPr>
      <w:r>
        <w:rPr>
          <w:spacing w:val="-3"/>
          <w:sz w:val="21"/>
        </w:rPr>
        <w:t>消防有线通信子系统</w:t>
      </w:r>
      <w:r>
        <w:rPr>
          <w:spacing w:val="-3"/>
          <w:sz w:val="21"/>
        </w:rPr>
        <w:t xml:space="preserve"> </w:t>
      </w:r>
      <w:r>
        <w:rPr>
          <w:sz w:val="21"/>
        </w:rPr>
        <w:t>fire</w:t>
      </w:r>
      <w:r>
        <w:rPr>
          <w:spacing w:val="-2"/>
          <w:sz w:val="21"/>
        </w:rPr>
        <w:t xml:space="preserve"> </w:t>
      </w:r>
      <w:r>
        <w:rPr>
          <w:sz w:val="21"/>
        </w:rPr>
        <w:t>wire</w:t>
      </w:r>
      <w:r>
        <w:rPr>
          <w:spacing w:val="1"/>
          <w:sz w:val="21"/>
        </w:rPr>
        <w:t xml:space="preserve"> </w:t>
      </w:r>
      <w:r>
        <w:rPr>
          <w:sz w:val="21"/>
        </w:rPr>
        <w:t xml:space="preserve">communication sub-system </w:t>
      </w:r>
    </w:p>
    <w:p w14:paraId="5E9579AD" w14:textId="77777777" w:rsidR="00A71EEF" w:rsidRDefault="00A71EEF">
      <w:pPr>
        <w:pStyle w:val="a3"/>
        <w:spacing w:before="12"/>
        <w:rPr>
          <w:sz w:val="17"/>
        </w:rPr>
      </w:pPr>
    </w:p>
    <w:p w14:paraId="2769C342" w14:textId="77777777" w:rsidR="00A71EEF" w:rsidRDefault="0081115D">
      <w:pPr>
        <w:pStyle w:val="a3"/>
        <w:spacing w:line="446" w:lineRule="auto"/>
        <w:ind w:left="418" w:right="1431" w:firstLine="419"/>
      </w:pPr>
      <w:r>
        <w:rPr>
          <w:spacing w:val="-17"/>
        </w:rPr>
        <w:t>消防通信指挥系统中，利用有线通信网络和设备，传输消防语音、数据和图像等信息的</w:t>
      </w:r>
      <w:r>
        <w:rPr>
          <w:spacing w:val="-17"/>
        </w:rPr>
        <w:t>部分。</w:t>
      </w:r>
      <w:r>
        <w:rPr>
          <w:spacing w:val="-7"/>
        </w:rPr>
        <w:t>主要设备有接警调度程控交换机等。</w:t>
      </w:r>
      <w:r>
        <w:t xml:space="preserve"> </w:t>
      </w:r>
    </w:p>
    <w:p w14:paraId="1F74738D" w14:textId="77777777" w:rsidR="00A71EEF" w:rsidRDefault="0081115D">
      <w:pPr>
        <w:pStyle w:val="a4"/>
        <w:numPr>
          <w:ilvl w:val="1"/>
          <w:numId w:val="41"/>
        </w:numPr>
        <w:tabs>
          <w:tab w:val="left" w:pos="1266"/>
        </w:tabs>
        <w:ind w:left="1265" w:hanging="426"/>
        <w:rPr>
          <w:sz w:val="21"/>
        </w:rPr>
      </w:pPr>
      <w:r>
        <w:rPr>
          <w:spacing w:val="-3"/>
          <w:sz w:val="21"/>
        </w:rPr>
        <w:t>消防无线通信子系统</w:t>
      </w:r>
      <w:r>
        <w:rPr>
          <w:spacing w:val="-3"/>
          <w:sz w:val="21"/>
        </w:rPr>
        <w:t xml:space="preserve"> </w:t>
      </w:r>
      <w:r>
        <w:rPr>
          <w:sz w:val="21"/>
        </w:rPr>
        <w:t>fire</w:t>
      </w:r>
      <w:r>
        <w:rPr>
          <w:spacing w:val="-2"/>
          <w:sz w:val="21"/>
        </w:rPr>
        <w:t xml:space="preserve"> </w:t>
      </w:r>
      <w:r>
        <w:rPr>
          <w:sz w:val="21"/>
        </w:rPr>
        <w:t>wireless</w:t>
      </w:r>
      <w:r>
        <w:rPr>
          <w:spacing w:val="1"/>
          <w:sz w:val="21"/>
        </w:rPr>
        <w:t xml:space="preserve"> </w:t>
      </w:r>
      <w:r>
        <w:rPr>
          <w:sz w:val="21"/>
        </w:rPr>
        <w:t>communication</w:t>
      </w:r>
      <w:r>
        <w:rPr>
          <w:spacing w:val="-2"/>
          <w:sz w:val="21"/>
        </w:rPr>
        <w:t xml:space="preserve"> </w:t>
      </w:r>
      <w:r>
        <w:rPr>
          <w:sz w:val="21"/>
        </w:rPr>
        <w:t xml:space="preserve">sub-system </w:t>
      </w:r>
    </w:p>
    <w:p w14:paraId="5181A104" w14:textId="77777777" w:rsidR="00A71EEF" w:rsidRDefault="00A71EEF">
      <w:pPr>
        <w:pStyle w:val="a3"/>
        <w:spacing w:before="12"/>
        <w:rPr>
          <w:sz w:val="17"/>
        </w:rPr>
      </w:pPr>
    </w:p>
    <w:p w14:paraId="750B0A84" w14:textId="77777777" w:rsidR="00A71EEF" w:rsidRDefault="0081115D">
      <w:pPr>
        <w:pStyle w:val="a3"/>
        <w:spacing w:line="446" w:lineRule="auto"/>
        <w:ind w:left="840" w:right="1330" w:hanging="3"/>
      </w:pPr>
      <w:r>
        <w:rPr>
          <w:spacing w:val="-17"/>
        </w:rPr>
        <w:t>消防通信指挥系统中，利用无线通信网络和设备，传输消防语音、数据和图像等信息的部分。</w:t>
      </w:r>
      <w:r>
        <w:rPr>
          <w:b/>
        </w:rPr>
        <w:t xml:space="preserve">2.15 </w:t>
      </w:r>
      <w:r>
        <w:rPr>
          <w:spacing w:val="-3"/>
        </w:rPr>
        <w:t>消防卫星通信子系统</w:t>
      </w:r>
      <w:r>
        <w:rPr>
          <w:spacing w:val="-3"/>
        </w:rPr>
        <w:t xml:space="preserve"> </w:t>
      </w:r>
      <w:r>
        <w:t xml:space="preserve">fire satellite communication sub-system </w:t>
      </w:r>
    </w:p>
    <w:p w14:paraId="439F51A7" w14:textId="77777777" w:rsidR="00A71EEF" w:rsidRDefault="0081115D">
      <w:pPr>
        <w:pStyle w:val="a3"/>
        <w:ind w:left="838"/>
      </w:pPr>
      <w:r>
        <w:t>消防通信指挥系统中，利用卫星通信网络和设备，传输消防语音、数据和图像等信息的部分。</w:t>
      </w:r>
      <w:r>
        <w:t xml:space="preserve"> </w:t>
      </w:r>
    </w:p>
    <w:p w14:paraId="520C5C7E" w14:textId="77777777" w:rsidR="00A71EEF" w:rsidRDefault="00A71EEF">
      <w:pPr>
        <w:pStyle w:val="a3"/>
        <w:spacing w:before="8"/>
        <w:rPr>
          <w:sz w:val="15"/>
        </w:rPr>
      </w:pPr>
    </w:p>
    <w:p w14:paraId="3F452C09" w14:textId="77777777" w:rsidR="00A71EEF" w:rsidRDefault="0081115D">
      <w:pPr>
        <w:pStyle w:val="4"/>
      </w:pPr>
      <w:r>
        <w:t xml:space="preserve">3 </w:t>
      </w:r>
      <w:r>
        <w:t>系统技术构成</w:t>
      </w:r>
      <w:r>
        <w:rPr>
          <w:w w:val="99"/>
        </w:rPr>
        <w:t xml:space="preserve"> </w:t>
      </w:r>
    </w:p>
    <w:p w14:paraId="5BB71C13" w14:textId="77777777" w:rsidR="00A71EEF" w:rsidRDefault="00A71EEF">
      <w:pPr>
        <w:pStyle w:val="a3"/>
        <w:spacing w:before="6"/>
        <w:rPr>
          <w:b/>
          <w:sz w:val="17"/>
        </w:rPr>
      </w:pPr>
    </w:p>
    <w:p w14:paraId="1ABCF7B2" w14:textId="77777777" w:rsidR="00A71EEF" w:rsidRDefault="0081115D">
      <w:pPr>
        <w:pStyle w:val="a4"/>
        <w:numPr>
          <w:ilvl w:val="1"/>
          <w:numId w:val="40"/>
        </w:numPr>
        <w:tabs>
          <w:tab w:val="left" w:pos="1160"/>
        </w:tabs>
        <w:spacing w:before="1"/>
        <w:rPr>
          <w:sz w:val="21"/>
        </w:rPr>
      </w:pPr>
      <w:r>
        <w:rPr>
          <w:spacing w:val="-7"/>
          <w:sz w:val="21"/>
        </w:rPr>
        <w:t>消防通信指挥系统可分为国家、省</w:t>
      </w:r>
      <w:r>
        <w:rPr>
          <w:sz w:val="21"/>
        </w:rPr>
        <w:t>（</w:t>
      </w:r>
      <w:r>
        <w:rPr>
          <w:spacing w:val="-3"/>
          <w:sz w:val="21"/>
        </w:rPr>
        <w:t>自治区</w:t>
      </w:r>
      <w:r>
        <w:rPr>
          <w:spacing w:val="-106"/>
          <w:sz w:val="21"/>
        </w:rPr>
        <w:t>）</w:t>
      </w:r>
      <w:r>
        <w:rPr>
          <w:spacing w:val="-18"/>
          <w:sz w:val="21"/>
        </w:rPr>
        <w:t>、地区</w:t>
      </w:r>
      <w:r>
        <w:rPr>
          <w:spacing w:val="-3"/>
          <w:sz w:val="21"/>
        </w:rPr>
        <w:t>（</w:t>
      </w:r>
      <w:r>
        <w:rPr>
          <w:spacing w:val="-10"/>
          <w:sz w:val="21"/>
        </w:rPr>
        <w:t>州、盟</w:t>
      </w:r>
      <w:r>
        <w:rPr>
          <w:spacing w:val="-25"/>
          <w:sz w:val="21"/>
        </w:rPr>
        <w:t>）</w:t>
      </w:r>
      <w:r>
        <w:rPr>
          <w:spacing w:val="-3"/>
          <w:sz w:val="21"/>
        </w:rPr>
        <w:t>消防通信指挥系统和城市</w:t>
      </w:r>
    </w:p>
    <w:p w14:paraId="5E7725A1" w14:textId="77777777" w:rsidR="00A71EEF" w:rsidRDefault="00A71EEF">
      <w:pPr>
        <w:rPr>
          <w:sz w:val="21"/>
        </w:rPr>
        <w:sectPr w:rsidR="00A71EEF">
          <w:pgSz w:w="11910" w:h="16850"/>
          <w:pgMar w:top="1220" w:right="0" w:bottom="1420" w:left="1260" w:header="0" w:footer="1239" w:gutter="0"/>
          <w:cols w:space="720"/>
        </w:sectPr>
      </w:pPr>
    </w:p>
    <w:p w14:paraId="1BEB73A6" w14:textId="77777777" w:rsidR="00A71EEF" w:rsidRDefault="0081115D">
      <w:pPr>
        <w:pStyle w:val="a3"/>
        <w:spacing w:before="47"/>
        <w:ind w:left="418"/>
      </w:pPr>
      <w:r>
        <w:t>消防通信指挥系统等类型。</w:t>
      </w:r>
      <w:r>
        <w:t xml:space="preserve"> </w:t>
      </w:r>
    </w:p>
    <w:p w14:paraId="32C058D5" w14:textId="77777777" w:rsidR="00A71EEF" w:rsidRDefault="00A71EEF">
      <w:pPr>
        <w:pStyle w:val="a3"/>
        <w:rPr>
          <w:sz w:val="18"/>
        </w:rPr>
      </w:pPr>
    </w:p>
    <w:p w14:paraId="181CBFB1" w14:textId="77777777" w:rsidR="00A71EEF" w:rsidRDefault="0081115D">
      <w:pPr>
        <w:pStyle w:val="a4"/>
        <w:numPr>
          <w:ilvl w:val="1"/>
          <w:numId w:val="40"/>
        </w:numPr>
        <w:tabs>
          <w:tab w:val="left" w:pos="1160"/>
        </w:tabs>
        <w:spacing w:line="446" w:lineRule="auto"/>
        <w:ind w:left="418" w:right="1431" w:firstLine="422"/>
        <w:jc w:val="both"/>
        <w:rPr>
          <w:sz w:val="21"/>
        </w:rPr>
      </w:pPr>
      <w:r>
        <w:rPr>
          <w:spacing w:val="-5"/>
          <w:sz w:val="21"/>
        </w:rPr>
        <w:t>消防通信指挥系统的技术构成可由通信指挥业务、信息支撑、基础通信网络等三部分组</w:t>
      </w:r>
      <w:r>
        <w:rPr>
          <w:spacing w:val="-5"/>
          <w:sz w:val="21"/>
        </w:rPr>
        <w:t>成</w:t>
      </w:r>
      <w:r>
        <w:rPr>
          <w:spacing w:val="-3"/>
          <w:sz w:val="21"/>
        </w:rPr>
        <w:t>（</w:t>
      </w:r>
      <w:r>
        <w:rPr>
          <w:sz w:val="21"/>
        </w:rPr>
        <w:t>图</w:t>
      </w:r>
      <w:r>
        <w:rPr>
          <w:spacing w:val="-53"/>
          <w:sz w:val="21"/>
        </w:rPr>
        <w:t xml:space="preserve"> </w:t>
      </w:r>
      <w:r>
        <w:rPr>
          <w:sz w:val="21"/>
        </w:rPr>
        <w:t>3.</w:t>
      </w:r>
      <w:r>
        <w:rPr>
          <w:spacing w:val="-3"/>
          <w:sz w:val="21"/>
        </w:rPr>
        <w:t>0</w:t>
      </w:r>
      <w:r>
        <w:rPr>
          <w:sz w:val="21"/>
        </w:rPr>
        <w:t>.</w:t>
      </w:r>
      <w:r>
        <w:rPr>
          <w:spacing w:val="-1"/>
          <w:sz w:val="21"/>
        </w:rPr>
        <w:t>2</w:t>
      </w:r>
      <w:r>
        <w:rPr>
          <w:spacing w:val="-108"/>
          <w:sz w:val="21"/>
        </w:rPr>
        <w:t>）</w:t>
      </w:r>
      <w:r>
        <w:rPr>
          <w:spacing w:val="-3"/>
          <w:sz w:val="21"/>
        </w:rPr>
        <w:t>，应符合下列要求：</w:t>
      </w:r>
      <w:r>
        <w:rPr>
          <w:sz w:val="21"/>
        </w:rPr>
        <w:t xml:space="preserve"> </w:t>
      </w:r>
    </w:p>
    <w:p w14:paraId="21F2BAC0" w14:textId="77777777" w:rsidR="00A71EEF" w:rsidRDefault="0081115D">
      <w:pPr>
        <w:pStyle w:val="a3"/>
        <w:spacing w:line="446" w:lineRule="auto"/>
        <w:ind w:left="418" w:right="1433" w:firstLine="419"/>
        <w:jc w:val="both"/>
      </w:pPr>
      <w:r>
        <w:rPr>
          <w:spacing w:val="-6"/>
        </w:rPr>
        <w:t>通信指挥业务部分主要包括火警受理子系统、跨区域调度指挥子系统、现场指挥子系统、指</w:t>
      </w:r>
      <w:r>
        <w:rPr>
          <w:spacing w:val="-7"/>
        </w:rPr>
        <w:t>挥模拟训练子系统等，分别实现接收和处理火灾及其他灾害事故报警、消防力量调度、灭火救援</w:t>
      </w:r>
      <w:r>
        <w:rPr>
          <w:spacing w:val="-5"/>
        </w:rPr>
        <w:t>指挥以及训练培训等通信指挥业务功能；</w:t>
      </w:r>
      <w:r>
        <w:t xml:space="preserve"> </w:t>
      </w:r>
    </w:p>
    <w:p w14:paraId="77F31C3B" w14:textId="77777777" w:rsidR="00A71EEF" w:rsidRDefault="0081115D">
      <w:pPr>
        <w:pStyle w:val="a3"/>
        <w:spacing w:line="446" w:lineRule="auto"/>
        <w:ind w:left="418" w:right="1435" w:firstLine="419"/>
      </w:pPr>
      <w:r>
        <w:rPr>
          <w:spacing w:val="-3"/>
        </w:rPr>
        <w:t>信息支撑部分主要包括消防图像管理子系统、消防车辆管理子系统、消防指挥决策支持</w:t>
      </w:r>
      <w:r>
        <w:rPr>
          <w:spacing w:val="-3"/>
        </w:rPr>
        <w:t xml:space="preserve">   </w:t>
      </w:r>
      <w:r>
        <w:rPr>
          <w:spacing w:val="-7"/>
        </w:rPr>
        <w:t>子系统、指挥信息管理子系统、消防地理信息子系统、消防信息显示子系统等，为通信指挥业务</w:t>
      </w:r>
      <w:r>
        <w:rPr>
          <w:spacing w:val="-5"/>
        </w:rPr>
        <w:t>提供信息支持；</w:t>
      </w:r>
      <w:r>
        <w:t xml:space="preserve"> </w:t>
      </w:r>
    </w:p>
    <w:p w14:paraId="448F0463" w14:textId="77777777" w:rsidR="00A71EEF" w:rsidRDefault="0081115D">
      <w:pPr>
        <w:pStyle w:val="a3"/>
        <w:spacing w:line="446" w:lineRule="auto"/>
        <w:ind w:left="418" w:right="1330" w:firstLine="419"/>
      </w:pPr>
      <w:r>
        <w:rPr>
          <w:spacing w:val="-5"/>
        </w:rPr>
        <w:t>基础通信网络部分主要包括消防有线通信子系统、消防无线通信子系统、消防卫星通信子系</w:t>
      </w:r>
      <w:r>
        <w:rPr>
          <w:spacing w:val="-8"/>
        </w:rPr>
        <w:t>统等，以计算机通信网络为基础，构成集语音、数据和图像等为一体的消防综合信息传输网络。</w:t>
      </w:r>
      <w:r>
        <w:t xml:space="preserve"> </w:t>
      </w:r>
    </w:p>
    <w:p w14:paraId="3DA814AB" w14:textId="77777777" w:rsidR="00A71EEF" w:rsidRDefault="0081115D">
      <w:pPr>
        <w:pStyle w:val="6"/>
        <w:spacing w:line="267" w:lineRule="exact"/>
        <w:ind w:left="3205"/>
      </w:pPr>
      <w:r>
        <w:t>图</w:t>
      </w:r>
      <w:r>
        <w:t xml:space="preserve"> 3.0.2 </w:t>
      </w:r>
      <w:r>
        <w:t>消防通信指挥系统的技术构成</w:t>
      </w:r>
      <w:r>
        <w:rPr>
          <w:w w:val="99"/>
        </w:rPr>
        <w:t xml:space="preserve"> </w:t>
      </w:r>
    </w:p>
    <w:p w14:paraId="742DC1A1" w14:textId="77777777" w:rsidR="00A71EEF" w:rsidRDefault="0081115D">
      <w:pPr>
        <w:pStyle w:val="a3"/>
        <w:spacing w:before="8"/>
        <w:rPr>
          <w:b/>
          <w:sz w:val="13"/>
        </w:rPr>
      </w:pPr>
      <w:r>
        <w:rPr>
          <w:noProof/>
        </w:rPr>
        <w:drawing>
          <wp:anchor distT="0" distB="0" distL="0" distR="0" simplePos="0" relativeHeight="251747840" behindDoc="0" locked="0" layoutInCell="1" allowOverlap="1" wp14:anchorId="69E204CA" wp14:editId="1EDEA7C1">
            <wp:simplePos x="0" y="0"/>
            <wp:positionH relativeFrom="page">
              <wp:posOffset>2014145</wp:posOffset>
            </wp:positionH>
            <wp:positionV relativeFrom="paragraph">
              <wp:posOffset>136143</wp:posOffset>
            </wp:positionV>
            <wp:extent cx="4015664" cy="1885950"/>
            <wp:effectExtent l="0" t="0" r="0" b="0"/>
            <wp:wrapTopAndBottom/>
            <wp:docPr id="799" name="image4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 name="image468.jpeg"/>
                    <pic:cNvPicPr/>
                  </pic:nvPicPr>
                  <pic:blipFill>
                    <a:blip r:embed="rId585" cstate="print"/>
                    <a:stretch>
                      <a:fillRect/>
                    </a:stretch>
                  </pic:blipFill>
                  <pic:spPr>
                    <a:xfrm>
                      <a:off x="0" y="0"/>
                      <a:ext cx="4015664" cy="1885950"/>
                    </a:xfrm>
                    <a:prstGeom prst="rect">
                      <a:avLst/>
                    </a:prstGeom>
                  </pic:spPr>
                </pic:pic>
              </a:graphicData>
            </a:graphic>
          </wp:anchor>
        </w:drawing>
      </w:r>
    </w:p>
    <w:p w14:paraId="1A6A31B4" w14:textId="77777777" w:rsidR="00A71EEF" w:rsidRDefault="0081115D">
      <w:pPr>
        <w:spacing w:before="129"/>
        <w:ind w:left="418"/>
        <w:rPr>
          <w:b/>
          <w:sz w:val="18"/>
        </w:rPr>
      </w:pPr>
      <w:r>
        <w:rPr>
          <w:b/>
          <w:sz w:val="24"/>
        </w:rPr>
        <w:t xml:space="preserve">4 </w:t>
      </w:r>
      <w:r>
        <w:rPr>
          <w:b/>
          <w:sz w:val="24"/>
        </w:rPr>
        <w:t>系统功能与主要性能要求</w:t>
      </w:r>
      <w:r>
        <w:rPr>
          <w:b/>
          <w:w w:val="99"/>
          <w:sz w:val="18"/>
        </w:rPr>
        <w:t xml:space="preserve"> </w:t>
      </w:r>
    </w:p>
    <w:p w14:paraId="770195BD" w14:textId="77777777" w:rsidR="00A71EEF" w:rsidRDefault="00A71EEF">
      <w:pPr>
        <w:pStyle w:val="a3"/>
        <w:spacing w:before="4"/>
        <w:rPr>
          <w:b/>
          <w:sz w:val="17"/>
        </w:rPr>
      </w:pPr>
    </w:p>
    <w:p w14:paraId="12DA5B37" w14:textId="77777777" w:rsidR="00A71EEF" w:rsidRDefault="0081115D">
      <w:pPr>
        <w:pStyle w:val="a4"/>
        <w:numPr>
          <w:ilvl w:val="1"/>
          <w:numId w:val="39"/>
        </w:numPr>
        <w:tabs>
          <w:tab w:val="left" w:pos="1159"/>
        </w:tabs>
        <w:spacing w:before="1"/>
        <w:ind w:hanging="319"/>
        <w:rPr>
          <w:sz w:val="21"/>
        </w:rPr>
      </w:pPr>
      <w:r>
        <w:rPr>
          <w:spacing w:val="-3"/>
          <w:sz w:val="21"/>
        </w:rPr>
        <w:t>系统功能</w:t>
      </w:r>
      <w:r>
        <w:rPr>
          <w:sz w:val="21"/>
        </w:rPr>
        <w:t xml:space="preserve"> </w:t>
      </w:r>
    </w:p>
    <w:p w14:paraId="5DEA01A7" w14:textId="77777777" w:rsidR="00A71EEF" w:rsidRDefault="00A71EEF">
      <w:pPr>
        <w:pStyle w:val="a3"/>
        <w:spacing w:before="12"/>
        <w:rPr>
          <w:sz w:val="17"/>
        </w:rPr>
      </w:pPr>
    </w:p>
    <w:p w14:paraId="754E581B" w14:textId="77777777" w:rsidR="00A71EEF" w:rsidRDefault="0081115D">
      <w:pPr>
        <w:pStyle w:val="a4"/>
        <w:numPr>
          <w:ilvl w:val="2"/>
          <w:numId w:val="39"/>
        </w:numPr>
        <w:tabs>
          <w:tab w:val="left" w:pos="1370"/>
        </w:tabs>
        <w:ind w:hanging="530"/>
        <w:rPr>
          <w:sz w:val="21"/>
        </w:rPr>
      </w:pPr>
      <w:r>
        <w:rPr>
          <w:spacing w:val="-3"/>
          <w:sz w:val="21"/>
        </w:rPr>
        <w:t>消防通信指挥系统应具有下列基本功能：</w:t>
      </w:r>
      <w:r>
        <w:rPr>
          <w:sz w:val="21"/>
        </w:rPr>
        <w:t xml:space="preserve"> </w:t>
      </w:r>
    </w:p>
    <w:p w14:paraId="5996E7FD" w14:textId="77777777" w:rsidR="00A71EEF" w:rsidRDefault="00A71EEF">
      <w:pPr>
        <w:pStyle w:val="a3"/>
        <w:spacing w:before="2"/>
        <w:rPr>
          <w:sz w:val="18"/>
        </w:rPr>
      </w:pPr>
    </w:p>
    <w:p w14:paraId="0D4EA935" w14:textId="77777777" w:rsidR="00A71EEF" w:rsidRDefault="0081115D">
      <w:pPr>
        <w:pStyle w:val="a3"/>
        <w:spacing w:line="446" w:lineRule="auto"/>
        <w:ind w:left="838" w:right="6129"/>
      </w:pPr>
      <w:r>
        <w:rPr>
          <w:spacing w:val="-3"/>
        </w:rPr>
        <w:t>责任辖区和跨区域灭火救</w:t>
      </w:r>
      <w:r>
        <w:rPr>
          <w:spacing w:val="-3"/>
        </w:rPr>
        <w:t>援调度指挥；</w:t>
      </w:r>
      <w:r>
        <w:rPr>
          <w:spacing w:val="-3"/>
        </w:rPr>
        <w:t xml:space="preserve"> </w:t>
      </w:r>
      <w:r>
        <w:rPr>
          <w:spacing w:val="-3"/>
        </w:rPr>
        <w:t>火场及其他灾害事故现场指挥通信；</w:t>
      </w:r>
      <w:r>
        <w:rPr>
          <w:spacing w:val="-3"/>
        </w:rPr>
        <w:t xml:space="preserve">  </w:t>
      </w:r>
      <w:r>
        <w:rPr>
          <w:spacing w:val="-3"/>
        </w:rPr>
        <w:t>通信指挥信息管理；</w:t>
      </w:r>
      <w:r>
        <w:t xml:space="preserve"> </w:t>
      </w:r>
    </w:p>
    <w:p w14:paraId="1DBE16FF" w14:textId="77777777" w:rsidR="00A71EEF" w:rsidRDefault="0081115D">
      <w:pPr>
        <w:pStyle w:val="a3"/>
        <w:spacing w:line="268" w:lineRule="exact"/>
        <w:ind w:left="838"/>
      </w:pPr>
      <w:r>
        <w:t>通信指挥业务模拟训练；</w:t>
      </w:r>
      <w:r>
        <w:t xml:space="preserve"> </w:t>
      </w:r>
    </w:p>
    <w:p w14:paraId="2084E5B8" w14:textId="77777777" w:rsidR="00A71EEF" w:rsidRDefault="00A71EEF">
      <w:pPr>
        <w:pStyle w:val="a3"/>
        <w:rPr>
          <w:sz w:val="18"/>
        </w:rPr>
      </w:pPr>
    </w:p>
    <w:p w14:paraId="256D7659" w14:textId="77777777" w:rsidR="00A71EEF" w:rsidRDefault="0081115D">
      <w:pPr>
        <w:pStyle w:val="a3"/>
        <w:spacing w:line="446" w:lineRule="auto"/>
        <w:ind w:left="418" w:right="1436" w:firstLine="419"/>
        <w:jc w:val="both"/>
        <w:rPr>
          <w:sz w:val="18"/>
        </w:rPr>
      </w:pPr>
      <w:r>
        <w:t>城市消防通信指挥系统应能集中接收和处理责任辖区火灾及以抢救人员生命为主的危险化</w:t>
      </w:r>
      <w:r>
        <w:rPr>
          <w:spacing w:val="-7"/>
        </w:rPr>
        <w:t>学品泄漏、道路交通事故、地震及其次生灾害、建筑坍塌、重大安全生产事故、空难、爆炸及恐</w:t>
      </w:r>
      <w:r>
        <w:rPr>
          <w:spacing w:val="-5"/>
        </w:rPr>
        <w:t>怖事件和群众遇险事件等灾害事故报警。</w:t>
      </w:r>
      <w:r>
        <w:rPr>
          <w:sz w:val="18"/>
        </w:rPr>
        <w:t xml:space="preserve"> </w:t>
      </w:r>
    </w:p>
    <w:p w14:paraId="7361F824" w14:textId="77777777" w:rsidR="00A71EEF" w:rsidRDefault="00A71EEF">
      <w:pPr>
        <w:spacing w:line="446" w:lineRule="auto"/>
        <w:jc w:val="both"/>
        <w:rPr>
          <w:sz w:val="18"/>
        </w:rPr>
        <w:sectPr w:rsidR="00A71EEF">
          <w:pgSz w:w="11910" w:h="16850"/>
          <w:pgMar w:top="1220" w:right="0" w:bottom="1420" w:left="1260" w:header="0" w:footer="1239" w:gutter="0"/>
          <w:cols w:space="720"/>
        </w:sectPr>
      </w:pPr>
    </w:p>
    <w:p w14:paraId="107965AE" w14:textId="77777777" w:rsidR="00A71EEF" w:rsidRDefault="0081115D">
      <w:pPr>
        <w:pStyle w:val="a4"/>
        <w:numPr>
          <w:ilvl w:val="1"/>
          <w:numId w:val="39"/>
        </w:numPr>
        <w:tabs>
          <w:tab w:val="left" w:pos="1159"/>
        </w:tabs>
        <w:spacing w:before="47"/>
        <w:ind w:hanging="319"/>
        <w:rPr>
          <w:b/>
          <w:sz w:val="21"/>
        </w:rPr>
      </w:pPr>
      <w:r>
        <w:rPr>
          <w:spacing w:val="-3"/>
          <w:sz w:val="21"/>
        </w:rPr>
        <w:t>系统接口</w:t>
      </w:r>
      <w:r>
        <w:rPr>
          <w:b/>
          <w:w w:val="99"/>
          <w:sz w:val="21"/>
        </w:rPr>
        <w:t xml:space="preserve"> </w:t>
      </w:r>
    </w:p>
    <w:p w14:paraId="1C3E8D91" w14:textId="77777777" w:rsidR="00A71EEF" w:rsidRDefault="00A71EEF">
      <w:pPr>
        <w:pStyle w:val="a3"/>
        <w:rPr>
          <w:b/>
          <w:sz w:val="18"/>
        </w:rPr>
      </w:pPr>
    </w:p>
    <w:p w14:paraId="26C9C6D9" w14:textId="77777777" w:rsidR="00A71EEF" w:rsidRDefault="0081115D">
      <w:pPr>
        <w:pStyle w:val="a4"/>
        <w:numPr>
          <w:ilvl w:val="2"/>
          <w:numId w:val="39"/>
        </w:numPr>
        <w:tabs>
          <w:tab w:val="left" w:pos="1370"/>
        </w:tabs>
        <w:ind w:hanging="530"/>
        <w:rPr>
          <w:b/>
          <w:sz w:val="21"/>
        </w:rPr>
      </w:pPr>
      <w:r>
        <w:rPr>
          <w:spacing w:val="-3"/>
          <w:sz w:val="21"/>
        </w:rPr>
        <w:t>消防通信指挥系统应具有下列通信接口：</w:t>
      </w:r>
      <w:r>
        <w:rPr>
          <w:b/>
          <w:w w:val="99"/>
          <w:sz w:val="21"/>
        </w:rPr>
        <w:t xml:space="preserve"> </w:t>
      </w:r>
    </w:p>
    <w:p w14:paraId="25DE3E23" w14:textId="77777777" w:rsidR="00A71EEF" w:rsidRDefault="00A71EEF">
      <w:pPr>
        <w:pStyle w:val="a3"/>
        <w:rPr>
          <w:b/>
          <w:sz w:val="18"/>
        </w:rPr>
      </w:pPr>
    </w:p>
    <w:p w14:paraId="5A028D3F" w14:textId="77777777" w:rsidR="00A71EEF" w:rsidRDefault="0081115D">
      <w:pPr>
        <w:pStyle w:val="a3"/>
        <w:spacing w:line="446" w:lineRule="auto"/>
        <w:ind w:left="838" w:right="6337"/>
      </w:pPr>
      <w:r>
        <w:t>公安机关指挥中心的系统通信接口；</w:t>
      </w:r>
      <w:r>
        <w:t xml:space="preserve"> </w:t>
      </w:r>
      <w:r>
        <w:t>政府相关部门的系统通信接口；</w:t>
      </w:r>
      <w:r>
        <w:t xml:space="preserve"> </w:t>
      </w:r>
    </w:p>
    <w:p w14:paraId="2EF17D22" w14:textId="77777777" w:rsidR="00A71EEF" w:rsidRDefault="0081115D">
      <w:pPr>
        <w:pStyle w:val="a3"/>
        <w:spacing w:line="446" w:lineRule="auto"/>
        <w:ind w:left="838" w:right="6969"/>
      </w:pPr>
      <w:r>
        <w:t>灭火救援有关单位通信接口；</w:t>
      </w:r>
      <w:r>
        <w:t xml:space="preserve"> </w:t>
      </w:r>
      <w:r>
        <w:t>公网移动无线数据通信接口。</w:t>
      </w:r>
      <w:r>
        <w:t xml:space="preserve"> </w:t>
      </w:r>
    </w:p>
    <w:p w14:paraId="015A53A1" w14:textId="77777777" w:rsidR="00A71EEF" w:rsidRDefault="0081115D">
      <w:pPr>
        <w:pStyle w:val="a4"/>
        <w:numPr>
          <w:ilvl w:val="2"/>
          <w:numId w:val="39"/>
        </w:numPr>
        <w:tabs>
          <w:tab w:val="left" w:pos="1371"/>
        </w:tabs>
        <w:ind w:left="1370" w:hanging="531"/>
        <w:rPr>
          <w:sz w:val="21"/>
        </w:rPr>
      </w:pPr>
      <w:r>
        <w:rPr>
          <w:spacing w:val="-3"/>
          <w:sz w:val="21"/>
        </w:rPr>
        <w:t>城市消防通信指挥系统应具有下列接收报警通信接口：</w:t>
      </w:r>
      <w:r>
        <w:rPr>
          <w:sz w:val="21"/>
        </w:rPr>
        <w:t xml:space="preserve"> </w:t>
      </w:r>
    </w:p>
    <w:p w14:paraId="0146E58A" w14:textId="77777777" w:rsidR="00A71EEF" w:rsidRDefault="00A71EEF">
      <w:pPr>
        <w:pStyle w:val="a3"/>
        <w:spacing w:before="12"/>
        <w:rPr>
          <w:sz w:val="17"/>
        </w:rPr>
      </w:pPr>
    </w:p>
    <w:p w14:paraId="17E08C65" w14:textId="77777777" w:rsidR="00A71EEF" w:rsidRDefault="0081115D">
      <w:pPr>
        <w:pStyle w:val="a3"/>
        <w:ind w:left="838"/>
      </w:pPr>
      <w:r>
        <w:t>公网报警电话通信接口；</w:t>
      </w:r>
      <w:r>
        <w:t xml:space="preserve"> </w:t>
      </w:r>
    </w:p>
    <w:p w14:paraId="1C76B294" w14:textId="77777777" w:rsidR="00A71EEF" w:rsidRDefault="00A71EEF">
      <w:pPr>
        <w:pStyle w:val="a3"/>
        <w:rPr>
          <w:sz w:val="18"/>
        </w:rPr>
      </w:pPr>
    </w:p>
    <w:p w14:paraId="10ADA595" w14:textId="77777777" w:rsidR="00A71EEF" w:rsidRDefault="0081115D">
      <w:pPr>
        <w:pStyle w:val="a3"/>
        <w:ind w:left="838"/>
      </w:pPr>
      <w:r>
        <w:t>城市消防远程监控系统等专网报警通信接口；</w:t>
      </w:r>
      <w:r>
        <w:t xml:space="preserve"> </w:t>
      </w:r>
    </w:p>
    <w:p w14:paraId="70B5FDBC" w14:textId="77777777" w:rsidR="00A71EEF" w:rsidRDefault="00A71EEF">
      <w:pPr>
        <w:pStyle w:val="a3"/>
        <w:spacing w:before="2"/>
        <w:rPr>
          <w:sz w:val="18"/>
        </w:rPr>
      </w:pPr>
    </w:p>
    <w:p w14:paraId="10D40B20" w14:textId="77777777" w:rsidR="00A71EEF" w:rsidRDefault="0081115D">
      <w:pPr>
        <w:pStyle w:val="a3"/>
        <w:spacing w:line="446" w:lineRule="auto"/>
        <w:ind w:left="840" w:right="3817" w:hanging="3"/>
      </w:pPr>
      <w:r>
        <w:t>固定报警电话装机地址和移动报警电话定位地址数据传输接口。</w:t>
      </w:r>
      <w:r>
        <w:rPr>
          <w:b/>
        </w:rPr>
        <w:t xml:space="preserve">4.3 </w:t>
      </w:r>
      <w:r>
        <w:t>系统主要性能</w:t>
      </w:r>
      <w:r>
        <w:t xml:space="preserve"> </w:t>
      </w:r>
    </w:p>
    <w:p w14:paraId="31BB8332" w14:textId="77777777" w:rsidR="00A71EEF" w:rsidRDefault="0081115D">
      <w:pPr>
        <w:pStyle w:val="a3"/>
        <w:spacing w:line="446" w:lineRule="auto"/>
        <w:ind w:left="418" w:right="1431" w:firstLine="422"/>
        <w:jc w:val="both"/>
      </w:pPr>
      <w:r>
        <w:rPr>
          <w:b/>
        </w:rPr>
        <w:t xml:space="preserve">4.3.1 </w:t>
      </w:r>
      <w:r>
        <w:rPr>
          <w:spacing w:val="-7"/>
        </w:rPr>
        <w:t>消防通信指挥系统的主要性能应符合下列要求：能同时对</w:t>
      </w:r>
      <w:r>
        <w:rPr>
          <w:spacing w:val="-7"/>
        </w:rPr>
        <w:t xml:space="preserve"> </w:t>
      </w:r>
      <w:r>
        <w:t>2</w:t>
      </w:r>
      <w:r>
        <w:rPr>
          <w:spacing w:val="-8"/>
        </w:rPr>
        <w:t xml:space="preserve"> </w:t>
      </w:r>
      <w:r>
        <w:rPr>
          <w:spacing w:val="-8"/>
        </w:rPr>
        <w:t>起以上火灾及以抢救人员</w:t>
      </w:r>
      <w:r>
        <w:rPr>
          <w:spacing w:val="-17"/>
        </w:rPr>
        <w:t>生命为主的危险化学品泄漏、道路交通事故、地震及其次生灾害、建筑坍塌、重大安全生产事故、</w:t>
      </w:r>
      <w:r>
        <w:rPr>
          <w:spacing w:val="-7"/>
        </w:rPr>
        <w:t>空难、爆炸及恐怖事件和群众遇险事件等灾害事故进行灭火救援调度指挥；</w:t>
      </w:r>
      <w:r>
        <w:t xml:space="preserve"> </w:t>
      </w:r>
    </w:p>
    <w:p w14:paraId="01A4F454" w14:textId="77777777" w:rsidR="00A71EEF" w:rsidRDefault="0081115D">
      <w:pPr>
        <w:pStyle w:val="a3"/>
        <w:spacing w:line="446" w:lineRule="auto"/>
        <w:ind w:left="838" w:right="2345"/>
      </w:pPr>
      <w:r>
        <w:rPr>
          <w:spacing w:val="-3"/>
        </w:rPr>
        <w:t>能实时接收所辖下级消防通信指挥中心或消防站发送的信息，并保持数据同步；</w:t>
      </w:r>
      <w:r>
        <w:rPr>
          <w:spacing w:val="-3"/>
        </w:rPr>
        <w:t xml:space="preserve"> </w:t>
      </w:r>
      <w:r>
        <w:rPr>
          <w:spacing w:val="-3"/>
        </w:rPr>
        <w:t>工作界面设计合理，操作简单、方便；</w:t>
      </w:r>
      <w:r>
        <w:t xml:space="preserve"> </w:t>
      </w:r>
    </w:p>
    <w:p w14:paraId="303DE1DB" w14:textId="77777777" w:rsidR="00A71EEF" w:rsidRDefault="0081115D">
      <w:pPr>
        <w:pStyle w:val="a3"/>
        <w:ind w:left="838"/>
      </w:pPr>
      <w:r>
        <w:t>具有良好的共享性和可扩展性；</w:t>
      </w:r>
      <w:r>
        <w:t xml:space="preserve"> </w:t>
      </w:r>
    </w:p>
    <w:p w14:paraId="510E4FE6" w14:textId="77777777" w:rsidR="00A71EEF" w:rsidRDefault="00A71EEF">
      <w:pPr>
        <w:pStyle w:val="a3"/>
        <w:spacing w:before="8"/>
        <w:rPr>
          <w:sz w:val="17"/>
        </w:rPr>
      </w:pPr>
    </w:p>
    <w:p w14:paraId="2D1BF885" w14:textId="77777777" w:rsidR="00A71EEF" w:rsidRDefault="0081115D">
      <w:pPr>
        <w:pStyle w:val="a3"/>
        <w:spacing w:before="1"/>
        <w:ind w:left="838"/>
      </w:pPr>
      <w:r>
        <w:t>采用北京时间计时，计时最小量度为秒，系统内保持时钟同步；</w:t>
      </w:r>
      <w:r>
        <w:t xml:space="preserve"> </w:t>
      </w:r>
    </w:p>
    <w:p w14:paraId="2519CCE7" w14:textId="77777777" w:rsidR="00A71EEF" w:rsidRDefault="00A71EEF">
      <w:pPr>
        <w:pStyle w:val="a3"/>
        <w:spacing w:before="1"/>
        <w:rPr>
          <w:sz w:val="18"/>
        </w:rPr>
      </w:pPr>
    </w:p>
    <w:p w14:paraId="69D67170" w14:textId="77777777" w:rsidR="00A71EEF" w:rsidRDefault="0081115D">
      <w:pPr>
        <w:pStyle w:val="a3"/>
        <w:spacing w:line="446" w:lineRule="auto"/>
        <w:ind w:left="418" w:right="1436" w:firstLine="419"/>
        <w:jc w:val="both"/>
      </w:pPr>
      <w:r>
        <w:rPr>
          <w:spacing w:val="1"/>
        </w:rPr>
        <w:t>城市消防通信指挥系统应能同时受理</w:t>
      </w:r>
      <w:r>
        <w:rPr>
          <w:spacing w:val="1"/>
        </w:rPr>
        <w:t xml:space="preserve"> </w:t>
      </w:r>
      <w:r>
        <w:t>2</w:t>
      </w:r>
      <w:r>
        <w:rPr>
          <w:spacing w:val="-1"/>
        </w:rPr>
        <w:t xml:space="preserve"> </w:t>
      </w:r>
      <w:r>
        <w:rPr>
          <w:spacing w:val="-1"/>
        </w:rPr>
        <w:t>起以上火灾及以抢救人员生命为主的危险化学品泄</w:t>
      </w:r>
      <w:r>
        <w:rPr>
          <w:spacing w:val="-7"/>
        </w:rPr>
        <w:t>漏、道路交通事故、地震及其次生灾害、建筑坍塌、重大安全生产事故、空难</w:t>
      </w:r>
      <w:r>
        <w:rPr>
          <w:spacing w:val="-7"/>
        </w:rPr>
        <w:t>、爆炸及恐怖事件</w:t>
      </w:r>
      <w:r>
        <w:rPr>
          <w:spacing w:val="-5"/>
        </w:rPr>
        <w:t>和群众遇险事件等灾害事故报警；</w:t>
      </w:r>
      <w:r>
        <w:t xml:space="preserve"> </w:t>
      </w:r>
    </w:p>
    <w:p w14:paraId="62CAC661" w14:textId="77777777" w:rsidR="00A71EEF" w:rsidRDefault="0081115D">
      <w:pPr>
        <w:pStyle w:val="a3"/>
        <w:spacing w:line="446" w:lineRule="auto"/>
        <w:ind w:left="840" w:right="2416" w:hanging="3"/>
      </w:pPr>
      <w:r>
        <w:t>城市消防通信指挥系统从接警到消防站收到第一出动指令的时间不应超过</w:t>
      </w:r>
      <w:r>
        <w:t xml:space="preserve"> 45s</w:t>
      </w:r>
      <w:r>
        <w:t>。</w:t>
      </w:r>
      <w:r>
        <w:rPr>
          <w:b/>
        </w:rPr>
        <w:t xml:space="preserve">4.4 </w:t>
      </w:r>
      <w:r>
        <w:t>系统安全</w:t>
      </w:r>
      <w:r>
        <w:t xml:space="preserve"> </w:t>
      </w:r>
    </w:p>
    <w:p w14:paraId="18295846" w14:textId="77777777" w:rsidR="00A71EEF" w:rsidRDefault="0081115D">
      <w:pPr>
        <w:pStyle w:val="a4"/>
        <w:numPr>
          <w:ilvl w:val="2"/>
          <w:numId w:val="38"/>
        </w:numPr>
        <w:tabs>
          <w:tab w:val="left" w:pos="1370"/>
        </w:tabs>
        <w:spacing w:line="267" w:lineRule="exact"/>
        <w:ind w:hanging="530"/>
        <w:rPr>
          <w:sz w:val="21"/>
        </w:rPr>
      </w:pPr>
      <w:r>
        <w:rPr>
          <w:spacing w:val="-3"/>
          <w:sz w:val="21"/>
        </w:rPr>
        <w:t>消防通信指挥系统的物理安全应符合下列要求：</w:t>
      </w:r>
      <w:r>
        <w:rPr>
          <w:sz w:val="21"/>
        </w:rPr>
        <w:t xml:space="preserve"> </w:t>
      </w:r>
    </w:p>
    <w:p w14:paraId="052C3187" w14:textId="77777777" w:rsidR="00A71EEF" w:rsidRDefault="00A71EEF">
      <w:pPr>
        <w:pStyle w:val="a3"/>
        <w:spacing w:before="1"/>
        <w:rPr>
          <w:sz w:val="18"/>
        </w:rPr>
      </w:pPr>
    </w:p>
    <w:p w14:paraId="0B74AF16" w14:textId="77777777" w:rsidR="00A71EEF" w:rsidRDefault="0081115D">
      <w:pPr>
        <w:pStyle w:val="a3"/>
        <w:spacing w:before="1" w:line="446" w:lineRule="auto"/>
        <w:ind w:left="838" w:right="3397"/>
      </w:pPr>
      <w:r>
        <w:t>系统设备运行环境具有防雷、防火、防静电、防尘、防腐蚀等措施；</w:t>
      </w:r>
      <w:r>
        <w:t xml:space="preserve"> </w:t>
      </w:r>
      <w:r>
        <w:t>能提供稳定的供电环境；</w:t>
      </w:r>
      <w:r>
        <w:t xml:space="preserve"> </w:t>
      </w:r>
    </w:p>
    <w:p w14:paraId="166D8476" w14:textId="77777777" w:rsidR="00A71EEF" w:rsidRDefault="0081115D">
      <w:pPr>
        <w:pStyle w:val="a3"/>
        <w:spacing w:line="267" w:lineRule="exact"/>
        <w:ind w:left="838"/>
        <w:rPr>
          <w:b/>
        </w:rPr>
      </w:pPr>
      <w:r>
        <w:t>符合国家现行有关电磁兼容技术标准。</w:t>
      </w:r>
      <w:r>
        <w:rPr>
          <w:b/>
          <w:w w:val="99"/>
        </w:rPr>
        <w:t xml:space="preserve"> </w:t>
      </w:r>
    </w:p>
    <w:p w14:paraId="027F4F74" w14:textId="77777777" w:rsidR="00A71EEF" w:rsidRDefault="00A71EEF">
      <w:pPr>
        <w:pStyle w:val="a3"/>
        <w:spacing w:before="1"/>
        <w:rPr>
          <w:b/>
          <w:sz w:val="18"/>
        </w:rPr>
      </w:pPr>
    </w:p>
    <w:p w14:paraId="6917CB89" w14:textId="77777777" w:rsidR="00A71EEF" w:rsidRDefault="0081115D">
      <w:pPr>
        <w:pStyle w:val="a4"/>
        <w:numPr>
          <w:ilvl w:val="2"/>
          <w:numId w:val="38"/>
        </w:numPr>
        <w:tabs>
          <w:tab w:val="left" w:pos="1370"/>
        </w:tabs>
        <w:spacing w:before="1"/>
        <w:ind w:hanging="530"/>
        <w:rPr>
          <w:sz w:val="21"/>
        </w:rPr>
      </w:pPr>
      <w:r>
        <w:rPr>
          <w:spacing w:val="-3"/>
          <w:sz w:val="21"/>
        </w:rPr>
        <w:t>消防通信指挥系统的信息安全应符合下列要求：</w:t>
      </w:r>
      <w:r>
        <w:rPr>
          <w:sz w:val="21"/>
        </w:rPr>
        <w:t xml:space="preserve"> </w:t>
      </w:r>
    </w:p>
    <w:p w14:paraId="50E84207" w14:textId="77777777" w:rsidR="00A71EEF" w:rsidRDefault="00A71EEF">
      <w:pPr>
        <w:rPr>
          <w:sz w:val="21"/>
        </w:rPr>
        <w:sectPr w:rsidR="00A71EEF">
          <w:footerReference w:type="default" r:id="rId586"/>
          <w:pgSz w:w="11910" w:h="16850"/>
          <w:pgMar w:top="1220" w:right="0" w:bottom="1420" w:left="1260" w:header="0" w:footer="1239" w:gutter="0"/>
          <w:pgNumType w:start="1640"/>
          <w:cols w:space="720"/>
        </w:sectPr>
      </w:pPr>
    </w:p>
    <w:p w14:paraId="7939EFAA" w14:textId="77777777" w:rsidR="00A71EEF" w:rsidRDefault="0081115D">
      <w:pPr>
        <w:pStyle w:val="a3"/>
        <w:spacing w:before="47"/>
        <w:ind w:left="838"/>
      </w:pPr>
      <w:r>
        <w:t>分级设置操作权限；</w:t>
      </w:r>
      <w:r>
        <w:t xml:space="preserve"> </w:t>
      </w:r>
    </w:p>
    <w:p w14:paraId="3EAC46E4" w14:textId="77777777" w:rsidR="00A71EEF" w:rsidRDefault="00A71EEF">
      <w:pPr>
        <w:pStyle w:val="a3"/>
        <w:rPr>
          <w:sz w:val="18"/>
        </w:rPr>
      </w:pPr>
    </w:p>
    <w:p w14:paraId="722875A9" w14:textId="77777777" w:rsidR="00A71EEF" w:rsidRDefault="0081115D">
      <w:pPr>
        <w:pStyle w:val="a3"/>
        <w:ind w:left="838"/>
      </w:pPr>
      <w:r>
        <w:t>设置防火墙等安全隔离系统；</w:t>
      </w:r>
      <w:r>
        <w:t xml:space="preserve"> </w:t>
      </w:r>
    </w:p>
    <w:p w14:paraId="1536D69F" w14:textId="77777777" w:rsidR="00A71EEF" w:rsidRDefault="00A71EEF">
      <w:pPr>
        <w:pStyle w:val="a3"/>
        <w:rPr>
          <w:sz w:val="18"/>
        </w:rPr>
      </w:pPr>
    </w:p>
    <w:p w14:paraId="73D45FE9" w14:textId="77777777" w:rsidR="00A71EEF" w:rsidRDefault="0081115D">
      <w:pPr>
        <w:pStyle w:val="a3"/>
        <w:ind w:left="838"/>
      </w:pPr>
      <w:r>
        <w:t>安装防病毒软件，并能定期升级；</w:t>
      </w:r>
      <w:r>
        <w:t xml:space="preserve"> </w:t>
      </w:r>
    </w:p>
    <w:p w14:paraId="357058CB" w14:textId="77777777" w:rsidR="00A71EEF" w:rsidRDefault="00A71EEF">
      <w:pPr>
        <w:pStyle w:val="a3"/>
        <w:spacing w:before="1"/>
        <w:rPr>
          <w:sz w:val="18"/>
        </w:rPr>
      </w:pPr>
    </w:p>
    <w:p w14:paraId="320B33FF" w14:textId="77777777" w:rsidR="00A71EEF" w:rsidRDefault="0081115D">
      <w:pPr>
        <w:pStyle w:val="a3"/>
        <w:spacing w:before="1" w:line="446" w:lineRule="auto"/>
        <w:ind w:left="838" w:right="4026"/>
      </w:pPr>
      <w:r>
        <w:t>具有计算机终端漏洞扫描、修补和系统补丁升级、分发功能；</w:t>
      </w:r>
      <w:r>
        <w:t xml:space="preserve"> </w:t>
      </w:r>
      <w:r>
        <w:t>对信息数据进行备份和恢复。</w:t>
      </w:r>
      <w:r>
        <w:t xml:space="preserve"> </w:t>
      </w:r>
    </w:p>
    <w:p w14:paraId="72D685B7" w14:textId="77777777" w:rsidR="00A71EEF" w:rsidRDefault="0081115D">
      <w:pPr>
        <w:pStyle w:val="a4"/>
        <w:numPr>
          <w:ilvl w:val="2"/>
          <w:numId w:val="38"/>
        </w:numPr>
        <w:tabs>
          <w:tab w:val="left" w:pos="1370"/>
        </w:tabs>
        <w:spacing w:line="267" w:lineRule="exact"/>
        <w:ind w:hanging="530"/>
        <w:rPr>
          <w:sz w:val="21"/>
        </w:rPr>
      </w:pPr>
      <w:r>
        <w:rPr>
          <w:spacing w:val="-3"/>
          <w:sz w:val="21"/>
        </w:rPr>
        <w:t>消防通信指挥系统的运行安全应符合下列要求：</w:t>
      </w:r>
      <w:r>
        <w:rPr>
          <w:sz w:val="21"/>
        </w:rPr>
        <w:t xml:space="preserve"> </w:t>
      </w:r>
    </w:p>
    <w:p w14:paraId="2AD4B3A5" w14:textId="77777777" w:rsidR="00A71EEF" w:rsidRDefault="00A71EEF">
      <w:pPr>
        <w:pStyle w:val="a3"/>
        <w:spacing w:before="1"/>
        <w:rPr>
          <w:sz w:val="18"/>
        </w:rPr>
      </w:pPr>
    </w:p>
    <w:p w14:paraId="3CFC85A7" w14:textId="77777777" w:rsidR="00A71EEF" w:rsidRDefault="0081115D">
      <w:pPr>
        <w:pStyle w:val="a3"/>
        <w:spacing w:before="1" w:line="446" w:lineRule="auto"/>
        <w:ind w:left="838" w:right="5709"/>
      </w:pPr>
      <w:r>
        <w:t>重要设备或重要设备的核心部件应有备份；</w:t>
      </w:r>
      <w:r>
        <w:t xml:space="preserve"> </w:t>
      </w:r>
      <w:r>
        <w:t>指挥通信网络应相对独立、常年畅通；</w:t>
      </w:r>
      <w:r>
        <w:t xml:space="preserve"> </w:t>
      </w:r>
    </w:p>
    <w:p w14:paraId="3EA020CC" w14:textId="77777777" w:rsidR="00A71EEF" w:rsidRDefault="0081115D">
      <w:pPr>
        <w:pStyle w:val="a3"/>
        <w:spacing w:line="267" w:lineRule="exact"/>
        <w:ind w:left="838"/>
      </w:pPr>
      <w:r>
        <w:t>能实时监控系统运行情况，并能故障告警；</w:t>
      </w:r>
      <w:r>
        <w:t xml:space="preserve"> </w:t>
      </w:r>
    </w:p>
    <w:p w14:paraId="201716BE" w14:textId="77777777" w:rsidR="00A71EEF" w:rsidRDefault="00A71EEF">
      <w:pPr>
        <w:pStyle w:val="a3"/>
        <w:spacing w:before="1"/>
        <w:rPr>
          <w:sz w:val="18"/>
        </w:rPr>
      </w:pPr>
    </w:p>
    <w:p w14:paraId="30D02854" w14:textId="77777777" w:rsidR="00A71EEF" w:rsidRDefault="0081115D">
      <w:pPr>
        <w:pStyle w:val="a3"/>
        <w:ind w:left="838"/>
      </w:pPr>
      <w:r>
        <w:t>系统软件不能正常运行时，能保证电话接警和调度指挥畅通；</w:t>
      </w:r>
      <w:r>
        <w:t xml:space="preserve"> </w:t>
      </w:r>
    </w:p>
    <w:p w14:paraId="3CA7E5EC" w14:textId="77777777" w:rsidR="00A71EEF" w:rsidRDefault="00A71EEF">
      <w:pPr>
        <w:pStyle w:val="a3"/>
        <w:rPr>
          <w:sz w:val="18"/>
        </w:rPr>
      </w:pPr>
    </w:p>
    <w:p w14:paraId="102C6C8C" w14:textId="77777777" w:rsidR="00A71EEF" w:rsidRDefault="0081115D">
      <w:pPr>
        <w:pStyle w:val="a3"/>
        <w:ind w:left="838"/>
      </w:pPr>
      <w:r>
        <w:t>火警电话呼入线路或设备出现故障时，能切换到火警应急接警电话线路或设备接警；</w:t>
      </w:r>
      <w:r>
        <w:t xml:space="preserve"> </w:t>
      </w:r>
    </w:p>
    <w:p w14:paraId="134CFA39" w14:textId="77777777" w:rsidR="00A71EEF" w:rsidRDefault="00A71EEF">
      <w:pPr>
        <w:pStyle w:val="a3"/>
        <w:spacing w:before="12"/>
        <w:rPr>
          <w:sz w:val="17"/>
        </w:rPr>
      </w:pPr>
    </w:p>
    <w:p w14:paraId="0B281B80" w14:textId="77777777" w:rsidR="00A71EEF" w:rsidRDefault="0081115D">
      <w:pPr>
        <w:pStyle w:val="a3"/>
        <w:ind w:left="838"/>
        <w:rPr>
          <w:sz w:val="18"/>
        </w:rPr>
      </w:pPr>
      <w:r>
        <w:t>火警调度电话专用线路或设备出现故障时，能利用其他有线、无线通信方式进行调度指挥。</w:t>
      </w:r>
      <w:r>
        <w:rPr>
          <w:sz w:val="18"/>
        </w:rPr>
        <w:t xml:space="preserve"> </w:t>
      </w:r>
    </w:p>
    <w:p w14:paraId="1CB3B938" w14:textId="77777777" w:rsidR="00A71EEF" w:rsidRDefault="00A71EEF">
      <w:pPr>
        <w:pStyle w:val="a3"/>
        <w:spacing w:before="10"/>
        <w:rPr>
          <w:sz w:val="15"/>
        </w:rPr>
      </w:pPr>
    </w:p>
    <w:p w14:paraId="35D56A44" w14:textId="77777777" w:rsidR="00A71EEF" w:rsidRDefault="0081115D">
      <w:pPr>
        <w:pStyle w:val="4"/>
        <w:spacing w:before="1"/>
      </w:pPr>
      <w:r>
        <w:t xml:space="preserve">5 </w:t>
      </w:r>
      <w:r>
        <w:t>子系统功能及其设计要求</w:t>
      </w:r>
      <w:r>
        <w:rPr>
          <w:w w:val="99"/>
        </w:rPr>
        <w:t xml:space="preserve"> </w:t>
      </w:r>
    </w:p>
    <w:p w14:paraId="575A9322" w14:textId="77777777" w:rsidR="00A71EEF" w:rsidRDefault="00A71EEF">
      <w:pPr>
        <w:pStyle w:val="a3"/>
        <w:spacing w:before="4"/>
        <w:rPr>
          <w:b/>
          <w:sz w:val="17"/>
        </w:rPr>
      </w:pPr>
    </w:p>
    <w:p w14:paraId="48CB76C9" w14:textId="77777777" w:rsidR="00A71EEF" w:rsidRDefault="0081115D">
      <w:pPr>
        <w:pStyle w:val="a4"/>
        <w:numPr>
          <w:ilvl w:val="1"/>
          <w:numId w:val="37"/>
        </w:numPr>
        <w:tabs>
          <w:tab w:val="left" w:pos="1159"/>
        </w:tabs>
        <w:ind w:hanging="319"/>
        <w:rPr>
          <w:b/>
          <w:sz w:val="21"/>
        </w:rPr>
      </w:pPr>
      <w:r>
        <w:rPr>
          <w:spacing w:val="-3"/>
          <w:sz w:val="21"/>
        </w:rPr>
        <w:t>火警受理子系统</w:t>
      </w:r>
      <w:r>
        <w:rPr>
          <w:b/>
          <w:w w:val="99"/>
          <w:sz w:val="21"/>
        </w:rPr>
        <w:t xml:space="preserve"> </w:t>
      </w:r>
    </w:p>
    <w:p w14:paraId="4098EB64" w14:textId="77777777" w:rsidR="00A71EEF" w:rsidRDefault="00A71EEF">
      <w:pPr>
        <w:pStyle w:val="a3"/>
        <w:spacing w:before="12"/>
        <w:rPr>
          <w:b/>
          <w:sz w:val="17"/>
        </w:rPr>
      </w:pPr>
    </w:p>
    <w:p w14:paraId="458B2429" w14:textId="77777777" w:rsidR="00A71EEF" w:rsidRDefault="0081115D">
      <w:pPr>
        <w:pStyle w:val="a4"/>
        <w:numPr>
          <w:ilvl w:val="2"/>
          <w:numId w:val="37"/>
        </w:numPr>
        <w:tabs>
          <w:tab w:val="left" w:pos="1370"/>
        </w:tabs>
        <w:ind w:hanging="530"/>
        <w:rPr>
          <w:b/>
          <w:sz w:val="21"/>
        </w:rPr>
      </w:pPr>
      <w:r>
        <w:rPr>
          <w:spacing w:val="-3"/>
          <w:sz w:val="21"/>
        </w:rPr>
        <w:t>火警受理子系统的基本工作流程（</w:t>
      </w:r>
      <w:r>
        <w:rPr>
          <w:spacing w:val="-27"/>
          <w:sz w:val="21"/>
        </w:rPr>
        <w:t>图</w:t>
      </w:r>
      <w:r>
        <w:rPr>
          <w:spacing w:val="-27"/>
          <w:sz w:val="21"/>
        </w:rPr>
        <w:t xml:space="preserve"> </w:t>
      </w:r>
      <w:r>
        <w:rPr>
          <w:sz w:val="21"/>
        </w:rPr>
        <w:t>5.1.1</w:t>
      </w:r>
      <w:r>
        <w:rPr>
          <w:sz w:val="21"/>
        </w:rPr>
        <w:t>）</w:t>
      </w:r>
      <w:r>
        <w:rPr>
          <w:spacing w:val="-3"/>
          <w:sz w:val="21"/>
        </w:rPr>
        <w:t>应符合下列要求：</w:t>
      </w:r>
      <w:r>
        <w:rPr>
          <w:b/>
          <w:w w:val="99"/>
          <w:sz w:val="21"/>
        </w:rPr>
        <w:t xml:space="preserve"> </w:t>
      </w:r>
    </w:p>
    <w:p w14:paraId="05F701A7" w14:textId="77777777" w:rsidR="00A71EEF" w:rsidRDefault="0081115D">
      <w:pPr>
        <w:pStyle w:val="a3"/>
        <w:spacing w:before="11"/>
        <w:rPr>
          <w:b/>
          <w:sz w:val="18"/>
        </w:rPr>
      </w:pPr>
      <w:r>
        <w:rPr>
          <w:noProof/>
        </w:rPr>
        <w:drawing>
          <wp:anchor distT="0" distB="0" distL="0" distR="0" simplePos="0" relativeHeight="251748864" behindDoc="0" locked="0" layoutInCell="1" allowOverlap="1" wp14:anchorId="5ED65FF1" wp14:editId="612B8FAB">
            <wp:simplePos x="0" y="0"/>
            <wp:positionH relativeFrom="page">
              <wp:posOffset>2741548</wp:posOffset>
            </wp:positionH>
            <wp:positionV relativeFrom="paragraph">
              <wp:posOffset>178354</wp:posOffset>
            </wp:positionV>
            <wp:extent cx="1676600" cy="3028950"/>
            <wp:effectExtent l="0" t="0" r="0" b="0"/>
            <wp:wrapTopAndBottom/>
            <wp:docPr id="801" name="image4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image469.jpeg"/>
                    <pic:cNvPicPr/>
                  </pic:nvPicPr>
                  <pic:blipFill>
                    <a:blip r:embed="rId587" cstate="print"/>
                    <a:stretch>
                      <a:fillRect/>
                    </a:stretch>
                  </pic:blipFill>
                  <pic:spPr>
                    <a:xfrm>
                      <a:off x="0" y="0"/>
                      <a:ext cx="1676600" cy="3028950"/>
                    </a:xfrm>
                    <a:prstGeom prst="rect">
                      <a:avLst/>
                    </a:prstGeom>
                  </pic:spPr>
                </pic:pic>
              </a:graphicData>
            </a:graphic>
          </wp:anchor>
        </w:drawing>
      </w:r>
    </w:p>
    <w:p w14:paraId="70072574" w14:textId="77777777" w:rsidR="00A71EEF" w:rsidRDefault="00A71EEF">
      <w:pPr>
        <w:pStyle w:val="a3"/>
        <w:spacing w:before="7"/>
        <w:rPr>
          <w:b/>
          <w:sz w:val="17"/>
        </w:rPr>
      </w:pPr>
    </w:p>
    <w:p w14:paraId="5D34BF69" w14:textId="77777777" w:rsidR="00A71EEF" w:rsidRDefault="0081115D">
      <w:pPr>
        <w:pStyle w:val="6"/>
        <w:ind w:left="3205"/>
        <w:rPr>
          <w:b w:val="0"/>
        </w:rPr>
      </w:pPr>
      <w:r>
        <w:t>图</w:t>
      </w:r>
      <w:r>
        <w:t xml:space="preserve"> 5.1.1 </w:t>
      </w:r>
      <w:r>
        <w:t>火警受理子系统基本工作流程</w:t>
      </w:r>
      <w:r>
        <w:rPr>
          <w:b w:val="0"/>
        </w:rPr>
        <w:t xml:space="preserve"> </w:t>
      </w:r>
    </w:p>
    <w:p w14:paraId="4BA00B1E" w14:textId="77777777" w:rsidR="00A71EEF" w:rsidRDefault="00A71EEF">
      <w:pPr>
        <w:pStyle w:val="a3"/>
        <w:rPr>
          <w:sz w:val="18"/>
        </w:rPr>
      </w:pPr>
    </w:p>
    <w:p w14:paraId="55D74DEC" w14:textId="77777777" w:rsidR="00A71EEF" w:rsidRDefault="0081115D">
      <w:pPr>
        <w:pStyle w:val="a3"/>
        <w:ind w:left="838"/>
      </w:pPr>
      <w:r>
        <w:t>通过公用或专用报警通信网，接收火灾及其他灾害事故报警；</w:t>
      </w:r>
      <w:r>
        <w:t xml:space="preserve"> </w:t>
      </w:r>
    </w:p>
    <w:p w14:paraId="3FD53046" w14:textId="77777777" w:rsidR="00A71EEF" w:rsidRDefault="00A71EEF">
      <w:pPr>
        <w:pStyle w:val="a3"/>
        <w:spacing w:before="12"/>
        <w:rPr>
          <w:sz w:val="17"/>
        </w:rPr>
      </w:pPr>
    </w:p>
    <w:p w14:paraId="70A9C997" w14:textId="77777777" w:rsidR="00A71EEF" w:rsidRDefault="0081115D">
      <w:pPr>
        <w:pStyle w:val="a3"/>
        <w:ind w:left="838"/>
      </w:pPr>
      <w:r>
        <w:t>辨别火警真伪，定位火灾及其他灾害事故地点，确定火灾及其他灾害事故类型和等级；</w:t>
      </w:r>
      <w:r>
        <w:t xml:space="preserve"> </w:t>
      </w:r>
    </w:p>
    <w:p w14:paraId="3CA78FBB" w14:textId="77777777" w:rsidR="00A71EEF" w:rsidRDefault="00A71EEF">
      <w:pPr>
        <w:sectPr w:rsidR="00A71EEF">
          <w:pgSz w:w="11910" w:h="16850"/>
          <w:pgMar w:top="1220" w:right="0" w:bottom="1420" w:left="1260" w:header="0" w:footer="1239" w:gutter="0"/>
          <w:cols w:space="720"/>
        </w:sectPr>
      </w:pPr>
    </w:p>
    <w:p w14:paraId="0341C5BD" w14:textId="77777777" w:rsidR="00A71EEF" w:rsidRDefault="0081115D">
      <w:pPr>
        <w:pStyle w:val="a3"/>
        <w:spacing w:before="47"/>
        <w:ind w:left="838"/>
      </w:pPr>
      <w:r>
        <w:t>自动或人工编制灭火救援力量出动方案；</w:t>
      </w:r>
      <w:r>
        <w:t xml:space="preserve"> </w:t>
      </w:r>
    </w:p>
    <w:p w14:paraId="0D4B9E1C" w14:textId="77777777" w:rsidR="00A71EEF" w:rsidRDefault="00A71EEF">
      <w:pPr>
        <w:pStyle w:val="a3"/>
        <w:rPr>
          <w:sz w:val="18"/>
        </w:rPr>
      </w:pPr>
    </w:p>
    <w:p w14:paraId="28FD3F5D" w14:textId="77777777" w:rsidR="00A71EEF" w:rsidRDefault="0081115D">
      <w:pPr>
        <w:pStyle w:val="a3"/>
        <w:spacing w:line="446" w:lineRule="auto"/>
        <w:ind w:left="418" w:right="1410" w:firstLine="419"/>
      </w:pPr>
      <w:r>
        <w:t>将第一出动力量的出动指令下达到消防站，向灭火救援有关单位发出灾情通报和联合作战要求；</w:t>
      </w:r>
      <w:r>
        <w:t xml:space="preserve"> </w:t>
      </w:r>
    </w:p>
    <w:p w14:paraId="16749D2F" w14:textId="77777777" w:rsidR="00A71EEF" w:rsidRDefault="0081115D">
      <w:pPr>
        <w:pStyle w:val="a3"/>
        <w:ind w:left="838"/>
      </w:pPr>
      <w:r>
        <w:t>建立火灾及其他灾害事故档案，生成报表。</w:t>
      </w:r>
      <w:r>
        <w:t xml:space="preserve"> </w:t>
      </w:r>
    </w:p>
    <w:p w14:paraId="12BEC677" w14:textId="77777777" w:rsidR="00A71EEF" w:rsidRDefault="00A71EEF">
      <w:pPr>
        <w:pStyle w:val="a3"/>
        <w:spacing w:before="12"/>
        <w:rPr>
          <w:sz w:val="17"/>
        </w:rPr>
      </w:pPr>
    </w:p>
    <w:p w14:paraId="3BD08FC5" w14:textId="77777777" w:rsidR="00A71EEF" w:rsidRDefault="0081115D">
      <w:pPr>
        <w:ind w:left="840"/>
        <w:rPr>
          <w:sz w:val="21"/>
        </w:rPr>
      </w:pPr>
      <w:r>
        <w:rPr>
          <w:b/>
          <w:w w:val="99"/>
          <w:sz w:val="21"/>
        </w:rPr>
        <w:t xml:space="preserve"> </w:t>
      </w:r>
      <w:r>
        <w:rPr>
          <w:b/>
          <w:sz w:val="21"/>
        </w:rPr>
        <w:t xml:space="preserve">5.1.2 </w:t>
      </w:r>
      <w:r>
        <w:rPr>
          <w:sz w:val="21"/>
        </w:rPr>
        <w:t>火警受理子系统的接收报警功能应符合下列要求：</w:t>
      </w:r>
      <w:r>
        <w:rPr>
          <w:sz w:val="21"/>
        </w:rPr>
        <w:t xml:space="preserve"> </w:t>
      </w:r>
    </w:p>
    <w:p w14:paraId="4B28542A" w14:textId="77777777" w:rsidR="00A71EEF" w:rsidRDefault="00A71EEF">
      <w:pPr>
        <w:pStyle w:val="a3"/>
        <w:rPr>
          <w:sz w:val="18"/>
        </w:rPr>
      </w:pPr>
    </w:p>
    <w:p w14:paraId="6531BE73" w14:textId="77777777" w:rsidR="00A71EEF" w:rsidRDefault="0081115D">
      <w:pPr>
        <w:pStyle w:val="a3"/>
        <w:ind w:left="838"/>
      </w:pPr>
      <w:r>
        <w:t>能接收公网固定或移动电话报警；</w:t>
      </w:r>
      <w:r>
        <w:t xml:space="preserve"> </w:t>
      </w:r>
    </w:p>
    <w:p w14:paraId="406430E5" w14:textId="77777777" w:rsidR="00A71EEF" w:rsidRDefault="00A71EEF">
      <w:pPr>
        <w:pStyle w:val="a3"/>
        <w:spacing w:before="2"/>
        <w:rPr>
          <w:sz w:val="18"/>
        </w:rPr>
      </w:pPr>
    </w:p>
    <w:p w14:paraId="5EB4A957" w14:textId="77777777" w:rsidR="00A71EEF" w:rsidRDefault="0081115D">
      <w:pPr>
        <w:pStyle w:val="a3"/>
        <w:spacing w:line="446" w:lineRule="auto"/>
        <w:ind w:left="838" w:right="5497"/>
      </w:pPr>
      <w:r>
        <w:t>能接收城市消防远程监控系统等设备的报警；</w:t>
      </w:r>
      <w:r>
        <w:t xml:space="preserve"> </w:t>
      </w:r>
      <w:r>
        <w:t>能接收其他专网电话报警；</w:t>
      </w:r>
      <w:r>
        <w:t xml:space="preserve"> </w:t>
      </w:r>
    </w:p>
    <w:p w14:paraId="53D15AE0" w14:textId="77777777" w:rsidR="00A71EEF" w:rsidRDefault="0081115D">
      <w:pPr>
        <w:pStyle w:val="a3"/>
        <w:spacing w:line="267" w:lineRule="exact"/>
        <w:ind w:left="838"/>
      </w:pPr>
      <w:r>
        <w:t>可接收公网发送的短信或彩信报警。</w:t>
      </w:r>
      <w:r>
        <w:t xml:space="preserve"> </w:t>
      </w:r>
    </w:p>
    <w:p w14:paraId="21982F46" w14:textId="77777777" w:rsidR="00A71EEF" w:rsidRDefault="00A71EEF">
      <w:pPr>
        <w:pStyle w:val="a3"/>
        <w:spacing w:before="2"/>
        <w:rPr>
          <w:sz w:val="18"/>
        </w:rPr>
      </w:pPr>
    </w:p>
    <w:p w14:paraId="665A597C" w14:textId="77777777" w:rsidR="00A71EEF" w:rsidRDefault="0081115D">
      <w:pPr>
        <w:pStyle w:val="a4"/>
        <w:numPr>
          <w:ilvl w:val="2"/>
          <w:numId w:val="36"/>
        </w:numPr>
        <w:tabs>
          <w:tab w:val="left" w:pos="1370"/>
        </w:tabs>
        <w:ind w:hanging="530"/>
        <w:rPr>
          <w:sz w:val="21"/>
        </w:rPr>
      </w:pPr>
      <w:r>
        <w:rPr>
          <w:spacing w:val="-3"/>
          <w:sz w:val="21"/>
        </w:rPr>
        <w:t>火警受理子系统</w:t>
      </w:r>
      <w:r>
        <w:rPr>
          <w:spacing w:val="-3"/>
          <w:sz w:val="21"/>
        </w:rPr>
        <w:t>的警情辨识功能应符合下列要求：</w:t>
      </w:r>
      <w:r>
        <w:rPr>
          <w:sz w:val="21"/>
        </w:rPr>
        <w:t xml:space="preserve"> </w:t>
      </w:r>
    </w:p>
    <w:p w14:paraId="3327C7B5" w14:textId="77777777" w:rsidR="00A71EEF" w:rsidRDefault="00A71EEF">
      <w:pPr>
        <w:pStyle w:val="a3"/>
        <w:spacing w:before="12"/>
        <w:rPr>
          <w:sz w:val="17"/>
        </w:rPr>
      </w:pPr>
    </w:p>
    <w:p w14:paraId="1825468B" w14:textId="77777777" w:rsidR="00A71EEF" w:rsidRDefault="0081115D">
      <w:pPr>
        <w:pStyle w:val="a3"/>
        <w:spacing w:line="446" w:lineRule="auto"/>
        <w:ind w:left="838" w:right="3817"/>
      </w:pPr>
      <w:r>
        <w:t>能接收并显示固定报警电话的主叫号码、用户名称、装机地址；</w:t>
      </w:r>
      <w:r>
        <w:t xml:space="preserve"> </w:t>
      </w:r>
      <w:r>
        <w:t>能接收并显示移动报警电话的主叫号码、定位地址；</w:t>
      </w:r>
      <w:r>
        <w:t xml:space="preserve"> </w:t>
      </w:r>
    </w:p>
    <w:p w14:paraId="69100987" w14:textId="77777777" w:rsidR="00A71EEF" w:rsidRDefault="0081115D">
      <w:pPr>
        <w:pStyle w:val="a3"/>
        <w:ind w:left="838"/>
      </w:pPr>
      <w:r>
        <w:t>通过报警电话装机地址或定位地址能进行火场及其他灾害事故现场的快速定位；</w:t>
      </w:r>
      <w:r>
        <w:t xml:space="preserve"> </w:t>
      </w:r>
    </w:p>
    <w:p w14:paraId="274A6160" w14:textId="77777777" w:rsidR="00A71EEF" w:rsidRDefault="00A71EEF">
      <w:pPr>
        <w:pStyle w:val="a3"/>
        <w:rPr>
          <w:sz w:val="18"/>
        </w:rPr>
      </w:pPr>
    </w:p>
    <w:p w14:paraId="6B8677D7" w14:textId="77777777" w:rsidR="00A71EEF" w:rsidRDefault="0081115D">
      <w:pPr>
        <w:pStyle w:val="a3"/>
        <w:spacing w:line="446" w:lineRule="auto"/>
        <w:ind w:left="418" w:right="1431" w:firstLine="419"/>
      </w:pPr>
      <w:r>
        <w:rPr>
          <w:spacing w:val="-7"/>
        </w:rPr>
        <w:t>通过输入单位名称、地址、街道、目标物、电话号码等能进行火场及其他灾害事故现场的快</w:t>
      </w:r>
      <w:r>
        <w:rPr>
          <w:spacing w:val="-6"/>
        </w:rPr>
        <w:t>速定位；</w:t>
      </w:r>
      <w:r>
        <w:t xml:space="preserve"> </w:t>
      </w:r>
    </w:p>
    <w:p w14:paraId="20B05663" w14:textId="77777777" w:rsidR="00A71EEF" w:rsidRDefault="0081115D">
      <w:pPr>
        <w:pStyle w:val="a3"/>
        <w:ind w:left="838"/>
      </w:pPr>
      <w:r>
        <w:t>能判除误报警或假报警；</w:t>
      </w:r>
      <w:r>
        <w:t xml:space="preserve"> </w:t>
      </w:r>
    </w:p>
    <w:p w14:paraId="27EEE15E" w14:textId="77777777" w:rsidR="00A71EEF" w:rsidRDefault="00A71EEF">
      <w:pPr>
        <w:pStyle w:val="a3"/>
        <w:spacing w:before="12"/>
        <w:rPr>
          <w:sz w:val="17"/>
        </w:rPr>
      </w:pPr>
    </w:p>
    <w:p w14:paraId="12489EFB" w14:textId="77777777" w:rsidR="00A71EEF" w:rsidRDefault="0081115D">
      <w:pPr>
        <w:pStyle w:val="a3"/>
        <w:spacing w:line="446" w:lineRule="auto"/>
        <w:ind w:left="838" w:right="4026"/>
      </w:pPr>
      <w:r>
        <w:rPr>
          <w:spacing w:val="-3"/>
        </w:rPr>
        <w:t>重复报警能给出提示信息，确认后可合并到同一个事件处理；</w:t>
      </w:r>
      <w:r>
        <w:rPr>
          <w:spacing w:val="-3"/>
        </w:rPr>
        <w:t xml:space="preserve"> </w:t>
      </w:r>
      <w:r>
        <w:rPr>
          <w:spacing w:val="-3"/>
        </w:rPr>
        <w:t>能确定火灾及其他灾害事故类型；</w:t>
      </w:r>
      <w:r>
        <w:t xml:space="preserve"> </w:t>
      </w:r>
    </w:p>
    <w:p w14:paraId="0707AFC5" w14:textId="77777777" w:rsidR="00A71EEF" w:rsidRDefault="0081115D">
      <w:pPr>
        <w:pStyle w:val="a3"/>
        <w:ind w:left="838"/>
      </w:pPr>
      <w:r>
        <w:rPr>
          <w:spacing w:val="-3"/>
        </w:rPr>
        <w:t>能确定火灾及其他灾害事故等级。</w:t>
      </w:r>
      <w:r>
        <w:t xml:space="preserve"> </w:t>
      </w:r>
    </w:p>
    <w:p w14:paraId="4CEECEF7" w14:textId="77777777" w:rsidR="00A71EEF" w:rsidRDefault="00A71EEF">
      <w:pPr>
        <w:pStyle w:val="a3"/>
        <w:rPr>
          <w:sz w:val="18"/>
        </w:rPr>
      </w:pPr>
    </w:p>
    <w:p w14:paraId="0086AEA1" w14:textId="77777777" w:rsidR="00A71EEF" w:rsidRDefault="0081115D">
      <w:pPr>
        <w:pStyle w:val="a4"/>
        <w:numPr>
          <w:ilvl w:val="2"/>
          <w:numId w:val="36"/>
        </w:numPr>
        <w:tabs>
          <w:tab w:val="left" w:pos="1371"/>
        </w:tabs>
        <w:ind w:left="1370" w:hanging="531"/>
        <w:rPr>
          <w:sz w:val="21"/>
        </w:rPr>
      </w:pPr>
      <w:r>
        <w:rPr>
          <w:spacing w:val="-3"/>
          <w:sz w:val="21"/>
        </w:rPr>
        <w:t>火警受理子系统的编制出动方案功能应符合下列要求：</w:t>
      </w:r>
      <w:r>
        <w:rPr>
          <w:sz w:val="21"/>
        </w:rPr>
        <w:t xml:space="preserve"> </w:t>
      </w:r>
    </w:p>
    <w:p w14:paraId="49E6023F" w14:textId="77777777" w:rsidR="00A71EEF" w:rsidRDefault="00A71EEF">
      <w:pPr>
        <w:pStyle w:val="a3"/>
        <w:spacing w:before="12"/>
        <w:rPr>
          <w:sz w:val="17"/>
        </w:rPr>
      </w:pPr>
    </w:p>
    <w:p w14:paraId="17F107BA" w14:textId="77777777" w:rsidR="00A71EEF" w:rsidRDefault="0081115D">
      <w:pPr>
        <w:pStyle w:val="a3"/>
        <w:spacing w:line="446" w:lineRule="auto"/>
        <w:ind w:left="838" w:right="3606"/>
        <w:jc w:val="both"/>
        <w:rPr>
          <w:b/>
        </w:rPr>
      </w:pPr>
      <w:r>
        <w:t>能检索相应的火灾及其他灾害事故出动方案，并可进行编辑调整；</w:t>
      </w:r>
      <w:r>
        <w:t xml:space="preserve"> </w:t>
      </w:r>
      <w:r>
        <w:t>能根据消防实力及各种加权因素、升级要素等编制等级出动方案；</w:t>
      </w:r>
      <w:r>
        <w:t xml:space="preserve"> </w:t>
      </w:r>
      <w:r>
        <w:t>能人工编制随机出动方案。</w:t>
      </w:r>
      <w:r>
        <w:t xml:space="preserve">  </w:t>
      </w:r>
      <w:r>
        <w:rPr>
          <w:b/>
          <w:w w:val="99"/>
        </w:rPr>
        <w:t xml:space="preserve">   </w:t>
      </w:r>
    </w:p>
    <w:p w14:paraId="14C22B89" w14:textId="77777777" w:rsidR="00A71EEF" w:rsidRDefault="0081115D">
      <w:pPr>
        <w:pStyle w:val="a4"/>
        <w:numPr>
          <w:ilvl w:val="2"/>
          <w:numId w:val="36"/>
        </w:numPr>
        <w:tabs>
          <w:tab w:val="left" w:pos="1371"/>
        </w:tabs>
        <w:spacing w:line="446" w:lineRule="auto"/>
        <w:ind w:left="418" w:right="1326" w:firstLine="422"/>
        <w:rPr>
          <w:sz w:val="21"/>
        </w:rPr>
      </w:pPr>
      <w:r>
        <w:rPr>
          <w:spacing w:val="-3"/>
          <w:sz w:val="21"/>
        </w:rPr>
        <w:t>火警受理子系统应能提供辖区消防站和消防车辆位置信息，能显示消防车辆的待命、</w:t>
      </w:r>
      <w:r>
        <w:rPr>
          <w:spacing w:val="-3"/>
          <w:sz w:val="21"/>
        </w:rPr>
        <w:t xml:space="preserve"> </w:t>
      </w:r>
      <w:r>
        <w:rPr>
          <w:spacing w:val="-7"/>
          <w:sz w:val="21"/>
        </w:rPr>
        <w:t>出动、到场、执勤、检修等状态，能按消防站序号、距现场地点的距离、车辆类型等对相关消防</w:t>
      </w:r>
      <w:r>
        <w:rPr>
          <w:spacing w:val="-5"/>
          <w:sz w:val="21"/>
        </w:rPr>
        <w:t>车辆进行排序，供编制出动方案时快速选择。</w:t>
      </w:r>
      <w:r>
        <w:rPr>
          <w:sz w:val="21"/>
        </w:rPr>
        <w:t xml:space="preserve"> </w:t>
      </w:r>
    </w:p>
    <w:p w14:paraId="780CECC0" w14:textId="77777777" w:rsidR="00A71EEF" w:rsidRDefault="0081115D">
      <w:pPr>
        <w:pStyle w:val="a4"/>
        <w:numPr>
          <w:ilvl w:val="2"/>
          <w:numId w:val="36"/>
        </w:numPr>
        <w:tabs>
          <w:tab w:val="left" w:pos="1370"/>
        </w:tabs>
        <w:spacing w:line="268" w:lineRule="exact"/>
        <w:ind w:hanging="530"/>
        <w:rPr>
          <w:sz w:val="21"/>
        </w:rPr>
      </w:pPr>
      <w:r>
        <w:rPr>
          <w:spacing w:val="-3"/>
          <w:sz w:val="21"/>
        </w:rPr>
        <w:t>火警受理子系统的下达出动指令功能应符合下列要求：</w:t>
      </w:r>
      <w:r>
        <w:rPr>
          <w:sz w:val="21"/>
        </w:rPr>
        <w:t xml:space="preserve"> </w:t>
      </w:r>
    </w:p>
    <w:p w14:paraId="22E3749E" w14:textId="77777777" w:rsidR="00A71EEF" w:rsidRDefault="00A71EEF">
      <w:pPr>
        <w:pStyle w:val="a3"/>
        <w:spacing w:before="1"/>
        <w:rPr>
          <w:sz w:val="18"/>
        </w:rPr>
      </w:pPr>
    </w:p>
    <w:p w14:paraId="0AFD9669" w14:textId="77777777" w:rsidR="00A71EEF" w:rsidRDefault="0081115D">
      <w:pPr>
        <w:pStyle w:val="a3"/>
        <w:ind w:left="838"/>
      </w:pPr>
      <w:r>
        <w:t>能以语音、数据形式将出动指令下达到消防站；</w:t>
      </w:r>
      <w:r>
        <w:t xml:space="preserve"> </w:t>
      </w:r>
    </w:p>
    <w:p w14:paraId="3D7FF8C9" w14:textId="77777777" w:rsidR="00A71EEF" w:rsidRDefault="00A71EEF">
      <w:pPr>
        <w:sectPr w:rsidR="00A71EEF">
          <w:pgSz w:w="11910" w:h="16850"/>
          <w:pgMar w:top="1220" w:right="0" w:bottom="1420" w:left="1260" w:header="0" w:footer="1239" w:gutter="0"/>
          <w:cols w:space="720"/>
        </w:sectPr>
      </w:pPr>
    </w:p>
    <w:p w14:paraId="71780B29" w14:textId="77777777" w:rsidR="00A71EEF" w:rsidRDefault="0081115D">
      <w:pPr>
        <w:pStyle w:val="a3"/>
        <w:spacing w:before="47"/>
        <w:ind w:left="838"/>
      </w:pPr>
      <w:r>
        <w:t>能对消防站警灯、警铃、火警广播、车库门等的联动控制装置发出控制指令；</w:t>
      </w:r>
      <w:r>
        <w:t xml:space="preserve"> </w:t>
      </w:r>
    </w:p>
    <w:p w14:paraId="2551236D" w14:textId="77777777" w:rsidR="00A71EEF" w:rsidRDefault="00A71EEF">
      <w:pPr>
        <w:pStyle w:val="a3"/>
        <w:rPr>
          <w:sz w:val="18"/>
        </w:rPr>
      </w:pPr>
    </w:p>
    <w:p w14:paraId="34C8C612" w14:textId="77777777" w:rsidR="00A71EEF" w:rsidRDefault="0081115D">
      <w:pPr>
        <w:pStyle w:val="a3"/>
        <w:spacing w:line="446" w:lineRule="auto"/>
        <w:ind w:left="418" w:right="1431" w:firstLine="419"/>
      </w:pPr>
      <w:r>
        <w:rPr>
          <w:spacing w:val="-6"/>
        </w:rPr>
        <w:t>能向供水、供电、供气、医疗、救护、交通、环卫等灭火救援有关单位发送灾情通报和联合</w:t>
      </w:r>
      <w:r>
        <w:rPr>
          <w:spacing w:val="-4"/>
        </w:rPr>
        <w:t>作战要求。</w:t>
      </w:r>
      <w:r>
        <w:t xml:space="preserve"> </w:t>
      </w:r>
    </w:p>
    <w:p w14:paraId="1563603B" w14:textId="77777777" w:rsidR="00A71EEF" w:rsidRDefault="0081115D">
      <w:pPr>
        <w:pStyle w:val="a4"/>
        <w:numPr>
          <w:ilvl w:val="2"/>
          <w:numId w:val="36"/>
        </w:numPr>
        <w:tabs>
          <w:tab w:val="left" w:pos="1370"/>
        </w:tabs>
        <w:spacing w:line="446" w:lineRule="auto"/>
        <w:ind w:left="418" w:right="1431" w:firstLine="422"/>
        <w:rPr>
          <w:sz w:val="21"/>
        </w:rPr>
      </w:pPr>
      <w:r>
        <w:rPr>
          <w:spacing w:val="-5"/>
          <w:sz w:val="21"/>
        </w:rPr>
        <w:t>火警受理子系统应能建立每起火灾及其他灾害事故档案，实时记录火警受理全过程的</w:t>
      </w:r>
      <w:r>
        <w:rPr>
          <w:spacing w:val="-4"/>
          <w:sz w:val="21"/>
        </w:rPr>
        <w:t>文字、语音、图像等信息，生成有关的统计报表。</w:t>
      </w:r>
      <w:r>
        <w:rPr>
          <w:sz w:val="21"/>
        </w:rPr>
        <w:t xml:space="preserve"> </w:t>
      </w:r>
    </w:p>
    <w:p w14:paraId="206F7A0C" w14:textId="77777777" w:rsidR="00A71EEF" w:rsidRDefault="0081115D">
      <w:pPr>
        <w:pStyle w:val="a4"/>
        <w:numPr>
          <w:ilvl w:val="2"/>
          <w:numId w:val="36"/>
        </w:numPr>
        <w:tabs>
          <w:tab w:val="left" w:pos="1370"/>
        </w:tabs>
        <w:spacing w:line="267" w:lineRule="exact"/>
        <w:ind w:hanging="530"/>
        <w:rPr>
          <w:sz w:val="21"/>
        </w:rPr>
      </w:pPr>
      <w:r>
        <w:rPr>
          <w:spacing w:val="-3"/>
          <w:sz w:val="21"/>
        </w:rPr>
        <w:t>火警受理全过程的录音录时功能应符合下列要求：</w:t>
      </w:r>
      <w:r>
        <w:rPr>
          <w:sz w:val="21"/>
        </w:rPr>
        <w:t xml:space="preserve"> </w:t>
      </w:r>
    </w:p>
    <w:p w14:paraId="6FA9E431" w14:textId="77777777" w:rsidR="00A71EEF" w:rsidRDefault="00A71EEF">
      <w:pPr>
        <w:pStyle w:val="a3"/>
        <w:spacing w:before="2"/>
        <w:rPr>
          <w:sz w:val="18"/>
        </w:rPr>
      </w:pPr>
    </w:p>
    <w:p w14:paraId="63A410BA" w14:textId="77777777" w:rsidR="00A71EEF" w:rsidRDefault="0081115D">
      <w:pPr>
        <w:pStyle w:val="a3"/>
        <w:spacing w:line="446" w:lineRule="auto"/>
        <w:ind w:left="838" w:right="3186"/>
      </w:pPr>
      <w:r>
        <w:rPr>
          <w:spacing w:val="-3"/>
        </w:rPr>
        <w:t>应能自动识别有线电话、无线电台的通话状态，启动录音和结束录音；</w:t>
      </w:r>
      <w:r>
        <w:rPr>
          <w:spacing w:val="-3"/>
        </w:rPr>
        <w:t xml:space="preserve"> </w:t>
      </w:r>
      <w:r>
        <w:rPr>
          <w:spacing w:val="-3"/>
        </w:rPr>
        <w:t>录音录时路数不应少于同时并</w:t>
      </w:r>
      <w:r>
        <w:rPr>
          <w:spacing w:val="-3"/>
        </w:rPr>
        <w:t>行的通话路数；</w:t>
      </w:r>
      <w:r>
        <w:t xml:space="preserve"> </w:t>
      </w:r>
    </w:p>
    <w:p w14:paraId="2822A330" w14:textId="77777777" w:rsidR="00A71EEF" w:rsidRDefault="0081115D">
      <w:pPr>
        <w:pStyle w:val="a3"/>
        <w:spacing w:line="267" w:lineRule="exact"/>
        <w:ind w:left="838"/>
      </w:pPr>
      <w:r>
        <w:t>录音记录应与接处警记录相关联；</w:t>
      </w:r>
      <w:r>
        <w:t xml:space="preserve"> </w:t>
      </w:r>
    </w:p>
    <w:p w14:paraId="53DB2654" w14:textId="77777777" w:rsidR="00A71EEF" w:rsidRDefault="00A71EEF">
      <w:pPr>
        <w:pStyle w:val="a3"/>
        <w:spacing w:before="2"/>
        <w:rPr>
          <w:sz w:val="18"/>
        </w:rPr>
      </w:pPr>
    </w:p>
    <w:p w14:paraId="195A3FB5" w14:textId="77777777" w:rsidR="00A71EEF" w:rsidRDefault="0081115D">
      <w:pPr>
        <w:pStyle w:val="a3"/>
        <w:spacing w:line="446" w:lineRule="auto"/>
        <w:ind w:left="838" w:right="3819"/>
      </w:pPr>
      <w:r>
        <w:rPr>
          <w:spacing w:val="-3"/>
        </w:rPr>
        <w:t>可在授权终端上选择回放录音，并应能进行数据转储和备份；</w:t>
      </w:r>
      <w:r>
        <w:rPr>
          <w:spacing w:val="-3"/>
        </w:rPr>
        <w:t xml:space="preserve">  </w:t>
      </w:r>
      <w:r>
        <w:rPr>
          <w:spacing w:val="-7"/>
        </w:rPr>
        <w:t>录音文件的保存不应少于</w:t>
      </w:r>
      <w:r>
        <w:rPr>
          <w:spacing w:val="-7"/>
        </w:rPr>
        <w:t xml:space="preserve"> </w:t>
      </w:r>
      <w:r>
        <w:t>6</w:t>
      </w:r>
      <w:r>
        <w:rPr>
          <w:spacing w:val="-8"/>
        </w:rPr>
        <w:t xml:space="preserve"> </w:t>
      </w:r>
      <w:r>
        <w:rPr>
          <w:spacing w:val="-8"/>
        </w:rPr>
        <w:t>个月，记录的原始信息不能被修改；</w:t>
      </w:r>
      <w:r>
        <w:t xml:space="preserve"> </w:t>
      </w:r>
    </w:p>
    <w:p w14:paraId="364AB867" w14:textId="77777777" w:rsidR="00A71EEF" w:rsidRDefault="0081115D">
      <w:pPr>
        <w:pStyle w:val="a3"/>
        <w:spacing w:line="446" w:lineRule="auto"/>
        <w:ind w:left="418" w:right="1202" w:firstLine="419"/>
      </w:pPr>
      <w:r>
        <w:t>应能显示录音通道的状态和存储介质的剩余容量。当记录信息超过设定的存储容量的阈值时，</w:t>
      </w:r>
      <w:r>
        <w:t xml:space="preserve"> </w:t>
      </w:r>
      <w:r>
        <w:t>应能给出提示信息。</w:t>
      </w:r>
      <w:r>
        <w:t xml:space="preserve"> </w:t>
      </w:r>
    </w:p>
    <w:p w14:paraId="6B91235A" w14:textId="77777777" w:rsidR="00A71EEF" w:rsidRDefault="0081115D">
      <w:pPr>
        <w:pStyle w:val="a4"/>
        <w:numPr>
          <w:ilvl w:val="2"/>
          <w:numId w:val="36"/>
        </w:numPr>
        <w:tabs>
          <w:tab w:val="left" w:pos="1371"/>
        </w:tabs>
        <w:ind w:left="1370" w:hanging="531"/>
        <w:rPr>
          <w:sz w:val="21"/>
        </w:rPr>
      </w:pPr>
      <w:r>
        <w:rPr>
          <w:spacing w:val="-3"/>
          <w:sz w:val="21"/>
        </w:rPr>
        <w:t>火警受理终端应符合下列要求：</w:t>
      </w:r>
      <w:r>
        <w:rPr>
          <w:sz w:val="21"/>
        </w:rPr>
        <w:t xml:space="preserve"> </w:t>
      </w:r>
    </w:p>
    <w:p w14:paraId="3A062F07" w14:textId="77777777" w:rsidR="00A71EEF" w:rsidRDefault="00A71EEF">
      <w:pPr>
        <w:pStyle w:val="a3"/>
        <w:spacing w:before="10"/>
        <w:rPr>
          <w:sz w:val="17"/>
        </w:rPr>
      </w:pPr>
    </w:p>
    <w:p w14:paraId="1A46F8C9" w14:textId="77777777" w:rsidR="00A71EEF" w:rsidRDefault="0081115D">
      <w:pPr>
        <w:pStyle w:val="a3"/>
        <w:spacing w:line="446" w:lineRule="auto"/>
        <w:ind w:left="418" w:right="1431" w:firstLine="419"/>
        <w:jc w:val="both"/>
      </w:pPr>
      <w:r>
        <w:rPr>
          <w:spacing w:val="-4"/>
        </w:rPr>
        <w:t>火警受理终端可设置在城市消防通信指挥中心或公安机关指挥中心。设置在公安机关指挥中心的火警受理终端应与设置在城市消防通信指挥中心的跨区域调度指挥终端互联，保持接处警数</w:t>
      </w:r>
      <w:r>
        <w:rPr>
          <w:spacing w:val="-3"/>
        </w:rPr>
        <w:t>据同步并能信息共享；</w:t>
      </w:r>
      <w:r>
        <w:t xml:space="preserve"> </w:t>
      </w:r>
    </w:p>
    <w:p w14:paraId="2FC2F74F" w14:textId="77777777" w:rsidR="00A71EEF" w:rsidRDefault="0081115D">
      <w:pPr>
        <w:pStyle w:val="a3"/>
        <w:spacing w:line="268" w:lineRule="exact"/>
        <w:ind w:left="838"/>
        <w:jc w:val="both"/>
      </w:pPr>
      <w:r>
        <w:t>火警受理终端设置数量不应少于</w:t>
      </w:r>
      <w:r>
        <w:t xml:space="preserve"> 2 </w:t>
      </w:r>
      <w:r>
        <w:t>套；</w:t>
      </w:r>
      <w:r>
        <w:t xml:space="preserve"> </w:t>
      </w:r>
    </w:p>
    <w:p w14:paraId="659665B1" w14:textId="77777777" w:rsidR="00A71EEF" w:rsidRDefault="00A71EEF">
      <w:pPr>
        <w:pStyle w:val="a3"/>
        <w:spacing w:before="2"/>
        <w:rPr>
          <w:sz w:val="18"/>
        </w:rPr>
      </w:pPr>
    </w:p>
    <w:p w14:paraId="55C828E4" w14:textId="77777777" w:rsidR="00A71EEF" w:rsidRDefault="0081115D">
      <w:pPr>
        <w:pStyle w:val="a3"/>
        <w:ind w:left="838"/>
      </w:pPr>
      <w:r>
        <w:t>日接警量大的城市，可将火警受理终端分为接警和处警终端，同时进行接警和处理；</w:t>
      </w:r>
      <w:r>
        <w:t xml:space="preserve"> </w:t>
      </w:r>
    </w:p>
    <w:p w14:paraId="7AD59AC0" w14:textId="77777777" w:rsidR="00A71EEF" w:rsidRDefault="00A71EEF">
      <w:pPr>
        <w:pStyle w:val="a3"/>
        <w:rPr>
          <w:sz w:val="18"/>
        </w:rPr>
      </w:pPr>
    </w:p>
    <w:p w14:paraId="6F9EB57A" w14:textId="77777777" w:rsidR="00A71EEF" w:rsidRDefault="0081115D">
      <w:pPr>
        <w:pStyle w:val="a3"/>
        <w:spacing w:line="446" w:lineRule="auto"/>
        <w:ind w:left="838" w:right="1330"/>
      </w:pPr>
      <w:r>
        <w:rPr>
          <w:spacing w:val="-8"/>
        </w:rPr>
        <w:t>每套火警受理终端坐席可设置多个显示屏，能分别显示本规范第</w:t>
      </w:r>
      <w:r>
        <w:t>5.1.10</w:t>
      </w:r>
      <w:r>
        <w:rPr>
          <w:spacing w:val="-11"/>
        </w:rPr>
        <w:t xml:space="preserve"> </w:t>
      </w:r>
      <w:r>
        <w:rPr>
          <w:spacing w:val="-11"/>
        </w:rPr>
        <w:t>条规定的工作界面；</w:t>
      </w:r>
      <w:r>
        <w:rPr>
          <w:spacing w:val="-11"/>
        </w:rPr>
        <w:t xml:space="preserve"> </w:t>
      </w:r>
      <w:r>
        <w:rPr>
          <w:spacing w:val="-3"/>
        </w:rPr>
        <w:t>火警受理终端坐席之间能进行警情转移，多个终端可协同处警；</w:t>
      </w:r>
      <w:r>
        <w:t xml:space="preserve"> </w:t>
      </w:r>
    </w:p>
    <w:p w14:paraId="36A501BB" w14:textId="77777777" w:rsidR="00A71EEF" w:rsidRDefault="0081115D">
      <w:pPr>
        <w:pStyle w:val="a3"/>
        <w:ind w:left="838"/>
      </w:pPr>
      <w:r>
        <w:t>具有明显的火警电话呼人信号提示。</w:t>
      </w:r>
      <w:r>
        <w:t xml:space="preserve"> </w:t>
      </w:r>
    </w:p>
    <w:p w14:paraId="734038E0" w14:textId="77777777" w:rsidR="00A71EEF" w:rsidRDefault="00A71EEF">
      <w:pPr>
        <w:pStyle w:val="a3"/>
        <w:spacing w:before="12"/>
        <w:rPr>
          <w:sz w:val="17"/>
        </w:rPr>
      </w:pPr>
    </w:p>
    <w:p w14:paraId="01D2D055" w14:textId="77777777" w:rsidR="00A71EEF" w:rsidRDefault="0081115D">
      <w:pPr>
        <w:pStyle w:val="a4"/>
        <w:numPr>
          <w:ilvl w:val="2"/>
          <w:numId w:val="36"/>
        </w:numPr>
        <w:tabs>
          <w:tab w:val="left" w:pos="1478"/>
        </w:tabs>
        <w:ind w:left="1477" w:hanging="638"/>
        <w:rPr>
          <w:sz w:val="21"/>
        </w:rPr>
      </w:pPr>
      <w:r>
        <w:rPr>
          <w:spacing w:val="-3"/>
          <w:sz w:val="21"/>
        </w:rPr>
        <w:t>火警受理终端</w:t>
      </w:r>
      <w:r>
        <w:rPr>
          <w:spacing w:val="-3"/>
          <w:sz w:val="21"/>
        </w:rPr>
        <w:t>应具有下列工作界面：</w:t>
      </w:r>
      <w:r>
        <w:rPr>
          <w:sz w:val="21"/>
        </w:rPr>
        <w:t xml:space="preserve"> </w:t>
      </w:r>
    </w:p>
    <w:p w14:paraId="0F8EF02C" w14:textId="77777777" w:rsidR="00A71EEF" w:rsidRDefault="00A71EEF">
      <w:pPr>
        <w:pStyle w:val="a3"/>
        <w:rPr>
          <w:sz w:val="18"/>
        </w:rPr>
      </w:pPr>
    </w:p>
    <w:p w14:paraId="79A090AA" w14:textId="77777777" w:rsidR="00A71EEF" w:rsidRDefault="0081115D">
      <w:pPr>
        <w:pStyle w:val="a3"/>
        <w:spacing w:line="446" w:lineRule="auto"/>
        <w:ind w:left="838" w:right="6129"/>
      </w:pPr>
      <w:r>
        <w:t>接警和调度电话、无线电台操作窗口；</w:t>
      </w:r>
      <w:r>
        <w:t xml:space="preserve"> </w:t>
      </w:r>
      <w:r>
        <w:t>录音和回放操作窗口；</w:t>
      </w:r>
      <w:r>
        <w:t xml:space="preserve"> </w:t>
      </w:r>
    </w:p>
    <w:p w14:paraId="1FDAC1F2" w14:textId="77777777" w:rsidR="00A71EEF" w:rsidRDefault="0081115D">
      <w:pPr>
        <w:pStyle w:val="a3"/>
        <w:spacing w:line="446" w:lineRule="auto"/>
        <w:ind w:left="838" w:right="1505"/>
      </w:pPr>
      <w:r>
        <w:rPr>
          <w:spacing w:val="-3"/>
        </w:rPr>
        <w:t>火灾及其他灾害事故编号、报警时间、报警主叫号码、报警人姓名、报警地址录入窗口；</w:t>
      </w:r>
      <w:r>
        <w:rPr>
          <w:spacing w:val="-3"/>
        </w:rPr>
        <w:t xml:space="preserve"> </w:t>
      </w:r>
      <w:r>
        <w:rPr>
          <w:spacing w:val="-3"/>
        </w:rPr>
        <w:t>火场及其他灾害事故现场的单位名称、地址及责任消防站录入窗口；</w:t>
      </w:r>
      <w:r>
        <w:t xml:space="preserve"> </w:t>
      </w:r>
    </w:p>
    <w:p w14:paraId="264F21E1" w14:textId="77777777" w:rsidR="00A71EEF" w:rsidRDefault="0081115D">
      <w:pPr>
        <w:pStyle w:val="a3"/>
        <w:ind w:left="838"/>
      </w:pPr>
      <w:r>
        <w:t>火灾及其他灾害事故具体情况录入窗口；</w:t>
      </w:r>
      <w:r>
        <w:t xml:space="preserve"> </w:t>
      </w:r>
    </w:p>
    <w:p w14:paraId="44D37AB9" w14:textId="77777777" w:rsidR="00A71EEF" w:rsidRDefault="00A71EEF">
      <w:pPr>
        <w:sectPr w:rsidR="00A71EEF">
          <w:pgSz w:w="11910" w:h="16850"/>
          <w:pgMar w:top="1220" w:right="0" w:bottom="1420" w:left="1260" w:header="0" w:footer="1239" w:gutter="0"/>
          <w:cols w:space="720"/>
        </w:sectPr>
      </w:pPr>
    </w:p>
    <w:p w14:paraId="0017D7B7" w14:textId="77777777" w:rsidR="00A71EEF" w:rsidRDefault="0081115D">
      <w:pPr>
        <w:pStyle w:val="a3"/>
        <w:spacing w:before="47" w:line="446" w:lineRule="auto"/>
        <w:ind w:left="838" w:right="5917"/>
        <w:jc w:val="both"/>
      </w:pPr>
      <w:r>
        <w:t>火灾及其他灾害事故类型选择录入窗口；</w:t>
      </w:r>
      <w:r>
        <w:t xml:space="preserve"> </w:t>
      </w:r>
      <w:r>
        <w:t>火灾及其他灾害事故等级选择录入窗口；</w:t>
      </w:r>
      <w:r>
        <w:t xml:space="preserve"> </w:t>
      </w:r>
      <w:r>
        <w:t>编制出动方案和下达出动指令操作窗口；</w:t>
      </w:r>
      <w:r>
        <w:t xml:space="preserve"> </w:t>
      </w:r>
      <w:r>
        <w:t>消防车辆属地、类型、状态显示窗口；</w:t>
      </w:r>
      <w:r>
        <w:t xml:space="preserve"> </w:t>
      </w:r>
    </w:p>
    <w:p w14:paraId="2DBB260D" w14:textId="77777777" w:rsidR="00A71EEF" w:rsidRDefault="0081115D">
      <w:pPr>
        <w:pStyle w:val="a3"/>
        <w:spacing w:line="446" w:lineRule="auto"/>
        <w:ind w:left="838" w:right="4866"/>
      </w:pPr>
      <w:r>
        <w:t>火灾及其他灾害事故事件列表和处理状态显示窗口；</w:t>
      </w:r>
      <w:r>
        <w:t xml:space="preserve"> </w:t>
      </w:r>
      <w:r>
        <w:t>日期、时钟和气象信息显示窗口；</w:t>
      </w:r>
      <w:r>
        <w:t xml:space="preserve"> </w:t>
      </w:r>
    </w:p>
    <w:p w14:paraId="7FAF9EC1" w14:textId="77777777" w:rsidR="00A71EEF" w:rsidRDefault="0081115D">
      <w:pPr>
        <w:pStyle w:val="a3"/>
        <w:ind w:left="838"/>
      </w:pPr>
      <w:r>
        <w:t>本规范第</w:t>
      </w:r>
      <w:r>
        <w:t xml:space="preserve"> 5.9.1 </w:t>
      </w:r>
      <w:r>
        <w:t>条规定的消防地理信息显示窗口；</w:t>
      </w:r>
      <w:r>
        <w:t xml:space="preserve"> </w:t>
      </w:r>
    </w:p>
    <w:p w14:paraId="0F6A5E62" w14:textId="77777777" w:rsidR="00A71EEF" w:rsidRDefault="00A71EEF">
      <w:pPr>
        <w:pStyle w:val="a3"/>
        <w:spacing w:before="11"/>
        <w:rPr>
          <w:sz w:val="17"/>
        </w:rPr>
      </w:pPr>
    </w:p>
    <w:p w14:paraId="7EB38A46" w14:textId="77777777" w:rsidR="00A71EEF" w:rsidRDefault="0081115D">
      <w:pPr>
        <w:pStyle w:val="a3"/>
        <w:spacing w:line="446" w:lineRule="auto"/>
        <w:ind w:left="838" w:right="4446"/>
      </w:pPr>
      <w:r>
        <w:rPr>
          <w:spacing w:val="-11"/>
        </w:rPr>
        <w:t>本规范第</w:t>
      </w:r>
      <w:r>
        <w:rPr>
          <w:spacing w:val="-11"/>
        </w:rPr>
        <w:t xml:space="preserve"> </w:t>
      </w:r>
      <w:r>
        <w:t>5.7</w:t>
      </w:r>
      <w:r>
        <w:rPr>
          <w:spacing w:val="-9"/>
        </w:rPr>
        <w:t xml:space="preserve"> </w:t>
      </w:r>
      <w:r>
        <w:rPr>
          <w:spacing w:val="-9"/>
        </w:rPr>
        <w:t>节规定的消防指挥决策支持功能操作窗口；</w:t>
      </w:r>
      <w:r>
        <w:rPr>
          <w:spacing w:val="-9"/>
        </w:rPr>
        <w:t xml:space="preserve"> </w:t>
      </w:r>
      <w:r>
        <w:rPr>
          <w:spacing w:val="-3"/>
        </w:rPr>
        <w:t>火警受理信息记录管理操作窗口；</w:t>
      </w:r>
      <w:r>
        <w:t xml:space="preserve"> </w:t>
      </w:r>
    </w:p>
    <w:p w14:paraId="48CC93DE" w14:textId="77777777" w:rsidR="00A71EEF" w:rsidRDefault="0081115D">
      <w:pPr>
        <w:pStyle w:val="a3"/>
        <w:ind w:left="838"/>
      </w:pPr>
      <w:r>
        <w:rPr>
          <w:spacing w:val="-3"/>
        </w:rPr>
        <w:t>上岗、离岗等值班管理操作窗口。</w:t>
      </w:r>
      <w:r>
        <w:t xml:space="preserve"> </w:t>
      </w:r>
    </w:p>
    <w:p w14:paraId="6B518FFA" w14:textId="77777777" w:rsidR="00A71EEF" w:rsidRDefault="00A71EEF">
      <w:pPr>
        <w:pStyle w:val="a3"/>
        <w:spacing w:before="12"/>
        <w:rPr>
          <w:sz w:val="17"/>
        </w:rPr>
      </w:pPr>
    </w:p>
    <w:p w14:paraId="330D4BFA" w14:textId="77777777" w:rsidR="00A71EEF" w:rsidRDefault="0081115D">
      <w:pPr>
        <w:pStyle w:val="a4"/>
        <w:numPr>
          <w:ilvl w:val="2"/>
          <w:numId w:val="36"/>
        </w:numPr>
        <w:tabs>
          <w:tab w:val="left" w:pos="1478"/>
        </w:tabs>
        <w:ind w:left="1477" w:hanging="638"/>
        <w:rPr>
          <w:sz w:val="21"/>
        </w:rPr>
      </w:pPr>
      <w:r>
        <w:rPr>
          <w:spacing w:val="-3"/>
          <w:sz w:val="21"/>
        </w:rPr>
        <w:t>消防站火警终端应符合下列要求：</w:t>
      </w:r>
      <w:r>
        <w:rPr>
          <w:sz w:val="21"/>
        </w:rPr>
        <w:t xml:space="preserve"> </w:t>
      </w:r>
    </w:p>
    <w:p w14:paraId="20288DDD" w14:textId="77777777" w:rsidR="00A71EEF" w:rsidRDefault="00A71EEF">
      <w:pPr>
        <w:pStyle w:val="a3"/>
        <w:spacing w:before="12"/>
        <w:rPr>
          <w:sz w:val="17"/>
        </w:rPr>
      </w:pPr>
    </w:p>
    <w:p w14:paraId="4ED71B2B" w14:textId="77777777" w:rsidR="00A71EEF" w:rsidRDefault="0081115D">
      <w:pPr>
        <w:pStyle w:val="a3"/>
        <w:ind w:left="838"/>
      </w:pPr>
      <w:r>
        <w:t>每个消防站应设置消防站火警终端；</w:t>
      </w:r>
      <w:r>
        <w:t xml:space="preserve"> </w:t>
      </w:r>
    </w:p>
    <w:p w14:paraId="2D3A3031" w14:textId="77777777" w:rsidR="00A71EEF" w:rsidRDefault="00A71EEF">
      <w:pPr>
        <w:pStyle w:val="a3"/>
        <w:spacing w:before="2"/>
        <w:rPr>
          <w:sz w:val="18"/>
        </w:rPr>
      </w:pPr>
    </w:p>
    <w:p w14:paraId="2C578D09" w14:textId="77777777" w:rsidR="00A71EEF" w:rsidRDefault="0081115D">
      <w:pPr>
        <w:pStyle w:val="a3"/>
        <w:ind w:left="838"/>
      </w:pPr>
      <w:r>
        <w:t>应能以语音和图文形</w:t>
      </w:r>
      <w:r>
        <w:t>式接收出动指令，并应打印出车单；</w:t>
      </w:r>
      <w:r>
        <w:t xml:space="preserve"> </w:t>
      </w:r>
    </w:p>
    <w:p w14:paraId="35CA65D1" w14:textId="77777777" w:rsidR="00A71EEF" w:rsidRDefault="00A71EEF">
      <w:pPr>
        <w:pStyle w:val="a3"/>
        <w:rPr>
          <w:sz w:val="18"/>
        </w:rPr>
      </w:pPr>
    </w:p>
    <w:p w14:paraId="30B0CAB5" w14:textId="77777777" w:rsidR="00A71EEF" w:rsidRDefault="0081115D">
      <w:pPr>
        <w:pStyle w:val="a3"/>
        <w:ind w:left="838"/>
      </w:pPr>
      <w:r>
        <w:t>应能自动或手动启动警灯、警铃、火警广播、车库门等的联动控制装置；</w:t>
      </w:r>
      <w:r>
        <w:t xml:space="preserve"> </w:t>
      </w:r>
    </w:p>
    <w:p w14:paraId="095D5C0C" w14:textId="77777777" w:rsidR="00A71EEF" w:rsidRDefault="00A71EEF">
      <w:pPr>
        <w:pStyle w:val="a3"/>
        <w:rPr>
          <w:sz w:val="18"/>
        </w:rPr>
      </w:pPr>
    </w:p>
    <w:p w14:paraId="5DA0E71D" w14:textId="77777777" w:rsidR="00A71EEF" w:rsidRDefault="0081115D">
      <w:pPr>
        <w:pStyle w:val="a3"/>
        <w:spacing w:line="446" w:lineRule="auto"/>
        <w:ind w:left="838" w:right="1925"/>
      </w:pPr>
      <w:r>
        <w:rPr>
          <w:spacing w:val="-3"/>
        </w:rPr>
        <w:t>应能录入或更新本站的消防实力、灭火救援装备器材、灭火剂等消防资源信息数据；</w:t>
      </w:r>
      <w:r>
        <w:rPr>
          <w:spacing w:val="-3"/>
        </w:rPr>
        <w:t xml:space="preserve"> </w:t>
      </w:r>
      <w:r>
        <w:rPr>
          <w:spacing w:val="-8"/>
        </w:rPr>
        <w:t>应能检索查询本规范第</w:t>
      </w:r>
      <w:r>
        <w:rPr>
          <w:spacing w:val="-8"/>
        </w:rPr>
        <w:t xml:space="preserve"> </w:t>
      </w:r>
      <w:r>
        <w:t>5.8.3</w:t>
      </w:r>
      <w:r>
        <w:rPr>
          <w:spacing w:val="-28"/>
        </w:rPr>
        <w:t xml:space="preserve"> </w:t>
      </w:r>
      <w:r>
        <w:rPr>
          <w:spacing w:val="-28"/>
        </w:rPr>
        <w:t>条</w:t>
      </w:r>
      <w:r>
        <w:t>～</w:t>
      </w:r>
      <w:r>
        <w:rPr>
          <w:spacing w:val="-27"/>
        </w:rPr>
        <w:t>第</w:t>
      </w:r>
      <w:r>
        <w:rPr>
          <w:spacing w:val="-27"/>
        </w:rPr>
        <w:t xml:space="preserve"> </w:t>
      </w:r>
      <w:r>
        <w:t>5.8.7</w:t>
      </w:r>
      <w:r>
        <w:rPr>
          <w:spacing w:val="-9"/>
        </w:rPr>
        <w:t xml:space="preserve"> </w:t>
      </w:r>
      <w:r>
        <w:rPr>
          <w:spacing w:val="-9"/>
        </w:rPr>
        <w:t>条规定的信息；</w:t>
      </w:r>
      <w:r>
        <w:t xml:space="preserve"> </w:t>
      </w:r>
    </w:p>
    <w:p w14:paraId="00CF2A91" w14:textId="77777777" w:rsidR="00A71EEF" w:rsidRDefault="0081115D">
      <w:pPr>
        <w:pStyle w:val="a3"/>
        <w:ind w:left="838"/>
        <w:rPr>
          <w:sz w:val="18"/>
        </w:rPr>
      </w:pPr>
      <w:r>
        <w:t>录音录时功能应符合本规范第</w:t>
      </w:r>
      <w:r>
        <w:t xml:space="preserve"> 5.1.8 </w:t>
      </w:r>
      <w:r>
        <w:t>条的规定。</w:t>
      </w:r>
      <w:r>
        <w:rPr>
          <w:sz w:val="18"/>
        </w:rPr>
        <w:t xml:space="preserve"> </w:t>
      </w:r>
    </w:p>
    <w:p w14:paraId="26A0A6CA" w14:textId="77777777" w:rsidR="00A71EEF" w:rsidRDefault="00A71EEF">
      <w:pPr>
        <w:pStyle w:val="a3"/>
        <w:spacing w:before="12"/>
        <w:rPr>
          <w:sz w:val="17"/>
        </w:rPr>
      </w:pPr>
    </w:p>
    <w:p w14:paraId="7C2B4A01" w14:textId="77777777" w:rsidR="00A71EEF" w:rsidRDefault="0081115D">
      <w:pPr>
        <w:pStyle w:val="a4"/>
        <w:numPr>
          <w:ilvl w:val="1"/>
          <w:numId w:val="37"/>
        </w:numPr>
        <w:tabs>
          <w:tab w:val="left" w:pos="1159"/>
        </w:tabs>
        <w:ind w:hanging="319"/>
        <w:rPr>
          <w:sz w:val="21"/>
        </w:rPr>
      </w:pPr>
      <w:r>
        <w:rPr>
          <w:spacing w:val="-3"/>
          <w:sz w:val="21"/>
        </w:rPr>
        <w:t>跨区域调度指挥子系统</w:t>
      </w:r>
      <w:r>
        <w:rPr>
          <w:spacing w:val="-3"/>
          <w:sz w:val="21"/>
        </w:rPr>
        <w:t xml:space="preserve"> </w:t>
      </w:r>
    </w:p>
    <w:p w14:paraId="23C2FDAA" w14:textId="77777777" w:rsidR="00A71EEF" w:rsidRDefault="00A71EEF">
      <w:pPr>
        <w:pStyle w:val="a3"/>
        <w:spacing w:before="2"/>
        <w:rPr>
          <w:sz w:val="18"/>
        </w:rPr>
      </w:pPr>
    </w:p>
    <w:p w14:paraId="0A8A3735" w14:textId="77777777" w:rsidR="00A71EEF" w:rsidRDefault="0081115D">
      <w:pPr>
        <w:pStyle w:val="a4"/>
        <w:numPr>
          <w:ilvl w:val="2"/>
          <w:numId w:val="37"/>
        </w:numPr>
        <w:tabs>
          <w:tab w:val="left" w:pos="1371"/>
        </w:tabs>
        <w:ind w:left="1370" w:hanging="531"/>
        <w:rPr>
          <w:sz w:val="21"/>
        </w:rPr>
      </w:pPr>
      <w:r>
        <w:rPr>
          <w:spacing w:val="-3"/>
          <w:sz w:val="21"/>
        </w:rPr>
        <w:t>跨区域调度指挥子系统的基本工作流程（</w:t>
      </w:r>
      <w:r>
        <w:rPr>
          <w:spacing w:val="-28"/>
          <w:sz w:val="21"/>
        </w:rPr>
        <w:t>图</w:t>
      </w:r>
      <w:r>
        <w:rPr>
          <w:spacing w:val="-28"/>
          <w:sz w:val="21"/>
        </w:rPr>
        <w:t xml:space="preserve"> </w:t>
      </w:r>
      <w:r>
        <w:rPr>
          <w:sz w:val="21"/>
        </w:rPr>
        <w:t>5.2.1</w:t>
      </w:r>
      <w:r>
        <w:rPr>
          <w:sz w:val="21"/>
        </w:rPr>
        <w:t>）</w:t>
      </w:r>
      <w:r>
        <w:rPr>
          <w:spacing w:val="-3"/>
          <w:sz w:val="21"/>
        </w:rPr>
        <w:t>应符合下列要求：</w:t>
      </w:r>
      <w:r>
        <w:rPr>
          <w:sz w:val="21"/>
        </w:rPr>
        <w:t xml:space="preserve"> </w:t>
      </w:r>
    </w:p>
    <w:p w14:paraId="73749490" w14:textId="77777777" w:rsidR="00A71EEF" w:rsidRDefault="00A71EEF">
      <w:pPr>
        <w:pStyle w:val="a3"/>
        <w:rPr>
          <w:sz w:val="18"/>
        </w:rPr>
      </w:pPr>
    </w:p>
    <w:p w14:paraId="5A744DE0" w14:textId="77777777" w:rsidR="00A71EEF" w:rsidRDefault="0081115D">
      <w:pPr>
        <w:pStyle w:val="a3"/>
        <w:spacing w:line="446" w:lineRule="auto"/>
        <w:ind w:left="418" w:right="1410" w:firstLine="419"/>
      </w:pPr>
      <w:r>
        <w:t>接收下级消防通信指挥中心和现场报告的灾情信息，接收上级消防通信指挥中心、公安机关指挥中心和政府相关部门发送的灾情通报和力量调度指令；</w:t>
      </w:r>
      <w:r>
        <w:t xml:space="preserve"> </w:t>
      </w:r>
    </w:p>
    <w:p w14:paraId="3ADC6411" w14:textId="77777777" w:rsidR="00A71EEF" w:rsidRDefault="0081115D">
      <w:pPr>
        <w:pStyle w:val="a3"/>
        <w:spacing w:line="446" w:lineRule="auto"/>
        <w:ind w:left="838" w:right="4237"/>
      </w:pPr>
      <w:r>
        <w:rPr>
          <w:spacing w:val="-3"/>
        </w:rPr>
        <w:t>对火灾及其他灾害事故类型、等级、发展趋势进行判断；</w:t>
      </w:r>
      <w:r>
        <w:rPr>
          <w:spacing w:val="-3"/>
        </w:rPr>
        <w:t xml:space="preserve">  </w:t>
      </w:r>
      <w:r>
        <w:rPr>
          <w:spacing w:val="-3"/>
        </w:rPr>
        <w:t>按预案、等级调度方案、随机调度方案进行消防力量调度；</w:t>
      </w:r>
      <w:r>
        <w:t xml:space="preserve"> </w:t>
      </w:r>
    </w:p>
    <w:p w14:paraId="33F7A3E9" w14:textId="77777777" w:rsidR="00A71EEF" w:rsidRDefault="0081115D">
      <w:pPr>
        <w:pStyle w:val="a3"/>
        <w:spacing w:line="446" w:lineRule="auto"/>
        <w:ind w:left="838" w:right="3817"/>
        <w:rPr>
          <w:sz w:val="18"/>
        </w:rPr>
      </w:pPr>
      <w:r>
        <w:t>依据决策支持信息，综合分析制订灭火救援方案，并实施指挥；</w:t>
      </w:r>
      <w:r>
        <w:t xml:space="preserve"> </w:t>
      </w:r>
      <w:r>
        <w:t>对调度指挥全过程的文字、语音、图像等信息进行实时记录。</w:t>
      </w:r>
      <w:r>
        <w:rPr>
          <w:sz w:val="18"/>
        </w:rPr>
        <w:t xml:space="preserve"> </w:t>
      </w:r>
    </w:p>
    <w:p w14:paraId="3E580347" w14:textId="77777777" w:rsidR="00A71EEF" w:rsidRDefault="00A71EEF">
      <w:pPr>
        <w:spacing w:line="446" w:lineRule="auto"/>
        <w:rPr>
          <w:sz w:val="18"/>
        </w:rPr>
        <w:sectPr w:rsidR="00A71EEF">
          <w:pgSz w:w="11910" w:h="16850"/>
          <w:pgMar w:top="1220" w:right="0" w:bottom="1420" w:left="1260" w:header="0" w:footer="1239" w:gutter="0"/>
          <w:cols w:space="720"/>
        </w:sectPr>
      </w:pPr>
    </w:p>
    <w:p w14:paraId="51828845" w14:textId="77777777" w:rsidR="00A71EEF" w:rsidRDefault="0081115D">
      <w:pPr>
        <w:pStyle w:val="a3"/>
        <w:ind w:left="3867"/>
        <w:rPr>
          <w:sz w:val="20"/>
        </w:rPr>
      </w:pPr>
      <w:r>
        <w:rPr>
          <w:noProof/>
          <w:sz w:val="20"/>
        </w:rPr>
        <w:drawing>
          <wp:inline distT="0" distB="0" distL="0" distR="0" wp14:anchorId="5F337B45" wp14:editId="550CF256">
            <wp:extent cx="990761" cy="2209800"/>
            <wp:effectExtent l="0" t="0" r="0" b="0"/>
            <wp:docPr id="803" name="image4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 name="image470.jpeg"/>
                    <pic:cNvPicPr/>
                  </pic:nvPicPr>
                  <pic:blipFill>
                    <a:blip r:embed="rId588" cstate="print"/>
                    <a:stretch>
                      <a:fillRect/>
                    </a:stretch>
                  </pic:blipFill>
                  <pic:spPr>
                    <a:xfrm>
                      <a:off x="0" y="0"/>
                      <a:ext cx="990761" cy="2209800"/>
                    </a:xfrm>
                    <a:prstGeom prst="rect">
                      <a:avLst/>
                    </a:prstGeom>
                  </pic:spPr>
                </pic:pic>
              </a:graphicData>
            </a:graphic>
          </wp:inline>
        </w:drawing>
      </w:r>
    </w:p>
    <w:p w14:paraId="17B291DD" w14:textId="77777777" w:rsidR="00A71EEF" w:rsidRDefault="00A71EEF">
      <w:pPr>
        <w:pStyle w:val="a3"/>
        <w:spacing w:before="12"/>
        <w:rPr>
          <w:sz w:val="20"/>
        </w:rPr>
      </w:pPr>
    </w:p>
    <w:p w14:paraId="38929A1C" w14:textId="77777777" w:rsidR="00A71EEF" w:rsidRDefault="0081115D">
      <w:pPr>
        <w:spacing w:before="71" w:line="446" w:lineRule="auto"/>
        <w:ind w:left="840" w:right="3327" w:firstLine="1995"/>
        <w:rPr>
          <w:sz w:val="21"/>
        </w:rPr>
      </w:pPr>
      <w:r>
        <w:rPr>
          <w:b/>
          <w:sz w:val="21"/>
        </w:rPr>
        <w:t>图</w:t>
      </w:r>
      <w:r>
        <w:rPr>
          <w:b/>
          <w:sz w:val="21"/>
        </w:rPr>
        <w:t xml:space="preserve"> 5.2.1 </w:t>
      </w:r>
      <w:r>
        <w:rPr>
          <w:b/>
          <w:sz w:val="21"/>
        </w:rPr>
        <w:t>跨区域调度指挥子系统基本工作流程</w:t>
      </w:r>
      <w:r>
        <w:rPr>
          <w:b/>
          <w:sz w:val="21"/>
        </w:rPr>
        <w:t xml:space="preserve">5.2.2 </w:t>
      </w:r>
      <w:r>
        <w:rPr>
          <w:sz w:val="21"/>
        </w:rPr>
        <w:t>跨区域调度指挥子系统的灾情接收功能应符合下列要求：</w:t>
      </w:r>
      <w:r>
        <w:rPr>
          <w:sz w:val="21"/>
        </w:rPr>
        <w:t xml:space="preserve"> </w:t>
      </w:r>
    </w:p>
    <w:p w14:paraId="6B2F014E" w14:textId="77777777" w:rsidR="00A71EEF" w:rsidRDefault="0081115D">
      <w:pPr>
        <w:pStyle w:val="a3"/>
        <w:spacing w:line="446" w:lineRule="auto"/>
        <w:ind w:left="418" w:right="1389" w:firstLine="419"/>
      </w:pPr>
      <w:r>
        <w:t>能接收下级通信指挥中心和本级现场指挥子系统报送的火灾及其他灾害事故信息、出动力量和处置情况等相关信息；</w:t>
      </w:r>
      <w:r>
        <w:t xml:space="preserve"> </w:t>
      </w:r>
    </w:p>
    <w:p w14:paraId="05520513" w14:textId="77777777" w:rsidR="00A71EEF" w:rsidRDefault="0081115D">
      <w:pPr>
        <w:pStyle w:val="a3"/>
        <w:spacing w:line="446" w:lineRule="auto"/>
        <w:ind w:left="418" w:right="1431" w:firstLine="419"/>
      </w:pPr>
      <w:r>
        <w:rPr>
          <w:spacing w:val="-6"/>
        </w:rPr>
        <w:t>能接收上级消防通信指挥中心、公安机关指挥中心和政府相关部门发送的灾情通报和力量调</w:t>
      </w:r>
      <w:r>
        <w:rPr>
          <w:spacing w:val="-5"/>
        </w:rPr>
        <w:t>度指令。</w:t>
      </w:r>
      <w:r>
        <w:t xml:space="preserve"> </w:t>
      </w:r>
    </w:p>
    <w:p w14:paraId="36996792" w14:textId="77777777" w:rsidR="00A71EEF" w:rsidRDefault="0081115D">
      <w:pPr>
        <w:pStyle w:val="a4"/>
        <w:numPr>
          <w:ilvl w:val="2"/>
          <w:numId w:val="35"/>
        </w:numPr>
        <w:tabs>
          <w:tab w:val="left" w:pos="1371"/>
        </w:tabs>
        <w:rPr>
          <w:sz w:val="21"/>
        </w:rPr>
      </w:pPr>
      <w:r>
        <w:rPr>
          <w:spacing w:val="-3"/>
          <w:sz w:val="21"/>
        </w:rPr>
        <w:t>跨区域调度指挥子系统的灾情判断功能应符合下列要求：</w:t>
      </w:r>
      <w:r>
        <w:rPr>
          <w:sz w:val="21"/>
        </w:rPr>
        <w:t xml:space="preserve"> </w:t>
      </w:r>
    </w:p>
    <w:p w14:paraId="36271253" w14:textId="77777777" w:rsidR="00A71EEF" w:rsidRDefault="00A71EEF">
      <w:pPr>
        <w:pStyle w:val="a3"/>
        <w:spacing w:before="10"/>
        <w:rPr>
          <w:sz w:val="17"/>
        </w:rPr>
      </w:pPr>
    </w:p>
    <w:p w14:paraId="13F6BC2B" w14:textId="77777777" w:rsidR="00A71EEF" w:rsidRDefault="0081115D">
      <w:pPr>
        <w:pStyle w:val="a3"/>
        <w:spacing w:line="446" w:lineRule="auto"/>
        <w:ind w:left="838" w:right="5077"/>
      </w:pPr>
      <w:r>
        <w:rPr>
          <w:spacing w:val="-3"/>
        </w:rPr>
        <w:t>能检索火灾及其他灾害事故类型和等级数据库；</w:t>
      </w:r>
      <w:r>
        <w:rPr>
          <w:spacing w:val="-3"/>
        </w:rPr>
        <w:t xml:space="preserve">  </w:t>
      </w:r>
      <w:r>
        <w:rPr>
          <w:spacing w:val="-3"/>
        </w:rPr>
        <w:t>能对接收的灾情作出类型、等级及发展趋势判断。</w:t>
      </w:r>
      <w:r>
        <w:t xml:space="preserve"> </w:t>
      </w:r>
    </w:p>
    <w:p w14:paraId="7B9D7211" w14:textId="77777777" w:rsidR="00A71EEF" w:rsidRDefault="0081115D">
      <w:pPr>
        <w:pStyle w:val="a4"/>
        <w:numPr>
          <w:ilvl w:val="2"/>
          <w:numId w:val="35"/>
        </w:numPr>
        <w:tabs>
          <w:tab w:val="left" w:pos="1371"/>
        </w:tabs>
        <w:rPr>
          <w:sz w:val="21"/>
        </w:rPr>
      </w:pPr>
      <w:r>
        <w:rPr>
          <w:spacing w:val="-3"/>
          <w:sz w:val="21"/>
        </w:rPr>
        <w:t>跨区域调度指挥子系统的力量调度功能应符合下列要求：</w:t>
      </w:r>
      <w:r>
        <w:rPr>
          <w:sz w:val="21"/>
        </w:rPr>
        <w:t xml:space="preserve"> </w:t>
      </w:r>
    </w:p>
    <w:p w14:paraId="622DFC12" w14:textId="77777777" w:rsidR="00A71EEF" w:rsidRDefault="00A71EEF">
      <w:pPr>
        <w:pStyle w:val="a3"/>
        <w:spacing w:before="12"/>
        <w:rPr>
          <w:sz w:val="17"/>
        </w:rPr>
      </w:pPr>
    </w:p>
    <w:p w14:paraId="192C2F29" w14:textId="77777777" w:rsidR="00A71EEF" w:rsidRDefault="0081115D">
      <w:pPr>
        <w:pStyle w:val="a3"/>
        <w:spacing w:line="446" w:lineRule="auto"/>
        <w:ind w:left="418" w:right="1433" w:firstLine="419"/>
      </w:pPr>
      <w:r>
        <w:rPr>
          <w:spacing w:val="-6"/>
        </w:rPr>
        <w:t>能依据消防安全重点单位的预案、火灾及其他灾害事故等级、消防实力数据库，随机编制消</w:t>
      </w:r>
      <w:r>
        <w:rPr>
          <w:spacing w:val="-4"/>
        </w:rPr>
        <w:t>防力量调度方案；</w:t>
      </w:r>
      <w:r>
        <w:t xml:space="preserve"> </w:t>
      </w:r>
    </w:p>
    <w:p w14:paraId="4F19EB98" w14:textId="77777777" w:rsidR="00A71EEF" w:rsidRDefault="0081115D">
      <w:pPr>
        <w:pStyle w:val="a3"/>
        <w:spacing w:before="1"/>
        <w:ind w:left="838"/>
      </w:pPr>
      <w:r>
        <w:t>能以语音、数据及指挥视频形式下达跨区域调度命令；</w:t>
      </w:r>
      <w:r>
        <w:t xml:space="preserve"> </w:t>
      </w:r>
    </w:p>
    <w:p w14:paraId="30700CCC" w14:textId="77777777" w:rsidR="00A71EEF" w:rsidRDefault="00A71EEF">
      <w:pPr>
        <w:pStyle w:val="a3"/>
        <w:spacing w:before="12"/>
        <w:rPr>
          <w:sz w:val="17"/>
        </w:rPr>
      </w:pPr>
    </w:p>
    <w:p w14:paraId="55A7BB22" w14:textId="77777777" w:rsidR="00A71EEF" w:rsidRDefault="0081115D">
      <w:pPr>
        <w:pStyle w:val="a3"/>
        <w:spacing w:line="446" w:lineRule="auto"/>
        <w:ind w:left="840" w:right="2134" w:hanging="3"/>
      </w:pPr>
      <w:r>
        <w:t>能向医疗、救护、交通、安监等灭火救援有关单位发出灾情通报和联合作战要求。</w:t>
      </w:r>
      <w:r>
        <w:rPr>
          <w:b/>
        </w:rPr>
        <w:t xml:space="preserve">5.2.5 </w:t>
      </w:r>
      <w:r>
        <w:t>跨区域调度指挥子系统的决策指挥功能应符合下列要求：</w:t>
      </w:r>
      <w:r>
        <w:t xml:space="preserve"> </w:t>
      </w:r>
    </w:p>
    <w:p w14:paraId="1EC2FD11" w14:textId="77777777" w:rsidR="00A71EEF" w:rsidRDefault="0081115D">
      <w:pPr>
        <w:pStyle w:val="a3"/>
        <w:spacing w:line="446" w:lineRule="auto"/>
        <w:ind w:left="838" w:right="2134"/>
      </w:pPr>
      <w:r>
        <w:rPr>
          <w:spacing w:val="-3"/>
        </w:rPr>
        <w:t>能依据消防安全重点单位的预案、决策支持数据库，随机编制灭火救援作战方案</w:t>
      </w:r>
      <w:r>
        <w:rPr>
          <w:spacing w:val="-3"/>
        </w:rPr>
        <w:t>；</w:t>
      </w:r>
      <w:r>
        <w:rPr>
          <w:spacing w:val="-3"/>
        </w:rPr>
        <w:t xml:space="preserve"> </w:t>
      </w:r>
      <w:r>
        <w:rPr>
          <w:spacing w:val="-3"/>
        </w:rPr>
        <w:t>能以语音、数据及指挥视频形式下达跨区域作战指挥命令。</w:t>
      </w:r>
      <w:r>
        <w:t xml:space="preserve"> </w:t>
      </w:r>
    </w:p>
    <w:p w14:paraId="3973365D" w14:textId="77777777" w:rsidR="00A71EEF" w:rsidRDefault="0081115D">
      <w:pPr>
        <w:pStyle w:val="a4"/>
        <w:numPr>
          <w:ilvl w:val="2"/>
          <w:numId w:val="34"/>
        </w:numPr>
        <w:tabs>
          <w:tab w:val="left" w:pos="1371"/>
        </w:tabs>
        <w:spacing w:line="448" w:lineRule="auto"/>
        <w:ind w:right="1433" w:firstLine="422"/>
        <w:rPr>
          <w:sz w:val="21"/>
        </w:rPr>
      </w:pPr>
      <w:r>
        <w:rPr>
          <w:spacing w:val="-6"/>
          <w:sz w:val="21"/>
        </w:rPr>
        <w:t>跨区域调度指挥子系统应能实时记录调度指挥全过程的文字、语音、图像等信息，并</w:t>
      </w:r>
      <w:r>
        <w:rPr>
          <w:spacing w:val="-4"/>
          <w:sz w:val="21"/>
        </w:rPr>
        <w:t>应自动存入相应的火灾及其他灾害事故档案中，生成有关的统计报表。</w:t>
      </w:r>
      <w:r>
        <w:rPr>
          <w:sz w:val="21"/>
        </w:rPr>
        <w:t xml:space="preserve"> </w:t>
      </w:r>
    </w:p>
    <w:p w14:paraId="13F968AD" w14:textId="77777777" w:rsidR="00A71EEF" w:rsidRDefault="0081115D">
      <w:pPr>
        <w:pStyle w:val="a4"/>
        <w:numPr>
          <w:ilvl w:val="2"/>
          <w:numId w:val="34"/>
        </w:numPr>
        <w:tabs>
          <w:tab w:val="left" w:pos="1371"/>
        </w:tabs>
        <w:spacing w:line="264" w:lineRule="exact"/>
        <w:ind w:left="1370"/>
        <w:rPr>
          <w:sz w:val="21"/>
        </w:rPr>
      </w:pPr>
      <w:r>
        <w:rPr>
          <w:spacing w:val="-3"/>
          <w:sz w:val="21"/>
        </w:rPr>
        <w:t>跨区域调度指挥终端应具有下列工作界面：</w:t>
      </w:r>
      <w:r>
        <w:rPr>
          <w:sz w:val="21"/>
        </w:rPr>
        <w:t xml:space="preserve"> </w:t>
      </w:r>
    </w:p>
    <w:p w14:paraId="623174FC" w14:textId="77777777" w:rsidR="00A71EEF" w:rsidRDefault="00A71EEF">
      <w:pPr>
        <w:pStyle w:val="a3"/>
        <w:spacing w:before="10"/>
        <w:rPr>
          <w:sz w:val="17"/>
        </w:rPr>
      </w:pPr>
    </w:p>
    <w:p w14:paraId="1E61D3F8" w14:textId="77777777" w:rsidR="00A71EEF" w:rsidRDefault="0081115D">
      <w:pPr>
        <w:pStyle w:val="a3"/>
        <w:ind w:left="838"/>
      </w:pPr>
      <w:r>
        <w:t>力量调度电话、无线电台操作窗口；</w:t>
      </w:r>
      <w:r>
        <w:t xml:space="preserve"> </w:t>
      </w:r>
    </w:p>
    <w:p w14:paraId="2A0DA491" w14:textId="77777777" w:rsidR="00A71EEF" w:rsidRDefault="00A71EEF">
      <w:pPr>
        <w:sectPr w:rsidR="00A71EEF">
          <w:pgSz w:w="11910" w:h="16850"/>
          <w:pgMar w:top="1200" w:right="0" w:bottom="1420" w:left="1260" w:header="0" w:footer="1239" w:gutter="0"/>
          <w:cols w:space="720"/>
        </w:sectPr>
      </w:pPr>
    </w:p>
    <w:p w14:paraId="686F0F7D" w14:textId="77777777" w:rsidR="00A71EEF" w:rsidRDefault="0081115D">
      <w:pPr>
        <w:pStyle w:val="a3"/>
        <w:spacing w:before="47"/>
        <w:ind w:left="838"/>
      </w:pPr>
      <w:r>
        <w:t>录音和回放操作窗口；</w:t>
      </w:r>
      <w:r>
        <w:t xml:space="preserve"> </w:t>
      </w:r>
    </w:p>
    <w:p w14:paraId="07B20CD3" w14:textId="77777777" w:rsidR="00A71EEF" w:rsidRDefault="00A71EEF">
      <w:pPr>
        <w:pStyle w:val="a3"/>
        <w:rPr>
          <w:sz w:val="18"/>
        </w:rPr>
      </w:pPr>
    </w:p>
    <w:p w14:paraId="54A2A908" w14:textId="77777777" w:rsidR="00A71EEF" w:rsidRDefault="0081115D">
      <w:pPr>
        <w:pStyle w:val="a3"/>
        <w:spacing w:line="446" w:lineRule="auto"/>
        <w:ind w:left="838" w:right="3817"/>
      </w:pPr>
      <w:r>
        <w:t>火灾及其他灾害事故信息、出动力量和处置情况信息显示窗口；</w:t>
      </w:r>
      <w:r>
        <w:t xml:space="preserve"> </w:t>
      </w:r>
      <w:r>
        <w:t>灾情判断信息显示窗口；</w:t>
      </w:r>
      <w:r>
        <w:t xml:space="preserve"> </w:t>
      </w:r>
    </w:p>
    <w:p w14:paraId="7F3B8273" w14:textId="77777777" w:rsidR="00A71EEF" w:rsidRDefault="0081115D">
      <w:pPr>
        <w:pStyle w:val="a3"/>
        <w:spacing w:line="446" w:lineRule="auto"/>
        <w:ind w:left="418" w:right="1431" w:firstLine="419"/>
      </w:pPr>
      <w:r>
        <w:rPr>
          <w:spacing w:val="-6"/>
        </w:rPr>
        <w:t>上级消防通信指挥中心、公安机关指挥中心和政府相关部门传输的灾情通报和力量调度指令</w:t>
      </w:r>
      <w:r>
        <w:rPr>
          <w:spacing w:val="-4"/>
        </w:rPr>
        <w:t>显示窗口；</w:t>
      </w:r>
      <w:r>
        <w:t xml:space="preserve"> </w:t>
      </w:r>
    </w:p>
    <w:p w14:paraId="29088138" w14:textId="77777777" w:rsidR="00A71EEF" w:rsidRDefault="0081115D">
      <w:pPr>
        <w:pStyle w:val="a3"/>
        <w:spacing w:line="446" w:lineRule="auto"/>
        <w:ind w:left="838" w:right="6337"/>
      </w:pPr>
      <w:r>
        <w:t>编制和下达力量调度方案操作窗口；</w:t>
      </w:r>
      <w:r>
        <w:t xml:space="preserve"> </w:t>
      </w:r>
      <w:r>
        <w:t>指挥决策支持信息显示窗口；</w:t>
      </w:r>
      <w:r>
        <w:t xml:space="preserve"> </w:t>
      </w:r>
    </w:p>
    <w:p w14:paraId="46521C88" w14:textId="77777777" w:rsidR="00A71EEF" w:rsidRDefault="0081115D">
      <w:pPr>
        <w:pStyle w:val="a3"/>
        <w:spacing w:line="446" w:lineRule="auto"/>
        <w:ind w:left="838" w:right="4026"/>
        <w:rPr>
          <w:sz w:val="18"/>
        </w:rPr>
      </w:pPr>
      <w:r>
        <w:rPr>
          <w:spacing w:val="-3"/>
        </w:rPr>
        <w:t>编制灭火救援作战方案和下达跨区域作战指挥命令操作窗口；</w:t>
      </w:r>
      <w:r>
        <w:rPr>
          <w:spacing w:val="-3"/>
        </w:rPr>
        <w:t xml:space="preserve"> </w:t>
      </w:r>
      <w:r>
        <w:rPr>
          <w:spacing w:val="-3"/>
        </w:rPr>
        <w:t>调度指挥信息记录管理显示窗口</w:t>
      </w:r>
      <w:r>
        <w:rPr>
          <w:sz w:val="18"/>
        </w:rPr>
        <w:t xml:space="preserve"> </w:t>
      </w:r>
    </w:p>
    <w:p w14:paraId="571D696B" w14:textId="77777777" w:rsidR="00A71EEF" w:rsidRDefault="0081115D">
      <w:pPr>
        <w:pStyle w:val="a4"/>
        <w:numPr>
          <w:ilvl w:val="1"/>
          <w:numId w:val="37"/>
        </w:numPr>
        <w:tabs>
          <w:tab w:val="left" w:pos="1159"/>
        </w:tabs>
        <w:ind w:hanging="319"/>
        <w:rPr>
          <w:b/>
          <w:sz w:val="21"/>
        </w:rPr>
      </w:pPr>
      <w:r>
        <w:rPr>
          <w:spacing w:val="-3"/>
          <w:sz w:val="21"/>
        </w:rPr>
        <w:t>现场指挥子系统</w:t>
      </w:r>
      <w:r>
        <w:rPr>
          <w:b/>
          <w:w w:val="99"/>
          <w:sz w:val="21"/>
        </w:rPr>
        <w:t xml:space="preserve"> </w:t>
      </w:r>
    </w:p>
    <w:p w14:paraId="1E6209CF" w14:textId="77777777" w:rsidR="00A71EEF" w:rsidRDefault="00A71EEF">
      <w:pPr>
        <w:pStyle w:val="a3"/>
        <w:spacing w:before="10"/>
        <w:rPr>
          <w:b/>
          <w:sz w:val="17"/>
        </w:rPr>
      </w:pPr>
    </w:p>
    <w:p w14:paraId="321F1F2B" w14:textId="77777777" w:rsidR="00A71EEF" w:rsidRDefault="0081115D">
      <w:pPr>
        <w:pStyle w:val="a4"/>
        <w:numPr>
          <w:ilvl w:val="2"/>
          <w:numId w:val="37"/>
        </w:numPr>
        <w:tabs>
          <w:tab w:val="left" w:pos="1370"/>
        </w:tabs>
        <w:ind w:hanging="530"/>
        <w:rPr>
          <w:sz w:val="21"/>
        </w:rPr>
      </w:pPr>
      <w:r>
        <w:rPr>
          <w:spacing w:val="-3"/>
          <w:sz w:val="21"/>
        </w:rPr>
        <w:t>现场指挥子系统的基本工作流程（</w:t>
      </w:r>
      <w:r>
        <w:rPr>
          <w:spacing w:val="-27"/>
          <w:sz w:val="21"/>
        </w:rPr>
        <w:t>图</w:t>
      </w:r>
      <w:r>
        <w:rPr>
          <w:spacing w:val="-27"/>
          <w:sz w:val="21"/>
        </w:rPr>
        <w:t xml:space="preserve"> </w:t>
      </w:r>
      <w:r>
        <w:rPr>
          <w:sz w:val="21"/>
        </w:rPr>
        <w:t>5.3.1</w:t>
      </w:r>
      <w:r>
        <w:rPr>
          <w:sz w:val="21"/>
        </w:rPr>
        <w:t>）</w:t>
      </w:r>
      <w:r>
        <w:rPr>
          <w:spacing w:val="-3"/>
          <w:sz w:val="21"/>
        </w:rPr>
        <w:t>应符合下列要求：</w:t>
      </w:r>
      <w:r>
        <w:rPr>
          <w:sz w:val="21"/>
        </w:rPr>
        <w:t xml:space="preserve"> </w:t>
      </w:r>
    </w:p>
    <w:p w14:paraId="6EFB8DB5" w14:textId="77777777" w:rsidR="00A71EEF" w:rsidRDefault="00A71EEF">
      <w:pPr>
        <w:pStyle w:val="a3"/>
        <w:rPr>
          <w:sz w:val="18"/>
        </w:rPr>
      </w:pPr>
    </w:p>
    <w:p w14:paraId="437857D5" w14:textId="77777777" w:rsidR="00A71EEF" w:rsidRDefault="0081115D">
      <w:pPr>
        <w:pStyle w:val="a3"/>
        <w:ind w:left="838"/>
      </w:pPr>
      <w:r>
        <w:t>接收有关火灾及灾害事故情况通报和现场灭火救援行动指令；</w:t>
      </w:r>
      <w:r>
        <w:t xml:space="preserve"> </w:t>
      </w:r>
    </w:p>
    <w:p w14:paraId="7ACE629D" w14:textId="77777777" w:rsidR="00A71EEF" w:rsidRDefault="00A71EEF">
      <w:pPr>
        <w:pStyle w:val="a3"/>
        <w:spacing w:before="2"/>
        <w:rPr>
          <w:sz w:val="18"/>
        </w:rPr>
      </w:pPr>
    </w:p>
    <w:p w14:paraId="5AAA11E0" w14:textId="77777777" w:rsidR="00A71EEF" w:rsidRDefault="0081115D">
      <w:pPr>
        <w:pStyle w:val="a3"/>
        <w:spacing w:line="446" w:lineRule="auto"/>
        <w:ind w:left="838" w:right="2765"/>
      </w:pPr>
      <w:r>
        <w:rPr>
          <w:spacing w:val="-3"/>
        </w:rPr>
        <w:t>采集火灾及灾害事故数据、现场环境信息、现场灭火救援力量装备等信息；</w:t>
      </w:r>
      <w:r>
        <w:rPr>
          <w:spacing w:val="-3"/>
        </w:rPr>
        <w:t xml:space="preserve"> </w:t>
      </w:r>
      <w:r>
        <w:rPr>
          <w:spacing w:val="-3"/>
        </w:rPr>
        <w:t>制订现场灭火救援行动方案，下达灭火救援行动命令；</w:t>
      </w:r>
      <w:r>
        <w:t xml:space="preserve"> </w:t>
      </w:r>
    </w:p>
    <w:p w14:paraId="497CAD7E" w14:textId="77777777" w:rsidR="00A71EEF" w:rsidRDefault="0081115D">
      <w:pPr>
        <w:pStyle w:val="a3"/>
        <w:spacing w:line="446" w:lineRule="auto"/>
        <w:ind w:left="838" w:right="1714"/>
      </w:pPr>
      <w:r>
        <w:rPr>
          <w:noProof/>
        </w:rPr>
        <w:drawing>
          <wp:anchor distT="0" distB="0" distL="0" distR="0" simplePos="0" relativeHeight="251777536" behindDoc="1" locked="0" layoutInCell="1" allowOverlap="1" wp14:anchorId="6CB9B923" wp14:editId="2C006322">
            <wp:simplePos x="0" y="0"/>
            <wp:positionH relativeFrom="page">
              <wp:posOffset>3265423</wp:posOffset>
            </wp:positionH>
            <wp:positionV relativeFrom="paragraph">
              <wp:posOffset>589788</wp:posOffset>
            </wp:positionV>
            <wp:extent cx="914400" cy="2362200"/>
            <wp:effectExtent l="0" t="0" r="0" b="0"/>
            <wp:wrapNone/>
            <wp:docPr id="805" name="image4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 name="image471.jpeg"/>
                    <pic:cNvPicPr/>
                  </pic:nvPicPr>
                  <pic:blipFill>
                    <a:blip r:embed="rId589" cstate="print"/>
                    <a:stretch>
                      <a:fillRect/>
                    </a:stretch>
                  </pic:blipFill>
                  <pic:spPr>
                    <a:xfrm>
                      <a:off x="0" y="0"/>
                      <a:ext cx="914400" cy="2362200"/>
                    </a:xfrm>
                    <a:prstGeom prst="rect">
                      <a:avLst/>
                    </a:prstGeom>
                  </pic:spPr>
                </pic:pic>
              </a:graphicData>
            </a:graphic>
          </wp:anchor>
        </w:drawing>
      </w:r>
      <w:r>
        <w:rPr>
          <w:spacing w:val="-3"/>
        </w:rPr>
        <w:t>将火灾及灾害事故态势、现场环境、现场灭火救援行动等信息报送消防通信指挥中心；</w:t>
      </w:r>
      <w:r>
        <w:rPr>
          <w:spacing w:val="-3"/>
        </w:rPr>
        <w:t xml:space="preserve"> </w:t>
      </w:r>
      <w:r>
        <w:rPr>
          <w:spacing w:val="-3"/>
        </w:rPr>
        <w:t>将现场灭火救援全过程的文字、语音、图像等信息进行实时记录。</w:t>
      </w:r>
      <w:r>
        <w:t xml:space="preserve"> </w:t>
      </w:r>
    </w:p>
    <w:p w14:paraId="4F18A2EC" w14:textId="77777777" w:rsidR="00A71EEF" w:rsidRDefault="00A71EEF">
      <w:pPr>
        <w:pStyle w:val="a3"/>
        <w:rPr>
          <w:sz w:val="20"/>
        </w:rPr>
      </w:pPr>
    </w:p>
    <w:p w14:paraId="7F2F2401" w14:textId="77777777" w:rsidR="00A71EEF" w:rsidRDefault="00A71EEF">
      <w:pPr>
        <w:pStyle w:val="a3"/>
        <w:rPr>
          <w:sz w:val="20"/>
        </w:rPr>
      </w:pPr>
    </w:p>
    <w:p w14:paraId="4E852642" w14:textId="77777777" w:rsidR="00A71EEF" w:rsidRDefault="00A71EEF">
      <w:pPr>
        <w:pStyle w:val="a3"/>
        <w:rPr>
          <w:sz w:val="20"/>
        </w:rPr>
      </w:pPr>
    </w:p>
    <w:p w14:paraId="6519A165" w14:textId="77777777" w:rsidR="00A71EEF" w:rsidRDefault="00A71EEF">
      <w:pPr>
        <w:pStyle w:val="a3"/>
        <w:rPr>
          <w:sz w:val="20"/>
        </w:rPr>
      </w:pPr>
    </w:p>
    <w:p w14:paraId="23517D5B" w14:textId="77777777" w:rsidR="00A71EEF" w:rsidRDefault="00A71EEF">
      <w:pPr>
        <w:pStyle w:val="a3"/>
        <w:rPr>
          <w:sz w:val="20"/>
        </w:rPr>
      </w:pPr>
    </w:p>
    <w:p w14:paraId="0842C17C" w14:textId="77777777" w:rsidR="00A71EEF" w:rsidRDefault="00A71EEF">
      <w:pPr>
        <w:pStyle w:val="a3"/>
        <w:rPr>
          <w:sz w:val="20"/>
        </w:rPr>
      </w:pPr>
    </w:p>
    <w:p w14:paraId="04057915" w14:textId="77777777" w:rsidR="00A71EEF" w:rsidRDefault="00A71EEF">
      <w:pPr>
        <w:pStyle w:val="a3"/>
        <w:rPr>
          <w:sz w:val="20"/>
        </w:rPr>
      </w:pPr>
    </w:p>
    <w:p w14:paraId="6102D599" w14:textId="77777777" w:rsidR="00A71EEF" w:rsidRDefault="00A71EEF">
      <w:pPr>
        <w:pStyle w:val="a3"/>
        <w:rPr>
          <w:sz w:val="20"/>
        </w:rPr>
      </w:pPr>
    </w:p>
    <w:p w14:paraId="44C9268C" w14:textId="77777777" w:rsidR="00A71EEF" w:rsidRDefault="00A71EEF">
      <w:pPr>
        <w:pStyle w:val="a3"/>
        <w:rPr>
          <w:sz w:val="20"/>
        </w:rPr>
      </w:pPr>
    </w:p>
    <w:p w14:paraId="73D8AC23" w14:textId="77777777" w:rsidR="00A71EEF" w:rsidRDefault="00A71EEF">
      <w:pPr>
        <w:pStyle w:val="a3"/>
        <w:rPr>
          <w:sz w:val="20"/>
        </w:rPr>
      </w:pPr>
    </w:p>
    <w:p w14:paraId="5A50AE67" w14:textId="77777777" w:rsidR="00A71EEF" w:rsidRDefault="00A71EEF">
      <w:pPr>
        <w:pStyle w:val="a3"/>
        <w:rPr>
          <w:sz w:val="20"/>
        </w:rPr>
      </w:pPr>
    </w:p>
    <w:p w14:paraId="643F90A3" w14:textId="77777777" w:rsidR="00A71EEF" w:rsidRDefault="00A71EEF">
      <w:pPr>
        <w:pStyle w:val="a3"/>
        <w:rPr>
          <w:sz w:val="20"/>
        </w:rPr>
      </w:pPr>
    </w:p>
    <w:p w14:paraId="759CBAA4" w14:textId="77777777" w:rsidR="00A71EEF" w:rsidRDefault="00A71EEF">
      <w:pPr>
        <w:pStyle w:val="a3"/>
        <w:rPr>
          <w:sz w:val="20"/>
        </w:rPr>
      </w:pPr>
    </w:p>
    <w:p w14:paraId="18B12855" w14:textId="77777777" w:rsidR="00A71EEF" w:rsidRDefault="00A71EEF">
      <w:pPr>
        <w:pStyle w:val="a3"/>
        <w:rPr>
          <w:sz w:val="20"/>
        </w:rPr>
      </w:pPr>
    </w:p>
    <w:p w14:paraId="5F64F701" w14:textId="77777777" w:rsidR="00A71EEF" w:rsidRDefault="00A71EEF">
      <w:pPr>
        <w:pStyle w:val="a3"/>
        <w:spacing w:before="8"/>
        <w:rPr>
          <w:sz w:val="26"/>
        </w:rPr>
      </w:pPr>
    </w:p>
    <w:p w14:paraId="3F64CF0F" w14:textId="77777777" w:rsidR="00A71EEF" w:rsidRDefault="0081115D">
      <w:pPr>
        <w:spacing w:before="1" w:line="446" w:lineRule="auto"/>
        <w:ind w:left="840" w:right="3642" w:firstLine="2311"/>
        <w:rPr>
          <w:sz w:val="21"/>
        </w:rPr>
      </w:pPr>
      <w:r>
        <w:rPr>
          <w:b/>
          <w:sz w:val="21"/>
        </w:rPr>
        <w:t>图</w:t>
      </w:r>
      <w:r>
        <w:rPr>
          <w:b/>
          <w:sz w:val="21"/>
        </w:rPr>
        <w:t xml:space="preserve"> 5.3.1 </w:t>
      </w:r>
      <w:r>
        <w:rPr>
          <w:b/>
          <w:sz w:val="21"/>
        </w:rPr>
        <w:t>现场指挥子系统基本工作流程</w:t>
      </w:r>
      <w:r>
        <w:rPr>
          <w:b/>
          <w:sz w:val="21"/>
        </w:rPr>
        <w:t xml:space="preserve">5.3.2 </w:t>
      </w:r>
      <w:r>
        <w:rPr>
          <w:sz w:val="21"/>
        </w:rPr>
        <w:t>现场指挥子系统的接收指令功能应符合下列要求：</w:t>
      </w:r>
      <w:r>
        <w:rPr>
          <w:sz w:val="21"/>
        </w:rPr>
        <w:t xml:space="preserve"> </w:t>
      </w:r>
    </w:p>
    <w:p w14:paraId="1968494B" w14:textId="77777777" w:rsidR="00A71EEF" w:rsidRDefault="0081115D">
      <w:pPr>
        <w:pStyle w:val="a3"/>
        <w:ind w:left="838"/>
      </w:pPr>
      <w:r>
        <w:t>能接收消防通信指挥中心的灾情通报和灭火救援行动指令；</w:t>
      </w:r>
      <w:r>
        <w:t xml:space="preserve"> </w:t>
      </w:r>
    </w:p>
    <w:p w14:paraId="50D089BA" w14:textId="77777777" w:rsidR="00A71EEF" w:rsidRDefault="00A71EEF">
      <w:pPr>
        <w:pStyle w:val="a3"/>
        <w:spacing w:before="12"/>
        <w:rPr>
          <w:sz w:val="17"/>
        </w:rPr>
      </w:pPr>
    </w:p>
    <w:p w14:paraId="6B408959" w14:textId="77777777" w:rsidR="00A71EEF" w:rsidRDefault="0081115D">
      <w:pPr>
        <w:pStyle w:val="a3"/>
        <w:ind w:left="838"/>
      </w:pPr>
      <w:r>
        <w:t>能接收公安机关指挥中心、政府相关部门的灾情通报和灭火救援行动</w:t>
      </w:r>
      <w:r>
        <w:t>指令。</w:t>
      </w:r>
      <w:r>
        <w:t xml:space="preserve"> </w:t>
      </w:r>
    </w:p>
    <w:p w14:paraId="25E200F0" w14:textId="77777777" w:rsidR="00A71EEF" w:rsidRDefault="00A71EEF">
      <w:pPr>
        <w:sectPr w:rsidR="00A71EEF">
          <w:pgSz w:w="11910" w:h="16850"/>
          <w:pgMar w:top="1220" w:right="0" w:bottom="1420" w:left="1260" w:header="0" w:footer="1239" w:gutter="0"/>
          <w:cols w:space="720"/>
        </w:sectPr>
      </w:pPr>
    </w:p>
    <w:p w14:paraId="6A4AB65A" w14:textId="77777777" w:rsidR="00A71EEF" w:rsidRDefault="0081115D">
      <w:pPr>
        <w:pStyle w:val="a4"/>
        <w:numPr>
          <w:ilvl w:val="2"/>
          <w:numId w:val="33"/>
        </w:numPr>
        <w:tabs>
          <w:tab w:val="left" w:pos="1370"/>
        </w:tabs>
        <w:spacing w:before="47"/>
        <w:ind w:hanging="530"/>
        <w:rPr>
          <w:sz w:val="21"/>
        </w:rPr>
      </w:pPr>
      <w:r>
        <w:rPr>
          <w:spacing w:val="-3"/>
          <w:sz w:val="21"/>
        </w:rPr>
        <w:t>现场指挥子系统采集的现场信息应包括下列内容：</w:t>
      </w:r>
      <w:r>
        <w:rPr>
          <w:sz w:val="21"/>
        </w:rPr>
        <w:t xml:space="preserve"> </w:t>
      </w:r>
    </w:p>
    <w:p w14:paraId="4F427941" w14:textId="77777777" w:rsidR="00A71EEF" w:rsidRDefault="00A71EEF">
      <w:pPr>
        <w:pStyle w:val="a3"/>
        <w:rPr>
          <w:sz w:val="18"/>
        </w:rPr>
      </w:pPr>
    </w:p>
    <w:p w14:paraId="4432954B" w14:textId="77777777" w:rsidR="00A71EEF" w:rsidRDefault="0081115D">
      <w:pPr>
        <w:pStyle w:val="a3"/>
        <w:ind w:left="838"/>
      </w:pPr>
      <w:r>
        <w:t>火灾及其他灾害事故态势信息；</w:t>
      </w:r>
      <w:r>
        <w:t xml:space="preserve"> </w:t>
      </w:r>
    </w:p>
    <w:p w14:paraId="6396408D" w14:textId="77777777" w:rsidR="00A71EEF" w:rsidRDefault="00A71EEF">
      <w:pPr>
        <w:pStyle w:val="a3"/>
        <w:rPr>
          <w:sz w:val="18"/>
        </w:rPr>
      </w:pPr>
    </w:p>
    <w:p w14:paraId="1637470E" w14:textId="77777777" w:rsidR="00A71EEF" w:rsidRDefault="0081115D">
      <w:pPr>
        <w:pStyle w:val="a3"/>
        <w:spacing w:line="446" w:lineRule="auto"/>
        <w:ind w:left="838" w:right="3606"/>
      </w:pPr>
      <w:r>
        <w:t>到达现场的消防车辆、人员、灭火救援装备器材、灭火剂等信息；</w:t>
      </w:r>
      <w:r>
        <w:t xml:space="preserve"> </w:t>
      </w:r>
      <w:r>
        <w:t>现场气象、道路、消防水源、建（构）筑物等环境信息；</w:t>
      </w:r>
      <w:r>
        <w:t xml:space="preserve"> </w:t>
      </w:r>
    </w:p>
    <w:p w14:paraId="61AD91CA" w14:textId="77777777" w:rsidR="00A71EEF" w:rsidRDefault="0081115D">
      <w:pPr>
        <w:pStyle w:val="a3"/>
        <w:ind w:left="838"/>
      </w:pPr>
      <w:r>
        <w:t>现场实况图像信息。</w:t>
      </w:r>
      <w:r>
        <w:t xml:space="preserve"> </w:t>
      </w:r>
    </w:p>
    <w:p w14:paraId="5ABEEAF1" w14:textId="77777777" w:rsidR="00A71EEF" w:rsidRDefault="00A71EEF">
      <w:pPr>
        <w:pStyle w:val="a3"/>
        <w:spacing w:before="12"/>
        <w:rPr>
          <w:sz w:val="17"/>
        </w:rPr>
      </w:pPr>
    </w:p>
    <w:p w14:paraId="6948035A" w14:textId="77777777" w:rsidR="00A71EEF" w:rsidRDefault="0081115D">
      <w:pPr>
        <w:pStyle w:val="a4"/>
        <w:numPr>
          <w:ilvl w:val="2"/>
          <w:numId w:val="33"/>
        </w:numPr>
        <w:tabs>
          <w:tab w:val="left" w:pos="1370"/>
        </w:tabs>
        <w:ind w:hanging="530"/>
        <w:rPr>
          <w:sz w:val="21"/>
        </w:rPr>
      </w:pPr>
      <w:r>
        <w:rPr>
          <w:spacing w:val="-3"/>
          <w:sz w:val="21"/>
        </w:rPr>
        <w:t>现场指挥子系统的作战指挥功能应符合下列要求：</w:t>
      </w:r>
      <w:r>
        <w:rPr>
          <w:sz w:val="21"/>
        </w:rPr>
        <w:t xml:space="preserve"> </w:t>
      </w:r>
    </w:p>
    <w:p w14:paraId="0AB591CE" w14:textId="77777777" w:rsidR="00A71EEF" w:rsidRDefault="00A71EEF">
      <w:pPr>
        <w:pStyle w:val="a3"/>
        <w:spacing w:before="2"/>
        <w:rPr>
          <w:sz w:val="18"/>
        </w:rPr>
      </w:pPr>
    </w:p>
    <w:p w14:paraId="72A733D8" w14:textId="77777777" w:rsidR="00A71EEF" w:rsidRDefault="0081115D">
      <w:pPr>
        <w:pStyle w:val="a3"/>
        <w:ind w:left="838"/>
      </w:pPr>
      <w:r>
        <w:t>能对灾情作出类型、等级及发展趋势判断；</w:t>
      </w:r>
      <w:r>
        <w:t xml:space="preserve"> </w:t>
      </w:r>
    </w:p>
    <w:p w14:paraId="137CE586" w14:textId="77777777" w:rsidR="00A71EEF" w:rsidRDefault="00A71EEF">
      <w:pPr>
        <w:pStyle w:val="a3"/>
        <w:rPr>
          <w:sz w:val="18"/>
        </w:rPr>
      </w:pPr>
    </w:p>
    <w:p w14:paraId="397E097E" w14:textId="77777777" w:rsidR="00A71EEF" w:rsidRDefault="0081115D">
      <w:pPr>
        <w:pStyle w:val="a3"/>
        <w:spacing w:line="446" w:lineRule="auto"/>
        <w:ind w:left="838" w:right="2134"/>
      </w:pPr>
      <w:r>
        <w:rPr>
          <w:spacing w:val="-3"/>
        </w:rPr>
        <w:t>能依据消防安全重点单位的预案、决策支持数据库，随机编制灭火救援作战方案；</w:t>
      </w:r>
      <w:r>
        <w:rPr>
          <w:spacing w:val="-3"/>
        </w:rPr>
        <w:t xml:space="preserve"> </w:t>
      </w:r>
      <w:r>
        <w:rPr>
          <w:spacing w:val="-3"/>
        </w:rPr>
        <w:t>能以语音、数据及指挥视频形式下达灭火救援行动命令。</w:t>
      </w:r>
      <w:r>
        <w:t xml:space="preserve"> </w:t>
      </w:r>
    </w:p>
    <w:p w14:paraId="333EE903" w14:textId="77777777" w:rsidR="00A71EEF" w:rsidRDefault="0081115D">
      <w:pPr>
        <w:pStyle w:val="a4"/>
        <w:numPr>
          <w:ilvl w:val="2"/>
          <w:numId w:val="33"/>
        </w:numPr>
        <w:tabs>
          <w:tab w:val="left" w:pos="1370"/>
        </w:tabs>
        <w:ind w:hanging="530"/>
        <w:rPr>
          <w:sz w:val="21"/>
        </w:rPr>
      </w:pPr>
      <w:r>
        <w:rPr>
          <w:spacing w:val="-3"/>
          <w:sz w:val="21"/>
        </w:rPr>
        <w:t>现场指挥子系统报送的现场信息应包括下列内容：</w:t>
      </w:r>
      <w:r>
        <w:rPr>
          <w:sz w:val="21"/>
        </w:rPr>
        <w:t xml:space="preserve"> </w:t>
      </w:r>
    </w:p>
    <w:p w14:paraId="0F7DE173" w14:textId="77777777" w:rsidR="00A71EEF" w:rsidRDefault="00A71EEF">
      <w:pPr>
        <w:pStyle w:val="a3"/>
        <w:spacing w:before="12"/>
        <w:rPr>
          <w:sz w:val="17"/>
        </w:rPr>
      </w:pPr>
    </w:p>
    <w:p w14:paraId="6B3EA595" w14:textId="77777777" w:rsidR="00A71EEF" w:rsidRDefault="0081115D">
      <w:pPr>
        <w:pStyle w:val="a3"/>
        <w:ind w:left="838"/>
      </w:pPr>
      <w:r>
        <w:t>火场及其他灾害事故现场态势信息；</w:t>
      </w:r>
      <w:r>
        <w:t xml:space="preserve"> </w:t>
      </w:r>
    </w:p>
    <w:p w14:paraId="5D6336CB" w14:textId="77777777" w:rsidR="00A71EEF" w:rsidRDefault="00A71EEF">
      <w:pPr>
        <w:pStyle w:val="a3"/>
        <w:spacing w:before="12"/>
        <w:rPr>
          <w:sz w:val="17"/>
        </w:rPr>
      </w:pPr>
    </w:p>
    <w:p w14:paraId="4239F8B7" w14:textId="77777777" w:rsidR="00A71EEF" w:rsidRDefault="0081115D">
      <w:pPr>
        <w:pStyle w:val="a3"/>
        <w:spacing w:before="1" w:line="446" w:lineRule="auto"/>
        <w:ind w:left="838" w:right="4446"/>
      </w:pPr>
      <w:r>
        <w:t>现场气象、道路、消防水源、建（构）筑物等环境信息；</w:t>
      </w:r>
      <w:r>
        <w:t xml:space="preserve"> </w:t>
      </w:r>
      <w:r>
        <w:t>现场灭火救援行动信息；</w:t>
      </w:r>
      <w:r>
        <w:t xml:space="preserve"> </w:t>
      </w:r>
    </w:p>
    <w:p w14:paraId="45075EB2" w14:textId="77777777" w:rsidR="00A71EEF" w:rsidRDefault="0081115D">
      <w:pPr>
        <w:pStyle w:val="a3"/>
        <w:ind w:left="838"/>
      </w:pPr>
      <w:r>
        <w:t>现场实况图像信息。</w:t>
      </w:r>
      <w:r>
        <w:t xml:space="preserve"> </w:t>
      </w:r>
    </w:p>
    <w:p w14:paraId="46C8A0D0" w14:textId="77777777" w:rsidR="00A71EEF" w:rsidRDefault="00A71EEF">
      <w:pPr>
        <w:pStyle w:val="a3"/>
        <w:spacing w:before="12"/>
        <w:rPr>
          <w:sz w:val="17"/>
        </w:rPr>
      </w:pPr>
    </w:p>
    <w:p w14:paraId="19CE36B6" w14:textId="77777777" w:rsidR="00A71EEF" w:rsidRDefault="0081115D">
      <w:pPr>
        <w:pStyle w:val="a4"/>
        <w:numPr>
          <w:ilvl w:val="2"/>
          <w:numId w:val="33"/>
        </w:numPr>
        <w:tabs>
          <w:tab w:val="left" w:pos="1371"/>
        </w:tabs>
        <w:spacing w:line="446" w:lineRule="auto"/>
        <w:ind w:left="418" w:right="1433" w:firstLine="422"/>
        <w:rPr>
          <w:sz w:val="21"/>
        </w:rPr>
      </w:pPr>
      <w:r>
        <w:rPr>
          <w:spacing w:val="-6"/>
          <w:sz w:val="21"/>
        </w:rPr>
        <w:t>现场指挥子系统应能实时记录现场指挥通信全过程的文字、语音、图像等信息，并应</w:t>
      </w:r>
      <w:r>
        <w:rPr>
          <w:spacing w:val="-4"/>
          <w:sz w:val="21"/>
        </w:rPr>
        <w:t>存入相应的火灾及其他灾害事故档案中，生成有关的统计报表。</w:t>
      </w:r>
      <w:r>
        <w:rPr>
          <w:sz w:val="21"/>
        </w:rPr>
        <w:t xml:space="preserve"> </w:t>
      </w:r>
    </w:p>
    <w:p w14:paraId="1715B438" w14:textId="77777777" w:rsidR="00A71EEF" w:rsidRDefault="0081115D">
      <w:pPr>
        <w:pStyle w:val="a4"/>
        <w:numPr>
          <w:ilvl w:val="2"/>
          <w:numId w:val="33"/>
        </w:numPr>
        <w:tabs>
          <w:tab w:val="left" w:pos="1371"/>
        </w:tabs>
        <w:ind w:left="1370" w:hanging="531"/>
        <w:rPr>
          <w:sz w:val="21"/>
        </w:rPr>
      </w:pPr>
      <w:r>
        <w:rPr>
          <w:spacing w:val="-6"/>
          <w:sz w:val="21"/>
        </w:rPr>
        <w:t>现场指挥全过程的录音录时功能应符合本规范第</w:t>
      </w:r>
      <w:r>
        <w:rPr>
          <w:spacing w:val="-6"/>
          <w:sz w:val="21"/>
        </w:rPr>
        <w:t xml:space="preserve"> </w:t>
      </w:r>
      <w:r>
        <w:rPr>
          <w:sz w:val="21"/>
        </w:rPr>
        <w:t>5.1.8</w:t>
      </w:r>
      <w:r>
        <w:rPr>
          <w:spacing w:val="-12"/>
          <w:sz w:val="21"/>
        </w:rPr>
        <w:t xml:space="preserve"> </w:t>
      </w:r>
      <w:r>
        <w:rPr>
          <w:spacing w:val="-12"/>
          <w:sz w:val="21"/>
        </w:rPr>
        <w:t>条的规定。</w:t>
      </w:r>
      <w:r>
        <w:rPr>
          <w:sz w:val="21"/>
        </w:rPr>
        <w:t xml:space="preserve"> </w:t>
      </w:r>
    </w:p>
    <w:p w14:paraId="36AF827D" w14:textId="77777777" w:rsidR="00A71EEF" w:rsidRDefault="00A71EEF">
      <w:pPr>
        <w:pStyle w:val="a3"/>
        <w:spacing w:before="12"/>
        <w:rPr>
          <w:sz w:val="17"/>
        </w:rPr>
      </w:pPr>
    </w:p>
    <w:p w14:paraId="062DCD74" w14:textId="77777777" w:rsidR="00A71EEF" w:rsidRDefault="0081115D">
      <w:pPr>
        <w:pStyle w:val="a4"/>
        <w:numPr>
          <w:ilvl w:val="2"/>
          <w:numId w:val="33"/>
        </w:numPr>
        <w:tabs>
          <w:tab w:val="left" w:pos="1371"/>
        </w:tabs>
        <w:ind w:left="1370" w:hanging="531"/>
        <w:rPr>
          <w:sz w:val="21"/>
        </w:rPr>
      </w:pPr>
      <w:r>
        <w:rPr>
          <w:spacing w:val="-3"/>
          <w:sz w:val="21"/>
        </w:rPr>
        <w:t>现场指挥子系统的现场通信组网功能应符合下列要求：</w:t>
      </w:r>
      <w:r>
        <w:rPr>
          <w:sz w:val="21"/>
        </w:rPr>
        <w:t xml:space="preserve"> </w:t>
      </w:r>
    </w:p>
    <w:p w14:paraId="262F9F07" w14:textId="77777777" w:rsidR="00A71EEF" w:rsidRDefault="00A71EEF">
      <w:pPr>
        <w:pStyle w:val="a3"/>
        <w:spacing w:before="2"/>
        <w:rPr>
          <w:sz w:val="18"/>
        </w:rPr>
      </w:pPr>
    </w:p>
    <w:p w14:paraId="0BF498C0" w14:textId="77777777" w:rsidR="00A71EEF" w:rsidRDefault="0081115D">
      <w:pPr>
        <w:pStyle w:val="a3"/>
        <w:ind w:left="838"/>
      </w:pPr>
      <w:r>
        <w:t>能通过外接电话接口或卫星通信链路，在现场开通市话等有线电话；</w:t>
      </w:r>
      <w:r>
        <w:t xml:space="preserve"> </w:t>
      </w:r>
    </w:p>
    <w:p w14:paraId="4194C2FC" w14:textId="77777777" w:rsidR="00A71EEF" w:rsidRDefault="00A71EEF">
      <w:pPr>
        <w:pStyle w:val="a3"/>
        <w:rPr>
          <w:sz w:val="18"/>
        </w:rPr>
      </w:pPr>
    </w:p>
    <w:p w14:paraId="03091119" w14:textId="77777777" w:rsidR="00A71EEF" w:rsidRDefault="0081115D">
      <w:pPr>
        <w:pStyle w:val="a3"/>
        <w:spacing w:line="446" w:lineRule="auto"/>
        <w:ind w:left="838" w:right="2345"/>
      </w:pPr>
      <w:r>
        <w:rPr>
          <w:spacing w:val="-3"/>
        </w:rPr>
        <w:t>可通过车载电话交换机和有线电话通信线路，开通现场有线电话指挥通信网络；</w:t>
      </w:r>
      <w:r>
        <w:rPr>
          <w:spacing w:val="-3"/>
        </w:rPr>
        <w:t xml:space="preserve"> </w:t>
      </w:r>
      <w:r>
        <w:rPr>
          <w:spacing w:val="-3"/>
        </w:rPr>
        <w:t>能接入多种通信系统或设备，进行不同通信网络的语音、数据通信交换；</w:t>
      </w:r>
      <w:r>
        <w:t xml:space="preserve"> </w:t>
      </w:r>
    </w:p>
    <w:p w14:paraId="0DE18D81" w14:textId="77777777" w:rsidR="00A71EEF" w:rsidRDefault="0081115D">
      <w:pPr>
        <w:pStyle w:val="a3"/>
        <w:spacing w:line="446" w:lineRule="auto"/>
        <w:ind w:left="838" w:right="5917"/>
      </w:pPr>
      <w:r>
        <w:t>能通过图像传输设备传输现场实况图像；</w:t>
      </w:r>
      <w:r>
        <w:t xml:space="preserve"> </w:t>
      </w:r>
      <w:r>
        <w:t>具有现场指挥广播扩音功能；</w:t>
      </w:r>
      <w:r>
        <w:t xml:space="preserve"> </w:t>
      </w:r>
    </w:p>
    <w:p w14:paraId="20FE41CB" w14:textId="77777777" w:rsidR="00A71EEF" w:rsidRDefault="0081115D">
      <w:pPr>
        <w:pStyle w:val="a3"/>
        <w:spacing w:line="267" w:lineRule="exact"/>
        <w:ind w:left="838"/>
      </w:pPr>
      <w:r>
        <w:t>现场无线通信组网功能应符合本规范第</w:t>
      </w:r>
      <w:r>
        <w:t xml:space="preserve"> 5.12 </w:t>
      </w:r>
      <w:r>
        <w:t>节的规定；</w:t>
      </w:r>
      <w:r>
        <w:t xml:space="preserve"> </w:t>
      </w:r>
    </w:p>
    <w:p w14:paraId="552ECE81" w14:textId="77777777" w:rsidR="00A71EEF" w:rsidRDefault="00A71EEF">
      <w:pPr>
        <w:pStyle w:val="a3"/>
        <w:spacing w:before="2"/>
        <w:rPr>
          <w:sz w:val="18"/>
        </w:rPr>
      </w:pPr>
    </w:p>
    <w:p w14:paraId="7FB508D2" w14:textId="77777777" w:rsidR="00A71EEF" w:rsidRDefault="0081115D">
      <w:pPr>
        <w:pStyle w:val="a3"/>
        <w:ind w:left="838"/>
      </w:pPr>
      <w:r>
        <w:t>卫星通信组网功能应符合本规范第</w:t>
      </w:r>
      <w:r>
        <w:t xml:space="preserve"> 5.13 </w:t>
      </w:r>
      <w:r>
        <w:t>节的规定。</w:t>
      </w:r>
      <w:r>
        <w:t xml:space="preserve"> </w:t>
      </w:r>
    </w:p>
    <w:p w14:paraId="5F2057F3" w14:textId="77777777" w:rsidR="00A71EEF" w:rsidRDefault="00A71EEF">
      <w:pPr>
        <w:pStyle w:val="a3"/>
        <w:rPr>
          <w:sz w:val="18"/>
        </w:rPr>
      </w:pPr>
    </w:p>
    <w:p w14:paraId="76DAE243" w14:textId="77777777" w:rsidR="00A71EEF" w:rsidRDefault="0081115D">
      <w:pPr>
        <w:pStyle w:val="a4"/>
        <w:numPr>
          <w:ilvl w:val="2"/>
          <w:numId w:val="33"/>
        </w:numPr>
        <w:tabs>
          <w:tab w:val="left" w:pos="1370"/>
        </w:tabs>
        <w:ind w:hanging="530"/>
        <w:rPr>
          <w:sz w:val="21"/>
        </w:rPr>
      </w:pPr>
      <w:r>
        <w:rPr>
          <w:spacing w:val="-3"/>
          <w:sz w:val="21"/>
        </w:rPr>
        <w:t>现场指挥子系统的图像信息应用功能应符合下列要求：</w:t>
      </w:r>
      <w:r>
        <w:rPr>
          <w:sz w:val="21"/>
        </w:rPr>
        <w:t xml:space="preserve"> </w:t>
      </w:r>
    </w:p>
    <w:p w14:paraId="46270E23" w14:textId="77777777" w:rsidR="00A71EEF" w:rsidRDefault="00A71EEF">
      <w:pPr>
        <w:pStyle w:val="a3"/>
        <w:spacing w:before="12"/>
        <w:rPr>
          <w:sz w:val="17"/>
        </w:rPr>
      </w:pPr>
    </w:p>
    <w:p w14:paraId="635640D6" w14:textId="77777777" w:rsidR="00A71EEF" w:rsidRDefault="0081115D">
      <w:pPr>
        <w:pStyle w:val="a3"/>
        <w:ind w:left="838"/>
      </w:pPr>
      <w:r>
        <w:t>能接入消防通信指挥中心传输的消防图像监控信息、公安图像监控信息；</w:t>
      </w:r>
      <w:r>
        <w:t xml:space="preserve"> </w:t>
      </w:r>
    </w:p>
    <w:p w14:paraId="7F022FB3" w14:textId="77777777" w:rsidR="00A71EEF" w:rsidRDefault="00A71EEF">
      <w:pPr>
        <w:pStyle w:val="a3"/>
        <w:spacing w:before="2"/>
        <w:rPr>
          <w:sz w:val="18"/>
        </w:rPr>
      </w:pPr>
    </w:p>
    <w:p w14:paraId="11ECDDB1" w14:textId="77777777" w:rsidR="00A71EEF" w:rsidRDefault="0081115D">
      <w:pPr>
        <w:pStyle w:val="a3"/>
        <w:ind w:left="838"/>
      </w:pPr>
      <w:r>
        <w:t>能召开现场视音频指挥会议，并能参加公安机关、政府相关部门召开的视音频会议；</w:t>
      </w:r>
      <w:r>
        <w:t xml:space="preserve"> </w:t>
      </w:r>
    </w:p>
    <w:p w14:paraId="470185EC" w14:textId="77777777" w:rsidR="00A71EEF" w:rsidRDefault="00A71EEF">
      <w:pPr>
        <w:sectPr w:rsidR="00A71EEF">
          <w:pgSz w:w="11910" w:h="16850"/>
          <w:pgMar w:top="1220" w:right="0" w:bottom="1420" w:left="1260" w:header="0" w:footer="1239" w:gutter="0"/>
          <w:cols w:space="720"/>
        </w:sectPr>
      </w:pPr>
    </w:p>
    <w:p w14:paraId="207B9889" w14:textId="77777777" w:rsidR="00A71EEF" w:rsidRDefault="0081115D">
      <w:pPr>
        <w:pStyle w:val="a3"/>
        <w:spacing w:before="47"/>
        <w:ind w:left="838"/>
      </w:pPr>
      <w:r>
        <w:t>具有现场图像预显、存储、检索、回放等功能。</w:t>
      </w:r>
      <w:r>
        <w:t xml:space="preserve"> </w:t>
      </w:r>
    </w:p>
    <w:p w14:paraId="40978587" w14:textId="77777777" w:rsidR="00A71EEF" w:rsidRDefault="00A71EEF">
      <w:pPr>
        <w:pStyle w:val="a3"/>
        <w:rPr>
          <w:sz w:val="18"/>
        </w:rPr>
      </w:pPr>
    </w:p>
    <w:p w14:paraId="0FEA6A02" w14:textId="77777777" w:rsidR="00A71EEF" w:rsidRDefault="0081115D">
      <w:pPr>
        <w:pStyle w:val="a4"/>
        <w:numPr>
          <w:ilvl w:val="2"/>
          <w:numId w:val="33"/>
        </w:numPr>
        <w:tabs>
          <w:tab w:val="left" w:pos="1478"/>
        </w:tabs>
        <w:ind w:left="1477" w:hanging="638"/>
        <w:rPr>
          <w:sz w:val="21"/>
        </w:rPr>
      </w:pPr>
      <w:r>
        <w:rPr>
          <w:spacing w:val="-3"/>
          <w:sz w:val="21"/>
        </w:rPr>
        <w:t>现场指挥子系统的现场通信控制功能应符合下列要求：</w:t>
      </w:r>
      <w:r>
        <w:rPr>
          <w:sz w:val="21"/>
        </w:rPr>
        <w:t xml:space="preserve"> </w:t>
      </w:r>
    </w:p>
    <w:p w14:paraId="2EF179A9" w14:textId="77777777" w:rsidR="00A71EEF" w:rsidRDefault="00A71EEF">
      <w:pPr>
        <w:pStyle w:val="a3"/>
        <w:rPr>
          <w:sz w:val="18"/>
        </w:rPr>
      </w:pPr>
    </w:p>
    <w:p w14:paraId="00D5254F" w14:textId="77777777" w:rsidR="00A71EEF" w:rsidRDefault="0081115D">
      <w:pPr>
        <w:pStyle w:val="a3"/>
        <w:ind w:left="838"/>
      </w:pPr>
      <w:r>
        <w:t>能显示呼入电话号码；</w:t>
      </w:r>
      <w:r>
        <w:t xml:space="preserve"> </w:t>
      </w:r>
    </w:p>
    <w:p w14:paraId="0C05042B" w14:textId="77777777" w:rsidR="00A71EEF" w:rsidRDefault="00A71EEF">
      <w:pPr>
        <w:pStyle w:val="a3"/>
        <w:spacing w:before="1"/>
        <w:rPr>
          <w:sz w:val="18"/>
        </w:rPr>
      </w:pPr>
    </w:p>
    <w:p w14:paraId="377DAF81" w14:textId="77777777" w:rsidR="00A71EEF" w:rsidRDefault="0081115D">
      <w:pPr>
        <w:pStyle w:val="a3"/>
        <w:spacing w:before="1"/>
        <w:ind w:left="838"/>
      </w:pPr>
      <w:r>
        <w:t>能进行电话呼叫、应答、转接；</w:t>
      </w:r>
      <w:r>
        <w:t xml:space="preserve"> </w:t>
      </w:r>
    </w:p>
    <w:p w14:paraId="6BC2AA96" w14:textId="77777777" w:rsidR="00A71EEF" w:rsidRDefault="00A71EEF">
      <w:pPr>
        <w:pStyle w:val="a3"/>
        <w:spacing w:before="12"/>
        <w:rPr>
          <w:sz w:val="17"/>
        </w:rPr>
      </w:pPr>
    </w:p>
    <w:p w14:paraId="26172000" w14:textId="77777777" w:rsidR="00A71EEF" w:rsidRDefault="0081115D">
      <w:pPr>
        <w:pStyle w:val="a3"/>
        <w:spacing w:line="446" w:lineRule="auto"/>
        <w:ind w:left="418" w:right="1410" w:firstLine="419"/>
      </w:pPr>
      <w:r>
        <w:t>能显示无线通信信道的收发状态及使用单位、工作频率等属性，能显示无线电台用户的通话状态及身份码，具有无线通信信道保护及多种控发方式功能；</w:t>
      </w:r>
      <w:r>
        <w:t xml:space="preserve"> </w:t>
      </w:r>
    </w:p>
    <w:p w14:paraId="60335BDE" w14:textId="77777777" w:rsidR="00A71EEF" w:rsidRDefault="0081115D">
      <w:pPr>
        <w:pStyle w:val="a3"/>
        <w:spacing w:line="446" w:lineRule="auto"/>
        <w:ind w:left="838" w:right="2134"/>
      </w:pPr>
      <w:r>
        <w:rPr>
          <w:spacing w:val="-3"/>
        </w:rPr>
        <w:t>能进行无线电台用户的呼叫、应答、转接，重点用户的呼叫应有明显的声光指示；</w:t>
      </w:r>
      <w:r>
        <w:rPr>
          <w:spacing w:val="-3"/>
        </w:rPr>
        <w:t xml:space="preserve"> </w:t>
      </w:r>
      <w:r>
        <w:rPr>
          <w:spacing w:val="-3"/>
        </w:rPr>
        <w:t>能进行有线、无线会议式指挥通话，具有指挥预案编辑及频率配置等功能；</w:t>
      </w:r>
      <w:r>
        <w:rPr>
          <w:spacing w:val="-3"/>
        </w:rPr>
        <w:t xml:space="preserve"> </w:t>
      </w:r>
    </w:p>
    <w:p w14:paraId="2D583282" w14:textId="77777777" w:rsidR="00A71EEF" w:rsidRDefault="0081115D">
      <w:pPr>
        <w:pStyle w:val="a3"/>
        <w:spacing w:line="446" w:lineRule="auto"/>
        <w:ind w:left="838" w:right="6337"/>
      </w:pPr>
      <w:r>
        <w:rPr>
          <w:spacing w:val="-3"/>
        </w:rPr>
        <w:t>能进行卫星通信链路的建立和撤收；</w:t>
      </w:r>
      <w:r>
        <w:rPr>
          <w:spacing w:val="-3"/>
        </w:rPr>
        <w:t xml:space="preserve"> </w:t>
      </w:r>
      <w:r>
        <w:rPr>
          <w:spacing w:val="-3"/>
        </w:rPr>
        <w:t>能进行现场图文信息的切换显示；</w:t>
      </w:r>
      <w:r>
        <w:rPr>
          <w:spacing w:val="-3"/>
        </w:rPr>
        <w:t xml:space="preserve">  </w:t>
      </w:r>
      <w:r>
        <w:rPr>
          <w:spacing w:val="-3"/>
        </w:rPr>
        <w:t>能进行交互式多媒体作战会议操作；</w:t>
      </w:r>
      <w:r>
        <w:t xml:space="preserve"> </w:t>
      </w:r>
    </w:p>
    <w:p w14:paraId="2B967D6B" w14:textId="77777777" w:rsidR="00A71EEF" w:rsidRDefault="0081115D">
      <w:pPr>
        <w:pStyle w:val="a3"/>
        <w:spacing w:line="446" w:lineRule="auto"/>
        <w:ind w:left="838" w:right="5497"/>
      </w:pPr>
      <w:r>
        <w:t>具有撤退、遇险等紧急呼叫信号的发送功能；</w:t>
      </w:r>
      <w:r>
        <w:t xml:space="preserve"> </w:t>
      </w:r>
      <w:r>
        <w:t>能进行现场指挥广播扩音操作；</w:t>
      </w:r>
      <w:r>
        <w:t xml:space="preserve"> </w:t>
      </w:r>
    </w:p>
    <w:p w14:paraId="475643B1" w14:textId="77777777" w:rsidR="00A71EEF" w:rsidRDefault="0081115D">
      <w:pPr>
        <w:pStyle w:val="a3"/>
        <w:ind w:left="838"/>
      </w:pPr>
      <w:r>
        <w:t>可对各种电气设备进</w:t>
      </w:r>
      <w:r>
        <w:t>行集中控制和监测。</w:t>
      </w:r>
      <w:r>
        <w:t xml:space="preserve"> </w:t>
      </w:r>
    </w:p>
    <w:p w14:paraId="536FC4A0" w14:textId="77777777" w:rsidR="00A71EEF" w:rsidRDefault="00A71EEF">
      <w:pPr>
        <w:pStyle w:val="a3"/>
        <w:spacing w:before="9"/>
        <w:rPr>
          <w:sz w:val="17"/>
        </w:rPr>
      </w:pPr>
    </w:p>
    <w:p w14:paraId="01D71A7A" w14:textId="77777777" w:rsidR="00A71EEF" w:rsidRDefault="0081115D">
      <w:pPr>
        <w:pStyle w:val="a4"/>
        <w:numPr>
          <w:ilvl w:val="2"/>
          <w:numId w:val="33"/>
        </w:numPr>
        <w:tabs>
          <w:tab w:val="left" w:pos="1478"/>
        </w:tabs>
        <w:ind w:left="1477" w:hanging="638"/>
        <w:rPr>
          <w:sz w:val="21"/>
        </w:rPr>
      </w:pPr>
      <w:r>
        <w:rPr>
          <w:spacing w:val="-3"/>
          <w:sz w:val="21"/>
        </w:rPr>
        <w:t>现场指挥终端等设备应具有下列工作界面：</w:t>
      </w:r>
      <w:r>
        <w:rPr>
          <w:sz w:val="21"/>
        </w:rPr>
        <w:t xml:space="preserve"> </w:t>
      </w:r>
    </w:p>
    <w:p w14:paraId="341F6076" w14:textId="77777777" w:rsidR="00A71EEF" w:rsidRDefault="00A71EEF">
      <w:pPr>
        <w:pStyle w:val="a3"/>
        <w:spacing w:before="2"/>
        <w:rPr>
          <w:sz w:val="18"/>
        </w:rPr>
      </w:pPr>
    </w:p>
    <w:p w14:paraId="32C453CE" w14:textId="77777777" w:rsidR="00A71EEF" w:rsidRDefault="0081115D">
      <w:pPr>
        <w:pStyle w:val="a3"/>
        <w:spacing w:line="446" w:lineRule="auto"/>
        <w:ind w:left="838" w:right="3505"/>
      </w:pPr>
      <w:r>
        <w:rPr>
          <w:spacing w:val="-11"/>
        </w:rPr>
        <w:t>本规范第</w:t>
      </w:r>
      <w:r>
        <w:rPr>
          <w:spacing w:val="-11"/>
        </w:rPr>
        <w:t xml:space="preserve"> </w:t>
      </w:r>
      <w:r>
        <w:t>5.3.2</w:t>
      </w:r>
      <w:r>
        <w:rPr>
          <w:spacing w:val="-26"/>
        </w:rPr>
        <w:t xml:space="preserve"> </w:t>
      </w:r>
      <w:r>
        <w:rPr>
          <w:spacing w:val="-26"/>
        </w:rPr>
        <w:t>条</w:t>
      </w:r>
      <w:r>
        <w:rPr>
          <w:spacing w:val="-3"/>
        </w:rPr>
        <w:t>～</w:t>
      </w:r>
      <w:r>
        <w:rPr>
          <w:spacing w:val="-24"/>
        </w:rPr>
        <w:t>第</w:t>
      </w:r>
      <w:r>
        <w:rPr>
          <w:spacing w:val="-24"/>
        </w:rPr>
        <w:t xml:space="preserve"> </w:t>
      </w:r>
      <w:r>
        <w:t>5.3.10</w:t>
      </w:r>
      <w:r>
        <w:rPr>
          <w:spacing w:val="-9"/>
        </w:rPr>
        <w:t xml:space="preserve"> </w:t>
      </w:r>
      <w:r>
        <w:rPr>
          <w:spacing w:val="-9"/>
        </w:rPr>
        <w:t>条规定的信息显示和功能操作窗口；</w:t>
      </w:r>
      <w:r>
        <w:rPr>
          <w:spacing w:val="-9"/>
        </w:rPr>
        <w:t xml:space="preserve"> </w:t>
      </w:r>
      <w:r>
        <w:rPr>
          <w:spacing w:val="-3"/>
        </w:rPr>
        <w:t>消防地理信息显示窗口；</w:t>
      </w:r>
      <w:r>
        <w:t xml:space="preserve"> </w:t>
      </w:r>
    </w:p>
    <w:p w14:paraId="30CFD483" w14:textId="77777777" w:rsidR="00A71EEF" w:rsidRDefault="0081115D">
      <w:pPr>
        <w:pStyle w:val="a3"/>
        <w:spacing w:line="446" w:lineRule="auto"/>
        <w:ind w:left="838" w:right="4964"/>
      </w:pPr>
      <w:r>
        <w:rPr>
          <w:spacing w:val="-3"/>
        </w:rPr>
        <w:t>各种电气设备控制操作和状态监测显示窗口。</w:t>
      </w:r>
      <w:r>
        <w:rPr>
          <w:spacing w:val="-3"/>
        </w:rPr>
        <w:t xml:space="preserve"> </w:t>
      </w:r>
      <w:r>
        <w:rPr>
          <w:b/>
        </w:rPr>
        <w:t>5.3.12</w:t>
      </w:r>
      <w:r>
        <w:rPr>
          <w:b/>
          <w:spacing w:val="10"/>
        </w:rPr>
        <w:t xml:space="preserve"> </w:t>
      </w:r>
      <w:r>
        <w:rPr>
          <w:spacing w:val="-3"/>
        </w:rPr>
        <w:t>便携式消防作战指挥平台应符合下列要求：</w:t>
      </w:r>
      <w:r>
        <w:rPr>
          <w:spacing w:val="-3"/>
        </w:rPr>
        <w:t xml:space="preserve"> </w:t>
      </w:r>
      <w:r>
        <w:rPr>
          <w:spacing w:val="-3"/>
        </w:rPr>
        <w:t>具有位置定位、导航功能；</w:t>
      </w:r>
      <w:r>
        <w:rPr>
          <w:spacing w:val="-3"/>
        </w:rPr>
        <w:t xml:space="preserve"> </w:t>
      </w:r>
    </w:p>
    <w:p w14:paraId="301874CA" w14:textId="77777777" w:rsidR="00A71EEF" w:rsidRDefault="0081115D">
      <w:pPr>
        <w:pStyle w:val="a3"/>
        <w:spacing w:line="268" w:lineRule="exact"/>
        <w:ind w:left="838"/>
      </w:pPr>
      <w:r>
        <w:t>具有现场消防地理信息显示窗口；</w:t>
      </w:r>
      <w:r>
        <w:t xml:space="preserve"> </w:t>
      </w:r>
    </w:p>
    <w:p w14:paraId="354542FF" w14:textId="77777777" w:rsidR="00A71EEF" w:rsidRDefault="00A71EEF">
      <w:pPr>
        <w:pStyle w:val="a3"/>
        <w:spacing w:before="12"/>
        <w:rPr>
          <w:sz w:val="17"/>
        </w:rPr>
      </w:pPr>
    </w:p>
    <w:p w14:paraId="3D2813C4" w14:textId="77777777" w:rsidR="00A71EEF" w:rsidRDefault="0081115D">
      <w:pPr>
        <w:pStyle w:val="a3"/>
        <w:spacing w:line="446" w:lineRule="auto"/>
        <w:ind w:left="838" w:right="3817"/>
      </w:pPr>
      <w:r>
        <w:rPr>
          <w:spacing w:val="-9"/>
        </w:rPr>
        <w:t>具有本规范第</w:t>
      </w:r>
      <w:r>
        <w:rPr>
          <w:spacing w:val="-9"/>
        </w:rPr>
        <w:t xml:space="preserve"> </w:t>
      </w:r>
      <w:r>
        <w:t>5.7.3</w:t>
      </w:r>
      <w:r>
        <w:rPr>
          <w:spacing w:val="-8"/>
        </w:rPr>
        <w:t xml:space="preserve"> </w:t>
      </w:r>
      <w:r>
        <w:rPr>
          <w:spacing w:val="-8"/>
        </w:rPr>
        <w:t>条规定的消防指挥决策支持功能操作窗口；</w:t>
      </w:r>
      <w:r>
        <w:rPr>
          <w:spacing w:val="-8"/>
        </w:rPr>
        <w:t xml:space="preserve"> </w:t>
      </w:r>
      <w:r>
        <w:rPr>
          <w:spacing w:val="-3"/>
        </w:rPr>
        <w:t>具有现场作战指挥信息录入窗口，录入的信息不可更改；</w:t>
      </w:r>
      <w:r>
        <w:t xml:space="preserve"> </w:t>
      </w:r>
    </w:p>
    <w:p w14:paraId="458B2BF5" w14:textId="77777777" w:rsidR="00A71EEF" w:rsidRDefault="0081115D">
      <w:pPr>
        <w:pStyle w:val="a3"/>
        <w:spacing w:line="267" w:lineRule="exact"/>
        <w:ind w:left="838"/>
      </w:pPr>
      <w:r>
        <w:t>具有一键快速进入火灾扑救、抢险救援、信息查询功能窗口；</w:t>
      </w:r>
      <w:r>
        <w:t xml:space="preserve"> </w:t>
      </w:r>
    </w:p>
    <w:p w14:paraId="0722231C" w14:textId="77777777" w:rsidR="00A71EEF" w:rsidRDefault="00A71EEF">
      <w:pPr>
        <w:pStyle w:val="a3"/>
        <w:spacing w:before="2"/>
        <w:rPr>
          <w:sz w:val="18"/>
        </w:rPr>
      </w:pPr>
    </w:p>
    <w:p w14:paraId="43A99920" w14:textId="77777777" w:rsidR="00A71EEF" w:rsidRDefault="0081115D">
      <w:pPr>
        <w:pStyle w:val="a3"/>
        <w:spacing w:line="446" w:lineRule="auto"/>
        <w:ind w:left="418" w:right="1410" w:firstLine="419"/>
      </w:pPr>
      <w:r>
        <w:t>能基于现场消防地理信息、消防水源和灭火救援预案等进行灭火救援作战部署标绘、临机灾害处置方案编制；</w:t>
      </w:r>
      <w:r>
        <w:t xml:space="preserve"> </w:t>
      </w:r>
    </w:p>
    <w:p w14:paraId="5C64440E" w14:textId="77777777" w:rsidR="00A71EEF" w:rsidRDefault="0081115D">
      <w:pPr>
        <w:pStyle w:val="a3"/>
        <w:spacing w:line="446" w:lineRule="auto"/>
        <w:ind w:left="838" w:right="4866"/>
      </w:pPr>
      <w:r>
        <w:t>具有灭火救援数据关联、信息查询、语音提示功能；</w:t>
      </w:r>
      <w:r>
        <w:t xml:space="preserve"> </w:t>
      </w:r>
      <w:r>
        <w:t>能与移动消防指挥中心进行实时数据传输；</w:t>
      </w:r>
      <w:r>
        <w:t xml:space="preserve"> </w:t>
      </w:r>
    </w:p>
    <w:p w14:paraId="0D93A85A" w14:textId="77777777" w:rsidR="00A71EEF" w:rsidRDefault="00A71EEF">
      <w:pPr>
        <w:spacing w:line="446" w:lineRule="auto"/>
        <w:sectPr w:rsidR="00A71EEF">
          <w:pgSz w:w="11910" w:h="16850"/>
          <w:pgMar w:top="1220" w:right="0" w:bottom="1420" w:left="1260" w:header="0" w:footer="1239" w:gutter="0"/>
          <w:cols w:space="720"/>
        </w:sectPr>
      </w:pPr>
    </w:p>
    <w:p w14:paraId="74AE414F" w14:textId="77777777" w:rsidR="00A71EEF" w:rsidRDefault="0081115D">
      <w:pPr>
        <w:pStyle w:val="a3"/>
        <w:spacing w:before="47"/>
        <w:ind w:left="838"/>
      </w:pPr>
      <w:r>
        <w:t>具有测风、测温度、测距离、望远、夜视、扩音、警示等功能。</w:t>
      </w:r>
      <w:r>
        <w:t xml:space="preserve"> </w:t>
      </w:r>
    </w:p>
    <w:p w14:paraId="5C0C71E1" w14:textId="77777777" w:rsidR="00A71EEF" w:rsidRDefault="00A71EEF">
      <w:pPr>
        <w:pStyle w:val="a3"/>
        <w:rPr>
          <w:sz w:val="18"/>
        </w:rPr>
      </w:pPr>
    </w:p>
    <w:p w14:paraId="64799A14" w14:textId="77777777" w:rsidR="00A71EEF" w:rsidRDefault="0081115D">
      <w:pPr>
        <w:pStyle w:val="a4"/>
        <w:numPr>
          <w:ilvl w:val="2"/>
          <w:numId w:val="32"/>
        </w:numPr>
        <w:tabs>
          <w:tab w:val="left" w:pos="1478"/>
        </w:tabs>
        <w:ind w:hanging="638"/>
        <w:rPr>
          <w:sz w:val="21"/>
        </w:rPr>
      </w:pPr>
      <w:r>
        <w:rPr>
          <w:spacing w:val="-6"/>
          <w:sz w:val="21"/>
        </w:rPr>
        <w:t>现场指挥子系统的消防信息显示应符合本规范第</w:t>
      </w:r>
      <w:r>
        <w:rPr>
          <w:spacing w:val="-6"/>
          <w:sz w:val="21"/>
        </w:rPr>
        <w:t xml:space="preserve"> </w:t>
      </w:r>
      <w:r>
        <w:rPr>
          <w:sz w:val="21"/>
        </w:rPr>
        <w:t>5.10</w:t>
      </w:r>
      <w:r>
        <w:rPr>
          <w:spacing w:val="-12"/>
          <w:sz w:val="21"/>
        </w:rPr>
        <w:t xml:space="preserve"> </w:t>
      </w:r>
      <w:r>
        <w:rPr>
          <w:spacing w:val="-12"/>
          <w:sz w:val="21"/>
        </w:rPr>
        <w:t>节的规定。</w:t>
      </w:r>
      <w:r>
        <w:rPr>
          <w:sz w:val="21"/>
        </w:rPr>
        <w:t xml:space="preserve"> </w:t>
      </w:r>
    </w:p>
    <w:p w14:paraId="2818ED33" w14:textId="77777777" w:rsidR="00A71EEF" w:rsidRDefault="00A71EEF">
      <w:pPr>
        <w:pStyle w:val="a3"/>
        <w:rPr>
          <w:sz w:val="18"/>
        </w:rPr>
      </w:pPr>
    </w:p>
    <w:p w14:paraId="5F5081A3" w14:textId="77777777" w:rsidR="00A71EEF" w:rsidRDefault="0081115D">
      <w:pPr>
        <w:pStyle w:val="a4"/>
        <w:numPr>
          <w:ilvl w:val="2"/>
          <w:numId w:val="32"/>
        </w:numPr>
        <w:tabs>
          <w:tab w:val="left" w:pos="1478"/>
        </w:tabs>
        <w:ind w:hanging="638"/>
        <w:rPr>
          <w:sz w:val="18"/>
        </w:rPr>
      </w:pPr>
      <w:r>
        <w:rPr>
          <w:spacing w:val="-3"/>
          <w:sz w:val="21"/>
        </w:rPr>
        <w:t>现场指挥设备的装载体及必要的保障设施应符合国家现行有关标准的规定。</w:t>
      </w:r>
      <w:r>
        <w:rPr>
          <w:spacing w:val="-3"/>
          <w:sz w:val="18"/>
        </w:rPr>
        <w:t xml:space="preserve"> </w:t>
      </w:r>
    </w:p>
    <w:p w14:paraId="2E8A2853" w14:textId="77777777" w:rsidR="00A71EEF" w:rsidRDefault="00A71EEF">
      <w:pPr>
        <w:pStyle w:val="a3"/>
        <w:spacing w:before="1"/>
        <w:rPr>
          <w:sz w:val="18"/>
        </w:rPr>
      </w:pPr>
    </w:p>
    <w:p w14:paraId="0539D764" w14:textId="77777777" w:rsidR="00A71EEF" w:rsidRDefault="0081115D">
      <w:pPr>
        <w:pStyle w:val="a4"/>
        <w:numPr>
          <w:ilvl w:val="1"/>
          <w:numId w:val="37"/>
        </w:numPr>
        <w:tabs>
          <w:tab w:val="left" w:pos="1160"/>
        </w:tabs>
        <w:spacing w:before="1"/>
        <w:ind w:left="1159" w:hanging="320"/>
        <w:rPr>
          <w:sz w:val="21"/>
        </w:rPr>
      </w:pPr>
      <w:r>
        <w:rPr>
          <w:spacing w:val="-3"/>
          <w:sz w:val="21"/>
        </w:rPr>
        <w:t>指挥模拟训练子系统</w:t>
      </w:r>
      <w:r>
        <w:rPr>
          <w:sz w:val="21"/>
        </w:rPr>
        <w:t xml:space="preserve"> </w:t>
      </w:r>
    </w:p>
    <w:p w14:paraId="1708C5A3" w14:textId="77777777" w:rsidR="00A71EEF" w:rsidRDefault="00A71EEF">
      <w:pPr>
        <w:pStyle w:val="a3"/>
        <w:spacing w:before="12"/>
        <w:rPr>
          <w:sz w:val="17"/>
        </w:rPr>
      </w:pPr>
    </w:p>
    <w:p w14:paraId="4692BB6E" w14:textId="77777777" w:rsidR="00A71EEF" w:rsidRDefault="0081115D">
      <w:pPr>
        <w:pStyle w:val="a4"/>
        <w:numPr>
          <w:ilvl w:val="2"/>
          <w:numId w:val="37"/>
        </w:numPr>
        <w:tabs>
          <w:tab w:val="left" w:pos="1371"/>
        </w:tabs>
        <w:ind w:left="1370" w:hanging="531"/>
        <w:rPr>
          <w:sz w:val="21"/>
        </w:rPr>
      </w:pPr>
      <w:r>
        <w:rPr>
          <w:spacing w:val="-3"/>
          <w:sz w:val="21"/>
        </w:rPr>
        <w:t>指挥模拟训练子系统的模拟训练功能应符合下列要求：</w:t>
      </w:r>
      <w:r>
        <w:rPr>
          <w:sz w:val="21"/>
        </w:rPr>
        <w:t xml:space="preserve"> </w:t>
      </w:r>
    </w:p>
    <w:p w14:paraId="062D542A" w14:textId="77777777" w:rsidR="00A71EEF" w:rsidRDefault="00A71EEF">
      <w:pPr>
        <w:pStyle w:val="a3"/>
        <w:spacing w:before="12"/>
        <w:rPr>
          <w:sz w:val="17"/>
        </w:rPr>
      </w:pPr>
    </w:p>
    <w:p w14:paraId="140283A3" w14:textId="77777777" w:rsidR="00A71EEF" w:rsidRDefault="0081115D">
      <w:pPr>
        <w:pStyle w:val="a3"/>
        <w:ind w:left="838"/>
      </w:pPr>
      <w:r>
        <w:t>能根据灭火救援预案进行三维动态仿真演练；</w:t>
      </w:r>
      <w:r>
        <w:t xml:space="preserve"> </w:t>
      </w:r>
    </w:p>
    <w:p w14:paraId="3F80B66B" w14:textId="77777777" w:rsidR="00A71EEF" w:rsidRDefault="00A71EEF">
      <w:pPr>
        <w:pStyle w:val="a3"/>
        <w:spacing w:before="2"/>
        <w:rPr>
          <w:sz w:val="18"/>
        </w:rPr>
      </w:pPr>
    </w:p>
    <w:p w14:paraId="47E2F52C" w14:textId="77777777" w:rsidR="00A71EEF" w:rsidRDefault="0081115D">
      <w:pPr>
        <w:pStyle w:val="a3"/>
        <w:spacing w:line="446" w:lineRule="auto"/>
        <w:ind w:left="838" w:right="2977"/>
      </w:pPr>
      <w:r>
        <w:rPr>
          <w:spacing w:val="-3"/>
        </w:rPr>
        <w:t>能对重特大火灾及灾害事故跨区域作战、多层次现场指挥进行模拟训练；</w:t>
      </w:r>
      <w:r>
        <w:rPr>
          <w:spacing w:val="-3"/>
        </w:rPr>
        <w:t xml:space="preserve"> </w:t>
      </w:r>
      <w:r>
        <w:rPr>
          <w:spacing w:val="-3"/>
        </w:rPr>
        <w:t>能依据灭火救援指挥评价体系，对指挥效果进行三维动态仿真评估。</w:t>
      </w:r>
      <w:r>
        <w:t xml:space="preserve"> </w:t>
      </w:r>
    </w:p>
    <w:p w14:paraId="68E46BB4" w14:textId="77777777" w:rsidR="00A71EEF" w:rsidRDefault="0081115D">
      <w:pPr>
        <w:spacing w:line="267" w:lineRule="exact"/>
        <w:ind w:left="629"/>
        <w:rPr>
          <w:sz w:val="21"/>
        </w:rPr>
      </w:pPr>
      <w:r>
        <w:rPr>
          <w:b/>
          <w:w w:val="99"/>
          <w:sz w:val="21"/>
        </w:rPr>
        <w:t xml:space="preserve">  </w:t>
      </w:r>
      <w:r>
        <w:rPr>
          <w:b/>
          <w:sz w:val="21"/>
        </w:rPr>
        <w:t xml:space="preserve">5.4.2 </w:t>
      </w:r>
      <w:r>
        <w:rPr>
          <w:sz w:val="21"/>
        </w:rPr>
        <w:t>指挥模拟训练子系统的虚拟仿真功能应符合下列要求：</w:t>
      </w:r>
      <w:r>
        <w:rPr>
          <w:sz w:val="21"/>
        </w:rPr>
        <w:t xml:space="preserve"> </w:t>
      </w:r>
    </w:p>
    <w:p w14:paraId="1E04C69D" w14:textId="77777777" w:rsidR="00A71EEF" w:rsidRDefault="00A71EEF">
      <w:pPr>
        <w:pStyle w:val="a3"/>
        <w:spacing w:before="2"/>
        <w:rPr>
          <w:sz w:val="18"/>
        </w:rPr>
      </w:pPr>
    </w:p>
    <w:p w14:paraId="38442FEE" w14:textId="77777777" w:rsidR="00A71EEF" w:rsidRDefault="0081115D">
      <w:pPr>
        <w:pStyle w:val="a3"/>
        <w:spacing w:line="446" w:lineRule="auto"/>
        <w:ind w:left="838" w:right="2134"/>
      </w:pPr>
      <w:r>
        <w:rPr>
          <w:spacing w:val="-3"/>
        </w:rPr>
        <w:t>能建立火灾及灾害事故、灭火救援车辆、人员、装备器材、场景等三维动态模型；</w:t>
      </w:r>
      <w:r>
        <w:rPr>
          <w:spacing w:val="-3"/>
        </w:rPr>
        <w:t xml:space="preserve"> </w:t>
      </w:r>
      <w:r>
        <w:rPr>
          <w:spacing w:val="-3"/>
        </w:rPr>
        <w:t>能将灭火救援二维文字预案转换为三维动态的数</w:t>
      </w:r>
      <w:r>
        <w:rPr>
          <w:spacing w:val="-3"/>
        </w:rPr>
        <w:t>字化预案；</w:t>
      </w:r>
      <w:r>
        <w:t xml:space="preserve"> </w:t>
      </w:r>
    </w:p>
    <w:p w14:paraId="2AEF8E76" w14:textId="77777777" w:rsidR="00A71EEF" w:rsidRDefault="0081115D">
      <w:pPr>
        <w:pStyle w:val="a3"/>
        <w:spacing w:line="267" w:lineRule="exact"/>
        <w:ind w:left="838"/>
        <w:rPr>
          <w:sz w:val="18"/>
        </w:rPr>
      </w:pPr>
      <w:r>
        <w:t>能依据灭火救援指挥方案，编辑设计灭火救援指挥三维动态的数字化预案。</w:t>
      </w:r>
      <w:r>
        <w:rPr>
          <w:sz w:val="18"/>
        </w:rPr>
        <w:t xml:space="preserve"> </w:t>
      </w:r>
    </w:p>
    <w:p w14:paraId="433905E8" w14:textId="77777777" w:rsidR="00A71EEF" w:rsidRDefault="00A71EEF">
      <w:pPr>
        <w:pStyle w:val="a3"/>
        <w:spacing w:before="2"/>
        <w:rPr>
          <w:sz w:val="18"/>
        </w:rPr>
      </w:pPr>
    </w:p>
    <w:p w14:paraId="7DA4623B" w14:textId="77777777" w:rsidR="00A71EEF" w:rsidRDefault="0081115D">
      <w:pPr>
        <w:pStyle w:val="a4"/>
        <w:numPr>
          <w:ilvl w:val="1"/>
          <w:numId w:val="37"/>
        </w:numPr>
        <w:tabs>
          <w:tab w:val="left" w:pos="1160"/>
        </w:tabs>
        <w:ind w:left="1159" w:hanging="320"/>
        <w:rPr>
          <w:b/>
          <w:sz w:val="21"/>
        </w:rPr>
      </w:pPr>
      <w:r>
        <w:rPr>
          <w:spacing w:val="-3"/>
          <w:sz w:val="21"/>
        </w:rPr>
        <w:t>消防图像管理子系统</w:t>
      </w:r>
      <w:r>
        <w:rPr>
          <w:b/>
          <w:w w:val="99"/>
          <w:sz w:val="21"/>
        </w:rPr>
        <w:t xml:space="preserve"> </w:t>
      </w:r>
    </w:p>
    <w:p w14:paraId="2659602E" w14:textId="77777777" w:rsidR="00A71EEF" w:rsidRDefault="00A71EEF">
      <w:pPr>
        <w:pStyle w:val="a3"/>
        <w:rPr>
          <w:b/>
          <w:sz w:val="18"/>
        </w:rPr>
      </w:pPr>
    </w:p>
    <w:p w14:paraId="4DCB8A2B" w14:textId="77777777" w:rsidR="00A71EEF" w:rsidRDefault="0081115D">
      <w:pPr>
        <w:pStyle w:val="a4"/>
        <w:numPr>
          <w:ilvl w:val="2"/>
          <w:numId w:val="37"/>
        </w:numPr>
        <w:tabs>
          <w:tab w:val="left" w:pos="1371"/>
        </w:tabs>
        <w:spacing w:line="446" w:lineRule="auto"/>
        <w:ind w:left="418" w:right="1431" w:firstLine="422"/>
        <w:rPr>
          <w:sz w:val="21"/>
        </w:rPr>
      </w:pPr>
      <w:r>
        <w:rPr>
          <w:spacing w:val="-5"/>
          <w:sz w:val="21"/>
        </w:rPr>
        <w:t>消防图像管理子系统应能接入现场指挥子系统采集、传输的火场及其他灾害事故现场</w:t>
      </w:r>
      <w:r>
        <w:rPr>
          <w:spacing w:val="-4"/>
          <w:sz w:val="21"/>
        </w:rPr>
        <w:t>实况图像信息。</w:t>
      </w:r>
      <w:r>
        <w:rPr>
          <w:sz w:val="21"/>
        </w:rPr>
        <w:t xml:space="preserve"> </w:t>
      </w:r>
    </w:p>
    <w:p w14:paraId="14807C13" w14:textId="77777777" w:rsidR="00A71EEF" w:rsidRDefault="0081115D">
      <w:pPr>
        <w:pStyle w:val="a4"/>
        <w:numPr>
          <w:ilvl w:val="2"/>
          <w:numId w:val="37"/>
        </w:numPr>
        <w:tabs>
          <w:tab w:val="left" w:pos="1371"/>
        </w:tabs>
        <w:spacing w:line="446" w:lineRule="auto"/>
        <w:ind w:left="418" w:right="1431" w:firstLine="422"/>
        <w:rPr>
          <w:sz w:val="21"/>
        </w:rPr>
      </w:pPr>
      <w:r>
        <w:rPr>
          <w:spacing w:val="-5"/>
          <w:sz w:val="21"/>
        </w:rPr>
        <w:t>消防图像管理子系统应能接收在城市消防重点区域、消防重点建</w:t>
      </w:r>
      <w:r>
        <w:rPr>
          <w:sz w:val="21"/>
        </w:rPr>
        <w:t>（</w:t>
      </w:r>
      <w:r>
        <w:rPr>
          <w:spacing w:val="-3"/>
          <w:sz w:val="21"/>
        </w:rPr>
        <w:t>构</w:t>
      </w:r>
      <w:r>
        <w:rPr>
          <w:spacing w:val="-10"/>
          <w:sz w:val="21"/>
        </w:rPr>
        <w:t>）</w:t>
      </w:r>
      <w:r>
        <w:rPr>
          <w:spacing w:val="-4"/>
          <w:sz w:val="21"/>
        </w:rPr>
        <w:t>筑物、消防重</w:t>
      </w:r>
      <w:r>
        <w:rPr>
          <w:spacing w:val="-3"/>
          <w:sz w:val="21"/>
        </w:rPr>
        <w:t>点部位设置的消防监控图像信息采集点采集、传输的实况图像信息。</w:t>
      </w:r>
      <w:r>
        <w:rPr>
          <w:sz w:val="21"/>
        </w:rPr>
        <w:t xml:space="preserve"> </w:t>
      </w:r>
    </w:p>
    <w:p w14:paraId="2024A053" w14:textId="77777777" w:rsidR="00A71EEF" w:rsidRDefault="0081115D">
      <w:pPr>
        <w:pStyle w:val="a4"/>
        <w:numPr>
          <w:ilvl w:val="2"/>
          <w:numId w:val="37"/>
        </w:numPr>
        <w:tabs>
          <w:tab w:val="left" w:pos="1371"/>
        </w:tabs>
        <w:spacing w:line="446" w:lineRule="auto"/>
        <w:ind w:left="418" w:right="1433" w:firstLine="422"/>
        <w:rPr>
          <w:sz w:val="21"/>
        </w:rPr>
      </w:pPr>
      <w:r>
        <w:rPr>
          <w:spacing w:val="-6"/>
          <w:sz w:val="21"/>
        </w:rPr>
        <w:t>消防图像管理子系统应能与公安图像监控系统联网，获取重点区域、重点部位、重点</w:t>
      </w:r>
      <w:r>
        <w:rPr>
          <w:spacing w:val="-4"/>
          <w:sz w:val="21"/>
        </w:rPr>
        <w:t>道路图像信息。</w:t>
      </w:r>
      <w:r>
        <w:rPr>
          <w:sz w:val="21"/>
        </w:rPr>
        <w:t xml:space="preserve"> </w:t>
      </w:r>
    </w:p>
    <w:p w14:paraId="38274534" w14:textId="77777777" w:rsidR="00A71EEF" w:rsidRDefault="0081115D">
      <w:pPr>
        <w:pStyle w:val="a4"/>
        <w:numPr>
          <w:ilvl w:val="2"/>
          <w:numId w:val="37"/>
        </w:numPr>
        <w:tabs>
          <w:tab w:val="left" w:pos="1371"/>
        </w:tabs>
        <w:spacing w:line="446" w:lineRule="auto"/>
        <w:ind w:left="418" w:right="1431" w:firstLine="422"/>
        <w:rPr>
          <w:sz w:val="21"/>
        </w:rPr>
      </w:pPr>
      <w:r>
        <w:rPr>
          <w:spacing w:val="-4"/>
          <w:sz w:val="21"/>
        </w:rPr>
        <w:t>消防图像管理子系统应能接收在辖区消防站设置的远程监控图像信息采集点采集、传</w:t>
      </w:r>
      <w:r>
        <w:rPr>
          <w:spacing w:val="-3"/>
          <w:sz w:val="21"/>
        </w:rPr>
        <w:t>输的执勤备战、接警和火警出动等实况图像信息。</w:t>
      </w:r>
      <w:r>
        <w:rPr>
          <w:sz w:val="21"/>
        </w:rPr>
        <w:t xml:space="preserve"> </w:t>
      </w:r>
    </w:p>
    <w:p w14:paraId="5596A671" w14:textId="77777777" w:rsidR="00A71EEF" w:rsidRDefault="0081115D">
      <w:pPr>
        <w:pStyle w:val="a4"/>
        <w:numPr>
          <w:ilvl w:val="2"/>
          <w:numId w:val="37"/>
        </w:numPr>
        <w:tabs>
          <w:tab w:val="left" w:pos="1371"/>
        </w:tabs>
        <w:ind w:left="1370" w:hanging="531"/>
        <w:rPr>
          <w:sz w:val="21"/>
        </w:rPr>
      </w:pPr>
      <w:r>
        <w:rPr>
          <w:spacing w:val="-3"/>
          <w:sz w:val="21"/>
        </w:rPr>
        <w:t>消防图像管理子系统应能接收消防车辆实时上传的实况图像信息。</w:t>
      </w:r>
      <w:r>
        <w:rPr>
          <w:sz w:val="21"/>
        </w:rPr>
        <w:t xml:space="preserve"> </w:t>
      </w:r>
    </w:p>
    <w:p w14:paraId="0F7C32FE" w14:textId="77777777" w:rsidR="00A71EEF" w:rsidRDefault="00A71EEF">
      <w:pPr>
        <w:pStyle w:val="a3"/>
        <w:spacing w:before="10"/>
        <w:rPr>
          <w:sz w:val="17"/>
        </w:rPr>
      </w:pPr>
    </w:p>
    <w:p w14:paraId="2ABCEA01" w14:textId="77777777" w:rsidR="00A71EEF" w:rsidRDefault="0081115D">
      <w:pPr>
        <w:pStyle w:val="a4"/>
        <w:numPr>
          <w:ilvl w:val="2"/>
          <w:numId w:val="37"/>
        </w:numPr>
        <w:tabs>
          <w:tab w:val="left" w:pos="1370"/>
        </w:tabs>
        <w:spacing w:line="446" w:lineRule="auto"/>
        <w:ind w:left="418" w:right="1431" w:firstLine="422"/>
        <w:rPr>
          <w:sz w:val="21"/>
        </w:rPr>
      </w:pPr>
      <w:r>
        <w:rPr>
          <w:spacing w:val="-5"/>
          <w:sz w:val="21"/>
        </w:rPr>
        <w:t>消防图像管理子系统应能接入消防指挥视音频会议，并应能参加公安机关、政府相关</w:t>
      </w:r>
      <w:r>
        <w:rPr>
          <w:spacing w:val="-4"/>
          <w:sz w:val="21"/>
        </w:rPr>
        <w:t>部门召开的视音频会议。</w:t>
      </w:r>
      <w:r>
        <w:rPr>
          <w:sz w:val="21"/>
        </w:rPr>
        <w:t xml:space="preserve"> </w:t>
      </w:r>
    </w:p>
    <w:p w14:paraId="2C69F6E4" w14:textId="77777777" w:rsidR="00A71EEF" w:rsidRDefault="0081115D">
      <w:pPr>
        <w:pStyle w:val="a4"/>
        <w:numPr>
          <w:ilvl w:val="2"/>
          <w:numId w:val="37"/>
        </w:numPr>
        <w:tabs>
          <w:tab w:val="left" w:pos="1371"/>
        </w:tabs>
        <w:ind w:left="1370" w:hanging="531"/>
        <w:rPr>
          <w:sz w:val="21"/>
        </w:rPr>
      </w:pPr>
      <w:r>
        <w:rPr>
          <w:spacing w:val="-3"/>
          <w:sz w:val="21"/>
        </w:rPr>
        <w:t>消防图像管理子系统应能集中管理和按权限调配控制各类图像信息资源。</w:t>
      </w:r>
      <w:r>
        <w:rPr>
          <w:spacing w:val="-3"/>
          <w:sz w:val="21"/>
        </w:rPr>
        <w:t xml:space="preserve"> </w:t>
      </w:r>
    </w:p>
    <w:p w14:paraId="78314A16" w14:textId="77777777" w:rsidR="00A71EEF" w:rsidRDefault="00A71EEF">
      <w:pPr>
        <w:pStyle w:val="a3"/>
        <w:rPr>
          <w:sz w:val="18"/>
        </w:rPr>
      </w:pPr>
    </w:p>
    <w:p w14:paraId="15F43637" w14:textId="77777777" w:rsidR="00A71EEF" w:rsidRDefault="0081115D">
      <w:pPr>
        <w:pStyle w:val="a4"/>
        <w:numPr>
          <w:ilvl w:val="2"/>
          <w:numId w:val="37"/>
        </w:numPr>
        <w:tabs>
          <w:tab w:val="left" w:pos="1371"/>
        </w:tabs>
        <w:ind w:left="1370" w:hanging="531"/>
        <w:rPr>
          <w:sz w:val="18"/>
        </w:rPr>
      </w:pPr>
      <w:r>
        <w:rPr>
          <w:spacing w:val="-3"/>
          <w:sz w:val="21"/>
        </w:rPr>
        <w:t>消防图像管理子系统应能对各类图像信息进行存储和检索回放。</w:t>
      </w:r>
      <w:r>
        <w:rPr>
          <w:sz w:val="18"/>
        </w:rPr>
        <w:t xml:space="preserve"> </w:t>
      </w:r>
    </w:p>
    <w:p w14:paraId="54D09826" w14:textId="77777777" w:rsidR="00A71EEF" w:rsidRDefault="00A71EEF">
      <w:pPr>
        <w:pStyle w:val="a3"/>
        <w:spacing w:before="12"/>
        <w:rPr>
          <w:sz w:val="17"/>
        </w:rPr>
      </w:pPr>
    </w:p>
    <w:p w14:paraId="6169BE2C" w14:textId="77777777" w:rsidR="00A71EEF" w:rsidRDefault="0081115D">
      <w:pPr>
        <w:pStyle w:val="a4"/>
        <w:numPr>
          <w:ilvl w:val="1"/>
          <w:numId w:val="37"/>
        </w:numPr>
        <w:tabs>
          <w:tab w:val="left" w:pos="1159"/>
        </w:tabs>
        <w:ind w:hanging="319"/>
        <w:rPr>
          <w:b/>
          <w:sz w:val="21"/>
        </w:rPr>
      </w:pPr>
      <w:r>
        <w:rPr>
          <w:spacing w:val="-3"/>
          <w:sz w:val="21"/>
        </w:rPr>
        <w:t>消防车辆管理子系统</w:t>
      </w:r>
      <w:r>
        <w:rPr>
          <w:b/>
          <w:w w:val="99"/>
          <w:sz w:val="21"/>
        </w:rPr>
        <w:t xml:space="preserve"> </w:t>
      </w:r>
    </w:p>
    <w:p w14:paraId="30B18C0E" w14:textId="77777777" w:rsidR="00A71EEF" w:rsidRDefault="00A71EEF">
      <w:pPr>
        <w:pStyle w:val="a3"/>
        <w:spacing w:before="2"/>
        <w:rPr>
          <w:b/>
          <w:sz w:val="18"/>
        </w:rPr>
      </w:pPr>
    </w:p>
    <w:p w14:paraId="2656C868" w14:textId="77777777" w:rsidR="00A71EEF" w:rsidRDefault="0081115D">
      <w:pPr>
        <w:pStyle w:val="a4"/>
        <w:numPr>
          <w:ilvl w:val="2"/>
          <w:numId w:val="37"/>
        </w:numPr>
        <w:tabs>
          <w:tab w:val="left" w:pos="1370"/>
        </w:tabs>
        <w:ind w:hanging="530"/>
        <w:rPr>
          <w:sz w:val="21"/>
        </w:rPr>
      </w:pPr>
      <w:r>
        <w:rPr>
          <w:spacing w:val="-3"/>
          <w:sz w:val="21"/>
        </w:rPr>
        <w:t>消防车辆管理子系统的车辆监控功能应符合下列要求：</w:t>
      </w:r>
      <w:r>
        <w:rPr>
          <w:sz w:val="21"/>
        </w:rPr>
        <w:t xml:space="preserve"> </w:t>
      </w:r>
    </w:p>
    <w:p w14:paraId="6A531705" w14:textId="77777777" w:rsidR="00A71EEF" w:rsidRDefault="00A71EEF">
      <w:pPr>
        <w:rPr>
          <w:sz w:val="21"/>
        </w:rPr>
        <w:sectPr w:rsidR="00A71EEF">
          <w:pgSz w:w="11910" w:h="16850"/>
          <w:pgMar w:top="1220" w:right="0" w:bottom="1420" w:left="1260" w:header="0" w:footer="1239" w:gutter="0"/>
          <w:cols w:space="720"/>
        </w:sectPr>
      </w:pPr>
    </w:p>
    <w:p w14:paraId="10A70179" w14:textId="77777777" w:rsidR="00A71EEF" w:rsidRDefault="0081115D">
      <w:pPr>
        <w:pStyle w:val="a3"/>
        <w:spacing w:before="47" w:line="446" w:lineRule="auto"/>
        <w:ind w:left="418" w:right="1431" w:firstLine="419"/>
      </w:pPr>
      <w:r>
        <w:rPr>
          <w:spacing w:val="-5"/>
        </w:rPr>
        <w:t>能接收并显示车载终端发送的消防车辆位置、运行</w:t>
      </w:r>
      <w:r>
        <w:t>（</w:t>
      </w:r>
      <w:r>
        <w:rPr>
          <w:spacing w:val="-7"/>
        </w:rPr>
        <w:t>速度、行驶方向</w:t>
      </w:r>
      <w:r>
        <w:rPr>
          <w:spacing w:val="-108"/>
        </w:rPr>
        <w:t>）</w:t>
      </w:r>
      <w:r>
        <w:rPr>
          <w:spacing w:val="-9"/>
        </w:rPr>
        <w:t>、底盘、上装、车载器</w:t>
      </w:r>
      <w:r>
        <w:rPr>
          <w:spacing w:val="-5"/>
        </w:rPr>
        <w:t>材、视音频、大气环境等实时状态信息；</w:t>
      </w:r>
      <w:r>
        <w:t xml:space="preserve"> </w:t>
      </w:r>
    </w:p>
    <w:p w14:paraId="71F02C96" w14:textId="77777777" w:rsidR="00A71EEF" w:rsidRDefault="0081115D">
      <w:pPr>
        <w:pStyle w:val="a3"/>
        <w:spacing w:line="446" w:lineRule="auto"/>
        <w:ind w:left="838" w:right="4657"/>
      </w:pPr>
      <w:r>
        <w:t>能显示消防车辆动态轨迹，并具有历史轨迹回放功能；</w:t>
      </w:r>
      <w:r>
        <w:t xml:space="preserve"> </w:t>
      </w:r>
      <w:r>
        <w:t>具有分级、分区域和特定消防车辆监控管理功能。</w:t>
      </w:r>
      <w:r>
        <w:t xml:space="preserve"> </w:t>
      </w:r>
    </w:p>
    <w:p w14:paraId="25EB6816" w14:textId="77777777" w:rsidR="00A71EEF" w:rsidRDefault="0081115D">
      <w:pPr>
        <w:pStyle w:val="a4"/>
        <w:numPr>
          <w:ilvl w:val="2"/>
          <w:numId w:val="37"/>
        </w:numPr>
        <w:tabs>
          <w:tab w:val="left" w:pos="1370"/>
        </w:tabs>
        <w:ind w:hanging="530"/>
        <w:rPr>
          <w:sz w:val="21"/>
        </w:rPr>
      </w:pPr>
      <w:r>
        <w:rPr>
          <w:spacing w:val="-3"/>
          <w:sz w:val="21"/>
        </w:rPr>
        <w:t>消防车辆管理子系统的灭火救援信息传输功能应符合下列要求：</w:t>
      </w:r>
      <w:r>
        <w:rPr>
          <w:sz w:val="21"/>
        </w:rPr>
        <w:t xml:space="preserve"> </w:t>
      </w:r>
    </w:p>
    <w:p w14:paraId="5304D58E" w14:textId="77777777" w:rsidR="00A71EEF" w:rsidRDefault="00A71EEF">
      <w:pPr>
        <w:pStyle w:val="a3"/>
        <w:spacing w:before="10"/>
        <w:rPr>
          <w:sz w:val="17"/>
        </w:rPr>
      </w:pPr>
    </w:p>
    <w:p w14:paraId="7B817FF3" w14:textId="77777777" w:rsidR="00A71EEF" w:rsidRDefault="0081115D">
      <w:pPr>
        <w:pStyle w:val="a3"/>
        <w:spacing w:line="446" w:lineRule="auto"/>
        <w:ind w:left="418" w:right="1333" w:firstLine="419"/>
      </w:pPr>
      <w:r>
        <w:t>能接收并显示车载终端发送的待命、出动、途中、到场、出水、运水、停水、返队、执勤、检修等作战状态；</w:t>
      </w:r>
      <w:r>
        <w:t xml:space="preserve"> </w:t>
      </w:r>
    </w:p>
    <w:p w14:paraId="3216858A" w14:textId="77777777" w:rsidR="00A71EEF" w:rsidRDefault="0081115D">
      <w:pPr>
        <w:pStyle w:val="a3"/>
        <w:spacing w:before="1"/>
        <w:ind w:left="838"/>
      </w:pPr>
      <w:r>
        <w:t>能向车载终端发送出动指令、行进目的地、行车</w:t>
      </w:r>
      <w:r>
        <w:t>路线；</w:t>
      </w:r>
      <w:r>
        <w:t xml:space="preserve"> </w:t>
      </w:r>
    </w:p>
    <w:p w14:paraId="250DC724" w14:textId="77777777" w:rsidR="00A71EEF" w:rsidRDefault="00A71EEF">
      <w:pPr>
        <w:pStyle w:val="a3"/>
        <w:spacing w:before="12"/>
        <w:rPr>
          <w:sz w:val="17"/>
        </w:rPr>
      </w:pPr>
    </w:p>
    <w:p w14:paraId="1C9D78E9" w14:textId="77777777" w:rsidR="00A71EEF" w:rsidRDefault="0081115D">
      <w:pPr>
        <w:pStyle w:val="a3"/>
        <w:spacing w:line="446" w:lineRule="auto"/>
        <w:ind w:left="838" w:right="3397"/>
      </w:pPr>
      <w:r>
        <w:rPr>
          <w:spacing w:val="-3"/>
        </w:rPr>
        <w:t>能向车载终端发送与灭火救援有关的简要文字信息，并能实现群发；</w:t>
      </w:r>
      <w:r>
        <w:rPr>
          <w:spacing w:val="-3"/>
        </w:rPr>
        <w:t xml:space="preserve"> </w:t>
      </w:r>
      <w:r>
        <w:rPr>
          <w:spacing w:val="-3"/>
        </w:rPr>
        <w:t>能接收并显示车载终端发送的与灭火救援有关的简要文字信息。</w:t>
      </w:r>
      <w:r>
        <w:rPr>
          <w:spacing w:val="-3"/>
        </w:rPr>
        <w:t xml:space="preserve"> </w:t>
      </w:r>
      <w:r>
        <w:rPr>
          <w:b/>
        </w:rPr>
        <w:t>5.6.3</w:t>
      </w:r>
      <w:r>
        <w:rPr>
          <w:b/>
          <w:spacing w:val="3"/>
        </w:rPr>
        <w:t xml:space="preserve"> </w:t>
      </w:r>
      <w:r>
        <w:rPr>
          <w:spacing w:val="-3"/>
        </w:rPr>
        <w:t>消防车辆管理子系统的车载终端应符合下列要求：</w:t>
      </w:r>
      <w:r>
        <w:t xml:space="preserve"> </w:t>
      </w:r>
    </w:p>
    <w:p w14:paraId="60344B66" w14:textId="77777777" w:rsidR="00A71EEF" w:rsidRDefault="0081115D">
      <w:pPr>
        <w:pStyle w:val="a3"/>
        <w:spacing w:line="268" w:lineRule="exact"/>
        <w:ind w:left="838"/>
      </w:pPr>
      <w:r>
        <w:t>能定位本车的位置；</w:t>
      </w:r>
      <w:r>
        <w:t xml:space="preserve"> </w:t>
      </w:r>
    </w:p>
    <w:p w14:paraId="513D7034" w14:textId="77777777" w:rsidR="00A71EEF" w:rsidRDefault="00A71EEF">
      <w:pPr>
        <w:pStyle w:val="a3"/>
        <w:spacing w:before="2"/>
        <w:rPr>
          <w:sz w:val="18"/>
        </w:rPr>
      </w:pPr>
    </w:p>
    <w:p w14:paraId="3D06672A" w14:textId="77777777" w:rsidR="00A71EEF" w:rsidRDefault="0081115D">
      <w:pPr>
        <w:pStyle w:val="a3"/>
        <w:spacing w:line="446" w:lineRule="auto"/>
        <w:ind w:left="418" w:right="1434" w:firstLine="419"/>
      </w:pPr>
      <w:r>
        <w:rPr>
          <w:spacing w:val="-7"/>
        </w:rPr>
        <w:t>能将本车位置、运行、底盘、上装、车载器材、视音频、大气环境等信息实时发送给消防通</w:t>
      </w:r>
      <w:r>
        <w:rPr>
          <w:spacing w:val="-5"/>
        </w:rPr>
        <w:t>信指挥中心；</w:t>
      </w:r>
      <w:r>
        <w:t xml:space="preserve"> </w:t>
      </w:r>
    </w:p>
    <w:p w14:paraId="39B07BCB" w14:textId="77777777" w:rsidR="00A71EEF" w:rsidRDefault="0081115D">
      <w:pPr>
        <w:pStyle w:val="a3"/>
        <w:spacing w:line="446" w:lineRule="auto"/>
        <w:ind w:left="418" w:right="1410" w:firstLine="419"/>
      </w:pPr>
      <w:r>
        <w:t>能将本车待命、出动、途中、到场、出水、运水、停水、返队、执勤、检修等作战状态等信息实时发送给消防通信指挥中心；</w:t>
      </w:r>
      <w:r>
        <w:t xml:space="preserve"> </w:t>
      </w:r>
    </w:p>
    <w:p w14:paraId="4289E3CD" w14:textId="77777777" w:rsidR="00A71EEF" w:rsidRDefault="0081115D">
      <w:pPr>
        <w:pStyle w:val="a3"/>
        <w:spacing w:line="446" w:lineRule="auto"/>
        <w:ind w:left="838" w:right="1714"/>
      </w:pPr>
      <w:r>
        <w:rPr>
          <w:spacing w:val="-3"/>
        </w:rPr>
        <w:t>能接收、显示或语音播报消防通信指挥中心发送的出动指令、行进目的地、行车路线；</w:t>
      </w:r>
      <w:r>
        <w:rPr>
          <w:spacing w:val="-3"/>
        </w:rPr>
        <w:t xml:space="preserve"> </w:t>
      </w:r>
      <w:r>
        <w:rPr>
          <w:spacing w:val="-3"/>
        </w:rPr>
        <w:t>能接收、显示或语音播报消防通信指挥中心发送的与灭火救援有关的简要信息；</w:t>
      </w:r>
      <w:r>
        <w:rPr>
          <w:spacing w:val="-3"/>
        </w:rPr>
        <w:t xml:space="preserve"> </w:t>
      </w:r>
    </w:p>
    <w:p w14:paraId="3EF50D22" w14:textId="77777777" w:rsidR="00A71EEF" w:rsidRDefault="0081115D">
      <w:pPr>
        <w:pStyle w:val="a3"/>
        <w:spacing w:line="446" w:lineRule="auto"/>
        <w:ind w:left="838" w:right="4026"/>
        <w:jc w:val="both"/>
      </w:pPr>
      <w:r>
        <w:t>能向消防通信指挥中心发送与灭火救援有关的简要文字信息；</w:t>
      </w:r>
      <w:r>
        <w:t xml:space="preserve"> </w:t>
      </w:r>
      <w:r>
        <w:t>能查询显示常用目的地、重点目标以及水源分布等地理信息；</w:t>
      </w:r>
      <w:r>
        <w:t xml:space="preserve"> </w:t>
      </w:r>
      <w:r>
        <w:t>能人工设定或接收消防通信指挥中心发送的行车目的地；</w:t>
      </w:r>
      <w:r>
        <w:t xml:space="preserve"> </w:t>
      </w:r>
    </w:p>
    <w:p w14:paraId="5A05AD23" w14:textId="77777777" w:rsidR="00A71EEF" w:rsidRDefault="0081115D">
      <w:pPr>
        <w:pStyle w:val="a3"/>
        <w:spacing w:line="446" w:lineRule="auto"/>
        <w:ind w:left="838" w:right="5497"/>
      </w:pPr>
      <w:r>
        <w:t>能自动生成行车路线，显示行车距离和时间；</w:t>
      </w:r>
      <w:r>
        <w:t xml:space="preserve"> </w:t>
      </w:r>
      <w:r>
        <w:t>具有语音提示引导车辆行进功能；</w:t>
      </w:r>
      <w:r>
        <w:t xml:space="preserve"> </w:t>
      </w:r>
    </w:p>
    <w:p w14:paraId="26D0051D" w14:textId="77777777" w:rsidR="00A71EEF" w:rsidRDefault="0081115D">
      <w:pPr>
        <w:pStyle w:val="a3"/>
        <w:spacing w:line="267" w:lineRule="exact"/>
        <w:ind w:left="838"/>
      </w:pPr>
      <w:r>
        <w:t>偏离</w:t>
      </w:r>
      <w:r>
        <w:t>导航路线时能自动重新计算行进路线。</w:t>
      </w:r>
      <w:r>
        <w:t xml:space="preserve"> </w:t>
      </w:r>
    </w:p>
    <w:p w14:paraId="1560E482" w14:textId="77777777" w:rsidR="00A71EEF" w:rsidRDefault="00A71EEF">
      <w:pPr>
        <w:pStyle w:val="a3"/>
        <w:spacing w:before="12"/>
        <w:rPr>
          <w:sz w:val="17"/>
        </w:rPr>
      </w:pPr>
    </w:p>
    <w:p w14:paraId="412B00D4" w14:textId="77777777" w:rsidR="00A71EEF" w:rsidRDefault="0081115D">
      <w:pPr>
        <w:ind w:left="840"/>
        <w:rPr>
          <w:sz w:val="21"/>
        </w:rPr>
      </w:pPr>
      <w:r>
        <w:rPr>
          <w:b/>
          <w:sz w:val="21"/>
        </w:rPr>
        <w:t xml:space="preserve">5.6.4 </w:t>
      </w:r>
      <w:r>
        <w:rPr>
          <w:sz w:val="21"/>
        </w:rPr>
        <w:t>消防车辆管理子系统的性能应符合下列要求：</w:t>
      </w:r>
      <w:r>
        <w:rPr>
          <w:sz w:val="21"/>
        </w:rPr>
        <w:t xml:space="preserve"> </w:t>
      </w:r>
    </w:p>
    <w:p w14:paraId="29CBA84C" w14:textId="77777777" w:rsidR="00A71EEF" w:rsidRDefault="00A71EEF">
      <w:pPr>
        <w:pStyle w:val="a3"/>
        <w:spacing w:before="12"/>
        <w:rPr>
          <w:sz w:val="17"/>
        </w:rPr>
      </w:pPr>
    </w:p>
    <w:p w14:paraId="050438F0" w14:textId="77777777" w:rsidR="00A71EEF" w:rsidRDefault="0081115D">
      <w:pPr>
        <w:pStyle w:val="a3"/>
        <w:spacing w:line="446" w:lineRule="auto"/>
        <w:ind w:left="838" w:right="6023"/>
      </w:pPr>
      <w:r>
        <w:t>消防车辆定位允许水平偏差应为</w:t>
      </w:r>
      <w:r>
        <w:t>±15m</w:t>
      </w:r>
      <w:r>
        <w:t>；</w:t>
      </w:r>
      <w:r>
        <w:t xml:space="preserve"> </w:t>
      </w:r>
      <w:r>
        <w:t>车载终端系统启动时间不应大于</w:t>
      </w:r>
      <w:r>
        <w:t xml:space="preserve"> 90s</w:t>
      </w:r>
      <w:r>
        <w:t>；</w:t>
      </w:r>
      <w:r>
        <w:t xml:space="preserve"> </w:t>
      </w:r>
    </w:p>
    <w:p w14:paraId="0E09140D" w14:textId="77777777" w:rsidR="00A71EEF" w:rsidRDefault="0081115D">
      <w:pPr>
        <w:pStyle w:val="a3"/>
        <w:ind w:left="838"/>
      </w:pPr>
      <w:r>
        <w:t>车载终端定位功能启动时间不应大于</w:t>
      </w:r>
      <w:r>
        <w:t xml:space="preserve"> 180s</w:t>
      </w:r>
      <w:r>
        <w:t>；</w:t>
      </w:r>
      <w:r>
        <w:t xml:space="preserve"> </w:t>
      </w:r>
    </w:p>
    <w:p w14:paraId="0D52E76E" w14:textId="77777777" w:rsidR="00A71EEF" w:rsidRDefault="00A71EEF">
      <w:pPr>
        <w:sectPr w:rsidR="00A71EEF">
          <w:footerReference w:type="default" r:id="rId590"/>
          <w:pgSz w:w="11910" w:h="16850"/>
          <w:pgMar w:top="1220" w:right="0" w:bottom="1420" w:left="1260" w:header="0" w:footer="1239" w:gutter="0"/>
          <w:pgNumType w:start="1650"/>
          <w:cols w:space="720"/>
        </w:sectPr>
      </w:pPr>
    </w:p>
    <w:p w14:paraId="40851CFC" w14:textId="77777777" w:rsidR="00A71EEF" w:rsidRDefault="0081115D">
      <w:pPr>
        <w:pStyle w:val="a3"/>
        <w:spacing w:before="47"/>
        <w:ind w:left="838"/>
        <w:rPr>
          <w:sz w:val="18"/>
        </w:rPr>
      </w:pPr>
      <w:r>
        <w:t>应能同时监控不少于</w:t>
      </w:r>
      <w:r>
        <w:t xml:space="preserve"> 2 </w:t>
      </w:r>
      <w:r>
        <w:t>个灭火救援现场的消防车辆位置、状态。</w:t>
      </w:r>
      <w:r>
        <w:rPr>
          <w:sz w:val="18"/>
        </w:rPr>
        <w:t xml:space="preserve"> </w:t>
      </w:r>
    </w:p>
    <w:p w14:paraId="4DB5C7F6" w14:textId="77777777" w:rsidR="00A71EEF" w:rsidRDefault="00A71EEF">
      <w:pPr>
        <w:pStyle w:val="a3"/>
        <w:rPr>
          <w:sz w:val="18"/>
        </w:rPr>
      </w:pPr>
    </w:p>
    <w:p w14:paraId="51C50F18" w14:textId="77777777" w:rsidR="00A71EEF" w:rsidRDefault="0081115D">
      <w:pPr>
        <w:pStyle w:val="a4"/>
        <w:numPr>
          <w:ilvl w:val="1"/>
          <w:numId w:val="37"/>
        </w:numPr>
        <w:tabs>
          <w:tab w:val="left" w:pos="1159"/>
        </w:tabs>
        <w:ind w:hanging="319"/>
        <w:rPr>
          <w:sz w:val="21"/>
        </w:rPr>
      </w:pPr>
      <w:r>
        <w:rPr>
          <w:spacing w:val="-3"/>
          <w:sz w:val="21"/>
        </w:rPr>
        <w:t>消防指挥决策支持子系统</w:t>
      </w:r>
      <w:r>
        <w:rPr>
          <w:sz w:val="21"/>
        </w:rPr>
        <w:t xml:space="preserve"> </w:t>
      </w:r>
    </w:p>
    <w:p w14:paraId="0FE0E6AF" w14:textId="77777777" w:rsidR="00A71EEF" w:rsidRDefault="00A71EEF">
      <w:pPr>
        <w:pStyle w:val="a3"/>
        <w:rPr>
          <w:sz w:val="18"/>
        </w:rPr>
      </w:pPr>
    </w:p>
    <w:p w14:paraId="41FE8EAE" w14:textId="77777777" w:rsidR="00A71EEF" w:rsidRDefault="0081115D">
      <w:pPr>
        <w:pStyle w:val="a4"/>
        <w:numPr>
          <w:ilvl w:val="2"/>
          <w:numId w:val="37"/>
        </w:numPr>
        <w:tabs>
          <w:tab w:val="left" w:pos="1367"/>
        </w:tabs>
        <w:ind w:left="1367"/>
        <w:rPr>
          <w:sz w:val="21"/>
        </w:rPr>
      </w:pPr>
      <w:r>
        <w:rPr>
          <w:spacing w:val="-6"/>
          <w:sz w:val="21"/>
        </w:rPr>
        <w:t>消防指挥决策支持子系统应能检索查询本规范第</w:t>
      </w:r>
      <w:r>
        <w:rPr>
          <w:spacing w:val="-6"/>
          <w:sz w:val="21"/>
        </w:rPr>
        <w:t xml:space="preserve"> </w:t>
      </w:r>
      <w:r>
        <w:rPr>
          <w:sz w:val="21"/>
        </w:rPr>
        <w:t>5.8.3</w:t>
      </w:r>
      <w:r>
        <w:rPr>
          <w:spacing w:val="-27"/>
          <w:sz w:val="21"/>
        </w:rPr>
        <w:t xml:space="preserve"> </w:t>
      </w:r>
      <w:r>
        <w:rPr>
          <w:spacing w:val="-27"/>
          <w:sz w:val="21"/>
        </w:rPr>
        <w:t>条</w:t>
      </w:r>
      <w:r>
        <w:rPr>
          <w:spacing w:val="-3"/>
          <w:sz w:val="21"/>
        </w:rPr>
        <w:t>～</w:t>
      </w:r>
      <w:r>
        <w:rPr>
          <w:spacing w:val="-26"/>
          <w:sz w:val="21"/>
        </w:rPr>
        <w:t>第</w:t>
      </w:r>
      <w:r>
        <w:rPr>
          <w:spacing w:val="-26"/>
          <w:sz w:val="21"/>
        </w:rPr>
        <w:t xml:space="preserve"> </w:t>
      </w:r>
      <w:r>
        <w:rPr>
          <w:sz w:val="21"/>
        </w:rPr>
        <w:t>5.8.7</w:t>
      </w:r>
      <w:r>
        <w:rPr>
          <w:spacing w:val="-10"/>
          <w:sz w:val="21"/>
        </w:rPr>
        <w:t xml:space="preserve"> </w:t>
      </w:r>
      <w:r>
        <w:rPr>
          <w:spacing w:val="-10"/>
          <w:sz w:val="21"/>
        </w:rPr>
        <w:t>条规定的信息</w:t>
      </w:r>
      <w:r>
        <w:rPr>
          <w:sz w:val="21"/>
        </w:rPr>
        <w:t xml:space="preserve"> </w:t>
      </w:r>
    </w:p>
    <w:p w14:paraId="5DB49182" w14:textId="77777777" w:rsidR="00A71EEF" w:rsidRDefault="00A71EEF">
      <w:pPr>
        <w:pStyle w:val="a3"/>
        <w:spacing w:before="1"/>
        <w:rPr>
          <w:sz w:val="18"/>
        </w:rPr>
      </w:pPr>
    </w:p>
    <w:p w14:paraId="733F226F" w14:textId="77777777" w:rsidR="00A71EEF" w:rsidRDefault="0081115D">
      <w:pPr>
        <w:pStyle w:val="a4"/>
        <w:numPr>
          <w:ilvl w:val="2"/>
          <w:numId w:val="37"/>
        </w:numPr>
        <w:tabs>
          <w:tab w:val="left" w:pos="1369"/>
        </w:tabs>
        <w:spacing w:before="1"/>
        <w:ind w:left="1368" w:hanging="531"/>
        <w:rPr>
          <w:sz w:val="21"/>
        </w:rPr>
      </w:pPr>
      <w:r>
        <w:rPr>
          <w:spacing w:val="-3"/>
          <w:sz w:val="21"/>
        </w:rPr>
        <w:t>消防指挥决策支持子系统的预案管理功能应符合下列要求：</w:t>
      </w:r>
      <w:r>
        <w:rPr>
          <w:sz w:val="21"/>
        </w:rPr>
        <w:t xml:space="preserve"> </w:t>
      </w:r>
    </w:p>
    <w:p w14:paraId="5818DFFA" w14:textId="77777777" w:rsidR="00A71EEF" w:rsidRDefault="00A71EEF">
      <w:pPr>
        <w:pStyle w:val="a3"/>
        <w:spacing w:before="12"/>
        <w:rPr>
          <w:sz w:val="17"/>
        </w:rPr>
      </w:pPr>
    </w:p>
    <w:p w14:paraId="4D556A23" w14:textId="77777777" w:rsidR="00A71EEF" w:rsidRDefault="0081115D">
      <w:pPr>
        <w:pStyle w:val="a3"/>
        <w:ind w:left="838"/>
      </w:pPr>
      <w:r>
        <w:t>能提供制作模板，编制辖区或跨区域各类灭火救援预案，建立预案库；</w:t>
      </w:r>
      <w:r>
        <w:t xml:space="preserve"> </w:t>
      </w:r>
    </w:p>
    <w:p w14:paraId="60D5A544" w14:textId="77777777" w:rsidR="00A71EEF" w:rsidRDefault="00A71EEF">
      <w:pPr>
        <w:pStyle w:val="a3"/>
        <w:spacing w:before="12"/>
        <w:rPr>
          <w:sz w:val="17"/>
        </w:rPr>
      </w:pPr>
    </w:p>
    <w:p w14:paraId="7F3218C3" w14:textId="77777777" w:rsidR="00A71EEF" w:rsidRDefault="0081115D">
      <w:pPr>
        <w:pStyle w:val="a3"/>
        <w:spacing w:line="446" w:lineRule="auto"/>
        <w:ind w:left="838" w:right="2765"/>
      </w:pPr>
      <w:r>
        <w:rPr>
          <w:spacing w:val="-3"/>
        </w:rPr>
        <w:t>能根据灾害事故类型、等级等输入条件，进行比对匹配，查找相应的预案；</w:t>
      </w:r>
      <w:r>
        <w:rPr>
          <w:spacing w:val="-3"/>
        </w:rPr>
        <w:t xml:space="preserve"> </w:t>
      </w:r>
      <w:r>
        <w:rPr>
          <w:spacing w:val="-3"/>
        </w:rPr>
        <w:t>能在一个预案的基础上做编辑修改，形成新的预案；</w:t>
      </w:r>
      <w:r>
        <w:rPr>
          <w:spacing w:val="-3"/>
        </w:rPr>
        <w:t xml:space="preserve"> </w:t>
      </w:r>
    </w:p>
    <w:p w14:paraId="3FECE2BB" w14:textId="77777777" w:rsidR="00A71EEF" w:rsidRDefault="0081115D">
      <w:pPr>
        <w:pStyle w:val="a3"/>
        <w:spacing w:before="1" w:line="446" w:lineRule="auto"/>
        <w:ind w:left="838" w:right="2765"/>
      </w:pPr>
      <w:r>
        <w:rPr>
          <w:spacing w:val="-3"/>
        </w:rPr>
        <w:t>能按预案制作归属或访问控制权限，提供预案的增加、修改、删除等功能；</w:t>
      </w:r>
      <w:r>
        <w:rPr>
          <w:spacing w:val="-3"/>
        </w:rPr>
        <w:t xml:space="preserve"> </w:t>
      </w:r>
      <w:r>
        <w:rPr>
          <w:spacing w:val="-3"/>
        </w:rPr>
        <w:t>具有预案下载、打印等输出功能。</w:t>
      </w:r>
      <w:r>
        <w:t xml:space="preserve"> </w:t>
      </w:r>
    </w:p>
    <w:p w14:paraId="7DC2FD5E" w14:textId="77777777" w:rsidR="00A71EEF" w:rsidRDefault="0081115D">
      <w:pPr>
        <w:pStyle w:val="a4"/>
        <w:numPr>
          <w:ilvl w:val="2"/>
          <w:numId w:val="37"/>
        </w:numPr>
        <w:tabs>
          <w:tab w:val="left" w:pos="1367"/>
        </w:tabs>
        <w:ind w:left="1367"/>
        <w:rPr>
          <w:sz w:val="21"/>
        </w:rPr>
      </w:pPr>
      <w:r>
        <w:rPr>
          <w:spacing w:val="-3"/>
          <w:sz w:val="21"/>
        </w:rPr>
        <w:t>消防指挥决策支持子系统的辅助决策功能应符合下列要求：</w:t>
      </w:r>
      <w:r>
        <w:rPr>
          <w:sz w:val="21"/>
        </w:rPr>
        <w:t xml:space="preserve"> </w:t>
      </w:r>
    </w:p>
    <w:p w14:paraId="3C7EEC65" w14:textId="77777777" w:rsidR="00A71EEF" w:rsidRDefault="00A71EEF">
      <w:pPr>
        <w:pStyle w:val="a3"/>
        <w:spacing w:before="12"/>
        <w:rPr>
          <w:sz w:val="17"/>
        </w:rPr>
      </w:pPr>
    </w:p>
    <w:p w14:paraId="6C3FB23C" w14:textId="77777777" w:rsidR="00A71EEF" w:rsidRDefault="0081115D">
      <w:pPr>
        <w:pStyle w:val="a3"/>
        <w:ind w:left="838"/>
      </w:pPr>
      <w:r>
        <w:t>能采集录入火灾及其他灾害事故数据和现场环境信息；</w:t>
      </w:r>
      <w:r>
        <w:t xml:space="preserve"> </w:t>
      </w:r>
    </w:p>
    <w:p w14:paraId="62A595F1" w14:textId="77777777" w:rsidR="00A71EEF" w:rsidRDefault="00A71EEF">
      <w:pPr>
        <w:pStyle w:val="a3"/>
        <w:spacing w:before="12"/>
        <w:rPr>
          <w:sz w:val="17"/>
        </w:rPr>
      </w:pPr>
    </w:p>
    <w:p w14:paraId="057618FE" w14:textId="77777777" w:rsidR="00A71EEF" w:rsidRDefault="0081115D">
      <w:pPr>
        <w:pStyle w:val="a3"/>
        <w:spacing w:line="446" w:lineRule="auto"/>
        <w:ind w:left="838" w:right="1431"/>
      </w:pPr>
      <w:r>
        <w:rPr>
          <w:spacing w:val="-6"/>
        </w:rPr>
        <w:t>能应用灭火救援模型、专家知识、典型案例等对火灾及其他灾害事故的发展趋势和后果进行</w:t>
      </w:r>
      <w:r>
        <w:rPr>
          <w:spacing w:val="-5"/>
        </w:rPr>
        <w:t>评估；</w:t>
      </w:r>
      <w:r>
        <w:t xml:space="preserve"> </w:t>
      </w:r>
    </w:p>
    <w:p w14:paraId="1EA984F8" w14:textId="77777777" w:rsidR="00A71EEF" w:rsidRDefault="0081115D">
      <w:pPr>
        <w:pStyle w:val="a3"/>
        <w:spacing w:before="1"/>
        <w:ind w:left="838"/>
      </w:pPr>
      <w:r>
        <w:t>能提供相应的火灾及其他灾害事故处置对策；</w:t>
      </w:r>
      <w:r>
        <w:t xml:space="preserve"> </w:t>
      </w:r>
    </w:p>
    <w:p w14:paraId="685ED683" w14:textId="77777777" w:rsidR="00A71EEF" w:rsidRDefault="00A71EEF">
      <w:pPr>
        <w:pStyle w:val="a3"/>
        <w:spacing w:before="12"/>
        <w:rPr>
          <w:sz w:val="17"/>
        </w:rPr>
      </w:pPr>
    </w:p>
    <w:p w14:paraId="1958572E" w14:textId="77777777" w:rsidR="00A71EEF" w:rsidRDefault="0081115D">
      <w:pPr>
        <w:pStyle w:val="a3"/>
        <w:ind w:left="838"/>
      </w:pPr>
      <w:r>
        <w:t>能计算现场需要的消防车辆、灭火救援装备器材、灭火剂；</w:t>
      </w:r>
      <w:r>
        <w:t xml:space="preserve"> </w:t>
      </w:r>
    </w:p>
    <w:p w14:paraId="6D152F4A" w14:textId="77777777" w:rsidR="00A71EEF" w:rsidRDefault="00A71EEF">
      <w:pPr>
        <w:pStyle w:val="a3"/>
        <w:spacing w:before="2"/>
        <w:rPr>
          <w:sz w:val="18"/>
        </w:rPr>
      </w:pPr>
    </w:p>
    <w:p w14:paraId="60C410D5" w14:textId="77777777" w:rsidR="00A71EEF" w:rsidRDefault="0081115D">
      <w:pPr>
        <w:pStyle w:val="a3"/>
        <w:ind w:left="838"/>
      </w:pPr>
      <w:r>
        <w:t>能提供现场消防车辆、灭火救援装备器材、灭火剂差额增补方案；</w:t>
      </w:r>
      <w:r>
        <w:t xml:space="preserve"> </w:t>
      </w:r>
    </w:p>
    <w:p w14:paraId="5CC6AB65" w14:textId="77777777" w:rsidR="00A71EEF" w:rsidRDefault="00A71EEF">
      <w:pPr>
        <w:pStyle w:val="a3"/>
        <w:spacing w:before="12"/>
        <w:rPr>
          <w:sz w:val="17"/>
        </w:rPr>
      </w:pPr>
    </w:p>
    <w:p w14:paraId="4CAA30BC" w14:textId="77777777" w:rsidR="00A71EEF" w:rsidRDefault="0081115D">
      <w:pPr>
        <w:pStyle w:val="a3"/>
        <w:ind w:left="838"/>
      </w:pPr>
      <w:r>
        <w:t>能编制火灾及其他灾害事故处置方案，方案内容包括文字、态势图、表格等要素；</w:t>
      </w:r>
      <w:r>
        <w:t xml:space="preserve"> </w:t>
      </w:r>
    </w:p>
    <w:p w14:paraId="381C7D7B" w14:textId="77777777" w:rsidR="00A71EEF" w:rsidRDefault="00A71EEF">
      <w:pPr>
        <w:pStyle w:val="a3"/>
        <w:spacing w:before="12"/>
        <w:rPr>
          <w:sz w:val="17"/>
        </w:rPr>
      </w:pPr>
    </w:p>
    <w:p w14:paraId="3806A1B7" w14:textId="77777777" w:rsidR="00A71EEF" w:rsidRDefault="0081115D">
      <w:pPr>
        <w:pStyle w:val="a3"/>
        <w:spacing w:line="446" w:lineRule="auto"/>
        <w:ind w:left="838" w:right="1433"/>
      </w:pPr>
      <w:r>
        <w:rPr>
          <w:spacing w:val="-6"/>
        </w:rPr>
        <w:t>能标绘火灾及其他灾害事故影响范围及趋势、灭火救援态势、临机灾害处置方案、灭火救援</w:t>
      </w:r>
      <w:r>
        <w:rPr>
          <w:spacing w:val="-4"/>
        </w:rPr>
        <w:t>作战部署等；</w:t>
      </w:r>
      <w:r>
        <w:t xml:space="preserve"> </w:t>
      </w:r>
    </w:p>
    <w:p w14:paraId="7176AEA3" w14:textId="77777777" w:rsidR="00A71EEF" w:rsidRDefault="0081115D">
      <w:pPr>
        <w:pStyle w:val="a3"/>
        <w:spacing w:before="1"/>
        <w:ind w:left="838"/>
        <w:rPr>
          <w:sz w:val="18"/>
        </w:rPr>
      </w:pPr>
      <w:r>
        <w:t xml:space="preserve">8 </w:t>
      </w:r>
      <w:r>
        <w:t>具有灾害处置方案的推演和编辑修订功能。</w:t>
      </w:r>
      <w:r>
        <w:rPr>
          <w:sz w:val="18"/>
        </w:rPr>
        <w:t xml:space="preserve"> </w:t>
      </w:r>
    </w:p>
    <w:p w14:paraId="71169627" w14:textId="77777777" w:rsidR="00A71EEF" w:rsidRDefault="00A71EEF">
      <w:pPr>
        <w:pStyle w:val="a3"/>
        <w:spacing w:before="12"/>
        <w:rPr>
          <w:sz w:val="17"/>
        </w:rPr>
      </w:pPr>
    </w:p>
    <w:p w14:paraId="0A8B4896" w14:textId="77777777" w:rsidR="00A71EEF" w:rsidRDefault="0081115D">
      <w:pPr>
        <w:pStyle w:val="a4"/>
        <w:numPr>
          <w:ilvl w:val="1"/>
          <w:numId w:val="37"/>
        </w:numPr>
        <w:tabs>
          <w:tab w:val="left" w:pos="1159"/>
        </w:tabs>
        <w:ind w:hanging="319"/>
        <w:rPr>
          <w:b/>
          <w:sz w:val="21"/>
        </w:rPr>
      </w:pPr>
      <w:r>
        <w:rPr>
          <w:spacing w:val="-3"/>
          <w:sz w:val="21"/>
        </w:rPr>
        <w:t>指挥信息管理子系统</w:t>
      </w:r>
      <w:r>
        <w:rPr>
          <w:b/>
          <w:w w:val="99"/>
          <w:sz w:val="21"/>
        </w:rPr>
        <w:t xml:space="preserve"> </w:t>
      </w:r>
    </w:p>
    <w:p w14:paraId="1C6C640F" w14:textId="77777777" w:rsidR="00A71EEF" w:rsidRDefault="00A71EEF">
      <w:pPr>
        <w:pStyle w:val="a3"/>
        <w:spacing w:before="2"/>
        <w:rPr>
          <w:b/>
          <w:sz w:val="18"/>
        </w:rPr>
      </w:pPr>
    </w:p>
    <w:p w14:paraId="05474475" w14:textId="77777777" w:rsidR="00A71EEF" w:rsidRDefault="0081115D">
      <w:pPr>
        <w:pStyle w:val="a4"/>
        <w:numPr>
          <w:ilvl w:val="2"/>
          <w:numId w:val="37"/>
        </w:numPr>
        <w:tabs>
          <w:tab w:val="left" w:pos="1371"/>
        </w:tabs>
        <w:ind w:left="1370" w:hanging="531"/>
        <w:rPr>
          <w:sz w:val="21"/>
        </w:rPr>
      </w:pPr>
      <w:r>
        <w:rPr>
          <w:spacing w:val="-3"/>
          <w:sz w:val="21"/>
        </w:rPr>
        <w:t>指挥信息管理子系统的信息管理功能应符合下列要求：</w:t>
      </w:r>
      <w:r>
        <w:rPr>
          <w:sz w:val="21"/>
        </w:rPr>
        <w:t xml:space="preserve"> </w:t>
      </w:r>
    </w:p>
    <w:p w14:paraId="1A19E80A" w14:textId="77777777" w:rsidR="00A71EEF" w:rsidRDefault="00A71EEF">
      <w:pPr>
        <w:pStyle w:val="a3"/>
        <w:rPr>
          <w:sz w:val="18"/>
        </w:rPr>
      </w:pPr>
    </w:p>
    <w:p w14:paraId="6EE78F90" w14:textId="77777777" w:rsidR="00A71EEF" w:rsidRDefault="0081115D">
      <w:pPr>
        <w:pStyle w:val="a3"/>
        <w:spacing w:line="446" w:lineRule="auto"/>
        <w:ind w:left="838" w:right="2977"/>
      </w:pPr>
      <w:r>
        <w:rPr>
          <w:spacing w:val="-9"/>
        </w:rPr>
        <w:t>能对本规范第</w:t>
      </w:r>
      <w:r>
        <w:rPr>
          <w:spacing w:val="-9"/>
        </w:rPr>
        <w:t xml:space="preserve"> </w:t>
      </w:r>
      <w:r>
        <w:t>5.8.3</w:t>
      </w:r>
      <w:r>
        <w:rPr>
          <w:spacing w:val="-25"/>
        </w:rPr>
        <w:t xml:space="preserve"> </w:t>
      </w:r>
      <w:r>
        <w:rPr>
          <w:spacing w:val="-25"/>
        </w:rPr>
        <w:t>条</w:t>
      </w:r>
      <w:r>
        <w:rPr>
          <w:spacing w:val="-3"/>
        </w:rPr>
        <w:t>～</w:t>
      </w:r>
      <w:r>
        <w:rPr>
          <w:spacing w:val="-24"/>
        </w:rPr>
        <w:t>第</w:t>
      </w:r>
      <w:r>
        <w:rPr>
          <w:spacing w:val="-24"/>
        </w:rPr>
        <w:t xml:space="preserve"> </w:t>
      </w:r>
      <w:r>
        <w:t>5.8.7</w:t>
      </w:r>
      <w:r>
        <w:rPr>
          <w:spacing w:val="-9"/>
        </w:rPr>
        <w:t xml:space="preserve"> </w:t>
      </w:r>
      <w:r>
        <w:rPr>
          <w:spacing w:val="-9"/>
        </w:rPr>
        <w:t>条规定的信息进行录入、编辑、更新；</w:t>
      </w:r>
      <w:r>
        <w:rPr>
          <w:spacing w:val="-9"/>
        </w:rPr>
        <w:t xml:space="preserve"> </w:t>
      </w:r>
      <w:r>
        <w:rPr>
          <w:spacing w:val="-3"/>
        </w:rPr>
        <w:t>能对各类信息进行分类汇总、归档存储；</w:t>
      </w:r>
      <w:r>
        <w:t xml:space="preserve"> </w:t>
      </w:r>
    </w:p>
    <w:p w14:paraId="447B6F8A" w14:textId="77777777" w:rsidR="00A71EEF" w:rsidRDefault="0081115D">
      <w:pPr>
        <w:pStyle w:val="a3"/>
        <w:ind w:left="838"/>
      </w:pPr>
      <w:r>
        <w:t>能与公安机关指挥中心、政府相关部门等相关业务信息交互、共享；</w:t>
      </w:r>
      <w:r>
        <w:t xml:space="preserve"> </w:t>
      </w:r>
    </w:p>
    <w:p w14:paraId="4E72CE15" w14:textId="77777777" w:rsidR="00A71EEF" w:rsidRDefault="00A71EEF">
      <w:pPr>
        <w:pStyle w:val="a3"/>
        <w:spacing w:before="12"/>
        <w:rPr>
          <w:sz w:val="17"/>
        </w:rPr>
      </w:pPr>
    </w:p>
    <w:p w14:paraId="2558EA60" w14:textId="77777777" w:rsidR="00A71EEF" w:rsidRDefault="0081115D">
      <w:pPr>
        <w:pStyle w:val="a3"/>
        <w:spacing w:line="446" w:lineRule="auto"/>
        <w:ind w:left="418" w:right="1410" w:firstLine="419"/>
      </w:pPr>
      <w:r>
        <w:t>能在消防基础数据平台层面上与消防监督、部队管理、社会公众服务等业务信息系统相关信息交互、共享；</w:t>
      </w:r>
      <w:r>
        <w:t xml:space="preserve"> </w:t>
      </w:r>
    </w:p>
    <w:p w14:paraId="5F242A2F" w14:textId="77777777" w:rsidR="00A71EEF" w:rsidRDefault="0081115D">
      <w:pPr>
        <w:pStyle w:val="a3"/>
        <w:ind w:left="838"/>
      </w:pPr>
      <w:r>
        <w:t>能实现不同数据库管理系统之间的数据移植、转换、关联、整合；</w:t>
      </w:r>
      <w:r>
        <w:t xml:space="preserve"> </w:t>
      </w:r>
    </w:p>
    <w:p w14:paraId="09732797" w14:textId="77777777" w:rsidR="00A71EEF" w:rsidRDefault="00A71EEF">
      <w:pPr>
        <w:sectPr w:rsidR="00A71EEF">
          <w:pgSz w:w="11910" w:h="16850"/>
          <w:pgMar w:top="1220" w:right="0" w:bottom="1420" w:left="1260" w:header="0" w:footer="1239" w:gutter="0"/>
          <w:cols w:space="720"/>
        </w:sectPr>
      </w:pPr>
    </w:p>
    <w:p w14:paraId="21C28F85" w14:textId="77777777" w:rsidR="00A71EEF" w:rsidRDefault="0081115D">
      <w:pPr>
        <w:pStyle w:val="a3"/>
        <w:spacing w:before="47" w:line="446" w:lineRule="auto"/>
        <w:ind w:left="838" w:right="2554"/>
      </w:pPr>
      <w:r>
        <w:rPr>
          <w:spacing w:val="-3"/>
        </w:rPr>
        <w:t>能根据应用需求对各类信息进行检索查询、统计分析，并能以图表方式展现；</w:t>
      </w:r>
      <w:r>
        <w:rPr>
          <w:spacing w:val="-3"/>
        </w:rPr>
        <w:t xml:space="preserve"> </w:t>
      </w:r>
      <w:r>
        <w:rPr>
          <w:spacing w:val="-3"/>
        </w:rPr>
        <w:t>能根据应用需求对重要、敏感的信息实行关联、跟踪和预警；</w:t>
      </w:r>
      <w:r>
        <w:t xml:space="preserve"> </w:t>
      </w:r>
    </w:p>
    <w:p w14:paraId="4008959E" w14:textId="77777777" w:rsidR="00A71EEF" w:rsidRDefault="0081115D">
      <w:pPr>
        <w:pStyle w:val="a3"/>
        <w:spacing w:line="446" w:lineRule="auto"/>
        <w:ind w:left="838" w:right="5077"/>
      </w:pPr>
      <w:r>
        <w:t>能通过信息网络发布各类信息及其统计分析结果；</w:t>
      </w:r>
      <w:r>
        <w:t xml:space="preserve"> </w:t>
      </w:r>
      <w:r>
        <w:t>能对数据进行备份和恢复；</w:t>
      </w:r>
      <w:r>
        <w:t xml:space="preserve"> </w:t>
      </w:r>
    </w:p>
    <w:p w14:paraId="24609FFF" w14:textId="77777777" w:rsidR="00A71EEF" w:rsidRDefault="0081115D">
      <w:pPr>
        <w:pStyle w:val="a3"/>
        <w:ind w:left="838"/>
      </w:pPr>
      <w:r>
        <w:t>具有用户管理、权限管理、版本管理功能。</w:t>
      </w:r>
      <w:r>
        <w:t xml:space="preserve"> </w:t>
      </w:r>
    </w:p>
    <w:p w14:paraId="29E6CC0F" w14:textId="77777777" w:rsidR="00A71EEF" w:rsidRDefault="00A71EEF">
      <w:pPr>
        <w:pStyle w:val="a3"/>
        <w:spacing w:before="10"/>
        <w:rPr>
          <w:sz w:val="17"/>
        </w:rPr>
      </w:pPr>
    </w:p>
    <w:p w14:paraId="162F2DCC" w14:textId="77777777" w:rsidR="00A71EEF" w:rsidRDefault="0081115D">
      <w:pPr>
        <w:pStyle w:val="a4"/>
        <w:numPr>
          <w:ilvl w:val="2"/>
          <w:numId w:val="37"/>
        </w:numPr>
        <w:tabs>
          <w:tab w:val="left" w:pos="1371"/>
        </w:tabs>
        <w:spacing w:line="446" w:lineRule="auto"/>
        <w:ind w:left="418" w:right="1431" w:firstLine="422"/>
        <w:rPr>
          <w:sz w:val="21"/>
        </w:rPr>
      </w:pPr>
      <w:r>
        <w:rPr>
          <w:spacing w:val="-5"/>
          <w:sz w:val="21"/>
        </w:rPr>
        <w:t>指挥信息管理子系统的信息分类与编码、数据结构、信息交换标准等应符合国家</w:t>
      </w:r>
      <w:r>
        <w:rPr>
          <w:spacing w:val="-5"/>
          <w:sz w:val="21"/>
        </w:rPr>
        <w:t>现行</w:t>
      </w:r>
      <w:r>
        <w:rPr>
          <w:spacing w:val="-4"/>
          <w:sz w:val="21"/>
        </w:rPr>
        <w:t>有关标准的规定。</w:t>
      </w:r>
      <w:r>
        <w:rPr>
          <w:sz w:val="21"/>
        </w:rPr>
        <w:t xml:space="preserve"> </w:t>
      </w:r>
    </w:p>
    <w:p w14:paraId="2AFCB67D" w14:textId="77777777" w:rsidR="00A71EEF" w:rsidRDefault="0081115D">
      <w:pPr>
        <w:pStyle w:val="a3"/>
        <w:spacing w:before="1" w:line="446" w:lineRule="auto"/>
        <w:ind w:left="418" w:right="1432" w:firstLine="419"/>
      </w:pPr>
      <w:r>
        <w:t xml:space="preserve"> </w:t>
      </w:r>
      <w:r>
        <w:rPr>
          <w:b/>
        </w:rPr>
        <w:t>5.8.3</w:t>
      </w:r>
      <w:r>
        <w:rPr>
          <w:b/>
          <w:spacing w:val="93"/>
        </w:rPr>
        <w:t xml:space="preserve"> </w:t>
      </w:r>
      <w:r>
        <w:rPr>
          <w:spacing w:val="-3"/>
        </w:rPr>
        <w:t>火灾及其他灾害事故类信息应包括接收报警情况、火灾及其他灾害事故类型、火灾及其他灾害事故等级等。</w:t>
      </w:r>
      <w:r>
        <w:t xml:space="preserve"> </w:t>
      </w:r>
    </w:p>
    <w:p w14:paraId="3BF1A8E9" w14:textId="77777777" w:rsidR="00A71EEF" w:rsidRDefault="0081115D">
      <w:pPr>
        <w:pStyle w:val="a4"/>
        <w:numPr>
          <w:ilvl w:val="2"/>
          <w:numId w:val="31"/>
        </w:numPr>
        <w:tabs>
          <w:tab w:val="left" w:pos="1370"/>
        </w:tabs>
        <w:spacing w:line="446" w:lineRule="auto"/>
        <w:ind w:right="1431" w:firstLine="422"/>
        <w:rPr>
          <w:sz w:val="21"/>
        </w:rPr>
      </w:pPr>
      <w:r>
        <w:rPr>
          <w:spacing w:val="-7"/>
          <w:sz w:val="21"/>
        </w:rPr>
        <w:t>消防资源类信息应包括消防实力、消防车辆状态、灭火救援装备器材、消防水源、灭</w:t>
      </w:r>
      <w:r>
        <w:rPr>
          <w:spacing w:val="-5"/>
          <w:sz w:val="21"/>
        </w:rPr>
        <w:t>火剂、灭火救援有关单位、灭火救援专家、战勤保障等信息。</w:t>
      </w:r>
      <w:r>
        <w:rPr>
          <w:sz w:val="21"/>
        </w:rPr>
        <w:t xml:space="preserve"> </w:t>
      </w:r>
    </w:p>
    <w:p w14:paraId="40E9C1C5" w14:textId="77777777" w:rsidR="00A71EEF" w:rsidRDefault="0081115D">
      <w:pPr>
        <w:pStyle w:val="a4"/>
        <w:numPr>
          <w:ilvl w:val="2"/>
          <w:numId w:val="31"/>
        </w:numPr>
        <w:tabs>
          <w:tab w:val="left" w:pos="1371"/>
        </w:tabs>
        <w:spacing w:line="446" w:lineRule="auto"/>
        <w:ind w:right="1431" w:firstLine="422"/>
        <w:rPr>
          <w:sz w:val="21"/>
        </w:rPr>
      </w:pPr>
      <w:r>
        <w:rPr>
          <w:spacing w:val="-5"/>
          <w:sz w:val="21"/>
        </w:rPr>
        <w:t>消防指挥决策支持类信息应包括消防安全重点单位、危险化学品、各类火灾与灾害事</w:t>
      </w:r>
      <w:r>
        <w:rPr>
          <w:spacing w:val="-4"/>
          <w:sz w:val="21"/>
        </w:rPr>
        <w:t>故特性、灭火救援技战术以及气象等信息。</w:t>
      </w:r>
      <w:r>
        <w:rPr>
          <w:sz w:val="21"/>
        </w:rPr>
        <w:t xml:space="preserve"> </w:t>
      </w:r>
    </w:p>
    <w:p w14:paraId="62BB7536" w14:textId="77777777" w:rsidR="00A71EEF" w:rsidRDefault="0081115D">
      <w:pPr>
        <w:pStyle w:val="a4"/>
        <w:numPr>
          <w:ilvl w:val="2"/>
          <w:numId w:val="31"/>
        </w:numPr>
        <w:tabs>
          <w:tab w:val="left" w:pos="1370"/>
        </w:tabs>
        <w:ind w:left="1369" w:hanging="530"/>
        <w:rPr>
          <w:sz w:val="21"/>
        </w:rPr>
      </w:pPr>
      <w:r>
        <w:rPr>
          <w:spacing w:val="-8"/>
          <w:sz w:val="21"/>
        </w:rPr>
        <w:t>灭火救援行动类信息应包括各类灭火救援预案信息、力量调度和灭火救援行动情况等。</w:t>
      </w:r>
      <w:r>
        <w:rPr>
          <w:sz w:val="21"/>
        </w:rPr>
        <w:t xml:space="preserve"> </w:t>
      </w:r>
    </w:p>
    <w:p w14:paraId="4C8C7FDE" w14:textId="77777777" w:rsidR="00A71EEF" w:rsidRDefault="00A71EEF">
      <w:pPr>
        <w:pStyle w:val="a3"/>
        <w:spacing w:before="10"/>
        <w:rPr>
          <w:sz w:val="17"/>
        </w:rPr>
      </w:pPr>
    </w:p>
    <w:p w14:paraId="45124D07" w14:textId="77777777" w:rsidR="00A71EEF" w:rsidRDefault="0081115D">
      <w:pPr>
        <w:pStyle w:val="a4"/>
        <w:numPr>
          <w:ilvl w:val="2"/>
          <w:numId w:val="31"/>
        </w:numPr>
        <w:tabs>
          <w:tab w:val="left" w:pos="1371"/>
        </w:tabs>
        <w:spacing w:line="446" w:lineRule="auto"/>
        <w:ind w:right="1222" w:firstLine="422"/>
        <w:rPr>
          <w:sz w:val="18"/>
        </w:rPr>
      </w:pPr>
      <w:r>
        <w:rPr>
          <w:spacing w:val="-5"/>
          <w:sz w:val="21"/>
        </w:rPr>
        <w:t>灭火救援记录和统计类信息内容应包括接处警录音录时信息、灭火救援作战记录信息、</w:t>
      </w:r>
      <w:r>
        <w:rPr>
          <w:spacing w:val="-4"/>
          <w:sz w:val="21"/>
        </w:rPr>
        <w:t>灭火救援统计信息等。</w:t>
      </w:r>
      <w:r>
        <w:rPr>
          <w:sz w:val="18"/>
        </w:rPr>
        <w:t xml:space="preserve"> </w:t>
      </w:r>
    </w:p>
    <w:p w14:paraId="6A21D62A" w14:textId="77777777" w:rsidR="00A71EEF" w:rsidRDefault="0081115D">
      <w:pPr>
        <w:pStyle w:val="a4"/>
        <w:numPr>
          <w:ilvl w:val="1"/>
          <w:numId w:val="37"/>
        </w:numPr>
        <w:tabs>
          <w:tab w:val="left" w:pos="1159"/>
        </w:tabs>
        <w:ind w:hanging="319"/>
        <w:rPr>
          <w:sz w:val="21"/>
        </w:rPr>
      </w:pPr>
      <w:r>
        <w:rPr>
          <w:spacing w:val="-3"/>
          <w:sz w:val="21"/>
        </w:rPr>
        <w:t>消防地理信息子系统</w:t>
      </w:r>
      <w:r>
        <w:rPr>
          <w:sz w:val="21"/>
        </w:rPr>
        <w:t xml:space="preserve"> </w:t>
      </w:r>
    </w:p>
    <w:p w14:paraId="2F21F42F" w14:textId="77777777" w:rsidR="00A71EEF" w:rsidRDefault="00A71EEF">
      <w:pPr>
        <w:pStyle w:val="a3"/>
        <w:spacing w:before="12"/>
        <w:rPr>
          <w:sz w:val="17"/>
        </w:rPr>
      </w:pPr>
    </w:p>
    <w:p w14:paraId="44A16A45" w14:textId="77777777" w:rsidR="00A71EEF" w:rsidRDefault="0081115D">
      <w:pPr>
        <w:pStyle w:val="a4"/>
        <w:numPr>
          <w:ilvl w:val="2"/>
          <w:numId w:val="37"/>
        </w:numPr>
        <w:tabs>
          <w:tab w:val="left" w:pos="1370"/>
        </w:tabs>
        <w:ind w:hanging="530"/>
        <w:rPr>
          <w:sz w:val="21"/>
        </w:rPr>
      </w:pPr>
      <w:r>
        <w:rPr>
          <w:spacing w:val="-3"/>
          <w:sz w:val="21"/>
        </w:rPr>
        <w:t>消防地理信息子系统应能与火警受理子系统关联应用，并应显示下列内容：</w:t>
      </w:r>
      <w:r>
        <w:rPr>
          <w:spacing w:val="-3"/>
          <w:sz w:val="21"/>
        </w:rPr>
        <w:t xml:space="preserve"> </w:t>
      </w:r>
    </w:p>
    <w:p w14:paraId="7F769F92" w14:textId="77777777" w:rsidR="00A71EEF" w:rsidRDefault="00A71EEF">
      <w:pPr>
        <w:pStyle w:val="a3"/>
        <w:spacing w:before="2"/>
        <w:rPr>
          <w:sz w:val="18"/>
        </w:rPr>
      </w:pPr>
    </w:p>
    <w:p w14:paraId="04D4A153" w14:textId="77777777" w:rsidR="00A71EEF" w:rsidRDefault="0081115D">
      <w:pPr>
        <w:pStyle w:val="a3"/>
        <w:spacing w:line="446" w:lineRule="auto"/>
        <w:ind w:left="838" w:right="4866"/>
      </w:pPr>
      <w:r>
        <w:t>定位显示固定报警电话和移动报警电话的地理位置；</w:t>
      </w:r>
      <w:r>
        <w:t xml:space="preserve"> </w:t>
      </w:r>
      <w:r>
        <w:t>定位显示火灾及其他灾害事故现场的地理位置；</w:t>
      </w:r>
      <w:r>
        <w:t xml:space="preserve"> </w:t>
      </w:r>
    </w:p>
    <w:p w14:paraId="6C3D953D" w14:textId="77777777" w:rsidR="00A71EEF" w:rsidRDefault="0081115D">
      <w:pPr>
        <w:pStyle w:val="a3"/>
        <w:spacing w:line="267" w:lineRule="exact"/>
        <w:ind w:left="838"/>
      </w:pPr>
      <w:r>
        <w:t>显示火灾及其他灾害事故现场的道路、消防水源、建（构）筑物等信息；</w:t>
      </w:r>
      <w:r>
        <w:t xml:space="preserve"> </w:t>
      </w:r>
    </w:p>
    <w:p w14:paraId="119325D2" w14:textId="77777777" w:rsidR="00A71EEF" w:rsidRDefault="00A71EEF">
      <w:pPr>
        <w:pStyle w:val="a3"/>
        <w:spacing w:before="2"/>
        <w:rPr>
          <w:sz w:val="18"/>
        </w:rPr>
      </w:pPr>
    </w:p>
    <w:p w14:paraId="551EA90D" w14:textId="77777777" w:rsidR="00A71EEF" w:rsidRDefault="0081115D">
      <w:pPr>
        <w:pStyle w:val="a3"/>
        <w:spacing w:line="446" w:lineRule="auto"/>
        <w:ind w:left="838" w:right="1330"/>
      </w:pPr>
      <w:r>
        <w:rPr>
          <w:spacing w:val="-18"/>
        </w:rPr>
        <w:t>检索显示消防实力、灭火救援装备器材、灭火剂、公安警力、灭火救援有关单位</w:t>
      </w:r>
      <w:r>
        <w:rPr>
          <w:spacing w:val="-18"/>
        </w:rPr>
        <w:t>等分布信息；</w:t>
      </w:r>
      <w:r>
        <w:rPr>
          <w:spacing w:val="-18"/>
        </w:rPr>
        <w:t xml:space="preserve"> </w:t>
      </w:r>
      <w:r>
        <w:rPr>
          <w:spacing w:val="-3"/>
        </w:rPr>
        <w:t>显示消防车辆到达现场的最佳行车路线、行车距离和时间。</w:t>
      </w:r>
      <w:r>
        <w:t xml:space="preserve"> </w:t>
      </w:r>
    </w:p>
    <w:p w14:paraId="144847AB" w14:textId="77777777" w:rsidR="00A71EEF" w:rsidRDefault="0081115D">
      <w:pPr>
        <w:pStyle w:val="a4"/>
        <w:numPr>
          <w:ilvl w:val="2"/>
          <w:numId w:val="37"/>
        </w:numPr>
        <w:tabs>
          <w:tab w:val="left" w:pos="1371"/>
        </w:tabs>
        <w:spacing w:line="446" w:lineRule="auto"/>
        <w:ind w:left="418" w:right="1431" w:firstLine="422"/>
        <w:rPr>
          <w:sz w:val="21"/>
        </w:rPr>
      </w:pPr>
      <w:r>
        <w:rPr>
          <w:spacing w:val="-4"/>
          <w:sz w:val="21"/>
        </w:rPr>
        <w:t>消防地理信息子系统应能与跨区域调度指挥子系统和现场指挥子系统关联应用，并应</w:t>
      </w:r>
      <w:r>
        <w:rPr>
          <w:spacing w:val="-3"/>
          <w:sz w:val="21"/>
        </w:rPr>
        <w:t>显示下列内容：</w:t>
      </w:r>
      <w:r>
        <w:rPr>
          <w:sz w:val="21"/>
        </w:rPr>
        <w:t xml:space="preserve"> </w:t>
      </w:r>
    </w:p>
    <w:p w14:paraId="33F22CD6" w14:textId="77777777" w:rsidR="00A71EEF" w:rsidRDefault="0081115D">
      <w:pPr>
        <w:pStyle w:val="a3"/>
        <w:ind w:left="838"/>
      </w:pPr>
      <w:r>
        <w:t>定位显示火灾及其他灾害事故现场的地理位置</w:t>
      </w:r>
      <w:r>
        <w:t xml:space="preserve">; </w:t>
      </w:r>
    </w:p>
    <w:p w14:paraId="6CAECCAE" w14:textId="77777777" w:rsidR="00A71EEF" w:rsidRDefault="00A71EEF">
      <w:pPr>
        <w:pStyle w:val="a3"/>
        <w:spacing w:before="10"/>
        <w:rPr>
          <w:sz w:val="17"/>
        </w:rPr>
      </w:pPr>
    </w:p>
    <w:p w14:paraId="08EF1F3C" w14:textId="77777777" w:rsidR="00A71EEF" w:rsidRDefault="0081115D">
      <w:pPr>
        <w:pStyle w:val="a3"/>
        <w:ind w:left="838"/>
      </w:pPr>
      <w:r>
        <w:t>显示火灾及其他灾害事故现场的道路、消防水源、建（构）筑物、力量部署等信息；</w:t>
      </w:r>
      <w:r>
        <w:t xml:space="preserve"> </w:t>
      </w:r>
    </w:p>
    <w:p w14:paraId="588DE330" w14:textId="77777777" w:rsidR="00A71EEF" w:rsidRDefault="00A71EEF">
      <w:pPr>
        <w:pStyle w:val="a3"/>
        <w:spacing w:before="2"/>
        <w:rPr>
          <w:sz w:val="18"/>
        </w:rPr>
      </w:pPr>
    </w:p>
    <w:p w14:paraId="56519096" w14:textId="77777777" w:rsidR="00A71EEF" w:rsidRDefault="0081115D">
      <w:pPr>
        <w:pStyle w:val="a3"/>
        <w:ind w:left="838"/>
      </w:pPr>
      <w:r>
        <w:t>检索显示消防实力、灭火救援装备器材、灭火剂、公安警力、灭火救援有关单位等分布信息；</w:t>
      </w:r>
      <w:r>
        <w:t xml:space="preserve"> </w:t>
      </w:r>
    </w:p>
    <w:p w14:paraId="1224B6C4" w14:textId="77777777" w:rsidR="00A71EEF" w:rsidRDefault="00A71EEF">
      <w:pPr>
        <w:sectPr w:rsidR="00A71EEF">
          <w:pgSz w:w="11910" w:h="16850"/>
          <w:pgMar w:top="1220" w:right="0" w:bottom="1420" w:left="1260" w:header="0" w:footer="1239" w:gutter="0"/>
          <w:cols w:space="720"/>
        </w:sectPr>
      </w:pPr>
    </w:p>
    <w:p w14:paraId="258442BD" w14:textId="77777777" w:rsidR="00A71EEF" w:rsidRDefault="0081115D">
      <w:pPr>
        <w:pStyle w:val="a3"/>
        <w:spacing w:before="47"/>
        <w:ind w:left="838"/>
      </w:pPr>
      <w:r>
        <w:t>显示消防车辆到达现场的最佳行车路线、行车距离和时间。</w:t>
      </w:r>
      <w:r>
        <w:t xml:space="preserve"> </w:t>
      </w:r>
    </w:p>
    <w:p w14:paraId="5E0115B7" w14:textId="77777777" w:rsidR="00A71EEF" w:rsidRDefault="00A71EEF">
      <w:pPr>
        <w:pStyle w:val="a3"/>
        <w:rPr>
          <w:sz w:val="18"/>
        </w:rPr>
      </w:pPr>
    </w:p>
    <w:p w14:paraId="6AAAEB23" w14:textId="77777777" w:rsidR="00A71EEF" w:rsidRDefault="0081115D">
      <w:pPr>
        <w:pStyle w:val="a4"/>
        <w:numPr>
          <w:ilvl w:val="2"/>
          <w:numId w:val="37"/>
        </w:numPr>
        <w:tabs>
          <w:tab w:val="left" w:pos="1370"/>
        </w:tabs>
        <w:spacing w:line="446" w:lineRule="auto"/>
        <w:ind w:left="418" w:right="1431" w:firstLine="422"/>
        <w:rPr>
          <w:sz w:val="21"/>
        </w:rPr>
      </w:pPr>
      <w:r>
        <w:rPr>
          <w:spacing w:val="-5"/>
          <w:sz w:val="21"/>
        </w:rPr>
        <w:t>消防地理信息子系统应能与消防车辆管理子系统关联应用，并应显示出动消防车辆的</w:t>
      </w:r>
      <w:r>
        <w:rPr>
          <w:spacing w:val="-4"/>
          <w:sz w:val="21"/>
        </w:rPr>
        <w:t>实时位置和动态轨迹。</w:t>
      </w:r>
      <w:r>
        <w:rPr>
          <w:sz w:val="21"/>
        </w:rPr>
        <w:t xml:space="preserve"> </w:t>
      </w:r>
    </w:p>
    <w:p w14:paraId="3A0B9FDE" w14:textId="77777777" w:rsidR="00A71EEF" w:rsidRDefault="0081115D">
      <w:pPr>
        <w:pStyle w:val="a4"/>
        <w:numPr>
          <w:ilvl w:val="2"/>
          <w:numId w:val="37"/>
        </w:numPr>
        <w:tabs>
          <w:tab w:val="left" w:pos="1371"/>
        </w:tabs>
        <w:spacing w:line="446" w:lineRule="auto"/>
        <w:ind w:left="418" w:right="1431" w:firstLine="422"/>
        <w:rPr>
          <w:sz w:val="21"/>
        </w:rPr>
      </w:pPr>
      <w:r>
        <w:rPr>
          <w:spacing w:val="-5"/>
          <w:sz w:val="21"/>
        </w:rPr>
        <w:t>消防地理信息子系统应能与消防指挥决策支持子系统关联应用，标绘火灾及其他灾害</w:t>
      </w:r>
      <w:r>
        <w:rPr>
          <w:spacing w:val="-4"/>
          <w:sz w:val="21"/>
        </w:rPr>
        <w:t>事故影响范围及趋势、灭火救援态势、临机灾害处置方案、灭火救援作战部署等。</w:t>
      </w:r>
      <w:r>
        <w:rPr>
          <w:sz w:val="21"/>
        </w:rPr>
        <w:t xml:space="preserve"> </w:t>
      </w:r>
    </w:p>
    <w:p w14:paraId="6B00CEAE" w14:textId="77777777" w:rsidR="00A71EEF" w:rsidRDefault="0081115D">
      <w:pPr>
        <w:pStyle w:val="a4"/>
        <w:numPr>
          <w:ilvl w:val="2"/>
          <w:numId w:val="37"/>
        </w:numPr>
        <w:tabs>
          <w:tab w:val="left" w:pos="1371"/>
        </w:tabs>
        <w:spacing w:line="446" w:lineRule="auto"/>
        <w:ind w:left="418" w:right="1431" w:firstLine="422"/>
        <w:rPr>
          <w:sz w:val="21"/>
        </w:rPr>
      </w:pPr>
      <w:r>
        <w:rPr>
          <w:spacing w:val="-5"/>
          <w:sz w:val="21"/>
        </w:rPr>
        <w:t>消防地理信息子系统应能与消防图像管理子系统关联应用，定位显示各类信息采集点</w:t>
      </w:r>
      <w:r>
        <w:rPr>
          <w:spacing w:val="-4"/>
          <w:sz w:val="21"/>
        </w:rPr>
        <w:t>分布信息。</w:t>
      </w:r>
      <w:r>
        <w:rPr>
          <w:sz w:val="21"/>
        </w:rPr>
        <w:t xml:space="preserve"> </w:t>
      </w:r>
    </w:p>
    <w:p w14:paraId="1905CA8C" w14:textId="77777777" w:rsidR="00A71EEF" w:rsidRDefault="0081115D">
      <w:pPr>
        <w:pStyle w:val="a4"/>
        <w:numPr>
          <w:ilvl w:val="2"/>
          <w:numId w:val="37"/>
        </w:numPr>
        <w:tabs>
          <w:tab w:val="left" w:pos="1370"/>
        </w:tabs>
        <w:ind w:hanging="530"/>
        <w:rPr>
          <w:sz w:val="21"/>
        </w:rPr>
      </w:pPr>
      <w:r>
        <w:rPr>
          <w:spacing w:val="-3"/>
          <w:sz w:val="21"/>
        </w:rPr>
        <w:t>地理信息的采集和使用应符合国家现行有关标准的规定。</w:t>
      </w:r>
      <w:r>
        <w:rPr>
          <w:sz w:val="21"/>
        </w:rPr>
        <w:t xml:space="preserve"> </w:t>
      </w:r>
    </w:p>
    <w:p w14:paraId="0E380E8A" w14:textId="77777777" w:rsidR="00A71EEF" w:rsidRDefault="00A71EEF">
      <w:pPr>
        <w:pStyle w:val="a3"/>
        <w:spacing w:before="10"/>
        <w:rPr>
          <w:sz w:val="17"/>
        </w:rPr>
      </w:pPr>
    </w:p>
    <w:p w14:paraId="17928805" w14:textId="77777777" w:rsidR="00A71EEF" w:rsidRDefault="0081115D">
      <w:pPr>
        <w:pStyle w:val="a4"/>
        <w:numPr>
          <w:ilvl w:val="2"/>
          <w:numId w:val="37"/>
        </w:numPr>
        <w:tabs>
          <w:tab w:val="left" w:pos="1371"/>
        </w:tabs>
        <w:ind w:left="1370" w:hanging="531"/>
        <w:rPr>
          <w:sz w:val="21"/>
        </w:rPr>
      </w:pPr>
      <w:r>
        <w:rPr>
          <w:spacing w:val="-3"/>
          <w:sz w:val="21"/>
        </w:rPr>
        <w:t>消防地理信息子系统的地图数据应符合下列要求：</w:t>
      </w:r>
      <w:r>
        <w:rPr>
          <w:sz w:val="21"/>
        </w:rPr>
        <w:t xml:space="preserve"> </w:t>
      </w:r>
    </w:p>
    <w:p w14:paraId="6B78F105" w14:textId="77777777" w:rsidR="00A71EEF" w:rsidRDefault="00A71EEF">
      <w:pPr>
        <w:pStyle w:val="a3"/>
        <w:spacing w:before="2"/>
        <w:rPr>
          <w:sz w:val="18"/>
        </w:rPr>
      </w:pPr>
    </w:p>
    <w:p w14:paraId="19C3386B" w14:textId="77777777" w:rsidR="00A71EEF" w:rsidRDefault="0081115D">
      <w:pPr>
        <w:pStyle w:val="a3"/>
        <w:ind w:left="838"/>
      </w:pPr>
      <w:r>
        <w:t>基础信息包括行政区、建（构）筑物、道路、水系、地形、植被等；</w:t>
      </w:r>
      <w:r>
        <w:t xml:space="preserve"> </w:t>
      </w:r>
    </w:p>
    <w:p w14:paraId="71580E0D" w14:textId="77777777" w:rsidR="00A71EEF" w:rsidRDefault="00A71EEF">
      <w:pPr>
        <w:pStyle w:val="a3"/>
        <w:rPr>
          <w:sz w:val="18"/>
        </w:rPr>
      </w:pPr>
    </w:p>
    <w:p w14:paraId="5A1FF6DE" w14:textId="77777777" w:rsidR="00A71EEF" w:rsidRDefault="0081115D">
      <w:pPr>
        <w:pStyle w:val="a3"/>
        <w:spacing w:line="446" w:lineRule="auto"/>
        <w:ind w:left="418" w:right="1387" w:firstLine="419"/>
      </w:pPr>
      <w:r>
        <w:t>警用信息包括人员、案（事）件、公共场所、城市交通、门牌号码、单位、公安机关、公共基础设施等；</w:t>
      </w:r>
      <w:r>
        <w:t xml:space="preserve"> </w:t>
      </w:r>
    </w:p>
    <w:p w14:paraId="174E7D17" w14:textId="77777777" w:rsidR="00A71EEF" w:rsidRDefault="0081115D">
      <w:pPr>
        <w:pStyle w:val="a3"/>
        <w:spacing w:line="446" w:lineRule="auto"/>
        <w:ind w:left="418" w:right="1431" w:firstLine="419"/>
      </w:pPr>
      <w:r>
        <w:rPr>
          <w:spacing w:val="-8"/>
        </w:rPr>
        <w:t>消防专业信息包括消防水源、消防站、消防企业、消防安全重点单位、重大危险源、灭火救</w:t>
      </w:r>
      <w:r>
        <w:rPr>
          <w:spacing w:val="-5"/>
        </w:rPr>
        <w:t>援有关单位等。</w:t>
      </w:r>
      <w:r>
        <w:t xml:space="preserve"> </w:t>
      </w:r>
    </w:p>
    <w:p w14:paraId="3921980C" w14:textId="77777777" w:rsidR="00A71EEF" w:rsidRDefault="0081115D">
      <w:pPr>
        <w:pStyle w:val="a4"/>
        <w:numPr>
          <w:ilvl w:val="2"/>
          <w:numId w:val="37"/>
        </w:numPr>
        <w:tabs>
          <w:tab w:val="left" w:pos="1371"/>
        </w:tabs>
        <w:spacing w:line="446" w:lineRule="auto"/>
        <w:ind w:left="418" w:right="1325" w:firstLine="422"/>
        <w:rPr>
          <w:sz w:val="21"/>
        </w:rPr>
      </w:pPr>
      <w:r>
        <w:rPr>
          <w:spacing w:val="-5"/>
          <w:sz w:val="21"/>
        </w:rPr>
        <w:t>消防地理信息子系统在全国范围宜采用不低于</w:t>
      </w:r>
      <w:r>
        <w:rPr>
          <w:spacing w:val="-5"/>
          <w:sz w:val="21"/>
        </w:rPr>
        <w:t xml:space="preserve"> </w:t>
      </w:r>
      <w:r>
        <w:rPr>
          <w:sz w:val="21"/>
        </w:rPr>
        <w:t>1</w:t>
      </w:r>
      <w:r>
        <w:rPr>
          <w:spacing w:val="-3"/>
          <w:sz w:val="21"/>
        </w:rPr>
        <w:t>︰</w:t>
      </w:r>
      <w:r>
        <w:rPr>
          <w:sz w:val="21"/>
        </w:rPr>
        <w:t>250000</w:t>
      </w:r>
      <w:r>
        <w:rPr>
          <w:spacing w:val="-8"/>
          <w:sz w:val="21"/>
        </w:rPr>
        <w:t xml:space="preserve"> </w:t>
      </w:r>
      <w:r>
        <w:rPr>
          <w:spacing w:val="-8"/>
          <w:sz w:val="21"/>
        </w:rPr>
        <w:t>地形图数据，省</w:t>
      </w:r>
      <w:r>
        <w:rPr>
          <w:spacing w:val="-3"/>
          <w:sz w:val="21"/>
        </w:rPr>
        <w:t>（</w:t>
      </w:r>
      <w:r>
        <w:rPr>
          <w:spacing w:val="-2"/>
          <w:sz w:val="21"/>
        </w:rPr>
        <w:t>自治区</w:t>
      </w:r>
      <w:r>
        <w:rPr>
          <w:sz w:val="21"/>
        </w:rPr>
        <w:t>）</w:t>
      </w:r>
      <w:r>
        <w:rPr>
          <w:sz w:val="21"/>
        </w:rPr>
        <w:t xml:space="preserve"> </w:t>
      </w:r>
      <w:r>
        <w:rPr>
          <w:spacing w:val="-8"/>
          <w:sz w:val="21"/>
        </w:rPr>
        <w:t>范围内宜采用不低于</w:t>
      </w:r>
      <w:r>
        <w:rPr>
          <w:spacing w:val="-8"/>
          <w:sz w:val="21"/>
        </w:rPr>
        <w:t xml:space="preserve"> </w:t>
      </w:r>
      <w:r>
        <w:rPr>
          <w:sz w:val="21"/>
        </w:rPr>
        <w:t>1</w:t>
      </w:r>
      <w:r>
        <w:rPr>
          <w:sz w:val="21"/>
        </w:rPr>
        <w:t>︰</w:t>
      </w:r>
      <w:r>
        <w:rPr>
          <w:sz w:val="21"/>
        </w:rPr>
        <w:t>50000</w:t>
      </w:r>
      <w:r>
        <w:rPr>
          <w:spacing w:val="-6"/>
          <w:sz w:val="21"/>
        </w:rPr>
        <w:t xml:space="preserve"> </w:t>
      </w:r>
      <w:r>
        <w:rPr>
          <w:spacing w:val="-6"/>
          <w:sz w:val="21"/>
        </w:rPr>
        <w:t>地图数据，市区范围宜采用不低于</w:t>
      </w:r>
      <w:r>
        <w:rPr>
          <w:spacing w:val="-6"/>
          <w:sz w:val="21"/>
        </w:rPr>
        <w:t xml:space="preserve"> </w:t>
      </w:r>
      <w:r>
        <w:rPr>
          <w:spacing w:val="-3"/>
          <w:sz w:val="21"/>
        </w:rPr>
        <w:t>1</w:t>
      </w:r>
      <w:r>
        <w:rPr>
          <w:sz w:val="21"/>
        </w:rPr>
        <w:t>︰</w:t>
      </w:r>
      <w:r>
        <w:rPr>
          <w:sz w:val="21"/>
        </w:rPr>
        <w:t>2000</w:t>
      </w:r>
      <w:r>
        <w:rPr>
          <w:spacing w:val="-5"/>
          <w:sz w:val="21"/>
        </w:rPr>
        <w:t xml:space="preserve"> </w:t>
      </w:r>
      <w:r>
        <w:rPr>
          <w:spacing w:val="-5"/>
          <w:sz w:val="21"/>
        </w:rPr>
        <w:t>地图数据，郊区、农</w:t>
      </w:r>
      <w:r>
        <w:rPr>
          <w:spacing w:val="-9"/>
          <w:sz w:val="21"/>
        </w:rPr>
        <w:t>村范围宜采用不低于</w:t>
      </w:r>
      <w:r>
        <w:rPr>
          <w:spacing w:val="-9"/>
          <w:sz w:val="21"/>
        </w:rPr>
        <w:t xml:space="preserve"> </w:t>
      </w:r>
      <w:r>
        <w:rPr>
          <w:sz w:val="21"/>
        </w:rPr>
        <w:t>1</w:t>
      </w:r>
      <w:r>
        <w:rPr>
          <w:sz w:val="21"/>
        </w:rPr>
        <w:t>︰</w:t>
      </w:r>
      <w:r>
        <w:rPr>
          <w:sz w:val="21"/>
        </w:rPr>
        <w:t>10000</w:t>
      </w:r>
      <w:r>
        <w:rPr>
          <w:spacing w:val="-3"/>
          <w:sz w:val="21"/>
        </w:rPr>
        <w:t xml:space="preserve"> </w:t>
      </w:r>
      <w:r>
        <w:rPr>
          <w:spacing w:val="-3"/>
          <w:sz w:val="21"/>
        </w:rPr>
        <w:t>地图数据。</w:t>
      </w:r>
      <w:r>
        <w:rPr>
          <w:sz w:val="21"/>
        </w:rPr>
        <w:t xml:space="preserve"> </w:t>
      </w:r>
    </w:p>
    <w:p w14:paraId="58D2E324" w14:textId="77777777" w:rsidR="00A71EEF" w:rsidRDefault="0081115D">
      <w:pPr>
        <w:pStyle w:val="a4"/>
        <w:numPr>
          <w:ilvl w:val="2"/>
          <w:numId w:val="37"/>
        </w:numPr>
        <w:tabs>
          <w:tab w:val="left" w:pos="1371"/>
        </w:tabs>
        <w:spacing w:line="268" w:lineRule="exact"/>
        <w:ind w:left="1370" w:hanging="531"/>
        <w:rPr>
          <w:sz w:val="21"/>
        </w:rPr>
      </w:pPr>
      <w:r>
        <w:rPr>
          <w:spacing w:val="-3"/>
          <w:sz w:val="21"/>
        </w:rPr>
        <w:t>消防地理信息子系统的地图数据显示控制功能应符合下列要求：</w:t>
      </w:r>
      <w:r>
        <w:rPr>
          <w:sz w:val="21"/>
        </w:rPr>
        <w:t xml:space="preserve"> </w:t>
      </w:r>
    </w:p>
    <w:p w14:paraId="2D60D3AA" w14:textId="77777777" w:rsidR="00A71EEF" w:rsidRDefault="00A71EEF">
      <w:pPr>
        <w:pStyle w:val="a3"/>
        <w:spacing w:before="12"/>
        <w:rPr>
          <w:sz w:val="17"/>
        </w:rPr>
      </w:pPr>
    </w:p>
    <w:p w14:paraId="76A4F6B3" w14:textId="77777777" w:rsidR="00A71EEF" w:rsidRDefault="0081115D">
      <w:pPr>
        <w:pStyle w:val="a3"/>
        <w:spacing w:line="446" w:lineRule="auto"/>
        <w:ind w:left="418" w:right="1431" w:firstLine="419"/>
      </w:pPr>
      <w:r>
        <w:rPr>
          <w:spacing w:val="-8"/>
        </w:rPr>
        <w:t>地图数据的显示应包括街路名称、起点、终点、街路级别、长度、宽度、交叉路口、路面情</w:t>
      </w:r>
      <w:r>
        <w:rPr>
          <w:spacing w:val="-7"/>
        </w:rPr>
        <w:t>况等；</w:t>
      </w:r>
      <w:r>
        <w:t xml:space="preserve"> </w:t>
      </w:r>
    </w:p>
    <w:p w14:paraId="319917FB" w14:textId="77777777" w:rsidR="00A71EEF" w:rsidRDefault="0081115D">
      <w:pPr>
        <w:pStyle w:val="a3"/>
        <w:spacing w:line="267" w:lineRule="exact"/>
        <w:ind w:left="838"/>
      </w:pPr>
      <w:r>
        <w:t>广域消防地图能显示行政区及道路、消防水源、消防站分布等；</w:t>
      </w:r>
      <w:r>
        <w:t xml:space="preserve"> </w:t>
      </w:r>
    </w:p>
    <w:p w14:paraId="5939C1D6" w14:textId="77777777" w:rsidR="00A71EEF" w:rsidRDefault="00A71EEF">
      <w:pPr>
        <w:pStyle w:val="a3"/>
        <w:spacing w:before="2"/>
        <w:rPr>
          <w:sz w:val="18"/>
        </w:rPr>
      </w:pPr>
    </w:p>
    <w:p w14:paraId="17CE1DCA" w14:textId="77777777" w:rsidR="00A71EEF" w:rsidRDefault="0081115D">
      <w:pPr>
        <w:pStyle w:val="a3"/>
        <w:ind w:left="838"/>
      </w:pPr>
      <w:r>
        <w:t>接警消防地图能显示消防站辖区及道路、消防水源、消防安全重点单位等；</w:t>
      </w:r>
      <w:r>
        <w:t xml:space="preserve"> </w:t>
      </w:r>
    </w:p>
    <w:p w14:paraId="59598933" w14:textId="77777777" w:rsidR="00A71EEF" w:rsidRDefault="00A71EEF">
      <w:pPr>
        <w:pStyle w:val="a3"/>
        <w:rPr>
          <w:sz w:val="18"/>
        </w:rPr>
      </w:pPr>
    </w:p>
    <w:p w14:paraId="5AF159EB" w14:textId="77777777" w:rsidR="00A71EEF" w:rsidRDefault="0081115D">
      <w:pPr>
        <w:pStyle w:val="a3"/>
        <w:spacing w:line="446" w:lineRule="auto"/>
        <w:ind w:left="418" w:right="1222" w:firstLine="419"/>
      </w:pPr>
      <w:r>
        <w:rPr>
          <w:spacing w:val="-10"/>
        </w:rPr>
        <w:t>灭火战区地图能显示以火灾及其他灾害事故地点为中心的作战区域及道路、消防水源、建</w:t>
      </w:r>
      <w:r>
        <w:t>（</w:t>
      </w:r>
      <w:r>
        <w:rPr>
          <w:spacing w:val="-5"/>
        </w:rPr>
        <w:t>构</w:t>
      </w:r>
      <w:r>
        <w:t>）</w:t>
      </w:r>
      <w:r>
        <w:t xml:space="preserve"> </w:t>
      </w:r>
      <w:r>
        <w:rPr>
          <w:spacing w:val="-3"/>
        </w:rPr>
        <w:t>筑物、力量部署等相关信息；</w:t>
      </w:r>
      <w:r>
        <w:t xml:space="preserve"> </w:t>
      </w:r>
    </w:p>
    <w:p w14:paraId="781377E4" w14:textId="77777777" w:rsidR="00A71EEF" w:rsidRDefault="0081115D">
      <w:pPr>
        <w:pStyle w:val="a3"/>
        <w:spacing w:line="446" w:lineRule="auto"/>
        <w:ind w:left="838" w:right="5709"/>
      </w:pPr>
      <w:r>
        <w:t>具有地图的放大、缩小、平移、漫游功能；</w:t>
      </w:r>
      <w:r>
        <w:t xml:space="preserve"> </w:t>
      </w:r>
      <w:r>
        <w:t>能注记设置地图要素显示的符号、文字；</w:t>
      </w:r>
      <w:r>
        <w:t xml:space="preserve"> </w:t>
      </w:r>
    </w:p>
    <w:p w14:paraId="1DEB58C5" w14:textId="77777777" w:rsidR="00A71EEF" w:rsidRDefault="0081115D">
      <w:pPr>
        <w:pStyle w:val="a3"/>
        <w:spacing w:line="446" w:lineRule="auto"/>
        <w:ind w:left="838" w:right="5288"/>
      </w:pPr>
      <w:r>
        <w:t>能按显示范围和比例尺，自动切换图层或区域；</w:t>
      </w:r>
      <w:r>
        <w:t xml:space="preserve"> </w:t>
      </w:r>
      <w:r>
        <w:t>能支持影像图叠加显示。</w:t>
      </w:r>
      <w:r>
        <w:t xml:space="preserve"> </w:t>
      </w:r>
    </w:p>
    <w:p w14:paraId="68B9499E" w14:textId="77777777" w:rsidR="00A71EEF" w:rsidRDefault="00A71EEF">
      <w:pPr>
        <w:spacing w:line="446" w:lineRule="auto"/>
        <w:sectPr w:rsidR="00A71EEF">
          <w:pgSz w:w="11910" w:h="16850"/>
          <w:pgMar w:top="1220" w:right="0" w:bottom="1420" w:left="1260" w:header="0" w:footer="1239" w:gutter="0"/>
          <w:cols w:space="720"/>
        </w:sectPr>
      </w:pPr>
    </w:p>
    <w:p w14:paraId="274A1A40" w14:textId="77777777" w:rsidR="00A71EEF" w:rsidRDefault="0081115D">
      <w:pPr>
        <w:pStyle w:val="a4"/>
        <w:numPr>
          <w:ilvl w:val="2"/>
          <w:numId w:val="37"/>
        </w:numPr>
        <w:tabs>
          <w:tab w:val="left" w:pos="1478"/>
        </w:tabs>
        <w:spacing w:before="47"/>
        <w:ind w:left="1477" w:hanging="638"/>
        <w:rPr>
          <w:sz w:val="21"/>
        </w:rPr>
      </w:pPr>
      <w:r>
        <w:rPr>
          <w:spacing w:val="-3"/>
          <w:sz w:val="21"/>
        </w:rPr>
        <w:t>消防地理信息子系统的地址匹配分析与定位功能应符合下列要求：</w:t>
      </w:r>
      <w:r>
        <w:rPr>
          <w:spacing w:val="-3"/>
          <w:sz w:val="21"/>
        </w:rPr>
        <w:t xml:space="preserve"> </w:t>
      </w:r>
    </w:p>
    <w:p w14:paraId="60DDD9A5" w14:textId="77777777" w:rsidR="00A71EEF" w:rsidRDefault="00A71EEF">
      <w:pPr>
        <w:pStyle w:val="a3"/>
        <w:rPr>
          <w:sz w:val="18"/>
        </w:rPr>
      </w:pPr>
    </w:p>
    <w:p w14:paraId="39F38B53" w14:textId="77777777" w:rsidR="00A71EEF" w:rsidRDefault="0081115D">
      <w:pPr>
        <w:pStyle w:val="a3"/>
        <w:ind w:left="418"/>
      </w:pPr>
      <w:r>
        <w:t xml:space="preserve"> </w:t>
      </w:r>
      <w:r>
        <w:t xml:space="preserve"> </w:t>
      </w:r>
      <w:r>
        <w:t xml:space="preserve"> </w:t>
      </w:r>
      <w:r>
        <w:t xml:space="preserve"> </w:t>
      </w:r>
      <w:r>
        <w:t>能设定组合条件进行模糊查询；</w:t>
      </w:r>
      <w:r>
        <w:t xml:space="preserve"> </w:t>
      </w:r>
    </w:p>
    <w:p w14:paraId="4F34B6B5" w14:textId="77777777" w:rsidR="00A71EEF" w:rsidRDefault="00A71EEF">
      <w:pPr>
        <w:pStyle w:val="a3"/>
        <w:rPr>
          <w:sz w:val="18"/>
        </w:rPr>
      </w:pPr>
    </w:p>
    <w:p w14:paraId="34522980" w14:textId="77777777" w:rsidR="00A71EEF" w:rsidRDefault="0081115D">
      <w:pPr>
        <w:pStyle w:val="a3"/>
        <w:spacing w:line="446" w:lineRule="auto"/>
        <w:ind w:left="418" w:right="1433"/>
      </w:pPr>
      <w:r>
        <w:t xml:space="preserve"> </w:t>
      </w:r>
      <w:r>
        <w:t xml:space="preserve"> </w:t>
      </w:r>
      <w:r>
        <w:t xml:space="preserve"> </w:t>
      </w:r>
      <w:r>
        <w:t xml:space="preserve"> </w:t>
      </w:r>
      <w:r>
        <w:rPr>
          <w:spacing w:val="-8"/>
        </w:rPr>
        <w:t>能根据道路、小区、单位、水源、消火栓、消防站的名称或地址等，在地图上进行精确或模</w:t>
      </w:r>
      <w:r>
        <w:rPr>
          <w:spacing w:val="-6"/>
        </w:rPr>
        <w:t>糊定位。</w:t>
      </w:r>
      <w:r>
        <w:t xml:space="preserve"> </w:t>
      </w:r>
    </w:p>
    <w:p w14:paraId="4F0EF4FB" w14:textId="77777777" w:rsidR="00A71EEF" w:rsidRDefault="0081115D">
      <w:pPr>
        <w:pStyle w:val="a3"/>
        <w:ind w:left="418"/>
      </w:pPr>
      <w:r>
        <w:t xml:space="preserve">    </w:t>
      </w:r>
      <w:r>
        <w:rPr>
          <w:b/>
        </w:rPr>
        <w:t xml:space="preserve">5.9.11 </w:t>
      </w:r>
      <w:r>
        <w:t>消防地理信息子系统的量测分析功能应符合下列要求：</w:t>
      </w:r>
      <w:r>
        <w:t xml:space="preserve"> </w:t>
      </w:r>
    </w:p>
    <w:p w14:paraId="0BD92717" w14:textId="77777777" w:rsidR="00A71EEF" w:rsidRDefault="00A71EEF">
      <w:pPr>
        <w:pStyle w:val="a3"/>
        <w:spacing w:before="12"/>
        <w:rPr>
          <w:sz w:val="17"/>
        </w:rPr>
      </w:pPr>
    </w:p>
    <w:p w14:paraId="24BD5208" w14:textId="77777777" w:rsidR="00A71EEF" w:rsidRDefault="0081115D">
      <w:pPr>
        <w:pStyle w:val="a3"/>
        <w:ind w:left="418"/>
      </w:pPr>
      <w:r>
        <w:t xml:space="preserve"> </w:t>
      </w:r>
      <w:r>
        <w:t xml:space="preserve"> </w:t>
      </w:r>
      <w:r>
        <w:t xml:space="preserve"> </w:t>
      </w:r>
      <w:r>
        <w:t xml:space="preserve"> </w:t>
      </w:r>
      <w:r>
        <w:rPr>
          <w:spacing w:val="-3"/>
        </w:rPr>
        <w:t>能对道路、消防水源、建（</w:t>
      </w:r>
      <w:r>
        <w:t>构</w:t>
      </w:r>
      <w:r>
        <w:rPr>
          <w:spacing w:val="-3"/>
        </w:rPr>
        <w:t>）筑物等目标进行距离测量；</w:t>
      </w:r>
      <w:r>
        <w:t xml:space="preserve"> </w:t>
      </w:r>
    </w:p>
    <w:p w14:paraId="0E00CAFC" w14:textId="77777777" w:rsidR="00A71EEF" w:rsidRDefault="00A71EEF">
      <w:pPr>
        <w:pStyle w:val="a3"/>
        <w:spacing w:before="2"/>
        <w:rPr>
          <w:sz w:val="18"/>
        </w:rPr>
      </w:pPr>
    </w:p>
    <w:p w14:paraId="4F77E35D" w14:textId="77777777" w:rsidR="00A71EEF" w:rsidRDefault="0081115D">
      <w:pPr>
        <w:pStyle w:val="a3"/>
        <w:ind w:left="418"/>
      </w:pPr>
      <w:r>
        <w:t xml:space="preserve"> </w:t>
      </w:r>
      <w:r>
        <w:t xml:space="preserve"> </w:t>
      </w:r>
      <w:r>
        <w:t xml:space="preserve"> </w:t>
      </w:r>
      <w:r>
        <w:t xml:space="preserve"> </w:t>
      </w:r>
      <w:r>
        <w:rPr>
          <w:spacing w:val="-3"/>
        </w:rPr>
        <w:t>能对道路、消防水源、建（</w:t>
      </w:r>
      <w:r>
        <w:t>构</w:t>
      </w:r>
      <w:r>
        <w:rPr>
          <w:spacing w:val="-3"/>
        </w:rPr>
        <w:t>）筑物等目标进行面积测量；</w:t>
      </w:r>
      <w:r>
        <w:t xml:space="preserve"> </w:t>
      </w:r>
    </w:p>
    <w:p w14:paraId="455A3B01" w14:textId="77777777" w:rsidR="00A71EEF" w:rsidRDefault="00A71EEF">
      <w:pPr>
        <w:pStyle w:val="a3"/>
        <w:rPr>
          <w:sz w:val="18"/>
        </w:rPr>
      </w:pPr>
    </w:p>
    <w:p w14:paraId="3196757F" w14:textId="77777777" w:rsidR="00A71EEF" w:rsidRDefault="0081115D">
      <w:pPr>
        <w:pStyle w:val="a3"/>
        <w:ind w:left="418"/>
      </w:pPr>
      <w:r>
        <w:t xml:space="preserve"> </w:t>
      </w:r>
      <w:r>
        <w:t xml:space="preserve"> </w:t>
      </w:r>
      <w:r>
        <w:t xml:space="preserve"> </w:t>
      </w:r>
      <w:r>
        <w:t xml:space="preserve"> </w:t>
      </w:r>
      <w:r>
        <w:t>能对指定的目标集合中的地理目标进行周边分析；</w:t>
      </w:r>
      <w:r>
        <w:t xml:space="preserve"> </w:t>
      </w:r>
    </w:p>
    <w:p w14:paraId="742664B2" w14:textId="77777777" w:rsidR="00A71EEF" w:rsidRDefault="00A71EEF">
      <w:pPr>
        <w:pStyle w:val="a3"/>
        <w:spacing w:before="12"/>
        <w:rPr>
          <w:sz w:val="17"/>
        </w:rPr>
      </w:pPr>
    </w:p>
    <w:p w14:paraId="7FF1FF84" w14:textId="77777777" w:rsidR="00A71EEF" w:rsidRDefault="0081115D">
      <w:pPr>
        <w:pStyle w:val="a3"/>
        <w:ind w:left="418"/>
      </w:pPr>
      <w:r>
        <w:t xml:space="preserve"> </w:t>
      </w:r>
      <w:r>
        <w:t xml:space="preserve"> </w:t>
      </w:r>
      <w:r>
        <w:t xml:space="preserve"> </w:t>
      </w:r>
      <w:r>
        <w:t xml:space="preserve"> </w:t>
      </w:r>
      <w:r>
        <w:t>具有最佳行车路径分析功能。</w:t>
      </w:r>
      <w:r>
        <w:t xml:space="preserve"> </w:t>
      </w:r>
    </w:p>
    <w:p w14:paraId="01E458BA" w14:textId="77777777" w:rsidR="00A71EEF" w:rsidRDefault="00A71EEF">
      <w:pPr>
        <w:pStyle w:val="a3"/>
        <w:spacing w:before="2"/>
        <w:rPr>
          <w:sz w:val="18"/>
        </w:rPr>
      </w:pPr>
    </w:p>
    <w:p w14:paraId="302C8F18" w14:textId="77777777" w:rsidR="00A71EEF" w:rsidRDefault="0081115D">
      <w:pPr>
        <w:pStyle w:val="a3"/>
        <w:ind w:left="418"/>
      </w:pPr>
      <w:r>
        <w:t xml:space="preserve">    </w:t>
      </w:r>
      <w:r>
        <w:rPr>
          <w:b/>
        </w:rPr>
        <w:t xml:space="preserve">5.9.12 </w:t>
      </w:r>
      <w:r>
        <w:t>消防地理信息子系统的制图输出功能应符合下列要求：</w:t>
      </w:r>
      <w:r>
        <w:t xml:space="preserve"> </w:t>
      </w:r>
    </w:p>
    <w:p w14:paraId="387A560D" w14:textId="77777777" w:rsidR="00A71EEF" w:rsidRDefault="00A71EEF">
      <w:pPr>
        <w:pStyle w:val="a3"/>
        <w:rPr>
          <w:sz w:val="18"/>
        </w:rPr>
      </w:pPr>
    </w:p>
    <w:p w14:paraId="48440265" w14:textId="77777777" w:rsidR="00A71EEF" w:rsidRDefault="0081115D">
      <w:pPr>
        <w:pStyle w:val="a3"/>
        <w:ind w:left="418"/>
      </w:pPr>
      <w:r>
        <w:t xml:space="preserve"> </w:t>
      </w:r>
      <w:r>
        <w:t xml:space="preserve"> </w:t>
      </w:r>
      <w:r>
        <w:t xml:space="preserve"> </w:t>
      </w:r>
      <w:r>
        <w:t xml:space="preserve"> </w:t>
      </w:r>
      <w:r>
        <w:t>能制作地图输出模板并予以存储；</w:t>
      </w:r>
      <w:r>
        <w:t xml:space="preserve"> </w:t>
      </w:r>
    </w:p>
    <w:p w14:paraId="741CB614" w14:textId="77777777" w:rsidR="00A71EEF" w:rsidRDefault="00A71EEF">
      <w:pPr>
        <w:pStyle w:val="a3"/>
        <w:spacing w:before="12"/>
        <w:rPr>
          <w:sz w:val="17"/>
        </w:rPr>
      </w:pPr>
    </w:p>
    <w:p w14:paraId="0C8211DC" w14:textId="77777777" w:rsidR="00A71EEF" w:rsidRDefault="0081115D">
      <w:pPr>
        <w:pStyle w:val="a3"/>
        <w:ind w:left="418"/>
      </w:pPr>
      <w:r>
        <w:t xml:space="preserve"> </w:t>
      </w:r>
      <w:r>
        <w:t xml:space="preserve"> </w:t>
      </w:r>
      <w:r>
        <w:t xml:space="preserve"> </w:t>
      </w:r>
      <w:r>
        <w:t xml:space="preserve"> </w:t>
      </w:r>
      <w:r>
        <w:t>能设置地图的图廓、标题、图例、指北针、比例尺等各种地图要素整饰；</w:t>
      </w:r>
      <w:r>
        <w:t xml:space="preserve"> </w:t>
      </w:r>
    </w:p>
    <w:p w14:paraId="74F3CA4F" w14:textId="77777777" w:rsidR="00A71EEF" w:rsidRDefault="00A71EEF">
      <w:pPr>
        <w:pStyle w:val="a3"/>
        <w:spacing w:before="2"/>
        <w:rPr>
          <w:sz w:val="18"/>
        </w:rPr>
      </w:pPr>
    </w:p>
    <w:p w14:paraId="47A52B0A" w14:textId="77777777" w:rsidR="00A71EEF" w:rsidRDefault="0081115D">
      <w:pPr>
        <w:pStyle w:val="a3"/>
        <w:ind w:left="418"/>
      </w:pPr>
      <w:r>
        <w:t xml:space="preserve"> </w:t>
      </w:r>
      <w:r>
        <w:t xml:space="preserve"> </w:t>
      </w:r>
      <w:r>
        <w:t xml:space="preserve"> </w:t>
      </w:r>
      <w:r>
        <w:t xml:space="preserve"> </w:t>
      </w:r>
      <w:r>
        <w:t>能提供点、线、面和文字等地图标注工具；</w:t>
      </w:r>
      <w:r>
        <w:t xml:space="preserve"> </w:t>
      </w:r>
    </w:p>
    <w:p w14:paraId="2670FFAB" w14:textId="77777777" w:rsidR="00A71EEF" w:rsidRDefault="00A71EEF">
      <w:pPr>
        <w:pStyle w:val="a3"/>
        <w:rPr>
          <w:sz w:val="18"/>
        </w:rPr>
      </w:pPr>
    </w:p>
    <w:p w14:paraId="580CFF36" w14:textId="77777777" w:rsidR="00A71EEF" w:rsidRDefault="0081115D">
      <w:pPr>
        <w:pStyle w:val="a3"/>
        <w:ind w:left="418"/>
      </w:pPr>
      <w:r>
        <w:t xml:space="preserve"> </w:t>
      </w:r>
      <w:r>
        <w:t xml:space="preserve"> </w:t>
      </w:r>
      <w:r>
        <w:t xml:space="preserve"> </w:t>
      </w:r>
      <w:r>
        <w:t xml:space="preserve"> </w:t>
      </w:r>
      <w:r>
        <w:t>能打印输出地图；</w:t>
      </w:r>
      <w:r>
        <w:t xml:space="preserve"> </w:t>
      </w:r>
    </w:p>
    <w:p w14:paraId="05A7AE63" w14:textId="77777777" w:rsidR="00A71EEF" w:rsidRDefault="00A71EEF">
      <w:pPr>
        <w:pStyle w:val="a3"/>
        <w:spacing w:before="12"/>
        <w:rPr>
          <w:sz w:val="17"/>
        </w:rPr>
      </w:pPr>
    </w:p>
    <w:p w14:paraId="0CD9B16F" w14:textId="77777777" w:rsidR="00A71EEF" w:rsidRDefault="0081115D">
      <w:pPr>
        <w:pStyle w:val="a3"/>
        <w:spacing w:line="446" w:lineRule="auto"/>
        <w:ind w:left="840" w:right="7193" w:hanging="423"/>
        <w:rPr>
          <w:b/>
        </w:rPr>
      </w:pPr>
      <w:r>
        <w:t xml:space="preserve"> </w:t>
      </w:r>
      <w:r>
        <w:t xml:space="preserve"> </w:t>
      </w:r>
      <w:r>
        <w:t xml:space="preserve">  </w:t>
      </w:r>
      <w:r>
        <w:t>能将地图以网络方式发布。</w:t>
      </w:r>
      <w:r>
        <w:rPr>
          <w:b/>
        </w:rPr>
        <w:t xml:space="preserve">5.10 </w:t>
      </w:r>
      <w:r>
        <w:t>消防信息显示子系统</w:t>
      </w:r>
      <w:r>
        <w:rPr>
          <w:b/>
          <w:w w:val="99"/>
        </w:rPr>
        <w:t xml:space="preserve"> </w:t>
      </w:r>
    </w:p>
    <w:p w14:paraId="16789BE9" w14:textId="77777777" w:rsidR="00A71EEF" w:rsidRDefault="0081115D">
      <w:pPr>
        <w:pStyle w:val="a4"/>
        <w:numPr>
          <w:ilvl w:val="2"/>
          <w:numId w:val="30"/>
        </w:numPr>
        <w:tabs>
          <w:tab w:val="left" w:pos="1475"/>
        </w:tabs>
        <w:rPr>
          <w:sz w:val="21"/>
        </w:rPr>
      </w:pPr>
      <w:r>
        <w:rPr>
          <w:spacing w:val="-5"/>
          <w:sz w:val="21"/>
        </w:rPr>
        <w:t>消防信息显示子系统应能接入和集中控制管理本规范第</w:t>
      </w:r>
      <w:r>
        <w:rPr>
          <w:spacing w:val="-5"/>
          <w:sz w:val="21"/>
        </w:rPr>
        <w:t xml:space="preserve"> </w:t>
      </w:r>
      <w:r>
        <w:rPr>
          <w:sz w:val="21"/>
        </w:rPr>
        <w:t>5.10.3</w:t>
      </w:r>
      <w:r>
        <w:rPr>
          <w:spacing w:val="-2"/>
          <w:sz w:val="21"/>
        </w:rPr>
        <w:t xml:space="preserve"> </w:t>
      </w:r>
      <w:r>
        <w:rPr>
          <w:spacing w:val="-2"/>
          <w:sz w:val="21"/>
        </w:rPr>
        <w:t>条规定的信息。</w:t>
      </w:r>
      <w:r>
        <w:rPr>
          <w:spacing w:val="-2"/>
          <w:sz w:val="21"/>
        </w:rPr>
        <w:t xml:space="preserve"> </w:t>
      </w:r>
    </w:p>
    <w:p w14:paraId="2C01F00B" w14:textId="77777777" w:rsidR="00A71EEF" w:rsidRDefault="00A71EEF">
      <w:pPr>
        <w:pStyle w:val="a3"/>
        <w:spacing w:before="12"/>
        <w:rPr>
          <w:sz w:val="17"/>
        </w:rPr>
      </w:pPr>
    </w:p>
    <w:p w14:paraId="6162AAE3" w14:textId="77777777" w:rsidR="00A71EEF" w:rsidRDefault="0081115D">
      <w:pPr>
        <w:pStyle w:val="a4"/>
        <w:numPr>
          <w:ilvl w:val="2"/>
          <w:numId w:val="30"/>
        </w:numPr>
        <w:tabs>
          <w:tab w:val="left" w:pos="1475"/>
        </w:tabs>
        <w:rPr>
          <w:sz w:val="21"/>
        </w:rPr>
      </w:pPr>
      <w:r>
        <w:rPr>
          <w:spacing w:val="-3"/>
          <w:sz w:val="21"/>
        </w:rPr>
        <w:t>消防信息显示子系统的切换控制功能应符合下列要求：</w:t>
      </w:r>
      <w:r>
        <w:rPr>
          <w:sz w:val="21"/>
        </w:rPr>
        <w:t xml:space="preserve"> </w:t>
      </w:r>
    </w:p>
    <w:p w14:paraId="2142BEF4" w14:textId="77777777" w:rsidR="00A71EEF" w:rsidRDefault="00A71EEF">
      <w:pPr>
        <w:pStyle w:val="a3"/>
        <w:spacing w:before="2"/>
        <w:rPr>
          <w:sz w:val="18"/>
        </w:rPr>
      </w:pPr>
    </w:p>
    <w:p w14:paraId="18A44D1E" w14:textId="77777777" w:rsidR="00A71EEF" w:rsidRDefault="0081115D">
      <w:pPr>
        <w:pStyle w:val="a3"/>
        <w:spacing w:line="446" w:lineRule="auto"/>
        <w:ind w:left="838" w:right="4446"/>
      </w:pPr>
      <w:r>
        <w:t>能对视频信息进行显示控制，对音频信息进行播放控制；</w:t>
      </w:r>
      <w:r>
        <w:t xml:space="preserve"> </w:t>
      </w:r>
      <w:r>
        <w:t>具有多种组合显示模式，能实现不同模式的切换；</w:t>
      </w:r>
      <w:r>
        <w:t xml:space="preserve"> </w:t>
      </w:r>
    </w:p>
    <w:p w14:paraId="722F2D65" w14:textId="77777777" w:rsidR="00A71EEF" w:rsidRDefault="0081115D">
      <w:pPr>
        <w:pStyle w:val="a3"/>
        <w:spacing w:line="446" w:lineRule="auto"/>
        <w:ind w:left="838" w:right="4657"/>
      </w:pPr>
      <w:r>
        <w:t>具有多个视频图像和计算机画面的同屏混合显示功能；</w:t>
      </w:r>
      <w:r>
        <w:t xml:space="preserve"> </w:t>
      </w:r>
      <w:r>
        <w:t>能通过网络进行远程切换控制；</w:t>
      </w:r>
      <w:r>
        <w:t xml:space="preserve"> </w:t>
      </w:r>
    </w:p>
    <w:p w14:paraId="16ED700F" w14:textId="77777777" w:rsidR="00A71EEF" w:rsidRDefault="0081115D">
      <w:pPr>
        <w:pStyle w:val="a3"/>
        <w:ind w:left="838"/>
      </w:pPr>
      <w:r>
        <w:t>具有交互式电子白板功能。</w:t>
      </w:r>
      <w:r>
        <w:t xml:space="preserve"> </w:t>
      </w:r>
    </w:p>
    <w:p w14:paraId="2DF0A660" w14:textId="77777777" w:rsidR="00A71EEF" w:rsidRDefault="00A71EEF">
      <w:pPr>
        <w:pStyle w:val="a3"/>
        <w:spacing w:before="10"/>
        <w:rPr>
          <w:sz w:val="17"/>
        </w:rPr>
      </w:pPr>
    </w:p>
    <w:p w14:paraId="042B69D3" w14:textId="77777777" w:rsidR="00A71EEF" w:rsidRDefault="0081115D">
      <w:pPr>
        <w:pStyle w:val="a4"/>
        <w:numPr>
          <w:ilvl w:val="2"/>
          <w:numId w:val="30"/>
        </w:numPr>
        <w:tabs>
          <w:tab w:val="left" w:pos="1475"/>
        </w:tabs>
        <w:spacing w:before="1"/>
        <w:rPr>
          <w:sz w:val="21"/>
        </w:rPr>
      </w:pPr>
      <w:r>
        <w:rPr>
          <w:spacing w:val="-3"/>
          <w:sz w:val="21"/>
        </w:rPr>
        <w:t>消防信息显示子系统应能显示下列内容：</w:t>
      </w:r>
      <w:r>
        <w:rPr>
          <w:sz w:val="21"/>
        </w:rPr>
        <w:t xml:space="preserve"> </w:t>
      </w:r>
    </w:p>
    <w:p w14:paraId="108778EE" w14:textId="77777777" w:rsidR="00A71EEF" w:rsidRDefault="00A71EEF">
      <w:pPr>
        <w:pStyle w:val="a3"/>
        <w:spacing w:before="1"/>
        <w:rPr>
          <w:sz w:val="18"/>
        </w:rPr>
      </w:pPr>
    </w:p>
    <w:p w14:paraId="3836FB8F" w14:textId="77777777" w:rsidR="00A71EEF" w:rsidRDefault="0081115D">
      <w:pPr>
        <w:pStyle w:val="a3"/>
        <w:spacing w:before="1"/>
        <w:ind w:left="838"/>
      </w:pPr>
      <w:r>
        <w:t>辖区消防队站、值班信息；</w:t>
      </w:r>
      <w:r>
        <w:t xml:space="preserve"> </w:t>
      </w:r>
    </w:p>
    <w:p w14:paraId="305D6029" w14:textId="77777777" w:rsidR="00A71EEF" w:rsidRDefault="00A71EEF">
      <w:pPr>
        <w:pStyle w:val="a3"/>
        <w:spacing w:before="12"/>
        <w:rPr>
          <w:sz w:val="17"/>
        </w:rPr>
      </w:pPr>
    </w:p>
    <w:p w14:paraId="093EDC1D" w14:textId="77777777" w:rsidR="00A71EEF" w:rsidRDefault="0081115D">
      <w:pPr>
        <w:pStyle w:val="a3"/>
        <w:spacing w:line="446" w:lineRule="auto"/>
        <w:ind w:left="838" w:right="3397"/>
      </w:pPr>
      <w:r>
        <w:t>辖区消防车辆类型、数量和待命、出动、到场、执勤、检修等状态；</w:t>
      </w:r>
      <w:r>
        <w:t xml:space="preserve"> </w:t>
      </w:r>
      <w:r>
        <w:t>日期、时钟；</w:t>
      </w:r>
      <w:r>
        <w:t xml:space="preserve"> </w:t>
      </w:r>
    </w:p>
    <w:p w14:paraId="4B8F087F" w14:textId="77777777" w:rsidR="00A71EEF" w:rsidRDefault="0081115D">
      <w:pPr>
        <w:pStyle w:val="a3"/>
        <w:ind w:left="838"/>
      </w:pPr>
      <w:r>
        <w:t>当前天气、温度、湿度、风向、风力；</w:t>
      </w:r>
      <w:r>
        <w:t xml:space="preserve"> </w:t>
      </w:r>
    </w:p>
    <w:p w14:paraId="4945C04F" w14:textId="77777777" w:rsidR="00A71EEF" w:rsidRDefault="00A71EEF">
      <w:pPr>
        <w:sectPr w:rsidR="00A71EEF">
          <w:pgSz w:w="11910" w:h="16850"/>
          <w:pgMar w:top="1220" w:right="0" w:bottom="1420" w:left="1260" w:header="0" w:footer="1239" w:gutter="0"/>
          <w:cols w:space="720"/>
        </w:sectPr>
      </w:pPr>
    </w:p>
    <w:p w14:paraId="13EF7E2E" w14:textId="77777777" w:rsidR="00A71EEF" w:rsidRDefault="0081115D">
      <w:pPr>
        <w:pStyle w:val="a3"/>
        <w:spacing w:before="47" w:line="446" w:lineRule="auto"/>
        <w:ind w:left="838" w:right="6757"/>
      </w:pPr>
      <w:r>
        <w:t>当前火灾及其他灾害事故信息；</w:t>
      </w:r>
      <w:r>
        <w:t xml:space="preserve"> </w:t>
      </w:r>
      <w:r>
        <w:t>灭火救援统计数据；</w:t>
      </w:r>
      <w:r>
        <w:t xml:space="preserve"> </w:t>
      </w:r>
    </w:p>
    <w:p w14:paraId="65C85844" w14:textId="77777777" w:rsidR="00A71EEF" w:rsidRDefault="0081115D">
      <w:pPr>
        <w:pStyle w:val="a3"/>
        <w:spacing w:line="267" w:lineRule="exact"/>
        <w:ind w:left="838"/>
      </w:pPr>
      <w:r>
        <w:t>本规范第</w:t>
      </w:r>
      <w:r>
        <w:t xml:space="preserve"> 5.5.1 </w:t>
      </w:r>
      <w:r>
        <w:t>条～第</w:t>
      </w:r>
      <w:r>
        <w:t xml:space="preserve"> 5.5.7 </w:t>
      </w:r>
      <w:r>
        <w:t>条规定的图像信息；</w:t>
      </w:r>
      <w:r>
        <w:t xml:space="preserve"> </w:t>
      </w:r>
    </w:p>
    <w:p w14:paraId="51EF1353" w14:textId="77777777" w:rsidR="00A71EEF" w:rsidRDefault="00A71EEF">
      <w:pPr>
        <w:pStyle w:val="a3"/>
        <w:spacing w:before="2"/>
        <w:rPr>
          <w:sz w:val="18"/>
        </w:rPr>
      </w:pPr>
    </w:p>
    <w:p w14:paraId="5BC54333" w14:textId="77777777" w:rsidR="00A71EEF" w:rsidRDefault="0081115D">
      <w:pPr>
        <w:pStyle w:val="a3"/>
        <w:ind w:left="838"/>
      </w:pPr>
      <w:r>
        <w:t>火警受理、调度指挥、现场指挥等业务应用系统的信息。</w:t>
      </w:r>
      <w:r>
        <w:t xml:space="preserve"> </w:t>
      </w:r>
    </w:p>
    <w:p w14:paraId="39AFD285" w14:textId="77777777" w:rsidR="00A71EEF" w:rsidRDefault="00A71EEF">
      <w:pPr>
        <w:pStyle w:val="a3"/>
        <w:rPr>
          <w:sz w:val="18"/>
        </w:rPr>
      </w:pPr>
    </w:p>
    <w:p w14:paraId="292C0DBD" w14:textId="77777777" w:rsidR="00A71EEF" w:rsidRDefault="0081115D">
      <w:pPr>
        <w:pStyle w:val="a4"/>
        <w:numPr>
          <w:ilvl w:val="2"/>
          <w:numId w:val="30"/>
        </w:numPr>
        <w:tabs>
          <w:tab w:val="left" w:pos="1475"/>
        </w:tabs>
        <w:rPr>
          <w:sz w:val="21"/>
        </w:rPr>
      </w:pPr>
      <w:r>
        <w:rPr>
          <w:spacing w:val="-3"/>
          <w:sz w:val="21"/>
        </w:rPr>
        <w:t>消防信息显示子系统的软硬件设备应符合国家现行有关标准的规定。</w:t>
      </w:r>
      <w:r>
        <w:rPr>
          <w:spacing w:val="-3"/>
          <w:sz w:val="21"/>
        </w:rPr>
        <w:t xml:space="preserve"> </w:t>
      </w:r>
    </w:p>
    <w:p w14:paraId="1A17C1D6" w14:textId="77777777" w:rsidR="00A71EEF" w:rsidRDefault="00A71EEF">
      <w:pPr>
        <w:pStyle w:val="a3"/>
        <w:spacing w:before="12"/>
        <w:rPr>
          <w:sz w:val="17"/>
        </w:rPr>
      </w:pPr>
    </w:p>
    <w:p w14:paraId="1C73EEBC" w14:textId="77777777" w:rsidR="00A71EEF" w:rsidRDefault="0081115D">
      <w:pPr>
        <w:pStyle w:val="a4"/>
        <w:numPr>
          <w:ilvl w:val="2"/>
          <w:numId w:val="30"/>
        </w:numPr>
        <w:tabs>
          <w:tab w:val="left" w:pos="1475"/>
        </w:tabs>
        <w:spacing w:line="446" w:lineRule="auto"/>
        <w:ind w:left="838" w:right="4338" w:firstLine="0"/>
        <w:jc w:val="both"/>
        <w:rPr>
          <w:sz w:val="21"/>
        </w:rPr>
      </w:pPr>
      <w:r>
        <w:rPr>
          <w:spacing w:val="-3"/>
          <w:sz w:val="21"/>
        </w:rPr>
        <w:t>消防信息显示子系统的技术性能应符合下列要求：</w:t>
      </w:r>
      <w:r>
        <w:rPr>
          <w:spacing w:val="-3"/>
          <w:sz w:val="21"/>
        </w:rPr>
        <w:t xml:space="preserve"> </w:t>
      </w:r>
      <w:r>
        <w:rPr>
          <w:spacing w:val="-11"/>
          <w:sz w:val="21"/>
        </w:rPr>
        <w:t>应能支持从</w:t>
      </w:r>
      <w:r>
        <w:rPr>
          <w:spacing w:val="-11"/>
          <w:sz w:val="21"/>
        </w:rPr>
        <w:t xml:space="preserve"> </w:t>
      </w:r>
      <w:r>
        <w:rPr>
          <w:sz w:val="21"/>
        </w:rPr>
        <w:t>640×480</w:t>
      </w:r>
      <w:r>
        <w:rPr>
          <w:spacing w:val="-35"/>
          <w:sz w:val="21"/>
        </w:rPr>
        <w:t xml:space="preserve"> </w:t>
      </w:r>
      <w:r>
        <w:rPr>
          <w:spacing w:val="-35"/>
          <w:sz w:val="21"/>
        </w:rPr>
        <w:t>到</w:t>
      </w:r>
      <w:r>
        <w:rPr>
          <w:spacing w:val="-35"/>
          <w:sz w:val="21"/>
        </w:rPr>
        <w:t xml:space="preserve"> </w:t>
      </w:r>
      <w:r>
        <w:rPr>
          <w:sz w:val="21"/>
        </w:rPr>
        <w:t>1600×1200</w:t>
      </w:r>
      <w:r>
        <w:rPr>
          <w:spacing w:val="-3"/>
          <w:sz w:val="21"/>
        </w:rPr>
        <w:t xml:space="preserve"> </w:t>
      </w:r>
      <w:r>
        <w:rPr>
          <w:spacing w:val="-3"/>
          <w:sz w:val="21"/>
        </w:rPr>
        <w:t>的各种分辨率信号；</w:t>
      </w:r>
      <w:r>
        <w:rPr>
          <w:spacing w:val="-3"/>
          <w:sz w:val="21"/>
        </w:rPr>
        <w:t xml:space="preserve"> </w:t>
      </w:r>
      <w:r>
        <w:rPr>
          <w:spacing w:val="-6"/>
          <w:sz w:val="21"/>
        </w:rPr>
        <w:t>屏</w:t>
      </w:r>
      <w:r>
        <w:rPr>
          <w:spacing w:val="-6"/>
          <w:sz w:val="21"/>
        </w:rPr>
        <w:t>幕亮度能适应高照度环境，亮度均匀性应大于</w:t>
      </w:r>
      <w:r>
        <w:rPr>
          <w:spacing w:val="-6"/>
          <w:sz w:val="21"/>
        </w:rPr>
        <w:t xml:space="preserve"> </w:t>
      </w:r>
      <w:r>
        <w:rPr>
          <w:spacing w:val="-3"/>
          <w:sz w:val="21"/>
        </w:rPr>
        <w:t>90%</w:t>
      </w:r>
      <w:r>
        <w:rPr>
          <w:spacing w:val="-3"/>
          <w:sz w:val="21"/>
        </w:rPr>
        <w:t>；</w:t>
      </w:r>
      <w:r>
        <w:rPr>
          <w:sz w:val="21"/>
        </w:rPr>
        <w:t xml:space="preserve"> </w:t>
      </w:r>
    </w:p>
    <w:p w14:paraId="269A5A6C" w14:textId="77777777" w:rsidR="00A71EEF" w:rsidRDefault="0081115D">
      <w:pPr>
        <w:pStyle w:val="a3"/>
        <w:spacing w:line="268" w:lineRule="exact"/>
        <w:ind w:left="838"/>
        <w:jc w:val="both"/>
      </w:pPr>
      <w:r>
        <w:t>屏幕水平视角</w:t>
      </w:r>
      <w:r>
        <w:t xml:space="preserve"> 180°</w:t>
      </w:r>
      <w:r>
        <w:t>，垂直视角不应小于</w:t>
      </w:r>
      <w:r>
        <w:t xml:space="preserve"> 80°</w:t>
      </w:r>
      <w:r>
        <w:t>；</w:t>
      </w:r>
      <w:r>
        <w:t xml:space="preserve"> </w:t>
      </w:r>
    </w:p>
    <w:p w14:paraId="0A8B9696" w14:textId="77777777" w:rsidR="00A71EEF" w:rsidRDefault="00A71EEF">
      <w:pPr>
        <w:pStyle w:val="a3"/>
        <w:spacing w:before="2"/>
        <w:rPr>
          <w:sz w:val="18"/>
        </w:rPr>
      </w:pPr>
    </w:p>
    <w:p w14:paraId="281CB88F" w14:textId="77777777" w:rsidR="00A71EEF" w:rsidRDefault="0081115D">
      <w:pPr>
        <w:pStyle w:val="a3"/>
        <w:ind w:left="838"/>
      </w:pPr>
      <w:r>
        <w:t>能支持控制协议</w:t>
      </w:r>
      <w:r>
        <w:t>/</w:t>
      </w:r>
      <w:r>
        <w:t>因特网互联协议（</w:t>
      </w:r>
      <w:r>
        <w:t>TCP/IP</w:t>
      </w:r>
      <w:r>
        <w:t>）</w:t>
      </w:r>
      <w:r>
        <w:t xml:space="preserve"> </w:t>
      </w:r>
      <w:r>
        <w:t>等协议，网络接口应为</w:t>
      </w:r>
      <w:r>
        <w:t xml:space="preserve"> 10M/100M </w:t>
      </w:r>
      <w:r>
        <w:t>以太网；</w:t>
      </w:r>
      <w:r>
        <w:t xml:space="preserve"> </w:t>
      </w:r>
    </w:p>
    <w:p w14:paraId="70E10509" w14:textId="77777777" w:rsidR="00A71EEF" w:rsidRDefault="00A71EEF">
      <w:pPr>
        <w:pStyle w:val="a3"/>
        <w:spacing w:before="12"/>
        <w:rPr>
          <w:sz w:val="17"/>
        </w:rPr>
      </w:pPr>
    </w:p>
    <w:p w14:paraId="038B283A" w14:textId="77777777" w:rsidR="00A71EEF" w:rsidRDefault="0081115D">
      <w:pPr>
        <w:pStyle w:val="a3"/>
        <w:ind w:left="838"/>
      </w:pPr>
      <w:r>
        <w:t>应具有模块式结构，易于检修；</w:t>
      </w:r>
      <w:r>
        <w:t xml:space="preserve"> </w:t>
      </w:r>
    </w:p>
    <w:p w14:paraId="0C92F996" w14:textId="77777777" w:rsidR="00A71EEF" w:rsidRDefault="00A71EEF">
      <w:pPr>
        <w:pStyle w:val="a3"/>
        <w:rPr>
          <w:sz w:val="18"/>
        </w:rPr>
      </w:pPr>
    </w:p>
    <w:p w14:paraId="7D7DB206" w14:textId="77777777" w:rsidR="00A71EEF" w:rsidRDefault="0081115D">
      <w:pPr>
        <w:pStyle w:val="a3"/>
        <w:spacing w:line="446" w:lineRule="auto"/>
        <w:ind w:left="838" w:right="5550"/>
      </w:pPr>
      <w:r>
        <w:rPr>
          <w:spacing w:val="-6"/>
        </w:rPr>
        <w:t>大屏幕投影组合墙的拼缝间隙不应大于</w:t>
      </w:r>
      <w:r>
        <w:rPr>
          <w:spacing w:val="-6"/>
        </w:rPr>
        <w:t xml:space="preserve"> </w:t>
      </w:r>
      <w:r>
        <w:t>1mm</w:t>
      </w:r>
      <w:r>
        <w:t>；</w:t>
      </w:r>
      <w:r>
        <w:t xml:space="preserve"> </w:t>
      </w:r>
      <w:r>
        <w:rPr>
          <w:spacing w:val="-3"/>
        </w:rPr>
        <w:t>应采用全中文图形界面，操作控制简单。</w:t>
      </w:r>
      <w:r>
        <w:rPr>
          <w:spacing w:val="-3"/>
        </w:rPr>
        <w:t xml:space="preserve"> </w:t>
      </w:r>
      <w:r>
        <w:rPr>
          <w:b/>
        </w:rPr>
        <w:t>5.11</w:t>
      </w:r>
      <w:r>
        <w:rPr>
          <w:b/>
          <w:spacing w:val="2"/>
        </w:rPr>
        <w:t xml:space="preserve"> </w:t>
      </w:r>
      <w:r>
        <w:rPr>
          <w:spacing w:val="-3"/>
        </w:rPr>
        <w:t>消防有线通信子系统</w:t>
      </w:r>
      <w:r>
        <w:t xml:space="preserve"> </w:t>
      </w:r>
    </w:p>
    <w:p w14:paraId="5A239BC5" w14:textId="77777777" w:rsidR="00A71EEF" w:rsidRDefault="0081115D">
      <w:pPr>
        <w:spacing w:line="268" w:lineRule="exact"/>
        <w:ind w:left="840"/>
        <w:rPr>
          <w:sz w:val="21"/>
        </w:rPr>
      </w:pPr>
      <w:r>
        <w:rPr>
          <w:b/>
          <w:sz w:val="21"/>
        </w:rPr>
        <w:t xml:space="preserve">5.11.1 </w:t>
      </w:r>
      <w:r>
        <w:rPr>
          <w:sz w:val="21"/>
        </w:rPr>
        <w:t>消防有线通信子系统应具有下列火警电话呼入线路：</w:t>
      </w:r>
      <w:r>
        <w:rPr>
          <w:sz w:val="21"/>
        </w:rPr>
        <w:t xml:space="preserve"> </w:t>
      </w:r>
    </w:p>
    <w:p w14:paraId="231BBDB1" w14:textId="77777777" w:rsidR="00A71EEF" w:rsidRDefault="00A71EEF">
      <w:pPr>
        <w:pStyle w:val="a3"/>
        <w:spacing w:before="2"/>
        <w:rPr>
          <w:sz w:val="18"/>
        </w:rPr>
      </w:pPr>
    </w:p>
    <w:p w14:paraId="7A490311" w14:textId="77777777" w:rsidR="00A71EEF" w:rsidRDefault="0081115D">
      <w:pPr>
        <w:pStyle w:val="a3"/>
        <w:ind w:left="418"/>
      </w:pPr>
      <w:r>
        <w:t xml:space="preserve"> </w:t>
      </w:r>
      <w:r>
        <w:t xml:space="preserve"> </w:t>
      </w:r>
      <w:r>
        <w:t xml:space="preserve"> </w:t>
      </w:r>
      <w:r>
        <w:t xml:space="preserve"> </w:t>
      </w:r>
      <w:r>
        <w:t>与城市公用电话网相连的语音通信线路；</w:t>
      </w:r>
      <w:r>
        <w:t xml:space="preserve"> </w:t>
      </w:r>
    </w:p>
    <w:p w14:paraId="5E07A639" w14:textId="77777777" w:rsidR="00A71EEF" w:rsidRDefault="00A71EEF">
      <w:pPr>
        <w:pStyle w:val="a3"/>
        <w:spacing w:before="12"/>
        <w:rPr>
          <w:sz w:val="17"/>
        </w:rPr>
      </w:pPr>
    </w:p>
    <w:p w14:paraId="6680CD12" w14:textId="77777777" w:rsidR="00A71EEF" w:rsidRDefault="0081115D">
      <w:pPr>
        <w:pStyle w:val="a3"/>
        <w:ind w:left="418"/>
      </w:pPr>
      <w:r>
        <w:t xml:space="preserve"> </w:t>
      </w:r>
      <w:r>
        <w:t xml:space="preserve"> </w:t>
      </w:r>
      <w:r>
        <w:t xml:space="preserve"> </w:t>
      </w:r>
      <w:r>
        <w:t xml:space="preserve"> </w:t>
      </w:r>
      <w:r>
        <w:t>与专用电话网相连的语音通信线路；</w:t>
      </w:r>
      <w:r>
        <w:t xml:space="preserve"> </w:t>
      </w:r>
    </w:p>
    <w:p w14:paraId="764808BF" w14:textId="77777777" w:rsidR="00A71EEF" w:rsidRDefault="00A71EEF">
      <w:pPr>
        <w:pStyle w:val="a3"/>
        <w:spacing w:before="12"/>
        <w:rPr>
          <w:sz w:val="17"/>
        </w:rPr>
      </w:pPr>
    </w:p>
    <w:p w14:paraId="44848617" w14:textId="77777777" w:rsidR="00A71EEF" w:rsidRDefault="0081115D">
      <w:pPr>
        <w:pStyle w:val="a3"/>
        <w:ind w:left="418"/>
      </w:pPr>
      <w:r>
        <w:t xml:space="preserve"> </w:t>
      </w:r>
      <w:r>
        <w:t xml:space="preserve"> </w:t>
      </w:r>
      <w:r>
        <w:t xml:space="preserve"> </w:t>
      </w:r>
      <w:r>
        <w:t xml:space="preserve"> </w:t>
      </w:r>
      <w:r>
        <w:t>与城市消防远程监控系统报警终端相连的语音、数据通信线路；</w:t>
      </w:r>
      <w:r>
        <w:t xml:space="preserve"> </w:t>
      </w:r>
    </w:p>
    <w:p w14:paraId="2B190031" w14:textId="77777777" w:rsidR="00A71EEF" w:rsidRDefault="00A71EEF">
      <w:pPr>
        <w:pStyle w:val="a3"/>
        <w:spacing w:before="2"/>
        <w:rPr>
          <w:sz w:val="18"/>
        </w:rPr>
      </w:pPr>
    </w:p>
    <w:p w14:paraId="7929177D" w14:textId="77777777" w:rsidR="00A71EEF" w:rsidRDefault="0081115D">
      <w:pPr>
        <w:pStyle w:val="a3"/>
        <w:ind w:left="418"/>
      </w:pPr>
      <w:r>
        <w:t xml:space="preserve"> </w:t>
      </w:r>
      <w:r>
        <w:t xml:space="preserve"> </w:t>
      </w:r>
      <w:r>
        <w:t xml:space="preserve"> </w:t>
      </w:r>
      <w:r>
        <w:t xml:space="preserve"> </w:t>
      </w:r>
      <w:r>
        <w:t>查询固定报警电话装机地址和移动报警电话定位信息的数据通信线路。</w:t>
      </w:r>
      <w:r>
        <w:t xml:space="preserve"> </w:t>
      </w:r>
    </w:p>
    <w:p w14:paraId="3876FF63" w14:textId="77777777" w:rsidR="00A71EEF" w:rsidRDefault="00A71EEF">
      <w:pPr>
        <w:pStyle w:val="a3"/>
        <w:rPr>
          <w:sz w:val="18"/>
        </w:rPr>
      </w:pPr>
    </w:p>
    <w:p w14:paraId="48303EDF" w14:textId="77777777" w:rsidR="00A71EEF" w:rsidRDefault="0081115D">
      <w:pPr>
        <w:pStyle w:val="a3"/>
        <w:ind w:left="418"/>
      </w:pPr>
      <w:r>
        <w:t xml:space="preserve">    </w:t>
      </w:r>
      <w:r>
        <w:rPr>
          <w:b/>
        </w:rPr>
        <w:t xml:space="preserve">5.11.2 </w:t>
      </w:r>
      <w:r>
        <w:t>消防有线通信子系统应具有下列火警调度专用通信线路：</w:t>
      </w:r>
      <w:r>
        <w:t xml:space="preserve"> </w:t>
      </w:r>
    </w:p>
    <w:p w14:paraId="7DE8DCE8" w14:textId="77777777" w:rsidR="00A71EEF" w:rsidRDefault="00A71EEF">
      <w:pPr>
        <w:pStyle w:val="a3"/>
        <w:rPr>
          <w:sz w:val="18"/>
        </w:rPr>
      </w:pPr>
    </w:p>
    <w:p w14:paraId="696F9FB3" w14:textId="77777777" w:rsidR="00A71EEF" w:rsidRDefault="0081115D">
      <w:pPr>
        <w:pStyle w:val="a3"/>
        <w:ind w:left="418"/>
      </w:pPr>
      <w:r>
        <w:t xml:space="preserve"> </w:t>
      </w:r>
      <w:r>
        <w:t xml:space="preserve"> </w:t>
      </w:r>
      <w:r>
        <w:t xml:space="preserve"> </w:t>
      </w:r>
      <w:r>
        <w:t xml:space="preserve"> </w:t>
      </w:r>
      <w:r>
        <w:t>连通上级消防通信指挥中心的语音、数据、图像通信线路；</w:t>
      </w:r>
      <w:r>
        <w:t xml:space="preserve"> </w:t>
      </w:r>
    </w:p>
    <w:p w14:paraId="7A4E73C2" w14:textId="77777777" w:rsidR="00A71EEF" w:rsidRDefault="00A71EEF">
      <w:pPr>
        <w:pStyle w:val="a3"/>
        <w:spacing w:before="2"/>
        <w:rPr>
          <w:sz w:val="18"/>
        </w:rPr>
      </w:pPr>
    </w:p>
    <w:p w14:paraId="2EBBE299" w14:textId="77777777" w:rsidR="00A71EEF" w:rsidRDefault="0081115D">
      <w:pPr>
        <w:pStyle w:val="a3"/>
        <w:ind w:left="418"/>
      </w:pPr>
      <w:r>
        <w:t xml:space="preserve"> </w:t>
      </w:r>
      <w:r>
        <w:t xml:space="preserve"> </w:t>
      </w:r>
      <w:r>
        <w:t xml:space="preserve"> </w:t>
      </w:r>
      <w:r>
        <w:t xml:space="preserve"> </w:t>
      </w:r>
      <w:r>
        <w:t>连通辖区消防站的语音、数据、图像通信线路；</w:t>
      </w:r>
      <w:r>
        <w:t xml:space="preserve"> </w:t>
      </w:r>
    </w:p>
    <w:p w14:paraId="78F0CAA4" w14:textId="77777777" w:rsidR="00A71EEF" w:rsidRDefault="00A71EEF">
      <w:pPr>
        <w:pStyle w:val="a3"/>
        <w:spacing w:before="12"/>
        <w:rPr>
          <w:sz w:val="17"/>
        </w:rPr>
      </w:pPr>
    </w:p>
    <w:p w14:paraId="489AE539" w14:textId="77777777" w:rsidR="00A71EEF" w:rsidRDefault="0081115D">
      <w:pPr>
        <w:pStyle w:val="a3"/>
        <w:ind w:left="418"/>
      </w:pPr>
      <w:r>
        <w:t xml:space="preserve"> </w:t>
      </w:r>
      <w:r>
        <w:t xml:space="preserve"> </w:t>
      </w:r>
      <w:r>
        <w:t xml:space="preserve"> </w:t>
      </w:r>
      <w:r>
        <w:t xml:space="preserve"> </w:t>
      </w:r>
      <w:r>
        <w:t>连通公安机关指挥中心和政府相关部门的语音、数据通信线路；</w:t>
      </w:r>
      <w:r>
        <w:t xml:space="preserve"> </w:t>
      </w:r>
    </w:p>
    <w:p w14:paraId="7958880E" w14:textId="77777777" w:rsidR="00A71EEF" w:rsidRDefault="00A71EEF">
      <w:pPr>
        <w:pStyle w:val="a3"/>
        <w:spacing w:before="12"/>
        <w:rPr>
          <w:sz w:val="17"/>
        </w:rPr>
      </w:pPr>
    </w:p>
    <w:p w14:paraId="546884CF" w14:textId="77777777" w:rsidR="00A71EEF" w:rsidRDefault="0081115D">
      <w:pPr>
        <w:pStyle w:val="a3"/>
        <w:ind w:left="418"/>
      </w:pPr>
      <w:r>
        <w:t xml:space="preserve"> </w:t>
      </w:r>
      <w:r>
        <w:t xml:space="preserve"> </w:t>
      </w:r>
      <w:r>
        <w:t xml:space="preserve"> </w:t>
      </w:r>
      <w:r>
        <w:t xml:space="preserve"> </w:t>
      </w:r>
      <w:r>
        <w:t>连通供水、供电、供气、医疗、教静、交通、环卫等灭火救援有关单位的语音通信线路</w:t>
      </w:r>
      <w:r>
        <w:rPr>
          <w:b/>
        </w:rPr>
        <w:t>。</w:t>
      </w:r>
      <w:r>
        <w:t xml:space="preserve"> </w:t>
      </w:r>
    </w:p>
    <w:p w14:paraId="48BBDFA0" w14:textId="77777777" w:rsidR="00A71EEF" w:rsidRDefault="00A71EEF">
      <w:pPr>
        <w:pStyle w:val="a3"/>
        <w:spacing w:before="2"/>
        <w:rPr>
          <w:sz w:val="18"/>
        </w:rPr>
      </w:pPr>
    </w:p>
    <w:p w14:paraId="6A7EE293" w14:textId="77777777" w:rsidR="00A71EEF" w:rsidRDefault="0081115D">
      <w:pPr>
        <w:ind w:left="418"/>
        <w:rPr>
          <w:sz w:val="21"/>
        </w:rPr>
      </w:pPr>
      <w:r>
        <w:rPr>
          <w:b/>
          <w:w w:val="99"/>
          <w:sz w:val="21"/>
        </w:rPr>
        <w:t xml:space="preserve">    </w:t>
      </w:r>
      <w:r>
        <w:rPr>
          <w:b/>
          <w:sz w:val="21"/>
        </w:rPr>
        <w:t xml:space="preserve">5.11.3 </w:t>
      </w:r>
      <w:r>
        <w:rPr>
          <w:sz w:val="21"/>
        </w:rPr>
        <w:t>消防有线通信子系统应具有下列日常联络通信线路：</w:t>
      </w:r>
      <w:r>
        <w:rPr>
          <w:sz w:val="21"/>
        </w:rPr>
        <w:t xml:space="preserve"> </w:t>
      </w:r>
    </w:p>
    <w:p w14:paraId="20C71F5C" w14:textId="77777777" w:rsidR="00A71EEF" w:rsidRDefault="00A71EEF">
      <w:pPr>
        <w:pStyle w:val="a3"/>
        <w:rPr>
          <w:sz w:val="18"/>
        </w:rPr>
      </w:pPr>
    </w:p>
    <w:p w14:paraId="120ACCDD" w14:textId="77777777" w:rsidR="00A71EEF" w:rsidRDefault="0081115D">
      <w:pPr>
        <w:pStyle w:val="a3"/>
        <w:ind w:left="418"/>
      </w:pPr>
      <w:r>
        <w:t xml:space="preserve"> </w:t>
      </w:r>
      <w:r>
        <w:t xml:space="preserve"> </w:t>
      </w:r>
      <w:r>
        <w:t xml:space="preserve"> </w:t>
      </w:r>
      <w:r>
        <w:t xml:space="preserve"> </w:t>
      </w:r>
      <w:r>
        <w:t>内部电话通信线路；</w:t>
      </w:r>
      <w:r>
        <w:t xml:space="preserve"> </w:t>
      </w:r>
    </w:p>
    <w:p w14:paraId="4361F5DA" w14:textId="77777777" w:rsidR="00A71EEF" w:rsidRDefault="00A71EEF">
      <w:pPr>
        <w:pStyle w:val="a3"/>
        <w:rPr>
          <w:sz w:val="18"/>
        </w:rPr>
      </w:pPr>
    </w:p>
    <w:p w14:paraId="2021958C" w14:textId="77777777" w:rsidR="00A71EEF" w:rsidRDefault="0081115D">
      <w:pPr>
        <w:pStyle w:val="a3"/>
        <w:ind w:left="418"/>
      </w:pPr>
      <w:r>
        <w:t xml:space="preserve"> </w:t>
      </w:r>
      <w:r>
        <w:t xml:space="preserve"> </w:t>
      </w:r>
      <w:r>
        <w:t xml:space="preserve"> </w:t>
      </w:r>
      <w:r>
        <w:t xml:space="preserve"> </w:t>
      </w:r>
      <w:r>
        <w:rPr>
          <w:spacing w:val="-3"/>
        </w:rPr>
        <w:t>对外联络电话通信线路；</w:t>
      </w:r>
      <w:r>
        <w:t xml:space="preserve"> </w:t>
      </w:r>
    </w:p>
    <w:p w14:paraId="4372DE2C" w14:textId="77777777" w:rsidR="00A71EEF" w:rsidRDefault="00A71EEF">
      <w:pPr>
        <w:pStyle w:val="a3"/>
        <w:spacing w:before="2"/>
        <w:rPr>
          <w:sz w:val="18"/>
        </w:rPr>
      </w:pPr>
    </w:p>
    <w:p w14:paraId="28C20E4F" w14:textId="77777777" w:rsidR="00A71EEF" w:rsidRDefault="0081115D">
      <w:pPr>
        <w:pStyle w:val="a3"/>
        <w:ind w:left="418"/>
      </w:pPr>
      <w:r>
        <w:t xml:space="preserve"> </w:t>
      </w:r>
      <w:r>
        <w:t xml:space="preserve"> </w:t>
      </w:r>
      <w:r>
        <w:t xml:space="preserve"> </w:t>
      </w:r>
      <w:r>
        <w:t xml:space="preserve"> </w:t>
      </w:r>
      <w:r>
        <w:rPr>
          <w:spacing w:val="-3"/>
        </w:rPr>
        <w:t>公安专网电话通信线路。</w:t>
      </w:r>
      <w:r>
        <w:t xml:space="preserve"> </w:t>
      </w:r>
    </w:p>
    <w:p w14:paraId="37ABBBC0" w14:textId="77777777" w:rsidR="00A71EEF" w:rsidRDefault="00A71EEF">
      <w:pPr>
        <w:sectPr w:rsidR="00A71EEF">
          <w:pgSz w:w="11910" w:h="16850"/>
          <w:pgMar w:top="1220" w:right="0" w:bottom="1420" w:left="1260" w:header="0" w:footer="1239" w:gutter="0"/>
          <w:cols w:space="720"/>
        </w:sectPr>
      </w:pPr>
    </w:p>
    <w:p w14:paraId="524E806D" w14:textId="77777777" w:rsidR="00A71EEF" w:rsidRDefault="0081115D">
      <w:pPr>
        <w:spacing w:before="47"/>
        <w:ind w:left="418"/>
        <w:rPr>
          <w:sz w:val="21"/>
        </w:rPr>
      </w:pPr>
      <w:r>
        <w:rPr>
          <w:sz w:val="21"/>
        </w:rPr>
        <w:t xml:space="preserve"> </w:t>
      </w:r>
      <w:r>
        <w:rPr>
          <w:b/>
          <w:w w:val="99"/>
          <w:sz w:val="21"/>
        </w:rPr>
        <w:t xml:space="preserve">   </w:t>
      </w:r>
      <w:r>
        <w:rPr>
          <w:b/>
          <w:sz w:val="21"/>
        </w:rPr>
        <w:t xml:space="preserve">5.11.4 </w:t>
      </w:r>
      <w:r>
        <w:rPr>
          <w:sz w:val="21"/>
        </w:rPr>
        <w:t>与城市公用电话网相连的火警电话中继应符合下列要求：</w:t>
      </w:r>
      <w:r>
        <w:rPr>
          <w:sz w:val="21"/>
        </w:rPr>
        <w:t xml:space="preserve"> </w:t>
      </w:r>
    </w:p>
    <w:p w14:paraId="28A1C0F9" w14:textId="77777777" w:rsidR="00A71EEF" w:rsidRDefault="00A71EEF">
      <w:pPr>
        <w:pStyle w:val="a3"/>
        <w:rPr>
          <w:sz w:val="18"/>
        </w:rPr>
      </w:pPr>
    </w:p>
    <w:p w14:paraId="6074CF18" w14:textId="77777777" w:rsidR="00A71EEF" w:rsidRDefault="0081115D">
      <w:pPr>
        <w:pStyle w:val="a3"/>
        <w:spacing w:line="446" w:lineRule="auto"/>
        <w:ind w:left="418" w:right="1407"/>
      </w:pPr>
      <w:r>
        <w:t xml:space="preserve"> </w:t>
      </w:r>
      <w:r>
        <w:t xml:space="preserve"> </w:t>
      </w:r>
      <w:r>
        <w:t xml:space="preserve"> </w:t>
      </w:r>
      <w:r>
        <w:t xml:space="preserve"> </w:t>
      </w:r>
      <w:r>
        <w:t>中等以上城市宜采用数字中继方式接入本地电话网，小城市可根据本地电话网情况采用数字中继方式或模拟中继方式接入本地电话网；</w:t>
      </w:r>
      <w:r>
        <w:t xml:space="preserve"> </w:t>
      </w:r>
    </w:p>
    <w:p w14:paraId="7C39C639" w14:textId="77777777" w:rsidR="00A71EEF" w:rsidRDefault="0081115D">
      <w:pPr>
        <w:pStyle w:val="a3"/>
        <w:ind w:left="418"/>
      </w:pPr>
      <w:r>
        <w:t xml:space="preserve"> </w:t>
      </w:r>
      <w:r>
        <w:t xml:space="preserve"> </w:t>
      </w:r>
      <w:r>
        <w:t xml:space="preserve"> </w:t>
      </w:r>
      <w:r>
        <w:t xml:space="preserve"> </w:t>
      </w:r>
      <w:r>
        <w:t>火警电话中继线路应采用双路由方式与城市公用电话网相连；</w:t>
      </w:r>
      <w:r>
        <w:t xml:space="preserve"> </w:t>
      </w:r>
    </w:p>
    <w:p w14:paraId="4F76783C" w14:textId="77777777" w:rsidR="00A71EEF" w:rsidRDefault="00A71EEF">
      <w:pPr>
        <w:pStyle w:val="a3"/>
        <w:spacing w:before="12"/>
        <w:rPr>
          <w:sz w:val="17"/>
        </w:rPr>
      </w:pPr>
    </w:p>
    <w:p w14:paraId="0EEF75A2" w14:textId="77777777" w:rsidR="00A71EEF" w:rsidRDefault="0081115D">
      <w:pPr>
        <w:pStyle w:val="a3"/>
        <w:ind w:left="418"/>
      </w:pPr>
      <w:r>
        <w:t xml:space="preserve"> </w:t>
      </w:r>
      <w:r>
        <w:t xml:space="preserve"> </w:t>
      </w:r>
      <w:r>
        <w:t xml:space="preserve"> </w:t>
      </w:r>
      <w:r>
        <w:t xml:space="preserve"> </w:t>
      </w:r>
      <w:r>
        <w:t>采用数字中继方式入网时，应具有火警应急接警电话线路；</w:t>
      </w:r>
      <w:r>
        <w:t xml:space="preserve"> </w:t>
      </w:r>
    </w:p>
    <w:p w14:paraId="1380878B" w14:textId="77777777" w:rsidR="00A71EEF" w:rsidRDefault="00A71EEF">
      <w:pPr>
        <w:pStyle w:val="a3"/>
        <w:rPr>
          <w:sz w:val="18"/>
        </w:rPr>
      </w:pPr>
    </w:p>
    <w:p w14:paraId="44DCA21B" w14:textId="77777777" w:rsidR="00A71EEF" w:rsidRDefault="0081115D">
      <w:pPr>
        <w:pStyle w:val="a3"/>
        <w:ind w:left="418"/>
      </w:pPr>
      <w:r>
        <w:t xml:space="preserve"> </w:t>
      </w:r>
      <w:r>
        <w:t xml:space="preserve"> </w:t>
      </w:r>
      <w:r>
        <w:t xml:space="preserve"> </w:t>
      </w:r>
      <w:r>
        <w:t xml:space="preserve"> </w:t>
      </w:r>
      <w:r>
        <w:t>火警电话呼入应设置为被叫控制方式；</w:t>
      </w:r>
      <w:r>
        <w:t xml:space="preserve"> </w:t>
      </w:r>
    </w:p>
    <w:p w14:paraId="5F43D201" w14:textId="77777777" w:rsidR="00A71EEF" w:rsidRDefault="00A71EEF">
      <w:pPr>
        <w:pStyle w:val="a3"/>
        <w:spacing w:before="2"/>
        <w:rPr>
          <w:sz w:val="18"/>
        </w:rPr>
      </w:pPr>
    </w:p>
    <w:p w14:paraId="47DC554B" w14:textId="77777777" w:rsidR="00A71EEF" w:rsidRDefault="0081115D">
      <w:pPr>
        <w:pStyle w:val="a3"/>
        <w:ind w:left="418"/>
      </w:pPr>
      <w:r>
        <w:t xml:space="preserve"> </w:t>
      </w:r>
      <w:r>
        <w:t xml:space="preserve"> </w:t>
      </w:r>
      <w:r>
        <w:t xml:space="preserve"> </w:t>
      </w:r>
      <w:r>
        <w:t xml:space="preserve"> </w:t>
      </w:r>
      <w:r>
        <w:t>本地电话网应在火警电话呼叫接续过程中提供主叫电话号码；</w:t>
      </w:r>
      <w:r>
        <w:t xml:space="preserve"> </w:t>
      </w:r>
    </w:p>
    <w:p w14:paraId="6AC0EB6C" w14:textId="77777777" w:rsidR="00A71EEF" w:rsidRDefault="00A71EEF">
      <w:pPr>
        <w:pStyle w:val="a3"/>
        <w:rPr>
          <w:sz w:val="18"/>
        </w:rPr>
      </w:pPr>
    </w:p>
    <w:p w14:paraId="06146B86" w14:textId="77777777" w:rsidR="00A71EEF" w:rsidRDefault="0081115D">
      <w:pPr>
        <w:pStyle w:val="a3"/>
        <w:spacing w:line="446" w:lineRule="auto"/>
        <w:ind w:left="418" w:right="1431"/>
      </w:pPr>
      <w:r>
        <w:t xml:space="preserve"> </w:t>
      </w:r>
      <w:r>
        <w:t xml:space="preserve"> </w:t>
      </w:r>
      <w:r>
        <w:t xml:space="preserve"> </w:t>
      </w:r>
      <w:r>
        <w:t xml:space="preserve"> </w:t>
      </w:r>
      <w:r>
        <w:rPr>
          <w:spacing w:val="-6"/>
        </w:rPr>
        <w:t>本地电话网应提供主叫电话用户信息</w:t>
      </w:r>
      <w:r>
        <w:t>（</w:t>
      </w:r>
      <w:r>
        <w:rPr>
          <w:spacing w:val="-3"/>
        </w:rPr>
        <w:t>用户名称和装机地址等</w:t>
      </w:r>
      <w:r>
        <w:rPr>
          <w:spacing w:val="-46"/>
        </w:rPr>
        <w:t>）</w:t>
      </w:r>
      <w:r>
        <w:rPr>
          <w:spacing w:val="-10"/>
        </w:rPr>
        <w:t xml:space="preserve"> </w:t>
      </w:r>
      <w:r>
        <w:rPr>
          <w:spacing w:val="-10"/>
        </w:rPr>
        <w:t>，通过专用数据传输线路在</w:t>
      </w:r>
      <w:r>
        <w:rPr>
          <w:spacing w:val="-14"/>
        </w:rPr>
        <w:t>火警应答后</w:t>
      </w:r>
      <w:r>
        <w:rPr>
          <w:spacing w:val="-14"/>
        </w:rPr>
        <w:t xml:space="preserve"> </w:t>
      </w:r>
      <w:r>
        <w:t>5s</w:t>
      </w:r>
      <w:r>
        <w:rPr>
          <w:spacing w:val="-9"/>
        </w:rPr>
        <w:t xml:space="preserve"> </w:t>
      </w:r>
      <w:r>
        <w:rPr>
          <w:spacing w:val="-9"/>
        </w:rPr>
        <w:t>内送达火警受理终端。</w:t>
      </w:r>
      <w:r>
        <w:t xml:space="preserve"> </w:t>
      </w:r>
    </w:p>
    <w:p w14:paraId="586DACA0" w14:textId="77777777" w:rsidR="00A71EEF" w:rsidRDefault="0081115D">
      <w:pPr>
        <w:ind w:left="838"/>
        <w:rPr>
          <w:sz w:val="18"/>
        </w:rPr>
      </w:pPr>
      <w:r>
        <w:rPr>
          <w:sz w:val="21"/>
        </w:rPr>
        <w:t xml:space="preserve">  </w:t>
      </w:r>
      <w:r>
        <w:rPr>
          <w:b/>
          <w:w w:val="99"/>
          <w:sz w:val="21"/>
        </w:rPr>
        <w:t xml:space="preserve">  </w:t>
      </w:r>
      <w:r>
        <w:rPr>
          <w:b/>
          <w:sz w:val="21"/>
        </w:rPr>
        <w:t xml:space="preserve">5.11.5 </w:t>
      </w:r>
      <w:r>
        <w:rPr>
          <w:sz w:val="21"/>
        </w:rPr>
        <w:t>各类火警电话中继线路数量应符合表</w:t>
      </w:r>
      <w:r>
        <w:rPr>
          <w:sz w:val="21"/>
        </w:rPr>
        <w:t xml:space="preserve"> 5.11.5 </w:t>
      </w:r>
      <w:r>
        <w:rPr>
          <w:sz w:val="21"/>
        </w:rPr>
        <w:t>的规定。</w:t>
      </w:r>
      <w:r>
        <w:rPr>
          <w:sz w:val="18"/>
        </w:rPr>
        <w:t xml:space="preserve"> </w:t>
      </w:r>
    </w:p>
    <w:p w14:paraId="028451C4" w14:textId="77777777" w:rsidR="00A71EEF" w:rsidRDefault="0081115D">
      <w:pPr>
        <w:pStyle w:val="6"/>
        <w:spacing w:before="144"/>
        <w:ind w:right="912"/>
        <w:jc w:val="center"/>
      </w:pPr>
      <w:r>
        <w:t>表</w:t>
      </w:r>
      <w:r>
        <w:t xml:space="preserve"> 5.11.5 </w:t>
      </w:r>
      <w:r>
        <w:t>城市火警电话中继线路数量</w:t>
      </w:r>
      <w:r>
        <w:rPr>
          <w:w w:val="99"/>
        </w:rPr>
        <w:t xml:space="preserve"> </w:t>
      </w:r>
    </w:p>
    <w:p w14:paraId="2941854D" w14:textId="77777777" w:rsidR="00A71EEF" w:rsidRDefault="0081115D">
      <w:pPr>
        <w:spacing w:before="105"/>
        <w:ind w:right="912"/>
        <w:jc w:val="center"/>
        <w:rPr>
          <w:b/>
          <w:sz w:val="21"/>
        </w:rPr>
      </w:pPr>
      <w:r>
        <w:rPr>
          <w:b/>
          <w:w w:val="99"/>
          <w:sz w:val="21"/>
        </w:rPr>
        <w:t xml:space="preserve"> </w:t>
      </w:r>
    </w:p>
    <w:p w14:paraId="51A39E2F" w14:textId="77777777" w:rsidR="00A71EEF" w:rsidRDefault="0081115D">
      <w:pPr>
        <w:spacing w:before="108"/>
        <w:ind w:right="912"/>
        <w:jc w:val="center"/>
        <w:rPr>
          <w:b/>
          <w:sz w:val="21"/>
        </w:rPr>
      </w:pPr>
      <w:r>
        <w:rPr>
          <w:b/>
          <w:w w:val="99"/>
          <w:sz w:val="21"/>
        </w:rPr>
        <w:t xml:space="preserve"> </w:t>
      </w:r>
    </w:p>
    <w:p w14:paraId="0CF85F4C" w14:textId="77777777" w:rsidR="00A71EEF" w:rsidRDefault="0081115D">
      <w:pPr>
        <w:spacing w:before="105"/>
        <w:ind w:right="912"/>
        <w:jc w:val="center"/>
        <w:rPr>
          <w:b/>
          <w:sz w:val="21"/>
        </w:rPr>
      </w:pPr>
      <w:r>
        <w:rPr>
          <w:b/>
          <w:w w:val="99"/>
          <w:sz w:val="21"/>
        </w:rPr>
        <w:t xml:space="preserve"> </w:t>
      </w:r>
    </w:p>
    <w:p w14:paraId="2F6CA181" w14:textId="77777777" w:rsidR="00A71EEF" w:rsidRDefault="0081115D">
      <w:pPr>
        <w:spacing w:before="106"/>
        <w:ind w:right="912"/>
        <w:jc w:val="center"/>
        <w:rPr>
          <w:b/>
          <w:sz w:val="21"/>
        </w:rPr>
      </w:pPr>
      <w:r>
        <w:rPr>
          <w:b/>
          <w:w w:val="99"/>
          <w:sz w:val="21"/>
        </w:rPr>
        <w:t xml:space="preserve"> </w:t>
      </w:r>
    </w:p>
    <w:p w14:paraId="757CA2DC" w14:textId="77777777" w:rsidR="00A71EEF" w:rsidRDefault="0081115D">
      <w:pPr>
        <w:spacing w:before="105"/>
        <w:ind w:right="912"/>
        <w:jc w:val="center"/>
        <w:rPr>
          <w:b/>
          <w:sz w:val="21"/>
        </w:rPr>
      </w:pPr>
      <w:r>
        <w:rPr>
          <w:b/>
          <w:w w:val="99"/>
          <w:sz w:val="21"/>
        </w:rPr>
        <w:t xml:space="preserve"> </w:t>
      </w:r>
    </w:p>
    <w:p w14:paraId="4980B953" w14:textId="77777777" w:rsidR="00A71EEF" w:rsidRDefault="0081115D">
      <w:pPr>
        <w:spacing w:before="108"/>
        <w:ind w:right="912"/>
        <w:jc w:val="center"/>
        <w:rPr>
          <w:b/>
          <w:sz w:val="21"/>
        </w:rPr>
      </w:pPr>
      <w:r>
        <w:rPr>
          <w:b/>
          <w:w w:val="99"/>
          <w:sz w:val="21"/>
        </w:rPr>
        <w:t xml:space="preserve"> </w:t>
      </w:r>
    </w:p>
    <w:p w14:paraId="6A52721A" w14:textId="77777777" w:rsidR="00A71EEF" w:rsidRDefault="0081115D">
      <w:pPr>
        <w:spacing w:before="105"/>
        <w:ind w:right="912"/>
        <w:jc w:val="center"/>
        <w:rPr>
          <w:b/>
          <w:sz w:val="21"/>
        </w:rPr>
      </w:pPr>
      <w:r>
        <w:rPr>
          <w:b/>
          <w:w w:val="99"/>
          <w:sz w:val="21"/>
        </w:rPr>
        <w:t xml:space="preserve"> </w:t>
      </w:r>
    </w:p>
    <w:p w14:paraId="77F03E30" w14:textId="77777777" w:rsidR="00A71EEF" w:rsidRDefault="0081115D">
      <w:pPr>
        <w:spacing w:before="105"/>
        <w:ind w:right="912"/>
        <w:jc w:val="center"/>
        <w:rPr>
          <w:b/>
          <w:sz w:val="21"/>
        </w:rPr>
      </w:pPr>
      <w:r>
        <w:rPr>
          <w:b/>
          <w:w w:val="99"/>
          <w:sz w:val="21"/>
        </w:rPr>
        <w:t xml:space="preserve"> </w:t>
      </w:r>
    </w:p>
    <w:p w14:paraId="568EA31C" w14:textId="77777777" w:rsidR="00A71EEF" w:rsidRDefault="0081115D">
      <w:pPr>
        <w:spacing w:before="106"/>
        <w:ind w:right="912"/>
        <w:jc w:val="center"/>
        <w:rPr>
          <w:b/>
          <w:sz w:val="21"/>
        </w:rPr>
      </w:pPr>
      <w:r>
        <w:rPr>
          <w:b/>
          <w:w w:val="99"/>
          <w:sz w:val="21"/>
        </w:rPr>
        <w:t xml:space="preserve"> </w:t>
      </w:r>
    </w:p>
    <w:p w14:paraId="391443C3" w14:textId="77777777" w:rsidR="00A71EEF" w:rsidRDefault="0081115D">
      <w:pPr>
        <w:spacing w:before="108"/>
        <w:ind w:right="912"/>
        <w:jc w:val="center"/>
        <w:rPr>
          <w:b/>
          <w:sz w:val="21"/>
        </w:rPr>
      </w:pPr>
      <w:r>
        <w:rPr>
          <w:b/>
          <w:w w:val="99"/>
          <w:sz w:val="21"/>
        </w:rPr>
        <w:t xml:space="preserve"> </w:t>
      </w:r>
    </w:p>
    <w:p w14:paraId="59785A78" w14:textId="77777777" w:rsidR="00A71EEF" w:rsidRDefault="0081115D">
      <w:pPr>
        <w:spacing w:before="105"/>
        <w:ind w:right="912"/>
        <w:jc w:val="center"/>
        <w:rPr>
          <w:b/>
          <w:sz w:val="21"/>
        </w:rPr>
      </w:pPr>
      <w:r>
        <w:rPr>
          <w:b/>
          <w:w w:val="99"/>
          <w:sz w:val="21"/>
        </w:rPr>
        <w:t xml:space="preserve"> </w:t>
      </w:r>
    </w:p>
    <w:p w14:paraId="79338422" w14:textId="77777777" w:rsidR="00A71EEF" w:rsidRDefault="0081115D">
      <w:pPr>
        <w:pStyle w:val="a3"/>
        <w:ind w:left="951"/>
        <w:rPr>
          <w:sz w:val="20"/>
        </w:rPr>
      </w:pPr>
      <w:r>
        <w:rPr>
          <w:noProof/>
          <w:sz w:val="20"/>
        </w:rPr>
        <w:drawing>
          <wp:inline distT="0" distB="0" distL="0" distR="0" wp14:anchorId="25E7ED17" wp14:editId="4D7F47BF">
            <wp:extent cx="4785775" cy="2667000"/>
            <wp:effectExtent l="0" t="0" r="0" b="0"/>
            <wp:docPr id="807" name="image4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 name="image472.jpeg"/>
                    <pic:cNvPicPr/>
                  </pic:nvPicPr>
                  <pic:blipFill>
                    <a:blip r:embed="rId591" cstate="print"/>
                    <a:stretch>
                      <a:fillRect/>
                    </a:stretch>
                  </pic:blipFill>
                  <pic:spPr>
                    <a:xfrm>
                      <a:off x="0" y="0"/>
                      <a:ext cx="4785775" cy="2667000"/>
                    </a:xfrm>
                    <a:prstGeom prst="rect">
                      <a:avLst/>
                    </a:prstGeom>
                  </pic:spPr>
                </pic:pic>
              </a:graphicData>
            </a:graphic>
          </wp:inline>
        </w:drawing>
      </w:r>
    </w:p>
    <w:p w14:paraId="486104B0" w14:textId="77777777" w:rsidR="00A71EEF" w:rsidRDefault="00A71EEF">
      <w:pPr>
        <w:pStyle w:val="a3"/>
        <w:spacing w:before="4"/>
        <w:rPr>
          <w:b/>
          <w:sz w:val="22"/>
        </w:rPr>
      </w:pPr>
    </w:p>
    <w:p w14:paraId="4CFDA2FD" w14:textId="77777777" w:rsidR="00A71EEF" w:rsidRDefault="0081115D">
      <w:pPr>
        <w:pStyle w:val="a3"/>
        <w:ind w:left="838"/>
      </w:pPr>
      <w:r>
        <w:t>注</w:t>
      </w:r>
      <w:r>
        <w:t>“</w:t>
      </w:r>
      <w:r>
        <w:t>类别</w:t>
      </w:r>
      <w:r>
        <w:t>”</w:t>
      </w:r>
      <w:r>
        <w:t>栏内的城市规模根据国家有关城市规模划分标准和城市的规划情况确定。</w:t>
      </w:r>
      <w:r>
        <w:t xml:space="preserve"> </w:t>
      </w:r>
    </w:p>
    <w:p w14:paraId="39628F97" w14:textId="77777777" w:rsidR="00A71EEF" w:rsidRDefault="00A71EEF">
      <w:pPr>
        <w:sectPr w:rsidR="00A71EEF">
          <w:pgSz w:w="11910" w:h="16850"/>
          <w:pgMar w:top="1220" w:right="0" w:bottom="1420" w:left="1260" w:header="0" w:footer="1239" w:gutter="0"/>
          <w:cols w:space="720"/>
        </w:sectPr>
      </w:pPr>
    </w:p>
    <w:p w14:paraId="152B58DE" w14:textId="77777777" w:rsidR="00A71EEF" w:rsidRDefault="0081115D">
      <w:pPr>
        <w:pStyle w:val="a3"/>
        <w:spacing w:before="47"/>
        <w:ind w:left="840"/>
      </w:pPr>
      <w:r>
        <w:rPr>
          <w:b/>
        </w:rPr>
        <w:t xml:space="preserve">5.11.6 </w:t>
      </w:r>
      <w:r>
        <w:t>火警调度语音专线和数据专线宜采用直达专线的形式，数据专线带宽不应小于</w:t>
      </w:r>
      <w:r>
        <w:t xml:space="preserve"> 2M</w:t>
      </w:r>
      <w:r>
        <w:t>。</w:t>
      </w:r>
      <w:r>
        <w:t xml:space="preserve"> </w:t>
      </w:r>
    </w:p>
    <w:p w14:paraId="3AFCFB4A" w14:textId="77777777" w:rsidR="00A71EEF" w:rsidRDefault="00A71EEF">
      <w:pPr>
        <w:pStyle w:val="a3"/>
        <w:rPr>
          <w:sz w:val="18"/>
        </w:rPr>
      </w:pPr>
    </w:p>
    <w:p w14:paraId="16411A08" w14:textId="77777777" w:rsidR="00A71EEF" w:rsidRDefault="0081115D">
      <w:pPr>
        <w:ind w:left="418"/>
        <w:rPr>
          <w:sz w:val="21"/>
        </w:rPr>
      </w:pPr>
      <w:r>
        <w:rPr>
          <w:sz w:val="21"/>
        </w:rPr>
        <w:t xml:space="preserve">    </w:t>
      </w:r>
      <w:r>
        <w:rPr>
          <w:b/>
          <w:sz w:val="21"/>
        </w:rPr>
        <w:t xml:space="preserve">5.11.7 </w:t>
      </w:r>
      <w:r>
        <w:rPr>
          <w:sz w:val="21"/>
        </w:rPr>
        <w:t>接警调度程控交换机应符合下列要求：</w:t>
      </w:r>
      <w:r>
        <w:rPr>
          <w:sz w:val="21"/>
        </w:rPr>
        <w:t xml:space="preserve"> </w:t>
      </w:r>
    </w:p>
    <w:p w14:paraId="5A9057B5" w14:textId="77777777" w:rsidR="00A71EEF" w:rsidRDefault="00A71EEF">
      <w:pPr>
        <w:pStyle w:val="a3"/>
        <w:rPr>
          <w:sz w:val="18"/>
        </w:rPr>
      </w:pPr>
    </w:p>
    <w:p w14:paraId="6E819A6F" w14:textId="77777777" w:rsidR="00A71EEF" w:rsidRDefault="0081115D">
      <w:pPr>
        <w:pStyle w:val="a3"/>
        <w:ind w:left="418"/>
      </w:pPr>
      <w:r>
        <w:t xml:space="preserve"> </w:t>
      </w:r>
      <w:r>
        <w:t xml:space="preserve"> </w:t>
      </w:r>
      <w:r>
        <w:t xml:space="preserve"> </w:t>
      </w:r>
      <w:r>
        <w:t xml:space="preserve"> </w:t>
      </w:r>
      <w:r>
        <w:t>提供计算机与电话集成（</w:t>
      </w:r>
      <w:r>
        <w:t>CTI</w:t>
      </w:r>
      <w:r>
        <w:t>）接口；</w:t>
      </w:r>
      <w:r>
        <w:t xml:space="preserve"> </w:t>
      </w:r>
    </w:p>
    <w:p w14:paraId="7D0E92CD" w14:textId="77777777" w:rsidR="00A71EEF" w:rsidRDefault="00A71EEF">
      <w:pPr>
        <w:pStyle w:val="a3"/>
        <w:spacing w:before="1"/>
        <w:rPr>
          <w:sz w:val="18"/>
        </w:rPr>
      </w:pPr>
    </w:p>
    <w:p w14:paraId="3322B3B1" w14:textId="77777777" w:rsidR="00A71EEF" w:rsidRDefault="0081115D">
      <w:pPr>
        <w:pStyle w:val="a3"/>
        <w:spacing w:before="1"/>
        <w:ind w:left="418"/>
      </w:pPr>
      <w:r>
        <w:t xml:space="preserve"> </w:t>
      </w:r>
      <w:r>
        <w:t xml:space="preserve"> </w:t>
      </w:r>
      <w:r>
        <w:t xml:space="preserve"> </w:t>
      </w:r>
      <w:r>
        <w:t xml:space="preserve"> </w:t>
      </w:r>
      <w:r>
        <w:t>具有基本呼叫接续功能，能对公网、专网电话进行呼叫接续和转接；</w:t>
      </w:r>
      <w:r>
        <w:t xml:space="preserve"> </w:t>
      </w:r>
    </w:p>
    <w:p w14:paraId="55545275" w14:textId="77777777" w:rsidR="00A71EEF" w:rsidRDefault="00A71EEF">
      <w:pPr>
        <w:pStyle w:val="a3"/>
        <w:spacing w:before="12"/>
        <w:rPr>
          <w:sz w:val="17"/>
        </w:rPr>
      </w:pPr>
    </w:p>
    <w:p w14:paraId="1EEC4572" w14:textId="77777777" w:rsidR="00A71EEF" w:rsidRDefault="0081115D">
      <w:pPr>
        <w:pStyle w:val="a3"/>
        <w:ind w:left="418"/>
      </w:pPr>
      <w:r>
        <w:t xml:space="preserve"> </w:t>
      </w:r>
      <w:r>
        <w:t xml:space="preserve"> </w:t>
      </w:r>
      <w:r>
        <w:t xml:space="preserve"> </w:t>
      </w:r>
      <w:r>
        <w:t xml:space="preserve"> </w:t>
      </w:r>
      <w:r>
        <w:t>具有双向通话的组呼功能，组呼用户数不应少于</w:t>
      </w:r>
      <w:r>
        <w:t xml:space="preserve"> 8 </w:t>
      </w:r>
      <w:r>
        <w:t>方，能实现任一方的加入和拆除；</w:t>
      </w:r>
      <w:r>
        <w:t xml:space="preserve"> </w:t>
      </w:r>
    </w:p>
    <w:p w14:paraId="6930F250" w14:textId="77777777" w:rsidR="00A71EEF" w:rsidRDefault="00A71EEF">
      <w:pPr>
        <w:pStyle w:val="a3"/>
        <w:spacing w:before="12"/>
        <w:rPr>
          <w:sz w:val="17"/>
        </w:rPr>
      </w:pPr>
    </w:p>
    <w:p w14:paraId="15CCE758" w14:textId="77777777" w:rsidR="00A71EEF" w:rsidRDefault="0081115D">
      <w:pPr>
        <w:pStyle w:val="a3"/>
        <w:ind w:left="418"/>
      </w:pPr>
      <w:r>
        <w:t xml:space="preserve"> </w:t>
      </w:r>
      <w:r>
        <w:t xml:space="preserve"> </w:t>
      </w:r>
      <w:r>
        <w:t xml:space="preserve"> </w:t>
      </w:r>
      <w:r>
        <w:t xml:space="preserve"> </w:t>
      </w:r>
      <w:r>
        <w:t>具有实现广播会议电话功能，会议方不应少于</w:t>
      </w:r>
      <w:r>
        <w:t xml:space="preserve"> 16 </w:t>
      </w:r>
      <w:r>
        <w:t>方，能实现任一方的加入和拆除；</w:t>
      </w:r>
      <w:r>
        <w:t xml:space="preserve"> </w:t>
      </w:r>
    </w:p>
    <w:p w14:paraId="70D3CD3E" w14:textId="77777777" w:rsidR="00A71EEF" w:rsidRDefault="00A71EEF">
      <w:pPr>
        <w:pStyle w:val="a3"/>
        <w:spacing w:before="2"/>
        <w:rPr>
          <w:sz w:val="18"/>
        </w:rPr>
      </w:pPr>
    </w:p>
    <w:p w14:paraId="0875BF29" w14:textId="77777777" w:rsidR="00A71EEF" w:rsidRDefault="0081115D">
      <w:pPr>
        <w:pStyle w:val="a3"/>
        <w:ind w:left="418"/>
      </w:pPr>
      <w:r>
        <w:t xml:space="preserve"> </w:t>
      </w:r>
      <w:r>
        <w:t xml:space="preserve"> </w:t>
      </w:r>
      <w:r>
        <w:t xml:space="preserve"> </w:t>
      </w:r>
      <w:r>
        <w:t xml:space="preserve"> </w:t>
      </w:r>
      <w:r>
        <w:rPr>
          <w:spacing w:val="-3"/>
        </w:rPr>
        <w:t>能对预先设置的多个电话进行轮询呼叫；</w:t>
      </w:r>
      <w:r>
        <w:t xml:space="preserve"> </w:t>
      </w:r>
    </w:p>
    <w:p w14:paraId="28333048" w14:textId="77777777" w:rsidR="00A71EEF" w:rsidRDefault="00A71EEF">
      <w:pPr>
        <w:pStyle w:val="a3"/>
        <w:rPr>
          <w:sz w:val="18"/>
        </w:rPr>
      </w:pPr>
    </w:p>
    <w:p w14:paraId="4ED01053" w14:textId="77777777" w:rsidR="00A71EEF" w:rsidRDefault="0081115D">
      <w:pPr>
        <w:pStyle w:val="a3"/>
        <w:ind w:left="418"/>
      </w:pPr>
      <w:r>
        <w:t xml:space="preserve"> </w:t>
      </w:r>
      <w:r>
        <w:t xml:space="preserve"> </w:t>
      </w:r>
      <w:r>
        <w:t xml:space="preserve"> </w:t>
      </w:r>
      <w:r>
        <w:t xml:space="preserve"> </w:t>
      </w:r>
      <w:r>
        <w:rPr>
          <w:spacing w:val="-3"/>
        </w:rPr>
        <w:t>具有监听、强插、强拆和挂机回叫功能；</w:t>
      </w:r>
      <w:r>
        <w:t xml:space="preserve"> </w:t>
      </w:r>
    </w:p>
    <w:p w14:paraId="1F0F15A6" w14:textId="77777777" w:rsidR="00A71EEF" w:rsidRDefault="00A71EEF">
      <w:pPr>
        <w:pStyle w:val="a3"/>
        <w:rPr>
          <w:sz w:val="18"/>
        </w:rPr>
      </w:pPr>
    </w:p>
    <w:p w14:paraId="20BE3E73" w14:textId="77777777" w:rsidR="00A71EEF" w:rsidRDefault="0081115D">
      <w:pPr>
        <w:pStyle w:val="a3"/>
        <w:ind w:left="418"/>
      </w:pPr>
      <w:r>
        <w:t xml:space="preserve"> </w:t>
      </w:r>
      <w:r>
        <w:t xml:space="preserve"> </w:t>
      </w:r>
      <w:r>
        <w:t xml:space="preserve"> </w:t>
      </w:r>
      <w:r>
        <w:t xml:space="preserve"> </w:t>
      </w:r>
      <w:r>
        <w:t>能在坐席间相互转接，完成呼叫转接、代接功能，在此过程中呼叫数据同步转移；</w:t>
      </w:r>
      <w:r>
        <w:t xml:space="preserve"> </w:t>
      </w:r>
    </w:p>
    <w:p w14:paraId="3D6E7DA5" w14:textId="77777777" w:rsidR="00A71EEF" w:rsidRDefault="00A71EEF">
      <w:pPr>
        <w:pStyle w:val="a3"/>
        <w:spacing w:before="2"/>
        <w:rPr>
          <w:sz w:val="18"/>
        </w:rPr>
      </w:pPr>
    </w:p>
    <w:p w14:paraId="52D701CD" w14:textId="77777777" w:rsidR="00A71EEF" w:rsidRDefault="0081115D">
      <w:pPr>
        <w:pStyle w:val="a3"/>
        <w:spacing w:line="446" w:lineRule="auto"/>
        <w:ind w:left="418" w:right="1433"/>
      </w:pPr>
      <w:r>
        <w:t xml:space="preserve"> </w:t>
      </w:r>
      <w:r>
        <w:t xml:space="preserve"> </w:t>
      </w:r>
      <w:r>
        <w:t xml:space="preserve"> </w:t>
      </w:r>
      <w:r>
        <w:t xml:space="preserve"> </w:t>
      </w:r>
      <w:r>
        <w:rPr>
          <w:spacing w:val="-7"/>
        </w:rPr>
        <w:t>具有话务统计功能，能统计呼入次数、接通次数、排队次数、早释次数和平均通话时长等数</w:t>
      </w:r>
      <w:r>
        <w:rPr>
          <w:spacing w:val="-5"/>
        </w:rPr>
        <w:t>据；</w:t>
      </w:r>
      <w:r>
        <w:t xml:space="preserve"> </w:t>
      </w:r>
    </w:p>
    <w:p w14:paraId="1D6CEDAA" w14:textId="77777777" w:rsidR="00A71EEF" w:rsidRDefault="0081115D">
      <w:pPr>
        <w:pStyle w:val="a3"/>
        <w:spacing w:line="267" w:lineRule="exact"/>
        <w:ind w:left="418"/>
      </w:pPr>
      <w:r>
        <w:t xml:space="preserve"> </w:t>
      </w:r>
      <w:r>
        <w:t xml:space="preserve"> </w:t>
      </w:r>
      <w:r>
        <w:t xml:space="preserve"> </w:t>
      </w:r>
      <w:r>
        <w:t xml:space="preserve"> </w:t>
      </w:r>
      <w:r>
        <w:t>电话报警接续中具有第四位拦截功能；</w:t>
      </w:r>
      <w:r>
        <w:t xml:space="preserve"> </w:t>
      </w:r>
    </w:p>
    <w:p w14:paraId="76E66494" w14:textId="77777777" w:rsidR="00A71EEF" w:rsidRDefault="00A71EEF">
      <w:pPr>
        <w:pStyle w:val="a3"/>
        <w:spacing w:before="1"/>
        <w:rPr>
          <w:sz w:val="18"/>
        </w:rPr>
      </w:pPr>
    </w:p>
    <w:p w14:paraId="7FAD6917" w14:textId="77777777" w:rsidR="00A71EEF" w:rsidRDefault="0081115D">
      <w:pPr>
        <w:pStyle w:val="a3"/>
        <w:spacing w:before="1"/>
        <w:ind w:left="418"/>
      </w:pPr>
      <w:r>
        <w:t xml:space="preserve"> </w:t>
      </w:r>
      <w:r>
        <w:t xml:space="preserve"> </w:t>
      </w:r>
      <w:r>
        <w:t xml:space="preserve"> </w:t>
      </w:r>
      <w:r>
        <w:t xml:space="preserve"> </w:t>
      </w:r>
      <w:r>
        <w:t>接收通信网局间信令中送来的报警电话号码。</w:t>
      </w:r>
      <w:r>
        <w:t xml:space="preserve"> </w:t>
      </w:r>
    </w:p>
    <w:p w14:paraId="3AA583C7" w14:textId="77777777" w:rsidR="00A71EEF" w:rsidRDefault="00A71EEF">
      <w:pPr>
        <w:pStyle w:val="a3"/>
        <w:spacing w:before="12"/>
        <w:rPr>
          <w:sz w:val="17"/>
        </w:rPr>
      </w:pPr>
    </w:p>
    <w:p w14:paraId="7ABD3CD6" w14:textId="77777777" w:rsidR="00A71EEF" w:rsidRDefault="0081115D">
      <w:pPr>
        <w:ind w:left="418"/>
        <w:rPr>
          <w:sz w:val="21"/>
        </w:rPr>
      </w:pPr>
      <w:r>
        <w:rPr>
          <w:sz w:val="21"/>
        </w:rPr>
        <w:t xml:space="preserve">  </w:t>
      </w:r>
      <w:r>
        <w:rPr>
          <w:b/>
          <w:w w:val="99"/>
          <w:sz w:val="21"/>
        </w:rPr>
        <w:t xml:space="preserve">  </w:t>
      </w:r>
      <w:r>
        <w:rPr>
          <w:b/>
          <w:sz w:val="21"/>
        </w:rPr>
        <w:t xml:space="preserve">5.11.8 </w:t>
      </w:r>
      <w:r>
        <w:rPr>
          <w:sz w:val="21"/>
        </w:rPr>
        <w:t>火警电话呼入排队方式应符合下列要求：</w:t>
      </w:r>
      <w:r>
        <w:rPr>
          <w:sz w:val="21"/>
        </w:rPr>
        <w:t xml:space="preserve"> </w:t>
      </w:r>
    </w:p>
    <w:p w14:paraId="48D3CBE3" w14:textId="77777777" w:rsidR="00A71EEF" w:rsidRDefault="00A71EEF">
      <w:pPr>
        <w:pStyle w:val="a3"/>
        <w:rPr>
          <w:sz w:val="18"/>
        </w:rPr>
      </w:pPr>
    </w:p>
    <w:p w14:paraId="00419DE8" w14:textId="77777777" w:rsidR="00A71EEF" w:rsidRDefault="0081115D">
      <w:pPr>
        <w:pStyle w:val="a3"/>
        <w:ind w:left="418"/>
      </w:pPr>
      <w:r>
        <w:t xml:space="preserve"> </w:t>
      </w:r>
      <w:r>
        <w:t xml:space="preserve"> </w:t>
      </w:r>
      <w:r>
        <w:t xml:space="preserve"> </w:t>
      </w:r>
      <w:r>
        <w:t xml:space="preserve"> </w:t>
      </w:r>
      <w:r>
        <w:t>坐席全忙时应能将火警电话呼入进行排队，并应向排队用户发送语音提示或回铃音；</w:t>
      </w:r>
      <w:r>
        <w:t xml:space="preserve"> </w:t>
      </w:r>
    </w:p>
    <w:p w14:paraId="705389F8" w14:textId="77777777" w:rsidR="00A71EEF" w:rsidRDefault="00A71EEF">
      <w:pPr>
        <w:pStyle w:val="a3"/>
        <w:spacing w:before="2"/>
        <w:rPr>
          <w:sz w:val="18"/>
        </w:rPr>
      </w:pPr>
    </w:p>
    <w:p w14:paraId="4FE0F43E" w14:textId="77777777" w:rsidR="00A71EEF" w:rsidRDefault="0081115D">
      <w:pPr>
        <w:pStyle w:val="a3"/>
        <w:ind w:left="418"/>
      </w:pPr>
      <w:r>
        <w:t xml:space="preserve"> </w:t>
      </w:r>
      <w:r>
        <w:t xml:space="preserve"> </w:t>
      </w:r>
      <w:r>
        <w:t xml:space="preserve"> </w:t>
      </w:r>
      <w:r>
        <w:t xml:space="preserve"> </w:t>
      </w:r>
      <w:r>
        <w:t>重点单位报警可优先分配；</w:t>
      </w:r>
      <w:r>
        <w:t xml:space="preserve"> </w:t>
      </w:r>
    </w:p>
    <w:p w14:paraId="0406CE36" w14:textId="77777777" w:rsidR="00A71EEF" w:rsidRDefault="00A71EEF">
      <w:pPr>
        <w:pStyle w:val="a3"/>
        <w:spacing w:before="12"/>
        <w:rPr>
          <w:sz w:val="17"/>
        </w:rPr>
      </w:pPr>
    </w:p>
    <w:p w14:paraId="14219F5F" w14:textId="77777777" w:rsidR="00A71EEF" w:rsidRDefault="0081115D">
      <w:pPr>
        <w:pStyle w:val="a3"/>
        <w:ind w:left="418"/>
      </w:pPr>
      <w:r>
        <w:t xml:space="preserve"> </w:t>
      </w:r>
      <w:r>
        <w:t xml:space="preserve"> </w:t>
      </w:r>
      <w:r>
        <w:t xml:space="preserve"> </w:t>
      </w:r>
      <w:r>
        <w:t xml:space="preserve"> </w:t>
      </w:r>
      <w:r>
        <w:t>不同局向的报警呼入可优先分配；</w:t>
      </w:r>
      <w:r>
        <w:t xml:space="preserve"> </w:t>
      </w:r>
    </w:p>
    <w:p w14:paraId="68EBCA5D" w14:textId="77777777" w:rsidR="00A71EEF" w:rsidRDefault="00A71EEF">
      <w:pPr>
        <w:pStyle w:val="a3"/>
        <w:spacing w:before="12"/>
        <w:rPr>
          <w:sz w:val="17"/>
        </w:rPr>
      </w:pPr>
    </w:p>
    <w:p w14:paraId="38BF3D3C" w14:textId="77777777" w:rsidR="00A71EEF" w:rsidRDefault="0081115D">
      <w:pPr>
        <w:pStyle w:val="a3"/>
        <w:ind w:left="418"/>
      </w:pPr>
      <w:r>
        <w:t xml:space="preserve"> </w:t>
      </w:r>
      <w:r>
        <w:t xml:space="preserve"> </w:t>
      </w:r>
      <w:r>
        <w:t xml:space="preserve"> </w:t>
      </w:r>
      <w:r>
        <w:t xml:space="preserve"> </w:t>
      </w:r>
      <w:r>
        <w:t>坐席离席时可不分配火警电话呼入。</w:t>
      </w:r>
      <w:r>
        <w:t xml:space="preserve"> </w:t>
      </w:r>
    </w:p>
    <w:p w14:paraId="1B9CEC68" w14:textId="77777777" w:rsidR="00A71EEF" w:rsidRDefault="00A71EEF">
      <w:pPr>
        <w:pStyle w:val="a3"/>
        <w:spacing w:before="2"/>
        <w:rPr>
          <w:sz w:val="18"/>
        </w:rPr>
      </w:pPr>
    </w:p>
    <w:p w14:paraId="6E2621CD" w14:textId="77777777" w:rsidR="00A71EEF" w:rsidRDefault="0081115D">
      <w:pPr>
        <w:ind w:left="418"/>
        <w:rPr>
          <w:sz w:val="21"/>
        </w:rPr>
      </w:pPr>
      <w:r>
        <w:rPr>
          <w:sz w:val="21"/>
        </w:rPr>
        <w:t xml:space="preserve">   </w:t>
      </w:r>
      <w:r>
        <w:rPr>
          <w:b/>
          <w:w w:val="99"/>
          <w:sz w:val="21"/>
        </w:rPr>
        <w:t xml:space="preserve"> </w:t>
      </w:r>
      <w:r>
        <w:rPr>
          <w:b/>
          <w:sz w:val="21"/>
        </w:rPr>
        <w:t xml:space="preserve">5.11.9 </w:t>
      </w:r>
      <w:r>
        <w:rPr>
          <w:sz w:val="21"/>
        </w:rPr>
        <w:t>火警电话呼入时坐席分配可采用下列方式：</w:t>
      </w:r>
      <w:r>
        <w:rPr>
          <w:sz w:val="21"/>
        </w:rPr>
        <w:t xml:space="preserve"> </w:t>
      </w:r>
    </w:p>
    <w:p w14:paraId="47EBB560" w14:textId="77777777" w:rsidR="00A71EEF" w:rsidRDefault="00A71EEF">
      <w:pPr>
        <w:pStyle w:val="a3"/>
        <w:rPr>
          <w:sz w:val="18"/>
        </w:rPr>
      </w:pPr>
    </w:p>
    <w:p w14:paraId="389A001D" w14:textId="77777777" w:rsidR="00A71EEF" w:rsidRDefault="0081115D">
      <w:pPr>
        <w:pStyle w:val="a3"/>
        <w:ind w:left="418"/>
      </w:pPr>
      <w:r>
        <w:t xml:space="preserve"> </w:t>
      </w:r>
      <w:r>
        <w:t xml:space="preserve"> </w:t>
      </w:r>
      <w:r>
        <w:t xml:space="preserve"> </w:t>
      </w:r>
      <w:r>
        <w:t xml:space="preserve"> </w:t>
      </w:r>
      <w:r>
        <w:t>按顺序依次循环向各坐席分配；</w:t>
      </w:r>
      <w:r>
        <w:t xml:space="preserve"> </w:t>
      </w:r>
    </w:p>
    <w:p w14:paraId="07032305" w14:textId="77777777" w:rsidR="00A71EEF" w:rsidRDefault="00A71EEF">
      <w:pPr>
        <w:pStyle w:val="a3"/>
        <w:rPr>
          <w:sz w:val="18"/>
        </w:rPr>
      </w:pPr>
    </w:p>
    <w:p w14:paraId="1E631910" w14:textId="77777777" w:rsidR="00A71EEF" w:rsidRDefault="0081115D">
      <w:pPr>
        <w:pStyle w:val="a3"/>
        <w:ind w:left="418"/>
      </w:pPr>
      <w:r>
        <w:t xml:space="preserve"> </w:t>
      </w:r>
      <w:r>
        <w:t xml:space="preserve"> </w:t>
      </w:r>
      <w:r>
        <w:t xml:space="preserve"> </w:t>
      </w:r>
      <w:r>
        <w:t xml:space="preserve"> </w:t>
      </w:r>
      <w:r>
        <w:t>按设定的固定顺序依次分配；</w:t>
      </w:r>
      <w:r>
        <w:t xml:space="preserve"> </w:t>
      </w:r>
    </w:p>
    <w:p w14:paraId="5AC52EA9" w14:textId="77777777" w:rsidR="00A71EEF" w:rsidRDefault="00A71EEF">
      <w:pPr>
        <w:pStyle w:val="a3"/>
        <w:spacing w:before="2"/>
        <w:rPr>
          <w:sz w:val="18"/>
        </w:rPr>
      </w:pPr>
    </w:p>
    <w:p w14:paraId="599BFDE8" w14:textId="77777777" w:rsidR="00A71EEF" w:rsidRDefault="0081115D">
      <w:pPr>
        <w:pStyle w:val="a3"/>
        <w:ind w:left="418"/>
      </w:pPr>
      <w:r>
        <w:t xml:space="preserve"> </w:t>
      </w:r>
      <w:r>
        <w:t xml:space="preserve"> </w:t>
      </w:r>
      <w:r>
        <w:t xml:space="preserve"> </w:t>
      </w:r>
      <w:r>
        <w:t xml:space="preserve"> </w:t>
      </w:r>
      <w:r>
        <w:t>对空闲时间最长的坐席优先分配；</w:t>
      </w:r>
      <w:r>
        <w:t xml:space="preserve"> </w:t>
      </w:r>
    </w:p>
    <w:p w14:paraId="5068986E" w14:textId="77777777" w:rsidR="00A71EEF" w:rsidRDefault="00A71EEF">
      <w:pPr>
        <w:pStyle w:val="a3"/>
        <w:spacing w:before="12"/>
        <w:rPr>
          <w:sz w:val="17"/>
        </w:rPr>
      </w:pPr>
    </w:p>
    <w:p w14:paraId="57AC840F" w14:textId="77777777" w:rsidR="00A71EEF" w:rsidRDefault="0081115D">
      <w:pPr>
        <w:pStyle w:val="a3"/>
        <w:ind w:left="418"/>
      </w:pPr>
      <w:r>
        <w:t xml:space="preserve"> </w:t>
      </w:r>
      <w:r>
        <w:t xml:space="preserve"> </w:t>
      </w:r>
      <w:r>
        <w:t xml:space="preserve"> </w:t>
      </w:r>
      <w:r>
        <w:t xml:space="preserve"> </w:t>
      </w:r>
      <w:r>
        <w:t>向一组坐席同时分配报警呼叫，先应答者接听；</w:t>
      </w:r>
      <w:r>
        <w:t xml:space="preserve"> </w:t>
      </w:r>
    </w:p>
    <w:p w14:paraId="105313F6" w14:textId="77777777" w:rsidR="00A71EEF" w:rsidRDefault="00A71EEF">
      <w:pPr>
        <w:pStyle w:val="a3"/>
        <w:rPr>
          <w:sz w:val="18"/>
        </w:rPr>
      </w:pPr>
    </w:p>
    <w:p w14:paraId="5E31760B" w14:textId="77777777" w:rsidR="00A71EEF" w:rsidRDefault="0081115D">
      <w:pPr>
        <w:pStyle w:val="a3"/>
        <w:spacing w:line="446" w:lineRule="auto"/>
        <w:ind w:left="840" w:right="6129" w:hanging="423"/>
        <w:rPr>
          <w:b/>
        </w:rPr>
      </w:pPr>
      <w:r>
        <w:t xml:space="preserve"> </w:t>
      </w:r>
      <w:r>
        <w:t xml:space="preserve"> </w:t>
      </w:r>
      <w:r>
        <w:t xml:space="preserve"> </w:t>
      </w:r>
      <w:r>
        <w:t xml:space="preserve"> </w:t>
      </w:r>
      <w:r>
        <w:t>根据坐席业务类型和技能等级分配。</w:t>
      </w:r>
      <w:r>
        <w:rPr>
          <w:b/>
        </w:rPr>
        <w:t xml:space="preserve">5.12 </w:t>
      </w:r>
      <w:r>
        <w:t>消防无线通信子系统</w:t>
      </w:r>
      <w:r>
        <w:rPr>
          <w:b/>
          <w:w w:val="99"/>
        </w:rPr>
        <w:t xml:space="preserve"> </w:t>
      </w:r>
    </w:p>
    <w:p w14:paraId="2A8A6E3F" w14:textId="77777777" w:rsidR="00A71EEF" w:rsidRDefault="0081115D">
      <w:pPr>
        <w:ind w:left="840"/>
        <w:rPr>
          <w:sz w:val="21"/>
        </w:rPr>
      </w:pPr>
      <w:r>
        <w:rPr>
          <w:b/>
          <w:sz w:val="21"/>
        </w:rPr>
        <w:t xml:space="preserve">5.12.1 </w:t>
      </w:r>
      <w:r>
        <w:rPr>
          <w:sz w:val="21"/>
        </w:rPr>
        <w:t>消防无线通信网络应符合下列要求：</w:t>
      </w:r>
      <w:r>
        <w:rPr>
          <w:sz w:val="21"/>
        </w:rPr>
        <w:t xml:space="preserve"> </w:t>
      </w:r>
    </w:p>
    <w:p w14:paraId="1BB43018" w14:textId="77777777" w:rsidR="00A71EEF" w:rsidRDefault="00A71EEF">
      <w:pPr>
        <w:pStyle w:val="a3"/>
        <w:spacing w:before="12"/>
        <w:rPr>
          <w:sz w:val="17"/>
        </w:rPr>
      </w:pPr>
    </w:p>
    <w:p w14:paraId="6AA5CDF3" w14:textId="77777777" w:rsidR="00A71EEF" w:rsidRDefault="0081115D">
      <w:pPr>
        <w:pStyle w:val="a3"/>
        <w:spacing w:line="446" w:lineRule="auto"/>
        <w:ind w:left="418" w:right="1431"/>
      </w:pPr>
      <w:r>
        <w:t xml:space="preserve"> </w:t>
      </w:r>
      <w:r>
        <w:t xml:space="preserve"> </w:t>
      </w:r>
      <w:r>
        <w:t xml:space="preserve"> </w:t>
      </w:r>
      <w:r>
        <w:t xml:space="preserve"> </w:t>
      </w:r>
      <w:r>
        <w:rPr>
          <w:spacing w:val="-5"/>
        </w:rPr>
        <w:t>应能设置独立的消防专用无线通信网，或加入公安集群无线通信系统，并在系统中设置消防</w:t>
      </w:r>
      <w:r>
        <w:rPr>
          <w:spacing w:val="-4"/>
        </w:rPr>
        <w:t>分调度台和一定数量的独立编队</w:t>
      </w:r>
      <w:r>
        <w:t>（</w:t>
      </w:r>
      <w:r>
        <w:rPr>
          <w:spacing w:val="-3"/>
        </w:rPr>
        <w:t>通话组</w:t>
      </w:r>
      <w:r>
        <w:rPr>
          <w:spacing w:val="-106"/>
        </w:rPr>
        <w:t>）</w:t>
      </w:r>
      <w:r>
        <w:rPr>
          <w:spacing w:val="-3"/>
        </w:rPr>
        <w:t>，建立灭火救援调度指挥网；</w:t>
      </w:r>
      <w:r>
        <w:t xml:space="preserve"> </w:t>
      </w:r>
    </w:p>
    <w:p w14:paraId="75DADD2F" w14:textId="77777777" w:rsidR="00A71EEF" w:rsidRDefault="00A71EEF">
      <w:pPr>
        <w:spacing w:line="446" w:lineRule="auto"/>
        <w:sectPr w:rsidR="00A71EEF">
          <w:pgSz w:w="11910" w:h="16850"/>
          <w:pgMar w:top="1220" w:right="0" w:bottom="1420" w:left="1260" w:header="0" w:footer="1239" w:gutter="0"/>
          <w:cols w:space="720"/>
        </w:sectPr>
      </w:pPr>
    </w:p>
    <w:p w14:paraId="68644237" w14:textId="77777777" w:rsidR="00A71EEF" w:rsidRDefault="0081115D">
      <w:pPr>
        <w:pStyle w:val="a3"/>
        <w:spacing w:before="47" w:line="446" w:lineRule="auto"/>
        <w:ind w:left="418" w:right="1399"/>
      </w:pPr>
      <w:r>
        <w:t xml:space="preserve"> </w:t>
      </w:r>
      <w:r>
        <w:t xml:space="preserve"> </w:t>
      </w:r>
      <w:r>
        <w:t xml:space="preserve"> </w:t>
      </w:r>
      <w:r>
        <w:t xml:space="preserve"> </w:t>
      </w:r>
      <w:r>
        <w:t>省（自治区）消防无线通信子系统应有跨区域联合作战指挥通信的能力，地区（州、盟）消防无线通信子系统应有全地区（州、盟）灭火救援指挥通信的能力；</w:t>
      </w:r>
      <w:r>
        <w:t xml:space="preserve"> </w:t>
      </w:r>
    </w:p>
    <w:p w14:paraId="694D38C8" w14:textId="77777777" w:rsidR="00A71EEF" w:rsidRDefault="0081115D">
      <w:pPr>
        <w:pStyle w:val="a3"/>
        <w:spacing w:line="446" w:lineRule="auto"/>
        <w:ind w:left="418" w:right="1407"/>
      </w:pPr>
      <w:r>
        <w:t xml:space="preserve"> </w:t>
      </w:r>
      <w:r>
        <w:t xml:space="preserve"> </w:t>
      </w:r>
      <w:r>
        <w:t xml:space="preserve"> </w:t>
      </w:r>
      <w:r>
        <w:t xml:space="preserve"> </w:t>
      </w:r>
      <w:r>
        <w:t>城市消防无线通信子系统应能保障城市消防辖区覆盖通信、现场指挥通信、灭火救援战斗通信；</w:t>
      </w:r>
      <w:r>
        <w:t xml:space="preserve"> </w:t>
      </w:r>
    </w:p>
    <w:p w14:paraId="528833B6" w14:textId="77777777" w:rsidR="00A71EEF" w:rsidRDefault="0081115D">
      <w:pPr>
        <w:pStyle w:val="a3"/>
        <w:spacing w:line="446" w:lineRule="auto"/>
        <w:ind w:left="418" w:right="1407"/>
      </w:pPr>
      <w:r>
        <w:t xml:space="preserve"> </w:t>
      </w:r>
      <w:r>
        <w:t xml:space="preserve"> </w:t>
      </w:r>
      <w:r>
        <w:t xml:space="preserve"> </w:t>
      </w:r>
      <w:r>
        <w:t xml:space="preserve"> </w:t>
      </w:r>
      <w:r>
        <w:t>应能在发生自然灾害或突发技术故障造成大范围通信中断时，通过卫星电话、短波电台等设备，提供应急通信保障；</w:t>
      </w:r>
      <w:r>
        <w:t xml:space="preserve"> </w:t>
      </w:r>
    </w:p>
    <w:p w14:paraId="4E34ABE7" w14:textId="77777777" w:rsidR="00A71EEF" w:rsidRDefault="0081115D">
      <w:pPr>
        <w:pStyle w:val="a3"/>
        <w:spacing w:line="446" w:lineRule="auto"/>
        <w:ind w:left="418" w:right="1386"/>
      </w:pPr>
      <w:r>
        <w:t xml:space="preserve"> </w:t>
      </w:r>
      <w:r>
        <w:t xml:space="preserve"> </w:t>
      </w:r>
      <w:r>
        <w:t xml:space="preserve"> </w:t>
      </w:r>
      <w:r>
        <w:t xml:space="preserve"> </w:t>
      </w:r>
      <w:r>
        <w:t>与地方专职消防队等其他灭火救援力量在灾害事故现场的协同通信时，应临时配发参战指挥员无线电台，加入现场指挥网内通信，参战队数量很大时，应另行组建现场协同通信网；</w:t>
      </w:r>
      <w:r>
        <w:t xml:space="preserve"> </w:t>
      </w:r>
    </w:p>
    <w:p w14:paraId="55B38E24" w14:textId="77777777" w:rsidR="00A71EEF" w:rsidRDefault="0081115D">
      <w:pPr>
        <w:pStyle w:val="a3"/>
        <w:spacing w:line="446" w:lineRule="auto"/>
        <w:ind w:left="418" w:right="1433"/>
      </w:pPr>
      <w:r>
        <w:t xml:space="preserve"> </w:t>
      </w:r>
      <w:r>
        <w:t xml:space="preserve"> </w:t>
      </w:r>
      <w:r>
        <w:t xml:space="preserve"> </w:t>
      </w:r>
      <w:r>
        <w:t xml:space="preserve"> </w:t>
      </w:r>
      <w:r>
        <w:rPr>
          <w:spacing w:val="-6"/>
        </w:rPr>
        <w:t>参与灭火救援联合作战时，应能保持独立的消防通信体系，消防指挥员</w:t>
      </w:r>
      <w:r>
        <w:t>（</w:t>
      </w:r>
      <w:r>
        <w:rPr>
          <w:spacing w:val="-3"/>
        </w:rPr>
        <w:t>联络员</w:t>
      </w:r>
      <w:r>
        <w:rPr>
          <w:spacing w:val="-8"/>
        </w:rPr>
        <w:t>）</w:t>
      </w:r>
      <w:r>
        <w:rPr>
          <w:spacing w:val="-3"/>
        </w:rPr>
        <w:t>加入负责现场全面指挥单位的通信网；</w:t>
      </w:r>
      <w:r>
        <w:t xml:space="preserve"> </w:t>
      </w:r>
    </w:p>
    <w:p w14:paraId="6460D105" w14:textId="77777777" w:rsidR="00A71EEF" w:rsidRDefault="0081115D">
      <w:pPr>
        <w:pStyle w:val="a3"/>
        <w:ind w:left="418"/>
      </w:pPr>
      <w:r>
        <w:t xml:space="preserve"> </w:t>
      </w:r>
      <w:r>
        <w:t xml:space="preserve"> </w:t>
      </w:r>
      <w:r>
        <w:t xml:space="preserve"> </w:t>
      </w:r>
      <w:r>
        <w:t xml:space="preserve"> </w:t>
      </w:r>
      <w:r>
        <w:t>在无线电通信</w:t>
      </w:r>
      <w:r>
        <w:t>盲区，可通过移动通信基站，采用通信中继等方式，保证无线通信不间断；</w:t>
      </w:r>
      <w:r>
        <w:t xml:space="preserve"> </w:t>
      </w:r>
    </w:p>
    <w:p w14:paraId="713F93C4" w14:textId="77777777" w:rsidR="00A71EEF" w:rsidRDefault="00A71EEF">
      <w:pPr>
        <w:pStyle w:val="a3"/>
        <w:spacing w:before="8"/>
        <w:rPr>
          <w:sz w:val="17"/>
        </w:rPr>
      </w:pPr>
    </w:p>
    <w:p w14:paraId="2F14B613" w14:textId="77777777" w:rsidR="00A71EEF" w:rsidRDefault="0081115D">
      <w:pPr>
        <w:pStyle w:val="a3"/>
        <w:ind w:left="418"/>
      </w:pPr>
      <w:r>
        <w:t xml:space="preserve"> </w:t>
      </w:r>
      <w:r>
        <w:t xml:space="preserve"> </w:t>
      </w:r>
      <w:r>
        <w:t xml:space="preserve"> </w:t>
      </w:r>
      <w:r>
        <w:t xml:space="preserve"> </w:t>
      </w:r>
      <w:r>
        <w:t>在地铁、隧道、地下室等地下空间内，可采用地下无线中继等方式，实现无线通信。</w:t>
      </w:r>
      <w:r>
        <w:t xml:space="preserve"> </w:t>
      </w:r>
    </w:p>
    <w:p w14:paraId="4899B1B9" w14:textId="77777777" w:rsidR="00A71EEF" w:rsidRDefault="00A71EEF">
      <w:pPr>
        <w:pStyle w:val="a3"/>
        <w:spacing w:before="2"/>
        <w:rPr>
          <w:sz w:val="18"/>
        </w:rPr>
      </w:pPr>
    </w:p>
    <w:p w14:paraId="4B43D03C" w14:textId="77777777" w:rsidR="00A71EEF" w:rsidRDefault="0081115D">
      <w:pPr>
        <w:ind w:left="418"/>
        <w:rPr>
          <w:sz w:val="21"/>
        </w:rPr>
      </w:pPr>
      <w:r>
        <w:rPr>
          <w:sz w:val="21"/>
        </w:rPr>
        <w:t xml:space="preserve">   </w:t>
      </w:r>
      <w:r>
        <w:rPr>
          <w:b/>
          <w:w w:val="99"/>
          <w:sz w:val="21"/>
        </w:rPr>
        <w:t xml:space="preserve"> </w:t>
      </w:r>
      <w:r>
        <w:rPr>
          <w:b/>
          <w:sz w:val="21"/>
        </w:rPr>
        <w:t xml:space="preserve">5.12.2 </w:t>
      </w:r>
      <w:r>
        <w:rPr>
          <w:sz w:val="21"/>
        </w:rPr>
        <w:t>城市消防无线通信网应由以下三级网组成：</w:t>
      </w:r>
      <w:r>
        <w:rPr>
          <w:sz w:val="21"/>
        </w:rPr>
        <w:t xml:space="preserve"> </w:t>
      </w:r>
    </w:p>
    <w:p w14:paraId="03987953" w14:textId="77777777" w:rsidR="00A71EEF" w:rsidRDefault="00A71EEF">
      <w:pPr>
        <w:pStyle w:val="a3"/>
        <w:rPr>
          <w:sz w:val="18"/>
        </w:rPr>
      </w:pPr>
    </w:p>
    <w:p w14:paraId="0B730B5F" w14:textId="77777777" w:rsidR="00A71EEF" w:rsidRDefault="0081115D">
      <w:pPr>
        <w:pStyle w:val="a3"/>
        <w:spacing w:line="446" w:lineRule="auto"/>
        <w:ind w:left="418" w:right="1433"/>
        <w:jc w:val="both"/>
      </w:pPr>
      <w:r>
        <w:t xml:space="preserve"> </w:t>
      </w:r>
      <w:r>
        <w:t xml:space="preserve"> </w:t>
      </w:r>
      <w:r>
        <w:t xml:space="preserve"> </w:t>
      </w:r>
      <w:r>
        <w:t xml:space="preserve"> </w:t>
      </w:r>
      <w:r>
        <w:t>消防一级网</w:t>
      </w:r>
      <w:r>
        <w:rPr>
          <w:spacing w:val="2"/>
        </w:rPr>
        <w:t>（</w:t>
      </w:r>
      <w:r>
        <w:t>城市消防辖区覆盖网</w:t>
      </w:r>
      <w:r>
        <w:rPr>
          <w:spacing w:val="-106"/>
        </w:rPr>
        <w:t>）</w:t>
      </w:r>
      <w:r>
        <w:t>，适用于保障城市消防通信指挥中心与移动消防指挥中</w:t>
      </w:r>
      <w:r>
        <w:rPr>
          <w:spacing w:val="-6"/>
        </w:rPr>
        <w:t>心和辖区消防站固定电台、车载电台之间的通信联络，在使用车载电台的条件下，可靠通信覆盖</w:t>
      </w:r>
      <w:r>
        <w:rPr>
          <w:spacing w:val="-8"/>
        </w:rPr>
        <w:t>区不应小于城市辖区地理面积的</w:t>
      </w:r>
      <w:r>
        <w:rPr>
          <w:spacing w:val="-8"/>
        </w:rPr>
        <w:t xml:space="preserve"> </w:t>
      </w:r>
      <w:r>
        <w:t>80%</w:t>
      </w:r>
      <w:r>
        <w:t>；</w:t>
      </w:r>
      <w:r>
        <w:t xml:space="preserve"> </w:t>
      </w:r>
    </w:p>
    <w:p w14:paraId="5787E10D" w14:textId="77777777" w:rsidR="00A71EEF" w:rsidRDefault="0081115D">
      <w:pPr>
        <w:pStyle w:val="a3"/>
        <w:spacing w:line="446" w:lineRule="auto"/>
        <w:ind w:left="418" w:right="1438"/>
        <w:jc w:val="both"/>
      </w:pPr>
      <w:r>
        <w:t xml:space="preserve"> </w:t>
      </w:r>
      <w:r>
        <w:t xml:space="preserve"> </w:t>
      </w:r>
      <w:r>
        <w:t xml:space="preserve"> </w:t>
      </w:r>
      <w:r>
        <w:t xml:space="preserve"> </w:t>
      </w:r>
      <w:r>
        <w:t>消防二级网</w:t>
      </w:r>
      <w:r>
        <w:rPr>
          <w:spacing w:val="2"/>
        </w:rPr>
        <w:t>（</w:t>
      </w:r>
      <w:r>
        <w:t>现场指挥网</w:t>
      </w:r>
      <w:r>
        <w:rPr>
          <w:spacing w:val="-106"/>
        </w:rPr>
        <w:t>）</w:t>
      </w:r>
      <w:r>
        <w:rPr>
          <w:spacing w:val="-1"/>
        </w:rPr>
        <w:t>，适用于保障火场及其他灾害事故现场范围内各级消防指挥人员</w:t>
      </w:r>
      <w:r>
        <w:rPr>
          <w:spacing w:val="-3"/>
        </w:rPr>
        <w:t>之间的通信联络；</w:t>
      </w:r>
      <w:r>
        <w:t xml:space="preserve"> </w:t>
      </w:r>
    </w:p>
    <w:p w14:paraId="12D189A4" w14:textId="77777777" w:rsidR="00A71EEF" w:rsidRDefault="0081115D">
      <w:pPr>
        <w:pStyle w:val="a3"/>
        <w:spacing w:line="446" w:lineRule="auto"/>
        <w:ind w:left="418" w:right="1438"/>
        <w:jc w:val="both"/>
      </w:pPr>
      <w:r>
        <w:t xml:space="preserve"> </w:t>
      </w:r>
      <w:r>
        <w:t xml:space="preserve"> </w:t>
      </w:r>
      <w:r>
        <w:t xml:space="preserve"> </w:t>
      </w:r>
      <w:r>
        <w:t xml:space="preserve"> </w:t>
      </w:r>
      <w:r>
        <w:t>消防三级网</w:t>
      </w:r>
      <w:r>
        <w:rPr>
          <w:spacing w:val="2"/>
        </w:rPr>
        <w:t>（</w:t>
      </w:r>
      <w:r>
        <w:t>灭火救援战斗网</w:t>
      </w:r>
      <w:r>
        <w:rPr>
          <w:spacing w:val="-106"/>
        </w:rPr>
        <w:t>）</w:t>
      </w:r>
      <w:r>
        <w:rPr>
          <w:spacing w:val="-1"/>
        </w:rPr>
        <w:t>，适用于火场及其他灾害事故现场范围内各参战消防队内部</w:t>
      </w:r>
      <w:r>
        <w:rPr>
          <w:spacing w:val="-3"/>
        </w:rPr>
        <w:t>的指挥员、战斗班班长、驾驶员、特勤抢险班战斗员之间的通信联络。</w:t>
      </w:r>
      <w:r>
        <w:t xml:space="preserve"> </w:t>
      </w:r>
    </w:p>
    <w:p w14:paraId="0B9A0ADC" w14:textId="77777777" w:rsidR="00A71EEF" w:rsidRDefault="0081115D">
      <w:pPr>
        <w:spacing w:line="267" w:lineRule="exact"/>
        <w:ind w:left="418"/>
        <w:rPr>
          <w:sz w:val="21"/>
        </w:rPr>
      </w:pPr>
      <w:r>
        <w:rPr>
          <w:sz w:val="21"/>
        </w:rPr>
        <w:t xml:space="preserve">   </w:t>
      </w:r>
      <w:r>
        <w:rPr>
          <w:b/>
          <w:w w:val="99"/>
          <w:sz w:val="21"/>
        </w:rPr>
        <w:t xml:space="preserve"> </w:t>
      </w:r>
      <w:r>
        <w:rPr>
          <w:b/>
          <w:sz w:val="21"/>
        </w:rPr>
        <w:t xml:space="preserve">5.12.3 </w:t>
      </w:r>
      <w:r>
        <w:rPr>
          <w:sz w:val="21"/>
        </w:rPr>
        <w:t>消防无线通信子系统的数据通信功能应符合下列要求：</w:t>
      </w:r>
      <w:r>
        <w:rPr>
          <w:sz w:val="21"/>
        </w:rPr>
        <w:t xml:space="preserve"> </w:t>
      </w:r>
    </w:p>
    <w:p w14:paraId="2F9F48D4" w14:textId="77777777" w:rsidR="00A71EEF" w:rsidRDefault="00A71EEF">
      <w:pPr>
        <w:pStyle w:val="a3"/>
        <w:rPr>
          <w:sz w:val="18"/>
        </w:rPr>
      </w:pPr>
    </w:p>
    <w:p w14:paraId="0CB9BB9E" w14:textId="77777777" w:rsidR="00A71EEF" w:rsidRDefault="0081115D">
      <w:pPr>
        <w:pStyle w:val="a3"/>
        <w:spacing w:before="1"/>
        <w:ind w:left="418"/>
      </w:pPr>
      <w:r>
        <w:t xml:space="preserve"> </w:t>
      </w:r>
      <w:r>
        <w:t xml:space="preserve"> </w:t>
      </w:r>
      <w:r>
        <w:t xml:space="preserve"> </w:t>
      </w:r>
      <w:r>
        <w:t xml:space="preserve"> </w:t>
      </w:r>
      <w:r>
        <w:t>应能建立火场及其他灾害事故现场与消防通信指挥中心的移动数据通信链路；</w:t>
      </w:r>
      <w:r>
        <w:t xml:space="preserve"> </w:t>
      </w:r>
    </w:p>
    <w:p w14:paraId="4C5F64A1" w14:textId="77777777" w:rsidR="00A71EEF" w:rsidRDefault="00A71EEF">
      <w:pPr>
        <w:pStyle w:val="a3"/>
        <w:spacing w:before="12"/>
        <w:rPr>
          <w:sz w:val="17"/>
        </w:rPr>
      </w:pPr>
    </w:p>
    <w:p w14:paraId="02A4523A" w14:textId="77777777" w:rsidR="00A71EEF" w:rsidRDefault="0081115D">
      <w:pPr>
        <w:pStyle w:val="a3"/>
        <w:spacing w:line="446" w:lineRule="auto"/>
        <w:ind w:left="418" w:right="1407"/>
      </w:pPr>
      <w:r>
        <w:t xml:space="preserve"> </w:t>
      </w:r>
      <w:r>
        <w:t xml:space="preserve"> </w:t>
      </w:r>
      <w:r>
        <w:t xml:space="preserve"> </w:t>
      </w:r>
      <w:r>
        <w:t xml:space="preserve"> </w:t>
      </w:r>
      <w:r>
        <w:t>在火场及其他灾害事故现场应能实现情报信息、火灾及其他灾害事故处置方案、现场灭火救援行动方案、指挥决策数据等信息的查询、传输；</w:t>
      </w:r>
      <w:r>
        <w:t xml:space="preserve"> </w:t>
      </w:r>
    </w:p>
    <w:p w14:paraId="74F33776" w14:textId="77777777" w:rsidR="00A71EEF" w:rsidRDefault="0081115D">
      <w:pPr>
        <w:pStyle w:val="a3"/>
        <w:ind w:left="418"/>
      </w:pPr>
      <w:r>
        <w:t xml:space="preserve"> </w:t>
      </w:r>
      <w:r>
        <w:t xml:space="preserve"> </w:t>
      </w:r>
      <w:r>
        <w:t xml:space="preserve"> </w:t>
      </w:r>
      <w:r>
        <w:t xml:space="preserve"> </w:t>
      </w:r>
      <w:r>
        <w:t>通过公网进行数据通信时应具有移动接入安全措施；</w:t>
      </w:r>
      <w:r>
        <w:t xml:space="preserve"> </w:t>
      </w:r>
    </w:p>
    <w:p w14:paraId="31A39325" w14:textId="77777777" w:rsidR="00A71EEF" w:rsidRDefault="00A71EEF">
      <w:pPr>
        <w:pStyle w:val="a3"/>
        <w:spacing w:before="12"/>
        <w:rPr>
          <w:sz w:val="17"/>
        </w:rPr>
      </w:pPr>
    </w:p>
    <w:p w14:paraId="6B50C4C9" w14:textId="77777777" w:rsidR="00A71EEF" w:rsidRDefault="0081115D">
      <w:pPr>
        <w:pStyle w:val="a3"/>
        <w:ind w:left="418"/>
      </w:pPr>
      <w:r>
        <w:t xml:space="preserve"> </w:t>
      </w:r>
      <w:r>
        <w:t xml:space="preserve"> </w:t>
      </w:r>
      <w:r>
        <w:t xml:space="preserve"> </w:t>
      </w:r>
      <w:r>
        <w:t xml:space="preserve"> </w:t>
      </w:r>
      <w:r>
        <w:t>数据通信的传输速率、误码率等应能满足灭火救援作战指挥的需求。</w:t>
      </w:r>
      <w:r>
        <w:t xml:space="preserve"> </w:t>
      </w:r>
    </w:p>
    <w:p w14:paraId="149A44C3" w14:textId="77777777" w:rsidR="00A71EEF" w:rsidRDefault="00A71EEF">
      <w:pPr>
        <w:pStyle w:val="a3"/>
        <w:rPr>
          <w:sz w:val="18"/>
        </w:rPr>
      </w:pPr>
    </w:p>
    <w:p w14:paraId="7D4CBC7C" w14:textId="77777777" w:rsidR="00A71EEF" w:rsidRDefault="0081115D">
      <w:pPr>
        <w:ind w:left="418"/>
        <w:rPr>
          <w:sz w:val="21"/>
        </w:rPr>
      </w:pPr>
      <w:r>
        <w:rPr>
          <w:sz w:val="21"/>
        </w:rPr>
        <w:t xml:space="preserve">   </w:t>
      </w:r>
      <w:r>
        <w:rPr>
          <w:b/>
          <w:w w:val="99"/>
          <w:sz w:val="21"/>
        </w:rPr>
        <w:t xml:space="preserve"> </w:t>
      </w:r>
      <w:r>
        <w:rPr>
          <w:b/>
          <w:sz w:val="21"/>
        </w:rPr>
        <w:t xml:space="preserve">5.12.4 </w:t>
      </w:r>
      <w:r>
        <w:rPr>
          <w:sz w:val="21"/>
        </w:rPr>
        <w:t>消防无线通信子系统的工作频率应符合下列要求：</w:t>
      </w:r>
      <w:r>
        <w:rPr>
          <w:sz w:val="21"/>
        </w:rPr>
        <w:t xml:space="preserve"> </w:t>
      </w:r>
    </w:p>
    <w:p w14:paraId="03E7E47A" w14:textId="77777777" w:rsidR="00A71EEF" w:rsidRDefault="00A71EEF">
      <w:pPr>
        <w:pStyle w:val="a3"/>
        <w:spacing w:before="2"/>
        <w:rPr>
          <w:sz w:val="18"/>
        </w:rPr>
      </w:pPr>
    </w:p>
    <w:p w14:paraId="7234C082" w14:textId="77777777" w:rsidR="00A71EEF" w:rsidRDefault="0081115D">
      <w:pPr>
        <w:pStyle w:val="a3"/>
        <w:ind w:left="418"/>
      </w:pPr>
      <w:r>
        <w:t xml:space="preserve"> </w:t>
      </w:r>
      <w:r>
        <w:t xml:space="preserve"> </w:t>
      </w:r>
      <w:r>
        <w:t xml:space="preserve"> </w:t>
      </w:r>
      <w:r>
        <w:t xml:space="preserve"> </w:t>
      </w:r>
      <w:r>
        <w:t>应能充分利用消防专用频率组网；</w:t>
      </w:r>
      <w:r>
        <w:t xml:space="preserve"> </w:t>
      </w:r>
    </w:p>
    <w:p w14:paraId="6CCA3129" w14:textId="77777777" w:rsidR="00A71EEF" w:rsidRDefault="00A71EEF">
      <w:pPr>
        <w:sectPr w:rsidR="00A71EEF">
          <w:pgSz w:w="11910" w:h="16850"/>
          <w:pgMar w:top="1220" w:right="0" w:bottom="1420" w:left="1260" w:header="0" w:footer="1239" w:gutter="0"/>
          <w:cols w:space="720"/>
        </w:sectPr>
      </w:pPr>
    </w:p>
    <w:p w14:paraId="23CCEE81" w14:textId="77777777" w:rsidR="00A71EEF" w:rsidRDefault="0081115D">
      <w:pPr>
        <w:pStyle w:val="a3"/>
        <w:spacing w:before="47" w:line="446" w:lineRule="auto"/>
        <w:ind w:left="418" w:right="1407"/>
      </w:pPr>
      <w:r>
        <w:t xml:space="preserve"> </w:t>
      </w:r>
      <w:r>
        <w:t xml:space="preserve"> </w:t>
      </w:r>
      <w:r>
        <w:t xml:space="preserve"> </w:t>
      </w:r>
      <w:r>
        <w:t xml:space="preserve"> </w:t>
      </w:r>
      <w:r>
        <w:t>应能根据需求和当地情况申请背景噪声小、传输特性好、不与民用大功率发射设备同频段的民用频率；</w:t>
      </w:r>
      <w:r>
        <w:t xml:space="preserve"> </w:t>
      </w:r>
    </w:p>
    <w:p w14:paraId="07E6810A" w14:textId="77777777" w:rsidR="00A71EEF" w:rsidRDefault="0081115D">
      <w:pPr>
        <w:pStyle w:val="a3"/>
        <w:spacing w:line="267" w:lineRule="exact"/>
        <w:ind w:left="418"/>
      </w:pPr>
      <w:r>
        <w:t xml:space="preserve"> </w:t>
      </w:r>
      <w:r>
        <w:t xml:space="preserve"> </w:t>
      </w:r>
      <w:r>
        <w:t xml:space="preserve"> </w:t>
      </w:r>
      <w:r>
        <w:t xml:space="preserve"> </w:t>
      </w:r>
      <w:r>
        <w:t>消防跨区域联合作战通信专用频点不得设任何控制信令；</w:t>
      </w:r>
      <w:r>
        <w:t xml:space="preserve"> </w:t>
      </w:r>
    </w:p>
    <w:p w14:paraId="30F11C9F" w14:textId="77777777" w:rsidR="00A71EEF" w:rsidRDefault="00A71EEF">
      <w:pPr>
        <w:pStyle w:val="a3"/>
        <w:spacing w:before="2"/>
        <w:rPr>
          <w:sz w:val="18"/>
        </w:rPr>
      </w:pPr>
    </w:p>
    <w:p w14:paraId="2CE3DE3F" w14:textId="77777777" w:rsidR="00A71EEF" w:rsidRDefault="0081115D">
      <w:pPr>
        <w:pStyle w:val="a3"/>
        <w:spacing w:line="446" w:lineRule="auto"/>
        <w:ind w:left="418" w:right="1407"/>
      </w:pPr>
      <w:r>
        <w:t xml:space="preserve"> </w:t>
      </w:r>
      <w:r>
        <w:t xml:space="preserve"> </w:t>
      </w:r>
      <w:r>
        <w:t xml:space="preserve"> </w:t>
      </w:r>
      <w:r>
        <w:t xml:space="preserve"> </w:t>
      </w:r>
      <w:r>
        <w:t>每个消防站应有一个专用信道，或通过无支援关系消防站的频率复用，达到每个消防站有一个专用信道；</w:t>
      </w:r>
      <w:r>
        <w:t xml:space="preserve"> </w:t>
      </w:r>
    </w:p>
    <w:p w14:paraId="3CD1F299" w14:textId="77777777" w:rsidR="00A71EEF" w:rsidRDefault="0081115D">
      <w:pPr>
        <w:pStyle w:val="a3"/>
        <w:spacing w:line="267" w:lineRule="exact"/>
        <w:ind w:left="418"/>
      </w:pPr>
      <w:r>
        <w:t xml:space="preserve"> </w:t>
      </w:r>
      <w:r>
        <w:t xml:space="preserve"> </w:t>
      </w:r>
      <w:r>
        <w:t xml:space="preserve"> </w:t>
      </w:r>
      <w:r>
        <w:t xml:space="preserve"> </w:t>
      </w:r>
      <w:r>
        <w:t>无线电台的预置信道数量不应小于</w:t>
      </w:r>
      <w:r>
        <w:t xml:space="preserve"> 16</w:t>
      </w:r>
      <w:r>
        <w:t>。</w:t>
      </w:r>
      <w:r>
        <w:t xml:space="preserve"> </w:t>
      </w:r>
    </w:p>
    <w:p w14:paraId="5D54BE02" w14:textId="77777777" w:rsidR="00A71EEF" w:rsidRDefault="00A71EEF">
      <w:pPr>
        <w:pStyle w:val="a3"/>
        <w:spacing w:before="2"/>
        <w:rPr>
          <w:sz w:val="18"/>
        </w:rPr>
      </w:pPr>
    </w:p>
    <w:p w14:paraId="170A382F" w14:textId="77777777" w:rsidR="00A71EEF" w:rsidRDefault="0081115D">
      <w:pPr>
        <w:pStyle w:val="a3"/>
        <w:ind w:left="418"/>
      </w:pPr>
      <w:r>
        <w:t xml:space="preserve">    </w:t>
      </w:r>
      <w:r>
        <w:rPr>
          <w:b/>
        </w:rPr>
        <w:t xml:space="preserve">5.12.5 </w:t>
      </w:r>
      <w:r>
        <w:t>消防无线通信子系统设备的工作环境应符合下列要求：</w:t>
      </w:r>
      <w:r>
        <w:t xml:space="preserve"> </w:t>
      </w:r>
    </w:p>
    <w:p w14:paraId="7E1A144C" w14:textId="77777777" w:rsidR="00A71EEF" w:rsidRDefault="00A71EEF">
      <w:pPr>
        <w:pStyle w:val="a3"/>
        <w:rPr>
          <w:sz w:val="18"/>
        </w:rPr>
      </w:pPr>
    </w:p>
    <w:p w14:paraId="4989B4C6" w14:textId="77777777" w:rsidR="00A71EEF" w:rsidRDefault="0081115D">
      <w:pPr>
        <w:pStyle w:val="a3"/>
        <w:ind w:left="418"/>
      </w:pPr>
      <w:r>
        <w:t xml:space="preserve"> </w:t>
      </w:r>
      <w:r>
        <w:t xml:space="preserve"> </w:t>
      </w:r>
      <w:r>
        <w:t xml:space="preserve"> </w:t>
      </w:r>
      <w:r>
        <w:t xml:space="preserve"> </w:t>
      </w:r>
      <w:r>
        <w:t>发射机的最大输出功率、固定天线的架设高度应符合当地无线电管理部门规定的要求；</w:t>
      </w:r>
      <w:r>
        <w:t xml:space="preserve"> </w:t>
      </w:r>
    </w:p>
    <w:p w14:paraId="42E8F1DC" w14:textId="77777777" w:rsidR="00A71EEF" w:rsidRDefault="00A71EEF">
      <w:pPr>
        <w:pStyle w:val="a3"/>
        <w:rPr>
          <w:sz w:val="18"/>
        </w:rPr>
      </w:pPr>
    </w:p>
    <w:p w14:paraId="7D936E45" w14:textId="77777777" w:rsidR="00A71EEF" w:rsidRDefault="0081115D">
      <w:pPr>
        <w:pStyle w:val="a3"/>
        <w:spacing w:line="446" w:lineRule="auto"/>
        <w:ind w:left="418" w:right="1380"/>
      </w:pPr>
      <w:r>
        <w:t xml:space="preserve"> </w:t>
      </w:r>
      <w:r>
        <w:t xml:space="preserve"> </w:t>
      </w:r>
      <w:r>
        <w:t xml:space="preserve"> </w:t>
      </w:r>
      <w:r>
        <w:t xml:space="preserve"> </w:t>
      </w:r>
      <w:r>
        <w:t>城市消防通信指挥中心建筑物周边</w:t>
      </w:r>
      <w:r>
        <w:t xml:space="preserve"> 200m </w:t>
      </w:r>
      <w:r>
        <w:t>范围内，不宜有大功率无线发射设备和能够产生强电磁场的电气设备；</w:t>
      </w:r>
      <w:r>
        <w:t xml:space="preserve"> </w:t>
      </w:r>
    </w:p>
    <w:p w14:paraId="1BFA35BE" w14:textId="77777777" w:rsidR="00A71EEF" w:rsidRDefault="0081115D">
      <w:pPr>
        <w:pStyle w:val="a3"/>
        <w:ind w:left="418"/>
      </w:pPr>
      <w:r>
        <w:t xml:space="preserve"> </w:t>
      </w:r>
      <w:r>
        <w:t xml:space="preserve"> </w:t>
      </w:r>
      <w:r>
        <w:t xml:space="preserve"> </w:t>
      </w:r>
      <w:r>
        <w:t xml:space="preserve"> </w:t>
      </w:r>
      <w:r>
        <w:t>通信基站应有防雷与接地设施。</w:t>
      </w:r>
      <w:r>
        <w:t xml:space="preserve"> </w:t>
      </w:r>
    </w:p>
    <w:p w14:paraId="68EC8A6B" w14:textId="77777777" w:rsidR="00A71EEF" w:rsidRDefault="00A71EEF">
      <w:pPr>
        <w:pStyle w:val="a3"/>
        <w:spacing w:before="12"/>
        <w:rPr>
          <w:sz w:val="17"/>
        </w:rPr>
      </w:pPr>
    </w:p>
    <w:p w14:paraId="55872740" w14:textId="77777777" w:rsidR="00A71EEF" w:rsidRDefault="0081115D">
      <w:pPr>
        <w:ind w:left="418"/>
        <w:rPr>
          <w:sz w:val="21"/>
        </w:rPr>
      </w:pPr>
      <w:r>
        <w:rPr>
          <w:sz w:val="21"/>
        </w:rPr>
        <w:t xml:space="preserve">  </w:t>
      </w:r>
      <w:r>
        <w:rPr>
          <w:b/>
          <w:w w:val="99"/>
          <w:sz w:val="21"/>
        </w:rPr>
        <w:t xml:space="preserve">  </w:t>
      </w:r>
      <w:r>
        <w:rPr>
          <w:b/>
          <w:sz w:val="21"/>
        </w:rPr>
        <w:t xml:space="preserve">5.12.6 </w:t>
      </w:r>
      <w:r>
        <w:rPr>
          <w:sz w:val="21"/>
        </w:rPr>
        <w:t>消防无线通信子系统的通信天线杆塔的架设应符合下列要求：</w:t>
      </w:r>
      <w:r>
        <w:rPr>
          <w:sz w:val="21"/>
        </w:rPr>
        <w:t xml:space="preserve"> </w:t>
      </w:r>
    </w:p>
    <w:p w14:paraId="3CF9B02C" w14:textId="77777777" w:rsidR="00A71EEF" w:rsidRDefault="00A71EEF">
      <w:pPr>
        <w:pStyle w:val="a3"/>
        <w:spacing w:before="2"/>
        <w:rPr>
          <w:sz w:val="18"/>
        </w:rPr>
      </w:pPr>
    </w:p>
    <w:p w14:paraId="51E84D5E" w14:textId="77777777" w:rsidR="00A71EEF" w:rsidRDefault="0081115D">
      <w:pPr>
        <w:pStyle w:val="a3"/>
        <w:spacing w:line="446" w:lineRule="auto"/>
        <w:ind w:left="418" w:right="1407"/>
      </w:pPr>
      <w:r>
        <w:t xml:space="preserve"> </w:t>
      </w:r>
      <w:r>
        <w:t xml:space="preserve"> </w:t>
      </w:r>
      <w:r>
        <w:t xml:space="preserve"> </w:t>
      </w:r>
      <w:r>
        <w:t xml:space="preserve"> </w:t>
      </w:r>
      <w:r>
        <w:t>城市消防通信指挥中心应设置永久性无线通信天线杆塔，距离城市消防通信指挥中心较远的消防站也应设永久性天线杆塔；</w:t>
      </w:r>
      <w:r>
        <w:t xml:space="preserve"> </w:t>
      </w:r>
    </w:p>
    <w:p w14:paraId="57ECF0A1" w14:textId="77777777" w:rsidR="00A71EEF" w:rsidRDefault="0081115D">
      <w:pPr>
        <w:pStyle w:val="a3"/>
        <w:spacing w:line="446" w:lineRule="auto"/>
        <w:ind w:left="418" w:right="1431"/>
      </w:pPr>
      <w:r>
        <w:t xml:space="preserve"> </w:t>
      </w:r>
      <w:r>
        <w:t xml:space="preserve"> </w:t>
      </w:r>
      <w:r>
        <w:t xml:space="preserve"> </w:t>
      </w:r>
      <w:r>
        <w:t xml:space="preserve"> </w:t>
      </w:r>
      <w:r>
        <w:rPr>
          <w:spacing w:val="-5"/>
        </w:rPr>
        <w:t>通信天线杆塔的天线平台应设高度不低于</w:t>
      </w:r>
      <w:r>
        <w:rPr>
          <w:spacing w:val="-5"/>
        </w:rPr>
        <w:t xml:space="preserve"> </w:t>
      </w:r>
      <w:r>
        <w:t>1.20m</w:t>
      </w:r>
      <w:r>
        <w:rPr>
          <w:spacing w:val="-10"/>
        </w:rPr>
        <w:t xml:space="preserve"> </w:t>
      </w:r>
      <w:r>
        <w:rPr>
          <w:spacing w:val="-10"/>
        </w:rPr>
        <w:t>的栏杆，塔身应设检修爬梯和安全护栏，塔</w:t>
      </w:r>
      <w:r>
        <w:rPr>
          <w:spacing w:val="-5"/>
        </w:rPr>
        <w:t>身较高时应加设休息平台；</w:t>
      </w:r>
      <w:r>
        <w:rPr>
          <w:spacing w:val="-5"/>
        </w:rPr>
        <w:t xml:space="preserve"> </w:t>
      </w:r>
    </w:p>
    <w:p w14:paraId="37D83664" w14:textId="77777777" w:rsidR="00A71EEF" w:rsidRDefault="0081115D">
      <w:pPr>
        <w:pStyle w:val="a3"/>
        <w:spacing w:line="446" w:lineRule="auto"/>
        <w:ind w:left="840" w:right="2554" w:hanging="423"/>
      </w:pPr>
      <w:r>
        <w:t xml:space="preserve"> </w:t>
      </w:r>
      <w:r>
        <w:t xml:space="preserve"> </w:t>
      </w:r>
      <w:r>
        <w:t xml:space="preserve"> </w:t>
      </w:r>
      <w:r>
        <w:t xml:space="preserve"> </w:t>
      </w:r>
      <w:r>
        <w:t>通信天线杆塔设计应按照永久</w:t>
      </w:r>
      <w:r>
        <w:t>荷载、可变荷载和偶然荷载最不利的组合考虑。</w:t>
      </w:r>
      <w:r>
        <w:rPr>
          <w:b/>
        </w:rPr>
        <w:t xml:space="preserve">5.13 </w:t>
      </w:r>
      <w:r>
        <w:t>消防卫星通信子系统</w:t>
      </w:r>
      <w:r>
        <w:t xml:space="preserve"> </w:t>
      </w:r>
    </w:p>
    <w:p w14:paraId="7CAB755D" w14:textId="77777777" w:rsidR="00A71EEF" w:rsidRDefault="0081115D">
      <w:pPr>
        <w:ind w:left="840"/>
        <w:rPr>
          <w:sz w:val="21"/>
        </w:rPr>
      </w:pPr>
      <w:r>
        <w:rPr>
          <w:b/>
          <w:sz w:val="21"/>
        </w:rPr>
        <w:t xml:space="preserve">5.13.1 </w:t>
      </w:r>
      <w:r>
        <w:rPr>
          <w:sz w:val="21"/>
        </w:rPr>
        <w:t>消防卫星通信子系统的基本功能应符合下列要求：</w:t>
      </w:r>
      <w:r>
        <w:rPr>
          <w:sz w:val="21"/>
        </w:rPr>
        <w:t xml:space="preserve"> </w:t>
      </w:r>
    </w:p>
    <w:p w14:paraId="58C26539" w14:textId="77777777" w:rsidR="00A71EEF" w:rsidRDefault="00A71EEF">
      <w:pPr>
        <w:pStyle w:val="a3"/>
        <w:spacing w:before="10"/>
        <w:rPr>
          <w:sz w:val="17"/>
        </w:rPr>
      </w:pPr>
    </w:p>
    <w:p w14:paraId="34B22009" w14:textId="77777777" w:rsidR="00A71EEF" w:rsidRDefault="0081115D">
      <w:pPr>
        <w:pStyle w:val="a3"/>
        <w:spacing w:line="446" w:lineRule="auto"/>
        <w:ind w:left="418" w:right="1394"/>
      </w:pPr>
      <w:r>
        <w:t xml:space="preserve"> </w:t>
      </w:r>
      <w:r>
        <w:t xml:space="preserve"> </w:t>
      </w:r>
      <w:r>
        <w:t xml:space="preserve"> </w:t>
      </w:r>
      <w:r>
        <w:t xml:space="preserve"> </w:t>
      </w:r>
      <w:r>
        <w:t>应根据需求设置固定卫星站、移动（车载、便携）卫星站，建立与消防通信指挥中心之间点对点通信；</w:t>
      </w:r>
      <w:r>
        <w:t xml:space="preserve"> </w:t>
      </w:r>
    </w:p>
    <w:p w14:paraId="3083DB6D" w14:textId="77777777" w:rsidR="00A71EEF" w:rsidRDefault="0081115D">
      <w:pPr>
        <w:pStyle w:val="a3"/>
        <w:ind w:left="418"/>
      </w:pPr>
      <w:r>
        <w:t xml:space="preserve"> </w:t>
      </w:r>
      <w:r>
        <w:t xml:space="preserve"> </w:t>
      </w:r>
      <w:r>
        <w:t xml:space="preserve"> </w:t>
      </w:r>
      <w:r>
        <w:t xml:space="preserve"> </w:t>
      </w:r>
      <w:r>
        <w:t>应能与地面有线和无线通信网络相结合，互为补充；</w:t>
      </w:r>
      <w:r>
        <w:t xml:space="preserve"> </w:t>
      </w:r>
    </w:p>
    <w:p w14:paraId="4D85BC7D" w14:textId="77777777" w:rsidR="00A71EEF" w:rsidRDefault="00A71EEF">
      <w:pPr>
        <w:pStyle w:val="a3"/>
        <w:rPr>
          <w:sz w:val="18"/>
        </w:rPr>
      </w:pPr>
    </w:p>
    <w:p w14:paraId="1E9CE3B9" w14:textId="77777777" w:rsidR="00A71EEF" w:rsidRDefault="0081115D">
      <w:pPr>
        <w:pStyle w:val="a3"/>
        <w:ind w:left="418"/>
      </w:pPr>
      <w:r>
        <w:t xml:space="preserve"> </w:t>
      </w:r>
      <w:r>
        <w:t xml:space="preserve"> </w:t>
      </w:r>
      <w:r>
        <w:t xml:space="preserve"> </w:t>
      </w:r>
      <w:r>
        <w:t xml:space="preserve"> </w:t>
      </w:r>
      <w:r>
        <w:t>应具有双向通信能力，能以透明方式实现语音、数据、图像等传输；</w:t>
      </w:r>
      <w:r>
        <w:t xml:space="preserve"> </w:t>
      </w:r>
    </w:p>
    <w:p w14:paraId="03D901A8" w14:textId="77777777" w:rsidR="00A71EEF" w:rsidRDefault="00A71EEF">
      <w:pPr>
        <w:pStyle w:val="a3"/>
        <w:spacing w:before="12"/>
        <w:rPr>
          <w:sz w:val="17"/>
        </w:rPr>
      </w:pPr>
    </w:p>
    <w:p w14:paraId="37214E84" w14:textId="77777777" w:rsidR="00A71EEF" w:rsidRDefault="0081115D">
      <w:pPr>
        <w:pStyle w:val="a3"/>
        <w:ind w:left="418"/>
      </w:pPr>
      <w:r>
        <w:t xml:space="preserve"> </w:t>
      </w:r>
      <w:r>
        <w:t xml:space="preserve"> </w:t>
      </w:r>
      <w:r>
        <w:t xml:space="preserve"> </w:t>
      </w:r>
      <w:r>
        <w:t xml:space="preserve"> </w:t>
      </w:r>
      <w:r>
        <w:rPr>
          <w:spacing w:val="-5"/>
        </w:rPr>
        <w:t>应提供以太网接口</w:t>
      </w:r>
      <w:r>
        <w:t>（</w:t>
      </w:r>
      <w:r>
        <w:rPr>
          <w:spacing w:val="-3"/>
        </w:rPr>
        <w:t>I</w:t>
      </w:r>
      <w:r>
        <w:t>P</w:t>
      </w:r>
      <w:r>
        <w:rPr>
          <w:spacing w:val="-106"/>
        </w:rPr>
        <w:t>）</w:t>
      </w:r>
      <w:r>
        <w:rPr>
          <w:spacing w:val="-6"/>
        </w:rPr>
        <w:t>，能与各种通信终端设备连接，传输符合控制协议</w:t>
      </w:r>
      <w:r>
        <w:t>/</w:t>
      </w:r>
      <w:r>
        <w:rPr>
          <w:spacing w:val="-3"/>
        </w:rPr>
        <w:t>因特网互联协议</w:t>
      </w:r>
    </w:p>
    <w:p w14:paraId="13CDF88B" w14:textId="77777777" w:rsidR="00A71EEF" w:rsidRDefault="00A71EEF">
      <w:pPr>
        <w:pStyle w:val="a3"/>
        <w:spacing w:before="2"/>
        <w:rPr>
          <w:sz w:val="18"/>
        </w:rPr>
      </w:pPr>
    </w:p>
    <w:p w14:paraId="5FC4B720" w14:textId="77777777" w:rsidR="00A71EEF" w:rsidRDefault="0081115D">
      <w:pPr>
        <w:pStyle w:val="a3"/>
        <w:ind w:left="418"/>
      </w:pPr>
      <w:r>
        <w:t>（</w:t>
      </w:r>
      <w:r>
        <w:t>TCP/IP</w:t>
      </w:r>
      <w:r>
        <w:t>）的信息；</w:t>
      </w:r>
      <w:r>
        <w:t xml:space="preserve"> </w:t>
      </w:r>
    </w:p>
    <w:p w14:paraId="18B21D2B" w14:textId="77777777" w:rsidR="00A71EEF" w:rsidRDefault="00A71EEF">
      <w:pPr>
        <w:pStyle w:val="a3"/>
        <w:rPr>
          <w:sz w:val="18"/>
        </w:rPr>
      </w:pPr>
    </w:p>
    <w:p w14:paraId="0415CC99" w14:textId="77777777" w:rsidR="00A71EEF" w:rsidRDefault="0081115D">
      <w:pPr>
        <w:pStyle w:val="a3"/>
        <w:ind w:left="418"/>
      </w:pPr>
      <w:r>
        <w:t xml:space="preserve"> </w:t>
      </w:r>
      <w:r>
        <w:t xml:space="preserve"> </w:t>
      </w:r>
      <w:r>
        <w:t xml:space="preserve"> </w:t>
      </w:r>
      <w:r>
        <w:t xml:space="preserve"> </w:t>
      </w:r>
      <w:r>
        <w:t>数据通信速率应能满足业务需求，并具有动态的按需分配带宽功能；</w:t>
      </w:r>
      <w:r>
        <w:t xml:space="preserve"> </w:t>
      </w:r>
    </w:p>
    <w:p w14:paraId="5356B21E" w14:textId="77777777" w:rsidR="00A71EEF" w:rsidRDefault="00A71EEF">
      <w:pPr>
        <w:pStyle w:val="a3"/>
        <w:spacing w:before="12"/>
        <w:rPr>
          <w:sz w:val="17"/>
        </w:rPr>
      </w:pPr>
    </w:p>
    <w:p w14:paraId="3FFC0D01" w14:textId="77777777" w:rsidR="00A71EEF" w:rsidRDefault="0081115D">
      <w:pPr>
        <w:pStyle w:val="a3"/>
        <w:ind w:left="418"/>
      </w:pPr>
      <w:r>
        <w:t xml:space="preserve"> </w:t>
      </w:r>
      <w:r>
        <w:t xml:space="preserve"> </w:t>
      </w:r>
      <w:r>
        <w:t xml:space="preserve"> </w:t>
      </w:r>
      <w:r>
        <w:t xml:space="preserve"> </w:t>
      </w:r>
      <w:r>
        <w:t>卫星站应具备电动捕星或快速自动捕星（程序引导）功能；</w:t>
      </w:r>
      <w:r>
        <w:t xml:space="preserve"> </w:t>
      </w:r>
    </w:p>
    <w:p w14:paraId="438BAC9D" w14:textId="77777777" w:rsidR="00A71EEF" w:rsidRDefault="00A71EEF">
      <w:pPr>
        <w:pStyle w:val="a3"/>
        <w:spacing w:before="2"/>
        <w:rPr>
          <w:sz w:val="18"/>
        </w:rPr>
      </w:pPr>
    </w:p>
    <w:p w14:paraId="6069E74A" w14:textId="77777777" w:rsidR="00A71EEF" w:rsidRDefault="0081115D">
      <w:pPr>
        <w:pStyle w:val="a3"/>
        <w:ind w:left="418"/>
      </w:pPr>
      <w:r>
        <w:t xml:space="preserve"> </w:t>
      </w:r>
      <w:r>
        <w:t xml:space="preserve"> </w:t>
      </w:r>
      <w:r>
        <w:t xml:space="preserve"> </w:t>
      </w:r>
      <w:r>
        <w:t xml:space="preserve"> </w:t>
      </w:r>
      <w:r>
        <w:t>移动卫星站架设和开通时间不应大于</w:t>
      </w:r>
      <w:r>
        <w:t xml:space="preserve"> 15min</w:t>
      </w:r>
      <w:r>
        <w:t>。</w:t>
      </w:r>
      <w:r>
        <w:t xml:space="preserve"> </w:t>
      </w:r>
    </w:p>
    <w:p w14:paraId="59DADD12" w14:textId="77777777" w:rsidR="00A71EEF" w:rsidRDefault="00A71EEF">
      <w:pPr>
        <w:sectPr w:rsidR="00A71EEF">
          <w:pgSz w:w="11910" w:h="16850"/>
          <w:pgMar w:top="1220" w:right="0" w:bottom="1420" w:left="1260" w:header="0" w:footer="1239" w:gutter="0"/>
          <w:cols w:space="720"/>
        </w:sectPr>
      </w:pPr>
    </w:p>
    <w:p w14:paraId="3C5FD78D" w14:textId="77777777" w:rsidR="00A71EEF" w:rsidRDefault="0081115D">
      <w:pPr>
        <w:spacing w:before="47"/>
        <w:ind w:left="418"/>
        <w:rPr>
          <w:sz w:val="21"/>
        </w:rPr>
      </w:pPr>
      <w:r>
        <w:rPr>
          <w:sz w:val="21"/>
        </w:rPr>
        <w:t xml:space="preserve">   </w:t>
      </w:r>
      <w:r>
        <w:rPr>
          <w:b/>
          <w:w w:val="99"/>
          <w:sz w:val="21"/>
        </w:rPr>
        <w:t xml:space="preserve"> </w:t>
      </w:r>
      <w:r>
        <w:rPr>
          <w:b/>
          <w:sz w:val="21"/>
        </w:rPr>
        <w:t xml:space="preserve">5.13.2 </w:t>
      </w:r>
      <w:r>
        <w:rPr>
          <w:sz w:val="21"/>
        </w:rPr>
        <w:t>消防卫星通信子系统的传输质量应符合下列要求：</w:t>
      </w:r>
      <w:r>
        <w:rPr>
          <w:sz w:val="21"/>
        </w:rPr>
        <w:t xml:space="preserve"> </w:t>
      </w:r>
    </w:p>
    <w:p w14:paraId="43DD1829" w14:textId="77777777" w:rsidR="00A71EEF" w:rsidRDefault="00A71EEF">
      <w:pPr>
        <w:pStyle w:val="a3"/>
        <w:rPr>
          <w:sz w:val="18"/>
        </w:rPr>
      </w:pPr>
    </w:p>
    <w:p w14:paraId="13F4B1DE" w14:textId="77777777" w:rsidR="00A71EEF" w:rsidRDefault="0081115D">
      <w:pPr>
        <w:pStyle w:val="a3"/>
        <w:ind w:left="418"/>
      </w:pPr>
      <w:r>
        <w:t xml:space="preserve"> </w:t>
      </w:r>
      <w:r>
        <w:t xml:space="preserve"> </w:t>
      </w:r>
      <w:r>
        <w:t xml:space="preserve"> </w:t>
      </w:r>
      <w:r>
        <w:t xml:space="preserve"> </w:t>
      </w:r>
      <w:r>
        <w:t>语音传输速率不应小于</w:t>
      </w:r>
      <w:r>
        <w:t xml:space="preserve"> 8Kbit/s</w:t>
      </w:r>
      <w:r>
        <w:t>；</w:t>
      </w:r>
      <w:r>
        <w:t xml:space="preserve"> </w:t>
      </w:r>
    </w:p>
    <w:p w14:paraId="2D584460" w14:textId="77777777" w:rsidR="00A71EEF" w:rsidRDefault="00A71EEF">
      <w:pPr>
        <w:pStyle w:val="a3"/>
        <w:rPr>
          <w:sz w:val="18"/>
        </w:rPr>
      </w:pPr>
    </w:p>
    <w:p w14:paraId="2E43EF97" w14:textId="77777777" w:rsidR="00A71EEF" w:rsidRDefault="0081115D">
      <w:pPr>
        <w:pStyle w:val="a3"/>
        <w:ind w:left="418"/>
      </w:pPr>
      <w:r>
        <w:t xml:space="preserve"> </w:t>
      </w:r>
      <w:r>
        <w:t xml:space="preserve"> </w:t>
      </w:r>
      <w:r>
        <w:t xml:space="preserve"> </w:t>
      </w:r>
      <w:r>
        <w:t xml:space="preserve"> </w:t>
      </w:r>
      <w:r>
        <w:t>数据传输速率不应小于</w:t>
      </w:r>
      <w:r>
        <w:t xml:space="preserve"> 64Kbit/s</w:t>
      </w:r>
      <w:r>
        <w:t>；</w:t>
      </w:r>
      <w:r>
        <w:t xml:space="preserve"> </w:t>
      </w:r>
    </w:p>
    <w:p w14:paraId="7F4B5017" w14:textId="77777777" w:rsidR="00A71EEF" w:rsidRDefault="00A71EEF">
      <w:pPr>
        <w:pStyle w:val="a3"/>
        <w:spacing w:before="1"/>
        <w:rPr>
          <w:sz w:val="18"/>
        </w:rPr>
      </w:pPr>
    </w:p>
    <w:p w14:paraId="074C7334" w14:textId="77777777" w:rsidR="00A71EEF" w:rsidRDefault="0081115D">
      <w:pPr>
        <w:pStyle w:val="a3"/>
        <w:spacing w:before="1"/>
        <w:ind w:left="418"/>
      </w:pPr>
      <w:r>
        <w:t xml:space="preserve"> </w:t>
      </w:r>
      <w:r>
        <w:t xml:space="preserve"> </w:t>
      </w:r>
      <w:r>
        <w:t xml:space="preserve"> </w:t>
      </w:r>
      <w:r>
        <w:t xml:space="preserve"> </w:t>
      </w:r>
      <w:r>
        <w:t>图像传输速率不应小于</w:t>
      </w:r>
      <w:r>
        <w:t xml:space="preserve"> 384Kbit/s</w:t>
      </w:r>
      <w:r>
        <w:t>。</w:t>
      </w:r>
      <w:r>
        <w:t xml:space="preserve"> </w:t>
      </w:r>
    </w:p>
    <w:p w14:paraId="1AEC3449" w14:textId="77777777" w:rsidR="00A71EEF" w:rsidRDefault="00A71EEF">
      <w:pPr>
        <w:pStyle w:val="a3"/>
        <w:spacing w:before="12"/>
        <w:rPr>
          <w:sz w:val="17"/>
        </w:rPr>
      </w:pPr>
    </w:p>
    <w:p w14:paraId="729E964E" w14:textId="77777777" w:rsidR="00A71EEF" w:rsidRDefault="0081115D">
      <w:pPr>
        <w:ind w:left="418"/>
        <w:rPr>
          <w:sz w:val="21"/>
        </w:rPr>
      </w:pPr>
      <w:r>
        <w:rPr>
          <w:sz w:val="21"/>
        </w:rPr>
        <w:t xml:space="preserve">   </w:t>
      </w:r>
      <w:r>
        <w:rPr>
          <w:b/>
          <w:w w:val="99"/>
          <w:sz w:val="21"/>
        </w:rPr>
        <w:t xml:space="preserve"> </w:t>
      </w:r>
      <w:r>
        <w:rPr>
          <w:b/>
          <w:sz w:val="21"/>
        </w:rPr>
        <w:t>5.1</w:t>
      </w:r>
      <w:r>
        <w:rPr>
          <w:b/>
          <w:sz w:val="21"/>
        </w:rPr>
        <w:t xml:space="preserve">3.3 </w:t>
      </w:r>
      <w:r>
        <w:rPr>
          <w:sz w:val="21"/>
        </w:rPr>
        <w:t>消防卫星通信子系统应采用</w:t>
      </w:r>
      <w:r>
        <w:rPr>
          <w:sz w:val="21"/>
        </w:rPr>
        <w:t xml:space="preserve"> Ku </w:t>
      </w:r>
      <w:r>
        <w:rPr>
          <w:sz w:val="21"/>
        </w:rPr>
        <w:t>频段卫星转发器。</w:t>
      </w:r>
      <w:r>
        <w:rPr>
          <w:sz w:val="21"/>
        </w:rPr>
        <w:t xml:space="preserve"> </w:t>
      </w:r>
    </w:p>
    <w:p w14:paraId="48F91A9B" w14:textId="77777777" w:rsidR="00A71EEF" w:rsidRDefault="00A71EEF">
      <w:pPr>
        <w:pStyle w:val="a3"/>
        <w:spacing w:before="12"/>
        <w:rPr>
          <w:sz w:val="17"/>
        </w:rPr>
      </w:pPr>
    </w:p>
    <w:p w14:paraId="177E9848" w14:textId="77777777" w:rsidR="00A71EEF" w:rsidRDefault="0081115D">
      <w:pPr>
        <w:pStyle w:val="a3"/>
        <w:spacing w:line="446" w:lineRule="auto"/>
        <w:ind w:left="418" w:right="1434"/>
      </w:pPr>
      <w:r>
        <w:t xml:space="preserve"> </w:t>
      </w:r>
      <w:r>
        <w:rPr>
          <w:b/>
          <w:w w:val="99"/>
        </w:rPr>
        <w:t xml:space="preserve">   </w:t>
      </w:r>
      <w:r>
        <w:rPr>
          <w:b/>
        </w:rPr>
        <w:t>5.13.4</w:t>
      </w:r>
      <w:r>
        <w:rPr>
          <w:b/>
          <w:spacing w:val="92"/>
        </w:rPr>
        <w:t xml:space="preserve"> </w:t>
      </w:r>
      <w:r>
        <w:rPr>
          <w:spacing w:val="-3"/>
        </w:rPr>
        <w:t>消防卫星通信子系统的建站和使用应符合国家有关法律、法规的规定，卫星通信设备应具有国家主管部门颁发的产品许可证。</w:t>
      </w:r>
      <w:r>
        <w:t xml:space="preserve"> </w:t>
      </w:r>
    </w:p>
    <w:p w14:paraId="6EA4D22D" w14:textId="77777777" w:rsidR="00A71EEF" w:rsidRDefault="0081115D">
      <w:pPr>
        <w:pStyle w:val="4"/>
        <w:spacing w:line="278" w:lineRule="exact"/>
      </w:pPr>
      <w:r>
        <w:t xml:space="preserve">6 </w:t>
      </w:r>
      <w:r>
        <w:t>系统的基础环境要求</w:t>
      </w:r>
      <w:r>
        <w:rPr>
          <w:w w:val="99"/>
        </w:rPr>
        <w:t xml:space="preserve"> </w:t>
      </w:r>
    </w:p>
    <w:p w14:paraId="44200840" w14:textId="77777777" w:rsidR="00A71EEF" w:rsidRDefault="00A71EEF">
      <w:pPr>
        <w:pStyle w:val="a3"/>
        <w:spacing w:before="4"/>
        <w:rPr>
          <w:b/>
          <w:sz w:val="17"/>
        </w:rPr>
      </w:pPr>
    </w:p>
    <w:p w14:paraId="1BE95B7D" w14:textId="77777777" w:rsidR="00A71EEF" w:rsidRDefault="0081115D">
      <w:pPr>
        <w:pStyle w:val="a4"/>
        <w:numPr>
          <w:ilvl w:val="1"/>
          <w:numId w:val="29"/>
        </w:numPr>
        <w:tabs>
          <w:tab w:val="left" w:pos="1159"/>
        </w:tabs>
        <w:ind w:hanging="319"/>
        <w:rPr>
          <w:sz w:val="21"/>
        </w:rPr>
      </w:pPr>
      <w:r>
        <w:rPr>
          <w:spacing w:val="-3"/>
          <w:sz w:val="21"/>
        </w:rPr>
        <w:t>计算机通信网络</w:t>
      </w:r>
      <w:r>
        <w:rPr>
          <w:sz w:val="21"/>
        </w:rPr>
        <w:t xml:space="preserve"> </w:t>
      </w:r>
    </w:p>
    <w:p w14:paraId="626794E3" w14:textId="77777777" w:rsidR="00A71EEF" w:rsidRDefault="00A71EEF">
      <w:pPr>
        <w:pStyle w:val="a3"/>
        <w:spacing w:before="2"/>
        <w:rPr>
          <w:sz w:val="18"/>
        </w:rPr>
      </w:pPr>
    </w:p>
    <w:p w14:paraId="3AC7B76F" w14:textId="77777777" w:rsidR="00A71EEF" w:rsidRDefault="0081115D">
      <w:pPr>
        <w:pStyle w:val="a4"/>
        <w:numPr>
          <w:ilvl w:val="2"/>
          <w:numId w:val="29"/>
        </w:numPr>
        <w:tabs>
          <w:tab w:val="left" w:pos="1370"/>
        </w:tabs>
        <w:ind w:hanging="530"/>
        <w:rPr>
          <w:sz w:val="21"/>
        </w:rPr>
      </w:pPr>
      <w:r>
        <w:rPr>
          <w:spacing w:val="-3"/>
          <w:sz w:val="21"/>
        </w:rPr>
        <w:t>计算机通信网络构成应符合下列要求：</w:t>
      </w:r>
      <w:r>
        <w:rPr>
          <w:sz w:val="21"/>
        </w:rPr>
        <w:t xml:space="preserve"> </w:t>
      </w:r>
    </w:p>
    <w:p w14:paraId="1AD4F78A" w14:textId="77777777" w:rsidR="00A71EEF" w:rsidRDefault="00A71EEF">
      <w:pPr>
        <w:pStyle w:val="a3"/>
        <w:spacing w:before="12"/>
        <w:rPr>
          <w:sz w:val="17"/>
        </w:rPr>
      </w:pPr>
    </w:p>
    <w:p w14:paraId="77293748" w14:textId="77777777" w:rsidR="00A71EEF" w:rsidRDefault="0081115D">
      <w:pPr>
        <w:pStyle w:val="a3"/>
        <w:ind w:left="418"/>
      </w:pPr>
      <w:r>
        <w:t xml:space="preserve"> </w:t>
      </w:r>
      <w:r>
        <w:t xml:space="preserve"> </w:t>
      </w:r>
      <w:r>
        <w:t xml:space="preserve"> </w:t>
      </w:r>
      <w:r>
        <w:t xml:space="preserve"> </w:t>
      </w:r>
      <w:r>
        <w:t>网络宜为交换式快速以太网；</w:t>
      </w:r>
      <w:r>
        <w:t xml:space="preserve"> </w:t>
      </w:r>
    </w:p>
    <w:p w14:paraId="033AB04F" w14:textId="77777777" w:rsidR="00A71EEF" w:rsidRDefault="00A71EEF">
      <w:pPr>
        <w:pStyle w:val="a3"/>
        <w:rPr>
          <w:sz w:val="18"/>
        </w:rPr>
      </w:pPr>
    </w:p>
    <w:p w14:paraId="7D8A7095" w14:textId="77777777" w:rsidR="00A71EEF" w:rsidRDefault="0081115D">
      <w:pPr>
        <w:pStyle w:val="a3"/>
        <w:ind w:left="418"/>
      </w:pPr>
      <w:r>
        <w:t xml:space="preserve"> </w:t>
      </w:r>
      <w:r>
        <w:t xml:space="preserve"> </w:t>
      </w:r>
      <w:r>
        <w:t xml:space="preserve"> </w:t>
      </w:r>
      <w:r>
        <w:t xml:space="preserve"> </w:t>
      </w:r>
      <w:r>
        <w:t>宜采用星型拓扑结构；</w:t>
      </w:r>
      <w:r>
        <w:t xml:space="preserve"> </w:t>
      </w:r>
    </w:p>
    <w:p w14:paraId="430DF293" w14:textId="77777777" w:rsidR="00A71EEF" w:rsidRDefault="00A71EEF">
      <w:pPr>
        <w:pStyle w:val="a3"/>
        <w:spacing w:before="2"/>
        <w:rPr>
          <w:sz w:val="18"/>
        </w:rPr>
      </w:pPr>
    </w:p>
    <w:p w14:paraId="091FD848" w14:textId="77777777" w:rsidR="00A71EEF" w:rsidRDefault="0081115D">
      <w:pPr>
        <w:pStyle w:val="a3"/>
        <w:spacing w:line="446" w:lineRule="auto"/>
        <w:ind w:left="418" w:right="1435"/>
      </w:pPr>
      <w:r>
        <w:t xml:space="preserve"> </w:t>
      </w:r>
      <w:r>
        <w:t xml:space="preserve"> </w:t>
      </w:r>
      <w:r>
        <w:t xml:space="preserve"> </w:t>
      </w:r>
      <w:r>
        <w:t xml:space="preserve"> </w:t>
      </w:r>
      <w:r>
        <w:t>局域网主干网络线路速率不应低于</w:t>
      </w:r>
      <w:r>
        <w:t xml:space="preserve"> 1000Mbit/s </w:t>
      </w:r>
      <w:r>
        <w:t>，</w:t>
      </w:r>
      <w:r>
        <w:t xml:space="preserve"> </w:t>
      </w:r>
      <w:r>
        <w:t>到各终端计算机网络接口不应低于</w:t>
      </w:r>
      <w:r>
        <w:t>100Mbit/s</w:t>
      </w:r>
      <w:r>
        <w:t>；</w:t>
      </w:r>
      <w:r>
        <w:t xml:space="preserve"> </w:t>
      </w:r>
    </w:p>
    <w:p w14:paraId="25B904B2" w14:textId="77777777" w:rsidR="00A71EEF" w:rsidRDefault="0081115D">
      <w:pPr>
        <w:pStyle w:val="a3"/>
        <w:spacing w:line="267" w:lineRule="exact"/>
        <w:ind w:left="418"/>
      </w:pPr>
      <w:r>
        <w:t xml:space="preserve"> </w:t>
      </w:r>
      <w:r>
        <w:t xml:space="preserve"> </w:t>
      </w:r>
      <w:r>
        <w:t xml:space="preserve"> </w:t>
      </w:r>
      <w:r>
        <w:t xml:space="preserve"> </w:t>
      </w:r>
      <w:r>
        <w:rPr>
          <w:spacing w:val="-3"/>
        </w:rPr>
        <w:t>应能根据系统内各不同组成部分功能及数据处理流向适当划分虚拟局域网</w:t>
      </w:r>
      <w:r>
        <w:t>（</w:t>
      </w:r>
      <w:r>
        <w:t>V</w:t>
      </w:r>
      <w:r>
        <w:rPr>
          <w:spacing w:val="-3"/>
        </w:rPr>
        <w:t>L</w:t>
      </w:r>
      <w:r>
        <w:t>A</w:t>
      </w:r>
      <w:r>
        <w:rPr>
          <w:spacing w:val="-1"/>
        </w:rPr>
        <w:t>N</w:t>
      </w:r>
      <w:r>
        <w:rPr>
          <w:spacing w:val="-108"/>
        </w:rPr>
        <w:t>）</w:t>
      </w:r>
      <w:r>
        <w:rPr>
          <w:spacing w:val="-3"/>
        </w:rPr>
        <w:t>。</w:t>
      </w:r>
      <w:r>
        <w:t xml:space="preserve"> </w:t>
      </w:r>
    </w:p>
    <w:p w14:paraId="45F5DF87" w14:textId="77777777" w:rsidR="00A71EEF" w:rsidRDefault="00A71EEF">
      <w:pPr>
        <w:pStyle w:val="a3"/>
        <w:spacing w:before="2"/>
        <w:rPr>
          <w:sz w:val="18"/>
        </w:rPr>
      </w:pPr>
    </w:p>
    <w:p w14:paraId="048D2719" w14:textId="77777777" w:rsidR="00A71EEF" w:rsidRDefault="0081115D">
      <w:pPr>
        <w:ind w:left="418"/>
        <w:rPr>
          <w:sz w:val="21"/>
        </w:rPr>
      </w:pPr>
      <w:r>
        <w:rPr>
          <w:sz w:val="21"/>
        </w:rPr>
        <w:t xml:space="preserve">    </w:t>
      </w:r>
      <w:r>
        <w:rPr>
          <w:spacing w:val="-3"/>
          <w:sz w:val="21"/>
        </w:rPr>
        <w:t xml:space="preserve"> </w:t>
      </w:r>
      <w:r>
        <w:rPr>
          <w:b/>
          <w:sz w:val="21"/>
        </w:rPr>
        <w:t>6.1.2</w:t>
      </w:r>
      <w:r>
        <w:rPr>
          <w:b/>
          <w:spacing w:val="21"/>
          <w:sz w:val="21"/>
        </w:rPr>
        <w:t xml:space="preserve"> </w:t>
      </w:r>
      <w:r>
        <w:rPr>
          <w:spacing w:val="-3"/>
          <w:sz w:val="21"/>
        </w:rPr>
        <w:t>计算机通信网络性能应符合下列要求：</w:t>
      </w:r>
      <w:r>
        <w:rPr>
          <w:sz w:val="21"/>
        </w:rPr>
        <w:t xml:space="preserve"> </w:t>
      </w:r>
    </w:p>
    <w:p w14:paraId="36219085" w14:textId="77777777" w:rsidR="00A71EEF" w:rsidRDefault="00A71EEF">
      <w:pPr>
        <w:pStyle w:val="a3"/>
        <w:spacing w:before="12"/>
        <w:rPr>
          <w:sz w:val="17"/>
        </w:rPr>
      </w:pPr>
    </w:p>
    <w:p w14:paraId="40B21F20" w14:textId="77777777" w:rsidR="00A71EEF" w:rsidRDefault="0081115D">
      <w:pPr>
        <w:pStyle w:val="a3"/>
        <w:ind w:left="418"/>
      </w:pPr>
      <w:r>
        <w:t xml:space="preserve"> </w:t>
      </w:r>
      <w:r>
        <w:t xml:space="preserve"> </w:t>
      </w:r>
      <w:r>
        <w:t xml:space="preserve"> </w:t>
      </w:r>
      <w:r>
        <w:t xml:space="preserve"> </w:t>
      </w:r>
      <w:r>
        <w:rPr>
          <w:spacing w:val="-3"/>
        </w:rPr>
        <w:t xml:space="preserve"> </w:t>
      </w:r>
      <w:r>
        <w:rPr>
          <w:spacing w:val="-3"/>
        </w:rPr>
        <w:t>能满足语音、数据和图像的多业务应用需求；</w:t>
      </w:r>
      <w:r>
        <w:t xml:space="preserve"> </w:t>
      </w:r>
    </w:p>
    <w:p w14:paraId="0C60DC2E" w14:textId="77777777" w:rsidR="00A71EEF" w:rsidRDefault="00A71EEF">
      <w:pPr>
        <w:pStyle w:val="a3"/>
        <w:spacing w:before="12"/>
        <w:rPr>
          <w:sz w:val="17"/>
        </w:rPr>
      </w:pPr>
    </w:p>
    <w:p w14:paraId="7AEB841C" w14:textId="77777777" w:rsidR="00A71EEF" w:rsidRDefault="0081115D">
      <w:pPr>
        <w:pStyle w:val="a3"/>
        <w:ind w:left="418"/>
      </w:pPr>
      <w:r>
        <w:t xml:space="preserve"> </w:t>
      </w:r>
      <w:r>
        <w:t xml:space="preserve"> </w:t>
      </w:r>
      <w:r>
        <w:t xml:space="preserve"> </w:t>
      </w:r>
      <w:r>
        <w:t xml:space="preserve"> </w:t>
      </w:r>
      <w:r>
        <w:t xml:space="preserve"> </w:t>
      </w:r>
      <w:r>
        <w:t>具有全网统一的安全策略、服务质量（</w:t>
      </w:r>
      <w:r>
        <w:t>QoS</w:t>
      </w:r>
      <w:r>
        <w:t>）策略、流量管理策略和系统管理策略；</w:t>
      </w:r>
      <w:r>
        <w:t xml:space="preserve"> </w:t>
      </w:r>
    </w:p>
    <w:p w14:paraId="3838173D" w14:textId="77777777" w:rsidR="00A71EEF" w:rsidRDefault="00A71EEF">
      <w:pPr>
        <w:pStyle w:val="a3"/>
        <w:spacing w:before="2"/>
        <w:rPr>
          <w:sz w:val="18"/>
        </w:rPr>
      </w:pPr>
    </w:p>
    <w:p w14:paraId="5AE05CBF" w14:textId="77777777" w:rsidR="00A71EEF" w:rsidRDefault="0081115D">
      <w:pPr>
        <w:pStyle w:val="a3"/>
        <w:ind w:left="418"/>
      </w:pPr>
      <w:r>
        <w:t xml:space="preserve"> </w:t>
      </w:r>
      <w:r>
        <w:t xml:space="preserve"> </w:t>
      </w:r>
      <w:r>
        <w:t xml:space="preserve"> </w:t>
      </w:r>
      <w:r>
        <w:t xml:space="preserve"> </w:t>
      </w:r>
      <w:r>
        <w:t xml:space="preserve"> </w:t>
      </w:r>
      <w:r>
        <w:t>能保证各类业务数据流的高效传输，时效性强，延时小；</w:t>
      </w:r>
      <w:r>
        <w:t xml:space="preserve"> </w:t>
      </w:r>
    </w:p>
    <w:p w14:paraId="6C52E034" w14:textId="77777777" w:rsidR="00A71EEF" w:rsidRDefault="00A71EEF">
      <w:pPr>
        <w:pStyle w:val="a3"/>
        <w:rPr>
          <w:sz w:val="18"/>
        </w:rPr>
      </w:pPr>
    </w:p>
    <w:p w14:paraId="42701C68" w14:textId="77777777" w:rsidR="00A71EEF" w:rsidRDefault="0081115D">
      <w:pPr>
        <w:pStyle w:val="a3"/>
        <w:spacing w:line="446" w:lineRule="auto"/>
        <w:ind w:left="840" w:right="5394" w:hanging="423"/>
      </w:pPr>
      <w:r>
        <w:t xml:space="preserve"> </w:t>
      </w:r>
      <w:r>
        <w:t xml:space="preserve"> </w:t>
      </w:r>
      <w:r>
        <w:t xml:space="preserve"> </w:t>
      </w:r>
      <w:r>
        <w:t xml:space="preserve"> </w:t>
      </w:r>
      <w:r>
        <w:t xml:space="preserve"> </w:t>
      </w:r>
      <w:r>
        <w:t>具有良好的扩展性能，能支持未来扩充需求。</w:t>
      </w:r>
      <w:r>
        <w:rPr>
          <w:b/>
        </w:rPr>
        <w:t xml:space="preserve">6.2 </w:t>
      </w:r>
      <w:r>
        <w:t>系统的供电</w:t>
      </w:r>
      <w:r>
        <w:t xml:space="preserve"> </w:t>
      </w:r>
    </w:p>
    <w:p w14:paraId="61FEA2D0" w14:textId="77777777" w:rsidR="00A71EEF" w:rsidRDefault="0081115D">
      <w:pPr>
        <w:ind w:left="840"/>
        <w:rPr>
          <w:sz w:val="21"/>
        </w:rPr>
      </w:pPr>
      <w:r>
        <w:rPr>
          <w:b/>
          <w:sz w:val="21"/>
        </w:rPr>
        <w:t xml:space="preserve">6.2.1 </w:t>
      </w:r>
      <w:r>
        <w:rPr>
          <w:sz w:val="21"/>
        </w:rPr>
        <w:t>系统的供电应符合下列要求：</w:t>
      </w:r>
      <w:r>
        <w:rPr>
          <w:sz w:val="21"/>
        </w:rPr>
        <w:t xml:space="preserve"> </w:t>
      </w:r>
    </w:p>
    <w:p w14:paraId="00B8E806" w14:textId="77777777" w:rsidR="00A71EEF" w:rsidRDefault="00A71EEF">
      <w:pPr>
        <w:pStyle w:val="a3"/>
        <w:rPr>
          <w:sz w:val="18"/>
        </w:rPr>
      </w:pPr>
    </w:p>
    <w:p w14:paraId="50A9D537" w14:textId="77777777" w:rsidR="00A71EEF" w:rsidRDefault="0081115D">
      <w:pPr>
        <w:pStyle w:val="a3"/>
        <w:ind w:left="418"/>
      </w:pPr>
      <w:r>
        <w:t xml:space="preserve"> </w:t>
      </w:r>
      <w:r>
        <w:t xml:space="preserve"> </w:t>
      </w:r>
      <w:r>
        <w:t xml:space="preserve"> </w:t>
      </w:r>
      <w:r>
        <w:t xml:space="preserve"> </w:t>
      </w:r>
      <w:r>
        <w:t>消防通信指挥中心的供电应按一级负荷设计；</w:t>
      </w:r>
      <w:r>
        <w:t xml:space="preserve"> </w:t>
      </w:r>
    </w:p>
    <w:p w14:paraId="1E65912D" w14:textId="77777777" w:rsidR="00A71EEF" w:rsidRDefault="00A71EEF">
      <w:pPr>
        <w:pStyle w:val="a3"/>
        <w:spacing w:before="12"/>
        <w:rPr>
          <w:sz w:val="17"/>
        </w:rPr>
      </w:pPr>
    </w:p>
    <w:p w14:paraId="397F2365" w14:textId="77777777" w:rsidR="00A71EEF" w:rsidRDefault="0081115D">
      <w:pPr>
        <w:pStyle w:val="a3"/>
        <w:spacing w:line="446" w:lineRule="auto"/>
        <w:ind w:left="418" w:right="1431"/>
      </w:pPr>
      <w:r>
        <w:t xml:space="preserve"> </w:t>
      </w:r>
      <w:r>
        <w:t xml:space="preserve"> </w:t>
      </w:r>
      <w:r>
        <w:t xml:space="preserve"> </w:t>
      </w:r>
      <w:r>
        <w:t xml:space="preserve"> </w:t>
      </w:r>
      <w:r>
        <w:rPr>
          <w:spacing w:val="-48"/>
        </w:rPr>
        <w:t>省</w:t>
      </w:r>
      <w:r>
        <w:t>（</w:t>
      </w:r>
      <w:r>
        <w:rPr>
          <w:spacing w:val="-3"/>
        </w:rPr>
        <w:t>自治区</w:t>
      </w:r>
      <w:r>
        <w:rPr>
          <w:spacing w:val="-106"/>
        </w:rPr>
        <w:t>）</w:t>
      </w:r>
      <w:r>
        <w:rPr>
          <w:spacing w:val="-10"/>
        </w:rPr>
        <w:t>、大中型城市消防通信指挥中心的主电源应由两个稳定可靠的独立电源供电，并</w:t>
      </w:r>
      <w:r>
        <w:rPr>
          <w:spacing w:val="-5"/>
        </w:rPr>
        <w:t>应设置应急电源，其他城市消防通信指挥中心的主电源不应低于两回路供电；</w:t>
      </w:r>
      <w:r>
        <w:rPr>
          <w:spacing w:val="-5"/>
        </w:rPr>
        <w:t xml:space="preserve"> </w:t>
      </w:r>
    </w:p>
    <w:p w14:paraId="5D7DAE6F" w14:textId="77777777" w:rsidR="00A71EEF" w:rsidRDefault="0081115D">
      <w:pPr>
        <w:pStyle w:val="a3"/>
        <w:ind w:left="418"/>
      </w:pPr>
      <w:r>
        <w:t xml:space="preserve"> </w:t>
      </w:r>
      <w:r>
        <w:t xml:space="preserve"> </w:t>
      </w:r>
      <w:r>
        <w:t xml:space="preserve"> </w:t>
      </w:r>
      <w:r>
        <w:t xml:space="preserve"> </w:t>
      </w:r>
      <w:r>
        <w:t>系统配电线路应与其他配电线路分开，并应在最末一级配电箱处设自动切换装置；</w:t>
      </w:r>
      <w:r>
        <w:t xml:space="preserve"> </w:t>
      </w:r>
    </w:p>
    <w:p w14:paraId="3999C2DF" w14:textId="77777777" w:rsidR="00A71EEF" w:rsidRDefault="00A71EEF">
      <w:pPr>
        <w:pStyle w:val="a3"/>
        <w:rPr>
          <w:sz w:val="18"/>
        </w:rPr>
      </w:pPr>
    </w:p>
    <w:p w14:paraId="5AD5CA17" w14:textId="77777777" w:rsidR="00A71EEF" w:rsidRDefault="0081115D">
      <w:pPr>
        <w:pStyle w:val="a3"/>
        <w:spacing w:line="446" w:lineRule="auto"/>
        <w:ind w:left="418" w:right="1431"/>
      </w:pPr>
      <w:r>
        <w:t xml:space="preserve"> </w:t>
      </w:r>
      <w:r>
        <w:t xml:space="preserve"> </w:t>
      </w:r>
      <w:r>
        <w:t xml:space="preserve"> </w:t>
      </w:r>
      <w:r>
        <w:t xml:space="preserve"> </w:t>
      </w:r>
      <w:r>
        <w:rPr>
          <w:spacing w:val="-6"/>
        </w:rPr>
        <w:t>系统由市电直接供电时，电源电压变动、频率变化及波形失真率应符合计算机电源电能质量</w:t>
      </w:r>
      <w:r>
        <w:rPr>
          <w:spacing w:val="-4"/>
        </w:rPr>
        <w:t>参数表的规定</w:t>
      </w:r>
      <w:r>
        <w:rPr>
          <w:spacing w:val="-3"/>
        </w:rPr>
        <w:t>（</w:t>
      </w:r>
      <w:r>
        <w:t>表</w:t>
      </w:r>
      <w:r>
        <w:rPr>
          <w:spacing w:val="-53"/>
        </w:rPr>
        <w:t xml:space="preserve"> </w:t>
      </w:r>
      <w:r>
        <w:rPr>
          <w:spacing w:val="-3"/>
        </w:rPr>
        <w:t>6</w:t>
      </w:r>
      <w:r>
        <w:t>.2.</w:t>
      </w:r>
      <w:r>
        <w:rPr>
          <w:spacing w:val="-2"/>
        </w:rPr>
        <w:t>1</w:t>
      </w:r>
      <w:r>
        <w:rPr>
          <w:spacing w:val="-3"/>
        </w:rPr>
        <w:t>-</w:t>
      </w:r>
      <w:r>
        <w:t>1</w:t>
      </w:r>
      <w:r>
        <w:rPr>
          <w:spacing w:val="-106"/>
        </w:rPr>
        <w:t>）</w:t>
      </w:r>
      <w:r>
        <w:rPr>
          <w:spacing w:val="-3"/>
        </w:rPr>
        <w:t>，超出此规定时，应加调压设备；</w:t>
      </w:r>
      <w:r>
        <w:t xml:space="preserve"> </w:t>
      </w:r>
    </w:p>
    <w:p w14:paraId="56B6AF78" w14:textId="77777777" w:rsidR="00A71EEF" w:rsidRDefault="00A71EEF">
      <w:pPr>
        <w:spacing w:line="446" w:lineRule="auto"/>
        <w:sectPr w:rsidR="00A71EEF">
          <w:footerReference w:type="default" r:id="rId592"/>
          <w:pgSz w:w="11910" w:h="16850"/>
          <w:pgMar w:top="1220" w:right="0" w:bottom="1420" w:left="1260" w:header="0" w:footer="1239" w:gutter="0"/>
          <w:pgNumType w:start="1660"/>
          <w:cols w:space="720"/>
        </w:sectPr>
      </w:pPr>
    </w:p>
    <w:p w14:paraId="397663A3" w14:textId="77777777" w:rsidR="00A71EEF" w:rsidRDefault="0081115D">
      <w:pPr>
        <w:pStyle w:val="6"/>
        <w:spacing w:before="61"/>
        <w:ind w:right="912"/>
        <w:jc w:val="center"/>
        <w:rPr>
          <w:b w:val="0"/>
        </w:rPr>
      </w:pPr>
      <w:r>
        <w:t>表</w:t>
      </w:r>
      <w:r>
        <w:t xml:space="preserve"> 6.2.1-1 </w:t>
      </w:r>
      <w:r>
        <w:t>计算机电源电能质量参数表</w:t>
      </w:r>
      <w:r>
        <w:rPr>
          <w:b w:val="0"/>
        </w:rPr>
        <w:t xml:space="preserve"> </w:t>
      </w:r>
    </w:p>
    <w:p w14:paraId="0DD94447" w14:textId="77777777" w:rsidR="00A71EEF" w:rsidRDefault="0081115D">
      <w:pPr>
        <w:pStyle w:val="a3"/>
        <w:ind w:left="1287"/>
        <w:rPr>
          <w:sz w:val="20"/>
        </w:rPr>
      </w:pPr>
      <w:r>
        <w:rPr>
          <w:noProof/>
          <w:sz w:val="20"/>
        </w:rPr>
        <w:drawing>
          <wp:inline distT="0" distB="0" distL="0" distR="0" wp14:anchorId="26F053AA" wp14:editId="6CC65C19">
            <wp:extent cx="4333875" cy="1714500"/>
            <wp:effectExtent l="0" t="0" r="0" b="0"/>
            <wp:docPr id="809" name="image4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 name="image473.jpeg"/>
                    <pic:cNvPicPr/>
                  </pic:nvPicPr>
                  <pic:blipFill>
                    <a:blip r:embed="rId593" cstate="print"/>
                    <a:stretch>
                      <a:fillRect/>
                    </a:stretch>
                  </pic:blipFill>
                  <pic:spPr>
                    <a:xfrm>
                      <a:off x="0" y="0"/>
                      <a:ext cx="4333875" cy="1714500"/>
                    </a:xfrm>
                    <a:prstGeom prst="rect">
                      <a:avLst/>
                    </a:prstGeom>
                  </pic:spPr>
                </pic:pic>
              </a:graphicData>
            </a:graphic>
          </wp:inline>
        </w:drawing>
      </w:r>
    </w:p>
    <w:p w14:paraId="631D0606" w14:textId="77777777" w:rsidR="00A71EEF" w:rsidRDefault="00A71EEF">
      <w:pPr>
        <w:pStyle w:val="a3"/>
        <w:spacing w:before="7"/>
        <w:rPr>
          <w:sz w:val="19"/>
        </w:rPr>
      </w:pPr>
    </w:p>
    <w:p w14:paraId="6B7CF0CA" w14:textId="77777777" w:rsidR="00A71EEF" w:rsidRDefault="0081115D">
      <w:pPr>
        <w:pStyle w:val="a3"/>
        <w:spacing w:line="448" w:lineRule="auto"/>
        <w:ind w:left="418" w:right="1410" w:firstLine="419"/>
      </w:pPr>
      <w:r>
        <w:t>通信设备的直流供电系统应由整流配电设备和蓄电池组组成，可采用分散或集中供电方式供电，其中整流设备应采用开关电源，蓄电池应采用阀控式密封铅酸蓄电池；</w:t>
      </w:r>
      <w:r>
        <w:t xml:space="preserve"> </w:t>
      </w:r>
    </w:p>
    <w:p w14:paraId="332E62B4" w14:textId="77777777" w:rsidR="00A71EEF" w:rsidRDefault="0081115D">
      <w:pPr>
        <w:pStyle w:val="a3"/>
        <w:spacing w:line="264" w:lineRule="exact"/>
        <w:ind w:left="418"/>
      </w:pPr>
      <w:r>
        <w:t xml:space="preserve"> </w:t>
      </w:r>
      <w:r>
        <w:t xml:space="preserve"> </w:t>
      </w:r>
      <w:r>
        <w:t xml:space="preserve"> </w:t>
      </w:r>
      <w:r>
        <w:t xml:space="preserve"> </w:t>
      </w:r>
      <w:r>
        <w:t>通信设备的直流供电系统应采用在线充电方式以全浮充制运行，直流基础电源电压应为</w:t>
      </w:r>
      <w:r>
        <w:t>-48V</w:t>
      </w:r>
      <w:r>
        <w:t>。</w:t>
      </w:r>
    </w:p>
    <w:p w14:paraId="158D6DD5" w14:textId="77777777" w:rsidR="00A71EEF" w:rsidRDefault="00A71EEF">
      <w:pPr>
        <w:pStyle w:val="a3"/>
        <w:rPr>
          <w:sz w:val="18"/>
        </w:rPr>
      </w:pPr>
    </w:p>
    <w:p w14:paraId="6DBB4112" w14:textId="77777777" w:rsidR="00A71EEF" w:rsidRDefault="0081115D">
      <w:pPr>
        <w:pStyle w:val="a3"/>
        <w:ind w:left="418"/>
        <w:rPr>
          <w:sz w:val="18"/>
        </w:rPr>
      </w:pPr>
      <w:r>
        <w:t>基础电源电压变动范围和杂音电压要求应符合表</w:t>
      </w:r>
      <w:r>
        <w:t xml:space="preserve"> 6.2.1-2 </w:t>
      </w:r>
      <w:r>
        <w:t>的规定；</w:t>
      </w:r>
      <w:r>
        <w:rPr>
          <w:sz w:val="18"/>
        </w:rPr>
        <w:t xml:space="preserve"> </w:t>
      </w:r>
    </w:p>
    <w:p w14:paraId="43BC2E53" w14:textId="77777777" w:rsidR="00A71EEF" w:rsidRDefault="0081115D">
      <w:pPr>
        <w:pStyle w:val="6"/>
        <w:spacing w:before="146"/>
        <w:ind w:right="915"/>
        <w:jc w:val="center"/>
        <w:rPr>
          <w:b w:val="0"/>
        </w:rPr>
      </w:pPr>
      <w:r>
        <w:t>表</w:t>
      </w:r>
      <w:r>
        <w:t xml:space="preserve"> 6.2.1-2 </w:t>
      </w:r>
      <w:r>
        <w:t>基础电源电压变动范围和杂音电压要求</w:t>
      </w:r>
      <w:r>
        <w:rPr>
          <w:b w:val="0"/>
        </w:rPr>
        <w:t xml:space="preserve"> </w:t>
      </w:r>
    </w:p>
    <w:p w14:paraId="2549F774" w14:textId="77777777" w:rsidR="00A71EEF" w:rsidRDefault="0081115D">
      <w:pPr>
        <w:pStyle w:val="a3"/>
        <w:ind w:left="1272"/>
        <w:rPr>
          <w:sz w:val="20"/>
        </w:rPr>
      </w:pPr>
      <w:r>
        <w:rPr>
          <w:noProof/>
          <w:sz w:val="20"/>
        </w:rPr>
        <w:drawing>
          <wp:inline distT="0" distB="0" distL="0" distR="0" wp14:anchorId="10C825E5" wp14:editId="69626A93">
            <wp:extent cx="4343926" cy="990600"/>
            <wp:effectExtent l="0" t="0" r="0" b="0"/>
            <wp:docPr id="811" name="image4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 name="image474.jpeg"/>
                    <pic:cNvPicPr/>
                  </pic:nvPicPr>
                  <pic:blipFill>
                    <a:blip r:embed="rId594" cstate="print"/>
                    <a:stretch>
                      <a:fillRect/>
                    </a:stretch>
                  </pic:blipFill>
                  <pic:spPr>
                    <a:xfrm>
                      <a:off x="0" y="0"/>
                      <a:ext cx="4343926" cy="990600"/>
                    </a:xfrm>
                    <a:prstGeom prst="rect">
                      <a:avLst/>
                    </a:prstGeom>
                  </pic:spPr>
                </pic:pic>
              </a:graphicData>
            </a:graphic>
          </wp:inline>
        </w:drawing>
      </w:r>
    </w:p>
    <w:p w14:paraId="21A6D3B1" w14:textId="77777777" w:rsidR="00A71EEF" w:rsidRDefault="00A71EEF">
      <w:pPr>
        <w:pStyle w:val="a3"/>
        <w:spacing w:before="10"/>
        <w:rPr>
          <w:sz w:val="26"/>
        </w:rPr>
      </w:pPr>
    </w:p>
    <w:p w14:paraId="1813E9C5" w14:textId="77777777" w:rsidR="00A71EEF" w:rsidRDefault="0081115D">
      <w:pPr>
        <w:pStyle w:val="a3"/>
        <w:spacing w:line="446" w:lineRule="auto"/>
        <w:ind w:left="418" w:right="1410" w:firstLine="419"/>
      </w:pPr>
      <w:r>
        <w:t>系统供电线路导线应采用经阻燃处理的铜芯电缆，交流中性线应采用与相线截面相等的同类型的电缆；</w:t>
      </w:r>
      <w:r>
        <w:t xml:space="preserve"> </w:t>
      </w:r>
    </w:p>
    <w:p w14:paraId="4EFBF472" w14:textId="77777777" w:rsidR="00A71EEF" w:rsidRDefault="0081115D">
      <w:pPr>
        <w:pStyle w:val="a3"/>
        <w:spacing w:line="267" w:lineRule="exact"/>
        <w:ind w:left="418"/>
      </w:pPr>
      <w:r>
        <w:t xml:space="preserve"> </w:t>
      </w:r>
      <w:r>
        <w:t xml:space="preserve"> </w:t>
      </w:r>
      <w:r>
        <w:t xml:space="preserve"> </w:t>
      </w:r>
      <w:r>
        <w:t xml:space="preserve"> </w:t>
      </w:r>
      <w:r>
        <w:t>系统配备的发电机组应具有自</w:t>
      </w:r>
      <w:r>
        <w:t>动投入功能；</w:t>
      </w:r>
      <w:r>
        <w:t xml:space="preserve"> </w:t>
      </w:r>
    </w:p>
    <w:p w14:paraId="32DD9700" w14:textId="77777777" w:rsidR="00A71EEF" w:rsidRDefault="00A71EEF">
      <w:pPr>
        <w:pStyle w:val="a3"/>
        <w:spacing w:before="2"/>
        <w:rPr>
          <w:sz w:val="18"/>
        </w:rPr>
      </w:pPr>
    </w:p>
    <w:p w14:paraId="79F6AFD1" w14:textId="77777777" w:rsidR="00A71EEF" w:rsidRDefault="0081115D">
      <w:pPr>
        <w:pStyle w:val="a3"/>
        <w:ind w:left="418"/>
        <w:rPr>
          <w:b/>
        </w:rPr>
      </w:pPr>
      <w:r>
        <w:t xml:space="preserve"> </w:t>
      </w:r>
      <w:r>
        <w:t xml:space="preserve"> </w:t>
      </w:r>
      <w:r>
        <w:t xml:space="preserve"> </w:t>
      </w:r>
      <w:r>
        <w:t xml:space="preserve"> </w:t>
      </w:r>
      <w:r>
        <w:t>消防站应设置通信专用交流配电箱，其电源容量不应小于</w:t>
      </w:r>
      <w:r>
        <w:t xml:space="preserve"> 5kV·A</w:t>
      </w:r>
      <w:r>
        <w:t>。</w:t>
      </w:r>
      <w:r>
        <w:rPr>
          <w:b/>
          <w:w w:val="99"/>
        </w:rPr>
        <w:t xml:space="preserve"> </w:t>
      </w:r>
    </w:p>
    <w:p w14:paraId="07C3D672" w14:textId="77777777" w:rsidR="00A71EEF" w:rsidRDefault="00A71EEF">
      <w:pPr>
        <w:pStyle w:val="a3"/>
        <w:spacing w:before="12"/>
        <w:rPr>
          <w:b/>
          <w:sz w:val="17"/>
        </w:rPr>
      </w:pPr>
    </w:p>
    <w:p w14:paraId="7F068E14" w14:textId="77777777" w:rsidR="00A71EEF" w:rsidRDefault="0081115D">
      <w:pPr>
        <w:ind w:left="418"/>
        <w:rPr>
          <w:sz w:val="21"/>
        </w:rPr>
      </w:pPr>
      <w:r>
        <w:rPr>
          <w:b/>
          <w:w w:val="99"/>
          <w:sz w:val="21"/>
        </w:rPr>
        <w:t xml:space="preserve">    </w:t>
      </w:r>
      <w:r>
        <w:rPr>
          <w:b/>
          <w:sz w:val="21"/>
        </w:rPr>
        <w:t xml:space="preserve">6.2.2 </w:t>
      </w:r>
      <w:r>
        <w:rPr>
          <w:sz w:val="21"/>
        </w:rPr>
        <w:t>不间断电源应符合下列要求：</w:t>
      </w:r>
      <w:r>
        <w:rPr>
          <w:sz w:val="21"/>
        </w:rPr>
        <w:t xml:space="preserve"> </w:t>
      </w:r>
    </w:p>
    <w:p w14:paraId="39859E16" w14:textId="77777777" w:rsidR="00A71EEF" w:rsidRDefault="00A71EEF">
      <w:pPr>
        <w:pStyle w:val="a3"/>
        <w:rPr>
          <w:sz w:val="18"/>
        </w:rPr>
      </w:pPr>
    </w:p>
    <w:p w14:paraId="560E7F8B" w14:textId="77777777" w:rsidR="00A71EEF" w:rsidRDefault="0081115D">
      <w:pPr>
        <w:pStyle w:val="a3"/>
        <w:ind w:left="418"/>
      </w:pPr>
      <w:r>
        <w:t xml:space="preserve"> </w:t>
      </w:r>
      <w:r>
        <w:t xml:space="preserve"> </w:t>
      </w:r>
      <w:r>
        <w:t xml:space="preserve"> </w:t>
      </w:r>
      <w:r>
        <w:t xml:space="preserve"> </w:t>
      </w:r>
      <w:r>
        <w:t>具有不间断和无瞬变要求的交流供电设备宜采用不间断电源；</w:t>
      </w:r>
      <w:r>
        <w:t xml:space="preserve"> </w:t>
      </w:r>
    </w:p>
    <w:p w14:paraId="053FD144" w14:textId="77777777" w:rsidR="00A71EEF" w:rsidRDefault="00A71EEF">
      <w:pPr>
        <w:pStyle w:val="a3"/>
        <w:spacing w:before="2"/>
        <w:rPr>
          <w:sz w:val="18"/>
        </w:rPr>
      </w:pPr>
    </w:p>
    <w:p w14:paraId="7C4BC20A" w14:textId="77777777" w:rsidR="00A71EEF" w:rsidRDefault="0081115D">
      <w:pPr>
        <w:pStyle w:val="a3"/>
        <w:spacing w:line="446" w:lineRule="auto"/>
        <w:ind w:left="418" w:right="1431"/>
        <w:rPr>
          <w:sz w:val="18"/>
        </w:rPr>
      </w:pPr>
      <w:r>
        <w:t xml:space="preserve"> </w:t>
      </w:r>
      <w:r>
        <w:t xml:space="preserve"> </w:t>
      </w:r>
      <w:r>
        <w:t xml:space="preserve"> </w:t>
      </w:r>
      <w:r>
        <w:t xml:space="preserve"> </w:t>
      </w:r>
      <w:r>
        <w:rPr>
          <w:spacing w:val="-7"/>
        </w:rPr>
        <w:t>接警、调度系统采用在线式不间断电源供电时，在外部市电断电后应能保证所有设备正常供</w:t>
      </w:r>
      <w:r>
        <w:rPr>
          <w:spacing w:val="-12"/>
        </w:rPr>
        <w:t>电时间不小于</w:t>
      </w:r>
      <w:r>
        <w:rPr>
          <w:spacing w:val="-12"/>
        </w:rPr>
        <w:t xml:space="preserve"> </w:t>
      </w:r>
      <w:r>
        <w:t>12h</w:t>
      </w:r>
      <w:r>
        <w:rPr>
          <w:spacing w:val="-5"/>
        </w:rPr>
        <w:t>；有后备发电系统时，不间断电源应能保证正常供电时间不小于</w:t>
      </w:r>
      <w:r>
        <w:rPr>
          <w:spacing w:val="-5"/>
        </w:rPr>
        <w:t xml:space="preserve"> </w:t>
      </w:r>
      <w:r>
        <w:t>2h</w:t>
      </w:r>
      <w:r>
        <w:rPr>
          <w:spacing w:val="-3"/>
        </w:rPr>
        <w:t>。</w:t>
      </w:r>
      <w:r>
        <w:rPr>
          <w:sz w:val="18"/>
        </w:rPr>
        <w:t xml:space="preserve"> </w:t>
      </w:r>
    </w:p>
    <w:p w14:paraId="015FFD83" w14:textId="77777777" w:rsidR="00A71EEF" w:rsidRDefault="0081115D">
      <w:pPr>
        <w:pStyle w:val="a4"/>
        <w:numPr>
          <w:ilvl w:val="1"/>
          <w:numId w:val="28"/>
        </w:numPr>
        <w:tabs>
          <w:tab w:val="left" w:pos="1160"/>
        </w:tabs>
        <w:spacing w:line="267" w:lineRule="exact"/>
        <w:rPr>
          <w:sz w:val="21"/>
        </w:rPr>
      </w:pPr>
      <w:r>
        <w:rPr>
          <w:spacing w:val="-3"/>
          <w:sz w:val="21"/>
        </w:rPr>
        <w:t>系统的防雷与接地</w:t>
      </w:r>
      <w:r>
        <w:rPr>
          <w:sz w:val="21"/>
        </w:rPr>
        <w:t xml:space="preserve"> </w:t>
      </w:r>
    </w:p>
    <w:p w14:paraId="5A8D3213" w14:textId="77777777" w:rsidR="00A71EEF" w:rsidRDefault="00A71EEF">
      <w:pPr>
        <w:pStyle w:val="a3"/>
        <w:spacing w:before="2"/>
        <w:rPr>
          <w:sz w:val="18"/>
        </w:rPr>
      </w:pPr>
    </w:p>
    <w:p w14:paraId="75C6F88A" w14:textId="77777777" w:rsidR="00A71EEF" w:rsidRDefault="0081115D">
      <w:pPr>
        <w:pStyle w:val="a4"/>
        <w:numPr>
          <w:ilvl w:val="2"/>
          <w:numId w:val="28"/>
        </w:numPr>
        <w:tabs>
          <w:tab w:val="left" w:pos="1371"/>
        </w:tabs>
        <w:rPr>
          <w:sz w:val="21"/>
        </w:rPr>
      </w:pPr>
      <w:r>
        <w:rPr>
          <w:spacing w:val="-5"/>
          <w:sz w:val="21"/>
        </w:rPr>
        <w:t>系统的雷电防护应符合现行国家标准《建筑物电子信息系统防雷技术规范》</w:t>
      </w:r>
      <w:r>
        <w:rPr>
          <w:sz w:val="21"/>
        </w:rPr>
        <w:t>GB</w:t>
      </w:r>
      <w:r>
        <w:rPr>
          <w:spacing w:val="-27"/>
          <w:sz w:val="21"/>
        </w:rPr>
        <w:t xml:space="preserve"> </w:t>
      </w:r>
      <w:r>
        <w:rPr>
          <w:sz w:val="21"/>
        </w:rPr>
        <w:t>50343</w:t>
      </w:r>
    </w:p>
    <w:p w14:paraId="6D39B22D" w14:textId="77777777" w:rsidR="00A71EEF" w:rsidRDefault="00A71EEF">
      <w:pPr>
        <w:pStyle w:val="a3"/>
        <w:spacing w:before="12"/>
        <w:rPr>
          <w:sz w:val="17"/>
        </w:rPr>
      </w:pPr>
    </w:p>
    <w:p w14:paraId="597565DA" w14:textId="77777777" w:rsidR="00A71EEF" w:rsidRDefault="0081115D">
      <w:pPr>
        <w:pStyle w:val="a3"/>
        <w:ind w:left="418"/>
      </w:pPr>
      <w:r>
        <w:t>的有关规定。</w:t>
      </w:r>
      <w:r>
        <w:t xml:space="preserve"> </w:t>
      </w:r>
    </w:p>
    <w:p w14:paraId="07D13FA1" w14:textId="77777777" w:rsidR="00A71EEF" w:rsidRDefault="00A71EEF">
      <w:pPr>
        <w:pStyle w:val="a3"/>
        <w:rPr>
          <w:sz w:val="18"/>
        </w:rPr>
      </w:pPr>
    </w:p>
    <w:p w14:paraId="0182B864" w14:textId="77777777" w:rsidR="00A71EEF" w:rsidRDefault="0081115D">
      <w:pPr>
        <w:ind w:left="418"/>
        <w:rPr>
          <w:sz w:val="21"/>
        </w:rPr>
      </w:pPr>
      <w:r>
        <w:rPr>
          <w:b/>
          <w:w w:val="99"/>
          <w:sz w:val="21"/>
        </w:rPr>
        <w:t xml:space="preserve">    </w:t>
      </w:r>
      <w:r>
        <w:rPr>
          <w:b/>
          <w:sz w:val="21"/>
        </w:rPr>
        <w:t xml:space="preserve">6.3.2 </w:t>
      </w:r>
      <w:r>
        <w:rPr>
          <w:sz w:val="21"/>
        </w:rPr>
        <w:t>系统的接地应符合下列要求：</w:t>
      </w:r>
      <w:r>
        <w:rPr>
          <w:sz w:val="21"/>
        </w:rPr>
        <w:t xml:space="preserve"> </w:t>
      </w:r>
    </w:p>
    <w:p w14:paraId="0EE890F3" w14:textId="77777777" w:rsidR="00A71EEF" w:rsidRDefault="0081115D">
      <w:pPr>
        <w:pStyle w:val="a3"/>
        <w:spacing w:before="2" w:line="500" w:lineRule="atLeast"/>
        <w:ind w:left="418" w:right="1435"/>
      </w:pPr>
      <w:r>
        <w:t xml:space="preserve"> </w:t>
      </w:r>
      <w:r>
        <w:t xml:space="preserve"> </w:t>
      </w:r>
      <w:r>
        <w:t xml:space="preserve"> </w:t>
      </w:r>
      <w:r>
        <w:t xml:space="preserve"> </w:t>
      </w:r>
      <w:r>
        <w:rPr>
          <w:spacing w:val="-7"/>
        </w:rPr>
        <w:t>机房交流功能接地、保护接地、直流功能接地、防雷接地等各种接地宜共用接地网，接地电</w:t>
      </w:r>
      <w:r>
        <w:rPr>
          <w:spacing w:val="-5"/>
        </w:rPr>
        <w:t>阻应按其中最小值确定；</w:t>
      </w:r>
      <w:r>
        <w:t xml:space="preserve"> </w:t>
      </w:r>
    </w:p>
    <w:p w14:paraId="0B0D6BBC" w14:textId="77777777" w:rsidR="00A71EEF" w:rsidRDefault="00A71EEF">
      <w:pPr>
        <w:spacing w:line="500" w:lineRule="atLeast"/>
        <w:sectPr w:rsidR="00A71EEF">
          <w:pgSz w:w="11910" w:h="16850"/>
          <w:pgMar w:top="1120" w:right="0" w:bottom="1420" w:left="1260" w:header="0" w:footer="1239" w:gutter="0"/>
          <w:cols w:space="720"/>
        </w:sectPr>
      </w:pPr>
    </w:p>
    <w:p w14:paraId="1CEAC5C8" w14:textId="77777777" w:rsidR="00A71EEF" w:rsidRDefault="0081115D">
      <w:pPr>
        <w:pStyle w:val="a3"/>
        <w:spacing w:before="47"/>
        <w:ind w:left="418"/>
        <w:jc w:val="both"/>
      </w:pPr>
      <w:r>
        <w:t xml:space="preserve"> </w:t>
      </w:r>
      <w:r>
        <w:t xml:space="preserve"> </w:t>
      </w:r>
      <w:r>
        <w:t xml:space="preserve"> </w:t>
      </w:r>
      <w:r>
        <w:t xml:space="preserve"> </w:t>
      </w:r>
      <w:r>
        <w:t>当接地采用分设方式时，各接地系统的接地电阻应按设备要求的最小值确定；</w:t>
      </w:r>
      <w:r>
        <w:t xml:space="preserve"> </w:t>
      </w:r>
    </w:p>
    <w:p w14:paraId="75B24782" w14:textId="77777777" w:rsidR="00A71EEF" w:rsidRDefault="00A71EEF">
      <w:pPr>
        <w:pStyle w:val="a3"/>
        <w:rPr>
          <w:sz w:val="18"/>
        </w:rPr>
      </w:pPr>
    </w:p>
    <w:p w14:paraId="536E311C" w14:textId="77777777" w:rsidR="00A71EEF" w:rsidRDefault="0081115D">
      <w:pPr>
        <w:pStyle w:val="a3"/>
        <w:ind w:left="418"/>
        <w:jc w:val="both"/>
      </w:pPr>
      <w:r>
        <w:t xml:space="preserve"> </w:t>
      </w:r>
      <w:r>
        <w:t xml:space="preserve"> </w:t>
      </w:r>
      <w:r>
        <w:t xml:space="preserve"> </w:t>
      </w:r>
      <w:r>
        <w:t xml:space="preserve"> </w:t>
      </w:r>
      <w:r>
        <w:t>建筑防雷接地电阻不应大于</w:t>
      </w:r>
      <w:r>
        <w:t xml:space="preserve"> 10Ω</w:t>
      </w:r>
      <w:r>
        <w:t>；</w:t>
      </w:r>
      <w:r>
        <w:t xml:space="preserve"> </w:t>
      </w:r>
    </w:p>
    <w:p w14:paraId="455EF08A" w14:textId="77777777" w:rsidR="00A71EEF" w:rsidRDefault="00A71EEF">
      <w:pPr>
        <w:pStyle w:val="a3"/>
        <w:rPr>
          <w:sz w:val="18"/>
        </w:rPr>
      </w:pPr>
    </w:p>
    <w:p w14:paraId="663EB127" w14:textId="77777777" w:rsidR="00A71EEF" w:rsidRDefault="0081115D">
      <w:pPr>
        <w:pStyle w:val="a3"/>
        <w:spacing w:line="446" w:lineRule="auto"/>
        <w:ind w:left="418" w:right="1431"/>
        <w:jc w:val="both"/>
      </w:pPr>
      <w:r>
        <w:t xml:space="preserve"> </w:t>
      </w:r>
      <w:r>
        <w:t xml:space="preserve"> </w:t>
      </w:r>
      <w:r>
        <w:t xml:space="preserve"> </w:t>
      </w:r>
      <w:r>
        <w:t xml:space="preserve"> </w:t>
      </w:r>
      <w:r>
        <w:rPr>
          <w:spacing w:val="-7"/>
        </w:rPr>
        <w:t>机房内应做等电位联结，并设置等电位联结端子箱。工作频率小于</w:t>
      </w:r>
      <w:r>
        <w:rPr>
          <w:spacing w:val="-7"/>
        </w:rPr>
        <w:t xml:space="preserve"> </w:t>
      </w:r>
      <w:r>
        <w:t>30kHz</w:t>
      </w:r>
      <w:r>
        <w:rPr>
          <w:spacing w:val="-7"/>
        </w:rPr>
        <w:t xml:space="preserve"> </w:t>
      </w:r>
      <w:r>
        <w:rPr>
          <w:spacing w:val="-7"/>
        </w:rPr>
        <w:t>且设备数量较少的</w:t>
      </w:r>
      <w:r>
        <w:rPr>
          <w:spacing w:val="-5"/>
        </w:rPr>
        <w:t>机房，可采用单点接地方式；工作频率大于</w:t>
      </w:r>
      <w:r>
        <w:rPr>
          <w:spacing w:val="-5"/>
        </w:rPr>
        <w:t xml:space="preserve"> </w:t>
      </w:r>
      <w:r>
        <w:t>300kHz</w:t>
      </w:r>
      <w:r>
        <w:rPr>
          <w:spacing w:val="-3"/>
        </w:rPr>
        <w:t xml:space="preserve"> </w:t>
      </w:r>
      <w:r>
        <w:rPr>
          <w:spacing w:val="-3"/>
        </w:rPr>
        <w:t>且设备台数较多的机房，可采用多点接地方式；</w:t>
      </w:r>
      <w:r>
        <w:t xml:space="preserve"> </w:t>
      </w:r>
    </w:p>
    <w:p w14:paraId="0E1F08E7" w14:textId="77777777" w:rsidR="00A71EEF" w:rsidRDefault="0081115D">
      <w:pPr>
        <w:pStyle w:val="a3"/>
        <w:spacing w:line="268" w:lineRule="exact"/>
        <w:ind w:left="418"/>
        <w:jc w:val="both"/>
      </w:pPr>
      <w:r>
        <w:t xml:space="preserve"> </w:t>
      </w:r>
      <w:r>
        <w:t xml:space="preserve"> </w:t>
      </w:r>
      <w:r>
        <w:t xml:space="preserve"> </w:t>
      </w:r>
      <w:r>
        <w:t xml:space="preserve"> </w:t>
      </w:r>
      <w:r>
        <w:t>机房内应设接地干线和接地端子箱；</w:t>
      </w:r>
      <w:r>
        <w:t xml:space="preserve"> </w:t>
      </w:r>
    </w:p>
    <w:p w14:paraId="57A53054" w14:textId="77777777" w:rsidR="00A71EEF" w:rsidRDefault="00A71EEF">
      <w:pPr>
        <w:pStyle w:val="a3"/>
        <w:spacing w:before="1"/>
        <w:rPr>
          <w:sz w:val="18"/>
        </w:rPr>
      </w:pPr>
    </w:p>
    <w:p w14:paraId="773BD902" w14:textId="77777777" w:rsidR="00A71EEF" w:rsidRDefault="0081115D">
      <w:pPr>
        <w:pStyle w:val="a3"/>
        <w:spacing w:before="1"/>
        <w:ind w:left="418"/>
        <w:jc w:val="both"/>
      </w:pPr>
      <w:r>
        <w:t xml:space="preserve"> </w:t>
      </w:r>
      <w:r>
        <w:t xml:space="preserve"> </w:t>
      </w:r>
      <w:r>
        <w:t xml:space="preserve"> </w:t>
      </w:r>
      <w:r>
        <w:t xml:space="preserve"> </w:t>
      </w:r>
      <w:r>
        <w:t>当各系统共用接地网时，宜将各系统分别采用接地导体与接地网连接。</w:t>
      </w:r>
      <w:r>
        <w:t xml:space="preserve"> </w:t>
      </w:r>
    </w:p>
    <w:p w14:paraId="4E012167" w14:textId="77777777" w:rsidR="00A71EEF" w:rsidRDefault="00A71EEF">
      <w:pPr>
        <w:pStyle w:val="a3"/>
        <w:rPr>
          <w:sz w:val="18"/>
        </w:rPr>
      </w:pPr>
    </w:p>
    <w:p w14:paraId="1C6B5A0A" w14:textId="77777777" w:rsidR="00A71EEF" w:rsidRDefault="0081115D">
      <w:pPr>
        <w:ind w:left="418"/>
        <w:rPr>
          <w:sz w:val="21"/>
        </w:rPr>
      </w:pPr>
      <w:r>
        <w:rPr>
          <w:b/>
          <w:w w:val="99"/>
          <w:sz w:val="21"/>
        </w:rPr>
        <w:t xml:space="preserve">    </w:t>
      </w:r>
      <w:r>
        <w:rPr>
          <w:b/>
          <w:sz w:val="21"/>
        </w:rPr>
        <w:t xml:space="preserve">6.3.3 </w:t>
      </w:r>
      <w:r>
        <w:rPr>
          <w:sz w:val="21"/>
        </w:rPr>
        <w:t>共用接地系统中接地体、接地引入线、接地总汇集线和接地线应符合下列要求：</w:t>
      </w:r>
      <w:r>
        <w:rPr>
          <w:sz w:val="21"/>
        </w:rPr>
        <w:t xml:space="preserve"> </w:t>
      </w:r>
    </w:p>
    <w:p w14:paraId="5D6A0181" w14:textId="77777777" w:rsidR="00A71EEF" w:rsidRDefault="00A71EEF">
      <w:pPr>
        <w:pStyle w:val="a3"/>
        <w:spacing w:before="12"/>
        <w:rPr>
          <w:sz w:val="17"/>
        </w:rPr>
      </w:pPr>
    </w:p>
    <w:p w14:paraId="46C8A3D4" w14:textId="77777777" w:rsidR="00A71EEF" w:rsidRDefault="0081115D">
      <w:pPr>
        <w:pStyle w:val="a3"/>
        <w:spacing w:line="446" w:lineRule="auto"/>
        <w:ind w:left="418" w:right="1380"/>
      </w:pPr>
      <w:r>
        <w:t xml:space="preserve"> </w:t>
      </w:r>
      <w:r>
        <w:t xml:space="preserve"> </w:t>
      </w:r>
      <w:r>
        <w:t xml:space="preserve"> </w:t>
      </w:r>
      <w:r>
        <w:t xml:space="preserve"> </w:t>
      </w:r>
      <w:r>
        <w:t>接地系统中的垂直接地体宜采用长度不小于</w:t>
      </w:r>
      <w:r>
        <w:t xml:space="preserve"> 2.5m </w:t>
      </w:r>
      <w:r>
        <w:t>的镀锌钢材，其接地体上端距地面不宜小于</w:t>
      </w:r>
      <w:r>
        <w:t xml:space="preserve"> 0.7m</w:t>
      </w:r>
      <w:r>
        <w:t>；</w:t>
      </w:r>
      <w:r>
        <w:t xml:space="preserve"> </w:t>
      </w:r>
    </w:p>
    <w:p w14:paraId="1A41E06C" w14:textId="77777777" w:rsidR="00A71EEF" w:rsidRDefault="0081115D">
      <w:pPr>
        <w:pStyle w:val="a3"/>
        <w:ind w:left="418"/>
      </w:pPr>
      <w:r>
        <w:t xml:space="preserve"> </w:t>
      </w:r>
      <w:r>
        <w:t xml:space="preserve"> </w:t>
      </w:r>
      <w:r>
        <w:t xml:space="preserve"> </w:t>
      </w:r>
      <w:r>
        <w:t xml:space="preserve"> </w:t>
      </w:r>
      <w:r>
        <w:t>接地引入线宜采用</w:t>
      </w:r>
      <w:r>
        <w:t xml:space="preserve"> 40mm×4mm </w:t>
      </w:r>
      <w:r>
        <w:t>或</w:t>
      </w:r>
      <w:r>
        <w:t xml:space="preserve"> 50mm×5mm </w:t>
      </w:r>
      <w:r>
        <w:t>的镀锌扁钢，长度不宜超过</w:t>
      </w:r>
      <w:r>
        <w:t xml:space="preserve"> 30m</w:t>
      </w:r>
      <w:r>
        <w:t>；</w:t>
      </w:r>
      <w:r>
        <w:t xml:space="preserve"> </w:t>
      </w:r>
    </w:p>
    <w:p w14:paraId="6C4B51FE" w14:textId="77777777" w:rsidR="00A71EEF" w:rsidRDefault="00A71EEF">
      <w:pPr>
        <w:pStyle w:val="a3"/>
        <w:spacing w:before="12"/>
        <w:rPr>
          <w:sz w:val="17"/>
        </w:rPr>
      </w:pPr>
    </w:p>
    <w:p w14:paraId="20957769" w14:textId="77777777" w:rsidR="00A71EEF" w:rsidRDefault="0081115D">
      <w:pPr>
        <w:pStyle w:val="a3"/>
        <w:ind w:left="418"/>
      </w:pPr>
      <w:r>
        <w:t xml:space="preserve"> </w:t>
      </w:r>
      <w:r>
        <w:t xml:space="preserve"> </w:t>
      </w:r>
      <w:r>
        <w:t xml:space="preserve"> </w:t>
      </w:r>
      <w:r>
        <w:t xml:space="preserve"> </w:t>
      </w:r>
      <w:r>
        <w:t>接地总汇集线应采用截面积不小于</w:t>
      </w:r>
      <w:r>
        <w:t xml:space="preserve"> 160mm2 </w:t>
      </w:r>
      <w:r>
        <w:t>的铜排或相同电阻值的镀锌扁钢；</w:t>
      </w:r>
      <w:r>
        <w:t xml:space="preserve"> </w:t>
      </w:r>
    </w:p>
    <w:p w14:paraId="2112AD9F" w14:textId="77777777" w:rsidR="00A71EEF" w:rsidRDefault="00A71EEF">
      <w:pPr>
        <w:pStyle w:val="a3"/>
        <w:spacing w:before="2"/>
        <w:rPr>
          <w:sz w:val="18"/>
        </w:rPr>
      </w:pPr>
    </w:p>
    <w:p w14:paraId="649B6242" w14:textId="77777777" w:rsidR="00A71EEF" w:rsidRDefault="0081115D">
      <w:pPr>
        <w:pStyle w:val="a3"/>
        <w:ind w:left="418"/>
        <w:rPr>
          <w:sz w:val="18"/>
        </w:rPr>
      </w:pPr>
      <w:r>
        <w:t xml:space="preserve"> </w:t>
      </w:r>
      <w:r>
        <w:t xml:space="preserve"> </w:t>
      </w:r>
      <w:r>
        <w:t xml:space="preserve"> </w:t>
      </w:r>
      <w:r>
        <w:t xml:space="preserve"> </w:t>
      </w:r>
      <w:r>
        <w:t>接地线不得使用铝材。一般设备（机架）的接地线应使用截面积不小于</w:t>
      </w:r>
      <w:r>
        <w:t xml:space="preserve"> 16mm2 </w:t>
      </w:r>
      <w:r>
        <w:t>的多股铜线。</w:t>
      </w:r>
      <w:r>
        <w:rPr>
          <w:sz w:val="18"/>
        </w:rPr>
        <w:t xml:space="preserve"> </w:t>
      </w:r>
    </w:p>
    <w:p w14:paraId="38157257" w14:textId="77777777" w:rsidR="00A71EEF" w:rsidRDefault="00A71EEF">
      <w:pPr>
        <w:pStyle w:val="a3"/>
        <w:rPr>
          <w:sz w:val="18"/>
        </w:rPr>
      </w:pPr>
    </w:p>
    <w:p w14:paraId="29D050D1" w14:textId="77777777" w:rsidR="00A71EEF" w:rsidRDefault="0081115D">
      <w:pPr>
        <w:pStyle w:val="a4"/>
        <w:numPr>
          <w:ilvl w:val="1"/>
          <w:numId w:val="28"/>
        </w:numPr>
        <w:tabs>
          <w:tab w:val="left" w:pos="1159"/>
        </w:tabs>
        <w:ind w:left="1158" w:hanging="319"/>
        <w:rPr>
          <w:sz w:val="21"/>
        </w:rPr>
      </w:pPr>
      <w:r>
        <w:rPr>
          <w:spacing w:val="-3"/>
          <w:sz w:val="21"/>
        </w:rPr>
        <w:t>系统的综合布线</w:t>
      </w:r>
      <w:r>
        <w:rPr>
          <w:sz w:val="21"/>
        </w:rPr>
        <w:t xml:space="preserve"> </w:t>
      </w:r>
    </w:p>
    <w:p w14:paraId="37B93A44" w14:textId="77777777" w:rsidR="00A71EEF" w:rsidRDefault="00A71EEF">
      <w:pPr>
        <w:pStyle w:val="a3"/>
        <w:spacing w:before="12"/>
        <w:rPr>
          <w:sz w:val="17"/>
        </w:rPr>
      </w:pPr>
    </w:p>
    <w:p w14:paraId="57FD2276" w14:textId="77777777" w:rsidR="00A71EEF" w:rsidRDefault="0081115D">
      <w:pPr>
        <w:pStyle w:val="a4"/>
        <w:numPr>
          <w:ilvl w:val="2"/>
          <w:numId w:val="28"/>
        </w:numPr>
        <w:tabs>
          <w:tab w:val="left" w:pos="1370"/>
        </w:tabs>
        <w:spacing w:line="446" w:lineRule="auto"/>
        <w:ind w:left="418" w:right="1433" w:firstLine="422"/>
        <w:rPr>
          <w:b/>
          <w:sz w:val="21"/>
        </w:rPr>
      </w:pPr>
      <w:r>
        <w:rPr>
          <w:spacing w:val="-6"/>
          <w:sz w:val="21"/>
        </w:rPr>
        <w:t>系统的综合布线应符合现行国家标准《综合布线系统工程设计规范》</w:t>
      </w:r>
      <w:r>
        <w:rPr>
          <w:sz w:val="21"/>
        </w:rPr>
        <w:t>GB</w:t>
      </w:r>
      <w:r>
        <w:rPr>
          <w:spacing w:val="-15"/>
          <w:sz w:val="21"/>
        </w:rPr>
        <w:t xml:space="preserve"> </w:t>
      </w:r>
      <w:r>
        <w:rPr>
          <w:sz w:val="21"/>
        </w:rPr>
        <w:t>50311</w:t>
      </w:r>
      <w:r>
        <w:rPr>
          <w:spacing w:val="-13"/>
          <w:sz w:val="21"/>
        </w:rPr>
        <w:t xml:space="preserve"> </w:t>
      </w:r>
      <w:r>
        <w:rPr>
          <w:spacing w:val="-13"/>
          <w:sz w:val="21"/>
        </w:rPr>
        <w:t>的有关</w:t>
      </w:r>
      <w:r>
        <w:rPr>
          <w:spacing w:val="-10"/>
          <w:sz w:val="21"/>
        </w:rPr>
        <w:t>规定</w:t>
      </w:r>
      <w:r>
        <w:rPr>
          <w:spacing w:val="-10"/>
          <w:sz w:val="21"/>
        </w:rPr>
        <w:t>。</w:t>
      </w:r>
      <w:r>
        <w:rPr>
          <w:b/>
          <w:w w:val="99"/>
          <w:sz w:val="21"/>
        </w:rPr>
        <w:t xml:space="preserve"> </w:t>
      </w:r>
    </w:p>
    <w:p w14:paraId="251FE7F4" w14:textId="77777777" w:rsidR="00A71EEF" w:rsidRDefault="0081115D">
      <w:pPr>
        <w:pStyle w:val="a4"/>
        <w:numPr>
          <w:ilvl w:val="2"/>
          <w:numId w:val="28"/>
        </w:numPr>
        <w:tabs>
          <w:tab w:val="left" w:pos="1371"/>
        </w:tabs>
        <w:spacing w:line="446" w:lineRule="auto"/>
        <w:ind w:left="418" w:right="1326" w:firstLine="422"/>
        <w:rPr>
          <w:sz w:val="21"/>
        </w:rPr>
      </w:pPr>
      <w:r>
        <w:rPr>
          <w:spacing w:val="-3"/>
          <w:sz w:val="21"/>
        </w:rPr>
        <w:t>控制线路及通信线路采用暗敷设时，宜采用金属管或经阻燃处理的硬质塑料管保护，</w:t>
      </w:r>
      <w:r>
        <w:rPr>
          <w:spacing w:val="-3"/>
          <w:sz w:val="21"/>
        </w:rPr>
        <w:t xml:space="preserve"> </w:t>
      </w:r>
      <w:r>
        <w:rPr>
          <w:spacing w:val="-7"/>
          <w:sz w:val="21"/>
        </w:rPr>
        <w:t>并应敷设在不燃烧体的结构层内，其保护层厚度不宜小于</w:t>
      </w:r>
      <w:r>
        <w:rPr>
          <w:spacing w:val="-7"/>
          <w:sz w:val="21"/>
        </w:rPr>
        <w:t xml:space="preserve"> </w:t>
      </w:r>
      <w:r>
        <w:rPr>
          <w:sz w:val="21"/>
        </w:rPr>
        <w:t>30mm</w:t>
      </w:r>
      <w:r>
        <w:rPr>
          <w:spacing w:val="-9"/>
          <w:sz w:val="21"/>
        </w:rPr>
        <w:t>。当采用明敷设时，应采用金属管</w:t>
      </w:r>
      <w:r>
        <w:rPr>
          <w:spacing w:val="-5"/>
          <w:sz w:val="21"/>
        </w:rPr>
        <w:t>或金属线槽保护，并应在金属管或金属线槽上采取防火保护措施。</w:t>
      </w:r>
      <w:r>
        <w:rPr>
          <w:sz w:val="21"/>
        </w:rPr>
        <w:t xml:space="preserve"> </w:t>
      </w:r>
    </w:p>
    <w:p w14:paraId="5412425F" w14:textId="77777777" w:rsidR="00A71EEF" w:rsidRDefault="0081115D">
      <w:pPr>
        <w:pStyle w:val="a4"/>
        <w:numPr>
          <w:ilvl w:val="2"/>
          <w:numId w:val="28"/>
        </w:numPr>
        <w:tabs>
          <w:tab w:val="left" w:pos="1370"/>
        </w:tabs>
        <w:spacing w:line="268" w:lineRule="exact"/>
        <w:ind w:left="1369" w:hanging="530"/>
        <w:rPr>
          <w:sz w:val="21"/>
        </w:rPr>
      </w:pPr>
      <w:r>
        <w:rPr>
          <w:spacing w:val="-8"/>
          <w:sz w:val="21"/>
        </w:rPr>
        <w:t>控制及通信线路垂直干线宜通过电缆竖井敷设，并应与强电线路的电缆竖井分别设置。</w:t>
      </w:r>
      <w:r>
        <w:rPr>
          <w:sz w:val="21"/>
        </w:rPr>
        <w:t xml:space="preserve"> </w:t>
      </w:r>
    </w:p>
    <w:p w14:paraId="5B892255" w14:textId="77777777" w:rsidR="00A71EEF" w:rsidRDefault="00A71EEF">
      <w:pPr>
        <w:pStyle w:val="a3"/>
        <w:rPr>
          <w:sz w:val="18"/>
        </w:rPr>
      </w:pPr>
    </w:p>
    <w:p w14:paraId="36F6FF54" w14:textId="77777777" w:rsidR="00A71EEF" w:rsidRDefault="0081115D">
      <w:pPr>
        <w:pStyle w:val="a4"/>
        <w:numPr>
          <w:ilvl w:val="1"/>
          <w:numId w:val="28"/>
        </w:numPr>
        <w:tabs>
          <w:tab w:val="left" w:pos="1159"/>
        </w:tabs>
        <w:ind w:left="1158" w:hanging="319"/>
        <w:rPr>
          <w:sz w:val="21"/>
        </w:rPr>
      </w:pPr>
      <w:r>
        <w:rPr>
          <w:spacing w:val="-3"/>
          <w:sz w:val="21"/>
        </w:rPr>
        <w:t>系统的设备用房</w:t>
      </w:r>
      <w:r>
        <w:rPr>
          <w:sz w:val="21"/>
        </w:rPr>
        <w:t xml:space="preserve"> </w:t>
      </w:r>
    </w:p>
    <w:p w14:paraId="3CAE1B4C" w14:textId="77777777" w:rsidR="00A71EEF" w:rsidRDefault="00A71EEF">
      <w:pPr>
        <w:pStyle w:val="a3"/>
        <w:spacing w:before="2"/>
        <w:rPr>
          <w:sz w:val="18"/>
        </w:rPr>
      </w:pPr>
    </w:p>
    <w:p w14:paraId="7E5A0E05" w14:textId="77777777" w:rsidR="00A71EEF" w:rsidRDefault="0081115D">
      <w:pPr>
        <w:pStyle w:val="a4"/>
        <w:numPr>
          <w:ilvl w:val="2"/>
          <w:numId w:val="28"/>
        </w:numPr>
        <w:tabs>
          <w:tab w:val="left" w:pos="1371"/>
        </w:tabs>
        <w:spacing w:line="446" w:lineRule="auto"/>
        <w:ind w:left="418" w:right="1431" w:firstLine="422"/>
        <w:rPr>
          <w:b/>
          <w:sz w:val="21"/>
        </w:rPr>
      </w:pPr>
      <w:r>
        <w:rPr>
          <w:spacing w:val="-3"/>
          <w:sz w:val="21"/>
        </w:rPr>
        <w:t>系统的设备用房应符合现行国家标准《计算机场地通用规范》</w:t>
      </w:r>
      <w:r>
        <w:rPr>
          <w:sz w:val="21"/>
        </w:rPr>
        <w:t>GB/T</w:t>
      </w:r>
      <w:r>
        <w:rPr>
          <w:spacing w:val="19"/>
          <w:sz w:val="21"/>
        </w:rPr>
        <w:t xml:space="preserve"> </w:t>
      </w:r>
      <w:r>
        <w:rPr>
          <w:sz w:val="21"/>
        </w:rPr>
        <w:t>2887</w:t>
      </w:r>
      <w:r>
        <w:rPr>
          <w:spacing w:val="-10"/>
          <w:sz w:val="21"/>
        </w:rPr>
        <w:t xml:space="preserve"> </w:t>
      </w:r>
      <w:r>
        <w:rPr>
          <w:spacing w:val="-10"/>
          <w:sz w:val="21"/>
        </w:rPr>
        <w:t>和《电子信</w:t>
      </w:r>
      <w:r>
        <w:rPr>
          <w:spacing w:val="-5"/>
          <w:sz w:val="21"/>
        </w:rPr>
        <w:t>息系统机房设计规范》</w:t>
      </w:r>
      <w:r>
        <w:rPr>
          <w:sz w:val="21"/>
        </w:rPr>
        <w:t>GB</w:t>
      </w:r>
      <w:r>
        <w:rPr>
          <w:spacing w:val="-2"/>
          <w:sz w:val="21"/>
        </w:rPr>
        <w:t xml:space="preserve"> </w:t>
      </w:r>
      <w:r>
        <w:rPr>
          <w:sz w:val="21"/>
        </w:rPr>
        <w:t>50174</w:t>
      </w:r>
      <w:r>
        <w:rPr>
          <w:spacing w:val="-10"/>
          <w:sz w:val="21"/>
        </w:rPr>
        <w:t xml:space="preserve"> </w:t>
      </w:r>
      <w:r>
        <w:rPr>
          <w:spacing w:val="-10"/>
          <w:sz w:val="21"/>
        </w:rPr>
        <w:t>的有关规定。</w:t>
      </w:r>
      <w:r>
        <w:rPr>
          <w:b/>
          <w:w w:val="99"/>
          <w:sz w:val="21"/>
        </w:rPr>
        <w:t xml:space="preserve"> </w:t>
      </w:r>
    </w:p>
    <w:p w14:paraId="5FD8C6BB" w14:textId="77777777" w:rsidR="00A71EEF" w:rsidRDefault="0081115D">
      <w:pPr>
        <w:spacing w:line="267" w:lineRule="exact"/>
        <w:ind w:left="418"/>
        <w:rPr>
          <w:sz w:val="21"/>
        </w:rPr>
      </w:pPr>
      <w:r>
        <w:rPr>
          <w:b/>
          <w:w w:val="99"/>
          <w:sz w:val="21"/>
        </w:rPr>
        <w:t xml:space="preserve">    </w:t>
      </w:r>
      <w:r>
        <w:rPr>
          <w:b/>
          <w:sz w:val="21"/>
        </w:rPr>
        <w:t xml:space="preserve">6.5.2 </w:t>
      </w:r>
      <w:r>
        <w:rPr>
          <w:sz w:val="21"/>
        </w:rPr>
        <w:t>系统的设备用房面积应符合下列要求：</w:t>
      </w:r>
      <w:r>
        <w:rPr>
          <w:sz w:val="21"/>
        </w:rPr>
        <w:t xml:space="preserve"> </w:t>
      </w:r>
    </w:p>
    <w:p w14:paraId="1A4CE9F3" w14:textId="77777777" w:rsidR="00A71EEF" w:rsidRDefault="00A71EEF">
      <w:pPr>
        <w:pStyle w:val="a3"/>
        <w:spacing w:before="1"/>
        <w:rPr>
          <w:sz w:val="18"/>
        </w:rPr>
      </w:pPr>
    </w:p>
    <w:p w14:paraId="13B7C5FA" w14:textId="77777777" w:rsidR="00A71EEF" w:rsidRDefault="0081115D">
      <w:pPr>
        <w:pStyle w:val="a3"/>
        <w:spacing w:before="1"/>
        <w:ind w:left="418"/>
      </w:pPr>
      <w:r>
        <w:t xml:space="preserve"> </w:t>
      </w:r>
      <w:r>
        <w:t xml:space="preserve"> </w:t>
      </w:r>
      <w:r>
        <w:t xml:space="preserve"> </w:t>
      </w:r>
      <w:r>
        <w:t xml:space="preserve"> </w:t>
      </w:r>
      <w:r>
        <w:t>消防通信指挥中心通信室和指挥室的总建筑面积不宜小于</w:t>
      </w:r>
      <w:r>
        <w:t xml:space="preserve"> 150 </w:t>
      </w:r>
      <w:r>
        <w:t>㎡；</w:t>
      </w:r>
      <w:r>
        <w:t xml:space="preserve"> </w:t>
      </w:r>
    </w:p>
    <w:p w14:paraId="0C32D23A" w14:textId="77777777" w:rsidR="00A71EEF" w:rsidRDefault="00A71EEF">
      <w:pPr>
        <w:pStyle w:val="a3"/>
        <w:spacing w:before="12"/>
        <w:rPr>
          <w:sz w:val="17"/>
        </w:rPr>
      </w:pPr>
    </w:p>
    <w:p w14:paraId="14B7BCB6" w14:textId="77777777" w:rsidR="00A71EEF" w:rsidRDefault="0081115D">
      <w:pPr>
        <w:pStyle w:val="a3"/>
        <w:ind w:left="418"/>
      </w:pPr>
      <w:r>
        <w:t xml:space="preserve"> </w:t>
      </w:r>
      <w:r>
        <w:t xml:space="preserve"> </w:t>
      </w:r>
      <w:r>
        <w:t xml:space="preserve"> </w:t>
      </w:r>
      <w:r>
        <w:t xml:space="preserve"> </w:t>
      </w:r>
      <w:r>
        <w:t>消防站通信室的建筑面积，普通消防站不宜小于</w:t>
      </w:r>
      <w:r>
        <w:t xml:space="preserve"> 30 </w:t>
      </w:r>
      <w:r>
        <w:t>㎡；特种消防站不宜小于</w:t>
      </w:r>
      <w:r>
        <w:t xml:space="preserve"> 40 </w:t>
      </w:r>
      <w:r>
        <w:t>㎡。</w:t>
      </w:r>
      <w:r>
        <w:t xml:space="preserve"> </w:t>
      </w:r>
    </w:p>
    <w:p w14:paraId="67CF4A16" w14:textId="77777777" w:rsidR="00A71EEF" w:rsidRDefault="00A71EEF">
      <w:pPr>
        <w:pStyle w:val="a3"/>
        <w:rPr>
          <w:sz w:val="18"/>
        </w:rPr>
      </w:pPr>
    </w:p>
    <w:p w14:paraId="165A2222" w14:textId="77777777" w:rsidR="00A71EEF" w:rsidRDefault="0081115D">
      <w:pPr>
        <w:ind w:left="418"/>
        <w:rPr>
          <w:sz w:val="21"/>
        </w:rPr>
      </w:pPr>
      <w:r>
        <w:rPr>
          <w:b/>
          <w:w w:val="99"/>
          <w:sz w:val="21"/>
        </w:rPr>
        <w:t xml:space="preserve">    </w:t>
      </w:r>
      <w:r>
        <w:rPr>
          <w:b/>
          <w:sz w:val="21"/>
        </w:rPr>
        <w:t xml:space="preserve">6.5.3 </w:t>
      </w:r>
      <w:r>
        <w:rPr>
          <w:sz w:val="21"/>
        </w:rPr>
        <w:t>消防通信指挥中心和消防站的设备用房的净高要求应符合表</w:t>
      </w:r>
      <w:r>
        <w:rPr>
          <w:sz w:val="21"/>
        </w:rPr>
        <w:t xml:space="preserve"> 6.5.3 </w:t>
      </w:r>
      <w:r>
        <w:rPr>
          <w:sz w:val="21"/>
        </w:rPr>
        <w:t>的规定。</w:t>
      </w:r>
      <w:r>
        <w:rPr>
          <w:sz w:val="21"/>
        </w:rPr>
        <w:t xml:space="preserve"> </w:t>
      </w:r>
    </w:p>
    <w:p w14:paraId="1ADC3AA9" w14:textId="77777777" w:rsidR="00A71EEF" w:rsidRDefault="0081115D">
      <w:pPr>
        <w:pStyle w:val="6"/>
        <w:spacing w:before="146"/>
        <w:ind w:left="3413"/>
        <w:rPr>
          <w:b w:val="0"/>
        </w:rPr>
      </w:pPr>
      <w:r>
        <w:t>表</w:t>
      </w:r>
      <w:r>
        <w:t xml:space="preserve"> 6.5.3 </w:t>
      </w:r>
      <w:r>
        <w:t>设备用房的净高要求</w:t>
      </w:r>
      <w:r>
        <w:rPr>
          <w:b w:val="0"/>
        </w:rPr>
        <w:t xml:space="preserve"> </w:t>
      </w:r>
    </w:p>
    <w:p w14:paraId="0DC323BD" w14:textId="77777777" w:rsidR="00A71EEF" w:rsidRDefault="00A71EEF">
      <w:pPr>
        <w:sectPr w:rsidR="00A71EEF">
          <w:pgSz w:w="11910" w:h="16850"/>
          <w:pgMar w:top="1220" w:right="0" w:bottom="1420" w:left="1260" w:header="0" w:footer="1239" w:gutter="0"/>
          <w:cols w:space="720"/>
        </w:sectPr>
      </w:pPr>
    </w:p>
    <w:p w14:paraId="123EC1EF" w14:textId="77777777" w:rsidR="00A71EEF" w:rsidRDefault="0081115D">
      <w:pPr>
        <w:pStyle w:val="a3"/>
        <w:ind w:left="1165"/>
        <w:rPr>
          <w:sz w:val="20"/>
        </w:rPr>
      </w:pPr>
      <w:r>
        <w:rPr>
          <w:noProof/>
          <w:sz w:val="20"/>
        </w:rPr>
        <w:drawing>
          <wp:inline distT="0" distB="0" distL="0" distR="0" wp14:anchorId="7F9F85EE" wp14:editId="25E1F752">
            <wp:extent cx="4515806" cy="1209675"/>
            <wp:effectExtent l="0" t="0" r="0" b="0"/>
            <wp:docPr id="813" name="image4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 name="image475.jpeg"/>
                    <pic:cNvPicPr/>
                  </pic:nvPicPr>
                  <pic:blipFill>
                    <a:blip r:embed="rId595" cstate="print"/>
                    <a:stretch>
                      <a:fillRect/>
                    </a:stretch>
                  </pic:blipFill>
                  <pic:spPr>
                    <a:xfrm>
                      <a:off x="0" y="0"/>
                      <a:ext cx="4515806" cy="1209675"/>
                    </a:xfrm>
                    <a:prstGeom prst="rect">
                      <a:avLst/>
                    </a:prstGeom>
                  </pic:spPr>
                </pic:pic>
              </a:graphicData>
            </a:graphic>
          </wp:inline>
        </w:drawing>
      </w:r>
    </w:p>
    <w:p w14:paraId="0CA2B11D" w14:textId="77777777" w:rsidR="00A71EEF" w:rsidRDefault="00A71EEF">
      <w:pPr>
        <w:pStyle w:val="a3"/>
        <w:spacing w:before="10"/>
        <w:rPr>
          <w:sz w:val="13"/>
        </w:rPr>
      </w:pPr>
    </w:p>
    <w:p w14:paraId="58715D5B" w14:textId="77777777" w:rsidR="00A71EEF" w:rsidRDefault="0081115D">
      <w:pPr>
        <w:pStyle w:val="a4"/>
        <w:numPr>
          <w:ilvl w:val="2"/>
          <w:numId w:val="27"/>
        </w:numPr>
        <w:tabs>
          <w:tab w:val="left" w:pos="1370"/>
        </w:tabs>
        <w:spacing w:before="72"/>
        <w:ind w:hanging="530"/>
        <w:rPr>
          <w:sz w:val="21"/>
        </w:rPr>
      </w:pPr>
      <w:r>
        <w:rPr>
          <w:spacing w:val="-7"/>
          <w:sz w:val="21"/>
        </w:rPr>
        <w:t>设备用房的荷载要求应符合表</w:t>
      </w:r>
      <w:r>
        <w:rPr>
          <w:spacing w:val="-7"/>
          <w:sz w:val="21"/>
        </w:rPr>
        <w:t xml:space="preserve"> </w:t>
      </w:r>
      <w:r>
        <w:rPr>
          <w:sz w:val="21"/>
        </w:rPr>
        <w:t>6.5.4</w:t>
      </w:r>
      <w:r>
        <w:rPr>
          <w:spacing w:val="-12"/>
          <w:sz w:val="21"/>
        </w:rPr>
        <w:t xml:space="preserve"> </w:t>
      </w:r>
      <w:r>
        <w:rPr>
          <w:spacing w:val="-12"/>
          <w:sz w:val="21"/>
        </w:rPr>
        <w:t>的规定。</w:t>
      </w:r>
      <w:r>
        <w:rPr>
          <w:spacing w:val="-12"/>
          <w:sz w:val="21"/>
        </w:rPr>
        <w:t xml:space="preserve"> </w:t>
      </w:r>
    </w:p>
    <w:p w14:paraId="10175244" w14:textId="77777777" w:rsidR="00A71EEF" w:rsidRDefault="0081115D">
      <w:pPr>
        <w:pStyle w:val="6"/>
        <w:spacing w:before="146"/>
        <w:ind w:left="3413"/>
        <w:rPr>
          <w:b w:val="0"/>
        </w:rPr>
      </w:pPr>
      <w:r>
        <w:t>表</w:t>
      </w:r>
      <w:r>
        <w:t xml:space="preserve"> 6.5.4 </w:t>
      </w:r>
      <w:r>
        <w:t>设备用房的荷载要求</w:t>
      </w:r>
      <w:r>
        <w:rPr>
          <w:b w:val="0"/>
        </w:rPr>
        <w:t xml:space="preserve"> </w:t>
      </w:r>
    </w:p>
    <w:p w14:paraId="69BBA4E3" w14:textId="77777777" w:rsidR="00A71EEF" w:rsidRDefault="0081115D">
      <w:pPr>
        <w:pStyle w:val="a3"/>
        <w:ind w:left="1122"/>
        <w:rPr>
          <w:sz w:val="20"/>
        </w:rPr>
      </w:pPr>
      <w:r>
        <w:rPr>
          <w:noProof/>
          <w:sz w:val="20"/>
        </w:rPr>
        <w:drawing>
          <wp:inline distT="0" distB="0" distL="0" distR="0" wp14:anchorId="68D9C201" wp14:editId="04F48991">
            <wp:extent cx="4564370" cy="1447800"/>
            <wp:effectExtent l="0" t="0" r="0" b="0"/>
            <wp:docPr id="815" name="image4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 name="image476.jpeg"/>
                    <pic:cNvPicPr/>
                  </pic:nvPicPr>
                  <pic:blipFill>
                    <a:blip r:embed="rId596" cstate="print"/>
                    <a:stretch>
                      <a:fillRect/>
                    </a:stretch>
                  </pic:blipFill>
                  <pic:spPr>
                    <a:xfrm>
                      <a:off x="0" y="0"/>
                      <a:ext cx="4564370" cy="1447800"/>
                    </a:xfrm>
                    <a:prstGeom prst="rect">
                      <a:avLst/>
                    </a:prstGeom>
                  </pic:spPr>
                </pic:pic>
              </a:graphicData>
            </a:graphic>
          </wp:inline>
        </w:drawing>
      </w:r>
    </w:p>
    <w:p w14:paraId="5EB17C6B" w14:textId="77777777" w:rsidR="00A71EEF" w:rsidRDefault="00A71EEF">
      <w:pPr>
        <w:pStyle w:val="a3"/>
        <w:spacing w:before="9"/>
        <w:rPr>
          <w:sz w:val="20"/>
        </w:rPr>
      </w:pPr>
    </w:p>
    <w:p w14:paraId="59FEFA8C" w14:textId="77777777" w:rsidR="00A71EEF" w:rsidRDefault="0081115D">
      <w:pPr>
        <w:pStyle w:val="a4"/>
        <w:numPr>
          <w:ilvl w:val="2"/>
          <w:numId w:val="27"/>
        </w:numPr>
        <w:tabs>
          <w:tab w:val="left" w:pos="1370"/>
        </w:tabs>
        <w:spacing w:before="1" w:line="367" w:lineRule="auto"/>
        <w:ind w:left="2253" w:right="2565" w:hanging="1414"/>
        <w:rPr>
          <w:sz w:val="21"/>
        </w:rPr>
      </w:pPr>
      <w:r>
        <w:rPr>
          <w:noProof/>
        </w:rPr>
        <w:drawing>
          <wp:anchor distT="0" distB="0" distL="0" distR="0" simplePos="0" relativeHeight="251778560" behindDoc="1" locked="0" layoutInCell="1" allowOverlap="1" wp14:anchorId="344E340D" wp14:editId="372FAF4A">
            <wp:simplePos x="0" y="0"/>
            <wp:positionH relativeFrom="page">
              <wp:posOffset>1531238</wp:posOffset>
            </wp:positionH>
            <wp:positionV relativeFrom="paragraph">
              <wp:posOffset>435101</wp:posOffset>
            </wp:positionV>
            <wp:extent cx="4535170" cy="1218949"/>
            <wp:effectExtent l="0" t="0" r="0" b="0"/>
            <wp:wrapNone/>
            <wp:docPr id="817" name="image4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 name="image477.jpeg"/>
                    <pic:cNvPicPr/>
                  </pic:nvPicPr>
                  <pic:blipFill>
                    <a:blip r:embed="rId597" cstate="print"/>
                    <a:stretch>
                      <a:fillRect/>
                    </a:stretch>
                  </pic:blipFill>
                  <pic:spPr>
                    <a:xfrm>
                      <a:off x="0" y="0"/>
                      <a:ext cx="4535170" cy="1218949"/>
                    </a:xfrm>
                    <a:prstGeom prst="rect">
                      <a:avLst/>
                    </a:prstGeom>
                  </pic:spPr>
                </pic:pic>
              </a:graphicData>
            </a:graphic>
          </wp:anchor>
        </w:drawing>
      </w:r>
      <w:r>
        <w:rPr>
          <w:spacing w:val="-5"/>
          <w:sz w:val="21"/>
        </w:rPr>
        <w:t>消防通信指挥中心的室内温度、相对湿度要求应符合表</w:t>
      </w:r>
      <w:r>
        <w:rPr>
          <w:spacing w:val="-5"/>
          <w:sz w:val="21"/>
        </w:rPr>
        <w:t xml:space="preserve"> </w:t>
      </w:r>
      <w:r>
        <w:rPr>
          <w:sz w:val="21"/>
        </w:rPr>
        <w:t>6.5.5</w:t>
      </w:r>
      <w:r>
        <w:rPr>
          <w:spacing w:val="-9"/>
          <w:sz w:val="21"/>
        </w:rPr>
        <w:t xml:space="preserve"> </w:t>
      </w:r>
      <w:r>
        <w:rPr>
          <w:spacing w:val="-9"/>
          <w:sz w:val="21"/>
        </w:rPr>
        <w:t>的规定。</w:t>
      </w:r>
      <w:r>
        <w:rPr>
          <w:b/>
          <w:sz w:val="21"/>
        </w:rPr>
        <w:t>表</w:t>
      </w:r>
      <w:r>
        <w:rPr>
          <w:b/>
          <w:spacing w:val="-54"/>
          <w:sz w:val="21"/>
        </w:rPr>
        <w:t xml:space="preserve"> </w:t>
      </w:r>
      <w:r>
        <w:rPr>
          <w:b/>
          <w:sz w:val="21"/>
        </w:rPr>
        <w:t>6.5.5</w:t>
      </w:r>
      <w:r>
        <w:rPr>
          <w:b/>
          <w:spacing w:val="-3"/>
          <w:sz w:val="21"/>
        </w:rPr>
        <w:t xml:space="preserve"> </w:t>
      </w:r>
      <w:r>
        <w:rPr>
          <w:b/>
          <w:spacing w:val="-3"/>
          <w:sz w:val="21"/>
        </w:rPr>
        <w:t>消防通信指挥中心的室内温度、相对湿度要求</w:t>
      </w:r>
      <w:r>
        <w:rPr>
          <w:spacing w:val="-3"/>
          <w:sz w:val="21"/>
        </w:rPr>
        <w:t xml:space="preserve"> </w:t>
      </w:r>
    </w:p>
    <w:p w14:paraId="25DEB95C" w14:textId="77777777" w:rsidR="00A71EEF" w:rsidRDefault="00A71EEF">
      <w:pPr>
        <w:pStyle w:val="a3"/>
        <w:rPr>
          <w:sz w:val="20"/>
        </w:rPr>
      </w:pPr>
    </w:p>
    <w:p w14:paraId="6C79B27F" w14:textId="77777777" w:rsidR="00A71EEF" w:rsidRDefault="00A71EEF">
      <w:pPr>
        <w:pStyle w:val="a3"/>
        <w:rPr>
          <w:sz w:val="20"/>
        </w:rPr>
      </w:pPr>
    </w:p>
    <w:p w14:paraId="13C19532" w14:textId="77777777" w:rsidR="00A71EEF" w:rsidRDefault="00A71EEF">
      <w:pPr>
        <w:pStyle w:val="a3"/>
        <w:rPr>
          <w:sz w:val="20"/>
        </w:rPr>
      </w:pPr>
    </w:p>
    <w:p w14:paraId="048557BD" w14:textId="77777777" w:rsidR="00A71EEF" w:rsidRDefault="00A71EEF">
      <w:pPr>
        <w:pStyle w:val="a3"/>
        <w:rPr>
          <w:sz w:val="20"/>
        </w:rPr>
      </w:pPr>
    </w:p>
    <w:p w14:paraId="0A83A676" w14:textId="77777777" w:rsidR="00A71EEF" w:rsidRDefault="00A71EEF">
      <w:pPr>
        <w:pStyle w:val="a3"/>
        <w:rPr>
          <w:sz w:val="20"/>
        </w:rPr>
      </w:pPr>
    </w:p>
    <w:p w14:paraId="7795A434" w14:textId="77777777" w:rsidR="00A71EEF" w:rsidRDefault="00A71EEF">
      <w:pPr>
        <w:pStyle w:val="a3"/>
        <w:rPr>
          <w:sz w:val="20"/>
        </w:rPr>
      </w:pPr>
    </w:p>
    <w:p w14:paraId="42C94697" w14:textId="77777777" w:rsidR="00A71EEF" w:rsidRDefault="00A71EEF">
      <w:pPr>
        <w:pStyle w:val="a3"/>
        <w:rPr>
          <w:sz w:val="20"/>
        </w:rPr>
      </w:pPr>
    </w:p>
    <w:p w14:paraId="3EA5F7AE" w14:textId="77777777" w:rsidR="00A71EEF" w:rsidRDefault="00A71EEF">
      <w:pPr>
        <w:pStyle w:val="a3"/>
        <w:spacing w:before="1"/>
      </w:pPr>
    </w:p>
    <w:p w14:paraId="001BAC7A" w14:textId="77777777" w:rsidR="00A71EEF" w:rsidRDefault="0081115D">
      <w:pPr>
        <w:pStyle w:val="a4"/>
        <w:numPr>
          <w:ilvl w:val="2"/>
          <w:numId w:val="27"/>
        </w:numPr>
        <w:tabs>
          <w:tab w:val="left" w:pos="1370"/>
        </w:tabs>
        <w:ind w:hanging="530"/>
        <w:rPr>
          <w:sz w:val="21"/>
        </w:rPr>
      </w:pPr>
      <w:r>
        <w:rPr>
          <w:spacing w:val="-3"/>
          <w:sz w:val="21"/>
        </w:rPr>
        <w:t>机房防静电应符合下列要求：</w:t>
      </w:r>
      <w:r>
        <w:rPr>
          <w:sz w:val="21"/>
        </w:rPr>
        <w:t xml:space="preserve"> </w:t>
      </w:r>
    </w:p>
    <w:p w14:paraId="40B464C4" w14:textId="77777777" w:rsidR="00A71EEF" w:rsidRDefault="00A71EEF">
      <w:pPr>
        <w:pStyle w:val="a3"/>
        <w:spacing w:before="12"/>
        <w:rPr>
          <w:sz w:val="17"/>
        </w:rPr>
      </w:pPr>
    </w:p>
    <w:p w14:paraId="638A7FA1" w14:textId="77777777" w:rsidR="00A71EEF" w:rsidRDefault="0081115D">
      <w:pPr>
        <w:pStyle w:val="a3"/>
        <w:ind w:left="418"/>
      </w:pPr>
      <w:r>
        <w:t xml:space="preserve"> </w:t>
      </w:r>
      <w:r>
        <w:t xml:space="preserve"> </w:t>
      </w:r>
      <w:r>
        <w:t xml:space="preserve"> </w:t>
      </w:r>
      <w:r>
        <w:t xml:space="preserve"> </w:t>
      </w:r>
      <w:r>
        <w:rPr>
          <w:spacing w:val="-3"/>
        </w:rPr>
        <w:t>机房地面及工作面的静电泄漏电阻应符合现行国家标准《计算机场地通用规范》</w:t>
      </w:r>
      <w:r>
        <w:t>GB/T</w:t>
      </w:r>
      <w:r>
        <w:rPr>
          <w:spacing w:val="54"/>
        </w:rPr>
        <w:t xml:space="preserve"> </w:t>
      </w:r>
      <w:r>
        <w:t>2887</w:t>
      </w:r>
    </w:p>
    <w:p w14:paraId="534F3634" w14:textId="77777777" w:rsidR="00A71EEF" w:rsidRDefault="00A71EEF">
      <w:pPr>
        <w:pStyle w:val="a3"/>
        <w:rPr>
          <w:sz w:val="18"/>
        </w:rPr>
      </w:pPr>
    </w:p>
    <w:p w14:paraId="20DF4641" w14:textId="77777777" w:rsidR="00A71EEF" w:rsidRDefault="0081115D">
      <w:pPr>
        <w:pStyle w:val="a3"/>
        <w:ind w:left="418"/>
      </w:pPr>
      <w:r>
        <w:t>的规定；</w:t>
      </w:r>
      <w:r>
        <w:t xml:space="preserve"> </w:t>
      </w:r>
    </w:p>
    <w:p w14:paraId="3096EB87" w14:textId="77777777" w:rsidR="00A71EEF" w:rsidRDefault="00A71EEF">
      <w:pPr>
        <w:pStyle w:val="a3"/>
        <w:spacing w:before="2"/>
        <w:rPr>
          <w:sz w:val="18"/>
        </w:rPr>
      </w:pPr>
    </w:p>
    <w:p w14:paraId="28D67190" w14:textId="77777777" w:rsidR="00A71EEF" w:rsidRDefault="0081115D">
      <w:pPr>
        <w:pStyle w:val="a3"/>
        <w:ind w:left="418"/>
        <w:jc w:val="both"/>
      </w:pPr>
      <w:r>
        <w:t xml:space="preserve"> </w:t>
      </w:r>
      <w:r>
        <w:t xml:space="preserve"> </w:t>
      </w:r>
      <w:r>
        <w:t xml:space="preserve"> </w:t>
      </w:r>
      <w:r>
        <w:t xml:space="preserve"> </w:t>
      </w:r>
      <w:r>
        <w:t>机房内绝缘体的静电电位不应大于</w:t>
      </w:r>
      <w:r>
        <w:t xml:space="preserve"> 1kV</w:t>
      </w:r>
      <w:r>
        <w:t>；</w:t>
      </w:r>
      <w:r>
        <w:t xml:space="preserve"> </w:t>
      </w:r>
    </w:p>
    <w:p w14:paraId="45CF5AC8" w14:textId="77777777" w:rsidR="00A71EEF" w:rsidRDefault="00A71EEF">
      <w:pPr>
        <w:pStyle w:val="a3"/>
        <w:rPr>
          <w:sz w:val="18"/>
        </w:rPr>
      </w:pPr>
    </w:p>
    <w:p w14:paraId="3EDA90B5" w14:textId="77777777" w:rsidR="00A71EEF" w:rsidRDefault="0081115D">
      <w:pPr>
        <w:pStyle w:val="a3"/>
        <w:spacing w:line="446" w:lineRule="auto"/>
        <w:ind w:left="418" w:right="1430"/>
        <w:jc w:val="both"/>
      </w:pPr>
      <w:r>
        <w:t xml:space="preserve"> </w:t>
      </w:r>
      <w:r>
        <w:t xml:space="preserve"> </w:t>
      </w:r>
      <w:r>
        <w:t xml:space="preserve"> </w:t>
      </w:r>
      <w:r>
        <w:t xml:space="preserve"> </w:t>
      </w:r>
      <w:r>
        <w:rPr>
          <w:spacing w:val="-6"/>
        </w:rPr>
        <w:t>机房不用活动地板时，可铺设导静电地面；导静电地面可采用导电胶与建筑地面粘牢，导静</w:t>
      </w:r>
      <w:r>
        <w:rPr>
          <w:spacing w:val="-5"/>
        </w:rPr>
        <w:t>电地面电阻率均应为</w:t>
      </w:r>
      <w:r>
        <w:rPr>
          <w:spacing w:val="-5"/>
        </w:rPr>
        <w:t xml:space="preserve"> </w:t>
      </w:r>
      <w:r>
        <w:t>1.0×107Ω·cm</w:t>
      </w:r>
      <w:r>
        <w:t>～</w:t>
      </w:r>
      <w:r>
        <w:t>1.0×1010Ω·cm</w:t>
      </w:r>
      <w:r>
        <w:rPr>
          <w:spacing w:val="-3"/>
        </w:rPr>
        <w:t>，其导电性能应长期稳定且材料不易起尘；</w:t>
      </w:r>
      <w:r>
        <w:t xml:space="preserve"> </w:t>
      </w:r>
    </w:p>
    <w:p w14:paraId="61EE58BA" w14:textId="77777777" w:rsidR="00A71EEF" w:rsidRDefault="0081115D">
      <w:pPr>
        <w:pStyle w:val="a3"/>
        <w:spacing w:line="446" w:lineRule="auto"/>
        <w:ind w:left="418" w:right="1431"/>
        <w:jc w:val="both"/>
      </w:pPr>
      <w:r>
        <w:t xml:space="preserve"> </w:t>
      </w:r>
      <w:r>
        <w:t xml:space="preserve"> </w:t>
      </w:r>
      <w:r>
        <w:t xml:space="preserve"> </w:t>
      </w:r>
      <w:r>
        <w:t xml:space="preserve"> </w:t>
      </w:r>
      <w:r>
        <w:rPr>
          <w:spacing w:val="-5"/>
        </w:rPr>
        <w:t>机房内采用的活动地板可由钢、铝或其他有足够机械强度的难燃材料制成，活动地板表面应</w:t>
      </w:r>
      <w:r>
        <w:rPr>
          <w:spacing w:val="-4"/>
        </w:rPr>
        <w:t>采用导静电材料，不得暴露金属部分。</w:t>
      </w:r>
      <w:r>
        <w:t xml:space="preserve"> </w:t>
      </w:r>
    </w:p>
    <w:p w14:paraId="0FCEC3C5" w14:textId="77777777" w:rsidR="00A71EEF" w:rsidRDefault="0081115D">
      <w:pPr>
        <w:pStyle w:val="a3"/>
        <w:ind w:left="418"/>
      </w:pPr>
      <w:r>
        <w:t xml:space="preserve">    </w:t>
      </w:r>
      <w:r>
        <w:rPr>
          <w:b/>
        </w:rPr>
        <w:t xml:space="preserve">6.5.7 </w:t>
      </w:r>
      <w:r>
        <w:t>消防通信指挥中心和消防站的设备用房照度应符合下列要求：</w:t>
      </w:r>
      <w:r>
        <w:t xml:space="preserve"> </w:t>
      </w:r>
    </w:p>
    <w:p w14:paraId="0A391B23" w14:textId="77777777" w:rsidR="00A71EEF" w:rsidRDefault="00A71EEF">
      <w:pPr>
        <w:pStyle w:val="a3"/>
        <w:spacing w:before="11"/>
        <w:rPr>
          <w:sz w:val="17"/>
        </w:rPr>
      </w:pPr>
    </w:p>
    <w:p w14:paraId="4BD2B487" w14:textId="77777777" w:rsidR="00A71EEF" w:rsidRDefault="0081115D">
      <w:pPr>
        <w:pStyle w:val="a3"/>
        <w:ind w:left="418"/>
        <w:jc w:val="both"/>
      </w:pPr>
      <w:r>
        <w:t xml:space="preserve"> </w:t>
      </w:r>
      <w:r>
        <w:t xml:space="preserve"> </w:t>
      </w:r>
      <w:r>
        <w:t xml:space="preserve"> </w:t>
      </w:r>
      <w:r>
        <w:t xml:space="preserve"> </w:t>
      </w:r>
      <w:r>
        <w:t xml:space="preserve"> </w:t>
      </w:r>
      <w:r>
        <w:t>距地板面</w:t>
      </w:r>
      <w:r>
        <w:t xml:space="preserve"> 0.75m </w:t>
      </w:r>
      <w:r>
        <w:t>的水平工作面为</w:t>
      </w:r>
      <w:r>
        <w:t xml:space="preserve"> 200</w:t>
      </w:r>
      <w:r>
        <w:t>～</w:t>
      </w:r>
      <w:r>
        <w:t>500lx</w:t>
      </w:r>
      <w:r>
        <w:t>；</w:t>
      </w:r>
      <w:r>
        <w:t xml:space="preserve"> </w:t>
      </w:r>
    </w:p>
    <w:p w14:paraId="6D647C54" w14:textId="77777777" w:rsidR="00A71EEF" w:rsidRDefault="00A71EEF">
      <w:pPr>
        <w:pStyle w:val="a3"/>
        <w:rPr>
          <w:sz w:val="18"/>
        </w:rPr>
      </w:pPr>
    </w:p>
    <w:p w14:paraId="430281D3" w14:textId="77777777" w:rsidR="00A71EEF" w:rsidRDefault="0081115D">
      <w:pPr>
        <w:pStyle w:val="a3"/>
        <w:ind w:left="418"/>
        <w:jc w:val="both"/>
      </w:pPr>
      <w:r>
        <w:t xml:space="preserve"> </w:t>
      </w:r>
      <w:r>
        <w:t xml:space="preserve"> </w:t>
      </w:r>
      <w:r>
        <w:t xml:space="preserve"> </w:t>
      </w:r>
      <w:r>
        <w:t xml:space="preserve"> </w:t>
      </w:r>
      <w:r>
        <w:t xml:space="preserve"> </w:t>
      </w:r>
      <w:r>
        <w:t>距地板面</w:t>
      </w:r>
      <w:r>
        <w:t xml:space="preserve"> 1.40m </w:t>
      </w:r>
      <w:r>
        <w:t>的垂直工作</w:t>
      </w:r>
      <w:r>
        <w:t>面为</w:t>
      </w:r>
      <w:r>
        <w:t xml:space="preserve"> 50</w:t>
      </w:r>
      <w:r>
        <w:t>～</w:t>
      </w:r>
      <w:r>
        <w:t>200lx</w:t>
      </w:r>
      <w:r>
        <w:t>。</w:t>
      </w:r>
      <w:r>
        <w:t xml:space="preserve"> </w:t>
      </w:r>
    </w:p>
    <w:p w14:paraId="523B574A" w14:textId="77777777" w:rsidR="00A71EEF" w:rsidRDefault="00A71EEF">
      <w:pPr>
        <w:jc w:val="both"/>
        <w:sectPr w:rsidR="00A71EEF">
          <w:pgSz w:w="11910" w:h="16850"/>
          <w:pgMar w:top="1080" w:right="0" w:bottom="1420" w:left="1260" w:header="0" w:footer="1239" w:gutter="0"/>
          <w:cols w:space="720"/>
        </w:sectPr>
      </w:pPr>
    </w:p>
    <w:p w14:paraId="49909157" w14:textId="77777777" w:rsidR="00A71EEF" w:rsidRDefault="0081115D">
      <w:pPr>
        <w:spacing w:before="47"/>
        <w:ind w:left="418"/>
        <w:rPr>
          <w:sz w:val="21"/>
        </w:rPr>
      </w:pPr>
      <w:r>
        <w:rPr>
          <w:sz w:val="21"/>
        </w:rPr>
        <w:t xml:space="preserve">    </w:t>
      </w:r>
      <w:r>
        <w:rPr>
          <w:b/>
          <w:sz w:val="21"/>
        </w:rPr>
        <w:t xml:space="preserve">6.5.8 </w:t>
      </w:r>
      <w:r>
        <w:rPr>
          <w:sz w:val="21"/>
        </w:rPr>
        <w:t>系统机房设备布置应符合下列要求：</w:t>
      </w:r>
      <w:r>
        <w:rPr>
          <w:sz w:val="21"/>
        </w:rPr>
        <w:t xml:space="preserve"> </w:t>
      </w:r>
    </w:p>
    <w:p w14:paraId="4A24A02E" w14:textId="77777777" w:rsidR="00A71EEF" w:rsidRDefault="00A71EEF">
      <w:pPr>
        <w:pStyle w:val="a3"/>
        <w:rPr>
          <w:sz w:val="18"/>
        </w:rPr>
      </w:pPr>
    </w:p>
    <w:p w14:paraId="7A21DBED" w14:textId="77777777" w:rsidR="00A71EEF" w:rsidRDefault="0081115D">
      <w:pPr>
        <w:pStyle w:val="a3"/>
        <w:ind w:left="418"/>
      </w:pPr>
      <w:r>
        <w:t xml:space="preserve"> </w:t>
      </w:r>
      <w:r>
        <w:t xml:space="preserve"> </w:t>
      </w:r>
      <w:r>
        <w:t xml:space="preserve"> </w:t>
      </w:r>
      <w:r>
        <w:t xml:space="preserve"> </w:t>
      </w:r>
      <w:r>
        <w:t>机房设备应根据系统配置及管理需要分区布置，当几个系统合用机房时，应按功能分区布置；</w:t>
      </w:r>
      <w:r>
        <w:t xml:space="preserve"> </w:t>
      </w:r>
    </w:p>
    <w:p w14:paraId="7FFEFD6B" w14:textId="77777777" w:rsidR="00A71EEF" w:rsidRDefault="00A71EEF">
      <w:pPr>
        <w:pStyle w:val="a3"/>
        <w:rPr>
          <w:sz w:val="18"/>
        </w:rPr>
      </w:pPr>
    </w:p>
    <w:p w14:paraId="744CE87B" w14:textId="77777777" w:rsidR="00A71EEF" w:rsidRDefault="0081115D">
      <w:pPr>
        <w:pStyle w:val="a3"/>
        <w:ind w:left="418"/>
      </w:pPr>
      <w:r>
        <w:t xml:space="preserve"> </w:t>
      </w:r>
      <w:r>
        <w:t xml:space="preserve"> </w:t>
      </w:r>
      <w:r>
        <w:t xml:space="preserve">  </w:t>
      </w:r>
      <w:r>
        <w:t>地震基本烈度为</w:t>
      </w:r>
      <w:r>
        <w:t xml:space="preserve"> 7 </w:t>
      </w:r>
      <w:r>
        <w:t>度及以上地区，机房设备的安装应采取抗震措施；</w:t>
      </w:r>
      <w:r>
        <w:t xml:space="preserve"> </w:t>
      </w:r>
    </w:p>
    <w:p w14:paraId="457FA534" w14:textId="77777777" w:rsidR="00A71EEF" w:rsidRDefault="00A71EEF">
      <w:pPr>
        <w:pStyle w:val="a3"/>
        <w:spacing w:before="1"/>
        <w:rPr>
          <w:sz w:val="18"/>
        </w:rPr>
      </w:pPr>
    </w:p>
    <w:p w14:paraId="4CF192BB" w14:textId="77777777" w:rsidR="00A71EEF" w:rsidRDefault="0081115D">
      <w:pPr>
        <w:pStyle w:val="a3"/>
        <w:spacing w:before="1"/>
        <w:ind w:left="418"/>
      </w:pPr>
      <w:r>
        <w:t xml:space="preserve"> </w:t>
      </w:r>
      <w:r>
        <w:t xml:space="preserve"> </w:t>
      </w:r>
      <w:r>
        <w:t xml:space="preserve">  </w:t>
      </w:r>
      <w:r>
        <w:t>墙挂式设备中心距地面高度宜为</w:t>
      </w:r>
      <w:r>
        <w:t xml:space="preserve"> 1.5m</w:t>
      </w:r>
      <w:r>
        <w:t>，侧面距墙不应大于</w:t>
      </w:r>
      <w:r>
        <w:t xml:space="preserve"> 0.5m</w:t>
      </w:r>
      <w:r>
        <w:t>。</w:t>
      </w:r>
      <w:r>
        <w:t xml:space="preserve"> </w:t>
      </w:r>
    </w:p>
    <w:p w14:paraId="6A96FDC7" w14:textId="77777777" w:rsidR="00A71EEF" w:rsidRDefault="00A71EEF">
      <w:pPr>
        <w:pStyle w:val="a3"/>
        <w:spacing w:before="12"/>
        <w:rPr>
          <w:sz w:val="17"/>
        </w:rPr>
      </w:pPr>
    </w:p>
    <w:p w14:paraId="3D92A012" w14:textId="77777777" w:rsidR="00A71EEF" w:rsidRDefault="0081115D">
      <w:pPr>
        <w:pStyle w:val="a3"/>
        <w:ind w:left="418"/>
      </w:pPr>
      <w:r>
        <w:t xml:space="preserve">    </w:t>
      </w:r>
      <w:r>
        <w:rPr>
          <w:b/>
        </w:rPr>
        <w:t xml:space="preserve">6.5.9 </w:t>
      </w:r>
      <w:r>
        <w:t>机房内设备的间距和通道应符合下列要求：</w:t>
      </w:r>
      <w:r>
        <w:t xml:space="preserve"> </w:t>
      </w:r>
    </w:p>
    <w:p w14:paraId="3D13B824" w14:textId="77777777" w:rsidR="00A71EEF" w:rsidRDefault="00A71EEF">
      <w:pPr>
        <w:pStyle w:val="a3"/>
        <w:spacing w:before="12"/>
        <w:rPr>
          <w:sz w:val="17"/>
        </w:rPr>
      </w:pPr>
    </w:p>
    <w:p w14:paraId="388C229B" w14:textId="77777777" w:rsidR="00A71EEF" w:rsidRDefault="0081115D">
      <w:pPr>
        <w:pStyle w:val="a3"/>
        <w:ind w:left="418"/>
      </w:pPr>
      <w:r>
        <w:t xml:space="preserve"> </w:t>
      </w:r>
      <w:r>
        <w:t xml:space="preserve"> </w:t>
      </w:r>
      <w:r>
        <w:t xml:space="preserve">  </w:t>
      </w:r>
      <w:r>
        <w:t>机柜正面相对排列时，其净距离不应小于</w:t>
      </w:r>
      <w:r>
        <w:t xml:space="preserve"> 1.5m</w:t>
      </w:r>
      <w:r>
        <w:t>；</w:t>
      </w:r>
      <w:r>
        <w:t xml:space="preserve"> </w:t>
      </w:r>
    </w:p>
    <w:p w14:paraId="731872DE" w14:textId="77777777" w:rsidR="00A71EEF" w:rsidRDefault="00A71EEF">
      <w:pPr>
        <w:pStyle w:val="a3"/>
        <w:spacing w:before="2"/>
        <w:rPr>
          <w:sz w:val="18"/>
        </w:rPr>
      </w:pPr>
    </w:p>
    <w:p w14:paraId="0BFB9155" w14:textId="77777777" w:rsidR="00A71EEF" w:rsidRDefault="0081115D">
      <w:pPr>
        <w:pStyle w:val="a3"/>
        <w:ind w:left="418"/>
      </w:pPr>
      <w:r>
        <w:t xml:space="preserve"> </w:t>
      </w:r>
      <w:r>
        <w:t xml:space="preserve"> </w:t>
      </w:r>
      <w:r>
        <w:t xml:space="preserve">  </w:t>
      </w:r>
      <w:r>
        <w:t>背后开门的设备，背面距墙面不应小于</w:t>
      </w:r>
      <w:r>
        <w:t xml:space="preserve"> 0.8m</w:t>
      </w:r>
      <w:r>
        <w:t>；</w:t>
      </w:r>
      <w:r>
        <w:t xml:space="preserve"> </w:t>
      </w:r>
    </w:p>
    <w:p w14:paraId="4D0325E5" w14:textId="77777777" w:rsidR="00A71EEF" w:rsidRDefault="00A71EEF">
      <w:pPr>
        <w:pStyle w:val="a3"/>
        <w:rPr>
          <w:sz w:val="18"/>
        </w:rPr>
      </w:pPr>
    </w:p>
    <w:p w14:paraId="0CD1AEFE" w14:textId="77777777" w:rsidR="00A71EEF" w:rsidRDefault="0081115D">
      <w:pPr>
        <w:pStyle w:val="a3"/>
        <w:spacing w:line="446" w:lineRule="auto"/>
        <w:ind w:left="418" w:right="1431"/>
      </w:pPr>
      <w:r>
        <w:t xml:space="preserve"> </w:t>
      </w:r>
      <w:r>
        <w:t xml:space="preserve"> </w:t>
      </w:r>
      <w:r>
        <w:t xml:space="preserve">  </w:t>
      </w:r>
      <w:r>
        <w:rPr>
          <w:spacing w:val="-6"/>
        </w:rPr>
        <w:t>机柜侧面距墙不应小于</w:t>
      </w:r>
      <w:r>
        <w:rPr>
          <w:spacing w:val="-6"/>
        </w:rPr>
        <w:t xml:space="preserve"> </w:t>
      </w:r>
      <w:r>
        <w:rPr>
          <w:spacing w:val="-15"/>
        </w:rPr>
        <w:t>0.5m</w:t>
      </w:r>
      <w:r>
        <w:rPr>
          <w:spacing w:val="-7"/>
        </w:rPr>
        <w:t>，机柜侧面距其他设备净距不应小于</w:t>
      </w:r>
      <w:r>
        <w:rPr>
          <w:spacing w:val="-7"/>
        </w:rPr>
        <w:t xml:space="preserve"> </w:t>
      </w:r>
      <w:r>
        <w:rPr>
          <w:spacing w:val="-16"/>
        </w:rPr>
        <w:t>0.8m</w:t>
      </w:r>
      <w:r>
        <w:rPr>
          <w:spacing w:val="-5"/>
        </w:rPr>
        <w:t>，当需要维修测试时，</w:t>
      </w:r>
      <w:r>
        <w:rPr>
          <w:spacing w:val="-5"/>
        </w:rPr>
        <w:t xml:space="preserve"> </w:t>
      </w:r>
      <w:r>
        <w:rPr>
          <w:spacing w:val="-11"/>
        </w:rPr>
        <w:t>距墙不应小于</w:t>
      </w:r>
      <w:r>
        <w:rPr>
          <w:spacing w:val="-11"/>
        </w:rPr>
        <w:t xml:space="preserve"> </w:t>
      </w:r>
      <w:r>
        <w:t>1.2m</w:t>
      </w:r>
      <w:r>
        <w:t>；</w:t>
      </w:r>
      <w:r>
        <w:t xml:space="preserve"> </w:t>
      </w:r>
    </w:p>
    <w:p w14:paraId="6332EFDB" w14:textId="77777777" w:rsidR="00A71EEF" w:rsidRDefault="0081115D">
      <w:pPr>
        <w:pStyle w:val="a3"/>
        <w:ind w:left="418"/>
      </w:pPr>
      <w:r>
        <w:t xml:space="preserve"> </w:t>
      </w:r>
      <w:r>
        <w:t xml:space="preserve"> </w:t>
      </w:r>
      <w:r>
        <w:t xml:space="preserve"> </w:t>
      </w:r>
      <w:r>
        <w:t xml:space="preserve"> </w:t>
      </w:r>
      <w:r>
        <w:t>并排布置的设备总长度大于</w:t>
      </w:r>
      <w:r>
        <w:t xml:space="preserve"> 4m </w:t>
      </w:r>
      <w:r>
        <w:t>时，两侧均应设置通道；</w:t>
      </w:r>
      <w:r>
        <w:t xml:space="preserve"> </w:t>
      </w:r>
    </w:p>
    <w:p w14:paraId="34289D7E" w14:textId="77777777" w:rsidR="00A71EEF" w:rsidRDefault="00A71EEF">
      <w:pPr>
        <w:pStyle w:val="a3"/>
        <w:rPr>
          <w:sz w:val="18"/>
        </w:rPr>
      </w:pPr>
    </w:p>
    <w:p w14:paraId="152ECB0F" w14:textId="77777777" w:rsidR="00A71EEF" w:rsidRDefault="0081115D">
      <w:pPr>
        <w:pStyle w:val="a3"/>
        <w:ind w:left="418"/>
      </w:pPr>
      <w:r>
        <w:t xml:space="preserve"> </w:t>
      </w:r>
      <w:r>
        <w:t xml:space="preserve"> </w:t>
      </w:r>
      <w:r>
        <w:t xml:space="preserve"> </w:t>
      </w:r>
      <w:r>
        <w:t xml:space="preserve"> </w:t>
      </w:r>
      <w:r>
        <w:t>机房内通道净宽不应小于</w:t>
      </w:r>
      <w:r>
        <w:t xml:space="preserve"> 1.2m</w:t>
      </w:r>
      <w:r>
        <w:t>。</w:t>
      </w:r>
      <w:r>
        <w:t xml:space="preserve"> </w:t>
      </w:r>
    </w:p>
    <w:p w14:paraId="3F30C196" w14:textId="77777777" w:rsidR="00A71EEF" w:rsidRDefault="00A71EEF">
      <w:pPr>
        <w:pStyle w:val="a3"/>
        <w:spacing w:before="12"/>
        <w:rPr>
          <w:sz w:val="17"/>
        </w:rPr>
      </w:pPr>
    </w:p>
    <w:p w14:paraId="4C7F67BD" w14:textId="77777777" w:rsidR="00A71EEF" w:rsidRDefault="0081115D">
      <w:pPr>
        <w:pStyle w:val="a3"/>
        <w:spacing w:line="446" w:lineRule="auto"/>
        <w:ind w:left="418" w:right="1432"/>
        <w:rPr>
          <w:sz w:val="18"/>
        </w:rPr>
      </w:pPr>
      <w:r>
        <w:t xml:space="preserve">    </w:t>
      </w:r>
      <w:r>
        <w:rPr>
          <w:b/>
        </w:rPr>
        <w:t>6.5.10</w:t>
      </w:r>
      <w:r>
        <w:rPr>
          <w:b/>
          <w:spacing w:val="92"/>
        </w:rPr>
        <w:t xml:space="preserve"> </w:t>
      </w:r>
      <w:r>
        <w:rPr>
          <w:spacing w:val="-3"/>
        </w:rPr>
        <w:t>消防通信指挥中心和消防站的设备用房应避开强电磁场干扰，或采取有效的电磁屏</w:t>
      </w:r>
      <w:r>
        <w:rPr>
          <w:spacing w:val="-6"/>
        </w:rPr>
        <w:t>蔽措施。室内电磁干扰场强在频率范围为</w:t>
      </w:r>
      <w:r>
        <w:rPr>
          <w:spacing w:val="-6"/>
        </w:rPr>
        <w:t xml:space="preserve"> </w:t>
      </w:r>
      <w:r>
        <w:t>1MHz</w:t>
      </w:r>
      <w:r>
        <w:t>～</w:t>
      </w:r>
      <w:r>
        <w:t>1GHz</w:t>
      </w:r>
      <w:r>
        <w:rPr>
          <w:spacing w:val="-16"/>
        </w:rPr>
        <w:t xml:space="preserve"> </w:t>
      </w:r>
      <w:r>
        <w:rPr>
          <w:spacing w:val="-16"/>
        </w:rPr>
        <w:t>时，不应大于</w:t>
      </w:r>
      <w:r>
        <w:rPr>
          <w:spacing w:val="-16"/>
        </w:rPr>
        <w:t xml:space="preserve"> </w:t>
      </w:r>
      <w:r>
        <w:t>10V/m</w:t>
      </w:r>
      <w:r>
        <w:rPr>
          <w:spacing w:val="-3"/>
        </w:rPr>
        <w:t>。</w:t>
      </w:r>
      <w:r>
        <w:rPr>
          <w:sz w:val="18"/>
        </w:rPr>
        <w:t xml:space="preserve"> </w:t>
      </w:r>
    </w:p>
    <w:p w14:paraId="4EBBAC1B" w14:textId="77777777" w:rsidR="00A71EEF" w:rsidRDefault="0081115D">
      <w:pPr>
        <w:pStyle w:val="4"/>
        <w:spacing w:line="278" w:lineRule="exact"/>
      </w:pPr>
      <w:r>
        <w:t xml:space="preserve">7 </w:t>
      </w:r>
      <w:r>
        <w:t>系统通用设备和软件要求</w:t>
      </w:r>
      <w:r>
        <w:rPr>
          <w:w w:val="99"/>
        </w:rPr>
        <w:t xml:space="preserve"> </w:t>
      </w:r>
    </w:p>
    <w:p w14:paraId="10C6579C" w14:textId="77777777" w:rsidR="00A71EEF" w:rsidRDefault="00A71EEF">
      <w:pPr>
        <w:pStyle w:val="a3"/>
        <w:spacing w:before="4"/>
        <w:rPr>
          <w:b/>
          <w:sz w:val="17"/>
        </w:rPr>
      </w:pPr>
    </w:p>
    <w:p w14:paraId="241BC04F" w14:textId="77777777" w:rsidR="00A71EEF" w:rsidRDefault="0081115D">
      <w:pPr>
        <w:pStyle w:val="a4"/>
        <w:numPr>
          <w:ilvl w:val="1"/>
          <w:numId w:val="26"/>
        </w:numPr>
        <w:tabs>
          <w:tab w:val="left" w:pos="1159"/>
        </w:tabs>
        <w:ind w:hanging="319"/>
        <w:rPr>
          <w:b/>
          <w:sz w:val="21"/>
        </w:rPr>
      </w:pPr>
      <w:r>
        <w:rPr>
          <w:spacing w:val="-3"/>
          <w:sz w:val="21"/>
        </w:rPr>
        <w:t>系统通用设备</w:t>
      </w:r>
      <w:r>
        <w:rPr>
          <w:b/>
          <w:w w:val="99"/>
          <w:sz w:val="21"/>
        </w:rPr>
        <w:t xml:space="preserve"> </w:t>
      </w:r>
    </w:p>
    <w:p w14:paraId="57AD58DC" w14:textId="77777777" w:rsidR="00A71EEF" w:rsidRDefault="00A71EEF">
      <w:pPr>
        <w:pStyle w:val="a3"/>
        <w:spacing w:before="2"/>
        <w:rPr>
          <w:b/>
          <w:sz w:val="18"/>
        </w:rPr>
      </w:pPr>
    </w:p>
    <w:p w14:paraId="3036D8AC" w14:textId="77777777" w:rsidR="00A71EEF" w:rsidRDefault="0081115D">
      <w:pPr>
        <w:pStyle w:val="a4"/>
        <w:numPr>
          <w:ilvl w:val="2"/>
          <w:numId w:val="26"/>
        </w:numPr>
        <w:tabs>
          <w:tab w:val="left" w:pos="1370"/>
        </w:tabs>
        <w:spacing w:line="446" w:lineRule="auto"/>
        <w:ind w:right="1433" w:firstLine="422"/>
        <w:rPr>
          <w:sz w:val="21"/>
        </w:rPr>
      </w:pPr>
      <w:r>
        <w:rPr>
          <w:spacing w:val="-6"/>
          <w:sz w:val="21"/>
        </w:rPr>
        <w:t>消防通信指挥系统使用的计算机、输入设备、输出设备、数据存储与数据备份设备以</w:t>
      </w:r>
      <w:r>
        <w:rPr>
          <w:spacing w:val="-4"/>
          <w:sz w:val="21"/>
        </w:rPr>
        <w:t>及不间断电源等硬件设备应为通过中国强制性产品质量认证的产品。</w:t>
      </w:r>
      <w:r>
        <w:rPr>
          <w:sz w:val="21"/>
        </w:rPr>
        <w:t xml:space="preserve"> </w:t>
      </w:r>
    </w:p>
    <w:p w14:paraId="432315C7" w14:textId="77777777" w:rsidR="00A71EEF" w:rsidRDefault="0081115D">
      <w:pPr>
        <w:pStyle w:val="a3"/>
        <w:spacing w:line="446" w:lineRule="auto"/>
        <w:ind w:left="418" w:right="1377"/>
      </w:pPr>
      <w:r>
        <w:rPr>
          <w:b/>
          <w:w w:val="99"/>
        </w:rPr>
        <w:t xml:space="preserve">    </w:t>
      </w:r>
      <w:r>
        <w:rPr>
          <w:b/>
        </w:rPr>
        <w:t xml:space="preserve">7.1.2 </w:t>
      </w:r>
      <w:r>
        <w:t>消防通信指挥系统使用的电信终端设备、无线通信设备、卫星通信设备和涉及网间互联的网络设备等产品应具有国家主管部门颁发的进网许可证。</w:t>
      </w:r>
      <w:r>
        <w:t xml:space="preserve"> </w:t>
      </w:r>
    </w:p>
    <w:p w14:paraId="34073E39" w14:textId="77777777" w:rsidR="00A71EEF" w:rsidRDefault="0081115D">
      <w:pPr>
        <w:pStyle w:val="a3"/>
        <w:spacing w:line="446" w:lineRule="auto"/>
        <w:ind w:left="418" w:right="1431"/>
        <w:jc w:val="both"/>
      </w:pPr>
      <w:r>
        <w:t xml:space="preserve">   </w:t>
      </w:r>
      <w:r>
        <w:rPr>
          <w:b/>
          <w:spacing w:val="-3"/>
          <w:w w:val="99"/>
        </w:rPr>
        <w:t xml:space="preserve"> </w:t>
      </w:r>
      <w:r>
        <w:rPr>
          <w:b/>
        </w:rPr>
        <w:t xml:space="preserve">7.1.3 </w:t>
      </w:r>
      <w:r>
        <w:rPr>
          <w:spacing w:val="-8"/>
        </w:rPr>
        <w:t>消防通信指挥系统使用的开关插座、接线端子</w:t>
      </w:r>
      <w:r>
        <w:t>（盒</w:t>
      </w:r>
      <w:r>
        <w:rPr>
          <w:spacing w:val="-108"/>
        </w:rPr>
        <w:t>）</w:t>
      </w:r>
      <w:r>
        <w:rPr>
          <w:spacing w:val="-10"/>
        </w:rPr>
        <w:t>、电线电缆、线槽桥架等电器材料</w:t>
      </w:r>
      <w:r>
        <w:rPr>
          <w:spacing w:val="-7"/>
        </w:rPr>
        <w:t>应采用符合国家现行有关标准的产品，实行生产许可证或安全认证制度的产品应具有许可证编号</w:t>
      </w:r>
      <w:r>
        <w:rPr>
          <w:spacing w:val="-5"/>
        </w:rPr>
        <w:t>或安全认证标志。</w:t>
      </w:r>
      <w:r>
        <w:t xml:space="preserve"> </w:t>
      </w:r>
    </w:p>
    <w:p w14:paraId="14EADCC3" w14:textId="77777777" w:rsidR="00A71EEF" w:rsidRDefault="0081115D">
      <w:pPr>
        <w:pStyle w:val="a4"/>
        <w:numPr>
          <w:ilvl w:val="1"/>
          <w:numId w:val="26"/>
        </w:numPr>
        <w:tabs>
          <w:tab w:val="left" w:pos="1160"/>
        </w:tabs>
        <w:spacing w:line="268" w:lineRule="exact"/>
        <w:ind w:left="1159" w:hanging="320"/>
        <w:rPr>
          <w:b/>
          <w:sz w:val="21"/>
        </w:rPr>
      </w:pPr>
      <w:r>
        <w:rPr>
          <w:spacing w:val="-3"/>
          <w:sz w:val="21"/>
        </w:rPr>
        <w:t>系统软件</w:t>
      </w:r>
      <w:r>
        <w:rPr>
          <w:b/>
          <w:w w:val="99"/>
          <w:sz w:val="21"/>
        </w:rPr>
        <w:t xml:space="preserve"> </w:t>
      </w:r>
    </w:p>
    <w:p w14:paraId="1123E655" w14:textId="77777777" w:rsidR="00A71EEF" w:rsidRDefault="00A71EEF">
      <w:pPr>
        <w:pStyle w:val="a3"/>
        <w:spacing w:before="10"/>
        <w:rPr>
          <w:b/>
          <w:sz w:val="17"/>
        </w:rPr>
      </w:pPr>
    </w:p>
    <w:p w14:paraId="2947F4EA" w14:textId="77777777" w:rsidR="00A71EEF" w:rsidRDefault="0081115D">
      <w:pPr>
        <w:pStyle w:val="a4"/>
        <w:numPr>
          <w:ilvl w:val="2"/>
          <w:numId w:val="26"/>
        </w:numPr>
        <w:tabs>
          <w:tab w:val="left" w:pos="1367"/>
        </w:tabs>
        <w:ind w:left="1367"/>
        <w:rPr>
          <w:sz w:val="21"/>
        </w:rPr>
      </w:pPr>
      <w:r>
        <w:rPr>
          <w:spacing w:val="-3"/>
          <w:sz w:val="21"/>
        </w:rPr>
        <w:t>操作系统软件、平台软件应具有软件使用（</w:t>
      </w:r>
      <w:r>
        <w:rPr>
          <w:sz w:val="21"/>
        </w:rPr>
        <w:t>授权</w:t>
      </w:r>
      <w:r>
        <w:rPr>
          <w:spacing w:val="-3"/>
          <w:sz w:val="21"/>
        </w:rPr>
        <w:t>）许可证。</w:t>
      </w:r>
      <w:r>
        <w:rPr>
          <w:sz w:val="21"/>
        </w:rPr>
        <w:t xml:space="preserve"> </w:t>
      </w:r>
    </w:p>
    <w:p w14:paraId="488B8B06" w14:textId="77777777" w:rsidR="00A71EEF" w:rsidRDefault="00A71EEF">
      <w:pPr>
        <w:pStyle w:val="a3"/>
        <w:spacing w:before="2"/>
        <w:rPr>
          <w:sz w:val="18"/>
        </w:rPr>
      </w:pPr>
    </w:p>
    <w:p w14:paraId="2C61531A" w14:textId="77777777" w:rsidR="00A71EEF" w:rsidRDefault="0081115D">
      <w:pPr>
        <w:pStyle w:val="a4"/>
        <w:numPr>
          <w:ilvl w:val="2"/>
          <w:numId w:val="26"/>
        </w:numPr>
        <w:tabs>
          <w:tab w:val="left" w:pos="1369"/>
        </w:tabs>
        <w:ind w:left="1368" w:hanging="531"/>
        <w:rPr>
          <w:sz w:val="21"/>
        </w:rPr>
      </w:pPr>
      <w:r>
        <w:rPr>
          <w:spacing w:val="-3"/>
          <w:sz w:val="21"/>
        </w:rPr>
        <w:t>应用软件应提供安装程序和程序结构说明、使用维护手册等技术文件。</w:t>
      </w:r>
      <w:r>
        <w:rPr>
          <w:spacing w:val="-3"/>
          <w:sz w:val="21"/>
        </w:rPr>
        <w:t xml:space="preserve"> </w:t>
      </w:r>
    </w:p>
    <w:p w14:paraId="2CBDD1D5" w14:textId="77777777" w:rsidR="00A71EEF" w:rsidRDefault="00A71EEF">
      <w:pPr>
        <w:pStyle w:val="a3"/>
        <w:rPr>
          <w:sz w:val="18"/>
        </w:rPr>
      </w:pPr>
    </w:p>
    <w:p w14:paraId="09279380" w14:textId="77777777" w:rsidR="00A71EEF" w:rsidRDefault="0081115D">
      <w:pPr>
        <w:pStyle w:val="a4"/>
        <w:numPr>
          <w:ilvl w:val="2"/>
          <w:numId w:val="26"/>
        </w:numPr>
        <w:tabs>
          <w:tab w:val="left" w:pos="1369"/>
        </w:tabs>
        <w:spacing w:line="446" w:lineRule="auto"/>
        <w:ind w:left="838" w:right="1430" w:firstLine="0"/>
        <w:rPr>
          <w:sz w:val="21"/>
        </w:rPr>
      </w:pPr>
      <w:r>
        <w:rPr>
          <w:sz w:val="21"/>
        </w:rPr>
        <w:t>应用软件应由国家相关产品质量监督检验或软件评测机构按照有关标准的技术要求</w:t>
      </w:r>
      <w:r>
        <w:rPr>
          <w:sz w:val="21"/>
        </w:rPr>
        <w:t xml:space="preserve"> </w:t>
      </w:r>
      <w:r>
        <w:rPr>
          <w:spacing w:val="-1"/>
          <w:sz w:val="21"/>
        </w:rPr>
        <w:t>检测。</w:t>
      </w:r>
      <w:r>
        <w:rPr>
          <w:sz w:val="21"/>
        </w:rPr>
        <w:t xml:space="preserve"> </w:t>
      </w:r>
    </w:p>
    <w:p w14:paraId="4E52550A" w14:textId="77777777" w:rsidR="00A71EEF" w:rsidRDefault="0081115D">
      <w:pPr>
        <w:pStyle w:val="a4"/>
        <w:numPr>
          <w:ilvl w:val="2"/>
          <w:numId w:val="26"/>
        </w:numPr>
        <w:tabs>
          <w:tab w:val="left" w:pos="1369"/>
        </w:tabs>
        <w:ind w:left="1368" w:hanging="531"/>
        <w:rPr>
          <w:sz w:val="18"/>
        </w:rPr>
      </w:pPr>
      <w:r>
        <w:rPr>
          <w:spacing w:val="-3"/>
          <w:sz w:val="21"/>
        </w:rPr>
        <w:t>应用软件人机界面应采用中文显示，并应界面清晰、风格统一、操作方便。</w:t>
      </w:r>
      <w:r>
        <w:rPr>
          <w:spacing w:val="-3"/>
          <w:sz w:val="18"/>
        </w:rPr>
        <w:t xml:space="preserve"> </w:t>
      </w:r>
    </w:p>
    <w:p w14:paraId="47953BAC" w14:textId="77777777" w:rsidR="00A71EEF" w:rsidRDefault="00A71EEF">
      <w:pPr>
        <w:rPr>
          <w:sz w:val="18"/>
        </w:rPr>
        <w:sectPr w:rsidR="00A71EEF">
          <w:pgSz w:w="11910" w:h="16850"/>
          <w:pgMar w:top="1220" w:right="0" w:bottom="1420" w:left="1260" w:header="0" w:footer="1239" w:gutter="0"/>
          <w:cols w:space="720"/>
        </w:sectPr>
      </w:pPr>
    </w:p>
    <w:p w14:paraId="431F038F" w14:textId="77777777" w:rsidR="00A71EEF" w:rsidRDefault="0081115D">
      <w:pPr>
        <w:pStyle w:val="4"/>
        <w:spacing w:before="37"/>
      </w:pPr>
      <w:r>
        <w:t xml:space="preserve">8 </w:t>
      </w:r>
      <w:r>
        <w:t>系统设备配置要求</w:t>
      </w:r>
      <w:r>
        <w:rPr>
          <w:w w:val="99"/>
        </w:rPr>
        <w:t xml:space="preserve"> </w:t>
      </w:r>
    </w:p>
    <w:p w14:paraId="17D86922" w14:textId="77777777" w:rsidR="00A71EEF" w:rsidRDefault="00A71EEF">
      <w:pPr>
        <w:pStyle w:val="a3"/>
        <w:spacing w:before="4"/>
        <w:rPr>
          <w:b/>
          <w:sz w:val="17"/>
        </w:rPr>
      </w:pPr>
    </w:p>
    <w:p w14:paraId="6445EB35" w14:textId="77777777" w:rsidR="00A71EEF" w:rsidRDefault="0081115D">
      <w:pPr>
        <w:pStyle w:val="a4"/>
        <w:numPr>
          <w:ilvl w:val="1"/>
          <w:numId w:val="25"/>
        </w:numPr>
        <w:tabs>
          <w:tab w:val="left" w:pos="1159"/>
        </w:tabs>
        <w:spacing w:before="1"/>
        <w:ind w:hanging="319"/>
        <w:rPr>
          <w:sz w:val="21"/>
        </w:rPr>
      </w:pPr>
      <w:r>
        <w:rPr>
          <w:spacing w:val="-3"/>
          <w:sz w:val="21"/>
        </w:rPr>
        <w:t>消防通信指挥中心系统设备配置</w:t>
      </w:r>
      <w:r>
        <w:rPr>
          <w:sz w:val="21"/>
        </w:rPr>
        <w:t xml:space="preserve"> </w:t>
      </w:r>
    </w:p>
    <w:p w14:paraId="695D3062" w14:textId="77777777" w:rsidR="00A71EEF" w:rsidRDefault="00A71EEF">
      <w:pPr>
        <w:pStyle w:val="a3"/>
        <w:spacing w:before="12"/>
        <w:rPr>
          <w:sz w:val="17"/>
        </w:rPr>
      </w:pPr>
    </w:p>
    <w:p w14:paraId="37162187" w14:textId="77777777" w:rsidR="00A71EEF" w:rsidRDefault="0081115D">
      <w:pPr>
        <w:pStyle w:val="a4"/>
        <w:numPr>
          <w:ilvl w:val="2"/>
          <w:numId w:val="25"/>
        </w:numPr>
        <w:tabs>
          <w:tab w:val="left" w:pos="1370"/>
        </w:tabs>
        <w:ind w:hanging="530"/>
        <w:rPr>
          <w:sz w:val="21"/>
        </w:rPr>
      </w:pPr>
      <w:r>
        <w:rPr>
          <w:spacing w:val="-10"/>
          <w:sz w:val="21"/>
        </w:rPr>
        <w:t>国家、省</w:t>
      </w:r>
      <w:r>
        <w:rPr>
          <w:sz w:val="21"/>
        </w:rPr>
        <w:t>（</w:t>
      </w:r>
      <w:r>
        <w:rPr>
          <w:spacing w:val="-2"/>
          <w:sz w:val="21"/>
        </w:rPr>
        <w:t>自治区</w:t>
      </w:r>
      <w:r>
        <w:rPr>
          <w:spacing w:val="-108"/>
          <w:sz w:val="21"/>
        </w:rPr>
        <w:t>）</w:t>
      </w:r>
      <w:r>
        <w:rPr>
          <w:spacing w:val="-11"/>
          <w:sz w:val="21"/>
        </w:rPr>
        <w:t>、地区</w:t>
      </w:r>
      <w:r>
        <w:rPr>
          <w:spacing w:val="-3"/>
          <w:sz w:val="21"/>
        </w:rPr>
        <w:t>（</w:t>
      </w:r>
      <w:r>
        <w:rPr>
          <w:spacing w:val="-7"/>
          <w:sz w:val="21"/>
        </w:rPr>
        <w:t>州、盟</w:t>
      </w:r>
      <w:r>
        <w:rPr>
          <w:spacing w:val="-15"/>
          <w:sz w:val="21"/>
        </w:rPr>
        <w:t>）</w:t>
      </w:r>
      <w:r>
        <w:rPr>
          <w:spacing w:val="-6"/>
          <w:sz w:val="21"/>
        </w:rPr>
        <w:t>消防通信指挥中心系统设备配置应符合表</w:t>
      </w:r>
      <w:r>
        <w:rPr>
          <w:spacing w:val="-6"/>
          <w:sz w:val="21"/>
        </w:rPr>
        <w:t xml:space="preserve"> </w:t>
      </w:r>
      <w:r>
        <w:rPr>
          <w:sz w:val="21"/>
        </w:rPr>
        <w:t>8.1.1</w:t>
      </w:r>
    </w:p>
    <w:p w14:paraId="67111088" w14:textId="77777777" w:rsidR="00A71EEF" w:rsidRDefault="00A71EEF">
      <w:pPr>
        <w:pStyle w:val="a3"/>
        <w:spacing w:before="2"/>
        <w:rPr>
          <w:sz w:val="18"/>
        </w:rPr>
      </w:pPr>
    </w:p>
    <w:p w14:paraId="14B41F1B" w14:textId="77777777" w:rsidR="00A71EEF" w:rsidRDefault="0081115D">
      <w:pPr>
        <w:pStyle w:val="a3"/>
        <w:ind w:left="418"/>
      </w:pPr>
      <w:r>
        <w:t>的规定。</w:t>
      </w:r>
      <w:r>
        <w:t xml:space="preserve"> </w:t>
      </w:r>
    </w:p>
    <w:p w14:paraId="5D19FF49" w14:textId="77777777" w:rsidR="00A71EEF" w:rsidRDefault="00A71EEF">
      <w:pPr>
        <w:pStyle w:val="a3"/>
        <w:spacing w:before="12"/>
        <w:rPr>
          <w:sz w:val="17"/>
        </w:rPr>
      </w:pPr>
    </w:p>
    <w:p w14:paraId="4963815D" w14:textId="77777777" w:rsidR="00A71EEF" w:rsidRDefault="0081115D">
      <w:pPr>
        <w:pStyle w:val="6"/>
        <w:ind w:right="914"/>
        <w:jc w:val="center"/>
      </w:pPr>
      <w:r>
        <w:rPr>
          <w:spacing w:val="-27"/>
        </w:rPr>
        <w:t>表</w:t>
      </w:r>
      <w:r>
        <w:rPr>
          <w:spacing w:val="-27"/>
        </w:rPr>
        <w:t xml:space="preserve"> </w:t>
      </w:r>
      <w:r>
        <w:t xml:space="preserve">8.1.1 </w:t>
      </w:r>
      <w:r>
        <w:t>国家、省（</w:t>
      </w:r>
      <w:r>
        <w:rPr>
          <w:spacing w:val="-2"/>
        </w:rPr>
        <w:t>自治区</w:t>
      </w:r>
      <w:r>
        <w:rPr>
          <w:spacing w:val="-106"/>
        </w:rPr>
        <w:t>）</w:t>
      </w:r>
      <w:r>
        <w:t>、地区（州、盟</w:t>
      </w:r>
      <w:r>
        <w:rPr>
          <w:spacing w:val="-3"/>
        </w:rPr>
        <w:t>）消防通信指挥中心系统设备</w:t>
      </w:r>
      <w:r>
        <w:rPr>
          <w:spacing w:val="-3"/>
          <w:w w:val="99"/>
        </w:rPr>
        <w:t xml:space="preserve"> </w:t>
      </w:r>
    </w:p>
    <w:p w14:paraId="0966B191" w14:textId="77777777" w:rsidR="00A71EEF" w:rsidRDefault="0081115D">
      <w:pPr>
        <w:pStyle w:val="a3"/>
        <w:spacing w:before="2"/>
        <w:rPr>
          <w:b/>
          <w:sz w:val="13"/>
        </w:rPr>
      </w:pPr>
      <w:r>
        <w:rPr>
          <w:noProof/>
        </w:rPr>
        <w:drawing>
          <wp:anchor distT="0" distB="0" distL="0" distR="0" simplePos="0" relativeHeight="251749888" behindDoc="0" locked="0" layoutInCell="1" allowOverlap="1" wp14:anchorId="3B64782F" wp14:editId="186375CC">
            <wp:simplePos x="0" y="0"/>
            <wp:positionH relativeFrom="page">
              <wp:posOffset>1447800</wp:posOffset>
            </wp:positionH>
            <wp:positionV relativeFrom="paragraph">
              <wp:posOffset>132326</wp:posOffset>
            </wp:positionV>
            <wp:extent cx="4970111" cy="4508754"/>
            <wp:effectExtent l="0" t="0" r="0" b="0"/>
            <wp:wrapTopAndBottom/>
            <wp:docPr id="819" name="image4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 name="image478.jpeg"/>
                    <pic:cNvPicPr/>
                  </pic:nvPicPr>
                  <pic:blipFill>
                    <a:blip r:embed="rId598" cstate="print"/>
                    <a:stretch>
                      <a:fillRect/>
                    </a:stretch>
                  </pic:blipFill>
                  <pic:spPr>
                    <a:xfrm>
                      <a:off x="0" y="0"/>
                      <a:ext cx="4970111" cy="4508754"/>
                    </a:xfrm>
                    <a:prstGeom prst="rect">
                      <a:avLst/>
                    </a:prstGeom>
                  </pic:spPr>
                </pic:pic>
              </a:graphicData>
            </a:graphic>
          </wp:anchor>
        </w:drawing>
      </w:r>
    </w:p>
    <w:p w14:paraId="43B6C6EA" w14:textId="77777777" w:rsidR="00A71EEF" w:rsidRDefault="00A71EEF">
      <w:pPr>
        <w:pStyle w:val="a3"/>
        <w:rPr>
          <w:b/>
          <w:sz w:val="20"/>
        </w:rPr>
      </w:pPr>
    </w:p>
    <w:p w14:paraId="55F9E489" w14:textId="77777777" w:rsidR="00A71EEF" w:rsidRDefault="00A71EEF">
      <w:pPr>
        <w:pStyle w:val="a3"/>
        <w:rPr>
          <w:b/>
          <w:sz w:val="20"/>
        </w:rPr>
      </w:pPr>
    </w:p>
    <w:p w14:paraId="6EC13A54" w14:textId="77777777" w:rsidR="00A71EEF" w:rsidRDefault="00A71EEF">
      <w:pPr>
        <w:pStyle w:val="a3"/>
        <w:rPr>
          <w:b/>
          <w:sz w:val="20"/>
        </w:rPr>
      </w:pPr>
    </w:p>
    <w:p w14:paraId="05E78B33" w14:textId="77777777" w:rsidR="00A71EEF" w:rsidRDefault="00A71EEF">
      <w:pPr>
        <w:pStyle w:val="a3"/>
        <w:rPr>
          <w:b/>
          <w:sz w:val="20"/>
        </w:rPr>
      </w:pPr>
    </w:p>
    <w:p w14:paraId="1ED3DF8C" w14:textId="77777777" w:rsidR="00A71EEF" w:rsidRDefault="00A71EEF">
      <w:pPr>
        <w:pStyle w:val="a3"/>
        <w:rPr>
          <w:b/>
          <w:sz w:val="20"/>
        </w:rPr>
      </w:pPr>
    </w:p>
    <w:p w14:paraId="4133C44B" w14:textId="77777777" w:rsidR="00A71EEF" w:rsidRDefault="00A71EEF">
      <w:pPr>
        <w:pStyle w:val="a3"/>
        <w:rPr>
          <w:b/>
          <w:sz w:val="20"/>
        </w:rPr>
      </w:pPr>
    </w:p>
    <w:p w14:paraId="79FE4131" w14:textId="77777777" w:rsidR="00A71EEF" w:rsidRDefault="00A71EEF">
      <w:pPr>
        <w:pStyle w:val="a3"/>
        <w:rPr>
          <w:b/>
          <w:sz w:val="20"/>
        </w:rPr>
      </w:pPr>
    </w:p>
    <w:p w14:paraId="2A17EDBD" w14:textId="77777777" w:rsidR="00A71EEF" w:rsidRDefault="00A71EEF">
      <w:pPr>
        <w:pStyle w:val="a3"/>
        <w:rPr>
          <w:b/>
          <w:sz w:val="20"/>
        </w:rPr>
      </w:pPr>
    </w:p>
    <w:p w14:paraId="730825BA" w14:textId="77777777" w:rsidR="00A71EEF" w:rsidRDefault="00A71EEF">
      <w:pPr>
        <w:pStyle w:val="a3"/>
        <w:rPr>
          <w:b/>
          <w:sz w:val="20"/>
        </w:rPr>
      </w:pPr>
    </w:p>
    <w:p w14:paraId="1A9C4802" w14:textId="77777777" w:rsidR="00A71EEF" w:rsidRDefault="00A71EEF">
      <w:pPr>
        <w:pStyle w:val="a3"/>
        <w:spacing w:before="8"/>
        <w:rPr>
          <w:b/>
          <w:sz w:val="26"/>
        </w:rPr>
      </w:pPr>
    </w:p>
    <w:p w14:paraId="78833CE1" w14:textId="77777777" w:rsidR="00A71EEF" w:rsidRDefault="0081115D">
      <w:pPr>
        <w:ind w:right="912"/>
        <w:jc w:val="center"/>
        <w:rPr>
          <w:b/>
          <w:sz w:val="21"/>
        </w:rPr>
      </w:pPr>
      <w:r>
        <w:rPr>
          <w:b/>
          <w:w w:val="99"/>
          <w:sz w:val="21"/>
        </w:rPr>
        <w:t xml:space="preserve"> </w:t>
      </w:r>
    </w:p>
    <w:p w14:paraId="5DC380DE" w14:textId="77777777" w:rsidR="00A71EEF" w:rsidRDefault="00A71EEF">
      <w:pPr>
        <w:jc w:val="center"/>
        <w:rPr>
          <w:sz w:val="21"/>
        </w:rPr>
        <w:sectPr w:rsidR="00A71EEF">
          <w:pgSz w:w="11910" w:h="16850"/>
          <w:pgMar w:top="1200" w:right="0" w:bottom="1420" w:left="1260" w:header="0" w:footer="1239" w:gutter="0"/>
          <w:cols w:space="720"/>
        </w:sectPr>
      </w:pPr>
    </w:p>
    <w:p w14:paraId="3033ABAD" w14:textId="77777777" w:rsidR="00A71EEF" w:rsidRDefault="0081115D">
      <w:pPr>
        <w:pStyle w:val="a3"/>
        <w:ind w:left="952"/>
        <w:rPr>
          <w:sz w:val="20"/>
        </w:rPr>
      </w:pPr>
      <w:r>
        <w:rPr>
          <w:noProof/>
          <w:sz w:val="20"/>
        </w:rPr>
        <w:drawing>
          <wp:inline distT="0" distB="0" distL="0" distR="0" wp14:anchorId="3AAADAF7" wp14:editId="479F16FD">
            <wp:extent cx="4796502" cy="5920740"/>
            <wp:effectExtent l="0" t="0" r="0" b="0"/>
            <wp:docPr id="821" name="image4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 name="image479.jpeg"/>
                    <pic:cNvPicPr/>
                  </pic:nvPicPr>
                  <pic:blipFill>
                    <a:blip r:embed="rId599" cstate="print"/>
                    <a:stretch>
                      <a:fillRect/>
                    </a:stretch>
                  </pic:blipFill>
                  <pic:spPr>
                    <a:xfrm>
                      <a:off x="0" y="0"/>
                      <a:ext cx="4796502" cy="5920740"/>
                    </a:xfrm>
                    <a:prstGeom prst="rect">
                      <a:avLst/>
                    </a:prstGeom>
                  </pic:spPr>
                </pic:pic>
              </a:graphicData>
            </a:graphic>
          </wp:inline>
        </w:drawing>
      </w:r>
    </w:p>
    <w:p w14:paraId="494DDC52" w14:textId="77777777" w:rsidR="00A71EEF" w:rsidRDefault="00A71EEF">
      <w:pPr>
        <w:pStyle w:val="a3"/>
        <w:spacing w:before="11"/>
        <w:rPr>
          <w:b/>
          <w:sz w:val="13"/>
        </w:rPr>
      </w:pPr>
    </w:p>
    <w:p w14:paraId="4B0A12C6" w14:textId="77777777" w:rsidR="00A71EEF" w:rsidRDefault="0081115D">
      <w:pPr>
        <w:pStyle w:val="a3"/>
        <w:spacing w:before="72"/>
        <w:ind w:left="418"/>
      </w:pPr>
      <w:r>
        <w:t xml:space="preserve"> </w:t>
      </w:r>
      <w:r>
        <w:t xml:space="preserve"> </w:t>
      </w:r>
      <w:r>
        <w:t xml:space="preserve"> </w:t>
      </w:r>
      <w:r>
        <w:t xml:space="preserve"> </w:t>
      </w:r>
      <w:r>
        <w:t>注：</w:t>
      </w:r>
      <w:r>
        <w:t>1 “</w:t>
      </w:r>
      <w:r>
        <w:t>配置</w:t>
      </w:r>
      <w:r>
        <w:t>”</w:t>
      </w:r>
      <w:r>
        <w:t>栏内标</w:t>
      </w:r>
      <w:r>
        <w:t>“</w:t>
      </w:r>
      <w:r>
        <w:t>选配</w:t>
      </w:r>
      <w:r>
        <w:t>”</w:t>
      </w:r>
      <w:r>
        <w:t>的表示可根据有关规定或实际需求选择配置；</w:t>
      </w:r>
      <w:r>
        <w:t xml:space="preserve"> </w:t>
      </w:r>
    </w:p>
    <w:p w14:paraId="5C7F1FBA" w14:textId="77777777" w:rsidR="00A71EEF" w:rsidRDefault="00A71EEF">
      <w:pPr>
        <w:pStyle w:val="a3"/>
        <w:spacing w:before="12"/>
        <w:rPr>
          <w:sz w:val="17"/>
        </w:rPr>
      </w:pPr>
    </w:p>
    <w:p w14:paraId="13F10EB2" w14:textId="77777777" w:rsidR="00A71EEF" w:rsidRDefault="0081115D">
      <w:pPr>
        <w:pStyle w:val="a3"/>
        <w:spacing w:line="446" w:lineRule="auto"/>
        <w:ind w:left="418" w:right="1407"/>
      </w:pPr>
      <w:r>
        <w:t xml:space="preserve"> </w:t>
      </w:r>
      <w:r>
        <w:t xml:space="preserve"> </w:t>
      </w:r>
      <w:r>
        <w:t xml:space="preserve"> </w:t>
      </w:r>
      <w:r>
        <w:t xml:space="preserve"> 2 </w:t>
      </w:r>
      <w:r>
        <w:t>数据库服务器、数据存储设备、程控交换机、网络安全设备、移动接入平台设备是消防业务信息系统共用设备；</w:t>
      </w:r>
      <w:r>
        <w:t xml:space="preserve"> </w:t>
      </w:r>
    </w:p>
    <w:p w14:paraId="21CD7A43" w14:textId="77777777" w:rsidR="00A71EEF" w:rsidRDefault="0081115D">
      <w:pPr>
        <w:pStyle w:val="a3"/>
        <w:spacing w:line="446" w:lineRule="auto"/>
        <w:ind w:left="840" w:right="2554" w:hanging="423"/>
        <w:rPr>
          <w:sz w:val="18"/>
        </w:rPr>
      </w:pPr>
      <w:r>
        <w:t xml:space="preserve"> </w:t>
      </w:r>
      <w:r>
        <w:t xml:space="preserve"> </w:t>
      </w:r>
      <w:r>
        <w:t xml:space="preserve"> </w:t>
      </w:r>
      <w:r>
        <w:t xml:space="preserve"> 3 </w:t>
      </w:r>
      <w:r>
        <w:t>外网交换机、服务器、数据存储设备可根据有关规定或实际需求选择配置。</w:t>
      </w:r>
      <w:r>
        <w:rPr>
          <w:b/>
        </w:rPr>
        <w:t xml:space="preserve">8.1.2 </w:t>
      </w:r>
      <w:r>
        <w:t>城市消防通信指挥中心系统设备配置应符合表</w:t>
      </w:r>
      <w:r>
        <w:t xml:space="preserve"> 8.1.2 </w:t>
      </w:r>
      <w:r>
        <w:t>的规定。</w:t>
      </w:r>
      <w:r>
        <w:rPr>
          <w:sz w:val="18"/>
        </w:rPr>
        <w:t xml:space="preserve"> </w:t>
      </w:r>
    </w:p>
    <w:p w14:paraId="62D82DA3" w14:textId="77777777" w:rsidR="00A71EEF" w:rsidRDefault="0081115D">
      <w:pPr>
        <w:pStyle w:val="6"/>
        <w:ind w:left="2888"/>
      </w:pPr>
      <w:r>
        <w:t>表</w:t>
      </w:r>
      <w:r>
        <w:t xml:space="preserve"> 8.1.2 </w:t>
      </w:r>
      <w:r>
        <w:t>城市消防通信指挥中心系统设备</w:t>
      </w:r>
      <w:r>
        <w:rPr>
          <w:w w:val="99"/>
        </w:rPr>
        <w:t xml:space="preserve"> </w:t>
      </w:r>
    </w:p>
    <w:p w14:paraId="1A5BA321" w14:textId="77777777" w:rsidR="00A71EEF" w:rsidRDefault="0081115D">
      <w:pPr>
        <w:pStyle w:val="a3"/>
        <w:spacing w:before="144"/>
        <w:ind w:right="912"/>
        <w:jc w:val="center"/>
      </w:pPr>
      <w:r>
        <w:t xml:space="preserve"> </w:t>
      </w:r>
    </w:p>
    <w:p w14:paraId="488DE575" w14:textId="77777777" w:rsidR="00A71EEF" w:rsidRDefault="00A71EEF">
      <w:pPr>
        <w:jc w:val="center"/>
        <w:sectPr w:rsidR="00A71EEF">
          <w:pgSz w:w="11910" w:h="16850"/>
          <w:pgMar w:top="1080" w:right="0" w:bottom="1420" w:left="1260" w:header="0" w:footer="1239" w:gutter="0"/>
          <w:cols w:space="720"/>
        </w:sectPr>
      </w:pPr>
    </w:p>
    <w:p w14:paraId="06A88363" w14:textId="77777777" w:rsidR="00A71EEF" w:rsidRDefault="00A71EEF">
      <w:pPr>
        <w:pStyle w:val="a3"/>
        <w:rPr>
          <w:sz w:val="20"/>
        </w:rPr>
      </w:pPr>
    </w:p>
    <w:p w14:paraId="09C52431" w14:textId="77777777" w:rsidR="00A71EEF" w:rsidRDefault="00A71EEF">
      <w:pPr>
        <w:pStyle w:val="a3"/>
        <w:rPr>
          <w:sz w:val="20"/>
        </w:rPr>
      </w:pPr>
    </w:p>
    <w:p w14:paraId="6B0A1A41" w14:textId="77777777" w:rsidR="00A71EEF" w:rsidRDefault="00A71EEF">
      <w:pPr>
        <w:pStyle w:val="a3"/>
        <w:rPr>
          <w:sz w:val="20"/>
        </w:rPr>
      </w:pPr>
    </w:p>
    <w:p w14:paraId="7D9E2120" w14:textId="77777777" w:rsidR="00A71EEF" w:rsidRDefault="00A71EEF">
      <w:pPr>
        <w:pStyle w:val="a3"/>
        <w:rPr>
          <w:sz w:val="20"/>
        </w:rPr>
      </w:pPr>
    </w:p>
    <w:p w14:paraId="3669D005" w14:textId="77777777" w:rsidR="00A71EEF" w:rsidRDefault="00A71EEF">
      <w:pPr>
        <w:pStyle w:val="a3"/>
        <w:rPr>
          <w:sz w:val="20"/>
        </w:rPr>
      </w:pPr>
    </w:p>
    <w:p w14:paraId="145E325A" w14:textId="77777777" w:rsidR="00A71EEF" w:rsidRDefault="00A71EEF">
      <w:pPr>
        <w:pStyle w:val="a3"/>
        <w:rPr>
          <w:sz w:val="20"/>
        </w:rPr>
      </w:pPr>
    </w:p>
    <w:p w14:paraId="7CBE54B3" w14:textId="77777777" w:rsidR="00A71EEF" w:rsidRDefault="00A71EEF">
      <w:pPr>
        <w:pStyle w:val="a3"/>
        <w:rPr>
          <w:sz w:val="20"/>
        </w:rPr>
      </w:pPr>
    </w:p>
    <w:p w14:paraId="2CC44519" w14:textId="77777777" w:rsidR="00A71EEF" w:rsidRDefault="00A71EEF">
      <w:pPr>
        <w:pStyle w:val="a3"/>
        <w:rPr>
          <w:sz w:val="20"/>
        </w:rPr>
      </w:pPr>
    </w:p>
    <w:p w14:paraId="009BA37B" w14:textId="77777777" w:rsidR="00A71EEF" w:rsidRDefault="00A71EEF">
      <w:pPr>
        <w:pStyle w:val="a3"/>
        <w:rPr>
          <w:sz w:val="20"/>
        </w:rPr>
      </w:pPr>
    </w:p>
    <w:p w14:paraId="6DDB5F87" w14:textId="77777777" w:rsidR="00A71EEF" w:rsidRDefault="00A71EEF">
      <w:pPr>
        <w:pStyle w:val="a3"/>
        <w:rPr>
          <w:sz w:val="20"/>
        </w:rPr>
      </w:pPr>
    </w:p>
    <w:p w14:paraId="13ECA094" w14:textId="77777777" w:rsidR="00A71EEF" w:rsidRDefault="00A71EEF">
      <w:pPr>
        <w:pStyle w:val="a3"/>
        <w:rPr>
          <w:sz w:val="20"/>
        </w:rPr>
      </w:pPr>
    </w:p>
    <w:p w14:paraId="77D90762" w14:textId="77777777" w:rsidR="00A71EEF" w:rsidRDefault="00A71EEF">
      <w:pPr>
        <w:pStyle w:val="a3"/>
        <w:rPr>
          <w:sz w:val="20"/>
        </w:rPr>
      </w:pPr>
    </w:p>
    <w:p w14:paraId="5BFD2E97" w14:textId="77777777" w:rsidR="00A71EEF" w:rsidRDefault="00A71EEF">
      <w:pPr>
        <w:pStyle w:val="a3"/>
        <w:rPr>
          <w:sz w:val="20"/>
        </w:rPr>
      </w:pPr>
    </w:p>
    <w:p w14:paraId="1AF13797" w14:textId="77777777" w:rsidR="00A71EEF" w:rsidRDefault="00A71EEF">
      <w:pPr>
        <w:pStyle w:val="a3"/>
        <w:rPr>
          <w:sz w:val="20"/>
        </w:rPr>
      </w:pPr>
    </w:p>
    <w:p w14:paraId="32EE6270" w14:textId="77777777" w:rsidR="00A71EEF" w:rsidRDefault="00A71EEF">
      <w:pPr>
        <w:pStyle w:val="a3"/>
        <w:rPr>
          <w:sz w:val="20"/>
        </w:rPr>
      </w:pPr>
    </w:p>
    <w:p w14:paraId="7E434092" w14:textId="77777777" w:rsidR="00A71EEF" w:rsidRDefault="00A71EEF">
      <w:pPr>
        <w:pStyle w:val="a3"/>
        <w:rPr>
          <w:sz w:val="20"/>
        </w:rPr>
      </w:pPr>
    </w:p>
    <w:p w14:paraId="751111BA" w14:textId="77777777" w:rsidR="00A71EEF" w:rsidRDefault="00A71EEF">
      <w:pPr>
        <w:pStyle w:val="a3"/>
        <w:rPr>
          <w:sz w:val="20"/>
        </w:rPr>
      </w:pPr>
    </w:p>
    <w:p w14:paraId="2AE213F8" w14:textId="77777777" w:rsidR="00A71EEF" w:rsidRDefault="00A71EEF">
      <w:pPr>
        <w:pStyle w:val="a3"/>
        <w:rPr>
          <w:sz w:val="20"/>
        </w:rPr>
      </w:pPr>
    </w:p>
    <w:p w14:paraId="3E24CD43" w14:textId="77777777" w:rsidR="00A71EEF" w:rsidRDefault="00A71EEF">
      <w:pPr>
        <w:pStyle w:val="a3"/>
        <w:rPr>
          <w:sz w:val="20"/>
        </w:rPr>
      </w:pPr>
    </w:p>
    <w:p w14:paraId="24E357B6" w14:textId="77777777" w:rsidR="00A71EEF" w:rsidRDefault="00A71EEF">
      <w:pPr>
        <w:pStyle w:val="a3"/>
        <w:rPr>
          <w:sz w:val="20"/>
        </w:rPr>
      </w:pPr>
    </w:p>
    <w:p w14:paraId="40A8A8D3" w14:textId="77777777" w:rsidR="00A71EEF" w:rsidRDefault="00A71EEF">
      <w:pPr>
        <w:pStyle w:val="a3"/>
        <w:rPr>
          <w:sz w:val="20"/>
        </w:rPr>
      </w:pPr>
    </w:p>
    <w:p w14:paraId="216179FA" w14:textId="77777777" w:rsidR="00A71EEF" w:rsidRDefault="00A71EEF">
      <w:pPr>
        <w:pStyle w:val="a3"/>
        <w:rPr>
          <w:sz w:val="20"/>
        </w:rPr>
      </w:pPr>
    </w:p>
    <w:p w14:paraId="33911EB3" w14:textId="77777777" w:rsidR="00A71EEF" w:rsidRDefault="00A71EEF">
      <w:pPr>
        <w:pStyle w:val="a3"/>
        <w:rPr>
          <w:sz w:val="20"/>
        </w:rPr>
      </w:pPr>
    </w:p>
    <w:p w14:paraId="61537950" w14:textId="77777777" w:rsidR="00A71EEF" w:rsidRDefault="00A71EEF">
      <w:pPr>
        <w:pStyle w:val="a3"/>
        <w:rPr>
          <w:sz w:val="20"/>
        </w:rPr>
      </w:pPr>
    </w:p>
    <w:p w14:paraId="5A61EC6B" w14:textId="77777777" w:rsidR="00A71EEF" w:rsidRDefault="00A71EEF">
      <w:pPr>
        <w:pStyle w:val="a3"/>
        <w:rPr>
          <w:sz w:val="20"/>
        </w:rPr>
      </w:pPr>
    </w:p>
    <w:p w14:paraId="79B7B676" w14:textId="77777777" w:rsidR="00A71EEF" w:rsidRDefault="00A71EEF">
      <w:pPr>
        <w:pStyle w:val="a3"/>
        <w:rPr>
          <w:sz w:val="20"/>
        </w:rPr>
      </w:pPr>
    </w:p>
    <w:p w14:paraId="17DFB4CC" w14:textId="77777777" w:rsidR="00A71EEF" w:rsidRDefault="00A71EEF">
      <w:pPr>
        <w:pStyle w:val="a3"/>
        <w:rPr>
          <w:sz w:val="20"/>
        </w:rPr>
      </w:pPr>
    </w:p>
    <w:p w14:paraId="7C27A72F" w14:textId="77777777" w:rsidR="00A71EEF" w:rsidRDefault="00A71EEF">
      <w:pPr>
        <w:pStyle w:val="a3"/>
        <w:rPr>
          <w:sz w:val="20"/>
        </w:rPr>
      </w:pPr>
    </w:p>
    <w:p w14:paraId="1845B54E" w14:textId="77777777" w:rsidR="00A71EEF" w:rsidRDefault="00A71EEF">
      <w:pPr>
        <w:pStyle w:val="a3"/>
        <w:rPr>
          <w:sz w:val="20"/>
        </w:rPr>
      </w:pPr>
    </w:p>
    <w:p w14:paraId="4549354C" w14:textId="77777777" w:rsidR="00A71EEF" w:rsidRDefault="00A71EEF">
      <w:pPr>
        <w:pStyle w:val="a3"/>
        <w:rPr>
          <w:sz w:val="20"/>
        </w:rPr>
      </w:pPr>
    </w:p>
    <w:p w14:paraId="248E74C9" w14:textId="77777777" w:rsidR="00A71EEF" w:rsidRDefault="00A71EEF">
      <w:pPr>
        <w:pStyle w:val="a3"/>
        <w:rPr>
          <w:sz w:val="20"/>
        </w:rPr>
      </w:pPr>
    </w:p>
    <w:p w14:paraId="08230423" w14:textId="77777777" w:rsidR="00A71EEF" w:rsidRDefault="00A71EEF">
      <w:pPr>
        <w:pStyle w:val="a3"/>
        <w:rPr>
          <w:sz w:val="20"/>
        </w:rPr>
      </w:pPr>
    </w:p>
    <w:p w14:paraId="42626045" w14:textId="77777777" w:rsidR="00A71EEF" w:rsidRDefault="00A71EEF">
      <w:pPr>
        <w:pStyle w:val="a3"/>
        <w:rPr>
          <w:sz w:val="20"/>
        </w:rPr>
      </w:pPr>
    </w:p>
    <w:p w14:paraId="531421B0" w14:textId="77777777" w:rsidR="00A71EEF" w:rsidRDefault="00A71EEF">
      <w:pPr>
        <w:pStyle w:val="a3"/>
        <w:rPr>
          <w:sz w:val="20"/>
        </w:rPr>
      </w:pPr>
    </w:p>
    <w:p w14:paraId="465D48FC" w14:textId="77777777" w:rsidR="00A71EEF" w:rsidRDefault="00A71EEF">
      <w:pPr>
        <w:pStyle w:val="a3"/>
        <w:rPr>
          <w:sz w:val="20"/>
        </w:rPr>
      </w:pPr>
    </w:p>
    <w:p w14:paraId="03C5C28B" w14:textId="77777777" w:rsidR="00A71EEF" w:rsidRDefault="00A71EEF">
      <w:pPr>
        <w:pStyle w:val="a3"/>
        <w:rPr>
          <w:sz w:val="20"/>
        </w:rPr>
      </w:pPr>
    </w:p>
    <w:p w14:paraId="54C4FD8D" w14:textId="77777777" w:rsidR="00A71EEF" w:rsidRDefault="0081115D">
      <w:pPr>
        <w:pStyle w:val="a3"/>
        <w:spacing w:before="72"/>
        <w:ind w:right="2336"/>
        <w:jc w:val="right"/>
      </w:pPr>
      <w:r>
        <w:rPr>
          <w:noProof/>
        </w:rPr>
        <w:drawing>
          <wp:anchor distT="0" distB="0" distL="0" distR="0" simplePos="0" relativeHeight="251783680" behindDoc="0" locked="0" layoutInCell="1" allowOverlap="1" wp14:anchorId="3D41B8E8" wp14:editId="1D5F83AF">
            <wp:simplePos x="0" y="0"/>
            <wp:positionH relativeFrom="page">
              <wp:posOffset>1703323</wp:posOffset>
            </wp:positionH>
            <wp:positionV relativeFrom="paragraph">
              <wp:posOffset>-5859907</wp:posOffset>
            </wp:positionV>
            <wp:extent cx="4305300" cy="6019040"/>
            <wp:effectExtent l="0" t="0" r="0" b="0"/>
            <wp:wrapNone/>
            <wp:docPr id="823" name="image4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 name="image480.jpeg"/>
                    <pic:cNvPicPr/>
                  </pic:nvPicPr>
                  <pic:blipFill>
                    <a:blip r:embed="rId600" cstate="print"/>
                    <a:stretch>
                      <a:fillRect/>
                    </a:stretch>
                  </pic:blipFill>
                  <pic:spPr>
                    <a:xfrm>
                      <a:off x="0" y="0"/>
                      <a:ext cx="4305300" cy="6019040"/>
                    </a:xfrm>
                    <a:prstGeom prst="rect">
                      <a:avLst/>
                    </a:prstGeom>
                  </pic:spPr>
                </pic:pic>
              </a:graphicData>
            </a:graphic>
          </wp:anchor>
        </w:drawing>
      </w:r>
      <w:r>
        <w:t xml:space="preserve"> </w:t>
      </w:r>
    </w:p>
    <w:p w14:paraId="243FE6C3" w14:textId="77777777" w:rsidR="00A71EEF" w:rsidRDefault="00A71EEF">
      <w:pPr>
        <w:jc w:val="right"/>
        <w:sectPr w:rsidR="00A71EEF">
          <w:pgSz w:w="11910" w:h="16850"/>
          <w:pgMar w:top="1080" w:right="0" w:bottom="1420" w:left="1260" w:header="0" w:footer="1239" w:gutter="0"/>
          <w:cols w:space="720"/>
        </w:sectPr>
      </w:pPr>
    </w:p>
    <w:p w14:paraId="428486D4" w14:textId="77777777" w:rsidR="00A71EEF" w:rsidRDefault="0081115D">
      <w:pPr>
        <w:pStyle w:val="a3"/>
        <w:ind w:left="1302"/>
        <w:rPr>
          <w:sz w:val="20"/>
        </w:rPr>
      </w:pPr>
      <w:r>
        <w:rPr>
          <w:noProof/>
          <w:sz w:val="20"/>
        </w:rPr>
        <w:drawing>
          <wp:inline distT="0" distB="0" distL="0" distR="0" wp14:anchorId="744B9D86" wp14:editId="13E70C6D">
            <wp:extent cx="4324713" cy="4533900"/>
            <wp:effectExtent l="0" t="0" r="0" b="0"/>
            <wp:docPr id="825" name="image4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 name="image481.jpeg"/>
                    <pic:cNvPicPr/>
                  </pic:nvPicPr>
                  <pic:blipFill>
                    <a:blip r:embed="rId601" cstate="print"/>
                    <a:stretch>
                      <a:fillRect/>
                    </a:stretch>
                  </pic:blipFill>
                  <pic:spPr>
                    <a:xfrm>
                      <a:off x="0" y="0"/>
                      <a:ext cx="4324713" cy="4533900"/>
                    </a:xfrm>
                    <a:prstGeom prst="rect">
                      <a:avLst/>
                    </a:prstGeom>
                  </pic:spPr>
                </pic:pic>
              </a:graphicData>
            </a:graphic>
          </wp:inline>
        </w:drawing>
      </w:r>
    </w:p>
    <w:p w14:paraId="7135517F" w14:textId="77777777" w:rsidR="00A71EEF" w:rsidRDefault="00A71EEF">
      <w:pPr>
        <w:pStyle w:val="a3"/>
        <w:spacing w:before="10"/>
        <w:rPr>
          <w:sz w:val="13"/>
        </w:rPr>
      </w:pPr>
    </w:p>
    <w:p w14:paraId="25847737" w14:textId="77777777" w:rsidR="00A71EEF" w:rsidRDefault="0081115D">
      <w:pPr>
        <w:pStyle w:val="a3"/>
        <w:spacing w:before="72" w:line="446" w:lineRule="auto"/>
        <w:ind w:left="418" w:right="1433" w:firstLine="419"/>
      </w:pPr>
      <w:r>
        <w:rPr>
          <w:spacing w:val="-2"/>
        </w:rPr>
        <w:t>注：</w:t>
      </w:r>
      <w:r>
        <w:rPr>
          <w:spacing w:val="-4"/>
        </w:rPr>
        <w:t>1</w:t>
      </w:r>
      <w:r>
        <w:rPr>
          <w:spacing w:val="-6"/>
        </w:rPr>
        <w:t>.</w:t>
      </w:r>
      <w:r>
        <w:rPr>
          <w:spacing w:val="-6"/>
        </w:rPr>
        <w:t>直辖市、省会市及国家计划单列市应按</w:t>
      </w:r>
      <w:r>
        <w:rPr>
          <w:spacing w:val="-6"/>
        </w:rPr>
        <w:t>Ⅰ</w:t>
      </w:r>
      <w:r>
        <w:rPr>
          <w:spacing w:val="-6"/>
        </w:rPr>
        <w:t>类标准配置；地级市应按</w:t>
      </w:r>
      <w:r>
        <w:rPr>
          <w:spacing w:val="-6"/>
        </w:rPr>
        <w:t>Ⅱ</w:t>
      </w:r>
      <w:r>
        <w:rPr>
          <w:spacing w:val="-6"/>
        </w:rPr>
        <w:t>类标准配置；县</w:t>
      </w:r>
      <w:r>
        <w:rPr>
          <w:spacing w:val="-4"/>
        </w:rPr>
        <w:t>级市应按</w:t>
      </w:r>
      <w:r>
        <w:rPr>
          <w:spacing w:val="-4"/>
        </w:rPr>
        <w:t>Ⅲ</w:t>
      </w:r>
      <w:r>
        <w:rPr>
          <w:spacing w:val="-4"/>
        </w:rPr>
        <w:t>类标准配置；</w:t>
      </w:r>
      <w:r>
        <w:t xml:space="preserve"> </w:t>
      </w:r>
    </w:p>
    <w:p w14:paraId="65DE390B" w14:textId="77777777" w:rsidR="00A71EEF" w:rsidRDefault="0081115D">
      <w:pPr>
        <w:pStyle w:val="a3"/>
        <w:ind w:left="838"/>
      </w:pPr>
      <w:r>
        <w:t xml:space="preserve"> </w:t>
      </w:r>
      <w:r>
        <w:t xml:space="preserve"> </w:t>
      </w:r>
      <w:r>
        <w:t xml:space="preserve"> </w:t>
      </w:r>
      <w:r>
        <w:t xml:space="preserve"> 2.“</w:t>
      </w:r>
      <w:r>
        <w:t>配置</w:t>
      </w:r>
      <w:r>
        <w:t>”</w:t>
      </w:r>
      <w:r>
        <w:t>栏内标</w:t>
      </w:r>
      <w:r>
        <w:t>“</w:t>
      </w:r>
      <w:r>
        <w:t>选配</w:t>
      </w:r>
      <w:r>
        <w:t>”</w:t>
      </w:r>
      <w:r>
        <w:t>的表示可根据有关规定或实际需求选择配置；</w:t>
      </w:r>
      <w:r>
        <w:t xml:space="preserve"> </w:t>
      </w:r>
    </w:p>
    <w:p w14:paraId="193F4074" w14:textId="77777777" w:rsidR="00A71EEF" w:rsidRDefault="00A71EEF">
      <w:pPr>
        <w:pStyle w:val="a3"/>
        <w:spacing w:before="12"/>
        <w:rPr>
          <w:sz w:val="17"/>
        </w:rPr>
      </w:pPr>
    </w:p>
    <w:p w14:paraId="2A98535F" w14:textId="77777777" w:rsidR="00A71EEF" w:rsidRDefault="0081115D">
      <w:pPr>
        <w:pStyle w:val="a3"/>
        <w:spacing w:line="446" w:lineRule="auto"/>
        <w:ind w:left="418" w:right="1433" w:firstLine="419"/>
      </w:pPr>
      <w:r>
        <w:t xml:space="preserve"> </w:t>
      </w:r>
      <w:r>
        <w:t xml:space="preserve"> </w:t>
      </w:r>
      <w:r>
        <w:t xml:space="preserve"> </w:t>
      </w:r>
      <w:r>
        <w:t xml:space="preserve"> 3</w:t>
      </w:r>
      <w:r>
        <w:rPr>
          <w:spacing w:val="-9"/>
        </w:rPr>
        <w:t xml:space="preserve">. </w:t>
      </w:r>
      <w:r>
        <w:rPr>
          <w:spacing w:val="-9"/>
        </w:rPr>
        <w:t>数据库服务器、数据存储设备、程控交换机、网络安全设备是消防业务信息系统共用</w:t>
      </w:r>
      <w:r>
        <w:rPr>
          <w:spacing w:val="-8"/>
        </w:rPr>
        <w:t>设备。</w:t>
      </w:r>
      <w:r>
        <w:t xml:space="preserve"> </w:t>
      </w:r>
    </w:p>
    <w:p w14:paraId="30C323F4" w14:textId="77777777" w:rsidR="00A71EEF" w:rsidRDefault="0081115D">
      <w:pPr>
        <w:pStyle w:val="a4"/>
        <w:numPr>
          <w:ilvl w:val="1"/>
          <w:numId w:val="25"/>
        </w:numPr>
        <w:tabs>
          <w:tab w:val="left" w:pos="1159"/>
        </w:tabs>
        <w:spacing w:before="1"/>
        <w:ind w:hanging="319"/>
        <w:rPr>
          <w:sz w:val="21"/>
        </w:rPr>
      </w:pPr>
      <w:r>
        <w:rPr>
          <w:spacing w:val="-3"/>
          <w:sz w:val="21"/>
        </w:rPr>
        <w:t>移动消防指挥中心系统设备配置</w:t>
      </w:r>
      <w:r>
        <w:rPr>
          <w:sz w:val="21"/>
        </w:rPr>
        <w:t xml:space="preserve"> </w:t>
      </w:r>
    </w:p>
    <w:p w14:paraId="49470335" w14:textId="77777777" w:rsidR="00A71EEF" w:rsidRDefault="0081115D">
      <w:pPr>
        <w:pStyle w:val="a4"/>
        <w:numPr>
          <w:ilvl w:val="2"/>
          <w:numId w:val="25"/>
        </w:numPr>
        <w:tabs>
          <w:tab w:val="left" w:pos="1371"/>
        </w:tabs>
        <w:spacing w:line="500" w:lineRule="atLeast"/>
        <w:ind w:left="2359" w:right="2340" w:hanging="1520"/>
        <w:rPr>
          <w:b/>
          <w:sz w:val="21"/>
        </w:rPr>
      </w:pPr>
      <w:r>
        <w:rPr>
          <w:spacing w:val="-4"/>
          <w:sz w:val="21"/>
        </w:rPr>
        <w:t>以车辆为载体的移动消防指挥中心系统设备配置应符合表</w:t>
      </w:r>
      <w:r>
        <w:rPr>
          <w:spacing w:val="-4"/>
          <w:sz w:val="21"/>
        </w:rPr>
        <w:t xml:space="preserve"> </w:t>
      </w:r>
      <w:r>
        <w:rPr>
          <w:sz w:val="21"/>
        </w:rPr>
        <w:t>8.2.1</w:t>
      </w:r>
      <w:r>
        <w:rPr>
          <w:spacing w:val="-8"/>
          <w:sz w:val="21"/>
        </w:rPr>
        <w:t xml:space="preserve"> </w:t>
      </w:r>
      <w:r>
        <w:rPr>
          <w:spacing w:val="-8"/>
          <w:sz w:val="21"/>
        </w:rPr>
        <w:t>的规定。</w:t>
      </w:r>
      <w:r>
        <w:rPr>
          <w:b/>
          <w:sz w:val="21"/>
        </w:rPr>
        <w:t>表</w:t>
      </w:r>
      <w:r>
        <w:rPr>
          <w:b/>
          <w:spacing w:val="-53"/>
          <w:sz w:val="21"/>
        </w:rPr>
        <w:t xml:space="preserve"> </w:t>
      </w:r>
      <w:r>
        <w:rPr>
          <w:b/>
          <w:sz w:val="21"/>
        </w:rPr>
        <w:t>8.2.1</w:t>
      </w:r>
      <w:r>
        <w:rPr>
          <w:b/>
          <w:spacing w:val="-3"/>
          <w:sz w:val="21"/>
        </w:rPr>
        <w:t xml:space="preserve"> </w:t>
      </w:r>
      <w:r>
        <w:rPr>
          <w:b/>
          <w:spacing w:val="-3"/>
          <w:sz w:val="21"/>
        </w:rPr>
        <w:t>以车辆为载体的移动消防指挥中心系统设备</w:t>
      </w:r>
      <w:r>
        <w:rPr>
          <w:b/>
          <w:spacing w:val="-3"/>
          <w:w w:val="99"/>
          <w:sz w:val="21"/>
        </w:rPr>
        <w:t xml:space="preserve"> </w:t>
      </w:r>
    </w:p>
    <w:p w14:paraId="4452F19A" w14:textId="77777777" w:rsidR="00A71EEF" w:rsidRDefault="0081115D">
      <w:pPr>
        <w:pStyle w:val="a3"/>
        <w:spacing w:before="144"/>
        <w:ind w:left="4812"/>
      </w:pPr>
      <w:r>
        <w:t xml:space="preserve"> </w:t>
      </w:r>
    </w:p>
    <w:p w14:paraId="3D0B899F" w14:textId="77777777" w:rsidR="00A71EEF" w:rsidRDefault="00A71EEF">
      <w:pPr>
        <w:sectPr w:rsidR="00A71EEF">
          <w:pgSz w:w="11910" w:h="16850"/>
          <w:pgMar w:top="1080" w:right="0" w:bottom="1420" w:left="1260" w:header="0" w:footer="1239" w:gutter="0"/>
          <w:cols w:space="720"/>
        </w:sectPr>
      </w:pPr>
    </w:p>
    <w:p w14:paraId="7EAB6915" w14:textId="77777777" w:rsidR="00A71EEF" w:rsidRDefault="00A71EEF">
      <w:pPr>
        <w:pStyle w:val="a3"/>
        <w:rPr>
          <w:sz w:val="20"/>
        </w:rPr>
      </w:pPr>
    </w:p>
    <w:p w14:paraId="10EB400B" w14:textId="77777777" w:rsidR="00A71EEF" w:rsidRDefault="00A71EEF">
      <w:pPr>
        <w:pStyle w:val="a3"/>
        <w:rPr>
          <w:sz w:val="20"/>
        </w:rPr>
      </w:pPr>
    </w:p>
    <w:p w14:paraId="2C04B1C0" w14:textId="77777777" w:rsidR="00A71EEF" w:rsidRDefault="00A71EEF">
      <w:pPr>
        <w:pStyle w:val="a3"/>
        <w:rPr>
          <w:sz w:val="20"/>
        </w:rPr>
      </w:pPr>
    </w:p>
    <w:p w14:paraId="4B23DEBA" w14:textId="77777777" w:rsidR="00A71EEF" w:rsidRDefault="00A71EEF">
      <w:pPr>
        <w:pStyle w:val="a3"/>
        <w:rPr>
          <w:sz w:val="20"/>
        </w:rPr>
      </w:pPr>
    </w:p>
    <w:p w14:paraId="3A246674" w14:textId="77777777" w:rsidR="00A71EEF" w:rsidRDefault="00A71EEF">
      <w:pPr>
        <w:pStyle w:val="a3"/>
        <w:rPr>
          <w:sz w:val="20"/>
        </w:rPr>
      </w:pPr>
    </w:p>
    <w:p w14:paraId="217B44A9" w14:textId="77777777" w:rsidR="00A71EEF" w:rsidRDefault="00A71EEF">
      <w:pPr>
        <w:pStyle w:val="a3"/>
        <w:rPr>
          <w:sz w:val="20"/>
        </w:rPr>
      </w:pPr>
    </w:p>
    <w:p w14:paraId="1105DD0A" w14:textId="77777777" w:rsidR="00A71EEF" w:rsidRDefault="00A71EEF">
      <w:pPr>
        <w:pStyle w:val="a3"/>
        <w:rPr>
          <w:sz w:val="20"/>
        </w:rPr>
      </w:pPr>
    </w:p>
    <w:p w14:paraId="28FD93B6" w14:textId="77777777" w:rsidR="00A71EEF" w:rsidRDefault="00A71EEF">
      <w:pPr>
        <w:pStyle w:val="a3"/>
        <w:rPr>
          <w:sz w:val="20"/>
        </w:rPr>
      </w:pPr>
    </w:p>
    <w:p w14:paraId="2318871C" w14:textId="77777777" w:rsidR="00A71EEF" w:rsidRDefault="00A71EEF">
      <w:pPr>
        <w:pStyle w:val="a3"/>
        <w:rPr>
          <w:sz w:val="20"/>
        </w:rPr>
      </w:pPr>
    </w:p>
    <w:p w14:paraId="7F03F66A" w14:textId="77777777" w:rsidR="00A71EEF" w:rsidRDefault="00A71EEF">
      <w:pPr>
        <w:pStyle w:val="a3"/>
        <w:rPr>
          <w:sz w:val="20"/>
        </w:rPr>
      </w:pPr>
    </w:p>
    <w:p w14:paraId="56113804" w14:textId="77777777" w:rsidR="00A71EEF" w:rsidRDefault="00A71EEF">
      <w:pPr>
        <w:pStyle w:val="a3"/>
        <w:rPr>
          <w:sz w:val="20"/>
        </w:rPr>
      </w:pPr>
    </w:p>
    <w:p w14:paraId="6D9EE6DD" w14:textId="77777777" w:rsidR="00A71EEF" w:rsidRDefault="00A71EEF">
      <w:pPr>
        <w:pStyle w:val="a3"/>
        <w:rPr>
          <w:sz w:val="20"/>
        </w:rPr>
      </w:pPr>
    </w:p>
    <w:p w14:paraId="040B9E54" w14:textId="77777777" w:rsidR="00A71EEF" w:rsidRDefault="00A71EEF">
      <w:pPr>
        <w:pStyle w:val="a3"/>
        <w:rPr>
          <w:sz w:val="20"/>
        </w:rPr>
      </w:pPr>
    </w:p>
    <w:p w14:paraId="4CC5C1AD" w14:textId="77777777" w:rsidR="00A71EEF" w:rsidRDefault="00A71EEF">
      <w:pPr>
        <w:pStyle w:val="a3"/>
        <w:rPr>
          <w:sz w:val="20"/>
        </w:rPr>
      </w:pPr>
    </w:p>
    <w:p w14:paraId="59A3D66C" w14:textId="77777777" w:rsidR="00A71EEF" w:rsidRDefault="00A71EEF">
      <w:pPr>
        <w:pStyle w:val="a3"/>
        <w:rPr>
          <w:sz w:val="20"/>
        </w:rPr>
      </w:pPr>
    </w:p>
    <w:p w14:paraId="7D65DF7F" w14:textId="77777777" w:rsidR="00A71EEF" w:rsidRDefault="00A71EEF">
      <w:pPr>
        <w:pStyle w:val="a3"/>
        <w:rPr>
          <w:sz w:val="20"/>
        </w:rPr>
      </w:pPr>
    </w:p>
    <w:p w14:paraId="483C0B6A" w14:textId="77777777" w:rsidR="00A71EEF" w:rsidRDefault="00A71EEF">
      <w:pPr>
        <w:pStyle w:val="a3"/>
        <w:rPr>
          <w:sz w:val="20"/>
        </w:rPr>
      </w:pPr>
    </w:p>
    <w:p w14:paraId="428EBA26" w14:textId="77777777" w:rsidR="00A71EEF" w:rsidRDefault="00A71EEF">
      <w:pPr>
        <w:pStyle w:val="a3"/>
        <w:rPr>
          <w:sz w:val="20"/>
        </w:rPr>
      </w:pPr>
    </w:p>
    <w:p w14:paraId="78881912" w14:textId="77777777" w:rsidR="00A71EEF" w:rsidRDefault="00A71EEF">
      <w:pPr>
        <w:pStyle w:val="a3"/>
        <w:rPr>
          <w:sz w:val="20"/>
        </w:rPr>
      </w:pPr>
    </w:p>
    <w:p w14:paraId="1836BC81" w14:textId="77777777" w:rsidR="00A71EEF" w:rsidRDefault="00A71EEF">
      <w:pPr>
        <w:pStyle w:val="a3"/>
        <w:rPr>
          <w:sz w:val="20"/>
        </w:rPr>
      </w:pPr>
    </w:p>
    <w:p w14:paraId="06EA692C" w14:textId="77777777" w:rsidR="00A71EEF" w:rsidRDefault="00A71EEF">
      <w:pPr>
        <w:pStyle w:val="a3"/>
        <w:rPr>
          <w:sz w:val="20"/>
        </w:rPr>
      </w:pPr>
    </w:p>
    <w:p w14:paraId="69D17B53" w14:textId="77777777" w:rsidR="00A71EEF" w:rsidRDefault="00A71EEF">
      <w:pPr>
        <w:pStyle w:val="a3"/>
        <w:rPr>
          <w:sz w:val="20"/>
        </w:rPr>
      </w:pPr>
    </w:p>
    <w:p w14:paraId="2474FDCA" w14:textId="77777777" w:rsidR="00A71EEF" w:rsidRDefault="00A71EEF">
      <w:pPr>
        <w:pStyle w:val="a3"/>
        <w:rPr>
          <w:sz w:val="20"/>
        </w:rPr>
      </w:pPr>
    </w:p>
    <w:p w14:paraId="3738F1AB" w14:textId="77777777" w:rsidR="00A71EEF" w:rsidRDefault="00A71EEF">
      <w:pPr>
        <w:pStyle w:val="a3"/>
        <w:rPr>
          <w:sz w:val="20"/>
        </w:rPr>
      </w:pPr>
    </w:p>
    <w:p w14:paraId="1E9C0B4F" w14:textId="77777777" w:rsidR="00A71EEF" w:rsidRDefault="00A71EEF">
      <w:pPr>
        <w:pStyle w:val="a3"/>
        <w:rPr>
          <w:sz w:val="20"/>
        </w:rPr>
      </w:pPr>
    </w:p>
    <w:p w14:paraId="636A9589" w14:textId="77777777" w:rsidR="00A71EEF" w:rsidRDefault="00A71EEF">
      <w:pPr>
        <w:pStyle w:val="a3"/>
        <w:rPr>
          <w:sz w:val="20"/>
        </w:rPr>
      </w:pPr>
    </w:p>
    <w:p w14:paraId="0AF79FAF" w14:textId="77777777" w:rsidR="00A71EEF" w:rsidRDefault="00A71EEF">
      <w:pPr>
        <w:pStyle w:val="a3"/>
        <w:rPr>
          <w:sz w:val="20"/>
        </w:rPr>
      </w:pPr>
    </w:p>
    <w:p w14:paraId="58B5BA2A" w14:textId="77777777" w:rsidR="00A71EEF" w:rsidRDefault="00A71EEF">
      <w:pPr>
        <w:pStyle w:val="a3"/>
        <w:rPr>
          <w:sz w:val="20"/>
        </w:rPr>
      </w:pPr>
    </w:p>
    <w:p w14:paraId="4EB3C2EF" w14:textId="77777777" w:rsidR="00A71EEF" w:rsidRDefault="00A71EEF">
      <w:pPr>
        <w:pStyle w:val="a3"/>
        <w:rPr>
          <w:sz w:val="20"/>
        </w:rPr>
      </w:pPr>
    </w:p>
    <w:p w14:paraId="614A3752" w14:textId="77777777" w:rsidR="00A71EEF" w:rsidRDefault="00A71EEF">
      <w:pPr>
        <w:pStyle w:val="a3"/>
        <w:rPr>
          <w:sz w:val="20"/>
        </w:rPr>
      </w:pPr>
    </w:p>
    <w:p w14:paraId="77391F39" w14:textId="77777777" w:rsidR="00A71EEF" w:rsidRDefault="00A71EEF">
      <w:pPr>
        <w:pStyle w:val="a3"/>
        <w:rPr>
          <w:sz w:val="20"/>
        </w:rPr>
      </w:pPr>
    </w:p>
    <w:p w14:paraId="656FD720" w14:textId="77777777" w:rsidR="00A71EEF" w:rsidRDefault="00A71EEF">
      <w:pPr>
        <w:pStyle w:val="a3"/>
        <w:rPr>
          <w:sz w:val="20"/>
        </w:rPr>
      </w:pPr>
    </w:p>
    <w:p w14:paraId="0E9CC590" w14:textId="77777777" w:rsidR="00A71EEF" w:rsidRDefault="00A71EEF">
      <w:pPr>
        <w:pStyle w:val="a3"/>
        <w:rPr>
          <w:sz w:val="20"/>
        </w:rPr>
      </w:pPr>
    </w:p>
    <w:p w14:paraId="2F53DE1C" w14:textId="77777777" w:rsidR="00A71EEF" w:rsidRDefault="00A71EEF">
      <w:pPr>
        <w:pStyle w:val="a3"/>
        <w:rPr>
          <w:sz w:val="20"/>
        </w:rPr>
      </w:pPr>
    </w:p>
    <w:p w14:paraId="3F7CA5DF" w14:textId="77777777" w:rsidR="00A71EEF" w:rsidRDefault="00A71EEF">
      <w:pPr>
        <w:pStyle w:val="a3"/>
        <w:rPr>
          <w:sz w:val="20"/>
        </w:rPr>
      </w:pPr>
    </w:p>
    <w:p w14:paraId="2BF443B7" w14:textId="77777777" w:rsidR="00A71EEF" w:rsidRDefault="00A71EEF">
      <w:pPr>
        <w:pStyle w:val="a3"/>
        <w:rPr>
          <w:sz w:val="20"/>
        </w:rPr>
      </w:pPr>
    </w:p>
    <w:p w14:paraId="54D685F1" w14:textId="77777777" w:rsidR="00A71EEF" w:rsidRDefault="00A71EEF">
      <w:pPr>
        <w:pStyle w:val="a3"/>
        <w:rPr>
          <w:sz w:val="20"/>
        </w:rPr>
      </w:pPr>
    </w:p>
    <w:p w14:paraId="44DD4CD0" w14:textId="77777777" w:rsidR="00A71EEF" w:rsidRDefault="00A71EEF">
      <w:pPr>
        <w:pStyle w:val="a3"/>
        <w:rPr>
          <w:sz w:val="20"/>
        </w:rPr>
      </w:pPr>
    </w:p>
    <w:p w14:paraId="78D88E5E" w14:textId="77777777" w:rsidR="00A71EEF" w:rsidRDefault="00A71EEF">
      <w:pPr>
        <w:pStyle w:val="a3"/>
        <w:spacing w:before="12"/>
        <w:rPr>
          <w:sz w:val="20"/>
        </w:rPr>
      </w:pPr>
    </w:p>
    <w:p w14:paraId="26DA9EF1" w14:textId="77777777" w:rsidR="00A71EEF" w:rsidRDefault="0081115D">
      <w:pPr>
        <w:pStyle w:val="a3"/>
        <w:spacing w:before="72"/>
        <w:ind w:right="2304"/>
        <w:jc w:val="right"/>
      </w:pPr>
      <w:r>
        <w:rPr>
          <w:noProof/>
        </w:rPr>
        <w:drawing>
          <wp:anchor distT="0" distB="0" distL="0" distR="0" simplePos="0" relativeHeight="251784704" behindDoc="0" locked="0" layoutInCell="1" allowOverlap="1" wp14:anchorId="21D4770F" wp14:editId="6EE83C89">
            <wp:simplePos x="0" y="0"/>
            <wp:positionH relativeFrom="page">
              <wp:posOffset>1684273</wp:posOffset>
            </wp:positionH>
            <wp:positionV relativeFrom="paragraph">
              <wp:posOffset>-6355588</wp:posOffset>
            </wp:positionV>
            <wp:extent cx="4333875" cy="6533388"/>
            <wp:effectExtent l="0" t="0" r="0" b="0"/>
            <wp:wrapNone/>
            <wp:docPr id="827" name="image4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 name="image482.jpeg"/>
                    <pic:cNvPicPr/>
                  </pic:nvPicPr>
                  <pic:blipFill>
                    <a:blip r:embed="rId602" cstate="print"/>
                    <a:stretch>
                      <a:fillRect/>
                    </a:stretch>
                  </pic:blipFill>
                  <pic:spPr>
                    <a:xfrm>
                      <a:off x="0" y="0"/>
                      <a:ext cx="4333875" cy="6533388"/>
                    </a:xfrm>
                    <a:prstGeom prst="rect">
                      <a:avLst/>
                    </a:prstGeom>
                  </pic:spPr>
                </pic:pic>
              </a:graphicData>
            </a:graphic>
          </wp:anchor>
        </w:drawing>
      </w:r>
      <w:r>
        <w:t xml:space="preserve"> </w:t>
      </w:r>
    </w:p>
    <w:p w14:paraId="2C104185" w14:textId="77777777" w:rsidR="00A71EEF" w:rsidRDefault="00A71EEF">
      <w:pPr>
        <w:jc w:val="right"/>
        <w:sectPr w:rsidR="00A71EEF">
          <w:pgSz w:w="11910" w:h="16850"/>
          <w:pgMar w:top="1080" w:right="0" w:bottom="1420" w:left="1260" w:header="0" w:footer="1239" w:gutter="0"/>
          <w:cols w:space="720"/>
        </w:sectPr>
      </w:pPr>
    </w:p>
    <w:p w14:paraId="06AE471D" w14:textId="77777777" w:rsidR="00A71EEF" w:rsidRDefault="00A71EEF">
      <w:pPr>
        <w:pStyle w:val="a3"/>
        <w:rPr>
          <w:sz w:val="20"/>
        </w:rPr>
      </w:pPr>
    </w:p>
    <w:p w14:paraId="66EAD510" w14:textId="77777777" w:rsidR="00A71EEF" w:rsidRDefault="00A71EEF">
      <w:pPr>
        <w:pStyle w:val="a3"/>
        <w:rPr>
          <w:sz w:val="20"/>
        </w:rPr>
      </w:pPr>
    </w:p>
    <w:p w14:paraId="59FCA31F" w14:textId="77777777" w:rsidR="00A71EEF" w:rsidRDefault="00A71EEF">
      <w:pPr>
        <w:pStyle w:val="a3"/>
        <w:rPr>
          <w:sz w:val="20"/>
        </w:rPr>
      </w:pPr>
    </w:p>
    <w:p w14:paraId="4C0AD412" w14:textId="77777777" w:rsidR="00A71EEF" w:rsidRDefault="00A71EEF">
      <w:pPr>
        <w:pStyle w:val="a3"/>
        <w:rPr>
          <w:sz w:val="20"/>
        </w:rPr>
      </w:pPr>
    </w:p>
    <w:p w14:paraId="5676A163" w14:textId="77777777" w:rsidR="00A71EEF" w:rsidRDefault="00A71EEF">
      <w:pPr>
        <w:pStyle w:val="a3"/>
        <w:rPr>
          <w:sz w:val="20"/>
        </w:rPr>
      </w:pPr>
    </w:p>
    <w:p w14:paraId="201A2D8E" w14:textId="77777777" w:rsidR="00A71EEF" w:rsidRDefault="00A71EEF">
      <w:pPr>
        <w:pStyle w:val="a3"/>
        <w:rPr>
          <w:sz w:val="20"/>
        </w:rPr>
      </w:pPr>
    </w:p>
    <w:p w14:paraId="27526B37" w14:textId="77777777" w:rsidR="00A71EEF" w:rsidRDefault="00A71EEF">
      <w:pPr>
        <w:pStyle w:val="a3"/>
        <w:rPr>
          <w:sz w:val="20"/>
        </w:rPr>
      </w:pPr>
    </w:p>
    <w:p w14:paraId="1FE7F386" w14:textId="77777777" w:rsidR="00A71EEF" w:rsidRDefault="00A71EEF">
      <w:pPr>
        <w:pStyle w:val="a3"/>
        <w:rPr>
          <w:sz w:val="20"/>
        </w:rPr>
      </w:pPr>
    </w:p>
    <w:p w14:paraId="20762DA7" w14:textId="77777777" w:rsidR="00A71EEF" w:rsidRDefault="00A71EEF">
      <w:pPr>
        <w:pStyle w:val="a3"/>
        <w:rPr>
          <w:sz w:val="20"/>
        </w:rPr>
      </w:pPr>
    </w:p>
    <w:p w14:paraId="70C22E91" w14:textId="77777777" w:rsidR="00A71EEF" w:rsidRDefault="00A71EEF">
      <w:pPr>
        <w:pStyle w:val="a3"/>
        <w:rPr>
          <w:sz w:val="20"/>
        </w:rPr>
      </w:pPr>
    </w:p>
    <w:p w14:paraId="648154C7" w14:textId="77777777" w:rsidR="00A71EEF" w:rsidRDefault="00A71EEF">
      <w:pPr>
        <w:pStyle w:val="a3"/>
        <w:rPr>
          <w:sz w:val="20"/>
        </w:rPr>
      </w:pPr>
    </w:p>
    <w:p w14:paraId="509E49E8" w14:textId="77777777" w:rsidR="00A71EEF" w:rsidRDefault="00A71EEF">
      <w:pPr>
        <w:pStyle w:val="a3"/>
        <w:rPr>
          <w:sz w:val="20"/>
        </w:rPr>
      </w:pPr>
    </w:p>
    <w:p w14:paraId="63862D89" w14:textId="77777777" w:rsidR="00A71EEF" w:rsidRDefault="00A71EEF">
      <w:pPr>
        <w:pStyle w:val="a3"/>
        <w:rPr>
          <w:sz w:val="20"/>
        </w:rPr>
      </w:pPr>
    </w:p>
    <w:p w14:paraId="2D8DBBF5" w14:textId="77777777" w:rsidR="00A71EEF" w:rsidRDefault="00A71EEF">
      <w:pPr>
        <w:pStyle w:val="a3"/>
        <w:rPr>
          <w:sz w:val="20"/>
        </w:rPr>
      </w:pPr>
    </w:p>
    <w:p w14:paraId="31708204" w14:textId="77777777" w:rsidR="00A71EEF" w:rsidRDefault="00A71EEF">
      <w:pPr>
        <w:pStyle w:val="a3"/>
        <w:rPr>
          <w:sz w:val="20"/>
        </w:rPr>
      </w:pPr>
    </w:p>
    <w:p w14:paraId="4438AF64" w14:textId="77777777" w:rsidR="00A71EEF" w:rsidRDefault="00A71EEF">
      <w:pPr>
        <w:pStyle w:val="a3"/>
        <w:rPr>
          <w:sz w:val="20"/>
        </w:rPr>
      </w:pPr>
    </w:p>
    <w:p w14:paraId="4DAD644C" w14:textId="77777777" w:rsidR="00A71EEF" w:rsidRDefault="00A71EEF">
      <w:pPr>
        <w:pStyle w:val="a3"/>
        <w:rPr>
          <w:sz w:val="20"/>
        </w:rPr>
      </w:pPr>
    </w:p>
    <w:p w14:paraId="0FED90B4" w14:textId="77777777" w:rsidR="00A71EEF" w:rsidRDefault="00A71EEF">
      <w:pPr>
        <w:pStyle w:val="a3"/>
        <w:rPr>
          <w:sz w:val="20"/>
        </w:rPr>
      </w:pPr>
    </w:p>
    <w:p w14:paraId="27D4FBBF" w14:textId="77777777" w:rsidR="00A71EEF" w:rsidRDefault="00A71EEF">
      <w:pPr>
        <w:pStyle w:val="a3"/>
        <w:rPr>
          <w:sz w:val="20"/>
        </w:rPr>
      </w:pPr>
    </w:p>
    <w:p w14:paraId="30CA8443" w14:textId="77777777" w:rsidR="00A71EEF" w:rsidRDefault="00A71EEF">
      <w:pPr>
        <w:pStyle w:val="a3"/>
        <w:rPr>
          <w:sz w:val="20"/>
        </w:rPr>
      </w:pPr>
    </w:p>
    <w:p w14:paraId="6440C8D1" w14:textId="77777777" w:rsidR="00A71EEF" w:rsidRDefault="00A71EEF">
      <w:pPr>
        <w:pStyle w:val="a3"/>
        <w:rPr>
          <w:sz w:val="20"/>
        </w:rPr>
      </w:pPr>
    </w:p>
    <w:p w14:paraId="2464E8E6" w14:textId="77777777" w:rsidR="00A71EEF" w:rsidRDefault="00A71EEF">
      <w:pPr>
        <w:pStyle w:val="a3"/>
        <w:rPr>
          <w:sz w:val="20"/>
        </w:rPr>
      </w:pPr>
    </w:p>
    <w:p w14:paraId="4E477368" w14:textId="77777777" w:rsidR="00A71EEF" w:rsidRDefault="00A71EEF">
      <w:pPr>
        <w:pStyle w:val="a3"/>
        <w:rPr>
          <w:sz w:val="20"/>
        </w:rPr>
      </w:pPr>
    </w:p>
    <w:p w14:paraId="26232AEF" w14:textId="77777777" w:rsidR="00A71EEF" w:rsidRDefault="00A71EEF">
      <w:pPr>
        <w:pStyle w:val="a3"/>
        <w:rPr>
          <w:sz w:val="20"/>
        </w:rPr>
      </w:pPr>
    </w:p>
    <w:p w14:paraId="2E32D79C" w14:textId="77777777" w:rsidR="00A71EEF" w:rsidRDefault="00A71EEF">
      <w:pPr>
        <w:pStyle w:val="a3"/>
        <w:rPr>
          <w:sz w:val="20"/>
        </w:rPr>
      </w:pPr>
    </w:p>
    <w:p w14:paraId="6F864BC5" w14:textId="77777777" w:rsidR="00A71EEF" w:rsidRDefault="00A71EEF">
      <w:pPr>
        <w:pStyle w:val="a3"/>
        <w:rPr>
          <w:sz w:val="20"/>
        </w:rPr>
      </w:pPr>
    </w:p>
    <w:p w14:paraId="0E15A514" w14:textId="77777777" w:rsidR="00A71EEF" w:rsidRDefault="00A71EEF">
      <w:pPr>
        <w:pStyle w:val="a3"/>
        <w:rPr>
          <w:sz w:val="20"/>
        </w:rPr>
      </w:pPr>
    </w:p>
    <w:p w14:paraId="6F6AA1F1" w14:textId="77777777" w:rsidR="00A71EEF" w:rsidRDefault="00A71EEF">
      <w:pPr>
        <w:pStyle w:val="a3"/>
        <w:rPr>
          <w:sz w:val="20"/>
        </w:rPr>
      </w:pPr>
    </w:p>
    <w:p w14:paraId="68D384CC" w14:textId="77777777" w:rsidR="00A71EEF" w:rsidRDefault="00A71EEF">
      <w:pPr>
        <w:pStyle w:val="a3"/>
        <w:rPr>
          <w:sz w:val="20"/>
        </w:rPr>
      </w:pPr>
    </w:p>
    <w:p w14:paraId="159A75D5" w14:textId="77777777" w:rsidR="00A71EEF" w:rsidRDefault="00A71EEF">
      <w:pPr>
        <w:pStyle w:val="a3"/>
        <w:rPr>
          <w:sz w:val="20"/>
        </w:rPr>
      </w:pPr>
    </w:p>
    <w:p w14:paraId="61A7192F" w14:textId="77777777" w:rsidR="00A71EEF" w:rsidRDefault="00A71EEF">
      <w:pPr>
        <w:pStyle w:val="a3"/>
        <w:rPr>
          <w:sz w:val="20"/>
        </w:rPr>
      </w:pPr>
    </w:p>
    <w:p w14:paraId="627E11BD" w14:textId="77777777" w:rsidR="00A71EEF" w:rsidRDefault="00A71EEF">
      <w:pPr>
        <w:pStyle w:val="a3"/>
        <w:rPr>
          <w:sz w:val="20"/>
        </w:rPr>
      </w:pPr>
    </w:p>
    <w:p w14:paraId="197B6E8F" w14:textId="77777777" w:rsidR="00A71EEF" w:rsidRDefault="00A71EEF">
      <w:pPr>
        <w:pStyle w:val="a3"/>
        <w:rPr>
          <w:sz w:val="20"/>
        </w:rPr>
      </w:pPr>
    </w:p>
    <w:p w14:paraId="2F4D10D5" w14:textId="77777777" w:rsidR="00A71EEF" w:rsidRDefault="00A71EEF">
      <w:pPr>
        <w:pStyle w:val="a3"/>
        <w:rPr>
          <w:sz w:val="20"/>
        </w:rPr>
      </w:pPr>
    </w:p>
    <w:p w14:paraId="3A8B8DA7" w14:textId="77777777" w:rsidR="00A71EEF" w:rsidRDefault="00A71EEF">
      <w:pPr>
        <w:pStyle w:val="a3"/>
        <w:rPr>
          <w:sz w:val="20"/>
        </w:rPr>
      </w:pPr>
    </w:p>
    <w:p w14:paraId="16C60415" w14:textId="77777777" w:rsidR="00A71EEF" w:rsidRDefault="00A71EEF">
      <w:pPr>
        <w:pStyle w:val="a3"/>
        <w:rPr>
          <w:sz w:val="20"/>
        </w:rPr>
      </w:pPr>
    </w:p>
    <w:p w14:paraId="459746E3" w14:textId="77777777" w:rsidR="00A71EEF" w:rsidRDefault="00A71EEF">
      <w:pPr>
        <w:pStyle w:val="a3"/>
        <w:rPr>
          <w:sz w:val="20"/>
        </w:rPr>
      </w:pPr>
    </w:p>
    <w:p w14:paraId="57874137" w14:textId="77777777" w:rsidR="00A71EEF" w:rsidRDefault="00A71EEF">
      <w:pPr>
        <w:pStyle w:val="a3"/>
        <w:rPr>
          <w:sz w:val="20"/>
        </w:rPr>
      </w:pPr>
    </w:p>
    <w:p w14:paraId="7ADDB125" w14:textId="77777777" w:rsidR="00A71EEF" w:rsidRDefault="00A71EEF">
      <w:pPr>
        <w:pStyle w:val="a3"/>
        <w:spacing w:before="9"/>
        <w:rPr>
          <w:sz w:val="18"/>
        </w:rPr>
      </w:pPr>
    </w:p>
    <w:p w14:paraId="25E1D44D" w14:textId="77777777" w:rsidR="00A71EEF" w:rsidRDefault="0081115D">
      <w:pPr>
        <w:pStyle w:val="a3"/>
        <w:spacing w:before="71"/>
        <w:ind w:right="2290"/>
        <w:jc w:val="right"/>
      </w:pPr>
      <w:r>
        <w:rPr>
          <w:noProof/>
        </w:rPr>
        <w:drawing>
          <wp:anchor distT="0" distB="0" distL="0" distR="0" simplePos="0" relativeHeight="251785728" behindDoc="0" locked="0" layoutInCell="1" allowOverlap="1" wp14:anchorId="5E67358D" wp14:editId="387E3DB6">
            <wp:simplePos x="0" y="0"/>
            <wp:positionH relativeFrom="page">
              <wp:posOffset>1674748</wp:posOffset>
            </wp:positionH>
            <wp:positionV relativeFrom="paragraph">
              <wp:posOffset>-6337934</wp:posOffset>
            </wp:positionV>
            <wp:extent cx="4343400" cy="6476620"/>
            <wp:effectExtent l="0" t="0" r="0" b="0"/>
            <wp:wrapNone/>
            <wp:docPr id="829" name="image4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 name="image483.jpeg"/>
                    <pic:cNvPicPr/>
                  </pic:nvPicPr>
                  <pic:blipFill>
                    <a:blip r:embed="rId603" cstate="print"/>
                    <a:stretch>
                      <a:fillRect/>
                    </a:stretch>
                  </pic:blipFill>
                  <pic:spPr>
                    <a:xfrm>
                      <a:off x="0" y="0"/>
                      <a:ext cx="4343400" cy="6476620"/>
                    </a:xfrm>
                    <a:prstGeom prst="rect">
                      <a:avLst/>
                    </a:prstGeom>
                  </pic:spPr>
                </pic:pic>
              </a:graphicData>
            </a:graphic>
          </wp:anchor>
        </w:drawing>
      </w:r>
      <w:r>
        <w:t xml:space="preserve"> </w:t>
      </w:r>
    </w:p>
    <w:p w14:paraId="639A4B30" w14:textId="77777777" w:rsidR="00A71EEF" w:rsidRDefault="00A71EEF">
      <w:pPr>
        <w:jc w:val="right"/>
        <w:sectPr w:rsidR="00A71EEF">
          <w:footerReference w:type="default" r:id="rId604"/>
          <w:pgSz w:w="11910" w:h="16850"/>
          <w:pgMar w:top="1080" w:right="0" w:bottom="1420" w:left="1260" w:header="0" w:footer="1239" w:gutter="0"/>
          <w:pgNumType w:start="1670"/>
          <w:cols w:space="720"/>
        </w:sectPr>
      </w:pPr>
    </w:p>
    <w:p w14:paraId="314359A3" w14:textId="77777777" w:rsidR="00A71EEF" w:rsidRDefault="0081115D">
      <w:pPr>
        <w:pStyle w:val="a3"/>
        <w:ind w:left="389"/>
        <w:rPr>
          <w:sz w:val="20"/>
        </w:rPr>
      </w:pPr>
      <w:r>
        <w:rPr>
          <w:sz w:val="20"/>
        </w:rPr>
      </w:r>
      <w:r>
        <w:rPr>
          <w:sz w:val="20"/>
        </w:rPr>
        <w:pict w14:anchorId="7D469F07">
          <v:group id="_x0000_s1060" style="width:442.4pt;height:591.1pt;mso-position-horizontal-relative:char;mso-position-vertical-relative:line" coordsize="8848,11822">
            <v:rect id="_x0000_s1063" style="position:absolute;top:9930;width:8848;height:1892" stroked="f"/>
            <v:shape id="_x0000_s1062" type="#_x0000_t75" style="position:absolute;left:1018;width:6810;height:9918">
              <v:imagedata r:id="rId605" o:title=""/>
            </v:shape>
            <v:shape id="_x0000_s1061" type="#_x0000_t75" style="position:absolute;left:883;top:9929;width:6855;height:1823">
              <v:imagedata r:id="rId606" o:title=""/>
            </v:shape>
            <w10:anchorlock/>
          </v:group>
        </w:pict>
      </w:r>
    </w:p>
    <w:p w14:paraId="7FD29CF3" w14:textId="77777777" w:rsidR="00A71EEF" w:rsidRDefault="00A71EEF">
      <w:pPr>
        <w:pStyle w:val="a3"/>
        <w:spacing w:before="1"/>
        <w:rPr>
          <w:sz w:val="6"/>
        </w:rPr>
      </w:pPr>
    </w:p>
    <w:p w14:paraId="4DDC1535" w14:textId="77777777" w:rsidR="00A71EEF" w:rsidRDefault="0081115D">
      <w:pPr>
        <w:pStyle w:val="a3"/>
        <w:spacing w:before="71" w:line="446" w:lineRule="auto"/>
        <w:ind w:left="418" w:right="1433" w:firstLine="419"/>
      </w:pPr>
      <w:r>
        <w:rPr>
          <w:spacing w:val="-2"/>
        </w:rPr>
        <w:t>注：</w:t>
      </w:r>
      <w:r>
        <w:rPr>
          <w:spacing w:val="-3"/>
        </w:rPr>
        <w:t>1</w:t>
      </w:r>
      <w:r>
        <w:rPr>
          <w:spacing w:val="3"/>
        </w:rPr>
        <w:t xml:space="preserve">. </w:t>
      </w:r>
      <w:r>
        <w:rPr>
          <w:spacing w:val="3"/>
        </w:rPr>
        <w:t>省</w:t>
      </w:r>
      <w:r>
        <w:rPr>
          <w:spacing w:val="-3"/>
        </w:rPr>
        <w:t>（</w:t>
      </w:r>
      <w:r>
        <w:rPr>
          <w:spacing w:val="-1"/>
        </w:rPr>
        <w:t>自治区</w:t>
      </w:r>
      <w:r>
        <w:rPr>
          <w:spacing w:val="-106"/>
        </w:rPr>
        <w:t>）</w:t>
      </w:r>
      <w:r>
        <w:rPr>
          <w:spacing w:val="-7"/>
        </w:rPr>
        <w:t>、直辖市、省会市及国家计划单列市应按</w:t>
      </w:r>
      <w:r>
        <w:rPr>
          <w:spacing w:val="-7"/>
        </w:rPr>
        <w:t xml:space="preserve"> </w:t>
      </w:r>
      <w:r>
        <w:t>I</w:t>
      </w:r>
      <w:r>
        <w:rPr>
          <w:spacing w:val="-9"/>
        </w:rPr>
        <w:t xml:space="preserve"> </w:t>
      </w:r>
      <w:r>
        <w:rPr>
          <w:spacing w:val="-9"/>
        </w:rPr>
        <w:t>类标准配置；地区、地级市</w:t>
      </w:r>
      <w:r>
        <w:rPr>
          <w:spacing w:val="-5"/>
        </w:rPr>
        <w:t>应按</w:t>
      </w:r>
      <w:r>
        <w:rPr>
          <w:spacing w:val="-5"/>
        </w:rPr>
        <w:t>Ⅱ</w:t>
      </w:r>
      <w:r>
        <w:rPr>
          <w:spacing w:val="-5"/>
        </w:rPr>
        <w:t>类标准配置；县级市应按</w:t>
      </w:r>
      <w:r>
        <w:rPr>
          <w:spacing w:val="-5"/>
        </w:rPr>
        <w:t>Ⅲ</w:t>
      </w:r>
      <w:r>
        <w:rPr>
          <w:spacing w:val="-5"/>
        </w:rPr>
        <w:t>类标准配置；</w:t>
      </w:r>
      <w:r>
        <w:t xml:space="preserve"> </w:t>
      </w:r>
    </w:p>
    <w:p w14:paraId="0F2660B5" w14:textId="77777777" w:rsidR="00A71EEF" w:rsidRDefault="0081115D">
      <w:pPr>
        <w:pStyle w:val="a3"/>
        <w:spacing w:before="1"/>
        <w:ind w:left="838"/>
        <w:rPr>
          <w:sz w:val="18"/>
        </w:rPr>
      </w:pPr>
      <w:r>
        <w:t xml:space="preserve"> </w:t>
      </w:r>
      <w:r>
        <w:t xml:space="preserve"> </w:t>
      </w:r>
      <w:r>
        <w:t xml:space="preserve"> </w:t>
      </w:r>
      <w:r>
        <w:t xml:space="preserve"> 2.“</w:t>
      </w:r>
      <w:r>
        <w:t>配置</w:t>
      </w:r>
      <w:r>
        <w:t>”</w:t>
      </w:r>
      <w:r>
        <w:t>栏内标</w:t>
      </w:r>
      <w:r>
        <w:t>“</w:t>
      </w:r>
      <w:r>
        <w:t>选配</w:t>
      </w:r>
      <w:r>
        <w:t>”</w:t>
      </w:r>
      <w:r>
        <w:t>的表示可根据有</w:t>
      </w:r>
      <w:r>
        <w:t xml:space="preserve"> 0 </w:t>
      </w:r>
      <w:r>
        <w:t>关规定或实际需求选择配置。</w:t>
      </w:r>
      <w:r>
        <w:rPr>
          <w:sz w:val="18"/>
        </w:rPr>
        <w:t xml:space="preserve"> </w:t>
      </w:r>
    </w:p>
    <w:p w14:paraId="4E58BA0C" w14:textId="77777777" w:rsidR="00A71EEF" w:rsidRDefault="00A71EEF">
      <w:pPr>
        <w:pStyle w:val="a3"/>
        <w:spacing w:before="12"/>
        <w:rPr>
          <w:sz w:val="17"/>
        </w:rPr>
      </w:pPr>
    </w:p>
    <w:p w14:paraId="3CE64456" w14:textId="77777777" w:rsidR="00A71EEF" w:rsidRDefault="0081115D">
      <w:pPr>
        <w:pStyle w:val="a4"/>
        <w:numPr>
          <w:ilvl w:val="1"/>
          <w:numId w:val="25"/>
        </w:numPr>
        <w:tabs>
          <w:tab w:val="left" w:pos="1159"/>
        </w:tabs>
        <w:ind w:hanging="319"/>
        <w:rPr>
          <w:sz w:val="21"/>
        </w:rPr>
      </w:pPr>
      <w:r>
        <w:rPr>
          <w:spacing w:val="-3"/>
          <w:sz w:val="21"/>
        </w:rPr>
        <w:t>消防站系统设备配置</w:t>
      </w:r>
      <w:r>
        <w:rPr>
          <w:sz w:val="21"/>
        </w:rPr>
        <w:t xml:space="preserve"> </w:t>
      </w:r>
    </w:p>
    <w:p w14:paraId="68D8793F" w14:textId="77777777" w:rsidR="00A71EEF" w:rsidRDefault="00A71EEF">
      <w:pPr>
        <w:rPr>
          <w:sz w:val="21"/>
        </w:rPr>
        <w:sectPr w:rsidR="00A71EEF">
          <w:pgSz w:w="11910" w:h="16850"/>
          <w:pgMar w:top="1080" w:right="0" w:bottom="1420" w:left="1260" w:header="0" w:footer="1239" w:gutter="0"/>
          <w:cols w:space="720"/>
        </w:sectPr>
      </w:pPr>
    </w:p>
    <w:p w14:paraId="53B05634" w14:textId="77777777" w:rsidR="00A71EEF" w:rsidRDefault="0081115D">
      <w:pPr>
        <w:pStyle w:val="a4"/>
        <w:numPr>
          <w:ilvl w:val="2"/>
          <w:numId w:val="25"/>
        </w:numPr>
        <w:tabs>
          <w:tab w:val="left" w:pos="1371"/>
        </w:tabs>
        <w:spacing w:before="47"/>
        <w:ind w:left="1370" w:hanging="531"/>
        <w:rPr>
          <w:b/>
          <w:sz w:val="21"/>
        </w:rPr>
      </w:pPr>
      <w:r>
        <w:rPr>
          <w:spacing w:val="-7"/>
          <w:sz w:val="21"/>
        </w:rPr>
        <w:t>消防站系统设备配置应符合表</w:t>
      </w:r>
      <w:r>
        <w:rPr>
          <w:spacing w:val="-7"/>
          <w:sz w:val="21"/>
        </w:rPr>
        <w:t xml:space="preserve"> </w:t>
      </w:r>
      <w:r>
        <w:rPr>
          <w:sz w:val="21"/>
        </w:rPr>
        <w:t>8.3.1</w:t>
      </w:r>
      <w:r>
        <w:rPr>
          <w:spacing w:val="-12"/>
          <w:sz w:val="21"/>
        </w:rPr>
        <w:t xml:space="preserve"> </w:t>
      </w:r>
      <w:r>
        <w:rPr>
          <w:spacing w:val="-12"/>
          <w:sz w:val="21"/>
        </w:rPr>
        <w:t>的规定。</w:t>
      </w:r>
      <w:r>
        <w:rPr>
          <w:b/>
          <w:spacing w:val="-12"/>
          <w:w w:val="99"/>
          <w:sz w:val="21"/>
        </w:rPr>
        <w:t xml:space="preserve"> </w:t>
      </w:r>
    </w:p>
    <w:p w14:paraId="2EE7ED72" w14:textId="77777777" w:rsidR="00A71EEF" w:rsidRDefault="00A71EEF">
      <w:pPr>
        <w:pStyle w:val="a3"/>
        <w:rPr>
          <w:b/>
          <w:sz w:val="18"/>
        </w:rPr>
      </w:pPr>
    </w:p>
    <w:p w14:paraId="128CFF1D" w14:textId="77777777" w:rsidR="00A71EEF" w:rsidRDefault="0081115D">
      <w:pPr>
        <w:pStyle w:val="6"/>
        <w:ind w:right="914"/>
        <w:jc w:val="center"/>
      </w:pPr>
      <w:r>
        <w:t>表</w:t>
      </w:r>
      <w:r>
        <w:t xml:space="preserve"> 8.3.1 </w:t>
      </w:r>
      <w:r>
        <w:t>消防站系统设备</w:t>
      </w:r>
      <w:r>
        <w:rPr>
          <w:w w:val="99"/>
        </w:rPr>
        <w:t xml:space="preserve"> </w:t>
      </w:r>
    </w:p>
    <w:p w14:paraId="4623C710" w14:textId="77777777" w:rsidR="00A71EEF" w:rsidRDefault="0081115D">
      <w:pPr>
        <w:pStyle w:val="a3"/>
        <w:spacing w:before="144" w:after="3"/>
        <w:ind w:right="912"/>
        <w:jc w:val="center"/>
      </w:pPr>
      <w:r>
        <w:t xml:space="preserve"> </w:t>
      </w:r>
    </w:p>
    <w:p w14:paraId="65988E3F" w14:textId="77777777" w:rsidR="00A71EEF" w:rsidRDefault="0081115D">
      <w:pPr>
        <w:pStyle w:val="a3"/>
        <w:ind w:left="389"/>
        <w:rPr>
          <w:sz w:val="20"/>
        </w:rPr>
      </w:pPr>
      <w:r>
        <w:rPr>
          <w:sz w:val="20"/>
        </w:rPr>
      </w:r>
      <w:r>
        <w:rPr>
          <w:sz w:val="20"/>
        </w:rPr>
        <w:pict w14:anchorId="25604A08">
          <v:group id="_x0000_s1054" style="width:442.4pt;height:490.55pt;mso-position-horizontal-relative:char;mso-position-vertical-relative:line" coordsize="8848,9811">
            <v:rect id="_x0000_s1059" style="position:absolute;top:5941;width:8848;height:3870" stroked="f"/>
            <v:shape id="_x0000_s1058" type="#_x0000_t75" style="position:absolute;left:1003;width:6840;height:5940">
              <v:imagedata r:id="rId607" o:title=""/>
            </v:shape>
            <v:shape id="_x0000_s1057" type="#_x0000_t75" style="position:absolute;left:898;top:5940;width:6840;height:3795">
              <v:imagedata r:id="rId608" o:title=""/>
            </v:shape>
            <v:shape id="_x0000_s1056" type="#_x0000_t202" style="position:absolute;left:7844;top:5759;width:126;height:212" filled="f" stroked="f">
              <v:textbox inset="0,0,0,0">
                <w:txbxContent>
                  <w:p w14:paraId="589618E9" w14:textId="77777777" w:rsidR="00A71EEF" w:rsidRDefault="0081115D">
                    <w:pPr>
                      <w:spacing w:line="211" w:lineRule="exact"/>
                      <w:rPr>
                        <w:sz w:val="21"/>
                      </w:rPr>
                    </w:pPr>
                    <w:r>
                      <w:rPr>
                        <w:sz w:val="21"/>
                      </w:rPr>
                      <w:t xml:space="preserve"> </w:t>
                    </w:r>
                  </w:p>
                </w:txbxContent>
              </v:textbox>
            </v:shape>
            <v:shape id="_x0000_s1055" type="#_x0000_t202" style="position:absolute;left:7739;top:9569;width:322;height:212" filled="f" stroked="f">
              <v:textbox inset="0,0,0,0">
                <w:txbxContent>
                  <w:p w14:paraId="593C260B" w14:textId="77777777" w:rsidR="00A71EEF" w:rsidRDefault="0081115D">
                    <w:pPr>
                      <w:spacing w:before="1" w:line="210" w:lineRule="exact"/>
                      <w:rPr>
                        <w:sz w:val="18"/>
                      </w:rPr>
                    </w:pPr>
                    <w:r>
                      <w:rPr>
                        <w:sz w:val="21"/>
                      </w:rPr>
                      <w:t xml:space="preserve"> </w:t>
                    </w:r>
                    <w:r>
                      <w:rPr>
                        <w:sz w:val="21"/>
                      </w:rPr>
                      <w:t xml:space="preserve"> </w:t>
                    </w:r>
                    <w:r>
                      <w:rPr>
                        <w:sz w:val="18"/>
                      </w:rPr>
                      <w:t xml:space="preserve"> </w:t>
                    </w:r>
                  </w:p>
                </w:txbxContent>
              </v:textbox>
            </v:shape>
            <w10:anchorlock/>
          </v:group>
        </w:pict>
      </w:r>
    </w:p>
    <w:p w14:paraId="2895F422" w14:textId="77777777" w:rsidR="00A71EEF" w:rsidRDefault="00A71EEF">
      <w:pPr>
        <w:pStyle w:val="a3"/>
        <w:spacing w:before="3"/>
        <w:rPr>
          <w:sz w:val="6"/>
        </w:rPr>
      </w:pPr>
    </w:p>
    <w:p w14:paraId="1BC38FC0" w14:textId="77777777" w:rsidR="00A71EEF" w:rsidRDefault="0081115D">
      <w:pPr>
        <w:pStyle w:val="a3"/>
        <w:spacing w:before="71"/>
        <w:ind w:left="418"/>
      </w:pPr>
      <w:r>
        <w:t>注：</w:t>
      </w:r>
      <w:r>
        <w:t>1.“</w:t>
      </w:r>
      <w:r>
        <w:t>配置</w:t>
      </w:r>
      <w:r>
        <w:t>”</w:t>
      </w:r>
      <w:r>
        <w:t>栏内标</w:t>
      </w:r>
      <w:r>
        <w:t>“</w:t>
      </w:r>
      <w:r>
        <w:t>选配</w:t>
      </w:r>
      <w:r>
        <w:t>”</w:t>
      </w:r>
      <w:r>
        <w:t>的表示可根据有关规定或实际需求选择配置；</w:t>
      </w:r>
      <w:r>
        <w:t xml:space="preserve"> </w:t>
      </w:r>
    </w:p>
    <w:p w14:paraId="386E7298" w14:textId="77777777" w:rsidR="00A71EEF" w:rsidRDefault="00A71EEF">
      <w:pPr>
        <w:pStyle w:val="a3"/>
        <w:spacing w:before="2"/>
        <w:rPr>
          <w:sz w:val="18"/>
        </w:rPr>
      </w:pPr>
    </w:p>
    <w:p w14:paraId="002F13C1" w14:textId="77777777" w:rsidR="00A71EEF" w:rsidRDefault="0081115D">
      <w:pPr>
        <w:pStyle w:val="a3"/>
        <w:ind w:left="418"/>
      </w:pPr>
      <w:r>
        <w:t xml:space="preserve">2. </w:t>
      </w:r>
      <w:r>
        <w:t>网络设备、指挥视频设备、视频监控设备是消防业务信息系统共用设备。</w:t>
      </w:r>
      <w:r>
        <w:t xml:space="preserve"> </w:t>
      </w:r>
    </w:p>
    <w:p w14:paraId="2915811F" w14:textId="77777777" w:rsidR="00A71EEF" w:rsidRDefault="0081115D">
      <w:pPr>
        <w:pStyle w:val="2"/>
        <w:spacing w:before="42"/>
        <w:ind w:left="3298"/>
        <w:jc w:val="left"/>
      </w:pPr>
      <w:r>
        <w:rPr>
          <w:w w:val="99"/>
        </w:rPr>
        <w:t xml:space="preserve"> </w:t>
      </w:r>
    </w:p>
    <w:p w14:paraId="390749F8" w14:textId="77777777" w:rsidR="00A71EEF" w:rsidRDefault="00A71EEF">
      <w:pPr>
        <w:sectPr w:rsidR="00A71EEF">
          <w:pgSz w:w="11910" w:h="16850"/>
          <w:pgMar w:top="1220" w:right="0" w:bottom="1420" w:left="1260" w:header="0" w:footer="1239" w:gutter="0"/>
          <w:cols w:space="720"/>
        </w:sectPr>
      </w:pPr>
    </w:p>
    <w:p w14:paraId="67AD90CC" w14:textId="77777777" w:rsidR="00A71EEF" w:rsidRDefault="0081115D">
      <w:pPr>
        <w:spacing w:before="21"/>
        <w:ind w:left="418"/>
        <w:rPr>
          <w:b/>
          <w:sz w:val="36"/>
        </w:rPr>
      </w:pPr>
      <w:r>
        <w:rPr>
          <w:b/>
          <w:sz w:val="36"/>
        </w:rPr>
        <w:t>（二）森林消防国家标准</w:t>
      </w:r>
      <w:r>
        <w:rPr>
          <w:b/>
          <w:w w:val="99"/>
          <w:sz w:val="36"/>
        </w:rPr>
        <w:t xml:space="preserve"> </w:t>
      </w:r>
    </w:p>
    <w:p w14:paraId="0898DCEC" w14:textId="77777777" w:rsidR="00A71EEF" w:rsidRDefault="00A71EEF">
      <w:pPr>
        <w:pStyle w:val="a3"/>
        <w:spacing w:before="7"/>
        <w:rPr>
          <w:b/>
          <w:sz w:val="45"/>
        </w:rPr>
      </w:pPr>
    </w:p>
    <w:p w14:paraId="6B5FF20B" w14:textId="77777777" w:rsidR="00A71EEF" w:rsidRDefault="0081115D">
      <w:pPr>
        <w:ind w:left="2629"/>
        <w:rPr>
          <w:b/>
          <w:sz w:val="30"/>
        </w:rPr>
      </w:pPr>
      <w:bookmarkStart w:id="37" w:name="_bookmark37"/>
      <w:bookmarkEnd w:id="37"/>
      <w:r>
        <w:rPr>
          <w:b/>
          <w:sz w:val="30"/>
        </w:rPr>
        <w:t>便携式风力灭火机</w:t>
      </w:r>
      <w:r>
        <w:rPr>
          <w:b/>
          <w:sz w:val="30"/>
        </w:rPr>
        <w:t xml:space="preserve"> </w:t>
      </w:r>
      <w:r>
        <w:rPr>
          <w:b/>
          <w:sz w:val="30"/>
        </w:rPr>
        <w:t>通用技术条件</w:t>
      </w:r>
      <w:r>
        <w:rPr>
          <w:b/>
          <w:w w:val="99"/>
          <w:sz w:val="30"/>
        </w:rPr>
        <w:t xml:space="preserve"> </w:t>
      </w:r>
    </w:p>
    <w:p w14:paraId="5AD5858F" w14:textId="77777777" w:rsidR="00A71EEF" w:rsidRDefault="00A71EEF">
      <w:pPr>
        <w:pStyle w:val="a3"/>
        <w:spacing w:before="4"/>
        <w:rPr>
          <w:b/>
          <w:sz w:val="39"/>
        </w:rPr>
      </w:pPr>
    </w:p>
    <w:p w14:paraId="4C7198A3" w14:textId="77777777" w:rsidR="00A71EEF" w:rsidRDefault="0081115D">
      <w:pPr>
        <w:pStyle w:val="4"/>
      </w:pPr>
      <w:r>
        <w:t xml:space="preserve">1 </w:t>
      </w:r>
      <w:r>
        <w:t>主题内容与适用范围</w:t>
      </w:r>
      <w:r>
        <w:rPr>
          <w:w w:val="99"/>
        </w:rPr>
        <w:t xml:space="preserve"> </w:t>
      </w:r>
    </w:p>
    <w:p w14:paraId="3CF98F50" w14:textId="77777777" w:rsidR="00A71EEF" w:rsidRDefault="00A71EEF">
      <w:pPr>
        <w:pStyle w:val="a3"/>
        <w:spacing w:before="4"/>
        <w:rPr>
          <w:b/>
          <w:sz w:val="17"/>
        </w:rPr>
      </w:pPr>
    </w:p>
    <w:p w14:paraId="4CFBD1B2" w14:textId="77777777" w:rsidR="00A71EEF" w:rsidRDefault="0081115D">
      <w:pPr>
        <w:pStyle w:val="a3"/>
        <w:spacing w:line="446" w:lineRule="auto"/>
        <w:ind w:left="838" w:right="3606"/>
      </w:pPr>
      <w:r>
        <w:t>本标准规定了便携式风力灭火机（以下简称灭火机）的基本要求。本标准适用于便携式风力灭火机的设计、制造与验收。</w:t>
      </w:r>
      <w:r>
        <w:t xml:space="preserve"> </w:t>
      </w:r>
    </w:p>
    <w:p w14:paraId="73A86723" w14:textId="77777777" w:rsidR="00A71EEF" w:rsidRDefault="0081115D">
      <w:pPr>
        <w:pStyle w:val="4"/>
        <w:spacing w:line="278" w:lineRule="exact"/>
      </w:pPr>
      <w:r>
        <w:t xml:space="preserve">2 </w:t>
      </w:r>
      <w:r>
        <w:t>引用标准</w:t>
      </w:r>
      <w:r>
        <w:rPr>
          <w:w w:val="99"/>
        </w:rPr>
        <w:t xml:space="preserve"> </w:t>
      </w:r>
    </w:p>
    <w:p w14:paraId="1E89A2E0" w14:textId="77777777" w:rsidR="00A71EEF" w:rsidRDefault="00A71EEF">
      <w:pPr>
        <w:pStyle w:val="a3"/>
        <w:spacing w:before="3"/>
        <w:rPr>
          <w:b/>
          <w:sz w:val="17"/>
        </w:rPr>
      </w:pPr>
    </w:p>
    <w:p w14:paraId="213A3A47" w14:textId="77777777" w:rsidR="00A71EEF" w:rsidRDefault="0081115D">
      <w:pPr>
        <w:pStyle w:val="a3"/>
        <w:spacing w:before="1" w:line="446" w:lineRule="auto"/>
        <w:ind w:left="838" w:right="5500"/>
      </w:pPr>
      <w:r>
        <w:t xml:space="preserve">GB 10281 </w:t>
      </w:r>
      <w:r>
        <w:t>便携式风力灭火机</w:t>
      </w:r>
      <w:r>
        <w:t xml:space="preserve"> </w:t>
      </w:r>
      <w:r>
        <w:t>台架试验方法</w:t>
      </w:r>
      <w:r>
        <w:t xml:space="preserve">GB 10283 </w:t>
      </w:r>
      <w:r>
        <w:t>便携式风力灭火机</w:t>
      </w:r>
      <w:r>
        <w:t xml:space="preserve"> </w:t>
      </w:r>
      <w:r>
        <w:t>手感震动的测定</w:t>
      </w:r>
      <w:r>
        <w:t xml:space="preserve">GB 10284 </w:t>
      </w:r>
      <w:r>
        <w:t>便携式风力灭火机</w:t>
      </w:r>
      <w:r>
        <w:t xml:space="preserve"> </w:t>
      </w:r>
      <w:r>
        <w:t>耳旁噪声的测定</w:t>
      </w:r>
      <w:r>
        <w:t xml:space="preserve">GB 5392 </w:t>
      </w:r>
      <w:r>
        <w:t>油锯</w:t>
      </w:r>
      <w:r>
        <w:t xml:space="preserve"> </w:t>
      </w:r>
      <w:r>
        <w:t>通用技术条件</w:t>
      </w:r>
      <w:r>
        <w:t xml:space="preserve"> </w:t>
      </w:r>
    </w:p>
    <w:p w14:paraId="51DA7388" w14:textId="77777777" w:rsidR="00A71EEF" w:rsidRDefault="0081115D">
      <w:pPr>
        <w:pStyle w:val="a3"/>
        <w:spacing w:line="269" w:lineRule="exact"/>
        <w:ind w:left="838"/>
      </w:pPr>
      <w:r>
        <w:t xml:space="preserve">GB 2828 </w:t>
      </w:r>
      <w:r>
        <w:t>逐批检查计数抽样程序及抽样表</w:t>
      </w:r>
      <w:r>
        <w:t xml:space="preserve"> </w:t>
      </w:r>
    </w:p>
    <w:p w14:paraId="448F1C05" w14:textId="77777777" w:rsidR="00A71EEF" w:rsidRDefault="00A71EEF">
      <w:pPr>
        <w:pStyle w:val="a3"/>
        <w:spacing w:before="8"/>
        <w:rPr>
          <w:sz w:val="15"/>
        </w:rPr>
      </w:pPr>
    </w:p>
    <w:p w14:paraId="4132D012" w14:textId="77777777" w:rsidR="00A71EEF" w:rsidRDefault="0081115D">
      <w:pPr>
        <w:pStyle w:val="4"/>
      </w:pPr>
      <w:r>
        <w:t xml:space="preserve">3 </w:t>
      </w:r>
      <w:r>
        <w:t>整机技术要求</w:t>
      </w:r>
      <w:r>
        <w:rPr>
          <w:w w:val="99"/>
        </w:rPr>
        <w:t xml:space="preserve"> </w:t>
      </w:r>
    </w:p>
    <w:p w14:paraId="55651DBA" w14:textId="77777777" w:rsidR="00A71EEF" w:rsidRDefault="00A71EEF">
      <w:pPr>
        <w:pStyle w:val="a3"/>
        <w:spacing w:before="4"/>
        <w:rPr>
          <w:b/>
          <w:sz w:val="17"/>
        </w:rPr>
      </w:pPr>
    </w:p>
    <w:p w14:paraId="23324496" w14:textId="77777777" w:rsidR="00A71EEF" w:rsidRDefault="0081115D">
      <w:pPr>
        <w:pStyle w:val="a4"/>
        <w:numPr>
          <w:ilvl w:val="1"/>
          <w:numId w:val="24"/>
        </w:numPr>
        <w:tabs>
          <w:tab w:val="left" w:pos="1160"/>
        </w:tabs>
        <w:rPr>
          <w:sz w:val="21"/>
        </w:rPr>
      </w:pPr>
      <w:r>
        <w:rPr>
          <w:spacing w:val="-3"/>
          <w:sz w:val="21"/>
        </w:rPr>
        <w:t>灭火机应按规定批准的图样及技术文件制造。</w:t>
      </w:r>
      <w:r>
        <w:rPr>
          <w:sz w:val="21"/>
        </w:rPr>
        <w:t xml:space="preserve"> </w:t>
      </w:r>
    </w:p>
    <w:p w14:paraId="5A7DE411" w14:textId="77777777" w:rsidR="00A71EEF" w:rsidRDefault="00A71EEF">
      <w:pPr>
        <w:pStyle w:val="a3"/>
        <w:spacing w:before="2"/>
        <w:rPr>
          <w:sz w:val="18"/>
        </w:rPr>
      </w:pPr>
    </w:p>
    <w:p w14:paraId="2AA33525" w14:textId="77777777" w:rsidR="00A71EEF" w:rsidRDefault="0081115D">
      <w:pPr>
        <w:pStyle w:val="a4"/>
        <w:numPr>
          <w:ilvl w:val="1"/>
          <w:numId w:val="24"/>
        </w:numPr>
        <w:tabs>
          <w:tab w:val="left" w:pos="1160"/>
        </w:tabs>
        <w:rPr>
          <w:sz w:val="21"/>
        </w:rPr>
      </w:pPr>
      <w:r>
        <w:rPr>
          <w:spacing w:val="-7"/>
          <w:sz w:val="21"/>
        </w:rPr>
        <w:t>灭火机主要技术规格，如附录</w:t>
      </w:r>
      <w:r>
        <w:rPr>
          <w:spacing w:val="-7"/>
          <w:sz w:val="21"/>
        </w:rPr>
        <w:t xml:space="preserve"> </w:t>
      </w:r>
      <w:r>
        <w:rPr>
          <w:sz w:val="21"/>
        </w:rPr>
        <w:t>A</w:t>
      </w:r>
      <w:r>
        <w:rPr>
          <w:sz w:val="21"/>
        </w:rPr>
        <w:t>（</w:t>
      </w:r>
      <w:r>
        <w:rPr>
          <w:spacing w:val="-3"/>
          <w:sz w:val="21"/>
        </w:rPr>
        <w:t>补充件</w:t>
      </w:r>
      <w:r>
        <w:rPr>
          <w:sz w:val="21"/>
        </w:rPr>
        <w:t>）</w:t>
      </w:r>
      <w:r>
        <w:rPr>
          <w:spacing w:val="-3"/>
          <w:sz w:val="21"/>
        </w:rPr>
        <w:t>所示。</w:t>
      </w:r>
      <w:r>
        <w:rPr>
          <w:sz w:val="21"/>
        </w:rPr>
        <w:t xml:space="preserve"> </w:t>
      </w:r>
    </w:p>
    <w:p w14:paraId="523AA588" w14:textId="77777777" w:rsidR="00A71EEF" w:rsidRDefault="00A71EEF">
      <w:pPr>
        <w:pStyle w:val="a3"/>
        <w:spacing w:before="12"/>
        <w:rPr>
          <w:sz w:val="17"/>
        </w:rPr>
      </w:pPr>
    </w:p>
    <w:p w14:paraId="2EED2B1F" w14:textId="77777777" w:rsidR="00A71EEF" w:rsidRDefault="0081115D">
      <w:pPr>
        <w:pStyle w:val="a4"/>
        <w:numPr>
          <w:ilvl w:val="1"/>
          <w:numId w:val="24"/>
        </w:numPr>
        <w:tabs>
          <w:tab w:val="left" w:pos="1159"/>
        </w:tabs>
        <w:ind w:left="1158" w:hanging="319"/>
        <w:rPr>
          <w:sz w:val="21"/>
        </w:rPr>
      </w:pPr>
      <w:r>
        <w:rPr>
          <w:spacing w:val="-5"/>
          <w:sz w:val="21"/>
        </w:rPr>
        <w:t>灭火机应能在火场环境温度下正常工作，一次加油连续工作时间不小于</w:t>
      </w:r>
      <w:r>
        <w:rPr>
          <w:spacing w:val="-5"/>
          <w:sz w:val="21"/>
        </w:rPr>
        <w:t xml:space="preserve"> </w:t>
      </w:r>
      <w:r>
        <w:rPr>
          <w:sz w:val="21"/>
        </w:rPr>
        <w:t>30min</w:t>
      </w:r>
      <w:r>
        <w:rPr>
          <w:spacing w:val="-3"/>
          <w:sz w:val="21"/>
        </w:rPr>
        <w:t>。</w:t>
      </w:r>
      <w:r>
        <w:rPr>
          <w:sz w:val="21"/>
        </w:rPr>
        <w:t xml:space="preserve"> </w:t>
      </w:r>
    </w:p>
    <w:p w14:paraId="5B9C207F" w14:textId="77777777" w:rsidR="00A71EEF" w:rsidRDefault="00A71EEF">
      <w:pPr>
        <w:pStyle w:val="a3"/>
        <w:spacing w:before="12"/>
        <w:rPr>
          <w:sz w:val="17"/>
        </w:rPr>
      </w:pPr>
    </w:p>
    <w:p w14:paraId="0F9798FB" w14:textId="77777777" w:rsidR="00A71EEF" w:rsidRDefault="0081115D">
      <w:pPr>
        <w:pStyle w:val="a4"/>
        <w:numPr>
          <w:ilvl w:val="1"/>
          <w:numId w:val="24"/>
        </w:numPr>
        <w:tabs>
          <w:tab w:val="left" w:pos="1159"/>
        </w:tabs>
        <w:ind w:left="1158" w:hanging="319"/>
        <w:rPr>
          <w:sz w:val="21"/>
        </w:rPr>
      </w:pPr>
      <w:r>
        <w:rPr>
          <w:spacing w:val="-6"/>
          <w:sz w:val="21"/>
        </w:rPr>
        <w:t>灭火机自水平位置向上、下、右倾斜</w:t>
      </w:r>
      <w:r>
        <w:rPr>
          <w:spacing w:val="-6"/>
          <w:sz w:val="21"/>
        </w:rPr>
        <w:t xml:space="preserve"> </w:t>
      </w:r>
      <w:r>
        <w:rPr>
          <w:sz w:val="21"/>
        </w:rPr>
        <w:t>30</w:t>
      </w:r>
      <w:r>
        <w:rPr>
          <w:spacing w:val="-3"/>
          <w:sz w:val="21"/>
        </w:rPr>
        <w:t>°</w:t>
      </w:r>
      <w:r>
        <w:rPr>
          <w:spacing w:val="-3"/>
          <w:sz w:val="21"/>
        </w:rPr>
        <w:t>均能正常工作。</w:t>
      </w:r>
      <w:r>
        <w:rPr>
          <w:sz w:val="21"/>
        </w:rPr>
        <w:t xml:space="preserve"> </w:t>
      </w:r>
    </w:p>
    <w:p w14:paraId="45D49DCA" w14:textId="77777777" w:rsidR="00A71EEF" w:rsidRDefault="00A71EEF">
      <w:pPr>
        <w:pStyle w:val="a3"/>
        <w:spacing w:before="2"/>
        <w:rPr>
          <w:sz w:val="18"/>
        </w:rPr>
      </w:pPr>
    </w:p>
    <w:p w14:paraId="08B6289A" w14:textId="77777777" w:rsidR="00A71EEF" w:rsidRDefault="0081115D">
      <w:pPr>
        <w:pStyle w:val="a4"/>
        <w:numPr>
          <w:ilvl w:val="1"/>
          <w:numId w:val="24"/>
        </w:numPr>
        <w:tabs>
          <w:tab w:val="left" w:pos="1159"/>
        </w:tabs>
        <w:ind w:left="1158" w:hanging="319"/>
        <w:rPr>
          <w:sz w:val="21"/>
        </w:rPr>
      </w:pPr>
      <w:r>
        <w:rPr>
          <w:spacing w:val="-3"/>
          <w:sz w:val="21"/>
        </w:rPr>
        <w:t>灭火机整机净重量与风功率</w:t>
      </w:r>
      <w:r>
        <w:rPr>
          <w:sz w:val="21"/>
        </w:rPr>
        <w:t>（</w:t>
      </w:r>
      <w:r>
        <w:rPr>
          <w:spacing w:val="-3"/>
          <w:sz w:val="21"/>
        </w:rPr>
        <w:t>风机全压空气功率</w:t>
      </w:r>
      <w:r>
        <w:rPr>
          <w:sz w:val="21"/>
        </w:rPr>
        <w:t>）</w:t>
      </w:r>
      <w:r>
        <w:rPr>
          <w:spacing w:val="-11"/>
          <w:sz w:val="21"/>
        </w:rPr>
        <w:t>之比应不大于</w:t>
      </w:r>
      <w:r>
        <w:rPr>
          <w:spacing w:val="-11"/>
          <w:sz w:val="21"/>
        </w:rPr>
        <w:t xml:space="preserve"> </w:t>
      </w:r>
      <w:r>
        <w:rPr>
          <w:sz w:val="21"/>
        </w:rPr>
        <w:t>6kg/kW</w:t>
      </w:r>
      <w:r>
        <w:rPr>
          <w:sz w:val="21"/>
        </w:rPr>
        <w:t>。</w:t>
      </w:r>
      <w:r>
        <w:rPr>
          <w:sz w:val="21"/>
        </w:rPr>
        <w:t xml:space="preserve"> </w:t>
      </w:r>
    </w:p>
    <w:p w14:paraId="4F4043BB" w14:textId="77777777" w:rsidR="00A71EEF" w:rsidRDefault="00A71EEF">
      <w:pPr>
        <w:pStyle w:val="a3"/>
        <w:rPr>
          <w:sz w:val="18"/>
        </w:rPr>
      </w:pPr>
    </w:p>
    <w:p w14:paraId="6F734814" w14:textId="77777777" w:rsidR="00A71EEF" w:rsidRDefault="0081115D">
      <w:pPr>
        <w:pStyle w:val="a4"/>
        <w:numPr>
          <w:ilvl w:val="1"/>
          <w:numId w:val="24"/>
        </w:numPr>
        <w:tabs>
          <w:tab w:val="left" w:pos="1159"/>
        </w:tabs>
        <w:ind w:left="1158" w:hanging="319"/>
        <w:rPr>
          <w:sz w:val="21"/>
        </w:rPr>
      </w:pPr>
      <w:r>
        <w:rPr>
          <w:spacing w:val="-7"/>
          <w:sz w:val="21"/>
        </w:rPr>
        <w:t>标定转速下，距灭火机中心</w:t>
      </w:r>
      <w:r>
        <w:rPr>
          <w:spacing w:val="-7"/>
          <w:sz w:val="21"/>
        </w:rPr>
        <w:t xml:space="preserve"> </w:t>
      </w:r>
      <w:r>
        <w:rPr>
          <w:sz w:val="21"/>
        </w:rPr>
        <w:t>2.5m</w:t>
      </w:r>
      <w:r>
        <w:rPr>
          <w:spacing w:val="-12"/>
          <w:sz w:val="21"/>
        </w:rPr>
        <w:t xml:space="preserve"> </w:t>
      </w:r>
      <w:r>
        <w:rPr>
          <w:spacing w:val="-12"/>
          <w:sz w:val="21"/>
        </w:rPr>
        <w:t>处的射流中心风速应不低于</w:t>
      </w:r>
      <w:r>
        <w:rPr>
          <w:spacing w:val="-12"/>
          <w:sz w:val="21"/>
        </w:rPr>
        <w:t xml:space="preserve"> </w:t>
      </w:r>
      <w:r>
        <w:rPr>
          <w:sz w:val="21"/>
        </w:rPr>
        <w:t>22m/s</w:t>
      </w:r>
      <w:r>
        <w:rPr>
          <w:sz w:val="21"/>
        </w:rPr>
        <w:t>。</w:t>
      </w:r>
      <w:r>
        <w:rPr>
          <w:sz w:val="21"/>
        </w:rPr>
        <w:t xml:space="preserve"> </w:t>
      </w:r>
    </w:p>
    <w:p w14:paraId="34A11DBA" w14:textId="77777777" w:rsidR="00A71EEF" w:rsidRDefault="00A71EEF">
      <w:pPr>
        <w:pStyle w:val="a3"/>
        <w:rPr>
          <w:sz w:val="18"/>
        </w:rPr>
      </w:pPr>
    </w:p>
    <w:p w14:paraId="23FE4928" w14:textId="77777777" w:rsidR="00A71EEF" w:rsidRDefault="0081115D">
      <w:pPr>
        <w:pStyle w:val="a4"/>
        <w:numPr>
          <w:ilvl w:val="1"/>
          <w:numId w:val="24"/>
        </w:numPr>
        <w:tabs>
          <w:tab w:val="left" w:pos="1159"/>
        </w:tabs>
        <w:ind w:left="1158" w:hanging="319"/>
        <w:rPr>
          <w:sz w:val="21"/>
        </w:rPr>
      </w:pPr>
      <w:r>
        <w:rPr>
          <w:spacing w:val="-3"/>
          <w:sz w:val="21"/>
        </w:rPr>
        <w:t>在标定转速下，风筒出口处风量应不低于。</w:t>
      </w:r>
      <w:r>
        <w:rPr>
          <w:spacing w:val="-3"/>
          <w:sz w:val="21"/>
        </w:rPr>
        <w:t xml:space="preserve"> 4m</w:t>
      </w:r>
      <w:r>
        <w:rPr>
          <w:spacing w:val="1"/>
          <w:sz w:val="21"/>
        </w:rPr>
        <w:t xml:space="preserve"> </w:t>
      </w:r>
      <w:r>
        <w:rPr>
          <w:sz w:val="21"/>
        </w:rPr>
        <w:t>'/s</w:t>
      </w:r>
      <w:r>
        <w:rPr>
          <w:spacing w:val="-3"/>
          <w:sz w:val="21"/>
        </w:rPr>
        <w:t>。</w:t>
      </w:r>
      <w:r>
        <w:rPr>
          <w:sz w:val="21"/>
        </w:rPr>
        <w:t xml:space="preserve"> </w:t>
      </w:r>
    </w:p>
    <w:p w14:paraId="6D493C2D" w14:textId="77777777" w:rsidR="00A71EEF" w:rsidRDefault="00A71EEF">
      <w:pPr>
        <w:pStyle w:val="a3"/>
        <w:spacing w:before="2"/>
        <w:rPr>
          <w:sz w:val="18"/>
        </w:rPr>
      </w:pPr>
    </w:p>
    <w:p w14:paraId="2D96707A" w14:textId="77777777" w:rsidR="00A71EEF" w:rsidRDefault="0081115D">
      <w:pPr>
        <w:pStyle w:val="a4"/>
        <w:numPr>
          <w:ilvl w:val="1"/>
          <w:numId w:val="24"/>
        </w:numPr>
        <w:tabs>
          <w:tab w:val="left" w:pos="1159"/>
        </w:tabs>
        <w:ind w:left="1158" w:hanging="319"/>
        <w:rPr>
          <w:sz w:val="21"/>
        </w:rPr>
      </w:pPr>
      <w:r>
        <w:rPr>
          <w:spacing w:val="-3"/>
          <w:sz w:val="21"/>
        </w:rPr>
        <w:t>灭火机起动试验应符</w:t>
      </w:r>
      <w:r>
        <w:rPr>
          <w:spacing w:val="-3"/>
          <w:sz w:val="21"/>
        </w:rPr>
        <w:t xml:space="preserve"> </w:t>
      </w:r>
      <w:r>
        <w:rPr>
          <w:spacing w:val="-3"/>
          <w:sz w:val="21"/>
        </w:rPr>
        <w:t>合</w:t>
      </w:r>
      <w:r>
        <w:rPr>
          <w:spacing w:val="-3"/>
          <w:sz w:val="21"/>
        </w:rPr>
        <w:t xml:space="preserve"> </w:t>
      </w:r>
      <w:r>
        <w:rPr>
          <w:sz w:val="21"/>
        </w:rPr>
        <w:t>GB</w:t>
      </w:r>
      <w:r>
        <w:rPr>
          <w:spacing w:val="-2"/>
          <w:sz w:val="21"/>
        </w:rPr>
        <w:t xml:space="preserve"> </w:t>
      </w:r>
      <w:r>
        <w:rPr>
          <w:sz w:val="21"/>
        </w:rPr>
        <w:t>10281</w:t>
      </w:r>
      <w:r>
        <w:rPr>
          <w:spacing w:val="-17"/>
          <w:sz w:val="21"/>
        </w:rPr>
        <w:t xml:space="preserve"> </w:t>
      </w:r>
      <w:r>
        <w:rPr>
          <w:spacing w:val="-17"/>
          <w:sz w:val="21"/>
        </w:rPr>
        <w:t>的规定，在</w:t>
      </w:r>
      <w:r>
        <w:rPr>
          <w:spacing w:val="-17"/>
          <w:sz w:val="21"/>
        </w:rPr>
        <w:t xml:space="preserve"> </w:t>
      </w:r>
      <w:r>
        <w:rPr>
          <w:sz w:val="21"/>
        </w:rPr>
        <w:t>30s</w:t>
      </w:r>
      <w:r>
        <w:rPr>
          <w:spacing w:val="-3"/>
          <w:sz w:val="21"/>
        </w:rPr>
        <w:t xml:space="preserve"> </w:t>
      </w:r>
      <w:r>
        <w:rPr>
          <w:spacing w:val="-3"/>
          <w:sz w:val="21"/>
        </w:rPr>
        <w:t>内应起动成功。</w:t>
      </w:r>
      <w:r>
        <w:rPr>
          <w:sz w:val="21"/>
        </w:rPr>
        <w:t xml:space="preserve"> </w:t>
      </w:r>
    </w:p>
    <w:p w14:paraId="7F65C1F9" w14:textId="77777777" w:rsidR="00A71EEF" w:rsidRDefault="00A71EEF">
      <w:pPr>
        <w:pStyle w:val="a3"/>
        <w:spacing w:before="12"/>
        <w:rPr>
          <w:sz w:val="17"/>
        </w:rPr>
      </w:pPr>
    </w:p>
    <w:p w14:paraId="7DCF5C7F" w14:textId="77777777" w:rsidR="00A71EEF" w:rsidRDefault="0081115D">
      <w:pPr>
        <w:pStyle w:val="a4"/>
        <w:numPr>
          <w:ilvl w:val="1"/>
          <w:numId w:val="24"/>
        </w:numPr>
        <w:tabs>
          <w:tab w:val="left" w:pos="1159"/>
        </w:tabs>
        <w:spacing w:line="446" w:lineRule="auto"/>
        <w:ind w:left="418" w:right="1431" w:firstLine="422"/>
        <w:rPr>
          <w:sz w:val="21"/>
        </w:rPr>
      </w:pPr>
      <w:r>
        <w:rPr>
          <w:spacing w:val="-6"/>
          <w:sz w:val="21"/>
        </w:rPr>
        <w:t>灭火机连续运转可靠性试验应不少于</w:t>
      </w:r>
      <w:r>
        <w:rPr>
          <w:spacing w:val="-6"/>
          <w:sz w:val="21"/>
        </w:rPr>
        <w:t xml:space="preserve"> </w:t>
      </w:r>
      <w:r>
        <w:rPr>
          <w:sz w:val="21"/>
        </w:rPr>
        <w:t>24h</w:t>
      </w:r>
      <w:r>
        <w:rPr>
          <w:spacing w:val="-9"/>
          <w:sz w:val="21"/>
        </w:rPr>
        <w:t xml:space="preserve"> </w:t>
      </w:r>
      <w:r>
        <w:rPr>
          <w:spacing w:val="-9"/>
          <w:sz w:val="21"/>
        </w:rPr>
        <w:t>，试验方法应符合</w:t>
      </w:r>
      <w:r>
        <w:rPr>
          <w:spacing w:val="-9"/>
          <w:sz w:val="21"/>
        </w:rPr>
        <w:t xml:space="preserve"> </w:t>
      </w:r>
      <w:r>
        <w:rPr>
          <w:spacing w:val="-3"/>
          <w:sz w:val="21"/>
        </w:rPr>
        <w:t>G</w:t>
      </w:r>
      <w:r>
        <w:rPr>
          <w:spacing w:val="-21"/>
          <w:sz w:val="21"/>
        </w:rPr>
        <w:t xml:space="preserve"> </w:t>
      </w:r>
      <w:r>
        <w:rPr>
          <w:sz w:val="21"/>
        </w:rPr>
        <w:t>B</w:t>
      </w:r>
      <w:r>
        <w:rPr>
          <w:spacing w:val="-21"/>
          <w:sz w:val="21"/>
        </w:rPr>
        <w:t xml:space="preserve"> </w:t>
      </w:r>
      <w:r>
        <w:rPr>
          <w:sz w:val="21"/>
        </w:rPr>
        <w:t>10281</w:t>
      </w:r>
      <w:r>
        <w:rPr>
          <w:spacing w:val="-12"/>
          <w:sz w:val="21"/>
        </w:rPr>
        <w:t xml:space="preserve"> </w:t>
      </w:r>
      <w:r>
        <w:rPr>
          <w:spacing w:val="-12"/>
          <w:sz w:val="21"/>
        </w:rPr>
        <w:t>的规定。试验中</w:t>
      </w:r>
      <w:r>
        <w:rPr>
          <w:spacing w:val="-8"/>
          <w:sz w:val="21"/>
        </w:rPr>
        <w:t>不得有任何故障和保养停机，试验后的发动机转速不应下降</w:t>
      </w:r>
      <w:r>
        <w:rPr>
          <w:spacing w:val="-8"/>
          <w:sz w:val="21"/>
        </w:rPr>
        <w:t xml:space="preserve"> </w:t>
      </w:r>
      <w:r>
        <w:rPr>
          <w:sz w:val="21"/>
        </w:rPr>
        <w:t>5</w:t>
      </w:r>
      <w:r>
        <w:rPr>
          <w:spacing w:val="-2"/>
          <w:sz w:val="21"/>
        </w:rPr>
        <w:t>%</w:t>
      </w:r>
      <w:r>
        <w:rPr>
          <w:spacing w:val="-2"/>
          <w:sz w:val="21"/>
        </w:rPr>
        <w:t>。</w:t>
      </w:r>
      <w:r>
        <w:rPr>
          <w:sz w:val="21"/>
        </w:rPr>
        <w:t xml:space="preserve"> </w:t>
      </w:r>
    </w:p>
    <w:p w14:paraId="171C7BD6" w14:textId="77777777" w:rsidR="00A71EEF" w:rsidRDefault="0081115D">
      <w:pPr>
        <w:pStyle w:val="a4"/>
        <w:numPr>
          <w:ilvl w:val="1"/>
          <w:numId w:val="24"/>
        </w:numPr>
        <w:tabs>
          <w:tab w:val="left" w:pos="1264"/>
        </w:tabs>
        <w:ind w:left="1263" w:hanging="424"/>
        <w:rPr>
          <w:sz w:val="21"/>
        </w:rPr>
      </w:pPr>
      <w:r>
        <w:rPr>
          <w:spacing w:val="-9"/>
          <w:sz w:val="21"/>
        </w:rPr>
        <w:t>标定转速下，按</w:t>
      </w:r>
      <w:r>
        <w:rPr>
          <w:spacing w:val="-9"/>
          <w:sz w:val="21"/>
        </w:rPr>
        <w:t xml:space="preserve"> </w:t>
      </w:r>
      <w:r>
        <w:rPr>
          <w:sz w:val="21"/>
        </w:rPr>
        <w:t>GB</w:t>
      </w:r>
      <w:r>
        <w:rPr>
          <w:spacing w:val="12"/>
          <w:sz w:val="21"/>
        </w:rPr>
        <w:t xml:space="preserve"> </w:t>
      </w:r>
      <w:r>
        <w:rPr>
          <w:sz w:val="21"/>
        </w:rPr>
        <w:t>10283</w:t>
      </w:r>
      <w:r>
        <w:rPr>
          <w:spacing w:val="-10"/>
          <w:sz w:val="21"/>
        </w:rPr>
        <w:t xml:space="preserve"> </w:t>
      </w:r>
      <w:r>
        <w:rPr>
          <w:spacing w:val="-10"/>
          <w:sz w:val="21"/>
        </w:rPr>
        <w:t>测出的灭火机把手处的振动加速度值应不大于</w:t>
      </w:r>
      <w:r>
        <w:rPr>
          <w:spacing w:val="-10"/>
          <w:sz w:val="21"/>
        </w:rPr>
        <w:t xml:space="preserve"> </w:t>
      </w:r>
      <w:r>
        <w:rPr>
          <w:sz w:val="21"/>
        </w:rPr>
        <w:t>30m/s²</w:t>
      </w:r>
      <w:r>
        <w:rPr>
          <w:spacing w:val="-3"/>
          <w:sz w:val="21"/>
        </w:rPr>
        <w:t>。</w:t>
      </w:r>
      <w:r>
        <w:rPr>
          <w:sz w:val="21"/>
        </w:rPr>
        <w:t xml:space="preserve"> </w:t>
      </w:r>
    </w:p>
    <w:p w14:paraId="3AC7726C" w14:textId="77777777" w:rsidR="00A71EEF" w:rsidRDefault="00A71EEF">
      <w:pPr>
        <w:pStyle w:val="a3"/>
        <w:spacing w:before="12"/>
        <w:rPr>
          <w:sz w:val="17"/>
        </w:rPr>
      </w:pPr>
    </w:p>
    <w:p w14:paraId="107D5D1F" w14:textId="77777777" w:rsidR="00A71EEF" w:rsidRDefault="0081115D">
      <w:pPr>
        <w:pStyle w:val="a4"/>
        <w:numPr>
          <w:ilvl w:val="1"/>
          <w:numId w:val="24"/>
        </w:numPr>
        <w:tabs>
          <w:tab w:val="left" w:pos="1266"/>
        </w:tabs>
        <w:ind w:left="1265" w:hanging="426"/>
        <w:rPr>
          <w:sz w:val="21"/>
        </w:rPr>
      </w:pPr>
      <w:r>
        <w:rPr>
          <w:spacing w:val="-3"/>
          <w:sz w:val="21"/>
        </w:rPr>
        <w:t>标定转速下，按</w:t>
      </w:r>
      <w:r>
        <w:rPr>
          <w:spacing w:val="-55"/>
          <w:sz w:val="21"/>
        </w:rPr>
        <w:t xml:space="preserve"> </w:t>
      </w:r>
      <w:r>
        <w:rPr>
          <w:sz w:val="21"/>
        </w:rPr>
        <w:t xml:space="preserve">G </w:t>
      </w:r>
      <w:r>
        <w:rPr>
          <w:spacing w:val="-3"/>
          <w:sz w:val="21"/>
        </w:rPr>
        <w:t>B</w:t>
      </w:r>
      <w:r>
        <w:rPr>
          <w:sz w:val="21"/>
        </w:rPr>
        <w:t xml:space="preserve"> 102</w:t>
      </w:r>
      <w:r>
        <w:rPr>
          <w:spacing w:val="-3"/>
          <w:sz w:val="21"/>
        </w:rPr>
        <w:t>8</w:t>
      </w:r>
      <w:r>
        <w:rPr>
          <w:sz w:val="21"/>
        </w:rPr>
        <w:t>4</w:t>
      </w:r>
      <w:r>
        <w:rPr>
          <w:spacing w:val="-53"/>
          <w:sz w:val="21"/>
        </w:rPr>
        <w:t xml:space="preserve"> </w:t>
      </w:r>
      <w:r>
        <w:rPr>
          <w:spacing w:val="-3"/>
          <w:sz w:val="21"/>
        </w:rPr>
        <w:t>测出的操作者耳旁噪声声压级值不得大于</w:t>
      </w:r>
      <w:r>
        <w:rPr>
          <w:spacing w:val="-52"/>
          <w:sz w:val="21"/>
        </w:rPr>
        <w:t xml:space="preserve"> </w:t>
      </w:r>
      <w:r>
        <w:rPr>
          <w:spacing w:val="-3"/>
          <w:sz w:val="21"/>
        </w:rPr>
        <w:t>10</w:t>
      </w:r>
      <w:r>
        <w:rPr>
          <w:sz w:val="21"/>
        </w:rPr>
        <w:t>5d</w:t>
      </w:r>
      <w:r>
        <w:rPr>
          <w:spacing w:val="-1"/>
          <w:sz w:val="21"/>
        </w:rPr>
        <w:t>B</w:t>
      </w:r>
      <w:r>
        <w:rPr>
          <w:sz w:val="21"/>
        </w:rPr>
        <w:t>（</w:t>
      </w:r>
      <w:r>
        <w:rPr>
          <w:spacing w:val="-3"/>
          <w:sz w:val="21"/>
        </w:rPr>
        <w:t>A</w:t>
      </w:r>
      <w:r>
        <w:rPr>
          <w:spacing w:val="-106"/>
          <w:sz w:val="21"/>
        </w:rPr>
        <w:t>）</w:t>
      </w:r>
      <w:r>
        <w:rPr>
          <w:spacing w:val="-3"/>
          <w:sz w:val="21"/>
        </w:rPr>
        <w:t>。</w:t>
      </w:r>
      <w:r>
        <w:rPr>
          <w:sz w:val="21"/>
        </w:rPr>
        <w:t xml:space="preserve"> </w:t>
      </w:r>
    </w:p>
    <w:p w14:paraId="346A3778" w14:textId="77777777" w:rsidR="00A71EEF" w:rsidRDefault="00A71EEF">
      <w:pPr>
        <w:pStyle w:val="a3"/>
        <w:spacing w:before="9"/>
        <w:rPr>
          <w:sz w:val="15"/>
        </w:rPr>
      </w:pPr>
    </w:p>
    <w:p w14:paraId="69DEBBD3" w14:textId="77777777" w:rsidR="00A71EEF" w:rsidRDefault="0081115D">
      <w:pPr>
        <w:pStyle w:val="4"/>
      </w:pPr>
      <w:r>
        <w:t xml:space="preserve">4 </w:t>
      </w:r>
      <w:r>
        <w:t>发动机技术要求</w:t>
      </w:r>
      <w:r>
        <w:rPr>
          <w:w w:val="99"/>
        </w:rPr>
        <w:t xml:space="preserve"> </w:t>
      </w:r>
    </w:p>
    <w:p w14:paraId="20D88790" w14:textId="77777777" w:rsidR="00A71EEF" w:rsidRDefault="00A71EEF">
      <w:pPr>
        <w:pStyle w:val="a3"/>
        <w:spacing w:before="6"/>
        <w:rPr>
          <w:b/>
          <w:sz w:val="17"/>
        </w:rPr>
      </w:pPr>
    </w:p>
    <w:p w14:paraId="2DD56718" w14:textId="77777777" w:rsidR="00A71EEF" w:rsidRDefault="0081115D">
      <w:pPr>
        <w:pStyle w:val="a4"/>
        <w:numPr>
          <w:ilvl w:val="1"/>
          <w:numId w:val="23"/>
        </w:numPr>
        <w:tabs>
          <w:tab w:val="left" w:pos="1160"/>
        </w:tabs>
        <w:rPr>
          <w:sz w:val="21"/>
        </w:rPr>
      </w:pPr>
      <w:r>
        <w:rPr>
          <w:spacing w:val="-3"/>
          <w:sz w:val="21"/>
        </w:rPr>
        <w:t>灭火机用发动机的标定功率为最大功率。</w:t>
      </w:r>
      <w:r>
        <w:rPr>
          <w:sz w:val="21"/>
        </w:rPr>
        <w:t xml:space="preserve"> </w:t>
      </w:r>
    </w:p>
    <w:p w14:paraId="6EE0DE01" w14:textId="77777777" w:rsidR="00A71EEF" w:rsidRDefault="00A71EEF">
      <w:pPr>
        <w:pStyle w:val="a3"/>
        <w:spacing w:before="12"/>
        <w:rPr>
          <w:sz w:val="17"/>
        </w:rPr>
      </w:pPr>
    </w:p>
    <w:p w14:paraId="43B1C7D8" w14:textId="77777777" w:rsidR="00A71EEF" w:rsidRDefault="0081115D">
      <w:pPr>
        <w:pStyle w:val="a4"/>
        <w:numPr>
          <w:ilvl w:val="1"/>
          <w:numId w:val="23"/>
        </w:numPr>
        <w:tabs>
          <w:tab w:val="left" w:pos="1159"/>
        </w:tabs>
        <w:ind w:left="1158" w:hanging="319"/>
        <w:rPr>
          <w:sz w:val="21"/>
        </w:rPr>
      </w:pPr>
      <w:r>
        <w:rPr>
          <w:spacing w:val="-6"/>
          <w:sz w:val="21"/>
        </w:rPr>
        <w:t>灭火机用发动机的主要性能及指标应符合</w:t>
      </w:r>
      <w:r>
        <w:rPr>
          <w:spacing w:val="-6"/>
          <w:sz w:val="21"/>
        </w:rPr>
        <w:t xml:space="preserve"> </w:t>
      </w:r>
      <w:r>
        <w:rPr>
          <w:sz w:val="21"/>
        </w:rPr>
        <w:t>GB</w:t>
      </w:r>
      <w:r>
        <w:rPr>
          <w:spacing w:val="-2"/>
          <w:sz w:val="21"/>
        </w:rPr>
        <w:t xml:space="preserve"> </w:t>
      </w:r>
      <w:r>
        <w:rPr>
          <w:sz w:val="21"/>
        </w:rPr>
        <w:t>5392</w:t>
      </w:r>
      <w:r>
        <w:rPr>
          <w:spacing w:val="-13"/>
          <w:sz w:val="21"/>
        </w:rPr>
        <w:t xml:space="preserve"> </w:t>
      </w:r>
      <w:r>
        <w:rPr>
          <w:spacing w:val="-13"/>
          <w:sz w:val="21"/>
        </w:rPr>
        <w:t>的规定。</w:t>
      </w:r>
      <w:r>
        <w:rPr>
          <w:sz w:val="21"/>
        </w:rPr>
        <w:t xml:space="preserve"> </w:t>
      </w:r>
    </w:p>
    <w:p w14:paraId="164C907F" w14:textId="77777777" w:rsidR="00A71EEF" w:rsidRDefault="00A71EEF">
      <w:pPr>
        <w:rPr>
          <w:sz w:val="21"/>
        </w:rPr>
        <w:sectPr w:rsidR="00A71EEF">
          <w:pgSz w:w="11910" w:h="16850"/>
          <w:pgMar w:top="1060" w:right="0" w:bottom="1420" w:left="1260" w:header="0" w:footer="1239" w:gutter="0"/>
          <w:cols w:space="720"/>
        </w:sectPr>
      </w:pPr>
    </w:p>
    <w:p w14:paraId="1250289D" w14:textId="77777777" w:rsidR="00A71EEF" w:rsidRDefault="0081115D">
      <w:pPr>
        <w:pStyle w:val="4"/>
        <w:spacing w:before="37"/>
      </w:pPr>
      <w:r>
        <w:t xml:space="preserve">5 </w:t>
      </w:r>
      <w:r>
        <w:t>主要零部件技术要求</w:t>
      </w:r>
      <w:r>
        <w:rPr>
          <w:w w:val="99"/>
        </w:rPr>
        <w:t xml:space="preserve"> </w:t>
      </w:r>
    </w:p>
    <w:p w14:paraId="2832C5A9" w14:textId="77777777" w:rsidR="00A71EEF" w:rsidRDefault="00A71EEF">
      <w:pPr>
        <w:pStyle w:val="a3"/>
        <w:spacing w:before="4"/>
        <w:rPr>
          <w:b/>
          <w:sz w:val="17"/>
        </w:rPr>
      </w:pPr>
    </w:p>
    <w:p w14:paraId="3ED5A7D5" w14:textId="77777777" w:rsidR="00A71EEF" w:rsidRDefault="0081115D">
      <w:pPr>
        <w:spacing w:before="1"/>
        <w:ind w:left="840"/>
        <w:rPr>
          <w:sz w:val="21"/>
        </w:rPr>
      </w:pPr>
      <w:r>
        <w:rPr>
          <w:b/>
          <w:sz w:val="21"/>
        </w:rPr>
        <w:t xml:space="preserve">5.1 </w:t>
      </w:r>
      <w:r>
        <w:rPr>
          <w:sz w:val="21"/>
        </w:rPr>
        <w:t>风机：</w:t>
      </w:r>
      <w:r>
        <w:rPr>
          <w:sz w:val="21"/>
        </w:rPr>
        <w:t xml:space="preserve"> </w:t>
      </w:r>
    </w:p>
    <w:p w14:paraId="25945C24" w14:textId="77777777" w:rsidR="00A71EEF" w:rsidRDefault="00A71EEF">
      <w:pPr>
        <w:pStyle w:val="a3"/>
        <w:spacing w:before="12"/>
        <w:rPr>
          <w:sz w:val="17"/>
        </w:rPr>
      </w:pPr>
    </w:p>
    <w:p w14:paraId="479F88AD" w14:textId="77777777" w:rsidR="00A71EEF" w:rsidRDefault="0081115D">
      <w:pPr>
        <w:pStyle w:val="a4"/>
        <w:numPr>
          <w:ilvl w:val="2"/>
          <w:numId w:val="22"/>
        </w:numPr>
        <w:tabs>
          <w:tab w:val="left" w:pos="1371"/>
        </w:tabs>
        <w:rPr>
          <w:sz w:val="21"/>
        </w:rPr>
      </w:pPr>
      <w:r>
        <w:rPr>
          <w:spacing w:val="-7"/>
          <w:sz w:val="21"/>
        </w:rPr>
        <w:t>灭火机风机全压效率应不低于</w:t>
      </w:r>
      <w:r>
        <w:rPr>
          <w:spacing w:val="-7"/>
          <w:sz w:val="21"/>
        </w:rPr>
        <w:t xml:space="preserve"> </w:t>
      </w:r>
      <w:r>
        <w:rPr>
          <w:sz w:val="21"/>
        </w:rPr>
        <w:t>60%</w:t>
      </w:r>
      <w:r>
        <w:rPr>
          <w:sz w:val="21"/>
        </w:rPr>
        <w:t>（</w:t>
      </w:r>
      <w:r>
        <w:rPr>
          <w:spacing w:val="-3"/>
          <w:sz w:val="21"/>
        </w:rPr>
        <w:t>叶片前向弯曲叶轮</w:t>
      </w:r>
      <w:r>
        <w:rPr>
          <w:spacing w:val="-106"/>
          <w:sz w:val="21"/>
        </w:rPr>
        <w:t>）</w:t>
      </w:r>
      <w:r>
        <w:rPr>
          <w:spacing w:val="-3"/>
          <w:sz w:val="21"/>
        </w:rPr>
        <w:t>。</w:t>
      </w:r>
      <w:r>
        <w:rPr>
          <w:sz w:val="21"/>
        </w:rPr>
        <w:t xml:space="preserve"> </w:t>
      </w:r>
    </w:p>
    <w:p w14:paraId="4E4B2625" w14:textId="77777777" w:rsidR="00A71EEF" w:rsidRDefault="00A71EEF">
      <w:pPr>
        <w:pStyle w:val="a3"/>
        <w:spacing w:before="2"/>
        <w:rPr>
          <w:sz w:val="18"/>
        </w:rPr>
      </w:pPr>
    </w:p>
    <w:p w14:paraId="3403365B" w14:textId="77777777" w:rsidR="00A71EEF" w:rsidRDefault="0081115D">
      <w:pPr>
        <w:pStyle w:val="a4"/>
        <w:numPr>
          <w:ilvl w:val="2"/>
          <w:numId w:val="22"/>
        </w:numPr>
        <w:tabs>
          <w:tab w:val="left" w:pos="1371"/>
        </w:tabs>
        <w:spacing w:line="446" w:lineRule="auto"/>
        <w:ind w:left="418" w:right="1433" w:firstLine="422"/>
        <w:rPr>
          <w:sz w:val="21"/>
        </w:rPr>
      </w:pPr>
      <w:r>
        <w:rPr>
          <w:spacing w:val="-7"/>
          <w:sz w:val="21"/>
        </w:rPr>
        <w:t>风机耐久性试验应不少于</w:t>
      </w:r>
      <w:r>
        <w:rPr>
          <w:spacing w:val="-7"/>
          <w:sz w:val="21"/>
        </w:rPr>
        <w:t xml:space="preserve"> </w:t>
      </w:r>
      <w:r>
        <w:rPr>
          <w:sz w:val="21"/>
        </w:rPr>
        <w:t>160h</w:t>
      </w:r>
      <w:r>
        <w:rPr>
          <w:spacing w:val="-9"/>
          <w:sz w:val="21"/>
        </w:rPr>
        <w:t>，试验方法应符合</w:t>
      </w:r>
      <w:r>
        <w:rPr>
          <w:spacing w:val="-9"/>
          <w:sz w:val="21"/>
        </w:rPr>
        <w:t xml:space="preserve"> </w:t>
      </w:r>
      <w:r>
        <w:rPr>
          <w:sz w:val="21"/>
        </w:rPr>
        <w:t>GB</w:t>
      </w:r>
      <w:r>
        <w:rPr>
          <w:spacing w:val="15"/>
          <w:sz w:val="21"/>
        </w:rPr>
        <w:t xml:space="preserve"> </w:t>
      </w:r>
      <w:r>
        <w:rPr>
          <w:sz w:val="21"/>
        </w:rPr>
        <w:t>10281</w:t>
      </w:r>
      <w:r>
        <w:rPr>
          <w:spacing w:val="-9"/>
          <w:sz w:val="21"/>
        </w:rPr>
        <w:t xml:space="preserve"> </w:t>
      </w:r>
      <w:r>
        <w:rPr>
          <w:spacing w:val="-9"/>
          <w:sz w:val="21"/>
        </w:rPr>
        <w:t>的规定。试验后，各零、</w:t>
      </w:r>
      <w:r>
        <w:rPr>
          <w:spacing w:val="-5"/>
          <w:sz w:val="21"/>
        </w:rPr>
        <w:t>部件不应出现裂纹和明显变形。</w:t>
      </w:r>
      <w:r>
        <w:rPr>
          <w:sz w:val="21"/>
        </w:rPr>
        <w:t xml:space="preserve"> </w:t>
      </w:r>
    </w:p>
    <w:p w14:paraId="7A48FD86" w14:textId="77777777" w:rsidR="00A71EEF" w:rsidRDefault="0081115D">
      <w:pPr>
        <w:pStyle w:val="a4"/>
        <w:numPr>
          <w:ilvl w:val="2"/>
          <w:numId w:val="22"/>
        </w:numPr>
        <w:tabs>
          <w:tab w:val="left" w:pos="1371"/>
        </w:tabs>
        <w:spacing w:line="267" w:lineRule="exact"/>
        <w:rPr>
          <w:b/>
          <w:sz w:val="21"/>
        </w:rPr>
      </w:pPr>
      <w:r>
        <w:rPr>
          <w:spacing w:val="-6"/>
          <w:sz w:val="21"/>
        </w:rPr>
        <w:t>叶轮应进行静平衡检验，偏摆范围不得超过</w:t>
      </w:r>
      <w:r>
        <w:rPr>
          <w:spacing w:val="-6"/>
          <w:sz w:val="21"/>
        </w:rPr>
        <w:t xml:space="preserve"> </w:t>
      </w:r>
      <w:r>
        <w:rPr>
          <w:sz w:val="21"/>
        </w:rPr>
        <w:t>30°</w:t>
      </w:r>
      <w:r>
        <w:rPr>
          <w:spacing w:val="-3"/>
          <w:sz w:val="21"/>
        </w:rPr>
        <w:t>。</w:t>
      </w:r>
      <w:r>
        <w:rPr>
          <w:b/>
          <w:w w:val="99"/>
          <w:sz w:val="21"/>
        </w:rPr>
        <w:t xml:space="preserve"> </w:t>
      </w:r>
    </w:p>
    <w:p w14:paraId="5D32EDEC" w14:textId="77777777" w:rsidR="00A71EEF" w:rsidRDefault="00A71EEF">
      <w:pPr>
        <w:pStyle w:val="a3"/>
        <w:spacing w:before="2"/>
        <w:rPr>
          <w:b/>
          <w:sz w:val="18"/>
        </w:rPr>
      </w:pPr>
    </w:p>
    <w:p w14:paraId="05DE5479" w14:textId="77777777" w:rsidR="00A71EEF" w:rsidRDefault="0081115D">
      <w:pPr>
        <w:pStyle w:val="a4"/>
        <w:numPr>
          <w:ilvl w:val="2"/>
          <w:numId w:val="22"/>
        </w:numPr>
        <w:tabs>
          <w:tab w:val="left" w:pos="1371"/>
        </w:tabs>
        <w:spacing w:line="446" w:lineRule="auto"/>
        <w:ind w:left="418" w:right="1431" w:firstLine="422"/>
        <w:rPr>
          <w:sz w:val="21"/>
        </w:rPr>
      </w:pPr>
      <w:r>
        <w:rPr>
          <w:spacing w:val="-11"/>
          <w:sz w:val="21"/>
        </w:rPr>
        <w:t>叶轮应进行</w:t>
      </w:r>
      <w:r>
        <w:rPr>
          <w:spacing w:val="-11"/>
          <w:sz w:val="21"/>
        </w:rPr>
        <w:t xml:space="preserve"> </w:t>
      </w:r>
      <w:r>
        <w:rPr>
          <w:sz w:val="21"/>
        </w:rPr>
        <w:t>1.3</w:t>
      </w:r>
      <w:r>
        <w:rPr>
          <w:spacing w:val="-10"/>
          <w:sz w:val="21"/>
        </w:rPr>
        <w:t xml:space="preserve"> </w:t>
      </w:r>
      <w:r>
        <w:rPr>
          <w:spacing w:val="-10"/>
          <w:sz w:val="21"/>
        </w:rPr>
        <w:t>倍于标定转速的超速试验。试验方法应符合</w:t>
      </w:r>
      <w:r>
        <w:rPr>
          <w:spacing w:val="-10"/>
          <w:sz w:val="21"/>
        </w:rPr>
        <w:t xml:space="preserve"> </w:t>
      </w:r>
      <w:r>
        <w:rPr>
          <w:sz w:val="21"/>
        </w:rPr>
        <w:t>GB</w:t>
      </w:r>
      <w:r>
        <w:rPr>
          <w:spacing w:val="41"/>
          <w:sz w:val="21"/>
        </w:rPr>
        <w:t xml:space="preserve"> </w:t>
      </w:r>
      <w:r>
        <w:rPr>
          <w:sz w:val="21"/>
        </w:rPr>
        <w:t>10281</w:t>
      </w:r>
      <w:r>
        <w:rPr>
          <w:spacing w:val="-10"/>
          <w:sz w:val="21"/>
        </w:rPr>
        <w:t xml:space="preserve"> </w:t>
      </w:r>
      <w:r>
        <w:rPr>
          <w:spacing w:val="-10"/>
          <w:sz w:val="21"/>
        </w:rPr>
        <w:t>的规定，试验</w:t>
      </w:r>
      <w:r>
        <w:rPr>
          <w:spacing w:val="-5"/>
          <w:sz w:val="21"/>
        </w:rPr>
        <w:t>后，各处不应有变形、裂痕、损坏。</w:t>
      </w:r>
      <w:r>
        <w:rPr>
          <w:sz w:val="21"/>
        </w:rPr>
        <w:t xml:space="preserve"> </w:t>
      </w:r>
    </w:p>
    <w:p w14:paraId="3D5B625A" w14:textId="77777777" w:rsidR="00A71EEF" w:rsidRDefault="0081115D">
      <w:pPr>
        <w:pStyle w:val="a3"/>
        <w:spacing w:line="267" w:lineRule="exact"/>
        <w:ind w:left="840"/>
      </w:pPr>
      <w:r>
        <w:rPr>
          <w:b/>
        </w:rPr>
        <w:t xml:space="preserve">5.2 </w:t>
      </w:r>
      <w:r>
        <w:t>外购件、外协件和原材料均需符合有关标准和技术文件的规定。</w:t>
      </w:r>
      <w:r>
        <w:t xml:space="preserve"> </w:t>
      </w:r>
    </w:p>
    <w:p w14:paraId="75D8D99A" w14:textId="77777777" w:rsidR="00A71EEF" w:rsidRDefault="00A71EEF">
      <w:pPr>
        <w:pStyle w:val="a3"/>
        <w:spacing w:before="10"/>
        <w:rPr>
          <w:sz w:val="15"/>
        </w:rPr>
      </w:pPr>
    </w:p>
    <w:p w14:paraId="1B20F105" w14:textId="77777777" w:rsidR="00A71EEF" w:rsidRDefault="0081115D">
      <w:pPr>
        <w:pStyle w:val="4"/>
      </w:pPr>
      <w:r>
        <w:t xml:space="preserve">6 </w:t>
      </w:r>
      <w:r>
        <w:t>检验分类</w:t>
      </w:r>
      <w:r>
        <w:rPr>
          <w:w w:val="99"/>
        </w:rPr>
        <w:t xml:space="preserve"> </w:t>
      </w:r>
    </w:p>
    <w:p w14:paraId="59CAFAE5" w14:textId="77777777" w:rsidR="00A71EEF" w:rsidRDefault="00A71EEF">
      <w:pPr>
        <w:pStyle w:val="a3"/>
        <w:spacing w:before="4"/>
        <w:rPr>
          <w:b/>
          <w:sz w:val="17"/>
        </w:rPr>
      </w:pPr>
    </w:p>
    <w:p w14:paraId="5B08183A" w14:textId="77777777" w:rsidR="00A71EEF" w:rsidRDefault="0081115D">
      <w:pPr>
        <w:pStyle w:val="a4"/>
        <w:numPr>
          <w:ilvl w:val="1"/>
          <w:numId w:val="21"/>
        </w:numPr>
        <w:tabs>
          <w:tab w:val="left" w:pos="1159"/>
        </w:tabs>
        <w:ind w:hanging="319"/>
        <w:rPr>
          <w:sz w:val="21"/>
        </w:rPr>
      </w:pPr>
      <w:r>
        <w:rPr>
          <w:spacing w:val="-3"/>
          <w:sz w:val="21"/>
        </w:rPr>
        <w:t>灭火机产品检验时要进行试验，试验分形式试验、出厂试验和定期抽查试验。</w:t>
      </w:r>
      <w:r>
        <w:rPr>
          <w:sz w:val="21"/>
        </w:rPr>
        <w:t xml:space="preserve"> </w:t>
      </w:r>
    </w:p>
    <w:p w14:paraId="60965EA2" w14:textId="77777777" w:rsidR="00A71EEF" w:rsidRDefault="00A71EEF">
      <w:pPr>
        <w:pStyle w:val="a3"/>
        <w:spacing w:before="12"/>
        <w:rPr>
          <w:sz w:val="17"/>
        </w:rPr>
      </w:pPr>
    </w:p>
    <w:p w14:paraId="03B94678" w14:textId="77777777" w:rsidR="00A71EEF" w:rsidRDefault="0081115D">
      <w:pPr>
        <w:pStyle w:val="a4"/>
        <w:numPr>
          <w:ilvl w:val="1"/>
          <w:numId w:val="21"/>
        </w:numPr>
        <w:tabs>
          <w:tab w:val="left" w:pos="1160"/>
        </w:tabs>
        <w:ind w:left="1159" w:hanging="320"/>
        <w:rPr>
          <w:sz w:val="21"/>
        </w:rPr>
      </w:pPr>
      <w:r>
        <w:rPr>
          <w:spacing w:val="-3"/>
          <w:sz w:val="21"/>
        </w:rPr>
        <w:t>新产品定型或结构、工艺有较大改变，老产品转厂出产时均必须进行形式试验。</w:t>
      </w:r>
      <w:r>
        <w:rPr>
          <w:sz w:val="21"/>
        </w:rPr>
        <w:t xml:space="preserve"> </w:t>
      </w:r>
    </w:p>
    <w:p w14:paraId="75D1265C" w14:textId="77777777" w:rsidR="00A71EEF" w:rsidRDefault="00A71EEF">
      <w:pPr>
        <w:pStyle w:val="a3"/>
        <w:spacing w:before="2"/>
        <w:rPr>
          <w:sz w:val="18"/>
        </w:rPr>
      </w:pPr>
    </w:p>
    <w:p w14:paraId="73B97D2C" w14:textId="77777777" w:rsidR="00A71EEF" w:rsidRDefault="0081115D">
      <w:pPr>
        <w:pStyle w:val="a3"/>
        <w:spacing w:line="446" w:lineRule="auto"/>
        <w:ind w:left="838" w:right="8133"/>
      </w:pPr>
      <w:r>
        <w:rPr>
          <w:spacing w:val="-3"/>
        </w:rPr>
        <w:t>试验项目包括：</w:t>
      </w:r>
      <w:r>
        <w:rPr>
          <w:spacing w:val="-3"/>
        </w:rPr>
        <w:t xml:space="preserve">  </w:t>
      </w:r>
      <w:r>
        <w:t>a.</w:t>
      </w:r>
      <w:r>
        <w:rPr>
          <w:spacing w:val="-3"/>
        </w:rPr>
        <w:t>风机性能试验；</w:t>
      </w:r>
      <w:r>
        <w:t xml:space="preserve"> </w:t>
      </w:r>
    </w:p>
    <w:p w14:paraId="2E03F49A" w14:textId="77777777" w:rsidR="00A71EEF" w:rsidRDefault="0081115D">
      <w:pPr>
        <w:pStyle w:val="a4"/>
        <w:numPr>
          <w:ilvl w:val="0"/>
          <w:numId w:val="20"/>
        </w:numPr>
        <w:tabs>
          <w:tab w:val="left" w:pos="1051"/>
        </w:tabs>
        <w:spacing w:line="446" w:lineRule="auto"/>
        <w:ind w:right="1435" w:firstLine="419"/>
        <w:rPr>
          <w:sz w:val="21"/>
        </w:rPr>
      </w:pPr>
      <w:r>
        <w:rPr>
          <w:spacing w:val="-7"/>
          <w:sz w:val="21"/>
        </w:rPr>
        <w:t>整机性能试验，包括起动性能试验、翻转性能试脸、连续运转可靠性试验、风机耐久性试</w:t>
      </w:r>
      <w:r>
        <w:rPr>
          <w:spacing w:val="-5"/>
          <w:sz w:val="21"/>
        </w:rPr>
        <w:t>验、手感振动试验、耳旁噪声试验、一次加油连续工作时间测定。</w:t>
      </w:r>
      <w:r>
        <w:rPr>
          <w:sz w:val="21"/>
        </w:rPr>
        <w:t xml:space="preserve"> </w:t>
      </w:r>
    </w:p>
    <w:p w14:paraId="68CB75E9" w14:textId="77777777" w:rsidR="00A71EEF" w:rsidRDefault="0081115D">
      <w:pPr>
        <w:pStyle w:val="a4"/>
        <w:numPr>
          <w:ilvl w:val="0"/>
          <w:numId w:val="20"/>
        </w:numPr>
        <w:tabs>
          <w:tab w:val="left" w:pos="1051"/>
        </w:tabs>
        <w:ind w:left="1050"/>
        <w:rPr>
          <w:sz w:val="21"/>
        </w:rPr>
      </w:pPr>
      <w:r>
        <w:rPr>
          <w:spacing w:val="-3"/>
          <w:sz w:val="21"/>
        </w:rPr>
        <w:t>叶轮性能试验，包括叶轮静平衡试验、叶轮超速试验。</w:t>
      </w:r>
      <w:r>
        <w:rPr>
          <w:sz w:val="21"/>
        </w:rPr>
        <w:t xml:space="preserve"> </w:t>
      </w:r>
    </w:p>
    <w:p w14:paraId="60774DCD" w14:textId="77777777" w:rsidR="00A71EEF" w:rsidRDefault="00A71EEF">
      <w:pPr>
        <w:pStyle w:val="a3"/>
        <w:spacing w:before="10"/>
        <w:rPr>
          <w:sz w:val="17"/>
        </w:rPr>
      </w:pPr>
    </w:p>
    <w:p w14:paraId="5BF0895D" w14:textId="77777777" w:rsidR="00A71EEF" w:rsidRDefault="0081115D">
      <w:pPr>
        <w:pStyle w:val="a4"/>
        <w:numPr>
          <w:ilvl w:val="1"/>
          <w:numId w:val="21"/>
        </w:numPr>
        <w:tabs>
          <w:tab w:val="left" w:pos="1160"/>
        </w:tabs>
        <w:spacing w:line="446" w:lineRule="auto"/>
        <w:ind w:left="418" w:right="1431" w:firstLine="422"/>
        <w:rPr>
          <w:sz w:val="21"/>
        </w:rPr>
      </w:pPr>
      <w:r>
        <w:rPr>
          <w:spacing w:val="-6"/>
          <w:sz w:val="21"/>
        </w:rPr>
        <w:t>鉴定定型批量生产的灭火机，产品出厂必须进行出厂试验。在确保产品质的前提下，工厂可自行决定试验项目，但必须进行起动性能试验，并且在标定转速下稳定运转</w:t>
      </w:r>
      <w:r>
        <w:rPr>
          <w:spacing w:val="-6"/>
          <w:sz w:val="21"/>
        </w:rPr>
        <w:t xml:space="preserve"> </w:t>
      </w:r>
      <w:r>
        <w:rPr>
          <w:sz w:val="21"/>
        </w:rPr>
        <w:t xml:space="preserve">1min, </w:t>
      </w:r>
    </w:p>
    <w:p w14:paraId="35D29119" w14:textId="77777777" w:rsidR="00A71EEF" w:rsidRDefault="0081115D">
      <w:pPr>
        <w:pStyle w:val="a4"/>
        <w:numPr>
          <w:ilvl w:val="1"/>
          <w:numId w:val="21"/>
        </w:numPr>
        <w:tabs>
          <w:tab w:val="left" w:pos="1160"/>
        </w:tabs>
        <w:spacing w:before="1" w:line="446" w:lineRule="auto"/>
        <w:ind w:left="418" w:right="1431" w:firstLine="422"/>
        <w:rPr>
          <w:sz w:val="21"/>
        </w:rPr>
      </w:pPr>
      <w:r>
        <w:rPr>
          <w:spacing w:val="-5"/>
          <w:sz w:val="21"/>
        </w:rPr>
        <w:t>批盘生产的灭火机应根据批量的大小，定期抽取一定数量的灭火机进行试脸。试脸项目</w:t>
      </w:r>
      <w:r>
        <w:rPr>
          <w:spacing w:val="-14"/>
          <w:sz w:val="21"/>
        </w:rPr>
        <w:t>应包括第</w:t>
      </w:r>
      <w:r>
        <w:rPr>
          <w:spacing w:val="-14"/>
          <w:sz w:val="21"/>
        </w:rPr>
        <w:t xml:space="preserve"> </w:t>
      </w:r>
      <w:r>
        <w:rPr>
          <w:sz w:val="21"/>
        </w:rPr>
        <w:t>6.2</w:t>
      </w:r>
      <w:r>
        <w:rPr>
          <w:spacing w:val="-37"/>
          <w:sz w:val="21"/>
        </w:rPr>
        <w:t xml:space="preserve"> </w:t>
      </w:r>
      <w:r>
        <w:rPr>
          <w:spacing w:val="-37"/>
          <w:sz w:val="21"/>
        </w:rPr>
        <w:t>条</w:t>
      </w:r>
      <w:r>
        <w:rPr>
          <w:spacing w:val="-37"/>
          <w:sz w:val="21"/>
        </w:rPr>
        <w:t xml:space="preserve"> </w:t>
      </w:r>
      <w:r>
        <w:rPr>
          <w:sz w:val="21"/>
        </w:rPr>
        <w:t>b</w:t>
      </w:r>
      <w:r>
        <w:rPr>
          <w:spacing w:val="-37"/>
          <w:sz w:val="21"/>
        </w:rPr>
        <w:t xml:space="preserve"> </w:t>
      </w:r>
      <w:r>
        <w:rPr>
          <w:spacing w:val="-37"/>
          <w:sz w:val="21"/>
        </w:rPr>
        <w:t>和</w:t>
      </w:r>
      <w:r>
        <w:rPr>
          <w:spacing w:val="-37"/>
          <w:sz w:val="21"/>
        </w:rPr>
        <w:t xml:space="preserve"> </w:t>
      </w:r>
      <w:r>
        <w:rPr>
          <w:sz w:val="21"/>
        </w:rPr>
        <w:t>c</w:t>
      </w:r>
      <w:r>
        <w:rPr>
          <w:spacing w:val="-10"/>
          <w:sz w:val="21"/>
        </w:rPr>
        <w:t xml:space="preserve"> </w:t>
      </w:r>
      <w:r>
        <w:rPr>
          <w:spacing w:val="-10"/>
          <w:sz w:val="21"/>
        </w:rPr>
        <w:t>的各项内容。</w:t>
      </w:r>
      <w:r>
        <w:rPr>
          <w:sz w:val="21"/>
        </w:rPr>
        <w:t xml:space="preserve"> </w:t>
      </w:r>
    </w:p>
    <w:p w14:paraId="6A153D87" w14:textId="77777777" w:rsidR="00A71EEF" w:rsidRDefault="0081115D">
      <w:pPr>
        <w:pStyle w:val="4"/>
        <w:spacing w:line="277" w:lineRule="exact"/>
      </w:pPr>
      <w:r>
        <w:t xml:space="preserve">7 </w:t>
      </w:r>
      <w:r>
        <w:t>验收规则</w:t>
      </w:r>
      <w:r>
        <w:rPr>
          <w:w w:val="99"/>
        </w:rPr>
        <w:t xml:space="preserve"> </w:t>
      </w:r>
    </w:p>
    <w:p w14:paraId="4BE64EE4" w14:textId="77777777" w:rsidR="00A71EEF" w:rsidRDefault="00A71EEF">
      <w:pPr>
        <w:pStyle w:val="a3"/>
        <w:spacing w:before="3"/>
        <w:rPr>
          <w:b/>
          <w:sz w:val="17"/>
        </w:rPr>
      </w:pPr>
    </w:p>
    <w:p w14:paraId="5D6D5B6A" w14:textId="77777777" w:rsidR="00A71EEF" w:rsidRDefault="0081115D">
      <w:pPr>
        <w:pStyle w:val="a4"/>
        <w:numPr>
          <w:ilvl w:val="1"/>
          <w:numId w:val="19"/>
        </w:numPr>
        <w:tabs>
          <w:tab w:val="left" w:pos="1230"/>
        </w:tabs>
        <w:spacing w:before="1" w:line="446" w:lineRule="auto"/>
        <w:ind w:right="1431" w:firstLine="422"/>
        <w:rPr>
          <w:sz w:val="21"/>
        </w:rPr>
      </w:pPr>
      <w:r>
        <w:rPr>
          <w:spacing w:val="-3"/>
          <w:sz w:val="21"/>
        </w:rPr>
        <w:t>制造厂应按有关标准编制试验大纲和试验规范，产品必须按规范进行试脸，合格后方能出厂。</w:t>
      </w:r>
      <w:r>
        <w:rPr>
          <w:sz w:val="21"/>
        </w:rPr>
        <w:t xml:space="preserve"> </w:t>
      </w:r>
    </w:p>
    <w:p w14:paraId="4758E280" w14:textId="77777777" w:rsidR="00A71EEF" w:rsidRDefault="0081115D">
      <w:pPr>
        <w:pStyle w:val="a4"/>
        <w:numPr>
          <w:ilvl w:val="1"/>
          <w:numId w:val="19"/>
        </w:numPr>
        <w:tabs>
          <w:tab w:val="left" w:pos="1213"/>
        </w:tabs>
        <w:ind w:left="1212" w:hanging="373"/>
        <w:rPr>
          <w:sz w:val="21"/>
        </w:rPr>
      </w:pPr>
      <w:r>
        <w:rPr>
          <w:spacing w:val="-7"/>
          <w:sz w:val="21"/>
        </w:rPr>
        <w:t>产品抽样方案与判定规则应符合</w:t>
      </w:r>
      <w:r>
        <w:rPr>
          <w:spacing w:val="-7"/>
          <w:sz w:val="21"/>
        </w:rPr>
        <w:t xml:space="preserve"> </w:t>
      </w:r>
      <w:r>
        <w:rPr>
          <w:sz w:val="21"/>
        </w:rPr>
        <w:t>GB</w:t>
      </w:r>
      <w:r>
        <w:rPr>
          <w:spacing w:val="-2"/>
          <w:sz w:val="21"/>
        </w:rPr>
        <w:t xml:space="preserve"> </w:t>
      </w:r>
      <w:r>
        <w:rPr>
          <w:sz w:val="21"/>
        </w:rPr>
        <w:t>2828</w:t>
      </w:r>
      <w:r>
        <w:rPr>
          <w:spacing w:val="-13"/>
          <w:sz w:val="21"/>
        </w:rPr>
        <w:t xml:space="preserve"> </w:t>
      </w:r>
      <w:r>
        <w:rPr>
          <w:spacing w:val="-13"/>
          <w:sz w:val="21"/>
        </w:rPr>
        <w:t>的规定。</w:t>
      </w:r>
      <w:r>
        <w:rPr>
          <w:sz w:val="21"/>
        </w:rPr>
        <w:t xml:space="preserve"> </w:t>
      </w:r>
    </w:p>
    <w:p w14:paraId="37F61F0B" w14:textId="77777777" w:rsidR="00A71EEF" w:rsidRDefault="00A71EEF">
      <w:pPr>
        <w:pStyle w:val="a3"/>
        <w:spacing w:before="12"/>
        <w:rPr>
          <w:sz w:val="17"/>
        </w:rPr>
      </w:pPr>
    </w:p>
    <w:p w14:paraId="7811BAF7" w14:textId="77777777" w:rsidR="00A71EEF" w:rsidRDefault="0081115D">
      <w:pPr>
        <w:pStyle w:val="a4"/>
        <w:numPr>
          <w:ilvl w:val="1"/>
          <w:numId w:val="19"/>
        </w:numPr>
        <w:tabs>
          <w:tab w:val="left" w:pos="1160"/>
        </w:tabs>
        <w:ind w:left="1159" w:hanging="320"/>
        <w:rPr>
          <w:sz w:val="21"/>
        </w:rPr>
      </w:pPr>
      <w:r>
        <w:rPr>
          <w:spacing w:val="-3"/>
          <w:sz w:val="21"/>
        </w:rPr>
        <w:t>用户如对灭火机有特殊要求，可与制造厂商定并按签订的合同进行交接验收。</w:t>
      </w:r>
      <w:r>
        <w:rPr>
          <w:spacing w:val="-3"/>
          <w:sz w:val="21"/>
        </w:rPr>
        <w:t xml:space="preserve"> </w:t>
      </w:r>
    </w:p>
    <w:p w14:paraId="5B3E8AFE" w14:textId="77777777" w:rsidR="00A71EEF" w:rsidRDefault="00A71EEF">
      <w:pPr>
        <w:pStyle w:val="a3"/>
        <w:spacing w:before="8"/>
        <w:rPr>
          <w:sz w:val="15"/>
        </w:rPr>
      </w:pPr>
    </w:p>
    <w:p w14:paraId="09671675" w14:textId="77777777" w:rsidR="00A71EEF" w:rsidRDefault="0081115D">
      <w:pPr>
        <w:pStyle w:val="4"/>
      </w:pPr>
      <w:r>
        <w:t xml:space="preserve">8 </w:t>
      </w:r>
      <w:r>
        <w:t>标志、包装、运物、贮存</w:t>
      </w:r>
      <w:r>
        <w:rPr>
          <w:w w:val="99"/>
        </w:rPr>
        <w:t xml:space="preserve"> </w:t>
      </w:r>
    </w:p>
    <w:p w14:paraId="52D5345C" w14:textId="77777777" w:rsidR="00A71EEF" w:rsidRDefault="00A71EEF">
      <w:pPr>
        <w:pStyle w:val="a3"/>
        <w:spacing w:before="6"/>
        <w:rPr>
          <w:b/>
          <w:sz w:val="17"/>
        </w:rPr>
      </w:pPr>
    </w:p>
    <w:p w14:paraId="58468D8E" w14:textId="77777777" w:rsidR="00A71EEF" w:rsidRDefault="0081115D">
      <w:pPr>
        <w:pStyle w:val="a4"/>
        <w:numPr>
          <w:ilvl w:val="1"/>
          <w:numId w:val="18"/>
        </w:numPr>
        <w:tabs>
          <w:tab w:val="left" w:pos="1159"/>
        </w:tabs>
        <w:spacing w:before="1"/>
        <w:ind w:hanging="319"/>
        <w:rPr>
          <w:b/>
          <w:sz w:val="21"/>
        </w:rPr>
      </w:pPr>
      <w:r>
        <w:rPr>
          <w:spacing w:val="-3"/>
          <w:sz w:val="21"/>
        </w:rPr>
        <w:t>灭火机外部应有铭牌，铭牌上应标有：</w:t>
      </w:r>
      <w:r>
        <w:rPr>
          <w:b/>
          <w:w w:val="99"/>
          <w:sz w:val="21"/>
        </w:rPr>
        <w:t xml:space="preserve"> </w:t>
      </w:r>
    </w:p>
    <w:p w14:paraId="25B15C26" w14:textId="77777777" w:rsidR="00A71EEF" w:rsidRDefault="00A71EEF">
      <w:pPr>
        <w:rPr>
          <w:sz w:val="21"/>
        </w:rPr>
        <w:sectPr w:rsidR="00A71EEF">
          <w:pgSz w:w="11910" w:h="16850"/>
          <w:pgMar w:top="1200" w:right="0" w:bottom="1420" w:left="1260" w:header="0" w:footer="1239" w:gutter="0"/>
          <w:cols w:space="720"/>
        </w:sectPr>
      </w:pPr>
    </w:p>
    <w:p w14:paraId="2028F64C" w14:textId="77777777" w:rsidR="00A71EEF" w:rsidRDefault="0081115D">
      <w:pPr>
        <w:pStyle w:val="a3"/>
        <w:spacing w:before="47" w:line="446" w:lineRule="auto"/>
        <w:ind w:left="838" w:right="8335"/>
        <w:jc w:val="both"/>
      </w:pPr>
      <w:r>
        <w:t xml:space="preserve">a. </w:t>
      </w:r>
      <w:r>
        <w:t>制造厂名；</w:t>
      </w:r>
      <w:r>
        <w:t xml:space="preserve"> b. </w:t>
      </w:r>
      <w:r>
        <w:t>产品名称；</w:t>
      </w:r>
      <w:r>
        <w:t xml:space="preserve"> c. </w:t>
      </w:r>
      <w:r>
        <w:t>产品型号；</w:t>
      </w:r>
      <w:r>
        <w:t xml:space="preserve"> </w:t>
      </w:r>
    </w:p>
    <w:p w14:paraId="5E7D88F1" w14:textId="77777777" w:rsidR="00A71EEF" w:rsidRDefault="0081115D">
      <w:pPr>
        <w:pStyle w:val="a3"/>
        <w:spacing w:line="268" w:lineRule="exact"/>
        <w:ind w:left="838"/>
      </w:pPr>
      <w:r>
        <w:t xml:space="preserve">d. </w:t>
      </w:r>
      <w:r>
        <w:t>出厂日期或出厂编号。</w:t>
      </w:r>
      <w:r>
        <w:t xml:space="preserve"> </w:t>
      </w:r>
    </w:p>
    <w:p w14:paraId="10FB5C65" w14:textId="77777777" w:rsidR="00A71EEF" w:rsidRDefault="00A71EEF">
      <w:pPr>
        <w:pStyle w:val="a3"/>
        <w:rPr>
          <w:sz w:val="18"/>
        </w:rPr>
      </w:pPr>
    </w:p>
    <w:p w14:paraId="1614562D" w14:textId="77777777" w:rsidR="00A71EEF" w:rsidRDefault="0081115D">
      <w:pPr>
        <w:pStyle w:val="a4"/>
        <w:numPr>
          <w:ilvl w:val="1"/>
          <w:numId w:val="18"/>
        </w:numPr>
        <w:tabs>
          <w:tab w:val="left" w:pos="1160"/>
        </w:tabs>
        <w:ind w:left="1159" w:hanging="320"/>
        <w:rPr>
          <w:sz w:val="21"/>
        </w:rPr>
      </w:pPr>
      <w:r>
        <w:rPr>
          <w:spacing w:val="-14"/>
          <w:sz w:val="21"/>
        </w:rPr>
        <w:t>灭火机及其备件出厂前应采取防锈措施，装箱后应固定稳妥，包装应牢固、可靠、防潮。</w:t>
      </w:r>
      <w:r>
        <w:rPr>
          <w:sz w:val="21"/>
        </w:rPr>
        <w:t xml:space="preserve"> </w:t>
      </w:r>
    </w:p>
    <w:p w14:paraId="253ABAC4" w14:textId="77777777" w:rsidR="00A71EEF" w:rsidRDefault="00A71EEF">
      <w:pPr>
        <w:pStyle w:val="a3"/>
        <w:spacing w:before="12"/>
        <w:rPr>
          <w:sz w:val="17"/>
        </w:rPr>
      </w:pPr>
    </w:p>
    <w:p w14:paraId="591BB071" w14:textId="77777777" w:rsidR="00A71EEF" w:rsidRDefault="0081115D">
      <w:pPr>
        <w:pStyle w:val="a4"/>
        <w:numPr>
          <w:ilvl w:val="1"/>
          <w:numId w:val="18"/>
        </w:numPr>
        <w:tabs>
          <w:tab w:val="left" w:pos="1159"/>
        </w:tabs>
        <w:spacing w:line="446" w:lineRule="auto"/>
        <w:ind w:left="838" w:right="1500" w:firstLine="2"/>
        <w:rPr>
          <w:sz w:val="21"/>
        </w:rPr>
      </w:pPr>
      <w:r>
        <w:rPr>
          <w:spacing w:val="-3"/>
          <w:sz w:val="21"/>
        </w:rPr>
        <w:t>每台灭火机出厂装箱时，随机附件、备件、工具和技术文件应齐全。技术文件包括：</w:t>
      </w:r>
      <w:r>
        <w:rPr>
          <w:spacing w:val="-3"/>
          <w:sz w:val="21"/>
        </w:rPr>
        <w:t xml:space="preserve"> </w:t>
      </w:r>
      <w:r>
        <w:rPr>
          <w:sz w:val="21"/>
        </w:rPr>
        <w:t>a.</w:t>
      </w:r>
      <w:r>
        <w:rPr>
          <w:spacing w:val="-3"/>
          <w:sz w:val="21"/>
        </w:rPr>
        <w:t xml:space="preserve"> </w:t>
      </w:r>
      <w:r>
        <w:rPr>
          <w:spacing w:val="-3"/>
          <w:sz w:val="21"/>
        </w:rPr>
        <w:t>产品合格证；</w:t>
      </w:r>
      <w:r>
        <w:rPr>
          <w:sz w:val="21"/>
        </w:rPr>
        <w:t xml:space="preserve"> </w:t>
      </w:r>
    </w:p>
    <w:p w14:paraId="164CC495" w14:textId="77777777" w:rsidR="00A71EEF" w:rsidRDefault="0081115D">
      <w:pPr>
        <w:pStyle w:val="a3"/>
        <w:spacing w:before="1" w:line="446" w:lineRule="auto"/>
        <w:ind w:left="838" w:right="8126"/>
      </w:pPr>
      <w:r>
        <w:t xml:space="preserve">b. </w:t>
      </w:r>
      <w:r>
        <w:t>产品说明书；</w:t>
      </w:r>
      <w:r>
        <w:t xml:space="preserve"> c. </w:t>
      </w:r>
      <w:r>
        <w:t>装箱单。</w:t>
      </w:r>
      <w:r>
        <w:t xml:space="preserve"> </w:t>
      </w:r>
    </w:p>
    <w:p w14:paraId="1A1E4054" w14:textId="77777777" w:rsidR="00A71EEF" w:rsidRDefault="0081115D">
      <w:pPr>
        <w:pStyle w:val="a4"/>
        <w:numPr>
          <w:ilvl w:val="1"/>
          <w:numId w:val="18"/>
        </w:numPr>
        <w:tabs>
          <w:tab w:val="left" w:pos="1160"/>
        </w:tabs>
        <w:spacing w:line="446" w:lineRule="auto"/>
        <w:ind w:left="838" w:right="3601" w:firstLine="2"/>
        <w:rPr>
          <w:sz w:val="21"/>
        </w:rPr>
      </w:pPr>
      <w:r>
        <w:rPr>
          <w:spacing w:val="-3"/>
          <w:sz w:val="21"/>
        </w:rPr>
        <w:t>包装箱面应标有保证运输和贮存所需要的说明和标志，包括：</w:t>
      </w:r>
      <w:r>
        <w:rPr>
          <w:spacing w:val="-3"/>
          <w:sz w:val="21"/>
        </w:rPr>
        <w:t xml:space="preserve"> </w:t>
      </w:r>
      <w:r>
        <w:rPr>
          <w:sz w:val="21"/>
        </w:rPr>
        <w:t>a.</w:t>
      </w:r>
      <w:r>
        <w:rPr>
          <w:spacing w:val="-3"/>
          <w:sz w:val="21"/>
        </w:rPr>
        <w:t xml:space="preserve"> </w:t>
      </w:r>
      <w:r>
        <w:rPr>
          <w:spacing w:val="-3"/>
          <w:sz w:val="21"/>
        </w:rPr>
        <w:t>制造厂名；</w:t>
      </w:r>
      <w:r>
        <w:rPr>
          <w:sz w:val="21"/>
        </w:rPr>
        <w:t xml:space="preserve"> </w:t>
      </w:r>
    </w:p>
    <w:p w14:paraId="159692D6" w14:textId="77777777" w:rsidR="00A71EEF" w:rsidRDefault="0081115D">
      <w:pPr>
        <w:pStyle w:val="a4"/>
        <w:numPr>
          <w:ilvl w:val="0"/>
          <w:numId w:val="17"/>
        </w:numPr>
        <w:tabs>
          <w:tab w:val="left" w:pos="1051"/>
        </w:tabs>
        <w:spacing w:line="267" w:lineRule="exact"/>
        <w:rPr>
          <w:sz w:val="21"/>
        </w:rPr>
      </w:pPr>
      <w:r>
        <w:rPr>
          <w:spacing w:val="-3"/>
          <w:sz w:val="21"/>
        </w:rPr>
        <w:t>产品型号、名称；</w:t>
      </w:r>
      <w:r>
        <w:rPr>
          <w:sz w:val="21"/>
        </w:rPr>
        <w:t xml:space="preserve"> </w:t>
      </w:r>
    </w:p>
    <w:p w14:paraId="4C8BD7AF" w14:textId="77777777" w:rsidR="00A71EEF" w:rsidRDefault="00A71EEF">
      <w:pPr>
        <w:pStyle w:val="a3"/>
        <w:spacing w:before="1"/>
        <w:rPr>
          <w:sz w:val="18"/>
        </w:rPr>
      </w:pPr>
    </w:p>
    <w:p w14:paraId="2BDE3A67" w14:textId="77777777" w:rsidR="00A71EEF" w:rsidRDefault="0081115D">
      <w:pPr>
        <w:pStyle w:val="a4"/>
        <w:numPr>
          <w:ilvl w:val="0"/>
          <w:numId w:val="17"/>
        </w:numPr>
        <w:tabs>
          <w:tab w:val="left" w:pos="1051"/>
        </w:tabs>
        <w:spacing w:line="446" w:lineRule="auto"/>
        <w:ind w:left="838" w:right="7230" w:firstLine="0"/>
        <w:rPr>
          <w:sz w:val="21"/>
        </w:rPr>
      </w:pPr>
      <w:r>
        <w:rPr>
          <w:spacing w:val="-11"/>
          <w:sz w:val="21"/>
        </w:rPr>
        <w:t>外形尺寸</w:t>
      </w:r>
      <w:r>
        <w:rPr>
          <w:spacing w:val="-11"/>
          <w:sz w:val="21"/>
        </w:rPr>
        <w:t xml:space="preserve"> </w:t>
      </w:r>
      <w:r>
        <w:rPr>
          <w:sz w:val="21"/>
        </w:rPr>
        <w:t>l×b×h</w:t>
      </w:r>
      <w:r>
        <w:rPr>
          <w:sz w:val="21"/>
        </w:rPr>
        <w:t>，</w:t>
      </w:r>
      <w:r>
        <w:rPr>
          <w:sz w:val="21"/>
        </w:rPr>
        <w:t>m</w:t>
      </w:r>
      <w:r>
        <w:rPr>
          <w:sz w:val="21"/>
        </w:rPr>
        <w:t>；</w:t>
      </w:r>
      <w:r>
        <w:rPr>
          <w:sz w:val="21"/>
        </w:rPr>
        <w:t xml:space="preserve"> d.</w:t>
      </w:r>
      <w:r>
        <w:rPr>
          <w:spacing w:val="-3"/>
          <w:sz w:val="21"/>
        </w:rPr>
        <w:t xml:space="preserve"> </w:t>
      </w:r>
      <w:r>
        <w:rPr>
          <w:spacing w:val="-3"/>
          <w:sz w:val="21"/>
        </w:rPr>
        <w:t>总质量，</w:t>
      </w:r>
      <w:r>
        <w:rPr>
          <w:sz w:val="21"/>
        </w:rPr>
        <w:t>kg</w:t>
      </w:r>
      <w:r>
        <w:rPr>
          <w:sz w:val="21"/>
        </w:rPr>
        <w:t>；</w:t>
      </w:r>
      <w:r>
        <w:rPr>
          <w:sz w:val="21"/>
        </w:rPr>
        <w:t xml:space="preserve"> </w:t>
      </w:r>
    </w:p>
    <w:p w14:paraId="0773557E" w14:textId="77777777" w:rsidR="00A71EEF" w:rsidRDefault="0081115D">
      <w:pPr>
        <w:pStyle w:val="a3"/>
        <w:spacing w:line="446" w:lineRule="auto"/>
        <w:ind w:left="838" w:right="8126"/>
      </w:pPr>
      <w:r>
        <w:t xml:space="preserve">e. </w:t>
      </w:r>
      <w:r>
        <w:t>净质量，</w:t>
      </w:r>
      <w:r>
        <w:t>kg</w:t>
      </w:r>
      <w:r>
        <w:t>；</w:t>
      </w:r>
      <w:r>
        <w:t xml:space="preserve"> f. </w:t>
      </w:r>
      <w:r>
        <w:t>出厂日期；</w:t>
      </w:r>
      <w:r>
        <w:t xml:space="preserve"> </w:t>
      </w:r>
    </w:p>
    <w:p w14:paraId="6EA36E9B" w14:textId="77777777" w:rsidR="00A71EEF" w:rsidRDefault="0081115D">
      <w:pPr>
        <w:pStyle w:val="a3"/>
        <w:ind w:left="838"/>
      </w:pPr>
      <w:r>
        <w:t xml:space="preserve">g. </w:t>
      </w:r>
      <w:r>
        <w:t>其他指示标志，如防潮、请勿倒置等。</w:t>
      </w:r>
      <w:r>
        <w:t xml:space="preserve"> </w:t>
      </w:r>
    </w:p>
    <w:p w14:paraId="0ED7141E" w14:textId="77777777" w:rsidR="00A71EEF" w:rsidRDefault="00A71EEF">
      <w:pPr>
        <w:pStyle w:val="a3"/>
        <w:spacing w:before="10"/>
        <w:rPr>
          <w:sz w:val="17"/>
        </w:rPr>
      </w:pPr>
    </w:p>
    <w:p w14:paraId="6C2B7446" w14:textId="77777777" w:rsidR="00A71EEF" w:rsidRDefault="0081115D">
      <w:pPr>
        <w:pStyle w:val="a4"/>
        <w:numPr>
          <w:ilvl w:val="1"/>
          <w:numId w:val="18"/>
        </w:numPr>
        <w:tabs>
          <w:tab w:val="left" w:pos="1160"/>
        </w:tabs>
        <w:spacing w:before="1"/>
        <w:ind w:left="1159" w:hanging="320"/>
        <w:rPr>
          <w:sz w:val="21"/>
        </w:rPr>
      </w:pPr>
      <w:r>
        <w:rPr>
          <w:spacing w:val="-3"/>
          <w:sz w:val="21"/>
        </w:rPr>
        <w:t>灭火机禁止露天存放。存放地应阴凉、干燥、通风。</w:t>
      </w:r>
      <w:r>
        <w:rPr>
          <w:sz w:val="21"/>
        </w:rPr>
        <w:t xml:space="preserve"> </w:t>
      </w:r>
    </w:p>
    <w:p w14:paraId="5A18962B" w14:textId="77777777" w:rsidR="00A71EEF" w:rsidRDefault="00A71EEF">
      <w:pPr>
        <w:pStyle w:val="a3"/>
        <w:rPr>
          <w:sz w:val="20"/>
        </w:rPr>
      </w:pPr>
    </w:p>
    <w:p w14:paraId="7C45C975" w14:textId="77777777" w:rsidR="00A71EEF" w:rsidRDefault="00A71EEF">
      <w:pPr>
        <w:pStyle w:val="a3"/>
        <w:rPr>
          <w:sz w:val="20"/>
        </w:rPr>
      </w:pPr>
    </w:p>
    <w:p w14:paraId="1C4E858B" w14:textId="77777777" w:rsidR="00A71EEF" w:rsidRDefault="00A71EEF">
      <w:pPr>
        <w:pStyle w:val="a3"/>
        <w:rPr>
          <w:sz w:val="20"/>
        </w:rPr>
      </w:pPr>
    </w:p>
    <w:p w14:paraId="0B65D8AD" w14:textId="77777777" w:rsidR="00A71EEF" w:rsidRDefault="00A71EEF">
      <w:pPr>
        <w:pStyle w:val="a3"/>
        <w:rPr>
          <w:sz w:val="20"/>
        </w:rPr>
      </w:pPr>
    </w:p>
    <w:p w14:paraId="5D361AA5" w14:textId="77777777" w:rsidR="00A71EEF" w:rsidRDefault="00A71EEF">
      <w:pPr>
        <w:pStyle w:val="a3"/>
        <w:rPr>
          <w:sz w:val="20"/>
        </w:rPr>
      </w:pPr>
    </w:p>
    <w:p w14:paraId="7FA915D0" w14:textId="77777777" w:rsidR="00A71EEF" w:rsidRDefault="00A71EEF">
      <w:pPr>
        <w:pStyle w:val="a3"/>
        <w:rPr>
          <w:sz w:val="20"/>
        </w:rPr>
      </w:pPr>
    </w:p>
    <w:p w14:paraId="14B6BFA8" w14:textId="77777777" w:rsidR="00A71EEF" w:rsidRDefault="00A71EEF">
      <w:pPr>
        <w:pStyle w:val="a3"/>
        <w:rPr>
          <w:sz w:val="20"/>
        </w:rPr>
      </w:pPr>
    </w:p>
    <w:p w14:paraId="41E34382" w14:textId="77777777" w:rsidR="00A71EEF" w:rsidRDefault="00A71EEF">
      <w:pPr>
        <w:pStyle w:val="a3"/>
        <w:rPr>
          <w:sz w:val="20"/>
        </w:rPr>
      </w:pPr>
    </w:p>
    <w:p w14:paraId="46A1A3E6" w14:textId="77777777" w:rsidR="00A71EEF" w:rsidRDefault="00A71EEF">
      <w:pPr>
        <w:pStyle w:val="a3"/>
        <w:rPr>
          <w:sz w:val="20"/>
        </w:rPr>
      </w:pPr>
    </w:p>
    <w:p w14:paraId="421987F2" w14:textId="77777777" w:rsidR="00A71EEF" w:rsidRDefault="00A71EEF">
      <w:pPr>
        <w:pStyle w:val="a3"/>
        <w:rPr>
          <w:sz w:val="20"/>
        </w:rPr>
      </w:pPr>
    </w:p>
    <w:p w14:paraId="68811D23" w14:textId="77777777" w:rsidR="00A71EEF" w:rsidRDefault="00A71EEF">
      <w:pPr>
        <w:pStyle w:val="a3"/>
        <w:rPr>
          <w:sz w:val="20"/>
        </w:rPr>
      </w:pPr>
    </w:p>
    <w:p w14:paraId="3C47B9D5" w14:textId="77777777" w:rsidR="00A71EEF" w:rsidRDefault="00A71EEF">
      <w:pPr>
        <w:pStyle w:val="a3"/>
        <w:rPr>
          <w:sz w:val="20"/>
        </w:rPr>
      </w:pPr>
    </w:p>
    <w:p w14:paraId="26B0EC5C" w14:textId="77777777" w:rsidR="00A71EEF" w:rsidRDefault="00A71EEF">
      <w:pPr>
        <w:pStyle w:val="a3"/>
        <w:rPr>
          <w:sz w:val="20"/>
        </w:rPr>
      </w:pPr>
    </w:p>
    <w:p w14:paraId="6C683FF0" w14:textId="77777777" w:rsidR="00A71EEF" w:rsidRDefault="00A71EEF">
      <w:pPr>
        <w:pStyle w:val="a3"/>
        <w:rPr>
          <w:sz w:val="20"/>
        </w:rPr>
      </w:pPr>
    </w:p>
    <w:p w14:paraId="7669D511" w14:textId="77777777" w:rsidR="00A71EEF" w:rsidRDefault="00A71EEF">
      <w:pPr>
        <w:pStyle w:val="a3"/>
        <w:rPr>
          <w:sz w:val="20"/>
        </w:rPr>
      </w:pPr>
    </w:p>
    <w:p w14:paraId="551FE92E" w14:textId="77777777" w:rsidR="00A71EEF" w:rsidRDefault="00A71EEF">
      <w:pPr>
        <w:pStyle w:val="a3"/>
        <w:rPr>
          <w:sz w:val="20"/>
        </w:rPr>
      </w:pPr>
    </w:p>
    <w:p w14:paraId="44417B3A" w14:textId="77777777" w:rsidR="00A71EEF" w:rsidRDefault="00A71EEF">
      <w:pPr>
        <w:pStyle w:val="a3"/>
        <w:rPr>
          <w:sz w:val="20"/>
        </w:rPr>
      </w:pPr>
    </w:p>
    <w:p w14:paraId="1F214108" w14:textId="77777777" w:rsidR="00A71EEF" w:rsidRDefault="00A71EEF">
      <w:pPr>
        <w:pStyle w:val="a3"/>
        <w:spacing w:before="10"/>
        <w:rPr>
          <w:sz w:val="23"/>
        </w:rPr>
      </w:pPr>
    </w:p>
    <w:p w14:paraId="59C88507" w14:textId="77777777" w:rsidR="00A71EEF" w:rsidRDefault="0081115D">
      <w:pPr>
        <w:pStyle w:val="a3"/>
        <w:spacing w:before="72"/>
        <w:ind w:left="838"/>
      </w:pPr>
      <w:r>
        <w:t xml:space="preserve"> </w:t>
      </w:r>
    </w:p>
    <w:p w14:paraId="7CA4556D" w14:textId="77777777" w:rsidR="00A71EEF" w:rsidRDefault="00A71EEF">
      <w:pPr>
        <w:sectPr w:rsidR="00A71EEF">
          <w:pgSz w:w="11910" w:h="16850"/>
          <w:pgMar w:top="1220" w:right="0" w:bottom="1420" w:left="1260" w:header="0" w:footer="1239" w:gutter="0"/>
          <w:cols w:space="720"/>
        </w:sectPr>
      </w:pPr>
    </w:p>
    <w:p w14:paraId="476E286A" w14:textId="77777777" w:rsidR="00A71EEF" w:rsidRDefault="00A71EEF">
      <w:pPr>
        <w:pStyle w:val="a3"/>
        <w:rPr>
          <w:sz w:val="20"/>
        </w:rPr>
      </w:pPr>
    </w:p>
    <w:p w14:paraId="6811410C" w14:textId="77777777" w:rsidR="00A71EEF" w:rsidRDefault="00A71EEF">
      <w:pPr>
        <w:pStyle w:val="a3"/>
        <w:rPr>
          <w:sz w:val="20"/>
        </w:rPr>
      </w:pPr>
    </w:p>
    <w:p w14:paraId="78F961B1" w14:textId="77777777" w:rsidR="00A71EEF" w:rsidRDefault="00A71EEF">
      <w:pPr>
        <w:pStyle w:val="a3"/>
        <w:spacing w:before="5"/>
        <w:rPr>
          <w:sz w:val="19"/>
        </w:rPr>
      </w:pPr>
    </w:p>
    <w:p w14:paraId="1225B891" w14:textId="77777777" w:rsidR="00A71EEF" w:rsidRDefault="0081115D">
      <w:pPr>
        <w:pStyle w:val="4"/>
        <w:spacing w:before="134"/>
        <w:ind w:left="2763"/>
        <w:rPr>
          <w:sz w:val="32"/>
        </w:rPr>
      </w:pPr>
      <w:r>
        <w:t>附录</w:t>
      </w:r>
      <w:r>
        <w:t xml:space="preserve"> A </w:t>
      </w:r>
      <w:r>
        <w:t>灭火机主要技术规格（补充件）</w:t>
      </w:r>
      <w:r>
        <w:rPr>
          <w:w w:val="98"/>
          <w:sz w:val="32"/>
        </w:rPr>
        <w:t xml:space="preserve"> </w:t>
      </w:r>
    </w:p>
    <w:p w14:paraId="4C26507E" w14:textId="77777777" w:rsidR="00A71EEF" w:rsidRDefault="00A71EEF">
      <w:pPr>
        <w:pStyle w:val="a3"/>
        <w:rPr>
          <w:b/>
          <w:sz w:val="20"/>
        </w:rPr>
      </w:pPr>
    </w:p>
    <w:p w14:paraId="74EAC5FD" w14:textId="77777777" w:rsidR="00A71EEF" w:rsidRDefault="00A71EEF">
      <w:pPr>
        <w:pStyle w:val="a3"/>
        <w:spacing w:before="9"/>
        <w:rPr>
          <w:b/>
          <w:sz w:val="17"/>
        </w:rPr>
      </w:pPr>
    </w:p>
    <w:p w14:paraId="6DBA8167" w14:textId="77777777" w:rsidR="00A71EEF" w:rsidRDefault="0081115D">
      <w:pPr>
        <w:spacing w:before="1"/>
        <w:ind w:left="840"/>
        <w:rPr>
          <w:sz w:val="21"/>
        </w:rPr>
      </w:pPr>
      <w:r>
        <w:rPr>
          <w:b/>
          <w:sz w:val="21"/>
        </w:rPr>
        <w:t xml:space="preserve">A1 </w:t>
      </w:r>
      <w:r>
        <w:rPr>
          <w:sz w:val="21"/>
        </w:rPr>
        <w:t>整机</w:t>
      </w:r>
      <w:r>
        <w:rPr>
          <w:sz w:val="21"/>
        </w:rPr>
        <w:t xml:space="preserve"> </w:t>
      </w:r>
    </w:p>
    <w:p w14:paraId="27034E6C" w14:textId="77777777" w:rsidR="00A71EEF" w:rsidRDefault="00A71EEF">
      <w:pPr>
        <w:pStyle w:val="a3"/>
        <w:spacing w:before="1"/>
        <w:rPr>
          <w:sz w:val="18"/>
        </w:rPr>
      </w:pPr>
    </w:p>
    <w:p w14:paraId="44E43E68" w14:textId="77777777" w:rsidR="00A71EEF" w:rsidRDefault="0081115D">
      <w:pPr>
        <w:spacing w:before="1" w:line="446" w:lineRule="auto"/>
        <w:ind w:left="840" w:right="6964"/>
        <w:rPr>
          <w:sz w:val="21"/>
        </w:rPr>
      </w:pPr>
      <w:r>
        <w:rPr>
          <w:b/>
          <w:sz w:val="21"/>
        </w:rPr>
        <w:t>A1.1</w:t>
      </w:r>
      <w:r>
        <w:rPr>
          <w:b/>
          <w:spacing w:val="4"/>
          <w:sz w:val="21"/>
        </w:rPr>
        <w:t xml:space="preserve"> </w:t>
      </w:r>
      <w:r>
        <w:rPr>
          <w:spacing w:val="-3"/>
          <w:sz w:val="21"/>
        </w:rPr>
        <w:t>整机标定转速，</w:t>
      </w:r>
      <w:r>
        <w:rPr>
          <w:sz w:val="21"/>
        </w:rPr>
        <w:t>r/min</w:t>
      </w:r>
      <w:r>
        <w:rPr>
          <w:spacing w:val="-3"/>
          <w:sz w:val="21"/>
        </w:rPr>
        <w:t>。</w:t>
      </w:r>
      <w:r>
        <w:rPr>
          <w:b/>
          <w:sz w:val="21"/>
        </w:rPr>
        <w:t>A1.2</w:t>
      </w:r>
      <w:r>
        <w:rPr>
          <w:b/>
          <w:spacing w:val="4"/>
          <w:sz w:val="21"/>
        </w:rPr>
        <w:t xml:space="preserve">   </w:t>
      </w:r>
      <w:r>
        <w:rPr>
          <w:spacing w:val="-3"/>
          <w:sz w:val="21"/>
        </w:rPr>
        <w:t>整机净质量</w:t>
      </w:r>
      <w:r>
        <w:rPr>
          <w:sz w:val="21"/>
        </w:rPr>
        <w:t>，</w:t>
      </w:r>
      <w:r>
        <w:rPr>
          <w:sz w:val="21"/>
        </w:rPr>
        <w:t>kg</w:t>
      </w:r>
      <w:r>
        <w:rPr>
          <w:spacing w:val="-3"/>
          <w:sz w:val="21"/>
        </w:rPr>
        <w:t>。</w:t>
      </w:r>
      <w:r>
        <w:rPr>
          <w:spacing w:val="-3"/>
          <w:sz w:val="21"/>
        </w:rPr>
        <w:t xml:space="preserve"> </w:t>
      </w:r>
      <w:r>
        <w:rPr>
          <w:b/>
          <w:sz w:val="21"/>
        </w:rPr>
        <w:t>A1.3</w:t>
      </w:r>
      <w:r>
        <w:rPr>
          <w:b/>
          <w:spacing w:val="1"/>
          <w:sz w:val="21"/>
        </w:rPr>
        <w:t xml:space="preserve"> </w:t>
      </w:r>
      <w:r>
        <w:rPr>
          <w:spacing w:val="-3"/>
          <w:sz w:val="21"/>
        </w:rPr>
        <w:t>整机耗油量</w:t>
      </w:r>
      <w:r>
        <w:rPr>
          <w:sz w:val="21"/>
        </w:rPr>
        <w:t>，</w:t>
      </w:r>
      <w:r>
        <w:rPr>
          <w:sz w:val="21"/>
        </w:rPr>
        <w:t>kg/h</w:t>
      </w:r>
      <w:r>
        <w:rPr>
          <w:spacing w:val="-3"/>
          <w:sz w:val="21"/>
        </w:rPr>
        <w:t>。</w:t>
      </w:r>
      <w:r>
        <w:rPr>
          <w:sz w:val="21"/>
        </w:rPr>
        <w:t xml:space="preserve"> </w:t>
      </w:r>
    </w:p>
    <w:p w14:paraId="033AE5F7" w14:textId="77777777" w:rsidR="00A71EEF" w:rsidRDefault="0081115D">
      <w:pPr>
        <w:spacing w:line="446" w:lineRule="auto"/>
        <w:ind w:left="840" w:right="6177"/>
        <w:rPr>
          <w:sz w:val="21"/>
        </w:rPr>
      </w:pPr>
      <w:r>
        <w:rPr>
          <w:b/>
          <w:sz w:val="21"/>
        </w:rPr>
        <w:t xml:space="preserve">A1.4 </w:t>
      </w:r>
      <w:r>
        <w:rPr>
          <w:sz w:val="21"/>
        </w:rPr>
        <w:t>距风机中心</w:t>
      </w:r>
      <w:r>
        <w:rPr>
          <w:sz w:val="21"/>
        </w:rPr>
        <w:t xml:space="preserve"> 2-5m </w:t>
      </w:r>
      <w:r>
        <w:rPr>
          <w:sz w:val="21"/>
        </w:rPr>
        <w:t>处风速，</w:t>
      </w:r>
      <w:r>
        <w:rPr>
          <w:sz w:val="21"/>
        </w:rPr>
        <w:t>m/s</w:t>
      </w:r>
      <w:r>
        <w:rPr>
          <w:sz w:val="21"/>
        </w:rPr>
        <w:t>。</w:t>
      </w:r>
      <w:r>
        <w:rPr>
          <w:b/>
          <w:sz w:val="21"/>
        </w:rPr>
        <w:t xml:space="preserve">A1.5 </w:t>
      </w:r>
      <w:r>
        <w:rPr>
          <w:sz w:val="21"/>
        </w:rPr>
        <w:t>风筒出口处风量，</w:t>
      </w:r>
      <w:r>
        <w:rPr>
          <w:sz w:val="21"/>
        </w:rPr>
        <w:t>m³/s</w:t>
      </w:r>
      <w:r>
        <w:rPr>
          <w:sz w:val="21"/>
        </w:rPr>
        <w:t>。</w:t>
      </w:r>
      <w:r>
        <w:rPr>
          <w:sz w:val="21"/>
        </w:rPr>
        <w:t xml:space="preserve"> </w:t>
      </w:r>
    </w:p>
    <w:p w14:paraId="0594E177" w14:textId="77777777" w:rsidR="00A71EEF" w:rsidRDefault="0081115D">
      <w:pPr>
        <w:spacing w:line="446" w:lineRule="auto"/>
        <w:ind w:left="840" w:right="7120"/>
        <w:rPr>
          <w:sz w:val="21"/>
        </w:rPr>
      </w:pPr>
      <w:r>
        <w:rPr>
          <w:b/>
          <w:sz w:val="21"/>
        </w:rPr>
        <w:t xml:space="preserve">A1.6 </w:t>
      </w:r>
      <w:r>
        <w:rPr>
          <w:sz w:val="21"/>
        </w:rPr>
        <w:t>外形尺寸</w:t>
      </w:r>
      <w:r>
        <w:rPr>
          <w:sz w:val="21"/>
        </w:rPr>
        <w:t xml:space="preserve"> l×b×h,m</w:t>
      </w:r>
      <w:r>
        <w:rPr>
          <w:sz w:val="21"/>
        </w:rPr>
        <w:t>。</w:t>
      </w:r>
      <w:r>
        <w:rPr>
          <w:b/>
          <w:sz w:val="21"/>
        </w:rPr>
        <w:t xml:space="preserve">A1.7 </w:t>
      </w:r>
      <w:r>
        <w:rPr>
          <w:sz w:val="21"/>
        </w:rPr>
        <w:t>燃油箱容积，</w:t>
      </w:r>
      <w:r>
        <w:rPr>
          <w:sz w:val="21"/>
        </w:rPr>
        <w:t>L</w:t>
      </w:r>
      <w:r>
        <w:rPr>
          <w:sz w:val="21"/>
        </w:rPr>
        <w:t>。</w:t>
      </w:r>
      <w:r>
        <w:rPr>
          <w:sz w:val="21"/>
        </w:rPr>
        <w:t xml:space="preserve"> </w:t>
      </w:r>
    </w:p>
    <w:p w14:paraId="3B9A5691" w14:textId="77777777" w:rsidR="00A71EEF" w:rsidRDefault="0081115D">
      <w:pPr>
        <w:ind w:left="840"/>
        <w:rPr>
          <w:sz w:val="21"/>
        </w:rPr>
      </w:pPr>
      <w:r>
        <w:rPr>
          <w:b/>
          <w:sz w:val="21"/>
        </w:rPr>
        <w:t xml:space="preserve">A2 </w:t>
      </w:r>
      <w:r>
        <w:rPr>
          <w:sz w:val="21"/>
        </w:rPr>
        <w:t>发动机</w:t>
      </w:r>
      <w:r>
        <w:rPr>
          <w:sz w:val="21"/>
        </w:rPr>
        <w:t xml:space="preserve"> </w:t>
      </w:r>
    </w:p>
    <w:p w14:paraId="2AF7DC53" w14:textId="77777777" w:rsidR="00A71EEF" w:rsidRDefault="00A71EEF">
      <w:pPr>
        <w:pStyle w:val="a3"/>
        <w:spacing w:before="9"/>
        <w:rPr>
          <w:sz w:val="17"/>
        </w:rPr>
      </w:pPr>
    </w:p>
    <w:p w14:paraId="01CC16AD" w14:textId="77777777" w:rsidR="00A71EEF" w:rsidRDefault="0081115D">
      <w:pPr>
        <w:ind w:left="840"/>
        <w:rPr>
          <w:sz w:val="21"/>
        </w:rPr>
      </w:pPr>
      <w:r>
        <w:rPr>
          <w:b/>
          <w:sz w:val="21"/>
        </w:rPr>
        <w:t xml:space="preserve">A2.1 </w:t>
      </w:r>
      <w:r>
        <w:rPr>
          <w:sz w:val="21"/>
        </w:rPr>
        <w:t>形式及型号。</w:t>
      </w:r>
      <w:r>
        <w:rPr>
          <w:sz w:val="21"/>
        </w:rPr>
        <w:t xml:space="preserve"> </w:t>
      </w:r>
    </w:p>
    <w:p w14:paraId="0D8E9902" w14:textId="77777777" w:rsidR="00A71EEF" w:rsidRDefault="00A71EEF">
      <w:pPr>
        <w:pStyle w:val="a3"/>
        <w:spacing w:before="2"/>
        <w:rPr>
          <w:sz w:val="18"/>
        </w:rPr>
      </w:pPr>
    </w:p>
    <w:p w14:paraId="32909103" w14:textId="77777777" w:rsidR="00A71EEF" w:rsidRDefault="0081115D">
      <w:pPr>
        <w:spacing w:line="446" w:lineRule="auto"/>
        <w:ind w:left="840" w:right="5913"/>
        <w:rPr>
          <w:sz w:val="21"/>
        </w:rPr>
      </w:pPr>
      <w:r>
        <w:rPr>
          <w:b/>
          <w:sz w:val="21"/>
        </w:rPr>
        <w:t>A2.2</w:t>
      </w:r>
      <w:r>
        <w:rPr>
          <w:b/>
          <w:spacing w:val="76"/>
          <w:sz w:val="21"/>
        </w:rPr>
        <w:t xml:space="preserve"> </w:t>
      </w:r>
      <w:r>
        <w:rPr>
          <w:spacing w:val="-3"/>
          <w:sz w:val="21"/>
        </w:rPr>
        <w:t>标定功率，</w:t>
      </w:r>
      <w:r>
        <w:rPr>
          <w:sz w:val="21"/>
        </w:rPr>
        <w:t>kW</w:t>
      </w:r>
      <w:r>
        <w:rPr>
          <w:spacing w:val="7"/>
          <w:sz w:val="21"/>
        </w:rPr>
        <w:t>(</w:t>
      </w:r>
      <w:r>
        <w:rPr>
          <w:spacing w:val="7"/>
          <w:sz w:val="21"/>
        </w:rPr>
        <w:t>在</w:t>
      </w:r>
      <w:r>
        <w:rPr>
          <w:spacing w:val="7"/>
          <w:sz w:val="21"/>
        </w:rPr>
        <w:t xml:space="preserve"> </w:t>
      </w:r>
      <w:r>
        <w:rPr>
          <w:sz w:val="21"/>
        </w:rPr>
        <w:t>r/min</w:t>
      </w:r>
      <w:r>
        <w:rPr>
          <w:spacing w:val="3"/>
          <w:sz w:val="21"/>
        </w:rPr>
        <w:t xml:space="preserve"> </w:t>
      </w:r>
      <w:r>
        <w:rPr>
          <w:spacing w:val="3"/>
          <w:sz w:val="21"/>
        </w:rPr>
        <w:t>时</w:t>
      </w:r>
      <w:r>
        <w:rPr>
          <w:spacing w:val="3"/>
          <w:sz w:val="21"/>
        </w:rPr>
        <w:t>)</w:t>
      </w:r>
      <w:r>
        <w:rPr>
          <w:spacing w:val="3"/>
          <w:sz w:val="21"/>
        </w:rPr>
        <w:t>。</w:t>
      </w:r>
      <w:r>
        <w:rPr>
          <w:b/>
          <w:sz w:val="21"/>
        </w:rPr>
        <w:t>A2.3</w:t>
      </w:r>
      <w:r>
        <w:rPr>
          <w:b/>
          <w:spacing w:val="5"/>
          <w:sz w:val="21"/>
        </w:rPr>
        <w:t xml:space="preserve"> </w:t>
      </w:r>
      <w:r>
        <w:rPr>
          <w:spacing w:val="-3"/>
          <w:sz w:val="21"/>
        </w:rPr>
        <w:t>标定转速燃油消耗率</w:t>
      </w:r>
      <w:r>
        <w:rPr>
          <w:sz w:val="21"/>
        </w:rPr>
        <w:t>，</w:t>
      </w:r>
      <w:r>
        <w:rPr>
          <w:sz w:val="21"/>
        </w:rPr>
        <w:t>g/(kW·h</w:t>
      </w:r>
      <w:r>
        <w:rPr>
          <w:spacing w:val="-2"/>
          <w:sz w:val="21"/>
        </w:rPr>
        <w:t>)</w:t>
      </w:r>
      <w:r>
        <w:rPr>
          <w:spacing w:val="-2"/>
          <w:sz w:val="21"/>
        </w:rPr>
        <w:t>。</w:t>
      </w:r>
      <w:r>
        <w:rPr>
          <w:b/>
          <w:sz w:val="21"/>
        </w:rPr>
        <w:t>A2.4</w:t>
      </w:r>
      <w:r>
        <w:rPr>
          <w:b/>
          <w:spacing w:val="2"/>
          <w:sz w:val="21"/>
        </w:rPr>
        <w:t xml:space="preserve"> </w:t>
      </w:r>
      <w:r>
        <w:rPr>
          <w:spacing w:val="-3"/>
          <w:sz w:val="21"/>
        </w:rPr>
        <w:t>化油器形式及型号。</w:t>
      </w:r>
      <w:r>
        <w:rPr>
          <w:sz w:val="21"/>
        </w:rPr>
        <w:t xml:space="preserve"> </w:t>
      </w:r>
    </w:p>
    <w:p w14:paraId="6F17DBCE" w14:textId="77777777" w:rsidR="00A71EEF" w:rsidRDefault="0081115D">
      <w:pPr>
        <w:spacing w:line="446" w:lineRule="auto"/>
        <w:ind w:left="840" w:right="7278"/>
        <w:rPr>
          <w:sz w:val="21"/>
        </w:rPr>
      </w:pPr>
      <w:r>
        <w:rPr>
          <w:b/>
          <w:sz w:val="21"/>
        </w:rPr>
        <w:t xml:space="preserve">A2.5 </w:t>
      </w:r>
      <w:r>
        <w:rPr>
          <w:sz w:val="21"/>
        </w:rPr>
        <w:t>磁电机形式及型号。</w:t>
      </w:r>
      <w:r>
        <w:rPr>
          <w:b/>
          <w:sz w:val="21"/>
        </w:rPr>
        <w:t xml:space="preserve">A2.6 </w:t>
      </w:r>
      <w:r>
        <w:rPr>
          <w:sz w:val="21"/>
        </w:rPr>
        <w:t>燃油牌号。</w:t>
      </w:r>
      <w:r>
        <w:rPr>
          <w:sz w:val="21"/>
        </w:rPr>
        <w:t xml:space="preserve"> </w:t>
      </w:r>
    </w:p>
    <w:p w14:paraId="01586520" w14:textId="77777777" w:rsidR="00A71EEF" w:rsidRDefault="0081115D">
      <w:pPr>
        <w:spacing w:line="267" w:lineRule="exact"/>
        <w:ind w:left="840"/>
        <w:rPr>
          <w:sz w:val="21"/>
        </w:rPr>
      </w:pPr>
      <w:r>
        <w:rPr>
          <w:b/>
          <w:sz w:val="21"/>
        </w:rPr>
        <w:t xml:space="preserve">A2.7 </w:t>
      </w:r>
      <w:r>
        <w:rPr>
          <w:sz w:val="21"/>
        </w:rPr>
        <w:t>润滑油牌号。</w:t>
      </w:r>
      <w:r>
        <w:rPr>
          <w:sz w:val="21"/>
        </w:rPr>
        <w:t xml:space="preserve"> </w:t>
      </w:r>
    </w:p>
    <w:p w14:paraId="372C36B2" w14:textId="77777777" w:rsidR="00A71EEF" w:rsidRDefault="00A71EEF">
      <w:pPr>
        <w:pStyle w:val="a3"/>
        <w:rPr>
          <w:sz w:val="18"/>
        </w:rPr>
      </w:pPr>
    </w:p>
    <w:p w14:paraId="363B1BBD" w14:textId="77777777" w:rsidR="00A71EEF" w:rsidRDefault="0081115D">
      <w:pPr>
        <w:ind w:left="840"/>
        <w:rPr>
          <w:sz w:val="21"/>
        </w:rPr>
      </w:pPr>
      <w:r>
        <w:rPr>
          <w:b/>
          <w:sz w:val="21"/>
        </w:rPr>
        <w:t xml:space="preserve">A2.8 </w:t>
      </w:r>
      <w:r>
        <w:rPr>
          <w:spacing w:val="-3"/>
          <w:sz w:val="21"/>
        </w:rPr>
        <w:t>燃油、润滑油混合比</w:t>
      </w:r>
      <w:r>
        <w:rPr>
          <w:sz w:val="21"/>
        </w:rPr>
        <w:t>（</w:t>
      </w:r>
      <w:r>
        <w:rPr>
          <w:spacing w:val="-2"/>
          <w:sz w:val="21"/>
        </w:rPr>
        <w:t>按容积</w:t>
      </w:r>
      <w:r>
        <w:rPr>
          <w:spacing w:val="-108"/>
          <w:sz w:val="21"/>
        </w:rPr>
        <w:t>）</w:t>
      </w:r>
      <w:r>
        <w:rPr>
          <w:spacing w:val="-3"/>
          <w:sz w:val="21"/>
        </w:rPr>
        <w:t>。</w:t>
      </w:r>
      <w:r>
        <w:rPr>
          <w:sz w:val="21"/>
        </w:rPr>
        <w:t xml:space="preserve"> </w:t>
      </w:r>
    </w:p>
    <w:p w14:paraId="14A3F522" w14:textId="77777777" w:rsidR="00A71EEF" w:rsidRDefault="00A71EEF">
      <w:pPr>
        <w:pStyle w:val="a3"/>
        <w:rPr>
          <w:sz w:val="20"/>
        </w:rPr>
      </w:pPr>
    </w:p>
    <w:p w14:paraId="70FFDA29" w14:textId="77777777" w:rsidR="00A71EEF" w:rsidRDefault="00A71EEF">
      <w:pPr>
        <w:pStyle w:val="a3"/>
        <w:rPr>
          <w:sz w:val="20"/>
        </w:rPr>
      </w:pPr>
    </w:p>
    <w:p w14:paraId="22615BAB" w14:textId="77777777" w:rsidR="00A71EEF" w:rsidRDefault="00A71EEF">
      <w:pPr>
        <w:pStyle w:val="a3"/>
        <w:rPr>
          <w:sz w:val="20"/>
        </w:rPr>
      </w:pPr>
    </w:p>
    <w:p w14:paraId="0C0683DE" w14:textId="77777777" w:rsidR="00A71EEF" w:rsidRDefault="00A71EEF">
      <w:pPr>
        <w:pStyle w:val="a3"/>
        <w:rPr>
          <w:sz w:val="20"/>
        </w:rPr>
      </w:pPr>
    </w:p>
    <w:p w14:paraId="70FD9FD5" w14:textId="77777777" w:rsidR="00A71EEF" w:rsidRDefault="00A71EEF">
      <w:pPr>
        <w:pStyle w:val="a3"/>
        <w:rPr>
          <w:sz w:val="20"/>
        </w:rPr>
      </w:pPr>
    </w:p>
    <w:p w14:paraId="4CE99375" w14:textId="77777777" w:rsidR="00A71EEF" w:rsidRDefault="00A71EEF">
      <w:pPr>
        <w:pStyle w:val="a3"/>
        <w:rPr>
          <w:sz w:val="20"/>
        </w:rPr>
      </w:pPr>
    </w:p>
    <w:p w14:paraId="37CACAB1" w14:textId="77777777" w:rsidR="00A71EEF" w:rsidRDefault="00A71EEF">
      <w:pPr>
        <w:pStyle w:val="a3"/>
        <w:rPr>
          <w:sz w:val="20"/>
        </w:rPr>
      </w:pPr>
    </w:p>
    <w:p w14:paraId="79CEC44F" w14:textId="77777777" w:rsidR="00A71EEF" w:rsidRDefault="00A71EEF">
      <w:pPr>
        <w:pStyle w:val="a3"/>
        <w:rPr>
          <w:sz w:val="20"/>
        </w:rPr>
      </w:pPr>
    </w:p>
    <w:p w14:paraId="0C4E0D01" w14:textId="77777777" w:rsidR="00A71EEF" w:rsidRDefault="00A71EEF">
      <w:pPr>
        <w:pStyle w:val="a3"/>
        <w:rPr>
          <w:sz w:val="20"/>
        </w:rPr>
      </w:pPr>
    </w:p>
    <w:p w14:paraId="29558E0C" w14:textId="77777777" w:rsidR="00A71EEF" w:rsidRDefault="00A71EEF">
      <w:pPr>
        <w:pStyle w:val="a3"/>
        <w:rPr>
          <w:sz w:val="20"/>
        </w:rPr>
      </w:pPr>
    </w:p>
    <w:p w14:paraId="52371C0E" w14:textId="77777777" w:rsidR="00A71EEF" w:rsidRDefault="00A71EEF">
      <w:pPr>
        <w:pStyle w:val="a3"/>
        <w:rPr>
          <w:sz w:val="20"/>
        </w:rPr>
      </w:pPr>
    </w:p>
    <w:p w14:paraId="273C19AF" w14:textId="77777777" w:rsidR="00A71EEF" w:rsidRDefault="00A71EEF">
      <w:pPr>
        <w:pStyle w:val="a3"/>
        <w:spacing w:before="7"/>
        <w:rPr>
          <w:sz w:val="26"/>
        </w:rPr>
      </w:pPr>
    </w:p>
    <w:p w14:paraId="47B204D2" w14:textId="77777777" w:rsidR="00A71EEF" w:rsidRDefault="0081115D">
      <w:pPr>
        <w:pStyle w:val="a3"/>
        <w:spacing w:before="72"/>
        <w:ind w:left="3298"/>
      </w:pPr>
      <w:r>
        <w:t xml:space="preserve"> </w:t>
      </w:r>
    </w:p>
    <w:p w14:paraId="136FD99D" w14:textId="77777777" w:rsidR="00A71EEF" w:rsidRDefault="00A71EEF">
      <w:pPr>
        <w:sectPr w:rsidR="00A71EEF">
          <w:pgSz w:w="11910" w:h="16850"/>
          <w:pgMar w:top="1600" w:right="0" w:bottom="1420" w:left="1260" w:header="0" w:footer="1239" w:gutter="0"/>
          <w:cols w:space="720"/>
        </w:sectPr>
      </w:pPr>
    </w:p>
    <w:p w14:paraId="44FC1009" w14:textId="77777777" w:rsidR="00A71EEF" w:rsidRDefault="0081115D">
      <w:pPr>
        <w:pStyle w:val="2"/>
        <w:ind w:left="2629"/>
        <w:jc w:val="left"/>
      </w:pPr>
      <w:bookmarkStart w:id="38" w:name="_bookmark38"/>
      <w:bookmarkEnd w:id="38"/>
      <w:r>
        <w:t>便携式风力灭火机</w:t>
      </w:r>
      <w:r>
        <w:t xml:space="preserve"> </w:t>
      </w:r>
      <w:r>
        <w:t>台架试验方法</w:t>
      </w:r>
      <w:r>
        <w:rPr>
          <w:w w:val="99"/>
        </w:rPr>
        <w:t xml:space="preserve"> </w:t>
      </w:r>
    </w:p>
    <w:p w14:paraId="1500055C" w14:textId="77777777" w:rsidR="00A71EEF" w:rsidRDefault="00A71EEF">
      <w:pPr>
        <w:pStyle w:val="a3"/>
        <w:rPr>
          <w:b/>
          <w:sz w:val="20"/>
        </w:rPr>
      </w:pPr>
    </w:p>
    <w:p w14:paraId="3CDA56F7" w14:textId="77777777" w:rsidR="00A71EEF" w:rsidRDefault="00A71EEF">
      <w:pPr>
        <w:pStyle w:val="a3"/>
        <w:spacing w:before="5"/>
        <w:rPr>
          <w:b/>
          <w:sz w:val="14"/>
        </w:rPr>
      </w:pPr>
    </w:p>
    <w:p w14:paraId="1F471295" w14:textId="77777777" w:rsidR="00A71EEF" w:rsidRDefault="0081115D">
      <w:pPr>
        <w:pStyle w:val="4"/>
        <w:spacing w:before="66"/>
      </w:pPr>
      <w:r>
        <w:t xml:space="preserve">1 </w:t>
      </w:r>
      <w:r>
        <w:t>范围</w:t>
      </w:r>
      <w:r>
        <w:rPr>
          <w:w w:val="99"/>
        </w:rPr>
        <w:t xml:space="preserve"> </w:t>
      </w:r>
    </w:p>
    <w:p w14:paraId="04A0913C" w14:textId="77777777" w:rsidR="00A71EEF" w:rsidRDefault="00A71EEF">
      <w:pPr>
        <w:pStyle w:val="a3"/>
        <w:spacing w:before="4"/>
        <w:rPr>
          <w:b/>
          <w:sz w:val="17"/>
        </w:rPr>
      </w:pPr>
    </w:p>
    <w:p w14:paraId="1EF059A1" w14:textId="77777777" w:rsidR="00A71EEF" w:rsidRDefault="0081115D">
      <w:pPr>
        <w:pStyle w:val="a3"/>
        <w:spacing w:line="446" w:lineRule="auto"/>
        <w:ind w:left="838" w:right="2345"/>
      </w:pPr>
      <w:r>
        <w:rPr>
          <w:spacing w:val="-3"/>
        </w:rPr>
        <w:t>本标准规定了便携式风力灭火机在试验台上进行性能试验和耐久性试验的方法。本标准适用于便携式风力灭火机。</w:t>
      </w:r>
      <w:r>
        <w:t xml:space="preserve"> </w:t>
      </w:r>
    </w:p>
    <w:p w14:paraId="05AB3D20" w14:textId="77777777" w:rsidR="00A71EEF" w:rsidRDefault="0081115D">
      <w:pPr>
        <w:pStyle w:val="4"/>
        <w:spacing w:line="277" w:lineRule="exact"/>
      </w:pPr>
      <w:r>
        <w:t xml:space="preserve">2 </w:t>
      </w:r>
      <w:r>
        <w:t>引用标准</w:t>
      </w:r>
      <w:r>
        <w:rPr>
          <w:w w:val="99"/>
        </w:rPr>
        <w:t xml:space="preserve"> </w:t>
      </w:r>
    </w:p>
    <w:p w14:paraId="15549A9E" w14:textId="77777777" w:rsidR="00A71EEF" w:rsidRDefault="00A71EEF">
      <w:pPr>
        <w:pStyle w:val="a3"/>
        <w:spacing w:before="4"/>
        <w:rPr>
          <w:b/>
          <w:sz w:val="17"/>
        </w:rPr>
      </w:pPr>
    </w:p>
    <w:p w14:paraId="69BC5665" w14:textId="77777777" w:rsidR="00A71EEF" w:rsidRDefault="0081115D">
      <w:pPr>
        <w:pStyle w:val="a3"/>
        <w:spacing w:line="446" w:lineRule="auto"/>
        <w:ind w:left="418" w:right="1330" w:firstLine="419"/>
      </w:pPr>
      <w:r>
        <w:rPr>
          <w:spacing w:val="-6"/>
        </w:rPr>
        <w:t>下列标准所包含的条文，通过在本标准中引用而构成为本标准的条文。本标准出版时，所示</w:t>
      </w:r>
      <w:r>
        <w:rPr>
          <w:spacing w:val="-17"/>
        </w:rPr>
        <w:t>版本均为有效。所有标准都会被修订，使用本标准的各方应探讨使用下列标准最新版本的可能性。</w:t>
      </w:r>
      <w:r>
        <w:t xml:space="preserve"> </w:t>
      </w:r>
    </w:p>
    <w:p w14:paraId="794B46F7" w14:textId="77777777" w:rsidR="00A71EEF" w:rsidRDefault="0081115D">
      <w:pPr>
        <w:pStyle w:val="a3"/>
        <w:ind w:left="838"/>
      </w:pPr>
      <w:r>
        <w:t xml:space="preserve">GB/T 1106——1987 </w:t>
      </w:r>
      <w:r>
        <w:t>内燃机台架试验方法</w:t>
      </w:r>
      <w:r>
        <w:t xml:space="preserve"> </w:t>
      </w:r>
    </w:p>
    <w:p w14:paraId="57EE6F9C" w14:textId="77777777" w:rsidR="00A71EEF" w:rsidRDefault="00A71EEF">
      <w:pPr>
        <w:pStyle w:val="a3"/>
        <w:spacing w:before="8"/>
        <w:rPr>
          <w:sz w:val="15"/>
        </w:rPr>
      </w:pPr>
    </w:p>
    <w:p w14:paraId="713C9381" w14:textId="77777777" w:rsidR="00A71EEF" w:rsidRDefault="0081115D">
      <w:pPr>
        <w:pStyle w:val="4"/>
      </w:pPr>
      <w:r>
        <w:t xml:space="preserve">3 </w:t>
      </w:r>
      <w:r>
        <w:t>试验项目及条件</w:t>
      </w:r>
      <w:r>
        <w:rPr>
          <w:w w:val="99"/>
        </w:rPr>
        <w:t xml:space="preserve"> </w:t>
      </w:r>
    </w:p>
    <w:p w14:paraId="3BF3A1EB" w14:textId="77777777" w:rsidR="00A71EEF" w:rsidRDefault="00A71EEF">
      <w:pPr>
        <w:pStyle w:val="a3"/>
        <w:spacing w:before="4"/>
        <w:rPr>
          <w:b/>
          <w:sz w:val="17"/>
        </w:rPr>
      </w:pPr>
    </w:p>
    <w:p w14:paraId="0C977723" w14:textId="77777777" w:rsidR="00A71EEF" w:rsidRDefault="0081115D">
      <w:pPr>
        <w:pStyle w:val="a3"/>
        <w:spacing w:line="446" w:lineRule="auto"/>
        <w:ind w:left="838" w:right="7914" w:firstLine="2"/>
      </w:pPr>
      <w:r>
        <w:rPr>
          <w:b/>
        </w:rPr>
        <w:t xml:space="preserve">3.1 </w:t>
      </w:r>
      <w:r>
        <w:rPr>
          <w:spacing w:val="-3"/>
        </w:rPr>
        <w:t>试</w:t>
      </w:r>
      <w:r>
        <w:rPr>
          <w:spacing w:val="-3"/>
        </w:rPr>
        <w:t xml:space="preserve"> </w:t>
      </w:r>
      <w:r>
        <w:rPr>
          <w:spacing w:val="-3"/>
        </w:rPr>
        <w:t>验</w:t>
      </w:r>
      <w:r>
        <w:rPr>
          <w:spacing w:val="-3"/>
        </w:rPr>
        <w:t xml:space="preserve"> </w:t>
      </w:r>
      <w:r>
        <w:rPr>
          <w:spacing w:val="-3"/>
        </w:rPr>
        <w:t>项</w:t>
      </w:r>
      <w:r>
        <w:rPr>
          <w:spacing w:val="-3"/>
        </w:rPr>
        <w:t xml:space="preserve"> </w:t>
      </w:r>
      <w:r>
        <w:rPr>
          <w:spacing w:val="-3"/>
        </w:rPr>
        <w:t>目</w:t>
      </w:r>
      <w:r>
        <w:rPr>
          <w:spacing w:val="-3"/>
        </w:rPr>
        <w:t xml:space="preserve"> </w:t>
      </w:r>
      <w:r>
        <w:t>a</w:t>
      </w:r>
      <w:r>
        <w:t>）</w:t>
      </w:r>
      <w:r>
        <w:rPr>
          <w:spacing w:val="-3"/>
        </w:rPr>
        <w:t>风机性能试验；</w:t>
      </w:r>
      <w:r>
        <w:rPr>
          <w:spacing w:val="-3"/>
        </w:rPr>
        <w:t xml:space="preserve"> </w:t>
      </w:r>
      <w:r>
        <w:t>b</w:t>
      </w:r>
      <w:r>
        <w:t>）</w:t>
      </w:r>
      <w:r>
        <w:rPr>
          <w:spacing w:val="-3"/>
        </w:rPr>
        <w:t>整机性能试验；</w:t>
      </w:r>
      <w:r>
        <w:t xml:space="preserve"> </w:t>
      </w:r>
    </w:p>
    <w:p w14:paraId="29C22720" w14:textId="77777777" w:rsidR="00A71EEF" w:rsidRDefault="0081115D">
      <w:pPr>
        <w:pStyle w:val="a3"/>
        <w:spacing w:line="446" w:lineRule="auto"/>
        <w:ind w:left="838" w:right="7705"/>
        <w:jc w:val="both"/>
      </w:pPr>
      <w:r>
        <w:t>c</w:t>
      </w:r>
      <w:r>
        <w:t>）风机耐久性试验；</w:t>
      </w:r>
      <w:r>
        <w:t xml:space="preserve"> d</w:t>
      </w:r>
      <w:r>
        <w:t>）叶轮超转速试验；</w:t>
      </w:r>
      <w:r>
        <w:t xml:space="preserve"> e</w:t>
      </w:r>
      <w:r>
        <w:t>）叶轮静平衡检查。</w:t>
      </w:r>
      <w:r>
        <w:rPr>
          <w:b/>
        </w:rPr>
        <w:t xml:space="preserve">3.2 </w:t>
      </w:r>
      <w:r>
        <w:t>试验用仪器</w:t>
      </w:r>
      <w:r>
        <w:t xml:space="preserve"> </w:t>
      </w:r>
    </w:p>
    <w:p w14:paraId="1863ACF3" w14:textId="77777777" w:rsidR="00A71EEF" w:rsidRDefault="0081115D">
      <w:pPr>
        <w:pStyle w:val="a3"/>
        <w:spacing w:line="446" w:lineRule="auto"/>
        <w:ind w:left="838" w:right="3349"/>
      </w:pPr>
      <w:r>
        <w:rPr>
          <w:spacing w:val="-3"/>
        </w:rPr>
        <w:t>试验用仪器应在检定的有效期内，在试验前应进行检查和校准。</w:t>
      </w:r>
      <w:r>
        <w:rPr>
          <w:spacing w:val="-3"/>
        </w:rPr>
        <w:t xml:space="preserve">  </w:t>
      </w:r>
      <w:r>
        <w:t>a</w:t>
      </w:r>
      <w:r>
        <w:t>）</w:t>
      </w:r>
      <w:r>
        <w:t>U</w:t>
      </w:r>
      <w:r>
        <w:rPr>
          <w:spacing w:val="-13"/>
        </w:rPr>
        <w:t xml:space="preserve"> </w:t>
      </w:r>
      <w:r>
        <w:rPr>
          <w:spacing w:val="-13"/>
        </w:rPr>
        <w:t>形管液柱压力计；管内径</w:t>
      </w:r>
      <w:r>
        <w:rPr>
          <w:spacing w:val="-13"/>
        </w:rPr>
        <w:t xml:space="preserve"> </w:t>
      </w:r>
      <w:r>
        <w:t>6~10mm</w:t>
      </w:r>
      <w:r>
        <w:rPr>
          <w:spacing w:val="-9"/>
        </w:rPr>
        <w:t>，最小刻度</w:t>
      </w:r>
      <w:r>
        <w:rPr>
          <w:spacing w:val="-9"/>
        </w:rPr>
        <w:t xml:space="preserve"> </w:t>
      </w:r>
      <w:r>
        <w:t>1mm</w:t>
      </w:r>
      <w:r>
        <w:t>，</w:t>
      </w:r>
      <w:r>
        <w:rPr>
          <w:spacing w:val="-2"/>
        </w:rPr>
        <w:t>精度</w:t>
      </w:r>
      <w:r>
        <w:rPr>
          <w:spacing w:val="-2"/>
        </w:rPr>
        <w:t>±</w:t>
      </w:r>
      <w:r>
        <w:t>0.4</w:t>
      </w:r>
      <w:r>
        <w:rPr>
          <w:spacing w:val="-2"/>
        </w:rPr>
        <w:t>%</w:t>
      </w:r>
      <w:r>
        <w:rPr>
          <w:spacing w:val="-2"/>
        </w:rPr>
        <w:t>。</w:t>
      </w:r>
      <w:r>
        <w:t>b</w:t>
      </w:r>
      <w:r>
        <w:t>）</w:t>
      </w:r>
      <w:r>
        <w:rPr>
          <w:spacing w:val="-9"/>
        </w:rPr>
        <w:t>毕托管：外径不大于</w:t>
      </w:r>
      <w:r>
        <w:rPr>
          <w:spacing w:val="-9"/>
        </w:rPr>
        <w:t xml:space="preserve"> </w:t>
      </w:r>
      <w:r>
        <w:t>8mm</w:t>
      </w:r>
      <w:r>
        <w:t>；</w:t>
      </w:r>
      <w:r>
        <w:t xml:space="preserve"> </w:t>
      </w:r>
    </w:p>
    <w:p w14:paraId="42EEB434" w14:textId="77777777" w:rsidR="00A71EEF" w:rsidRDefault="0081115D">
      <w:pPr>
        <w:pStyle w:val="a4"/>
        <w:numPr>
          <w:ilvl w:val="0"/>
          <w:numId w:val="16"/>
        </w:numPr>
        <w:tabs>
          <w:tab w:val="left" w:pos="1156"/>
        </w:tabs>
        <w:spacing w:line="268" w:lineRule="exact"/>
        <w:rPr>
          <w:sz w:val="21"/>
        </w:rPr>
      </w:pPr>
      <w:r>
        <w:rPr>
          <w:spacing w:val="-3"/>
          <w:sz w:val="21"/>
        </w:rPr>
        <w:t>转速表或测速仪：精度</w:t>
      </w:r>
      <w:r>
        <w:rPr>
          <w:sz w:val="21"/>
        </w:rPr>
        <w:t>±0.5</w:t>
      </w:r>
      <w:r>
        <w:rPr>
          <w:spacing w:val="-2"/>
          <w:sz w:val="21"/>
        </w:rPr>
        <w:t>%</w:t>
      </w:r>
      <w:r>
        <w:rPr>
          <w:spacing w:val="-2"/>
          <w:sz w:val="21"/>
        </w:rPr>
        <w:t>。</w:t>
      </w:r>
      <w:r>
        <w:rPr>
          <w:sz w:val="21"/>
        </w:rPr>
        <w:t xml:space="preserve"> </w:t>
      </w:r>
    </w:p>
    <w:p w14:paraId="5A840522" w14:textId="77777777" w:rsidR="00A71EEF" w:rsidRDefault="00A71EEF">
      <w:pPr>
        <w:pStyle w:val="a3"/>
        <w:spacing w:before="11"/>
        <w:rPr>
          <w:sz w:val="17"/>
        </w:rPr>
      </w:pPr>
    </w:p>
    <w:p w14:paraId="15C5C5D1" w14:textId="77777777" w:rsidR="00A71EEF" w:rsidRDefault="0081115D">
      <w:pPr>
        <w:pStyle w:val="a4"/>
        <w:numPr>
          <w:ilvl w:val="0"/>
          <w:numId w:val="16"/>
        </w:numPr>
        <w:tabs>
          <w:tab w:val="left" w:pos="1156"/>
        </w:tabs>
        <w:rPr>
          <w:sz w:val="21"/>
        </w:rPr>
      </w:pPr>
      <w:r>
        <w:rPr>
          <w:spacing w:val="-3"/>
          <w:sz w:val="21"/>
        </w:rPr>
        <w:t>扭矩仪或测功机用指针秤：精度</w:t>
      </w:r>
      <w:r>
        <w:rPr>
          <w:spacing w:val="-3"/>
          <w:sz w:val="21"/>
        </w:rPr>
        <w:t>±</w:t>
      </w:r>
      <w:r>
        <w:rPr>
          <w:sz w:val="21"/>
        </w:rPr>
        <w:t>1.5%</w:t>
      </w:r>
      <w:r>
        <w:rPr>
          <w:sz w:val="21"/>
        </w:rPr>
        <w:t>；</w:t>
      </w:r>
      <w:r>
        <w:rPr>
          <w:sz w:val="21"/>
        </w:rPr>
        <w:t xml:space="preserve"> </w:t>
      </w:r>
    </w:p>
    <w:p w14:paraId="5F429BF2" w14:textId="77777777" w:rsidR="00A71EEF" w:rsidRDefault="00A71EEF">
      <w:pPr>
        <w:pStyle w:val="a3"/>
        <w:rPr>
          <w:sz w:val="18"/>
        </w:rPr>
      </w:pPr>
    </w:p>
    <w:p w14:paraId="19657586" w14:textId="77777777" w:rsidR="00A71EEF" w:rsidRDefault="0081115D">
      <w:pPr>
        <w:pStyle w:val="a4"/>
        <w:numPr>
          <w:ilvl w:val="0"/>
          <w:numId w:val="16"/>
        </w:numPr>
        <w:tabs>
          <w:tab w:val="left" w:pos="1156"/>
        </w:tabs>
        <w:spacing w:line="446" w:lineRule="auto"/>
        <w:ind w:left="838" w:right="4871" w:firstLine="0"/>
        <w:rPr>
          <w:sz w:val="21"/>
        </w:rPr>
      </w:pPr>
      <w:r>
        <w:rPr>
          <w:spacing w:val="-6"/>
          <w:sz w:val="21"/>
        </w:rPr>
        <w:t>测功机：测功机功率为风机设计功率的</w:t>
      </w:r>
      <w:r>
        <w:rPr>
          <w:spacing w:val="-6"/>
          <w:sz w:val="21"/>
        </w:rPr>
        <w:t xml:space="preserve"> </w:t>
      </w:r>
      <w:r>
        <w:rPr>
          <w:sz w:val="21"/>
        </w:rPr>
        <w:t>2</w:t>
      </w:r>
      <w:r>
        <w:rPr>
          <w:sz w:val="21"/>
        </w:rPr>
        <w:t>～</w:t>
      </w:r>
      <w:r>
        <w:rPr>
          <w:sz w:val="21"/>
        </w:rPr>
        <w:t>3</w:t>
      </w:r>
      <w:r>
        <w:rPr>
          <w:spacing w:val="-19"/>
          <w:sz w:val="21"/>
        </w:rPr>
        <w:t xml:space="preserve"> </w:t>
      </w:r>
      <w:r>
        <w:rPr>
          <w:spacing w:val="-19"/>
          <w:sz w:val="21"/>
        </w:rPr>
        <w:t>倍；</w:t>
      </w:r>
      <w:r>
        <w:rPr>
          <w:spacing w:val="-19"/>
          <w:sz w:val="21"/>
        </w:rPr>
        <w:t xml:space="preserve"> </w:t>
      </w:r>
      <w:r>
        <w:rPr>
          <w:sz w:val="21"/>
        </w:rPr>
        <w:t>f</w:t>
      </w:r>
      <w:r>
        <w:rPr>
          <w:sz w:val="21"/>
        </w:rPr>
        <w:t>）</w:t>
      </w:r>
      <w:r>
        <w:rPr>
          <w:spacing w:val="-9"/>
          <w:sz w:val="21"/>
        </w:rPr>
        <w:t>温度计：最小刻度</w:t>
      </w:r>
      <w:r>
        <w:rPr>
          <w:spacing w:val="-9"/>
          <w:sz w:val="21"/>
        </w:rPr>
        <w:t xml:space="preserve"> </w:t>
      </w:r>
      <w:r>
        <w:rPr>
          <w:sz w:val="21"/>
        </w:rPr>
        <w:t>0.5</w:t>
      </w:r>
      <w:r>
        <w:rPr>
          <w:spacing w:val="-1"/>
          <w:sz w:val="21"/>
        </w:rPr>
        <w:t>℃</w:t>
      </w:r>
      <w:r>
        <w:rPr>
          <w:spacing w:val="-1"/>
          <w:sz w:val="21"/>
        </w:rPr>
        <w:t>，精度</w:t>
      </w:r>
      <w:r>
        <w:rPr>
          <w:spacing w:val="-1"/>
          <w:sz w:val="21"/>
        </w:rPr>
        <w:t>±</w:t>
      </w:r>
      <w:r>
        <w:rPr>
          <w:sz w:val="21"/>
        </w:rPr>
        <w:t>1.0%</w:t>
      </w:r>
      <w:r>
        <w:rPr>
          <w:sz w:val="21"/>
        </w:rPr>
        <w:t>；</w:t>
      </w:r>
      <w:r>
        <w:rPr>
          <w:sz w:val="21"/>
        </w:rPr>
        <w:t xml:space="preserve"> </w:t>
      </w:r>
    </w:p>
    <w:p w14:paraId="645A4AA7" w14:textId="77777777" w:rsidR="00A71EEF" w:rsidRDefault="0081115D">
      <w:pPr>
        <w:pStyle w:val="a3"/>
        <w:spacing w:line="446" w:lineRule="auto"/>
        <w:ind w:left="838" w:right="5447"/>
      </w:pPr>
      <w:r>
        <w:t>g</w:t>
      </w:r>
      <w:r>
        <w:t>）</w:t>
      </w:r>
      <w:r>
        <w:rPr>
          <w:spacing w:val="-6"/>
        </w:rPr>
        <w:t>气压计：最小刻度</w:t>
      </w:r>
      <w:r>
        <w:rPr>
          <w:spacing w:val="-6"/>
        </w:rPr>
        <w:t xml:space="preserve"> </w:t>
      </w:r>
      <w:r>
        <w:t>100Pa</w:t>
      </w:r>
      <w:r>
        <w:t>，</w:t>
      </w:r>
      <w:r>
        <w:rPr>
          <w:spacing w:val="-2"/>
        </w:rPr>
        <w:t>精度</w:t>
      </w:r>
      <w:r>
        <w:rPr>
          <w:spacing w:val="-2"/>
        </w:rPr>
        <w:t>±</w:t>
      </w:r>
      <w:r>
        <w:t>1.0%</w:t>
      </w:r>
      <w:r>
        <w:t>；</w:t>
      </w:r>
      <w:r>
        <w:t xml:space="preserve"> h</w:t>
      </w:r>
      <w:r>
        <w:t>）</w:t>
      </w:r>
      <w:r>
        <w:rPr>
          <w:spacing w:val="-8"/>
        </w:rPr>
        <w:t>干湿度计：最小刻度</w:t>
      </w:r>
      <w:r>
        <w:rPr>
          <w:spacing w:val="-8"/>
        </w:rPr>
        <w:t xml:space="preserve"> </w:t>
      </w:r>
      <w:r>
        <w:t>0.5</w:t>
      </w:r>
      <w:r>
        <w:rPr>
          <w:spacing w:val="-1"/>
        </w:rPr>
        <w:t>℃</w:t>
      </w:r>
      <w:r>
        <w:rPr>
          <w:spacing w:val="-1"/>
        </w:rPr>
        <w:t>，精度</w:t>
      </w:r>
      <w:r>
        <w:t>±1.0%</w:t>
      </w:r>
      <w:r>
        <w:t>；</w:t>
      </w:r>
      <w:r>
        <w:t xml:space="preserve"> i</w:t>
      </w:r>
      <w:r>
        <w:t>）</w:t>
      </w:r>
      <w:r>
        <w:rPr>
          <w:spacing w:val="-9"/>
        </w:rPr>
        <w:t>风速仪：最小刻度</w:t>
      </w:r>
      <w:r>
        <w:rPr>
          <w:spacing w:val="-9"/>
        </w:rPr>
        <w:t xml:space="preserve"> </w:t>
      </w:r>
      <w:r>
        <w:t>0.2m/s</w:t>
      </w:r>
      <w:r>
        <w:rPr>
          <w:spacing w:val="-1"/>
        </w:rPr>
        <w:t>，精度</w:t>
      </w:r>
      <w:r>
        <w:t>±1.0</w:t>
      </w:r>
      <w:r>
        <w:rPr>
          <w:spacing w:val="-2"/>
        </w:rPr>
        <w:t>%</w:t>
      </w:r>
      <w:r>
        <w:rPr>
          <w:spacing w:val="-2"/>
        </w:rPr>
        <w:t>。</w:t>
      </w:r>
      <w:r>
        <w:t xml:space="preserve"> </w:t>
      </w:r>
    </w:p>
    <w:p w14:paraId="76EED29D" w14:textId="77777777" w:rsidR="00A71EEF" w:rsidRDefault="0081115D">
      <w:pPr>
        <w:spacing w:line="268" w:lineRule="exact"/>
        <w:ind w:left="840"/>
        <w:rPr>
          <w:b/>
          <w:sz w:val="21"/>
        </w:rPr>
      </w:pPr>
      <w:r>
        <w:rPr>
          <w:b/>
          <w:sz w:val="21"/>
        </w:rPr>
        <w:t>3.3</w:t>
      </w:r>
      <w:r>
        <w:rPr>
          <w:b/>
          <w:spacing w:val="-51"/>
          <w:sz w:val="21"/>
        </w:rPr>
        <w:t xml:space="preserve"> </w:t>
      </w:r>
      <w:r>
        <w:rPr>
          <w:spacing w:val="-3"/>
          <w:sz w:val="21"/>
        </w:rPr>
        <w:t>标定工况</w:t>
      </w:r>
      <w:r>
        <w:rPr>
          <w:b/>
          <w:w w:val="99"/>
          <w:sz w:val="21"/>
        </w:rPr>
        <w:t xml:space="preserve"> </w:t>
      </w:r>
    </w:p>
    <w:p w14:paraId="4312CB18" w14:textId="77777777" w:rsidR="00A71EEF" w:rsidRDefault="00A71EEF">
      <w:pPr>
        <w:spacing w:line="268" w:lineRule="exact"/>
        <w:rPr>
          <w:sz w:val="21"/>
        </w:rPr>
        <w:sectPr w:rsidR="00A71EEF">
          <w:pgSz w:w="11910" w:h="16850"/>
          <w:pgMar w:top="1140" w:right="0" w:bottom="1420" w:left="1260" w:header="0" w:footer="1239" w:gutter="0"/>
          <w:cols w:space="720"/>
        </w:sectPr>
      </w:pPr>
    </w:p>
    <w:p w14:paraId="43062D83" w14:textId="77777777" w:rsidR="00A71EEF" w:rsidRDefault="0081115D">
      <w:pPr>
        <w:pStyle w:val="a3"/>
        <w:spacing w:before="47" w:line="446" w:lineRule="auto"/>
        <w:ind w:left="418" w:right="1433" w:firstLine="419"/>
      </w:pPr>
      <w:r>
        <w:rPr>
          <w:spacing w:val="-10"/>
        </w:rPr>
        <w:t>性能试验的工况除特殊要求外，均指标定转速</w:t>
      </w:r>
      <w:r>
        <w:t>（</w:t>
      </w:r>
      <w:r>
        <w:rPr>
          <w:spacing w:val="-3"/>
        </w:rPr>
        <w:t>对标定转速有范围的取上限值</w:t>
      </w:r>
      <w:r>
        <w:rPr>
          <w:spacing w:val="-77"/>
        </w:rPr>
        <w:t>）</w:t>
      </w:r>
      <w:r>
        <w:rPr>
          <w:spacing w:val="-15"/>
        </w:rPr>
        <w:t>，试验用介质</w:t>
      </w:r>
      <w:r>
        <w:rPr>
          <w:spacing w:val="-9"/>
        </w:rPr>
        <w:t>为空气。</w:t>
      </w:r>
      <w:r>
        <w:t xml:space="preserve"> </w:t>
      </w:r>
    </w:p>
    <w:p w14:paraId="5F0CD39A" w14:textId="77777777" w:rsidR="00A71EEF" w:rsidRDefault="0081115D">
      <w:pPr>
        <w:pStyle w:val="4"/>
        <w:spacing w:line="275" w:lineRule="exact"/>
      </w:pPr>
      <w:r>
        <w:t xml:space="preserve">4 </w:t>
      </w:r>
      <w:r>
        <w:t>风机性能试验</w:t>
      </w:r>
      <w:r>
        <w:rPr>
          <w:w w:val="99"/>
        </w:rPr>
        <w:t xml:space="preserve"> </w:t>
      </w:r>
    </w:p>
    <w:p w14:paraId="0A1EB30F" w14:textId="77777777" w:rsidR="00A71EEF" w:rsidRDefault="00A71EEF">
      <w:pPr>
        <w:pStyle w:val="a3"/>
        <w:spacing w:before="6"/>
        <w:rPr>
          <w:b/>
          <w:sz w:val="17"/>
        </w:rPr>
      </w:pPr>
    </w:p>
    <w:p w14:paraId="56C80071" w14:textId="77777777" w:rsidR="00A71EEF" w:rsidRDefault="0081115D">
      <w:pPr>
        <w:pStyle w:val="a4"/>
        <w:numPr>
          <w:ilvl w:val="1"/>
          <w:numId w:val="15"/>
        </w:numPr>
        <w:tabs>
          <w:tab w:val="left" w:pos="1159"/>
        </w:tabs>
        <w:spacing w:before="1"/>
        <w:ind w:hanging="319"/>
        <w:rPr>
          <w:sz w:val="21"/>
        </w:rPr>
      </w:pPr>
      <w:r>
        <w:rPr>
          <w:spacing w:val="-3"/>
          <w:sz w:val="21"/>
        </w:rPr>
        <w:t>试验目的</w:t>
      </w:r>
      <w:r>
        <w:rPr>
          <w:sz w:val="21"/>
        </w:rPr>
        <w:t xml:space="preserve"> </w:t>
      </w:r>
    </w:p>
    <w:p w14:paraId="51C5DF84" w14:textId="77777777" w:rsidR="00A71EEF" w:rsidRDefault="00A71EEF">
      <w:pPr>
        <w:pStyle w:val="a3"/>
        <w:spacing w:before="12"/>
        <w:rPr>
          <w:sz w:val="17"/>
        </w:rPr>
      </w:pPr>
    </w:p>
    <w:p w14:paraId="2F1CBD72" w14:textId="77777777" w:rsidR="00A71EEF" w:rsidRDefault="0081115D">
      <w:pPr>
        <w:pStyle w:val="a3"/>
        <w:spacing w:line="446" w:lineRule="auto"/>
        <w:ind w:left="418" w:right="1410" w:firstLine="419"/>
      </w:pPr>
      <w:r>
        <w:t>风机性能试验是利用流量调节装置通过测定风机在标定转速下风机的压力、轴功率、效率随流量的变化关系，鉴定风机的性能。</w:t>
      </w:r>
      <w:r>
        <w:t xml:space="preserve"> </w:t>
      </w:r>
    </w:p>
    <w:p w14:paraId="7C9C86DE" w14:textId="77777777" w:rsidR="00A71EEF" w:rsidRDefault="0081115D">
      <w:pPr>
        <w:pStyle w:val="a4"/>
        <w:numPr>
          <w:ilvl w:val="1"/>
          <w:numId w:val="15"/>
        </w:numPr>
        <w:tabs>
          <w:tab w:val="left" w:pos="1160"/>
        </w:tabs>
        <w:ind w:left="1159" w:hanging="320"/>
        <w:rPr>
          <w:sz w:val="21"/>
        </w:rPr>
      </w:pPr>
      <w:r>
        <w:rPr>
          <w:spacing w:val="-3"/>
          <w:sz w:val="21"/>
        </w:rPr>
        <w:t>标准进气状态</w:t>
      </w:r>
      <w:r>
        <w:rPr>
          <w:sz w:val="21"/>
        </w:rPr>
        <w:t xml:space="preserve"> </w:t>
      </w:r>
    </w:p>
    <w:p w14:paraId="1BEEE54B" w14:textId="77777777" w:rsidR="00A71EEF" w:rsidRDefault="00A71EEF">
      <w:pPr>
        <w:pStyle w:val="a3"/>
        <w:rPr>
          <w:sz w:val="18"/>
        </w:rPr>
      </w:pPr>
    </w:p>
    <w:p w14:paraId="36DF1E6D" w14:textId="77777777" w:rsidR="00A71EEF" w:rsidRDefault="0081115D">
      <w:pPr>
        <w:pStyle w:val="a3"/>
        <w:spacing w:line="446" w:lineRule="auto"/>
        <w:ind w:left="418" w:right="1433" w:firstLine="419"/>
      </w:pPr>
      <w:r>
        <w:rPr>
          <w:spacing w:val="-6"/>
        </w:rPr>
        <w:t>标准进气状态为：温度</w:t>
      </w:r>
      <w:r>
        <w:rPr>
          <w:spacing w:val="-6"/>
        </w:rPr>
        <w:t xml:space="preserve"> </w:t>
      </w:r>
      <w:r>
        <w:t>20</w:t>
      </w:r>
      <w:r>
        <w:rPr>
          <w:spacing w:val="-7"/>
        </w:rPr>
        <w:t>℃</w:t>
      </w:r>
      <w:r>
        <w:rPr>
          <w:spacing w:val="-7"/>
        </w:rPr>
        <w:t>、大气压力</w:t>
      </w:r>
      <w:r>
        <w:rPr>
          <w:spacing w:val="-7"/>
        </w:rPr>
        <w:t xml:space="preserve"> </w:t>
      </w:r>
      <w:r>
        <w:t>101.3×10³Pa</w:t>
      </w:r>
      <w:r>
        <w:rPr>
          <w:spacing w:val="-8"/>
        </w:rPr>
        <w:t>、相对湿度</w:t>
      </w:r>
      <w:r>
        <w:rPr>
          <w:spacing w:val="-8"/>
        </w:rPr>
        <w:t xml:space="preserve"> </w:t>
      </w:r>
      <w:r>
        <w:t>50</w:t>
      </w:r>
      <w:r>
        <w:rPr>
          <w:spacing w:val="-7"/>
        </w:rPr>
        <w:t>%</w:t>
      </w:r>
      <w:r>
        <w:rPr>
          <w:spacing w:val="-7"/>
        </w:rPr>
        <w:t>；密度为</w:t>
      </w:r>
      <w:r>
        <w:rPr>
          <w:spacing w:val="-7"/>
        </w:rPr>
        <w:t xml:space="preserve"> </w:t>
      </w:r>
      <w:r>
        <w:t>1.2kg/m³</w:t>
      </w:r>
      <w:r>
        <w:t>的</w:t>
      </w:r>
      <w:r>
        <w:rPr>
          <w:spacing w:val="-1"/>
        </w:rPr>
        <w:t>空气。</w:t>
      </w:r>
      <w:r>
        <w:t xml:space="preserve"> </w:t>
      </w:r>
    </w:p>
    <w:p w14:paraId="289F0D92" w14:textId="77777777" w:rsidR="00A71EEF" w:rsidRDefault="0081115D">
      <w:pPr>
        <w:pStyle w:val="a4"/>
        <w:numPr>
          <w:ilvl w:val="1"/>
          <w:numId w:val="15"/>
        </w:numPr>
        <w:tabs>
          <w:tab w:val="left" w:pos="1160"/>
        </w:tabs>
        <w:ind w:left="1159" w:hanging="320"/>
        <w:rPr>
          <w:sz w:val="21"/>
        </w:rPr>
      </w:pPr>
      <w:r>
        <w:rPr>
          <w:spacing w:val="-3"/>
          <w:sz w:val="21"/>
        </w:rPr>
        <w:t>试验装置</w:t>
      </w:r>
      <w:r>
        <w:rPr>
          <w:sz w:val="21"/>
        </w:rPr>
        <w:t xml:space="preserve"> </w:t>
      </w:r>
    </w:p>
    <w:p w14:paraId="78D868EF" w14:textId="77777777" w:rsidR="00A71EEF" w:rsidRDefault="00A71EEF">
      <w:pPr>
        <w:pStyle w:val="a3"/>
        <w:spacing w:before="12"/>
        <w:rPr>
          <w:sz w:val="17"/>
        </w:rPr>
      </w:pPr>
    </w:p>
    <w:p w14:paraId="213EA34B" w14:textId="77777777" w:rsidR="00A71EEF" w:rsidRDefault="0081115D">
      <w:pPr>
        <w:pStyle w:val="a4"/>
        <w:numPr>
          <w:ilvl w:val="2"/>
          <w:numId w:val="15"/>
        </w:numPr>
        <w:tabs>
          <w:tab w:val="left" w:pos="1370"/>
        </w:tabs>
        <w:ind w:hanging="530"/>
        <w:rPr>
          <w:sz w:val="21"/>
        </w:rPr>
      </w:pPr>
      <w:r>
        <w:rPr>
          <w:spacing w:val="-5"/>
          <w:sz w:val="21"/>
        </w:rPr>
        <w:t>试验装置，即对风机在全闭和全开范围内进行试验的设备和调节装置。见图</w:t>
      </w:r>
      <w:r>
        <w:rPr>
          <w:spacing w:val="-5"/>
          <w:sz w:val="21"/>
        </w:rPr>
        <w:t xml:space="preserve"> </w:t>
      </w:r>
      <w:r>
        <w:rPr>
          <w:sz w:val="21"/>
        </w:rPr>
        <w:t>1</w:t>
      </w:r>
      <w:r>
        <w:rPr>
          <w:spacing w:val="-3"/>
          <w:sz w:val="21"/>
        </w:rPr>
        <w:t>。</w:t>
      </w:r>
      <w:r>
        <w:rPr>
          <w:sz w:val="21"/>
        </w:rPr>
        <w:t xml:space="preserve"> </w:t>
      </w:r>
    </w:p>
    <w:p w14:paraId="7B0B417E" w14:textId="77777777" w:rsidR="00A71EEF" w:rsidRDefault="00A71EEF">
      <w:pPr>
        <w:pStyle w:val="a3"/>
        <w:spacing w:before="12"/>
        <w:rPr>
          <w:sz w:val="17"/>
        </w:rPr>
      </w:pPr>
    </w:p>
    <w:p w14:paraId="79DC8963" w14:textId="77777777" w:rsidR="00A71EEF" w:rsidRDefault="0081115D">
      <w:pPr>
        <w:pStyle w:val="a3"/>
        <w:spacing w:line="446" w:lineRule="auto"/>
        <w:ind w:left="418" w:right="1431" w:firstLine="419"/>
      </w:pPr>
      <w:r>
        <w:rPr>
          <w:noProof/>
        </w:rPr>
        <w:drawing>
          <wp:anchor distT="0" distB="0" distL="0" distR="0" simplePos="0" relativeHeight="251750912" behindDoc="0" locked="0" layoutInCell="1" allowOverlap="1" wp14:anchorId="7A04CF7F" wp14:editId="25993CFD">
            <wp:simplePos x="0" y="0"/>
            <wp:positionH relativeFrom="page">
              <wp:posOffset>1296203</wp:posOffset>
            </wp:positionH>
            <wp:positionV relativeFrom="paragraph">
              <wp:posOffset>685609</wp:posOffset>
            </wp:positionV>
            <wp:extent cx="4658117" cy="2514600"/>
            <wp:effectExtent l="0" t="0" r="0" b="0"/>
            <wp:wrapTopAndBottom/>
            <wp:docPr id="831" name="image4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 name="image488.jpeg"/>
                    <pic:cNvPicPr/>
                  </pic:nvPicPr>
                  <pic:blipFill>
                    <a:blip r:embed="rId609" cstate="print"/>
                    <a:stretch>
                      <a:fillRect/>
                    </a:stretch>
                  </pic:blipFill>
                  <pic:spPr>
                    <a:xfrm>
                      <a:off x="0" y="0"/>
                      <a:ext cx="4658117" cy="2514600"/>
                    </a:xfrm>
                    <a:prstGeom prst="rect">
                      <a:avLst/>
                    </a:prstGeom>
                  </pic:spPr>
                </pic:pic>
              </a:graphicData>
            </a:graphic>
          </wp:anchor>
        </w:drawing>
      </w:r>
      <w:r>
        <w:t>1—</w:t>
      </w:r>
      <w:r>
        <w:rPr>
          <w:spacing w:val="-5"/>
        </w:rPr>
        <w:t>试验风机；</w:t>
      </w:r>
      <w:r>
        <w:rPr>
          <w:spacing w:val="-9"/>
        </w:rPr>
        <w:t>2</w:t>
      </w:r>
      <w:r>
        <w:rPr>
          <w:spacing w:val="-6"/>
        </w:rPr>
        <w:t>—</w:t>
      </w:r>
      <w:r>
        <w:rPr>
          <w:spacing w:val="-6"/>
        </w:rPr>
        <w:t>连接管；</w:t>
      </w:r>
      <w:r>
        <w:rPr>
          <w:spacing w:val="-9"/>
        </w:rPr>
        <w:t>3</w:t>
      </w:r>
      <w:r>
        <w:rPr>
          <w:spacing w:val="-5"/>
        </w:rPr>
        <w:t>—</w:t>
      </w:r>
      <w:r>
        <w:rPr>
          <w:spacing w:val="-5"/>
        </w:rPr>
        <w:t>试验风筒；</w:t>
      </w:r>
      <w:r>
        <w:rPr>
          <w:spacing w:val="-9"/>
        </w:rPr>
        <w:t>4</w:t>
      </w:r>
      <w:r>
        <w:rPr>
          <w:spacing w:val="-5"/>
        </w:rPr>
        <w:t>—</w:t>
      </w:r>
      <w:r>
        <w:rPr>
          <w:spacing w:val="-5"/>
        </w:rPr>
        <w:t>压力计；</w:t>
      </w:r>
      <w:r>
        <w:rPr>
          <w:spacing w:val="-9"/>
        </w:rPr>
        <w:t>5</w:t>
      </w:r>
      <w:r>
        <w:rPr>
          <w:spacing w:val="-6"/>
        </w:rPr>
        <w:t>—</w:t>
      </w:r>
      <w:r>
        <w:rPr>
          <w:spacing w:val="-6"/>
        </w:rPr>
        <w:t>整流栅；</w:t>
      </w:r>
      <w:r>
        <w:rPr>
          <w:spacing w:val="-9"/>
        </w:rPr>
        <w:t>6</w:t>
      </w:r>
      <w:r>
        <w:rPr>
          <w:spacing w:val="-5"/>
        </w:rPr>
        <w:t>—</w:t>
      </w:r>
      <w:r>
        <w:rPr>
          <w:spacing w:val="-5"/>
        </w:rPr>
        <w:t>动压管；</w:t>
      </w:r>
      <w:r>
        <w:rPr>
          <w:spacing w:val="-9"/>
        </w:rPr>
        <w:t>7</w:t>
      </w:r>
      <w:r>
        <w:rPr>
          <w:spacing w:val="-4"/>
        </w:rPr>
        <w:t>—</w:t>
      </w:r>
      <w:r>
        <w:rPr>
          <w:spacing w:val="-4"/>
        </w:rPr>
        <w:t>流量调节装置</w:t>
      </w:r>
      <w:r>
        <w:t xml:space="preserve"> </w:t>
      </w:r>
    </w:p>
    <w:p w14:paraId="1C8F9CAB" w14:textId="77777777" w:rsidR="00A71EEF" w:rsidRDefault="0081115D">
      <w:pPr>
        <w:pStyle w:val="6"/>
        <w:spacing w:before="147"/>
        <w:ind w:left="3627"/>
        <w:jc w:val="both"/>
      </w:pPr>
      <w:r>
        <w:t>图</w:t>
      </w:r>
      <w:r>
        <w:t xml:space="preserve"> 1 </w:t>
      </w:r>
      <w:r>
        <w:t>风机试验装置示意图</w:t>
      </w:r>
      <w:r>
        <w:rPr>
          <w:w w:val="99"/>
        </w:rPr>
        <w:t xml:space="preserve"> </w:t>
      </w:r>
    </w:p>
    <w:p w14:paraId="4C7A0FC8" w14:textId="77777777" w:rsidR="00A71EEF" w:rsidRDefault="00A71EEF">
      <w:pPr>
        <w:pStyle w:val="a3"/>
        <w:rPr>
          <w:b/>
          <w:sz w:val="18"/>
        </w:rPr>
      </w:pPr>
    </w:p>
    <w:p w14:paraId="01BC4653" w14:textId="77777777" w:rsidR="00A71EEF" w:rsidRDefault="0081115D">
      <w:pPr>
        <w:pStyle w:val="a4"/>
        <w:numPr>
          <w:ilvl w:val="2"/>
          <w:numId w:val="15"/>
        </w:numPr>
        <w:tabs>
          <w:tab w:val="left" w:pos="1371"/>
        </w:tabs>
        <w:spacing w:line="446" w:lineRule="auto"/>
        <w:ind w:left="418" w:right="1433" w:firstLine="422"/>
        <w:jc w:val="both"/>
        <w:rPr>
          <w:sz w:val="21"/>
        </w:rPr>
      </w:pPr>
      <w:r>
        <w:rPr>
          <w:spacing w:val="-7"/>
          <w:sz w:val="21"/>
        </w:rPr>
        <w:t>试验装置的试验风筒应采用内表面光滑，截面积为风机出口截面积的</w:t>
      </w:r>
      <w:r>
        <w:rPr>
          <w:spacing w:val="-7"/>
          <w:sz w:val="21"/>
        </w:rPr>
        <w:t xml:space="preserve"> </w:t>
      </w:r>
      <w:r>
        <w:rPr>
          <w:sz w:val="21"/>
        </w:rPr>
        <w:t>1~1.3</w:t>
      </w:r>
      <w:r>
        <w:rPr>
          <w:spacing w:val="-11"/>
          <w:sz w:val="21"/>
        </w:rPr>
        <w:t xml:space="preserve"> </w:t>
      </w:r>
      <w:r>
        <w:rPr>
          <w:spacing w:val="-11"/>
          <w:sz w:val="21"/>
        </w:rPr>
        <w:t>倍的圆形</w:t>
      </w:r>
      <w:r>
        <w:rPr>
          <w:sz w:val="21"/>
        </w:rPr>
        <w:t>直管，风机出口非圆形或截面积小于试验风筒截面积时用过渡接头连接，其锥形扩散角应小于</w:t>
      </w:r>
      <w:r>
        <w:rPr>
          <w:sz w:val="21"/>
        </w:rPr>
        <w:t>14°</w:t>
      </w:r>
      <w:r>
        <w:rPr>
          <w:spacing w:val="-3"/>
          <w:sz w:val="21"/>
        </w:rPr>
        <w:t>。</w:t>
      </w:r>
      <w:r>
        <w:rPr>
          <w:sz w:val="21"/>
        </w:rPr>
        <w:t xml:space="preserve"> </w:t>
      </w:r>
    </w:p>
    <w:p w14:paraId="2EE28963" w14:textId="77777777" w:rsidR="00A71EEF" w:rsidRDefault="0081115D">
      <w:pPr>
        <w:pStyle w:val="a3"/>
        <w:spacing w:line="448" w:lineRule="auto"/>
        <w:ind w:left="418" w:right="1433" w:firstLine="419"/>
        <w:jc w:val="both"/>
      </w:pPr>
      <w:r>
        <w:rPr>
          <w:spacing w:val="-6"/>
          <w:position w:val="1"/>
        </w:rPr>
        <w:t>风筒内径按</w:t>
      </w:r>
      <w:r>
        <w:rPr>
          <w:spacing w:val="-6"/>
          <w:position w:val="1"/>
        </w:rPr>
        <w:t xml:space="preserve"> </w:t>
      </w:r>
      <w:r>
        <w:rPr>
          <w:position w:val="1"/>
        </w:rPr>
        <w:t>IT13</w:t>
      </w:r>
      <w:r>
        <w:rPr>
          <w:spacing w:val="-7"/>
          <w:position w:val="1"/>
        </w:rPr>
        <w:t xml:space="preserve"> </w:t>
      </w:r>
      <w:r>
        <w:rPr>
          <w:spacing w:val="-7"/>
          <w:position w:val="1"/>
        </w:rPr>
        <w:t>级制造，表面粗糙度</w:t>
      </w:r>
      <w:r>
        <w:rPr>
          <w:spacing w:val="-7"/>
          <w:position w:val="1"/>
        </w:rPr>
        <w:t xml:space="preserve"> </w:t>
      </w:r>
      <w:r>
        <w:rPr>
          <w:position w:val="1"/>
        </w:rPr>
        <w:t>R</w:t>
      </w:r>
      <w:r>
        <w:rPr>
          <w:sz w:val="11"/>
        </w:rPr>
        <w:t xml:space="preserve">a </w:t>
      </w:r>
      <w:r>
        <w:rPr>
          <w:spacing w:val="-8"/>
          <w:position w:val="1"/>
        </w:rPr>
        <w:t>值不超过</w:t>
      </w:r>
      <w:r>
        <w:rPr>
          <w:spacing w:val="-8"/>
          <w:position w:val="1"/>
        </w:rPr>
        <w:t xml:space="preserve"> </w:t>
      </w:r>
      <w:r>
        <w:rPr>
          <w:position w:val="1"/>
        </w:rPr>
        <w:t>12.5μm</w:t>
      </w:r>
      <w:r>
        <w:rPr>
          <w:spacing w:val="-3"/>
          <w:position w:val="1"/>
        </w:rPr>
        <w:t>。静压测量小孔应均布在垂直于</w:t>
      </w:r>
      <w:r>
        <w:rPr>
          <w:spacing w:val="-7"/>
        </w:rPr>
        <w:t>风筒轴线的同一截面上。孔数为</w:t>
      </w:r>
      <w:r>
        <w:rPr>
          <w:spacing w:val="-7"/>
        </w:rPr>
        <w:t xml:space="preserve"> </w:t>
      </w:r>
      <w:r>
        <w:t>3~4</w:t>
      </w:r>
      <w:r>
        <w:rPr>
          <w:spacing w:val="-17"/>
        </w:rPr>
        <w:t xml:space="preserve"> </w:t>
      </w:r>
      <w:r>
        <w:rPr>
          <w:spacing w:val="-17"/>
        </w:rPr>
        <w:t>个，直径为</w:t>
      </w:r>
      <w:r>
        <w:rPr>
          <w:spacing w:val="-17"/>
        </w:rPr>
        <w:t xml:space="preserve"> </w:t>
      </w:r>
      <w:r>
        <w:t>1~2mm</w:t>
      </w:r>
      <w:r>
        <w:rPr>
          <w:spacing w:val="-3"/>
        </w:rPr>
        <w:t>，孔口应平滑无凸起或毛刺。</w:t>
      </w:r>
      <w:r>
        <w:t xml:space="preserve"> </w:t>
      </w:r>
    </w:p>
    <w:p w14:paraId="43BD6D63" w14:textId="77777777" w:rsidR="00A71EEF" w:rsidRDefault="00A71EEF">
      <w:pPr>
        <w:spacing w:line="448" w:lineRule="auto"/>
        <w:jc w:val="both"/>
        <w:sectPr w:rsidR="00A71EEF">
          <w:pgSz w:w="11910" w:h="16850"/>
          <w:pgMar w:top="1220" w:right="0" w:bottom="1420" w:left="1260" w:header="0" w:footer="1239" w:gutter="0"/>
          <w:cols w:space="720"/>
        </w:sectPr>
      </w:pPr>
    </w:p>
    <w:p w14:paraId="551A5850" w14:textId="77777777" w:rsidR="00A71EEF" w:rsidRDefault="0081115D">
      <w:pPr>
        <w:pStyle w:val="a4"/>
        <w:numPr>
          <w:ilvl w:val="2"/>
          <w:numId w:val="15"/>
        </w:numPr>
        <w:tabs>
          <w:tab w:val="left" w:pos="1370"/>
        </w:tabs>
        <w:spacing w:before="55" w:line="251" w:lineRule="exact"/>
        <w:ind w:hanging="530"/>
        <w:rPr>
          <w:sz w:val="21"/>
        </w:rPr>
      </w:pPr>
      <w:r>
        <w:pict w14:anchorId="02C58783">
          <v:rect id="_x0000_s1053" style="position:absolute;left:0;text-align:left;margin-left:366.3pt;margin-top:12.5pt;width:4.3pt;height:.7pt;z-index:-251511296;mso-position-horizontal-relative:page" fillcolor="black" stroked="f">
            <w10:wrap anchorx="page"/>
          </v:rect>
        </w:pict>
      </w:r>
      <w:r>
        <w:pict w14:anchorId="6EEC58A5">
          <v:rect id="_x0000_s1052" style="position:absolute;left:0;text-align:left;margin-left:381.65pt;margin-top:12.5pt;width:4.3pt;height:.7pt;z-index:-251510272;mso-position-horizontal-relative:page" fillcolor="black" stroked="f">
            <w10:wrap anchorx="page"/>
          </v:rect>
        </w:pict>
      </w:r>
      <w:r>
        <w:rPr>
          <w:spacing w:val="-12"/>
          <w:sz w:val="21"/>
        </w:rPr>
        <w:t>整流栅，栅格正方形，边长</w:t>
      </w:r>
      <w:r>
        <w:rPr>
          <w:spacing w:val="-12"/>
          <w:sz w:val="21"/>
        </w:rPr>
        <w:t xml:space="preserve"> </w:t>
      </w:r>
      <w:r>
        <w:rPr>
          <w:sz w:val="21"/>
        </w:rPr>
        <w:t>l</w:t>
      </w:r>
      <w:r>
        <w:rPr>
          <w:spacing w:val="-14"/>
          <w:sz w:val="21"/>
        </w:rPr>
        <w:t xml:space="preserve"> </w:t>
      </w:r>
      <w:r>
        <w:rPr>
          <w:spacing w:val="-14"/>
          <w:sz w:val="21"/>
        </w:rPr>
        <w:t>为试验风筒直径</w:t>
      </w:r>
      <w:r>
        <w:rPr>
          <w:spacing w:val="-14"/>
          <w:sz w:val="21"/>
        </w:rPr>
        <w:t xml:space="preserve"> </w:t>
      </w:r>
      <w:r>
        <w:rPr>
          <w:sz w:val="21"/>
        </w:rPr>
        <w:t>D</w:t>
      </w:r>
      <w:r>
        <w:rPr>
          <w:spacing w:val="-28"/>
          <w:sz w:val="21"/>
        </w:rPr>
        <w:t xml:space="preserve"> </w:t>
      </w:r>
      <w:r>
        <w:rPr>
          <w:spacing w:val="-28"/>
          <w:sz w:val="21"/>
        </w:rPr>
        <w:t>的</w:t>
      </w:r>
      <w:r>
        <w:rPr>
          <w:rFonts w:ascii="Cambria Math" w:eastAsia="Cambria Math"/>
          <w:position w:val="12"/>
          <w:sz w:val="15"/>
        </w:rPr>
        <w:t>1</w:t>
      </w:r>
      <w:r>
        <w:rPr>
          <w:rFonts w:ascii="Cambria Math" w:eastAsia="Cambria Math"/>
          <w:spacing w:val="2"/>
          <w:position w:val="12"/>
          <w:sz w:val="15"/>
        </w:rPr>
        <w:t xml:space="preserve"> </w:t>
      </w:r>
      <w:r>
        <w:rPr>
          <w:rFonts w:ascii="Cambria Math" w:eastAsia="Cambria Math"/>
          <w:sz w:val="21"/>
        </w:rPr>
        <w:t>~</w:t>
      </w:r>
      <w:r>
        <w:rPr>
          <w:rFonts w:ascii="Cambria Math" w:eastAsia="Cambria Math"/>
          <w:spacing w:val="-11"/>
          <w:sz w:val="21"/>
        </w:rPr>
        <w:t xml:space="preserve"> </w:t>
      </w:r>
      <w:r>
        <w:rPr>
          <w:rFonts w:ascii="Cambria Math" w:eastAsia="Cambria Math"/>
          <w:spacing w:val="-10"/>
          <w:position w:val="12"/>
          <w:sz w:val="15"/>
        </w:rPr>
        <w:t>1</w:t>
      </w:r>
      <w:r>
        <w:rPr>
          <w:spacing w:val="-12"/>
          <w:sz w:val="21"/>
        </w:rPr>
        <w:t>，轴向长度</w:t>
      </w:r>
      <w:r>
        <w:rPr>
          <w:spacing w:val="-12"/>
          <w:sz w:val="21"/>
        </w:rPr>
        <w:t xml:space="preserve"> </w:t>
      </w:r>
      <w:r>
        <w:rPr>
          <w:sz w:val="21"/>
        </w:rPr>
        <w:t>L</w:t>
      </w:r>
      <w:r>
        <w:rPr>
          <w:spacing w:val="-19"/>
          <w:sz w:val="21"/>
        </w:rPr>
        <w:t xml:space="preserve"> </w:t>
      </w:r>
      <w:r>
        <w:rPr>
          <w:spacing w:val="-19"/>
          <w:sz w:val="21"/>
        </w:rPr>
        <w:t>应不小于</w:t>
      </w:r>
      <w:r>
        <w:rPr>
          <w:spacing w:val="-19"/>
          <w:sz w:val="21"/>
        </w:rPr>
        <w:t xml:space="preserve"> </w:t>
      </w:r>
      <w:r>
        <w:rPr>
          <w:spacing w:val="-7"/>
          <w:sz w:val="21"/>
        </w:rPr>
        <w:t>3l</w:t>
      </w:r>
      <w:r>
        <w:rPr>
          <w:spacing w:val="-4"/>
          <w:sz w:val="21"/>
        </w:rPr>
        <w:t>，见</w:t>
      </w:r>
    </w:p>
    <w:p w14:paraId="6EBADDBC" w14:textId="77777777" w:rsidR="00A71EEF" w:rsidRDefault="0081115D">
      <w:pPr>
        <w:tabs>
          <w:tab w:val="left" w:pos="2187"/>
        </w:tabs>
        <w:spacing w:line="151" w:lineRule="exact"/>
        <w:ind w:left="1880"/>
        <w:jc w:val="center"/>
        <w:rPr>
          <w:rFonts w:ascii="Cambria Math"/>
          <w:sz w:val="15"/>
        </w:rPr>
      </w:pPr>
      <w:r>
        <w:rPr>
          <w:rFonts w:ascii="Cambria Math"/>
          <w:w w:val="105"/>
          <w:sz w:val="15"/>
        </w:rPr>
        <w:t>4</w:t>
      </w:r>
      <w:r>
        <w:rPr>
          <w:rFonts w:ascii="Cambria Math"/>
          <w:w w:val="105"/>
          <w:sz w:val="15"/>
        </w:rPr>
        <w:tab/>
        <w:t>6</w:t>
      </w:r>
    </w:p>
    <w:p w14:paraId="11D96BFD" w14:textId="77777777" w:rsidR="00A71EEF" w:rsidRDefault="00A71EEF">
      <w:pPr>
        <w:pStyle w:val="a3"/>
        <w:spacing w:before="9"/>
        <w:rPr>
          <w:rFonts w:ascii="Cambria Math"/>
          <w:sz w:val="12"/>
        </w:rPr>
      </w:pPr>
    </w:p>
    <w:p w14:paraId="5D107198" w14:textId="77777777" w:rsidR="00A71EEF" w:rsidRDefault="0081115D">
      <w:pPr>
        <w:pStyle w:val="a3"/>
        <w:ind w:left="418"/>
        <w:rPr>
          <w:b/>
        </w:rPr>
      </w:pPr>
      <w:r>
        <w:rPr>
          <w:noProof/>
        </w:rPr>
        <w:drawing>
          <wp:anchor distT="0" distB="0" distL="0" distR="0" simplePos="0" relativeHeight="251751936" behindDoc="0" locked="0" layoutInCell="1" allowOverlap="1" wp14:anchorId="7C11AAA6" wp14:editId="4CCCAB0C">
            <wp:simplePos x="0" y="0"/>
            <wp:positionH relativeFrom="page">
              <wp:posOffset>2884551</wp:posOffset>
            </wp:positionH>
            <wp:positionV relativeFrom="paragraph">
              <wp:posOffset>201295</wp:posOffset>
            </wp:positionV>
            <wp:extent cx="1828800" cy="1676400"/>
            <wp:effectExtent l="0" t="0" r="0" b="0"/>
            <wp:wrapTopAndBottom/>
            <wp:docPr id="833" name="image4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 name="image489.jpeg"/>
                    <pic:cNvPicPr/>
                  </pic:nvPicPr>
                  <pic:blipFill>
                    <a:blip r:embed="rId610" cstate="print"/>
                    <a:stretch>
                      <a:fillRect/>
                    </a:stretch>
                  </pic:blipFill>
                  <pic:spPr>
                    <a:xfrm>
                      <a:off x="0" y="0"/>
                      <a:ext cx="1828800" cy="1676400"/>
                    </a:xfrm>
                    <a:prstGeom prst="rect">
                      <a:avLst/>
                    </a:prstGeom>
                  </pic:spPr>
                </pic:pic>
              </a:graphicData>
            </a:graphic>
          </wp:anchor>
        </w:drawing>
      </w:r>
      <w:r>
        <w:rPr>
          <w:spacing w:val="-26"/>
        </w:rPr>
        <w:t>图</w:t>
      </w:r>
      <w:r>
        <w:rPr>
          <w:spacing w:val="-26"/>
        </w:rPr>
        <w:t xml:space="preserve"> </w:t>
      </w:r>
      <w:r>
        <w:t>2</w:t>
      </w:r>
      <w:r>
        <w:rPr>
          <w:spacing w:val="-3"/>
        </w:rPr>
        <w:t>。</w:t>
      </w:r>
      <w:r>
        <w:rPr>
          <w:b/>
          <w:w w:val="99"/>
        </w:rPr>
        <w:t xml:space="preserve"> </w:t>
      </w:r>
    </w:p>
    <w:p w14:paraId="5AE2C642" w14:textId="77777777" w:rsidR="00A71EEF" w:rsidRDefault="00A71EEF">
      <w:pPr>
        <w:pStyle w:val="a3"/>
        <w:spacing w:before="2"/>
        <w:rPr>
          <w:b/>
          <w:sz w:val="7"/>
        </w:rPr>
      </w:pPr>
    </w:p>
    <w:p w14:paraId="48DCBD59" w14:textId="77777777" w:rsidR="00A71EEF" w:rsidRDefault="0081115D">
      <w:pPr>
        <w:pStyle w:val="a4"/>
        <w:numPr>
          <w:ilvl w:val="2"/>
          <w:numId w:val="15"/>
        </w:numPr>
        <w:tabs>
          <w:tab w:val="left" w:pos="1371"/>
        </w:tabs>
        <w:spacing w:before="71" w:line="446" w:lineRule="auto"/>
        <w:ind w:left="418" w:right="1325" w:firstLine="422"/>
        <w:rPr>
          <w:b/>
          <w:sz w:val="21"/>
        </w:rPr>
      </w:pPr>
      <w:r>
        <w:rPr>
          <w:spacing w:val="-4"/>
          <w:sz w:val="21"/>
        </w:rPr>
        <w:t>测定动压的测定点应分布在风筒轴线的垂直截面上，沿垂直和水平方向各测</w:t>
      </w:r>
      <w:r>
        <w:rPr>
          <w:spacing w:val="-4"/>
          <w:sz w:val="21"/>
        </w:rPr>
        <w:t xml:space="preserve"> </w:t>
      </w:r>
      <w:r>
        <w:rPr>
          <w:sz w:val="21"/>
        </w:rPr>
        <w:t>8</w:t>
      </w:r>
      <w:r>
        <w:rPr>
          <w:spacing w:val="-12"/>
          <w:sz w:val="21"/>
        </w:rPr>
        <w:t xml:space="preserve"> </w:t>
      </w:r>
      <w:r>
        <w:rPr>
          <w:spacing w:val="-12"/>
          <w:sz w:val="21"/>
        </w:rPr>
        <w:t>个点，</w:t>
      </w:r>
      <w:r>
        <w:rPr>
          <w:spacing w:val="-12"/>
          <w:sz w:val="21"/>
        </w:rPr>
        <w:t xml:space="preserve"> </w:t>
      </w:r>
      <w:r>
        <w:rPr>
          <w:spacing w:val="-17"/>
          <w:sz w:val="21"/>
        </w:rPr>
        <w:t>位置见图</w:t>
      </w:r>
      <w:r>
        <w:rPr>
          <w:spacing w:val="-17"/>
          <w:sz w:val="21"/>
        </w:rPr>
        <w:t xml:space="preserve"> </w:t>
      </w:r>
      <w:r>
        <w:rPr>
          <w:spacing w:val="-3"/>
          <w:sz w:val="21"/>
        </w:rPr>
        <w:t>3</w:t>
      </w:r>
      <w:r>
        <w:rPr>
          <w:spacing w:val="-3"/>
          <w:sz w:val="21"/>
        </w:rPr>
        <w:t>。</w:t>
      </w:r>
      <w:r>
        <w:rPr>
          <w:b/>
          <w:w w:val="99"/>
          <w:sz w:val="21"/>
        </w:rPr>
        <w:t xml:space="preserve"> </w:t>
      </w:r>
    </w:p>
    <w:p w14:paraId="5758E456" w14:textId="77777777" w:rsidR="00A71EEF" w:rsidRDefault="0081115D">
      <w:pPr>
        <w:pStyle w:val="a3"/>
        <w:spacing w:before="11"/>
        <w:rPr>
          <w:b/>
          <w:sz w:val="25"/>
        </w:rPr>
      </w:pPr>
      <w:r>
        <w:rPr>
          <w:noProof/>
        </w:rPr>
        <w:drawing>
          <wp:anchor distT="0" distB="0" distL="0" distR="0" simplePos="0" relativeHeight="251752960" behindDoc="0" locked="0" layoutInCell="1" allowOverlap="1" wp14:anchorId="62CAD83A" wp14:editId="1AD6265A">
            <wp:simplePos x="0" y="0"/>
            <wp:positionH relativeFrom="page">
              <wp:posOffset>2332101</wp:posOffset>
            </wp:positionH>
            <wp:positionV relativeFrom="paragraph">
              <wp:posOffset>235204</wp:posOffset>
            </wp:positionV>
            <wp:extent cx="2781300" cy="3352800"/>
            <wp:effectExtent l="0" t="0" r="0" b="0"/>
            <wp:wrapTopAndBottom/>
            <wp:docPr id="835" name="image4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 name="image490.jpeg"/>
                    <pic:cNvPicPr/>
                  </pic:nvPicPr>
                  <pic:blipFill>
                    <a:blip r:embed="rId611" cstate="print"/>
                    <a:stretch>
                      <a:fillRect/>
                    </a:stretch>
                  </pic:blipFill>
                  <pic:spPr>
                    <a:xfrm>
                      <a:off x="0" y="0"/>
                      <a:ext cx="2781300" cy="3352800"/>
                    </a:xfrm>
                    <a:prstGeom prst="rect">
                      <a:avLst/>
                    </a:prstGeom>
                  </pic:spPr>
                </pic:pic>
              </a:graphicData>
            </a:graphic>
          </wp:anchor>
        </w:drawing>
      </w:r>
    </w:p>
    <w:p w14:paraId="083C8B64" w14:textId="77777777" w:rsidR="00A71EEF" w:rsidRDefault="0081115D">
      <w:pPr>
        <w:pStyle w:val="a4"/>
        <w:numPr>
          <w:ilvl w:val="2"/>
          <w:numId w:val="15"/>
        </w:numPr>
        <w:tabs>
          <w:tab w:val="left" w:pos="1370"/>
        </w:tabs>
        <w:spacing w:before="163"/>
        <w:ind w:hanging="530"/>
        <w:rPr>
          <w:sz w:val="21"/>
        </w:rPr>
      </w:pPr>
      <w:r>
        <w:rPr>
          <w:spacing w:val="-3"/>
          <w:sz w:val="21"/>
        </w:rPr>
        <w:t>试验在室内台架上进行。风机试验装置安装调整后运转，转速稳定后再进行测试。</w:t>
      </w:r>
      <w:r>
        <w:rPr>
          <w:sz w:val="21"/>
        </w:rPr>
        <w:t xml:space="preserve"> </w:t>
      </w:r>
    </w:p>
    <w:p w14:paraId="15BC2E22" w14:textId="77777777" w:rsidR="00A71EEF" w:rsidRDefault="00A71EEF">
      <w:pPr>
        <w:pStyle w:val="a3"/>
        <w:rPr>
          <w:sz w:val="18"/>
        </w:rPr>
      </w:pPr>
    </w:p>
    <w:p w14:paraId="6F4287AB" w14:textId="77777777" w:rsidR="00A71EEF" w:rsidRDefault="0081115D">
      <w:pPr>
        <w:pStyle w:val="a3"/>
        <w:spacing w:line="446" w:lineRule="auto"/>
        <w:ind w:left="418" w:right="1433" w:firstLine="419"/>
      </w:pPr>
      <w:r>
        <w:rPr>
          <w:spacing w:val="-7"/>
        </w:rPr>
        <w:t>测定时，除主风道外，其他出风口均堵上。试验装置进、出口附近应无任何影响气流正常流</w:t>
      </w:r>
      <w:r>
        <w:rPr>
          <w:spacing w:val="-5"/>
        </w:rPr>
        <w:t>动的障碍物。</w:t>
      </w:r>
      <w:r>
        <w:t xml:space="preserve"> </w:t>
      </w:r>
    </w:p>
    <w:p w14:paraId="665BA999" w14:textId="77777777" w:rsidR="00A71EEF" w:rsidRDefault="0081115D">
      <w:pPr>
        <w:pStyle w:val="a4"/>
        <w:numPr>
          <w:ilvl w:val="1"/>
          <w:numId w:val="15"/>
        </w:numPr>
        <w:tabs>
          <w:tab w:val="left" w:pos="1159"/>
        </w:tabs>
        <w:ind w:hanging="319"/>
        <w:rPr>
          <w:b/>
          <w:sz w:val="21"/>
        </w:rPr>
      </w:pPr>
      <w:r>
        <w:rPr>
          <w:spacing w:val="-3"/>
          <w:sz w:val="21"/>
        </w:rPr>
        <w:t>参数测定及计算</w:t>
      </w:r>
      <w:r>
        <w:rPr>
          <w:b/>
          <w:w w:val="99"/>
          <w:sz w:val="21"/>
        </w:rPr>
        <w:t xml:space="preserve"> </w:t>
      </w:r>
    </w:p>
    <w:p w14:paraId="658643CC" w14:textId="77777777" w:rsidR="00A71EEF" w:rsidRDefault="00A71EEF">
      <w:pPr>
        <w:pStyle w:val="a3"/>
        <w:rPr>
          <w:b/>
          <w:sz w:val="18"/>
        </w:rPr>
      </w:pPr>
    </w:p>
    <w:p w14:paraId="6AE3D48E" w14:textId="77777777" w:rsidR="00A71EEF" w:rsidRDefault="0081115D">
      <w:pPr>
        <w:pStyle w:val="a4"/>
        <w:numPr>
          <w:ilvl w:val="2"/>
          <w:numId w:val="15"/>
        </w:numPr>
        <w:tabs>
          <w:tab w:val="left" w:pos="1371"/>
        </w:tabs>
        <w:spacing w:line="446" w:lineRule="auto"/>
        <w:ind w:left="418" w:right="1330" w:firstLine="422"/>
        <w:rPr>
          <w:b/>
          <w:sz w:val="21"/>
        </w:rPr>
      </w:pPr>
      <w:r>
        <w:rPr>
          <w:spacing w:val="-13"/>
          <w:sz w:val="21"/>
        </w:rPr>
        <w:t>逐次调节流量调节装置，使试验风筒从全闭逐次开启直至全开，每调节一次测定转速、</w:t>
      </w:r>
      <w:r>
        <w:rPr>
          <w:spacing w:val="-6"/>
          <w:sz w:val="21"/>
        </w:rPr>
        <w:t>动压、静压和轴功率。</w:t>
      </w:r>
      <w:r>
        <w:rPr>
          <w:b/>
          <w:w w:val="99"/>
          <w:sz w:val="21"/>
        </w:rPr>
        <w:t xml:space="preserve"> </w:t>
      </w:r>
    </w:p>
    <w:p w14:paraId="415E378F" w14:textId="77777777" w:rsidR="00A71EEF" w:rsidRDefault="0081115D">
      <w:pPr>
        <w:pStyle w:val="a3"/>
        <w:ind w:left="838"/>
      </w:pPr>
      <w:r>
        <w:t>全闭到全开共调节</w:t>
      </w:r>
      <w:r>
        <w:t xml:space="preserve"> 9 </w:t>
      </w:r>
      <w:r>
        <w:t>次左右。测试完毕后进行计算，将测定及计算结果记入表</w:t>
      </w:r>
      <w:r>
        <w:t xml:space="preserve"> 1</w:t>
      </w:r>
      <w:r>
        <w:t>、表</w:t>
      </w:r>
      <w:r>
        <w:t xml:space="preserve"> 2</w:t>
      </w:r>
      <w:r>
        <w:t>。</w:t>
      </w:r>
      <w:r>
        <w:t xml:space="preserve"> </w:t>
      </w:r>
    </w:p>
    <w:p w14:paraId="5686390C" w14:textId="77777777" w:rsidR="00A71EEF" w:rsidRDefault="00A71EEF">
      <w:pPr>
        <w:sectPr w:rsidR="00A71EEF">
          <w:pgSz w:w="11910" w:h="16850"/>
          <w:pgMar w:top="1160" w:right="0" w:bottom="1420" w:left="1260" w:header="0" w:footer="1239" w:gutter="0"/>
          <w:cols w:space="720"/>
        </w:sectPr>
      </w:pPr>
    </w:p>
    <w:p w14:paraId="764761DD" w14:textId="77777777" w:rsidR="00A71EEF" w:rsidRDefault="0081115D">
      <w:pPr>
        <w:pStyle w:val="6"/>
        <w:spacing w:before="47"/>
        <w:ind w:right="912"/>
        <w:jc w:val="center"/>
      </w:pPr>
      <w:r>
        <w:t>表</w:t>
      </w:r>
      <w:r>
        <w:t xml:space="preserve"> 1 </w:t>
      </w:r>
      <w:r>
        <w:t>风机性能试验及计算</w:t>
      </w:r>
      <w:r>
        <w:rPr>
          <w:w w:val="99"/>
        </w:rPr>
        <w:t xml:space="preserve"> </w:t>
      </w:r>
    </w:p>
    <w:p w14:paraId="2B8259B1" w14:textId="77777777" w:rsidR="00A71EEF" w:rsidRDefault="00A71EEF">
      <w:pPr>
        <w:pStyle w:val="a3"/>
        <w:rPr>
          <w:b/>
          <w:sz w:val="18"/>
        </w:rPr>
      </w:pPr>
    </w:p>
    <w:p w14:paraId="42B79F43" w14:textId="77777777" w:rsidR="00A71EEF" w:rsidRDefault="0081115D">
      <w:pPr>
        <w:pStyle w:val="a3"/>
        <w:spacing w:after="40"/>
        <w:ind w:left="418"/>
      </w:pPr>
      <w:r>
        <w:t>试</w:t>
      </w:r>
      <w:r>
        <w:t xml:space="preserve"> </w:t>
      </w:r>
      <w:r>
        <w:t>验</w:t>
      </w:r>
      <w:r>
        <w:t xml:space="preserve"> </w:t>
      </w:r>
      <w:r>
        <w:t>日</w:t>
      </w:r>
      <w:r>
        <w:t xml:space="preserve"> </w:t>
      </w:r>
      <w:r>
        <w:t>期</w:t>
      </w:r>
      <w:r>
        <w:t xml:space="preserve"> </w:t>
      </w:r>
      <w:r>
        <w:t>：</w:t>
      </w:r>
      <w:r>
        <w:t xml:space="preserve"> </w:t>
      </w:r>
      <w:r>
        <w:t>年</w:t>
      </w:r>
      <w:r>
        <w:t xml:space="preserve"> </w:t>
      </w:r>
      <w:r>
        <w:t>月</w:t>
      </w:r>
      <w:r>
        <w:t xml:space="preserve"> </w:t>
      </w:r>
      <w:r>
        <w:t>日</w:t>
      </w:r>
      <w:r>
        <w:t xml:space="preserve"> </w:t>
      </w:r>
      <w:r>
        <w:t>地</w:t>
      </w:r>
      <w:r>
        <w:t xml:space="preserve"> </w:t>
      </w:r>
      <w:r>
        <w:t>点</w:t>
      </w:r>
      <w:r>
        <w:t xml:space="preserve"> </w:t>
      </w:r>
      <w:r>
        <w:t>：</w:t>
      </w:r>
      <w:r>
        <w:t xml:space="preserve"> </w:t>
      </w:r>
    </w:p>
    <w:tbl>
      <w:tblPr>
        <w:tblStyle w:val="TableNormal"/>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430"/>
        <w:gridCol w:w="476"/>
        <w:gridCol w:w="428"/>
        <w:gridCol w:w="428"/>
        <w:gridCol w:w="377"/>
        <w:gridCol w:w="403"/>
        <w:gridCol w:w="276"/>
        <w:gridCol w:w="499"/>
        <w:gridCol w:w="338"/>
        <w:gridCol w:w="334"/>
        <w:gridCol w:w="425"/>
        <w:gridCol w:w="403"/>
        <w:gridCol w:w="485"/>
        <w:gridCol w:w="315"/>
        <w:gridCol w:w="87"/>
        <w:gridCol w:w="536"/>
        <w:gridCol w:w="333"/>
        <w:gridCol w:w="90"/>
        <w:gridCol w:w="409"/>
        <w:gridCol w:w="416"/>
        <w:gridCol w:w="416"/>
      </w:tblGrid>
      <w:tr w:rsidR="00A71EEF" w14:paraId="62E86A18" w14:textId="77777777">
        <w:trPr>
          <w:trHeight w:val="385"/>
        </w:trPr>
        <w:tc>
          <w:tcPr>
            <w:tcW w:w="6313" w:type="dxa"/>
            <w:gridSpan w:val="15"/>
          </w:tcPr>
          <w:p w14:paraId="19659D84" w14:textId="77777777" w:rsidR="00A71EEF" w:rsidRDefault="0081115D">
            <w:pPr>
              <w:pStyle w:val="TableParagraph"/>
              <w:spacing w:before="108"/>
              <w:ind w:left="2855" w:right="2768"/>
              <w:jc w:val="center"/>
              <w:rPr>
                <w:sz w:val="16"/>
              </w:rPr>
            </w:pPr>
            <w:r>
              <w:rPr>
                <w:sz w:val="16"/>
              </w:rPr>
              <w:t>原始资料</w:t>
            </w:r>
            <w:r>
              <w:rPr>
                <w:sz w:val="16"/>
              </w:rPr>
              <w:t xml:space="preserve"> </w:t>
            </w:r>
          </w:p>
        </w:tc>
        <w:tc>
          <w:tcPr>
            <w:tcW w:w="2287" w:type="dxa"/>
            <w:gridSpan w:val="7"/>
          </w:tcPr>
          <w:p w14:paraId="6A589210" w14:textId="77777777" w:rsidR="00A71EEF" w:rsidRDefault="0081115D">
            <w:pPr>
              <w:pStyle w:val="TableParagraph"/>
              <w:spacing w:before="108"/>
              <w:ind w:left="816"/>
              <w:rPr>
                <w:sz w:val="16"/>
              </w:rPr>
            </w:pPr>
            <w:r>
              <w:rPr>
                <w:sz w:val="16"/>
              </w:rPr>
              <w:t>自然条件</w:t>
            </w:r>
            <w:r>
              <w:rPr>
                <w:sz w:val="16"/>
              </w:rPr>
              <w:t xml:space="preserve"> </w:t>
            </w:r>
          </w:p>
        </w:tc>
      </w:tr>
      <w:tr w:rsidR="00A71EEF" w14:paraId="1B4CB43C" w14:textId="77777777">
        <w:trPr>
          <w:trHeight w:val="491"/>
        </w:trPr>
        <w:tc>
          <w:tcPr>
            <w:tcW w:w="696" w:type="dxa"/>
            <w:vMerge w:val="restart"/>
          </w:tcPr>
          <w:p w14:paraId="093B0558" w14:textId="77777777" w:rsidR="00A71EEF" w:rsidRDefault="00A71EEF">
            <w:pPr>
              <w:pStyle w:val="TableParagraph"/>
              <w:rPr>
                <w:sz w:val="16"/>
              </w:rPr>
            </w:pPr>
          </w:p>
          <w:p w14:paraId="3848C6A7" w14:textId="77777777" w:rsidR="00A71EEF" w:rsidRDefault="00A71EEF">
            <w:pPr>
              <w:pStyle w:val="TableParagraph"/>
              <w:rPr>
                <w:sz w:val="16"/>
              </w:rPr>
            </w:pPr>
          </w:p>
          <w:p w14:paraId="5AF9CBA9" w14:textId="77777777" w:rsidR="00A71EEF" w:rsidRDefault="00A71EEF">
            <w:pPr>
              <w:pStyle w:val="TableParagraph"/>
              <w:rPr>
                <w:sz w:val="16"/>
              </w:rPr>
            </w:pPr>
          </w:p>
          <w:p w14:paraId="3C06E7D0" w14:textId="77777777" w:rsidR="00A71EEF" w:rsidRDefault="00A71EEF">
            <w:pPr>
              <w:pStyle w:val="TableParagraph"/>
              <w:spacing w:before="11"/>
              <w:rPr>
                <w:sz w:val="12"/>
              </w:rPr>
            </w:pPr>
          </w:p>
          <w:p w14:paraId="6FF7F319" w14:textId="77777777" w:rsidR="00A71EEF" w:rsidRDefault="0081115D">
            <w:pPr>
              <w:pStyle w:val="TableParagraph"/>
              <w:spacing w:before="1"/>
              <w:ind w:left="107"/>
              <w:rPr>
                <w:sz w:val="16"/>
              </w:rPr>
            </w:pPr>
            <w:r>
              <w:rPr>
                <w:sz w:val="16"/>
              </w:rPr>
              <w:t>风机</w:t>
            </w:r>
            <w:r>
              <w:rPr>
                <w:sz w:val="16"/>
              </w:rPr>
              <w:t xml:space="preserve"> </w:t>
            </w:r>
          </w:p>
        </w:tc>
        <w:tc>
          <w:tcPr>
            <w:tcW w:w="906" w:type="dxa"/>
            <w:gridSpan w:val="2"/>
          </w:tcPr>
          <w:p w14:paraId="1635EC70" w14:textId="77777777" w:rsidR="00A71EEF" w:rsidRDefault="00A71EEF">
            <w:pPr>
              <w:pStyle w:val="TableParagraph"/>
              <w:spacing w:before="7"/>
              <w:rPr>
                <w:sz w:val="12"/>
              </w:rPr>
            </w:pPr>
          </w:p>
          <w:p w14:paraId="2DBC3CF6" w14:textId="77777777" w:rsidR="00A71EEF" w:rsidRDefault="0081115D">
            <w:pPr>
              <w:pStyle w:val="TableParagraph"/>
              <w:ind w:left="107"/>
              <w:rPr>
                <w:sz w:val="16"/>
              </w:rPr>
            </w:pPr>
            <w:r>
              <w:rPr>
                <w:sz w:val="16"/>
              </w:rPr>
              <w:t>叶轮外径</w:t>
            </w:r>
            <w:r>
              <w:rPr>
                <w:sz w:val="16"/>
              </w:rPr>
              <w:t xml:space="preserve"> </w:t>
            </w:r>
          </w:p>
        </w:tc>
        <w:tc>
          <w:tcPr>
            <w:tcW w:w="856" w:type="dxa"/>
            <w:gridSpan w:val="2"/>
          </w:tcPr>
          <w:p w14:paraId="297B6CA8" w14:textId="77777777" w:rsidR="00A71EEF" w:rsidRDefault="00A71EEF">
            <w:pPr>
              <w:pStyle w:val="TableParagraph"/>
              <w:spacing w:before="7"/>
              <w:rPr>
                <w:sz w:val="12"/>
              </w:rPr>
            </w:pPr>
          </w:p>
          <w:p w14:paraId="7F0420D9" w14:textId="77777777" w:rsidR="00A71EEF" w:rsidRDefault="0081115D">
            <w:pPr>
              <w:pStyle w:val="TableParagraph"/>
              <w:ind w:right="18"/>
              <w:jc w:val="right"/>
              <w:rPr>
                <w:sz w:val="16"/>
              </w:rPr>
            </w:pPr>
            <w:r>
              <w:rPr>
                <w:sz w:val="16"/>
              </w:rPr>
              <w:t xml:space="preserve">m </w:t>
            </w:r>
          </w:p>
        </w:tc>
        <w:tc>
          <w:tcPr>
            <w:tcW w:w="780" w:type="dxa"/>
            <w:gridSpan w:val="2"/>
            <w:vMerge w:val="restart"/>
          </w:tcPr>
          <w:p w14:paraId="5C6D3165" w14:textId="77777777" w:rsidR="00A71EEF" w:rsidRDefault="00A71EEF">
            <w:pPr>
              <w:pStyle w:val="TableParagraph"/>
              <w:rPr>
                <w:sz w:val="16"/>
              </w:rPr>
            </w:pPr>
          </w:p>
          <w:p w14:paraId="640CE69A" w14:textId="77777777" w:rsidR="00A71EEF" w:rsidRDefault="00A71EEF">
            <w:pPr>
              <w:pStyle w:val="TableParagraph"/>
              <w:rPr>
                <w:sz w:val="16"/>
              </w:rPr>
            </w:pPr>
          </w:p>
          <w:p w14:paraId="5DF785E6" w14:textId="77777777" w:rsidR="00A71EEF" w:rsidRDefault="00A71EEF">
            <w:pPr>
              <w:pStyle w:val="TableParagraph"/>
              <w:rPr>
                <w:sz w:val="16"/>
              </w:rPr>
            </w:pPr>
          </w:p>
          <w:p w14:paraId="7BD8AE3B" w14:textId="77777777" w:rsidR="00A71EEF" w:rsidRDefault="00A71EEF">
            <w:pPr>
              <w:pStyle w:val="TableParagraph"/>
              <w:spacing w:before="11"/>
              <w:rPr>
                <w:sz w:val="12"/>
              </w:rPr>
            </w:pPr>
          </w:p>
          <w:p w14:paraId="42A0F9EE" w14:textId="77777777" w:rsidR="00A71EEF" w:rsidRDefault="0081115D">
            <w:pPr>
              <w:pStyle w:val="TableParagraph"/>
              <w:spacing w:before="1"/>
              <w:ind w:left="105"/>
              <w:rPr>
                <w:sz w:val="16"/>
              </w:rPr>
            </w:pPr>
            <w:r>
              <w:rPr>
                <w:sz w:val="16"/>
              </w:rPr>
              <w:t>试验台</w:t>
            </w:r>
            <w:r>
              <w:rPr>
                <w:sz w:val="16"/>
              </w:rPr>
              <w:t xml:space="preserve"> </w:t>
            </w:r>
          </w:p>
        </w:tc>
        <w:tc>
          <w:tcPr>
            <w:tcW w:w="1872" w:type="dxa"/>
            <w:gridSpan w:val="5"/>
          </w:tcPr>
          <w:p w14:paraId="34A0F9E7" w14:textId="77777777" w:rsidR="00A71EEF" w:rsidRDefault="00A71EEF">
            <w:pPr>
              <w:pStyle w:val="TableParagraph"/>
              <w:spacing w:before="7"/>
              <w:rPr>
                <w:sz w:val="12"/>
              </w:rPr>
            </w:pPr>
          </w:p>
          <w:p w14:paraId="1E9FCF9D" w14:textId="77777777" w:rsidR="00A71EEF" w:rsidRDefault="0081115D">
            <w:pPr>
              <w:pStyle w:val="TableParagraph"/>
              <w:ind w:left="136"/>
              <w:rPr>
                <w:sz w:val="16"/>
              </w:rPr>
            </w:pPr>
            <w:r>
              <w:rPr>
                <w:sz w:val="16"/>
              </w:rPr>
              <w:t>电力测功机型号</w:t>
            </w:r>
            <w:r>
              <w:rPr>
                <w:sz w:val="16"/>
              </w:rPr>
              <w:t xml:space="preserve"> </w:t>
            </w:r>
          </w:p>
        </w:tc>
        <w:tc>
          <w:tcPr>
            <w:tcW w:w="1203" w:type="dxa"/>
            <w:gridSpan w:val="3"/>
          </w:tcPr>
          <w:p w14:paraId="73EC7274" w14:textId="77777777" w:rsidR="00A71EEF" w:rsidRDefault="00A71EEF">
            <w:pPr>
              <w:pStyle w:val="TableParagraph"/>
              <w:spacing w:before="7"/>
              <w:rPr>
                <w:sz w:val="12"/>
              </w:rPr>
            </w:pPr>
          </w:p>
          <w:p w14:paraId="50EFC3BA" w14:textId="77777777" w:rsidR="00A71EEF" w:rsidRDefault="0081115D">
            <w:pPr>
              <w:pStyle w:val="TableParagraph"/>
              <w:ind w:right="18"/>
              <w:jc w:val="right"/>
              <w:rPr>
                <w:sz w:val="16"/>
              </w:rPr>
            </w:pPr>
            <w:r>
              <w:rPr>
                <w:sz w:val="16"/>
              </w:rPr>
              <w:t xml:space="preserve"> </w:t>
            </w:r>
          </w:p>
        </w:tc>
        <w:tc>
          <w:tcPr>
            <w:tcW w:w="956" w:type="dxa"/>
            <w:gridSpan w:val="3"/>
          </w:tcPr>
          <w:p w14:paraId="19348C84" w14:textId="77777777" w:rsidR="00A71EEF" w:rsidRDefault="00A71EEF">
            <w:pPr>
              <w:pStyle w:val="TableParagraph"/>
              <w:spacing w:before="7"/>
              <w:rPr>
                <w:sz w:val="12"/>
              </w:rPr>
            </w:pPr>
          </w:p>
          <w:p w14:paraId="0FFF648B" w14:textId="77777777" w:rsidR="00A71EEF" w:rsidRDefault="0081115D">
            <w:pPr>
              <w:pStyle w:val="TableParagraph"/>
              <w:ind w:left="105"/>
              <w:rPr>
                <w:sz w:val="16"/>
              </w:rPr>
            </w:pPr>
            <w:r>
              <w:rPr>
                <w:sz w:val="16"/>
              </w:rPr>
              <w:t>环境温度</w:t>
            </w:r>
            <w:r>
              <w:rPr>
                <w:sz w:val="16"/>
              </w:rPr>
              <w:t xml:space="preserve"> </w:t>
            </w:r>
          </w:p>
        </w:tc>
        <w:tc>
          <w:tcPr>
            <w:tcW w:w="1331" w:type="dxa"/>
            <w:gridSpan w:val="4"/>
          </w:tcPr>
          <w:p w14:paraId="53C0F200" w14:textId="77777777" w:rsidR="00A71EEF" w:rsidRDefault="00A71EEF">
            <w:pPr>
              <w:pStyle w:val="TableParagraph"/>
              <w:spacing w:before="7"/>
              <w:rPr>
                <w:sz w:val="12"/>
              </w:rPr>
            </w:pPr>
          </w:p>
          <w:p w14:paraId="2C10CB1C" w14:textId="77777777" w:rsidR="00A71EEF" w:rsidRDefault="0081115D">
            <w:pPr>
              <w:pStyle w:val="TableParagraph"/>
              <w:ind w:right="24"/>
              <w:jc w:val="right"/>
              <w:rPr>
                <w:sz w:val="16"/>
              </w:rPr>
            </w:pPr>
            <w:r>
              <w:rPr>
                <w:sz w:val="16"/>
              </w:rPr>
              <w:t xml:space="preserve">℃ </w:t>
            </w:r>
          </w:p>
        </w:tc>
      </w:tr>
      <w:tr w:rsidR="00A71EEF" w14:paraId="5335BC2A" w14:textId="77777777">
        <w:trPr>
          <w:trHeight w:val="479"/>
        </w:trPr>
        <w:tc>
          <w:tcPr>
            <w:tcW w:w="696" w:type="dxa"/>
            <w:vMerge/>
            <w:tcBorders>
              <w:top w:val="nil"/>
            </w:tcBorders>
          </w:tcPr>
          <w:p w14:paraId="68AB2B13" w14:textId="77777777" w:rsidR="00A71EEF" w:rsidRDefault="00A71EEF">
            <w:pPr>
              <w:rPr>
                <w:sz w:val="2"/>
                <w:szCs w:val="2"/>
              </w:rPr>
            </w:pPr>
          </w:p>
        </w:tc>
        <w:tc>
          <w:tcPr>
            <w:tcW w:w="906" w:type="dxa"/>
            <w:gridSpan w:val="2"/>
          </w:tcPr>
          <w:p w14:paraId="09A06A79" w14:textId="77777777" w:rsidR="00A71EEF" w:rsidRDefault="0081115D">
            <w:pPr>
              <w:pStyle w:val="TableParagraph"/>
              <w:spacing w:before="2" w:line="240" w:lineRule="exact"/>
              <w:ind w:left="107" w:right="65"/>
              <w:rPr>
                <w:sz w:val="16"/>
              </w:rPr>
            </w:pPr>
            <w:r>
              <w:rPr>
                <w:sz w:val="16"/>
              </w:rPr>
              <w:t>叶轮外径风口直径</w:t>
            </w:r>
            <w:r>
              <w:rPr>
                <w:sz w:val="16"/>
              </w:rPr>
              <w:t xml:space="preserve"> </w:t>
            </w:r>
          </w:p>
        </w:tc>
        <w:tc>
          <w:tcPr>
            <w:tcW w:w="856" w:type="dxa"/>
            <w:gridSpan w:val="2"/>
          </w:tcPr>
          <w:p w14:paraId="6A214D04" w14:textId="77777777" w:rsidR="00A71EEF" w:rsidRDefault="00A71EEF">
            <w:pPr>
              <w:pStyle w:val="TableParagraph"/>
              <w:rPr>
                <w:sz w:val="12"/>
              </w:rPr>
            </w:pPr>
          </w:p>
          <w:p w14:paraId="1A9480FA" w14:textId="77777777" w:rsidR="00A71EEF" w:rsidRDefault="0081115D">
            <w:pPr>
              <w:pStyle w:val="TableParagraph"/>
              <w:ind w:right="18"/>
              <w:jc w:val="right"/>
              <w:rPr>
                <w:sz w:val="16"/>
              </w:rPr>
            </w:pPr>
            <w:r>
              <w:rPr>
                <w:sz w:val="16"/>
              </w:rPr>
              <w:t xml:space="preserve">m </w:t>
            </w:r>
          </w:p>
        </w:tc>
        <w:tc>
          <w:tcPr>
            <w:tcW w:w="780" w:type="dxa"/>
            <w:gridSpan w:val="2"/>
            <w:vMerge/>
            <w:tcBorders>
              <w:top w:val="nil"/>
            </w:tcBorders>
          </w:tcPr>
          <w:p w14:paraId="4E24A739" w14:textId="77777777" w:rsidR="00A71EEF" w:rsidRDefault="00A71EEF">
            <w:pPr>
              <w:rPr>
                <w:sz w:val="2"/>
                <w:szCs w:val="2"/>
              </w:rPr>
            </w:pPr>
          </w:p>
        </w:tc>
        <w:tc>
          <w:tcPr>
            <w:tcW w:w="1872" w:type="dxa"/>
            <w:gridSpan w:val="5"/>
          </w:tcPr>
          <w:p w14:paraId="6F301C95" w14:textId="77777777" w:rsidR="00A71EEF" w:rsidRDefault="00A71EEF">
            <w:pPr>
              <w:pStyle w:val="TableParagraph"/>
              <w:rPr>
                <w:sz w:val="12"/>
              </w:rPr>
            </w:pPr>
          </w:p>
          <w:p w14:paraId="23C56908" w14:textId="77777777" w:rsidR="00A71EEF" w:rsidRDefault="0081115D">
            <w:pPr>
              <w:pStyle w:val="TableParagraph"/>
              <w:ind w:left="136"/>
              <w:rPr>
                <w:sz w:val="16"/>
              </w:rPr>
            </w:pPr>
            <w:r>
              <w:rPr>
                <w:sz w:val="16"/>
              </w:rPr>
              <w:t>驱动功率</w:t>
            </w:r>
            <w:r>
              <w:rPr>
                <w:sz w:val="16"/>
              </w:rPr>
              <w:t xml:space="preserve"> </w:t>
            </w:r>
          </w:p>
        </w:tc>
        <w:tc>
          <w:tcPr>
            <w:tcW w:w="1203" w:type="dxa"/>
            <w:gridSpan w:val="3"/>
          </w:tcPr>
          <w:p w14:paraId="675B16C5" w14:textId="77777777" w:rsidR="00A71EEF" w:rsidRDefault="00A71EEF">
            <w:pPr>
              <w:pStyle w:val="TableParagraph"/>
              <w:rPr>
                <w:sz w:val="12"/>
              </w:rPr>
            </w:pPr>
          </w:p>
          <w:p w14:paraId="2C856C9E" w14:textId="77777777" w:rsidR="00A71EEF" w:rsidRDefault="0081115D">
            <w:pPr>
              <w:pStyle w:val="TableParagraph"/>
              <w:ind w:right="18"/>
              <w:jc w:val="right"/>
              <w:rPr>
                <w:sz w:val="16"/>
              </w:rPr>
            </w:pPr>
            <w:r>
              <w:rPr>
                <w:sz w:val="16"/>
              </w:rPr>
              <w:t xml:space="preserve">kW </w:t>
            </w:r>
          </w:p>
        </w:tc>
        <w:tc>
          <w:tcPr>
            <w:tcW w:w="956" w:type="dxa"/>
            <w:gridSpan w:val="3"/>
          </w:tcPr>
          <w:p w14:paraId="15A4B634" w14:textId="77777777" w:rsidR="00A71EEF" w:rsidRDefault="00A71EEF">
            <w:pPr>
              <w:pStyle w:val="TableParagraph"/>
              <w:rPr>
                <w:sz w:val="12"/>
              </w:rPr>
            </w:pPr>
          </w:p>
          <w:p w14:paraId="6AEEA355" w14:textId="77777777" w:rsidR="00A71EEF" w:rsidRDefault="0081115D">
            <w:pPr>
              <w:pStyle w:val="TableParagraph"/>
              <w:ind w:left="105"/>
              <w:rPr>
                <w:sz w:val="16"/>
              </w:rPr>
            </w:pPr>
            <w:r>
              <w:rPr>
                <w:sz w:val="16"/>
              </w:rPr>
              <w:t>相对湿度</w:t>
            </w:r>
            <w:r>
              <w:rPr>
                <w:sz w:val="16"/>
              </w:rPr>
              <w:t xml:space="preserve"> </w:t>
            </w:r>
          </w:p>
        </w:tc>
        <w:tc>
          <w:tcPr>
            <w:tcW w:w="1331" w:type="dxa"/>
            <w:gridSpan w:val="4"/>
          </w:tcPr>
          <w:p w14:paraId="5FFCE7CB" w14:textId="77777777" w:rsidR="00A71EEF" w:rsidRDefault="00A71EEF">
            <w:pPr>
              <w:pStyle w:val="TableParagraph"/>
              <w:rPr>
                <w:sz w:val="12"/>
              </w:rPr>
            </w:pPr>
          </w:p>
          <w:p w14:paraId="04553097" w14:textId="77777777" w:rsidR="00A71EEF" w:rsidRDefault="0081115D">
            <w:pPr>
              <w:pStyle w:val="TableParagraph"/>
              <w:ind w:right="24"/>
              <w:jc w:val="right"/>
              <w:rPr>
                <w:sz w:val="16"/>
              </w:rPr>
            </w:pPr>
            <w:r>
              <w:rPr>
                <w:sz w:val="16"/>
              </w:rPr>
              <w:t xml:space="preserve">% </w:t>
            </w:r>
          </w:p>
        </w:tc>
      </w:tr>
      <w:tr w:rsidR="00A71EEF" w14:paraId="13C29A5D" w14:textId="77777777">
        <w:trPr>
          <w:trHeight w:val="239"/>
        </w:trPr>
        <w:tc>
          <w:tcPr>
            <w:tcW w:w="696" w:type="dxa"/>
            <w:vMerge/>
            <w:tcBorders>
              <w:top w:val="nil"/>
            </w:tcBorders>
          </w:tcPr>
          <w:p w14:paraId="4F8070A6" w14:textId="77777777" w:rsidR="00A71EEF" w:rsidRDefault="00A71EEF">
            <w:pPr>
              <w:rPr>
                <w:sz w:val="2"/>
                <w:szCs w:val="2"/>
              </w:rPr>
            </w:pPr>
          </w:p>
        </w:tc>
        <w:tc>
          <w:tcPr>
            <w:tcW w:w="906" w:type="dxa"/>
            <w:gridSpan w:val="2"/>
          </w:tcPr>
          <w:p w14:paraId="0D6E5E89" w14:textId="77777777" w:rsidR="00A71EEF" w:rsidRDefault="0081115D">
            <w:pPr>
              <w:pStyle w:val="TableParagraph"/>
              <w:spacing w:before="34" w:line="185" w:lineRule="exact"/>
              <w:ind w:left="107"/>
              <w:rPr>
                <w:sz w:val="16"/>
              </w:rPr>
            </w:pPr>
            <w:r>
              <w:rPr>
                <w:sz w:val="16"/>
              </w:rPr>
              <w:t>叶轮形式</w:t>
            </w:r>
            <w:r>
              <w:rPr>
                <w:sz w:val="16"/>
              </w:rPr>
              <w:t xml:space="preserve"> </w:t>
            </w:r>
          </w:p>
        </w:tc>
        <w:tc>
          <w:tcPr>
            <w:tcW w:w="856" w:type="dxa"/>
            <w:gridSpan w:val="2"/>
          </w:tcPr>
          <w:p w14:paraId="5E2D5328" w14:textId="77777777" w:rsidR="00A71EEF" w:rsidRDefault="0081115D">
            <w:pPr>
              <w:pStyle w:val="TableParagraph"/>
              <w:spacing w:before="34" w:line="185" w:lineRule="exact"/>
              <w:ind w:right="18"/>
              <w:jc w:val="right"/>
              <w:rPr>
                <w:sz w:val="16"/>
              </w:rPr>
            </w:pPr>
            <w:r>
              <w:rPr>
                <w:sz w:val="16"/>
              </w:rPr>
              <w:t xml:space="preserve"> </w:t>
            </w:r>
          </w:p>
        </w:tc>
        <w:tc>
          <w:tcPr>
            <w:tcW w:w="780" w:type="dxa"/>
            <w:gridSpan w:val="2"/>
            <w:vMerge/>
            <w:tcBorders>
              <w:top w:val="nil"/>
            </w:tcBorders>
          </w:tcPr>
          <w:p w14:paraId="0BDC17E0" w14:textId="77777777" w:rsidR="00A71EEF" w:rsidRDefault="00A71EEF">
            <w:pPr>
              <w:rPr>
                <w:sz w:val="2"/>
                <w:szCs w:val="2"/>
              </w:rPr>
            </w:pPr>
          </w:p>
        </w:tc>
        <w:tc>
          <w:tcPr>
            <w:tcW w:w="1872" w:type="dxa"/>
            <w:gridSpan w:val="5"/>
          </w:tcPr>
          <w:p w14:paraId="158CA6E6" w14:textId="77777777" w:rsidR="00A71EEF" w:rsidRDefault="0081115D">
            <w:pPr>
              <w:pStyle w:val="TableParagraph"/>
              <w:spacing w:before="34" w:line="185" w:lineRule="exact"/>
              <w:ind w:left="136"/>
              <w:rPr>
                <w:sz w:val="16"/>
              </w:rPr>
            </w:pPr>
            <w:r>
              <w:rPr>
                <w:sz w:val="16"/>
              </w:rPr>
              <w:t>试验设备摩擦负荷</w:t>
            </w:r>
            <w:r>
              <w:rPr>
                <w:sz w:val="16"/>
              </w:rPr>
              <w:t xml:space="preserve"> </w:t>
            </w:r>
          </w:p>
        </w:tc>
        <w:tc>
          <w:tcPr>
            <w:tcW w:w="1203" w:type="dxa"/>
            <w:gridSpan w:val="3"/>
          </w:tcPr>
          <w:p w14:paraId="4FEB73B6" w14:textId="77777777" w:rsidR="00A71EEF" w:rsidRDefault="0081115D">
            <w:pPr>
              <w:pStyle w:val="TableParagraph"/>
              <w:spacing w:before="34" w:line="185" w:lineRule="exact"/>
              <w:ind w:right="18"/>
              <w:jc w:val="right"/>
              <w:rPr>
                <w:sz w:val="16"/>
              </w:rPr>
            </w:pPr>
            <w:r>
              <w:rPr>
                <w:sz w:val="16"/>
              </w:rPr>
              <w:t xml:space="preserve">kg </w:t>
            </w:r>
          </w:p>
        </w:tc>
        <w:tc>
          <w:tcPr>
            <w:tcW w:w="956" w:type="dxa"/>
            <w:gridSpan w:val="3"/>
          </w:tcPr>
          <w:p w14:paraId="16C2E2C3" w14:textId="77777777" w:rsidR="00A71EEF" w:rsidRDefault="0081115D">
            <w:pPr>
              <w:pStyle w:val="TableParagraph"/>
              <w:spacing w:before="34" w:line="185" w:lineRule="exact"/>
              <w:ind w:left="105"/>
              <w:rPr>
                <w:sz w:val="16"/>
              </w:rPr>
            </w:pPr>
            <w:r>
              <w:rPr>
                <w:sz w:val="16"/>
              </w:rPr>
              <w:t>大气压力</w:t>
            </w:r>
            <w:r>
              <w:rPr>
                <w:sz w:val="16"/>
              </w:rPr>
              <w:t xml:space="preserve"> </w:t>
            </w:r>
          </w:p>
        </w:tc>
        <w:tc>
          <w:tcPr>
            <w:tcW w:w="1331" w:type="dxa"/>
            <w:gridSpan w:val="4"/>
          </w:tcPr>
          <w:p w14:paraId="4D821DEB" w14:textId="77777777" w:rsidR="00A71EEF" w:rsidRDefault="0081115D">
            <w:pPr>
              <w:pStyle w:val="TableParagraph"/>
              <w:spacing w:before="34" w:line="185" w:lineRule="exact"/>
              <w:ind w:right="24"/>
              <w:jc w:val="right"/>
              <w:rPr>
                <w:sz w:val="16"/>
              </w:rPr>
            </w:pPr>
            <w:r>
              <w:rPr>
                <w:sz w:val="16"/>
              </w:rPr>
              <w:t xml:space="preserve">Pa </w:t>
            </w:r>
          </w:p>
        </w:tc>
      </w:tr>
      <w:tr w:rsidR="00A71EEF" w14:paraId="0709CFCF" w14:textId="77777777">
        <w:trPr>
          <w:trHeight w:val="239"/>
        </w:trPr>
        <w:tc>
          <w:tcPr>
            <w:tcW w:w="696" w:type="dxa"/>
            <w:vMerge/>
            <w:tcBorders>
              <w:top w:val="nil"/>
            </w:tcBorders>
          </w:tcPr>
          <w:p w14:paraId="2BA89B08" w14:textId="77777777" w:rsidR="00A71EEF" w:rsidRDefault="00A71EEF">
            <w:pPr>
              <w:rPr>
                <w:sz w:val="2"/>
                <w:szCs w:val="2"/>
              </w:rPr>
            </w:pPr>
          </w:p>
        </w:tc>
        <w:tc>
          <w:tcPr>
            <w:tcW w:w="906" w:type="dxa"/>
            <w:gridSpan w:val="2"/>
          </w:tcPr>
          <w:p w14:paraId="7E50530D" w14:textId="77777777" w:rsidR="00A71EEF" w:rsidRDefault="0081115D">
            <w:pPr>
              <w:pStyle w:val="TableParagraph"/>
              <w:spacing w:before="34" w:line="185" w:lineRule="exact"/>
              <w:ind w:left="107"/>
              <w:rPr>
                <w:sz w:val="16"/>
              </w:rPr>
            </w:pPr>
            <w:r>
              <w:rPr>
                <w:sz w:val="16"/>
              </w:rPr>
              <w:t>叶片数目</w:t>
            </w:r>
            <w:r>
              <w:rPr>
                <w:sz w:val="16"/>
              </w:rPr>
              <w:t xml:space="preserve"> </w:t>
            </w:r>
          </w:p>
        </w:tc>
        <w:tc>
          <w:tcPr>
            <w:tcW w:w="856" w:type="dxa"/>
            <w:gridSpan w:val="2"/>
          </w:tcPr>
          <w:p w14:paraId="6A8F0F0F" w14:textId="77777777" w:rsidR="00A71EEF" w:rsidRDefault="0081115D">
            <w:pPr>
              <w:pStyle w:val="TableParagraph"/>
              <w:spacing w:before="34" w:line="185" w:lineRule="exact"/>
              <w:ind w:right="18"/>
              <w:jc w:val="right"/>
              <w:rPr>
                <w:sz w:val="16"/>
              </w:rPr>
            </w:pPr>
            <w:r>
              <w:rPr>
                <w:sz w:val="16"/>
              </w:rPr>
              <w:t xml:space="preserve"> </w:t>
            </w:r>
          </w:p>
        </w:tc>
        <w:tc>
          <w:tcPr>
            <w:tcW w:w="780" w:type="dxa"/>
            <w:gridSpan w:val="2"/>
            <w:vMerge/>
            <w:tcBorders>
              <w:top w:val="nil"/>
            </w:tcBorders>
          </w:tcPr>
          <w:p w14:paraId="0D419DAD" w14:textId="77777777" w:rsidR="00A71EEF" w:rsidRDefault="00A71EEF">
            <w:pPr>
              <w:rPr>
                <w:sz w:val="2"/>
                <w:szCs w:val="2"/>
              </w:rPr>
            </w:pPr>
          </w:p>
        </w:tc>
        <w:tc>
          <w:tcPr>
            <w:tcW w:w="1872" w:type="dxa"/>
            <w:gridSpan w:val="5"/>
          </w:tcPr>
          <w:p w14:paraId="294AA68E" w14:textId="77777777" w:rsidR="00A71EEF" w:rsidRDefault="0081115D">
            <w:pPr>
              <w:pStyle w:val="TableParagraph"/>
              <w:spacing w:before="34" w:line="185" w:lineRule="exact"/>
              <w:ind w:left="136"/>
              <w:rPr>
                <w:sz w:val="16"/>
              </w:rPr>
            </w:pPr>
            <w:r>
              <w:rPr>
                <w:sz w:val="16"/>
              </w:rPr>
              <w:t>测量风筒直径</w:t>
            </w:r>
            <w:r>
              <w:rPr>
                <w:sz w:val="16"/>
              </w:rPr>
              <w:t xml:space="preserve"> </w:t>
            </w:r>
          </w:p>
        </w:tc>
        <w:tc>
          <w:tcPr>
            <w:tcW w:w="1203" w:type="dxa"/>
            <w:gridSpan w:val="3"/>
          </w:tcPr>
          <w:p w14:paraId="2FE44B9C" w14:textId="77777777" w:rsidR="00A71EEF" w:rsidRDefault="0081115D">
            <w:pPr>
              <w:pStyle w:val="TableParagraph"/>
              <w:spacing w:before="34" w:line="185" w:lineRule="exact"/>
              <w:ind w:right="18"/>
              <w:jc w:val="right"/>
              <w:rPr>
                <w:sz w:val="16"/>
              </w:rPr>
            </w:pPr>
            <w:r>
              <w:rPr>
                <w:sz w:val="16"/>
              </w:rPr>
              <w:t xml:space="preserve">m </w:t>
            </w:r>
          </w:p>
        </w:tc>
        <w:tc>
          <w:tcPr>
            <w:tcW w:w="956" w:type="dxa"/>
            <w:gridSpan w:val="3"/>
          </w:tcPr>
          <w:p w14:paraId="64357816" w14:textId="77777777" w:rsidR="00A71EEF" w:rsidRDefault="0081115D">
            <w:pPr>
              <w:pStyle w:val="TableParagraph"/>
              <w:spacing w:before="34" w:line="185" w:lineRule="exact"/>
              <w:ind w:left="105"/>
              <w:rPr>
                <w:sz w:val="16"/>
              </w:rPr>
            </w:pPr>
            <w:r>
              <w:rPr>
                <w:sz w:val="16"/>
              </w:rPr>
              <w:t>空气重度</w:t>
            </w:r>
            <w:r>
              <w:rPr>
                <w:sz w:val="16"/>
              </w:rPr>
              <w:t xml:space="preserve"> </w:t>
            </w:r>
          </w:p>
        </w:tc>
        <w:tc>
          <w:tcPr>
            <w:tcW w:w="1331" w:type="dxa"/>
            <w:gridSpan w:val="4"/>
          </w:tcPr>
          <w:p w14:paraId="724CCAB7" w14:textId="77777777" w:rsidR="00A71EEF" w:rsidRDefault="0081115D">
            <w:pPr>
              <w:pStyle w:val="TableParagraph"/>
              <w:spacing w:before="34" w:line="185" w:lineRule="exact"/>
              <w:ind w:right="24"/>
              <w:jc w:val="right"/>
              <w:rPr>
                <w:sz w:val="16"/>
              </w:rPr>
            </w:pPr>
            <w:r>
              <w:rPr>
                <w:sz w:val="16"/>
              </w:rPr>
              <w:t xml:space="preserve">N/m³ </w:t>
            </w:r>
          </w:p>
        </w:tc>
      </w:tr>
      <w:tr w:rsidR="00A71EEF" w14:paraId="1702CEBA" w14:textId="77777777">
        <w:trPr>
          <w:trHeight w:val="239"/>
        </w:trPr>
        <w:tc>
          <w:tcPr>
            <w:tcW w:w="696" w:type="dxa"/>
            <w:vMerge/>
            <w:tcBorders>
              <w:top w:val="nil"/>
            </w:tcBorders>
          </w:tcPr>
          <w:p w14:paraId="1E75FF75" w14:textId="77777777" w:rsidR="00A71EEF" w:rsidRDefault="00A71EEF">
            <w:pPr>
              <w:rPr>
                <w:sz w:val="2"/>
                <w:szCs w:val="2"/>
              </w:rPr>
            </w:pPr>
          </w:p>
        </w:tc>
        <w:tc>
          <w:tcPr>
            <w:tcW w:w="906" w:type="dxa"/>
            <w:gridSpan w:val="2"/>
          </w:tcPr>
          <w:p w14:paraId="2FD5FB61" w14:textId="77777777" w:rsidR="00A71EEF" w:rsidRDefault="0081115D">
            <w:pPr>
              <w:pStyle w:val="TableParagraph"/>
              <w:spacing w:before="34" w:line="185" w:lineRule="exact"/>
              <w:ind w:left="107"/>
              <w:rPr>
                <w:sz w:val="16"/>
              </w:rPr>
            </w:pPr>
            <w:r>
              <w:rPr>
                <w:sz w:val="16"/>
              </w:rPr>
              <w:t xml:space="preserve"> </w:t>
            </w:r>
          </w:p>
        </w:tc>
        <w:tc>
          <w:tcPr>
            <w:tcW w:w="856" w:type="dxa"/>
            <w:gridSpan w:val="2"/>
          </w:tcPr>
          <w:p w14:paraId="3F1983D7" w14:textId="77777777" w:rsidR="00A71EEF" w:rsidRDefault="0081115D">
            <w:pPr>
              <w:pStyle w:val="TableParagraph"/>
              <w:spacing w:before="34" w:line="185" w:lineRule="exact"/>
              <w:ind w:right="18"/>
              <w:jc w:val="right"/>
              <w:rPr>
                <w:sz w:val="16"/>
              </w:rPr>
            </w:pPr>
            <w:r>
              <w:rPr>
                <w:sz w:val="16"/>
              </w:rPr>
              <w:t xml:space="preserve"> </w:t>
            </w:r>
          </w:p>
        </w:tc>
        <w:tc>
          <w:tcPr>
            <w:tcW w:w="780" w:type="dxa"/>
            <w:gridSpan w:val="2"/>
            <w:vMerge/>
            <w:tcBorders>
              <w:top w:val="nil"/>
            </w:tcBorders>
          </w:tcPr>
          <w:p w14:paraId="50E3B382" w14:textId="77777777" w:rsidR="00A71EEF" w:rsidRDefault="00A71EEF">
            <w:pPr>
              <w:rPr>
                <w:sz w:val="2"/>
                <w:szCs w:val="2"/>
              </w:rPr>
            </w:pPr>
          </w:p>
        </w:tc>
        <w:tc>
          <w:tcPr>
            <w:tcW w:w="1872" w:type="dxa"/>
            <w:gridSpan w:val="5"/>
          </w:tcPr>
          <w:p w14:paraId="4A6A6B5A" w14:textId="77777777" w:rsidR="00A71EEF" w:rsidRDefault="0081115D">
            <w:pPr>
              <w:pStyle w:val="TableParagraph"/>
              <w:spacing w:before="34" w:line="185" w:lineRule="exact"/>
              <w:ind w:left="136"/>
              <w:rPr>
                <w:sz w:val="16"/>
              </w:rPr>
            </w:pPr>
            <w:r>
              <w:rPr>
                <w:sz w:val="16"/>
              </w:rPr>
              <w:t>设备空载功率</w:t>
            </w:r>
            <w:r>
              <w:rPr>
                <w:sz w:val="16"/>
              </w:rPr>
              <w:t xml:space="preserve"> </w:t>
            </w:r>
          </w:p>
        </w:tc>
        <w:tc>
          <w:tcPr>
            <w:tcW w:w="1203" w:type="dxa"/>
            <w:gridSpan w:val="3"/>
          </w:tcPr>
          <w:p w14:paraId="6FA52F76" w14:textId="77777777" w:rsidR="00A71EEF" w:rsidRDefault="0081115D">
            <w:pPr>
              <w:pStyle w:val="TableParagraph"/>
              <w:spacing w:before="34" w:line="185" w:lineRule="exact"/>
              <w:ind w:right="18"/>
              <w:jc w:val="right"/>
              <w:rPr>
                <w:sz w:val="16"/>
              </w:rPr>
            </w:pPr>
            <w:r>
              <w:rPr>
                <w:sz w:val="16"/>
              </w:rPr>
              <w:t xml:space="preserve">kW </w:t>
            </w:r>
          </w:p>
        </w:tc>
        <w:tc>
          <w:tcPr>
            <w:tcW w:w="956" w:type="dxa"/>
            <w:gridSpan w:val="3"/>
          </w:tcPr>
          <w:p w14:paraId="2F1AC4EB" w14:textId="77777777" w:rsidR="00A71EEF" w:rsidRDefault="0081115D">
            <w:pPr>
              <w:pStyle w:val="TableParagraph"/>
              <w:spacing w:before="34" w:line="185" w:lineRule="exact"/>
              <w:ind w:left="105"/>
              <w:rPr>
                <w:sz w:val="16"/>
              </w:rPr>
            </w:pPr>
            <w:r>
              <w:rPr>
                <w:sz w:val="16"/>
              </w:rPr>
              <w:t>空气密度</w:t>
            </w:r>
            <w:r>
              <w:rPr>
                <w:sz w:val="16"/>
              </w:rPr>
              <w:t xml:space="preserve"> </w:t>
            </w:r>
          </w:p>
        </w:tc>
        <w:tc>
          <w:tcPr>
            <w:tcW w:w="1331" w:type="dxa"/>
            <w:gridSpan w:val="4"/>
          </w:tcPr>
          <w:p w14:paraId="3101395F" w14:textId="77777777" w:rsidR="00A71EEF" w:rsidRDefault="0081115D">
            <w:pPr>
              <w:pStyle w:val="TableParagraph"/>
              <w:spacing w:before="34" w:line="185" w:lineRule="exact"/>
              <w:ind w:left="813"/>
              <w:rPr>
                <w:sz w:val="16"/>
              </w:rPr>
            </w:pPr>
            <w:r>
              <w:rPr>
                <w:sz w:val="16"/>
              </w:rPr>
              <w:t xml:space="preserve">kg/m³ </w:t>
            </w:r>
          </w:p>
        </w:tc>
      </w:tr>
      <w:tr w:rsidR="00A71EEF" w14:paraId="30B9CAFD" w14:textId="77777777">
        <w:trPr>
          <w:trHeight w:val="239"/>
        </w:trPr>
        <w:tc>
          <w:tcPr>
            <w:tcW w:w="696" w:type="dxa"/>
            <w:vMerge w:val="restart"/>
          </w:tcPr>
          <w:p w14:paraId="61C1678C" w14:textId="77777777" w:rsidR="00A71EEF" w:rsidRDefault="00A71EEF">
            <w:pPr>
              <w:pStyle w:val="TableParagraph"/>
              <w:spacing w:before="10"/>
              <w:rPr>
                <w:sz w:val="21"/>
              </w:rPr>
            </w:pPr>
          </w:p>
          <w:p w14:paraId="53AE459E" w14:textId="77777777" w:rsidR="00A71EEF" w:rsidRDefault="0081115D">
            <w:pPr>
              <w:pStyle w:val="TableParagraph"/>
              <w:ind w:left="107"/>
              <w:rPr>
                <w:sz w:val="16"/>
              </w:rPr>
            </w:pPr>
            <w:r>
              <w:rPr>
                <w:sz w:val="16"/>
              </w:rPr>
              <w:t>工况点</w:t>
            </w:r>
            <w:r>
              <w:rPr>
                <w:sz w:val="16"/>
              </w:rPr>
              <w:t xml:space="preserve"> </w:t>
            </w:r>
          </w:p>
        </w:tc>
        <w:tc>
          <w:tcPr>
            <w:tcW w:w="1762" w:type="dxa"/>
            <w:gridSpan w:val="4"/>
          </w:tcPr>
          <w:p w14:paraId="5FB19D7B" w14:textId="77777777" w:rsidR="00A71EEF" w:rsidRDefault="0081115D">
            <w:pPr>
              <w:pStyle w:val="TableParagraph"/>
              <w:spacing w:before="34" w:line="185" w:lineRule="exact"/>
              <w:ind w:left="558"/>
              <w:rPr>
                <w:sz w:val="16"/>
              </w:rPr>
            </w:pPr>
            <w:r>
              <w:rPr>
                <w:sz w:val="16"/>
              </w:rPr>
              <w:t>测定数据</w:t>
            </w:r>
            <w:r>
              <w:rPr>
                <w:sz w:val="16"/>
              </w:rPr>
              <w:t xml:space="preserve"> </w:t>
            </w:r>
          </w:p>
        </w:tc>
        <w:tc>
          <w:tcPr>
            <w:tcW w:w="3855" w:type="dxa"/>
            <w:gridSpan w:val="10"/>
          </w:tcPr>
          <w:p w14:paraId="3BF364C8" w14:textId="77777777" w:rsidR="00A71EEF" w:rsidRDefault="0081115D">
            <w:pPr>
              <w:pStyle w:val="TableParagraph"/>
              <w:spacing w:before="34" w:line="185" w:lineRule="exact"/>
              <w:ind w:left="1623" w:right="1541"/>
              <w:jc w:val="center"/>
              <w:rPr>
                <w:sz w:val="16"/>
              </w:rPr>
            </w:pPr>
            <w:r>
              <w:rPr>
                <w:sz w:val="16"/>
              </w:rPr>
              <w:t>运算数据</w:t>
            </w:r>
            <w:r>
              <w:rPr>
                <w:sz w:val="16"/>
              </w:rPr>
              <w:t xml:space="preserve"> </w:t>
            </w:r>
          </w:p>
        </w:tc>
        <w:tc>
          <w:tcPr>
            <w:tcW w:w="2287" w:type="dxa"/>
            <w:gridSpan w:val="7"/>
          </w:tcPr>
          <w:p w14:paraId="036E121E" w14:textId="77777777" w:rsidR="00A71EEF" w:rsidRDefault="0081115D">
            <w:pPr>
              <w:pStyle w:val="TableParagraph"/>
              <w:spacing w:before="34" w:line="185" w:lineRule="exact"/>
              <w:ind w:left="417"/>
              <w:rPr>
                <w:sz w:val="16"/>
              </w:rPr>
            </w:pPr>
            <w:r>
              <w:rPr>
                <w:sz w:val="16"/>
              </w:rPr>
              <w:t>换算成标准状态数据</w:t>
            </w:r>
            <w:r>
              <w:rPr>
                <w:sz w:val="16"/>
              </w:rPr>
              <w:t xml:space="preserve"> </w:t>
            </w:r>
          </w:p>
        </w:tc>
      </w:tr>
      <w:tr w:rsidR="00A71EEF" w14:paraId="4243E7E6" w14:textId="77777777">
        <w:trPr>
          <w:trHeight w:val="480"/>
        </w:trPr>
        <w:tc>
          <w:tcPr>
            <w:tcW w:w="696" w:type="dxa"/>
            <w:vMerge/>
            <w:tcBorders>
              <w:top w:val="nil"/>
            </w:tcBorders>
          </w:tcPr>
          <w:p w14:paraId="62AD0754" w14:textId="77777777" w:rsidR="00A71EEF" w:rsidRDefault="00A71EEF">
            <w:pPr>
              <w:rPr>
                <w:sz w:val="2"/>
                <w:szCs w:val="2"/>
              </w:rPr>
            </w:pPr>
          </w:p>
        </w:tc>
        <w:tc>
          <w:tcPr>
            <w:tcW w:w="430" w:type="dxa"/>
          </w:tcPr>
          <w:p w14:paraId="22FEFCEE" w14:textId="77777777" w:rsidR="00A71EEF" w:rsidRDefault="00A71EEF">
            <w:pPr>
              <w:pStyle w:val="TableParagraph"/>
              <w:spacing w:before="1"/>
              <w:rPr>
                <w:sz w:val="12"/>
              </w:rPr>
            </w:pPr>
          </w:p>
          <w:p w14:paraId="2B3A0104" w14:textId="77777777" w:rsidR="00A71EEF" w:rsidRDefault="0081115D">
            <w:pPr>
              <w:pStyle w:val="TableParagraph"/>
              <w:ind w:left="107"/>
              <w:rPr>
                <w:sz w:val="16"/>
              </w:rPr>
            </w:pPr>
            <w:r>
              <w:rPr>
                <w:sz w:val="16"/>
              </w:rPr>
              <w:t xml:space="preserve">n </w:t>
            </w:r>
          </w:p>
        </w:tc>
        <w:tc>
          <w:tcPr>
            <w:tcW w:w="476" w:type="dxa"/>
          </w:tcPr>
          <w:p w14:paraId="6B45C606" w14:textId="77777777" w:rsidR="00A71EEF" w:rsidRDefault="00A71EEF">
            <w:pPr>
              <w:pStyle w:val="TableParagraph"/>
              <w:rPr>
                <w:sz w:val="12"/>
              </w:rPr>
            </w:pPr>
          </w:p>
          <w:p w14:paraId="6ECAD0A2" w14:textId="77777777" w:rsidR="00A71EEF" w:rsidRDefault="0081115D">
            <w:pPr>
              <w:pStyle w:val="TableParagraph"/>
              <w:ind w:left="129" w:right="177"/>
              <w:jc w:val="center"/>
              <w:rPr>
                <w:sz w:val="16"/>
              </w:rPr>
            </w:pPr>
            <w:r>
              <w:rPr>
                <w:position w:val="1"/>
                <w:sz w:val="16"/>
              </w:rPr>
              <w:t>N</w:t>
            </w:r>
            <w:r>
              <w:rPr>
                <w:sz w:val="8"/>
              </w:rPr>
              <w:t>i</w:t>
            </w:r>
            <w:r>
              <w:rPr>
                <w:position w:val="1"/>
                <w:sz w:val="16"/>
              </w:rPr>
              <w:t xml:space="preserve"> </w:t>
            </w:r>
          </w:p>
        </w:tc>
        <w:tc>
          <w:tcPr>
            <w:tcW w:w="428" w:type="dxa"/>
            <w:tcBorders>
              <w:right w:val="single" w:sz="6" w:space="0" w:color="000000"/>
            </w:tcBorders>
          </w:tcPr>
          <w:p w14:paraId="75B2CBD0" w14:textId="77777777" w:rsidR="00A71EEF" w:rsidRDefault="00A71EEF">
            <w:pPr>
              <w:pStyle w:val="TableParagraph"/>
              <w:rPr>
                <w:sz w:val="12"/>
              </w:rPr>
            </w:pPr>
          </w:p>
          <w:p w14:paraId="6741D93B" w14:textId="77777777" w:rsidR="00A71EEF" w:rsidRDefault="0081115D">
            <w:pPr>
              <w:pStyle w:val="TableParagraph"/>
              <w:ind w:left="105" w:right="150"/>
              <w:jc w:val="center"/>
              <w:rPr>
                <w:sz w:val="8"/>
              </w:rPr>
            </w:pPr>
            <w:r>
              <w:rPr>
                <w:position w:val="1"/>
                <w:sz w:val="16"/>
              </w:rPr>
              <w:t>P</w:t>
            </w:r>
            <w:r>
              <w:rPr>
                <w:sz w:val="8"/>
              </w:rPr>
              <w:t xml:space="preserve">e </w:t>
            </w:r>
          </w:p>
        </w:tc>
        <w:tc>
          <w:tcPr>
            <w:tcW w:w="428" w:type="dxa"/>
            <w:tcBorders>
              <w:left w:val="single" w:sz="6" w:space="0" w:color="000000"/>
            </w:tcBorders>
          </w:tcPr>
          <w:p w14:paraId="64379136" w14:textId="77777777" w:rsidR="00A71EEF" w:rsidRDefault="00A71EEF">
            <w:pPr>
              <w:pStyle w:val="TableParagraph"/>
              <w:rPr>
                <w:sz w:val="12"/>
              </w:rPr>
            </w:pPr>
          </w:p>
          <w:p w14:paraId="42CAAA38" w14:textId="77777777" w:rsidR="00A71EEF" w:rsidRDefault="0081115D">
            <w:pPr>
              <w:pStyle w:val="TableParagraph"/>
              <w:ind w:left="101"/>
              <w:rPr>
                <w:sz w:val="16"/>
              </w:rPr>
            </w:pPr>
            <w:r>
              <w:rPr>
                <w:position w:val="1"/>
                <w:sz w:val="16"/>
              </w:rPr>
              <w:t>P</w:t>
            </w:r>
            <w:r>
              <w:rPr>
                <w:sz w:val="8"/>
              </w:rPr>
              <w:t>d</w:t>
            </w:r>
            <w:r>
              <w:rPr>
                <w:position w:val="1"/>
                <w:sz w:val="16"/>
              </w:rPr>
              <w:t xml:space="preserve"> </w:t>
            </w:r>
          </w:p>
        </w:tc>
        <w:tc>
          <w:tcPr>
            <w:tcW w:w="377" w:type="dxa"/>
          </w:tcPr>
          <w:p w14:paraId="73F10BDE" w14:textId="77777777" w:rsidR="00A71EEF" w:rsidRDefault="00A71EEF">
            <w:pPr>
              <w:pStyle w:val="TableParagraph"/>
              <w:spacing w:before="1"/>
              <w:rPr>
                <w:sz w:val="12"/>
              </w:rPr>
            </w:pPr>
          </w:p>
          <w:p w14:paraId="01614893" w14:textId="77777777" w:rsidR="00A71EEF" w:rsidRDefault="0081115D">
            <w:pPr>
              <w:pStyle w:val="TableParagraph"/>
              <w:ind w:left="105"/>
              <w:rPr>
                <w:sz w:val="16"/>
              </w:rPr>
            </w:pPr>
            <w:r>
              <w:rPr>
                <w:sz w:val="16"/>
              </w:rPr>
              <w:t xml:space="preserve">△ </w:t>
            </w:r>
          </w:p>
        </w:tc>
        <w:tc>
          <w:tcPr>
            <w:tcW w:w="403" w:type="dxa"/>
          </w:tcPr>
          <w:p w14:paraId="0C29EBDF" w14:textId="77777777" w:rsidR="00A71EEF" w:rsidRDefault="0081115D">
            <w:pPr>
              <w:pStyle w:val="TableParagraph"/>
              <w:spacing w:before="34"/>
              <w:ind w:left="105"/>
              <w:rPr>
                <w:sz w:val="8"/>
              </w:rPr>
            </w:pPr>
            <w:r>
              <w:rPr>
                <w:position w:val="1"/>
                <w:sz w:val="16"/>
              </w:rPr>
              <w:t>P</w:t>
            </w:r>
            <w:r>
              <w:rPr>
                <w:sz w:val="8"/>
              </w:rPr>
              <w:t>s</w:t>
            </w:r>
          </w:p>
          <w:p w14:paraId="3F4A93E4" w14:textId="77777777" w:rsidR="00A71EEF" w:rsidRDefault="0081115D">
            <w:pPr>
              <w:pStyle w:val="TableParagraph"/>
              <w:spacing w:before="125" w:line="96" w:lineRule="exact"/>
              <w:ind w:left="105"/>
              <w:rPr>
                <w:sz w:val="16"/>
              </w:rPr>
            </w:pPr>
            <w:r>
              <w:rPr>
                <w:sz w:val="8"/>
              </w:rPr>
              <w:t>t</w:t>
            </w:r>
            <w:r>
              <w:rPr>
                <w:position w:val="1"/>
                <w:sz w:val="16"/>
              </w:rPr>
              <w:t xml:space="preserve"> </w:t>
            </w:r>
          </w:p>
        </w:tc>
        <w:tc>
          <w:tcPr>
            <w:tcW w:w="276" w:type="dxa"/>
          </w:tcPr>
          <w:p w14:paraId="2B187AEB" w14:textId="77777777" w:rsidR="00A71EEF" w:rsidRDefault="00A71EEF">
            <w:pPr>
              <w:pStyle w:val="TableParagraph"/>
              <w:spacing w:before="1"/>
              <w:rPr>
                <w:sz w:val="12"/>
              </w:rPr>
            </w:pPr>
          </w:p>
          <w:p w14:paraId="65304683" w14:textId="77777777" w:rsidR="00A71EEF" w:rsidRDefault="0081115D">
            <w:pPr>
              <w:pStyle w:val="TableParagraph"/>
              <w:ind w:left="71"/>
              <w:rPr>
                <w:sz w:val="16"/>
              </w:rPr>
            </w:pPr>
            <w:r>
              <w:rPr>
                <w:sz w:val="16"/>
              </w:rPr>
              <w:t xml:space="preserve">p </w:t>
            </w:r>
          </w:p>
        </w:tc>
        <w:tc>
          <w:tcPr>
            <w:tcW w:w="499" w:type="dxa"/>
          </w:tcPr>
          <w:p w14:paraId="080DF1D3" w14:textId="77777777" w:rsidR="00A71EEF" w:rsidRDefault="00A71EEF">
            <w:pPr>
              <w:pStyle w:val="TableParagraph"/>
              <w:spacing w:before="5"/>
              <w:rPr>
                <w:sz w:val="13"/>
              </w:rPr>
            </w:pPr>
          </w:p>
          <w:p w14:paraId="1A02E427" w14:textId="77777777" w:rsidR="00A71EEF" w:rsidRDefault="0081115D">
            <w:pPr>
              <w:pStyle w:val="TableParagraph"/>
              <w:spacing w:before="1"/>
              <w:ind w:left="105"/>
              <w:rPr>
                <w:sz w:val="16"/>
              </w:rPr>
            </w:pPr>
            <w:r>
              <w:rPr>
                <w:rFonts w:ascii="Cambria Math" w:hAnsi="Cambria Math"/>
                <w:sz w:val="16"/>
              </w:rPr>
              <w:t>√pd</w:t>
            </w:r>
            <w:r>
              <w:rPr>
                <w:sz w:val="16"/>
              </w:rPr>
              <w:t xml:space="preserve"> </w:t>
            </w:r>
          </w:p>
        </w:tc>
        <w:tc>
          <w:tcPr>
            <w:tcW w:w="338" w:type="dxa"/>
          </w:tcPr>
          <w:p w14:paraId="7BF75DFE" w14:textId="77777777" w:rsidR="00A71EEF" w:rsidRDefault="00A71EEF">
            <w:pPr>
              <w:pStyle w:val="TableParagraph"/>
              <w:spacing w:before="1"/>
              <w:rPr>
                <w:sz w:val="12"/>
              </w:rPr>
            </w:pPr>
          </w:p>
          <w:p w14:paraId="5BDDD175" w14:textId="77777777" w:rsidR="00A71EEF" w:rsidRDefault="0081115D">
            <w:pPr>
              <w:pStyle w:val="TableParagraph"/>
              <w:ind w:left="105"/>
              <w:rPr>
                <w:sz w:val="16"/>
              </w:rPr>
            </w:pPr>
            <w:r>
              <w:rPr>
                <w:sz w:val="16"/>
              </w:rPr>
              <w:t xml:space="preserve">Q </w:t>
            </w:r>
          </w:p>
        </w:tc>
        <w:tc>
          <w:tcPr>
            <w:tcW w:w="334" w:type="dxa"/>
          </w:tcPr>
          <w:p w14:paraId="67B95CD4" w14:textId="77777777" w:rsidR="00A71EEF" w:rsidRDefault="00A71EEF">
            <w:pPr>
              <w:pStyle w:val="TableParagraph"/>
              <w:spacing w:before="1"/>
              <w:rPr>
                <w:sz w:val="12"/>
              </w:rPr>
            </w:pPr>
          </w:p>
          <w:p w14:paraId="4D2B1D5D" w14:textId="77777777" w:rsidR="00A71EEF" w:rsidRDefault="0081115D">
            <w:pPr>
              <w:pStyle w:val="TableParagraph"/>
              <w:ind w:left="123" w:right="80"/>
              <w:jc w:val="center"/>
              <w:rPr>
                <w:sz w:val="16"/>
              </w:rPr>
            </w:pPr>
            <w:r>
              <w:rPr>
                <w:sz w:val="16"/>
              </w:rPr>
              <w:t xml:space="preserve">N </w:t>
            </w:r>
          </w:p>
        </w:tc>
        <w:tc>
          <w:tcPr>
            <w:tcW w:w="425" w:type="dxa"/>
          </w:tcPr>
          <w:p w14:paraId="0A12454A" w14:textId="77777777" w:rsidR="00A71EEF" w:rsidRDefault="00A71EEF">
            <w:pPr>
              <w:pStyle w:val="TableParagraph"/>
              <w:rPr>
                <w:sz w:val="12"/>
              </w:rPr>
            </w:pPr>
          </w:p>
          <w:p w14:paraId="79F8ECD0" w14:textId="77777777" w:rsidR="00A71EEF" w:rsidRDefault="0081115D">
            <w:pPr>
              <w:pStyle w:val="TableParagraph"/>
              <w:ind w:left="125" w:right="130"/>
              <w:jc w:val="center"/>
              <w:rPr>
                <w:sz w:val="16"/>
              </w:rPr>
            </w:pPr>
            <w:r>
              <w:rPr>
                <w:position w:val="1"/>
                <w:sz w:val="16"/>
              </w:rPr>
              <w:t>N</w:t>
            </w:r>
            <w:r>
              <w:rPr>
                <w:sz w:val="8"/>
              </w:rPr>
              <w:t>1</w:t>
            </w:r>
            <w:r>
              <w:rPr>
                <w:position w:val="1"/>
                <w:sz w:val="16"/>
              </w:rPr>
              <w:t xml:space="preserve"> </w:t>
            </w:r>
          </w:p>
        </w:tc>
        <w:tc>
          <w:tcPr>
            <w:tcW w:w="403" w:type="dxa"/>
          </w:tcPr>
          <w:p w14:paraId="5DA1EBF6" w14:textId="77777777" w:rsidR="00A71EEF" w:rsidRDefault="00A71EEF">
            <w:pPr>
              <w:pStyle w:val="TableParagraph"/>
              <w:spacing w:before="1"/>
              <w:rPr>
                <w:sz w:val="12"/>
              </w:rPr>
            </w:pPr>
          </w:p>
          <w:p w14:paraId="27E614B6" w14:textId="77777777" w:rsidR="00A71EEF" w:rsidRDefault="0081115D">
            <w:pPr>
              <w:pStyle w:val="TableParagraph"/>
              <w:ind w:left="105"/>
              <w:rPr>
                <w:sz w:val="16"/>
              </w:rPr>
            </w:pPr>
            <w:r>
              <w:rPr>
                <w:sz w:val="16"/>
              </w:rPr>
              <w:t xml:space="preserve">η </w:t>
            </w:r>
          </w:p>
        </w:tc>
        <w:tc>
          <w:tcPr>
            <w:tcW w:w="485" w:type="dxa"/>
          </w:tcPr>
          <w:p w14:paraId="40B54383" w14:textId="77777777" w:rsidR="00A71EEF" w:rsidRDefault="00A71EEF">
            <w:pPr>
              <w:pStyle w:val="TableParagraph"/>
              <w:spacing w:before="1"/>
              <w:rPr>
                <w:sz w:val="12"/>
              </w:rPr>
            </w:pPr>
          </w:p>
          <w:p w14:paraId="04EBD7AE" w14:textId="77777777" w:rsidR="00A71EEF" w:rsidRDefault="0081115D">
            <w:pPr>
              <w:pStyle w:val="TableParagraph"/>
              <w:ind w:left="106"/>
              <w:rPr>
                <w:sz w:val="16"/>
              </w:rPr>
            </w:pPr>
            <w:r>
              <w:rPr>
                <w:sz w:val="16"/>
              </w:rPr>
              <w:t xml:space="preserve">N‘1 </w:t>
            </w:r>
          </w:p>
        </w:tc>
        <w:tc>
          <w:tcPr>
            <w:tcW w:w="402" w:type="dxa"/>
            <w:gridSpan w:val="2"/>
          </w:tcPr>
          <w:p w14:paraId="66BDCE94" w14:textId="77777777" w:rsidR="00A71EEF" w:rsidRDefault="0081115D">
            <w:pPr>
              <w:pStyle w:val="TableParagraph"/>
              <w:spacing w:before="34"/>
              <w:ind w:left="105"/>
              <w:rPr>
                <w:sz w:val="16"/>
              </w:rPr>
            </w:pPr>
            <w:r>
              <w:rPr>
                <w:sz w:val="16"/>
              </w:rPr>
              <w:t>η</w:t>
            </w:r>
          </w:p>
          <w:p w14:paraId="1AAAEF97" w14:textId="77777777" w:rsidR="00A71EEF" w:rsidRDefault="0081115D">
            <w:pPr>
              <w:pStyle w:val="TableParagraph"/>
              <w:spacing w:before="125" w:line="96" w:lineRule="exact"/>
              <w:ind w:left="105"/>
              <w:rPr>
                <w:sz w:val="16"/>
              </w:rPr>
            </w:pPr>
            <w:r>
              <w:rPr>
                <w:sz w:val="8"/>
              </w:rPr>
              <w:t>d</w:t>
            </w:r>
            <w:r>
              <w:rPr>
                <w:position w:val="1"/>
                <w:sz w:val="16"/>
              </w:rPr>
              <w:t xml:space="preserve"> </w:t>
            </w:r>
          </w:p>
        </w:tc>
        <w:tc>
          <w:tcPr>
            <w:tcW w:w="536" w:type="dxa"/>
          </w:tcPr>
          <w:p w14:paraId="2AB635F2" w14:textId="77777777" w:rsidR="00A71EEF" w:rsidRDefault="00A71EEF">
            <w:pPr>
              <w:pStyle w:val="TableParagraph"/>
              <w:rPr>
                <w:sz w:val="12"/>
              </w:rPr>
            </w:pPr>
          </w:p>
          <w:p w14:paraId="2B404055" w14:textId="77777777" w:rsidR="00A71EEF" w:rsidRDefault="0081115D">
            <w:pPr>
              <w:pStyle w:val="TableParagraph"/>
              <w:ind w:left="104"/>
              <w:rPr>
                <w:sz w:val="16"/>
              </w:rPr>
            </w:pPr>
            <w:r>
              <w:rPr>
                <w:position w:val="1"/>
                <w:sz w:val="16"/>
              </w:rPr>
              <w:t>P</w:t>
            </w:r>
            <w:r>
              <w:rPr>
                <w:sz w:val="8"/>
              </w:rPr>
              <w:t>at1</w:t>
            </w:r>
            <w:r>
              <w:rPr>
                <w:position w:val="1"/>
                <w:sz w:val="16"/>
              </w:rPr>
              <w:t xml:space="preserve"> </w:t>
            </w:r>
          </w:p>
        </w:tc>
        <w:tc>
          <w:tcPr>
            <w:tcW w:w="423" w:type="dxa"/>
            <w:gridSpan w:val="2"/>
          </w:tcPr>
          <w:p w14:paraId="5AF0D84A" w14:textId="77777777" w:rsidR="00A71EEF" w:rsidRDefault="00A71EEF">
            <w:pPr>
              <w:pStyle w:val="TableParagraph"/>
              <w:rPr>
                <w:sz w:val="12"/>
              </w:rPr>
            </w:pPr>
          </w:p>
          <w:p w14:paraId="64A67FCC" w14:textId="77777777" w:rsidR="00A71EEF" w:rsidRDefault="0081115D">
            <w:pPr>
              <w:pStyle w:val="TableParagraph"/>
              <w:ind w:left="101"/>
              <w:rPr>
                <w:sz w:val="16"/>
              </w:rPr>
            </w:pPr>
            <w:r>
              <w:rPr>
                <w:position w:val="1"/>
                <w:sz w:val="16"/>
              </w:rPr>
              <w:t>P</w:t>
            </w:r>
            <w:r>
              <w:rPr>
                <w:sz w:val="8"/>
              </w:rPr>
              <w:t>d1</w:t>
            </w:r>
            <w:r>
              <w:rPr>
                <w:position w:val="1"/>
                <w:sz w:val="16"/>
              </w:rPr>
              <w:t xml:space="preserve"> </w:t>
            </w:r>
          </w:p>
        </w:tc>
        <w:tc>
          <w:tcPr>
            <w:tcW w:w="409" w:type="dxa"/>
          </w:tcPr>
          <w:p w14:paraId="6281AB0B" w14:textId="77777777" w:rsidR="00A71EEF" w:rsidRDefault="00A71EEF">
            <w:pPr>
              <w:pStyle w:val="TableParagraph"/>
              <w:rPr>
                <w:sz w:val="12"/>
              </w:rPr>
            </w:pPr>
          </w:p>
          <w:p w14:paraId="238BC174" w14:textId="77777777" w:rsidR="00A71EEF" w:rsidRDefault="0081115D">
            <w:pPr>
              <w:pStyle w:val="TableParagraph"/>
              <w:ind w:left="99"/>
              <w:rPr>
                <w:sz w:val="16"/>
              </w:rPr>
            </w:pPr>
            <w:r>
              <w:rPr>
                <w:position w:val="1"/>
                <w:sz w:val="16"/>
              </w:rPr>
              <w:t>P</w:t>
            </w:r>
            <w:r>
              <w:rPr>
                <w:sz w:val="8"/>
              </w:rPr>
              <w:t>1</w:t>
            </w:r>
            <w:r>
              <w:rPr>
                <w:position w:val="1"/>
                <w:sz w:val="16"/>
              </w:rPr>
              <w:t xml:space="preserve"> </w:t>
            </w:r>
          </w:p>
        </w:tc>
        <w:tc>
          <w:tcPr>
            <w:tcW w:w="416" w:type="dxa"/>
          </w:tcPr>
          <w:p w14:paraId="43894DAA" w14:textId="77777777" w:rsidR="00A71EEF" w:rsidRDefault="00A71EEF">
            <w:pPr>
              <w:pStyle w:val="TableParagraph"/>
              <w:rPr>
                <w:sz w:val="12"/>
              </w:rPr>
            </w:pPr>
          </w:p>
          <w:p w14:paraId="05755A63" w14:textId="77777777" w:rsidR="00A71EEF" w:rsidRDefault="0081115D">
            <w:pPr>
              <w:pStyle w:val="TableParagraph"/>
              <w:ind w:left="100"/>
              <w:rPr>
                <w:sz w:val="16"/>
              </w:rPr>
            </w:pPr>
            <w:r>
              <w:rPr>
                <w:position w:val="1"/>
                <w:sz w:val="16"/>
              </w:rPr>
              <w:t>N</w:t>
            </w:r>
            <w:r>
              <w:rPr>
                <w:sz w:val="8"/>
              </w:rPr>
              <w:t>1</w:t>
            </w:r>
            <w:r>
              <w:rPr>
                <w:position w:val="1"/>
                <w:sz w:val="16"/>
              </w:rPr>
              <w:t xml:space="preserve"> </w:t>
            </w:r>
          </w:p>
        </w:tc>
        <w:tc>
          <w:tcPr>
            <w:tcW w:w="416" w:type="dxa"/>
          </w:tcPr>
          <w:p w14:paraId="02194376" w14:textId="77777777" w:rsidR="00A71EEF" w:rsidRDefault="00A71EEF">
            <w:pPr>
              <w:pStyle w:val="TableParagraph"/>
              <w:rPr>
                <w:sz w:val="12"/>
              </w:rPr>
            </w:pPr>
          </w:p>
          <w:p w14:paraId="1E3DC1E3" w14:textId="77777777" w:rsidR="00A71EEF" w:rsidRDefault="0081115D">
            <w:pPr>
              <w:pStyle w:val="TableParagraph"/>
              <w:ind w:left="97"/>
              <w:rPr>
                <w:sz w:val="16"/>
              </w:rPr>
            </w:pPr>
            <w:r>
              <w:rPr>
                <w:position w:val="1"/>
                <w:sz w:val="16"/>
              </w:rPr>
              <w:t>Q</w:t>
            </w:r>
            <w:r>
              <w:rPr>
                <w:sz w:val="8"/>
              </w:rPr>
              <w:t>1</w:t>
            </w:r>
            <w:r>
              <w:rPr>
                <w:position w:val="1"/>
                <w:sz w:val="16"/>
              </w:rPr>
              <w:t xml:space="preserve"> </w:t>
            </w:r>
          </w:p>
        </w:tc>
      </w:tr>
      <w:tr w:rsidR="00A71EEF" w14:paraId="2E034173" w14:textId="77777777">
        <w:trPr>
          <w:trHeight w:val="239"/>
        </w:trPr>
        <w:tc>
          <w:tcPr>
            <w:tcW w:w="696" w:type="dxa"/>
          </w:tcPr>
          <w:p w14:paraId="42244982" w14:textId="77777777" w:rsidR="00A71EEF" w:rsidRDefault="0081115D">
            <w:pPr>
              <w:pStyle w:val="TableParagraph"/>
              <w:spacing w:before="34" w:line="185" w:lineRule="exact"/>
              <w:ind w:left="206" w:right="119"/>
              <w:jc w:val="center"/>
              <w:rPr>
                <w:sz w:val="16"/>
              </w:rPr>
            </w:pPr>
            <w:r>
              <w:rPr>
                <w:sz w:val="16"/>
              </w:rPr>
              <w:t>全闭</w:t>
            </w:r>
            <w:r>
              <w:rPr>
                <w:sz w:val="16"/>
              </w:rPr>
              <w:t xml:space="preserve"> </w:t>
            </w:r>
          </w:p>
        </w:tc>
        <w:tc>
          <w:tcPr>
            <w:tcW w:w="430" w:type="dxa"/>
          </w:tcPr>
          <w:p w14:paraId="0524C9BC" w14:textId="77777777" w:rsidR="00A71EEF" w:rsidRDefault="0081115D">
            <w:pPr>
              <w:pStyle w:val="TableParagraph"/>
              <w:spacing w:before="34" w:line="185" w:lineRule="exact"/>
              <w:ind w:left="107"/>
              <w:rPr>
                <w:sz w:val="16"/>
              </w:rPr>
            </w:pPr>
            <w:r>
              <w:rPr>
                <w:sz w:val="16"/>
              </w:rPr>
              <w:t xml:space="preserve"> </w:t>
            </w:r>
          </w:p>
        </w:tc>
        <w:tc>
          <w:tcPr>
            <w:tcW w:w="476" w:type="dxa"/>
          </w:tcPr>
          <w:p w14:paraId="6F5BEC0A" w14:textId="77777777" w:rsidR="00A71EEF" w:rsidRDefault="0081115D">
            <w:pPr>
              <w:pStyle w:val="TableParagraph"/>
              <w:spacing w:before="34" w:line="185" w:lineRule="exact"/>
              <w:ind w:right="168"/>
              <w:jc w:val="center"/>
              <w:rPr>
                <w:sz w:val="16"/>
              </w:rPr>
            </w:pPr>
            <w:r>
              <w:rPr>
                <w:sz w:val="16"/>
              </w:rPr>
              <w:t xml:space="preserve"> </w:t>
            </w:r>
          </w:p>
        </w:tc>
        <w:tc>
          <w:tcPr>
            <w:tcW w:w="428" w:type="dxa"/>
            <w:tcBorders>
              <w:right w:val="single" w:sz="6" w:space="0" w:color="000000"/>
            </w:tcBorders>
          </w:tcPr>
          <w:p w14:paraId="347B250F" w14:textId="77777777" w:rsidR="00A71EEF" w:rsidRDefault="0081115D">
            <w:pPr>
              <w:pStyle w:val="TableParagraph"/>
              <w:spacing w:before="34" w:line="185" w:lineRule="exact"/>
              <w:ind w:right="124"/>
              <w:jc w:val="center"/>
              <w:rPr>
                <w:sz w:val="16"/>
              </w:rPr>
            </w:pPr>
            <w:r>
              <w:rPr>
                <w:sz w:val="16"/>
              </w:rPr>
              <w:t xml:space="preserve"> </w:t>
            </w:r>
          </w:p>
        </w:tc>
        <w:tc>
          <w:tcPr>
            <w:tcW w:w="428" w:type="dxa"/>
            <w:tcBorders>
              <w:left w:val="single" w:sz="6" w:space="0" w:color="000000"/>
            </w:tcBorders>
          </w:tcPr>
          <w:p w14:paraId="734979CD" w14:textId="77777777" w:rsidR="00A71EEF" w:rsidRDefault="0081115D">
            <w:pPr>
              <w:pStyle w:val="TableParagraph"/>
              <w:spacing w:before="34" w:line="185" w:lineRule="exact"/>
              <w:ind w:left="101"/>
              <w:rPr>
                <w:sz w:val="16"/>
              </w:rPr>
            </w:pPr>
            <w:r>
              <w:rPr>
                <w:sz w:val="16"/>
              </w:rPr>
              <w:t xml:space="preserve"> </w:t>
            </w:r>
          </w:p>
        </w:tc>
        <w:tc>
          <w:tcPr>
            <w:tcW w:w="377" w:type="dxa"/>
          </w:tcPr>
          <w:p w14:paraId="64D2A701" w14:textId="77777777" w:rsidR="00A71EEF" w:rsidRDefault="0081115D">
            <w:pPr>
              <w:pStyle w:val="TableParagraph"/>
              <w:spacing w:before="34" w:line="185" w:lineRule="exact"/>
              <w:ind w:left="105"/>
              <w:rPr>
                <w:sz w:val="16"/>
              </w:rPr>
            </w:pPr>
            <w:r>
              <w:rPr>
                <w:sz w:val="16"/>
              </w:rPr>
              <w:t xml:space="preserve"> </w:t>
            </w:r>
          </w:p>
        </w:tc>
        <w:tc>
          <w:tcPr>
            <w:tcW w:w="403" w:type="dxa"/>
          </w:tcPr>
          <w:p w14:paraId="005DC32F" w14:textId="77777777" w:rsidR="00A71EEF" w:rsidRDefault="0081115D">
            <w:pPr>
              <w:pStyle w:val="TableParagraph"/>
              <w:spacing w:before="34" w:line="185" w:lineRule="exact"/>
              <w:ind w:left="105"/>
              <w:rPr>
                <w:sz w:val="16"/>
              </w:rPr>
            </w:pPr>
            <w:r>
              <w:rPr>
                <w:sz w:val="16"/>
              </w:rPr>
              <w:t xml:space="preserve"> </w:t>
            </w:r>
          </w:p>
        </w:tc>
        <w:tc>
          <w:tcPr>
            <w:tcW w:w="276" w:type="dxa"/>
          </w:tcPr>
          <w:p w14:paraId="2815922E" w14:textId="77777777" w:rsidR="00A71EEF" w:rsidRDefault="0081115D">
            <w:pPr>
              <w:pStyle w:val="TableParagraph"/>
              <w:spacing w:before="34" w:line="185" w:lineRule="exact"/>
              <w:ind w:left="71"/>
              <w:rPr>
                <w:sz w:val="16"/>
              </w:rPr>
            </w:pPr>
            <w:r>
              <w:rPr>
                <w:sz w:val="16"/>
              </w:rPr>
              <w:t xml:space="preserve"> </w:t>
            </w:r>
          </w:p>
        </w:tc>
        <w:tc>
          <w:tcPr>
            <w:tcW w:w="499" w:type="dxa"/>
          </w:tcPr>
          <w:p w14:paraId="5E95B9B7" w14:textId="77777777" w:rsidR="00A71EEF" w:rsidRDefault="0081115D">
            <w:pPr>
              <w:pStyle w:val="TableParagraph"/>
              <w:spacing w:before="34" w:line="185" w:lineRule="exact"/>
              <w:ind w:left="105"/>
              <w:rPr>
                <w:sz w:val="16"/>
              </w:rPr>
            </w:pPr>
            <w:r>
              <w:rPr>
                <w:sz w:val="16"/>
              </w:rPr>
              <w:t xml:space="preserve"> </w:t>
            </w:r>
          </w:p>
        </w:tc>
        <w:tc>
          <w:tcPr>
            <w:tcW w:w="338" w:type="dxa"/>
          </w:tcPr>
          <w:p w14:paraId="310282E3" w14:textId="77777777" w:rsidR="00A71EEF" w:rsidRDefault="0081115D">
            <w:pPr>
              <w:pStyle w:val="TableParagraph"/>
              <w:spacing w:before="34" w:line="185" w:lineRule="exact"/>
              <w:ind w:left="105"/>
              <w:rPr>
                <w:sz w:val="16"/>
              </w:rPr>
            </w:pPr>
            <w:r>
              <w:rPr>
                <w:sz w:val="16"/>
              </w:rPr>
              <w:t xml:space="preserve"> </w:t>
            </w:r>
          </w:p>
        </w:tc>
        <w:tc>
          <w:tcPr>
            <w:tcW w:w="334" w:type="dxa"/>
          </w:tcPr>
          <w:p w14:paraId="48641D66" w14:textId="77777777" w:rsidR="00A71EEF" w:rsidRDefault="0081115D">
            <w:pPr>
              <w:pStyle w:val="TableParagraph"/>
              <w:spacing w:before="34" w:line="185" w:lineRule="exact"/>
              <w:ind w:right="34"/>
              <w:jc w:val="center"/>
              <w:rPr>
                <w:sz w:val="16"/>
              </w:rPr>
            </w:pPr>
            <w:r>
              <w:rPr>
                <w:sz w:val="16"/>
              </w:rPr>
              <w:t xml:space="preserve"> </w:t>
            </w:r>
          </w:p>
        </w:tc>
        <w:tc>
          <w:tcPr>
            <w:tcW w:w="425" w:type="dxa"/>
          </w:tcPr>
          <w:p w14:paraId="43C8B137" w14:textId="77777777" w:rsidR="00A71EEF" w:rsidRDefault="0081115D">
            <w:pPr>
              <w:pStyle w:val="TableParagraph"/>
              <w:spacing w:before="34" w:line="185" w:lineRule="exact"/>
              <w:ind w:right="125"/>
              <w:jc w:val="center"/>
              <w:rPr>
                <w:sz w:val="16"/>
              </w:rPr>
            </w:pPr>
            <w:r>
              <w:rPr>
                <w:sz w:val="16"/>
              </w:rPr>
              <w:t xml:space="preserve"> </w:t>
            </w:r>
          </w:p>
        </w:tc>
        <w:tc>
          <w:tcPr>
            <w:tcW w:w="403" w:type="dxa"/>
          </w:tcPr>
          <w:p w14:paraId="054358AF" w14:textId="77777777" w:rsidR="00A71EEF" w:rsidRDefault="0081115D">
            <w:pPr>
              <w:pStyle w:val="TableParagraph"/>
              <w:spacing w:before="34" w:line="185" w:lineRule="exact"/>
              <w:ind w:left="105"/>
              <w:rPr>
                <w:sz w:val="16"/>
              </w:rPr>
            </w:pPr>
            <w:r>
              <w:rPr>
                <w:sz w:val="16"/>
              </w:rPr>
              <w:t xml:space="preserve"> </w:t>
            </w:r>
          </w:p>
        </w:tc>
        <w:tc>
          <w:tcPr>
            <w:tcW w:w="485" w:type="dxa"/>
          </w:tcPr>
          <w:p w14:paraId="03ADF2EA" w14:textId="77777777" w:rsidR="00A71EEF" w:rsidRDefault="0081115D">
            <w:pPr>
              <w:pStyle w:val="TableParagraph"/>
              <w:spacing w:before="34" w:line="185" w:lineRule="exact"/>
              <w:ind w:left="106"/>
              <w:rPr>
                <w:sz w:val="16"/>
              </w:rPr>
            </w:pPr>
            <w:r>
              <w:rPr>
                <w:sz w:val="16"/>
              </w:rPr>
              <w:t xml:space="preserve"> </w:t>
            </w:r>
          </w:p>
        </w:tc>
        <w:tc>
          <w:tcPr>
            <w:tcW w:w="402" w:type="dxa"/>
            <w:gridSpan w:val="2"/>
          </w:tcPr>
          <w:p w14:paraId="434CBD78" w14:textId="77777777" w:rsidR="00A71EEF" w:rsidRDefault="0081115D">
            <w:pPr>
              <w:pStyle w:val="TableParagraph"/>
              <w:spacing w:before="34" w:line="185" w:lineRule="exact"/>
              <w:ind w:left="105"/>
              <w:rPr>
                <w:sz w:val="16"/>
              </w:rPr>
            </w:pPr>
            <w:r>
              <w:rPr>
                <w:sz w:val="16"/>
              </w:rPr>
              <w:t xml:space="preserve"> </w:t>
            </w:r>
          </w:p>
        </w:tc>
        <w:tc>
          <w:tcPr>
            <w:tcW w:w="536" w:type="dxa"/>
          </w:tcPr>
          <w:p w14:paraId="720D82DA" w14:textId="77777777" w:rsidR="00A71EEF" w:rsidRDefault="0081115D">
            <w:pPr>
              <w:pStyle w:val="TableParagraph"/>
              <w:spacing w:before="34" w:line="185" w:lineRule="exact"/>
              <w:ind w:left="104"/>
              <w:rPr>
                <w:sz w:val="16"/>
              </w:rPr>
            </w:pPr>
            <w:r>
              <w:rPr>
                <w:sz w:val="16"/>
              </w:rPr>
              <w:t xml:space="preserve"> </w:t>
            </w:r>
          </w:p>
        </w:tc>
        <w:tc>
          <w:tcPr>
            <w:tcW w:w="423" w:type="dxa"/>
            <w:gridSpan w:val="2"/>
          </w:tcPr>
          <w:p w14:paraId="0B61D25F" w14:textId="77777777" w:rsidR="00A71EEF" w:rsidRDefault="0081115D">
            <w:pPr>
              <w:pStyle w:val="TableParagraph"/>
              <w:spacing w:before="34" w:line="185" w:lineRule="exact"/>
              <w:ind w:left="101"/>
              <w:rPr>
                <w:sz w:val="16"/>
              </w:rPr>
            </w:pPr>
            <w:r>
              <w:rPr>
                <w:sz w:val="16"/>
              </w:rPr>
              <w:t xml:space="preserve"> </w:t>
            </w:r>
          </w:p>
        </w:tc>
        <w:tc>
          <w:tcPr>
            <w:tcW w:w="409" w:type="dxa"/>
          </w:tcPr>
          <w:p w14:paraId="42D02CA6" w14:textId="77777777" w:rsidR="00A71EEF" w:rsidRDefault="0081115D">
            <w:pPr>
              <w:pStyle w:val="TableParagraph"/>
              <w:spacing w:before="34" w:line="185" w:lineRule="exact"/>
              <w:ind w:left="99"/>
              <w:rPr>
                <w:sz w:val="16"/>
              </w:rPr>
            </w:pPr>
            <w:r>
              <w:rPr>
                <w:sz w:val="16"/>
              </w:rPr>
              <w:t xml:space="preserve"> </w:t>
            </w:r>
          </w:p>
        </w:tc>
        <w:tc>
          <w:tcPr>
            <w:tcW w:w="416" w:type="dxa"/>
          </w:tcPr>
          <w:p w14:paraId="474DC79A" w14:textId="77777777" w:rsidR="00A71EEF" w:rsidRDefault="0081115D">
            <w:pPr>
              <w:pStyle w:val="TableParagraph"/>
              <w:spacing w:before="34" w:line="185" w:lineRule="exact"/>
              <w:ind w:left="100"/>
              <w:rPr>
                <w:sz w:val="16"/>
              </w:rPr>
            </w:pPr>
            <w:r>
              <w:rPr>
                <w:sz w:val="16"/>
              </w:rPr>
              <w:t xml:space="preserve"> </w:t>
            </w:r>
          </w:p>
        </w:tc>
        <w:tc>
          <w:tcPr>
            <w:tcW w:w="416" w:type="dxa"/>
          </w:tcPr>
          <w:p w14:paraId="0DEF3CFC" w14:textId="77777777" w:rsidR="00A71EEF" w:rsidRDefault="0081115D">
            <w:pPr>
              <w:pStyle w:val="TableParagraph"/>
              <w:spacing w:before="34" w:line="185" w:lineRule="exact"/>
              <w:ind w:left="97"/>
              <w:rPr>
                <w:sz w:val="16"/>
              </w:rPr>
            </w:pPr>
            <w:r>
              <w:rPr>
                <w:sz w:val="16"/>
              </w:rPr>
              <w:t xml:space="preserve"> </w:t>
            </w:r>
          </w:p>
        </w:tc>
      </w:tr>
      <w:tr w:rsidR="00A71EEF" w14:paraId="099C8551" w14:textId="77777777">
        <w:trPr>
          <w:trHeight w:val="241"/>
        </w:trPr>
        <w:tc>
          <w:tcPr>
            <w:tcW w:w="696" w:type="dxa"/>
          </w:tcPr>
          <w:p w14:paraId="4DF2B191" w14:textId="77777777" w:rsidR="00A71EEF" w:rsidRDefault="0081115D">
            <w:pPr>
              <w:pStyle w:val="TableParagraph"/>
              <w:spacing w:before="36" w:line="185" w:lineRule="exact"/>
              <w:ind w:left="206" w:right="119"/>
              <w:jc w:val="center"/>
              <w:rPr>
                <w:sz w:val="16"/>
              </w:rPr>
            </w:pPr>
            <w:r>
              <w:rPr>
                <w:sz w:val="16"/>
              </w:rPr>
              <w:t xml:space="preserve">1 </w:t>
            </w:r>
          </w:p>
        </w:tc>
        <w:tc>
          <w:tcPr>
            <w:tcW w:w="430" w:type="dxa"/>
          </w:tcPr>
          <w:p w14:paraId="7292EAE1" w14:textId="77777777" w:rsidR="00A71EEF" w:rsidRDefault="0081115D">
            <w:pPr>
              <w:pStyle w:val="TableParagraph"/>
              <w:spacing w:before="36" w:line="185" w:lineRule="exact"/>
              <w:ind w:left="107"/>
              <w:rPr>
                <w:sz w:val="16"/>
              </w:rPr>
            </w:pPr>
            <w:r>
              <w:rPr>
                <w:sz w:val="16"/>
              </w:rPr>
              <w:t xml:space="preserve"> </w:t>
            </w:r>
          </w:p>
        </w:tc>
        <w:tc>
          <w:tcPr>
            <w:tcW w:w="476" w:type="dxa"/>
          </w:tcPr>
          <w:p w14:paraId="0949A677" w14:textId="77777777" w:rsidR="00A71EEF" w:rsidRDefault="0081115D">
            <w:pPr>
              <w:pStyle w:val="TableParagraph"/>
              <w:spacing w:before="36" w:line="185" w:lineRule="exact"/>
              <w:ind w:right="168"/>
              <w:jc w:val="center"/>
              <w:rPr>
                <w:sz w:val="16"/>
              </w:rPr>
            </w:pPr>
            <w:r>
              <w:rPr>
                <w:sz w:val="16"/>
              </w:rPr>
              <w:t xml:space="preserve"> </w:t>
            </w:r>
          </w:p>
        </w:tc>
        <w:tc>
          <w:tcPr>
            <w:tcW w:w="428" w:type="dxa"/>
            <w:tcBorders>
              <w:right w:val="single" w:sz="6" w:space="0" w:color="000000"/>
            </w:tcBorders>
          </w:tcPr>
          <w:p w14:paraId="6983C5EC" w14:textId="77777777" w:rsidR="00A71EEF" w:rsidRDefault="0081115D">
            <w:pPr>
              <w:pStyle w:val="TableParagraph"/>
              <w:spacing w:before="36" w:line="185" w:lineRule="exact"/>
              <w:ind w:right="124"/>
              <w:jc w:val="center"/>
              <w:rPr>
                <w:sz w:val="16"/>
              </w:rPr>
            </w:pPr>
            <w:r>
              <w:rPr>
                <w:sz w:val="16"/>
              </w:rPr>
              <w:t xml:space="preserve"> </w:t>
            </w:r>
          </w:p>
        </w:tc>
        <w:tc>
          <w:tcPr>
            <w:tcW w:w="428" w:type="dxa"/>
            <w:tcBorders>
              <w:left w:val="single" w:sz="6" w:space="0" w:color="000000"/>
            </w:tcBorders>
          </w:tcPr>
          <w:p w14:paraId="7F4CCC64" w14:textId="77777777" w:rsidR="00A71EEF" w:rsidRDefault="0081115D">
            <w:pPr>
              <w:pStyle w:val="TableParagraph"/>
              <w:spacing w:before="36" w:line="185" w:lineRule="exact"/>
              <w:ind w:left="101"/>
              <w:rPr>
                <w:sz w:val="16"/>
              </w:rPr>
            </w:pPr>
            <w:r>
              <w:rPr>
                <w:sz w:val="16"/>
              </w:rPr>
              <w:t xml:space="preserve"> </w:t>
            </w:r>
          </w:p>
        </w:tc>
        <w:tc>
          <w:tcPr>
            <w:tcW w:w="377" w:type="dxa"/>
          </w:tcPr>
          <w:p w14:paraId="404A1A7B" w14:textId="77777777" w:rsidR="00A71EEF" w:rsidRDefault="0081115D">
            <w:pPr>
              <w:pStyle w:val="TableParagraph"/>
              <w:spacing w:before="36" w:line="185" w:lineRule="exact"/>
              <w:ind w:left="105"/>
              <w:rPr>
                <w:sz w:val="16"/>
              </w:rPr>
            </w:pPr>
            <w:r>
              <w:rPr>
                <w:sz w:val="16"/>
              </w:rPr>
              <w:t xml:space="preserve"> </w:t>
            </w:r>
          </w:p>
        </w:tc>
        <w:tc>
          <w:tcPr>
            <w:tcW w:w="403" w:type="dxa"/>
          </w:tcPr>
          <w:p w14:paraId="75E6A7CA" w14:textId="77777777" w:rsidR="00A71EEF" w:rsidRDefault="0081115D">
            <w:pPr>
              <w:pStyle w:val="TableParagraph"/>
              <w:spacing w:before="36" w:line="185" w:lineRule="exact"/>
              <w:ind w:left="105"/>
              <w:rPr>
                <w:sz w:val="16"/>
              </w:rPr>
            </w:pPr>
            <w:r>
              <w:rPr>
                <w:sz w:val="16"/>
              </w:rPr>
              <w:t xml:space="preserve"> </w:t>
            </w:r>
          </w:p>
        </w:tc>
        <w:tc>
          <w:tcPr>
            <w:tcW w:w="276" w:type="dxa"/>
          </w:tcPr>
          <w:p w14:paraId="2CBFD8AF" w14:textId="77777777" w:rsidR="00A71EEF" w:rsidRDefault="0081115D">
            <w:pPr>
              <w:pStyle w:val="TableParagraph"/>
              <w:spacing w:before="26" w:line="195" w:lineRule="exact"/>
              <w:ind w:left="71"/>
              <w:rPr>
                <w:i/>
                <w:sz w:val="17"/>
              </w:rPr>
            </w:pPr>
            <w:r>
              <w:rPr>
                <w:i/>
                <w:w w:val="94"/>
                <w:sz w:val="17"/>
              </w:rPr>
              <w:t xml:space="preserve"> </w:t>
            </w:r>
          </w:p>
        </w:tc>
        <w:tc>
          <w:tcPr>
            <w:tcW w:w="499" w:type="dxa"/>
          </w:tcPr>
          <w:p w14:paraId="56E8856B" w14:textId="77777777" w:rsidR="00A71EEF" w:rsidRDefault="0081115D">
            <w:pPr>
              <w:pStyle w:val="TableParagraph"/>
              <w:spacing w:before="36" w:line="185" w:lineRule="exact"/>
              <w:ind w:left="105"/>
              <w:rPr>
                <w:sz w:val="16"/>
              </w:rPr>
            </w:pPr>
            <w:r>
              <w:rPr>
                <w:sz w:val="16"/>
              </w:rPr>
              <w:t xml:space="preserve"> </w:t>
            </w:r>
          </w:p>
        </w:tc>
        <w:tc>
          <w:tcPr>
            <w:tcW w:w="338" w:type="dxa"/>
          </w:tcPr>
          <w:p w14:paraId="31533D87" w14:textId="77777777" w:rsidR="00A71EEF" w:rsidRDefault="0081115D">
            <w:pPr>
              <w:pStyle w:val="TableParagraph"/>
              <w:spacing w:before="36" w:line="185" w:lineRule="exact"/>
              <w:ind w:left="105"/>
              <w:rPr>
                <w:sz w:val="16"/>
              </w:rPr>
            </w:pPr>
            <w:r>
              <w:rPr>
                <w:sz w:val="16"/>
              </w:rPr>
              <w:t xml:space="preserve"> </w:t>
            </w:r>
          </w:p>
        </w:tc>
        <w:tc>
          <w:tcPr>
            <w:tcW w:w="334" w:type="dxa"/>
          </w:tcPr>
          <w:p w14:paraId="616C2DD8" w14:textId="77777777" w:rsidR="00A71EEF" w:rsidRDefault="0081115D">
            <w:pPr>
              <w:pStyle w:val="TableParagraph"/>
              <w:spacing w:before="36" w:line="185" w:lineRule="exact"/>
              <w:ind w:right="34"/>
              <w:jc w:val="center"/>
              <w:rPr>
                <w:sz w:val="16"/>
              </w:rPr>
            </w:pPr>
            <w:r>
              <w:rPr>
                <w:sz w:val="16"/>
              </w:rPr>
              <w:t xml:space="preserve"> </w:t>
            </w:r>
          </w:p>
        </w:tc>
        <w:tc>
          <w:tcPr>
            <w:tcW w:w="425" w:type="dxa"/>
          </w:tcPr>
          <w:p w14:paraId="0E27B474" w14:textId="77777777" w:rsidR="00A71EEF" w:rsidRDefault="0081115D">
            <w:pPr>
              <w:pStyle w:val="TableParagraph"/>
              <w:spacing w:before="36" w:line="185" w:lineRule="exact"/>
              <w:ind w:right="125"/>
              <w:jc w:val="center"/>
              <w:rPr>
                <w:sz w:val="16"/>
              </w:rPr>
            </w:pPr>
            <w:r>
              <w:rPr>
                <w:sz w:val="16"/>
              </w:rPr>
              <w:t xml:space="preserve"> </w:t>
            </w:r>
          </w:p>
        </w:tc>
        <w:tc>
          <w:tcPr>
            <w:tcW w:w="403" w:type="dxa"/>
          </w:tcPr>
          <w:p w14:paraId="244278B8" w14:textId="77777777" w:rsidR="00A71EEF" w:rsidRDefault="0081115D">
            <w:pPr>
              <w:pStyle w:val="TableParagraph"/>
              <w:spacing w:before="36" w:line="185" w:lineRule="exact"/>
              <w:ind w:left="105"/>
              <w:rPr>
                <w:sz w:val="16"/>
              </w:rPr>
            </w:pPr>
            <w:r>
              <w:rPr>
                <w:sz w:val="16"/>
              </w:rPr>
              <w:t xml:space="preserve"> </w:t>
            </w:r>
          </w:p>
        </w:tc>
        <w:tc>
          <w:tcPr>
            <w:tcW w:w="485" w:type="dxa"/>
          </w:tcPr>
          <w:p w14:paraId="251DF5A0" w14:textId="77777777" w:rsidR="00A71EEF" w:rsidRDefault="0081115D">
            <w:pPr>
              <w:pStyle w:val="TableParagraph"/>
              <w:spacing w:before="36" w:line="185" w:lineRule="exact"/>
              <w:ind w:left="106"/>
              <w:rPr>
                <w:sz w:val="16"/>
              </w:rPr>
            </w:pPr>
            <w:r>
              <w:rPr>
                <w:sz w:val="16"/>
              </w:rPr>
              <w:t xml:space="preserve"> </w:t>
            </w:r>
          </w:p>
        </w:tc>
        <w:tc>
          <w:tcPr>
            <w:tcW w:w="402" w:type="dxa"/>
            <w:gridSpan w:val="2"/>
          </w:tcPr>
          <w:p w14:paraId="0964B93F" w14:textId="77777777" w:rsidR="00A71EEF" w:rsidRDefault="0081115D">
            <w:pPr>
              <w:pStyle w:val="TableParagraph"/>
              <w:spacing w:before="36" w:line="185" w:lineRule="exact"/>
              <w:ind w:left="105"/>
              <w:rPr>
                <w:sz w:val="16"/>
              </w:rPr>
            </w:pPr>
            <w:r>
              <w:rPr>
                <w:sz w:val="16"/>
              </w:rPr>
              <w:t xml:space="preserve"> </w:t>
            </w:r>
          </w:p>
        </w:tc>
        <w:tc>
          <w:tcPr>
            <w:tcW w:w="536" w:type="dxa"/>
          </w:tcPr>
          <w:p w14:paraId="78234940" w14:textId="77777777" w:rsidR="00A71EEF" w:rsidRDefault="0081115D">
            <w:pPr>
              <w:pStyle w:val="TableParagraph"/>
              <w:spacing w:before="36" w:line="185" w:lineRule="exact"/>
              <w:ind w:left="104"/>
              <w:rPr>
                <w:sz w:val="16"/>
              </w:rPr>
            </w:pPr>
            <w:r>
              <w:rPr>
                <w:sz w:val="16"/>
              </w:rPr>
              <w:t xml:space="preserve"> </w:t>
            </w:r>
          </w:p>
        </w:tc>
        <w:tc>
          <w:tcPr>
            <w:tcW w:w="423" w:type="dxa"/>
            <w:gridSpan w:val="2"/>
          </w:tcPr>
          <w:p w14:paraId="7CBE1242" w14:textId="77777777" w:rsidR="00A71EEF" w:rsidRDefault="0081115D">
            <w:pPr>
              <w:pStyle w:val="TableParagraph"/>
              <w:spacing w:before="36" w:line="185" w:lineRule="exact"/>
              <w:ind w:left="101"/>
              <w:rPr>
                <w:sz w:val="16"/>
              </w:rPr>
            </w:pPr>
            <w:r>
              <w:rPr>
                <w:sz w:val="16"/>
              </w:rPr>
              <w:t xml:space="preserve"> </w:t>
            </w:r>
          </w:p>
        </w:tc>
        <w:tc>
          <w:tcPr>
            <w:tcW w:w="409" w:type="dxa"/>
          </w:tcPr>
          <w:p w14:paraId="22CF717A" w14:textId="77777777" w:rsidR="00A71EEF" w:rsidRDefault="0081115D">
            <w:pPr>
              <w:pStyle w:val="TableParagraph"/>
              <w:spacing w:before="36" w:line="185" w:lineRule="exact"/>
              <w:ind w:left="99"/>
              <w:rPr>
                <w:sz w:val="16"/>
              </w:rPr>
            </w:pPr>
            <w:r>
              <w:rPr>
                <w:sz w:val="16"/>
              </w:rPr>
              <w:t xml:space="preserve"> </w:t>
            </w:r>
          </w:p>
        </w:tc>
        <w:tc>
          <w:tcPr>
            <w:tcW w:w="416" w:type="dxa"/>
          </w:tcPr>
          <w:p w14:paraId="0B4126C5" w14:textId="77777777" w:rsidR="00A71EEF" w:rsidRDefault="0081115D">
            <w:pPr>
              <w:pStyle w:val="TableParagraph"/>
              <w:spacing w:before="36" w:line="185" w:lineRule="exact"/>
              <w:ind w:left="100"/>
              <w:rPr>
                <w:sz w:val="16"/>
              </w:rPr>
            </w:pPr>
            <w:r>
              <w:rPr>
                <w:sz w:val="16"/>
              </w:rPr>
              <w:t xml:space="preserve"> </w:t>
            </w:r>
          </w:p>
        </w:tc>
        <w:tc>
          <w:tcPr>
            <w:tcW w:w="416" w:type="dxa"/>
          </w:tcPr>
          <w:p w14:paraId="5D79180D" w14:textId="77777777" w:rsidR="00A71EEF" w:rsidRDefault="0081115D">
            <w:pPr>
              <w:pStyle w:val="TableParagraph"/>
              <w:spacing w:before="36" w:line="185" w:lineRule="exact"/>
              <w:ind w:left="97"/>
              <w:rPr>
                <w:sz w:val="16"/>
              </w:rPr>
            </w:pPr>
            <w:r>
              <w:rPr>
                <w:sz w:val="16"/>
              </w:rPr>
              <w:t xml:space="preserve"> </w:t>
            </w:r>
          </w:p>
        </w:tc>
      </w:tr>
      <w:tr w:rsidR="00A71EEF" w14:paraId="791AF624" w14:textId="77777777">
        <w:trPr>
          <w:trHeight w:val="239"/>
        </w:trPr>
        <w:tc>
          <w:tcPr>
            <w:tcW w:w="696" w:type="dxa"/>
          </w:tcPr>
          <w:p w14:paraId="54B318B1" w14:textId="77777777" w:rsidR="00A71EEF" w:rsidRDefault="0081115D">
            <w:pPr>
              <w:pStyle w:val="TableParagraph"/>
              <w:spacing w:before="34" w:line="185" w:lineRule="exact"/>
              <w:ind w:left="206" w:right="119"/>
              <w:jc w:val="center"/>
              <w:rPr>
                <w:sz w:val="16"/>
              </w:rPr>
            </w:pPr>
            <w:r>
              <w:rPr>
                <w:sz w:val="16"/>
              </w:rPr>
              <w:t xml:space="preserve">2 </w:t>
            </w:r>
          </w:p>
        </w:tc>
        <w:tc>
          <w:tcPr>
            <w:tcW w:w="430" w:type="dxa"/>
          </w:tcPr>
          <w:p w14:paraId="75C714D7" w14:textId="77777777" w:rsidR="00A71EEF" w:rsidRDefault="0081115D">
            <w:pPr>
              <w:pStyle w:val="TableParagraph"/>
              <w:spacing w:before="34" w:line="185" w:lineRule="exact"/>
              <w:ind w:left="107"/>
              <w:rPr>
                <w:sz w:val="16"/>
              </w:rPr>
            </w:pPr>
            <w:r>
              <w:rPr>
                <w:sz w:val="16"/>
              </w:rPr>
              <w:t xml:space="preserve"> </w:t>
            </w:r>
          </w:p>
        </w:tc>
        <w:tc>
          <w:tcPr>
            <w:tcW w:w="476" w:type="dxa"/>
          </w:tcPr>
          <w:p w14:paraId="71777470" w14:textId="77777777" w:rsidR="00A71EEF" w:rsidRDefault="0081115D">
            <w:pPr>
              <w:pStyle w:val="TableParagraph"/>
              <w:spacing w:before="34" w:line="185" w:lineRule="exact"/>
              <w:ind w:right="168"/>
              <w:jc w:val="center"/>
              <w:rPr>
                <w:sz w:val="16"/>
              </w:rPr>
            </w:pPr>
            <w:r>
              <w:rPr>
                <w:sz w:val="16"/>
              </w:rPr>
              <w:t xml:space="preserve"> </w:t>
            </w:r>
          </w:p>
        </w:tc>
        <w:tc>
          <w:tcPr>
            <w:tcW w:w="428" w:type="dxa"/>
            <w:tcBorders>
              <w:right w:val="single" w:sz="6" w:space="0" w:color="000000"/>
            </w:tcBorders>
          </w:tcPr>
          <w:p w14:paraId="0EBAE21A" w14:textId="77777777" w:rsidR="00A71EEF" w:rsidRDefault="0081115D">
            <w:pPr>
              <w:pStyle w:val="TableParagraph"/>
              <w:spacing w:before="34" w:line="185" w:lineRule="exact"/>
              <w:ind w:right="124"/>
              <w:jc w:val="center"/>
              <w:rPr>
                <w:sz w:val="16"/>
              </w:rPr>
            </w:pPr>
            <w:r>
              <w:rPr>
                <w:sz w:val="16"/>
              </w:rPr>
              <w:t xml:space="preserve"> </w:t>
            </w:r>
          </w:p>
        </w:tc>
        <w:tc>
          <w:tcPr>
            <w:tcW w:w="428" w:type="dxa"/>
            <w:tcBorders>
              <w:left w:val="single" w:sz="6" w:space="0" w:color="000000"/>
            </w:tcBorders>
          </w:tcPr>
          <w:p w14:paraId="3280CB33" w14:textId="77777777" w:rsidR="00A71EEF" w:rsidRDefault="0081115D">
            <w:pPr>
              <w:pStyle w:val="TableParagraph"/>
              <w:spacing w:before="34" w:line="185" w:lineRule="exact"/>
              <w:ind w:left="101"/>
              <w:rPr>
                <w:sz w:val="16"/>
              </w:rPr>
            </w:pPr>
            <w:r>
              <w:rPr>
                <w:sz w:val="16"/>
              </w:rPr>
              <w:t xml:space="preserve"> </w:t>
            </w:r>
          </w:p>
        </w:tc>
        <w:tc>
          <w:tcPr>
            <w:tcW w:w="377" w:type="dxa"/>
          </w:tcPr>
          <w:p w14:paraId="12002F82" w14:textId="77777777" w:rsidR="00A71EEF" w:rsidRDefault="0081115D">
            <w:pPr>
              <w:pStyle w:val="TableParagraph"/>
              <w:spacing w:before="34" w:line="185" w:lineRule="exact"/>
              <w:ind w:left="105"/>
              <w:rPr>
                <w:sz w:val="16"/>
              </w:rPr>
            </w:pPr>
            <w:r>
              <w:rPr>
                <w:sz w:val="16"/>
              </w:rPr>
              <w:t xml:space="preserve"> </w:t>
            </w:r>
          </w:p>
        </w:tc>
        <w:tc>
          <w:tcPr>
            <w:tcW w:w="403" w:type="dxa"/>
          </w:tcPr>
          <w:p w14:paraId="2C2B48BF" w14:textId="77777777" w:rsidR="00A71EEF" w:rsidRDefault="0081115D">
            <w:pPr>
              <w:pStyle w:val="TableParagraph"/>
              <w:spacing w:before="34" w:line="185" w:lineRule="exact"/>
              <w:ind w:left="105"/>
              <w:rPr>
                <w:sz w:val="16"/>
              </w:rPr>
            </w:pPr>
            <w:r>
              <w:rPr>
                <w:sz w:val="16"/>
              </w:rPr>
              <w:t xml:space="preserve"> </w:t>
            </w:r>
          </w:p>
        </w:tc>
        <w:tc>
          <w:tcPr>
            <w:tcW w:w="276" w:type="dxa"/>
          </w:tcPr>
          <w:p w14:paraId="13929BE9" w14:textId="77777777" w:rsidR="00A71EEF" w:rsidRDefault="0081115D">
            <w:pPr>
              <w:pStyle w:val="TableParagraph"/>
              <w:spacing w:before="34" w:line="185" w:lineRule="exact"/>
              <w:ind w:left="71"/>
              <w:rPr>
                <w:sz w:val="16"/>
              </w:rPr>
            </w:pPr>
            <w:r>
              <w:rPr>
                <w:sz w:val="16"/>
              </w:rPr>
              <w:t xml:space="preserve"> </w:t>
            </w:r>
          </w:p>
        </w:tc>
        <w:tc>
          <w:tcPr>
            <w:tcW w:w="499" w:type="dxa"/>
          </w:tcPr>
          <w:p w14:paraId="7A73E8EC" w14:textId="77777777" w:rsidR="00A71EEF" w:rsidRDefault="0081115D">
            <w:pPr>
              <w:pStyle w:val="TableParagraph"/>
              <w:spacing w:before="34" w:line="185" w:lineRule="exact"/>
              <w:ind w:left="105"/>
              <w:rPr>
                <w:sz w:val="16"/>
              </w:rPr>
            </w:pPr>
            <w:r>
              <w:rPr>
                <w:sz w:val="16"/>
              </w:rPr>
              <w:t xml:space="preserve"> </w:t>
            </w:r>
          </w:p>
        </w:tc>
        <w:tc>
          <w:tcPr>
            <w:tcW w:w="338" w:type="dxa"/>
          </w:tcPr>
          <w:p w14:paraId="4BBB972D" w14:textId="77777777" w:rsidR="00A71EEF" w:rsidRDefault="0081115D">
            <w:pPr>
              <w:pStyle w:val="TableParagraph"/>
              <w:spacing w:before="34" w:line="185" w:lineRule="exact"/>
              <w:ind w:left="105"/>
              <w:rPr>
                <w:sz w:val="16"/>
              </w:rPr>
            </w:pPr>
            <w:r>
              <w:rPr>
                <w:sz w:val="16"/>
              </w:rPr>
              <w:t xml:space="preserve"> </w:t>
            </w:r>
          </w:p>
        </w:tc>
        <w:tc>
          <w:tcPr>
            <w:tcW w:w="334" w:type="dxa"/>
          </w:tcPr>
          <w:p w14:paraId="76A3737C" w14:textId="77777777" w:rsidR="00A71EEF" w:rsidRDefault="0081115D">
            <w:pPr>
              <w:pStyle w:val="TableParagraph"/>
              <w:spacing w:before="34" w:line="185" w:lineRule="exact"/>
              <w:ind w:right="34"/>
              <w:jc w:val="center"/>
              <w:rPr>
                <w:sz w:val="16"/>
              </w:rPr>
            </w:pPr>
            <w:r>
              <w:rPr>
                <w:sz w:val="16"/>
              </w:rPr>
              <w:t xml:space="preserve"> </w:t>
            </w:r>
          </w:p>
        </w:tc>
        <w:tc>
          <w:tcPr>
            <w:tcW w:w="425" w:type="dxa"/>
          </w:tcPr>
          <w:p w14:paraId="77924997" w14:textId="77777777" w:rsidR="00A71EEF" w:rsidRDefault="0081115D">
            <w:pPr>
              <w:pStyle w:val="TableParagraph"/>
              <w:spacing w:before="34" w:line="185" w:lineRule="exact"/>
              <w:ind w:right="125"/>
              <w:jc w:val="center"/>
              <w:rPr>
                <w:sz w:val="16"/>
              </w:rPr>
            </w:pPr>
            <w:r>
              <w:rPr>
                <w:sz w:val="16"/>
              </w:rPr>
              <w:t xml:space="preserve"> </w:t>
            </w:r>
          </w:p>
        </w:tc>
        <w:tc>
          <w:tcPr>
            <w:tcW w:w="403" w:type="dxa"/>
          </w:tcPr>
          <w:p w14:paraId="421E1546" w14:textId="77777777" w:rsidR="00A71EEF" w:rsidRDefault="0081115D">
            <w:pPr>
              <w:pStyle w:val="TableParagraph"/>
              <w:spacing w:before="34" w:line="185" w:lineRule="exact"/>
              <w:ind w:left="105"/>
              <w:rPr>
                <w:sz w:val="16"/>
              </w:rPr>
            </w:pPr>
            <w:r>
              <w:rPr>
                <w:sz w:val="16"/>
              </w:rPr>
              <w:t xml:space="preserve"> </w:t>
            </w:r>
          </w:p>
        </w:tc>
        <w:tc>
          <w:tcPr>
            <w:tcW w:w="485" w:type="dxa"/>
          </w:tcPr>
          <w:p w14:paraId="1722FC2B" w14:textId="77777777" w:rsidR="00A71EEF" w:rsidRDefault="0081115D">
            <w:pPr>
              <w:pStyle w:val="TableParagraph"/>
              <w:spacing w:before="34" w:line="185" w:lineRule="exact"/>
              <w:ind w:left="106"/>
              <w:rPr>
                <w:sz w:val="16"/>
              </w:rPr>
            </w:pPr>
            <w:r>
              <w:rPr>
                <w:sz w:val="16"/>
              </w:rPr>
              <w:t xml:space="preserve"> </w:t>
            </w:r>
          </w:p>
        </w:tc>
        <w:tc>
          <w:tcPr>
            <w:tcW w:w="402" w:type="dxa"/>
            <w:gridSpan w:val="2"/>
          </w:tcPr>
          <w:p w14:paraId="3430BA04" w14:textId="77777777" w:rsidR="00A71EEF" w:rsidRDefault="0081115D">
            <w:pPr>
              <w:pStyle w:val="TableParagraph"/>
              <w:spacing w:before="34" w:line="185" w:lineRule="exact"/>
              <w:ind w:left="105"/>
              <w:rPr>
                <w:sz w:val="16"/>
              </w:rPr>
            </w:pPr>
            <w:r>
              <w:rPr>
                <w:sz w:val="16"/>
              </w:rPr>
              <w:t xml:space="preserve"> </w:t>
            </w:r>
          </w:p>
        </w:tc>
        <w:tc>
          <w:tcPr>
            <w:tcW w:w="536" w:type="dxa"/>
          </w:tcPr>
          <w:p w14:paraId="4C5CEE5D" w14:textId="77777777" w:rsidR="00A71EEF" w:rsidRDefault="0081115D">
            <w:pPr>
              <w:pStyle w:val="TableParagraph"/>
              <w:spacing w:before="34" w:line="185" w:lineRule="exact"/>
              <w:ind w:left="104"/>
              <w:rPr>
                <w:sz w:val="16"/>
              </w:rPr>
            </w:pPr>
            <w:r>
              <w:rPr>
                <w:sz w:val="16"/>
              </w:rPr>
              <w:t xml:space="preserve"> </w:t>
            </w:r>
          </w:p>
        </w:tc>
        <w:tc>
          <w:tcPr>
            <w:tcW w:w="423" w:type="dxa"/>
            <w:gridSpan w:val="2"/>
          </w:tcPr>
          <w:p w14:paraId="2431477E" w14:textId="77777777" w:rsidR="00A71EEF" w:rsidRDefault="0081115D">
            <w:pPr>
              <w:pStyle w:val="TableParagraph"/>
              <w:spacing w:before="34" w:line="185" w:lineRule="exact"/>
              <w:ind w:left="101"/>
              <w:rPr>
                <w:sz w:val="16"/>
              </w:rPr>
            </w:pPr>
            <w:r>
              <w:rPr>
                <w:sz w:val="16"/>
              </w:rPr>
              <w:t xml:space="preserve"> </w:t>
            </w:r>
          </w:p>
        </w:tc>
        <w:tc>
          <w:tcPr>
            <w:tcW w:w="409" w:type="dxa"/>
          </w:tcPr>
          <w:p w14:paraId="11908139" w14:textId="77777777" w:rsidR="00A71EEF" w:rsidRDefault="0081115D">
            <w:pPr>
              <w:pStyle w:val="TableParagraph"/>
              <w:spacing w:before="34" w:line="185" w:lineRule="exact"/>
              <w:ind w:left="99"/>
              <w:rPr>
                <w:sz w:val="16"/>
              </w:rPr>
            </w:pPr>
            <w:r>
              <w:rPr>
                <w:sz w:val="16"/>
              </w:rPr>
              <w:t xml:space="preserve"> </w:t>
            </w:r>
          </w:p>
        </w:tc>
        <w:tc>
          <w:tcPr>
            <w:tcW w:w="416" w:type="dxa"/>
          </w:tcPr>
          <w:p w14:paraId="6FBA1004" w14:textId="77777777" w:rsidR="00A71EEF" w:rsidRDefault="0081115D">
            <w:pPr>
              <w:pStyle w:val="TableParagraph"/>
              <w:spacing w:before="34" w:line="185" w:lineRule="exact"/>
              <w:ind w:left="100"/>
              <w:rPr>
                <w:sz w:val="16"/>
              </w:rPr>
            </w:pPr>
            <w:r>
              <w:rPr>
                <w:sz w:val="16"/>
              </w:rPr>
              <w:t xml:space="preserve"> </w:t>
            </w:r>
          </w:p>
        </w:tc>
        <w:tc>
          <w:tcPr>
            <w:tcW w:w="416" w:type="dxa"/>
          </w:tcPr>
          <w:p w14:paraId="50055F04" w14:textId="77777777" w:rsidR="00A71EEF" w:rsidRDefault="0081115D">
            <w:pPr>
              <w:pStyle w:val="TableParagraph"/>
              <w:spacing w:before="34" w:line="185" w:lineRule="exact"/>
              <w:ind w:left="97"/>
              <w:rPr>
                <w:sz w:val="16"/>
              </w:rPr>
            </w:pPr>
            <w:r>
              <w:rPr>
                <w:sz w:val="16"/>
              </w:rPr>
              <w:t xml:space="preserve"> </w:t>
            </w:r>
          </w:p>
        </w:tc>
      </w:tr>
      <w:tr w:rsidR="00A71EEF" w14:paraId="3166516C" w14:textId="77777777">
        <w:trPr>
          <w:trHeight w:val="239"/>
        </w:trPr>
        <w:tc>
          <w:tcPr>
            <w:tcW w:w="696" w:type="dxa"/>
          </w:tcPr>
          <w:p w14:paraId="1A61AD2E" w14:textId="77777777" w:rsidR="00A71EEF" w:rsidRDefault="0081115D">
            <w:pPr>
              <w:pStyle w:val="TableParagraph"/>
              <w:spacing w:before="34" w:line="185" w:lineRule="exact"/>
              <w:ind w:left="206" w:right="119"/>
              <w:jc w:val="center"/>
              <w:rPr>
                <w:sz w:val="16"/>
              </w:rPr>
            </w:pPr>
            <w:r>
              <w:rPr>
                <w:sz w:val="16"/>
              </w:rPr>
              <w:t xml:space="preserve">3 </w:t>
            </w:r>
          </w:p>
        </w:tc>
        <w:tc>
          <w:tcPr>
            <w:tcW w:w="430" w:type="dxa"/>
          </w:tcPr>
          <w:p w14:paraId="303D78FB" w14:textId="77777777" w:rsidR="00A71EEF" w:rsidRDefault="0081115D">
            <w:pPr>
              <w:pStyle w:val="TableParagraph"/>
              <w:spacing w:before="34" w:line="185" w:lineRule="exact"/>
              <w:ind w:left="107"/>
              <w:rPr>
                <w:sz w:val="16"/>
              </w:rPr>
            </w:pPr>
            <w:r>
              <w:rPr>
                <w:sz w:val="16"/>
              </w:rPr>
              <w:t xml:space="preserve"> </w:t>
            </w:r>
          </w:p>
        </w:tc>
        <w:tc>
          <w:tcPr>
            <w:tcW w:w="476" w:type="dxa"/>
          </w:tcPr>
          <w:p w14:paraId="415702A9" w14:textId="77777777" w:rsidR="00A71EEF" w:rsidRDefault="0081115D">
            <w:pPr>
              <w:pStyle w:val="TableParagraph"/>
              <w:spacing w:before="34" w:line="185" w:lineRule="exact"/>
              <w:ind w:right="168"/>
              <w:jc w:val="center"/>
              <w:rPr>
                <w:sz w:val="16"/>
              </w:rPr>
            </w:pPr>
            <w:r>
              <w:rPr>
                <w:sz w:val="16"/>
              </w:rPr>
              <w:t xml:space="preserve"> </w:t>
            </w:r>
          </w:p>
        </w:tc>
        <w:tc>
          <w:tcPr>
            <w:tcW w:w="428" w:type="dxa"/>
            <w:tcBorders>
              <w:right w:val="single" w:sz="6" w:space="0" w:color="000000"/>
            </w:tcBorders>
          </w:tcPr>
          <w:p w14:paraId="420DE031" w14:textId="77777777" w:rsidR="00A71EEF" w:rsidRDefault="0081115D">
            <w:pPr>
              <w:pStyle w:val="TableParagraph"/>
              <w:spacing w:before="34" w:line="185" w:lineRule="exact"/>
              <w:ind w:right="124"/>
              <w:jc w:val="center"/>
              <w:rPr>
                <w:sz w:val="16"/>
              </w:rPr>
            </w:pPr>
            <w:r>
              <w:rPr>
                <w:sz w:val="16"/>
              </w:rPr>
              <w:t xml:space="preserve"> </w:t>
            </w:r>
          </w:p>
        </w:tc>
        <w:tc>
          <w:tcPr>
            <w:tcW w:w="428" w:type="dxa"/>
            <w:tcBorders>
              <w:left w:val="single" w:sz="6" w:space="0" w:color="000000"/>
            </w:tcBorders>
          </w:tcPr>
          <w:p w14:paraId="295E86A1" w14:textId="77777777" w:rsidR="00A71EEF" w:rsidRDefault="0081115D">
            <w:pPr>
              <w:pStyle w:val="TableParagraph"/>
              <w:spacing w:before="34" w:line="185" w:lineRule="exact"/>
              <w:ind w:left="101"/>
              <w:rPr>
                <w:sz w:val="16"/>
              </w:rPr>
            </w:pPr>
            <w:r>
              <w:rPr>
                <w:sz w:val="16"/>
              </w:rPr>
              <w:t xml:space="preserve"> </w:t>
            </w:r>
          </w:p>
        </w:tc>
        <w:tc>
          <w:tcPr>
            <w:tcW w:w="377" w:type="dxa"/>
          </w:tcPr>
          <w:p w14:paraId="2A5F8543" w14:textId="77777777" w:rsidR="00A71EEF" w:rsidRDefault="0081115D">
            <w:pPr>
              <w:pStyle w:val="TableParagraph"/>
              <w:spacing w:before="34" w:line="185" w:lineRule="exact"/>
              <w:ind w:left="105"/>
              <w:rPr>
                <w:sz w:val="16"/>
              </w:rPr>
            </w:pPr>
            <w:r>
              <w:rPr>
                <w:sz w:val="16"/>
              </w:rPr>
              <w:t xml:space="preserve"> </w:t>
            </w:r>
          </w:p>
        </w:tc>
        <w:tc>
          <w:tcPr>
            <w:tcW w:w="403" w:type="dxa"/>
          </w:tcPr>
          <w:p w14:paraId="2D882CB7" w14:textId="77777777" w:rsidR="00A71EEF" w:rsidRDefault="0081115D">
            <w:pPr>
              <w:pStyle w:val="TableParagraph"/>
              <w:spacing w:before="34" w:line="185" w:lineRule="exact"/>
              <w:ind w:left="105"/>
              <w:rPr>
                <w:sz w:val="16"/>
              </w:rPr>
            </w:pPr>
            <w:r>
              <w:rPr>
                <w:sz w:val="16"/>
              </w:rPr>
              <w:t xml:space="preserve"> </w:t>
            </w:r>
          </w:p>
        </w:tc>
        <w:tc>
          <w:tcPr>
            <w:tcW w:w="276" w:type="dxa"/>
          </w:tcPr>
          <w:p w14:paraId="5C2825FF" w14:textId="77777777" w:rsidR="00A71EEF" w:rsidRDefault="0081115D">
            <w:pPr>
              <w:pStyle w:val="TableParagraph"/>
              <w:spacing w:before="34" w:line="185" w:lineRule="exact"/>
              <w:ind w:left="71"/>
              <w:rPr>
                <w:sz w:val="16"/>
              </w:rPr>
            </w:pPr>
            <w:r>
              <w:rPr>
                <w:sz w:val="16"/>
              </w:rPr>
              <w:t xml:space="preserve"> </w:t>
            </w:r>
          </w:p>
        </w:tc>
        <w:tc>
          <w:tcPr>
            <w:tcW w:w="499" w:type="dxa"/>
          </w:tcPr>
          <w:p w14:paraId="0B46865A" w14:textId="77777777" w:rsidR="00A71EEF" w:rsidRDefault="0081115D">
            <w:pPr>
              <w:pStyle w:val="TableParagraph"/>
              <w:spacing w:before="34" w:line="185" w:lineRule="exact"/>
              <w:ind w:left="105"/>
              <w:rPr>
                <w:sz w:val="16"/>
              </w:rPr>
            </w:pPr>
            <w:r>
              <w:rPr>
                <w:sz w:val="16"/>
              </w:rPr>
              <w:t xml:space="preserve"> </w:t>
            </w:r>
          </w:p>
        </w:tc>
        <w:tc>
          <w:tcPr>
            <w:tcW w:w="338" w:type="dxa"/>
          </w:tcPr>
          <w:p w14:paraId="2B9CCE96" w14:textId="77777777" w:rsidR="00A71EEF" w:rsidRDefault="0081115D">
            <w:pPr>
              <w:pStyle w:val="TableParagraph"/>
              <w:spacing w:before="34" w:line="185" w:lineRule="exact"/>
              <w:ind w:left="105"/>
              <w:rPr>
                <w:sz w:val="16"/>
              </w:rPr>
            </w:pPr>
            <w:r>
              <w:rPr>
                <w:sz w:val="16"/>
              </w:rPr>
              <w:t xml:space="preserve"> </w:t>
            </w:r>
          </w:p>
        </w:tc>
        <w:tc>
          <w:tcPr>
            <w:tcW w:w="334" w:type="dxa"/>
          </w:tcPr>
          <w:p w14:paraId="39AE2A8F" w14:textId="77777777" w:rsidR="00A71EEF" w:rsidRDefault="0081115D">
            <w:pPr>
              <w:pStyle w:val="TableParagraph"/>
              <w:spacing w:before="34" w:line="185" w:lineRule="exact"/>
              <w:ind w:right="34"/>
              <w:jc w:val="center"/>
              <w:rPr>
                <w:sz w:val="16"/>
              </w:rPr>
            </w:pPr>
            <w:r>
              <w:rPr>
                <w:sz w:val="16"/>
              </w:rPr>
              <w:t xml:space="preserve"> </w:t>
            </w:r>
          </w:p>
        </w:tc>
        <w:tc>
          <w:tcPr>
            <w:tcW w:w="425" w:type="dxa"/>
          </w:tcPr>
          <w:p w14:paraId="69A37029" w14:textId="77777777" w:rsidR="00A71EEF" w:rsidRDefault="0081115D">
            <w:pPr>
              <w:pStyle w:val="TableParagraph"/>
              <w:spacing w:before="34" w:line="185" w:lineRule="exact"/>
              <w:ind w:right="125"/>
              <w:jc w:val="center"/>
              <w:rPr>
                <w:sz w:val="16"/>
              </w:rPr>
            </w:pPr>
            <w:r>
              <w:rPr>
                <w:sz w:val="16"/>
              </w:rPr>
              <w:t xml:space="preserve"> </w:t>
            </w:r>
          </w:p>
        </w:tc>
        <w:tc>
          <w:tcPr>
            <w:tcW w:w="403" w:type="dxa"/>
          </w:tcPr>
          <w:p w14:paraId="3E12C849" w14:textId="77777777" w:rsidR="00A71EEF" w:rsidRDefault="0081115D">
            <w:pPr>
              <w:pStyle w:val="TableParagraph"/>
              <w:spacing w:before="34" w:line="185" w:lineRule="exact"/>
              <w:ind w:left="105"/>
              <w:rPr>
                <w:sz w:val="16"/>
              </w:rPr>
            </w:pPr>
            <w:r>
              <w:rPr>
                <w:sz w:val="16"/>
              </w:rPr>
              <w:t xml:space="preserve"> </w:t>
            </w:r>
          </w:p>
        </w:tc>
        <w:tc>
          <w:tcPr>
            <w:tcW w:w="485" w:type="dxa"/>
          </w:tcPr>
          <w:p w14:paraId="719A67DE" w14:textId="77777777" w:rsidR="00A71EEF" w:rsidRDefault="0081115D">
            <w:pPr>
              <w:pStyle w:val="TableParagraph"/>
              <w:spacing w:before="34" w:line="185" w:lineRule="exact"/>
              <w:ind w:left="106"/>
              <w:rPr>
                <w:sz w:val="16"/>
              </w:rPr>
            </w:pPr>
            <w:r>
              <w:rPr>
                <w:sz w:val="16"/>
              </w:rPr>
              <w:t xml:space="preserve"> </w:t>
            </w:r>
          </w:p>
        </w:tc>
        <w:tc>
          <w:tcPr>
            <w:tcW w:w="402" w:type="dxa"/>
            <w:gridSpan w:val="2"/>
          </w:tcPr>
          <w:p w14:paraId="4B8F9733" w14:textId="77777777" w:rsidR="00A71EEF" w:rsidRDefault="0081115D">
            <w:pPr>
              <w:pStyle w:val="TableParagraph"/>
              <w:spacing w:before="34" w:line="185" w:lineRule="exact"/>
              <w:ind w:left="105"/>
              <w:rPr>
                <w:sz w:val="16"/>
              </w:rPr>
            </w:pPr>
            <w:r>
              <w:rPr>
                <w:sz w:val="16"/>
              </w:rPr>
              <w:t xml:space="preserve"> </w:t>
            </w:r>
          </w:p>
        </w:tc>
        <w:tc>
          <w:tcPr>
            <w:tcW w:w="536" w:type="dxa"/>
          </w:tcPr>
          <w:p w14:paraId="5EA85A90" w14:textId="77777777" w:rsidR="00A71EEF" w:rsidRDefault="0081115D">
            <w:pPr>
              <w:pStyle w:val="TableParagraph"/>
              <w:spacing w:before="34" w:line="185" w:lineRule="exact"/>
              <w:ind w:left="104"/>
              <w:rPr>
                <w:sz w:val="16"/>
              </w:rPr>
            </w:pPr>
            <w:r>
              <w:rPr>
                <w:sz w:val="16"/>
              </w:rPr>
              <w:t xml:space="preserve"> </w:t>
            </w:r>
          </w:p>
        </w:tc>
        <w:tc>
          <w:tcPr>
            <w:tcW w:w="423" w:type="dxa"/>
            <w:gridSpan w:val="2"/>
          </w:tcPr>
          <w:p w14:paraId="7BA73ABF" w14:textId="77777777" w:rsidR="00A71EEF" w:rsidRDefault="0081115D">
            <w:pPr>
              <w:pStyle w:val="TableParagraph"/>
              <w:spacing w:before="34" w:line="185" w:lineRule="exact"/>
              <w:ind w:left="101"/>
              <w:rPr>
                <w:sz w:val="16"/>
              </w:rPr>
            </w:pPr>
            <w:r>
              <w:rPr>
                <w:sz w:val="16"/>
              </w:rPr>
              <w:t xml:space="preserve"> </w:t>
            </w:r>
          </w:p>
        </w:tc>
        <w:tc>
          <w:tcPr>
            <w:tcW w:w="409" w:type="dxa"/>
          </w:tcPr>
          <w:p w14:paraId="5985BBEE" w14:textId="77777777" w:rsidR="00A71EEF" w:rsidRDefault="0081115D">
            <w:pPr>
              <w:pStyle w:val="TableParagraph"/>
              <w:spacing w:before="34" w:line="185" w:lineRule="exact"/>
              <w:ind w:left="99"/>
              <w:rPr>
                <w:sz w:val="16"/>
              </w:rPr>
            </w:pPr>
            <w:r>
              <w:rPr>
                <w:sz w:val="16"/>
              </w:rPr>
              <w:t xml:space="preserve"> </w:t>
            </w:r>
          </w:p>
        </w:tc>
        <w:tc>
          <w:tcPr>
            <w:tcW w:w="416" w:type="dxa"/>
          </w:tcPr>
          <w:p w14:paraId="7A876DC1" w14:textId="77777777" w:rsidR="00A71EEF" w:rsidRDefault="0081115D">
            <w:pPr>
              <w:pStyle w:val="TableParagraph"/>
              <w:spacing w:before="34" w:line="185" w:lineRule="exact"/>
              <w:ind w:left="100"/>
              <w:rPr>
                <w:sz w:val="16"/>
              </w:rPr>
            </w:pPr>
            <w:r>
              <w:rPr>
                <w:sz w:val="16"/>
              </w:rPr>
              <w:t xml:space="preserve"> </w:t>
            </w:r>
          </w:p>
        </w:tc>
        <w:tc>
          <w:tcPr>
            <w:tcW w:w="416" w:type="dxa"/>
          </w:tcPr>
          <w:p w14:paraId="388A6C37" w14:textId="77777777" w:rsidR="00A71EEF" w:rsidRDefault="0081115D">
            <w:pPr>
              <w:pStyle w:val="TableParagraph"/>
              <w:spacing w:before="34" w:line="185" w:lineRule="exact"/>
              <w:ind w:left="97"/>
              <w:rPr>
                <w:sz w:val="16"/>
              </w:rPr>
            </w:pPr>
            <w:r>
              <w:rPr>
                <w:sz w:val="16"/>
              </w:rPr>
              <w:t xml:space="preserve"> </w:t>
            </w:r>
          </w:p>
        </w:tc>
      </w:tr>
      <w:tr w:rsidR="00A71EEF" w14:paraId="63B0B2B0" w14:textId="77777777">
        <w:trPr>
          <w:trHeight w:val="239"/>
        </w:trPr>
        <w:tc>
          <w:tcPr>
            <w:tcW w:w="696" w:type="dxa"/>
          </w:tcPr>
          <w:p w14:paraId="3D4E751A" w14:textId="77777777" w:rsidR="00A71EEF" w:rsidRDefault="0081115D">
            <w:pPr>
              <w:pStyle w:val="TableParagraph"/>
              <w:spacing w:before="34" w:line="185" w:lineRule="exact"/>
              <w:ind w:left="206" w:right="119"/>
              <w:jc w:val="center"/>
              <w:rPr>
                <w:sz w:val="16"/>
              </w:rPr>
            </w:pPr>
            <w:r>
              <w:rPr>
                <w:sz w:val="16"/>
              </w:rPr>
              <w:t xml:space="preserve">4 </w:t>
            </w:r>
          </w:p>
        </w:tc>
        <w:tc>
          <w:tcPr>
            <w:tcW w:w="430" w:type="dxa"/>
          </w:tcPr>
          <w:p w14:paraId="05EF2A42" w14:textId="77777777" w:rsidR="00A71EEF" w:rsidRDefault="0081115D">
            <w:pPr>
              <w:pStyle w:val="TableParagraph"/>
              <w:spacing w:before="34" w:line="185" w:lineRule="exact"/>
              <w:ind w:left="107"/>
              <w:rPr>
                <w:sz w:val="16"/>
              </w:rPr>
            </w:pPr>
            <w:r>
              <w:rPr>
                <w:sz w:val="16"/>
              </w:rPr>
              <w:t xml:space="preserve"> </w:t>
            </w:r>
          </w:p>
        </w:tc>
        <w:tc>
          <w:tcPr>
            <w:tcW w:w="476" w:type="dxa"/>
          </w:tcPr>
          <w:p w14:paraId="4334E837" w14:textId="77777777" w:rsidR="00A71EEF" w:rsidRDefault="0081115D">
            <w:pPr>
              <w:pStyle w:val="TableParagraph"/>
              <w:spacing w:before="34" w:line="185" w:lineRule="exact"/>
              <w:ind w:right="168"/>
              <w:jc w:val="center"/>
              <w:rPr>
                <w:sz w:val="16"/>
              </w:rPr>
            </w:pPr>
            <w:r>
              <w:rPr>
                <w:sz w:val="16"/>
              </w:rPr>
              <w:t xml:space="preserve"> </w:t>
            </w:r>
          </w:p>
        </w:tc>
        <w:tc>
          <w:tcPr>
            <w:tcW w:w="428" w:type="dxa"/>
            <w:tcBorders>
              <w:right w:val="single" w:sz="6" w:space="0" w:color="000000"/>
            </w:tcBorders>
          </w:tcPr>
          <w:p w14:paraId="5FBD4F55" w14:textId="77777777" w:rsidR="00A71EEF" w:rsidRDefault="0081115D">
            <w:pPr>
              <w:pStyle w:val="TableParagraph"/>
              <w:spacing w:before="34" w:line="185" w:lineRule="exact"/>
              <w:ind w:right="124"/>
              <w:jc w:val="center"/>
              <w:rPr>
                <w:sz w:val="16"/>
              </w:rPr>
            </w:pPr>
            <w:r>
              <w:rPr>
                <w:sz w:val="16"/>
              </w:rPr>
              <w:t xml:space="preserve"> </w:t>
            </w:r>
          </w:p>
        </w:tc>
        <w:tc>
          <w:tcPr>
            <w:tcW w:w="428" w:type="dxa"/>
            <w:tcBorders>
              <w:left w:val="single" w:sz="6" w:space="0" w:color="000000"/>
            </w:tcBorders>
          </w:tcPr>
          <w:p w14:paraId="7C996969" w14:textId="77777777" w:rsidR="00A71EEF" w:rsidRDefault="0081115D">
            <w:pPr>
              <w:pStyle w:val="TableParagraph"/>
              <w:spacing w:before="34" w:line="185" w:lineRule="exact"/>
              <w:ind w:left="101"/>
              <w:rPr>
                <w:sz w:val="16"/>
              </w:rPr>
            </w:pPr>
            <w:r>
              <w:rPr>
                <w:sz w:val="16"/>
              </w:rPr>
              <w:t xml:space="preserve"> </w:t>
            </w:r>
          </w:p>
        </w:tc>
        <w:tc>
          <w:tcPr>
            <w:tcW w:w="377" w:type="dxa"/>
          </w:tcPr>
          <w:p w14:paraId="246DD2D0" w14:textId="77777777" w:rsidR="00A71EEF" w:rsidRDefault="0081115D">
            <w:pPr>
              <w:pStyle w:val="TableParagraph"/>
              <w:spacing w:before="34" w:line="185" w:lineRule="exact"/>
              <w:ind w:left="105"/>
              <w:rPr>
                <w:sz w:val="16"/>
              </w:rPr>
            </w:pPr>
            <w:r>
              <w:rPr>
                <w:sz w:val="16"/>
              </w:rPr>
              <w:t xml:space="preserve"> </w:t>
            </w:r>
          </w:p>
        </w:tc>
        <w:tc>
          <w:tcPr>
            <w:tcW w:w="403" w:type="dxa"/>
          </w:tcPr>
          <w:p w14:paraId="243D3E2C" w14:textId="77777777" w:rsidR="00A71EEF" w:rsidRDefault="0081115D">
            <w:pPr>
              <w:pStyle w:val="TableParagraph"/>
              <w:spacing w:before="34" w:line="185" w:lineRule="exact"/>
              <w:ind w:left="105"/>
              <w:rPr>
                <w:sz w:val="16"/>
              </w:rPr>
            </w:pPr>
            <w:r>
              <w:rPr>
                <w:sz w:val="16"/>
              </w:rPr>
              <w:t xml:space="preserve"> </w:t>
            </w:r>
          </w:p>
        </w:tc>
        <w:tc>
          <w:tcPr>
            <w:tcW w:w="276" w:type="dxa"/>
          </w:tcPr>
          <w:p w14:paraId="5C86D1D5" w14:textId="77777777" w:rsidR="00A71EEF" w:rsidRDefault="0081115D">
            <w:pPr>
              <w:pStyle w:val="TableParagraph"/>
              <w:spacing w:before="34" w:line="185" w:lineRule="exact"/>
              <w:ind w:left="71"/>
              <w:rPr>
                <w:sz w:val="16"/>
              </w:rPr>
            </w:pPr>
            <w:r>
              <w:rPr>
                <w:sz w:val="16"/>
              </w:rPr>
              <w:t xml:space="preserve"> </w:t>
            </w:r>
          </w:p>
        </w:tc>
        <w:tc>
          <w:tcPr>
            <w:tcW w:w="499" w:type="dxa"/>
          </w:tcPr>
          <w:p w14:paraId="3B2CCCE5" w14:textId="77777777" w:rsidR="00A71EEF" w:rsidRDefault="0081115D">
            <w:pPr>
              <w:pStyle w:val="TableParagraph"/>
              <w:spacing w:before="34" w:line="185" w:lineRule="exact"/>
              <w:ind w:left="105"/>
              <w:rPr>
                <w:sz w:val="16"/>
              </w:rPr>
            </w:pPr>
            <w:r>
              <w:rPr>
                <w:sz w:val="16"/>
              </w:rPr>
              <w:t xml:space="preserve"> </w:t>
            </w:r>
          </w:p>
        </w:tc>
        <w:tc>
          <w:tcPr>
            <w:tcW w:w="338" w:type="dxa"/>
          </w:tcPr>
          <w:p w14:paraId="40BD31FA" w14:textId="77777777" w:rsidR="00A71EEF" w:rsidRDefault="0081115D">
            <w:pPr>
              <w:pStyle w:val="TableParagraph"/>
              <w:spacing w:before="34" w:line="185" w:lineRule="exact"/>
              <w:ind w:left="105"/>
              <w:rPr>
                <w:sz w:val="16"/>
              </w:rPr>
            </w:pPr>
            <w:r>
              <w:rPr>
                <w:sz w:val="16"/>
              </w:rPr>
              <w:t xml:space="preserve"> </w:t>
            </w:r>
          </w:p>
        </w:tc>
        <w:tc>
          <w:tcPr>
            <w:tcW w:w="334" w:type="dxa"/>
          </w:tcPr>
          <w:p w14:paraId="353313EB" w14:textId="77777777" w:rsidR="00A71EEF" w:rsidRDefault="0081115D">
            <w:pPr>
              <w:pStyle w:val="TableParagraph"/>
              <w:spacing w:before="34" w:line="185" w:lineRule="exact"/>
              <w:ind w:right="34"/>
              <w:jc w:val="center"/>
              <w:rPr>
                <w:sz w:val="16"/>
              </w:rPr>
            </w:pPr>
            <w:r>
              <w:rPr>
                <w:sz w:val="16"/>
              </w:rPr>
              <w:t xml:space="preserve"> </w:t>
            </w:r>
          </w:p>
        </w:tc>
        <w:tc>
          <w:tcPr>
            <w:tcW w:w="425" w:type="dxa"/>
          </w:tcPr>
          <w:p w14:paraId="038FFEE2" w14:textId="77777777" w:rsidR="00A71EEF" w:rsidRDefault="0081115D">
            <w:pPr>
              <w:pStyle w:val="TableParagraph"/>
              <w:spacing w:before="34" w:line="185" w:lineRule="exact"/>
              <w:ind w:right="125"/>
              <w:jc w:val="center"/>
              <w:rPr>
                <w:sz w:val="16"/>
              </w:rPr>
            </w:pPr>
            <w:r>
              <w:rPr>
                <w:sz w:val="16"/>
              </w:rPr>
              <w:t xml:space="preserve"> </w:t>
            </w:r>
          </w:p>
        </w:tc>
        <w:tc>
          <w:tcPr>
            <w:tcW w:w="403" w:type="dxa"/>
          </w:tcPr>
          <w:p w14:paraId="4631D5C7" w14:textId="77777777" w:rsidR="00A71EEF" w:rsidRDefault="0081115D">
            <w:pPr>
              <w:pStyle w:val="TableParagraph"/>
              <w:spacing w:before="34" w:line="185" w:lineRule="exact"/>
              <w:ind w:left="105"/>
              <w:rPr>
                <w:sz w:val="16"/>
              </w:rPr>
            </w:pPr>
            <w:r>
              <w:rPr>
                <w:sz w:val="16"/>
              </w:rPr>
              <w:t xml:space="preserve"> </w:t>
            </w:r>
          </w:p>
        </w:tc>
        <w:tc>
          <w:tcPr>
            <w:tcW w:w="485" w:type="dxa"/>
          </w:tcPr>
          <w:p w14:paraId="00E31D8C" w14:textId="77777777" w:rsidR="00A71EEF" w:rsidRDefault="0081115D">
            <w:pPr>
              <w:pStyle w:val="TableParagraph"/>
              <w:spacing w:before="34" w:line="185" w:lineRule="exact"/>
              <w:ind w:left="106"/>
              <w:rPr>
                <w:sz w:val="16"/>
              </w:rPr>
            </w:pPr>
            <w:r>
              <w:rPr>
                <w:sz w:val="16"/>
              </w:rPr>
              <w:t xml:space="preserve"> </w:t>
            </w:r>
          </w:p>
        </w:tc>
        <w:tc>
          <w:tcPr>
            <w:tcW w:w="402" w:type="dxa"/>
            <w:gridSpan w:val="2"/>
          </w:tcPr>
          <w:p w14:paraId="23F126B4" w14:textId="77777777" w:rsidR="00A71EEF" w:rsidRDefault="0081115D">
            <w:pPr>
              <w:pStyle w:val="TableParagraph"/>
              <w:spacing w:before="34" w:line="185" w:lineRule="exact"/>
              <w:ind w:left="105"/>
              <w:rPr>
                <w:sz w:val="16"/>
              </w:rPr>
            </w:pPr>
            <w:r>
              <w:rPr>
                <w:sz w:val="16"/>
              </w:rPr>
              <w:t xml:space="preserve"> </w:t>
            </w:r>
          </w:p>
        </w:tc>
        <w:tc>
          <w:tcPr>
            <w:tcW w:w="536" w:type="dxa"/>
          </w:tcPr>
          <w:p w14:paraId="75668C9F" w14:textId="77777777" w:rsidR="00A71EEF" w:rsidRDefault="0081115D">
            <w:pPr>
              <w:pStyle w:val="TableParagraph"/>
              <w:spacing w:before="34" w:line="185" w:lineRule="exact"/>
              <w:ind w:left="104"/>
              <w:rPr>
                <w:sz w:val="16"/>
              </w:rPr>
            </w:pPr>
            <w:r>
              <w:rPr>
                <w:sz w:val="16"/>
              </w:rPr>
              <w:t xml:space="preserve"> </w:t>
            </w:r>
          </w:p>
        </w:tc>
        <w:tc>
          <w:tcPr>
            <w:tcW w:w="423" w:type="dxa"/>
            <w:gridSpan w:val="2"/>
          </w:tcPr>
          <w:p w14:paraId="7A2DB52B" w14:textId="77777777" w:rsidR="00A71EEF" w:rsidRDefault="0081115D">
            <w:pPr>
              <w:pStyle w:val="TableParagraph"/>
              <w:spacing w:before="34" w:line="185" w:lineRule="exact"/>
              <w:ind w:left="101"/>
              <w:rPr>
                <w:sz w:val="16"/>
              </w:rPr>
            </w:pPr>
            <w:r>
              <w:rPr>
                <w:sz w:val="16"/>
              </w:rPr>
              <w:t xml:space="preserve"> </w:t>
            </w:r>
          </w:p>
        </w:tc>
        <w:tc>
          <w:tcPr>
            <w:tcW w:w="409" w:type="dxa"/>
          </w:tcPr>
          <w:p w14:paraId="468C2F87" w14:textId="77777777" w:rsidR="00A71EEF" w:rsidRDefault="0081115D">
            <w:pPr>
              <w:pStyle w:val="TableParagraph"/>
              <w:spacing w:before="34" w:line="185" w:lineRule="exact"/>
              <w:ind w:left="99"/>
              <w:rPr>
                <w:sz w:val="16"/>
              </w:rPr>
            </w:pPr>
            <w:r>
              <w:rPr>
                <w:sz w:val="16"/>
              </w:rPr>
              <w:t xml:space="preserve"> </w:t>
            </w:r>
          </w:p>
        </w:tc>
        <w:tc>
          <w:tcPr>
            <w:tcW w:w="416" w:type="dxa"/>
          </w:tcPr>
          <w:p w14:paraId="0B082018" w14:textId="77777777" w:rsidR="00A71EEF" w:rsidRDefault="0081115D">
            <w:pPr>
              <w:pStyle w:val="TableParagraph"/>
              <w:spacing w:before="34" w:line="185" w:lineRule="exact"/>
              <w:ind w:left="100"/>
              <w:rPr>
                <w:sz w:val="16"/>
              </w:rPr>
            </w:pPr>
            <w:r>
              <w:rPr>
                <w:sz w:val="16"/>
              </w:rPr>
              <w:t xml:space="preserve"> </w:t>
            </w:r>
          </w:p>
        </w:tc>
        <w:tc>
          <w:tcPr>
            <w:tcW w:w="416" w:type="dxa"/>
          </w:tcPr>
          <w:p w14:paraId="51C3E839" w14:textId="77777777" w:rsidR="00A71EEF" w:rsidRDefault="0081115D">
            <w:pPr>
              <w:pStyle w:val="TableParagraph"/>
              <w:spacing w:before="34" w:line="185" w:lineRule="exact"/>
              <w:ind w:left="97"/>
              <w:rPr>
                <w:sz w:val="16"/>
              </w:rPr>
            </w:pPr>
            <w:r>
              <w:rPr>
                <w:sz w:val="16"/>
              </w:rPr>
              <w:t xml:space="preserve"> </w:t>
            </w:r>
          </w:p>
        </w:tc>
      </w:tr>
      <w:tr w:rsidR="00A71EEF" w14:paraId="48C7F172" w14:textId="77777777">
        <w:trPr>
          <w:trHeight w:val="239"/>
        </w:trPr>
        <w:tc>
          <w:tcPr>
            <w:tcW w:w="696" w:type="dxa"/>
          </w:tcPr>
          <w:p w14:paraId="0CC3FDEE" w14:textId="77777777" w:rsidR="00A71EEF" w:rsidRDefault="0081115D">
            <w:pPr>
              <w:pStyle w:val="TableParagraph"/>
              <w:spacing w:before="34" w:line="185" w:lineRule="exact"/>
              <w:ind w:left="206" w:right="119"/>
              <w:jc w:val="center"/>
              <w:rPr>
                <w:sz w:val="16"/>
              </w:rPr>
            </w:pPr>
            <w:r>
              <w:rPr>
                <w:sz w:val="16"/>
              </w:rPr>
              <w:t xml:space="preserve">5 </w:t>
            </w:r>
          </w:p>
        </w:tc>
        <w:tc>
          <w:tcPr>
            <w:tcW w:w="430" w:type="dxa"/>
          </w:tcPr>
          <w:p w14:paraId="55F14DD4" w14:textId="77777777" w:rsidR="00A71EEF" w:rsidRDefault="0081115D">
            <w:pPr>
              <w:pStyle w:val="TableParagraph"/>
              <w:spacing w:before="34" w:line="185" w:lineRule="exact"/>
              <w:ind w:left="107"/>
              <w:rPr>
                <w:sz w:val="16"/>
              </w:rPr>
            </w:pPr>
            <w:r>
              <w:rPr>
                <w:sz w:val="16"/>
              </w:rPr>
              <w:t xml:space="preserve"> </w:t>
            </w:r>
          </w:p>
        </w:tc>
        <w:tc>
          <w:tcPr>
            <w:tcW w:w="476" w:type="dxa"/>
          </w:tcPr>
          <w:p w14:paraId="2543AAF7" w14:textId="77777777" w:rsidR="00A71EEF" w:rsidRDefault="0081115D">
            <w:pPr>
              <w:pStyle w:val="TableParagraph"/>
              <w:spacing w:before="34" w:line="185" w:lineRule="exact"/>
              <w:ind w:right="168"/>
              <w:jc w:val="center"/>
              <w:rPr>
                <w:sz w:val="16"/>
              </w:rPr>
            </w:pPr>
            <w:r>
              <w:rPr>
                <w:sz w:val="16"/>
              </w:rPr>
              <w:t xml:space="preserve"> </w:t>
            </w:r>
          </w:p>
        </w:tc>
        <w:tc>
          <w:tcPr>
            <w:tcW w:w="428" w:type="dxa"/>
            <w:tcBorders>
              <w:right w:val="single" w:sz="6" w:space="0" w:color="000000"/>
            </w:tcBorders>
          </w:tcPr>
          <w:p w14:paraId="30027D41" w14:textId="77777777" w:rsidR="00A71EEF" w:rsidRDefault="0081115D">
            <w:pPr>
              <w:pStyle w:val="TableParagraph"/>
              <w:spacing w:before="34" w:line="185" w:lineRule="exact"/>
              <w:ind w:right="124"/>
              <w:jc w:val="center"/>
              <w:rPr>
                <w:sz w:val="16"/>
              </w:rPr>
            </w:pPr>
            <w:r>
              <w:rPr>
                <w:sz w:val="16"/>
              </w:rPr>
              <w:t xml:space="preserve"> </w:t>
            </w:r>
          </w:p>
        </w:tc>
        <w:tc>
          <w:tcPr>
            <w:tcW w:w="428" w:type="dxa"/>
            <w:tcBorders>
              <w:left w:val="single" w:sz="6" w:space="0" w:color="000000"/>
            </w:tcBorders>
          </w:tcPr>
          <w:p w14:paraId="6A8BF0F1" w14:textId="77777777" w:rsidR="00A71EEF" w:rsidRDefault="0081115D">
            <w:pPr>
              <w:pStyle w:val="TableParagraph"/>
              <w:spacing w:before="34" w:line="185" w:lineRule="exact"/>
              <w:ind w:left="101"/>
              <w:rPr>
                <w:sz w:val="16"/>
              </w:rPr>
            </w:pPr>
            <w:r>
              <w:rPr>
                <w:sz w:val="16"/>
              </w:rPr>
              <w:t xml:space="preserve"> </w:t>
            </w:r>
          </w:p>
        </w:tc>
        <w:tc>
          <w:tcPr>
            <w:tcW w:w="377" w:type="dxa"/>
          </w:tcPr>
          <w:p w14:paraId="15A72E96" w14:textId="77777777" w:rsidR="00A71EEF" w:rsidRDefault="0081115D">
            <w:pPr>
              <w:pStyle w:val="TableParagraph"/>
              <w:spacing w:before="34" w:line="185" w:lineRule="exact"/>
              <w:ind w:left="105"/>
              <w:rPr>
                <w:sz w:val="16"/>
              </w:rPr>
            </w:pPr>
            <w:r>
              <w:rPr>
                <w:sz w:val="16"/>
              </w:rPr>
              <w:t xml:space="preserve"> </w:t>
            </w:r>
          </w:p>
        </w:tc>
        <w:tc>
          <w:tcPr>
            <w:tcW w:w="403" w:type="dxa"/>
          </w:tcPr>
          <w:p w14:paraId="49B2EC96" w14:textId="77777777" w:rsidR="00A71EEF" w:rsidRDefault="0081115D">
            <w:pPr>
              <w:pStyle w:val="TableParagraph"/>
              <w:spacing w:before="34" w:line="185" w:lineRule="exact"/>
              <w:ind w:left="105"/>
              <w:rPr>
                <w:sz w:val="16"/>
              </w:rPr>
            </w:pPr>
            <w:r>
              <w:rPr>
                <w:sz w:val="16"/>
              </w:rPr>
              <w:t xml:space="preserve"> </w:t>
            </w:r>
          </w:p>
        </w:tc>
        <w:tc>
          <w:tcPr>
            <w:tcW w:w="276" w:type="dxa"/>
          </w:tcPr>
          <w:p w14:paraId="702B03E4" w14:textId="77777777" w:rsidR="00A71EEF" w:rsidRDefault="0081115D">
            <w:pPr>
              <w:pStyle w:val="TableParagraph"/>
              <w:spacing w:before="34" w:line="185" w:lineRule="exact"/>
              <w:ind w:left="71"/>
              <w:rPr>
                <w:sz w:val="16"/>
              </w:rPr>
            </w:pPr>
            <w:r>
              <w:rPr>
                <w:sz w:val="16"/>
              </w:rPr>
              <w:t xml:space="preserve"> </w:t>
            </w:r>
          </w:p>
        </w:tc>
        <w:tc>
          <w:tcPr>
            <w:tcW w:w="499" w:type="dxa"/>
          </w:tcPr>
          <w:p w14:paraId="3D413405" w14:textId="77777777" w:rsidR="00A71EEF" w:rsidRDefault="0081115D">
            <w:pPr>
              <w:pStyle w:val="TableParagraph"/>
              <w:spacing w:before="34" w:line="185" w:lineRule="exact"/>
              <w:ind w:left="105"/>
              <w:rPr>
                <w:sz w:val="16"/>
              </w:rPr>
            </w:pPr>
            <w:r>
              <w:rPr>
                <w:sz w:val="16"/>
              </w:rPr>
              <w:t xml:space="preserve"> </w:t>
            </w:r>
          </w:p>
        </w:tc>
        <w:tc>
          <w:tcPr>
            <w:tcW w:w="338" w:type="dxa"/>
          </w:tcPr>
          <w:p w14:paraId="097576C4" w14:textId="77777777" w:rsidR="00A71EEF" w:rsidRDefault="0081115D">
            <w:pPr>
              <w:pStyle w:val="TableParagraph"/>
              <w:spacing w:before="34" w:line="185" w:lineRule="exact"/>
              <w:ind w:left="105"/>
              <w:rPr>
                <w:sz w:val="16"/>
              </w:rPr>
            </w:pPr>
            <w:r>
              <w:rPr>
                <w:sz w:val="16"/>
              </w:rPr>
              <w:t xml:space="preserve"> </w:t>
            </w:r>
          </w:p>
        </w:tc>
        <w:tc>
          <w:tcPr>
            <w:tcW w:w="334" w:type="dxa"/>
          </w:tcPr>
          <w:p w14:paraId="7A59F399" w14:textId="77777777" w:rsidR="00A71EEF" w:rsidRDefault="0081115D">
            <w:pPr>
              <w:pStyle w:val="TableParagraph"/>
              <w:spacing w:before="34" w:line="185" w:lineRule="exact"/>
              <w:ind w:right="34"/>
              <w:jc w:val="center"/>
              <w:rPr>
                <w:sz w:val="16"/>
              </w:rPr>
            </w:pPr>
            <w:r>
              <w:rPr>
                <w:sz w:val="16"/>
              </w:rPr>
              <w:t xml:space="preserve"> </w:t>
            </w:r>
          </w:p>
        </w:tc>
        <w:tc>
          <w:tcPr>
            <w:tcW w:w="425" w:type="dxa"/>
          </w:tcPr>
          <w:p w14:paraId="67E32FD6" w14:textId="77777777" w:rsidR="00A71EEF" w:rsidRDefault="0081115D">
            <w:pPr>
              <w:pStyle w:val="TableParagraph"/>
              <w:spacing w:before="34" w:line="185" w:lineRule="exact"/>
              <w:ind w:right="125"/>
              <w:jc w:val="center"/>
              <w:rPr>
                <w:sz w:val="16"/>
              </w:rPr>
            </w:pPr>
            <w:r>
              <w:rPr>
                <w:sz w:val="16"/>
              </w:rPr>
              <w:t xml:space="preserve"> </w:t>
            </w:r>
          </w:p>
        </w:tc>
        <w:tc>
          <w:tcPr>
            <w:tcW w:w="403" w:type="dxa"/>
          </w:tcPr>
          <w:p w14:paraId="11AF1D4E" w14:textId="77777777" w:rsidR="00A71EEF" w:rsidRDefault="0081115D">
            <w:pPr>
              <w:pStyle w:val="TableParagraph"/>
              <w:spacing w:before="34" w:line="185" w:lineRule="exact"/>
              <w:ind w:left="105"/>
              <w:rPr>
                <w:sz w:val="16"/>
              </w:rPr>
            </w:pPr>
            <w:r>
              <w:rPr>
                <w:sz w:val="16"/>
              </w:rPr>
              <w:t xml:space="preserve"> </w:t>
            </w:r>
          </w:p>
        </w:tc>
        <w:tc>
          <w:tcPr>
            <w:tcW w:w="485" w:type="dxa"/>
          </w:tcPr>
          <w:p w14:paraId="0603F6C8" w14:textId="77777777" w:rsidR="00A71EEF" w:rsidRDefault="0081115D">
            <w:pPr>
              <w:pStyle w:val="TableParagraph"/>
              <w:spacing w:before="34" w:line="185" w:lineRule="exact"/>
              <w:ind w:left="106"/>
              <w:rPr>
                <w:sz w:val="16"/>
              </w:rPr>
            </w:pPr>
            <w:r>
              <w:rPr>
                <w:sz w:val="16"/>
              </w:rPr>
              <w:t xml:space="preserve"> </w:t>
            </w:r>
          </w:p>
        </w:tc>
        <w:tc>
          <w:tcPr>
            <w:tcW w:w="402" w:type="dxa"/>
            <w:gridSpan w:val="2"/>
          </w:tcPr>
          <w:p w14:paraId="611F0808" w14:textId="77777777" w:rsidR="00A71EEF" w:rsidRDefault="0081115D">
            <w:pPr>
              <w:pStyle w:val="TableParagraph"/>
              <w:spacing w:before="34" w:line="185" w:lineRule="exact"/>
              <w:ind w:left="105"/>
              <w:rPr>
                <w:sz w:val="16"/>
              </w:rPr>
            </w:pPr>
            <w:r>
              <w:rPr>
                <w:sz w:val="16"/>
              </w:rPr>
              <w:t xml:space="preserve"> </w:t>
            </w:r>
          </w:p>
        </w:tc>
        <w:tc>
          <w:tcPr>
            <w:tcW w:w="536" w:type="dxa"/>
          </w:tcPr>
          <w:p w14:paraId="7E840FA4" w14:textId="77777777" w:rsidR="00A71EEF" w:rsidRDefault="0081115D">
            <w:pPr>
              <w:pStyle w:val="TableParagraph"/>
              <w:spacing w:before="34" w:line="185" w:lineRule="exact"/>
              <w:ind w:left="104"/>
              <w:rPr>
                <w:sz w:val="16"/>
              </w:rPr>
            </w:pPr>
            <w:r>
              <w:rPr>
                <w:sz w:val="16"/>
              </w:rPr>
              <w:t xml:space="preserve"> </w:t>
            </w:r>
          </w:p>
        </w:tc>
        <w:tc>
          <w:tcPr>
            <w:tcW w:w="423" w:type="dxa"/>
            <w:gridSpan w:val="2"/>
          </w:tcPr>
          <w:p w14:paraId="2B5906A2" w14:textId="77777777" w:rsidR="00A71EEF" w:rsidRDefault="0081115D">
            <w:pPr>
              <w:pStyle w:val="TableParagraph"/>
              <w:spacing w:before="34" w:line="185" w:lineRule="exact"/>
              <w:ind w:left="101"/>
              <w:rPr>
                <w:sz w:val="16"/>
              </w:rPr>
            </w:pPr>
            <w:r>
              <w:rPr>
                <w:sz w:val="16"/>
              </w:rPr>
              <w:t xml:space="preserve"> </w:t>
            </w:r>
          </w:p>
        </w:tc>
        <w:tc>
          <w:tcPr>
            <w:tcW w:w="409" w:type="dxa"/>
          </w:tcPr>
          <w:p w14:paraId="116038AA" w14:textId="77777777" w:rsidR="00A71EEF" w:rsidRDefault="0081115D">
            <w:pPr>
              <w:pStyle w:val="TableParagraph"/>
              <w:spacing w:before="34" w:line="185" w:lineRule="exact"/>
              <w:ind w:left="99"/>
              <w:rPr>
                <w:sz w:val="16"/>
              </w:rPr>
            </w:pPr>
            <w:r>
              <w:rPr>
                <w:sz w:val="16"/>
              </w:rPr>
              <w:t xml:space="preserve"> </w:t>
            </w:r>
          </w:p>
        </w:tc>
        <w:tc>
          <w:tcPr>
            <w:tcW w:w="416" w:type="dxa"/>
          </w:tcPr>
          <w:p w14:paraId="336A93FF" w14:textId="77777777" w:rsidR="00A71EEF" w:rsidRDefault="0081115D">
            <w:pPr>
              <w:pStyle w:val="TableParagraph"/>
              <w:spacing w:before="34" w:line="185" w:lineRule="exact"/>
              <w:ind w:left="100"/>
              <w:rPr>
                <w:sz w:val="16"/>
              </w:rPr>
            </w:pPr>
            <w:r>
              <w:rPr>
                <w:sz w:val="16"/>
              </w:rPr>
              <w:t xml:space="preserve"> </w:t>
            </w:r>
          </w:p>
        </w:tc>
        <w:tc>
          <w:tcPr>
            <w:tcW w:w="416" w:type="dxa"/>
          </w:tcPr>
          <w:p w14:paraId="1ABC66FE" w14:textId="77777777" w:rsidR="00A71EEF" w:rsidRDefault="0081115D">
            <w:pPr>
              <w:pStyle w:val="TableParagraph"/>
              <w:spacing w:before="34" w:line="185" w:lineRule="exact"/>
              <w:ind w:left="97"/>
              <w:rPr>
                <w:sz w:val="16"/>
              </w:rPr>
            </w:pPr>
            <w:r>
              <w:rPr>
                <w:sz w:val="16"/>
              </w:rPr>
              <w:t xml:space="preserve"> </w:t>
            </w:r>
          </w:p>
        </w:tc>
      </w:tr>
      <w:tr w:rsidR="00A71EEF" w14:paraId="7AC31CDC" w14:textId="77777777">
        <w:trPr>
          <w:trHeight w:val="239"/>
        </w:trPr>
        <w:tc>
          <w:tcPr>
            <w:tcW w:w="696" w:type="dxa"/>
          </w:tcPr>
          <w:p w14:paraId="39866DB8" w14:textId="77777777" w:rsidR="00A71EEF" w:rsidRDefault="0081115D">
            <w:pPr>
              <w:pStyle w:val="TableParagraph"/>
              <w:spacing w:before="34" w:line="185" w:lineRule="exact"/>
              <w:ind w:left="206" w:right="119"/>
              <w:jc w:val="center"/>
              <w:rPr>
                <w:sz w:val="16"/>
              </w:rPr>
            </w:pPr>
            <w:r>
              <w:rPr>
                <w:sz w:val="16"/>
              </w:rPr>
              <w:t xml:space="preserve">6 </w:t>
            </w:r>
          </w:p>
        </w:tc>
        <w:tc>
          <w:tcPr>
            <w:tcW w:w="430" w:type="dxa"/>
          </w:tcPr>
          <w:p w14:paraId="752BF45F" w14:textId="77777777" w:rsidR="00A71EEF" w:rsidRDefault="0081115D">
            <w:pPr>
              <w:pStyle w:val="TableParagraph"/>
              <w:spacing w:before="34" w:line="185" w:lineRule="exact"/>
              <w:ind w:left="107"/>
              <w:rPr>
                <w:sz w:val="16"/>
              </w:rPr>
            </w:pPr>
            <w:r>
              <w:rPr>
                <w:sz w:val="16"/>
              </w:rPr>
              <w:t xml:space="preserve"> </w:t>
            </w:r>
          </w:p>
        </w:tc>
        <w:tc>
          <w:tcPr>
            <w:tcW w:w="476" w:type="dxa"/>
          </w:tcPr>
          <w:p w14:paraId="324ADA1F" w14:textId="77777777" w:rsidR="00A71EEF" w:rsidRDefault="0081115D">
            <w:pPr>
              <w:pStyle w:val="TableParagraph"/>
              <w:spacing w:before="34" w:line="185" w:lineRule="exact"/>
              <w:ind w:right="168"/>
              <w:jc w:val="center"/>
              <w:rPr>
                <w:sz w:val="16"/>
              </w:rPr>
            </w:pPr>
            <w:r>
              <w:rPr>
                <w:sz w:val="16"/>
              </w:rPr>
              <w:t xml:space="preserve"> </w:t>
            </w:r>
          </w:p>
        </w:tc>
        <w:tc>
          <w:tcPr>
            <w:tcW w:w="428" w:type="dxa"/>
            <w:tcBorders>
              <w:right w:val="single" w:sz="6" w:space="0" w:color="000000"/>
            </w:tcBorders>
          </w:tcPr>
          <w:p w14:paraId="7C9EA99B" w14:textId="77777777" w:rsidR="00A71EEF" w:rsidRDefault="0081115D">
            <w:pPr>
              <w:pStyle w:val="TableParagraph"/>
              <w:spacing w:before="34" w:line="185" w:lineRule="exact"/>
              <w:ind w:right="124"/>
              <w:jc w:val="center"/>
              <w:rPr>
                <w:sz w:val="16"/>
              </w:rPr>
            </w:pPr>
            <w:r>
              <w:rPr>
                <w:sz w:val="16"/>
              </w:rPr>
              <w:t xml:space="preserve"> </w:t>
            </w:r>
          </w:p>
        </w:tc>
        <w:tc>
          <w:tcPr>
            <w:tcW w:w="428" w:type="dxa"/>
            <w:tcBorders>
              <w:left w:val="single" w:sz="6" w:space="0" w:color="000000"/>
            </w:tcBorders>
          </w:tcPr>
          <w:p w14:paraId="6DDD910C" w14:textId="77777777" w:rsidR="00A71EEF" w:rsidRDefault="0081115D">
            <w:pPr>
              <w:pStyle w:val="TableParagraph"/>
              <w:spacing w:before="34" w:line="185" w:lineRule="exact"/>
              <w:ind w:left="101"/>
              <w:rPr>
                <w:sz w:val="16"/>
              </w:rPr>
            </w:pPr>
            <w:r>
              <w:rPr>
                <w:sz w:val="16"/>
              </w:rPr>
              <w:t xml:space="preserve"> </w:t>
            </w:r>
          </w:p>
        </w:tc>
        <w:tc>
          <w:tcPr>
            <w:tcW w:w="377" w:type="dxa"/>
          </w:tcPr>
          <w:p w14:paraId="68126F5F" w14:textId="77777777" w:rsidR="00A71EEF" w:rsidRDefault="0081115D">
            <w:pPr>
              <w:pStyle w:val="TableParagraph"/>
              <w:spacing w:before="34" w:line="185" w:lineRule="exact"/>
              <w:ind w:left="105"/>
              <w:rPr>
                <w:sz w:val="16"/>
              </w:rPr>
            </w:pPr>
            <w:r>
              <w:rPr>
                <w:sz w:val="16"/>
              </w:rPr>
              <w:t xml:space="preserve"> </w:t>
            </w:r>
          </w:p>
        </w:tc>
        <w:tc>
          <w:tcPr>
            <w:tcW w:w="403" w:type="dxa"/>
          </w:tcPr>
          <w:p w14:paraId="26476CA6" w14:textId="77777777" w:rsidR="00A71EEF" w:rsidRDefault="0081115D">
            <w:pPr>
              <w:pStyle w:val="TableParagraph"/>
              <w:spacing w:before="34" w:line="185" w:lineRule="exact"/>
              <w:ind w:left="105"/>
              <w:rPr>
                <w:sz w:val="16"/>
              </w:rPr>
            </w:pPr>
            <w:r>
              <w:rPr>
                <w:sz w:val="16"/>
              </w:rPr>
              <w:t xml:space="preserve"> </w:t>
            </w:r>
          </w:p>
        </w:tc>
        <w:tc>
          <w:tcPr>
            <w:tcW w:w="276" w:type="dxa"/>
          </w:tcPr>
          <w:p w14:paraId="1D1FEDAE" w14:textId="77777777" w:rsidR="00A71EEF" w:rsidRDefault="0081115D">
            <w:pPr>
              <w:pStyle w:val="TableParagraph"/>
              <w:spacing w:before="34" w:line="185" w:lineRule="exact"/>
              <w:ind w:left="71"/>
              <w:rPr>
                <w:sz w:val="16"/>
              </w:rPr>
            </w:pPr>
            <w:r>
              <w:rPr>
                <w:sz w:val="16"/>
              </w:rPr>
              <w:t xml:space="preserve"> </w:t>
            </w:r>
          </w:p>
        </w:tc>
        <w:tc>
          <w:tcPr>
            <w:tcW w:w="499" w:type="dxa"/>
          </w:tcPr>
          <w:p w14:paraId="6CEDE9BA" w14:textId="77777777" w:rsidR="00A71EEF" w:rsidRDefault="0081115D">
            <w:pPr>
              <w:pStyle w:val="TableParagraph"/>
              <w:spacing w:before="34" w:line="185" w:lineRule="exact"/>
              <w:ind w:left="105"/>
              <w:rPr>
                <w:sz w:val="16"/>
              </w:rPr>
            </w:pPr>
            <w:r>
              <w:rPr>
                <w:sz w:val="16"/>
              </w:rPr>
              <w:t xml:space="preserve"> </w:t>
            </w:r>
          </w:p>
        </w:tc>
        <w:tc>
          <w:tcPr>
            <w:tcW w:w="338" w:type="dxa"/>
          </w:tcPr>
          <w:p w14:paraId="7E2C6347" w14:textId="77777777" w:rsidR="00A71EEF" w:rsidRDefault="0081115D">
            <w:pPr>
              <w:pStyle w:val="TableParagraph"/>
              <w:spacing w:before="34" w:line="185" w:lineRule="exact"/>
              <w:ind w:left="105"/>
              <w:rPr>
                <w:sz w:val="16"/>
              </w:rPr>
            </w:pPr>
            <w:r>
              <w:rPr>
                <w:sz w:val="16"/>
              </w:rPr>
              <w:t xml:space="preserve"> </w:t>
            </w:r>
          </w:p>
        </w:tc>
        <w:tc>
          <w:tcPr>
            <w:tcW w:w="334" w:type="dxa"/>
          </w:tcPr>
          <w:p w14:paraId="07E98B6A" w14:textId="77777777" w:rsidR="00A71EEF" w:rsidRDefault="0081115D">
            <w:pPr>
              <w:pStyle w:val="TableParagraph"/>
              <w:spacing w:before="34" w:line="185" w:lineRule="exact"/>
              <w:ind w:right="34"/>
              <w:jc w:val="center"/>
              <w:rPr>
                <w:sz w:val="16"/>
              </w:rPr>
            </w:pPr>
            <w:r>
              <w:rPr>
                <w:sz w:val="16"/>
              </w:rPr>
              <w:t xml:space="preserve"> </w:t>
            </w:r>
          </w:p>
        </w:tc>
        <w:tc>
          <w:tcPr>
            <w:tcW w:w="425" w:type="dxa"/>
          </w:tcPr>
          <w:p w14:paraId="25961549" w14:textId="77777777" w:rsidR="00A71EEF" w:rsidRDefault="0081115D">
            <w:pPr>
              <w:pStyle w:val="TableParagraph"/>
              <w:spacing w:before="34" w:line="185" w:lineRule="exact"/>
              <w:ind w:right="125"/>
              <w:jc w:val="center"/>
              <w:rPr>
                <w:sz w:val="16"/>
              </w:rPr>
            </w:pPr>
            <w:r>
              <w:rPr>
                <w:sz w:val="16"/>
              </w:rPr>
              <w:t xml:space="preserve"> </w:t>
            </w:r>
          </w:p>
        </w:tc>
        <w:tc>
          <w:tcPr>
            <w:tcW w:w="403" w:type="dxa"/>
          </w:tcPr>
          <w:p w14:paraId="09BB58B4" w14:textId="77777777" w:rsidR="00A71EEF" w:rsidRDefault="0081115D">
            <w:pPr>
              <w:pStyle w:val="TableParagraph"/>
              <w:spacing w:before="34" w:line="185" w:lineRule="exact"/>
              <w:ind w:left="105"/>
              <w:rPr>
                <w:sz w:val="16"/>
              </w:rPr>
            </w:pPr>
            <w:r>
              <w:rPr>
                <w:sz w:val="16"/>
              </w:rPr>
              <w:t xml:space="preserve"> </w:t>
            </w:r>
          </w:p>
        </w:tc>
        <w:tc>
          <w:tcPr>
            <w:tcW w:w="485" w:type="dxa"/>
          </w:tcPr>
          <w:p w14:paraId="7346BA4B" w14:textId="77777777" w:rsidR="00A71EEF" w:rsidRDefault="0081115D">
            <w:pPr>
              <w:pStyle w:val="TableParagraph"/>
              <w:spacing w:before="34" w:line="185" w:lineRule="exact"/>
              <w:ind w:left="106"/>
              <w:rPr>
                <w:sz w:val="16"/>
              </w:rPr>
            </w:pPr>
            <w:r>
              <w:rPr>
                <w:sz w:val="16"/>
              </w:rPr>
              <w:t xml:space="preserve"> </w:t>
            </w:r>
          </w:p>
        </w:tc>
        <w:tc>
          <w:tcPr>
            <w:tcW w:w="402" w:type="dxa"/>
            <w:gridSpan w:val="2"/>
          </w:tcPr>
          <w:p w14:paraId="7B65C554" w14:textId="77777777" w:rsidR="00A71EEF" w:rsidRDefault="0081115D">
            <w:pPr>
              <w:pStyle w:val="TableParagraph"/>
              <w:spacing w:before="34" w:line="185" w:lineRule="exact"/>
              <w:ind w:left="105"/>
              <w:rPr>
                <w:sz w:val="16"/>
              </w:rPr>
            </w:pPr>
            <w:r>
              <w:rPr>
                <w:sz w:val="16"/>
              </w:rPr>
              <w:t xml:space="preserve"> </w:t>
            </w:r>
          </w:p>
        </w:tc>
        <w:tc>
          <w:tcPr>
            <w:tcW w:w="536" w:type="dxa"/>
          </w:tcPr>
          <w:p w14:paraId="0A5031E9" w14:textId="77777777" w:rsidR="00A71EEF" w:rsidRDefault="0081115D">
            <w:pPr>
              <w:pStyle w:val="TableParagraph"/>
              <w:spacing w:before="34" w:line="185" w:lineRule="exact"/>
              <w:ind w:left="104"/>
              <w:rPr>
                <w:sz w:val="16"/>
              </w:rPr>
            </w:pPr>
            <w:r>
              <w:rPr>
                <w:sz w:val="16"/>
              </w:rPr>
              <w:t xml:space="preserve"> </w:t>
            </w:r>
          </w:p>
        </w:tc>
        <w:tc>
          <w:tcPr>
            <w:tcW w:w="423" w:type="dxa"/>
            <w:gridSpan w:val="2"/>
          </w:tcPr>
          <w:p w14:paraId="41977E01" w14:textId="77777777" w:rsidR="00A71EEF" w:rsidRDefault="0081115D">
            <w:pPr>
              <w:pStyle w:val="TableParagraph"/>
              <w:spacing w:before="34" w:line="185" w:lineRule="exact"/>
              <w:ind w:left="101"/>
              <w:rPr>
                <w:sz w:val="16"/>
              </w:rPr>
            </w:pPr>
            <w:r>
              <w:rPr>
                <w:sz w:val="16"/>
              </w:rPr>
              <w:t xml:space="preserve"> </w:t>
            </w:r>
          </w:p>
        </w:tc>
        <w:tc>
          <w:tcPr>
            <w:tcW w:w="409" w:type="dxa"/>
          </w:tcPr>
          <w:p w14:paraId="6BC9B557" w14:textId="77777777" w:rsidR="00A71EEF" w:rsidRDefault="0081115D">
            <w:pPr>
              <w:pStyle w:val="TableParagraph"/>
              <w:spacing w:before="34" w:line="185" w:lineRule="exact"/>
              <w:ind w:left="99"/>
              <w:rPr>
                <w:sz w:val="16"/>
              </w:rPr>
            </w:pPr>
            <w:r>
              <w:rPr>
                <w:sz w:val="16"/>
              </w:rPr>
              <w:t xml:space="preserve"> </w:t>
            </w:r>
          </w:p>
        </w:tc>
        <w:tc>
          <w:tcPr>
            <w:tcW w:w="416" w:type="dxa"/>
          </w:tcPr>
          <w:p w14:paraId="343EC7A9" w14:textId="77777777" w:rsidR="00A71EEF" w:rsidRDefault="0081115D">
            <w:pPr>
              <w:pStyle w:val="TableParagraph"/>
              <w:spacing w:before="34" w:line="185" w:lineRule="exact"/>
              <w:ind w:left="100"/>
              <w:rPr>
                <w:sz w:val="16"/>
              </w:rPr>
            </w:pPr>
            <w:r>
              <w:rPr>
                <w:sz w:val="16"/>
              </w:rPr>
              <w:t xml:space="preserve"> </w:t>
            </w:r>
          </w:p>
        </w:tc>
        <w:tc>
          <w:tcPr>
            <w:tcW w:w="416" w:type="dxa"/>
          </w:tcPr>
          <w:p w14:paraId="677E7E60" w14:textId="77777777" w:rsidR="00A71EEF" w:rsidRDefault="0081115D">
            <w:pPr>
              <w:pStyle w:val="TableParagraph"/>
              <w:spacing w:before="34" w:line="185" w:lineRule="exact"/>
              <w:ind w:left="97"/>
              <w:rPr>
                <w:sz w:val="16"/>
              </w:rPr>
            </w:pPr>
            <w:r>
              <w:rPr>
                <w:sz w:val="16"/>
              </w:rPr>
              <w:t xml:space="preserve"> </w:t>
            </w:r>
          </w:p>
        </w:tc>
      </w:tr>
      <w:tr w:rsidR="00A71EEF" w14:paraId="21C5563A" w14:textId="77777777">
        <w:trPr>
          <w:trHeight w:val="242"/>
        </w:trPr>
        <w:tc>
          <w:tcPr>
            <w:tcW w:w="696" w:type="dxa"/>
          </w:tcPr>
          <w:p w14:paraId="2A372B05" w14:textId="77777777" w:rsidR="00A71EEF" w:rsidRDefault="0081115D">
            <w:pPr>
              <w:pStyle w:val="TableParagraph"/>
              <w:spacing w:before="36" w:line="185" w:lineRule="exact"/>
              <w:ind w:left="206" w:right="119"/>
              <w:jc w:val="center"/>
              <w:rPr>
                <w:sz w:val="16"/>
              </w:rPr>
            </w:pPr>
            <w:r>
              <w:rPr>
                <w:sz w:val="16"/>
              </w:rPr>
              <w:t xml:space="preserve">7 </w:t>
            </w:r>
          </w:p>
        </w:tc>
        <w:tc>
          <w:tcPr>
            <w:tcW w:w="430" w:type="dxa"/>
          </w:tcPr>
          <w:p w14:paraId="217A257A" w14:textId="77777777" w:rsidR="00A71EEF" w:rsidRDefault="0081115D">
            <w:pPr>
              <w:pStyle w:val="TableParagraph"/>
              <w:spacing w:before="36" w:line="185" w:lineRule="exact"/>
              <w:ind w:left="107"/>
              <w:rPr>
                <w:sz w:val="16"/>
              </w:rPr>
            </w:pPr>
            <w:r>
              <w:rPr>
                <w:sz w:val="16"/>
              </w:rPr>
              <w:t xml:space="preserve"> </w:t>
            </w:r>
          </w:p>
        </w:tc>
        <w:tc>
          <w:tcPr>
            <w:tcW w:w="476" w:type="dxa"/>
          </w:tcPr>
          <w:p w14:paraId="65FC77CF" w14:textId="77777777" w:rsidR="00A71EEF" w:rsidRDefault="0081115D">
            <w:pPr>
              <w:pStyle w:val="TableParagraph"/>
              <w:spacing w:before="36" w:line="185" w:lineRule="exact"/>
              <w:ind w:right="168"/>
              <w:jc w:val="center"/>
              <w:rPr>
                <w:sz w:val="16"/>
              </w:rPr>
            </w:pPr>
            <w:r>
              <w:rPr>
                <w:sz w:val="16"/>
              </w:rPr>
              <w:t xml:space="preserve"> </w:t>
            </w:r>
          </w:p>
        </w:tc>
        <w:tc>
          <w:tcPr>
            <w:tcW w:w="428" w:type="dxa"/>
            <w:tcBorders>
              <w:right w:val="single" w:sz="6" w:space="0" w:color="000000"/>
            </w:tcBorders>
          </w:tcPr>
          <w:p w14:paraId="218D2CC6" w14:textId="77777777" w:rsidR="00A71EEF" w:rsidRDefault="0081115D">
            <w:pPr>
              <w:pStyle w:val="TableParagraph"/>
              <w:spacing w:before="36" w:line="185" w:lineRule="exact"/>
              <w:ind w:right="124"/>
              <w:jc w:val="center"/>
              <w:rPr>
                <w:sz w:val="16"/>
              </w:rPr>
            </w:pPr>
            <w:r>
              <w:rPr>
                <w:sz w:val="16"/>
              </w:rPr>
              <w:t xml:space="preserve"> </w:t>
            </w:r>
          </w:p>
        </w:tc>
        <w:tc>
          <w:tcPr>
            <w:tcW w:w="428" w:type="dxa"/>
            <w:tcBorders>
              <w:left w:val="single" w:sz="6" w:space="0" w:color="000000"/>
            </w:tcBorders>
          </w:tcPr>
          <w:p w14:paraId="3FFB62F9" w14:textId="77777777" w:rsidR="00A71EEF" w:rsidRDefault="0081115D">
            <w:pPr>
              <w:pStyle w:val="TableParagraph"/>
              <w:spacing w:before="36" w:line="185" w:lineRule="exact"/>
              <w:ind w:left="101"/>
              <w:rPr>
                <w:sz w:val="16"/>
              </w:rPr>
            </w:pPr>
            <w:r>
              <w:rPr>
                <w:sz w:val="16"/>
              </w:rPr>
              <w:t xml:space="preserve"> </w:t>
            </w:r>
          </w:p>
        </w:tc>
        <w:tc>
          <w:tcPr>
            <w:tcW w:w="377" w:type="dxa"/>
          </w:tcPr>
          <w:p w14:paraId="2A10C965" w14:textId="77777777" w:rsidR="00A71EEF" w:rsidRDefault="0081115D">
            <w:pPr>
              <w:pStyle w:val="TableParagraph"/>
              <w:spacing w:before="36" w:line="185" w:lineRule="exact"/>
              <w:ind w:left="105"/>
              <w:rPr>
                <w:sz w:val="16"/>
              </w:rPr>
            </w:pPr>
            <w:r>
              <w:rPr>
                <w:sz w:val="16"/>
              </w:rPr>
              <w:t xml:space="preserve"> </w:t>
            </w:r>
          </w:p>
        </w:tc>
        <w:tc>
          <w:tcPr>
            <w:tcW w:w="403" w:type="dxa"/>
          </w:tcPr>
          <w:p w14:paraId="610AE07C" w14:textId="77777777" w:rsidR="00A71EEF" w:rsidRDefault="0081115D">
            <w:pPr>
              <w:pStyle w:val="TableParagraph"/>
              <w:spacing w:before="36" w:line="185" w:lineRule="exact"/>
              <w:ind w:left="105"/>
              <w:rPr>
                <w:sz w:val="16"/>
              </w:rPr>
            </w:pPr>
            <w:r>
              <w:rPr>
                <w:sz w:val="16"/>
              </w:rPr>
              <w:t xml:space="preserve"> </w:t>
            </w:r>
          </w:p>
        </w:tc>
        <w:tc>
          <w:tcPr>
            <w:tcW w:w="276" w:type="dxa"/>
          </w:tcPr>
          <w:p w14:paraId="7952E91C" w14:textId="77777777" w:rsidR="00A71EEF" w:rsidRDefault="0081115D">
            <w:pPr>
              <w:pStyle w:val="TableParagraph"/>
              <w:spacing w:before="36" w:line="185" w:lineRule="exact"/>
              <w:ind w:left="71"/>
              <w:rPr>
                <w:sz w:val="16"/>
              </w:rPr>
            </w:pPr>
            <w:r>
              <w:rPr>
                <w:sz w:val="16"/>
              </w:rPr>
              <w:t xml:space="preserve"> </w:t>
            </w:r>
          </w:p>
        </w:tc>
        <w:tc>
          <w:tcPr>
            <w:tcW w:w="499" w:type="dxa"/>
          </w:tcPr>
          <w:p w14:paraId="7CC5BEDF" w14:textId="77777777" w:rsidR="00A71EEF" w:rsidRDefault="0081115D">
            <w:pPr>
              <w:pStyle w:val="TableParagraph"/>
              <w:spacing w:before="36" w:line="185" w:lineRule="exact"/>
              <w:ind w:left="105"/>
              <w:rPr>
                <w:sz w:val="16"/>
              </w:rPr>
            </w:pPr>
            <w:r>
              <w:rPr>
                <w:sz w:val="16"/>
              </w:rPr>
              <w:t xml:space="preserve"> </w:t>
            </w:r>
          </w:p>
        </w:tc>
        <w:tc>
          <w:tcPr>
            <w:tcW w:w="338" w:type="dxa"/>
          </w:tcPr>
          <w:p w14:paraId="493859D6" w14:textId="77777777" w:rsidR="00A71EEF" w:rsidRDefault="0081115D">
            <w:pPr>
              <w:pStyle w:val="TableParagraph"/>
              <w:spacing w:before="36" w:line="185" w:lineRule="exact"/>
              <w:ind w:left="105"/>
              <w:rPr>
                <w:sz w:val="16"/>
              </w:rPr>
            </w:pPr>
            <w:r>
              <w:rPr>
                <w:sz w:val="16"/>
              </w:rPr>
              <w:t xml:space="preserve"> </w:t>
            </w:r>
          </w:p>
        </w:tc>
        <w:tc>
          <w:tcPr>
            <w:tcW w:w="334" w:type="dxa"/>
          </w:tcPr>
          <w:p w14:paraId="11DB4514" w14:textId="77777777" w:rsidR="00A71EEF" w:rsidRDefault="0081115D">
            <w:pPr>
              <w:pStyle w:val="TableParagraph"/>
              <w:spacing w:before="36" w:line="185" w:lineRule="exact"/>
              <w:ind w:right="34"/>
              <w:jc w:val="center"/>
              <w:rPr>
                <w:sz w:val="16"/>
              </w:rPr>
            </w:pPr>
            <w:r>
              <w:rPr>
                <w:sz w:val="16"/>
              </w:rPr>
              <w:t xml:space="preserve"> </w:t>
            </w:r>
          </w:p>
        </w:tc>
        <w:tc>
          <w:tcPr>
            <w:tcW w:w="425" w:type="dxa"/>
          </w:tcPr>
          <w:p w14:paraId="23F5DE0B" w14:textId="77777777" w:rsidR="00A71EEF" w:rsidRDefault="0081115D">
            <w:pPr>
              <w:pStyle w:val="TableParagraph"/>
              <w:spacing w:before="36" w:line="185" w:lineRule="exact"/>
              <w:ind w:right="125"/>
              <w:jc w:val="center"/>
              <w:rPr>
                <w:sz w:val="16"/>
              </w:rPr>
            </w:pPr>
            <w:r>
              <w:rPr>
                <w:sz w:val="16"/>
              </w:rPr>
              <w:t xml:space="preserve"> </w:t>
            </w:r>
          </w:p>
        </w:tc>
        <w:tc>
          <w:tcPr>
            <w:tcW w:w="403" w:type="dxa"/>
          </w:tcPr>
          <w:p w14:paraId="2A54144E" w14:textId="77777777" w:rsidR="00A71EEF" w:rsidRDefault="0081115D">
            <w:pPr>
              <w:pStyle w:val="TableParagraph"/>
              <w:spacing w:before="36" w:line="185" w:lineRule="exact"/>
              <w:ind w:left="105"/>
              <w:rPr>
                <w:sz w:val="16"/>
              </w:rPr>
            </w:pPr>
            <w:r>
              <w:rPr>
                <w:sz w:val="16"/>
              </w:rPr>
              <w:t xml:space="preserve"> </w:t>
            </w:r>
          </w:p>
        </w:tc>
        <w:tc>
          <w:tcPr>
            <w:tcW w:w="485" w:type="dxa"/>
          </w:tcPr>
          <w:p w14:paraId="769BB2AC" w14:textId="77777777" w:rsidR="00A71EEF" w:rsidRDefault="0081115D">
            <w:pPr>
              <w:pStyle w:val="TableParagraph"/>
              <w:spacing w:before="36" w:line="185" w:lineRule="exact"/>
              <w:ind w:left="106"/>
              <w:rPr>
                <w:sz w:val="16"/>
              </w:rPr>
            </w:pPr>
            <w:r>
              <w:rPr>
                <w:sz w:val="16"/>
              </w:rPr>
              <w:t xml:space="preserve"> </w:t>
            </w:r>
          </w:p>
        </w:tc>
        <w:tc>
          <w:tcPr>
            <w:tcW w:w="402" w:type="dxa"/>
            <w:gridSpan w:val="2"/>
          </w:tcPr>
          <w:p w14:paraId="4E22757B" w14:textId="77777777" w:rsidR="00A71EEF" w:rsidRDefault="0081115D">
            <w:pPr>
              <w:pStyle w:val="TableParagraph"/>
              <w:spacing w:before="36" w:line="185" w:lineRule="exact"/>
              <w:ind w:left="105"/>
              <w:rPr>
                <w:sz w:val="16"/>
              </w:rPr>
            </w:pPr>
            <w:r>
              <w:rPr>
                <w:sz w:val="16"/>
              </w:rPr>
              <w:t xml:space="preserve"> </w:t>
            </w:r>
          </w:p>
        </w:tc>
        <w:tc>
          <w:tcPr>
            <w:tcW w:w="536" w:type="dxa"/>
          </w:tcPr>
          <w:p w14:paraId="1B01D969" w14:textId="77777777" w:rsidR="00A71EEF" w:rsidRDefault="0081115D">
            <w:pPr>
              <w:pStyle w:val="TableParagraph"/>
              <w:spacing w:before="36" w:line="185" w:lineRule="exact"/>
              <w:ind w:left="104"/>
              <w:rPr>
                <w:sz w:val="16"/>
              </w:rPr>
            </w:pPr>
            <w:r>
              <w:rPr>
                <w:sz w:val="16"/>
              </w:rPr>
              <w:t xml:space="preserve"> </w:t>
            </w:r>
          </w:p>
        </w:tc>
        <w:tc>
          <w:tcPr>
            <w:tcW w:w="423" w:type="dxa"/>
            <w:gridSpan w:val="2"/>
          </w:tcPr>
          <w:p w14:paraId="30FE4FF0" w14:textId="77777777" w:rsidR="00A71EEF" w:rsidRDefault="0081115D">
            <w:pPr>
              <w:pStyle w:val="TableParagraph"/>
              <w:spacing w:before="36" w:line="185" w:lineRule="exact"/>
              <w:ind w:left="101"/>
              <w:rPr>
                <w:sz w:val="16"/>
              </w:rPr>
            </w:pPr>
            <w:r>
              <w:rPr>
                <w:sz w:val="16"/>
              </w:rPr>
              <w:t xml:space="preserve"> </w:t>
            </w:r>
          </w:p>
        </w:tc>
        <w:tc>
          <w:tcPr>
            <w:tcW w:w="409" w:type="dxa"/>
          </w:tcPr>
          <w:p w14:paraId="274D65E8" w14:textId="77777777" w:rsidR="00A71EEF" w:rsidRDefault="0081115D">
            <w:pPr>
              <w:pStyle w:val="TableParagraph"/>
              <w:spacing w:before="36" w:line="185" w:lineRule="exact"/>
              <w:ind w:left="99"/>
              <w:rPr>
                <w:sz w:val="16"/>
              </w:rPr>
            </w:pPr>
            <w:r>
              <w:rPr>
                <w:sz w:val="16"/>
              </w:rPr>
              <w:t xml:space="preserve"> </w:t>
            </w:r>
          </w:p>
        </w:tc>
        <w:tc>
          <w:tcPr>
            <w:tcW w:w="416" w:type="dxa"/>
          </w:tcPr>
          <w:p w14:paraId="5F4B4634" w14:textId="77777777" w:rsidR="00A71EEF" w:rsidRDefault="0081115D">
            <w:pPr>
              <w:pStyle w:val="TableParagraph"/>
              <w:spacing w:before="36" w:line="185" w:lineRule="exact"/>
              <w:ind w:left="100"/>
              <w:rPr>
                <w:sz w:val="16"/>
              </w:rPr>
            </w:pPr>
            <w:r>
              <w:rPr>
                <w:sz w:val="16"/>
              </w:rPr>
              <w:t xml:space="preserve"> </w:t>
            </w:r>
          </w:p>
        </w:tc>
        <w:tc>
          <w:tcPr>
            <w:tcW w:w="416" w:type="dxa"/>
          </w:tcPr>
          <w:p w14:paraId="65D11952" w14:textId="77777777" w:rsidR="00A71EEF" w:rsidRDefault="0081115D">
            <w:pPr>
              <w:pStyle w:val="TableParagraph"/>
              <w:spacing w:before="36" w:line="185" w:lineRule="exact"/>
              <w:ind w:left="97"/>
              <w:rPr>
                <w:sz w:val="16"/>
              </w:rPr>
            </w:pPr>
            <w:r>
              <w:rPr>
                <w:sz w:val="16"/>
              </w:rPr>
              <w:t xml:space="preserve"> </w:t>
            </w:r>
          </w:p>
        </w:tc>
      </w:tr>
      <w:tr w:rsidR="00A71EEF" w14:paraId="3B217DBB" w14:textId="77777777">
        <w:trPr>
          <w:trHeight w:val="239"/>
        </w:trPr>
        <w:tc>
          <w:tcPr>
            <w:tcW w:w="696" w:type="dxa"/>
          </w:tcPr>
          <w:p w14:paraId="2A89B714" w14:textId="77777777" w:rsidR="00A71EEF" w:rsidRDefault="0081115D">
            <w:pPr>
              <w:pStyle w:val="TableParagraph"/>
              <w:spacing w:before="34" w:line="185" w:lineRule="exact"/>
              <w:ind w:left="206" w:right="119"/>
              <w:jc w:val="center"/>
              <w:rPr>
                <w:sz w:val="16"/>
              </w:rPr>
            </w:pPr>
            <w:r>
              <w:rPr>
                <w:sz w:val="16"/>
              </w:rPr>
              <w:t xml:space="preserve">8 </w:t>
            </w:r>
          </w:p>
        </w:tc>
        <w:tc>
          <w:tcPr>
            <w:tcW w:w="430" w:type="dxa"/>
          </w:tcPr>
          <w:p w14:paraId="0041431A" w14:textId="77777777" w:rsidR="00A71EEF" w:rsidRDefault="0081115D">
            <w:pPr>
              <w:pStyle w:val="TableParagraph"/>
              <w:spacing w:before="34" w:line="185" w:lineRule="exact"/>
              <w:ind w:left="107"/>
              <w:rPr>
                <w:sz w:val="16"/>
              </w:rPr>
            </w:pPr>
            <w:r>
              <w:rPr>
                <w:sz w:val="16"/>
              </w:rPr>
              <w:t xml:space="preserve"> </w:t>
            </w:r>
          </w:p>
        </w:tc>
        <w:tc>
          <w:tcPr>
            <w:tcW w:w="476" w:type="dxa"/>
          </w:tcPr>
          <w:p w14:paraId="62B7DED6" w14:textId="77777777" w:rsidR="00A71EEF" w:rsidRDefault="0081115D">
            <w:pPr>
              <w:pStyle w:val="TableParagraph"/>
              <w:spacing w:before="34" w:line="185" w:lineRule="exact"/>
              <w:ind w:right="168"/>
              <w:jc w:val="center"/>
              <w:rPr>
                <w:sz w:val="16"/>
              </w:rPr>
            </w:pPr>
            <w:r>
              <w:rPr>
                <w:sz w:val="16"/>
              </w:rPr>
              <w:t xml:space="preserve"> </w:t>
            </w:r>
          </w:p>
        </w:tc>
        <w:tc>
          <w:tcPr>
            <w:tcW w:w="428" w:type="dxa"/>
            <w:tcBorders>
              <w:right w:val="single" w:sz="6" w:space="0" w:color="000000"/>
            </w:tcBorders>
          </w:tcPr>
          <w:p w14:paraId="42EC9FE5" w14:textId="77777777" w:rsidR="00A71EEF" w:rsidRDefault="0081115D">
            <w:pPr>
              <w:pStyle w:val="TableParagraph"/>
              <w:spacing w:before="34" w:line="185" w:lineRule="exact"/>
              <w:ind w:right="124"/>
              <w:jc w:val="center"/>
              <w:rPr>
                <w:sz w:val="16"/>
              </w:rPr>
            </w:pPr>
            <w:r>
              <w:rPr>
                <w:sz w:val="16"/>
              </w:rPr>
              <w:t xml:space="preserve"> </w:t>
            </w:r>
          </w:p>
        </w:tc>
        <w:tc>
          <w:tcPr>
            <w:tcW w:w="428" w:type="dxa"/>
            <w:tcBorders>
              <w:left w:val="single" w:sz="6" w:space="0" w:color="000000"/>
            </w:tcBorders>
          </w:tcPr>
          <w:p w14:paraId="0ABEE87D" w14:textId="77777777" w:rsidR="00A71EEF" w:rsidRDefault="0081115D">
            <w:pPr>
              <w:pStyle w:val="TableParagraph"/>
              <w:spacing w:before="34" w:line="185" w:lineRule="exact"/>
              <w:ind w:left="101"/>
              <w:rPr>
                <w:sz w:val="16"/>
              </w:rPr>
            </w:pPr>
            <w:r>
              <w:rPr>
                <w:sz w:val="16"/>
              </w:rPr>
              <w:t xml:space="preserve"> </w:t>
            </w:r>
          </w:p>
        </w:tc>
        <w:tc>
          <w:tcPr>
            <w:tcW w:w="377" w:type="dxa"/>
          </w:tcPr>
          <w:p w14:paraId="58E9C426" w14:textId="77777777" w:rsidR="00A71EEF" w:rsidRDefault="0081115D">
            <w:pPr>
              <w:pStyle w:val="TableParagraph"/>
              <w:spacing w:before="34" w:line="185" w:lineRule="exact"/>
              <w:ind w:left="105"/>
              <w:rPr>
                <w:sz w:val="16"/>
              </w:rPr>
            </w:pPr>
            <w:r>
              <w:rPr>
                <w:sz w:val="16"/>
              </w:rPr>
              <w:t xml:space="preserve"> </w:t>
            </w:r>
          </w:p>
        </w:tc>
        <w:tc>
          <w:tcPr>
            <w:tcW w:w="403" w:type="dxa"/>
          </w:tcPr>
          <w:p w14:paraId="1B16BD40" w14:textId="77777777" w:rsidR="00A71EEF" w:rsidRDefault="0081115D">
            <w:pPr>
              <w:pStyle w:val="TableParagraph"/>
              <w:spacing w:before="34" w:line="185" w:lineRule="exact"/>
              <w:ind w:left="105"/>
              <w:rPr>
                <w:sz w:val="16"/>
              </w:rPr>
            </w:pPr>
            <w:r>
              <w:rPr>
                <w:sz w:val="16"/>
              </w:rPr>
              <w:t xml:space="preserve"> </w:t>
            </w:r>
          </w:p>
        </w:tc>
        <w:tc>
          <w:tcPr>
            <w:tcW w:w="276" w:type="dxa"/>
          </w:tcPr>
          <w:p w14:paraId="5266F2C0" w14:textId="77777777" w:rsidR="00A71EEF" w:rsidRDefault="0081115D">
            <w:pPr>
              <w:pStyle w:val="TableParagraph"/>
              <w:spacing w:before="34" w:line="185" w:lineRule="exact"/>
              <w:ind w:left="71"/>
              <w:rPr>
                <w:sz w:val="16"/>
              </w:rPr>
            </w:pPr>
            <w:r>
              <w:rPr>
                <w:sz w:val="16"/>
              </w:rPr>
              <w:t xml:space="preserve"> </w:t>
            </w:r>
          </w:p>
        </w:tc>
        <w:tc>
          <w:tcPr>
            <w:tcW w:w="499" w:type="dxa"/>
          </w:tcPr>
          <w:p w14:paraId="527B99EC" w14:textId="77777777" w:rsidR="00A71EEF" w:rsidRDefault="0081115D">
            <w:pPr>
              <w:pStyle w:val="TableParagraph"/>
              <w:spacing w:before="34" w:line="185" w:lineRule="exact"/>
              <w:ind w:left="105"/>
              <w:rPr>
                <w:sz w:val="16"/>
              </w:rPr>
            </w:pPr>
            <w:r>
              <w:rPr>
                <w:sz w:val="16"/>
              </w:rPr>
              <w:t xml:space="preserve"> </w:t>
            </w:r>
          </w:p>
        </w:tc>
        <w:tc>
          <w:tcPr>
            <w:tcW w:w="338" w:type="dxa"/>
          </w:tcPr>
          <w:p w14:paraId="6ACCDB55" w14:textId="77777777" w:rsidR="00A71EEF" w:rsidRDefault="0081115D">
            <w:pPr>
              <w:pStyle w:val="TableParagraph"/>
              <w:spacing w:before="34" w:line="185" w:lineRule="exact"/>
              <w:ind w:left="105"/>
              <w:rPr>
                <w:sz w:val="16"/>
              </w:rPr>
            </w:pPr>
            <w:r>
              <w:rPr>
                <w:sz w:val="16"/>
              </w:rPr>
              <w:t xml:space="preserve"> </w:t>
            </w:r>
          </w:p>
        </w:tc>
        <w:tc>
          <w:tcPr>
            <w:tcW w:w="334" w:type="dxa"/>
          </w:tcPr>
          <w:p w14:paraId="50073B99" w14:textId="77777777" w:rsidR="00A71EEF" w:rsidRDefault="0081115D">
            <w:pPr>
              <w:pStyle w:val="TableParagraph"/>
              <w:spacing w:before="34" w:line="185" w:lineRule="exact"/>
              <w:ind w:right="34"/>
              <w:jc w:val="center"/>
              <w:rPr>
                <w:sz w:val="16"/>
              </w:rPr>
            </w:pPr>
            <w:r>
              <w:rPr>
                <w:sz w:val="16"/>
              </w:rPr>
              <w:t xml:space="preserve"> </w:t>
            </w:r>
          </w:p>
        </w:tc>
        <w:tc>
          <w:tcPr>
            <w:tcW w:w="425" w:type="dxa"/>
          </w:tcPr>
          <w:p w14:paraId="40862FD4" w14:textId="77777777" w:rsidR="00A71EEF" w:rsidRDefault="0081115D">
            <w:pPr>
              <w:pStyle w:val="TableParagraph"/>
              <w:spacing w:before="34" w:line="185" w:lineRule="exact"/>
              <w:ind w:right="125"/>
              <w:jc w:val="center"/>
              <w:rPr>
                <w:sz w:val="16"/>
              </w:rPr>
            </w:pPr>
            <w:r>
              <w:rPr>
                <w:sz w:val="16"/>
              </w:rPr>
              <w:t xml:space="preserve"> </w:t>
            </w:r>
          </w:p>
        </w:tc>
        <w:tc>
          <w:tcPr>
            <w:tcW w:w="403" w:type="dxa"/>
          </w:tcPr>
          <w:p w14:paraId="76E5AA49" w14:textId="77777777" w:rsidR="00A71EEF" w:rsidRDefault="0081115D">
            <w:pPr>
              <w:pStyle w:val="TableParagraph"/>
              <w:spacing w:before="34" w:line="185" w:lineRule="exact"/>
              <w:ind w:left="105"/>
              <w:rPr>
                <w:sz w:val="16"/>
              </w:rPr>
            </w:pPr>
            <w:r>
              <w:rPr>
                <w:sz w:val="16"/>
              </w:rPr>
              <w:t xml:space="preserve"> </w:t>
            </w:r>
          </w:p>
        </w:tc>
        <w:tc>
          <w:tcPr>
            <w:tcW w:w="485" w:type="dxa"/>
          </w:tcPr>
          <w:p w14:paraId="63C29D4A" w14:textId="77777777" w:rsidR="00A71EEF" w:rsidRDefault="0081115D">
            <w:pPr>
              <w:pStyle w:val="TableParagraph"/>
              <w:spacing w:before="34" w:line="185" w:lineRule="exact"/>
              <w:ind w:left="106"/>
              <w:rPr>
                <w:sz w:val="16"/>
              </w:rPr>
            </w:pPr>
            <w:r>
              <w:rPr>
                <w:sz w:val="16"/>
              </w:rPr>
              <w:t xml:space="preserve"> </w:t>
            </w:r>
          </w:p>
        </w:tc>
        <w:tc>
          <w:tcPr>
            <w:tcW w:w="402" w:type="dxa"/>
            <w:gridSpan w:val="2"/>
          </w:tcPr>
          <w:p w14:paraId="3C1919F1" w14:textId="77777777" w:rsidR="00A71EEF" w:rsidRDefault="0081115D">
            <w:pPr>
              <w:pStyle w:val="TableParagraph"/>
              <w:spacing w:before="34" w:line="185" w:lineRule="exact"/>
              <w:ind w:left="105"/>
              <w:rPr>
                <w:sz w:val="16"/>
              </w:rPr>
            </w:pPr>
            <w:r>
              <w:rPr>
                <w:sz w:val="16"/>
              </w:rPr>
              <w:t xml:space="preserve"> </w:t>
            </w:r>
          </w:p>
        </w:tc>
        <w:tc>
          <w:tcPr>
            <w:tcW w:w="536" w:type="dxa"/>
          </w:tcPr>
          <w:p w14:paraId="2A050845" w14:textId="77777777" w:rsidR="00A71EEF" w:rsidRDefault="0081115D">
            <w:pPr>
              <w:pStyle w:val="TableParagraph"/>
              <w:spacing w:before="34" w:line="185" w:lineRule="exact"/>
              <w:ind w:left="104"/>
              <w:rPr>
                <w:sz w:val="16"/>
              </w:rPr>
            </w:pPr>
            <w:r>
              <w:rPr>
                <w:sz w:val="16"/>
              </w:rPr>
              <w:t xml:space="preserve"> </w:t>
            </w:r>
          </w:p>
        </w:tc>
        <w:tc>
          <w:tcPr>
            <w:tcW w:w="423" w:type="dxa"/>
            <w:gridSpan w:val="2"/>
          </w:tcPr>
          <w:p w14:paraId="1E1B111E" w14:textId="77777777" w:rsidR="00A71EEF" w:rsidRDefault="0081115D">
            <w:pPr>
              <w:pStyle w:val="TableParagraph"/>
              <w:spacing w:before="34" w:line="185" w:lineRule="exact"/>
              <w:ind w:left="101"/>
              <w:rPr>
                <w:sz w:val="16"/>
              </w:rPr>
            </w:pPr>
            <w:r>
              <w:rPr>
                <w:sz w:val="16"/>
              </w:rPr>
              <w:t xml:space="preserve"> </w:t>
            </w:r>
          </w:p>
        </w:tc>
        <w:tc>
          <w:tcPr>
            <w:tcW w:w="409" w:type="dxa"/>
          </w:tcPr>
          <w:p w14:paraId="0F6C5B68" w14:textId="77777777" w:rsidR="00A71EEF" w:rsidRDefault="0081115D">
            <w:pPr>
              <w:pStyle w:val="TableParagraph"/>
              <w:spacing w:before="34" w:line="185" w:lineRule="exact"/>
              <w:ind w:left="99"/>
              <w:rPr>
                <w:sz w:val="16"/>
              </w:rPr>
            </w:pPr>
            <w:r>
              <w:rPr>
                <w:sz w:val="16"/>
              </w:rPr>
              <w:t xml:space="preserve"> </w:t>
            </w:r>
          </w:p>
        </w:tc>
        <w:tc>
          <w:tcPr>
            <w:tcW w:w="416" w:type="dxa"/>
          </w:tcPr>
          <w:p w14:paraId="4AFB5E67" w14:textId="77777777" w:rsidR="00A71EEF" w:rsidRDefault="0081115D">
            <w:pPr>
              <w:pStyle w:val="TableParagraph"/>
              <w:spacing w:before="34" w:line="185" w:lineRule="exact"/>
              <w:ind w:left="100"/>
              <w:rPr>
                <w:sz w:val="16"/>
              </w:rPr>
            </w:pPr>
            <w:r>
              <w:rPr>
                <w:sz w:val="16"/>
              </w:rPr>
              <w:t xml:space="preserve"> </w:t>
            </w:r>
          </w:p>
        </w:tc>
        <w:tc>
          <w:tcPr>
            <w:tcW w:w="416" w:type="dxa"/>
          </w:tcPr>
          <w:p w14:paraId="2861630C" w14:textId="77777777" w:rsidR="00A71EEF" w:rsidRDefault="0081115D">
            <w:pPr>
              <w:pStyle w:val="TableParagraph"/>
              <w:spacing w:before="34" w:line="185" w:lineRule="exact"/>
              <w:ind w:left="97"/>
              <w:rPr>
                <w:sz w:val="16"/>
              </w:rPr>
            </w:pPr>
            <w:r>
              <w:rPr>
                <w:sz w:val="16"/>
              </w:rPr>
              <w:t xml:space="preserve"> </w:t>
            </w:r>
          </w:p>
        </w:tc>
      </w:tr>
      <w:tr w:rsidR="00A71EEF" w14:paraId="12D843F0" w14:textId="77777777">
        <w:trPr>
          <w:trHeight w:val="239"/>
        </w:trPr>
        <w:tc>
          <w:tcPr>
            <w:tcW w:w="696" w:type="dxa"/>
          </w:tcPr>
          <w:p w14:paraId="0EE13585" w14:textId="77777777" w:rsidR="00A71EEF" w:rsidRDefault="0081115D">
            <w:pPr>
              <w:pStyle w:val="TableParagraph"/>
              <w:spacing w:before="34" w:line="185" w:lineRule="exact"/>
              <w:ind w:left="206" w:right="119"/>
              <w:jc w:val="center"/>
              <w:rPr>
                <w:sz w:val="16"/>
              </w:rPr>
            </w:pPr>
            <w:r>
              <w:rPr>
                <w:sz w:val="16"/>
              </w:rPr>
              <w:t xml:space="preserve">9 </w:t>
            </w:r>
          </w:p>
        </w:tc>
        <w:tc>
          <w:tcPr>
            <w:tcW w:w="430" w:type="dxa"/>
          </w:tcPr>
          <w:p w14:paraId="70CEE6D6" w14:textId="77777777" w:rsidR="00A71EEF" w:rsidRDefault="0081115D">
            <w:pPr>
              <w:pStyle w:val="TableParagraph"/>
              <w:spacing w:before="34" w:line="185" w:lineRule="exact"/>
              <w:ind w:left="107"/>
              <w:rPr>
                <w:sz w:val="16"/>
              </w:rPr>
            </w:pPr>
            <w:r>
              <w:rPr>
                <w:sz w:val="16"/>
              </w:rPr>
              <w:t xml:space="preserve"> </w:t>
            </w:r>
          </w:p>
        </w:tc>
        <w:tc>
          <w:tcPr>
            <w:tcW w:w="476" w:type="dxa"/>
          </w:tcPr>
          <w:p w14:paraId="4C7A906F" w14:textId="77777777" w:rsidR="00A71EEF" w:rsidRDefault="0081115D">
            <w:pPr>
              <w:pStyle w:val="TableParagraph"/>
              <w:spacing w:before="34" w:line="185" w:lineRule="exact"/>
              <w:ind w:right="168"/>
              <w:jc w:val="center"/>
              <w:rPr>
                <w:sz w:val="16"/>
              </w:rPr>
            </w:pPr>
            <w:r>
              <w:rPr>
                <w:sz w:val="16"/>
              </w:rPr>
              <w:t xml:space="preserve"> </w:t>
            </w:r>
          </w:p>
        </w:tc>
        <w:tc>
          <w:tcPr>
            <w:tcW w:w="428" w:type="dxa"/>
            <w:tcBorders>
              <w:right w:val="single" w:sz="6" w:space="0" w:color="000000"/>
            </w:tcBorders>
          </w:tcPr>
          <w:p w14:paraId="1503D35C" w14:textId="77777777" w:rsidR="00A71EEF" w:rsidRDefault="0081115D">
            <w:pPr>
              <w:pStyle w:val="TableParagraph"/>
              <w:spacing w:before="34" w:line="185" w:lineRule="exact"/>
              <w:ind w:right="124"/>
              <w:jc w:val="center"/>
              <w:rPr>
                <w:sz w:val="16"/>
              </w:rPr>
            </w:pPr>
            <w:r>
              <w:rPr>
                <w:sz w:val="16"/>
              </w:rPr>
              <w:t xml:space="preserve"> </w:t>
            </w:r>
          </w:p>
        </w:tc>
        <w:tc>
          <w:tcPr>
            <w:tcW w:w="428" w:type="dxa"/>
            <w:tcBorders>
              <w:left w:val="single" w:sz="6" w:space="0" w:color="000000"/>
            </w:tcBorders>
          </w:tcPr>
          <w:p w14:paraId="4ED02C84" w14:textId="77777777" w:rsidR="00A71EEF" w:rsidRDefault="0081115D">
            <w:pPr>
              <w:pStyle w:val="TableParagraph"/>
              <w:spacing w:before="34" w:line="185" w:lineRule="exact"/>
              <w:ind w:left="101"/>
              <w:rPr>
                <w:sz w:val="16"/>
              </w:rPr>
            </w:pPr>
            <w:r>
              <w:rPr>
                <w:sz w:val="16"/>
              </w:rPr>
              <w:t xml:space="preserve"> </w:t>
            </w:r>
          </w:p>
        </w:tc>
        <w:tc>
          <w:tcPr>
            <w:tcW w:w="377" w:type="dxa"/>
          </w:tcPr>
          <w:p w14:paraId="2348915B" w14:textId="77777777" w:rsidR="00A71EEF" w:rsidRDefault="0081115D">
            <w:pPr>
              <w:pStyle w:val="TableParagraph"/>
              <w:spacing w:before="34" w:line="185" w:lineRule="exact"/>
              <w:ind w:left="105"/>
              <w:rPr>
                <w:sz w:val="16"/>
              </w:rPr>
            </w:pPr>
            <w:r>
              <w:rPr>
                <w:sz w:val="16"/>
              </w:rPr>
              <w:t xml:space="preserve"> </w:t>
            </w:r>
          </w:p>
        </w:tc>
        <w:tc>
          <w:tcPr>
            <w:tcW w:w="403" w:type="dxa"/>
          </w:tcPr>
          <w:p w14:paraId="31FD1BE3" w14:textId="77777777" w:rsidR="00A71EEF" w:rsidRDefault="0081115D">
            <w:pPr>
              <w:pStyle w:val="TableParagraph"/>
              <w:spacing w:before="34" w:line="185" w:lineRule="exact"/>
              <w:ind w:left="105"/>
              <w:rPr>
                <w:sz w:val="16"/>
              </w:rPr>
            </w:pPr>
            <w:r>
              <w:rPr>
                <w:sz w:val="16"/>
              </w:rPr>
              <w:t xml:space="preserve"> </w:t>
            </w:r>
          </w:p>
        </w:tc>
        <w:tc>
          <w:tcPr>
            <w:tcW w:w="276" w:type="dxa"/>
          </w:tcPr>
          <w:p w14:paraId="5623A669" w14:textId="77777777" w:rsidR="00A71EEF" w:rsidRDefault="0081115D">
            <w:pPr>
              <w:pStyle w:val="TableParagraph"/>
              <w:spacing w:before="34" w:line="185" w:lineRule="exact"/>
              <w:ind w:left="71"/>
              <w:rPr>
                <w:sz w:val="16"/>
              </w:rPr>
            </w:pPr>
            <w:r>
              <w:rPr>
                <w:sz w:val="16"/>
              </w:rPr>
              <w:t xml:space="preserve"> </w:t>
            </w:r>
          </w:p>
        </w:tc>
        <w:tc>
          <w:tcPr>
            <w:tcW w:w="499" w:type="dxa"/>
          </w:tcPr>
          <w:p w14:paraId="30B3E6E8" w14:textId="77777777" w:rsidR="00A71EEF" w:rsidRDefault="0081115D">
            <w:pPr>
              <w:pStyle w:val="TableParagraph"/>
              <w:spacing w:before="34" w:line="185" w:lineRule="exact"/>
              <w:ind w:left="105"/>
              <w:rPr>
                <w:sz w:val="16"/>
              </w:rPr>
            </w:pPr>
            <w:r>
              <w:rPr>
                <w:sz w:val="16"/>
              </w:rPr>
              <w:t xml:space="preserve"> </w:t>
            </w:r>
          </w:p>
        </w:tc>
        <w:tc>
          <w:tcPr>
            <w:tcW w:w="338" w:type="dxa"/>
          </w:tcPr>
          <w:p w14:paraId="00AE272E" w14:textId="77777777" w:rsidR="00A71EEF" w:rsidRDefault="0081115D">
            <w:pPr>
              <w:pStyle w:val="TableParagraph"/>
              <w:spacing w:before="34" w:line="185" w:lineRule="exact"/>
              <w:ind w:left="105"/>
              <w:rPr>
                <w:sz w:val="16"/>
              </w:rPr>
            </w:pPr>
            <w:r>
              <w:rPr>
                <w:sz w:val="16"/>
              </w:rPr>
              <w:t xml:space="preserve"> </w:t>
            </w:r>
          </w:p>
        </w:tc>
        <w:tc>
          <w:tcPr>
            <w:tcW w:w="334" w:type="dxa"/>
          </w:tcPr>
          <w:p w14:paraId="3421BB78" w14:textId="77777777" w:rsidR="00A71EEF" w:rsidRDefault="0081115D">
            <w:pPr>
              <w:pStyle w:val="TableParagraph"/>
              <w:spacing w:before="34" w:line="185" w:lineRule="exact"/>
              <w:ind w:right="34"/>
              <w:jc w:val="center"/>
              <w:rPr>
                <w:sz w:val="16"/>
              </w:rPr>
            </w:pPr>
            <w:r>
              <w:rPr>
                <w:sz w:val="16"/>
              </w:rPr>
              <w:t xml:space="preserve"> </w:t>
            </w:r>
          </w:p>
        </w:tc>
        <w:tc>
          <w:tcPr>
            <w:tcW w:w="425" w:type="dxa"/>
          </w:tcPr>
          <w:p w14:paraId="0D21C76F" w14:textId="77777777" w:rsidR="00A71EEF" w:rsidRDefault="0081115D">
            <w:pPr>
              <w:pStyle w:val="TableParagraph"/>
              <w:spacing w:before="34" w:line="185" w:lineRule="exact"/>
              <w:ind w:right="125"/>
              <w:jc w:val="center"/>
              <w:rPr>
                <w:sz w:val="16"/>
              </w:rPr>
            </w:pPr>
            <w:r>
              <w:rPr>
                <w:sz w:val="16"/>
              </w:rPr>
              <w:t xml:space="preserve"> </w:t>
            </w:r>
          </w:p>
        </w:tc>
        <w:tc>
          <w:tcPr>
            <w:tcW w:w="403" w:type="dxa"/>
          </w:tcPr>
          <w:p w14:paraId="63ECAE53" w14:textId="77777777" w:rsidR="00A71EEF" w:rsidRDefault="0081115D">
            <w:pPr>
              <w:pStyle w:val="TableParagraph"/>
              <w:spacing w:before="34" w:line="185" w:lineRule="exact"/>
              <w:ind w:left="105"/>
              <w:rPr>
                <w:sz w:val="16"/>
              </w:rPr>
            </w:pPr>
            <w:r>
              <w:rPr>
                <w:sz w:val="16"/>
              </w:rPr>
              <w:t xml:space="preserve"> </w:t>
            </w:r>
          </w:p>
        </w:tc>
        <w:tc>
          <w:tcPr>
            <w:tcW w:w="485" w:type="dxa"/>
          </w:tcPr>
          <w:p w14:paraId="09E882CE" w14:textId="77777777" w:rsidR="00A71EEF" w:rsidRDefault="0081115D">
            <w:pPr>
              <w:pStyle w:val="TableParagraph"/>
              <w:spacing w:before="34" w:line="185" w:lineRule="exact"/>
              <w:ind w:left="106"/>
              <w:rPr>
                <w:sz w:val="16"/>
              </w:rPr>
            </w:pPr>
            <w:r>
              <w:rPr>
                <w:sz w:val="16"/>
              </w:rPr>
              <w:t xml:space="preserve"> </w:t>
            </w:r>
          </w:p>
        </w:tc>
        <w:tc>
          <w:tcPr>
            <w:tcW w:w="402" w:type="dxa"/>
            <w:gridSpan w:val="2"/>
          </w:tcPr>
          <w:p w14:paraId="37EED022" w14:textId="77777777" w:rsidR="00A71EEF" w:rsidRDefault="0081115D">
            <w:pPr>
              <w:pStyle w:val="TableParagraph"/>
              <w:spacing w:before="34" w:line="185" w:lineRule="exact"/>
              <w:ind w:left="105"/>
              <w:rPr>
                <w:sz w:val="16"/>
              </w:rPr>
            </w:pPr>
            <w:r>
              <w:rPr>
                <w:sz w:val="16"/>
              </w:rPr>
              <w:t xml:space="preserve"> </w:t>
            </w:r>
          </w:p>
        </w:tc>
        <w:tc>
          <w:tcPr>
            <w:tcW w:w="536" w:type="dxa"/>
          </w:tcPr>
          <w:p w14:paraId="5FB38423" w14:textId="77777777" w:rsidR="00A71EEF" w:rsidRDefault="0081115D">
            <w:pPr>
              <w:pStyle w:val="TableParagraph"/>
              <w:spacing w:before="34" w:line="185" w:lineRule="exact"/>
              <w:ind w:left="104"/>
              <w:rPr>
                <w:sz w:val="16"/>
              </w:rPr>
            </w:pPr>
            <w:r>
              <w:rPr>
                <w:sz w:val="16"/>
              </w:rPr>
              <w:t xml:space="preserve"> </w:t>
            </w:r>
          </w:p>
        </w:tc>
        <w:tc>
          <w:tcPr>
            <w:tcW w:w="423" w:type="dxa"/>
            <w:gridSpan w:val="2"/>
          </w:tcPr>
          <w:p w14:paraId="04E1201D" w14:textId="77777777" w:rsidR="00A71EEF" w:rsidRDefault="0081115D">
            <w:pPr>
              <w:pStyle w:val="TableParagraph"/>
              <w:spacing w:before="34" w:line="185" w:lineRule="exact"/>
              <w:ind w:left="101"/>
              <w:rPr>
                <w:sz w:val="16"/>
              </w:rPr>
            </w:pPr>
            <w:r>
              <w:rPr>
                <w:sz w:val="16"/>
              </w:rPr>
              <w:t xml:space="preserve"> </w:t>
            </w:r>
          </w:p>
        </w:tc>
        <w:tc>
          <w:tcPr>
            <w:tcW w:w="409" w:type="dxa"/>
          </w:tcPr>
          <w:p w14:paraId="4B99B381" w14:textId="77777777" w:rsidR="00A71EEF" w:rsidRDefault="0081115D">
            <w:pPr>
              <w:pStyle w:val="TableParagraph"/>
              <w:spacing w:before="34" w:line="185" w:lineRule="exact"/>
              <w:ind w:left="99"/>
              <w:rPr>
                <w:sz w:val="16"/>
              </w:rPr>
            </w:pPr>
            <w:r>
              <w:rPr>
                <w:sz w:val="16"/>
              </w:rPr>
              <w:t xml:space="preserve"> </w:t>
            </w:r>
          </w:p>
        </w:tc>
        <w:tc>
          <w:tcPr>
            <w:tcW w:w="416" w:type="dxa"/>
          </w:tcPr>
          <w:p w14:paraId="628833D4" w14:textId="77777777" w:rsidR="00A71EEF" w:rsidRDefault="0081115D">
            <w:pPr>
              <w:pStyle w:val="TableParagraph"/>
              <w:spacing w:before="34" w:line="185" w:lineRule="exact"/>
              <w:ind w:left="100"/>
              <w:rPr>
                <w:sz w:val="16"/>
              </w:rPr>
            </w:pPr>
            <w:r>
              <w:rPr>
                <w:sz w:val="16"/>
              </w:rPr>
              <w:t xml:space="preserve"> </w:t>
            </w:r>
          </w:p>
        </w:tc>
        <w:tc>
          <w:tcPr>
            <w:tcW w:w="416" w:type="dxa"/>
          </w:tcPr>
          <w:p w14:paraId="1E392F4C" w14:textId="77777777" w:rsidR="00A71EEF" w:rsidRDefault="0081115D">
            <w:pPr>
              <w:pStyle w:val="TableParagraph"/>
              <w:spacing w:before="34" w:line="185" w:lineRule="exact"/>
              <w:ind w:left="97"/>
              <w:rPr>
                <w:sz w:val="16"/>
              </w:rPr>
            </w:pPr>
            <w:r>
              <w:rPr>
                <w:sz w:val="16"/>
              </w:rPr>
              <w:t xml:space="preserve"> </w:t>
            </w:r>
          </w:p>
        </w:tc>
      </w:tr>
      <w:tr w:rsidR="00A71EEF" w14:paraId="60C8BE16" w14:textId="77777777">
        <w:trPr>
          <w:trHeight w:val="239"/>
        </w:trPr>
        <w:tc>
          <w:tcPr>
            <w:tcW w:w="696" w:type="dxa"/>
          </w:tcPr>
          <w:p w14:paraId="0DB3130D" w14:textId="77777777" w:rsidR="00A71EEF" w:rsidRDefault="0081115D">
            <w:pPr>
              <w:pStyle w:val="TableParagraph"/>
              <w:spacing w:before="34" w:line="185" w:lineRule="exact"/>
              <w:ind w:left="206" w:right="119"/>
              <w:jc w:val="center"/>
              <w:rPr>
                <w:sz w:val="16"/>
              </w:rPr>
            </w:pPr>
            <w:r>
              <w:rPr>
                <w:sz w:val="16"/>
              </w:rPr>
              <w:t>全开</w:t>
            </w:r>
            <w:r>
              <w:rPr>
                <w:sz w:val="16"/>
              </w:rPr>
              <w:t xml:space="preserve"> </w:t>
            </w:r>
          </w:p>
        </w:tc>
        <w:tc>
          <w:tcPr>
            <w:tcW w:w="430" w:type="dxa"/>
          </w:tcPr>
          <w:p w14:paraId="29EE8A6D" w14:textId="77777777" w:rsidR="00A71EEF" w:rsidRDefault="0081115D">
            <w:pPr>
              <w:pStyle w:val="TableParagraph"/>
              <w:spacing w:before="34" w:line="185" w:lineRule="exact"/>
              <w:ind w:left="107"/>
              <w:rPr>
                <w:sz w:val="16"/>
              </w:rPr>
            </w:pPr>
            <w:r>
              <w:rPr>
                <w:sz w:val="16"/>
              </w:rPr>
              <w:t xml:space="preserve"> </w:t>
            </w:r>
          </w:p>
        </w:tc>
        <w:tc>
          <w:tcPr>
            <w:tcW w:w="476" w:type="dxa"/>
          </w:tcPr>
          <w:p w14:paraId="3F4153FC" w14:textId="77777777" w:rsidR="00A71EEF" w:rsidRDefault="0081115D">
            <w:pPr>
              <w:pStyle w:val="TableParagraph"/>
              <w:spacing w:before="34" w:line="185" w:lineRule="exact"/>
              <w:ind w:right="168"/>
              <w:jc w:val="center"/>
              <w:rPr>
                <w:sz w:val="16"/>
              </w:rPr>
            </w:pPr>
            <w:r>
              <w:rPr>
                <w:sz w:val="16"/>
              </w:rPr>
              <w:t xml:space="preserve"> </w:t>
            </w:r>
          </w:p>
        </w:tc>
        <w:tc>
          <w:tcPr>
            <w:tcW w:w="428" w:type="dxa"/>
            <w:tcBorders>
              <w:right w:val="single" w:sz="6" w:space="0" w:color="000000"/>
            </w:tcBorders>
          </w:tcPr>
          <w:p w14:paraId="483FC2F6" w14:textId="77777777" w:rsidR="00A71EEF" w:rsidRDefault="0081115D">
            <w:pPr>
              <w:pStyle w:val="TableParagraph"/>
              <w:spacing w:before="34" w:line="185" w:lineRule="exact"/>
              <w:ind w:right="124"/>
              <w:jc w:val="center"/>
              <w:rPr>
                <w:sz w:val="16"/>
              </w:rPr>
            </w:pPr>
            <w:r>
              <w:rPr>
                <w:sz w:val="16"/>
              </w:rPr>
              <w:t xml:space="preserve"> </w:t>
            </w:r>
          </w:p>
        </w:tc>
        <w:tc>
          <w:tcPr>
            <w:tcW w:w="428" w:type="dxa"/>
            <w:tcBorders>
              <w:left w:val="single" w:sz="6" w:space="0" w:color="000000"/>
            </w:tcBorders>
          </w:tcPr>
          <w:p w14:paraId="51273E18" w14:textId="77777777" w:rsidR="00A71EEF" w:rsidRDefault="0081115D">
            <w:pPr>
              <w:pStyle w:val="TableParagraph"/>
              <w:spacing w:before="34" w:line="185" w:lineRule="exact"/>
              <w:ind w:left="101"/>
              <w:rPr>
                <w:sz w:val="16"/>
              </w:rPr>
            </w:pPr>
            <w:r>
              <w:rPr>
                <w:sz w:val="16"/>
              </w:rPr>
              <w:t xml:space="preserve"> </w:t>
            </w:r>
          </w:p>
        </w:tc>
        <w:tc>
          <w:tcPr>
            <w:tcW w:w="377" w:type="dxa"/>
          </w:tcPr>
          <w:p w14:paraId="6985F9AE" w14:textId="77777777" w:rsidR="00A71EEF" w:rsidRDefault="0081115D">
            <w:pPr>
              <w:pStyle w:val="TableParagraph"/>
              <w:spacing w:before="34" w:line="185" w:lineRule="exact"/>
              <w:ind w:left="105"/>
              <w:rPr>
                <w:sz w:val="16"/>
              </w:rPr>
            </w:pPr>
            <w:r>
              <w:rPr>
                <w:sz w:val="16"/>
              </w:rPr>
              <w:t xml:space="preserve"> </w:t>
            </w:r>
          </w:p>
        </w:tc>
        <w:tc>
          <w:tcPr>
            <w:tcW w:w="403" w:type="dxa"/>
          </w:tcPr>
          <w:p w14:paraId="53C875AE" w14:textId="77777777" w:rsidR="00A71EEF" w:rsidRDefault="0081115D">
            <w:pPr>
              <w:pStyle w:val="TableParagraph"/>
              <w:spacing w:before="34" w:line="185" w:lineRule="exact"/>
              <w:ind w:left="105"/>
              <w:rPr>
                <w:sz w:val="16"/>
              </w:rPr>
            </w:pPr>
            <w:r>
              <w:rPr>
                <w:sz w:val="16"/>
              </w:rPr>
              <w:t xml:space="preserve"> </w:t>
            </w:r>
          </w:p>
        </w:tc>
        <w:tc>
          <w:tcPr>
            <w:tcW w:w="276" w:type="dxa"/>
          </w:tcPr>
          <w:p w14:paraId="4C577C83" w14:textId="77777777" w:rsidR="00A71EEF" w:rsidRDefault="0081115D">
            <w:pPr>
              <w:pStyle w:val="TableParagraph"/>
              <w:spacing w:before="34" w:line="185" w:lineRule="exact"/>
              <w:ind w:left="71"/>
              <w:rPr>
                <w:sz w:val="16"/>
              </w:rPr>
            </w:pPr>
            <w:r>
              <w:rPr>
                <w:sz w:val="16"/>
              </w:rPr>
              <w:t xml:space="preserve"> </w:t>
            </w:r>
          </w:p>
        </w:tc>
        <w:tc>
          <w:tcPr>
            <w:tcW w:w="499" w:type="dxa"/>
          </w:tcPr>
          <w:p w14:paraId="5350816F" w14:textId="77777777" w:rsidR="00A71EEF" w:rsidRDefault="0081115D">
            <w:pPr>
              <w:pStyle w:val="TableParagraph"/>
              <w:spacing w:before="34" w:line="185" w:lineRule="exact"/>
              <w:ind w:left="105"/>
              <w:rPr>
                <w:sz w:val="16"/>
              </w:rPr>
            </w:pPr>
            <w:r>
              <w:rPr>
                <w:sz w:val="16"/>
              </w:rPr>
              <w:t xml:space="preserve"> </w:t>
            </w:r>
          </w:p>
        </w:tc>
        <w:tc>
          <w:tcPr>
            <w:tcW w:w="338" w:type="dxa"/>
          </w:tcPr>
          <w:p w14:paraId="528262FA" w14:textId="77777777" w:rsidR="00A71EEF" w:rsidRDefault="0081115D">
            <w:pPr>
              <w:pStyle w:val="TableParagraph"/>
              <w:spacing w:before="34" w:line="185" w:lineRule="exact"/>
              <w:ind w:left="105"/>
              <w:rPr>
                <w:sz w:val="16"/>
              </w:rPr>
            </w:pPr>
            <w:r>
              <w:rPr>
                <w:sz w:val="16"/>
              </w:rPr>
              <w:t xml:space="preserve"> </w:t>
            </w:r>
          </w:p>
        </w:tc>
        <w:tc>
          <w:tcPr>
            <w:tcW w:w="334" w:type="dxa"/>
          </w:tcPr>
          <w:p w14:paraId="6F1C00FC" w14:textId="77777777" w:rsidR="00A71EEF" w:rsidRDefault="0081115D">
            <w:pPr>
              <w:pStyle w:val="TableParagraph"/>
              <w:spacing w:before="34" w:line="185" w:lineRule="exact"/>
              <w:ind w:right="34"/>
              <w:jc w:val="center"/>
              <w:rPr>
                <w:sz w:val="16"/>
              </w:rPr>
            </w:pPr>
            <w:r>
              <w:rPr>
                <w:sz w:val="16"/>
              </w:rPr>
              <w:t xml:space="preserve"> </w:t>
            </w:r>
          </w:p>
        </w:tc>
        <w:tc>
          <w:tcPr>
            <w:tcW w:w="425" w:type="dxa"/>
          </w:tcPr>
          <w:p w14:paraId="205EC088" w14:textId="77777777" w:rsidR="00A71EEF" w:rsidRDefault="0081115D">
            <w:pPr>
              <w:pStyle w:val="TableParagraph"/>
              <w:spacing w:before="34" w:line="185" w:lineRule="exact"/>
              <w:ind w:right="125"/>
              <w:jc w:val="center"/>
              <w:rPr>
                <w:sz w:val="16"/>
              </w:rPr>
            </w:pPr>
            <w:r>
              <w:rPr>
                <w:sz w:val="16"/>
              </w:rPr>
              <w:t xml:space="preserve"> </w:t>
            </w:r>
          </w:p>
        </w:tc>
        <w:tc>
          <w:tcPr>
            <w:tcW w:w="403" w:type="dxa"/>
          </w:tcPr>
          <w:p w14:paraId="6E0CD3FB" w14:textId="77777777" w:rsidR="00A71EEF" w:rsidRDefault="0081115D">
            <w:pPr>
              <w:pStyle w:val="TableParagraph"/>
              <w:spacing w:before="34" w:line="185" w:lineRule="exact"/>
              <w:ind w:left="105"/>
              <w:rPr>
                <w:sz w:val="16"/>
              </w:rPr>
            </w:pPr>
            <w:r>
              <w:rPr>
                <w:sz w:val="16"/>
              </w:rPr>
              <w:t xml:space="preserve"> </w:t>
            </w:r>
          </w:p>
        </w:tc>
        <w:tc>
          <w:tcPr>
            <w:tcW w:w="485" w:type="dxa"/>
          </w:tcPr>
          <w:p w14:paraId="7D2D3552" w14:textId="77777777" w:rsidR="00A71EEF" w:rsidRDefault="0081115D">
            <w:pPr>
              <w:pStyle w:val="TableParagraph"/>
              <w:spacing w:before="34" w:line="185" w:lineRule="exact"/>
              <w:ind w:left="106"/>
              <w:rPr>
                <w:sz w:val="16"/>
              </w:rPr>
            </w:pPr>
            <w:r>
              <w:rPr>
                <w:sz w:val="16"/>
              </w:rPr>
              <w:t xml:space="preserve"> </w:t>
            </w:r>
          </w:p>
        </w:tc>
        <w:tc>
          <w:tcPr>
            <w:tcW w:w="402" w:type="dxa"/>
            <w:gridSpan w:val="2"/>
          </w:tcPr>
          <w:p w14:paraId="4A6395C8" w14:textId="77777777" w:rsidR="00A71EEF" w:rsidRDefault="0081115D">
            <w:pPr>
              <w:pStyle w:val="TableParagraph"/>
              <w:spacing w:before="34" w:line="185" w:lineRule="exact"/>
              <w:ind w:left="105"/>
              <w:rPr>
                <w:sz w:val="16"/>
              </w:rPr>
            </w:pPr>
            <w:r>
              <w:rPr>
                <w:sz w:val="16"/>
              </w:rPr>
              <w:t xml:space="preserve"> </w:t>
            </w:r>
          </w:p>
        </w:tc>
        <w:tc>
          <w:tcPr>
            <w:tcW w:w="536" w:type="dxa"/>
          </w:tcPr>
          <w:p w14:paraId="6975F165" w14:textId="77777777" w:rsidR="00A71EEF" w:rsidRDefault="0081115D">
            <w:pPr>
              <w:pStyle w:val="TableParagraph"/>
              <w:spacing w:before="34" w:line="185" w:lineRule="exact"/>
              <w:ind w:left="104"/>
              <w:rPr>
                <w:sz w:val="16"/>
              </w:rPr>
            </w:pPr>
            <w:r>
              <w:rPr>
                <w:sz w:val="16"/>
              </w:rPr>
              <w:t xml:space="preserve"> </w:t>
            </w:r>
          </w:p>
        </w:tc>
        <w:tc>
          <w:tcPr>
            <w:tcW w:w="423" w:type="dxa"/>
            <w:gridSpan w:val="2"/>
          </w:tcPr>
          <w:p w14:paraId="6CBAA46D" w14:textId="77777777" w:rsidR="00A71EEF" w:rsidRDefault="0081115D">
            <w:pPr>
              <w:pStyle w:val="TableParagraph"/>
              <w:spacing w:before="34" w:line="185" w:lineRule="exact"/>
              <w:ind w:left="101"/>
              <w:rPr>
                <w:sz w:val="16"/>
              </w:rPr>
            </w:pPr>
            <w:r>
              <w:rPr>
                <w:sz w:val="16"/>
              </w:rPr>
              <w:t xml:space="preserve"> </w:t>
            </w:r>
          </w:p>
        </w:tc>
        <w:tc>
          <w:tcPr>
            <w:tcW w:w="409" w:type="dxa"/>
          </w:tcPr>
          <w:p w14:paraId="4F42E9A6" w14:textId="77777777" w:rsidR="00A71EEF" w:rsidRDefault="0081115D">
            <w:pPr>
              <w:pStyle w:val="TableParagraph"/>
              <w:spacing w:before="34" w:line="185" w:lineRule="exact"/>
              <w:ind w:left="99"/>
              <w:rPr>
                <w:sz w:val="16"/>
              </w:rPr>
            </w:pPr>
            <w:r>
              <w:rPr>
                <w:sz w:val="16"/>
              </w:rPr>
              <w:t xml:space="preserve"> </w:t>
            </w:r>
          </w:p>
        </w:tc>
        <w:tc>
          <w:tcPr>
            <w:tcW w:w="416" w:type="dxa"/>
          </w:tcPr>
          <w:p w14:paraId="550A6F7A" w14:textId="77777777" w:rsidR="00A71EEF" w:rsidRDefault="0081115D">
            <w:pPr>
              <w:pStyle w:val="TableParagraph"/>
              <w:spacing w:before="34" w:line="185" w:lineRule="exact"/>
              <w:ind w:left="100"/>
              <w:rPr>
                <w:sz w:val="16"/>
              </w:rPr>
            </w:pPr>
            <w:r>
              <w:rPr>
                <w:sz w:val="16"/>
              </w:rPr>
              <w:t xml:space="preserve"> </w:t>
            </w:r>
          </w:p>
        </w:tc>
        <w:tc>
          <w:tcPr>
            <w:tcW w:w="416" w:type="dxa"/>
          </w:tcPr>
          <w:p w14:paraId="0C6383EC" w14:textId="77777777" w:rsidR="00A71EEF" w:rsidRDefault="0081115D">
            <w:pPr>
              <w:pStyle w:val="TableParagraph"/>
              <w:spacing w:before="34" w:line="185" w:lineRule="exact"/>
              <w:ind w:left="97"/>
              <w:rPr>
                <w:sz w:val="16"/>
              </w:rPr>
            </w:pPr>
            <w:r>
              <w:rPr>
                <w:sz w:val="16"/>
              </w:rPr>
              <w:t xml:space="preserve"> </w:t>
            </w:r>
          </w:p>
        </w:tc>
      </w:tr>
      <w:tr w:rsidR="00A71EEF" w14:paraId="6D102FDC" w14:textId="77777777">
        <w:trPr>
          <w:trHeight w:val="240"/>
        </w:trPr>
        <w:tc>
          <w:tcPr>
            <w:tcW w:w="696" w:type="dxa"/>
          </w:tcPr>
          <w:p w14:paraId="10314B87" w14:textId="77777777" w:rsidR="00A71EEF" w:rsidRDefault="0081115D">
            <w:pPr>
              <w:pStyle w:val="TableParagraph"/>
              <w:spacing w:before="34" w:line="185" w:lineRule="exact"/>
              <w:ind w:left="206" w:right="119"/>
              <w:jc w:val="center"/>
              <w:rPr>
                <w:sz w:val="16"/>
              </w:rPr>
            </w:pPr>
            <w:r>
              <w:rPr>
                <w:sz w:val="16"/>
              </w:rPr>
              <w:t>备注</w:t>
            </w:r>
            <w:r>
              <w:rPr>
                <w:sz w:val="16"/>
              </w:rPr>
              <w:t xml:space="preserve"> </w:t>
            </w:r>
          </w:p>
        </w:tc>
        <w:tc>
          <w:tcPr>
            <w:tcW w:w="7904" w:type="dxa"/>
            <w:gridSpan w:val="21"/>
          </w:tcPr>
          <w:p w14:paraId="4E2B4558" w14:textId="77777777" w:rsidR="00A71EEF" w:rsidRDefault="0081115D">
            <w:pPr>
              <w:pStyle w:val="TableParagraph"/>
              <w:spacing w:before="34" w:line="185" w:lineRule="exact"/>
              <w:ind w:left="107"/>
              <w:rPr>
                <w:sz w:val="16"/>
              </w:rPr>
            </w:pPr>
            <w:r>
              <w:rPr>
                <w:sz w:val="16"/>
              </w:rPr>
              <w:t xml:space="preserve"> </w:t>
            </w:r>
          </w:p>
        </w:tc>
      </w:tr>
    </w:tbl>
    <w:p w14:paraId="21090488" w14:textId="77777777" w:rsidR="00A71EEF" w:rsidRDefault="00A71EEF">
      <w:pPr>
        <w:pStyle w:val="a3"/>
        <w:spacing w:before="11"/>
        <w:rPr>
          <w:sz w:val="14"/>
        </w:rPr>
      </w:pPr>
    </w:p>
    <w:p w14:paraId="71FFA7C0" w14:textId="77777777" w:rsidR="00A71EEF" w:rsidRDefault="0081115D">
      <w:pPr>
        <w:pStyle w:val="a3"/>
        <w:ind w:right="914"/>
        <w:jc w:val="center"/>
      </w:pPr>
      <w:r>
        <w:t>记</w:t>
      </w:r>
      <w:r>
        <w:t xml:space="preserve"> </w:t>
      </w:r>
      <w:r>
        <w:t>录</w:t>
      </w:r>
      <w:r>
        <w:t xml:space="preserve">                   </w:t>
      </w:r>
      <w:r>
        <w:t>计</w:t>
      </w:r>
      <w:r>
        <w:t xml:space="preserve"> </w:t>
      </w:r>
      <w:r>
        <w:t>算</w:t>
      </w:r>
      <w:r>
        <w:t xml:space="preserve"> </w:t>
      </w:r>
    </w:p>
    <w:p w14:paraId="77D3627D" w14:textId="77777777" w:rsidR="00A71EEF" w:rsidRDefault="00A71EEF">
      <w:pPr>
        <w:pStyle w:val="a3"/>
        <w:spacing w:before="1"/>
        <w:rPr>
          <w:sz w:val="18"/>
        </w:rPr>
      </w:pPr>
    </w:p>
    <w:p w14:paraId="03764B6D" w14:textId="77777777" w:rsidR="00A71EEF" w:rsidRDefault="0081115D">
      <w:pPr>
        <w:pStyle w:val="a3"/>
        <w:spacing w:before="1"/>
        <w:ind w:left="838"/>
      </w:pPr>
      <w:r>
        <w:rPr>
          <w:position w:val="1"/>
        </w:rPr>
        <w:t>测试完毕后</w:t>
      </w:r>
      <w:r>
        <w:rPr>
          <w:position w:val="1"/>
        </w:rPr>
        <w:t xml:space="preserve"> 10min </w:t>
      </w:r>
      <w:r>
        <w:rPr>
          <w:position w:val="1"/>
        </w:rPr>
        <w:t>内测定传动系统空载功率</w:t>
      </w:r>
      <w:r>
        <w:rPr>
          <w:position w:val="1"/>
        </w:rPr>
        <w:t xml:space="preserve"> N</w:t>
      </w:r>
      <w:r>
        <w:rPr>
          <w:sz w:val="11"/>
        </w:rPr>
        <w:t>e</w:t>
      </w:r>
      <w:r>
        <w:rPr>
          <w:position w:val="1"/>
        </w:rPr>
        <w:t>。测定时须拆除测功机上的测试风机等装置。</w:t>
      </w:r>
      <w:r>
        <w:rPr>
          <w:position w:val="1"/>
        </w:rPr>
        <w:t xml:space="preserve"> </w:t>
      </w:r>
    </w:p>
    <w:p w14:paraId="6C384B5E" w14:textId="77777777" w:rsidR="00A71EEF" w:rsidRDefault="00A71EEF">
      <w:pPr>
        <w:pStyle w:val="a3"/>
        <w:spacing w:before="5"/>
        <w:rPr>
          <w:sz w:val="12"/>
        </w:rPr>
      </w:pPr>
    </w:p>
    <w:p w14:paraId="46B04CE2" w14:textId="77777777" w:rsidR="00A71EEF" w:rsidRDefault="00A71EEF">
      <w:pPr>
        <w:rPr>
          <w:sz w:val="12"/>
        </w:rPr>
        <w:sectPr w:rsidR="00A71EEF">
          <w:footerReference w:type="default" r:id="rId612"/>
          <w:pgSz w:w="11910" w:h="16850"/>
          <w:pgMar w:top="1220" w:right="0" w:bottom="1420" w:left="1260" w:header="0" w:footer="1239" w:gutter="0"/>
          <w:pgNumType w:start="1680"/>
          <w:cols w:space="720"/>
        </w:sectPr>
      </w:pPr>
    </w:p>
    <w:p w14:paraId="74825E21" w14:textId="77777777" w:rsidR="00A71EEF" w:rsidRDefault="0081115D">
      <w:pPr>
        <w:pStyle w:val="a4"/>
        <w:numPr>
          <w:ilvl w:val="2"/>
          <w:numId w:val="15"/>
        </w:numPr>
        <w:tabs>
          <w:tab w:val="left" w:pos="1370"/>
        </w:tabs>
        <w:spacing w:before="71"/>
        <w:ind w:hanging="530"/>
        <w:rPr>
          <w:sz w:val="21"/>
        </w:rPr>
      </w:pPr>
      <w:r>
        <w:rPr>
          <w:spacing w:val="-3"/>
          <w:sz w:val="21"/>
        </w:rPr>
        <w:t>风机出气口的动压</w:t>
      </w:r>
      <w:r>
        <w:rPr>
          <w:sz w:val="21"/>
        </w:rPr>
        <w:t xml:space="preserve"> </w:t>
      </w:r>
    </w:p>
    <w:p w14:paraId="486204A2" w14:textId="77777777" w:rsidR="00A71EEF" w:rsidRDefault="0081115D">
      <w:pPr>
        <w:pStyle w:val="a3"/>
        <w:rPr>
          <w:sz w:val="24"/>
        </w:rPr>
      </w:pPr>
      <w:r>
        <w:br w:type="column"/>
      </w:r>
    </w:p>
    <w:p w14:paraId="7358A360" w14:textId="77777777" w:rsidR="00A71EEF" w:rsidRDefault="0081115D">
      <w:pPr>
        <w:spacing w:before="182"/>
        <w:jc w:val="right"/>
        <w:rPr>
          <w:rFonts w:ascii="Cambria Math" w:eastAsia="Cambria Math"/>
          <w:sz w:val="15"/>
        </w:rPr>
      </w:pPr>
      <w:r>
        <w:rPr>
          <w:rFonts w:ascii="Cambria Math" w:eastAsia="Cambria Math"/>
          <w:w w:val="105"/>
          <w:sz w:val="21"/>
        </w:rPr>
        <w:t>p</w:t>
      </w:r>
      <w:r>
        <w:rPr>
          <w:rFonts w:ascii="Cambria Math" w:eastAsia="Cambria Math"/>
          <w:w w:val="105"/>
          <w:position w:val="-3"/>
          <w:sz w:val="15"/>
        </w:rPr>
        <w:t>𝑑</w:t>
      </w:r>
    </w:p>
    <w:p w14:paraId="2A8082A0" w14:textId="77777777" w:rsidR="00A71EEF" w:rsidRDefault="0081115D">
      <w:pPr>
        <w:pStyle w:val="a3"/>
        <w:rPr>
          <w:rFonts w:ascii="Cambria Math"/>
          <w:sz w:val="20"/>
        </w:rPr>
      </w:pPr>
      <w:r>
        <w:br w:type="column"/>
      </w:r>
    </w:p>
    <w:p w14:paraId="1F200B92" w14:textId="77777777" w:rsidR="00A71EEF" w:rsidRDefault="0081115D">
      <w:pPr>
        <w:pStyle w:val="a3"/>
        <w:spacing w:before="6"/>
        <w:rPr>
          <w:rFonts w:ascii="Cambria Math"/>
          <w:sz w:val="12"/>
        </w:rPr>
      </w:pPr>
      <w:r>
        <w:pict w14:anchorId="248A1926">
          <v:line id="_x0000_s1051" style="position:absolute;z-index:-251482624;mso-wrap-distance-left:0;mso-wrap-distance-right:0;mso-position-horizontal-relative:page" from="307.6pt,9.55pt" to="320.6pt,9.55pt" strokeweight=".48pt">
            <w10:wrap type="topAndBottom" anchorx="page"/>
          </v:line>
        </w:pict>
      </w:r>
      <w:r>
        <w:pict w14:anchorId="60F38119">
          <v:line id="_x0000_s1050" style="position:absolute;z-index:-251481600;mso-wrap-distance-left:0;mso-wrap-distance-right:0;mso-position-horizontal-relative:page" from="331.65pt,9.55pt" to="344.6pt,9.55pt" strokeweight=".48pt">
            <w10:wrap type="topAndBottom" anchorx="page"/>
          </v:line>
        </w:pict>
      </w:r>
      <w:r>
        <w:pict w14:anchorId="78AC820E">
          <v:line id="_x0000_s1049" style="position:absolute;z-index:-251480576;mso-wrap-distance-left:0;mso-wrap-distance-right:0;mso-position-horizontal-relative:page" from="367.5pt,9.55pt" to="381.05pt,9.55pt" strokeweight=".48pt">
            <w10:wrap type="topAndBottom" anchorx="page"/>
          </v:line>
        </w:pict>
      </w:r>
    </w:p>
    <w:p w14:paraId="2B68928B" w14:textId="77777777" w:rsidR="00A71EEF" w:rsidRDefault="0081115D">
      <w:pPr>
        <w:spacing w:line="241" w:lineRule="exact"/>
        <w:ind w:left="-27"/>
        <w:rPr>
          <w:sz w:val="21"/>
        </w:rPr>
      </w:pPr>
      <w:r>
        <w:rPr>
          <w:rFonts w:ascii="Cambria Math" w:eastAsia="Cambria Math" w:hAnsi="Cambria Math"/>
          <w:w w:val="105"/>
          <w:position w:val="1"/>
          <w:sz w:val="21"/>
        </w:rPr>
        <w:t>(</w:t>
      </w:r>
      <w:r>
        <w:rPr>
          <w:rFonts w:ascii="Cambria Math" w:eastAsia="Cambria Math" w:hAnsi="Cambria Math"/>
          <w:w w:val="105"/>
          <w:sz w:val="21"/>
        </w:rPr>
        <w:t>𝑃𝑎</w:t>
      </w:r>
      <w:r>
        <w:rPr>
          <w:rFonts w:ascii="Cambria Math" w:eastAsia="Cambria Math" w:hAnsi="Cambria Math"/>
          <w:w w:val="105"/>
          <w:position w:val="1"/>
          <w:sz w:val="21"/>
        </w:rPr>
        <w:t xml:space="preserve">) </w:t>
      </w:r>
      <w:r>
        <w:rPr>
          <w:rFonts w:ascii="Cambria Math" w:eastAsia="Cambria Math" w:hAnsi="Cambria Math"/>
          <w:w w:val="105"/>
          <w:sz w:val="21"/>
        </w:rPr>
        <w:t>= (</w:t>
      </w:r>
      <w:r>
        <w:rPr>
          <w:rFonts w:ascii="Cambria Math" w:eastAsia="Cambria Math" w:hAnsi="Cambria Math"/>
          <w:w w:val="105"/>
          <w:position w:val="12"/>
          <w:sz w:val="21"/>
          <w:u w:val="single"/>
        </w:rPr>
        <w:t xml:space="preserve"> </w:t>
      </w:r>
      <w:r>
        <w:rPr>
          <w:rFonts w:ascii="Cambria Math" w:eastAsia="Cambria Math" w:hAnsi="Cambria Math"/>
          <w:w w:val="105"/>
          <w:position w:val="12"/>
          <w:sz w:val="15"/>
          <w:u w:val="single"/>
        </w:rPr>
        <w:t>√</w:t>
      </w:r>
      <w:r>
        <w:rPr>
          <w:rFonts w:ascii="Cambria Math" w:eastAsia="Cambria Math" w:hAnsi="Cambria Math"/>
          <w:w w:val="105"/>
          <w:position w:val="15"/>
          <w:sz w:val="15"/>
          <w:u w:val="single"/>
        </w:rPr>
        <w:t>𝑝</w:t>
      </w:r>
      <w:r>
        <w:rPr>
          <w:rFonts w:ascii="Cambria Math" w:eastAsia="Cambria Math" w:hAnsi="Cambria Math"/>
          <w:w w:val="105"/>
          <w:position w:val="12"/>
          <w:sz w:val="12"/>
          <w:u w:val="single"/>
        </w:rPr>
        <w:t>𝑑</w:t>
      </w:r>
      <w:r>
        <w:rPr>
          <w:rFonts w:ascii="Cambria Math" w:eastAsia="Cambria Math" w:hAnsi="Cambria Math"/>
          <w:w w:val="105"/>
          <w:position w:val="9"/>
          <w:sz w:val="12"/>
          <w:u w:val="single"/>
        </w:rPr>
        <w:t>1</w:t>
      </w:r>
      <w:r>
        <w:rPr>
          <w:rFonts w:ascii="Cambria Math" w:eastAsia="Cambria Math" w:hAnsi="Cambria Math"/>
          <w:w w:val="105"/>
          <w:position w:val="15"/>
          <w:sz w:val="15"/>
          <w:u w:val="single"/>
        </w:rPr>
        <w:t>+</w:t>
      </w:r>
      <w:r>
        <w:rPr>
          <w:rFonts w:ascii="Cambria Math" w:eastAsia="Cambria Math" w:hAnsi="Cambria Math"/>
          <w:w w:val="105"/>
          <w:position w:val="12"/>
          <w:sz w:val="15"/>
          <w:u w:val="single"/>
        </w:rPr>
        <w:t>√</w:t>
      </w:r>
      <w:r>
        <w:rPr>
          <w:rFonts w:ascii="Cambria Math" w:eastAsia="Cambria Math" w:hAnsi="Cambria Math"/>
          <w:w w:val="105"/>
          <w:position w:val="15"/>
          <w:sz w:val="15"/>
          <w:u w:val="single"/>
        </w:rPr>
        <w:t>𝑝</w:t>
      </w:r>
      <w:r>
        <w:rPr>
          <w:rFonts w:ascii="Cambria Math" w:eastAsia="Cambria Math" w:hAnsi="Cambria Math"/>
          <w:w w:val="105"/>
          <w:position w:val="12"/>
          <w:sz w:val="12"/>
          <w:u w:val="single"/>
        </w:rPr>
        <w:t>𝑑</w:t>
      </w:r>
      <w:r>
        <w:rPr>
          <w:rFonts w:ascii="Cambria Math" w:eastAsia="Cambria Math" w:hAnsi="Cambria Math"/>
          <w:w w:val="105"/>
          <w:position w:val="9"/>
          <w:sz w:val="12"/>
          <w:u w:val="single"/>
        </w:rPr>
        <w:t>2</w:t>
      </w:r>
      <w:r>
        <w:rPr>
          <w:rFonts w:ascii="Cambria Math" w:eastAsia="Cambria Math" w:hAnsi="Cambria Math"/>
          <w:w w:val="105"/>
          <w:position w:val="15"/>
          <w:sz w:val="15"/>
          <w:u w:val="single"/>
        </w:rPr>
        <w:t>+⋯+</w:t>
      </w:r>
      <w:r>
        <w:rPr>
          <w:rFonts w:ascii="Cambria Math" w:eastAsia="Cambria Math" w:hAnsi="Cambria Math"/>
          <w:w w:val="105"/>
          <w:position w:val="12"/>
          <w:sz w:val="15"/>
          <w:u w:val="single"/>
        </w:rPr>
        <w:t>√</w:t>
      </w:r>
      <w:r>
        <w:rPr>
          <w:rFonts w:ascii="Cambria Math" w:eastAsia="Cambria Math" w:hAnsi="Cambria Math"/>
          <w:w w:val="105"/>
          <w:position w:val="15"/>
          <w:sz w:val="15"/>
          <w:u w:val="single"/>
        </w:rPr>
        <w:t>𝑝</w:t>
      </w:r>
      <w:r>
        <w:rPr>
          <w:rFonts w:ascii="Cambria Math" w:eastAsia="Cambria Math" w:hAnsi="Cambria Math"/>
          <w:w w:val="105"/>
          <w:position w:val="12"/>
          <w:sz w:val="12"/>
          <w:u w:val="single"/>
        </w:rPr>
        <w:t>𝑑</w:t>
      </w:r>
      <w:r>
        <w:rPr>
          <w:rFonts w:ascii="Cambria Math" w:eastAsia="Cambria Math" w:hAnsi="Cambria Math"/>
          <w:w w:val="105"/>
          <w:position w:val="9"/>
          <w:sz w:val="12"/>
          <w:u w:val="single"/>
        </w:rPr>
        <w:t>𝑛</w:t>
      </w:r>
      <w:r>
        <w:rPr>
          <w:rFonts w:ascii="Cambria Math" w:eastAsia="Cambria Math" w:hAnsi="Cambria Math"/>
          <w:w w:val="105"/>
          <w:sz w:val="21"/>
        </w:rPr>
        <w:t xml:space="preserve">) ² </w:t>
      </w:r>
      <w:r>
        <w:rPr>
          <w:w w:val="105"/>
          <w:sz w:val="21"/>
        </w:rPr>
        <w:t>………………</w:t>
      </w:r>
      <w:r>
        <w:rPr>
          <w:w w:val="105"/>
          <w:sz w:val="21"/>
        </w:rPr>
        <w:t>（</w:t>
      </w:r>
      <w:r>
        <w:rPr>
          <w:w w:val="105"/>
          <w:sz w:val="21"/>
        </w:rPr>
        <w:t>1</w:t>
      </w:r>
      <w:r>
        <w:rPr>
          <w:w w:val="105"/>
          <w:sz w:val="21"/>
        </w:rPr>
        <w:t>）</w:t>
      </w:r>
      <w:r>
        <w:rPr>
          <w:w w:val="105"/>
          <w:sz w:val="21"/>
        </w:rPr>
        <w:t xml:space="preserve"> </w:t>
      </w:r>
    </w:p>
    <w:p w14:paraId="65CAA24E" w14:textId="77777777" w:rsidR="00A71EEF" w:rsidRDefault="0081115D">
      <w:pPr>
        <w:spacing w:line="128" w:lineRule="exact"/>
        <w:ind w:left="1517"/>
        <w:rPr>
          <w:rFonts w:ascii="Cambria Math" w:eastAsia="Cambria Math"/>
          <w:sz w:val="15"/>
        </w:rPr>
      </w:pPr>
      <w:r>
        <w:rPr>
          <w:rFonts w:ascii="Cambria Math" w:eastAsia="Cambria Math"/>
          <w:w w:val="115"/>
          <w:sz w:val="15"/>
        </w:rPr>
        <w:t>𝑛</w:t>
      </w:r>
    </w:p>
    <w:p w14:paraId="29C172F0" w14:textId="77777777" w:rsidR="00A71EEF" w:rsidRDefault="00A71EEF">
      <w:pPr>
        <w:spacing w:line="128" w:lineRule="exact"/>
        <w:rPr>
          <w:rFonts w:ascii="Cambria Math" w:eastAsia="Cambria Math"/>
          <w:sz w:val="15"/>
        </w:rPr>
        <w:sectPr w:rsidR="00A71EEF">
          <w:type w:val="continuous"/>
          <w:pgSz w:w="11910" w:h="16850"/>
          <w:pgMar w:top="1600" w:right="0" w:bottom="1180" w:left="1260" w:header="720" w:footer="720" w:gutter="0"/>
          <w:cols w:num="3" w:space="720" w:equalWidth="0">
            <w:col w:w="3261" w:space="40"/>
            <w:col w:w="662" w:space="39"/>
            <w:col w:w="6648"/>
          </w:cols>
        </w:sectPr>
      </w:pPr>
    </w:p>
    <w:p w14:paraId="7D632A8A" w14:textId="77777777" w:rsidR="00A71EEF" w:rsidRDefault="00A71EEF">
      <w:pPr>
        <w:pStyle w:val="a3"/>
        <w:spacing w:before="9"/>
        <w:rPr>
          <w:rFonts w:ascii="Cambria Math"/>
          <w:sz w:val="10"/>
        </w:rPr>
      </w:pPr>
    </w:p>
    <w:p w14:paraId="6063E9AA" w14:textId="77777777" w:rsidR="00A71EEF" w:rsidRDefault="0081115D">
      <w:pPr>
        <w:pStyle w:val="a3"/>
        <w:spacing w:before="71"/>
        <w:ind w:left="838"/>
      </w:pPr>
      <w:r>
        <w:rPr>
          <w:position w:val="1"/>
        </w:rPr>
        <w:t>式中：</w:t>
      </w:r>
      <w:r>
        <w:rPr>
          <w:position w:val="1"/>
        </w:rPr>
        <w:t>p</w:t>
      </w:r>
      <w:r>
        <w:rPr>
          <w:sz w:val="11"/>
        </w:rPr>
        <w:t>d1</w:t>
      </w:r>
      <w:r>
        <w:rPr>
          <w:position w:val="1"/>
        </w:rPr>
        <w:t>，</w:t>
      </w:r>
      <w:r>
        <w:rPr>
          <w:position w:val="1"/>
        </w:rPr>
        <w:t>pd2……p</w:t>
      </w:r>
      <w:r>
        <w:rPr>
          <w:sz w:val="11"/>
        </w:rPr>
        <w:t>dn</w:t>
      </w:r>
      <w:r>
        <w:rPr>
          <w:position w:val="1"/>
        </w:rPr>
        <w:t>——</w:t>
      </w:r>
      <w:r>
        <w:rPr>
          <w:position w:val="1"/>
        </w:rPr>
        <w:t>同一测试工况下毕托管所测各点的动压值，</w:t>
      </w:r>
      <w:r>
        <w:rPr>
          <w:position w:val="1"/>
        </w:rPr>
        <w:t>Pa</w:t>
      </w:r>
      <w:r>
        <w:rPr>
          <w:position w:val="1"/>
        </w:rPr>
        <w:t>。</w:t>
      </w:r>
      <w:r>
        <w:rPr>
          <w:position w:val="1"/>
        </w:rPr>
        <w:t xml:space="preserve"> </w:t>
      </w:r>
    </w:p>
    <w:p w14:paraId="74081092" w14:textId="77777777" w:rsidR="00A71EEF" w:rsidRDefault="00A71EEF">
      <w:pPr>
        <w:pStyle w:val="a3"/>
        <w:spacing w:before="8"/>
        <w:rPr>
          <w:sz w:val="12"/>
        </w:rPr>
      </w:pPr>
    </w:p>
    <w:p w14:paraId="7470ADDE" w14:textId="77777777" w:rsidR="00A71EEF" w:rsidRDefault="00A71EEF">
      <w:pPr>
        <w:rPr>
          <w:sz w:val="12"/>
        </w:rPr>
        <w:sectPr w:rsidR="00A71EEF">
          <w:type w:val="continuous"/>
          <w:pgSz w:w="11910" w:h="16850"/>
          <w:pgMar w:top="1600" w:right="0" w:bottom="1180" w:left="1260" w:header="720" w:footer="720" w:gutter="0"/>
          <w:cols w:space="720"/>
        </w:sectPr>
      </w:pPr>
    </w:p>
    <w:p w14:paraId="21CB0F2B" w14:textId="77777777" w:rsidR="00A71EEF" w:rsidRDefault="0081115D">
      <w:pPr>
        <w:pStyle w:val="a4"/>
        <w:numPr>
          <w:ilvl w:val="2"/>
          <w:numId w:val="15"/>
        </w:numPr>
        <w:tabs>
          <w:tab w:val="left" w:pos="1370"/>
        </w:tabs>
        <w:spacing w:before="72"/>
        <w:ind w:hanging="530"/>
        <w:rPr>
          <w:sz w:val="21"/>
        </w:rPr>
      </w:pPr>
      <w:r>
        <w:rPr>
          <w:spacing w:val="-3"/>
          <w:sz w:val="21"/>
        </w:rPr>
        <w:t>风机出气口的静压</w:t>
      </w:r>
      <w:r>
        <w:rPr>
          <w:sz w:val="21"/>
        </w:rPr>
        <w:t xml:space="preserve"> </w:t>
      </w:r>
    </w:p>
    <w:p w14:paraId="06119F4B" w14:textId="77777777" w:rsidR="00A71EEF" w:rsidRDefault="0081115D">
      <w:pPr>
        <w:pStyle w:val="a3"/>
        <w:rPr>
          <w:sz w:val="20"/>
        </w:rPr>
      </w:pPr>
      <w:r>
        <w:br w:type="column"/>
      </w:r>
    </w:p>
    <w:p w14:paraId="6D18BC56" w14:textId="77777777" w:rsidR="00A71EEF" w:rsidRDefault="0081115D">
      <w:pPr>
        <w:pStyle w:val="a3"/>
        <w:tabs>
          <w:tab w:val="left" w:pos="1159"/>
        </w:tabs>
        <w:spacing w:before="174" w:line="125" w:lineRule="exact"/>
        <w:ind w:left="840"/>
        <w:rPr>
          <w:rFonts w:ascii="Cambria Math" w:eastAsia="Cambria Math"/>
        </w:rPr>
      </w:pPr>
      <w:r>
        <w:rPr>
          <w:rFonts w:ascii="Cambria Math" w:eastAsia="Cambria Math"/>
        </w:rPr>
        <w:t>𝑝</w:t>
      </w:r>
      <w:r>
        <w:rPr>
          <w:rFonts w:ascii="Cambria Math" w:eastAsia="Cambria Math"/>
        </w:rPr>
        <w:tab/>
        <w:t>=</w:t>
      </w:r>
      <w:r>
        <w:rPr>
          <w:rFonts w:ascii="Cambria Math" w:eastAsia="Cambria Math"/>
          <w:spacing w:val="15"/>
        </w:rPr>
        <w:t xml:space="preserve"> </w:t>
      </w:r>
      <w:r>
        <w:rPr>
          <w:rFonts w:ascii="Cambria Math" w:eastAsia="Cambria Math"/>
          <w:spacing w:val="-152"/>
        </w:rPr>
        <w:t>𝑝</w:t>
      </w:r>
    </w:p>
    <w:p w14:paraId="68FE2301" w14:textId="77777777" w:rsidR="00A71EEF" w:rsidRDefault="0081115D">
      <w:pPr>
        <w:pStyle w:val="a3"/>
        <w:spacing w:before="4"/>
        <w:rPr>
          <w:rFonts w:ascii="Cambria Math"/>
          <w:sz w:val="31"/>
        </w:rPr>
      </w:pPr>
      <w:r>
        <w:br w:type="column"/>
      </w:r>
    </w:p>
    <w:p w14:paraId="7891CFA0" w14:textId="77777777" w:rsidR="00A71EEF" w:rsidRDefault="0081115D">
      <w:pPr>
        <w:spacing w:line="188" w:lineRule="exact"/>
        <w:ind w:left="91"/>
        <w:rPr>
          <w:rFonts w:ascii="Cambria Math" w:eastAsia="Cambria Math" w:hAnsi="Cambria Math"/>
          <w:sz w:val="21"/>
        </w:rPr>
      </w:pPr>
      <w:r>
        <w:rPr>
          <w:rFonts w:ascii="Cambria Math" w:eastAsia="Cambria Math" w:hAnsi="Cambria Math"/>
          <w:sz w:val="21"/>
        </w:rPr>
        <w:t>+ 0.025</w:t>
      </w:r>
      <w:r>
        <w:rPr>
          <w:rFonts w:ascii="Cambria Math" w:eastAsia="Cambria Math" w:hAnsi="Cambria Math"/>
          <w:position w:val="12"/>
          <w:sz w:val="21"/>
          <w:u w:val="single"/>
        </w:rPr>
        <w:t xml:space="preserve"> </w:t>
      </w:r>
      <w:r>
        <w:rPr>
          <w:rFonts w:ascii="Cambria Math" w:eastAsia="Cambria Math" w:hAnsi="Cambria Math"/>
          <w:position w:val="12"/>
          <w:sz w:val="15"/>
          <w:u w:val="single"/>
        </w:rPr>
        <w:t>𝐿</w:t>
      </w:r>
      <w:r>
        <w:rPr>
          <w:rFonts w:ascii="Cambria Math" w:eastAsia="Cambria Math" w:hAnsi="Cambria Math"/>
          <w:position w:val="9"/>
          <w:sz w:val="12"/>
          <w:u w:val="single"/>
        </w:rPr>
        <w:t>𝑎</w:t>
      </w:r>
      <w:r>
        <w:rPr>
          <w:rFonts w:ascii="Cambria Math" w:eastAsia="Cambria Math" w:hAnsi="Cambria Math"/>
          <w:position w:val="9"/>
          <w:sz w:val="12"/>
        </w:rPr>
        <w:t xml:space="preserve"> </w:t>
      </w:r>
      <w:r>
        <w:rPr>
          <w:rFonts w:ascii="Cambria Math" w:eastAsia="Cambria Math" w:hAnsi="Cambria Math"/>
          <w:sz w:val="21"/>
        </w:rPr>
        <w:t xml:space="preserve">· </w:t>
      </w:r>
      <w:r>
        <w:rPr>
          <w:rFonts w:ascii="Cambria Math" w:eastAsia="Cambria Math" w:hAnsi="Cambria Math"/>
          <w:sz w:val="21"/>
        </w:rPr>
        <w:t>𝑝</w:t>
      </w:r>
    </w:p>
    <w:p w14:paraId="0CD72D68" w14:textId="77777777" w:rsidR="00A71EEF" w:rsidRDefault="0081115D">
      <w:pPr>
        <w:pStyle w:val="a3"/>
        <w:rPr>
          <w:rFonts w:ascii="Cambria Math"/>
          <w:sz w:val="20"/>
        </w:rPr>
      </w:pPr>
      <w:r>
        <w:br w:type="column"/>
      </w:r>
    </w:p>
    <w:p w14:paraId="35F5A10F" w14:textId="77777777" w:rsidR="00A71EEF" w:rsidRDefault="00A71EEF">
      <w:pPr>
        <w:pStyle w:val="a3"/>
        <w:spacing w:before="10"/>
        <w:rPr>
          <w:rFonts w:ascii="Cambria Math"/>
          <w:sz w:val="15"/>
        </w:rPr>
      </w:pPr>
    </w:p>
    <w:p w14:paraId="2B3091B8" w14:textId="77777777" w:rsidR="00A71EEF" w:rsidRDefault="0081115D">
      <w:pPr>
        <w:pStyle w:val="a3"/>
        <w:spacing w:line="135" w:lineRule="exact"/>
        <w:ind w:left="60"/>
      </w:pPr>
      <w:r>
        <w:t xml:space="preserve">       </w:t>
      </w:r>
      <w:r>
        <w:t>……………………</w:t>
      </w:r>
      <w:r>
        <w:t>（</w:t>
      </w:r>
      <w:r>
        <w:t>2</w:t>
      </w:r>
      <w:r>
        <w:t>）</w:t>
      </w:r>
      <w:r>
        <w:t xml:space="preserve"> </w:t>
      </w:r>
    </w:p>
    <w:p w14:paraId="01530E73" w14:textId="77777777" w:rsidR="00A71EEF" w:rsidRDefault="00A71EEF">
      <w:pPr>
        <w:spacing w:line="135" w:lineRule="exact"/>
        <w:sectPr w:rsidR="00A71EEF">
          <w:type w:val="continuous"/>
          <w:pgSz w:w="11910" w:h="16850"/>
          <w:pgMar w:top="1600" w:right="0" w:bottom="1180" w:left="1260" w:header="720" w:footer="720" w:gutter="0"/>
          <w:cols w:num="4" w:space="720" w:equalWidth="0">
            <w:col w:w="3301" w:space="53"/>
            <w:col w:w="1494" w:space="39"/>
            <w:col w:w="1281" w:space="39"/>
            <w:col w:w="4443"/>
          </w:cols>
        </w:sectPr>
      </w:pPr>
    </w:p>
    <w:p w14:paraId="6A5DF3A5" w14:textId="77777777" w:rsidR="00A71EEF" w:rsidRDefault="0081115D">
      <w:pPr>
        <w:tabs>
          <w:tab w:val="left" w:pos="535"/>
        </w:tabs>
        <w:spacing w:line="151" w:lineRule="exact"/>
        <w:jc w:val="right"/>
        <w:rPr>
          <w:rFonts w:ascii="Cambria Math" w:eastAsia="Cambria Math"/>
          <w:sz w:val="15"/>
        </w:rPr>
      </w:pPr>
      <w:r>
        <w:rPr>
          <w:rFonts w:ascii="Cambria Math" w:eastAsia="Cambria Math"/>
          <w:w w:val="110"/>
          <w:sz w:val="15"/>
        </w:rPr>
        <w:t>𝑠𝑡</w:t>
      </w:r>
      <w:r>
        <w:rPr>
          <w:rFonts w:ascii="Cambria Math" w:eastAsia="Cambria Math"/>
          <w:w w:val="110"/>
          <w:sz w:val="15"/>
        </w:rPr>
        <w:tab/>
      </w:r>
      <w:r>
        <w:rPr>
          <w:rFonts w:ascii="Cambria Math" w:eastAsia="Cambria Math"/>
          <w:w w:val="110"/>
          <w:sz w:val="15"/>
        </w:rPr>
        <w:t>𝑒</w:t>
      </w:r>
    </w:p>
    <w:p w14:paraId="3158DEAE" w14:textId="77777777" w:rsidR="00A71EEF" w:rsidRDefault="00A71EEF">
      <w:pPr>
        <w:pStyle w:val="a3"/>
        <w:spacing w:before="10"/>
        <w:rPr>
          <w:rFonts w:ascii="Cambria Math"/>
          <w:sz w:val="17"/>
        </w:rPr>
      </w:pPr>
    </w:p>
    <w:p w14:paraId="39638111" w14:textId="77777777" w:rsidR="00A71EEF" w:rsidRDefault="0081115D">
      <w:pPr>
        <w:pStyle w:val="a3"/>
        <w:ind w:left="838"/>
      </w:pPr>
      <w:r>
        <w:rPr>
          <w:position w:val="1"/>
        </w:rPr>
        <w:t>式中：</w:t>
      </w:r>
      <w:r>
        <w:rPr>
          <w:i/>
          <w:position w:val="1"/>
          <w:sz w:val="22"/>
        </w:rPr>
        <w:t>p</w:t>
      </w:r>
      <w:r>
        <w:rPr>
          <w:sz w:val="11"/>
        </w:rPr>
        <w:t>st</w:t>
      </w:r>
      <w:r>
        <w:rPr>
          <w:position w:val="1"/>
        </w:rPr>
        <w:t>——</w:t>
      </w:r>
      <w:r>
        <w:rPr>
          <w:position w:val="1"/>
        </w:rPr>
        <w:t>风机出气口的静压，</w:t>
      </w:r>
      <w:r>
        <w:rPr>
          <w:position w:val="1"/>
        </w:rPr>
        <w:t>Pa</w:t>
      </w:r>
      <w:r>
        <w:rPr>
          <w:position w:val="1"/>
        </w:rPr>
        <w:t>；</w:t>
      </w:r>
      <w:r>
        <w:rPr>
          <w:position w:val="1"/>
        </w:rPr>
        <w:t xml:space="preserve"> </w:t>
      </w:r>
    </w:p>
    <w:p w14:paraId="395B4A6F" w14:textId="77777777" w:rsidR="00A71EEF" w:rsidRDefault="00A71EEF">
      <w:pPr>
        <w:pStyle w:val="a3"/>
        <w:spacing w:before="12"/>
        <w:rPr>
          <w:sz w:val="16"/>
        </w:rPr>
      </w:pPr>
    </w:p>
    <w:p w14:paraId="7E435551" w14:textId="77777777" w:rsidR="00A71EEF" w:rsidRDefault="0081115D">
      <w:pPr>
        <w:pStyle w:val="a3"/>
        <w:ind w:left="1469"/>
      </w:pPr>
      <w:r>
        <w:rPr>
          <w:i/>
          <w:position w:val="1"/>
          <w:sz w:val="22"/>
        </w:rPr>
        <w:t>p</w:t>
      </w:r>
      <w:r>
        <w:rPr>
          <w:sz w:val="11"/>
        </w:rPr>
        <w:t>e</w:t>
      </w:r>
      <w:r>
        <w:rPr>
          <w:position w:val="1"/>
        </w:rPr>
        <w:t>——</w:t>
      </w:r>
      <w:r>
        <w:rPr>
          <w:position w:val="1"/>
        </w:rPr>
        <w:t>静压孔处测得的压力，</w:t>
      </w:r>
      <w:r>
        <w:rPr>
          <w:position w:val="1"/>
        </w:rPr>
        <w:t>Pa</w:t>
      </w:r>
      <w:r>
        <w:rPr>
          <w:position w:val="1"/>
        </w:rPr>
        <w:t>；</w:t>
      </w:r>
      <w:r>
        <w:rPr>
          <w:position w:val="1"/>
        </w:rPr>
        <w:t xml:space="preserve"> </w:t>
      </w:r>
    </w:p>
    <w:p w14:paraId="782D1230" w14:textId="77777777" w:rsidR="00A71EEF" w:rsidRDefault="0081115D">
      <w:pPr>
        <w:tabs>
          <w:tab w:val="left" w:pos="1198"/>
        </w:tabs>
        <w:spacing w:line="196" w:lineRule="auto"/>
        <w:ind w:left="792"/>
        <w:rPr>
          <w:rFonts w:ascii="Cambria Math" w:eastAsia="Cambria Math"/>
          <w:sz w:val="15"/>
        </w:rPr>
      </w:pPr>
      <w:r>
        <w:br w:type="column"/>
      </w:r>
      <w:r>
        <w:rPr>
          <w:rFonts w:ascii="Cambria Math" w:eastAsia="Cambria Math"/>
          <w:w w:val="110"/>
          <w:position w:val="-5"/>
          <w:sz w:val="15"/>
        </w:rPr>
        <w:t>𝐷</w:t>
      </w:r>
      <w:r>
        <w:rPr>
          <w:rFonts w:ascii="Cambria Math" w:eastAsia="Cambria Math"/>
          <w:w w:val="110"/>
          <w:position w:val="-5"/>
          <w:sz w:val="15"/>
        </w:rPr>
        <w:tab/>
      </w:r>
      <w:r>
        <w:rPr>
          <w:rFonts w:ascii="Cambria Math" w:eastAsia="Cambria Math"/>
          <w:w w:val="110"/>
          <w:sz w:val="15"/>
        </w:rPr>
        <w:t>𝑑</w:t>
      </w:r>
    </w:p>
    <w:p w14:paraId="741FAEC0" w14:textId="77777777" w:rsidR="00A71EEF" w:rsidRDefault="00A71EEF">
      <w:pPr>
        <w:spacing w:line="196" w:lineRule="auto"/>
        <w:rPr>
          <w:rFonts w:ascii="Cambria Math" w:eastAsia="Cambria Math"/>
          <w:sz w:val="15"/>
        </w:rPr>
        <w:sectPr w:rsidR="00A71EEF">
          <w:type w:val="continuous"/>
          <w:pgSz w:w="11910" w:h="16850"/>
          <w:pgMar w:top="1600" w:right="0" w:bottom="1180" w:left="1260" w:header="720" w:footer="720" w:gutter="0"/>
          <w:cols w:num="2" w:space="720" w:equalWidth="0">
            <w:col w:w="4922" w:space="40"/>
            <w:col w:w="5688"/>
          </w:cols>
        </w:sectPr>
      </w:pPr>
    </w:p>
    <w:p w14:paraId="7E7FEA91" w14:textId="77777777" w:rsidR="00A71EEF" w:rsidRDefault="00A71EEF">
      <w:pPr>
        <w:pStyle w:val="a3"/>
        <w:spacing w:before="6"/>
        <w:rPr>
          <w:rFonts w:ascii="Cambria Math"/>
          <w:sz w:val="12"/>
        </w:rPr>
      </w:pPr>
    </w:p>
    <w:p w14:paraId="0C56AF65" w14:textId="77777777" w:rsidR="00A71EEF" w:rsidRDefault="0081115D">
      <w:pPr>
        <w:pStyle w:val="a3"/>
        <w:spacing w:before="71" w:line="427" w:lineRule="auto"/>
        <w:ind w:left="1469" w:right="4813"/>
      </w:pPr>
      <w:r>
        <w:rPr>
          <w:i/>
          <w:position w:val="1"/>
          <w:sz w:val="22"/>
        </w:rPr>
        <w:t>L</w:t>
      </w:r>
      <w:r>
        <w:rPr>
          <w:sz w:val="11"/>
        </w:rPr>
        <w:t>a</w:t>
      </w:r>
      <w:r>
        <w:rPr>
          <w:position w:val="1"/>
        </w:rPr>
        <w:t>——</w:t>
      </w:r>
      <w:r>
        <w:rPr>
          <w:position w:val="1"/>
        </w:rPr>
        <w:t>风机出气口至静压测点的风筒长度，</w:t>
      </w:r>
      <w:r>
        <w:rPr>
          <w:position w:val="1"/>
        </w:rPr>
        <w:t>m</w:t>
      </w:r>
      <w:r>
        <w:rPr>
          <w:position w:val="1"/>
        </w:rPr>
        <w:t>；</w:t>
      </w:r>
      <w:r>
        <w:rPr>
          <w:position w:val="1"/>
        </w:rPr>
        <w:t xml:space="preserve"> </w:t>
      </w:r>
      <w:r>
        <w:rPr>
          <w:i/>
          <w:sz w:val="22"/>
        </w:rPr>
        <w:t>d</w:t>
      </w:r>
      <w:r>
        <w:t>——</w:t>
      </w:r>
      <w:r>
        <w:t>试验风筒内径，</w:t>
      </w:r>
      <w:r>
        <w:t>m</w:t>
      </w:r>
      <w:r>
        <w:t>。</w:t>
      </w:r>
      <w:r>
        <w:t xml:space="preserve"> </w:t>
      </w:r>
    </w:p>
    <w:p w14:paraId="74936CC3" w14:textId="77777777" w:rsidR="00A71EEF" w:rsidRDefault="0081115D">
      <w:pPr>
        <w:pStyle w:val="a4"/>
        <w:numPr>
          <w:ilvl w:val="2"/>
          <w:numId w:val="15"/>
        </w:numPr>
        <w:tabs>
          <w:tab w:val="left" w:pos="1370"/>
        </w:tabs>
        <w:spacing w:before="8"/>
        <w:ind w:hanging="530"/>
        <w:rPr>
          <w:sz w:val="21"/>
        </w:rPr>
      </w:pPr>
      <w:r>
        <w:rPr>
          <w:spacing w:val="-3"/>
          <w:sz w:val="21"/>
        </w:rPr>
        <w:t>全压</w:t>
      </w:r>
      <w:r>
        <w:rPr>
          <w:sz w:val="21"/>
        </w:rPr>
        <w:t xml:space="preserve"> </w:t>
      </w:r>
    </w:p>
    <w:p w14:paraId="56C06216" w14:textId="77777777" w:rsidR="00A71EEF" w:rsidRDefault="00A71EEF">
      <w:pPr>
        <w:pStyle w:val="a3"/>
        <w:spacing w:before="12"/>
        <w:rPr>
          <w:sz w:val="17"/>
        </w:rPr>
      </w:pPr>
    </w:p>
    <w:p w14:paraId="2D7FB98A" w14:textId="77777777" w:rsidR="00A71EEF" w:rsidRDefault="0081115D">
      <w:pPr>
        <w:tabs>
          <w:tab w:val="left" w:leader="dot" w:pos="8684"/>
        </w:tabs>
        <w:ind w:left="4589"/>
        <w:rPr>
          <w:sz w:val="21"/>
        </w:rPr>
      </w:pPr>
      <w:r>
        <w:rPr>
          <w:rFonts w:ascii="Cambria Math" w:eastAsia="Cambria Math"/>
          <w:sz w:val="21"/>
        </w:rPr>
        <w:t>p</w:t>
      </w:r>
      <w:r>
        <w:rPr>
          <w:rFonts w:ascii="Cambria Math" w:eastAsia="Cambria Math"/>
          <w:position w:val="1"/>
          <w:sz w:val="21"/>
        </w:rPr>
        <w:t>(</w:t>
      </w:r>
      <w:r>
        <w:rPr>
          <w:rFonts w:ascii="Cambria Math" w:eastAsia="Cambria Math"/>
          <w:sz w:val="21"/>
        </w:rPr>
        <w:t>Pa</w:t>
      </w:r>
      <w:r>
        <w:rPr>
          <w:rFonts w:ascii="Cambria Math" w:eastAsia="Cambria Math"/>
          <w:position w:val="1"/>
          <w:sz w:val="21"/>
        </w:rPr>
        <w:t xml:space="preserve">) </w:t>
      </w:r>
      <w:r>
        <w:rPr>
          <w:rFonts w:ascii="Cambria Math" w:eastAsia="Cambria Math"/>
          <w:sz w:val="21"/>
        </w:rPr>
        <w:t xml:space="preserve">=  </w:t>
      </w:r>
      <w:r>
        <w:rPr>
          <w:rFonts w:ascii="Cambria Math" w:eastAsia="Cambria Math"/>
          <w:spacing w:val="-4"/>
          <w:sz w:val="21"/>
        </w:rPr>
        <w:t>𝑝</w:t>
      </w:r>
      <w:r>
        <w:rPr>
          <w:rFonts w:ascii="Cambria Math" w:eastAsia="Cambria Math"/>
          <w:spacing w:val="-4"/>
          <w:position w:val="-3"/>
          <w:sz w:val="15"/>
        </w:rPr>
        <w:t>𝑛</w:t>
      </w:r>
      <w:r>
        <w:rPr>
          <w:rFonts w:ascii="Cambria Math" w:eastAsia="Cambria Math"/>
          <w:spacing w:val="5"/>
          <w:position w:val="-3"/>
          <w:sz w:val="15"/>
        </w:rPr>
        <w:t xml:space="preserve"> </w:t>
      </w:r>
      <w:r>
        <w:rPr>
          <w:rFonts w:ascii="Cambria Math" w:eastAsia="Cambria Math"/>
          <w:sz w:val="21"/>
        </w:rPr>
        <w:t>+</w:t>
      </w:r>
      <w:r>
        <w:rPr>
          <w:rFonts w:ascii="Cambria Math" w:eastAsia="Cambria Math"/>
          <w:spacing w:val="1"/>
          <w:sz w:val="21"/>
        </w:rPr>
        <w:t xml:space="preserve"> </w:t>
      </w:r>
      <w:r>
        <w:rPr>
          <w:rFonts w:ascii="Cambria Math" w:eastAsia="Cambria Math"/>
          <w:spacing w:val="-4"/>
          <w:sz w:val="21"/>
        </w:rPr>
        <w:t>𝑝</w:t>
      </w:r>
      <w:r>
        <w:rPr>
          <w:rFonts w:ascii="Cambria Math" w:eastAsia="Cambria Math"/>
          <w:spacing w:val="-4"/>
          <w:position w:val="-3"/>
          <w:sz w:val="15"/>
        </w:rPr>
        <w:t>𝑑</w:t>
      </w:r>
      <w:r>
        <w:rPr>
          <w:rFonts w:ascii="Cambria Math" w:eastAsia="Cambria Math"/>
          <w:spacing w:val="-4"/>
          <w:position w:val="-3"/>
          <w:sz w:val="15"/>
        </w:rPr>
        <w:tab/>
      </w:r>
      <w:r>
        <w:rPr>
          <w:sz w:val="21"/>
        </w:rPr>
        <w:t>（</w:t>
      </w:r>
      <w:r>
        <w:rPr>
          <w:sz w:val="21"/>
        </w:rPr>
        <w:t>3</w:t>
      </w:r>
      <w:r>
        <w:rPr>
          <w:sz w:val="21"/>
        </w:rPr>
        <w:t>）</w:t>
      </w:r>
      <w:r>
        <w:rPr>
          <w:sz w:val="21"/>
        </w:rPr>
        <w:t xml:space="preserve"> </w:t>
      </w:r>
    </w:p>
    <w:p w14:paraId="17FDAAEB" w14:textId="77777777" w:rsidR="00A71EEF" w:rsidRDefault="00A71EEF">
      <w:pPr>
        <w:pStyle w:val="a3"/>
        <w:spacing w:before="6"/>
        <w:rPr>
          <w:sz w:val="11"/>
        </w:rPr>
      </w:pPr>
    </w:p>
    <w:p w14:paraId="7992AD4B" w14:textId="77777777" w:rsidR="00A71EEF" w:rsidRDefault="00A71EEF">
      <w:pPr>
        <w:rPr>
          <w:sz w:val="11"/>
        </w:rPr>
        <w:sectPr w:rsidR="00A71EEF">
          <w:type w:val="continuous"/>
          <w:pgSz w:w="11910" w:h="16850"/>
          <w:pgMar w:top="1600" w:right="0" w:bottom="1180" w:left="1260" w:header="720" w:footer="720" w:gutter="0"/>
          <w:cols w:space="720"/>
        </w:sectPr>
      </w:pPr>
    </w:p>
    <w:p w14:paraId="0B0F11BB" w14:textId="77777777" w:rsidR="00A71EEF" w:rsidRDefault="0081115D">
      <w:pPr>
        <w:pStyle w:val="a4"/>
        <w:numPr>
          <w:ilvl w:val="2"/>
          <w:numId w:val="15"/>
        </w:numPr>
        <w:tabs>
          <w:tab w:val="left" w:pos="1371"/>
        </w:tabs>
        <w:spacing w:before="72"/>
        <w:ind w:left="1370" w:hanging="531"/>
        <w:rPr>
          <w:sz w:val="21"/>
        </w:rPr>
      </w:pPr>
      <w:r>
        <w:rPr>
          <w:spacing w:val="-3"/>
          <w:sz w:val="21"/>
        </w:rPr>
        <w:t>风量</w:t>
      </w:r>
      <w:r>
        <w:rPr>
          <w:sz w:val="21"/>
        </w:rPr>
        <w:t xml:space="preserve"> </w:t>
      </w:r>
    </w:p>
    <w:p w14:paraId="5C27F398" w14:textId="77777777" w:rsidR="00A71EEF" w:rsidRDefault="0081115D">
      <w:pPr>
        <w:pStyle w:val="a3"/>
        <w:rPr>
          <w:sz w:val="20"/>
        </w:rPr>
      </w:pPr>
      <w:r>
        <w:br w:type="column"/>
      </w:r>
    </w:p>
    <w:p w14:paraId="03B9050F" w14:textId="77777777" w:rsidR="00A71EEF" w:rsidRDefault="0081115D">
      <w:pPr>
        <w:pStyle w:val="a3"/>
        <w:spacing w:before="1"/>
        <w:rPr>
          <w:sz w:val="10"/>
        </w:rPr>
      </w:pPr>
      <w:r>
        <w:pict w14:anchorId="0D065B75">
          <v:line id="_x0000_s1048" style="position:absolute;z-index:-251479552;mso-wrap-distance-left:0;mso-wrap-distance-right:0;mso-position-horizontal-relative:page" from="354.55pt,8.85pt" to="376.5pt,8.85pt" strokeweight=".72pt">
            <w10:wrap type="topAndBottom" anchorx="page"/>
          </v:line>
        </w:pict>
      </w:r>
    </w:p>
    <w:p w14:paraId="6C03C712" w14:textId="77777777" w:rsidR="00A71EEF" w:rsidRDefault="0081115D">
      <w:pPr>
        <w:pStyle w:val="a3"/>
        <w:tabs>
          <w:tab w:val="left" w:leader="dot" w:pos="5002"/>
        </w:tabs>
        <w:spacing w:line="168" w:lineRule="exact"/>
        <w:ind w:left="840"/>
      </w:pPr>
      <w:r>
        <w:rPr>
          <w:rFonts w:ascii="Cambria Math" w:eastAsia="Cambria Math" w:hAnsi="Cambria Math"/>
          <w:w w:val="105"/>
        </w:rPr>
        <w:t>Q (</w:t>
      </w:r>
      <w:r>
        <w:rPr>
          <w:rFonts w:ascii="Cambria Math" w:eastAsia="Cambria Math" w:hAnsi="Cambria Math"/>
          <w:w w:val="105"/>
          <w:position w:val="13"/>
          <w:sz w:val="15"/>
        </w:rPr>
        <w:t>m</w:t>
      </w:r>
      <w:r>
        <w:rPr>
          <w:rFonts w:ascii="Cambria Math" w:eastAsia="Cambria Math" w:hAnsi="Cambria Math"/>
          <w:w w:val="105"/>
          <w:position w:val="18"/>
          <w:sz w:val="12"/>
        </w:rPr>
        <w:t>3</w:t>
      </w:r>
      <w:r>
        <w:rPr>
          <w:rFonts w:ascii="Cambria Math" w:eastAsia="Cambria Math" w:hAnsi="Cambria Math"/>
          <w:w w:val="105"/>
        </w:rPr>
        <w:t>) = A</w:t>
      </w:r>
      <w:r>
        <w:rPr>
          <w:rFonts w:ascii="Cambria Math" w:eastAsia="Cambria Math" w:hAnsi="Cambria Math"/>
          <w:spacing w:val="5"/>
          <w:w w:val="105"/>
        </w:rPr>
        <w:t xml:space="preserve"> </w:t>
      </w:r>
      <w:r>
        <w:rPr>
          <w:rFonts w:ascii="Cambria Math" w:eastAsia="Cambria Math" w:hAnsi="Cambria Math"/>
          <w:w w:val="105"/>
        </w:rPr>
        <w:t>·</w:t>
      </w:r>
      <w:r>
        <w:rPr>
          <w:rFonts w:ascii="Cambria Math" w:eastAsia="Cambria Math" w:hAnsi="Cambria Math"/>
          <w:spacing w:val="-1"/>
          <w:w w:val="105"/>
        </w:rPr>
        <w:t xml:space="preserve"> </w:t>
      </w:r>
      <w:r>
        <w:rPr>
          <w:rFonts w:ascii="Cambria Math" w:eastAsia="Cambria Math" w:hAnsi="Cambria Math"/>
          <w:spacing w:val="-5"/>
          <w:w w:val="105"/>
          <w:position w:val="3"/>
        </w:rPr>
        <w:t>√</w:t>
      </w:r>
      <w:r>
        <w:rPr>
          <w:rFonts w:ascii="Cambria Math" w:eastAsia="Cambria Math" w:hAnsi="Cambria Math"/>
          <w:spacing w:val="-5"/>
          <w:w w:val="105"/>
          <w:position w:val="11"/>
        </w:rPr>
        <w:t>2</w:t>
      </w:r>
      <w:r>
        <w:rPr>
          <w:rFonts w:ascii="Cambria Math" w:eastAsia="Cambria Math" w:hAnsi="Cambria Math"/>
          <w:spacing w:val="-5"/>
          <w:w w:val="105"/>
          <w:position w:val="11"/>
        </w:rPr>
        <w:t>𝑝</w:t>
      </w:r>
      <w:r>
        <w:rPr>
          <w:rFonts w:ascii="Cambria Math" w:eastAsia="Cambria Math" w:hAnsi="Cambria Math"/>
          <w:spacing w:val="-5"/>
          <w:w w:val="105"/>
          <w:position w:val="1"/>
        </w:rPr>
        <w:t>⁄</w:t>
      </w:r>
      <w:r>
        <w:rPr>
          <w:rFonts w:ascii="Cambria Math" w:eastAsia="Cambria Math" w:hAnsi="Cambria Math"/>
          <w:spacing w:val="-5"/>
          <w:w w:val="105"/>
          <w:position w:val="1"/>
        </w:rPr>
        <w:tab/>
      </w:r>
      <w:r>
        <w:rPr>
          <w:w w:val="105"/>
        </w:rPr>
        <w:t>（</w:t>
      </w:r>
      <w:r>
        <w:rPr>
          <w:w w:val="105"/>
        </w:rPr>
        <w:t>4</w:t>
      </w:r>
      <w:r>
        <w:rPr>
          <w:w w:val="105"/>
        </w:rPr>
        <w:t>）</w:t>
      </w:r>
      <w:r>
        <w:rPr>
          <w:w w:val="105"/>
        </w:rPr>
        <w:t xml:space="preserve"> </w:t>
      </w:r>
    </w:p>
    <w:p w14:paraId="67F8E756" w14:textId="77777777" w:rsidR="00A71EEF" w:rsidRDefault="00A71EEF">
      <w:pPr>
        <w:pStyle w:val="a3"/>
        <w:spacing w:before="10"/>
        <w:rPr>
          <w:sz w:val="3"/>
        </w:rPr>
      </w:pPr>
    </w:p>
    <w:p w14:paraId="52CFBA5D" w14:textId="77777777" w:rsidR="00A71EEF" w:rsidRDefault="0081115D">
      <w:pPr>
        <w:pStyle w:val="a3"/>
        <w:spacing w:line="20" w:lineRule="exact"/>
        <w:ind w:left="1108"/>
        <w:rPr>
          <w:sz w:val="2"/>
        </w:rPr>
      </w:pPr>
      <w:r>
        <w:rPr>
          <w:sz w:val="2"/>
        </w:rPr>
      </w:r>
      <w:r>
        <w:rPr>
          <w:sz w:val="2"/>
        </w:rPr>
        <w:pict w14:anchorId="457AAA0F">
          <v:group id="_x0000_s1046" style="width:10.8pt;height:.75pt;mso-position-horizontal-relative:char;mso-position-vertical-relative:line" coordsize="216,15">
            <v:line id="_x0000_s1047" style="position:absolute" from="0,7" to="216,7" strokeweight=".72pt"/>
            <w10:anchorlock/>
          </v:group>
        </w:pict>
      </w:r>
    </w:p>
    <w:p w14:paraId="062D5FC0" w14:textId="77777777" w:rsidR="00A71EEF" w:rsidRDefault="00A71EEF">
      <w:pPr>
        <w:spacing w:line="20" w:lineRule="exact"/>
        <w:rPr>
          <w:sz w:val="2"/>
        </w:rPr>
        <w:sectPr w:rsidR="00A71EEF">
          <w:type w:val="continuous"/>
          <w:pgSz w:w="11910" w:h="16850"/>
          <w:pgMar w:top="1600" w:right="0" w:bottom="1180" w:left="1260" w:header="720" w:footer="720" w:gutter="0"/>
          <w:cols w:num="2" w:space="720" w:equalWidth="0">
            <w:col w:w="2040" w:space="1640"/>
            <w:col w:w="6970"/>
          </w:cols>
        </w:sectPr>
      </w:pPr>
    </w:p>
    <w:p w14:paraId="15BEF3B0" w14:textId="77777777" w:rsidR="00A71EEF" w:rsidRDefault="0081115D">
      <w:pPr>
        <w:tabs>
          <w:tab w:val="left" w:pos="1768"/>
        </w:tabs>
        <w:spacing w:line="115" w:lineRule="auto"/>
        <w:ind w:left="486"/>
        <w:jc w:val="center"/>
        <w:rPr>
          <w:rFonts w:ascii="Cambria Math" w:eastAsia="Cambria Math"/>
          <w:sz w:val="21"/>
        </w:rPr>
      </w:pPr>
      <w:r>
        <w:rPr>
          <w:rFonts w:ascii="Cambria Math" w:eastAsia="Cambria Math"/>
          <w:w w:val="110"/>
          <w:position w:val="-5"/>
          <w:sz w:val="15"/>
        </w:rPr>
        <w:t>s</w:t>
      </w:r>
      <w:r>
        <w:rPr>
          <w:rFonts w:ascii="Cambria Math" w:eastAsia="Cambria Math"/>
          <w:w w:val="110"/>
          <w:position w:val="-5"/>
          <w:sz w:val="15"/>
        </w:rPr>
        <w:tab/>
      </w:r>
      <w:r>
        <w:rPr>
          <w:rFonts w:ascii="Cambria Math" w:eastAsia="Cambria Math"/>
          <w:w w:val="110"/>
          <w:sz w:val="21"/>
        </w:rPr>
        <w:t>𝜌</w:t>
      </w:r>
    </w:p>
    <w:p w14:paraId="59975D7C" w14:textId="77777777" w:rsidR="00A71EEF" w:rsidRDefault="00A71EEF">
      <w:pPr>
        <w:spacing w:line="115" w:lineRule="auto"/>
        <w:jc w:val="center"/>
        <w:rPr>
          <w:rFonts w:ascii="Cambria Math" w:eastAsia="Cambria Math"/>
          <w:sz w:val="21"/>
        </w:rPr>
        <w:sectPr w:rsidR="00A71EEF">
          <w:type w:val="continuous"/>
          <w:pgSz w:w="11910" w:h="16850"/>
          <w:pgMar w:top="1600" w:right="0" w:bottom="1180" w:left="1260" w:header="720" w:footer="720" w:gutter="0"/>
          <w:cols w:space="720"/>
        </w:sectPr>
      </w:pPr>
    </w:p>
    <w:p w14:paraId="1EEA40E1" w14:textId="77777777" w:rsidR="00A71EEF" w:rsidRDefault="0081115D">
      <w:pPr>
        <w:pStyle w:val="a3"/>
        <w:spacing w:before="47"/>
        <w:ind w:left="838"/>
      </w:pPr>
      <w:r>
        <w:t>式中：</w:t>
      </w:r>
      <w:r>
        <w:t>A——</w:t>
      </w:r>
      <w:r>
        <w:t>测量风筒内截面面积，㎡；</w:t>
      </w:r>
      <w:r>
        <w:t xml:space="preserve"> </w:t>
      </w:r>
    </w:p>
    <w:p w14:paraId="1BC7C19F" w14:textId="77777777" w:rsidR="00A71EEF" w:rsidRDefault="00A71EEF">
      <w:pPr>
        <w:pStyle w:val="a3"/>
        <w:rPr>
          <w:sz w:val="18"/>
        </w:rPr>
      </w:pPr>
    </w:p>
    <w:p w14:paraId="595BA7FC" w14:textId="77777777" w:rsidR="00A71EEF" w:rsidRDefault="0081115D">
      <w:pPr>
        <w:pStyle w:val="a3"/>
        <w:ind w:left="838"/>
      </w:pPr>
      <w:r>
        <w:t>ρ——</w:t>
      </w:r>
      <w:r>
        <w:t>空气密度，</w:t>
      </w:r>
      <w:r>
        <w:t>kg/m³</w:t>
      </w:r>
      <w:r>
        <w:t>。</w:t>
      </w:r>
      <w:r>
        <w:t xml:space="preserve"> </w:t>
      </w:r>
    </w:p>
    <w:p w14:paraId="2C48435E" w14:textId="77777777" w:rsidR="00A71EEF" w:rsidRDefault="0081115D">
      <w:pPr>
        <w:pStyle w:val="a3"/>
        <w:tabs>
          <w:tab w:val="left" w:leader="dot" w:pos="8252"/>
        </w:tabs>
        <w:spacing w:before="19" w:line="274" w:lineRule="exact"/>
        <w:ind w:left="838"/>
      </w:pPr>
      <w:r>
        <w:t>其</w:t>
      </w:r>
      <w:r>
        <w:t xml:space="preserve"> </w:t>
      </w:r>
      <w:r>
        <w:t>中</w:t>
      </w:r>
      <w:r>
        <w:t xml:space="preserve"> </w:t>
      </w:r>
      <w:r>
        <w:rPr>
          <w:spacing w:val="-3"/>
        </w:rPr>
        <w:t>：</w:t>
      </w:r>
      <w:r>
        <w:rPr>
          <w:spacing w:val="-3"/>
        </w:rPr>
        <w:t xml:space="preserve">                     </w:t>
      </w:r>
      <w:r>
        <w:rPr>
          <w:spacing w:val="40"/>
        </w:rPr>
        <w:t xml:space="preserve"> </w:t>
      </w:r>
      <w:r>
        <w:t xml:space="preserve">ρ </w:t>
      </w:r>
      <w:r>
        <w:rPr>
          <w:rFonts w:ascii="Cambria Math" w:eastAsia="Cambria Math" w:hAnsi="Cambria Math"/>
        </w:rPr>
        <w:t xml:space="preserve">= 0.00347 × </w:t>
      </w:r>
      <w:r>
        <w:rPr>
          <w:rFonts w:ascii="Cambria Math" w:eastAsia="Cambria Math" w:hAnsi="Cambria Math"/>
          <w:spacing w:val="3"/>
          <w:position w:val="12"/>
          <w:u w:val="single"/>
        </w:rPr>
        <w:t xml:space="preserve"> </w:t>
      </w:r>
      <w:r>
        <w:rPr>
          <w:rFonts w:ascii="Cambria Math" w:eastAsia="Cambria Math" w:hAnsi="Cambria Math"/>
          <w:position w:val="12"/>
          <w:sz w:val="15"/>
          <w:u w:val="single"/>
        </w:rPr>
        <w:t>𝑝</w:t>
      </w:r>
      <w:r>
        <w:rPr>
          <w:rFonts w:ascii="Cambria Math" w:eastAsia="Cambria Math" w:hAnsi="Cambria Math"/>
          <w:position w:val="9"/>
          <w:sz w:val="12"/>
          <w:u w:val="single"/>
        </w:rPr>
        <w:t>𝑎</w:t>
      </w:r>
      <w:r>
        <w:rPr>
          <w:rFonts w:ascii="Cambria Math" w:eastAsia="Cambria Math" w:hAnsi="Cambria Math"/>
          <w:position w:val="9"/>
          <w:sz w:val="12"/>
        </w:rPr>
        <w:tab/>
      </w:r>
      <w:r>
        <w:t>（</w:t>
      </w:r>
      <w:r>
        <w:t>5</w:t>
      </w:r>
      <w:r>
        <w:t>）</w:t>
      </w:r>
      <w:r>
        <w:t xml:space="preserve"> </w:t>
      </w:r>
    </w:p>
    <w:p w14:paraId="6B4D384D" w14:textId="77777777" w:rsidR="00A71EEF" w:rsidRDefault="0081115D">
      <w:pPr>
        <w:spacing w:line="128" w:lineRule="exact"/>
        <w:ind w:left="1880" w:right="1346"/>
        <w:jc w:val="center"/>
        <w:rPr>
          <w:rFonts w:ascii="Cambria Math" w:eastAsia="Cambria Math"/>
          <w:sz w:val="15"/>
        </w:rPr>
      </w:pPr>
      <w:r>
        <w:rPr>
          <w:rFonts w:ascii="Cambria Math" w:eastAsia="Cambria Math"/>
          <w:w w:val="105"/>
          <w:sz w:val="15"/>
        </w:rPr>
        <w:t>𝑇</w:t>
      </w:r>
      <w:r>
        <w:rPr>
          <w:rFonts w:ascii="Cambria Math" w:eastAsia="Cambria Math"/>
          <w:w w:val="105"/>
          <w:sz w:val="15"/>
        </w:rPr>
        <w:t>+</w:t>
      </w:r>
      <w:r>
        <w:rPr>
          <w:rFonts w:ascii="Cambria Math" w:eastAsia="Cambria Math"/>
          <w:w w:val="105"/>
          <w:sz w:val="15"/>
        </w:rPr>
        <w:t>𝑡</w:t>
      </w:r>
    </w:p>
    <w:p w14:paraId="0C75C2EF" w14:textId="77777777" w:rsidR="00A71EEF" w:rsidRDefault="0081115D">
      <w:pPr>
        <w:pStyle w:val="a3"/>
        <w:spacing w:before="160" w:line="446" w:lineRule="auto"/>
        <w:ind w:left="1469" w:right="6234" w:hanging="632"/>
      </w:pPr>
      <w:r>
        <w:t>式中：</w:t>
      </w:r>
      <w:r>
        <w:t>pn</w:t>
      </w:r>
      <w:r>
        <w:rPr>
          <w:spacing w:val="-3"/>
        </w:rPr>
        <w:t>——</w:t>
      </w:r>
      <w:r>
        <w:rPr>
          <w:spacing w:val="-3"/>
        </w:rPr>
        <w:t>试验时的大气压，</w:t>
      </w:r>
      <w:r>
        <w:t>Pa</w:t>
      </w:r>
      <w:r>
        <w:t>；</w:t>
      </w:r>
      <w:r>
        <w:t xml:space="preserve"> t—</w:t>
      </w:r>
      <w:r>
        <w:rPr>
          <w:spacing w:val="-3"/>
        </w:rPr>
        <w:t>—</w:t>
      </w:r>
      <w:r>
        <w:rPr>
          <w:spacing w:val="-3"/>
        </w:rPr>
        <w:t>试验时的环境温度，</w:t>
      </w:r>
      <w:r>
        <w:rPr>
          <w:spacing w:val="-3"/>
        </w:rPr>
        <w:t>℃</w:t>
      </w:r>
      <w:r>
        <w:rPr>
          <w:spacing w:val="-3"/>
        </w:rPr>
        <w:t>；</w:t>
      </w:r>
      <w:r>
        <w:rPr>
          <w:spacing w:val="-3"/>
        </w:rPr>
        <w:t xml:space="preserve"> T——</w:t>
      </w:r>
      <w:r>
        <w:rPr>
          <w:spacing w:val="-3"/>
        </w:rPr>
        <w:t>绝对温度</w:t>
      </w:r>
      <w:r>
        <w:t>，</w:t>
      </w:r>
      <w:r>
        <w:t>T=273℃</w:t>
      </w:r>
      <w:r>
        <w:t>。</w:t>
      </w:r>
      <w:r>
        <w:t xml:space="preserve"> </w:t>
      </w:r>
    </w:p>
    <w:p w14:paraId="1CC4001A" w14:textId="77777777" w:rsidR="00A71EEF" w:rsidRDefault="0081115D">
      <w:pPr>
        <w:pStyle w:val="a4"/>
        <w:numPr>
          <w:ilvl w:val="2"/>
          <w:numId w:val="15"/>
        </w:numPr>
        <w:tabs>
          <w:tab w:val="left" w:pos="1370"/>
        </w:tabs>
        <w:spacing w:line="268" w:lineRule="exact"/>
        <w:ind w:hanging="530"/>
        <w:rPr>
          <w:sz w:val="21"/>
        </w:rPr>
      </w:pPr>
      <w:r>
        <w:rPr>
          <w:spacing w:val="-3"/>
          <w:sz w:val="21"/>
        </w:rPr>
        <w:t>全压空气功率</w:t>
      </w:r>
      <w:r>
        <w:rPr>
          <w:sz w:val="21"/>
        </w:rPr>
        <w:t xml:space="preserve"> </w:t>
      </w:r>
    </w:p>
    <w:p w14:paraId="26449E8B" w14:textId="77777777" w:rsidR="00A71EEF" w:rsidRDefault="0081115D">
      <w:pPr>
        <w:tabs>
          <w:tab w:val="left" w:leader="dot" w:pos="6740"/>
        </w:tabs>
        <w:spacing w:before="179" w:after="6" w:line="188" w:lineRule="exact"/>
        <w:ind w:left="2782"/>
        <w:rPr>
          <w:sz w:val="21"/>
        </w:rPr>
      </w:pPr>
      <w:r>
        <w:rPr>
          <w:rFonts w:ascii="Cambria Math" w:eastAsia="Cambria Math" w:hAnsi="Cambria Math"/>
          <w:sz w:val="21"/>
        </w:rPr>
        <w:t xml:space="preserve">N  </w:t>
      </w:r>
      <w:r>
        <w:rPr>
          <w:rFonts w:ascii="Cambria Math" w:eastAsia="Cambria Math" w:hAnsi="Cambria Math"/>
          <w:position w:val="1"/>
          <w:sz w:val="21"/>
        </w:rPr>
        <w:t>(</w:t>
      </w:r>
      <w:r>
        <w:rPr>
          <w:rFonts w:ascii="Cambria Math" w:eastAsia="Cambria Math" w:hAnsi="Cambria Math"/>
          <w:sz w:val="21"/>
        </w:rPr>
        <w:t>kW</w:t>
      </w:r>
      <w:r>
        <w:rPr>
          <w:rFonts w:ascii="Cambria Math" w:eastAsia="Cambria Math" w:hAnsi="Cambria Math"/>
          <w:position w:val="1"/>
          <w:sz w:val="21"/>
        </w:rPr>
        <w:t>)</w:t>
      </w:r>
      <w:r>
        <w:rPr>
          <w:rFonts w:ascii="Cambria Math" w:eastAsia="Cambria Math" w:hAnsi="Cambria Math"/>
          <w:spacing w:val="16"/>
          <w:position w:val="1"/>
          <w:sz w:val="21"/>
        </w:rPr>
        <w:t xml:space="preserve"> </w:t>
      </w:r>
      <w:r>
        <w:rPr>
          <w:rFonts w:ascii="Cambria Math" w:eastAsia="Cambria Math" w:hAnsi="Cambria Math"/>
          <w:sz w:val="21"/>
        </w:rPr>
        <w:t xml:space="preserve">= </w:t>
      </w:r>
      <w:r>
        <w:rPr>
          <w:rFonts w:ascii="Cambria Math" w:eastAsia="Cambria Math" w:hAnsi="Cambria Math"/>
          <w:spacing w:val="19"/>
          <w:sz w:val="21"/>
        </w:rPr>
        <w:t xml:space="preserve"> </w:t>
      </w:r>
      <w:r>
        <w:rPr>
          <w:rFonts w:ascii="Cambria Math" w:eastAsia="Cambria Math" w:hAnsi="Cambria Math"/>
          <w:position w:val="12"/>
          <w:sz w:val="15"/>
        </w:rPr>
        <w:t>Q·p</w:t>
      </w:r>
      <w:r>
        <w:rPr>
          <w:rFonts w:ascii="Cambria Math" w:eastAsia="Cambria Math" w:hAnsi="Cambria Math"/>
          <w:position w:val="12"/>
          <w:sz w:val="15"/>
        </w:rPr>
        <w:tab/>
      </w:r>
      <w:r>
        <w:rPr>
          <w:sz w:val="21"/>
        </w:rPr>
        <w:t>（</w:t>
      </w:r>
      <w:r>
        <w:rPr>
          <w:sz w:val="21"/>
        </w:rPr>
        <w:t>6</w:t>
      </w:r>
      <w:r>
        <w:rPr>
          <w:sz w:val="21"/>
        </w:rPr>
        <w:t>）</w:t>
      </w:r>
      <w:r>
        <w:rPr>
          <w:sz w:val="21"/>
        </w:rPr>
        <w:t xml:space="preserve"> </w:t>
      </w:r>
    </w:p>
    <w:p w14:paraId="3182FDB5" w14:textId="77777777" w:rsidR="00A71EEF" w:rsidRDefault="0081115D">
      <w:pPr>
        <w:pStyle w:val="a3"/>
        <w:spacing w:line="20" w:lineRule="exact"/>
        <w:ind w:left="3758"/>
        <w:rPr>
          <w:sz w:val="2"/>
        </w:rPr>
      </w:pPr>
      <w:r>
        <w:rPr>
          <w:sz w:val="2"/>
        </w:rPr>
      </w:r>
      <w:r>
        <w:rPr>
          <w:sz w:val="2"/>
        </w:rPr>
        <w:pict w14:anchorId="1EBCC756">
          <v:group id="_x0000_s1044" style="width:17.4pt;height:.75pt;mso-position-horizontal-relative:char;mso-position-vertical-relative:line" coordsize="348,15">
            <v:line id="_x0000_s1045" style="position:absolute" from="0,7" to="348,7" strokeweight=".72pt"/>
            <w10:anchorlock/>
          </v:group>
        </w:pict>
      </w:r>
    </w:p>
    <w:p w14:paraId="094BDFF9" w14:textId="77777777" w:rsidR="00A71EEF" w:rsidRDefault="00A71EEF">
      <w:pPr>
        <w:spacing w:line="20" w:lineRule="exact"/>
        <w:rPr>
          <w:sz w:val="2"/>
        </w:rPr>
        <w:sectPr w:rsidR="00A71EEF">
          <w:pgSz w:w="11910" w:h="16850"/>
          <w:pgMar w:top="1220" w:right="0" w:bottom="1420" w:left="1260" w:header="0" w:footer="1239" w:gutter="0"/>
          <w:cols w:space="720"/>
        </w:sectPr>
      </w:pPr>
    </w:p>
    <w:p w14:paraId="3EDC176B" w14:textId="77777777" w:rsidR="00A71EEF" w:rsidRDefault="0081115D">
      <w:pPr>
        <w:spacing w:line="125" w:lineRule="exact"/>
        <w:jc w:val="right"/>
        <w:rPr>
          <w:rFonts w:ascii="Cambria Math"/>
          <w:sz w:val="15"/>
        </w:rPr>
      </w:pPr>
      <w:r>
        <w:rPr>
          <w:rFonts w:ascii="Cambria Math"/>
          <w:w w:val="105"/>
          <w:sz w:val="15"/>
        </w:rPr>
        <w:t>1</w:t>
      </w:r>
    </w:p>
    <w:p w14:paraId="1C7B340C" w14:textId="77777777" w:rsidR="00A71EEF" w:rsidRDefault="00A71EEF">
      <w:pPr>
        <w:pStyle w:val="a3"/>
        <w:spacing w:before="4"/>
        <w:rPr>
          <w:rFonts w:ascii="Cambria Math"/>
          <w:sz w:val="18"/>
        </w:rPr>
      </w:pPr>
    </w:p>
    <w:p w14:paraId="3D887179" w14:textId="77777777" w:rsidR="00A71EEF" w:rsidRDefault="0081115D">
      <w:pPr>
        <w:pStyle w:val="a4"/>
        <w:numPr>
          <w:ilvl w:val="2"/>
          <w:numId w:val="15"/>
        </w:numPr>
        <w:tabs>
          <w:tab w:val="left" w:pos="1370"/>
        </w:tabs>
        <w:ind w:hanging="530"/>
        <w:rPr>
          <w:sz w:val="21"/>
        </w:rPr>
      </w:pPr>
      <w:r>
        <w:rPr>
          <w:spacing w:val="-3"/>
          <w:sz w:val="21"/>
        </w:rPr>
        <w:t>风机轴功率</w:t>
      </w:r>
      <w:r>
        <w:rPr>
          <w:sz w:val="21"/>
        </w:rPr>
        <w:t xml:space="preserve"> </w:t>
      </w:r>
    </w:p>
    <w:p w14:paraId="367602E1" w14:textId="77777777" w:rsidR="00A71EEF" w:rsidRDefault="0081115D">
      <w:pPr>
        <w:spacing w:before="11"/>
        <w:ind w:left="717"/>
        <w:rPr>
          <w:rFonts w:ascii="Cambria Math"/>
          <w:sz w:val="15"/>
        </w:rPr>
      </w:pPr>
      <w:r>
        <w:br w:type="column"/>
      </w:r>
      <w:r>
        <w:rPr>
          <w:rFonts w:ascii="Cambria Math"/>
          <w:w w:val="105"/>
          <w:sz w:val="15"/>
        </w:rPr>
        <w:t>1000</w:t>
      </w:r>
    </w:p>
    <w:p w14:paraId="685935FF" w14:textId="77777777" w:rsidR="00A71EEF" w:rsidRDefault="00A71EEF">
      <w:pPr>
        <w:rPr>
          <w:rFonts w:ascii="Cambria Math"/>
          <w:sz w:val="15"/>
        </w:rPr>
        <w:sectPr w:rsidR="00A71EEF">
          <w:type w:val="continuous"/>
          <w:pgSz w:w="11910" w:h="16850"/>
          <w:pgMar w:top="1600" w:right="0" w:bottom="1180" w:left="1260" w:header="720" w:footer="720" w:gutter="0"/>
          <w:cols w:num="2" w:space="720" w:equalWidth="0">
            <w:col w:w="3010" w:space="40"/>
            <w:col w:w="7600"/>
          </w:cols>
        </w:sectPr>
      </w:pPr>
    </w:p>
    <w:p w14:paraId="417963AF" w14:textId="77777777" w:rsidR="00A71EEF" w:rsidRDefault="00A71EEF">
      <w:pPr>
        <w:pStyle w:val="a3"/>
        <w:spacing w:before="6"/>
        <w:rPr>
          <w:rFonts w:ascii="Cambria Math"/>
          <w:sz w:val="13"/>
        </w:rPr>
      </w:pPr>
    </w:p>
    <w:p w14:paraId="68F20790" w14:textId="77777777" w:rsidR="00A71EEF" w:rsidRDefault="0081115D">
      <w:pPr>
        <w:pStyle w:val="a3"/>
        <w:tabs>
          <w:tab w:val="left" w:leader="dot" w:pos="6757"/>
        </w:tabs>
        <w:spacing w:before="71"/>
        <w:ind w:left="2763"/>
      </w:pPr>
      <w:r>
        <w:rPr>
          <w:rFonts w:ascii="Cambria Math" w:eastAsia="Cambria Math" w:hAnsi="Cambria Math"/>
        </w:rPr>
        <w:t>N</w:t>
      </w:r>
      <w:r>
        <w:rPr>
          <w:rFonts w:ascii="Cambria Math" w:eastAsia="Cambria Math" w:hAnsi="Cambria Math"/>
          <w:position w:val="1"/>
        </w:rPr>
        <w:t>(</w:t>
      </w:r>
      <w:r>
        <w:rPr>
          <w:rFonts w:ascii="Cambria Math" w:eastAsia="Cambria Math" w:hAnsi="Cambria Math"/>
        </w:rPr>
        <w:t>kW</w:t>
      </w:r>
      <w:r>
        <w:rPr>
          <w:rFonts w:ascii="Cambria Math" w:eastAsia="Cambria Math" w:hAnsi="Cambria Math"/>
          <w:position w:val="1"/>
        </w:rPr>
        <w:t xml:space="preserve">) </w:t>
      </w:r>
      <w:r>
        <w:rPr>
          <w:rFonts w:ascii="Cambria Math" w:eastAsia="Cambria Math" w:hAnsi="Cambria Math"/>
        </w:rPr>
        <w:t>=  N</w:t>
      </w:r>
      <w:r>
        <w:rPr>
          <w:rFonts w:ascii="Cambria Math" w:eastAsia="Cambria Math" w:hAnsi="Cambria Math"/>
          <w:position w:val="-3"/>
          <w:sz w:val="15"/>
        </w:rPr>
        <w:t>i</w:t>
      </w:r>
      <w:r>
        <w:rPr>
          <w:rFonts w:ascii="Cambria Math" w:eastAsia="Cambria Math" w:hAnsi="Cambria Math"/>
          <w:spacing w:val="5"/>
          <w:position w:val="-3"/>
          <w:sz w:val="15"/>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N</w:t>
      </w:r>
      <w:r>
        <w:rPr>
          <w:rFonts w:ascii="Cambria Math" w:eastAsia="Cambria Math" w:hAnsi="Cambria Math"/>
          <w:position w:val="-3"/>
          <w:sz w:val="15"/>
        </w:rPr>
        <w:t>e</w:t>
      </w:r>
      <w:r>
        <w:rPr>
          <w:rFonts w:ascii="Cambria Math" w:eastAsia="Cambria Math" w:hAnsi="Cambria Math"/>
          <w:position w:val="-3"/>
          <w:sz w:val="15"/>
        </w:rPr>
        <w:tab/>
      </w:r>
      <w:r>
        <w:t>（</w:t>
      </w:r>
      <w:r>
        <w:t>7</w:t>
      </w:r>
      <w:r>
        <w:t>）</w:t>
      </w:r>
      <w:r>
        <w:t xml:space="preserve"> </w:t>
      </w:r>
    </w:p>
    <w:p w14:paraId="28191B19" w14:textId="77777777" w:rsidR="00A71EEF" w:rsidRDefault="0081115D">
      <w:pPr>
        <w:pStyle w:val="a3"/>
        <w:spacing w:before="216" w:line="446" w:lineRule="auto"/>
        <w:ind w:left="838" w:right="6654"/>
      </w:pPr>
      <w:r>
        <w:t>式中：</w:t>
      </w:r>
      <w:r>
        <w:t>N——</w:t>
      </w:r>
      <w:r>
        <w:t>风机轴功率，</w:t>
      </w:r>
      <w:r>
        <w:t>kW</w:t>
      </w:r>
      <w:r>
        <w:t>；</w:t>
      </w:r>
      <w:r>
        <w:t xml:space="preserve"> Ni——</w:t>
      </w:r>
      <w:r>
        <w:t>各测试点轴功率，</w:t>
      </w:r>
      <w:r>
        <w:t>kW</w:t>
      </w:r>
      <w:r>
        <w:t>；</w:t>
      </w:r>
      <w:r>
        <w:t xml:space="preserve"> Ne——</w:t>
      </w:r>
      <w:r>
        <w:t>系统空载功率，</w:t>
      </w:r>
      <w:r>
        <w:t>kW</w:t>
      </w:r>
      <w:r>
        <w:t>；</w:t>
      </w:r>
      <w:r>
        <w:t xml:space="preserve"> </w:t>
      </w:r>
    </w:p>
    <w:p w14:paraId="66314441" w14:textId="77777777" w:rsidR="00A71EEF" w:rsidRDefault="00A71EEF">
      <w:pPr>
        <w:spacing w:line="446" w:lineRule="auto"/>
        <w:sectPr w:rsidR="00A71EEF">
          <w:type w:val="continuous"/>
          <w:pgSz w:w="11910" w:h="16850"/>
          <w:pgMar w:top="1600" w:right="0" w:bottom="1180" w:left="1260" w:header="720" w:footer="720" w:gutter="0"/>
          <w:cols w:space="720"/>
        </w:sectPr>
      </w:pPr>
    </w:p>
    <w:p w14:paraId="0B1457F8" w14:textId="77777777" w:rsidR="00A71EEF" w:rsidRDefault="0081115D">
      <w:pPr>
        <w:pStyle w:val="a4"/>
        <w:numPr>
          <w:ilvl w:val="2"/>
          <w:numId w:val="15"/>
        </w:numPr>
        <w:tabs>
          <w:tab w:val="left" w:pos="1371"/>
        </w:tabs>
        <w:spacing w:line="269" w:lineRule="exact"/>
        <w:ind w:left="1370" w:hanging="531"/>
        <w:rPr>
          <w:sz w:val="21"/>
        </w:rPr>
      </w:pPr>
      <w:r>
        <w:rPr>
          <w:spacing w:val="-3"/>
          <w:sz w:val="21"/>
        </w:rPr>
        <w:t>风机效率</w:t>
      </w:r>
      <w:r>
        <w:rPr>
          <w:spacing w:val="-3"/>
          <w:sz w:val="21"/>
        </w:rPr>
        <w:t>η</w:t>
      </w:r>
      <w:r>
        <w:rPr>
          <w:sz w:val="21"/>
        </w:rPr>
        <w:t xml:space="preserve"> </w:t>
      </w:r>
    </w:p>
    <w:p w14:paraId="267F7D38" w14:textId="77777777" w:rsidR="00A71EEF" w:rsidRDefault="0081115D">
      <w:pPr>
        <w:pStyle w:val="a3"/>
        <w:rPr>
          <w:sz w:val="35"/>
        </w:rPr>
      </w:pPr>
      <w:r>
        <w:br w:type="column"/>
      </w:r>
    </w:p>
    <w:p w14:paraId="03F382B2" w14:textId="77777777" w:rsidR="00A71EEF" w:rsidRDefault="0081115D">
      <w:pPr>
        <w:pStyle w:val="a3"/>
        <w:tabs>
          <w:tab w:val="left" w:leader="dot" w:pos="4110"/>
        </w:tabs>
        <w:spacing w:line="274" w:lineRule="exact"/>
        <w:ind w:left="68"/>
      </w:pPr>
      <w:r>
        <w:t>η</w:t>
      </w:r>
      <w:r>
        <w:rPr>
          <w:rFonts w:ascii="Cambria Math" w:eastAsia="Cambria Math" w:hAnsi="Cambria Math"/>
          <w:position w:val="1"/>
        </w:rPr>
        <w:t>(</w:t>
      </w:r>
      <w:r>
        <w:rPr>
          <w:rFonts w:ascii="Cambria Math" w:eastAsia="Cambria Math" w:hAnsi="Cambria Math"/>
        </w:rPr>
        <w:t>%</w:t>
      </w:r>
      <w:r>
        <w:rPr>
          <w:rFonts w:ascii="Cambria Math" w:eastAsia="Cambria Math" w:hAnsi="Cambria Math"/>
          <w:position w:val="1"/>
        </w:rPr>
        <w:t xml:space="preserve">) </w:t>
      </w:r>
      <w:r>
        <w:rPr>
          <w:rFonts w:ascii="Cambria Math" w:eastAsia="Cambria Math" w:hAnsi="Cambria Math"/>
        </w:rPr>
        <w:t xml:space="preserve">= </w:t>
      </w:r>
      <w:r>
        <w:rPr>
          <w:rFonts w:ascii="Cambria Math" w:eastAsia="Cambria Math" w:hAnsi="Cambria Math"/>
          <w:position w:val="12"/>
          <w:u w:val="single"/>
        </w:rPr>
        <w:t xml:space="preserve"> </w:t>
      </w:r>
      <w:r>
        <w:rPr>
          <w:rFonts w:ascii="Cambria Math" w:eastAsia="Cambria Math" w:hAnsi="Cambria Math"/>
          <w:position w:val="12"/>
          <w:sz w:val="15"/>
          <w:u w:val="single"/>
        </w:rPr>
        <w:t>N</w:t>
      </w:r>
      <w:r>
        <w:rPr>
          <w:rFonts w:ascii="Cambria Math" w:eastAsia="Cambria Math" w:hAnsi="Cambria Math"/>
          <w:position w:val="9"/>
          <w:sz w:val="12"/>
          <w:u w:val="single"/>
        </w:rPr>
        <w:t>1</w:t>
      </w:r>
      <w:r>
        <w:rPr>
          <w:rFonts w:ascii="Cambria Math" w:eastAsia="Cambria Math" w:hAnsi="Cambria Math"/>
          <w:spacing w:val="-1"/>
          <w:position w:val="9"/>
          <w:sz w:val="12"/>
        </w:rPr>
        <w:t xml:space="preserve"> </w:t>
      </w:r>
      <w:r>
        <w:rPr>
          <w:rFonts w:ascii="Cambria Math" w:eastAsia="Cambria Math" w:hAnsi="Cambria Math"/>
        </w:rPr>
        <w:t>×</w:t>
      </w:r>
      <w:r>
        <w:rPr>
          <w:rFonts w:ascii="Cambria Math" w:eastAsia="Cambria Math" w:hAnsi="Cambria Math"/>
          <w:spacing w:val="2"/>
        </w:rPr>
        <w:t xml:space="preserve"> </w:t>
      </w:r>
      <w:r>
        <w:rPr>
          <w:rFonts w:ascii="Cambria Math" w:eastAsia="Cambria Math" w:hAnsi="Cambria Math"/>
        </w:rPr>
        <w:t>100</w:t>
      </w:r>
      <w:r>
        <w:rPr>
          <w:rFonts w:ascii="Cambria Math" w:eastAsia="Cambria Math" w:hAnsi="Cambria Math"/>
        </w:rPr>
        <w:tab/>
      </w:r>
      <w:r>
        <w:t>（</w:t>
      </w:r>
      <w:r>
        <w:t>8</w:t>
      </w:r>
      <w:r>
        <w:t>）</w:t>
      </w:r>
      <w:r>
        <w:t xml:space="preserve"> </w:t>
      </w:r>
    </w:p>
    <w:p w14:paraId="2FE9A6BB" w14:textId="77777777" w:rsidR="00A71EEF" w:rsidRDefault="0081115D">
      <w:pPr>
        <w:spacing w:line="128" w:lineRule="exact"/>
        <w:ind w:left="951"/>
        <w:rPr>
          <w:rFonts w:ascii="Cambria Math"/>
          <w:sz w:val="15"/>
        </w:rPr>
      </w:pPr>
      <w:r>
        <w:rPr>
          <w:rFonts w:ascii="Cambria Math"/>
          <w:w w:val="111"/>
          <w:sz w:val="15"/>
        </w:rPr>
        <w:t>N</w:t>
      </w:r>
    </w:p>
    <w:p w14:paraId="31AE1306" w14:textId="77777777" w:rsidR="00A71EEF" w:rsidRDefault="00A71EEF">
      <w:pPr>
        <w:spacing w:line="128" w:lineRule="exact"/>
        <w:rPr>
          <w:rFonts w:ascii="Cambria Math"/>
          <w:sz w:val="15"/>
        </w:rPr>
        <w:sectPr w:rsidR="00A71EEF">
          <w:type w:val="continuous"/>
          <w:pgSz w:w="11910" w:h="16850"/>
          <w:pgMar w:top="1600" w:right="0" w:bottom="1180" w:left="1260" w:header="720" w:footer="720" w:gutter="0"/>
          <w:cols w:num="2" w:space="720" w:equalWidth="0">
            <w:col w:w="2631" w:space="40"/>
            <w:col w:w="7979"/>
          </w:cols>
        </w:sectPr>
      </w:pPr>
    </w:p>
    <w:p w14:paraId="7E1CA4C4" w14:textId="77777777" w:rsidR="00A71EEF" w:rsidRDefault="0081115D">
      <w:pPr>
        <w:pStyle w:val="a4"/>
        <w:numPr>
          <w:ilvl w:val="2"/>
          <w:numId w:val="15"/>
        </w:numPr>
        <w:tabs>
          <w:tab w:val="left" w:pos="1370"/>
        </w:tabs>
        <w:spacing w:before="150"/>
        <w:ind w:hanging="530"/>
        <w:rPr>
          <w:sz w:val="21"/>
        </w:rPr>
      </w:pPr>
      <w:r>
        <w:rPr>
          <w:spacing w:val="-6"/>
          <w:sz w:val="21"/>
        </w:rPr>
        <w:t>当测定条件为非标准环境状态时，修正到标准环境状态。将测定和计算的数据记入表</w:t>
      </w:r>
    </w:p>
    <w:p w14:paraId="2BEA005F" w14:textId="77777777" w:rsidR="00A71EEF" w:rsidRDefault="00A71EEF">
      <w:pPr>
        <w:pStyle w:val="a3"/>
        <w:spacing w:before="5"/>
        <w:rPr>
          <w:sz w:val="12"/>
        </w:rPr>
      </w:pPr>
    </w:p>
    <w:p w14:paraId="4B1CF814" w14:textId="77777777" w:rsidR="00A71EEF" w:rsidRDefault="0081115D">
      <w:pPr>
        <w:pStyle w:val="a3"/>
        <w:spacing w:before="72"/>
        <w:ind w:left="418"/>
      </w:pPr>
      <w:r>
        <w:t>2</w:t>
      </w:r>
      <w:r>
        <w:t>。</w:t>
      </w:r>
      <w:r>
        <w:t xml:space="preserve"> </w:t>
      </w:r>
    </w:p>
    <w:p w14:paraId="3166009E" w14:textId="77777777" w:rsidR="00A71EEF" w:rsidRDefault="00A71EEF">
      <w:pPr>
        <w:pStyle w:val="a3"/>
        <w:spacing w:before="7"/>
        <w:rPr>
          <w:sz w:val="12"/>
        </w:rPr>
      </w:pPr>
    </w:p>
    <w:p w14:paraId="31326FB6" w14:textId="77777777" w:rsidR="00A71EEF" w:rsidRDefault="0081115D">
      <w:pPr>
        <w:pStyle w:val="6"/>
        <w:spacing w:before="71"/>
        <w:ind w:left="3310"/>
      </w:pPr>
      <w:r>
        <w:t>表</w:t>
      </w:r>
      <w:r>
        <w:t xml:space="preserve"> 2 </w:t>
      </w:r>
      <w:r>
        <w:t>风机性能试验记录及计算表</w:t>
      </w:r>
      <w:r>
        <w:rPr>
          <w:w w:val="99"/>
        </w:rPr>
        <w:t xml:space="preserve"> </w:t>
      </w:r>
    </w:p>
    <w:p w14:paraId="76F46970" w14:textId="77777777" w:rsidR="00A71EEF" w:rsidRDefault="00A71EEF">
      <w:pPr>
        <w:pStyle w:val="a3"/>
        <w:rPr>
          <w:b/>
          <w:sz w:val="18"/>
        </w:rPr>
      </w:pPr>
    </w:p>
    <w:p w14:paraId="197DE31A" w14:textId="77777777" w:rsidR="00A71EEF" w:rsidRDefault="0081115D">
      <w:pPr>
        <w:pStyle w:val="a3"/>
        <w:spacing w:after="40"/>
        <w:ind w:left="418"/>
      </w:pPr>
      <w:r>
        <w:t>试</w:t>
      </w:r>
      <w:r>
        <w:t xml:space="preserve"> </w:t>
      </w:r>
      <w:r>
        <w:t>验</w:t>
      </w:r>
      <w:r>
        <w:t xml:space="preserve"> </w:t>
      </w:r>
      <w:r>
        <w:t>日</w:t>
      </w:r>
      <w:r>
        <w:t xml:space="preserve"> </w:t>
      </w:r>
      <w:r>
        <w:t>期</w:t>
      </w:r>
      <w:r>
        <w:t xml:space="preserve"> </w:t>
      </w:r>
      <w:r>
        <w:t>：</w:t>
      </w:r>
      <w:r>
        <w:t xml:space="preserve"> </w:t>
      </w:r>
      <w:r>
        <w:t>年</w:t>
      </w:r>
      <w:r>
        <w:t xml:space="preserve"> </w:t>
      </w:r>
      <w:r>
        <w:t>月</w:t>
      </w:r>
      <w:r>
        <w:t xml:space="preserve"> </w:t>
      </w:r>
      <w:r>
        <w:t>日</w:t>
      </w:r>
      <w:r>
        <w:t xml:space="preserve"> </w:t>
      </w:r>
      <w:r>
        <w:t>地</w:t>
      </w:r>
      <w:r>
        <w:t xml:space="preserve"> </w:t>
      </w:r>
      <w:r>
        <w:t>点</w:t>
      </w:r>
      <w:r>
        <w:t xml:space="preserve"> </w:t>
      </w:r>
      <w:r>
        <w:t>：</w:t>
      </w:r>
      <w:r>
        <w:t xml:space="preserve"> </w:t>
      </w: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7"/>
        <w:gridCol w:w="471"/>
        <w:gridCol w:w="346"/>
        <w:gridCol w:w="435"/>
        <w:gridCol w:w="437"/>
        <w:gridCol w:w="438"/>
        <w:gridCol w:w="375"/>
        <w:gridCol w:w="377"/>
        <w:gridCol w:w="377"/>
        <w:gridCol w:w="375"/>
        <w:gridCol w:w="447"/>
        <w:gridCol w:w="483"/>
        <w:gridCol w:w="483"/>
        <w:gridCol w:w="481"/>
        <w:gridCol w:w="483"/>
        <w:gridCol w:w="377"/>
        <w:gridCol w:w="377"/>
        <w:gridCol w:w="390"/>
        <w:gridCol w:w="377"/>
        <w:gridCol w:w="605"/>
        <w:gridCol w:w="425"/>
      </w:tblGrid>
      <w:tr w:rsidR="00A71EEF" w14:paraId="0A7B8F6A" w14:textId="77777777">
        <w:trPr>
          <w:trHeight w:val="501"/>
        </w:trPr>
        <w:tc>
          <w:tcPr>
            <w:tcW w:w="377" w:type="dxa"/>
            <w:vMerge w:val="restart"/>
          </w:tcPr>
          <w:p w14:paraId="0D7E2834" w14:textId="77777777" w:rsidR="00A71EEF" w:rsidRDefault="00A71EEF">
            <w:pPr>
              <w:pStyle w:val="TableParagraph"/>
              <w:rPr>
                <w:sz w:val="20"/>
              </w:rPr>
            </w:pPr>
          </w:p>
          <w:p w14:paraId="3BD8F881" w14:textId="77777777" w:rsidR="00A71EEF" w:rsidRDefault="00A71EEF">
            <w:pPr>
              <w:pStyle w:val="TableParagraph"/>
              <w:rPr>
                <w:sz w:val="20"/>
              </w:rPr>
            </w:pPr>
          </w:p>
          <w:p w14:paraId="0DC24DC0" w14:textId="77777777" w:rsidR="00A71EEF" w:rsidRDefault="00A71EEF">
            <w:pPr>
              <w:pStyle w:val="TableParagraph"/>
              <w:rPr>
                <w:sz w:val="20"/>
              </w:rPr>
            </w:pPr>
          </w:p>
          <w:p w14:paraId="722D6CE7" w14:textId="77777777" w:rsidR="00A71EEF" w:rsidRDefault="00A71EEF">
            <w:pPr>
              <w:pStyle w:val="TableParagraph"/>
              <w:spacing w:before="3"/>
              <w:rPr>
                <w:sz w:val="14"/>
              </w:rPr>
            </w:pPr>
          </w:p>
          <w:p w14:paraId="53B7D5EC" w14:textId="77777777" w:rsidR="00A71EEF" w:rsidRDefault="0081115D">
            <w:pPr>
              <w:pStyle w:val="TableParagraph"/>
              <w:spacing w:before="1" w:line="446" w:lineRule="auto"/>
              <w:ind w:left="107" w:right="-58"/>
              <w:jc w:val="both"/>
              <w:rPr>
                <w:sz w:val="21"/>
              </w:rPr>
            </w:pPr>
            <w:r>
              <w:rPr>
                <w:sz w:val="21"/>
              </w:rPr>
              <w:t>工况点</w:t>
            </w:r>
            <w:r>
              <w:rPr>
                <w:sz w:val="21"/>
              </w:rPr>
              <w:t xml:space="preserve"> </w:t>
            </w:r>
          </w:p>
        </w:tc>
        <w:tc>
          <w:tcPr>
            <w:tcW w:w="471" w:type="dxa"/>
            <w:vMerge w:val="restart"/>
          </w:tcPr>
          <w:p w14:paraId="4E96B040" w14:textId="77777777" w:rsidR="00A71EEF" w:rsidRDefault="00A71EEF">
            <w:pPr>
              <w:pStyle w:val="TableParagraph"/>
              <w:rPr>
                <w:sz w:val="20"/>
              </w:rPr>
            </w:pPr>
          </w:p>
          <w:p w14:paraId="05F46836" w14:textId="77777777" w:rsidR="00A71EEF" w:rsidRDefault="00A71EEF">
            <w:pPr>
              <w:pStyle w:val="TableParagraph"/>
              <w:rPr>
                <w:sz w:val="20"/>
              </w:rPr>
            </w:pPr>
          </w:p>
          <w:p w14:paraId="0C4E94BF" w14:textId="77777777" w:rsidR="00A71EEF" w:rsidRDefault="00A71EEF">
            <w:pPr>
              <w:pStyle w:val="TableParagraph"/>
              <w:spacing w:before="10"/>
              <w:rPr>
                <w:sz w:val="14"/>
              </w:rPr>
            </w:pPr>
          </w:p>
          <w:p w14:paraId="3DAD0E8C" w14:textId="77777777" w:rsidR="00A71EEF" w:rsidRDefault="0081115D">
            <w:pPr>
              <w:pStyle w:val="TableParagraph"/>
              <w:spacing w:line="446" w:lineRule="auto"/>
              <w:ind w:left="129" w:right="13"/>
              <w:rPr>
                <w:sz w:val="21"/>
              </w:rPr>
            </w:pPr>
            <w:r>
              <w:rPr>
                <w:sz w:val="21"/>
              </w:rPr>
              <w:t>静压</w:t>
            </w:r>
            <w:r>
              <w:rPr>
                <w:position w:val="1"/>
                <w:sz w:val="21"/>
              </w:rPr>
              <w:t>p</w:t>
            </w:r>
            <w:r>
              <w:rPr>
                <w:sz w:val="11"/>
              </w:rPr>
              <w:t xml:space="preserve">e </w:t>
            </w:r>
            <w:r>
              <w:rPr>
                <w:sz w:val="21"/>
              </w:rPr>
              <w:t xml:space="preserve">Pa </w:t>
            </w:r>
          </w:p>
        </w:tc>
        <w:tc>
          <w:tcPr>
            <w:tcW w:w="8088" w:type="dxa"/>
            <w:gridSpan w:val="19"/>
          </w:tcPr>
          <w:p w14:paraId="3313DC50" w14:textId="77777777" w:rsidR="00A71EEF" w:rsidRDefault="00A71EEF">
            <w:pPr>
              <w:pStyle w:val="TableParagraph"/>
              <w:spacing w:before="11"/>
              <w:rPr>
                <w:sz w:val="14"/>
              </w:rPr>
            </w:pPr>
          </w:p>
          <w:p w14:paraId="1BF7BF88" w14:textId="77777777" w:rsidR="00A71EEF" w:rsidRDefault="0081115D">
            <w:pPr>
              <w:pStyle w:val="TableParagraph"/>
              <w:ind w:left="3651" w:right="3546"/>
              <w:jc w:val="center"/>
              <w:rPr>
                <w:sz w:val="21"/>
              </w:rPr>
            </w:pPr>
            <w:r>
              <w:rPr>
                <w:sz w:val="21"/>
              </w:rPr>
              <w:t>动压，</w:t>
            </w:r>
            <w:r>
              <w:rPr>
                <w:sz w:val="21"/>
              </w:rPr>
              <w:t xml:space="preserve">Pa </w:t>
            </w:r>
          </w:p>
        </w:tc>
      </w:tr>
      <w:tr w:rsidR="00A71EEF" w14:paraId="75AA2B1B" w14:textId="77777777">
        <w:trPr>
          <w:trHeight w:val="1998"/>
        </w:trPr>
        <w:tc>
          <w:tcPr>
            <w:tcW w:w="377" w:type="dxa"/>
            <w:vMerge/>
            <w:tcBorders>
              <w:top w:val="nil"/>
            </w:tcBorders>
          </w:tcPr>
          <w:p w14:paraId="4139822A" w14:textId="77777777" w:rsidR="00A71EEF" w:rsidRDefault="00A71EEF">
            <w:pPr>
              <w:rPr>
                <w:sz w:val="2"/>
                <w:szCs w:val="2"/>
              </w:rPr>
            </w:pPr>
          </w:p>
        </w:tc>
        <w:tc>
          <w:tcPr>
            <w:tcW w:w="471" w:type="dxa"/>
            <w:vMerge/>
            <w:tcBorders>
              <w:top w:val="nil"/>
            </w:tcBorders>
          </w:tcPr>
          <w:p w14:paraId="564368FD" w14:textId="77777777" w:rsidR="00A71EEF" w:rsidRDefault="00A71EEF">
            <w:pPr>
              <w:rPr>
                <w:sz w:val="2"/>
                <w:szCs w:val="2"/>
              </w:rPr>
            </w:pPr>
          </w:p>
        </w:tc>
        <w:tc>
          <w:tcPr>
            <w:tcW w:w="7663" w:type="dxa"/>
            <w:gridSpan w:val="18"/>
          </w:tcPr>
          <w:p w14:paraId="731F82AE" w14:textId="77777777" w:rsidR="00A71EEF" w:rsidRDefault="00A71EEF">
            <w:pPr>
              <w:pStyle w:val="TableParagraph"/>
              <w:rPr>
                <w:sz w:val="20"/>
              </w:rPr>
            </w:pPr>
          </w:p>
          <w:p w14:paraId="1AE54613" w14:textId="77777777" w:rsidR="00A71EEF" w:rsidRDefault="00A71EEF">
            <w:pPr>
              <w:pStyle w:val="TableParagraph"/>
              <w:rPr>
                <w:sz w:val="20"/>
              </w:rPr>
            </w:pPr>
          </w:p>
          <w:p w14:paraId="68BDF9ED" w14:textId="77777777" w:rsidR="00A71EEF" w:rsidRDefault="00A71EEF">
            <w:pPr>
              <w:pStyle w:val="TableParagraph"/>
              <w:rPr>
                <w:sz w:val="20"/>
              </w:rPr>
            </w:pPr>
          </w:p>
          <w:p w14:paraId="5B29EDAF" w14:textId="77777777" w:rsidR="00A71EEF" w:rsidRDefault="0081115D">
            <w:pPr>
              <w:pStyle w:val="TableParagraph"/>
              <w:spacing w:before="170"/>
              <w:ind w:left="3544" w:right="3439"/>
              <w:jc w:val="center"/>
              <w:rPr>
                <w:sz w:val="21"/>
              </w:rPr>
            </w:pPr>
            <w:r>
              <w:rPr>
                <w:sz w:val="21"/>
              </w:rPr>
              <w:t>测定值</w:t>
            </w:r>
            <w:r>
              <w:rPr>
                <w:sz w:val="21"/>
              </w:rPr>
              <w:t xml:space="preserve"> </w:t>
            </w:r>
          </w:p>
        </w:tc>
        <w:tc>
          <w:tcPr>
            <w:tcW w:w="425" w:type="dxa"/>
          </w:tcPr>
          <w:p w14:paraId="729044B0" w14:textId="77777777" w:rsidR="00A71EEF" w:rsidRDefault="00A71EEF">
            <w:pPr>
              <w:pStyle w:val="TableParagraph"/>
              <w:spacing w:before="11"/>
              <w:rPr>
                <w:sz w:val="14"/>
              </w:rPr>
            </w:pPr>
          </w:p>
          <w:p w14:paraId="23A80648" w14:textId="77777777" w:rsidR="00A71EEF" w:rsidRDefault="0081115D">
            <w:pPr>
              <w:pStyle w:val="TableParagraph"/>
              <w:spacing w:line="446" w:lineRule="auto"/>
              <w:ind w:left="99" w:right="102"/>
              <w:jc w:val="both"/>
              <w:rPr>
                <w:sz w:val="21"/>
              </w:rPr>
            </w:pPr>
            <w:r>
              <w:rPr>
                <w:sz w:val="21"/>
              </w:rPr>
              <w:t>平均值</w:t>
            </w:r>
          </w:p>
          <w:p w14:paraId="0005B2D4" w14:textId="77777777" w:rsidR="00A71EEF" w:rsidRDefault="0081115D">
            <w:pPr>
              <w:pStyle w:val="TableParagraph"/>
              <w:spacing w:line="267" w:lineRule="exact"/>
              <w:ind w:left="99"/>
              <w:rPr>
                <w:sz w:val="21"/>
              </w:rPr>
            </w:pPr>
            <w:r>
              <w:rPr>
                <w:position w:val="1"/>
                <w:sz w:val="21"/>
              </w:rPr>
              <w:t>p</w:t>
            </w:r>
            <w:r>
              <w:rPr>
                <w:sz w:val="11"/>
              </w:rPr>
              <w:t>d</w:t>
            </w:r>
            <w:r>
              <w:rPr>
                <w:position w:val="1"/>
                <w:sz w:val="21"/>
              </w:rPr>
              <w:t xml:space="preserve"> </w:t>
            </w:r>
          </w:p>
        </w:tc>
      </w:tr>
      <w:tr w:rsidR="00A71EEF" w14:paraId="39AAD050" w14:textId="77777777">
        <w:trPr>
          <w:trHeight w:val="501"/>
        </w:trPr>
        <w:tc>
          <w:tcPr>
            <w:tcW w:w="377" w:type="dxa"/>
            <w:vMerge/>
            <w:tcBorders>
              <w:top w:val="nil"/>
            </w:tcBorders>
          </w:tcPr>
          <w:p w14:paraId="1C449E94" w14:textId="77777777" w:rsidR="00A71EEF" w:rsidRDefault="00A71EEF">
            <w:pPr>
              <w:rPr>
                <w:sz w:val="2"/>
                <w:szCs w:val="2"/>
              </w:rPr>
            </w:pPr>
          </w:p>
        </w:tc>
        <w:tc>
          <w:tcPr>
            <w:tcW w:w="471" w:type="dxa"/>
            <w:vMerge/>
            <w:tcBorders>
              <w:top w:val="nil"/>
            </w:tcBorders>
          </w:tcPr>
          <w:p w14:paraId="0F844718" w14:textId="77777777" w:rsidR="00A71EEF" w:rsidRDefault="00A71EEF">
            <w:pPr>
              <w:rPr>
                <w:sz w:val="2"/>
                <w:szCs w:val="2"/>
              </w:rPr>
            </w:pPr>
          </w:p>
        </w:tc>
        <w:tc>
          <w:tcPr>
            <w:tcW w:w="346" w:type="dxa"/>
          </w:tcPr>
          <w:p w14:paraId="60A82774" w14:textId="77777777" w:rsidR="00A71EEF" w:rsidRDefault="0081115D">
            <w:pPr>
              <w:pStyle w:val="TableParagraph"/>
              <w:spacing w:before="201"/>
              <w:ind w:left="106"/>
              <w:rPr>
                <w:rFonts w:ascii="Cambria Math" w:eastAsia="Cambria Math"/>
                <w:sz w:val="15"/>
              </w:rPr>
            </w:pPr>
            <w:r>
              <w:rPr>
                <w:rFonts w:ascii="Cambria Math" w:eastAsia="Cambria Math"/>
                <w:w w:val="105"/>
                <w:sz w:val="21"/>
              </w:rPr>
              <w:t>𝑝</w:t>
            </w:r>
            <w:r>
              <w:rPr>
                <w:rFonts w:ascii="Cambria Math" w:eastAsia="Cambria Math"/>
                <w:w w:val="105"/>
                <w:position w:val="-3"/>
                <w:sz w:val="15"/>
              </w:rPr>
              <w:t>𝑑</w:t>
            </w:r>
          </w:p>
        </w:tc>
        <w:tc>
          <w:tcPr>
            <w:tcW w:w="435" w:type="dxa"/>
          </w:tcPr>
          <w:p w14:paraId="2DFE6EC6" w14:textId="77777777" w:rsidR="00A71EEF" w:rsidRDefault="0081115D">
            <w:pPr>
              <w:pStyle w:val="TableParagraph"/>
              <w:spacing w:before="201" w:line="280" w:lineRule="exact"/>
              <w:ind w:left="106"/>
              <w:rPr>
                <w:rFonts w:ascii="Cambria Math" w:eastAsia="Cambria Math"/>
                <w:sz w:val="12"/>
              </w:rPr>
            </w:pPr>
            <w:r>
              <w:rPr>
                <w:rFonts w:ascii="Cambria Math" w:eastAsia="Cambria Math"/>
                <w:w w:val="105"/>
                <w:sz w:val="21"/>
              </w:rPr>
              <w:t>𝑝</w:t>
            </w:r>
            <w:r>
              <w:rPr>
                <w:rFonts w:ascii="Cambria Math" w:eastAsia="Cambria Math"/>
                <w:w w:val="105"/>
                <w:position w:val="-3"/>
                <w:sz w:val="15"/>
              </w:rPr>
              <w:t>𝑑</w:t>
            </w:r>
            <w:r>
              <w:rPr>
                <w:rFonts w:ascii="Cambria Math" w:eastAsia="Cambria Math"/>
                <w:w w:val="105"/>
                <w:position w:val="-6"/>
                <w:sz w:val="12"/>
              </w:rPr>
              <w:t>2</w:t>
            </w:r>
          </w:p>
        </w:tc>
        <w:tc>
          <w:tcPr>
            <w:tcW w:w="437" w:type="dxa"/>
          </w:tcPr>
          <w:p w14:paraId="14EC6F69" w14:textId="77777777" w:rsidR="00A71EEF" w:rsidRDefault="0081115D">
            <w:pPr>
              <w:pStyle w:val="TableParagraph"/>
              <w:spacing w:before="201" w:line="280" w:lineRule="exact"/>
              <w:ind w:left="108"/>
              <w:rPr>
                <w:rFonts w:ascii="Cambria Math" w:eastAsia="Cambria Math"/>
                <w:sz w:val="12"/>
              </w:rPr>
            </w:pPr>
            <w:r>
              <w:rPr>
                <w:rFonts w:ascii="Cambria Math" w:eastAsia="Cambria Math"/>
                <w:w w:val="105"/>
                <w:sz w:val="21"/>
              </w:rPr>
              <w:t>𝑝</w:t>
            </w:r>
            <w:r>
              <w:rPr>
                <w:rFonts w:ascii="Cambria Math" w:eastAsia="Cambria Math"/>
                <w:w w:val="105"/>
                <w:position w:val="-3"/>
                <w:sz w:val="15"/>
              </w:rPr>
              <w:t>𝑑</w:t>
            </w:r>
            <w:r>
              <w:rPr>
                <w:rFonts w:ascii="Cambria Math" w:eastAsia="Cambria Math"/>
                <w:w w:val="105"/>
                <w:position w:val="-6"/>
                <w:sz w:val="12"/>
              </w:rPr>
              <w:t>3</w:t>
            </w:r>
          </w:p>
        </w:tc>
        <w:tc>
          <w:tcPr>
            <w:tcW w:w="438" w:type="dxa"/>
          </w:tcPr>
          <w:p w14:paraId="4D7ABB94" w14:textId="77777777" w:rsidR="00A71EEF" w:rsidRDefault="0081115D">
            <w:pPr>
              <w:pStyle w:val="TableParagraph"/>
              <w:spacing w:before="201" w:line="280" w:lineRule="exact"/>
              <w:ind w:left="106"/>
              <w:rPr>
                <w:rFonts w:ascii="Cambria Math" w:eastAsia="Cambria Math"/>
                <w:sz w:val="12"/>
              </w:rPr>
            </w:pPr>
            <w:r>
              <w:rPr>
                <w:rFonts w:ascii="Cambria Math" w:eastAsia="Cambria Math"/>
                <w:w w:val="105"/>
                <w:sz w:val="21"/>
              </w:rPr>
              <w:t>𝑝</w:t>
            </w:r>
            <w:r>
              <w:rPr>
                <w:rFonts w:ascii="Cambria Math" w:eastAsia="Cambria Math"/>
                <w:w w:val="105"/>
                <w:position w:val="-3"/>
                <w:sz w:val="15"/>
              </w:rPr>
              <w:t>𝑑</w:t>
            </w:r>
            <w:r>
              <w:rPr>
                <w:rFonts w:ascii="Cambria Math" w:eastAsia="Cambria Math"/>
                <w:w w:val="105"/>
                <w:position w:val="-6"/>
                <w:sz w:val="12"/>
              </w:rPr>
              <w:t>4</w:t>
            </w:r>
          </w:p>
        </w:tc>
        <w:tc>
          <w:tcPr>
            <w:tcW w:w="375" w:type="dxa"/>
          </w:tcPr>
          <w:p w14:paraId="787AEB96" w14:textId="77777777" w:rsidR="00A71EEF" w:rsidRDefault="00A71EEF">
            <w:pPr>
              <w:pStyle w:val="TableParagraph"/>
              <w:spacing w:before="11"/>
              <w:rPr>
                <w:sz w:val="14"/>
              </w:rPr>
            </w:pPr>
          </w:p>
          <w:p w14:paraId="1EACDCFE" w14:textId="77777777" w:rsidR="00A71EEF" w:rsidRDefault="0081115D">
            <w:pPr>
              <w:pStyle w:val="TableParagraph"/>
              <w:ind w:left="105"/>
              <w:rPr>
                <w:sz w:val="21"/>
              </w:rPr>
            </w:pPr>
            <w:r>
              <w:rPr>
                <w:sz w:val="21"/>
              </w:rPr>
              <w:t>…</w:t>
            </w:r>
          </w:p>
        </w:tc>
        <w:tc>
          <w:tcPr>
            <w:tcW w:w="377" w:type="dxa"/>
          </w:tcPr>
          <w:p w14:paraId="68A6CDB8" w14:textId="77777777" w:rsidR="00A71EEF" w:rsidRDefault="00A71EEF">
            <w:pPr>
              <w:pStyle w:val="TableParagraph"/>
              <w:spacing w:before="11"/>
              <w:rPr>
                <w:sz w:val="14"/>
              </w:rPr>
            </w:pPr>
          </w:p>
          <w:p w14:paraId="622EF6B1" w14:textId="77777777" w:rsidR="00A71EEF" w:rsidRDefault="0081115D">
            <w:pPr>
              <w:pStyle w:val="TableParagraph"/>
              <w:ind w:left="58"/>
              <w:jc w:val="center"/>
              <w:rPr>
                <w:sz w:val="21"/>
              </w:rPr>
            </w:pPr>
            <w:r>
              <w:rPr>
                <w:sz w:val="21"/>
              </w:rPr>
              <w:t>…</w:t>
            </w:r>
          </w:p>
        </w:tc>
        <w:tc>
          <w:tcPr>
            <w:tcW w:w="377" w:type="dxa"/>
          </w:tcPr>
          <w:p w14:paraId="3EBABEE4" w14:textId="77777777" w:rsidR="00A71EEF" w:rsidRDefault="00A71EEF">
            <w:pPr>
              <w:pStyle w:val="TableParagraph"/>
              <w:spacing w:before="11"/>
              <w:rPr>
                <w:sz w:val="14"/>
              </w:rPr>
            </w:pPr>
          </w:p>
          <w:p w14:paraId="1D39FB76" w14:textId="77777777" w:rsidR="00A71EEF" w:rsidRDefault="0081115D">
            <w:pPr>
              <w:pStyle w:val="TableParagraph"/>
              <w:ind w:left="104"/>
              <w:rPr>
                <w:sz w:val="21"/>
              </w:rPr>
            </w:pPr>
            <w:r>
              <w:rPr>
                <w:sz w:val="21"/>
              </w:rPr>
              <w:t>…</w:t>
            </w:r>
          </w:p>
        </w:tc>
        <w:tc>
          <w:tcPr>
            <w:tcW w:w="375" w:type="dxa"/>
          </w:tcPr>
          <w:p w14:paraId="54708E0C" w14:textId="77777777" w:rsidR="00A71EEF" w:rsidRDefault="00A71EEF">
            <w:pPr>
              <w:pStyle w:val="TableParagraph"/>
              <w:spacing w:before="11"/>
              <w:rPr>
                <w:sz w:val="14"/>
              </w:rPr>
            </w:pPr>
          </w:p>
          <w:p w14:paraId="7D063454" w14:textId="77777777" w:rsidR="00A71EEF" w:rsidRDefault="0081115D">
            <w:pPr>
              <w:pStyle w:val="TableParagraph"/>
              <w:ind w:left="104"/>
              <w:rPr>
                <w:sz w:val="21"/>
              </w:rPr>
            </w:pPr>
            <w:r>
              <w:rPr>
                <w:sz w:val="21"/>
              </w:rPr>
              <w:t>…</w:t>
            </w:r>
          </w:p>
        </w:tc>
        <w:tc>
          <w:tcPr>
            <w:tcW w:w="447" w:type="dxa"/>
          </w:tcPr>
          <w:p w14:paraId="72126FC7" w14:textId="77777777" w:rsidR="00A71EEF" w:rsidRDefault="0081115D">
            <w:pPr>
              <w:pStyle w:val="TableParagraph"/>
              <w:spacing w:before="201" w:line="280" w:lineRule="exact"/>
              <w:ind w:left="105"/>
              <w:rPr>
                <w:rFonts w:ascii="Cambria Math" w:eastAsia="Cambria Math"/>
                <w:sz w:val="12"/>
              </w:rPr>
            </w:pPr>
            <w:r>
              <w:rPr>
                <w:rFonts w:ascii="Cambria Math" w:eastAsia="Cambria Math"/>
                <w:w w:val="110"/>
                <w:sz w:val="21"/>
              </w:rPr>
              <w:t>𝑝</w:t>
            </w:r>
            <w:r>
              <w:rPr>
                <w:rFonts w:ascii="Cambria Math" w:eastAsia="Cambria Math"/>
                <w:w w:val="110"/>
                <w:position w:val="-3"/>
                <w:sz w:val="15"/>
              </w:rPr>
              <w:t>𝑑</w:t>
            </w:r>
            <w:r>
              <w:rPr>
                <w:rFonts w:ascii="Cambria Math" w:eastAsia="Cambria Math"/>
                <w:w w:val="110"/>
                <w:position w:val="-6"/>
                <w:sz w:val="12"/>
              </w:rPr>
              <w:t>𝜎</w:t>
            </w:r>
          </w:p>
        </w:tc>
        <w:tc>
          <w:tcPr>
            <w:tcW w:w="483" w:type="dxa"/>
          </w:tcPr>
          <w:p w14:paraId="48570979" w14:textId="77777777" w:rsidR="00A71EEF" w:rsidRDefault="0081115D">
            <w:pPr>
              <w:pStyle w:val="TableParagraph"/>
              <w:spacing w:before="201" w:line="280" w:lineRule="exact"/>
              <w:ind w:left="102"/>
              <w:rPr>
                <w:rFonts w:ascii="Cambria Math" w:eastAsia="Cambria Math" w:hAnsi="Cambria Math"/>
                <w:sz w:val="12"/>
              </w:rPr>
            </w:pPr>
            <w:r>
              <w:rPr>
                <w:rFonts w:ascii="Cambria Math" w:eastAsia="Cambria Math" w:hAnsi="Cambria Math"/>
                <w:w w:val="105"/>
                <w:sz w:val="21"/>
              </w:rPr>
              <w:t>𝑝</w:t>
            </w:r>
            <w:r>
              <w:rPr>
                <w:rFonts w:ascii="Cambria Math" w:eastAsia="Cambria Math" w:hAnsi="Cambria Math"/>
                <w:w w:val="105"/>
                <w:sz w:val="21"/>
              </w:rPr>
              <w:t>′</w:t>
            </w:r>
            <w:r>
              <w:rPr>
                <w:rFonts w:ascii="Cambria Math" w:eastAsia="Cambria Math" w:hAnsi="Cambria Math"/>
                <w:w w:val="105"/>
                <w:position w:val="-3"/>
                <w:sz w:val="15"/>
              </w:rPr>
              <w:t>𝑑</w:t>
            </w:r>
            <w:r>
              <w:rPr>
                <w:rFonts w:ascii="Cambria Math" w:eastAsia="Cambria Math" w:hAnsi="Cambria Math"/>
                <w:w w:val="105"/>
                <w:position w:val="-6"/>
                <w:sz w:val="12"/>
              </w:rPr>
              <w:t>1</w:t>
            </w:r>
          </w:p>
        </w:tc>
        <w:tc>
          <w:tcPr>
            <w:tcW w:w="483" w:type="dxa"/>
          </w:tcPr>
          <w:p w14:paraId="4E133B40" w14:textId="77777777" w:rsidR="00A71EEF" w:rsidRDefault="0081115D">
            <w:pPr>
              <w:pStyle w:val="TableParagraph"/>
              <w:spacing w:before="201" w:line="280" w:lineRule="exact"/>
              <w:ind w:left="102"/>
              <w:rPr>
                <w:rFonts w:ascii="Cambria Math" w:eastAsia="Cambria Math" w:hAnsi="Cambria Math"/>
                <w:sz w:val="12"/>
              </w:rPr>
            </w:pPr>
            <w:r>
              <w:rPr>
                <w:rFonts w:ascii="Cambria Math" w:eastAsia="Cambria Math" w:hAnsi="Cambria Math"/>
                <w:w w:val="105"/>
                <w:sz w:val="21"/>
              </w:rPr>
              <w:t>𝑝</w:t>
            </w:r>
            <w:r>
              <w:rPr>
                <w:rFonts w:ascii="Cambria Math" w:eastAsia="Cambria Math" w:hAnsi="Cambria Math"/>
                <w:w w:val="105"/>
                <w:sz w:val="21"/>
              </w:rPr>
              <w:t>′</w:t>
            </w:r>
            <w:r>
              <w:rPr>
                <w:rFonts w:ascii="Cambria Math" w:eastAsia="Cambria Math" w:hAnsi="Cambria Math"/>
                <w:w w:val="105"/>
                <w:position w:val="-3"/>
                <w:sz w:val="15"/>
              </w:rPr>
              <w:t>𝑑</w:t>
            </w:r>
            <w:r>
              <w:rPr>
                <w:rFonts w:ascii="Cambria Math" w:eastAsia="Cambria Math" w:hAnsi="Cambria Math"/>
                <w:w w:val="105"/>
                <w:position w:val="-6"/>
                <w:sz w:val="12"/>
              </w:rPr>
              <w:t>2</w:t>
            </w:r>
          </w:p>
        </w:tc>
        <w:tc>
          <w:tcPr>
            <w:tcW w:w="481" w:type="dxa"/>
          </w:tcPr>
          <w:p w14:paraId="52D4ED5A" w14:textId="77777777" w:rsidR="00A71EEF" w:rsidRDefault="0081115D">
            <w:pPr>
              <w:pStyle w:val="TableParagraph"/>
              <w:spacing w:before="201" w:line="280" w:lineRule="exact"/>
              <w:ind w:left="102"/>
              <w:rPr>
                <w:rFonts w:ascii="Cambria Math" w:eastAsia="Cambria Math" w:hAnsi="Cambria Math"/>
                <w:sz w:val="12"/>
              </w:rPr>
            </w:pPr>
            <w:r>
              <w:rPr>
                <w:rFonts w:ascii="Cambria Math" w:eastAsia="Cambria Math" w:hAnsi="Cambria Math"/>
                <w:w w:val="105"/>
                <w:sz w:val="21"/>
              </w:rPr>
              <w:t>𝑝</w:t>
            </w:r>
            <w:r>
              <w:rPr>
                <w:rFonts w:ascii="Cambria Math" w:eastAsia="Cambria Math" w:hAnsi="Cambria Math"/>
                <w:w w:val="105"/>
                <w:sz w:val="21"/>
              </w:rPr>
              <w:t>′</w:t>
            </w:r>
            <w:r>
              <w:rPr>
                <w:rFonts w:ascii="Cambria Math" w:eastAsia="Cambria Math" w:hAnsi="Cambria Math"/>
                <w:w w:val="105"/>
                <w:position w:val="-3"/>
                <w:sz w:val="15"/>
              </w:rPr>
              <w:t>𝑑</w:t>
            </w:r>
            <w:r>
              <w:rPr>
                <w:rFonts w:ascii="Cambria Math" w:eastAsia="Cambria Math" w:hAnsi="Cambria Math"/>
                <w:w w:val="105"/>
                <w:position w:val="-6"/>
                <w:sz w:val="12"/>
              </w:rPr>
              <w:t>3</w:t>
            </w:r>
          </w:p>
        </w:tc>
        <w:tc>
          <w:tcPr>
            <w:tcW w:w="483" w:type="dxa"/>
          </w:tcPr>
          <w:p w14:paraId="4DA26D23" w14:textId="77777777" w:rsidR="00A71EEF" w:rsidRDefault="0081115D">
            <w:pPr>
              <w:pStyle w:val="TableParagraph"/>
              <w:spacing w:before="201" w:line="280" w:lineRule="exact"/>
              <w:ind w:left="101"/>
              <w:rPr>
                <w:rFonts w:ascii="Cambria Math" w:eastAsia="Cambria Math" w:hAnsi="Cambria Math"/>
                <w:sz w:val="12"/>
              </w:rPr>
            </w:pPr>
            <w:r>
              <w:rPr>
                <w:rFonts w:ascii="Cambria Math" w:eastAsia="Cambria Math" w:hAnsi="Cambria Math"/>
                <w:w w:val="105"/>
                <w:sz w:val="21"/>
              </w:rPr>
              <w:t>𝑝</w:t>
            </w:r>
            <w:r>
              <w:rPr>
                <w:rFonts w:ascii="Cambria Math" w:eastAsia="Cambria Math" w:hAnsi="Cambria Math"/>
                <w:w w:val="105"/>
                <w:sz w:val="21"/>
              </w:rPr>
              <w:t>′</w:t>
            </w:r>
            <w:r>
              <w:rPr>
                <w:rFonts w:ascii="Cambria Math" w:eastAsia="Cambria Math" w:hAnsi="Cambria Math"/>
                <w:w w:val="105"/>
                <w:position w:val="-3"/>
                <w:sz w:val="15"/>
              </w:rPr>
              <w:t>𝑑</w:t>
            </w:r>
            <w:r>
              <w:rPr>
                <w:rFonts w:ascii="Cambria Math" w:eastAsia="Cambria Math" w:hAnsi="Cambria Math"/>
                <w:w w:val="105"/>
                <w:position w:val="-6"/>
                <w:sz w:val="12"/>
              </w:rPr>
              <w:t>4</w:t>
            </w:r>
          </w:p>
        </w:tc>
        <w:tc>
          <w:tcPr>
            <w:tcW w:w="377" w:type="dxa"/>
          </w:tcPr>
          <w:p w14:paraId="6B41B094" w14:textId="77777777" w:rsidR="00A71EEF" w:rsidRDefault="00A71EEF">
            <w:pPr>
              <w:pStyle w:val="TableParagraph"/>
              <w:spacing w:before="11"/>
              <w:rPr>
                <w:sz w:val="14"/>
              </w:rPr>
            </w:pPr>
          </w:p>
          <w:p w14:paraId="522007F0" w14:textId="77777777" w:rsidR="00A71EEF" w:rsidRDefault="0081115D">
            <w:pPr>
              <w:pStyle w:val="TableParagraph"/>
              <w:ind w:left="100"/>
              <w:rPr>
                <w:sz w:val="21"/>
              </w:rPr>
            </w:pPr>
            <w:r>
              <w:rPr>
                <w:sz w:val="21"/>
              </w:rPr>
              <w:t>…</w:t>
            </w:r>
          </w:p>
        </w:tc>
        <w:tc>
          <w:tcPr>
            <w:tcW w:w="377" w:type="dxa"/>
          </w:tcPr>
          <w:p w14:paraId="31DD6ADD" w14:textId="77777777" w:rsidR="00A71EEF" w:rsidRDefault="00A71EEF">
            <w:pPr>
              <w:pStyle w:val="TableParagraph"/>
              <w:spacing w:before="11"/>
              <w:rPr>
                <w:sz w:val="14"/>
              </w:rPr>
            </w:pPr>
          </w:p>
          <w:p w14:paraId="1659709C" w14:textId="77777777" w:rsidR="00A71EEF" w:rsidRDefault="0081115D">
            <w:pPr>
              <w:pStyle w:val="TableParagraph"/>
              <w:ind w:left="100"/>
              <w:rPr>
                <w:sz w:val="21"/>
              </w:rPr>
            </w:pPr>
            <w:r>
              <w:rPr>
                <w:sz w:val="21"/>
              </w:rPr>
              <w:t>…</w:t>
            </w:r>
          </w:p>
        </w:tc>
        <w:tc>
          <w:tcPr>
            <w:tcW w:w="390" w:type="dxa"/>
          </w:tcPr>
          <w:p w14:paraId="0041DFBA" w14:textId="77777777" w:rsidR="00A71EEF" w:rsidRDefault="00A71EEF">
            <w:pPr>
              <w:pStyle w:val="TableParagraph"/>
              <w:spacing w:before="11"/>
              <w:rPr>
                <w:sz w:val="14"/>
              </w:rPr>
            </w:pPr>
          </w:p>
          <w:p w14:paraId="7A3087E2" w14:textId="77777777" w:rsidR="00A71EEF" w:rsidRDefault="0081115D">
            <w:pPr>
              <w:pStyle w:val="TableParagraph"/>
              <w:ind w:left="100" w:right="-44"/>
              <w:rPr>
                <w:sz w:val="21"/>
              </w:rPr>
            </w:pPr>
            <w:r>
              <w:rPr>
                <w:sz w:val="21"/>
              </w:rPr>
              <w:t xml:space="preserve">… </w:t>
            </w:r>
          </w:p>
        </w:tc>
        <w:tc>
          <w:tcPr>
            <w:tcW w:w="377" w:type="dxa"/>
          </w:tcPr>
          <w:p w14:paraId="32D9D47A" w14:textId="77777777" w:rsidR="00A71EEF" w:rsidRDefault="00A71EEF">
            <w:pPr>
              <w:pStyle w:val="TableParagraph"/>
              <w:spacing w:before="11"/>
              <w:rPr>
                <w:sz w:val="14"/>
              </w:rPr>
            </w:pPr>
          </w:p>
          <w:p w14:paraId="69B9196B" w14:textId="77777777" w:rsidR="00A71EEF" w:rsidRDefault="0081115D">
            <w:pPr>
              <w:pStyle w:val="TableParagraph"/>
              <w:ind w:left="48"/>
              <w:jc w:val="center"/>
              <w:rPr>
                <w:sz w:val="21"/>
              </w:rPr>
            </w:pPr>
            <w:r>
              <w:rPr>
                <w:sz w:val="21"/>
              </w:rPr>
              <w:t>…</w:t>
            </w:r>
          </w:p>
        </w:tc>
        <w:tc>
          <w:tcPr>
            <w:tcW w:w="605" w:type="dxa"/>
          </w:tcPr>
          <w:p w14:paraId="7D111A8C" w14:textId="77777777" w:rsidR="00A71EEF" w:rsidRDefault="0081115D">
            <w:pPr>
              <w:pStyle w:val="TableParagraph"/>
              <w:spacing w:before="201" w:line="280" w:lineRule="exact"/>
              <w:ind w:left="111"/>
              <w:rPr>
                <w:sz w:val="21"/>
              </w:rPr>
            </w:pPr>
            <w:r>
              <w:rPr>
                <w:rFonts w:ascii="Cambria Math" w:eastAsia="Cambria Math" w:hAnsi="Cambria Math"/>
                <w:w w:val="110"/>
                <w:sz w:val="21"/>
              </w:rPr>
              <w:t>𝑝</w:t>
            </w:r>
            <w:r>
              <w:rPr>
                <w:rFonts w:ascii="Cambria Math" w:eastAsia="Cambria Math" w:hAnsi="Cambria Math"/>
                <w:w w:val="110"/>
                <w:sz w:val="21"/>
              </w:rPr>
              <w:t>′</w:t>
            </w:r>
            <w:r>
              <w:rPr>
                <w:rFonts w:ascii="Cambria Math" w:eastAsia="Cambria Math" w:hAnsi="Cambria Math"/>
                <w:w w:val="110"/>
                <w:position w:val="-3"/>
                <w:sz w:val="15"/>
              </w:rPr>
              <w:t>𝑑</w:t>
            </w:r>
            <w:r>
              <w:rPr>
                <w:rFonts w:ascii="Cambria Math" w:eastAsia="Cambria Math" w:hAnsi="Cambria Math"/>
                <w:w w:val="110"/>
                <w:position w:val="-6"/>
                <w:sz w:val="12"/>
              </w:rPr>
              <w:t>𝜎</w:t>
            </w:r>
            <w:r>
              <w:rPr>
                <w:sz w:val="21"/>
              </w:rPr>
              <w:t xml:space="preserve"> </w:t>
            </w:r>
          </w:p>
        </w:tc>
        <w:tc>
          <w:tcPr>
            <w:tcW w:w="425" w:type="dxa"/>
          </w:tcPr>
          <w:p w14:paraId="143476A8" w14:textId="77777777" w:rsidR="00A71EEF" w:rsidRDefault="00A71EEF">
            <w:pPr>
              <w:pStyle w:val="TableParagraph"/>
              <w:spacing w:before="11"/>
              <w:rPr>
                <w:sz w:val="14"/>
              </w:rPr>
            </w:pPr>
          </w:p>
          <w:p w14:paraId="3BB8C002" w14:textId="77777777" w:rsidR="00A71EEF" w:rsidRDefault="0081115D">
            <w:pPr>
              <w:pStyle w:val="TableParagraph"/>
              <w:ind w:left="99"/>
              <w:rPr>
                <w:sz w:val="21"/>
              </w:rPr>
            </w:pPr>
            <w:r>
              <w:rPr>
                <w:sz w:val="21"/>
              </w:rPr>
              <w:t xml:space="preserve"> </w:t>
            </w:r>
          </w:p>
        </w:tc>
      </w:tr>
      <w:tr w:rsidR="00A71EEF" w14:paraId="6CC5BDEB" w14:textId="77777777">
        <w:trPr>
          <w:trHeight w:val="1000"/>
        </w:trPr>
        <w:tc>
          <w:tcPr>
            <w:tcW w:w="377" w:type="dxa"/>
          </w:tcPr>
          <w:p w14:paraId="690660C1" w14:textId="77777777" w:rsidR="00A71EEF" w:rsidRDefault="0081115D">
            <w:pPr>
              <w:pStyle w:val="TableParagraph"/>
              <w:spacing w:line="500" w:lineRule="exact"/>
              <w:ind w:left="107" w:right="-58"/>
              <w:rPr>
                <w:sz w:val="21"/>
              </w:rPr>
            </w:pPr>
            <w:r>
              <w:rPr>
                <w:sz w:val="21"/>
              </w:rPr>
              <w:t>全部</w:t>
            </w:r>
            <w:r>
              <w:rPr>
                <w:sz w:val="21"/>
              </w:rPr>
              <w:t xml:space="preserve"> </w:t>
            </w:r>
          </w:p>
        </w:tc>
        <w:tc>
          <w:tcPr>
            <w:tcW w:w="471" w:type="dxa"/>
          </w:tcPr>
          <w:p w14:paraId="34BAC832" w14:textId="77777777" w:rsidR="00A71EEF" w:rsidRDefault="00A71EEF">
            <w:pPr>
              <w:pStyle w:val="TableParagraph"/>
              <w:spacing w:before="11"/>
              <w:rPr>
                <w:sz w:val="14"/>
              </w:rPr>
            </w:pPr>
          </w:p>
          <w:p w14:paraId="7C9EF835" w14:textId="77777777" w:rsidR="00A71EEF" w:rsidRDefault="0081115D">
            <w:pPr>
              <w:pStyle w:val="TableParagraph"/>
              <w:ind w:left="107"/>
              <w:rPr>
                <w:sz w:val="21"/>
              </w:rPr>
            </w:pPr>
            <w:r>
              <w:rPr>
                <w:sz w:val="21"/>
              </w:rPr>
              <w:t xml:space="preserve"> </w:t>
            </w:r>
          </w:p>
        </w:tc>
        <w:tc>
          <w:tcPr>
            <w:tcW w:w="346" w:type="dxa"/>
          </w:tcPr>
          <w:p w14:paraId="79A5057B" w14:textId="77777777" w:rsidR="00A71EEF" w:rsidRDefault="00A71EEF">
            <w:pPr>
              <w:pStyle w:val="TableParagraph"/>
              <w:spacing w:before="11"/>
              <w:rPr>
                <w:sz w:val="14"/>
              </w:rPr>
            </w:pPr>
          </w:p>
          <w:p w14:paraId="4AD0462E" w14:textId="77777777" w:rsidR="00A71EEF" w:rsidRDefault="0081115D">
            <w:pPr>
              <w:pStyle w:val="TableParagraph"/>
              <w:ind w:left="106"/>
              <w:rPr>
                <w:sz w:val="21"/>
              </w:rPr>
            </w:pPr>
            <w:r>
              <w:rPr>
                <w:sz w:val="21"/>
              </w:rPr>
              <w:t xml:space="preserve"> </w:t>
            </w:r>
          </w:p>
        </w:tc>
        <w:tc>
          <w:tcPr>
            <w:tcW w:w="435" w:type="dxa"/>
          </w:tcPr>
          <w:p w14:paraId="33212E59" w14:textId="77777777" w:rsidR="00A71EEF" w:rsidRDefault="00A71EEF">
            <w:pPr>
              <w:pStyle w:val="TableParagraph"/>
              <w:spacing w:before="11"/>
              <w:rPr>
                <w:sz w:val="14"/>
              </w:rPr>
            </w:pPr>
          </w:p>
          <w:p w14:paraId="1AFBEBCB" w14:textId="77777777" w:rsidR="00A71EEF" w:rsidRDefault="0081115D">
            <w:pPr>
              <w:pStyle w:val="TableParagraph"/>
              <w:ind w:left="106"/>
              <w:rPr>
                <w:sz w:val="21"/>
              </w:rPr>
            </w:pPr>
            <w:r>
              <w:rPr>
                <w:sz w:val="21"/>
              </w:rPr>
              <w:t xml:space="preserve"> </w:t>
            </w:r>
          </w:p>
        </w:tc>
        <w:tc>
          <w:tcPr>
            <w:tcW w:w="437" w:type="dxa"/>
          </w:tcPr>
          <w:p w14:paraId="4D918DF5" w14:textId="77777777" w:rsidR="00A71EEF" w:rsidRDefault="00A71EEF">
            <w:pPr>
              <w:pStyle w:val="TableParagraph"/>
              <w:spacing w:before="11"/>
              <w:rPr>
                <w:sz w:val="14"/>
              </w:rPr>
            </w:pPr>
          </w:p>
          <w:p w14:paraId="63FFC738" w14:textId="77777777" w:rsidR="00A71EEF" w:rsidRDefault="0081115D">
            <w:pPr>
              <w:pStyle w:val="TableParagraph"/>
              <w:ind w:left="108"/>
              <w:rPr>
                <w:sz w:val="21"/>
              </w:rPr>
            </w:pPr>
            <w:r>
              <w:rPr>
                <w:sz w:val="21"/>
              </w:rPr>
              <w:t xml:space="preserve"> </w:t>
            </w:r>
          </w:p>
        </w:tc>
        <w:tc>
          <w:tcPr>
            <w:tcW w:w="438" w:type="dxa"/>
          </w:tcPr>
          <w:p w14:paraId="668A99AA" w14:textId="77777777" w:rsidR="00A71EEF" w:rsidRDefault="00A71EEF">
            <w:pPr>
              <w:pStyle w:val="TableParagraph"/>
              <w:spacing w:before="11"/>
              <w:rPr>
                <w:sz w:val="14"/>
              </w:rPr>
            </w:pPr>
          </w:p>
          <w:p w14:paraId="6E36054B" w14:textId="77777777" w:rsidR="00A71EEF" w:rsidRDefault="0081115D">
            <w:pPr>
              <w:pStyle w:val="TableParagraph"/>
              <w:ind w:left="106"/>
              <w:rPr>
                <w:sz w:val="21"/>
              </w:rPr>
            </w:pPr>
            <w:r>
              <w:rPr>
                <w:sz w:val="21"/>
              </w:rPr>
              <w:t xml:space="preserve"> </w:t>
            </w:r>
          </w:p>
        </w:tc>
        <w:tc>
          <w:tcPr>
            <w:tcW w:w="375" w:type="dxa"/>
          </w:tcPr>
          <w:p w14:paraId="2975F5B9" w14:textId="77777777" w:rsidR="00A71EEF" w:rsidRDefault="00A71EEF">
            <w:pPr>
              <w:pStyle w:val="TableParagraph"/>
              <w:spacing w:before="11"/>
              <w:rPr>
                <w:sz w:val="14"/>
              </w:rPr>
            </w:pPr>
          </w:p>
          <w:p w14:paraId="2D608E34" w14:textId="77777777" w:rsidR="00A71EEF" w:rsidRDefault="0081115D">
            <w:pPr>
              <w:pStyle w:val="TableParagraph"/>
              <w:ind w:left="105"/>
              <w:rPr>
                <w:sz w:val="21"/>
              </w:rPr>
            </w:pPr>
            <w:r>
              <w:rPr>
                <w:sz w:val="21"/>
              </w:rPr>
              <w:t xml:space="preserve"> </w:t>
            </w:r>
          </w:p>
        </w:tc>
        <w:tc>
          <w:tcPr>
            <w:tcW w:w="377" w:type="dxa"/>
          </w:tcPr>
          <w:p w14:paraId="6C3C2C1E" w14:textId="77777777" w:rsidR="00A71EEF" w:rsidRDefault="00A71EEF">
            <w:pPr>
              <w:pStyle w:val="TableParagraph"/>
              <w:spacing w:before="11"/>
              <w:rPr>
                <w:sz w:val="14"/>
              </w:rPr>
            </w:pPr>
          </w:p>
          <w:p w14:paraId="5B7562D3" w14:textId="77777777" w:rsidR="00A71EEF" w:rsidRDefault="0081115D">
            <w:pPr>
              <w:pStyle w:val="TableParagraph"/>
              <w:ind w:right="45"/>
              <w:jc w:val="center"/>
              <w:rPr>
                <w:sz w:val="21"/>
              </w:rPr>
            </w:pPr>
            <w:r>
              <w:rPr>
                <w:sz w:val="21"/>
              </w:rPr>
              <w:t xml:space="preserve"> </w:t>
            </w:r>
          </w:p>
        </w:tc>
        <w:tc>
          <w:tcPr>
            <w:tcW w:w="377" w:type="dxa"/>
          </w:tcPr>
          <w:p w14:paraId="415D1018" w14:textId="77777777" w:rsidR="00A71EEF" w:rsidRDefault="00A71EEF">
            <w:pPr>
              <w:pStyle w:val="TableParagraph"/>
              <w:spacing w:before="11"/>
              <w:rPr>
                <w:sz w:val="14"/>
              </w:rPr>
            </w:pPr>
          </w:p>
          <w:p w14:paraId="2A3F4196" w14:textId="77777777" w:rsidR="00A71EEF" w:rsidRDefault="0081115D">
            <w:pPr>
              <w:pStyle w:val="TableParagraph"/>
              <w:ind w:left="104"/>
              <w:rPr>
                <w:sz w:val="21"/>
              </w:rPr>
            </w:pPr>
            <w:r>
              <w:rPr>
                <w:sz w:val="21"/>
              </w:rPr>
              <w:t xml:space="preserve"> </w:t>
            </w:r>
          </w:p>
        </w:tc>
        <w:tc>
          <w:tcPr>
            <w:tcW w:w="375" w:type="dxa"/>
          </w:tcPr>
          <w:p w14:paraId="57C3DB4D" w14:textId="77777777" w:rsidR="00A71EEF" w:rsidRDefault="00A71EEF">
            <w:pPr>
              <w:pStyle w:val="TableParagraph"/>
              <w:spacing w:before="11"/>
              <w:rPr>
                <w:sz w:val="14"/>
              </w:rPr>
            </w:pPr>
          </w:p>
          <w:p w14:paraId="0FC10193" w14:textId="77777777" w:rsidR="00A71EEF" w:rsidRDefault="0081115D">
            <w:pPr>
              <w:pStyle w:val="TableParagraph"/>
              <w:ind w:left="104"/>
              <w:rPr>
                <w:sz w:val="21"/>
              </w:rPr>
            </w:pPr>
            <w:r>
              <w:rPr>
                <w:sz w:val="21"/>
              </w:rPr>
              <w:t xml:space="preserve"> </w:t>
            </w:r>
          </w:p>
        </w:tc>
        <w:tc>
          <w:tcPr>
            <w:tcW w:w="447" w:type="dxa"/>
          </w:tcPr>
          <w:p w14:paraId="7A662DC1" w14:textId="77777777" w:rsidR="00A71EEF" w:rsidRDefault="00A71EEF">
            <w:pPr>
              <w:pStyle w:val="TableParagraph"/>
              <w:spacing w:before="11"/>
              <w:rPr>
                <w:sz w:val="14"/>
              </w:rPr>
            </w:pPr>
          </w:p>
          <w:p w14:paraId="3CF63EA6" w14:textId="77777777" w:rsidR="00A71EEF" w:rsidRDefault="0081115D">
            <w:pPr>
              <w:pStyle w:val="TableParagraph"/>
              <w:ind w:left="105"/>
              <w:rPr>
                <w:sz w:val="21"/>
              </w:rPr>
            </w:pPr>
            <w:r>
              <w:rPr>
                <w:sz w:val="21"/>
              </w:rPr>
              <w:t xml:space="preserve"> </w:t>
            </w:r>
          </w:p>
        </w:tc>
        <w:tc>
          <w:tcPr>
            <w:tcW w:w="483" w:type="dxa"/>
          </w:tcPr>
          <w:p w14:paraId="4DCE31C2" w14:textId="77777777" w:rsidR="00A71EEF" w:rsidRDefault="00A71EEF">
            <w:pPr>
              <w:pStyle w:val="TableParagraph"/>
              <w:spacing w:before="11"/>
              <w:rPr>
                <w:sz w:val="14"/>
              </w:rPr>
            </w:pPr>
          </w:p>
          <w:p w14:paraId="7A57B5F1" w14:textId="77777777" w:rsidR="00A71EEF" w:rsidRDefault="0081115D">
            <w:pPr>
              <w:pStyle w:val="TableParagraph"/>
              <w:ind w:left="102"/>
              <w:rPr>
                <w:sz w:val="21"/>
              </w:rPr>
            </w:pPr>
            <w:r>
              <w:rPr>
                <w:sz w:val="21"/>
              </w:rPr>
              <w:t xml:space="preserve"> </w:t>
            </w:r>
          </w:p>
        </w:tc>
        <w:tc>
          <w:tcPr>
            <w:tcW w:w="483" w:type="dxa"/>
          </w:tcPr>
          <w:p w14:paraId="11EBCFEC" w14:textId="77777777" w:rsidR="00A71EEF" w:rsidRDefault="00A71EEF">
            <w:pPr>
              <w:pStyle w:val="TableParagraph"/>
              <w:spacing w:before="11"/>
              <w:rPr>
                <w:sz w:val="14"/>
              </w:rPr>
            </w:pPr>
          </w:p>
          <w:p w14:paraId="1E943D78" w14:textId="77777777" w:rsidR="00A71EEF" w:rsidRDefault="0081115D">
            <w:pPr>
              <w:pStyle w:val="TableParagraph"/>
              <w:ind w:left="102"/>
              <w:rPr>
                <w:sz w:val="21"/>
              </w:rPr>
            </w:pPr>
            <w:r>
              <w:rPr>
                <w:sz w:val="21"/>
              </w:rPr>
              <w:t xml:space="preserve"> </w:t>
            </w:r>
          </w:p>
        </w:tc>
        <w:tc>
          <w:tcPr>
            <w:tcW w:w="481" w:type="dxa"/>
          </w:tcPr>
          <w:p w14:paraId="3806E8EE" w14:textId="77777777" w:rsidR="00A71EEF" w:rsidRDefault="00A71EEF">
            <w:pPr>
              <w:pStyle w:val="TableParagraph"/>
              <w:spacing w:before="11"/>
              <w:rPr>
                <w:sz w:val="14"/>
              </w:rPr>
            </w:pPr>
          </w:p>
          <w:p w14:paraId="7C22BF1C" w14:textId="77777777" w:rsidR="00A71EEF" w:rsidRDefault="0081115D">
            <w:pPr>
              <w:pStyle w:val="TableParagraph"/>
              <w:ind w:left="102"/>
              <w:rPr>
                <w:sz w:val="21"/>
              </w:rPr>
            </w:pPr>
            <w:r>
              <w:rPr>
                <w:sz w:val="21"/>
              </w:rPr>
              <w:t xml:space="preserve"> </w:t>
            </w:r>
          </w:p>
        </w:tc>
        <w:tc>
          <w:tcPr>
            <w:tcW w:w="483" w:type="dxa"/>
          </w:tcPr>
          <w:p w14:paraId="5C0A8E68" w14:textId="77777777" w:rsidR="00A71EEF" w:rsidRDefault="00A71EEF">
            <w:pPr>
              <w:pStyle w:val="TableParagraph"/>
              <w:spacing w:before="11"/>
              <w:rPr>
                <w:sz w:val="14"/>
              </w:rPr>
            </w:pPr>
          </w:p>
          <w:p w14:paraId="1C0601BA" w14:textId="77777777" w:rsidR="00A71EEF" w:rsidRDefault="0081115D">
            <w:pPr>
              <w:pStyle w:val="TableParagraph"/>
              <w:ind w:left="101"/>
              <w:rPr>
                <w:sz w:val="21"/>
              </w:rPr>
            </w:pPr>
            <w:r>
              <w:rPr>
                <w:sz w:val="21"/>
              </w:rPr>
              <w:t xml:space="preserve"> </w:t>
            </w:r>
          </w:p>
        </w:tc>
        <w:tc>
          <w:tcPr>
            <w:tcW w:w="377" w:type="dxa"/>
          </w:tcPr>
          <w:p w14:paraId="2D7CFD29" w14:textId="77777777" w:rsidR="00A71EEF" w:rsidRDefault="00A71EEF">
            <w:pPr>
              <w:pStyle w:val="TableParagraph"/>
              <w:spacing w:before="11"/>
              <w:rPr>
                <w:sz w:val="14"/>
              </w:rPr>
            </w:pPr>
          </w:p>
          <w:p w14:paraId="2F08D767" w14:textId="77777777" w:rsidR="00A71EEF" w:rsidRDefault="0081115D">
            <w:pPr>
              <w:pStyle w:val="TableParagraph"/>
              <w:ind w:left="100"/>
              <w:rPr>
                <w:sz w:val="21"/>
              </w:rPr>
            </w:pPr>
            <w:r>
              <w:rPr>
                <w:sz w:val="21"/>
              </w:rPr>
              <w:t xml:space="preserve"> </w:t>
            </w:r>
          </w:p>
        </w:tc>
        <w:tc>
          <w:tcPr>
            <w:tcW w:w="377" w:type="dxa"/>
          </w:tcPr>
          <w:p w14:paraId="013C452A" w14:textId="77777777" w:rsidR="00A71EEF" w:rsidRDefault="00A71EEF">
            <w:pPr>
              <w:pStyle w:val="TableParagraph"/>
              <w:spacing w:before="11"/>
              <w:rPr>
                <w:sz w:val="14"/>
              </w:rPr>
            </w:pPr>
          </w:p>
          <w:p w14:paraId="00361F53" w14:textId="77777777" w:rsidR="00A71EEF" w:rsidRDefault="0081115D">
            <w:pPr>
              <w:pStyle w:val="TableParagraph"/>
              <w:ind w:left="100"/>
              <w:rPr>
                <w:sz w:val="21"/>
              </w:rPr>
            </w:pPr>
            <w:r>
              <w:rPr>
                <w:sz w:val="21"/>
              </w:rPr>
              <w:t xml:space="preserve"> </w:t>
            </w:r>
          </w:p>
        </w:tc>
        <w:tc>
          <w:tcPr>
            <w:tcW w:w="390" w:type="dxa"/>
          </w:tcPr>
          <w:p w14:paraId="375C5612" w14:textId="77777777" w:rsidR="00A71EEF" w:rsidRDefault="00A71EEF">
            <w:pPr>
              <w:pStyle w:val="TableParagraph"/>
              <w:spacing w:before="11"/>
              <w:rPr>
                <w:sz w:val="14"/>
              </w:rPr>
            </w:pPr>
          </w:p>
          <w:p w14:paraId="6C5EC83D" w14:textId="77777777" w:rsidR="00A71EEF" w:rsidRDefault="0081115D">
            <w:pPr>
              <w:pStyle w:val="TableParagraph"/>
              <w:ind w:left="100"/>
              <w:rPr>
                <w:sz w:val="21"/>
              </w:rPr>
            </w:pPr>
            <w:r>
              <w:rPr>
                <w:sz w:val="21"/>
              </w:rPr>
              <w:t xml:space="preserve"> </w:t>
            </w:r>
          </w:p>
        </w:tc>
        <w:tc>
          <w:tcPr>
            <w:tcW w:w="377" w:type="dxa"/>
          </w:tcPr>
          <w:p w14:paraId="0B34BC7B" w14:textId="77777777" w:rsidR="00A71EEF" w:rsidRDefault="00A71EEF">
            <w:pPr>
              <w:pStyle w:val="TableParagraph"/>
              <w:spacing w:before="11"/>
              <w:rPr>
                <w:sz w:val="14"/>
              </w:rPr>
            </w:pPr>
          </w:p>
          <w:p w14:paraId="012F78F4" w14:textId="77777777" w:rsidR="00A71EEF" w:rsidRDefault="0081115D">
            <w:pPr>
              <w:pStyle w:val="TableParagraph"/>
              <w:ind w:right="55"/>
              <w:jc w:val="center"/>
              <w:rPr>
                <w:sz w:val="21"/>
              </w:rPr>
            </w:pPr>
            <w:r>
              <w:rPr>
                <w:sz w:val="21"/>
              </w:rPr>
              <w:t xml:space="preserve"> </w:t>
            </w:r>
          </w:p>
        </w:tc>
        <w:tc>
          <w:tcPr>
            <w:tcW w:w="605" w:type="dxa"/>
          </w:tcPr>
          <w:p w14:paraId="153FD9F2" w14:textId="77777777" w:rsidR="00A71EEF" w:rsidRDefault="00A71EEF">
            <w:pPr>
              <w:pStyle w:val="TableParagraph"/>
              <w:spacing w:before="11"/>
              <w:rPr>
                <w:sz w:val="14"/>
              </w:rPr>
            </w:pPr>
          </w:p>
          <w:p w14:paraId="4D98E052" w14:textId="77777777" w:rsidR="00A71EEF" w:rsidRDefault="0081115D">
            <w:pPr>
              <w:pStyle w:val="TableParagraph"/>
              <w:ind w:left="99"/>
              <w:rPr>
                <w:sz w:val="21"/>
              </w:rPr>
            </w:pPr>
            <w:r>
              <w:rPr>
                <w:sz w:val="21"/>
              </w:rPr>
              <w:t xml:space="preserve"> </w:t>
            </w:r>
          </w:p>
        </w:tc>
        <w:tc>
          <w:tcPr>
            <w:tcW w:w="425" w:type="dxa"/>
          </w:tcPr>
          <w:p w14:paraId="7CE29319" w14:textId="77777777" w:rsidR="00A71EEF" w:rsidRDefault="00A71EEF">
            <w:pPr>
              <w:pStyle w:val="TableParagraph"/>
              <w:spacing w:before="11"/>
              <w:rPr>
                <w:sz w:val="14"/>
              </w:rPr>
            </w:pPr>
          </w:p>
          <w:p w14:paraId="1B321E6B" w14:textId="77777777" w:rsidR="00A71EEF" w:rsidRDefault="0081115D">
            <w:pPr>
              <w:pStyle w:val="TableParagraph"/>
              <w:ind w:left="99"/>
              <w:rPr>
                <w:sz w:val="21"/>
              </w:rPr>
            </w:pPr>
            <w:r>
              <w:rPr>
                <w:sz w:val="21"/>
              </w:rPr>
              <w:t xml:space="preserve"> </w:t>
            </w:r>
          </w:p>
        </w:tc>
      </w:tr>
      <w:tr w:rsidR="00A71EEF" w14:paraId="25CCC4EF" w14:textId="77777777">
        <w:trPr>
          <w:trHeight w:val="498"/>
        </w:trPr>
        <w:tc>
          <w:tcPr>
            <w:tcW w:w="377" w:type="dxa"/>
          </w:tcPr>
          <w:p w14:paraId="7913D269" w14:textId="77777777" w:rsidR="00A71EEF" w:rsidRDefault="00A71EEF">
            <w:pPr>
              <w:pStyle w:val="TableParagraph"/>
              <w:spacing w:before="11"/>
              <w:rPr>
                <w:sz w:val="14"/>
              </w:rPr>
            </w:pPr>
          </w:p>
          <w:p w14:paraId="087BF1AC" w14:textId="77777777" w:rsidR="00A71EEF" w:rsidRDefault="0081115D">
            <w:pPr>
              <w:pStyle w:val="TableParagraph"/>
              <w:ind w:left="107"/>
              <w:rPr>
                <w:sz w:val="21"/>
              </w:rPr>
            </w:pPr>
            <w:r>
              <w:rPr>
                <w:sz w:val="21"/>
              </w:rPr>
              <w:t xml:space="preserve">1 </w:t>
            </w:r>
          </w:p>
        </w:tc>
        <w:tc>
          <w:tcPr>
            <w:tcW w:w="471" w:type="dxa"/>
          </w:tcPr>
          <w:p w14:paraId="15F2F9C7" w14:textId="77777777" w:rsidR="00A71EEF" w:rsidRDefault="00A71EEF">
            <w:pPr>
              <w:pStyle w:val="TableParagraph"/>
              <w:spacing w:before="11"/>
              <w:rPr>
                <w:sz w:val="14"/>
              </w:rPr>
            </w:pPr>
          </w:p>
          <w:p w14:paraId="2564F3CD" w14:textId="77777777" w:rsidR="00A71EEF" w:rsidRDefault="0081115D">
            <w:pPr>
              <w:pStyle w:val="TableParagraph"/>
              <w:ind w:left="107"/>
              <w:rPr>
                <w:sz w:val="21"/>
              </w:rPr>
            </w:pPr>
            <w:r>
              <w:rPr>
                <w:sz w:val="21"/>
              </w:rPr>
              <w:t xml:space="preserve"> </w:t>
            </w:r>
          </w:p>
        </w:tc>
        <w:tc>
          <w:tcPr>
            <w:tcW w:w="346" w:type="dxa"/>
          </w:tcPr>
          <w:p w14:paraId="2CE9D544" w14:textId="77777777" w:rsidR="00A71EEF" w:rsidRDefault="00A71EEF">
            <w:pPr>
              <w:pStyle w:val="TableParagraph"/>
              <w:spacing w:before="11"/>
              <w:rPr>
                <w:sz w:val="14"/>
              </w:rPr>
            </w:pPr>
          </w:p>
          <w:p w14:paraId="21A76AB8" w14:textId="77777777" w:rsidR="00A71EEF" w:rsidRDefault="0081115D">
            <w:pPr>
              <w:pStyle w:val="TableParagraph"/>
              <w:ind w:left="106"/>
              <w:rPr>
                <w:sz w:val="21"/>
              </w:rPr>
            </w:pPr>
            <w:r>
              <w:rPr>
                <w:sz w:val="21"/>
              </w:rPr>
              <w:t xml:space="preserve"> </w:t>
            </w:r>
          </w:p>
        </w:tc>
        <w:tc>
          <w:tcPr>
            <w:tcW w:w="435" w:type="dxa"/>
          </w:tcPr>
          <w:p w14:paraId="2EB5E698" w14:textId="77777777" w:rsidR="00A71EEF" w:rsidRDefault="00A71EEF">
            <w:pPr>
              <w:pStyle w:val="TableParagraph"/>
              <w:spacing w:before="11"/>
              <w:rPr>
                <w:sz w:val="14"/>
              </w:rPr>
            </w:pPr>
          </w:p>
          <w:p w14:paraId="135C0F37" w14:textId="77777777" w:rsidR="00A71EEF" w:rsidRDefault="0081115D">
            <w:pPr>
              <w:pStyle w:val="TableParagraph"/>
              <w:ind w:left="106"/>
              <w:rPr>
                <w:sz w:val="21"/>
              </w:rPr>
            </w:pPr>
            <w:r>
              <w:rPr>
                <w:sz w:val="21"/>
              </w:rPr>
              <w:t xml:space="preserve"> </w:t>
            </w:r>
          </w:p>
        </w:tc>
        <w:tc>
          <w:tcPr>
            <w:tcW w:w="437" w:type="dxa"/>
          </w:tcPr>
          <w:p w14:paraId="4DC07B16" w14:textId="77777777" w:rsidR="00A71EEF" w:rsidRDefault="00A71EEF">
            <w:pPr>
              <w:pStyle w:val="TableParagraph"/>
              <w:spacing w:before="11"/>
              <w:rPr>
                <w:sz w:val="14"/>
              </w:rPr>
            </w:pPr>
          </w:p>
          <w:p w14:paraId="6C3EC71E" w14:textId="77777777" w:rsidR="00A71EEF" w:rsidRDefault="0081115D">
            <w:pPr>
              <w:pStyle w:val="TableParagraph"/>
              <w:ind w:left="108"/>
              <w:rPr>
                <w:sz w:val="21"/>
              </w:rPr>
            </w:pPr>
            <w:r>
              <w:rPr>
                <w:sz w:val="21"/>
              </w:rPr>
              <w:t xml:space="preserve"> </w:t>
            </w:r>
          </w:p>
        </w:tc>
        <w:tc>
          <w:tcPr>
            <w:tcW w:w="438" w:type="dxa"/>
          </w:tcPr>
          <w:p w14:paraId="3F69B8B8" w14:textId="77777777" w:rsidR="00A71EEF" w:rsidRDefault="00A71EEF">
            <w:pPr>
              <w:pStyle w:val="TableParagraph"/>
              <w:spacing w:before="11"/>
              <w:rPr>
                <w:sz w:val="14"/>
              </w:rPr>
            </w:pPr>
          </w:p>
          <w:p w14:paraId="55E03732" w14:textId="77777777" w:rsidR="00A71EEF" w:rsidRDefault="0081115D">
            <w:pPr>
              <w:pStyle w:val="TableParagraph"/>
              <w:ind w:left="106"/>
              <w:rPr>
                <w:sz w:val="21"/>
              </w:rPr>
            </w:pPr>
            <w:r>
              <w:rPr>
                <w:sz w:val="21"/>
              </w:rPr>
              <w:t xml:space="preserve"> </w:t>
            </w:r>
          </w:p>
        </w:tc>
        <w:tc>
          <w:tcPr>
            <w:tcW w:w="375" w:type="dxa"/>
          </w:tcPr>
          <w:p w14:paraId="15B25687" w14:textId="77777777" w:rsidR="00A71EEF" w:rsidRDefault="00A71EEF">
            <w:pPr>
              <w:pStyle w:val="TableParagraph"/>
              <w:spacing w:before="11"/>
              <w:rPr>
                <w:sz w:val="14"/>
              </w:rPr>
            </w:pPr>
          </w:p>
          <w:p w14:paraId="75AE38F4" w14:textId="77777777" w:rsidR="00A71EEF" w:rsidRDefault="0081115D">
            <w:pPr>
              <w:pStyle w:val="TableParagraph"/>
              <w:ind w:left="105"/>
              <w:rPr>
                <w:sz w:val="21"/>
              </w:rPr>
            </w:pPr>
            <w:r>
              <w:rPr>
                <w:sz w:val="21"/>
              </w:rPr>
              <w:t xml:space="preserve"> </w:t>
            </w:r>
          </w:p>
        </w:tc>
        <w:tc>
          <w:tcPr>
            <w:tcW w:w="377" w:type="dxa"/>
          </w:tcPr>
          <w:p w14:paraId="37CBE685" w14:textId="77777777" w:rsidR="00A71EEF" w:rsidRDefault="00A71EEF">
            <w:pPr>
              <w:pStyle w:val="TableParagraph"/>
              <w:spacing w:before="11"/>
              <w:rPr>
                <w:sz w:val="14"/>
              </w:rPr>
            </w:pPr>
          </w:p>
          <w:p w14:paraId="24575C27" w14:textId="77777777" w:rsidR="00A71EEF" w:rsidRDefault="0081115D">
            <w:pPr>
              <w:pStyle w:val="TableParagraph"/>
              <w:ind w:right="45"/>
              <w:jc w:val="center"/>
              <w:rPr>
                <w:sz w:val="21"/>
              </w:rPr>
            </w:pPr>
            <w:r>
              <w:rPr>
                <w:sz w:val="21"/>
              </w:rPr>
              <w:t xml:space="preserve"> </w:t>
            </w:r>
          </w:p>
        </w:tc>
        <w:tc>
          <w:tcPr>
            <w:tcW w:w="377" w:type="dxa"/>
          </w:tcPr>
          <w:p w14:paraId="467703DB" w14:textId="77777777" w:rsidR="00A71EEF" w:rsidRDefault="00A71EEF">
            <w:pPr>
              <w:pStyle w:val="TableParagraph"/>
              <w:spacing w:before="11"/>
              <w:rPr>
                <w:sz w:val="14"/>
              </w:rPr>
            </w:pPr>
          </w:p>
          <w:p w14:paraId="5EDBD188" w14:textId="77777777" w:rsidR="00A71EEF" w:rsidRDefault="0081115D">
            <w:pPr>
              <w:pStyle w:val="TableParagraph"/>
              <w:ind w:left="104"/>
              <w:rPr>
                <w:sz w:val="21"/>
              </w:rPr>
            </w:pPr>
            <w:r>
              <w:rPr>
                <w:sz w:val="21"/>
              </w:rPr>
              <w:t xml:space="preserve"> </w:t>
            </w:r>
          </w:p>
        </w:tc>
        <w:tc>
          <w:tcPr>
            <w:tcW w:w="375" w:type="dxa"/>
          </w:tcPr>
          <w:p w14:paraId="32023A9B" w14:textId="77777777" w:rsidR="00A71EEF" w:rsidRDefault="00A71EEF">
            <w:pPr>
              <w:pStyle w:val="TableParagraph"/>
              <w:spacing w:before="11"/>
              <w:rPr>
                <w:sz w:val="14"/>
              </w:rPr>
            </w:pPr>
          </w:p>
          <w:p w14:paraId="1A8F0AE0" w14:textId="77777777" w:rsidR="00A71EEF" w:rsidRDefault="0081115D">
            <w:pPr>
              <w:pStyle w:val="TableParagraph"/>
              <w:ind w:left="104"/>
              <w:rPr>
                <w:sz w:val="21"/>
              </w:rPr>
            </w:pPr>
            <w:r>
              <w:rPr>
                <w:sz w:val="21"/>
              </w:rPr>
              <w:t xml:space="preserve"> </w:t>
            </w:r>
          </w:p>
        </w:tc>
        <w:tc>
          <w:tcPr>
            <w:tcW w:w="447" w:type="dxa"/>
          </w:tcPr>
          <w:p w14:paraId="7CA1008C" w14:textId="77777777" w:rsidR="00A71EEF" w:rsidRDefault="00A71EEF">
            <w:pPr>
              <w:pStyle w:val="TableParagraph"/>
              <w:spacing w:before="11"/>
              <w:rPr>
                <w:sz w:val="14"/>
              </w:rPr>
            </w:pPr>
          </w:p>
          <w:p w14:paraId="479EFE82" w14:textId="77777777" w:rsidR="00A71EEF" w:rsidRDefault="0081115D">
            <w:pPr>
              <w:pStyle w:val="TableParagraph"/>
              <w:ind w:left="105"/>
              <w:rPr>
                <w:sz w:val="21"/>
              </w:rPr>
            </w:pPr>
            <w:r>
              <w:rPr>
                <w:sz w:val="21"/>
              </w:rPr>
              <w:t xml:space="preserve"> </w:t>
            </w:r>
          </w:p>
        </w:tc>
        <w:tc>
          <w:tcPr>
            <w:tcW w:w="483" w:type="dxa"/>
          </w:tcPr>
          <w:p w14:paraId="3996A09C" w14:textId="77777777" w:rsidR="00A71EEF" w:rsidRDefault="00A71EEF">
            <w:pPr>
              <w:pStyle w:val="TableParagraph"/>
              <w:spacing w:before="11"/>
              <w:rPr>
                <w:sz w:val="14"/>
              </w:rPr>
            </w:pPr>
          </w:p>
          <w:p w14:paraId="629C6347" w14:textId="77777777" w:rsidR="00A71EEF" w:rsidRDefault="0081115D">
            <w:pPr>
              <w:pStyle w:val="TableParagraph"/>
              <w:ind w:left="102"/>
              <w:rPr>
                <w:sz w:val="21"/>
              </w:rPr>
            </w:pPr>
            <w:r>
              <w:rPr>
                <w:sz w:val="21"/>
              </w:rPr>
              <w:t xml:space="preserve"> </w:t>
            </w:r>
          </w:p>
        </w:tc>
        <w:tc>
          <w:tcPr>
            <w:tcW w:w="483" w:type="dxa"/>
          </w:tcPr>
          <w:p w14:paraId="24997622" w14:textId="77777777" w:rsidR="00A71EEF" w:rsidRDefault="00A71EEF">
            <w:pPr>
              <w:pStyle w:val="TableParagraph"/>
              <w:spacing w:before="11"/>
              <w:rPr>
                <w:sz w:val="14"/>
              </w:rPr>
            </w:pPr>
          </w:p>
          <w:p w14:paraId="2E55B9F0" w14:textId="77777777" w:rsidR="00A71EEF" w:rsidRDefault="0081115D">
            <w:pPr>
              <w:pStyle w:val="TableParagraph"/>
              <w:ind w:left="102"/>
              <w:rPr>
                <w:sz w:val="21"/>
              </w:rPr>
            </w:pPr>
            <w:r>
              <w:rPr>
                <w:sz w:val="21"/>
              </w:rPr>
              <w:t xml:space="preserve"> </w:t>
            </w:r>
          </w:p>
        </w:tc>
        <w:tc>
          <w:tcPr>
            <w:tcW w:w="481" w:type="dxa"/>
          </w:tcPr>
          <w:p w14:paraId="29CAFFE2" w14:textId="77777777" w:rsidR="00A71EEF" w:rsidRDefault="00A71EEF">
            <w:pPr>
              <w:pStyle w:val="TableParagraph"/>
              <w:spacing w:before="11"/>
              <w:rPr>
                <w:sz w:val="14"/>
              </w:rPr>
            </w:pPr>
          </w:p>
          <w:p w14:paraId="6BC756D1" w14:textId="77777777" w:rsidR="00A71EEF" w:rsidRDefault="0081115D">
            <w:pPr>
              <w:pStyle w:val="TableParagraph"/>
              <w:ind w:left="102"/>
              <w:rPr>
                <w:sz w:val="21"/>
              </w:rPr>
            </w:pPr>
            <w:r>
              <w:rPr>
                <w:sz w:val="21"/>
              </w:rPr>
              <w:t xml:space="preserve"> </w:t>
            </w:r>
          </w:p>
        </w:tc>
        <w:tc>
          <w:tcPr>
            <w:tcW w:w="483" w:type="dxa"/>
          </w:tcPr>
          <w:p w14:paraId="595A8856" w14:textId="77777777" w:rsidR="00A71EEF" w:rsidRDefault="00A71EEF">
            <w:pPr>
              <w:pStyle w:val="TableParagraph"/>
              <w:spacing w:before="11"/>
              <w:rPr>
                <w:sz w:val="14"/>
              </w:rPr>
            </w:pPr>
          </w:p>
          <w:p w14:paraId="012D2130" w14:textId="77777777" w:rsidR="00A71EEF" w:rsidRDefault="0081115D">
            <w:pPr>
              <w:pStyle w:val="TableParagraph"/>
              <w:ind w:left="101"/>
              <w:rPr>
                <w:sz w:val="21"/>
              </w:rPr>
            </w:pPr>
            <w:r>
              <w:rPr>
                <w:sz w:val="21"/>
              </w:rPr>
              <w:t xml:space="preserve"> </w:t>
            </w:r>
          </w:p>
        </w:tc>
        <w:tc>
          <w:tcPr>
            <w:tcW w:w="377" w:type="dxa"/>
          </w:tcPr>
          <w:p w14:paraId="3B5EEF07" w14:textId="77777777" w:rsidR="00A71EEF" w:rsidRDefault="00A71EEF">
            <w:pPr>
              <w:pStyle w:val="TableParagraph"/>
              <w:spacing w:before="11"/>
              <w:rPr>
                <w:sz w:val="14"/>
              </w:rPr>
            </w:pPr>
          </w:p>
          <w:p w14:paraId="4404A90D" w14:textId="77777777" w:rsidR="00A71EEF" w:rsidRDefault="0081115D">
            <w:pPr>
              <w:pStyle w:val="TableParagraph"/>
              <w:ind w:left="100"/>
              <w:rPr>
                <w:sz w:val="21"/>
              </w:rPr>
            </w:pPr>
            <w:r>
              <w:rPr>
                <w:sz w:val="21"/>
              </w:rPr>
              <w:t xml:space="preserve"> </w:t>
            </w:r>
          </w:p>
        </w:tc>
        <w:tc>
          <w:tcPr>
            <w:tcW w:w="377" w:type="dxa"/>
          </w:tcPr>
          <w:p w14:paraId="01D61DEF" w14:textId="77777777" w:rsidR="00A71EEF" w:rsidRDefault="00A71EEF">
            <w:pPr>
              <w:pStyle w:val="TableParagraph"/>
              <w:spacing w:before="11"/>
              <w:rPr>
                <w:sz w:val="14"/>
              </w:rPr>
            </w:pPr>
          </w:p>
          <w:p w14:paraId="0E4714DF" w14:textId="77777777" w:rsidR="00A71EEF" w:rsidRDefault="0081115D">
            <w:pPr>
              <w:pStyle w:val="TableParagraph"/>
              <w:ind w:left="100"/>
              <w:rPr>
                <w:sz w:val="21"/>
              </w:rPr>
            </w:pPr>
            <w:r>
              <w:rPr>
                <w:sz w:val="21"/>
              </w:rPr>
              <w:t xml:space="preserve"> </w:t>
            </w:r>
          </w:p>
        </w:tc>
        <w:tc>
          <w:tcPr>
            <w:tcW w:w="390" w:type="dxa"/>
          </w:tcPr>
          <w:p w14:paraId="57F86795" w14:textId="77777777" w:rsidR="00A71EEF" w:rsidRDefault="00A71EEF">
            <w:pPr>
              <w:pStyle w:val="TableParagraph"/>
              <w:spacing w:before="11"/>
              <w:rPr>
                <w:sz w:val="14"/>
              </w:rPr>
            </w:pPr>
          </w:p>
          <w:p w14:paraId="6FAAB54A" w14:textId="77777777" w:rsidR="00A71EEF" w:rsidRDefault="0081115D">
            <w:pPr>
              <w:pStyle w:val="TableParagraph"/>
              <w:ind w:left="100"/>
              <w:rPr>
                <w:sz w:val="21"/>
              </w:rPr>
            </w:pPr>
            <w:r>
              <w:rPr>
                <w:sz w:val="21"/>
              </w:rPr>
              <w:t xml:space="preserve"> </w:t>
            </w:r>
          </w:p>
        </w:tc>
        <w:tc>
          <w:tcPr>
            <w:tcW w:w="377" w:type="dxa"/>
          </w:tcPr>
          <w:p w14:paraId="02F9C2E2" w14:textId="77777777" w:rsidR="00A71EEF" w:rsidRDefault="00A71EEF">
            <w:pPr>
              <w:pStyle w:val="TableParagraph"/>
              <w:spacing w:before="11"/>
              <w:rPr>
                <w:sz w:val="14"/>
              </w:rPr>
            </w:pPr>
          </w:p>
          <w:p w14:paraId="42B61A43" w14:textId="77777777" w:rsidR="00A71EEF" w:rsidRDefault="0081115D">
            <w:pPr>
              <w:pStyle w:val="TableParagraph"/>
              <w:ind w:right="55"/>
              <w:jc w:val="center"/>
              <w:rPr>
                <w:sz w:val="21"/>
              </w:rPr>
            </w:pPr>
            <w:r>
              <w:rPr>
                <w:sz w:val="21"/>
              </w:rPr>
              <w:t xml:space="preserve"> </w:t>
            </w:r>
          </w:p>
        </w:tc>
        <w:tc>
          <w:tcPr>
            <w:tcW w:w="605" w:type="dxa"/>
          </w:tcPr>
          <w:p w14:paraId="5F1A6517" w14:textId="77777777" w:rsidR="00A71EEF" w:rsidRDefault="00A71EEF">
            <w:pPr>
              <w:pStyle w:val="TableParagraph"/>
              <w:spacing w:before="11"/>
              <w:rPr>
                <w:sz w:val="14"/>
              </w:rPr>
            </w:pPr>
          </w:p>
          <w:p w14:paraId="12A511A7" w14:textId="77777777" w:rsidR="00A71EEF" w:rsidRDefault="0081115D">
            <w:pPr>
              <w:pStyle w:val="TableParagraph"/>
              <w:ind w:left="99"/>
              <w:rPr>
                <w:sz w:val="21"/>
              </w:rPr>
            </w:pPr>
            <w:r>
              <w:rPr>
                <w:sz w:val="21"/>
              </w:rPr>
              <w:t xml:space="preserve"> </w:t>
            </w:r>
          </w:p>
        </w:tc>
        <w:tc>
          <w:tcPr>
            <w:tcW w:w="425" w:type="dxa"/>
          </w:tcPr>
          <w:p w14:paraId="61A2F587" w14:textId="77777777" w:rsidR="00A71EEF" w:rsidRDefault="00A71EEF">
            <w:pPr>
              <w:pStyle w:val="TableParagraph"/>
              <w:spacing w:before="11"/>
              <w:rPr>
                <w:sz w:val="14"/>
              </w:rPr>
            </w:pPr>
          </w:p>
          <w:p w14:paraId="43B22F48" w14:textId="77777777" w:rsidR="00A71EEF" w:rsidRDefault="0081115D">
            <w:pPr>
              <w:pStyle w:val="TableParagraph"/>
              <w:ind w:left="99"/>
              <w:rPr>
                <w:sz w:val="21"/>
              </w:rPr>
            </w:pPr>
            <w:r>
              <w:rPr>
                <w:sz w:val="21"/>
              </w:rPr>
              <w:t xml:space="preserve"> </w:t>
            </w:r>
          </w:p>
        </w:tc>
      </w:tr>
    </w:tbl>
    <w:p w14:paraId="3BABCE41" w14:textId="77777777" w:rsidR="00A71EEF" w:rsidRDefault="00A71EEF">
      <w:pPr>
        <w:rPr>
          <w:sz w:val="21"/>
        </w:rPr>
        <w:sectPr w:rsidR="00A71EEF">
          <w:type w:val="continuous"/>
          <w:pgSz w:w="11910" w:h="16850"/>
          <w:pgMar w:top="1600" w:right="0" w:bottom="1180" w:left="1260" w:header="720" w:footer="720" w:gutter="0"/>
          <w:cols w:space="720"/>
        </w:sectPr>
      </w:pP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7"/>
        <w:gridCol w:w="471"/>
        <w:gridCol w:w="346"/>
        <w:gridCol w:w="435"/>
        <w:gridCol w:w="437"/>
        <w:gridCol w:w="438"/>
        <w:gridCol w:w="375"/>
        <w:gridCol w:w="377"/>
        <w:gridCol w:w="377"/>
        <w:gridCol w:w="375"/>
        <w:gridCol w:w="447"/>
        <w:gridCol w:w="483"/>
        <w:gridCol w:w="483"/>
        <w:gridCol w:w="481"/>
        <w:gridCol w:w="483"/>
        <w:gridCol w:w="377"/>
        <w:gridCol w:w="377"/>
        <w:gridCol w:w="390"/>
        <w:gridCol w:w="377"/>
        <w:gridCol w:w="605"/>
        <w:gridCol w:w="425"/>
      </w:tblGrid>
      <w:tr w:rsidR="00A71EEF" w14:paraId="22233D53" w14:textId="77777777">
        <w:trPr>
          <w:trHeight w:val="499"/>
        </w:trPr>
        <w:tc>
          <w:tcPr>
            <w:tcW w:w="377" w:type="dxa"/>
          </w:tcPr>
          <w:p w14:paraId="49146DC0" w14:textId="77777777" w:rsidR="00A71EEF" w:rsidRDefault="00A71EEF">
            <w:pPr>
              <w:pStyle w:val="TableParagraph"/>
              <w:spacing w:before="8"/>
              <w:rPr>
                <w:sz w:val="14"/>
              </w:rPr>
            </w:pPr>
          </w:p>
          <w:p w14:paraId="2FC34C4C" w14:textId="77777777" w:rsidR="00A71EEF" w:rsidRDefault="0081115D">
            <w:pPr>
              <w:pStyle w:val="TableParagraph"/>
              <w:ind w:left="140" w:right="81"/>
              <w:jc w:val="center"/>
              <w:rPr>
                <w:sz w:val="21"/>
              </w:rPr>
            </w:pPr>
            <w:r>
              <w:rPr>
                <w:sz w:val="21"/>
              </w:rPr>
              <w:t xml:space="preserve">2 </w:t>
            </w:r>
          </w:p>
        </w:tc>
        <w:tc>
          <w:tcPr>
            <w:tcW w:w="471" w:type="dxa"/>
          </w:tcPr>
          <w:p w14:paraId="7252C883" w14:textId="77777777" w:rsidR="00A71EEF" w:rsidRDefault="00A71EEF">
            <w:pPr>
              <w:pStyle w:val="TableParagraph"/>
              <w:spacing w:before="8"/>
              <w:rPr>
                <w:sz w:val="14"/>
              </w:rPr>
            </w:pPr>
          </w:p>
          <w:p w14:paraId="6CE33FAD" w14:textId="77777777" w:rsidR="00A71EEF" w:rsidRDefault="0081115D">
            <w:pPr>
              <w:pStyle w:val="TableParagraph"/>
              <w:ind w:left="107"/>
              <w:rPr>
                <w:sz w:val="21"/>
              </w:rPr>
            </w:pPr>
            <w:r>
              <w:rPr>
                <w:sz w:val="21"/>
              </w:rPr>
              <w:t xml:space="preserve"> </w:t>
            </w:r>
          </w:p>
        </w:tc>
        <w:tc>
          <w:tcPr>
            <w:tcW w:w="346" w:type="dxa"/>
          </w:tcPr>
          <w:p w14:paraId="650EB3E0" w14:textId="77777777" w:rsidR="00A71EEF" w:rsidRDefault="00A71EEF">
            <w:pPr>
              <w:pStyle w:val="TableParagraph"/>
              <w:spacing w:before="8"/>
              <w:rPr>
                <w:sz w:val="14"/>
              </w:rPr>
            </w:pPr>
          </w:p>
          <w:p w14:paraId="0017851A" w14:textId="77777777" w:rsidR="00A71EEF" w:rsidRDefault="0081115D">
            <w:pPr>
              <w:pStyle w:val="TableParagraph"/>
              <w:ind w:left="106"/>
              <w:rPr>
                <w:sz w:val="21"/>
              </w:rPr>
            </w:pPr>
            <w:r>
              <w:rPr>
                <w:sz w:val="21"/>
              </w:rPr>
              <w:t xml:space="preserve"> </w:t>
            </w:r>
          </w:p>
        </w:tc>
        <w:tc>
          <w:tcPr>
            <w:tcW w:w="435" w:type="dxa"/>
          </w:tcPr>
          <w:p w14:paraId="2159D910" w14:textId="77777777" w:rsidR="00A71EEF" w:rsidRDefault="00A71EEF">
            <w:pPr>
              <w:pStyle w:val="TableParagraph"/>
              <w:spacing w:before="8"/>
              <w:rPr>
                <w:sz w:val="14"/>
              </w:rPr>
            </w:pPr>
          </w:p>
          <w:p w14:paraId="0EE91182" w14:textId="77777777" w:rsidR="00A71EEF" w:rsidRDefault="0081115D">
            <w:pPr>
              <w:pStyle w:val="TableParagraph"/>
              <w:ind w:left="106"/>
              <w:rPr>
                <w:sz w:val="21"/>
              </w:rPr>
            </w:pPr>
            <w:r>
              <w:rPr>
                <w:sz w:val="21"/>
              </w:rPr>
              <w:t xml:space="preserve"> </w:t>
            </w:r>
          </w:p>
        </w:tc>
        <w:tc>
          <w:tcPr>
            <w:tcW w:w="437" w:type="dxa"/>
          </w:tcPr>
          <w:p w14:paraId="1E516F69" w14:textId="77777777" w:rsidR="00A71EEF" w:rsidRDefault="00A71EEF">
            <w:pPr>
              <w:pStyle w:val="TableParagraph"/>
              <w:spacing w:before="8"/>
              <w:rPr>
                <w:sz w:val="14"/>
              </w:rPr>
            </w:pPr>
          </w:p>
          <w:p w14:paraId="352BD80D" w14:textId="77777777" w:rsidR="00A71EEF" w:rsidRDefault="0081115D">
            <w:pPr>
              <w:pStyle w:val="TableParagraph"/>
              <w:ind w:left="108"/>
              <w:rPr>
                <w:sz w:val="21"/>
              </w:rPr>
            </w:pPr>
            <w:r>
              <w:rPr>
                <w:sz w:val="21"/>
              </w:rPr>
              <w:t xml:space="preserve"> </w:t>
            </w:r>
          </w:p>
        </w:tc>
        <w:tc>
          <w:tcPr>
            <w:tcW w:w="438" w:type="dxa"/>
          </w:tcPr>
          <w:p w14:paraId="6E0C3A72" w14:textId="77777777" w:rsidR="00A71EEF" w:rsidRDefault="00A71EEF">
            <w:pPr>
              <w:pStyle w:val="TableParagraph"/>
              <w:spacing w:before="8"/>
              <w:rPr>
                <w:sz w:val="14"/>
              </w:rPr>
            </w:pPr>
          </w:p>
          <w:p w14:paraId="662B0B71" w14:textId="77777777" w:rsidR="00A71EEF" w:rsidRDefault="0081115D">
            <w:pPr>
              <w:pStyle w:val="TableParagraph"/>
              <w:ind w:left="106"/>
              <w:rPr>
                <w:sz w:val="21"/>
              </w:rPr>
            </w:pPr>
            <w:r>
              <w:rPr>
                <w:sz w:val="21"/>
              </w:rPr>
              <w:t xml:space="preserve"> </w:t>
            </w:r>
          </w:p>
        </w:tc>
        <w:tc>
          <w:tcPr>
            <w:tcW w:w="375" w:type="dxa"/>
          </w:tcPr>
          <w:p w14:paraId="1C62DAC6" w14:textId="77777777" w:rsidR="00A71EEF" w:rsidRDefault="00A71EEF">
            <w:pPr>
              <w:pStyle w:val="TableParagraph"/>
              <w:spacing w:before="8"/>
              <w:rPr>
                <w:sz w:val="14"/>
              </w:rPr>
            </w:pPr>
          </w:p>
          <w:p w14:paraId="176FA6EA" w14:textId="77777777" w:rsidR="00A71EEF" w:rsidRDefault="0081115D">
            <w:pPr>
              <w:pStyle w:val="TableParagraph"/>
              <w:ind w:right="47"/>
              <w:jc w:val="center"/>
              <w:rPr>
                <w:sz w:val="21"/>
              </w:rPr>
            </w:pPr>
            <w:r>
              <w:rPr>
                <w:sz w:val="21"/>
              </w:rPr>
              <w:t xml:space="preserve"> </w:t>
            </w:r>
          </w:p>
        </w:tc>
        <w:tc>
          <w:tcPr>
            <w:tcW w:w="377" w:type="dxa"/>
          </w:tcPr>
          <w:p w14:paraId="31630F56" w14:textId="77777777" w:rsidR="00A71EEF" w:rsidRDefault="00A71EEF">
            <w:pPr>
              <w:pStyle w:val="TableParagraph"/>
              <w:spacing w:before="8"/>
              <w:rPr>
                <w:sz w:val="14"/>
              </w:rPr>
            </w:pPr>
          </w:p>
          <w:p w14:paraId="40503627" w14:textId="77777777" w:rsidR="00A71EEF" w:rsidRDefault="0081115D">
            <w:pPr>
              <w:pStyle w:val="TableParagraph"/>
              <w:ind w:left="106"/>
              <w:rPr>
                <w:sz w:val="21"/>
              </w:rPr>
            </w:pPr>
            <w:r>
              <w:rPr>
                <w:sz w:val="21"/>
              </w:rPr>
              <w:t xml:space="preserve"> </w:t>
            </w:r>
          </w:p>
        </w:tc>
        <w:tc>
          <w:tcPr>
            <w:tcW w:w="377" w:type="dxa"/>
          </w:tcPr>
          <w:p w14:paraId="603A3CD3" w14:textId="77777777" w:rsidR="00A71EEF" w:rsidRDefault="00A71EEF">
            <w:pPr>
              <w:pStyle w:val="TableParagraph"/>
              <w:spacing w:before="8"/>
              <w:rPr>
                <w:sz w:val="14"/>
              </w:rPr>
            </w:pPr>
          </w:p>
          <w:p w14:paraId="353C4F82" w14:textId="77777777" w:rsidR="00A71EEF" w:rsidRDefault="0081115D">
            <w:pPr>
              <w:pStyle w:val="TableParagraph"/>
              <w:ind w:left="104"/>
              <w:rPr>
                <w:sz w:val="21"/>
              </w:rPr>
            </w:pPr>
            <w:r>
              <w:rPr>
                <w:sz w:val="21"/>
              </w:rPr>
              <w:t xml:space="preserve"> </w:t>
            </w:r>
          </w:p>
        </w:tc>
        <w:tc>
          <w:tcPr>
            <w:tcW w:w="375" w:type="dxa"/>
          </w:tcPr>
          <w:p w14:paraId="65C2F46F" w14:textId="77777777" w:rsidR="00A71EEF" w:rsidRDefault="00A71EEF">
            <w:pPr>
              <w:pStyle w:val="TableParagraph"/>
              <w:spacing w:before="8"/>
              <w:rPr>
                <w:sz w:val="14"/>
              </w:rPr>
            </w:pPr>
          </w:p>
          <w:p w14:paraId="032827BC" w14:textId="77777777" w:rsidR="00A71EEF" w:rsidRDefault="0081115D">
            <w:pPr>
              <w:pStyle w:val="TableParagraph"/>
              <w:ind w:right="49"/>
              <w:jc w:val="center"/>
              <w:rPr>
                <w:sz w:val="21"/>
              </w:rPr>
            </w:pPr>
            <w:r>
              <w:rPr>
                <w:sz w:val="21"/>
              </w:rPr>
              <w:t xml:space="preserve"> </w:t>
            </w:r>
          </w:p>
        </w:tc>
        <w:tc>
          <w:tcPr>
            <w:tcW w:w="447" w:type="dxa"/>
          </w:tcPr>
          <w:p w14:paraId="36890FDE" w14:textId="77777777" w:rsidR="00A71EEF" w:rsidRDefault="00A71EEF">
            <w:pPr>
              <w:pStyle w:val="TableParagraph"/>
              <w:spacing w:before="8"/>
              <w:rPr>
                <w:sz w:val="14"/>
              </w:rPr>
            </w:pPr>
          </w:p>
          <w:p w14:paraId="433296CF" w14:textId="77777777" w:rsidR="00A71EEF" w:rsidRDefault="0081115D">
            <w:pPr>
              <w:pStyle w:val="TableParagraph"/>
              <w:ind w:left="105"/>
              <w:rPr>
                <w:sz w:val="21"/>
              </w:rPr>
            </w:pPr>
            <w:r>
              <w:rPr>
                <w:sz w:val="21"/>
              </w:rPr>
              <w:t xml:space="preserve"> </w:t>
            </w:r>
          </w:p>
        </w:tc>
        <w:tc>
          <w:tcPr>
            <w:tcW w:w="483" w:type="dxa"/>
          </w:tcPr>
          <w:p w14:paraId="06D067E8" w14:textId="77777777" w:rsidR="00A71EEF" w:rsidRDefault="00A71EEF">
            <w:pPr>
              <w:pStyle w:val="TableParagraph"/>
              <w:spacing w:before="8"/>
              <w:rPr>
                <w:sz w:val="14"/>
              </w:rPr>
            </w:pPr>
          </w:p>
          <w:p w14:paraId="042EE78E" w14:textId="77777777" w:rsidR="00A71EEF" w:rsidRDefault="0081115D">
            <w:pPr>
              <w:pStyle w:val="TableParagraph"/>
              <w:ind w:left="102"/>
              <w:rPr>
                <w:sz w:val="21"/>
              </w:rPr>
            </w:pPr>
            <w:r>
              <w:rPr>
                <w:sz w:val="21"/>
              </w:rPr>
              <w:t xml:space="preserve"> </w:t>
            </w:r>
          </w:p>
        </w:tc>
        <w:tc>
          <w:tcPr>
            <w:tcW w:w="483" w:type="dxa"/>
          </w:tcPr>
          <w:p w14:paraId="1675F5E0" w14:textId="77777777" w:rsidR="00A71EEF" w:rsidRDefault="00A71EEF">
            <w:pPr>
              <w:pStyle w:val="TableParagraph"/>
              <w:spacing w:before="8"/>
              <w:rPr>
                <w:sz w:val="14"/>
              </w:rPr>
            </w:pPr>
          </w:p>
          <w:p w14:paraId="46664A32" w14:textId="77777777" w:rsidR="00A71EEF" w:rsidRDefault="0081115D">
            <w:pPr>
              <w:pStyle w:val="TableParagraph"/>
              <w:ind w:left="102"/>
              <w:rPr>
                <w:sz w:val="21"/>
              </w:rPr>
            </w:pPr>
            <w:r>
              <w:rPr>
                <w:sz w:val="21"/>
              </w:rPr>
              <w:t xml:space="preserve"> </w:t>
            </w:r>
          </w:p>
        </w:tc>
        <w:tc>
          <w:tcPr>
            <w:tcW w:w="481" w:type="dxa"/>
          </w:tcPr>
          <w:p w14:paraId="5D39465D" w14:textId="77777777" w:rsidR="00A71EEF" w:rsidRDefault="00A71EEF">
            <w:pPr>
              <w:pStyle w:val="TableParagraph"/>
              <w:spacing w:before="8"/>
              <w:rPr>
                <w:sz w:val="14"/>
              </w:rPr>
            </w:pPr>
          </w:p>
          <w:p w14:paraId="794D54B1" w14:textId="77777777" w:rsidR="00A71EEF" w:rsidRDefault="0081115D">
            <w:pPr>
              <w:pStyle w:val="TableParagraph"/>
              <w:ind w:left="102"/>
              <w:rPr>
                <w:sz w:val="21"/>
              </w:rPr>
            </w:pPr>
            <w:r>
              <w:rPr>
                <w:sz w:val="21"/>
              </w:rPr>
              <w:t xml:space="preserve"> </w:t>
            </w:r>
          </w:p>
        </w:tc>
        <w:tc>
          <w:tcPr>
            <w:tcW w:w="483" w:type="dxa"/>
          </w:tcPr>
          <w:p w14:paraId="26B7149F" w14:textId="77777777" w:rsidR="00A71EEF" w:rsidRDefault="00A71EEF">
            <w:pPr>
              <w:pStyle w:val="TableParagraph"/>
              <w:spacing w:before="8"/>
              <w:rPr>
                <w:sz w:val="14"/>
              </w:rPr>
            </w:pPr>
          </w:p>
          <w:p w14:paraId="589ED73A" w14:textId="77777777" w:rsidR="00A71EEF" w:rsidRDefault="0081115D">
            <w:pPr>
              <w:pStyle w:val="TableParagraph"/>
              <w:ind w:left="101"/>
              <w:rPr>
                <w:sz w:val="21"/>
              </w:rPr>
            </w:pPr>
            <w:r>
              <w:rPr>
                <w:sz w:val="21"/>
              </w:rPr>
              <w:t xml:space="preserve"> </w:t>
            </w:r>
          </w:p>
        </w:tc>
        <w:tc>
          <w:tcPr>
            <w:tcW w:w="377" w:type="dxa"/>
          </w:tcPr>
          <w:p w14:paraId="60B3A023" w14:textId="77777777" w:rsidR="00A71EEF" w:rsidRDefault="00A71EEF">
            <w:pPr>
              <w:pStyle w:val="TableParagraph"/>
              <w:spacing w:before="8"/>
              <w:rPr>
                <w:sz w:val="14"/>
              </w:rPr>
            </w:pPr>
          </w:p>
          <w:p w14:paraId="66135746" w14:textId="77777777" w:rsidR="00A71EEF" w:rsidRDefault="0081115D">
            <w:pPr>
              <w:pStyle w:val="TableParagraph"/>
              <w:ind w:left="100"/>
              <w:rPr>
                <w:sz w:val="21"/>
              </w:rPr>
            </w:pPr>
            <w:r>
              <w:rPr>
                <w:sz w:val="21"/>
              </w:rPr>
              <w:t xml:space="preserve"> </w:t>
            </w:r>
          </w:p>
        </w:tc>
        <w:tc>
          <w:tcPr>
            <w:tcW w:w="377" w:type="dxa"/>
          </w:tcPr>
          <w:p w14:paraId="0F07FC3D" w14:textId="77777777" w:rsidR="00A71EEF" w:rsidRDefault="00A71EEF">
            <w:pPr>
              <w:pStyle w:val="TableParagraph"/>
              <w:spacing w:before="8"/>
              <w:rPr>
                <w:sz w:val="14"/>
              </w:rPr>
            </w:pPr>
          </w:p>
          <w:p w14:paraId="4064618A" w14:textId="77777777" w:rsidR="00A71EEF" w:rsidRDefault="0081115D">
            <w:pPr>
              <w:pStyle w:val="TableParagraph"/>
              <w:ind w:right="58"/>
              <w:jc w:val="center"/>
              <w:rPr>
                <w:sz w:val="21"/>
              </w:rPr>
            </w:pPr>
            <w:r>
              <w:rPr>
                <w:sz w:val="21"/>
              </w:rPr>
              <w:t xml:space="preserve"> </w:t>
            </w:r>
          </w:p>
        </w:tc>
        <w:tc>
          <w:tcPr>
            <w:tcW w:w="390" w:type="dxa"/>
          </w:tcPr>
          <w:p w14:paraId="65FEB981" w14:textId="77777777" w:rsidR="00A71EEF" w:rsidRDefault="00A71EEF">
            <w:pPr>
              <w:pStyle w:val="TableParagraph"/>
              <w:spacing w:before="8"/>
              <w:rPr>
                <w:sz w:val="14"/>
              </w:rPr>
            </w:pPr>
          </w:p>
          <w:p w14:paraId="781F89EA" w14:textId="77777777" w:rsidR="00A71EEF" w:rsidRDefault="0081115D">
            <w:pPr>
              <w:pStyle w:val="TableParagraph"/>
              <w:ind w:right="70"/>
              <w:jc w:val="center"/>
              <w:rPr>
                <w:sz w:val="21"/>
              </w:rPr>
            </w:pPr>
            <w:r>
              <w:rPr>
                <w:sz w:val="21"/>
              </w:rPr>
              <w:t xml:space="preserve"> </w:t>
            </w:r>
          </w:p>
        </w:tc>
        <w:tc>
          <w:tcPr>
            <w:tcW w:w="377" w:type="dxa"/>
          </w:tcPr>
          <w:p w14:paraId="6CFAC01B" w14:textId="77777777" w:rsidR="00A71EEF" w:rsidRDefault="00A71EEF">
            <w:pPr>
              <w:pStyle w:val="TableParagraph"/>
              <w:spacing w:before="8"/>
              <w:rPr>
                <w:sz w:val="14"/>
              </w:rPr>
            </w:pPr>
          </w:p>
          <w:p w14:paraId="6AA8AD70" w14:textId="77777777" w:rsidR="00A71EEF" w:rsidRDefault="0081115D">
            <w:pPr>
              <w:pStyle w:val="TableParagraph"/>
              <w:ind w:left="101"/>
              <w:rPr>
                <w:sz w:val="21"/>
              </w:rPr>
            </w:pPr>
            <w:r>
              <w:rPr>
                <w:sz w:val="21"/>
              </w:rPr>
              <w:t xml:space="preserve"> </w:t>
            </w:r>
          </w:p>
        </w:tc>
        <w:tc>
          <w:tcPr>
            <w:tcW w:w="605" w:type="dxa"/>
          </w:tcPr>
          <w:p w14:paraId="6412959A" w14:textId="77777777" w:rsidR="00A71EEF" w:rsidRDefault="00A71EEF">
            <w:pPr>
              <w:pStyle w:val="TableParagraph"/>
              <w:spacing w:before="8"/>
              <w:rPr>
                <w:sz w:val="14"/>
              </w:rPr>
            </w:pPr>
          </w:p>
          <w:p w14:paraId="38020EB6" w14:textId="77777777" w:rsidR="00A71EEF" w:rsidRDefault="0081115D">
            <w:pPr>
              <w:pStyle w:val="TableParagraph"/>
              <w:ind w:left="99"/>
              <w:rPr>
                <w:sz w:val="21"/>
              </w:rPr>
            </w:pPr>
            <w:r>
              <w:rPr>
                <w:sz w:val="21"/>
              </w:rPr>
              <w:t xml:space="preserve"> </w:t>
            </w:r>
          </w:p>
        </w:tc>
        <w:tc>
          <w:tcPr>
            <w:tcW w:w="425" w:type="dxa"/>
          </w:tcPr>
          <w:p w14:paraId="41FB26D2" w14:textId="77777777" w:rsidR="00A71EEF" w:rsidRDefault="00A71EEF">
            <w:pPr>
              <w:pStyle w:val="TableParagraph"/>
              <w:spacing w:before="8"/>
              <w:rPr>
                <w:sz w:val="14"/>
              </w:rPr>
            </w:pPr>
          </w:p>
          <w:p w14:paraId="5B0D23CC" w14:textId="77777777" w:rsidR="00A71EEF" w:rsidRDefault="0081115D">
            <w:pPr>
              <w:pStyle w:val="TableParagraph"/>
              <w:ind w:left="99"/>
              <w:rPr>
                <w:sz w:val="21"/>
              </w:rPr>
            </w:pPr>
            <w:r>
              <w:rPr>
                <w:sz w:val="21"/>
              </w:rPr>
              <w:t xml:space="preserve"> </w:t>
            </w:r>
          </w:p>
        </w:tc>
      </w:tr>
      <w:tr w:rsidR="00A71EEF" w14:paraId="735BAB6E" w14:textId="77777777">
        <w:trPr>
          <w:trHeight w:val="501"/>
        </w:trPr>
        <w:tc>
          <w:tcPr>
            <w:tcW w:w="377" w:type="dxa"/>
          </w:tcPr>
          <w:p w14:paraId="3CF4686D" w14:textId="77777777" w:rsidR="00A71EEF" w:rsidRDefault="00A71EEF">
            <w:pPr>
              <w:pStyle w:val="TableParagraph"/>
              <w:spacing w:before="8"/>
              <w:rPr>
                <w:sz w:val="14"/>
              </w:rPr>
            </w:pPr>
          </w:p>
          <w:p w14:paraId="0756FE2F" w14:textId="77777777" w:rsidR="00A71EEF" w:rsidRDefault="0081115D">
            <w:pPr>
              <w:pStyle w:val="TableParagraph"/>
              <w:ind w:left="140" w:right="81"/>
              <w:jc w:val="center"/>
              <w:rPr>
                <w:sz w:val="21"/>
              </w:rPr>
            </w:pPr>
            <w:r>
              <w:rPr>
                <w:sz w:val="21"/>
              </w:rPr>
              <w:t xml:space="preserve">3 </w:t>
            </w:r>
          </w:p>
        </w:tc>
        <w:tc>
          <w:tcPr>
            <w:tcW w:w="471" w:type="dxa"/>
          </w:tcPr>
          <w:p w14:paraId="2F6209B9" w14:textId="77777777" w:rsidR="00A71EEF" w:rsidRDefault="00A71EEF">
            <w:pPr>
              <w:pStyle w:val="TableParagraph"/>
              <w:spacing w:before="8"/>
              <w:rPr>
                <w:sz w:val="14"/>
              </w:rPr>
            </w:pPr>
          </w:p>
          <w:p w14:paraId="5F1BBDF8" w14:textId="77777777" w:rsidR="00A71EEF" w:rsidRDefault="0081115D">
            <w:pPr>
              <w:pStyle w:val="TableParagraph"/>
              <w:ind w:left="107"/>
              <w:rPr>
                <w:sz w:val="21"/>
              </w:rPr>
            </w:pPr>
            <w:r>
              <w:rPr>
                <w:sz w:val="21"/>
              </w:rPr>
              <w:t xml:space="preserve"> </w:t>
            </w:r>
          </w:p>
        </w:tc>
        <w:tc>
          <w:tcPr>
            <w:tcW w:w="346" w:type="dxa"/>
          </w:tcPr>
          <w:p w14:paraId="4653C309" w14:textId="77777777" w:rsidR="00A71EEF" w:rsidRDefault="00A71EEF">
            <w:pPr>
              <w:pStyle w:val="TableParagraph"/>
              <w:spacing w:before="8"/>
              <w:rPr>
                <w:sz w:val="14"/>
              </w:rPr>
            </w:pPr>
          </w:p>
          <w:p w14:paraId="166E1859" w14:textId="77777777" w:rsidR="00A71EEF" w:rsidRDefault="0081115D">
            <w:pPr>
              <w:pStyle w:val="TableParagraph"/>
              <w:ind w:left="106"/>
              <w:rPr>
                <w:sz w:val="21"/>
              </w:rPr>
            </w:pPr>
            <w:r>
              <w:rPr>
                <w:sz w:val="21"/>
              </w:rPr>
              <w:t xml:space="preserve"> </w:t>
            </w:r>
          </w:p>
        </w:tc>
        <w:tc>
          <w:tcPr>
            <w:tcW w:w="435" w:type="dxa"/>
          </w:tcPr>
          <w:p w14:paraId="18A8CD46" w14:textId="77777777" w:rsidR="00A71EEF" w:rsidRDefault="00A71EEF">
            <w:pPr>
              <w:pStyle w:val="TableParagraph"/>
              <w:spacing w:before="8"/>
              <w:rPr>
                <w:sz w:val="14"/>
              </w:rPr>
            </w:pPr>
          </w:p>
          <w:p w14:paraId="1ED7C016" w14:textId="77777777" w:rsidR="00A71EEF" w:rsidRDefault="0081115D">
            <w:pPr>
              <w:pStyle w:val="TableParagraph"/>
              <w:ind w:left="106"/>
              <w:rPr>
                <w:sz w:val="21"/>
              </w:rPr>
            </w:pPr>
            <w:r>
              <w:rPr>
                <w:sz w:val="21"/>
              </w:rPr>
              <w:t xml:space="preserve"> </w:t>
            </w:r>
          </w:p>
        </w:tc>
        <w:tc>
          <w:tcPr>
            <w:tcW w:w="437" w:type="dxa"/>
          </w:tcPr>
          <w:p w14:paraId="55F0D4AC" w14:textId="77777777" w:rsidR="00A71EEF" w:rsidRDefault="00A71EEF">
            <w:pPr>
              <w:pStyle w:val="TableParagraph"/>
              <w:spacing w:before="8"/>
              <w:rPr>
                <w:sz w:val="14"/>
              </w:rPr>
            </w:pPr>
          </w:p>
          <w:p w14:paraId="131BABAB" w14:textId="77777777" w:rsidR="00A71EEF" w:rsidRDefault="0081115D">
            <w:pPr>
              <w:pStyle w:val="TableParagraph"/>
              <w:ind w:left="108"/>
              <w:rPr>
                <w:sz w:val="21"/>
              </w:rPr>
            </w:pPr>
            <w:r>
              <w:rPr>
                <w:sz w:val="21"/>
              </w:rPr>
              <w:t xml:space="preserve"> </w:t>
            </w:r>
          </w:p>
        </w:tc>
        <w:tc>
          <w:tcPr>
            <w:tcW w:w="438" w:type="dxa"/>
          </w:tcPr>
          <w:p w14:paraId="27958927" w14:textId="77777777" w:rsidR="00A71EEF" w:rsidRDefault="00A71EEF">
            <w:pPr>
              <w:pStyle w:val="TableParagraph"/>
              <w:spacing w:before="8"/>
              <w:rPr>
                <w:sz w:val="14"/>
              </w:rPr>
            </w:pPr>
          </w:p>
          <w:p w14:paraId="2EBB6254" w14:textId="77777777" w:rsidR="00A71EEF" w:rsidRDefault="0081115D">
            <w:pPr>
              <w:pStyle w:val="TableParagraph"/>
              <w:ind w:left="106"/>
              <w:rPr>
                <w:sz w:val="21"/>
              </w:rPr>
            </w:pPr>
            <w:r>
              <w:rPr>
                <w:sz w:val="21"/>
              </w:rPr>
              <w:t xml:space="preserve"> </w:t>
            </w:r>
          </w:p>
        </w:tc>
        <w:tc>
          <w:tcPr>
            <w:tcW w:w="375" w:type="dxa"/>
          </w:tcPr>
          <w:p w14:paraId="65B7FD17" w14:textId="77777777" w:rsidR="00A71EEF" w:rsidRDefault="00A71EEF">
            <w:pPr>
              <w:pStyle w:val="TableParagraph"/>
              <w:spacing w:before="8"/>
              <w:rPr>
                <w:sz w:val="14"/>
              </w:rPr>
            </w:pPr>
          </w:p>
          <w:p w14:paraId="5E754D9F" w14:textId="77777777" w:rsidR="00A71EEF" w:rsidRDefault="0081115D">
            <w:pPr>
              <w:pStyle w:val="TableParagraph"/>
              <w:ind w:right="47"/>
              <w:jc w:val="center"/>
              <w:rPr>
                <w:sz w:val="21"/>
              </w:rPr>
            </w:pPr>
            <w:r>
              <w:rPr>
                <w:sz w:val="21"/>
              </w:rPr>
              <w:t xml:space="preserve"> </w:t>
            </w:r>
          </w:p>
        </w:tc>
        <w:tc>
          <w:tcPr>
            <w:tcW w:w="377" w:type="dxa"/>
          </w:tcPr>
          <w:p w14:paraId="552FA6AD" w14:textId="77777777" w:rsidR="00A71EEF" w:rsidRDefault="00A71EEF">
            <w:pPr>
              <w:pStyle w:val="TableParagraph"/>
              <w:spacing w:before="8"/>
              <w:rPr>
                <w:sz w:val="14"/>
              </w:rPr>
            </w:pPr>
          </w:p>
          <w:p w14:paraId="201A137D" w14:textId="77777777" w:rsidR="00A71EEF" w:rsidRDefault="0081115D">
            <w:pPr>
              <w:pStyle w:val="TableParagraph"/>
              <w:ind w:left="106"/>
              <w:rPr>
                <w:sz w:val="21"/>
              </w:rPr>
            </w:pPr>
            <w:r>
              <w:rPr>
                <w:sz w:val="21"/>
              </w:rPr>
              <w:t xml:space="preserve"> </w:t>
            </w:r>
          </w:p>
        </w:tc>
        <w:tc>
          <w:tcPr>
            <w:tcW w:w="377" w:type="dxa"/>
          </w:tcPr>
          <w:p w14:paraId="236A77AE" w14:textId="77777777" w:rsidR="00A71EEF" w:rsidRDefault="00A71EEF">
            <w:pPr>
              <w:pStyle w:val="TableParagraph"/>
              <w:spacing w:before="8"/>
              <w:rPr>
                <w:sz w:val="14"/>
              </w:rPr>
            </w:pPr>
          </w:p>
          <w:p w14:paraId="467E1CD0" w14:textId="77777777" w:rsidR="00A71EEF" w:rsidRDefault="0081115D">
            <w:pPr>
              <w:pStyle w:val="TableParagraph"/>
              <w:ind w:left="104"/>
              <w:rPr>
                <w:sz w:val="21"/>
              </w:rPr>
            </w:pPr>
            <w:r>
              <w:rPr>
                <w:sz w:val="21"/>
              </w:rPr>
              <w:t xml:space="preserve"> </w:t>
            </w:r>
          </w:p>
        </w:tc>
        <w:tc>
          <w:tcPr>
            <w:tcW w:w="375" w:type="dxa"/>
          </w:tcPr>
          <w:p w14:paraId="6F241FCA" w14:textId="77777777" w:rsidR="00A71EEF" w:rsidRDefault="00A71EEF">
            <w:pPr>
              <w:pStyle w:val="TableParagraph"/>
              <w:spacing w:before="8"/>
              <w:rPr>
                <w:sz w:val="14"/>
              </w:rPr>
            </w:pPr>
          </w:p>
          <w:p w14:paraId="57E48C7B" w14:textId="77777777" w:rsidR="00A71EEF" w:rsidRDefault="0081115D">
            <w:pPr>
              <w:pStyle w:val="TableParagraph"/>
              <w:ind w:right="49"/>
              <w:jc w:val="center"/>
              <w:rPr>
                <w:sz w:val="21"/>
              </w:rPr>
            </w:pPr>
            <w:r>
              <w:rPr>
                <w:sz w:val="21"/>
              </w:rPr>
              <w:t xml:space="preserve"> </w:t>
            </w:r>
          </w:p>
        </w:tc>
        <w:tc>
          <w:tcPr>
            <w:tcW w:w="447" w:type="dxa"/>
          </w:tcPr>
          <w:p w14:paraId="75EE2D83" w14:textId="77777777" w:rsidR="00A71EEF" w:rsidRDefault="00A71EEF">
            <w:pPr>
              <w:pStyle w:val="TableParagraph"/>
              <w:spacing w:before="8"/>
              <w:rPr>
                <w:sz w:val="14"/>
              </w:rPr>
            </w:pPr>
          </w:p>
          <w:p w14:paraId="4D54EAD5" w14:textId="77777777" w:rsidR="00A71EEF" w:rsidRDefault="0081115D">
            <w:pPr>
              <w:pStyle w:val="TableParagraph"/>
              <w:ind w:left="105"/>
              <w:rPr>
                <w:sz w:val="21"/>
              </w:rPr>
            </w:pPr>
            <w:r>
              <w:rPr>
                <w:sz w:val="21"/>
              </w:rPr>
              <w:t xml:space="preserve"> </w:t>
            </w:r>
          </w:p>
        </w:tc>
        <w:tc>
          <w:tcPr>
            <w:tcW w:w="483" w:type="dxa"/>
          </w:tcPr>
          <w:p w14:paraId="4DC1CB1D" w14:textId="77777777" w:rsidR="00A71EEF" w:rsidRDefault="00A71EEF">
            <w:pPr>
              <w:pStyle w:val="TableParagraph"/>
              <w:spacing w:before="8"/>
              <w:rPr>
                <w:sz w:val="14"/>
              </w:rPr>
            </w:pPr>
          </w:p>
          <w:p w14:paraId="1E99FA4B" w14:textId="77777777" w:rsidR="00A71EEF" w:rsidRDefault="0081115D">
            <w:pPr>
              <w:pStyle w:val="TableParagraph"/>
              <w:ind w:left="102"/>
              <w:rPr>
                <w:sz w:val="21"/>
              </w:rPr>
            </w:pPr>
            <w:r>
              <w:rPr>
                <w:sz w:val="21"/>
              </w:rPr>
              <w:t xml:space="preserve"> </w:t>
            </w:r>
          </w:p>
        </w:tc>
        <w:tc>
          <w:tcPr>
            <w:tcW w:w="483" w:type="dxa"/>
          </w:tcPr>
          <w:p w14:paraId="1423D229" w14:textId="77777777" w:rsidR="00A71EEF" w:rsidRDefault="00A71EEF">
            <w:pPr>
              <w:pStyle w:val="TableParagraph"/>
              <w:spacing w:before="8"/>
              <w:rPr>
                <w:sz w:val="14"/>
              </w:rPr>
            </w:pPr>
          </w:p>
          <w:p w14:paraId="3D422A3D" w14:textId="77777777" w:rsidR="00A71EEF" w:rsidRDefault="0081115D">
            <w:pPr>
              <w:pStyle w:val="TableParagraph"/>
              <w:ind w:left="102"/>
              <w:rPr>
                <w:sz w:val="21"/>
              </w:rPr>
            </w:pPr>
            <w:r>
              <w:rPr>
                <w:sz w:val="21"/>
              </w:rPr>
              <w:t xml:space="preserve"> </w:t>
            </w:r>
          </w:p>
        </w:tc>
        <w:tc>
          <w:tcPr>
            <w:tcW w:w="481" w:type="dxa"/>
          </w:tcPr>
          <w:p w14:paraId="2E5B3A9B" w14:textId="77777777" w:rsidR="00A71EEF" w:rsidRDefault="00A71EEF">
            <w:pPr>
              <w:pStyle w:val="TableParagraph"/>
              <w:spacing w:before="8"/>
              <w:rPr>
                <w:sz w:val="14"/>
              </w:rPr>
            </w:pPr>
          </w:p>
          <w:p w14:paraId="7CE41AFB" w14:textId="77777777" w:rsidR="00A71EEF" w:rsidRDefault="0081115D">
            <w:pPr>
              <w:pStyle w:val="TableParagraph"/>
              <w:ind w:left="102"/>
              <w:rPr>
                <w:sz w:val="21"/>
              </w:rPr>
            </w:pPr>
            <w:r>
              <w:rPr>
                <w:sz w:val="21"/>
              </w:rPr>
              <w:t xml:space="preserve"> </w:t>
            </w:r>
          </w:p>
        </w:tc>
        <w:tc>
          <w:tcPr>
            <w:tcW w:w="483" w:type="dxa"/>
          </w:tcPr>
          <w:p w14:paraId="55EC04BF" w14:textId="77777777" w:rsidR="00A71EEF" w:rsidRDefault="00A71EEF">
            <w:pPr>
              <w:pStyle w:val="TableParagraph"/>
              <w:spacing w:before="8"/>
              <w:rPr>
                <w:sz w:val="14"/>
              </w:rPr>
            </w:pPr>
          </w:p>
          <w:p w14:paraId="5A7EED13" w14:textId="77777777" w:rsidR="00A71EEF" w:rsidRDefault="0081115D">
            <w:pPr>
              <w:pStyle w:val="TableParagraph"/>
              <w:ind w:left="101"/>
              <w:rPr>
                <w:sz w:val="21"/>
              </w:rPr>
            </w:pPr>
            <w:r>
              <w:rPr>
                <w:sz w:val="21"/>
              </w:rPr>
              <w:t xml:space="preserve"> </w:t>
            </w:r>
          </w:p>
        </w:tc>
        <w:tc>
          <w:tcPr>
            <w:tcW w:w="377" w:type="dxa"/>
          </w:tcPr>
          <w:p w14:paraId="5259DC00" w14:textId="77777777" w:rsidR="00A71EEF" w:rsidRDefault="00A71EEF">
            <w:pPr>
              <w:pStyle w:val="TableParagraph"/>
              <w:spacing w:before="8"/>
              <w:rPr>
                <w:sz w:val="14"/>
              </w:rPr>
            </w:pPr>
          </w:p>
          <w:p w14:paraId="5C59CDA1" w14:textId="77777777" w:rsidR="00A71EEF" w:rsidRDefault="0081115D">
            <w:pPr>
              <w:pStyle w:val="TableParagraph"/>
              <w:ind w:left="100"/>
              <w:rPr>
                <w:sz w:val="21"/>
              </w:rPr>
            </w:pPr>
            <w:r>
              <w:rPr>
                <w:sz w:val="21"/>
              </w:rPr>
              <w:t xml:space="preserve"> </w:t>
            </w:r>
          </w:p>
        </w:tc>
        <w:tc>
          <w:tcPr>
            <w:tcW w:w="377" w:type="dxa"/>
          </w:tcPr>
          <w:p w14:paraId="7C328D53" w14:textId="77777777" w:rsidR="00A71EEF" w:rsidRDefault="00A71EEF">
            <w:pPr>
              <w:pStyle w:val="TableParagraph"/>
              <w:spacing w:before="8"/>
              <w:rPr>
                <w:sz w:val="14"/>
              </w:rPr>
            </w:pPr>
          </w:p>
          <w:p w14:paraId="3A64A250" w14:textId="77777777" w:rsidR="00A71EEF" w:rsidRDefault="0081115D">
            <w:pPr>
              <w:pStyle w:val="TableParagraph"/>
              <w:ind w:right="58"/>
              <w:jc w:val="center"/>
              <w:rPr>
                <w:sz w:val="21"/>
              </w:rPr>
            </w:pPr>
            <w:r>
              <w:rPr>
                <w:sz w:val="21"/>
              </w:rPr>
              <w:t xml:space="preserve"> </w:t>
            </w:r>
          </w:p>
        </w:tc>
        <w:tc>
          <w:tcPr>
            <w:tcW w:w="390" w:type="dxa"/>
          </w:tcPr>
          <w:p w14:paraId="41B3A5F6" w14:textId="77777777" w:rsidR="00A71EEF" w:rsidRDefault="00A71EEF">
            <w:pPr>
              <w:pStyle w:val="TableParagraph"/>
              <w:spacing w:before="8"/>
              <w:rPr>
                <w:sz w:val="14"/>
              </w:rPr>
            </w:pPr>
          </w:p>
          <w:p w14:paraId="23F2B279" w14:textId="77777777" w:rsidR="00A71EEF" w:rsidRDefault="0081115D">
            <w:pPr>
              <w:pStyle w:val="TableParagraph"/>
              <w:ind w:right="70"/>
              <w:jc w:val="center"/>
              <w:rPr>
                <w:sz w:val="21"/>
              </w:rPr>
            </w:pPr>
            <w:r>
              <w:rPr>
                <w:sz w:val="21"/>
              </w:rPr>
              <w:t xml:space="preserve"> </w:t>
            </w:r>
          </w:p>
        </w:tc>
        <w:tc>
          <w:tcPr>
            <w:tcW w:w="377" w:type="dxa"/>
          </w:tcPr>
          <w:p w14:paraId="30B59936" w14:textId="77777777" w:rsidR="00A71EEF" w:rsidRDefault="00A71EEF">
            <w:pPr>
              <w:pStyle w:val="TableParagraph"/>
              <w:spacing w:before="8"/>
              <w:rPr>
                <w:sz w:val="14"/>
              </w:rPr>
            </w:pPr>
          </w:p>
          <w:p w14:paraId="41C36A82" w14:textId="77777777" w:rsidR="00A71EEF" w:rsidRDefault="0081115D">
            <w:pPr>
              <w:pStyle w:val="TableParagraph"/>
              <w:ind w:left="101"/>
              <w:rPr>
                <w:sz w:val="21"/>
              </w:rPr>
            </w:pPr>
            <w:r>
              <w:rPr>
                <w:sz w:val="21"/>
              </w:rPr>
              <w:t xml:space="preserve"> </w:t>
            </w:r>
          </w:p>
        </w:tc>
        <w:tc>
          <w:tcPr>
            <w:tcW w:w="605" w:type="dxa"/>
          </w:tcPr>
          <w:p w14:paraId="00D9D86B" w14:textId="77777777" w:rsidR="00A71EEF" w:rsidRDefault="00A71EEF">
            <w:pPr>
              <w:pStyle w:val="TableParagraph"/>
              <w:spacing w:before="8"/>
              <w:rPr>
                <w:sz w:val="14"/>
              </w:rPr>
            </w:pPr>
          </w:p>
          <w:p w14:paraId="40503685" w14:textId="77777777" w:rsidR="00A71EEF" w:rsidRDefault="0081115D">
            <w:pPr>
              <w:pStyle w:val="TableParagraph"/>
              <w:ind w:left="99"/>
              <w:rPr>
                <w:sz w:val="21"/>
              </w:rPr>
            </w:pPr>
            <w:r>
              <w:rPr>
                <w:sz w:val="21"/>
              </w:rPr>
              <w:t xml:space="preserve"> </w:t>
            </w:r>
          </w:p>
        </w:tc>
        <w:tc>
          <w:tcPr>
            <w:tcW w:w="425" w:type="dxa"/>
          </w:tcPr>
          <w:p w14:paraId="60486841" w14:textId="77777777" w:rsidR="00A71EEF" w:rsidRDefault="00A71EEF">
            <w:pPr>
              <w:pStyle w:val="TableParagraph"/>
              <w:spacing w:before="8"/>
              <w:rPr>
                <w:sz w:val="14"/>
              </w:rPr>
            </w:pPr>
          </w:p>
          <w:p w14:paraId="54D4660C" w14:textId="77777777" w:rsidR="00A71EEF" w:rsidRDefault="0081115D">
            <w:pPr>
              <w:pStyle w:val="TableParagraph"/>
              <w:ind w:left="99"/>
              <w:rPr>
                <w:sz w:val="21"/>
              </w:rPr>
            </w:pPr>
            <w:r>
              <w:rPr>
                <w:sz w:val="21"/>
              </w:rPr>
              <w:t xml:space="preserve"> </w:t>
            </w:r>
          </w:p>
        </w:tc>
      </w:tr>
      <w:tr w:rsidR="00A71EEF" w14:paraId="68073DA7" w14:textId="77777777">
        <w:trPr>
          <w:trHeight w:val="498"/>
        </w:trPr>
        <w:tc>
          <w:tcPr>
            <w:tcW w:w="377" w:type="dxa"/>
          </w:tcPr>
          <w:p w14:paraId="1ECC8955" w14:textId="77777777" w:rsidR="00A71EEF" w:rsidRDefault="00A71EEF">
            <w:pPr>
              <w:pStyle w:val="TableParagraph"/>
              <w:spacing w:before="8"/>
              <w:rPr>
                <w:sz w:val="14"/>
              </w:rPr>
            </w:pPr>
          </w:p>
          <w:p w14:paraId="27BD4AC9" w14:textId="77777777" w:rsidR="00A71EEF" w:rsidRDefault="0081115D">
            <w:pPr>
              <w:pStyle w:val="TableParagraph"/>
              <w:ind w:left="140" w:right="81"/>
              <w:jc w:val="center"/>
              <w:rPr>
                <w:sz w:val="21"/>
              </w:rPr>
            </w:pPr>
            <w:r>
              <w:rPr>
                <w:sz w:val="21"/>
              </w:rPr>
              <w:t xml:space="preserve">4 </w:t>
            </w:r>
          </w:p>
        </w:tc>
        <w:tc>
          <w:tcPr>
            <w:tcW w:w="471" w:type="dxa"/>
          </w:tcPr>
          <w:p w14:paraId="23EAD0BF" w14:textId="77777777" w:rsidR="00A71EEF" w:rsidRDefault="00A71EEF">
            <w:pPr>
              <w:pStyle w:val="TableParagraph"/>
              <w:spacing w:before="8"/>
              <w:rPr>
                <w:sz w:val="14"/>
              </w:rPr>
            </w:pPr>
          </w:p>
          <w:p w14:paraId="0256ED0F" w14:textId="77777777" w:rsidR="00A71EEF" w:rsidRDefault="0081115D">
            <w:pPr>
              <w:pStyle w:val="TableParagraph"/>
              <w:ind w:left="107"/>
              <w:rPr>
                <w:sz w:val="21"/>
              </w:rPr>
            </w:pPr>
            <w:r>
              <w:rPr>
                <w:sz w:val="21"/>
              </w:rPr>
              <w:t xml:space="preserve"> </w:t>
            </w:r>
          </w:p>
        </w:tc>
        <w:tc>
          <w:tcPr>
            <w:tcW w:w="346" w:type="dxa"/>
          </w:tcPr>
          <w:p w14:paraId="5BD0F85E" w14:textId="77777777" w:rsidR="00A71EEF" w:rsidRDefault="00A71EEF">
            <w:pPr>
              <w:pStyle w:val="TableParagraph"/>
              <w:spacing w:before="8"/>
              <w:rPr>
                <w:sz w:val="14"/>
              </w:rPr>
            </w:pPr>
          </w:p>
          <w:p w14:paraId="7AD51686" w14:textId="77777777" w:rsidR="00A71EEF" w:rsidRDefault="0081115D">
            <w:pPr>
              <w:pStyle w:val="TableParagraph"/>
              <w:ind w:left="106"/>
              <w:rPr>
                <w:sz w:val="21"/>
              </w:rPr>
            </w:pPr>
            <w:r>
              <w:rPr>
                <w:sz w:val="21"/>
              </w:rPr>
              <w:t xml:space="preserve"> </w:t>
            </w:r>
          </w:p>
        </w:tc>
        <w:tc>
          <w:tcPr>
            <w:tcW w:w="435" w:type="dxa"/>
          </w:tcPr>
          <w:p w14:paraId="5BCE047F" w14:textId="77777777" w:rsidR="00A71EEF" w:rsidRDefault="00A71EEF">
            <w:pPr>
              <w:pStyle w:val="TableParagraph"/>
              <w:spacing w:before="8"/>
              <w:rPr>
                <w:sz w:val="14"/>
              </w:rPr>
            </w:pPr>
          </w:p>
          <w:p w14:paraId="098F52AF" w14:textId="77777777" w:rsidR="00A71EEF" w:rsidRDefault="0081115D">
            <w:pPr>
              <w:pStyle w:val="TableParagraph"/>
              <w:ind w:left="106"/>
              <w:rPr>
                <w:sz w:val="21"/>
              </w:rPr>
            </w:pPr>
            <w:r>
              <w:rPr>
                <w:sz w:val="21"/>
              </w:rPr>
              <w:t xml:space="preserve"> </w:t>
            </w:r>
          </w:p>
        </w:tc>
        <w:tc>
          <w:tcPr>
            <w:tcW w:w="437" w:type="dxa"/>
          </w:tcPr>
          <w:p w14:paraId="5A63AF2E" w14:textId="77777777" w:rsidR="00A71EEF" w:rsidRDefault="00A71EEF">
            <w:pPr>
              <w:pStyle w:val="TableParagraph"/>
              <w:spacing w:before="8"/>
              <w:rPr>
                <w:sz w:val="14"/>
              </w:rPr>
            </w:pPr>
          </w:p>
          <w:p w14:paraId="3D446CF9" w14:textId="77777777" w:rsidR="00A71EEF" w:rsidRDefault="0081115D">
            <w:pPr>
              <w:pStyle w:val="TableParagraph"/>
              <w:ind w:left="108"/>
              <w:rPr>
                <w:sz w:val="21"/>
              </w:rPr>
            </w:pPr>
            <w:r>
              <w:rPr>
                <w:sz w:val="21"/>
              </w:rPr>
              <w:t xml:space="preserve"> </w:t>
            </w:r>
          </w:p>
        </w:tc>
        <w:tc>
          <w:tcPr>
            <w:tcW w:w="438" w:type="dxa"/>
          </w:tcPr>
          <w:p w14:paraId="05157091" w14:textId="77777777" w:rsidR="00A71EEF" w:rsidRDefault="00A71EEF">
            <w:pPr>
              <w:pStyle w:val="TableParagraph"/>
              <w:spacing w:before="8"/>
              <w:rPr>
                <w:sz w:val="14"/>
              </w:rPr>
            </w:pPr>
          </w:p>
          <w:p w14:paraId="228C1191" w14:textId="77777777" w:rsidR="00A71EEF" w:rsidRDefault="0081115D">
            <w:pPr>
              <w:pStyle w:val="TableParagraph"/>
              <w:ind w:left="106"/>
              <w:rPr>
                <w:sz w:val="21"/>
              </w:rPr>
            </w:pPr>
            <w:r>
              <w:rPr>
                <w:sz w:val="21"/>
              </w:rPr>
              <w:t xml:space="preserve"> </w:t>
            </w:r>
          </w:p>
        </w:tc>
        <w:tc>
          <w:tcPr>
            <w:tcW w:w="375" w:type="dxa"/>
          </w:tcPr>
          <w:p w14:paraId="728AA590" w14:textId="77777777" w:rsidR="00A71EEF" w:rsidRDefault="00A71EEF">
            <w:pPr>
              <w:pStyle w:val="TableParagraph"/>
              <w:spacing w:before="8"/>
              <w:rPr>
                <w:sz w:val="14"/>
              </w:rPr>
            </w:pPr>
          </w:p>
          <w:p w14:paraId="4BFE86DD" w14:textId="77777777" w:rsidR="00A71EEF" w:rsidRDefault="0081115D">
            <w:pPr>
              <w:pStyle w:val="TableParagraph"/>
              <w:ind w:right="47"/>
              <w:jc w:val="center"/>
              <w:rPr>
                <w:sz w:val="21"/>
              </w:rPr>
            </w:pPr>
            <w:r>
              <w:rPr>
                <w:sz w:val="21"/>
              </w:rPr>
              <w:t xml:space="preserve"> </w:t>
            </w:r>
          </w:p>
        </w:tc>
        <w:tc>
          <w:tcPr>
            <w:tcW w:w="377" w:type="dxa"/>
          </w:tcPr>
          <w:p w14:paraId="7E88A85E" w14:textId="77777777" w:rsidR="00A71EEF" w:rsidRDefault="00A71EEF">
            <w:pPr>
              <w:pStyle w:val="TableParagraph"/>
              <w:spacing w:before="8"/>
              <w:rPr>
                <w:sz w:val="14"/>
              </w:rPr>
            </w:pPr>
          </w:p>
          <w:p w14:paraId="5BB0276A" w14:textId="77777777" w:rsidR="00A71EEF" w:rsidRDefault="0081115D">
            <w:pPr>
              <w:pStyle w:val="TableParagraph"/>
              <w:ind w:left="106"/>
              <w:rPr>
                <w:sz w:val="21"/>
              </w:rPr>
            </w:pPr>
            <w:r>
              <w:rPr>
                <w:sz w:val="21"/>
              </w:rPr>
              <w:t xml:space="preserve"> </w:t>
            </w:r>
          </w:p>
        </w:tc>
        <w:tc>
          <w:tcPr>
            <w:tcW w:w="377" w:type="dxa"/>
          </w:tcPr>
          <w:p w14:paraId="0FE504B9" w14:textId="77777777" w:rsidR="00A71EEF" w:rsidRDefault="00A71EEF">
            <w:pPr>
              <w:pStyle w:val="TableParagraph"/>
              <w:spacing w:before="8"/>
              <w:rPr>
                <w:sz w:val="14"/>
              </w:rPr>
            </w:pPr>
          </w:p>
          <w:p w14:paraId="5FF2E04E" w14:textId="77777777" w:rsidR="00A71EEF" w:rsidRDefault="0081115D">
            <w:pPr>
              <w:pStyle w:val="TableParagraph"/>
              <w:ind w:left="104"/>
              <w:rPr>
                <w:sz w:val="21"/>
              </w:rPr>
            </w:pPr>
            <w:r>
              <w:rPr>
                <w:sz w:val="21"/>
              </w:rPr>
              <w:t xml:space="preserve"> </w:t>
            </w:r>
          </w:p>
        </w:tc>
        <w:tc>
          <w:tcPr>
            <w:tcW w:w="375" w:type="dxa"/>
          </w:tcPr>
          <w:p w14:paraId="03940BE6" w14:textId="77777777" w:rsidR="00A71EEF" w:rsidRDefault="00A71EEF">
            <w:pPr>
              <w:pStyle w:val="TableParagraph"/>
              <w:spacing w:before="8"/>
              <w:rPr>
                <w:sz w:val="14"/>
              </w:rPr>
            </w:pPr>
          </w:p>
          <w:p w14:paraId="619917D2" w14:textId="77777777" w:rsidR="00A71EEF" w:rsidRDefault="0081115D">
            <w:pPr>
              <w:pStyle w:val="TableParagraph"/>
              <w:ind w:right="49"/>
              <w:jc w:val="center"/>
              <w:rPr>
                <w:sz w:val="21"/>
              </w:rPr>
            </w:pPr>
            <w:r>
              <w:rPr>
                <w:sz w:val="21"/>
              </w:rPr>
              <w:t xml:space="preserve"> </w:t>
            </w:r>
          </w:p>
        </w:tc>
        <w:tc>
          <w:tcPr>
            <w:tcW w:w="447" w:type="dxa"/>
          </w:tcPr>
          <w:p w14:paraId="4933C601" w14:textId="77777777" w:rsidR="00A71EEF" w:rsidRDefault="00A71EEF">
            <w:pPr>
              <w:pStyle w:val="TableParagraph"/>
              <w:spacing w:before="8"/>
              <w:rPr>
                <w:sz w:val="14"/>
              </w:rPr>
            </w:pPr>
          </w:p>
          <w:p w14:paraId="623FF1B9" w14:textId="77777777" w:rsidR="00A71EEF" w:rsidRDefault="0081115D">
            <w:pPr>
              <w:pStyle w:val="TableParagraph"/>
              <w:ind w:left="105"/>
              <w:rPr>
                <w:sz w:val="21"/>
              </w:rPr>
            </w:pPr>
            <w:r>
              <w:rPr>
                <w:sz w:val="21"/>
              </w:rPr>
              <w:t xml:space="preserve"> </w:t>
            </w:r>
          </w:p>
        </w:tc>
        <w:tc>
          <w:tcPr>
            <w:tcW w:w="483" w:type="dxa"/>
          </w:tcPr>
          <w:p w14:paraId="4A292C7C" w14:textId="77777777" w:rsidR="00A71EEF" w:rsidRDefault="00A71EEF">
            <w:pPr>
              <w:pStyle w:val="TableParagraph"/>
              <w:spacing w:before="8"/>
              <w:rPr>
                <w:sz w:val="14"/>
              </w:rPr>
            </w:pPr>
          </w:p>
          <w:p w14:paraId="289C6891" w14:textId="77777777" w:rsidR="00A71EEF" w:rsidRDefault="0081115D">
            <w:pPr>
              <w:pStyle w:val="TableParagraph"/>
              <w:ind w:left="102"/>
              <w:rPr>
                <w:sz w:val="21"/>
              </w:rPr>
            </w:pPr>
            <w:r>
              <w:rPr>
                <w:sz w:val="21"/>
              </w:rPr>
              <w:t xml:space="preserve"> </w:t>
            </w:r>
          </w:p>
        </w:tc>
        <w:tc>
          <w:tcPr>
            <w:tcW w:w="483" w:type="dxa"/>
          </w:tcPr>
          <w:p w14:paraId="13643C26" w14:textId="77777777" w:rsidR="00A71EEF" w:rsidRDefault="00A71EEF">
            <w:pPr>
              <w:pStyle w:val="TableParagraph"/>
              <w:spacing w:before="8"/>
              <w:rPr>
                <w:sz w:val="14"/>
              </w:rPr>
            </w:pPr>
          </w:p>
          <w:p w14:paraId="07643D7F" w14:textId="77777777" w:rsidR="00A71EEF" w:rsidRDefault="0081115D">
            <w:pPr>
              <w:pStyle w:val="TableParagraph"/>
              <w:ind w:left="102"/>
              <w:rPr>
                <w:sz w:val="21"/>
              </w:rPr>
            </w:pPr>
            <w:r>
              <w:rPr>
                <w:sz w:val="21"/>
              </w:rPr>
              <w:t xml:space="preserve"> </w:t>
            </w:r>
          </w:p>
        </w:tc>
        <w:tc>
          <w:tcPr>
            <w:tcW w:w="481" w:type="dxa"/>
          </w:tcPr>
          <w:p w14:paraId="2B97F3C0" w14:textId="77777777" w:rsidR="00A71EEF" w:rsidRDefault="00A71EEF">
            <w:pPr>
              <w:pStyle w:val="TableParagraph"/>
              <w:spacing w:before="8"/>
              <w:rPr>
                <w:sz w:val="14"/>
              </w:rPr>
            </w:pPr>
          </w:p>
          <w:p w14:paraId="7F6ED294" w14:textId="77777777" w:rsidR="00A71EEF" w:rsidRDefault="0081115D">
            <w:pPr>
              <w:pStyle w:val="TableParagraph"/>
              <w:ind w:left="102"/>
              <w:rPr>
                <w:sz w:val="21"/>
              </w:rPr>
            </w:pPr>
            <w:r>
              <w:rPr>
                <w:sz w:val="21"/>
              </w:rPr>
              <w:t xml:space="preserve"> </w:t>
            </w:r>
          </w:p>
        </w:tc>
        <w:tc>
          <w:tcPr>
            <w:tcW w:w="483" w:type="dxa"/>
          </w:tcPr>
          <w:p w14:paraId="5991830E" w14:textId="77777777" w:rsidR="00A71EEF" w:rsidRDefault="00A71EEF">
            <w:pPr>
              <w:pStyle w:val="TableParagraph"/>
              <w:spacing w:before="8"/>
              <w:rPr>
                <w:sz w:val="14"/>
              </w:rPr>
            </w:pPr>
          </w:p>
          <w:p w14:paraId="3E5DA3B3" w14:textId="77777777" w:rsidR="00A71EEF" w:rsidRDefault="0081115D">
            <w:pPr>
              <w:pStyle w:val="TableParagraph"/>
              <w:ind w:left="101"/>
              <w:rPr>
                <w:sz w:val="21"/>
              </w:rPr>
            </w:pPr>
            <w:r>
              <w:rPr>
                <w:sz w:val="21"/>
              </w:rPr>
              <w:t xml:space="preserve"> </w:t>
            </w:r>
          </w:p>
        </w:tc>
        <w:tc>
          <w:tcPr>
            <w:tcW w:w="377" w:type="dxa"/>
          </w:tcPr>
          <w:p w14:paraId="295DEE48" w14:textId="77777777" w:rsidR="00A71EEF" w:rsidRDefault="00A71EEF">
            <w:pPr>
              <w:pStyle w:val="TableParagraph"/>
              <w:spacing w:before="8"/>
              <w:rPr>
                <w:sz w:val="14"/>
              </w:rPr>
            </w:pPr>
          </w:p>
          <w:p w14:paraId="138B1B59" w14:textId="77777777" w:rsidR="00A71EEF" w:rsidRDefault="0081115D">
            <w:pPr>
              <w:pStyle w:val="TableParagraph"/>
              <w:ind w:left="100"/>
              <w:rPr>
                <w:sz w:val="21"/>
              </w:rPr>
            </w:pPr>
            <w:r>
              <w:rPr>
                <w:sz w:val="21"/>
              </w:rPr>
              <w:t xml:space="preserve"> </w:t>
            </w:r>
          </w:p>
        </w:tc>
        <w:tc>
          <w:tcPr>
            <w:tcW w:w="377" w:type="dxa"/>
          </w:tcPr>
          <w:p w14:paraId="5AA4DAFB" w14:textId="77777777" w:rsidR="00A71EEF" w:rsidRDefault="00A71EEF">
            <w:pPr>
              <w:pStyle w:val="TableParagraph"/>
              <w:spacing w:before="8"/>
              <w:rPr>
                <w:sz w:val="14"/>
              </w:rPr>
            </w:pPr>
          </w:p>
          <w:p w14:paraId="0171AB20" w14:textId="77777777" w:rsidR="00A71EEF" w:rsidRDefault="0081115D">
            <w:pPr>
              <w:pStyle w:val="TableParagraph"/>
              <w:ind w:right="58"/>
              <w:jc w:val="center"/>
              <w:rPr>
                <w:sz w:val="21"/>
              </w:rPr>
            </w:pPr>
            <w:r>
              <w:rPr>
                <w:sz w:val="21"/>
              </w:rPr>
              <w:t xml:space="preserve"> </w:t>
            </w:r>
          </w:p>
        </w:tc>
        <w:tc>
          <w:tcPr>
            <w:tcW w:w="390" w:type="dxa"/>
          </w:tcPr>
          <w:p w14:paraId="00BE993C" w14:textId="77777777" w:rsidR="00A71EEF" w:rsidRDefault="00A71EEF">
            <w:pPr>
              <w:pStyle w:val="TableParagraph"/>
              <w:spacing w:before="8"/>
              <w:rPr>
                <w:sz w:val="14"/>
              </w:rPr>
            </w:pPr>
          </w:p>
          <w:p w14:paraId="2B094587" w14:textId="77777777" w:rsidR="00A71EEF" w:rsidRDefault="0081115D">
            <w:pPr>
              <w:pStyle w:val="TableParagraph"/>
              <w:ind w:right="70"/>
              <w:jc w:val="center"/>
              <w:rPr>
                <w:sz w:val="21"/>
              </w:rPr>
            </w:pPr>
            <w:r>
              <w:rPr>
                <w:sz w:val="21"/>
              </w:rPr>
              <w:t xml:space="preserve"> </w:t>
            </w:r>
          </w:p>
        </w:tc>
        <w:tc>
          <w:tcPr>
            <w:tcW w:w="377" w:type="dxa"/>
          </w:tcPr>
          <w:p w14:paraId="1DBD09E5" w14:textId="77777777" w:rsidR="00A71EEF" w:rsidRDefault="00A71EEF">
            <w:pPr>
              <w:pStyle w:val="TableParagraph"/>
              <w:spacing w:before="8"/>
              <w:rPr>
                <w:sz w:val="14"/>
              </w:rPr>
            </w:pPr>
          </w:p>
          <w:p w14:paraId="78316A12" w14:textId="77777777" w:rsidR="00A71EEF" w:rsidRDefault="0081115D">
            <w:pPr>
              <w:pStyle w:val="TableParagraph"/>
              <w:ind w:left="101"/>
              <w:rPr>
                <w:sz w:val="21"/>
              </w:rPr>
            </w:pPr>
            <w:r>
              <w:rPr>
                <w:sz w:val="21"/>
              </w:rPr>
              <w:t xml:space="preserve"> </w:t>
            </w:r>
          </w:p>
        </w:tc>
        <w:tc>
          <w:tcPr>
            <w:tcW w:w="605" w:type="dxa"/>
          </w:tcPr>
          <w:p w14:paraId="1ABF2EDD" w14:textId="77777777" w:rsidR="00A71EEF" w:rsidRDefault="00A71EEF">
            <w:pPr>
              <w:pStyle w:val="TableParagraph"/>
              <w:spacing w:before="8"/>
              <w:rPr>
                <w:sz w:val="14"/>
              </w:rPr>
            </w:pPr>
          </w:p>
          <w:p w14:paraId="337588F6" w14:textId="77777777" w:rsidR="00A71EEF" w:rsidRDefault="0081115D">
            <w:pPr>
              <w:pStyle w:val="TableParagraph"/>
              <w:ind w:left="99"/>
              <w:rPr>
                <w:sz w:val="21"/>
              </w:rPr>
            </w:pPr>
            <w:r>
              <w:rPr>
                <w:sz w:val="21"/>
              </w:rPr>
              <w:t xml:space="preserve"> </w:t>
            </w:r>
          </w:p>
        </w:tc>
        <w:tc>
          <w:tcPr>
            <w:tcW w:w="425" w:type="dxa"/>
          </w:tcPr>
          <w:p w14:paraId="3F141371" w14:textId="77777777" w:rsidR="00A71EEF" w:rsidRDefault="00A71EEF">
            <w:pPr>
              <w:pStyle w:val="TableParagraph"/>
              <w:spacing w:before="8"/>
              <w:rPr>
                <w:sz w:val="14"/>
              </w:rPr>
            </w:pPr>
          </w:p>
          <w:p w14:paraId="003ABA3C" w14:textId="77777777" w:rsidR="00A71EEF" w:rsidRDefault="0081115D">
            <w:pPr>
              <w:pStyle w:val="TableParagraph"/>
              <w:ind w:left="99"/>
              <w:rPr>
                <w:sz w:val="21"/>
              </w:rPr>
            </w:pPr>
            <w:r>
              <w:rPr>
                <w:sz w:val="21"/>
              </w:rPr>
              <w:t xml:space="preserve"> </w:t>
            </w:r>
          </w:p>
        </w:tc>
      </w:tr>
      <w:tr w:rsidR="00A71EEF" w14:paraId="7B7E068C" w14:textId="77777777">
        <w:trPr>
          <w:trHeight w:val="501"/>
        </w:trPr>
        <w:tc>
          <w:tcPr>
            <w:tcW w:w="377" w:type="dxa"/>
          </w:tcPr>
          <w:p w14:paraId="78D50FCD" w14:textId="77777777" w:rsidR="00A71EEF" w:rsidRDefault="00A71EEF">
            <w:pPr>
              <w:pStyle w:val="TableParagraph"/>
              <w:spacing w:before="8"/>
              <w:rPr>
                <w:sz w:val="14"/>
              </w:rPr>
            </w:pPr>
          </w:p>
          <w:p w14:paraId="20CC156C" w14:textId="77777777" w:rsidR="00A71EEF" w:rsidRDefault="0081115D">
            <w:pPr>
              <w:pStyle w:val="TableParagraph"/>
              <w:ind w:left="140" w:right="81"/>
              <w:jc w:val="center"/>
              <w:rPr>
                <w:sz w:val="21"/>
              </w:rPr>
            </w:pPr>
            <w:r>
              <w:rPr>
                <w:sz w:val="21"/>
              </w:rPr>
              <w:t xml:space="preserve">5 </w:t>
            </w:r>
          </w:p>
        </w:tc>
        <w:tc>
          <w:tcPr>
            <w:tcW w:w="471" w:type="dxa"/>
          </w:tcPr>
          <w:p w14:paraId="505EA414" w14:textId="77777777" w:rsidR="00A71EEF" w:rsidRDefault="00A71EEF">
            <w:pPr>
              <w:pStyle w:val="TableParagraph"/>
              <w:spacing w:before="8"/>
              <w:rPr>
                <w:sz w:val="14"/>
              </w:rPr>
            </w:pPr>
          </w:p>
          <w:p w14:paraId="59C976EB" w14:textId="77777777" w:rsidR="00A71EEF" w:rsidRDefault="0081115D">
            <w:pPr>
              <w:pStyle w:val="TableParagraph"/>
              <w:ind w:left="107"/>
              <w:rPr>
                <w:sz w:val="21"/>
              </w:rPr>
            </w:pPr>
            <w:r>
              <w:rPr>
                <w:sz w:val="21"/>
              </w:rPr>
              <w:t xml:space="preserve"> </w:t>
            </w:r>
          </w:p>
        </w:tc>
        <w:tc>
          <w:tcPr>
            <w:tcW w:w="346" w:type="dxa"/>
          </w:tcPr>
          <w:p w14:paraId="20E4058A" w14:textId="77777777" w:rsidR="00A71EEF" w:rsidRDefault="00A71EEF">
            <w:pPr>
              <w:pStyle w:val="TableParagraph"/>
              <w:spacing w:before="8"/>
              <w:rPr>
                <w:sz w:val="14"/>
              </w:rPr>
            </w:pPr>
          </w:p>
          <w:p w14:paraId="66B555BF" w14:textId="77777777" w:rsidR="00A71EEF" w:rsidRDefault="0081115D">
            <w:pPr>
              <w:pStyle w:val="TableParagraph"/>
              <w:ind w:left="106"/>
              <w:rPr>
                <w:sz w:val="21"/>
              </w:rPr>
            </w:pPr>
            <w:r>
              <w:rPr>
                <w:sz w:val="21"/>
              </w:rPr>
              <w:t xml:space="preserve"> </w:t>
            </w:r>
          </w:p>
        </w:tc>
        <w:tc>
          <w:tcPr>
            <w:tcW w:w="435" w:type="dxa"/>
          </w:tcPr>
          <w:p w14:paraId="55A77FB0" w14:textId="77777777" w:rsidR="00A71EEF" w:rsidRDefault="00A71EEF">
            <w:pPr>
              <w:pStyle w:val="TableParagraph"/>
              <w:spacing w:before="8"/>
              <w:rPr>
                <w:sz w:val="14"/>
              </w:rPr>
            </w:pPr>
          </w:p>
          <w:p w14:paraId="15DA7415" w14:textId="77777777" w:rsidR="00A71EEF" w:rsidRDefault="0081115D">
            <w:pPr>
              <w:pStyle w:val="TableParagraph"/>
              <w:ind w:left="106"/>
              <w:rPr>
                <w:sz w:val="21"/>
              </w:rPr>
            </w:pPr>
            <w:r>
              <w:rPr>
                <w:sz w:val="21"/>
              </w:rPr>
              <w:t xml:space="preserve"> </w:t>
            </w:r>
          </w:p>
        </w:tc>
        <w:tc>
          <w:tcPr>
            <w:tcW w:w="437" w:type="dxa"/>
          </w:tcPr>
          <w:p w14:paraId="78A407BE" w14:textId="77777777" w:rsidR="00A71EEF" w:rsidRDefault="00A71EEF">
            <w:pPr>
              <w:pStyle w:val="TableParagraph"/>
              <w:spacing w:before="8"/>
              <w:rPr>
                <w:sz w:val="14"/>
              </w:rPr>
            </w:pPr>
          </w:p>
          <w:p w14:paraId="47C9F41E" w14:textId="77777777" w:rsidR="00A71EEF" w:rsidRDefault="0081115D">
            <w:pPr>
              <w:pStyle w:val="TableParagraph"/>
              <w:ind w:left="108"/>
              <w:rPr>
                <w:sz w:val="21"/>
              </w:rPr>
            </w:pPr>
            <w:r>
              <w:rPr>
                <w:sz w:val="21"/>
              </w:rPr>
              <w:t xml:space="preserve"> </w:t>
            </w:r>
          </w:p>
        </w:tc>
        <w:tc>
          <w:tcPr>
            <w:tcW w:w="438" w:type="dxa"/>
          </w:tcPr>
          <w:p w14:paraId="29A6F28D" w14:textId="77777777" w:rsidR="00A71EEF" w:rsidRDefault="00A71EEF">
            <w:pPr>
              <w:pStyle w:val="TableParagraph"/>
              <w:spacing w:before="8"/>
              <w:rPr>
                <w:sz w:val="14"/>
              </w:rPr>
            </w:pPr>
          </w:p>
          <w:p w14:paraId="04B3C1ED" w14:textId="77777777" w:rsidR="00A71EEF" w:rsidRDefault="0081115D">
            <w:pPr>
              <w:pStyle w:val="TableParagraph"/>
              <w:ind w:left="106"/>
              <w:rPr>
                <w:sz w:val="21"/>
              </w:rPr>
            </w:pPr>
            <w:r>
              <w:rPr>
                <w:sz w:val="21"/>
              </w:rPr>
              <w:t xml:space="preserve"> </w:t>
            </w:r>
          </w:p>
        </w:tc>
        <w:tc>
          <w:tcPr>
            <w:tcW w:w="375" w:type="dxa"/>
          </w:tcPr>
          <w:p w14:paraId="7F234522" w14:textId="77777777" w:rsidR="00A71EEF" w:rsidRDefault="00A71EEF">
            <w:pPr>
              <w:pStyle w:val="TableParagraph"/>
              <w:spacing w:before="8"/>
              <w:rPr>
                <w:sz w:val="14"/>
              </w:rPr>
            </w:pPr>
          </w:p>
          <w:p w14:paraId="072037B8" w14:textId="77777777" w:rsidR="00A71EEF" w:rsidRDefault="0081115D">
            <w:pPr>
              <w:pStyle w:val="TableParagraph"/>
              <w:ind w:right="47"/>
              <w:jc w:val="center"/>
              <w:rPr>
                <w:sz w:val="21"/>
              </w:rPr>
            </w:pPr>
            <w:r>
              <w:rPr>
                <w:sz w:val="21"/>
              </w:rPr>
              <w:t xml:space="preserve"> </w:t>
            </w:r>
          </w:p>
        </w:tc>
        <w:tc>
          <w:tcPr>
            <w:tcW w:w="377" w:type="dxa"/>
          </w:tcPr>
          <w:p w14:paraId="7A0645D0" w14:textId="77777777" w:rsidR="00A71EEF" w:rsidRDefault="00A71EEF">
            <w:pPr>
              <w:pStyle w:val="TableParagraph"/>
              <w:spacing w:before="8"/>
              <w:rPr>
                <w:sz w:val="14"/>
              </w:rPr>
            </w:pPr>
          </w:p>
          <w:p w14:paraId="5DB130B3" w14:textId="77777777" w:rsidR="00A71EEF" w:rsidRDefault="0081115D">
            <w:pPr>
              <w:pStyle w:val="TableParagraph"/>
              <w:ind w:left="106"/>
              <w:rPr>
                <w:sz w:val="21"/>
              </w:rPr>
            </w:pPr>
            <w:r>
              <w:rPr>
                <w:sz w:val="21"/>
              </w:rPr>
              <w:t xml:space="preserve"> </w:t>
            </w:r>
          </w:p>
        </w:tc>
        <w:tc>
          <w:tcPr>
            <w:tcW w:w="377" w:type="dxa"/>
          </w:tcPr>
          <w:p w14:paraId="71A631D8" w14:textId="77777777" w:rsidR="00A71EEF" w:rsidRDefault="00A71EEF">
            <w:pPr>
              <w:pStyle w:val="TableParagraph"/>
              <w:spacing w:before="8"/>
              <w:rPr>
                <w:sz w:val="14"/>
              </w:rPr>
            </w:pPr>
          </w:p>
          <w:p w14:paraId="0FD31E1D" w14:textId="77777777" w:rsidR="00A71EEF" w:rsidRDefault="0081115D">
            <w:pPr>
              <w:pStyle w:val="TableParagraph"/>
              <w:ind w:left="104"/>
              <w:rPr>
                <w:sz w:val="21"/>
              </w:rPr>
            </w:pPr>
            <w:r>
              <w:rPr>
                <w:sz w:val="21"/>
              </w:rPr>
              <w:t xml:space="preserve"> </w:t>
            </w:r>
          </w:p>
        </w:tc>
        <w:tc>
          <w:tcPr>
            <w:tcW w:w="375" w:type="dxa"/>
          </w:tcPr>
          <w:p w14:paraId="3136EEB7" w14:textId="77777777" w:rsidR="00A71EEF" w:rsidRDefault="00A71EEF">
            <w:pPr>
              <w:pStyle w:val="TableParagraph"/>
              <w:spacing w:before="8"/>
              <w:rPr>
                <w:sz w:val="14"/>
              </w:rPr>
            </w:pPr>
          </w:p>
          <w:p w14:paraId="2370B474" w14:textId="77777777" w:rsidR="00A71EEF" w:rsidRDefault="0081115D">
            <w:pPr>
              <w:pStyle w:val="TableParagraph"/>
              <w:ind w:right="49"/>
              <w:jc w:val="center"/>
              <w:rPr>
                <w:sz w:val="21"/>
              </w:rPr>
            </w:pPr>
            <w:r>
              <w:rPr>
                <w:sz w:val="21"/>
              </w:rPr>
              <w:t xml:space="preserve"> </w:t>
            </w:r>
          </w:p>
        </w:tc>
        <w:tc>
          <w:tcPr>
            <w:tcW w:w="447" w:type="dxa"/>
          </w:tcPr>
          <w:p w14:paraId="35C7950B" w14:textId="77777777" w:rsidR="00A71EEF" w:rsidRDefault="00A71EEF">
            <w:pPr>
              <w:pStyle w:val="TableParagraph"/>
              <w:spacing w:before="8"/>
              <w:rPr>
                <w:sz w:val="14"/>
              </w:rPr>
            </w:pPr>
          </w:p>
          <w:p w14:paraId="44AD84BD" w14:textId="77777777" w:rsidR="00A71EEF" w:rsidRDefault="0081115D">
            <w:pPr>
              <w:pStyle w:val="TableParagraph"/>
              <w:ind w:left="105"/>
              <w:rPr>
                <w:sz w:val="21"/>
              </w:rPr>
            </w:pPr>
            <w:r>
              <w:rPr>
                <w:sz w:val="21"/>
              </w:rPr>
              <w:t xml:space="preserve"> </w:t>
            </w:r>
          </w:p>
        </w:tc>
        <w:tc>
          <w:tcPr>
            <w:tcW w:w="483" w:type="dxa"/>
          </w:tcPr>
          <w:p w14:paraId="4FCA13E9" w14:textId="77777777" w:rsidR="00A71EEF" w:rsidRDefault="00A71EEF">
            <w:pPr>
              <w:pStyle w:val="TableParagraph"/>
              <w:spacing w:before="8"/>
              <w:rPr>
                <w:sz w:val="14"/>
              </w:rPr>
            </w:pPr>
          </w:p>
          <w:p w14:paraId="166AB5E7" w14:textId="77777777" w:rsidR="00A71EEF" w:rsidRDefault="0081115D">
            <w:pPr>
              <w:pStyle w:val="TableParagraph"/>
              <w:ind w:left="102"/>
              <w:rPr>
                <w:sz w:val="21"/>
              </w:rPr>
            </w:pPr>
            <w:r>
              <w:rPr>
                <w:sz w:val="21"/>
              </w:rPr>
              <w:t xml:space="preserve"> </w:t>
            </w:r>
          </w:p>
        </w:tc>
        <w:tc>
          <w:tcPr>
            <w:tcW w:w="483" w:type="dxa"/>
          </w:tcPr>
          <w:p w14:paraId="16D113BF" w14:textId="77777777" w:rsidR="00A71EEF" w:rsidRDefault="00A71EEF">
            <w:pPr>
              <w:pStyle w:val="TableParagraph"/>
              <w:spacing w:before="8"/>
              <w:rPr>
                <w:sz w:val="14"/>
              </w:rPr>
            </w:pPr>
          </w:p>
          <w:p w14:paraId="6DEF3C08" w14:textId="77777777" w:rsidR="00A71EEF" w:rsidRDefault="0081115D">
            <w:pPr>
              <w:pStyle w:val="TableParagraph"/>
              <w:ind w:left="102"/>
              <w:rPr>
                <w:sz w:val="21"/>
              </w:rPr>
            </w:pPr>
            <w:r>
              <w:rPr>
                <w:sz w:val="21"/>
              </w:rPr>
              <w:t xml:space="preserve"> </w:t>
            </w:r>
          </w:p>
        </w:tc>
        <w:tc>
          <w:tcPr>
            <w:tcW w:w="481" w:type="dxa"/>
          </w:tcPr>
          <w:p w14:paraId="0DDF0136" w14:textId="77777777" w:rsidR="00A71EEF" w:rsidRDefault="00A71EEF">
            <w:pPr>
              <w:pStyle w:val="TableParagraph"/>
              <w:spacing w:before="8"/>
              <w:rPr>
                <w:sz w:val="14"/>
              </w:rPr>
            </w:pPr>
          </w:p>
          <w:p w14:paraId="3F3E234C" w14:textId="77777777" w:rsidR="00A71EEF" w:rsidRDefault="0081115D">
            <w:pPr>
              <w:pStyle w:val="TableParagraph"/>
              <w:ind w:left="102"/>
              <w:rPr>
                <w:sz w:val="21"/>
              </w:rPr>
            </w:pPr>
            <w:r>
              <w:rPr>
                <w:sz w:val="21"/>
              </w:rPr>
              <w:t xml:space="preserve"> </w:t>
            </w:r>
          </w:p>
        </w:tc>
        <w:tc>
          <w:tcPr>
            <w:tcW w:w="483" w:type="dxa"/>
          </w:tcPr>
          <w:p w14:paraId="4DDCFAAB" w14:textId="77777777" w:rsidR="00A71EEF" w:rsidRDefault="00A71EEF">
            <w:pPr>
              <w:pStyle w:val="TableParagraph"/>
              <w:spacing w:before="8"/>
              <w:rPr>
                <w:sz w:val="14"/>
              </w:rPr>
            </w:pPr>
          </w:p>
          <w:p w14:paraId="318946B7" w14:textId="77777777" w:rsidR="00A71EEF" w:rsidRDefault="0081115D">
            <w:pPr>
              <w:pStyle w:val="TableParagraph"/>
              <w:ind w:left="101"/>
              <w:rPr>
                <w:sz w:val="21"/>
              </w:rPr>
            </w:pPr>
            <w:r>
              <w:rPr>
                <w:sz w:val="21"/>
              </w:rPr>
              <w:t xml:space="preserve"> </w:t>
            </w:r>
          </w:p>
        </w:tc>
        <w:tc>
          <w:tcPr>
            <w:tcW w:w="377" w:type="dxa"/>
          </w:tcPr>
          <w:p w14:paraId="7A6AB717" w14:textId="77777777" w:rsidR="00A71EEF" w:rsidRDefault="00A71EEF">
            <w:pPr>
              <w:pStyle w:val="TableParagraph"/>
              <w:spacing w:before="8"/>
              <w:rPr>
                <w:sz w:val="14"/>
              </w:rPr>
            </w:pPr>
          </w:p>
          <w:p w14:paraId="6AFEDAAC" w14:textId="77777777" w:rsidR="00A71EEF" w:rsidRDefault="0081115D">
            <w:pPr>
              <w:pStyle w:val="TableParagraph"/>
              <w:ind w:left="100"/>
              <w:rPr>
                <w:sz w:val="21"/>
              </w:rPr>
            </w:pPr>
            <w:r>
              <w:rPr>
                <w:sz w:val="21"/>
              </w:rPr>
              <w:t xml:space="preserve"> </w:t>
            </w:r>
          </w:p>
        </w:tc>
        <w:tc>
          <w:tcPr>
            <w:tcW w:w="377" w:type="dxa"/>
          </w:tcPr>
          <w:p w14:paraId="4E17F949" w14:textId="77777777" w:rsidR="00A71EEF" w:rsidRDefault="00A71EEF">
            <w:pPr>
              <w:pStyle w:val="TableParagraph"/>
              <w:spacing w:before="8"/>
              <w:rPr>
                <w:sz w:val="14"/>
              </w:rPr>
            </w:pPr>
          </w:p>
          <w:p w14:paraId="08C348A7" w14:textId="77777777" w:rsidR="00A71EEF" w:rsidRDefault="0081115D">
            <w:pPr>
              <w:pStyle w:val="TableParagraph"/>
              <w:ind w:right="58"/>
              <w:jc w:val="center"/>
              <w:rPr>
                <w:sz w:val="21"/>
              </w:rPr>
            </w:pPr>
            <w:r>
              <w:rPr>
                <w:sz w:val="21"/>
              </w:rPr>
              <w:t xml:space="preserve"> </w:t>
            </w:r>
          </w:p>
        </w:tc>
        <w:tc>
          <w:tcPr>
            <w:tcW w:w="390" w:type="dxa"/>
          </w:tcPr>
          <w:p w14:paraId="46C6EE0F" w14:textId="77777777" w:rsidR="00A71EEF" w:rsidRDefault="00A71EEF">
            <w:pPr>
              <w:pStyle w:val="TableParagraph"/>
              <w:spacing w:before="8"/>
              <w:rPr>
                <w:sz w:val="14"/>
              </w:rPr>
            </w:pPr>
          </w:p>
          <w:p w14:paraId="58A7828D" w14:textId="77777777" w:rsidR="00A71EEF" w:rsidRDefault="0081115D">
            <w:pPr>
              <w:pStyle w:val="TableParagraph"/>
              <w:ind w:right="70"/>
              <w:jc w:val="center"/>
              <w:rPr>
                <w:sz w:val="21"/>
              </w:rPr>
            </w:pPr>
            <w:r>
              <w:rPr>
                <w:sz w:val="21"/>
              </w:rPr>
              <w:t xml:space="preserve"> </w:t>
            </w:r>
          </w:p>
        </w:tc>
        <w:tc>
          <w:tcPr>
            <w:tcW w:w="377" w:type="dxa"/>
          </w:tcPr>
          <w:p w14:paraId="2D48318B" w14:textId="77777777" w:rsidR="00A71EEF" w:rsidRDefault="00A71EEF">
            <w:pPr>
              <w:pStyle w:val="TableParagraph"/>
              <w:spacing w:before="8"/>
              <w:rPr>
                <w:sz w:val="14"/>
              </w:rPr>
            </w:pPr>
          </w:p>
          <w:p w14:paraId="45A15E90" w14:textId="77777777" w:rsidR="00A71EEF" w:rsidRDefault="0081115D">
            <w:pPr>
              <w:pStyle w:val="TableParagraph"/>
              <w:ind w:left="101"/>
              <w:rPr>
                <w:sz w:val="21"/>
              </w:rPr>
            </w:pPr>
            <w:r>
              <w:rPr>
                <w:sz w:val="21"/>
              </w:rPr>
              <w:t xml:space="preserve"> </w:t>
            </w:r>
          </w:p>
        </w:tc>
        <w:tc>
          <w:tcPr>
            <w:tcW w:w="605" w:type="dxa"/>
          </w:tcPr>
          <w:p w14:paraId="5AB59593" w14:textId="77777777" w:rsidR="00A71EEF" w:rsidRDefault="00A71EEF">
            <w:pPr>
              <w:pStyle w:val="TableParagraph"/>
              <w:spacing w:before="8"/>
              <w:rPr>
                <w:sz w:val="14"/>
              </w:rPr>
            </w:pPr>
          </w:p>
          <w:p w14:paraId="03380B63" w14:textId="77777777" w:rsidR="00A71EEF" w:rsidRDefault="0081115D">
            <w:pPr>
              <w:pStyle w:val="TableParagraph"/>
              <w:ind w:left="99"/>
              <w:rPr>
                <w:sz w:val="21"/>
              </w:rPr>
            </w:pPr>
            <w:r>
              <w:rPr>
                <w:sz w:val="21"/>
              </w:rPr>
              <w:t xml:space="preserve"> </w:t>
            </w:r>
          </w:p>
        </w:tc>
        <w:tc>
          <w:tcPr>
            <w:tcW w:w="425" w:type="dxa"/>
          </w:tcPr>
          <w:p w14:paraId="1819866C" w14:textId="77777777" w:rsidR="00A71EEF" w:rsidRDefault="00A71EEF">
            <w:pPr>
              <w:pStyle w:val="TableParagraph"/>
              <w:spacing w:before="8"/>
              <w:rPr>
                <w:sz w:val="14"/>
              </w:rPr>
            </w:pPr>
          </w:p>
          <w:p w14:paraId="26468C38" w14:textId="77777777" w:rsidR="00A71EEF" w:rsidRDefault="0081115D">
            <w:pPr>
              <w:pStyle w:val="TableParagraph"/>
              <w:ind w:left="99"/>
              <w:rPr>
                <w:sz w:val="21"/>
              </w:rPr>
            </w:pPr>
            <w:r>
              <w:rPr>
                <w:sz w:val="21"/>
              </w:rPr>
              <w:t xml:space="preserve"> </w:t>
            </w:r>
          </w:p>
        </w:tc>
      </w:tr>
      <w:tr w:rsidR="00A71EEF" w14:paraId="3C867CF3" w14:textId="77777777">
        <w:trPr>
          <w:trHeight w:val="498"/>
        </w:trPr>
        <w:tc>
          <w:tcPr>
            <w:tcW w:w="377" w:type="dxa"/>
          </w:tcPr>
          <w:p w14:paraId="2CCE30A2" w14:textId="77777777" w:rsidR="00A71EEF" w:rsidRDefault="00A71EEF">
            <w:pPr>
              <w:pStyle w:val="TableParagraph"/>
              <w:spacing w:before="8"/>
              <w:rPr>
                <w:sz w:val="14"/>
              </w:rPr>
            </w:pPr>
          </w:p>
          <w:p w14:paraId="7D2C6F6B" w14:textId="77777777" w:rsidR="00A71EEF" w:rsidRDefault="0081115D">
            <w:pPr>
              <w:pStyle w:val="TableParagraph"/>
              <w:ind w:left="140" w:right="81"/>
              <w:jc w:val="center"/>
              <w:rPr>
                <w:sz w:val="21"/>
              </w:rPr>
            </w:pPr>
            <w:r>
              <w:rPr>
                <w:sz w:val="21"/>
              </w:rPr>
              <w:t xml:space="preserve">6 </w:t>
            </w:r>
          </w:p>
        </w:tc>
        <w:tc>
          <w:tcPr>
            <w:tcW w:w="471" w:type="dxa"/>
          </w:tcPr>
          <w:p w14:paraId="2CBB6165" w14:textId="77777777" w:rsidR="00A71EEF" w:rsidRDefault="00A71EEF">
            <w:pPr>
              <w:pStyle w:val="TableParagraph"/>
              <w:spacing w:before="8"/>
              <w:rPr>
                <w:sz w:val="14"/>
              </w:rPr>
            </w:pPr>
          </w:p>
          <w:p w14:paraId="2B942D8B" w14:textId="77777777" w:rsidR="00A71EEF" w:rsidRDefault="0081115D">
            <w:pPr>
              <w:pStyle w:val="TableParagraph"/>
              <w:ind w:left="107"/>
              <w:rPr>
                <w:sz w:val="21"/>
              </w:rPr>
            </w:pPr>
            <w:r>
              <w:rPr>
                <w:sz w:val="21"/>
              </w:rPr>
              <w:t xml:space="preserve"> </w:t>
            </w:r>
          </w:p>
        </w:tc>
        <w:tc>
          <w:tcPr>
            <w:tcW w:w="346" w:type="dxa"/>
          </w:tcPr>
          <w:p w14:paraId="6EA3FCC5" w14:textId="77777777" w:rsidR="00A71EEF" w:rsidRDefault="00A71EEF">
            <w:pPr>
              <w:pStyle w:val="TableParagraph"/>
              <w:spacing w:before="8"/>
              <w:rPr>
                <w:sz w:val="14"/>
              </w:rPr>
            </w:pPr>
          </w:p>
          <w:p w14:paraId="2424F227" w14:textId="77777777" w:rsidR="00A71EEF" w:rsidRDefault="0081115D">
            <w:pPr>
              <w:pStyle w:val="TableParagraph"/>
              <w:ind w:left="106"/>
              <w:rPr>
                <w:sz w:val="21"/>
              </w:rPr>
            </w:pPr>
            <w:r>
              <w:rPr>
                <w:sz w:val="21"/>
              </w:rPr>
              <w:t xml:space="preserve"> </w:t>
            </w:r>
          </w:p>
        </w:tc>
        <w:tc>
          <w:tcPr>
            <w:tcW w:w="435" w:type="dxa"/>
          </w:tcPr>
          <w:p w14:paraId="386A7AE4" w14:textId="77777777" w:rsidR="00A71EEF" w:rsidRDefault="00A71EEF">
            <w:pPr>
              <w:pStyle w:val="TableParagraph"/>
              <w:spacing w:before="8"/>
              <w:rPr>
                <w:sz w:val="14"/>
              </w:rPr>
            </w:pPr>
          </w:p>
          <w:p w14:paraId="67F9438F" w14:textId="77777777" w:rsidR="00A71EEF" w:rsidRDefault="0081115D">
            <w:pPr>
              <w:pStyle w:val="TableParagraph"/>
              <w:ind w:left="106"/>
              <w:rPr>
                <w:sz w:val="21"/>
              </w:rPr>
            </w:pPr>
            <w:r>
              <w:rPr>
                <w:sz w:val="21"/>
              </w:rPr>
              <w:t xml:space="preserve"> </w:t>
            </w:r>
          </w:p>
        </w:tc>
        <w:tc>
          <w:tcPr>
            <w:tcW w:w="437" w:type="dxa"/>
          </w:tcPr>
          <w:p w14:paraId="60A1B0C5" w14:textId="77777777" w:rsidR="00A71EEF" w:rsidRDefault="00A71EEF">
            <w:pPr>
              <w:pStyle w:val="TableParagraph"/>
              <w:spacing w:before="8"/>
              <w:rPr>
                <w:sz w:val="14"/>
              </w:rPr>
            </w:pPr>
          </w:p>
          <w:p w14:paraId="36075E04" w14:textId="77777777" w:rsidR="00A71EEF" w:rsidRDefault="0081115D">
            <w:pPr>
              <w:pStyle w:val="TableParagraph"/>
              <w:ind w:left="108"/>
              <w:rPr>
                <w:sz w:val="21"/>
              </w:rPr>
            </w:pPr>
            <w:r>
              <w:rPr>
                <w:sz w:val="21"/>
              </w:rPr>
              <w:t xml:space="preserve"> </w:t>
            </w:r>
          </w:p>
        </w:tc>
        <w:tc>
          <w:tcPr>
            <w:tcW w:w="438" w:type="dxa"/>
          </w:tcPr>
          <w:p w14:paraId="53AEA13C" w14:textId="77777777" w:rsidR="00A71EEF" w:rsidRDefault="00A71EEF">
            <w:pPr>
              <w:pStyle w:val="TableParagraph"/>
              <w:spacing w:before="8"/>
              <w:rPr>
                <w:sz w:val="14"/>
              </w:rPr>
            </w:pPr>
          </w:p>
          <w:p w14:paraId="6D6C5635" w14:textId="77777777" w:rsidR="00A71EEF" w:rsidRDefault="0081115D">
            <w:pPr>
              <w:pStyle w:val="TableParagraph"/>
              <w:ind w:left="106"/>
              <w:rPr>
                <w:sz w:val="21"/>
              </w:rPr>
            </w:pPr>
            <w:r>
              <w:rPr>
                <w:sz w:val="21"/>
              </w:rPr>
              <w:t xml:space="preserve"> </w:t>
            </w:r>
          </w:p>
        </w:tc>
        <w:tc>
          <w:tcPr>
            <w:tcW w:w="375" w:type="dxa"/>
          </w:tcPr>
          <w:p w14:paraId="7034202B" w14:textId="77777777" w:rsidR="00A71EEF" w:rsidRDefault="00A71EEF">
            <w:pPr>
              <w:pStyle w:val="TableParagraph"/>
              <w:spacing w:before="8"/>
              <w:rPr>
                <w:sz w:val="14"/>
              </w:rPr>
            </w:pPr>
          </w:p>
          <w:p w14:paraId="1AC307A3" w14:textId="77777777" w:rsidR="00A71EEF" w:rsidRDefault="0081115D">
            <w:pPr>
              <w:pStyle w:val="TableParagraph"/>
              <w:ind w:right="47"/>
              <w:jc w:val="center"/>
              <w:rPr>
                <w:sz w:val="21"/>
              </w:rPr>
            </w:pPr>
            <w:r>
              <w:rPr>
                <w:sz w:val="21"/>
              </w:rPr>
              <w:t xml:space="preserve"> </w:t>
            </w:r>
          </w:p>
        </w:tc>
        <w:tc>
          <w:tcPr>
            <w:tcW w:w="377" w:type="dxa"/>
          </w:tcPr>
          <w:p w14:paraId="4708AEFD" w14:textId="77777777" w:rsidR="00A71EEF" w:rsidRDefault="00A71EEF">
            <w:pPr>
              <w:pStyle w:val="TableParagraph"/>
              <w:spacing w:before="8"/>
              <w:rPr>
                <w:sz w:val="14"/>
              </w:rPr>
            </w:pPr>
          </w:p>
          <w:p w14:paraId="332DF149" w14:textId="77777777" w:rsidR="00A71EEF" w:rsidRDefault="0081115D">
            <w:pPr>
              <w:pStyle w:val="TableParagraph"/>
              <w:ind w:left="106"/>
              <w:rPr>
                <w:sz w:val="21"/>
              </w:rPr>
            </w:pPr>
            <w:r>
              <w:rPr>
                <w:sz w:val="21"/>
              </w:rPr>
              <w:t xml:space="preserve"> </w:t>
            </w:r>
          </w:p>
        </w:tc>
        <w:tc>
          <w:tcPr>
            <w:tcW w:w="377" w:type="dxa"/>
          </w:tcPr>
          <w:p w14:paraId="048E3B0A" w14:textId="77777777" w:rsidR="00A71EEF" w:rsidRDefault="00A71EEF">
            <w:pPr>
              <w:pStyle w:val="TableParagraph"/>
              <w:spacing w:before="8"/>
              <w:rPr>
                <w:sz w:val="14"/>
              </w:rPr>
            </w:pPr>
          </w:p>
          <w:p w14:paraId="5F7BA6FA" w14:textId="77777777" w:rsidR="00A71EEF" w:rsidRDefault="0081115D">
            <w:pPr>
              <w:pStyle w:val="TableParagraph"/>
              <w:ind w:left="104"/>
              <w:rPr>
                <w:sz w:val="21"/>
              </w:rPr>
            </w:pPr>
            <w:r>
              <w:rPr>
                <w:sz w:val="21"/>
              </w:rPr>
              <w:t xml:space="preserve"> </w:t>
            </w:r>
          </w:p>
        </w:tc>
        <w:tc>
          <w:tcPr>
            <w:tcW w:w="375" w:type="dxa"/>
          </w:tcPr>
          <w:p w14:paraId="25C1B571" w14:textId="77777777" w:rsidR="00A71EEF" w:rsidRDefault="00A71EEF">
            <w:pPr>
              <w:pStyle w:val="TableParagraph"/>
              <w:spacing w:before="8"/>
              <w:rPr>
                <w:sz w:val="14"/>
              </w:rPr>
            </w:pPr>
          </w:p>
          <w:p w14:paraId="135A63C1" w14:textId="77777777" w:rsidR="00A71EEF" w:rsidRDefault="0081115D">
            <w:pPr>
              <w:pStyle w:val="TableParagraph"/>
              <w:ind w:right="49"/>
              <w:jc w:val="center"/>
              <w:rPr>
                <w:sz w:val="21"/>
              </w:rPr>
            </w:pPr>
            <w:r>
              <w:rPr>
                <w:sz w:val="21"/>
              </w:rPr>
              <w:t xml:space="preserve"> </w:t>
            </w:r>
          </w:p>
        </w:tc>
        <w:tc>
          <w:tcPr>
            <w:tcW w:w="447" w:type="dxa"/>
          </w:tcPr>
          <w:p w14:paraId="0DB1A355" w14:textId="77777777" w:rsidR="00A71EEF" w:rsidRDefault="00A71EEF">
            <w:pPr>
              <w:pStyle w:val="TableParagraph"/>
              <w:spacing w:before="8"/>
              <w:rPr>
                <w:sz w:val="14"/>
              </w:rPr>
            </w:pPr>
          </w:p>
          <w:p w14:paraId="72D39A8A" w14:textId="77777777" w:rsidR="00A71EEF" w:rsidRDefault="0081115D">
            <w:pPr>
              <w:pStyle w:val="TableParagraph"/>
              <w:ind w:left="105"/>
              <w:rPr>
                <w:sz w:val="21"/>
              </w:rPr>
            </w:pPr>
            <w:r>
              <w:rPr>
                <w:sz w:val="21"/>
              </w:rPr>
              <w:t xml:space="preserve"> </w:t>
            </w:r>
          </w:p>
        </w:tc>
        <w:tc>
          <w:tcPr>
            <w:tcW w:w="483" w:type="dxa"/>
          </w:tcPr>
          <w:p w14:paraId="3ADC95D9" w14:textId="77777777" w:rsidR="00A71EEF" w:rsidRDefault="00A71EEF">
            <w:pPr>
              <w:pStyle w:val="TableParagraph"/>
              <w:spacing w:before="8"/>
              <w:rPr>
                <w:sz w:val="14"/>
              </w:rPr>
            </w:pPr>
          </w:p>
          <w:p w14:paraId="3B6D6718" w14:textId="77777777" w:rsidR="00A71EEF" w:rsidRDefault="0081115D">
            <w:pPr>
              <w:pStyle w:val="TableParagraph"/>
              <w:ind w:left="102"/>
              <w:rPr>
                <w:sz w:val="21"/>
              </w:rPr>
            </w:pPr>
            <w:r>
              <w:rPr>
                <w:sz w:val="21"/>
              </w:rPr>
              <w:t xml:space="preserve"> </w:t>
            </w:r>
          </w:p>
        </w:tc>
        <w:tc>
          <w:tcPr>
            <w:tcW w:w="483" w:type="dxa"/>
          </w:tcPr>
          <w:p w14:paraId="6F18E593" w14:textId="77777777" w:rsidR="00A71EEF" w:rsidRDefault="00A71EEF">
            <w:pPr>
              <w:pStyle w:val="TableParagraph"/>
              <w:spacing w:before="8"/>
              <w:rPr>
                <w:sz w:val="14"/>
              </w:rPr>
            </w:pPr>
          </w:p>
          <w:p w14:paraId="292C1AC9" w14:textId="77777777" w:rsidR="00A71EEF" w:rsidRDefault="0081115D">
            <w:pPr>
              <w:pStyle w:val="TableParagraph"/>
              <w:ind w:left="102"/>
              <w:rPr>
                <w:sz w:val="21"/>
              </w:rPr>
            </w:pPr>
            <w:r>
              <w:rPr>
                <w:sz w:val="21"/>
              </w:rPr>
              <w:t xml:space="preserve"> </w:t>
            </w:r>
          </w:p>
        </w:tc>
        <w:tc>
          <w:tcPr>
            <w:tcW w:w="481" w:type="dxa"/>
          </w:tcPr>
          <w:p w14:paraId="1C0C5788" w14:textId="77777777" w:rsidR="00A71EEF" w:rsidRDefault="00A71EEF">
            <w:pPr>
              <w:pStyle w:val="TableParagraph"/>
              <w:spacing w:before="8"/>
              <w:rPr>
                <w:sz w:val="14"/>
              </w:rPr>
            </w:pPr>
          </w:p>
          <w:p w14:paraId="2086ACF6" w14:textId="77777777" w:rsidR="00A71EEF" w:rsidRDefault="0081115D">
            <w:pPr>
              <w:pStyle w:val="TableParagraph"/>
              <w:ind w:left="102"/>
              <w:rPr>
                <w:sz w:val="21"/>
              </w:rPr>
            </w:pPr>
            <w:r>
              <w:rPr>
                <w:sz w:val="21"/>
              </w:rPr>
              <w:t xml:space="preserve"> </w:t>
            </w:r>
          </w:p>
        </w:tc>
        <w:tc>
          <w:tcPr>
            <w:tcW w:w="483" w:type="dxa"/>
          </w:tcPr>
          <w:p w14:paraId="69A627D1" w14:textId="77777777" w:rsidR="00A71EEF" w:rsidRDefault="00A71EEF">
            <w:pPr>
              <w:pStyle w:val="TableParagraph"/>
              <w:spacing w:before="8"/>
              <w:rPr>
                <w:sz w:val="14"/>
              </w:rPr>
            </w:pPr>
          </w:p>
          <w:p w14:paraId="26525D96" w14:textId="77777777" w:rsidR="00A71EEF" w:rsidRDefault="0081115D">
            <w:pPr>
              <w:pStyle w:val="TableParagraph"/>
              <w:ind w:left="101"/>
              <w:rPr>
                <w:sz w:val="21"/>
              </w:rPr>
            </w:pPr>
            <w:r>
              <w:rPr>
                <w:sz w:val="21"/>
              </w:rPr>
              <w:t xml:space="preserve"> </w:t>
            </w:r>
          </w:p>
        </w:tc>
        <w:tc>
          <w:tcPr>
            <w:tcW w:w="377" w:type="dxa"/>
          </w:tcPr>
          <w:p w14:paraId="40DD031B" w14:textId="77777777" w:rsidR="00A71EEF" w:rsidRDefault="00A71EEF">
            <w:pPr>
              <w:pStyle w:val="TableParagraph"/>
              <w:spacing w:before="8"/>
              <w:rPr>
                <w:sz w:val="14"/>
              </w:rPr>
            </w:pPr>
          </w:p>
          <w:p w14:paraId="79CD04D0" w14:textId="77777777" w:rsidR="00A71EEF" w:rsidRDefault="0081115D">
            <w:pPr>
              <w:pStyle w:val="TableParagraph"/>
              <w:ind w:left="100"/>
              <w:rPr>
                <w:sz w:val="21"/>
              </w:rPr>
            </w:pPr>
            <w:r>
              <w:rPr>
                <w:sz w:val="21"/>
              </w:rPr>
              <w:t xml:space="preserve"> </w:t>
            </w:r>
          </w:p>
        </w:tc>
        <w:tc>
          <w:tcPr>
            <w:tcW w:w="377" w:type="dxa"/>
          </w:tcPr>
          <w:p w14:paraId="493E8FE1" w14:textId="77777777" w:rsidR="00A71EEF" w:rsidRDefault="00A71EEF">
            <w:pPr>
              <w:pStyle w:val="TableParagraph"/>
              <w:spacing w:before="8"/>
              <w:rPr>
                <w:sz w:val="14"/>
              </w:rPr>
            </w:pPr>
          </w:p>
          <w:p w14:paraId="00228F5F" w14:textId="77777777" w:rsidR="00A71EEF" w:rsidRDefault="0081115D">
            <w:pPr>
              <w:pStyle w:val="TableParagraph"/>
              <w:ind w:right="58"/>
              <w:jc w:val="center"/>
              <w:rPr>
                <w:sz w:val="21"/>
              </w:rPr>
            </w:pPr>
            <w:r>
              <w:rPr>
                <w:sz w:val="21"/>
              </w:rPr>
              <w:t xml:space="preserve"> </w:t>
            </w:r>
          </w:p>
        </w:tc>
        <w:tc>
          <w:tcPr>
            <w:tcW w:w="390" w:type="dxa"/>
          </w:tcPr>
          <w:p w14:paraId="48E2E0D0" w14:textId="77777777" w:rsidR="00A71EEF" w:rsidRDefault="00A71EEF">
            <w:pPr>
              <w:pStyle w:val="TableParagraph"/>
              <w:spacing w:before="8"/>
              <w:rPr>
                <w:sz w:val="14"/>
              </w:rPr>
            </w:pPr>
          </w:p>
          <w:p w14:paraId="42D77956" w14:textId="77777777" w:rsidR="00A71EEF" w:rsidRDefault="0081115D">
            <w:pPr>
              <w:pStyle w:val="TableParagraph"/>
              <w:ind w:right="70"/>
              <w:jc w:val="center"/>
              <w:rPr>
                <w:sz w:val="21"/>
              </w:rPr>
            </w:pPr>
            <w:r>
              <w:rPr>
                <w:sz w:val="21"/>
              </w:rPr>
              <w:t xml:space="preserve"> </w:t>
            </w:r>
          </w:p>
        </w:tc>
        <w:tc>
          <w:tcPr>
            <w:tcW w:w="377" w:type="dxa"/>
          </w:tcPr>
          <w:p w14:paraId="5F569E13" w14:textId="77777777" w:rsidR="00A71EEF" w:rsidRDefault="00A71EEF">
            <w:pPr>
              <w:pStyle w:val="TableParagraph"/>
              <w:spacing w:before="8"/>
              <w:rPr>
                <w:sz w:val="14"/>
              </w:rPr>
            </w:pPr>
          </w:p>
          <w:p w14:paraId="18FB23D5" w14:textId="77777777" w:rsidR="00A71EEF" w:rsidRDefault="0081115D">
            <w:pPr>
              <w:pStyle w:val="TableParagraph"/>
              <w:ind w:left="101"/>
              <w:rPr>
                <w:sz w:val="21"/>
              </w:rPr>
            </w:pPr>
            <w:r>
              <w:rPr>
                <w:sz w:val="21"/>
              </w:rPr>
              <w:t xml:space="preserve"> </w:t>
            </w:r>
          </w:p>
        </w:tc>
        <w:tc>
          <w:tcPr>
            <w:tcW w:w="605" w:type="dxa"/>
          </w:tcPr>
          <w:p w14:paraId="759A6F8D" w14:textId="77777777" w:rsidR="00A71EEF" w:rsidRDefault="00A71EEF">
            <w:pPr>
              <w:pStyle w:val="TableParagraph"/>
              <w:spacing w:before="8"/>
              <w:rPr>
                <w:sz w:val="14"/>
              </w:rPr>
            </w:pPr>
          </w:p>
          <w:p w14:paraId="40B677DF" w14:textId="77777777" w:rsidR="00A71EEF" w:rsidRDefault="0081115D">
            <w:pPr>
              <w:pStyle w:val="TableParagraph"/>
              <w:ind w:left="99"/>
              <w:rPr>
                <w:sz w:val="21"/>
              </w:rPr>
            </w:pPr>
            <w:r>
              <w:rPr>
                <w:sz w:val="21"/>
              </w:rPr>
              <w:t xml:space="preserve"> </w:t>
            </w:r>
          </w:p>
        </w:tc>
        <w:tc>
          <w:tcPr>
            <w:tcW w:w="425" w:type="dxa"/>
          </w:tcPr>
          <w:p w14:paraId="33218566" w14:textId="77777777" w:rsidR="00A71EEF" w:rsidRDefault="00A71EEF">
            <w:pPr>
              <w:pStyle w:val="TableParagraph"/>
              <w:spacing w:before="8"/>
              <w:rPr>
                <w:sz w:val="14"/>
              </w:rPr>
            </w:pPr>
          </w:p>
          <w:p w14:paraId="2807564C" w14:textId="77777777" w:rsidR="00A71EEF" w:rsidRDefault="0081115D">
            <w:pPr>
              <w:pStyle w:val="TableParagraph"/>
              <w:ind w:left="99"/>
              <w:rPr>
                <w:sz w:val="21"/>
              </w:rPr>
            </w:pPr>
            <w:r>
              <w:rPr>
                <w:sz w:val="21"/>
              </w:rPr>
              <w:t xml:space="preserve"> </w:t>
            </w:r>
          </w:p>
        </w:tc>
      </w:tr>
      <w:tr w:rsidR="00A71EEF" w14:paraId="2F214944" w14:textId="77777777">
        <w:trPr>
          <w:trHeight w:val="501"/>
        </w:trPr>
        <w:tc>
          <w:tcPr>
            <w:tcW w:w="377" w:type="dxa"/>
          </w:tcPr>
          <w:p w14:paraId="0E7439DE" w14:textId="77777777" w:rsidR="00A71EEF" w:rsidRDefault="00A71EEF">
            <w:pPr>
              <w:pStyle w:val="TableParagraph"/>
              <w:spacing w:before="8"/>
              <w:rPr>
                <w:sz w:val="14"/>
              </w:rPr>
            </w:pPr>
          </w:p>
          <w:p w14:paraId="1BDCA6FC" w14:textId="77777777" w:rsidR="00A71EEF" w:rsidRDefault="0081115D">
            <w:pPr>
              <w:pStyle w:val="TableParagraph"/>
              <w:ind w:left="140" w:right="81"/>
              <w:jc w:val="center"/>
              <w:rPr>
                <w:sz w:val="21"/>
              </w:rPr>
            </w:pPr>
            <w:r>
              <w:rPr>
                <w:sz w:val="21"/>
              </w:rPr>
              <w:t xml:space="preserve">7 </w:t>
            </w:r>
          </w:p>
        </w:tc>
        <w:tc>
          <w:tcPr>
            <w:tcW w:w="471" w:type="dxa"/>
          </w:tcPr>
          <w:p w14:paraId="7AFEC0E6" w14:textId="77777777" w:rsidR="00A71EEF" w:rsidRDefault="00A71EEF">
            <w:pPr>
              <w:pStyle w:val="TableParagraph"/>
              <w:spacing w:before="8"/>
              <w:rPr>
                <w:sz w:val="14"/>
              </w:rPr>
            </w:pPr>
          </w:p>
          <w:p w14:paraId="1A3B2FF8" w14:textId="77777777" w:rsidR="00A71EEF" w:rsidRDefault="0081115D">
            <w:pPr>
              <w:pStyle w:val="TableParagraph"/>
              <w:ind w:left="107"/>
              <w:rPr>
                <w:sz w:val="21"/>
              </w:rPr>
            </w:pPr>
            <w:r>
              <w:rPr>
                <w:sz w:val="21"/>
              </w:rPr>
              <w:t xml:space="preserve"> </w:t>
            </w:r>
          </w:p>
        </w:tc>
        <w:tc>
          <w:tcPr>
            <w:tcW w:w="346" w:type="dxa"/>
          </w:tcPr>
          <w:p w14:paraId="6BABECAC" w14:textId="77777777" w:rsidR="00A71EEF" w:rsidRDefault="00A71EEF">
            <w:pPr>
              <w:pStyle w:val="TableParagraph"/>
              <w:spacing w:before="8"/>
              <w:rPr>
                <w:sz w:val="14"/>
              </w:rPr>
            </w:pPr>
          </w:p>
          <w:p w14:paraId="3DA36970" w14:textId="77777777" w:rsidR="00A71EEF" w:rsidRDefault="0081115D">
            <w:pPr>
              <w:pStyle w:val="TableParagraph"/>
              <w:ind w:left="106"/>
              <w:rPr>
                <w:sz w:val="21"/>
              </w:rPr>
            </w:pPr>
            <w:r>
              <w:rPr>
                <w:sz w:val="21"/>
              </w:rPr>
              <w:t xml:space="preserve"> </w:t>
            </w:r>
          </w:p>
        </w:tc>
        <w:tc>
          <w:tcPr>
            <w:tcW w:w="435" w:type="dxa"/>
          </w:tcPr>
          <w:p w14:paraId="4110B758" w14:textId="77777777" w:rsidR="00A71EEF" w:rsidRDefault="00A71EEF">
            <w:pPr>
              <w:pStyle w:val="TableParagraph"/>
              <w:spacing w:before="8"/>
              <w:rPr>
                <w:sz w:val="14"/>
              </w:rPr>
            </w:pPr>
          </w:p>
          <w:p w14:paraId="395673A6" w14:textId="77777777" w:rsidR="00A71EEF" w:rsidRDefault="0081115D">
            <w:pPr>
              <w:pStyle w:val="TableParagraph"/>
              <w:ind w:left="106"/>
              <w:rPr>
                <w:sz w:val="21"/>
              </w:rPr>
            </w:pPr>
            <w:r>
              <w:rPr>
                <w:sz w:val="21"/>
              </w:rPr>
              <w:t xml:space="preserve"> </w:t>
            </w:r>
          </w:p>
        </w:tc>
        <w:tc>
          <w:tcPr>
            <w:tcW w:w="437" w:type="dxa"/>
          </w:tcPr>
          <w:p w14:paraId="449F887D" w14:textId="77777777" w:rsidR="00A71EEF" w:rsidRDefault="00A71EEF">
            <w:pPr>
              <w:pStyle w:val="TableParagraph"/>
              <w:spacing w:before="8"/>
              <w:rPr>
                <w:sz w:val="14"/>
              </w:rPr>
            </w:pPr>
          </w:p>
          <w:p w14:paraId="3743ED71" w14:textId="77777777" w:rsidR="00A71EEF" w:rsidRDefault="0081115D">
            <w:pPr>
              <w:pStyle w:val="TableParagraph"/>
              <w:ind w:left="108"/>
              <w:rPr>
                <w:sz w:val="21"/>
              </w:rPr>
            </w:pPr>
            <w:r>
              <w:rPr>
                <w:sz w:val="21"/>
              </w:rPr>
              <w:t xml:space="preserve"> </w:t>
            </w:r>
          </w:p>
        </w:tc>
        <w:tc>
          <w:tcPr>
            <w:tcW w:w="438" w:type="dxa"/>
          </w:tcPr>
          <w:p w14:paraId="43F8CD36" w14:textId="77777777" w:rsidR="00A71EEF" w:rsidRDefault="00A71EEF">
            <w:pPr>
              <w:pStyle w:val="TableParagraph"/>
              <w:spacing w:before="8"/>
              <w:rPr>
                <w:sz w:val="14"/>
              </w:rPr>
            </w:pPr>
          </w:p>
          <w:p w14:paraId="3AE55D32" w14:textId="77777777" w:rsidR="00A71EEF" w:rsidRDefault="0081115D">
            <w:pPr>
              <w:pStyle w:val="TableParagraph"/>
              <w:ind w:left="106"/>
              <w:rPr>
                <w:sz w:val="21"/>
              </w:rPr>
            </w:pPr>
            <w:r>
              <w:rPr>
                <w:sz w:val="21"/>
              </w:rPr>
              <w:t xml:space="preserve"> </w:t>
            </w:r>
          </w:p>
        </w:tc>
        <w:tc>
          <w:tcPr>
            <w:tcW w:w="375" w:type="dxa"/>
          </w:tcPr>
          <w:p w14:paraId="0C351312" w14:textId="77777777" w:rsidR="00A71EEF" w:rsidRDefault="00A71EEF">
            <w:pPr>
              <w:pStyle w:val="TableParagraph"/>
              <w:spacing w:before="8"/>
              <w:rPr>
                <w:sz w:val="14"/>
              </w:rPr>
            </w:pPr>
          </w:p>
          <w:p w14:paraId="6B294D16" w14:textId="77777777" w:rsidR="00A71EEF" w:rsidRDefault="0081115D">
            <w:pPr>
              <w:pStyle w:val="TableParagraph"/>
              <w:ind w:right="47"/>
              <w:jc w:val="center"/>
              <w:rPr>
                <w:sz w:val="21"/>
              </w:rPr>
            </w:pPr>
            <w:r>
              <w:rPr>
                <w:sz w:val="21"/>
              </w:rPr>
              <w:t xml:space="preserve"> </w:t>
            </w:r>
          </w:p>
        </w:tc>
        <w:tc>
          <w:tcPr>
            <w:tcW w:w="377" w:type="dxa"/>
          </w:tcPr>
          <w:p w14:paraId="2A7F43FF" w14:textId="77777777" w:rsidR="00A71EEF" w:rsidRDefault="00A71EEF">
            <w:pPr>
              <w:pStyle w:val="TableParagraph"/>
              <w:spacing w:before="8"/>
              <w:rPr>
                <w:sz w:val="14"/>
              </w:rPr>
            </w:pPr>
          </w:p>
          <w:p w14:paraId="6F6062FA" w14:textId="77777777" w:rsidR="00A71EEF" w:rsidRDefault="0081115D">
            <w:pPr>
              <w:pStyle w:val="TableParagraph"/>
              <w:ind w:left="106"/>
              <w:rPr>
                <w:sz w:val="21"/>
              </w:rPr>
            </w:pPr>
            <w:r>
              <w:rPr>
                <w:sz w:val="21"/>
              </w:rPr>
              <w:t xml:space="preserve"> </w:t>
            </w:r>
          </w:p>
        </w:tc>
        <w:tc>
          <w:tcPr>
            <w:tcW w:w="377" w:type="dxa"/>
          </w:tcPr>
          <w:p w14:paraId="5FC20CC0" w14:textId="77777777" w:rsidR="00A71EEF" w:rsidRDefault="00A71EEF">
            <w:pPr>
              <w:pStyle w:val="TableParagraph"/>
              <w:spacing w:before="8"/>
              <w:rPr>
                <w:sz w:val="14"/>
              </w:rPr>
            </w:pPr>
          </w:p>
          <w:p w14:paraId="32700C60" w14:textId="77777777" w:rsidR="00A71EEF" w:rsidRDefault="0081115D">
            <w:pPr>
              <w:pStyle w:val="TableParagraph"/>
              <w:ind w:left="104"/>
              <w:rPr>
                <w:sz w:val="21"/>
              </w:rPr>
            </w:pPr>
            <w:r>
              <w:rPr>
                <w:sz w:val="21"/>
              </w:rPr>
              <w:t xml:space="preserve"> </w:t>
            </w:r>
          </w:p>
        </w:tc>
        <w:tc>
          <w:tcPr>
            <w:tcW w:w="375" w:type="dxa"/>
          </w:tcPr>
          <w:p w14:paraId="0F978490" w14:textId="77777777" w:rsidR="00A71EEF" w:rsidRDefault="00A71EEF">
            <w:pPr>
              <w:pStyle w:val="TableParagraph"/>
              <w:spacing w:before="8"/>
              <w:rPr>
                <w:sz w:val="14"/>
              </w:rPr>
            </w:pPr>
          </w:p>
          <w:p w14:paraId="42C538F1" w14:textId="77777777" w:rsidR="00A71EEF" w:rsidRDefault="0081115D">
            <w:pPr>
              <w:pStyle w:val="TableParagraph"/>
              <w:ind w:right="49"/>
              <w:jc w:val="center"/>
              <w:rPr>
                <w:sz w:val="21"/>
              </w:rPr>
            </w:pPr>
            <w:r>
              <w:rPr>
                <w:sz w:val="21"/>
              </w:rPr>
              <w:t xml:space="preserve"> </w:t>
            </w:r>
          </w:p>
        </w:tc>
        <w:tc>
          <w:tcPr>
            <w:tcW w:w="447" w:type="dxa"/>
          </w:tcPr>
          <w:p w14:paraId="23264AF9" w14:textId="77777777" w:rsidR="00A71EEF" w:rsidRDefault="00A71EEF">
            <w:pPr>
              <w:pStyle w:val="TableParagraph"/>
              <w:spacing w:before="8"/>
              <w:rPr>
                <w:sz w:val="14"/>
              </w:rPr>
            </w:pPr>
          </w:p>
          <w:p w14:paraId="0F16E8A2" w14:textId="77777777" w:rsidR="00A71EEF" w:rsidRDefault="0081115D">
            <w:pPr>
              <w:pStyle w:val="TableParagraph"/>
              <w:ind w:left="105"/>
              <w:rPr>
                <w:sz w:val="21"/>
              </w:rPr>
            </w:pPr>
            <w:r>
              <w:rPr>
                <w:sz w:val="21"/>
              </w:rPr>
              <w:t xml:space="preserve"> </w:t>
            </w:r>
          </w:p>
        </w:tc>
        <w:tc>
          <w:tcPr>
            <w:tcW w:w="483" w:type="dxa"/>
          </w:tcPr>
          <w:p w14:paraId="7CE74ED6" w14:textId="77777777" w:rsidR="00A71EEF" w:rsidRDefault="00A71EEF">
            <w:pPr>
              <w:pStyle w:val="TableParagraph"/>
              <w:spacing w:before="8"/>
              <w:rPr>
                <w:sz w:val="14"/>
              </w:rPr>
            </w:pPr>
          </w:p>
          <w:p w14:paraId="50C86C97" w14:textId="77777777" w:rsidR="00A71EEF" w:rsidRDefault="0081115D">
            <w:pPr>
              <w:pStyle w:val="TableParagraph"/>
              <w:ind w:left="102"/>
              <w:rPr>
                <w:sz w:val="21"/>
              </w:rPr>
            </w:pPr>
            <w:r>
              <w:rPr>
                <w:sz w:val="21"/>
              </w:rPr>
              <w:t xml:space="preserve"> </w:t>
            </w:r>
          </w:p>
        </w:tc>
        <w:tc>
          <w:tcPr>
            <w:tcW w:w="483" w:type="dxa"/>
          </w:tcPr>
          <w:p w14:paraId="33FAB8A5" w14:textId="77777777" w:rsidR="00A71EEF" w:rsidRDefault="00A71EEF">
            <w:pPr>
              <w:pStyle w:val="TableParagraph"/>
              <w:spacing w:before="8"/>
              <w:rPr>
                <w:sz w:val="14"/>
              </w:rPr>
            </w:pPr>
          </w:p>
          <w:p w14:paraId="348A58F9" w14:textId="77777777" w:rsidR="00A71EEF" w:rsidRDefault="0081115D">
            <w:pPr>
              <w:pStyle w:val="TableParagraph"/>
              <w:ind w:left="102"/>
              <w:rPr>
                <w:sz w:val="21"/>
              </w:rPr>
            </w:pPr>
            <w:r>
              <w:rPr>
                <w:sz w:val="21"/>
              </w:rPr>
              <w:t xml:space="preserve"> </w:t>
            </w:r>
          </w:p>
        </w:tc>
        <w:tc>
          <w:tcPr>
            <w:tcW w:w="481" w:type="dxa"/>
          </w:tcPr>
          <w:p w14:paraId="3A8429CA" w14:textId="77777777" w:rsidR="00A71EEF" w:rsidRDefault="00A71EEF">
            <w:pPr>
              <w:pStyle w:val="TableParagraph"/>
              <w:spacing w:before="8"/>
              <w:rPr>
                <w:sz w:val="14"/>
              </w:rPr>
            </w:pPr>
          </w:p>
          <w:p w14:paraId="7B440258" w14:textId="77777777" w:rsidR="00A71EEF" w:rsidRDefault="0081115D">
            <w:pPr>
              <w:pStyle w:val="TableParagraph"/>
              <w:ind w:left="102"/>
              <w:rPr>
                <w:sz w:val="21"/>
              </w:rPr>
            </w:pPr>
            <w:r>
              <w:rPr>
                <w:sz w:val="21"/>
              </w:rPr>
              <w:t xml:space="preserve"> </w:t>
            </w:r>
          </w:p>
        </w:tc>
        <w:tc>
          <w:tcPr>
            <w:tcW w:w="483" w:type="dxa"/>
          </w:tcPr>
          <w:p w14:paraId="7B1AF39C" w14:textId="77777777" w:rsidR="00A71EEF" w:rsidRDefault="00A71EEF">
            <w:pPr>
              <w:pStyle w:val="TableParagraph"/>
              <w:spacing w:before="8"/>
              <w:rPr>
                <w:sz w:val="14"/>
              </w:rPr>
            </w:pPr>
          </w:p>
          <w:p w14:paraId="54009B6F" w14:textId="77777777" w:rsidR="00A71EEF" w:rsidRDefault="0081115D">
            <w:pPr>
              <w:pStyle w:val="TableParagraph"/>
              <w:ind w:left="101"/>
              <w:rPr>
                <w:sz w:val="21"/>
              </w:rPr>
            </w:pPr>
            <w:r>
              <w:rPr>
                <w:sz w:val="21"/>
              </w:rPr>
              <w:t xml:space="preserve"> </w:t>
            </w:r>
          </w:p>
        </w:tc>
        <w:tc>
          <w:tcPr>
            <w:tcW w:w="377" w:type="dxa"/>
          </w:tcPr>
          <w:p w14:paraId="3657E397" w14:textId="77777777" w:rsidR="00A71EEF" w:rsidRDefault="00A71EEF">
            <w:pPr>
              <w:pStyle w:val="TableParagraph"/>
              <w:spacing w:before="8"/>
              <w:rPr>
                <w:sz w:val="14"/>
              </w:rPr>
            </w:pPr>
          </w:p>
          <w:p w14:paraId="64C2F1C4" w14:textId="77777777" w:rsidR="00A71EEF" w:rsidRDefault="0081115D">
            <w:pPr>
              <w:pStyle w:val="TableParagraph"/>
              <w:ind w:left="100"/>
              <w:rPr>
                <w:sz w:val="21"/>
              </w:rPr>
            </w:pPr>
            <w:r>
              <w:rPr>
                <w:sz w:val="21"/>
              </w:rPr>
              <w:t xml:space="preserve"> </w:t>
            </w:r>
          </w:p>
        </w:tc>
        <w:tc>
          <w:tcPr>
            <w:tcW w:w="377" w:type="dxa"/>
          </w:tcPr>
          <w:p w14:paraId="25C1EB35" w14:textId="77777777" w:rsidR="00A71EEF" w:rsidRDefault="00A71EEF">
            <w:pPr>
              <w:pStyle w:val="TableParagraph"/>
              <w:spacing w:before="8"/>
              <w:rPr>
                <w:sz w:val="14"/>
              </w:rPr>
            </w:pPr>
          </w:p>
          <w:p w14:paraId="1B692586" w14:textId="77777777" w:rsidR="00A71EEF" w:rsidRDefault="0081115D">
            <w:pPr>
              <w:pStyle w:val="TableParagraph"/>
              <w:ind w:right="58"/>
              <w:jc w:val="center"/>
              <w:rPr>
                <w:sz w:val="21"/>
              </w:rPr>
            </w:pPr>
            <w:r>
              <w:rPr>
                <w:sz w:val="21"/>
              </w:rPr>
              <w:t xml:space="preserve"> </w:t>
            </w:r>
          </w:p>
        </w:tc>
        <w:tc>
          <w:tcPr>
            <w:tcW w:w="390" w:type="dxa"/>
          </w:tcPr>
          <w:p w14:paraId="2BD15448" w14:textId="77777777" w:rsidR="00A71EEF" w:rsidRDefault="00A71EEF">
            <w:pPr>
              <w:pStyle w:val="TableParagraph"/>
              <w:spacing w:before="8"/>
              <w:rPr>
                <w:sz w:val="14"/>
              </w:rPr>
            </w:pPr>
          </w:p>
          <w:p w14:paraId="189B1664" w14:textId="77777777" w:rsidR="00A71EEF" w:rsidRDefault="0081115D">
            <w:pPr>
              <w:pStyle w:val="TableParagraph"/>
              <w:ind w:right="70"/>
              <w:jc w:val="center"/>
              <w:rPr>
                <w:sz w:val="21"/>
              </w:rPr>
            </w:pPr>
            <w:r>
              <w:rPr>
                <w:sz w:val="21"/>
              </w:rPr>
              <w:t xml:space="preserve"> </w:t>
            </w:r>
          </w:p>
        </w:tc>
        <w:tc>
          <w:tcPr>
            <w:tcW w:w="377" w:type="dxa"/>
          </w:tcPr>
          <w:p w14:paraId="10B6B1B4" w14:textId="77777777" w:rsidR="00A71EEF" w:rsidRDefault="00A71EEF">
            <w:pPr>
              <w:pStyle w:val="TableParagraph"/>
              <w:spacing w:before="8"/>
              <w:rPr>
                <w:sz w:val="14"/>
              </w:rPr>
            </w:pPr>
          </w:p>
          <w:p w14:paraId="4BCC02C8" w14:textId="77777777" w:rsidR="00A71EEF" w:rsidRDefault="0081115D">
            <w:pPr>
              <w:pStyle w:val="TableParagraph"/>
              <w:ind w:left="101"/>
              <w:rPr>
                <w:sz w:val="21"/>
              </w:rPr>
            </w:pPr>
            <w:r>
              <w:rPr>
                <w:sz w:val="21"/>
              </w:rPr>
              <w:t xml:space="preserve"> </w:t>
            </w:r>
          </w:p>
        </w:tc>
        <w:tc>
          <w:tcPr>
            <w:tcW w:w="605" w:type="dxa"/>
          </w:tcPr>
          <w:p w14:paraId="6C939BEE" w14:textId="77777777" w:rsidR="00A71EEF" w:rsidRDefault="00A71EEF">
            <w:pPr>
              <w:pStyle w:val="TableParagraph"/>
              <w:spacing w:before="8"/>
              <w:rPr>
                <w:sz w:val="14"/>
              </w:rPr>
            </w:pPr>
          </w:p>
          <w:p w14:paraId="75D1DB2A" w14:textId="77777777" w:rsidR="00A71EEF" w:rsidRDefault="0081115D">
            <w:pPr>
              <w:pStyle w:val="TableParagraph"/>
              <w:ind w:left="99"/>
              <w:rPr>
                <w:sz w:val="21"/>
              </w:rPr>
            </w:pPr>
            <w:r>
              <w:rPr>
                <w:sz w:val="21"/>
              </w:rPr>
              <w:t xml:space="preserve"> </w:t>
            </w:r>
          </w:p>
        </w:tc>
        <w:tc>
          <w:tcPr>
            <w:tcW w:w="425" w:type="dxa"/>
          </w:tcPr>
          <w:p w14:paraId="0ED1D512" w14:textId="77777777" w:rsidR="00A71EEF" w:rsidRDefault="00A71EEF">
            <w:pPr>
              <w:pStyle w:val="TableParagraph"/>
              <w:spacing w:before="8"/>
              <w:rPr>
                <w:sz w:val="14"/>
              </w:rPr>
            </w:pPr>
          </w:p>
          <w:p w14:paraId="22E7BBED" w14:textId="77777777" w:rsidR="00A71EEF" w:rsidRDefault="0081115D">
            <w:pPr>
              <w:pStyle w:val="TableParagraph"/>
              <w:ind w:left="99"/>
              <w:rPr>
                <w:sz w:val="21"/>
              </w:rPr>
            </w:pPr>
            <w:r>
              <w:rPr>
                <w:sz w:val="21"/>
              </w:rPr>
              <w:t xml:space="preserve"> </w:t>
            </w:r>
          </w:p>
        </w:tc>
      </w:tr>
      <w:tr w:rsidR="00A71EEF" w14:paraId="0512816C" w14:textId="77777777">
        <w:trPr>
          <w:trHeight w:val="499"/>
        </w:trPr>
        <w:tc>
          <w:tcPr>
            <w:tcW w:w="377" w:type="dxa"/>
          </w:tcPr>
          <w:p w14:paraId="2B048B33" w14:textId="77777777" w:rsidR="00A71EEF" w:rsidRDefault="00A71EEF">
            <w:pPr>
              <w:pStyle w:val="TableParagraph"/>
              <w:spacing w:before="8"/>
              <w:rPr>
                <w:sz w:val="14"/>
              </w:rPr>
            </w:pPr>
          </w:p>
          <w:p w14:paraId="685CE0AB" w14:textId="77777777" w:rsidR="00A71EEF" w:rsidRDefault="0081115D">
            <w:pPr>
              <w:pStyle w:val="TableParagraph"/>
              <w:ind w:left="140" w:right="81"/>
              <w:jc w:val="center"/>
              <w:rPr>
                <w:sz w:val="21"/>
              </w:rPr>
            </w:pPr>
            <w:r>
              <w:rPr>
                <w:sz w:val="21"/>
              </w:rPr>
              <w:t xml:space="preserve">8 </w:t>
            </w:r>
          </w:p>
        </w:tc>
        <w:tc>
          <w:tcPr>
            <w:tcW w:w="471" w:type="dxa"/>
          </w:tcPr>
          <w:p w14:paraId="4E23E25A" w14:textId="77777777" w:rsidR="00A71EEF" w:rsidRDefault="00A71EEF">
            <w:pPr>
              <w:pStyle w:val="TableParagraph"/>
              <w:spacing w:before="8"/>
              <w:rPr>
                <w:sz w:val="14"/>
              </w:rPr>
            </w:pPr>
          </w:p>
          <w:p w14:paraId="51AF758E" w14:textId="77777777" w:rsidR="00A71EEF" w:rsidRDefault="0081115D">
            <w:pPr>
              <w:pStyle w:val="TableParagraph"/>
              <w:ind w:left="107"/>
              <w:rPr>
                <w:sz w:val="21"/>
              </w:rPr>
            </w:pPr>
            <w:r>
              <w:rPr>
                <w:sz w:val="21"/>
              </w:rPr>
              <w:t xml:space="preserve"> </w:t>
            </w:r>
          </w:p>
        </w:tc>
        <w:tc>
          <w:tcPr>
            <w:tcW w:w="346" w:type="dxa"/>
          </w:tcPr>
          <w:p w14:paraId="533DA0C7" w14:textId="77777777" w:rsidR="00A71EEF" w:rsidRDefault="00A71EEF">
            <w:pPr>
              <w:pStyle w:val="TableParagraph"/>
              <w:spacing w:before="8"/>
              <w:rPr>
                <w:sz w:val="14"/>
              </w:rPr>
            </w:pPr>
          </w:p>
          <w:p w14:paraId="7E4DC41C" w14:textId="77777777" w:rsidR="00A71EEF" w:rsidRDefault="0081115D">
            <w:pPr>
              <w:pStyle w:val="TableParagraph"/>
              <w:ind w:left="106"/>
              <w:rPr>
                <w:sz w:val="21"/>
              </w:rPr>
            </w:pPr>
            <w:r>
              <w:rPr>
                <w:sz w:val="21"/>
              </w:rPr>
              <w:t xml:space="preserve"> </w:t>
            </w:r>
          </w:p>
        </w:tc>
        <w:tc>
          <w:tcPr>
            <w:tcW w:w="435" w:type="dxa"/>
          </w:tcPr>
          <w:p w14:paraId="086973DD" w14:textId="77777777" w:rsidR="00A71EEF" w:rsidRDefault="00A71EEF">
            <w:pPr>
              <w:pStyle w:val="TableParagraph"/>
              <w:spacing w:before="8"/>
              <w:rPr>
                <w:sz w:val="14"/>
              </w:rPr>
            </w:pPr>
          </w:p>
          <w:p w14:paraId="508EAB58" w14:textId="77777777" w:rsidR="00A71EEF" w:rsidRDefault="0081115D">
            <w:pPr>
              <w:pStyle w:val="TableParagraph"/>
              <w:ind w:left="106"/>
              <w:rPr>
                <w:sz w:val="21"/>
              </w:rPr>
            </w:pPr>
            <w:r>
              <w:rPr>
                <w:sz w:val="21"/>
              </w:rPr>
              <w:t xml:space="preserve"> </w:t>
            </w:r>
          </w:p>
        </w:tc>
        <w:tc>
          <w:tcPr>
            <w:tcW w:w="437" w:type="dxa"/>
          </w:tcPr>
          <w:p w14:paraId="0C502271" w14:textId="77777777" w:rsidR="00A71EEF" w:rsidRDefault="00A71EEF">
            <w:pPr>
              <w:pStyle w:val="TableParagraph"/>
              <w:spacing w:before="8"/>
              <w:rPr>
                <w:sz w:val="14"/>
              </w:rPr>
            </w:pPr>
          </w:p>
          <w:p w14:paraId="794609DC" w14:textId="77777777" w:rsidR="00A71EEF" w:rsidRDefault="0081115D">
            <w:pPr>
              <w:pStyle w:val="TableParagraph"/>
              <w:ind w:left="108"/>
              <w:rPr>
                <w:sz w:val="21"/>
              </w:rPr>
            </w:pPr>
            <w:r>
              <w:rPr>
                <w:sz w:val="21"/>
              </w:rPr>
              <w:t xml:space="preserve"> </w:t>
            </w:r>
          </w:p>
        </w:tc>
        <w:tc>
          <w:tcPr>
            <w:tcW w:w="438" w:type="dxa"/>
          </w:tcPr>
          <w:p w14:paraId="0EF541B3" w14:textId="77777777" w:rsidR="00A71EEF" w:rsidRDefault="00A71EEF">
            <w:pPr>
              <w:pStyle w:val="TableParagraph"/>
              <w:spacing w:before="8"/>
              <w:rPr>
                <w:sz w:val="14"/>
              </w:rPr>
            </w:pPr>
          </w:p>
          <w:p w14:paraId="71E61E68" w14:textId="77777777" w:rsidR="00A71EEF" w:rsidRDefault="0081115D">
            <w:pPr>
              <w:pStyle w:val="TableParagraph"/>
              <w:ind w:left="106"/>
              <w:rPr>
                <w:sz w:val="21"/>
              </w:rPr>
            </w:pPr>
            <w:r>
              <w:rPr>
                <w:sz w:val="21"/>
              </w:rPr>
              <w:t xml:space="preserve"> </w:t>
            </w:r>
          </w:p>
        </w:tc>
        <w:tc>
          <w:tcPr>
            <w:tcW w:w="375" w:type="dxa"/>
          </w:tcPr>
          <w:p w14:paraId="24296655" w14:textId="77777777" w:rsidR="00A71EEF" w:rsidRDefault="00A71EEF">
            <w:pPr>
              <w:pStyle w:val="TableParagraph"/>
              <w:spacing w:before="8"/>
              <w:rPr>
                <w:sz w:val="14"/>
              </w:rPr>
            </w:pPr>
          </w:p>
          <w:p w14:paraId="634789BE" w14:textId="77777777" w:rsidR="00A71EEF" w:rsidRDefault="0081115D">
            <w:pPr>
              <w:pStyle w:val="TableParagraph"/>
              <w:ind w:right="47"/>
              <w:jc w:val="center"/>
              <w:rPr>
                <w:sz w:val="21"/>
              </w:rPr>
            </w:pPr>
            <w:r>
              <w:rPr>
                <w:sz w:val="21"/>
              </w:rPr>
              <w:t xml:space="preserve"> </w:t>
            </w:r>
          </w:p>
        </w:tc>
        <w:tc>
          <w:tcPr>
            <w:tcW w:w="377" w:type="dxa"/>
          </w:tcPr>
          <w:p w14:paraId="4A7C2713" w14:textId="77777777" w:rsidR="00A71EEF" w:rsidRDefault="00A71EEF">
            <w:pPr>
              <w:pStyle w:val="TableParagraph"/>
              <w:spacing w:before="8"/>
              <w:rPr>
                <w:sz w:val="14"/>
              </w:rPr>
            </w:pPr>
          </w:p>
          <w:p w14:paraId="17F3D0B5" w14:textId="77777777" w:rsidR="00A71EEF" w:rsidRDefault="0081115D">
            <w:pPr>
              <w:pStyle w:val="TableParagraph"/>
              <w:ind w:left="106"/>
              <w:rPr>
                <w:sz w:val="21"/>
              </w:rPr>
            </w:pPr>
            <w:r>
              <w:rPr>
                <w:sz w:val="21"/>
              </w:rPr>
              <w:t xml:space="preserve"> </w:t>
            </w:r>
          </w:p>
        </w:tc>
        <w:tc>
          <w:tcPr>
            <w:tcW w:w="377" w:type="dxa"/>
          </w:tcPr>
          <w:p w14:paraId="7F9A6A32" w14:textId="77777777" w:rsidR="00A71EEF" w:rsidRDefault="00A71EEF">
            <w:pPr>
              <w:pStyle w:val="TableParagraph"/>
              <w:spacing w:before="8"/>
              <w:rPr>
                <w:sz w:val="14"/>
              </w:rPr>
            </w:pPr>
          </w:p>
          <w:p w14:paraId="61E8F414" w14:textId="77777777" w:rsidR="00A71EEF" w:rsidRDefault="0081115D">
            <w:pPr>
              <w:pStyle w:val="TableParagraph"/>
              <w:ind w:left="104"/>
              <w:rPr>
                <w:sz w:val="21"/>
              </w:rPr>
            </w:pPr>
            <w:r>
              <w:rPr>
                <w:sz w:val="21"/>
              </w:rPr>
              <w:t xml:space="preserve"> </w:t>
            </w:r>
          </w:p>
        </w:tc>
        <w:tc>
          <w:tcPr>
            <w:tcW w:w="375" w:type="dxa"/>
          </w:tcPr>
          <w:p w14:paraId="40E87D1B" w14:textId="77777777" w:rsidR="00A71EEF" w:rsidRDefault="00A71EEF">
            <w:pPr>
              <w:pStyle w:val="TableParagraph"/>
              <w:spacing w:before="8"/>
              <w:rPr>
                <w:sz w:val="14"/>
              </w:rPr>
            </w:pPr>
          </w:p>
          <w:p w14:paraId="3214467B" w14:textId="77777777" w:rsidR="00A71EEF" w:rsidRDefault="0081115D">
            <w:pPr>
              <w:pStyle w:val="TableParagraph"/>
              <w:ind w:right="49"/>
              <w:jc w:val="center"/>
              <w:rPr>
                <w:sz w:val="21"/>
              </w:rPr>
            </w:pPr>
            <w:r>
              <w:rPr>
                <w:sz w:val="21"/>
              </w:rPr>
              <w:t xml:space="preserve"> </w:t>
            </w:r>
          </w:p>
        </w:tc>
        <w:tc>
          <w:tcPr>
            <w:tcW w:w="447" w:type="dxa"/>
          </w:tcPr>
          <w:p w14:paraId="4EE0B613" w14:textId="77777777" w:rsidR="00A71EEF" w:rsidRDefault="00A71EEF">
            <w:pPr>
              <w:pStyle w:val="TableParagraph"/>
              <w:spacing w:before="8"/>
              <w:rPr>
                <w:sz w:val="14"/>
              </w:rPr>
            </w:pPr>
          </w:p>
          <w:p w14:paraId="1DB5C521" w14:textId="77777777" w:rsidR="00A71EEF" w:rsidRDefault="0081115D">
            <w:pPr>
              <w:pStyle w:val="TableParagraph"/>
              <w:ind w:left="105"/>
              <w:rPr>
                <w:sz w:val="21"/>
              </w:rPr>
            </w:pPr>
            <w:r>
              <w:rPr>
                <w:sz w:val="21"/>
              </w:rPr>
              <w:t xml:space="preserve"> </w:t>
            </w:r>
          </w:p>
        </w:tc>
        <w:tc>
          <w:tcPr>
            <w:tcW w:w="483" w:type="dxa"/>
          </w:tcPr>
          <w:p w14:paraId="61584EBD" w14:textId="77777777" w:rsidR="00A71EEF" w:rsidRDefault="00A71EEF">
            <w:pPr>
              <w:pStyle w:val="TableParagraph"/>
              <w:spacing w:before="8"/>
              <w:rPr>
                <w:sz w:val="14"/>
              </w:rPr>
            </w:pPr>
          </w:p>
          <w:p w14:paraId="13D19B01" w14:textId="77777777" w:rsidR="00A71EEF" w:rsidRDefault="0081115D">
            <w:pPr>
              <w:pStyle w:val="TableParagraph"/>
              <w:ind w:left="102"/>
              <w:rPr>
                <w:sz w:val="21"/>
              </w:rPr>
            </w:pPr>
            <w:r>
              <w:rPr>
                <w:sz w:val="21"/>
              </w:rPr>
              <w:t xml:space="preserve"> </w:t>
            </w:r>
          </w:p>
        </w:tc>
        <w:tc>
          <w:tcPr>
            <w:tcW w:w="483" w:type="dxa"/>
          </w:tcPr>
          <w:p w14:paraId="6B342FE1" w14:textId="77777777" w:rsidR="00A71EEF" w:rsidRDefault="00A71EEF">
            <w:pPr>
              <w:pStyle w:val="TableParagraph"/>
              <w:spacing w:before="8"/>
              <w:rPr>
                <w:sz w:val="14"/>
              </w:rPr>
            </w:pPr>
          </w:p>
          <w:p w14:paraId="4C1DC59F" w14:textId="77777777" w:rsidR="00A71EEF" w:rsidRDefault="0081115D">
            <w:pPr>
              <w:pStyle w:val="TableParagraph"/>
              <w:ind w:left="102"/>
              <w:rPr>
                <w:sz w:val="21"/>
              </w:rPr>
            </w:pPr>
            <w:r>
              <w:rPr>
                <w:sz w:val="21"/>
              </w:rPr>
              <w:t xml:space="preserve"> </w:t>
            </w:r>
          </w:p>
        </w:tc>
        <w:tc>
          <w:tcPr>
            <w:tcW w:w="481" w:type="dxa"/>
          </w:tcPr>
          <w:p w14:paraId="2D333A68" w14:textId="77777777" w:rsidR="00A71EEF" w:rsidRDefault="00A71EEF">
            <w:pPr>
              <w:pStyle w:val="TableParagraph"/>
              <w:spacing w:before="8"/>
              <w:rPr>
                <w:sz w:val="14"/>
              </w:rPr>
            </w:pPr>
          </w:p>
          <w:p w14:paraId="215472DD" w14:textId="77777777" w:rsidR="00A71EEF" w:rsidRDefault="0081115D">
            <w:pPr>
              <w:pStyle w:val="TableParagraph"/>
              <w:ind w:left="102"/>
              <w:rPr>
                <w:sz w:val="21"/>
              </w:rPr>
            </w:pPr>
            <w:r>
              <w:rPr>
                <w:sz w:val="21"/>
              </w:rPr>
              <w:t xml:space="preserve"> </w:t>
            </w:r>
          </w:p>
        </w:tc>
        <w:tc>
          <w:tcPr>
            <w:tcW w:w="483" w:type="dxa"/>
          </w:tcPr>
          <w:p w14:paraId="3FC73BE9" w14:textId="77777777" w:rsidR="00A71EEF" w:rsidRDefault="00A71EEF">
            <w:pPr>
              <w:pStyle w:val="TableParagraph"/>
              <w:spacing w:before="8"/>
              <w:rPr>
                <w:sz w:val="14"/>
              </w:rPr>
            </w:pPr>
          </w:p>
          <w:p w14:paraId="59523940" w14:textId="77777777" w:rsidR="00A71EEF" w:rsidRDefault="0081115D">
            <w:pPr>
              <w:pStyle w:val="TableParagraph"/>
              <w:ind w:left="101"/>
              <w:rPr>
                <w:sz w:val="21"/>
              </w:rPr>
            </w:pPr>
            <w:r>
              <w:rPr>
                <w:sz w:val="21"/>
              </w:rPr>
              <w:t xml:space="preserve"> </w:t>
            </w:r>
          </w:p>
        </w:tc>
        <w:tc>
          <w:tcPr>
            <w:tcW w:w="377" w:type="dxa"/>
          </w:tcPr>
          <w:p w14:paraId="426B43C3" w14:textId="77777777" w:rsidR="00A71EEF" w:rsidRDefault="00A71EEF">
            <w:pPr>
              <w:pStyle w:val="TableParagraph"/>
              <w:spacing w:before="8"/>
              <w:rPr>
                <w:sz w:val="14"/>
              </w:rPr>
            </w:pPr>
          </w:p>
          <w:p w14:paraId="28135ED1" w14:textId="77777777" w:rsidR="00A71EEF" w:rsidRDefault="0081115D">
            <w:pPr>
              <w:pStyle w:val="TableParagraph"/>
              <w:ind w:left="100"/>
              <w:rPr>
                <w:sz w:val="21"/>
              </w:rPr>
            </w:pPr>
            <w:r>
              <w:rPr>
                <w:sz w:val="21"/>
              </w:rPr>
              <w:t xml:space="preserve"> </w:t>
            </w:r>
          </w:p>
        </w:tc>
        <w:tc>
          <w:tcPr>
            <w:tcW w:w="377" w:type="dxa"/>
          </w:tcPr>
          <w:p w14:paraId="0A293CA3" w14:textId="77777777" w:rsidR="00A71EEF" w:rsidRDefault="00A71EEF">
            <w:pPr>
              <w:pStyle w:val="TableParagraph"/>
              <w:spacing w:before="8"/>
              <w:rPr>
                <w:sz w:val="14"/>
              </w:rPr>
            </w:pPr>
          </w:p>
          <w:p w14:paraId="6B080258" w14:textId="77777777" w:rsidR="00A71EEF" w:rsidRDefault="0081115D">
            <w:pPr>
              <w:pStyle w:val="TableParagraph"/>
              <w:ind w:right="58"/>
              <w:jc w:val="center"/>
              <w:rPr>
                <w:sz w:val="21"/>
              </w:rPr>
            </w:pPr>
            <w:r>
              <w:rPr>
                <w:sz w:val="21"/>
              </w:rPr>
              <w:t xml:space="preserve"> </w:t>
            </w:r>
          </w:p>
        </w:tc>
        <w:tc>
          <w:tcPr>
            <w:tcW w:w="390" w:type="dxa"/>
          </w:tcPr>
          <w:p w14:paraId="2D4ECE99" w14:textId="77777777" w:rsidR="00A71EEF" w:rsidRDefault="00A71EEF">
            <w:pPr>
              <w:pStyle w:val="TableParagraph"/>
              <w:spacing w:before="8"/>
              <w:rPr>
                <w:sz w:val="14"/>
              </w:rPr>
            </w:pPr>
          </w:p>
          <w:p w14:paraId="43589B53" w14:textId="77777777" w:rsidR="00A71EEF" w:rsidRDefault="0081115D">
            <w:pPr>
              <w:pStyle w:val="TableParagraph"/>
              <w:ind w:right="70"/>
              <w:jc w:val="center"/>
              <w:rPr>
                <w:sz w:val="21"/>
              </w:rPr>
            </w:pPr>
            <w:r>
              <w:rPr>
                <w:sz w:val="21"/>
              </w:rPr>
              <w:t xml:space="preserve"> </w:t>
            </w:r>
          </w:p>
        </w:tc>
        <w:tc>
          <w:tcPr>
            <w:tcW w:w="377" w:type="dxa"/>
          </w:tcPr>
          <w:p w14:paraId="394B8D87" w14:textId="77777777" w:rsidR="00A71EEF" w:rsidRDefault="00A71EEF">
            <w:pPr>
              <w:pStyle w:val="TableParagraph"/>
              <w:spacing w:before="8"/>
              <w:rPr>
                <w:sz w:val="14"/>
              </w:rPr>
            </w:pPr>
          </w:p>
          <w:p w14:paraId="22814DBC" w14:textId="77777777" w:rsidR="00A71EEF" w:rsidRDefault="0081115D">
            <w:pPr>
              <w:pStyle w:val="TableParagraph"/>
              <w:ind w:left="101"/>
              <w:rPr>
                <w:sz w:val="21"/>
              </w:rPr>
            </w:pPr>
            <w:r>
              <w:rPr>
                <w:sz w:val="21"/>
              </w:rPr>
              <w:t xml:space="preserve"> </w:t>
            </w:r>
          </w:p>
        </w:tc>
        <w:tc>
          <w:tcPr>
            <w:tcW w:w="605" w:type="dxa"/>
          </w:tcPr>
          <w:p w14:paraId="558FE908" w14:textId="77777777" w:rsidR="00A71EEF" w:rsidRDefault="00A71EEF">
            <w:pPr>
              <w:pStyle w:val="TableParagraph"/>
              <w:spacing w:before="8"/>
              <w:rPr>
                <w:sz w:val="14"/>
              </w:rPr>
            </w:pPr>
          </w:p>
          <w:p w14:paraId="0CEBB98B" w14:textId="77777777" w:rsidR="00A71EEF" w:rsidRDefault="0081115D">
            <w:pPr>
              <w:pStyle w:val="TableParagraph"/>
              <w:ind w:left="99"/>
              <w:rPr>
                <w:sz w:val="21"/>
              </w:rPr>
            </w:pPr>
            <w:r>
              <w:rPr>
                <w:sz w:val="21"/>
              </w:rPr>
              <w:t xml:space="preserve"> </w:t>
            </w:r>
          </w:p>
        </w:tc>
        <w:tc>
          <w:tcPr>
            <w:tcW w:w="425" w:type="dxa"/>
          </w:tcPr>
          <w:p w14:paraId="4A39B09C" w14:textId="77777777" w:rsidR="00A71EEF" w:rsidRDefault="00A71EEF">
            <w:pPr>
              <w:pStyle w:val="TableParagraph"/>
              <w:spacing w:before="8"/>
              <w:rPr>
                <w:sz w:val="14"/>
              </w:rPr>
            </w:pPr>
          </w:p>
          <w:p w14:paraId="22392378" w14:textId="77777777" w:rsidR="00A71EEF" w:rsidRDefault="0081115D">
            <w:pPr>
              <w:pStyle w:val="TableParagraph"/>
              <w:ind w:left="99"/>
              <w:rPr>
                <w:sz w:val="21"/>
              </w:rPr>
            </w:pPr>
            <w:r>
              <w:rPr>
                <w:sz w:val="21"/>
              </w:rPr>
              <w:t xml:space="preserve"> </w:t>
            </w:r>
          </w:p>
        </w:tc>
      </w:tr>
      <w:tr w:rsidR="00A71EEF" w14:paraId="5EB37C63" w14:textId="77777777">
        <w:trPr>
          <w:trHeight w:val="501"/>
        </w:trPr>
        <w:tc>
          <w:tcPr>
            <w:tcW w:w="377" w:type="dxa"/>
          </w:tcPr>
          <w:p w14:paraId="31FBC302" w14:textId="77777777" w:rsidR="00A71EEF" w:rsidRDefault="00A71EEF">
            <w:pPr>
              <w:pStyle w:val="TableParagraph"/>
              <w:spacing w:before="8"/>
              <w:rPr>
                <w:sz w:val="14"/>
              </w:rPr>
            </w:pPr>
          </w:p>
          <w:p w14:paraId="2274F51A" w14:textId="77777777" w:rsidR="00A71EEF" w:rsidRDefault="0081115D">
            <w:pPr>
              <w:pStyle w:val="TableParagraph"/>
              <w:ind w:left="140" w:right="81"/>
              <w:jc w:val="center"/>
              <w:rPr>
                <w:sz w:val="21"/>
              </w:rPr>
            </w:pPr>
            <w:r>
              <w:rPr>
                <w:sz w:val="21"/>
              </w:rPr>
              <w:t xml:space="preserve">9 </w:t>
            </w:r>
          </w:p>
        </w:tc>
        <w:tc>
          <w:tcPr>
            <w:tcW w:w="471" w:type="dxa"/>
          </w:tcPr>
          <w:p w14:paraId="7BEBA3F5" w14:textId="77777777" w:rsidR="00A71EEF" w:rsidRDefault="00A71EEF">
            <w:pPr>
              <w:pStyle w:val="TableParagraph"/>
              <w:spacing w:before="8"/>
              <w:rPr>
                <w:sz w:val="14"/>
              </w:rPr>
            </w:pPr>
          </w:p>
          <w:p w14:paraId="19FDF314" w14:textId="77777777" w:rsidR="00A71EEF" w:rsidRDefault="0081115D">
            <w:pPr>
              <w:pStyle w:val="TableParagraph"/>
              <w:ind w:left="107"/>
              <w:rPr>
                <w:sz w:val="21"/>
              </w:rPr>
            </w:pPr>
            <w:r>
              <w:rPr>
                <w:sz w:val="21"/>
              </w:rPr>
              <w:t xml:space="preserve"> </w:t>
            </w:r>
          </w:p>
        </w:tc>
        <w:tc>
          <w:tcPr>
            <w:tcW w:w="346" w:type="dxa"/>
          </w:tcPr>
          <w:p w14:paraId="3E631085" w14:textId="77777777" w:rsidR="00A71EEF" w:rsidRDefault="00A71EEF">
            <w:pPr>
              <w:pStyle w:val="TableParagraph"/>
              <w:spacing w:before="8"/>
              <w:rPr>
                <w:sz w:val="14"/>
              </w:rPr>
            </w:pPr>
          </w:p>
          <w:p w14:paraId="797D9861" w14:textId="77777777" w:rsidR="00A71EEF" w:rsidRDefault="0081115D">
            <w:pPr>
              <w:pStyle w:val="TableParagraph"/>
              <w:ind w:left="106"/>
              <w:rPr>
                <w:sz w:val="21"/>
              </w:rPr>
            </w:pPr>
            <w:r>
              <w:rPr>
                <w:sz w:val="21"/>
              </w:rPr>
              <w:t xml:space="preserve"> </w:t>
            </w:r>
          </w:p>
        </w:tc>
        <w:tc>
          <w:tcPr>
            <w:tcW w:w="435" w:type="dxa"/>
          </w:tcPr>
          <w:p w14:paraId="624BA7D0" w14:textId="77777777" w:rsidR="00A71EEF" w:rsidRDefault="00A71EEF">
            <w:pPr>
              <w:pStyle w:val="TableParagraph"/>
              <w:spacing w:before="8"/>
              <w:rPr>
                <w:sz w:val="14"/>
              </w:rPr>
            </w:pPr>
          </w:p>
          <w:p w14:paraId="0B71CA08" w14:textId="77777777" w:rsidR="00A71EEF" w:rsidRDefault="0081115D">
            <w:pPr>
              <w:pStyle w:val="TableParagraph"/>
              <w:ind w:left="106"/>
              <w:rPr>
                <w:sz w:val="21"/>
              </w:rPr>
            </w:pPr>
            <w:r>
              <w:rPr>
                <w:sz w:val="21"/>
              </w:rPr>
              <w:t xml:space="preserve"> </w:t>
            </w:r>
          </w:p>
        </w:tc>
        <w:tc>
          <w:tcPr>
            <w:tcW w:w="437" w:type="dxa"/>
          </w:tcPr>
          <w:p w14:paraId="276044DD" w14:textId="77777777" w:rsidR="00A71EEF" w:rsidRDefault="00A71EEF">
            <w:pPr>
              <w:pStyle w:val="TableParagraph"/>
              <w:spacing w:before="8"/>
              <w:rPr>
                <w:sz w:val="14"/>
              </w:rPr>
            </w:pPr>
          </w:p>
          <w:p w14:paraId="333E8F5A" w14:textId="77777777" w:rsidR="00A71EEF" w:rsidRDefault="0081115D">
            <w:pPr>
              <w:pStyle w:val="TableParagraph"/>
              <w:ind w:left="108"/>
              <w:rPr>
                <w:sz w:val="21"/>
              </w:rPr>
            </w:pPr>
            <w:r>
              <w:rPr>
                <w:sz w:val="21"/>
              </w:rPr>
              <w:t xml:space="preserve"> </w:t>
            </w:r>
          </w:p>
        </w:tc>
        <w:tc>
          <w:tcPr>
            <w:tcW w:w="438" w:type="dxa"/>
          </w:tcPr>
          <w:p w14:paraId="020E4AF6" w14:textId="77777777" w:rsidR="00A71EEF" w:rsidRDefault="00A71EEF">
            <w:pPr>
              <w:pStyle w:val="TableParagraph"/>
              <w:spacing w:before="8"/>
              <w:rPr>
                <w:sz w:val="14"/>
              </w:rPr>
            </w:pPr>
          </w:p>
          <w:p w14:paraId="795E7BFB" w14:textId="77777777" w:rsidR="00A71EEF" w:rsidRDefault="0081115D">
            <w:pPr>
              <w:pStyle w:val="TableParagraph"/>
              <w:ind w:left="106"/>
              <w:rPr>
                <w:sz w:val="21"/>
              </w:rPr>
            </w:pPr>
            <w:r>
              <w:rPr>
                <w:sz w:val="21"/>
              </w:rPr>
              <w:t xml:space="preserve"> </w:t>
            </w:r>
          </w:p>
        </w:tc>
        <w:tc>
          <w:tcPr>
            <w:tcW w:w="375" w:type="dxa"/>
          </w:tcPr>
          <w:p w14:paraId="38C74A5E" w14:textId="77777777" w:rsidR="00A71EEF" w:rsidRDefault="00A71EEF">
            <w:pPr>
              <w:pStyle w:val="TableParagraph"/>
              <w:spacing w:before="8"/>
              <w:rPr>
                <w:sz w:val="14"/>
              </w:rPr>
            </w:pPr>
          </w:p>
          <w:p w14:paraId="507CBE35" w14:textId="77777777" w:rsidR="00A71EEF" w:rsidRDefault="0081115D">
            <w:pPr>
              <w:pStyle w:val="TableParagraph"/>
              <w:ind w:right="47"/>
              <w:jc w:val="center"/>
              <w:rPr>
                <w:sz w:val="21"/>
              </w:rPr>
            </w:pPr>
            <w:r>
              <w:rPr>
                <w:sz w:val="21"/>
              </w:rPr>
              <w:t xml:space="preserve"> </w:t>
            </w:r>
          </w:p>
        </w:tc>
        <w:tc>
          <w:tcPr>
            <w:tcW w:w="377" w:type="dxa"/>
          </w:tcPr>
          <w:p w14:paraId="5C99CAB9" w14:textId="77777777" w:rsidR="00A71EEF" w:rsidRDefault="00A71EEF">
            <w:pPr>
              <w:pStyle w:val="TableParagraph"/>
              <w:spacing w:before="8"/>
              <w:rPr>
                <w:sz w:val="14"/>
              </w:rPr>
            </w:pPr>
          </w:p>
          <w:p w14:paraId="13030263" w14:textId="77777777" w:rsidR="00A71EEF" w:rsidRDefault="0081115D">
            <w:pPr>
              <w:pStyle w:val="TableParagraph"/>
              <w:ind w:left="106"/>
              <w:rPr>
                <w:sz w:val="21"/>
              </w:rPr>
            </w:pPr>
            <w:r>
              <w:rPr>
                <w:sz w:val="21"/>
              </w:rPr>
              <w:t xml:space="preserve"> </w:t>
            </w:r>
          </w:p>
        </w:tc>
        <w:tc>
          <w:tcPr>
            <w:tcW w:w="377" w:type="dxa"/>
          </w:tcPr>
          <w:p w14:paraId="757F4802" w14:textId="77777777" w:rsidR="00A71EEF" w:rsidRDefault="00A71EEF">
            <w:pPr>
              <w:pStyle w:val="TableParagraph"/>
              <w:spacing w:before="8"/>
              <w:rPr>
                <w:sz w:val="14"/>
              </w:rPr>
            </w:pPr>
          </w:p>
          <w:p w14:paraId="2EFA6FD6" w14:textId="77777777" w:rsidR="00A71EEF" w:rsidRDefault="0081115D">
            <w:pPr>
              <w:pStyle w:val="TableParagraph"/>
              <w:ind w:left="104"/>
              <w:rPr>
                <w:sz w:val="21"/>
              </w:rPr>
            </w:pPr>
            <w:r>
              <w:rPr>
                <w:sz w:val="21"/>
              </w:rPr>
              <w:t xml:space="preserve"> </w:t>
            </w:r>
          </w:p>
        </w:tc>
        <w:tc>
          <w:tcPr>
            <w:tcW w:w="375" w:type="dxa"/>
          </w:tcPr>
          <w:p w14:paraId="58A12900" w14:textId="77777777" w:rsidR="00A71EEF" w:rsidRDefault="00A71EEF">
            <w:pPr>
              <w:pStyle w:val="TableParagraph"/>
              <w:spacing w:before="8"/>
              <w:rPr>
                <w:sz w:val="14"/>
              </w:rPr>
            </w:pPr>
          </w:p>
          <w:p w14:paraId="39AED10C" w14:textId="77777777" w:rsidR="00A71EEF" w:rsidRDefault="0081115D">
            <w:pPr>
              <w:pStyle w:val="TableParagraph"/>
              <w:ind w:right="49"/>
              <w:jc w:val="center"/>
              <w:rPr>
                <w:sz w:val="21"/>
              </w:rPr>
            </w:pPr>
            <w:r>
              <w:rPr>
                <w:sz w:val="21"/>
              </w:rPr>
              <w:t xml:space="preserve"> </w:t>
            </w:r>
          </w:p>
        </w:tc>
        <w:tc>
          <w:tcPr>
            <w:tcW w:w="447" w:type="dxa"/>
          </w:tcPr>
          <w:p w14:paraId="0296905B" w14:textId="77777777" w:rsidR="00A71EEF" w:rsidRDefault="00A71EEF">
            <w:pPr>
              <w:pStyle w:val="TableParagraph"/>
              <w:spacing w:before="8"/>
              <w:rPr>
                <w:sz w:val="14"/>
              </w:rPr>
            </w:pPr>
          </w:p>
          <w:p w14:paraId="652CA21D" w14:textId="77777777" w:rsidR="00A71EEF" w:rsidRDefault="0081115D">
            <w:pPr>
              <w:pStyle w:val="TableParagraph"/>
              <w:ind w:left="105"/>
              <w:rPr>
                <w:sz w:val="21"/>
              </w:rPr>
            </w:pPr>
            <w:r>
              <w:rPr>
                <w:sz w:val="21"/>
              </w:rPr>
              <w:t xml:space="preserve"> </w:t>
            </w:r>
          </w:p>
        </w:tc>
        <w:tc>
          <w:tcPr>
            <w:tcW w:w="483" w:type="dxa"/>
          </w:tcPr>
          <w:p w14:paraId="7C540F12" w14:textId="77777777" w:rsidR="00A71EEF" w:rsidRDefault="00A71EEF">
            <w:pPr>
              <w:pStyle w:val="TableParagraph"/>
              <w:spacing w:before="8"/>
              <w:rPr>
                <w:sz w:val="14"/>
              </w:rPr>
            </w:pPr>
          </w:p>
          <w:p w14:paraId="3FD322E5" w14:textId="77777777" w:rsidR="00A71EEF" w:rsidRDefault="0081115D">
            <w:pPr>
              <w:pStyle w:val="TableParagraph"/>
              <w:ind w:left="102"/>
              <w:rPr>
                <w:sz w:val="21"/>
              </w:rPr>
            </w:pPr>
            <w:r>
              <w:rPr>
                <w:sz w:val="21"/>
              </w:rPr>
              <w:t xml:space="preserve"> </w:t>
            </w:r>
          </w:p>
        </w:tc>
        <w:tc>
          <w:tcPr>
            <w:tcW w:w="483" w:type="dxa"/>
          </w:tcPr>
          <w:p w14:paraId="21EE80B0" w14:textId="77777777" w:rsidR="00A71EEF" w:rsidRDefault="00A71EEF">
            <w:pPr>
              <w:pStyle w:val="TableParagraph"/>
              <w:spacing w:before="8"/>
              <w:rPr>
                <w:sz w:val="14"/>
              </w:rPr>
            </w:pPr>
          </w:p>
          <w:p w14:paraId="55CB9D14" w14:textId="77777777" w:rsidR="00A71EEF" w:rsidRDefault="0081115D">
            <w:pPr>
              <w:pStyle w:val="TableParagraph"/>
              <w:ind w:left="102"/>
              <w:rPr>
                <w:sz w:val="21"/>
              </w:rPr>
            </w:pPr>
            <w:r>
              <w:rPr>
                <w:sz w:val="21"/>
              </w:rPr>
              <w:t xml:space="preserve"> </w:t>
            </w:r>
          </w:p>
        </w:tc>
        <w:tc>
          <w:tcPr>
            <w:tcW w:w="481" w:type="dxa"/>
          </w:tcPr>
          <w:p w14:paraId="7F55EA7E" w14:textId="77777777" w:rsidR="00A71EEF" w:rsidRDefault="00A71EEF">
            <w:pPr>
              <w:pStyle w:val="TableParagraph"/>
              <w:spacing w:before="8"/>
              <w:rPr>
                <w:sz w:val="14"/>
              </w:rPr>
            </w:pPr>
          </w:p>
          <w:p w14:paraId="1E11E900" w14:textId="77777777" w:rsidR="00A71EEF" w:rsidRDefault="0081115D">
            <w:pPr>
              <w:pStyle w:val="TableParagraph"/>
              <w:ind w:left="102"/>
              <w:rPr>
                <w:sz w:val="21"/>
              </w:rPr>
            </w:pPr>
            <w:r>
              <w:rPr>
                <w:sz w:val="21"/>
              </w:rPr>
              <w:t xml:space="preserve"> </w:t>
            </w:r>
          </w:p>
        </w:tc>
        <w:tc>
          <w:tcPr>
            <w:tcW w:w="483" w:type="dxa"/>
          </w:tcPr>
          <w:p w14:paraId="302456FA" w14:textId="77777777" w:rsidR="00A71EEF" w:rsidRDefault="00A71EEF">
            <w:pPr>
              <w:pStyle w:val="TableParagraph"/>
              <w:spacing w:before="8"/>
              <w:rPr>
                <w:sz w:val="14"/>
              </w:rPr>
            </w:pPr>
          </w:p>
          <w:p w14:paraId="7D299493" w14:textId="77777777" w:rsidR="00A71EEF" w:rsidRDefault="0081115D">
            <w:pPr>
              <w:pStyle w:val="TableParagraph"/>
              <w:ind w:left="101"/>
              <w:rPr>
                <w:sz w:val="21"/>
              </w:rPr>
            </w:pPr>
            <w:r>
              <w:rPr>
                <w:sz w:val="21"/>
              </w:rPr>
              <w:t xml:space="preserve"> </w:t>
            </w:r>
          </w:p>
        </w:tc>
        <w:tc>
          <w:tcPr>
            <w:tcW w:w="377" w:type="dxa"/>
          </w:tcPr>
          <w:p w14:paraId="3F35D0DA" w14:textId="77777777" w:rsidR="00A71EEF" w:rsidRDefault="00A71EEF">
            <w:pPr>
              <w:pStyle w:val="TableParagraph"/>
              <w:spacing w:before="8"/>
              <w:rPr>
                <w:sz w:val="14"/>
              </w:rPr>
            </w:pPr>
          </w:p>
          <w:p w14:paraId="0E9A0202" w14:textId="77777777" w:rsidR="00A71EEF" w:rsidRDefault="0081115D">
            <w:pPr>
              <w:pStyle w:val="TableParagraph"/>
              <w:ind w:left="100"/>
              <w:rPr>
                <w:sz w:val="21"/>
              </w:rPr>
            </w:pPr>
            <w:r>
              <w:rPr>
                <w:sz w:val="21"/>
              </w:rPr>
              <w:t xml:space="preserve"> </w:t>
            </w:r>
          </w:p>
        </w:tc>
        <w:tc>
          <w:tcPr>
            <w:tcW w:w="377" w:type="dxa"/>
          </w:tcPr>
          <w:p w14:paraId="454BACCA" w14:textId="77777777" w:rsidR="00A71EEF" w:rsidRDefault="00A71EEF">
            <w:pPr>
              <w:pStyle w:val="TableParagraph"/>
              <w:spacing w:before="8"/>
              <w:rPr>
                <w:sz w:val="14"/>
              </w:rPr>
            </w:pPr>
          </w:p>
          <w:p w14:paraId="0330A5B7" w14:textId="77777777" w:rsidR="00A71EEF" w:rsidRDefault="0081115D">
            <w:pPr>
              <w:pStyle w:val="TableParagraph"/>
              <w:ind w:right="58"/>
              <w:jc w:val="center"/>
              <w:rPr>
                <w:sz w:val="21"/>
              </w:rPr>
            </w:pPr>
            <w:r>
              <w:rPr>
                <w:sz w:val="21"/>
              </w:rPr>
              <w:t xml:space="preserve"> </w:t>
            </w:r>
          </w:p>
        </w:tc>
        <w:tc>
          <w:tcPr>
            <w:tcW w:w="390" w:type="dxa"/>
          </w:tcPr>
          <w:p w14:paraId="7C521945" w14:textId="77777777" w:rsidR="00A71EEF" w:rsidRDefault="00A71EEF">
            <w:pPr>
              <w:pStyle w:val="TableParagraph"/>
              <w:spacing w:before="8"/>
              <w:rPr>
                <w:sz w:val="14"/>
              </w:rPr>
            </w:pPr>
          </w:p>
          <w:p w14:paraId="74A06A52" w14:textId="77777777" w:rsidR="00A71EEF" w:rsidRDefault="0081115D">
            <w:pPr>
              <w:pStyle w:val="TableParagraph"/>
              <w:ind w:right="70"/>
              <w:jc w:val="center"/>
              <w:rPr>
                <w:sz w:val="21"/>
              </w:rPr>
            </w:pPr>
            <w:r>
              <w:rPr>
                <w:sz w:val="21"/>
              </w:rPr>
              <w:t xml:space="preserve"> </w:t>
            </w:r>
          </w:p>
        </w:tc>
        <w:tc>
          <w:tcPr>
            <w:tcW w:w="377" w:type="dxa"/>
          </w:tcPr>
          <w:p w14:paraId="491BBF1A" w14:textId="77777777" w:rsidR="00A71EEF" w:rsidRDefault="00A71EEF">
            <w:pPr>
              <w:pStyle w:val="TableParagraph"/>
              <w:spacing w:before="8"/>
              <w:rPr>
                <w:sz w:val="14"/>
              </w:rPr>
            </w:pPr>
          </w:p>
          <w:p w14:paraId="487F3744" w14:textId="77777777" w:rsidR="00A71EEF" w:rsidRDefault="0081115D">
            <w:pPr>
              <w:pStyle w:val="TableParagraph"/>
              <w:ind w:left="101"/>
              <w:rPr>
                <w:sz w:val="21"/>
              </w:rPr>
            </w:pPr>
            <w:r>
              <w:rPr>
                <w:sz w:val="21"/>
              </w:rPr>
              <w:t xml:space="preserve"> </w:t>
            </w:r>
          </w:p>
        </w:tc>
        <w:tc>
          <w:tcPr>
            <w:tcW w:w="605" w:type="dxa"/>
          </w:tcPr>
          <w:p w14:paraId="5377F7FB" w14:textId="77777777" w:rsidR="00A71EEF" w:rsidRDefault="00A71EEF">
            <w:pPr>
              <w:pStyle w:val="TableParagraph"/>
              <w:spacing w:before="8"/>
              <w:rPr>
                <w:sz w:val="14"/>
              </w:rPr>
            </w:pPr>
          </w:p>
          <w:p w14:paraId="3C712E94" w14:textId="77777777" w:rsidR="00A71EEF" w:rsidRDefault="0081115D">
            <w:pPr>
              <w:pStyle w:val="TableParagraph"/>
              <w:ind w:left="99"/>
              <w:rPr>
                <w:sz w:val="21"/>
              </w:rPr>
            </w:pPr>
            <w:r>
              <w:rPr>
                <w:sz w:val="21"/>
              </w:rPr>
              <w:t xml:space="preserve"> </w:t>
            </w:r>
          </w:p>
        </w:tc>
        <w:tc>
          <w:tcPr>
            <w:tcW w:w="425" w:type="dxa"/>
          </w:tcPr>
          <w:p w14:paraId="5D14A7CD" w14:textId="77777777" w:rsidR="00A71EEF" w:rsidRDefault="00A71EEF">
            <w:pPr>
              <w:pStyle w:val="TableParagraph"/>
              <w:spacing w:before="8"/>
              <w:rPr>
                <w:sz w:val="14"/>
              </w:rPr>
            </w:pPr>
          </w:p>
          <w:p w14:paraId="7C763A9C" w14:textId="77777777" w:rsidR="00A71EEF" w:rsidRDefault="0081115D">
            <w:pPr>
              <w:pStyle w:val="TableParagraph"/>
              <w:ind w:left="99"/>
              <w:rPr>
                <w:sz w:val="21"/>
              </w:rPr>
            </w:pPr>
            <w:r>
              <w:rPr>
                <w:sz w:val="21"/>
              </w:rPr>
              <w:t xml:space="preserve"> </w:t>
            </w:r>
          </w:p>
        </w:tc>
      </w:tr>
      <w:tr w:rsidR="00A71EEF" w14:paraId="346461F7" w14:textId="77777777">
        <w:trPr>
          <w:trHeight w:val="1000"/>
        </w:trPr>
        <w:tc>
          <w:tcPr>
            <w:tcW w:w="377" w:type="dxa"/>
          </w:tcPr>
          <w:p w14:paraId="26B7DCC6" w14:textId="77777777" w:rsidR="00A71EEF" w:rsidRDefault="00A71EEF">
            <w:pPr>
              <w:pStyle w:val="TableParagraph"/>
              <w:spacing w:before="8"/>
              <w:rPr>
                <w:sz w:val="14"/>
              </w:rPr>
            </w:pPr>
          </w:p>
          <w:p w14:paraId="769D669A" w14:textId="77777777" w:rsidR="00A71EEF" w:rsidRDefault="0081115D">
            <w:pPr>
              <w:pStyle w:val="TableParagraph"/>
              <w:ind w:left="107"/>
              <w:rPr>
                <w:sz w:val="21"/>
              </w:rPr>
            </w:pPr>
            <w:r>
              <w:rPr>
                <w:sz w:val="21"/>
              </w:rPr>
              <w:t>全</w:t>
            </w:r>
          </w:p>
          <w:p w14:paraId="0F761783" w14:textId="77777777" w:rsidR="00A71EEF" w:rsidRDefault="00A71EEF">
            <w:pPr>
              <w:pStyle w:val="TableParagraph"/>
              <w:spacing w:before="12"/>
              <w:rPr>
                <w:sz w:val="17"/>
              </w:rPr>
            </w:pPr>
          </w:p>
          <w:p w14:paraId="4070AFEB" w14:textId="77777777" w:rsidR="00A71EEF" w:rsidRDefault="0081115D">
            <w:pPr>
              <w:pStyle w:val="TableParagraph"/>
              <w:ind w:left="107" w:right="-58"/>
              <w:rPr>
                <w:sz w:val="21"/>
              </w:rPr>
            </w:pPr>
            <w:r>
              <w:rPr>
                <w:sz w:val="21"/>
              </w:rPr>
              <w:t>开</w:t>
            </w:r>
            <w:r>
              <w:rPr>
                <w:sz w:val="21"/>
              </w:rPr>
              <w:t xml:space="preserve"> </w:t>
            </w:r>
          </w:p>
        </w:tc>
        <w:tc>
          <w:tcPr>
            <w:tcW w:w="471" w:type="dxa"/>
          </w:tcPr>
          <w:p w14:paraId="3E198E1B" w14:textId="77777777" w:rsidR="00A71EEF" w:rsidRDefault="00A71EEF">
            <w:pPr>
              <w:pStyle w:val="TableParagraph"/>
              <w:spacing w:before="8"/>
              <w:rPr>
                <w:sz w:val="14"/>
              </w:rPr>
            </w:pPr>
          </w:p>
          <w:p w14:paraId="756D8370" w14:textId="77777777" w:rsidR="00A71EEF" w:rsidRDefault="0081115D">
            <w:pPr>
              <w:pStyle w:val="TableParagraph"/>
              <w:ind w:left="107"/>
              <w:rPr>
                <w:sz w:val="21"/>
              </w:rPr>
            </w:pPr>
            <w:r>
              <w:rPr>
                <w:sz w:val="21"/>
              </w:rPr>
              <w:t xml:space="preserve"> </w:t>
            </w:r>
          </w:p>
        </w:tc>
        <w:tc>
          <w:tcPr>
            <w:tcW w:w="346" w:type="dxa"/>
          </w:tcPr>
          <w:p w14:paraId="05585388" w14:textId="77777777" w:rsidR="00A71EEF" w:rsidRDefault="00A71EEF">
            <w:pPr>
              <w:pStyle w:val="TableParagraph"/>
              <w:spacing w:before="8"/>
              <w:rPr>
                <w:sz w:val="14"/>
              </w:rPr>
            </w:pPr>
          </w:p>
          <w:p w14:paraId="288934FE" w14:textId="77777777" w:rsidR="00A71EEF" w:rsidRDefault="0081115D">
            <w:pPr>
              <w:pStyle w:val="TableParagraph"/>
              <w:ind w:left="106"/>
              <w:rPr>
                <w:sz w:val="21"/>
              </w:rPr>
            </w:pPr>
            <w:r>
              <w:rPr>
                <w:sz w:val="21"/>
              </w:rPr>
              <w:t xml:space="preserve"> </w:t>
            </w:r>
          </w:p>
        </w:tc>
        <w:tc>
          <w:tcPr>
            <w:tcW w:w="435" w:type="dxa"/>
          </w:tcPr>
          <w:p w14:paraId="32C2AAAC" w14:textId="77777777" w:rsidR="00A71EEF" w:rsidRDefault="00A71EEF">
            <w:pPr>
              <w:pStyle w:val="TableParagraph"/>
              <w:spacing w:before="8"/>
              <w:rPr>
                <w:sz w:val="14"/>
              </w:rPr>
            </w:pPr>
          </w:p>
          <w:p w14:paraId="711A5D60" w14:textId="77777777" w:rsidR="00A71EEF" w:rsidRDefault="0081115D">
            <w:pPr>
              <w:pStyle w:val="TableParagraph"/>
              <w:ind w:left="106"/>
              <w:rPr>
                <w:sz w:val="21"/>
              </w:rPr>
            </w:pPr>
            <w:r>
              <w:rPr>
                <w:sz w:val="21"/>
              </w:rPr>
              <w:t xml:space="preserve"> </w:t>
            </w:r>
          </w:p>
        </w:tc>
        <w:tc>
          <w:tcPr>
            <w:tcW w:w="437" w:type="dxa"/>
          </w:tcPr>
          <w:p w14:paraId="1B7D245D" w14:textId="77777777" w:rsidR="00A71EEF" w:rsidRDefault="00A71EEF">
            <w:pPr>
              <w:pStyle w:val="TableParagraph"/>
              <w:spacing w:before="8"/>
              <w:rPr>
                <w:sz w:val="14"/>
              </w:rPr>
            </w:pPr>
          </w:p>
          <w:p w14:paraId="2AE8BA42" w14:textId="77777777" w:rsidR="00A71EEF" w:rsidRDefault="0081115D">
            <w:pPr>
              <w:pStyle w:val="TableParagraph"/>
              <w:ind w:left="108"/>
              <w:rPr>
                <w:sz w:val="21"/>
              </w:rPr>
            </w:pPr>
            <w:r>
              <w:rPr>
                <w:sz w:val="21"/>
              </w:rPr>
              <w:t xml:space="preserve"> </w:t>
            </w:r>
          </w:p>
        </w:tc>
        <w:tc>
          <w:tcPr>
            <w:tcW w:w="438" w:type="dxa"/>
          </w:tcPr>
          <w:p w14:paraId="3D3E51D7" w14:textId="77777777" w:rsidR="00A71EEF" w:rsidRDefault="00A71EEF">
            <w:pPr>
              <w:pStyle w:val="TableParagraph"/>
              <w:spacing w:before="8"/>
              <w:rPr>
                <w:sz w:val="14"/>
              </w:rPr>
            </w:pPr>
          </w:p>
          <w:p w14:paraId="1AD6731C" w14:textId="77777777" w:rsidR="00A71EEF" w:rsidRDefault="0081115D">
            <w:pPr>
              <w:pStyle w:val="TableParagraph"/>
              <w:ind w:left="106"/>
              <w:rPr>
                <w:sz w:val="21"/>
              </w:rPr>
            </w:pPr>
            <w:r>
              <w:rPr>
                <w:sz w:val="21"/>
              </w:rPr>
              <w:t xml:space="preserve"> </w:t>
            </w:r>
          </w:p>
        </w:tc>
        <w:tc>
          <w:tcPr>
            <w:tcW w:w="375" w:type="dxa"/>
          </w:tcPr>
          <w:p w14:paraId="300AB005" w14:textId="77777777" w:rsidR="00A71EEF" w:rsidRDefault="00A71EEF">
            <w:pPr>
              <w:pStyle w:val="TableParagraph"/>
              <w:spacing w:before="8"/>
              <w:rPr>
                <w:sz w:val="14"/>
              </w:rPr>
            </w:pPr>
          </w:p>
          <w:p w14:paraId="250F8829" w14:textId="77777777" w:rsidR="00A71EEF" w:rsidRDefault="0081115D">
            <w:pPr>
              <w:pStyle w:val="TableParagraph"/>
              <w:ind w:right="47"/>
              <w:jc w:val="center"/>
              <w:rPr>
                <w:sz w:val="21"/>
              </w:rPr>
            </w:pPr>
            <w:r>
              <w:rPr>
                <w:sz w:val="21"/>
              </w:rPr>
              <w:t xml:space="preserve"> </w:t>
            </w:r>
          </w:p>
        </w:tc>
        <w:tc>
          <w:tcPr>
            <w:tcW w:w="377" w:type="dxa"/>
          </w:tcPr>
          <w:p w14:paraId="5FE7464A" w14:textId="77777777" w:rsidR="00A71EEF" w:rsidRDefault="00A71EEF">
            <w:pPr>
              <w:pStyle w:val="TableParagraph"/>
              <w:spacing w:before="8"/>
              <w:rPr>
                <w:sz w:val="14"/>
              </w:rPr>
            </w:pPr>
          </w:p>
          <w:p w14:paraId="468063F7" w14:textId="77777777" w:rsidR="00A71EEF" w:rsidRDefault="0081115D">
            <w:pPr>
              <w:pStyle w:val="TableParagraph"/>
              <w:ind w:left="106"/>
              <w:rPr>
                <w:sz w:val="21"/>
              </w:rPr>
            </w:pPr>
            <w:r>
              <w:rPr>
                <w:sz w:val="21"/>
              </w:rPr>
              <w:t xml:space="preserve"> </w:t>
            </w:r>
          </w:p>
        </w:tc>
        <w:tc>
          <w:tcPr>
            <w:tcW w:w="377" w:type="dxa"/>
          </w:tcPr>
          <w:p w14:paraId="4687E7D3" w14:textId="77777777" w:rsidR="00A71EEF" w:rsidRDefault="00A71EEF">
            <w:pPr>
              <w:pStyle w:val="TableParagraph"/>
              <w:spacing w:before="8"/>
              <w:rPr>
                <w:sz w:val="14"/>
              </w:rPr>
            </w:pPr>
          </w:p>
          <w:p w14:paraId="66D57579" w14:textId="77777777" w:rsidR="00A71EEF" w:rsidRDefault="0081115D">
            <w:pPr>
              <w:pStyle w:val="TableParagraph"/>
              <w:ind w:left="104"/>
              <w:rPr>
                <w:sz w:val="21"/>
              </w:rPr>
            </w:pPr>
            <w:r>
              <w:rPr>
                <w:sz w:val="21"/>
              </w:rPr>
              <w:t xml:space="preserve"> </w:t>
            </w:r>
          </w:p>
        </w:tc>
        <w:tc>
          <w:tcPr>
            <w:tcW w:w="375" w:type="dxa"/>
          </w:tcPr>
          <w:p w14:paraId="26088B69" w14:textId="77777777" w:rsidR="00A71EEF" w:rsidRDefault="00A71EEF">
            <w:pPr>
              <w:pStyle w:val="TableParagraph"/>
              <w:spacing w:before="8"/>
              <w:rPr>
                <w:sz w:val="14"/>
              </w:rPr>
            </w:pPr>
          </w:p>
          <w:p w14:paraId="30D8F690" w14:textId="77777777" w:rsidR="00A71EEF" w:rsidRDefault="0081115D">
            <w:pPr>
              <w:pStyle w:val="TableParagraph"/>
              <w:ind w:right="49"/>
              <w:jc w:val="center"/>
              <w:rPr>
                <w:sz w:val="21"/>
              </w:rPr>
            </w:pPr>
            <w:r>
              <w:rPr>
                <w:sz w:val="21"/>
              </w:rPr>
              <w:t xml:space="preserve"> </w:t>
            </w:r>
          </w:p>
        </w:tc>
        <w:tc>
          <w:tcPr>
            <w:tcW w:w="447" w:type="dxa"/>
          </w:tcPr>
          <w:p w14:paraId="0E77CDBA" w14:textId="77777777" w:rsidR="00A71EEF" w:rsidRDefault="00A71EEF">
            <w:pPr>
              <w:pStyle w:val="TableParagraph"/>
              <w:spacing w:before="8"/>
              <w:rPr>
                <w:sz w:val="14"/>
              </w:rPr>
            </w:pPr>
          </w:p>
          <w:p w14:paraId="251C2320" w14:textId="77777777" w:rsidR="00A71EEF" w:rsidRDefault="0081115D">
            <w:pPr>
              <w:pStyle w:val="TableParagraph"/>
              <w:ind w:left="105"/>
              <w:rPr>
                <w:sz w:val="21"/>
              </w:rPr>
            </w:pPr>
            <w:r>
              <w:rPr>
                <w:sz w:val="21"/>
              </w:rPr>
              <w:t xml:space="preserve"> </w:t>
            </w:r>
          </w:p>
        </w:tc>
        <w:tc>
          <w:tcPr>
            <w:tcW w:w="483" w:type="dxa"/>
          </w:tcPr>
          <w:p w14:paraId="437C5233" w14:textId="77777777" w:rsidR="00A71EEF" w:rsidRDefault="00A71EEF">
            <w:pPr>
              <w:pStyle w:val="TableParagraph"/>
              <w:spacing w:before="8"/>
              <w:rPr>
                <w:sz w:val="14"/>
              </w:rPr>
            </w:pPr>
          </w:p>
          <w:p w14:paraId="136A449F" w14:textId="77777777" w:rsidR="00A71EEF" w:rsidRDefault="0081115D">
            <w:pPr>
              <w:pStyle w:val="TableParagraph"/>
              <w:ind w:left="102"/>
              <w:rPr>
                <w:sz w:val="21"/>
              </w:rPr>
            </w:pPr>
            <w:r>
              <w:rPr>
                <w:sz w:val="21"/>
              </w:rPr>
              <w:t xml:space="preserve"> </w:t>
            </w:r>
          </w:p>
        </w:tc>
        <w:tc>
          <w:tcPr>
            <w:tcW w:w="483" w:type="dxa"/>
          </w:tcPr>
          <w:p w14:paraId="6ED75649" w14:textId="77777777" w:rsidR="00A71EEF" w:rsidRDefault="00A71EEF">
            <w:pPr>
              <w:pStyle w:val="TableParagraph"/>
              <w:spacing w:before="8"/>
              <w:rPr>
                <w:sz w:val="14"/>
              </w:rPr>
            </w:pPr>
          </w:p>
          <w:p w14:paraId="56161625" w14:textId="77777777" w:rsidR="00A71EEF" w:rsidRDefault="0081115D">
            <w:pPr>
              <w:pStyle w:val="TableParagraph"/>
              <w:ind w:left="102"/>
              <w:rPr>
                <w:sz w:val="21"/>
              </w:rPr>
            </w:pPr>
            <w:r>
              <w:rPr>
                <w:sz w:val="21"/>
              </w:rPr>
              <w:t xml:space="preserve"> </w:t>
            </w:r>
          </w:p>
        </w:tc>
        <w:tc>
          <w:tcPr>
            <w:tcW w:w="481" w:type="dxa"/>
          </w:tcPr>
          <w:p w14:paraId="285C6B60" w14:textId="77777777" w:rsidR="00A71EEF" w:rsidRDefault="00A71EEF">
            <w:pPr>
              <w:pStyle w:val="TableParagraph"/>
              <w:spacing w:before="8"/>
              <w:rPr>
                <w:sz w:val="14"/>
              </w:rPr>
            </w:pPr>
          </w:p>
          <w:p w14:paraId="7C9004DC" w14:textId="77777777" w:rsidR="00A71EEF" w:rsidRDefault="0081115D">
            <w:pPr>
              <w:pStyle w:val="TableParagraph"/>
              <w:ind w:left="102"/>
              <w:rPr>
                <w:sz w:val="21"/>
              </w:rPr>
            </w:pPr>
            <w:r>
              <w:rPr>
                <w:sz w:val="21"/>
              </w:rPr>
              <w:t xml:space="preserve"> </w:t>
            </w:r>
          </w:p>
        </w:tc>
        <w:tc>
          <w:tcPr>
            <w:tcW w:w="483" w:type="dxa"/>
          </w:tcPr>
          <w:p w14:paraId="3C175499" w14:textId="77777777" w:rsidR="00A71EEF" w:rsidRDefault="00A71EEF">
            <w:pPr>
              <w:pStyle w:val="TableParagraph"/>
              <w:spacing w:before="8"/>
              <w:rPr>
                <w:sz w:val="14"/>
              </w:rPr>
            </w:pPr>
          </w:p>
          <w:p w14:paraId="661541FA" w14:textId="77777777" w:rsidR="00A71EEF" w:rsidRDefault="0081115D">
            <w:pPr>
              <w:pStyle w:val="TableParagraph"/>
              <w:ind w:left="101"/>
              <w:rPr>
                <w:sz w:val="21"/>
              </w:rPr>
            </w:pPr>
            <w:r>
              <w:rPr>
                <w:sz w:val="21"/>
              </w:rPr>
              <w:t xml:space="preserve"> </w:t>
            </w:r>
          </w:p>
        </w:tc>
        <w:tc>
          <w:tcPr>
            <w:tcW w:w="377" w:type="dxa"/>
          </w:tcPr>
          <w:p w14:paraId="58911033" w14:textId="77777777" w:rsidR="00A71EEF" w:rsidRDefault="00A71EEF">
            <w:pPr>
              <w:pStyle w:val="TableParagraph"/>
              <w:spacing w:before="8"/>
              <w:rPr>
                <w:sz w:val="14"/>
              </w:rPr>
            </w:pPr>
          </w:p>
          <w:p w14:paraId="50276272" w14:textId="77777777" w:rsidR="00A71EEF" w:rsidRDefault="0081115D">
            <w:pPr>
              <w:pStyle w:val="TableParagraph"/>
              <w:ind w:left="100"/>
              <w:rPr>
                <w:sz w:val="21"/>
              </w:rPr>
            </w:pPr>
            <w:r>
              <w:rPr>
                <w:sz w:val="21"/>
              </w:rPr>
              <w:t xml:space="preserve"> </w:t>
            </w:r>
          </w:p>
        </w:tc>
        <w:tc>
          <w:tcPr>
            <w:tcW w:w="377" w:type="dxa"/>
          </w:tcPr>
          <w:p w14:paraId="11F89B2A" w14:textId="77777777" w:rsidR="00A71EEF" w:rsidRDefault="00A71EEF">
            <w:pPr>
              <w:pStyle w:val="TableParagraph"/>
              <w:spacing w:before="8"/>
              <w:rPr>
                <w:sz w:val="14"/>
              </w:rPr>
            </w:pPr>
          </w:p>
          <w:p w14:paraId="09655561" w14:textId="77777777" w:rsidR="00A71EEF" w:rsidRDefault="0081115D">
            <w:pPr>
              <w:pStyle w:val="TableParagraph"/>
              <w:ind w:right="58"/>
              <w:jc w:val="center"/>
              <w:rPr>
                <w:sz w:val="21"/>
              </w:rPr>
            </w:pPr>
            <w:r>
              <w:rPr>
                <w:sz w:val="21"/>
              </w:rPr>
              <w:t xml:space="preserve"> </w:t>
            </w:r>
          </w:p>
        </w:tc>
        <w:tc>
          <w:tcPr>
            <w:tcW w:w="390" w:type="dxa"/>
          </w:tcPr>
          <w:p w14:paraId="0F8929C8" w14:textId="77777777" w:rsidR="00A71EEF" w:rsidRDefault="00A71EEF">
            <w:pPr>
              <w:pStyle w:val="TableParagraph"/>
              <w:spacing w:before="8"/>
              <w:rPr>
                <w:sz w:val="14"/>
              </w:rPr>
            </w:pPr>
          </w:p>
          <w:p w14:paraId="1C149255" w14:textId="77777777" w:rsidR="00A71EEF" w:rsidRDefault="0081115D">
            <w:pPr>
              <w:pStyle w:val="TableParagraph"/>
              <w:ind w:right="70"/>
              <w:jc w:val="center"/>
              <w:rPr>
                <w:sz w:val="21"/>
              </w:rPr>
            </w:pPr>
            <w:r>
              <w:rPr>
                <w:sz w:val="21"/>
              </w:rPr>
              <w:t xml:space="preserve"> </w:t>
            </w:r>
          </w:p>
        </w:tc>
        <w:tc>
          <w:tcPr>
            <w:tcW w:w="377" w:type="dxa"/>
          </w:tcPr>
          <w:p w14:paraId="5C3E94F4" w14:textId="77777777" w:rsidR="00A71EEF" w:rsidRDefault="00A71EEF">
            <w:pPr>
              <w:pStyle w:val="TableParagraph"/>
              <w:spacing w:before="8"/>
              <w:rPr>
                <w:sz w:val="14"/>
              </w:rPr>
            </w:pPr>
          </w:p>
          <w:p w14:paraId="67E538D1" w14:textId="77777777" w:rsidR="00A71EEF" w:rsidRDefault="0081115D">
            <w:pPr>
              <w:pStyle w:val="TableParagraph"/>
              <w:ind w:left="101"/>
              <w:rPr>
                <w:sz w:val="21"/>
              </w:rPr>
            </w:pPr>
            <w:r>
              <w:rPr>
                <w:sz w:val="21"/>
              </w:rPr>
              <w:t xml:space="preserve"> </w:t>
            </w:r>
          </w:p>
        </w:tc>
        <w:tc>
          <w:tcPr>
            <w:tcW w:w="605" w:type="dxa"/>
          </w:tcPr>
          <w:p w14:paraId="5FC1A482" w14:textId="77777777" w:rsidR="00A71EEF" w:rsidRDefault="00A71EEF">
            <w:pPr>
              <w:pStyle w:val="TableParagraph"/>
              <w:spacing w:before="8"/>
              <w:rPr>
                <w:sz w:val="14"/>
              </w:rPr>
            </w:pPr>
          </w:p>
          <w:p w14:paraId="22D0EF5D" w14:textId="77777777" w:rsidR="00A71EEF" w:rsidRDefault="0081115D">
            <w:pPr>
              <w:pStyle w:val="TableParagraph"/>
              <w:ind w:left="99"/>
              <w:rPr>
                <w:sz w:val="21"/>
              </w:rPr>
            </w:pPr>
            <w:r>
              <w:rPr>
                <w:sz w:val="21"/>
              </w:rPr>
              <w:t xml:space="preserve"> </w:t>
            </w:r>
          </w:p>
        </w:tc>
        <w:tc>
          <w:tcPr>
            <w:tcW w:w="425" w:type="dxa"/>
          </w:tcPr>
          <w:p w14:paraId="447B77FC" w14:textId="77777777" w:rsidR="00A71EEF" w:rsidRDefault="00A71EEF">
            <w:pPr>
              <w:pStyle w:val="TableParagraph"/>
              <w:spacing w:before="8"/>
              <w:rPr>
                <w:sz w:val="14"/>
              </w:rPr>
            </w:pPr>
          </w:p>
          <w:p w14:paraId="4FB6D709" w14:textId="77777777" w:rsidR="00A71EEF" w:rsidRDefault="0081115D">
            <w:pPr>
              <w:pStyle w:val="TableParagraph"/>
              <w:ind w:left="99"/>
              <w:rPr>
                <w:sz w:val="21"/>
              </w:rPr>
            </w:pPr>
            <w:r>
              <w:rPr>
                <w:sz w:val="21"/>
              </w:rPr>
              <w:t xml:space="preserve"> </w:t>
            </w:r>
          </w:p>
        </w:tc>
      </w:tr>
      <w:tr w:rsidR="00A71EEF" w14:paraId="3D8E826D" w14:textId="77777777">
        <w:trPr>
          <w:trHeight w:val="1000"/>
        </w:trPr>
        <w:tc>
          <w:tcPr>
            <w:tcW w:w="377" w:type="dxa"/>
          </w:tcPr>
          <w:p w14:paraId="0A0F1793" w14:textId="77777777" w:rsidR="00A71EEF" w:rsidRDefault="00A71EEF">
            <w:pPr>
              <w:pStyle w:val="TableParagraph"/>
              <w:spacing w:before="8"/>
              <w:rPr>
                <w:sz w:val="14"/>
              </w:rPr>
            </w:pPr>
          </w:p>
          <w:p w14:paraId="000829E3" w14:textId="77777777" w:rsidR="00A71EEF" w:rsidRDefault="0081115D">
            <w:pPr>
              <w:pStyle w:val="TableParagraph"/>
              <w:ind w:left="107"/>
              <w:rPr>
                <w:sz w:val="21"/>
              </w:rPr>
            </w:pPr>
            <w:r>
              <w:rPr>
                <w:sz w:val="21"/>
              </w:rPr>
              <w:t>备</w:t>
            </w:r>
          </w:p>
          <w:p w14:paraId="543BA7E1" w14:textId="77777777" w:rsidR="00A71EEF" w:rsidRDefault="00A71EEF">
            <w:pPr>
              <w:pStyle w:val="TableParagraph"/>
              <w:spacing w:before="12"/>
              <w:rPr>
                <w:sz w:val="17"/>
              </w:rPr>
            </w:pPr>
          </w:p>
          <w:p w14:paraId="0FA44859" w14:textId="77777777" w:rsidR="00A71EEF" w:rsidRDefault="0081115D">
            <w:pPr>
              <w:pStyle w:val="TableParagraph"/>
              <w:ind w:left="107" w:right="-58"/>
              <w:rPr>
                <w:sz w:val="21"/>
              </w:rPr>
            </w:pPr>
            <w:r>
              <w:rPr>
                <w:sz w:val="21"/>
              </w:rPr>
              <w:t>注</w:t>
            </w:r>
            <w:r>
              <w:rPr>
                <w:sz w:val="21"/>
              </w:rPr>
              <w:t xml:space="preserve"> </w:t>
            </w:r>
          </w:p>
        </w:tc>
        <w:tc>
          <w:tcPr>
            <w:tcW w:w="8559" w:type="dxa"/>
            <w:gridSpan w:val="20"/>
          </w:tcPr>
          <w:p w14:paraId="2C7824C6" w14:textId="77777777" w:rsidR="00A71EEF" w:rsidRDefault="00A71EEF">
            <w:pPr>
              <w:pStyle w:val="TableParagraph"/>
              <w:spacing w:before="8"/>
              <w:rPr>
                <w:sz w:val="14"/>
              </w:rPr>
            </w:pPr>
          </w:p>
          <w:p w14:paraId="18277A60" w14:textId="77777777" w:rsidR="00A71EEF" w:rsidRDefault="0081115D">
            <w:pPr>
              <w:pStyle w:val="TableParagraph"/>
              <w:ind w:left="107"/>
              <w:rPr>
                <w:sz w:val="21"/>
              </w:rPr>
            </w:pPr>
            <w:r>
              <w:rPr>
                <w:sz w:val="21"/>
              </w:rPr>
              <w:t xml:space="preserve"> </w:t>
            </w:r>
          </w:p>
        </w:tc>
      </w:tr>
    </w:tbl>
    <w:p w14:paraId="1F2E695D" w14:textId="77777777" w:rsidR="00A71EEF" w:rsidRDefault="00A71EEF">
      <w:pPr>
        <w:pStyle w:val="a3"/>
        <w:rPr>
          <w:sz w:val="9"/>
        </w:rPr>
      </w:pPr>
    </w:p>
    <w:p w14:paraId="528CDF7D" w14:textId="77777777" w:rsidR="00A71EEF" w:rsidRDefault="0081115D">
      <w:pPr>
        <w:pStyle w:val="a3"/>
        <w:spacing w:before="72"/>
        <w:ind w:left="3394"/>
      </w:pPr>
      <w:r>
        <w:t>记</w:t>
      </w:r>
      <w:r>
        <w:t xml:space="preserve"> </w:t>
      </w:r>
      <w:r>
        <w:t>录</w:t>
      </w:r>
      <w:r>
        <w:t xml:space="preserve"> </w:t>
      </w:r>
      <w:r>
        <w:t>计</w:t>
      </w:r>
      <w:r>
        <w:t xml:space="preserve"> </w:t>
      </w:r>
      <w:r>
        <w:t>算</w:t>
      </w:r>
      <w:r>
        <w:t xml:space="preserve"> </w:t>
      </w:r>
    </w:p>
    <w:p w14:paraId="01669BED" w14:textId="77777777" w:rsidR="00A71EEF" w:rsidRDefault="00A71EEF">
      <w:pPr>
        <w:pStyle w:val="a3"/>
        <w:rPr>
          <w:sz w:val="18"/>
        </w:rPr>
      </w:pPr>
    </w:p>
    <w:p w14:paraId="58787A95" w14:textId="77777777" w:rsidR="00A71EEF" w:rsidRDefault="0081115D">
      <w:pPr>
        <w:pStyle w:val="a4"/>
        <w:numPr>
          <w:ilvl w:val="2"/>
          <w:numId w:val="15"/>
        </w:numPr>
        <w:tabs>
          <w:tab w:val="left" w:pos="1478"/>
        </w:tabs>
        <w:ind w:left="1477" w:hanging="638"/>
        <w:rPr>
          <w:sz w:val="21"/>
        </w:rPr>
      </w:pPr>
      <w:r>
        <w:rPr>
          <w:spacing w:val="-5"/>
          <w:sz w:val="21"/>
        </w:rPr>
        <w:t>根据计算出的参数绘制出风机的性能曲线，即风量与各参数的关系曲线，见图</w:t>
      </w:r>
      <w:r>
        <w:rPr>
          <w:spacing w:val="-5"/>
          <w:sz w:val="21"/>
        </w:rPr>
        <w:t xml:space="preserve"> </w:t>
      </w:r>
      <w:r>
        <w:rPr>
          <w:spacing w:val="-3"/>
          <w:sz w:val="21"/>
        </w:rPr>
        <w:t>4</w:t>
      </w:r>
      <w:r>
        <w:rPr>
          <w:spacing w:val="-3"/>
          <w:sz w:val="21"/>
        </w:rPr>
        <w:t>。</w:t>
      </w:r>
      <w:r>
        <w:rPr>
          <w:sz w:val="21"/>
        </w:rPr>
        <w:t xml:space="preserve"> </w:t>
      </w:r>
    </w:p>
    <w:p w14:paraId="21039BC5" w14:textId="77777777" w:rsidR="00A71EEF" w:rsidRDefault="00A71EEF">
      <w:pPr>
        <w:pStyle w:val="a3"/>
        <w:rPr>
          <w:sz w:val="20"/>
        </w:rPr>
      </w:pPr>
    </w:p>
    <w:p w14:paraId="227B9A40" w14:textId="77777777" w:rsidR="00A71EEF" w:rsidRDefault="0081115D">
      <w:pPr>
        <w:pStyle w:val="a3"/>
        <w:rPr>
          <w:sz w:val="25"/>
        </w:rPr>
      </w:pPr>
      <w:r>
        <w:rPr>
          <w:noProof/>
        </w:rPr>
        <w:drawing>
          <wp:anchor distT="0" distB="0" distL="0" distR="0" simplePos="0" relativeHeight="251753984" behindDoc="0" locked="0" layoutInCell="1" allowOverlap="1" wp14:anchorId="4B37E550" wp14:editId="3A651B4F">
            <wp:simplePos x="0" y="0"/>
            <wp:positionH relativeFrom="page">
              <wp:posOffset>1784704</wp:posOffset>
            </wp:positionH>
            <wp:positionV relativeFrom="paragraph">
              <wp:posOffset>228274</wp:posOffset>
            </wp:positionV>
            <wp:extent cx="4023126" cy="2428875"/>
            <wp:effectExtent l="0" t="0" r="0" b="0"/>
            <wp:wrapTopAndBottom/>
            <wp:docPr id="837" name="image4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 name="image491.jpeg"/>
                    <pic:cNvPicPr/>
                  </pic:nvPicPr>
                  <pic:blipFill>
                    <a:blip r:embed="rId613" cstate="print"/>
                    <a:stretch>
                      <a:fillRect/>
                    </a:stretch>
                  </pic:blipFill>
                  <pic:spPr>
                    <a:xfrm>
                      <a:off x="0" y="0"/>
                      <a:ext cx="4023126" cy="2428875"/>
                    </a:xfrm>
                    <a:prstGeom prst="rect">
                      <a:avLst/>
                    </a:prstGeom>
                  </pic:spPr>
                </pic:pic>
              </a:graphicData>
            </a:graphic>
          </wp:anchor>
        </w:drawing>
      </w:r>
    </w:p>
    <w:p w14:paraId="7AD9603D" w14:textId="77777777" w:rsidR="00A71EEF" w:rsidRDefault="00A71EEF">
      <w:pPr>
        <w:pStyle w:val="a3"/>
        <w:rPr>
          <w:sz w:val="8"/>
        </w:rPr>
      </w:pPr>
    </w:p>
    <w:p w14:paraId="004DFFF2" w14:textId="77777777" w:rsidR="00A71EEF" w:rsidRDefault="0081115D">
      <w:pPr>
        <w:pStyle w:val="a4"/>
        <w:numPr>
          <w:ilvl w:val="1"/>
          <w:numId w:val="15"/>
        </w:numPr>
        <w:tabs>
          <w:tab w:val="left" w:pos="1159"/>
        </w:tabs>
        <w:spacing w:before="72"/>
        <w:ind w:hanging="319"/>
        <w:rPr>
          <w:sz w:val="21"/>
        </w:rPr>
      </w:pPr>
      <w:r>
        <w:rPr>
          <w:spacing w:val="-3"/>
          <w:sz w:val="21"/>
        </w:rPr>
        <w:t>风机整机性能测定</w:t>
      </w:r>
      <w:r>
        <w:rPr>
          <w:spacing w:val="-3"/>
          <w:sz w:val="21"/>
        </w:rPr>
        <w:t xml:space="preserve"> </w:t>
      </w:r>
      <w:r>
        <w:rPr>
          <w:sz w:val="21"/>
        </w:rPr>
        <w:t xml:space="preserve"> </w:t>
      </w:r>
    </w:p>
    <w:p w14:paraId="4B609D16" w14:textId="77777777" w:rsidR="00A71EEF" w:rsidRDefault="00A71EEF">
      <w:pPr>
        <w:pStyle w:val="a3"/>
        <w:spacing w:before="12"/>
        <w:rPr>
          <w:sz w:val="17"/>
        </w:rPr>
      </w:pPr>
    </w:p>
    <w:p w14:paraId="54773B58" w14:textId="77777777" w:rsidR="00A71EEF" w:rsidRDefault="0081115D">
      <w:pPr>
        <w:pStyle w:val="a3"/>
        <w:spacing w:line="446" w:lineRule="auto"/>
        <w:ind w:left="840" w:right="3397" w:hanging="3"/>
      </w:pPr>
      <w:r>
        <w:t>风机整机性能测定是用来考核其性能指标是否达到设计或改进要求。</w:t>
      </w:r>
      <w:r>
        <w:rPr>
          <w:b/>
        </w:rPr>
        <w:t xml:space="preserve">4.5.1 </w:t>
      </w:r>
      <w:r>
        <w:t>工况点的测定</w:t>
      </w:r>
      <w:r>
        <w:t xml:space="preserve"> </w:t>
      </w:r>
    </w:p>
    <w:p w14:paraId="7D2C8BD6" w14:textId="77777777" w:rsidR="00A71EEF" w:rsidRDefault="0081115D">
      <w:pPr>
        <w:pStyle w:val="a3"/>
        <w:spacing w:before="1" w:line="446" w:lineRule="auto"/>
        <w:ind w:left="418" w:right="1609" w:firstLine="419"/>
      </w:pPr>
      <w:r>
        <w:t>工况点的测定采用轴功率法。测定时主风道和冷却风口处于工作状态，测定风机性能并绘出标准进气状态的性能曲线，见图</w:t>
      </w:r>
      <w:r>
        <w:t xml:space="preserve"> 5</w:t>
      </w:r>
      <w:r>
        <w:t>。</w:t>
      </w:r>
      <w:r>
        <w:t xml:space="preserve"> </w:t>
      </w:r>
    </w:p>
    <w:p w14:paraId="30FD8E06" w14:textId="77777777" w:rsidR="00A71EEF" w:rsidRDefault="00A71EEF">
      <w:pPr>
        <w:spacing w:line="446" w:lineRule="auto"/>
        <w:sectPr w:rsidR="00A71EEF">
          <w:pgSz w:w="11910" w:h="16850"/>
          <w:pgMar w:top="1080" w:right="0" w:bottom="1420" w:left="1260" w:header="0" w:footer="1239" w:gutter="0"/>
          <w:cols w:space="720"/>
        </w:sectPr>
      </w:pPr>
    </w:p>
    <w:p w14:paraId="0A3E4AA2" w14:textId="77777777" w:rsidR="00A71EEF" w:rsidRDefault="0081115D">
      <w:pPr>
        <w:pStyle w:val="a3"/>
        <w:spacing w:before="47" w:line="446" w:lineRule="auto"/>
        <w:ind w:left="838" w:right="1505"/>
      </w:pPr>
      <w:r>
        <w:rPr>
          <w:spacing w:val="-9"/>
        </w:rPr>
        <w:t>试验完毕后</w:t>
      </w:r>
      <w:r>
        <w:rPr>
          <w:spacing w:val="-9"/>
        </w:rPr>
        <w:t xml:space="preserve"> </w:t>
      </w:r>
      <w:r>
        <w:t>10min</w:t>
      </w:r>
      <w:r>
        <w:rPr>
          <w:spacing w:val="-8"/>
        </w:rPr>
        <w:t xml:space="preserve"> </w:t>
      </w:r>
      <w:r>
        <w:rPr>
          <w:spacing w:val="-8"/>
        </w:rPr>
        <w:t>以内，拆去试验风筒，装上灭火用风筒，测出同一转速下的轴功率值。</w:t>
      </w:r>
      <w:r>
        <w:rPr>
          <w:spacing w:val="-3"/>
        </w:rPr>
        <w:t>在性能曲线上，找出相应的轴功率点，过此点做垂线，与各曲线的交点即为标准进气状态</w:t>
      </w:r>
    </w:p>
    <w:p w14:paraId="12C1E326" w14:textId="77777777" w:rsidR="00A71EEF" w:rsidRDefault="0081115D">
      <w:pPr>
        <w:pStyle w:val="a3"/>
        <w:spacing w:line="267" w:lineRule="exact"/>
        <w:ind w:left="418"/>
      </w:pPr>
      <w:r>
        <w:t>下风机整机性能参数。</w:t>
      </w:r>
      <w:r>
        <w:t xml:space="preserve"> </w:t>
      </w:r>
    </w:p>
    <w:p w14:paraId="3333E86B" w14:textId="77777777" w:rsidR="00A71EEF" w:rsidRDefault="00A71EEF">
      <w:pPr>
        <w:pStyle w:val="a3"/>
        <w:spacing w:before="2"/>
        <w:rPr>
          <w:sz w:val="18"/>
        </w:rPr>
      </w:pPr>
    </w:p>
    <w:p w14:paraId="696832E0" w14:textId="77777777" w:rsidR="00A71EEF" w:rsidRDefault="0081115D">
      <w:pPr>
        <w:pStyle w:val="a3"/>
        <w:ind w:left="838"/>
      </w:pPr>
      <w:r>
        <w:rPr>
          <w:position w:val="1"/>
        </w:rPr>
        <w:t>由图</w:t>
      </w:r>
      <w:r>
        <w:rPr>
          <w:position w:val="1"/>
        </w:rPr>
        <w:t xml:space="preserve"> 5 </w:t>
      </w:r>
      <w:r>
        <w:rPr>
          <w:position w:val="1"/>
        </w:rPr>
        <w:t>可取得工况点参数为</w:t>
      </w:r>
      <w:r>
        <w:rPr>
          <w:position w:val="1"/>
        </w:rPr>
        <w:t xml:space="preserve"> p”</w:t>
      </w:r>
      <w:r>
        <w:rPr>
          <w:sz w:val="11"/>
        </w:rPr>
        <w:t>0</w:t>
      </w:r>
      <w:r>
        <w:rPr>
          <w:position w:val="1"/>
        </w:rPr>
        <w:t>、</w:t>
      </w:r>
      <w:r>
        <w:rPr>
          <w:position w:val="1"/>
        </w:rPr>
        <w:t>p”</w:t>
      </w:r>
      <w:r>
        <w:rPr>
          <w:sz w:val="11"/>
        </w:rPr>
        <w:t>at0</w:t>
      </w:r>
      <w:r>
        <w:rPr>
          <w:position w:val="1"/>
        </w:rPr>
        <w:t>、</w:t>
      </w:r>
      <w:r>
        <w:rPr>
          <w:position w:val="1"/>
        </w:rPr>
        <w:t>p”</w:t>
      </w:r>
      <w:r>
        <w:rPr>
          <w:sz w:val="11"/>
        </w:rPr>
        <w:t>d0</w:t>
      </w:r>
      <w:r>
        <w:rPr>
          <w:position w:val="1"/>
        </w:rPr>
        <w:t>、</w:t>
      </w:r>
      <w:r>
        <w:rPr>
          <w:position w:val="1"/>
        </w:rPr>
        <w:t>Q”</w:t>
      </w:r>
      <w:r>
        <w:rPr>
          <w:sz w:val="11"/>
        </w:rPr>
        <w:t>0</w:t>
      </w:r>
      <w:r>
        <w:rPr>
          <w:position w:val="1"/>
        </w:rPr>
        <w:t>、</w:t>
      </w:r>
      <w:r>
        <w:rPr>
          <w:position w:val="1"/>
        </w:rPr>
        <w:t>N”</w:t>
      </w:r>
      <w:r>
        <w:rPr>
          <w:sz w:val="11"/>
        </w:rPr>
        <w:t>0</w:t>
      </w:r>
      <w:r>
        <w:rPr>
          <w:position w:val="1"/>
        </w:rPr>
        <w:t>、</w:t>
      </w:r>
      <w:r>
        <w:rPr>
          <w:position w:val="1"/>
        </w:rPr>
        <w:t>η”</w:t>
      </w:r>
      <w:r>
        <w:rPr>
          <w:position w:val="1"/>
        </w:rPr>
        <w:t>。</w:t>
      </w:r>
      <w:r>
        <w:rPr>
          <w:position w:val="1"/>
        </w:rPr>
        <w:t xml:space="preserve"> </w:t>
      </w:r>
    </w:p>
    <w:p w14:paraId="5D74ABB1" w14:textId="77777777" w:rsidR="00A71EEF" w:rsidRDefault="0081115D">
      <w:pPr>
        <w:pStyle w:val="a3"/>
        <w:spacing w:before="12"/>
        <w:rPr>
          <w:sz w:val="9"/>
        </w:rPr>
      </w:pPr>
      <w:r>
        <w:rPr>
          <w:noProof/>
        </w:rPr>
        <w:drawing>
          <wp:anchor distT="0" distB="0" distL="0" distR="0" simplePos="0" relativeHeight="251755008" behindDoc="0" locked="0" layoutInCell="1" allowOverlap="1" wp14:anchorId="53D57918" wp14:editId="3F936DED">
            <wp:simplePos x="0" y="0"/>
            <wp:positionH relativeFrom="page">
              <wp:posOffset>1237591</wp:posOffset>
            </wp:positionH>
            <wp:positionV relativeFrom="paragraph">
              <wp:posOffset>105822</wp:posOffset>
            </wp:positionV>
            <wp:extent cx="4571109" cy="4076700"/>
            <wp:effectExtent l="0" t="0" r="0" b="0"/>
            <wp:wrapTopAndBottom/>
            <wp:docPr id="839" name="image4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 name="image492.jpeg"/>
                    <pic:cNvPicPr/>
                  </pic:nvPicPr>
                  <pic:blipFill>
                    <a:blip r:embed="rId614" cstate="print"/>
                    <a:stretch>
                      <a:fillRect/>
                    </a:stretch>
                  </pic:blipFill>
                  <pic:spPr>
                    <a:xfrm>
                      <a:off x="0" y="0"/>
                      <a:ext cx="4571109" cy="4076700"/>
                    </a:xfrm>
                    <a:prstGeom prst="rect">
                      <a:avLst/>
                    </a:prstGeom>
                  </pic:spPr>
                </pic:pic>
              </a:graphicData>
            </a:graphic>
          </wp:anchor>
        </w:drawing>
      </w:r>
    </w:p>
    <w:p w14:paraId="5FEB89DA" w14:textId="77777777" w:rsidR="00A71EEF" w:rsidRDefault="00A71EEF">
      <w:pPr>
        <w:pStyle w:val="a3"/>
        <w:spacing w:before="10"/>
        <w:rPr>
          <w:sz w:val="14"/>
        </w:rPr>
      </w:pPr>
    </w:p>
    <w:p w14:paraId="6A146741" w14:textId="77777777" w:rsidR="00A71EEF" w:rsidRDefault="0081115D">
      <w:pPr>
        <w:pStyle w:val="a3"/>
        <w:ind w:right="494"/>
        <w:jc w:val="center"/>
      </w:pPr>
      <w:r>
        <w:t>图</w:t>
      </w:r>
      <w:r>
        <w:t xml:space="preserve"> 5 </w:t>
      </w:r>
      <w:r>
        <w:t>轴功率法确定工况点</w:t>
      </w:r>
      <w:r>
        <w:t xml:space="preserve"> </w:t>
      </w:r>
    </w:p>
    <w:p w14:paraId="2BCA1A81" w14:textId="77777777" w:rsidR="00A71EEF" w:rsidRDefault="00A71EEF">
      <w:pPr>
        <w:pStyle w:val="a3"/>
        <w:spacing w:before="2"/>
        <w:rPr>
          <w:sz w:val="18"/>
        </w:rPr>
      </w:pPr>
    </w:p>
    <w:p w14:paraId="0367A44E" w14:textId="77777777" w:rsidR="00A71EEF" w:rsidRDefault="0081115D">
      <w:pPr>
        <w:pStyle w:val="a4"/>
        <w:numPr>
          <w:ilvl w:val="2"/>
          <w:numId w:val="14"/>
        </w:numPr>
        <w:tabs>
          <w:tab w:val="left" w:pos="1371"/>
        </w:tabs>
        <w:rPr>
          <w:sz w:val="21"/>
        </w:rPr>
      </w:pPr>
      <w:r>
        <w:rPr>
          <w:spacing w:val="-3"/>
          <w:sz w:val="21"/>
        </w:rPr>
        <w:t>风机整机效率</w:t>
      </w:r>
      <w:r>
        <w:rPr>
          <w:sz w:val="21"/>
        </w:rPr>
        <w:t xml:space="preserve"> </w:t>
      </w:r>
    </w:p>
    <w:p w14:paraId="3A16E4DB" w14:textId="77777777" w:rsidR="00A71EEF" w:rsidRDefault="00A71EEF">
      <w:pPr>
        <w:pStyle w:val="a3"/>
        <w:spacing w:before="5"/>
        <w:rPr>
          <w:sz w:val="12"/>
        </w:rPr>
      </w:pPr>
    </w:p>
    <w:p w14:paraId="1B5678F5" w14:textId="77777777" w:rsidR="00A71EEF" w:rsidRDefault="00A71EEF">
      <w:pPr>
        <w:rPr>
          <w:sz w:val="12"/>
        </w:rPr>
        <w:sectPr w:rsidR="00A71EEF">
          <w:pgSz w:w="11910" w:h="16850"/>
          <w:pgMar w:top="1220" w:right="0" w:bottom="1420" w:left="1260" w:header="0" w:footer="1239" w:gutter="0"/>
          <w:cols w:space="720"/>
        </w:sectPr>
      </w:pPr>
    </w:p>
    <w:p w14:paraId="5F6B08D9" w14:textId="77777777" w:rsidR="00A71EEF" w:rsidRDefault="0081115D">
      <w:pPr>
        <w:pStyle w:val="a4"/>
        <w:numPr>
          <w:ilvl w:val="3"/>
          <w:numId w:val="14"/>
        </w:numPr>
        <w:tabs>
          <w:tab w:val="left" w:pos="1583"/>
        </w:tabs>
        <w:spacing w:before="72"/>
        <w:rPr>
          <w:sz w:val="21"/>
        </w:rPr>
      </w:pPr>
      <w:r>
        <w:rPr>
          <w:spacing w:val="-3"/>
          <w:sz w:val="21"/>
        </w:rPr>
        <w:t>灭火风筒出口处动压</w:t>
      </w:r>
      <w:r>
        <w:rPr>
          <w:sz w:val="21"/>
        </w:rPr>
        <w:t xml:space="preserve"> </w:t>
      </w:r>
    </w:p>
    <w:p w14:paraId="283F4F5D" w14:textId="77777777" w:rsidR="00A71EEF" w:rsidRDefault="0081115D">
      <w:pPr>
        <w:pStyle w:val="a3"/>
        <w:spacing w:before="6"/>
        <w:rPr>
          <w:sz w:val="34"/>
        </w:rPr>
      </w:pPr>
      <w:r>
        <w:br w:type="column"/>
      </w:r>
    </w:p>
    <w:p w14:paraId="1FD47728" w14:textId="77777777" w:rsidR="00A71EEF" w:rsidRDefault="0081115D">
      <w:pPr>
        <w:jc w:val="right"/>
        <w:rPr>
          <w:rFonts w:ascii="Cambria Math" w:eastAsia="Cambria Math" w:hAnsi="Cambria Math"/>
          <w:sz w:val="15"/>
        </w:rPr>
      </w:pPr>
      <w:r>
        <w:rPr>
          <w:rFonts w:ascii="Cambria Math" w:eastAsia="Cambria Math" w:hAnsi="Cambria Math"/>
          <w:w w:val="120"/>
          <w:position w:val="-7"/>
          <w:sz w:val="21"/>
        </w:rPr>
        <w:t>𝑝</w:t>
      </w:r>
      <w:r>
        <w:rPr>
          <w:rFonts w:ascii="Cambria Math" w:eastAsia="Cambria Math" w:hAnsi="Cambria Math"/>
          <w:w w:val="120"/>
          <w:sz w:val="15"/>
        </w:rPr>
        <w:t>′</w:t>
      </w:r>
    </w:p>
    <w:p w14:paraId="34EC013D" w14:textId="77777777" w:rsidR="00A71EEF" w:rsidRDefault="0081115D">
      <w:pPr>
        <w:pStyle w:val="a3"/>
        <w:rPr>
          <w:rFonts w:ascii="Cambria Math"/>
          <w:sz w:val="18"/>
        </w:rPr>
      </w:pPr>
      <w:r>
        <w:br w:type="column"/>
      </w:r>
    </w:p>
    <w:p w14:paraId="5CF8547B" w14:textId="77777777" w:rsidR="00A71EEF" w:rsidRDefault="00A71EEF">
      <w:pPr>
        <w:pStyle w:val="a3"/>
        <w:rPr>
          <w:rFonts w:ascii="Cambria Math"/>
          <w:sz w:val="18"/>
        </w:rPr>
      </w:pPr>
    </w:p>
    <w:p w14:paraId="3DCDCBEC" w14:textId="77777777" w:rsidR="00A71EEF" w:rsidRDefault="00A71EEF">
      <w:pPr>
        <w:pStyle w:val="a3"/>
        <w:spacing w:before="9"/>
        <w:rPr>
          <w:rFonts w:ascii="Cambria Math"/>
          <w:sz w:val="14"/>
        </w:rPr>
      </w:pPr>
    </w:p>
    <w:p w14:paraId="1B150364" w14:textId="77777777" w:rsidR="00A71EEF" w:rsidRDefault="0081115D">
      <w:pPr>
        <w:ind w:left="-32"/>
        <w:rPr>
          <w:rFonts w:ascii="Cambria Math" w:eastAsia="Cambria Math"/>
          <w:sz w:val="12"/>
        </w:rPr>
      </w:pPr>
      <w:r>
        <w:rPr>
          <w:rFonts w:ascii="Cambria Math" w:eastAsia="Cambria Math"/>
          <w:w w:val="105"/>
          <w:sz w:val="15"/>
        </w:rPr>
        <w:t>𝑑</w:t>
      </w:r>
      <w:r>
        <w:rPr>
          <w:rFonts w:ascii="Cambria Math" w:eastAsia="Cambria Math"/>
          <w:w w:val="105"/>
          <w:position w:val="-2"/>
          <w:sz w:val="12"/>
        </w:rPr>
        <w:t>0</w:t>
      </w:r>
    </w:p>
    <w:p w14:paraId="102FC0F6" w14:textId="77777777" w:rsidR="00A71EEF" w:rsidRDefault="0081115D">
      <w:pPr>
        <w:pStyle w:val="a3"/>
        <w:rPr>
          <w:rFonts w:ascii="Cambria Math"/>
          <w:sz w:val="22"/>
        </w:rPr>
      </w:pPr>
      <w:r>
        <w:br w:type="column"/>
      </w:r>
    </w:p>
    <w:p w14:paraId="130A6899" w14:textId="77777777" w:rsidR="00A71EEF" w:rsidRDefault="0081115D">
      <w:pPr>
        <w:pStyle w:val="a3"/>
        <w:spacing w:before="194"/>
        <w:ind w:left="-23"/>
        <w:rPr>
          <w:rFonts w:ascii="Cambria Math" w:eastAsia="Cambria Math" w:hAnsi="Cambria Math"/>
        </w:rPr>
      </w:pPr>
      <w:r>
        <w:rPr>
          <w:rFonts w:ascii="Cambria Math" w:eastAsia="Cambria Math" w:hAnsi="Cambria Math"/>
          <w:position w:val="1"/>
        </w:rPr>
        <w:t>(</w:t>
      </w:r>
      <w:r>
        <w:rPr>
          <w:rFonts w:ascii="Cambria Math" w:eastAsia="Cambria Math" w:hAnsi="Cambria Math"/>
        </w:rPr>
        <w:t>𝑃𝑎</w:t>
      </w:r>
      <w:r>
        <w:rPr>
          <w:rFonts w:ascii="Cambria Math" w:eastAsia="Cambria Math" w:hAnsi="Cambria Math"/>
          <w:position w:val="1"/>
        </w:rPr>
        <w:t xml:space="preserve">) </w:t>
      </w:r>
      <w:r>
        <w:rPr>
          <w:rFonts w:ascii="Cambria Math" w:eastAsia="Cambria Math" w:hAnsi="Cambria Math"/>
        </w:rPr>
        <w:t xml:space="preserve">= </w:t>
      </w:r>
      <w:r>
        <w:rPr>
          <w:rFonts w:ascii="Cambria Math" w:eastAsia="Cambria Math" w:hAnsi="Cambria Math"/>
        </w:rPr>
        <w:t>𝑝</w:t>
      </w:r>
      <w:r>
        <w:rPr>
          <w:rFonts w:ascii="Cambria Math" w:eastAsia="Cambria Math" w:hAnsi="Cambria Math"/>
        </w:rPr>
        <w:t>′′</w:t>
      </w:r>
    </w:p>
    <w:p w14:paraId="115B7726" w14:textId="77777777" w:rsidR="00A71EEF" w:rsidRDefault="0081115D">
      <w:pPr>
        <w:pStyle w:val="a3"/>
        <w:rPr>
          <w:rFonts w:ascii="Cambria Math"/>
          <w:sz w:val="18"/>
        </w:rPr>
      </w:pPr>
      <w:r>
        <w:br w:type="column"/>
      </w:r>
    </w:p>
    <w:p w14:paraId="7CF69DCE" w14:textId="77777777" w:rsidR="00A71EEF" w:rsidRDefault="00A71EEF">
      <w:pPr>
        <w:pStyle w:val="a3"/>
        <w:rPr>
          <w:rFonts w:ascii="Cambria Math"/>
          <w:sz w:val="18"/>
        </w:rPr>
      </w:pPr>
    </w:p>
    <w:p w14:paraId="1C10E019" w14:textId="77777777" w:rsidR="00A71EEF" w:rsidRDefault="0081115D">
      <w:pPr>
        <w:spacing w:before="140"/>
        <w:ind w:left="-40"/>
        <w:rPr>
          <w:rFonts w:ascii="Cambria Math" w:eastAsia="Cambria Math"/>
          <w:sz w:val="12"/>
        </w:rPr>
      </w:pPr>
      <w:r>
        <w:rPr>
          <w:rFonts w:ascii="Cambria Math" w:eastAsia="Cambria Math"/>
          <w:w w:val="105"/>
          <w:sz w:val="15"/>
        </w:rPr>
        <w:t>𝑑</w:t>
      </w:r>
      <w:r>
        <w:rPr>
          <w:rFonts w:ascii="Cambria Math" w:eastAsia="Cambria Math"/>
          <w:w w:val="105"/>
          <w:position w:val="-2"/>
          <w:sz w:val="12"/>
        </w:rPr>
        <w:t>0</w:t>
      </w:r>
    </w:p>
    <w:p w14:paraId="4E71E716" w14:textId="77777777" w:rsidR="00A71EEF" w:rsidRDefault="0081115D">
      <w:pPr>
        <w:pStyle w:val="a3"/>
        <w:spacing w:before="3"/>
        <w:rPr>
          <w:rFonts w:ascii="Cambria Math"/>
          <w:sz w:val="31"/>
        </w:rPr>
      </w:pPr>
      <w:r>
        <w:br w:type="column"/>
      </w:r>
    </w:p>
    <w:p w14:paraId="02BB2631" w14:textId="77777777" w:rsidR="00A71EEF" w:rsidRDefault="0081115D">
      <w:pPr>
        <w:spacing w:before="1" w:line="340" w:lineRule="exact"/>
        <w:ind w:left="-25"/>
        <w:rPr>
          <w:sz w:val="21"/>
        </w:rPr>
      </w:pPr>
      <w:r>
        <w:rPr>
          <w:rFonts w:ascii="Cambria Math" w:eastAsia="Cambria Math" w:hAnsi="Cambria Math"/>
          <w:sz w:val="21"/>
        </w:rPr>
        <w:t xml:space="preserve">` </w:t>
      </w:r>
      <w:r>
        <w:rPr>
          <w:rFonts w:ascii="Cambria Math" w:eastAsia="Cambria Math" w:hAnsi="Cambria Math"/>
          <w:position w:val="12"/>
          <w:sz w:val="15"/>
        </w:rPr>
        <w:t>𝐷</w:t>
      </w:r>
      <w:r>
        <w:rPr>
          <w:rFonts w:ascii="Cambria Math" w:eastAsia="Cambria Math" w:hAnsi="Cambria Math"/>
          <w:position w:val="18"/>
          <w:sz w:val="12"/>
        </w:rPr>
        <w:t>4</w:t>
      </w:r>
      <w:r>
        <w:rPr>
          <w:rFonts w:ascii="Cambria Math" w:eastAsia="Cambria Math" w:hAnsi="Cambria Math"/>
          <w:sz w:val="12"/>
        </w:rPr>
        <w:t xml:space="preserve"> </w:t>
      </w:r>
      <w:r>
        <w:rPr>
          <w:sz w:val="21"/>
        </w:rPr>
        <w:t>……………………</w:t>
      </w:r>
      <w:r>
        <w:rPr>
          <w:sz w:val="21"/>
        </w:rPr>
        <w:t>（</w:t>
      </w:r>
      <w:r>
        <w:rPr>
          <w:sz w:val="21"/>
        </w:rPr>
        <w:t>9</w:t>
      </w:r>
      <w:r>
        <w:rPr>
          <w:sz w:val="21"/>
        </w:rPr>
        <w:t>）</w:t>
      </w:r>
      <w:r>
        <w:rPr>
          <w:sz w:val="21"/>
        </w:rPr>
        <w:t xml:space="preserve"> </w:t>
      </w:r>
    </w:p>
    <w:p w14:paraId="60B4C831" w14:textId="77777777" w:rsidR="00A71EEF" w:rsidRDefault="0081115D">
      <w:pPr>
        <w:spacing w:line="127" w:lineRule="exact"/>
        <w:ind w:left="212"/>
        <w:rPr>
          <w:rFonts w:ascii="Cambria Math"/>
          <w:sz w:val="12"/>
        </w:rPr>
      </w:pPr>
      <w:r>
        <w:pict w14:anchorId="15ECFFA2">
          <v:line id="_x0000_s1043" style="position:absolute;left:0;text-align:left;z-index:-251509248;mso-position-horizontal-relative:page" from="365.35pt,-5.3pt" to="376.4pt,-5.3pt" strokeweight=".72pt">
            <w10:wrap anchorx="page"/>
          </v:line>
        </w:pict>
      </w:r>
      <w:r>
        <w:pict w14:anchorId="401797DC">
          <v:shape id="_x0000_s1042" type="#_x0000_t202" style="position:absolute;left:0;text-align:left;margin-left:365.35pt;margin-top:-4.55pt;width:10.8pt;height:9.25pt;z-index:-251507200;mso-position-horizontal-relative:page" filled="f" stroked="f">
            <v:textbox inset="0,0,0,0">
              <w:txbxContent>
                <w:p w14:paraId="6B393DE4" w14:textId="77777777" w:rsidR="00A71EEF" w:rsidRDefault="0081115D">
                  <w:pPr>
                    <w:spacing w:before="7" w:line="156" w:lineRule="auto"/>
                    <w:rPr>
                      <w:rFonts w:ascii="Cambria Math" w:eastAsia="Cambria Math"/>
                      <w:sz w:val="12"/>
                    </w:rPr>
                  </w:pPr>
                  <w:r>
                    <w:rPr>
                      <w:rFonts w:ascii="Cambria Math" w:eastAsia="Cambria Math"/>
                      <w:w w:val="105"/>
                      <w:position w:val="-5"/>
                      <w:sz w:val="15"/>
                    </w:rPr>
                    <w:t>𝐷</w:t>
                  </w:r>
                  <w:r>
                    <w:rPr>
                      <w:rFonts w:ascii="Cambria Math" w:eastAsia="Cambria Math"/>
                      <w:w w:val="105"/>
                      <w:position w:val="-5"/>
                      <w:sz w:val="15"/>
                    </w:rPr>
                    <w:t xml:space="preserve"> </w:t>
                  </w:r>
                  <w:r>
                    <w:rPr>
                      <w:rFonts w:ascii="Cambria Math" w:eastAsia="Cambria Math"/>
                      <w:w w:val="105"/>
                      <w:sz w:val="12"/>
                    </w:rPr>
                    <w:t>4</w:t>
                  </w:r>
                </w:p>
              </w:txbxContent>
            </v:textbox>
            <w10:wrap anchorx="page"/>
          </v:shape>
        </w:pict>
      </w:r>
      <w:r>
        <w:rPr>
          <w:rFonts w:ascii="Cambria Math"/>
          <w:w w:val="107"/>
          <w:sz w:val="12"/>
        </w:rPr>
        <w:t>1</w:t>
      </w:r>
    </w:p>
    <w:p w14:paraId="1270E7F5" w14:textId="77777777" w:rsidR="00A71EEF" w:rsidRDefault="00A71EEF">
      <w:pPr>
        <w:spacing w:line="127" w:lineRule="exact"/>
        <w:rPr>
          <w:rFonts w:ascii="Cambria Math"/>
          <w:sz w:val="12"/>
        </w:rPr>
        <w:sectPr w:rsidR="00A71EEF">
          <w:type w:val="continuous"/>
          <w:pgSz w:w="11910" w:h="16850"/>
          <w:pgMar w:top="1600" w:right="0" w:bottom="1180" w:left="1260" w:header="720" w:footer="720" w:gutter="0"/>
          <w:cols w:num="6" w:space="720" w:equalWidth="0">
            <w:col w:w="3683" w:space="40"/>
            <w:col w:w="931" w:space="39"/>
            <w:col w:w="136" w:space="40"/>
            <w:col w:w="902" w:space="40"/>
            <w:col w:w="128" w:space="39"/>
            <w:col w:w="4672"/>
          </w:cols>
        </w:sectPr>
      </w:pPr>
    </w:p>
    <w:p w14:paraId="107F588E" w14:textId="77777777" w:rsidR="00A71EEF" w:rsidRDefault="0081115D">
      <w:pPr>
        <w:pStyle w:val="a3"/>
        <w:spacing w:before="163"/>
        <w:ind w:left="838"/>
      </w:pPr>
      <w:r>
        <w:rPr>
          <w:position w:val="1"/>
        </w:rPr>
        <w:t>式中：</w:t>
      </w:r>
      <w:r>
        <w:rPr>
          <w:position w:val="1"/>
        </w:rPr>
        <w:t>D</w:t>
      </w:r>
      <w:r>
        <w:rPr>
          <w:sz w:val="11"/>
        </w:rPr>
        <w:t>1</w:t>
      </w:r>
      <w:r>
        <w:rPr>
          <w:position w:val="1"/>
        </w:rPr>
        <w:t>——</w:t>
      </w:r>
      <w:r>
        <w:rPr>
          <w:position w:val="1"/>
        </w:rPr>
        <w:t>灭火风筒出口处直径，</w:t>
      </w:r>
      <w:r>
        <w:rPr>
          <w:position w:val="1"/>
        </w:rPr>
        <w:t>m</w:t>
      </w:r>
      <w:r>
        <w:rPr>
          <w:position w:val="1"/>
        </w:rPr>
        <w:t>。</w:t>
      </w:r>
      <w:r>
        <w:rPr>
          <w:position w:val="1"/>
        </w:rPr>
        <w:t xml:space="preserve"> </w:t>
      </w:r>
    </w:p>
    <w:p w14:paraId="0074FC0F" w14:textId="77777777" w:rsidR="00A71EEF" w:rsidRDefault="00A71EEF">
      <w:pPr>
        <w:pStyle w:val="a3"/>
        <w:spacing w:before="5"/>
        <w:rPr>
          <w:sz w:val="12"/>
        </w:rPr>
      </w:pPr>
    </w:p>
    <w:p w14:paraId="22F66EF8" w14:textId="77777777" w:rsidR="00A71EEF" w:rsidRDefault="00A71EEF">
      <w:pPr>
        <w:rPr>
          <w:sz w:val="12"/>
        </w:rPr>
        <w:sectPr w:rsidR="00A71EEF">
          <w:type w:val="continuous"/>
          <w:pgSz w:w="11910" w:h="16850"/>
          <w:pgMar w:top="1600" w:right="0" w:bottom="1180" w:left="1260" w:header="720" w:footer="720" w:gutter="0"/>
          <w:cols w:space="720"/>
        </w:sectPr>
      </w:pPr>
    </w:p>
    <w:p w14:paraId="630BD751" w14:textId="77777777" w:rsidR="00A71EEF" w:rsidRDefault="0081115D">
      <w:pPr>
        <w:pStyle w:val="a4"/>
        <w:numPr>
          <w:ilvl w:val="3"/>
          <w:numId w:val="14"/>
        </w:numPr>
        <w:tabs>
          <w:tab w:val="left" w:pos="1583"/>
        </w:tabs>
        <w:spacing w:before="72"/>
        <w:rPr>
          <w:sz w:val="21"/>
        </w:rPr>
      </w:pPr>
      <w:r>
        <w:rPr>
          <w:spacing w:val="-3"/>
          <w:sz w:val="21"/>
        </w:rPr>
        <w:t>灭火风筒出口处的动压功率</w:t>
      </w:r>
      <w:r>
        <w:rPr>
          <w:sz w:val="21"/>
        </w:rPr>
        <w:t xml:space="preserve"> </w:t>
      </w:r>
    </w:p>
    <w:p w14:paraId="58501EBF" w14:textId="77777777" w:rsidR="00A71EEF" w:rsidRDefault="00A71EEF">
      <w:pPr>
        <w:pStyle w:val="a3"/>
        <w:rPr>
          <w:sz w:val="20"/>
        </w:rPr>
      </w:pPr>
    </w:p>
    <w:p w14:paraId="14B85F27" w14:textId="77777777" w:rsidR="00A71EEF" w:rsidRDefault="00A71EEF">
      <w:pPr>
        <w:pStyle w:val="a3"/>
        <w:spacing w:before="9"/>
        <w:rPr>
          <w:sz w:val="27"/>
        </w:rPr>
      </w:pPr>
    </w:p>
    <w:p w14:paraId="002725E0" w14:textId="77777777" w:rsidR="00A71EEF" w:rsidRDefault="0081115D">
      <w:pPr>
        <w:pStyle w:val="a4"/>
        <w:numPr>
          <w:ilvl w:val="3"/>
          <w:numId w:val="14"/>
        </w:numPr>
        <w:tabs>
          <w:tab w:val="left" w:pos="1583"/>
        </w:tabs>
        <w:spacing w:before="1"/>
        <w:rPr>
          <w:sz w:val="21"/>
        </w:rPr>
      </w:pPr>
      <w:r>
        <w:rPr>
          <w:spacing w:val="-3"/>
          <w:sz w:val="21"/>
        </w:rPr>
        <w:t>工作状态整机效率</w:t>
      </w:r>
      <w:r>
        <w:rPr>
          <w:spacing w:val="-3"/>
          <w:sz w:val="21"/>
        </w:rPr>
        <w:t xml:space="preserve"> </w:t>
      </w:r>
    </w:p>
    <w:p w14:paraId="78E4B985" w14:textId="77777777" w:rsidR="00A71EEF" w:rsidRDefault="0081115D">
      <w:pPr>
        <w:pStyle w:val="a3"/>
        <w:spacing w:before="9"/>
        <w:rPr>
          <w:sz w:val="33"/>
        </w:rPr>
      </w:pPr>
      <w:r>
        <w:br w:type="column"/>
      </w:r>
    </w:p>
    <w:p w14:paraId="79AE1787" w14:textId="77777777" w:rsidR="00A71EEF" w:rsidRDefault="0081115D">
      <w:pPr>
        <w:spacing w:before="1"/>
        <w:ind w:left="295"/>
        <w:rPr>
          <w:rFonts w:ascii="Cambria Math" w:eastAsia="Cambria Math" w:hAnsi="Cambria Math"/>
          <w:sz w:val="15"/>
        </w:rPr>
      </w:pPr>
      <w:r>
        <w:rPr>
          <w:rFonts w:ascii="Cambria Math" w:eastAsia="Cambria Math" w:hAnsi="Cambria Math"/>
          <w:spacing w:val="-1"/>
          <w:w w:val="115"/>
          <w:position w:val="-7"/>
          <w:sz w:val="21"/>
        </w:rPr>
        <w:t>𝑁</w:t>
      </w:r>
      <w:r>
        <w:rPr>
          <w:rFonts w:ascii="Cambria Math" w:eastAsia="Cambria Math" w:hAnsi="Cambria Math"/>
          <w:spacing w:val="-1"/>
          <w:w w:val="115"/>
          <w:sz w:val="15"/>
        </w:rPr>
        <w:t>′</w:t>
      </w:r>
      <w:r>
        <w:rPr>
          <w:rFonts w:ascii="Cambria Math" w:eastAsia="Cambria Math" w:hAnsi="Cambria Math"/>
          <w:spacing w:val="-1"/>
          <w:w w:val="115"/>
          <w:position w:val="-11"/>
          <w:sz w:val="15"/>
        </w:rPr>
        <w:t>0</w:t>
      </w:r>
    </w:p>
    <w:p w14:paraId="26C99A25" w14:textId="77777777" w:rsidR="00A71EEF" w:rsidRDefault="0081115D">
      <w:pPr>
        <w:pStyle w:val="a3"/>
        <w:spacing w:before="6"/>
        <w:rPr>
          <w:rFonts w:ascii="Cambria Math"/>
          <w:sz w:val="31"/>
        </w:rPr>
      </w:pPr>
      <w:r>
        <w:br w:type="column"/>
      </w:r>
    </w:p>
    <w:p w14:paraId="1F2B39E9" w14:textId="77777777" w:rsidR="00A71EEF" w:rsidRDefault="0081115D">
      <w:pPr>
        <w:tabs>
          <w:tab w:val="left" w:leader="dot" w:pos="3571"/>
        </w:tabs>
        <w:spacing w:line="294" w:lineRule="exact"/>
        <w:ind w:left="-32"/>
        <w:rPr>
          <w:sz w:val="21"/>
        </w:rPr>
      </w:pPr>
      <w:r>
        <w:rPr>
          <w:rFonts w:ascii="Cambria Math" w:eastAsia="Cambria Math" w:hAnsi="Cambria Math"/>
          <w:w w:val="105"/>
          <w:position w:val="1"/>
          <w:sz w:val="21"/>
        </w:rPr>
        <w:t>(</w:t>
      </w:r>
      <w:r>
        <w:rPr>
          <w:rFonts w:ascii="Cambria Math" w:eastAsia="Cambria Math" w:hAnsi="Cambria Math"/>
          <w:w w:val="105"/>
          <w:sz w:val="21"/>
        </w:rPr>
        <w:t>kW</w:t>
      </w:r>
      <w:r>
        <w:rPr>
          <w:rFonts w:ascii="Cambria Math" w:eastAsia="Cambria Math" w:hAnsi="Cambria Math"/>
          <w:w w:val="105"/>
          <w:position w:val="1"/>
          <w:sz w:val="21"/>
        </w:rPr>
        <w:t xml:space="preserve">) </w:t>
      </w:r>
      <w:r>
        <w:rPr>
          <w:rFonts w:ascii="Cambria Math" w:eastAsia="Cambria Math" w:hAnsi="Cambria Math"/>
          <w:w w:val="105"/>
          <w:sz w:val="21"/>
        </w:rPr>
        <w:t>=</w:t>
      </w:r>
      <w:r>
        <w:rPr>
          <w:rFonts w:ascii="Cambria Math" w:eastAsia="Cambria Math" w:hAnsi="Cambria Math"/>
          <w:spacing w:val="18"/>
          <w:w w:val="105"/>
          <w:sz w:val="21"/>
        </w:rPr>
        <w:t xml:space="preserve"> </w:t>
      </w:r>
      <w:r>
        <w:rPr>
          <w:rFonts w:ascii="Cambria Math" w:eastAsia="Cambria Math" w:hAnsi="Cambria Math"/>
          <w:w w:val="105"/>
          <w:position w:val="14"/>
          <w:sz w:val="15"/>
        </w:rPr>
        <w:t>p′</w:t>
      </w:r>
      <w:r>
        <w:rPr>
          <w:rFonts w:ascii="Cambria Math" w:eastAsia="Cambria Math" w:hAnsi="Cambria Math"/>
          <w:w w:val="105"/>
          <w:position w:val="11"/>
          <w:sz w:val="12"/>
        </w:rPr>
        <w:t>d</w:t>
      </w:r>
      <w:r>
        <w:rPr>
          <w:rFonts w:ascii="Cambria Math" w:eastAsia="Cambria Math" w:hAnsi="Cambria Math"/>
          <w:w w:val="105"/>
          <w:position w:val="8"/>
          <w:sz w:val="12"/>
        </w:rPr>
        <w:t>0</w:t>
      </w:r>
      <w:r>
        <w:rPr>
          <w:rFonts w:ascii="Cambria Math" w:eastAsia="Cambria Math" w:hAnsi="Cambria Math"/>
          <w:spacing w:val="-15"/>
          <w:w w:val="105"/>
          <w:position w:val="8"/>
          <w:sz w:val="12"/>
        </w:rPr>
        <w:t xml:space="preserve"> </w:t>
      </w:r>
      <w:r>
        <w:rPr>
          <w:rFonts w:ascii="Cambria Math" w:eastAsia="Cambria Math" w:hAnsi="Cambria Math"/>
          <w:w w:val="105"/>
          <w:position w:val="14"/>
          <w:sz w:val="15"/>
        </w:rPr>
        <w:t>·Q</w:t>
      </w:r>
      <w:r>
        <w:rPr>
          <w:rFonts w:ascii="Cambria Math" w:eastAsia="Cambria Math" w:hAnsi="Cambria Math"/>
          <w:w w:val="105"/>
          <w:position w:val="11"/>
          <w:sz w:val="12"/>
        </w:rPr>
        <w:t>0</w:t>
      </w:r>
      <w:r>
        <w:rPr>
          <w:rFonts w:ascii="Cambria Math" w:eastAsia="Cambria Math" w:hAnsi="Cambria Math"/>
          <w:w w:val="105"/>
          <w:position w:val="11"/>
          <w:sz w:val="12"/>
        </w:rPr>
        <w:tab/>
      </w:r>
      <w:r>
        <w:rPr>
          <w:w w:val="105"/>
          <w:sz w:val="21"/>
        </w:rPr>
        <w:t>（</w:t>
      </w:r>
      <w:r>
        <w:rPr>
          <w:w w:val="105"/>
          <w:sz w:val="21"/>
        </w:rPr>
        <w:t>10</w:t>
      </w:r>
      <w:r>
        <w:rPr>
          <w:w w:val="105"/>
          <w:sz w:val="21"/>
        </w:rPr>
        <w:t>）</w:t>
      </w:r>
      <w:r>
        <w:rPr>
          <w:w w:val="105"/>
          <w:sz w:val="21"/>
        </w:rPr>
        <w:t xml:space="preserve"> </w:t>
      </w:r>
    </w:p>
    <w:p w14:paraId="58596986" w14:textId="77777777" w:rsidR="00A71EEF" w:rsidRDefault="0081115D">
      <w:pPr>
        <w:spacing w:line="128" w:lineRule="exact"/>
        <w:ind w:left="816"/>
        <w:rPr>
          <w:rFonts w:ascii="Cambria Math"/>
          <w:sz w:val="15"/>
        </w:rPr>
      </w:pPr>
      <w:r>
        <w:pict w14:anchorId="64299AA0">
          <v:line id="_x0000_s1041" style="position:absolute;left:0;text-align:left;z-index:-251508224;mso-position-horizontal-relative:page" from="349.25pt,-3.55pt" to="376.25pt,-3.55pt" strokeweight=".72pt">
            <w10:wrap anchorx="page"/>
          </v:line>
        </w:pict>
      </w:r>
      <w:r>
        <w:rPr>
          <w:rFonts w:ascii="Cambria Math"/>
          <w:w w:val="105"/>
          <w:sz w:val="15"/>
        </w:rPr>
        <w:t>1000</w:t>
      </w:r>
    </w:p>
    <w:p w14:paraId="79321743" w14:textId="77777777" w:rsidR="00A71EEF" w:rsidRDefault="00A71EEF">
      <w:pPr>
        <w:spacing w:line="128" w:lineRule="exact"/>
        <w:rPr>
          <w:rFonts w:ascii="Cambria Math"/>
          <w:sz w:val="15"/>
        </w:rPr>
        <w:sectPr w:rsidR="00A71EEF">
          <w:type w:val="continuous"/>
          <w:pgSz w:w="11910" w:h="16850"/>
          <w:pgMar w:top="1600" w:right="0" w:bottom="1180" w:left="1260" w:header="720" w:footer="720" w:gutter="0"/>
          <w:cols w:num="3" w:space="720" w:equalWidth="0">
            <w:col w:w="4314" w:space="40"/>
            <w:col w:w="612" w:space="39"/>
            <w:col w:w="5645"/>
          </w:cols>
        </w:sectPr>
      </w:pPr>
    </w:p>
    <w:p w14:paraId="11B36086" w14:textId="77777777" w:rsidR="00A71EEF" w:rsidRDefault="00A71EEF">
      <w:pPr>
        <w:pStyle w:val="a3"/>
        <w:rPr>
          <w:rFonts w:ascii="Cambria Math"/>
          <w:sz w:val="24"/>
        </w:rPr>
      </w:pPr>
    </w:p>
    <w:p w14:paraId="298ABFD6" w14:textId="77777777" w:rsidR="00A71EEF" w:rsidRDefault="00A71EEF">
      <w:pPr>
        <w:pStyle w:val="a3"/>
        <w:rPr>
          <w:rFonts w:ascii="Cambria Math"/>
          <w:sz w:val="26"/>
        </w:rPr>
      </w:pPr>
    </w:p>
    <w:p w14:paraId="4AEE2F56" w14:textId="77777777" w:rsidR="00A71EEF" w:rsidRDefault="0081115D">
      <w:pPr>
        <w:pStyle w:val="4"/>
      </w:pPr>
      <w:r>
        <w:t xml:space="preserve">5 </w:t>
      </w:r>
      <w:r>
        <w:t>整机性能试验</w:t>
      </w:r>
      <w:r>
        <w:rPr>
          <w:w w:val="99"/>
        </w:rPr>
        <w:t xml:space="preserve"> </w:t>
      </w:r>
    </w:p>
    <w:p w14:paraId="2E9AD1BB" w14:textId="77777777" w:rsidR="00A71EEF" w:rsidRDefault="0081115D">
      <w:pPr>
        <w:tabs>
          <w:tab w:val="left" w:leader="dot" w:pos="4412"/>
        </w:tabs>
        <w:spacing w:before="26" w:line="274" w:lineRule="exact"/>
        <w:ind w:left="418"/>
        <w:rPr>
          <w:sz w:val="21"/>
        </w:rPr>
      </w:pPr>
      <w:r>
        <w:br w:type="column"/>
      </w:r>
      <w:r>
        <w:rPr>
          <w:sz w:val="21"/>
        </w:rPr>
        <w:t>η</w:t>
      </w:r>
      <w:r>
        <w:rPr>
          <w:rFonts w:ascii="Cambria Math" w:eastAsia="Cambria Math" w:hAnsi="Cambria Math"/>
          <w:position w:val="1"/>
          <w:sz w:val="21"/>
        </w:rPr>
        <w:t>(</w:t>
      </w:r>
      <w:r>
        <w:rPr>
          <w:rFonts w:ascii="Cambria Math" w:eastAsia="Cambria Math" w:hAnsi="Cambria Math"/>
          <w:sz w:val="21"/>
        </w:rPr>
        <w:t>%</w:t>
      </w:r>
      <w:r>
        <w:rPr>
          <w:rFonts w:ascii="Cambria Math" w:eastAsia="Cambria Math" w:hAnsi="Cambria Math"/>
          <w:position w:val="1"/>
          <w:sz w:val="21"/>
        </w:rPr>
        <w:t xml:space="preserve">) </w:t>
      </w:r>
      <w:r>
        <w:rPr>
          <w:rFonts w:ascii="Cambria Math" w:eastAsia="Cambria Math" w:hAnsi="Cambria Math"/>
          <w:sz w:val="21"/>
        </w:rPr>
        <w:t xml:space="preserve">= </w:t>
      </w:r>
      <w:r>
        <w:rPr>
          <w:rFonts w:ascii="Cambria Math" w:eastAsia="Cambria Math" w:hAnsi="Cambria Math"/>
          <w:position w:val="12"/>
          <w:sz w:val="21"/>
          <w:u w:val="single"/>
        </w:rPr>
        <w:t xml:space="preserve"> </w:t>
      </w:r>
      <w:r>
        <w:rPr>
          <w:rFonts w:ascii="Cambria Math" w:eastAsia="Cambria Math" w:hAnsi="Cambria Math"/>
          <w:position w:val="12"/>
          <w:sz w:val="15"/>
          <w:u w:val="single"/>
        </w:rPr>
        <w:t>𝑁</w:t>
      </w:r>
      <w:r>
        <w:rPr>
          <w:rFonts w:ascii="Cambria Math" w:eastAsia="Cambria Math" w:hAnsi="Cambria Math"/>
          <w:position w:val="12"/>
          <w:sz w:val="15"/>
          <w:u w:val="single"/>
        </w:rPr>
        <w:t>′</w:t>
      </w:r>
      <w:r>
        <w:rPr>
          <w:rFonts w:ascii="Cambria Math" w:eastAsia="Cambria Math" w:hAnsi="Cambria Math"/>
          <w:position w:val="9"/>
          <w:sz w:val="12"/>
          <w:u w:val="single"/>
        </w:rPr>
        <w:t>0</w:t>
      </w:r>
      <w:r>
        <w:rPr>
          <w:rFonts w:ascii="Cambria Math" w:eastAsia="Cambria Math" w:hAnsi="Cambria Math"/>
          <w:spacing w:val="3"/>
          <w:position w:val="9"/>
          <w:sz w:val="12"/>
        </w:rPr>
        <w:t xml:space="preserve"> </w:t>
      </w:r>
      <w:r>
        <w:rPr>
          <w:rFonts w:ascii="Cambria Math" w:eastAsia="Cambria Math" w:hAnsi="Cambria Math"/>
          <w:sz w:val="21"/>
        </w:rPr>
        <w:t>×</w:t>
      </w:r>
      <w:r>
        <w:rPr>
          <w:rFonts w:ascii="Cambria Math" w:eastAsia="Cambria Math" w:hAnsi="Cambria Math"/>
          <w:spacing w:val="2"/>
          <w:sz w:val="21"/>
        </w:rPr>
        <w:t xml:space="preserve"> </w:t>
      </w:r>
      <w:r>
        <w:rPr>
          <w:rFonts w:ascii="Cambria Math" w:eastAsia="Cambria Math" w:hAnsi="Cambria Math"/>
          <w:sz w:val="21"/>
        </w:rPr>
        <w:t>100</w:t>
      </w:r>
      <w:r>
        <w:rPr>
          <w:rFonts w:ascii="Cambria Math" w:eastAsia="Cambria Math" w:hAnsi="Cambria Math"/>
          <w:sz w:val="21"/>
        </w:rPr>
        <w:tab/>
      </w:r>
      <w:r>
        <w:rPr>
          <w:sz w:val="21"/>
        </w:rPr>
        <w:t>（</w:t>
      </w:r>
      <w:r>
        <w:rPr>
          <w:sz w:val="21"/>
        </w:rPr>
        <w:t>11</w:t>
      </w:r>
      <w:r>
        <w:rPr>
          <w:sz w:val="21"/>
        </w:rPr>
        <w:t>）</w:t>
      </w:r>
      <w:r>
        <w:rPr>
          <w:sz w:val="21"/>
        </w:rPr>
        <w:t xml:space="preserve"> </w:t>
      </w:r>
    </w:p>
    <w:p w14:paraId="046CC476" w14:textId="77777777" w:rsidR="00A71EEF" w:rsidRDefault="0081115D">
      <w:pPr>
        <w:spacing w:line="151" w:lineRule="exact"/>
        <w:ind w:left="1294"/>
        <w:rPr>
          <w:rFonts w:ascii="Cambria Math" w:eastAsia="Cambria Math"/>
          <w:sz w:val="12"/>
        </w:rPr>
      </w:pPr>
      <w:r>
        <w:rPr>
          <w:rFonts w:ascii="Cambria Math" w:eastAsia="Cambria Math"/>
          <w:w w:val="105"/>
          <w:sz w:val="15"/>
        </w:rPr>
        <w:t>𝑁</w:t>
      </w:r>
      <w:r>
        <w:rPr>
          <w:rFonts w:ascii="Cambria Math" w:eastAsia="Cambria Math"/>
          <w:w w:val="105"/>
          <w:position w:val="-2"/>
          <w:sz w:val="12"/>
        </w:rPr>
        <w:t>0</w:t>
      </w:r>
    </w:p>
    <w:p w14:paraId="5BB987F5" w14:textId="77777777" w:rsidR="00A71EEF" w:rsidRDefault="00A71EEF">
      <w:pPr>
        <w:spacing w:line="151" w:lineRule="exact"/>
        <w:rPr>
          <w:rFonts w:ascii="Cambria Math" w:eastAsia="Cambria Math"/>
          <w:sz w:val="12"/>
        </w:rPr>
        <w:sectPr w:rsidR="00A71EEF">
          <w:type w:val="continuous"/>
          <w:pgSz w:w="11910" w:h="16850"/>
          <w:pgMar w:top="1600" w:right="0" w:bottom="1180" w:left="1260" w:header="720" w:footer="720" w:gutter="0"/>
          <w:cols w:num="2" w:space="720" w:equalWidth="0">
            <w:col w:w="2266" w:space="1899"/>
            <w:col w:w="6485"/>
          </w:cols>
        </w:sectPr>
      </w:pPr>
    </w:p>
    <w:p w14:paraId="77A19878" w14:textId="77777777" w:rsidR="00A71EEF" w:rsidRDefault="00A71EEF">
      <w:pPr>
        <w:pStyle w:val="a3"/>
        <w:spacing w:before="10"/>
        <w:rPr>
          <w:rFonts w:ascii="Cambria Math"/>
          <w:sz w:val="12"/>
        </w:rPr>
      </w:pPr>
    </w:p>
    <w:p w14:paraId="0D6324F7" w14:textId="77777777" w:rsidR="00A71EEF" w:rsidRDefault="0081115D">
      <w:pPr>
        <w:pStyle w:val="a4"/>
        <w:numPr>
          <w:ilvl w:val="1"/>
          <w:numId w:val="13"/>
        </w:numPr>
        <w:tabs>
          <w:tab w:val="left" w:pos="1213"/>
        </w:tabs>
        <w:spacing w:before="71"/>
        <w:ind w:hanging="373"/>
        <w:rPr>
          <w:sz w:val="21"/>
        </w:rPr>
      </w:pPr>
      <w:r>
        <w:rPr>
          <w:spacing w:val="-3"/>
          <w:sz w:val="21"/>
        </w:rPr>
        <w:t>灭火风筒出口处动压测定及效率、风速、风量计算</w:t>
      </w:r>
      <w:r>
        <w:rPr>
          <w:spacing w:val="-3"/>
          <w:sz w:val="21"/>
        </w:rPr>
        <w:t xml:space="preserve"> </w:t>
      </w:r>
      <w:r>
        <w:rPr>
          <w:sz w:val="21"/>
        </w:rPr>
        <w:t xml:space="preserve"> </w:t>
      </w:r>
    </w:p>
    <w:p w14:paraId="2F8DC477" w14:textId="77777777" w:rsidR="00A71EEF" w:rsidRDefault="00A71EEF">
      <w:pPr>
        <w:pStyle w:val="a3"/>
        <w:spacing w:before="2"/>
        <w:rPr>
          <w:sz w:val="18"/>
        </w:rPr>
      </w:pPr>
    </w:p>
    <w:p w14:paraId="6CB6CD90" w14:textId="77777777" w:rsidR="00A71EEF" w:rsidRDefault="0081115D">
      <w:pPr>
        <w:pStyle w:val="a3"/>
        <w:ind w:left="838"/>
      </w:pPr>
      <w:r>
        <w:t>在室内测定，便携式风力灭火机（以下简称风力灭火机）固定在台架上，风筒中心距地面</w:t>
      </w:r>
    </w:p>
    <w:p w14:paraId="3BF90054" w14:textId="77777777" w:rsidR="00A71EEF" w:rsidRDefault="00A71EEF">
      <w:pPr>
        <w:sectPr w:rsidR="00A71EEF">
          <w:type w:val="continuous"/>
          <w:pgSz w:w="11910" w:h="16850"/>
          <w:pgMar w:top="1600" w:right="0" w:bottom="1180" w:left="1260" w:header="720" w:footer="720" w:gutter="0"/>
          <w:cols w:space="720"/>
        </w:sectPr>
      </w:pPr>
    </w:p>
    <w:p w14:paraId="5A8E6976" w14:textId="77777777" w:rsidR="00A71EEF" w:rsidRDefault="0081115D">
      <w:pPr>
        <w:pStyle w:val="a3"/>
        <w:spacing w:before="47" w:line="446" w:lineRule="auto"/>
        <w:ind w:left="418" w:right="1455"/>
      </w:pPr>
      <w:r>
        <w:rPr>
          <w:spacing w:val="-12"/>
        </w:rPr>
        <w:t>不小于</w:t>
      </w:r>
      <w:r>
        <w:rPr>
          <w:spacing w:val="-12"/>
        </w:rPr>
        <w:t xml:space="preserve"> </w:t>
      </w:r>
      <w:r>
        <w:t>1m</w:t>
      </w:r>
      <w:r>
        <w:rPr>
          <w:spacing w:val="-6"/>
        </w:rPr>
        <w:t>，前方不得有障碍物，左右</w:t>
      </w:r>
      <w:r>
        <w:rPr>
          <w:spacing w:val="-6"/>
        </w:rPr>
        <w:t xml:space="preserve"> </w:t>
      </w:r>
      <w:r>
        <w:t>2m</w:t>
      </w:r>
      <w:r>
        <w:rPr>
          <w:spacing w:val="-8"/>
        </w:rPr>
        <w:t xml:space="preserve"> </w:t>
      </w:r>
      <w:r>
        <w:rPr>
          <w:spacing w:val="-8"/>
        </w:rPr>
        <w:t>内不得有影响射流的障碍物。在标定转速下，用一个能</w:t>
      </w:r>
      <w:r>
        <w:rPr>
          <w:spacing w:val="-5"/>
        </w:rPr>
        <w:t>上下左右调整的可移动支架固定毕托管，测定射流动压值。</w:t>
      </w:r>
      <w:r>
        <w:t xml:space="preserve"> </w:t>
      </w:r>
    </w:p>
    <w:p w14:paraId="2470B0A1" w14:textId="77777777" w:rsidR="00A71EEF" w:rsidRDefault="0081115D">
      <w:pPr>
        <w:pStyle w:val="a4"/>
        <w:numPr>
          <w:ilvl w:val="2"/>
          <w:numId w:val="13"/>
        </w:numPr>
        <w:tabs>
          <w:tab w:val="left" w:pos="1370"/>
        </w:tabs>
        <w:spacing w:line="267" w:lineRule="exact"/>
        <w:ind w:hanging="530"/>
        <w:rPr>
          <w:sz w:val="21"/>
        </w:rPr>
      </w:pPr>
      <w:r>
        <w:rPr>
          <w:spacing w:val="-12"/>
          <w:sz w:val="21"/>
        </w:rPr>
        <w:t>距风筒出口</w:t>
      </w:r>
      <w:r>
        <w:rPr>
          <w:spacing w:val="-12"/>
          <w:sz w:val="21"/>
        </w:rPr>
        <w:t xml:space="preserve"> </w:t>
      </w:r>
      <w:r>
        <w:rPr>
          <w:sz w:val="21"/>
        </w:rPr>
        <w:t>10mm</w:t>
      </w:r>
      <w:r>
        <w:rPr>
          <w:spacing w:val="-11"/>
          <w:sz w:val="21"/>
        </w:rPr>
        <w:t xml:space="preserve"> </w:t>
      </w:r>
      <w:r>
        <w:rPr>
          <w:spacing w:val="-11"/>
          <w:sz w:val="21"/>
        </w:rPr>
        <w:t>处测定与风筒出口等截面各点动压值，垂直和水平方向各测</w:t>
      </w:r>
      <w:r>
        <w:rPr>
          <w:spacing w:val="-11"/>
          <w:sz w:val="21"/>
        </w:rPr>
        <w:t xml:space="preserve"> </w:t>
      </w:r>
      <w:r>
        <w:rPr>
          <w:sz w:val="21"/>
        </w:rPr>
        <w:t>10</w:t>
      </w:r>
    </w:p>
    <w:p w14:paraId="1234E563" w14:textId="77777777" w:rsidR="00A71EEF" w:rsidRDefault="00A71EEF">
      <w:pPr>
        <w:pStyle w:val="a3"/>
        <w:spacing w:before="2"/>
        <w:rPr>
          <w:sz w:val="18"/>
        </w:rPr>
      </w:pPr>
    </w:p>
    <w:p w14:paraId="1250B2BA" w14:textId="77777777" w:rsidR="00A71EEF" w:rsidRDefault="0081115D">
      <w:pPr>
        <w:pStyle w:val="a3"/>
        <w:ind w:left="418"/>
      </w:pPr>
      <w:r>
        <w:t>点，并换算为标准状态值。</w:t>
      </w:r>
      <w:r>
        <w:t xml:space="preserve"> </w:t>
      </w:r>
    </w:p>
    <w:p w14:paraId="3CE5400B" w14:textId="77777777" w:rsidR="00A71EEF" w:rsidRDefault="00A71EEF">
      <w:pPr>
        <w:pStyle w:val="a3"/>
        <w:rPr>
          <w:sz w:val="18"/>
        </w:rPr>
      </w:pPr>
    </w:p>
    <w:p w14:paraId="41D6C1DC" w14:textId="77777777" w:rsidR="00A71EEF" w:rsidRDefault="0081115D">
      <w:pPr>
        <w:pStyle w:val="a4"/>
        <w:numPr>
          <w:ilvl w:val="2"/>
          <w:numId w:val="13"/>
        </w:numPr>
        <w:tabs>
          <w:tab w:val="left" w:pos="1370"/>
        </w:tabs>
        <w:ind w:hanging="530"/>
        <w:rPr>
          <w:sz w:val="21"/>
        </w:rPr>
      </w:pPr>
      <w:r>
        <w:rPr>
          <w:spacing w:val="-3"/>
          <w:sz w:val="21"/>
        </w:rPr>
        <w:t>各点风速计算见式</w:t>
      </w:r>
      <w:r>
        <w:rPr>
          <w:sz w:val="21"/>
        </w:rPr>
        <w:t>（</w:t>
      </w:r>
      <w:r>
        <w:rPr>
          <w:sz w:val="21"/>
        </w:rPr>
        <w:t>12</w:t>
      </w:r>
      <w:r>
        <w:rPr>
          <w:sz w:val="21"/>
        </w:rPr>
        <w:t>）</w:t>
      </w:r>
      <w:r>
        <w:rPr>
          <w:sz w:val="21"/>
        </w:rPr>
        <w:t xml:space="preserve"> </w:t>
      </w:r>
    </w:p>
    <w:p w14:paraId="66D7E2EC" w14:textId="77777777" w:rsidR="00A71EEF" w:rsidRDefault="00A71EEF">
      <w:pPr>
        <w:pStyle w:val="a3"/>
        <w:spacing w:before="3"/>
        <w:rPr>
          <w:sz w:val="20"/>
        </w:rPr>
      </w:pPr>
    </w:p>
    <w:p w14:paraId="032954F3" w14:textId="77777777" w:rsidR="00A71EEF" w:rsidRDefault="0081115D">
      <w:pPr>
        <w:pStyle w:val="a3"/>
        <w:spacing w:line="20" w:lineRule="exact"/>
        <w:ind w:left="5403"/>
        <w:rPr>
          <w:sz w:val="2"/>
        </w:rPr>
      </w:pPr>
      <w:r>
        <w:rPr>
          <w:sz w:val="2"/>
        </w:rPr>
      </w:r>
      <w:r>
        <w:rPr>
          <w:sz w:val="2"/>
        </w:rPr>
        <w:pict w14:anchorId="35060F71">
          <v:group id="_x0000_s1039" style="width:32.3pt;height:.75pt;mso-position-horizontal-relative:char;mso-position-vertical-relative:line" coordsize="646,15">
            <v:line id="_x0000_s1040" style="position:absolute" from="0,7" to="646,7" strokeweight=".72pt"/>
            <w10:anchorlock/>
          </v:group>
        </w:pict>
      </w:r>
    </w:p>
    <w:p w14:paraId="63ACA041" w14:textId="77777777" w:rsidR="00A71EEF" w:rsidRDefault="00A71EEF">
      <w:pPr>
        <w:spacing w:line="20" w:lineRule="exact"/>
        <w:rPr>
          <w:sz w:val="2"/>
        </w:rPr>
        <w:sectPr w:rsidR="00A71EEF">
          <w:pgSz w:w="11910" w:h="16850"/>
          <w:pgMar w:top="1220" w:right="0" w:bottom="1420" w:left="1260" w:header="0" w:footer="1239" w:gutter="0"/>
          <w:cols w:space="720"/>
        </w:sectPr>
      </w:pPr>
    </w:p>
    <w:p w14:paraId="708CBD5F" w14:textId="77777777" w:rsidR="00A71EEF" w:rsidRDefault="00A71EEF">
      <w:pPr>
        <w:pStyle w:val="a3"/>
        <w:spacing w:before="3"/>
        <w:rPr>
          <w:sz w:val="35"/>
        </w:rPr>
      </w:pPr>
    </w:p>
    <w:p w14:paraId="6249DB99" w14:textId="77777777" w:rsidR="00A71EEF" w:rsidRDefault="0081115D">
      <w:pPr>
        <w:spacing w:before="1"/>
        <w:ind w:left="838"/>
        <w:rPr>
          <w:sz w:val="21"/>
        </w:rPr>
      </w:pPr>
      <w:r>
        <w:pict w14:anchorId="448B2257">
          <v:shape id="_x0000_s1038" type="#_x0000_t202" style="position:absolute;left:0;text-align:left;margin-left:154.6pt;margin-top:9.75pt;width:3.2pt;height:4.6pt;z-index:-251506176;mso-position-horizontal-relative:page" filled="f" stroked="f">
            <v:textbox inset="0,0,0,0">
              <w:txbxContent>
                <w:p w14:paraId="6E7BA072" w14:textId="77777777" w:rsidR="00A71EEF" w:rsidRDefault="0081115D">
                  <w:pPr>
                    <w:spacing w:line="91" w:lineRule="exact"/>
                    <w:rPr>
                      <w:rFonts w:ascii="Cambria Math" w:eastAsia="Cambria Math"/>
                      <w:sz w:val="9"/>
                    </w:rPr>
                  </w:pPr>
                  <w:r>
                    <w:rPr>
                      <w:rFonts w:ascii="Cambria Math" w:eastAsia="Cambria Math"/>
                      <w:w w:val="120"/>
                      <w:sz w:val="9"/>
                    </w:rPr>
                    <w:t>𝜎</w:t>
                  </w:r>
                </w:p>
              </w:txbxContent>
            </v:textbox>
            <w10:wrap anchorx="page"/>
          </v:shape>
        </w:pict>
      </w:r>
      <w:r>
        <w:rPr>
          <w:sz w:val="21"/>
        </w:rPr>
        <w:t>式中：相</w:t>
      </w:r>
      <w:r>
        <w:rPr>
          <w:rFonts w:ascii="Cambria Math" w:eastAsia="Cambria Math"/>
          <w:sz w:val="16"/>
        </w:rPr>
        <w:t>𝑝</w:t>
      </w:r>
      <w:r>
        <w:rPr>
          <w:rFonts w:ascii="Cambria Math" w:eastAsia="Cambria Math"/>
          <w:position w:val="-2"/>
          <w:sz w:val="11"/>
        </w:rPr>
        <w:t>𝑑</w:t>
      </w:r>
      <w:r>
        <w:rPr>
          <w:rFonts w:ascii="Cambria Math" w:eastAsia="Cambria Math"/>
          <w:position w:val="-2"/>
          <w:sz w:val="11"/>
        </w:rPr>
        <w:t xml:space="preserve"> </w:t>
      </w:r>
      <w:r>
        <w:rPr>
          <w:sz w:val="21"/>
        </w:rPr>
        <w:t>应处风速，</w:t>
      </w:r>
      <w:r>
        <w:rPr>
          <w:sz w:val="21"/>
        </w:rPr>
        <w:t>m/s</w:t>
      </w:r>
      <w:r>
        <w:rPr>
          <w:sz w:val="21"/>
        </w:rPr>
        <w:t>。</w:t>
      </w:r>
      <w:r>
        <w:rPr>
          <w:sz w:val="21"/>
        </w:rPr>
        <w:t xml:space="preserve"> </w:t>
      </w:r>
    </w:p>
    <w:p w14:paraId="467A609C" w14:textId="77777777" w:rsidR="00A71EEF" w:rsidRDefault="0081115D">
      <w:pPr>
        <w:spacing w:line="182" w:lineRule="auto"/>
        <w:ind w:left="1236" w:right="1728"/>
        <w:jc w:val="center"/>
        <w:rPr>
          <w:b/>
          <w:sz w:val="21"/>
        </w:rPr>
      </w:pPr>
      <w:r>
        <w:br w:type="column"/>
      </w:r>
      <w:r>
        <w:rPr>
          <w:rFonts w:ascii="Cambria Math" w:eastAsia="Cambria Math" w:hAnsi="Cambria Math"/>
          <w:w w:val="105"/>
          <w:sz w:val="21"/>
        </w:rPr>
        <w:t>𝑣</w:t>
      </w:r>
      <w:r>
        <w:rPr>
          <w:rFonts w:ascii="Cambria Math" w:eastAsia="Cambria Math" w:hAnsi="Cambria Math"/>
          <w:w w:val="105"/>
          <w:position w:val="-3"/>
          <w:sz w:val="15"/>
        </w:rPr>
        <w:t>𝑖</w:t>
      </w:r>
      <w:r>
        <w:rPr>
          <w:rFonts w:ascii="Cambria Math" w:eastAsia="Cambria Math" w:hAnsi="Cambria Math"/>
          <w:w w:val="105"/>
          <w:position w:val="-3"/>
          <w:sz w:val="15"/>
        </w:rPr>
        <w:t xml:space="preserve"> </w:t>
      </w:r>
      <w:r>
        <w:rPr>
          <w:rFonts w:ascii="Cambria Math" w:eastAsia="Cambria Math" w:hAnsi="Cambria Math"/>
          <w:w w:val="105"/>
          <w:sz w:val="21"/>
        </w:rPr>
        <w:t xml:space="preserve">= </w:t>
      </w:r>
      <w:r>
        <w:rPr>
          <w:rFonts w:ascii="Cambria Math" w:eastAsia="Cambria Math" w:hAnsi="Cambria Math"/>
          <w:w w:val="105"/>
          <w:position w:val="-1"/>
          <w:sz w:val="21"/>
        </w:rPr>
        <w:t>√</w:t>
      </w:r>
      <w:r>
        <w:rPr>
          <w:rFonts w:ascii="Cambria Math" w:eastAsia="Cambria Math" w:hAnsi="Cambria Math"/>
          <w:w w:val="105"/>
          <w:sz w:val="21"/>
        </w:rPr>
        <w:t>2</w:t>
      </w:r>
      <w:r>
        <w:rPr>
          <w:rFonts w:ascii="Cambria Math" w:eastAsia="Cambria Math" w:hAnsi="Cambria Math"/>
          <w:w w:val="105"/>
          <w:sz w:val="21"/>
        </w:rPr>
        <w:t>𝑝</w:t>
      </w:r>
      <w:r>
        <w:rPr>
          <w:rFonts w:ascii="Cambria Math" w:eastAsia="Cambria Math" w:hAnsi="Cambria Math"/>
          <w:w w:val="105"/>
          <w:position w:val="-3"/>
          <w:sz w:val="15"/>
        </w:rPr>
        <w:t>𝑑</w:t>
      </w:r>
      <w:r>
        <w:rPr>
          <w:rFonts w:ascii="Cambria Math" w:eastAsia="Cambria Math" w:hAnsi="Cambria Math"/>
          <w:w w:val="105"/>
          <w:position w:val="-6"/>
          <w:sz w:val="12"/>
        </w:rPr>
        <w:t>𝜎</w:t>
      </w:r>
      <w:r>
        <w:rPr>
          <w:rFonts w:ascii="Cambria Math" w:eastAsia="Cambria Math" w:hAnsi="Cambria Math"/>
          <w:w w:val="105"/>
          <w:sz w:val="21"/>
        </w:rPr>
        <w:t>/</w:t>
      </w:r>
      <w:r>
        <w:rPr>
          <w:rFonts w:ascii="Cambria Math" w:eastAsia="Cambria Math" w:hAnsi="Cambria Math"/>
          <w:w w:val="105"/>
          <w:sz w:val="21"/>
        </w:rPr>
        <w:t>𝜌</w:t>
      </w:r>
      <w:r>
        <w:rPr>
          <w:rFonts w:ascii="Cambria Math" w:eastAsia="Cambria Math" w:hAnsi="Cambria Math"/>
          <w:w w:val="105"/>
          <w:sz w:val="21"/>
        </w:rPr>
        <w:t xml:space="preserve"> </w:t>
      </w:r>
      <w:r>
        <w:rPr>
          <w:w w:val="105"/>
          <w:sz w:val="21"/>
        </w:rPr>
        <w:t>……………………</w:t>
      </w:r>
      <w:r>
        <w:rPr>
          <w:w w:val="105"/>
          <w:sz w:val="21"/>
        </w:rPr>
        <w:t>（</w:t>
      </w:r>
      <w:r>
        <w:rPr>
          <w:w w:val="105"/>
          <w:sz w:val="21"/>
        </w:rPr>
        <w:t>12</w:t>
      </w:r>
      <w:r>
        <w:rPr>
          <w:w w:val="105"/>
          <w:sz w:val="21"/>
        </w:rPr>
        <w:t>）</w:t>
      </w:r>
      <w:r>
        <w:rPr>
          <w:b/>
          <w:w w:val="99"/>
          <w:sz w:val="21"/>
        </w:rPr>
        <w:t xml:space="preserve"> </w:t>
      </w:r>
    </w:p>
    <w:p w14:paraId="5FD92D51" w14:textId="77777777" w:rsidR="00A71EEF" w:rsidRDefault="00A71EEF">
      <w:pPr>
        <w:spacing w:line="182" w:lineRule="auto"/>
        <w:jc w:val="center"/>
        <w:rPr>
          <w:sz w:val="21"/>
        </w:rPr>
        <w:sectPr w:rsidR="00A71EEF">
          <w:type w:val="continuous"/>
          <w:pgSz w:w="11910" w:h="16850"/>
          <w:pgMar w:top="1600" w:right="0" w:bottom="1180" w:left="1260" w:header="720" w:footer="720" w:gutter="0"/>
          <w:cols w:num="2" w:space="720" w:equalWidth="0">
            <w:col w:w="3627" w:space="338"/>
            <w:col w:w="6685"/>
          </w:cols>
        </w:sectPr>
      </w:pPr>
    </w:p>
    <w:p w14:paraId="29AC64CD" w14:textId="77777777" w:rsidR="00A71EEF" w:rsidRDefault="00A71EEF">
      <w:pPr>
        <w:pStyle w:val="a3"/>
        <w:spacing w:before="5"/>
        <w:rPr>
          <w:b/>
          <w:sz w:val="12"/>
        </w:rPr>
      </w:pPr>
    </w:p>
    <w:p w14:paraId="55A3E749" w14:textId="77777777" w:rsidR="00A71EEF" w:rsidRDefault="0081115D">
      <w:pPr>
        <w:pStyle w:val="a4"/>
        <w:numPr>
          <w:ilvl w:val="2"/>
          <w:numId w:val="13"/>
        </w:numPr>
        <w:tabs>
          <w:tab w:val="left" w:pos="1370"/>
        </w:tabs>
        <w:spacing w:before="72"/>
        <w:ind w:hanging="530"/>
        <w:rPr>
          <w:sz w:val="21"/>
        </w:rPr>
      </w:pPr>
      <w:r>
        <w:pict w14:anchorId="28B1379A">
          <v:line id="_x0000_s1037" style="position:absolute;left:0;text-align:left;z-index:-251478528;mso-wrap-distance-left:0;mso-wrap-distance-right:0;mso-position-horizontal-relative:page" from="359.95pt,21.3pt" to="366.8pt,21.3pt" strokeweight=".48pt">
            <w10:wrap type="topAndBottom" anchorx="page"/>
          </v:line>
        </w:pict>
      </w:r>
      <w:r>
        <w:rPr>
          <w:spacing w:val="-3"/>
          <w:sz w:val="21"/>
        </w:rPr>
        <w:t>平均风速、风量计算见式</w:t>
      </w:r>
      <w:r>
        <w:rPr>
          <w:sz w:val="21"/>
        </w:rPr>
        <w:t>（</w:t>
      </w:r>
      <w:r>
        <w:rPr>
          <w:sz w:val="21"/>
        </w:rPr>
        <w:t>1</w:t>
      </w:r>
      <w:r>
        <w:rPr>
          <w:spacing w:val="-3"/>
          <w:sz w:val="21"/>
        </w:rPr>
        <w:t>3</w:t>
      </w:r>
      <w:r>
        <w:rPr>
          <w:spacing w:val="-106"/>
          <w:sz w:val="21"/>
        </w:rPr>
        <w:t>）</w:t>
      </w:r>
      <w:r>
        <w:rPr>
          <w:spacing w:val="-2"/>
          <w:sz w:val="21"/>
        </w:rPr>
        <w:t>、式</w:t>
      </w:r>
      <w:r>
        <w:rPr>
          <w:sz w:val="21"/>
        </w:rPr>
        <w:t>（</w:t>
      </w:r>
      <w:r>
        <w:rPr>
          <w:spacing w:val="-3"/>
          <w:sz w:val="21"/>
        </w:rPr>
        <w:t>1</w:t>
      </w:r>
      <w:r>
        <w:rPr>
          <w:sz w:val="21"/>
        </w:rPr>
        <w:t>4</w:t>
      </w:r>
      <w:r>
        <w:rPr>
          <w:spacing w:val="-106"/>
          <w:sz w:val="21"/>
        </w:rPr>
        <w:t>）</w:t>
      </w:r>
      <w:r>
        <w:rPr>
          <w:spacing w:val="-3"/>
          <w:sz w:val="21"/>
        </w:rPr>
        <w:t>：</w:t>
      </w:r>
      <w:r>
        <w:rPr>
          <w:sz w:val="21"/>
        </w:rPr>
        <w:t xml:space="preserve"> </w:t>
      </w:r>
    </w:p>
    <w:p w14:paraId="0BECBB0E" w14:textId="77777777" w:rsidR="00A71EEF" w:rsidRDefault="0081115D">
      <w:pPr>
        <w:spacing w:line="31" w:lineRule="auto"/>
        <w:ind w:left="1880" w:right="966"/>
        <w:jc w:val="center"/>
        <w:rPr>
          <w:rFonts w:ascii="Cambria Math" w:eastAsia="Cambria Math" w:hAnsi="Cambria Math"/>
          <w:sz w:val="12"/>
        </w:rPr>
      </w:pPr>
      <w:r>
        <w:rPr>
          <w:rFonts w:ascii="Cambria Math" w:eastAsia="Cambria Math" w:hAnsi="Cambria Math"/>
          <w:w w:val="110"/>
          <w:position w:val="-5"/>
          <w:sz w:val="15"/>
        </w:rPr>
        <w:t>∑</w:t>
      </w:r>
      <w:r>
        <w:rPr>
          <w:rFonts w:ascii="Cambria Math" w:eastAsia="Cambria Math" w:hAnsi="Cambria Math"/>
          <w:w w:val="110"/>
          <w:sz w:val="12"/>
        </w:rPr>
        <w:t xml:space="preserve">20  </w:t>
      </w:r>
      <w:r>
        <w:rPr>
          <w:rFonts w:ascii="Cambria Math" w:eastAsia="Cambria Math" w:hAnsi="Cambria Math"/>
          <w:w w:val="110"/>
          <w:position w:val="-7"/>
          <w:sz w:val="15"/>
        </w:rPr>
        <w:t>√</w:t>
      </w:r>
      <w:r>
        <w:rPr>
          <w:rFonts w:ascii="Cambria Math" w:eastAsia="Cambria Math" w:hAnsi="Cambria Math"/>
          <w:w w:val="110"/>
          <w:position w:val="-6"/>
          <w:sz w:val="15"/>
        </w:rPr>
        <w:t>𝑣</w:t>
      </w:r>
      <w:r>
        <w:rPr>
          <w:rFonts w:ascii="Cambria Math" w:eastAsia="Cambria Math" w:hAnsi="Cambria Math"/>
          <w:w w:val="110"/>
          <w:position w:val="-9"/>
          <w:sz w:val="12"/>
        </w:rPr>
        <w:t>𝑖</w:t>
      </w:r>
    </w:p>
    <w:p w14:paraId="13D0D245" w14:textId="77777777" w:rsidR="00A71EEF" w:rsidRDefault="00A71EEF">
      <w:pPr>
        <w:spacing w:line="31" w:lineRule="auto"/>
        <w:jc w:val="center"/>
        <w:rPr>
          <w:rFonts w:ascii="Cambria Math" w:eastAsia="Cambria Math" w:hAnsi="Cambria Math"/>
          <w:sz w:val="12"/>
        </w:rPr>
        <w:sectPr w:rsidR="00A71EEF">
          <w:type w:val="continuous"/>
          <w:pgSz w:w="11910" w:h="16850"/>
          <w:pgMar w:top="1600" w:right="0" w:bottom="1180" w:left="1260" w:header="720" w:footer="720" w:gutter="0"/>
          <w:cols w:space="720"/>
        </w:sectPr>
      </w:pPr>
    </w:p>
    <w:p w14:paraId="4D1F4DCC" w14:textId="77777777" w:rsidR="00A71EEF" w:rsidRDefault="0081115D">
      <w:pPr>
        <w:pStyle w:val="a3"/>
        <w:spacing w:line="232" w:lineRule="exact"/>
        <w:jc w:val="right"/>
        <w:rPr>
          <w:rFonts w:ascii="Cambria Math" w:eastAsia="Cambria Math" w:hAnsi="Cambria Math"/>
        </w:rPr>
      </w:pPr>
      <w:r>
        <w:rPr>
          <w:rFonts w:ascii="Cambria Math" w:eastAsia="Cambria Math" w:hAnsi="Cambria Math"/>
        </w:rPr>
        <w:t>v</w:t>
      </w:r>
      <w:r>
        <w:rPr>
          <w:rFonts w:ascii="Cambria Math" w:eastAsia="Cambria Math" w:hAnsi="Cambria Math"/>
          <w:position w:val="1"/>
        </w:rPr>
        <w:t>(</w:t>
      </w:r>
      <w:r>
        <w:rPr>
          <w:rFonts w:ascii="Cambria Math" w:eastAsia="Cambria Math" w:hAnsi="Cambria Math"/>
        </w:rPr>
        <w:t>𝑚</w:t>
      </w:r>
      <w:r>
        <w:rPr>
          <w:rFonts w:ascii="Cambria Math" w:eastAsia="Cambria Math" w:hAnsi="Cambria Math"/>
          <w:position w:val="1"/>
        </w:rPr>
        <w:t>⁄</w:t>
      </w:r>
      <w:r>
        <w:rPr>
          <w:rFonts w:ascii="Cambria Math" w:eastAsia="Cambria Math" w:hAnsi="Cambria Math"/>
        </w:rPr>
        <w:t>𝑠</w:t>
      </w:r>
      <w:r>
        <w:rPr>
          <w:rFonts w:ascii="Cambria Math" w:eastAsia="Cambria Math" w:hAnsi="Cambria Math"/>
          <w:position w:val="1"/>
        </w:rPr>
        <w:t xml:space="preserve">) </w:t>
      </w:r>
      <w:r>
        <w:rPr>
          <w:rFonts w:ascii="Cambria Math" w:eastAsia="Cambria Math" w:hAnsi="Cambria Math"/>
        </w:rPr>
        <w:t>= (</w:t>
      </w:r>
    </w:p>
    <w:p w14:paraId="44F875CF" w14:textId="77777777" w:rsidR="00A71EEF" w:rsidRDefault="0081115D">
      <w:pPr>
        <w:spacing w:line="121" w:lineRule="exact"/>
        <w:ind w:left="69"/>
        <w:rPr>
          <w:rFonts w:ascii="Cambria Math" w:eastAsia="Cambria Math"/>
          <w:sz w:val="12"/>
        </w:rPr>
      </w:pPr>
      <w:r>
        <w:br w:type="column"/>
      </w:r>
      <w:r>
        <w:rPr>
          <w:rFonts w:ascii="Cambria Math" w:eastAsia="Cambria Math"/>
          <w:w w:val="110"/>
          <w:sz w:val="12"/>
        </w:rPr>
        <w:t>𝑖</w:t>
      </w:r>
      <w:r>
        <w:rPr>
          <w:rFonts w:ascii="Cambria Math" w:eastAsia="Cambria Math"/>
          <w:w w:val="110"/>
          <w:sz w:val="12"/>
        </w:rPr>
        <w:t>=1</w:t>
      </w:r>
    </w:p>
    <w:p w14:paraId="0ACC52DB" w14:textId="77777777" w:rsidR="00A71EEF" w:rsidRDefault="0081115D">
      <w:pPr>
        <w:spacing w:before="27"/>
        <w:ind w:left="167"/>
        <w:rPr>
          <w:rFonts w:ascii="Cambria Math"/>
          <w:sz w:val="15"/>
        </w:rPr>
      </w:pPr>
      <w:r>
        <w:pict w14:anchorId="31AEDA2D">
          <v:line id="_x0000_s1036" style="position:absolute;left:0;text-align:left;z-index:251838976;mso-position-horizontal-relative:page" from="337.5pt,.2pt" to="366.8pt,.2pt" strokeweight=".72pt">
            <w10:wrap anchorx="page"/>
          </v:line>
        </w:pict>
      </w:r>
      <w:r>
        <w:rPr>
          <w:rFonts w:ascii="Cambria Math"/>
          <w:spacing w:val="-1"/>
          <w:w w:val="105"/>
          <w:sz w:val="15"/>
        </w:rPr>
        <w:t>20</w:t>
      </w:r>
    </w:p>
    <w:p w14:paraId="5B934811" w14:textId="77777777" w:rsidR="00A71EEF" w:rsidRDefault="0081115D">
      <w:pPr>
        <w:pStyle w:val="a3"/>
        <w:spacing w:line="244" w:lineRule="exact"/>
        <w:ind w:left="166"/>
      </w:pPr>
      <w:r>
        <w:br w:type="column"/>
      </w:r>
      <w:r>
        <w:rPr>
          <w:rFonts w:ascii="Cambria Math" w:eastAsia="Cambria Math" w:hAnsi="Cambria Math"/>
        </w:rPr>
        <w:t>)</w:t>
      </w:r>
      <w:r>
        <w:t>²</w:t>
      </w:r>
      <w:r>
        <w:rPr>
          <w:spacing w:val="104"/>
        </w:rPr>
        <w:t xml:space="preserve"> </w:t>
      </w:r>
      <w:r>
        <w:t>……………………</w:t>
      </w:r>
      <w:r>
        <w:t>（</w:t>
      </w:r>
      <w:r>
        <w:t>13</w:t>
      </w:r>
      <w:r>
        <w:t>）</w:t>
      </w:r>
      <w:r>
        <w:t xml:space="preserve"> </w:t>
      </w:r>
    </w:p>
    <w:p w14:paraId="3C4089F8" w14:textId="77777777" w:rsidR="00A71EEF" w:rsidRDefault="00A71EEF">
      <w:pPr>
        <w:spacing w:line="244" w:lineRule="exact"/>
        <w:sectPr w:rsidR="00A71EEF">
          <w:type w:val="continuous"/>
          <w:pgSz w:w="11910" w:h="16850"/>
          <w:pgMar w:top="1600" w:right="0" w:bottom="1180" w:left="1260" w:header="720" w:footer="720" w:gutter="0"/>
          <w:cols w:num="3" w:space="720" w:equalWidth="0">
            <w:col w:w="5490" w:space="40"/>
            <w:col w:w="341" w:space="39"/>
            <w:col w:w="4740"/>
          </w:cols>
        </w:sectPr>
      </w:pPr>
    </w:p>
    <w:p w14:paraId="12F9C81D" w14:textId="77777777" w:rsidR="00A71EEF" w:rsidRDefault="0081115D">
      <w:pPr>
        <w:pStyle w:val="a3"/>
        <w:tabs>
          <w:tab w:val="left" w:leader="dot" w:pos="8579"/>
        </w:tabs>
        <w:spacing w:before="160"/>
        <w:ind w:left="4702"/>
        <w:rPr>
          <w:b/>
        </w:rPr>
      </w:pPr>
      <w:r>
        <w:t>Q(m³/s)=</w:t>
      </w:r>
      <w:r>
        <w:rPr>
          <w:rFonts w:ascii="Cambria Math" w:eastAsia="Cambria Math" w:hAnsi="Cambria Math"/>
        </w:rPr>
        <w:t>𝐴</w:t>
      </w:r>
      <w:r>
        <w:rPr>
          <w:rFonts w:ascii="Cambria Math" w:eastAsia="Cambria Math" w:hAnsi="Cambria Math"/>
          <w:position w:val="-3"/>
          <w:sz w:val="15"/>
        </w:rPr>
        <w:t>𝑖</w:t>
      </w:r>
      <w:r>
        <w:t>·v</w:t>
      </w:r>
      <w:r>
        <w:tab/>
      </w:r>
      <w:r>
        <w:t>（</w:t>
      </w:r>
      <w:r>
        <w:t>14</w:t>
      </w:r>
      <w:r>
        <w:t>）</w:t>
      </w:r>
      <w:r>
        <w:rPr>
          <w:b/>
          <w:w w:val="99"/>
        </w:rPr>
        <w:t xml:space="preserve"> </w:t>
      </w:r>
    </w:p>
    <w:p w14:paraId="137EABEC" w14:textId="77777777" w:rsidR="00A71EEF" w:rsidRDefault="0081115D">
      <w:pPr>
        <w:pStyle w:val="a3"/>
        <w:spacing w:before="216"/>
        <w:ind w:left="838"/>
      </w:pPr>
      <w:r>
        <w:t>式中：</w:t>
      </w:r>
      <w:r>
        <w:t>A1——</w:t>
      </w:r>
      <w:r>
        <w:t>灭火风筒出口处截面积，㎡。</w:t>
      </w:r>
      <w:r>
        <w:t xml:space="preserve"> </w:t>
      </w:r>
    </w:p>
    <w:p w14:paraId="7D9636BA" w14:textId="77777777" w:rsidR="00A71EEF" w:rsidRDefault="00A71EEF">
      <w:pPr>
        <w:pStyle w:val="a3"/>
        <w:spacing w:before="2"/>
        <w:rPr>
          <w:sz w:val="18"/>
        </w:rPr>
      </w:pPr>
    </w:p>
    <w:p w14:paraId="06BE6E0B" w14:textId="77777777" w:rsidR="00A71EEF" w:rsidRDefault="0081115D">
      <w:pPr>
        <w:pStyle w:val="a4"/>
        <w:numPr>
          <w:ilvl w:val="2"/>
          <w:numId w:val="13"/>
        </w:numPr>
        <w:tabs>
          <w:tab w:val="left" w:pos="1371"/>
        </w:tabs>
        <w:ind w:left="1370" w:hanging="531"/>
        <w:rPr>
          <w:sz w:val="21"/>
        </w:rPr>
      </w:pPr>
      <w:r>
        <w:rPr>
          <w:spacing w:val="-2"/>
          <w:sz w:val="21"/>
        </w:rPr>
        <w:t>用式</w:t>
      </w:r>
      <w:r>
        <w:rPr>
          <w:sz w:val="21"/>
        </w:rPr>
        <w:t>（</w:t>
      </w:r>
      <w:r>
        <w:rPr>
          <w:spacing w:val="-3"/>
          <w:sz w:val="21"/>
        </w:rPr>
        <w:t>1</w:t>
      </w:r>
      <w:r>
        <w:rPr>
          <w:sz w:val="21"/>
        </w:rPr>
        <w:t>0</w:t>
      </w:r>
      <w:r>
        <w:rPr>
          <w:spacing w:val="-106"/>
          <w:sz w:val="21"/>
        </w:rPr>
        <w:t>）</w:t>
      </w:r>
      <w:r>
        <w:rPr>
          <w:spacing w:val="-108"/>
          <w:sz w:val="21"/>
        </w:rPr>
        <w:t>、</w:t>
      </w:r>
      <w:r>
        <w:rPr>
          <w:sz w:val="21"/>
        </w:rPr>
        <w:t>（</w:t>
      </w:r>
      <w:r>
        <w:rPr>
          <w:sz w:val="21"/>
        </w:rPr>
        <w:t>1</w:t>
      </w:r>
      <w:r>
        <w:rPr>
          <w:spacing w:val="-3"/>
          <w:sz w:val="21"/>
        </w:rPr>
        <w:t>1</w:t>
      </w:r>
      <w:r>
        <w:rPr>
          <w:spacing w:val="-3"/>
          <w:sz w:val="21"/>
        </w:rPr>
        <w:t>）计算灭火风筒出口处动压效率。</w:t>
      </w:r>
      <w:r>
        <w:rPr>
          <w:sz w:val="21"/>
        </w:rPr>
        <w:t xml:space="preserve"> </w:t>
      </w:r>
    </w:p>
    <w:p w14:paraId="529041D6" w14:textId="77777777" w:rsidR="00A71EEF" w:rsidRDefault="00A71EEF">
      <w:pPr>
        <w:pStyle w:val="a3"/>
        <w:spacing w:before="12"/>
        <w:rPr>
          <w:sz w:val="17"/>
        </w:rPr>
      </w:pPr>
    </w:p>
    <w:p w14:paraId="033A7E2C" w14:textId="77777777" w:rsidR="00A71EEF" w:rsidRDefault="0081115D">
      <w:pPr>
        <w:pStyle w:val="a4"/>
        <w:numPr>
          <w:ilvl w:val="1"/>
          <w:numId w:val="13"/>
        </w:numPr>
        <w:tabs>
          <w:tab w:val="left" w:pos="1159"/>
        </w:tabs>
        <w:ind w:left="1158" w:hanging="319"/>
        <w:rPr>
          <w:sz w:val="21"/>
        </w:rPr>
      </w:pPr>
      <w:r>
        <w:rPr>
          <w:spacing w:val="-12"/>
          <w:sz w:val="21"/>
        </w:rPr>
        <w:t>距风机中心</w:t>
      </w:r>
      <w:r>
        <w:rPr>
          <w:spacing w:val="-12"/>
          <w:sz w:val="21"/>
        </w:rPr>
        <w:t xml:space="preserve"> </w:t>
      </w:r>
      <w:r>
        <w:rPr>
          <w:sz w:val="21"/>
        </w:rPr>
        <w:t>2.5</w:t>
      </w:r>
      <w:r>
        <w:rPr>
          <w:spacing w:val="-9"/>
          <w:sz w:val="21"/>
        </w:rPr>
        <w:t xml:space="preserve"> </w:t>
      </w:r>
      <w:r>
        <w:rPr>
          <w:spacing w:val="-9"/>
          <w:sz w:val="21"/>
        </w:rPr>
        <w:t>处的射流轴线风速的测定</w:t>
      </w:r>
      <w:r>
        <w:rPr>
          <w:sz w:val="21"/>
        </w:rPr>
        <w:t xml:space="preserve"> </w:t>
      </w:r>
    </w:p>
    <w:p w14:paraId="7606FFC6" w14:textId="77777777" w:rsidR="00A71EEF" w:rsidRDefault="00A71EEF">
      <w:pPr>
        <w:pStyle w:val="a3"/>
        <w:rPr>
          <w:sz w:val="18"/>
        </w:rPr>
      </w:pPr>
    </w:p>
    <w:p w14:paraId="058F4C11" w14:textId="77777777" w:rsidR="00A71EEF" w:rsidRDefault="0081115D">
      <w:pPr>
        <w:pStyle w:val="a3"/>
        <w:spacing w:line="446" w:lineRule="auto"/>
        <w:ind w:left="418" w:right="1431" w:firstLine="419"/>
      </w:pPr>
      <w:r>
        <w:rPr>
          <w:noProof/>
        </w:rPr>
        <w:drawing>
          <wp:anchor distT="0" distB="0" distL="0" distR="0" simplePos="0" relativeHeight="251779584" behindDoc="1" locked="0" layoutInCell="1" allowOverlap="1" wp14:anchorId="1BF4B1EA" wp14:editId="155A0F04">
            <wp:simplePos x="0" y="0"/>
            <wp:positionH relativeFrom="page">
              <wp:posOffset>1157552</wp:posOffset>
            </wp:positionH>
            <wp:positionV relativeFrom="paragraph">
              <wp:posOffset>530098</wp:posOffset>
            </wp:positionV>
            <wp:extent cx="5027456" cy="3655714"/>
            <wp:effectExtent l="0" t="0" r="0" b="0"/>
            <wp:wrapNone/>
            <wp:docPr id="841" name="image4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 name="image493.jpeg"/>
                    <pic:cNvPicPr/>
                  </pic:nvPicPr>
                  <pic:blipFill>
                    <a:blip r:embed="rId615" cstate="print"/>
                    <a:stretch>
                      <a:fillRect/>
                    </a:stretch>
                  </pic:blipFill>
                  <pic:spPr>
                    <a:xfrm>
                      <a:off x="0" y="0"/>
                      <a:ext cx="5027456" cy="3655714"/>
                    </a:xfrm>
                    <a:prstGeom prst="rect">
                      <a:avLst/>
                    </a:prstGeom>
                  </pic:spPr>
                </pic:pic>
              </a:graphicData>
            </a:graphic>
          </wp:anchor>
        </w:drawing>
      </w:r>
      <w:r>
        <w:rPr>
          <w:spacing w:val="-5"/>
        </w:rPr>
        <w:t>将风力灭火机固定，要求与</w:t>
      </w:r>
      <w:r>
        <w:rPr>
          <w:spacing w:val="-5"/>
        </w:rPr>
        <w:t xml:space="preserve"> </w:t>
      </w:r>
      <w:r>
        <w:t>5.1</w:t>
      </w:r>
      <w:r>
        <w:rPr>
          <w:spacing w:val="-8"/>
        </w:rPr>
        <w:t xml:space="preserve"> </w:t>
      </w:r>
      <w:r>
        <w:rPr>
          <w:spacing w:val="-8"/>
        </w:rPr>
        <w:t>同，用风速仪沿射流中心测距风机中心</w:t>
      </w:r>
      <w:r>
        <w:rPr>
          <w:spacing w:val="-8"/>
        </w:rPr>
        <w:t xml:space="preserve"> </w:t>
      </w:r>
      <w:r>
        <w:t>2.5m</w:t>
      </w:r>
      <w:r>
        <w:rPr>
          <w:spacing w:val="-7"/>
        </w:rPr>
        <w:t xml:space="preserve"> </w:t>
      </w:r>
      <w:r>
        <w:rPr>
          <w:spacing w:val="-7"/>
        </w:rPr>
        <w:t>处最大风速。</w:t>
      </w:r>
      <w:r>
        <w:rPr>
          <w:spacing w:val="-11"/>
        </w:rPr>
        <w:t>以上数据，记入表</w:t>
      </w:r>
      <w:r>
        <w:rPr>
          <w:spacing w:val="-11"/>
        </w:rPr>
        <w:t xml:space="preserve"> </w:t>
      </w:r>
      <w:r>
        <w:rPr>
          <w:spacing w:val="-3"/>
        </w:rPr>
        <w:t>3</w:t>
      </w:r>
      <w:r>
        <w:rPr>
          <w:spacing w:val="-3"/>
        </w:rPr>
        <w:t>。</w:t>
      </w:r>
      <w:r>
        <w:t xml:space="preserve"> </w:t>
      </w:r>
    </w:p>
    <w:p w14:paraId="6565D967" w14:textId="77777777" w:rsidR="00A71EEF" w:rsidRDefault="00A71EEF">
      <w:pPr>
        <w:pStyle w:val="a3"/>
        <w:rPr>
          <w:sz w:val="20"/>
        </w:rPr>
      </w:pPr>
    </w:p>
    <w:p w14:paraId="0F522B39" w14:textId="77777777" w:rsidR="00A71EEF" w:rsidRDefault="00A71EEF">
      <w:pPr>
        <w:pStyle w:val="a3"/>
        <w:rPr>
          <w:sz w:val="20"/>
        </w:rPr>
      </w:pPr>
    </w:p>
    <w:p w14:paraId="5E50E546" w14:textId="77777777" w:rsidR="00A71EEF" w:rsidRDefault="00A71EEF">
      <w:pPr>
        <w:pStyle w:val="a3"/>
        <w:rPr>
          <w:sz w:val="20"/>
        </w:rPr>
      </w:pPr>
    </w:p>
    <w:p w14:paraId="607897C7" w14:textId="77777777" w:rsidR="00A71EEF" w:rsidRDefault="00A71EEF">
      <w:pPr>
        <w:pStyle w:val="a3"/>
        <w:rPr>
          <w:sz w:val="20"/>
        </w:rPr>
      </w:pPr>
    </w:p>
    <w:p w14:paraId="0D6395F9" w14:textId="77777777" w:rsidR="00A71EEF" w:rsidRDefault="00A71EEF">
      <w:pPr>
        <w:pStyle w:val="a3"/>
        <w:rPr>
          <w:sz w:val="20"/>
        </w:rPr>
      </w:pPr>
    </w:p>
    <w:p w14:paraId="407D1B6B" w14:textId="77777777" w:rsidR="00A71EEF" w:rsidRDefault="00A71EEF">
      <w:pPr>
        <w:pStyle w:val="a3"/>
        <w:rPr>
          <w:sz w:val="20"/>
        </w:rPr>
      </w:pPr>
    </w:p>
    <w:p w14:paraId="1A91A6EC" w14:textId="77777777" w:rsidR="00A71EEF" w:rsidRDefault="00A71EEF">
      <w:pPr>
        <w:pStyle w:val="a3"/>
        <w:rPr>
          <w:sz w:val="20"/>
        </w:rPr>
      </w:pPr>
    </w:p>
    <w:p w14:paraId="60BD7769" w14:textId="77777777" w:rsidR="00A71EEF" w:rsidRDefault="00A71EEF">
      <w:pPr>
        <w:pStyle w:val="a3"/>
        <w:rPr>
          <w:sz w:val="20"/>
        </w:rPr>
      </w:pPr>
    </w:p>
    <w:p w14:paraId="5F9AE284" w14:textId="77777777" w:rsidR="00A71EEF" w:rsidRDefault="00A71EEF">
      <w:pPr>
        <w:pStyle w:val="a3"/>
        <w:rPr>
          <w:sz w:val="20"/>
        </w:rPr>
      </w:pPr>
    </w:p>
    <w:p w14:paraId="53F0C6F5" w14:textId="77777777" w:rsidR="00A71EEF" w:rsidRDefault="00A71EEF">
      <w:pPr>
        <w:pStyle w:val="a3"/>
        <w:rPr>
          <w:sz w:val="20"/>
        </w:rPr>
      </w:pPr>
    </w:p>
    <w:p w14:paraId="570D7926" w14:textId="77777777" w:rsidR="00A71EEF" w:rsidRDefault="00A71EEF">
      <w:pPr>
        <w:pStyle w:val="a3"/>
        <w:rPr>
          <w:sz w:val="20"/>
        </w:rPr>
      </w:pPr>
    </w:p>
    <w:p w14:paraId="3AED7FF8" w14:textId="77777777" w:rsidR="00A71EEF" w:rsidRDefault="00A71EEF">
      <w:pPr>
        <w:pStyle w:val="a3"/>
        <w:rPr>
          <w:sz w:val="20"/>
        </w:rPr>
      </w:pPr>
    </w:p>
    <w:p w14:paraId="44532CC7" w14:textId="77777777" w:rsidR="00A71EEF" w:rsidRDefault="00A71EEF">
      <w:pPr>
        <w:pStyle w:val="a3"/>
        <w:rPr>
          <w:sz w:val="20"/>
        </w:rPr>
      </w:pPr>
    </w:p>
    <w:p w14:paraId="45E9A669" w14:textId="77777777" w:rsidR="00A71EEF" w:rsidRDefault="00A71EEF">
      <w:pPr>
        <w:pStyle w:val="a3"/>
        <w:rPr>
          <w:sz w:val="20"/>
        </w:rPr>
      </w:pPr>
    </w:p>
    <w:p w14:paraId="2FA1D500" w14:textId="77777777" w:rsidR="00A71EEF" w:rsidRDefault="00A71EEF">
      <w:pPr>
        <w:pStyle w:val="a3"/>
        <w:rPr>
          <w:sz w:val="20"/>
        </w:rPr>
      </w:pPr>
    </w:p>
    <w:p w14:paraId="6E752615" w14:textId="77777777" w:rsidR="00A71EEF" w:rsidRDefault="00A71EEF">
      <w:pPr>
        <w:pStyle w:val="a3"/>
        <w:rPr>
          <w:sz w:val="20"/>
        </w:rPr>
      </w:pPr>
    </w:p>
    <w:p w14:paraId="1F42DF9A" w14:textId="77777777" w:rsidR="00A71EEF" w:rsidRDefault="00A71EEF">
      <w:pPr>
        <w:pStyle w:val="a3"/>
        <w:rPr>
          <w:sz w:val="20"/>
        </w:rPr>
      </w:pPr>
    </w:p>
    <w:p w14:paraId="6388E70B" w14:textId="77777777" w:rsidR="00A71EEF" w:rsidRDefault="00A71EEF">
      <w:pPr>
        <w:pStyle w:val="a3"/>
        <w:rPr>
          <w:sz w:val="20"/>
        </w:rPr>
      </w:pPr>
    </w:p>
    <w:p w14:paraId="16147182" w14:textId="77777777" w:rsidR="00A71EEF" w:rsidRDefault="00A71EEF">
      <w:pPr>
        <w:pStyle w:val="a3"/>
        <w:rPr>
          <w:sz w:val="20"/>
        </w:rPr>
      </w:pPr>
    </w:p>
    <w:p w14:paraId="295339E8" w14:textId="77777777" w:rsidR="00A71EEF" w:rsidRDefault="00A71EEF">
      <w:pPr>
        <w:pStyle w:val="a3"/>
        <w:rPr>
          <w:sz w:val="20"/>
        </w:rPr>
      </w:pPr>
    </w:p>
    <w:p w14:paraId="78E13D2A" w14:textId="77777777" w:rsidR="00A71EEF" w:rsidRDefault="00A71EEF">
      <w:pPr>
        <w:pStyle w:val="a3"/>
        <w:rPr>
          <w:sz w:val="20"/>
        </w:rPr>
      </w:pPr>
    </w:p>
    <w:p w14:paraId="73F463D3" w14:textId="77777777" w:rsidR="00A71EEF" w:rsidRDefault="00A71EEF">
      <w:pPr>
        <w:pStyle w:val="a3"/>
        <w:rPr>
          <w:sz w:val="20"/>
        </w:rPr>
      </w:pPr>
    </w:p>
    <w:p w14:paraId="01A68154" w14:textId="77777777" w:rsidR="00A71EEF" w:rsidRDefault="00A71EEF">
      <w:pPr>
        <w:pStyle w:val="a3"/>
        <w:spacing w:before="5"/>
        <w:rPr>
          <w:sz w:val="16"/>
        </w:rPr>
      </w:pPr>
    </w:p>
    <w:p w14:paraId="6BBC27BD" w14:textId="77777777" w:rsidR="00A71EEF" w:rsidRDefault="0081115D">
      <w:pPr>
        <w:pStyle w:val="a4"/>
        <w:numPr>
          <w:ilvl w:val="1"/>
          <w:numId w:val="13"/>
        </w:numPr>
        <w:tabs>
          <w:tab w:val="left" w:pos="1159"/>
        </w:tabs>
        <w:ind w:left="1158" w:hanging="319"/>
        <w:rPr>
          <w:sz w:val="21"/>
        </w:rPr>
      </w:pPr>
      <w:r>
        <w:rPr>
          <w:spacing w:val="-3"/>
          <w:sz w:val="21"/>
        </w:rPr>
        <w:t>启动性能试验</w:t>
      </w:r>
      <w:r>
        <w:rPr>
          <w:sz w:val="21"/>
        </w:rPr>
        <w:t xml:space="preserve"> </w:t>
      </w:r>
    </w:p>
    <w:p w14:paraId="2C4D6EA8" w14:textId="77777777" w:rsidR="00A71EEF" w:rsidRDefault="00A71EEF">
      <w:pPr>
        <w:pStyle w:val="a3"/>
        <w:spacing w:before="12"/>
        <w:rPr>
          <w:sz w:val="17"/>
        </w:rPr>
      </w:pPr>
    </w:p>
    <w:p w14:paraId="319ADEC0" w14:textId="77777777" w:rsidR="00A71EEF" w:rsidRDefault="0081115D">
      <w:pPr>
        <w:pStyle w:val="a3"/>
        <w:ind w:left="838"/>
      </w:pPr>
      <w:r>
        <w:t>试验在环境温度不低于</w:t>
      </w:r>
      <w:r>
        <w:t>-10℃</w:t>
      </w:r>
      <w:r>
        <w:t>时进行。</w:t>
      </w:r>
      <w:r>
        <w:t xml:space="preserve"> </w:t>
      </w:r>
    </w:p>
    <w:p w14:paraId="1D603CAD" w14:textId="77777777" w:rsidR="00A71EEF" w:rsidRDefault="00A71EEF">
      <w:pPr>
        <w:sectPr w:rsidR="00A71EEF">
          <w:type w:val="continuous"/>
          <w:pgSz w:w="11910" w:h="16850"/>
          <w:pgMar w:top="1600" w:right="0" w:bottom="1180" w:left="1260" w:header="720" w:footer="720" w:gutter="0"/>
          <w:cols w:space="720"/>
        </w:sectPr>
      </w:pPr>
    </w:p>
    <w:p w14:paraId="100472EC" w14:textId="77777777" w:rsidR="00A71EEF" w:rsidRDefault="0081115D">
      <w:pPr>
        <w:pStyle w:val="a3"/>
        <w:spacing w:before="47" w:line="446" w:lineRule="auto"/>
        <w:ind w:left="418" w:right="1383" w:firstLine="419"/>
      </w:pPr>
      <w:r>
        <w:t>从第一次拉起动绳开始，</w:t>
      </w:r>
      <w:r>
        <w:t xml:space="preserve">30s </w:t>
      </w:r>
      <w:r>
        <w:t>内完成起动，在起动开始前可以排除气缸内的防锈油，但不允许做任何调整。</w:t>
      </w:r>
      <w:r>
        <w:t xml:space="preserve"> </w:t>
      </w:r>
    </w:p>
    <w:p w14:paraId="15B97272" w14:textId="77777777" w:rsidR="00A71EEF" w:rsidRDefault="0081115D">
      <w:pPr>
        <w:pStyle w:val="a3"/>
        <w:spacing w:line="446" w:lineRule="auto"/>
        <w:ind w:left="840" w:right="3923" w:hanging="3"/>
      </w:pPr>
      <w:r>
        <w:t>当温度低于</w:t>
      </w:r>
      <w:r>
        <w:t>-10℃</w:t>
      </w:r>
      <w:r>
        <w:t>时，允许按有关技术文件规定采取辅助措施。</w:t>
      </w:r>
      <w:r>
        <w:rPr>
          <w:b/>
        </w:rPr>
        <w:t xml:space="preserve">5.4 </w:t>
      </w:r>
      <w:r>
        <w:t>翻转性能试验</w:t>
      </w:r>
      <w:r>
        <w:t xml:space="preserve"> </w:t>
      </w:r>
    </w:p>
    <w:p w14:paraId="0668476D" w14:textId="77777777" w:rsidR="00A71EEF" w:rsidRDefault="0081115D">
      <w:pPr>
        <w:pStyle w:val="a3"/>
        <w:spacing w:line="446" w:lineRule="auto"/>
        <w:ind w:left="418" w:right="1433" w:firstLine="419"/>
      </w:pPr>
      <w:r>
        <w:rPr>
          <w:spacing w:val="-8"/>
        </w:rPr>
        <w:t>风力灭火机在标定转速下运转平稳后，自水平位置上、下、左、右倾斜</w:t>
      </w:r>
      <w:r>
        <w:rPr>
          <w:spacing w:val="-8"/>
        </w:rPr>
        <w:t xml:space="preserve"> </w:t>
      </w:r>
      <w:r>
        <w:t>90</w:t>
      </w:r>
      <w:r>
        <w:rPr>
          <w:spacing w:val="-5"/>
        </w:rPr>
        <w:t>°</w:t>
      </w:r>
      <w:r>
        <w:rPr>
          <w:spacing w:val="-5"/>
        </w:rPr>
        <w:t>各一次，各位置</w:t>
      </w:r>
      <w:r>
        <w:rPr>
          <w:spacing w:val="-9"/>
        </w:rPr>
        <w:t>停留时间不得少于</w:t>
      </w:r>
      <w:r>
        <w:rPr>
          <w:spacing w:val="-9"/>
        </w:rPr>
        <w:t xml:space="preserve"> </w:t>
      </w:r>
      <w:r>
        <w:t>10s</w:t>
      </w:r>
      <w:r>
        <w:t>。</w:t>
      </w:r>
      <w:r>
        <w:t xml:space="preserve"> </w:t>
      </w:r>
    </w:p>
    <w:p w14:paraId="6988C310" w14:textId="77777777" w:rsidR="00A71EEF" w:rsidRDefault="0081115D">
      <w:pPr>
        <w:ind w:left="840"/>
        <w:rPr>
          <w:sz w:val="21"/>
        </w:rPr>
      </w:pPr>
      <w:r>
        <w:rPr>
          <w:b/>
          <w:sz w:val="21"/>
        </w:rPr>
        <w:t xml:space="preserve">5.5 </w:t>
      </w:r>
      <w:r>
        <w:rPr>
          <w:sz w:val="21"/>
        </w:rPr>
        <w:t>连续运转可靠性试验</w:t>
      </w:r>
      <w:r>
        <w:rPr>
          <w:sz w:val="21"/>
        </w:rPr>
        <w:t xml:space="preserve"> </w:t>
      </w:r>
    </w:p>
    <w:p w14:paraId="3EB02BEE" w14:textId="77777777" w:rsidR="00A71EEF" w:rsidRDefault="00A71EEF">
      <w:pPr>
        <w:pStyle w:val="a3"/>
        <w:spacing w:before="11"/>
        <w:rPr>
          <w:sz w:val="17"/>
        </w:rPr>
      </w:pPr>
    </w:p>
    <w:p w14:paraId="0792319D" w14:textId="77777777" w:rsidR="00A71EEF" w:rsidRDefault="0081115D">
      <w:pPr>
        <w:pStyle w:val="a3"/>
        <w:spacing w:line="446" w:lineRule="auto"/>
        <w:ind w:left="840" w:right="1719" w:hanging="3"/>
      </w:pPr>
      <w:r>
        <w:t>在标定转速下连续运转</w:t>
      </w:r>
      <w:r>
        <w:t xml:space="preserve"> 24h</w:t>
      </w:r>
      <w:r>
        <w:t>。试验结束时测定风力灭火机转速，转速下降不得超过</w:t>
      </w:r>
      <w:r>
        <w:t xml:space="preserve"> 5%</w:t>
      </w:r>
      <w:r>
        <w:t>。</w:t>
      </w:r>
      <w:r>
        <w:rPr>
          <w:b/>
        </w:rPr>
        <w:t xml:space="preserve">5.6 </w:t>
      </w:r>
      <w:r>
        <w:t>一次加油连续工作时间测定</w:t>
      </w:r>
      <w:r>
        <w:t xml:space="preserve">  </w:t>
      </w:r>
    </w:p>
    <w:p w14:paraId="0E8619F2" w14:textId="77777777" w:rsidR="00A71EEF" w:rsidRDefault="0081115D">
      <w:pPr>
        <w:pStyle w:val="a3"/>
        <w:ind w:left="838"/>
      </w:pPr>
      <w:r>
        <w:t>在标定转速下重复测三次，取平均值，结果记入表</w:t>
      </w:r>
      <w:r>
        <w:t xml:space="preserve"> 4</w:t>
      </w:r>
      <w:r>
        <w:t>。</w:t>
      </w:r>
      <w:r>
        <w:t xml:space="preserve"> </w:t>
      </w:r>
    </w:p>
    <w:p w14:paraId="499E1E72" w14:textId="77777777" w:rsidR="00A71EEF" w:rsidRDefault="00A71EEF">
      <w:pPr>
        <w:pStyle w:val="a3"/>
        <w:spacing w:before="12"/>
        <w:rPr>
          <w:sz w:val="17"/>
        </w:rPr>
      </w:pPr>
    </w:p>
    <w:p w14:paraId="5202EAD5" w14:textId="77777777" w:rsidR="00A71EEF" w:rsidRDefault="0081115D">
      <w:pPr>
        <w:pStyle w:val="6"/>
        <w:ind w:left="3416"/>
      </w:pPr>
      <w:r>
        <w:t>表</w:t>
      </w:r>
      <w:r>
        <w:t xml:space="preserve"> 4 </w:t>
      </w:r>
      <w:r>
        <w:t>一次加油连续工作时间测试表</w:t>
      </w:r>
      <w:r>
        <w:rPr>
          <w:w w:val="99"/>
        </w:rPr>
        <w:t xml:space="preserve"> </w:t>
      </w:r>
    </w:p>
    <w:p w14:paraId="54F7CB0A" w14:textId="77777777" w:rsidR="00A71EEF" w:rsidRDefault="00A71EEF">
      <w:pPr>
        <w:pStyle w:val="a3"/>
        <w:spacing w:before="12"/>
        <w:rPr>
          <w:b/>
          <w:sz w:val="17"/>
        </w:rPr>
      </w:pPr>
    </w:p>
    <w:p w14:paraId="41351A6C" w14:textId="77777777" w:rsidR="00A71EEF" w:rsidRDefault="0081115D">
      <w:pPr>
        <w:pStyle w:val="a3"/>
        <w:spacing w:after="42"/>
        <w:ind w:left="838"/>
      </w:pPr>
      <w:r>
        <w:t>试</w:t>
      </w:r>
      <w:r>
        <w:t xml:space="preserve"> </w:t>
      </w:r>
      <w:r>
        <w:t>验</w:t>
      </w:r>
      <w:r>
        <w:t xml:space="preserve"> </w:t>
      </w:r>
      <w:r>
        <w:t>日</w:t>
      </w:r>
      <w:r>
        <w:t xml:space="preserve"> </w:t>
      </w:r>
      <w:r>
        <w:t>期</w:t>
      </w:r>
      <w:r>
        <w:t xml:space="preserve"> </w:t>
      </w:r>
      <w:r>
        <w:t>：</w:t>
      </w:r>
      <w:r>
        <w:t xml:space="preserve"> </w:t>
      </w:r>
      <w:r>
        <w:t>年</w:t>
      </w:r>
      <w:r>
        <w:t xml:space="preserve"> </w:t>
      </w:r>
      <w:r>
        <w:t>月</w:t>
      </w:r>
      <w:r>
        <w:t xml:space="preserve"> </w:t>
      </w:r>
      <w:r>
        <w:t>日</w:t>
      </w:r>
      <w:r>
        <w:t xml:space="preserve"> </w:t>
      </w:r>
      <w:r>
        <w:t>地</w:t>
      </w:r>
      <w:r>
        <w:t xml:space="preserve"> </w:t>
      </w:r>
      <w:r>
        <w:t>点</w:t>
      </w:r>
      <w:r>
        <w:t xml:space="preserve"> </w:t>
      </w:r>
      <w:r>
        <w:t>：</w:t>
      </w:r>
      <w:r>
        <w:t xml:space="preserve"> </w:t>
      </w:r>
    </w:p>
    <w:tbl>
      <w:tblPr>
        <w:tblStyle w:val="TableNormal"/>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4"/>
        <w:gridCol w:w="1642"/>
        <w:gridCol w:w="1644"/>
        <w:gridCol w:w="1728"/>
        <w:gridCol w:w="1561"/>
      </w:tblGrid>
      <w:tr w:rsidR="00A71EEF" w14:paraId="11AD4064" w14:textId="77777777">
        <w:trPr>
          <w:trHeight w:val="1000"/>
        </w:trPr>
        <w:tc>
          <w:tcPr>
            <w:tcW w:w="1644" w:type="dxa"/>
          </w:tcPr>
          <w:p w14:paraId="2D436845" w14:textId="77777777" w:rsidR="00A71EEF" w:rsidRDefault="00A71EEF">
            <w:pPr>
              <w:pStyle w:val="TableParagraph"/>
              <w:rPr>
                <w:sz w:val="20"/>
              </w:rPr>
            </w:pPr>
          </w:p>
          <w:p w14:paraId="0E03DA0A" w14:textId="77777777" w:rsidR="00A71EEF" w:rsidRDefault="00A71EEF">
            <w:pPr>
              <w:pStyle w:val="TableParagraph"/>
              <w:spacing w:before="4"/>
              <w:rPr>
                <w:sz w:val="14"/>
              </w:rPr>
            </w:pPr>
          </w:p>
          <w:p w14:paraId="44D0633C" w14:textId="77777777" w:rsidR="00A71EEF" w:rsidRDefault="0081115D">
            <w:pPr>
              <w:pStyle w:val="TableParagraph"/>
              <w:ind w:left="277" w:right="162"/>
              <w:jc w:val="center"/>
              <w:rPr>
                <w:sz w:val="21"/>
              </w:rPr>
            </w:pPr>
            <w:r>
              <w:rPr>
                <w:sz w:val="21"/>
              </w:rPr>
              <w:t>次数</w:t>
            </w:r>
            <w:r>
              <w:rPr>
                <w:sz w:val="21"/>
              </w:rPr>
              <w:t xml:space="preserve"> </w:t>
            </w:r>
          </w:p>
        </w:tc>
        <w:tc>
          <w:tcPr>
            <w:tcW w:w="1642" w:type="dxa"/>
          </w:tcPr>
          <w:p w14:paraId="097BD815" w14:textId="77777777" w:rsidR="00A71EEF" w:rsidRDefault="00A71EEF">
            <w:pPr>
              <w:pStyle w:val="TableParagraph"/>
              <w:rPr>
                <w:sz w:val="20"/>
              </w:rPr>
            </w:pPr>
          </w:p>
          <w:p w14:paraId="6F1D4497" w14:textId="77777777" w:rsidR="00A71EEF" w:rsidRDefault="00A71EEF">
            <w:pPr>
              <w:pStyle w:val="TableParagraph"/>
              <w:spacing w:before="4"/>
              <w:rPr>
                <w:sz w:val="14"/>
              </w:rPr>
            </w:pPr>
          </w:p>
          <w:p w14:paraId="50DD4014" w14:textId="77777777" w:rsidR="00A71EEF" w:rsidRDefault="0081115D">
            <w:pPr>
              <w:pStyle w:val="TableParagraph"/>
              <w:ind w:left="328" w:right="213"/>
              <w:jc w:val="center"/>
              <w:rPr>
                <w:sz w:val="21"/>
              </w:rPr>
            </w:pPr>
            <w:r>
              <w:rPr>
                <w:sz w:val="21"/>
              </w:rPr>
              <w:t>加油量，</w:t>
            </w:r>
            <w:r>
              <w:rPr>
                <w:sz w:val="21"/>
              </w:rPr>
              <w:t xml:space="preserve">kg </w:t>
            </w:r>
          </w:p>
        </w:tc>
        <w:tc>
          <w:tcPr>
            <w:tcW w:w="1644" w:type="dxa"/>
          </w:tcPr>
          <w:p w14:paraId="52F01668" w14:textId="77777777" w:rsidR="00A71EEF" w:rsidRDefault="00A71EEF">
            <w:pPr>
              <w:pStyle w:val="TableParagraph"/>
              <w:rPr>
                <w:sz w:val="20"/>
              </w:rPr>
            </w:pPr>
          </w:p>
          <w:p w14:paraId="5F987722" w14:textId="77777777" w:rsidR="00A71EEF" w:rsidRDefault="00A71EEF">
            <w:pPr>
              <w:pStyle w:val="TableParagraph"/>
              <w:spacing w:before="4"/>
              <w:rPr>
                <w:sz w:val="14"/>
              </w:rPr>
            </w:pPr>
          </w:p>
          <w:p w14:paraId="771F4E02" w14:textId="77777777" w:rsidR="00A71EEF" w:rsidRDefault="0081115D">
            <w:pPr>
              <w:pStyle w:val="TableParagraph"/>
              <w:ind w:left="277" w:right="162"/>
              <w:jc w:val="center"/>
              <w:rPr>
                <w:sz w:val="21"/>
              </w:rPr>
            </w:pPr>
            <w:r>
              <w:rPr>
                <w:sz w:val="21"/>
              </w:rPr>
              <w:t>工作时间，</w:t>
            </w:r>
            <w:r>
              <w:rPr>
                <w:sz w:val="21"/>
              </w:rPr>
              <w:t xml:space="preserve">h </w:t>
            </w:r>
          </w:p>
        </w:tc>
        <w:tc>
          <w:tcPr>
            <w:tcW w:w="1728" w:type="dxa"/>
          </w:tcPr>
          <w:p w14:paraId="070089D5" w14:textId="77777777" w:rsidR="00A71EEF" w:rsidRDefault="0081115D">
            <w:pPr>
              <w:pStyle w:val="TableParagraph"/>
              <w:spacing w:line="500" w:lineRule="exact"/>
              <w:ind w:left="233" w:right="114" w:hanging="106"/>
              <w:rPr>
                <w:sz w:val="21"/>
              </w:rPr>
            </w:pPr>
            <w:r>
              <w:rPr>
                <w:sz w:val="21"/>
              </w:rPr>
              <w:t>燃油牌号及混合比（按容积）</w:t>
            </w:r>
            <w:r>
              <w:rPr>
                <w:sz w:val="21"/>
              </w:rPr>
              <w:t xml:space="preserve"> </w:t>
            </w:r>
          </w:p>
        </w:tc>
        <w:tc>
          <w:tcPr>
            <w:tcW w:w="1561" w:type="dxa"/>
          </w:tcPr>
          <w:p w14:paraId="3AB46175" w14:textId="77777777" w:rsidR="00A71EEF" w:rsidRDefault="00A71EEF">
            <w:pPr>
              <w:pStyle w:val="TableParagraph"/>
              <w:rPr>
                <w:sz w:val="20"/>
              </w:rPr>
            </w:pPr>
          </w:p>
          <w:p w14:paraId="350B9E5F" w14:textId="77777777" w:rsidR="00A71EEF" w:rsidRDefault="00A71EEF">
            <w:pPr>
              <w:pStyle w:val="TableParagraph"/>
              <w:spacing w:before="4"/>
              <w:rPr>
                <w:sz w:val="14"/>
              </w:rPr>
            </w:pPr>
          </w:p>
          <w:p w14:paraId="19C76653" w14:textId="77777777" w:rsidR="00A71EEF" w:rsidRDefault="0081115D">
            <w:pPr>
              <w:pStyle w:val="TableParagraph"/>
              <w:ind w:left="602" w:right="488"/>
              <w:jc w:val="center"/>
              <w:rPr>
                <w:sz w:val="21"/>
              </w:rPr>
            </w:pPr>
            <w:r>
              <w:rPr>
                <w:sz w:val="21"/>
              </w:rPr>
              <w:t>备注</w:t>
            </w:r>
            <w:r>
              <w:rPr>
                <w:sz w:val="21"/>
              </w:rPr>
              <w:t xml:space="preserve"> </w:t>
            </w:r>
          </w:p>
        </w:tc>
      </w:tr>
      <w:tr w:rsidR="00A71EEF" w14:paraId="7BF0F91A" w14:textId="77777777">
        <w:trPr>
          <w:trHeight w:val="498"/>
        </w:trPr>
        <w:tc>
          <w:tcPr>
            <w:tcW w:w="1644" w:type="dxa"/>
          </w:tcPr>
          <w:p w14:paraId="3E8C05AF" w14:textId="77777777" w:rsidR="00A71EEF" w:rsidRDefault="00A71EEF">
            <w:pPr>
              <w:pStyle w:val="TableParagraph"/>
              <w:spacing w:before="11"/>
              <w:rPr>
                <w:sz w:val="14"/>
              </w:rPr>
            </w:pPr>
          </w:p>
          <w:p w14:paraId="1CC2DDBF" w14:textId="77777777" w:rsidR="00A71EEF" w:rsidRDefault="0081115D">
            <w:pPr>
              <w:pStyle w:val="TableParagraph"/>
              <w:ind w:left="274" w:right="162"/>
              <w:jc w:val="center"/>
              <w:rPr>
                <w:sz w:val="21"/>
              </w:rPr>
            </w:pPr>
            <w:r>
              <w:rPr>
                <w:sz w:val="21"/>
              </w:rPr>
              <w:t xml:space="preserve">1 </w:t>
            </w:r>
          </w:p>
        </w:tc>
        <w:tc>
          <w:tcPr>
            <w:tcW w:w="1642" w:type="dxa"/>
          </w:tcPr>
          <w:p w14:paraId="7AC1B3B0" w14:textId="77777777" w:rsidR="00A71EEF" w:rsidRDefault="00A71EEF">
            <w:pPr>
              <w:pStyle w:val="TableParagraph"/>
              <w:spacing w:before="11"/>
              <w:rPr>
                <w:sz w:val="14"/>
              </w:rPr>
            </w:pPr>
          </w:p>
          <w:p w14:paraId="741755D4" w14:textId="77777777" w:rsidR="00A71EEF" w:rsidRDefault="0081115D">
            <w:pPr>
              <w:pStyle w:val="TableParagraph"/>
              <w:ind w:left="115"/>
              <w:jc w:val="center"/>
              <w:rPr>
                <w:sz w:val="21"/>
              </w:rPr>
            </w:pPr>
            <w:r>
              <w:rPr>
                <w:sz w:val="21"/>
              </w:rPr>
              <w:t xml:space="preserve"> </w:t>
            </w:r>
          </w:p>
        </w:tc>
        <w:tc>
          <w:tcPr>
            <w:tcW w:w="1644" w:type="dxa"/>
          </w:tcPr>
          <w:p w14:paraId="3E449FA0" w14:textId="77777777" w:rsidR="00A71EEF" w:rsidRDefault="00A71EEF">
            <w:pPr>
              <w:pStyle w:val="TableParagraph"/>
              <w:spacing w:before="11"/>
              <w:rPr>
                <w:sz w:val="14"/>
              </w:rPr>
            </w:pPr>
          </w:p>
          <w:p w14:paraId="69AC8F78" w14:textId="77777777" w:rsidR="00A71EEF" w:rsidRDefault="0081115D">
            <w:pPr>
              <w:pStyle w:val="TableParagraph"/>
              <w:ind w:left="113"/>
              <w:jc w:val="center"/>
              <w:rPr>
                <w:sz w:val="21"/>
              </w:rPr>
            </w:pPr>
            <w:r>
              <w:rPr>
                <w:sz w:val="21"/>
              </w:rPr>
              <w:t xml:space="preserve"> </w:t>
            </w:r>
          </w:p>
        </w:tc>
        <w:tc>
          <w:tcPr>
            <w:tcW w:w="1728" w:type="dxa"/>
          </w:tcPr>
          <w:p w14:paraId="1C08E056" w14:textId="77777777" w:rsidR="00A71EEF" w:rsidRDefault="00A71EEF">
            <w:pPr>
              <w:pStyle w:val="TableParagraph"/>
              <w:spacing w:before="11"/>
              <w:rPr>
                <w:sz w:val="14"/>
              </w:rPr>
            </w:pPr>
          </w:p>
          <w:p w14:paraId="1B9312BE" w14:textId="77777777" w:rsidR="00A71EEF" w:rsidRDefault="0081115D">
            <w:pPr>
              <w:pStyle w:val="TableParagraph"/>
              <w:ind w:right="746"/>
              <w:jc w:val="right"/>
              <w:rPr>
                <w:sz w:val="21"/>
              </w:rPr>
            </w:pPr>
            <w:r>
              <w:rPr>
                <w:sz w:val="21"/>
              </w:rPr>
              <w:t xml:space="preserve"> </w:t>
            </w:r>
          </w:p>
        </w:tc>
        <w:tc>
          <w:tcPr>
            <w:tcW w:w="1561" w:type="dxa"/>
          </w:tcPr>
          <w:p w14:paraId="7442D225" w14:textId="77777777" w:rsidR="00A71EEF" w:rsidRDefault="00A71EEF">
            <w:pPr>
              <w:pStyle w:val="TableParagraph"/>
              <w:spacing w:before="11"/>
              <w:rPr>
                <w:sz w:val="14"/>
              </w:rPr>
            </w:pPr>
          </w:p>
          <w:p w14:paraId="4284CE73" w14:textId="77777777" w:rsidR="00A71EEF" w:rsidRDefault="0081115D">
            <w:pPr>
              <w:pStyle w:val="TableParagraph"/>
              <w:ind w:left="116"/>
              <w:jc w:val="center"/>
              <w:rPr>
                <w:sz w:val="21"/>
              </w:rPr>
            </w:pPr>
            <w:r>
              <w:rPr>
                <w:sz w:val="21"/>
              </w:rPr>
              <w:t xml:space="preserve"> </w:t>
            </w:r>
          </w:p>
        </w:tc>
      </w:tr>
      <w:tr w:rsidR="00A71EEF" w14:paraId="2D8CDB18" w14:textId="77777777">
        <w:trPr>
          <w:trHeight w:val="501"/>
        </w:trPr>
        <w:tc>
          <w:tcPr>
            <w:tcW w:w="1644" w:type="dxa"/>
          </w:tcPr>
          <w:p w14:paraId="669146CA" w14:textId="77777777" w:rsidR="00A71EEF" w:rsidRDefault="00A71EEF">
            <w:pPr>
              <w:pStyle w:val="TableParagraph"/>
              <w:spacing w:before="11"/>
              <w:rPr>
                <w:sz w:val="14"/>
              </w:rPr>
            </w:pPr>
          </w:p>
          <w:p w14:paraId="6E55A665" w14:textId="77777777" w:rsidR="00A71EEF" w:rsidRDefault="0081115D">
            <w:pPr>
              <w:pStyle w:val="TableParagraph"/>
              <w:ind w:left="274" w:right="162"/>
              <w:jc w:val="center"/>
              <w:rPr>
                <w:sz w:val="21"/>
              </w:rPr>
            </w:pPr>
            <w:r>
              <w:rPr>
                <w:sz w:val="21"/>
              </w:rPr>
              <w:t xml:space="preserve">2 </w:t>
            </w:r>
          </w:p>
        </w:tc>
        <w:tc>
          <w:tcPr>
            <w:tcW w:w="1642" w:type="dxa"/>
          </w:tcPr>
          <w:p w14:paraId="66DD69EC" w14:textId="77777777" w:rsidR="00A71EEF" w:rsidRDefault="00A71EEF">
            <w:pPr>
              <w:pStyle w:val="TableParagraph"/>
              <w:spacing w:before="11"/>
              <w:rPr>
                <w:sz w:val="14"/>
              </w:rPr>
            </w:pPr>
          </w:p>
          <w:p w14:paraId="57357F0A" w14:textId="77777777" w:rsidR="00A71EEF" w:rsidRDefault="0081115D">
            <w:pPr>
              <w:pStyle w:val="TableParagraph"/>
              <w:ind w:left="115"/>
              <w:jc w:val="center"/>
              <w:rPr>
                <w:sz w:val="21"/>
              </w:rPr>
            </w:pPr>
            <w:r>
              <w:rPr>
                <w:sz w:val="21"/>
              </w:rPr>
              <w:t xml:space="preserve"> </w:t>
            </w:r>
          </w:p>
        </w:tc>
        <w:tc>
          <w:tcPr>
            <w:tcW w:w="1644" w:type="dxa"/>
          </w:tcPr>
          <w:p w14:paraId="3A578996" w14:textId="77777777" w:rsidR="00A71EEF" w:rsidRDefault="00A71EEF">
            <w:pPr>
              <w:pStyle w:val="TableParagraph"/>
              <w:spacing w:before="11"/>
              <w:rPr>
                <w:sz w:val="14"/>
              </w:rPr>
            </w:pPr>
          </w:p>
          <w:p w14:paraId="4B4608FF" w14:textId="77777777" w:rsidR="00A71EEF" w:rsidRDefault="0081115D">
            <w:pPr>
              <w:pStyle w:val="TableParagraph"/>
              <w:ind w:left="113"/>
              <w:jc w:val="center"/>
              <w:rPr>
                <w:sz w:val="21"/>
              </w:rPr>
            </w:pPr>
            <w:r>
              <w:rPr>
                <w:sz w:val="21"/>
              </w:rPr>
              <w:t xml:space="preserve"> </w:t>
            </w:r>
          </w:p>
        </w:tc>
        <w:tc>
          <w:tcPr>
            <w:tcW w:w="1728" w:type="dxa"/>
          </w:tcPr>
          <w:p w14:paraId="58D3FFBE" w14:textId="77777777" w:rsidR="00A71EEF" w:rsidRDefault="00A71EEF">
            <w:pPr>
              <w:pStyle w:val="TableParagraph"/>
              <w:spacing w:before="11"/>
              <w:rPr>
                <w:sz w:val="14"/>
              </w:rPr>
            </w:pPr>
          </w:p>
          <w:p w14:paraId="58070572" w14:textId="77777777" w:rsidR="00A71EEF" w:rsidRDefault="0081115D">
            <w:pPr>
              <w:pStyle w:val="TableParagraph"/>
              <w:ind w:right="746"/>
              <w:jc w:val="right"/>
              <w:rPr>
                <w:sz w:val="21"/>
              </w:rPr>
            </w:pPr>
            <w:r>
              <w:rPr>
                <w:sz w:val="21"/>
              </w:rPr>
              <w:t xml:space="preserve"> </w:t>
            </w:r>
          </w:p>
        </w:tc>
        <w:tc>
          <w:tcPr>
            <w:tcW w:w="1561" w:type="dxa"/>
          </w:tcPr>
          <w:p w14:paraId="2068D60F" w14:textId="77777777" w:rsidR="00A71EEF" w:rsidRDefault="00A71EEF">
            <w:pPr>
              <w:pStyle w:val="TableParagraph"/>
              <w:spacing w:before="11"/>
              <w:rPr>
                <w:sz w:val="14"/>
              </w:rPr>
            </w:pPr>
          </w:p>
          <w:p w14:paraId="70E8C9A6" w14:textId="77777777" w:rsidR="00A71EEF" w:rsidRDefault="0081115D">
            <w:pPr>
              <w:pStyle w:val="TableParagraph"/>
              <w:ind w:left="116"/>
              <w:jc w:val="center"/>
              <w:rPr>
                <w:sz w:val="21"/>
              </w:rPr>
            </w:pPr>
            <w:r>
              <w:rPr>
                <w:sz w:val="21"/>
              </w:rPr>
              <w:t xml:space="preserve"> </w:t>
            </w:r>
          </w:p>
        </w:tc>
      </w:tr>
      <w:tr w:rsidR="00A71EEF" w14:paraId="2F9E9E0A" w14:textId="77777777">
        <w:trPr>
          <w:trHeight w:val="498"/>
        </w:trPr>
        <w:tc>
          <w:tcPr>
            <w:tcW w:w="1644" w:type="dxa"/>
          </w:tcPr>
          <w:p w14:paraId="0FBDEFE1" w14:textId="77777777" w:rsidR="00A71EEF" w:rsidRDefault="00A71EEF">
            <w:pPr>
              <w:pStyle w:val="TableParagraph"/>
              <w:spacing w:before="11"/>
              <w:rPr>
                <w:sz w:val="14"/>
              </w:rPr>
            </w:pPr>
          </w:p>
          <w:p w14:paraId="04A83B25" w14:textId="77777777" w:rsidR="00A71EEF" w:rsidRDefault="0081115D">
            <w:pPr>
              <w:pStyle w:val="TableParagraph"/>
              <w:ind w:left="274" w:right="162"/>
              <w:jc w:val="center"/>
              <w:rPr>
                <w:sz w:val="21"/>
              </w:rPr>
            </w:pPr>
            <w:r>
              <w:rPr>
                <w:sz w:val="21"/>
              </w:rPr>
              <w:t xml:space="preserve">3 </w:t>
            </w:r>
          </w:p>
        </w:tc>
        <w:tc>
          <w:tcPr>
            <w:tcW w:w="1642" w:type="dxa"/>
          </w:tcPr>
          <w:p w14:paraId="44F1BAF4" w14:textId="77777777" w:rsidR="00A71EEF" w:rsidRDefault="00A71EEF">
            <w:pPr>
              <w:pStyle w:val="TableParagraph"/>
              <w:spacing w:before="11"/>
              <w:rPr>
                <w:sz w:val="14"/>
              </w:rPr>
            </w:pPr>
          </w:p>
          <w:p w14:paraId="089E0B8B" w14:textId="77777777" w:rsidR="00A71EEF" w:rsidRDefault="0081115D">
            <w:pPr>
              <w:pStyle w:val="TableParagraph"/>
              <w:ind w:left="115"/>
              <w:jc w:val="center"/>
              <w:rPr>
                <w:sz w:val="21"/>
              </w:rPr>
            </w:pPr>
            <w:r>
              <w:rPr>
                <w:sz w:val="21"/>
              </w:rPr>
              <w:t xml:space="preserve"> </w:t>
            </w:r>
          </w:p>
        </w:tc>
        <w:tc>
          <w:tcPr>
            <w:tcW w:w="1644" w:type="dxa"/>
          </w:tcPr>
          <w:p w14:paraId="322D925D" w14:textId="77777777" w:rsidR="00A71EEF" w:rsidRDefault="00A71EEF">
            <w:pPr>
              <w:pStyle w:val="TableParagraph"/>
              <w:spacing w:before="11"/>
              <w:rPr>
                <w:sz w:val="14"/>
              </w:rPr>
            </w:pPr>
          </w:p>
          <w:p w14:paraId="1954BC79" w14:textId="77777777" w:rsidR="00A71EEF" w:rsidRDefault="0081115D">
            <w:pPr>
              <w:pStyle w:val="TableParagraph"/>
              <w:ind w:left="113"/>
              <w:jc w:val="center"/>
              <w:rPr>
                <w:sz w:val="21"/>
              </w:rPr>
            </w:pPr>
            <w:r>
              <w:rPr>
                <w:sz w:val="21"/>
              </w:rPr>
              <w:t xml:space="preserve"> </w:t>
            </w:r>
          </w:p>
        </w:tc>
        <w:tc>
          <w:tcPr>
            <w:tcW w:w="1728" w:type="dxa"/>
          </w:tcPr>
          <w:p w14:paraId="62CF3AC2" w14:textId="77777777" w:rsidR="00A71EEF" w:rsidRDefault="00A71EEF">
            <w:pPr>
              <w:pStyle w:val="TableParagraph"/>
              <w:spacing w:before="11"/>
              <w:rPr>
                <w:sz w:val="14"/>
              </w:rPr>
            </w:pPr>
          </w:p>
          <w:p w14:paraId="430E0549" w14:textId="77777777" w:rsidR="00A71EEF" w:rsidRDefault="0081115D">
            <w:pPr>
              <w:pStyle w:val="TableParagraph"/>
              <w:ind w:right="746"/>
              <w:jc w:val="right"/>
              <w:rPr>
                <w:sz w:val="21"/>
              </w:rPr>
            </w:pPr>
            <w:r>
              <w:rPr>
                <w:sz w:val="21"/>
              </w:rPr>
              <w:t xml:space="preserve"> </w:t>
            </w:r>
          </w:p>
        </w:tc>
        <w:tc>
          <w:tcPr>
            <w:tcW w:w="1561" w:type="dxa"/>
          </w:tcPr>
          <w:p w14:paraId="0BED8F13" w14:textId="77777777" w:rsidR="00A71EEF" w:rsidRDefault="00A71EEF">
            <w:pPr>
              <w:pStyle w:val="TableParagraph"/>
              <w:spacing w:before="11"/>
              <w:rPr>
                <w:sz w:val="14"/>
              </w:rPr>
            </w:pPr>
          </w:p>
          <w:p w14:paraId="33967F4E" w14:textId="77777777" w:rsidR="00A71EEF" w:rsidRDefault="0081115D">
            <w:pPr>
              <w:pStyle w:val="TableParagraph"/>
              <w:ind w:left="116"/>
              <w:jc w:val="center"/>
              <w:rPr>
                <w:sz w:val="21"/>
              </w:rPr>
            </w:pPr>
            <w:r>
              <w:rPr>
                <w:sz w:val="21"/>
              </w:rPr>
              <w:t xml:space="preserve"> </w:t>
            </w:r>
          </w:p>
        </w:tc>
      </w:tr>
      <w:tr w:rsidR="00A71EEF" w14:paraId="2C680ACB" w14:textId="77777777">
        <w:trPr>
          <w:trHeight w:val="501"/>
        </w:trPr>
        <w:tc>
          <w:tcPr>
            <w:tcW w:w="1644" w:type="dxa"/>
          </w:tcPr>
          <w:p w14:paraId="7321C324" w14:textId="77777777" w:rsidR="00A71EEF" w:rsidRDefault="00A71EEF">
            <w:pPr>
              <w:pStyle w:val="TableParagraph"/>
              <w:spacing w:before="11"/>
              <w:rPr>
                <w:sz w:val="14"/>
              </w:rPr>
            </w:pPr>
          </w:p>
          <w:p w14:paraId="7148304A" w14:textId="77777777" w:rsidR="00A71EEF" w:rsidRDefault="0081115D">
            <w:pPr>
              <w:pStyle w:val="TableParagraph"/>
              <w:ind w:left="277" w:right="162"/>
              <w:jc w:val="center"/>
              <w:rPr>
                <w:sz w:val="21"/>
              </w:rPr>
            </w:pPr>
            <w:r>
              <w:rPr>
                <w:sz w:val="21"/>
              </w:rPr>
              <w:t>平均</w:t>
            </w:r>
            <w:r>
              <w:rPr>
                <w:sz w:val="21"/>
              </w:rPr>
              <w:t xml:space="preserve"> </w:t>
            </w:r>
          </w:p>
        </w:tc>
        <w:tc>
          <w:tcPr>
            <w:tcW w:w="1642" w:type="dxa"/>
          </w:tcPr>
          <w:p w14:paraId="79717C98" w14:textId="77777777" w:rsidR="00A71EEF" w:rsidRDefault="00A71EEF">
            <w:pPr>
              <w:pStyle w:val="TableParagraph"/>
              <w:spacing w:before="11"/>
              <w:rPr>
                <w:sz w:val="14"/>
              </w:rPr>
            </w:pPr>
          </w:p>
          <w:p w14:paraId="11C5BAD9" w14:textId="77777777" w:rsidR="00A71EEF" w:rsidRDefault="0081115D">
            <w:pPr>
              <w:pStyle w:val="TableParagraph"/>
              <w:ind w:left="115"/>
              <w:jc w:val="center"/>
              <w:rPr>
                <w:sz w:val="21"/>
              </w:rPr>
            </w:pPr>
            <w:r>
              <w:rPr>
                <w:sz w:val="21"/>
              </w:rPr>
              <w:t xml:space="preserve"> </w:t>
            </w:r>
          </w:p>
        </w:tc>
        <w:tc>
          <w:tcPr>
            <w:tcW w:w="1644" w:type="dxa"/>
          </w:tcPr>
          <w:p w14:paraId="699DD266" w14:textId="77777777" w:rsidR="00A71EEF" w:rsidRDefault="00A71EEF">
            <w:pPr>
              <w:pStyle w:val="TableParagraph"/>
              <w:spacing w:before="11"/>
              <w:rPr>
                <w:sz w:val="14"/>
              </w:rPr>
            </w:pPr>
          </w:p>
          <w:p w14:paraId="669D7C67" w14:textId="77777777" w:rsidR="00A71EEF" w:rsidRDefault="0081115D">
            <w:pPr>
              <w:pStyle w:val="TableParagraph"/>
              <w:ind w:left="113"/>
              <w:jc w:val="center"/>
              <w:rPr>
                <w:sz w:val="21"/>
              </w:rPr>
            </w:pPr>
            <w:r>
              <w:rPr>
                <w:sz w:val="21"/>
              </w:rPr>
              <w:t xml:space="preserve"> </w:t>
            </w:r>
          </w:p>
        </w:tc>
        <w:tc>
          <w:tcPr>
            <w:tcW w:w="1728" w:type="dxa"/>
          </w:tcPr>
          <w:p w14:paraId="42BA6418" w14:textId="77777777" w:rsidR="00A71EEF" w:rsidRDefault="00A71EEF">
            <w:pPr>
              <w:pStyle w:val="TableParagraph"/>
              <w:spacing w:before="11"/>
              <w:rPr>
                <w:sz w:val="14"/>
              </w:rPr>
            </w:pPr>
          </w:p>
          <w:p w14:paraId="039EBD0C" w14:textId="77777777" w:rsidR="00A71EEF" w:rsidRDefault="0081115D">
            <w:pPr>
              <w:pStyle w:val="TableParagraph"/>
              <w:ind w:right="746"/>
              <w:jc w:val="right"/>
              <w:rPr>
                <w:sz w:val="21"/>
              </w:rPr>
            </w:pPr>
            <w:r>
              <w:rPr>
                <w:sz w:val="21"/>
              </w:rPr>
              <w:t xml:space="preserve"> </w:t>
            </w:r>
          </w:p>
        </w:tc>
        <w:tc>
          <w:tcPr>
            <w:tcW w:w="1561" w:type="dxa"/>
          </w:tcPr>
          <w:p w14:paraId="7BC71E0B" w14:textId="77777777" w:rsidR="00A71EEF" w:rsidRDefault="00A71EEF">
            <w:pPr>
              <w:pStyle w:val="TableParagraph"/>
              <w:spacing w:before="11"/>
              <w:rPr>
                <w:sz w:val="14"/>
              </w:rPr>
            </w:pPr>
          </w:p>
          <w:p w14:paraId="20D87E0A" w14:textId="77777777" w:rsidR="00A71EEF" w:rsidRDefault="0081115D">
            <w:pPr>
              <w:pStyle w:val="TableParagraph"/>
              <w:ind w:left="116"/>
              <w:jc w:val="center"/>
              <w:rPr>
                <w:sz w:val="21"/>
              </w:rPr>
            </w:pPr>
            <w:r>
              <w:rPr>
                <w:sz w:val="21"/>
              </w:rPr>
              <w:t xml:space="preserve"> </w:t>
            </w:r>
          </w:p>
        </w:tc>
      </w:tr>
    </w:tbl>
    <w:p w14:paraId="2E72DA53" w14:textId="77777777" w:rsidR="00A71EEF" w:rsidRDefault="00A71EEF">
      <w:pPr>
        <w:pStyle w:val="a3"/>
        <w:spacing w:before="11"/>
        <w:rPr>
          <w:sz w:val="14"/>
        </w:rPr>
      </w:pPr>
    </w:p>
    <w:p w14:paraId="072E6E0F" w14:textId="77777777" w:rsidR="00A71EEF" w:rsidRDefault="0081115D">
      <w:pPr>
        <w:pStyle w:val="a3"/>
        <w:spacing w:line="446" w:lineRule="auto"/>
        <w:ind w:left="418" w:right="1431" w:firstLine="419"/>
        <w:jc w:val="both"/>
      </w:pPr>
      <w:r>
        <w:rPr>
          <w:spacing w:val="-7"/>
        </w:rPr>
        <w:t>风机每两年随主机做一次</w:t>
      </w:r>
      <w:r>
        <w:rPr>
          <w:spacing w:val="-7"/>
        </w:rPr>
        <w:t xml:space="preserve"> </w:t>
      </w:r>
      <w:r>
        <w:t>500h</w:t>
      </w:r>
      <w:r>
        <w:rPr>
          <w:spacing w:val="-15"/>
        </w:rPr>
        <w:t xml:space="preserve"> </w:t>
      </w:r>
      <w:r>
        <w:rPr>
          <w:spacing w:val="-15"/>
        </w:rPr>
        <w:t>变工况</w:t>
      </w:r>
      <w:r>
        <w:t>（</w:t>
      </w:r>
      <w:r>
        <w:t>1min</w:t>
      </w:r>
      <w:r>
        <w:rPr>
          <w:spacing w:val="-11"/>
        </w:rPr>
        <w:t xml:space="preserve"> </w:t>
      </w:r>
      <w:r>
        <w:rPr>
          <w:spacing w:val="-11"/>
        </w:rPr>
        <w:t>标定转速，</w:t>
      </w:r>
      <w:r>
        <w:rPr>
          <w:spacing w:val="-3"/>
        </w:rPr>
        <w:t>3min</w:t>
      </w:r>
      <w:r>
        <w:rPr>
          <w:spacing w:val="-8"/>
        </w:rPr>
        <w:t xml:space="preserve"> </w:t>
      </w:r>
      <w:r>
        <w:rPr>
          <w:spacing w:val="-8"/>
        </w:rPr>
        <w:t>二分之一标定转速</w:t>
      </w:r>
      <w:r>
        <w:rPr>
          <w:spacing w:val="-12"/>
        </w:rPr>
        <w:t>）</w:t>
      </w:r>
      <w:r>
        <w:rPr>
          <w:spacing w:val="-2"/>
        </w:rPr>
        <w:t>耐久性试</w:t>
      </w:r>
      <w:r>
        <w:rPr>
          <w:spacing w:val="-10"/>
        </w:rPr>
        <w:t>验，允许用三台风机壳，单台风机壳试验时间不得少于</w:t>
      </w:r>
      <w:r>
        <w:rPr>
          <w:spacing w:val="-10"/>
        </w:rPr>
        <w:t xml:space="preserve"> </w:t>
      </w:r>
      <w:r>
        <w:t>160h</w:t>
      </w:r>
      <w:r>
        <w:rPr>
          <w:spacing w:val="-12"/>
        </w:rPr>
        <w:t>。发动机允许按</w:t>
      </w:r>
      <w:r>
        <w:rPr>
          <w:spacing w:val="-12"/>
        </w:rPr>
        <w:t xml:space="preserve"> </w:t>
      </w:r>
      <w:r>
        <w:t>GB/T 1105</w:t>
      </w:r>
      <w:r>
        <w:rPr>
          <w:spacing w:val="-11"/>
        </w:rPr>
        <w:t xml:space="preserve"> </w:t>
      </w:r>
      <w:r>
        <w:rPr>
          <w:spacing w:val="-11"/>
        </w:rPr>
        <w:t>的有关规</w:t>
      </w:r>
      <w:r>
        <w:rPr>
          <w:spacing w:val="-6"/>
        </w:rPr>
        <w:t>定进行停机保养。</w:t>
      </w:r>
      <w:r>
        <w:t xml:space="preserve"> </w:t>
      </w:r>
    </w:p>
    <w:p w14:paraId="1B40E901" w14:textId="77777777" w:rsidR="00A71EEF" w:rsidRDefault="0081115D">
      <w:pPr>
        <w:pStyle w:val="a3"/>
        <w:spacing w:line="268" w:lineRule="exact"/>
        <w:ind w:left="838"/>
      </w:pPr>
      <w:r>
        <w:t>试验后检查叶轮和风机壳。</w:t>
      </w:r>
      <w:r>
        <w:t xml:space="preserve"> </w:t>
      </w:r>
    </w:p>
    <w:p w14:paraId="24377DA4" w14:textId="77777777" w:rsidR="00A71EEF" w:rsidRDefault="00A71EEF">
      <w:pPr>
        <w:pStyle w:val="a3"/>
        <w:spacing w:before="8"/>
        <w:rPr>
          <w:sz w:val="15"/>
        </w:rPr>
      </w:pPr>
    </w:p>
    <w:p w14:paraId="7FDBD1D8" w14:textId="77777777" w:rsidR="00A71EEF" w:rsidRDefault="0081115D">
      <w:pPr>
        <w:pStyle w:val="4"/>
      </w:pPr>
      <w:r>
        <w:t xml:space="preserve">6 </w:t>
      </w:r>
      <w:r>
        <w:t>叶轮超转速试验</w:t>
      </w:r>
      <w:r>
        <w:rPr>
          <w:w w:val="99"/>
        </w:rPr>
        <w:t xml:space="preserve"> </w:t>
      </w:r>
    </w:p>
    <w:p w14:paraId="2F0E406F" w14:textId="77777777" w:rsidR="00A71EEF" w:rsidRDefault="00A71EEF">
      <w:pPr>
        <w:pStyle w:val="a3"/>
        <w:spacing w:before="4"/>
        <w:rPr>
          <w:b/>
          <w:sz w:val="17"/>
        </w:rPr>
      </w:pPr>
    </w:p>
    <w:p w14:paraId="50CAAAA1" w14:textId="77777777" w:rsidR="00A71EEF" w:rsidRDefault="0081115D">
      <w:pPr>
        <w:pStyle w:val="a3"/>
        <w:ind w:left="838"/>
      </w:pPr>
      <w:r>
        <w:t>在超转速试验台上进行，叶轮在</w:t>
      </w:r>
      <w:r>
        <w:t xml:space="preserve"> 1.3 </w:t>
      </w:r>
      <w:r>
        <w:t>倍标定转速下运转。间隔起动三次，每次运转不少于</w:t>
      </w:r>
    </w:p>
    <w:p w14:paraId="0A00C732" w14:textId="77777777" w:rsidR="00A71EEF" w:rsidRDefault="00A71EEF">
      <w:pPr>
        <w:pStyle w:val="a3"/>
        <w:spacing w:before="2"/>
        <w:rPr>
          <w:sz w:val="18"/>
        </w:rPr>
      </w:pPr>
    </w:p>
    <w:p w14:paraId="5AE6816F" w14:textId="77777777" w:rsidR="00A71EEF" w:rsidRDefault="0081115D">
      <w:pPr>
        <w:pStyle w:val="a3"/>
        <w:ind w:left="418"/>
      </w:pPr>
      <w:r>
        <w:t>5min</w:t>
      </w:r>
      <w:r>
        <w:t>。试验后检查叶轮，不应有变形、裂痕、损坏和松动。</w:t>
      </w:r>
      <w:r>
        <w:t xml:space="preserve"> </w:t>
      </w:r>
    </w:p>
    <w:p w14:paraId="580068F9" w14:textId="77777777" w:rsidR="00A71EEF" w:rsidRDefault="00A71EEF">
      <w:pPr>
        <w:pStyle w:val="a3"/>
        <w:spacing w:before="8"/>
        <w:rPr>
          <w:sz w:val="15"/>
        </w:rPr>
      </w:pPr>
    </w:p>
    <w:p w14:paraId="22C7F6A5" w14:textId="77777777" w:rsidR="00A71EEF" w:rsidRDefault="0081115D">
      <w:pPr>
        <w:pStyle w:val="4"/>
      </w:pPr>
      <w:r>
        <w:t xml:space="preserve">7 </w:t>
      </w:r>
      <w:r>
        <w:t>叶轮静平衡检查</w:t>
      </w:r>
      <w:r>
        <w:rPr>
          <w:w w:val="99"/>
        </w:rPr>
        <w:t xml:space="preserve"> </w:t>
      </w:r>
    </w:p>
    <w:p w14:paraId="6C4DD7C7" w14:textId="77777777" w:rsidR="00A71EEF" w:rsidRDefault="00A71EEF">
      <w:pPr>
        <w:pStyle w:val="a3"/>
        <w:spacing w:before="4"/>
        <w:rPr>
          <w:b/>
          <w:sz w:val="17"/>
        </w:rPr>
      </w:pPr>
    </w:p>
    <w:p w14:paraId="015BE435" w14:textId="77777777" w:rsidR="00A71EEF" w:rsidRDefault="0081115D">
      <w:pPr>
        <w:pStyle w:val="a3"/>
        <w:ind w:left="838"/>
      </w:pPr>
      <w:r>
        <w:t>用静平衡机或静平衡架测定叶轮不平衡量。</w:t>
      </w:r>
      <w:r>
        <w:t xml:space="preserve"> </w:t>
      </w:r>
    </w:p>
    <w:p w14:paraId="3D4E82EC" w14:textId="77777777" w:rsidR="00A71EEF" w:rsidRDefault="00A71EEF">
      <w:pPr>
        <w:sectPr w:rsidR="00A71EEF">
          <w:pgSz w:w="11910" w:h="16850"/>
          <w:pgMar w:top="1220" w:right="0" w:bottom="1420" w:left="1260" w:header="0" w:footer="1239" w:gutter="0"/>
          <w:cols w:space="720"/>
        </w:sectPr>
      </w:pPr>
    </w:p>
    <w:p w14:paraId="08015E06" w14:textId="77777777" w:rsidR="00A71EEF" w:rsidRDefault="0081115D">
      <w:pPr>
        <w:pStyle w:val="4"/>
        <w:spacing w:before="37"/>
      </w:pPr>
      <w:r>
        <w:t xml:space="preserve">8 </w:t>
      </w:r>
      <w:r>
        <w:t>试验报告</w:t>
      </w:r>
      <w:r>
        <w:rPr>
          <w:w w:val="99"/>
        </w:rPr>
        <w:t xml:space="preserve"> </w:t>
      </w:r>
    </w:p>
    <w:p w14:paraId="3780B34B" w14:textId="77777777" w:rsidR="00A71EEF" w:rsidRDefault="00A71EEF">
      <w:pPr>
        <w:pStyle w:val="a3"/>
        <w:spacing w:before="4"/>
        <w:rPr>
          <w:b/>
          <w:sz w:val="17"/>
        </w:rPr>
      </w:pPr>
    </w:p>
    <w:p w14:paraId="5F6B170A" w14:textId="77777777" w:rsidR="00A71EEF" w:rsidRDefault="0081115D">
      <w:pPr>
        <w:pStyle w:val="a3"/>
        <w:spacing w:before="1"/>
        <w:ind w:left="838"/>
      </w:pPr>
      <w:r>
        <w:t>试验报告应包括以下内容：</w:t>
      </w:r>
      <w:r>
        <w:t xml:space="preserve"> </w:t>
      </w:r>
    </w:p>
    <w:p w14:paraId="2A5FCFD3" w14:textId="77777777" w:rsidR="00A71EEF" w:rsidRDefault="00A71EEF">
      <w:pPr>
        <w:pStyle w:val="a3"/>
        <w:spacing w:before="12"/>
        <w:rPr>
          <w:sz w:val="17"/>
        </w:rPr>
      </w:pPr>
    </w:p>
    <w:p w14:paraId="38B4886D" w14:textId="77777777" w:rsidR="00A71EEF" w:rsidRDefault="0081115D">
      <w:pPr>
        <w:pStyle w:val="a3"/>
        <w:spacing w:line="446" w:lineRule="auto"/>
        <w:ind w:left="842" w:right="6654" w:hanging="5"/>
      </w:pPr>
      <w:r>
        <w:t>a</w:t>
      </w:r>
      <w:r>
        <w:t>）试验目的、地点、概况说明；</w:t>
      </w:r>
      <w:r>
        <w:t xml:space="preserve"> b</w:t>
      </w:r>
      <w:r>
        <w:t>）试验样机的技术特性；</w:t>
      </w:r>
      <w:r>
        <w:t xml:space="preserve"> </w:t>
      </w:r>
    </w:p>
    <w:p w14:paraId="00E28EF9" w14:textId="77777777" w:rsidR="00A71EEF" w:rsidRDefault="0081115D">
      <w:pPr>
        <w:pStyle w:val="a4"/>
        <w:numPr>
          <w:ilvl w:val="0"/>
          <w:numId w:val="12"/>
        </w:numPr>
        <w:tabs>
          <w:tab w:val="left" w:pos="1161"/>
        </w:tabs>
        <w:ind w:hanging="319"/>
        <w:rPr>
          <w:sz w:val="21"/>
        </w:rPr>
      </w:pPr>
      <w:r>
        <w:rPr>
          <w:spacing w:val="-3"/>
          <w:sz w:val="21"/>
        </w:rPr>
        <w:t>试验依据的标准；</w:t>
      </w:r>
      <w:r>
        <w:rPr>
          <w:sz w:val="21"/>
        </w:rPr>
        <w:t xml:space="preserve"> </w:t>
      </w:r>
    </w:p>
    <w:p w14:paraId="0E93A3FA" w14:textId="77777777" w:rsidR="00A71EEF" w:rsidRDefault="0081115D">
      <w:pPr>
        <w:pStyle w:val="a4"/>
        <w:numPr>
          <w:ilvl w:val="0"/>
          <w:numId w:val="12"/>
        </w:numPr>
        <w:tabs>
          <w:tab w:val="left" w:pos="1161"/>
        </w:tabs>
        <w:spacing w:before="38" w:line="502" w:lineRule="exact"/>
        <w:ind w:left="842" w:right="6441" w:firstLine="0"/>
        <w:rPr>
          <w:sz w:val="21"/>
        </w:rPr>
      </w:pPr>
      <w:r>
        <w:rPr>
          <w:spacing w:val="-3"/>
          <w:sz w:val="21"/>
        </w:rPr>
        <w:t>试验项目、数据、结果及分析；</w:t>
      </w:r>
      <w:r>
        <w:rPr>
          <w:spacing w:val="-3"/>
          <w:sz w:val="21"/>
        </w:rPr>
        <w:t xml:space="preserve"> </w:t>
      </w:r>
      <w:r>
        <w:rPr>
          <w:sz w:val="21"/>
        </w:rPr>
        <w:t>e</w:t>
      </w:r>
      <w:r>
        <w:rPr>
          <w:sz w:val="21"/>
        </w:rPr>
        <w:t>）</w:t>
      </w:r>
      <w:r>
        <w:rPr>
          <w:spacing w:val="-3"/>
          <w:sz w:val="21"/>
        </w:rPr>
        <w:t>存在问题及改进意见；</w:t>
      </w:r>
      <w:r>
        <w:rPr>
          <w:sz w:val="21"/>
        </w:rPr>
        <w:t xml:space="preserve"> </w:t>
      </w:r>
    </w:p>
    <w:p w14:paraId="5106662B" w14:textId="77777777" w:rsidR="00A71EEF" w:rsidRDefault="0081115D">
      <w:pPr>
        <w:pStyle w:val="a3"/>
        <w:spacing w:line="268" w:lineRule="exact"/>
        <w:ind w:left="838"/>
      </w:pPr>
      <w:r>
        <w:t>f</w:t>
      </w:r>
      <w:r>
        <w:t>）结论。</w:t>
      </w:r>
      <w:r>
        <w:t xml:space="preserve"> </w:t>
      </w:r>
    </w:p>
    <w:p w14:paraId="7D8A5560" w14:textId="77777777" w:rsidR="00A71EEF" w:rsidRDefault="0081115D">
      <w:pPr>
        <w:pStyle w:val="a3"/>
        <w:spacing w:before="5"/>
        <w:ind w:left="838"/>
      </w:pPr>
      <w:r>
        <w:t xml:space="preserve"> </w:t>
      </w:r>
    </w:p>
    <w:p w14:paraId="3EFA2CA0" w14:textId="77777777" w:rsidR="00A71EEF" w:rsidRDefault="0081115D">
      <w:pPr>
        <w:pStyle w:val="a3"/>
        <w:spacing w:before="2"/>
        <w:ind w:left="838"/>
      </w:pPr>
      <w:r>
        <w:t xml:space="preserve"> </w:t>
      </w:r>
    </w:p>
    <w:p w14:paraId="1E8ECD92" w14:textId="77777777" w:rsidR="00A71EEF" w:rsidRDefault="0081115D">
      <w:pPr>
        <w:pStyle w:val="a3"/>
        <w:spacing w:before="5"/>
        <w:ind w:left="838"/>
      </w:pPr>
      <w:r>
        <w:t xml:space="preserve"> </w:t>
      </w:r>
    </w:p>
    <w:p w14:paraId="67710C8A" w14:textId="77777777" w:rsidR="00A71EEF" w:rsidRDefault="0081115D">
      <w:pPr>
        <w:pStyle w:val="a3"/>
        <w:spacing w:before="2"/>
        <w:ind w:left="838"/>
      </w:pPr>
      <w:r>
        <w:t xml:space="preserve"> </w:t>
      </w:r>
    </w:p>
    <w:p w14:paraId="76FAF44E" w14:textId="77777777" w:rsidR="00A71EEF" w:rsidRDefault="0081115D">
      <w:pPr>
        <w:pStyle w:val="a3"/>
        <w:spacing w:before="2"/>
        <w:ind w:left="838"/>
      </w:pPr>
      <w:r>
        <w:t xml:space="preserve"> </w:t>
      </w:r>
    </w:p>
    <w:p w14:paraId="147B3CF0" w14:textId="77777777" w:rsidR="00A71EEF" w:rsidRDefault="0081115D">
      <w:pPr>
        <w:pStyle w:val="a3"/>
        <w:spacing w:before="4"/>
        <w:ind w:left="838"/>
      </w:pPr>
      <w:r>
        <w:t xml:space="preserve"> </w:t>
      </w:r>
    </w:p>
    <w:p w14:paraId="56DD8C8B" w14:textId="77777777" w:rsidR="00A71EEF" w:rsidRDefault="0081115D">
      <w:pPr>
        <w:pStyle w:val="a3"/>
        <w:spacing w:before="3"/>
        <w:ind w:left="838"/>
      </w:pPr>
      <w:r>
        <w:t xml:space="preserve"> </w:t>
      </w:r>
    </w:p>
    <w:p w14:paraId="0C6583AC" w14:textId="77777777" w:rsidR="00A71EEF" w:rsidRDefault="0081115D">
      <w:pPr>
        <w:pStyle w:val="a3"/>
        <w:spacing w:before="4"/>
        <w:ind w:left="838"/>
      </w:pPr>
      <w:r>
        <w:t xml:space="preserve"> </w:t>
      </w:r>
    </w:p>
    <w:p w14:paraId="2D79026D" w14:textId="77777777" w:rsidR="00A71EEF" w:rsidRDefault="0081115D">
      <w:pPr>
        <w:pStyle w:val="a3"/>
        <w:spacing w:before="2"/>
        <w:ind w:left="838"/>
      </w:pPr>
      <w:r>
        <w:t xml:space="preserve"> </w:t>
      </w:r>
    </w:p>
    <w:p w14:paraId="165ED822" w14:textId="77777777" w:rsidR="00A71EEF" w:rsidRDefault="0081115D">
      <w:pPr>
        <w:pStyle w:val="a3"/>
        <w:spacing w:before="5"/>
        <w:ind w:left="838"/>
      </w:pPr>
      <w:r>
        <w:t xml:space="preserve"> </w:t>
      </w:r>
    </w:p>
    <w:p w14:paraId="4F963D3C" w14:textId="77777777" w:rsidR="00A71EEF" w:rsidRDefault="0081115D">
      <w:pPr>
        <w:pStyle w:val="a3"/>
        <w:spacing w:before="2"/>
        <w:ind w:left="838"/>
      </w:pPr>
      <w:r>
        <w:t xml:space="preserve"> </w:t>
      </w:r>
    </w:p>
    <w:p w14:paraId="51B7F911" w14:textId="77777777" w:rsidR="00A71EEF" w:rsidRDefault="0081115D">
      <w:pPr>
        <w:pStyle w:val="a3"/>
        <w:spacing w:before="5"/>
        <w:ind w:left="838"/>
      </w:pPr>
      <w:r>
        <w:t xml:space="preserve"> </w:t>
      </w:r>
    </w:p>
    <w:p w14:paraId="19DAEBF4" w14:textId="77777777" w:rsidR="00A71EEF" w:rsidRDefault="0081115D">
      <w:pPr>
        <w:pStyle w:val="a3"/>
        <w:spacing w:before="2"/>
        <w:ind w:left="838"/>
      </w:pPr>
      <w:r>
        <w:t xml:space="preserve"> </w:t>
      </w:r>
    </w:p>
    <w:p w14:paraId="7E9A9CE5" w14:textId="77777777" w:rsidR="00A71EEF" w:rsidRDefault="0081115D">
      <w:pPr>
        <w:pStyle w:val="a3"/>
        <w:spacing w:before="4"/>
        <w:ind w:left="838"/>
      </w:pPr>
      <w:r>
        <w:t xml:space="preserve"> </w:t>
      </w:r>
    </w:p>
    <w:p w14:paraId="0C81F24F" w14:textId="77777777" w:rsidR="00A71EEF" w:rsidRDefault="0081115D">
      <w:pPr>
        <w:pStyle w:val="a3"/>
        <w:spacing w:before="3"/>
        <w:ind w:left="838"/>
      </w:pPr>
      <w:r>
        <w:t xml:space="preserve"> </w:t>
      </w:r>
    </w:p>
    <w:p w14:paraId="70397093" w14:textId="77777777" w:rsidR="00A71EEF" w:rsidRDefault="0081115D">
      <w:pPr>
        <w:pStyle w:val="a3"/>
        <w:spacing w:before="4"/>
        <w:ind w:left="838"/>
      </w:pPr>
      <w:r>
        <w:t xml:space="preserve"> </w:t>
      </w:r>
    </w:p>
    <w:p w14:paraId="66A0BA3A" w14:textId="77777777" w:rsidR="00A71EEF" w:rsidRDefault="0081115D">
      <w:pPr>
        <w:pStyle w:val="a3"/>
        <w:spacing w:before="2"/>
        <w:ind w:left="838"/>
      </w:pPr>
      <w:r>
        <w:t xml:space="preserve"> </w:t>
      </w:r>
    </w:p>
    <w:p w14:paraId="3F15229B" w14:textId="77777777" w:rsidR="00A71EEF" w:rsidRDefault="0081115D">
      <w:pPr>
        <w:pStyle w:val="a3"/>
        <w:spacing w:before="5"/>
        <w:ind w:left="838"/>
      </w:pPr>
      <w:r>
        <w:t xml:space="preserve"> </w:t>
      </w:r>
    </w:p>
    <w:p w14:paraId="28DD5E7D" w14:textId="77777777" w:rsidR="00A71EEF" w:rsidRDefault="0081115D">
      <w:pPr>
        <w:pStyle w:val="a3"/>
        <w:spacing w:before="2"/>
        <w:ind w:left="838"/>
      </w:pPr>
      <w:r>
        <w:t xml:space="preserve"> </w:t>
      </w:r>
    </w:p>
    <w:p w14:paraId="4F7EB481" w14:textId="77777777" w:rsidR="00A71EEF" w:rsidRDefault="0081115D">
      <w:pPr>
        <w:pStyle w:val="a3"/>
        <w:spacing w:before="4"/>
        <w:ind w:left="838"/>
      </w:pPr>
      <w:r>
        <w:t xml:space="preserve"> </w:t>
      </w:r>
    </w:p>
    <w:p w14:paraId="4ADFA390" w14:textId="77777777" w:rsidR="00A71EEF" w:rsidRDefault="0081115D">
      <w:pPr>
        <w:pStyle w:val="a3"/>
        <w:spacing w:before="3"/>
        <w:ind w:left="838"/>
      </w:pPr>
      <w:r>
        <w:t xml:space="preserve"> </w:t>
      </w:r>
    </w:p>
    <w:p w14:paraId="009297F8" w14:textId="77777777" w:rsidR="00A71EEF" w:rsidRDefault="0081115D">
      <w:pPr>
        <w:pStyle w:val="a3"/>
        <w:spacing w:before="4"/>
        <w:ind w:left="838"/>
      </w:pPr>
      <w:r>
        <w:t xml:space="preserve"> </w:t>
      </w:r>
    </w:p>
    <w:p w14:paraId="12DCB19B" w14:textId="77777777" w:rsidR="00A71EEF" w:rsidRDefault="0081115D">
      <w:pPr>
        <w:pStyle w:val="a3"/>
        <w:spacing w:before="3"/>
        <w:ind w:left="838"/>
      </w:pPr>
      <w:r>
        <w:t xml:space="preserve"> </w:t>
      </w:r>
    </w:p>
    <w:p w14:paraId="379636BD" w14:textId="77777777" w:rsidR="00A71EEF" w:rsidRDefault="0081115D">
      <w:pPr>
        <w:pStyle w:val="a3"/>
        <w:spacing w:before="4"/>
        <w:ind w:left="838"/>
      </w:pPr>
      <w:r>
        <w:t xml:space="preserve"> </w:t>
      </w:r>
    </w:p>
    <w:p w14:paraId="18BED52E" w14:textId="77777777" w:rsidR="00A71EEF" w:rsidRDefault="0081115D">
      <w:pPr>
        <w:pStyle w:val="a3"/>
        <w:spacing w:before="3"/>
        <w:ind w:left="838"/>
      </w:pPr>
      <w:r>
        <w:t xml:space="preserve"> </w:t>
      </w:r>
    </w:p>
    <w:p w14:paraId="6C04FFB4" w14:textId="77777777" w:rsidR="00A71EEF" w:rsidRDefault="0081115D">
      <w:pPr>
        <w:pStyle w:val="a3"/>
        <w:spacing w:before="2"/>
        <w:ind w:left="838"/>
      </w:pPr>
      <w:r>
        <w:t xml:space="preserve"> </w:t>
      </w:r>
    </w:p>
    <w:p w14:paraId="16D28CDC" w14:textId="77777777" w:rsidR="00A71EEF" w:rsidRDefault="0081115D">
      <w:pPr>
        <w:pStyle w:val="a3"/>
        <w:spacing w:before="4"/>
        <w:ind w:left="838"/>
      </w:pPr>
      <w:r>
        <w:t xml:space="preserve"> </w:t>
      </w:r>
    </w:p>
    <w:p w14:paraId="2672A020" w14:textId="77777777" w:rsidR="00A71EEF" w:rsidRDefault="0081115D">
      <w:pPr>
        <w:pStyle w:val="a3"/>
        <w:spacing w:before="2"/>
        <w:ind w:left="838"/>
      </w:pPr>
      <w:r>
        <w:t xml:space="preserve"> </w:t>
      </w:r>
    </w:p>
    <w:p w14:paraId="1675BB0D" w14:textId="77777777" w:rsidR="00A71EEF" w:rsidRDefault="0081115D">
      <w:pPr>
        <w:pStyle w:val="a3"/>
        <w:spacing w:before="5"/>
        <w:ind w:left="838"/>
      </w:pPr>
      <w:r>
        <w:t xml:space="preserve"> </w:t>
      </w:r>
    </w:p>
    <w:p w14:paraId="3D95A9E1" w14:textId="77777777" w:rsidR="00A71EEF" w:rsidRDefault="0081115D">
      <w:pPr>
        <w:pStyle w:val="a3"/>
        <w:spacing w:before="2"/>
        <w:ind w:left="838"/>
      </w:pPr>
      <w:r>
        <w:t xml:space="preserve"> </w:t>
      </w:r>
    </w:p>
    <w:p w14:paraId="31A2F382" w14:textId="77777777" w:rsidR="00A71EEF" w:rsidRDefault="0081115D">
      <w:pPr>
        <w:pStyle w:val="a3"/>
        <w:spacing w:before="5"/>
        <w:ind w:left="838"/>
      </w:pPr>
      <w:r>
        <w:t xml:space="preserve"> </w:t>
      </w:r>
    </w:p>
    <w:p w14:paraId="536482BD" w14:textId="77777777" w:rsidR="00A71EEF" w:rsidRDefault="0081115D">
      <w:pPr>
        <w:pStyle w:val="a3"/>
        <w:spacing w:before="2"/>
        <w:ind w:left="838"/>
      </w:pPr>
      <w:r>
        <w:t xml:space="preserve"> </w:t>
      </w:r>
    </w:p>
    <w:p w14:paraId="51F8758F" w14:textId="77777777" w:rsidR="00A71EEF" w:rsidRDefault="0081115D">
      <w:pPr>
        <w:pStyle w:val="a3"/>
        <w:spacing w:before="4"/>
        <w:ind w:left="838"/>
      </w:pPr>
      <w:r>
        <w:t xml:space="preserve"> </w:t>
      </w:r>
    </w:p>
    <w:p w14:paraId="43C2D42D" w14:textId="77777777" w:rsidR="00A71EEF" w:rsidRDefault="0081115D">
      <w:pPr>
        <w:pStyle w:val="a3"/>
        <w:spacing w:before="3"/>
        <w:ind w:left="838"/>
      </w:pPr>
      <w:r>
        <w:t xml:space="preserve"> </w:t>
      </w:r>
    </w:p>
    <w:p w14:paraId="2452AB66" w14:textId="77777777" w:rsidR="00A71EEF" w:rsidRDefault="0081115D">
      <w:pPr>
        <w:pStyle w:val="a3"/>
        <w:spacing w:before="4"/>
        <w:ind w:left="838"/>
      </w:pPr>
      <w:r>
        <w:t xml:space="preserve"> </w:t>
      </w:r>
    </w:p>
    <w:p w14:paraId="128634DC" w14:textId="77777777" w:rsidR="00A71EEF" w:rsidRDefault="0081115D">
      <w:pPr>
        <w:pStyle w:val="a3"/>
        <w:spacing w:before="2"/>
        <w:ind w:left="838"/>
      </w:pPr>
      <w:r>
        <w:t xml:space="preserve"> </w:t>
      </w:r>
    </w:p>
    <w:p w14:paraId="41A6965E" w14:textId="77777777" w:rsidR="00A71EEF" w:rsidRDefault="0081115D">
      <w:pPr>
        <w:pStyle w:val="a3"/>
        <w:spacing w:before="5"/>
        <w:ind w:left="838"/>
      </w:pPr>
      <w:r>
        <w:t xml:space="preserve"> </w:t>
      </w:r>
    </w:p>
    <w:p w14:paraId="2EE361B3" w14:textId="77777777" w:rsidR="00A71EEF" w:rsidRDefault="0081115D">
      <w:pPr>
        <w:pStyle w:val="a3"/>
        <w:spacing w:before="2"/>
        <w:ind w:left="838"/>
      </w:pPr>
      <w:r>
        <w:t xml:space="preserve"> </w:t>
      </w:r>
    </w:p>
    <w:p w14:paraId="6427E9CA" w14:textId="77777777" w:rsidR="00A71EEF" w:rsidRDefault="00A71EEF">
      <w:pPr>
        <w:sectPr w:rsidR="00A71EEF">
          <w:pgSz w:w="11910" w:h="16850"/>
          <w:pgMar w:top="1200" w:right="0" w:bottom="1420" w:left="1260" w:header="0" w:footer="1239" w:gutter="0"/>
          <w:cols w:space="720"/>
        </w:sectPr>
      </w:pPr>
    </w:p>
    <w:p w14:paraId="6A40DB73" w14:textId="77777777" w:rsidR="00A71EEF" w:rsidRDefault="0081115D">
      <w:pPr>
        <w:pStyle w:val="2"/>
        <w:ind w:left="2554"/>
        <w:jc w:val="left"/>
      </w:pPr>
      <w:bookmarkStart w:id="39" w:name="_bookmark39"/>
      <w:bookmarkEnd w:id="39"/>
      <w:r>
        <w:t>便携式风力灭火机手感振动的测定</w:t>
      </w:r>
      <w:r>
        <w:rPr>
          <w:w w:val="99"/>
        </w:rPr>
        <w:t xml:space="preserve"> </w:t>
      </w:r>
    </w:p>
    <w:p w14:paraId="552FA849" w14:textId="77777777" w:rsidR="00A71EEF" w:rsidRDefault="00A71EEF">
      <w:pPr>
        <w:pStyle w:val="a3"/>
        <w:rPr>
          <w:b/>
          <w:sz w:val="20"/>
        </w:rPr>
      </w:pPr>
    </w:p>
    <w:p w14:paraId="2057ECBC" w14:textId="77777777" w:rsidR="00A71EEF" w:rsidRDefault="00A71EEF">
      <w:pPr>
        <w:pStyle w:val="a3"/>
        <w:spacing w:before="5"/>
        <w:rPr>
          <w:b/>
          <w:sz w:val="14"/>
        </w:rPr>
      </w:pPr>
    </w:p>
    <w:p w14:paraId="6821B792" w14:textId="77777777" w:rsidR="00A71EEF" w:rsidRDefault="0081115D">
      <w:pPr>
        <w:pStyle w:val="4"/>
        <w:spacing w:before="66"/>
      </w:pPr>
      <w:r>
        <w:t xml:space="preserve">1 </w:t>
      </w:r>
      <w:r>
        <w:t>范围</w:t>
      </w:r>
      <w:r>
        <w:rPr>
          <w:w w:val="99"/>
        </w:rPr>
        <w:t xml:space="preserve"> </w:t>
      </w:r>
    </w:p>
    <w:p w14:paraId="708C3C9E" w14:textId="77777777" w:rsidR="00A71EEF" w:rsidRDefault="00A71EEF">
      <w:pPr>
        <w:pStyle w:val="a3"/>
        <w:spacing w:before="4"/>
        <w:rPr>
          <w:b/>
          <w:sz w:val="17"/>
        </w:rPr>
      </w:pPr>
    </w:p>
    <w:p w14:paraId="4EFE7EC5" w14:textId="77777777" w:rsidR="00A71EEF" w:rsidRDefault="0081115D">
      <w:pPr>
        <w:pStyle w:val="a3"/>
        <w:ind w:left="838"/>
      </w:pPr>
      <w:r>
        <w:t>本标准规定了便携式风力灭火机手传振动的测定。</w:t>
      </w:r>
      <w:r>
        <w:t xml:space="preserve"> </w:t>
      </w:r>
    </w:p>
    <w:p w14:paraId="145231B2" w14:textId="77777777" w:rsidR="00A71EEF" w:rsidRDefault="00A71EEF">
      <w:pPr>
        <w:pStyle w:val="a3"/>
        <w:spacing w:before="12"/>
        <w:rPr>
          <w:sz w:val="17"/>
        </w:rPr>
      </w:pPr>
    </w:p>
    <w:p w14:paraId="3049433F" w14:textId="77777777" w:rsidR="00A71EEF" w:rsidRDefault="0081115D">
      <w:pPr>
        <w:pStyle w:val="a3"/>
        <w:ind w:left="838"/>
      </w:pPr>
      <w:r>
        <w:rPr>
          <w:spacing w:val="-3"/>
        </w:rPr>
        <w:t>本标准适用于便携式风力灭火机</w:t>
      </w:r>
      <w:r>
        <w:t>（</w:t>
      </w:r>
      <w:r>
        <w:rPr>
          <w:spacing w:val="-3"/>
        </w:rPr>
        <w:t>以下简称风力灭火机</w:t>
      </w:r>
      <w:r>
        <w:rPr>
          <w:spacing w:val="-108"/>
        </w:rPr>
        <w:t>）</w:t>
      </w:r>
      <w:r>
        <w:rPr>
          <w:spacing w:val="-3"/>
        </w:rPr>
        <w:t>。</w:t>
      </w:r>
      <w:r>
        <w:t xml:space="preserve"> </w:t>
      </w:r>
    </w:p>
    <w:p w14:paraId="05A5899A" w14:textId="77777777" w:rsidR="00A71EEF" w:rsidRDefault="00A71EEF">
      <w:pPr>
        <w:pStyle w:val="a3"/>
        <w:spacing w:before="10"/>
        <w:rPr>
          <w:sz w:val="15"/>
        </w:rPr>
      </w:pPr>
    </w:p>
    <w:p w14:paraId="3A9C97E3" w14:textId="77777777" w:rsidR="00A71EEF" w:rsidRDefault="0081115D">
      <w:pPr>
        <w:pStyle w:val="4"/>
        <w:spacing w:before="1"/>
      </w:pPr>
      <w:r>
        <w:t xml:space="preserve">2 </w:t>
      </w:r>
      <w:r>
        <w:t>引用标准</w:t>
      </w:r>
      <w:r>
        <w:rPr>
          <w:w w:val="99"/>
        </w:rPr>
        <w:t xml:space="preserve"> </w:t>
      </w:r>
    </w:p>
    <w:p w14:paraId="247BA91F" w14:textId="77777777" w:rsidR="00A71EEF" w:rsidRDefault="00A71EEF">
      <w:pPr>
        <w:pStyle w:val="a3"/>
        <w:spacing w:before="3"/>
        <w:rPr>
          <w:b/>
          <w:sz w:val="17"/>
        </w:rPr>
      </w:pPr>
    </w:p>
    <w:p w14:paraId="3713D2F1" w14:textId="77777777" w:rsidR="00A71EEF" w:rsidRDefault="0081115D">
      <w:pPr>
        <w:pStyle w:val="a3"/>
        <w:spacing w:before="1" w:line="446" w:lineRule="auto"/>
        <w:ind w:left="418" w:right="1330" w:firstLine="419"/>
      </w:pPr>
      <w:r>
        <w:rPr>
          <w:spacing w:val="-6"/>
        </w:rPr>
        <w:t>下列标准所包含的条文，通过在本标准中引用而构成为本标准的条文。本标准出版时，所示</w:t>
      </w:r>
      <w:r>
        <w:rPr>
          <w:spacing w:val="-17"/>
        </w:rPr>
        <w:t>版本均为有效。所有标准都会被修订，使用本标准的各方应探讨使用下列标准最新版本的可能性。</w:t>
      </w:r>
      <w:r>
        <w:t xml:space="preserve"> </w:t>
      </w:r>
    </w:p>
    <w:p w14:paraId="0E9048BC" w14:textId="77777777" w:rsidR="00A71EEF" w:rsidRDefault="0081115D">
      <w:pPr>
        <w:pStyle w:val="a3"/>
        <w:ind w:left="838"/>
      </w:pPr>
      <w:r>
        <w:t xml:space="preserve">GB/T 3241——1982 </w:t>
      </w:r>
      <w:r>
        <w:t>声和振动分析用的</w:t>
      </w:r>
      <w:r>
        <w:t xml:space="preserve"> 1/1 </w:t>
      </w:r>
      <w:r>
        <w:t>和</w:t>
      </w:r>
      <w:r>
        <w:t xml:space="preserve"> 1/3 </w:t>
      </w:r>
      <w:r>
        <w:t>倍频程滤波器</w:t>
      </w:r>
      <w:r>
        <w:t xml:space="preserve"> </w:t>
      </w:r>
    </w:p>
    <w:p w14:paraId="50431E53" w14:textId="77777777" w:rsidR="00A71EEF" w:rsidRDefault="00A71EEF">
      <w:pPr>
        <w:pStyle w:val="a3"/>
        <w:spacing w:before="8"/>
        <w:rPr>
          <w:sz w:val="15"/>
        </w:rPr>
      </w:pPr>
    </w:p>
    <w:p w14:paraId="39EF41AD" w14:textId="77777777" w:rsidR="00A71EEF" w:rsidRDefault="0081115D">
      <w:pPr>
        <w:pStyle w:val="4"/>
      </w:pPr>
      <w:r>
        <w:t xml:space="preserve">3 </w:t>
      </w:r>
      <w:r>
        <w:t>测量仪器及精度</w:t>
      </w:r>
      <w:r>
        <w:rPr>
          <w:w w:val="99"/>
        </w:rPr>
        <w:t xml:space="preserve"> </w:t>
      </w:r>
    </w:p>
    <w:p w14:paraId="2AB7566D" w14:textId="77777777" w:rsidR="00A71EEF" w:rsidRDefault="00A71EEF">
      <w:pPr>
        <w:pStyle w:val="a3"/>
        <w:spacing w:before="4"/>
        <w:rPr>
          <w:b/>
          <w:sz w:val="17"/>
        </w:rPr>
      </w:pPr>
    </w:p>
    <w:p w14:paraId="567B5F80" w14:textId="77777777" w:rsidR="00A71EEF" w:rsidRDefault="0081115D">
      <w:pPr>
        <w:pStyle w:val="a4"/>
        <w:numPr>
          <w:ilvl w:val="1"/>
          <w:numId w:val="11"/>
        </w:numPr>
        <w:tabs>
          <w:tab w:val="left" w:pos="1159"/>
        </w:tabs>
        <w:spacing w:line="446" w:lineRule="auto"/>
        <w:ind w:right="1430" w:firstLine="422"/>
        <w:jc w:val="both"/>
        <w:rPr>
          <w:sz w:val="21"/>
        </w:rPr>
      </w:pPr>
      <w:r>
        <w:rPr>
          <w:spacing w:val="-6"/>
          <w:sz w:val="21"/>
        </w:rPr>
        <w:t>测量仪器可采用设有符合附录</w:t>
      </w:r>
      <w:r>
        <w:rPr>
          <w:spacing w:val="-6"/>
          <w:sz w:val="21"/>
        </w:rPr>
        <w:t xml:space="preserve"> </w:t>
      </w:r>
      <w:r>
        <w:rPr>
          <w:sz w:val="21"/>
        </w:rPr>
        <w:t>A</w:t>
      </w:r>
      <w:r>
        <w:rPr>
          <w:spacing w:val="-10"/>
          <w:sz w:val="21"/>
        </w:rPr>
        <w:t xml:space="preserve"> </w:t>
      </w:r>
      <w:r>
        <w:rPr>
          <w:spacing w:val="-10"/>
          <w:sz w:val="21"/>
        </w:rPr>
        <w:t>计权特性网络的手传振</w:t>
      </w:r>
      <w:r>
        <w:rPr>
          <w:spacing w:val="-10"/>
          <w:sz w:val="21"/>
        </w:rPr>
        <w:t>动专用测量仪器，直接读取计权</w:t>
      </w:r>
      <w:r>
        <w:rPr>
          <w:spacing w:val="-9"/>
          <w:sz w:val="21"/>
        </w:rPr>
        <w:t>加速度，也可采用由加速度传感器、滤波器、均方根值检波器、指示器及磁带记录仪组成的测量</w:t>
      </w:r>
      <w:r>
        <w:rPr>
          <w:spacing w:val="-5"/>
          <w:sz w:val="21"/>
        </w:rPr>
        <w:t>系统对振动信号进行测量与分析。</w:t>
      </w:r>
      <w:r>
        <w:rPr>
          <w:sz w:val="21"/>
        </w:rPr>
        <w:t xml:space="preserve"> </w:t>
      </w:r>
    </w:p>
    <w:p w14:paraId="560B8B6A" w14:textId="77777777" w:rsidR="00A71EEF" w:rsidRDefault="0081115D">
      <w:pPr>
        <w:pStyle w:val="a4"/>
        <w:numPr>
          <w:ilvl w:val="1"/>
          <w:numId w:val="11"/>
        </w:numPr>
        <w:tabs>
          <w:tab w:val="left" w:pos="1159"/>
        </w:tabs>
        <w:spacing w:line="268" w:lineRule="exact"/>
        <w:ind w:left="1158" w:hanging="319"/>
        <w:rPr>
          <w:sz w:val="21"/>
        </w:rPr>
      </w:pPr>
      <w:r>
        <w:rPr>
          <w:spacing w:val="-3"/>
          <w:sz w:val="21"/>
        </w:rPr>
        <w:t>频率响应范围</w:t>
      </w:r>
      <w:r>
        <w:rPr>
          <w:sz w:val="21"/>
        </w:rPr>
        <w:t xml:space="preserve"> </w:t>
      </w:r>
    </w:p>
    <w:p w14:paraId="13F03A27" w14:textId="77777777" w:rsidR="00A71EEF" w:rsidRDefault="00A71EEF">
      <w:pPr>
        <w:pStyle w:val="a3"/>
        <w:spacing w:before="2"/>
        <w:rPr>
          <w:sz w:val="18"/>
        </w:rPr>
      </w:pPr>
    </w:p>
    <w:p w14:paraId="01F39914" w14:textId="77777777" w:rsidR="00A71EEF" w:rsidRDefault="0081115D">
      <w:pPr>
        <w:pStyle w:val="a3"/>
        <w:spacing w:line="446" w:lineRule="auto"/>
        <w:ind w:left="840" w:right="5656" w:hanging="3"/>
      </w:pPr>
      <w:r>
        <w:t>测量仪器的频率响应范围不小于</w:t>
      </w:r>
      <w:r>
        <w:t xml:space="preserve"> 8~1500Hz</w:t>
      </w:r>
      <w:r>
        <w:t>。</w:t>
      </w:r>
      <w:r>
        <w:rPr>
          <w:b/>
        </w:rPr>
        <w:t xml:space="preserve">3.3 </w:t>
      </w:r>
      <w:r>
        <w:t>加速度计</w:t>
      </w:r>
      <w:r>
        <w:t xml:space="preserve"> </w:t>
      </w:r>
    </w:p>
    <w:p w14:paraId="79443C80" w14:textId="77777777" w:rsidR="00A71EEF" w:rsidRDefault="0081115D">
      <w:pPr>
        <w:pStyle w:val="a3"/>
        <w:spacing w:line="446" w:lineRule="auto"/>
        <w:ind w:left="418" w:right="1383" w:firstLine="419"/>
      </w:pPr>
      <w:r>
        <w:t>测量一个位置所用加速度计的总质量（包括固定支座，不包括电缆）不得大于</w:t>
      </w:r>
      <w:r>
        <w:t xml:space="preserve"> 50g</w:t>
      </w:r>
      <w:r>
        <w:t>。其横向灵敏度应小于</w:t>
      </w:r>
      <w:r>
        <w:t xml:space="preserve"> 10%</w:t>
      </w:r>
      <w:r>
        <w:t>。</w:t>
      </w:r>
      <w:r>
        <w:t xml:space="preserve"> </w:t>
      </w:r>
    </w:p>
    <w:p w14:paraId="49D1E919" w14:textId="77777777" w:rsidR="00A71EEF" w:rsidRDefault="0081115D">
      <w:pPr>
        <w:ind w:left="840"/>
        <w:rPr>
          <w:sz w:val="21"/>
        </w:rPr>
      </w:pPr>
      <w:r>
        <w:rPr>
          <w:b/>
          <w:sz w:val="21"/>
        </w:rPr>
        <w:t>3.4</w:t>
      </w:r>
      <w:r>
        <w:rPr>
          <w:b/>
          <w:spacing w:val="4"/>
          <w:sz w:val="21"/>
        </w:rPr>
        <w:t xml:space="preserve"> </w:t>
      </w:r>
      <w:r>
        <w:rPr>
          <w:spacing w:val="-3"/>
          <w:sz w:val="21"/>
        </w:rPr>
        <w:t>滤波器</w:t>
      </w:r>
      <w:r>
        <w:rPr>
          <w:spacing w:val="-3"/>
          <w:sz w:val="21"/>
        </w:rPr>
        <w:t xml:space="preserve"> </w:t>
      </w:r>
      <w:r>
        <w:rPr>
          <w:sz w:val="21"/>
        </w:rPr>
        <w:t xml:space="preserve"> </w:t>
      </w:r>
    </w:p>
    <w:p w14:paraId="14E83289" w14:textId="77777777" w:rsidR="00A71EEF" w:rsidRDefault="00A71EEF">
      <w:pPr>
        <w:pStyle w:val="a3"/>
        <w:spacing w:before="9"/>
        <w:rPr>
          <w:sz w:val="17"/>
        </w:rPr>
      </w:pPr>
    </w:p>
    <w:p w14:paraId="2AE76C11" w14:textId="77777777" w:rsidR="00A71EEF" w:rsidRDefault="0081115D">
      <w:pPr>
        <w:pStyle w:val="a3"/>
        <w:spacing w:line="448" w:lineRule="auto"/>
        <w:ind w:left="840" w:right="2873" w:hanging="3"/>
      </w:pPr>
      <w:r>
        <w:rPr>
          <w:spacing w:val="-11"/>
        </w:rPr>
        <w:t>振动分析用</w:t>
      </w:r>
      <w:r>
        <w:rPr>
          <w:spacing w:val="-11"/>
        </w:rPr>
        <w:t xml:space="preserve"> </w:t>
      </w:r>
      <w:r>
        <w:t>1/3</w:t>
      </w:r>
      <w:r>
        <w:rPr>
          <w:spacing w:val="-22"/>
        </w:rPr>
        <w:t xml:space="preserve"> </w:t>
      </w:r>
      <w:r>
        <w:rPr>
          <w:spacing w:val="-22"/>
        </w:rPr>
        <w:t>频带或</w:t>
      </w:r>
      <w:r>
        <w:rPr>
          <w:spacing w:val="-22"/>
        </w:rPr>
        <w:t xml:space="preserve"> </w:t>
      </w:r>
      <w:r>
        <w:t>1/1</w:t>
      </w:r>
      <w:r>
        <w:rPr>
          <w:spacing w:val="-11"/>
        </w:rPr>
        <w:t xml:space="preserve"> </w:t>
      </w:r>
      <w:r>
        <w:rPr>
          <w:spacing w:val="-11"/>
        </w:rPr>
        <w:t>频带滤波器。滤波器应符合</w:t>
      </w:r>
      <w:r>
        <w:rPr>
          <w:spacing w:val="-11"/>
        </w:rPr>
        <w:t xml:space="preserve"> </w:t>
      </w:r>
      <w:r>
        <w:t>GB/T3241</w:t>
      </w:r>
      <w:r>
        <w:rPr>
          <w:spacing w:val="-12"/>
        </w:rPr>
        <w:t xml:space="preserve"> </w:t>
      </w:r>
      <w:r>
        <w:rPr>
          <w:spacing w:val="-12"/>
        </w:rPr>
        <w:t>的规定。</w:t>
      </w:r>
      <w:r>
        <w:rPr>
          <w:b/>
          <w:spacing w:val="-12"/>
        </w:rPr>
        <w:t>3.5</w:t>
      </w:r>
      <w:r>
        <w:rPr>
          <w:b/>
          <w:spacing w:val="1"/>
        </w:rPr>
        <w:t xml:space="preserve"> </w:t>
      </w:r>
      <w:r>
        <w:rPr>
          <w:spacing w:val="-3"/>
        </w:rPr>
        <w:t>转速计</w:t>
      </w:r>
      <w:r>
        <w:rPr>
          <w:spacing w:val="-3"/>
        </w:rPr>
        <w:t xml:space="preserve"> </w:t>
      </w:r>
      <w:r>
        <w:t xml:space="preserve"> </w:t>
      </w:r>
    </w:p>
    <w:p w14:paraId="0B2987CB" w14:textId="77777777" w:rsidR="00A71EEF" w:rsidRDefault="0081115D">
      <w:pPr>
        <w:pStyle w:val="a3"/>
        <w:spacing w:line="446" w:lineRule="auto"/>
        <w:ind w:left="840" w:right="4028" w:hanging="3"/>
      </w:pPr>
      <w:r>
        <w:t>使用非接触式转速计，转速计的精度应在读数的</w:t>
      </w:r>
      <w:r>
        <w:t>±2.5%</w:t>
      </w:r>
      <w:r>
        <w:t>以内。</w:t>
      </w:r>
      <w:r>
        <w:rPr>
          <w:b/>
        </w:rPr>
        <w:t xml:space="preserve">3.6 </w:t>
      </w:r>
      <w:r>
        <w:t>磁带记录仪</w:t>
      </w:r>
      <w:r>
        <w:t xml:space="preserve">  </w:t>
      </w:r>
    </w:p>
    <w:p w14:paraId="534B3263" w14:textId="77777777" w:rsidR="00A71EEF" w:rsidRDefault="0081115D">
      <w:pPr>
        <w:pStyle w:val="a3"/>
        <w:ind w:left="838"/>
      </w:pPr>
      <w:r>
        <w:t>磁带记录仪的回放误差应小于</w:t>
      </w:r>
      <w:r>
        <w:t>±3.5%</w:t>
      </w:r>
      <w:r>
        <w:t>。</w:t>
      </w:r>
      <w:r>
        <w:t xml:space="preserve"> </w:t>
      </w:r>
    </w:p>
    <w:p w14:paraId="06D8F049" w14:textId="77777777" w:rsidR="00A71EEF" w:rsidRDefault="00A71EEF">
      <w:pPr>
        <w:pStyle w:val="a3"/>
        <w:spacing w:before="8"/>
        <w:rPr>
          <w:sz w:val="17"/>
        </w:rPr>
      </w:pPr>
    </w:p>
    <w:p w14:paraId="4B86DEB6" w14:textId="77777777" w:rsidR="00A71EEF" w:rsidRDefault="0081115D">
      <w:pPr>
        <w:pStyle w:val="a3"/>
        <w:spacing w:line="446" w:lineRule="auto"/>
        <w:ind w:left="418" w:right="1378" w:firstLine="422"/>
      </w:pPr>
      <w:r>
        <w:rPr>
          <w:b/>
        </w:rPr>
        <w:t xml:space="preserve">3.7 </w:t>
      </w:r>
      <w:r>
        <w:t>测量仪器应经国家认可的计量单位检定，并在规定的有效期内使用，使用前后均应进行检查及校核。</w:t>
      </w:r>
      <w:r>
        <w:t xml:space="preserve"> </w:t>
      </w:r>
    </w:p>
    <w:p w14:paraId="101ABCD1" w14:textId="77777777" w:rsidR="00A71EEF" w:rsidRDefault="0081115D">
      <w:pPr>
        <w:pStyle w:val="4"/>
        <w:spacing w:line="278" w:lineRule="exact"/>
      </w:pPr>
      <w:r>
        <w:t xml:space="preserve">4 </w:t>
      </w:r>
      <w:r>
        <w:t>测定规范</w:t>
      </w:r>
      <w:r>
        <w:rPr>
          <w:w w:val="99"/>
        </w:rPr>
        <w:t xml:space="preserve"> </w:t>
      </w:r>
    </w:p>
    <w:p w14:paraId="6CCA6973" w14:textId="77777777" w:rsidR="00A71EEF" w:rsidRDefault="00A71EEF">
      <w:pPr>
        <w:pStyle w:val="a3"/>
        <w:spacing w:before="4"/>
        <w:rPr>
          <w:b/>
          <w:sz w:val="17"/>
        </w:rPr>
      </w:pPr>
    </w:p>
    <w:p w14:paraId="2C3C6494" w14:textId="77777777" w:rsidR="00A71EEF" w:rsidRDefault="0081115D">
      <w:pPr>
        <w:pStyle w:val="a4"/>
        <w:numPr>
          <w:ilvl w:val="1"/>
          <w:numId w:val="10"/>
        </w:numPr>
        <w:tabs>
          <w:tab w:val="left" w:pos="1160"/>
        </w:tabs>
        <w:rPr>
          <w:sz w:val="21"/>
        </w:rPr>
      </w:pPr>
      <w:r>
        <w:rPr>
          <w:spacing w:val="-3"/>
          <w:sz w:val="21"/>
        </w:rPr>
        <w:t>风力灭火机</w:t>
      </w:r>
      <w:r>
        <w:rPr>
          <w:spacing w:val="-3"/>
          <w:sz w:val="21"/>
        </w:rPr>
        <w:t xml:space="preserve"> </w:t>
      </w:r>
      <w:r>
        <w:rPr>
          <w:sz w:val="21"/>
        </w:rPr>
        <w:t xml:space="preserve"> </w:t>
      </w:r>
    </w:p>
    <w:p w14:paraId="23EB48BA" w14:textId="77777777" w:rsidR="00A71EEF" w:rsidRDefault="00A71EEF">
      <w:pPr>
        <w:rPr>
          <w:sz w:val="21"/>
        </w:rPr>
        <w:sectPr w:rsidR="00A71EEF">
          <w:pgSz w:w="11910" w:h="16850"/>
          <w:pgMar w:top="1140" w:right="0" w:bottom="1420" w:left="1260" w:header="0" w:footer="1239" w:gutter="0"/>
          <w:cols w:space="720"/>
        </w:sectPr>
      </w:pPr>
    </w:p>
    <w:p w14:paraId="1451BB93" w14:textId="77777777" w:rsidR="00A71EEF" w:rsidRDefault="0081115D">
      <w:pPr>
        <w:pStyle w:val="a3"/>
        <w:spacing w:before="47" w:line="446" w:lineRule="auto"/>
        <w:ind w:left="418" w:right="1410" w:firstLine="419"/>
      </w:pPr>
      <w:r>
        <w:t>供测量用的风力灭火机必须是制造厂正常生产的、装有风筒及背带的风力灭火机。测量前应做好下列准备：</w:t>
      </w:r>
      <w:r>
        <w:t xml:space="preserve"> </w:t>
      </w:r>
    </w:p>
    <w:p w14:paraId="1E95AC21" w14:textId="77777777" w:rsidR="00A71EEF" w:rsidRDefault="0081115D">
      <w:pPr>
        <w:pStyle w:val="a3"/>
        <w:spacing w:line="446" w:lineRule="auto"/>
        <w:ind w:left="838" w:right="5288"/>
      </w:pPr>
      <w:r>
        <w:t>将燃油箱至少装入半箱使用说明书规定的燃油；</w:t>
      </w:r>
      <w:r>
        <w:t xml:space="preserve"> a</w:t>
      </w:r>
      <w:r>
        <w:t>）按产品说明书调整化油器</w:t>
      </w:r>
      <w:r>
        <w:t xml:space="preserve">  </w:t>
      </w:r>
    </w:p>
    <w:p w14:paraId="6EF92A87" w14:textId="77777777" w:rsidR="00A71EEF" w:rsidRDefault="0081115D">
      <w:pPr>
        <w:pStyle w:val="a3"/>
        <w:ind w:left="838"/>
      </w:pPr>
      <w:r>
        <w:t>b)</w:t>
      </w:r>
      <w:r>
        <w:t>试运转并预热发动机</w:t>
      </w:r>
      <w:r>
        <w:t xml:space="preserve">  </w:t>
      </w:r>
    </w:p>
    <w:p w14:paraId="67E17440" w14:textId="77777777" w:rsidR="00A71EEF" w:rsidRDefault="00A71EEF">
      <w:pPr>
        <w:pStyle w:val="a3"/>
        <w:spacing w:before="10"/>
        <w:rPr>
          <w:sz w:val="17"/>
        </w:rPr>
      </w:pPr>
    </w:p>
    <w:p w14:paraId="4F35BB27" w14:textId="77777777" w:rsidR="00A71EEF" w:rsidRDefault="0081115D">
      <w:pPr>
        <w:pStyle w:val="a4"/>
        <w:numPr>
          <w:ilvl w:val="1"/>
          <w:numId w:val="10"/>
        </w:numPr>
        <w:tabs>
          <w:tab w:val="left" w:pos="1198"/>
        </w:tabs>
        <w:ind w:left="1198" w:hanging="360"/>
        <w:rPr>
          <w:sz w:val="21"/>
        </w:rPr>
      </w:pPr>
      <w:r>
        <w:rPr>
          <w:spacing w:val="-3"/>
          <w:sz w:val="21"/>
        </w:rPr>
        <w:t>测量位置及测量方向</w:t>
      </w:r>
      <w:r>
        <w:rPr>
          <w:spacing w:val="-3"/>
          <w:sz w:val="21"/>
        </w:rPr>
        <w:t xml:space="preserve"> </w:t>
      </w:r>
      <w:r>
        <w:rPr>
          <w:sz w:val="21"/>
        </w:rPr>
        <w:t xml:space="preserve"> </w:t>
      </w:r>
    </w:p>
    <w:p w14:paraId="5B59A354" w14:textId="77777777" w:rsidR="00A71EEF" w:rsidRDefault="00A71EEF">
      <w:pPr>
        <w:pStyle w:val="a3"/>
        <w:spacing w:before="2"/>
        <w:rPr>
          <w:sz w:val="18"/>
        </w:rPr>
      </w:pPr>
    </w:p>
    <w:p w14:paraId="18DBB764" w14:textId="77777777" w:rsidR="00A71EEF" w:rsidRDefault="0081115D">
      <w:pPr>
        <w:pStyle w:val="a3"/>
        <w:ind w:left="838"/>
      </w:pPr>
      <w:r>
        <w:t>在风力灭火机的前、后把手的手握处，测量</w:t>
      </w:r>
      <w:r>
        <w:t xml:space="preserve"> F</w:t>
      </w:r>
      <w:r>
        <w:t>、</w:t>
      </w:r>
      <w:r>
        <w:t>S</w:t>
      </w:r>
      <w:r>
        <w:t>、</w:t>
      </w:r>
      <w:r>
        <w:t xml:space="preserve">V </w:t>
      </w:r>
      <w:r>
        <w:t>三轴向振动的计权加速度。</w:t>
      </w:r>
      <w:r>
        <w:t xml:space="preserve"> </w:t>
      </w:r>
    </w:p>
    <w:p w14:paraId="4017440E" w14:textId="77777777" w:rsidR="00A71EEF" w:rsidRDefault="00A71EEF">
      <w:pPr>
        <w:pStyle w:val="a3"/>
        <w:rPr>
          <w:sz w:val="18"/>
        </w:rPr>
      </w:pPr>
    </w:p>
    <w:p w14:paraId="579AA6ED" w14:textId="77777777" w:rsidR="00A71EEF" w:rsidRDefault="0081115D">
      <w:pPr>
        <w:pStyle w:val="a4"/>
        <w:numPr>
          <w:ilvl w:val="1"/>
          <w:numId w:val="10"/>
        </w:numPr>
        <w:tabs>
          <w:tab w:val="left" w:pos="1198"/>
        </w:tabs>
        <w:spacing w:line="446" w:lineRule="auto"/>
        <w:ind w:left="838" w:right="7175" w:firstLine="0"/>
        <w:rPr>
          <w:sz w:val="21"/>
        </w:rPr>
      </w:pPr>
      <w:r>
        <w:rPr>
          <w:spacing w:val="-2"/>
          <w:sz w:val="21"/>
        </w:rPr>
        <w:t>加速度计的安装</w:t>
      </w:r>
      <w:r>
        <w:rPr>
          <w:spacing w:val="-2"/>
          <w:sz w:val="21"/>
        </w:rPr>
        <w:t xml:space="preserve">   </w:t>
      </w:r>
      <w:r>
        <w:rPr>
          <w:b/>
          <w:spacing w:val="-2"/>
          <w:sz w:val="21"/>
        </w:rPr>
        <w:t>4.3.1</w:t>
      </w:r>
      <w:r>
        <w:rPr>
          <w:b/>
          <w:spacing w:val="5"/>
          <w:sz w:val="21"/>
        </w:rPr>
        <w:t xml:space="preserve"> </w:t>
      </w:r>
      <w:r>
        <w:rPr>
          <w:spacing w:val="-3"/>
          <w:sz w:val="21"/>
        </w:rPr>
        <w:t>加速度计的安装位置</w:t>
      </w:r>
      <w:r>
        <w:rPr>
          <w:spacing w:val="-3"/>
          <w:sz w:val="21"/>
        </w:rPr>
        <w:t xml:space="preserve"> </w:t>
      </w:r>
    </w:p>
    <w:p w14:paraId="6302A3C5" w14:textId="77777777" w:rsidR="00A71EEF" w:rsidRDefault="0081115D">
      <w:pPr>
        <w:pStyle w:val="a3"/>
        <w:ind w:left="838"/>
      </w:pPr>
      <w:r>
        <w:t>加速度计的安装位置及测量方向见图</w:t>
      </w:r>
      <w:r>
        <w:t xml:space="preserve"> 1</w:t>
      </w:r>
      <w:r>
        <w:t>。加速度计的重心位置距把手截面（前把手由</w:t>
      </w:r>
      <w:r>
        <w:t xml:space="preserve"> V </w:t>
      </w:r>
      <w:r>
        <w:t>和</w:t>
      </w:r>
      <w:r>
        <w:t xml:space="preserve"> F</w:t>
      </w:r>
    </w:p>
    <w:p w14:paraId="775195F4" w14:textId="77777777" w:rsidR="00A71EEF" w:rsidRDefault="00A71EEF">
      <w:pPr>
        <w:pStyle w:val="a3"/>
        <w:rPr>
          <w:sz w:val="18"/>
        </w:rPr>
      </w:pPr>
    </w:p>
    <w:p w14:paraId="0FF2A63B" w14:textId="77777777" w:rsidR="00A71EEF" w:rsidRDefault="0081115D">
      <w:pPr>
        <w:pStyle w:val="a3"/>
        <w:ind w:left="838"/>
      </w:pPr>
      <w:r>
        <w:t>线确定，后把手由</w:t>
      </w:r>
      <w:r>
        <w:t xml:space="preserve"> V </w:t>
      </w:r>
      <w:r>
        <w:t>和</w:t>
      </w:r>
      <w:r>
        <w:t xml:space="preserve"> S </w:t>
      </w:r>
      <w:r>
        <w:t>线确定）的最大距离为</w:t>
      </w:r>
      <w:r>
        <w:t xml:space="preserve"> 20mm</w:t>
      </w:r>
      <w:r>
        <w:t>。</w:t>
      </w:r>
      <w:r>
        <w:t xml:space="preserve"> </w:t>
      </w:r>
    </w:p>
    <w:p w14:paraId="6ADFF12F" w14:textId="77777777" w:rsidR="00A71EEF" w:rsidRDefault="00A71EEF">
      <w:pPr>
        <w:pStyle w:val="a3"/>
        <w:spacing w:before="12"/>
        <w:rPr>
          <w:sz w:val="17"/>
        </w:rPr>
      </w:pPr>
    </w:p>
    <w:p w14:paraId="2C348A6B" w14:textId="77777777" w:rsidR="00A71EEF" w:rsidRDefault="0081115D">
      <w:pPr>
        <w:pStyle w:val="a3"/>
        <w:spacing w:line="446" w:lineRule="auto"/>
        <w:ind w:left="838" w:right="3294"/>
      </w:pPr>
      <w:r>
        <w:rPr>
          <w:spacing w:val="-9"/>
        </w:rPr>
        <w:t>如果图中尺寸</w:t>
      </w:r>
      <w:r>
        <w:rPr>
          <w:spacing w:val="-9"/>
        </w:rPr>
        <w:t xml:space="preserve"> </w:t>
      </w:r>
      <w:r>
        <w:t>25mm</w:t>
      </w:r>
      <w:r>
        <w:rPr>
          <w:spacing w:val="-8"/>
        </w:rPr>
        <w:t xml:space="preserve"> </w:t>
      </w:r>
      <w:r>
        <w:rPr>
          <w:spacing w:val="-8"/>
        </w:rPr>
        <w:t>不能保证，加速度计应置于把手握持部位的右侧。</w:t>
      </w:r>
      <w:r>
        <w:rPr>
          <w:spacing w:val="-9"/>
        </w:rPr>
        <w:t>如果图中尺寸</w:t>
      </w:r>
      <w:r>
        <w:rPr>
          <w:spacing w:val="-9"/>
        </w:rPr>
        <w:t xml:space="preserve"> </w:t>
      </w:r>
      <w:r>
        <w:t>80mm</w:t>
      </w:r>
      <w:r>
        <w:rPr>
          <w:spacing w:val="-8"/>
        </w:rPr>
        <w:t xml:space="preserve"> </w:t>
      </w:r>
      <w:r>
        <w:rPr>
          <w:spacing w:val="-8"/>
        </w:rPr>
        <w:t>不能保证，加速度计应置于把手握持部位的后端。</w:t>
      </w:r>
      <w:r>
        <w:t xml:space="preserve"> </w:t>
      </w:r>
    </w:p>
    <w:p w14:paraId="76AEE589" w14:textId="77777777" w:rsidR="00A71EEF" w:rsidRDefault="0081115D">
      <w:pPr>
        <w:pStyle w:val="a3"/>
        <w:spacing w:before="12"/>
        <w:rPr>
          <w:sz w:val="13"/>
        </w:rPr>
      </w:pPr>
      <w:r>
        <w:rPr>
          <w:noProof/>
        </w:rPr>
        <w:drawing>
          <wp:anchor distT="0" distB="0" distL="0" distR="0" simplePos="0" relativeHeight="251756032" behindDoc="0" locked="0" layoutInCell="1" allowOverlap="1" wp14:anchorId="3AFEB7FD" wp14:editId="58E52CD7">
            <wp:simplePos x="0" y="0"/>
            <wp:positionH relativeFrom="page">
              <wp:posOffset>2233987</wp:posOffset>
            </wp:positionH>
            <wp:positionV relativeFrom="paragraph">
              <wp:posOffset>138263</wp:posOffset>
            </wp:positionV>
            <wp:extent cx="2974412" cy="2886075"/>
            <wp:effectExtent l="0" t="0" r="0" b="0"/>
            <wp:wrapTopAndBottom/>
            <wp:docPr id="843" name="image4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 name="image494.jpeg"/>
                    <pic:cNvPicPr/>
                  </pic:nvPicPr>
                  <pic:blipFill>
                    <a:blip r:embed="rId616" cstate="print"/>
                    <a:stretch>
                      <a:fillRect/>
                    </a:stretch>
                  </pic:blipFill>
                  <pic:spPr>
                    <a:xfrm>
                      <a:off x="0" y="0"/>
                      <a:ext cx="2974412" cy="2886075"/>
                    </a:xfrm>
                    <a:prstGeom prst="rect">
                      <a:avLst/>
                    </a:prstGeom>
                  </pic:spPr>
                </pic:pic>
              </a:graphicData>
            </a:graphic>
          </wp:anchor>
        </w:drawing>
      </w:r>
    </w:p>
    <w:p w14:paraId="2EA8C197" w14:textId="77777777" w:rsidR="00A71EEF" w:rsidRDefault="00A71EEF">
      <w:pPr>
        <w:pStyle w:val="a3"/>
        <w:rPr>
          <w:sz w:val="14"/>
        </w:rPr>
      </w:pPr>
    </w:p>
    <w:p w14:paraId="1B178B69" w14:textId="77777777" w:rsidR="00A71EEF" w:rsidRDefault="0081115D">
      <w:pPr>
        <w:ind w:left="838"/>
        <w:rPr>
          <w:sz w:val="21"/>
        </w:rPr>
      </w:pPr>
      <w:r>
        <w:rPr>
          <w:b/>
          <w:sz w:val="21"/>
        </w:rPr>
        <w:t xml:space="preserve">4.3.2 </w:t>
      </w:r>
      <w:r>
        <w:rPr>
          <w:sz w:val="21"/>
        </w:rPr>
        <w:t>加速度计的固定</w:t>
      </w:r>
      <w:r>
        <w:rPr>
          <w:sz w:val="21"/>
        </w:rPr>
        <w:t xml:space="preserve"> </w:t>
      </w:r>
    </w:p>
    <w:p w14:paraId="714BEE8B" w14:textId="77777777" w:rsidR="00A71EEF" w:rsidRDefault="00A71EEF">
      <w:pPr>
        <w:pStyle w:val="a3"/>
        <w:rPr>
          <w:sz w:val="18"/>
        </w:rPr>
      </w:pPr>
    </w:p>
    <w:p w14:paraId="090B3B91" w14:textId="77777777" w:rsidR="00A71EEF" w:rsidRDefault="0081115D">
      <w:pPr>
        <w:pStyle w:val="a3"/>
        <w:ind w:left="838"/>
      </w:pPr>
      <w:r>
        <w:t>对于刚性把手，加速度计要刚性地固定在把手上。</w:t>
      </w:r>
      <w:r>
        <w:t xml:space="preserve"> </w:t>
      </w:r>
    </w:p>
    <w:p w14:paraId="0EF8E0E7" w14:textId="77777777" w:rsidR="00A71EEF" w:rsidRDefault="00A71EEF">
      <w:pPr>
        <w:pStyle w:val="a3"/>
        <w:rPr>
          <w:sz w:val="18"/>
        </w:rPr>
      </w:pPr>
    </w:p>
    <w:p w14:paraId="7CD8AC5F" w14:textId="77777777" w:rsidR="00A71EEF" w:rsidRDefault="0081115D">
      <w:pPr>
        <w:pStyle w:val="a3"/>
        <w:spacing w:line="446" w:lineRule="auto"/>
        <w:ind w:left="418" w:right="1433" w:firstLine="419"/>
        <w:jc w:val="both"/>
      </w:pPr>
      <w:r>
        <w:rPr>
          <w:spacing w:val="-4"/>
        </w:rPr>
        <w:t>对于装有弹性减震层</w:t>
      </w:r>
      <w:r>
        <w:rPr>
          <w:spacing w:val="-3"/>
        </w:rPr>
        <w:t>（例如橡胶垫</w:t>
      </w:r>
      <w:r>
        <w:rPr>
          <w:spacing w:val="-8"/>
        </w:rPr>
        <w:t>）</w:t>
      </w:r>
      <w:r>
        <w:rPr>
          <w:spacing w:val="-6"/>
        </w:rPr>
        <w:t>的把手，可以使用合适的加速度计支座，将加速度计安</w:t>
      </w:r>
      <w:r>
        <w:rPr>
          <w:spacing w:val="-8"/>
        </w:rPr>
        <w:t>装在弹性减震层表面，但须记录弹性减震层的类型、厚度、物理性能及振动衰减程度。也可先除</w:t>
      </w:r>
      <w:r>
        <w:rPr>
          <w:spacing w:val="-5"/>
        </w:rPr>
        <w:t>掉固定位置的减震层，将加速度计刚性地固定在把手上。</w:t>
      </w:r>
      <w:r>
        <w:t xml:space="preserve"> </w:t>
      </w:r>
    </w:p>
    <w:p w14:paraId="1F59AA08" w14:textId="77777777" w:rsidR="00A71EEF" w:rsidRDefault="00A71EEF">
      <w:pPr>
        <w:spacing w:line="446" w:lineRule="auto"/>
        <w:jc w:val="both"/>
        <w:sectPr w:rsidR="00A71EEF">
          <w:pgSz w:w="11910" w:h="16850"/>
          <w:pgMar w:top="1220" w:right="0" w:bottom="1420" w:left="1260" w:header="0" w:footer="1239" w:gutter="0"/>
          <w:cols w:space="720"/>
        </w:sectPr>
      </w:pPr>
    </w:p>
    <w:p w14:paraId="4DDCAF93" w14:textId="77777777" w:rsidR="00A71EEF" w:rsidRDefault="0081115D">
      <w:pPr>
        <w:pStyle w:val="a3"/>
        <w:spacing w:before="47" w:line="446" w:lineRule="auto"/>
        <w:ind w:left="418" w:right="1431" w:firstLine="419"/>
      </w:pPr>
      <w:r>
        <w:rPr>
          <w:spacing w:val="-6"/>
        </w:rPr>
        <w:t>无论哪一种情况，都必须注意加速度计支座的尺寸、形状及安装对于振动向手的传递不应有显著的影响。在安装加速度计时应使其在三个轴线方向上的传递函数能平直达到</w:t>
      </w:r>
      <w:r>
        <w:rPr>
          <w:spacing w:val="-6"/>
        </w:rPr>
        <w:t xml:space="preserve"> </w:t>
      </w:r>
      <w:r>
        <w:t>1500Hz</w:t>
      </w:r>
      <w:r>
        <w:rPr>
          <w:spacing w:val="-3"/>
        </w:rPr>
        <w:t>。</w:t>
      </w:r>
      <w:r>
        <w:t xml:space="preserve"> </w:t>
      </w:r>
    </w:p>
    <w:p w14:paraId="26487CDC" w14:textId="77777777" w:rsidR="00A71EEF" w:rsidRDefault="0081115D">
      <w:pPr>
        <w:pStyle w:val="a4"/>
        <w:numPr>
          <w:ilvl w:val="1"/>
          <w:numId w:val="10"/>
        </w:numPr>
        <w:tabs>
          <w:tab w:val="left" w:pos="1198"/>
        </w:tabs>
        <w:spacing w:line="267" w:lineRule="exact"/>
        <w:ind w:left="1198" w:hanging="360"/>
        <w:rPr>
          <w:sz w:val="21"/>
        </w:rPr>
      </w:pPr>
      <w:r>
        <w:rPr>
          <w:spacing w:val="-3"/>
          <w:sz w:val="21"/>
        </w:rPr>
        <w:t>风力灭火机的操作</w:t>
      </w:r>
      <w:r>
        <w:rPr>
          <w:sz w:val="21"/>
        </w:rPr>
        <w:t xml:space="preserve"> </w:t>
      </w:r>
    </w:p>
    <w:p w14:paraId="45EAD153" w14:textId="77777777" w:rsidR="00A71EEF" w:rsidRDefault="00A71EEF">
      <w:pPr>
        <w:pStyle w:val="a3"/>
        <w:spacing w:before="2"/>
        <w:rPr>
          <w:sz w:val="18"/>
        </w:rPr>
      </w:pPr>
    </w:p>
    <w:p w14:paraId="5C6D28FA" w14:textId="77777777" w:rsidR="00A71EEF" w:rsidRDefault="0081115D">
      <w:pPr>
        <w:pStyle w:val="a4"/>
        <w:numPr>
          <w:ilvl w:val="2"/>
          <w:numId w:val="10"/>
        </w:numPr>
        <w:tabs>
          <w:tab w:val="left" w:pos="1563"/>
        </w:tabs>
        <w:ind w:hanging="721"/>
        <w:rPr>
          <w:sz w:val="21"/>
        </w:rPr>
      </w:pPr>
      <w:r>
        <w:rPr>
          <w:spacing w:val="-5"/>
          <w:sz w:val="21"/>
        </w:rPr>
        <w:t>用背带将风力灭火机侧挂在操作者身上，并用双手握住前、后把手，如图</w:t>
      </w:r>
      <w:r>
        <w:rPr>
          <w:spacing w:val="-5"/>
          <w:sz w:val="21"/>
        </w:rPr>
        <w:t xml:space="preserve"> </w:t>
      </w:r>
      <w:r>
        <w:rPr>
          <w:spacing w:val="-3"/>
          <w:sz w:val="21"/>
        </w:rPr>
        <w:t>2</w:t>
      </w:r>
      <w:r>
        <w:rPr>
          <w:sz w:val="21"/>
        </w:rPr>
        <w:t>。</w:t>
      </w:r>
      <w:r>
        <w:rPr>
          <w:sz w:val="21"/>
        </w:rPr>
        <w:t xml:space="preserve"> </w:t>
      </w:r>
    </w:p>
    <w:p w14:paraId="62C9F821" w14:textId="77777777" w:rsidR="00A71EEF" w:rsidRDefault="0081115D">
      <w:pPr>
        <w:pStyle w:val="a3"/>
        <w:spacing w:before="7"/>
        <w:rPr>
          <w:sz w:val="8"/>
        </w:rPr>
      </w:pPr>
      <w:r>
        <w:rPr>
          <w:noProof/>
        </w:rPr>
        <w:drawing>
          <wp:anchor distT="0" distB="0" distL="0" distR="0" simplePos="0" relativeHeight="251757056" behindDoc="0" locked="0" layoutInCell="1" allowOverlap="1" wp14:anchorId="6AF61C54" wp14:editId="7EA9B5C0">
            <wp:simplePos x="0" y="0"/>
            <wp:positionH relativeFrom="page">
              <wp:posOffset>3027426</wp:posOffset>
            </wp:positionH>
            <wp:positionV relativeFrom="paragraph">
              <wp:posOffset>94392</wp:posOffset>
            </wp:positionV>
            <wp:extent cx="1648256" cy="2714625"/>
            <wp:effectExtent l="0" t="0" r="0" b="0"/>
            <wp:wrapTopAndBottom/>
            <wp:docPr id="845" name="image4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 name="image495.jpeg"/>
                    <pic:cNvPicPr/>
                  </pic:nvPicPr>
                  <pic:blipFill>
                    <a:blip r:embed="rId617" cstate="print"/>
                    <a:stretch>
                      <a:fillRect/>
                    </a:stretch>
                  </pic:blipFill>
                  <pic:spPr>
                    <a:xfrm>
                      <a:off x="0" y="0"/>
                      <a:ext cx="1648256" cy="2714625"/>
                    </a:xfrm>
                    <a:prstGeom prst="rect">
                      <a:avLst/>
                    </a:prstGeom>
                  </pic:spPr>
                </pic:pic>
              </a:graphicData>
            </a:graphic>
          </wp:anchor>
        </w:drawing>
      </w:r>
    </w:p>
    <w:p w14:paraId="7940E6BF" w14:textId="77777777" w:rsidR="00A71EEF" w:rsidRDefault="0081115D">
      <w:pPr>
        <w:pStyle w:val="6"/>
        <w:spacing w:before="178"/>
        <w:ind w:right="914"/>
        <w:jc w:val="center"/>
      </w:pPr>
      <w:r>
        <w:t>图</w:t>
      </w:r>
      <w:r>
        <w:t xml:space="preserve"> 2 </w:t>
      </w:r>
      <w:r>
        <w:t>风力灭火机的操作</w:t>
      </w:r>
      <w:r>
        <w:rPr>
          <w:w w:val="99"/>
        </w:rPr>
        <w:t xml:space="preserve"> </w:t>
      </w:r>
    </w:p>
    <w:p w14:paraId="49E128A5" w14:textId="77777777" w:rsidR="00A71EEF" w:rsidRDefault="00A71EEF">
      <w:pPr>
        <w:pStyle w:val="a3"/>
        <w:spacing w:before="12"/>
        <w:rPr>
          <w:b/>
          <w:sz w:val="17"/>
        </w:rPr>
      </w:pPr>
    </w:p>
    <w:p w14:paraId="5DE11423" w14:textId="77777777" w:rsidR="00A71EEF" w:rsidRDefault="0081115D">
      <w:pPr>
        <w:pStyle w:val="a4"/>
        <w:numPr>
          <w:ilvl w:val="2"/>
          <w:numId w:val="10"/>
        </w:numPr>
        <w:tabs>
          <w:tab w:val="left" w:pos="1563"/>
        </w:tabs>
        <w:ind w:hanging="721"/>
        <w:rPr>
          <w:sz w:val="21"/>
        </w:rPr>
      </w:pPr>
      <w:r>
        <w:rPr>
          <w:spacing w:val="-3"/>
          <w:sz w:val="21"/>
        </w:rPr>
        <w:t>转速计应放在便于操作者观察转速又不影响操作的位置。</w:t>
      </w:r>
      <w:r>
        <w:rPr>
          <w:sz w:val="21"/>
        </w:rPr>
        <w:t xml:space="preserve"> </w:t>
      </w:r>
    </w:p>
    <w:p w14:paraId="1ECE6686" w14:textId="77777777" w:rsidR="00A71EEF" w:rsidRDefault="00A71EEF">
      <w:pPr>
        <w:pStyle w:val="a3"/>
        <w:spacing w:before="2"/>
        <w:rPr>
          <w:sz w:val="18"/>
        </w:rPr>
      </w:pPr>
    </w:p>
    <w:p w14:paraId="6F3FD40E" w14:textId="77777777" w:rsidR="00A71EEF" w:rsidRDefault="0081115D">
      <w:pPr>
        <w:pStyle w:val="a4"/>
        <w:numPr>
          <w:ilvl w:val="2"/>
          <w:numId w:val="10"/>
        </w:numPr>
        <w:tabs>
          <w:tab w:val="left" w:pos="1563"/>
        </w:tabs>
        <w:ind w:hanging="721"/>
        <w:rPr>
          <w:sz w:val="21"/>
        </w:rPr>
      </w:pPr>
      <w:r>
        <w:rPr>
          <w:spacing w:val="-3"/>
          <w:sz w:val="21"/>
        </w:rPr>
        <w:t>由操作者控制油门，使风力灭火机在制造厂规定的标定转速下运转。</w:t>
      </w:r>
      <w:r>
        <w:rPr>
          <w:sz w:val="21"/>
        </w:rPr>
        <w:t xml:space="preserve"> </w:t>
      </w:r>
    </w:p>
    <w:p w14:paraId="7EB711D2" w14:textId="77777777" w:rsidR="00A71EEF" w:rsidRDefault="00A71EEF">
      <w:pPr>
        <w:pStyle w:val="a3"/>
        <w:spacing w:before="12"/>
        <w:rPr>
          <w:sz w:val="17"/>
        </w:rPr>
      </w:pPr>
    </w:p>
    <w:p w14:paraId="5033A57E" w14:textId="77777777" w:rsidR="00A71EEF" w:rsidRDefault="0081115D">
      <w:pPr>
        <w:pStyle w:val="a4"/>
        <w:numPr>
          <w:ilvl w:val="1"/>
          <w:numId w:val="10"/>
        </w:numPr>
        <w:tabs>
          <w:tab w:val="left" w:pos="1198"/>
        </w:tabs>
        <w:ind w:left="1198" w:hanging="360"/>
        <w:rPr>
          <w:sz w:val="21"/>
        </w:rPr>
      </w:pPr>
      <w:r>
        <w:rPr>
          <w:spacing w:val="-3"/>
          <w:sz w:val="21"/>
        </w:rPr>
        <w:t>电噪声</w:t>
      </w:r>
      <w:r>
        <w:rPr>
          <w:sz w:val="21"/>
        </w:rPr>
        <w:t xml:space="preserve"> </w:t>
      </w:r>
    </w:p>
    <w:p w14:paraId="6860A485" w14:textId="77777777" w:rsidR="00A71EEF" w:rsidRDefault="00A71EEF">
      <w:pPr>
        <w:pStyle w:val="a3"/>
        <w:rPr>
          <w:sz w:val="18"/>
        </w:rPr>
      </w:pPr>
    </w:p>
    <w:p w14:paraId="5E9462AC" w14:textId="77777777" w:rsidR="00A71EEF" w:rsidRDefault="0081115D">
      <w:pPr>
        <w:pStyle w:val="a3"/>
        <w:spacing w:line="446" w:lineRule="auto"/>
        <w:ind w:left="418" w:right="1431" w:firstLine="419"/>
      </w:pPr>
      <w:r>
        <w:rPr>
          <w:spacing w:val="-9"/>
        </w:rPr>
        <w:t>测定中，发动机及电缆的电噪声对测定的干扰不得超过最大实测值的</w:t>
      </w:r>
      <w:r>
        <w:rPr>
          <w:spacing w:val="-9"/>
        </w:rPr>
        <w:t xml:space="preserve"> </w:t>
      </w:r>
      <w:r>
        <w:rPr>
          <w:spacing w:val="-16"/>
        </w:rPr>
        <w:t>5%</w:t>
      </w:r>
      <w:r>
        <w:rPr>
          <w:spacing w:val="-16"/>
        </w:rPr>
        <w:t>（</w:t>
      </w:r>
      <w:r>
        <w:rPr>
          <w:spacing w:val="-3"/>
        </w:rPr>
        <w:t>推荐采用抗干扰火花塞</w:t>
      </w:r>
      <w:r>
        <w:rPr>
          <w:spacing w:val="-108"/>
        </w:rPr>
        <w:t>）</w:t>
      </w:r>
      <w:r>
        <w:rPr>
          <w:spacing w:val="-3"/>
        </w:rPr>
        <w:t>。</w:t>
      </w:r>
      <w:r>
        <w:t xml:space="preserve"> </w:t>
      </w:r>
    </w:p>
    <w:p w14:paraId="7D9A50F3" w14:textId="77777777" w:rsidR="00A71EEF" w:rsidRDefault="0081115D">
      <w:pPr>
        <w:pStyle w:val="4"/>
        <w:spacing w:line="278" w:lineRule="exact"/>
      </w:pPr>
      <w:r>
        <w:t xml:space="preserve">5 </w:t>
      </w:r>
      <w:r>
        <w:t>数据的取得和处理</w:t>
      </w:r>
      <w:r>
        <w:rPr>
          <w:w w:val="99"/>
        </w:rPr>
        <w:t xml:space="preserve"> </w:t>
      </w:r>
    </w:p>
    <w:p w14:paraId="24206CC5" w14:textId="77777777" w:rsidR="00A71EEF" w:rsidRDefault="00A71EEF">
      <w:pPr>
        <w:pStyle w:val="a3"/>
        <w:spacing w:before="4"/>
        <w:rPr>
          <w:b/>
          <w:sz w:val="17"/>
        </w:rPr>
      </w:pPr>
    </w:p>
    <w:p w14:paraId="0AF98A07" w14:textId="77777777" w:rsidR="00A71EEF" w:rsidRDefault="0081115D">
      <w:pPr>
        <w:ind w:left="840"/>
        <w:rPr>
          <w:sz w:val="21"/>
        </w:rPr>
      </w:pPr>
      <w:r>
        <w:rPr>
          <w:b/>
          <w:sz w:val="21"/>
        </w:rPr>
        <w:t xml:space="preserve">5.1 </w:t>
      </w:r>
      <w:r>
        <w:rPr>
          <w:sz w:val="21"/>
        </w:rPr>
        <w:t>测量值的表示单位</w:t>
      </w:r>
      <w:r>
        <w:rPr>
          <w:sz w:val="21"/>
        </w:rPr>
        <w:t xml:space="preserve"> </w:t>
      </w:r>
    </w:p>
    <w:p w14:paraId="2230D475" w14:textId="77777777" w:rsidR="00A71EEF" w:rsidRDefault="00A71EEF">
      <w:pPr>
        <w:pStyle w:val="a3"/>
        <w:spacing w:before="2"/>
        <w:rPr>
          <w:sz w:val="18"/>
        </w:rPr>
      </w:pPr>
    </w:p>
    <w:p w14:paraId="465362E5" w14:textId="77777777" w:rsidR="00A71EEF" w:rsidRDefault="0081115D">
      <w:pPr>
        <w:pStyle w:val="a3"/>
        <w:spacing w:line="446" w:lineRule="auto"/>
        <w:ind w:left="418" w:right="1431" w:firstLine="419"/>
        <w:jc w:val="both"/>
      </w:pPr>
      <w:r>
        <w:rPr>
          <w:spacing w:val="-7"/>
        </w:rPr>
        <w:t>表示振动量值的基本量是加速度。加速度通常以</w:t>
      </w:r>
      <w:r>
        <w:rPr>
          <w:spacing w:val="-7"/>
        </w:rPr>
        <w:t xml:space="preserve"> </w:t>
      </w:r>
      <w:r>
        <w:t>m/s²</w:t>
      </w:r>
      <w:r>
        <w:rPr>
          <w:spacing w:val="-8"/>
        </w:rPr>
        <w:t>为单位。振动加速度量值用均方根值即</w:t>
      </w:r>
      <w:r>
        <w:rPr>
          <w:spacing w:val="-9"/>
        </w:rPr>
        <w:t>有效值表示。根据人体对不同频率振动的生理效应规律进行计权的振动加速度称为频率计权加速</w:t>
      </w:r>
      <w:r>
        <w:rPr>
          <w:spacing w:val="-6"/>
        </w:rPr>
        <w:t>度</w:t>
      </w:r>
      <w:r>
        <w:rPr>
          <w:spacing w:val="-6"/>
        </w:rPr>
        <w:t>[</w:t>
      </w:r>
      <w:r>
        <w:rPr>
          <w:spacing w:val="-6"/>
        </w:rPr>
        <w:t>见式</w:t>
      </w:r>
      <w:r>
        <w:t>（</w:t>
      </w:r>
      <w:r>
        <w:t>1</w:t>
      </w:r>
      <w:r>
        <w:t>）</w:t>
      </w:r>
      <w:r>
        <w:rPr>
          <w:spacing w:val="-3"/>
        </w:rPr>
        <w:t>]</w:t>
      </w:r>
      <w:r>
        <w:rPr>
          <w:spacing w:val="-3"/>
        </w:rPr>
        <w:t>。用以评价手传振动对人的影响。</w:t>
      </w:r>
      <w:r>
        <w:t xml:space="preserve"> </w:t>
      </w:r>
    </w:p>
    <w:p w14:paraId="0805D598" w14:textId="77777777" w:rsidR="00A71EEF" w:rsidRDefault="0081115D">
      <w:pPr>
        <w:pStyle w:val="a3"/>
        <w:spacing w:line="446" w:lineRule="auto"/>
        <w:ind w:left="840" w:right="7074" w:hanging="3"/>
        <w:jc w:val="both"/>
      </w:pPr>
      <w:r>
        <w:t>振动量级也可以用</w:t>
      </w:r>
      <w:r>
        <w:t xml:space="preserve"> dB </w:t>
      </w:r>
      <w:r>
        <w:t>表示。</w:t>
      </w:r>
      <w:r>
        <w:rPr>
          <w:b/>
        </w:rPr>
        <w:t xml:space="preserve">5.2 </w:t>
      </w:r>
      <w:r>
        <w:t>数据测定和处理</w:t>
      </w:r>
      <w:r>
        <w:t xml:space="preserve"> </w:t>
      </w:r>
    </w:p>
    <w:p w14:paraId="62DFD8FF" w14:textId="77777777" w:rsidR="00A71EEF" w:rsidRDefault="0081115D">
      <w:pPr>
        <w:pStyle w:val="a4"/>
        <w:numPr>
          <w:ilvl w:val="2"/>
          <w:numId w:val="9"/>
        </w:numPr>
        <w:tabs>
          <w:tab w:val="left" w:pos="1371"/>
        </w:tabs>
        <w:spacing w:line="446" w:lineRule="auto"/>
        <w:ind w:right="1431" w:firstLine="422"/>
        <w:jc w:val="both"/>
        <w:rPr>
          <w:sz w:val="21"/>
        </w:rPr>
      </w:pPr>
      <w:r>
        <w:rPr>
          <w:spacing w:val="-5"/>
          <w:sz w:val="21"/>
        </w:rPr>
        <w:t>使用手传振动专用测量仪器直接读取三轴向振动频率计权加速度时，应每隔两秒读取</w:t>
      </w:r>
      <w:r>
        <w:rPr>
          <w:spacing w:val="-4"/>
          <w:position w:val="1"/>
          <w:sz w:val="21"/>
        </w:rPr>
        <w:t>一个实测值</w:t>
      </w:r>
      <w:r>
        <w:rPr>
          <w:spacing w:val="-4"/>
          <w:position w:val="1"/>
          <w:sz w:val="21"/>
        </w:rPr>
        <w:t>，作为</w:t>
      </w:r>
      <w:r>
        <w:rPr>
          <w:rFonts w:ascii="Symbol" w:eastAsia="Symbol" w:hAnsi="Symbol"/>
          <w:position w:val="1"/>
          <w:sz w:val="21"/>
        </w:rPr>
        <w:t></w:t>
      </w:r>
      <w:r>
        <w:rPr>
          <w:position w:val="1"/>
          <w:sz w:val="21"/>
        </w:rPr>
        <w:t>a</w:t>
      </w:r>
      <w:r>
        <w:rPr>
          <w:sz w:val="11"/>
        </w:rPr>
        <w:t>p</w:t>
      </w:r>
      <w:r>
        <w:rPr>
          <w:spacing w:val="-31"/>
          <w:sz w:val="11"/>
        </w:rPr>
        <w:t xml:space="preserve"> </w:t>
      </w:r>
      <w:r>
        <w:rPr>
          <w:position w:val="1"/>
          <w:sz w:val="21"/>
        </w:rPr>
        <w:t>或</w:t>
      </w:r>
      <w:r>
        <w:rPr>
          <w:rFonts w:ascii="Symbol" w:eastAsia="Symbol" w:hAnsi="Symbol"/>
          <w:position w:val="1"/>
          <w:sz w:val="21"/>
        </w:rPr>
        <w:t></w:t>
      </w:r>
      <w:r>
        <w:rPr>
          <w:position w:val="1"/>
          <w:sz w:val="21"/>
        </w:rPr>
        <w:t>a</w:t>
      </w:r>
      <w:r>
        <w:rPr>
          <w:sz w:val="11"/>
        </w:rPr>
        <w:t>s</w:t>
      </w:r>
      <w:r>
        <w:rPr>
          <w:spacing w:val="-29"/>
          <w:sz w:val="11"/>
        </w:rPr>
        <w:t xml:space="preserve"> </w:t>
      </w:r>
      <w:r>
        <w:rPr>
          <w:position w:val="1"/>
          <w:sz w:val="21"/>
        </w:rPr>
        <w:t>或</w:t>
      </w:r>
      <w:r>
        <w:rPr>
          <w:rFonts w:ascii="Symbol" w:eastAsia="Symbol" w:hAnsi="Symbol"/>
          <w:position w:val="1"/>
          <w:sz w:val="21"/>
        </w:rPr>
        <w:t></w:t>
      </w:r>
      <w:r>
        <w:rPr>
          <w:position w:val="1"/>
          <w:sz w:val="21"/>
        </w:rPr>
        <w:t>a</w:t>
      </w:r>
      <w:r>
        <w:rPr>
          <w:sz w:val="11"/>
        </w:rPr>
        <w:t>v</w:t>
      </w:r>
      <w:r>
        <w:rPr>
          <w:spacing w:val="-12"/>
          <w:position w:val="1"/>
          <w:sz w:val="21"/>
        </w:rPr>
        <w:t>,</w:t>
      </w:r>
      <w:r>
        <w:rPr>
          <w:spacing w:val="-12"/>
          <w:position w:val="1"/>
          <w:sz w:val="21"/>
        </w:rPr>
        <w:t>并填入表</w:t>
      </w:r>
      <w:r>
        <w:rPr>
          <w:spacing w:val="-12"/>
          <w:position w:val="1"/>
          <w:sz w:val="21"/>
        </w:rPr>
        <w:t xml:space="preserve"> </w:t>
      </w:r>
      <w:r>
        <w:rPr>
          <w:position w:val="1"/>
          <w:sz w:val="21"/>
        </w:rPr>
        <w:t>1</w:t>
      </w:r>
      <w:r>
        <w:rPr>
          <w:spacing w:val="-3"/>
          <w:position w:val="1"/>
          <w:sz w:val="21"/>
        </w:rPr>
        <w:t>“</w:t>
      </w:r>
      <w:r>
        <w:rPr>
          <w:spacing w:val="-3"/>
          <w:position w:val="1"/>
          <w:sz w:val="21"/>
        </w:rPr>
        <w:t>计权值</w:t>
      </w:r>
      <w:r>
        <w:rPr>
          <w:spacing w:val="-3"/>
          <w:position w:val="1"/>
          <w:sz w:val="21"/>
        </w:rPr>
        <w:t>”</w:t>
      </w:r>
      <w:r>
        <w:rPr>
          <w:spacing w:val="-3"/>
          <w:position w:val="1"/>
          <w:sz w:val="21"/>
        </w:rPr>
        <w:t>栏。</w:t>
      </w:r>
      <w:r>
        <w:rPr>
          <w:position w:val="1"/>
          <w:sz w:val="21"/>
        </w:rPr>
        <w:t xml:space="preserve"> </w:t>
      </w:r>
    </w:p>
    <w:p w14:paraId="409491FE" w14:textId="77777777" w:rsidR="00A71EEF" w:rsidRDefault="00A71EEF">
      <w:pPr>
        <w:spacing w:line="446" w:lineRule="auto"/>
        <w:jc w:val="both"/>
        <w:rPr>
          <w:sz w:val="21"/>
        </w:rPr>
        <w:sectPr w:rsidR="00A71EEF">
          <w:pgSz w:w="11910" w:h="16850"/>
          <w:pgMar w:top="1220" w:right="0" w:bottom="1420" w:left="1260" w:header="0" w:footer="1239" w:gutter="0"/>
          <w:cols w:space="720"/>
        </w:sectPr>
      </w:pPr>
    </w:p>
    <w:p w14:paraId="1EB19192" w14:textId="77777777" w:rsidR="00A71EEF" w:rsidRDefault="0081115D">
      <w:pPr>
        <w:pStyle w:val="a4"/>
        <w:numPr>
          <w:ilvl w:val="2"/>
          <w:numId w:val="9"/>
        </w:numPr>
        <w:tabs>
          <w:tab w:val="left" w:pos="1371"/>
        </w:tabs>
        <w:spacing w:before="47" w:line="446" w:lineRule="auto"/>
        <w:ind w:right="1431" w:firstLine="422"/>
        <w:jc w:val="both"/>
        <w:rPr>
          <w:sz w:val="21"/>
        </w:rPr>
      </w:pPr>
      <w:r>
        <w:pict w14:anchorId="4FAE950A">
          <v:line id="_x0000_s1035" style="position:absolute;left:0;text-align:left;z-index:-251505152;mso-position-horizontal-relative:page" from="293.7pt,70.25pt" to="370.75pt,70.25pt" strokeweight=".72pt">
            <w10:wrap anchorx="page"/>
          </v:line>
        </w:pict>
      </w:r>
      <w:r>
        <w:rPr>
          <w:spacing w:val="-8"/>
          <w:sz w:val="21"/>
        </w:rPr>
        <w:t>使用加速度计、放大器、滤波器、均方根值检波器、指示器及磁带记录仪组成的测量</w:t>
      </w:r>
      <w:r>
        <w:rPr>
          <w:spacing w:val="-24"/>
          <w:sz w:val="21"/>
        </w:rPr>
        <w:t>装置，得到</w:t>
      </w:r>
      <w:r>
        <w:rPr>
          <w:spacing w:val="-24"/>
          <w:sz w:val="21"/>
        </w:rPr>
        <w:t xml:space="preserve"> </w:t>
      </w:r>
      <w:r>
        <w:rPr>
          <w:sz w:val="21"/>
        </w:rPr>
        <w:t>1/3</w:t>
      </w:r>
      <w:r>
        <w:rPr>
          <w:spacing w:val="-13"/>
          <w:sz w:val="21"/>
        </w:rPr>
        <w:t xml:space="preserve"> </w:t>
      </w:r>
      <w:r>
        <w:rPr>
          <w:spacing w:val="-13"/>
          <w:sz w:val="21"/>
        </w:rPr>
        <w:t>倍频带或倍频带各中心频带加速度均方根值时，将测得值填入表</w:t>
      </w:r>
      <w:r>
        <w:rPr>
          <w:spacing w:val="-13"/>
          <w:sz w:val="21"/>
        </w:rPr>
        <w:t xml:space="preserve"> </w:t>
      </w:r>
      <w:r>
        <w:rPr>
          <w:sz w:val="21"/>
        </w:rPr>
        <w:t>1</w:t>
      </w:r>
      <w:r>
        <w:rPr>
          <w:spacing w:val="-19"/>
          <w:sz w:val="21"/>
        </w:rPr>
        <w:t xml:space="preserve"> </w:t>
      </w:r>
      <w:r>
        <w:rPr>
          <w:spacing w:val="-19"/>
          <w:sz w:val="21"/>
        </w:rPr>
        <w:t>中的</w:t>
      </w:r>
      <w:r>
        <w:rPr>
          <w:spacing w:val="-19"/>
          <w:sz w:val="21"/>
        </w:rPr>
        <w:t>“</w:t>
      </w:r>
      <w:r>
        <w:rPr>
          <w:spacing w:val="-19"/>
          <w:sz w:val="21"/>
        </w:rPr>
        <w:t>实测值</w:t>
      </w:r>
      <w:r>
        <w:rPr>
          <w:spacing w:val="-19"/>
          <w:sz w:val="21"/>
        </w:rPr>
        <w:t xml:space="preserve">” </w:t>
      </w:r>
      <w:r>
        <w:rPr>
          <w:spacing w:val="-10"/>
          <w:sz w:val="21"/>
        </w:rPr>
        <w:t>栏，利用式</w:t>
      </w:r>
      <w:r>
        <w:rPr>
          <w:sz w:val="21"/>
        </w:rPr>
        <w:t>（</w:t>
      </w:r>
      <w:r>
        <w:rPr>
          <w:sz w:val="21"/>
        </w:rPr>
        <w:t>1</w:t>
      </w:r>
      <w:r>
        <w:rPr>
          <w:sz w:val="21"/>
        </w:rPr>
        <w:t>）</w:t>
      </w:r>
      <w:r>
        <w:rPr>
          <w:spacing w:val="-9"/>
          <w:sz w:val="21"/>
        </w:rPr>
        <w:t>进行计权处理，得</w:t>
      </w:r>
      <w:r>
        <w:rPr>
          <w:spacing w:val="-9"/>
          <w:sz w:val="21"/>
        </w:rPr>
        <w:t xml:space="preserve"> </w:t>
      </w:r>
      <w:r>
        <w:rPr>
          <w:spacing w:val="-3"/>
          <w:sz w:val="21"/>
        </w:rPr>
        <w:t>F</w:t>
      </w:r>
      <w:r>
        <w:rPr>
          <w:sz w:val="21"/>
        </w:rPr>
        <w:t>、</w:t>
      </w:r>
      <w:r>
        <w:rPr>
          <w:spacing w:val="-3"/>
          <w:sz w:val="21"/>
        </w:rPr>
        <w:t>S</w:t>
      </w:r>
      <w:r>
        <w:rPr>
          <w:sz w:val="21"/>
        </w:rPr>
        <w:t>、</w:t>
      </w:r>
      <w:r>
        <w:rPr>
          <w:sz w:val="21"/>
        </w:rPr>
        <w:t>V</w:t>
      </w:r>
      <w:r>
        <w:rPr>
          <w:spacing w:val="-8"/>
          <w:sz w:val="21"/>
        </w:rPr>
        <w:t xml:space="preserve"> </w:t>
      </w:r>
      <w:r>
        <w:rPr>
          <w:spacing w:val="-8"/>
          <w:sz w:val="21"/>
        </w:rPr>
        <w:t>三个方向上的频率计权加速度值。</w:t>
      </w:r>
      <w:r>
        <w:rPr>
          <w:spacing w:val="-8"/>
          <w:sz w:val="21"/>
        </w:rPr>
        <w:t xml:space="preserve"> </w:t>
      </w:r>
    </w:p>
    <w:p w14:paraId="1D2A4EC8" w14:textId="77777777" w:rsidR="00A71EEF" w:rsidRDefault="0081115D">
      <w:pPr>
        <w:spacing w:line="99" w:lineRule="exact"/>
        <w:ind w:right="1141"/>
        <w:jc w:val="center"/>
        <w:rPr>
          <w:rFonts w:ascii="Cambria Math" w:eastAsia="Cambria Math"/>
          <w:sz w:val="15"/>
        </w:rPr>
      </w:pPr>
      <w:r>
        <w:rPr>
          <w:rFonts w:ascii="Cambria Math" w:eastAsia="Cambria Math"/>
          <w:w w:val="115"/>
          <w:sz w:val="15"/>
        </w:rPr>
        <w:t>𝑛</w:t>
      </w:r>
    </w:p>
    <w:p w14:paraId="7B1CFFBB" w14:textId="77777777" w:rsidR="00A71EEF" w:rsidRDefault="0081115D">
      <w:pPr>
        <w:spacing w:before="64"/>
        <w:ind w:left="3473"/>
        <w:rPr>
          <w:sz w:val="21"/>
        </w:rPr>
      </w:pPr>
      <w:r>
        <w:rPr>
          <w:rFonts w:ascii="Symbol" w:eastAsia="Symbol" w:hAnsi="Symbol"/>
          <w:w w:val="110"/>
          <w:position w:val="4"/>
          <w:sz w:val="21"/>
        </w:rPr>
        <w:t></w:t>
      </w:r>
      <w:r>
        <w:rPr>
          <w:rFonts w:ascii="Cambria Math" w:eastAsia="Cambria Math" w:hAnsi="Cambria Math"/>
          <w:w w:val="110"/>
          <w:position w:val="4"/>
          <w:sz w:val="21"/>
        </w:rPr>
        <w:t>𝑎</w:t>
      </w:r>
      <w:r>
        <w:rPr>
          <w:rFonts w:ascii="Cambria Math" w:eastAsia="Cambria Math" w:hAnsi="Cambria Math"/>
          <w:w w:val="110"/>
          <w:sz w:val="15"/>
        </w:rPr>
        <w:t>(</w:t>
      </w:r>
      <w:r>
        <w:rPr>
          <w:rFonts w:ascii="Cambria Math" w:eastAsia="Cambria Math" w:hAnsi="Cambria Math"/>
          <w:w w:val="110"/>
          <w:sz w:val="15"/>
        </w:rPr>
        <w:t>𝑃</w:t>
      </w:r>
      <w:r>
        <w:rPr>
          <w:rFonts w:ascii="Cambria Math" w:eastAsia="Cambria Math" w:hAnsi="Cambria Math"/>
          <w:w w:val="110"/>
          <w:sz w:val="15"/>
        </w:rPr>
        <w:t>,</w:t>
      </w:r>
      <w:r>
        <w:rPr>
          <w:rFonts w:ascii="Cambria Math" w:eastAsia="Cambria Math" w:hAnsi="Cambria Math"/>
          <w:w w:val="110"/>
          <w:sz w:val="15"/>
        </w:rPr>
        <w:t>𝑆</w:t>
      </w:r>
      <w:r>
        <w:rPr>
          <w:rFonts w:ascii="Cambria Math" w:eastAsia="Cambria Math" w:hAnsi="Cambria Math"/>
          <w:w w:val="110"/>
          <w:sz w:val="15"/>
        </w:rPr>
        <w:t>,</w:t>
      </w:r>
      <w:r>
        <w:rPr>
          <w:rFonts w:ascii="Cambria Math" w:eastAsia="Cambria Math" w:hAnsi="Cambria Math"/>
          <w:w w:val="110"/>
          <w:sz w:val="15"/>
        </w:rPr>
        <w:t>𝑉</w:t>
      </w:r>
      <w:r>
        <w:rPr>
          <w:rFonts w:ascii="Cambria Math" w:eastAsia="Cambria Math" w:hAnsi="Cambria Math"/>
          <w:w w:val="110"/>
          <w:sz w:val="15"/>
        </w:rPr>
        <w:t xml:space="preserve">) </w:t>
      </w:r>
      <w:r>
        <w:rPr>
          <w:rFonts w:ascii="Cambria Math" w:eastAsia="Cambria Math" w:hAnsi="Cambria Math"/>
          <w:w w:val="110"/>
          <w:position w:val="4"/>
          <w:sz w:val="21"/>
        </w:rPr>
        <w:t xml:space="preserve">= </w:t>
      </w:r>
      <w:r>
        <w:rPr>
          <w:rFonts w:ascii="Cambria Math" w:eastAsia="Cambria Math" w:hAnsi="Cambria Math"/>
          <w:w w:val="110"/>
          <w:position w:val="3"/>
          <w:sz w:val="21"/>
        </w:rPr>
        <w:t>√</w:t>
      </w:r>
      <w:r>
        <w:rPr>
          <w:rFonts w:ascii="Cambria Math" w:eastAsia="Cambria Math" w:hAnsi="Cambria Math"/>
          <w:w w:val="110"/>
          <w:position w:val="4"/>
          <w:sz w:val="21"/>
        </w:rPr>
        <w:t>∑[</w:t>
      </w:r>
      <w:r>
        <w:rPr>
          <w:rFonts w:ascii="Cambria Math" w:eastAsia="Cambria Math" w:hAnsi="Cambria Math"/>
          <w:w w:val="110"/>
          <w:position w:val="4"/>
          <w:sz w:val="21"/>
        </w:rPr>
        <w:t>𝑘</w:t>
      </w:r>
      <w:r>
        <w:rPr>
          <w:rFonts w:ascii="Cambria Math" w:eastAsia="Cambria Math" w:hAnsi="Cambria Math"/>
          <w:w w:val="110"/>
          <w:sz w:val="15"/>
        </w:rPr>
        <w:t>𝑗</w:t>
      </w:r>
      <w:r>
        <w:rPr>
          <w:rFonts w:ascii="Cambria Math" w:eastAsia="Cambria Math" w:hAnsi="Cambria Math"/>
          <w:w w:val="110"/>
          <w:sz w:val="15"/>
        </w:rPr>
        <w:t xml:space="preserve"> </w:t>
      </w:r>
      <w:r>
        <w:rPr>
          <w:rFonts w:ascii="Cambria Math" w:eastAsia="Cambria Math" w:hAnsi="Cambria Math"/>
          <w:w w:val="110"/>
          <w:position w:val="4"/>
          <w:sz w:val="21"/>
        </w:rPr>
        <w:t xml:space="preserve">· </w:t>
      </w:r>
      <w:r>
        <w:rPr>
          <w:rFonts w:ascii="Cambria Math" w:eastAsia="Cambria Math" w:hAnsi="Cambria Math"/>
          <w:w w:val="110"/>
          <w:position w:val="4"/>
          <w:sz w:val="21"/>
        </w:rPr>
        <w:t>𝑎</w:t>
      </w:r>
      <w:r>
        <w:rPr>
          <w:rFonts w:ascii="Cambria Math" w:eastAsia="Cambria Math" w:hAnsi="Cambria Math"/>
          <w:w w:val="110"/>
          <w:position w:val="1"/>
          <w:sz w:val="15"/>
        </w:rPr>
        <w:t>(</w:t>
      </w:r>
      <w:r>
        <w:rPr>
          <w:rFonts w:ascii="Cambria Math" w:eastAsia="Cambria Math" w:hAnsi="Cambria Math"/>
          <w:w w:val="110"/>
          <w:sz w:val="15"/>
        </w:rPr>
        <w:t>𝑃</w:t>
      </w:r>
      <w:r>
        <w:rPr>
          <w:rFonts w:ascii="Cambria Math" w:eastAsia="Cambria Math" w:hAnsi="Cambria Math"/>
          <w:w w:val="110"/>
          <w:sz w:val="15"/>
        </w:rPr>
        <w:t>,</w:t>
      </w:r>
      <w:r>
        <w:rPr>
          <w:rFonts w:ascii="Cambria Math" w:eastAsia="Cambria Math" w:hAnsi="Cambria Math"/>
          <w:w w:val="110"/>
          <w:sz w:val="15"/>
        </w:rPr>
        <w:t>𝑆</w:t>
      </w:r>
      <w:r>
        <w:rPr>
          <w:rFonts w:ascii="Cambria Math" w:eastAsia="Cambria Math" w:hAnsi="Cambria Math"/>
          <w:w w:val="110"/>
          <w:sz w:val="15"/>
        </w:rPr>
        <w:t>,</w:t>
      </w:r>
      <w:r>
        <w:rPr>
          <w:rFonts w:ascii="Cambria Math" w:eastAsia="Cambria Math" w:hAnsi="Cambria Math"/>
          <w:w w:val="110"/>
          <w:sz w:val="15"/>
        </w:rPr>
        <w:t>𝑉</w:t>
      </w:r>
      <w:r>
        <w:rPr>
          <w:rFonts w:ascii="Cambria Math" w:eastAsia="Cambria Math" w:hAnsi="Cambria Math"/>
          <w:w w:val="110"/>
          <w:position w:val="1"/>
          <w:sz w:val="15"/>
        </w:rPr>
        <w:t>)</w:t>
      </w:r>
      <w:r>
        <w:rPr>
          <w:rFonts w:ascii="Cambria Math" w:eastAsia="Cambria Math" w:hAnsi="Cambria Math"/>
          <w:w w:val="110"/>
          <w:sz w:val="15"/>
        </w:rPr>
        <w:t>𝑗</w:t>
      </w:r>
      <w:r>
        <w:rPr>
          <w:rFonts w:ascii="Cambria Math" w:eastAsia="Cambria Math" w:hAnsi="Cambria Math"/>
          <w:w w:val="110"/>
          <w:position w:val="4"/>
          <w:sz w:val="21"/>
        </w:rPr>
        <w:t>]</w:t>
      </w:r>
      <w:r>
        <w:rPr>
          <w:i/>
          <w:w w:val="110"/>
          <w:position w:val="4"/>
        </w:rPr>
        <w:t>²</w:t>
      </w:r>
      <w:r>
        <w:rPr>
          <w:position w:val="4"/>
          <w:sz w:val="21"/>
        </w:rPr>
        <w:t xml:space="preserve"> </w:t>
      </w:r>
    </w:p>
    <w:p w14:paraId="228BA82A" w14:textId="77777777" w:rsidR="00A71EEF" w:rsidRDefault="0081115D">
      <w:pPr>
        <w:spacing w:before="50"/>
        <w:ind w:right="1137"/>
        <w:jc w:val="center"/>
        <w:rPr>
          <w:rFonts w:ascii="Cambria Math" w:eastAsia="Cambria Math"/>
          <w:sz w:val="15"/>
        </w:rPr>
      </w:pPr>
      <w:r>
        <w:rPr>
          <w:rFonts w:ascii="Cambria Math" w:eastAsia="Cambria Math"/>
          <w:w w:val="110"/>
          <w:sz w:val="15"/>
        </w:rPr>
        <w:t>𝑗</w:t>
      </w:r>
      <w:r>
        <w:rPr>
          <w:rFonts w:ascii="Cambria Math" w:eastAsia="Cambria Math"/>
          <w:w w:val="110"/>
          <w:sz w:val="15"/>
        </w:rPr>
        <w:t>=1</w:t>
      </w:r>
    </w:p>
    <w:p w14:paraId="62BF1737" w14:textId="77777777" w:rsidR="00A71EEF" w:rsidRDefault="00A71EEF">
      <w:pPr>
        <w:pStyle w:val="a3"/>
        <w:spacing w:before="6"/>
        <w:rPr>
          <w:rFonts w:ascii="Cambria Math"/>
          <w:sz w:val="16"/>
        </w:rPr>
      </w:pPr>
    </w:p>
    <w:p w14:paraId="57EA8F84" w14:textId="77777777" w:rsidR="00A71EEF" w:rsidRDefault="0081115D">
      <w:pPr>
        <w:pStyle w:val="a3"/>
        <w:spacing w:before="101"/>
        <w:ind w:left="838"/>
      </w:pPr>
      <w:r>
        <w:rPr>
          <w:position w:val="1"/>
        </w:rPr>
        <w:t>式中：</w:t>
      </w:r>
      <w:r>
        <w:rPr>
          <w:rFonts w:ascii="Symbol" w:eastAsia="Symbol" w:hAnsi="Symbol"/>
          <w:position w:val="1"/>
        </w:rPr>
        <w:t></w:t>
      </w:r>
      <w:r>
        <w:rPr>
          <w:position w:val="1"/>
        </w:rPr>
        <w:t>a</w:t>
      </w:r>
      <w:r>
        <w:rPr>
          <w:sz w:val="11"/>
        </w:rPr>
        <w:t>（</w:t>
      </w:r>
      <w:r>
        <w:rPr>
          <w:sz w:val="11"/>
        </w:rPr>
        <w:t>P,S,V</w:t>
      </w:r>
      <w:r>
        <w:rPr>
          <w:sz w:val="11"/>
        </w:rPr>
        <w:t>）</w:t>
      </w:r>
      <w:r>
        <w:rPr>
          <w:position w:val="1"/>
        </w:rPr>
        <w:t xml:space="preserve">——F </w:t>
      </w:r>
      <w:r>
        <w:rPr>
          <w:position w:val="1"/>
        </w:rPr>
        <w:t>向或</w:t>
      </w:r>
      <w:r>
        <w:rPr>
          <w:position w:val="1"/>
        </w:rPr>
        <w:t xml:space="preserve">S </w:t>
      </w:r>
      <w:r>
        <w:rPr>
          <w:position w:val="1"/>
        </w:rPr>
        <w:t>向或</w:t>
      </w:r>
      <w:r>
        <w:rPr>
          <w:position w:val="1"/>
        </w:rPr>
        <w:t xml:space="preserve">V </w:t>
      </w:r>
      <w:r>
        <w:rPr>
          <w:position w:val="1"/>
        </w:rPr>
        <w:t>向的频率计权加速度，</w:t>
      </w:r>
      <w:r>
        <w:rPr>
          <w:position w:val="1"/>
        </w:rPr>
        <w:t>m/s²</w:t>
      </w:r>
      <w:r>
        <w:rPr>
          <w:position w:val="1"/>
        </w:rPr>
        <w:t>；</w:t>
      </w:r>
      <w:r>
        <w:rPr>
          <w:position w:val="1"/>
        </w:rPr>
        <w:t xml:space="preserve"> </w:t>
      </w:r>
    </w:p>
    <w:p w14:paraId="5C90A26D" w14:textId="77777777" w:rsidR="00A71EEF" w:rsidRDefault="0081115D">
      <w:pPr>
        <w:pStyle w:val="a3"/>
        <w:spacing w:before="233"/>
        <w:ind w:left="838"/>
      </w:pPr>
      <w:r>
        <w:rPr>
          <w:position w:val="1"/>
        </w:rPr>
        <w:t>a</w:t>
      </w:r>
      <w:r>
        <w:rPr>
          <w:sz w:val="11"/>
        </w:rPr>
        <w:t>（</w:t>
      </w:r>
      <w:r>
        <w:rPr>
          <w:sz w:val="11"/>
        </w:rPr>
        <w:t>P,S,V</w:t>
      </w:r>
      <w:r>
        <w:rPr>
          <w:sz w:val="11"/>
        </w:rPr>
        <w:t>）</w:t>
      </w:r>
      <w:r>
        <w:rPr>
          <w:sz w:val="11"/>
        </w:rPr>
        <w:t>j</w:t>
      </w:r>
      <w:r>
        <w:rPr>
          <w:position w:val="1"/>
        </w:rPr>
        <w:t xml:space="preserve">——F </w:t>
      </w:r>
      <w:r>
        <w:rPr>
          <w:position w:val="1"/>
        </w:rPr>
        <w:t>向或</w:t>
      </w:r>
      <w:r>
        <w:rPr>
          <w:position w:val="1"/>
        </w:rPr>
        <w:t xml:space="preserve"> S </w:t>
      </w:r>
      <w:r>
        <w:rPr>
          <w:position w:val="1"/>
        </w:rPr>
        <w:t>向或</w:t>
      </w:r>
      <w:r>
        <w:rPr>
          <w:position w:val="1"/>
        </w:rPr>
        <w:t xml:space="preserve">V </w:t>
      </w:r>
      <w:r>
        <w:rPr>
          <w:position w:val="1"/>
        </w:rPr>
        <w:t>向的</w:t>
      </w:r>
      <w:r>
        <w:rPr>
          <w:position w:val="1"/>
        </w:rPr>
        <w:t xml:space="preserve"> 1/3 </w:t>
      </w:r>
      <w:r>
        <w:rPr>
          <w:position w:val="1"/>
        </w:rPr>
        <w:t>倍频带或倍频带中第</w:t>
      </w:r>
      <w:r>
        <w:rPr>
          <w:position w:val="1"/>
        </w:rPr>
        <w:t xml:space="preserve"> j </w:t>
      </w:r>
      <w:r>
        <w:rPr>
          <w:position w:val="1"/>
        </w:rPr>
        <w:t>频带实测的加速度均方根值，</w:t>
      </w:r>
      <w:r>
        <w:rPr>
          <w:position w:val="1"/>
        </w:rPr>
        <w:t>m/s</w:t>
      </w:r>
    </w:p>
    <w:p w14:paraId="33B429E2" w14:textId="77777777" w:rsidR="00A71EEF" w:rsidRDefault="00A71EEF">
      <w:pPr>
        <w:pStyle w:val="a3"/>
        <w:rPr>
          <w:sz w:val="18"/>
        </w:rPr>
      </w:pPr>
    </w:p>
    <w:p w14:paraId="21B7875D" w14:textId="77777777" w:rsidR="00A71EEF" w:rsidRDefault="0081115D">
      <w:pPr>
        <w:pStyle w:val="a3"/>
        <w:ind w:left="418"/>
      </w:pPr>
      <w:r>
        <w:t>²</w:t>
      </w:r>
      <w:r>
        <w:t>；</w:t>
      </w:r>
      <w:r>
        <w:t xml:space="preserve"> </w:t>
      </w:r>
    </w:p>
    <w:p w14:paraId="18D0C079" w14:textId="77777777" w:rsidR="00A71EEF" w:rsidRDefault="00A71EEF">
      <w:pPr>
        <w:pStyle w:val="a3"/>
        <w:spacing w:before="12"/>
        <w:rPr>
          <w:sz w:val="17"/>
        </w:rPr>
      </w:pPr>
    </w:p>
    <w:p w14:paraId="1B749297" w14:textId="77777777" w:rsidR="00A71EEF" w:rsidRDefault="0081115D">
      <w:pPr>
        <w:pStyle w:val="a3"/>
        <w:spacing w:line="448" w:lineRule="auto"/>
        <w:ind w:left="838" w:right="3450"/>
      </w:pPr>
      <w:r>
        <w:rPr>
          <w:position w:val="1"/>
        </w:rPr>
        <w:t>k</w:t>
      </w:r>
      <w:r>
        <w:rPr>
          <w:sz w:val="11"/>
        </w:rPr>
        <w:t>j</w:t>
      </w:r>
      <w:r>
        <w:rPr>
          <w:spacing w:val="-2"/>
          <w:position w:val="1"/>
        </w:rPr>
        <w:t>——</w:t>
      </w:r>
      <w:r>
        <w:rPr>
          <w:position w:val="1"/>
        </w:rPr>
        <w:t>1/3</w:t>
      </w:r>
      <w:r>
        <w:rPr>
          <w:spacing w:val="-55"/>
          <w:position w:val="1"/>
        </w:rPr>
        <w:t xml:space="preserve"> </w:t>
      </w:r>
      <w:r>
        <w:rPr>
          <w:spacing w:val="-3"/>
          <w:position w:val="1"/>
        </w:rPr>
        <w:t>倍频带或倍频带中第</w:t>
      </w:r>
      <w:r>
        <w:rPr>
          <w:spacing w:val="-3"/>
          <w:position w:val="1"/>
        </w:rPr>
        <w:t xml:space="preserve"> </w:t>
      </w:r>
      <w:r>
        <w:rPr>
          <w:position w:val="1"/>
        </w:rPr>
        <w:t>j</w:t>
      </w:r>
      <w:r>
        <w:rPr>
          <w:spacing w:val="-55"/>
          <w:position w:val="1"/>
        </w:rPr>
        <w:t xml:space="preserve"> </w:t>
      </w:r>
      <w:r>
        <w:rPr>
          <w:spacing w:val="-3"/>
          <w:position w:val="1"/>
        </w:rPr>
        <w:t>频带相应的计权因子</w:t>
      </w:r>
      <w:r>
        <w:rPr>
          <w:position w:val="1"/>
        </w:rPr>
        <w:t>（</w:t>
      </w:r>
      <w:r>
        <w:rPr>
          <w:spacing w:val="-2"/>
          <w:position w:val="1"/>
        </w:rPr>
        <w:t>见附录</w:t>
      </w:r>
      <w:r>
        <w:rPr>
          <w:spacing w:val="-53"/>
          <w:position w:val="1"/>
        </w:rPr>
        <w:t xml:space="preserve"> </w:t>
      </w:r>
      <w:r>
        <w:rPr>
          <w:position w:val="1"/>
        </w:rPr>
        <w:t>A</w:t>
      </w:r>
      <w:r>
        <w:rPr>
          <w:spacing w:val="-108"/>
          <w:position w:val="1"/>
        </w:rPr>
        <w:t>）</w:t>
      </w:r>
      <w:r>
        <w:rPr>
          <w:spacing w:val="-3"/>
          <w:position w:val="1"/>
        </w:rPr>
        <w:t>；</w:t>
      </w:r>
      <w:r>
        <w:rPr>
          <w:position w:val="1"/>
        </w:rPr>
        <w:t xml:space="preserve"> </w:t>
      </w:r>
      <w:r>
        <w:t>n—</w:t>
      </w:r>
      <w:r>
        <w:rPr>
          <w:spacing w:val="-2"/>
        </w:rPr>
        <w:t>—</w:t>
      </w:r>
      <w:r>
        <w:rPr>
          <w:spacing w:val="-2"/>
        </w:rPr>
        <w:t>所用频带数。</w:t>
      </w:r>
      <w:r>
        <w:rPr>
          <w:spacing w:val="-2"/>
        </w:rPr>
        <w:t xml:space="preserve"> </w:t>
      </w:r>
    </w:p>
    <w:p w14:paraId="622859E9" w14:textId="77777777" w:rsidR="00A71EEF" w:rsidRDefault="0081115D">
      <w:pPr>
        <w:pStyle w:val="a4"/>
        <w:numPr>
          <w:ilvl w:val="2"/>
          <w:numId w:val="9"/>
        </w:numPr>
        <w:tabs>
          <w:tab w:val="left" w:pos="1370"/>
        </w:tabs>
        <w:spacing w:line="264" w:lineRule="exact"/>
        <w:ind w:left="1369" w:hanging="530"/>
        <w:rPr>
          <w:sz w:val="21"/>
        </w:rPr>
      </w:pPr>
      <w:r>
        <w:rPr>
          <w:spacing w:val="-3"/>
          <w:sz w:val="21"/>
        </w:rPr>
        <w:t>计数加速度总值</w:t>
      </w:r>
      <w:r>
        <w:rPr>
          <w:sz w:val="21"/>
        </w:rPr>
        <w:t xml:space="preserve"> </w:t>
      </w:r>
    </w:p>
    <w:p w14:paraId="410E1C2E" w14:textId="77777777" w:rsidR="00A71EEF" w:rsidRDefault="00A71EEF">
      <w:pPr>
        <w:pStyle w:val="a3"/>
        <w:spacing w:before="11"/>
        <w:rPr>
          <w:sz w:val="17"/>
        </w:rPr>
      </w:pPr>
    </w:p>
    <w:p w14:paraId="555BF710" w14:textId="77777777" w:rsidR="00A71EEF" w:rsidRDefault="0081115D">
      <w:pPr>
        <w:pStyle w:val="a3"/>
        <w:ind w:left="838"/>
        <w:rPr>
          <w:rFonts w:ascii="Cambria Math" w:eastAsia="Cambria Math" w:hAnsi="Cambria Math"/>
        </w:rPr>
      </w:pPr>
      <w:r>
        <w:pict w14:anchorId="77987812">
          <v:line id="_x0000_s1034" style="position:absolute;left:0;text-align:left;z-index:-251476480;mso-wrap-distance-left:0;mso-wrap-distance-right:0;mso-position-horizontal-relative:page" from="91.8pt,20.2pt" to="166.2pt,20.2pt" strokeweight=".72pt">
            <w10:wrap type="topAndBottom" anchorx="page"/>
          </v:line>
        </w:pict>
      </w:r>
      <w:r>
        <w:rPr>
          <w:position w:val="1"/>
        </w:rPr>
        <w:t>将</w:t>
      </w:r>
      <w:r>
        <w:rPr>
          <w:position w:val="1"/>
        </w:rPr>
        <w:t xml:space="preserve"> F</w:t>
      </w:r>
      <w:r>
        <w:rPr>
          <w:position w:val="1"/>
        </w:rPr>
        <w:t>、</w:t>
      </w:r>
      <w:r>
        <w:rPr>
          <w:position w:val="1"/>
        </w:rPr>
        <w:t>S</w:t>
      </w:r>
      <w:r>
        <w:rPr>
          <w:position w:val="1"/>
        </w:rPr>
        <w:t>、</w:t>
      </w:r>
      <w:r>
        <w:rPr>
          <w:position w:val="1"/>
        </w:rPr>
        <w:t xml:space="preserve">V </w:t>
      </w:r>
      <w:r>
        <w:rPr>
          <w:position w:val="1"/>
        </w:rPr>
        <w:t>三轴向的频率计权加速度值</w:t>
      </w:r>
      <w:r>
        <w:rPr>
          <w:rFonts w:ascii="Symbol" w:eastAsia="Symbol" w:hAnsi="Symbol"/>
          <w:position w:val="1"/>
        </w:rPr>
        <w:t></w:t>
      </w:r>
      <w:r>
        <w:rPr>
          <w:position w:val="1"/>
        </w:rPr>
        <w:t>a</w:t>
      </w:r>
      <w:r>
        <w:rPr>
          <w:sz w:val="11"/>
        </w:rPr>
        <w:t>P</w:t>
      </w:r>
      <w:r>
        <w:rPr>
          <w:position w:val="1"/>
        </w:rPr>
        <w:t>、</w:t>
      </w:r>
      <w:r>
        <w:rPr>
          <w:rFonts w:ascii="Symbol" w:eastAsia="Symbol" w:hAnsi="Symbol"/>
          <w:position w:val="1"/>
        </w:rPr>
        <w:t></w:t>
      </w:r>
      <w:r>
        <w:rPr>
          <w:position w:val="1"/>
        </w:rPr>
        <w:t>a</w:t>
      </w:r>
      <w:r>
        <w:rPr>
          <w:sz w:val="11"/>
        </w:rPr>
        <w:t>S</w:t>
      </w:r>
      <w:r>
        <w:rPr>
          <w:position w:val="1"/>
        </w:rPr>
        <w:t>、</w:t>
      </w:r>
      <w:r>
        <w:rPr>
          <w:rFonts w:ascii="Symbol" w:eastAsia="Symbol" w:hAnsi="Symbol"/>
          <w:position w:val="1"/>
        </w:rPr>
        <w:t></w:t>
      </w:r>
      <w:r>
        <w:rPr>
          <w:position w:val="1"/>
        </w:rPr>
        <w:t>a</w:t>
      </w:r>
      <w:r>
        <w:rPr>
          <w:sz w:val="11"/>
        </w:rPr>
        <w:t xml:space="preserve">V </w:t>
      </w:r>
      <w:r>
        <w:rPr>
          <w:position w:val="1"/>
        </w:rPr>
        <w:t>处理成一个计权加速度总值；</w:t>
      </w:r>
      <w:r>
        <w:rPr>
          <w:rFonts w:ascii="Cambria Math" w:eastAsia="Cambria Math" w:hAnsi="Cambria Math"/>
          <w:position w:val="1"/>
        </w:rPr>
        <w:t>a =</w:t>
      </w:r>
    </w:p>
    <w:p w14:paraId="4421FF4C" w14:textId="77777777" w:rsidR="00A71EEF" w:rsidRDefault="0081115D">
      <w:pPr>
        <w:pStyle w:val="a3"/>
        <w:spacing w:before="61" w:line="149" w:lineRule="exact"/>
        <w:ind w:left="418"/>
      </w:pPr>
      <w:r>
        <w:rPr>
          <w:rFonts w:ascii="Cambria Math" w:eastAsia="Cambria Math" w:hAnsi="Cambria Math"/>
          <w:position w:val="1"/>
        </w:rPr>
        <w:t>√</w:t>
      </w:r>
      <w:r>
        <w:rPr>
          <w:rFonts w:ascii="Symbol" w:eastAsia="Symbol" w:hAnsi="Symbol"/>
        </w:rPr>
        <w:t></w:t>
      </w:r>
      <w:r>
        <w:rPr>
          <w:rFonts w:ascii="Cambria Math" w:eastAsia="Cambria Math" w:hAnsi="Cambria Math"/>
        </w:rPr>
        <w:t>𝑎</w:t>
      </w:r>
      <w:r>
        <w:rPr>
          <w:rFonts w:ascii="Cambria Math" w:eastAsia="Cambria Math" w:hAnsi="Cambria Math"/>
          <w:vertAlign w:val="superscript"/>
        </w:rPr>
        <w:t>2</w:t>
      </w:r>
      <w:r>
        <w:rPr>
          <w:rFonts w:ascii="Cambria Math" w:eastAsia="Cambria Math" w:hAnsi="Cambria Math"/>
        </w:rPr>
        <w:t xml:space="preserve"> + </w:t>
      </w:r>
      <w:r>
        <w:rPr>
          <w:rFonts w:ascii="Symbol" w:eastAsia="Symbol" w:hAnsi="Symbol"/>
        </w:rPr>
        <w:t></w:t>
      </w:r>
      <w:r>
        <w:rPr>
          <w:rFonts w:ascii="Cambria Math" w:eastAsia="Cambria Math" w:hAnsi="Cambria Math"/>
        </w:rPr>
        <w:t>𝑎</w:t>
      </w:r>
      <w:r>
        <w:rPr>
          <w:rFonts w:ascii="Cambria Math" w:eastAsia="Cambria Math" w:hAnsi="Cambria Math"/>
          <w:vertAlign w:val="superscript"/>
        </w:rPr>
        <w:t>2</w:t>
      </w:r>
      <w:r>
        <w:rPr>
          <w:rFonts w:ascii="Cambria Math" w:eastAsia="Cambria Math" w:hAnsi="Cambria Math"/>
        </w:rPr>
        <w:t xml:space="preserve"> + </w:t>
      </w:r>
      <w:r>
        <w:rPr>
          <w:rFonts w:ascii="Symbol" w:eastAsia="Symbol" w:hAnsi="Symbol"/>
        </w:rPr>
        <w:t></w:t>
      </w:r>
      <w:r>
        <w:rPr>
          <w:rFonts w:ascii="Cambria Math" w:eastAsia="Cambria Math" w:hAnsi="Cambria Math"/>
        </w:rPr>
        <w:t>𝑎</w:t>
      </w:r>
      <w:r>
        <w:rPr>
          <w:rFonts w:ascii="Cambria Math" w:eastAsia="Cambria Math" w:hAnsi="Cambria Math"/>
          <w:vertAlign w:val="superscript"/>
        </w:rPr>
        <w:t>2</w:t>
      </w:r>
      <w:r>
        <w:rPr>
          <w:rFonts w:ascii="Cambria Math" w:eastAsia="Cambria Math" w:hAnsi="Cambria Math"/>
        </w:rPr>
        <w:t xml:space="preserve"> </w:t>
      </w:r>
      <w:r>
        <w:t>……………………</w:t>
      </w:r>
      <w:r>
        <w:t>（</w:t>
      </w:r>
      <w:r>
        <w:t>2</w:t>
      </w:r>
      <w:r>
        <w:t>）</w:t>
      </w:r>
      <w:r>
        <w:t xml:space="preserve"> </w:t>
      </w:r>
    </w:p>
    <w:p w14:paraId="674BE252" w14:textId="77777777" w:rsidR="00A71EEF" w:rsidRDefault="0081115D">
      <w:pPr>
        <w:tabs>
          <w:tab w:val="left" w:pos="1375"/>
          <w:tab w:val="left" w:pos="1953"/>
        </w:tabs>
        <w:spacing w:line="152" w:lineRule="exact"/>
        <w:ind w:left="799"/>
        <w:rPr>
          <w:rFonts w:ascii="Cambria Math" w:eastAsia="Cambria Math"/>
          <w:sz w:val="15"/>
        </w:rPr>
      </w:pPr>
      <w:r>
        <w:rPr>
          <w:rFonts w:ascii="Cambria Math" w:eastAsia="Cambria Math"/>
          <w:w w:val="105"/>
          <w:sz w:val="15"/>
        </w:rPr>
        <w:t>𝑃</w:t>
      </w:r>
      <w:r>
        <w:rPr>
          <w:rFonts w:ascii="Cambria Math" w:eastAsia="Cambria Math"/>
          <w:w w:val="105"/>
          <w:sz w:val="15"/>
        </w:rPr>
        <w:tab/>
      </w:r>
      <w:r>
        <w:rPr>
          <w:rFonts w:ascii="Cambria Math" w:eastAsia="Cambria Math"/>
          <w:w w:val="105"/>
          <w:sz w:val="15"/>
        </w:rPr>
        <w:t>𝑆</w:t>
      </w:r>
      <w:r>
        <w:rPr>
          <w:rFonts w:ascii="Cambria Math" w:eastAsia="Cambria Math"/>
          <w:w w:val="105"/>
          <w:sz w:val="15"/>
        </w:rPr>
        <w:tab/>
      </w:r>
      <w:r>
        <w:rPr>
          <w:rFonts w:ascii="Cambria Math" w:eastAsia="Cambria Math"/>
          <w:w w:val="105"/>
          <w:sz w:val="15"/>
        </w:rPr>
        <w:t>𝑉</w:t>
      </w:r>
    </w:p>
    <w:p w14:paraId="65364A37" w14:textId="77777777" w:rsidR="00A71EEF" w:rsidRDefault="00A71EEF">
      <w:pPr>
        <w:pStyle w:val="a3"/>
        <w:rPr>
          <w:rFonts w:ascii="Cambria Math"/>
          <w:sz w:val="11"/>
        </w:rPr>
      </w:pPr>
    </w:p>
    <w:p w14:paraId="6ECA056E" w14:textId="77777777" w:rsidR="00A71EEF" w:rsidRDefault="0081115D">
      <w:pPr>
        <w:spacing w:before="72" w:line="446" w:lineRule="auto"/>
        <w:ind w:left="840" w:right="6337" w:hanging="3"/>
        <w:rPr>
          <w:sz w:val="21"/>
        </w:rPr>
      </w:pPr>
      <w:r>
        <w:rPr>
          <w:sz w:val="21"/>
        </w:rPr>
        <w:t>填入表</w:t>
      </w:r>
      <w:r>
        <w:rPr>
          <w:sz w:val="21"/>
        </w:rPr>
        <w:t xml:space="preserve"> 1 </w:t>
      </w:r>
      <w:r>
        <w:rPr>
          <w:sz w:val="21"/>
        </w:rPr>
        <w:t>中</w:t>
      </w:r>
      <w:r>
        <w:rPr>
          <w:sz w:val="21"/>
        </w:rPr>
        <w:t>“</w:t>
      </w:r>
      <w:r>
        <w:rPr>
          <w:sz w:val="21"/>
        </w:rPr>
        <w:t>计权加速度总值</w:t>
      </w:r>
      <w:r>
        <w:rPr>
          <w:sz w:val="21"/>
        </w:rPr>
        <w:t>”</w:t>
      </w:r>
      <w:r>
        <w:rPr>
          <w:sz w:val="21"/>
        </w:rPr>
        <w:t>栏。</w:t>
      </w:r>
      <w:r>
        <w:rPr>
          <w:b/>
          <w:sz w:val="21"/>
        </w:rPr>
        <w:t xml:space="preserve">5.2.4 </w:t>
      </w:r>
      <w:r>
        <w:rPr>
          <w:sz w:val="21"/>
        </w:rPr>
        <w:t>测量次数</w:t>
      </w:r>
      <w:r>
        <w:rPr>
          <w:sz w:val="21"/>
        </w:rPr>
        <w:t xml:space="preserve"> </w:t>
      </w:r>
    </w:p>
    <w:p w14:paraId="573F4AEA" w14:textId="77777777" w:rsidR="00A71EEF" w:rsidRDefault="0081115D">
      <w:pPr>
        <w:pStyle w:val="a3"/>
        <w:spacing w:line="446" w:lineRule="auto"/>
        <w:ind w:left="418" w:right="1433" w:firstLine="419"/>
      </w:pPr>
      <w:r>
        <w:rPr>
          <w:spacing w:val="-22"/>
        </w:rPr>
        <w:t>按</w:t>
      </w:r>
      <w:r>
        <w:rPr>
          <w:spacing w:val="-22"/>
        </w:rPr>
        <w:t xml:space="preserve"> </w:t>
      </w:r>
      <w:r>
        <w:t>4.4.3</w:t>
      </w:r>
      <w:r>
        <w:rPr>
          <w:spacing w:val="-14"/>
        </w:rPr>
        <w:t xml:space="preserve"> </w:t>
      </w:r>
      <w:r>
        <w:rPr>
          <w:spacing w:val="-14"/>
        </w:rPr>
        <w:t>的规定，间隔重复进行测量</w:t>
      </w:r>
      <w:r>
        <w:rPr>
          <w:spacing w:val="-14"/>
        </w:rPr>
        <w:t xml:space="preserve"> </w:t>
      </w:r>
      <w:r>
        <w:t>5</w:t>
      </w:r>
      <w:r>
        <w:rPr>
          <w:spacing w:val="-12"/>
        </w:rPr>
        <w:t xml:space="preserve"> </w:t>
      </w:r>
      <w:r>
        <w:rPr>
          <w:spacing w:val="-12"/>
        </w:rPr>
        <w:t>次，得到五个计权加速度总值：</w:t>
      </w:r>
      <w:r>
        <w:rPr>
          <w:spacing w:val="-13"/>
        </w:rPr>
        <w:t>a1</w:t>
      </w:r>
      <w:r>
        <w:rPr>
          <w:spacing w:val="-33"/>
        </w:rPr>
        <w:t>、</w:t>
      </w:r>
      <w:r>
        <w:rPr>
          <w:spacing w:val="-3"/>
        </w:rPr>
        <w:t>a2</w:t>
      </w:r>
      <w:r>
        <w:rPr>
          <w:spacing w:val="-34"/>
        </w:rPr>
        <w:t>、</w:t>
      </w:r>
      <w:r>
        <w:t>a3</w:t>
      </w:r>
      <w:r>
        <w:rPr>
          <w:spacing w:val="-34"/>
        </w:rPr>
        <w:t>、</w:t>
      </w:r>
      <w:r>
        <w:rPr>
          <w:spacing w:val="-3"/>
        </w:rPr>
        <w:t>a4</w:t>
      </w:r>
      <w:r>
        <w:rPr>
          <w:spacing w:val="-34"/>
        </w:rPr>
        <w:t>、</w:t>
      </w:r>
      <w:r>
        <w:t>a5</w:t>
      </w:r>
      <w:r>
        <w:t>，</w:t>
      </w:r>
      <w:r>
        <w:t xml:space="preserve"> </w:t>
      </w:r>
      <w:r>
        <w:rPr>
          <w:spacing w:val="-3"/>
        </w:rPr>
        <w:t>间隔期间应使发动机低速运转。</w:t>
      </w:r>
      <w:r>
        <w:t xml:space="preserve"> </w:t>
      </w:r>
    </w:p>
    <w:p w14:paraId="3229D9E3" w14:textId="77777777" w:rsidR="00A71EEF" w:rsidRDefault="0081115D">
      <w:pPr>
        <w:pStyle w:val="a3"/>
        <w:spacing w:line="267" w:lineRule="exact"/>
        <w:ind w:left="838"/>
      </w:pPr>
      <w:r>
        <w:pict w14:anchorId="2F4349C5">
          <v:line id="_x0000_s1033" style="position:absolute;left:0;text-align:left;z-index:-251475456;mso-wrap-distance-left:0;mso-wrap-distance-right:0;mso-position-horizontal-relative:page" from="195.4pt,19.95pt" to="341.7pt,19.95pt" strokeweight=".72pt">
            <w10:wrap type="topAndBottom" anchorx="page"/>
          </v:line>
        </w:pict>
      </w:r>
      <w:r>
        <w:t>将五个计权加速度总值进一步处理成每一次测量时前、后把手上计权加速度总值的均方根值；</w:t>
      </w:r>
      <w:r>
        <w:t xml:space="preserve"> </w:t>
      </w:r>
    </w:p>
    <w:p w14:paraId="0A989C01" w14:textId="77777777" w:rsidR="00A71EEF" w:rsidRDefault="0081115D">
      <w:pPr>
        <w:pStyle w:val="a3"/>
        <w:tabs>
          <w:tab w:val="left" w:leader="dot" w:pos="7360"/>
        </w:tabs>
        <w:spacing w:before="61" w:line="146" w:lineRule="exact"/>
        <w:ind w:left="1740"/>
      </w:pPr>
      <w:r>
        <w:rPr>
          <w:rFonts w:ascii="Symbol" w:eastAsia="Symbol" w:hAnsi="Symbol"/>
        </w:rPr>
        <w:t></w:t>
      </w:r>
      <w:r>
        <w:rPr>
          <w:rFonts w:ascii="Cambria Math" w:eastAsia="Cambria Math" w:hAnsi="Cambria Math"/>
        </w:rPr>
        <w:t>a</w:t>
      </w:r>
      <w:r>
        <w:rPr>
          <w:rFonts w:ascii="Cambria Math" w:eastAsia="Cambria Math" w:hAnsi="Cambria Math"/>
          <w:position w:val="-3"/>
          <w:sz w:val="15"/>
        </w:rPr>
        <w:t xml:space="preserve">h,w  </w:t>
      </w:r>
      <w:r>
        <w:rPr>
          <w:rFonts w:ascii="Cambria Math" w:eastAsia="Cambria Math" w:hAnsi="Cambria Math"/>
        </w:rPr>
        <w:t xml:space="preserve">= </w:t>
      </w:r>
      <w:r>
        <w:rPr>
          <w:rFonts w:ascii="Cambria Math" w:eastAsia="Cambria Math" w:hAnsi="Cambria Math"/>
          <w:position w:val="1"/>
        </w:rPr>
        <w:t>√</w:t>
      </w:r>
      <w:r>
        <w:rPr>
          <w:rFonts w:ascii="Cambria Math" w:eastAsia="Cambria Math" w:hAnsi="Cambria Math"/>
        </w:rPr>
        <w:t>(</w:t>
      </w:r>
      <w:r>
        <w:rPr>
          <w:rFonts w:ascii="Symbol" w:eastAsia="Symbol" w:hAnsi="Symbol"/>
        </w:rPr>
        <w:t></w:t>
      </w:r>
      <w:r>
        <w:rPr>
          <w:rFonts w:ascii="Cambria Math" w:eastAsia="Cambria Math" w:hAnsi="Cambria Math"/>
        </w:rPr>
        <w:t>a</w:t>
      </w:r>
      <w:r>
        <w:rPr>
          <w:rFonts w:ascii="Cambria Math" w:eastAsia="Cambria Math" w:hAnsi="Cambria Math"/>
          <w:vertAlign w:val="superscript"/>
        </w:rPr>
        <w:t>2</w:t>
      </w:r>
      <w:r>
        <w:rPr>
          <w:rFonts w:ascii="Cambria Math" w:eastAsia="Cambria Math" w:hAnsi="Cambria Math"/>
        </w:rPr>
        <w:t xml:space="preserve"> + </w:t>
      </w:r>
      <w:r>
        <w:rPr>
          <w:rFonts w:ascii="Symbol" w:eastAsia="Symbol" w:hAnsi="Symbol"/>
        </w:rPr>
        <w:t></w:t>
      </w:r>
      <w:r>
        <w:rPr>
          <w:rFonts w:ascii="Cambria Math" w:eastAsia="Cambria Math" w:hAnsi="Cambria Math"/>
        </w:rPr>
        <w:t>a</w:t>
      </w:r>
      <w:r>
        <w:rPr>
          <w:rFonts w:ascii="Cambria Math" w:eastAsia="Cambria Math" w:hAnsi="Cambria Math"/>
          <w:vertAlign w:val="superscript"/>
        </w:rPr>
        <w:t>2</w:t>
      </w:r>
      <w:r>
        <w:rPr>
          <w:rFonts w:ascii="Cambria Math" w:eastAsia="Cambria Math" w:hAnsi="Cambria Math"/>
        </w:rPr>
        <w:t xml:space="preserve"> </w:t>
      </w:r>
      <w:r>
        <w:rPr>
          <w:rFonts w:ascii="Cambria Math" w:eastAsia="Cambria Math" w:hAnsi="Cambria Math"/>
          <w:spacing w:val="31"/>
        </w:rPr>
        <w:t xml:space="preserve"> </w:t>
      </w:r>
      <w:r>
        <w:rPr>
          <w:rFonts w:ascii="Cambria Math" w:eastAsia="Cambria Math" w:hAnsi="Cambria Math"/>
        </w:rPr>
        <w:t xml:space="preserve">+ </w:t>
      </w:r>
      <w:r>
        <w:rPr>
          <w:rFonts w:ascii="Symbol" w:eastAsia="Symbol" w:hAnsi="Symbol"/>
        </w:rPr>
        <w:t></w:t>
      </w:r>
      <w:r>
        <w:rPr>
          <w:rFonts w:ascii="Cambria Math" w:eastAsia="Cambria Math" w:hAnsi="Cambria Math"/>
        </w:rPr>
        <w:t>a</w:t>
      </w:r>
      <w:r>
        <w:rPr>
          <w:rFonts w:ascii="Cambria Math" w:eastAsia="Cambria Math" w:hAnsi="Cambria Math"/>
          <w:vertAlign w:val="superscript"/>
        </w:rPr>
        <w:t>2</w:t>
      </w:r>
      <w:r>
        <w:rPr>
          <w:rFonts w:ascii="Cambria Math" w:eastAsia="Cambria Math" w:hAnsi="Cambria Math"/>
        </w:rPr>
        <w:t xml:space="preserve"> + </w:t>
      </w:r>
      <w:r>
        <w:rPr>
          <w:rFonts w:ascii="Symbol" w:eastAsia="Symbol" w:hAnsi="Symbol"/>
        </w:rPr>
        <w:t></w:t>
      </w:r>
      <w:r>
        <w:rPr>
          <w:rFonts w:ascii="Cambria Math" w:eastAsia="Cambria Math" w:hAnsi="Cambria Math"/>
        </w:rPr>
        <w:t>a</w:t>
      </w:r>
      <w:r>
        <w:rPr>
          <w:rFonts w:ascii="Cambria Math" w:eastAsia="Cambria Math" w:hAnsi="Cambria Math"/>
          <w:vertAlign w:val="superscript"/>
        </w:rPr>
        <w:t>2</w:t>
      </w:r>
      <w:r>
        <w:rPr>
          <w:rFonts w:ascii="Cambria Math" w:eastAsia="Cambria Math" w:hAnsi="Cambria Math"/>
        </w:rPr>
        <w:t xml:space="preserve"> +</w:t>
      </w:r>
      <w:r>
        <w:rPr>
          <w:rFonts w:ascii="Cambria Math" w:eastAsia="Cambria Math" w:hAnsi="Cambria Math"/>
          <w:spacing w:val="2"/>
        </w:rPr>
        <w:t xml:space="preserve"> </w:t>
      </w:r>
      <w:r>
        <w:rPr>
          <w:rFonts w:ascii="Symbol" w:eastAsia="Symbol" w:hAnsi="Symbol"/>
        </w:rPr>
        <w:t></w:t>
      </w:r>
      <w:r>
        <w:rPr>
          <w:rFonts w:ascii="Cambria Math" w:eastAsia="Cambria Math" w:hAnsi="Cambria Math"/>
        </w:rPr>
        <w:t>a</w:t>
      </w:r>
      <w:r>
        <w:rPr>
          <w:rFonts w:ascii="Cambria Math" w:eastAsia="Cambria Math" w:hAnsi="Cambria Math"/>
          <w:vertAlign w:val="superscript"/>
        </w:rPr>
        <w:t>2</w:t>
      </w:r>
      <w:r>
        <w:rPr>
          <w:rFonts w:ascii="Cambria Math" w:eastAsia="Cambria Math" w:hAnsi="Cambria Math"/>
        </w:rPr>
        <w:t>)/5</w:t>
      </w:r>
      <w:r>
        <w:rPr>
          <w:rFonts w:ascii="Cambria Math" w:eastAsia="Cambria Math" w:hAnsi="Cambria Math"/>
        </w:rPr>
        <w:tab/>
      </w:r>
      <w:r>
        <w:t>（</w:t>
      </w:r>
      <w:r>
        <w:t>3</w:t>
      </w:r>
      <w:r>
        <w:t>）</w:t>
      </w:r>
      <w:r>
        <w:t xml:space="preserve"> </w:t>
      </w:r>
    </w:p>
    <w:p w14:paraId="1BA5913B" w14:textId="77777777" w:rsidR="00A71EEF" w:rsidRDefault="0081115D">
      <w:pPr>
        <w:tabs>
          <w:tab w:val="left" w:pos="3500"/>
          <w:tab w:val="left" w:pos="4059"/>
          <w:tab w:val="left" w:pos="4616"/>
          <w:tab w:val="left" w:pos="5173"/>
        </w:tabs>
        <w:spacing w:line="154" w:lineRule="exact"/>
        <w:ind w:left="2943"/>
        <w:rPr>
          <w:rFonts w:ascii="Cambria Math"/>
          <w:sz w:val="15"/>
        </w:rPr>
      </w:pPr>
      <w:r>
        <w:rPr>
          <w:rFonts w:ascii="Cambria Math"/>
          <w:w w:val="105"/>
          <w:sz w:val="15"/>
        </w:rPr>
        <w:t>1</w:t>
      </w:r>
      <w:r>
        <w:rPr>
          <w:rFonts w:ascii="Cambria Math"/>
          <w:w w:val="105"/>
          <w:sz w:val="15"/>
        </w:rPr>
        <w:tab/>
        <w:t>2</w:t>
      </w:r>
      <w:r>
        <w:rPr>
          <w:rFonts w:ascii="Cambria Math"/>
          <w:w w:val="105"/>
          <w:sz w:val="15"/>
        </w:rPr>
        <w:tab/>
        <w:t>3</w:t>
      </w:r>
      <w:r>
        <w:rPr>
          <w:rFonts w:ascii="Cambria Math"/>
          <w:w w:val="105"/>
          <w:sz w:val="15"/>
        </w:rPr>
        <w:tab/>
        <w:t>4</w:t>
      </w:r>
      <w:r>
        <w:rPr>
          <w:rFonts w:ascii="Cambria Math"/>
          <w:w w:val="105"/>
          <w:sz w:val="15"/>
        </w:rPr>
        <w:tab/>
        <w:t>5</w:t>
      </w:r>
    </w:p>
    <w:p w14:paraId="39C1471F" w14:textId="77777777" w:rsidR="00A71EEF" w:rsidRDefault="00A71EEF">
      <w:pPr>
        <w:pStyle w:val="a3"/>
        <w:rPr>
          <w:rFonts w:ascii="Cambria Math"/>
          <w:sz w:val="11"/>
        </w:rPr>
      </w:pPr>
    </w:p>
    <w:p w14:paraId="46D23D10" w14:textId="77777777" w:rsidR="00A71EEF" w:rsidRDefault="0081115D">
      <w:pPr>
        <w:pStyle w:val="a3"/>
        <w:spacing w:before="72"/>
        <w:ind w:left="838"/>
      </w:pPr>
      <w:r>
        <w:t>记录于表</w:t>
      </w:r>
      <w:r>
        <w:t xml:space="preserve"> 2</w:t>
      </w:r>
      <w:r>
        <w:t>，以其中的最大值作为风力灭火机手传振动的评定值。</w:t>
      </w:r>
      <w:r>
        <w:t xml:space="preserve"> </w:t>
      </w:r>
    </w:p>
    <w:p w14:paraId="0A7D6FA0" w14:textId="77777777" w:rsidR="00A71EEF" w:rsidRDefault="00A71EEF">
      <w:pPr>
        <w:pStyle w:val="a3"/>
        <w:spacing w:before="12"/>
        <w:rPr>
          <w:sz w:val="17"/>
        </w:rPr>
      </w:pPr>
    </w:p>
    <w:p w14:paraId="092FF451" w14:textId="77777777" w:rsidR="00A71EEF" w:rsidRDefault="0081115D">
      <w:pPr>
        <w:pStyle w:val="6"/>
        <w:spacing w:after="42"/>
        <w:ind w:left="2993"/>
      </w:pPr>
      <w:r>
        <w:t>表</w:t>
      </w:r>
      <w:r>
        <w:t xml:space="preserve"> 2 </w:t>
      </w:r>
      <w:r>
        <w:t>风力灭火机手传振动测定结果报告</w:t>
      </w:r>
      <w:r>
        <w:rPr>
          <w:w w:val="99"/>
        </w:rPr>
        <w:t xml:space="preserve"> </w:t>
      </w:r>
    </w:p>
    <w:tbl>
      <w:tblPr>
        <w:tblStyle w:val="TableNormal"/>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2"/>
        <w:gridCol w:w="634"/>
        <w:gridCol w:w="627"/>
        <w:gridCol w:w="629"/>
        <w:gridCol w:w="627"/>
        <w:gridCol w:w="627"/>
        <w:gridCol w:w="639"/>
        <w:gridCol w:w="627"/>
        <w:gridCol w:w="627"/>
        <w:gridCol w:w="629"/>
        <w:gridCol w:w="627"/>
        <w:gridCol w:w="629"/>
        <w:gridCol w:w="639"/>
      </w:tblGrid>
      <w:tr w:rsidR="00A71EEF" w14:paraId="40B71DF5" w14:textId="77777777">
        <w:trPr>
          <w:trHeight w:val="498"/>
        </w:trPr>
        <w:tc>
          <w:tcPr>
            <w:tcW w:w="742" w:type="dxa"/>
            <w:vMerge w:val="restart"/>
          </w:tcPr>
          <w:p w14:paraId="0FBC7AD4" w14:textId="77777777" w:rsidR="00A71EEF" w:rsidRDefault="00A71EEF">
            <w:pPr>
              <w:pStyle w:val="TableParagraph"/>
              <w:rPr>
                <w:b/>
                <w:sz w:val="20"/>
              </w:rPr>
            </w:pPr>
          </w:p>
          <w:p w14:paraId="4CC0E1B8" w14:textId="77777777" w:rsidR="00A71EEF" w:rsidRDefault="00A71EEF">
            <w:pPr>
              <w:pStyle w:val="TableParagraph"/>
              <w:rPr>
                <w:b/>
                <w:sz w:val="20"/>
              </w:rPr>
            </w:pPr>
          </w:p>
          <w:p w14:paraId="1EA02D5B" w14:textId="77777777" w:rsidR="00A71EEF" w:rsidRDefault="00A71EEF">
            <w:pPr>
              <w:pStyle w:val="TableParagraph"/>
              <w:spacing w:before="4"/>
              <w:rPr>
                <w:b/>
                <w:sz w:val="15"/>
              </w:rPr>
            </w:pPr>
          </w:p>
          <w:p w14:paraId="01F8C9EA" w14:textId="77777777" w:rsidR="00A71EEF" w:rsidRDefault="0081115D">
            <w:pPr>
              <w:pStyle w:val="TableParagraph"/>
              <w:spacing w:line="446" w:lineRule="auto"/>
              <w:ind w:left="107" w:right="-15" w:firstLine="52"/>
              <w:rPr>
                <w:sz w:val="21"/>
              </w:rPr>
            </w:pPr>
            <w:r>
              <w:rPr>
                <w:sz w:val="21"/>
              </w:rPr>
              <w:t>测定转速</w:t>
            </w:r>
            <w:r>
              <w:rPr>
                <w:sz w:val="21"/>
              </w:rPr>
              <w:t xml:space="preserve">r/min </w:t>
            </w:r>
          </w:p>
        </w:tc>
        <w:tc>
          <w:tcPr>
            <w:tcW w:w="7561" w:type="dxa"/>
            <w:gridSpan w:val="12"/>
          </w:tcPr>
          <w:p w14:paraId="4066BEEB" w14:textId="77777777" w:rsidR="00A71EEF" w:rsidRDefault="0081115D">
            <w:pPr>
              <w:pStyle w:val="TableParagraph"/>
              <w:spacing w:before="189"/>
              <w:ind w:left="2230" w:right="2120"/>
              <w:jc w:val="center"/>
              <w:rPr>
                <w:sz w:val="21"/>
              </w:rPr>
            </w:pPr>
            <w:r>
              <w:rPr>
                <w:position w:val="1"/>
                <w:sz w:val="21"/>
              </w:rPr>
              <w:t>计权加速度总值方根值</w:t>
            </w:r>
            <w:r>
              <w:rPr>
                <w:rFonts w:ascii="Symbol" w:eastAsia="Symbol" w:hAnsi="Symbol"/>
                <w:position w:val="1"/>
                <w:sz w:val="21"/>
              </w:rPr>
              <w:t></w:t>
            </w:r>
            <w:r>
              <w:rPr>
                <w:position w:val="1"/>
                <w:sz w:val="21"/>
              </w:rPr>
              <w:t>a</w:t>
            </w:r>
            <w:r>
              <w:rPr>
                <w:sz w:val="11"/>
              </w:rPr>
              <w:t>h</w:t>
            </w:r>
            <w:r>
              <w:rPr>
                <w:sz w:val="11"/>
              </w:rPr>
              <w:t>，</w:t>
            </w:r>
            <w:r>
              <w:rPr>
                <w:sz w:val="11"/>
              </w:rPr>
              <w:t>w</w:t>
            </w:r>
            <w:r>
              <w:rPr>
                <w:position w:val="1"/>
                <w:sz w:val="21"/>
              </w:rPr>
              <w:t>，</w:t>
            </w:r>
            <w:r>
              <w:rPr>
                <w:position w:val="1"/>
                <w:sz w:val="21"/>
              </w:rPr>
              <w:t xml:space="preserve">m/s² </w:t>
            </w:r>
          </w:p>
        </w:tc>
      </w:tr>
      <w:tr w:rsidR="00A71EEF" w14:paraId="588F3283" w14:textId="77777777">
        <w:trPr>
          <w:trHeight w:val="501"/>
        </w:trPr>
        <w:tc>
          <w:tcPr>
            <w:tcW w:w="742" w:type="dxa"/>
            <w:vMerge/>
            <w:tcBorders>
              <w:top w:val="nil"/>
            </w:tcBorders>
          </w:tcPr>
          <w:p w14:paraId="4C050FA7" w14:textId="77777777" w:rsidR="00A71EEF" w:rsidRDefault="00A71EEF">
            <w:pPr>
              <w:rPr>
                <w:sz w:val="2"/>
                <w:szCs w:val="2"/>
              </w:rPr>
            </w:pPr>
          </w:p>
        </w:tc>
        <w:tc>
          <w:tcPr>
            <w:tcW w:w="3144" w:type="dxa"/>
            <w:gridSpan w:val="5"/>
          </w:tcPr>
          <w:p w14:paraId="793656BA" w14:textId="77777777" w:rsidR="00A71EEF" w:rsidRDefault="00A71EEF">
            <w:pPr>
              <w:pStyle w:val="TableParagraph"/>
              <w:spacing w:before="11"/>
              <w:rPr>
                <w:b/>
                <w:sz w:val="14"/>
              </w:rPr>
            </w:pPr>
          </w:p>
          <w:p w14:paraId="34AA0E57" w14:textId="77777777" w:rsidR="00A71EEF" w:rsidRDefault="0081115D">
            <w:pPr>
              <w:pStyle w:val="TableParagraph"/>
              <w:ind w:left="1288" w:right="1175"/>
              <w:jc w:val="center"/>
              <w:rPr>
                <w:sz w:val="21"/>
              </w:rPr>
            </w:pPr>
            <w:r>
              <w:rPr>
                <w:sz w:val="21"/>
              </w:rPr>
              <w:t>前把手</w:t>
            </w:r>
            <w:r>
              <w:rPr>
                <w:sz w:val="21"/>
              </w:rPr>
              <w:t xml:space="preserve"> </w:t>
            </w:r>
          </w:p>
        </w:tc>
        <w:tc>
          <w:tcPr>
            <w:tcW w:w="639" w:type="dxa"/>
          </w:tcPr>
          <w:p w14:paraId="7AF4E150" w14:textId="77777777" w:rsidR="00A71EEF" w:rsidRDefault="00A71EEF">
            <w:pPr>
              <w:pStyle w:val="TableParagraph"/>
              <w:spacing w:before="11"/>
              <w:rPr>
                <w:b/>
                <w:sz w:val="14"/>
              </w:rPr>
            </w:pPr>
          </w:p>
          <w:p w14:paraId="1F74C5BB" w14:textId="77777777" w:rsidR="00A71EEF" w:rsidRDefault="0081115D">
            <w:pPr>
              <w:pStyle w:val="TableParagraph"/>
              <w:ind w:left="110"/>
              <w:jc w:val="center"/>
              <w:rPr>
                <w:sz w:val="21"/>
              </w:rPr>
            </w:pPr>
            <w:r>
              <w:rPr>
                <w:sz w:val="21"/>
              </w:rPr>
              <w:t xml:space="preserve"> </w:t>
            </w:r>
          </w:p>
        </w:tc>
        <w:tc>
          <w:tcPr>
            <w:tcW w:w="3139" w:type="dxa"/>
            <w:gridSpan w:val="5"/>
          </w:tcPr>
          <w:p w14:paraId="5DD26096" w14:textId="77777777" w:rsidR="00A71EEF" w:rsidRDefault="00A71EEF">
            <w:pPr>
              <w:pStyle w:val="TableParagraph"/>
              <w:spacing w:before="11"/>
              <w:rPr>
                <w:b/>
                <w:sz w:val="14"/>
              </w:rPr>
            </w:pPr>
          </w:p>
          <w:p w14:paraId="6AD04989" w14:textId="77777777" w:rsidR="00A71EEF" w:rsidRDefault="0081115D">
            <w:pPr>
              <w:pStyle w:val="TableParagraph"/>
              <w:ind w:left="1283" w:right="1175"/>
              <w:jc w:val="center"/>
              <w:rPr>
                <w:sz w:val="21"/>
              </w:rPr>
            </w:pPr>
            <w:r>
              <w:rPr>
                <w:sz w:val="21"/>
              </w:rPr>
              <w:t>后把手</w:t>
            </w:r>
            <w:r>
              <w:rPr>
                <w:sz w:val="21"/>
              </w:rPr>
              <w:t xml:space="preserve"> </w:t>
            </w:r>
          </w:p>
        </w:tc>
        <w:tc>
          <w:tcPr>
            <w:tcW w:w="639" w:type="dxa"/>
          </w:tcPr>
          <w:p w14:paraId="53A1EDF3" w14:textId="77777777" w:rsidR="00A71EEF" w:rsidRDefault="00A71EEF">
            <w:pPr>
              <w:pStyle w:val="TableParagraph"/>
              <w:spacing w:before="11"/>
              <w:rPr>
                <w:b/>
                <w:sz w:val="14"/>
              </w:rPr>
            </w:pPr>
          </w:p>
          <w:p w14:paraId="063273C0" w14:textId="77777777" w:rsidR="00A71EEF" w:rsidRDefault="0081115D">
            <w:pPr>
              <w:pStyle w:val="TableParagraph"/>
              <w:ind w:left="101"/>
              <w:jc w:val="center"/>
              <w:rPr>
                <w:sz w:val="21"/>
              </w:rPr>
            </w:pPr>
            <w:r>
              <w:rPr>
                <w:sz w:val="21"/>
              </w:rPr>
              <w:t xml:space="preserve"> </w:t>
            </w:r>
          </w:p>
        </w:tc>
      </w:tr>
      <w:tr w:rsidR="00A71EEF" w14:paraId="6E14D3E5" w14:textId="77777777">
        <w:trPr>
          <w:trHeight w:val="498"/>
        </w:trPr>
        <w:tc>
          <w:tcPr>
            <w:tcW w:w="742" w:type="dxa"/>
            <w:vMerge/>
            <w:tcBorders>
              <w:top w:val="nil"/>
            </w:tcBorders>
          </w:tcPr>
          <w:p w14:paraId="0891BA6A" w14:textId="77777777" w:rsidR="00A71EEF" w:rsidRDefault="00A71EEF">
            <w:pPr>
              <w:rPr>
                <w:sz w:val="2"/>
                <w:szCs w:val="2"/>
              </w:rPr>
            </w:pPr>
          </w:p>
        </w:tc>
        <w:tc>
          <w:tcPr>
            <w:tcW w:w="3144" w:type="dxa"/>
            <w:gridSpan w:val="5"/>
          </w:tcPr>
          <w:p w14:paraId="59A91A6C" w14:textId="77777777" w:rsidR="00A71EEF" w:rsidRDefault="00A71EEF">
            <w:pPr>
              <w:pStyle w:val="TableParagraph"/>
              <w:spacing w:before="11"/>
              <w:rPr>
                <w:b/>
                <w:sz w:val="14"/>
              </w:rPr>
            </w:pPr>
          </w:p>
          <w:p w14:paraId="476777A0" w14:textId="77777777" w:rsidR="00A71EEF" w:rsidRDefault="0081115D">
            <w:pPr>
              <w:pStyle w:val="TableParagraph"/>
              <w:ind w:left="834"/>
              <w:rPr>
                <w:sz w:val="21"/>
              </w:rPr>
            </w:pPr>
            <w:r>
              <w:rPr>
                <w:sz w:val="21"/>
              </w:rPr>
              <w:t>计权加速度总值</w:t>
            </w:r>
            <w:r>
              <w:rPr>
                <w:sz w:val="21"/>
              </w:rPr>
              <w:t xml:space="preserve"> </w:t>
            </w:r>
          </w:p>
        </w:tc>
        <w:tc>
          <w:tcPr>
            <w:tcW w:w="639" w:type="dxa"/>
          </w:tcPr>
          <w:p w14:paraId="67651F85" w14:textId="77777777" w:rsidR="00A71EEF" w:rsidRDefault="0081115D">
            <w:pPr>
              <w:pStyle w:val="TableParagraph"/>
              <w:spacing w:before="189"/>
              <w:ind w:left="157" w:right="47"/>
              <w:jc w:val="center"/>
              <w:rPr>
                <w:sz w:val="21"/>
              </w:rPr>
            </w:pPr>
            <w:r>
              <w:rPr>
                <w:rFonts w:ascii="Symbol" w:hAnsi="Symbol"/>
                <w:position w:val="1"/>
                <w:sz w:val="21"/>
              </w:rPr>
              <w:t></w:t>
            </w:r>
            <w:r>
              <w:rPr>
                <w:position w:val="1"/>
                <w:sz w:val="21"/>
              </w:rPr>
              <w:t>a</w:t>
            </w:r>
            <w:r>
              <w:rPr>
                <w:sz w:val="11"/>
              </w:rPr>
              <w:t>h,w</w:t>
            </w:r>
            <w:r>
              <w:rPr>
                <w:position w:val="1"/>
                <w:sz w:val="21"/>
              </w:rPr>
              <w:t xml:space="preserve"> </w:t>
            </w:r>
          </w:p>
        </w:tc>
        <w:tc>
          <w:tcPr>
            <w:tcW w:w="3139" w:type="dxa"/>
            <w:gridSpan w:val="5"/>
          </w:tcPr>
          <w:p w14:paraId="2D772ED3" w14:textId="77777777" w:rsidR="00A71EEF" w:rsidRDefault="00A71EEF">
            <w:pPr>
              <w:pStyle w:val="TableParagraph"/>
              <w:spacing w:before="11"/>
              <w:rPr>
                <w:b/>
                <w:sz w:val="14"/>
              </w:rPr>
            </w:pPr>
          </w:p>
          <w:p w14:paraId="504C11A5" w14:textId="77777777" w:rsidR="00A71EEF" w:rsidRDefault="0081115D">
            <w:pPr>
              <w:pStyle w:val="TableParagraph"/>
              <w:ind w:left="830"/>
              <w:rPr>
                <w:sz w:val="21"/>
              </w:rPr>
            </w:pPr>
            <w:r>
              <w:rPr>
                <w:sz w:val="21"/>
              </w:rPr>
              <w:t>计权加速度总值</w:t>
            </w:r>
            <w:r>
              <w:rPr>
                <w:sz w:val="21"/>
              </w:rPr>
              <w:t xml:space="preserve"> </w:t>
            </w:r>
          </w:p>
        </w:tc>
        <w:tc>
          <w:tcPr>
            <w:tcW w:w="639" w:type="dxa"/>
          </w:tcPr>
          <w:p w14:paraId="114DBB3D" w14:textId="77777777" w:rsidR="00A71EEF" w:rsidRDefault="0081115D">
            <w:pPr>
              <w:pStyle w:val="TableParagraph"/>
              <w:spacing w:before="189"/>
              <w:ind w:left="153" w:right="52"/>
              <w:jc w:val="center"/>
              <w:rPr>
                <w:sz w:val="21"/>
              </w:rPr>
            </w:pPr>
            <w:r>
              <w:rPr>
                <w:rFonts w:ascii="Symbol" w:hAnsi="Symbol"/>
                <w:position w:val="1"/>
                <w:sz w:val="21"/>
              </w:rPr>
              <w:t></w:t>
            </w:r>
            <w:r>
              <w:rPr>
                <w:position w:val="1"/>
                <w:sz w:val="21"/>
              </w:rPr>
              <w:t>a</w:t>
            </w:r>
            <w:r>
              <w:rPr>
                <w:sz w:val="11"/>
              </w:rPr>
              <w:t>h,w</w:t>
            </w:r>
            <w:r>
              <w:rPr>
                <w:position w:val="1"/>
                <w:sz w:val="21"/>
              </w:rPr>
              <w:t xml:space="preserve"> </w:t>
            </w:r>
          </w:p>
        </w:tc>
      </w:tr>
      <w:tr w:rsidR="00A71EEF" w14:paraId="53A983B9" w14:textId="77777777">
        <w:trPr>
          <w:trHeight w:val="501"/>
        </w:trPr>
        <w:tc>
          <w:tcPr>
            <w:tcW w:w="742" w:type="dxa"/>
            <w:vMerge/>
            <w:tcBorders>
              <w:top w:val="nil"/>
            </w:tcBorders>
          </w:tcPr>
          <w:p w14:paraId="3011F5FF" w14:textId="77777777" w:rsidR="00A71EEF" w:rsidRDefault="00A71EEF">
            <w:pPr>
              <w:rPr>
                <w:sz w:val="2"/>
                <w:szCs w:val="2"/>
              </w:rPr>
            </w:pPr>
          </w:p>
        </w:tc>
        <w:tc>
          <w:tcPr>
            <w:tcW w:w="634" w:type="dxa"/>
          </w:tcPr>
          <w:p w14:paraId="3C171094" w14:textId="77777777" w:rsidR="00A71EEF" w:rsidRDefault="00A71EEF">
            <w:pPr>
              <w:pStyle w:val="TableParagraph"/>
              <w:spacing w:before="10"/>
              <w:rPr>
                <w:b/>
                <w:sz w:val="14"/>
              </w:rPr>
            </w:pPr>
          </w:p>
          <w:p w14:paraId="5BE3C88B" w14:textId="77777777" w:rsidR="00A71EEF" w:rsidRDefault="0081115D">
            <w:pPr>
              <w:pStyle w:val="TableParagraph"/>
              <w:spacing w:before="1"/>
              <w:ind w:left="270" w:right="154"/>
              <w:jc w:val="center"/>
              <w:rPr>
                <w:sz w:val="21"/>
              </w:rPr>
            </w:pPr>
            <w:r>
              <w:rPr>
                <w:position w:val="1"/>
                <w:sz w:val="21"/>
              </w:rPr>
              <w:t>a</w:t>
            </w:r>
            <w:r>
              <w:rPr>
                <w:sz w:val="11"/>
              </w:rPr>
              <w:t>1</w:t>
            </w:r>
            <w:r>
              <w:rPr>
                <w:position w:val="1"/>
                <w:sz w:val="21"/>
              </w:rPr>
              <w:t xml:space="preserve"> </w:t>
            </w:r>
          </w:p>
        </w:tc>
        <w:tc>
          <w:tcPr>
            <w:tcW w:w="627" w:type="dxa"/>
          </w:tcPr>
          <w:p w14:paraId="4C9160F9" w14:textId="77777777" w:rsidR="00A71EEF" w:rsidRDefault="00A71EEF">
            <w:pPr>
              <w:pStyle w:val="TableParagraph"/>
              <w:spacing w:before="10"/>
              <w:rPr>
                <w:b/>
                <w:sz w:val="14"/>
              </w:rPr>
            </w:pPr>
          </w:p>
          <w:p w14:paraId="0042208E" w14:textId="77777777" w:rsidR="00A71EEF" w:rsidRDefault="0081115D">
            <w:pPr>
              <w:pStyle w:val="TableParagraph"/>
              <w:spacing w:before="1"/>
              <w:ind w:left="259" w:right="147"/>
              <w:jc w:val="center"/>
              <w:rPr>
                <w:sz w:val="21"/>
              </w:rPr>
            </w:pPr>
            <w:r>
              <w:rPr>
                <w:position w:val="1"/>
                <w:sz w:val="21"/>
              </w:rPr>
              <w:t>a</w:t>
            </w:r>
            <w:r>
              <w:rPr>
                <w:sz w:val="11"/>
              </w:rPr>
              <w:t>2</w:t>
            </w:r>
            <w:r>
              <w:rPr>
                <w:position w:val="1"/>
                <w:sz w:val="21"/>
              </w:rPr>
              <w:t xml:space="preserve"> </w:t>
            </w:r>
          </w:p>
        </w:tc>
        <w:tc>
          <w:tcPr>
            <w:tcW w:w="629" w:type="dxa"/>
          </w:tcPr>
          <w:p w14:paraId="03E790E0" w14:textId="77777777" w:rsidR="00A71EEF" w:rsidRDefault="00A71EEF">
            <w:pPr>
              <w:pStyle w:val="TableParagraph"/>
              <w:spacing w:before="10"/>
              <w:rPr>
                <w:b/>
                <w:sz w:val="14"/>
              </w:rPr>
            </w:pPr>
          </w:p>
          <w:p w14:paraId="65AD9812" w14:textId="77777777" w:rsidR="00A71EEF" w:rsidRDefault="0081115D">
            <w:pPr>
              <w:pStyle w:val="TableParagraph"/>
              <w:spacing w:before="1"/>
              <w:ind w:left="231"/>
              <w:rPr>
                <w:sz w:val="21"/>
              </w:rPr>
            </w:pPr>
            <w:r>
              <w:rPr>
                <w:position w:val="1"/>
                <w:sz w:val="21"/>
              </w:rPr>
              <w:t>a</w:t>
            </w:r>
            <w:r>
              <w:rPr>
                <w:sz w:val="11"/>
              </w:rPr>
              <w:t>3</w:t>
            </w:r>
            <w:r>
              <w:rPr>
                <w:position w:val="1"/>
                <w:sz w:val="21"/>
              </w:rPr>
              <w:t xml:space="preserve"> </w:t>
            </w:r>
          </w:p>
        </w:tc>
        <w:tc>
          <w:tcPr>
            <w:tcW w:w="627" w:type="dxa"/>
          </w:tcPr>
          <w:p w14:paraId="4FAFE9AD" w14:textId="77777777" w:rsidR="00A71EEF" w:rsidRDefault="00A71EEF">
            <w:pPr>
              <w:pStyle w:val="TableParagraph"/>
              <w:spacing w:before="10"/>
              <w:rPr>
                <w:b/>
                <w:sz w:val="14"/>
              </w:rPr>
            </w:pPr>
          </w:p>
          <w:p w14:paraId="2AA48491" w14:textId="77777777" w:rsidR="00A71EEF" w:rsidRDefault="0081115D">
            <w:pPr>
              <w:pStyle w:val="TableParagraph"/>
              <w:spacing w:before="1"/>
              <w:ind w:left="259" w:right="152"/>
              <w:jc w:val="center"/>
              <w:rPr>
                <w:sz w:val="21"/>
              </w:rPr>
            </w:pPr>
            <w:r>
              <w:rPr>
                <w:position w:val="1"/>
                <w:sz w:val="21"/>
              </w:rPr>
              <w:t>a</w:t>
            </w:r>
            <w:r>
              <w:rPr>
                <w:sz w:val="11"/>
              </w:rPr>
              <w:t>4</w:t>
            </w:r>
            <w:r>
              <w:rPr>
                <w:position w:val="1"/>
                <w:sz w:val="21"/>
              </w:rPr>
              <w:t xml:space="preserve"> </w:t>
            </w:r>
          </w:p>
        </w:tc>
        <w:tc>
          <w:tcPr>
            <w:tcW w:w="627" w:type="dxa"/>
          </w:tcPr>
          <w:p w14:paraId="047E65AD" w14:textId="77777777" w:rsidR="00A71EEF" w:rsidRDefault="00A71EEF">
            <w:pPr>
              <w:pStyle w:val="TableParagraph"/>
              <w:spacing w:before="10"/>
              <w:rPr>
                <w:b/>
                <w:sz w:val="14"/>
              </w:rPr>
            </w:pPr>
          </w:p>
          <w:p w14:paraId="000F5DC4" w14:textId="77777777" w:rsidR="00A71EEF" w:rsidRDefault="0081115D">
            <w:pPr>
              <w:pStyle w:val="TableParagraph"/>
              <w:spacing w:before="1"/>
              <w:ind w:left="259" w:right="148"/>
              <w:jc w:val="center"/>
              <w:rPr>
                <w:sz w:val="21"/>
              </w:rPr>
            </w:pPr>
            <w:r>
              <w:rPr>
                <w:position w:val="1"/>
                <w:sz w:val="21"/>
              </w:rPr>
              <w:t>a</w:t>
            </w:r>
            <w:r>
              <w:rPr>
                <w:sz w:val="11"/>
              </w:rPr>
              <w:t>5</w:t>
            </w:r>
            <w:r>
              <w:rPr>
                <w:position w:val="1"/>
                <w:sz w:val="21"/>
              </w:rPr>
              <w:t xml:space="preserve"> </w:t>
            </w:r>
          </w:p>
        </w:tc>
        <w:tc>
          <w:tcPr>
            <w:tcW w:w="639" w:type="dxa"/>
            <w:vMerge w:val="restart"/>
          </w:tcPr>
          <w:p w14:paraId="688CD95B" w14:textId="77777777" w:rsidR="00A71EEF" w:rsidRDefault="00A71EEF">
            <w:pPr>
              <w:pStyle w:val="TableParagraph"/>
              <w:rPr>
                <w:b/>
                <w:sz w:val="20"/>
              </w:rPr>
            </w:pPr>
          </w:p>
          <w:p w14:paraId="7E7B57E4" w14:textId="77777777" w:rsidR="00A71EEF" w:rsidRDefault="00A71EEF">
            <w:pPr>
              <w:pStyle w:val="TableParagraph"/>
              <w:spacing w:before="9"/>
              <w:rPr>
                <w:b/>
                <w:sz w:val="14"/>
              </w:rPr>
            </w:pPr>
          </w:p>
          <w:p w14:paraId="5CE7B984" w14:textId="77777777" w:rsidR="00A71EEF" w:rsidRDefault="0081115D">
            <w:pPr>
              <w:pStyle w:val="TableParagraph"/>
              <w:ind w:left="316"/>
              <w:rPr>
                <w:sz w:val="21"/>
              </w:rPr>
            </w:pPr>
            <w:r>
              <w:rPr>
                <w:sz w:val="21"/>
              </w:rPr>
              <w:t xml:space="preserve"> </w:t>
            </w:r>
          </w:p>
        </w:tc>
        <w:tc>
          <w:tcPr>
            <w:tcW w:w="627" w:type="dxa"/>
          </w:tcPr>
          <w:p w14:paraId="40C4E82D" w14:textId="77777777" w:rsidR="00A71EEF" w:rsidRDefault="00A71EEF">
            <w:pPr>
              <w:pStyle w:val="TableParagraph"/>
              <w:spacing w:before="10"/>
              <w:rPr>
                <w:b/>
                <w:sz w:val="14"/>
              </w:rPr>
            </w:pPr>
          </w:p>
          <w:p w14:paraId="5D0BDD6A" w14:textId="77777777" w:rsidR="00A71EEF" w:rsidRDefault="0081115D">
            <w:pPr>
              <w:pStyle w:val="TableParagraph"/>
              <w:spacing w:before="1"/>
              <w:ind w:left="230"/>
              <w:rPr>
                <w:sz w:val="21"/>
              </w:rPr>
            </w:pPr>
            <w:r>
              <w:rPr>
                <w:position w:val="1"/>
                <w:sz w:val="21"/>
              </w:rPr>
              <w:t>a</w:t>
            </w:r>
            <w:r>
              <w:rPr>
                <w:sz w:val="11"/>
              </w:rPr>
              <w:t>1</w:t>
            </w:r>
            <w:r>
              <w:rPr>
                <w:position w:val="1"/>
                <w:sz w:val="21"/>
              </w:rPr>
              <w:t xml:space="preserve"> </w:t>
            </w:r>
          </w:p>
        </w:tc>
        <w:tc>
          <w:tcPr>
            <w:tcW w:w="627" w:type="dxa"/>
          </w:tcPr>
          <w:p w14:paraId="2B3A07E5" w14:textId="77777777" w:rsidR="00A71EEF" w:rsidRDefault="00A71EEF">
            <w:pPr>
              <w:pStyle w:val="TableParagraph"/>
              <w:spacing w:before="10"/>
              <w:rPr>
                <w:b/>
                <w:sz w:val="14"/>
              </w:rPr>
            </w:pPr>
          </w:p>
          <w:p w14:paraId="6C4DB49B" w14:textId="77777777" w:rsidR="00A71EEF" w:rsidRDefault="0081115D">
            <w:pPr>
              <w:pStyle w:val="TableParagraph"/>
              <w:spacing w:before="1"/>
              <w:ind w:left="259" w:right="151"/>
              <w:jc w:val="center"/>
              <w:rPr>
                <w:sz w:val="21"/>
              </w:rPr>
            </w:pPr>
            <w:r>
              <w:rPr>
                <w:position w:val="1"/>
                <w:sz w:val="21"/>
              </w:rPr>
              <w:t>a</w:t>
            </w:r>
            <w:r>
              <w:rPr>
                <w:sz w:val="11"/>
              </w:rPr>
              <w:t>2</w:t>
            </w:r>
            <w:r>
              <w:rPr>
                <w:position w:val="1"/>
                <w:sz w:val="21"/>
              </w:rPr>
              <w:t xml:space="preserve"> </w:t>
            </w:r>
          </w:p>
        </w:tc>
        <w:tc>
          <w:tcPr>
            <w:tcW w:w="629" w:type="dxa"/>
          </w:tcPr>
          <w:p w14:paraId="7C168508" w14:textId="77777777" w:rsidR="00A71EEF" w:rsidRDefault="00A71EEF">
            <w:pPr>
              <w:pStyle w:val="TableParagraph"/>
              <w:spacing w:before="10"/>
              <w:rPr>
                <w:b/>
                <w:sz w:val="14"/>
              </w:rPr>
            </w:pPr>
          </w:p>
          <w:p w14:paraId="06FA8550" w14:textId="77777777" w:rsidR="00A71EEF" w:rsidRDefault="0081115D">
            <w:pPr>
              <w:pStyle w:val="TableParagraph"/>
              <w:spacing w:before="1"/>
              <w:ind w:left="261" w:right="156"/>
              <w:jc w:val="center"/>
              <w:rPr>
                <w:sz w:val="21"/>
              </w:rPr>
            </w:pPr>
            <w:r>
              <w:rPr>
                <w:position w:val="1"/>
                <w:sz w:val="21"/>
              </w:rPr>
              <w:t>a</w:t>
            </w:r>
            <w:r>
              <w:rPr>
                <w:sz w:val="11"/>
              </w:rPr>
              <w:t>3</w:t>
            </w:r>
            <w:r>
              <w:rPr>
                <w:position w:val="1"/>
                <w:sz w:val="21"/>
              </w:rPr>
              <w:t xml:space="preserve"> </w:t>
            </w:r>
          </w:p>
        </w:tc>
        <w:tc>
          <w:tcPr>
            <w:tcW w:w="627" w:type="dxa"/>
          </w:tcPr>
          <w:p w14:paraId="53D8F5D9" w14:textId="77777777" w:rsidR="00A71EEF" w:rsidRDefault="00A71EEF">
            <w:pPr>
              <w:pStyle w:val="TableParagraph"/>
              <w:spacing w:before="10"/>
              <w:rPr>
                <w:b/>
                <w:sz w:val="14"/>
              </w:rPr>
            </w:pPr>
          </w:p>
          <w:p w14:paraId="455C70FB" w14:textId="77777777" w:rsidR="00A71EEF" w:rsidRDefault="0081115D">
            <w:pPr>
              <w:pStyle w:val="TableParagraph"/>
              <w:spacing w:before="1"/>
              <w:ind w:left="254" w:right="152"/>
              <w:jc w:val="center"/>
              <w:rPr>
                <w:sz w:val="21"/>
              </w:rPr>
            </w:pPr>
            <w:r>
              <w:rPr>
                <w:position w:val="1"/>
                <w:sz w:val="21"/>
              </w:rPr>
              <w:t>a</w:t>
            </w:r>
            <w:r>
              <w:rPr>
                <w:sz w:val="11"/>
              </w:rPr>
              <w:t>4</w:t>
            </w:r>
            <w:r>
              <w:rPr>
                <w:position w:val="1"/>
                <w:sz w:val="21"/>
              </w:rPr>
              <w:t xml:space="preserve"> </w:t>
            </w:r>
          </w:p>
        </w:tc>
        <w:tc>
          <w:tcPr>
            <w:tcW w:w="629" w:type="dxa"/>
          </w:tcPr>
          <w:p w14:paraId="06671D49" w14:textId="77777777" w:rsidR="00A71EEF" w:rsidRDefault="00A71EEF">
            <w:pPr>
              <w:pStyle w:val="TableParagraph"/>
              <w:spacing w:before="10"/>
              <w:rPr>
                <w:b/>
                <w:sz w:val="14"/>
              </w:rPr>
            </w:pPr>
          </w:p>
          <w:p w14:paraId="3CDB33AA" w14:textId="77777777" w:rsidR="00A71EEF" w:rsidRDefault="0081115D">
            <w:pPr>
              <w:pStyle w:val="TableParagraph"/>
              <w:spacing w:before="1"/>
              <w:ind w:left="261" w:right="157"/>
              <w:jc w:val="center"/>
              <w:rPr>
                <w:sz w:val="21"/>
              </w:rPr>
            </w:pPr>
            <w:r>
              <w:rPr>
                <w:position w:val="1"/>
                <w:sz w:val="21"/>
              </w:rPr>
              <w:t>a</w:t>
            </w:r>
            <w:r>
              <w:rPr>
                <w:sz w:val="11"/>
              </w:rPr>
              <w:t>5</w:t>
            </w:r>
            <w:r>
              <w:rPr>
                <w:position w:val="1"/>
                <w:sz w:val="21"/>
              </w:rPr>
              <w:t xml:space="preserve"> </w:t>
            </w:r>
          </w:p>
        </w:tc>
        <w:tc>
          <w:tcPr>
            <w:tcW w:w="639" w:type="dxa"/>
            <w:vMerge w:val="restart"/>
          </w:tcPr>
          <w:p w14:paraId="4059D8CD" w14:textId="77777777" w:rsidR="00A71EEF" w:rsidRDefault="00A71EEF">
            <w:pPr>
              <w:pStyle w:val="TableParagraph"/>
              <w:rPr>
                <w:b/>
                <w:sz w:val="20"/>
              </w:rPr>
            </w:pPr>
          </w:p>
          <w:p w14:paraId="51DEF45B" w14:textId="77777777" w:rsidR="00A71EEF" w:rsidRDefault="00A71EEF">
            <w:pPr>
              <w:pStyle w:val="TableParagraph"/>
              <w:spacing w:before="9"/>
              <w:rPr>
                <w:b/>
                <w:sz w:val="14"/>
              </w:rPr>
            </w:pPr>
          </w:p>
          <w:p w14:paraId="715136A0" w14:textId="77777777" w:rsidR="00A71EEF" w:rsidRDefault="0081115D">
            <w:pPr>
              <w:pStyle w:val="TableParagraph"/>
              <w:ind w:left="101"/>
              <w:jc w:val="center"/>
              <w:rPr>
                <w:sz w:val="21"/>
              </w:rPr>
            </w:pPr>
            <w:r>
              <w:rPr>
                <w:sz w:val="21"/>
              </w:rPr>
              <w:t xml:space="preserve"> </w:t>
            </w:r>
          </w:p>
        </w:tc>
      </w:tr>
      <w:tr w:rsidR="00A71EEF" w14:paraId="09F024DC" w14:textId="77777777">
        <w:trPr>
          <w:trHeight w:val="499"/>
        </w:trPr>
        <w:tc>
          <w:tcPr>
            <w:tcW w:w="742" w:type="dxa"/>
            <w:vMerge/>
            <w:tcBorders>
              <w:top w:val="nil"/>
            </w:tcBorders>
          </w:tcPr>
          <w:p w14:paraId="292F23C1" w14:textId="77777777" w:rsidR="00A71EEF" w:rsidRDefault="00A71EEF">
            <w:pPr>
              <w:rPr>
                <w:sz w:val="2"/>
                <w:szCs w:val="2"/>
              </w:rPr>
            </w:pPr>
          </w:p>
        </w:tc>
        <w:tc>
          <w:tcPr>
            <w:tcW w:w="634" w:type="dxa"/>
          </w:tcPr>
          <w:p w14:paraId="107B6AE6" w14:textId="77777777" w:rsidR="00A71EEF" w:rsidRDefault="00A71EEF">
            <w:pPr>
              <w:pStyle w:val="TableParagraph"/>
              <w:spacing w:before="11"/>
              <w:rPr>
                <w:b/>
                <w:sz w:val="14"/>
              </w:rPr>
            </w:pPr>
          </w:p>
          <w:p w14:paraId="69C0AD7A" w14:textId="77777777" w:rsidR="00A71EEF" w:rsidRDefault="0081115D">
            <w:pPr>
              <w:pStyle w:val="TableParagraph"/>
              <w:ind w:left="113"/>
              <w:jc w:val="center"/>
              <w:rPr>
                <w:sz w:val="21"/>
              </w:rPr>
            </w:pPr>
            <w:r>
              <w:rPr>
                <w:sz w:val="21"/>
              </w:rPr>
              <w:t xml:space="preserve"> </w:t>
            </w:r>
          </w:p>
        </w:tc>
        <w:tc>
          <w:tcPr>
            <w:tcW w:w="627" w:type="dxa"/>
          </w:tcPr>
          <w:p w14:paraId="1FCC1CCE" w14:textId="77777777" w:rsidR="00A71EEF" w:rsidRDefault="00A71EEF">
            <w:pPr>
              <w:pStyle w:val="TableParagraph"/>
              <w:spacing w:before="11"/>
              <w:rPr>
                <w:b/>
                <w:sz w:val="14"/>
              </w:rPr>
            </w:pPr>
          </w:p>
          <w:p w14:paraId="7479CB7F" w14:textId="77777777" w:rsidR="00A71EEF" w:rsidRDefault="0081115D">
            <w:pPr>
              <w:pStyle w:val="TableParagraph"/>
              <w:ind w:left="110"/>
              <w:jc w:val="center"/>
              <w:rPr>
                <w:sz w:val="21"/>
              </w:rPr>
            </w:pPr>
            <w:r>
              <w:rPr>
                <w:sz w:val="21"/>
              </w:rPr>
              <w:t xml:space="preserve"> </w:t>
            </w:r>
          </w:p>
        </w:tc>
        <w:tc>
          <w:tcPr>
            <w:tcW w:w="629" w:type="dxa"/>
          </w:tcPr>
          <w:p w14:paraId="7F80BDF8" w14:textId="77777777" w:rsidR="00A71EEF" w:rsidRDefault="00A71EEF">
            <w:pPr>
              <w:pStyle w:val="TableParagraph"/>
              <w:spacing w:before="11"/>
              <w:rPr>
                <w:b/>
                <w:sz w:val="14"/>
              </w:rPr>
            </w:pPr>
          </w:p>
          <w:p w14:paraId="0904D699" w14:textId="77777777" w:rsidR="00A71EEF" w:rsidRDefault="0081115D">
            <w:pPr>
              <w:pStyle w:val="TableParagraph"/>
              <w:ind w:left="310"/>
              <w:rPr>
                <w:sz w:val="21"/>
              </w:rPr>
            </w:pPr>
            <w:r>
              <w:rPr>
                <w:sz w:val="21"/>
              </w:rPr>
              <w:t xml:space="preserve"> </w:t>
            </w:r>
          </w:p>
        </w:tc>
        <w:tc>
          <w:tcPr>
            <w:tcW w:w="627" w:type="dxa"/>
          </w:tcPr>
          <w:p w14:paraId="19A956AB" w14:textId="77777777" w:rsidR="00A71EEF" w:rsidRDefault="00A71EEF">
            <w:pPr>
              <w:pStyle w:val="TableParagraph"/>
              <w:spacing w:before="11"/>
              <w:rPr>
                <w:b/>
                <w:sz w:val="14"/>
              </w:rPr>
            </w:pPr>
          </w:p>
          <w:p w14:paraId="106EA29C" w14:textId="77777777" w:rsidR="00A71EEF" w:rsidRDefault="0081115D">
            <w:pPr>
              <w:pStyle w:val="TableParagraph"/>
              <w:ind w:left="105"/>
              <w:jc w:val="center"/>
              <w:rPr>
                <w:sz w:val="21"/>
              </w:rPr>
            </w:pPr>
            <w:r>
              <w:rPr>
                <w:sz w:val="21"/>
              </w:rPr>
              <w:t xml:space="preserve"> </w:t>
            </w:r>
          </w:p>
        </w:tc>
        <w:tc>
          <w:tcPr>
            <w:tcW w:w="627" w:type="dxa"/>
          </w:tcPr>
          <w:p w14:paraId="7F60EEE5" w14:textId="77777777" w:rsidR="00A71EEF" w:rsidRDefault="00A71EEF">
            <w:pPr>
              <w:pStyle w:val="TableParagraph"/>
              <w:spacing w:before="11"/>
              <w:rPr>
                <w:b/>
                <w:sz w:val="14"/>
              </w:rPr>
            </w:pPr>
          </w:p>
          <w:p w14:paraId="44B9B82F" w14:textId="77777777" w:rsidR="00A71EEF" w:rsidRDefault="0081115D">
            <w:pPr>
              <w:pStyle w:val="TableParagraph"/>
              <w:ind w:left="108"/>
              <w:jc w:val="center"/>
              <w:rPr>
                <w:sz w:val="21"/>
              </w:rPr>
            </w:pPr>
            <w:r>
              <w:rPr>
                <w:sz w:val="21"/>
              </w:rPr>
              <w:t xml:space="preserve"> </w:t>
            </w:r>
          </w:p>
        </w:tc>
        <w:tc>
          <w:tcPr>
            <w:tcW w:w="639" w:type="dxa"/>
            <w:vMerge/>
            <w:tcBorders>
              <w:top w:val="nil"/>
            </w:tcBorders>
          </w:tcPr>
          <w:p w14:paraId="23DBB99E" w14:textId="77777777" w:rsidR="00A71EEF" w:rsidRDefault="00A71EEF">
            <w:pPr>
              <w:rPr>
                <w:sz w:val="2"/>
                <w:szCs w:val="2"/>
              </w:rPr>
            </w:pPr>
          </w:p>
        </w:tc>
        <w:tc>
          <w:tcPr>
            <w:tcW w:w="627" w:type="dxa"/>
          </w:tcPr>
          <w:p w14:paraId="3F6CB45F" w14:textId="77777777" w:rsidR="00A71EEF" w:rsidRDefault="00A71EEF">
            <w:pPr>
              <w:pStyle w:val="TableParagraph"/>
              <w:spacing w:before="11"/>
              <w:rPr>
                <w:b/>
                <w:sz w:val="14"/>
              </w:rPr>
            </w:pPr>
          </w:p>
          <w:p w14:paraId="48506F69" w14:textId="77777777" w:rsidR="00A71EEF" w:rsidRDefault="0081115D">
            <w:pPr>
              <w:pStyle w:val="TableParagraph"/>
              <w:ind w:left="309"/>
              <w:rPr>
                <w:sz w:val="21"/>
              </w:rPr>
            </w:pPr>
            <w:r>
              <w:rPr>
                <w:sz w:val="21"/>
              </w:rPr>
              <w:t xml:space="preserve"> </w:t>
            </w:r>
          </w:p>
        </w:tc>
        <w:tc>
          <w:tcPr>
            <w:tcW w:w="627" w:type="dxa"/>
          </w:tcPr>
          <w:p w14:paraId="50CEF33F" w14:textId="77777777" w:rsidR="00A71EEF" w:rsidRDefault="00A71EEF">
            <w:pPr>
              <w:pStyle w:val="TableParagraph"/>
              <w:spacing w:before="11"/>
              <w:rPr>
                <w:b/>
                <w:sz w:val="14"/>
              </w:rPr>
            </w:pPr>
          </w:p>
          <w:p w14:paraId="2E56AB81" w14:textId="77777777" w:rsidR="00A71EEF" w:rsidRDefault="0081115D">
            <w:pPr>
              <w:pStyle w:val="TableParagraph"/>
              <w:ind w:left="106"/>
              <w:jc w:val="center"/>
              <w:rPr>
                <w:sz w:val="21"/>
              </w:rPr>
            </w:pPr>
            <w:r>
              <w:rPr>
                <w:sz w:val="21"/>
              </w:rPr>
              <w:t xml:space="preserve"> </w:t>
            </w:r>
          </w:p>
        </w:tc>
        <w:tc>
          <w:tcPr>
            <w:tcW w:w="629" w:type="dxa"/>
          </w:tcPr>
          <w:p w14:paraId="4DFE31C1" w14:textId="77777777" w:rsidR="00A71EEF" w:rsidRDefault="00A71EEF">
            <w:pPr>
              <w:pStyle w:val="TableParagraph"/>
              <w:spacing w:before="11"/>
              <w:rPr>
                <w:b/>
                <w:sz w:val="14"/>
              </w:rPr>
            </w:pPr>
          </w:p>
          <w:p w14:paraId="2BC7944D" w14:textId="77777777" w:rsidR="00A71EEF" w:rsidRDefault="0081115D">
            <w:pPr>
              <w:pStyle w:val="TableParagraph"/>
              <w:ind w:left="102"/>
              <w:jc w:val="center"/>
              <w:rPr>
                <w:sz w:val="21"/>
              </w:rPr>
            </w:pPr>
            <w:r>
              <w:rPr>
                <w:sz w:val="21"/>
              </w:rPr>
              <w:t xml:space="preserve"> </w:t>
            </w:r>
          </w:p>
        </w:tc>
        <w:tc>
          <w:tcPr>
            <w:tcW w:w="627" w:type="dxa"/>
          </w:tcPr>
          <w:p w14:paraId="229129FD" w14:textId="77777777" w:rsidR="00A71EEF" w:rsidRDefault="00A71EEF">
            <w:pPr>
              <w:pStyle w:val="TableParagraph"/>
              <w:spacing w:before="11"/>
              <w:rPr>
                <w:b/>
                <w:sz w:val="14"/>
              </w:rPr>
            </w:pPr>
          </w:p>
          <w:p w14:paraId="3604847C" w14:textId="77777777" w:rsidR="00A71EEF" w:rsidRDefault="0081115D">
            <w:pPr>
              <w:pStyle w:val="TableParagraph"/>
              <w:ind w:left="99"/>
              <w:jc w:val="center"/>
              <w:rPr>
                <w:sz w:val="21"/>
              </w:rPr>
            </w:pPr>
            <w:r>
              <w:rPr>
                <w:sz w:val="21"/>
              </w:rPr>
              <w:t xml:space="preserve"> </w:t>
            </w:r>
          </w:p>
        </w:tc>
        <w:tc>
          <w:tcPr>
            <w:tcW w:w="629" w:type="dxa"/>
          </w:tcPr>
          <w:p w14:paraId="665B5E03" w14:textId="77777777" w:rsidR="00A71EEF" w:rsidRDefault="00A71EEF">
            <w:pPr>
              <w:pStyle w:val="TableParagraph"/>
              <w:spacing w:before="11"/>
              <w:rPr>
                <w:b/>
                <w:sz w:val="14"/>
              </w:rPr>
            </w:pPr>
          </w:p>
          <w:p w14:paraId="5A32988B" w14:textId="77777777" w:rsidR="00A71EEF" w:rsidRDefault="0081115D">
            <w:pPr>
              <w:pStyle w:val="TableParagraph"/>
              <w:ind w:left="107"/>
              <w:jc w:val="center"/>
              <w:rPr>
                <w:sz w:val="21"/>
              </w:rPr>
            </w:pPr>
            <w:r>
              <w:rPr>
                <w:sz w:val="21"/>
              </w:rPr>
              <w:t xml:space="preserve"> </w:t>
            </w:r>
          </w:p>
        </w:tc>
        <w:tc>
          <w:tcPr>
            <w:tcW w:w="639" w:type="dxa"/>
            <w:vMerge/>
            <w:tcBorders>
              <w:top w:val="nil"/>
            </w:tcBorders>
          </w:tcPr>
          <w:p w14:paraId="6212E536" w14:textId="77777777" w:rsidR="00A71EEF" w:rsidRDefault="00A71EEF">
            <w:pPr>
              <w:rPr>
                <w:sz w:val="2"/>
                <w:szCs w:val="2"/>
              </w:rPr>
            </w:pPr>
          </w:p>
        </w:tc>
      </w:tr>
    </w:tbl>
    <w:p w14:paraId="5CC2B009" w14:textId="77777777" w:rsidR="00A71EEF" w:rsidRDefault="0081115D">
      <w:pPr>
        <w:spacing w:before="160"/>
        <w:ind w:left="418"/>
        <w:rPr>
          <w:b/>
          <w:sz w:val="32"/>
        </w:rPr>
      </w:pPr>
      <w:r>
        <w:rPr>
          <w:b/>
          <w:sz w:val="24"/>
        </w:rPr>
        <w:t xml:space="preserve">6 </w:t>
      </w:r>
      <w:r>
        <w:rPr>
          <w:b/>
          <w:sz w:val="24"/>
        </w:rPr>
        <w:t>测定报告</w:t>
      </w:r>
      <w:r>
        <w:rPr>
          <w:b/>
          <w:w w:val="98"/>
          <w:sz w:val="32"/>
        </w:rPr>
        <w:t xml:space="preserve"> </w:t>
      </w:r>
    </w:p>
    <w:p w14:paraId="33E8383D" w14:textId="77777777" w:rsidR="00A71EEF" w:rsidRDefault="0081115D">
      <w:pPr>
        <w:pStyle w:val="a3"/>
        <w:spacing w:before="225"/>
        <w:ind w:left="838"/>
      </w:pPr>
      <w:r>
        <w:t>测定报告包括下列内容：</w:t>
      </w:r>
      <w:r>
        <w:t xml:space="preserve"> </w:t>
      </w:r>
    </w:p>
    <w:p w14:paraId="6EC2565F" w14:textId="77777777" w:rsidR="00A71EEF" w:rsidRDefault="00A71EEF">
      <w:pPr>
        <w:sectPr w:rsidR="00A71EEF">
          <w:footerReference w:type="default" r:id="rId618"/>
          <w:pgSz w:w="11910" w:h="16850"/>
          <w:pgMar w:top="1220" w:right="0" w:bottom="1420" w:left="1260" w:header="0" w:footer="1239" w:gutter="0"/>
          <w:pgNumType w:start="1690"/>
          <w:cols w:space="720"/>
        </w:sectPr>
      </w:pPr>
    </w:p>
    <w:p w14:paraId="30786F07" w14:textId="77777777" w:rsidR="00A71EEF" w:rsidRDefault="0081115D">
      <w:pPr>
        <w:pStyle w:val="a3"/>
        <w:spacing w:before="47" w:line="446" w:lineRule="auto"/>
        <w:ind w:left="838" w:right="8126"/>
      </w:pPr>
      <w:r>
        <w:t>a</w:t>
      </w:r>
      <w:r>
        <w:t>）</w:t>
      </w:r>
      <w:r>
        <w:t xml:space="preserve"> </w:t>
      </w:r>
      <w:r>
        <w:t>测量日期；</w:t>
      </w:r>
      <w:r>
        <w:t xml:space="preserve"> b</w:t>
      </w:r>
      <w:r>
        <w:t>）</w:t>
      </w:r>
      <w:r>
        <w:t xml:space="preserve"> </w:t>
      </w:r>
      <w:r>
        <w:t>测量地点；</w:t>
      </w:r>
      <w:r>
        <w:t xml:space="preserve"> </w:t>
      </w:r>
    </w:p>
    <w:p w14:paraId="17482468" w14:textId="77777777" w:rsidR="00A71EEF" w:rsidRDefault="0081115D">
      <w:pPr>
        <w:pStyle w:val="a4"/>
        <w:numPr>
          <w:ilvl w:val="0"/>
          <w:numId w:val="8"/>
        </w:numPr>
        <w:tabs>
          <w:tab w:val="left" w:pos="1198"/>
        </w:tabs>
        <w:spacing w:line="267" w:lineRule="exact"/>
        <w:rPr>
          <w:sz w:val="21"/>
        </w:rPr>
      </w:pPr>
      <w:r>
        <w:rPr>
          <w:spacing w:val="-3"/>
          <w:sz w:val="21"/>
        </w:rPr>
        <w:t>测量人员及灭火机操作人员；</w:t>
      </w:r>
      <w:r>
        <w:rPr>
          <w:sz w:val="21"/>
        </w:rPr>
        <w:t xml:space="preserve"> </w:t>
      </w:r>
    </w:p>
    <w:p w14:paraId="45A95A7C" w14:textId="77777777" w:rsidR="00A71EEF" w:rsidRDefault="00A71EEF">
      <w:pPr>
        <w:pStyle w:val="a3"/>
        <w:spacing w:before="2"/>
        <w:rPr>
          <w:sz w:val="18"/>
        </w:rPr>
      </w:pPr>
    </w:p>
    <w:p w14:paraId="0D012370" w14:textId="77777777" w:rsidR="00A71EEF" w:rsidRDefault="0081115D">
      <w:pPr>
        <w:pStyle w:val="a4"/>
        <w:numPr>
          <w:ilvl w:val="0"/>
          <w:numId w:val="8"/>
        </w:numPr>
        <w:tabs>
          <w:tab w:val="left" w:pos="1198"/>
        </w:tabs>
        <w:spacing w:line="446" w:lineRule="auto"/>
        <w:ind w:left="838" w:right="3037" w:firstLine="0"/>
        <w:rPr>
          <w:sz w:val="21"/>
        </w:rPr>
      </w:pPr>
      <w:r>
        <w:rPr>
          <w:spacing w:val="-2"/>
          <w:sz w:val="21"/>
        </w:rPr>
        <w:t>风力灭火机</w:t>
      </w:r>
      <w:r>
        <w:rPr>
          <w:sz w:val="21"/>
        </w:rPr>
        <w:t>（</w:t>
      </w:r>
      <w:r>
        <w:rPr>
          <w:spacing w:val="-3"/>
          <w:sz w:val="21"/>
        </w:rPr>
        <w:t>制造厂、型号、编号）把手上橡胶弹性减震垫的说明；</w:t>
      </w:r>
      <w:r>
        <w:rPr>
          <w:spacing w:val="-3"/>
          <w:sz w:val="21"/>
        </w:rPr>
        <w:t xml:space="preserve"> </w:t>
      </w:r>
      <w:r>
        <w:rPr>
          <w:sz w:val="21"/>
        </w:rPr>
        <w:t>e</w:t>
      </w:r>
      <w:r>
        <w:rPr>
          <w:sz w:val="21"/>
        </w:rPr>
        <w:t>）</w:t>
      </w:r>
      <w:r>
        <w:rPr>
          <w:spacing w:val="-10"/>
          <w:sz w:val="21"/>
        </w:rPr>
        <w:t xml:space="preserve"> </w:t>
      </w:r>
      <w:r>
        <w:rPr>
          <w:spacing w:val="-10"/>
          <w:sz w:val="21"/>
        </w:rPr>
        <w:t>测量仪器；仪器精度及测量方框图，振动分析用频带；</w:t>
      </w:r>
      <w:r>
        <w:rPr>
          <w:sz w:val="21"/>
        </w:rPr>
        <w:t xml:space="preserve"> </w:t>
      </w:r>
    </w:p>
    <w:p w14:paraId="7FB931BC" w14:textId="77777777" w:rsidR="00A71EEF" w:rsidRDefault="0081115D">
      <w:pPr>
        <w:pStyle w:val="a3"/>
        <w:spacing w:line="446" w:lineRule="auto"/>
        <w:ind w:left="838" w:right="6549"/>
      </w:pPr>
      <w:r>
        <w:t>f</w:t>
      </w:r>
      <w:r>
        <w:t>）</w:t>
      </w:r>
      <w:r>
        <w:t xml:space="preserve"> </w:t>
      </w:r>
      <w:r>
        <w:t>加速度计支座安装固定说明；</w:t>
      </w:r>
      <w:r>
        <w:t xml:space="preserve"> g</w:t>
      </w:r>
      <w:r>
        <w:t>）</w:t>
      </w:r>
      <w:r>
        <w:t xml:space="preserve"> </w:t>
      </w:r>
      <w:r>
        <w:t>各类数据记录表；</w:t>
      </w:r>
      <w:r>
        <w:t xml:space="preserve"> </w:t>
      </w:r>
    </w:p>
    <w:p w14:paraId="7EB60662" w14:textId="77777777" w:rsidR="00A71EEF" w:rsidRDefault="0081115D">
      <w:pPr>
        <w:pStyle w:val="a3"/>
        <w:ind w:left="838"/>
      </w:pPr>
      <w:r>
        <w:t>h</w:t>
      </w:r>
      <w:r>
        <w:t>）</w:t>
      </w:r>
      <w:r>
        <w:t xml:space="preserve"> </w:t>
      </w:r>
      <w:r>
        <w:t>测定结果。</w:t>
      </w:r>
      <w:r>
        <w:t xml:space="preserve"> </w:t>
      </w:r>
    </w:p>
    <w:p w14:paraId="281FDF01" w14:textId="77777777" w:rsidR="00A71EEF" w:rsidRDefault="00A71EEF">
      <w:pPr>
        <w:pStyle w:val="a3"/>
        <w:rPr>
          <w:sz w:val="20"/>
        </w:rPr>
      </w:pPr>
    </w:p>
    <w:p w14:paraId="69BAF783" w14:textId="77777777" w:rsidR="00A71EEF" w:rsidRDefault="00A71EEF">
      <w:pPr>
        <w:pStyle w:val="a3"/>
        <w:rPr>
          <w:sz w:val="20"/>
        </w:rPr>
      </w:pPr>
    </w:p>
    <w:p w14:paraId="44B647BD" w14:textId="77777777" w:rsidR="00A71EEF" w:rsidRDefault="00A71EEF">
      <w:pPr>
        <w:pStyle w:val="a3"/>
        <w:rPr>
          <w:sz w:val="20"/>
        </w:rPr>
      </w:pPr>
    </w:p>
    <w:p w14:paraId="1FEAEDC3" w14:textId="77777777" w:rsidR="00A71EEF" w:rsidRDefault="00A71EEF">
      <w:pPr>
        <w:pStyle w:val="a3"/>
        <w:rPr>
          <w:sz w:val="20"/>
        </w:rPr>
      </w:pPr>
    </w:p>
    <w:p w14:paraId="12B00BFD" w14:textId="77777777" w:rsidR="00A71EEF" w:rsidRDefault="00A71EEF">
      <w:pPr>
        <w:pStyle w:val="a3"/>
        <w:rPr>
          <w:sz w:val="20"/>
        </w:rPr>
      </w:pPr>
    </w:p>
    <w:p w14:paraId="06C89A97" w14:textId="77777777" w:rsidR="00A71EEF" w:rsidRDefault="00A71EEF">
      <w:pPr>
        <w:pStyle w:val="a3"/>
        <w:rPr>
          <w:sz w:val="20"/>
        </w:rPr>
      </w:pPr>
    </w:p>
    <w:p w14:paraId="58DF56BD" w14:textId="77777777" w:rsidR="00A71EEF" w:rsidRDefault="00A71EEF">
      <w:pPr>
        <w:pStyle w:val="a3"/>
        <w:rPr>
          <w:sz w:val="20"/>
        </w:rPr>
      </w:pPr>
    </w:p>
    <w:p w14:paraId="0B0F803B" w14:textId="77777777" w:rsidR="00A71EEF" w:rsidRDefault="00A71EEF">
      <w:pPr>
        <w:pStyle w:val="a3"/>
        <w:rPr>
          <w:sz w:val="20"/>
        </w:rPr>
      </w:pPr>
    </w:p>
    <w:p w14:paraId="6CB71CAA" w14:textId="77777777" w:rsidR="00A71EEF" w:rsidRDefault="00A71EEF">
      <w:pPr>
        <w:pStyle w:val="a3"/>
        <w:rPr>
          <w:sz w:val="20"/>
        </w:rPr>
      </w:pPr>
    </w:p>
    <w:p w14:paraId="47D39FAA" w14:textId="77777777" w:rsidR="00A71EEF" w:rsidRDefault="00A71EEF">
      <w:pPr>
        <w:pStyle w:val="a3"/>
        <w:spacing w:before="6"/>
        <w:rPr>
          <w:sz w:val="27"/>
        </w:rPr>
      </w:pPr>
    </w:p>
    <w:p w14:paraId="1CA12AFB" w14:textId="77777777" w:rsidR="00A71EEF" w:rsidRDefault="0081115D">
      <w:pPr>
        <w:pStyle w:val="6"/>
        <w:spacing w:before="71"/>
        <w:ind w:left="3205"/>
      </w:pPr>
      <w:r>
        <w:t>表</w:t>
      </w:r>
      <w:r>
        <w:t xml:space="preserve"> 1 </w:t>
      </w:r>
      <w:r>
        <w:t>风力灭火机手传振动测量数据</w:t>
      </w:r>
      <w:r>
        <w:rPr>
          <w:w w:val="99"/>
        </w:rPr>
        <w:t xml:space="preserve"> </w:t>
      </w:r>
    </w:p>
    <w:p w14:paraId="6DFA9A13" w14:textId="77777777" w:rsidR="00A71EEF" w:rsidRDefault="00A71EEF">
      <w:pPr>
        <w:sectPr w:rsidR="00A71EEF">
          <w:pgSz w:w="11910" w:h="16850"/>
          <w:pgMar w:top="1220" w:right="0" w:bottom="1420" w:left="1260" w:header="0" w:footer="1239" w:gutter="0"/>
          <w:cols w:space="720"/>
        </w:sectPr>
      </w:pPr>
    </w:p>
    <w:p w14:paraId="41F5C243" w14:textId="77777777" w:rsidR="00A71EEF" w:rsidRDefault="00A71EEF">
      <w:pPr>
        <w:pStyle w:val="a3"/>
        <w:rPr>
          <w:b/>
          <w:sz w:val="20"/>
        </w:rPr>
      </w:pPr>
    </w:p>
    <w:p w14:paraId="0C2A6BD2" w14:textId="77777777" w:rsidR="00A71EEF" w:rsidRDefault="00A71EEF">
      <w:pPr>
        <w:pStyle w:val="a3"/>
        <w:rPr>
          <w:b/>
          <w:sz w:val="20"/>
        </w:rPr>
      </w:pPr>
    </w:p>
    <w:p w14:paraId="527704D8" w14:textId="77777777" w:rsidR="00A71EEF" w:rsidRDefault="00A71EEF">
      <w:pPr>
        <w:pStyle w:val="a3"/>
        <w:rPr>
          <w:b/>
          <w:sz w:val="20"/>
        </w:rPr>
      </w:pPr>
    </w:p>
    <w:p w14:paraId="3B01BD18" w14:textId="77777777" w:rsidR="00A71EEF" w:rsidRDefault="00A71EEF">
      <w:pPr>
        <w:pStyle w:val="a3"/>
        <w:rPr>
          <w:b/>
          <w:sz w:val="20"/>
        </w:rPr>
      </w:pPr>
    </w:p>
    <w:p w14:paraId="4CC00767" w14:textId="77777777" w:rsidR="00A71EEF" w:rsidRDefault="00A71EEF">
      <w:pPr>
        <w:pStyle w:val="a3"/>
        <w:rPr>
          <w:b/>
          <w:sz w:val="20"/>
        </w:rPr>
      </w:pPr>
    </w:p>
    <w:p w14:paraId="7DE8D168" w14:textId="77777777" w:rsidR="00A71EEF" w:rsidRDefault="00A71EEF">
      <w:pPr>
        <w:pStyle w:val="a3"/>
        <w:rPr>
          <w:b/>
          <w:sz w:val="20"/>
        </w:rPr>
      </w:pPr>
    </w:p>
    <w:p w14:paraId="67B67E90" w14:textId="77777777" w:rsidR="00A71EEF" w:rsidRDefault="00A71EEF">
      <w:pPr>
        <w:pStyle w:val="a3"/>
        <w:rPr>
          <w:b/>
          <w:sz w:val="20"/>
        </w:rPr>
      </w:pPr>
    </w:p>
    <w:p w14:paraId="5F2236D9" w14:textId="77777777" w:rsidR="00A71EEF" w:rsidRDefault="00A71EEF">
      <w:pPr>
        <w:pStyle w:val="a3"/>
        <w:rPr>
          <w:b/>
          <w:sz w:val="20"/>
        </w:rPr>
      </w:pPr>
    </w:p>
    <w:p w14:paraId="3E9F092F" w14:textId="77777777" w:rsidR="00A71EEF" w:rsidRDefault="00A71EEF">
      <w:pPr>
        <w:pStyle w:val="a3"/>
        <w:rPr>
          <w:b/>
          <w:sz w:val="20"/>
        </w:rPr>
      </w:pPr>
    </w:p>
    <w:p w14:paraId="76302E8E" w14:textId="77777777" w:rsidR="00A71EEF" w:rsidRDefault="00A71EEF">
      <w:pPr>
        <w:pStyle w:val="a3"/>
        <w:rPr>
          <w:b/>
          <w:sz w:val="20"/>
        </w:rPr>
      </w:pPr>
    </w:p>
    <w:p w14:paraId="3176FFAA" w14:textId="77777777" w:rsidR="00A71EEF" w:rsidRDefault="00A71EEF">
      <w:pPr>
        <w:pStyle w:val="a3"/>
        <w:rPr>
          <w:b/>
          <w:sz w:val="20"/>
        </w:rPr>
      </w:pPr>
    </w:p>
    <w:p w14:paraId="3D3ADCD2" w14:textId="77777777" w:rsidR="00A71EEF" w:rsidRDefault="00A71EEF">
      <w:pPr>
        <w:pStyle w:val="a3"/>
        <w:rPr>
          <w:b/>
          <w:sz w:val="20"/>
        </w:rPr>
      </w:pPr>
    </w:p>
    <w:p w14:paraId="163649BF" w14:textId="77777777" w:rsidR="00A71EEF" w:rsidRDefault="00A71EEF">
      <w:pPr>
        <w:pStyle w:val="a3"/>
        <w:rPr>
          <w:b/>
          <w:sz w:val="20"/>
        </w:rPr>
      </w:pPr>
    </w:p>
    <w:p w14:paraId="3BB7D59D" w14:textId="77777777" w:rsidR="00A71EEF" w:rsidRDefault="00A71EEF">
      <w:pPr>
        <w:pStyle w:val="a3"/>
        <w:rPr>
          <w:b/>
          <w:sz w:val="20"/>
        </w:rPr>
      </w:pPr>
    </w:p>
    <w:p w14:paraId="168ACED7" w14:textId="77777777" w:rsidR="00A71EEF" w:rsidRDefault="00A71EEF">
      <w:pPr>
        <w:pStyle w:val="a3"/>
        <w:rPr>
          <w:b/>
          <w:sz w:val="20"/>
        </w:rPr>
      </w:pPr>
    </w:p>
    <w:p w14:paraId="662DC9AC" w14:textId="77777777" w:rsidR="00A71EEF" w:rsidRDefault="00A71EEF">
      <w:pPr>
        <w:pStyle w:val="a3"/>
        <w:rPr>
          <w:b/>
          <w:sz w:val="20"/>
        </w:rPr>
      </w:pPr>
    </w:p>
    <w:p w14:paraId="059EB4D6" w14:textId="77777777" w:rsidR="00A71EEF" w:rsidRDefault="00A71EEF">
      <w:pPr>
        <w:pStyle w:val="a3"/>
        <w:rPr>
          <w:b/>
          <w:sz w:val="20"/>
        </w:rPr>
      </w:pPr>
    </w:p>
    <w:p w14:paraId="348C380E" w14:textId="77777777" w:rsidR="00A71EEF" w:rsidRDefault="00A71EEF">
      <w:pPr>
        <w:pStyle w:val="a3"/>
        <w:rPr>
          <w:b/>
          <w:sz w:val="20"/>
        </w:rPr>
      </w:pPr>
    </w:p>
    <w:p w14:paraId="024F416A" w14:textId="77777777" w:rsidR="00A71EEF" w:rsidRDefault="00A71EEF">
      <w:pPr>
        <w:pStyle w:val="a3"/>
        <w:rPr>
          <w:b/>
          <w:sz w:val="20"/>
        </w:rPr>
      </w:pPr>
    </w:p>
    <w:p w14:paraId="358D2832" w14:textId="77777777" w:rsidR="00A71EEF" w:rsidRDefault="00A71EEF">
      <w:pPr>
        <w:pStyle w:val="a3"/>
        <w:rPr>
          <w:b/>
          <w:sz w:val="20"/>
        </w:rPr>
      </w:pPr>
    </w:p>
    <w:p w14:paraId="034BD1D9" w14:textId="77777777" w:rsidR="00A71EEF" w:rsidRDefault="00A71EEF">
      <w:pPr>
        <w:pStyle w:val="a3"/>
        <w:rPr>
          <w:b/>
          <w:sz w:val="20"/>
        </w:rPr>
      </w:pPr>
    </w:p>
    <w:p w14:paraId="0EBE277C" w14:textId="77777777" w:rsidR="00A71EEF" w:rsidRDefault="00A71EEF">
      <w:pPr>
        <w:pStyle w:val="a3"/>
        <w:rPr>
          <w:b/>
          <w:sz w:val="20"/>
        </w:rPr>
      </w:pPr>
    </w:p>
    <w:p w14:paraId="2FFD75A0" w14:textId="77777777" w:rsidR="00A71EEF" w:rsidRDefault="00A71EEF">
      <w:pPr>
        <w:pStyle w:val="a3"/>
        <w:rPr>
          <w:b/>
          <w:sz w:val="20"/>
        </w:rPr>
      </w:pPr>
    </w:p>
    <w:p w14:paraId="299640BC" w14:textId="77777777" w:rsidR="00A71EEF" w:rsidRDefault="00A71EEF">
      <w:pPr>
        <w:pStyle w:val="a3"/>
        <w:rPr>
          <w:b/>
          <w:sz w:val="20"/>
        </w:rPr>
      </w:pPr>
    </w:p>
    <w:p w14:paraId="043E3C53" w14:textId="77777777" w:rsidR="00A71EEF" w:rsidRDefault="00A71EEF">
      <w:pPr>
        <w:pStyle w:val="a3"/>
        <w:rPr>
          <w:b/>
          <w:sz w:val="20"/>
        </w:rPr>
      </w:pPr>
    </w:p>
    <w:p w14:paraId="629CEF54" w14:textId="77777777" w:rsidR="00A71EEF" w:rsidRDefault="00A71EEF">
      <w:pPr>
        <w:pStyle w:val="a3"/>
        <w:rPr>
          <w:b/>
          <w:sz w:val="20"/>
        </w:rPr>
      </w:pPr>
    </w:p>
    <w:p w14:paraId="399645AE" w14:textId="77777777" w:rsidR="00A71EEF" w:rsidRDefault="00A71EEF">
      <w:pPr>
        <w:pStyle w:val="a3"/>
        <w:rPr>
          <w:b/>
          <w:sz w:val="20"/>
        </w:rPr>
      </w:pPr>
    </w:p>
    <w:p w14:paraId="54FBE7B8" w14:textId="77777777" w:rsidR="00A71EEF" w:rsidRDefault="00A71EEF">
      <w:pPr>
        <w:pStyle w:val="a3"/>
        <w:rPr>
          <w:b/>
          <w:sz w:val="20"/>
        </w:rPr>
      </w:pPr>
    </w:p>
    <w:p w14:paraId="5EF570EF" w14:textId="77777777" w:rsidR="00A71EEF" w:rsidRDefault="00A71EEF">
      <w:pPr>
        <w:pStyle w:val="a3"/>
        <w:rPr>
          <w:b/>
          <w:sz w:val="20"/>
        </w:rPr>
      </w:pPr>
    </w:p>
    <w:p w14:paraId="08FA5AAB" w14:textId="77777777" w:rsidR="00A71EEF" w:rsidRDefault="00A71EEF">
      <w:pPr>
        <w:pStyle w:val="a3"/>
        <w:rPr>
          <w:b/>
          <w:sz w:val="20"/>
        </w:rPr>
      </w:pPr>
    </w:p>
    <w:p w14:paraId="0774FD6F" w14:textId="77777777" w:rsidR="00A71EEF" w:rsidRDefault="00A71EEF">
      <w:pPr>
        <w:pStyle w:val="a3"/>
        <w:rPr>
          <w:b/>
          <w:sz w:val="20"/>
        </w:rPr>
      </w:pPr>
    </w:p>
    <w:p w14:paraId="2E2B3E5A" w14:textId="77777777" w:rsidR="00A71EEF" w:rsidRDefault="00A71EEF">
      <w:pPr>
        <w:pStyle w:val="a3"/>
        <w:spacing w:before="1"/>
        <w:rPr>
          <w:b/>
          <w:sz w:val="25"/>
        </w:rPr>
      </w:pPr>
    </w:p>
    <w:p w14:paraId="4C03D0EC" w14:textId="77777777" w:rsidR="00A71EEF" w:rsidRDefault="0081115D">
      <w:pPr>
        <w:spacing w:before="72"/>
        <w:ind w:right="1330"/>
        <w:jc w:val="right"/>
        <w:rPr>
          <w:b/>
          <w:sz w:val="21"/>
        </w:rPr>
      </w:pPr>
      <w:r>
        <w:pict w14:anchorId="4371CE87">
          <v:group id="_x0000_s1030" style="position:absolute;left:0;text-align:left;margin-left:84.65pt;margin-top:-413.4pt;width:428.1pt;height:559.65pt;z-index:251842048;mso-position-horizontal-relative:page" coordorigin="1693,-8268" coordsize="8562,11193">
            <v:shape id="_x0000_s1032" type="#_x0000_t75" style="position:absolute;left:1693;top:-8269;width:8562;height:8535">
              <v:imagedata r:id="rId619" o:title=""/>
            </v:shape>
            <v:shape id="_x0000_s1031" type="#_x0000_t75" style="position:absolute;left:2226;top:281;width:7198;height:2643">
              <v:imagedata r:id="rId620" o:title=""/>
            </v:shape>
            <w10:wrap anchorx="page"/>
          </v:group>
        </w:pict>
      </w:r>
      <w:r>
        <w:rPr>
          <w:b/>
          <w:w w:val="99"/>
          <w:sz w:val="21"/>
        </w:rPr>
        <w:t xml:space="preserve"> </w:t>
      </w:r>
    </w:p>
    <w:p w14:paraId="4972B97D" w14:textId="77777777" w:rsidR="00A71EEF" w:rsidRDefault="00A71EEF">
      <w:pPr>
        <w:jc w:val="right"/>
        <w:rPr>
          <w:sz w:val="21"/>
        </w:rPr>
        <w:sectPr w:rsidR="00A71EEF">
          <w:pgSz w:w="11910" w:h="16850"/>
          <w:pgMar w:top="1080" w:right="0" w:bottom="1420" w:left="1260" w:header="0" w:footer="1239" w:gutter="0"/>
          <w:cols w:space="720"/>
        </w:sectPr>
      </w:pPr>
    </w:p>
    <w:p w14:paraId="5142BC63" w14:textId="77777777" w:rsidR="00A71EEF" w:rsidRDefault="00A71EEF">
      <w:pPr>
        <w:pStyle w:val="a3"/>
        <w:rPr>
          <w:b/>
          <w:sz w:val="20"/>
        </w:rPr>
      </w:pPr>
    </w:p>
    <w:p w14:paraId="084202DA" w14:textId="77777777" w:rsidR="00A71EEF" w:rsidRDefault="00A71EEF">
      <w:pPr>
        <w:pStyle w:val="a3"/>
        <w:rPr>
          <w:b/>
          <w:sz w:val="20"/>
        </w:rPr>
      </w:pPr>
    </w:p>
    <w:p w14:paraId="67741359" w14:textId="77777777" w:rsidR="00A71EEF" w:rsidRDefault="00A71EEF">
      <w:pPr>
        <w:pStyle w:val="a3"/>
        <w:rPr>
          <w:b/>
          <w:sz w:val="20"/>
        </w:rPr>
      </w:pPr>
    </w:p>
    <w:p w14:paraId="6B173956" w14:textId="77777777" w:rsidR="00A71EEF" w:rsidRDefault="00A71EEF">
      <w:pPr>
        <w:pStyle w:val="a3"/>
        <w:rPr>
          <w:b/>
          <w:sz w:val="20"/>
        </w:rPr>
      </w:pPr>
    </w:p>
    <w:p w14:paraId="74FF89AE" w14:textId="77777777" w:rsidR="00A71EEF" w:rsidRDefault="00A71EEF">
      <w:pPr>
        <w:pStyle w:val="a3"/>
        <w:rPr>
          <w:b/>
          <w:sz w:val="20"/>
        </w:rPr>
      </w:pPr>
    </w:p>
    <w:p w14:paraId="0A51D8B7" w14:textId="77777777" w:rsidR="00A71EEF" w:rsidRDefault="00A71EEF">
      <w:pPr>
        <w:pStyle w:val="a3"/>
        <w:rPr>
          <w:b/>
          <w:sz w:val="20"/>
        </w:rPr>
      </w:pPr>
    </w:p>
    <w:p w14:paraId="00F3ABBE" w14:textId="77777777" w:rsidR="00A71EEF" w:rsidRDefault="00A71EEF">
      <w:pPr>
        <w:pStyle w:val="a3"/>
        <w:rPr>
          <w:b/>
          <w:sz w:val="20"/>
        </w:rPr>
      </w:pPr>
    </w:p>
    <w:p w14:paraId="1F104189" w14:textId="77777777" w:rsidR="00A71EEF" w:rsidRDefault="00A71EEF">
      <w:pPr>
        <w:pStyle w:val="a3"/>
        <w:rPr>
          <w:b/>
          <w:sz w:val="20"/>
        </w:rPr>
      </w:pPr>
    </w:p>
    <w:p w14:paraId="4DAEF05F" w14:textId="77777777" w:rsidR="00A71EEF" w:rsidRDefault="00A71EEF">
      <w:pPr>
        <w:pStyle w:val="a3"/>
        <w:rPr>
          <w:b/>
          <w:sz w:val="20"/>
        </w:rPr>
      </w:pPr>
    </w:p>
    <w:p w14:paraId="4B485C6B" w14:textId="77777777" w:rsidR="00A71EEF" w:rsidRDefault="00A71EEF">
      <w:pPr>
        <w:pStyle w:val="a3"/>
        <w:rPr>
          <w:b/>
          <w:sz w:val="20"/>
        </w:rPr>
      </w:pPr>
    </w:p>
    <w:p w14:paraId="320E463F" w14:textId="77777777" w:rsidR="00A71EEF" w:rsidRDefault="00A71EEF">
      <w:pPr>
        <w:pStyle w:val="a3"/>
        <w:rPr>
          <w:b/>
          <w:sz w:val="20"/>
        </w:rPr>
      </w:pPr>
    </w:p>
    <w:p w14:paraId="68A99C67" w14:textId="77777777" w:rsidR="00A71EEF" w:rsidRDefault="00A71EEF">
      <w:pPr>
        <w:pStyle w:val="a3"/>
        <w:rPr>
          <w:b/>
          <w:sz w:val="20"/>
        </w:rPr>
      </w:pPr>
    </w:p>
    <w:p w14:paraId="4DE1FA20" w14:textId="77777777" w:rsidR="00A71EEF" w:rsidRDefault="00A71EEF">
      <w:pPr>
        <w:pStyle w:val="a3"/>
        <w:rPr>
          <w:b/>
          <w:sz w:val="20"/>
        </w:rPr>
      </w:pPr>
    </w:p>
    <w:p w14:paraId="71458E3D" w14:textId="77777777" w:rsidR="00A71EEF" w:rsidRDefault="00A71EEF">
      <w:pPr>
        <w:pStyle w:val="a3"/>
        <w:rPr>
          <w:b/>
          <w:sz w:val="20"/>
        </w:rPr>
      </w:pPr>
    </w:p>
    <w:p w14:paraId="146EBA97" w14:textId="77777777" w:rsidR="00A71EEF" w:rsidRDefault="00A71EEF">
      <w:pPr>
        <w:pStyle w:val="a3"/>
        <w:rPr>
          <w:b/>
          <w:sz w:val="20"/>
        </w:rPr>
      </w:pPr>
    </w:p>
    <w:p w14:paraId="76F8F337" w14:textId="77777777" w:rsidR="00A71EEF" w:rsidRDefault="00A71EEF">
      <w:pPr>
        <w:pStyle w:val="a3"/>
        <w:rPr>
          <w:b/>
          <w:sz w:val="20"/>
        </w:rPr>
      </w:pPr>
    </w:p>
    <w:p w14:paraId="4797864E" w14:textId="77777777" w:rsidR="00A71EEF" w:rsidRDefault="00A71EEF">
      <w:pPr>
        <w:pStyle w:val="a3"/>
        <w:rPr>
          <w:b/>
          <w:sz w:val="20"/>
        </w:rPr>
      </w:pPr>
    </w:p>
    <w:p w14:paraId="1B084BF5" w14:textId="77777777" w:rsidR="00A71EEF" w:rsidRDefault="00A71EEF">
      <w:pPr>
        <w:pStyle w:val="a3"/>
        <w:rPr>
          <w:b/>
          <w:sz w:val="20"/>
        </w:rPr>
      </w:pPr>
    </w:p>
    <w:p w14:paraId="2856C5E1" w14:textId="77777777" w:rsidR="00A71EEF" w:rsidRDefault="00A71EEF">
      <w:pPr>
        <w:pStyle w:val="a3"/>
        <w:rPr>
          <w:b/>
          <w:sz w:val="20"/>
        </w:rPr>
      </w:pPr>
    </w:p>
    <w:p w14:paraId="23F21458" w14:textId="77777777" w:rsidR="00A71EEF" w:rsidRDefault="00A71EEF">
      <w:pPr>
        <w:pStyle w:val="a3"/>
        <w:rPr>
          <w:b/>
          <w:sz w:val="20"/>
        </w:rPr>
      </w:pPr>
    </w:p>
    <w:p w14:paraId="19033203" w14:textId="77777777" w:rsidR="00A71EEF" w:rsidRDefault="00A71EEF">
      <w:pPr>
        <w:pStyle w:val="a3"/>
        <w:rPr>
          <w:b/>
          <w:sz w:val="20"/>
        </w:rPr>
      </w:pPr>
    </w:p>
    <w:p w14:paraId="2AA25FDA" w14:textId="77777777" w:rsidR="00A71EEF" w:rsidRDefault="00A71EEF">
      <w:pPr>
        <w:pStyle w:val="a3"/>
        <w:rPr>
          <w:b/>
          <w:sz w:val="20"/>
        </w:rPr>
      </w:pPr>
    </w:p>
    <w:p w14:paraId="324401F7" w14:textId="77777777" w:rsidR="00A71EEF" w:rsidRDefault="00A71EEF">
      <w:pPr>
        <w:pStyle w:val="a3"/>
        <w:rPr>
          <w:b/>
          <w:sz w:val="20"/>
        </w:rPr>
      </w:pPr>
    </w:p>
    <w:p w14:paraId="760C3D6A" w14:textId="77777777" w:rsidR="00A71EEF" w:rsidRDefault="00A71EEF">
      <w:pPr>
        <w:pStyle w:val="a3"/>
        <w:rPr>
          <w:b/>
          <w:sz w:val="20"/>
        </w:rPr>
      </w:pPr>
    </w:p>
    <w:p w14:paraId="4E9CFFCC" w14:textId="77777777" w:rsidR="00A71EEF" w:rsidRDefault="00A71EEF">
      <w:pPr>
        <w:pStyle w:val="a3"/>
        <w:rPr>
          <w:b/>
          <w:sz w:val="20"/>
        </w:rPr>
      </w:pPr>
    </w:p>
    <w:p w14:paraId="780E0B59" w14:textId="77777777" w:rsidR="00A71EEF" w:rsidRDefault="00A71EEF">
      <w:pPr>
        <w:pStyle w:val="a3"/>
        <w:rPr>
          <w:b/>
          <w:sz w:val="20"/>
        </w:rPr>
      </w:pPr>
    </w:p>
    <w:p w14:paraId="4DD65828" w14:textId="77777777" w:rsidR="00A71EEF" w:rsidRDefault="00A71EEF">
      <w:pPr>
        <w:pStyle w:val="a3"/>
        <w:rPr>
          <w:b/>
          <w:sz w:val="20"/>
        </w:rPr>
      </w:pPr>
    </w:p>
    <w:p w14:paraId="3300D611" w14:textId="77777777" w:rsidR="00A71EEF" w:rsidRDefault="00A71EEF">
      <w:pPr>
        <w:pStyle w:val="a3"/>
        <w:rPr>
          <w:b/>
          <w:sz w:val="20"/>
        </w:rPr>
      </w:pPr>
    </w:p>
    <w:p w14:paraId="4221145B" w14:textId="77777777" w:rsidR="00A71EEF" w:rsidRDefault="00A71EEF">
      <w:pPr>
        <w:pStyle w:val="a3"/>
        <w:rPr>
          <w:b/>
          <w:sz w:val="20"/>
        </w:rPr>
      </w:pPr>
    </w:p>
    <w:p w14:paraId="0A16BA28" w14:textId="77777777" w:rsidR="00A71EEF" w:rsidRDefault="00A71EEF">
      <w:pPr>
        <w:pStyle w:val="a3"/>
        <w:rPr>
          <w:b/>
          <w:sz w:val="20"/>
        </w:rPr>
      </w:pPr>
    </w:p>
    <w:p w14:paraId="24F054DE" w14:textId="77777777" w:rsidR="00A71EEF" w:rsidRDefault="00A71EEF">
      <w:pPr>
        <w:pStyle w:val="a3"/>
        <w:rPr>
          <w:b/>
          <w:sz w:val="20"/>
        </w:rPr>
      </w:pPr>
    </w:p>
    <w:p w14:paraId="32F4954D" w14:textId="77777777" w:rsidR="00A71EEF" w:rsidRDefault="00A71EEF">
      <w:pPr>
        <w:pStyle w:val="a3"/>
        <w:rPr>
          <w:b/>
          <w:sz w:val="20"/>
        </w:rPr>
      </w:pPr>
    </w:p>
    <w:p w14:paraId="6C107DD7" w14:textId="77777777" w:rsidR="00A71EEF" w:rsidRDefault="0081115D">
      <w:pPr>
        <w:spacing w:before="208"/>
        <w:ind w:right="1316"/>
        <w:jc w:val="right"/>
        <w:rPr>
          <w:sz w:val="24"/>
        </w:rPr>
      </w:pPr>
      <w:r>
        <w:pict w14:anchorId="000CE138">
          <v:group id="_x0000_s1027" style="position:absolute;left:0;text-align:left;margin-left:83.9pt;margin-top:-409.6pt;width:408.6pt;height:581.75pt;z-index:251843072;mso-position-horizontal-relative:page" coordorigin="1678,-8192" coordsize="8172,11635">
            <v:shape id="_x0000_s1029" type="#_x0000_t75" style="position:absolute;left:1798;top:-8193;width:8051;height:8639">
              <v:imagedata r:id="rId621" o:title=""/>
            </v:shape>
            <v:shape id="_x0000_s1028" type="#_x0000_t75" style="position:absolute;left:1678;top:447;width:7707;height:2995">
              <v:imagedata r:id="rId622" o:title=""/>
            </v:shape>
            <w10:wrap anchorx="page"/>
          </v:group>
        </w:pict>
      </w:r>
      <w:r>
        <w:rPr>
          <w:sz w:val="24"/>
        </w:rPr>
        <w:t xml:space="preserve"> </w:t>
      </w:r>
    </w:p>
    <w:p w14:paraId="4FB89D43" w14:textId="77777777" w:rsidR="00A71EEF" w:rsidRDefault="00A71EEF">
      <w:pPr>
        <w:jc w:val="right"/>
        <w:rPr>
          <w:sz w:val="24"/>
        </w:rPr>
        <w:sectPr w:rsidR="00A71EEF">
          <w:pgSz w:w="11910" w:h="16850"/>
          <w:pgMar w:top="1380" w:right="0" w:bottom="1420" w:left="1260" w:header="0" w:footer="1239" w:gutter="0"/>
          <w:cols w:space="720"/>
        </w:sectPr>
      </w:pPr>
    </w:p>
    <w:p w14:paraId="7875EC6D" w14:textId="77777777" w:rsidR="00A71EEF" w:rsidRDefault="0081115D">
      <w:pPr>
        <w:spacing w:before="37"/>
        <w:ind w:left="2431"/>
        <w:rPr>
          <w:b/>
          <w:sz w:val="24"/>
        </w:rPr>
      </w:pPr>
      <w:r>
        <w:rPr>
          <w:b/>
          <w:sz w:val="24"/>
        </w:rPr>
        <w:t>附录</w:t>
      </w:r>
      <w:r>
        <w:rPr>
          <w:b/>
          <w:sz w:val="24"/>
        </w:rPr>
        <w:t xml:space="preserve"> A</w:t>
      </w:r>
      <w:r>
        <w:rPr>
          <w:b/>
          <w:sz w:val="24"/>
        </w:rPr>
        <w:t>（标准的附录）手传振动频率计权特性</w:t>
      </w:r>
      <w:r>
        <w:rPr>
          <w:b/>
          <w:w w:val="99"/>
          <w:sz w:val="24"/>
        </w:rPr>
        <w:t xml:space="preserve"> </w:t>
      </w:r>
    </w:p>
    <w:p w14:paraId="5EFC10AD" w14:textId="77777777" w:rsidR="00A71EEF" w:rsidRDefault="0081115D">
      <w:pPr>
        <w:pStyle w:val="a3"/>
        <w:spacing w:before="192"/>
        <w:ind w:left="840"/>
      </w:pPr>
      <w:r>
        <w:rPr>
          <w:b/>
          <w:position w:val="1"/>
        </w:rPr>
        <w:t xml:space="preserve">A.1 </w:t>
      </w:r>
      <w:r>
        <w:rPr>
          <w:position w:val="1"/>
        </w:rPr>
        <w:t>计算计权加速度的计权因子</w:t>
      </w:r>
      <w:r>
        <w:rPr>
          <w:position w:val="1"/>
        </w:rPr>
        <w:t xml:space="preserve"> k</w:t>
      </w:r>
      <w:r>
        <w:rPr>
          <w:sz w:val="11"/>
        </w:rPr>
        <w:t xml:space="preserve">j </w:t>
      </w:r>
      <w:r>
        <w:rPr>
          <w:position w:val="1"/>
        </w:rPr>
        <w:t>见表</w:t>
      </w:r>
      <w:r>
        <w:rPr>
          <w:position w:val="1"/>
        </w:rPr>
        <w:t xml:space="preserve"> 1</w:t>
      </w:r>
      <w:r>
        <w:rPr>
          <w:position w:val="1"/>
        </w:rPr>
        <w:t>，手传振动频率计权特性曲线见图</w:t>
      </w:r>
      <w:r>
        <w:rPr>
          <w:position w:val="1"/>
        </w:rPr>
        <w:t xml:space="preserve"> A1</w:t>
      </w:r>
      <w:r>
        <w:rPr>
          <w:position w:val="1"/>
        </w:rPr>
        <w:t>。</w:t>
      </w:r>
      <w:r>
        <w:rPr>
          <w:position w:val="1"/>
        </w:rPr>
        <w:t xml:space="preserve"> </w:t>
      </w:r>
    </w:p>
    <w:p w14:paraId="07189917" w14:textId="77777777" w:rsidR="00A71EEF" w:rsidRDefault="00A71EEF">
      <w:pPr>
        <w:pStyle w:val="a3"/>
        <w:spacing w:before="2"/>
        <w:rPr>
          <w:sz w:val="18"/>
        </w:rPr>
      </w:pPr>
    </w:p>
    <w:p w14:paraId="55B5AB78" w14:textId="77777777" w:rsidR="00A71EEF" w:rsidRDefault="0081115D">
      <w:pPr>
        <w:pStyle w:val="6"/>
        <w:spacing w:after="40"/>
        <w:ind w:left="3452"/>
      </w:pPr>
      <w:r>
        <w:rPr>
          <w:position w:val="1"/>
        </w:rPr>
        <w:t>表</w:t>
      </w:r>
      <w:r>
        <w:rPr>
          <w:position w:val="1"/>
        </w:rPr>
        <w:t xml:space="preserve"> A1 </w:t>
      </w:r>
      <w:r>
        <w:rPr>
          <w:position w:val="1"/>
        </w:rPr>
        <w:t>手传振动频率计权因子</w:t>
      </w:r>
      <w:r>
        <w:rPr>
          <w:position w:val="1"/>
        </w:rPr>
        <w:t xml:space="preserve"> k</w:t>
      </w:r>
      <w:r>
        <w:rPr>
          <w:sz w:val="11"/>
        </w:rPr>
        <w:t xml:space="preserve">j </w:t>
      </w:r>
      <w:r>
        <w:rPr>
          <w:position w:val="1"/>
        </w:rPr>
        <w:t>表</w:t>
      </w:r>
      <w:r>
        <w:rPr>
          <w:w w:val="99"/>
          <w:position w:val="1"/>
        </w:rPr>
        <w:t xml:space="preserve"> </w:t>
      </w: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17"/>
        <w:gridCol w:w="768"/>
        <w:gridCol w:w="771"/>
        <w:gridCol w:w="768"/>
      </w:tblGrid>
      <w:tr w:rsidR="00A71EEF" w14:paraId="40253ED5" w14:textId="77777777">
        <w:trPr>
          <w:trHeight w:val="501"/>
        </w:trPr>
        <w:tc>
          <w:tcPr>
            <w:tcW w:w="6217" w:type="dxa"/>
            <w:vMerge w:val="restart"/>
          </w:tcPr>
          <w:p w14:paraId="35800990" w14:textId="77777777" w:rsidR="00A71EEF" w:rsidRDefault="00A71EEF">
            <w:pPr>
              <w:pStyle w:val="TableParagraph"/>
              <w:rPr>
                <w:b/>
                <w:sz w:val="20"/>
              </w:rPr>
            </w:pPr>
          </w:p>
          <w:p w14:paraId="0BFBB388" w14:textId="77777777" w:rsidR="00A71EEF" w:rsidRDefault="00A71EEF">
            <w:pPr>
              <w:pStyle w:val="TableParagraph"/>
              <w:rPr>
                <w:b/>
                <w:sz w:val="20"/>
              </w:rPr>
            </w:pPr>
          </w:p>
          <w:p w14:paraId="52231031" w14:textId="77777777" w:rsidR="00A71EEF" w:rsidRDefault="00A71EEF">
            <w:pPr>
              <w:pStyle w:val="TableParagraph"/>
              <w:rPr>
                <w:b/>
                <w:sz w:val="20"/>
              </w:rPr>
            </w:pPr>
          </w:p>
          <w:p w14:paraId="263112F3" w14:textId="77777777" w:rsidR="00A71EEF" w:rsidRDefault="0081115D">
            <w:pPr>
              <w:pStyle w:val="TableParagraph"/>
              <w:spacing w:before="178"/>
              <w:ind w:left="2509" w:right="2397"/>
              <w:jc w:val="center"/>
              <w:rPr>
                <w:sz w:val="21"/>
              </w:rPr>
            </w:pPr>
            <w:r>
              <w:rPr>
                <w:sz w:val="21"/>
              </w:rPr>
              <w:t>中心频率，</w:t>
            </w:r>
            <w:r>
              <w:rPr>
                <w:sz w:val="21"/>
              </w:rPr>
              <w:t xml:space="preserve">Hz </w:t>
            </w:r>
          </w:p>
        </w:tc>
        <w:tc>
          <w:tcPr>
            <w:tcW w:w="768" w:type="dxa"/>
            <w:vMerge w:val="restart"/>
          </w:tcPr>
          <w:p w14:paraId="43B0C460" w14:textId="77777777" w:rsidR="00A71EEF" w:rsidRDefault="00A71EEF">
            <w:pPr>
              <w:pStyle w:val="TableParagraph"/>
              <w:rPr>
                <w:b/>
                <w:sz w:val="20"/>
              </w:rPr>
            </w:pPr>
          </w:p>
          <w:p w14:paraId="6F6A7761" w14:textId="77777777" w:rsidR="00A71EEF" w:rsidRDefault="00A71EEF">
            <w:pPr>
              <w:pStyle w:val="TableParagraph"/>
              <w:spacing w:before="11"/>
              <w:rPr>
                <w:b/>
                <w:sz w:val="14"/>
              </w:rPr>
            </w:pPr>
          </w:p>
          <w:p w14:paraId="6272C2A4" w14:textId="77777777" w:rsidR="00A71EEF" w:rsidRDefault="0081115D">
            <w:pPr>
              <w:pStyle w:val="TableParagraph"/>
              <w:spacing w:line="446" w:lineRule="auto"/>
              <w:ind w:left="172" w:right="161"/>
              <w:jc w:val="both"/>
              <w:rPr>
                <w:sz w:val="21"/>
              </w:rPr>
            </w:pPr>
            <w:r>
              <w:rPr>
                <w:sz w:val="21"/>
              </w:rPr>
              <w:t>计权值，</w:t>
            </w:r>
            <w:r>
              <w:rPr>
                <w:sz w:val="21"/>
              </w:rPr>
              <w:t xml:space="preserve"> dB </w:t>
            </w:r>
          </w:p>
        </w:tc>
        <w:tc>
          <w:tcPr>
            <w:tcW w:w="1539" w:type="dxa"/>
            <w:gridSpan w:val="2"/>
          </w:tcPr>
          <w:p w14:paraId="67A1F7E6" w14:textId="77777777" w:rsidR="00A71EEF" w:rsidRDefault="00A71EEF">
            <w:pPr>
              <w:pStyle w:val="TableParagraph"/>
              <w:spacing w:before="10"/>
              <w:rPr>
                <w:b/>
                <w:sz w:val="14"/>
              </w:rPr>
            </w:pPr>
          </w:p>
          <w:p w14:paraId="4BB02917" w14:textId="77777777" w:rsidR="00A71EEF" w:rsidRDefault="0081115D">
            <w:pPr>
              <w:pStyle w:val="TableParagraph"/>
              <w:spacing w:before="1"/>
              <w:ind w:left="722" w:right="607"/>
              <w:jc w:val="center"/>
              <w:rPr>
                <w:sz w:val="21"/>
              </w:rPr>
            </w:pPr>
            <w:r>
              <w:rPr>
                <w:position w:val="1"/>
                <w:sz w:val="21"/>
              </w:rPr>
              <w:t>k</w:t>
            </w:r>
            <w:r>
              <w:rPr>
                <w:sz w:val="11"/>
              </w:rPr>
              <w:t>j</w:t>
            </w:r>
            <w:r>
              <w:rPr>
                <w:position w:val="1"/>
                <w:sz w:val="21"/>
              </w:rPr>
              <w:t xml:space="preserve"> </w:t>
            </w:r>
          </w:p>
        </w:tc>
      </w:tr>
      <w:tr w:rsidR="00A71EEF" w14:paraId="15F16BE2" w14:textId="77777777">
        <w:trPr>
          <w:trHeight w:val="1499"/>
        </w:trPr>
        <w:tc>
          <w:tcPr>
            <w:tcW w:w="6217" w:type="dxa"/>
            <w:vMerge/>
            <w:tcBorders>
              <w:top w:val="nil"/>
            </w:tcBorders>
          </w:tcPr>
          <w:p w14:paraId="6FE8454C" w14:textId="77777777" w:rsidR="00A71EEF" w:rsidRDefault="00A71EEF">
            <w:pPr>
              <w:rPr>
                <w:sz w:val="2"/>
                <w:szCs w:val="2"/>
              </w:rPr>
            </w:pPr>
          </w:p>
        </w:tc>
        <w:tc>
          <w:tcPr>
            <w:tcW w:w="768" w:type="dxa"/>
            <w:vMerge/>
            <w:tcBorders>
              <w:top w:val="nil"/>
            </w:tcBorders>
          </w:tcPr>
          <w:p w14:paraId="3CB75F3C" w14:textId="77777777" w:rsidR="00A71EEF" w:rsidRDefault="00A71EEF">
            <w:pPr>
              <w:rPr>
                <w:sz w:val="2"/>
                <w:szCs w:val="2"/>
              </w:rPr>
            </w:pPr>
          </w:p>
        </w:tc>
        <w:tc>
          <w:tcPr>
            <w:tcW w:w="771" w:type="dxa"/>
          </w:tcPr>
          <w:p w14:paraId="61CD468E" w14:textId="77777777" w:rsidR="00A71EEF" w:rsidRDefault="0081115D">
            <w:pPr>
              <w:pStyle w:val="TableParagraph"/>
              <w:spacing w:line="500" w:lineRule="exact"/>
              <w:ind w:left="172" w:right="163" w:firstLine="53"/>
              <w:jc w:val="both"/>
              <w:rPr>
                <w:sz w:val="21"/>
              </w:rPr>
            </w:pPr>
            <w:r>
              <w:rPr>
                <w:sz w:val="21"/>
              </w:rPr>
              <w:t xml:space="preserve">1/3 </w:t>
            </w:r>
            <w:r>
              <w:rPr>
                <w:sz w:val="21"/>
              </w:rPr>
              <w:t>倍频程</w:t>
            </w:r>
            <w:r>
              <w:rPr>
                <w:sz w:val="21"/>
              </w:rPr>
              <w:t xml:space="preserve"> </w:t>
            </w:r>
          </w:p>
        </w:tc>
        <w:tc>
          <w:tcPr>
            <w:tcW w:w="768" w:type="dxa"/>
          </w:tcPr>
          <w:p w14:paraId="1B18938C" w14:textId="77777777" w:rsidR="00A71EEF" w:rsidRDefault="00A71EEF">
            <w:pPr>
              <w:pStyle w:val="TableParagraph"/>
              <w:rPr>
                <w:b/>
                <w:sz w:val="20"/>
              </w:rPr>
            </w:pPr>
          </w:p>
          <w:p w14:paraId="18E13329" w14:textId="77777777" w:rsidR="00A71EEF" w:rsidRDefault="00A71EEF">
            <w:pPr>
              <w:pStyle w:val="TableParagraph"/>
              <w:spacing w:before="4"/>
              <w:rPr>
                <w:b/>
                <w:sz w:val="14"/>
              </w:rPr>
            </w:pPr>
          </w:p>
          <w:p w14:paraId="12746272" w14:textId="77777777" w:rsidR="00A71EEF" w:rsidRDefault="0081115D">
            <w:pPr>
              <w:pStyle w:val="TableParagraph"/>
              <w:spacing w:line="446" w:lineRule="auto"/>
              <w:ind w:left="278" w:right="161" w:hanging="106"/>
              <w:rPr>
                <w:sz w:val="21"/>
              </w:rPr>
            </w:pPr>
            <w:r>
              <w:rPr>
                <w:sz w:val="21"/>
              </w:rPr>
              <w:t>倍频程</w:t>
            </w:r>
            <w:r>
              <w:rPr>
                <w:sz w:val="21"/>
              </w:rPr>
              <w:t xml:space="preserve"> </w:t>
            </w:r>
          </w:p>
        </w:tc>
      </w:tr>
      <w:tr w:rsidR="00A71EEF" w14:paraId="2A65E15A" w14:textId="77777777">
        <w:trPr>
          <w:trHeight w:val="499"/>
        </w:trPr>
        <w:tc>
          <w:tcPr>
            <w:tcW w:w="6217" w:type="dxa"/>
          </w:tcPr>
          <w:p w14:paraId="69C486FB" w14:textId="77777777" w:rsidR="00A71EEF" w:rsidRDefault="00A71EEF">
            <w:pPr>
              <w:pStyle w:val="TableParagraph"/>
              <w:spacing w:before="11"/>
              <w:rPr>
                <w:b/>
                <w:sz w:val="14"/>
              </w:rPr>
            </w:pPr>
          </w:p>
          <w:p w14:paraId="337B28C5" w14:textId="77777777" w:rsidR="00A71EEF" w:rsidRDefault="0081115D">
            <w:pPr>
              <w:pStyle w:val="TableParagraph"/>
              <w:ind w:left="2949"/>
              <w:rPr>
                <w:sz w:val="21"/>
              </w:rPr>
            </w:pPr>
            <w:r>
              <w:rPr>
                <w:sz w:val="21"/>
              </w:rPr>
              <w:t xml:space="preserve">6.3 </w:t>
            </w:r>
          </w:p>
        </w:tc>
        <w:tc>
          <w:tcPr>
            <w:tcW w:w="768" w:type="dxa"/>
          </w:tcPr>
          <w:p w14:paraId="16D7E263" w14:textId="77777777" w:rsidR="00A71EEF" w:rsidRDefault="00A71EEF">
            <w:pPr>
              <w:pStyle w:val="TableParagraph"/>
              <w:spacing w:before="11"/>
              <w:rPr>
                <w:b/>
                <w:sz w:val="14"/>
              </w:rPr>
            </w:pPr>
          </w:p>
          <w:p w14:paraId="7314BB1D" w14:textId="77777777" w:rsidR="00A71EEF" w:rsidRDefault="0081115D">
            <w:pPr>
              <w:pStyle w:val="TableParagraph"/>
              <w:ind w:right="213"/>
              <w:jc w:val="right"/>
              <w:rPr>
                <w:sz w:val="21"/>
              </w:rPr>
            </w:pPr>
            <w:r>
              <w:rPr>
                <w:sz w:val="21"/>
              </w:rPr>
              <w:t xml:space="preserve">0 </w:t>
            </w:r>
          </w:p>
        </w:tc>
        <w:tc>
          <w:tcPr>
            <w:tcW w:w="771" w:type="dxa"/>
          </w:tcPr>
          <w:p w14:paraId="7D5B4EDA" w14:textId="77777777" w:rsidR="00A71EEF" w:rsidRDefault="00A71EEF">
            <w:pPr>
              <w:pStyle w:val="TableParagraph"/>
              <w:spacing w:before="11"/>
              <w:rPr>
                <w:b/>
                <w:sz w:val="14"/>
              </w:rPr>
            </w:pPr>
          </w:p>
          <w:p w14:paraId="32ED0332" w14:textId="77777777" w:rsidR="00A71EEF" w:rsidRDefault="0081115D">
            <w:pPr>
              <w:pStyle w:val="TableParagraph"/>
              <w:ind w:left="225"/>
              <w:rPr>
                <w:sz w:val="21"/>
              </w:rPr>
            </w:pPr>
            <w:r>
              <w:rPr>
                <w:sz w:val="21"/>
              </w:rPr>
              <w:t xml:space="preserve">1.0 </w:t>
            </w:r>
          </w:p>
        </w:tc>
        <w:tc>
          <w:tcPr>
            <w:tcW w:w="768" w:type="dxa"/>
          </w:tcPr>
          <w:p w14:paraId="49A074B3" w14:textId="77777777" w:rsidR="00A71EEF" w:rsidRDefault="00A71EEF">
            <w:pPr>
              <w:pStyle w:val="TableParagraph"/>
              <w:spacing w:before="11"/>
              <w:rPr>
                <w:b/>
                <w:sz w:val="14"/>
              </w:rPr>
            </w:pPr>
          </w:p>
          <w:p w14:paraId="2BA9C135" w14:textId="77777777" w:rsidR="00A71EEF" w:rsidRDefault="0081115D">
            <w:pPr>
              <w:pStyle w:val="TableParagraph"/>
              <w:ind w:left="152" w:right="37"/>
              <w:jc w:val="center"/>
              <w:rPr>
                <w:sz w:val="21"/>
              </w:rPr>
            </w:pPr>
            <w:r>
              <w:rPr>
                <w:sz w:val="21"/>
              </w:rPr>
              <w:t xml:space="preserve">— </w:t>
            </w:r>
          </w:p>
        </w:tc>
      </w:tr>
      <w:tr w:rsidR="00A71EEF" w14:paraId="2B71059C" w14:textId="77777777">
        <w:trPr>
          <w:trHeight w:val="501"/>
        </w:trPr>
        <w:tc>
          <w:tcPr>
            <w:tcW w:w="6217" w:type="dxa"/>
          </w:tcPr>
          <w:p w14:paraId="2182FE08" w14:textId="77777777" w:rsidR="00A71EEF" w:rsidRDefault="00A71EEF">
            <w:pPr>
              <w:pStyle w:val="TableParagraph"/>
              <w:spacing w:before="11"/>
              <w:rPr>
                <w:b/>
                <w:sz w:val="14"/>
              </w:rPr>
            </w:pPr>
          </w:p>
          <w:p w14:paraId="3958458F" w14:textId="77777777" w:rsidR="00A71EEF" w:rsidRDefault="0081115D">
            <w:pPr>
              <w:pStyle w:val="TableParagraph"/>
              <w:ind w:left="2509" w:right="2394"/>
              <w:jc w:val="center"/>
              <w:rPr>
                <w:sz w:val="21"/>
              </w:rPr>
            </w:pPr>
            <w:r>
              <w:rPr>
                <w:sz w:val="21"/>
              </w:rPr>
              <w:t xml:space="preserve">8 </w:t>
            </w:r>
          </w:p>
        </w:tc>
        <w:tc>
          <w:tcPr>
            <w:tcW w:w="768" w:type="dxa"/>
          </w:tcPr>
          <w:p w14:paraId="0A7151D3" w14:textId="77777777" w:rsidR="00A71EEF" w:rsidRDefault="00A71EEF">
            <w:pPr>
              <w:pStyle w:val="TableParagraph"/>
              <w:spacing w:before="11"/>
              <w:rPr>
                <w:b/>
                <w:sz w:val="14"/>
              </w:rPr>
            </w:pPr>
          </w:p>
          <w:p w14:paraId="385CBB15" w14:textId="77777777" w:rsidR="00A71EEF" w:rsidRDefault="0081115D">
            <w:pPr>
              <w:pStyle w:val="TableParagraph"/>
              <w:ind w:right="213"/>
              <w:jc w:val="right"/>
              <w:rPr>
                <w:sz w:val="21"/>
              </w:rPr>
            </w:pPr>
            <w:r>
              <w:rPr>
                <w:sz w:val="21"/>
              </w:rPr>
              <w:t xml:space="preserve">0 </w:t>
            </w:r>
          </w:p>
        </w:tc>
        <w:tc>
          <w:tcPr>
            <w:tcW w:w="771" w:type="dxa"/>
          </w:tcPr>
          <w:p w14:paraId="5881EDA4" w14:textId="77777777" w:rsidR="00A71EEF" w:rsidRDefault="00A71EEF">
            <w:pPr>
              <w:pStyle w:val="TableParagraph"/>
              <w:spacing w:before="11"/>
              <w:rPr>
                <w:b/>
                <w:sz w:val="14"/>
              </w:rPr>
            </w:pPr>
          </w:p>
          <w:p w14:paraId="0B86A4B1" w14:textId="77777777" w:rsidR="00A71EEF" w:rsidRDefault="0081115D">
            <w:pPr>
              <w:pStyle w:val="TableParagraph"/>
              <w:ind w:left="225"/>
              <w:rPr>
                <w:sz w:val="21"/>
              </w:rPr>
            </w:pPr>
            <w:r>
              <w:rPr>
                <w:sz w:val="21"/>
              </w:rPr>
              <w:t xml:space="preserve">1.0 </w:t>
            </w:r>
          </w:p>
        </w:tc>
        <w:tc>
          <w:tcPr>
            <w:tcW w:w="768" w:type="dxa"/>
          </w:tcPr>
          <w:p w14:paraId="4768D44C" w14:textId="77777777" w:rsidR="00A71EEF" w:rsidRDefault="00A71EEF">
            <w:pPr>
              <w:pStyle w:val="TableParagraph"/>
              <w:spacing w:before="11"/>
              <w:rPr>
                <w:b/>
                <w:sz w:val="14"/>
              </w:rPr>
            </w:pPr>
          </w:p>
          <w:p w14:paraId="1BA531B7" w14:textId="77777777" w:rsidR="00A71EEF" w:rsidRDefault="0081115D">
            <w:pPr>
              <w:pStyle w:val="TableParagraph"/>
              <w:ind w:left="152" w:right="40"/>
              <w:jc w:val="center"/>
              <w:rPr>
                <w:sz w:val="21"/>
              </w:rPr>
            </w:pPr>
            <w:r>
              <w:rPr>
                <w:sz w:val="21"/>
              </w:rPr>
              <w:t xml:space="preserve">1.0 </w:t>
            </w:r>
          </w:p>
        </w:tc>
      </w:tr>
      <w:tr w:rsidR="00A71EEF" w14:paraId="79B448B6" w14:textId="77777777">
        <w:trPr>
          <w:trHeight w:val="498"/>
        </w:trPr>
        <w:tc>
          <w:tcPr>
            <w:tcW w:w="6217" w:type="dxa"/>
          </w:tcPr>
          <w:p w14:paraId="29F0FA21" w14:textId="77777777" w:rsidR="00A71EEF" w:rsidRDefault="00A71EEF">
            <w:pPr>
              <w:pStyle w:val="TableParagraph"/>
              <w:spacing w:before="11"/>
              <w:rPr>
                <w:b/>
                <w:sz w:val="14"/>
              </w:rPr>
            </w:pPr>
          </w:p>
          <w:p w14:paraId="1CB89045" w14:textId="77777777" w:rsidR="00A71EEF" w:rsidRDefault="0081115D">
            <w:pPr>
              <w:pStyle w:val="TableParagraph"/>
              <w:ind w:left="2509" w:right="2394"/>
              <w:jc w:val="center"/>
              <w:rPr>
                <w:sz w:val="21"/>
              </w:rPr>
            </w:pPr>
            <w:r>
              <w:rPr>
                <w:sz w:val="21"/>
              </w:rPr>
              <w:t xml:space="preserve">10 </w:t>
            </w:r>
          </w:p>
        </w:tc>
        <w:tc>
          <w:tcPr>
            <w:tcW w:w="768" w:type="dxa"/>
          </w:tcPr>
          <w:p w14:paraId="6F835718" w14:textId="77777777" w:rsidR="00A71EEF" w:rsidRDefault="00A71EEF">
            <w:pPr>
              <w:pStyle w:val="TableParagraph"/>
              <w:spacing w:before="11"/>
              <w:rPr>
                <w:b/>
                <w:sz w:val="14"/>
              </w:rPr>
            </w:pPr>
          </w:p>
          <w:p w14:paraId="1CB11E1F" w14:textId="77777777" w:rsidR="00A71EEF" w:rsidRDefault="0081115D">
            <w:pPr>
              <w:pStyle w:val="TableParagraph"/>
              <w:ind w:right="213"/>
              <w:jc w:val="right"/>
              <w:rPr>
                <w:sz w:val="21"/>
              </w:rPr>
            </w:pPr>
            <w:r>
              <w:rPr>
                <w:sz w:val="21"/>
              </w:rPr>
              <w:t xml:space="preserve">0 </w:t>
            </w:r>
          </w:p>
        </w:tc>
        <w:tc>
          <w:tcPr>
            <w:tcW w:w="771" w:type="dxa"/>
          </w:tcPr>
          <w:p w14:paraId="51DD3C0A" w14:textId="77777777" w:rsidR="00A71EEF" w:rsidRDefault="00A71EEF">
            <w:pPr>
              <w:pStyle w:val="TableParagraph"/>
              <w:spacing w:before="11"/>
              <w:rPr>
                <w:b/>
                <w:sz w:val="14"/>
              </w:rPr>
            </w:pPr>
          </w:p>
          <w:p w14:paraId="2F552EFD" w14:textId="77777777" w:rsidR="00A71EEF" w:rsidRDefault="0081115D">
            <w:pPr>
              <w:pStyle w:val="TableParagraph"/>
              <w:ind w:left="225"/>
              <w:rPr>
                <w:sz w:val="21"/>
              </w:rPr>
            </w:pPr>
            <w:r>
              <w:rPr>
                <w:sz w:val="21"/>
              </w:rPr>
              <w:t xml:space="preserve">1.0 </w:t>
            </w:r>
          </w:p>
        </w:tc>
        <w:tc>
          <w:tcPr>
            <w:tcW w:w="768" w:type="dxa"/>
          </w:tcPr>
          <w:p w14:paraId="71F87434" w14:textId="77777777" w:rsidR="00A71EEF" w:rsidRDefault="00A71EEF">
            <w:pPr>
              <w:pStyle w:val="TableParagraph"/>
              <w:spacing w:before="11"/>
              <w:rPr>
                <w:b/>
                <w:sz w:val="14"/>
              </w:rPr>
            </w:pPr>
          </w:p>
          <w:p w14:paraId="638ED5FD" w14:textId="77777777" w:rsidR="00A71EEF" w:rsidRDefault="0081115D">
            <w:pPr>
              <w:pStyle w:val="TableParagraph"/>
              <w:ind w:left="152" w:right="37"/>
              <w:jc w:val="center"/>
              <w:rPr>
                <w:sz w:val="21"/>
              </w:rPr>
            </w:pPr>
            <w:r>
              <w:rPr>
                <w:sz w:val="21"/>
              </w:rPr>
              <w:t xml:space="preserve">— </w:t>
            </w:r>
          </w:p>
        </w:tc>
      </w:tr>
      <w:tr w:rsidR="00A71EEF" w14:paraId="4E05DBD6" w14:textId="77777777">
        <w:trPr>
          <w:trHeight w:val="501"/>
        </w:trPr>
        <w:tc>
          <w:tcPr>
            <w:tcW w:w="6217" w:type="dxa"/>
          </w:tcPr>
          <w:p w14:paraId="14566D59" w14:textId="77777777" w:rsidR="00A71EEF" w:rsidRDefault="00A71EEF">
            <w:pPr>
              <w:pStyle w:val="TableParagraph"/>
              <w:spacing w:before="11"/>
              <w:rPr>
                <w:b/>
                <w:sz w:val="14"/>
              </w:rPr>
            </w:pPr>
          </w:p>
          <w:p w14:paraId="52ADB34B" w14:textId="77777777" w:rsidR="00A71EEF" w:rsidRDefault="0081115D">
            <w:pPr>
              <w:pStyle w:val="TableParagraph"/>
              <w:ind w:left="2844"/>
              <w:rPr>
                <w:sz w:val="21"/>
              </w:rPr>
            </w:pPr>
            <w:r>
              <w:rPr>
                <w:sz w:val="21"/>
              </w:rPr>
              <w:t xml:space="preserve">12. 5 </w:t>
            </w:r>
          </w:p>
        </w:tc>
        <w:tc>
          <w:tcPr>
            <w:tcW w:w="768" w:type="dxa"/>
          </w:tcPr>
          <w:p w14:paraId="6CC4146B" w14:textId="77777777" w:rsidR="00A71EEF" w:rsidRDefault="00A71EEF">
            <w:pPr>
              <w:pStyle w:val="TableParagraph"/>
              <w:spacing w:before="11"/>
              <w:rPr>
                <w:b/>
                <w:sz w:val="14"/>
              </w:rPr>
            </w:pPr>
          </w:p>
          <w:p w14:paraId="39503459" w14:textId="77777777" w:rsidR="00A71EEF" w:rsidRDefault="0081115D">
            <w:pPr>
              <w:pStyle w:val="TableParagraph"/>
              <w:ind w:right="213"/>
              <w:jc w:val="right"/>
              <w:rPr>
                <w:sz w:val="21"/>
              </w:rPr>
            </w:pPr>
            <w:r>
              <w:rPr>
                <w:sz w:val="21"/>
              </w:rPr>
              <w:t xml:space="preserve">0 </w:t>
            </w:r>
          </w:p>
        </w:tc>
        <w:tc>
          <w:tcPr>
            <w:tcW w:w="771" w:type="dxa"/>
          </w:tcPr>
          <w:p w14:paraId="54F50E53" w14:textId="77777777" w:rsidR="00A71EEF" w:rsidRDefault="00A71EEF">
            <w:pPr>
              <w:pStyle w:val="TableParagraph"/>
              <w:spacing w:before="11"/>
              <w:rPr>
                <w:b/>
                <w:sz w:val="14"/>
              </w:rPr>
            </w:pPr>
          </w:p>
          <w:p w14:paraId="583377BE" w14:textId="77777777" w:rsidR="00A71EEF" w:rsidRDefault="0081115D">
            <w:pPr>
              <w:pStyle w:val="TableParagraph"/>
              <w:ind w:left="225"/>
              <w:rPr>
                <w:sz w:val="21"/>
              </w:rPr>
            </w:pPr>
            <w:r>
              <w:rPr>
                <w:sz w:val="21"/>
              </w:rPr>
              <w:t xml:space="preserve">1.0 </w:t>
            </w:r>
          </w:p>
        </w:tc>
        <w:tc>
          <w:tcPr>
            <w:tcW w:w="768" w:type="dxa"/>
          </w:tcPr>
          <w:p w14:paraId="49859BF3" w14:textId="77777777" w:rsidR="00A71EEF" w:rsidRDefault="00A71EEF">
            <w:pPr>
              <w:pStyle w:val="TableParagraph"/>
              <w:spacing w:before="11"/>
              <w:rPr>
                <w:b/>
                <w:sz w:val="14"/>
              </w:rPr>
            </w:pPr>
          </w:p>
          <w:p w14:paraId="25BC90A5" w14:textId="77777777" w:rsidR="00A71EEF" w:rsidRDefault="0081115D">
            <w:pPr>
              <w:pStyle w:val="TableParagraph"/>
              <w:ind w:left="152" w:right="37"/>
              <w:jc w:val="center"/>
              <w:rPr>
                <w:sz w:val="21"/>
              </w:rPr>
            </w:pPr>
            <w:r>
              <w:rPr>
                <w:sz w:val="21"/>
              </w:rPr>
              <w:t xml:space="preserve">— </w:t>
            </w:r>
          </w:p>
        </w:tc>
      </w:tr>
      <w:tr w:rsidR="00A71EEF" w14:paraId="14D2A2F1" w14:textId="77777777">
        <w:trPr>
          <w:trHeight w:val="498"/>
        </w:trPr>
        <w:tc>
          <w:tcPr>
            <w:tcW w:w="6217" w:type="dxa"/>
          </w:tcPr>
          <w:p w14:paraId="51CF8F09" w14:textId="77777777" w:rsidR="00A71EEF" w:rsidRDefault="00A71EEF">
            <w:pPr>
              <w:pStyle w:val="TableParagraph"/>
              <w:spacing w:before="11"/>
              <w:rPr>
                <w:b/>
                <w:sz w:val="14"/>
              </w:rPr>
            </w:pPr>
          </w:p>
          <w:p w14:paraId="22AF347F" w14:textId="77777777" w:rsidR="00A71EEF" w:rsidRDefault="0081115D">
            <w:pPr>
              <w:pStyle w:val="TableParagraph"/>
              <w:ind w:left="2509" w:right="2394"/>
              <w:jc w:val="center"/>
              <w:rPr>
                <w:sz w:val="21"/>
              </w:rPr>
            </w:pPr>
            <w:r>
              <w:rPr>
                <w:sz w:val="21"/>
              </w:rPr>
              <w:t xml:space="preserve">16 </w:t>
            </w:r>
          </w:p>
        </w:tc>
        <w:tc>
          <w:tcPr>
            <w:tcW w:w="768" w:type="dxa"/>
          </w:tcPr>
          <w:p w14:paraId="367DB904" w14:textId="77777777" w:rsidR="00A71EEF" w:rsidRDefault="00A71EEF">
            <w:pPr>
              <w:pStyle w:val="TableParagraph"/>
              <w:spacing w:before="11"/>
              <w:rPr>
                <w:b/>
                <w:sz w:val="14"/>
              </w:rPr>
            </w:pPr>
          </w:p>
          <w:p w14:paraId="102F8FDE" w14:textId="77777777" w:rsidR="00A71EEF" w:rsidRDefault="0081115D">
            <w:pPr>
              <w:pStyle w:val="TableParagraph"/>
              <w:ind w:right="213"/>
              <w:jc w:val="right"/>
              <w:rPr>
                <w:sz w:val="21"/>
              </w:rPr>
            </w:pPr>
            <w:r>
              <w:rPr>
                <w:sz w:val="21"/>
              </w:rPr>
              <w:t xml:space="preserve">0 </w:t>
            </w:r>
          </w:p>
        </w:tc>
        <w:tc>
          <w:tcPr>
            <w:tcW w:w="771" w:type="dxa"/>
          </w:tcPr>
          <w:p w14:paraId="0BAF0115" w14:textId="77777777" w:rsidR="00A71EEF" w:rsidRDefault="00A71EEF">
            <w:pPr>
              <w:pStyle w:val="TableParagraph"/>
              <w:spacing w:before="11"/>
              <w:rPr>
                <w:b/>
                <w:sz w:val="14"/>
              </w:rPr>
            </w:pPr>
          </w:p>
          <w:p w14:paraId="53C93667" w14:textId="77777777" w:rsidR="00A71EEF" w:rsidRDefault="0081115D">
            <w:pPr>
              <w:pStyle w:val="TableParagraph"/>
              <w:ind w:left="225"/>
              <w:rPr>
                <w:sz w:val="21"/>
              </w:rPr>
            </w:pPr>
            <w:r>
              <w:rPr>
                <w:sz w:val="21"/>
              </w:rPr>
              <w:t xml:space="preserve">1.0 </w:t>
            </w:r>
          </w:p>
        </w:tc>
        <w:tc>
          <w:tcPr>
            <w:tcW w:w="768" w:type="dxa"/>
          </w:tcPr>
          <w:p w14:paraId="6938FAF6" w14:textId="77777777" w:rsidR="00A71EEF" w:rsidRDefault="00A71EEF">
            <w:pPr>
              <w:pStyle w:val="TableParagraph"/>
              <w:spacing w:before="11"/>
              <w:rPr>
                <w:b/>
                <w:sz w:val="14"/>
              </w:rPr>
            </w:pPr>
          </w:p>
          <w:p w14:paraId="4A009EA3" w14:textId="77777777" w:rsidR="00A71EEF" w:rsidRDefault="0081115D">
            <w:pPr>
              <w:pStyle w:val="TableParagraph"/>
              <w:ind w:left="152" w:right="40"/>
              <w:jc w:val="center"/>
              <w:rPr>
                <w:sz w:val="21"/>
              </w:rPr>
            </w:pPr>
            <w:r>
              <w:rPr>
                <w:sz w:val="21"/>
              </w:rPr>
              <w:t xml:space="preserve">1.0 </w:t>
            </w:r>
          </w:p>
        </w:tc>
      </w:tr>
      <w:tr w:rsidR="00A71EEF" w14:paraId="1D7E138D" w14:textId="77777777">
        <w:trPr>
          <w:trHeight w:val="501"/>
        </w:trPr>
        <w:tc>
          <w:tcPr>
            <w:tcW w:w="6217" w:type="dxa"/>
          </w:tcPr>
          <w:p w14:paraId="6FC1B537" w14:textId="77777777" w:rsidR="00A71EEF" w:rsidRDefault="00A71EEF">
            <w:pPr>
              <w:pStyle w:val="TableParagraph"/>
              <w:spacing w:before="11"/>
              <w:rPr>
                <w:b/>
                <w:sz w:val="14"/>
              </w:rPr>
            </w:pPr>
          </w:p>
          <w:p w14:paraId="7551EBA0" w14:textId="77777777" w:rsidR="00A71EEF" w:rsidRDefault="0081115D">
            <w:pPr>
              <w:pStyle w:val="TableParagraph"/>
              <w:ind w:left="2509" w:right="2394"/>
              <w:jc w:val="center"/>
              <w:rPr>
                <w:sz w:val="21"/>
              </w:rPr>
            </w:pPr>
            <w:r>
              <w:rPr>
                <w:sz w:val="21"/>
              </w:rPr>
              <w:t xml:space="preserve">20 </w:t>
            </w:r>
          </w:p>
        </w:tc>
        <w:tc>
          <w:tcPr>
            <w:tcW w:w="768" w:type="dxa"/>
          </w:tcPr>
          <w:p w14:paraId="62C941A6" w14:textId="77777777" w:rsidR="00A71EEF" w:rsidRDefault="00A71EEF">
            <w:pPr>
              <w:pStyle w:val="TableParagraph"/>
              <w:spacing w:before="11"/>
              <w:rPr>
                <w:b/>
                <w:sz w:val="14"/>
              </w:rPr>
            </w:pPr>
          </w:p>
          <w:p w14:paraId="5DE86621" w14:textId="77777777" w:rsidR="00A71EEF" w:rsidRDefault="0081115D">
            <w:pPr>
              <w:pStyle w:val="TableParagraph"/>
              <w:ind w:right="161"/>
              <w:jc w:val="right"/>
              <w:rPr>
                <w:sz w:val="21"/>
              </w:rPr>
            </w:pPr>
            <w:r>
              <w:rPr>
                <w:sz w:val="21"/>
              </w:rPr>
              <w:t xml:space="preserve">-2 </w:t>
            </w:r>
          </w:p>
        </w:tc>
        <w:tc>
          <w:tcPr>
            <w:tcW w:w="771" w:type="dxa"/>
          </w:tcPr>
          <w:p w14:paraId="37A2DE40" w14:textId="77777777" w:rsidR="00A71EEF" w:rsidRDefault="00A71EEF">
            <w:pPr>
              <w:pStyle w:val="TableParagraph"/>
              <w:spacing w:before="11"/>
              <w:rPr>
                <w:b/>
                <w:sz w:val="14"/>
              </w:rPr>
            </w:pPr>
          </w:p>
          <w:p w14:paraId="7E35040E" w14:textId="77777777" w:rsidR="00A71EEF" w:rsidRDefault="0081115D">
            <w:pPr>
              <w:pStyle w:val="TableParagraph"/>
              <w:ind w:left="172"/>
              <w:rPr>
                <w:sz w:val="21"/>
              </w:rPr>
            </w:pPr>
            <w:r>
              <w:rPr>
                <w:sz w:val="21"/>
              </w:rPr>
              <w:t xml:space="preserve">0.79 </w:t>
            </w:r>
          </w:p>
        </w:tc>
        <w:tc>
          <w:tcPr>
            <w:tcW w:w="768" w:type="dxa"/>
          </w:tcPr>
          <w:p w14:paraId="52E97FE0" w14:textId="77777777" w:rsidR="00A71EEF" w:rsidRDefault="00A71EEF">
            <w:pPr>
              <w:pStyle w:val="TableParagraph"/>
              <w:spacing w:before="11"/>
              <w:rPr>
                <w:b/>
                <w:sz w:val="14"/>
              </w:rPr>
            </w:pPr>
          </w:p>
          <w:p w14:paraId="62DB98B4" w14:textId="77777777" w:rsidR="00A71EEF" w:rsidRDefault="0081115D">
            <w:pPr>
              <w:pStyle w:val="TableParagraph"/>
              <w:ind w:left="152" w:right="37"/>
              <w:jc w:val="center"/>
              <w:rPr>
                <w:sz w:val="21"/>
              </w:rPr>
            </w:pPr>
            <w:r>
              <w:rPr>
                <w:sz w:val="21"/>
              </w:rPr>
              <w:t xml:space="preserve">— </w:t>
            </w:r>
          </w:p>
        </w:tc>
      </w:tr>
      <w:tr w:rsidR="00A71EEF" w14:paraId="026B8142" w14:textId="77777777">
        <w:trPr>
          <w:trHeight w:val="499"/>
        </w:trPr>
        <w:tc>
          <w:tcPr>
            <w:tcW w:w="6217" w:type="dxa"/>
          </w:tcPr>
          <w:p w14:paraId="08C0B9C1" w14:textId="77777777" w:rsidR="00A71EEF" w:rsidRDefault="00A71EEF">
            <w:pPr>
              <w:pStyle w:val="TableParagraph"/>
              <w:spacing w:before="11"/>
              <w:rPr>
                <w:b/>
                <w:sz w:val="14"/>
              </w:rPr>
            </w:pPr>
          </w:p>
          <w:p w14:paraId="64A2D70F" w14:textId="77777777" w:rsidR="00A71EEF" w:rsidRDefault="0081115D">
            <w:pPr>
              <w:pStyle w:val="TableParagraph"/>
              <w:ind w:left="2509" w:right="2394"/>
              <w:jc w:val="center"/>
              <w:rPr>
                <w:sz w:val="21"/>
              </w:rPr>
            </w:pPr>
            <w:r>
              <w:rPr>
                <w:sz w:val="21"/>
              </w:rPr>
              <w:t xml:space="preserve">25 </w:t>
            </w:r>
          </w:p>
        </w:tc>
        <w:tc>
          <w:tcPr>
            <w:tcW w:w="768" w:type="dxa"/>
          </w:tcPr>
          <w:p w14:paraId="56215242" w14:textId="77777777" w:rsidR="00A71EEF" w:rsidRDefault="00A71EEF">
            <w:pPr>
              <w:pStyle w:val="TableParagraph"/>
              <w:spacing w:before="11"/>
              <w:rPr>
                <w:b/>
                <w:sz w:val="14"/>
              </w:rPr>
            </w:pPr>
          </w:p>
          <w:p w14:paraId="575D98D3" w14:textId="77777777" w:rsidR="00A71EEF" w:rsidRDefault="0081115D">
            <w:pPr>
              <w:pStyle w:val="TableParagraph"/>
              <w:ind w:right="161"/>
              <w:jc w:val="right"/>
              <w:rPr>
                <w:sz w:val="21"/>
              </w:rPr>
            </w:pPr>
            <w:r>
              <w:rPr>
                <w:sz w:val="21"/>
              </w:rPr>
              <w:t xml:space="preserve">-4 </w:t>
            </w:r>
          </w:p>
        </w:tc>
        <w:tc>
          <w:tcPr>
            <w:tcW w:w="771" w:type="dxa"/>
          </w:tcPr>
          <w:p w14:paraId="3CBCB13E" w14:textId="77777777" w:rsidR="00A71EEF" w:rsidRDefault="00A71EEF">
            <w:pPr>
              <w:pStyle w:val="TableParagraph"/>
              <w:spacing w:before="11"/>
              <w:rPr>
                <w:b/>
                <w:sz w:val="14"/>
              </w:rPr>
            </w:pPr>
          </w:p>
          <w:p w14:paraId="2DE86227" w14:textId="77777777" w:rsidR="00A71EEF" w:rsidRDefault="0081115D">
            <w:pPr>
              <w:pStyle w:val="TableParagraph"/>
              <w:ind w:left="172"/>
              <w:rPr>
                <w:sz w:val="21"/>
              </w:rPr>
            </w:pPr>
            <w:r>
              <w:rPr>
                <w:sz w:val="21"/>
              </w:rPr>
              <w:t xml:space="preserve">0.63 </w:t>
            </w:r>
          </w:p>
        </w:tc>
        <w:tc>
          <w:tcPr>
            <w:tcW w:w="768" w:type="dxa"/>
          </w:tcPr>
          <w:p w14:paraId="470A48B6" w14:textId="77777777" w:rsidR="00A71EEF" w:rsidRDefault="00A71EEF">
            <w:pPr>
              <w:pStyle w:val="TableParagraph"/>
              <w:spacing w:before="11"/>
              <w:rPr>
                <w:b/>
                <w:sz w:val="14"/>
              </w:rPr>
            </w:pPr>
          </w:p>
          <w:p w14:paraId="70944016" w14:textId="77777777" w:rsidR="00A71EEF" w:rsidRDefault="0081115D">
            <w:pPr>
              <w:pStyle w:val="TableParagraph"/>
              <w:ind w:left="152" w:right="37"/>
              <w:jc w:val="center"/>
              <w:rPr>
                <w:sz w:val="21"/>
              </w:rPr>
            </w:pPr>
            <w:r>
              <w:rPr>
                <w:sz w:val="21"/>
              </w:rPr>
              <w:t xml:space="preserve">— </w:t>
            </w:r>
          </w:p>
        </w:tc>
      </w:tr>
      <w:tr w:rsidR="00A71EEF" w14:paraId="3111AB25" w14:textId="77777777">
        <w:trPr>
          <w:trHeight w:val="501"/>
        </w:trPr>
        <w:tc>
          <w:tcPr>
            <w:tcW w:w="6217" w:type="dxa"/>
          </w:tcPr>
          <w:p w14:paraId="714A7ECA" w14:textId="77777777" w:rsidR="00A71EEF" w:rsidRDefault="00A71EEF">
            <w:pPr>
              <w:pStyle w:val="TableParagraph"/>
              <w:spacing w:before="11"/>
              <w:rPr>
                <w:b/>
                <w:sz w:val="14"/>
              </w:rPr>
            </w:pPr>
          </w:p>
          <w:p w14:paraId="51EF05F8" w14:textId="77777777" w:rsidR="00A71EEF" w:rsidRDefault="0081115D">
            <w:pPr>
              <w:pStyle w:val="TableParagraph"/>
              <w:ind w:left="2897"/>
              <w:rPr>
                <w:sz w:val="21"/>
              </w:rPr>
            </w:pPr>
            <w:r>
              <w:rPr>
                <w:sz w:val="21"/>
              </w:rPr>
              <w:t xml:space="preserve">31.5 </w:t>
            </w:r>
          </w:p>
        </w:tc>
        <w:tc>
          <w:tcPr>
            <w:tcW w:w="768" w:type="dxa"/>
          </w:tcPr>
          <w:p w14:paraId="59C4CBF1" w14:textId="77777777" w:rsidR="00A71EEF" w:rsidRDefault="00A71EEF">
            <w:pPr>
              <w:pStyle w:val="TableParagraph"/>
              <w:spacing w:before="11"/>
              <w:rPr>
                <w:b/>
                <w:sz w:val="14"/>
              </w:rPr>
            </w:pPr>
          </w:p>
          <w:p w14:paraId="6DD0B603" w14:textId="77777777" w:rsidR="00A71EEF" w:rsidRDefault="0081115D">
            <w:pPr>
              <w:pStyle w:val="TableParagraph"/>
              <w:ind w:right="161"/>
              <w:jc w:val="right"/>
              <w:rPr>
                <w:sz w:val="21"/>
              </w:rPr>
            </w:pPr>
            <w:r>
              <w:rPr>
                <w:sz w:val="21"/>
              </w:rPr>
              <w:t xml:space="preserve">-6 </w:t>
            </w:r>
          </w:p>
        </w:tc>
        <w:tc>
          <w:tcPr>
            <w:tcW w:w="771" w:type="dxa"/>
          </w:tcPr>
          <w:p w14:paraId="7AE38CA5" w14:textId="77777777" w:rsidR="00A71EEF" w:rsidRDefault="00A71EEF">
            <w:pPr>
              <w:pStyle w:val="TableParagraph"/>
              <w:spacing w:before="11"/>
              <w:rPr>
                <w:b/>
                <w:sz w:val="14"/>
              </w:rPr>
            </w:pPr>
          </w:p>
          <w:p w14:paraId="06978404" w14:textId="77777777" w:rsidR="00A71EEF" w:rsidRDefault="0081115D">
            <w:pPr>
              <w:pStyle w:val="TableParagraph"/>
              <w:ind w:left="225"/>
              <w:rPr>
                <w:sz w:val="21"/>
              </w:rPr>
            </w:pPr>
            <w:r>
              <w:rPr>
                <w:sz w:val="21"/>
              </w:rPr>
              <w:t xml:space="preserve">0.5 </w:t>
            </w:r>
          </w:p>
        </w:tc>
        <w:tc>
          <w:tcPr>
            <w:tcW w:w="768" w:type="dxa"/>
          </w:tcPr>
          <w:p w14:paraId="7DB03A7B" w14:textId="77777777" w:rsidR="00A71EEF" w:rsidRDefault="00A71EEF">
            <w:pPr>
              <w:pStyle w:val="TableParagraph"/>
              <w:spacing w:before="11"/>
              <w:rPr>
                <w:b/>
                <w:sz w:val="14"/>
              </w:rPr>
            </w:pPr>
          </w:p>
          <w:p w14:paraId="6CC08741" w14:textId="77777777" w:rsidR="00A71EEF" w:rsidRDefault="0081115D">
            <w:pPr>
              <w:pStyle w:val="TableParagraph"/>
              <w:ind w:left="152" w:right="40"/>
              <w:jc w:val="center"/>
              <w:rPr>
                <w:sz w:val="21"/>
              </w:rPr>
            </w:pPr>
            <w:r>
              <w:rPr>
                <w:sz w:val="21"/>
              </w:rPr>
              <w:t xml:space="preserve">0.5 </w:t>
            </w:r>
          </w:p>
        </w:tc>
      </w:tr>
      <w:tr w:rsidR="00A71EEF" w14:paraId="76ADE80A" w14:textId="77777777">
        <w:trPr>
          <w:trHeight w:val="498"/>
        </w:trPr>
        <w:tc>
          <w:tcPr>
            <w:tcW w:w="6217" w:type="dxa"/>
          </w:tcPr>
          <w:p w14:paraId="0DDF7EE4" w14:textId="77777777" w:rsidR="00A71EEF" w:rsidRDefault="00A71EEF">
            <w:pPr>
              <w:pStyle w:val="TableParagraph"/>
              <w:spacing w:before="11"/>
              <w:rPr>
                <w:b/>
                <w:sz w:val="14"/>
              </w:rPr>
            </w:pPr>
          </w:p>
          <w:p w14:paraId="52139924" w14:textId="77777777" w:rsidR="00A71EEF" w:rsidRDefault="0081115D">
            <w:pPr>
              <w:pStyle w:val="TableParagraph"/>
              <w:ind w:left="2509" w:right="2394"/>
              <w:jc w:val="center"/>
              <w:rPr>
                <w:sz w:val="21"/>
              </w:rPr>
            </w:pPr>
            <w:r>
              <w:rPr>
                <w:sz w:val="21"/>
              </w:rPr>
              <w:t xml:space="preserve">40 </w:t>
            </w:r>
          </w:p>
        </w:tc>
        <w:tc>
          <w:tcPr>
            <w:tcW w:w="768" w:type="dxa"/>
          </w:tcPr>
          <w:p w14:paraId="54E6C947" w14:textId="77777777" w:rsidR="00A71EEF" w:rsidRDefault="00A71EEF">
            <w:pPr>
              <w:pStyle w:val="TableParagraph"/>
              <w:spacing w:before="11"/>
              <w:rPr>
                <w:b/>
                <w:sz w:val="14"/>
              </w:rPr>
            </w:pPr>
          </w:p>
          <w:p w14:paraId="34C48269" w14:textId="77777777" w:rsidR="00A71EEF" w:rsidRDefault="0081115D">
            <w:pPr>
              <w:pStyle w:val="TableParagraph"/>
              <w:ind w:right="161"/>
              <w:jc w:val="right"/>
              <w:rPr>
                <w:sz w:val="21"/>
              </w:rPr>
            </w:pPr>
            <w:r>
              <w:rPr>
                <w:sz w:val="21"/>
              </w:rPr>
              <w:t xml:space="preserve">-8 </w:t>
            </w:r>
          </w:p>
        </w:tc>
        <w:tc>
          <w:tcPr>
            <w:tcW w:w="771" w:type="dxa"/>
          </w:tcPr>
          <w:p w14:paraId="71CBB2E9" w14:textId="77777777" w:rsidR="00A71EEF" w:rsidRDefault="00A71EEF">
            <w:pPr>
              <w:pStyle w:val="TableParagraph"/>
              <w:spacing w:before="11"/>
              <w:rPr>
                <w:b/>
                <w:sz w:val="14"/>
              </w:rPr>
            </w:pPr>
          </w:p>
          <w:p w14:paraId="2E9B7A66" w14:textId="77777777" w:rsidR="00A71EEF" w:rsidRDefault="0081115D">
            <w:pPr>
              <w:pStyle w:val="TableParagraph"/>
              <w:ind w:left="225"/>
              <w:rPr>
                <w:sz w:val="21"/>
              </w:rPr>
            </w:pPr>
            <w:r>
              <w:rPr>
                <w:sz w:val="21"/>
              </w:rPr>
              <w:t xml:space="preserve">0.4 </w:t>
            </w:r>
          </w:p>
        </w:tc>
        <w:tc>
          <w:tcPr>
            <w:tcW w:w="768" w:type="dxa"/>
          </w:tcPr>
          <w:p w14:paraId="1DB3684F" w14:textId="77777777" w:rsidR="00A71EEF" w:rsidRDefault="00A71EEF">
            <w:pPr>
              <w:pStyle w:val="TableParagraph"/>
              <w:spacing w:before="11"/>
              <w:rPr>
                <w:b/>
                <w:sz w:val="14"/>
              </w:rPr>
            </w:pPr>
          </w:p>
          <w:p w14:paraId="06B55C98" w14:textId="77777777" w:rsidR="00A71EEF" w:rsidRDefault="0081115D">
            <w:pPr>
              <w:pStyle w:val="TableParagraph"/>
              <w:ind w:left="152" w:right="37"/>
              <w:jc w:val="center"/>
              <w:rPr>
                <w:sz w:val="21"/>
              </w:rPr>
            </w:pPr>
            <w:r>
              <w:rPr>
                <w:sz w:val="21"/>
              </w:rPr>
              <w:t xml:space="preserve">— </w:t>
            </w:r>
          </w:p>
        </w:tc>
      </w:tr>
      <w:tr w:rsidR="00A71EEF" w14:paraId="789C0A25" w14:textId="77777777">
        <w:trPr>
          <w:trHeight w:val="501"/>
        </w:trPr>
        <w:tc>
          <w:tcPr>
            <w:tcW w:w="6217" w:type="dxa"/>
          </w:tcPr>
          <w:p w14:paraId="08ABCA03" w14:textId="77777777" w:rsidR="00A71EEF" w:rsidRDefault="00A71EEF">
            <w:pPr>
              <w:pStyle w:val="TableParagraph"/>
              <w:spacing w:before="11"/>
              <w:rPr>
                <w:b/>
                <w:sz w:val="14"/>
              </w:rPr>
            </w:pPr>
          </w:p>
          <w:p w14:paraId="41718AAA" w14:textId="77777777" w:rsidR="00A71EEF" w:rsidRDefault="0081115D">
            <w:pPr>
              <w:pStyle w:val="TableParagraph"/>
              <w:ind w:left="2509" w:right="2394"/>
              <w:jc w:val="center"/>
              <w:rPr>
                <w:sz w:val="21"/>
              </w:rPr>
            </w:pPr>
            <w:r>
              <w:rPr>
                <w:sz w:val="21"/>
              </w:rPr>
              <w:t xml:space="preserve">50 </w:t>
            </w:r>
          </w:p>
        </w:tc>
        <w:tc>
          <w:tcPr>
            <w:tcW w:w="768" w:type="dxa"/>
          </w:tcPr>
          <w:p w14:paraId="3BE170BA" w14:textId="77777777" w:rsidR="00A71EEF" w:rsidRDefault="00A71EEF">
            <w:pPr>
              <w:pStyle w:val="TableParagraph"/>
              <w:spacing w:before="11"/>
              <w:rPr>
                <w:b/>
                <w:sz w:val="14"/>
              </w:rPr>
            </w:pPr>
          </w:p>
          <w:p w14:paraId="52AE68A9" w14:textId="77777777" w:rsidR="00A71EEF" w:rsidRDefault="0081115D">
            <w:pPr>
              <w:pStyle w:val="TableParagraph"/>
              <w:ind w:right="110"/>
              <w:jc w:val="right"/>
              <w:rPr>
                <w:sz w:val="21"/>
              </w:rPr>
            </w:pPr>
            <w:r>
              <w:rPr>
                <w:sz w:val="21"/>
              </w:rPr>
              <w:t xml:space="preserve">-10 </w:t>
            </w:r>
          </w:p>
        </w:tc>
        <w:tc>
          <w:tcPr>
            <w:tcW w:w="771" w:type="dxa"/>
          </w:tcPr>
          <w:p w14:paraId="07F1F41D" w14:textId="77777777" w:rsidR="00A71EEF" w:rsidRDefault="00A71EEF">
            <w:pPr>
              <w:pStyle w:val="TableParagraph"/>
              <w:spacing w:before="11"/>
              <w:rPr>
                <w:b/>
                <w:sz w:val="14"/>
              </w:rPr>
            </w:pPr>
          </w:p>
          <w:p w14:paraId="682EB268" w14:textId="77777777" w:rsidR="00A71EEF" w:rsidRDefault="0081115D">
            <w:pPr>
              <w:pStyle w:val="TableParagraph"/>
              <w:ind w:left="225"/>
              <w:rPr>
                <w:sz w:val="21"/>
              </w:rPr>
            </w:pPr>
            <w:r>
              <w:rPr>
                <w:sz w:val="21"/>
              </w:rPr>
              <w:t xml:space="preserve">0.3 </w:t>
            </w:r>
          </w:p>
        </w:tc>
        <w:tc>
          <w:tcPr>
            <w:tcW w:w="768" w:type="dxa"/>
          </w:tcPr>
          <w:p w14:paraId="627F309F" w14:textId="77777777" w:rsidR="00A71EEF" w:rsidRDefault="00A71EEF">
            <w:pPr>
              <w:pStyle w:val="TableParagraph"/>
              <w:spacing w:before="11"/>
              <w:rPr>
                <w:b/>
                <w:sz w:val="14"/>
              </w:rPr>
            </w:pPr>
          </w:p>
          <w:p w14:paraId="447932BB" w14:textId="77777777" w:rsidR="00A71EEF" w:rsidRDefault="0081115D">
            <w:pPr>
              <w:pStyle w:val="TableParagraph"/>
              <w:ind w:left="152" w:right="37"/>
              <w:jc w:val="center"/>
              <w:rPr>
                <w:sz w:val="21"/>
              </w:rPr>
            </w:pPr>
            <w:r>
              <w:rPr>
                <w:sz w:val="21"/>
              </w:rPr>
              <w:t xml:space="preserve">— </w:t>
            </w:r>
          </w:p>
        </w:tc>
      </w:tr>
      <w:tr w:rsidR="00A71EEF" w14:paraId="131A2D07" w14:textId="77777777">
        <w:trPr>
          <w:trHeight w:val="498"/>
        </w:trPr>
        <w:tc>
          <w:tcPr>
            <w:tcW w:w="6217" w:type="dxa"/>
          </w:tcPr>
          <w:p w14:paraId="153E21F5" w14:textId="77777777" w:rsidR="00A71EEF" w:rsidRDefault="00A71EEF">
            <w:pPr>
              <w:pStyle w:val="TableParagraph"/>
              <w:spacing w:before="11"/>
              <w:rPr>
                <w:b/>
                <w:sz w:val="14"/>
              </w:rPr>
            </w:pPr>
          </w:p>
          <w:p w14:paraId="0BA978DE" w14:textId="77777777" w:rsidR="00A71EEF" w:rsidRDefault="0081115D">
            <w:pPr>
              <w:pStyle w:val="TableParagraph"/>
              <w:ind w:left="2509" w:right="2394"/>
              <w:jc w:val="center"/>
              <w:rPr>
                <w:sz w:val="21"/>
              </w:rPr>
            </w:pPr>
            <w:r>
              <w:rPr>
                <w:sz w:val="21"/>
              </w:rPr>
              <w:t xml:space="preserve">63 </w:t>
            </w:r>
          </w:p>
        </w:tc>
        <w:tc>
          <w:tcPr>
            <w:tcW w:w="768" w:type="dxa"/>
          </w:tcPr>
          <w:p w14:paraId="7F8E8D59" w14:textId="77777777" w:rsidR="00A71EEF" w:rsidRDefault="00A71EEF">
            <w:pPr>
              <w:pStyle w:val="TableParagraph"/>
              <w:spacing w:before="11"/>
              <w:rPr>
                <w:b/>
                <w:sz w:val="14"/>
              </w:rPr>
            </w:pPr>
          </w:p>
          <w:p w14:paraId="1AD19216" w14:textId="77777777" w:rsidR="00A71EEF" w:rsidRDefault="0081115D">
            <w:pPr>
              <w:pStyle w:val="TableParagraph"/>
              <w:ind w:right="110"/>
              <w:jc w:val="right"/>
              <w:rPr>
                <w:sz w:val="21"/>
              </w:rPr>
            </w:pPr>
            <w:r>
              <w:rPr>
                <w:sz w:val="21"/>
              </w:rPr>
              <w:t xml:space="preserve">-12 </w:t>
            </w:r>
          </w:p>
        </w:tc>
        <w:tc>
          <w:tcPr>
            <w:tcW w:w="771" w:type="dxa"/>
          </w:tcPr>
          <w:p w14:paraId="74DE081E" w14:textId="77777777" w:rsidR="00A71EEF" w:rsidRDefault="00A71EEF">
            <w:pPr>
              <w:pStyle w:val="TableParagraph"/>
              <w:spacing w:before="11"/>
              <w:rPr>
                <w:b/>
                <w:sz w:val="14"/>
              </w:rPr>
            </w:pPr>
          </w:p>
          <w:p w14:paraId="04EA5499" w14:textId="77777777" w:rsidR="00A71EEF" w:rsidRDefault="0081115D">
            <w:pPr>
              <w:pStyle w:val="TableParagraph"/>
              <w:ind w:left="172"/>
              <w:rPr>
                <w:sz w:val="21"/>
              </w:rPr>
            </w:pPr>
            <w:r>
              <w:rPr>
                <w:sz w:val="21"/>
              </w:rPr>
              <w:t xml:space="preserve">0.25 </w:t>
            </w:r>
          </w:p>
        </w:tc>
        <w:tc>
          <w:tcPr>
            <w:tcW w:w="768" w:type="dxa"/>
          </w:tcPr>
          <w:p w14:paraId="2CBC2210" w14:textId="77777777" w:rsidR="00A71EEF" w:rsidRDefault="00A71EEF">
            <w:pPr>
              <w:pStyle w:val="TableParagraph"/>
              <w:spacing w:before="11"/>
              <w:rPr>
                <w:b/>
                <w:sz w:val="14"/>
              </w:rPr>
            </w:pPr>
          </w:p>
          <w:p w14:paraId="4873874B" w14:textId="77777777" w:rsidR="00A71EEF" w:rsidRDefault="0081115D">
            <w:pPr>
              <w:pStyle w:val="TableParagraph"/>
              <w:ind w:left="152" w:right="40"/>
              <w:jc w:val="center"/>
              <w:rPr>
                <w:sz w:val="21"/>
              </w:rPr>
            </w:pPr>
            <w:r>
              <w:rPr>
                <w:sz w:val="21"/>
              </w:rPr>
              <w:t xml:space="preserve">0.25 </w:t>
            </w:r>
          </w:p>
        </w:tc>
      </w:tr>
      <w:tr w:rsidR="00A71EEF" w14:paraId="61FF66FB" w14:textId="77777777">
        <w:trPr>
          <w:trHeight w:val="501"/>
        </w:trPr>
        <w:tc>
          <w:tcPr>
            <w:tcW w:w="6217" w:type="dxa"/>
          </w:tcPr>
          <w:p w14:paraId="6E3E24C8" w14:textId="77777777" w:rsidR="00A71EEF" w:rsidRDefault="00A71EEF">
            <w:pPr>
              <w:pStyle w:val="TableParagraph"/>
              <w:spacing w:before="11"/>
              <w:rPr>
                <w:b/>
                <w:sz w:val="14"/>
              </w:rPr>
            </w:pPr>
          </w:p>
          <w:p w14:paraId="6115F22F" w14:textId="77777777" w:rsidR="00A71EEF" w:rsidRDefault="0081115D">
            <w:pPr>
              <w:pStyle w:val="TableParagraph"/>
              <w:ind w:left="2509" w:right="2394"/>
              <w:jc w:val="center"/>
              <w:rPr>
                <w:sz w:val="21"/>
              </w:rPr>
            </w:pPr>
            <w:r>
              <w:rPr>
                <w:sz w:val="21"/>
              </w:rPr>
              <w:t xml:space="preserve">80 </w:t>
            </w:r>
          </w:p>
        </w:tc>
        <w:tc>
          <w:tcPr>
            <w:tcW w:w="768" w:type="dxa"/>
          </w:tcPr>
          <w:p w14:paraId="21F8D3B6" w14:textId="77777777" w:rsidR="00A71EEF" w:rsidRDefault="00A71EEF">
            <w:pPr>
              <w:pStyle w:val="TableParagraph"/>
              <w:spacing w:before="11"/>
              <w:rPr>
                <w:b/>
                <w:sz w:val="14"/>
              </w:rPr>
            </w:pPr>
          </w:p>
          <w:p w14:paraId="61DEB067" w14:textId="77777777" w:rsidR="00A71EEF" w:rsidRDefault="0081115D">
            <w:pPr>
              <w:pStyle w:val="TableParagraph"/>
              <w:ind w:right="110"/>
              <w:jc w:val="right"/>
              <w:rPr>
                <w:sz w:val="21"/>
              </w:rPr>
            </w:pPr>
            <w:r>
              <w:rPr>
                <w:sz w:val="21"/>
              </w:rPr>
              <w:t xml:space="preserve">-14 </w:t>
            </w:r>
          </w:p>
        </w:tc>
        <w:tc>
          <w:tcPr>
            <w:tcW w:w="771" w:type="dxa"/>
          </w:tcPr>
          <w:p w14:paraId="37223D9B" w14:textId="77777777" w:rsidR="00A71EEF" w:rsidRDefault="00A71EEF">
            <w:pPr>
              <w:pStyle w:val="TableParagraph"/>
              <w:spacing w:before="11"/>
              <w:rPr>
                <w:b/>
                <w:sz w:val="14"/>
              </w:rPr>
            </w:pPr>
          </w:p>
          <w:p w14:paraId="37A22326" w14:textId="77777777" w:rsidR="00A71EEF" w:rsidRDefault="0081115D">
            <w:pPr>
              <w:pStyle w:val="TableParagraph"/>
              <w:ind w:left="225"/>
              <w:rPr>
                <w:sz w:val="21"/>
              </w:rPr>
            </w:pPr>
            <w:r>
              <w:rPr>
                <w:sz w:val="21"/>
              </w:rPr>
              <w:t xml:space="preserve">0.2 </w:t>
            </w:r>
          </w:p>
        </w:tc>
        <w:tc>
          <w:tcPr>
            <w:tcW w:w="768" w:type="dxa"/>
          </w:tcPr>
          <w:p w14:paraId="622B395A" w14:textId="77777777" w:rsidR="00A71EEF" w:rsidRDefault="00A71EEF">
            <w:pPr>
              <w:pStyle w:val="TableParagraph"/>
              <w:spacing w:before="11"/>
              <w:rPr>
                <w:b/>
                <w:sz w:val="14"/>
              </w:rPr>
            </w:pPr>
          </w:p>
          <w:p w14:paraId="2F4415A7" w14:textId="77777777" w:rsidR="00A71EEF" w:rsidRDefault="0081115D">
            <w:pPr>
              <w:pStyle w:val="TableParagraph"/>
              <w:ind w:left="152" w:right="37"/>
              <w:jc w:val="center"/>
              <w:rPr>
                <w:sz w:val="21"/>
              </w:rPr>
            </w:pPr>
            <w:r>
              <w:rPr>
                <w:sz w:val="21"/>
              </w:rPr>
              <w:t xml:space="preserve">— </w:t>
            </w:r>
          </w:p>
        </w:tc>
      </w:tr>
      <w:tr w:rsidR="00A71EEF" w14:paraId="4AEB00DB" w14:textId="77777777">
        <w:trPr>
          <w:trHeight w:val="499"/>
        </w:trPr>
        <w:tc>
          <w:tcPr>
            <w:tcW w:w="6217" w:type="dxa"/>
          </w:tcPr>
          <w:p w14:paraId="1E1E97AF" w14:textId="77777777" w:rsidR="00A71EEF" w:rsidRDefault="00A71EEF">
            <w:pPr>
              <w:pStyle w:val="TableParagraph"/>
              <w:spacing w:before="11"/>
              <w:rPr>
                <w:b/>
                <w:sz w:val="14"/>
              </w:rPr>
            </w:pPr>
          </w:p>
          <w:p w14:paraId="16ADC8A7" w14:textId="77777777" w:rsidR="00A71EEF" w:rsidRDefault="0081115D">
            <w:pPr>
              <w:pStyle w:val="TableParagraph"/>
              <w:spacing w:before="1"/>
              <w:ind w:left="2949"/>
              <w:rPr>
                <w:sz w:val="21"/>
              </w:rPr>
            </w:pPr>
            <w:r>
              <w:rPr>
                <w:sz w:val="21"/>
              </w:rPr>
              <w:t xml:space="preserve">100 </w:t>
            </w:r>
          </w:p>
        </w:tc>
        <w:tc>
          <w:tcPr>
            <w:tcW w:w="768" w:type="dxa"/>
          </w:tcPr>
          <w:p w14:paraId="23F76B5D" w14:textId="77777777" w:rsidR="00A71EEF" w:rsidRDefault="00A71EEF">
            <w:pPr>
              <w:pStyle w:val="TableParagraph"/>
              <w:spacing w:before="11"/>
              <w:rPr>
                <w:b/>
                <w:sz w:val="14"/>
              </w:rPr>
            </w:pPr>
          </w:p>
          <w:p w14:paraId="65DE8734" w14:textId="77777777" w:rsidR="00A71EEF" w:rsidRDefault="0081115D">
            <w:pPr>
              <w:pStyle w:val="TableParagraph"/>
              <w:spacing w:before="1"/>
              <w:ind w:right="110"/>
              <w:jc w:val="right"/>
              <w:rPr>
                <w:sz w:val="21"/>
              </w:rPr>
            </w:pPr>
            <w:r>
              <w:rPr>
                <w:sz w:val="21"/>
              </w:rPr>
              <w:t xml:space="preserve">-16 </w:t>
            </w:r>
          </w:p>
        </w:tc>
        <w:tc>
          <w:tcPr>
            <w:tcW w:w="771" w:type="dxa"/>
          </w:tcPr>
          <w:p w14:paraId="24F5CD7A" w14:textId="77777777" w:rsidR="00A71EEF" w:rsidRDefault="00A71EEF">
            <w:pPr>
              <w:pStyle w:val="TableParagraph"/>
              <w:spacing w:before="11"/>
              <w:rPr>
                <w:b/>
                <w:sz w:val="14"/>
              </w:rPr>
            </w:pPr>
          </w:p>
          <w:p w14:paraId="04D89744" w14:textId="77777777" w:rsidR="00A71EEF" w:rsidRDefault="0081115D">
            <w:pPr>
              <w:pStyle w:val="TableParagraph"/>
              <w:spacing w:before="1"/>
              <w:ind w:left="172"/>
              <w:rPr>
                <w:sz w:val="21"/>
              </w:rPr>
            </w:pPr>
            <w:r>
              <w:rPr>
                <w:sz w:val="21"/>
              </w:rPr>
              <w:t xml:space="preserve">0.16 </w:t>
            </w:r>
          </w:p>
        </w:tc>
        <w:tc>
          <w:tcPr>
            <w:tcW w:w="768" w:type="dxa"/>
          </w:tcPr>
          <w:p w14:paraId="042FCC4C" w14:textId="77777777" w:rsidR="00A71EEF" w:rsidRDefault="00A71EEF">
            <w:pPr>
              <w:pStyle w:val="TableParagraph"/>
              <w:spacing w:before="11"/>
              <w:rPr>
                <w:b/>
                <w:sz w:val="14"/>
              </w:rPr>
            </w:pPr>
          </w:p>
          <w:p w14:paraId="38BD22C0" w14:textId="77777777" w:rsidR="00A71EEF" w:rsidRDefault="0081115D">
            <w:pPr>
              <w:pStyle w:val="TableParagraph"/>
              <w:spacing w:before="1"/>
              <w:ind w:left="152" w:right="37"/>
              <w:jc w:val="center"/>
              <w:rPr>
                <w:sz w:val="21"/>
              </w:rPr>
            </w:pPr>
            <w:r>
              <w:rPr>
                <w:sz w:val="21"/>
              </w:rPr>
              <w:t xml:space="preserve">— </w:t>
            </w:r>
          </w:p>
        </w:tc>
      </w:tr>
      <w:tr w:rsidR="00A71EEF" w14:paraId="6A5DA5CC" w14:textId="77777777">
        <w:trPr>
          <w:trHeight w:val="501"/>
        </w:trPr>
        <w:tc>
          <w:tcPr>
            <w:tcW w:w="6217" w:type="dxa"/>
          </w:tcPr>
          <w:p w14:paraId="348CBAFC" w14:textId="77777777" w:rsidR="00A71EEF" w:rsidRDefault="00A71EEF">
            <w:pPr>
              <w:pStyle w:val="TableParagraph"/>
              <w:spacing w:before="11"/>
              <w:rPr>
                <w:b/>
                <w:sz w:val="14"/>
              </w:rPr>
            </w:pPr>
          </w:p>
          <w:p w14:paraId="15EE1ED4" w14:textId="77777777" w:rsidR="00A71EEF" w:rsidRDefault="0081115D">
            <w:pPr>
              <w:pStyle w:val="TableParagraph"/>
              <w:ind w:left="2949"/>
              <w:rPr>
                <w:sz w:val="21"/>
              </w:rPr>
            </w:pPr>
            <w:r>
              <w:rPr>
                <w:sz w:val="21"/>
              </w:rPr>
              <w:t xml:space="preserve">125 </w:t>
            </w:r>
          </w:p>
        </w:tc>
        <w:tc>
          <w:tcPr>
            <w:tcW w:w="768" w:type="dxa"/>
          </w:tcPr>
          <w:p w14:paraId="6B217737" w14:textId="77777777" w:rsidR="00A71EEF" w:rsidRDefault="00A71EEF">
            <w:pPr>
              <w:pStyle w:val="TableParagraph"/>
              <w:spacing w:before="11"/>
              <w:rPr>
                <w:b/>
                <w:sz w:val="14"/>
              </w:rPr>
            </w:pPr>
          </w:p>
          <w:p w14:paraId="7DE76EC4" w14:textId="77777777" w:rsidR="00A71EEF" w:rsidRDefault="0081115D">
            <w:pPr>
              <w:pStyle w:val="TableParagraph"/>
              <w:ind w:right="110"/>
              <w:jc w:val="right"/>
              <w:rPr>
                <w:sz w:val="21"/>
              </w:rPr>
            </w:pPr>
            <w:r>
              <w:rPr>
                <w:sz w:val="21"/>
              </w:rPr>
              <w:t xml:space="preserve">-18 </w:t>
            </w:r>
          </w:p>
        </w:tc>
        <w:tc>
          <w:tcPr>
            <w:tcW w:w="771" w:type="dxa"/>
          </w:tcPr>
          <w:p w14:paraId="329143B9" w14:textId="77777777" w:rsidR="00A71EEF" w:rsidRDefault="00A71EEF">
            <w:pPr>
              <w:pStyle w:val="TableParagraph"/>
              <w:spacing w:before="11"/>
              <w:rPr>
                <w:b/>
                <w:sz w:val="14"/>
              </w:rPr>
            </w:pPr>
          </w:p>
          <w:p w14:paraId="09DFE70D" w14:textId="77777777" w:rsidR="00A71EEF" w:rsidRDefault="0081115D">
            <w:pPr>
              <w:pStyle w:val="TableParagraph"/>
              <w:ind w:left="172"/>
              <w:rPr>
                <w:sz w:val="21"/>
              </w:rPr>
            </w:pPr>
            <w:r>
              <w:rPr>
                <w:sz w:val="21"/>
              </w:rPr>
              <w:t xml:space="preserve">0.13 </w:t>
            </w:r>
          </w:p>
        </w:tc>
        <w:tc>
          <w:tcPr>
            <w:tcW w:w="768" w:type="dxa"/>
          </w:tcPr>
          <w:p w14:paraId="6DAFA534" w14:textId="77777777" w:rsidR="00A71EEF" w:rsidRDefault="00A71EEF">
            <w:pPr>
              <w:pStyle w:val="TableParagraph"/>
              <w:spacing w:before="11"/>
              <w:rPr>
                <w:b/>
                <w:sz w:val="14"/>
              </w:rPr>
            </w:pPr>
          </w:p>
          <w:p w14:paraId="0661A0AC" w14:textId="77777777" w:rsidR="00A71EEF" w:rsidRDefault="0081115D">
            <w:pPr>
              <w:pStyle w:val="TableParagraph"/>
              <w:ind w:left="152" w:right="40"/>
              <w:jc w:val="center"/>
              <w:rPr>
                <w:sz w:val="21"/>
              </w:rPr>
            </w:pPr>
            <w:r>
              <w:rPr>
                <w:sz w:val="21"/>
              </w:rPr>
              <w:t xml:space="preserve">0.125 </w:t>
            </w:r>
          </w:p>
        </w:tc>
      </w:tr>
      <w:tr w:rsidR="00A71EEF" w14:paraId="61EB148B" w14:textId="77777777">
        <w:trPr>
          <w:trHeight w:val="498"/>
        </w:trPr>
        <w:tc>
          <w:tcPr>
            <w:tcW w:w="6217" w:type="dxa"/>
          </w:tcPr>
          <w:p w14:paraId="25AE6F9C" w14:textId="77777777" w:rsidR="00A71EEF" w:rsidRDefault="00A71EEF">
            <w:pPr>
              <w:pStyle w:val="TableParagraph"/>
              <w:spacing w:before="11"/>
              <w:rPr>
                <w:b/>
                <w:sz w:val="14"/>
              </w:rPr>
            </w:pPr>
          </w:p>
          <w:p w14:paraId="2FFC67C0" w14:textId="77777777" w:rsidR="00A71EEF" w:rsidRDefault="0081115D">
            <w:pPr>
              <w:pStyle w:val="TableParagraph"/>
              <w:ind w:left="2949"/>
              <w:rPr>
                <w:sz w:val="21"/>
              </w:rPr>
            </w:pPr>
            <w:r>
              <w:rPr>
                <w:sz w:val="21"/>
              </w:rPr>
              <w:t xml:space="preserve">160 </w:t>
            </w:r>
          </w:p>
        </w:tc>
        <w:tc>
          <w:tcPr>
            <w:tcW w:w="768" w:type="dxa"/>
          </w:tcPr>
          <w:p w14:paraId="0124ED72" w14:textId="77777777" w:rsidR="00A71EEF" w:rsidRDefault="00A71EEF">
            <w:pPr>
              <w:pStyle w:val="TableParagraph"/>
              <w:spacing w:before="11"/>
              <w:rPr>
                <w:b/>
                <w:sz w:val="14"/>
              </w:rPr>
            </w:pPr>
          </w:p>
          <w:p w14:paraId="00B5E6D7" w14:textId="77777777" w:rsidR="00A71EEF" w:rsidRDefault="0081115D">
            <w:pPr>
              <w:pStyle w:val="TableParagraph"/>
              <w:ind w:right="110"/>
              <w:jc w:val="right"/>
              <w:rPr>
                <w:sz w:val="21"/>
              </w:rPr>
            </w:pPr>
            <w:r>
              <w:rPr>
                <w:sz w:val="21"/>
              </w:rPr>
              <w:t xml:space="preserve">-20 </w:t>
            </w:r>
          </w:p>
        </w:tc>
        <w:tc>
          <w:tcPr>
            <w:tcW w:w="771" w:type="dxa"/>
          </w:tcPr>
          <w:p w14:paraId="5D6570F7" w14:textId="77777777" w:rsidR="00A71EEF" w:rsidRDefault="00A71EEF">
            <w:pPr>
              <w:pStyle w:val="TableParagraph"/>
              <w:spacing w:before="11"/>
              <w:rPr>
                <w:b/>
                <w:sz w:val="14"/>
              </w:rPr>
            </w:pPr>
          </w:p>
          <w:p w14:paraId="17AB952D" w14:textId="77777777" w:rsidR="00A71EEF" w:rsidRDefault="0081115D">
            <w:pPr>
              <w:pStyle w:val="TableParagraph"/>
              <w:ind w:left="172"/>
              <w:rPr>
                <w:sz w:val="21"/>
              </w:rPr>
            </w:pPr>
            <w:r>
              <w:rPr>
                <w:sz w:val="21"/>
              </w:rPr>
              <w:t xml:space="preserve">0.10 </w:t>
            </w:r>
          </w:p>
        </w:tc>
        <w:tc>
          <w:tcPr>
            <w:tcW w:w="768" w:type="dxa"/>
          </w:tcPr>
          <w:p w14:paraId="2C86979F" w14:textId="77777777" w:rsidR="00A71EEF" w:rsidRDefault="00A71EEF">
            <w:pPr>
              <w:pStyle w:val="TableParagraph"/>
              <w:spacing w:before="11"/>
              <w:rPr>
                <w:b/>
                <w:sz w:val="14"/>
              </w:rPr>
            </w:pPr>
          </w:p>
          <w:p w14:paraId="4273720C" w14:textId="77777777" w:rsidR="00A71EEF" w:rsidRDefault="0081115D">
            <w:pPr>
              <w:pStyle w:val="TableParagraph"/>
              <w:ind w:left="152" w:right="37"/>
              <w:jc w:val="center"/>
              <w:rPr>
                <w:sz w:val="21"/>
              </w:rPr>
            </w:pPr>
            <w:r>
              <w:rPr>
                <w:sz w:val="21"/>
              </w:rPr>
              <w:t xml:space="preserve">— </w:t>
            </w:r>
          </w:p>
        </w:tc>
      </w:tr>
      <w:tr w:rsidR="00A71EEF" w14:paraId="647A154C" w14:textId="77777777">
        <w:trPr>
          <w:trHeight w:val="501"/>
        </w:trPr>
        <w:tc>
          <w:tcPr>
            <w:tcW w:w="6217" w:type="dxa"/>
          </w:tcPr>
          <w:p w14:paraId="127FFEB4" w14:textId="77777777" w:rsidR="00A71EEF" w:rsidRDefault="00A71EEF">
            <w:pPr>
              <w:pStyle w:val="TableParagraph"/>
              <w:spacing w:before="11"/>
              <w:rPr>
                <w:b/>
                <w:sz w:val="14"/>
              </w:rPr>
            </w:pPr>
          </w:p>
          <w:p w14:paraId="535AE993" w14:textId="77777777" w:rsidR="00A71EEF" w:rsidRDefault="0081115D">
            <w:pPr>
              <w:pStyle w:val="TableParagraph"/>
              <w:ind w:left="2949"/>
              <w:rPr>
                <w:sz w:val="21"/>
              </w:rPr>
            </w:pPr>
            <w:r>
              <w:rPr>
                <w:sz w:val="21"/>
              </w:rPr>
              <w:t xml:space="preserve">200 </w:t>
            </w:r>
          </w:p>
        </w:tc>
        <w:tc>
          <w:tcPr>
            <w:tcW w:w="768" w:type="dxa"/>
          </w:tcPr>
          <w:p w14:paraId="61BF905B" w14:textId="77777777" w:rsidR="00A71EEF" w:rsidRDefault="00A71EEF">
            <w:pPr>
              <w:pStyle w:val="TableParagraph"/>
              <w:spacing w:before="11"/>
              <w:rPr>
                <w:b/>
                <w:sz w:val="14"/>
              </w:rPr>
            </w:pPr>
          </w:p>
          <w:p w14:paraId="0D11D8BD" w14:textId="77777777" w:rsidR="00A71EEF" w:rsidRDefault="0081115D">
            <w:pPr>
              <w:pStyle w:val="TableParagraph"/>
              <w:ind w:right="110"/>
              <w:jc w:val="right"/>
              <w:rPr>
                <w:sz w:val="21"/>
              </w:rPr>
            </w:pPr>
            <w:r>
              <w:rPr>
                <w:sz w:val="21"/>
              </w:rPr>
              <w:t xml:space="preserve">-22 </w:t>
            </w:r>
          </w:p>
        </w:tc>
        <w:tc>
          <w:tcPr>
            <w:tcW w:w="771" w:type="dxa"/>
          </w:tcPr>
          <w:p w14:paraId="00B490CC" w14:textId="77777777" w:rsidR="00A71EEF" w:rsidRDefault="00A71EEF">
            <w:pPr>
              <w:pStyle w:val="TableParagraph"/>
              <w:spacing w:before="11"/>
              <w:rPr>
                <w:b/>
                <w:sz w:val="14"/>
              </w:rPr>
            </w:pPr>
          </w:p>
          <w:p w14:paraId="2A239630" w14:textId="77777777" w:rsidR="00A71EEF" w:rsidRDefault="0081115D">
            <w:pPr>
              <w:pStyle w:val="TableParagraph"/>
              <w:ind w:left="172"/>
              <w:rPr>
                <w:sz w:val="21"/>
              </w:rPr>
            </w:pPr>
            <w:r>
              <w:rPr>
                <w:sz w:val="21"/>
              </w:rPr>
              <w:t xml:space="preserve">0.08 </w:t>
            </w:r>
          </w:p>
        </w:tc>
        <w:tc>
          <w:tcPr>
            <w:tcW w:w="768" w:type="dxa"/>
          </w:tcPr>
          <w:p w14:paraId="32456C22" w14:textId="77777777" w:rsidR="00A71EEF" w:rsidRDefault="00A71EEF">
            <w:pPr>
              <w:pStyle w:val="TableParagraph"/>
              <w:spacing w:before="11"/>
              <w:rPr>
                <w:b/>
                <w:sz w:val="14"/>
              </w:rPr>
            </w:pPr>
          </w:p>
          <w:p w14:paraId="2C521847" w14:textId="77777777" w:rsidR="00A71EEF" w:rsidRDefault="0081115D">
            <w:pPr>
              <w:pStyle w:val="TableParagraph"/>
              <w:ind w:left="152" w:right="37"/>
              <w:jc w:val="center"/>
              <w:rPr>
                <w:sz w:val="21"/>
              </w:rPr>
            </w:pPr>
            <w:r>
              <w:rPr>
                <w:sz w:val="21"/>
              </w:rPr>
              <w:t xml:space="preserve">— </w:t>
            </w:r>
          </w:p>
        </w:tc>
      </w:tr>
      <w:tr w:rsidR="00A71EEF" w14:paraId="78323807" w14:textId="77777777">
        <w:trPr>
          <w:trHeight w:val="498"/>
        </w:trPr>
        <w:tc>
          <w:tcPr>
            <w:tcW w:w="6217" w:type="dxa"/>
          </w:tcPr>
          <w:p w14:paraId="3A900154" w14:textId="77777777" w:rsidR="00A71EEF" w:rsidRDefault="00A71EEF">
            <w:pPr>
              <w:pStyle w:val="TableParagraph"/>
              <w:spacing w:before="11"/>
              <w:rPr>
                <w:b/>
                <w:sz w:val="14"/>
              </w:rPr>
            </w:pPr>
          </w:p>
          <w:p w14:paraId="418FC749" w14:textId="77777777" w:rsidR="00A71EEF" w:rsidRDefault="0081115D">
            <w:pPr>
              <w:pStyle w:val="TableParagraph"/>
              <w:ind w:left="2949"/>
              <w:rPr>
                <w:sz w:val="21"/>
              </w:rPr>
            </w:pPr>
            <w:r>
              <w:rPr>
                <w:sz w:val="21"/>
              </w:rPr>
              <w:t xml:space="preserve">250 </w:t>
            </w:r>
          </w:p>
        </w:tc>
        <w:tc>
          <w:tcPr>
            <w:tcW w:w="768" w:type="dxa"/>
          </w:tcPr>
          <w:p w14:paraId="43DD1835" w14:textId="77777777" w:rsidR="00A71EEF" w:rsidRDefault="00A71EEF">
            <w:pPr>
              <w:pStyle w:val="TableParagraph"/>
              <w:spacing w:before="11"/>
              <w:rPr>
                <w:b/>
                <w:sz w:val="14"/>
              </w:rPr>
            </w:pPr>
          </w:p>
          <w:p w14:paraId="13F6772F" w14:textId="77777777" w:rsidR="00A71EEF" w:rsidRDefault="0081115D">
            <w:pPr>
              <w:pStyle w:val="TableParagraph"/>
              <w:ind w:right="110"/>
              <w:jc w:val="right"/>
              <w:rPr>
                <w:sz w:val="21"/>
              </w:rPr>
            </w:pPr>
            <w:r>
              <w:rPr>
                <w:sz w:val="21"/>
              </w:rPr>
              <w:t xml:space="preserve">-24 </w:t>
            </w:r>
          </w:p>
        </w:tc>
        <w:tc>
          <w:tcPr>
            <w:tcW w:w="771" w:type="dxa"/>
          </w:tcPr>
          <w:p w14:paraId="7146F5F3" w14:textId="77777777" w:rsidR="00A71EEF" w:rsidRDefault="00A71EEF">
            <w:pPr>
              <w:pStyle w:val="TableParagraph"/>
              <w:spacing w:before="11"/>
              <w:rPr>
                <w:b/>
                <w:sz w:val="14"/>
              </w:rPr>
            </w:pPr>
          </w:p>
          <w:p w14:paraId="4A566E1A" w14:textId="77777777" w:rsidR="00A71EEF" w:rsidRDefault="0081115D">
            <w:pPr>
              <w:pStyle w:val="TableParagraph"/>
              <w:ind w:left="172"/>
              <w:rPr>
                <w:sz w:val="21"/>
              </w:rPr>
            </w:pPr>
            <w:r>
              <w:rPr>
                <w:sz w:val="21"/>
              </w:rPr>
              <w:t xml:space="preserve">0.06 </w:t>
            </w:r>
          </w:p>
        </w:tc>
        <w:tc>
          <w:tcPr>
            <w:tcW w:w="768" w:type="dxa"/>
          </w:tcPr>
          <w:p w14:paraId="70CABAFA" w14:textId="77777777" w:rsidR="00A71EEF" w:rsidRDefault="00A71EEF">
            <w:pPr>
              <w:pStyle w:val="TableParagraph"/>
              <w:spacing w:before="11"/>
              <w:rPr>
                <w:b/>
                <w:sz w:val="14"/>
              </w:rPr>
            </w:pPr>
          </w:p>
          <w:p w14:paraId="2C73F95D" w14:textId="77777777" w:rsidR="00A71EEF" w:rsidRDefault="0081115D">
            <w:pPr>
              <w:pStyle w:val="TableParagraph"/>
              <w:ind w:left="152" w:right="40"/>
              <w:jc w:val="center"/>
              <w:rPr>
                <w:sz w:val="21"/>
              </w:rPr>
            </w:pPr>
            <w:r>
              <w:rPr>
                <w:sz w:val="21"/>
              </w:rPr>
              <w:t xml:space="preserve">0.063 </w:t>
            </w:r>
          </w:p>
        </w:tc>
      </w:tr>
      <w:tr w:rsidR="00A71EEF" w14:paraId="45E7E72F" w14:textId="77777777">
        <w:trPr>
          <w:trHeight w:val="501"/>
        </w:trPr>
        <w:tc>
          <w:tcPr>
            <w:tcW w:w="6217" w:type="dxa"/>
          </w:tcPr>
          <w:p w14:paraId="399C5D2E" w14:textId="77777777" w:rsidR="00A71EEF" w:rsidRDefault="00A71EEF">
            <w:pPr>
              <w:pStyle w:val="TableParagraph"/>
              <w:spacing w:before="11"/>
              <w:rPr>
                <w:b/>
                <w:sz w:val="14"/>
              </w:rPr>
            </w:pPr>
          </w:p>
          <w:p w14:paraId="3EAF7245" w14:textId="77777777" w:rsidR="00A71EEF" w:rsidRDefault="0081115D">
            <w:pPr>
              <w:pStyle w:val="TableParagraph"/>
              <w:ind w:left="2949"/>
              <w:rPr>
                <w:sz w:val="21"/>
              </w:rPr>
            </w:pPr>
            <w:r>
              <w:rPr>
                <w:sz w:val="21"/>
              </w:rPr>
              <w:t xml:space="preserve">315 </w:t>
            </w:r>
          </w:p>
        </w:tc>
        <w:tc>
          <w:tcPr>
            <w:tcW w:w="768" w:type="dxa"/>
          </w:tcPr>
          <w:p w14:paraId="6BBFA29F" w14:textId="77777777" w:rsidR="00A71EEF" w:rsidRDefault="00A71EEF">
            <w:pPr>
              <w:pStyle w:val="TableParagraph"/>
              <w:spacing w:before="11"/>
              <w:rPr>
                <w:b/>
                <w:sz w:val="14"/>
              </w:rPr>
            </w:pPr>
          </w:p>
          <w:p w14:paraId="31CE9AA2" w14:textId="77777777" w:rsidR="00A71EEF" w:rsidRDefault="0081115D">
            <w:pPr>
              <w:pStyle w:val="TableParagraph"/>
              <w:ind w:right="110"/>
              <w:jc w:val="right"/>
              <w:rPr>
                <w:sz w:val="21"/>
              </w:rPr>
            </w:pPr>
            <w:r>
              <w:rPr>
                <w:sz w:val="21"/>
              </w:rPr>
              <w:t xml:space="preserve">-26 </w:t>
            </w:r>
          </w:p>
        </w:tc>
        <w:tc>
          <w:tcPr>
            <w:tcW w:w="771" w:type="dxa"/>
          </w:tcPr>
          <w:p w14:paraId="5E0F0FD8" w14:textId="77777777" w:rsidR="00A71EEF" w:rsidRDefault="00A71EEF">
            <w:pPr>
              <w:pStyle w:val="TableParagraph"/>
              <w:spacing w:before="11"/>
              <w:rPr>
                <w:b/>
                <w:sz w:val="14"/>
              </w:rPr>
            </w:pPr>
          </w:p>
          <w:p w14:paraId="02DFA6E4" w14:textId="77777777" w:rsidR="00A71EEF" w:rsidRDefault="0081115D">
            <w:pPr>
              <w:pStyle w:val="TableParagraph"/>
              <w:ind w:left="172"/>
              <w:rPr>
                <w:sz w:val="21"/>
              </w:rPr>
            </w:pPr>
            <w:r>
              <w:rPr>
                <w:sz w:val="21"/>
              </w:rPr>
              <w:t xml:space="preserve">0.06 </w:t>
            </w:r>
          </w:p>
        </w:tc>
        <w:tc>
          <w:tcPr>
            <w:tcW w:w="768" w:type="dxa"/>
          </w:tcPr>
          <w:p w14:paraId="59122F00" w14:textId="77777777" w:rsidR="00A71EEF" w:rsidRDefault="00A71EEF">
            <w:pPr>
              <w:pStyle w:val="TableParagraph"/>
              <w:spacing w:before="11"/>
              <w:rPr>
                <w:b/>
                <w:sz w:val="14"/>
              </w:rPr>
            </w:pPr>
          </w:p>
          <w:p w14:paraId="29A1F95B" w14:textId="77777777" w:rsidR="00A71EEF" w:rsidRDefault="0081115D">
            <w:pPr>
              <w:pStyle w:val="TableParagraph"/>
              <w:ind w:left="152" w:right="37"/>
              <w:jc w:val="center"/>
              <w:rPr>
                <w:sz w:val="21"/>
              </w:rPr>
            </w:pPr>
            <w:r>
              <w:rPr>
                <w:sz w:val="21"/>
              </w:rPr>
              <w:t xml:space="preserve">— </w:t>
            </w:r>
          </w:p>
        </w:tc>
      </w:tr>
      <w:tr w:rsidR="00A71EEF" w14:paraId="7DC44A4D" w14:textId="77777777">
        <w:trPr>
          <w:trHeight w:val="499"/>
        </w:trPr>
        <w:tc>
          <w:tcPr>
            <w:tcW w:w="6217" w:type="dxa"/>
          </w:tcPr>
          <w:p w14:paraId="6C9CC8B8" w14:textId="77777777" w:rsidR="00A71EEF" w:rsidRDefault="00A71EEF">
            <w:pPr>
              <w:pStyle w:val="TableParagraph"/>
              <w:spacing w:before="11"/>
              <w:rPr>
                <w:b/>
                <w:sz w:val="14"/>
              </w:rPr>
            </w:pPr>
          </w:p>
          <w:p w14:paraId="55CD2218" w14:textId="77777777" w:rsidR="00A71EEF" w:rsidRDefault="0081115D">
            <w:pPr>
              <w:pStyle w:val="TableParagraph"/>
              <w:ind w:left="2949"/>
              <w:rPr>
                <w:sz w:val="21"/>
              </w:rPr>
            </w:pPr>
            <w:r>
              <w:rPr>
                <w:sz w:val="21"/>
              </w:rPr>
              <w:t xml:space="preserve">400 </w:t>
            </w:r>
          </w:p>
        </w:tc>
        <w:tc>
          <w:tcPr>
            <w:tcW w:w="768" w:type="dxa"/>
          </w:tcPr>
          <w:p w14:paraId="39A1D83F" w14:textId="77777777" w:rsidR="00A71EEF" w:rsidRDefault="00A71EEF">
            <w:pPr>
              <w:pStyle w:val="TableParagraph"/>
              <w:spacing w:before="11"/>
              <w:rPr>
                <w:b/>
                <w:sz w:val="14"/>
              </w:rPr>
            </w:pPr>
          </w:p>
          <w:p w14:paraId="10F1C773" w14:textId="77777777" w:rsidR="00A71EEF" w:rsidRDefault="0081115D">
            <w:pPr>
              <w:pStyle w:val="TableParagraph"/>
              <w:ind w:right="110"/>
              <w:jc w:val="right"/>
              <w:rPr>
                <w:sz w:val="21"/>
              </w:rPr>
            </w:pPr>
            <w:r>
              <w:rPr>
                <w:sz w:val="21"/>
              </w:rPr>
              <w:t xml:space="preserve">-28 </w:t>
            </w:r>
          </w:p>
        </w:tc>
        <w:tc>
          <w:tcPr>
            <w:tcW w:w="771" w:type="dxa"/>
          </w:tcPr>
          <w:p w14:paraId="267D4319" w14:textId="77777777" w:rsidR="00A71EEF" w:rsidRDefault="00A71EEF">
            <w:pPr>
              <w:pStyle w:val="TableParagraph"/>
              <w:spacing w:before="11"/>
              <w:rPr>
                <w:b/>
                <w:sz w:val="14"/>
              </w:rPr>
            </w:pPr>
          </w:p>
          <w:p w14:paraId="2E83D207" w14:textId="77777777" w:rsidR="00A71EEF" w:rsidRDefault="0081115D">
            <w:pPr>
              <w:pStyle w:val="TableParagraph"/>
              <w:ind w:left="172"/>
              <w:rPr>
                <w:sz w:val="21"/>
              </w:rPr>
            </w:pPr>
            <w:r>
              <w:rPr>
                <w:sz w:val="21"/>
              </w:rPr>
              <w:t xml:space="preserve">0.04 </w:t>
            </w:r>
          </w:p>
        </w:tc>
        <w:tc>
          <w:tcPr>
            <w:tcW w:w="768" w:type="dxa"/>
          </w:tcPr>
          <w:p w14:paraId="121D1603" w14:textId="77777777" w:rsidR="00A71EEF" w:rsidRDefault="00A71EEF">
            <w:pPr>
              <w:pStyle w:val="TableParagraph"/>
              <w:spacing w:before="11"/>
              <w:rPr>
                <w:b/>
                <w:sz w:val="14"/>
              </w:rPr>
            </w:pPr>
          </w:p>
          <w:p w14:paraId="00E21ECD" w14:textId="77777777" w:rsidR="00A71EEF" w:rsidRDefault="0081115D">
            <w:pPr>
              <w:pStyle w:val="TableParagraph"/>
              <w:ind w:left="152" w:right="37"/>
              <w:jc w:val="center"/>
              <w:rPr>
                <w:sz w:val="21"/>
              </w:rPr>
            </w:pPr>
            <w:r>
              <w:rPr>
                <w:sz w:val="21"/>
              </w:rPr>
              <w:t xml:space="preserve">— </w:t>
            </w:r>
          </w:p>
        </w:tc>
      </w:tr>
      <w:tr w:rsidR="00A71EEF" w14:paraId="4DEF9AF2" w14:textId="77777777">
        <w:trPr>
          <w:trHeight w:val="501"/>
        </w:trPr>
        <w:tc>
          <w:tcPr>
            <w:tcW w:w="6217" w:type="dxa"/>
          </w:tcPr>
          <w:p w14:paraId="6E637624" w14:textId="77777777" w:rsidR="00A71EEF" w:rsidRDefault="00A71EEF">
            <w:pPr>
              <w:pStyle w:val="TableParagraph"/>
              <w:spacing w:before="11"/>
              <w:rPr>
                <w:b/>
                <w:sz w:val="14"/>
              </w:rPr>
            </w:pPr>
          </w:p>
          <w:p w14:paraId="78B8265B" w14:textId="77777777" w:rsidR="00A71EEF" w:rsidRDefault="0081115D">
            <w:pPr>
              <w:pStyle w:val="TableParagraph"/>
              <w:ind w:left="2949"/>
              <w:rPr>
                <w:sz w:val="21"/>
              </w:rPr>
            </w:pPr>
            <w:r>
              <w:rPr>
                <w:sz w:val="21"/>
              </w:rPr>
              <w:t xml:space="preserve">500 </w:t>
            </w:r>
          </w:p>
        </w:tc>
        <w:tc>
          <w:tcPr>
            <w:tcW w:w="768" w:type="dxa"/>
          </w:tcPr>
          <w:p w14:paraId="4BA464D3" w14:textId="77777777" w:rsidR="00A71EEF" w:rsidRDefault="00A71EEF">
            <w:pPr>
              <w:pStyle w:val="TableParagraph"/>
              <w:spacing w:before="11"/>
              <w:rPr>
                <w:b/>
                <w:sz w:val="14"/>
              </w:rPr>
            </w:pPr>
          </w:p>
          <w:p w14:paraId="7CBCBE8D" w14:textId="77777777" w:rsidR="00A71EEF" w:rsidRDefault="0081115D">
            <w:pPr>
              <w:pStyle w:val="TableParagraph"/>
              <w:ind w:right="110"/>
              <w:jc w:val="right"/>
              <w:rPr>
                <w:sz w:val="21"/>
              </w:rPr>
            </w:pPr>
            <w:r>
              <w:rPr>
                <w:sz w:val="21"/>
              </w:rPr>
              <w:t xml:space="preserve">-30 </w:t>
            </w:r>
          </w:p>
        </w:tc>
        <w:tc>
          <w:tcPr>
            <w:tcW w:w="771" w:type="dxa"/>
          </w:tcPr>
          <w:p w14:paraId="6FE7277F" w14:textId="77777777" w:rsidR="00A71EEF" w:rsidRDefault="00A71EEF">
            <w:pPr>
              <w:pStyle w:val="TableParagraph"/>
              <w:spacing w:before="11"/>
              <w:rPr>
                <w:b/>
                <w:sz w:val="14"/>
              </w:rPr>
            </w:pPr>
          </w:p>
          <w:p w14:paraId="11E33225" w14:textId="77777777" w:rsidR="00A71EEF" w:rsidRDefault="0081115D">
            <w:pPr>
              <w:pStyle w:val="TableParagraph"/>
              <w:ind w:left="172"/>
              <w:rPr>
                <w:sz w:val="21"/>
              </w:rPr>
            </w:pPr>
            <w:r>
              <w:rPr>
                <w:sz w:val="21"/>
              </w:rPr>
              <w:t xml:space="preserve">0.03 </w:t>
            </w:r>
          </w:p>
        </w:tc>
        <w:tc>
          <w:tcPr>
            <w:tcW w:w="768" w:type="dxa"/>
          </w:tcPr>
          <w:p w14:paraId="5407646C" w14:textId="77777777" w:rsidR="00A71EEF" w:rsidRDefault="00A71EEF">
            <w:pPr>
              <w:pStyle w:val="TableParagraph"/>
              <w:spacing w:before="11"/>
              <w:rPr>
                <w:b/>
                <w:sz w:val="14"/>
              </w:rPr>
            </w:pPr>
          </w:p>
          <w:p w14:paraId="3AA458CE" w14:textId="77777777" w:rsidR="00A71EEF" w:rsidRDefault="0081115D">
            <w:pPr>
              <w:pStyle w:val="TableParagraph"/>
              <w:ind w:left="152" w:right="40"/>
              <w:jc w:val="center"/>
              <w:rPr>
                <w:sz w:val="21"/>
              </w:rPr>
            </w:pPr>
            <w:r>
              <w:rPr>
                <w:sz w:val="21"/>
              </w:rPr>
              <w:t xml:space="preserve">0.03 </w:t>
            </w:r>
          </w:p>
        </w:tc>
      </w:tr>
      <w:tr w:rsidR="00A71EEF" w14:paraId="07546F70" w14:textId="77777777">
        <w:trPr>
          <w:trHeight w:val="498"/>
        </w:trPr>
        <w:tc>
          <w:tcPr>
            <w:tcW w:w="6217" w:type="dxa"/>
          </w:tcPr>
          <w:p w14:paraId="7C181405" w14:textId="77777777" w:rsidR="00A71EEF" w:rsidRDefault="00A71EEF">
            <w:pPr>
              <w:pStyle w:val="TableParagraph"/>
              <w:spacing w:before="11"/>
              <w:rPr>
                <w:b/>
                <w:sz w:val="14"/>
              </w:rPr>
            </w:pPr>
          </w:p>
          <w:p w14:paraId="42C5096A" w14:textId="77777777" w:rsidR="00A71EEF" w:rsidRDefault="0081115D">
            <w:pPr>
              <w:pStyle w:val="TableParagraph"/>
              <w:ind w:left="2949"/>
              <w:rPr>
                <w:sz w:val="21"/>
              </w:rPr>
            </w:pPr>
            <w:r>
              <w:rPr>
                <w:sz w:val="21"/>
              </w:rPr>
              <w:t xml:space="preserve">630 </w:t>
            </w:r>
          </w:p>
        </w:tc>
        <w:tc>
          <w:tcPr>
            <w:tcW w:w="768" w:type="dxa"/>
          </w:tcPr>
          <w:p w14:paraId="1C06FC41" w14:textId="77777777" w:rsidR="00A71EEF" w:rsidRDefault="00A71EEF">
            <w:pPr>
              <w:pStyle w:val="TableParagraph"/>
              <w:spacing w:before="11"/>
              <w:rPr>
                <w:b/>
                <w:sz w:val="14"/>
              </w:rPr>
            </w:pPr>
          </w:p>
          <w:p w14:paraId="53080DCC" w14:textId="77777777" w:rsidR="00A71EEF" w:rsidRDefault="0081115D">
            <w:pPr>
              <w:pStyle w:val="TableParagraph"/>
              <w:ind w:right="110"/>
              <w:jc w:val="right"/>
              <w:rPr>
                <w:sz w:val="21"/>
              </w:rPr>
            </w:pPr>
            <w:r>
              <w:rPr>
                <w:sz w:val="21"/>
              </w:rPr>
              <w:t xml:space="preserve">-32 </w:t>
            </w:r>
          </w:p>
        </w:tc>
        <w:tc>
          <w:tcPr>
            <w:tcW w:w="771" w:type="dxa"/>
          </w:tcPr>
          <w:p w14:paraId="7706302F" w14:textId="77777777" w:rsidR="00A71EEF" w:rsidRDefault="00A71EEF">
            <w:pPr>
              <w:pStyle w:val="TableParagraph"/>
              <w:spacing w:before="11"/>
              <w:rPr>
                <w:b/>
                <w:sz w:val="14"/>
              </w:rPr>
            </w:pPr>
          </w:p>
          <w:p w14:paraId="43737C8D" w14:textId="77777777" w:rsidR="00A71EEF" w:rsidRDefault="0081115D">
            <w:pPr>
              <w:pStyle w:val="TableParagraph"/>
              <w:ind w:left="172"/>
              <w:rPr>
                <w:sz w:val="21"/>
              </w:rPr>
            </w:pPr>
            <w:r>
              <w:rPr>
                <w:sz w:val="21"/>
              </w:rPr>
              <w:t xml:space="preserve">0.03 </w:t>
            </w:r>
          </w:p>
        </w:tc>
        <w:tc>
          <w:tcPr>
            <w:tcW w:w="768" w:type="dxa"/>
          </w:tcPr>
          <w:p w14:paraId="407E0244" w14:textId="77777777" w:rsidR="00A71EEF" w:rsidRDefault="00A71EEF">
            <w:pPr>
              <w:pStyle w:val="TableParagraph"/>
              <w:spacing w:before="11"/>
              <w:rPr>
                <w:b/>
                <w:sz w:val="14"/>
              </w:rPr>
            </w:pPr>
          </w:p>
          <w:p w14:paraId="3D29CAC3" w14:textId="77777777" w:rsidR="00A71EEF" w:rsidRDefault="0081115D">
            <w:pPr>
              <w:pStyle w:val="TableParagraph"/>
              <w:ind w:left="152" w:right="37"/>
              <w:jc w:val="center"/>
              <w:rPr>
                <w:sz w:val="21"/>
              </w:rPr>
            </w:pPr>
            <w:r>
              <w:rPr>
                <w:sz w:val="21"/>
              </w:rPr>
              <w:t xml:space="preserve">— </w:t>
            </w:r>
          </w:p>
        </w:tc>
      </w:tr>
    </w:tbl>
    <w:p w14:paraId="4D43D1EF" w14:textId="77777777" w:rsidR="00A71EEF" w:rsidRDefault="00A71EEF">
      <w:pPr>
        <w:jc w:val="center"/>
        <w:rPr>
          <w:sz w:val="21"/>
        </w:rPr>
        <w:sectPr w:rsidR="00A71EEF">
          <w:pgSz w:w="11910" w:h="16850"/>
          <w:pgMar w:top="1040" w:right="0" w:bottom="1420" w:left="1260" w:header="0" w:footer="1239" w:gutter="0"/>
          <w:cols w:space="720"/>
        </w:sectPr>
      </w:pP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17"/>
        <w:gridCol w:w="768"/>
        <w:gridCol w:w="771"/>
        <w:gridCol w:w="768"/>
      </w:tblGrid>
      <w:tr w:rsidR="00A71EEF" w14:paraId="7A4DF9C5" w14:textId="77777777">
        <w:trPr>
          <w:trHeight w:val="499"/>
        </w:trPr>
        <w:tc>
          <w:tcPr>
            <w:tcW w:w="6217" w:type="dxa"/>
          </w:tcPr>
          <w:p w14:paraId="3DD9AB25" w14:textId="77777777" w:rsidR="00A71EEF" w:rsidRDefault="00A71EEF">
            <w:pPr>
              <w:pStyle w:val="TableParagraph"/>
              <w:spacing w:before="8"/>
              <w:rPr>
                <w:b/>
                <w:sz w:val="14"/>
              </w:rPr>
            </w:pPr>
          </w:p>
          <w:p w14:paraId="628784CE" w14:textId="77777777" w:rsidR="00A71EEF" w:rsidRDefault="0081115D">
            <w:pPr>
              <w:pStyle w:val="TableParagraph"/>
              <w:ind w:left="2509" w:right="2397"/>
              <w:jc w:val="center"/>
              <w:rPr>
                <w:sz w:val="21"/>
              </w:rPr>
            </w:pPr>
            <w:r>
              <w:rPr>
                <w:sz w:val="21"/>
              </w:rPr>
              <w:t xml:space="preserve">800 </w:t>
            </w:r>
          </w:p>
        </w:tc>
        <w:tc>
          <w:tcPr>
            <w:tcW w:w="768" w:type="dxa"/>
          </w:tcPr>
          <w:p w14:paraId="03FEAEED" w14:textId="77777777" w:rsidR="00A71EEF" w:rsidRDefault="00A71EEF">
            <w:pPr>
              <w:pStyle w:val="TableParagraph"/>
              <w:spacing w:before="8"/>
              <w:rPr>
                <w:b/>
                <w:sz w:val="14"/>
              </w:rPr>
            </w:pPr>
          </w:p>
          <w:p w14:paraId="5C8976A3" w14:textId="77777777" w:rsidR="00A71EEF" w:rsidRDefault="0081115D">
            <w:pPr>
              <w:pStyle w:val="TableParagraph"/>
              <w:ind w:right="110"/>
              <w:jc w:val="right"/>
              <w:rPr>
                <w:sz w:val="21"/>
              </w:rPr>
            </w:pPr>
            <w:r>
              <w:rPr>
                <w:sz w:val="21"/>
              </w:rPr>
              <w:t xml:space="preserve">-34 </w:t>
            </w:r>
          </w:p>
        </w:tc>
        <w:tc>
          <w:tcPr>
            <w:tcW w:w="771" w:type="dxa"/>
          </w:tcPr>
          <w:p w14:paraId="2099426E" w14:textId="77777777" w:rsidR="00A71EEF" w:rsidRDefault="00A71EEF">
            <w:pPr>
              <w:pStyle w:val="TableParagraph"/>
              <w:spacing w:before="8"/>
              <w:rPr>
                <w:b/>
                <w:sz w:val="14"/>
              </w:rPr>
            </w:pPr>
          </w:p>
          <w:p w14:paraId="32962910" w14:textId="77777777" w:rsidR="00A71EEF" w:rsidRDefault="0081115D">
            <w:pPr>
              <w:pStyle w:val="TableParagraph"/>
              <w:ind w:right="60"/>
              <w:jc w:val="right"/>
              <w:rPr>
                <w:sz w:val="21"/>
              </w:rPr>
            </w:pPr>
            <w:r>
              <w:rPr>
                <w:sz w:val="21"/>
              </w:rPr>
              <w:t xml:space="preserve">0.02 </w:t>
            </w:r>
          </w:p>
        </w:tc>
        <w:tc>
          <w:tcPr>
            <w:tcW w:w="768" w:type="dxa"/>
          </w:tcPr>
          <w:p w14:paraId="45B22002" w14:textId="77777777" w:rsidR="00A71EEF" w:rsidRDefault="00A71EEF">
            <w:pPr>
              <w:pStyle w:val="TableParagraph"/>
              <w:spacing w:before="8"/>
              <w:rPr>
                <w:b/>
                <w:sz w:val="14"/>
              </w:rPr>
            </w:pPr>
          </w:p>
          <w:p w14:paraId="5D82B45B" w14:textId="77777777" w:rsidR="00A71EEF" w:rsidRDefault="0081115D">
            <w:pPr>
              <w:pStyle w:val="TableParagraph"/>
              <w:ind w:left="152" w:right="37"/>
              <w:jc w:val="center"/>
              <w:rPr>
                <w:sz w:val="21"/>
              </w:rPr>
            </w:pPr>
            <w:r>
              <w:rPr>
                <w:sz w:val="21"/>
              </w:rPr>
              <w:t xml:space="preserve">— </w:t>
            </w:r>
          </w:p>
        </w:tc>
      </w:tr>
      <w:tr w:rsidR="00A71EEF" w14:paraId="4DDD1408" w14:textId="77777777">
        <w:trPr>
          <w:trHeight w:val="501"/>
        </w:trPr>
        <w:tc>
          <w:tcPr>
            <w:tcW w:w="6217" w:type="dxa"/>
          </w:tcPr>
          <w:p w14:paraId="1C73FE4B" w14:textId="77777777" w:rsidR="00A71EEF" w:rsidRDefault="00A71EEF">
            <w:pPr>
              <w:pStyle w:val="TableParagraph"/>
              <w:spacing w:before="8"/>
              <w:rPr>
                <w:b/>
                <w:sz w:val="14"/>
              </w:rPr>
            </w:pPr>
          </w:p>
          <w:p w14:paraId="28EF4350" w14:textId="77777777" w:rsidR="00A71EEF" w:rsidRDefault="0081115D">
            <w:pPr>
              <w:pStyle w:val="TableParagraph"/>
              <w:ind w:left="2509" w:right="2397"/>
              <w:jc w:val="center"/>
              <w:rPr>
                <w:sz w:val="21"/>
              </w:rPr>
            </w:pPr>
            <w:r>
              <w:rPr>
                <w:sz w:val="21"/>
              </w:rPr>
              <w:t xml:space="preserve">1000 </w:t>
            </w:r>
          </w:p>
        </w:tc>
        <w:tc>
          <w:tcPr>
            <w:tcW w:w="768" w:type="dxa"/>
          </w:tcPr>
          <w:p w14:paraId="7DF61326" w14:textId="77777777" w:rsidR="00A71EEF" w:rsidRDefault="00A71EEF">
            <w:pPr>
              <w:pStyle w:val="TableParagraph"/>
              <w:spacing w:before="8"/>
              <w:rPr>
                <w:b/>
                <w:sz w:val="14"/>
              </w:rPr>
            </w:pPr>
          </w:p>
          <w:p w14:paraId="644996C2" w14:textId="77777777" w:rsidR="00A71EEF" w:rsidRDefault="0081115D">
            <w:pPr>
              <w:pStyle w:val="TableParagraph"/>
              <w:ind w:right="110"/>
              <w:jc w:val="right"/>
              <w:rPr>
                <w:sz w:val="21"/>
              </w:rPr>
            </w:pPr>
            <w:r>
              <w:rPr>
                <w:sz w:val="21"/>
              </w:rPr>
              <w:t xml:space="preserve">-36 </w:t>
            </w:r>
          </w:p>
        </w:tc>
        <w:tc>
          <w:tcPr>
            <w:tcW w:w="771" w:type="dxa"/>
          </w:tcPr>
          <w:p w14:paraId="7629775A" w14:textId="77777777" w:rsidR="00A71EEF" w:rsidRDefault="00A71EEF">
            <w:pPr>
              <w:pStyle w:val="TableParagraph"/>
              <w:spacing w:before="8"/>
              <w:rPr>
                <w:b/>
                <w:sz w:val="14"/>
              </w:rPr>
            </w:pPr>
          </w:p>
          <w:p w14:paraId="2FD4A099" w14:textId="77777777" w:rsidR="00A71EEF" w:rsidRDefault="0081115D">
            <w:pPr>
              <w:pStyle w:val="TableParagraph"/>
              <w:ind w:right="60"/>
              <w:jc w:val="right"/>
              <w:rPr>
                <w:sz w:val="21"/>
              </w:rPr>
            </w:pPr>
            <w:r>
              <w:rPr>
                <w:sz w:val="21"/>
              </w:rPr>
              <w:t xml:space="preserve">0.02 </w:t>
            </w:r>
          </w:p>
        </w:tc>
        <w:tc>
          <w:tcPr>
            <w:tcW w:w="768" w:type="dxa"/>
          </w:tcPr>
          <w:p w14:paraId="0B21CC73" w14:textId="77777777" w:rsidR="00A71EEF" w:rsidRDefault="00A71EEF">
            <w:pPr>
              <w:pStyle w:val="TableParagraph"/>
              <w:spacing w:before="8"/>
              <w:rPr>
                <w:b/>
                <w:sz w:val="14"/>
              </w:rPr>
            </w:pPr>
          </w:p>
          <w:p w14:paraId="2AAD1A77" w14:textId="77777777" w:rsidR="00A71EEF" w:rsidRDefault="0081115D">
            <w:pPr>
              <w:pStyle w:val="TableParagraph"/>
              <w:ind w:left="152" w:right="40"/>
              <w:jc w:val="center"/>
              <w:rPr>
                <w:sz w:val="21"/>
              </w:rPr>
            </w:pPr>
            <w:r>
              <w:rPr>
                <w:sz w:val="21"/>
              </w:rPr>
              <w:t xml:space="preserve">0.016 </w:t>
            </w:r>
          </w:p>
        </w:tc>
      </w:tr>
      <w:tr w:rsidR="00A71EEF" w14:paraId="2E175106" w14:textId="77777777">
        <w:trPr>
          <w:trHeight w:val="290"/>
        </w:trPr>
        <w:tc>
          <w:tcPr>
            <w:tcW w:w="6217" w:type="dxa"/>
          </w:tcPr>
          <w:p w14:paraId="355657B7" w14:textId="77777777" w:rsidR="00A71EEF" w:rsidRDefault="0081115D">
            <w:pPr>
              <w:pStyle w:val="TableParagraph"/>
              <w:spacing w:before="7" w:line="263" w:lineRule="exact"/>
              <w:ind w:left="2509" w:right="2397"/>
              <w:jc w:val="center"/>
              <w:rPr>
                <w:sz w:val="21"/>
              </w:rPr>
            </w:pPr>
            <w:r>
              <w:rPr>
                <w:sz w:val="21"/>
              </w:rPr>
              <w:t xml:space="preserve">1250 </w:t>
            </w:r>
          </w:p>
        </w:tc>
        <w:tc>
          <w:tcPr>
            <w:tcW w:w="768" w:type="dxa"/>
          </w:tcPr>
          <w:p w14:paraId="4C6FD508" w14:textId="77777777" w:rsidR="00A71EEF" w:rsidRDefault="0081115D">
            <w:pPr>
              <w:pStyle w:val="TableParagraph"/>
              <w:spacing w:before="7" w:line="263" w:lineRule="exact"/>
              <w:ind w:right="110"/>
              <w:jc w:val="right"/>
              <w:rPr>
                <w:sz w:val="21"/>
              </w:rPr>
            </w:pPr>
            <w:r>
              <w:rPr>
                <w:sz w:val="21"/>
              </w:rPr>
              <w:t xml:space="preserve">-38 </w:t>
            </w:r>
          </w:p>
        </w:tc>
        <w:tc>
          <w:tcPr>
            <w:tcW w:w="771" w:type="dxa"/>
          </w:tcPr>
          <w:p w14:paraId="794C6DAB" w14:textId="77777777" w:rsidR="00A71EEF" w:rsidRDefault="0081115D">
            <w:pPr>
              <w:pStyle w:val="TableParagraph"/>
              <w:spacing w:before="7" w:line="263" w:lineRule="exact"/>
              <w:ind w:right="60"/>
              <w:jc w:val="right"/>
              <w:rPr>
                <w:sz w:val="21"/>
              </w:rPr>
            </w:pPr>
            <w:r>
              <w:rPr>
                <w:sz w:val="21"/>
              </w:rPr>
              <w:t xml:space="preserve">0.01 </w:t>
            </w:r>
          </w:p>
        </w:tc>
        <w:tc>
          <w:tcPr>
            <w:tcW w:w="768" w:type="dxa"/>
          </w:tcPr>
          <w:p w14:paraId="04182A31" w14:textId="77777777" w:rsidR="00A71EEF" w:rsidRDefault="0081115D">
            <w:pPr>
              <w:pStyle w:val="TableParagraph"/>
              <w:spacing w:before="7" w:line="263" w:lineRule="exact"/>
              <w:ind w:left="152" w:right="37"/>
              <w:jc w:val="center"/>
              <w:rPr>
                <w:sz w:val="21"/>
              </w:rPr>
            </w:pPr>
            <w:r>
              <w:rPr>
                <w:sz w:val="21"/>
              </w:rPr>
              <w:t xml:space="preserve">— </w:t>
            </w:r>
          </w:p>
        </w:tc>
      </w:tr>
    </w:tbl>
    <w:p w14:paraId="4F8C27FF" w14:textId="77777777" w:rsidR="00A71EEF" w:rsidRDefault="0081115D">
      <w:pPr>
        <w:tabs>
          <w:tab w:val="left" w:pos="9222"/>
        </w:tabs>
        <w:spacing w:line="267" w:lineRule="exact"/>
        <w:ind w:left="3281"/>
        <w:rPr>
          <w:b/>
          <w:sz w:val="21"/>
        </w:rPr>
      </w:pPr>
      <w:r>
        <w:rPr>
          <w:b/>
          <w:sz w:val="21"/>
        </w:rPr>
        <w:t>图</w:t>
      </w:r>
      <w:r>
        <w:rPr>
          <w:b/>
          <w:spacing w:val="-52"/>
          <w:sz w:val="21"/>
        </w:rPr>
        <w:t xml:space="preserve"> </w:t>
      </w:r>
      <w:r>
        <w:rPr>
          <w:b/>
          <w:sz w:val="21"/>
        </w:rPr>
        <w:t>A1</w:t>
      </w:r>
      <w:r>
        <w:rPr>
          <w:b/>
          <w:spacing w:val="-52"/>
          <w:sz w:val="21"/>
        </w:rPr>
        <w:t xml:space="preserve"> </w:t>
      </w:r>
      <w:r>
        <w:rPr>
          <w:b/>
          <w:sz w:val="21"/>
        </w:rPr>
        <w:t>手传震动频率计权</w:t>
      </w:r>
      <w:r>
        <w:rPr>
          <w:b/>
          <w:spacing w:val="-3"/>
          <w:sz w:val="21"/>
        </w:rPr>
        <w:t>特</w:t>
      </w:r>
      <w:r>
        <w:rPr>
          <w:b/>
          <w:sz w:val="21"/>
        </w:rPr>
        <w:t>性曲线</w:t>
      </w:r>
      <w:r>
        <w:rPr>
          <w:b/>
          <w:sz w:val="21"/>
        </w:rPr>
        <w:tab/>
      </w:r>
      <w:r>
        <w:rPr>
          <w:b/>
          <w:w w:val="99"/>
          <w:sz w:val="21"/>
        </w:rPr>
        <w:t xml:space="preserve"> </w:t>
      </w:r>
    </w:p>
    <w:p w14:paraId="4EE75327" w14:textId="77777777" w:rsidR="00A71EEF" w:rsidRDefault="00A71EEF">
      <w:pPr>
        <w:pStyle w:val="a3"/>
        <w:rPr>
          <w:b/>
          <w:sz w:val="20"/>
        </w:rPr>
      </w:pPr>
    </w:p>
    <w:p w14:paraId="1B6DE021" w14:textId="77777777" w:rsidR="00A71EEF" w:rsidRDefault="0081115D">
      <w:pPr>
        <w:pStyle w:val="a3"/>
        <w:spacing w:before="11"/>
        <w:rPr>
          <w:b/>
          <w:sz w:val="28"/>
        </w:rPr>
      </w:pPr>
      <w:r>
        <w:rPr>
          <w:noProof/>
        </w:rPr>
        <w:drawing>
          <wp:anchor distT="0" distB="0" distL="0" distR="0" simplePos="0" relativeHeight="251758080" behindDoc="0" locked="0" layoutInCell="1" allowOverlap="1" wp14:anchorId="0928E276" wp14:editId="0084766E">
            <wp:simplePos x="0" y="0"/>
            <wp:positionH relativeFrom="page">
              <wp:posOffset>1927860</wp:posOffset>
            </wp:positionH>
            <wp:positionV relativeFrom="paragraph">
              <wp:posOffset>259663</wp:posOffset>
            </wp:positionV>
            <wp:extent cx="3724688" cy="2286000"/>
            <wp:effectExtent l="0" t="0" r="0" b="0"/>
            <wp:wrapTopAndBottom/>
            <wp:docPr id="847" name="image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 name="image500.jpeg"/>
                    <pic:cNvPicPr/>
                  </pic:nvPicPr>
                  <pic:blipFill>
                    <a:blip r:embed="rId623" cstate="print"/>
                    <a:stretch>
                      <a:fillRect/>
                    </a:stretch>
                  </pic:blipFill>
                  <pic:spPr>
                    <a:xfrm>
                      <a:off x="0" y="0"/>
                      <a:ext cx="3724688" cy="2286000"/>
                    </a:xfrm>
                    <a:prstGeom prst="rect">
                      <a:avLst/>
                    </a:prstGeom>
                  </pic:spPr>
                </pic:pic>
              </a:graphicData>
            </a:graphic>
          </wp:anchor>
        </w:drawing>
      </w:r>
    </w:p>
    <w:p w14:paraId="613C071C" w14:textId="77777777" w:rsidR="00A71EEF" w:rsidRDefault="00A71EEF">
      <w:pPr>
        <w:rPr>
          <w:sz w:val="28"/>
        </w:rPr>
        <w:sectPr w:rsidR="00A71EEF">
          <w:pgSz w:w="11910" w:h="16850"/>
          <w:pgMar w:top="1080" w:right="0" w:bottom="1420" w:left="1260" w:header="0" w:footer="1239" w:gutter="0"/>
          <w:cols w:space="720"/>
        </w:sectPr>
      </w:pPr>
    </w:p>
    <w:p w14:paraId="56E9B50E" w14:textId="77777777" w:rsidR="00A71EEF" w:rsidRDefault="0081115D">
      <w:pPr>
        <w:spacing w:before="37"/>
        <w:ind w:right="868"/>
        <w:jc w:val="center"/>
        <w:rPr>
          <w:b/>
          <w:sz w:val="30"/>
        </w:rPr>
      </w:pPr>
      <w:bookmarkStart w:id="40" w:name="_bookmark40"/>
      <w:bookmarkEnd w:id="40"/>
      <w:r>
        <w:rPr>
          <w:b/>
          <w:sz w:val="30"/>
        </w:rPr>
        <w:t>森林火险气象预警</w:t>
      </w:r>
      <w:r>
        <w:rPr>
          <w:b/>
          <w:w w:val="99"/>
          <w:sz w:val="30"/>
        </w:rPr>
        <w:t xml:space="preserve"> </w:t>
      </w:r>
    </w:p>
    <w:p w14:paraId="5ED3CBE7" w14:textId="77777777" w:rsidR="00A71EEF" w:rsidRDefault="00A71EEF">
      <w:pPr>
        <w:pStyle w:val="a3"/>
        <w:rPr>
          <w:b/>
          <w:sz w:val="20"/>
        </w:rPr>
      </w:pPr>
    </w:p>
    <w:p w14:paraId="7E423362" w14:textId="77777777" w:rsidR="00A71EEF" w:rsidRDefault="00A71EEF">
      <w:pPr>
        <w:pStyle w:val="a3"/>
        <w:spacing w:before="5"/>
        <w:rPr>
          <w:b/>
          <w:sz w:val="14"/>
        </w:rPr>
      </w:pPr>
    </w:p>
    <w:p w14:paraId="4CBA27F8" w14:textId="77777777" w:rsidR="00A71EEF" w:rsidRDefault="0081115D">
      <w:pPr>
        <w:spacing w:before="66"/>
        <w:ind w:left="418"/>
        <w:rPr>
          <w:b/>
          <w:sz w:val="24"/>
        </w:rPr>
      </w:pPr>
      <w:r>
        <w:rPr>
          <w:b/>
          <w:sz w:val="24"/>
        </w:rPr>
        <w:t xml:space="preserve">1 </w:t>
      </w:r>
      <w:r>
        <w:rPr>
          <w:b/>
          <w:sz w:val="24"/>
        </w:rPr>
        <w:t>范围</w:t>
      </w:r>
      <w:r>
        <w:rPr>
          <w:b/>
          <w:w w:val="99"/>
          <w:sz w:val="24"/>
        </w:rPr>
        <w:t xml:space="preserve"> </w:t>
      </w:r>
    </w:p>
    <w:p w14:paraId="1C9C2831" w14:textId="77777777" w:rsidR="00A71EEF" w:rsidRDefault="00A71EEF">
      <w:pPr>
        <w:pStyle w:val="a3"/>
        <w:spacing w:before="4"/>
        <w:rPr>
          <w:b/>
          <w:sz w:val="17"/>
        </w:rPr>
      </w:pPr>
    </w:p>
    <w:p w14:paraId="2DBEA423" w14:textId="77777777" w:rsidR="00A71EEF" w:rsidRDefault="0081115D">
      <w:pPr>
        <w:pStyle w:val="a3"/>
        <w:ind w:left="838"/>
      </w:pPr>
      <w:r>
        <w:t>本标准规定了森林火险气象预警。</w:t>
      </w:r>
      <w:r>
        <w:t xml:space="preserve"> </w:t>
      </w:r>
      <w:r>
        <w:t>本标准适用于森林火险气象预警的相关业务。</w:t>
      </w:r>
      <w:r>
        <w:t xml:space="preserve"> </w:t>
      </w:r>
    </w:p>
    <w:p w14:paraId="05AB9F5F" w14:textId="77777777" w:rsidR="00A71EEF" w:rsidRDefault="00A71EEF">
      <w:pPr>
        <w:pStyle w:val="a3"/>
        <w:spacing w:before="8"/>
        <w:rPr>
          <w:sz w:val="15"/>
        </w:rPr>
      </w:pPr>
    </w:p>
    <w:p w14:paraId="240DAC05" w14:textId="77777777" w:rsidR="00A71EEF" w:rsidRDefault="0081115D">
      <w:pPr>
        <w:pStyle w:val="4"/>
      </w:pPr>
      <w:r>
        <w:t xml:space="preserve">2 </w:t>
      </w:r>
      <w:r>
        <w:t>规范性引用文件</w:t>
      </w:r>
      <w:r>
        <w:rPr>
          <w:w w:val="99"/>
        </w:rPr>
        <w:t xml:space="preserve"> </w:t>
      </w:r>
    </w:p>
    <w:p w14:paraId="3B8D119C" w14:textId="77777777" w:rsidR="00A71EEF" w:rsidRDefault="00A71EEF">
      <w:pPr>
        <w:pStyle w:val="a3"/>
        <w:spacing w:before="6"/>
        <w:rPr>
          <w:b/>
          <w:sz w:val="17"/>
        </w:rPr>
      </w:pPr>
    </w:p>
    <w:p w14:paraId="2DE966B0" w14:textId="77777777" w:rsidR="00A71EEF" w:rsidRDefault="0081115D">
      <w:pPr>
        <w:pStyle w:val="a3"/>
        <w:spacing w:line="446" w:lineRule="auto"/>
        <w:ind w:left="418" w:right="1609" w:firstLine="419"/>
      </w:pPr>
      <w:r>
        <w:rPr>
          <w:spacing w:val="-3"/>
        </w:rPr>
        <w:t>下列文件对于本文件的应用是必不可少的</w:t>
      </w:r>
      <w:r>
        <w:rPr>
          <w:spacing w:val="-3"/>
        </w:rPr>
        <w:t xml:space="preserve">   </w:t>
      </w:r>
      <w:r>
        <w:rPr>
          <w:spacing w:val="-3"/>
        </w:rPr>
        <w:t>。凡是注日期的引用文件，仅注日期的版本适用于本文</w:t>
      </w:r>
      <w:r>
        <w:rPr>
          <w:spacing w:val="-3"/>
        </w:rPr>
        <w:t xml:space="preserve"> </w:t>
      </w:r>
      <w:r>
        <w:rPr>
          <w:spacing w:val="-3"/>
        </w:rPr>
        <w:t>件。凡是不注日期的引用文件，其最新版本</w:t>
      </w:r>
      <w:r>
        <w:rPr>
          <w:spacing w:val="-3"/>
        </w:rPr>
        <w:t>(</w:t>
      </w:r>
      <w:r>
        <w:rPr>
          <w:spacing w:val="-3"/>
        </w:rPr>
        <w:t>包括所有的修改单</w:t>
      </w:r>
      <w:r>
        <w:rPr>
          <w:spacing w:val="-3"/>
        </w:rPr>
        <w:t>)</w:t>
      </w:r>
      <w:r>
        <w:rPr>
          <w:spacing w:val="-3"/>
        </w:rPr>
        <w:t>适用于本文件。</w:t>
      </w:r>
      <w:r>
        <w:rPr>
          <w:spacing w:val="-3"/>
        </w:rPr>
        <w:t xml:space="preserve"> </w:t>
      </w:r>
    </w:p>
    <w:p w14:paraId="6E153FAF" w14:textId="77777777" w:rsidR="00A71EEF" w:rsidRDefault="0081115D">
      <w:pPr>
        <w:pStyle w:val="a3"/>
        <w:tabs>
          <w:tab w:val="left" w:pos="2517"/>
        </w:tabs>
        <w:spacing w:line="267" w:lineRule="exact"/>
        <w:ind w:left="838"/>
      </w:pPr>
      <w:r>
        <w:t>QX/ T</w:t>
      </w:r>
      <w:r>
        <w:rPr>
          <w:spacing w:val="-3"/>
        </w:rPr>
        <w:t xml:space="preserve"> </w:t>
      </w:r>
      <w:r>
        <w:t>77-2007</w:t>
      </w:r>
      <w:r>
        <w:tab/>
      </w:r>
      <w:r>
        <w:rPr>
          <w:spacing w:val="-3"/>
        </w:rPr>
        <w:t>森林火险气象等级</w:t>
      </w:r>
      <w:r>
        <w:t xml:space="preserve"> </w:t>
      </w:r>
    </w:p>
    <w:p w14:paraId="4038FCEF" w14:textId="77777777" w:rsidR="00A71EEF" w:rsidRDefault="00A71EEF">
      <w:pPr>
        <w:pStyle w:val="a3"/>
        <w:spacing w:before="10"/>
        <w:rPr>
          <w:sz w:val="15"/>
        </w:rPr>
      </w:pPr>
    </w:p>
    <w:p w14:paraId="654C2714" w14:textId="77777777" w:rsidR="00A71EEF" w:rsidRDefault="0081115D">
      <w:pPr>
        <w:pStyle w:val="4"/>
        <w:spacing w:before="1"/>
      </w:pPr>
      <w:r>
        <w:t xml:space="preserve">3 </w:t>
      </w:r>
      <w:r>
        <w:t>术语和定义</w:t>
      </w:r>
      <w:r>
        <w:rPr>
          <w:w w:val="99"/>
        </w:rPr>
        <w:t xml:space="preserve"> </w:t>
      </w:r>
    </w:p>
    <w:p w14:paraId="35840455" w14:textId="77777777" w:rsidR="00A71EEF" w:rsidRDefault="00A71EEF">
      <w:pPr>
        <w:pStyle w:val="a3"/>
        <w:spacing w:before="3"/>
        <w:rPr>
          <w:b/>
          <w:sz w:val="17"/>
        </w:rPr>
      </w:pPr>
    </w:p>
    <w:p w14:paraId="24A6F118" w14:textId="77777777" w:rsidR="00A71EEF" w:rsidRDefault="0081115D">
      <w:pPr>
        <w:pStyle w:val="a3"/>
        <w:ind w:left="838"/>
      </w:pPr>
      <w:r>
        <w:t>下列术语和定义适用于本文件。</w:t>
      </w:r>
      <w:r>
        <w:t xml:space="preserve"> </w:t>
      </w:r>
    </w:p>
    <w:p w14:paraId="337BF2BF" w14:textId="77777777" w:rsidR="00A71EEF" w:rsidRDefault="00A71EEF">
      <w:pPr>
        <w:pStyle w:val="a3"/>
        <w:rPr>
          <w:sz w:val="18"/>
        </w:rPr>
      </w:pPr>
    </w:p>
    <w:p w14:paraId="351C58BD" w14:textId="77777777" w:rsidR="00A71EEF" w:rsidRDefault="0081115D">
      <w:pPr>
        <w:pStyle w:val="a4"/>
        <w:numPr>
          <w:ilvl w:val="1"/>
          <w:numId w:val="7"/>
        </w:numPr>
        <w:tabs>
          <w:tab w:val="left" w:pos="1213"/>
        </w:tabs>
        <w:spacing w:line="446" w:lineRule="auto"/>
        <w:ind w:right="6549" w:firstLine="2"/>
        <w:rPr>
          <w:sz w:val="21"/>
        </w:rPr>
      </w:pPr>
      <w:r>
        <w:rPr>
          <w:spacing w:val="-14"/>
          <w:sz w:val="21"/>
        </w:rPr>
        <w:t>森林火险</w:t>
      </w:r>
      <w:r>
        <w:rPr>
          <w:spacing w:val="-14"/>
          <w:sz w:val="21"/>
        </w:rPr>
        <w:t xml:space="preserve"> </w:t>
      </w:r>
      <w:r>
        <w:rPr>
          <w:sz w:val="21"/>
        </w:rPr>
        <w:t>forest</w:t>
      </w:r>
      <w:r>
        <w:rPr>
          <w:spacing w:val="1"/>
          <w:sz w:val="21"/>
        </w:rPr>
        <w:t xml:space="preserve"> </w:t>
      </w:r>
      <w:r>
        <w:rPr>
          <w:sz w:val="21"/>
        </w:rPr>
        <w:t xml:space="preserve">fire-danger </w:t>
      </w:r>
      <w:r>
        <w:rPr>
          <w:spacing w:val="-3"/>
          <w:sz w:val="21"/>
        </w:rPr>
        <w:t>发生森林火灾潜在的危险</w:t>
      </w:r>
      <w:r>
        <w:rPr>
          <w:spacing w:val="-3"/>
          <w:sz w:val="21"/>
        </w:rPr>
        <w:t xml:space="preserve"> </w:t>
      </w:r>
      <w:r>
        <w:rPr>
          <w:spacing w:val="-3"/>
          <w:sz w:val="21"/>
        </w:rPr>
        <w:t>程度。</w:t>
      </w:r>
      <w:r>
        <w:rPr>
          <w:sz w:val="21"/>
        </w:rPr>
        <w:t xml:space="preserve"> </w:t>
      </w:r>
    </w:p>
    <w:p w14:paraId="1B850BDA" w14:textId="77777777" w:rsidR="00A71EEF" w:rsidRDefault="0081115D">
      <w:pPr>
        <w:pStyle w:val="a4"/>
        <w:numPr>
          <w:ilvl w:val="1"/>
          <w:numId w:val="7"/>
        </w:numPr>
        <w:tabs>
          <w:tab w:val="left" w:pos="1213"/>
        </w:tabs>
        <w:ind w:left="1212" w:hanging="373"/>
        <w:rPr>
          <w:sz w:val="21"/>
        </w:rPr>
      </w:pPr>
      <w:r>
        <w:rPr>
          <w:spacing w:val="-10"/>
          <w:sz w:val="21"/>
        </w:rPr>
        <w:t>森林火险气象指数</w:t>
      </w:r>
      <w:r>
        <w:rPr>
          <w:spacing w:val="-10"/>
          <w:sz w:val="21"/>
        </w:rPr>
        <w:t xml:space="preserve"> </w:t>
      </w:r>
      <w:r>
        <w:rPr>
          <w:sz w:val="21"/>
        </w:rPr>
        <w:t>forest</w:t>
      </w:r>
      <w:r>
        <w:rPr>
          <w:spacing w:val="1"/>
          <w:sz w:val="21"/>
        </w:rPr>
        <w:t xml:space="preserve"> </w:t>
      </w:r>
      <w:r>
        <w:rPr>
          <w:sz w:val="21"/>
        </w:rPr>
        <w:t>fire-danger weather</w:t>
      </w:r>
      <w:r>
        <w:rPr>
          <w:spacing w:val="1"/>
          <w:sz w:val="21"/>
        </w:rPr>
        <w:t xml:space="preserve"> </w:t>
      </w:r>
      <w:r>
        <w:rPr>
          <w:sz w:val="21"/>
        </w:rPr>
        <w:t xml:space="preserve">index </w:t>
      </w:r>
    </w:p>
    <w:p w14:paraId="5A245EB8" w14:textId="77777777" w:rsidR="00A71EEF" w:rsidRDefault="00A71EEF">
      <w:pPr>
        <w:pStyle w:val="a3"/>
        <w:rPr>
          <w:sz w:val="18"/>
        </w:rPr>
      </w:pPr>
    </w:p>
    <w:p w14:paraId="40529F59" w14:textId="77777777" w:rsidR="00A71EEF" w:rsidRDefault="0081115D">
      <w:pPr>
        <w:pStyle w:val="a3"/>
        <w:spacing w:line="446" w:lineRule="auto"/>
        <w:ind w:left="418" w:right="1505" w:firstLine="419"/>
      </w:pPr>
      <w:r>
        <w:t>注</w:t>
      </w:r>
      <w:r>
        <w:t>:</w:t>
      </w:r>
      <w:r>
        <w:t>它是对森林起火的可能性大小，火灾的强度和蔓延速度、燃烧方式以及人类控制难易程度的</w:t>
      </w:r>
      <w:r>
        <w:t xml:space="preserve"> </w:t>
      </w:r>
      <w:r>
        <w:t>一种综合描述</w:t>
      </w:r>
      <w:r>
        <w:t xml:space="preserve"> </w:t>
      </w:r>
      <w:r>
        <w:t>。</w:t>
      </w:r>
      <w:r>
        <w:t xml:space="preserve"> </w:t>
      </w:r>
    </w:p>
    <w:p w14:paraId="3CB7DF64" w14:textId="77777777" w:rsidR="00A71EEF" w:rsidRDefault="0081115D">
      <w:pPr>
        <w:pStyle w:val="a3"/>
        <w:spacing w:line="446" w:lineRule="auto"/>
        <w:ind w:left="418" w:right="1609" w:firstLine="419"/>
        <w:jc w:val="both"/>
      </w:pPr>
      <w:r>
        <w:t>根据森林火险与气象条件之间的关系，通过经验或数学拟合得出的、用以反映森林火险程度的量化指标</w:t>
      </w:r>
      <w:r>
        <w:t xml:space="preserve"> </w:t>
      </w:r>
      <w:r>
        <w:t>。注</w:t>
      </w:r>
      <w:r>
        <w:t>:</w:t>
      </w:r>
      <w:r>
        <w:t>森林火险</w:t>
      </w:r>
      <w:r>
        <w:t xml:space="preserve"> </w:t>
      </w:r>
      <w:r>
        <w:t>气象指数计算</w:t>
      </w:r>
      <w:r>
        <w:t xml:space="preserve"> </w:t>
      </w:r>
      <w:r>
        <w:t>方法参见</w:t>
      </w:r>
      <w:r>
        <w:t xml:space="preserve"> QX/ T 77-2007 </w:t>
      </w:r>
      <w:r>
        <w:t>附录</w:t>
      </w:r>
      <w:r>
        <w:t xml:space="preserve"> B </w:t>
      </w:r>
      <w:r>
        <w:t>，森林火险气象指数越大表征森林火灾危险度越高</w:t>
      </w:r>
      <w:r>
        <w:t xml:space="preserve"> </w:t>
      </w:r>
      <w:r>
        <w:t>。</w:t>
      </w:r>
      <w:r>
        <w:t xml:space="preserve"> </w:t>
      </w:r>
    </w:p>
    <w:p w14:paraId="7501D2CC" w14:textId="77777777" w:rsidR="00A71EEF" w:rsidRDefault="0081115D">
      <w:pPr>
        <w:pStyle w:val="a4"/>
        <w:numPr>
          <w:ilvl w:val="1"/>
          <w:numId w:val="7"/>
        </w:numPr>
        <w:tabs>
          <w:tab w:val="left" w:pos="1213"/>
        </w:tabs>
        <w:spacing w:line="268" w:lineRule="exact"/>
        <w:ind w:left="1212" w:hanging="373"/>
        <w:jc w:val="both"/>
        <w:rPr>
          <w:sz w:val="21"/>
        </w:rPr>
      </w:pPr>
      <w:r>
        <w:rPr>
          <w:spacing w:val="-10"/>
          <w:sz w:val="21"/>
        </w:rPr>
        <w:t>森林火险气象等级</w:t>
      </w:r>
      <w:r>
        <w:rPr>
          <w:spacing w:val="-10"/>
          <w:sz w:val="21"/>
        </w:rPr>
        <w:t xml:space="preserve"> </w:t>
      </w:r>
      <w:r>
        <w:rPr>
          <w:sz w:val="21"/>
        </w:rPr>
        <w:t>forest</w:t>
      </w:r>
      <w:r>
        <w:rPr>
          <w:spacing w:val="1"/>
          <w:sz w:val="21"/>
        </w:rPr>
        <w:t xml:space="preserve"> </w:t>
      </w:r>
      <w:r>
        <w:rPr>
          <w:sz w:val="21"/>
        </w:rPr>
        <w:t>fire-danger weather</w:t>
      </w:r>
      <w:r>
        <w:rPr>
          <w:spacing w:val="1"/>
          <w:sz w:val="21"/>
        </w:rPr>
        <w:t xml:space="preserve"> </w:t>
      </w:r>
      <w:r>
        <w:rPr>
          <w:sz w:val="21"/>
        </w:rPr>
        <w:t xml:space="preserve">rating </w:t>
      </w:r>
    </w:p>
    <w:p w14:paraId="6200C349" w14:textId="77777777" w:rsidR="00A71EEF" w:rsidRDefault="00A71EEF">
      <w:pPr>
        <w:pStyle w:val="a3"/>
        <w:spacing w:before="12"/>
        <w:rPr>
          <w:sz w:val="17"/>
        </w:rPr>
      </w:pPr>
    </w:p>
    <w:p w14:paraId="5250A601" w14:textId="77777777" w:rsidR="00A71EEF" w:rsidRDefault="0081115D">
      <w:pPr>
        <w:pStyle w:val="a3"/>
        <w:spacing w:line="448" w:lineRule="auto"/>
        <w:ind w:left="418" w:right="1609" w:firstLine="419"/>
      </w:pPr>
      <w:r>
        <w:t>根据森林火险与气象条件之间的关系，将森林火险气象指数</w:t>
      </w:r>
      <w:r>
        <w:t xml:space="preserve"> (3.2)</w:t>
      </w:r>
      <w:r>
        <w:t>划分成能简单明了地反映森林火险程度的等级。</w:t>
      </w:r>
      <w:r>
        <w:t xml:space="preserve"> </w:t>
      </w:r>
    </w:p>
    <w:p w14:paraId="7AFD5012" w14:textId="77777777" w:rsidR="00A71EEF" w:rsidRDefault="0081115D">
      <w:pPr>
        <w:pStyle w:val="a3"/>
        <w:spacing w:line="446" w:lineRule="auto"/>
        <w:ind w:left="418" w:right="1508" w:firstLine="419"/>
      </w:pPr>
      <w:r>
        <w:t>注</w:t>
      </w:r>
      <w:r>
        <w:t>:</w:t>
      </w:r>
      <w:r>
        <w:t>森林火险气象指数划分为森林火险</w:t>
      </w:r>
      <w:r>
        <w:t xml:space="preserve"> </w:t>
      </w:r>
      <w:r>
        <w:t>气象等级的具体方法</w:t>
      </w:r>
      <w:r>
        <w:t xml:space="preserve"> </w:t>
      </w:r>
      <w:r>
        <w:t>参见</w:t>
      </w:r>
      <w:r>
        <w:t xml:space="preserve"> QX/ T  77-2007  </w:t>
      </w:r>
      <w:r>
        <w:t>中第</w:t>
      </w:r>
      <w:r>
        <w:t xml:space="preserve">3 </w:t>
      </w:r>
      <w:r>
        <w:t>章，森林火险气象等级越高表征森林火灾危险度越高。</w:t>
      </w:r>
      <w:r>
        <w:t xml:space="preserve"> </w:t>
      </w:r>
    </w:p>
    <w:p w14:paraId="62F5CF54" w14:textId="77777777" w:rsidR="00A71EEF" w:rsidRDefault="0081115D">
      <w:pPr>
        <w:pStyle w:val="a4"/>
        <w:numPr>
          <w:ilvl w:val="1"/>
          <w:numId w:val="7"/>
        </w:numPr>
        <w:tabs>
          <w:tab w:val="left" w:pos="1213"/>
        </w:tabs>
        <w:spacing w:line="446" w:lineRule="auto"/>
        <w:ind w:right="3399" w:firstLine="2"/>
        <w:rPr>
          <w:sz w:val="21"/>
        </w:rPr>
      </w:pPr>
      <w:r>
        <w:rPr>
          <w:spacing w:val="-10"/>
          <w:sz w:val="21"/>
        </w:rPr>
        <w:t>森林火险气象预警</w:t>
      </w:r>
      <w:r>
        <w:rPr>
          <w:spacing w:val="-10"/>
          <w:sz w:val="21"/>
        </w:rPr>
        <w:t xml:space="preserve"> </w:t>
      </w:r>
      <w:r>
        <w:rPr>
          <w:sz w:val="21"/>
        </w:rPr>
        <w:t>forest</w:t>
      </w:r>
      <w:r>
        <w:rPr>
          <w:spacing w:val="2"/>
          <w:sz w:val="21"/>
        </w:rPr>
        <w:t xml:space="preserve"> </w:t>
      </w:r>
      <w:r>
        <w:rPr>
          <w:sz w:val="21"/>
        </w:rPr>
        <w:t>fire-danger</w:t>
      </w:r>
      <w:r>
        <w:rPr>
          <w:spacing w:val="1"/>
          <w:sz w:val="21"/>
        </w:rPr>
        <w:t xml:space="preserve"> </w:t>
      </w:r>
      <w:r>
        <w:rPr>
          <w:sz w:val="21"/>
        </w:rPr>
        <w:t>weather</w:t>
      </w:r>
      <w:r>
        <w:rPr>
          <w:spacing w:val="1"/>
          <w:sz w:val="21"/>
        </w:rPr>
        <w:t xml:space="preserve"> </w:t>
      </w:r>
      <w:r>
        <w:rPr>
          <w:sz w:val="21"/>
        </w:rPr>
        <w:t>early</w:t>
      </w:r>
      <w:r>
        <w:rPr>
          <w:spacing w:val="-2"/>
          <w:sz w:val="21"/>
        </w:rPr>
        <w:t xml:space="preserve"> </w:t>
      </w:r>
      <w:r>
        <w:rPr>
          <w:sz w:val="21"/>
        </w:rPr>
        <w:t xml:space="preserve">warning </w:t>
      </w:r>
      <w:r>
        <w:rPr>
          <w:spacing w:val="-3"/>
          <w:sz w:val="21"/>
        </w:rPr>
        <w:t>对预报时效内森林火险</w:t>
      </w:r>
      <w:r>
        <w:rPr>
          <w:spacing w:val="-3"/>
          <w:sz w:val="21"/>
        </w:rPr>
        <w:t xml:space="preserve"> </w:t>
      </w:r>
      <w:r>
        <w:rPr>
          <w:spacing w:val="-3"/>
          <w:sz w:val="21"/>
        </w:rPr>
        <w:t>气象等级的预先估计和</w:t>
      </w:r>
      <w:r>
        <w:rPr>
          <w:spacing w:val="-3"/>
          <w:sz w:val="21"/>
        </w:rPr>
        <w:t xml:space="preserve"> </w:t>
      </w:r>
      <w:r>
        <w:rPr>
          <w:spacing w:val="-3"/>
          <w:sz w:val="21"/>
        </w:rPr>
        <w:t>警示</w:t>
      </w:r>
      <w:r>
        <w:rPr>
          <w:spacing w:val="-3"/>
          <w:sz w:val="21"/>
        </w:rPr>
        <w:t xml:space="preserve"> </w:t>
      </w:r>
      <w:r>
        <w:rPr>
          <w:spacing w:val="-3"/>
          <w:sz w:val="21"/>
        </w:rPr>
        <w:t>。</w:t>
      </w:r>
      <w:r>
        <w:rPr>
          <w:sz w:val="21"/>
        </w:rPr>
        <w:t xml:space="preserve"> </w:t>
      </w:r>
    </w:p>
    <w:p w14:paraId="0B1FAF0C" w14:textId="77777777" w:rsidR="00A71EEF" w:rsidRDefault="0081115D">
      <w:pPr>
        <w:pStyle w:val="4"/>
        <w:spacing w:line="275" w:lineRule="exact"/>
      </w:pPr>
      <w:r>
        <w:t xml:space="preserve">4 </w:t>
      </w:r>
      <w:r>
        <w:t>预</w:t>
      </w:r>
      <w:r>
        <w:t xml:space="preserve"> </w:t>
      </w:r>
      <w:r>
        <w:t>警</w:t>
      </w:r>
      <w:r>
        <w:rPr>
          <w:w w:val="99"/>
        </w:rPr>
        <w:t xml:space="preserve"> </w:t>
      </w:r>
    </w:p>
    <w:p w14:paraId="598B178E" w14:textId="77777777" w:rsidR="00A71EEF" w:rsidRDefault="00A71EEF">
      <w:pPr>
        <w:pStyle w:val="a3"/>
        <w:spacing w:before="1"/>
        <w:rPr>
          <w:b/>
          <w:sz w:val="17"/>
        </w:rPr>
      </w:pPr>
    </w:p>
    <w:p w14:paraId="48138544" w14:textId="77777777" w:rsidR="00A71EEF" w:rsidRDefault="0081115D">
      <w:pPr>
        <w:spacing w:before="1"/>
        <w:ind w:left="840"/>
        <w:rPr>
          <w:b/>
          <w:sz w:val="21"/>
        </w:rPr>
      </w:pPr>
      <w:r>
        <w:rPr>
          <w:b/>
          <w:sz w:val="21"/>
        </w:rPr>
        <w:t xml:space="preserve">4.1 </w:t>
      </w:r>
      <w:r>
        <w:rPr>
          <w:sz w:val="21"/>
        </w:rPr>
        <w:t>等级划分</w:t>
      </w:r>
      <w:r>
        <w:rPr>
          <w:b/>
          <w:w w:val="99"/>
          <w:sz w:val="21"/>
        </w:rPr>
        <w:t xml:space="preserve"> </w:t>
      </w:r>
    </w:p>
    <w:p w14:paraId="2FEC6403" w14:textId="77777777" w:rsidR="00A71EEF" w:rsidRDefault="00A71EEF">
      <w:pPr>
        <w:pStyle w:val="a3"/>
        <w:spacing w:before="12"/>
        <w:rPr>
          <w:b/>
          <w:sz w:val="17"/>
        </w:rPr>
      </w:pPr>
    </w:p>
    <w:p w14:paraId="1AC5868F" w14:textId="77777777" w:rsidR="00A71EEF" w:rsidRDefault="0081115D">
      <w:pPr>
        <w:pStyle w:val="a3"/>
        <w:ind w:left="838"/>
      </w:pPr>
      <w:r>
        <w:t>森林火险气象预警等级</w:t>
      </w:r>
      <w:r>
        <w:t xml:space="preserve"> </w:t>
      </w:r>
      <w:r>
        <w:t>由弱到强划分为</w:t>
      </w:r>
      <w:r>
        <w:t xml:space="preserve"> </w:t>
      </w:r>
      <w:r>
        <w:t>三个等级，依次为</w:t>
      </w:r>
      <w:r>
        <w:t>黄色预警</w:t>
      </w:r>
      <w:r>
        <w:t xml:space="preserve"> </w:t>
      </w:r>
      <w:r>
        <w:t>、橙色预警、红色预</w:t>
      </w:r>
    </w:p>
    <w:p w14:paraId="26C7C9A8" w14:textId="77777777" w:rsidR="00A71EEF" w:rsidRDefault="00A71EEF">
      <w:pPr>
        <w:sectPr w:rsidR="00A71EEF">
          <w:pgSz w:w="11910" w:h="16850"/>
          <w:pgMar w:top="1140" w:right="0" w:bottom="1420" w:left="1260" w:header="0" w:footer="1239" w:gutter="0"/>
          <w:cols w:space="720"/>
        </w:sectPr>
      </w:pPr>
    </w:p>
    <w:p w14:paraId="5990043A" w14:textId="77777777" w:rsidR="00A71EEF" w:rsidRDefault="0081115D">
      <w:pPr>
        <w:pStyle w:val="a3"/>
        <w:spacing w:before="47" w:line="446" w:lineRule="auto"/>
        <w:ind w:left="840" w:right="3711" w:hanging="423"/>
      </w:pPr>
      <w:r>
        <w:t>警</w:t>
      </w:r>
      <w:r>
        <w:t xml:space="preserve"> </w:t>
      </w:r>
      <w:r>
        <w:t>。若同时</w:t>
      </w:r>
      <w:r>
        <w:t xml:space="preserve"> </w:t>
      </w:r>
      <w:r>
        <w:t>达到两种以上预</w:t>
      </w:r>
      <w:r>
        <w:t xml:space="preserve"> </w:t>
      </w:r>
      <w:r>
        <w:t>警等级时，以</w:t>
      </w:r>
      <w:r>
        <w:t xml:space="preserve"> </w:t>
      </w:r>
      <w:r>
        <w:t>最强的预警等级为准</w:t>
      </w:r>
      <w:r>
        <w:t xml:space="preserve"> </w:t>
      </w:r>
      <w:r>
        <w:t>。</w:t>
      </w:r>
      <w:r>
        <w:rPr>
          <w:b/>
        </w:rPr>
        <w:t xml:space="preserve">4.2 </w:t>
      </w:r>
      <w:r>
        <w:t>黄色预警</w:t>
      </w:r>
      <w:r>
        <w:t xml:space="preserve"> </w:t>
      </w:r>
    </w:p>
    <w:p w14:paraId="04FF08E1" w14:textId="77777777" w:rsidR="00A71EEF" w:rsidRDefault="0081115D">
      <w:pPr>
        <w:pStyle w:val="a3"/>
        <w:spacing w:line="446" w:lineRule="auto"/>
        <w:ind w:left="418" w:right="1611" w:firstLine="419"/>
        <w:jc w:val="both"/>
      </w:pPr>
      <w:r>
        <w:t>某地森林火险气象等级已持续</w:t>
      </w:r>
      <w:r>
        <w:t xml:space="preserve"> 8 </w:t>
      </w:r>
      <w:r>
        <w:t>天达三级及以上或持续</w:t>
      </w:r>
      <w:r>
        <w:t xml:space="preserve"> 5 </w:t>
      </w:r>
      <w:r>
        <w:t>天达四级及以上，且起报日当天森林火</w:t>
      </w:r>
      <w:r>
        <w:t xml:space="preserve"> </w:t>
      </w:r>
      <w:r>
        <w:t>险气象等级达四级及以上</w:t>
      </w:r>
      <w:r>
        <w:t>;</w:t>
      </w:r>
      <w:r>
        <w:t>并预计未来</w:t>
      </w:r>
      <w:r>
        <w:t xml:space="preserve"> 24 h </w:t>
      </w:r>
      <w:r>
        <w:t>内，该地森林火险气象等级仍将持续四级时发布黄色预警。</w:t>
      </w:r>
      <w:r>
        <w:t xml:space="preserve"> </w:t>
      </w:r>
    </w:p>
    <w:p w14:paraId="4704511E" w14:textId="77777777" w:rsidR="00A71EEF" w:rsidRDefault="0081115D">
      <w:pPr>
        <w:pStyle w:val="a3"/>
        <w:spacing w:line="446" w:lineRule="auto"/>
        <w:ind w:left="840" w:right="5709" w:hanging="3"/>
      </w:pPr>
      <w:r>
        <w:t>森林火险气象等级的划分见</w:t>
      </w:r>
      <w:r>
        <w:t xml:space="preserve"> QX/ T 77-2007 </w:t>
      </w:r>
      <w:r>
        <w:rPr>
          <w:b/>
        </w:rPr>
        <w:t xml:space="preserve">4.3 </w:t>
      </w:r>
      <w:r>
        <w:t>橙色预警</w:t>
      </w:r>
      <w:r>
        <w:t xml:space="preserve"> </w:t>
      </w:r>
    </w:p>
    <w:p w14:paraId="0BA8BA47" w14:textId="77777777" w:rsidR="00A71EEF" w:rsidRDefault="0081115D">
      <w:pPr>
        <w:pStyle w:val="a3"/>
        <w:spacing w:line="446" w:lineRule="auto"/>
        <w:ind w:left="418" w:right="1608" w:firstLine="419"/>
      </w:pPr>
      <w:r>
        <w:rPr>
          <w:spacing w:val="-2"/>
        </w:rPr>
        <w:t>某地森林火险气象等级己持续</w:t>
      </w:r>
      <w:r>
        <w:rPr>
          <w:spacing w:val="-2"/>
        </w:rPr>
        <w:t xml:space="preserve"> </w:t>
      </w:r>
      <w:r>
        <w:rPr>
          <w:spacing w:val="-3"/>
        </w:rPr>
        <w:t xml:space="preserve">5 </w:t>
      </w:r>
      <w:r>
        <w:rPr>
          <w:spacing w:val="-3"/>
        </w:rPr>
        <w:t>天达四级及以上，且起报日当天森林火险气象等级达五级</w:t>
      </w:r>
      <w:r>
        <w:rPr>
          <w:spacing w:val="-3"/>
        </w:rPr>
        <w:t>;</w:t>
      </w:r>
      <w:r>
        <w:rPr>
          <w:spacing w:val="-3"/>
        </w:rPr>
        <w:t>并预计</w:t>
      </w:r>
      <w:r>
        <w:rPr>
          <w:spacing w:val="-3"/>
        </w:rPr>
        <w:t xml:space="preserve"> </w:t>
      </w:r>
      <w:r>
        <w:rPr>
          <w:spacing w:val="-3"/>
        </w:rPr>
        <w:t>未来</w:t>
      </w:r>
      <w:r>
        <w:rPr>
          <w:spacing w:val="-3"/>
        </w:rPr>
        <w:t xml:space="preserve"> </w:t>
      </w:r>
      <w:r>
        <w:t>24 h</w:t>
      </w:r>
      <w:r>
        <w:rPr>
          <w:spacing w:val="-3"/>
        </w:rPr>
        <w:t xml:space="preserve"> </w:t>
      </w:r>
      <w:r>
        <w:rPr>
          <w:spacing w:val="-3"/>
        </w:rPr>
        <w:t>内，该地森林火险气象等级仍将持续五级时发布橙色预警。</w:t>
      </w:r>
      <w:r>
        <w:rPr>
          <w:spacing w:val="-3"/>
        </w:rPr>
        <w:t xml:space="preserve"> </w:t>
      </w:r>
    </w:p>
    <w:p w14:paraId="62FEE91E" w14:textId="77777777" w:rsidR="00A71EEF" w:rsidRDefault="0081115D">
      <w:pPr>
        <w:ind w:left="840"/>
        <w:rPr>
          <w:sz w:val="21"/>
        </w:rPr>
      </w:pPr>
      <w:r>
        <w:rPr>
          <w:b/>
          <w:sz w:val="21"/>
        </w:rPr>
        <w:t>4 .4</w:t>
      </w:r>
      <w:r>
        <w:rPr>
          <w:b/>
          <w:spacing w:val="-51"/>
          <w:sz w:val="21"/>
        </w:rPr>
        <w:t xml:space="preserve"> </w:t>
      </w:r>
      <w:r>
        <w:rPr>
          <w:spacing w:val="-3"/>
          <w:sz w:val="21"/>
        </w:rPr>
        <w:t>红色预警</w:t>
      </w:r>
      <w:r>
        <w:rPr>
          <w:sz w:val="21"/>
        </w:rPr>
        <w:t xml:space="preserve"> </w:t>
      </w:r>
    </w:p>
    <w:p w14:paraId="68420DFF" w14:textId="77777777" w:rsidR="00A71EEF" w:rsidRDefault="00A71EEF">
      <w:pPr>
        <w:pStyle w:val="a3"/>
        <w:spacing w:before="9"/>
        <w:rPr>
          <w:sz w:val="17"/>
        </w:rPr>
      </w:pPr>
    </w:p>
    <w:p w14:paraId="491FD145" w14:textId="77777777" w:rsidR="00A71EEF" w:rsidRDefault="0081115D">
      <w:pPr>
        <w:pStyle w:val="a3"/>
        <w:spacing w:before="1" w:line="446" w:lineRule="auto"/>
        <w:ind w:left="418" w:right="1611" w:firstLine="419"/>
      </w:pPr>
      <w:r>
        <w:rPr>
          <w:spacing w:val="-7"/>
        </w:rPr>
        <w:t>某地森林火险气象等级已持续</w:t>
      </w:r>
      <w:r>
        <w:rPr>
          <w:spacing w:val="-7"/>
        </w:rPr>
        <w:t xml:space="preserve"> </w:t>
      </w:r>
      <w:r>
        <w:rPr>
          <w:spacing w:val="-3"/>
        </w:rPr>
        <w:t>3</w:t>
      </w:r>
      <w:r>
        <w:rPr>
          <w:spacing w:val="-2"/>
        </w:rPr>
        <w:t xml:space="preserve"> </w:t>
      </w:r>
      <w:r>
        <w:rPr>
          <w:spacing w:val="-2"/>
        </w:rPr>
        <w:t>天达五级，并预计未来</w:t>
      </w:r>
      <w:r>
        <w:rPr>
          <w:spacing w:val="-2"/>
        </w:rPr>
        <w:t xml:space="preserve"> </w:t>
      </w:r>
      <w:r>
        <w:t>24 h</w:t>
      </w:r>
      <w:r>
        <w:rPr>
          <w:spacing w:val="-8"/>
        </w:rPr>
        <w:t xml:space="preserve"> </w:t>
      </w:r>
      <w:r>
        <w:rPr>
          <w:spacing w:val="-8"/>
        </w:rPr>
        <w:t>内，该地森林火险气象等级</w:t>
      </w:r>
      <w:r>
        <w:rPr>
          <w:spacing w:val="-5"/>
        </w:rPr>
        <w:t>仍将持续</w:t>
      </w:r>
      <w:r>
        <w:rPr>
          <w:spacing w:val="-5"/>
        </w:rPr>
        <w:t xml:space="preserve"> </w:t>
      </w:r>
      <w:r>
        <w:rPr>
          <w:spacing w:val="-5"/>
        </w:rPr>
        <w:t>五级时发布红色预警。</w:t>
      </w:r>
      <w:r>
        <w:t xml:space="preserve"> </w:t>
      </w:r>
    </w:p>
    <w:p w14:paraId="64AC118A" w14:textId="77777777" w:rsidR="00A71EEF" w:rsidRDefault="00A71EEF">
      <w:pPr>
        <w:pStyle w:val="a3"/>
        <w:rPr>
          <w:sz w:val="20"/>
        </w:rPr>
      </w:pPr>
    </w:p>
    <w:p w14:paraId="3829D44B" w14:textId="77777777" w:rsidR="00A71EEF" w:rsidRDefault="00A71EEF">
      <w:pPr>
        <w:pStyle w:val="a3"/>
        <w:rPr>
          <w:sz w:val="20"/>
        </w:rPr>
      </w:pPr>
    </w:p>
    <w:p w14:paraId="37C21012" w14:textId="77777777" w:rsidR="00A71EEF" w:rsidRDefault="00A71EEF">
      <w:pPr>
        <w:pStyle w:val="a3"/>
        <w:rPr>
          <w:sz w:val="20"/>
        </w:rPr>
      </w:pPr>
    </w:p>
    <w:p w14:paraId="2AEF5FAD" w14:textId="77777777" w:rsidR="00A71EEF" w:rsidRDefault="00A71EEF">
      <w:pPr>
        <w:pStyle w:val="a3"/>
        <w:rPr>
          <w:sz w:val="20"/>
        </w:rPr>
      </w:pPr>
    </w:p>
    <w:p w14:paraId="3C364138" w14:textId="77777777" w:rsidR="00A71EEF" w:rsidRDefault="00A71EEF">
      <w:pPr>
        <w:pStyle w:val="a3"/>
        <w:rPr>
          <w:sz w:val="20"/>
        </w:rPr>
      </w:pPr>
    </w:p>
    <w:p w14:paraId="0870E53A" w14:textId="77777777" w:rsidR="00A71EEF" w:rsidRDefault="00A71EEF">
      <w:pPr>
        <w:pStyle w:val="a3"/>
        <w:rPr>
          <w:sz w:val="20"/>
        </w:rPr>
      </w:pPr>
    </w:p>
    <w:p w14:paraId="6E169A6A" w14:textId="77777777" w:rsidR="00A71EEF" w:rsidRDefault="00A71EEF">
      <w:pPr>
        <w:pStyle w:val="a3"/>
        <w:rPr>
          <w:sz w:val="20"/>
        </w:rPr>
      </w:pPr>
    </w:p>
    <w:p w14:paraId="742EC51F" w14:textId="77777777" w:rsidR="00A71EEF" w:rsidRDefault="00A71EEF">
      <w:pPr>
        <w:pStyle w:val="a3"/>
        <w:rPr>
          <w:sz w:val="20"/>
        </w:rPr>
      </w:pPr>
    </w:p>
    <w:p w14:paraId="414D36C4" w14:textId="77777777" w:rsidR="00A71EEF" w:rsidRDefault="00A71EEF">
      <w:pPr>
        <w:pStyle w:val="a3"/>
        <w:rPr>
          <w:sz w:val="20"/>
        </w:rPr>
      </w:pPr>
    </w:p>
    <w:p w14:paraId="4A3AC476" w14:textId="77777777" w:rsidR="00A71EEF" w:rsidRDefault="00A71EEF">
      <w:pPr>
        <w:pStyle w:val="a3"/>
        <w:rPr>
          <w:sz w:val="20"/>
        </w:rPr>
      </w:pPr>
    </w:p>
    <w:p w14:paraId="4B8FB2BE" w14:textId="77777777" w:rsidR="00A71EEF" w:rsidRDefault="00A71EEF">
      <w:pPr>
        <w:pStyle w:val="a3"/>
        <w:rPr>
          <w:sz w:val="20"/>
        </w:rPr>
      </w:pPr>
    </w:p>
    <w:p w14:paraId="62C8EEA0" w14:textId="77777777" w:rsidR="00A71EEF" w:rsidRDefault="00A71EEF">
      <w:pPr>
        <w:pStyle w:val="a3"/>
        <w:rPr>
          <w:sz w:val="20"/>
        </w:rPr>
      </w:pPr>
    </w:p>
    <w:p w14:paraId="51775487" w14:textId="77777777" w:rsidR="00A71EEF" w:rsidRDefault="00A71EEF">
      <w:pPr>
        <w:pStyle w:val="a3"/>
        <w:rPr>
          <w:sz w:val="20"/>
        </w:rPr>
      </w:pPr>
    </w:p>
    <w:p w14:paraId="69F2A82A" w14:textId="77777777" w:rsidR="00A71EEF" w:rsidRDefault="00A71EEF">
      <w:pPr>
        <w:pStyle w:val="a3"/>
        <w:rPr>
          <w:sz w:val="20"/>
        </w:rPr>
      </w:pPr>
    </w:p>
    <w:p w14:paraId="1D2A4D65" w14:textId="77777777" w:rsidR="00A71EEF" w:rsidRDefault="00A71EEF">
      <w:pPr>
        <w:pStyle w:val="a3"/>
        <w:rPr>
          <w:sz w:val="20"/>
        </w:rPr>
      </w:pPr>
    </w:p>
    <w:p w14:paraId="7AE7D203" w14:textId="77777777" w:rsidR="00A71EEF" w:rsidRDefault="00A71EEF">
      <w:pPr>
        <w:pStyle w:val="a3"/>
        <w:rPr>
          <w:sz w:val="20"/>
        </w:rPr>
      </w:pPr>
    </w:p>
    <w:p w14:paraId="2A70B161" w14:textId="77777777" w:rsidR="00A71EEF" w:rsidRDefault="00A71EEF">
      <w:pPr>
        <w:pStyle w:val="a3"/>
        <w:rPr>
          <w:sz w:val="20"/>
        </w:rPr>
      </w:pPr>
    </w:p>
    <w:p w14:paraId="4051AC7B" w14:textId="77777777" w:rsidR="00A71EEF" w:rsidRDefault="00A71EEF">
      <w:pPr>
        <w:pStyle w:val="a3"/>
        <w:rPr>
          <w:sz w:val="20"/>
        </w:rPr>
      </w:pPr>
    </w:p>
    <w:p w14:paraId="1852C726" w14:textId="77777777" w:rsidR="00A71EEF" w:rsidRDefault="00A71EEF">
      <w:pPr>
        <w:pStyle w:val="a3"/>
        <w:rPr>
          <w:sz w:val="20"/>
        </w:rPr>
      </w:pPr>
    </w:p>
    <w:p w14:paraId="3AAEB5D3" w14:textId="77777777" w:rsidR="00A71EEF" w:rsidRDefault="00A71EEF">
      <w:pPr>
        <w:pStyle w:val="a3"/>
        <w:rPr>
          <w:sz w:val="20"/>
        </w:rPr>
      </w:pPr>
    </w:p>
    <w:p w14:paraId="5B824242" w14:textId="77777777" w:rsidR="00A71EEF" w:rsidRDefault="00A71EEF">
      <w:pPr>
        <w:pStyle w:val="a3"/>
        <w:rPr>
          <w:sz w:val="20"/>
        </w:rPr>
      </w:pPr>
    </w:p>
    <w:p w14:paraId="2F34B951" w14:textId="77777777" w:rsidR="00A71EEF" w:rsidRDefault="00A71EEF">
      <w:pPr>
        <w:pStyle w:val="a3"/>
        <w:rPr>
          <w:sz w:val="20"/>
        </w:rPr>
      </w:pPr>
    </w:p>
    <w:p w14:paraId="14B61C04" w14:textId="77777777" w:rsidR="00A71EEF" w:rsidRDefault="00A71EEF">
      <w:pPr>
        <w:pStyle w:val="a3"/>
        <w:rPr>
          <w:sz w:val="20"/>
        </w:rPr>
      </w:pPr>
    </w:p>
    <w:p w14:paraId="295D72C9" w14:textId="77777777" w:rsidR="00A71EEF" w:rsidRDefault="00A71EEF">
      <w:pPr>
        <w:pStyle w:val="a3"/>
        <w:rPr>
          <w:sz w:val="20"/>
        </w:rPr>
      </w:pPr>
    </w:p>
    <w:p w14:paraId="01095EBE" w14:textId="77777777" w:rsidR="00A71EEF" w:rsidRDefault="00A71EEF">
      <w:pPr>
        <w:pStyle w:val="a3"/>
        <w:rPr>
          <w:sz w:val="20"/>
        </w:rPr>
      </w:pPr>
    </w:p>
    <w:p w14:paraId="5F844AB4" w14:textId="77777777" w:rsidR="00A71EEF" w:rsidRDefault="00A71EEF">
      <w:pPr>
        <w:pStyle w:val="a3"/>
        <w:rPr>
          <w:sz w:val="20"/>
        </w:rPr>
      </w:pPr>
    </w:p>
    <w:p w14:paraId="7132D79F" w14:textId="77777777" w:rsidR="00A71EEF" w:rsidRDefault="00A71EEF">
      <w:pPr>
        <w:pStyle w:val="a3"/>
        <w:rPr>
          <w:sz w:val="20"/>
        </w:rPr>
      </w:pPr>
    </w:p>
    <w:p w14:paraId="4686DA35" w14:textId="77777777" w:rsidR="00A71EEF" w:rsidRDefault="00A71EEF">
      <w:pPr>
        <w:pStyle w:val="a3"/>
        <w:rPr>
          <w:sz w:val="20"/>
        </w:rPr>
      </w:pPr>
    </w:p>
    <w:p w14:paraId="3E6E0F60" w14:textId="77777777" w:rsidR="00A71EEF" w:rsidRDefault="00A71EEF">
      <w:pPr>
        <w:pStyle w:val="a3"/>
        <w:spacing w:before="11"/>
        <w:rPr>
          <w:sz w:val="19"/>
        </w:rPr>
      </w:pPr>
    </w:p>
    <w:p w14:paraId="1F50B3D6" w14:textId="77777777" w:rsidR="00A71EEF" w:rsidRDefault="0081115D">
      <w:pPr>
        <w:pStyle w:val="a3"/>
        <w:spacing w:before="71"/>
        <w:ind w:left="3298"/>
      </w:pPr>
      <w:r>
        <w:t xml:space="preserve"> </w:t>
      </w:r>
    </w:p>
    <w:p w14:paraId="760FEA09" w14:textId="77777777" w:rsidR="00A71EEF" w:rsidRDefault="00A71EEF">
      <w:pPr>
        <w:sectPr w:rsidR="00A71EEF">
          <w:pgSz w:w="11910" w:h="16850"/>
          <w:pgMar w:top="1220" w:right="0" w:bottom="1420" w:left="1260" w:header="0" w:footer="1239" w:gutter="0"/>
          <w:cols w:space="720"/>
        </w:sectPr>
      </w:pPr>
    </w:p>
    <w:p w14:paraId="5B925E8B" w14:textId="77777777" w:rsidR="00A71EEF" w:rsidRDefault="0081115D">
      <w:pPr>
        <w:pStyle w:val="2"/>
        <w:ind w:left="3305"/>
        <w:jc w:val="left"/>
      </w:pPr>
      <w:bookmarkStart w:id="41" w:name="_bookmark41"/>
      <w:bookmarkEnd w:id="41"/>
      <w:r>
        <w:t>防护服装</w:t>
      </w:r>
      <w:r>
        <w:t xml:space="preserve"> </w:t>
      </w:r>
      <w:r>
        <w:t>森林防火服</w:t>
      </w:r>
      <w:r>
        <w:rPr>
          <w:w w:val="99"/>
        </w:rPr>
        <w:t xml:space="preserve"> </w:t>
      </w:r>
    </w:p>
    <w:p w14:paraId="1941DD54" w14:textId="77777777" w:rsidR="00A71EEF" w:rsidRDefault="00A71EEF">
      <w:pPr>
        <w:pStyle w:val="a3"/>
        <w:rPr>
          <w:b/>
          <w:sz w:val="20"/>
        </w:rPr>
      </w:pPr>
    </w:p>
    <w:p w14:paraId="0ED4A966" w14:textId="77777777" w:rsidR="00A71EEF" w:rsidRDefault="00A71EEF">
      <w:pPr>
        <w:pStyle w:val="a3"/>
        <w:spacing w:before="5"/>
        <w:rPr>
          <w:b/>
          <w:sz w:val="14"/>
        </w:rPr>
      </w:pPr>
    </w:p>
    <w:p w14:paraId="0F736548" w14:textId="77777777" w:rsidR="00A71EEF" w:rsidRDefault="0081115D">
      <w:pPr>
        <w:pStyle w:val="4"/>
        <w:spacing w:before="66"/>
      </w:pPr>
      <w:r>
        <w:t xml:space="preserve">1 </w:t>
      </w:r>
      <w:r>
        <w:t>范围</w:t>
      </w:r>
      <w:r>
        <w:rPr>
          <w:w w:val="99"/>
        </w:rPr>
        <w:t xml:space="preserve"> </w:t>
      </w:r>
    </w:p>
    <w:p w14:paraId="5901299C" w14:textId="77777777" w:rsidR="00A71EEF" w:rsidRDefault="00A71EEF">
      <w:pPr>
        <w:pStyle w:val="a3"/>
        <w:spacing w:before="4"/>
        <w:rPr>
          <w:b/>
          <w:sz w:val="17"/>
        </w:rPr>
      </w:pPr>
    </w:p>
    <w:p w14:paraId="1CA63731" w14:textId="77777777" w:rsidR="00A71EEF" w:rsidRDefault="0081115D">
      <w:pPr>
        <w:pStyle w:val="a3"/>
        <w:spacing w:line="446" w:lineRule="auto"/>
        <w:ind w:left="838" w:right="3397"/>
      </w:pPr>
      <w:r>
        <w:t>本标准规定了森林防火服的技术要求、试验方法、检验规则和标识。本标准适用于从事森林扑火作业人员穿用的防护服装。</w:t>
      </w:r>
      <w:r>
        <w:t xml:space="preserve"> </w:t>
      </w:r>
    </w:p>
    <w:p w14:paraId="2FA00D65" w14:textId="77777777" w:rsidR="00A71EEF" w:rsidRDefault="0081115D">
      <w:pPr>
        <w:pStyle w:val="a3"/>
        <w:ind w:left="838"/>
      </w:pPr>
      <w:r>
        <w:t>本标准不适用于城市消防救援中穿用的阻燃防护服。</w:t>
      </w:r>
      <w:r>
        <w:t xml:space="preserve"> </w:t>
      </w:r>
    </w:p>
    <w:p w14:paraId="2A2EB72E" w14:textId="77777777" w:rsidR="00A71EEF" w:rsidRDefault="00A71EEF">
      <w:pPr>
        <w:pStyle w:val="a3"/>
        <w:spacing w:before="8"/>
        <w:rPr>
          <w:sz w:val="15"/>
        </w:rPr>
      </w:pPr>
    </w:p>
    <w:p w14:paraId="5D36313B" w14:textId="77777777" w:rsidR="00A71EEF" w:rsidRDefault="0081115D">
      <w:pPr>
        <w:pStyle w:val="4"/>
      </w:pPr>
      <w:r>
        <w:t xml:space="preserve">2 </w:t>
      </w:r>
      <w:r>
        <w:t>规范性引用文件</w:t>
      </w:r>
      <w:r>
        <w:rPr>
          <w:w w:val="99"/>
        </w:rPr>
        <w:t xml:space="preserve"> </w:t>
      </w:r>
    </w:p>
    <w:p w14:paraId="030B9641" w14:textId="77777777" w:rsidR="00A71EEF" w:rsidRDefault="00A71EEF">
      <w:pPr>
        <w:pStyle w:val="a3"/>
        <w:spacing w:before="4"/>
        <w:rPr>
          <w:b/>
          <w:sz w:val="17"/>
        </w:rPr>
      </w:pPr>
    </w:p>
    <w:p w14:paraId="6E8FEBB7" w14:textId="77777777" w:rsidR="00A71EEF" w:rsidRDefault="0081115D">
      <w:pPr>
        <w:pStyle w:val="a3"/>
        <w:spacing w:line="446" w:lineRule="auto"/>
        <w:ind w:left="418" w:right="1410" w:firstLine="419"/>
      </w:pPr>
      <w:r>
        <w:t>下列文件对于本文件的应用是必不可少的。凡是注日期的引用文件，仅注日期的版本适用于本文件。凡是不注日期的引用文件，其最新版本（包括所有的修改单）适用于本文件。</w:t>
      </w:r>
      <w:r>
        <w:t xml:space="preserve"> </w:t>
      </w:r>
    </w:p>
    <w:p w14:paraId="2252BCDA" w14:textId="77777777" w:rsidR="00A71EEF" w:rsidRDefault="0081115D">
      <w:pPr>
        <w:pStyle w:val="a3"/>
        <w:ind w:left="838"/>
      </w:pPr>
      <w:r>
        <w:t xml:space="preserve">GB/T 250 </w:t>
      </w:r>
      <w:r>
        <w:t>纺织品</w:t>
      </w:r>
      <w:r>
        <w:t xml:space="preserve"> </w:t>
      </w:r>
      <w:r>
        <w:t>色牢度试验</w:t>
      </w:r>
      <w:r>
        <w:t xml:space="preserve"> </w:t>
      </w:r>
      <w:r>
        <w:t>评定变色用灰色样卡</w:t>
      </w:r>
      <w:r>
        <w:t xml:space="preserve"> </w:t>
      </w:r>
    </w:p>
    <w:p w14:paraId="5B23BADB" w14:textId="77777777" w:rsidR="00A71EEF" w:rsidRDefault="00A71EEF">
      <w:pPr>
        <w:pStyle w:val="a3"/>
        <w:rPr>
          <w:sz w:val="18"/>
        </w:rPr>
      </w:pPr>
    </w:p>
    <w:p w14:paraId="04C43E3A" w14:textId="77777777" w:rsidR="00A71EEF" w:rsidRDefault="0081115D">
      <w:pPr>
        <w:pStyle w:val="a3"/>
        <w:ind w:left="838"/>
      </w:pPr>
      <w:r>
        <w:t xml:space="preserve">GB/T 2912.1 </w:t>
      </w:r>
      <w:r>
        <w:t>纺织品</w:t>
      </w:r>
      <w:r>
        <w:t xml:space="preserve"> </w:t>
      </w:r>
      <w:r>
        <w:t>甲醛的测定</w:t>
      </w:r>
      <w:r>
        <w:t xml:space="preserve"> </w:t>
      </w:r>
      <w:r>
        <w:t>第</w:t>
      </w:r>
      <w:r>
        <w:t xml:space="preserve"> 1 </w:t>
      </w:r>
      <w:r>
        <w:t>部分：游离和水解的甲醛（水萃取法）</w:t>
      </w:r>
      <w:r>
        <w:t xml:space="preserve"> </w:t>
      </w:r>
    </w:p>
    <w:p w14:paraId="7793E24D" w14:textId="77777777" w:rsidR="00A71EEF" w:rsidRDefault="00A71EEF">
      <w:pPr>
        <w:pStyle w:val="a3"/>
        <w:spacing w:before="1"/>
        <w:rPr>
          <w:sz w:val="18"/>
        </w:rPr>
      </w:pPr>
    </w:p>
    <w:p w14:paraId="7F5D9CC1" w14:textId="77777777" w:rsidR="00A71EEF" w:rsidRDefault="0081115D">
      <w:pPr>
        <w:pStyle w:val="a3"/>
        <w:spacing w:before="1" w:line="446" w:lineRule="auto"/>
        <w:ind w:left="838" w:right="1767"/>
      </w:pPr>
      <w:r>
        <w:t xml:space="preserve">GB/T 3916——2013 </w:t>
      </w:r>
      <w:r>
        <w:t>纺织品</w:t>
      </w:r>
      <w:r>
        <w:t xml:space="preserve"> </w:t>
      </w:r>
      <w:r>
        <w:t>卷装纱</w:t>
      </w:r>
      <w:r>
        <w:t xml:space="preserve"> </w:t>
      </w:r>
      <w:r>
        <w:t>单根纱线断裂能力和断裂伸长率的测定（</w:t>
      </w:r>
      <w:r>
        <w:t xml:space="preserve">CRE </w:t>
      </w:r>
      <w:r>
        <w:t>法）</w:t>
      </w:r>
      <w:r>
        <w:t xml:space="preserve"> GB/T 3917.3 </w:t>
      </w:r>
      <w:r>
        <w:t>纺织品</w:t>
      </w:r>
      <w:r>
        <w:t xml:space="preserve"> </w:t>
      </w:r>
      <w:r>
        <w:t>织物撕破性能</w:t>
      </w:r>
      <w:r>
        <w:t xml:space="preserve"> </w:t>
      </w:r>
      <w:r>
        <w:t>第</w:t>
      </w:r>
      <w:r>
        <w:t xml:space="preserve"> 3 </w:t>
      </w:r>
      <w:r>
        <w:t>部分：梯形试样撕破能力的测定</w:t>
      </w:r>
      <w:r>
        <w:t xml:space="preserve"> </w:t>
      </w:r>
    </w:p>
    <w:p w14:paraId="455390D3" w14:textId="77777777" w:rsidR="00A71EEF" w:rsidRDefault="0081115D">
      <w:pPr>
        <w:pStyle w:val="a3"/>
        <w:spacing w:line="267" w:lineRule="exact"/>
        <w:ind w:left="838"/>
      </w:pPr>
      <w:r>
        <w:t>GB/T</w:t>
      </w:r>
      <w:r>
        <w:rPr>
          <w:spacing w:val="4"/>
        </w:rPr>
        <w:t xml:space="preserve"> </w:t>
      </w:r>
      <w:r>
        <w:t>39</w:t>
      </w:r>
      <w:r>
        <w:t>20</w:t>
      </w:r>
      <w:r>
        <w:rPr>
          <w:spacing w:val="-3"/>
        </w:rPr>
        <w:t xml:space="preserve"> </w:t>
      </w:r>
      <w:r>
        <w:rPr>
          <w:spacing w:val="-3"/>
        </w:rPr>
        <w:t>纺织品</w:t>
      </w:r>
      <w:r>
        <w:rPr>
          <w:spacing w:val="-3"/>
        </w:rPr>
        <w:t xml:space="preserve"> </w:t>
      </w:r>
      <w:r>
        <w:rPr>
          <w:spacing w:val="-3"/>
        </w:rPr>
        <w:t>色牢度试验</w:t>
      </w:r>
      <w:r>
        <w:rPr>
          <w:spacing w:val="-3"/>
        </w:rPr>
        <w:t xml:space="preserve"> </w:t>
      </w:r>
      <w:r>
        <w:rPr>
          <w:spacing w:val="-3"/>
        </w:rPr>
        <w:t>耐摩擦色牢度</w:t>
      </w:r>
      <w:r>
        <w:t xml:space="preserve"> </w:t>
      </w:r>
    </w:p>
    <w:p w14:paraId="31E7BA1B" w14:textId="77777777" w:rsidR="00A71EEF" w:rsidRDefault="00A71EEF">
      <w:pPr>
        <w:pStyle w:val="a3"/>
        <w:spacing w:before="1"/>
        <w:rPr>
          <w:sz w:val="18"/>
        </w:rPr>
      </w:pPr>
    </w:p>
    <w:p w14:paraId="21DB7447" w14:textId="77777777" w:rsidR="00A71EEF" w:rsidRDefault="0081115D">
      <w:pPr>
        <w:pStyle w:val="a3"/>
        <w:spacing w:before="1" w:line="446" w:lineRule="auto"/>
        <w:ind w:left="838" w:right="4657"/>
      </w:pPr>
      <w:r>
        <w:t>GB/T</w:t>
      </w:r>
      <w:r>
        <w:rPr>
          <w:spacing w:val="3"/>
        </w:rPr>
        <w:t xml:space="preserve"> </w:t>
      </w:r>
      <w:r>
        <w:t>3921——2008</w:t>
      </w:r>
      <w:r>
        <w:rPr>
          <w:spacing w:val="-3"/>
        </w:rPr>
        <w:t xml:space="preserve"> </w:t>
      </w:r>
      <w:r>
        <w:rPr>
          <w:spacing w:val="-3"/>
        </w:rPr>
        <w:t>纺织品</w:t>
      </w:r>
      <w:r>
        <w:rPr>
          <w:spacing w:val="-3"/>
        </w:rPr>
        <w:t xml:space="preserve"> </w:t>
      </w:r>
      <w:r>
        <w:rPr>
          <w:spacing w:val="-3"/>
        </w:rPr>
        <w:t>色牢度试验</w:t>
      </w:r>
      <w:r>
        <w:rPr>
          <w:spacing w:val="-3"/>
        </w:rPr>
        <w:t xml:space="preserve"> </w:t>
      </w:r>
      <w:r>
        <w:rPr>
          <w:spacing w:val="-3"/>
        </w:rPr>
        <w:t>耐皂洗色牢度</w:t>
      </w:r>
      <w:r>
        <w:t>GB/T</w:t>
      </w:r>
      <w:r>
        <w:rPr>
          <w:spacing w:val="1"/>
        </w:rPr>
        <w:t xml:space="preserve"> </w:t>
      </w:r>
      <w:r>
        <w:t>3922</w:t>
      </w:r>
      <w:r>
        <w:rPr>
          <w:spacing w:val="-3"/>
        </w:rPr>
        <w:t xml:space="preserve"> </w:t>
      </w:r>
      <w:r>
        <w:rPr>
          <w:spacing w:val="-3"/>
        </w:rPr>
        <w:t>纺织品</w:t>
      </w:r>
      <w:r>
        <w:rPr>
          <w:spacing w:val="-3"/>
        </w:rPr>
        <w:t xml:space="preserve"> </w:t>
      </w:r>
      <w:r>
        <w:rPr>
          <w:spacing w:val="-3"/>
        </w:rPr>
        <w:t>色牢度试验</w:t>
      </w:r>
      <w:r>
        <w:rPr>
          <w:spacing w:val="-3"/>
        </w:rPr>
        <w:t xml:space="preserve"> </w:t>
      </w:r>
      <w:r>
        <w:rPr>
          <w:spacing w:val="-3"/>
        </w:rPr>
        <w:t>耐汗渍色牢度</w:t>
      </w:r>
      <w:r>
        <w:t xml:space="preserve"> </w:t>
      </w:r>
    </w:p>
    <w:p w14:paraId="7B0892CB" w14:textId="77777777" w:rsidR="00A71EEF" w:rsidRDefault="0081115D">
      <w:pPr>
        <w:pStyle w:val="a3"/>
        <w:spacing w:line="446" w:lineRule="auto"/>
        <w:ind w:left="838" w:right="1508"/>
      </w:pPr>
      <w:r>
        <w:t xml:space="preserve">GB/T 3923.1 </w:t>
      </w:r>
      <w:r>
        <w:t>纺织品</w:t>
      </w:r>
      <w:r>
        <w:t xml:space="preserve"> </w:t>
      </w:r>
      <w:r>
        <w:t>织物拉伸性能</w:t>
      </w:r>
      <w:r>
        <w:t xml:space="preserve"> </w:t>
      </w:r>
      <w:r>
        <w:t>第</w:t>
      </w:r>
      <w:r>
        <w:t xml:space="preserve"> 1 </w:t>
      </w:r>
      <w:r>
        <w:t>部分：断裂强力和断裂伸长率的测定（条样法）</w:t>
      </w:r>
      <w:r>
        <w:t xml:space="preserve"> GB/T 4669——2008 </w:t>
      </w:r>
      <w:r>
        <w:t>纺织品</w:t>
      </w:r>
      <w:r>
        <w:t xml:space="preserve"> </w:t>
      </w:r>
      <w:r>
        <w:t>机织物</w:t>
      </w:r>
      <w:r>
        <w:t xml:space="preserve"> </w:t>
      </w:r>
      <w:r>
        <w:t>单位长度质量和单位面积的测定</w:t>
      </w:r>
      <w:r>
        <w:t xml:space="preserve"> </w:t>
      </w:r>
    </w:p>
    <w:p w14:paraId="12F46F22" w14:textId="77777777" w:rsidR="00A71EEF" w:rsidRDefault="0081115D">
      <w:pPr>
        <w:pStyle w:val="a3"/>
        <w:spacing w:line="446" w:lineRule="auto"/>
        <w:ind w:left="838" w:right="2979"/>
      </w:pPr>
      <w:r>
        <w:t xml:space="preserve">GB/T 5455 </w:t>
      </w:r>
      <w:r>
        <w:t>纺织品</w:t>
      </w:r>
      <w:r>
        <w:t xml:space="preserve"> </w:t>
      </w:r>
      <w:r>
        <w:t>燃烧性能</w:t>
      </w:r>
      <w:r>
        <w:t xml:space="preserve"> </w:t>
      </w:r>
      <w:r>
        <w:t>垂直房县损毁长度、阴燃和续燃时间的测定</w:t>
      </w:r>
      <w:r>
        <w:t xml:space="preserve">GB/T 5713 </w:t>
      </w:r>
      <w:r>
        <w:t>纺织品</w:t>
      </w:r>
      <w:r>
        <w:t xml:space="preserve"> </w:t>
      </w:r>
      <w:r>
        <w:t>色牢度试验</w:t>
      </w:r>
      <w:r>
        <w:t xml:space="preserve"> </w:t>
      </w:r>
      <w:r>
        <w:t>耐水色牢度</w:t>
      </w:r>
      <w:r>
        <w:t xml:space="preserve"> </w:t>
      </w:r>
    </w:p>
    <w:p w14:paraId="465828B8" w14:textId="77777777" w:rsidR="00A71EEF" w:rsidRDefault="0081115D">
      <w:pPr>
        <w:pStyle w:val="a3"/>
        <w:ind w:left="838"/>
      </w:pPr>
      <w:r>
        <w:t xml:space="preserve">GB/T 7573 </w:t>
      </w:r>
      <w:r>
        <w:t>纺织品</w:t>
      </w:r>
      <w:r>
        <w:t xml:space="preserve"> </w:t>
      </w:r>
      <w:r>
        <w:t>水萃取液</w:t>
      </w:r>
      <w:r>
        <w:t xml:space="preserve"> pH </w:t>
      </w:r>
      <w:r>
        <w:t>值的测定</w:t>
      </w:r>
      <w:r>
        <w:t xml:space="preserve"> </w:t>
      </w:r>
    </w:p>
    <w:p w14:paraId="3F1EEB9E" w14:textId="77777777" w:rsidR="00A71EEF" w:rsidRDefault="00A71EEF">
      <w:pPr>
        <w:pStyle w:val="a3"/>
        <w:spacing w:before="10"/>
        <w:rPr>
          <w:sz w:val="17"/>
        </w:rPr>
      </w:pPr>
    </w:p>
    <w:p w14:paraId="2041DEE6" w14:textId="77777777" w:rsidR="00A71EEF" w:rsidRDefault="0081115D">
      <w:pPr>
        <w:pStyle w:val="a3"/>
        <w:ind w:left="838"/>
      </w:pPr>
      <w:r>
        <w:t xml:space="preserve">GB/T 8427——2008 </w:t>
      </w:r>
      <w:r>
        <w:t>纺织品</w:t>
      </w:r>
      <w:r>
        <w:t xml:space="preserve"> </w:t>
      </w:r>
      <w:r>
        <w:t>色牢度试验</w:t>
      </w:r>
      <w:r>
        <w:t xml:space="preserve"> </w:t>
      </w:r>
      <w:r>
        <w:t>耐人造光色牢度：氙弧</w:t>
      </w:r>
      <w:r>
        <w:t xml:space="preserve"> </w:t>
      </w:r>
    </w:p>
    <w:p w14:paraId="1A10D082" w14:textId="77777777" w:rsidR="00A71EEF" w:rsidRDefault="00A71EEF">
      <w:pPr>
        <w:pStyle w:val="a3"/>
        <w:spacing w:before="12"/>
        <w:rPr>
          <w:sz w:val="17"/>
        </w:rPr>
      </w:pPr>
    </w:p>
    <w:p w14:paraId="121BD27D" w14:textId="77777777" w:rsidR="00A71EEF" w:rsidRDefault="0081115D">
      <w:pPr>
        <w:pStyle w:val="a3"/>
        <w:spacing w:line="446" w:lineRule="auto"/>
        <w:ind w:left="838" w:right="2451"/>
      </w:pPr>
      <w:r>
        <w:t xml:space="preserve">GB/T 8628 </w:t>
      </w:r>
      <w:r>
        <w:t>纺织品</w:t>
      </w:r>
      <w:r>
        <w:t xml:space="preserve"> </w:t>
      </w:r>
      <w:r>
        <w:t>测定尺寸变化的试验中织物试样和服装的准备、标记及测量</w:t>
      </w:r>
      <w:r>
        <w:t xml:space="preserve">GB/T 8629——2001 </w:t>
      </w:r>
      <w:r>
        <w:t>纺织品</w:t>
      </w:r>
      <w:r>
        <w:t xml:space="preserve"> </w:t>
      </w:r>
      <w:r>
        <w:t>试验用家庭洗涤和干燥程序</w:t>
      </w:r>
      <w:r>
        <w:t xml:space="preserve"> </w:t>
      </w:r>
    </w:p>
    <w:p w14:paraId="5066AEEB" w14:textId="77777777" w:rsidR="00A71EEF" w:rsidRDefault="0081115D">
      <w:pPr>
        <w:pStyle w:val="a3"/>
        <w:ind w:left="838"/>
      </w:pPr>
      <w:r>
        <w:t xml:space="preserve">GB/T 8630 </w:t>
      </w:r>
      <w:r>
        <w:t>纺织品</w:t>
      </w:r>
      <w:r>
        <w:t xml:space="preserve"> </w:t>
      </w:r>
      <w:r>
        <w:t>洗涤和干燥后尺寸变化的测定</w:t>
      </w:r>
      <w:r>
        <w:t xml:space="preserve"> </w:t>
      </w:r>
    </w:p>
    <w:p w14:paraId="0E515F57" w14:textId="77777777" w:rsidR="00A71EEF" w:rsidRDefault="00A71EEF">
      <w:pPr>
        <w:pStyle w:val="a3"/>
        <w:spacing w:before="12"/>
        <w:rPr>
          <w:sz w:val="17"/>
        </w:rPr>
      </w:pPr>
    </w:p>
    <w:p w14:paraId="62C34AA5" w14:textId="77777777" w:rsidR="00A71EEF" w:rsidRDefault="0081115D">
      <w:pPr>
        <w:pStyle w:val="a3"/>
        <w:spacing w:line="448" w:lineRule="auto"/>
        <w:ind w:left="838" w:right="4237"/>
      </w:pPr>
      <w:r>
        <w:t xml:space="preserve">GB 8965.1——2009 </w:t>
      </w:r>
      <w:r>
        <w:t>防护服装</w:t>
      </w:r>
      <w:r>
        <w:t xml:space="preserve"> </w:t>
      </w:r>
      <w:r>
        <w:t>阻燃防护</w:t>
      </w:r>
      <w:r>
        <w:t xml:space="preserve"> </w:t>
      </w:r>
      <w:r>
        <w:t>第</w:t>
      </w:r>
      <w:r>
        <w:t xml:space="preserve"> 1 </w:t>
      </w:r>
      <w:r>
        <w:t>部分：阻燃服</w:t>
      </w:r>
      <w:r>
        <w:t xml:space="preserve">GB/T 12903 </w:t>
      </w:r>
      <w:r>
        <w:t>个体防护装备术语</w:t>
      </w:r>
      <w:r>
        <w:t xml:space="preserve"> </w:t>
      </w:r>
    </w:p>
    <w:p w14:paraId="79138510" w14:textId="77777777" w:rsidR="00A71EEF" w:rsidRDefault="0081115D">
      <w:pPr>
        <w:pStyle w:val="a3"/>
        <w:spacing w:line="264" w:lineRule="exact"/>
        <w:ind w:left="838"/>
      </w:pPr>
      <w:r>
        <w:t xml:space="preserve">GB/T 13171.2 </w:t>
      </w:r>
      <w:r>
        <w:t>洗衣粉（无磷型）</w:t>
      </w:r>
      <w:r>
        <w:t xml:space="preserve"> </w:t>
      </w:r>
    </w:p>
    <w:p w14:paraId="7CE4B0F1" w14:textId="77777777" w:rsidR="00A71EEF" w:rsidRDefault="00A71EEF">
      <w:pPr>
        <w:spacing w:line="264" w:lineRule="exact"/>
        <w:sectPr w:rsidR="00A71EEF">
          <w:pgSz w:w="11910" w:h="16850"/>
          <w:pgMar w:top="1140" w:right="0" w:bottom="1420" w:left="1260" w:header="0" w:footer="1239" w:gutter="0"/>
          <w:cols w:space="720"/>
        </w:sectPr>
      </w:pPr>
    </w:p>
    <w:p w14:paraId="6C6510BF" w14:textId="77777777" w:rsidR="00A71EEF" w:rsidRDefault="0081115D">
      <w:pPr>
        <w:pStyle w:val="a3"/>
        <w:spacing w:before="47"/>
        <w:ind w:left="838"/>
      </w:pPr>
      <w:r>
        <w:t xml:space="preserve">GB/T 13640 </w:t>
      </w:r>
      <w:r>
        <w:t>劳动防护</w:t>
      </w:r>
      <w:r>
        <w:t>服号型</w:t>
      </w:r>
      <w:r>
        <w:t xml:space="preserve"> </w:t>
      </w:r>
    </w:p>
    <w:p w14:paraId="7C4071AF" w14:textId="77777777" w:rsidR="00A71EEF" w:rsidRDefault="00A71EEF">
      <w:pPr>
        <w:pStyle w:val="a3"/>
        <w:rPr>
          <w:sz w:val="18"/>
        </w:rPr>
      </w:pPr>
    </w:p>
    <w:p w14:paraId="4F5641FB" w14:textId="77777777" w:rsidR="00A71EEF" w:rsidRDefault="0081115D">
      <w:pPr>
        <w:pStyle w:val="a3"/>
        <w:spacing w:line="446" w:lineRule="auto"/>
        <w:ind w:left="838" w:right="1719"/>
      </w:pPr>
      <w:r>
        <w:t xml:space="preserve">GB/T13773.1 </w:t>
      </w:r>
      <w:r>
        <w:t>纺织品</w:t>
      </w:r>
      <w:r>
        <w:t xml:space="preserve"> </w:t>
      </w:r>
      <w:r>
        <w:t>织物及其制品的接缝拉伸性能</w:t>
      </w:r>
      <w:r>
        <w:t xml:space="preserve"> </w:t>
      </w:r>
      <w:r>
        <w:t>第</w:t>
      </w:r>
      <w:r>
        <w:t xml:space="preserve"> 1 </w:t>
      </w:r>
      <w:r>
        <w:t>部分：条样法接缝强力的测定</w:t>
      </w:r>
      <w:r>
        <w:t xml:space="preserve">GB/T 17591——2006 </w:t>
      </w:r>
      <w:r>
        <w:t>阻燃织物</w:t>
      </w:r>
      <w:r>
        <w:t xml:space="preserve"> </w:t>
      </w:r>
    </w:p>
    <w:p w14:paraId="3B2E1A51" w14:textId="77777777" w:rsidR="00A71EEF" w:rsidRDefault="0081115D">
      <w:pPr>
        <w:pStyle w:val="a3"/>
        <w:spacing w:line="446" w:lineRule="auto"/>
        <w:ind w:left="838" w:right="4031"/>
      </w:pPr>
      <w:r>
        <w:t xml:space="preserve">GB/T 19596——1998 </w:t>
      </w:r>
      <w:r>
        <w:t>纺织品</w:t>
      </w:r>
      <w:r>
        <w:t xml:space="preserve"> </w:t>
      </w:r>
      <w:r>
        <w:t>织物燃烧试验前的商业洗涤程序</w:t>
      </w:r>
      <w:r>
        <w:t xml:space="preserve">GB 20653——2006 </w:t>
      </w:r>
      <w:r>
        <w:t>职业用可视性警示服</w:t>
      </w:r>
      <w:r>
        <w:t xml:space="preserve"> </w:t>
      </w:r>
    </w:p>
    <w:p w14:paraId="72B470FC" w14:textId="77777777" w:rsidR="00A71EEF" w:rsidRDefault="0081115D">
      <w:pPr>
        <w:pStyle w:val="a3"/>
        <w:spacing w:line="267" w:lineRule="exact"/>
        <w:ind w:left="838"/>
      </w:pPr>
      <w:r>
        <w:t xml:space="preserve">FZ/T 81007——2012 </w:t>
      </w:r>
      <w:r>
        <w:t>单、夹服装</w:t>
      </w:r>
      <w:r>
        <w:t xml:space="preserve"> </w:t>
      </w:r>
    </w:p>
    <w:p w14:paraId="0F5F7267" w14:textId="77777777" w:rsidR="00A71EEF" w:rsidRDefault="00A71EEF">
      <w:pPr>
        <w:pStyle w:val="a3"/>
        <w:spacing w:before="2"/>
        <w:rPr>
          <w:sz w:val="18"/>
        </w:rPr>
      </w:pPr>
    </w:p>
    <w:p w14:paraId="5BB4A0D3" w14:textId="77777777" w:rsidR="00A71EEF" w:rsidRDefault="0081115D">
      <w:pPr>
        <w:pStyle w:val="a3"/>
        <w:ind w:left="838"/>
      </w:pPr>
      <w:r>
        <w:t>国际标准色卡</w:t>
      </w:r>
      <w:r>
        <w:t>-</w:t>
      </w:r>
      <w:r>
        <w:t>潘通</w:t>
      </w:r>
      <w:r>
        <w:t xml:space="preserve"> </w:t>
      </w:r>
      <w:r>
        <w:t>纺织系列（</w:t>
      </w:r>
      <w:r>
        <w:t>Pantone Textile Color Specifier</w:t>
      </w:r>
      <w:r>
        <w:t>）</w:t>
      </w:r>
      <w:r>
        <w:t xml:space="preserve"> </w:t>
      </w:r>
    </w:p>
    <w:p w14:paraId="3B8A9C77" w14:textId="77777777" w:rsidR="00A71EEF" w:rsidRDefault="00A71EEF">
      <w:pPr>
        <w:pStyle w:val="a3"/>
        <w:spacing w:before="8"/>
        <w:rPr>
          <w:sz w:val="15"/>
        </w:rPr>
      </w:pPr>
    </w:p>
    <w:p w14:paraId="4FA14497" w14:textId="77777777" w:rsidR="00A71EEF" w:rsidRDefault="0081115D">
      <w:pPr>
        <w:pStyle w:val="4"/>
        <w:spacing w:before="1"/>
      </w:pPr>
      <w:r>
        <w:t xml:space="preserve">3 </w:t>
      </w:r>
      <w:r>
        <w:t>术语和定义</w:t>
      </w:r>
      <w:r>
        <w:rPr>
          <w:w w:val="99"/>
        </w:rPr>
        <w:t xml:space="preserve"> </w:t>
      </w:r>
    </w:p>
    <w:p w14:paraId="78D13A01" w14:textId="77777777" w:rsidR="00A71EEF" w:rsidRDefault="00A71EEF">
      <w:pPr>
        <w:pStyle w:val="a3"/>
        <w:spacing w:before="3"/>
        <w:rPr>
          <w:b/>
          <w:sz w:val="17"/>
        </w:rPr>
      </w:pPr>
    </w:p>
    <w:p w14:paraId="0DAB40D0" w14:textId="77777777" w:rsidR="00A71EEF" w:rsidRDefault="0081115D">
      <w:pPr>
        <w:pStyle w:val="a3"/>
        <w:ind w:left="838"/>
      </w:pPr>
      <w:r>
        <w:t>GB/T 12903</w:t>
      </w:r>
      <w:r>
        <w:t>、</w:t>
      </w:r>
      <w:r>
        <w:t xml:space="preserve">GB 20653——2006 </w:t>
      </w:r>
      <w:r>
        <w:t>界定的以下术语和定义适用于本文件。</w:t>
      </w:r>
      <w:r>
        <w:t xml:space="preserve"> </w:t>
      </w:r>
    </w:p>
    <w:p w14:paraId="7DE21631" w14:textId="77777777" w:rsidR="00A71EEF" w:rsidRDefault="00A71EEF">
      <w:pPr>
        <w:pStyle w:val="a3"/>
        <w:spacing w:before="2"/>
        <w:rPr>
          <w:sz w:val="18"/>
        </w:rPr>
      </w:pPr>
    </w:p>
    <w:p w14:paraId="657A6390" w14:textId="77777777" w:rsidR="00A71EEF" w:rsidRDefault="0081115D">
      <w:pPr>
        <w:pStyle w:val="a3"/>
        <w:ind w:left="840"/>
        <w:rPr>
          <w:b/>
        </w:rPr>
      </w:pPr>
      <w:r>
        <w:rPr>
          <w:b/>
        </w:rPr>
        <w:t>3.1</w:t>
      </w:r>
      <w:r>
        <w:rPr>
          <w:b/>
          <w:spacing w:val="-52"/>
        </w:rPr>
        <w:t xml:space="preserve"> </w:t>
      </w:r>
      <w:r>
        <w:rPr>
          <w:spacing w:val="-3"/>
        </w:rPr>
        <w:t>森林防护服</w:t>
      </w:r>
      <w:r>
        <w:rPr>
          <w:spacing w:val="-3"/>
        </w:rPr>
        <w:t xml:space="preserve"> </w:t>
      </w:r>
      <w:r>
        <w:t>forest fire preventive clothing</w:t>
      </w:r>
      <w:r>
        <w:rPr>
          <w:b/>
          <w:w w:val="99"/>
        </w:rPr>
        <w:t xml:space="preserve"> </w:t>
      </w:r>
    </w:p>
    <w:p w14:paraId="234A7EA1" w14:textId="77777777" w:rsidR="00A71EEF" w:rsidRDefault="00A71EEF">
      <w:pPr>
        <w:pStyle w:val="a3"/>
        <w:rPr>
          <w:b/>
          <w:sz w:val="18"/>
        </w:rPr>
      </w:pPr>
    </w:p>
    <w:p w14:paraId="7BE8AEDE" w14:textId="77777777" w:rsidR="00A71EEF" w:rsidRDefault="0081115D">
      <w:pPr>
        <w:pStyle w:val="a3"/>
        <w:ind w:left="838"/>
      </w:pPr>
      <w:r>
        <w:t>作业人员在进行森林扑火时，为防御火焰、炙热物体等伤害而穿的防护服装。</w:t>
      </w:r>
      <w:r>
        <w:t xml:space="preserve"> </w:t>
      </w:r>
    </w:p>
    <w:p w14:paraId="28896652" w14:textId="77777777" w:rsidR="00A71EEF" w:rsidRDefault="00A71EEF">
      <w:pPr>
        <w:pStyle w:val="a3"/>
        <w:spacing w:before="8"/>
        <w:rPr>
          <w:sz w:val="15"/>
        </w:rPr>
      </w:pPr>
    </w:p>
    <w:p w14:paraId="3A273261" w14:textId="77777777" w:rsidR="00A71EEF" w:rsidRDefault="0081115D">
      <w:pPr>
        <w:pStyle w:val="4"/>
      </w:pPr>
      <w:r>
        <w:t xml:space="preserve">4 </w:t>
      </w:r>
      <w:r>
        <w:t>技术要求</w:t>
      </w:r>
      <w:r>
        <w:rPr>
          <w:w w:val="99"/>
        </w:rPr>
        <w:t xml:space="preserve"> </w:t>
      </w:r>
    </w:p>
    <w:p w14:paraId="0CC47DDF" w14:textId="77777777" w:rsidR="00A71EEF" w:rsidRDefault="00A71EEF">
      <w:pPr>
        <w:pStyle w:val="a3"/>
        <w:spacing w:before="6"/>
        <w:rPr>
          <w:b/>
          <w:sz w:val="17"/>
        </w:rPr>
      </w:pPr>
    </w:p>
    <w:p w14:paraId="691D8430" w14:textId="77777777" w:rsidR="00A71EEF" w:rsidRDefault="0081115D">
      <w:pPr>
        <w:pStyle w:val="a4"/>
        <w:numPr>
          <w:ilvl w:val="1"/>
          <w:numId w:val="6"/>
        </w:numPr>
        <w:tabs>
          <w:tab w:val="left" w:pos="1159"/>
        </w:tabs>
        <w:ind w:hanging="319"/>
        <w:rPr>
          <w:sz w:val="21"/>
        </w:rPr>
      </w:pPr>
      <w:r>
        <w:rPr>
          <w:spacing w:val="-3"/>
          <w:sz w:val="21"/>
        </w:rPr>
        <w:t>材料</w:t>
      </w:r>
      <w:r>
        <w:rPr>
          <w:sz w:val="21"/>
        </w:rPr>
        <w:t xml:space="preserve"> </w:t>
      </w:r>
    </w:p>
    <w:p w14:paraId="2C651DC6" w14:textId="77777777" w:rsidR="00A71EEF" w:rsidRDefault="00A71EEF">
      <w:pPr>
        <w:pStyle w:val="a3"/>
        <w:rPr>
          <w:sz w:val="18"/>
        </w:rPr>
      </w:pPr>
    </w:p>
    <w:p w14:paraId="3E3403D4" w14:textId="77777777" w:rsidR="00A71EEF" w:rsidRDefault="0081115D">
      <w:pPr>
        <w:pStyle w:val="a4"/>
        <w:numPr>
          <w:ilvl w:val="2"/>
          <w:numId w:val="6"/>
        </w:numPr>
        <w:tabs>
          <w:tab w:val="left" w:pos="1371"/>
        </w:tabs>
        <w:rPr>
          <w:sz w:val="21"/>
        </w:rPr>
      </w:pPr>
      <w:r>
        <w:rPr>
          <w:spacing w:val="-3"/>
          <w:sz w:val="21"/>
        </w:rPr>
        <w:t>面料</w:t>
      </w:r>
      <w:r>
        <w:rPr>
          <w:sz w:val="21"/>
        </w:rPr>
        <w:t xml:space="preserve"> </w:t>
      </w:r>
    </w:p>
    <w:p w14:paraId="6C83C01E" w14:textId="77777777" w:rsidR="00A71EEF" w:rsidRDefault="00A71EEF">
      <w:pPr>
        <w:pStyle w:val="a3"/>
        <w:spacing w:before="12"/>
        <w:rPr>
          <w:sz w:val="17"/>
        </w:rPr>
      </w:pPr>
    </w:p>
    <w:p w14:paraId="156E3284" w14:textId="77777777" w:rsidR="00A71EEF" w:rsidRDefault="0081115D">
      <w:pPr>
        <w:pStyle w:val="a4"/>
        <w:numPr>
          <w:ilvl w:val="3"/>
          <w:numId w:val="6"/>
        </w:numPr>
        <w:tabs>
          <w:tab w:val="left" w:pos="1576"/>
        </w:tabs>
        <w:rPr>
          <w:sz w:val="21"/>
        </w:rPr>
      </w:pPr>
      <w:r>
        <w:rPr>
          <w:spacing w:val="-3"/>
          <w:sz w:val="21"/>
        </w:rPr>
        <w:t>颜色</w:t>
      </w:r>
      <w:r>
        <w:rPr>
          <w:sz w:val="21"/>
        </w:rPr>
        <w:t xml:space="preserve"> </w:t>
      </w:r>
    </w:p>
    <w:p w14:paraId="3F94AFEB" w14:textId="77777777" w:rsidR="00A71EEF" w:rsidRDefault="00A71EEF">
      <w:pPr>
        <w:pStyle w:val="a3"/>
        <w:spacing w:before="2"/>
        <w:rPr>
          <w:sz w:val="18"/>
        </w:rPr>
      </w:pPr>
    </w:p>
    <w:p w14:paraId="462DAC87" w14:textId="77777777" w:rsidR="00A71EEF" w:rsidRDefault="0081115D">
      <w:pPr>
        <w:pStyle w:val="a3"/>
        <w:spacing w:line="446" w:lineRule="auto"/>
        <w:ind w:left="418" w:right="1382" w:firstLine="419"/>
      </w:pPr>
      <w:r>
        <w:t>森林防火服面料颜色为橘红色，应符合国际标准色卡</w:t>
      </w:r>
      <w:r>
        <w:t>-</w:t>
      </w:r>
      <w:r>
        <w:t>潘通，色号值未</w:t>
      </w:r>
      <w:r>
        <w:t xml:space="preserve"> 16-1462TPX</w:t>
      </w:r>
      <w:r>
        <w:t>，色差</w:t>
      </w:r>
      <w:r>
        <w:t>△ E&lt;3.5</w:t>
      </w:r>
      <w:r>
        <w:t>。</w:t>
      </w:r>
      <w:r>
        <w:t xml:space="preserve"> </w:t>
      </w:r>
    </w:p>
    <w:p w14:paraId="61408EEF" w14:textId="77777777" w:rsidR="00A71EEF" w:rsidRDefault="0081115D">
      <w:pPr>
        <w:pStyle w:val="a4"/>
        <w:numPr>
          <w:ilvl w:val="3"/>
          <w:numId w:val="6"/>
        </w:numPr>
        <w:tabs>
          <w:tab w:val="left" w:pos="1576"/>
        </w:tabs>
        <w:spacing w:line="267" w:lineRule="exact"/>
        <w:rPr>
          <w:sz w:val="21"/>
        </w:rPr>
      </w:pPr>
      <w:r>
        <w:rPr>
          <w:spacing w:val="-3"/>
          <w:sz w:val="21"/>
        </w:rPr>
        <w:t>外观质量</w:t>
      </w:r>
      <w:r>
        <w:rPr>
          <w:sz w:val="21"/>
        </w:rPr>
        <w:t xml:space="preserve"> </w:t>
      </w:r>
    </w:p>
    <w:p w14:paraId="04B84324" w14:textId="77777777" w:rsidR="00A71EEF" w:rsidRDefault="00A71EEF">
      <w:pPr>
        <w:pStyle w:val="a3"/>
        <w:spacing w:before="2"/>
        <w:rPr>
          <w:sz w:val="18"/>
        </w:rPr>
      </w:pPr>
    </w:p>
    <w:p w14:paraId="2BF4672A" w14:textId="77777777" w:rsidR="00A71EEF" w:rsidRDefault="0081115D">
      <w:pPr>
        <w:pStyle w:val="a3"/>
        <w:spacing w:line="446" w:lineRule="auto"/>
        <w:ind w:left="838" w:right="3085"/>
      </w:pPr>
      <w:r>
        <w:rPr>
          <w:spacing w:val="-6"/>
        </w:rPr>
        <w:t>森林防火服面料的外观质量应符合</w:t>
      </w:r>
      <w:r>
        <w:rPr>
          <w:spacing w:val="-6"/>
        </w:rPr>
        <w:t xml:space="preserve"> </w:t>
      </w:r>
      <w:r>
        <w:t>GB/T 17591——2006</w:t>
      </w:r>
      <w:r>
        <w:rPr>
          <w:spacing w:val="-35"/>
        </w:rPr>
        <w:t xml:space="preserve"> </w:t>
      </w:r>
      <w:r>
        <w:rPr>
          <w:spacing w:val="-35"/>
        </w:rPr>
        <w:t>中</w:t>
      </w:r>
      <w:r>
        <w:rPr>
          <w:spacing w:val="-35"/>
        </w:rPr>
        <w:t xml:space="preserve"> </w:t>
      </w:r>
      <w:r>
        <w:t>4.3</w:t>
      </w:r>
      <w:r>
        <w:rPr>
          <w:spacing w:val="-13"/>
        </w:rPr>
        <w:t xml:space="preserve"> </w:t>
      </w:r>
      <w:r>
        <w:rPr>
          <w:spacing w:val="-13"/>
        </w:rPr>
        <w:t>的要求。</w:t>
      </w:r>
      <w:r>
        <w:t>4.1.1.3</w:t>
      </w:r>
      <w:r>
        <w:rPr>
          <w:spacing w:val="-3"/>
        </w:rPr>
        <w:t xml:space="preserve"> </w:t>
      </w:r>
      <w:r>
        <w:rPr>
          <w:spacing w:val="-3"/>
        </w:rPr>
        <w:t>阻燃性能</w:t>
      </w:r>
      <w:r>
        <w:t xml:space="preserve"> </w:t>
      </w:r>
    </w:p>
    <w:p w14:paraId="5A267ABE" w14:textId="77777777" w:rsidR="00A71EEF" w:rsidRDefault="0081115D">
      <w:pPr>
        <w:pStyle w:val="a3"/>
        <w:spacing w:line="267" w:lineRule="exact"/>
        <w:ind w:left="838"/>
      </w:pPr>
      <w:r>
        <w:t>森林防火服面料洗涤</w:t>
      </w:r>
      <w:r>
        <w:t xml:space="preserve"> 50 </w:t>
      </w:r>
      <w:r>
        <w:t>次后的阻燃、隔热性能应符合表</w:t>
      </w:r>
      <w:r>
        <w:t xml:space="preserve"> 1 </w:t>
      </w:r>
      <w:r>
        <w:t>的要求。</w:t>
      </w:r>
      <w:r>
        <w:t xml:space="preserve"> </w:t>
      </w:r>
    </w:p>
    <w:p w14:paraId="113FA59D" w14:textId="77777777" w:rsidR="00A71EEF" w:rsidRDefault="00A71EEF">
      <w:pPr>
        <w:pStyle w:val="a3"/>
        <w:spacing w:before="2"/>
        <w:rPr>
          <w:sz w:val="18"/>
        </w:rPr>
      </w:pPr>
    </w:p>
    <w:p w14:paraId="51C142AA" w14:textId="77777777" w:rsidR="00A71EEF" w:rsidRDefault="0081115D">
      <w:pPr>
        <w:pStyle w:val="6"/>
        <w:spacing w:after="40"/>
        <w:ind w:left="3310"/>
      </w:pPr>
      <w:r>
        <w:t>表</w:t>
      </w:r>
      <w:r>
        <w:t xml:space="preserve"> 1 </w:t>
      </w:r>
      <w:r>
        <w:t>面料阻燃、隔热性能项目和指标</w:t>
      </w:r>
      <w:r>
        <w:rPr>
          <w:w w:val="99"/>
        </w:rPr>
        <w:t xml:space="preserve"> </w:t>
      </w: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8"/>
        <w:gridCol w:w="4151"/>
      </w:tblGrid>
      <w:tr w:rsidR="00A71EEF" w14:paraId="7F2B0726" w14:textId="77777777">
        <w:trPr>
          <w:trHeight w:val="501"/>
        </w:trPr>
        <w:tc>
          <w:tcPr>
            <w:tcW w:w="4148" w:type="dxa"/>
          </w:tcPr>
          <w:p w14:paraId="7E274A4C" w14:textId="77777777" w:rsidR="00A71EEF" w:rsidRDefault="00A71EEF">
            <w:pPr>
              <w:pStyle w:val="TableParagraph"/>
              <w:spacing w:before="11"/>
              <w:rPr>
                <w:b/>
                <w:sz w:val="14"/>
              </w:rPr>
            </w:pPr>
          </w:p>
          <w:p w14:paraId="445A3DF2" w14:textId="77777777" w:rsidR="00A71EEF" w:rsidRDefault="0081115D">
            <w:pPr>
              <w:pStyle w:val="TableParagraph"/>
              <w:ind w:left="527"/>
              <w:rPr>
                <w:sz w:val="21"/>
              </w:rPr>
            </w:pPr>
            <w:r>
              <w:rPr>
                <w:sz w:val="21"/>
              </w:rPr>
              <w:t>项目</w:t>
            </w:r>
            <w:r>
              <w:rPr>
                <w:sz w:val="21"/>
              </w:rPr>
              <w:t xml:space="preserve"> </w:t>
            </w:r>
          </w:p>
        </w:tc>
        <w:tc>
          <w:tcPr>
            <w:tcW w:w="4151" w:type="dxa"/>
          </w:tcPr>
          <w:p w14:paraId="55073BF6" w14:textId="77777777" w:rsidR="00A71EEF" w:rsidRDefault="00A71EEF">
            <w:pPr>
              <w:pStyle w:val="TableParagraph"/>
              <w:spacing w:before="11"/>
              <w:rPr>
                <w:b/>
                <w:sz w:val="14"/>
              </w:rPr>
            </w:pPr>
          </w:p>
          <w:p w14:paraId="11943E69" w14:textId="77777777" w:rsidR="00A71EEF" w:rsidRDefault="0081115D">
            <w:pPr>
              <w:pStyle w:val="TableParagraph"/>
              <w:ind w:left="530"/>
              <w:rPr>
                <w:sz w:val="21"/>
              </w:rPr>
            </w:pPr>
            <w:r>
              <w:rPr>
                <w:sz w:val="21"/>
              </w:rPr>
              <w:t>指标</w:t>
            </w:r>
            <w:r>
              <w:rPr>
                <w:sz w:val="21"/>
              </w:rPr>
              <w:t xml:space="preserve"> </w:t>
            </w:r>
          </w:p>
        </w:tc>
      </w:tr>
      <w:tr w:rsidR="00A71EEF" w14:paraId="230D4550" w14:textId="77777777">
        <w:trPr>
          <w:trHeight w:val="498"/>
        </w:trPr>
        <w:tc>
          <w:tcPr>
            <w:tcW w:w="4148" w:type="dxa"/>
          </w:tcPr>
          <w:p w14:paraId="30BE482C" w14:textId="77777777" w:rsidR="00A71EEF" w:rsidRDefault="00A71EEF">
            <w:pPr>
              <w:pStyle w:val="TableParagraph"/>
              <w:spacing w:before="11"/>
              <w:rPr>
                <w:b/>
                <w:sz w:val="14"/>
              </w:rPr>
            </w:pPr>
          </w:p>
          <w:p w14:paraId="0EE39422" w14:textId="77777777" w:rsidR="00A71EEF" w:rsidRDefault="0081115D">
            <w:pPr>
              <w:pStyle w:val="TableParagraph"/>
              <w:ind w:left="527"/>
              <w:rPr>
                <w:sz w:val="21"/>
              </w:rPr>
            </w:pPr>
            <w:r>
              <w:rPr>
                <w:sz w:val="21"/>
              </w:rPr>
              <w:t>续燃时间</w:t>
            </w:r>
            <w:r>
              <w:rPr>
                <w:sz w:val="21"/>
              </w:rPr>
              <w:t xml:space="preserve">/s </w:t>
            </w:r>
          </w:p>
        </w:tc>
        <w:tc>
          <w:tcPr>
            <w:tcW w:w="4151" w:type="dxa"/>
          </w:tcPr>
          <w:p w14:paraId="4BB68F27" w14:textId="77777777" w:rsidR="00A71EEF" w:rsidRDefault="00A71EEF">
            <w:pPr>
              <w:pStyle w:val="TableParagraph"/>
              <w:spacing w:before="11"/>
              <w:rPr>
                <w:b/>
                <w:sz w:val="14"/>
              </w:rPr>
            </w:pPr>
          </w:p>
          <w:p w14:paraId="359EAADA" w14:textId="77777777" w:rsidR="00A71EEF" w:rsidRDefault="0081115D">
            <w:pPr>
              <w:pStyle w:val="TableParagraph"/>
              <w:ind w:left="530"/>
              <w:rPr>
                <w:sz w:val="21"/>
              </w:rPr>
            </w:pPr>
            <w:r>
              <w:rPr>
                <w:sz w:val="21"/>
              </w:rPr>
              <w:t xml:space="preserve">≤1 </w:t>
            </w:r>
          </w:p>
        </w:tc>
      </w:tr>
      <w:tr w:rsidR="00A71EEF" w14:paraId="20C2315D" w14:textId="77777777">
        <w:trPr>
          <w:trHeight w:val="501"/>
        </w:trPr>
        <w:tc>
          <w:tcPr>
            <w:tcW w:w="4148" w:type="dxa"/>
          </w:tcPr>
          <w:p w14:paraId="4F28D8EA" w14:textId="77777777" w:rsidR="00A71EEF" w:rsidRDefault="00A71EEF">
            <w:pPr>
              <w:pStyle w:val="TableParagraph"/>
              <w:spacing w:before="11"/>
              <w:rPr>
                <w:b/>
                <w:sz w:val="14"/>
              </w:rPr>
            </w:pPr>
          </w:p>
          <w:p w14:paraId="6D167474" w14:textId="77777777" w:rsidR="00A71EEF" w:rsidRDefault="0081115D">
            <w:pPr>
              <w:pStyle w:val="TableParagraph"/>
              <w:ind w:left="527"/>
              <w:rPr>
                <w:sz w:val="21"/>
              </w:rPr>
            </w:pPr>
            <w:r>
              <w:rPr>
                <w:sz w:val="21"/>
              </w:rPr>
              <w:t>阴燃时间</w:t>
            </w:r>
            <w:r>
              <w:rPr>
                <w:sz w:val="21"/>
              </w:rPr>
              <w:t xml:space="preserve">/s </w:t>
            </w:r>
          </w:p>
        </w:tc>
        <w:tc>
          <w:tcPr>
            <w:tcW w:w="4151" w:type="dxa"/>
          </w:tcPr>
          <w:p w14:paraId="117E721E" w14:textId="77777777" w:rsidR="00A71EEF" w:rsidRDefault="00A71EEF">
            <w:pPr>
              <w:pStyle w:val="TableParagraph"/>
              <w:spacing w:before="11"/>
              <w:rPr>
                <w:b/>
                <w:sz w:val="14"/>
              </w:rPr>
            </w:pPr>
          </w:p>
          <w:p w14:paraId="3AEC92A2" w14:textId="77777777" w:rsidR="00A71EEF" w:rsidRDefault="0081115D">
            <w:pPr>
              <w:pStyle w:val="TableParagraph"/>
              <w:ind w:left="530"/>
              <w:rPr>
                <w:sz w:val="21"/>
              </w:rPr>
            </w:pPr>
            <w:r>
              <w:rPr>
                <w:sz w:val="21"/>
              </w:rPr>
              <w:t xml:space="preserve">≤1 </w:t>
            </w:r>
          </w:p>
        </w:tc>
      </w:tr>
      <w:tr w:rsidR="00A71EEF" w14:paraId="6952B98A" w14:textId="77777777">
        <w:trPr>
          <w:trHeight w:val="499"/>
        </w:trPr>
        <w:tc>
          <w:tcPr>
            <w:tcW w:w="4148" w:type="dxa"/>
          </w:tcPr>
          <w:p w14:paraId="54EC6E76" w14:textId="77777777" w:rsidR="00A71EEF" w:rsidRDefault="00A71EEF">
            <w:pPr>
              <w:pStyle w:val="TableParagraph"/>
              <w:spacing w:before="11"/>
              <w:rPr>
                <w:b/>
                <w:sz w:val="14"/>
              </w:rPr>
            </w:pPr>
          </w:p>
          <w:p w14:paraId="0D568F1E" w14:textId="77777777" w:rsidR="00A71EEF" w:rsidRDefault="0081115D">
            <w:pPr>
              <w:pStyle w:val="TableParagraph"/>
              <w:ind w:left="527"/>
              <w:rPr>
                <w:sz w:val="21"/>
              </w:rPr>
            </w:pPr>
            <w:r>
              <w:rPr>
                <w:sz w:val="21"/>
              </w:rPr>
              <w:t>损毁长度</w:t>
            </w:r>
            <w:r>
              <w:rPr>
                <w:sz w:val="21"/>
              </w:rPr>
              <w:t xml:space="preserve">/mm </w:t>
            </w:r>
          </w:p>
        </w:tc>
        <w:tc>
          <w:tcPr>
            <w:tcW w:w="4151" w:type="dxa"/>
          </w:tcPr>
          <w:p w14:paraId="4CBD3B1A" w14:textId="77777777" w:rsidR="00A71EEF" w:rsidRDefault="00A71EEF">
            <w:pPr>
              <w:pStyle w:val="TableParagraph"/>
              <w:spacing w:before="11"/>
              <w:rPr>
                <w:b/>
                <w:sz w:val="14"/>
              </w:rPr>
            </w:pPr>
          </w:p>
          <w:p w14:paraId="1291400C" w14:textId="77777777" w:rsidR="00A71EEF" w:rsidRDefault="0081115D">
            <w:pPr>
              <w:pStyle w:val="TableParagraph"/>
              <w:ind w:left="530"/>
              <w:rPr>
                <w:sz w:val="21"/>
              </w:rPr>
            </w:pPr>
            <w:r>
              <w:rPr>
                <w:sz w:val="21"/>
              </w:rPr>
              <w:t xml:space="preserve">≤50 </w:t>
            </w:r>
          </w:p>
        </w:tc>
      </w:tr>
      <w:tr w:rsidR="00A71EEF" w14:paraId="1BBEC1FC" w14:textId="77777777">
        <w:trPr>
          <w:trHeight w:val="501"/>
        </w:trPr>
        <w:tc>
          <w:tcPr>
            <w:tcW w:w="4148" w:type="dxa"/>
          </w:tcPr>
          <w:p w14:paraId="25A4D148" w14:textId="77777777" w:rsidR="00A71EEF" w:rsidRDefault="00A71EEF">
            <w:pPr>
              <w:pStyle w:val="TableParagraph"/>
              <w:spacing w:before="11"/>
              <w:rPr>
                <w:b/>
                <w:sz w:val="14"/>
              </w:rPr>
            </w:pPr>
          </w:p>
          <w:p w14:paraId="3EFD6B15" w14:textId="77777777" w:rsidR="00A71EEF" w:rsidRDefault="0081115D">
            <w:pPr>
              <w:pStyle w:val="TableParagraph"/>
              <w:ind w:left="527"/>
              <w:rPr>
                <w:sz w:val="21"/>
              </w:rPr>
            </w:pPr>
            <w:r>
              <w:rPr>
                <w:sz w:val="21"/>
              </w:rPr>
              <w:t>熔融、滴落</w:t>
            </w:r>
            <w:r>
              <w:rPr>
                <w:sz w:val="21"/>
              </w:rPr>
              <w:t xml:space="preserve"> </w:t>
            </w:r>
          </w:p>
        </w:tc>
        <w:tc>
          <w:tcPr>
            <w:tcW w:w="4151" w:type="dxa"/>
          </w:tcPr>
          <w:p w14:paraId="1B01D9C0" w14:textId="77777777" w:rsidR="00A71EEF" w:rsidRDefault="00A71EEF">
            <w:pPr>
              <w:pStyle w:val="TableParagraph"/>
              <w:spacing w:before="11"/>
              <w:rPr>
                <w:b/>
                <w:sz w:val="14"/>
              </w:rPr>
            </w:pPr>
          </w:p>
          <w:p w14:paraId="310B5B6A" w14:textId="77777777" w:rsidR="00A71EEF" w:rsidRDefault="0081115D">
            <w:pPr>
              <w:pStyle w:val="TableParagraph"/>
              <w:ind w:left="530"/>
              <w:rPr>
                <w:sz w:val="21"/>
              </w:rPr>
            </w:pPr>
            <w:r>
              <w:rPr>
                <w:sz w:val="21"/>
              </w:rPr>
              <w:t>不应有</w:t>
            </w:r>
            <w:r>
              <w:rPr>
                <w:sz w:val="21"/>
              </w:rPr>
              <w:t xml:space="preserve"> </w:t>
            </w:r>
          </w:p>
        </w:tc>
      </w:tr>
      <w:tr w:rsidR="00A71EEF" w14:paraId="220A164C" w14:textId="77777777">
        <w:trPr>
          <w:trHeight w:val="498"/>
        </w:trPr>
        <w:tc>
          <w:tcPr>
            <w:tcW w:w="4148" w:type="dxa"/>
          </w:tcPr>
          <w:p w14:paraId="0024972C" w14:textId="77777777" w:rsidR="00A71EEF" w:rsidRDefault="00A71EEF">
            <w:pPr>
              <w:pStyle w:val="TableParagraph"/>
              <w:spacing w:before="11"/>
              <w:rPr>
                <w:b/>
                <w:sz w:val="14"/>
              </w:rPr>
            </w:pPr>
          </w:p>
          <w:p w14:paraId="16C8366C" w14:textId="77777777" w:rsidR="00A71EEF" w:rsidRDefault="0081115D">
            <w:pPr>
              <w:pStyle w:val="TableParagraph"/>
              <w:ind w:left="527"/>
              <w:rPr>
                <w:sz w:val="21"/>
              </w:rPr>
            </w:pPr>
            <w:r>
              <w:rPr>
                <w:sz w:val="21"/>
              </w:rPr>
              <w:t>热防护系数</w:t>
            </w:r>
            <w:r>
              <w:rPr>
                <w:sz w:val="21"/>
              </w:rPr>
              <w:t xml:space="preserve"> TPP/</w:t>
            </w:r>
            <w:r>
              <w:rPr>
                <w:sz w:val="21"/>
              </w:rPr>
              <w:t>（</w:t>
            </w:r>
            <w:r>
              <w:rPr>
                <w:sz w:val="21"/>
              </w:rPr>
              <w:t>KW·s/m²</w:t>
            </w:r>
            <w:r>
              <w:rPr>
                <w:sz w:val="21"/>
              </w:rPr>
              <w:t>）</w:t>
            </w:r>
            <w:r>
              <w:rPr>
                <w:sz w:val="21"/>
              </w:rPr>
              <w:t xml:space="preserve"> </w:t>
            </w:r>
          </w:p>
        </w:tc>
        <w:tc>
          <w:tcPr>
            <w:tcW w:w="4151" w:type="dxa"/>
          </w:tcPr>
          <w:p w14:paraId="19DC92FF" w14:textId="77777777" w:rsidR="00A71EEF" w:rsidRDefault="00A71EEF">
            <w:pPr>
              <w:pStyle w:val="TableParagraph"/>
              <w:spacing w:before="11"/>
              <w:rPr>
                <w:b/>
                <w:sz w:val="14"/>
              </w:rPr>
            </w:pPr>
          </w:p>
          <w:p w14:paraId="3E00069A" w14:textId="77777777" w:rsidR="00A71EEF" w:rsidRDefault="0081115D">
            <w:pPr>
              <w:pStyle w:val="TableParagraph"/>
              <w:ind w:left="530"/>
              <w:rPr>
                <w:sz w:val="21"/>
              </w:rPr>
            </w:pPr>
            <w:r>
              <w:rPr>
                <w:sz w:val="21"/>
              </w:rPr>
              <w:t xml:space="preserve">≥250 </w:t>
            </w:r>
          </w:p>
        </w:tc>
      </w:tr>
    </w:tbl>
    <w:p w14:paraId="7806312E" w14:textId="77777777" w:rsidR="00A71EEF" w:rsidRDefault="00A71EEF">
      <w:pPr>
        <w:rPr>
          <w:sz w:val="21"/>
        </w:rPr>
        <w:sectPr w:rsidR="00A71EEF">
          <w:pgSz w:w="11910" w:h="16850"/>
          <w:pgMar w:top="1220" w:right="0" w:bottom="1420" w:left="1260" w:header="0" w:footer="1239" w:gutter="0"/>
          <w:cols w:space="720"/>
        </w:sectPr>
      </w:pPr>
    </w:p>
    <w:p w14:paraId="2099AE2B" w14:textId="77777777" w:rsidR="00A71EEF" w:rsidRDefault="0081115D">
      <w:pPr>
        <w:pStyle w:val="a3"/>
        <w:ind w:left="417"/>
        <w:rPr>
          <w:sz w:val="20"/>
        </w:rPr>
      </w:pPr>
      <w:r>
        <w:rPr>
          <w:sz w:val="20"/>
        </w:rPr>
      </w:r>
      <w:r>
        <w:rPr>
          <w:sz w:val="20"/>
        </w:rPr>
        <w:pict w14:anchorId="05A0590A">
          <v:shape id="_x0000_s1026" type="#_x0000_t202" style="width:414.95pt;height:75.5pt;mso-left-percent:-10001;mso-top-percent:-10001;mso-position-horizontal:absolute;mso-position-horizontal-relative:char;mso-position-vertical:absolute;mso-position-vertical-relative:line;mso-left-percent:-10001;mso-top-percent:-10001" filled="f" strokeweight=".48pt">
            <v:textbox inset="0,0,0,0">
              <w:txbxContent>
                <w:p w14:paraId="5001E47D" w14:textId="77777777" w:rsidR="00A71EEF" w:rsidRDefault="00A71EEF">
                  <w:pPr>
                    <w:pStyle w:val="a3"/>
                    <w:spacing w:before="11"/>
                    <w:rPr>
                      <w:b/>
                      <w:sz w:val="14"/>
                    </w:rPr>
                  </w:pPr>
                </w:p>
                <w:p w14:paraId="73A76546" w14:textId="77777777" w:rsidR="00A71EEF" w:rsidRDefault="0081115D">
                  <w:pPr>
                    <w:pStyle w:val="a3"/>
                    <w:spacing w:line="446" w:lineRule="auto"/>
                    <w:ind w:left="103" w:right="99" w:firstLine="419"/>
                  </w:pPr>
                  <w:r>
                    <w:rPr>
                      <w:spacing w:val="-9"/>
                    </w:rPr>
                    <w:t>按照</w:t>
                  </w:r>
                  <w:r>
                    <w:rPr>
                      <w:spacing w:val="-9"/>
                    </w:rPr>
                    <w:t xml:space="preserve"> </w:t>
                  </w:r>
                  <w:r>
                    <w:t>GB/T17596——1998</w:t>
                  </w:r>
                  <w:r>
                    <w:rPr>
                      <w:spacing w:val="-15"/>
                    </w:rPr>
                    <w:t xml:space="preserve"> </w:t>
                  </w:r>
                  <w:r>
                    <w:rPr>
                      <w:spacing w:val="-15"/>
                    </w:rPr>
                    <w:t>中</w:t>
                  </w:r>
                  <w:r>
                    <w:rPr>
                      <w:spacing w:val="-15"/>
                    </w:rPr>
                    <w:t xml:space="preserve"> </w:t>
                  </w:r>
                  <w:r>
                    <w:t>7.1</w:t>
                  </w:r>
                  <w:r>
                    <w:t>、</w:t>
                  </w:r>
                  <w:r>
                    <w:t>7.2</w:t>
                  </w:r>
                  <w:r>
                    <w:rPr>
                      <w:spacing w:val="-3"/>
                    </w:rPr>
                    <w:t>、</w:t>
                  </w:r>
                  <w:r>
                    <w:t>7.3</w:t>
                  </w:r>
                  <w:r>
                    <w:rPr>
                      <w:spacing w:val="-8"/>
                    </w:rPr>
                    <w:t xml:space="preserve"> </w:t>
                  </w:r>
                  <w:r>
                    <w:rPr>
                      <w:spacing w:val="-8"/>
                    </w:rPr>
                    <w:t>的要求，连续洗涤</w:t>
                  </w:r>
                  <w:r>
                    <w:rPr>
                      <w:spacing w:val="-8"/>
                    </w:rPr>
                    <w:t xml:space="preserve"> </w:t>
                  </w:r>
                  <w:r>
                    <w:t>12.5h</w:t>
                  </w:r>
                  <w:r>
                    <w:rPr>
                      <w:spacing w:val="-3"/>
                    </w:rPr>
                    <w:t>，排水，脱水</w:t>
                  </w:r>
                  <w:r>
                    <w:rPr>
                      <w:spacing w:val="-8"/>
                    </w:rPr>
                    <w:t>4min</w:t>
                  </w:r>
                  <w:r>
                    <w:rPr>
                      <w:spacing w:val="-8"/>
                    </w:rPr>
                    <w:t>；然后重复操作以下过程</w:t>
                  </w:r>
                  <w:r>
                    <w:rPr>
                      <w:spacing w:val="-8"/>
                    </w:rPr>
                    <w:t xml:space="preserve"> </w:t>
                  </w:r>
                  <w:r>
                    <w:t>2</w:t>
                  </w:r>
                  <w:r>
                    <w:rPr>
                      <w:spacing w:val="-22"/>
                    </w:rPr>
                    <w:t xml:space="preserve"> </w:t>
                  </w:r>
                  <w:r>
                    <w:rPr>
                      <w:spacing w:val="-22"/>
                    </w:rPr>
                    <w:t>次：漂洗</w:t>
                  </w:r>
                  <w:r>
                    <w:rPr>
                      <w:spacing w:val="-22"/>
                    </w:rPr>
                    <w:t xml:space="preserve"> </w:t>
                  </w:r>
                  <w:r>
                    <w:rPr>
                      <w:spacing w:val="-9"/>
                    </w:rPr>
                    <w:t>45min</w:t>
                  </w:r>
                  <w:r>
                    <w:rPr>
                      <w:spacing w:val="-15"/>
                    </w:rPr>
                    <w:t>，排水，脱水</w:t>
                  </w:r>
                  <w:r>
                    <w:rPr>
                      <w:spacing w:val="-15"/>
                    </w:rPr>
                    <w:t xml:space="preserve"> </w:t>
                  </w:r>
                  <w:r>
                    <w:rPr>
                      <w:spacing w:val="-8"/>
                    </w:rPr>
                    <w:t>4min</w:t>
                  </w:r>
                  <w:r>
                    <w:rPr>
                      <w:spacing w:val="-8"/>
                    </w:rPr>
                    <w:t>，整个过程视为漂洗</w:t>
                  </w:r>
                  <w:r>
                    <w:rPr>
                      <w:spacing w:val="-8"/>
                    </w:rPr>
                    <w:t xml:space="preserve"> </w:t>
                  </w:r>
                  <w:r>
                    <w:t>50</w:t>
                  </w:r>
                </w:p>
                <w:p w14:paraId="77E534C6" w14:textId="77777777" w:rsidR="00A71EEF" w:rsidRDefault="0081115D">
                  <w:pPr>
                    <w:pStyle w:val="a3"/>
                    <w:ind w:left="103"/>
                  </w:pPr>
                  <w:r>
                    <w:t>次。</w:t>
                  </w:r>
                  <w:r>
                    <w:t xml:space="preserve"> </w:t>
                  </w:r>
                </w:p>
              </w:txbxContent>
            </v:textbox>
            <w10:anchorlock/>
          </v:shape>
        </w:pict>
      </w:r>
    </w:p>
    <w:p w14:paraId="42BB7639" w14:textId="77777777" w:rsidR="00A71EEF" w:rsidRDefault="00A71EEF">
      <w:pPr>
        <w:pStyle w:val="a3"/>
        <w:spacing w:before="3"/>
        <w:rPr>
          <w:b/>
          <w:sz w:val="6"/>
        </w:rPr>
      </w:pPr>
    </w:p>
    <w:p w14:paraId="2CB330F0" w14:textId="77777777" w:rsidR="00A71EEF" w:rsidRDefault="0081115D">
      <w:pPr>
        <w:spacing w:before="72"/>
        <w:ind w:left="840"/>
        <w:rPr>
          <w:sz w:val="21"/>
        </w:rPr>
      </w:pPr>
      <w:r>
        <w:rPr>
          <w:b/>
          <w:sz w:val="21"/>
        </w:rPr>
        <w:t xml:space="preserve">4.1.1.4 </w:t>
      </w:r>
      <w:r>
        <w:rPr>
          <w:sz w:val="21"/>
        </w:rPr>
        <w:t>理化性能</w:t>
      </w:r>
      <w:r>
        <w:rPr>
          <w:sz w:val="21"/>
        </w:rPr>
        <w:t xml:space="preserve"> </w:t>
      </w:r>
    </w:p>
    <w:p w14:paraId="716944EC" w14:textId="77777777" w:rsidR="00A71EEF" w:rsidRDefault="00A71EEF">
      <w:pPr>
        <w:pStyle w:val="a3"/>
        <w:spacing w:before="12"/>
        <w:rPr>
          <w:sz w:val="17"/>
        </w:rPr>
      </w:pPr>
    </w:p>
    <w:p w14:paraId="6E85F47D" w14:textId="77777777" w:rsidR="00A71EEF" w:rsidRDefault="0081115D">
      <w:pPr>
        <w:pStyle w:val="a3"/>
        <w:ind w:left="838"/>
      </w:pPr>
      <w:r>
        <w:t>森林防火服面料的理化性能应符合表</w:t>
      </w:r>
      <w:r>
        <w:t xml:space="preserve"> 2 </w:t>
      </w:r>
      <w:r>
        <w:t>的要求。</w:t>
      </w:r>
      <w:r>
        <w:t xml:space="preserve"> </w:t>
      </w:r>
    </w:p>
    <w:p w14:paraId="240148D6" w14:textId="77777777" w:rsidR="00A71EEF" w:rsidRDefault="00A71EEF">
      <w:pPr>
        <w:pStyle w:val="a3"/>
        <w:spacing w:before="2"/>
        <w:rPr>
          <w:sz w:val="18"/>
        </w:rPr>
      </w:pPr>
    </w:p>
    <w:p w14:paraId="60540318" w14:textId="77777777" w:rsidR="00A71EEF" w:rsidRDefault="0081115D">
      <w:pPr>
        <w:pStyle w:val="6"/>
        <w:spacing w:after="39"/>
        <w:ind w:right="494"/>
        <w:jc w:val="center"/>
      </w:pPr>
      <w:r>
        <w:t>表</w:t>
      </w:r>
      <w:r>
        <w:t xml:space="preserve"> 2 </w:t>
      </w:r>
      <w:r>
        <w:t>理化性能项目和指标</w:t>
      </w:r>
      <w:r>
        <w:rPr>
          <w:w w:val="99"/>
        </w:rPr>
        <w:t xml:space="preserve"> </w:t>
      </w:r>
    </w:p>
    <w:tbl>
      <w:tblPr>
        <w:tblStyle w:val="TableNormal"/>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492"/>
        <w:gridCol w:w="2273"/>
        <w:gridCol w:w="2768"/>
      </w:tblGrid>
      <w:tr w:rsidR="00A71EEF" w14:paraId="35F80288" w14:textId="77777777">
        <w:trPr>
          <w:trHeight w:val="501"/>
        </w:trPr>
        <w:tc>
          <w:tcPr>
            <w:tcW w:w="5530" w:type="dxa"/>
            <w:gridSpan w:val="3"/>
          </w:tcPr>
          <w:p w14:paraId="1207A941" w14:textId="77777777" w:rsidR="00A71EEF" w:rsidRDefault="00A71EEF">
            <w:pPr>
              <w:pStyle w:val="TableParagraph"/>
              <w:spacing w:before="11"/>
              <w:rPr>
                <w:b/>
                <w:sz w:val="14"/>
              </w:rPr>
            </w:pPr>
          </w:p>
          <w:p w14:paraId="4AF4EDEA" w14:textId="77777777" w:rsidR="00A71EEF" w:rsidRDefault="0081115D">
            <w:pPr>
              <w:pStyle w:val="TableParagraph"/>
              <w:ind w:left="2481" w:right="2368"/>
              <w:jc w:val="center"/>
              <w:rPr>
                <w:sz w:val="21"/>
              </w:rPr>
            </w:pPr>
            <w:r>
              <w:rPr>
                <w:sz w:val="21"/>
              </w:rPr>
              <w:t>项</w:t>
            </w:r>
            <w:r>
              <w:rPr>
                <w:sz w:val="21"/>
              </w:rPr>
              <w:t xml:space="preserve">  </w:t>
            </w:r>
            <w:r>
              <w:rPr>
                <w:sz w:val="21"/>
              </w:rPr>
              <w:t>目</w:t>
            </w:r>
            <w:r>
              <w:rPr>
                <w:sz w:val="21"/>
              </w:rPr>
              <w:t xml:space="preserve"> </w:t>
            </w:r>
          </w:p>
        </w:tc>
        <w:tc>
          <w:tcPr>
            <w:tcW w:w="2768" w:type="dxa"/>
          </w:tcPr>
          <w:p w14:paraId="315818E7" w14:textId="77777777" w:rsidR="00A71EEF" w:rsidRDefault="00A71EEF">
            <w:pPr>
              <w:pStyle w:val="TableParagraph"/>
              <w:spacing w:before="11"/>
              <w:rPr>
                <w:b/>
                <w:sz w:val="14"/>
              </w:rPr>
            </w:pPr>
          </w:p>
          <w:p w14:paraId="1BC0292A" w14:textId="77777777" w:rsidR="00A71EEF" w:rsidRDefault="0081115D">
            <w:pPr>
              <w:pStyle w:val="TableParagraph"/>
              <w:ind w:left="682" w:right="566"/>
              <w:jc w:val="center"/>
              <w:rPr>
                <w:sz w:val="21"/>
              </w:rPr>
            </w:pPr>
            <w:r>
              <w:rPr>
                <w:sz w:val="21"/>
              </w:rPr>
              <w:t>指</w:t>
            </w:r>
            <w:r>
              <w:rPr>
                <w:sz w:val="21"/>
              </w:rPr>
              <w:t xml:space="preserve">  </w:t>
            </w:r>
            <w:r>
              <w:rPr>
                <w:sz w:val="21"/>
              </w:rPr>
              <w:t>标</w:t>
            </w:r>
            <w:r>
              <w:rPr>
                <w:sz w:val="21"/>
              </w:rPr>
              <w:t xml:space="preserve"> </w:t>
            </w:r>
          </w:p>
        </w:tc>
      </w:tr>
      <w:tr w:rsidR="00A71EEF" w14:paraId="14988C92" w14:textId="77777777">
        <w:trPr>
          <w:trHeight w:val="499"/>
        </w:trPr>
        <w:tc>
          <w:tcPr>
            <w:tcW w:w="3257" w:type="dxa"/>
            <w:gridSpan w:val="2"/>
            <w:vMerge w:val="restart"/>
          </w:tcPr>
          <w:p w14:paraId="0685DFD2" w14:textId="77777777" w:rsidR="00A71EEF" w:rsidRDefault="00A71EEF">
            <w:pPr>
              <w:pStyle w:val="TableParagraph"/>
              <w:rPr>
                <w:b/>
                <w:sz w:val="20"/>
              </w:rPr>
            </w:pPr>
          </w:p>
          <w:p w14:paraId="58E8288B" w14:textId="77777777" w:rsidR="00A71EEF" w:rsidRDefault="00A71EEF">
            <w:pPr>
              <w:pStyle w:val="TableParagraph"/>
              <w:spacing w:before="9"/>
              <w:rPr>
                <w:b/>
                <w:sz w:val="14"/>
              </w:rPr>
            </w:pPr>
          </w:p>
          <w:p w14:paraId="5D68519C" w14:textId="77777777" w:rsidR="00A71EEF" w:rsidRDefault="0081115D">
            <w:pPr>
              <w:pStyle w:val="TableParagraph"/>
              <w:spacing w:before="1"/>
              <w:ind w:left="314"/>
              <w:rPr>
                <w:sz w:val="21"/>
              </w:rPr>
            </w:pPr>
            <w:r>
              <w:rPr>
                <w:sz w:val="21"/>
              </w:rPr>
              <w:t>断裂强力（洗涤</w:t>
            </w:r>
            <w:r>
              <w:rPr>
                <w:sz w:val="21"/>
              </w:rPr>
              <w:t xml:space="preserve"> 50 </w:t>
            </w:r>
            <w:r>
              <w:rPr>
                <w:sz w:val="21"/>
              </w:rPr>
              <w:t>次后）</w:t>
            </w:r>
            <w:r>
              <w:rPr>
                <w:sz w:val="21"/>
              </w:rPr>
              <w:t xml:space="preserve">/N </w:t>
            </w:r>
          </w:p>
        </w:tc>
        <w:tc>
          <w:tcPr>
            <w:tcW w:w="2273" w:type="dxa"/>
          </w:tcPr>
          <w:p w14:paraId="060FA3D8" w14:textId="77777777" w:rsidR="00A71EEF" w:rsidRDefault="00A71EEF">
            <w:pPr>
              <w:pStyle w:val="TableParagraph"/>
              <w:spacing w:before="11"/>
              <w:rPr>
                <w:b/>
                <w:sz w:val="14"/>
              </w:rPr>
            </w:pPr>
          </w:p>
          <w:p w14:paraId="210D449A" w14:textId="77777777" w:rsidR="00A71EEF" w:rsidRDefault="0081115D">
            <w:pPr>
              <w:pStyle w:val="TableParagraph"/>
              <w:spacing w:before="1"/>
              <w:ind w:right="808"/>
              <w:jc w:val="right"/>
              <w:rPr>
                <w:sz w:val="21"/>
              </w:rPr>
            </w:pPr>
            <w:r>
              <w:rPr>
                <w:sz w:val="21"/>
              </w:rPr>
              <w:t>经向</w:t>
            </w:r>
            <w:r>
              <w:rPr>
                <w:sz w:val="21"/>
              </w:rPr>
              <w:t xml:space="preserve"> </w:t>
            </w:r>
          </w:p>
        </w:tc>
        <w:tc>
          <w:tcPr>
            <w:tcW w:w="2768" w:type="dxa"/>
          </w:tcPr>
          <w:p w14:paraId="150D8517" w14:textId="77777777" w:rsidR="00A71EEF" w:rsidRDefault="00A71EEF">
            <w:pPr>
              <w:pStyle w:val="TableParagraph"/>
              <w:spacing w:before="11"/>
              <w:rPr>
                <w:b/>
                <w:sz w:val="14"/>
              </w:rPr>
            </w:pPr>
          </w:p>
          <w:p w14:paraId="42B77F39" w14:textId="77777777" w:rsidR="00A71EEF" w:rsidRDefault="0081115D">
            <w:pPr>
              <w:pStyle w:val="TableParagraph"/>
              <w:spacing w:before="1"/>
              <w:ind w:left="682" w:right="566"/>
              <w:jc w:val="center"/>
              <w:rPr>
                <w:sz w:val="21"/>
              </w:rPr>
            </w:pPr>
            <w:r>
              <w:rPr>
                <w:sz w:val="21"/>
              </w:rPr>
              <w:t xml:space="preserve">≥1100 </w:t>
            </w:r>
          </w:p>
        </w:tc>
      </w:tr>
      <w:tr w:rsidR="00A71EEF" w14:paraId="4F044F44" w14:textId="77777777">
        <w:trPr>
          <w:trHeight w:val="501"/>
        </w:trPr>
        <w:tc>
          <w:tcPr>
            <w:tcW w:w="3257" w:type="dxa"/>
            <w:gridSpan w:val="2"/>
            <w:vMerge/>
            <w:tcBorders>
              <w:top w:val="nil"/>
            </w:tcBorders>
          </w:tcPr>
          <w:p w14:paraId="3B556EDE" w14:textId="77777777" w:rsidR="00A71EEF" w:rsidRDefault="00A71EEF">
            <w:pPr>
              <w:rPr>
                <w:sz w:val="2"/>
                <w:szCs w:val="2"/>
              </w:rPr>
            </w:pPr>
          </w:p>
        </w:tc>
        <w:tc>
          <w:tcPr>
            <w:tcW w:w="2273" w:type="dxa"/>
          </w:tcPr>
          <w:p w14:paraId="578B0C78" w14:textId="77777777" w:rsidR="00A71EEF" w:rsidRDefault="00A71EEF">
            <w:pPr>
              <w:pStyle w:val="TableParagraph"/>
              <w:spacing w:before="11"/>
              <w:rPr>
                <w:b/>
                <w:sz w:val="14"/>
              </w:rPr>
            </w:pPr>
          </w:p>
          <w:p w14:paraId="0C6A3EEC" w14:textId="77777777" w:rsidR="00A71EEF" w:rsidRDefault="0081115D">
            <w:pPr>
              <w:pStyle w:val="TableParagraph"/>
              <w:ind w:right="808"/>
              <w:jc w:val="right"/>
              <w:rPr>
                <w:sz w:val="21"/>
              </w:rPr>
            </w:pPr>
            <w:r>
              <w:rPr>
                <w:sz w:val="21"/>
              </w:rPr>
              <w:t>纬向</w:t>
            </w:r>
            <w:r>
              <w:rPr>
                <w:sz w:val="21"/>
              </w:rPr>
              <w:t xml:space="preserve"> </w:t>
            </w:r>
          </w:p>
        </w:tc>
        <w:tc>
          <w:tcPr>
            <w:tcW w:w="2768" w:type="dxa"/>
          </w:tcPr>
          <w:p w14:paraId="62FCA9B7" w14:textId="77777777" w:rsidR="00A71EEF" w:rsidRDefault="00A71EEF">
            <w:pPr>
              <w:pStyle w:val="TableParagraph"/>
              <w:spacing w:before="11"/>
              <w:rPr>
                <w:b/>
                <w:sz w:val="14"/>
              </w:rPr>
            </w:pPr>
          </w:p>
          <w:p w14:paraId="1207C459" w14:textId="77777777" w:rsidR="00A71EEF" w:rsidRDefault="0081115D">
            <w:pPr>
              <w:pStyle w:val="TableParagraph"/>
              <w:ind w:left="682" w:right="566"/>
              <w:jc w:val="center"/>
              <w:rPr>
                <w:sz w:val="21"/>
              </w:rPr>
            </w:pPr>
            <w:r>
              <w:rPr>
                <w:sz w:val="21"/>
              </w:rPr>
              <w:t xml:space="preserve">≥1000 </w:t>
            </w:r>
          </w:p>
        </w:tc>
      </w:tr>
      <w:tr w:rsidR="00A71EEF" w14:paraId="7F2CF863" w14:textId="77777777">
        <w:trPr>
          <w:trHeight w:val="498"/>
        </w:trPr>
        <w:tc>
          <w:tcPr>
            <w:tcW w:w="3257" w:type="dxa"/>
            <w:gridSpan w:val="2"/>
            <w:vMerge w:val="restart"/>
          </w:tcPr>
          <w:p w14:paraId="7361C1BC" w14:textId="77777777" w:rsidR="00A71EEF" w:rsidRDefault="00A71EEF">
            <w:pPr>
              <w:pStyle w:val="TableParagraph"/>
              <w:rPr>
                <w:b/>
                <w:sz w:val="20"/>
              </w:rPr>
            </w:pPr>
          </w:p>
          <w:p w14:paraId="085247EE" w14:textId="77777777" w:rsidR="00A71EEF" w:rsidRDefault="00A71EEF">
            <w:pPr>
              <w:pStyle w:val="TableParagraph"/>
              <w:spacing w:before="9"/>
              <w:rPr>
                <w:b/>
                <w:sz w:val="14"/>
              </w:rPr>
            </w:pPr>
          </w:p>
          <w:p w14:paraId="579E2809" w14:textId="77777777" w:rsidR="00A71EEF" w:rsidRDefault="0081115D">
            <w:pPr>
              <w:pStyle w:val="TableParagraph"/>
              <w:ind w:left="314"/>
              <w:rPr>
                <w:sz w:val="21"/>
              </w:rPr>
            </w:pPr>
            <w:r>
              <w:rPr>
                <w:sz w:val="21"/>
              </w:rPr>
              <w:t>撕破强力（洗涤</w:t>
            </w:r>
            <w:r>
              <w:rPr>
                <w:sz w:val="21"/>
              </w:rPr>
              <w:t xml:space="preserve"> 50 </w:t>
            </w:r>
            <w:r>
              <w:rPr>
                <w:sz w:val="21"/>
              </w:rPr>
              <w:t>次后）</w:t>
            </w:r>
            <w:r>
              <w:rPr>
                <w:sz w:val="21"/>
              </w:rPr>
              <w:t xml:space="preserve">/N </w:t>
            </w:r>
          </w:p>
        </w:tc>
        <w:tc>
          <w:tcPr>
            <w:tcW w:w="2273" w:type="dxa"/>
          </w:tcPr>
          <w:p w14:paraId="6972D269" w14:textId="77777777" w:rsidR="00A71EEF" w:rsidRDefault="00A71EEF">
            <w:pPr>
              <w:pStyle w:val="TableParagraph"/>
              <w:spacing w:before="11"/>
              <w:rPr>
                <w:b/>
                <w:sz w:val="14"/>
              </w:rPr>
            </w:pPr>
          </w:p>
          <w:p w14:paraId="74FEEA9F" w14:textId="77777777" w:rsidR="00A71EEF" w:rsidRDefault="0081115D">
            <w:pPr>
              <w:pStyle w:val="TableParagraph"/>
              <w:ind w:right="808"/>
              <w:jc w:val="right"/>
              <w:rPr>
                <w:sz w:val="21"/>
              </w:rPr>
            </w:pPr>
            <w:r>
              <w:rPr>
                <w:sz w:val="21"/>
              </w:rPr>
              <w:t>经向</w:t>
            </w:r>
            <w:r>
              <w:rPr>
                <w:sz w:val="21"/>
              </w:rPr>
              <w:t xml:space="preserve"> </w:t>
            </w:r>
          </w:p>
        </w:tc>
        <w:tc>
          <w:tcPr>
            <w:tcW w:w="2768" w:type="dxa"/>
          </w:tcPr>
          <w:p w14:paraId="727BC5DA" w14:textId="77777777" w:rsidR="00A71EEF" w:rsidRDefault="00A71EEF">
            <w:pPr>
              <w:pStyle w:val="TableParagraph"/>
              <w:spacing w:before="11"/>
              <w:rPr>
                <w:b/>
                <w:sz w:val="14"/>
              </w:rPr>
            </w:pPr>
          </w:p>
          <w:p w14:paraId="11623236" w14:textId="77777777" w:rsidR="00A71EEF" w:rsidRDefault="0081115D">
            <w:pPr>
              <w:pStyle w:val="TableParagraph"/>
              <w:ind w:left="682" w:right="566"/>
              <w:jc w:val="center"/>
              <w:rPr>
                <w:sz w:val="21"/>
              </w:rPr>
            </w:pPr>
            <w:r>
              <w:rPr>
                <w:sz w:val="21"/>
              </w:rPr>
              <w:t xml:space="preserve">≥100 </w:t>
            </w:r>
          </w:p>
        </w:tc>
      </w:tr>
      <w:tr w:rsidR="00A71EEF" w14:paraId="4BF17D67" w14:textId="77777777">
        <w:trPr>
          <w:trHeight w:val="501"/>
        </w:trPr>
        <w:tc>
          <w:tcPr>
            <w:tcW w:w="3257" w:type="dxa"/>
            <w:gridSpan w:val="2"/>
            <w:vMerge/>
            <w:tcBorders>
              <w:top w:val="nil"/>
            </w:tcBorders>
          </w:tcPr>
          <w:p w14:paraId="7B41E5B2" w14:textId="77777777" w:rsidR="00A71EEF" w:rsidRDefault="00A71EEF">
            <w:pPr>
              <w:rPr>
                <w:sz w:val="2"/>
                <w:szCs w:val="2"/>
              </w:rPr>
            </w:pPr>
          </w:p>
        </w:tc>
        <w:tc>
          <w:tcPr>
            <w:tcW w:w="2273" w:type="dxa"/>
          </w:tcPr>
          <w:p w14:paraId="2A15E80F" w14:textId="77777777" w:rsidR="00A71EEF" w:rsidRDefault="00A71EEF">
            <w:pPr>
              <w:pStyle w:val="TableParagraph"/>
              <w:spacing w:before="11"/>
              <w:rPr>
                <w:b/>
                <w:sz w:val="14"/>
              </w:rPr>
            </w:pPr>
          </w:p>
          <w:p w14:paraId="25744DCF" w14:textId="77777777" w:rsidR="00A71EEF" w:rsidRDefault="0081115D">
            <w:pPr>
              <w:pStyle w:val="TableParagraph"/>
              <w:ind w:right="808"/>
              <w:jc w:val="right"/>
              <w:rPr>
                <w:sz w:val="21"/>
              </w:rPr>
            </w:pPr>
            <w:r>
              <w:rPr>
                <w:sz w:val="21"/>
              </w:rPr>
              <w:t>纬向</w:t>
            </w:r>
            <w:r>
              <w:rPr>
                <w:sz w:val="21"/>
              </w:rPr>
              <w:t xml:space="preserve"> </w:t>
            </w:r>
          </w:p>
        </w:tc>
        <w:tc>
          <w:tcPr>
            <w:tcW w:w="2768" w:type="dxa"/>
          </w:tcPr>
          <w:p w14:paraId="79D9C72D" w14:textId="77777777" w:rsidR="00A71EEF" w:rsidRDefault="00A71EEF">
            <w:pPr>
              <w:pStyle w:val="TableParagraph"/>
              <w:spacing w:before="11"/>
              <w:rPr>
                <w:b/>
                <w:sz w:val="14"/>
              </w:rPr>
            </w:pPr>
          </w:p>
          <w:p w14:paraId="32BB0667" w14:textId="77777777" w:rsidR="00A71EEF" w:rsidRDefault="0081115D">
            <w:pPr>
              <w:pStyle w:val="TableParagraph"/>
              <w:ind w:left="682" w:right="566"/>
              <w:jc w:val="center"/>
              <w:rPr>
                <w:sz w:val="21"/>
              </w:rPr>
            </w:pPr>
            <w:r>
              <w:rPr>
                <w:sz w:val="21"/>
              </w:rPr>
              <w:t xml:space="preserve">≥100 </w:t>
            </w:r>
          </w:p>
        </w:tc>
      </w:tr>
      <w:tr w:rsidR="00A71EEF" w14:paraId="01194370" w14:textId="77777777">
        <w:trPr>
          <w:trHeight w:val="498"/>
        </w:trPr>
        <w:tc>
          <w:tcPr>
            <w:tcW w:w="5530" w:type="dxa"/>
            <w:gridSpan w:val="3"/>
          </w:tcPr>
          <w:p w14:paraId="0A64A60C" w14:textId="77777777" w:rsidR="00A71EEF" w:rsidRDefault="00A71EEF">
            <w:pPr>
              <w:pStyle w:val="TableParagraph"/>
              <w:spacing w:before="11"/>
              <w:rPr>
                <w:b/>
                <w:sz w:val="14"/>
              </w:rPr>
            </w:pPr>
          </w:p>
          <w:p w14:paraId="5242D4BA" w14:textId="77777777" w:rsidR="00A71EEF" w:rsidRDefault="0081115D">
            <w:pPr>
              <w:pStyle w:val="TableParagraph"/>
              <w:ind w:left="1660"/>
              <w:rPr>
                <w:sz w:val="21"/>
              </w:rPr>
            </w:pPr>
            <w:r>
              <w:rPr>
                <w:sz w:val="21"/>
              </w:rPr>
              <w:t>单位面积质量</w:t>
            </w:r>
            <w:r>
              <w:rPr>
                <w:sz w:val="21"/>
              </w:rPr>
              <w:t>/</w:t>
            </w:r>
            <w:r>
              <w:rPr>
                <w:sz w:val="21"/>
              </w:rPr>
              <w:t>（</w:t>
            </w:r>
            <w:r>
              <w:rPr>
                <w:sz w:val="21"/>
              </w:rPr>
              <w:t>g/m²</w:t>
            </w:r>
            <w:r>
              <w:rPr>
                <w:sz w:val="21"/>
              </w:rPr>
              <w:t>）</w:t>
            </w:r>
            <w:r>
              <w:rPr>
                <w:sz w:val="21"/>
              </w:rPr>
              <w:t xml:space="preserve"> </w:t>
            </w:r>
          </w:p>
        </w:tc>
        <w:tc>
          <w:tcPr>
            <w:tcW w:w="2768" w:type="dxa"/>
          </w:tcPr>
          <w:p w14:paraId="68E7D084" w14:textId="77777777" w:rsidR="00A71EEF" w:rsidRDefault="00A71EEF">
            <w:pPr>
              <w:pStyle w:val="TableParagraph"/>
              <w:spacing w:before="11"/>
              <w:rPr>
                <w:b/>
                <w:sz w:val="14"/>
              </w:rPr>
            </w:pPr>
          </w:p>
          <w:p w14:paraId="203735D7" w14:textId="77777777" w:rsidR="00A71EEF" w:rsidRDefault="0081115D">
            <w:pPr>
              <w:pStyle w:val="TableParagraph"/>
              <w:ind w:left="682" w:right="566"/>
              <w:jc w:val="center"/>
              <w:rPr>
                <w:sz w:val="21"/>
              </w:rPr>
            </w:pPr>
            <w:r>
              <w:rPr>
                <w:sz w:val="21"/>
              </w:rPr>
              <w:t xml:space="preserve">≤210 </w:t>
            </w:r>
          </w:p>
        </w:tc>
      </w:tr>
      <w:tr w:rsidR="00A71EEF" w14:paraId="2A98A6AF" w14:textId="77777777">
        <w:trPr>
          <w:trHeight w:val="501"/>
        </w:trPr>
        <w:tc>
          <w:tcPr>
            <w:tcW w:w="5530" w:type="dxa"/>
            <w:gridSpan w:val="3"/>
          </w:tcPr>
          <w:p w14:paraId="413CDA5B" w14:textId="77777777" w:rsidR="00A71EEF" w:rsidRDefault="00A71EEF">
            <w:pPr>
              <w:pStyle w:val="TableParagraph"/>
              <w:spacing w:before="11"/>
              <w:rPr>
                <w:b/>
                <w:sz w:val="14"/>
              </w:rPr>
            </w:pPr>
          </w:p>
          <w:p w14:paraId="5691B784" w14:textId="77777777" w:rsidR="00A71EEF" w:rsidRDefault="0081115D">
            <w:pPr>
              <w:pStyle w:val="TableParagraph"/>
              <w:ind w:left="1925"/>
              <w:rPr>
                <w:sz w:val="21"/>
              </w:rPr>
            </w:pPr>
            <w:r>
              <w:rPr>
                <w:sz w:val="21"/>
              </w:rPr>
              <w:t>水洗尺寸变化率</w:t>
            </w:r>
            <w:r>
              <w:rPr>
                <w:sz w:val="21"/>
              </w:rPr>
              <w:t xml:space="preserve">/% </w:t>
            </w:r>
          </w:p>
        </w:tc>
        <w:tc>
          <w:tcPr>
            <w:tcW w:w="2768" w:type="dxa"/>
          </w:tcPr>
          <w:p w14:paraId="2F3A1BD2" w14:textId="77777777" w:rsidR="00A71EEF" w:rsidRDefault="00A71EEF">
            <w:pPr>
              <w:pStyle w:val="TableParagraph"/>
              <w:spacing w:before="11"/>
              <w:rPr>
                <w:b/>
                <w:sz w:val="14"/>
              </w:rPr>
            </w:pPr>
          </w:p>
          <w:p w14:paraId="634A0B19" w14:textId="77777777" w:rsidR="00A71EEF" w:rsidRDefault="0081115D">
            <w:pPr>
              <w:pStyle w:val="TableParagraph"/>
              <w:ind w:left="679" w:right="566"/>
              <w:jc w:val="center"/>
              <w:rPr>
                <w:sz w:val="21"/>
              </w:rPr>
            </w:pPr>
            <w:r>
              <w:rPr>
                <w:sz w:val="21"/>
              </w:rPr>
              <w:t xml:space="preserve">-2.5~+2.5 </w:t>
            </w:r>
          </w:p>
        </w:tc>
      </w:tr>
      <w:tr w:rsidR="00A71EEF" w14:paraId="414B670F" w14:textId="77777777">
        <w:trPr>
          <w:trHeight w:val="499"/>
        </w:trPr>
        <w:tc>
          <w:tcPr>
            <w:tcW w:w="5530" w:type="dxa"/>
            <w:gridSpan w:val="3"/>
          </w:tcPr>
          <w:p w14:paraId="3D3F50EE" w14:textId="77777777" w:rsidR="00A71EEF" w:rsidRDefault="00A71EEF">
            <w:pPr>
              <w:pStyle w:val="TableParagraph"/>
              <w:spacing w:before="11"/>
              <w:rPr>
                <w:b/>
                <w:sz w:val="14"/>
              </w:rPr>
            </w:pPr>
          </w:p>
          <w:p w14:paraId="41108DA2" w14:textId="77777777" w:rsidR="00A71EEF" w:rsidRDefault="0081115D">
            <w:pPr>
              <w:pStyle w:val="TableParagraph"/>
              <w:ind w:left="1504"/>
              <w:rPr>
                <w:sz w:val="21"/>
              </w:rPr>
            </w:pPr>
            <w:r>
              <w:rPr>
                <w:sz w:val="21"/>
              </w:rPr>
              <w:t>热稳定性（</w:t>
            </w:r>
            <w:r>
              <w:rPr>
                <w:sz w:val="21"/>
              </w:rPr>
              <w:t>260℃±5℃</w:t>
            </w:r>
            <w:r>
              <w:rPr>
                <w:sz w:val="21"/>
              </w:rPr>
              <w:t>）</w:t>
            </w:r>
            <w:r>
              <w:rPr>
                <w:sz w:val="21"/>
              </w:rPr>
              <w:t xml:space="preserve">/% </w:t>
            </w:r>
          </w:p>
        </w:tc>
        <w:tc>
          <w:tcPr>
            <w:tcW w:w="2768" w:type="dxa"/>
          </w:tcPr>
          <w:p w14:paraId="33164B28" w14:textId="77777777" w:rsidR="00A71EEF" w:rsidRDefault="00A71EEF">
            <w:pPr>
              <w:pStyle w:val="TableParagraph"/>
              <w:spacing w:before="11"/>
              <w:rPr>
                <w:b/>
                <w:sz w:val="14"/>
              </w:rPr>
            </w:pPr>
          </w:p>
          <w:p w14:paraId="794E060F" w14:textId="77777777" w:rsidR="00A71EEF" w:rsidRDefault="0081115D">
            <w:pPr>
              <w:pStyle w:val="TableParagraph"/>
              <w:ind w:left="682" w:right="566"/>
              <w:jc w:val="center"/>
              <w:rPr>
                <w:sz w:val="21"/>
              </w:rPr>
            </w:pPr>
            <w:r>
              <w:rPr>
                <w:sz w:val="21"/>
              </w:rPr>
              <w:t xml:space="preserve">≤10 </w:t>
            </w:r>
          </w:p>
        </w:tc>
      </w:tr>
      <w:tr w:rsidR="00A71EEF" w14:paraId="46B5D415" w14:textId="77777777">
        <w:trPr>
          <w:trHeight w:val="501"/>
        </w:trPr>
        <w:tc>
          <w:tcPr>
            <w:tcW w:w="5530" w:type="dxa"/>
            <w:gridSpan w:val="3"/>
          </w:tcPr>
          <w:p w14:paraId="04BD7CCD" w14:textId="77777777" w:rsidR="00A71EEF" w:rsidRDefault="00A71EEF">
            <w:pPr>
              <w:pStyle w:val="TableParagraph"/>
              <w:spacing w:before="11"/>
              <w:rPr>
                <w:b/>
                <w:sz w:val="14"/>
              </w:rPr>
            </w:pPr>
          </w:p>
          <w:p w14:paraId="7469697C" w14:textId="77777777" w:rsidR="00A71EEF" w:rsidRDefault="0081115D">
            <w:pPr>
              <w:pStyle w:val="TableParagraph"/>
              <w:ind w:left="1818"/>
              <w:rPr>
                <w:sz w:val="21"/>
              </w:rPr>
            </w:pPr>
            <w:r>
              <w:rPr>
                <w:sz w:val="21"/>
              </w:rPr>
              <w:t>甲醛含量</w:t>
            </w:r>
            <w:r>
              <w:rPr>
                <w:sz w:val="21"/>
              </w:rPr>
              <w:t>/</w:t>
            </w:r>
            <w:r>
              <w:rPr>
                <w:sz w:val="21"/>
              </w:rPr>
              <w:t>（</w:t>
            </w:r>
            <w:r>
              <w:rPr>
                <w:sz w:val="21"/>
              </w:rPr>
              <w:t>mg/kg</w:t>
            </w:r>
            <w:r>
              <w:rPr>
                <w:sz w:val="21"/>
              </w:rPr>
              <w:t>）</w:t>
            </w:r>
            <w:r>
              <w:rPr>
                <w:sz w:val="21"/>
              </w:rPr>
              <w:t xml:space="preserve"> </w:t>
            </w:r>
          </w:p>
        </w:tc>
        <w:tc>
          <w:tcPr>
            <w:tcW w:w="2768" w:type="dxa"/>
          </w:tcPr>
          <w:p w14:paraId="0B00AFEA" w14:textId="77777777" w:rsidR="00A71EEF" w:rsidRDefault="00A71EEF">
            <w:pPr>
              <w:pStyle w:val="TableParagraph"/>
              <w:spacing w:before="11"/>
              <w:rPr>
                <w:b/>
                <w:sz w:val="14"/>
              </w:rPr>
            </w:pPr>
          </w:p>
          <w:p w14:paraId="34694CD8" w14:textId="77777777" w:rsidR="00A71EEF" w:rsidRDefault="0081115D">
            <w:pPr>
              <w:pStyle w:val="TableParagraph"/>
              <w:ind w:left="682" w:right="566"/>
              <w:jc w:val="center"/>
              <w:rPr>
                <w:sz w:val="21"/>
              </w:rPr>
            </w:pPr>
            <w:r>
              <w:rPr>
                <w:sz w:val="21"/>
              </w:rPr>
              <w:t xml:space="preserve">≤75 </w:t>
            </w:r>
          </w:p>
        </w:tc>
      </w:tr>
      <w:tr w:rsidR="00A71EEF" w14:paraId="5F1ABD6C" w14:textId="77777777">
        <w:trPr>
          <w:trHeight w:val="498"/>
        </w:trPr>
        <w:tc>
          <w:tcPr>
            <w:tcW w:w="5530" w:type="dxa"/>
            <w:gridSpan w:val="3"/>
          </w:tcPr>
          <w:p w14:paraId="48960CC2" w14:textId="77777777" w:rsidR="00A71EEF" w:rsidRDefault="00A71EEF">
            <w:pPr>
              <w:pStyle w:val="TableParagraph"/>
              <w:spacing w:before="11"/>
              <w:rPr>
                <w:b/>
                <w:sz w:val="14"/>
              </w:rPr>
            </w:pPr>
          </w:p>
          <w:p w14:paraId="3F74543B" w14:textId="77777777" w:rsidR="00A71EEF" w:rsidRDefault="0081115D">
            <w:pPr>
              <w:pStyle w:val="TableParagraph"/>
              <w:ind w:left="2481" w:right="2368"/>
              <w:jc w:val="center"/>
              <w:rPr>
                <w:sz w:val="21"/>
              </w:rPr>
            </w:pPr>
            <w:r>
              <w:rPr>
                <w:sz w:val="21"/>
              </w:rPr>
              <w:t xml:space="preserve">pH </w:t>
            </w:r>
            <w:r>
              <w:rPr>
                <w:sz w:val="21"/>
              </w:rPr>
              <w:t>值</w:t>
            </w:r>
            <w:r>
              <w:rPr>
                <w:sz w:val="21"/>
              </w:rPr>
              <w:t xml:space="preserve"> </w:t>
            </w:r>
          </w:p>
        </w:tc>
        <w:tc>
          <w:tcPr>
            <w:tcW w:w="2768" w:type="dxa"/>
          </w:tcPr>
          <w:p w14:paraId="6CD02888" w14:textId="77777777" w:rsidR="00A71EEF" w:rsidRDefault="00A71EEF">
            <w:pPr>
              <w:pStyle w:val="TableParagraph"/>
              <w:spacing w:before="11"/>
              <w:rPr>
                <w:b/>
                <w:sz w:val="14"/>
              </w:rPr>
            </w:pPr>
          </w:p>
          <w:p w14:paraId="08AFE617" w14:textId="77777777" w:rsidR="00A71EEF" w:rsidRDefault="0081115D">
            <w:pPr>
              <w:pStyle w:val="TableParagraph"/>
              <w:ind w:left="679" w:right="566"/>
              <w:jc w:val="center"/>
              <w:rPr>
                <w:sz w:val="21"/>
              </w:rPr>
            </w:pPr>
            <w:r>
              <w:rPr>
                <w:sz w:val="21"/>
              </w:rPr>
              <w:t xml:space="preserve">4.0~8.5 </w:t>
            </w:r>
          </w:p>
        </w:tc>
      </w:tr>
      <w:tr w:rsidR="00A71EEF" w14:paraId="73F61F08" w14:textId="77777777">
        <w:trPr>
          <w:trHeight w:val="501"/>
        </w:trPr>
        <w:tc>
          <w:tcPr>
            <w:tcW w:w="2765" w:type="dxa"/>
          </w:tcPr>
          <w:p w14:paraId="1FE1B380" w14:textId="77777777" w:rsidR="00A71EEF" w:rsidRDefault="00A71EEF">
            <w:pPr>
              <w:pStyle w:val="TableParagraph"/>
              <w:spacing w:before="11"/>
              <w:rPr>
                <w:b/>
                <w:sz w:val="14"/>
              </w:rPr>
            </w:pPr>
          </w:p>
          <w:p w14:paraId="30AFF21E" w14:textId="77777777" w:rsidR="00A71EEF" w:rsidRDefault="0081115D">
            <w:pPr>
              <w:pStyle w:val="TableParagraph"/>
              <w:ind w:left="573" w:right="459"/>
              <w:jc w:val="center"/>
              <w:rPr>
                <w:sz w:val="21"/>
              </w:rPr>
            </w:pPr>
            <w:r>
              <w:rPr>
                <w:sz w:val="21"/>
              </w:rPr>
              <w:t>色牢度</w:t>
            </w:r>
            <w:r>
              <w:rPr>
                <w:sz w:val="21"/>
              </w:rPr>
              <w:t>/</w:t>
            </w:r>
            <w:r>
              <w:rPr>
                <w:sz w:val="21"/>
              </w:rPr>
              <w:t>级</w:t>
            </w:r>
            <w:r>
              <w:rPr>
                <w:sz w:val="21"/>
              </w:rPr>
              <w:t xml:space="preserve"> </w:t>
            </w:r>
          </w:p>
        </w:tc>
        <w:tc>
          <w:tcPr>
            <w:tcW w:w="2765" w:type="dxa"/>
            <w:gridSpan w:val="2"/>
          </w:tcPr>
          <w:p w14:paraId="68E840B6" w14:textId="77777777" w:rsidR="00A71EEF" w:rsidRDefault="00A71EEF">
            <w:pPr>
              <w:pStyle w:val="TableParagraph"/>
              <w:spacing w:before="11"/>
              <w:rPr>
                <w:b/>
                <w:sz w:val="14"/>
              </w:rPr>
            </w:pPr>
          </w:p>
          <w:p w14:paraId="310781D3" w14:textId="77777777" w:rsidR="00A71EEF" w:rsidRDefault="0081115D">
            <w:pPr>
              <w:pStyle w:val="TableParagraph"/>
              <w:ind w:left="856"/>
              <w:rPr>
                <w:sz w:val="21"/>
              </w:rPr>
            </w:pPr>
            <w:r>
              <w:rPr>
                <w:sz w:val="21"/>
              </w:rPr>
              <w:t>耐光色牢度</w:t>
            </w:r>
            <w:r>
              <w:rPr>
                <w:sz w:val="21"/>
              </w:rPr>
              <w:t xml:space="preserve"> </w:t>
            </w:r>
          </w:p>
        </w:tc>
        <w:tc>
          <w:tcPr>
            <w:tcW w:w="2768" w:type="dxa"/>
          </w:tcPr>
          <w:p w14:paraId="080C5139" w14:textId="77777777" w:rsidR="00A71EEF" w:rsidRDefault="00A71EEF">
            <w:pPr>
              <w:pStyle w:val="TableParagraph"/>
              <w:spacing w:before="11"/>
              <w:rPr>
                <w:b/>
                <w:sz w:val="14"/>
              </w:rPr>
            </w:pPr>
          </w:p>
          <w:p w14:paraId="5B94BBD1" w14:textId="77777777" w:rsidR="00A71EEF" w:rsidRDefault="0081115D">
            <w:pPr>
              <w:pStyle w:val="TableParagraph"/>
              <w:ind w:left="682" w:right="566"/>
              <w:jc w:val="center"/>
              <w:rPr>
                <w:sz w:val="21"/>
              </w:rPr>
            </w:pPr>
            <w:r>
              <w:rPr>
                <w:sz w:val="21"/>
              </w:rPr>
              <w:t xml:space="preserve">≥4 </w:t>
            </w:r>
          </w:p>
        </w:tc>
      </w:tr>
      <w:tr w:rsidR="00A71EEF" w14:paraId="1ADF3F6A" w14:textId="77777777">
        <w:trPr>
          <w:trHeight w:val="498"/>
        </w:trPr>
        <w:tc>
          <w:tcPr>
            <w:tcW w:w="2765" w:type="dxa"/>
          </w:tcPr>
          <w:p w14:paraId="44117B81" w14:textId="77777777" w:rsidR="00A71EEF" w:rsidRDefault="00A71EEF">
            <w:pPr>
              <w:pStyle w:val="TableParagraph"/>
              <w:spacing w:before="11"/>
              <w:rPr>
                <w:b/>
                <w:sz w:val="14"/>
              </w:rPr>
            </w:pPr>
          </w:p>
          <w:p w14:paraId="6DBBD89B" w14:textId="77777777" w:rsidR="00A71EEF" w:rsidRDefault="0081115D">
            <w:pPr>
              <w:pStyle w:val="TableParagraph"/>
              <w:ind w:left="114"/>
              <w:jc w:val="center"/>
              <w:rPr>
                <w:sz w:val="21"/>
              </w:rPr>
            </w:pPr>
            <w:r>
              <w:rPr>
                <w:sz w:val="21"/>
              </w:rPr>
              <w:t xml:space="preserve"> </w:t>
            </w:r>
          </w:p>
        </w:tc>
        <w:tc>
          <w:tcPr>
            <w:tcW w:w="2765" w:type="dxa"/>
            <w:gridSpan w:val="2"/>
          </w:tcPr>
          <w:p w14:paraId="5A719CDB" w14:textId="77777777" w:rsidR="00A71EEF" w:rsidRDefault="00A71EEF">
            <w:pPr>
              <w:pStyle w:val="TableParagraph"/>
              <w:spacing w:before="11"/>
              <w:rPr>
                <w:b/>
                <w:sz w:val="14"/>
              </w:rPr>
            </w:pPr>
          </w:p>
          <w:p w14:paraId="539B62C9" w14:textId="77777777" w:rsidR="00A71EEF" w:rsidRDefault="0081115D">
            <w:pPr>
              <w:pStyle w:val="TableParagraph"/>
              <w:ind w:left="489"/>
              <w:rPr>
                <w:sz w:val="21"/>
              </w:rPr>
            </w:pPr>
            <w:r>
              <w:rPr>
                <w:sz w:val="21"/>
              </w:rPr>
              <w:t>耐洗（变色</w:t>
            </w:r>
            <w:r>
              <w:rPr>
                <w:sz w:val="21"/>
              </w:rPr>
              <w:t>/</w:t>
            </w:r>
            <w:r>
              <w:rPr>
                <w:sz w:val="21"/>
              </w:rPr>
              <w:t>沾色）</w:t>
            </w:r>
            <w:r>
              <w:rPr>
                <w:sz w:val="21"/>
              </w:rPr>
              <w:t xml:space="preserve"> </w:t>
            </w:r>
          </w:p>
        </w:tc>
        <w:tc>
          <w:tcPr>
            <w:tcW w:w="2768" w:type="dxa"/>
          </w:tcPr>
          <w:p w14:paraId="0B29A213" w14:textId="77777777" w:rsidR="00A71EEF" w:rsidRDefault="00A71EEF">
            <w:pPr>
              <w:pStyle w:val="TableParagraph"/>
              <w:spacing w:before="11"/>
              <w:rPr>
                <w:b/>
                <w:sz w:val="14"/>
              </w:rPr>
            </w:pPr>
          </w:p>
          <w:p w14:paraId="573B5957" w14:textId="77777777" w:rsidR="00A71EEF" w:rsidRDefault="0081115D">
            <w:pPr>
              <w:pStyle w:val="TableParagraph"/>
              <w:ind w:left="679" w:right="566"/>
              <w:jc w:val="center"/>
              <w:rPr>
                <w:sz w:val="21"/>
              </w:rPr>
            </w:pPr>
            <w:r>
              <w:rPr>
                <w:sz w:val="21"/>
              </w:rPr>
              <w:t xml:space="preserve">≥4/3-4 </w:t>
            </w:r>
          </w:p>
        </w:tc>
      </w:tr>
      <w:tr w:rsidR="00A71EEF" w14:paraId="337BB0C9" w14:textId="77777777">
        <w:trPr>
          <w:trHeight w:val="501"/>
        </w:trPr>
        <w:tc>
          <w:tcPr>
            <w:tcW w:w="2765" w:type="dxa"/>
          </w:tcPr>
          <w:p w14:paraId="01909310" w14:textId="77777777" w:rsidR="00A71EEF" w:rsidRDefault="00A71EEF">
            <w:pPr>
              <w:pStyle w:val="TableParagraph"/>
              <w:spacing w:before="11"/>
              <w:rPr>
                <w:b/>
                <w:sz w:val="14"/>
              </w:rPr>
            </w:pPr>
          </w:p>
          <w:p w14:paraId="22668037" w14:textId="77777777" w:rsidR="00A71EEF" w:rsidRDefault="0081115D">
            <w:pPr>
              <w:pStyle w:val="TableParagraph"/>
              <w:ind w:left="114"/>
              <w:jc w:val="center"/>
              <w:rPr>
                <w:sz w:val="21"/>
              </w:rPr>
            </w:pPr>
            <w:r>
              <w:rPr>
                <w:sz w:val="21"/>
              </w:rPr>
              <w:t xml:space="preserve"> </w:t>
            </w:r>
          </w:p>
        </w:tc>
        <w:tc>
          <w:tcPr>
            <w:tcW w:w="2765" w:type="dxa"/>
            <w:gridSpan w:val="2"/>
          </w:tcPr>
          <w:p w14:paraId="515188AF" w14:textId="77777777" w:rsidR="00A71EEF" w:rsidRDefault="00A71EEF">
            <w:pPr>
              <w:pStyle w:val="TableParagraph"/>
              <w:spacing w:before="11"/>
              <w:rPr>
                <w:b/>
                <w:sz w:val="14"/>
              </w:rPr>
            </w:pPr>
          </w:p>
          <w:p w14:paraId="3FF58A96" w14:textId="77777777" w:rsidR="00A71EEF" w:rsidRDefault="0081115D">
            <w:pPr>
              <w:pStyle w:val="TableParagraph"/>
              <w:ind w:left="489"/>
              <w:rPr>
                <w:sz w:val="21"/>
              </w:rPr>
            </w:pPr>
            <w:r>
              <w:rPr>
                <w:sz w:val="21"/>
              </w:rPr>
              <w:t>耐水（变色</w:t>
            </w:r>
            <w:r>
              <w:rPr>
                <w:sz w:val="21"/>
              </w:rPr>
              <w:t>/</w:t>
            </w:r>
            <w:r>
              <w:rPr>
                <w:sz w:val="21"/>
              </w:rPr>
              <w:t>沾色）</w:t>
            </w:r>
            <w:r>
              <w:rPr>
                <w:sz w:val="21"/>
              </w:rPr>
              <w:t xml:space="preserve"> </w:t>
            </w:r>
          </w:p>
        </w:tc>
        <w:tc>
          <w:tcPr>
            <w:tcW w:w="2768" w:type="dxa"/>
          </w:tcPr>
          <w:p w14:paraId="49D278F4" w14:textId="77777777" w:rsidR="00A71EEF" w:rsidRDefault="00A71EEF">
            <w:pPr>
              <w:pStyle w:val="TableParagraph"/>
              <w:spacing w:before="11"/>
              <w:rPr>
                <w:b/>
                <w:sz w:val="14"/>
              </w:rPr>
            </w:pPr>
          </w:p>
          <w:p w14:paraId="2A770807" w14:textId="77777777" w:rsidR="00A71EEF" w:rsidRDefault="0081115D">
            <w:pPr>
              <w:pStyle w:val="TableParagraph"/>
              <w:ind w:left="679" w:right="566"/>
              <w:jc w:val="center"/>
              <w:rPr>
                <w:sz w:val="21"/>
              </w:rPr>
            </w:pPr>
            <w:r>
              <w:rPr>
                <w:sz w:val="21"/>
              </w:rPr>
              <w:t xml:space="preserve">≥4/3-4 </w:t>
            </w:r>
          </w:p>
        </w:tc>
      </w:tr>
      <w:tr w:rsidR="00A71EEF" w14:paraId="599B68B0" w14:textId="77777777">
        <w:trPr>
          <w:trHeight w:val="499"/>
        </w:trPr>
        <w:tc>
          <w:tcPr>
            <w:tcW w:w="2765" w:type="dxa"/>
          </w:tcPr>
          <w:p w14:paraId="2B39EA5C" w14:textId="77777777" w:rsidR="00A71EEF" w:rsidRDefault="00A71EEF">
            <w:pPr>
              <w:pStyle w:val="TableParagraph"/>
              <w:spacing w:before="11"/>
              <w:rPr>
                <w:b/>
                <w:sz w:val="14"/>
              </w:rPr>
            </w:pPr>
          </w:p>
          <w:p w14:paraId="67E08F01" w14:textId="77777777" w:rsidR="00A71EEF" w:rsidRDefault="0081115D">
            <w:pPr>
              <w:pStyle w:val="TableParagraph"/>
              <w:spacing w:before="1"/>
              <w:ind w:left="114"/>
              <w:jc w:val="center"/>
              <w:rPr>
                <w:sz w:val="21"/>
              </w:rPr>
            </w:pPr>
            <w:r>
              <w:rPr>
                <w:sz w:val="21"/>
              </w:rPr>
              <w:t xml:space="preserve"> </w:t>
            </w:r>
          </w:p>
        </w:tc>
        <w:tc>
          <w:tcPr>
            <w:tcW w:w="2765" w:type="dxa"/>
            <w:gridSpan w:val="2"/>
          </w:tcPr>
          <w:p w14:paraId="2CDB136C" w14:textId="77777777" w:rsidR="00A71EEF" w:rsidRDefault="00A71EEF">
            <w:pPr>
              <w:pStyle w:val="TableParagraph"/>
              <w:spacing w:before="11"/>
              <w:rPr>
                <w:b/>
                <w:sz w:val="14"/>
              </w:rPr>
            </w:pPr>
          </w:p>
          <w:p w14:paraId="6B84EBF3" w14:textId="77777777" w:rsidR="00A71EEF" w:rsidRDefault="0081115D">
            <w:pPr>
              <w:pStyle w:val="TableParagraph"/>
              <w:spacing w:before="1"/>
              <w:ind w:left="962"/>
              <w:rPr>
                <w:sz w:val="21"/>
              </w:rPr>
            </w:pPr>
            <w:r>
              <w:rPr>
                <w:sz w:val="21"/>
              </w:rPr>
              <w:t>耐干耐擦</w:t>
            </w:r>
            <w:r>
              <w:rPr>
                <w:sz w:val="21"/>
              </w:rPr>
              <w:t xml:space="preserve"> </w:t>
            </w:r>
          </w:p>
        </w:tc>
        <w:tc>
          <w:tcPr>
            <w:tcW w:w="2768" w:type="dxa"/>
          </w:tcPr>
          <w:p w14:paraId="655CC1AF" w14:textId="77777777" w:rsidR="00A71EEF" w:rsidRDefault="00A71EEF">
            <w:pPr>
              <w:pStyle w:val="TableParagraph"/>
              <w:spacing w:before="11"/>
              <w:rPr>
                <w:b/>
                <w:sz w:val="14"/>
              </w:rPr>
            </w:pPr>
          </w:p>
          <w:p w14:paraId="327F52E2" w14:textId="77777777" w:rsidR="00A71EEF" w:rsidRDefault="0081115D">
            <w:pPr>
              <w:pStyle w:val="TableParagraph"/>
              <w:spacing w:before="1"/>
              <w:ind w:left="682" w:right="566"/>
              <w:jc w:val="center"/>
              <w:rPr>
                <w:sz w:val="21"/>
              </w:rPr>
            </w:pPr>
            <w:r>
              <w:rPr>
                <w:sz w:val="21"/>
              </w:rPr>
              <w:t xml:space="preserve">≥3-4 </w:t>
            </w:r>
          </w:p>
        </w:tc>
      </w:tr>
      <w:tr w:rsidR="00A71EEF" w14:paraId="75FAA208" w14:textId="77777777">
        <w:trPr>
          <w:trHeight w:val="501"/>
        </w:trPr>
        <w:tc>
          <w:tcPr>
            <w:tcW w:w="2765" w:type="dxa"/>
          </w:tcPr>
          <w:p w14:paraId="3A0C17CE" w14:textId="77777777" w:rsidR="00A71EEF" w:rsidRDefault="00A71EEF">
            <w:pPr>
              <w:pStyle w:val="TableParagraph"/>
              <w:spacing w:before="11"/>
              <w:rPr>
                <w:b/>
                <w:sz w:val="14"/>
              </w:rPr>
            </w:pPr>
          </w:p>
          <w:p w14:paraId="7CFA1AF1" w14:textId="77777777" w:rsidR="00A71EEF" w:rsidRDefault="0081115D">
            <w:pPr>
              <w:pStyle w:val="TableParagraph"/>
              <w:ind w:left="114"/>
              <w:jc w:val="center"/>
              <w:rPr>
                <w:sz w:val="21"/>
              </w:rPr>
            </w:pPr>
            <w:r>
              <w:rPr>
                <w:sz w:val="21"/>
              </w:rPr>
              <w:t xml:space="preserve"> </w:t>
            </w:r>
          </w:p>
        </w:tc>
        <w:tc>
          <w:tcPr>
            <w:tcW w:w="2765" w:type="dxa"/>
            <w:gridSpan w:val="2"/>
          </w:tcPr>
          <w:p w14:paraId="21E878FA" w14:textId="77777777" w:rsidR="00A71EEF" w:rsidRDefault="00A71EEF">
            <w:pPr>
              <w:pStyle w:val="TableParagraph"/>
              <w:spacing w:before="11"/>
              <w:rPr>
                <w:b/>
                <w:sz w:val="14"/>
              </w:rPr>
            </w:pPr>
          </w:p>
          <w:p w14:paraId="6E75D82C" w14:textId="77777777" w:rsidR="00A71EEF" w:rsidRDefault="0081115D">
            <w:pPr>
              <w:pStyle w:val="TableParagraph"/>
              <w:ind w:left="962"/>
              <w:rPr>
                <w:sz w:val="21"/>
              </w:rPr>
            </w:pPr>
            <w:r>
              <w:rPr>
                <w:sz w:val="21"/>
              </w:rPr>
              <w:t>耐湿摩擦</w:t>
            </w:r>
            <w:r>
              <w:rPr>
                <w:sz w:val="21"/>
              </w:rPr>
              <w:t xml:space="preserve"> </w:t>
            </w:r>
          </w:p>
        </w:tc>
        <w:tc>
          <w:tcPr>
            <w:tcW w:w="2768" w:type="dxa"/>
          </w:tcPr>
          <w:p w14:paraId="39F30985" w14:textId="77777777" w:rsidR="00A71EEF" w:rsidRDefault="00A71EEF">
            <w:pPr>
              <w:pStyle w:val="TableParagraph"/>
              <w:spacing w:before="11"/>
              <w:rPr>
                <w:b/>
                <w:sz w:val="14"/>
              </w:rPr>
            </w:pPr>
          </w:p>
          <w:p w14:paraId="3BC0FEC5" w14:textId="77777777" w:rsidR="00A71EEF" w:rsidRDefault="0081115D">
            <w:pPr>
              <w:pStyle w:val="TableParagraph"/>
              <w:ind w:left="682" w:right="566"/>
              <w:jc w:val="center"/>
              <w:rPr>
                <w:sz w:val="21"/>
              </w:rPr>
            </w:pPr>
            <w:r>
              <w:rPr>
                <w:sz w:val="21"/>
              </w:rPr>
              <w:t xml:space="preserve">≥3 </w:t>
            </w:r>
          </w:p>
        </w:tc>
      </w:tr>
      <w:tr w:rsidR="00A71EEF" w14:paraId="532FB44E" w14:textId="77777777">
        <w:trPr>
          <w:trHeight w:val="498"/>
        </w:trPr>
        <w:tc>
          <w:tcPr>
            <w:tcW w:w="2765" w:type="dxa"/>
          </w:tcPr>
          <w:p w14:paraId="2B26FE46" w14:textId="77777777" w:rsidR="00A71EEF" w:rsidRDefault="00A71EEF">
            <w:pPr>
              <w:pStyle w:val="TableParagraph"/>
              <w:spacing w:before="11"/>
              <w:rPr>
                <w:b/>
                <w:sz w:val="14"/>
              </w:rPr>
            </w:pPr>
          </w:p>
          <w:p w14:paraId="11F59687" w14:textId="77777777" w:rsidR="00A71EEF" w:rsidRDefault="0081115D">
            <w:pPr>
              <w:pStyle w:val="TableParagraph"/>
              <w:ind w:left="114"/>
              <w:jc w:val="center"/>
              <w:rPr>
                <w:sz w:val="21"/>
              </w:rPr>
            </w:pPr>
            <w:r>
              <w:rPr>
                <w:sz w:val="21"/>
              </w:rPr>
              <w:t xml:space="preserve"> </w:t>
            </w:r>
          </w:p>
        </w:tc>
        <w:tc>
          <w:tcPr>
            <w:tcW w:w="2765" w:type="dxa"/>
            <w:gridSpan w:val="2"/>
          </w:tcPr>
          <w:p w14:paraId="159C7D61" w14:textId="77777777" w:rsidR="00A71EEF" w:rsidRDefault="00A71EEF">
            <w:pPr>
              <w:pStyle w:val="TableParagraph"/>
              <w:spacing w:before="11"/>
              <w:rPr>
                <w:b/>
                <w:sz w:val="14"/>
              </w:rPr>
            </w:pPr>
          </w:p>
          <w:p w14:paraId="2F82BEE4" w14:textId="77777777" w:rsidR="00A71EEF" w:rsidRDefault="0081115D">
            <w:pPr>
              <w:pStyle w:val="TableParagraph"/>
              <w:ind w:left="384"/>
              <w:rPr>
                <w:sz w:val="21"/>
              </w:rPr>
            </w:pPr>
            <w:r>
              <w:rPr>
                <w:sz w:val="21"/>
              </w:rPr>
              <w:t>耐汗渍（变色</w:t>
            </w:r>
            <w:r>
              <w:rPr>
                <w:sz w:val="21"/>
              </w:rPr>
              <w:t>/</w:t>
            </w:r>
            <w:r>
              <w:rPr>
                <w:sz w:val="21"/>
              </w:rPr>
              <w:t>沾色）</w:t>
            </w:r>
            <w:r>
              <w:rPr>
                <w:sz w:val="21"/>
              </w:rPr>
              <w:t xml:space="preserve"> </w:t>
            </w:r>
          </w:p>
        </w:tc>
        <w:tc>
          <w:tcPr>
            <w:tcW w:w="2768" w:type="dxa"/>
          </w:tcPr>
          <w:p w14:paraId="45E203B3" w14:textId="77777777" w:rsidR="00A71EEF" w:rsidRDefault="00A71EEF">
            <w:pPr>
              <w:pStyle w:val="TableParagraph"/>
              <w:spacing w:before="11"/>
              <w:rPr>
                <w:b/>
                <w:sz w:val="14"/>
              </w:rPr>
            </w:pPr>
          </w:p>
          <w:p w14:paraId="0AB4BFD3" w14:textId="77777777" w:rsidR="00A71EEF" w:rsidRDefault="0081115D">
            <w:pPr>
              <w:pStyle w:val="TableParagraph"/>
              <w:ind w:left="679" w:right="566"/>
              <w:jc w:val="center"/>
              <w:rPr>
                <w:sz w:val="21"/>
              </w:rPr>
            </w:pPr>
            <w:r>
              <w:rPr>
                <w:sz w:val="21"/>
              </w:rPr>
              <w:t xml:space="preserve">≥3-4/3-4 </w:t>
            </w:r>
          </w:p>
        </w:tc>
      </w:tr>
    </w:tbl>
    <w:p w14:paraId="6824E615" w14:textId="77777777" w:rsidR="00A71EEF" w:rsidRDefault="00A71EEF">
      <w:pPr>
        <w:pStyle w:val="a3"/>
        <w:spacing w:before="11"/>
        <w:rPr>
          <w:b/>
          <w:sz w:val="14"/>
        </w:rPr>
      </w:pPr>
    </w:p>
    <w:p w14:paraId="6A9B93FC" w14:textId="77777777" w:rsidR="00A71EEF" w:rsidRDefault="0081115D">
      <w:pPr>
        <w:pStyle w:val="a4"/>
        <w:numPr>
          <w:ilvl w:val="2"/>
          <w:numId w:val="6"/>
        </w:numPr>
        <w:tabs>
          <w:tab w:val="left" w:pos="1371"/>
        </w:tabs>
        <w:rPr>
          <w:sz w:val="21"/>
        </w:rPr>
      </w:pPr>
      <w:r>
        <w:rPr>
          <w:spacing w:val="-3"/>
          <w:sz w:val="21"/>
        </w:rPr>
        <w:t>缝纫线</w:t>
      </w:r>
      <w:r>
        <w:rPr>
          <w:sz w:val="21"/>
        </w:rPr>
        <w:t xml:space="preserve"> </w:t>
      </w:r>
    </w:p>
    <w:p w14:paraId="6D891B03" w14:textId="77777777" w:rsidR="00A71EEF" w:rsidRDefault="00A71EEF">
      <w:pPr>
        <w:pStyle w:val="a3"/>
        <w:spacing w:before="2"/>
        <w:rPr>
          <w:sz w:val="18"/>
        </w:rPr>
      </w:pPr>
    </w:p>
    <w:p w14:paraId="3FDE3495" w14:textId="77777777" w:rsidR="00A71EEF" w:rsidRDefault="0081115D">
      <w:pPr>
        <w:pStyle w:val="a4"/>
        <w:numPr>
          <w:ilvl w:val="3"/>
          <w:numId w:val="6"/>
        </w:numPr>
        <w:tabs>
          <w:tab w:val="left" w:pos="1576"/>
        </w:tabs>
        <w:rPr>
          <w:sz w:val="21"/>
        </w:rPr>
      </w:pPr>
      <w:r>
        <w:rPr>
          <w:spacing w:val="-3"/>
          <w:sz w:val="21"/>
        </w:rPr>
        <w:t>强力</w:t>
      </w:r>
      <w:r>
        <w:rPr>
          <w:sz w:val="21"/>
        </w:rPr>
        <w:t xml:space="preserve"> </w:t>
      </w:r>
    </w:p>
    <w:p w14:paraId="4A940096" w14:textId="77777777" w:rsidR="00A71EEF" w:rsidRDefault="00A71EEF">
      <w:pPr>
        <w:pStyle w:val="a3"/>
        <w:spacing w:before="12"/>
        <w:rPr>
          <w:sz w:val="17"/>
        </w:rPr>
      </w:pPr>
    </w:p>
    <w:p w14:paraId="2AE746C5" w14:textId="77777777" w:rsidR="00A71EEF" w:rsidRDefault="0081115D">
      <w:pPr>
        <w:pStyle w:val="a3"/>
        <w:spacing w:line="446" w:lineRule="auto"/>
        <w:ind w:left="838" w:right="7653"/>
      </w:pPr>
      <w:r>
        <w:t>单线强力不小于</w:t>
      </w:r>
      <w:r>
        <w:t xml:space="preserve"> 10N</w:t>
      </w:r>
      <w:r>
        <w:t>。</w:t>
      </w:r>
      <w:r>
        <w:t xml:space="preserve">4.1.2.2 </w:t>
      </w:r>
      <w:r>
        <w:t>热稳定性</w:t>
      </w:r>
      <w:r>
        <w:t xml:space="preserve"> </w:t>
      </w:r>
    </w:p>
    <w:p w14:paraId="0592C9F6" w14:textId="77777777" w:rsidR="00A71EEF" w:rsidRDefault="0081115D">
      <w:pPr>
        <w:pStyle w:val="a3"/>
        <w:spacing w:before="1"/>
        <w:ind w:left="838"/>
      </w:pPr>
      <w:r>
        <w:t>缝纫线在</w:t>
      </w:r>
      <w:r>
        <w:t xml:space="preserve"> 260℃±5℃</w:t>
      </w:r>
      <w:r>
        <w:t>环境中，经</w:t>
      </w:r>
      <w:r>
        <w:t xml:space="preserve"> 5min </w:t>
      </w:r>
      <w:r>
        <w:t>热稳定试验后，无熔融和烧焦现象。</w:t>
      </w:r>
      <w:r>
        <w:t xml:space="preserve"> </w:t>
      </w:r>
    </w:p>
    <w:p w14:paraId="6B5AA666" w14:textId="77777777" w:rsidR="00A71EEF" w:rsidRDefault="00A71EEF">
      <w:pPr>
        <w:pStyle w:val="a3"/>
        <w:spacing w:before="12"/>
        <w:rPr>
          <w:sz w:val="17"/>
        </w:rPr>
      </w:pPr>
    </w:p>
    <w:p w14:paraId="0FAE9490" w14:textId="77777777" w:rsidR="00A71EEF" w:rsidRDefault="0081115D">
      <w:pPr>
        <w:pStyle w:val="a4"/>
        <w:numPr>
          <w:ilvl w:val="2"/>
          <w:numId w:val="6"/>
        </w:numPr>
        <w:tabs>
          <w:tab w:val="left" w:pos="1370"/>
        </w:tabs>
        <w:ind w:left="1369" w:hanging="530"/>
        <w:rPr>
          <w:sz w:val="21"/>
        </w:rPr>
      </w:pPr>
      <w:r>
        <w:rPr>
          <w:spacing w:val="-3"/>
          <w:sz w:val="21"/>
        </w:rPr>
        <w:t>反光带</w:t>
      </w:r>
      <w:r>
        <w:rPr>
          <w:sz w:val="21"/>
        </w:rPr>
        <w:t xml:space="preserve"> </w:t>
      </w:r>
    </w:p>
    <w:p w14:paraId="37861561" w14:textId="77777777" w:rsidR="00A71EEF" w:rsidRDefault="00A71EEF">
      <w:pPr>
        <w:rPr>
          <w:sz w:val="21"/>
        </w:rPr>
        <w:sectPr w:rsidR="00A71EEF">
          <w:footerReference w:type="default" r:id="rId624"/>
          <w:pgSz w:w="11910" w:h="16850"/>
          <w:pgMar w:top="1080" w:right="0" w:bottom="1420" w:left="1260" w:header="0" w:footer="1239" w:gutter="0"/>
          <w:pgNumType w:start="1700"/>
          <w:cols w:space="720"/>
        </w:sectPr>
      </w:pPr>
    </w:p>
    <w:p w14:paraId="2DEF0581" w14:textId="77777777" w:rsidR="00A71EEF" w:rsidRDefault="0081115D">
      <w:pPr>
        <w:pStyle w:val="a4"/>
        <w:numPr>
          <w:ilvl w:val="3"/>
          <w:numId w:val="6"/>
        </w:numPr>
        <w:tabs>
          <w:tab w:val="left" w:pos="1576"/>
        </w:tabs>
        <w:spacing w:before="47"/>
        <w:rPr>
          <w:sz w:val="21"/>
        </w:rPr>
      </w:pPr>
      <w:r>
        <w:rPr>
          <w:spacing w:val="-3"/>
          <w:sz w:val="21"/>
        </w:rPr>
        <w:t>逆反射系数值</w:t>
      </w:r>
      <w:r>
        <w:rPr>
          <w:sz w:val="21"/>
        </w:rPr>
        <w:t xml:space="preserve"> </w:t>
      </w:r>
    </w:p>
    <w:p w14:paraId="45B2E27B" w14:textId="77777777" w:rsidR="00A71EEF" w:rsidRDefault="00A71EEF">
      <w:pPr>
        <w:pStyle w:val="a3"/>
        <w:rPr>
          <w:sz w:val="18"/>
        </w:rPr>
      </w:pPr>
    </w:p>
    <w:p w14:paraId="7AA7607F" w14:textId="77777777" w:rsidR="00A71EEF" w:rsidRDefault="0081115D">
      <w:pPr>
        <w:pStyle w:val="a3"/>
        <w:ind w:left="838"/>
      </w:pPr>
      <w:r>
        <w:t>反光带的逆反射系数值，物理实验前应符合</w:t>
      </w:r>
      <w:r>
        <w:t xml:space="preserve"> GB 20653——2006 </w:t>
      </w:r>
      <w:r>
        <w:t>中表</w:t>
      </w:r>
      <w:r>
        <w:t xml:space="preserve"> 7 </w:t>
      </w:r>
      <w:r>
        <w:t>的要求；按照</w:t>
      </w:r>
      <w:r>
        <w:t xml:space="preserve"> GB20653—</w:t>
      </w:r>
    </w:p>
    <w:p w14:paraId="022DE3D9" w14:textId="77777777" w:rsidR="00A71EEF" w:rsidRDefault="00A71EEF">
      <w:pPr>
        <w:pStyle w:val="a3"/>
        <w:rPr>
          <w:sz w:val="18"/>
        </w:rPr>
      </w:pPr>
    </w:p>
    <w:p w14:paraId="358AAB1D" w14:textId="77777777" w:rsidR="00A71EEF" w:rsidRDefault="0081115D">
      <w:pPr>
        <w:pStyle w:val="a3"/>
        <w:spacing w:line="446" w:lineRule="auto"/>
        <w:ind w:left="838" w:right="1666" w:hanging="420"/>
      </w:pPr>
      <w:r>
        <w:t>—2006</w:t>
      </w:r>
      <w:r>
        <w:rPr>
          <w:spacing w:val="-26"/>
        </w:rPr>
        <w:t xml:space="preserve"> </w:t>
      </w:r>
      <w:r>
        <w:rPr>
          <w:spacing w:val="-26"/>
        </w:rPr>
        <w:t>中表</w:t>
      </w:r>
      <w:r>
        <w:rPr>
          <w:spacing w:val="-26"/>
        </w:rPr>
        <w:t xml:space="preserve"> </w:t>
      </w:r>
      <w:r>
        <w:t>8</w:t>
      </w:r>
      <w:r>
        <w:rPr>
          <w:spacing w:val="-12"/>
        </w:rPr>
        <w:t xml:space="preserve"> </w:t>
      </w:r>
      <w:r>
        <w:rPr>
          <w:spacing w:val="-12"/>
        </w:rPr>
        <w:t>规定的物理试验后，应符合</w:t>
      </w:r>
      <w:r>
        <w:rPr>
          <w:spacing w:val="-12"/>
        </w:rPr>
        <w:t xml:space="preserve"> </w:t>
      </w:r>
      <w:r>
        <w:t>GB20653——2006</w:t>
      </w:r>
      <w:r>
        <w:rPr>
          <w:spacing w:val="-34"/>
        </w:rPr>
        <w:t xml:space="preserve"> </w:t>
      </w:r>
      <w:r>
        <w:rPr>
          <w:spacing w:val="-34"/>
        </w:rPr>
        <w:t>中</w:t>
      </w:r>
      <w:r>
        <w:rPr>
          <w:spacing w:val="-34"/>
        </w:rPr>
        <w:t xml:space="preserve"> </w:t>
      </w:r>
      <w:r>
        <w:t>6.2.2</w:t>
      </w:r>
      <w:r>
        <w:rPr>
          <w:spacing w:val="-8"/>
        </w:rPr>
        <w:t xml:space="preserve"> </w:t>
      </w:r>
      <w:r>
        <w:rPr>
          <w:spacing w:val="-8"/>
        </w:rPr>
        <w:t>规定的光学性能要求。</w:t>
      </w:r>
      <w:r>
        <w:t>4.1.3.2</w:t>
      </w:r>
      <w:r>
        <w:rPr>
          <w:spacing w:val="-3"/>
        </w:rPr>
        <w:t xml:space="preserve"> </w:t>
      </w:r>
      <w:r>
        <w:rPr>
          <w:spacing w:val="-3"/>
        </w:rPr>
        <w:t>阻燃性能</w:t>
      </w:r>
      <w:r>
        <w:t xml:space="preserve"> </w:t>
      </w:r>
    </w:p>
    <w:p w14:paraId="23D3429E" w14:textId="77777777" w:rsidR="00A71EEF" w:rsidRDefault="0081115D">
      <w:pPr>
        <w:pStyle w:val="a3"/>
        <w:spacing w:line="446" w:lineRule="auto"/>
        <w:ind w:left="838" w:right="5920"/>
      </w:pPr>
      <w:r>
        <w:rPr>
          <w:spacing w:val="-7"/>
        </w:rPr>
        <w:t>反光带的阻燃性能应符合</w:t>
      </w:r>
      <w:r>
        <w:rPr>
          <w:spacing w:val="-7"/>
        </w:rPr>
        <w:t xml:space="preserve"> </w:t>
      </w:r>
      <w:r>
        <w:t>4.1.1.3</w:t>
      </w:r>
      <w:r>
        <w:rPr>
          <w:spacing w:val="-15"/>
        </w:rPr>
        <w:t xml:space="preserve"> </w:t>
      </w:r>
      <w:r>
        <w:rPr>
          <w:spacing w:val="-15"/>
        </w:rPr>
        <w:t>要求。</w:t>
      </w:r>
      <w:r>
        <w:t>4.1.3.3</w:t>
      </w:r>
      <w:r>
        <w:rPr>
          <w:spacing w:val="-3"/>
        </w:rPr>
        <w:t xml:space="preserve"> </w:t>
      </w:r>
      <w:r>
        <w:rPr>
          <w:spacing w:val="-3"/>
        </w:rPr>
        <w:t>热稳定性</w:t>
      </w:r>
      <w:r>
        <w:t xml:space="preserve"> </w:t>
      </w:r>
    </w:p>
    <w:p w14:paraId="7AAF7206" w14:textId="77777777" w:rsidR="00A71EEF" w:rsidRDefault="0081115D">
      <w:pPr>
        <w:pStyle w:val="a3"/>
        <w:spacing w:line="446" w:lineRule="auto"/>
        <w:ind w:left="840" w:right="2400" w:hanging="3"/>
      </w:pPr>
      <w:r>
        <w:rPr>
          <w:spacing w:val="-11"/>
        </w:rPr>
        <w:t>反光带在</w:t>
      </w:r>
      <w:r>
        <w:rPr>
          <w:spacing w:val="-11"/>
        </w:rPr>
        <w:t xml:space="preserve"> </w:t>
      </w:r>
      <w:r>
        <w:t>260℃±5</w:t>
      </w:r>
      <w:r>
        <w:rPr>
          <w:spacing w:val="-10"/>
        </w:rPr>
        <w:t>℃</w:t>
      </w:r>
      <w:r>
        <w:rPr>
          <w:spacing w:val="-10"/>
        </w:rPr>
        <w:t>环境中，经</w:t>
      </w:r>
      <w:r>
        <w:rPr>
          <w:spacing w:val="-10"/>
        </w:rPr>
        <w:t xml:space="preserve"> </w:t>
      </w:r>
      <w:r>
        <w:t>5min</w:t>
      </w:r>
      <w:r>
        <w:rPr>
          <w:spacing w:val="-8"/>
        </w:rPr>
        <w:t xml:space="preserve"> </w:t>
      </w:r>
      <w:r>
        <w:rPr>
          <w:spacing w:val="-8"/>
        </w:rPr>
        <w:t>热稳定试验后，表面无碳化、脱落现象。</w:t>
      </w:r>
      <w:r>
        <w:rPr>
          <w:b/>
          <w:spacing w:val="-8"/>
        </w:rPr>
        <w:t>4.1.4</w:t>
      </w:r>
      <w:r>
        <w:rPr>
          <w:b/>
          <w:spacing w:val="-1"/>
        </w:rPr>
        <w:t xml:space="preserve"> </w:t>
      </w:r>
      <w:r>
        <w:rPr>
          <w:spacing w:val="-3"/>
        </w:rPr>
        <w:t>附件及辅料</w:t>
      </w:r>
      <w:r>
        <w:t xml:space="preserve"> </w:t>
      </w:r>
    </w:p>
    <w:p w14:paraId="37B64D16" w14:textId="77777777" w:rsidR="00A71EEF" w:rsidRDefault="0081115D">
      <w:pPr>
        <w:pStyle w:val="a3"/>
        <w:spacing w:line="267" w:lineRule="exact"/>
        <w:ind w:left="838"/>
      </w:pPr>
      <w:r>
        <w:t>附件及辅料应满足以下要求：</w:t>
      </w:r>
      <w:r>
        <w:t xml:space="preserve"> </w:t>
      </w:r>
    </w:p>
    <w:p w14:paraId="67B81709" w14:textId="77777777" w:rsidR="00A71EEF" w:rsidRDefault="00A71EEF">
      <w:pPr>
        <w:pStyle w:val="a3"/>
        <w:spacing w:before="1"/>
        <w:rPr>
          <w:sz w:val="18"/>
        </w:rPr>
      </w:pPr>
    </w:p>
    <w:p w14:paraId="1C58B081" w14:textId="77777777" w:rsidR="00A71EEF" w:rsidRDefault="0081115D">
      <w:pPr>
        <w:pStyle w:val="a3"/>
        <w:spacing w:line="446" w:lineRule="auto"/>
        <w:ind w:left="842" w:right="1434"/>
      </w:pPr>
      <w:r>
        <w:rPr>
          <w:spacing w:val="-10"/>
        </w:rPr>
        <w:t>a</w:t>
      </w:r>
      <w:r>
        <w:rPr>
          <w:spacing w:val="-10"/>
        </w:rPr>
        <w:t>）</w:t>
      </w:r>
      <w:r>
        <w:rPr>
          <w:spacing w:val="-13"/>
        </w:rPr>
        <w:t>扣、钩、拉链应便于连接和解脱，扣、钩、拉链的材质不应使用易熔、易燃、易变形的材</w:t>
      </w:r>
      <w:r>
        <w:rPr>
          <w:spacing w:val="-6"/>
        </w:rPr>
        <w:t>料，若必须使用时其表面需加阻燃面料掩襟；</w:t>
      </w:r>
      <w:r>
        <w:t xml:space="preserve"> </w:t>
      </w:r>
    </w:p>
    <w:p w14:paraId="1177FE7C" w14:textId="77777777" w:rsidR="00A71EEF" w:rsidRDefault="0081115D">
      <w:pPr>
        <w:pStyle w:val="a4"/>
        <w:numPr>
          <w:ilvl w:val="0"/>
          <w:numId w:val="5"/>
        </w:numPr>
        <w:tabs>
          <w:tab w:val="left" w:pos="1055"/>
        </w:tabs>
        <w:spacing w:line="267" w:lineRule="exact"/>
        <w:rPr>
          <w:sz w:val="21"/>
        </w:rPr>
      </w:pPr>
      <w:r>
        <w:rPr>
          <w:spacing w:val="-3"/>
          <w:sz w:val="21"/>
        </w:rPr>
        <w:t>金属部件应不与皮肤或内衣直接接触；</w:t>
      </w:r>
      <w:r>
        <w:rPr>
          <w:sz w:val="21"/>
        </w:rPr>
        <w:t xml:space="preserve"> </w:t>
      </w:r>
    </w:p>
    <w:p w14:paraId="436AA8AC" w14:textId="77777777" w:rsidR="00A71EEF" w:rsidRDefault="00A71EEF">
      <w:pPr>
        <w:pStyle w:val="a3"/>
        <w:spacing w:before="2"/>
        <w:rPr>
          <w:sz w:val="18"/>
        </w:rPr>
      </w:pPr>
    </w:p>
    <w:p w14:paraId="6DD5AF37" w14:textId="77777777" w:rsidR="00A71EEF" w:rsidRDefault="0081115D">
      <w:pPr>
        <w:pStyle w:val="a4"/>
        <w:numPr>
          <w:ilvl w:val="0"/>
          <w:numId w:val="5"/>
        </w:numPr>
        <w:tabs>
          <w:tab w:val="left" w:pos="1055"/>
        </w:tabs>
        <w:spacing w:line="446" w:lineRule="auto"/>
        <w:ind w:left="840" w:right="1709" w:firstLine="2"/>
        <w:rPr>
          <w:b/>
          <w:sz w:val="21"/>
        </w:rPr>
      </w:pPr>
      <w:r>
        <w:rPr>
          <w:spacing w:val="-3"/>
          <w:sz w:val="21"/>
        </w:rPr>
        <w:t>如使用阻燃橡筋类材料，应采用阻燃面料包覆；若必须使用里料时，里料不可熔融。</w:t>
      </w:r>
      <w:r>
        <w:rPr>
          <w:b/>
          <w:sz w:val="21"/>
        </w:rPr>
        <w:t>4.2</w:t>
      </w:r>
      <w:r>
        <w:rPr>
          <w:b/>
          <w:spacing w:val="-1"/>
          <w:sz w:val="21"/>
        </w:rPr>
        <w:t xml:space="preserve"> </w:t>
      </w:r>
      <w:r>
        <w:rPr>
          <w:spacing w:val="-3"/>
          <w:sz w:val="21"/>
        </w:rPr>
        <w:t>号型与结构</w:t>
      </w:r>
      <w:r>
        <w:rPr>
          <w:b/>
          <w:w w:val="99"/>
          <w:sz w:val="21"/>
        </w:rPr>
        <w:t xml:space="preserve"> </w:t>
      </w:r>
    </w:p>
    <w:p w14:paraId="39AFBDED" w14:textId="77777777" w:rsidR="00A71EEF" w:rsidRDefault="0081115D">
      <w:pPr>
        <w:spacing w:line="267" w:lineRule="exact"/>
        <w:ind w:left="840"/>
        <w:rPr>
          <w:sz w:val="21"/>
        </w:rPr>
      </w:pPr>
      <w:r>
        <w:rPr>
          <w:b/>
          <w:sz w:val="21"/>
        </w:rPr>
        <w:t xml:space="preserve">4.2.1 </w:t>
      </w:r>
      <w:r>
        <w:rPr>
          <w:sz w:val="21"/>
        </w:rPr>
        <w:t>森林防火服的款式设计</w:t>
      </w:r>
      <w:r>
        <w:rPr>
          <w:sz w:val="21"/>
        </w:rPr>
        <w:t xml:space="preserve"> </w:t>
      </w:r>
    </w:p>
    <w:p w14:paraId="26160B22" w14:textId="77777777" w:rsidR="00A71EEF" w:rsidRDefault="00A71EEF">
      <w:pPr>
        <w:pStyle w:val="a3"/>
        <w:spacing w:before="2"/>
        <w:rPr>
          <w:sz w:val="18"/>
        </w:rPr>
      </w:pPr>
    </w:p>
    <w:p w14:paraId="36B5EF9E" w14:textId="77777777" w:rsidR="00A71EEF" w:rsidRDefault="0081115D">
      <w:pPr>
        <w:spacing w:line="446" w:lineRule="auto"/>
        <w:ind w:left="840" w:right="8224" w:hanging="3"/>
        <w:rPr>
          <w:sz w:val="21"/>
        </w:rPr>
      </w:pPr>
      <w:r>
        <w:rPr>
          <w:spacing w:val="-12"/>
          <w:sz w:val="21"/>
        </w:rPr>
        <w:t>参考附录</w:t>
      </w:r>
      <w:r>
        <w:rPr>
          <w:spacing w:val="-12"/>
          <w:sz w:val="21"/>
        </w:rPr>
        <w:t xml:space="preserve"> </w:t>
      </w:r>
      <w:r>
        <w:rPr>
          <w:spacing w:val="-3"/>
          <w:sz w:val="21"/>
        </w:rPr>
        <w:t>A</w:t>
      </w:r>
      <w:r>
        <w:rPr>
          <w:spacing w:val="-3"/>
          <w:sz w:val="21"/>
        </w:rPr>
        <w:t>。</w:t>
      </w:r>
      <w:r>
        <w:rPr>
          <w:b/>
          <w:sz w:val="21"/>
        </w:rPr>
        <w:t>4.2.2</w:t>
      </w:r>
      <w:r>
        <w:rPr>
          <w:b/>
          <w:spacing w:val="5"/>
          <w:sz w:val="21"/>
        </w:rPr>
        <w:t xml:space="preserve"> </w:t>
      </w:r>
      <w:r>
        <w:rPr>
          <w:spacing w:val="-3"/>
          <w:sz w:val="21"/>
        </w:rPr>
        <w:t>成品号型</w:t>
      </w:r>
      <w:r>
        <w:rPr>
          <w:sz w:val="21"/>
        </w:rPr>
        <w:t xml:space="preserve"> </w:t>
      </w:r>
    </w:p>
    <w:p w14:paraId="7CB6592F" w14:textId="77777777" w:rsidR="00A71EEF" w:rsidRDefault="0081115D">
      <w:pPr>
        <w:pStyle w:val="a3"/>
        <w:spacing w:line="446" w:lineRule="auto"/>
        <w:ind w:left="840" w:right="1330" w:hanging="3"/>
      </w:pPr>
      <w:r>
        <w:rPr>
          <w:spacing w:val="-7"/>
        </w:rPr>
        <w:t>根据款式及使用要求，依据</w:t>
      </w:r>
      <w:r>
        <w:rPr>
          <w:spacing w:val="-7"/>
        </w:rPr>
        <w:t xml:space="preserve"> </w:t>
      </w:r>
      <w:r>
        <w:t>GB/T</w:t>
      </w:r>
      <w:r>
        <w:rPr>
          <w:spacing w:val="45"/>
        </w:rPr>
        <w:t xml:space="preserve"> </w:t>
      </w:r>
      <w:r>
        <w:t>13640</w:t>
      </w:r>
      <w:r>
        <w:rPr>
          <w:spacing w:val="-17"/>
        </w:rPr>
        <w:t xml:space="preserve"> </w:t>
      </w:r>
      <w:r>
        <w:rPr>
          <w:spacing w:val="-17"/>
        </w:rPr>
        <w:t>选定，超出</w:t>
      </w:r>
      <w:r>
        <w:rPr>
          <w:spacing w:val="-17"/>
        </w:rPr>
        <w:t xml:space="preserve"> </w:t>
      </w:r>
      <w:r>
        <w:t>GB/T</w:t>
      </w:r>
      <w:r>
        <w:rPr>
          <w:spacing w:val="45"/>
        </w:rPr>
        <w:t xml:space="preserve"> </w:t>
      </w:r>
      <w:r>
        <w:t>13640</w:t>
      </w:r>
      <w:r>
        <w:rPr>
          <w:spacing w:val="-17"/>
        </w:rPr>
        <w:t xml:space="preserve"> </w:t>
      </w:r>
      <w:r>
        <w:rPr>
          <w:spacing w:val="-17"/>
        </w:rPr>
        <w:t>范围可按照用户要求定制。</w:t>
      </w:r>
      <w:r>
        <w:rPr>
          <w:b/>
        </w:rPr>
        <w:t>4.2.3</w:t>
      </w:r>
      <w:r>
        <w:rPr>
          <w:b/>
          <w:spacing w:val="-1"/>
        </w:rPr>
        <w:t xml:space="preserve"> </w:t>
      </w:r>
      <w:r>
        <w:rPr>
          <w:spacing w:val="-3"/>
        </w:rPr>
        <w:t>成品结构</w:t>
      </w:r>
      <w:r>
        <w:t xml:space="preserve"> </w:t>
      </w:r>
    </w:p>
    <w:p w14:paraId="7A8869A4" w14:textId="77777777" w:rsidR="00A71EEF" w:rsidRDefault="0081115D">
      <w:pPr>
        <w:pStyle w:val="a3"/>
        <w:ind w:left="838"/>
      </w:pPr>
      <w:r>
        <w:t>4.3.2</w:t>
      </w:r>
      <w:r>
        <w:rPr>
          <w:spacing w:val="-3"/>
        </w:rPr>
        <w:t>.</w:t>
      </w:r>
      <w:r>
        <w:t>1</w:t>
      </w:r>
      <w:r>
        <w:rPr>
          <w:spacing w:val="-13"/>
        </w:rPr>
        <w:t xml:space="preserve"> </w:t>
      </w:r>
      <w:r>
        <w:rPr>
          <w:spacing w:val="-13"/>
        </w:rPr>
        <w:t>服装的结构要求：上衣</w:t>
      </w:r>
      <w:r>
        <w:rPr>
          <w:spacing w:val="-13"/>
        </w:rPr>
        <w:t>“</w:t>
      </w:r>
      <w:r>
        <w:rPr>
          <w:spacing w:val="-13"/>
        </w:rPr>
        <w:t>袖口紧、领口紧</w:t>
      </w:r>
      <w:r>
        <w:rPr>
          <w:spacing w:val="-13"/>
        </w:rPr>
        <w:t>”</w:t>
      </w:r>
      <w:r>
        <w:rPr>
          <w:spacing w:val="-13"/>
        </w:rPr>
        <w:t>，裤子</w:t>
      </w:r>
      <w:r>
        <w:rPr>
          <w:spacing w:val="-13"/>
        </w:rPr>
        <w:t>“</w:t>
      </w:r>
      <w:r>
        <w:rPr>
          <w:spacing w:val="-13"/>
        </w:rPr>
        <w:t>脚口紧</w:t>
      </w:r>
      <w:r>
        <w:rPr>
          <w:spacing w:val="-13"/>
        </w:rPr>
        <w:t>”</w:t>
      </w:r>
      <w:r>
        <w:rPr>
          <w:spacing w:val="-13"/>
        </w:rPr>
        <w:t>。</w:t>
      </w:r>
      <w:r>
        <w:t xml:space="preserve"> </w:t>
      </w:r>
    </w:p>
    <w:p w14:paraId="5E49A54C" w14:textId="77777777" w:rsidR="00A71EEF" w:rsidRDefault="00A71EEF">
      <w:pPr>
        <w:pStyle w:val="a3"/>
        <w:spacing w:before="10"/>
        <w:rPr>
          <w:sz w:val="17"/>
        </w:rPr>
      </w:pPr>
    </w:p>
    <w:p w14:paraId="4A574407" w14:textId="77777777" w:rsidR="00A71EEF" w:rsidRDefault="0081115D">
      <w:pPr>
        <w:pStyle w:val="a3"/>
        <w:spacing w:before="1"/>
        <w:ind w:left="838"/>
      </w:pPr>
      <w:r>
        <w:t xml:space="preserve">4.2.3.2 </w:t>
      </w:r>
      <w:r>
        <w:t>明衣袋应有袋盖，袋盖对称覆盖袋口，每边长度应大于袋口长度至少</w:t>
      </w:r>
      <w:r>
        <w:t xml:space="preserve"> 1cm</w:t>
      </w:r>
      <w:r>
        <w:t>。</w:t>
      </w:r>
      <w:r>
        <w:t xml:space="preserve"> </w:t>
      </w:r>
    </w:p>
    <w:p w14:paraId="10D99E35" w14:textId="77777777" w:rsidR="00A71EEF" w:rsidRDefault="00A71EEF">
      <w:pPr>
        <w:pStyle w:val="a3"/>
        <w:spacing w:before="1"/>
        <w:rPr>
          <w:sz w:val="18"/>
        </w:rPr>
      </w:pPr>
    </w:p>
    <w:p w14:paraId="07970CAE" w14:textId="77777777" w:rsidR="00A71EEF" w:rsidRDefault="0081115D">
      <w:pPr>
        <w:pStyle w:val="a3"/>
        <w:spacing w:line="446" w:lineRule="auto"/>
        <w:ind w:left="418" w:right="1433" w:firstLine="419"/>
      </w:pPr>
      <w:r>
        <w:t>4.3.3.3</w:t>
      </w:r>
      <w:r>
        <w:rPr>
          <w:spacing w:val="-5"/>
        </w:rPr>
        <w:t xml:space="preserve"> </w:t>
      </w:r>
      <w:r>
        <w:rPr>
          <w:spacing w:val="-5"/>
        </w:rPr>
        <w:t>服装的上衣长度应符合穿着时盖住裤子上端</w:t>
      </w:r>
      <w:r>
        <w:rPr>
          <w:spacing w:val="-5"/>
        </w:rPr>
        <w:t xml:space="preserve"> </w:t>
      </w:r>
      <w:r>
        <w:t>20cm</w:t>
      </w:r>
      <w:r>
        <w:rPr>
          <w:spacing w:val="-7"/>
        </w:rPr>
        <w:t xml:space="preserve"> </w:t>
      </w:r>
      <w:r>
        <w:rPr>
          <w:spacing w:val="-7"/>
        </w:rPr>
        <w:t>以上，裤子两侧口袋设计应避免</w:t>
      </w:r>
      <w:r>
        <w:rPr>
          <w:spacing w:val="-5"/>
        </w:rPr>
        <w:t>名省，褶向上倒。</w:t>
      </w:r>
      <w:r>
        <w:t xml:space="preserve"> </w:t>
      </w:r>
    </w:p>
    <w:p w14:paraId="48CE363E" w14:textId="77777777" w:rsidR="00A71EEF" w:rsidRDefault="0081115D">
      <w:pPr>
        <w:pStyle w:val="a4"/>
        <w:numPr>
          <w:ilvl w:val="3"/>
          <w:numId w:val="4"/>
        </w:numPr>
        <w:tabs>
          <w:tab w:val="left" w:pos="1576"/>
        </w:tabs>
        <w:spacing w:line="267" w:lineRule="exact"/>
        <w:rPr>
          <w:sz w:val="21"/>
        </w:rPr>
      </w:pPr>
      <w:r>
        <w:rPr>
          <w:spacing w:val="-3"/>
          <w:sz w:val="21"/>
        </w:rPr>
        <w:t>上衣两肩部可设置悬挂对讲机等设备专用绊带，其他部位不应再设绊带。</w:t>
      </w:r>
      <w:r>
        <w:rPr>
          <w:spacing w:val="-3"/>
          <w:sz w:val="21"/>
        </w:rPr>
        <w:t xml:space="preserve"> </w:t>
      </w:r>
    </w:p>
    <w:p w14:paraId="2A03C9DB" w14:textId="77777777" w:rsidR="00A71EEF" w:rsidRDefault="00A71EEF">
      <w:pPr>
        <w:pStyle w:val="a3"/>
        <w:spacing w:before="2"/>
        <w:rPr>
          <w:sz w:val="18"/>
        </w:rPr>
      </w:pPr>
    </w:p>
    <w:p w14:paraId="6E63AE86" w14:textId="77777777" w:rsidR="00A71EEF" w:rsidRDefault="0081115D">
      <w:pPr>
        <w:pStyle w:val="a4"/>
        <w:numPr>
          <w:ilvl w:val="3"/>
          <w:numId w:val="4"/>
        </w:numPr>
        <w:tabs>
          <w:tab w:val="left" w:pos="1576"/>
        </w:tabs>
        <w:spacing w:line="446" w:lineRule="auto"/>
        <w:ind w:left="418" w:right="1431" w:firstLine="419"/>
        <w:rPr>
          <w:sz w:val="21"/>
        </w:rPr>
      </w:pPr>
      <w:r>
        <w:rPr>
          <w:spacing w:val="-5"/>
          <w:sz w:val="21"/>
        </w:rPr>
        <w:t>森林防火服的胸围、袖口、裤腿膝盖以下应有反光带，保证</w:t>
      </w:r>
      <w:r>
        <w:rPr>
          <w:spacing w:val="-5"/>
          <w:sz w:val="21"/>
        </w:rPr>
        <w:t xml:space="preserve"> </w:t>
      </w:r>
      <w:r>
        <w:rPr>
          <w:sz w:val="21"/>
        </w:rPr>
        <w:t>360°</w:t>
      </w:r>
      <w:r>
        <w:rPr>
          <w:sz w:val="21"/>
        </w:rPr>
        <w:t>可视</w:t>
      </w:r>
      <w:r>
        <w:rPr>
          <w:spacing w:val="-3"/>
          <w:sz w:val="21"/>
        </w:rPr>
        <w:t>（也可按用</w:t>
      </w:r>
      <w:r>
        <w:rPr>
          <w:spacing w:val="-3"/>
          <w:sz w:val="21"/>
        </w:rPr>
        <w:t>户要求定制</w:t>
      </w:r>
      <w:r>
        <w:rPr>
          <w:spacing w:val="-106"/>
          <w:sz w:val="21"/>
        </w:rPr>
        <w:t>）</w:t>
      </w:r>
      <w:r>
        <w:rPr>
          <w:spacing w:val="-3"/>
          <w:sz w:val="21"/>
        </w:rPr>
        <w:t>，反光带的设置参考附录</w:t>
      </w:r>
      <w:r>
        <w:rPr>
          <w:spacing w:val="-53"/>
          <w:sz w:val="21"/>
        </w:rPr>
        <w:t xml:space="preserve"> </w:t>
      </w:r>
      <w:r>
        <w:rPr>
          <w:sz w:val="21"/>
        </w:rPr>
        <w:t>A</w:t>
      </w:r>
      <w:r>
        <w:rPr>
          <w:spacing w:val="-3"/>
          <w:sz w:val="21"/>
        </w:rPr>
        <w:t>。</w:t>
      </w:r>
      <w:r>
        <w:rPr>
          <w:sz w:val="21"/>
        </w:rPr>
        <w:t xml:space="preserve"> </w:t>
      </w:r>
    </w:p>
    <w:p w14:paraId="012B2DF7" w14:textId="77777777" w:rsidR="00A71EEF" w:rsidRDefault="0081115D">
      <w:pPr>
        <w:pStyle w:val="a4"/>
        <w:numPr>
          <w:ilvl w:val="1"/>
          <w:numId w:val="3"/>
        </w:numPr>
        <w:tabs>
          <w:tab w:val="left" w:pos="1160"/>
        </w:tabs>
        <w:spacing w:line="267" w:lineRule="exact"/>
        <w:rPr>
          <w:b/>
          <w:sz w:val="21"/>
        </w:rPr>
      </w:pPr>
      <w:r>
        <w:rPr>
          <w:spacing w:val="-3"/>
          <w:sz w:val="21"/>
        </w:rPr>
        <w:t>缝制</w:t>
      </w:r>
      <w:r>
        <w:rPr>
          <w:b/>
          <w:w w:val="99"/>
          <w:sz w:val="21"/>
        </w:rPr>
        <w:t xml:space="preserve"> </w:t>
      </w:r>
    </w:p>
    <w:p w14:paraId="708F03C4" w14:textId="77777777" w:rsidR="00A71EEF" w:rsidRDefault="00A71EEF">
      <w:pPr>
        <w:pStyle w:val="a3"/>
        <w:spacing w:before="2"/>
        <w:rPr>
          <w:b/>
          <w:sz w:val="18"/>
        </w:rPr>
      </w:pPr>
    </w:p>
    <w:p w14:paraId="39906865" w14:textId="77777777" w:rsidR="00A71EEF" w:rsidRDefault="0081115D">
      <w:pPr>
        <w:pStyle w:val="a3"/>
        <w:ind w:left="838"/>
      </w:pPr>
      <w:r>
        <w:t>森林防火服缝制工艺应符合</w:t>
      </w:r>
      <w:r>
        <w:t xml:space="preserve"> FZ/T 81007——2012 </w:t>
      </w:r>
      <w:r>
        <w:t>中</w:t>
      </w:r>
      <w:r>
        <w:t xml:space="preserve"> 3.9 </w:t>
      </w:r>
      <w:r>
        <w:t>的规定。</w:t>
      </w:r>
      <w:r>
        <w:t xml:space="preserve"> </w:t>
      </w:r>
    </w:p>
    <w:p w14:paraId="7401C92C" w14:textId="77777777" w:rsidR="00A71EEF" w:rsidRDefault="00A71EEF">
      <w:pPr>
        <w:sectPr w:rsidR="00A71EEF">
          <w:pgSz w:w="11910" w:h="16850"/>
          <w:pgMar w:top="1220" w:right="0" w:bottom="1420" w:left="1260" w:header="0" w:footer="1239" w:gutter="0"/>
          <w:cols w:space="720"/>
        </w:sectPr>
      </w:pPr>
    </w:p>
    <w:p w14:paraId="038F9F10" w14:textId="77777777" w:rsidR="00A71EEF" w:rsidRDefault="0081115D">
      <w:pPr>
        <w:pStyle w:val="a4"/>
        <w:numPr>
          <w:ilvl w:val="1"/>
          <w:numId w:val="3"/>
        </w:numPr>
        <w:tabs>
          <w:tab w:val="left" w:pos="1159"/>
        </w:tabs>
        <w:spacing w:before="47"/>
        <w:ind w:left="1158" w:hanging="319"/>
        <w:rPr>
          <w:b/>
          <w:sz w:val="21"/>
        </w:rPr>
      </w:pPr>
      <w:r>
        <w:rPr>
          <w:spacing w:val="-3"/>
          <w:sz w:val="21"/>
        </w:rPr>
        <w:t>外观</w:t>
      </w:r>
      <w:r>
        <w:rPr>
          <w:b/>
          <w:w w:val="99"/>
          <w:sz w:val="21"/>
        </w:rPr>
        <w:t xml:space="preserve"> </w:t>
      </w:r>
    </w:p>
    <w:p w14:paraId="37D5E8E1" w14:textId="77777777" w:rsidR="00A71EEF" w:rsidRDefault="00A71EEF">
      <w:pPr>
        <w:pStyle w:val="a3"/>
        <w:rPr>
          <w:b/>
          <w:sz w:val="18"/>
        </w:rPr>
      </w:pPr>
    </w:p>
    <w:p w14:paraId="2453BED4" w14:textId="77777777" w:rsidR="00A71EEF" w:rsidRDefault="0081115D">
      <w:pPr>
        <w:pStyle w:val="a4"/>
        <w:numPr>
          <w:ilvl w:val="2"/>
          <w:numId w:val="3"/>
        </w:numPr>
        <w:tabs>
          <w:tab w:val="left" w:pos="1370"/>
        </w:tabs>
        <w:ind w:hanging="530"/>
        <w:rPr>
          <w:sz w:val="21"/>
        </w:rPr>
      </w:pPr>
      <w:r>
        <w:rPr>
          <w:spacing w:val="-3"/>
          <w:sz w:val="21"/>
        </w:rPr>
        <w:t>森林防火服熨烫平展，定型充分，无烫黄和水渍，折迭端正，整洁美观。</w:t>
      </w:r>
      <w:r>
        <w:rPr>
          <w:spacing w:val="-3"/>
          <w:sz w:val="21"/>
        </w:rPr>
        <w:t xml:space="preserve"> </w:t>
      </w:r>
    </w:p>
    <w:p w14:paraId="3BCCA29B" w14:textId="77777777" w:rsidR="00A71EEF" w:rsidRDefault="00A71EEF">
      <w:pPr>
        <w:pStyle w:val="a3"/>
        <w:rPr>
          <w:sz w:val="18"/>
        </w:rPr>
      </w:pPr>
    </w:p>
    <w:p w14:paraId="3486FB1C" w14:textId="77777777" w:rsidR="00A71EEF" w:rsidRDefault="0081115D">
      <w:pPr>
        <w:pStyle w:val="a4"/>
        <w:numPr>
          <w:ilvl w:val="2"/>
          <w:numId w:val="3"/>
        </w:numPr>
        <w:tabs>
          <w:tab w:val="left" w:pos="1370"/>
        </w:tabs>
        <w:ind w:hanging="530"/>
        <w:rPr>
          <w:sz w:val="21"/>
        </w:rPr>
      </w:pPr>
      <w:r>
        <w:rPr>
          <w:spacing w:val="-3"/>
          <w:sz w:val="21"/>
        </w:rPr>
        <w:t>不应有对产品美观和牢固有影响的疵点、污渍、断经、断纬和破损。</w:t>
      </w:r>
      <w:r>
        <w:rPr>
          <w:spacing w:val="-3"/>
          <w:sz w:val="21"/>
        </w:rPr>
        <w:t xml:space="preserve"> </w:t>
      </w:r>
    </w:p>
    <w:p w14:paraId="395C431B" w14:textId="77777777" w:rsidR="00A71EEF" w:rsidRDefault="00A71EEF">
      <w:pPr>
        <w:pStyle w:val="a3"/>
        <w:spacing w:before="1"/>
        <w:rPr>
          <w:sz w:val="18"/>
        </w:rPr>
      </w:pPr>
    </w:p>
    <w:p w14:paraId="238725CC" w14:textId="77777777" w:rsidR="00A71EEF" w:rsidRDefault="0081115D">
      <w:pPr>
        <w:pStyle w:val="a4"/>
        <w:numPr>
          <w:ilvl w:val="1"/>
          <w:numId w:val="3"/>
        </w:numPr>
        <w:tabs>
          <w:tab w:val="left" w:pos="1159"/>
        </w:tabs>
        <w:spacing w:before="1"/>
        <w:ind w:left="1158" w:hanging="319"/>
        <w:rPr>
          <w:b/>
          <w:sz w:val="21"/>
        </w:rPr>
      </w:pPr>
      <w:r>
        <w:rPr>
          <w:spacing w:val="-3"/>
          <w:sz w:val="21"/>
        </w:rPr>
        <w:t>服装成品理化性能</w:t>
      </w:r>
      <w:r>
        <w:rPr>
          <w:b/>
          <w:w w:val="99"/>
          <w:sz w:val="21"/>
        </w:rPr>
        <w:t xml:space="preserve"> </w:t>
      </w:r>
    </w:p>
    <w:p w14:paraId="12C1C56D" w14:textId="77777777" w:rsidR="00A71EEF" w:rsidRDefault="00A71EEF">
      <w:pPr>
        <w:pStyle w:val="a3"/>
        <w:spacing w:before="12"/>
        <w:rPr>
          <w:b/>
          <w:sz w:val="17"/>
        </w:rPr>
      </w:pPr>
    </w:p>
    <w:p w14:paraId="2EBF908F" w14:textId="77777777" w:rsidR="00A71EEF" w:rsidRDefault="0081115D">
      <w:pPr>
        <w:pStyle w:val="a4"/>
        <w:numPr>
          <w:ilvl w:val="2"/>
          <w:numId w:val="3"/>
        </w:numPr>
        <w:tabs>
          <w:tab w:val="left" w:pos="1371"/>
        </w:tabs>
        <w:ind w:left="1370" w:hanging="531"/>
        <w:rPr>
          <w:sz w:val="21"/>
        </w:rPr>
      </w:pPr>
      <w:r>
        <w:rPr>
          <w:spacing w:val="-3"/>
          <w:sz w:val="21"/>
        </w:rPr>
        <w:t>成品水洗后的尺寸变化率</w:t>
      </w:r>
      <w:r>
        <w:rPr>
          <w:sz w:val="21"/>
        </w:rPr>
        <w:t xml:space="preserve"> </w:t>
      </w:r>
    </w:p>
    <w:p w14:paraId="06198D01" w14:textId="77777777" w:rsidR="00A71EEF" w:rsidRDefault="00A71EEF">
      <w:pPr>
        <w:pStyle w:val="a3"/>
        <w:spacing w:before="12"/>
        <w:rPr>
          <w:sz w:val="17"/>
        </w:rPr>
      </w:pPr>
    </w:p>
    <w:p w14:paraId="1D4304AE" w14:textId="77777777" w:rsidR="00A71EEF" w:rsidRDefault="0081115D">
      <w:pPr>
        <w:pStyle w:val="a3"/>
        <w:ind w:left="838"/>
      </w:pPr>
      <w:r>
        <w:t>成品水洗后的尺寸变化率按表</w:t>
      </w:r>
      <w:r>
        <w:t xml:space="preserve"> 3 </w:t>
      </w:r>
      <w:r>
        <w:t>规定。</w:t>
      </w:r>
      <w:r>
        <w:t xml:space="preserve"> </w:t>
      </w:r>
    </w:p>
    <w:p w14:paraId="2F174C39" w14:textId="77777777" w:rsidR="00A71EEF" w:rsidRDefault="00A71EEF">
      <w:pPr>
        <w:pStyle w:val="a3"/>
        <w:spacing w:before="2"/>
        <w:rPr>
          <w:sz w:val="18"/>
        </w:rPr>
      </w:pPr>
    </w:p>
    <w:p w14:paraId="2BD3E559" w14:textId="77777777" w:rsidR="00A71EEF" w:rsidRDefault="0081115D">
      <w:pPr>
        <w:pStyle w:val="6"/>
        <w:spacing w:after="40"/>
        <w:ind w:right="494"/>
        <w:jc w:val="center"/>
      </w:pPr>
      <w:r>
        <w:t>表</w:t>
      </w:r>
      <w:r>
        <w:t xml:space="preserve"> 3 </w:t>
      </w:r>
      <w:r>
        <w:t>成品水洗后的尺寸变化率</w:t>
      </w:r>
      <w:r>
        <w:rPr>
          <w:w w:val="99"/>
        </w:rPr>
        <w:t xml:space="preserve"> </w:t>
      </w: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2765"/>
        <w:gridCol w:w="2768"/>
      </w:tblGrid>
      <w:tr w:rsidR="00A71EEF" w14:paraId="2E86E88B" w14:textId="77777777">
        <w:trPr>
          <w:trHeight w:val="501"/>
        </w:trPr>
        <w:tc>
          <w:tcPr>
            <w:tcW w:w="2765" w:type="dxa"/>
          </w:tcPr>
          <w:p w14:paraId="7B125B79" w14:textId="77777777" w:rsidR="00A71EEF" w:rsidRDefault="00A71EEF">
            <w:pPr>
              <w:pStyle w:val="TableParagraph"/>
              <w:spacing w:before="11"/>
              <w:rPr>
                <w:b/>
                <w:sz w:val="14"/>
              </w:rPr>
            </w:pPr>
          </w:p>
          <w:p w14:paraId="0A4C307D" w14:textId="77777777" w:rsidR="00A71EEF" w:rsidRDefault="0081115D">
            <w:pPr>
              <w:pStyle w:val="TableParagraph"/>
              <w:spacing w:before="1"/>
              <w:ind w:left="942" w:right="410"/>
              <w:jc w:val="center"/>
              <w:rPr>
                <w:sz w:val="21"/>
              </w:rPr>
            </w:pPr>
            <w:r>
              <w:rPr>
                <w:sz w:val="21"/>
              </w:rPr>
              <w:t>部位名称</w:t>
            </w:r>
            <w:r>
              <w:rPr>
                <w:sz w:val="21"/>
              </w:rPr>
              <w:t xml:space="preserve"> </w:t>
            </w:r>
          </w:p>
        </w:tc>
        <w:tc>
          <w:tcPr>
            <w:tcW w:w="2765" w:type="dxa"/>
          </w:tcPr>
          <w:p w14:paraId="27ECE4E2" w14:textId="77777777" w:rsidR="00A71EEF" w:rsidRDefault="00A71EEF">
            <w:pPr>
              <w:pStyle w:val="TableParagraph"/>
              <w:spacing w:before="11"/>
              <w:rPr>
                <w:b/>
                <w:sz w:val="14"/>
              </w:rPr>
            </w:pPr>
          </w:p>
          <w:p w14:paraId="461571CA" w14:textId="77777777" w:rsidR="00A71EEF" w:rsidRDefault="0081115D">
            <w:pPr>
              <w:pStyle w:val="TableParagraph"/>
              <w:spacing w:before="1"/>
              <w:ind w:left="942" w:right="406"/>
              <w:jc w:val="center"/>
              <w:rPr>
                <w:sz w:val="21"/>
              </w:rPr>
            </w:pPr>
            <w:r>
              <w:rPr>
                <w:sz w:val="21"/>
              </w:rPr>
              <w:t>尺寸变化率</w:t>
            </w:r>
            <w:r>
              <w:rPr>
                <w:sz w:val="21"/>
              </w:rPr>
              <w:t xml:space="preserve">/% </w:t>
            </w:r>
          </w:p>
        </w:tc>
        <w:tc>
          <w:tcPr>
            <w:tcW w:w="2768" w:type="dxa"/>
          </w:tcPr>
          <w:p w14:paraId="3FBB3B5C" w14:textId="77777777" w:rsidR="00A71EEF" w:rsidRDefault="00A71EEF">
            <w:pPr>
              <w:pStyle w:val="TableParagraph"/>
              <w:spacing w:before="11"/>
              <w:rPr>
                <w:b/>
                <w:sz w:val="14"/>
              </w:rPr>
            </w:pPr>
          </w:p>
          <w:p w14:paraId="0CE0FE42" w14:textId="77777777" w:rsidR="00A71EEF" w:rsidRDefault="0081115D">
            <w:pPr>
              <w:pStyle w:val="TableParagraph"/>
              <w:spacing w:before="1"/>
              <w:ind w:left="943" w:right="410"/>
              <w:jc w:val="center"/>
              <w:rPr>
                <w:sz w:val="21"/>
              </w:rPr>
            </w:pPr>
            <w:r>
              <w:rPr>
                <w:sz w:val="21"/>
              </w:rPr>
              <w:t>备注</w:t>
            </w:r>
            <w:r>
              <w:rPr>
                <w:sz w:val="21"/>
              </w:rPr>
              <w:t xml:space="preserve"> </w:t>
            </w:r>
          </w:p>
        </w:tc>
      </w:tr>
      <w:tr w:rsidR="00A71EEF" w14:paraId="6AB0664D" w14:textId="77777777">
        <w:trPr>
          <w:trHeight w:val="498"/>
        </w:trPr>
        <w:tc>
          <w:tcPr>
            <w:tcW w:w="2765" w:type="dxa"/>
          </w:tcPr>
          <w:p w14:paraId="0893E9AD" w14:textId="77777777" w:rsidR="00A71EEF" w:rsidRDefault="00A71EEF">
            <w:pPr>
              <w:pStyle w:val="TableParagraph"/>
              <w:spacing w:before="11"/>
              <w:rPr>
                <w:b/>
                <w:sz w:val="14"/>
              </w:rPr>
            </w:pPr>
          </w:p>
          <w:p w14:paraId="2D7848C6" w14:textId="77777777" w:rsidR="00A71EEF" w:rsidRDefault="0081115D">
            <w:pPr>
              <w:pStyle w:val="TableParagraph"/>
              <w:ind w:left="942" w:right="408"/>
              <w:jc w:val="center"/>
              <w:rPr>
                <w:sz w:val="21"/>
              </w:rPr>
            </w:pPr>
            <w:r>
              <w:rPr>
                <w:sz w:val="21"/>
              </w:rPr>
              <w:t>领大</w:t>
            </w:r>
            <w:r>
              <w:rPr>
                <w:sz w:val="21"/>
              </w:rPr>
              <w:t xml:space="preserve"> </w:t>
            </w:r>
          </w:p>
        </w:tc>
        <w:tc>
          <w:tcPr>
            <w:tcW w:w="2765" w:type="dxa"/>
          </w:tcPr>
          <w:p w14:paraId="7A8C8CDF" w14:textId="77777777" w:rsidR="00A71EEF" w:rsidRDefault="00A71EEF">
            <w:pPr>
              <w:pStyle w:val="TableParagraph"/>
              <w:spacing w:before="11"/>
              <w:rPr>
                <w:b/>
                <w:sz w:val="14"/>
              </w:rPr>
            </w:pPr>
          </w:p>
          <w:p w14:paraId="7D054902" w14:textId="77777777" w:rsidR="00A71EEF" w:rsidRDefault="0081115D">
            <w:pPr>
              <w:pStyle w:val="TableParagraph"/>
              <w:ind w:left="942" w:right="406"/>
              <w:jc w:val="center"/>
              <w:rPr>
                <w:sz w:val="21"/>
              </w:rPr>
            </w:pPr>
            <w:r>
              <w:rPr>
                <w:sz w:val="21"/>
              </w:rPr>
              <w:t xml:space="preserve">≥-1.0 </w:t>
            </w:r>
          </w:p>
        </w:tc>
        <w:tc>
          <w:tcPr>
            <w:tcW w:w="2768" w:type="dxa"/>
          </w:tcPr>
          <w:p w14:paraId="4ECED79F" w14:textId="77777777" w:rsidR="00A71EEF" w:rsidRDefault="00A71EEF">
            <w:pPr>
              <w:pStyle w:val="TableParagraph"/>
              <w:spacing w:before="11"/>
              <w:rPr>
                <w:b/>
                <w:sz w:val="14"/>
              </w:rPr>
            </w:pPr>
          </w:p>
          <w:p w14:paraId="7032DF60" w14:textId="77777777" w:rsidR="00A71EEF" w:rsidRDefault="0081115D">
            <w:pPr>
              <w:pStyle w:val="TableParagraph"/>
              <w:ind w:left="943" w:right="407"/>
              <w:jc w:val="center"/>
              <w:rPr>
                <w:sz w:val="21"/>
              </w:rPr>
            </w:pPr>
            <w:r>
              <w:rPr>
                <w:sz w:val="21"/>
              </w:rPr>
              <w:t>只考核立领</w:t>
            </w:r>
            <w:r>
              <w:rPr>
                <w:sz w:val="21"/>
              </w:rPr>
              <w:t xml:space="preserve"> </w:t>
            </w:r>
          </w:p>
        </w:tc>
      </w:tr>
      <w:tr w:rsidR="00A71EEF" w14:paraId="1F441FFF" w14:textId="77777777">
        <w:trPr>
          <w:trHeight w:val="501"/>
        </w:trPr>
        <w:tc>
          <w:tcPr>
            <w:tcW w:w="2765" w:type="dxa"/>
          </w:tcPr>
          <w:p w14:paraId="0C517EB4" w14:textId="77777777" w:rsidR="00A71EEF" w:rsidRDefault="00A71EEF">
            <w:pPr>
              <w:pStyle w:val="TableParagraph"/>
              <w:spacing w:before="11"/>
              <w:rPr>
                <w:b/>
                <w:sz w:val="14"/>
              </w:rPr>
            </w:pPr>
          </w:p>
          <w:p w14:paraId="2D7673FE" w14:textId="77777777" w:rsidR="00A71EEF" w:rsidRDefault="0081115D">
            <w:pPr>
              <w:pStyle w:val="TableParagraph"/>
              <w:ind w:left="942" w:right="408"/>
              <w:jc w:val="center"/>
              <w:rPr>
                <w:sz w:val="21"/>
              </w:rPr>
            </w:pPr>
            <w:r>
              <w:rPr>
                <w:sz w:val="21"/>
              </w:rPr>
              <w:t>胸围</w:t>
            </w:r>
            <w:r>
              <w:rPr>
                <w:sz w:val="21"/>
              </w:rPr>
              <w:t xml:space="preserve"> </w:t>
            </w:r>
          </w:p>
        </w:tc>
        <w:tc>
          <w:tcPr>
            <w:tcW w:w="2765" w:type="dxa"/>
          </w:tcPr>
          <w:p w14:paraId="344C9E62" w14:textId="77777777" w:rsidR="00A71EEF" w:rsidRDefault="00A71EEF">
            <w:pPr>
              <w:pStyle w:val="TableParagraph"/>
              <w:spacing w:before="11"/>
              <w:rPr>
                <w:b/>
                <w:sz w:val="14"/>
              </w:rPr>
            </w:pPr>
          </w:p>
          <w:p w14:paraId="7A64D789" w14:textId="77777777" w:rsidR="00A71EEF" w:rsidRDefault="0081115D">
            <w:pPr>
              <w:pStyle w:val="TableParagraph"/>
              <w:ind w:left="942" w:right="406"/>
              <w:jc w:val="center"/>
              <w:rPr>
                <w:sz w:val="21"/>
              </w:rPr>
            </w:pPr>
            <w:r>
              <w:rPr>
                <w:sz w:val="21"/>
              </w:rPr>
              <w:t xml:space="preserve">≥-2.0 </w:t>
            </w:r>
          </w:p>
        </w:tc>
        <w:tc>
          <w:tcPr>
            <w:tcW w:w="2768" w:type="dxa"/>
          </w:tcPr>
          <w:p w14:paraId="09AD9CFB" w14:textId="77777777" w:rsidR="00A71EEF" w:rsidRDefault="00A71EEF">
            <w:pPr>
              <w:pStyle w:val="TableParagraph"/>
              <w:spacing w:before="11"/>
              <w:rPr>
                <w:b/>
                <w:sz w:val="14"/>
              </w:rPr>
            </w:pPr>
          </w:p>
          <w:p w14:paraId="646C068C" w14:textId="77777777" w:rsidR="00A71EEF" w:rsidRDefault="0081115D">
            <w:pPr>
              <w:pStyle w:val="TableParagraph"/>
              <w:ind w:left="943" w:right="410"/>
              <w:jc w:val="center"/>
              <w:rPr>
                <w:sz w:val="21"/>
              </w:rPr>
            </w:pPr>
            <w:r>
              <w:rPr>
                <w:sz w:val="21"/>
              </w:rPr>
              <w:t xml:space="preserve">—— </w:t>
            </w:r>
          </w:p>
        </w:tc>
      </w:tr>
      <w:tr w:rsidR="00A71EEF" w14:paraId="10CAC007" w14:textId="77777777">
        <w:trPr>
          <w:trHeight w:val="498"/>
        </w:trPr>
        <w:tc>
          <w:tcPr>
            <w:tcW w:w="2765" w:type="dxa"/>
          </w:tcPr>
          <w:p w14:paraId="138C4C23" w14:textId="77777777" w:rsidR="00A71EEF" w:rsidRDefault="00A71EEF">
            <w:pPr>
              <w:pStyle w:val="TableParagraph"/>
              <w:spacing w:before="11"/>
              <w:rPr>
                <w:b/>
                <w:sz w:val="14"/>
              </w:rPr>
            </w:pPr>
          </w:p>
          <w:p w14:paraId="08518DAB" w14:textId="77777777" w:rsidR="00A71EEF" w:rsidRDefault="0081115D">
            <w:pPr>
              <w:pStyle w:val="TableParagraph"/>
              <w:ind w:left="942" w:right="408"/>
              <w:jc w:val="center"/>
              <w:rPr>
                <w:sz w:val="21"/>
              </w:rPr>
            </w:pPr>
            <w:r>
              <w:rPr>
                <w:sz w:val="21"/>
              </w:rPr>
              <w:t>衣长</w:t>
            </w:r>
            <w:r>
              <w:rPr>
                <w:sz w:val="21"/>
              </w:rPr>
              <w:t xml:space="preserve"> </w:t>
            </w:r>
          </w:p>
        </w:tc>
        <w:tc>
          <w:tcPr>
            <w:tcW w:w="2765" w:type="dxa"/>
          </w:tcPr>
          <w:p w14:paraId="3BB4A061" w14:textId="77777777" w:rsidR="00A71EEF" w:rsidRDefault="00A71EEF">
            <w:pPr>
              <w:pStyle w:val="TableParagraph"/>
              <w:spacing w:before="11"/>
              <w:rPr>
                <w:b/>
                <w:sz w:val="14"/>
              </w:rPr>
            </w:pPr>
          </w:p>
          <w:p w14:paraId="1B79791D" w14:textId="77777777" w:rsidR="00A71EEF" w:rsidRDefault="0081115D">
            <w:pPr>
              <w:pStyle w:val="TableParagraph"/>
              <w:ind w:left="942" w:right="406"/>
              <w:jc w:val="center"/>
              <w:rPr>
                <w:sz w:val="21"/>
              </w:rPr>
            </w:pPr>
            <w:r>
              <w:rPr>
                <w:sz w:val="21"/>
              </w:rPr>
              <w:t xml:space="preserve">≥-2.5 </w:t>
            </w:r>
          </w:p>
        </w:tc>
        <w:tc>
          <w:tcPr>
            <w:tcW w:w="2768" w:type="dxa"/>
          </w:tcPr>
          <w:p w14:paraId="1E281924" w14:textId="77777777" w:rsidR="00A71EEF" w:rsidRDefault="00A71EEF">
            <w:pPr>
              <w:pStyle w:val="TableParagraph"/>
              <w:spacing w:before="11"/>
              <w:rPr>
                <w:b/>
                <w:sz w:val="14"/>
              </w:rPr>
            </w:pPr>
          </w:p>
          <w:p w14:paraId="0359381F" w14:textId="77777777" w:rsidR="00A71EEF" w:rsidRDefault="0081115D">
            <w:pPr>
              <w:pStyle w:val="TableParagraph"/>
              <w:ind w:left="943" w:right="410"/>
              <w:jc w:val="center"/>
              <w:rPr>
                <w:sz w:val="21"/>
              </w:rPr>
            </w:pPr>
            <w:r>
              <w:rPr>
                <w:sz w:val="21"/>
              </w:rPr>
              <w:t xml:space="preserve">—— </w:t>
            </w:r>
          </w:p>
        </w:tc>
      </w:tr>
      <w:tr w:rsidR="00A71EEF" w14:paraId="3B18CC39" w14:textId="77777777">
        <w:trPr>
          <w:trHeight w:val="501"/>
        </w:trPr>
        <w:tc>
          <w:tcPr>
            <w:tcW w:w="2765" w:type="dxa"/>
          </w:tcPr>
          <w:p w14:paraId="4D3579F3" w14:textId="77777777" w:rsidR="00A71EEF" w:rsidRDefault="00A71EEF">
            <w:pPr>
              <w:pStyle w:val="TableParagraph"/>
              <w:spacing w:before="11"/>
              <w:rPr>
                <w:b/>
                <w:sz w:val="14"/>
              </w:rPr>
            </w:pPr>
          </w:p>
          <w:p w14:paraId="17943BF7" w14:textId="77777777" w:rsidR="00A71EEF" w:rsidRDefault="0081115D">
            <w:pPr>
              <w:pStyle w:val="TableParagraph"/>
              <w:ind w:left="942" w:right="408"/>
              <w:jc w:val="center"/>
              <w:rPr>
                <w:sz w:val="21"/>
              </w:rPr>
            </w:pPr>
            <w:r>
              <w:rPr>
                <w:sz w:val="21"/>
              </w:rPr>
              <w:t>腰围</w:t>
            </w:r>
            <w:r>
              <w:rPr>
                <w:sz w:val="21"/>
              </w:rPr>
              <w:t xml:space="preserve"> </w:t>
            </w:r>
          </w:p>
        </w:tc>
        <w:tc>
          <w:tcPr>
            <w:tcW w:w="2765" w:type="dxa"/>
          </w:tcPr>
          <w:p w14:paraId="2CCD40A8" w14:textId="77777777" w:rsidR="00A71EEF" w:rsidRDefault="00A71EEF">
            <w:pPr>
              <w:pStyle w:val="TableParagraph"/>
              <w:spacing w:before="11"/>
              <w:rPr>
                <w:b/>
                <w:sz w:val="14"/>
              </w:rPr>
            </w:pPr>
          </w:p>
          <w:p w14:paraId="59364346" w14:textId="77777777" w:rsidR="00A71EEF" w:rsidRDefault="0081115D">
            <w:pPr>
              <w:pStyle w:val="TableParagraph"/>
              <w:ind w:left="942" w:right="406"/>
              <w:jc w:val="center"/>
              <w:rPr>
                <w:sz w:val="21"/>
              </w:rPr>
            </w:pPr>
            <w:r>
              <w:rPr>
                <w:sz w:val="21"/>
              </w:rPr>
              <w:t xml:space="preserve">≥-1.0 </w:t>
            </w:r>
          </w:p>
        </w:tc>
        <w:tc>
          <w:tcPr>
            <w:tcW w:w="2768" w:type="dxa"/>
          </w:tcPr>
          <w:p w14:paraId="11BFB0E5" w14:textId="77777777" w:rsidR="00A71EEF" w:rsidRDefault="00A71EEF">
            <w:pPr>
              <w:pStyle w:val="TableParagraph"/>
              <w:spacing w:before="11"/>
              <w:rPr>
                <w:b/>
                <w:sz w:val="14"/>
              </w:rPr>
            </w:pPr>
          </w:p>
          <w:p w14:paraId="01F1FA37" w14:textId="77777777" w:rsidR="00A71EEF" w:rsidRDefault="0081115D">
            <w:pPr>
              <w:pStyle w:val="TableParagraph"/>
              <w:ind w:left="943" w:right="410"/>
              <w:jc w:val="center"/>
              <w:rPr>
                <w:sz w:val="21"/>
              </w:rPr>
            </w:pPr>
            <w:r>
              <w:rPr>
                <w:sz w:val="21"/>
              </w:rPr>
              <w:t xml:space="preserve">—— </w:t>
            </w:r>
          </w:p>
        </w:tc>
      </w:tr>
      <w:tr w:rsidR="00A71EEF" w14:paraId="5DDBFF2C" w14:textId="77777777">
        <w:trPr>
          <w:trHeight w:val="498"/>
        </w:trPr>
        <w:tc>
          <w:tcPr>
            <w:tcW w:w="2765" w:type="dxa"/>
          </w:tcPr>
          <w:p w14:paraId="415F820C" w14:textId="77777777" w:rsidR="00A71EEF" w:rsidRDefault="00A71EEF">
            <w:pPr>
              <w:pStyle w:val="TableParagraph"/>
              <w:spacing w:before="11"/>
              <w:rPr>
                <w:b/>
                <w:sz w:val="14"/>
              </w:rPr>
            </w:pPr>
          </w:p>
          <w:p w14:paraId="080CE0F4" w14:textId="77777777" w:rsidR="00A71EEF" w:rsidRDefault="0081115D">
            <w:pPr>
              <w:pStyle w:val="TableParagraph"/>
              <w:ind w:left="942" w:right="408"/>
              <w:jc w:val="center"/>
              <w:rPr>
                <w:sz w:val="21"/>
              </w:rPr>
            </w:pPr>
            <w:r>
              <w:rPr>
                <w:sz w:val="21"/>
              </w:rPr>
              <w:t>裤长</w:t>
            </w:r>
            <w:r>
              <w:rPr>
                <w:sz w:val="21"/>
              </w:rPr>
              <w:t xml:space="preserve"> </w:t>
            </w:r>
          </w:p>
        </w:tc>
        <w:tc>
          <w:tcPr>
            <w:tcW w:w="2765" w:type="dxa"/>
          </w:tcPr>
          <w:p w14:paraId="711E94E7" w14:textId="77777777" w:rsidR="00A71EEF" w:rsidRDefault="00A71EEF">
            <w:pPr>
              <w:pStyle w:val="TableParagraph"/>
              <w:spacing w:before="11"/>
              <w:rPr>
                <w:b/>
                <w:sz w:val="14"/>
              </w:rPr>
            </w:pPr>
          </w:p>
          <w:p w14:paraId="3D435ED3" w14:textId="77777777" w:rsidR="00A71EEF" w:rsidRDefault="0081115D">
            <w:pPr>
              <w:pStyle w:val="TableParagraph"/>
              <w:ind w:left="942" w:right="406"/>
              <w:jc w:val="center"/>
              <w:rPr>
                <w:sz w:val="21"/>
              </w:rPr>
            </w:pPr>
            <w:r>
              <w:rPr>
                <w:sz w:val="21"/>
              </w:rPr>
              <w:t xml:space="preserve">≥-2.5 </w:t>
            </w:r>
          </w:p>
        </w:tc>
        <w:tc>
          <w:tcPr>
            <w:tcW w:w="2768" w:type="dxa"/>
          </w:tcPr>
          <w:p w14:paraId="5C9996B3" w14:textId="77777777" w:rsidR="00A71EEF" w:rsidRDefault="00A71EEF">
            <w:pPr>
              <w:pStyle w:val="TableParagraph"/>
              <w:spacing w:before="11"/>
              <w:rPr>
                <w:b/>
                <w:sz w:val="14"/>
              </w:rPr>
            </w:pPr>
          </w:p>
          <w:p w14:paraId="0B3726E6" w14:textId="77777777" w:rsidR="00A71EEF" w:rsidRDefault="0081115D">
            <w:pPr>
              <w:pStyle w:val="TableParagraph"/>
              <w:ind w:left="943" w:right="410"/>
              <w:jc w:val="center"/>
              <w:rPr>
                <w:sz w:val="21"/>
              </w:rPr>
            </w:pPr>
            <w:r>
              <w:rPr>
                <w:sz w:val="21"/>
              </w:rPr>
              <w:t xml:space="preserve">—— </w:t>
            </w:r>
          </w:p>
        </w:tc>
      </w:tr>
    </w:tbl>
    <w:p w14:paraId="5BD92EF9" w14:textId="77777777" w:rsidR="00A71EEF" w:rsidRDefault="00A71EEF">
      <w:pPr>
        <w:pStyle w:val="a3"/>
        <w:spacing w:before="11"/>
        <w:rPr>
          <w:b/>
          <w:sz w:val="14"/>
        </w:rPr>
      </w:pPr>
    </w:p>
    <w:p w14:paraId="35EBE731" w14:textId="77777777" w:rsidR="00A71EEF" w:rsidRDefault="0081115D">
      <w:pPr>
        <w:pStyle w:val="a4"/>
        <w:numPr>
          <w:ilvl w:val="2"/>
          <w:numId w:val="3"/>
        </w:numPr>
        <w:tabs>
          <w:tab w:val="left" w:pos="1370"/>
        </w:tabs>
        <w:spacing w:before="1"/>
        <w:ind w:hanging="530"/>
        <w:rPr>
          <w:sz w:val="21"/>
        </w:rPr>
      </w:pPr>
      <w:r>
        <w:rPr>
          <w:spacing w:val="-3"/>
          <w:sz w:val="21"/>
        </w:rPr>
        <w:t>接缝强力</w:t>
      </w:r>
      <w:r>
        <w:rPr>
          <w:sz w:val="21"/>
        </w:rPr>
        <w:t xml:space="preserve"> </w:t>
      </w:r>
    </w:p>
    <w:p w14:paraId="36110962" w14:textId="77777777" w:rsidR="00A71EEF" w:rsidRDefault="00A71EEF">
      <w:pPr>
        <w:pStyle w:val="a3"/>
        <w:spacing w:before="1"/>
        <w:rPr>
          <w:sz w:val="18"/>
        </w:rPr>
      </w:pPr>
    </w:p>
    <w:p w14:paraId="46A1D27D" w14:textId="77777777" w:rsidR="00A71EEF" w:rsidRDefault="0081115D">
      <w:pPr>
        <w:pStyle w:val="a3"/>
        <w:ind w:left="838"/>
      </w:pPr>
      <w:r>
        <w:t>成品的接缝强力应达到一下要求：</w:t>
      </w:r>
      <w:r>
        <w:t xml:space="preserve"> </w:t>
      </w:r>
    </w:p>
    <w:p w14:paraId="4914CFBD" w14:textId="77777777" w:rsidR="00A71EEF" w:rsidRDefault="00A71EEF">
      <w:pPr>
        <w:pStyle w:val="a3"/>
        <w:rPr>
          <w:sz w:val="18"/>
        </w:rPr>
      </w:pPr>
    </w:p>
    <w:p w14:paraId="3E7266B1" w14:textId="77777777" w:rsidR="00A71EEF" w:rsidRDefault="0081115D">
      <w:pPr>
        <w:pStyle w:val="a3"/>
        <w:spacing w:line="446" w:lineRule="auto"/>
        <w:ind w:left="838" w:right="5447"/>
      </w:pPr>
      <w:r>
        <w:t>a)</w:t>
      </w:r>
      <w:r>
        <w:t>裤后裆接缝和肩接缝断裂强力不小于</w:t>
      </w:r>
      <w:r>
        <w:t xml:space="preserve"> 650N</w:t>
      </w:r>
      <w:r>
        <w:t>。</w:t>
      </w:r>
      <w:r>
        <w:t>b)</w:t>
      </w:r>
      <w:r>
        <w:t>单衣片接缝断裂能力不小于</w:t>
      </w:r>
      <w:r>
        <w:t xml:space="preserve"> 200N</w:t>
      </w:r>
      <w:r>
        <w:t>。</w:t>
      </w:r>
      <w:r>
        <w:t xml:space="preserve"> </w:t>
      </w:r>
    </w:p>
    <w:p w14:paraId="45DA76C2" w14:textId="77777777" w:rsidR="00A71EEF" w:rsidRDefault="0081115D">
      <w:pPr>
        <w:pStyle w:val="4"/>
        <w:spacing w:line="277" w:lineRule="exact"/>
      </w:pPr>
      <w:r>
        <w:t xml:space="preserve">5 </w:t>
      </w:r>
      <w:r>
        <w:t>试验方案</w:t>
      </w:r>
      <w:r>
        <w:rPr>
          <w:w w:val="99"/>
        </w:rPr>
        <w:t xml:space="preserve"> </w:t>
      </w:r>
    </w:p>
    <w:p w14:paraId="690ABDE0" w14:textId="77777777" w:rsidR="00A71EEF" w:rsidRDefault="00A71EEF">
      <w:pPr>
        <w:pStyle w:val="a3"/>
        <w:spacing w:before="4"/>
        <w:rPr>
          <w:b/>
          <w:sz w:val="17"/>
        </w:rPr>
      </w:pPr>
    </w:p>
    <w:p w14:paraId="5C232C90" w14:textId="77777777" w:rsidR="00A71EEF" w:rsidRDefault="0081115D">
      <w:pPr>
        <w:pStyle w:val="a4"/>
        <w:numPr>
          <w:ilvl w:val="1"/>
          <w:numId w:val="2"/>
        </w:numPr>
        <w:tabs>
          <w:tab w:val="left" w:pos="1159"/>
        </w:tabs>
        <w:ind w:hanging="319"/>
        <w:rPr>
          <w:sz w:val="21"/>
        </w:rPr>
      </w:pPr>
      <w:r>
        <w:rPr>
          <w:spacing w:val="-8"/>
          <w:sz w:val="21"/>
        </w:rPr>
        <w:t>面料的阻燃性能测定按</w:t>
      </w:r>
      <w:r>
        <w:rPr>
          <w:spacing w:val="-8"/>
          <w:sz w:val="21"/>
        </w:rPr>
        <w:t xml:space="preserve"> </w:t>
      </w:r>
      <w:r>
        <w:rPr>
          <w:sz w:val="21"/>
        </w:rPr>
        <w:t>GB/T</w:t>
      </w:r>
      <w:r>
        <w:rPr>
          <w:spacing w:val="1"/>
          <w:sz w:val="21"/>
        </w:rPr>
        <w:t xml:space="preserve"> </w:t>
      </w:r>
      <w:r>
        <w:rPr>
          <w:sz w:val="21"/>
        </w:rPr>
        <w:t>5455</w:t>
      </w:r>
      <w:r>
        <w:rPr>
          <w:spacing w:val="-11"/>
          <w:sz w:val="21"/>
        </w:rPr>
        <w:t xml:space="preserve"> </w:t>
      </w:r>
      <w:r>
        <w:rPr>
          <w:spacing w:val="-11"/>
          <w:sz w:val="21"/>
        </w:rPr>
        <w:t>规定执行。</w:t>
      </w:r>
      <w:r>
        <w:rPr>
          <w:sz w:val="21"/>
        </w:rPr>
        <w:t xml:space="preserve"> </w:t>
      </w:r>
    </w:p>
    <w:p w14:paraId="4C71899F" w14:textId="77777777" w:rsidR="00A71EEF" w:rsidRDefault="00A71EEF">
      <w:pPr>
        <w:pStyle w:val="a3"/>
        <w:rPr>
          <w:sz w:val="18"/>
        </w:rPr>
      </w:pPr>
    </w:p>
    <w:p w14:paraId="3AB97586" w14:textId="77777777" w:rsidR="00A71EEF" w:rsidRDefault="0081115D">
      <w:pPr>
        <w:pStyle w:val="a4"/>
        <w:numPr>
          <w:ilvl w:val="1"/>
          <w:numId w:val="2"/>
        </w:numPr>
        <w:tabs>
          <w:tab w:val="left" w:pos="1159"/>
        </w:tabs>
        <w:ind w:hanging="319"/>
        <w:rPr>
          <w:sz w:val="21"/>
        </w:rPr>
      </w:pPr>
      <w:r>
        <w:rPr>
          <w:spacing w:val="-8"/>
          <w:sz w:val="21"/>
        </w:rPr>
        <w:t>面料的热防护系数测定按</w:t>
      </w:r>
      <w:r>
        <w:rPr>
          <w:spacing w:val="-8"/>
          <w:sz w:val="21"/>
        </w:rPr>
        <w:t xml:space="preserve"> </w:t>
      </w:r>
      <w:r>
        <w:rPr>
          <w:sz w:val="21"/>
        </w:rPr>
        <w:t>GB8965.1——2009</w:t>
      </w:r>
      <w:r>
        <w:rPr>
          <w:spacing w:val="-23"/>
          <w:sz w:val="21"/>
        </w:rPr>
        <w:t xml:space="preserve"> </w:t>
      </w:r>
      <w:r>
        <w:rPr>
          <w:spacing w:val="-23"/>
          <w:sz w:val="21"/>
        </w:rPr>
        <w:t>中附录</w:t>
      </w:r>
      <w:r>
        <w:rPr>
          <w:spacing w:val="-23"/>
          <w:sz w:val="21"/>
        </w:rPr>
        <w:t xml:space="preserve"> </w:t>
      </w:r>
      <w:r>
        <w:rPr>
          <w:sz w:val="21"/>
        </w:rPr>
        <w:t>A</w:t>
      </w:r>
      <w:r>
        <w:rPr>
          <w:spacing w:val="-12"/>
          <w:sz w:val="21"/>
        </w:rPr>
        <w:t xml:space="preserve"> </w:t>
      </w:r>
      <w:r>
        <w:rPr>
          <w:spacing w:val="-12"/>
          <w:sz w:val="21"/>
        </w:rPr>
        <w:t>规定执行。</w:t>
      </w:r>
      <w:r>
        <w:rPr>
          <w:sz w:val="21"/>
        </w:rPr>
        <w:t xml:space="preserve"> </w:t>
      </w:r>
    </w:p>
    <w:p w14:paraId="77DE6A92" w14:textId="77777777" w:rsidR="00A71EEF" w:rsidRDefault="00A71EEF">
      <w:pPr>
        <w:pStyle w:val="a3"/>
        <w:spacing w:before="2"/>
        <w:rPr>
          <w:sz w:val="18"/>
        </w:rPr>
      </w:pPr>
    </w:p>
    <w:p w14:paraId="2AAB5B86" w14:textId="77777777" w:rsidR="00A71EEF" w:rsidRDefault="0081115D">
      <w:pPr>
        <w:pStyle w:val="a4"/>
        <w:numPr>
          <w:ilvl w:val="1"/>
          <w:numId w:val="2"/>
        </w:numPr>
        <w:tabs>
          <w:tab w:val="left" w:pos="1160"/>
        </w:tabs>
        <w:ind w:left="1159" w:hanging="320"/>
        <w:rPr>
          <w:sz w:val="21"/>
        </w:rPr>
      </w:pPr>
      <w:r>
        <w:rPr>
          <w:spacing w:val="-8"/>
          <w:sz w:val="21"/>
        </w:rPr>
        <w:t>面料的断裂强力试验按</w:t>
      </w:r>
      <w:r>
        <w:rPr>
          <w:spacing w:val="-8"/>
          <w:sz w:val="21"/>
        </w:rPr>
        <w:t xml:space="preserve"> </w:t>
      </w:r>
      <w:r>
        <w:rPr>
          <w:sz w:val="21"/>
        </w:rPr>
        <w:t>GB/T3923.1</w:t>
      </w:r>
      <w:r>
        <w:rPr>
          <w:spacing w:val="-12"/>
          <w:sz w:val="21"/>
        </w:rPr>
        <w:t xml:space="preserve"> </w:t>
      </w:r>
      <w:r>
        <w:rPr>
          <w:spacing w:val="-12"/>
          <w:sz w:val="21"/>
        </w:rPr>
        <w:t>规定执行。</w:t>
      </w:r>
      <w:r>
        <w:rPr>
          <w:sz w:val="21"/>
        </w:rPr>
        <w:t xml:space="preserve"> </w:t>
      </w:r>
    </w:p>
    <w:p w14:paraId="0AE30085" w14:textId="77777777" w:rsidR="00A71EEF" w:rsidRDefault="00A71EEF">
      <w:pPr>
        <w:pStyle w:val="a3"/>
        <w:spacing w:before="12"/>
        <w:rPr>
          <w:sz w:val="17"/>
        </w:rPr>
      </w:pPr>
    </w:p>
    <w:p w14:paraId="4197A3D1" w14:textId="77777777" w:rsidR="00A71EEF" w:rsidRDefault="0081115D">
      <w:pPr>
        <w:pStyle w:val="a4"/>
        <w:numPr>
          <w:ilvl w:val="1"/>
          <w:numId w:val="2"/>
        </w:numPr>
        <w:tabs>
          <w:tab w:val="left" w:pos="1160"/>
        </w:tabs>
        <w:ind w:left="1159" w:hanging="320"/>
        <w:rPr>
          <w:sz w:val="21"/>
        </w:rPr>
      </w:pPr>
      <w:r>
        <w:rPr>
          <w:spacing w:val="-8"/>
          <w:sz w:val="21"/>
        </w:rPr>
        <w:t>面料的断裂强力试验按</w:t>
      </w:r>
      <w:r>
        <w:rPr>
          <w:spacing w:val="-8"/>
          <w:sz w:val="21"/>
        </w:rPr>
        <w:t xml:space="preserve"> </w:t>
      </w:r>
      <w:r>
        <w:rPr>
          <w:sz w:val="21"/>
        </w:rPr>
        <w:t>GB/T</w:t>
      </w:r>
      <w:r>
        <w:rPr>
          <w:spacing w:val="1"/>
          <w:sz w:val="21"/>
        </w:rPr>
        <w:t xml:space="preserve"> </w:t>
      </w:r>
      <w:r>
        <w:rPr>
          <w:sz w:val="21"/>
        </w:rPr>
        <w:t>3917.3</w:t>
      </w:r>
      <w:r>
        <w:rPr>
          <w:spacing w:val="-11"/>
          <w:sz w:val="21"/>
        </w:rPr>
        <w:t xml:space="preserve"> </w:t>
      </w:r>
      <w:r>
        <w:rPr>
          <w:spacing w:val="-11"/>
          <w:sz w:val="21"/>
        </w:rPr>
        <w:t>规定执行。</w:t>
      </w:r>
      <w:r>
        <w:rPr>
          <w:spacing w:val="-11"/>
          <w:sz w:val="21"/>
        </w:rPr>
        <w:t xml:space="preserve"> </w:t>
      </w:r>
    </w:p>
    <w:p w14:paraId="717456EC" w14:textId="77777777" w:rsidR="00A71EEF" w:rsidRDefault="00A71EEF">
      <w:pPr>
        <w:pStyle w:val="a3"/>
        <w:spacing w:before="12"/>
        <w:rPr>
          <w:sz w:val="17"/>
        </w:rPr>
      </w:pPr>
    </w:p>
    <w:p w14:paraId="17379F50" w14:textId="77777777" w:rsidR="00A71EEF" w:rsidRDefault="0081115D">
      <w:pPr>
        <w:pStyle w:val="a4"/>
        <w:numPr>
          <w:ilvl w:val="1"/>
          <w:numId w:val="2"/>
        </w:numPr>
        <w:tabs>
          <w:tab w:val="left" w:pos="1160"/>
        </w:tabs>
        <w:spacing w:before="1"/>
        <w:ind w:left="1159" w:hanging="320"/>
        <w:rPr>
          <w:sz w:val="21"/>
        </w:rPr>
      </w:pPr>
      <w:r>
        <w:rPr>
          <w:spacing w:val="-4"/>
          <w:sz w:val="21"/>
        </w:rPr>
        <w:t>面料的阻燃性能、隔热性能、断裂强力、撕破强力试验前洗涤程序按</w:t>
      </w:r>
      <w:r>
        <w:rPr>
          <w:spacing w:val="-4"/>
          <w:sz w:val="21"/>
        </w:rPr>
        <w:t xml:space="preserve"> </w:t>
      </w:r>
      <w:r>
        <w:rPr>
          <w:sz w:val="21"/>
        </w:rPr>
        <w:t>GB/T</w:t>
      </w:r>
      <w:r>
        <w:rPr>
          <w:spacing w:val="55"/>
          <w:sz w:val="21"/>
        </w:rPr>
        <w:t xml:space="preserve"> </w:t>
      </w:r>
      <w:r>
        <w:rPr>
          <w:sz w:val="21"/>
        </w:rPr>
        <w:t>17596——</w:t>
      </w:r>
    </w:p>
    <w:p w14:paraId="4BE7720A" w14:textId="77777777" w:rsidR="00A71EEF" w:rsidRDefault="00A71EEF">
      <w:pPr>
        <w:pStyle w:val="a3"/>
        <w:spacing w:before="1"/>
        <w:rPr>
          <w:sz w:val="18"/>
        </w:rPr>
      </w:pPr>
    </w:p>
    <w:p w14:paraId="090EC965" w14:textId="77777777" w:rsidR="00A71EEF" w:rsidRDefault="0081115D">
      <w:pPr>
        <w:pStyle w:val="a3"/>
        <w:spacing w:line="446" w:lineRule="auto"/>
        <w:ind w:left="418" w:right="1433"/>
      </w:pPr>
      <w:r>
        <w:t>1998</w:t>
      </w:r>
      <w:r>
        <w:rPr>
          <w:spacing w:val="-10"/>
        </w:rPr>
        <w:t xml:space="preserve"> </w:t>
      </w:r>
      <w:r>
        <w:rPr>
          <w:spacing w:val="-10"/>
        </w:rPr>
        <w:t>中</w:t>
      </w:r>
      <w:r>
        <w:rPr>
          <w:spacing w:val="-10"/>
        </w:rPr>
        <w:t>“</w:t>
      </w:r>
      <w:r>
        <w:rPr>
          <w:spacing w:val="-10"/>
        </w:rPr>
        <w:t>自动洗衣机</w:t>
      </w:r>
      <w:r>
        <w:t>（</w:t>
      </w:r>
      <w:r>
        <w:t>A</w:t>
      </w:r>
      <w:r>
        <w:rPr>
          <w:spacing w:val="-25"/>
        </w:rPr>
        <w:t xml:space="preserve"> </w:t>
      </w:r>
      <w:r>
        <w:rPr>
          <w:spacing w:val="-25"/>
        </w:rPr>
        <w:t>型</w:t>
      </w:r>
      <w:r>
        <w:rPr>
          <w:spacing w:val="-8"/>
        </w:rPr>
        <w:t>）</w:t>
      </w:r>
      <w:r>
        <w:rPr>
          <w:spacing w:val="-9"/>
        </w:rPr>
        <w:t>缓和洗衣程序</w:t>
      </w:r>
      <w:r>
        <w:rPr>
          <w:spacing w:val="-9"/>
        </w:rPr>
        <w:t>”</w:t>
      </w:r>
      <w:r>
        <w:rPr>
          <w:spacing w:val="-9"/>
        </w:rPr>
        <w:t>执行，详见表</w:t>
      </w:r>
      <w:r>
        <w:rPr>
          <w:spacing w:val="-9"/>
        </w:rPr>
        <w:t xml:space="preserve"> </w:t>
      </w:r>
      <w:r>
        <w:t>1</w:t>
      </w:r>
      <w:r>
        <w:rPr>
          <w:spacing w:val="-15"/>
        </w:rPr>
        <w:t xml:space="preserve"> </w:t>
      </w:r>
      <w:r>
        <w:rPr>
          <w:spacing w:val="-15"/>
        </w:rPr>
        <w:t>段。洗衣粉按</w:t>
      </w:r>
      <w:r>
        <w:rPr>
          <w:spacing w:val="-15"/>
        </w:rPr>
        <w:t xml:space="preserve"> </w:t>
      </w:r>
      <w:r>
        <w:t>GB/T13171.2</w:t>
      </w:r>
      <w:r>
        <w:rPr>
          <w:spacing w:val="-13"/>
        </w:rPr>
        <w:t xml:space="preserve"> </w:t>
      </w:r>
      <w:r>
        <w:rPr>
          <w:spacing w:val="-13"/>
        </w:rPr>
        <w:t>的规定</w:t>
      </w:r>
      <w:r>
        <w:rPr>
          <w:spacing w:val="-10"/>
        </w:rPr>
        <w:t>选择。</w:t>
      </w:r>
      <w:r>
        <w:t xml:space="preserve"> </w:t>
      </w:r>
    </w:p>
    <w:p w14:paraId="1750E06A" w14:textId="77777777" w:rsidR="00A71EEF" w:rsidRDefault="0081115D">
      <w:pPr>
        <w:pStyle w:val="a4"/>
        <w:numPr>
          <w:ilvl w:val="1"/>
          <w:numId w:val="2"/>
        </w:numPr>
        <w:tabs>
          <w:tab w:val="left" w:pos="1159"/>
        </w:tabs>
        <w:spacing w:line="267" w:lineRule="exact"/>
        <w:ind w:hanging="319"/>
        <w:rPr>
          <w:sz w:val="21"/>
        </w:rPr>
      </w:pPr>
      <w:r>
        <w:rPr>
          <w:spacing w:val="-7"/>
          <w:sz w:val="21"/>
        </w:rPr>
        <w:t>面料的单位面积质量测定按</w:t>
      </w:r>
      <w:r>
        <w:rPr>
          <w:spacing w:val="-7"/>
          <w:sz w:val="21"/>
        </w:rPr>
        <w:t xml:space="preserve"> </w:t>
      </w:r>
      <w:r>
        <w:rPr>
          <w:sz w:val="21"/>
        </w:rPr>
        <w:t>GB/T</w:t>
      </w:r>
      <w:r>
        <w:rPr>
          <w:spacing w:val="1"/>
          <w:sz w:val="21"/>
        </w:rPr>
        <w:t xml:space="preserve"> </w:t>
      </w:r>
      <w:r>
        <w:rPr>
          <w:sz w:val="21"/>
        </w:rPr>
        <w:t>4669——2008</w:t>
      </w:r>
      <w:r>
        <w:rPr>
          <w:spacing w:val="-36"/>
          <w:sz w:val="21"/>
        </w:rPr>
        <w:t xml:space="preserve"> </w:t>
      </w:r>
      <w:r>
        <w:rPr>
          <w:spacing w:val="-36"/>
          <w:sz w:val="21"/>
        </w:rPr>
        <w:t>中</w:t>
      </w:r>
      <w:r>
        <w:rPr>
          <w:spacing w:val="-36"/>
          <w:sz w:val="21"/>
        </w:rPr>
        <w:t xml:space="preserve"> </w:t>
      </w:r>
      <w:r>
        <w:rPr>
          <w:sz w:val="21"/>
        </w:rPr>
        <w:t>6.8</w:t>
      </w:r>
      <w:r>
        <w:rPr>
          <w:spacing w:val="-11"/>
          <w:sz w:val="21"/>
        </w:rPr>
        <w:t xml:space="preserve"> </w:t>
      </w:r>
      <w:r>
        <w:rPr>
          <w:spacing w:val="-11"/>
          <w:sz w:val="21"/>
        </w:rPr>
        <w:t>规定执行。</w:t>
      </w:r>
      <w:r>
        <w:rPr>
          <w:sz w:val="21"/>
        </w:rPr>
        <w:t xml:space="preserve"> </w:t>
      </w:r>
    </w:p>
    <w:p w14:paraId="14BE093E" w14:textId="77777777" w:rsidR="00A71EEF" w:rsidRDefault="00A71EEF">
      <w:pPr>
        <w:pStyle w:val="a3"/>
        <w:spacing w:before="2"/>
        <w:rPr>
          <w:sz w:val="18"/>
        </w:rPr>
      </w:pPr>
    </w:p>
    <w:p w14:paraId="597554FB" w14:textId="77777777" w:rsidR="00A71EEF" w:rsidRDefault="0081115D">
      <w:pPr>
        <w:pStyle w:val="a4"/>
        <w:numPr>
          <w:ilvl w:val="1"/>
          <w:numId w:val="2"/>
        </w:numPr>
        <w:tabs>
          <w:tab w:val="left" w:pos="1160"/>
        </w:tabs>
        <w:ind w:left="1159" w:right="490" w:hanging="1160"/>
        <w:rPr>
          <w:sz w:val="21"/>
        </w:rPr>
      </w:pPr>
      <w:r>
        <w:rPr>
          <w:spacing w:val="-5"/>
          <w:sz w:val="21"/>
        </w:rPr>
        <w:t>面料及成品的水洗尺寸变化率试验方法按</w:t>
      </w:r>
      <w:r>
        <w:rPr>
          <w:spacing w:val="-5"/>
          <w:sz w:val="21"/>
        </w:rPr>
        <w:t xml:space="preserve"> </w:t>
      </w:r>
      <w:r>
        <w:rPr>
          <w:sz w:val="21"/>
        </w:rPr>
        <w:t>GB/T8628</w:t>
      </w:r>
      <w:r>
        <w:rPr>
          <w:spacing w:val="-26"/>
          <w:sz w:val="21"/>
        </w:rPr>
        <w:t xml:space="preserve"> </w:t>
      </w:r>
      <w:r>
        <w:rPr>
          <w:spacing w:val="-26"/>
          <w:sz w:val="21"/>
        </w:rPr>
        <w:t>和</w:t>
      </w:r>
      <w:r>
        <w:rPr>
          <w:spacing w:val="-26"/>
          <w:sz w:val="21"/>
        </w:rPr>
        <w:t xml:space="preserve"> </w:t>
      </w:r>
      <w:r>
        <w:rPr>
          <w:sz w:val="21"/>
        </w:rPr>
        <w:t>GB/T8630</w:t>
      </w:r>
      <w:r>
        <w:rPr>
          <w:spacing w:val="-12"/>
          <w:sz w:val="21"/>
        </w:rPr>
        <w:t xml:space="preserve"> </w:t>
      </w:r>
      <w:r>
        <w:rPr>
          <w:spacing w:val="-12"/>
          <w:sz w:val="21"/>
        </w:rPr>
        <w:t>规定执行，采用</w:t>
      </w:r>
      <w:r>
        <w:rPr>
          <w:spacing w:val="-12"/>
          <w:sz w:val="21"/>
        </w:rPr>
        <w:t xml:space="preserve"> </w:t>
      </w:r>
      <w:r>
        <w:rPr>
          <w:sz w:val="21"/>
        </w:rPr>
        <w:t xml:space="preserve">GB/T </w:t>
      </w:r>
    </w:p>
    <w:p w14:paraId="054A09A3" w14:textId="77777777" w:rsidR="00A71EEF" w:rsidRDefault="00A71EEF">
      <w:pPr>
        <w:pStyle w:val="a3"/>
        <w:rPr>
          <w:sz w:val="18"/>
        </w:rPr>
      </w:pPr>
    </w:p>
    <w:p w14:paraId="04606DA3" w14:textId="77777777" w:rsidR="00A71EEF" w:rsidRDefault="0081115D">
      <w:pPr>
        <w:pStyle w:val="a3"/>
        <w:ind w:left="418"/>
      </w:pPr>
      <w:r>
        <w:t xml:space="preserve">8629——2001 </w:t>
      </w:r>
      <w:r>
        <w:t>中的</w:t>
      </w:r>
      <w:r>
        <w:t xml:space="preserve"> 5A </w:t>
      </w:r>
      <w:r>
        <w:t>程序洗涤和程序</w:t>
      </w:r>
      <w:r>
        <w:t xml:space="preserve"> A </w:t>
      </w:r>
      <w:r>
        <w:t>干燥。如果使用说明上为轻柔洗涤或手洗，则采用</w:t>
      </w:r>
      <w:r>
        <w:t xml:space="preserve"> 7A </w:t>
      </w:r>
      <w:r>
        <w:t>或</w:t>
      </w:r>
    </w:p>
    <w:p w14:paraId="025ABB45" w14:textId="77777777" w:rsidR="00A71EEF" w:rsidRDefault="00A71EEF">
      <w:pPr>
        <w:sectPr w:rsidR="00A71EEF">
          <w:pgSz w:w="11910" w:h="16850"/>
          <w:pgMar w:top="1220" w:right="0" w:bottom="1420" w:left="1260" w:header="0" w:footer="1239" w:gutter="0"/>
          <w:cols w:space="720"/>
        </w:sectPr>
      </w:pPr>
    </w:p>
    <w:p w14:paraId="6DCEEA41" w14:textId="77777777" w:rsidR="00A71EEF" w:rsidRDefault="0081115D">
      <w:pPr>
        <w:pStyle w:val="a3"/>
        <w:spacing w:before="47"/>
        <w:ind w:left="418"/>
      </w:pPr>
      <w:r>
        <w:t>仿手洗程序洗涤。</w:t>
      </w:r>
      <w:r>
        <w:t xml:space="preserve"> </w:t>
      </w:r>
    </w:p>
    <w:p w14:paraId="35FDB58E" w14:textId="77777777" w:rsidR="00A71EEF" w:rsidRDefault="00A71EEF">
      <w:pPr>
        <w:pStyle w:val="a3"/>
        <w:rPr>
          <w:sz w:val="18"/>
        </w:rPr>
      </w:pPr>
    </w:p>
    <w:p w14:paraId="612ACF64" w14:textId="77777777" w:rsidR="00A71EEF" w:rsidRDefault="0081115D">
      <w:pPr>
        <w:pStyle w:val="a4"/>
        <w:numPr>
          <w:ilvl w:val="1"/>
          <w:numId w:val="2"/>
        </w:numPr>
        <w:tabs>
          <w:tab w:val="left" w:pos="1160"/>
        </w:tabs>
        <w:ind w:left="1159" w:hanging="320"/>
        <w:rPr>
          <w:sz w:val="21"/>
        </w:rPr>
      </w:pPr>
      <w:r>
        <w:rPr>
          <w:spacing w:val="-9"/>
          <w:sz w:val="21"/>
        </w:rPr>
        <w:t>面料的热稳定性试验</w:t>
      </w:r>
      <w:r>
        <w:rPr>
          <w:spacing w:val="-9"/>
          <w:sz w:val="21"/>
        </w:rPr>
        <w:t xml:space="preserve"> </w:t>
      </w:r>
      <w:r>
        <w:rPr>
          <w:sz w:val="21"/>
        </w:rPr>
        <w:t>GB</w:t>
      </w:r>
      <w:r>
        <w:rPr>
          <w:spacing w:val="1"/>
          <w:sz w:val="21"/>
        </w:rPr>
        <w:t xml:space="preserve"> </w:t>
      </w:r>
      <w:r>
        <w:rPr>
          <w:sz w:val="21"/>
        </w:rPr>
        <w:t>8965.1——2009</w:t>
      </w:r>
      <w:r>
        <w:rPr>
          <w:spacing w:val="-23"/>
          <w:sz w:val="21"/>
        </w:rPr>
        <w:t xml:space="preserve"> </w:t>
      </w:r>
      <w:r>
        <w:rPr>
          <w:spacing w:val="-23"/>
          <w:sz w:val="21"/>
        </w:rPr>
        <w:t>中附录</w:t>
      </w:r>
      <w:r>
        <w:rPr>
          <w:spacing w:val="-23"/>
          <w:sz w:val="21"/>
        </w:rPr>
        <w:t xml:space="preserve"> </w:t>
      </w:r>
      <w:r>
        <w:rPr>
          <w:sz w:val="21"/>
        </w:rPr>
        <w:t>B</w:t>
      </w:r>
      <w:r>
        <w:rPr>
          <w:spacing w:val="-11"/>
          <w:sz w:val="21"/>
        </w:rPr>
        <w:t xml:space="preserve"> </w:t>
      </w:r>
      <w:r>
        <w:rPr>
          <w:spacing w:val="-11"/>
          <w:sz w:val="21"/>
        </w:rPr>
        <w:t>规定执行。</w:t>
      </w:r>
      <w:r>
        <w:rPr>
          <w:sz w:val="21"/>
        </w:rPr>
        <w:t xml:space="preserve"> </w:t>
      </w:r>
    </w:p>
    <w:p w14:paraId="4263221E" w14:textId="77777777" w:rsidR="00A71EEF" w:rsidRDefault="00A71EEF">
      <w:pPr>
        <w:pStyle w:val="a3"/>
        <w:rPr>
          <w:sz w:val="18"/>
        </w:rPr>
      </w:pPr>
    </w:p>
    <w:p w14:paraId="7020BD3A" w14:textId="77777777" w:rsidR="00A71EEF" w:rsidRDefault="0081115D">
      <w:pPr>
        <w:pStyle w:val="a4"/>
        <w:numPr>
          <w:ilvl w:val="1"/>
          <w:numId w:val="2"/>
        </w:numPr>
        <w:tabs>
          <w:tab w:val="left" w:pos="1159"/>
        </w:tabs>
        <w:ind w:hanging="319"/>
        <w:rPr>
          <w:sz w:val="21"/>
        </w:rPr>
      </w:pPr>
      <w:r>
        <w:rPr>
          <w:spacing w:val="-8"/>
          <w:sz w:val="21"/>
        </w:rPr>
        <w:t>面料的甲醛含量试验按</w:t>
      </w:r>
      <w:r>
        <w:rPr>
          <w:spacing w:val="-8"/>
          <w:sz w:val="21"/>
        </w:rPr>
        <w:t xml:space="preserve"> </w:t>
      </w:r>
      <w:r>
        <w:rPr>
          <w:sz w:val="21"/>
        </w:rPr>
        <w:t>GB/T</w:t>
      </w:r>
      <w:r>
        <w:rPr>
          <w:spacing w:val="1"/>
          <w:sz w:val="21"/>
        </w:rPr>
        <w:t xml:space="preserve"> </w:t>
      </w:r>
      <w:r>
        <w:rPr>
          <w:sz w:val="21"/>
        </w:rPr>
        <w:t>2912.1</w:t>
      </w:r>
      <w:r>
        <w:rPr>
          <w:spacing w:val="-11"/>
          <w:sz w:val="21"/>
        </w:rPr>
        <w:t xml:space="preserve"> </w:t>
      </w:r>
      <w:r>
        <w:rPr>
          <w:spacing w:val="-11"/>
          <w:sz w:val="21"/>
        </w:rPr>
        <w:t>规定执行。</w:t>
      </w:r>
      <w:r>
        <w:rPr>
          <w:spacing w:val="-11"/>
          <w:sz w:val="21"/>
        </w:rPr>
        <w:t xml:space="preserve"> </w:t>
      </w:r>
    </w:p>
    <w:p w14:paraId="33083C3A" w14:textId="77777777" w:rsidR="00A71EEF" w:rsidRDefault="00A71EEF">
      <w:pPr>
        <w:pStyle w:val="a3"/>
        <w:spacing w:before="1"/>
        <w:rPr>
          <w:sz w:val="18"/>
        </w:rPr>
      </w:pPr>
    </w:p>
    <w:p w14:paraId="5DFB551C" w14:textId="77777777" w:rsidR="00A71EEF" w:rsidRDefault="0081115D">
      <w:pPr>
        <w:pStyle w:val="a4"/>
        <w:numPr>
          <w:ilvl w:val="1"/>
          <w:numId w:val="2"/>
        </w:numPr>
        <w:tabs>
          <w:tab w:val="left" w:pos="1264"/>
        </w:tabs>
        <w:spacing w:before="1"/>
        <w:ind w:left="1263" w:hanging="424"/>
        <w:rPr>
          <w:sz w:val="21"/>
        </w:rPr>
      </w:pPr>
      <w:r>
        <w:rPr>
          <w:spacing w:val="-16"/>
          <w:sz w:val="21"/>
        </w:rPr>
        <w:t>面料的</w:t>
      </w:r>
      <w:r>
        <w:rPr>
          <w:spacing w:val="-16"/>
          <w:sz w:val="21"/>
        </w:rPr>
        <w:t xml:space="preserve"> </w:t>
      </w:r>
      <w:r>
        <w:rPr>
          <w:sz w:val="21"/>
        </w:rPr>
        <w:t>pH</w:t>
      </w:r>
      <w:r>
        <w:rPr>
          <w:spacing w:val="-20"/>
          <w:sz w:val="21"/>
        </w:rPr>
        <w:t xml:space="preserve"> </w:t>
      </w:r>
      <w:r>
        <w:rPr>
          <w:spacing w:val="-20"/>
          <w:sz w:val="21"/>
        </w:rPr>
        <w:t>值试验按</w:t>
      </w:r>
      <w:r>
        <w:rPr>
          <w:spacing w:val="-20"/>
          <w:sz w:val="21"/>
        </w:rPr>
        <w:t xml:space="preserve"> </w:t>
      </w:r>
      <w:r>
        <w:rPr>
          <w:sz w:val="21"/>
        </w:rPr>
        <w:t>GB/T</w:t>
      </w:r>
      <w:r>
        <w:rPr>
          <w:spacing w:val="1"/>
          <w:sz w:val="21"/>
        </w:rPr>
        <w:t xml:space="preserve"> </w:t>
      </w:r>
      <w:r>
        <w:rPr>
          <w:sz w:val="21"/>
        </w:rPr>
        <w:t>7573</w:t>
      </w:r>
      <w:r>
        <w:rPr>
          <w:spacing w:val="-12"/>
          <w:sz w:val="21"/>
        </w:rPr>
        <w:t xml:space="preserve"> </w:t>
      </w:r>
      <w:r>
        <w:rPr>
          <w:spacing w:val="-12"/>
          <w:sz w:val="21"/>
        </w:rPr>
        <w:t>规定执行。</w:t>
      </w:r>
      <w:r>
        <w:rPr>
          <w:sz w:val="21"/>
        </w:rPr>
        <w:t xml:space="preserve"> </w:t>
      </w:r>
    </w:p>
    <w:p w14:paraId="0DFCFD6C" w14:textId="77777777" w:rsidR="00A71EEF" w:rsidRDefault="00A71EEF">
      <w:pPr>
        <w:pStyle w:val="a3"/>
        <w:spacing w:before="12"/>
        <w:rPr>
          <w:sz w:val="17"/>
        </w:rPr>
      </w:pPr>
    </w:p>
    <w:p w14:paraId="3D92E171" w14:textId="77777777" w:rsidR="00A71EEF" w:rsidRDefault="0081115D">
      <w:pPr>
        <w:pStyle w:val="a4"/>
        <w:numPr>
          <w:ilvl w:val="1"/>
          <w:numId w:val="2"/>
        </w:numPr>
        <w:tabs>
          <w:tab w:val="left" w:pos="1266"/>
        </w:tabs>
        <w:ind w:left="1265" w:hanging="426"/>
        <w:rPr>
          <w:sz w:val="21"/>
        </w:rPr>
      </w:pPr>
      <w:r>
        <w:rPr>
          <w:spacing w:val="-8"/>
          <w:sz w:val="21"/>
        </w:rPr>
        <w:t>面料的耐光色牢度试验按</w:t>
      </w:r>
      <w:r>
        <w:rPr>
          <w:spacing w:val="-8"/>
          <w:sz w:val="21"/>
        </w:rPr>
        <w:t xml:space="preserve"> </w:t>
      </w:r>
      <w:r>
        <w:rPr>
          <w:sz w:val="21"/>
        </w:rPr>
        <w:t>GB/T</w:t>
      </w:r>
      <w:r>
        <w:rPr>
          <w:spacing w:val="-2"/>
          <w:sz w:val="21"/>
        </w:rPr>
        <w:t xml:space="preserve"> </w:t>
      </w:r>
      <w:r>
        <w:rPr>
          <w:sz w:val="21"/>
        </w:rPr>
        <w:t>8427——2008</w:t>
      </w:r>
      <w:r>
        <w:rPr>
          <w:spacing w:val="-36"/>
          <w:sz w:val="21"/>
        </w:rPr>
        <w:t xml:space="preserve"> </w:t>
      </w:r>
      <w:r>
        <w:rPr>
          <w:spacing w:val="-36"/>
          <w:sz w:val="21"/>
        </w:rPr>
        <w:t>中</w:t>
      </w:r>
      <w:r>
        <w:rPr>
          <w:spacing w:val="-36"/>
          <w:sz w:val="21"/>
        </w:rPr>
        <w:t xml:space="preserve"> </w:t>
      </w:r>
      <w:r>
        <w:rPr>
          <w:sz w:val="21"/>
        </w:rPr>
        <w:t>7.2.4</w:t>
      </w:r>
      <w:r>
        <w:rPr>
          <w:spacing w:val="-11"/>
          <w:sz w:val="21"/>
        </w:rPr>
        <w:t xml:space="preserve"> </w:t>
      </w:r>
      <w:r>
        <w:rPr>
          <w:spacing w:val="-11"/>
          <w:sz w:val="21"/>
        </w:rPr>
        <w:t>规定执行。</w:t>
      </w:r>
      <w:r>
        <w:rPr>
          <w:sz w:val="21"/>
        </w:rPr>
        <w:t xml:space="preserve"> </w:t>
      </w:r>
    </w:p>
    <w:p w14:paraId="46DF7149" w14:textId="77777777" w:rsidR="00A71EEF" w:rsidRDefault="00A71EEF">
      <w:pPr>
        <w:pStyle w:val="a3"/>
        <w:spacing w:before="12"/>
        <w:rPr>
          <w:sz w:val="17"/>
        </w:rPr>
      </w:pPr>
    </w:p>
    <w:p w14:paraId="0509D112" w14:textId="77777777" w:rsidR="00A71EEF" w:rsidRDefault="0081115D">
      <w:pPr>
        <w:pStyle w:val="a4"/>
        <w:numPr>
          <w:ilvl w:val="1"/>
          <w:numId w:val="2"/>
        </w:numPr>
        <w:tabs>
          <w:tab w:val="left" w:pos="1264"/>
        </w:tabs>
        <w:ind w:left="1263" w:hanging="424"/>
        <w:rPr>
          <w:sz w:val="21"/>
        </w:rPr>
      </w:pPr>
      <w:r>
        <w:rPr>
          <w:spacing w:val="-8"/>
          <w:sz w:val="21"/>
        </w:rPr>
        <w:t>面料的耐洗色牢度试验按</w:t>
      </w:r>
      <w:r>
        <w:rPr>
          <w:spacing w:val="-8"/>
          <w:sz w:val="21"/>
        </w:rPr>
        <w:t xml:space="preserve"> </w:t>
      </w:r>
      <w:r>
        <w:rPr>
          <w:sz w:val="21"/>
        </w:rPr>
        <w:t>GB/T</w:t>
      </w:r>
      <w:r>
        <w:rPr>
          <w:spacing w:val="-1"/>
          <w:sz w:val="21"/>
        </w:rPr>
        <w:t xml:space="preserve"> </w:t>
      </w:r>
      <w:r>
        <w:rPr>
          <w:sz w:val="21"/>
        </w:rPr>
        <w:t>3921——2008</w:t>
      </w:r>
      <w:r>
        <w:rPr>
          <w:spacing w:val="-28"/>
          <w:sz w:val="21"/>
        </w:rPr>
        <w:t xml:space="preserve"> </w:t>
      </w:r>
      <w:r>
        <w:rPr>
          <w:spacing w:val="-28"/>
          <w:sz w:val="21"/>
        </w:rPr>
        <w:t>中表</w:t>
      </w:r>
      <w:r>
        <w:rPr>
          <w:spacing w:val="-28"/>
          <w:sz w:val="21"/>
        </w:rPr>
        <w:t xml:space="preserve"> </w:t>
      </w:r>
      <w:r>
        <w:rPr>
          <w:sz w:val="21"/>
        </w:rPr>
        <w:t>2</w:t>
      </w:r>
      <w:r>
        <w:rPr>
          <w:spacing w:val="-28"/>
          <w:sz w:val="21"/>
        </w:rPr>
        <w:t xml:space="preserve"> </w:t>
      </w:r>
      <w:r>
        <w:rPr>
          <w:spacing w:val="-28"/>
          <w:sz w:val="21"/>
        </w:rPr>
        <w:t>方法</w:t>
      </w:r>
      <w:r>
        <w:rPr>
          <w:spacing w:val="-28"/>
          <w:sz w:val="21"/>
        </w:rPr>
        <w:t xml:space="preserve"> </w:t>
      </w:r>
      <w:r>
        <w:rPr>
          <w:sz w:val="21"/>
        </w:rPr>
        <w:t>A</w:t>
      </w:r>
      <w:r>
        <w:rPr>
          <w:sz w:val="21"/>
        </w:rPr>
        <w:t>（</w:t>
      </w:r>
      <w:r>
        <w:rPr>
          <w:sz w:val="21"/>
        </w:rPr>
        <w:t>1</w:t>
      </w:r>
      <w:r>
        <w:rPr>
          <w:sz w:val="21"/>
        </w:rPr>
        <w:t>）</w:t>
      </w:r>
      <w:r>
        <w:rPr>
          <w:spacing w:val="-3"/>
          <w:sz w:val="21"/>
        </w:rPr>
        <w:t>中规定执行。</w:t>
      </w:r>
      <w:r>
        <w:rPr>
          <w:sz w:val="21"/>
        </w:rPr>
        <w:t xml:space="preserve"> </w:t>
      </w:r>
    </w:p>
    <w:p w14:paraId="64A640F5" w14:textId="77777777" w:rsidR="00A71EEF" w:rsidRDefault="00A71EEF">
      <w:pPr>
        <w:pStyle w:val="a3"/>
        <w:spacing w:before="2"/>
        <w:rPr>
          <w:sz w:val="18"/>
        </w:rPr>
      </w:pPr>
    </w:p>
    <w:p w14:paraId="5916D14B" w14:textId="77777777" w:rsidR="00A71EEF" w:rsidRDefault="0081115D">
      <w:pPr>
        <w:pStyle w:val="a4"/>
        <w:numPr>
          <w:ilvl w:val="1"/>
          <w:numId w:val="2"/>
        </w:numPr>
        <w:tabs>
          <w:tab w:val="left" w:pos="1266"/>
        </w:tabs>
        <w:ind w:left="1265" w:hanging="426"/>
        <w:rPr>
          <w:sz w:val="21"/>
        </w:rPr>
      </w:pPr>
      <w:r>
        <w:rPr>
          <w:spacing w:val="-8"/>
          <w:sz w:val="21"/>
        </w:rPr>
        <w:t>面料的耐水色牢度试验按</w:t>
      </w:r>
      <w:r>
        <w:rPr>
          <w:spacing w:val="-8"/>
          <w:sz w:val="21"/>
        </w:rPr>
        <w:t xml:space="preserve"> </w:t>
      </w:r>
      <w:r>
        <w:rPr>
          <w:sz w:val="21"/>
        </w:rPr>
        <w:t>GB/T</w:t>
      </w:r>
      <w:r>
        <w:rPr>
          <w:spacing w:val="-2"/>
          <w:sz w:val="21"/>
        </w:rPr>
        <w:t xml:space="preserve"> </w:t>
      </w:r>
      <w:r>
        <w:rPr>
          <w:sz w:val="21"/>
        </w:rPr>
        <w:t>5713</w:t>
      </w:r>
      <w:r>
        <w:rPr>
          <w:spacing w:val="-11"/>
          <w:sz w:val="21"/>
        </w:rPr>
        <w:t xml:space="preserve"> </w:t>
      </w:r>
      <w:r>
        <w:rPr>
          <w:spacing w:val="-11"/>
          <w:sz w:val="21"/>
        </w:rPr>
        <w:t>规定执行。</w:t>
      </w:r>
      <w:r>
        <w:rPr>
          <w:spacing w:val="-11"/>
          <w:sz w:val="21"/>
        </w:rPr>
        <w:t xml:space="preserve"> </w:t>
      </w:r>
    </w:p>
    <w:p w14:paraId="5B67FF5D" w14:textId="77777777" w:rsidR="00A71EEF" w:rsidRDefault="00A71EEF">
      <w:pPr>
        <w:pStyle w:val="a3"/>
        <w:rPr>
          <w:sz w:val="18"/>
        </w:rPr>
      </w:pPr>
    </w:p>
    <w:p w14:paraId="3FBC79D0" w14:textId="77777777" w:rsidR="00A71EEF" w:rsidRDefault="0081115D">
      <w:pPr>
        <w:pStyle w:val="a4"/>
        <w:numPr>
          <w:ilvl w:val="1"/>
          <w:numId w:val="2"/>
        </w:numPr>
        <w:tabs>
          <w:tab w:val="left" w:pos="1266"/>
        </w:tabs>
        <w:ind w:left="1265" w:hanging="426"/>
        <w:rPr>
          <w:sz w:val="21"/>
        </w:rPr>
      </w:pPr>
      <w:r>
        <w:rPr>
          <w:spacing w:val="-7"/>
          <w:sz w:val="21"/>
        </w:rPr>
        <w:t>面料的耐摩擦色牢度试验按</w:t>
      </w:r>
      <w:r>
        <w:rPr>
          <w:spacing w:val="-7"/>
          <w:sz w:val="21"/>
        </w:rPr>
        <w:t xml:space="preserve"> </w:t>
      </w:r>
      <w:r>
        <w:rPr>
          <w:sz w:val="21"/>
        </w:rPr>
        <w:t>GB/T</w:t>
      </w:r>
      <w:r>
        <w:rPr>
          <w:spacing w:val="11"/>
          <w:sz w:val="21"/>
        </w:rPr>
        <w:t xml:space="preserve"> </w:t>
      </w:r>
      <w:r>
        <w:rPr>
          <w:sz w:val="21"/>
        </w:rPr>
        <w:t>3920</w:t>
      </w:r>
      <w:r>
        <w:rPr>
          <w:spacing w:val="-11"/>
          <w:sz w:val="21"/>
        </w:rPr>
        <w:t xml:space="preserve"> </w:t>
      </w:r>
      <w:r>
        <w:rPr>
          <w:spacing w:val="-11"/>
          <w:sz w:val="21"/>
        </w:rPr>
        <w:t>规定执行。</w:t>
      </w:r>
      <w:r>
        <w:rPr>
          <w:sz w:val="21"/>
        </w:rPr>
        <w:t xml:space="preserve"> </w:t>
      </w:r>
    </w:p>
    <w:p w14:paraId="3C99F109" w14:textId="77777777" w:rsidR="00A71EEF" w:rsidRDefault="00A71EEF">
      <w:pPr>
        <w:pStyle w:val="a3"/>
        <w:rPr>
          <w:sz w:val="18"/>
        </w:rPr>
      </w:pPr>
    </w:p>
    <w:p w14:paraId="78C0C341" w14:textId="77777777" w:rsidR="00A71EEF" w:rsidRDefault="0081115D">
      <w:pPr>
        <w:pStyle w:val="a4"/>
        <w:numPr>
          <w:ilvl w:val="1"/>
          <w:numId w:val="2"/>
        </w:numPr>
        <w:tabs>
          <w:tab w:val="left" w:pos="1264"/>
        </w:tabs>
        <w:ind w:left="1263" w:hanging="424"/>
        <w:rPr>
          <w:sz w:val="21"/>
        </w:rPr>
      </w:pPr>
      <w:r>
        <w:rPr>
          <w:spacing w:val="-7"/>
          <w:sz w:val="21"/>
        </w:rPr>
        <w:t>面料的耐汗渍色牢度试验按</w:t>
      </w:r>
      <w:r>
        <w:rPr>
          <w:spacing w:val="-7"/>
          <w:sz w:val="21"/>
        </w:rPr>
        <w:t xml:space="preserve"> </w:t>
      </w:r>
      <w:r>
        <w:rPr>
          <w:sz w:val="21"/>
        </w:rPr>
        <w:t>GB/T</w:t>
      </w:r>
      <w:r>
        <w:rPr>
          <w:spacing w:val="11"/>
          <w:sz w:val="21"/>
        </w:rPr>
        <w:t xml:space="preserve"> </w:t>
      </w:r>
      <w:r>
        <w:rPr>
          <w:sz w:val="21"/>
        </w:rPr>
        <w:t>3922</w:t>
      </w:r>
      <w:r>
        <w:rPr>
          <w:spacing w:val="-11"/>
          <w:sz w:val="21"/>
        </w:rPr>
        <w:t xml:space="preserve"> </w:t>
      </w:r>
      <w:r>
        <w:rPr>
          <w:spacing w:val="-11"/>
          <w:sz w:val="21"/>
        </w:rPr>
        <w:t>规定执行。</w:t>
      </w:r>
      <w:r>
        <w:rPr>
          <w:sz w:val="21"/>
        </w:rPr>
        <w:t xml:space="preserve"> </w:t>
      </w:r>
    </w:p>
    <w:p w14:paraId="160F7E6A" w14:textId="77777777" w:rsidR="00A71EEF" w:rsidRDefault="00A71EEF">
      <w:pPr>
        <w:pStyle w:val="a3"/>
        <w:spacing w:before="2"/>
        <w:rPr>
          <w:sz w:val="18"/>
        </w:rPr>
      </w:pPr>
    </w:p>
    <w:p w14:paraId="6B716E44" w14:textId="77777777" w:rsidR="00A71EEF" w:rsidRDefault="0081115D">
      <w:pPr>
        <w:pStyle w:val="a4"/>
        <w:numPr>
          <w:ilvl w:val="1"/>
          <w:numId w:val="2"/>
        </w:numPr>
        <w:tabs>
          <w:tab w:val="left" w:pos="1264"/>
        </w:tabs>
        <w:ind w:left="1263" w:hanging="424"/>
        <w:rPr>
          <w:sz w:val="21"/>
        </w:rPr>
      </w:pPr>
      <w:r>
        <w:rPr>
          <w:spacing w:val="-8"/>
          <w:sz w:val="21"/>
        </w:rPr>
        <w:t>缝纫线的强力试验按</w:t>
      </w:r>
      <w:r>
        <w:rPr>
          <w:spacing w:val="-8"/>
          <w:sz w:val="21"/>
        </w:rPr>
        <w:t xml:space="preserve"> </w:t>
      </w:r>
      <w:r>
        <w:rPr>
          <w:sz w:val="21"/>
        </w:rPr>
        <w:t>GB/T3616——2013</w:t>
      </w:r>
      <w:r>
        <w:rPr>
          <w:spacing w:val="-37"/>
          <w:sz w:val="21"/>
        </w:rPr>
        <w:t xml:space="preserve"> </w:t>
      </w:r>
      <w:r>
        <w:rPr>
          <w:spacing w:val="-37"/>
          <w:sz w:val="21"/>
        </w:rPr>
        <w:t>中</w:t>
      </w:r>
      <w:r>
        <w:rPr>
          <w:spacing w:val="-37"/>
          <w:sz w:val="21"/>
        </w:rPr>
        <w:t xml:space="preserve"> </w:t>
      </w:r>
      <w:r>
        <w:rPr>
          <w:sz w:val="21"/>
        </w:rPr>
        <w:t>8.4</w:t>
      </w:r>
      <w:r>
        <w:rPr>
          <w:spacing w:val="-11"/>
          <w:sz w:val="21"/>
        </w:rPr>
        <w:t xml:space="preserve"> </w:t>
      </w:r>
      <w:r>
        <w:rPr>
          <w:spacing w:val="-11"/>
          <w:sz w:val="21"/>
        </w:rPr>
        <w:t>规定执行。</w:t>
      </w:r>
      <w:r>
        <w:rPr>
          <w:sz w:val="21"/>
        </w:rPr>
        <w:t xml:space="preserve"> </w:t>
      </w:r>
    </w:p>
    <w:p w14:paraId="79A004A9" w14:textId="77777777" w:rsidR="00A71EEF" w:rsidRDefault="00A71EEF">
      <w:pPr>
        <w:pStyle w:val="a3"/>
        <w:spacing w:before="12"/>
        <w:rPr>
          <w:sz w:val="17"/>
        </w:rPr>
      </w:pPr>
    </w:p>
    <w:p w14:paraId="0ADFBF35" w14:textId="77777777" w:rsidR="00A71EEF" w:rsidRDefault="0081115D">
      <w:pPr>
        <w:pStyle w:val="a3"/>
        <w:ind w:left="840"/>
      </w:pPr>
      <w:r>
        <w:rPr>
          <w:b/>
        </w:rPr>
        <w:t xml:space="preserve">5.17 </w:t>
      </w:r>
      <w:r>
        <w:t>缝纫线的阻燃性试验按</w:t>
      </w:r>
      <w:r>
        <w:t xml:space="preserve"> GB 8965.1——2009 </w:t>
      </w:r>
      <w:r>
        <w:t>中</w:t>
      </w:r>
      <w:r>
        <w:t xml:space="preserve"> 6.14 </w:t>
      </w:r>
      <w:r>
        <w:t>规定执行。</w:t>
      </w:r>
      <w:r>
        <w:t xml:space="preserve"> </w:t>
      </w:r>
    </w:p>
    <w:p w14:paraId="44B718D0" w14:textId="77777777" w:rsidR="00A71EEF" w:rsidRDefault="00A71EEF">
      <w:pPr>
        <w:pStyle w:val="a3"/>
        <w:spacing w:before="12"/>
        <w:rPr>
          <w:sz w:val="17"/>
        </w:rPr>
      </w:pPr>
    </w:p>
    <w:p w14:paraId="3F3FC51F" w14:textId="77777777" w:rsidR="00A71EEF" w:rsidRDefault="0081115D">
      <w:pPr>
        <w:pStyle w:val="a4"/>
        <w:numPr>
          <w:ilvl w:val="1"/>
          <w:numId w:val="1"/>
        </w:numPr>
        <w:tabs>
          <w:tab w:val="left" w:pos="1265"/>
        </w:tabs>
        <w:spacing w:line="446" w:lineRule="auto"/>
        <w:ind w:right="1431" w:firstLine="422"/>
        <w:rPr>
          <w:sz w:val="21"/>
        </w:rPr>
      </w:pPr>
      <w:r>
        <w:rPr>
          <w:spacing w:val="-6"/>
          <w:sz w:val="21"/>
        </w:rPr>
        <w:t>反光带的逆反射系数数值试验，经</w:t>
      </w:r>
      <w:r>
        <w:rPr>
          <w:spacing w:val="-6"/>
          <w:sz w:val="21"/>
        </w:rPr>
        <w:t xml:space="preserve"> </w:t>
      </w:r>
      <w:r>
        <w:rPr>
          <w:sz w:val="21"/>
        </w:rPr>
        <w:t>GB</w:t>
      </w:r>
      <w:r>
        <w:rPr>
          <w:spacing w:val="42"/>
          <w:sz w:val="21"/>
        </w:rPr>
        <w:t xml:space="preserve"> </w:t>
      </w:r>
      <w:r>
        <w:rPr>
          <w:sz w:val="21"/>
        </w:rPr>
        <w:t>20653——2006</w:t>
      </w:r>
      <w:r>
        <w:rPr>
          <w:spacing w:val="-34"/>
          <w:sz w:val="21"/>
        </w:rPr>
        <w:t xml:space="preserve"> </w:t>
      </w:r>
      <w:r>
        <w:rPr>
          <w:spacing w:val="-34"/>
          <w:sz w:val="21"/>
        </w:rPr>
        <w:t>中</w:t>
      </w:r>
      <w:r>
        <w:rPr>
          <w:spacing w:val="-34"/>
          <w:sz w:val="21"/>
        </w:rPr>
        <w:t xml:space="preserve"> </w:t>
      </w:r>
      <w:r>
        <w:rPr>
          <w:sz w:val="21"/>
        </w:rPr>
        <w:t>7.4</w:t>
      </w:r>
      <w:r>
        <w:rPr>
          <w:spacing w:val="-3"/>
          <w:sz w:val="21"/>
        </w:rPr>
        <w:t>、</w:t>
      </w:r>
      <w:r>
        <w:rPr>
          <w:sz w:val="21"/>
        </w:rPr>
        <w:t>7.5</w:t>
      </w:r>
      <w:r>
        <w:rPr>
          <w:spacing w:val="-9"/>
          <w:sz w:val="21"/>
        </w:rPr>
        <w:t xml:space="preserve"> </w:t>
      </w:r>
      <w:r>
        <w:rPr>
          <w:spacing w:val="-9"/>
          <w:sz w:val="21"/>
        </w:rPr>
        <w:t>规定的物理试验前</w:t>
      </w:r>
      <w:r>
        <w:rPr>
          <w:spacing w:val="-16"/>
          <w:sz w:val="21"/>
        </w:rPr>
        <w:t>后，依据</w:t>
      </w:r>
      <w:r>
        <w:rPr>
          <w:spacing w:val="-16"/>
          <w:sz w:val="21"/>
        </w:rPr>
        <w:t xml:space="preserve"> </w:t>
      </w:r>
      <w:r>
        <w:rPr>
          <w:sz w:val="21"/>
        </w:rPr>
        <w:t>GB 20653——2006</w:t>
      </w:r>
      <w:r>
        <w:rPr>
          <w:spacing w:val="-36"/>
          <w:sz w:val="21"/>
        </w:rPr>
        <w:t xml:space="preserve"> </w:t>
      </w:r>
      <w:r>
        <w:rPr>
          <w:spacing w:val="-36"/>
          <w:sz w:val="21"/>
        </w:rPr>
        <w:t>中</w:t>
      </w:r>
      <w:r>
        <w:rPr>
          <w:spacing w:val="-36"/>
          <w:sz w:val="21"/>
        </w:rPr>
        <w:t xml:space="preserve"> </w:t>
      </w:r>
      <w:r>
        <w:rPr>
          <w:sz w:val="21"/>
        </w:rPr>
        <w:t>7.3</w:t>
      </w:r>
      <w:r>
        <w:rPr>
          <w:spacing w:val="-12"/>
          <w:sz w:val="21"/>
        </w:rPr>
        <w:t xml:space="preserve"> </w:t>
      </w:r>
      <w:r>
        <w:rPr>
          <w:spacing w:val="-12"/>
          <w:sz w:val="21"/>
        </w:rPr>
        <w:t>规定执行。</w:t>
      </w:r>
      <w:r>
        <w:rPr>
          <w:sz w:val="21"/>
        </w:rPr>
        <w:t xml:space="preserve"> </w:t>
      </w:r>
    </w:p>
    <w:p w14:paraId="0C79FCC6" w14:textId="77777777" w:rsidR="00A71EEF" w:rsidRDefault="0081115D">
      <w:pPr>
        <w:pStyle w:val="a4"/>
        <w:numPr>
          <w:ilvl w:val="1"/>
          <w:numId w:val="1"/>
        </w:numPr>
        <w:tabs>
          <w:tab w:val="left" w:pos="1264"/>
        </w:tabs>
        <w:spacing w:before="1"/>
        <w:ind w:left="1263" w:hanging="424"/>
        <w:rPr>
          <w:sz w:val="21"/>
        </w:rPr>
      </w:pPr>
      <w:r>
        <w:rPr>
          <w:spacing w:val="-8"/>
          <w:sz w:val="21"/>
        </w:rPr>
        <w:t>反光带的阻燃性能试验按</w:t>
      </w:r>
      <w:r>
        <w:rPr>
          <w:spacing w:val="-8"/>
          <w:sz w:val="21"/>
        </w:rPr>
        <w:t xml:space="preserve"> </w:t>
      </w:r>
      <w:r>
        <w:rPr>
          <w:sz w:val="21"/>
        </w:rPr>
        <w:t>GB/T</w:t>
      </w:r>
      <w:r>
        <w:rPr>
          <w:spacing w:val="-2"/>
          <w:sz w:val="21"/>
        </w:rPr>
        <w:t xml:space="preserve"> </w:t>
      </w:r>
      <w:r>
        <w:rPr>
          <w:sz w:val="21"/>
        </w:rPr>
        <w:t>5455</w:t>
      </w:r>
      <w:r>
        <w:rPr>
          <w:spacing w:val="-11"/>
          <w:sz w:val="21"/>
        </w:rPr>
        <w:t xml:space="preserve"> </w:t>
      </w:r>
      <w:r>
        <w:rPr>
          <w:spacing w:val="-11"/>
          <w:sz w:val="21"/>
        </w:rPr>
        <w:t>规定执行。</w:t>
      </w:r>
      <w:r>
        <w:rPr>
          <w:spacing w:val="-11"/>
          <w:sz w:val="21"/>
        </w:rPr>
        <w:t xml:space="preserve"> </w:t>
      </w:r>
    </w:p>
    <w:p w14:paraId="3EE2E87C" w14:textId="77777777" w:rsidR="00A71EEF" w:rsidRDefault="00A71EEF">
      <w:pPr>
        <w:pStyle w:val="a3"/>
        <w:spacing w:before="12"/>
        <w:rPr>
          <w:sz w:val="17"/>
        </w:rPr>
      </w:pPr>
    </w:p>
    <w:p w14:paraId="21FDAB80" w14:textId="77777777" w:rsidR="00A71EEF" w:rsidRDefault="0081115D">
      <w:pPr>
        <w:pStyle w:val="a4"/>
        <w:numPr>
          <w:ilvl w:val="1"/>
          <w:numId w:val="1"/>
        </w:numPr>
        <w:tabs>
          <w:tab w:val="left" w:pos="1264"/>
        </w:tabs>
        <w:ind w:left="1263" w:hanging="424"/>
        <w:rPr>
          <w:sz w:val="21"/>
        </w:rPr>
      </w:pPr>
      <w:r>
        <w:rPr>
          <w:spacing w:val="-8"/>
          <w:sz w:val="21"/>
        </w:rPr>
        <w:t>反光带的热稳定性试验按</w:t>
      </w:r>
      <w:r>
        <w:rPr>
          <w:spacing w:val="-8"/>
          <w:sz w:val="21"/>
        </w:rPr>
        <w:t xml:space="preserve"> </w:t>
      </w:r>
      <w:r>
        <w:rPr>
          <w:sz w:val="21"/>
        </w:rPr>
        <w:t>GB</w:t>
      </w:r>
      <w:r>
        <w:rPr>
          <w:spacing w:val="1"/>
          <w:sz w:val="21"/>
        </w:rPr>
        <w:t xml:space="preserve"> </w:t>
      </w:r>
      <w:r>
        <w:rPr>
          <w:sz w:val="21"/>
        </w:rPr>
        <w:t>8965.1——2009</w:t>
      </w:r>
      <w:r>
        <w:rPr>
          <w:spacing w:val="-23"/>
          <w:sz w:val="21"/>
        </w:rPr>
        <w:t xml:space="preserve"> </w:t>
      </w:r>
      <w:r>
        <w:rPr>
          <w:spacing w:val="-23"/>
          <w:sz w:val="21"/>
        </w:rPr>
        <w:t>中附录</w:t>
      </w:r>
      <w:r>
        <w:rPr>
          <w:spacing w:val="-23"/>
          <w:sz w:val="21"/>
        </w:rPr>
        <w:t xml:space="preserve"> </w:t>
      </w:r>
      <w:r>
        <w:rPr>
          <w:sz w:val="21"/>
        </w:rPr>
        <w:t>B</w:t>
      </w:r>
      <w:r>
        <w:rPr>
          <w:spacing w:val="-11"/>
          <w:sz w:val="21"/>
        </w:rPr>
        <w:t xml:space="preserve"> </w:t>
      </w:r>
      <w:r>
        <w:rPr>
          <w:spacing w:val="-11"/>
          <w:sz w:val="21"/>
        </w:rPr>
        <w:t>规定执行。</w:t>
      </w:r>
      <w:r>
        <w:rPr>
          <w:sz w:val="21"/>
        </w:rPr>
        <w:t xml:space="preserve"> </w:t>
      </w:r>
    </w:p>
    <w:p w14:paraId="1BA907CC" w14:textId="77777777" w:rsidR="00A71EEF" w:rsidRDefault="00A71EEF">
      <w:pPr>
        <w:pStyle w:val="a3"/>
        <w:spacing w:before="2"/>
        <w:rPr>
          <w:sz w:val="18"/>
        </w:rPr>
      </w:pPr>
    </w:p>
    <w:p w14:paraId="3E9CDCB9" w14:textId="77777777" w:rsidR="00A71EEF" w:rsidRDefault="0081115D">
      <w:pPr>
        <w:pStyle w:val="a4"/>
        <w:numPr>
          <w:ilvl w:val="1"/>
          <w:numId w:val="1"/>
        </w:numPr>
        <w:tabs>
          <w:tab w:val="left" w:pos="1266"/>
        </w:tabs>
        <w:ind w:left="1265" w:hanging="426"/>
        <w:rPr>
          <w:sz w:val="21"/>
        </w:rPr>
      </w:pPr>
      <w:r>
        <w:rPr>
          <w:spacing w:val="-6"/>
          <w:sz w:val="21"/>
        </w:rPr>
        <w:t>成品的裤后裆缝、肩接缝、单衣片接缝强力试验按</w:t>
      </w:r>
      <w:r>
        <w:rPr>
          <w:spacing w:val="-6"/>
          <w:sz w:val="21"/>
        </w:rPr>
        <w:t xml:space="preserve"> </w:t>
      </w:r>
      <w:r>
        <w:rPr>
          <w:sz w:val="21"/>
        </w:rPr>
        <w:t>GB/T</w:t>
      </w:r>
      <w:r>
        <w:rPr>
          <w:spacing w:val="-1"/>
          <w:sz w:val="21"/>
        </w:rPr>
        <w:t xml:space="preserve"> </w:t>
      </w:r>
      <w:r>
        <w:rPr>
          <w:sz w:val="21"/>
        </w:rPr>
        <w:t>13773.1</w:t>
      </w:r>
      <w:r>
        <w:rPr>
          <w:spacing w:val="-10"/>
          <w:sz w:val="21"/>
        </w:rPr>
        <w:t xml:space="preserve"> </w:t>
      </w:r>
      <w:r>
        <w:rPr>
          <w:spacing w:val="-10"/>
          <w:sz w:val="21"/>
        </w:rPr>
        <w:t>规定执行。</w:t>
      </w:r>
      <w:r>
        <w:rPr>
          <w:spacing w:val="-10"/>
          <w:sz w:val="21"/>
        </w:rPr>
        <w:t xml:space="preserve"> </w:t>
      </w:r>
    </w:p>
    <w:p w14:paraId="22CC8737" w14:textId="77777777" w:rsidR="00A71EEF" w:rsidRDefault="00A71EEF">
      <w:pPr>
        <w:pStyle w:val="a3"/>
        <w:spacing w:before="8"/>
        <w:rPr>
          <w:sz w:val="15"/>
        </w:rPr>
      </w:pPr>
    </w:p>
    <w:p w14:paraId="1B6C12F0" w14:textId="77777777" w:rsidR="00A71EEF" w:rsidRDefault="0081115D">
      <w:pPr>
        <w:pStyle w:val="4"/>
      </w:pPr>
      <w:r>
        <w:t xml:space="preserve">6 </w:t>
      </w:r>
      <w:r>
        <w:t>检验规则</w:t>
      </w:r>
      <w:r>
        <w:rPr>
          <w:w w:val="99"/>
        </w:rPr>
        <w:t xml:space="preserve"> </w:t>
      </w:r>
    </w:p>
    <w:p w14:paraId="1C1F3F61" w14:textId="77777777" w:rsidR="00A71EEF" w:rsidRDefault="00A71EEF">
      <w:pPr>
        <w:pStyle w:val="a3"/>
        <w:spacing w:before="4"/>
        <w:rPr>
          <w:b/>
          <w:sz w:val="17"/>
        </w:rPr>
      </w:pPr>
    </w:p>
    <w:p w14:paraId="75CF3CEF" w14:textId="77777777" w:rsidR="00A71EEF" w:rsidRDefault="0081115D">
      <w:pPr>
        <w:pStyle w:val="a3"/>
        <w:ind w:left="838"/>
      </w:pPr>
      <w:r>
        <w:t>森林防火服的检验规则按照</w:t>
      </w:r>
      <w:r>
        <w:t xml:space="preserve"> FZ/T 81007——2012 </w:t>
      </w:r>
      <w:r>
        <w:t>第</w:t>
      </w:r>
      <w:r>
        <w:t xml:space="preserve"> 5 </w:t>
      </w:r>
      <w:r>
        <w:t>章规定执行。</w:t>
      </w:r>
      <w:r>
        <w:t xml:space="preserve"> </w:t>
      </w:r>
    </w:p>
    <w:p w14:paraId="2A618EB8" w14:textId="77777777" w:rsidR="00A71EEF" w:rsidRDefault="00A71EEF">
      <w:pPr>
        <w:pStyle w:val="a3"/>
        <w:spacing w:before="10"/>
        <w:rPr>
          <w:sz w:val="15"/>
        </w:rPr>
      </w:pPr>
    </w:p>
    <w:p w14:paraId="7BACDFEA" w14:textId="77777777" w:rsidR="00A71EEF" w:rsidRDefault="0081115D">
      <w:pPr>
        <w:pStyle w:val="4"/>
      </w:pPr>
      <w:r>
        <w:t xml:space="preserve">7 </w:t>
      </w:r>
      <w:r>
        <w:t>标识</w:t>
      </w:r>
      <w:r>
        <w:rPr>
          <w:w w:val="99"/>
        </w:rPr>
        <w:t xml:space="preserve"> </w:t>
      </w:r>
    </w:p>
    <w:p w14:paraId="32170141" w14:textId="77777777" w:rsidR="00A71EEF" w:rsidRDefault="00A71EEF">
      <w:pPr>
        <w:pStyle w:val="a3"/>
        <w:spacing w:before="4"/>
        <w:rPr>
          <w:b/>
          <w:sz w:val="17"/>
        </w:rPr>
      </w:pPr>
    </w:p>
    <w:p w14:paraId="3797EE29" w14:textId="77777777" w:rsidR="00A71EEF" w:rsidRDefault="0081115D">
      <w:pPr>
        <w:spacing w:before="1"/>
        <w:ind w:left="840"/>
        <w:rPr>
          <w:sz w:val="21"/>
        </w:rPr>
      </w:pPr>
      <w:r>
        <w:rPr>
          <w:b/>
          <w:sz w:val="21"/>
        </w:rPr>
        <w:t xml:space="preserve">7.1 </w:t>
      </w:r>
      <w:r>
        <w:rPr>
          <w:sz w:val="21"/>
        </w:rPr>
        <w:t>永久标识</w:t>
      </w:r>
      <w:r>
        <w:rPr>
          <w:sz w:val="21"/>
        </w:rPr>
        <w:t xml:space="preserve"> </w:t>
      </w:r>
    </w:p>
    <w:p w14:paraId="5A9862AD" w14:textId="77777777" w:rsidR="00A71EEF" w:rsidRDefault="00A71EEF">
      <w:pPr>
        <w:pStyle w:val="a3"/>
        <w:spacing w:before="12"/>
        <w:rPr>
          <w:sz w:val="17"/>
        </w:rPr>
      </w:pPr>
    </w:p>
    <w:p w14:paraId="230E6123" w14:textId="77777777" w:rsidR="00A71EEF" w:rsidRDefault="0081115D">
      <w:pPr>
        <w:pStyle w:val="a3"/>
        <w:spacing w:line="446" w:lineRule="auto"/>
        <w:ind w:left="840" w:right="2345" w:hanging="3"/>
        <w:rPr>
          <w:b/>
        </w:rPr>
      </w:pPr>
      <w:r>
        <w:t>森林防火服上应有产品名称、产品执行标准、生产日期、号型规格、生产厂名。</w:t>
      </w:r>
      <w:r>
        <w:rPr>
          <w:b/>
        </w:rPr>
        <w:t xml:space="preserve">7.2 </w:t>
      </w:r>
      <w:r>
        <w:t>合格证</w:t>
      </w:r>
      <w:r>
        <w:rPr>
          <w:b/>
          <w:w w:val="99"/>
        </w:rPr>
        <w:t xml:space="preserve"> </w:t>
      </w:r>
    </w:p>
    <w:p w14:paraId="79B150D5" w14:textId="77777777" w:rsidR="00A71EEF" w:rsidRDefault="0081115D">
      <w:pPr>
        <w:pStyle w:val="a3"/>
        <w:spacing w:line="446" w:lineRule="auto"/>
        <w:ind w:left="418" w:right="1333" w:firstLine="419"/>
      </w:pPr>
      <w:r>
        <w:t>合格证内容应至少包含产品名称、产品执行标准、面料成分、生产日期、号型规格、厂名、厂址和联系方式。</w:t>
      </w:r>
      <w:r>
        <w:t xml:space="preserve"> </w:t>
      </w:r>
    </w:p>
    <w:p w14:paraId="2276E268" w14:textId="77777777" w:rsidR="00A71EEF" w:rsidRDefault="0081115D">
      <w:pPr>
        <w:ind w:left="840"/>
        <w:rPr>
          <w:b/>
          <w:sz w:val="21"/>
        </w:rPr>
      </w:pPr>
      <w:r>
        <w:rPr>
          <w:b/>
          <w:sz w:val="21"/>
        </w:rPr>
        <w:t xml:space="preserve">7.3 </w:t>
      </w:r>
      <w:r>
        <w:rPr>
          <w:sz w:val="21"/>
        </w:rPr>
        <w:t>包装</w:t>
      </w:r>
      <w:r>
        <w:rPr>
          <w:b/>
          <w:w w:val="99"/>
          <w:sz w:val="21"/>
        </w:rPr>
        <w:t xml:space="preserve"> </w:t>
      </w:r>
    </w:p>
    <w:p w14:paraId="45D88054" w14:textId="77777777" w:rsidR="00A71EEF" w:rsidRDefault="00A71EEF">
      <w:pPr>
        <w:pStyle w:val="a3"/>
        <w:spacing w:before="12"/>
        <w:rPr>
          <w:b/>
          <w:sz w:val="17"/>
        </w:rPr>
      </w:pPr>
    </w:p>
    <w:p w14:paraId="1DBFFA79" w14:textId="77777777" w:rsidR="00A71EEF" w:rsidRDefault="0081115D">
      <w:pPr>
        <w:pStyle w:val="a3"/>
        <w:spacing w:line="446" w:lineRule="auto"/>
        <w:ind w:left="840" w:right="1330" w:hanging="3"/>
      </w:pPr>
      <w:r>
        <w:rPr>
          <w:spacing w:val="-9"/>
        </w:rPr>
        <w:t>森林防火服及其福利的外包装上，应有产品名称、产品执行标准、商标</w:t>
      </w:r>
      <w:r>
        <w:t>（</w:t>
      </w:r>
      <w:r>
        <w:rPr>
          <w:spacing w:val="-2"/>
        </w:rPr>
        <w:t>如有</w:t>
      </w:r>
      <w:r>
        <w:rPr>
          <w:spacing w:val="-108"/>
        </w:rPr>
        <w:t>）</w:t>
      </w:r>
      <w:r>
        <w:rPr>
          <w:spacing w:val="-8"/>
        </w:rPr>
        <w:t>、号型规格。</w:t>
      </w:r>
      <w:r>
        <w:rPr>
          <w:b/>
        </w:rPr>
        <w:t xml:space="preserve">7.4 </w:t>
      </w:r>
      <w:r>
        <w:rPr>
          <w:spacing w:val="-3"/>
        </w:rPr>
        <w:t>说明书</w:t>
      </w:r>
      <w:r>
        <w:t xml:space="preserve"> </w:t>
      </w:r>
    </w:p>
    <w:p w14:paraId="68F8B345" w14:textId="77777777" w:rsidR="00A71EEF" w:rsidRDefault="0081115D">
      <w:pPr>
        <w:pStyle w:val="a3"/>
        <w:ind w:left="838"/>
      </w:pPr>
      <w:r>
        <w:t>森林防火服的独立包装中均应有产品说明书，产品说明书应至少包括：</w:t>
      </w:r>
      <w:r>
        <w:t xml:space="preserve"> </w:t>
      </w:r>
    </w:p>
    <w:p w14:paraId="28024A90" w14:textId="77777777" w:rsidR="00A71EEF" w:rsidRDefault="00A71EEF">
      <w:pPr>
        <w:sectPr w:rsidR="00A71EEF">
          <w:pgSz w:w="11910" w:h="16850"/>
          <w:pgMar w:top="1220" w:right="0" w:bottom="1420" w:left="1260" w:header="0" w:footer="1239" w:gutter="0"/>
          <w:cols w:space="720"/>
        </w:sectPr>
      </w:pPr>
    </w:p>
    <w:p w14:paraId="7AF350BF" w14:textId="77777777" w:rsidR="00A71EEF" w:rsidRDefault="0081115D">
      <w:pPr>
        <w:pStyle w:val="a3"/>
        <w:spacing w:before="47" w:line="446" w:lineRule="auto"/>
        <w:ind w:left="838" w:right="8436"/>
      </w:pPr>
      <w:r>
        <w:t>a)</w:t>
      </w:r>
      <w:r>
        <w:t>使用限制；</w:t>
      </w:r>
      <w:r>
        <w:t xml:space="preserve"> b)</w:t>
      </w:r>
      <w:r>
        <w:t>号型；</w:t>
      </w:r>
      <w:r>
        <w:t xml:space="preserve"> </w:t>
      </w:r>
    </w:p>
    <w:p w14:paraId="636DB8CE" w14:textId="77777777" w:rsidR="00A71EEF" w:rsidRDefault="0081115D">
      <w:pPr>
        <w:pStyle w:val="a3"/>
        <w:spacing w:line="446" w:lineRule="auto"/>
        <w:ind w:left="838" w:right="7809"/>
      </w:pPr>
      <w:r>
        <w:t>c)</w:t>
      </w:r>
      <w:r>
        <w:t>使用前检查程序；</w:t>
      </w:r>
      <w:r>
        <w:t xml:space="preserve"> d)</w:t>
      </w:r>
      <w:r>
        <w:t>保养和维护信息。</w:t>
      </w:r>
      <w:r>
        <w:t xml:space="preserve"> </w:t>
      </w:r>
    </w:p>
    <w:p w14:paraId="035795C6" w14:textId="77777777" w:rsidR="00A71EEF" w:rsidRDefault="00A71EEF">
      <w:pPr>
        <w:spacing w:line="446" w:lineRule="auto"/>
        <w:sectPr w:rsidR="00A71EEF">
          <w:pgSz w:w="11910" w:h="16850"/>
          <w:pgMar w:top="1220" w:right="0" w:bottom="1420" w:left="1260" w:header="0" w:footer="1239" w:gutter="0"/>
          <w:cols w:space="720"/>
        </w:sectPr>
      </w:pPr>
    </w:p>
    <w:p w14:paraId="521985B9" w14:textId="77777777" w:rsidR="00A71EEF" w:rsidRDefault="0081115D">
      <w:pPr>
        <w:pStyle w:val="4"/>
        <w:spacing w:before="55"/>
        <w:ind w:left="0" w:right="898"/>
        <w:jc w:val="center"/>
      </w:pPr>
      <w:r>
        <w:t>附录</w:t>
      </w:r>
      <w:r>
        <w:t xml:space="preserve"> A</w:t>
      </w:r>
      <w:r>
        <w:t>（资料性附录）森林防火服的设计款式示意图</w:t>
      </w:r>
      <w:r>
        <w:rPr>
          <w:w w:val="99"/>
        </w:rPr>
        <w:t xml:space="preserve"> </w:t>
      </w:r>
    </w:p>
    <w:p w14:paraId="382BFE46" w14:textId="77777777" w:rsidR="00A71EEF" w:rsidRDefault="00A71EEF">
      <w:pPr>
        <w:pStyle w:val="a3"/>
        <w:rPr>
          <w:b/>
          <w:sz w:val="24"/>
        </w:rPr>
      </w:pPr>
    </w:p>
    <w:p w14:paraId="0AC684C5" w14:textId="77777777" w:rsidR="00A71EEF" w:rsidRDefault="0081115D">
      <w:pPr>
        <w:pStyle w:val="a3"/>
        <w:spacing w:before="176"/>
        <w:ind w:left="838"/>
      </w:pPr>
      <w:r>
        <w:t>森林防火服的设计款式如图</w:t>
      </w:r>
      <w:r>
        <w:t xml:space="preserve"> A.1 </w:t>
      </w:r>
      <w:r>
        <w:t>所示。</w:t>
      </w:r>
      <w:r>
        <w:t xml:space="preserve"> </w:t>
      </w:r>
    </w:p>
    <w:p w14:paraId="7CE03C06" w14:textId="77777777" w:rsidR="00A71EEF" w:rsidRDefault="0081115D">
      <w:pPr>
        <w:pStyle w:val="a3"/>
        <w:spacing w:before="11"/>
        <w:rPr>
          <w:sz w:val="18"/>
        </w:rPr>
      </w:pPr>
      <w:r>
        <w:rPr>
          <w:noProof/>
        </w:rPr>
        <w:drawing>
          <wp:anchor distT="0" distB="0" distL="0" distR="0" simplePos="0" relativeHeight="251759104" behindDoc="0" locked="0" layoutInCell="1" allowOverlap="1" wp14:anchorId="73849764" wp14:editId="40B0D176">
            <wp:simplePos x="0" y="0"/>
            <wp:positionH relativeFrom="page">
              <wp:posOffset>1522573</wp:posOffset>
            </wp:positionH>
            <wp:positionV relativeFrom="paragraph">
              <wp:posOffset>178758</wp:posOffset>
            </wp:positionV>
            <wp:extent cx="5029384" cy="5857875"/>
            <wp:effectExtent l="0" t="0" r="0" b="0"/>
            <wp:wrapTopAndBottom/>
            <wp:docPr id="849" name="image5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 name="image501.jpeg"/>
                    <pic:cNvPicPr/>
                  </pic:nvPicPr>
                  <pic:blipFill>
                    <a:blip r:embed="rId625" cstate="print"/>
                    <a:stretch>
                      <a:fillRect/>
                    </a:stretch>
                  </pic:blipFill>
                  <pic:spPr>
                    <a:xfrm>
                      <a:off x="0" y="0"/>
                      <a:ext cx="5029384" cy="5857875"/>
                    </a:xfrm>
                    <a:prstGeom prst="rect">
                      <a:avLst/>
                    </a:prstGeom>
                  </pic:spPr>
                </pic:pic>
              </a:graphicData>
            </a:graphic>
          </wp:anchor>
        </w:drawing>
      </w:r>
    </w:p>
    <w:p w14:paraId="416BB6CE" w14:textId="77777777" w:rsidR="00A71EEF" w:rsidRDefault="00A71EEF">
      <w:pPr>
        <w:pStyle w:val="a3"/>
        <w:spacing w:before="2"/>
        <w:rPr>
          <w:sz w:val="16"/>
        </w:rPr>
      </w:pPr>
    </w:p>
    <w:p w14:paraId="5C50C3CB" w14:textId="77777777" w:rsidR="00A71EEF" w:rsidRDefault="0081115D">
      <w:pPr>
        <w:pStyle w:val="6"/>
        <w:spacing w:before="1"/>
        <w:ind w:right="914"/>
        <w:jc w:val="center"/>
      </w:pPr>
      <w:r>
        <w:t>图</w:t>
      </w:r>
      <w:r>
        <w:t xml:space="preserve"> A.1 </w:t>
      </w:r>
      <w:r>
        <w:t>森林防火服设计示意图</w:t>
      </w:r>
      <w:r>
        <w:rPr>
          <w:w w:val="99"/>
        </w:rPr>
        <w:t xml:space="preserve"> </w:t>
      </w:r>
    </w:p>
    <w:p w14:paraId="21741D1D" w14:textId="77777777" w:rsidR="00A71EEF" w:rsidRDefault="00A71EEF">
      <w:pPr>
        <w:pStyle w:val="a3"/>
        <w:rPr>
          <w:b/>
          <w:sz w:val="20"/>
        </w:rPr>
      </w:pPr>
    </w:p>
    <w:p w14:paraId="7E8D9741" w14:textId="77777777" w:rsidR="00A71EEF" w:rsidRDefault="00A71EEF">
      <w:pPr>
        <w:pStyle w:val="a3"/>
        <w:rPr>
          <w:b/>
          <w:sz w:val="20"/>
        </w:rPr>
      </w:pPr>
    </w:p>
    <w:p w14:paraId="18F0A1E2" w14:textId="77777777" w:rsidR="00A71EEF" w:rsidRDefault="00A71EEF">
      <w:pPr>
        <w:pStyle w:val="a3"/>
        <w:rPr>
          <w:b/>
          <w:sz w:val="20"/>
        </w:rPr>
      </w:pPr>
    </w:p>
    <w:p w14:paraId="627F2BF3" w14:textId="77777777" w:rsidR="00A71EEF" w:rsidRDefault="00A71EEF">
      <w:pPr>
        <w:pStyle w:val="a3"/>
        <w:rPr>
          <w:b/>
          <w:sz w:val="20"/>
        </w:rPr>
      </w:pPr>
    </w:p>
    <w:p w14:paraId="43C5E2BE" w14:textId="77777777" w:rsidR="00A71EEF" w:rsidRDefault="00A71EEF">
      <w:pPr>
        <w:pStyle w:val="a3"/>
        <w:rPr>
          <w:b/>
          <w:sz w:val="20"/>
        </w:rPr>
      </w:pPr>
    </w:p>
    <w:p w14:paraId="19986838" w14:textId="77777777" w:rsidR="00A71EEF" w:rsidRDefault="00A71EEF">
      <w:pPr>
        <w:pStyle w:val="a3"/>
        <w:rPr>
          <w:b/>
          <w:sz w:val="20"/>
        </w:rPr>
      </w:pPr>
    </w:p>
    <w:p w14:paraId="06E2F3FB" w14:textId="77777777" w:rsidR="00A71EEF" w:rsidRDefault="00A71EEF">
      <w:pPr>
        <w:pStyle w:val="a3"/>
        <w:rPr>
          <w:b/>
          <w:sz w:val="20"/>
        </w:rPr>
      </w:pPr>
    </w:p>
    <w:p w14:paraId="4BB68A2C" w14:textId="77777777" w:rsidR="00A71EEF" w:rsidRDefault="00A71EEF">
      <w:pPr>
        <w:pStyle w:val="a3"/>
        <w:spacing w:before="7"/>
        <w:rPr>
          <w:b/>
          <w:sz w:val="28"/>
        </w:rPr>
      </w:pPr>
    </w:p>
    <w:p w14:paraId="34DF9759" w14:textId="77777777" w:rsidR="00A71EEF" w:rsidRDefault="0081115D">
      <w:pPr>
        <w:spacing w:before="72"/>
        <w:ind w:left="418"/>
        <w:rPr>
          <w:b/>
          <w:sz w:val="21"/>
        </w:rPr>
      </w:pPr>
      <w:r>
        <w:rPr>
          <w:b/>
          <w:w w:val="99"/>
          <w:sz w:val="21"/>
        </w:rPr>
        <w:t xml:space="preserve"> </w:t>
      </w:r>
    </w:p>
    <w:sectPr w:rsidR="00A71EEF">
      <w:pgSz w:w="11910" w:h="16850"/>
      <w:pgMar w:top="1180" w:right="0" w:bottom="1420" w:left="1260" w:header="0" w:footer="12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D42EB" w14:textId="77777777" w:rsidR="0081115D" w:rsidRDefault="0081115D">
      <w:r>
        <w:separator/>
      </w:r>
    </w:p>
  </w:endnote>
  <w:endnote w:type="continuationSeparator" w:id="0">
    <w:p w14:paraId="51152783" w14:textId="77777777" w:rsidR="0081115D" w:rsidRDefault="00811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altName w:val="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00"/>
    <w:family w:val="modern"/>
    <w:pitch w:val="fixed"/>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2BB72" w14:textId="77777777" w:rsidR="00A71EEF" w:rsidRDefault="0081115D">
    <w:pPr>
      <w:pStyle w:val="a3"/>
      <w:spacing w:line="14" w:lineRule="auto"/>
      <w:rPr>
        <w:sz w:val="19"/>
      </w:rPr>
    </w:pPr>
    <w:r>
      <w:pict w14:anchorId="0C8BAD22">
        <v:shapetype id="_x0000_t202" coordsize="21600,21600" o:spt="202" path="m,l,21600r21600,l21600,xe">
          <v:stroke joinstyle="miter"/>
          <v:path gradientshapeok="t" o:connecttype="rect"/>
        </v:shapetype>
        <v:shape id="_x0000_s2138" type="#_x0000_t202" style="position:absolute;margin-left:299.25pt;margin-top:781.3pt;width:8.75pt;height:11.4pt;z-index:-287682560;mso-position-horizontal-relative:page;mso-position-vertical-relative:page" filled="f" stroked="f">
          <v:textbox inset="0,0,0,0">
            <w:txbxContent>
              <w:p w14:paraId="3E56AF27"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3</w:t>
                </w:r>
                <w: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A1CB2" w14:textId="77777777" w:rsidR="00A71EEF" w:rsidRDefault="0081115D">
    <w:pPr>
      <w:pStyle w:val="a3"/>
      <w:spacing w:line="14" w:lineRule="auto"/>
      <w:rPr>
        <w:sz w:val="20"/>
      </w:rPr>
    </w:pPr>
    <w:r>
      <w:pict w14:anchorId="030703FE">
        <v:shapetype id="_x0000_t202" coordsize="21600,21600" o:spt="202" path="m,l,21600r21600,l21600,xe">
          <v:stroke joinstyle="miter"/>
          <v:path gradientshapeok="t" o:connecttype="rect"/>
        </v:shapetype>
        <v:shape id="_x0000_s2124" type="#_x0000_t202" style="position:absolute;margin-left:292.15pt;margin-top:769.05pt;width:23pt;height:11.4pt;z-index:-287668224;mso-position-horizontal-relative:page;mso-position-vertical-relative:page" filled="f" stroked="f">
          <v:textbox inset="0,0,0,0">
            <w:txbxContent>
              <w:p w14:paraId="3A517ECB"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1050</w:t>
                </w:r>
                <w: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DD6DB" w14:textId="77777777" w:rsidR="00A71EEF" w:rsidRDefault="0081115D">
    <w:pPr>
      <w:pStyle w:val="a3"/>
      <w:spacing w:line="14" w:lineRule="auto"/>
      <w:rPr>
        <w:sz w:val="20"/>
      </w:rPr>
    </w:pPr>
    <w:r>
      <w:pict w14:anchorId="3F30CF5C">
        <v:shapetype id="_x0000_t202" coordsize="21600,21600" o:spt="202" path="m,l,21600r21600,l21600,xe">
          <v:stroke joinstyle="miter"/>
          <v:path gradientshapeok="t" o:connecttype="rect"/>
        </v:shapetype>
        <v:shape id="_x0000_s2123" type="#_x0000_t202" style="position:absolute;margin-left:292.15pt;margin-top:769.05pt;width:23pt;height:11.4pt;z-index:-287667200;mso-position-horizontal-relative:page;mso-position-vertical-relative:page" filled="f" stroked="f">
          <v:textbox inset="0,0,0,0">
            <w:txbxContent>
              <w:p w14:paraId="5CDEC25E"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1060</w:t>
                </w:r>
                <w: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33A8D" w14:textId="77777777" w:rsidR="00A71EEF" w:rsidRDefault="0081115D">
    <w:pPr>
      <w:pStyle w:val="a3"/>
      <w:spacing w:line="14" w:lineRule="auto"/>
      <w:rPr>
        <w:sz w:val="20"/>
      </w:rPr>
    </w:pPr>
    <w:r>
      <w:pict w14:anchorId="4E8FDD15">
        <v:shapetype id="_x0000_t202" coordsize="21600,21600" o:spt="202" path="m,l,21600r21600,l21600,xe">
          <v:stroke joinstyle="miter"/>
          <v:path gradientshapeok="t" o:connecttype="rect"/>
        </v:shapetype>
        <v:shape id="_x0000_s2122" type="#_x0000_t202" style="position:absolute;margin-left:292.15pt;margin-top:769.05pt;width:23pt;height:11.4pt;z-index:-287666176;mso-position-horizontal-relative:page;mso-position-vertical-relative:page" filled="f" stroked="f">
          <v:textbox inset="0,0,0,0">
            <w:txbxContent>
              <w:p w14:paraId="1583F352"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1070</w:t>
                </w:r>
                <w: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D82B4" w14:textId="77777777" w:rsidR="00A71EEF" w:rsidRDefault="0081115D">
    <w:pPr>
      <w:pStyle w:val="a3"/>
      <w:spacing w:line="14" w:lineRule="auto"/>
      <w:rPr>
        <w:sz w:val="20"/>
      </w:rPr>
    </w:pPr>
    <w:r>
      <w:pict w14:anchorId="00214540">
        <v:shapetype id="_x0000_t202" coordsize="21600,21600" o:spt="202" path="m,l,21600r21600,l21600,xe">
          <v:stroke joinstyle="miter"/>
          <v:path gradientshapeok="t" o:connecttype="rect"/>
        </v:shapetype>
        <v:shape id="_x0000_s2121" type="#_x0000_t202" style="position:absolute;margin-left:292.15pt;margin-top:769.05pt;width:23pt;height:11.4pt;z-index:-287665152;mso-position-horizontal-relative:page;mso-position-vertical-relative:page" filled="f" stroked="f">
          <v:textbox inset="0,0,0,0">
            <w:txbxContent>
              <w:p w14:paraId="46F89C82"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1080</w:t>
                </w:r>
                <w: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AE4B2" w14:textId="77777777" w:rsidR="00A71EEF" w:rsidRDefault="0081115D">
    <w:pPr>
      <w:pStyle w:val="a3"/>
      <w:spacing w:line="14" w:lineRule="auto"/>
      <w:rPr>
        <w:sz w:val="12"/>
      </w:rPr>
    </w:pPr>
    <w:r>
      <w:pict w14:anchorId="176A5AD4">
        <v:shapetype id="_x0000_t202" coordsize="21600,21600" o:spt="202" path="m,l,21600r21600,l21600,xe">
          <v:stroke joinstyle="miter"/>
          <v:path gradientshapeok="t" o:connecttype="rect"/>
        </v:shapetype>
        <v:shape id="_x0000_s2120" type="#_x0000_t202" style="position:absolute;margin-left:292.15pt;margin-top:769.05pt;width:23pt;height:11.4pt;z-index:-287664128;mso-position-horizontal-relative:page;mso-position-vertical-relative:page" filled="f" stroked="f">
          <v:textbox inset="0,0,0,0">
            <w:txbxContent>
              <w:p w14:paraId="6DB0707B"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1099</w:t>
                </w:r>
                <w:r>
                  <w:fldChar w:fldCharType="end"/>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A51B4" w14:textId="77777777" w:rsidR="00A71EEF" w:rsidRDefault="0081115D">
    <w:pPr>
      <w:pStyle w:val="a3"/>
      <w:spacing w:line="14" w:lineRule="auto"/>
      <w:rPr>
        <w:sz w:val="20"/>
      </w:rPr>
    </w:pPr>
    <w:r>
      <w:pict w14:anchorId="662B41CB">
        <v:shapetype id="_x0000_t202" coordsize="21600,21600" o:spt="202" path="m,l,21600r21600,l21600,xe">
          <v:stroke joinstyle="miter"/>
          <v:path gradientshapeok="t" o:connecttype="rect"/>
        </v:shapetype>
        <v:shape id="_x0000_s2119" type="#_x0000_t202" style="position:absolute;margin-left:292.15pt;margin-top:769.05pt;width:23pt;height:11.4pt;z-index:-287663104;mso-position-horizontal-relative:page;mso-position-vertical-relative:page" filled="f" stroked="f">
          <v:textbox inset="0,0,0,0">
            <w:txbxContent>
              <w:p w14:paraId="125C59D5"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1100</w:t>
                </w:r>
                <w:r>
                  <w:fldChar w:fldCharType="end"/>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A6AD1" w14:textId="77777777" w:rsidR="00A71EEF" w:rsidRDefault="0081115D">
    <w:pPr>
      <w:pStyle w:val="a3"/>
      <w:spacing w:line="14" w:lineRule="auto"/>
      <w:rPr>
        <w:sz w:val="20"/>
      </w:rPr>
    </w:pPr>
    <w:r>
      <w:pict w14:anchorId="2487FB98">
        <v:shapetype id="_x0000_t202" coordsize="21600,21600" o:spt="202" path="m,l,21600r21600,l21600,xe">
          <v:stroke joinstyle="miter"/>
          <v:path gradientshapeok="t" o:connecttype="rect"/>
        </v:shapetype>
        <v:shape id="_x0000_s2118" type="#_x0000_t202" style="position:absolute;margin-left:292.15pt;margin-top:769.05pt;width:23pt;height:11.4pt;z-index:-287662080;mso-position-horizontal-relative:page;mso-position-vertical-relative:page" filled="f" stroked="f">
          <v:textbox inset="0,0,0,0">
            <w:txbxContent>
              <w:p w14:paraId="1AD6F5AC"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1110</w:t>
                </w:r>
                <w:r>
                  <w:fldChar w:fldCharType="end"/>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AF74E" w14:textId="77777777" w:rsidR="00A71EEF" w:rsidRDefault="0081115D">
    <w:pPr>
      <w:pStyle w:val="a3"/>
      <w:spacing w:line="14" w:lineRule="auto"/>
      <w:rPr>
        <w:sz w:val="20"/>
      </w:rPr>
    </w:pPr>
    <w:r>
      <w:pict w14:anchorId="0FCBC306">
        <v:shapetype id="_x0000_t202" coordsize="21600,21600" o:spt="202" path="m,l,21600r21600,l21600,xe">
          <v:stroke joinstyle="miter"/>
          <v:path gradientshapeok="t" o:connecttype="rect"/>
        </v:shapetype>
        <v:shape id="_x0000_s2117" type="#_x0000_t202" style="position:absolute;margin-left:292.15pt;margin-top:769.05pt;width:23pt;height:11.4pt;z-index:-287661056;mso-position-horizontal-relative:page;mso-position-vertical-relative:page" filled="f" stroked="f">
          <v:textbox inset="0,0,0,0">
            <w:txbxContent>
              <w:p w14:paraId="3E44C6FD"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1120</w:t>
                </w:r>
                <w: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C3FB6" w14:textId="77777777" w:rsidR="00A71EEF" w:rsidRDefault="0081115D">
    <w:pPr>
      <w:pStyle w:val="a3"/>
      <w:spacing w:line="14" w:lineRule="auto"/>
      <w:rPr>
        <w:sz w:val="20"/>
      </w:rPr>
    </w:pPr>
    <w:r>
      <w:pict w14:anchorId="170577A0">
        <v:shapetype id="_x0000_t202" coordsize="21600,21600" o:spt="202" path="m,l,21600r21600,l21600,xe">
          <v:stroke joinstyle="miter"/>
          <v:path gradientshapeok="t" o:connecttype="rect"/>
        </v:shapetype>
        <v:shape id="_x0000_s2116" type="#_x0000_t202" style="position:absolute;margin-left:292.15pt;margin-top:769.05pt;width:23pt;height:11.4pt;z-index:-287660032;mso-position-horizontal-relative:page;mso-position-vertical-relative:page" filled="f" stroked="f">
          <v:textbox inset="0,0,0,0">
            <w:txbxContent>
              <w:p w14:paraId="69526913"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1130</w:t>
                </w:r>
                <w:r>
                  <w:fldChar w:fldCharType="end"/>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10244" w14:textId="77777777" w:rsidR="00A71EEF" w:rsidRDefault="0081115D">
    <w:pPr>
      <w:pStyle w:val="a3"/>
      <w:spacing w:line="14" w:lineRule="auto"/>
      <w:rPr>
        <w:sz w:val="20"/>
      </w:rPr>
    </w:pPr>
    <w:r>
      <w:pict w14:anchorId="47CB02AD">
        <v:shapetype id="_x0000_t202" coordsize="21600,21600" o:spt="202" path="m,l,21600r21600,l21600,xe">
          <v:stroke joinstyle="miter"/>
          <v:path gradientshapeok="t" o:connecttype="rect"/>
        </v:shapetype>
        <v:shape id="_x0000_s2115" type="#_x0000_t202" style="position:absolute;margin-left:292.15pt;margin-top:769.05pt;width:23pt;height:11.4pt;z-index:-287659008;mso-position-horizontal-relative:page;mso-position-vertical-relative:page" filled="f" stroked="f">
          <v:textbox inset="0,0,0,0">
            <w:txbxContent>
              <w:p w14:paraId="29732CCB"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1140</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8F61F" w14:textId="77777777" w:rsidR="00A71EEF" w:rsidRDefault="0081115D">
    <w:pPr>
      <w:pStyle w:val="a3"/>
      <w:spacing w:line="14" w:lineRule="auto"/>
      <w:rPr>
        <w:sz w:val="20"/>
      </w:rPr>
    </w:pPr>
    <w:r>
      <w:pict w14:anchorId="657D9C95">
        <v:shapetype id="_x0000_t202" coordsize="21600,21600" o:spt="202" path="m,l,21600r21600,l21600,xe">
          <v:stroke joinstyle="miter"/>
          <v:path gradientshapeok="t" o:connecttype="rect"/>
        </v:shapetype>
        <v:shape id="_x0000_s2137" type="#_x0000_t202" style="position:absolute;margin-left:294.45pt;margin-top:769.05pt;width:18.4pt;height:11.4pt;z-index:-287681536;mso-position-horizontal-relative:page;mso-position-vertical-relative:page" filled="f" stroked="f">
          <v:textbox inset="0,0,0,0">
            <w:txbxContent>
              <w:p w14:paraId="3991AEE2"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780</w:t>
                </w:r>
                <w:r>
                  <w:fldChar w:fldCharType="end"/>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E726D" w14:textId="77777777" w:rsidR="00A71EEF" w:rsidRDefault="0081115D">
    <w:pPr>
      <w:pStyle w:val="a3"/>
      <w:spacing w:line="14" w:lineRule="auto"/>
      <w:rPr>
        <w:sz w:val="20"/>
      </w:rPr>
    </w:pPr>
    <w:r>
      <w:pict w14:anchorId="5232809C">
        <v:shapetype id="_x0000_t202" coordsize="21600,21600" o:spt="202" path="m,l,21600r21600,l21600,xe">
          <v:stroke joinstyle="miter"/>
          <v:path gradientshapeok="t" o:connecttype="rect"/>
        </v:shapetype>
        <v:shape id="_x0000_s2114" type="#_x0000_t202" style="position:absolute;margin-left:292.15pt;margin-top:769.05pt;width:23pt;height:11.4pt;z-index:-287657984;mso-position-horizontal-relative:page;mso-position-vertical-relative:page" filled="f" stroked="f">
          <v:textbox inset="0,0,0,0">
            <w:txbxContent>
              <w:p w14:paraId="4B6ABB87"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1150</w:t>
                </w:r>
                <w:r>
                  <w:fldChar w:fldCharType="end"/>
                </w:r>
              </w:p>
            </w:txbxContent>
          </v:textbox>
          <w10:wrap anchorx="page" anchory="page"/>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541FC" w14:textId="77777777" w:rsidR="00A71EEF" w:rsidRDefault="0081115D">
    <w:pPr>
      <w:pStyle w:val="a3"/>
      <w:spacing w:line="14" w:lineRule="auto"/>
      <w:rPr>
        <w:sz w:val="12"/>
      </w:rPr>
    </w:pPr>
    <w:r>
      <w:pict w14:anchorId="767CD1BC">
        <v:shapetype id="_x0000_t202" coordsize="21600,21600" o:spt="202" path="m,l,21600r21600,l21600,xe">
          <v:stroke joinstyle="miter"/>
          <v:path gradientshapeok="t" o:connecttype="rect"/>
        </v:shapetype>
        <v:shape id="_x0000_s2113" type="#_x0000_t202" style="position:absolute;margin-left:292.15pt;margin-top:769.05pt;width:23pt;height:11.4pt;z-index:-287656960;mso-position-horizontal-relative:page;mso-position-vertical-relative:page" filled="f" stroked="f">
          <v:textbox inset="0,0,0,0">
            <w:txbxContent>
              <w:p w14:paraId="686B36BC"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1169</w:t>
                </w:r>
                <w:r>
                  <w:fldChar w:fldCharType="end"/>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A9D97" w14:textId="77777777" w:rsidR="00A71EEF" w:rsidRDefault="0081115D">
    <w:pPr>
      <w:pStyle w:val="a3"/>
      <w:spacing w:line="14" w:lineRule="auto"/>
      <w:rPr>
        <w:sz w:val="20"/>
      </w:rPr>
    </w:pPr>
    <w:r>
      <w:pict w14:anchorId="2D871D2C">
        <v:shapetype id="_x0000_t202" coordsize="21600,21600" o:spt="202" path="m,l,21600r21600,l21600,xe">
          <v:stroke joinstyle="miter"/>
          <v:path gradientshapeok="t" o:connecttype="rect"/>
        </v:shapetype>
        <v:shape id="_x0000_s2112" type="#_x0000_t202" style="position:absolute;margin-left:292.15pt;margin-top:769.05pt;width:23pt;height:11.4pt;z-index:-287655936;mso-position-horizontal-relative:page;mso-position-vertical-relative:page" filled="f" stroked="f">
          <v:textbox inset="0,0,0,0">
            <w:txbxContent>
              <w:p w14:paraId="00BFB829"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1170</w:t>
                </w:r>
                <w:r>
                  <w:fldChar w:fldCharType="end"/>
                </w:r>
              </w:p>
            </w:txbxContent>
          </v:textbox>
          <w10:wrap anchorx="page" anchory="page"/>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A9F2B" w14:textId="77777777" w:rsidR="00A71EEF" w:rsidRDefault="0081115D">
    <w:pPr>
      <w:pStyle w:val="a3"/>
      <w:spacing w:line="14" w:lineRule="auto"/>
      <w:rPr>
        <w:sz w:val="20"/>
      </w:rPr>
    </w:pPr>
    <w:r>
      <w:pict w14:anchorId="3376EED6">
        <v:shapetype id="_x0000_t202" coordsize="21600,21600" o:spt="202" path="m,l,21600r21600,l21600,xe">
          <v:stroke joinstyle="miter"/>
          <v:path gradientshapeok="t" o:connecttype="rect"/>
        </v:shapetype>
        <v:shape id="_x0000_s2111" type="#_x0000_t202" style="position:absolute;margin-left:292.15pt;margin-top:769.05pt;width:23pt;height:11.4pt;z-index:-287654912;mso-position-horizontal-relative:page;mso-position-vertical-relative:page" filled="f" stroked="f">
          <v:textbox inset="0,0,0,0">
            <w:txbxContent>
              <w:p w14:paraId="27D2EDA2"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1180</w:t>
                </w:r>
                <w:r>
                  <w:fldChar w:fldCharType="end"/>
                </w:r>
              </w:p>
            </w:txbxContent>
          </v:textbox>
          <w10:wrap anchorx="page" anchory="page"/>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D0EAB" w14:textId="77777777" w:rsidR="00A71EEF" w:rsidRDefault="00A71EEF">
    <w:pPr>
      <w:pStyle w:val="a3"/>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8BBE7" w14:textId="77777777" w:rsidR="00A71EEF" w:rsidRDefault="0081115D">
    <w:pPr>
      <w:pStyle w:val="a3"/>
      <w:spacing w:line="14" w:lineRule="auto"/>
      <w:rPr>
        <w:sz w:val="20"/>
      </w:rPr>
    </w:pPr>
    <w:r>
      <w:pict w14:anchorId="74B55703">
        <v:shapetype id="_x0000_t202" coordsize="21600,21600" o:spt="202" path="m,l,21600r21600,l21600,xe">
          <v:stroke joinstyle="miter"/>
          <v:path gradientshapeok="t" o:connecttype="rect"/>
        </v:shapetype>
        <v:shape id="_x0000_s2110" type="#_x0000_t202" style="position:absolute;margin-left:292.15pt;margin-top:769.05pt;width:23pt;height:11.4pt;z-index:-287653888;mso-position-horizontal-relative:page;mso-position-vertical-relative:page" filled="f" stroked="f">
          <v:textbox inset="0,0,0,0">
            <w:txbxContent>
              <w:p w14:paraId="484FCB9F"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1185</w:t>
                </w:r>
                <w:r>
                  <w:fldChar w:fldCharType="end"/>
                </w:r>
              </w:p>
            </w:txbxContent>
          </v:textbox>
          <w10:wrap anchorx="page" anchory="page"/>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392EC" w14:textId="77777777" w:rsidR="00A71EEF" w:rsidRDefault="0081115D">
    <w:pPr>
      <w:pStyle w:val="a3"/>
      <w:spacing w:line="14" w:lineRule="auto"/>
      <w:rPr>
        <w:sz w:val="20"/>
      </w:rPr>
    </w:pPr>
    <w:r>
      <w:pict w14:anchorId="6BD81509">
        <v:shapetype id="_x0000_t202" coordsize="21600,21600" o:spt="202" path="m,l,21600r21600,l21600,xe">
          <v:stroke joinstyle="miter"/>
          <v:path gradientshapeok="t" o:connecttype="rect"/>
        </v:shapetype>
        <v:shape id="_x0000_s2109" type="#_x0000_t202" style="position:absolute;margin-left:292.15pt;margin-top:769.05pt;width:23pt;height:11.4pt;z-index:-287652864;mso-position-horizontal-relative:page;mso-position-vertical-relative:page" filled="f" stroked="f">
          <v:textbox inset="0,0,0,0">
            <w:txbxContent>
              <w:p w14:paraId="103C6401"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1190</w:t>
                </w:r>
                <w:r>
                  <w:fldChar w:fldCharType="end"/>
                </w:r>
              </w:p>
            </w:txbxContent>
          </v:textbox>
          <w10:wrap anchorx="page" anchory="page"/>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AE84B" w14:textId="77777777" w:rsidR="00A71EEF" w:rsidRDefault="0081115D">
    <w:pPr>
      <w:pStyle w:val="a3"/>
      <w:spacing w:line="14" w:lineRule="auto"/>
      <w:rPr>
        <w:sz w:val="20"/>
      </w:rPr>
    </w:pPr>
    <w:r>
      <w:pict w14:anchorId="5BABD95A">
        <v:shapetype id="_x0000_t202" coordsize="21600,21600" o:spt="202" path="m,l,21600r21600,l21600,xe">
          <v:stroke joinstyle="miter"/>
          <v:path gradientshapeok="t" o:connecttype="rect"/>
        </v:shapetype>
        <v:shape id="_x0000_s2108" type="#_x0000_t202" style="position:absolute;margin-left:292.15pt;margin-top:769.05pt;width:23pt;height:11.4pt;z-index:-287651840;mso-position-horizontal-relative:page;mso-position-vertical-relative:page" filled="f" stroked="f">
          <v:textbox inset="0,0,0,0">
            <w:txbxContent>
              <w:p w14:paraId="4A88690B"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1200</w:t>
                </w:r>
                <w:r>
                  <w:fldChar w:fldCharType="end"/>
                </w:r>
              </w:p>
            </w:txbxContent>
          </v:textbox>
          <w10:wrap anchorx="page" anchory="page"/>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55F6E" w14:textId="77777777" w:rsidR="00A71EEF" w:rsidRDefault="0081115D">
    <w:pPr>
      <w:pStyle w:val="a3"/>
      <w:spacing w:line="14" w:lineRule="auto"/>
      <w:rPr>
        <w:sz w:val="20"/>
      </w:rPr>
    </w:pPr>
    <w:r>
      <w:pict w14:anchorId="6ABE3EDD">
        <v:shapetype id="_x0000_t202" coordsize="21600,21600" o:spt="202" path="m,l,21600r21600,l21600,xe">
          <v:stroke joinstyle="miter"/>
          <v:path gradientshapeok="t" o:connecttype="rect"/>
        </v:shapetype>
        <v:shape id="_x0000_s2107" type="#_x0000_t202" style="position:absolute;margin-left:292.15pt;margin-top:769.05pt;width:23pt;height:11.4pt;z-index:-287650816;mso-position-horizontal-relative:page;mso-position-vertical-relative:page" filled="f" stroked="f">
          <v:textbox inset="0,0,0,0">
            <w:txbxContent>
              <w:p w14:paraId="25B15106"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1210</w:t>
                </w:r>
                <w:r>
                  <w:fldChar w:fldCharType="end"/>
                </w:r>
              </w:p>
            </w:txbxContent>
          </v:textbox>
          <w10:wrap anchorx="page" anchory="page"/>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CCB24" w14:textId="77777777" w:rsidR="00A71EEF" w:rsidRDefault="0081115D">
    <w:pPr>
      <w:pStyle w:val="a3"/>
      <w:spacing w:line="14" w:lineRule="auto"/>
      <w:rPr>
        <w:sz w:val="20"/>
      </w:rPr>
    </w:pPr>
    <w:r>
      <w:pict w14:anchorId="1F7E9714">
        <v:shapetype id="_x0000_t202" coordsize="21600,21600" o:spt="202" path="m,l,21600r21600,l21600,xe">
          <v:stroke joinstyle="miter"/>
          <v:path gradientshapeok="t" o:connecttype="rect"/>
        </v:shapetype>
        <v:shape id="_x0000_s2106" type="#_x0000_t202" style="position:absolute;margin-left:292.15pt;margin-top:769.05pt;width:23pt;height:11.4pt;z-index:-287649792;mso-position-horizontal-relative:page;mso-position-vertical-relative:page" filled="f" stroked="f">
          <v:textbox inset="0,0,0,0">
            <w:txbxContent>
              <w:p w14:paraId="654D9BA1"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1220</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FDBBD" w14:textId="77777777" w:rsidR="00A71EEF" w:rsidRDefault="0081115D">
    <w:pPr>
      <w:pStyle w:val="a3"/>
      <w:spacing w:line="14" w:lineRule="auto"/>
      <w:rPr>
        <w:sz w:val="20"/>
      </w:rPr>
    </w:pPr>
    <w:r>
      <w:pict w14:anchorId="1EECF8EA">
        <v:shapetype id="_x0000_t202" coordsize="21600,21600" o:spt="202" path="m,l,21600r21600,l21600,xe">
          <v:stroke joinstyle="miter"/>
          <v:path gradientshapeok="t" o:connecttype="rect"/>
        </v:shapetype>
        <v:shape id="_x0000_s2136" type="#_x0000_t202" style="position:absolute;margin-left:103.9pt;margin-top:646.4pt;width:7.3pt;height:12.6pt;z-index:-287680512;mso-position-horizontal-relative:page;mso-position-vertical-relative:page" filled="f" stroked="f">
          <v:textbox inset="0,0,0,0">
            <w:txbxContent>
              <w:p w14:paraId="7AA16572" w14:textId="77777777" w:rsidR="00A71EEF" w:rsidRDefault="0081115D">
                <w:pPr>
                  <w:pStyle w:val="a3"/>
                  <w:spacing w:line="251" w:lineRule="exact"/>
                  <w:ind w:left="20"/>
                </w:pPr>
                <w:r>
                  <w:t xml:space="preserve"> </w:t>
                </w:r>
              </w:p>
            </w:txbxContent>
          </v:textbox>
          <w10:wrap anchorx="page" anchory="page"/>
        </v:shape>
      </w:pict>
    </w:r>
    <w:r>
      <w:pict w14:anchorId="0415FB5C">
        <v:shape id="_x0000_s2135" type="#_x0000_t202" style="position:absolute;margin-left:103.9pt;margin-top:671.4pt;width:7.3pt;height:12.6pt;z-index:-287679488;mso-position-horizontal-relative:page;mso-position-vertical-relative:page" filled="f" stroked="f">
          <v:textbox inset="0,0,0,0">
            <w:txbxContent>
              <w:p w14:paraId="39005B8F" w14:textId="77777777" w:rsidR="00A71EEF" w:rsidRDefault="0081115D">
                <w:pPr>
                  <w:pStyle w:val="a3"/>
                  <w:spacing w:line="251" w:lineRule="exact"/>
                  <w:ind w:left="20"/>
                </w:pPr>
                <w:r>
                  <w:t xml:space="preserve"> </w:t>
                </w:r>
              </w:p>
            </w:txbxContent>
          </v:textbox>
          <w10:wrap anchorx="page" anchory="page"/>
        </v:shape>
      </w:pict>
    </w:r>
    <w:r>
      <w:pict w14:anchorId="5A589D6F">
        <v:shape id="_x0000_s2134" type="#_x0000_t202" style="position:absolute;margin-left:103.9pt;margin-top:696.5pt;width:7.3pt;height:12.6pt;z-index:-287678464;mso-position-horizontal-relative:page;mso-position-vertical-relative:page" filled="f" stroked="f">
          <v:textbox inset="0,0,0,0">
            <w:txbxContent>
              <w:p w14:paraId="74189226" w14:textId="77777777" w:rsidR="00A71EEF" w:rsidRDefault="0081115D">
                <w:pPr>
                  <w:pStyle w:val="a3"/>
                  <w:spacing w:line="251" w:lineRule="exact"/>
                  <w:ind w:left="20"/>
                </w:pPr>
                <w:r>
                  <w:t xml:space="preserve"> </w:t>
                </w:r>
              </w:p>
            </w:txbxContent>
          </v:textbox>
          <w10:wrap anchorx="page" anchory="page"/>
        </v:shape>
      </w:pict>
    </w:r>
    <w:r>
      <w:pict w14:anchorId="149CA130">
        <v:shape id="_x0000_s2133" type="#_x0000_t202" style="position:absolute;margin-left:103.9pt;margin-top:721.45pt;width:7.3pt;height:12.6pt;z-index:-287677440;mso-position-horizontal-relative:page;mso-position-vertical-relative:page" filled="f" stroked="f">
          <v:textbox inset="0,0,0,0">
            <w:txbxContent>
              <w:p w14:paraId="71413FEC" w14:textId="77777777" w:rsidR="00A71EEF" w:rsidRDefault="0081115D">
                <w:pPr>
                  <w:pStyle w:val="a3"/>
                  <w:spacing w:line="251" w:lineRule="exact"/>
                  <w:ind w:left="20"/>
                </w:pPr>
                <w:r>
                  <w:t xml:space="preserve"> </w:t>
                </w:r>
              </w:p>
            </w:txbxContent>
          </v:textbox>
          <w10:wrap anchorx="page" anchory="page"/>
        </v:shape>
      </w:pict>
    </w:r>
    <w:r>
      <w:pict w14:anchorId="57E07D90">
        <v:shape id="_x0000_s2132" type="#_x0000_t202" style="position:absolute;margin-left:103.9pt;margin-top:746.4pt;width:7.3pt;height:12.6pt;z-index:-287676416;mso-position-horizontal-relative:page;mso-position-vertical-relative:page" filled="f" stroked="f">
          <v:textbox inset="0,0,0,0">
            <w:txbxContent>
              <w:p w14:paraId="3E37B802" w14:textId="77777777" w:rsidR="00A71EEF" w:rsidRDefault="0081115D">
                <w:pPr>
                  <w:pStyle w:val="a3"/>
                  <w:spacing w:line="251" w:lineRule="exact"/>
                  <w:ind w:left="20"/>
                </w:pPr>
                <w:r>
                  <w:t xml:space="preserve"> </w:t>
                </w:r>
              </w:p>
            </w:txbxContent>
          </v:textbox>
          <w10:wrap anchorx="page" anchory="page"/>
        </v:shape>
      </w:pict>
    </w:r>
    <w:r>
      <w:pict w14:anchorId="5A3DCFF5">
        <v:shape id="_x0000_s2131" type="#_x0000_t202" style="position:absolute;margin-left:294.45pt;margin-top:769.05pt;width:18.4pt;height:11.4pt;z-index:-287675392;mso-position-horizontal-relative:page;mso-position-vertical-relative:page" filled="f" stroked="f">
          <v:textbox inset="0,0,0,0">
            <w:txbxContent>
              <w:p w14:paraId="28B7403E"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868</w:t>
                </w:r>
                <w:r>
                  <w:fldChar w:fldCharType="end"/>
                </w:r>
              </w:p>
            </w:txbxContent>
          </v:textbox>
          <w10:wrap anchorx="page" anchory="page"/>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B4F54" w14:textId="77777777" w:rsidR="00A71EEF" w:rsidRDefault="0081115D">
    <w:pPr>
      <w:pStyle w:val="a3"/>
      <w:spacing w:line="14" w:lineRule="auto"/>
      <w:rPr>
        <w:sz w:val="20"/>
      </w:rPr>
    </w:pPr>
    <w:r>
      <w:pict w14:anchorId="5676983B">
        <v:shapetype id="_x0000_t202" coordsize="21600,21600" o:spt="202" path="m,l,21600r21600,l21600,xe">
          <v:stroke joinstyle="miter"/>
          <v:path gradientshapeok="t" o:connecttype="rect"/>
        </v:shapetype>
        <v:shape id="_x0000_s2105" type="#_x0000_t202" style="position:absolute;margin-left:292.15pt;margin-top:769.05pt;width:23pt;height:11.4pt;z-index:-287648768;mso-position-horizontal-relative:page;mso-position-vertical-relative:page" filled="f" stroked="f">
          <v:textbox inset="0,0,0,0">
            <w:txbxContent>
              <w:p w14:paraId="73A7F7A5"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1230</w:t>
                </w:r>
                <w:r>
                  <w:fldChar w:fldCharType="end"/>
                </w:r>
              </w:p>
            </w:txbxContent>
          </v:textbox>
          <w10:wrap anchorx="page" anchory="page"/>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53D51" w14:textId="77777777" w:rsidR="00A71EEF" w:rsidRDefault="0081115D">
    <w:pPr>
      <w:pStyle w:val="a3"/>
      <w:spacing w:line="14" w:lineRule="auto"/>
      <w:rPr>
        <w:sz w:val="20"/>
      </w:rPr>
    </w:pPr>
    <w:r>
      <w:pict w14:anchorId="1EBAF198">
        <v:shapetype id="_x0000_t202" coordsize="21600,21600" o:spt="202" path="m,l,21600r21600,l21600,xe">
          <v:stroke joinstyle="miter"/>
          <v:path gradientshapeok="t" o:connecttype="rect"/>
        </v:shapetype>
        <v:shape id="_x0000_s2104" type="#_x0000_t202" style="position:absolute;margin-left:292.15pt;margin-top:769.05pt;width:23pt;height:11.4pt;z-index:-287647744;mso-position-horizontal-relative:page;mso-position-vertical-relative:page" filled="f" stroked="f">
          <v:textbox inset="0,0,0,0">
            <w:txbxContent>
              <w:p w14:paraId="27D5FE43"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1240</w:t>
                </w:r>
                <w:r>
                  <w:fldChar w:fldCharType="end"/>
                </w:r>
              </w:p>
            </w:txbxContent>
          </v:textbox>
          <w10:wrap anchorx="page" anchory="page"/>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E68DF" w14:textId="77777777" w:rsidR="00A71EEF" w:rsidRDefault="0081115D">
    <w:pPr>
      <w:pStyle w:val="a3"/>
      <w:spacing w:line="14" w:lineRule="auto"/>
      <w:rPr>
        <w:sz w:val="20"/>
      </w:rPr>
    </w:pPr>
    <w:r>
      <w:pict w14:anchorId="04D305C0">
        <v:shapetype id="_x0000_t202" coordsize="21600,21600" o:spt="202" path="m,l,21600r21600,l21600,xe">
          <v:stroke joinstyle="miter"/>
          <v:path gradientshapeok="t" o:connecttype="rect"/>
        </v:shapetype>
        <v:shape id="_x0000_s2103" type="#_x0000_t202" style="position:absolute;margin-left:292.15pt;margin-top:769.05pt;width:23pt;height:11.4pt;z-index:-287646720;mso-position-horizontal-relative:page;mso-position-vertical-relative:page" filled="f" stroked="f">
          <v:textbox inset="0,0,0,0">
            <w:txbxContent>
              <w:p w14:paraId="1CB024EE"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1250</w:t>
                </w:r>
                <w:r>
                  <w:fldChar w:fldCharType="end"/>
                </w:r>
              </w:p>
            </w:txbxContent>
          </v:textbox>
          <w10:wrap anchorx="page" anchory="page"/>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362DF" w14:textId="77777777" w:rsidR="00A71EEF" w:rsidRDefault="0081115D">
    <w:pPr>
      <w:pStyle w:val="a3"/>
      <w:spacing w:line="14" w:lineRule="auto"/>
      <w:rPr>
        <w:sz w:val="20"/>
      </w:rPr>
    </w:pPr>
    <w:r>
      <w:pict w14:anchorId="2E904CB3">
        <v:shapetype id="_x0000_t202" coordsize="21600,21600" o:spt="202" path="m,l,21600r21600,l21600,xe">
          <v:stroke joinstyle="miter"/>
          <v:path gradientshapeok="t" o:connecttype="rect"/>
        </v:shapetype>
        <v:shape id="_x0000_s2102" type="#_x0000_t202" style="position:absolute;margin-left:292.15pt;margin-top:769.05pt;width:23pt;height:11.4pt;z-index:-287645696;mso-position-horizontal-relative:page;mso-position-vertical-relative:page" filled="f" stroked="f">
          <v:textbox inset="0,0,0,0">
            <w:txbxContent>
              <w:p w14:paraId="18C99AD5"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1260</w:t>
                </w:r>
                <w:r>
                  <w:fldChar w:fldCharType="end"/>
                </w:r>
              </w:p>
            </w:txbxContent>
          </v:textbox>
          <w10:wrap anchorx="page" anchory="page"/>
        </v:shape>
      </w:pic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422B4" w14:textId="77777777" w:rsidR="00A71EEF" w:rsidRDefault="0081115D">
    <w:pPr>
      <w:pStyle w:val="a3"/>
      <w:spacing w:line="14" w:lineRule="auto"/>
      <w:rPr>
        <w:sz w:val="20"/>
      </w:rPr>
    </w:pPr>
    <w:r>
      <w:pict w14:anchorId="70DB4079">
        <v:shapetype id="_x0000_t202" coordsize="21600,21600" o:spt="202" path="m,l,21600r21600,l21600,xe">
          <v:stroke joinstyle="miter"/>
          <v:path gradientshapeok="t" o:connecttype="rect"/>
        </v:shapetype>
        <v:shape id="_x0000_s2101" type="#_x0000_t202" style="position:absolute;margin-left:292.15pt;margin-top:769.05pt;width:23pt;height:11.4pt;z-index:-287644672;mso-position-horizontal-relative:page;mso-position-vertical-relative:page" filled="f" stroked="f">
          <v:textbox inset="0,0,0,0">
            <w:txbxContent>
              <w:p w14:paraId="4FE96FAA"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1270</w:t>
                </w:r>
                <w:r>
                  <w:fldChar w:fldCharType="end"/>
                </w:r>
              </w:p>
            </w:txbxContent>
          </v:textbox>
          <w10:wrap anchorx="page" anchory="page"/>
        </v:shape>
      </w:pic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C37E8" w14:textId="77777777" w:rsidR="00A71EEF" w:rsidRDefault="0081115D">
    <w:pPr>
      <w:pStyle w:val="a3"/>
      <w:spacing w:line="14" w:lineRule="auto"/>
      <w:rPr>
        <w:sz w:val="20"/>
      </w:rPr>
    </w:pPr>
    <w:r>
      <w:pict w14:anchorId="26454CCF">
        <v:shapetype id="_x0000_t202" coordsize="21600,21600" o:spt="202" path="m,l,21600r21600,l21600,xe">
          <v:stroke joinstyle="miter"/>
          <v:path gradientshapeok="t" o:connecttype="rect"/>
        </v:shapetype>
        <v:shape id="_x0000_s2100" type="#_x0000_t202" style="position:absolute;margin-left:292.15pt;margin-top:769.05pt;width:23pt;height:11.4pt;z-index:-287643648;mso-position-horizontal-relative:page;mso-position-vertical-relative:page" filled="f" stroked="f">
          <v:textbox inset="0,0,0,0">
            <w:txbxContent>
              <w:p w14:paraId="112F4FA4"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1280</w:t>
                </w:r>
                <w:r>
                  <w:fldChar w:fldCharType="end"/>
                </w:r>
              </w:p>
            </w:txbxContent>
          </v:textbox>
          <w10:wrap anchorx="page" anchory="page"/>
        </v:shape>
      </w:pic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6E166" w14:textId="77777777" w:rsidR="00A71EEF" w:rsidRDefault="0081115D">
    <w:pPr>
      <w:pStyle w:val="a3"/>
      <w:spacing w:line="14" w:lineRule="auto"/>
      <w:rPr>
        <w:sz w:val="20"/>
      </w:rPr>
    </w:pPr>
    <w:r>
      <w:pict w14:anchorId="4BA05593">
        <v:shapetype id="_x0000_t202" coordsize="21600,21600" o:spt="202" path="m,l,21600r21600,l21600,xe">
          <v:stroke joinstyle="miter"/>
          <v:path gradientshapeok="t" o:connecttype="rect"/>
        </v:shapetype>
        <v:shape id="_x0000_s2099" type="#_x0000_t202" style="position:absolute;margin-left:292.15pt;margin-top:769.05pt;width:23pt;height:11.4pt;z-index:-287642624;mso-position-horizontal-relative:page;mso-position-vertical-relative:page" filled="f" stroked="f">
          <v:textbox inset="0,0,0,0">
            <w:txbxContent>
              <w:p w14:paraId="5ED7C305"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1290</w:t>
                </w:r>
                <w:r>
                  <w:fldChar w:fldCharType="end"/>
                </w:r>
              </w:p>
            </w:txbxContent>
          </v:textbox>
          <w10:wrap anchorx="page" anchory="page"/>
        </v:shape>
      </w:pic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E6F9F" w14:textId="77777777" w:rsidR="00A71EEF" w:rsidRDefault="0081115D">
    <w:pPr>
      <w:pStyle w:val="a3"/>
      <w:spacing w:line="14" w:lineRule="auto"/>
      <w:rPr>
        <w:sz w:val="20"/>
      </w:rPr>
    </w:pPr>
    <w:r>
      <w:pict w14:anchorId="60FFC0F7">
        <v:shapetype id="_x0000_t202" coordsize="21600,21600" o:spt="202" path="m,l,21600r21600,l21600,xe">
          <v:stroke joinstyle="miter"/>
          <v:path gradientshapeok="t" o:connecttype="rect"/>
        </v:shapetype>
        <v:shape id="_x0000_s2098" type="#_x0000_t202" style="position:absolute;margin-left:292.15pt;margin-top:769.05pt;width:23pt;height:11.4pt;z-index:-287641600;mso-position-horizontal-relative:page;mso-position-vertical-relative:page" filled="f" stroked="f">
          <v:textbox inset="0,0,0,0">
            <w:txbxContent>
              <w:p w14:paraId="36AF663A"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1300</w:t>
                </w:r>
                <w:r>
                  <w:fldChar w:fldCharType="end"/>
                </w:r>
              </w:p>
            </w:txbxContent>
          </v:textbox>
          <w10:wrap anchorx="page" anchory="page"/>
        </v:shape>
      </w:pic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A8221" w14:textId="77777777" w:rsidR="00A71EEF" w:rsidRDefault="0081115D">
    <w:pPr>
      <w:pStyle w:val="a3"/>
      <w:spacing w:line="14" w:lineRule="auto"/>
      <w:rPr>
        <w:sz w:val="15"/>
      </w:rPr>
    </w:pPr>
    <w:r>
      <w:pict w14:anchorId="4E9AB865">
        <v:shapetype id="_x0000_t202" coordsize="21600,21600" o:spt="202" path="m,l,21600r21600,l21600,xe">
          <v:stroke joinstyle="miter"/>
          <v:path gradientshapeok="t" o:connecttype="rect"/>
        </v:shapetype>
        <v:shape id="_x0000_s2097" type="#_x0000_t202" style="position:absolute;margin-left:292.15pt;margin-top:769.05pt;width:23pt;height:11.4pt;z-index:-287640576;mso-position-horizontal-relative:page;mso-position-vertical-relative:page" filled="f" stroked="f">
          <v:textbox inset="0,0,0,0">
            <w:txbxContent>
              <w:p w14:paraId="28DDBE59"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1316</w:t>
                </w:r>
                <w:r>
                  <w:fldChar w:fldCharType="end"/>
                </w:r>
              </w:p>
            </w:txbxContent>
          </v:textbox>
          <w10:wrap anchorx="page" anchory="page"/>
        </v:shape>
      </w:pic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3E3F3" w14:textId="77777777" w:rsidR="00A71EEF" w:rsidRDefault="0081115D">
    <w:pPr>
      <w:pStyle w:val="a3"/>
      <w:spacing w:line="14" w:lineRule="auto"/>
      <w:rPr>
        <w:sz w:val="19"/>
      </w:rPr>
    </w:pPr>
    <w:r>
      <w:pict w14:anchorId="20A0CD6A">
        <v:shapetype id="_x0000_t202" coordsize="21600,21600" o:spt="202" path="m,l,21600r21600,l21600,xe">
          <v:stroke joinstyle="miter"/>
          <v:path gradientshapeok="t" o:connecttype="rect"/>
        </v:shapetype>
        <v:shape id="_x0000_s2096" type="#_x0000_t202" style="position:absolute;margin-left:292.15pt;margin-top:769.05pt;width:23pt;height:11.4pt;z-index:-287639552;mso-position-horizontal-relative:page;mso-position-vertical-relative:page" filled="f" stroked="f">
          <v:textbox inset="0,0,0,0">
            <w:txbxContent>
              <w:p w14:paraId="63848541"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1323</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D6FA1" w14:textId="77777777" w:rsidR="00A71EEF" w:rsidRDefault="0081115D">
    <w:pPr>
      <w:pStyle w:val="a3"/>
      <w:spacing w:line="14" w:lineRule="auto"/>
      <w:rPr>
        <w:sz w:val="20"/>
      </w:rPr>
    </w:pPr>
    <w:r>
      <w:pict w14:anchorId="105FD142">
        <v:shapetype id="_x0000_t202" coordsize="21600,21600" o:spt="202" path="m,l,21600r21600,l21600,xe">
          <v:stroke joinstyle="miter"/>
          <v:path gradientshapeok="t" o:connecttype="rect"/>
        </v:shapetype>
        <v:shape id="_x0000_s2130" type="#_x0000_t202" style="position:absolute;margin-left:294.45pt;margin-top:769.05pt;width:18.4pt;height:11.4pt;z-index:-287674368;mso-position-horizontal-relative:page;mso-position-vertical-relative:page" filled="f" stroked="f">
          <v:textbox inset="0,0,0,0">
            <w:txbxContent>
              <w:p w14:paraId="3D5A1890"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870</w:t>
                </w:r>
                <w:r>
                  <w:fldChar w:fldCharType="end"/>
                </w:r>
              </w:p>
            </w:txbxContent>
          </v:textbox>
          <w10:wrap anchorx="page" anchory="page"/>
        </v:shape>
      </w:pic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7FA55" w14:textId="77777777" w:rsidR="00A71EEF" w:rsidRDefault="0081115D">
    <w:pPr>
      <w:pStyle w:val="a3"/>
      <w:spacing w:line="14" w:lineRule="auto"/>
      <w:rPr>
        <w:sz w:val="20"/>
      </w:rPr>
    </w:pPr>
    <w:r>
      <w:pict w14:anchorId="53F5235D">
        <v:shapetype id="_x0000_t202" coordsize="21600,21600" o:spt="202" path="m,l,21600r21600,l21600,xe">
          <v:stroke joinstyle="miter"/>
          <v:path gradientshapeok="t" o:connecttype="rect"/>
        </v:shapetype>
        <v:shape id="_x0000_s2095" type="#_x0000_t202" style="position:absolute;margin-left:292.15pt;margin-top:769.05pt;width:23pt;height:11.4pt;z-index:-287638528;mso-position-horizontal-relative:page;mso-position-vertical-relative:page" filled="f" stroked="f">
          <v:textbox inset="0,0,0,0">
            <w:txbxContent>
              <w:p w14:paraId="024DAC8E"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1330</w:t>
                </w:r>
                <w:r>
                  <w:fldChar w:fldCharType="end"/>
                </w:r>
              </w:p>
            </w:txbxContent>
          </v:textbox>
          <w10:wrap anchorx="page" anchory="page"/>
        </v:shape>
      </w:pic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4A9C2" w14:textId="77777777" w:rsidR="00A71EEF" w:rsidRDefault="0081115D">
    <w:pPr>
      <w:pStyle w:val="a3"/>
      <w:spacing w:line="14" w:lineRule="auto"/>
      <w:rPr>
        <w:sz w:val="20"/>
      </w:rPr>
    </w:pPr>
    <w:r>
      <w:pict w14:anchorId="7E5A880A">
        <v:shapetype id="_x0000_t202" coordsize="21600,21600" o:spt="202" path="m,l,21600r21600,l21600,xe">
          <v:stroke joinstyle="miter"/>
          <v:path gradientshapeok="t" o:connecttype="rect"/>
        </v:shapetype>
        <v:shape id="_x0000_s2094" type="#_x0000_t202" style="position:absolute;margin-left:292.15pt;margin-top:769.05pt;width:23pt;height:11.4pt;z-index:-287637504;mso-position-horizontal-relative:page;mso-position-vertical-relative:page" filled="f" stroked="f">
          <v:textbox inset="0,0,0,0">
            <w:txbxContent>
              <w:p w14:paraId="7E6D5DCB"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1340</w:t>
                </w:r>
                <w:r>
                  <w:fldChar w:fldCharType="end"/>
                </w:r>
              </w:p>
            </w:txbxContent>
          </v:textbox>
          <w10:wrap anchorx="page" anchory="page"/>
        </v:shape>
      </w:pic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304DF" w14:textId="77777777" w:rsidR="00A71EEF" w:rsidRDefault="0081115D">
    <w:pPr>
      <w:pStyle w:val="a3"/>
      <w:spacing w:line="14" w:lineRule="auto"/>
      <w:rPr>
        <w:sz w:val="20"/>
      </w:rPr>
    </w:pPr>
    <w:r>
      <w:pict w14:anchorId="7221DEFE">
        <v:shapetype id="_x0000_t202" coordsize="21600,21600" o:spt="202" path="m,l,21600r21600,l21600,xe">
          <v:stroke joinstyle="miter"/>
          <v:path gradientshapeok="t" o:connecttype="rect"/>
        </v:shapetype>
        <v:shape id="_x0000_s2093" type="#_x0000_t202" style="position:absolute;margin-left:292.15pt;margin-top:769.05pt;width:23pt;height:11.4pt;z-index:-287636480;mso-position-horizontal-relative:page;mso-position-vertical-relative:page" filled="f" stroked="f">
          <v:textbox inset="0,0,0,0">
            <w:txbxContent>
              <w:p w14:paraId="4CF08799"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1350</w:t>
                </w:r>
                <w:r>
                  <w:fldChar w:fldCharType="end"/>
                </w:r>
              </w:p>
            </w:txbxContent>
          </v:textbox>
          <w10:wrap anchorx="page" anchory="page"/>
        </v:shape>
      </w:pic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CE802" w14:textId="77777777" w:rsidR="00A71EEF" w:rsidRDefault="0081115D">
    <w:pPr>
      <w:pStyle w:val="a3"/>
      <w:spacing w:line="14" w:lineRule="auto"/>
      <w:rPr>
        <w:sz w:val="20"/>
      </w:rPr>
    </w:pPr>
    <w:r>
      <w:pict w14:anchorId="18749DC1">
        <v:shapetype id="_x0000_t202" coordsize="21600,21600" o:spt="202" path="m,l,21600r21600,l21600,xe">
          <v:stroke joinstyle="miter"/>
          <v:path gradientshapeok="t" o:connecttype="rect"/>
        </v:shapetype>
        <v:shape id="_x0000_s2092" type="#_x0000_t202" style="position:absolute;margin-left:292.15pt;margin-top:769.05pt;width:23pt;height:11.4pt;z-index:-287635456;mso-position-horizontal-relative:page;mso-position-vertical-relative:page" filled="f" stroked="f">
          <v:textbox inset="0,0,0,0">
            <w:txbxContent>
              <w:p w14:paraId="7C67A830"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1360</w:t>
                </w:r>
                <w:r>
                  <w:fldChar w:fldCharType="end"/>
                </w:r>
              </w:p>
            </w:txbxContent>
          </v:textbox>
          <w10:wrap anchorx="page" anchory="page"/>
        </v:shape>
      </w:pic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0C9D9" w14:textId="77777777" w:rsidR="00A71EEF" w:rsidRDefault="0081115D">
    <w:pPr>
      <w:pStyle w:val="a3"/>
      <w:spacing w:line="14" w:lineRule="auto"/>
      <w:rPr>
        <w:sz w:val="20"/>
      </w:rPr>
    </w:pPr>
    <w:r>
      <w:pict w14:anchorId="4CD4A2BF">
        <v:shapetype id="_x0000_t202" coordsize="21600,21600" o:spt="202" path="m,l,21600r21600,l21600,xe">
          <v:stroke joinstyle="miter"/>
          <v:path gradientshapeok="t" o:connecttype="rect"/>
        </v:shapetype>
        <v:shape id="_x0000_s2091" type="#_x0000_t202" style="position:absolute;margin-left:292.15pt;margin-top:769.05pt;width:23pt;height:11.4pt;z-index:-287634432;mso-position-horizontal-relative:page;mso-position-vertical-relative:page" filled="f" stroked="f">
          <v:textbox inset="0,0,0,0">
            <w:txbxContent>
              <w:p w14:paraId="7BA24C1D"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1370</w:t>
                </w:r>
                <w:r>
                  <w:fldChar w:fldCharType="end"/>
                </w:r>
              </w:p>
            </w:txbxContent>
          </v:textbox>
          <w10:wrap anchorx="page" anchory="page"/>
        </v:shape>
      </w:pic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A80AC" w14:textId="77777777" w:rsidR="00A71EEF" w:rsidRDefault="0081115D">
    <w:pPr>
      <w:pStyle w:val="a3"/>
      <w:spacing w:line="14" w:lineRule="auto"/>
      <w:rPr>
        <w:sz w:val="20"/>
      </w:rPr>
    </w:pPr>
    <w:r>
      <w:pict w14:anchorId="1474449E">
        <v:shapetype id="_x0000_t202" coordsize="21600,21600" o:spt="202" path="m,l,21600r21600,l21600,xe">
          <v:stroke joinstyle="miter"/>
          <v:path gradientshapeok="t" o:connecttype="rect"/>
        </v:shapetype>
        <v:shape id="_x0000_s2090" type="#_x0000_t202" style="position:absolute;margin-left:292.15pt;margin-top:769.05pt;width:23pt;height:11.4pt;z-index:-287633408;mso-position-horizontal-relative:page;mso-position-vertical-relative:page" filled="f" stroked="f">
          <v:textbox inset="0,0,0,0">
            <w:txbxContent>
              <w:p w14:paraId="1C7463F5"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1380</w:t>
                </w:r>
                <w:r>
                  <w:fldChar w:fldCharType="end"/>
                </w:r>
              </w:p>
            </w:txbxContent>
          </v:textbox>
          <w10:wrap anchorx="page" anchory="page"/>
        </v:shape>
      </w:pic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0A4AC" w14:textId="77777777" w:rsidR="00A71EEF" w:rsidRDefault="0081115D">
    <w:pPr>
      <w:pStyle w:val="a3"/>
      <w:spacing w:line="14" w:lineRule="auto"/>
      <w:rPr>
        <w:sz w:val="20"/>
      </w:rPr>
    </w:pPr>
    <w:r>
      <w:pict w14:anchorId="4B7922F6">
        <v:shapetype id="_x0000_t202" coordsize="21600,21600" o:spt="202" path="m,l,21600r21600,l21600,xe">
          <v:stroke joinstyle="miter"/>
          <v:path gradientshapeok="t" o:connecttype="rect"/>
        </v:shapetype>
        <v:shape id="_x0000_s2089" type="#_x0000_t202" style="position:absolute;margin-left:292.15pt;margin-top:769.05pt;width:23pt;height:11.4pt;z-index:-287632384;mso-position-horizontal-relative:page;mso-position-vertical-relative:page" filled="f" stroked="f">
          <v:textbox inset="0,0,0,0">
            <w:txbxContent>
              <w:p w14:paraId="76AE762B"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1390</w:t>
                </w:r>
                <w:r>
                  <w:fldChar w:fldCharType="end"/>
                </w:r>
              </w:p>
            </w:txbxContent>
          </v:textbox>
          <w10:wrap anchorx="page" anchory="page"/>
        </v:shape>
      </w:pic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BD0C3" w14:textId="77777777" w:rsidR="00A71EEF" w:rsidRDefault="0081115D">
    <w:pPr>
      <w:pStyle w:val="a3"/>
      <w:spacing w:line="14" w:lineRule="auto"/>
      <w:rPr>
        <w:sz w:val="20"/>
      </w:rPr>
    </w:pPr>
    <w:r>
      <w:pict w14:anchorId="013F0EBD">
        <v:shapetype id="_x0000_t202" coordsize="21600,21600" o:spt="202" path="m,l,21600r21600,l21600,xe">
          <v:stroke joinstyle="miter"/>
          <v:path gradientshapeok="t" o:connecttype="rect"/>
        </v:shapetype>
        <v:shape id="_x0000_s2088" type="#_x0000_t202" style="position:absolute;margin-left:292.15pt;margin-top:769.05pt;width:23pt;height:11.4pt;z-index:-287631360;mso-position-horizontal-relative:page;mso-position-vertical-relative:page" filled="f" stroked="f">
          <v:textbox inset="0,0,0,0">
            <w:txbxContent>
              <w:p w14:paraId="56E22871"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1400</w:t>
                </w:r>
                <w:r>
                  <w:fldChar w:fldCharType="end"/>
                </w:r>
              </w:p>
            </w:txbxContent>
          </v:textbox>
          <w10:wrap anchorx="page" anchory="page"/>
        </v:shape>
      </w:pic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215E8" w14:textId="77777777" w:rsidR="00A71EEF" w:rsidRDefault="0081115D">
    <w:pPr>
      <w:pStyle w:val="a3"/>
      <w:spacing w:line="14" w:lineRule="auto"/>
      <w:rPr>
        <w:sz w:val="15"/>
      </w:rPr>
    </w:pPr>
    <w:r>
      <w:pict w14:anchorId="6B251431">
        <v:shapetype id="_x0000_t202" coordsize="21600,21600" o:spt="202" path="m,l,21600r21600,l21600,xe">
          <v:stroke joinstyle="miter"/>
          <v:path gradientshapeok="t" o:connecttype="rect"/>
        </v:shapetype>
        <v:shape id="_x0000_s2087" type="#_x0000_t202" style="position:absolute;margin-left:292.15pt;margin-top:769.05pt;width:23pt;height:11.4pt;z-index:-287630336;mso-position-horizontal-relative:page;mso-position-vertical-relative:page" filled="f" stroked="f">
          <v:textbox inset="0,0,0,0">
            <w:txbxContent>
              <w:p w14:paraId="66BEB886"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1418</w:t>
                </w:r>
                <w:r>
                  <w:fldChar w:fldCharType="end"/>
                </w:r>
              </w:p>
            </w:txbxContent>
          </v:textbox>
          <w10:wrap anchorx="page" anchory="page"/>
        </v:shape>
      </w:pic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694E8" w14:textId="77777777" w:rsidR="00A71EEF" w:rsidRDefault="0081115D">
    <w:pPr>
      <w:pStyle w:val="a3"/>
      <w:spacing w:line="14" w:lineRule="auto"/>
      <w:rPr>
        <w:sz w:val="20"/>
      </w:rPr>
    </w:pPr>
    <w:r>
      <w:pict w14:anchorId="08848A1A">
        <v:shapetype id="_x0000_t202" coordsize="21600,21600" o:spt="202" path="m,l,21600r21600,l21600,xe">
          <v:stroke joinstyle="miter"/>
          <v:path gradientshapeok="t" o:connecttype="rect"/>
        </v:shapetype>
        <v:shape id="_x0000_s2086" type="#_x0000_t202" style="position:absolute;margin-left:292.15pt;margin-top:769.05pt;width:23pt;height:11.4pt;z-index:-287629312;mso-position-horizontal-relative:page;mso-position-vertical-relative:page" filled="f" stroked="f">
          <v:textbox inset="0,0,0,0">
            <w:txbxContent>
              <w:p w14:paraId="20A1CD33"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1420</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B425C" w14:textId="77777777" w:rsidR="00A71EEF" w:rsidRDefault="0081115D">
    <w:pPr>
      <w:pStyle w:val="a3"/>
      <w:spacing w:line="14" w:lineRule="auto"/>
      <w:rPr>
        <w:sz w:val="20"/>
      </w:rPr>
    </w:pPr>
    <w:r>
      <w:pict w14:anchorId="46EB8FFE">
        <v:shapetype id="_x0000_t202" coordsize="21600,21600" o:spt="202" path="m,l,21600r21600,l21600,xe">
          <v:stroke joinstyle="miter"/>
          <v:path gradientshapeok="t" o:connecttype="rect"/>
        </v:shapetype>
        <v:shape id="_x0000_s2129" type="#_x0000_t202" style="position:absolute;margin-left:292.15pt;margin-top:769.05pt;width:23pt;height:11.4pt;z-index:-287673344;mso-position-horizontal-relative:page;mso-position-vertical-relative:page" filled="f" stroked="f">
          <v:textbox inset="0,0,0,0">
            <w:txbxContent>
              <w:p w14:paraId="27DF548D"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1000</w:t>
                </w:r>
                <w:r>
                  <w:fldChar w:fldCharType="end"/>
                </w:r>
              </w:p>
            </w:txbxContent>
          </v:textbox>
          <w10:wrap anchorx="page" anchory="page"/>
        </v:shape>
      </w:pic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F9EF5" w14:textId="77777777" w:rsidR="00A71EEF" w:rsidRDefault="0081115D">
    <w:pPr>
      <w:pStyle w:val="a3"/>
      <w:spacing w:line="14" w:lineRule="auto"/>
      <w:rPr>
        <w:sz w:val="20"/>
      </w:rPr>
    </w:pPr>
    <w:r>
      <w:pict w14:anchorId="5FB2AE7B">
        <v:shapetype id="_x0000_t202" coordsize="21600,21600" o:spt="202" path="m,l,21600r21600,l21600,xe">
          <v:stroke joinstyle="miter"/>
          <v:path gradientshapeok="t" o:connecttype="rect"/>
        </v:shapetype>
        <v:shape id="_x0000_s2085" type="#_x0000_t202" style="position:absolute;margin-left:292.15pt;margin-top:769.05pt;width:23pt;height:11.4pt;z-index:-287628288;mso-position-horizontal-relative:page;mso-position-vertical-relative:page" filled="f" stroked="f">
          <v:textbox inset="0,0,0,0">
            <w:txbxContent>
              <w:p w14:paraId="7DDDF9C8"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1430</w:t>
                </w:r>
                <w:r>
                  <w:fldChar w:fldCharType="end"/>
                </w:r>
              </w:p>
            </w:txbxContent>
          </v:textbox>
          <w10:wrap anchorx="page" anchory="page"/>
        </v:shape>
      </w:pic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DCA44" w14:textId="77777777" w:rsidR="00A71EEF" w:rsidRDefault="0081115D">
    <w:pPr>
      <w:pStyle w:val="a3"/>
      <w:spacing w:line="14" w:lineRule="auto"/>
      <w:rPr>
        <w:sz w:val="20"/>
      </w:rPr>
    </w:pPr>
    <w:r>
      <w:pict w14:anchorId="64DC96DF">
        <v:shapetype id="_x0000_t202" coordsize="21600,21600" o:spt="202" path="m,l,21600r21600,l21600,xe">
          <v:stroke joinstyle="miter"/>
          <v:path gradientshapeok="t" o:connecttype="rect"/>
        </v:shapetype>
        <v:shape id="_x0000_s2084" type="#_x0000_t202" style="position:absolute;margin-left:292.15pt;margin-top:769.05pt;width:23pt;height:11.4pt;z-index:-287627264;mso-position-horizontal-relative:page;mso-position-vertical-relative:page" filled="f" stroked="f">
          <v:textbox inset="0,0,0,0">
            <w:txbxContent>
              <w:p w14:paraId="53AC3A34"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1440</w:t>
                </w:r>
                <w:r>
                  <w:fldChar w:fldCharType="end"/>
                </w:r>
              </w:p>
            </w:txbxContent>
          </v:textbox>
          <w10:wrap anchorx="page" anchory="page"/>
        </v:shape>
      </w:pic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933E7" w14:textId="77777777" w:rsidR="00A71EEF" w:rsidRDefault="0081115D">
    <w:pPr>
      <w:pStyle w:val="a3"/>
      <w:spacing w:line="14" w:lineRule="auto"/>
      <w:rPr>
        <w:sz w:val="20"/>
      </w:rPr>
    </w:pPr>
    <w:r>
      <w:pict w14:anchorId="7D94E251">
        <v:shapetype id="_x0000_t202" coordsize="21600,21600" o:spt="202" path="m,l,21600r21600,l21600,xe">
          <v:stroke joinstyle="miter"/>
          <v:path gradientshapeok="t" o:connecttype="rect"/>
        </v:shapetype>
        <v:shape id="_x0000_s2083" type="#_x0000_t202" style="position:absolute;margin-left:292.15pt;margin-top:769.05pt;width:23pt;height:11.4pt;z-index:-287626240;mso-position-horizontal-relative:page;mso-position-vertical-relative:page" filled="f" stroked="f">
          <v:textbox inset="0,0,0,0">
            <w:txbxContent>
              <w:p w14:paraId="2530A5E3"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1450</w:t>
                </w:r>
                <w:r>
                  <w:fldChar w:fldCharType="end"/>
                </w:r>
              </w:p>
            </w:txbxContent>
          </v:textbox>
          <w10:wrap anchorx="page" anchory="page"/>
        </v:shape>
      </w:pic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5B1E9" w14:textId="77777777" w:rsidR="00A71EEF" w:rsidRDefault="0081115D">
    <w:pPr>
      <w:pStyle w:val="a3"/>
      <w:spacing w:line="14" w:lineRule="auto"/>
      <w:rPr>
        <w:sz w:val="20"/>
      </w:rPr>
    </w:pPr>
    <w:r>
      <w:pict w14:anchorId="53BB408D">
        <v:shapetype id="_x0000_t202" coordsize="21600,21600" o:spt="202" path="m,l,21600r21600,l21600,xe">
          <v:stroke joinstyle="miter"/>
          <v:path gradientshapeok="t" o:connecttype="rect"/>
        </v:shapetype>
        <v:shape id="_x0000_s2082" type="#_x0000_t202" style="position:absolute;margin-left:292.15pt;margin-top:769.05pt;width:23pt;height:11.4pt;z-index:-287625216;mso-position-horizontal-relative:page;mso-position-vertical-relative:page" filled="f" stroked="f">
          <v:textbox inset="0,0,0,0">
            <w:txbxContent>
              <w:p w14:paraId="24588013"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1460</w:t>
                </w:r>
                <w:r>
                  <w:fldChar w:fldCharType="end"/>
                </w:r>
              </w:p>
            </w:txbxContent>
          </v:textbox>
          <w10:wrap anchorx="page" anchory="page"/>
        </v:shape>
      </w:pic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4F939" w14:textId="77777777" w:rsidR="00A71EEF" w:rsidRDefault="0081115D">
    <w:pPr>
      <w:pStyle w:val="a3"/>
      <w:spacing w:line="14" w:lineRule="auto"/>
      <w:rPr>
        <w:sz w:val="20"/>
      </w:rPr>
    </w:pPr>
    <w:r>
      <w:pict w14:anchorId="51A83644">
        <v:shapetype id="_x0000_t202" coordsize="21600,21600" o:spt="202" path="m,l,21600r21600,l21600,xe">
          <v:stroke joinstyle="miter"/>
          <v:path gradientshapeok="t" o:connecttype="rect"/>
        </v:shapetype>
        <v:shape id="_x0000_s2081" type="#_x0000_t202" style="position:absolute;margin-left:292.15pt;margin-top:769.05pt;width:23pt;height:11.4pt;z-index:-287624192;mso-position-horizontal-relative:page;mso-position-vertical-relative:page" filled="f" stroked="f">
          <v:textbox inset="0,0,0,0">
            <w:txbxContent>
              <w:p w14:paraId="22E3E49B"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1470</w:t>
                </w:r>
                <w:r>
                  <w:fldChar w:fldCharType="end"/>
                </w:r>
              </w:p>
            </w:txbxContent>
          </v:textbox>
          <w10:wrap anchorx="page" anchory="page"/>
        </v:shape>
      </w:pic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A984B" w14:textId="77777777" w:rsidR="00A71EEF" w:rsidRDefault="00A71EEF">
    <w:pPr>
      <w:pStyle w:val="a3"/>
      <w:spacing w:line="14" w:lineRule="auto"/>
      <w:rPr>
        <w:sz w:val="2"/>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7B3B1" w14:textId="77777777" w:rsidR="00A71EEF" w:rsidRDefault="0081115D">
    <w:pPr>
      <w:pStyle w:val="a3"/>
      <w:spacing w:line="14" w:lineRule="auto"/>
      <w:rPr>
        <w:sz w:val="20"/>
      </w:rPr>
    </w:pPr>
    <w:r>
      <w:pict w14:anchorId="3D36AEC3">
        <v:shapetype id="_x0000_t202" coordsize="21600,21600" o:spt="202" path="m,l,21600r21600,l21600,xe">
          <v:stroke joinstyle="miter"/>
          <v:path gradientshapeok="t" o:connecttype="rect"/>
        </v:shapetype>
        <v:shape id="_x0000_s2080" type="#_x0000_t202" style="position:absolute;margin-left:292.15pt;margin-top:769.05pt;width:23pt;height:11.4pt;z-index:-287623168;mso-position-horizontal-relative:page;mso-position-vertical-relative:page" filled="f" stroked="f">
          <v:textbox inset="0,0,0,0">
            <w:txbxContent>
              <w:p w14:paraId="0DD3003F"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1474</w:t>
                </w:r>
                <w:r>
                  <w:fldChar w:fldCharType="end"/>
                </w:r>
              </w:p>
            </w:txbxContent>
          </v:textbox>
          <w10:wrap anchorx="page" anchory="page"/>
        </v:shape>
      </w:pic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AE432" w14:textId="77777777" w:rsidR="00A71EEF" w:rsidRDefault="0081115D">
    <w:pPr>
      <w:pStyle w:val="a3"/>
      <w:spacing w:line="14" w:lineRule="auto"/>
      <w:rPr>
        <w:sz w:val="20"/>
      </w:rPr>
    </w:pPr>
    <w:r>
      <w:pict w14:anchorId="75DB436E">
        <v:shapetype id="_x0000_t202" coordsize="21600,21600" o:spt="202" path="m,l,21600r21600,l21600,xe">
          <v:stroke joinstyle="miter"/>
          <v:path gradientshapeok="t" o:connecttype="rect"/>
        </v:shapetype>
        <v:shape id="_x0000_s2079" type="#_x0000_t202" style="position:absolute;margin-left:292.15pt;margin-top:769.05pt;width:23pt;height:11.4pt;z-index:-287622144;mso-position-horizontal-relative:page;mso-position-vertical-relative:page" filled="f" stroked="f">
          <v:textbox inset="0,0,0,0">
            <w:txbxContent>
              <w:p w14:paraId="5C1AA19D"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1480</w:t>
                </w:r>
                <w:r>
                  <w:fldChar w:fldCharType="end"/>
                </w:r>
              </w:p>
            </w:txbxContent>
          </v:textbox>
          <w10:wrap anchorx="page" anchory="page"/>
        </v:shape>
      </w:pic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D7FD1" w14:textId="77777777" w:rsidR="00A71EEF" w:rsidRDefault="0081115D">
    <w:pPr>
      <w:pStyle w:val="a3"/>
      <w:spacing w:line="14" w:lineRule="auto"/>
      <w:rPr>
        <w:sz w:val="20"/>
      </w:rPr>
    </w:pPr>
    <w:r>
      <w:pict w14:anchorId="77B6D5EF">
        <v:shapetype id="_x0000_t202" coordsize="21600,21600" o:spt="202" path="m,l,21600r21600,l21600,xe">
          <v:stroke joinstyle="miter"/>
          <v:path gradientshapeok="t" o:connecttype="rect"/>
        </v:shapetype>
        <v:shape id="_x0000_s2078" type="#_x0000_t202" style="position:absolute;margin-left:292.15pt;margin-top:769.05pt;width:23pt;height:11.4pt;z-index:-287621120;mso-position-horizontal-relative:page;mso-position-vertical-relative:page" filled="f" stroked="f">
          <v:textbox inset="0,0,0,0">
            <w:txbxContent>
              <w:p w14:paraId="76E9265A"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1490</w:t>
                </w:r>
                <w:r>
                  <w:fldChar w:fldCharType="end"/>
                </w:r>
              </w:p>
            </w:txbxContent>
          </v:textbox>
          <w10:wrap anchorx="page" anchory="page"/>
        </v:shape>
      </w:pic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748DF" w14:textId="77777777" w:rsidR="00A71EEF" w:rsidRDefault="0081115D">
    <w:pPr>
      <w:pStyle w:val="a3"/>
      <w:spacing w:line="14" w:lineRule="auto"/>
      <w:rPr>
        <w:sz w:val="20"/>
      </w:rPr>
    </w:pPr>
    <w:r>
      <w:pict w14:anchorId="3C3A1F25">
        <v:shapetype id="_x0000_t202" coordsize="21600,21600" o:spt="202" path="m,l,21600r21600,l21600,xe">
          <v:stroke joinstyle="miter"/>
          <v:path gradientshapeok="t" o:connecttype="rect"/>
        </v:shapetype>
        <v:shape id="_x0000_s2077" type="#_x0000_t202" style="position:absolute;margin-left:292.15pt;margin-top:769.05pt;width:23pt;height:11.4pt;z-index:-287620096;mso-position-horizontal-relative:page;mso-position-vertical-relative:page" filled="f" stroked="f">
          <v:textbox inset="0,0,0,0">
            <w:txbxContent>
              <w:p w14:paraId="3BD459F9"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1500</w:t>
                </w:r>
                <w: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DC4C6" w14:textId="77777777" w:rsidR="00A71EEF" w:rsidRDefault="0081115D">
    <w:pPr>
      <w:pStyle w:val="a3"/>
      <w:spacing w:line="14" w:lineRule="auto"/>
      <w:rPr>
        <w:sz w:val="20"/>
      </w:rPr>
    </w:pPr>
    <w:r>
      <w:pict w14:anchorId="55FFD3E5">
        <v:shapetype id="_x0000_t202" coordsize="21600,21600" o:spt="202" path="m,l,21600r21600,l21600,xe">
          <v:stroke joinstyle="miter"/>
          <v:path gradientshapeok="t" o:connecttype="rect"/>
        </v:shapetype>
        <v:shape id="_x0000_s2128" type="#_x0000_t202" style="position:absolute;margin-left:292.15pt;margin-top:769.05pt;width:23pt;height:11.4pt;z-index:-287672320;mso-position-horizontal-relative:page;mso-position-vertical-relative:page" filled="f" stroked="f">
          <v:textbox inset="0,0,0,0">
            <w:txbxContent>
              <w:p w14:paraId="5C14E559"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1010</w:t>
                </w:r>
                <w:r>
                  <w:fldChar w:fldCharType="end"/>
                </w:r>
              </w:p>
            </w:txbxContent>
          </v:textbox>
          <w10:wrap anchorx="page" anchory="page"/>
        </v:shape>
      </w:pic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1B0CC" w14:textId="77777777" w:rsidR="00A71EEF" w:rsidRDefault="0081115D">
    <w:pPr>
      <w:pStyle w:val="a3"/>
      <w:spacing w:line="14" w:lineRule="auto"/>
      <w:rPr>
        <w:sz w:val="20"/>
      </w:rPr>
    </w:pPr>
    <w:r>
      <w:pict w14:anchorId="1CC9A8E2">
        <v:shapetype id="_x0000_t202" coordsize="21600,21600" o:spt="202" path="m,l,21600r21600,l21600,xe">
          <v:stroke joinstyle="miter"/>
          <v:path gradientshapeok="t" o:connecttype="rect"/>
        </v:shapetype>
        <v:shape id="_x0000_s2076" type="#_x0000_t202" style="position:absolute;margin-left:313.2pt;margin-top:715.9pt;width:7.3pt;height:50pt;z-index:-287619072;mso-position-horizontal-relative:page;mso-position-vertical-relative:page" filled="f" stroked="f">
          <v:textbox inset="0,0,0,0">
            <w:txbxContent>
              <w:p w14:paraId="13B1C728" w14:textId="77777777" w:rsidR="00A71EEF" w:rsidRDefault="0081115D">
                <w:pPr>
                  <w:spacing w:line="261" w:lineRule="exact"/>
                  <w:ind w:left="20"/>
                  <w:rPr>
                    <w:b/>
                    <w:sz w:val="21"/>
                  </w:rPr>
                </w:pPr>
                <w:r>
                  <w:rPr>
                    <w:b/>
                    <w:w w:val="99"/>
                    <w:sz w:val="21"/>
                  </w:rPr>
                  <w:t xml:space="preserve"> </w:t>
                </w:r>
              </w:p>
              <w:p w14:paraId="26320A1F" w14:textId="77777777" w:rsidR="00A71EEF" w:rsidRDefault="0081115D">
                <w:pPr>
                  <w:spacing w:before="105"/>
                  <w:ind w:left="20"/>
                  <w:rPr>
                    <w:b/>
                    <w:sz w:val="21"/>
                  </w:rPr>
                </w:pPr>
                <w:r>
                  <w:rPr>
                    <w:b/>
                    <w:w w:val="99"/>
                    <w:sz w:val="21"/>
                  </w:rPr>
                  <w:t xml:space="preserve"> </w:t>
                </w:r>
              </w:p>
              <w:p w14:paraId="68BB10C4" w14:textId="77777777" w:rsidR="00A71EEF" w:rsidRDefault="0081115D">
                <w:pPr>
                  <w:spacing w:before="105" w:line="260" w:lineRule="exact"/>
                  <w:ind w:left="20"/>
                  <w:rPr>
                    <w:b/>
                    <w:sz w:val="21"/>
                  </w:rPr>
                </w:pPr>
                <w:r>
                  <w:rPr>
                    <w:b/>
                    <w:w w:val="99"/>
                    <w:sz w:val="21"/>
                  </w:rPr>
                  <w:t xml:space="preserve"> </w:t>
                </w:r>
              </w:p>
            </w:txbxContent>
          </v:textbox>
          <w10:wrap anchorx="page" anchory="page"/>
        </v:shape>
      </w:pict>
    </w:r>
    <w:r>
      <w:pict w14:anchorId="7F60A2CA">
        <v:shape id="_x0000_s2075" type="#_x0000_t202" style="position:absolute;margin-left:292.15pt;margin-top:769.05pt;width:23pt;height:11.4pt;z-index:-287618048;mso-position-horizontal-relative:page;mso-position-vertical-relative:page" filled="f" stroked="f">
          <v:textbox inset="0,0,0,0">
            <w:txbxContent>
              <w:p w14:paraId="04A19021"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1507</w:t>
                </w:r>
                <w:r>
                  <w:fldChar w:fldCharType="end"/>
                </w:r>
              </w:p>
            </w:txbxContent>
          </v:textbox>
          <w10:wrap anchorx="page" anchory="page"/>
        </v:shape>
      </w:pic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8EEB3" w14:textId="77777777" w:rsidR="00A71EEF" w:rsidRDefault="0081115D">
    <w:pPr>
      <w:pStyle w:val="a3"/>
      <w:spacing w:line="14" w:lineRule="auto"/>
      <w:rPr>
        <w:sz w:val="20"/>
      </w:rPr>
    </w:pPr>
    <w:r>
      <w:pict w14:anchorId="39522488">
        <v:shapetype id="_x0000_t202" coordsize="21600,21600" o:spt="202" path="m,l,21600r21600,l21600,xe">
          <v:stroke joinstyle="miter"/>
          <v:path gradientshapeok="t" o:connecttype="rect"/>
        </v:shapetype>
        <v:shape id="_x0000_s2074" type="#_x0000_t202" style="position:absolute;margin-left:293.15pt;margin-top:769.05pt;width:21pt;height:11.4pt;z-index:-287617024;mso-position-horizontal-relative:page;mso-position-vertical-relative:page" filled="f" stroked="f">
          <v:textbox inset="0,0,0,0">
            <w:txbxContent>
              <w:p w14:paraId="66B7445A" w14:textId="77777777" w:rsidR="00A71EEF" w:rsidRDefault="0081115D">
                <w:pPr>
                  <w:spacing w:line="228" w:lineRule="exact"/>
                  <w:ind w:left="20"/>
                  <w:rPr>
                    <w:rFonts w:ascii="等线"/>
                    <w:sz w:val="18"/>
                  </w:rPr>
                </w:pPr>
                <w:r>
                  <w:rPr>
                    <w:rFonts w:ascii="等线"/>
                    <w:sz w:val="18"/>
                  </w:rPr>
                  <w:t>1509</w:t>
                </w:r>
              </w:p>
            </w:txbxContent>
          </v:textbox>
          <w10:wrap anchorx="page" anchory="page"/>
        </v:shape>
      </w:pic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0C977" w14:textId="77777777" w:rsidR="00A71EEF" w:rsidRDefault="0081115D">
    <w:pPr>
      <w:pStyle w:val="a3"/>
      <w:spacing w:line="14" w:lineRule="auto"/>
      <w:rPr>
        <w:sz w:val="20"/>
      </w:rPr>
    </w:pPr>
    <w:r>
      <w:pict w14:anchorId="1F5046B5">
        <v:shapetype id="_x0000_t202" coordsize="21600,21600" o:spt="202" path="m,l,21600r21600,l21600,xe">
          <v:stroke joinstyle="miter"/>
          <v:path gradientshapeok="t" o:connecttype="rect"/>
        </v:shapetype>
        <v:shape id="_x0000_s2073" type="#_x0000_t202" style="position:absolute;margin-left:293.15pt;margin-top:769.05pt;width:21pt;height:11.4pt;z-index:-287616000;mso-position-horizontal-relative:page;mso-position-vertical-relative:page" filled="f" stroked="f">
          <v:textbox inset="0,0,0,0">
            <w:txbxContent>
              <w:p w14:paraId="0F211252" w14:textId="77777777" w:rsidR="00A71EEF" w:rsidRDefault="0081115D">
                <w:pPr>
                  <w:spacing w:line="228" w:lineRule="exact"/>
                  <w:ind w:left="20"/>
                  <w:rPr>
                    <w:rFonts w:ascii="等线"/>
                    <w:sz w:val="18"/>
                  </w:rPr>
                </w:pPr>
                <w:r>
                  <w:rPr>
                    <w:rFonts w:ascii="等线"/>
                    <w:sz w:val="18"/>
                  </w:rPr>
                  <w:t>1510</w:t>
                </w:r>
              </w:p>
            </w:txbxContent>
          </v:textbox>
          <w10:wrap anchorx="page" anchory="page"/>
        </v:shape>
      </w:pic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3F4D5" w14:textId="77777777" w:rsidR="00A71EEF" w:rsidRDefault="0081115D">
    <w:pPr>
      <w:pStyle w:val="a3"/>
      <w:spacing w:line="14" w:lineRule="auto"/>
      <w:rPr>
        <w:sz w:val="20"/>
      </w:rPr>
    </w:pPr>
    <w:r>
      <w:pict w14:anchorId="65B5444D">
        <v:shapetype id="_x0000_t202" coordsize="21600,21600" o:spt="202" path="m,l,21600r21600,l21600,xe">
          <v:stroke joinstyle="miter"/>
          <v:path gradientshapeok="t" o:connecttype="rect"/>
        </v:shapetype>
        <v:shape id="_x0000_s2072" type="#_x0000_t202" style="position:absolute;margin-left:292.15pt;margin-top:769.05pt;width:23pt;height:11.4pt;z-index:-287614976;mso-position-horizontal-relative:page;mso-position-vertical-relative:page" filled="f" stroked="f">
          <v:textbox inset="0,0,0,0">
            <w:txbxContent>
              <w:p w14:paraId="60FD18C1"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1511</w:t>
                </w:r>
                <w:r>
                  <w:fldChar w:fldCharType="end"/>
                </w:r>
              </w:p>
            </w:txbxContent>
          </v:textbox>
          <w10:wrap anchorx="page" anchory="page"/>
        </v:shape>
      </w:pic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5F259" w14:textId="77777777" w:rsidR="00A71EEF" w:rsidRDefault="0081115D">
    <w:pPr>
      <w:pStyle w:val="a3"/>
      <w:spacing w:line="14" w:lineRule="auto"/>
      <w:rPr>
        <w:sz w:val="20"/>
      </w:rPr>
    </w:pPr>
    <w:r>
      <w:pict w14:anchorId="760A20CD">
        <v:shapetype id="_x0000_t202" coordsize="21600,21600" o:spt="202" path="m,l,21600r21600,l21600,xe">
          <v:stroke joinstyle="miter"/>
          <v:path gradientshapeok="t" o:connecttype="rect"/>
        </v:shapetype>
        <v:shape id="_x0000_s2071" type="#_x0000_t202" style="position:absolute;margin-left:292.15pt;margin-top:769.05pt;width:23pt;height:11.4pt;z-index:-287613952;mso-position-horizontal-relative:page;mso-position-vertical-relative:page" filled="f" stroked="f">
          <v:textbox inset="0,0,0,0">
            <w:txbxContent>
              <w:p w14:paraId="18958517"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1520</w:t>
                </w:r>
                <w:r>
                  <w:fldChar w:fldCharType="end"/>
                </w:r>
              </w:p>
            </w:txbxContent>
          </v:textbox>
          <w10:wrap anchorx="page" anchory="page"/>
        </v:shape>
      </w:pic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80747" w14:textId="77777777" w:rsidR="00A71EEF" w:rsidRDefault="0081115D">
    <w:pPr>
      <w:pStyle w:val="a3"/>
      <w:spacing w:line="14" w:lineRule="auto"/>
      <w:rPr>
        <w:sz w:val="20"/>
      </w:rPr>
    </w:pPr>
    <w:r>
      <w:pict w14:anchorId="7D9948B6">
        <v:shapetype id="_x0000_t202" coordsize="21600,21600" o:spt="202" path="m,l,21600r21600,l21600,xe">
          <v:stroke joinstyle="miter"/>
          <v:path gradientshapeok="t" o:connecttype="rect"/>
        </v:shapetype>
        <v:shape id="_x0000_s2070" type="#_x0000_t202" style="position:absolute;margin-left:292.15pt;margin-top:769.05pt;width:23pt;height:11.4pt;z-index:-287612928;mso-position-horizontal-relative:page;mso-position-vertical-relative:page" filled="f" stroked="f">
          <v:textbox inset="0,0,0,0">
            <w:txbxContent>
              <w:p w14:paraId="43D91BA0"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1530</w:t>
                </w:r>
                <w:r>
                  <w:fldChar w:fldCharType="end"/>
                </w:r>
              </w:p>
            </w:txbxContent>
          </v:textbox>
          <w10:wrap anchorx="page" anchory="page"/>
        </v:shape>
      </w:pic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A00BC" w14:textId="77777777" w:rsidR="00A71EEF" w:rsidRDefault="0081115D">
    <w:pPr>
      <w:pStyle w:val="a3"/>
      <w:spacing w:line="14" w:lineRule="auto"/>
      <w:rPr>
        <w:sz w:val="20"/>
      </w:rPr>
    </w:pPr>
    <w:r>
      <w:pict w14:anchorId="7C877236">
        <v:shapetype id="_x0000_t202" coordsize="21600,21600" o:spt="202" path="m,l,21600r21600,l21600,xe">
          <v:stroke joinstyle="miter"/>
          <v:path gradientshapeok="t" o:connecttype="rect"/>
        </v:shapetype>
        <v:shape id="_x0000_s2069" type="#_x0000_t202" style="position:absolute;margin-left:292.15pt;margin-top:769.05pt;width:23pt;height:11.4pt;z-index:-287611904;mso-position-horizontal-relative:page;mso-position-vertical-relative:page" filled="f" stroked="f">
          <v:textbox inset="0,0,0,0">
            <w:txbxContent>
              <w:p w14:paraId="21A01709"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1540</w:t>
                </w:r>
                <w:r>
                  <w:fldChar w:fldCharType="end"/>
                </w:r>
              </w:p>
            </w:txbxContent>
          </v:textbox>
          <w10:wrap anchorx="page" anchory="page"/>
        </v:shape>
      </w:pic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C2CA2" w14:textId="77777777" w:rsidR="00A71EEF" w:rsidRDefault="0081115D">
    <w:pPr>
      <w:pStyle w:val="a3"/>
      <w:spacing w:line="14" w:lineRule="auto"/>
      <w:rPr>
        <w:sz w:val="20"/>
      </w:rPr>
    </w:pPr>
    <w:r>
      <w:pict w14:anchorId="73358ACF">
        <v:shapetype id="_x0000_t202" coordsize="21600,21600" o:spt="202" path="m,l,21600r21600,l21600,xe">
          <v:stroke joinstyle="miter"/>
          <v:path gradientshapeok="t" o:connecttype="rect"/>
        </v:shapetype>
        <v:shape id="_x0000_s2068" type="#_x0000_t202" style="position:absolute;margin-left:292.15pt;margin-top:769.05pt;width:23pt;height:11.4pt;z-index:-287610880;mso-position-horizontal-relative:page;mso-position-vertical-relative:page" filled="f" stroked="f">
          <v:textbox inset="0,0,0,0">
            <w:txbxContent>
              <w:p w14:paraId="479BC655"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1550</w:t>
                </w:r>
                <w:r>
                  <w:fldChar w:fldCharType="end"/>
                </w:r>
              </w:p>
            </w:txbxContent>
          </v:textbox>
          <w10:wrap anchorx="page" anchory="page"/>
        </v:shape>
      </w:pic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F279B" w14:textId="77777777" w:rsidR="00A71EEF" w:rsidRDefault="0081115D">
    <w:pPr>
      <w:pStyle w:val="a3"/>
      <w:spacing w:line="14" w:lineRule="auto"/>
      <w:rPr>
        <w:sz w:val="20"/>
      </w:rPr>
    </w:pPr>
    <w:r>
      <w:pict w14:anchorId="681B1784">
        <v:shapetype id="_x0000_t202" coordsize="21600,21600" o:spt="202" path="m,l,21600r21600,l21600,xe">
          <v:stroke joinstyle="miter"/>
          <v:path gradientshapeok="t" o:connecttype="rect"/>
        </v:shapetype>
        <v:shape id="_x0000_s2067" type="#_x0000_t202" style="position:absolute;margin-left:292.15pt;margin-top:769.05pt;width:23pt;height:11.4pt;z-index:-287609856;mso-position-horizontal-relative:page;mso-position-vertical-relative:page" filled="f" stroked="f">
          <v:textbox inset="0,0,0,0">
            <w:txbxContent>
              <w:p w14:paraId="33DE1C65"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1560</w:t>
                </w:r>
                <w:r>
                  <w:fldChar w:fldCharType="end"/>
                </w:r>
              </w:p>
            </w:txbxContent>
          </v:textbox>
          <w10:wrap anchorx="page" anchory="page"/>
        </v:shape>
      </w:pic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03929" w14:textId="77777777" w:rsidR="00A71EEF" w:rsidRDefault="0081115D">
    <w:pPr>
      <w:pStyle w:val="a3"/>
      <w:spacing w:line="14" w:lineRule="auto"/>
      <w:rPr>
        <w:sz w:val="20"/>
      </w:rPr>
    </w:pPr>
    <w:r>
      <w:pict w14:anchorId="72620794">
        <v:shapetype id="_x0000_t202" coordsize="21600,21600" o:spt="202" path="m,l,21600r21600,l21600,xe">
          <v:stroke joinstyle="miter"/>
          <v:path gradientshapeok="t" o:connecttype="rect"/>
        </v:shapetype>
        <v:shape id="_x0000_s2066" type="#_x0000_t202" style="position:absolute;margin-left:292.15pt;margin-top:769.05pt;width:23pt;height:11.4pt;z-index:-287608832;mso-position-horizontal-relative:page;mso-position-vertical-relative:page" filled="f" stroked="f">
          <v:textbox inset="0,0,0,0">
            <w:txbxContent>
              <w:p w14:paraId="34FA2D1D"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1570</w:t>
                </w:r>
                <w: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031F2" w14:textId="77777777" w:rsidR="00A71EEF" w:rsidRDefault="0081115D">
    <w:pPr>
      <w:pStyle w:val="a3"/>
      <w:spacing w:line="14" w:lineRule="auto"/>
      <w:rPr>
        <w:sz w:val="20"/>
      </w:rPr>
    </w:pPr>
    <w:r>
      <w:pict w14:anchorId="5270E31D">
        <v:shapetype id="_x0000_t202" coordsize="21600,21600" o:spt="202" path="m,l,21600r21600,l21600,xe">
          <v:stroke joinstyle="miter"/>
          <v:path gradientshapeok="t" o:connecttype="rect"/>
        </v:shapetype>
        <v:shape id="_x0000_s2127" type="#_x0000_t202" style="position:absolute;margin-left:292.15pt;margin-top:769.05pt;width:23pt;height:11.4pt;z-index:-287671296;mso-position-horizontal-relative:page;mso-position-vertical-relative:page" filled="f" stroked="f">
          <v:textbox inset="0,0,0,0">
            <w:txbxContent>
              <w:p w14:paraId="6B40E5E1"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1020</w:t>
                </w:r>
                <w:r>
                  <w:fldChar w:fldCharType="end"/>
                </w:r>
              </w:p>
            </w:txbxContent>
          </v:textbox>
          <w10:wrap anchorx="page" anchory="page"/>
        </v:shape>
      </w:pic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08473" w14:textId="77777777" w:rsidR="00A71EEF" w:rsidRDefault="0081115D">
    <w:pPr>
      <w:pStyle w:val="a3"/>
      <w:spacing w:line="14" w:lineRule="auto"/>
      <w:rPr>
        <w:sz w:val="20"/>
      </w:rPr>
    </w:pPr>
    <w:r>
      <w:pict w14:anchorId="35C9B6CC">
        <v:shapetype id="_x0000_t202" coordsize="21600,21600" o:spt="202" path="m,l,21600r21600,l21600,xe">
          <v:stroke joinstyle="miter"/>
          <v:path gradientshapeok="t" o:connecttype="rect"/>
        </v:shapetype>
        <v:shape id="_x0000_s2065" type="#_x0000_t202" style="position:absolute;margin-left:292.15pt;margin-top:769.05pt;width:23pt;height:11.4pt;z-index:-287607808;mso-position-horizontal-relative:page;mso-position-vertical-relative:page" filled="f" stroked="f">
          <v:textbox inset="0,0,0,0">
            <w:txbxContent>
              <w:p w14:paraId="58EBDBE5"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1580</w:t>
                </w:r>
                <w:r>
                  <w:fldChar w:fldCharType="end"/>
                </w:r>
              </w:p>
            </w:txbxContent>
          </v:textbox>
          <w10:wrap anchorx="page" anchory="page"/>
        </v:shape>
      </w:pic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1DF16" w14:textId="77777777" w:rsidR="00A71EEF" w:rsidRDefault="00A71EEF">
    <w:pPr>
      <w:pStyle w:val="a3"/>
      <w:spacing w:line="14" w:lineRule="auto"/>
      <w:rPr>
        <w:sz w:val="2"/>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A75AD" w14:textId="77777777" w:rsidR="00A71EEF" w:rsidRDefault="0081115D">
    <w:pPr>
      <w:pStyle w:val="a3"/>
      <w:spacing w:line="14" w:lineRule="auto"/>
      <w:rPr>
        <w:sz w:val="20"/>
      </w:rPr>
    </w:pPr>
    <w:r>
      <w:pict w14:anchorId="167677AB">
        <v:shapetype id="_x0000_t202" coordsize="21600,21600" o:spt="202" path="m,l,21600r21600,l21600,xe">
          <v:stroke joinstyle="miter"/>
          <v:path gradientshapeok="t" o:connecttype="rect"/>
        </v:shapetype>
        <v:shape id="_x0000_s2064" type="#_x0000_t202" style="position:absolute;margin-left:292.15pt;margin-top:769.05pt;width:23pt;height:11.4pt;z-index:-287606784;mso-position-horizontal-relative:page;mso-position-vertical-relative:page" filled="f" stroked="f">
          <v:textbox inset="0,0,0,0">
            <w:txbxContent>
              <w:p w14:paraId="555BF4F4"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1582</w:t>
                </w:r>
                <w:r>
                  <w:fldChar w:fldCharType="end"/>
                </w:r>
              </w:p>
            </w:txbxContent>
          </v:textbox>
          <w10:wrap anchorx="page" anchory="page"/>
        </v:shape>
      </w:pic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5A398" w14:textId="77777777" w:rsidR="00A71EEF" w:rsidRDefault="0081115D">
    <w:pPr>
      <w:pStyle w:val="a3"/>
      <w:spacing w:line="14" w:lineRule="auto"/>
      <w:rPr>
        <w:sz w:val="20"/>
      </w:rPr>
    </w:pPr>
    <w:r>
      <w:pict w14:anchorId="59D9A081">
        <v:shapetype id="_x0000_t202" coordsize="21600,21600" o:spt="202" path="m,l,21600r21600,l21600,xe">
          <v:stroke joinstyle="miter"/>
          <v:path gradientshapeok="t" o:connecttype="rect"/>
        </v:shapetype>
        <v:shape id="_x0000_s2063" type="#_x0000_t202" style="position:absolute;margin-left:292.15pt;margin-top:769.05pt;width:23pt;height:11.4pt;z-index:-287605760;mso-position-horizontal-relative:page;mso-position-vertical-relative:page" filled="f" stroked="f">
          <v:textbox inset="0,0,0,0">
            <w:txbxContent>
              <w:p w14:paraId="46815238"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1590</w:t>
                </w:r>
                <w:r>
                  <w:fldChar w:fldCharType="end"/>
                </w:r>
              </w:p>
            </w:txbxContent>
          </v:textbox>
          <w10:wrap anchorx="page" anchory="page"/>
        </v:shape>
      </w:pic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05345" w14:textId="77777777" w:rsidR="00A71EEF" w:rsidRDefault="0081115D">
    <w:pPr>
      <w:pStyle w:val="a3"/>
      <w:spacing w:line="14" w:lineRule="auto"/>
      <w:rPr>
        <w:sz w:val="20"/>
      </w:rPr>
    </w:pPr>
    <w:r>
      <w:pict w14:anchorId="0CEF5659">
        <v:shapetype id="_x0000_t202" coordsize="21600,21600" o:spt="202" path="m,l,21600r21600,l21600,xe">
          <v:stroke joinstyle="miter"/>
          <v:path gradientshapeok="t" o:connecttype="rect"/>
        </v:shapetype>
        <v:shape id="_x0000_s2062" type="#_x0000_t202" style="position:absolute;margin-left:114.45pt;margin-top:752.4pt;width:7.3pt;height:12.6pt;z-index:-287604736;mso-position-horizontal-relative:page;mso-position-vertical-relative:page" filled="f" stroked="f">
          <v:textbox inset="0,0,0,0">
            <w:txbxContent>
              <w:p w14:paraId="197DA27E" w14:textId="77777777" w:rsidR="00A71EEF" w:rsidRDefault="0081115D">
                <w:pPr>
                  <w:pStyle w:val="a3"/>
                  <w:spacing w:line="251" w:lineRule="exact"/>
                  <w:ind w:left="20"/>
                </w:pPr>
                <w:r>
                  <w:t xml:space="preserve"> </w:t>
                </w:r>
              </w:p>
            </w:txbxContent>
          </v:textbox>
          <w10:wrap anchorx="page" anchory="page"/>
        </v:shape>
      </w:pict>
    </w:r>
    <w:r>
      <w:pict w14:anchorId="54D053DF">
        <v:shape id="_x0000_s2061" type="#_x0000_t202" style="position:absolute;margin-left:292.15pt;margin-top:769.05pt;width:23pt;height:11.4pt;z-index:-287603712;mso-position-horizontal-relative:page;mso-position-vertical-relative:page" filled="f" stroked="f">
          <v:textbox inset="0,0,0,0">
            <w:txbxContent>
              <w:p w14:paraId="4BEB0DE2"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1594</w:t>
                </w:r>
                <w:r>
                  <w:fldChar w:fldCharType="end"/>
                </w:r>
              </w:p>
            </w:txbxContent>
          </v:textbox>
          <w10:wrap anchorx="page" anchory="page"/>
        </v:shape>
      </w:pic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01E28" w14:textId="77777777" w:rsidR="00A71EEF" w:rsidRDefault="0081115D">
    <w:pPr>
      <w:pStyle w:val="a3"/>
      <w:spacing w:line="14" w:lineRule="auto"/>
      <w:rPr>
        <w:sz w:val="20"/>
      </w:rPr>
    </w:pPr>
    <w:r>
      <w:pict w14:anchorId="572E6D0C">
        <v:shapetype id="_x0000_t202" coordsize="21600,21600" o:spt="202" path="m,l,21600r21600,l21600,xe">
          <v:stroke joinstyle="miter"/>
          <v:path gradientshapeok="t" o:connecttype="rect"/>
        </v:shapetype>
        <v:shape id="_x0000_s2060" type="#_x0000_t202" style="position:absolute;margin-left:292.15pt;margin-top:769.05pt;width:23pt;height:11.4pt;z-index:-287602688;mso-position-horizontal-relative:page;mso-position-vertical-relative:page" filled="f" stroked="f">
          <v:textbox inset="0,0,0,0">
            <w:txbxContent>
              <w:p w14:paraId="4003F009"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1596</w:t>
                </w:r>
                <w:r>
                  <w:fldChar w:fldCharType="end"/>
                </w:r>
              </w:p>
            </w:txbxContent>
          </v:textbox>
          <w10:wrap anchorx="page" anchory="page"/>
        </v:shape>
      </w:pic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02A15" w14:textId="77777777" w:rsidR="00A71EEF" w:rsidRDefault="0081115D">
    <w:pPr>
      <w:pStyle w:val="a3"/>
      <w:spacing w:line="14" w:lineRule="auto"/>
      <w:rPr>
        <w:sz w:val="20"/>
      </w:rPr>
    </w:pPr>
    <w:r>
      <w:pict w14:anchorId="2B1A59CD">
        <v:shapetype id="_x0000_t202" coordsize="21600,21600" o:spt="202" path="m,l,21600r21600,l21600,xe">
          <v:stroke joinstyle="miter"/>
          <v:path gradientshapeok="t" o:connecttype="rect"/>
        </v:shapetype>
        <v:shape id="_x0000_s2059" type="#_x0000_t202" style="position:absolute;margin-left:292.15pt;margin-top:769.05pt;width:23pt;height:11.4pt;z-index:-287601664;mso-position-horizontal-relative:page;mso-position-vertical-relative:page" filled="f" stroked="f">
          <v:textbox inset="0,0,0,0">
            <w:txbxContent>
              <w:p w14:paraId="45CDFDF3"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1600</w:t>
                </w:r>
                <w:r>
                  <w:fldChar w:fldCharType="end"/>
                </w:r>
              </w:p>
            </w:txbxContent>
          </v:textbox>
          <w10:wrap anchorx="page" anchory="page"/>
        </v:shape>
      </w:pic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F8F82" w14:textId="77777777" w:rsidR="00A71EEF" w:rsidRDefault="0081115D">
    <w:pPr>
      <w:pStyle w:val="a3"/>
      <w:spacing w:line="14" w:lineRule="auto"/>
      <w:rPr>
        <w:sz w:val="20"/>
      </w:rPr>
    </w:pPr>
    <w:r>
      <w:pict w14:anchorId="2CF3CB4A">
        <v:shapetype id="_x0000_t202" coordsize="21600,21600" o:spt="202" path="m,l,21600r21600,l21600,xe">
          <v:stroke joinstyle="miter"/>
          <v:path gradientshapeok="t" o:connecttype="rect"/>
        </v:shapetype>
        <v:shape id="_x0000_s2058" type="#_x0000_t202" style="position:absolute;margin-left:292.15pt;margin-top:769.05pt;width:23pt;height:11.4pt;z-index:-287600640;mso-position-horizontal-relative:page;mso-position-vertical-relative:page" filled="f" stroked="f">
          <v:textbox inset="0,0,0,0">
            <w:txbxContent>
              <w:p w14:paraId="6F1B4605"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1610</w:t>
                </w:r>
                <w:r>
                  <w:fldChar w:fldCharType="end"/>
                </w:r>
              </w:p>
            </w:txbxContent>
          </v:textbox>
          <w10:wrap anchorx="page" anchory="page"/>
        </v:shape>
      </w:pic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9088C" w14:textId="77777777" w:rsidR="00A71EEF" w:rsidRDefault="0081115D">
    <w:pPr>
      <w:pStyle w:val="a3"/>
      <w:spacing w:line="14" w:lineRule="auto"/>
      <w:rPr>
        <w:sz w:val="20"/>
      </w:rPr>
    </w:pPr>
    <w:r>
      <w:pict w14:anchorId="1FCAAA1B">
        <v:shapetype id="_x0000_t202" coordsize="21600,21600" o:spt="202" path="m,l,21600r21600,l21600,xe">
          <v:stroke joinstyle="miter"/>
          <v:path gradientshapeok="t" o:connecttype="rect"/>
        </v:shapetype>
        <v:shape id="_x0000_s2057" type="#_x0000_t202" style="position:absolute;margin-left:292.15pt;margin-top:769.05pt;width:23pt;height:11.4pt;z-index:-287599616;mso-position-horizontal-relative:page;mso-position-vertical-relative:page" filled="f" stroked="f">
          <v:textbox inset="0,0,0,0">
            <w:txbxContent>
              <w:p w14:paraId="1076A0A8"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1620</w:t>
                </w:r>
                <w:r>
                  <w:fldChar w:fldCharType="end"/>
                </w:r>
              </w:p>
            </w:txbxContent>
          </v:textbox>
          <w10:wrap anchorx="page" anchory="page"/>
        </v:shape>
      </w:pic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06C0B" w14:textId="77777777" w:rsidR="00A71EEF" w:rsidRDefault="0081115D">
    <w:pPr>
      <w:pStyle w:val="a3"/>
      <w:spacing w:line="14" w:lineRule="auto"/>
      <w:rPr>
        <w:sz w:val="20"/>
      </w:rPr>
    </w:pPr>
    <w:r>
      <w:pict w14:anchorId="3CEC8794">
        <v:shapetype id="_x0000_t202" coordsize="21600,21600" o:spt="202" path="m,l,21600r21600,l21600,xe">
          <v:stroke joinstyle="miter"/>
          <v:path gradientshapeok="t" o:connecttype="rect"/>
        </v:shapetype>
        <v:shape id="_x0000_s2056" type="#_x0000_t202" style="position:absolute;margin-left:292.15pt;margin-top:769.05pt;width:23pt;height:11.4pt;z-index:-287598592;mso-position-horizontal-relative:page;mso-position-vertical-relative:page" filled="f" stroked="f">
          <v:textbox inset="0,0,0,0">
            <w:txbxContent>
              <w:p w14:paraId="7874AC40"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1630</w:t>
                </w:r>
                <w: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6B360" w14:textId="77777777" w:rsidR="00A71EEF" w:rsidRDefault="0081115D">
    <w:pPr>
      <w:pStyle w:val="a3"/>
      <w:spacing w:line="14" w:lineRule="auto"/>
      <w:rPr>
        <w:sz w:val="20"/>
      </w:rPr>
    </w:pPr>
    <w:r>
      <w:pict w14:anchorId="4FC5B117">
        <v:shapetype id="_x0000_t202" coordsize="21600,21600" o:spt="202" path="m,l,21600r21600,l21600,xe">
          <v:stroke joinstyle="miter"/>
          <v:path gradientshapeok="t" o:connecttype="rect"/>
        </v:shapetype>
        <v:shape id="_x0000_s2126" type="#_x0000_t202" style="position:absolute;margin-left:292.15pt;margin-top:769.05pt;width:23pt;height:11.4pt;z-index:-287670272;mso-position-horizontal-relative:page;mso-position-vertical-relative:page" filled="f" stroked="f">
          <v:textbox inset="0,0,0,0">
            <w:txbxContent>
              <w:p w14:paraId="609262C0"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1030</w:t>
                </w:r>
                <w:r>
                  <w:fldChar w:fldCharType="end"/>
                </w:r>
              </w:p>
            </w:txbxContent>
          </v:textbox>
          <w10:wrap anchorx="page" anchory="page"/>
        </v:shape>
      </w:pic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3CA22" w14:textId="77777777" w:rsidR="00A71EEF" w:rsidRDefault="0081115D">
    <w:pPr>
      <w:pStyle w:val="a3"/>
      <w:spacing w:line="14" w:lineRule="auto"/>
      <w:rPr>
        <w:sz w:val="20"/>
      </w:rPr>
    </w:pPr>
    <w:r>
      <w:pict w14:anchorId="591A1454">
        <v:shapetype id="_x0000_t202" coordsize="21600,21600" o:spt="202" path="m,l,21600r21600,l21600,xe">
          <v:stroke joinstyle="miter"/>
          <v:path gradientshapeok="t" o:connecttype="rect"/>
        </v:shapetype>
        <v:shape id="_x0000_s2055" type="#_x0000_t202" style="position:absolute;margin-left:292.15pt;margin-top:769.05pt;width:23pt;height:11.4pt;z-index:-287597568;mso-position-horizontal-relative:page;mso-position-vertical-relative:page" filled="f" stroked="f">
          <v:textbox inset="0,0,0,0">
            <w:txbxContent>
              <w:p w14:paraId="542C5F4D"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1640</w:t>
                </w:r>
                <w:r>
                  <w:fldChar w:fldCharType="end"/>
                </w:r>
              </w:p>
            </w:txbxContent>
          </v:textbox>
          <w10:wrap anchorx="page" anchory="page"/>
        </v:shape>
      </w:pic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723D6" w14:textId="77777777" w:rsidR="00A71EEF" w:rsidRDefault="0081115D">
    <w:pPr>
      <w:pStyle w:val="a3"/>
      <w:spacing w:line="14" w:lineRule="auto"/>
      <w:rPr>
        <w:sz w:val="20"/>
      </w:rPr>
    </w:pPr>
    <w:r>
      <w:pict w14:anchorId="588AB301">
        <v:shapetype id="_x0000_t202" coordsize="21600,21600" o:spt="202" path="m,l,21600r21600,l21600,xe">
          <v:stroke joinstyle="miter"/>
          <v:path gradientshapeok="t" o:connecttype="rect"/>
        </v:shapetype>
        <v:shape id="_x0000_s2054" type="#_x0000_t202" style="position:absolute;margin-left:292.15pt;margin-top:769.05pt;width:23pt;height:11.4pt;z-index:-287596544;mso-position-horizontal-relative:page;mso-position-vertical-relative:page" filled="f" stroked="f">
          <v:textbox inset="0,0,0,0">
            <w:txbxContent>
              <w:p w14:paraId="4ECA07AB"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1650</w:t>
                </w:r>
                <w:r>
                  <w:fldChar w:fldCharType="end"/>
                </w:r>
              </w:p>
            </w:txbxContent>
          </v:textbox>
          <w10:wrap anchorx="page" anchory="page"/>
        </v:shape>
      </w:pic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F2607" w14:textId="77777777" w:rsidR="00A71EEF" w:rsidRDefault="0081115D">
    <w:pPr>
      <w:pStyle w:val="a3"/>
      <w:spacing w:line="14" w:lineRule="auto"/>
      <w:rPr>
        <w:sz w:val="20"/>
      </w:rPr>
    </w:pPr>
    <w:r>
      <w:pict w14:anchorId="5C021B0F">
        <v:shapetype id="_x0000_t202" coordsize="21600,21600" o:spt="202" path="m,l,21600r21600,l21600,xe">
          <v:stroke joinstyle="miter"/>
          <v:path gradientshapeok="t" o:connecttype="rect"/>
        </v:shapetype>
        <v:shape id="_x0000_s2053" type="#_x0000_t202" style="position:absolute;margin-left:292.15pt;margin-top:769.05pt;width:23pt;height:11.4pt;z-index:-287595520;mso-position-horizontal-relative:page;mso-position-vertical-relative:page" filled="f" stroked="f">
          <v:textbox inset="0,0,0,0">
            <w:txbxContent>
              <w:p w14:paraId="6D7E656C"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1660</w:t>
                </w:r>
                <w:r>
                  <w:fldChar w:fldCharType="end"/>
                </w:r>
              </w:p>
            </w:txbxContent>
          </v:textbox>
          <w10:wrap anchorx="page" anchory="page"/>
        </v:shape>
      </w:pic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3B269" w14:textId="77777777" w:rsidR="00A71EEF" w:rsidRDefault="0081115D">
    <w:pPr>
      <w:pStyle w:val="a3"/>
      <w:spacing w:line="14" w:lineRule="auto"/>
      <w:rPr>
        <w:sz w:val="20"/>
      </w:rPr>
    </w:pPr>
    <w:r>
      <w:pict w14:anchorId="57D4E54A">
        <v:shapetype id="_x0000_t202" coordsize="21600,21600" o:spt="202" path="m,l,21600r21600,l21600,xe">
          <v:stroke joinstyle="miter"/>
          <v:path gradientshapeok="t" o:connecttype="rect"/>
        </v:shapetype>
        <v:shape id="_x0000_s2052" type="#_x0000_t202" style="position:absolute;margin-left:292.15pt;margin-top:769.05pt;width:23pt;height:11.4pt;z-index:-287594496;mso-position-horizontal-relative:page;mso-position-vertical-relative:page" filled="f" stroked="f">
          <v:textbox inset="0,0,0,0">
            <w:txbxContent>
              <w:p w14:paraId="69FC42FC"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1670</w:t>
                </w:r>
                <w:r>
                  <w:fldChar w:fldCharType="end"/>
                </w:r>
              </w:p>
            </w:txbxContent>
          </v:textbox>
          <w10:wrap anchorx="page" anchory="page"/>
        </v:shape>
      </w:pic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FAC1" w14:textId="77777777" w:rsidR="00A71EEF" w:rsidRDefault="0081115D">
    <w:pPr>
      <w:pStyle w:val="a3"/>
      <w:spacing w:line="14" w:lineRule="auto"/>
      <w:rPr>
        <w:sz w:val="20"/>
      </w:rPr>
    </w:pPr>
    <w:r>
      <w:pict w14:anchorId="1D6D35BB">
        <v:shapetype id="_x0000_t202" coordsize="21600,21600" o:spt="202" path="m,l,21600r21600,l21600,xe">
          <v:stroke joinstyle="miter"/>
          <v:path gradientshapeok="t" o:connecttype="rect"/>
        </v:shapetype>
        <v:shape id="_x0000_s2051" type="#_x0000_t202" style="position:absolute;margin-left:292.15pt;margin-top:769.05pt;width:23pt;height:11.4pt;z-index:-287593472;mso-position-horizontal-relative:page;mso-position-vertical-relative:page" filled="f" stroked="f">
          <v:textbox inset="0,0,0,0">
            <w:txbxContent>
              <w:p w14:paraId="3730E21B"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1680</w:t>
                </w:r>
                <w:r>
                  <w:fldChar w:fldCharType="end"/>
                </w:r>
              </w:p>
            </w:txbxContent>
          </v:textbox>
          <w10:wrap anchorx="page" anchory="page"/>
        </v:shape>
      </w:pic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7B562" w14:textId="77777777" w:rsidR="00A71EEF" w:rsidRDefault="0081115D">
    <w:pPr>
      <w:pStyle w:val="a3"/>
      <w:spacing w:line="14" w:lineRule="auto"/>
      <w:rPr>
        <w:sz w:val="20"/>
      </w:rPr>
    </w:pPr>
    <w:r>
      <w:pict w14:anchorId="01B3055A">
        <v:shapetype id="_x0000_t202" coordsize="21600,21600" o:spt="202" path="m,l,21600r21600,l21600,xe">
          <v:stroke joinstyle="miter"/>
          <v:path gradientshapeok="t" o:connecttype="rect"/>
        </v:shapetype>
        <v:shape id="_x0000_s2050" type="#_x0000_t202" style="position:absolute;margin-left:292.15pt;margin-top:769.05pt;width:23pt;height:11.4pt;z-index:-287592448;mso-position-horizontal-relative:page;mso-position-vertical-relative:page" filled="f" stroked="f">
          <v:textbox inset="0,0,0,0">
            <w:txbxContent>
              <w:p w14:paraId="78F8DDB6"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1690</w:t>
                </w:r>
                <w:r>
                  <w:fldChar w:fldCharType="end"/>
                </w:r>
              </w:p>
            </w:txbxContent>
          </v:textbox>
          <w10:wrap anchorx="page" anchory="page"/>
        </v:shape>
      </w:pic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75926" w14:textId="77777777" w:rsidR="00A71EEF" w:rsidRDefault="0081115D">
    <w:pPr>
      <w:pStyle w:val="a3"/>
      <w:spacing w:line="14" w:lineRule="auto"/>
      <w:rPr>
        <w:sz w:val="20"/>
      </w:rPr>
    </w:pPr>
    <w:r>
      <w:pict w14:anchorId="4BE10CEF">
        <v:shapetype id="_x0000_t202" coordsize="21600,21600" o:spt="202" path="m,l,21600r21600,l21600,xe">
          <v:stroke joinstyle="miter"/>
          <v:path gradientshapeok="t" o:connecttype="rect"/>
        </v:shapetype>
        <v:shape id="_x0000_s2049" type="#_x0000_t202" style="position:absolute;margin-left:292.15pt;margin-top:769.05pt;width:23pt;height:11.4pt;z-index:-287591424;mso-position-horizontal-relative:page;mso-position-vertical-relative:page" filled="f" stroked="f">
          <v:textbox inset="0,0,0,0">
            <w:txbxContent>
              <w:p w14:paraId="0BAD3A20"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1700</w:t>
                </w:r>
                <w: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1ACD6" w14:textId="77777777" w:rsidR="00A71EEF" w:rsidRDefault="0081115D">
    <w:pPr>
      <w:pStyle w:val="a3"/>
      <w:spacing w:line="14" w:lineRule="auto"/>
      <w:rPr>
        <w:sz w:val="20"/>
      </w:rPr>
    </w:pPr>
    <w:r>
      <w:pict w14:anchorId="6E27AC39">
        <v:shapetype id="_x0000_t202" coordsize="21600,21600" o:spt="202" path="m,l,21600r21600,l21600,xe">
          <v:stroke joinstyle="miter"/>
          <v:path gradientshapeok="t" o:connecttype="rect"/>
        </v:shapetype>
        <v:shape id="_x0000_s2125" type="#_x0000_t202" style="position:absolute;margin-left:292.15pt;margin-top:769.05pt;width:23pt;height:11.4pt;z-index:-287669248;mso-position-horizontal-relative:page;mso-position-vertical-relative:page" filled="f" stroked="f">
          <v:textbox inset="0,0,0,0">
            <w:txbxContent>
              <w:p w14:paraId="2BA93612" w14:textId="77777777" w:rsidR="00A71EEF" w:rsidRDefault="0081115D">
                <w:pPr>
                  <w:spacing w:line="228" w:lineRule="exact"/>
                  <w:ind w:left="40"/>
                  <w:rPr>
                    <w:rFonts w:ascii="等线"/>
                    <w:sz w:val="18"/>
                  </w:rPr>
                </w:pPr>
                <w:r>
                  <w:fldChar w:fldCharType="begin"/>
                </w:r>
                <w:r>
                  <w:rPr>
                    <w:rFonts w:ascii="等线"/>
                    <w:sz w:val="18"/>
                  </w:rPr>
                  <w:instrText xml:space="preserve"> PAGE </w:instrText>
                </w:r>
                <w:r>
                  <w:fldChar w:fldCharType="separate"/>
                </w:r>
                <w:r>
                  <w:t>1040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53381" w14:textId="77777777" w:rsidR="0081115D" w:rsidRDefault="0081115D">
      <w:r>
        <w:separator/>
      </w:r>
    </w:p>
  </w:footnote>
  <w:footnote w:type="continuationSeparator" w:id="0">
    <w:p w14:paraId="352A268F" w14:textId="77777777" w:rsidR="0081115D" w:rsidRDefault="00811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DE3"/>
    <w:multiLevelType w:val="hybridMultilevel"/>
    <w:tmpl w:val="C14AE858"/>
    <w:lvl w:ilvl="0" w:tplc="366C3482">
      <w:start w:val="2"/>
      <w:numFmt w:val="lowerLetter"/>
      <w:lvlText w:val="%1)"/>
      <w:lvlJc w:val="left"/>
      <w:pPr>
        <w:ind w:left="1050" w:hanging="213"/>
        <w:jc w:val="left"/>
      </w:pPr>
      <w:rPr>
        <w:rFonts w:ascii="宋体" w:eastAsia="宋体" w:hAnsi="宋体" w:cs="宋体" w:hint="default"/>
        <w:spacing w:val="-3"/>
        <w:w w:val="99"/>
        <w:sz w:val="19"/>
        <w:szCs w:val="19"/>
        <w:lang w:val="zh-CN" w:eastAsia="zh-CN" w:bidi="zh-CN"/>
      </w:rPr>
    </w:lvl>
    <w:lvl w:ilvl="1" w:tplc="C23C090C">
      <w:numFmt w:val="bullet"/>
      <w:lvlText w:val="•"/>
      <w:lvlJc w:val="left"/>
      <w:pPr>
        <w:ind w:left="2018" w:hanging="213"/>
      </w:pPr>
      <w:rPr>
        <w:rFonts w:hint="default"/>
        <w:lang w:val="zh-CN" w:eastAsia="zh-CN" w:bidi="zh-CN"/>
      </w:rPr>
    </w:lvl>
    <w:lvl w:ilvl="2" w:tplc="5438629A">
      <w:numFmt w:val="bullet"/>
      <w:lvlText w:val="•"/>
      <w:lvlJc w:val="left"/>
      <w:pPr>
        <w:ind w:left="2977" w:hanging="213"/>
      </w:pPr>
      <w:rPr>
        <w:rFonts w:hint="default"/>
        <w:lang w:val="zh-CN" w:eastAsia="zh-CN" w:bidi="zh-CN"/>
      </w:rPr>
    </w:lvl>
    <w:lvl w:ilvl="3" w:tplc="296A47F6">
      <w:numFmt w:val="bullet"/>
      <w:lvlText w:val="•"/>
      <w:lvlJc w:val="left"/>
      <w:pPr>
        <w:ind w:left="3935" w:hanging="213"/>
      </w:pPr>
      <w:rPr>
        <w:rFonts w:hint="default"/>
        <w:lang w:val="zh-CN" w:eastAsia="zh-CN" w:bidi="zh-CN"/>
      </w:rPr>
    </w:lvl>
    <w:lvl w:ilvl="4" w:tplc="27903C14">
      <w:numFmt w:val="bullet"/>
      <w:lvlText w:val="•"/>
      <w:lvlJc w:val="left"/>
      <w:pPr>
        <w:ind w:left="4894" w:hanging="213"/>
      </w:pPr>
      <w:rPr>
        <w:rFonts w:hint="default"/>
        <w:lang w:val="zh-CN" w:eastAsia="zh-CN" w:bidi="zh-CN"/>
      </w:rPr>
    </w:lvl>
    <w:lvl w:ilvl="5" w:tplc="26A63C5C">
      <w:numFmt w:val="bullet"/>
      <w:lvlText w:val="•"/>
      <w:lvlJc w:val="left"/>
      <w:pPr>
        <w:ind w:left="5853" w:hanging="213"/>
      </w:pPr>
      <w:rPr>
        <w:rFonts w:hint="default"/>
        <w:lang w:val="zh-CN" w:eastAsia="zh-CN" w:bidi="zh-CN"/>
      </w:rPr>
    </w:lvl>
    <w:lvl w:ilvl="6" w:tplc="09A2F872">
      <w:numFmt w:val="bullet"/>
      <w:lvlText w:val="•"/>
      <w:lvlJc w:val="left"/>
      <w:pPr>
        <w:ind w:left="6811" w:hanging="213"/>
      </w:pPr>
      <w:rPr>
        <w:rFonts w:hint="default"/>
        <w:lang w:val="zh-CN" w:eastAsia="zh-CN" w:bidi="zh-CN"/>
      </w:rPr>
    </w:lvl>
    <w:lvl w:ilvl="7" w:tplc="B7D62E24">
      <w:numFmt w:val="bullet"/>
      <w:lvlText w:val="•"/>
      <w:lvlJc w:val="left"/>
      <w:pPr>
        <w:ind w:left="7770" w:hanging="213"/>
      </w:pPr>
      <w:rPr>
        <w:rFonts w:hint="default"/>
        <w:lang w:val="zh-CN" w:eastAsia="zh-CN" w:bidi="zh-CN"/>
      </w:rPr>
    </w:lvl>
    <w:lvl w:ilvl="8" w:tplc="839A1398">
      <w:numFmt w:val="bullet"/>
      <w:lvlText w:val="•"/>
      <w:lvlJc w:val="left"/>
      <w:pPr>
        <w:ind w:left="8729" w:hanging="213"/>
      </w:pPr>
      <w:rPr>
        <w:rFonts w:hint="default"/>
        <w:lang w:val="zh-CN" w:eastAsia="zh-CN" w:bidi="zh-CN"/>
      </w:rPr>
    </w:lvl>
  </w:abstractNum>
  <w:abstractNum w:abstractNumId="1" w15:restartNumberingAfterBreak="0">
    <w:nsid w:val="00434B81"/>
    <w:multiLevelType w:val="hybridMultilevel"/>
    <w:tmpl w:val="B5B2F824"/>
    <w:lvl w:ilvl="0" w:tplc="099C0F1C">
      <w:start w:val="8"/>
      <w:numFmt w:val="decimal"/>
      <w:lvlText w:val="%1"/>
      <w:lvlJc w:val="left"/>
      <w:pPr>
        <w:ind w:left="1370" w:hanging="531"/>
        <w:jc w:val="left"/>
      </w:pPr>
      <w:rPr>
        <w:rFonts w:hint="default"/>
        <w:lang w:val="zh-CN" w:eastAsia="zh-CN" w:bidi="zh-CN"/>
      </w:rPr>
    </w:lvl>
    <w:lvl w:ilvl="1" w:tplc="E6888CA2">
      <w:start w:val="3"/>
      <w:numFmt w:val="decimal"/>
      <w:lvlText w:val="%1.%2"/>
      <w:lvlJc w:val="left"/>
      <w:pPr>
        <w:ind w:left="1370" w:hanging="531"/>
        <w:jc w:val="left"/>
      </w:pPr>
      <w:rPr>
        <w:rFonts w:hint="default"/>
        <w:lang w:val="zh-CN" w:eastAsia="zh-CN" w:bidi="zh-CN"/>
      </w:rPr>
    </w:lvl>
    <w:lvl w:ilvl="2" w:tplc="B9825D74">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B628A718">
      <w:numFmt w:val="bullet"/>
      <w:lvlText w:val="•"/>
      <w:lvlJc w:val="left"/>
      <w:pPr>
        <w:ind w:left="4159" w:hanging="531"/>
      </w:pPr>
      <w:rPr>
        <w:rFonts w:hint="default"/>
        <w:lang w:val="zh-CN" w:eastAsia="zh-CN" w:bidi="zh-CN"/>
      </w:rPr>
    </w:lvl>
    <w:lvl w:ilvl="4" w:tplc="E2E4F8A6">
      <w:numFmt w:val="bullet"/>
      <w:lvlText w:val="•"/>
      <w:lvlJc w:val="left"/>
      <w:pPr>
        <w:ind w:left="5086" w:hanging="531"/>
      </w:pPr>
      <w:rPr>
        <w:rFonts w:hint="default"/>
        <w:lang w:val="zh-CN" w:eastAsia="zh-CN" w:bidi="zh-CN"/>
      </w:rPr>
    </w:lvl>
    <w:lvl w:ilvl="5" w:tplc="849CCA98">
      <w:numFmt w:val="bullet"/>
      <w:lvlText w:val="•"/>
      <w:lvlJc w:val="left"/>
      <w:pPr>
        <w:ind w:left="6013" w:hanging="531"/>
      </w:pPr>
      <w:rPr>
        <w:rFonts w:hint="default"/>
        <w:lang w:val="zh-CN" w:eastAsia="zh-CN" w:bidi="zh-CN"/>
      </w:rPr>
    </w:lvl>
    <w:lvl w:ilvl="6" w:tplc="D5D87EF4">
      <w:numFmt w:val="bullet"/>
      <w:lvlText w:val="•"/>
      <w:lvlJc w:val="left"/>
      <w:pPr>
        <w:ind w:left="6939" w:hanging="531"/>
      </w:pPr>
      <w:rPr>
        <w:rFonts w:hint="default"/>
        <w:lang w:val="zh-CN" w:eastAsia="zh-CN" w:bidi="zh-CN"/>
      </w:rPr>
    </w:lvl>
    <w:lvl w:ilvl="7" w:tplc="B8A64E20">
      <w:numFmt w:val="bullet"/>
      <w:lvlText w:val="•"/>
      <w:lvlJc w:val="left"/>
      <w:pPr>
        <w:ind w:left="7866" w:hanging="531"/>
      </w:pPr>
      <w:rPr>
        <w:rFonts w:hint="default"/>
        <w:lang w:val="zh-CN" w:eastAsia="zh-CN" w:bidi="zh-CN"/>
      </w:rPr>
    </w:lvl>
    <w:lvl w:ilvl="8" w:tplc="AD54FF2E">
      <w:numFmt w:val="bullet"/>
      <w:lvlText w:val="•"/>
      <w:lvlJc w:val="left"/>
      <w:pPr>
        <w:ind w:left="8793" w:hanging="531"/>
      </w:pPr>
      <w:rPr>
        <w:rFonts w:hint="default"/>
        <w:lang w:val="zh-CN" w:eastAsia="zh-CN" w:bidi="zh-CN"/>
      </w:rPr>
    </w:lvl>
  </w:abstractNum>
  <w:abstractNum w:abstractNumId="2" w15:restartNumberingAfterBreak="0">
    <w:nsid w:val="00445B6F"/>
    <w:multiLevelType w:val="hybridMultilevel"/>
    <w:tmpl w:val="172C75B2"/>
    <w:lvl w:ilvl="0" w:tplc="CE5AE728">
      <w:start w:val="7"/>
      <w:numFmt w:val="decimal"/>
      <w:lvlText w:val="%1"/>
      <w:lvlJc w:val="left"/>
      <w:pPr>
        <w:ind w:left="1370" w:hanging="531"/>
        <w:jc w:val="left"/>
      </w:pPr>
      <w:rPr>
        <w:rFonts w:hint="default"/>
        <w:lang w:val="zh-CN" w:eastAsia="zh-CN" w:bidi="zh-CN"/>
      </w:rPr>
    </w:lvl>
    <w:lvl w:ilvl="1" w:tplc="6B46EFB8">
      <w:start w:val="2"/>
      <w:numFmt w:val="decimal"/>
      <w:lvlText w:val="%1.%2"/>
      <w:lvlJc w:val="left"/>
      <w:pPr>
        <w:ind w:left="1370" w:hanging="531"/>
        <w:jc w:val="left"/>
      </w:pPr>
      <w:rPr>
        <w:rFonts w:hint="default"/>
        <w:lang w:val="zh-CN" w:eastAsia="zh-CN" w:bidi="zh-CN"/>
      </w:rPr>
    </w:lvl>
    <w:lvl w:ilvl="2" w:tplc="09A8F2BE">
      <w:start w:val="3"/>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2B7A6F24">
      <w:numFmt w:val="bullet"/>
      <w:lvlText w:val="•"/>
      <w:lvlJc w:val="left"/>
      <w:pPr>
        <w:ind w:left="4159" w:hanging="531"/>
      </w:pPr>
      <w:rPr>
        <w:rFonts w:hint="default"/>
        <w:lang w:val="zh-CN" w:eastAsia="zh-CN" w:bidi="zh-CN"/>
      </w:rPr>
    </w:lvl>
    <w:lvl w:ilvl="4" w:tplc="54327DD6">
      <w:numFmt w:val="bullet"/>
      <w:lvlText w:val="•"/>
      <w:lvlJc w:val="left"/>
      <w:pPr>
        <w:ind w:left="5086" w:hanging="531"/>
      </w:pPr>
      <w:rPr>
        <w:rFonts w:hint="default"/>
        <w:lang w:val="zh-CN" w:eastAsia="zh-CN" w:bidi="zh-CN"/>
      </w:rPr>
    </w:lvl>
    <w:lvl w:ilvl="5" w:tplc="07386CE6">
      <w:numFmt w:val="bullet"/>
      <w:lvlText w:val="•"/>
      <w:lvlJc w:val="left"/>
      <w:pPr>
        <w:ind w:left="6013" w:hanging="531"/>
      </w:pPr>
      <w:rPr>
        <w:rFonts w:hint="default"/>
        <w:lang w:val="zh-CN" w:eastAsia="zh-CN" w:bidi="zh-CN"/>
      </w:rPr>
    </w:lvl>
    <w:lvl w:ilvl="6" w:tplc="4B902C7E">
      <w:numFmt w:val="bullet"/>
      <w:lvlText w:val="•"/>
      <w:lvlJc w:val="left"/>
      <w:pPr>
        <w:ind w:left="6939" w:hanging="531"/>
      </w:pPr>
      <w:rPr>
        <w:rFonts w:hint="default"/>
        <w:lang w:val="zh-CN" w:eastAsia="zh-CN" w:bidi="zh-CN"/>
      </w:rPr>
    </w:lvl>
    <w:lvl w:ilvl="7" w:tplc="290274C0">
      <w:numFmt w:val="bullet"/>
      <w:lvlText w:val="•"/>
      <w:lvlJc w:val="left"/>
      <w:pPr>
        <w:ind w:left="7866" w:hanging="531"/>
      </w:pPr>
      <w:rPr>
        <w:rFonts w:hint="default"/>
        <w:lang w:val="zh-CN" w:eastAsia="zh-CN" w:bidi="zh-CN"/>
      </w:rPr>
    </w:lvl>
    <w:lvl w:ilvl="8" w:tplc="63589A4E">
      <w:numFmt w:val="bullet"/>
      <w:lvlText w:val="•"/>
      <w:lvlJc w:val="left"/>
      <w:pPr>
        <w:ind w:left="8793" w:hanging="531"/>
      </w:pPr>
      <w:rPr>
        <w:rFonts w:hint="default"/>
        <w:lang w:val="zh-CN" w:eastAsia="zh-CN" w:bidi="zh-CN"/>
      </w:rPr>
    </w:lvl>
  </w:abstractNum>
  <w:abstractNum w:abstractNumId="3" w15:restartNumberingAfterBreak="0">
    <w:nsid w:val="0073741B"/>
    <w:multiLevelType w:val="hybridMultilevel"/>
    <w:tmpl w:val="FAF8921A"/>
    <w:lvl w:ilvl="0" w:tplc="96C81FA0">
      <w:start w:val="5"/>
      <w:numFmt w:val="decimal"/>
      <w:lvlText w:val="%1"/>
      <w:lvlJc w:val="left"/>
      <w:pPr>
        <w:ind w:left="1477" w:hanging="637"/>
        <w:jc w:val="left"/>
      </w:pPr>
      <w:rPr>
        <w:rFonts w:hint="default"/>
        <w:lang w:val="zh-CN" w:eastAsia="zh-CN" w:bidi="zh-CN"/>
      </w:rPr>
    </w:lvl>
    <w:lvl w:ilvl="1" w:tplc="A922FD8E">
      <w:start w:val="3"/>
      <w:numFmt w:val="decimal"/>
      <w:lvlText w:val="%1.%2"/>
      <w:lvlJc w:val="left"/>
      <w:pPr>
        <w:ind w:left="1477" w:hanging="637"/>
        <w:jc w:val="left"/>
      </w:pPr>
      <w:rPr>
        <w:rFonts w:hint="default"/>
        <w:lang w:val="zh-CN" w:eastAsia="zh-CN" w:bidi="zh-CN"/>
      </w:rPr>
    </w:lvl>
    <w:lvl w:ilvl="2" w:tplc="DFC06E00">
      <w:start w:val="13"/>
      <w:numFmt w:val="decimal"/>
      <w:lvlText w:val="%1.%2.%3"/>
      <w:lvlJc w:val="left"/>
      <w:pPr>
        <w:ind w:left="1477" w:hanging="637"/>
        <w:jc w:val="left"/>
      </w:pPr>
      <w:rPr>
        <w:rFonts w:ascii="宋体" w:eastAsia="宋体" w:hAnsi="宋体" w:cs="宋体" w:hint="default"/>
        <w:b/>
        <w:bCs/>
        <w:spacing w:val="-3"/>
        <w:w w:val="99"/>
        <w:sz w:val="19"/>
        <w:szCs w:val="19"/>
        <w:lang w:val="zh-CN" w:eastAsia="zh-CN" w:bidi="zh-CN"/>
      </w:rPr>
    </w:lvl>
    <w:lvl w:ilvl="3" w:tplc="6C7E87FC">
      <w:numFmt w:val="bullet"/>
      <w:lvlText w:val="•"/>
      <w:lvlJc w:val="left"/>
      <w:pPr>
        <w:ind w:left="4229" w:hanging="637"/>
      </w:pPr>
      <w:rPr>
        <w:rFonts w:hint="default"/>
        <w:lang w:val="zh-CN" w:eastAsia="zh-CN" w:bidi="zh-CN"/>
      </w:rPr>
    </w:lvl>
    <w:lvl w:ilvl="4" w:tplc="2DDCBA92">
      <w:numFmt w:val="bullet"/>
      <w:lvlText w:val="•"/>
      <w:lvlJc w:val="left"/>
      <w:pPr>
        <w:ind w:left="5146" w:hanging="637"/>
      </w:pPr>
      <w:rPr>
        <w:rFonts w:hint="default"/>
        <w:lang w:val="zh-CN" w:eastAsia="zh-CN" w:bidi="zh-CN"/>
      </w:rPr>
    </w:lvl>
    <w:lvl w:ilvl="5" w:tplc="0F045BCA">
      <w:numFmt w:val="bullet"/>
      <w:lvlText w:val="•"/>
      <w:lvlJc w:val="left"/>
      <w:pPr>
        <w:ind w:left="6063" w:hanging="637"/>
      </w:pPr>
      <w:rPr>
        <w:rFonts w:hint="default"/>
        <w:lang w:val="zh-CN" w:eastAsia="zh-CN" w:bidi="zh-CN"/>
      </w:rPr>
    </w:lvl>
    <w:lvl w:ilvl="6" w:tplc="EF74CB40">
      <w:numFmt w:val="bullet"/>
      <w:lvlText w:val="•"/>
      <w:lvlJc w:val="left"/>
      <w:pPr>
        <w:ind w:left="6979" w:hanging="637"/>
      </w:pPr>
      <w:rPr>
        <w:rFonts w:hint="default"/>
        <w:lang w:val="zh-CN" w:eastAsia="zh-CN" w:bidi="zh-CN"/>
      </w:rPr>
    </w:lvl>
    <w:lvl w:ilvl="7" w:tplc="0DF844A0">
      <w:numFmt w:val="bullet"/>
      <w:lvlText w:val="•"/>
      <w:lvlJc w:val="left"/>
      <w:pPr>
        <w:ind w:left="7896" w:hanging="637"/>
      </w:pPr>
      <w:rPr>
        <w:rFonts w:hint="default"/>
        <w:lang w:val="zh-CN" w:eastAsia="zh-CN" w:bidi="zh-CN"/>
      </w:rPr>
    </w:lvl>
    <w:lvl w:ilvl="8" w:tplc="3C422EEC">
      <w:numFmt w:val="bullet"/>
      <w:lvlText w:val="•"/>
      <w:lvlJc w:val="left"/>
      <w:pPr>
        <w:ind w:left="8813" w:hanging="637"/>
      </w:pPr>
      <w:rPr>
        <w:rFonts w:hint="default"/>
        <w:lang w:val="zh-CN" w:eastAsia="zh-CN" w:bidi="zh-CN"/>
      </w:rPr>
    </w:lvl>
  </w:abstractNum>
  <w:abstractNum w:abstractNumId="4" w15:restartNumberingAfterBreak="0">
    <w:nsid w:val="00741FBC"/>
    <w:multiLevelType w:val="hybridMultilevel"/>
    <w:tmpl w:val="64C4295C"/>
    <w:lvl w:ilvl="0" w:tplc="3A202BD2">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890CF68A">
      <w:numFmt w:val="bullet"/>
      <w:lvlText w:val="•"/>
      <w:lvlJc w:val="left"/>
      <w:pPr>
        <w:ind w:left="2288" w:hanging="529"/>
      </w:pPr>
      <w:rPr>
        <w:rFonts w:hint="default"/>
        <w:lang w:val="zh-CN" w:eastAsia="zh-CN" w:bidi="zh-CN"/>
      </w:rPr>
    </w:lvl>
    <w:lvl w:ilvl="2" w:tplc="B872A382">
      <w:numFmt w:val="bullet"/>
      <w:lvlText w:val="•"/>
      <w:lvlJc w:val="left"/>
      <w:pPr>
        <w:ind w:left="3217" w:hanging="529"/>
      </w:pPr>
      <w:rPr>
        <w:rFonts w:hint="default"/>
        <w:lang w:val="zh-CN" w:eastAsia="zh-CN" w:bidi="zh-CN"/>
      </w:rPr>
    </w:lvl>
    <w:lvl w:ilvl="3" w:tplc="3AAE70B8">
      <w:numFmt w:val="bullet"/>
      <w:lvlText w:val="•"/>
      <w:lvlJc w:val="left"/>
      <w:pPr>
        <w:ind w:left="4145" w:hanging="529"/>
      </w:pPr>
      <w:rPr>
        <w:rFonts w:hint="default"/>
        <w:lang w:val="zh-CN" w:eastAsia="zh-CN" w:bidi="zh-CN"/>
      </w:rPr>
    </w:lvl>
    <w:lvl w:ilvl="4" w:tplc="A258761A">
      <w:numFmt w:val="bullet"/>
      <w:lvlText w:val="•"/>
      <w:lvlJc w:val="left"/>
      <w:pPr>
        <w:ind w:left="5074" w:hanging="529"/>
      </w:pPr>
      <w:rPr>
        <w:rFonts w:hint="default"/>
        <w:lang w:val="zh-CN" w:eastAsia="zh-CN" w:bidi="zh-CN"/>
      </w:rPr>
    </w:lvl>
    <w:lvl w:ilvl="5" w:tplc="5762A876">
      <w:numFmt w:val="bullet"/>
      <w:lvlText w:val="•"/>
      <w:lvlJc w:val="left"/>
      <w:pPr>
        <w:ind w:left="6003" w:hanging="529"/>
      </w:pPr>
      <w:rPr>
        <w:rFonts w:hint="default"/>
        <w:lang w:val="zh-CN" w:eastAsia="zh-CN" w:bidi="zh-CN"/>
      </w:rPr>
    </w:lvl>
    <w:lvl w:ilvl="6" w:tplc="596AD3E0">
      <w:numFmt w:val="bullet"/>
      <w:lvlText w:val="•"/>
      <w:lvlJc w:val="left"/>
      <w:pPr>
        <w:ind w:left="6931" w:hanging="529"/>
      </w:pPr>
      <w:rPr>
        <w:rFonts w:hint="default"/>
        <w:lang w:val="zh-CN" w:eastAsia="zh-CN" w:bidi="zh-CN"/>
      </w:rPr>
    </w:lvl>
    <w:lvl w:ilvl="7" w:tplc="C66A4846">
      <w:numFmt w:val="bullet"/>
      <w:lvlText w:val="•"/>
      <w:lvlJc w:val="left"/>
      <w:pPr>
        <w:ind w:left="7860" w:hanging="529"/>
      </w:pPr>
      <w:rPr>
        <w:rFonts w:hint="default"/>
        <w:lang w:val="zh-CN" w:eastAsia="zh-CN" w:bidi="zh-CN"/>
      </w:rPr>
    </w:lvl>
    <w:lvl w:ilvl="8" w:tplc="FE9E7C92">
      <w:numFmt w:val="bullet"/>
      <w:lvlText w:val="•"/>
      <w:lvlJc w:val="left"/>
      <w:pPr>
        <w:ind w:left="8789" w:hanging="529"/>
      </w:pPr>
      <w:rPr>
        <w:rFonts w:hint="default"/>
        <w:lang w:val="zh-CN" w:eastAsia="zh-CN" w:bidi="zh-CN"/>
      </w:rPr>
    </w:lvl>
  </w:abstractNum>
  <w:abstractNum w:abstractNumId="5" w15:restartNumberingAfterBreak="0">
    <w:nsid w:val="00894765"/>
    <w:multiLevelType w:val="hybridMultilevel"/>
    <w:tmpl w:val="6598E60E"/>
    <w:lvl w:ilvl="0" w:tplc="4D704198">
      <w:start w:val="5"/>
      <w:numFmt w:val="decimal"/>
      <w:lvlText w:val="%1"/>
      <w:lvlJc w:val="left"/>
      <w:pPr>
        <w:ind w:left="1158" w:hanging="318"/>
        <w:jc w:val="left"/>
      </w:pPr>
      <w:rPr>
        <w:rFonts w:hint="default"/>
        <w:lang w:val="zh-CN" w:eastAsia="zh-CN" w:bidi="zh-CN"/>
      </w:rPr>
    </w:lvl>
    <w:lvl w:ilvl="1" w:tplc="EEDE3C2C">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C5CCC262">
      <w:start w:val="1"/>
      <w:numFmt w:val="decimal"/>
      <w:lvlText w:val="%1.%2.%3"/>
      <w:lvlJc w:val="left"/>
      <w:pPr>
        <w:ind w:left="418" w:hanging="531"/>
        <w:jc w:val="left"/>
      </w:pPr>
      <w:rPr>
        <w:rFonts w:hint="default"/>
        <w:b/>
        <w:bCs/>
        <w:w w:val="99"/>
        <w:lang w:val="zh-CN" w:eastAsia="zh-CN" w:bidi="zh-CN"/>
      </w:rPr>
    </w:lvl>
    <w:lvl w:ilvl="3" w:tplc="C3AA04B0">
      <w:numFmt w:val="bullet"/>
      <w:lvlText w:val="•"/>
      <w:lvlJc w:val="left"/>
      <w:pPr>
        <w:ind w:left="2520" w:hanging="531"/>
      </w:pPr>
      <w:rPr>
        <w:rFonts w:hint="default"/>
        <w:lang w:val="zh-CN" w:eastAsia="zh-CN" w:bidi="zh-CN"/>
      </w:rPr>
    </w:lvl>
    <w:lvl w:ilvl="4" w:tplc="2A6E111C">
      <w:numFmt w:val="bullet"/>
      <w:lvlText w:val="•"/>
      <w:lvlJc w:val="left"/>
      <w:pPr>
        <w:ind w:left="3681" w:hanging="531"/>
      </w:pPr>
      <w:rPr>
        <w:rFonts w:hint="default"/>
        <w:lang w:val="zh-CN" w:eastAsia="zh-CN" w:bidi="zh-CN"/>
      </w:rPr>
    </w:lvl>
    <w:lvl w:ilvl="5" w:tplc="BA50FE3A">
      <w:numFmt w:val="bullet"/>
      <w:lvlText w:val="•"/>
      <w:lvlJc w:val="left"/>
      <w:pPr>
        <w:ind w:left="4842" w:hanging="531"/>
      </w:pPr>
      <w:rPr>
        <w:rFonts w:hint="default"/>
        <w:lang w:val="zh-CN" w:eastAsia="zh-CN" w:bidi="zh-CN"/>
      </w:rPr>
    </w:lvl>
    <w:lvl w:ilvl="6" w:tplc="8DDCA1F0">
      <w:numFmt w:val="bullet"/>
      <w:lvlText w:val="•"/>
      <w:lvlJc w:val="left"/>
      <w:pPr>
        <w:ind w:left="6003" w:hanging="531"/>
      </w:pPr>
      <w:rPr>
        <w:rFonts w:hint="default"/>
        <w:lang w:val="zh-CN" w:eastAsia="zh-CN" w:bidi="zh-CN"/>
      </w:rPr>
    </w:lvl>
    <w:lvl w:ilvl="7" w:tplc="F69EC13C">
      <w:numFmt w:val="bullet"/>
      <w:lvlText w:val="•"/>
      <w:lvlJc w:val="left"/>
      <w:pPr>
        <w:ind w:left="7164" w:hanging="531"/>
      </w:pPr>
      <w:rPr>
        <w:rFonts w:hint="default"/>
        <w:lang w:val="zh-CN" w:eastAsia="zh-CN" w:bidi="zh-CN"/>
      </w:rPr>
    </w:lvl>
    <w:lvl w:ilvl="8" w:tplc="952E9FD2">
      <w:numFmt w:val="bullet"/>
      <w:lvlText w:val="•"/>
      <w:lvlJc w:val="left"/>
      <w:pPr>
        <w:ind w:left="8324" w:hanging="531"/>
      </w:pPr>
      <w:rPr>
        <w:rFonts w:hint="default"/>
        <w:lang w:val="zh-CN" w:eastAsia="zh-CN" w:bidi="zh-CN"/>
      </w:rPr>
    </w:lvl>
  </w:abstractNum>
  <w:abstractNum w:abstractNumId="6" w15:restartNumberingAfterBreak="0">
    <w:nsid w:val="009051CE"/>
    <w:multiLevelType w:val="hybridMultilevel"/>
    <w:tmpl w:val="17CC476A"/>
    <w:lvl w:ilvl="0" w:tplc="20081B86">
      <w:start w:val="5"/>
      <w:numFmt w:val="decimal"/>
      <w:lvlText w:val="%1"/>
      <w:lvlJc w:val="left"/>
      <w:pPr>
        <w:ind w:left="418" w:hanging="531"/>
        <w:jc w:val="left"/>
      </w:pPr>
      <w:rPr>
        <w:rFonts w:hint="default"/>
        <w:lang w:val="zh-CN" w:eastAsia="zh-CN" w:bidi="zh-CN"/>
      </w:rPr>
    </w:lvl>
    <w:lvl w:ilvl="1" w:tplc="2AEE51FC">
      <w:start w:val="3"/>
      <w:numFmt w:val="decimal"/>
      <w:lvlText w:val="%1.%2"/>
      <w:lvlJc w:val="left"/>
      <w:pPr>
        <w:ind w:left="418" w:hanging="531"/>
        <w:jc w:val="left"/>
      </w:pPr>
      <w:rPr>
        <w:rFonts w:hint="default"/>
        <w:lang w:val="zh-CN" w:eastAsia="zh-CN" w:bidi="zh-CN"/>
      </w:rPr>
    </w:lvl>
    <w:lvl w:ilvl="2" w:tplc="958A7990">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0812EFF2">
      <w:numFmt w:val="bullet"/>
      <w:lvlText w:val="•"/>
      <w:lvlJc w:val="left"/>
      <w:pPr>
        <w:ind w:left="3487" w:hanging="531"/>
      </w:pPr>
      <w:rPr>
        <w:rFonts w:hint="default"/>
        <w:lang w:val="zh-CN" w:eastAsia="zh-CN" w:bidi="zh-CN"/>
      </w:rPr>
    </w:lvl>
    <w:lvl w:ilvl="4" w:tplc="AEFCAA10">
      <w:numFmt w:val="bullet"/>
      <w:lvlText w:val="•"/>
      <w:lvlJc w:val="left"/>
      <w:pPr>
        <w:ind w:left="4510" w:hanging="531"/>
      </w:pPr>
      <w:rPr>
        <w:rFonts w:hint="default"/>
        <w:lang w:val="zh-CN" w:eastAsia="zh-CN" w:bidi="zh-CN"/>
      </w:rPr>
    </w:lvl>
    <w:lvl w:ilvl="5" w:tplc="97AAC006">
      <w:numFmt w:val="bullet"/>
      <w:lvlText w:val="•"/>
      <w:lvlJc w:val="left"/>
      <w:pPr>
        <w:ind w:left="5533" w:hanging="531"/>
      </w:pPr>
      <w:rPr>
        <w:rFonts w:hint="default"/>
        <w:lang w:val="zh-CN" w:eastAsia="zh-CN" w:bidi="zh-CN"/>
      </w:rPr>
    </w:lvl>
    <w:lvl w:ilvl="6" w:tplc="4E2AF642">
      <w:numFmt w:val="bullet"/>
      <w:lvlText w:val="•"/>
      <w:lvlJc w:val="left"/>
      <w:pPr>
        <w:ind w:left="6555" w:hanging="531"/>
      </w:pPr>
      <w:rPr>
        <w:rFonts w:hint="default"/>
        <w:lang w:val="zh-CN" w:eastAsia="zh-CN" w:bidi="zh-CN"/>
      </w:rPr>
    </w:lvl>
    <w:lvl w:ilvl="7" w:tplc="E800E092">
      <w:numFmt w:val="bullet"/>
      <w:lvlText w:val="•"/>
      <w:lvlJc w:val="left"/>
      <w:pPr>
        <w:ind w:left="7578" w:hanging="531"/>
      </w:pPr>
      <w:rPr>
        <w:rFonts w:hint="default"/>
        <w:lang w:val="zh-CN" w:eastAsia="zh-CN" w:bidi="zh-CN"/>
      </w:rPr>
    </w:lvl>
    <w:lvl w:ilvl="8" w:tplc="BD482342">
      <w:numFmt w:val="bullet"/>
      <w:lvlText w:val="•"/>
      <w:lvlJc w:val="left"/>
      <w:pPr>
        <w:ind w:left="8601" w:hanging="531"/>
      </w:pPr>
      <w:rPr>
        <w:rFonts w:hint="default"/>
        <w:lang w:val="zh-CN" w:eastAsia="zh-CN" w:bidi="zh-CN"/>
      </w:rPr>
    </w:lvl>
  </w:abstractNum>
  <w:abstractNum w:abstractNumId="7" w15:restartNumberingAfterBreak="0">
    <w:nsid w:val="00A56E48"/>
    <w:multiLevelType w:val="hybridMultilevel"/>
    <w:tmpl w:val="0A78E720"/>
    <w:lvl w:ilvl="0" w:tplc="387C3EA2">
      <w:start w:val="1"/>
      <w:numFmt w:val="upperLetter"/>
      <w:lvlText w:val="%1"/>
      <w:lvlJc w:val="left"/>
      <w:pPr>
        <w:ind w:left="838" w:hanging="529"/>
        <w:jc w:val="left"/>
      </w:pPr>
      <w:rPr>
        <w:rFonts w:hint="default"/>
        <w:lang w:val="zh-CN" w:eastAsia="zh-CN" w:bidi="zh-CN"/>
      </w:rPr>
    </w:lvl>
    <w:lvl w:ilvl="1" w:tplc="3452ACD2">
      <w:start w:val="1"/>
      <w:numFmt w:val="decimal"/>
      <w:lvlText w:val="%1.%2"/>
      <w:lvlJc w:val="left"/>
      <w:pPr>
        <w:ind w:left="838" w:hanging="529"/>
        <w:jc w:val="left"/>
      </w:pPr>
      <w:rPr>
        <w:rFonts w:hint="default"/>
        <w:lang w:val="zh-CN" w:eastAsia="zh-CN" w:bidi="zh-CN"/>
      </w:rPr>
    </w:lvl>
    <w:lvl w:ilvl="2" w:tplc="9FFAC092">
      <w:start w:val="2"/>
      <w:numFmt w:val="decimal"/>
      <w:lvlText w:val="%1.%2.%3"/>
      <w:lvlJc w:val="left"/>
      <w:pPr>
        <w:ind w:left="838" w:hanging="529"/>
        <w:jc w:val="left"/>
      </w:pPr>
      <w:rPr>
        <w:rFonts w:ascii="宋体" w:eastAsia="宋体" w:hAnsi="宋体" w:cs="宋体" w:hint="default"/>
        <w:b/>
        <w:bCs/>
        <w:w w:val="99"/>
        <w:sz w:val="19"/>
        <w:szCs w:val="19"/>
        <w:lang w:val="zh-CN" w:eastAsia="zh-CN" w:bidi="zh-CN"/>
      </w:rPr>
    </w:lvl>
    <w:lvl w:ilvl="3" w:tplc="5AF03B38">
      <w:numFmt w:val="bullet"/>
      <w:lvlText w:val="•"/>
      <w:lvlJc w:val="left"/>
      <w:pPr>
        <w:ind w:left="3781" w:hanging="529"/>
      </w:pPr>
      <w:rPr>
        <w:rFonts w:hint="default"/>
        <w:lang w:val="zh-CN" w:eastAsia="zh-CN" w:bidi="zh-CN"/>
      </w:rPr>
    </w:lvl>
    <w:lvl w:ilvl="4" w:tplc="39B070AE">
      <w:numFmt w:val="bullet"/>
      <w:lvlText w:val="•"/>
      <w:lvlJc w:val="left"/>
      <w:pPr>
        <w:ind w:left="4762" w:hanging="529"/>
      </w:pPr>
      <w:rPr>
        <w:rFonts w:hint="default"/>
        <w:lang w:val="zh-CN" w:eastAsia="zh-CN" w:bidi="zh-CN"/>
      </w:rPr>
    </w:lvl>
    <w:lvl w:ilvl="5" w:tplc="4F3C0090">
      <w:numFmt w:val="bullet"/>
      <w:lvlText w:val="•"/>
      <w:lvlJc w:val="left"/>
      <w:pPr>
        <w:ind w:left="5743" w:hanging="529"/>
      </w:pPr>
      <w:rPr>
        <w:rFonts w:hint="default"/>
        <w:lang w:val="zh-CN" w:eastAsia="zh-CN" w:bidi="zh-CN"/>
      </w:rPr>
    </w:lvl>
    <w:lvl w:ilvl="6" w:tplc="FD58DAE0">
      <w:numFmt w:val="bullet"/>
      <w:lvlText w:val="•"/>
      <w:lvlJc w:val="left"/>
      <w:pPr>
        <w:ind w:left="6723" w:hanging="529"/>
      </w:pPr>
      <w:rPr>
        <w:rFonts w:hint="default"/>
        <w:lang w:val="zh-CN" w:eastAsia="zh-CN" w:bidi="zh-CN"/>
      </w:rPr>
    </w:lvl>
    <w:lvl w:ilvl="7" w:tplc="72A2476E">
      <w:numFmt w:val="bullet"/>
      <w:lvlText w:val="•"/>
      <w:lvlJc w:val="left"/>
      <w:pPr>
        <w:ind w:left="7704" w:hanging="529"/>
      </w:pPr>
      <w:rPr>
        <w:rFonts w:hint="default"/>
        <w:lang w:val="zh-CN" w:eastAsia="zh-CN" w:bidi="zh-CN"/>
      </w:rPr>
    </w:lvl>
    <w:lvl w:ilvl="8" w:tplc="D9B0C816">
      <w:numFmt w:val="bullet"/>
      <w:lvlText w:val="•"/>
      <w:lvlJc w:val="left"/>
      <w:pPr>
        <w:ind w:left="8685" w:hanging="529"/>
      </w:pPr>
      <w:rPr>
        <w:rFonts w:hint="default"/>
        <w:lang w:val="zh-CN" w:eastAsia="zh-CN" w:bidi="zh-CN"/>
      </w:rPr>
    </w:lvl>
  </w:abstractNum>
  <w:abstractNum w:abstractNumId="8" w15:restartNumberingAfterBreak="0">
    <w:nsid w:val="00C8300D"/>
    <w:multiLevelType w:val="hybridMultilevel"/>
    <w:tmpl w:val="2DCA10C0"/>
    <w:lvl w:ilvl="0" w:tplc="FFB8D01A">
      <w:start w:val="6"/>
      <w:numFmt w:val="decimal"/>
      <w:lvlText w:val="%1"/>
      <w:lvlJc w:val="left"/>
      <w:pPr>
        <w:ind w:left="418" w:hanging="790"/>
        <w:jc w:val="left"/>
      </w:pPr>
      <w:rPr>
        <w:rFonts w:hint="default"/>
        <w:lang w:val="zh-CN" w:eastAsia="zh-CN" w:bidi="zh-CN"/>
      </w:rPr>
    </w:lvl>
    <w:lvl w:ilvl="1" w:tplc="21A4D0F4">
      <w:start w:val="3"/>
      <w:numFmt w:val="decimal"/>
      <w:lvlText w:val="%1.%2"/>
      <w:lvlJc w:val="left"/>
      <w:pPr>
        <w:ind w:left="418" w:hanging="790"/>
        <w:jc w:val="left"/>
      </w:pPr>
      <w:rPr>
        <w:rFonts w:hint="default"/>
        <w:lang w:val="zh-CN" w:eastAsia="zh-CN" w:bidi="zh-CN"/>
      </w:rPr>
    </w:lvl>
    <w:lvl w:ilvl="2" w:tplc="A26A6D7A">
      <w:start w:val="3"/>
      <w:numFmt w:val="decimal"/>
      <w:lvlText w:val="%1.%2.%3"/>
      <w:lvlJc w:val="left"/>
      <w:pPr>
        <w:ind w:left="418" w:hanging="790"/>
        <w:jc w:val="left"/>
      </w:pPr>
      <w:rPr>
        <w:rFonts w:hint="default"/>
        <w:lang w:val="zh-CN" w:eastAsia="zh-CN" w:bidi="zh-CN"/>
      </w:rPr>
    </w:lvl>
    <w:lvl w:ilvl="3" w:tplc="7F9E398E">
      <w:start w:val="1"/>
      <w:numFmt w:val="decimal"/>
      <w:lvlText w:val="%1.%2.%3.%4"/>
      <w:lvlJc w:val="left"/>
      <w:pPr>
        <w:ind w:left="418" w:hanging="790"/>
        <w:jc w:val="left"/>
      </w:pPr>
      <w:rPr>
        <w:rFonts w:ascii="宋体" w:eastAsia="宋体" w:hAnsi="宋体" w:cs="宋体" w:hint="default"/>
        <w:spacing w:val="-3"/>
        <w:w w:val="100"/>
        <w:sz w:val="21"/>
        <w:szCs w:val="21"/>
        <w:lang w:val="zh-CN" w:eastAsia="zh-CN" w:bidi="zh-CN"/>
      </w:rPr>
    </w:lvl>
    <w:lvl w:ilvl="4" w:tplc="8834C3E0">
      <w:numFmt w:val="bullet"/>
      <w:lvlText w:val="•"/>
      <w:lvlJc w:val="left"/>
      <w:pPr>
        <w:ind w:left="4510" w:hanging="790"/>
      </w:pPr>
      <w:rPr>
        <w:rFonts w:hint="default"/>
        <w:lang w:val="zh-CN" w:eastAsia="zh-CN" w:bidi="zh-CN"/>
      </w:rPr>
    </w:lvl>
    <w:lvl w:ilvl="5" w:tplc="DDA810DC">
      <w:numFmt w:val="bullet"/>
      <w:lvlText w:val="•"/>
      <w:lvlJc w:val="left"/>
      <w:pPr>
        <w:ind w:left="5533" w:hanging="790"/>
      </w:pPr>
      <w:rPr>
        <w:rFonts w:hint="default"/>
        <w:lang w:val="zh-CN" w:eastAsia="zh-CN" w:bidi="zh-CN"/>
      </w:rPr>
    </w:lvl>
    <w:lvl w:ilvl="6" w:tplc="48A68F12">
      <w:numFmt w:val="bullet"/>
      <w:lvlText w:val="•"/>
      <w:lvlJc w:val="left"/>
      <w:pPr>
        <w:ind w:left="6555" w:hanging="790"/>
      </w:pPr>
      <w:rPr>
        <w:rFonts w:hint="default"/>
        <w:lang w:val="zh-CN" w:eastAsia="zh-CN" w:bidi="zh-CN"/>
      </w:rPr>
    </w:lvl>
    <w:lvl w:ilvl="7" w:tplc="08FAD38A">
      <w:numFmt w:val="bullet"/>
      <w:lvlText w:val="•"/>
      <w:lvlJc w:val="left"/>
      <w:pPr>
        <w:ind w:left="7578" w:hanging="790"/>
      </w:pPr>
      <w:rPr>
        <w:rFonts w:hint="default"/>
        <w:lang w:val="zh-CN" w:eastAsia="zh-CN" w:bidi="zh-CN"/>
      </w:rPr>
    </w:lvl>
    <w:lvl w:ilvl="8" w:tplc="FE906046">
      <w:numFmt w:val="bullet"/>
      <w:lvlText w:val="•"/>
      <w:lvlJc w:val="left"/>
      <w:pPr>
        <w:ind w:left="8601" w:hanging="790"/>
      </w:pPr>
      <w:rPr>
        <w:rFonts w:hint="default"/>
        <w:lang w:val="zh-CN" w:eastAsia="zh-CN" w:bidi="zh-CN"/>
      </w:rPr>
    </w:lvl>
  </w:abstractNum>
  <w:abstractNum w:abstractNumId="9" w15:restartNumberingAfterBreak="0">
    <w:nsid w:val="00EB5B8B"/>
    <w:multiLevelType w:val="hybridMultilevel"/>
    <w:tmpl w:val="6B868DDC"/>
    <w:lvl w:ilvl="0" w:tplc="B0DC670A">
      <w:start w:val="4"/>
      <w:numFmt w:val="decimal"/>
      <w:lvlText w:val="%1"/>
      <w:lvlJc w:val="left"/>
      <w:pPr>
        <w:ind w:left="1575" w:hanging="738"/>
        <w:jc w:val="left"/>
      </w:pPr>
      <w:rPr>
        <w:rFonts w:hint="default"/>
        <w:lang w:val="zh-CN" w:eastAsia="zh-CN" w:bidi="zh-CN"/>
      </w:rPr>
    </w:lvl>
    <w:lvl w:ilvl="1" w:tplc="7DD4B9C2">
      <w:start w:val="4"/>
      <w:numFmt w:val="decimal"/>
      <w:lvlText w:val="%1.%2"/>
      <w:lvlJc w:val="left"/>
      <w:pPr>
        <w:ind w:left="1575" w:hanging="738"/>
        <w:jc w:val="left"/>
      </w:pPr>
      <w:rPr>
        <w:rFonts w:hint="default"/>
        <w:lang w:val="zh-CN" w:eastAsia="zh-CN" w:bidi="zh-CN"/>
      </w:rPr>
    </w:lvl>
    <w:lvl w:ilvl="2" w:tplc="D20C8DD2">
      <w:start w:val="2"/>
      <w:numFmt w:val="decimal"/>
      <w:lvlText w:val="%1.%2.%3"/>
      <w:lvlJc w:val="left"/>
      <w:pPr>
        <w:ind w:left="1575" w:hanging="738"/>
        <w:jc w:val="left"/>
      </w:pPr>
      <w:rPr>
        <w:rFonts w:hint="default"/>
        <w:lang w:val="zh-CN" w:eastAsia="zh-CN" w:bidi="zh-CN"/>
      </w:rPr>
    </w:lvl>
    <w:lvl w:ilvl="3" w:tplc="253CE1DE">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8F00747C">
      <w:start w:val="1"/>
      <w:numFmt w:val="decimal"/>
      <w:lvlText w:val="%1.%2.%3.%4.%5"/>
      <w:lvlJc w:val="left"/>
      <w:pPr>
        <w:ind w:left="1787" w:hanging="950"/>
        <w:jc w:val="left"/>
      </w:pPr>
      <w:rPr>
        <w:rFonts w:ascii="宋体" w:eastAsia="宋体" w:hAnsi="宋体" w:cs="宋体" w:hint="default"/>
        <w:spacing w:val="-3"/>
        <w:w w:val="100"/>
        <w:sz w:val="19"/>
        <w:szCs w:val="19"/>
        <w:lang w:val="zh-CN" w:eastAsia="zh-CN" w:bidi="zh-CN"/>
      </w:rPr>
    </w:lvl>
    <w:lvl w:ilvl="5" w:tplc="1F3E08D4">
      <w:numFmt w:val="bullet"/>
      <w:lvlText w:val="•"/>
      <w:lvlJc w:val="left"/>
      <w:pPr>
        <w:ind w:left="5104" w:hanging="950"/>
      </w:pPr>
      <w:rPr>
        <w:rFonts w:hint="default"/>
        <w:lang w:val="zh-CN" w:eastAsia="zh-CN" w:bidi="zh-CN"/>
      </w:rPr>
    </w:lvl>
    <w:lvl w:ilvl="6" w:tplc="2C4CB090">
      <w:numFmt w:val="bullet"/>
      <w:lvlText w:val="•"/>
      <w:lvlJc w:val="left"/>
      <w:pPr>
        <w:ind w:left="6213" w:hanging="950"/>
      </w:pPr>
      <w:rPr>
        <w:rFonts w:hint="default"/>
        <w:lang w:val="zh-CN" w:eastAsia="zh-CN" w:bidi="zh-CN"/>
      </w:rPr>
    </w:lvl>
    <w:lvl w:ilvl="7" w:tplc="2C621F50">
      <w:numFmt w:val="bullet"/>
      <w:lvlText w:val="•"/>
      <w:lvlJc w:val="left"/>
      <w:pPr>
        <w:ind w:left="7321" w:hanging="950"/>
      </w:pPr>
      <w:rPr>
        <w:rFonts w:hint="default"/>
        <w:lang w:val="zh-CN" w:eastAsia="zh-CN" w:bidi="zh-CN"/>
      </w:rPr>
    </w:lvl>
    <w:lvl w:ilvl="8" w:tplc="C5586122">
      <w:numFmt w:val="bullet"/>
      <w:lvlText w:val="•"/>
      <w:lvlJc w:val="left"/>
      <w:pPr>
        <w:ind w:left="8429" w:hanging="950"/>
      </w:pPr>
      <w:rPr>
        <w:rFonts w:hint="default"/>
        <w:lang w:val="zh-CN" w:eastAsia="zh-CN" w:bidi="zh-CN"/>
      </w:rPr>
    </w:lvl>
  </w:abstractNum>
  <w:abstractNum w:abstractNumId="10" w15:restartNumberingAfterBreak="0">
    <w:nsid w:val="010C645C"/>
    <w:multiLevelType w:val="hybridMultilevel"/>
    <w:tmpl w:val="D7487CB0"/>
    <w:lvl w:ilvl="0" w:tplc="D4264028">
      <w:start w:val="1"/>
      <w:numFmt w:val="lowerLetter"/>
      <w:lvlText w:val="%1）"/>
      <w:lvlJc w:val="left"/>
      <w:pPr>
        <w:ind w:left="418" w:hanging="318"/>
        <w:jc w:val="left"/>
      </w:pPr>
      <w:rPr>
        <w:rFonts w:ascii="宋体" w:eastAsia="宋体" w:hAnsi="宋体" w:cs="宋体" w:hint="default"/>
        <w:w w:val="100"/>
        <w:sz w:val="19"/>
        <w:szCs w:val="19"/>
        <w:lang w:val="zh-CN" w:eastAsia="zh-CN" w:bidi="zh-CN"/>
      </w:rPr>
    </w:lvl>
    <w:lvl w:ilvl="1" w:tplc="CF6E3684">
      <w:numFmt w:val="bullet"/>
      <w:lvlText w:val="•"/>
      <w:lvlJc w:val="left"/>
      <w:pPr>
        <w:ind w:left="1442" w:hanging="318"/>
      </w:pPr>
      <w:rPr>
        <w:rFonts w:hint="default"/>
        <w:lang w:val="zh-CN" w:eastAsia="zh-CN" w:bidi="zh-CN"/>
      </w:rPr>
    </w:lvl>
    <w:lvl w:ilvl="2" w:tplc="E9C23B44">
      <w:numFmt w:val="bullet"/>
      <w:lvlText w:val="•"/>
      <w:lvlJc w:val="left"/>
      <w:pPr>
        <w:ind w:left="2465" w:hanging="318"/>
      </w:pPr>
      <w:rPr>
        <w:rFonts w:hint="default"/>
        <w:lang w:val="zh-CN" w:eastAsia="zh-CN" w:bidi="zh-CN"/>
      </w:rPr>
    </w:lvl>
    <w:lvl w:ilvl="3" w:tplc="050CF078">
      <w:numFmt w:val="bullet"/>
      <w:lvlText w:val="•"/>
      <w:lvlJc w:val="left"/>
      <w:pPr>
        <w:ind w:left="3487" w:hanging="318"/>
      </w:pPr>
      <w:rPr>
        <w:rFonts w:hint="default"/>
        <w:lang w:val="zh-CN" w:eastAsia="zh-CN" w:bidi="zh-CN"/>
      </w:rPr>
    </w:lvl>
    <w:lvl w:ilvl="4" w:tplc="F0E2AF4E">
      <w:numFmt w:val="bullet"/>
      <w:lvlText w:val="•"/>
      <w:lvlJc w:val="left"/>
      <w:pPr>
        <w:ind w:left="4510" w:hanging="318"/>
      </w:pPr>
      <w:rPr>
        <w:rFonts w:hint="default"/>
        <w:lang w:val="zh-CN" w:eastAsia="zh-CN" w:bidi="zh-CN"/>
      </w:rPr>
    </w:lvl>
    <w:lvl w:ilvl="5" w:tplc="C63ECBDE">
      <w:numFmt w:val="bullet"/>
      <w:lvlText w:val="•"/>
      <w:lvlJc w:val="left"/>
      <w:pPr>
        <w:ind w:left="5533" w:hanging="318"/>
      </w:pPr>
      <w:rPr>
        <w:rFonts w:hint="default"/>
        <w:lang w:val="zh-CN" w:eastAsia="zh-CN" w:bidi="zh-CN"/>
      </w:rPr>
    </w:lvl>
    <w:lvl w:ilvl="6" w:tplc="C068D51C">
      <w:numFmt w:val="bullet"/>
      <w:lvlText w:val="•"/>
      <w:lvlJc w:val="left"/>
      <w:pPr>
        <w:ind w:left="6555" w:hanging="318"/>
      </w:pPr>
      <w:rPr>
        <w:rFonts w:hint="default"/>
        <w:lang w:val="zh-CN" w:eastAsia="zh-CN" w:bidi="zh-CN"/>
      </w:rPr>
    </w:lvl>
    <w:lvl w:ilvl="7" w:tplc="12F209E2">
      <w:numFmt w:val="bullet"/>
      <w:lvlText w:val="•"/>
      <w:lvlJc w:val="left"/>
      <w:pPr>
        <w:ind w:left="7578" w:hanging="318"/>
      </w:pPr>
      <w:rPr>
        <w:rFonts w:hint="default"/>
        <w:lang w:val="zh-CN" w:eastAsia="zh-CN" w:bidi="zh-CN"/>
      </w:rPr>
    </w:lvl>
    <w:lvl w:ilvl="8" w:tplc="73AAE3CC">
      <w:numFmt w:val="bullet"/>
      <w:lvlText w:val="•"/>
      <w:lvlJc w:val="left"/>
      <w:pPr>
        <w:ind w:left="8601" w:hanging="318"/>
      </w:pPr>
      <w:rPr>
        <w:rFonts w:hint="default"/>
        <w:lang w:val="zh-CN" w:eastAsia="zh-CN" w:bidi="zh-CN"/>
      </w:rPr>
    </w:lvl>
  </w:abstractNum>
  <w:abstractNum w:abstractNumId="11" w15:restartNumberingAfterBreak="0">
    <w:nsid w:val="012D3E6C"/>
    <w:multiLevelType w:val="hybridMultilevel"/>
    <w:tmpl w:val="EF4E2E38"/>
    <w:lvl w:ilvl="0" w:tplc="72F23CEE">
      <w:start w:val="6"/>
      <w:numFmt w:val="decimal"/>
      <w:lvlText w:val="%1"/>
      <w:lvlJc w:val="left"/>
      <w:pPr>
        <w:ind w:left="418" w:hanging="531"/>
        <w:jc w:val="left"/>
      </w:pPr>
      <w:rPr>
        <w:rFonts w:hint="default"/>
        <w:lang w:val="zh-CN" w:eastAsia="zh-CN" w:bidi="zh-CN"/>
      </w:rPr>
    </w:lvl>
    <w:lvl w:ilvl="1" w:tplc="DBEA5260">
      <w:start w:val="3"/>
      <w:numFmt w:val="decimal"/>
      <w:lvlText w:val="%1.%2"/>
      <w:lvlJc w:val="left"/>
      <w:pPr>
        <w:ind w:left="418" w:hanging="531"/>
        <w:jc w:val="left"/>
      </w:pPr>
      <w:rPr>
        <w:rFonts w:hint="default"/>
        <w:lang w:val="zh-CN" w:eastAsia="zh-CN" w:bidi="zh-CN"/>
      </w:rPr>
    </w:lvl>
    <w:lvl w:ilvl="2" w:tplc="C774337E">
      <w:start w:val="5"/>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B47EBB5C">
      <w:numFmt w:val="bullet"/>
      <w:lvlText w:val="•"/>
      <w:lvlJc w:val="left"/>
      <w:pPr>
        <w:ind w:left="3487" w:hanging="531"/>
      </w:pPr>
      <w:rPr>
        <w:rFonts w:hint="default"/>
        <w:lang w:val="zh-CN" w:eastAsia="zh-CN" w:bidi="zh-CN"/>
      </w:rPr>
    </w:lvl>
    <w:lvl w:ilvl="4" w:tplc="69B269E2">
      <w:numFmt w:val="bullet"/>
      <w:lvlText w:val="•"/>
      <w:lvlJc w:val="left"/>
      <w:pPr>
        <w:ind w:left="4510" w:hanging="531"/>
      </w:pPr>
      <w:rPr>
        <w:rFonts w:hint="default"/>
        <w:lang w:val="zh-CN" w:eastAsia="zh-CN" w:bidi="zh-CN"/>
      </w:rPr>
    </w:lvl>
    <w:lvl w:ilvl="5" w:tplc="A1CC9A58">
      <w:numFmt w:val="bullet"/>
      <w:lvlText w:val="•"/>
      <w:lvlJc w:val="left"/>
      <w:pPr>
        <w:ind w:left="5533" w:hanging="531"/>
      </w:pPr>
      <w:rPr>
        <w:rFonts w:hint="default"/>
        <w:lang w:val="zh-CN" w:eastAsia="zh-CN" w:bidi="zh-CN"/>
      </w:rPr>
    </w:lvl>
    <w:lvl w:ilvl="6" w:tplc="97287ADA">
      <w:numFmt w:val="bullet"/>
      <w:lvlText w:val="•"/>
      <w:lvlJc w:val="left"/>
      <w:pPr>
        <w:ind w:left="6555" w:hanging="531"/>
      </w:pPr>
      <w:rPr>
        <w:rFonts w:hint="default"/>
        <w:lang w:val="zh-CN" w:eastAsia="zh-CN" w:bidi="zh-CN"/>
      </w:rPr>
    </w:lvl>
    <w:lvl w:ilvl="7" w:tplc="9628FBD4">
      <w:numFmt w:val="bullet"/>
      <w:lvlText w:val="•"/>
      <w:lvlJc w:val="left"/>
      <w:pPr>
        <w:ind w:left="7578" w:hanging="531"/>
      </w:pPr>
      <w:rPr>
        <w:rFonts w:hint="default"/>
        <w:lang w:val="zh-CN" w:eastAsia="zh-CN" w:bidi="zh-CN"/>
      </w:rPr>
    </w:lvl>
    <w:lvl w:ilvl="8" w:tplc="9B00D95A">
      <w:numFmt w:val="bullet"/>
      <w:lvlText w:val="•"/>
      <w:lvlJc w:val="left"/>
      <w:pPr>
        <w:ind w:left="8601" w:hanging="531"/>
      </w:pPr>
      <w:rPr>
        <w:rFonts w:hint="default"/>
        <w:lang w:val="zh-CN" w:eastAsia="zh-CN" w:bidi="zh-CN"/>
      </w:rPr>
    </w:lvl>
  </w:abstractNum>
  <w:abstractNum w:abstractNumId="12" w15:restartNumberingAfterBreak="0">
    <w:nsid w:val="01380229"/>
    <w:multiLevelType w:val="hybridMultilevel"/>
    <w:tmpl w:val="30101C24"/>
    <w:lvl w:ilvl="0" w:tplc="FB18693E">
      <w:start w:val="5"/>
      <w:numFmt w:val="decimal"/>
      <w:lvlText w:val="%1"/>
      <w:lvlJc w:val="left"/>
      <w:pPr>
        <w:ind w:left="418" w:hanging="738"/>
        <w:jc w:val="left"/>
      </w:pPr>
      <w:rPr>
        <w:rFonts w:hint="default"/>
        <w:lang w:val="zh-CN" w:eastAsia="zh-CN" w:bidi="zh-CN"/>
      </w:rPr>
    </w:lvl>
    <w:lvl w:ilvl="1" w:tplc="FD74E23C">
      <w:start w:val="3"/>
      <w:numFmt w:val="decimal"/>
      <w:lvlText w:val="%1.%2"/>
      <w:lvlJc w:val="left"/>
      <w:pPr>
        <w:ind w:left="418" w:hanging="738"/>
        <w:jc w:val="left"/>
      </w:pPr>
      <w:rPr>
        <w:rFonts w:hint="default"/>
        <w:lang w:val="zh-CN" w:eastAsia="zh-CN" w:bidi="zh-CN"/>
      </w:rPr>
    </w:lvl>
    <w:lvl w:ilvl="2" w:tplc="C428BCB0">
      <w:start w:val="3"/>
      <w:numFmt w:val="decimal"/>
      <w:lvlText w:val="%1.%2.%3"/>
      <w:lvlJc w:val="left"/>
      <w:pPr>
        <w:ind w:left="418" w:hanging="738"/>
        <w:jc w:val="left"/>
      </w:pPr>
      <w:rPr>
        <w:rFonts w:hint="default"/>
        <w:lang w:val="zh-CN" w:eastAsia="zh-CN" w:bidi="zh-CN"/>
      </w:rPr>
    </w:lvl>
    <w:lvl w:ilvl="3" w:tplc="21CE20E2">
      <w:start w:val="1"/>
      <w:numFmt w:val="decimal"/>
      <w:lvlText w:val="%1.%2.%3.%4"/>
      <w:lvlJc w:val="left"/>
      <w:pPr>
        <w:ind w:left="418" w:hanging="738"/>
        <w:jc w:val="left"/>
      </w:pPr>
      <w:rPr>
        <w:rFonts w:ascii="宋体" w:eastAsia="宋体" w:hAnsi="宋体" w:cs="宋体" w:hint="default"/>
        <w:spacing w:val="-3"/>
        <w:w w:val="100"/>
        <w:sz w:val="19"/>
        <w:szCs w:val="19"/>
        <w:lang w:val="zh-CN" w:eastAsia="zh-CN" w:bidi="zh-CN"/>
      </w:rPr>
    </w:lvl>
    <w:lvl w:ilvl="4" w:tplc="CD5A760E">
      <w:numFmt w:val="bullet"/>
      <w:lvlText w:val="•"/>
      <w:lvlJc w:val="left"/>
      <w:pPr>
        <w:ind w:left="4510" w:hanging="738"/>
      </w:pPr>
      <w:rPr>
        <w:rFonts w:hint="default"/>
        <w:lang w:val="zh-CN" w:eastAsia="zh-CN" w:bidi="zh-CN"/>
      </w:rPr>
    </w:lvl>
    <w:lvl w:ilvl="5" w:tplc="93DCF26E">
      <w:numFmt w:val="bullet"/>
      <w:lvlText w:val="•"/>
      <w:lvlJc w:val="left"/>
      <w:pPr>
        <w:ind w:left="5533" w:hanging="738"/>
      </w:pPr>
      <w:rPr>
        <w:rFonts w:hint="default"/>
        <w:lang w:val="zh-CN" w:eastAsia="zh-CN" w:bidi="zh-CN"/>
      </w:rPr>
    </w:lvl>
    <w:lvl w:ilvl="6" w:tplc="1748623C">
      <w:numFmt w:val="bullet"/>
      <w:lvlText w:val="•"/>
      <w:lvlJc w:val="left"/>
      <w:pPr>
        <w:ind w:left="6555" w:hanging="738"/>
      </w:pPr>
      <w:rPr>
        <w:rFonts w:hint="default"/>
        <w:lang w:val="zh-CN" w:eastAsia="zh-CN" w:bidi="zh-CN"/>
      </w:rPr>
    </w:lvl>
    <w:lvl w:ilvl="7" w:tplc="15746E20">
      <w:numFmt w:val="bullet"/>
      <w:lvlText w:val="•"/>
      <w:lvlJc w:val="left"/>
      <w:pPr>
        <w:ind w:left="7578" w:hanging="738"/>
      </w:pPr>
      <w:rPr>
        <w:rFonts w:hint="default"/>
        <w:lang w:val="zh-CN" w:eastAsia="zh-CN" w:bidi="zh-CN"/>
      </w:rPr>
    </w:lvl>
    <w:lvl w:ilvl="8" w:tplc="2A22DA9A">
      <w:numFmt w:val="bullet"/>
      <w:lvlText w:val="•"/>
      <w:lvlJc w:val="left"/>
      <w:pPr>
        <w:ind w:left="8601" w:hanging="738"/>
      </w:pPr>
      <w:rPr>
        <w:rFonts w:hint="default"/>
        <w:lang w:val="zh-CN" w:eastAsia="zh-CN" w:bidi="zh-CN"/>
      </w:rPr>
    </w:lvl>
  </w:abstractNum>
  <w:abstractNum w:abstractNumId="13" w15:restartNumberingAfterBreak="0">
    <w:nsid w:val="01456A2E"/>
    <w:multiLevelType w:val="hybridMultilevel"/>
    <w:tmpl w:val="63C642AC"/>
    <w:lvl w:ilvl="0" w:tplc="31921444">
      <w:start w:val="1"/>
      <w:numFmt w:val="lowerLetter"/>
      <w:lvlText w:val="%1）"/>
      <w:lvlJc w:val="left"/>
      <w:pPr>
        <w:ind w:left="418" w:hanging="318"/>
        <w:jc w:val="left"/>
      </w:pPr>
      <w:rPr>
        <w:rFonts w:ascii="宋体" w:eastAsia="宋体" w:hAnsi="宋体" w:cs="宋体" w:hint="default"/>
        <w:w w:val="100"/>
        <w:sz w:val="19"/>
        <w:szCs w:val="19"/>
        <w:lang w:val="zh-CN" w:eastAsia="zh-CN" w:bidi="zh-CN"/>
      </w:rPr>
    </w:lvl>
    <w:lvl w:ilvl="1" w:tplc="B596D0A6">
      <w:numFmt w:val="bullet"/>
      <w:lvlText w:val="•"/>
      <w:lvlJc w:val="left"/>
      <w:pPr>
        <w:ind w:left="1442" w:hanging="318"/>
      </w:pPr>
      <w:rPr>
        <w:rFonts w:hint="default"/>
        <w:lang w:val="zh-CN" w:eastAsia="zh-CN" w:bidi="zh-CN"/>
      </w:rPr>
    </w:lvl>
    <w:lvl w:ilvl="2" w:tplc="04765DBA">
      <w:numFmt w:val="bullet"/>
      <w:lvlText w:val="•"/>
      <w:lvlJc w:val="left"/>
      <w:pPr>
        <w:ind w:left="2465" w:hanging="318"/>
      </w:pPr>
      <w:rPr>
        <w:rFonts w:hint="default"/>
        <w:lang w:val="zh-CN" w:eastAsia="zh-CN" w:bidi="zh-CN"/>
      </w:rPr>
    </w:lvl>
    <w:lvl w:ilvl="3" w:tplc="0E7AD9F2">
      <w:numFmt w:val="bullet"/>
      <w:lvlText w:val="•"/>
      <w:lvlJc w:val="left"/>
      <w:pPr>
        <w:ind w:left="3487" w:hanging="318"/>
      </w:pPr>
      <w:rPr>
        <w:rFonts w:hint="default"/>
        <w:lang w:val="zh-CN" w:eastAsia="zh-CN" w:bidi="zh-CN"/>
      </w:rPr>
    </w:lvl>
    <w:lvl w:ilvl="4" w:tplc="93EEABB0">
      <w:numFmt w:val="bullet"/>
      <w:lvlText w:val="•"/>
      <w:lvlJc w:val="left"/>
      <w:pPr>
        <w:ind w:left="4510" w:hanging="318"/>
      </w:pPr>
      <w:rPr>
        <w:rFonts w:hint="default"/>
        <w:lang w:val="zh-CN" w:eastAsia="zh-CN" w:bidi="zh-CN"/>
      </w:rPr>
    </w:lvl>
    <w:lvl w:ilvl="5" w:tplc="1D12919A">
      <w:numFmt w:val="bullet"/>
      <w:lvlText w:val="•"/>
      <w:lvlJc w:val="left"/>
      <w:pPr>
        <w:ind w:left="5533" w:hanging="318"/>
      </w:pPr>
      <w:rPr>
        <w:rFonts w:hint="default"/>
        <w:lang w:val="zh-CN" w:eastAsia="zh-CN" w:bidi="zh-CN"/>
      </w:rPr>
    </w:lvl>
    <w:lvl w:ilvl="6" w:tplc="2A14AA9C">
      <w:numFmt w:val="bullet"/>
      <w:lvlText w:val="•"/>
      <w:lvlJc w:val="left"/>
      <w:pPr>
        <w:ind w:left="6555" w:hanging="318"/>
      </w:pPr>
      <w:rPr>
        <w:rFonts w:hint="default"/>
        <w:lang w:val="zh-CN" w:eastAsia="zh-CN" w:bidi="zh-CN"/>
      </w:rPr>
    </w:lvl>
    <w:lvl w:ilvl="7" w:tplc="AFBE8392">
      <w:numFmt w:val="bullet"/>
      <w:lvlText w:val="•"/>
      <w:lvlJc w:val="left"/>
      <w:pPr>
        <w:ind w:left="7578" w:hanging="318"/>
      </w:pPr>
      <w:rPr>
        <w:rFonts w:hint="default"/>
        <w:lang w:val="zh-CN" w:eastAsia="zh-CN" w:bidi="zh-CN"/>
      </w:rPr>
    </w:lvl>
    <w:lvl w:ilvl="8" w:tplc="F9C20A38">
      <w:numFmt w:val="bullet"/>
      <w:lvlText w:val="•"/>
      <w:lvlJc w:val="left"/>
      <w:pPr>
        <w:ind w:left="8601" w:hanging="318"/>
      </w:pPr>
      <w:rPr>
        <w:rFonts w:hint="default"/>
        <w:lang w:val="zh-CN" w:eastAsia="zh-CN" w:bidi="zh-CN"/>
      </w:rPr>
    </w:lvl>
  </w:abstractNum>
  <w:abstractNum w:abstractNumId="14" w15:restartNumberingAfterBreak="0">
    <w:nsid w:val="01512E33"/>
    <w:multiLevelType w:val="hybridMultilevel"/>
    <w:tmpl w:val="0E925CC0"/>
    <w:lvl w:ilvl="0" w:tplc="A34C4D30">
      <w:start w:val="1"/>
      <w:numFmt w:val="decimal"/>
      <w:lvlText w:val="%1"/>
      <w:lvlJc w:val="left"/>
      <w:pPr>
        <w:ind w:left="1212" w:hanging="372"/>
        <w:jc w:val="left"/>
      </w:pPr>
      <w:rPr>
        <w:rFonts w:hint="default"/>
        <w:lang w:val="zh-CN" w:eastAsia="zh-CN" w:bidi="zh-CN"/>
      </w:rPr>
    </w:lvl>
    <w:lvl w:ilvl="1" w:tplc="928A3C46">
      <w:start w:val="1"/>
      <w:numFmt w:val="decimal"/>
      <w:lvlText w:val="%1.%2"/>
      <w:lvlJc w:val="left"/>
      <w:pPr>
        <w:ind w:left="1212" w:hanging="372"/>
        <w:jc w:val="left"/>
      </w:pPr>
      <w:rPr>
        <w:rFonts w:ascii="宋体" w:eastAsia="宋体" w:hAnsi="宋体" w:cs="宋体" w:hint="default"/>
        <w:b/>
        <w:bCs/>
        <w:color w:val="333333"/>
        <w:w w:val="99"/>
        <w:sz w:val="21"/>
        <w:szCs w:val="21"/>
        <w:lang w:val="zh-CN" w:eastAsia="zh-CN" w:bidi="zh-CN"/>
      </w:rPr>
    </w:lvl>
    <w:lvl w:ilvl="2" w:tplc="D4DA568C">
      <w:numFmt w:val="bullet"/>
      <w:lvlText w:val="•"/>
      <w:lvlJc w:val="left"/>
      <w:pPr>
        <w:ind w:left="3105" w:hanging="372"/>
      </w:pPr>
      <w:rPr>
        <w:rFonts w:hint="default"/>
        <w:lang w:val="zh-CN" w:eastAsia="zh-CN" w:bidi="zh-CN"/>
      </w:rPr>
    </w:lvl>
    <w:lvl w:ilvl="3" w:tplc="AFCE24AE">
      <w:numFmt w:val="bullet"/>
      <w:lvlText w:val="•"/>
      <w:lvlJc w:val="left"/>
      <w:pPr>
        <w:ind w:left="4047" w:hanging="372"/>
      </w:pPr>
      <w:rPr>
        <w:rFonts w:hint="default"/>
        <w:lang w:val="zh-CN" w:eastAsia="zh-CN" w:bidi="zh-CN"/>
      </w:rPr>
    </w:lvl>
    <w:lvl w:ilvl="4" w:tplc="6A662F48">
      <w:numFmt w:val="bullet"/>
      <w:lvlText w:val="•"/>
      <w:lvlJc w:val="left"/>
      <w:pPr>
        <w:ind w:left="4990" w:hanging="372"/>
      </w:pPr>
      <w:rPr>
        <w:rFonts w:hint="default"/>
        <w:lang w:val="zh-CN" w:eastAsia="zh-CN" w:bidi="zh-CN"/>
      </w:rPr>
    </w:lvl>
    <w:lvl w:ilvl="5" w:tplc="329024EA">
      <w:numFmt w:val="bullet"/>
      <w:lvlText w:val="•"/>
      <w:lvlJc w:val="left"/>
      <w:pPr>
        <w:ind w:left="5933" w:hanging="372"/>
      </w:pPr>
      <w:rPr>
        <w:rFonts w:hint="default"/>
        <w:lang w:val="zh-CN" w:eastAsia="zh-CN" w:bidi="zh-CN"/>
      </w:rPr>
    </w:lvl>
    <w:lvl w:ilvl="6" w:tplc="AE3A9152">
      <w:numFmt w:val="bullet"/>
      <w:lvlText w:val="•"/>
      <w:lvlJc w:val="left"/>
      <w:pPr>
        <w:ind w:left="6875" w:hanging="372"/>
      </w:pPr>
      <w:rPr>
        <w:rFonts w:hint="default"/>
        <w:lang w:val="zh-CN" w:eastAsia="zh-CN" w:bidi="zh-CN"/>
      </w:rPr>
    </w:lvl>
    <w:lvl w:ilvl="7" w:tplc="A0CAF26A">
      <w:numFmt w:val="bullet"/>
      <w:lvlText w:val="•"/>
      <w:lvlJc w:val="left"/>
      <w:pPr>
        <w:ind w:left="7818" w:hanging="372"/>
      </w:pPr>
      <w:rPr>
        <w:rFonts w:hint="default"/>
        <w:lang w:val="zh-CN" w:eastAsia="zh-CN" w:bidi="zh-CN"/>
      </w:rPr>
    </w:lvl>
    <w:lvl w:ilvl="8" w:tplc="808E412C">
      <w:numFmt w:val="bullet"/>
      <w:lvlText w:val="•"/>
      <w:lvlJc w:val="left"/>
      <w:pPr>
        <w:ind w:left="8761" w:hanging="372"/>
      </w:pPr>
      <w:rPr>
        <w:rFonts w:hint="default"/>
        <w:lang w:val="zh-CN" w:eastAsia="zh-CN" w:bidi="zh-CN"/>
      </w:rPr>
    </w:lvl>
  </w:abstractNum>
  <w:abstractNum w:abstractNumId="15" w15:restartNumberingAfterBreak="0">
    <w:nsid w:val="016106B2"/>
    <w:multiLevelType w:val="hybridMultilevel"/>
    <w:tmpl w:val="F14C9632"/>
    <w:lvl w:ilvl="0" w:tplc="962CAA12">
      <w:start w:val="2"/>
      <w:numFmt w:val="decimal"/>
      <w:lvlText w:val="%1)"/>
      <w:lvlJc w:val="left"/>
      <w:pPr>
        <w:ind w:left="1050" w:hanging="213"/>
        <w:jc w:val="left"/>
      </w:pPr>
      <w:rPr>
        <w:rFonts w:ascii="宋体" w:eastAsia="宋体" w:hAnsi="宋体" w:cs="宋体" w:hint="default"/>
        <w:spacing w:val="-3"/>
        <w:w w:val="100"/>
        <w:sz w:val="19"/>
        <w:szCs w:val="19"/>
        <w:lang w:val="zh-CN" w:eastAsia="zh-CN" w:bidi="zh-CN"/>
      </w:rPr>
    </w:lvl>
    <w:lvl w:ilvl="1" w:tplc="F516E9D8">
      <w:numFmt w:val="bullet"/>
      <w:lvlText w:val="•"/>
      <w:lvlJc w:val="left"/>
      <w:pPr>
        <w:ind w:left="2018" w:hanging="213"/>
      </w:pPr>
      <w:rPr>
        <w:rFonts w:hint="default"/>
        <w:lang w:val="zh-CN" w:eastAsia="zh-CN" w:bidi="zh-CN"/>
      </w:rPr>
    </w:lvl>
    <w:lvl w:ilvl="2" w:tplc="AFDC36E4">
      <w:numFmt w:val="bullet"/>
      <w:lvlText w:val="•"/>
      <w:lvlJc w:val="left"/>
      <w:pPr>
        <w:ind w:left="2977" w:hanging="213"/>
      </w:pPr>
      <w:rPr>
        <w:rFonts w:hint="default"/>
        <w:lang w:val="zh-CN" w:eastAsia="zh-CN" w:bidi="zh-CN"/>
      </w:rPr>
    </w:lvl>
    <w:lvl w:ilvl="3" w:tplc="321008C0">
      <w:numFmt w:val="bullet"/>
      <w:lvlText w:val="•"/>
      <w:lvlJc w:val="left"/>
      <w:pPr>
        <w:ind w:left="3935" w:hanging="213"/>
      </w:pPr>
      <w:rPr>
        <w:rFonts w:hint="default"/>
        <w:lang w:val="zh-CN" w:eastAsia="zh-CN" w:bidi="zh-CN"/>
      </w:rPr>
    </w:lvl>
    <w:lvl w:ilvl="4" w:tplc="117E8D76">
      <w:numFmt w:val="bullet"/>
      <w:lvlText w:val="•"/>
      <w:lvlJc w:val="left"/>
      <w:pPr>
        <w:ind w:left="4894" w:hanging="213"/>
      </w:pPr>
      <w:rPr>
        <w:rFonts w:hint="default"/>
        <w:lang w:val="zh-CN" w:eastAsia="zh-CN" w:bidi="zh-CN"/>
      </w:rPr>
    </w:lvl>
    <w:lvl w:ilvl="5" w:tplc="4B427594">
      <w:numFmt w:val="bullet"/>
      <w:lvlText w:val="•"/>
      <w:lvlJc w:val="left"/>
      <w:pPr>
        <w:ind w:left="5853" w:hanging="213"/>
      </w:pPr>
      <w:rPr>
        <w:rFonts w:hint="default"/>
        <w:lang w:val="zh-CN" w:eastAsia="zh-CN" w:bidi="zh-CN"/>
      </w:rPr>
    </w:lvl>
    <w:lvl w:ilvl="6" w:tplc="31BAF23C">
      <w:numFmt w:val="bullet"/>
      <w:lvlText w:val="•"/>
      <w:lvlJc w:val="left"/>
      <w:pPr>
        <w:ind w:left="6811" w:hanging="213"/>
      </w:pPr>
      <w:rPr>
        <w:rFonts w:hint="default"/>
        <w:lang w:val="zh-CN" w:eastAsia="zh-CN" w:bidi="zh-CN"/>
      </w:rPr>
    </w:lvl>
    <w:lvl w:ilvl="7" w:tplc="814EF8AC">
      <w:numFmt w:val="bullet"/>
      <w:lvlText w:val="•"/>
      <w:lvlJc w:val="left"/>
      <w:pPr>
        <w:ind w:left="7770" w:hanging="213"/>
      </w:pPr>
      <w:rPr>
        <w:rFonts w:hint="default"/>
        <w:lang w:val="zh-CN" w:eastAsia="zh-CN" w:bidi="zh-CN"/>
      </w:rPr>
    </w:lvl>
    <w:lvl w:ilvl="8" w:tplc="5F7EE740">
      <w:numFmt w:val="bullet"/>
      <w:lvlText w:val="•"/>
      <w:lvlJc w:val="left"/>
      <w:pPr>
        <w:ind w:left="8729" w:hanging="213"/>
      </w:pPr>
      <w:rPr>
        <w:rFonts w:hint="default"/>
        <w:lang w:val="zh-CN" w:eastAsia="zh-CN" w:bidi="zh-CN"/>
      </w:rPr>
    </w:lvl>
  </w:abstractNum>
  <w:abstractNum w:abstractNumId="16" w15:restartNumberingAfterBreak="0">
    <w:nsid w:val="016402D7"/>
    <w:multiLevelType w:val="hybridMultilevel"/>
    <w:tmpl w:val="36000C20"/>
    <w:lvl w:ilvl="0" w:tplc="A824FD3E">
      <w:start w:val="1"/>
      <w:numFmt w:val="upperLetter"/>
      <w:lvlText w:val="%1"/>
      <w:lvlJc w:val="left"/>
      <w:pPr>
        <w:ind w:left="1575" w:hanging="738"/>
        <w:jc w:val="left"/>
      </w:pPr>
      <w:rPr>
        <w:rFonts w:hint="default"/>
        <w:lang w:val="zh-CN" w:eastAsia="zh-CN" w:bidi="zh-CN"/>
      </w:rPr>
    </w:lvl>
    <w:lvl w:ilvl="1" w:tplc="C34CB48A">
      <w:start w:val="1"/>
      <w:numFmt w:val="decimal"/>
      <w:lvlText w:val="%1.%2"/>
      <w:lvlJc w:val="left"/>
      <w:pPr>
        <w:ind w:left="1575" w:hanging="738"/>
        <w:jc w:val="left"/>
      </w:pPr>
      <w:rPr>
        <w:rFonts w:hint="default"/>
        <w:lang w:val="zh-CN" w:eastAsia="zh-CN" w:bidi="zh-CN"/>
      </w:rPr>
    </w:lvl>
    <w:lvl w:ilvl="2" w:tplc="BA5C0114">
      <w:start w:val="6"/>
      <w:numFmt w:val="decimal"/>
      <w:lvlText w:val="%1.%2.%3"/>
      <w:lvlJc w:val="left"/>
      <w:pPr>
        <w:ind w:left="1575" w:hanging="738"/>
        <w:jc w:val="left"/>
      </w:pPr>
      <w:rPr>
        <w:rFonts w:hint="default"/>
        <w:lang w:val="zh-CN" w:eastAsia="zh-CN" w:bidi="zh-CN"/>
      </w:rPr>
    </w:lvl>
    <w:lvl w:ilvl="3" w:tplc="D68C2F8E">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A5AE6CB0">
      <w:numFmt w:val="bullet"/>
      <w:lvlText w:val="•"/>
      <w:lvlJc w:val="left"/>
      <w:pPr>
        <w:ind w:left="5206" w:hanging="738"/>
      </w:pPr>
      <w:rPr>
        <w:rFonts w:hint="default"/>
        <w:lang w:val="zh-CN" w:eastAsia="zh-CN" w:bidi="zh-CN"/>
      </w:rPr>
    </w:lvl>
    <w:lvl w:ilvl="5" w:tplc="1D3CE944">
      <w:numFmt w:val="bullet"/>
      <w:lvlText w:val="•"/>
      <w:lvlJc w:val="left"/>
      <w:pPr>
        <w:ind w:left="6113" w:hanging="738"/>
      </w:pPr>
      <w:rPr>
        <w:rFonts w:hint="default"/>
        <w:lang w:val="zh-CN" w:eastAsia="zh-CN" w:bidi="zh-CN"/>
      </w:rPr>
    </w:lvl>
    <w:lvl w:ilvl="6" w:tplc="9E50E700">
      <w:numFmt w:val="bullet"/>
      <w:lvlText w:val="•"/>
      <w:lvlJc w:val="left"/>
      <w:pPr>
        <w:ind w:left="7019" w:hanging="738"/>
      </w:pPr>
      <w:rPr>
        <w:rFonts w:hint="default"/>
        <w:lang w:val="zh-CN" w:eastAsia="zh-CN" w:bidi="zh-CN"/>
      </w:rPr>
    </w:lvl>
    <w:lvl w:ilvl="7" w:tplc="6F8004EC">
      <w:numFmt w:val="bullet"/>
      <w:lvlText w:val="•"/>
      <w:lvlJc w:val="left"/>
      <w:pPr>
        <w:ind w:left="7926" w:hanging="738"/>
      </w:pPr>
      <w:rPr>
        <w:rFonts w:hint="default"/>
        <w:lang w:val="zh-CN" w:eastAsia="zh-CN" w:bidi="zh-CN"/>
      </w:rPr>
    </w:lvl>
    <w:lvl w:ilvl="8" w:tplc="2568781A">
      <w:numFmt w:val="bullet"/>
      <w:lvlText w:val="•"/>
      <w:lvlJc w:val="left"/>
      <w:pPr>
        <w:ind w:left="8833" w:hanging="738"/>
      </w:pPr>
      <w:rPr>
        <w:rFonts w:hint="default"/>
        <w:lang w:val="zh-CN" w:eastAsia="zh-CN" w:bidi="zh-CN"/>
      </w:rPr>
    </w:lvl>
  </w:abstractNum>
  <w:abstractNum w:abstractNumId="17" w15:restartNumberingAfterBreak="0">
    <w:nsid w:val="01710740"/>
    <w:multiLevelType w:val="hybridMultilevel"/>
    <w:tmpl w:val="C980D4BA"/>
    <w:lvl w:ilvl="0" w:tplc="904ACF90">
      <w:start w:val="6"/>
      <w:numFmt w:val="decimal"/>
      <w:lvlText w:val="%1"/>
      <w:lvlJc w:val="left"/>
      <w:pPr>
        <w:ind w:left="1158" w:hanging="318"/>
        <w:jc w:val="left"/>
      </w:pPr>
      <w:rPr>
        <w:rFonts w:hint="default"/>
        <w:lang w:val="zh-CN" w:eastAsia="zh-CN" w:bidi="zh-CN"/>
      </w:rPr>
    </w:lvl>
    <w:lvl w:ilvl="1" w:tplc="4EF81110">
      <w:start w:val="3"/>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17D258E2">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6430EBF6">
      <w:numFmt w:val="bullet"/>
      <w:lvlText w:val="•"/>
      <w:lvlJc w:val="left"/>
      <w:pPr>
        <w:ind w:left="3439" w:hanging="531"/>
      </w:pPr>
      <w:rPr>
        <w:rFonts w:hint="default"/>
        <w:lang w:val="zh-CN" w:eastAsia="zh-CN" w:bidi="zh-CN"/>
      </w:rPr>
    </w:lvl>
    <w:lvl w:ilvl="4" w:tplc="BE5C4D60">
      <w:numFmt w:val="bullet"/>
      <w:lvlText w:val="•"/>
      <w:lvlJc w:val="left"/>
      <w:pPr>
        <w:ind w:left="4468" w:hanging="531"/>
      </w:pPr>
      <w:rPr>
        <w:rFonts w:hint="default"/>
        <w:lang w:val="zh-CN" w:eastAsia="zh-CN" w:bidi="zh-CN"/>
      </w:rPr>
    </w:lvl>
    <w:lvl w:ilvl="5" w:tplc="E2C07ADE">
      <w:numFmt w:val="bullet"/>
      <w:lvlText w:val="•"/>
      <w:lvlJc w:val="left"/>
      <w:pPr>
        <w:ind w:left="5498" w:hanging="531"/>
      </w:pPr>
      <w:rPr>
        <w:rFonts w:hint="default"/>
        <w:lang w:val="zh-CN" w:eastAsia="zh-CN" w:bidi="zh-CN"/>
      </w:rPr>
    </w:lvl>
    <w:lvl w:ilvl="6" w:tplc="38240C56">
      <w:numFmt w:val="bullet"/>
      <w:lvlText w:val="•"/>
      <w:lvlJc w:val="left"/>
      <w:pPr>
        <w:ind w:left="6528" w:hanging="531"/>
      </w:pPr>
      <w:rPr>
        <w:rFonts w:hint="default"/>
        <w:lang w:val="zh-CN" w:eastAsia="zh-CN" w:bidi="zh-CN"/>
      </w:rPr>
    </w:lvl>
    <w:lvl w:ilvl="7" w:tplc="89B2E70E">
      <w:numFmt w:val="bullet"/>
      <w:lvlText w:val="•"/>
      <w:lvlJc w:val="left"/>
      <w:pPr>
        <w:ind w:left="7557" w:hanging="531"/>
      </w:pPr>
      <w:rPr>
        <w:rFonts w:hint="default"/>
        <w:lang w:val="zh-CN" w:eastAsia="zh-CN" w:bidi="zh-CN"/>
      </w:rPr>
    </w:lvl>
    <w:lvl w:ilvl="8" w:tplc="AB0EB40E">
      <w:numFmt w:val="bullet"/>
      <w:lvlText w:val="•"/>
      <w:lvlJc w:val="left"/>
      <w:pPr>
        <w:ind w:left="8587" w:hanging="531"/>
      </w:pPr>
      <w:rPr>
        <w:rFonts w:hint="default"/>
        <w:lang w:val="zh-CN" w:eastAsia="zh-CN" w:bidi="zh-CN"/>
      </w:rPr>
    </w:lvl>
  </w:abstractNum>
  <w:abstractNum w:abstractNumId="18" w15:restartNumberingAfterBreak="0">
    <w:nsid w:val="019C7E7A"/>
    <w:multiLevelType w:val="hybridMultilevel"/>
    <w:tmpl w:val="D55A6208"/>
    <w:lvl w:ilvl="0" w:tplc="37D693F4">
      <w:start w:val="8"/>
      <w:numFmt w:val="decimal"/>
      <w:lvlText w:val="%1"/>
      <w:lvlJc w:val="left"/>
      <w:pPr>
        <w:ind w:left="1158" w:hanging="318"/>
        <w:jc w:val="left"/>
      </w:pPr>
      <w:rPr>
        <w:rFonts w:hint="default"/>
        <w:lang w:val="zh-CN" w:eastAsia="zh-CN" w:bidi="zh-CN"/>
      </w:rPr>
    </w:lvl>
    <w:lvl w:ilvl="1" w:tplc="7924E71E">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FC2606BE">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E27C515C">
      <w:numFmt w:val="bullet"/>
      <w:lvlText w:val="•"/>
      <w:lvlJc w:val="left"/>
      <w:pPr>
        <w:ind w:left="2360" w:hanging="529"/>
      </w:pPr>
      <w:rPr>
        <w:rFonts w:hint="default"/>
        <w:lang w:val="zh-CN" w:eastAsia="zh-CN" w:bidi="zh-CN"/>
      </w:rPr>
    </w:lvl>
    <w:lvl w:ilvl="4" w:tplc="9E10441C">
      <w:numFmt w:val="bullet"/>
      <w:lvlText w:val="•"/>
      <w:lvlJc w:val="left"/>
      <w:pPr>
        <w:ind w:left="3543" w:hanging="529"/>
      </w:pPr>
      <w:rPr>
        <w:rFonts w:hint="default"/>
        <w:lang w:val="zh-CN" w:eastAsia="zh-CN" w:bidi="zh-CN"/>
      </w:rPr>
    </w:lvl>
    <w:lvl w:ilvl="5" w:tplc="4956E0C2">
      <w:numFmt w:val="bullet"/>
      <w:lvlText w:val="•"/>
      <w:lvlJc w:val="left"/>
      <w:pPr>
        <w:ind w:left="4727" w:hanging="529"/>
      </w:pPr>
      <w:rPr>
        <w:rFonts w:hint="default"/>
        <w:lang w:val="zh-CN" w:eastAsia="zh-CN" w:bidi="zh-CN"/>
      </w:rPr>
    </w:lvl>
    <w:lvl w:ilvl="6" w:tplc="0E70624A">
      <w:numFmt w:val="bullet"/>
      <w:lvlText w:val="•"/>
      <w:lvlJc w:val="left"/>
      <w:pPr>
        <w:ind w:left="5911" w:hanging="529"/>
      </w:pPr>
      <w:rPr>
        <w:rFonts w:hint="default"/>
        <w:lang w:val="zh-CN" w:eastAsia="zh-CN" w:bidi="zh-CN"/>
      </w:rPr>
    </w:lvl>
    <w:lvl w:ilvl="7" w:tplc="27A40A88">
      <w:numFmt w:val="bullet"/>
      <w:lvlText w:val="•"/>
      <w:lvlJc w:val="left"/>
      <w:pPr>
        <w:ind w:left="7095" w:hanging="529"/>
      </w:pPr>
      <w:rPr>
        <w:rFonts w:hint="default"/>
        <w:lang w:val="zh-CN" w:eastAsia="zh-CN" w:bidi="zh-CN"/>
      </w:rPr>
    </w:lvl>
    <w:lvl w:ilvl="8" w:tplc="58E25C9C">
      <w:numFmt w:val="bullet"/>
      <w:lvlText w:val="•"/>
      <w:lvlJc w:val="left"/>
      <w:pPr>
        <w:ind w:left="8278" w:hanging="529"/>
      </w:pPr>
      <w:rPr>
        <w:rFonts w:hint="default"/>
        <w:lang w:val="zh-CN" w:eastAsia="zh-CN" w:bidi="zh-CN"/>
      </w:rPr>
    </w:lvl>
  </w:abstractNum>
  <w:abstractNum w:abstractNumId="19" w15:restartNumberingAfterBreak="0">
    <w:nsid w:val="01B06547"/>
    <w:multiLevelType w:val="hybridMultilevel"/>
    <w:tmpl w:val="2F367C8E"/>
    <w:lvl w:ilvl="0" w:tplc="BD18E9BE">
      <w:start w:val="3"/>
      <w:numFmt w:val="decimal"/>
      <w:lvlText w:val="%1"/>
      <w:lvlJc w:val="left"/>
      <w:pPr>
        <w:ind w:left="1158" w:hanging="318"/>
        <w:jc w:val="left"/>
      </w:pPr>
      <w:rPr>
        <w:rFonts w:hint="default"/>
        <w:lang w:val="zh-CN" w:eastAsia="zh-CN" w:bidi="zh-CN"/>
      </w:rPr>
    </w:lvl>
    <w:lvl w:ilvl="1" w:tplc="BDAC0762">
      <w:start w:val="3"/>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8AEAB6E2">
      <w:numFmt w:val="bullet"/>
      <w:lvlText w:val="•"/>
      <w:lvlJc w:val="left"/>
      <w:pPr>
        <w:ind w:left="3057" w:hanging="318"/>
      </w:pPr>
      <w:rPr>
        <w:rFonts w:hint="default"/>
        <w:lang w:val="zh-CN" w:eastAsia="zh-CN" w:bidi="zh-CN"/>
      </w:rPr>
    </w:lvl>
    <w:lvl w:ilvl="3" w:tplc="6D9435EC">
      <w:numFmt w:val="bullet"/>
      <w:lvlText w:val="•"/>
      <w:lvlJc w:val="left"/>
      <w:pPr>
        <w:ind w:left="4005" w:hanging="318"/>
      </w:pPr>
      <w:rPr>
        <w:rFonts w:hint="default"/>
        <w:lang w:val="zh-CN" w:eastAsia="zh-CN" w:bidi="zh-CN"/>
      </w:rPr>
    </w:lvl>
    <w:lvl w:ilvl="4" w:tplc="2C4A5876">
      <w:numFmt w:val="bullet"/>
      <w:lvlText w:val="•"/>
      <w:lvlJc w:val="left"/>
      <w:pPr>
        <w:ind w:left="4954" w:hanging="318"/>
      </w:pPr>
      <w:rPr>
        <w:rFonts w:hint="default"/>
        <w:lang w:val="zh-CN" w:eastAsia="zh-CN" w:bidi="zh-CN"/>
      </w:rPr>
    </w:lvl>
    <w:lvl w:ilvl="5" w:tplc="0ADAB3EC">
      <w:numFmt w:val="bullet"/>
      <w:lvlText w:val="•"/>
      <w:lvlJc w:val="left"/>
      <w:pPr>
        <w:ind w:left="5903" w:hanging="318"/>
      </w:pPr>
      <w:rPr>
        <w:rFonts w:hint="default"/>
        <w:lang w:val="zh-CN" w:eastAsia="zh-CN" w:bidi="zh-CN"/>
      </w:rPr>
    </w:lvl>
    <w:lvl w:ilvl="6" w:tplc="1762514A">
      <w:numFmt w:val="bullet"/>
      <w:lvlText w:val="•"/>
      <w:lvlJc w:val="left"/>
      <w:pPr>
        <w:ind w:left="6851" w:hanging="318"/>
      </w:pPr>
      <w:rPr>
        <w:rFonts w:hint="default"/>
        <w:lang w:val="zh-CN" w:eastAsia="zh-CN" w:bidi="zh-CN"/>
      </w:rPr>
    </w:lvl>
    <w:lvl w:ilvl="7" w:tplc="0A56CFD6">
      <w:numFmt w:val="bullet"/>
      <w:lvlText w:val="•"/>
      <w:lvlJc w:val="left"/>
      <w:pPr>
        <w:ind w:left="7800" w:hanging="318"/>
      </w:pPr>
      <w:rPr>
        <w:rFonts w:hint="default"/>
        <w:lang w:val="zh-CN" w:eastAsia="zh-CN" w:bidi="zh-CN"/>
      </w:rPr>
    </w:lvl>
    <w:lvl w:ilvl="8" w:tplc="FA903250">
      <w:numFmt w:val="bullet"/>
      <w:lvlText w:val="•"/>
      <w:lvlJc w:val="left"/>
      <w:pPr>
        <w:ind w:left="8749" w:hanging="318"/>
      </w:pPr>
      <w:rPr>
        <w:rFonts w:hint="default"/>
        <w:lang w:val="zh-CN" w:eastAsia="zh-CN" w:bidi="zh-CN"/>
      </w:rPr>
    </w:lvl>
  </w:abstractNum>
  <w:abstractNum w:abstractNumId="20" w15:restartNumberingAfterBreak="0">
    <w:nsid w:val="01C643A1"/>
    <w:multiLevelType w:val="hybridMultilevel"/>
    <w:tmpl w:val="635C35A4"/>
    <w:lvl w:ilvl="0" w:tplc="293AFAEC">
      <w:start w:val="7"/>
      <w:numFmt w:val="decimal"/>
      <w:lvlText w:val="%1"/>
      <w:lvlJc w:val="left"/>
      <w:pPr>
        <w:ind w:left="1159" w:hanging="320"/>
        <w:jc w:val="left"/>
      </w:pPr>
      <w:rPr>
        <w:rFonts w:hint="default"/>
        <w:lang w:val="zh-CN" w:eastAsia="zh-CN" w:bidi="zh-CN"/>
      </w:rPr>
    </w:lvl>
    <w:lvl w:ilvl="1" w:tplc="DC508616">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793ED216">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1BC8140E">
      <w:numFmt w:val="bullet"/>
      <w:lvlText w:val="•"/>
      <w:lvlJc w:val="left"/>
      <w:pPr>
        <w:ind w:left="2538" w:hanging="531"/>
      </w:pPr>
      <w:rPr>
        <w:rFonts w:hint="default"/>
        <w:lang w:val="zh-CN" w:eastAsia="zh-CN" w:bidi="zh-CN"/>
      </w:rPr>
    </w:lvl>
    <w:lvl w:ilvl="4" w:tplc="C992A436">
      <w:numFmt w:val="bullet"/>
      <w:lvlText w:val="•"/>
      <w:lvlJc w:val="left"/>
      <w:pPr>
        <w:ind w:left="3696" w:hanging="531"/>
      </w:pPr>
      <w:rPr>
        <w:rFonts w:hint="default"/>
        <w:lang w:val="zh-CN" w:eastAsia="zh-CN" w:bidi="zh-CN"/>
      </w:rPr>
    </w:lvl>
    <w:lvl w:ilvl="5" w:tplc="4D00620A">
      <w:numFmt w:val="bullet"/>
      <w:lvlText w:val="•"/>
      <w:lvlJc w:val="left"/>
      <w:pPr>
        <w:ind w:left="4854" w:hanging="531"/>
      </w:pPr>
      <w:rPr>
        <w:rFonts w:hint="default"/>
        <w:lang w:val="zh-CN" w:eastAsia="zh-CN" w:bidi="zh-CN"/>
      </w:rPr>
    </w:lvl>
    <w:lvl w:ilvl="6" w:tplc="B73C2F04">
      <w:numFmt w:val="bullet"/>
      <w:lvlText w:val="•"/>
      <w:lvlJc w:val="left"/>
      <w:pPr>
        <w:ind w:left="6013" w:hanging="531"/>
      </w:pPr>
      <w:rPr>
        <w:rFonts w:hint="default"/>
        <w:lang w:val="zh-CN" w:eastAsia="zh-CN" w:bidi="zh-CN"/>
      </w:rPr>
    </w:lvl>
    <w:lvl w:ilvl="7" w:tplc="1BB2CD04">
      <w:numFmt w:val="bullet"/>
      <w:lvlText w:val="•"/>
      <w:lvlJc w:val="left"/>
      <w:pPr>
        <w:ind w:left="7171" w:hanging="531"/>
      </w:pPr>
      <w:rPr>
        <w:rFonts w:hint="default"/>
        <w:lang w:val="zh-CN" w:eastAsia="zh-CN" w:bidi="zh-CN"/>
      </w:rPr>
    </w:lvl>
    <w:lvl w:ilvl="8" w:tplc="877653C6">
      <w:numFmt w:val="bullet"/>
      <w:lvlText w:val="•"/>
      <w:lvlJc w:val="left"/>
      <w:pPr>
        <w:ind w:left="8329" w:hanging="531"/>
      </w:pPr>
      <w:rPr>
        <w:rFonts w:hint="default"/>
        <w:lang w:val="zh-CN" w:eastAsia="zh-CN" w:bidi="zh-CN"/>
      </w:rPr>
    </w:lvl>
  </w:abstractNum>
  <w:abstractNum w:abstractNumId="21" w15:restartNumberingAfterBreak="0">
    <w:nsid w:val="01CA5F6E"/>
    <w:multiLevelType w:val="hybridMultilevel"/>
    <w:tmpl w:val="7BE698C6"/>
    <w:lvl w:ilvl="0" w:tplc="88C2040C">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8FAADD4E">
      <w:numFmt w:val="bullet"/>
      <w:lvlText w:val="•"/>
      <w:lvlJc w:val="left"/>
      <w:pPr>
        <w:ind w:left="2288" w:hanging="529"/>
      </w:pPr>
      <w:rPr>
        <w:rFonts w:hint="default"/>
        <w:lang w:val="zh-CN" w:eastAsia="zh-CN" w:bidi="zh-CN"/>
      </w:rPr>
    </w:lvl>
    <w:lvl w:ilvl="2" w:tplc="84C26B8E">
      <w:numFmt w:val="bullet"/>
      <w:lvlText w:val="•"/>
      <w:lvlJc w:val="left"/>
      <w:pPr>
        <w:ind w:left="3217" w:hanging="529"/>
      </w:pPr>
      <w:rPr>
        <w:rFonts w:hint="default"/>
        <w:lang w:val="zh-CN" w:eastAsia="zh-CN" w:bidi="zh-CN"/>
      </w:rPr>
    </w:lvl>
    <w:lvl w:ilvl="3" w:tplc="B9A0A760">
      <w:numFmt w:val="bullet"/>
      <w:lvlText w:val="•"/>
      <w:lvlJc w:val="left"/>
      <w:pPr>
        <w:ind w:left="4145" w:hanging="529"/>
      </w:pPr>
      <w:rPr>
        <w:rFonts w:hint="default"/>
        <w:lang w:val="zh-CN" w:eastAsia="zh-CN" w:bidi="zh-CN"/>
      </w:rPr>
    </w:lvl>
    <w:lvl w:ilvl="4" w:tplc="954050B6">
      <w:numFmt w:val="bullet"/>
      <w:lvlText w:val="•"/>
      <w:lvlJc w:val="left"/>
      <w:pPr>
        <w:ind w:left="5074" w:hanging="529"/>
      </w:pPr>
      <w:rPr>
        <w:rFonts w:hint="default"/>
        <w:lang w:val="zh-CN" w:eastAsia="zh-CN" w:bidi="zh-CN"/>
      </w:rPr>
    </w:lvl>
    <w:lvl w:ilvl="5" w:tplc="D89E9DB6">
      <w:numFmt w:val="bullet"/>
      <w:lvlText w:val="•"/>
      <w:lvlJc w:val="left"/>
      <w:pPr>
        <w:ind w:left="6003" w:hanging="529"/>
      </w:pPr>
      <w:rPr>
        <w:rFonts w:hint="default"/>
        <w:lang w:val="zh-CN" w:eastAsia="zh-CN" w:bidi="zh-CN"/>
      </w:rPr>
    </w:lvl>
    <w:lvl w:ilvl="6" w:tplc="F788B0F6">
      <w:numFmt w:val="bullet"/>
      <w:lvlText w:val="•"/>
      <w:lvlJc w:val="left"/>
      <w:pPr>
        <w:ind w:left="6931" w:hanging="529"/>
      </w:pPr>
      <w:rPr>
        <w:rFonts w:hint="default"/>
        <w:lang w:val="zh-CN" w:eastAsia="zh-CN" w:bidi="zh-CN"/>
      </w:rPr>
    </w:lvl>
    <w:lvl w:ilvl="7" w:tplc="61686FD2">
      <w:numFmt w:val="bullet"/>
      <w:lvlText w:val="•"/>
      <w:lvlJc w:val="left"/>
      <w:pPr>
        <w:ind w:left="7860" w:hanging="529"/>
      </w:pPr>
      <w:rPr>
        <w:rFonts w:hint="default"/>
        <w:lang w:val="zh-CN" w:eastAsia="zh-CN" w:bidi="zh-CN"/>
      </w:rPr>
    </w:lvl>
    <w:lvl w:ilvl="8" w:tplc="48B2514E">
      <w:numFmt w:val="bullet"/>
      <w:lvlText w:val="•"/>
      <w:lvlJc w:val="left"/>
      <w:pPr>
        <w:ind w:left="8789" w:hanging="529"/>
      </w:pPr>
      <w:rPr>
        <w:rFonts w:hint="default"/>
        <w:lang w:val="zh-CN" w:eastAsia="zh-CN" w:bidi="zh-CN"/>
      </w:rPr>
    </w:lvl>
  </w:abstractNum>
  <w:abstractNum w:abstractNumId="22" w15:restartNumberingAfterBreak="0">
    <w:nsid w:val="01D32030"/>
    <w:multiLevelType w:val="hybridMultilevel"/>
    <w:tmpl w:val="2780E644"/>
    <w:lvl w:ilvl="0" w:tplc="6024D01C">
      <w:start w:val="5"/>
      <w:numFmt w:val="decimal"/>
      <w:lvlText w:val="%1"/>
      <w:lvlJc w:val="left"/>
      <w:pPr>
        <w:ind w:left="418" w:hanging="584"/>
        <w:jc w:val="left"/>
      </w:pPr>
      <w:rPr>
        <w:rFonts w:hint="default"/>
        <w:lang w:val="zh-CN" w:eastAsia="zh-CN" w:bidi="zh-CN"/>
      </w:rPr>
    </w:lvl>
    <w:lvl w:ilvl="1" w:tplc="7EBED84C">
      <w:start w:val="3"/>
      <w:numFmt w:val="decimal"/>
      <w:lvlText w:val="%1.%2"/>
      <w:lvlJc w:val="left"/>
      <w:pPr>
        <w:ind w:left="418" w:hanging="584"/>
        <w:jc w:val="left"/>
      </w:pPr>
      <w:rPr>
        <w:rFonts w:hint="default"/>
        <w:lang w:val="zh-CN" w:eastAsia="zh-CN" w:bidi="zh-CN"/>
      </w:rPr>
    </w:lvl>
    <w:lvl w:ilvl="2" w:tplc="6BE46A18">
      <w:start w:val="4"/>
      <w:numFmt w:val="decimal"/>
      <w:lvlText w:val="%1.%2.%3"/>
      <w:lvlJc w:val="left"/>
      <w:pPr>
        <w:ind w:left="418" w:hanging="584"/>
        <w:jc w:val="left"/>
      </w:pPr>
      <w:rPr>
        <w:rFonts w:ascii="宋体" w:eastAsia="宋体" w:hAnsi="宋体" w:cs="宋体" w:hint="default"/>
        <w:b/>
        <w:bCs/>
        <w:w w:val="99"/>
        <w:sz w:val="21"/>
        <w:szCs w:val="21"/>
        <w:lang w:val="zh-CN" w:eastAsia="zh-CN" w:bidi="zh-CN"/>
      </w:rPr>
    </w:lvl>
    <w:lvl w:ilvl="3" w:tplc="93F83306">
      <w:numFmt w:val="bullet"/>
      <w:lvlText w:val="•"/>
      <w:lvlJc w:val="left"/>
      <w:pPr>
        <w:ind w:left="3487" w:hanging="584"/>
      </w:pPr>
      <w:rPr>
        <w:rFonts w:hint="default"/>
        <w:lang w:val="zh-CN" w:eastAsia="zh-CN" w:bidi="zh-CN"/>
      </w:rPr>
    </w:lvl>
    <w:lvl w:ilvl="4" w:tplc="C09EF166">
      <w:numFmt w:val="bullet"/>
      <w:lvlText w:val="•"/>
      <w:lvlJc w:val="left"/>
      <w:pPr>
        <w:ind w:left="4510" w:hanging="584"/>
      </w:pPr>
      <w:rPr>
        <w:rFonts w:hint="default"/>
        <w:lang w:val="zh-CN" w:eastAsia="zh-CN" w:bidi="zh-CN"/>
      </w:rPr>
    </w:lvl>
    <w:lvl w:ilvl="5" w:tplc="88AA5DE0">
      <w:numFmt w:val="bullet"/>
      <w:lvlText w:val="•"/>
      <w:lvlJc w:val="left"/>
      <w:pPr>
        <w:ind w:left="5533" w:hanging="584"/>
      </w:pPr>
      <w:rPr>
        <w:rFonts w:hint="default"/>
        <w:lang w:val="zh-CN" w:eastAsia="zh-CN" w:bidi="zh-CN"/>
      </w:rPr>
    </w:lvl>
    <w:lvl w:ilvl="6" w:tplc="B4FEF10C">
      <w:numFmt w:val="bullet"/>
      <w:lvlText w:val="•"/>
      <w:lvlJc w:val="left"/>
      <w:pPr>
        <w:ind w:left="6555" w:hanging="584"/>
      </w:pPr>
      <w:rPr>
        <w:rFonts w:hint="default"/>
        <w:lang w:val="zh-CN" w:eastAsia="zh-CN" w:bidi="zh-CN"/>
      </w:rPr>
    </w:lvl>
    <w:lvl w:ilvl="7" w:tplc="1D128A76">
      <w:numFmt w:val="bullet"/>
      <w:lvlText w:val="•"/>
      <w:lvlJc w:val="left"/>
      <w:pPr>
        <w:ind w:left="7578" w:hanging="584"/>
      </w:pPr>
      <w:rPr>
        <w:rFonts w:hint="default"/>
        <w:lang w:val="zh-CN" w:eastAsia="zh-CN" w:bidi="zh-CN"/>
      </w:rPr>
    </w:lvl>
    <w:lvl w:ilvl="8" w:tplc="7CFA29C6">
      <w:numFmt w:val="bullet"/>
      <w:lvlText w:val="•"/>
      <w:lvlJc w:val="left"/>
      <w:pPr>
        <w:ind w:left="8601" w:hanging="584"/>
      </w:pPr>
      <w:rPr>
        <w:rFonts w:hint="default"/>
        <w:lang w:val="zh-CN" w:eastAsia="zh-CN" w:bidi="zh-CN"/>
      </w:rPr>
    </w:lvl>
  </w:abstractNum>
  <w:abstractNum w:abstractNumId="23" w15:restartNumberingAfterBreak="0">
    <w:nsid w:val="01D43F77"/>
    <w:multiLevelType w:val="hybridMultilevel"/>
    <w:tmpl w:val="F0FA3744"/>
    <w:lvl w:ilvl="0" w:tplc="BD16A00C">
      <w:start w:val="2"/>
      <w:numFmt w:val="decimal"/>
      <w:lvlText w:val="%1"/>
      <w:lvlJc w:val="left"/>
      <w:pPr>
        <w:ind w:left="1159" w:hanging="320"/>
        <w:jc w:val="left"/>
      </w:pPr>
      <w:rPr>
        <w:rFonts w:hint="default"/>
        <w:lang w:val="zh-CN" w:eastAsia="zh-CN" w:bidi="zh-CN"/>
      </w:rPr>
    </w:lvl>
    <w:lvl w:ilvl="1" w:tplc="6B8A0BA8">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771CF300">
      <w:start w:val="1"/>
      <w:numFmt w:val="decimal"/>
      <w:lvlText w:val="%1.%2.%3"/>
      <w:lvlJc w:val="left"/>
      <w:pPr>
        <w:ind w:left="1423" w:hanging="584"/>
        <w:jc w:val="left"/>
      </w:pPr>
      <w:rPr>
        <w:rFonts w:ascii="宋体" w:eastAsia="宋体" w:hAnsi="宋体" w:cs="宋体" w:hint="default"/>
        <w:b/>
        <w:bCs/>
        <w:w w:val="99"/>
        <w:sz w:val="21"/>
        <w:szCs w:val="21"/>
        <w:lang w:val="zh-CN" w:eastAsia="zh-CN" w:bidi="zh-CN"/>
      </w:rPr>
    </w:lvl>
    <w:lvl w:ilvl="3" w:tplc="F1D8ADE8">
      <w:numFmt w:val="bullet"/>
      <w:lvlText w:val="•"/>
      <w:lvlJc w:val="left"/>
      <w:pPr>
        <w:ind w:left="3470" w:hanging="584"/>
      </w:pPr>
      <w:rPr>
        <w:rFonts w:hint="default"/>
        <w:lang w:val="zh-CN" w:eastAsia="zh-CN" w:bidi="zh-CN"/>
      </w:rPr>
    </w:lvl>
    <w:lvl w:ilvl="4" w:tplc="5296C34C">
      <w:numFmt w:val="bullet"/>
      <w:lvlText w:val="•"/>
      <w:lvlJc w:val="left"/>
      <w:pPr>
        <w:ind w:left="4495" w:hanging="584"/>
      </w:pPr>
      <w:rPr>
        <w:rFonts w:hint="default"/>
        <w:lang w:val="zh-CN" w:eastAsia="zh-CN" w:bidi="zh-CN"/>
      </w:rPr>
    </w:lvl>
    <w:lvl w:ilvl="5" w:tplc="C2EA0FD6">
      <w:numFmt w:val="bullet"/>
      <w:lvlText w:val="•"/>
      <w:lvlJc w:val="left"/>
      <w:pPr>
        <w:ind w:left="5520" w:hanging="584"/>
      </w:pPr>
      <w:rPr>
        <w:rFonts w:hint="default"/>
        <w:lang w:val="zh-CN" w:eastAsia="zh-CN" w:bidi="zh-CN"/>
      </w:rPr>
    </w:lvl>
    <w:lvl w:ilvl="6" w:tplc="DAFED158">
      <w:numFmt w:val="bullet"/>
      <w:lvlText w:val="•"/>
      <w:lvlJc w:val="left"/>
      <w:pPr>
        <w:ind w:left="6545" w:hanging="584"/>
      </w:pPr>
      <w:rPr>
        <w:rFonts w:hint="default"/>
        <w:lang w:val="zh-CN" w:eastAsia="zh-CN" w:bidi="zh-CN"/>
      </w:rPr>
    </w:lvl>
    <w:lvl w:ilvl="7" w:tplc="BDC01458">
      <w:numFmt w:val="bullet"/>
      <w:lvlText w:val="•"/>
      <w:lvlJc w:val="left"/>
      <w:pPr>
        <w:ind w:left="7570" w:hanging="584"/>
      </w:pPr>
      <w:rPr>
        <w:rFonts w:hint="default"/>
        <w:lang w:val="zh-CN" w:eastAsia="zh-CN" w:bidi="zh-CN"/>
      </w:rPr>
    </w:lvl>
    <w:lvl w:ilvl="8" w:tplc="DB109AA6">
      <w:numFmt w:val="bullet"/>
      <w:lvlText w:val="•"/>
      <w:lvlJc w:val="left"/>
      <w:pPr>
        <w:ind w:left="8596" w:hanging="584"/>
      </w:pPr>
      <w:rPr>
        <w:rFonts w:hint="default"/>
        <w:lang w:val="zh-CN" w:eastAsia="zh-CN" w:bidi="zh-CN"/>
      </w:rPr>
    </w:lvl>
  </w:abstractNum>
  <w:abstractNum w:abstractNumId="24" w15:restartNumberingAfterBreak="0">
    <w:nsid w:val="01D45D6B"/>
    <w:multiLevelType w:val="hybridMultilevel"/>
    <w:tmpl w:val="495A67D2"/>
    <w:lvl w:ilvl="0" w:tplc="6D84D2AC">
      <w:start w:val="6"/>
      <w:numFmt w:val="decimal"/>
      <w:lvlText w:val="%1"/>
      <w:lvlJc w:val="left"/>
      <w:pPr>
        <w:ind w:left="1369" w:hanging="529"/>
        <w:jc w:val="left"/>
      </w:pPr>
      <w:rPr>
        <w:rFonts w:hint="default"/>
        <w:lang w:val="zh-CN" w:eastAsia="zh-CN" w:bidi="zh-CN"/>
      </w:rPr>
    </w:lvl>
    <w:lvl w:ilvl="1" w:tplc="9D345DEC">
      <w:start w:val="9"/>
      <w:numFmt w:val="decimal"/>
      <w:lvlText w:val="%1.%2"/>
      <w:lvlJc w:val="left"/>
      <w:pPr>
        <w:ind w:left="1369" w:hanging="529"/>
        <w:jc w:val="left"/>
      </w:pPr>
      <w:rPr>
        <w:rFonts w:hint="default"/>
        <w:lang w:val="zh-CN" w:eastAsia="zh-CN" w:bidi="zh-CN"/>
      </w:rPr>
    </w:lvl>
    <w:lvl w:ilvl="2" w:tplc="9594E25A">
      <w:start w:val="5"/>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3E664252">
      <w:start w:val="1"/>
      <w:numFmt w:val="decimal"/>
      <w:lvlText w:val="%1.%2.%3.%4"/>
      <w:lvlJc w:val="left"/>
      <w:pPr>
        <w:ind w:left="418" w:hanging="738"/>
        <w:jc w:val="left"/>
      </w:pPr>
      <w:rPr>
        <w:rFonts w:ascii="宋体" w:eastAsia="宋体" w:hAnsi="宋体" w:cs="宋体" w:hint="default"/>
        <w:spacing w:val="-3"/>
        <w:w w:val="100"/>
        <w:sz w:val="19"/>
        <w:szCs w:val="19"/>
        <w:lang w:val="zh-CN" w:eastAsia="zh-CN" w:bidi="zh-CN"/>
      </w:rPr>
    </w:lvl>
    <w:lvl w:ilvl="4" w:tplc="D33AF0CE">
      <w:numFmt w:val="bullet"/>
      <w:lvlText w:val="•"/>
      <w:lvlJc w:val="left"/>
      <w:pPr>
        <w:ind w:left="3846" w:hanging="738"/>
      </w:pPr>
      <w:rPr>
        <w:rFonts w:hint="default"/>
        <w:lang w:val="zh-CN" w:eastAsia="zh-CN" w:bidi="zh-CN"/>
      </w:rPr>
    </w:lvl>
    <w:lvl w:ilvl="5" w:tplc="CC265A9E">
      <w:numFmt w:val="bullet"/>
      <w:lvlText w:val="•"/>
      <w:lvlJc w:val="left"/>
      <w:pPr>
        <w:ind w:left="4979" w:hanging="738"/>
      </w:pPr>
      <w:rPr>
        <w:rFonts w:hint="default"/>
        <w:lang w:val="zh-CN" w:eastAsia="zh-CN" w:bidi="zh-CN"/>
      </w:rPr>
    </w:lvl>
    <w:lvl w:ilvl="6" w:tplc="CDFA9A8C">
      <w:numFmt w:val="bullet"/>
      <w:lvlText w:val="•"/>
      <w:lvlJc w:val="left"/>
      <w:pPr>
        <w:ind w:left="6113" w:hanging="738"/>
      </w:pPr>
      <w:rPr>
        <w:rFonts w:hint="default"/>
        <w:lang w:val="zh-CN" w:eastAsia="zh-CN" w:bidi="zh-CN"/>
      </w:rPr>
    </w:lvl>
    <w:lvl w:ilvl="7" w:tplc="8DE89708">
      <w:numFmt w:val="bullet"/>
      <w:lvlText w:val="•"/>
      <w:lvlJc w:val="left"/>
      <w:pPr>
        <w:ind w:left="7246" w:hanging="738"/>
      </w:pPr>
      <w:rPr>
        <w:rFonts w:hint="default"/>
        <w:lang w:val="zh-CN" w:eastAsia="zh-CN" w:bidi="zh-CN"/>
      </w:rPr>
    </w:lvl>
    <w:lvl w:ilvl="8" w:tplc="71C0569A">
      <w:numFmt w:val="bullet"/>
      <w:lvlText w:val="•"/>
      <w:lvlJc w:val="left"/>
      <w:pPr>
        <w:ind w:left="8379" w:hanging="738"/>
      </w:pPr>
      <w:rPr>
        <w:rFonts w:hint="default"/>
        <w:lang w:val="zh-CN" w:eastAsia="zh-CN" w:bidi="zh-CN"/>
      </w:rPr>
    </w:lvl>
  </w:abstractNum>
  <w:abstractNum w:abstractNumId="25" w15:restartNumberingAfterBreak="0">
    <w:nsid w:val="01DA23E6"/>
    <w:multiLevelType w:val="hybridMultilevel"/>
    <w:tmpl w:val="D786CC2E"/>
    <w:lvl w:ilvl="0" w:tplc="A3D49EA8">
      <w:start w:val="3"/>
      <w:numFmt w:val="decimal"/>
      <w:lvlText w:val="%1"/>
      <w:lvlJc w:val="left"/>
      <w:pPr>
        <w:ind w:left="1369" w:hanging="529"/>
        <w:jc w:val="left"/>
      </w:pPr>
      <w:rPr>
        <w:rFonts w:hint="default"/>
        <w:lang w:val="zh-CN" w:eastAsia="zh-CN" w:bidi="zh-CN"/>
      </w:rPr>
    </w:lvl>
    <w:lvl w:ilvl="1" w:tplc="F9A61CAA">
      <w:start w:val="4"/>
      <w:numFmt w:val="decimal"/>
      <w:lvlText w:val="%1.%2"/>
      <w:lvlJc w:val="left"/>
      <w:pPr>
        <w:ind w:left="1369" w:hanging="529"/>
        <w:jc w:val="left"/>
      </w:pPr>
      <w:rPr>
        <w:rFonts w:hint="default"/>
        <w:lang w:val="zh-CN" w:eastAsia="zh-CN" w:bidi="zh-CN"/>
      </w:rPr>
    </w:lvl>
    <w:lvl w:ilvl="2" w:tplc="0ED2E3E0">
      <w:start w:val="7"/>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C3BC8480">
      <w:numFmt w:val="bullet"/>
      <w:lvlText w:val="•"/>
      <w:lvlJc w:val="left"/>
      <w:pPr>
        <w:ind w:left="4145" w:hanging="529"/>
      </w:pPr>
      <w:rPr>
        <w:rFonts w:hint="default"/>
        <w:lang w:val="zh-CN" w:eastAsia="zh-CN" w:bidi="zh-CN"/>
      </w:rPr>
    </w:lvl>
    <w:lvl w:ilvl="4" w:tplc="9B767662">
      <w:numFmt w:val="bullet"/>
      <w:lvlText w:val="•"/>
      <w:lvlJc w:val="left"/>
      <w:pPr>
        <w:ind w:left="5074" w:hanging="529"/>
      </w:pPr>
      <w:rPr>
        <w:rFonts w:hint="default"/>
        <w:lang w:val="zh-CN" w:eastAsia="zh-CN" w:bidi="zh-CN"/>
      </w:rPr>
    </w:lvl>
    <w:lvl w:ilvl="5" w:tplc="31169932">
      <w:numFmt w:val="bullet"/>
      <w:lvlText w:val="•"/>
      <w:lvlJc w:val="left"/>
      <w:pPr>
        <w:ind w:left="6003" w:hanging="529"/>
      </w:pPr>
      <w:rPr>
        <w:rFonts w:hint="default"/>
        <w:lang w:val="zh-CN" w:eastAsia="zh-CN" w:bidi="zh-CN"/>
      </w:rPr>
    </w:lvl>
    <w:lvl w:ilvl="6" w:tplc="B5760E8E">
      <w:numFmt w:val="bullet"/>
      <w:lvlText w:val="•"/>
      <w:lvlJc w:val="left"/>
      <w:pPr>
        <w:ind w:left="6931" w:hanging="529"/>
      </w:pPr>
      <w:rPr>
        <w:rFonts w:hint="default"/>
        <w:lang w:val="zh-CN" w:eastAsia="zh-CN" w:bidi="zh-CN"/>
      </w:rPr>
    </w:lvl>
    <w:lvl w:ilvl="7" w:tplc="D30C0C4A">
      <w:numFmt w:val="bullet"/>
      <w:lvlText w:val="•"/>
      <w:lvlJc w:val="left"/>
      <w:pPr>
        <w:ind w:left="7860" w:hanging="529"/>
      </w:pPr>
      <w:rPr>
        <w:rFonts w:hint="default"/>
        <w:lang w:val="zh-CN" w:eastAsia="zh-CN" w:bidi="zh-CN"/>
      </w:rPr>
    </w:lvl>
    <w:lvl w:ilvl="8" w:tplc="B7C21ED8">
      <w:numFmt w:val="bullet"/>
      <w:lvlText w:val="•"/>
      <w:lvlJc w:val="left"/>
      <w:pPr>
        <w:ind w:left="8789" w:hanging="529"/>
      </w:pPr>
      <w:rPr>
        <w:rFonts w:hint="default"/>
        <w:lang w:val="zh-CN" w:eastAsia="zh-CN" w:bidi="zh-CN"/>
      </w:rPr>
    </w:lvl>
  </w:abstractNum>
  <w:abstractNum w:abstractNumId="26" w15:restartNumberingAfterBreak="0">
    <w:nsid w:val="01DD212F"/>
    <w:multiLevelType w:val="hybridMultilevel"/>
    <w:tmpl w:val="A156FDE4"/>
    <w:lvl w:ilvl="0" w:tplc="962ED69C">
      <w:start w:val="5"/>
      <w:numFmt w:val="decimal"/>
      <w:lvlText w:val="%1"/>
      <w:lvlJc w:val="left"/>
      <w:pPr>
        <w:ind w:left="1158" w:hanging="318"/>
        <w:jc w:val="left"/>
      </w:pPr>
      <w:rPr>
        <w:rFonts w:hint="default"/>
        <w:lang w:val="zh-CN" w:eastAsia="zh-CN" w:bidi="zh-CN"/>
      </w:rPr>
    </w:lvl>
    <w:lvl w:ilvl="1" w:tplc="BEE4E1E0">
      <w:start w:val="5"/>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E68AB8B2">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2AC88AF4">
      <w:numFmt w:val="bullet"/>
      <w:lvlText w:val="•"/>
      <w:lvlJc w:val="left"/>
      <w:pPr>
        <w:ind w:left="2538" w:hanging="529"/>
      </w:pPr>
      <w:rPr>
        <w:rFonts w:hint="default"/>
        <w:lang w:val="zh-CN" w:eastAsia="zh-CN" w:bidi="zh-CN"/>
      </w:rPr>
    </w:lvl>
    <w:lvl w:ilvl="4" w:tplc="4502B282">
      <w:numFmt w:val="bullet"/>
      <w:lvlText w:val="•"/>
      <w:lvlJc w:val="left"/>
      <w:pPr>
        <w:ind w:left="3696" w:hanging="529"/>
      </w:pPr>
      <w:rPr>
        <w:rFonts w:hint="default"/>
        <w:lang w:val="zh-CN" w:eastAsia="zh-CN" w:bidi="zh-CN"/>
      </w:rPr>
    </w:lvl>
    <w:lvl w:ilvl="5" w:tplc="B4EC6A0A">
      <w:numFmt w:val="bullet"/>
      <w:lvlText w:val="•"/>
      <w:lvlJc w:val="left"/>
      <w:pPr>
        <w:ind w:left="4854" w:hanging="529"/>
      </w:pPr>
      <w:rPr>
        <w:rFonts w:hint="default"/>
        <w:lang w:val="zh-CN" w:eastAsia="zh-CN" w:bidi="zh-CN"/>
      </w:rPr>
    </w:lvl>
    <w:lvl w:ilvl="6" w:tplc="9DB8390E">
      <w:numFmt w:val="bullet"/>
      <w:lvlText w:val="•"/>
      <w:lvlJc w:val="left"/>
      <w:pPr>
        <w:ind w:left="6013" w:hanging="529"/>
      </w:pPr>
      <w:rPr>
        <w:rFonts w:hint="default"/>
        <w:lang w:val="zh-CN" w:eastAsia="zh-CN" w:bidi="zh-CN"/>
      </w:rPr>
    </w:lvl>
    <w:lvl w:ilvl="7" w:tplc="4944252A">
      <w:numFmt w:val="bullet"/>
      <w:lvlText w:val="•"/>
      <w:lvlJc w:val="left"/>
      <w:pPr>
        <w:ind w:left="7171" w:hanging="529"/>
      </w:pPr>
      <w:rPr>
        <w:rFonts w:hint="default"/>
        <w:lang w:val="zh-CN" w:eastAsia="zh-CN" w:bidi="zh-CN"/>
      </w:rPr>
    </w:lvl>
    <w:lvl w:ilvl="8" w:tplc="1E3C3FBC">
      <w:numFmt w:val="bullet"/>
      <w:lvlText w:val="•"/>
      <w:lvlJc w:val="left"/>
      <w:pPr>
        <w:ind w:left="8329" w:hanging="529"/>
      </w:pPr>
      <w:rPr>
        <w:rFonts w:hint="default"/>
        <w:lang w:val="zh-CN" w:eastAsia="zh-CN" w:bidi="zh-CN"/>
      </w:rPr>
    </w:lvl>
  </w:abstractNum>
  <w:abstractNum w:abstractNumId="27" w15:restartNumberingAfterBreak="0">
    <w:nsid w:val="021C1C91"/>
    <w:multiLevelType w:val="hybridMultilevel"/>
    <w:tmpl w:val="35F68F04"/>
    <w:lvl w:ilvl="0" w:tplc="1518A176">
      <w:start w:val="4"/>
      <w:numFmt w:val="decimal"/>
      <w:lvlText w:val="%1"/>
      <w:lvlJc w:val="left"/>
      <w:pPr>
        <w:ind w:left="1370" w:hanging="531"/>
        <w:jc w:val="left"/>
      </w:pPr>
      <w:rPr>
        <w:rFonts w:hint="default"/>
        <w:lang w:val="zh-CN" w:eastAsia="zh-CN" w:bidi="zh-CN"/>
      </w:rPr>
    </w:lvl>
    <w:lvl w:ilvl="1" w:tplc="D38C3E44">
      <w:start w:val="2"/>
      <w:numFmt w:val="decimal"/>
      <w:lvlText w:val="%1.%2"/>
      <w:lvlJc w:val="left"/>
      <w:pPr>
        <w:ind w:left="1370" w:hanging="531"/>
        <w:jc w:val="left"/>
      </w:pPr>
      <w:rPr>
        <w:rFonts w:hint="default"/>
        <w:lang w:val="zh-CN" w:eastAsia="zh-CN" w:bidi="zh-CN"/>
      </w:rPr>
    </w:lvl>
    <w:lvl w:ilvl="2" w:tplc="1FF09AC8">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520E448E">
      <w:numFmt w:val="bullet"/>
      <w:lvlText w:val="•"/>
      <w:lvlJc w:val="left"/>
      <w:pPr>
        <w:ind w:left="4159" w:hanging="531"/>
      </w:pPr>
      <w:rPr>
        <w:rFonts w:hint="default"/>
        <w:lang w:val="zh-CN" w:eastAsia="zh-CN" w:bidi="zh-CN"/>
      </w:rPr>
    </w:lvl>
    <w:lvl w:ilvl="4" w:tplc="7D000BEE">
      <w:numFmt w:val="bullet"/>
      <w:lvlText w:val="•"/>
      <w:lvlJc w:val="left"/>
      <w:pPr>
        <w:ind w:left="5086" w:hanging="531"/>
      </w:pPr>
      <w:rPr>
        <w:rFonts w:hint="default"/>
        <w:lang w:val="zh-CN" w:eastAsia="zh-CN" w:bidi="zh-CN"/>
      </w:rPr>
    </w:lvl>
    <w:lvl w:ilvl="5" w:tplc="14DEE8DC">
      <w:numFmt w:val="bullet"/>
      <w:lvlText w:val="•"/>
      <w:lvlJc w:val="left"/>
      <w:pPr>
        <w:ind w:left="6013" w:hanging="531"/>
      </w:pPr>
      <w:rPr>
        <w:rFonts w:hint="default"/>
        <w:lang w:val="zh-CN" w:eastAsia="zh-CN" w:bidi="zh-CN"/>
      </w:rPr>
    </w:lvl>
    <w:lvl w:ilvl="6" w:tplc="C87271A0">
      <w:numFmt w:val="bullet"/>
      <w:lvlText w:val="•"/>
      <w:lvlJc w:val="left"/>
      <w:pPr>
        <w:ind w:left="6939" w:hanging="531"/>
      </w:pPr>
      <w:rPr>
        <w:rFonts w:hint="default"/>
        <w:lang w:val="zh-CN" w:eastAsia="zh-CN" w:bidi="zh-CN"/>
      </w:rPr>
    </w:lvl>
    <w:lvl w:ilvl="7" w:tplc="9584743A">
      <w:numFmt w:val="bullet"/>
      <w:lvlText w:val="•"/>
      <w:lvlJc w:val="left"/>
      <w:pPr>
        <w:ind w:left="7866" w:hanging="531"/>
      </w:pPr>
      <w:rPr>
        <w:rFonts w:hint="default"/>
        <w:lang w:val="zh-CN" w:eastAsia="zh-CN" w:bidi="zh-CN"/>
      </w:rPr>
    </w:lvl>
    <w:lvl w:ilvl="8" w:tplc="72A46C02">
      <w:numFmt w:val="bullet"/>
      <w:lvlText w:val="•"/>
      <w:lvlJc w:val="left"/>
      <w:pPr>
        <w:ind w:left="8793" w:hanging="531"/>
      </w:pPr>
      <w:rPr>
        <w:rFonts w:hint="default"/>
        <w:lang w:val="zh-CN" w:eastAsia="zh-CN" w:bidi="zh-CN"/>
      </w:rPr>
    </w:lvl>
  </w:abstractNum>
  <w:abstractNum w:abstractNumId="28" w15:restartNumberingAfterBreak="0">
    <w:nsid w:val="023439A6"/>
    <w:multiLevelType w:val="hybridMultilevel"/>
    <w:tmpl w:val="8376CCF8"/>
    <w:lvl w:ilvl="0" w:tplc="DE423F9C">
      <w:start w:val="4"/>
      <w:numFmt w:val="decimal"/>
      <w:lvlText w:val="%1"/>
      <w:lvlJc w:val="left"/>
      <w:pPr>
        <w:ind w:left="1787" w:hanging="950"/>
        <w:jc w:val="left"/>
      </w:pPr>
      <w:rPr>
        <w:rFonts w:hint="default"/>
        <w:lang w:val="zh-CN" w:eastAsia="zh-CN" w:bidi="zh-CN"/>
      </w:rPr>
    </w:lvl>
    <w:lvl w:ilvl="1" w:tplc="A404E168">
      <w:start w:val="4"/>
      <w:numFmt w:val="decimal"/>
      <w:lvlText w:val="%1.%2"/>
      <w:lvlJc w:val="left"/>
      <w:pPr>
        <w:ind w:left="1787" w:hanging="950"/>
        <w:jc w:val="left"/>
      </w:pPr>
      <w:rPr>
        <w:rFonts w:hint="default"/>
        <w:lang w:val="zh-CN" w:eastAsia="zh-CN" w:bidi="zh-CN"/>
      </w:rPr>
    </w:lvl>
    <w:lvl w:ilvl="2" w:tplc="EE8651FC">
      <w:start w:val="4"/>
      <w:numFmt w:val="decimal"/>
      <w:lvlText w:val="%1.%2.%3"/>
      <w:lvlJc w:val="left"/>
      <w:pPr>
        <w:ind w:left="1787" w:hanging="950"/>
        <w:jc w:val="left"/>
      </w:pPr>
      <w:rPr>
        <w:rFonts w:hint="default"/>
        <w:lang w:val="zh-CN" w:eastAsia="zh-CN" w:bidi="zh-CN"/>
      </w:rPr>
    </w:lvl>
    <w:lvl w:ilvl="3" w:tplc="AB821A5E">
      <w:start w:val="2"/>
      <w:numFmt w:val="decimal"/>
      <w:lvlText w:val="%1.%2.%3.%4"/>
      <w:lvlJc w:val="left"/>
      <w:pPr>
        <w:ind w:left="1787" w:hanging="950"/>
        <w:jc w:val="left"/>
      </w:pPr>
      <w:rPr>
        <w:rFonts w:hint="default"/>
        <w:lang w:val="zh-CN" w:eastAsia="zh-CN" w:bidi="zh-CN"/>
      </w:rPr>
    </w:lvl>
    <w:lvl w:ilvl="4" w:tplc="F9AA8FC4">
      <w:start w:val="4"/>
      <w:numFmt w:val="decimal"/>
      <w:lvlText w:val="%1.%2.%3.%4.%5"/>
      <w:lvlJc w:val="left"/>
      <w:pPr>
        <w:ind w:left="1787" w:hanging="950"/>
        <w:jc w:val="left"/>
      </w:pPr>
      <w:rPr>
        <w:rFonts w:ascii="宋体" w:eastAsia="宋体" w:hAnsi="宋体" w:cs="宋体" w:hint="default"/>
        <w:spacing w:val="-3"/>
        <w:w w:val="100"/>
        <w:sz w:val="19"/>
        <w:szCs w:val="19"/>
        <w:lang w:val="zh-CN" w:eastAsia="zh-CN" w:bidi="zh-CN"/>
      </w:rPr>
    </w:lvl>
    <w:lvl w:ilvl="5" w:tplc="FC68D322">
      <w:start w:val="1"/>
      <w:numFmt w:val="decimal"/>
      <w:lvlText w:val="%1.%2.%3.%4.%5.%6"/>
      <w:lvlJc w:val="left"/>
      <w:pPr>
        <w:ind w:left="1995" w:hanging="1158"/>
        <w:jc w:val="left"/>
      </w:pPr>
      <w:rPr>
        <w:rFonts w:ascii="宋体" w:eastAsia="宋体" w:hAnsi="宋体" w:cs="宋体" w:hint="default"/>
        <w:spacing w:val="-3"/>
        <w:w w:val="100"/>
        <w:sz w:val="19"/>
        <w:szCs w:val="19"/>
        <w:lang w:val="zh-CN" w:eastAsia="zh-CN" w:bidi="zh-CN"/>
      </w:rPr>
    </w:lvl>
    <w:lvl w:ilvl="6" w:tplc="815E65C4">
      <w:numFmt w:val="bullet"/>
      <w:lvlText w:val="•"/>
      <w:lvlJc w:val="left"/>
      <w:pPr>
        <w:ind w:left="6803" w:hanging="1158"/>
      </w:pPr>
      <w:rPr>
        <w:rFonts w:hint="default"/>
        <w:lang w:val="zh-CN" w:eastAsia="zh-CN" w:bidi="zh-CN"/>
      </w:rPr>
    </w:lvl>
    <w:lvl w:ilvl="7" w:tplc="8B744700">
      <w:numFmt w:val="bullet"/>
      <w:lvlText w:val="•"/>
      <w:lvlJc w:val="left"/>
      <w:pPr>
        <w:ind w:left="7764" w:hanging="1158"/>
      </w:pPr>
      <w:rPr>
        <w:rFonts w:hint="default"/>
        <w:lang w:val="zh-CN" w:eastAsia="zh-CN" w:bidi="zh-CN"/>
      </w:rPr>
    </w:lvl>
    <w:lvl w:ilvl="8" w:tplc="4E1E443A">
      <w:numFmt w:val="bullet"/>
      <w:lvlText w:val="•"/>
      <w:lvlJc w:val="left"/>
      <w:pPr>
        <w:ind w:left="8724" w:hanging="1158"/>
      </w:pPr>
      <w:rPr>
        <w:rFonts w:hint="default"/>
        <w:lang w:val="zh-CN" w:eastAsia="zh-CN" w:bidi="zh-CN"/>
      </w:rPr>
    </w:lvl>
  </w:abstractNum>
  <w:abstractNum w:abstractNumId="29" w15:restartNumberingAfterBreak="0">
    <w:nsid w:val="0263413B"/>
    <w:multiLevelType w:val="hybridMultilevel"/>
    <w:tmpl w:val="6BD8AEE0"/>
    <w:lvl w:ilvl="0" w:tplc="63182946">
      <w:start w:val="2"/>
      <w:numFmt w:val="decimal"/>
      <w:lvlText w:val="%1"/>
      <w:lvlJc w:val="left"/>
      <w:pPr>
        <w:ind w:left="418" w:hanging="372"/>
        <w:jc w:val="left"/>
      </w:pPr>
      <w:rPr>
        <w:rFonts w:hint="default"/>
        <w:lang w:val="zh-CN" w:eastAsia="zh-CN" w:bidi="zh-CN"/>
      </w:rPr>
    </w:lvl>
    <w:lvl w:ilvl="1" w:tplc="E3AAAD48">
      <w:start w:val="1"/>
      <w:numFmt w:val="decimal"/>
      <w:lvlText w:val="%1.%2"/>
      <w:lvlJc w:val="left"/>
      <w:pPr>
        <w:ind w:left="418" w:hanging="372"/>
        <w:jc w:val="left"/>
      </w:pPr>
      <w:rPr>
        <w:rFonts w:ascii="宋体" w:eastAsia="宋体" w:hAnsi="宋体" w:cs="宋体" w:hint="default"/>
        <w:b/>
        <w:bCs/>
        <w:color w:val="333333"/>
        <w:w w:val="99"/>
        <w:sz w:val="21"/>
        <w:szCs w:val="21"/>
        <w:lang w:val="zh-CN" w:eastAsia="zh-CN" w:bidi="zh-CN"/>
      </w:rPr>
    </w:lvl>
    <w:lvl w:ilvl="2" w:tplc="2B1C445E">
      <w:numFmt w:val="bullet"/>
      <w:lvlText w:val="•"/>
      <w:lvlJc w:val="left"/>
      <w:pPr>
        <w:ind w:left="2465" w:hanging="372"/>
      </w:pPr>
      <w:rPr>
        <w:rFonts w:hint="default"/>
        <w:lang w:val="zh-CN" w:eastAsia="zh-CN" w:bidi="zh-CN"/>
      </w:rPr>
    </w:lvl>
    <w:lvl w:ilvl="3" w:tplc="4BDA807A">
      <w:numFmt w:val="bullet"/>
      <w:lvlText w:val="•"/>
      <w:lvlJc w:val="left"/>
      <w:pPr>
        <w:ind w:left="3487" w:hanging="372"/>
      </w:pPr>
      <w:rPr>
        <w:rFonts w:hint="default"/>
        <w:lang w:val="zh-CN" w:eastAsia="zh-CN" w:bidi="zh-CN"/>
      </w:rPr>
    </w:lvl>
    <w:lvl w:ilvl="4" w:tplc="37622BBE">
      <w:numFmt w:val="bullet"/>
      <w:lvlText w:val="•"/>
      <w:lvlJc w:val="left"/>
      <w:pPr>
        <w:ind w:left="4510" w:hanging="372"/>
      </w:pPr>
      <w:rPr>
        <w:rFonts w:hint="default"/>
        <w:lang w:val="zh-CN" w:eastAsia="zh-CN" w:bidi="zh-CN"/>
      </w:rPr>
    </w:lvl>
    <w:lvl w:ilvl="5" w:tplc="5CEC5D6C">
      <w:numFmt w:val="bullet"/>
      <w:lvlText w:val="•"/>
      <w:lvlJc w:val="left"/>
      <w:pPr>
        <w:ind w:left="5533" w:hanging="372"/>
      </w:pPr>
      <w:rPr>
        <w:rFonts w:hint="default"/>
        <w:lang w:val="zh-CN" w:eastAsia="zh-CN" w:bidi="zh-CN"/>
      </w:rPr>
    </w:lvl>
    <w:lvl w:ilvl="6" w:tplc="65C22340">
      <w:numFmt w:val="bullet"/>
      <w:lvlText w:val="•"/>
      <w:lvlJc w:val="left"/>
      <w:pPr>
        <w:ind w:left="6555" w:hanging="372"/>
      </w:pPr>
      <w:rPr>
        <w:rFonts w:hint="default"/>
        <w:lang w:val="zh-CN" w:eastAsia="zh-CN" w:bidi="zh-CN"/>
      </w:rPr>
    </w:lvl>
    <w:lvl w:ilvl="7" w:tplc="A7FE3C54">
      <w:numFmt w:val="bullet"/>
      <w:lvlText w:val="•"/>
      <w:lvlJc w:val="left"/>
      <w:pPr>
        <w:ind w:left="7578" w:hanging="372"/>
      </w:pPr>
      <w:rPr>
        <w:rFonts w:hint="default"/>
        <w:lang w:val="zh-CN" w:eastAsia="zh-CN" w:bidi="zh-CN"/>
      </w:rPr>
    </w:lvl>
    <w:lvl w:ilvl="8" w:tplc="CD3E74BE">
      <w:numFmt w:val="bullet"/>
      <w:lvlText w:val="•"/>
      <w:lvlJc w:val="left"/>
      <w:pPr>
        <w:ind w:left="8601" w:hanging="372"/>
      </w:pPr>
      <w:rPr>
        <w:rFonts w:hint="default"/>
        <w:lang w:val="zh-CN" w:eastAsia="zh-CN" w:bidi="zh-CN"/>
      </w:rPr>
    </w:lvl>
  </w:abstractNum>
  <w:abstractNum w:abstractNumId="30" w15:restartNumberingAfterBreak="0">
    <w:nsid w:val="03132294"/>
    <w:multiLevelType w:val="hybridMultilevel"/>
    <w:tmpl w:val="9C421A0A"/>
    <w:lvl w:ilvl="0" w:tplc="692ACC46">
      <w:start w:val="3"/>
      <w:numFmt w:val="decimal"/>
      <w:lvlText w:val="%1"/>
      <w:lvlJc w:val="left"/>
      <w:pPr>
        <w:ind w:left="1263" w:hanging="424"/>
        <w:jc w:val="left"/>
      </w:pPr>
      <w:rPr>
        <w:rFonts w:hint="default"/>
        <w:lang w:val="zh-CN" w:eastAsia="zh-CN" w:bidi="zh-CN"/>
      </w:rPr>
    </w:lvl>
    <w:lvl w:ilvl="1" w:tplc="333260E6">
      <w:start w:val="14"/>
      <w:numFmt w:val="decimal"/>
      <w:lvlText w:val="%1.%2"/>
      <w:lvlJc w:val="left"/>
      <w:pPr>
        <w:ind w:left="1263" w:hanging="424"/>
        <w:jc w:val="left"/>
      </w:pPr>
      <w:rPr>
        <w:rFonts w:ascii="宋体" w:eastAsia="宋体" w:hAnsi="宋体" w:cs="宋体" w:hint="default"/>
        <w:b/>
        <w:bCs/>
        <w:w w:val="99"/>
        <w:sz w:val="19"/>
        <w:szCs w:val="19"/>
        <w:lang w:val="zh-CN" w:eastAsia="zh-CN" w:bidi="zh-CN"/>
      </w:rPr>
    </w:lvl>
    <w:lvl w:ilvl="2" w:tplc="C6BA6A0C">
      <w:numFmt w:val="bullet"/>
      <w:lvlText w:val="•"/>
      <w:lvlJc w:val="left"/>
      <w:pPr>
        <w:ind w:left="3137" w:hanging="424"/>
      </w:pPr>
      <w:rPr>
        <w:rFonts w:hint="default"/>
        <w:lang w:val="zh-CN" w:eastAsia="zh-CN" w:bidi="zh-CN"/>
      </w:rPr>
    </w:lvl>
    <w:lvl w:ilvl="3" w:tplc="DDC2E114">
      <w:numFmt w:val="bullet"/>
      <w:lvlText w:val="•"/>
      <w:lvlJc w:val="left"/>
      <w:pPr>
        <w:ind w:left="4075" w:hanging="424"/>
      </w:pPr>
      <w:rPr>
        <w:rFonts w:hint="default"/>
        <w:lang w:val="zh-CN" w:eastAsia="zh-CN" w:bidi="zh-CN"/>
      </w:rPr>
    </w:lvl>
    <w:lvl w:ilvl="4" w:tplc="74A080B6">
      <w:numFmt w:val="bullet"/>
      <w:lvlText w:val="•"/>
      <w:lvlJc w:val="left"/>
      <w:pPr>
        <w:ind w:left="5014" w:hanging="424"/>
      </w:pPr>
      <w:rPr>
        <w:rFonts w:hint="default"/>
        <w:lang w:val="zh-CN" w:eastAsia="zh-CN" w:bidi="zh-CN"/>
      </w:rPr>
    </w:lvl>
    <w:lvl w:ilvl="5" w:tplc="29AC1CE2">
      <w:numFmt w:val="bullet"/>
      <w:lvlText w:val="•"/>
      <w:lvlJc w:val="left"/>
      <w:pPr>
        <w:ind w:left="5953" w:hanging="424"/>
      </w:pPr>
      <w:rPr>
        <w:rFonts w:hint="default"/>
        <w:lang w:val="zh-CN" w:eastAsia="zh-CN" w:bidi="zh-CN"/>
      </w:rPr>
    </w:lvl>
    <w:lvl w:ilvl="6" w:tplc="91C25374">
      <w:numFmt w:val="bullet"/>
      <w:lvlText w:val="•"/>
      <w:lvlJc w:val="left"/>
      <w:pPr>
        <w:ind w:left="6891" w:hanging="424"/>
      </w:pPr>
      <w:rPr>
        <w:rFonts w:hint="default"/>
        <w:lang w:val="zh-CN" w:eastAsia="zh-CN" w:bidi="zh-CN"/>
      </w:rPr>
    </w:lvl>
    <w:lvl w:ilvl="7" w:tplc="1C24EAB8">
      <w:numFmt w:val="bullet"/>
      <w:lvlText w:val="•"/>
      <w:lvlJc w:val="left"/>
      <w:pPr>
        <w:ind w:left="7830" w:hanging="424"/>
      </w:pPr>
      <w:rPr>
        <w:rFonts w:hint="default"/>
        <w:lang w:val="zh-CN" w:eastAsia="zh-CN" w:bidi="zh-CN"/>
      </w:rPr>
    </w:lvl>
    <w:lvl w:ilvl="8" w:tplc="217CE406">
      <w:numFmt w:val="bullet"/>
      <w:lvlText w:val="•"/>
      <w:lvlJc w:val="left"/>
      <w:pPr>
        <w:ind w:left="8769" w:hanging="424"/>
      </w:pPr>
      <w:rPr>
        <w:rFonts w:hint="default"/>
        <w:lang w:val="zh-CN" w:eastAsia="zh-CN" w:bidi="zh-CN"/>
      </w:rPr>
    </w:lvl>
  </w:abstractNum>
  <w:abstractNum w:abstractNumId="31" w15:restartNumberingAfterBreak="0">
    <w:nsid w:val="03156DDA"/>
    <w:multiLevelType w:val="hybridMultilevel"/>
    <w:tmpl w:val="333E402C"/>
    <w:lvl w:ilvl="0" w:tplc="23B6894E">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1E38BCEC">
      <w:numFmt w:val="bullet"/>
      <w:lvlText w:val="•"/>
      <w:lvlJc w:val="left"/>
      <w:pPr>
        <w:ind w:left="2288" w:hanging="529"/>
      </w:pPr>
      <w:rPr>
        <w:rFonts w:hint="default"/>
        <w:lang w:val="zh-CN" w:eastAsia="zh-CN" w:bidi="zh-CN"/>
      </w:rPr>
    </w:lvl>
    <w:lvl w:ilvl="2" w:tplc="30B4F4F0">
      <w:numFmt w:val="bullet"/>
      <w:lvlText w:val="•"/>
      <w:lvlJc w:val="left"/>
      <w:pPr>
        <w:ind w:left="3217" w:hanging="529"/>
      </w:pPr>
      <w:rPr>
        <w:rFonts w:hint="default"/>
        <w:lang w:val="zh-CN" w:eastAsia="zh-CN" w:bidi="zh-CN"/>
      </w:rPr>
    </w:lvl>
    <w:lvl w:ilvl="3" w:tplc="5A76FBF0">
      <w:numFmt w:val="bullet"/>
      <w:lvlText w:val="•"/>
      <w:lvlJc w:val="left"/>
      <w:pPr>
        <w:ind w:left="4145" w:hanging="529"/>
      </w:pPr>
      <w:rPr>
        <w:rFonts w:hint="default"/>
        <w:lang w:val="zh-CN" w:eastAsia="zh-CN" w:bidi="zh-CN"/>
      </w:rPr>
    </w:lvl>
    <w:lvl w:ilvl="4" w:tplc="F1362760">
      <w:numFmt w:val="bullet"/>
      <w:lvlText w:val="•"/>
      <w:lvlJc w:val="left"/>
      <w:pPr>
        <w:ind w:left="5074" w:hanging="529"/>
      </w:pPr>
      <w:rPr>
        <w:rFonts w:hint="default"/>
        <w:lang w:val="zh-CN" w:eastAsia="zh-CN" w:bidi="zh-CN"/>
      </w:rPr>
    </w:lvl>
    <w:lvl w:ilvl="5" w:tplc="17B25200">
      <w:numFmt w:val="bullet"/>
      <w:lvlText w:val="•"/>
      <w:lvlJc w:val="left"/>
      <w:pPr>
        <w:ind w:left="6003" w:hanging="529"/>
      </w:pPr>
      <w:rPr>
        <w:rFonts w:hint="default"/>
        <w:lang w:val="zh-CN" w:eastAsia="zh-CN" w:bidi="zh-CN"/>
      </w:rPr>
    </w:lvl>
    <w:lvl w:ilvl="6" w:tplc="4484F4DC">
      <w:numFmt w:val="bullet"/>
      <w:lvlText w:val="•"/>
      <w:lvlJc w:val="left"/>
      <w:pPr>
        <w:ind w:left="6931" w:hanging="529"/>
      </w:pPr>
      <w:rPr>
        <w:rFonts w:hint="default"/>
        <w:lang w:val="zh-CN" w:eastAsia="zh-CN" w:bidi="zh-CN"/>
      </w:rPr>
    </w:lvl>
    <w:lvl w:ilvl="7" w:tplc="5D90FBF6">
      <w:numFmt w:val="bullet"/>
      <w:lvlText w:val="•"/>
      <w:lvlJc w:val="left"/>
      <w:pPr>
        <w:ind w:left="7860" w:hanging="529"/>
      </w:pPr>
      <w:rPr>
        <w:rFonts w:hint="default"/>
        <w:lang w:val="zh-CN" w:eastAsia="zh-CN" w:bidi="zh-CN"/>
      </w:rPr>
    </w:lvl>
    <w:lvl w:ilvl="8" w:tplc="A30C6CEE">
      <w:numFmt w:val="bullet"/>
      <w:lvlText w:val="•"/>
      <w:lvlJc w:val="left"/>
      <w:pPr>
        <w:ind w:left="8789" w:hanging="529"/>
      </w:pPr>
      <w:rPr>
        <w:rFonts w:hint="default"/>
        <w:lang w:val="zh-CN" w:eastAsia="zh-CN" w:bidi="zh-CN"/>
      </w:rPr>
    </w:lvl>
  </w:abstractNum>
  <w:abstractNum w:abstractNumId="32" w15:restartNumberingAfterBreak="0">
    <w:nsid w:val="035C106E"/>
    <w:multiLevelType w:val="hybridMultilevel"/>
    <w:tmpl w:val="FEB28CBA"/>
    <w:lvl w:ilvl="0" w:tplc="2E26CF32">
      <w:start w:val="8"/>
      <w:numFmt w:val="decimal"/>
      <w:lvlText w:val="%1"/>
      <w:lvlJc w:val="left"/>
      <w:pPr>
        <w:ind w:left="1159" w:hanging="320"/>
        <w:jc w:val="left"/>
      </w:pPr>
      <w:rPr>
        <w:rFonts w:hint="default"/>
        <w:lang w:val="zh-CN" w:eastAsia="zh-CN" w:bidi="zh-CN"/>
      </w:rPr>
    </w:lvl>
    <w:lvl w:ilvl="1" w:tplc="6008A658">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F38E1896">
      <w:start w:val="1"/>
      <w:numFmt w:val="decimal"/>
      <w:lvlText w:val="%1.%2.%3"/>
      <w:lvlJc w:val="left"/>
      <w:pPr>
        <w:ind w:left="838" w:hanging="531"/>
        <w:jc w:val="left"/>
      </w:pPr>
      <w:rPr>
        <w:rFonts w:ascii="宋体" w:eastAsia="宋体" w:hAnsi="宋体" w:cs="宋体" w:hint="default"/>
        <w:b/>
        <w:bCs/>
        <w:w w:val="99"/>
        <w:sz w:val="19"/>
        <w:szCs w:val="19"/>
        <w:lang w:val="zh-CN" w:eastAsia="zh-CN" w:bidi="zh-CN"/>
      </w:rPr>
    </w:lvl>
    <w:lvl w:ilvl="3" w:tplc="A502BA12">
      <w:numFmt w:val="bullet"/>
      <w:lvlText w:val="•"/>
      <w:lvlJc w:val="left"/>
      <w:pPr>
        <w:ind w:left="3268" w:hanging="531"/>
      </w:pPr>
      <w:rPr>
        <w:rFonts w:hint="default"/>
        <w:lang w:val="zh-CN" w:eastAsia="zh-CN" w:bidi="zh-CN"/>
      </w:rPr>
    </w:lvl>
    <w:lvl w:ilvl="4" w:tplc="C0841D56">
      <w:numFmt w:val="bullet"/>
      <w:lvlText w:val="•"/>
      <w:lvlJc w:val="left"/>
      <w:pPr>
        <w:ind w:left="4322" w:hanging="531"/>
      </w:pPr>
      <w:rPr>
        <w:rFonts w:hint="default"/>
        <w:lang w:val="zh-CN" w:eastAsia="zh-CN" w:bidi="zh-CN"/>
      </w:rPr>
    </w:lvl>
    <w:lvl w:ilvl="5" w:tplc="E8B61DAA">
      <w:numFmt w:val="bullet"/>
      <w:lvlText w:val="•"/>
      <w:lvlJc w:val="left"/>
      <w:pPr>
        <w:ind w:left="5376" w:hanging="531"/>
      </w:pPr>
      <w:rPr>
        <w:rFonts w:hint="default"/>
        <w:lang w:val="zh-CN" w:eastAsia="zh-CN" w:bidi="zh-CN"/>
      </w:rPr>
    </w:lvl>
    <w:lvl w:ilvl="6" w:tplc="8A3EEE5C">
      <w:numFmt w:val="bullet"/>
      <w:lvlText w:val="•"/>
      <w:lvlJc w:val="left"/>
      <w:pPr>
        <w:ind w:left="6430" w:hanging="531"/>
      </w:pPr>
      <w:rPr>
        <w:rFonts w:hint="default"/>
        <w:lang w:val="zh-CN" w:eastAsia="zh-CN" w:bidi="zh-CN"/>
      </w:rPr>
    </w:lvl>
    <w:lvl w:ilvl="7" w:tplc="D2CC7914">
      <w:numFmt w:val="bullet"/>
      <w:lvlText w:val="•"/>
      <w:lvlJc w:val="left"/>
      <w:pPr>
        <w:ind w:left="7484" w:hanging="531"/>
      </w:pPr>
      <w:rPr>
        <w:rFonts w:hint="default"/>
        <w:lang w:val="zh-CN" w:eastAsia="zh-CN" w:bidi="zh-CN"/>
      </w:rPr>
    </w:lvl>
    <w:lvl w:ilvl="8" w:tplc="95126C00">
      <w:numFmt w:val="bullet"/>
      <w:lvlText w:val="•"/>
      <w:lvlJc w:val="left"/>
      <w:pPr>
        <w:ind w:left="8538" w:hanging="531"/>
      </w:pPr>
      <w:rPr>
        <w:rFonts w:hint="default"/>
        <w:lang w:val="zh-CN" w:eastAsia="zh-CN" w:bidi="zh-CN"/>
      </w:rPr>
    </w:lvl>
  </w:abstractNum>
  <w:abstractNum w:abstractNumId="33" w15:restartNumberingAfterBreak="0">
    <w:nsid w:val="03B3291A"/>
    <w:multiLevelType w:val="hybridMultilevel"/>
    <w:tmpl w:val="100633B6"/>
    <w:lvl w:ilvl="0" w:tplc="3BB60386">
      <w:start w:val="6"/>
      <w:numFmt w:val="decimal"/>
      <w:lvlText w:val="%1"/>
      <w:lvlJc w:val="left"/>
      <w:pPr>
        <w:ind w:left="1158" w:hanging="318"/>
        <w:jc w:val="left"/>
      </w:pPr>
      <w:rPr>
        <w:rFonts w:hint="default"/>
        <w:lang w:val="zh-CN" w:eastAsia="zh-CN" w:bidi="zh-CN"/>
      </w:rPr>
    </w:lvl>
    <w:lvl w:ilvl="1" w:tplc="9CC49E78">
      <w:start w:val="4"/>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015EAF7E">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03D8DEAC">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F8C2E224">
      <w:numFmt w:val="bullet"/>
      <w:lvlText w:val="•"/>
      <w:lvlJc w:val="left"/>
      <w:pPr>
        <w:ind w:left="3846" w:hanging="738"/>
      </w:pPr>
      <w:rPr>
        <w:rFonts w:hint="default"/>
        <w:lang w:val="zh-CN" w:eastAsia="zh-CN" w:bidi="zh-CN"/>
      </w:rPr>
    </w:lvl>
    <w:lvl w:ilvl="5" w:tplc="23467C30">
      <w:numFmt w:val="bullet"/>
      <w:lvlText w:val="•"/>
      <w:lvlJc w:val="left"/>
      <w:pPr>
        <w:ind w:left="4979" w:hanging="738"/>
      </w:pPr>
      <w:rPr>
        <w:rFonts w:hint="default"/>
        <w:lang w:val="zh-CN" w:eastAsia="zh-CN" w:bidi="zh-CN"/>
      </w:rPr>
    </w:lvl>
    <w:lvl w:ilvl="6" w:tplc="BF7A3A0A">
      <w:numFmt w:val="bullet"/>
      <w:lvlText w:val="•"/>
      <w:lvlJc w:val="left"/>
      <w:pPr>
        <w:ind w:left="6113" w:hanging="738"/>
      </w:pPr>
      <w:rPr>
        <w:rFonts w:hint="default"/>
        <w:lang w:val="zh-CN" w:eastAsia="zh-CN" w:bidi="zh-CN"/>
      </w:rPr>
    </w:lvl>
    <w:lvl w:ilvl="7" w:tplc="F372FF08">
      <w:numFmt w:val="bullet"/>
      <w:lvlText w:val="•"/>
      <w:lvlJc w:val="left"/>
      <w:pPr>
        <w:ind w:left="7246" w:hanging="738"/>
      </w:pPr>
      <w:rPr>
        <w:rFonts w:hint="default"/>
        <w:lang w:val="zh-CN" w:eastAsia="zh-CN" w:bidi="zh-CN"/>
      </w:rPr>
    </w:lvl>
    <w:lvl w:ilvl="8" w:tplc="86F86FC8">
      <w:numFmt w:val="bullet"/>
      <w:lvlText w:val="•"/>
      <w:lvlJc w:val="left"/>
      <w:pPr>
        <w:ind w:left="8379" w:hanging="738"/>
      </w:pPr>
      <w:rPr>
        <w:rFonts w:hint="default"/>
        <w:lang w:val="zh-CN" w:eastAsia="zh-CN" w:bidi="zh-CN"/>
      </w:rPr>
    </w:lvl>
  </w:abstractNum>
  <w:abstractNum w:abstractNumId="34" w15:restartNumberingAfterBreak="0">
    <w:nsid w:val="03DB113B"/>
    <w:multiLevelType w:val="hybridMultilevel"/>
    <w:tmpl w:val="66380CE2"/>
    <w:lvl w:ilvl="0" w:tplc="7FC63DF0">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76D0A7B6">
      <w:numFmt w:val="bullet"/>
      <w:lvlText w:val="•"/>
      <w:lvlJc w:val="left"/>
      <w:pPr>
        <w:ind w:left="1442" w:hanging="529"/>
      </w:pPr>
      <w:rPr>
        <w:rFonts w:hint="default"/>
        <w:lang w:val="zh-CN" w:eastAsia="zh-CN" w:bidi="zh-CN"/>
      </w:rPr>
    </w:lvl>
    <w:lvl w:ilvl="2" w:tplc="5D34143C">
      <w:numFmt w:val="bullet"/>
      <w:lvlText w:val="•"/>
      <w:lvlJc w:val="left"/>
      <w:pPr>
        <w:ind w:left="2465" w:hanging="529"/>
      </w:pPr>
      <w:rPr>
        <w:rFonts w:hint="default"/>
        <w:lang w:val="zh-CN" w:eastAsia="zh-CN" w:bidi="zh-CN"/>
      </w:rPr>
    </w:lvl>
    <w:lvl w:ilvl="3" w:tplc="B66CDF38">
      <w:numFmt w:val="bullet"/>
      <w:lvlText w:val="•"/>
      <w:lvlJc w:val="left"/>
      <w:pPr>
        <w:ind w:left="3487" w:hanging="529"/>
      </w:pPr>
      <w:rPr>
        <w:rFonts w:hint="default"/>
        <w:lang w:val="zh-CN" w:eastAsia="zh-CN" w:bidi="zh-CN"/>
      </w:rPr>
    </w:lvl>
    <w:lvl w:ilvl="4" w:tplc="1C703A24">
      <w:numFmt w:val="bullet"/>
      <w:lvlText w:val="•"/>
      <w:lvlJc w:val="left"/>
      <w:pPr>
        <w:ind w:left="4510" w:hanging="529"/>
      </w:pPr>
      <w:rPr>
        <w:rFonts w:hint="default"/>
        <w:lang w:val="zh-CN" w:eastAsia="zh-CN" w:bidi="zh-CN"/>
      </w:rPr>
    </w:lvl>
    <w:lvl w:ilvl="5" w:tplc="0A4EA9F8">
      <w:numFmt w:val="bullet"/>
      <w:lvlText w:val="•"/>
      <w:lvlJc w:val="left"/>
      <w:pPr>
        <w:ind w:left="5533" w:hanging="529"/>
      </w:pPr>
      <w:rPr>
        <w:rFonts w:hint="default"/>
        <w:lang w:val="zh-CN" w:eastAsia="zh-CN" w:bidi="zh-CN"/>
      </w:rPr>
    </w:lvl>
    <w:lvl w:ilvl="6" w:tplc="1B10B480">
      <w:numFmt w:val="bullet"/>
      <w:lvlText w:val="•"/>
      <w:lvlJc w:val="left"/>
      <w:pPr>
        <w:ind w:left="6555" w:hanging="529"/>
      </w:pPr>
      <w:rPr>
        <w:rFonts w:hint="default"/>
        <w:lang w:val="zh-CN" w:eastAsia="zh-CN" w:bidi="zh-CN"/>
      </w:rPr>
    </w:lvl>
    <w:lvl w:ilvl="7" w:tplc="356027EC">
      <w:numFmt w:val="bullet"/>
      <w:lvlText w:val="•"/>
      <w:lvlJc w:val="left"/>
      <w:pPr>
        <w:ind w:left="7578" w:hanging="529"/>
      </w:pPr>
      <w:rPr>
        <w:rFonts w:hint="default"/>
        <w:lang w:val="zh-CN" w:eastAsia="zh-CN" w:bidi="zh-CN"/>
      </w:rPr>
    </w:lvl>
    <w:lvl w:ilvl="8" w:tplc="E17AA152">
      <w:numFmt w:val="bullet"/>
      <w:lvlText w:val="•"/>
      <w:lvlJc w:val="left"/>
      <w:pPr>
        <w:ind w:left="8601" w:hanging="529"/>
      </w:pPr>
      <w:rPr>
        <w:rFonts w:hint="default"/>
        <w:lang w:val="zh-CN" w:eastAsia="zh-CN" w:bidi="zh-CN"/>
      </w:rPr>
    </w:lvl>
  </w:abstractNum>
  <w:abstractNum w:abstractNumId="35" w15:restartNumberingAfterBreak="0">
    <w:nsid w:val="03F924A4"/>
    <w:multiLevelType w:val="hybridMultilevel"/>
    <w:tmpl w:val="DED2E262"/>
    <w:lvl w:ilvl="0" w:tplc="5E50BA96">
      <w:start w:val="3"/>
      <w:numFmt w:val="decimal"/>
      <w:lvlText w:val="%1"/>
      <w:lvlJc w:val="left"/>
      <w:pPr>
        <w:ind w:left="418" w:hanging="320"/>
        <w:jc w:val="left"/>
      </w:pPr>
      <w:rPr>
        <w:rFonts w:hint="default"/>
        <w:lang w:val="zh-CN" w:eastAsia="zh-CN" w:bidi="zh-CN"/>
      </w:rPr>
    </w:lvl>
    <w:lvl w:ilvl="1" w:tplc="853487E8">
      <w:start w:val="1"/>
      <w:numFmt w:val="decimal"/>
      <w:lvlText w:val="%1.%2"/>
      <w:lvlJc w:val="left"/>
      <w:pPr>
        <w:ind w:left="418" w:hanging="320"/>
        <w:jc w:val="left"/>
      </w:pPr>
      <w:rPr>
        <w:rFonts w:ascii="宋体" w:eastAsia="宋体" w:hAnsi="宋体" w:cs="宋体" w:hint="default"/>
        <w:b/>
        <w:bCs/>
        <w:w w:val="99"/>
        <w:sz w:val="19"/>
        <w:szCs w:val="19"/>
        <w:lang w:val="zh-CN" w:eastAsia="zh-CN" w:bidi="zh-CN"/>
      </w:rPr>
    </w:lvl>
    <w:lvl w:ilvl="2" w:tplc="4D6A3034">
      <w:numFmt w:val="bullet"/>
      <w:lvlText w:val="•"/>
      <w:lvlJc w:val="left"/>
      <w:pPr>
        <w:ind w:left="2465" w:hanging="320"/>
      </w:pPr>
      <w:rPr>
        <w:rFonts w:hint="default"/>
        <w:lang w:val="zh-CN" w:eastAsia="zh-CN" w:bidi="zh-CN"/>
      </w:rPr>
    </w:lvl>
    <w:lvl w:ilvl="3" w:tplc="8D964754">
      <w:numFmt w:val="bullet"/>
      <w:lvlText w:val="•"/>
      <w:lvlJc w:val="left"/>
      <w:pPr>
        <w:ind w:left="3487" w:hanging="320"/>
      </w:pPr>
      <w:rPr>
        <w:rFonts w:hint="default"/>
        <w:lang w:val="zh-CN" w:eastAsia="zh-CN" w:bidi="zh-CN"/>
      </w:rPr>
    </w:lvl>
    <w:lvl w:ilvl="4" w:tplc="F6768EB8">
      <w:numFmt w:val="bullet"/>
      <w:lvlText w:val="•"/>
      <w:lvlJc w:val="left"/>
      <w:pPr>
        <w:ind w:left="4510" w:hanging="320"/>
      </w:pPr>
      <w:rPr>
        <w:rFonts w:hint="default"/>
        <w:lang w:val="zh-CN" w:eastAsia="zh-CN" w:bidi="zh-CN"/>
      </w:rPr>
    </w:lvl>
    <w:lvl w:ilvl="5" w:tplc="A7DE96AE">
      <w:numFmt w:val="bullet"/>
      <w:lvlText w:val="•"/>
      <w:lvlJc w:val="left"/>
      <w:pPr>
        <w:ind w:left="5533" w:hanging="320"/>
      </w:pPr>
      <w:rPr>
        <w:rFonts w:hint="default"/>
        <w:lang w:val="zh-CN" w:eastAsia="zh-CN" w:bidi="zh-CN"/>
      </w:rPr>
    </w:lvl>
    <w:lvl w:ilvl="6" w:tplc="0AFCD198">
      <w:numFmt w:val="bullet"/>
      <w:lvlText w:val="•"/>
      <w:lvlJc w:val="left"/>
      <w:pPr>
        <w:ind w:left="6555" w:hanging="320"/>
      </w:pPr>
      <w:rPr>
        <w:rFonts w:hint="default"/>
        <w:lang w:val="zh-CN" w:eastAsia="zh-CN" w:bidi="zh-CN"/>
      </w:rPr>
    </w:lvl>
    <w:lvl w:ilvl="7" w:tplc="29D41E60">
      <w:numFmt w:val="bullet"/>
      <w:lvlText w:val="•"/>
      <w:lvlJc w:val="left"/>
      <w:pPr>
        <w:ind w:left="7578" w:hanging="320"/>
      </w:pPr>
      <w:rPr>
        <w:rFonts w:hint="default"/>
        <w:lang w:val="zh-CN" w:eastAsia="zh-CN" w:bidi="zh-CN"/>
      </w:rPr>
    </w:lvl>
    <w:lvl w:ilvl="8" w:tplc="998C0D92">
      <w:numFmt w:val="bullet"/>
      <w:lvlText w:val="•"/>
      <w:lvlJc w:val="left"/>
      <w:pPr>
        <w:ind w:left="8601" w:hanging="320"/>
      </w:pPr>
      <w:rPr>
        <w:rFonts w:hint="default"/>
        <w:lang w:val="zh-CN" w:eastAsia="zh-CN" w:bidi="zh-CN"/>
      </w:rPr>
    </w:lvl>
  </w:abstractNum>
  <w:abstractNum w:abstractNumId="36" w15:restartNumberingAfterBreak="0">
    <w:nsid w:val="03FD4322"/>
    <w:multiLevelType w:val="hybridMultilevel"/>
    <w:tmpl w:val="5F74607A"/>
    <w:lvl w:ilvl="0" w:tplc="AE988302">
      <w:start w:val="2"/>
      <w:numFmt w:val="decimal"/>
      <w:lvlText w:val="%1"/>
      <w:lvlJc w:val="left"/>
      <w:pPr>
        <w:ind w:left="1212" w:hanging="372"/>
        <w:jc w:val="left"/>
      </w:pPr>
      <w:rPr>
        <w:rFonts w:hint="default"/>
        <w:lang w:val="zh-CN" w:eastAsia="zh-CN" w:bidi="zh-CN"/>
      </w:rPr>
    </w:lvl>
    <w:lvl w:ilvl="1" w:tplc="7C1E0DAE">
      <w:start w:val="1"/>
      <w:numFmt w:val="decimal"/>
      <w:lvlText w:val="%1.%2"/>
      <w:lvlJc w:val="left"/>
      <w:pPr>
        <w:ind w:left="1212" w:hanging="372"/>
        <w:jc w:val="left"/>
      </w:pPr>
      <w:rPr>
        <w:rFonts w:ascii="宋体" w:eastAsia="宋体" w:hAnsi="宋体" w:cs="宋体" w:hint="default"/>
        <w:b/>
        <w:bCs/>
        <w:w w:val="99"/>
        <w:sz w:val="21"/>
        <w:szCs w:val="21"/>
        <w:lang w:val="zh-CN" w:eastAsia="zh-CN" w:bidi="zh-CN"/>
      </w:rPr>
    </w:lvl>
    <w:lvl w:ilvl="2" w:tplc="29E22598">
      <w:numFmt w:val="bullet"/>
      <w:lvlText w:val="•"/>
      <w:lvlJc w:val="left"/>
      <w:pPr>
        <w:ind w:left="3105" w:hanging="372"/>
      </w:pPr>
      <w:rPr>
        <w:rFonts w:hint="default"/>
        <w:lang w:val="zh-CN" w:eastAsia="zh-CN" w:bidi="zh-CN"/>
      </w:rPr>
    </w:lvl>
    <w:lvl w:ilvl="3" w:tplc="9A46E07E">
      <w:numFmt w:val="bullet"/>
      <w:lvlText w:val="•"/>
      <w:lvlJc w:val="left"/>
      <w:pPr>
        <w:ind w:left="4047" w:hanging="372"/>
      </w:pPr>
      <w:rPr>
        <w:rFonts w:hint="default"/>
        <w:lang w:val="zh-CN" w:eastAsia="zh-CN" w:bidi="zh-CN"/>
      </w:rPr>
    </w:lvl>
    <w:lvl w:ilvl="4" w:tplc="FB300F26">
      <w:numFmt w:val="bullet"/>
      <w:lvlText w:val="•"/>
      <w:lvlJc w:val="left"/>
      <w:pPr>
        <w:ind w:left="4990" w:hanging="372"/>
      </w:pPr>
      <w:rPr>
        <w:rFonts w:hint="default"/>
        <w:lang w:val="zh-CN" w:eastAsia="zh-CN" w:bidi="zh-CN"/>
      </w:rPr>
    </w:lvl>
    <w:lvl w:ilvl="5" w:tplc="A74E02E2">
      <w:numFmt w:val="bullet"/>
      <w:lvlText w:val="•"/>
      <w:lvlJc w:val="left"/>
      <w:pPr>
        <w:ind w:left="5933" w:hanging="372"/>
      </w:pPr>
      <w:rPr>
        <w:rFonts w:hint="default"/>
        <w:lang w:val="zh-CN" w:eastAsia="zh-CN" w:bidi="zh-CN"/>
      </w:rPr>
    </w:lvl>
    <w:lvl w:ilvl="6" w:tplc="F8986A2E">
      <w:numFmt w:val="bullet"/>
      <w:lvlText w:val="•"/>
      <w:lvlJc w:val="left"/>
      <w:pPr>
        <w:ind w:left="6875" w:hanging="372"/>
      </w:pPr>
      <w:rPr>
        <w:rFonts w:hint="default"/>
        <w:lang w:val="zh-CN" w:eastAsia="zh-CN" w:bidi="zh-CN"/>
      </w:rPr>
    </w:lvl>
    <w:lvl w:ilvl="7" w:tplc="F91E85B2">
      <w:numFmt w:val="bullet"/>
      <w:lvlText w:val="•"/>
      <w:lvlJc w:val="left"/>
      <w:pPr>
        <w:ind w:left="7818" w:hanging="372"/>
      </w:pPr>
      <w:rPr>
        <w:rFonts w:hint="default"/>
        <w:lang w:val="zh-CN" w:eastAsia="zh-CN" w:bidi="zh-CN"/>
      </w:rPr>
    </w:lvl>
    <w:lvl w:ilvl="8" w:tplc="8D2A2B1C">
      <w:numFmt w:val="bullet"/>
      <w:lvlText w:val="•"/>
      <w:lvlJc w:val="left"/>
      <w:pPr>
        <w:ind w:left="8761" w:hanging="372"/>
      </w:pPr>
      <w:rPr>
        <w:rFonts w:hint="default"/>
        <w:lang w:val="zh-CN" w:eastAsia="zh-CN" w:bidi="zh-CN"/>
      </w:rPr>
    </w:lvl>
  </w:abstractNum>
  <w:abstractNum w:abstractNumId="37" w15:restartNumberingAfterBreak="0">
    <w:nsid w:val="04247693"/>
    <w:multiLevelType w:val="hybridMultilevel"/>
    <w:tmpl w:val="86C26058"/>
    <w:lvl w:ilvl="0" w:tplc="76760FA8">
      <w:start w:val="5"/>
      <w:numFmt w:val="decimal"/>
      <w:lvlText w:val="%1"/>
      <w:lvlJc w:val="left"/>
      <w:pPr>
        <w:ind w:left="1477" w:hanging="637"/>
        <w:jc w:val="left"/>
      </w:pPr>
      <w:rPr>
        <w:rFonts w:hint="default"/>
        <w:lang w:val="zh-CN" w:eastAsia="zh-CN" w:bidi="zh-CN"/>
      </w:rPr>
    </w:lvl>
    <w:lvl w:ilvl="1" w:tplc="0BA89EA4">
      <w:start w:val="3"/>
      <w:numFmt w:val="decimal"/>
      <w:lvlText w:val="%1.%2"/>
      <w:lvlJc w:val="left"/>
      <w:pPr>
        <w:ind w:left="1477" w:hanging="637"/>
        <w:jc w:val="left"/>
      </w:pPr>
      <w:rPr>
        <w:rFonts w:hint="default"/>
        <w:lang w:val="zh-CN" w:eastAsia="zh-CN" w:bidi="zh-CN"/>
      </w:rPr>
    </w:lvl>
    <w:lvl w:ilvl="2" w:tplc="6F905E02">
      <w:start w:val="13"/>
      <w:numFmt w:val="decimal"/>
      <w:lvlText w:val="%1.%2.%3"/>
      <w:lvlJc w:val="left"/>
      <w:pPr>
        <w:ind w:left="1477" w:hanging="637"/>
        <w:jc w:val="left"/>
      </w:pPr>
      <w:rPr>
        <w:rFonts w:ascii="宋体" w:eastAsia="宋体" w:hAnsi="宋体" w:cs="宋体" w:hint="default"/>
        <w:b/>
        <w:bCs/>
        <w:spacing w:val="-55"/>
        <w:w w:val="99"/>
        <w:sz w:val="19"/>
        <w:szCs w:val="19"/>
        <w:lang w:val="zh-CN" w:eastAsia="zh-CN" w:bidi="zh-CN"/>
      </w:rPr>
    </w:lvl>
    <w:lvl w:ilvl="3" w:tplc="E7D092FC">
      <w:numFmt w:val="bullet"/>
      <w:lvlText w:val="•"/>
      <w:lvlJc w:val="left"/>
      <w:pPr>
        <w:ind w:left="4229" w:hanging="637"/>
      </w:pPr>
      <w:rPr>
        <w:rFonts w:hint="default"/>
        <w:lang w:val="zh-CN" w:eastAsia="zh-CN" w:bidi="zh-CN"/>
      </w:rPr>
    </w:lvl>
    <w:lvl w:ilvl="4" w:tplc="4B205962">
      <w:numFmt w:val="bullet"/>
      <w:lvlText w:val="•"/>
      <w:lvlJc w:val="left"/>
      <w:pPr>
        <w:ind w:left="5146" w:hanging="637"/>
      </w:pPr>
      <w:rPr>
        <w:rFonts w:hint="default"/>
        <w:lang w:val="zh-CN" w:eastAsia="zh-CN" w:bidi="zh-CN"/>
      </w:rPr>
    </w:lvl>
    <w:lvl w:ilvl="5" w:tplc="5B762E40">
      <w:numFmt w:val="bullet"/>
      <w:lvlText w:val="•"/>
      <w:lvlJc w:val="left"/>
      <w:pPr>
        <w:ind w:left="6063" w:hanging="637"/>
      </w:pPr>
      <w:rPr>
        <w:rFonts w:hint="default"/>
        <w:lang w:val="zh-CN" w:eastAsia="zh-CN" w:bidi="zh-CN"/>
      </w:rPr>
    </w:lvl>
    <w:lvl w:ilvl="6" w:tplc="A622D850">
      <w:numFmt w:val="bullet"/>
      <w:lvlText w:val="•"/>
      <w:lvlJc w:val="left"/>
      <w:pPr>
        <w:ind w:left="6979" w:hanging="637"/>
      </w:pPr>
      <w:rPr>
        <w:rFonts w:hint="default"/>
        <w:lang w:val="zh-CN" w:eastAsia="zh-CN" w:bidi="zh-CN"/>
      </w:rPr>
    </w:lvl>
    <w:lvl w:ilvl="7" w:tplc="023E708A">
      <w:numFmt w:val="bullet"/>
      <w:lvlText w:val="•"/>
      <w:lvlJc w:val="left"/>
      <w:pPr>
        <w:ind w:left="7896" w:hanging="637"/>
      </w:pPr>
      <w:rPr>
        <w:rFonts w:hint="default"/>
        <w:lang w:val="zh-CN" w:eastAsia="zh-CN" w:bidi="zh-CN"/>
      </w:rPr>
    </w:lvl>
    <w:lvl w:ilvl="8" w:tplc="F0C8E030">
      <w:numFmt w:val="bullet"/>
      <w:lvlText w:val="•"/>
      <w:lvlJc w:val="left"/>
      <w:pPr>
        <w:ind w:left="8813" w:hanging="637"/>
      </w:pPr>
      <w:rPr>
        <w:rFonts w:hint="default"/>
        <w:lang w:val="zh-CN" w:eastAsia="zh-CN" w:bidi="zh-CN"/>
      </w:rPr>
    </w:lvl>
  </w:abstractNum>
  <w:abstractNum w:abstractNumId="38" w15:restartNumberingAfterBreak="0">
    <w:nsid w:val="04265ADB"/>
    <w:multiLevelType w:val="hybridMultilevel"/>
    <w:tmpl w:val="882A4F2A"/>
    <w:lvl w:ilvl="0" w:tplc="625CC07E">
      <w:start w:val="5"/>
      <w:numFmt w:val="decimal"/>
      <w:lvlText w:val="%1"/>
      <w:lvlJc w:val="left"/>
      <w:pPr>
        <w:ind w:left="418" w:hanging="531"/>
        <w:jc w:val="left"/>
      </w:pPr>
      <w:rPr>
        <w:rFonts w:hint="default"/>
        <w:lang w:val="zh-CN" w:eastAsia="zh-CN" w:bidi="zh-CN"/>
      </w:rPr>
    </w:lvl>
    <w:lvl w:ilvl="1" w:tplc="50C29268">
      <w:start w:val="5"/>
      <w:numFmt w:val="decimal"/>
      <w:lvlText w:val="%1.%2"/>
      <w:lvlJc w:val="left"/>
      <w:pPr>
        <w:ind w:left="418" w:hanging="531"/>
        <w:jc w:val="left"/>
      </w:pPr>
      <w:rPr>
        <w:rFonts w:hint="default"/>
        <w:lang w:val="zh-CN" w:eastAsia="zh-CN" w:bidi="zh-CN"/>
      </w:rPr>
    </w:lvl>
    <w:lvl w:ilvl="2" w:tplc="34BC6F92">
      <w:start w:val="1"/>
      <w:numFmt w:val="decimal"/>
      <w:lvlText w:val="%1.%2.%3"/>
      <w:lvlJc w:val="left"/>
      <w:pPr>
        <w:ind w:left="418" w:hanging="531"/>
        <w:jc w:val="left"/>
      </w:pPr>
      <w:rPr>
        <w:rFonts w:ascii="宋体" w:eastAsia="宋体" w:hAnsi="宋体" w:cs="宋体" w:hint="default"/>
        <w:b/>
        <w:bCs/>
        <w:color w:val="333333"/>
        <w:w w:val="99"/>
        <w:sz w:val="19"/>
        <w:szCs w:val="19"/>
        <w:lang w:val="zh-CN" w:eastAsia="zh-CN" w:bidi="zh-CN"/>
      </w:rPr>
    </w:lvl>
    <w:lvl w:ilvl="3" w:tplc="D3D04B0C">
      <w:numFmt w:val="bullet"/>
      <w:lvlText w:val="•"/>
      <w:lvlJc w:val="left"/>
      <w:pPr>
        <w:ind w:left="3487" w:hanging="531"/>
      </w:pPr>
      <w:rPr>
        <w:rFonts w:hint="default"/>
        <w:lang w:val="zh-CN" w:eastAsia="zh-CN" w:bidi="zh-CN"/>
      </w:rPr>
    </w:lvl>
    <w:lvl w:ilvl="4" w:tplc="92880B86">
      <w:numFmt w:val="bullet"/>
      <w:lvlText w:val="•"/>
      <w:lvlJc w:val="left"/>
      <w:pPr>
        <w:ind w:left="4510" w:hanging="531"/>
      </w:pPr>
      <w:rPr>
        <w:rFonts w:hint="default"/>
        <w:lang w:val="zh-CN" w:eastAsia="zh-CN" w:bidi="zh-CN"/>
      </w:rPr>
    </w:lvl>
    <w:lvl w:ilvl="5" w:tplc="4F805904">
      <w:numFmt w:val="bullet"/>
      <w:lvlText w:val="•"/>
      <w:lvlJc w:val="left"/>
      <w:pPr>
        <w:ind w:left="5533" w:hanging="531"/>
      </w:pPr>
      <w:rPr>
        <w:rFonts w:hint="default"/>
        <w:lang w:val="zh-CN" w:eastAsia="zh-CN" w:bidi="zh-CN"/>
      </w:rPr>
    </w:lvl>
    <w:lvl w:ilvl="6" w:tplc="6E6813CA">
      <w:numFmt w:val="bullet"/>
      <w:lvlText w:val="•"/>
      <w:lvlJc w:val="left"/>
      <w:pPr>
        <w:ind w:left="6555" w:hanging="531"/>
      </w:pPr>
      <w:rPr>
        <w:rFonts w:hint="default"/>
        <w:lang w:val="zh-CN" w:eastAsia="zh-CN" w:bidi="zh-CN"/>
      </w:rPr>
    </w:lvl>
    <w:lvl w:ilvl="7" w:tplc="AA54F152">
      <w:numFmt w:val="bullet"/>
      <w:lvlText w:val="•"/>
      <w:lvlJc w:val="left"/>
      <w:pPr>
        <w:ind w:left="7578" w:hanging="531"/>
      </w:pPr>
      <w:rPr>
        <w:rFonts w:hint="default"/>
        <w:lang w:val="zh-CN" w:eastAsia="zh-CN" w:bidi="zh-CN"/>
      </w:rPr>
    </w:lvl>
    <w:lvl w:ilvl="8" w:tplc="9DD6C418">
      <w:numFmt w:val="bullet"/>
      <w:lvlText w:val="•"/>
      <w:lvlJc w:val="left"/>
      <w:pPr>
        <w:ind w:left="8601" w:hanging="531"/>
      </w:pPr>
      <w:rPr>
        <w:rFonts w:hint="default"/>
        <w:lang w:val="zh-CN" w:eastAsia="zh-CN" w:bidi="zh-CN"/>
      </w:rPr>
    </w:lvl>
  </w:abstractNum>
  <w:abstractNum w:abstractNumId="39" w15:restartNumberingAfterBreak="0">
    <w:nsid w:val="042D563B"/>
    <w:multiLevelType w:val="hybridMultilevel"/>
    <w:tmpl w:val="C2D02380"/>
    <w:lvl w:ilvl="0" w:tplc="2F48316C">
      <w:start w:val="6"/>
      <w:numFmt w:val="decimal"/>
      <w:lvlText w:val="%1"/>
      <w:lvlJc w:val="left"/>
      <w:pPr>
        <w:ind w:left="1369" w:hanging="529"/>
        <w:jc w:val="left"/>
      </w:pPr>
      <w:rPr>
        <w:rFonts w:hint="default"/>
        <w:lang w:val="zh-CN" w:eastAsia="zh-CN" w:bidi="zh-CN"/>
      </w:rPr>
    </w:lvl>
    <w:lvl w:ilvl="1" w:tplc="5AC49E68">
      <w:start w:val="6"/>
      <w:numFmt w:val="decimal"/>
      <w:lvlText w:val="%1.%2"/>
      <w:lvlJc w:val="left"/>
      <w:pPr>
        <w:ind w:left="1369" w:hanging="529"/>
        <w:jc w:val="left"/>
      </w:pPr>
      <w:rPr>
        <w:rFonts w:hint="default"/>
        <w:lang w:val="zh-CN" w:eastAsia="zh-CN" w:bidi="zh-CN"/>
      </w:rPr>
    </w:lvl>
    <w:lvl w:ilvl="2" w:tplc="6BA03124">
      <w:start w:val="6"/>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ACB8B9F4">
      <w:start w:val="1"/>
      <w:numFmt w:val="decimal"/>
      <w:lvlText w:val="%1.%2.%3.%4"/>
      <w:lvlJc w:val="left"/>
      <w:pPr>
        <w:ind w:left="418" w:hanging="738"/>
        <w:jc w:val="left"/>
      </w:pPr>
      <w:rPr>
        <w:rFonts w:ascii="宋体" w:eastAsia="宋体" w:hAnsi="宋体" w:cs="宋体" w:hint="default"/>
        <w:spacing w:val="-3"/>
        <w:w w:val="100"/>
        <w:sz w:val="19"/>
        <w:szCs w:val="19"/>
        <w:lang w:val="zh-CN" w:eastAsia="zh-CN" w:bidi="zh-CN"/>
      </w:rPr>
    </w:lvl>
    <w:lvl w:ilvl="4" w:tplc="6AE2C698">
      <w:numFmt w:val="bullet"/>
      <w:lvlText w:val="•"/>
      <w:lvlJc w:val="left"/>
      <w:pPr>
        <w:ind w:left="4455" w:hanging="738"/>
      </w:pPr>
      <w:rPr>
        <w:rFonts w:hint="default"/>
        <w:lang w:val="zh-CN" w:eastAsia="zh-CN" w:bidi="zh-CN"/>
      </w:rPr>
    </w:lvl>
    <w:lvl w:ilvl="5" w:tplc="2F96FE0E">
      <w:numFmt w:val="bullet"/>
      <w:lvlText w:val="•"/>
      <w:lvlJc w:val="left"/>
      <w:pPr>
        <w:ind w:left="5487" w:hanging="738"/>
      </w:pPr>
      <w:rPr>
        <w:rFonts w:hint="default"/>
        <w:lang w:val="zh-CN" w:eastAsia="zh-CN" w:bidi="zh-CN"/>
      </w:rPr>
    </w:lvl>
    <w:lvl w:ilvl="6" w:tplc="15BC1E1C">
      <w:numFmt w:val="bullet"/>
      <w:lvlText w:val="•"/>
      <w:lvlJc w:val="left"/>
      <w:pPr>
        <w:ind w:left="6519" w:hanging="738"/>
      </w:pPr>
      <w:rPr>
        <w:rFonts w:hint="default"/>
        <w:lang w:val="zh-CN" w:eastAsia="zh-CN" w:bidi="zh-CN"/>
      </w:rPr>
    </w:lvl>
    <w:lvl w:ilvl="7" w:tplc="69E4C456">
      <w:numFmt w:val="bullet"/>
      <w:lvlText w:val="•"/>
      <w:lvlJc w:val="left"/>
      <w:pPr>
        <w:ind w:left="7550" w:hanging="738"/>
      </w:pPr>
      <w:rPr>
        <w:rFonts w:hint="default"/>
        <w:lang w:val="zh-CN" w:eastAsia="zh-CN" w:bidi="zh-CN"/>
      </w:rPr>
    </w:lvl>
    <w:lvl w:ilvl="8" w:tplc="BBD80058">
      <w:numFmt w:val="bullet"/>
      <w:lvlText w:val="•"/>
      <w:lvlJc w:val="left"/>
      <w:pPr>
        <w:ind w:left="8582" w:hanging="738"/>
      </w:pPr>
      <w:rPr>
        <w:rFonts w:hint="default"/>
        <w:lang w:val="zh-CN" w:eastAsia="zh-CN" w:bidi="zh-CN"/>
      </w:rPr>
    </w:lvl>
  </w:abstractNum>
  <w:abstractNum w:abstractNumId="40" w15:restartNumberingAfterBreak="0">
    <w:nsid w:val="04375D55"/>
    <w:multiLevelType w:val="hybridMultilevel"/>
    <w:tmpl w:val="ADCA9FC6"/>
    <w:lvl w:ilvl="0" w:tplc="E1EEE684">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DF88FB9A">
      <w:numFmt w:val="bullet"/>
      <w:lvlText w:val="•"/>
      <w:lvlJc w:val="left"/>
      <w:pPr>
        <w:ind w:left="1442" w:hanging="529"/>
      </w:pPr>
      <w:rPr>
        <w:rFonts w:hint="default"/>
        <w:lang w:val="zh-CN" w:eastAsia="zh-CN" w:bidi="zh-CN"/>
      </w:rPr>
    </w:lvl>
    <w:lvl w:ilvl="2" w:tplc="D2B88058">
      <w:numFmt w:val="bullet"/>
      <w:lvlText w:val="•"/>
      <w:lvlJc w:val="left"/>
      <w:pPr>
        <w:ind w:left="2465" w:hanging="529"/>
      </w:pPr>
      <w:rPr>
        <w:rFonts w:hint="default"/>
        <w:lang w:val="zh-CN" w:eastAsia="zh-CN" w:bidi="zh-CN"/>
      </w:rPr>
    </w:lvl>
    <w:lvl w:ilvl="3" w:tplc="406E3C4C">
      <w:numFmt w:val="bullet"/>
      <w:lvlText w:val="•"/>
      <w:lvlJc w:val="left"/>
      <w:pPr>
        <w:ind w:left="3487" w:hanging="529"/>
      </w:pPr>
      <w:rPr>
        <w:rFonts w:hint="default"/>
        <w:lang w:val="zh-CN" w:eastAsia="zh-CN" w:bidi="zh-CN"/>
      </w:rPr>
    </w:lvl>
    <w:lvl w:ilvl="4" w:tplc="C23ACA96">
      <w:numFmt w:val="bullet"/>
      <w:lvlText w:val="•"/>
      <w:lvlJc w:val="left"/>
      <w:pPr>
        <w:ind w:left="4510" w:hanging="529"/>
      </w:pPr>
      <w:rPr>
        <w:rFonts w:hint="default"/>
        <w:lang w:val="zh-CN" w:eastAsia="zh-CN" w:bidi="zh-CN"/>
      </w:rPr>
    </w:lvl>
    <w:lvl w:ilvl="5" w:tplc="56186BEA">
      <w:numFmt w:val="bullet"/>
      <w:lvlText w:val="•"/>
      <w:lvlJc w:val="left"/>
      <w:pPr>
        <w:ind w:left="5533" w:hanging="529"/>
      </w:pPr>
      <w:rPr>
        <w:rFonts w:hint="default"/>
        <w:lang w:val="zh-CN" w:eastAsia="zh-CN" w:bidi="zh-CN"/>
      </w:rPr>
    </w:lvl>
    <w:lvl w:ilvl="6" w:tplc="4C664FD2">
      <w:numFmt w:val="bullet"/>
      <w:lvlText w:val="•"/>
      <w:lvlJc w:val="left"/>
      <w:pPr>
        <w:ind w:left="6555" w:hanging="529"/>
      </w:pPr>
      <w:rPr>
        <w:rFonts w:hint="default"/>
        <w:lang w:val="zh-CN" w:eastAsia="zh-CN" w:bidi="zh-CN"/>
      </w:rPr>
    </w:lvl>
    <w:lvl w:ilvl="7" w:tplc="9718F440">
      <w:numFmt w:val="bullet"/>
      <w:lvlText w:val="•"/>
      <w:lvlJc w:val="left"/>
      <w:pPr>
        <w:ind w:left="7578" w:hanging="529"/>
      </w:pPr>
      <w:rPr>
        <w:rFonts w:hint="default"/>
        <w:lang w:val="zh-CN" w:eastAsia="zh-CN" w:bidi="zh-CN"/>
      </w:rPr>
    </w:lvl>
    <w:lvl w:ilvl="8" w:tplc="E9EA6656">
      <w:numFmt w:val="bullet"/>
      <w:lvlText w:val="•"/>
      <w:lvlJc w:val="left"/>
      <w:pPr>
        <w:ind w:left="8601" w:hanging="529"/>
      </w:pPr>
      <w:rPr>
        <w:rFonts w:hint="default"/>
        <w:lang w:val="zh-CN" w:eastAsia="zh-CN" w:bidi="zh-CN"/>
      </w:rPr>
    </w:lvl>
  </w:abstractNum>
  <w:abstractNum w:abstractNumId="41" w15:restartNumberingAfterBreak="0">
    <w:nsid w:val="043F0E85"/>
    <w:multiLevelType w:val="hybridMultilevel"/>
    <w:tmpl w:val="4E767402"/>
    <w:lvl w:ilvl="0" w:tplc="D8C6C350">
      <w:start w:val="2"/>
      <w:numFmt w:val="decimal"/>
      <w:lvlText w:val="%1."/>
      <w:lvlJc w:val="left"/>
      <w:pPr>
        <w:ind w:left="1050" w:hanging="213"/>
        <w:jc w:val="left"/>
      </w:pPr>
      <w:rPr>
        <w:rFonts w:ascii="宋体" w:eastAsia="宋体" w:hAnsi="宋体" w:cs="宋体" w:hint="default"/>
        <w:color w:val="333333"/>
        <w:spacing w:val="-52"/>
        <w:w w:val="100"/>
        <w:sz w:val="19"/>
        <w:szCs w:val="19"/>
        <w:lang w:val="zh-CN" w:eastAsia="zh-CN" w:bidi="zh-CN"/>
      </w:rPr>
    </w:lvl>
    <w:lvl w:ilvl="1" w:tplc="79E48C90">
      <w:numFmt w:val="bullet"/>
      <w:lvlText w:val="•"/>
      <w:lvlJc w:val="left"/>
      <w:pPr>
        <w:ind w:left="2018" w:hanging="213"/>
      </w:pPr>
      <w:rPr>
        <w:rFonts w:hint="default"/>
        <w:lang w:val="zh-CN" w:eastAsia="zh-CN" w:bidi="zh-CN"/>
      </w:rPr>
    </w:lvl>
    <w:lvl w:ilvl="2" w:tplc="ED5A5290">
      <w:numFmt w:val="bullet"/>
      <w:lvlText w:val="•"/>
      <w:lvlJc w:val="left"/>
      <w:pPr>
        <w:ind w:left="2977" w:hanging="213"/>
      </w:pPr>
      <w:rPr>
        <w:rFonts w:hint="default"/>
        <w:lang w:val="zh-CN" w:eastAsia="zh-CN" w:bidi="zh-CN"/>
      </w:rPr>
    </w:lvl>
    <w:lvl w:ilvl="3" w:tplc="F7A884A0">
      <w:numFmt w:val="bullet"/>
      <w:lvlText w:val="•"/>
      <w:lvlJc w:val="left"/>
      <w:pPr>
        <w:ind w:left="3935" w:hanging="213"/>
      </w:pPr>
      <w:rPr>
        <w:rFonts w:hint="default"/>
        <w:lang w:val="zh-CN" w:eastAsia="zh-CN" w:bidi="zh-CN"/>
      </w:rPr>
    </w:lvl>
    <w:lvl w:ilvl="4" w:tplc="966E7042">
      <w:numFmt w:val="bullet"/>
      <w:lvlText w:val="•"/>
      <w:lvlJc w:val="left"/>
      <w:pPr>
        <w:ind w:left="4894" w:hanging="213"/>
      </w:pPr>
      <w:rPr>
        <w:rFonts w:hint="default"/>
        <w:lang w:val="zh-CN" w:eastAsia="zh-CN" w:bidi="zh-CN"/>
      </w:rPr>
    </w:lvl>
    <w:lvl w:ilvl="5" w:tplc="F5BCE9D0">
      <w:numFmt w:val="bullet"/>
      <w:lvlText w:val="•"/>
      <w:lvlJc w:val="left"/>
      <w:pPr>
        <w:ind w:left="5853" w:hanging="213"/>
      </w:pPr>
      <w:rPr>
        <w:rFonts w:hint="default"/>
        <w:lang w:val="zh-CN" w:eastAsia="zh-CN" w:bidi="zh-CN"/>
      </w:rPr>
    </w:lvl>
    <w:lvl w:ilvl="6" w:tplc="77FEB63A">
      <w:numFmt w:val="bullet"/>
      <w:lvlText w:val="•"/>
      <w:lvlJc w:val="left"/>
      <w:pPr>
        <w:ind w:left="6811" w:hanging="213"/>
      </w:pPr>
      <w:rPr>
        <w:rFonts w:hint="default"/>
        <w:lang w:val="zh-CN" w:eastAsia="zh-CN" w:bidi="zh-CN"/>
      </w:rPr>
    </w:lvl>
    <w:lvl w:ilvl="7" w:tplc="82AEF118">
      <w:numFmt w:val="bullet"/>
      <w:lvlText w:val="•"/>
      <w:lvlJc w:val="left"/>
      <w:pPr>
        <w:ind w:left="7770" w:hanging="213"/>
      </w:pPr>
      <w:rPr>
        <w:rFonts w:hint="default"/>
        <w:lang w:val="zh-CN" w:eastAsia="zh-CN" w:bidi="zh-CN"/>
      </w:rPr>
    </w:lvl>
    <w:lvl w:ilvl="8" w:tplc="DAA82104">
      <w:numFmt w:val="bullet"/>
      <w:lvlText w:val="•"/>
      <w:lvlJc w:val="left"/>
      <w:pPr>
        <w:ind w:left="8729" w:hanging="213"/>
      </w:pPr>
      <w:rPr>
        <w:rFonts w:hint="default"/>
        <w:lang w:val="zh-CN" w:eastAsia="zh-CN" w:bidi="zh-CN"/>
      </w:rPr>
    </w:lvl>
  </w:abstractNum>
  <w:abstractNum w:abstractNumId="42" w15:restartNumberingAfterBreak="0">
    <w:nsid w:val="046A7E8C"/>
    <w:multiLevelType w:val="hybridMultilevel"/>
    <w:tmpl w:val="4EC8C0C8"/>
    <w:lvl w:ilvl="0" w:tplc="39FC02EC">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86141FAE">
      <w:numFmt w:val="bullet"/>
      <w:lvlText w:val="•"/>
      <w:lvlJc w:val="left"/>
      <w:pPr>
        <w:ind w:left="2288" w:hanging="529"/>
      </w:pPr>
      <w:rPr>
        <w:rFonts w:hint="default"/>
        <w:lang w:val="zh-CN" w:eastAsia="zh-CN" w:bidi="zh-CN"/>
      </w:rPr>
    </w:lvl>
    <w:lvl w:ilvl="2" w:tplc="9AF2C3D2">
      <w:numFmt w:val="bullet"/>
      <w:lvlText w:val="•"/>
      <w:lvlJc w:val="left"/>
      <w:pPr>
        <w:ind w:left="3217" w:hanging="529"/>
      </w:pPr>
      <w:rPr>
        <w:rFonts w:hint="default"/>
        <w:lang w:val="zh-CN" w:eastAsia="zh-CN" w:bidi="zh-CN"/>
      </w:rPr>
    </w:lvl>
    <w:lvl w:ilvl="3" w:tplc="C6788462">
      <w:numFmt w:val="bullet"/>
      <w:lvlText w:val="•"/>
      <w:lvlJc w:val="left"/>
      <w:pPr>
        <w:ind w:left="4145" w:hanging="529"/>
      </w:pPr>
      <w:rPr>
        <w:rFonts w:hint="default"/>
        <w:lang w:val="zh-CN" w:eastAsia="zh-CN" w:bidi="zh-CN"/>
      </w:rPr>
    </w:lvl>
    <w:lvl w:ilvl="4" w:tplc="046CF7F4">
      <w:numFmt w:val="bullet"/>
      <w:lvlText w:val="•"/>
      <w:lvlJc w:val="left"/>
      <w:pPr>
        <w:ind w:left="5074" w:hanging="529"/>
      </w:pPr>
      <w:rPr>
        <w:rFonts w:hint="default"/>
        <w:lang w:val="zh-CN" w:eastAsia="zh-CN" w:bidi="zh-CN"/>
      </w:rPr>
    </w:lvl>
    <w:lvl w:ilvl="5" w:tplc="02C0E87C">
      <w:numFmt w:val="bullet"/>
      <w:lvlText w:val="•"/>
      <w:lvlJc w:val="left"/>
      <w:pPr>
        <w:ind w:left="6003" w:hanging="529"/>
      </w:pPr>
      <w:rPr>
        <w:rFonts w:hint="default"/>
        <w:lang w:val="zh-CN" w:eastAsia="zh-CN" w:bidi="zh-CN"/>
      </w:rPr>
    </w:lvl>
    <w:lvl w:ilvl="6" w:tplc="829C3E76">
      <w:numFmt w:val="bullet"/>
      <w:lvlText w:val="•"/>
      <w:lvlJc w:val="left"/>
      <w:pPr>
        <w:ind w:left="6931" w:hanging="529"/>
      </w:pPr>
      <w:rPr>
        <w:rFonts w:hint="default"/>
        <w:lang w:val="zh-CN" w:eastAsia="zh-CN" w:bidi="zh-CN"/>
      </w:rPr>
    </w:lvl>
    <w:lvl w:ilvl="7" w:tplc="946A12CA">
      <w:numFmt w:val="bullet"/>
      <w:lvlText w:val="•"/>
      <w:lvlJc w:val="left"/>
      <w:pPr>
        <w:ind w:left="7860" w:hanging="529"/>
      </w:pPr>
      <w:rPr>
        <w:rFonts w:hint="default"/>
        <w:lang w:val="zh-CN" w:eastAsia="zh-CN" w:bidi="zh-CN"/>
      </w:rPr>
    </w:lvl>
    <w:lvl w:ilvl="8" w:tplc="34947036">
      <w:numFmt w:val="bullet"/>
      <w:lvlText w:val="•"/>
      <w:lvlJc w:val="left"/>
      <w:pPr>
        <w:ind w:left="8789" w:hanging="529"/>
      </w:pPr>
      <w:rPr>
        <w:rFonts w:hint="default"/>
        <w:lang w:val="zh-CN" w:eastAsia="zh-CN" w:bidi="zh-CN"/>
      </w:rPr>
    </w:lvl>
  </w:abstractNum>
  <w:abstractNum w:abstractNumId="43" w15:restartNumberingAfterBreak="0">
    <w:nsid w:val="046B2EF7"/>
    <w:multiLevelType w:val="hybridMultilevel"/>
    <w:tmpl w:val="DB98D66C"/>
    <w:lvl w:ilvl="0" w:tplc="6A0E10F8">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5426CDF6">
      <w:numFmt w:val="bullet"/>
      <w:lvlText w:val="•"/>
      <w:lvlJc w:val="left"/>
      <w:pPr>
        <w:ind w:left="1442" w:hanging="529"/>
      </w:pPr>
      <w:rPr>
        <w:rFonts w:hint="default"/>
        <w:lang w:val="zh-CN" w:eastAsia="zh-CN" w:bidi="zh-CN"/>
      </w:rPr>
    </w:lvl>
    <w:lvl w:ilvl="2" w:tplc="FFA86A32">
      <w:numFmt w:val="bullet"/>
      <w:lvlText w:val="•"/>
      <w:lvlJc w:val="left"/>
      <w:pPr>
        <w:ind w:left="2465" w:hanging="529"/>
      </w:pPr>
      <w:rPr>
        <w:rFonts w:hint="default"/>
        <w:lang w:val="zh-CN" w:eastAsia="zh-CN" w:bidi="zh-CN"/>
      </w:rPr>
    </w:lvl>
    <w:lvl w:ilvl="3" w:tplc="8F66C378">
      <w:numFmt w:val="bullet"/>
      <w:lvlText w:val="•"/>
      <w:lvlJc w:val="left"/>
      <w:pPr>
        <w:ind w:left="3487" w:hanging="529"/>
      </w:pPr>
      <w:rPr>
        <w:rFonts w:hint="default"/>
        <w:lang w:val="zh-CN" w:eastAsia="zh-CN" w:bidi="zh-CN"/>
      </w:rPr>
    </w:lvl>
    <w:lvl w:ilvl="4" w:tplc="74544966">
      <w:numFmt w:val="bullet"/>
      <w:lvlText w:val="•"/>
      <w:lvlJc w:val="left"/>
      <w:pPr>
        <w:ind w:left="4510" w:hanging="529"/>
      </w:pPr>
      <w:rPr>
        <w:rFonts w:hint="default"/>
        <w:lang w:val="zh-CN" w:eastAsia="zh-CN" w:bidi="zh-CN"/>
      </w:rPr>
    </w:lvl>
    <w:lvl w:ilvl="5" w:tplc="43B02E16">
      <w:numFmt w:val="bullet"/>
      <w:lvlText w:val="•"/>
      <w:lvlJc w:val="left"/>
      <w:pPr>
        <w:ind w:left="5533" w:hanging="529"/>
      </w:pPr>
      <w:rPr>
        <w:rFonts w:hint="default"/>
        <w:lang w:val="zh-CN" w:eastAsia="zh-CN" w:bidi="zh-CN"/>
      </w:rPr>
    </w:lvl>
    <w:lvl w:ilvl="6" w:tplc="53600BB4">
      <w:numFmt w:val="bullet"/>
      <w:lvlText w:val="•"/>
      <w:lvlJc w:val="left"/>
      <w:pPr>
        <w:ind w:left="6555" w:hanging="529"/>
      </w:pPr>
      <w:rPr>
        <w:rFonts w:hint="default"/>
        <w:lang w:val="zh-CN" w:eastAsia="zh-CN" w:bidi="zh-CN"/>
      </w:rPr>
    </w:lvl>
    <w:lvl w:ilvl="7" w:tplc="53987738">
      <w:numFmt w:val="bullet"/>
      <w:lvlText w:val="•"/>
      <w:lvlJc w:val="left"/>
      <w:pPr>
        <w:ind w:left="7578" w:hanging="529"/>
      </w:pPr>
      <w:rPr>
        <w:rFonts w:hint="default"/>
        <w:lang w:val="zh-CN" w:eastAsia="zh-CN" w:bidi="zh-CN"/>
      </w:rPr>
    </w:lvl>
    <w:lvl w:ilvl="8" w:tplc="FB824788">
      <w:numFmt w:val="bullet"/>
      <w:lvlText w:val="•"/>
      <w:lvlJc w:val="left"/>
      <w:pPr>
        <w:ind w:left="8601" w:hanging="529"/>
      </w:pPr>
      <w:rPr>
        <w:rFonts w:hint="default"/>
        <w:lang w:val="zh-CN" w:eastAsia="zh-CN" w:bidi="zh-CN"/>
      </w:rPr>
    </w:lvl>
  </w:abstractNum>
  <w:abstractNum w:abstractNumId="44" w15:restartNumberingAfterBreak="0">
    <w:nsid w:val="047F393C"/>
    <w:multiLevelType w:val="hybridMultilevel"/>
    <w:tmpl w:val="CB2E57F6"/>
    <w:lvl w:ilvl="0" w:tplc="08A62996">
      <w:start w:val="4"/>
      <w:numFmt w:val="decimal"/>
      <w:lvlText w:val="%1"/>
      <w:lvlJc w:val="left"/>
      <w:pPr>
        <w:ind w:left="1158" w:hanging="318"/>
        <w:jc w:val="left"/>
      </w:pPr>
      <w:rPr>
        <w:rFonts w:hint="default"/>
        <w:lang w:val="zh-CN" w:eastAsia="zh-CN" w:bidi="zh-CN"/>
      </w:rPr>
    </w:lvl>
    <w:lvl w:ilvl="1" w:tplc="A70CFBA2">
      <w:start w:val="3"/>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1D8CFCF4">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BCEC57D8">
      <w:numFmt w:val="bullet"/>
      <w:lvlText w:val="•"/>
      <w:lvlJc w:val="left"/>
      <w:pPr>
        <w:ind w:left="2520" w:hanging="529"/>
      </w:pPr>
      <w:rPr>
        <w:rFonts w:hint="default"/>
        <w:lang w:val="zh-CN" w:eastAsia="zh-CN" w:bidi="zh-CN"/>
      </w:rPr>
    </w:lvl>
    <w:lvl w:ilvl="4" w:tplc="92369B36">
      <w:numFmt w:val="bullet"/>
      <w:lvlText w:val="•"/>
      <w:lvlJc w:val="left"/>
      <w:pPr>
        <w:ind w:left="3681" w:hanging="529"/>
      </w:pPr>
      <w:rPr>
        <w:rFonts w:hint="default"/>
        <w:lang w:val="zh-CN" w:eastAsia="zh-CN" w:bidi="zh-CN"/>
      </w:rPr>
    </w:lvl>
    <w:lvl w:ilvl="5" w:tplc="DA4AFA0C">
      <w:numFmt w:val="bullet"/>
      <w:lvlText w:val="•"/>
      <w:lvlJc w:val="left"/>
      <w:pPr>
        <w:ind w:left="4842" w:hanging="529"/>
      </w:pPr>
      <w:rPr>
        <w:rFonts w:hint="default"/>
        <w:lang w:val="zh-CN" w:eastAsia="zh-CN" w:bidi="zh-CN"/>
      </w:rPr>
    </w:lvl>
    <w:lvl w:ilvl="6" w:tplc="2CB6B1BA">
      <w:numFmt w:val="bullet"/>
      <w:lvlText w:val="•"/>
      <w:lvlJc w:val="left"/>
      <w:pPr>
        <w:ind w:left="6003" w:hanging="529"/>
      </w:pPr>
      <w:rPr>
        <w:rFonts w:hint="default"/>
        <w:lang w:val="zh-CN" w:eastAsia="zh-CN" w:bidi="zh-CN"/>
      </w:rPr>
    </w:lvl>
    <w:lvl w:ilvl="7" w:tplc="AD923360">
      <w:numFmt w:val="bullet"/>
      <w:lvlText w:val="•"/>
      <w:lvlJc w:val="left"/>
      <w:pPr>
        <w:ind w:left="7164" w:hanging="529"/>
      </w:pPr>
      <w:rPr>
        <w:rFonts w:hint="default"/>
        <w:lang w:val="zh-CN" w:eastAsia="zh-CN" w:bidi="zh-CN"/>
      </w:rPr>
    </w:lvl>
    <w:lvl w:ilvl="8" w:tplc="4EA43E2A">
      <w:numFmt w:val="bullet"/>
      <w:lvlText w:val="•"/>
      <w:lvlJc w:val="left"/>
      <w:pPr>
        <w:ind w:left="8324" w:hanging="529"/>
      </w:pPr>
      <w:rPr>
        <w:rFonts w:hint="default"/>
        <w:lang w:val="zh-CN" w:eastAsia="zh-CN" w:bidi="zh-CN"/>
      </w:rPr>
    </w:lvl>
  </w:abstractNum>
  <w:abstractNum w:abstractNumId="45" w15:restartNumberingAfterBreak="0">
    <w:nsid w:val="04914C11"/>
    <w:multiLevelType w:val="hybridMultilevel"/>
    <w:tmpl w:val="DB66743E"/>
    <w:lvl w:ilvl="0" w:tplc="D9E23C62">
      <w:start w:val="1"/>
      <w:numFmt w:val="lowerLetter"/>
      <w:lvlText w:val="%1)"/>
      <w:lvlJc w:val="left"/>
      <w:pPr>
        <w:ind w:left="418" w:hanging="213"/>
        <w:jc w:val="left"/>
      </w:pPr>
      <w:rPr>
        <w:rFonts w:ascii="宋体" w:eastAsia="宋体" w:hAnsi="宋体" w:cs="宋体" w:hint="default"/>
        <w:spacing w:val="-3"/>
        <w:w w:val="100"/>
        <w:sz w:val="19"/>
        <w:szCs w:val="19"/>
        <w:lang w:val="zh-CN" w:eastAsia="zh-CN" w:bidi="zh-CN"/>
      </w:rPr>
    </w:lvl>
    <w:lvl w:ilvl="1" w:tplc="CEF8B554">
      <w:numFmt w:val="bullet"/>
      <w:lvlText w:val="•"/>
      <w:lvlJc w:val="left"/>
      <w:pPr>
        <w:ind w:left="1442" w:hanging="213"/>
      </w:pPr>
      <w:rPr>
        <w:rFonts w:hint="default"/>
        <w:lang w:val="zh-CN" w:eastAsia="zh-CN" w:bidi="zh-CN"/>
      </w:rPr>
    </w:lvl>
    <w:lvl w:ilvl="2" w:tplc="0E12365E">
      <w:numFmt w:val="bullet"/>
      <w:lvlText w:val="•"/>
      <w:lvlJc w:val="left"/>
      <w:pPr>
        <w:ind w:left="2465" w:hanging="213"/>
      </w:pPr>
      <w:rPr>
        <w:rFonts w:hint="default"/>
        <w:lang w:val="zh-CN" w:eastAsia="zh-CN" w:bidi="zh-CN"/>
      </w:rPr>
    </w:lvl>
    <w:lvl w:ilvl="3" w:tplc="272E7346">
      <w:numFmt w:val="bullet"/>
      <w:lvlText w:val="•"/>
      <w:lvlJc w:val="left"/>
      <w:pPr>
        <w:ind w:left="3487" w:hanging="213"/>
      </w:pPr>
      <w:rPr>
        <w:rFonts w:hint="default"/>
        <w:lang w:val="zh-CN" w:eastAsia="zh-CN" w:bidi="zh-CN"/>
      </w:rPr>
    </w:lvl>
    <w:lvl w:ilvl="4" w:tplc="A4EEAB96">
      <w:numFmt w:val="bullet"/>
      <w:lvlText w:val="•"/>
      <w:lvlJc w:val="left"/>
      <w:pPr>
        <w:ind w:left="4510" w:hanging="213"/>
      </w:pPr>
      <w:rPr>
        <w:rFonts w:hint="default"/>
        <w:lang w:val="zh-CN" w:eastAsia="zh-CN" w:bidi="zh-CN"/>
      </w:rPr>
    </w:lvl>
    <w:lvl w:ilvl="5" w:tplc="27B24CBE">
      <w:numFmt w:val="bullet"/>
      <w:lvlText w:val="•"/>
      <w:lvlJc w:val="left"/>
      <w:pPr>
        <w:ind w:left="5533" w:hanging="213"/>
      </w:pPr>
      <w:rPr>
        <w:rFonts w:hint="default"/>
        <w:lang w:val="zh-CN" w:eastAsia="zh-CN" w:bidi="zh-CN"/>
      </w:rPr>
    </w:lvl>
    <w:lvl w:ilvl="6" w:tplc="7CC07132">
      <w:numFmt w:val="bullet"/>
      <w:lvlText w:val="•"/>
      <w:lvlJc w:val="left"/>
      <w:pPr>
        <w:ind w:left="6555" w:hanging="213"/>
      </w:pPr>
      <w:rPr>
        <w:rFonts w:hint="default"/>
        <w:lang w:val="zh-CN" w:eastAsia="zh-CN" w:bidi="zh-CN"/>
      </w:rPr>
    </w:lvl>
    <w:lvl w:ilvl="7" w:tplc="0BBED3D6">
      <w:numFmt w:val="bullet"/>
      <w:lvlText w:val="•"/>
      <w:lvlJc w:val="left"/>
      <w:pPr>
        <w:ind w:left="7578" w:hanging="213"/>
      </w:pPr>
      <w:rPr>
        <w:rFonts w:hint="default"/>
        <w:lang w:val="zh-CN" w:eastAsia="zh-CN" w:bidi="zh-CN"/>
      </w:rPr>
    </w:lvl>
    <w:lvl w:ilvl="8" w:tplc="30242910">
      <w:numFmt w:val="bullet"/>
      <w:lvlText w:val="•"/>
      <w:lvlJc w:val="left"/>
      <w:pPr>
        <w:ind w:left="8601" w:hanging="213"/>
      </w:pPr>
      <w:rPr>
        <w:rFonts w:hint="default"/>
        <w:lang w:val="zh-CN" w:eastAsia="zh-CN" w:bidi="zh-CN"/>
      </w:rPr>
    </w:lvl>
  </w:abstractNum>
  <w:abstractNum w:abstractNumId="46" w15:restartNumberingAfterBreak="0">
    <w:nsid w:val="04AF6C23"/>
    <w:multiLevelType w:val="hybridMultilevel"/>
    <w:tmpl w:val="B8D8B26A"/>
    <w:lvl w:ilvl="0" w:tplc="2B3E61AC">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5FB2ADF6">
      <w:numFmt w:val="bullet"/>
      <w:lvlText w:val="•"/>
      <w:lvlJc w:val="left"/>
      <w:pPr>
        <w:ind w:left="2288" w:hanging="529"/>
      </w:pPr>
      <w:rPr>
        <w:rFonts w:hint="default"/>
        <w:lang w:val="zh-CN" w:eastAsia="zh-CN" w:bidi="zh-CN"/>
      </w:rPr>
    </w:lvl>
    <w:lvl w:ilvl="2" w:tplc="360249EE">
      <w:numFmt w:val="bullet"/>
      <w:lvlText w:val="•"/>
      <w:lvlJc w:val="left"/>
      <w:pPr>
        <w:ind w:left="3217" w:hanging="529"/>
      </w:pPr>
      <w:rPr>
        <w:rFonts w:hint="default"/>
        <w:lang w:val="zh-CN" w:eastAsia="zh-CN" w:bidi="zh-CN"/>
      </w:rPr>
    </w:lvl>
    <w:lvl w:ilvl="3" w:tplc="B3C080DC">
      <w:numFmt w:val="bullet"/>
      <w:lvlText w:val="•"/>
      <w:lvlJc w:val="left"/>
      <w:pPr>
        <w:ind w:left="4145" w:hanging="529"/>
      </w:pPr>
      <w:rPr>
        <w:rFonts w:hint="default"/>
        <w:lang w:val="zh-CN" w:eastAsia="zh-CN" w:bidi="zh-CN"/>
      </w:rPr>
    </w:lvl>
    <w:lvl w:ilvl="4" w:tplc="F274F4EC">
      <w:numFmt w:val="bullet"/>
      <w:lvlText w:val="•"/>
      <w:lvlJc w:val="left"/>
      <w:pPr>
        <w:ind w:left="5074" w:hanging="529"/>
      </w:pPr>
      <w:rPr>
        <w:rFonts w:hint="default"/>
        <w:lang w:val="zh-CN" w:eastAsia="zh-CN" w:bidi="zh-CN"/>
      </w:rPr>
    </w:lvl>
    <w:lvl w:ilvl="5" w:tplc="B790C082">
      <w:numFmt w:val="bullet"/>
      <w:lvlText w:val="•"/>
      <w:lvlJc w:val="left"/>
      <w:pPr>
        <w:ind w:left="6003" w:hanging="529"/>
      </w:pPr>
      <w:rPr>
        <w:rFonts w:hint="default"/>
        <w:lang w:val="zh-CN" w:eastAsia="zh-CN" w:bidi="zh-CN"/>
      </w:rPr>
    </w:lvl>
    <w:lvl w:ilvl="6" w:tplc="AE70914C">
      <w:numFmt w:val="bullet"/>
      <w:lvlText w:val="•"/>
      <w:lvlJc w:val="left"/>
      <w:pPr>
        <w:ind w:left="6931" w:hanging="529"/>
      </w:pPr>
      <w:rPr>
        <w:rFonts w:hint="default"/>
        <w:lang w:val="zh-CN" w:eastAsia="zh-CN" w:bidi="zh-CN"/>
      </w:rPr>
    </w:lvl>
    <w:lvl w:ilvl="7" w:tplc="A092B068">
      <w:numFmt w:val="bullet"/>
      <w:lvlText w:val="•"/>
      <w:lvlJc w:val="left"/>
      <w:pPr>
        <w:ind w:left="7860" w:hanging="529"/>
      </w:pPr>
      <w:rPr>
        <w:rFonts w:hint="default"/>
        <w:lang w:val="zh-CN" w:eastAsia="zh-CN" w:bidi="zh-CN"/>
      </w:rPr>
    </w:lvl>
    <w:lvl w:ilvl="8" w:tplc="3786A078">
      <w:numFmt w:val="bullet"/>
      <w:lvlText w:val="•"/>
      <w:lvlJc w:val="left"/>
      <w:pPr>
        <w:ind w:left="8789" w:hanging="529"/>
      </w:pPr>
      <w:rPr>
        <w:rFonts w:hint="default"/>
        <w:lang w:val="zh-CN" w:eastAsia="zh-CN" w:bidi="zh-CN"/>
      </w:rPr>
    </w:lvl>
  </w:abstractNum>
  <w:abstractNum w:abstractNumId="47" w15:restartNumberingAfterBreak="0">
    <w:nsid w:val="04C52E43"/>
    <w:multiLevelType w:val="hybridMultilevel"/>
    <w:tmpl w:val="DBC48D86"/>
    <w:lvl w:ilvl="0" w:tplc="BE02DD16">
      <w:start w:val="9"/>
      <w:numFmt w:val="decimal"/>
      <w:lvlText w:val="%1"/>
      <w:lvlJc w:val="left"/>
      <w:pPr>
        <w:ind w:left="1159" w:hanging="320"/>
        <w:jc w:val="left"/>
      </w:pPr>
      <w:rPr>
        <w:rFonts w:hint="default"/>
        <w:lang w:val="zh-CN" w:eastAsia="zh-CN" w:bidi="zh-CN"/>
      </w:rPr>
    </w:lvl>
    <w:lvl w:ilvl="1" w:tplc="0E2ADA10">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296C5E00">
      <w:start w:val="1"/>
      <w:numFmt w:val="decimal"/>
      <w:lvlText w:val="%1.%2.%3"/>
      <w:lvlJc w:val="left"/>
      <w:pPr>
        <w:ind w:left="1369" w:hanging="529"/>
        <w:jc w:val="left"/>
      </w:pPr>
      <w:rPr>
        <w:rFonts w:ascii="宋体" w:eastAsia="宋体" w:hAnsi="宋体" w:cs="宋体" w:hint="default"/>
        <w:b/>
        <w:bCs/>
        <w:spacing w:val="-3"/>
        <w:w w:val="99"/>
        <w:sz w:val="19"/>
        <w:szCs w:val="19"/>
        <w:lang w:val="zh-CN" w:eastAsia="zh-CN" w:bidi="zh-CN"/>
      </w:rPr>
    </w:lvl>
    <w:lvl w:ilvl="3" w:tplc="7F905F54">
      <w:numFmt w:val="bullet"/>
      <w:lvlText w:val="•"/>
      <w:lvlJc w:val="left"/>
      <w:pPr>
        <w:ind w:left="1380" w:hanging="529"/>
      </w:pPr>
      <w:rPr>
        <w:rFonts w:hint="default"/>
        <w:lang w:val="zh-CN" w:eastAsia="zh-CN" w:bidi="zh-CN"/>
      </w:rPr>
    </w:lvl>
    <w:lvl w:ilvl="4" w:tplc="6CF6997E">
      <w:numFmt w:val="bullet"/>
      <w:lvlText w:val="•"/>
      <w:lvlJc w:val="left"/>
      <w:pPr>
        <w:ind w:left="2703" w:hanging="529"/>
      </w:pPr>
      <w:rPr>
        <w:rFonts w:hint="default"/>
        <w:lang w:val="zh-CN" w:eastAsia="zh-CN" w:bidi="zh-CN"/>
      </w:rPr>
    </w:lvl>
    <w:lvl w:ilvl="5" w:tplc="1EBC819E">
      <w:numFmt w:val="bullet"/>
      <w:lvlText w:val="•"/>
      <w:lvlJc w:val="left"/>
      <w:pPr>
        <w:ind w:left="4027" w:hanging="529"/>
      </w:pPr>
      <w:rPr>
        <w:rFonts w:hint="default"/>
        <w:lang w:val="zh-CN" w:eastAsia="zh-CN" w:bidi="zh-CN"/>
      </w:rPr>
    </w:lvl>
    <w:lvl w:ilvl="6" w:tplc="FD7ACB42">
      <w:numFmt w:val="bullet"/>
      <w:lvlText w:val="•"/>
      <w:lvlJc w:val="left"/>
      <w:pPr>
        <w:ind w:left="5351" w:hanging="529"/>
      </w:pPr>
      <w:rPr>
        <w:rFonts w:hint="default"/>
        <w:lang w:val="zh-CN" w:eastAsia="zh-CN" w:bidi="zh-CN"/>
      </w:rPr>
    </w:lvl>
    <w:lvl w:ilvl="7" w:tplc="1A2C724E">
      <w:numFmt w:val="bullet"/>
      <w:lvlText w:val="•"/>
      <w:lvlJc w:val="left"/>
      <w:pPr>
        <w:ind w:left="6675" w:hanging="529"/>
      </w:pPr>
      <w:rPr>
        <w:rFonts w:hint="default"/>
        <w:lang w:val="zh-CN" w:eastAsia="zh-CN" w:bidi="zh-CN"/>
      </w:rPr>
    </w:lvl>
    <w:lvl w:ilvl="8" w:tplc="9C644490">
      <w:numFmt w:val="bullet"/>
      <w:lvlText w:val="•"/>
      <w:lvlJc w:val="left"/>
      <w:pPr>
        <w:ind w:left="7998" w:hanging="529"/>
      </w:pPr>
      <w:rPr>
        <w:rFonts w:hint="default"/>
        <w:lang w:val="zh-CN" w:eastAsia="zh-CN" w:bidi="zh-CN"/>
      </w:rPr>
    </w:lvl>
  </w:abstractNum>
  <w:abstractNum w:abstractNumId="48" w15:restartNumberingAfterBreak="0">
    <w:nsid w:val="04C53A4E"/>
    <w:multiLevelType w:val="hybridMultilevel"/>
    <w:tmpl w:val="1C100318"/>
    <w:lvl w:ilvl="0" w:tplc="2606FDC4">
      <w:start w:val="1"/>
      <w:numFmt w:val="lowerLetter"/>
      <w:lvlText w:val="%1)"/>
      <w:lvlJc w:val="left"/>
      <w:pPr>
        <w:ind w:left="838" w:hanging="213"/>
        <w:jc w:val="left"/>
      </w:pPr>
      <w:rPr>
        <w:rFonts w:ascii="宋体" w:eastAsia="宋体" w:hAnsi="宋体" w:cs="宋体" w:hint="default"/>
        <w:spacing w:val="-3"/>
        <w:w w:val="100"/>
        <w:sz w:val="19"/>
        <w:szCs w:val="19"/>
        <w:lang w:val="zh-CN" w:eastAsia="zh-CN" w:bidi="zh-CN"/>
      </w:rPr>
    </w:lvl>
    <w:lvl w:ilvl="1" w:tplc="D062E354">
      <w:numFmt w:val="bullet"/>
      <w:lvlText w:val="•"/>
      <w:lvlJc w:val="left"/>
      <w:pPr>
        <w:ind w:left="1820" w:hanging="213"/>
      </w:pPr>
      <w:rPr>
        <w:rFonts w:hint="default"/>
        <w:lang w:val="zh-CN" w:eastAsia="zh-CN" w:bidi="zh-CN"/>
      </w:rPr>
    </w:lvl>
    <w:lvl w:ilvl="2" w:tplc="9272AF84">
      <w:numFmt w:val="bullet"/>
      <w:lvlText w:val="•"/>
      <w:lvlJc w:val="left"/>
      <w:pPr>
        <w:ind w:left="2801" w:hanging="213"/>
      </w:pPr>
      <w:rPr>
        <w:rFonts w:hint="default"/>
        <w:lang w:val="zh-CN" w:eastAsia="zh-CN" w:bidi="zh-CN"/>
      </w:rPr>
    </w:lvl>
    <w:lvl w:ilvl="3" w:tplc="FE1063EA">
      <w:numFmt w:val="bullet"/>
      <w:lvlText w:val="•"/>
      <w:lvlJc w:val="left"/>
      <w:pPr>
        <w:ind w:left="3781" w:hanging="213"/>
      </w:pPr>
      <w:rPr>
        <w:rFonts w:hint="default"/>
        <w:lang w:val="zh-CN" w:eastAsia="zh-CN" w:bidi="zh-CN"/>
      </w:rPr>
    </w:lvl>
    <w:lvl w:ilvl="4" w:tplc="6486E6A6">
      <w:numFmt w:val="bullet"/>
      <w:lvlText w:val="•"/>
      <w:lvlJc w:val="left"/>
      <w:pPr>
        <w:ind w:left="4762" w:hanging="213"/>
      </w:pPr>
      <w:rPr>
        <w:rFonts w:hint="default"/>
        <w:lang w:val="zh-CN" w:eastAsia="zh-CN" w:bidi="zh-CN"/>
      </w:rPr>
    </w:lvl>
    <w:lvl w:ilvl="5" w:tplc="1990FFBC">
      <w:numFmt w:val="bullet"/>
      <w:lvlText w:val="•"/>
      <w:lvlJc w:val="left"/>
      <w:pPr>
        <w:ind w:left="5743" w:hanging="213"/>
      </w:pPr>
      <w:rPr>
        <w:rFonts w:hint="default"/>
        <w:lang w:val="zh-CN" w:eastAsia="zh-CN" w:bidi="zh-CN"/>
      </w:rPr>
    </w:lvl>
    <w:lvl w:ilvl="6" w:tplc="941A4F8C">
      <w:numFmt w:val="bullet"/>
      <w:lvlText w:val="•"/>
      <w:lvlJc w:val="left"/>
      <w:pPr>
        <w:ind w:left="6723" w:hanging="213"/>
      </w:pPr>
      <w:rPr>
        <w:rFonts w:hint="default"/>
        <w:lang w:val="zh-CN" w:eastAsia="zh-CN" w:bidi="zh-CN"/>
      </w:rPr>
    </w:lvl>
    <w:lvl w:ilvl="7" w:tplc="3F22669E">
      <w:numFmt w:val="bullet"/>
      <w:lvlText w:val="•"/>
      <w:lvlJc w:val="left"/>
      <w:pPr>
        <w:ind w:left="7704" w:hanging="213"/>
      </w:pPr>
      <w:rPr>
        <w:rFonts w:hint="default"/>
        <w:lang w:val="zh-CN" w:eastAsia="zh-CN" w:bidi="zh-CN"/>
      </w:rPr>
    </w:lvl>
    <w:lvl w:ilvl="8" w:tplc="25662D50">
      <w:numFmt w:val="bullet"/>
      <w:lvlText w:val="•"/>
      <w:lvlJc w:val="left"/>
      <w:pPr>
        <w:ind w:left="8685" w:hanging="213"/>
      </w:pPr>
      <w:rPr>
        <w:rFonts w:hint="default"/>
        <w:lang w:val="zh-CN" w:eastAsia="zh-CN" w:bidi="zh-CN"/>
      </w:rPr>
    </w:lvl>
  </w:abstractNum>
  <w:abstractNum w:abstractNumId="49" w15:restartNumberingAfterBreak="0">
    <w:nsid w:val="056B14C6"/>
    <w:multiLevelType w:val="hybridMultilevel"/>
    <w:tmpl w:val="47CCCAE6"/>
    <w:lvl w:ilvl="0" w:tplc="51B4E7DA">
      <w:start w:val="4"/>
      <w:numFmt w:val="decimal"/>
      <w:lvlText w:val="%1"/>
      <w:lvlJc w:val="left"/>
      <w:pPr>
        <w:ind w:left="1158" w:hanging="318"/>
        <w:jc w:val="left"/>
      </w:pPr>
      <w:rPr>
        <w:rFonts w:hint="default"/>
        <w:lang w:val="zh-CN" w:eastAsia="zh-CN" w:bidi="zh-CN"/>
      </w:rPr>
    </w:lvl>
    <w:lvl w:ilvl="1" w:tplc="50DEE540">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612AE1AA">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BDD2CBE4">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9CD62E36">
      <w:numFmt w:val="bullet"/>
      <w:lvlText w:val="•"/>
      <w:lvlJc w:val="left"/>
      <w:pPr>
        <w:ind w:left="3846" w:hanging="738"/>
      </w:pPr>
      <w:rPr>
        <w:rFonts w:hint="default"/>
        <w:lang w:val="zh-CN" w:eastAsia="zh-CN" w:bidi="zh-CN"/>
      </w:rPr>
    </w:lvl>
    <w:lvl w:ilvl="5" w:tplc="3A50A308">
      <w:numFmt w:val="bullet"/>
      <w:lvlText w:val="•"/>
      <w:lvlJc w:val="left"/>
      <w:pPr>
        <w:ind w:left="4979" w:hanging="738"/>
      </w:pPr>
      <w:rPr>
        <w:rFonts w:hint="default"/>
        <w:lang w:val="zh-CN" w:eastAsia="zh-CN" w:bidi="zh-CN"/>
      </w:rPr>
    </w:lvl>
    <w:lvl w:ilvl="6" w:tplc="1C5C507A">
      <w:numFmt w:val="bullet"/>
      <w:lvlText w:val="•"/>
      <w:lvlJc w:val="left"/>
      <w:pPr>
        <w:ind w:left="6113" w:hanging="738"/>
      </w:pPr>
      <w:rPr>
        <w:rFonts w:hint="default"/>
        <w:lang w:val="zh-CN" w:eastAsia="zh-CN" w:bidi="zh-CN"/>
      </w:rPr>
    </w:lvl>
    <w:lvl w:ilvl="7" w:tplc="ED78D23C">
      <w:numFmt w:val="bullet"/>
      <w:lvlText w:val="•"/>
      <w:lvlJc w:val="left"/>
      <w:pPr>
        <w:ind w:left="7246" w:hanging="738"/>
      </w:pPr>
      <w:rPr>
        <w:rFonts w:hint="default"/>
        <w:lang w:val="zh-CN" w:eastAsia="zh-CN" w:bidi="zh-CN"/>
      </w:rPr>
    </w:lvl>
    <w:lvl w:ilvl="8" w:tplc="C90ED134">
      <w:numFmt w:val="bullet"/>
      <w:lvlText w:val="•"/>
      <w:lvlJc w:val="left"/>
      <w:pPr>
        <w:ind w:left="8379" w:hanging="738"/>
      </w:pPr>
      <w:rPr>
        <w:rFonts w:hint="default"/>
        <w:lang w:val="zh-CN" w:eastAsia="zh-CN" w:bidi="zh-CN"/>
      </w:rPr>
    </w:lvl>
  </w:abstractNum>
  <w:abstractNum w:abstractNumId="50" w15:restartNumberingAfterBreak="0">
    <w:nsid w:val="05803B14"/>
    <w:multiLevelType w:val="hybridMultilevel"/>
    <w:tmpl w:val="5AC0DDFC"/>
    <w:lvl w:ilvl="0" w:tplc="B5200A1C">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26DC4C9E">
      <w:numFmt w:val="bullet"/>
      <w:lvlText w:val="•"/>
      <w:lvlJc w:val="left"/>
      <w:pPr>
        <w:ind w:left="1442" w:hanging="529"/>
      </w:pPr>
      <w:rPr>
        <w:rFonts w:hint="default"/>
        <w:lang w:val="zh-CN" w:eastAsia="zh-CN" w:bidi="zh-CN"/>
      </w:rPr>
    </w:lvl>
    <w:lvl w:ilvl="2" w:tplc="A676AF24">
      <w:numFmt w:val="bullet"/>
      <w:lvlText w:val="•"/>
      <w:lvlJc w:val="left"/>
      <w:pPr>
        <w:ind w:left="2465" w:hanging="529"/>
      </w:pPr>
      <w:rPr>
        <w:rFonts w:hint="default"/>
        <w:lang w:val="zh-CN" w:eastAsia="zh-CN" w:bidi="zh-CN"/>
      </w:rPr>
    </w:lvl>
    <w:lvl w:ilvl="3" w:tplc="86DAC10C">
      <w:numFmt w:val="bullet"/>
      <w:lvlText w:val="•"/>
      <w:lvlJc w:val="left"/>
      <w:pPr>
        <w:ind w:left="3487" w:hanging="529"/>
      </w:pPr>
      <w:rPr>
        <w:rFonts w:hint="default"/>
        <w:lang w:val="zh-CN" w:eastAsia="zh-CN" w:bidi="zh-CN"/>
      </w:rPr>
    </w:lvl>
    <w:lvl w:ilvl="4" w:tplc="71AEBFCC">
      <w:numFmt w:val="bullet"/>
      <w:lvlText w:val="•"/>
      <w:lvlJc w:val="left"/>
      <w:pPr>
        <w:ind w:left="4510" w:hanging="529"/>
      </w:pPr>
      <w:rPr>
        <w:rFonts w:hint="default"/>
        <w:lang w:val="zh-CN" w:eastAsia="zh-CN" w:bidi="zh-CN"/>
      </w:rPr>
    </w:lvl>
    <w:lvl w:ilvl="5" w:tplc="8A5A0196">
      <w:numFmt w:val="bullet"/>
      <w:lvlText w:val="•"/>
      <w:lvlJc w:val="left"/>
      <w:pPr>
        <w:ind w:left="5533" w:hanging="529"/>
      </w:pPr>
      <w:rPr>
        <w:rFonts w:hint="default"/>
        <w:lang w:val="zh-CN" w:eastAsia="zh-CN" w:bidi="zh-CN"/>
      </w:rPr>
    </w:lvl>
    <w:lvl w:ilvl="6" w:tplc="3880F766">
      <w:numFmt w:val="bullet"/>
      <w:lvlText w:val="•"/>
      <w:lvlJc w:val="left"/>
      <w:pPr>
        <w:ind w:left="6555" w:hanging="529"/>
      </w:pPr>
      <w:rPr>
        <w:rFonts w:hint="default"/>
        <w:lang w:val="zh-CN" w:eastAsia="zh-CN" w:bidi="zh-CN"/>
      </w:rPr>
    </w:lvl>
    <w:lvl w:ilvl="7" w:tplc="86C830A0">
      <w:numFmt w:val="bullet"/>
      <w:lvlText w:val="•"/>
      <w:lvlJc w:val="left"/>
      <w:pPr>
        <w:ind w:left="7578" w:hanging="529"/>
      </w:pPr>
      <w:rPr>
        <w:rFonts w:hint="default"/>
        <w:lang w:val="zh-CN" w:eastAsia="zh-CN" w:bidi="zh-CN"/>
      </w:rPr>
    </w:lvl>
    <w:lvl w:ilvl="8" w:tplc="F4BEBEAA">
      <w:numFmt w:val="bullet"/>
      <w:lvlText w:val="•"/>
      <w:lvlJc w:val="left"/>
      <w:pPr>
        <w:ind w:left="8601" w:hanging="529"/>
      </w:pPr>
      <w:rPr>
        <w:rFonts w:hint="default"/>
        <w:lang w:val="zh-CN" w:eastAsia="zh-CN" w:bidi="zh-CN"/>
      </w:rPr>
    </w:lvl>
  </w:abstractNum>
  <w:abstractNum w:abstractNumId="51" w15:restartNumberingAfterBreak="0">
    <w:nsid w:val="05D57429"/>
    <w:multiLevelType w:val="hybridMultilevel"/>
    <w:tmpl w:val="2FF40F8C"/>
    <w:lvl w:ilvl="0" w:tplc="C2446728">
      <w:start w:val="5"/>
      <w:numFmt w:val="decimal"/>
      <w:lvlText w:val="%1"/>
      <w:lvlJc w:val="left"/>
      <w:pPr>
        <w:ind w:left="1158" w:hanging="318"/>
        <w:jc w:val="left"/>
      </w:pPr>
      <w:rPr>
        <w:rFonts w:hint="default"/>
        <w:lang w:val="zh-CN" w:eastAsia="zh-CN" w:bidi="zh-CN"/>
      </w:rPr>
    </w:lvl>
    <w:lvl w:ilvl="1" w:tplc="DF463BFE">
      <w:start w:val="2"/>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F1085D0A">
      <w:start w:val="1"/>
      <w:numFmt w:val="decimal"/>
      <w:lvlText w:val="%1.%2.%3"/>
      <w:lvlJc w:val="left"/>
      <w:pPr>
        <w:ind w:left="418" w:hanging="584"/>
        <w:jc w:val="left"/>
      </w:pPr>
      <w:rPr>
        <w:rFonts w:ascii="宋体" w:eastAsia="宋体" w:hAnsi="宋体" w:cs="宋体" w:hint="default"/>
        <w:b/>
        <w:bCs/>
        <w:w w:val="99"/>
        <w:sz w:val="21"/>
        <w:szCs w:val="21"/>
        <w:lang w:val="zh-CN" w:eastAsia="zh-CN" w:bidi="zh-CN"/>
      </w:rPr>
    </w:lvl>
    <w:lvl w:ilvl="3" w:tplc="E5E63DD8">
      <w:numFmt w:val="bullet"/>
      <w:lvlText w:val="•"/>
      <w:lvlJc w:val="left"/>
      <w:pPr>
        <w:ind w:left="3268" w:hanging="584"/>
      </w:pPr>
      <w:rPr>
        <w:rFonts w:hint="default"/>
        <w:lang w:val="zh-CN" w:eastAsia="zh-CN" w:bidi="zh-CN"/>
      </w:rPr>
    </w:lvl>
    <w:lvl w:ilvl="4" w:tplc="19E48042">
      <w:numFmt w:val="bullet"/>
      <w:lvlText w:val="•"/>
      <w:lvlJc w:val="left"/>
      <w:pPr>
        <w:ind w:left="4322" w:hanging="584"/>
      </w:pPr>
      <w:rPr>
        <w:rFonts w:hint="default"/>
        <w:lang w:val="zh-CN" w:eastAsia="zh-CN" w:bidi="zh-CN"/>
      </w:rPr>
    </w:lvl>
    <w:lvl w:ilvl="5" w:tplc="FD5414B2">
      <w:numFmt w:val="bullet"/>
      <w:lvlText w:val="•"/>
      <w:lvlJc w:val="left"/>
      <w:pPr>
        <w:ind w:left="5376" w:hanging="584"/>
      </w:pPr>
      <w:rPr>
        <w:rFonts w:hint="default"/>
        <w:lang w:val="zh-CN" w:eastAsia="zh-CN" w:bidi="zh-CN"/>
      </w:rPr>
    </w:lvl>
    <w:lvl w:ilvl="6" w:tplc="348AE064">
      <w:numFmt w:val="bullet"/>
      <w:lvlText w:val="•"/>
      <w:lvlJc w:val="left"/>
      <w:pPr>
        <w:ind w:left="6430" w:hanging="584"/>
      </w:pPr>
      <w:rPr>
        <w:rFonts w:hint="default"/>
        <w:lang w:val="zh-CN" w:eastAsia="zh-CN" w:bidi="zh-CN"/>
      </w:rPr>
    </w:lvl>
    <w:lvl w:ilvl="7" w:tplc="10387476">
      <w:numFmt w:val="bullet"/>
      <w:lvlText w:val="•"/>
      <w:lvlJc w:val="left"/>
      <w:pPr>
        <w:ind w:left="7484" w:hanging="584"/>
      </w:pPr>
      <w:rPr>
        <w:rFonts w:hint="default"/>
        <w:lang w:val="zh-CN" w:eastAsia="zh-CN" w:bidi="zh-CN"/>
      </w:rPr>
    </w:lvl>
    <w:lvl w:ilvl="8" w:tplc="73620C10">
      <w:numFmt w:val="bullet"/>
      <w:lvlText w:val="•"/>
      <w:lvlJc w:val="left"/>
      <w:pPr>
        <w:ind w:left="8538" w:hanging="584"/>
      </w:pPr>
      <w:rPr>
        <w:rFonts w:hint="default"/>
        <w:lang w:val="zh-CN" w:eastAsia="zh-CN" w:bidi="zh-CN"/>
      </w:rPr>
    </w:lvl>
  </w:abstractNum>
  <w:abstractNum w:abstractNumId="52" w15:restartNumberingAfterBreak="0">
    <w:nsid w:val="061C1C2C"/>
    <w:multiLevelType w:val="hybridMultilevel"/>
    <w:tmpl w:val="D78A86F8"/>
    <w:lvl w:ilvl="0" w:tplc="56487B8A">
      <w:start w:val="6"/>
      <w:numFmt w:val="decimal"/>
      <w:lvlText w:val="%1"/>
      <w:lvlJc w:val="left"/>
      <w:pPr>
        <w:ind w:left="1159" w:hanging="320"/>
        <w:jc w:val="left"/>
      </w:pPr>
      <w:rPr>
        <w:rFonts w:hint="default"/>
        <w:lang w:val="zh-CN" w:eastAsia="zh-CN" w:bidi="zh-CN"/>
      </w:rPr>
    </w:lvl>
    <w:lvl w:ilvl="1" w:tplc="F13E670E">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16340E58">
      <w:numFmt w:val="bullet"/>
      <w:lvlText w:val="•"/>
      <w:lvlJc w:val="left"/>
      <w:pPr>
        <w:ind w:left="3057" w:hanging="320"/>
      </w:pPr>
      <w:rPr>
        <w:rFonts w:hint="default"/>
        <w:lang w:val="zh-CN" w:eastAsia="zh-CN" w:bidi="zh-CN"/>
      </w:rPr>
    </w:lvl>
    <w:lvl w:ilvl="3" w:tplc="A204E72E">
      <w:numFmt w:val="bullet"/>
      <w:lvlText w:val="•"/>
      <w:lvlJc w:val="left"/>
      <w:pPr>
        <w:ind w:left="4005" w:hanging="320"/>
      </w:pPr>
      <w:rPr>
        <w:rFonts w:hint="default"/>
        <w:lang w:val="zh-CN" w:eastAsia="zh-CN" w:bidi="zh-CN"/>
      </w:rPr>
    </w:lvl>
    <w:lvl w:ilvl="4" w:tplc="9138A38E">
      <w:numFmt w:val="bullet"/>
      <w:lvlText w:val="•"/>
      <w:lvlJc w:val="left"/>
      <w:pPr>
        <w:ind w:left="4954" w:hanging="320"/>
      </w:pPr>
      <w:rPr>
        <w:rFonts w:hint="default"/>
        <w:lang w:val="zh-CN" w:eastAsia="zh-CN" w:bidi="zh-CN"/>
      </w:rPr>
    </w:lvl>
    <w:lvl w:ilvl="5" w:tplc="1E9A693C">
      <w:numFmt w:val="bullet"/>
      <w:lvlText w:val="•"/>
      <w:lvlJc w:val="left"/>
      <w:pPr>
        <w:ind w:left="5903" w:hanging="320"/>
      </w:pPr>
      <w:rPr>
        <w:rFonts w:hint="default"/>
        <w:lang w:val="zh-CN" w:eastAsia="zh-CN" w:bidi="zh-CN"/>
      </w:rPr>
    </w:lvl>
    <w:lvl w:ilvl="6" w:tplc="89725C14">
      <w:numFmt w:val="bullet"/>
      <w:lvlText w:val="•"/>
      <w:lvlJc w:val="left"/>
      <w:pPr>
        <w:ind w:left="6851" w:hanging="320"/>
      </w:pPr>
      <w:rPr>
        <w:rFonts w:hint="default"/>
        <w:lang w:val="zh-CN" w:eastAsia="zh-CN" w:bidi="zh-CN"/>
      </w:rPr>
    </w:lvl>
    <w:lvl w:ilvl="7" w:tplc="EA7AFE58">
      <w:numFmt w:val="bullet"/>
      <w:lvlText w:val="•"/>
      <w:lvlJc w:val="left"/>
      <w:pPr>
        <w:ind w:left="7800" w:hanging="320"/>
      </w:pPr>
      <w:rPr>
        <w:rFonts w:hint="default"/>
        <w:lang w:val="zh-CN" w:eastAsia="zh-CN" w:bidi="zh-CN"/>
      </w:rPr>
    </w:lvl>
    <w:lvl w:ilvl="8" w:tplc="FBEC33F0">
      <w:numFmt w:val="bullet"/>
      <w:lvlText w:val="•"/>
      <w:lvlJc w:val="left"/>
      <w:pPr>
        <w:ind w:left="8749" w:hanging="320"/>
      </w:pPr>
      <w:rPr>
        <w:rFonts w:hint="default"/>
        <w:lang w:val="zh-CN" w:eastAsia="zh-CN" w:bidi="zh-CN"/>
      </w:rPr>
    </w:lvl>
  </w:abstractNum>
  <w:abstractNum w:abstractNumId="53" w15:restartNumberingAfterBreak="0">
    <w:nsid w:val="0639794E"/>
    <w:multiLevelType w:val="hybridMultilevel"/>
    <w:tmpl w:val="DFB025DC"/>
    <w:lvl w:ilvl="0" w:tplc="F1BA3746">
      <w:start w:val="5"/>
      <w:numFmt w:val="decimal"/>
      <w:lvlText w:val="%1"/>
      <w:lvlJc w:val="left"/>
      <w:pPr>
        <w:ind w:left="1158" w:hanging="318"/>
        <w:jc w:val="left"/>
      </w:pPr>
      <w:rPr>
        <w:rFonts w:hint="default"/>
        <w:lang w:val="zh-CN" w:eastAsia="zh-CN" w:bidi="zh-CN"/>
      </w:rPr>
    </w:lvl>
    <w:lvl w:ilvl="1" w:tplc="DF208A08">
      <w:start w:val="7"/>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F82EAF6E">
      <w:start w:val="1"/>
      <w:numFmt w:val="decimal"/>
      <w:lvlText w:val="%1.%2.%3"/>
      <w:lvlJc w:val="left"/>
      <w:pPr>
        <w:ind w:left="418" w:hanging="529"/>
        <w:jc w:val="left"/>
      </w:pPr>
      <w:rPr>
        <w:rFonts w:ascii="宋体" w:eastAsia="宋体" w:hAnsi="宋体" w:cs="宋体" w:hint="default"/>
        <w:b/>
        <w:bCs/>
        <w:spacing w:val="-55"/>
        <w:w w:val="99"/>
        <w:sz w:val="19"/>
        <w:szCs w:val="19"/>
        <w:lang w:val="zh-CN" w:eastAsia="zh-CN" w:bidi="zh-CN"/>
      </w:rPr>
    </w:lvl>
    <w:lvl w:ilvl="3" w:tplc="7EACEFEE">
      <w:numFmt w:val="bullet"/>
      <w:lvlText w:val="•"/>
      <w:lvlJc w:val="left"/>
      <w:pPr>
        <w:ind w:left="3268" w:hanging="529"/>
      </w:pPr>
      <w:rPr>
        <w:rFonts w:hint="default"/>
        <w:lang w:val="zh-CN" w:eastAsia="zh-CN" w:bidi="zh-CN"/>
      </w:rPr>
    </w:lvl>
    <w:lvl w:ilvl="4" w:tplc="2E9096F8">
      <w:numFmt w:val="bullet"/>
      <w:lvlText w:val="•"/>
      <w:lvlJc w:val="left"/>
      <w:pPr>
        <w:ind w:left="4322" w:hanging="529"/>
      </w:pPr>
      <w:rPr>
        <w:rFonts w:hint="default"/>
        <w:lang w:val="zh-CN" w:eastAsia="zh-CN" w:bidi="zh-CN"/>
      </w:rPr>
    </w:lvl>
    <w:lvl w:ilvl="5" w:tplc="40CEB0B0">
      <w:numFmt w:val="bullet"/>
      <w:lvlText w:val="•"/>
      <w:lvlJc w:val="left"/>
      <w:pPr>
        <w:ind w:left="5376" w:hanging="529"/>
      </w:pPr>
      <w:rPr>
        <w:rFonts w:hint="default"/>
        <w:lang w:val="zh-CN" w:eastAsia="zh-CN" w:bidi="zh-CN"/>
      </w:rPr>
    </w:lvl>
    <w:lvl w:ilvl="6" w:tplc="F246176E">
      <w:numFmt w:val="bullet"/>
      <w:lvlText w:val="•"/>
      <w:lvlJc w:val="left"/>
      <w:pPr>
        <w:ind w:left="6430" w:hanging="529"/>
      </w:pPr>
      <w:rPr>
        <w:rFonts w:hint="default"/>
        <w:lang w:val="zh-CN" w:eastAsia="zh-CN" w:bidi="zh-CN"/>
      </w:rPr>
    </w:lvl>
    <w:lvl w:ilvl="7" w:tplc="5E1CF4AE">
      <w:numFmt w:val="bullet"/>
      <w:lvlText w:val="•"/>
      <w:lvlJc w:val="left"/>
      <w:pPr>
        <w:ind w:left="7484" w:hanging="529"/>
      </w:pPr>
      <w:rPr>
        <w:rFonts w:hint="default"/>
        <w:lang w:val="zh-CN" w:eastAsia="zh-CN" w:bidi="zh-CN"/>
      </w:rPr>
    </w:lvl>
    <w:lvl w:ilvl="8" w:tplc="66CE689C">
      <w:numFmt w:val="bullet"/>
      <w:lvlText w:val="•"/>
      <w:lvlJc w:val="left"/>
      <w:pPr>
        <w:ind w:left="8538" w:hanging="529"/>
      </w:pPr>
      <w:rPr>
        <w:rFonts w:hint="default"/>
        <w:lang w:val="zh-CN" w:eastAsia="zh-CN" w:bidi="zh-CN"/>
      </w:rPr>
    </w:lvl>
  </w:abstractNum>
  <w:abstractNum w:abstractNumId="54" w15:restartNumberingAfterBreak="0">
    <w:nsid w:val="063A7CB5"/>
    <w:multiLevelType w:val="hybridMultilevel"/>
    <w:tmpl w:val="F418FEB4"/>
    <w:lvl w:ilvl="0" w:tplc="CAA00572">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243671E4">
      <w:numFmt w:val="bullet"/>
      <w:lvlText w:val="•"/>
      <w:lvlJc w:val="left"/>
      <w:pPr>
        <w:ind w:left="1442" w:hanging="529"/>
      </w:pPr>
      <w:rPr>
        <w:rFonts w:hint="default"/>
        <w:lang w:val="zh-CN" w:eastAsia="zh-CN" w:bidi="zh-CN"/>
      </w:rPr>
    </w:lvl>
    <w:lvl w:ilvl="2" w:tplc="95B61018">
      <w:numFmt w:val="bullet"/>
      <w:lvlText w:val="•"/>
      <w:lvlJc w:val="left"/>
      <w:pPr>
        <w:ind w:left="2465" w:hanging="529"/>
      </w:pPr>
      <w:rPr>
        <w:rFonts w:hint="default"/>
        <w:lang w:val="zh-CN" w:eastAsia="zh-CN" w:bidi="zh-CN"/>
      </w:rPr>
    </w:lvl>
    <w:lvl w:ilvl="3" w:tplc="EC563216">
      <w:numFmt w:val="bullet"/>
      <w:lvlText w:val="•"/>
      <w:lvlJc w:val="left"/>
      <w:pPr>
        <w:ind w:left="3487" w:hanging="529"/>
      </w:pPr>
      <w:rPr>
        <w:rFonts w:hint="default"/>
        <w:lang w:val="zh-CN" w:eastAsia="zh-CN" w:bidi="zh-CN"/>
      </w:rPr>
    </w:lvl>
    <w:lvl w:ilvl="4" w:tplc="E1DE96BE">
      <w:numFmt w:val="bullet"/>
      <w:lvlText w:val="•"/>
      <w:lvlJc w:val="left"/>
      <w:pPr>
        <w:ind w:left="4510" w:hanging="529"/>
      </w:pPr>
      <w:rPr>
        <w:rFonts w:hint="default"/>
        <w:lang w:val="zh-CN" w:eastAsia="zh-CN" w:bidi="zh-CN"/>
      </w:rPr>
    </w:lvl>
    <w:lvl w:ilvl="5" w:tplc="9C5E607E">
      <w:numFmt w:val="bullet"/>
      <w:lvlText w:val="•"/>
      <w:lvlJc w:val="left"/>
      <w:pPr>
        <w:ind w:left="5533" w:hanging="529"/>
      </w:pPr>
      <w:rPr>
        <w:rFonts w:hint="default"/>
        <w:lang w:val="zh-CN" w:eastAsia="zh-CN" w:bidi="zh-CN"/>
      </w:rPr>
    </w:lvl>
    <w:lvl w:ilvl="6" w:tplc="5D2E0A6E">
      <w:numFmt w:val="bullet"/>
      <w:lvlText w:val="•"/>
      <w:lvlJc w:val="left"/>
      <w:pPr>
        <w:ind w:left="6555" w:hanging="529"/>
      </w:pPr>
      <w:rPr>
        <w:rFonts w:hint="default"/>
        <w:lang w:val="zh-CN" w:eastAsia="zh-CN" w:bidi="zh-CN"/>
      </w:rPr>
    </w:lvl>
    <w:lvl w:ilvl="7" w:tplc="A1C21D6E">
      <w:numFmt w:val="bullet"/>
      <w:lvlText w:val="•"/>
      <w:lvlJc w:val="left"/>
      <w:pPr>
        <w:ind w:left="7578" w:hanging="529"/>
      </w:pPr>
      <w:rPr>
        <w:rFonts w:hint="default"/>
        <w:lang w:val="zh-CN" w:eastAsia="zh-CN" w:bidi="zh-CN"/>
      </w:rPr>
    </w:lvl>
    <w:lvl w:ilvl="8" w:tplc="6A18B956">
      <w:numFmt w:val="bullet"/>
      <w:lvlText w:val="•"/>
      <w:lvlJc w:val="left"/>
      <w:pPr>
        <w:ind w:left="8601" w:hanging="529"/>
      </w:pPr>
      <w:rPr>
        <w:rFonts w:hint="default"/>
        <w:lang w:val="zh-CN" w:eastAsia="zh-CN" w:bidi="zh-CN"/>
      </w:rPr>
    </w:lvl>
  </w:abstractNum>
  <w:abstractNum w:abstractNumId="55" w15:restartNumberingAfterBreak="0">
    <w:nsid w:val="06521BC7"/>
    <w:multiLevelType w:val="hybridMultilevel"/>
    <w:tmpl w:val="D47646A4"/>
    <w:lvl w:ilvl="0" w:tplc="66C072F4">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90C42968">
      <w:numFmt w:val="bullet"/>
      <w:lvlText w:val="•"/>
      <w:lvlJc w:val="left"/>
      <w:pPr>
        <w:ind w:left="2288" w:hanging="529"/>
      </w:pPr>
      <w:rPr>
        <w:rFonts w:hint="default"/>
        <w:lang w:val="zh-CN" w:eastAsia="zh-CN" w:bidi="zh-CN"/>
      </w:rPr>
    </w:lvl>
    <w:lvl w:ilvl="2" w:tplc="EA36DB7C">
      <w:numFmt w:val="bullet"/>
      <w:lvlText w:val="•"/>
      <w:lvlJc w:val="left"/>
      <w:pPr>
        <w:ind w:left="3217" w:hanging="529"/>
      </w:pPr>
      <w:rPr>
        <w:rFonts w:hint="default"/>
        <w:lang w:val="zh-CN" w:eastAsia="zh-CN" w:bidi="zh-CN"/>
      </w:rPr>
    </w:lvl>
    <w:lvl w:ilvl="3" w:tplc="DFA2E3FE">
      <w:numFmt w:val="bullet"/>
      <w:lvlText w:val="•"/>
      <w:lvlJc w:val="left"/>
      <w:pPr>
        <w:ind w:left="4145" w:hanging="529"/>
      </w:pPr>
      <w:rPr>
        <w:rFonts w:hint="default"/>
        <w:lang w:val="zh-CN" w:eastAsia="zh-CN" w:bidi="zh-CN"/>
      </w:rPr>
    </w:lvl>
    <w:lvl w:ilvl="4" w:tplc="1DC8F6FE">
      <w:numFmt w:val="bullet"/>
      <w:lvlText w:val="•"/>
      <w:lvlJc w:val="left"/>
      <w:pPr>
        <w:ind w:left="5074" w:hanging="529"/>
      </w:pPr>
      <w:rPr>
        <w:rFonts w:hint="default"/>
        <w:lang w:val="zh-CN" w:eastAsia="zh-CN" w:bidi="zh-CN"/>
      </w:rPr>
    </w:lvl>
    <w:lvl w:ilvl="5" w:tplc="239A17A8">
      <w:numFmt w:val="bullet"/>
      <w:lvlText w:val="•"/>
      <w:lvlJc w:val="left"/>
      <w:pPr>
        <w:ind w:left="6003" w:hanging="529"/>
      </w:pPr>
      <w:rPr>
        <w:rFonts w:hint="default"/>
        <w:lang w:val="zh-CN" w:eastAsia="zh-CN" w:bidi="zh-CN"/>
      </w:rPr>
    </w:lvl>
    <w:lvl w:ilvl="6" w:tplc="EFA633B4">
      <w:numFmt w:val="bullet"/>
      <w:lvlText w:val="•"/>
      <w:lvlJc w:val="left"/>
      <w:pPr>
        <w:ind w:left="6931" w:hanging="529"/>
      </w:pPr>
      <w:rPr>
        <w:rFonts w:hint="default"/>
        <w:lang w:val="zh-CN" w:eastAsia="zh-CN" w:bidi="zh-CN"/>
      </w:rPr>
    </w:lvl>
    <w:lvl w:ilvl="7" w:tplc="ECD08B08">
      <w:numFmt w:val="bullet"/>
      <w:lvlText w:val="•"/>
      <w:lvlJc w:val="left"/>
      <w:pPr>
        <w:ind w:left="7860" w:hanging="529"/>
      </w:pPr>
      <w:rPr>
        <w:rFonts w:hint="default"/>
        <w:lang w:val="zh-CN" w:eastAsia="zh-CN" w:bidi="zh-CN"/>
      </w:rPr>
    </w:lvl>
    <w:lvl w:ilvl="8" w:tplc="391A19D2">
      <w:numFmt w:val="bullet"/>
      <w:lvlText w:val="•"/>
      <w:lvlJc w:val="left"/>
      <w:pPr>
        <w:ind w:left="8789" w:hanging="529"/>
      </w:pPr>
      <w:rPr>
        <w:rFonts w:hint="default"/>
        <w:lang w:val="zh-CN" w:eastAsia="zh-CN" w:bidi="zh-CN"/>
      </w:rPr>
    </w:lvl>
  </w:abstractNum>
  <w:abstractNum w:abstractNumId="56" w15:restartNumberingAfterBreak="0">
    <w:nsid w:val="0660360A"/>
    <w:multiLevelType w:val="hybridMultilevel"/>
    <w:tmpl w:val="9844CF96"/>
    <w:lvl w:ilvl="0" w:tplc="29642514">
      <w:start w:val="7"/>
      <w:numFmt w:val="decimal"/>
      <w:lvlText w:val="%1"/>
      <w:lvlJc w:val="left"/>
      <w:pPr>
        <w:ind w:left="1159" w:hanging="320"/>
        <w:jc w:val="left"/>
      </w:pPr>
      <w:rPr>
        <w:rFonts w:hint="default"/>
        <w:lang w:val="zh-CN" w:eastAsia="zh-CN" w:bidi="zh-CN"/>
      </w:rPr>
    </w:lvl>
    <w:lvl w:ilvl="1" w:tplc="FDB6CB90">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EDBE4060">
      <w:numFmt w:val="bullet"/>
      <w:lvlText w:val="•"/>
      <w:lvlJc w:val="left"/>
      <w:pPr>
        <w:ind w:left="3057" w:hanging="320"/>
      </w:pPr>
      <w:rPr>
        <w:rFonts w:hint="default"/>
        <w:lang w:val="zh-CN" w:eastAsia="zh-CN" w:bidi="zh-CN"/>
      </w:rPr>
    </w:lvl>
    <w:lvl w:ilvl="3" w:tplc="20023F36">
      <w:numFmt w:val="bullet"/>
      <w:lvlText w:val="•"/>
      <w:lvlJc w:val="left"/>
      <w:pPr>
        <w:ind w:left="4005" w:hanging="320"/>
      </w:pPr>
      <w:rPr>
        <w:rFonts w:hint="default"/>
        <w:lang w:val="zh-CN" w:eastAsia="zh-CN" w:bidi="zh-CN"/>
      </w:rPr>
    </w:lvl>
    <w:lvl w:ilvl="4" w:tplc="8EB058C2">
      <w:numFmt w:val="bullet"/>
      <w:lvlText w:val="•"/>
      <w:lvlJc w:val="left"/>
      <w:pPr>
        <w:ind w:left="4954" w:hanging="320"/>
      </w:pPr>
      <w:rPr>
        <w:rFonts w:hint="default"/>
        <w:lang w:val="zh-CN" w:eastAsia="zh-CN" w:bidi="zh-CN"/>
      </w:rPr>
    </w:lvl>
    <w:lvl w:ilvl="5" w:tplc="93D289D8">
      <w:numFmt w:val="bullet"/>
      <w:lvlText w:val="•"/>
      <w:lvlJc w:val="left"/>
      <w:pPr>
        <w:ind w:left="5903" w:hanging="320"/>
      </w:pPr>
      <w:rPr>
        <w:rFonts w:hint="default"/>
        <w:lang w:val="zh-CN" w:eastAsia="zh-CN" w:bidi="zh-CN"/>
      </w:rPr>
    </w:lvl>
    <w:lvl w:ilvl="6" w:tplc="A7480F42">
      <w:numFmt w:val="bullet"/>
      <w:lvlText w:val="•"/>
      <w:lvlJc w:val="left"/>
      <w:pPr>
        <w:ind w:left="6851" w:hanging="320"/>
      </w:pPr>
      <w:rPr>
        <w:rFonts w:hint="default"/>
        <w:lang w:val="zh-CN" w:eastAsia="zh-CN" w:bidi="zh-CN"/>
      </w:rPr>
    </w:lvl>
    <w:lvl w:ilvl="7" w:tplc="97A6653E">
      <w:numFmt w:val="bullet"/>
      <w:lvlText w:val="•"/>
      <w:lvlJc w:val="left"/>
      <w:pPr>
        <w:ind w:left="7800" w:hanging="320"/>
      </w:pPr>
      <w:rPr>
        <w:rFonts w:hint="default"/>
        <w:lang w:val="zh-CN" w:eastAsia="zh-CN" w:bidi="zh-CN"/>
      </w:rPr>
    </w:lvl>
    <w:lvl w:ilvl="8" w:tplc="6A0A688A">
      <w:numFmt w:val="bullet"/>
      <w:lvlText w:val="•"/>
      <w:lvlJc w:val="left"/>
      <w:pPr>
        <w:ind w:left="8749" w:hanging="320"/>
      </w:pPr>
      <w:rPr>
        <w:rFonts w:hint="default"/>
        <w:lang w:val="zh-CN" w:eastAsia="zh-CN" w:bidi="zh-CN"/>
      </w:rPr>
    </w:lvl>
  </w:abstractNum>
  <w:abstractNum w:abstractNumId="57" w15:restartNumberingAfterBreak="0">
    <w:nsid w:val="06615BF7"/>
    <w:multiLevelType w:val="hybridMultilevel"/>
    <w:tmpl w:val="CA9E97E8"/>
    <w:lvl w:ilvl="0" w:tplc="043A9582">
      <w:start w:val="5"/>
      <w:numFmt w:val="decimal"/>
      <w:lvlText w:val="%1"/>
      <w:lvlJc w:val="left"/>
      <w:pPr>
        <w:ind w:left="1158" w:hanging="318"/>
        <w:jc w:val="left"/>
      </w:pPr>
      <w:rPr>
        <w:rFonts w:hint="default"/>
        <w:lang w:val="zh-CN" w:eastAsia="zh-CN" w:bidi="zh-CN"/>
      </w:rPr>
    </w:lvl>
    <w:lvl w:ilvl="1" w:tplc="141E3C30">
      <w:start w:val="9"/>
      <w:numFmt w:val="decimal"/>
      <w:lvlText w:val="%1.%2"/>
      <w:lvlJc w:val="left"/>
      <w:pPr>
        <w:ind w:left="1158" w:hanging="318"/>
        <w:jc w:val="left"/>
      </w:pPr>
      <w:rPr>
        <w:rFonts w:ascii="宋体" w:eastAsia="宋体" w:hAnsi="宋体" w:cs="宋体" w:hint="default"/>
        <w:b/>
        <w:bCs/>
        <w:spacing w:val="-3"/>
        <w:w w:val="99"/>
        <w:sz w:val="19"/>
        <w:szCs w:val="19"/>
        <w:lang w:val="zh-CN" w:eastAsia="zh-CN" w:bidi="zh-CN"/>
      </w:rPr>
    </w:lvl>
    <w:lvl w:ilvl="2" w:tplc="7D2A1266">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1724187E">
      <w:numFmt w:val="bullet"/>
      <w:lvlText w:val="•"/>
      <w:lvlJc w:val="left"/>
      <w:pPr>
        <w:ind w:left="1380" w:hanging="531"/>
      </w:pPr>
      <w:rPr>
        <w:rFonts w:hint="default"/>
        <w:lang w:val="zh-CN" w:eastAsia="zh-CN" w:bidi="zh-CN"/>
      </w:rPr>
    </w:lvl>
    <w:lvl w:ilvl="4" w:tplc="E79A8BF0">
      <w:numFmt w:val="bullet"/>
      <w:lvlText w:val="•"/>
      <w:lvlJc w:val="left"/>
      <w:pPr>
        <w:ind w:left="1480" w:hanging="531"/>
      </w:pPr>
      <w:rPr>
        <w:rFonts w:hint="default"/>
        <w:lang w:val="zh-CN" w:eastAsia="zh-CN" w:bidi="zh-CN"/>
      </w:rPr>
    </w:lvl>
    <w:lvl w:ilvl="5" w:tplc="D74641AC">
      <w:numFmt w:val="bullet"/>
      <w:lvlText w:val="•"/>
      <w:lvlJc w:val="left"/>
      <w:pPr>
        <w:ind w:left="3007" w:hanging="531"/>
      </w:pPr>
      <w:rPr>
        <w:rFonts w:hint="default"/>
        <w:lang w:val="zh-CN" w:eastAsia="zh-CN" w:bidi="zh-CN"/>
      </w:rPr>
    </w:lvl>
    <w:lvl w:ilvl="6" w:tplc="EDB25240">
      <w:numFmt w:val="bullet"/>
      <w:lvlText w:val="•"/>
      <w:lvlJc w:val="left"/>
      <w:pPr>
        <w:ind w:left="4535" w:hanging="531"/>
      </w:pPr>
      <w:rPr>
        <w:rFonts w:hint="default"/>
        <w:lang w:val="zh-CN" w:eastAsia="zh-CN" w:bidi="zh-CN"/>
      </w:rPr>
    </w:lvl>
    <w:lvl w:ilvl="7" w:tplc="C582B02C">
      <w:numFmt w:val="bullet"/>
      <w:lvlText w:val="•"/>
      <w:lvlJc w:val="left"/>
      <w:pPr>
        <w:ind w:left="6063" w:hanging="531"/>
      </w:pPr>
      <w:rPr>
        <w:rFonts w:hint="default"/>
        <w:lang w:val="zh-CN" w:eastAsia="zh-CN" w:bidi="zh-CN"/>
      </w:rPr>
    </w:lvl>
    <w:lvl w:ilvl="8" w:tplc="2E34EE56">
      <w:numFmt w:val="bullet"/>
      <w:lvlText w:val="•"/>
      <w:lvlJc w:val="left"/>
      <w:pPr>
        <w:ind w:left="7590" w:hanging="531"/>
      </w:pPr>
      <w:rPr>
        <w:rFonts w:hint="default"/>
        <w:lang w:val="zh-CN" w:eastAsia="zh-CN" w:bidi="zh-CN"/>
      </w:rPr>
    </w:lvl>
  </w:abstractNum>
  <w:abstractNum w:abstractNumId="58" w15:restartNumberingAfterBreak="0">
    <w:nsid w:val="06651302"/>
    <w:multiLevelType w:val="hybridMultilevel"/>
    <w:tmpl w:val="E96C966E"/>
    <w:lvl w:ilvl="0" w:tplc="8236B51E">
      <w:start w:val="6"/>
      <w:numFmt w:val="decimal"/>
      <w:lvlText w:val="%1"/>
      <w:lvlJc w:val="left"/>
      <w:pPr>
        <w:ind w:left="1158" w:hanging="318"/>
        <w:jc w:val="left"/>
      </w:pPr>
      <w:rPr>
        <w:rFonts w:hint="default"/>
        <w:lang w:val="zh-CN" w:eastAsia="zh-CN" w:bidi="zh-CN"/>
      </w:rPr>
    </w:lvl>
    <w:lvl w:ilvl="1" w:tplc="D5F266B0">
      <w:start w:val="1"/>
      <w:numFmt w:val="decimal"/>
      <w:lvlText w:val="%1.%2"/>
      <w:lvlJc w:val="left"/>
      <w:pPr>
        <w:ind w:left="1158" w:hanging="318"/>
        <w:jc w:val="left"/>
      </w:pPr>
      <w:rPr>
        <w:rFonts w:ascii="宋体" w:eastAsia="宋体" w:hAnsi="宋体" w:cs="宋体" w:hint="default"/>
        <w:b/>
        <w:bCs/>
        <w:spacing w:val="-3"/>
        <w:w w:val="99"/>
        <w:sz w:val="19"/>
        <w:szCs w:val="19"/>
        <w:lang w:val="zh-CN" w:eastAsia="zh-CN" w:bidi="zh-CN"/>
      </w:rPr>
    </w:lvl>
    <w:lvl w:ilvl="2" w:tplc="DF488E2C">
      <w:numFmt w:val="bullet"/>
      <w:lvlText w:val="•"/>
      <w:lvlJc w:val="left"/>
      <w:pPr>
        <w:ind w:left="3057" w:hanging="318"/>
      </w:pPr>
      <w:rPr>
        <w:rFonts w:hint="default"/>
        <w:lang w:val="zh-CN" w:eastAsia="zh-CN" w:bidi="zh-CN"/>
      </w:rPr>
    </w:lvl>
    <w:lvl w:ilvl="3" w:tplc="C5281C7A">
      <w:numFmt w:val="bullet"/>
      <w:lvlText w:val="•"/>
      <w:lvlJc w:val="left"/>
      <w:pPr>
        <w:ind w:left="4005" w:hanging="318"/>
      </w:pPr>
      <w:rPr>
        <w:rFonts w:hint="default"/>
        <w:lang w:val="zh-CN" w:eastAsia="zh-CN" w:bidi="zh-CN"/>
      </w:rPr>
    </w:lvl>
    <w:lvl w:ilvl="4" w:tplc="DD9E999A">
      <w:numFmt w:val="bullet"/>
      <w:lvlText w:val="•"/>
      <w:lvlJc w:val="left"/>
      <w:pPr>
        <w:ind w:left="4954" w:hanging="318"/>
      </w:pPr>
      <w:rPr>
        <w:rFonts w:hint="default"/>
        <w:lang w:val="zh-CN" w:eastAsia="zh-CN" w:bidi="zh-CN"/>
      </w:rPr>
    </w:lvl>
    <w:lvl w:ilvl="5" w:tplc="28CA1AD6">
      <w:numFmt w:val="bullet"/>
      <w:lvlText w:val="•"/>
      <w:lvlJc w:val="left"/>
      <w:pPr>
        <w:ind w:left="5903" w:hanging="318"/>
      </w:pPr>
      <w:rPr>
        <w:rFonts w:hint="default"/>
        <w:lang w:val="zh-CN" w:eastAsia="zh-CN" w:bidi="zh-CN"/>
      </w:rPr>
    </w:lvl>
    <w:lvl w:ilvl="6" w:tplc="D9E25D96">
      <w:numFmt w:val="bullet"/>
      <w:lvlText w:val="•"/>
      <w:lvlJc w:val="left"/>
      <w:pPr>
        <w:ind w:left="6851" w:hanging="318"/>
      </w:pPr>
      <w:rPr>
        <w:rFonts w:hint="default"/>
        <w:lang w:val="zh-CN" w:eastAsia="zh-CN" w:bidi="zh-CN"/>
      </w:rPr>
    </w:lvl>
    <w:lvl w:ilvl="7" w:tplc="9B300962">
      <w:numFmt w:val="bullet"/>
      <w:lvlText w:val="•"/>
      <w:lvlJc w:val="left"/>
      <w:pPr>
        <w:ind w:left="7800" w:hanging="318"/>
      </w:pPr>
      <w:rPr>
        <w:rFonts w:hint="default"/>
        <w:lang w:val="zh-CN" w:eastAsia="zh-CN" w:bidi="zh-CN"/>
      </w:rPr>
    </w:lvl>
    <w:lvl w:ilvl="8" w:tplc="4EB6F688">
      <w:numFmt w:val="bullet"/>
      <w:lvlText w:val="•"/>
      <w:lvlJc w:val="left"/>
      <w:pPr>
        <w:ind w:left="8749" w:hanging="318"/>
      </w:pPr>
      <w:rPr>
        <w:rFonts w:hint="default"/>
        <w:lang w:val="zh-CN" w:eastAsia="zh-CN" w:bidi="zh-CN"/>
      </w:rPr>
    </w:lvl>
  </w:abstractNum>
  <w:abstractNum w:abstractNumId="59" w15:restartNumberingAfterBreak="0">
    <w:nsid w:val="06C145F2"/>
    <w:multiLevelType w:val="hybridMultilevel"/>
    <w:tmpl w:val="32322242"/>
    <w:lvl w:ilvl="0" w:tplc="BF12B254">
      <w:start w:val="9"/>
      <w:numFmt w:val="decimal"/>
      <w:lvlText w:val="%1"/>
      <w:lvlJc w:val="left"/>
      <w:pPr>
        <w:ind w:left="735" w:hanging="318"/>
        <w:jc w:val="left"/>
      </w:pPr>
      <w:rPr>
        <w:rFonts w:hint="default"/>
        <w:lang w:val="zh-CN" w:eastAsia="zh-CN" w:bidi="zh-CN"/>
      </w:rPr>
    </w:lvl>
    <w:lvl w:ilvl="1" w:tplc="B7BAEA18">
      <w:start w:val="1"/>
      <w:numFmt w:val="decimal"/>
      <w:lvlText w:val="%1.%2"/>
      <w:lvlJc w:val="left"/>
      <w:pPr>
        <w:ind w:left="735" w:hanging="318"/>
        <w:jc w:val="right"/>
      </w:pPr>
      <w:rPr>
        <w:rFonts w:ascii="宋体" w:eastAsia="宋体" w:hAnsi="宋体" w:cs="宋体" w:hint="default"/>
        <w:b/>
        <w:bCs/>
        <w:w w:val="99"/>
        <w:sz w:val="19"/>
        <w:szCs w:val="19"/>
        <w:lang w:val="zh-CN" w:eastAsia="zh-CN" w:bidi="zh-CN"/>
      </w:rPr>
    </w:lvl>
    <w:lvl w:ilvl="2" w:tplc="331C3508">
      <w:start w:val="1"/>
      <w:numFmt w:val="decimal"/>
      <w:lvlText w:val="%1.%2.%3"/>
      <w:lvlJc w:val="left"/>
      <w:pPr>
        <w:ind w:left="1421" w:hanging="584"/>
        <w:jc w:val="left"/>
      </w:pPr>
      <w:rPr>
        <w:rFonts w:ascii="宋体" w:eastAsia="宋体" w:hAnsi="宋体" w:cs="宋体" w:hint="default"/>
        <w:b/>
        <w:bCs/>
        <w:w w:val="99"/>
        <w:sz w:val="21"/>
        <w:szCs w:val="21"/>
        <w:lang w:val="zh-CN" w:eastAsia="zh-CN" w:bidi="zh-CN"/>
      </w:rPr>
    </w:lvl>
    <w:lvl w:ilvl="3" w:tplc="03E238EC">
      <w:numFmt w:val="bullet"/>
      <w:lvlText w:val="•"/>
      <w:lvlJc w:val="left"/>
      <w:pPr>
        <w:ind w:left="3470" w:hanging="584"/>
      </w:pPr>
      <w:rPr>
        <w:rFonts w:hint="default"/>
        <w:lang w:val="zh-CN" w:eastAsia="zh-CN" w:bidi="zh-CN"/>
      </w:rPr>
    </w:lvl>
    <w:lvl w:ilvl="4" w:tplc="3E9E9B94">
      <w:numFmt w:val="bullet"/>
      <w:lvlText w:val="•"/>
      <w:lvlJc w:val="left"/>
      <w:pPr>
        <w:ind w:left="4495" w:hanging="584"/>
      </w:pPr>
      <w:rPr>
        <w:rFonts w:hint="default"/>
        <w:lang w:val="zh-CN" w:eastAsia="zh-CN" w:bidi="zh-CN"/>
      </w:rPr>
    </w:lvl>
    <w:lvl w:ilvl="5" w:tplc="16F65326">
      <w:numFmt w:val="bullet"/>
      <w:lvlText w:val="•"/>
      <w:lvlJc w:val="left"/>
      <w:pPr>
        <w:ind w:left="5520" w:hanging="584"/>
      </w:pPr>
      <w:rPr>
        <w:rFonts w:hint="default"/>
        <w:lang w:val="zh-CN" w:eastAsia="zh-CN" w:bidi="zh-CN"/>
      </w:rPr>
    </w:lvl>
    <w:lvl w:ilvl="6" w:tplc="568210AA">
      <w:numFmt w:val="bullet"/>
      <w:lvlText w:val="•"/>
      <w:lvlJc w:val="left"/>
      <w:pPr>
        <w:ind w:left="6545" w:hanging="584"/>
      </w:pPr>
      <w:rPr>
        <w:rFonts w:hint="default"/>
        <w:lang w:val="zh-CN" w:eastAsia="zh-CN" w:bidi="zh-CN"/>
      </w:rPr>
    </w:lvl>
    <w:lvl w:ilvl="7" w:tplc="88BE7468">
      <w:numFmt w:val="bullet"/>
      <w:lvlText w:val="•"/>
      <w:lvlJc w:val="left"/>
      <w:pPr>
        <w:ind w:left="7570" w:hanging="584"/>
      </w:pPr>
      <w:rPr>
        <w:rFonts w:hint="default"/>
        <w:lang w:val="zh-CN" w:eastAsia="zh-CN" w:bidi="zh-CN"/>
      </w:rPr>
    </w:lvl>
    <w:lvl w:ilvl="8" w:tplc="2DDA4A62">
      <w:numFmt w:val="bullet"/>
      <w:lvlText w:val="•"/>
      <w:lvlJc w:val="left"/>
      <w:pPr>
        <w:ind w:left="8596" w:hanging="584"/>
      </w:pPr>
      <w:rPr>
        <w:rFonts w:hint="default"/>
        <w:lang w:val="zh-CN" w:eastAsia="zh-CN" w:bidi="zh-CN"/>
      </w:rPr>
    </w:lvl>
  </w:abstractNum>
  <w:abstractNum w:abstractNumId="60" w15:restartNumberingAfterBreak="0">
    <w:nsid w:val="06C31258"/>
    <w:multiLevelType w:val="hybridMultilevel"/>
    <w:tmpl w:val="F72011FE"/>
    <w:lvl w:ilvl="0" w:tplc="9D7C22FC">
      <w:start w:val="1"/>
      <w:numFmt w:val="lowerLetter"/>
      <w:lvlText w:val="%1)"/>
      <w:lvlJc w:val="left"/>
      <w:pPr>
        <w:ind w:left="418" w:hanging="213"/>
        <w:jc w:val="left"/>
      </w:pPr>
      <w:rPr>
        <w:rFonts w:ascii="宋体" w:eastAsia="宋体" w:hAnsi="宋体" w:cs="宋体" w:hint="default"/>
        <w:spacing w:val="-53"/>
        <w:w w:val="100"/>
        <w:sz w:val="19"/>
        <w:szCs w:val="19"/>
        <w:lang w:val="zh-CN" w:eastAsia="zh-CN" w:bidi="zh-CN"/>
      </w:rPr>
    </w:lvl>
    <w:lvl w:ilvl="1" w:tplc="8B3CFD34">
      <w:numFmt w:val="bullet"/>
      <w:lvlText w:val="•"/>
      <w:lvlJc w:val="left"/>
      <w:pPr>
        <w:ind w:left="1442" w:hanging="213"/>
      </w:pPr>
      <w:rPr>
        <w:rFonts w:hint="default"/>
        <w:lang w:val="zh-CN" w:eastAsia="zh-CN" w:bidi="zh-CN"/>
      </w:rPr>
    </w:lvl>
    <w:lvl w:ilvl="2" w:tplc="48B49DBE">
      <w:numFmt w:val="bullet"/>
      <w:lvlText w:val="•"/>
      <w:lvlJc w:val="left"/>
      <w:pPr>
        <w:ind w:left="2465" w:hanging="213"/>
      </w:pPr>
      <w:rPr>
        <w:rFonts w:hint="default"/>
        <w:lang w:val="zh-CN" w:eastAsia="zh-CN" w:bidi="zh-CN"/>
      </w:rPr>
    </w:lvl>
    <w:lvl w:ilvl="3" w:tplc="1B362EAA">
      <w:numFmt w:val="bullet"/>
      <w:lvlText w:val="•"/>
      <w:lvlJc w:val="left"/>
      <w:pPr>
        <w:ind w:left="3487" w:hanging="213"/>
      </w:pPr>
      <w:rPr>
        <w:rFonts w:hint="default"/>
        <w:lang w:val="zh-CN" w:eastAsia="zh-CN" w:bidi="zh-CN"/>
      </w:rPr>
    </w:lvl>
    <w:lvl w:ilvl="4" w:tplc="B54CA4B4">
      <w:numFmt w:val="bullet"/>
      <w:lvlText w:val="•"/>
      <w:lvlJc w:val="left"/>
      <w:pPr>
        <w:ind w:left="4510" w:hanging="213"/>
      </w:pPr>
      <w:rPr>
        <w:rFonts w:hint="default"/>
        <w:lang w:val="zh-CN" w:eastAsia="zh-CN" w:bidi="zh-CN"/>
      </w:rPr>
    </w:lvl>
    <w:lvl w:ilvl="5" w:tplc="2F1E049E">
      <w:numFmt w:val="bullet"/>
      <w:lvlText w:val="•"/>
      <w:lvlJc w:val="left"/>
      <w:pPr>
        <w:ind w:left="5533" w:hanging="213"/>
      </w:pPr>
      <w:rPr>
        <w:rFonts w:hint="default"/>
        <w:lang w:val="zh-CN" w:eastAsia="zh-CN" w:bidi="zh-CN"/>
      </w:rPr>
    </w:lvl>
    <w:lvl w:ilvl="6" w:tplc="5C50D93A">
      <w:numFmt w:val="bullet"/>
      <w:lvlText w:val="•"/>
      <w:lvlJc w:val="left"/>
      <w:pPr>
        <w:ind w:left="6555" w:hanging="213"/>
      </w:pPr>
      <w:rPr>
        <w:rFonts w:hint="default"/>
        <w:lang w:val="zh-CN" w:eastAsia="zh-CN" w:bidi="zh-CN"/>
      </w:rPr>
    </w:lvl>
    <w:lvl w:ilvl="7" w:tplc="067ACDB6">
      <w:numFmt w:val="bullet"/>
      <w:lvlText w:val="•"/>
      <w:lvlJc w:val="left"/>
      <w:pPr>
        <w:ind w:left="7578" w:hanging="213"/>
      </w:pPr>
      <w:rPr>
        <w:rFonts w:hint="default"/>
        <w:lang w:val="zh-CN" w:eastAsia="zh-CN" w:bidi="zh-CN"/>
      </w:rPr>
    </w:lvl>
    <w:lvl w:ilvl="8" w:tplc="4F305D80">
      <w:numFmt w:val="bullet"/>
      <w:lvlText w:val="•"/>
      <w:lvlJc w:val="left"/>
      <w:pPr>
        <w:ind w:left="8601" w:hanging="213"/>
      </w:pPr>
      <w:rPr>
        <w:rFonts w:hint="default"/>
        <w:lang w:val="zh-CN" w:eastAsia="zh-CN" w:bidi="zh-CN"/>
      </w:rPr>
    </w:lvl>
  </w:abstractNum>
  <w:abstractNum w:abstractNumId="61" w15:restartNumberingAfterBreak="0">
    <w:nsid w:val="06FD4D5A"/>
    <w:multiLevelType w:val="hybridMultilevel"/>
    <w:tmpl w:val="7F3CB164"/>
    <w:lvl w:ilvl="0" w:tplc="F14C7AE8">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A95CD54A">
      <w:numFmt w:val="bullet"/>
      <w:lvlText w:val="•"/>
      <w:lvlJc w:val="left"/>
      <w:pPr>
        <w:ind w:left="1442" w:hanging="529"/>
      </w:pPr>
      <w:rPr>
        <w:rFonts w:hint="default"/>
        <w:lang w:val="zh-CN" w:eastAsia="zh-CN" w:bidi="zh-CN"/>
      </w:rPr>
    </w:lvl>
    <w:lvl w:ilvl="2" w:tplc="2180B7BC">
      <w:numFmt w:val="bullet"/>
      <w:lvlText w:val="•"/>
      <w:lvlJc w:val="left"/>
      <w:pPr>
        <w:ind w:left="2465" w:hanging="529"/>
      </w:pPr>
      <w:rPr>
        <w:rFonts w:hint="default"/>
        <w:lang w:val="zh-CN" w:eastAsia="zh-CN" w:bidi="zh-CN"/>
      </w:rPr>
    </w:lvl>
    <w:lvl w:ilvl="3" w:tplc="459CF7F2">
      <w:numFmt w:val="bullet"/>
      <w:lvlText w:val="•"/>
      <w:lvlJc w:val="left"/>
      <w:pPr>
        <w:ind w:left="3487" w:hanging="529"/>
      </w:pPr>
      <w:rPr>
        <w:rFonts w:hint="default"/>
        <w:lang w:val="zh-CN" w:eastAsia="zh-CN" w:bidi="zh-CN"/>
      </w:rPr>
    </w:lvl>
    <w:lvl w:ilvl="4" w:tplc="BBDC6CD8">
      <w:numFmt w:val="bullet"/>
      <w:lvlText w:val="•"/>
      <w:lvlJc w:val="left"/>
      <w:pPr>
        <w:ind w:left="4510" w:hanging="529"/>
      </w:pPr>
      <w:rPr>
        <w:rFonts w:hint="default"/>
        <w:lang w:val="zh-CN" w:eastAsia="zh-CN" w:bidi="zh-CN"/>
      </w:rPr>
    </w:lvl>
    <w:lvl w:ilvl="5" w:tplc="14B84D0C">
      <w:numFmt w:val="bullet"/>
      <w:lvlText w:val="•"/>
      <w:lvlJc w:val="left"/>
      <w:pPr>
        <w:ind w:left="5533" w:hanging="529"/>
      </w:pPr>
      <w:rPr>
        <w:rFonts w:hint="default"/>
        <w:lang w:val="zh-CN" w:eastAsia="zh-CN" w:bidi="zh-CN"/>
      </w:rPr>
    </w:lvl>
    <w:lvl w:ilvl="6" w:tplc="56A68F78">
      <w:numFmt w:val="bullet"/>
      <w:lvlText w:val="•"/>
      <w:lvlJc w:val="left"/>
      <w:pPr>
        <w:ind w:left="6555" w:hanging="529"/>
      </w:pPr>
      <w:rPr>
        <w:rFonts w:hint="default"/>
        <w:lang w:val="zh-CN" w:eastAsia="zh-CN" w:bidi="zh-CN"/>
      </w:rPr>
    </w:lvl>
    <w:lvl w:ilvl="7" w:tplc="7874796E">
      <w:numFmt w:val="bullet"/>
      <w:lvlText w:val="•"/>
      <w:lvlJc w:val="left"/>
      <w:pPr>
        <w:ind w:left="7578" w:hanging="529"/>
      </w:pPr>
      <w:rPr>
        <w:rFonts w:hint="default"/>
        <w:lang w:val="zh-CN" w:eastAsia="zh-CN" w:bidi="zh-CN"/>
      </w:rPr>
    </w:lvl>
    <w:lvl w:ilvl="8" w:tplc="EF9A8524">
      <w:numFmt w:val="bullet"/>
      <w:lvlText w:val="•"/>
      <w:lvlJc w:val="left"/>
      <w:pPr>
        <w:ind w:left="8601" w:hanging="529"/>
      </w:pPr>
      <w:rPr>
        <w:rFonts w:hint="default"/>
        <w:lang w:val="zh-CN" w:eastAsia="zh-CN" w:bidi="zh-CN"/>
      </w:rPr>
    </w:lvl>
  </w:abstractNum>
  <w:abstractNum w:abstractNumId="62" w15:restartNumberingAfterBreak="0">
    <w:nsid w:val="06FD5A13"/>
    <w:multiLevelType w:val="hybridMultilevel"/>
    <w:tmpl w:val="C316A8EE"/>
    <w:lvl w:ilvl="0" w:tplc="2C54E6B4">
      <w:start w:val="6"/>
      <w:numFmt w:val="decimal"/>
      <w:lvlText w:val="%1"/>
      <w:lvlJc w:val="left"/>
      <w:pPr>
        <w:ind w:left="1263" w:hanging="424"/>
        <w:jc w:val="left"/>
      </w:pPr>
      <w:rPr>
        <w:rFonts w:hint="default"/>
        <w:lang w:val="zh-CN" w:eastAsia="zh-CN" w:bidi="zh-CN"/>
      </w:rPr>
    </w:lvl>
    <w:lvl w:ilvl="1" w:tplc="32AECCF6">
      <w:start w:val="13"/>
      <w:numFmt w:val="decimal"/>
      <w:lvlText w:val="%1.%2"/>
      <w:lvlJc w:val="left"/>
      <w:pPr>
        <w:ind w:left="1263" w:hanging="424"/>
        <w:jc w:val="left"/>
      </w:pPr>
      <w:rPr>
        <w:rFonts w:ascii="宋体" w:eastAsia="宋体" w:hAnsi="宋体" w:cs="宋体" w:hint="default"/>
        <w:b/>
        <w:bCs/>
        <w:w w:val="99"/>
        <w:sz w:val="19"/>
        <w:szCs w:val="19"/>
        <w:lang w:val="zh-CN" w:eastAsia="zh-CN" w:bidi="zh-CN"/>
      </w:rPr>
    </w:lvl>
    <w:lvl w:ilvl="2" w:tplc="9294C142">
      <w:numFmt w:val="bullet"/>
      <w:lvlText w:val="•"/>
      <w:lvlJc w:val="left"/>
      <w:pPr>
        <w:ind w:left="3137" w:hanging="424"/>
      </w:pPr>
      <w:rPr>
        <w:rFonts w:hint="default"/>
        <w:lang w:val="zh-CN" w:eastAsia="zh-CN" w:bidi="zh-CN"/>
      </w:rPr>
    </w:lvl>
    <w:lvl w:ilvl="3" w:tplc="7AFEE9C4">
      <w:numFmt w:val="bullet"/>
      <w:lvlText w:val="•"/>
      <w:lvlJc w:val="left"/>
      <w:pPr>
        <w:ind w:left="4075" w:hanging="424"/>
      </w:pPr>
      <w:rPr>
        <w:rFonts w:hint="default"/>
        <w:lang w:val="zh-CN" w:eastAsia="zh-CN" w:bidi="zh-CN"/>
      </w:rPr>
    </w:lvl>
    <w:lvl w:ilvl="4" w:tplc="B37AF604">
      <w:numFmt w:val="bullet"/>
      <w:lvlText w:val="•"/>
      <w:lvlJc w:val="left"/>
      <w:pPr>
        <w:ind w:left="5014" w:hanging="424"/>
      </w:pPr>
      <w:rPr>
        <w:rFonts w:hint="default"/>
        <w:lang w:val="zh-CN" w:eastAsia="zh-CN" w:bidi="zh-CN"/>
      </w:rPr>
    </w:lvl>
    <w:lvl w:ilvl="5" w:tplc="A20418AC">
      <w:numFmt w:val="bullet"/>
      <w:lvlText w:val="•"/>
      <w:lvlJc w:val="left"/>
      <w:pPr>
        <w:ind w:left="5953" w:hanging="424"/>
      </w:pPr>
      <w:rPr>
        <w:rFonts w:hint="default"/>
        <w:lang w:val="zh-CN" w:eastAsia="zh-CN" w:bidi="zh-CN"/>
      </w:rPr>
    </w:lvl>
    <w:lvl w:ilvl="6" w:tplc="F3FEF552">
      <w:numFmt w:val="bullet"/>
      <w:lvlText w:val="•"/>
      <w:lvlJc w:val="left"/>
      <w:pPr>
        <w:ind w:left="6891" w:hanging="424"/>
      </w:pPr>
      <w:rPr>
        <w:rFonts w:hint="default"/>
        <w:lang w:val="zh-CN" w:eastAsia="zh-CN" w:bidi="zh-CN"/>
      </w:rPr>
    </w:lvl>
    <w:lvl w:ilvl="7" w:tplc="04F68958">
      <w:numFmt w:val="bullet"/>
      <w:lvlText w:val="•"/>
      <w:lvlJc w:val="left"/>
      <w:pPr>
        <w:ind w:left="7830" w:hanging="424"/>
      </w:pPr>
      <w:rPr>
        <w:rFonts w:hint="default"/>
        <w:lang w:val="zh-CN" w:eastAsia="zh-CN" w:bidi="zh-CN"/>
      </w:rPr>
    </w:lvl>
    <w:lvl w:ilvl="8" w:tplc="6DD27722">
      <w:numFmt w:val="bullet"/>
      <w:lvlText w:val="•"/>
      <w:lvlJc w:val="left"/>
      <w:pPr>
        <w:ind w:left="8769" w:hanging="424"/>
      </w:pPr>
      <w:rPr>
        <w:rFonts w:hint="default"/>
        <w:lang w:val="zh-CN" w:eastAsia="zh-CN" w:bidi="zh-CN"/>
      </w:rPr>
    </w:lvl>
  </w:abstractNum>
  <w:abstractNum w:abstractNumId="63" w15:restartNumberingAfterBreak="0">
    <w:nsid w:val="07027802"/>
    <w:multiLevelType w:val="hybridMultilevel"/>
    <w:tmpl w:val="528645C6"/>
    <w:lvl w:ilvl="0" w:tplc="44D0405A">
      <w:start w:val="2"/>
      <w:numFmt w:val="decimal"/>
      <w:lvlText w:val="%1"/>
      <w:lvlJc w:val="left"/>
      <w:pPr>
        <w:ind w:left="1370" w:hanging="531"/>
        <w:jc w:val="left"/>
      </w:pPr>
      <w:rPr>
        <w:rFonts w:hint="default"/>
        <w:lang w:val="zh-CN" w:eastAsia="zh-CN" w:bidi="zh-CN"/>
      </w:rPr>
    </w:lvl>
    <w:lvl w:ilvl="1" w:tplc="440045FC">
      <w:start w:val="1"/>
      <w:numFmt w:val="decimal"/>
      <w:lvlText w:val="%1.%2"/>
      <w:lvlJc w:val="left"/>
      <w:pPr>
        <w:ind w:left="1370" w:hanging="531"/>
        <w:jc w:val="left"/>
      </w:pPr>
      <w:rPr>
        <w:rFonts w:hint="default"/>
        <w:lang w:val="zh-CN" w:eastAsia="zh-CN" w:bidi="zh-CN"/>
      </w:rPr>
    </w:lvl>
    <w:lvl w:ilvl="2" w:tplc="2B4C5B0A">
      <w:start w:val="9"/>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ED7A0494">
      <w:numFmt w:val="bullet"/>
      <w:lvlText w:val="•"/>
      <w:lvlJc w:val="left"/>
      <w:pPr>
        <w:ind w:left="4159" w:hanging="531"/>
      </w:pPr>
      <w:rPr>
        <w:rFonts w:hint="default"/>
        <w:lang w:val="zh-CN" w:eastAsia="zh-CN" w:bidi="zh-CN"/>
      </w:rPr>
    </w:lvl>
    <w:lvl w:ilvl="4" w:tplc="FBAA615E">
      <w:numFmt w:val="bullet"/>
      <w:lvlText w:val="•"/>
      <w:lvlJc w:val="left"/>
      <w:pPr>
        <w:ind w:left="5086" w:hanging="531"/>
      </w:pPr>
      <w:rPr>
        <w:rFonts w:hint="default"/>
        <w:lang w:val="zh-CN" w:eastAsia="zh-CN" w:bidi="zh-CN"/>
      </w:rPr>
    </w:lvl>
    <w:lvl w:ilvl="5" w:tplc="E2BAA79A">
      <w:numFmt w:val="bullet"/>
      <w:lvlText w:val="•"/>
      <w:lvlJc w:val="left"/>
      <w:pPr>
        <w:ind w:left="6013" w:hanging="531"/>
      </w:pPr>
      <w:rPr>
        <w:rFonts w:hint="default"/>
        <w:lang w:val="zh-CN" w:eastAsia="zh-CN" w:bidi="zh-CN"/>
      </w:rPr>
    </w:lvl>
    <w:lvl w:ilvl="6" w:tplc="5BE4902A">
      <w:numFmt w:val="bullet"/>
      <w:lvlText w:val="•"/>
      <w:lvlJc w:val="left"/>
      <w:pPr>
        <w:ind w:left="6939" w:hanging="531"/>
      </w:pPr>
      <w:rPr>
        <w:rFonts w:hint="default"/>
        <w:lang w:val="zh-CN" w:eastAsia="zh-CN" w:bidi="zh-CN"/>
      </w:rPr>
    </w:lvl>
    <w:lvl w:ilvl="7" w:tplc="1548B4AE">
      <w:numFmt w:val="bullet"/>
      <w:lvlText w:val="•"/>
      <w:lvlJc w:val="left"/>
      <w:pPr>
        <w:ind w:left="7866" w:hanging="531"/>
      </w:pPr>
      <w:rPr>
        <w:rFonts w:hint="default"/>
        <w:lang w:val="zh-CN" w:eastAsia="zh-CN" w:bidi="zh-CN"/>
      </w:rPr>
    </w:lvl>
    <w:lvl w:ilvl="8" w:tplc="03702722">
      <w:numFmt w:val="bullet"/>
      <w:lvlText w:val="•"/>
      <w:lvlJc w:val="left"/>
      <w:pPr>
        <w:ind w:left="8793" w:hanging="531"/>
      </w:pPr>
      <w:rPr>
        <w:rFonts w:hint="default"/>
        <w:lang w:val="zh-CN" w:eastAsia="zh-CN" w:bidi="zh-CN"/>
      </w:rPr>
    </w:lvl>
  </w:abstractNum>
  <w:abstractNum w:abstractNumId="64" w15:restartNumberingAfterBreak="0">
    <w:nsid w:val="071B57AA"/>
    <w:multiLevelType w:val="hybridMultilevel"/>
    <w:tmpl w:val="A83A22B4"/>
    <w:lvl w:ilvl="0" w:tplc="DA466C34">
      <w:start w:val="6"/>
      <w:numFmt w:val="decimal"/>
      <w:lvlText w:val="%1"/>
      <w:lvlJc w:val="left"/>
      <w:pPr>
        <w:ind w:left="418" w:hanging="529"/>
        <w:jc w:val="left"/>
      </w:pPr>
      <w:rPr>
        <w:rFonts w:hint="default"/>
        <w:lang w:val="zh-CN" w:eastAsia="zh-CN" w:bidi="zh-CN"/>
      </w:rPr>
    </w:lvl>
    <w:lvl w:ilvl="1" w:tplc="668CA632">
      <w:start w:val="3"/>
      <w:numFmt w:val="decimal"/>
      <w:lvlText w:val="%1.%2"/>
      <w:lvlJc w:val="left"/>
      <w:pPr>
        <w:ind w:left="418" w:hanging="529"/>
        <w:jc w:val="left"/>
      </w:pPr>
      <w:rPr>
        <w:rFonts w:hint="default"/>
        <w:lang w:val="zh-CN" w:eastAsia="zh-CN" w:bidi="zh-CN"/>
      </w:rPr>
    </w:lvl>
    <w:lvl w:ilvl="2" w:tplc="5FF6FC56">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287C6900">
      <w:numFmt w:val="bullet"/>
      <w:lvlText w:val="•"/>
      <w:lvlJc w:val="left"/>
      <w:pPr>
        <w:ind w:left="3487" w:hanging="529"/>
      </w:pPr>
      <w:rPr>
        <w:rFonts w:hint="default"/>
        <w:lang w:val="zh-CN" w:eastAsia="zh-CN" w:bidi="zh-CN"/>
      </w:rPr>
    </w:lvl>
    <w:lvl w:ilvl="4" w:tplc="8662BC62">
      <w:numFmt w:val="bullet"/>
      <w:lvlText w:val="•"/>
      <w:lvlJc w:val="left"/>
      <w:pPr>
        <w:ind w:left="4510" w:hanging="529"/>
      </w:pPr>
      <w:rPr>
        <w:rFonts w:hint="default"/>
        <w:lang w:val="zh-CN" w:eastAsia="zh-CN" w:bidi="zh-CN"/>
      </w:rPr>
    </w:lvl>
    <w:lvl w:ilvl="5" w:tplc="6FBC1234">
      <w:numFmt w:val="bullet"/>
      <w:lvlText w:val="•"/>
      <w:lvlJc w:val="left"/>
      <w:pPr>
        <w:ind w:left="5533" w:hanging="529"/>
      </w:pPr>
      <w:rPr>
        <w:rFonts w:hint="default"/>
        <w:lang w:val="zh-CN" w:eastAsia="zh-CN" w:bidi="zh-CN"/>
      </w:rPr>
    </w:lvl>
    <w:lvl w:ilvl="6" w:tplc="D77EBC76">
      <w:numFmt w:val="bullet"/>
      <w:lvlText w:val="•"/>
      <w:lvlJc w:val="left"/>
      <w:pPr>
        <w:ind w:left="6555" w:hanging="529"/>
      </w:pPr>
      <w:rPr>
        <w:rFonts w:hint="default"/>
        <w:lang w:val="zh-CN" w:eastAsia="zh-CN" w:bidi="zh-CN"/>
      </w:rPr>
    </w:lvl>
    <w:lvl w:ilvl="7" w:tplc="8CC4AE42">
      <w:numFmt w:val="bullet"/>
      <w:lvlText w:val="•"/>
      <w:lvlJc w:val="left"/>
      <w:pPr>
        <w:ind w:left="7578" w:hanging="529"/>
      </w:pPr>
      <w:rPr>
        <w:rFonts w:hint="default"/>
        <w:lang w:val="zh-CN" w:eastAsia="zh-CN" w:bidi="zh-CN"/>
      </w:rPr>
    </w:lvl>
    <w:lvl w:ilvl="8" w:tplc="A05EDCBA">
      <w:numFmt w:val="bullet"/>
      <w:lvlText w:val="•"/>
      <w:lvlJc w:val="left"/>
      <w:pPr>
        <w:ind w:left="8601" w:hanging="529"/>
      </w:pPr>
      <w:rPr>
        <w:rFonts w:hint="default"/>
        <w:lang w:val="zh-CN" w:eastAsia="zh-CN" w:bidi="zh-CN"/>
      </w:rPr>
    </w:lvl>
  </w:abstractNum>
  <w:abstractNum w:abstractNumId="65" w15:restartNumberingAfterBreak="0">
    <w:nsid w:val="071F6DFB"/>
    <w:multiLevelType w:val="hybridMultilevel"/>
    <w:tmpl w:val="F070C094"/>
    <w:lvl w:ilvl="0" w:tplc="5F52277E">
      <w:start w:val="7"/>
      <w:numFmt w:val="decimal"/>
      <w:lvlText w:val="%1"/>
      <w:lvlJc w:val="left"/>
      <w:pPr>
        <w:ind w:left="1369" w:hanging="529"/>
        <w:jc w:val="left"/>
      </w:pPr>
      <w:rPr>
        <w:rFonts w:hint="default"/>
        <w:lang w:val="zh-CN" w:eastAsia="zh-CN" w:bidi="zh-CN"/>
      </w:rPr>
    </w:lvl>
    <w:lvl w:ilvl="1" w:tplc="668EBD54">
      <w:start w:val="4"/>
      <w:numFmt w:val="decimal"/>
      <w:lvlText w:val="%1.%2"/>
      <w:lvlJc w:val="left"/>
      <w:pPr>
        <w:ind w:left="1369" w:hanging="529"/>
        <w:jc w:val="left"/>
      </w:pPr>
      <w:rPr>
        <w:rFonts w:hint="default"/>
        <w:lang w:val="zh-CN" w:eastAsia="zh-CN" w:bidi="zh-CN"/>
      </w:rPr>
    </w:lvl>
    <w:lvl w:ilvl="2" w:tplc="CBF4FE48">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DA14DCCC">
      <w:numFmt w:val="bullet"/>
      <w:lvlText w:val="•"/>
      <w:lvlJc w:val="left"/>
      <w:pPr>
        <w:ind w:left="4145" w:hanging="529"/>
      </w:pPr>
      <w:rPr>
        <w:rFonts w:hint="default"/>
        <w:lang w:val="zh-CN" w:eastAsia="zh-CN" w:bidi="zh-CN"/>
      </w:rPr>
    </w:lvl>
    <w:lvl w:ilvl="4" w:tplc="0D84D728">
      <w:numFmt w:val="bullet"/>
      <w:lvlText w:val="•"/>
      <w:lvlJc w:val="left"/>
      <w:pPr>
        <w:ind w:left="5074" w:hanging="529"/>
      </w:pPr>
      <w:rPr>
        <w:rFonts w:hint="default"/>
        <w:lang w:val="zh-CN" w:eastAsia="zh-CN" w:bidi="zh-CN"/>
      </w:rPr>
    </w:lvl>
    <w:lvl w:ilvl="5" w:tplc="D8D4F298">
      <w:numFmt w:val="bullet"/>
      <w:lvlText w:val="•"/>
      <w:lvlJc w:val="left"/>
      <w:pPr>
        <w:ind w:left="6003" w:hanging="529"/>
      </w:pPr>
      <w:rPr>
        <w:rFonts w:hint="default"/>
        <w:lang w:val="zh-CN" w:eastAsia="zh-CN" w:bidi="zh-CN"/>
      </w:rPr>
    </w:lvl>
    <w:lvl w:ilvl="6" w:tplc="53FA288E">
      <w:numFmt w:val="bullet"/>
      <w:lvlText w:val="•"/>
      <w:lvlJc w:val="left"/>
      <w:pPr>
        <w:ind w:left="6931" w:hanging="529"/>
      </w:pPr>
      <w:rPr>
        <w:rFonts w:hint="default"/>
        <w:lang w:val="zh-CN" w:eastAsia="zh-CN" w:bidi="zh-CN"/>
      </w:rPr>
    </w:lvl>
    <w:lvl w:ilvl="7" w:tplc="577E049A">
      <w:numFmt w:val="bullet"/>
      <w:lvlText w:val="•"/>
      <w:lvlJc w:val="left"/>
      <w:pPr>
        <w:ind w:left="7860" w:hanging="529"/>
      </w:pPr>
      <w:rPr>
        <w:rFonts w:hint="default"/>
        <w:lang w:val="zh-CN" w:eastAsia="zh-CN" w:bidi="zh-CN"/>
      </w:rPr>
    </w:lvl>
    <w:lvl w:ilvl="8" w:tplc="E494C67A">
      <w:numFmt w:val="bullet"/>
      <w:lvlText w:val="•"/>
      <w:lvlJc w:val="left"/>
      <w:pPr>
        <w:ind w:left="8789" w:hanging="529"/>
      </w:pPr>
      <w:rPr>
        <w:rFonts w:hint="default"/>
        <w:lang w:val="zh-CN" w:eastAsia="zh-CN" w:bidi="zh-CN"/>
      </w:rPr>
    </w:lvl>
  </w:abstractNum>
  <w:abstractNum w:abstractNumId="66" w15:restartNumberingAfterBreak="0">
    <w:nsid w:val="07212DC9"/>
    <w:multiLevelType w:val="hybridMultilevel"/>
    <w:tmpl w:val="6B90D462"/>
    <w:lvl w:ilvl="0" w:tplc="6C428252">
      <w:start w:val="7"/>
      <w:numFmt w:val="decimal"/>
      <w:lvlText w:val="%1"/>
      <w:lvlJc w:val="left"/>
      <w:pPr>
        <w:ind w:left="1158" w:hanging="318"/>
        <w:jc w:val="left"/>
      </w:pPr>
      <w:rPr>
        <w:rFonts w:hint="default"/>
        <w:lang w:val="zh-CN" w:eastAsia="zh-CN" w:bidi="zh-CN"/>
      </w:rPr>
    </w:lvl>
    <w:lvl w:ilvl="1" w:tplc="E1004362">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9A9E4C32">
      <w:start w:val="1"/>
      <w:numFmt w:val="decimal"/>
      <w:lvlText w:val="%1.%2.%3"/>
      <w:lvlJc w:val="left"/>
      <w:pPr>
        <w:ind w:left="838" w:hanging="531"/>
        <w:jc w:val="left"/>
      </w:pPr>
      <w:rPr>
        <w:rFonts w:ascii="宋体" w:eastAsia="宋体" w:hAnsi="宋体" w:cs="宋体" w:hint="default"/>
        <w:b/>
        <w:bCs/>
        <w:w w:val="99"/>
        <w:sz w:val="19"/>
        <w:szCs w:val="19"/>
        <w:lang w:val="zh-CN" w:eastAsia="zh-CN" w:bidi="zh-CN"/>
      </w:rPr>
    </w:lvl>
    <w:lvl w:ilvl="3" w:tplc="B0624AFC">
      <w:numFmt w:val="bullet"/>
      <w:lvlText w:val="•"/>
      <w:lvlJc w:val="left"/>
      <w:pPr>
        <w:ind w:left="2520" w:hanging="531"/>
      </w:pPr>
      <w:rPr>
        <w:rFonts w:hint="default"/>
        <w:lang w:val="zh-CN" w:eastAsia="zh-CN" w:bidi="zh-CN"/>
      </w:rPr>
    </w:lvl>
    <w:lvl w:ilvl="4" w:tplc="F2FAFC48">
      <w:numFmt w:val="bullet"/>
      <w:lvlText w:val="•"/>
      <w:lvlJc w:val="left"/>
      <w:pPr>
        <w:ind w:left="3681" w:hanging="531"/>
      </w:pPr>
      <w:rPr>
        <w:rFonts w:hint="default"/>
        <w:lang w:val="zh-CN" w:eastAsia="zh-CN" w:bidi="zh-CN"/>
      </w:rPr>
    </w:lvl>
    <w:lvl w:ilvl="5" w:tplc="0026137E">
      <w:numFmt w:val="bullet"/>
      <w:lvlText w:val="•"/>
      <w:lvlJc w:val="left"/>
      <w:pPr>
        <w:ind w:left="4842" w:hanging="531"/>
      </w:pPr>
      <w:rPr>
        <w:rFonts w:hint="default"/>
        <w:lang w:val="zh-CN" w:eastAsia="zh-CN" w:bidi="zh-CN"/>
      </w:rPr>
    </w:lvl>
    <w:lvl w:ilvl="6" w:tplc="35F6A4B0">
      <w:numFmt w:val="bullet"/>
      <w:lvlText w:val="•"/>
      <w:lvlJc w:val="left"/>
      <w:pPr>
        <w:ind w:left="6003" w:hanging="531"/>
      </w:pPr>
      <w:rPr>
        <w:rFonts w:hint="default"/>
        <w:lang w:val="zh-CN" w:eastAsia="zh-CN" w:bidi="zh-CN"/>
      </w:rPr>
    </w:lvl>
    <w:lvl w:ilvl="7" w:tplc="9C9EEE2A">
      <w:numFmt w:val="bullet"/>
      <w:lvlText w:val="•"/>
      <w:lvlJc w:val="left"/>
      <w:pPr>
        <w:ind w:left="7164" w:hanging="531"/>
      </w:pPr>
      <w:rPr>
        <w:rFonts w:hint="default"/>
        <w:lang w:val="zh-CN" w:eastAsia="zh-CN" w:bidi="zh-CN"/>
      </w:rPr>
    </w:lvl>
    <w:lvl w:ilvl="8" w:tplc="805E1A8A">
      <w:numFmt w:val="bullet"/>
      <w:lvlText w:val="•"/>
      <w:lvlJc w:val="left"/>
      <w:pPr>
        <w:ind w:left="8324" w:hanging="531"/>
      </w:pPr>
      <w:rPr>
        <w:rFonts w:hint="default"/>
        <w:lang w:val="zh-CN" w:eastAsia="zh-CN" w:bidi="zh-CN"/>
      </w:rPr>
    </w:lvl>
  </w:abstractNum>
  <w:abstractNum w:abstractNumId="67" w15:restartNumberingAfterBreak="0">
    <w:nsid w:val="07654FA6"/>
    <w:multiLevelType w:val="hybridMultilevel"/>
    <w:tmpl w:val="A544B1A0"/>
    <w:lvl w:ilvl="0" w:tplc="FBB4D186">
      <w:start w:val="4"/>
      <w:numFmt w:val="decimal"/>
      <w:lvlText w:val="%1"/>
      <w:lvlJc w:val="left"/>
      <w:pPr>
        <w:ind w:left="1370" w:hanging="531"/>
        <w:jc w:val="left"/>
      </w:pPr>
      <w:rPr>
        <w:rFonts w:hint="default"/>
        <w:lang w:val="zh-CN" w:eastAsia="zh-CN" w:bidi="zh-CN"/>
      </w:rPr>
    </w:lvl>
    <w:lvl w:ilvl="1" w:tplc="856A94B2">
      <w:start w:val="2"/>
      <w:numFmt w:val="decimal"/>
      <w:lvlText w:val="%1.%2"/>
      <w:lvlJc w:val="left"/>
      <w:pPr>
        <w:ind w:left="1370" w:hanging="531"/>
        <w:jc w:val="left"/>
      </w:pPr>
      <w:rPr>
        <w:rFonts w:hint="default"/>
        <w:lang w:val="zh-CN" w:eastAsia="zh-CN" w:bidi="zh-CN"/>
      </w:rPr>
    </w:lvl>
    <w:lvl w:ilvl="2" w:tplc="01264BD8">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19EA8048">
      <w:numFmt w:val="bullet"/>
      <w:lvlText w:val="•"/>
      <w:lvlJc w:val="left"/>
      <w:pPr>
        <w:ind w:left="4159" w:hanging="531"/>
      </w:pPr>
      <w:rPr>
        <w:rFonts w:hint="default"/>
        <w:lang w:val="zh-CN" w:eastAsia="zh-CN" w:bidi="zh-CN"/>
      </w:rPr>
    </w:lvl>
    <w:lvl w:ilvl="4" w:tplc="DEC839B0">
      <w:numFmt w:val="bullet"/>
      <w:lvlText w:val="•"/>
      <w:lvlJc w:val="left"/>
      <w:pPr>
        <w:ind w:left="5086" w:hanging="531"/>
      </w:pPr>
      <w:rPr>
        <w:rFonts w:hint="default"/>
        <w:lang w:val="zh-CN" w:eastAsia="zh-CN" w:bidi="zh-CN"/>
      </w:rPr>
    </w:lvl>
    <w:lvl w:ilvl="5" w:tplc="781EB3D0">
      <w:numFmt w:val="bullet"/>
      <w:lvlText w:val="•"/>
      <w:lvlJc w:val="left"/>
      <w:pPr>
        <w:ind w:left="6013" w:hanging="531"/>
      </w:pPr>
      <w:rPr>
        <w:rFonts w:hint="default"/>
        <w:lang w:val="zh-CN" w:eastAsia="zh-CN" w:bidi="zh-CN"/>
      </w:rPr>
    </w:lvl>
    <w:lvl w:ilvl="6" w:tplc="CCEE4060">
      <w:numFmt w:val="bullet"/>
      <w:lvlText w:val="•"/>
      <w:lvlJc w:val="left"/>
      <w:pPr>
        <w:ind w:left="6939" w:hanging="531"/>
      </w:pPr>
      <w:rPr>
        <w:rFonts w:hint="default"/>
        <w:lang w:val="zh-CN" w:eastAsia="zh-CN" w:bidi="zh-CN"/>
      </w:rPr>
    </w:lvl>
    <w:lvl w:ilvl="7" w:tplc="F8B02B7A">
      <w:numFmt w:val="bullet"/>
      <w:lvlText w:val="•"/>
      <w:lvlJc w:val="left"/>
      <w:pPr>
        <w:ind w:left="7866" w:hanging="531"/>
      </w:pPr>
      <w:rPr>
        <w:rFonts w:hint="default"/>
        <w:lang w:val="zh-CN" w:eastAsia="zh-CN" w:bidi="zh-CN"/>
      </w:rPr>
    </w:lvl>
    <w:lvl w:ilvl="8" w:tplc="41F230CA">
      <w:numFmt w:val="bullet"/>
      <w:lvlText w:val="•"/>
      <w:lvlJc w:val="left"/>
      <w:pPr>
        <w:ind w:left="8793" w:hanging="531"/>
      </w:pPr>
      <w:rPr>
        <w:rFonts w:hint="default"/>
        <w:lang w:val="zh-CN" w:eastAsia="zh-CN" w:bidi="zh-CN"/>
      </w:rPr>
    </w:lvl>
  </w:abstractNum>
  <w:abstractNum w:abstractNumId="68" w15:restartNumberingAfterBreak="0">
    <w:nsid w:val="07865B8A"/>
    <w:multiLevelType w:val="hybridMultilevel"/>
    <w:tmpl w:val="2A845B50"/>
    <w:lvl w:ilvl="0" w:tplc="A6E0736C">
      <w:start w:val="1"/>
      <w:numFmt w:val="decimal"/>
      <w:lvlText w:val="%1）"/>
      <w:lvlJc w:val="left"/>
      <w:pPr>
        <w:ind w:left="1155" w:hanging="318"/>
        <w:jc w:val="left"/>
      </w:pPr>
      <w:rPr>
        <w:rFonts w:ascii="宋体" w:eastAsia="宋体" w:hAnsi="宋体" w:cs="宋体" w:hint="default"/>
        <w:w w:val="100"/>
        <w:sz w:val="19"/>
        <w:szCs w:val="19"/>
        <w:lang w:val="zh-CN" w:eastAsia="zh-CN" w:bidi="zh-CN"/>
      </w:rPr>
    </w:lvl>
    <w:lvl w:ilvl="1" w:tplc="6190500C">
      <w:numFmt w:val="bullet"/>
      <w:lvlText w:val="•"/>
      <w:lvlJc w:val="left"/>
      <w:pPr>
        <w:ind w:left="2108" w:hanging="318"/>
      </w:pPr>
      <w:rPr>
        <w:rFonts w:hint="default"/>
        <w:lang w:val="zh-CN" w:eastAsia="zh-CN" w:bidi="zh-CN"/>
      </w:rPr>
    </w:lvl>
    <w:lvl w:ilvl="2" w:tplc="3A92500A">
      <w:numFmt w:val="bullet"/>
      <w:lvlText w:val="•"/>
      <w:lvlJc w:val="left"/>
      <w:pPr>
        <w:ind w:left="3057" w:hanging="318"/>
      </w:pPr>
      <w:rPr>
        <w:rFonts w:hint="default"/>
        <w:lang w:val="zh-CN" w:eastAsia="zh-CN" w:bidi="zh-CN"/>
      </w:rPr>
    </w:lvl>
    <w:lvl w:ilvl="3" w:tplc="10C0E45E">
      <w:numFmt w:val="bullet"/>
      <w:lvlText w:val="•"/>
      <w:lvlJc w:val="left"/>
      <w:pPr>
        <w:ind w:left="4005" w:hanging="318"/>
      </w:pPr>
      <w:rPr>
        <w:rFonts w:hint="default"/>
        <w:lang w:val="zh-CN" w:eastAsia="zh-CN" w:bidi="zh-CN"/>
      </w:rPr>
    </w:lvl>
    <w:lvl w:ilvl="4" w:tplc="844E2C0A">
      <w:numFmt w:val="bullet"/>
      <w:lvlText w:val="•"/>
      <w:lvlJc w:val="left"/>
      <w:pPr>
        <w:ind w:left="4954" w:hanging="318"/>
      </w:pPr>
      <w:rPr>
        <w:rFonts w:hint="default"/>
        <w:lang w:val="zh-CN" w:eastAsia="zh-CN" w:bidi="zh-CN"/>
      </w:rPr>
    </w:lvl>
    <w:lvl w:ilvl="5" w:tplc="FB06B9FA">
      <w:numFmt w:val="bullet"/>
      <w:lvlText w:val="•"/>
      <w:lvlJc w:val="left"/>
      <w:pPr>
        <w:ind w:left="5903" w:hanging="318"/>
      </w:pPr>
      <w:rPr>
        <w:rFonts w:hint="default"/>
        <w:lang w:val="zh-CN" w:eastAsia="zh-CN" w:bidi="zh-CN"/>
      </w:rPr>
    </w:lvl>
    <w:lvl w:ilvl="6" w:tplc="633A43F2">
      <w:numFmt w:val="bullet"/>
      <w:lvlText w:val="•"/>
      <w:lvlJc w:val="left"/>
      <w:pPr>
        <w:ind w:left="6851" w:hanging="318"/>
      </w:pPr>
      <w:rPr>
        <w:rFonts w:hint="default"/>
        <w:lang w:val="zh-CN" w:eastAsia="zh-CN" w:bidi="zh-CN"/>
      </w:rPr>
    </w:lvl>
    <w:lvl w:ilvl="7" w:tplc="275084F2">
      <w:numFmt w:val="bullet"/>
      <w:lvlText w:val="•"/>
      <w:lvlJc w:val="left"/>
      <w:pPr>
        <w:ind w:left="7800" w:hanging="318"/>
      </w:pPr>
      <w:rPr>
        <w:rFonts w:hint="default"/>
        <w:lang w:val="zh-CN" w:eastAsia="zh-CN" w:bidi="zh-CN"/>
      </w:rPr>
    </w:lvl>
    <w:lvl w:ilvl="8" w:tplc="B2C25A32">
      <w:numFmt w:val="bullet"/>
      <w:lvlText w:val="•"/>
      <w:lvlJc w:val="left"/>
      <w:pPr>
        <w:ind w:left="8749" w:hanging="318"/>
      </w:pPr>
      <w:rPr>
        <w:rFonts w:hint="default"/>
        <w:lang w:val="zh-CN" w:eastAsia="zh-CN" w:bidi="zh-CN"/>
      </w:rPr>
    </w:lvl>
  </w:abstractNum>
  <w:abstractNum w:abstractNumId="69" w15:restartNumberingAfterBreak="0">
    <w:nsid w:val="07946757"/>
    <w:multiLevelType w:val="hybridMultilevel"/>
    <w:tmpl w:val="6D585BBA"/>
    <w:lvl w:ilvl="0" w:tplc="876CA6F2">
      <w:start w:val="1"/>
      <w:numFmt w:val="lowerLetter"/>
      <w:lvlText w:val="%1)"/>
      <w:lvlJc w:val="left"/>
      <w:pPr>
        <w:ind w:left="1050" w:hanging="213"/>
        <w:jc w:val="left"/>
      </w:pPr>
      <w:rPr>
        <w:rFonts w:ascii="宋体" w:eastAsia="宋体" w:hAnsi="宋体" w:cs="宋体" w:hint="default"/>
        <w:spacing w:val="-52"/>
        <w:w w:val="100"/>
        <w:sz w:val="19"/>
        <w:szCs w:val="19"/>
        <w:lang w:val="zh-CN" w:eastAsia="zh-CN" w:bidi="zh-CN"/>
      </w:rPr>
    </w:lvl>
    <w:lvl w:ilvl="1" w:tplc="3F32C542">
      <w:numFmt w:val="bullet"/>
      <w:lvlText w:val="•"/>
      <w:lvlJc w:val="left"/>
      <w:pPr>
        <w:ind w:left="2018" w:hanging="213"/>
      </w:pPr>
      <w:rPr>
        <w:rFonts w:hint="default"/>
        <w:lang w:val="zh-CN" w:eastAsia="zh-CN" w:bidi="zh-CN"/>
      </w:rPr>
    </w:lvl>
    <w:lvl w:ilvl="2" w:tplc="F94C5ECA">
      <w:numFmt w:val="bullet"/>
      <w:lvlText w:val="•"/>
      <w:lvlJc w:val="left"/>
      <w:pPr>
        <w:ind w:left="2977" w:hanging="213"/>
      </w:pPr>
      <w:rPr>
        <w:rFonts w:hint="default"/>
        <w:lang w:val="zh-CN" w:eastAsia="zh-CN" w:bidi="zh-CN"/>
      </w:rPr>
    </w:lvl>
    <w:lvl w:ilvl="3" w:tplc="BFE2DEEA">
      <w:numFmt w:val="bullet"/>
      <w:lvlText w:val="•"/>
      <w:lvlJc w:val="left"/>
      <w:pPr>
        <w:ind w:left="3935" w:hanging="213"/>
      </w:pPr>
      <w:rPr>
        <w:rFonts w:hint="default"/>
        <w:lang w:val="zh-CN" w:eastAsia="zh-CN" w:bidi="zh-CN"/>
      </w:rPr>
    </w:lvl>
    <w:lvl w:ilvl="4" w:tplc="5AF61FE6">
      <w:numFmt w:val="bullet"/>
      <w:lvlText w:val="•"/>
      <w:lvlJc w:val="left"/>
      <w:pPr>
        <w:ind w:left="4894" w:hanging="213"/>
      </w:pPr>
      <w:rPr>
        <w:rFonts w:hint="default"/>
        <w:lang w:val="zh-CN" w:eastAsia="zh-CN" w:bidi="zh-CN"/>
      </w:rPr>
    </w:lvl>
    <w:lvl w:ilvl="5" w:tplc="45B6B7B0">
      <w:numFmt w:val="bullet"/>
      <w:lvlText w:val="•"/>
      <w:lvlJc w:val="left"/>
      <w:pPr>
        <w:ind w:left="5853" w:hanging="213"/>
      </w:pPr>
      <w:rPr>
        <w:rFonts w:hint="default"/>
        <w:lang w:val="zh-CN" w:eastAsia="zh-CN" w:bidi="zh-CN"/>
      </w:rPr>
    </w:lvl>
    <w:lvl w:ilvl="6" w:tplc="8D6C0264">
      <w:numFmt w:val="bullet"/>
      <w:lvlText w:val="•"/>
      <w:lvlJc w:val="left"/>
      <w:pPr>
        <w:ind w:left="6811" w:hanging="213"/>
      </w:pPr>
      <w:rPr>
        <w:rFonts w:hint="default"/>
        <w:lang w:val="zh-CN" w:eastAsia="zh-CN" w:bidi="zh-CN"/>
      </w:rPr>
    </w:lvl>
    <w:lvl w:ilvl="7" w:tplc="0C50CE56">
      <w:numFmt w:val="bullet"/>
      <w:lvlText w:val="•"/>
      <w:lvlJc w:val="left"/>
      <w:pPr>
        <w:ind w:left="7770" w:hanging="213"/>
      </w:pPr>
      <w:rPr>
        <w:rFonts w:hint="default"/>
        <w:lang w:val="zh-CN" w:eastAsia="zh-CN" w:bidi="zh-CN"/>
      </w:rPr>
    </w:lvl>
    <w:lvl w:ilvl="8" w:tplc="77E283FC">
      <w:numFmt w:val="bullet"/>
      <w:lvlText w:val="•"/>
      <w:lvlJc w:val="left"/>
      <w:pPr>
        <w:ind w:left="8729" w:hanging="213"/>
      </w:pPr>
      <w:rPr>
        <w:rFonts w:hint="default"/>
        <w:lang w:val="zh-CN" w:eastAsia="zh-CN" w:bidi="zh-CN"/>
      </w:rPr>
    </w:lvl>
  </w:abstractNum>
  <w:abstractNum w:abstractNumId="70" w15:restartNumberingAfterBreak="0">
    <w:nsid w:val="079810C0"/>
    <w:multiLevelType w:val="hybridMultilevel"/>
    <w:tmpl w:val="AA589BFC"/>
    <w:lvl w:ilvl="0" w:tplc="7994C5C4">
      <w:start w:val="2"/>
      <w:numFmt w:val="decimal"/>
      <w:lvlText w:val="%1."/>
      <w:lvlJc w:val="left"/>
      <w:pPr>
        <w:ind w:left="418" w:hanging="213"/>
        <w:jc w:val="left"/>
      </w:pPr>
      <w:rPr>
        <w:rFonts w:ascii="宋体" w:eastAsia="宋体" w:hAnsi="宋体" w:cs="宋体" w:hint="default"/>
        <w:color w:val="333333"/>
        <w:spacing w:val="-53"/>
        <w:w w:val="100"/>
        <w:sz w:val="19"/>
        <w:szCs w:val="19"/>
        <w:lang w:val="zh-CN" w:eastAsia="zh-CN" w:bidi="zh-CN"/>
      </w:rPr>
    </w:lvl>
    <w:lvl w:ilvl="1" w:tplc="902091AC">
      <w:numFmt w:val="bullet"/>
      <w:lvlText w:val="•"/>
      <w:lvlJc w:val="left"/>
      <w:pPr>
        <w:ind w:left="1442" w:hanging="213"/>
      </w:pPr>
      <w:rPr>
        <w:rFonts w:hint="default"/>
        <w:lang w:val="zh-CN" w:eastAsia="zh-CN" w:bidi="zh-CN"/>
      </w:rPr>
    </w:lvl>
    <w:lvl w:ilvl="2" w:tplc="1844601E">
      <w:numFmt w:val="bullet"/>
      <w:lvlText w:val="•"/>
      <w:lvlJc w:val="left"/>
      <w:pPr>
        <w:ind w:left="2465" w:hanging="213"/>
      </w:pPr>
      <w:rPr>
        <w:rFonts w:hint="default"/>
        <w:lang w:val="zh-CN" w:eastAsia="zh-CN" w:bidi="zh-CN"/>
      </w:rPr>
    </w:lvl>
    <w:lvl w:ilvl="3" w:tplc="C27C934C">
      <w:numFmt w:val="bullet"/>
      <w:lvlText w:val="•"/>
      <w:lvlJc w:val="left"/>
      <w:pPr>
        <w:ind w:left="3487" w:hanging="213"/>
      </w:pPr>
      <w:rPr>
        <w:rFonts w:hint="default"/>
        <w:lang w:val="zh-CN" w:eastAsia="zh-CN" w:bidi="zh-CN"/>
      </w:rPr>
    </w:lvl>
    <w:lvl w:ilvl="4" w:tplc="72A253CE">
      <w:numFmt w:val="bullet"/>
      <w:lvlText w:val="•"/>
      <w:lvlJc w:val="left"/>
      <w:pPr>
        <w:ind w:left="4510" w:hanging="213"/>
      </w:pPr>
      <w:rPr>
        <w:rFonts w:hint="default"/>
        <w:lang w:val="zh-CN" w:eastAsia="zh-CN" w:bidi="zh-CN"/>
      </w:rPr>
    </w:lvl>
    <w:lvl w:ilvl="5" w:tplc="7B4220F8">
      <w:numFmt w:val="bullet"/>
      <w:lvlText w:val="•"/>
      <w:lvlJc w:val="left"/>
      <w:pPr>
        <w:ind w:left="5533" w:hanging="213"/>
      </w:pPr>
      <w:rPr>
        <w:rFonts w:hint="default"/>
        <w:lang w:val="zh-CN" w:eastAsia="zh-CN" w:bidi="zh-CN"/>
      </w:rPr>
    </w:lvl>
    <w:lvl w:ilvl="6" w:tplc="18A4B0E6">
      <w:numFmt w:val="bullet"/>
      <w:lvlText w:val="•"/>
      <w:lvlJc w:val="left"/>
      <w:pPr>
        <w:ind w:left="6555" w:hanging="213"/>
      </w:pPr>
      <w:rPr>
        <w:rFonts w:hint="default"/>
        <w:lang w:val="zh-CN" w:eastAsia="zh-CN" w:bidi="zh-CN"/>
      </w:rPr>
    </w:lvl>
    <w:lvl w:ilvl="7" w:tplc="1382D564">
      <w:numFmt w:val="bullet"/>
      <w:lvlText w:val="•"/>
      <w:lvlJc w:val="left"/>
      <w:pPr>
        <w:ind w:left="7578" w:hanging="213"/>
      </w:pPr>
      <w:rPr>
        <w:rFonts w:hint="default"/>
        <w:lang w:val="zh-CN" w:eastAsia="zh-CN" w:bidi="zh-CN"/>
      </w:rPr>
    </w:lvl>
    <w:lvl w:ilvl="8" w:tplc="DE36445C">
      <w:numFmt w:val="bullet"/>
      <w:lvlText w:val="•"/>
      <w:lvlJc w:val="left"/>
      <w:pPr>
        <w:ind w:left="8601" w:hanging="213"/>
      </w:pPr>
      <w:rPr>
        <w:rFonts w:hint="default"/>
        <w:lang w:val="zh-CN" w:eastAsia="zh-CN" w:bidi="zh-CN"/>
      </w:rPr>
    </w:lvl>
  </w:abstractNum>
  <w:abstractNum w:abstractNumId="71" w15:restartNumberingAfterBreak="0">
    <w:nsid w:val="07D47921"/>
    <w:multiLevelType w:val="hybridMultilevel"/>
    <w:tmpl w:val="5F3CEED2"/>
    <w:lvl w:ilvl="0" w:tplc="AFBC596A">
      <w:start w:val="8"/>
      <w:numFmt w:val="decimal"/>
      <w:lvlText w:val="%1"/>
      <w:lvlJc w:val="left"/>
      <w:pPr>
        <w:ind w:left="1369" w:hanging="529"/>
        <w:jc w:val="left"/>
      </w:pPr>
      <w:rPr>
        <w:rFonts w:hint="default"/>
        <w:lang w:val="zh-CN" w:eastAsia="zh-CN" w:bidi="zh-CN"/>
      </w:rPr>
    </w:lvl>
    <w:lvl w:ilvl="1" w:tplc="9E664AAA">
      <w:start w:val="2"/>
      <w:numFmt w:val="decimal"/>
      <w:lvlText w:val="%1.%2"/>
      <w:lvlJc w:val="left"/>
      <w:pPr>
        <w:ind w:left="1369" w:hanging="529"/>
        <w:jc w:val="left"/>
      </w:pPr>
      <w:rPr>
        <w:rFonts w:hint="default"/>
        <w:lang w:val="zh-CN" w:eastAsia="zh-CN" w:bidi="zh-CN"/>
      </w:rPr>
    </w:lvl>
    <w:lvl w:ilvl="2" w:tplc="E74864C6">
      <w:start w:val="3"/>
      <w:numFmt w:val="decimal"/>
      <w:lvlText w:val="%1.%2.%3"/>
      <w:lvlJc w:val="left"/>
      <w:pPr>
        <w:ind w:left="1369" w:hanging="529"/>
        <w:jc w:val="left"/>
      </w:pPr>
      <w:rPr>
        <w:rFonts w:ascii="宋体" w:eastAsia="宋体" w:hAnsi="宋体" w:cs="宋体" w:hint="default"/>
        <w:b/>
        <w:bCs/>
        <w:color w:val="333333"/>
        <w:w w:val="99"/>
        <w:sz w:val="19"/>
        <w:szCs w:val="19"/>
        <w:lang w:val="zh-CN" w:eastAsia="zh-CN" w:bidi="zh-CN"/>
      </w:rPr>
    </w:lvl>
    <w:lvl w:ilvl="3" w:tplc="93BC0C74">
      <w:numFmt w:val="bullet"/>
      <w:lvlText w:val="•"/>
      <w:lvlJc w:val="left"/>
      <w:pPr>
        <w:ind w:left="4145" w:hanging="529"/>
      </w:pPr>
      <w:rPr>
        <w:rFonts w:hint="default"/>
        <w:lang w:val="zh-CN" w:eastAsia="zh-CN" w:bidi="zh-CN"/>
      </w:rPr>
    </w:lvl>
    <w:lvl w:ilvl="4" w:tplc="1BE0A054">
      <w:numFmt w:val="bullet"/>
      <w:lvlText w:val="•"/>
      <w:lvlJc w:val="left"/>
      <w:pPr>
        <w:ind w:left="5074" w:hanging="529"/>
      </w:pPr>
      <w:rPr>
        <w:rFonts w:hint="default"/>
        <w:lang w:val="zh-CN" w:eastAsia="zh-CN" w:bidi="zh-CN"/>
      </w:rPr>
    </w:lvl>
    <w:lvl w:ilvl="5" w:tplc="46242F10">
      <w:numFmt w:val="bullet"/>
      <w:lvlText w:val="•"/>
      <w:lvlJc w:val="left"/>
      <w:pPr>
        <w:ind w:left="6003" w:hanging="529"/>
      </w:pPr>
      <w:rPr>
        <w:rFonts w:hint="default"/>
        <w:lang w:val="zh-CN" w:eastAsia="zh-CN" w:bidi="zh-CN"/>
      </w:rPr>
    </w:lvl>
    <w:lvl w:ilvl="6" w:tplc="01CA008C">
      <w:numFmt w:val="bullet"/>
      <w:lvlText w:val="•"/>
      <w:lvlJc w:val="left"/>
      <w:pPr>
        <w:ind w:left="6931" w:hanging="529"/>
      </w:pPr>
      <w:rPr>
        <w:rFonts w:hint="default"/>
        <w:lang w:val="zh-CN" w:eastAsia="zh-CN" w:bidi="zh-CN"/>
      </w:rPr>
    </w:lvl>
    <w:lvl w:ilvl="7" w:tplc="5F3E2D42">
      <w:numFmt w:val="bullet"/>
      <w:lvlText w:val="•"/>
      <w:lvlJc w:val="left"/>
      <w:pPr>
        <w:ind w:left="7860" w:hanging="529"/>
      </w:pPr>
      <w:rPr>
        <w:rFonts w:hint="default"/>
        <w:lang w:val="zh-CN" w:eastAsia="zh-CN" w:bidi="zh-CN"/>
      </w:rPr>
    </w:lvl>
    <w:lvl w:ilvl="8" w:tplc="BA084B4A">
      <w:numFmt w:val="bullet"/>
      <w:lvlText w:val="•"/>
      <w:lvlJc w:val="left"/>
      <w:pPr>
        <w:ind w:left="8789" w:hanging="529"/>
      </w:pPr>
      <w:rPr>
        <w:rFonts w:hint="default"/>
        <w:lang w:val="zh-CN" w:eastAsia="zh-CN" w:bidi="zh-CN"/>
      </w:rPr>
    </w:lvl>
  </w:abstractNum>
  <w:abstractNum w:abstractNumId="72" w15:restartNumberingAfterBreak="0">
    <w:nsid w:val="07E349B2"/>
    <w:multiLevelType w:val="hybridMultilevel"/>
    <w:tmpl w:val="E53A82A8"/>
    <w:lvl w:ilvl="0" w:tplc="F258C38C">
      <w:start w:val="4"/>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817E206E">
      <w:numFmt w:val="bullet"/>
      <w:lvlText w:val="•"/>
      <w:lvlJc w:val="left"/>
      <w:pPr>
        <w:ind w:left="2018" w:hanging="213"/>
      </w:pPr>
      <w:rPr>
        <w:rFonts w:hint="default"/>
        <w:lang w:val="zh-CN" w:eastAsia="zh-CN" w:bidi="zh-CN"/>
      </w:rPr>
    </w:lvl>
    <w:lvl w:ilvl="2" w:tplc="7C3EF556">
      <w:numFmt w:val="bullet"/>
      <w:lvlText w:val="•"/>
      <w:lvlJc w:val="left"/>
      <w:pPr>
        <w:ind w:left="2977" w:hanging="213"/>
      </w:pPr>
      <w:rPr>
        <w:rFonts w:hint="default"/>
        <w:lang w:val="zh-CN" w:eastAsia="zh-CN" w:bidi="zh-CN"/>
      </w:rPr>
    </w:lvl>
    <w:lvl w:ilvl="3" w:tplc="A8ECD68A">
      <w:numFmt w:val="bullet"/>
      <w:lvlText w:val="•"/>
      <w:lvlJc w:val="left"/>
      <w:pPr>
        <w:ind w:left="3935" w:hanging="213"/>
      </w:pPr>
      <w:rPr>
        <w:rFonts w:hint="default"/>
        <w:lang w:val="zh-CN" w:eastAsia="zh-CN" w:bidi="zh-CN"/>
      </w:rPr>
    </w:lvl>
    <w:lvl w:ilvl="4" w:tplc="E5965248">
      <w:numFmt w:val="bullet"/>
      <w:lvlText w:val="•"/>
      <w:lvlJc w:val="left"/>
      <w:pPr>
        <w:ind w:left="4894" w:hanging="213"/>
      </w:pPr>
      <w:rPr>
        <w:rFonts w:hint="default"/>
        <w:lang w:val="zh-CN" w:eastAsia="zh-CN" w:bidi="zh-CN"/>
      </w:rPr>
    </w:lvl>
    <w:lvl w:ilvl="5" w:tplc="E8C683CC">
      <w:numFmt w:val="bullet"/>
      <w:lvlText w:val="•"/>
      <w:lvlJc w:val="left"/>
      <w:pPr>
        <w:ind w:left="5853" w:hanging="213"/>
      </w:pPr>
      <w:rPr>
        <w:rFonts w:hint="default"/>
        <w:lang w:val="zh-CN" w:eastAsia="zh-CN" w:bidi="zh-CN"/>
      </w:rPr>
    </w:lvl>
    <w:lvl w:ilvl="6" w:tplc="C7361C1C">
      <w:numFmt w:val="bullet"/>
      <w:lvlText w:val="•"/>
      <w:lvlJc w:val="left"/>
      <w:pPr>
        <w:ind w:left="6811" w:hanging="213"/>
      </w:pPr>
      <w:rPr>
        <w:rFonts w:hint="default"/>
        <w:lang w:val="zh-CN" w:eastAsia="zh-CN" w:bidi="zh-CN"/>
      </w:rPr>
    </w:lvl>
    <w:lvl w:ilvl="7" w:tplc="A4304F34">
      <w:numFmt w:val="bullet"/>
      <w:lvlText w:val="•"/>
      <w:lvlJc w:val="left"/>
      <w:pPr>
        <w:ind w:left="7770" w:hanging="213"/>
      </w:pPr>
      <w:rPr>
        <w:rFonts w:hint="default"/>
        <w:lang w:val="zh-CN" w:eastAsia="zh-CN" w:bidi="zh-CN"/>
      </w:rPr>
    </w:lvl>
    <w:lvl w:ilvl="8" w:tplc="E430991C">
      <w:numFmt w:val="bullet"/>
      <w:lvlText w:val="•"/>
      <w:lvlJc w:val="left"/>
      <w:pPr>
        <w:ind w:left="8729" w:hanging="213"/>
      </w:pPr>
      <w:rPr>
        <w:rFonts w:hint="default"/>
        <w:lang w:val="zh-CN" w:eastAsia="zh-CN" w:bidi="zh-CN"/>
      </w:rPr>
    </w:lvl>
  </w:abstractNum>
  <w:abstractNum w:abstractNumId="73" w15:restartNumberingAfterBreak="0">
    <w:nsid w:val="080F6163"/>
    <w:multiLevelType w:val="hybridMultilevel"/>
    <w:tmpl w:val="9948D1DC"/>
    <w:lvl w:ilvl="0" w:tplc="6D34E448">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4CD8766E">
      <w:numFmt w:val="bullet"/>
      <w:lvlText w:val="•"/>
      <w:lvlJc w:val="left"/>
      <w:pPr>
        <w:ind w:left="1442" w:hanging="529"/>
      </w:pPr>
      <w:rPr>
        <w:rFonts w:hint="default"/>
        <w:lang w:val="zh-CN" w:eastAsia="zh-CN" w:bidi="zh-CN"/>
      </w:rPr>
    </w:lvl>
    <w:lvl w:ilvl="2" w:tplc="FDB22F38">
      <w:numFmt w:val="bullet"/>
      <w:lvlText w:val="•"/>
      <w:lvlJc w:val="left"/>
      <w:pPr>
        <w:ind w:left="2465" w:hanging="529"/>
      </w:pPr>
      <w:rPr>
        <w:rFonts w:hint="default"/>
        <w:lang w:val="zh-CN" w:eastAsia="zh-CN" w:bidi="zh-CN"/>
      </w:rPr>
    </w:lvl>
    <w:lvl w:ilvl="3" w:tplc="0278145C">
      <w:numFmt w:val="bullet"/>
      <w:lvlText w:val="•"/>
      <w:lvlJc w:val="left"/>
      <w:pPr>
        <w:ind w:left="3487" w:hanging="529"/>
      </w:pPr>
      <w:rPr>
        <w:rFonts w:hint="default"/>
        <w:lang w:val="zh-CN" w:eastAsia="zh-CN" w:bidi="zh-CN"/>
      </w:rPr>
    </w:lvl>
    <w:lvl w:ilvl="4" w:tplc="8BB64C68">
      <w:numFmt w:val="bullet"/>
      <w:lvlText w:val="•"/>
      <w:lvlJc w:val="left"/>
      <w:pPr>
        <w:ind w:left="4510" w:hanging="529"/>
      </w:pPr>
      <w:rPr>
        <w:rFonts w:hint="default"/>
        <w:lang w:val="zh-CN" w:eastAsia="zh-CN" w:bidi="zh-CN"/>
      </w:rPr>
    </w:lvl>
    <w:lvl w:ilvl="5" w:tplc="98929512">
      <w:numFmt w:val="bullet"/>
      <w:lvlText w:val="•"/>
      <w:lvlJc w:val="left"/>
      <w:pPr>
        <w:ind w:left="5533" w:hanging="529"/>
      </w:pPr>
      <w:rPr>
        <w:rFonts w:hint="default"/>
        <w:lang w:val="zh-CN" w:eastAsia="zh-CN" w:bidi="zh-CN"/>
      </w:rPr>
    </w:lvl>
    <w:lvl w:ilvl="6" w:tplc="57444D2E">
      <w:numFmt w:val="bullet"/>
      <w:lvlText w:val="•"/>
      <w:lvlJc w:val="left"/>
      <w:pPr>
        <w:ind w:left="6555" w:hanging="529"/>
      </w:pPr>
      <w:rPr>
        <w:rFonts w:hint="default"/>
        <w:lang w:val="zh-CN" w:eastAsia="zh-CN" w:bidi="zh-CN"/>
      </w:rPr>
    </w:lvl>
    <w:lvl w:ilvl="7" w:tplc="3E384744">
      <w:numFmt w:val="bullet"/>
      <w:lvlText w:val="•"/>
      <w:lvlJc w:val="left"/>
      <w:pPr>
        <w:ind w:left="7578" w:hanging="529"/>
      </w:pPr>
      <w:rPr>
        <w:rFonts w:hint="default"/>
        <w:lang w:val="zh-CN" w:eastAsia="zh-CN" w:bidi="zh-CN"/>
      </w:rPr>
    </w:lvl>
    <w:lvl w:ilvl="8" w:tplc="77C4FBE4">
      <w:numFmt w:val="bullet"/>
      <w:lvlText w:val="•"/>
      <w:lvlJc w:val="left"/>
      <w:pPr>
        <w:ind w:left="8601" w:hanging="529"/>
      </w:pPr>
      <w:rPr>
        <w:rFonts w:hint="default"/>
        <w:lang w:val="zh-CN" w:eastAsia="zh-CN" w:bidi="zh-CN"/>
      </w:rPr>
    </w:lvl>
  </w:abstractNum>
  <w:abstractNum w:abstractNumId="74" w15:restartNumberingAfterBreak="0">
    <w:nsid w:val="0874729F"/>
    <w:multiLevelType w:val="hybridMultilevel"/>
    <w:tmpl w:val="05E0A1BC"/>
    <w:lvl w:ilvl="0" w:tplc="1A92D41C">
      <w:start w:val="4"/>
      <w:numFmt w:val="decimal"/>
      <w:lvlText w:val="%1"/>
      <w:lvlJc w:val="left"/>
      <w:pPr>
        <w:ind w:left="1369" w:hanging="529"/>
        <w:jc w:val="left"/>
      </w:pPr>
      <w:rPr>
        <w:rFonts w:hint="default"/>
        <w:lang w:val="zh-CN" w:eastAsia="zh-CN" w:bidi="zh-CN"/>
      </w:rPr>
    </w:lvl>
    <w:lvl w:ilvl="1" w:tplc="B55AF5A8">
      <w:start w:val="3"/>
      <w:numFmt w:val="decimal"/>
      <w:lvlText w:val="%1.%2"/>
      <w:lvlJc w:val="left"/>
      <w:pPr>
        <w:ind w:left="1369" w:hanging="529"/>
        <w:jc w:val="left"/>
      </w:pPr>
      <w:rPr>
        <w:rFonts w:hint="default"/>
        <w:lang w:val="zh-CN" w:eastAsia="zh-CN" w:bidi="zh-CN"/>
      </w:rPr>
    </w:lvl>
    <w:lvl w:ilvl="2" w:tplc="C298CD24">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5B007BA8">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412A3F50">
      <w:numFmt w:val="bullet"/>
      <w:lvlText w:val="•"/>
      <w:lvlJc w:val="left"/>
      <w:pPr>
        <w:ind w:left="3846" w:hanging="738"/>
      </w:pPr>
      <w:rPr>
        <w:rFonts w:hint="default"/>
        <w:lang w:val="zh-CN" w:eastAsia="zh-CN" w:bidi="zh-CN"/>
      </w:rPr>
    </w:lvl>
    <w:lvl w:ilvl="5" w:tplc="3CE21940">
      <w:numFmt w:val="bullet"/>
      <w:lvlText w:val="•"/>
      <w:lvlJc w:val="left"/>
      <w:pPr>
        <w:ind w:left="4979" w:hanging="738"/>
      </w:pPr>
      <w:rPr>
        <w:rFonts w:hint="default"/>
        <w:lang w:val="zh-CN" w:eastAsia="zh-CN" w:bidi="zh-CN"/>
      </w:rPr>
    </w:lvl>
    <w:lvl w:ilvl="6" w:tplc="EF867210">
      <w:numFmt w:val="bullet"/>
      <w:lvlText w:val="•"/>
      <w:lvlJc w:val="left"/>
      <w:pPr>
        <w:ind w:left="6113" w:hanging="738"/>
      </w:pPr>
      <w:rPr>
        <w:rFonts w:hint="default"/>
        <w:lang w:val="zh-CN" w:eastAsia="zh-CN" w:bidi="zh-CN"/>
      </w:rPr>
    </w:lvl>
    <w:lvl w:ilvl="7" w:tplc="6AB2B5F6">
      <w:numFmt w:val="bullet"/>
      <w:lvlText w:val="•"/>
      <w:lvlJc w:val="left"/>
      <w:pPr>
        <w:ind w:left="7246" w:hanging="738"/>
      </w:pPr>
      <w:rPr>
        <w:rFonts w:hint="default"/>
        <w:lang w:val="zh-CN" w:eastAsia="zh-CN" w:bidi="zh-CN"/>
      </w:rPr>
    </w:lvl>
    <w:lvl w:ilvl="8" w:tplc="56A0D13A">
      <w:numFmt w:val="bullet"/>
      <w:lvlText w:val="•"/>
      <w:lvlJc w:val="left"/>
      <w:pPr>
        <w:ind w:left="8379" w:hanging="738"/>
      </w:pPr>
      <w:rPr>
        <w:rFonts w:hint="default"/>
        <w:lang w:val="zh-CN" w:eastAsia="zh-CN" w:bidi="zh-CN"/>
      </w:rPr>
    </w:lvl>
  </w:abstractNum>
  <w:abstractNum w:abstractNumId="75" w15:restartNumberingAfterBreak="0">
    <w:nsid w:val="08FE2684"/>
    <w:multiLevelType w:val="hybridMultilevel"/>
    <w:tmpl w:val="A348B06C"/>
    <w:lvl w:ilvl="0" w:tplc="A7840D00">
      <w:start w:val="7"/>
      <w:numFmt w:val="decimal"/>
      <w:lvlText w:val="%1"/>
      <w:lvlJc w:val="left"/>
      <w:pPr>
        <w:ind w:left="1370" w:hanging="531"/>
        <w:jc w:val="left"/>
      </w:pPr>
      <w:rPr>
        <w:rFonts w:hint="default"/>
        <w:lang w:val="zh-CN" w:eastAsia="zh-CN" w:bidi="zh-CN"/>
      </w:rPr>
    </w:lvl>
    <w:lvl w:ilvl="1" w:tplc="01E286DA">
      <w:start w:val="2"/>
      <w:numFmt w:val="decimal"/>
      <w:lvlText w:val="%1.%2"/>
      <w:lvlJc w:val="left"/>
      <w:pPr>
        <w:ind w:left="1370" w:hanging="531"/>
        <w:jc w:val="left"/>
      </w:pPr>
      <w:rPr>
        <w:rFonts w:hint="default"/>
        <w:lang w:val="zh-CN" w:eastAsia="zh-CN" w:bidi="zh-CN"/>
      </w:rPr>
    </w:lvl>
    <w:lvl w:ilvl="2" w:tplc="EBF8228C">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C7A8F272">
      <w:numFmt w:val="bullet"/>
      <w:lvlText w:val="•"/>
      <w:lvlJc w:val="left"/>
      <w:pPr>
        <w:ind w:left="4159" w:hanging="531"/>
      </w:pPr>
      <w:rPr>
        <w:rFonts w:hint="default"/>
        <w:lang w:val="zh-CN" w:eastAsia="zh-CN" w:bidi="zh-CN"/>
      </w:rPr>
    </w:lvl>
    <w:lvl w:ilvl="4" w:tplc="C1043904">
      <w:numFmt w:val="bullet"/>
      <w:lvlText w:val="•"/>
      <w:lvlJc w:val="left"/>
      <w:pPr>
        <w:ind w:left="5086" w:hanging="531"/>
      </w:pPr>
      <w:rPr>
        <w:rFonts w:hint="default"/>
        <w:lang w:val="zh-CN" w:eastAsia="zh-CN" w:bidi="zh-CN"/>
      </w:rPr>
    </w:lvl>
    <w:lvl w:ilvl="5" w:tplc="995267B4">
      <w:numFmt w:val="bullet"/>
      <w:lvlText w:val="•"/>
      <w:lvlJc w:val="left"/>
      <w:pPr>
        <w:ind w:left="6013" w:hanging="531"/>
      </w:pPr>
      <w:rPr>
        <w:rFonts w:hint="default"/>
        <w:lang w:val="zh-CN" w:eastAsia="zh-CN" w:bidi="zh-CN"/>
      </w:rPr>
    </w:lvl>
    <w:lvl w:ilvl="6" w:tplc="E1C85BAA">
      <w:numFmt w:val="bullet"/>
      <w:lvlText w:val="•"/>
      <w:lvlJc w:val="left"/>
      <w:pPr>
        <w:ind w:left="6939" w:hanging="531"/>
      </w:pPr>
      <w:rPr>
        <w:rFonts w:hint="default"/>
        <w:lang w:val="zh-CN" w:eastAsia="zh-CN" w:bidi="zh-CN"/>
      </w:rPr>
    </w:lvl>
    <w:lvl w:ilvl="7" w:tplc="0C962FB4">
      <w:numFmt w:val="bullet"/>
      <w:lvlText w:val="•"/>
      <w:lvlJc w:val="left"/>
      <w:pPr>
        <w:ind w:left="7866" w:hanging="531"/>
      </w:pPr>
      <w:rPr>
        <w:rFonts w:hint="default"/>
        <w:lang w:val="zh-CN" w:eastAsia="zh-CN" w:bidi="zh-CN"/>
      </w:rPr>
    </w:lvl>
    <w:lvl w:ilvl="8" w:tplc="9A60CF16">
      <w:numFmt w:val="bullet"/>
      <w:lvlText w:val="•"/>
      <w:lvlJc w:val="left"/>
      <w:pPr>
        <w:ind w:left="8793" w:hanging="531"/>
      </w:pPr>
      <w:rPr>
        <w:rFonts w:hint="default"/>
        <w:lang w:val="zh-CN" w:eastAsia="zh-CN" w:bidi="zh-CN"/>
      </w:rPr>
    </w:lvl>
  </w:abstractNum>
  <w:abstractNum w:abstractNumId="76" w15:restartNumberingAfterBreak="0">
    <w:nsid w:val="09553861"/>
    <w:multiLevelType w:val="hybridMultilevel"/>
    <w:tmpl w:val="38E4E6B8"/>
    <w:lvl w:ilvl="0" w:tplc="E22075BC">
      <w:start w:val="3"/>
      <w:numFmt w:val="decimal"/>
      <w:lvlText w:val="%1"/>
      <w:lvlJc w:val="left"/>
      <w:pPr>
        <w:ind w:left="1212" w:hanging="372"/>
        <w:jc w:val="left"/>
      </w:pPr>
      <w:rPr>
        <w:rFonts w:hint="default"/>
        <w:lang w:val="zh-CN" w:eastAsia="zh-CN" w:bidi="zh-CN"/>
      </w:rPr>
    </w:lvl>
    <w:lvl w:ilvl="1" w:tplc="4B76507A">
      <w:start w:val="1"/>
      <w:numFmt w:val="decimal"/>
      <w:lvlText w:val="%1.%2"/>
      <w:lvlJc w:val="left"/>
      <w:pPr>
        <w:ind w:left="1212" w:hanging="372"/>
        <w:jc w:val="left"/>
      </w:pPr>
      <w:rPr>
        <w:rFonts w:ascii="宋体" w:eastAsia="宋体" w:hAnsi="宋体" w:cs="宋体" w:hint="default"/>
        <w:b/>
        <w:bCs/>
        <w:w w:val="99"/>
        <w:sz w:val="21"/>
        <w:szCs w:val="21"/>
        <w:lang w:val="zh-CN" w:eastAsia="zh-CN" w:bidi="zh-CN"/>
      </w:rPr>
    </w:lvl>
    <w:lvl w:ilvl="2" w:tplc="A992F950">
      <w:numFmt w:val="bullet"/>
      <w:lvlText w:val="•"/>
      <w:lvlJc w:val="left"/>
      <w:pPr>
        <w:ind w:left="3105" w:hanging="372"/>
      </w:pPr>
      <w:rPr>
        <w:rFonts w:hint="default"/>
        <w:lang w:val="zh-CN" w:eastAsia="zh-CN" w:bidi="zh-CN"/>
      </w:rPr>
    </w:lvl>
    <w:lvl w:ilvl="3" w:tplc="2B98F354">
      <w:numFmt w:val="bullet"/>
      <w:lvlText w:val="•"/>
      <w:lvlJc w:val="left"/>
      <w:pPr>
        <w:ind w:left="4047" w:hanging="372"/>
      </w:pPr>
      <w:rPr>
        <w:rFonts w:hint="default"/>
        <w:lang w:val="zh-CN" w:eastAsia="zh-CN" w:bidi="zh-CN"/>
      </w:rPr>
    </w:lvl>
    <w:lvl w:ilvl="4" w:tplc="98D6DC5E">
      <w:numFmt w:val="bullet"/>
      <w:lvlText w:val="•"/>
      <w:lvlJc w:val="left"/>
      <w:pPr>
        <w:ind w:left="4990" w:hanging="372"/>
      </w:pPr>
      <w:rPr>
        <w:rFonts w:hint="default"/>
        <w:lang w:val="zh-CN" w:eastAsia="zh-CN" w:bidi="zh-CN"/>
      </w:rPr>
    </w:lvl>
    <w:lvl w:ilvl="5" w:tplc="AA287072">
      <w:numFmt w:val="bullet"/>
      <w:lvlText w:val="•"/>
      <w:lvlJc w:val="left"/>
      <w:pPr>
        <w:ind w:left="5933" w:hanging="372"/>
      </w:pPr>
      <w:rPr>
        <w:rFonts w:hint="default"/>
        <w:lang w:val="zh-CN" w:eastAsia="zh-CN" w:bidi="zh-CN"/>
      </w:rPr>
    </w:lvl>
    <w:lvl w:ilvl="6" w:tplc="47308DF2">
      <w:numFmt w:val="bullet"/>
      <w:lvlText w:val="•"/>
      <w:lvlJc w:val="left"/>
      <w:pPr>
        <w:ind w:left="6875" w:hanging="372"/>
      </w:pPr>
      <w:rPr>
        <w:rFonts w:hint="default"/>
        <w:lang w:val="zh-CN" w:eastAsia="zh-CN" w:bidi="zh-CN"/>
      </w:rPr>
    </w:lvl>
    <w:lvl w:ilvl="7" w:tplc="0E620828">
      <w:numFmt w:val="bullet"/>
      <w:lvlText w:val="•"/>
      <w:lvlJc w:val="left"/>
      <w:pPr>
        <w:ind w:left="7818" w:hanging="372"/>
      </w:pPr>
      <w:rPr>
        <w:rFonts w:hint="default"/>
        <w:lang w:val="zh-CN" w:eastAsia="zh-CN" w:bidi="zh-CN"/>
      </w:rPr>
    </w:lvl>
    <w:lvl w:ilvl="8" w:tplc="2B6647E6">
      <w:numFmt w:val="bullet"/>
      <w:lvlText w:val="•"/>
      <w:lvlJc w:val="left"/>
      <w:pPr>
        <w:ind w:left="8761" w:hanging="372"/>
      </w:pPr>
      <w:rPr>
        <w:rFonts w:hint="default"/>
        <w:lang w:val="zh-CN" w:eastAsia="zh-CN" w:bidi="zh-CN"/>
      </w:rPr>
    </w:lvl>
  </w:abstractNum>
  <w:abstractNum w:abstractNumId="77" w15:restartNumberingAfterBreak="0">
    <w:nsid w:val="09622A77"/>
    <w:multiLevelType w:val="hybridMultilevel"/>
    <w:tmpl w:val="C6948F52"/>
    <w:lvl w:ilvl="0" w:tplc="A43AD722">
      <w:start w:val="3"/>
      <w:numFmt w:val="decimal"/>
      <w:lvlText w:val="%1"/>
      <w:lvlJc w:val="left"/>
      <w:pPr>
        <w:ind w:left="1158" w:hanging="318"/>
        <w:jc w:val="left"/>
      </w:pPr>
      <w:rPr>
        <w:rFonts w:hint="default"/>
        <w:lang w:val="zh-CN" w:eastAsia="zh-CN" w:bidi="zh-CN"/>
      </w:rPr>
    </w:lvl>
    <w:lvl w:ilvl="1" w:tplc="D398239C">
      <w:start w:val="3"/>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7DE647A4">
      <w:start w:val="1"/>
      <w:numFmt w:val="decimal"/>
      <w:lvlText w:val="%1.%2.%3"/>
      <w:lvlJc w:val="left"/>
      <w:pPr>
        <w:ind w:left="1423" w:hanging="584"/>
        <w:jc w:val="left"/>
      </w:pPr>
      <w:rPr>
        <w:rFonts w:ascii="宋体" w:eastAsia="宋体" w:hAnsi="宋体" w:cs="宋体" w:hint="default"/>
        <w:b/>
        <w:bCs/>
        <w:w w:val="99"/>
        <w:sz w:val="21"/>
        <w:szCs w:val="21"/>
        <w:lang w:val="zh-CN" w:eastAsia="zh-CN" w:bidi="zh-CN"/>
      </w:rPr>
    </w:lvl>
    <w:lvl w:ilvl="3" w:tplc="CE9478C0">
      <w:numFmt w:val="bullet"/>
      <w:lvlText w:val="•"/>
      <w:lvlJc w:val="left"/>
      <w:pPr>
        <w:ind w:left="3470" w:hanging="584"/>
      </w:pPr>
      <w:rPr>
        <w:rFonts w:hint="default"/>
        <w:lang w:val="zh-CN" w:eastAsia="zh-CN" w:bidi="zh-CN"/>
      </w:rPr>
    </w:lvl>
    <w:lvl w:ilvl="4" w:tplc="DE68F068">
      <w:numFmt w:val="bullet"/>
      <w:lvlText w:val="•"/>
      <w:lvlJc w:val="left"/>
      <w:pPr>
        <w:ind w:left="4495" w:hanging="584"/>
      </w:pPr>
      <w:rPr>
        <w:rFonts w:hint="default"/>
        <w:lang w:val="zh-CN" w:eastAsia="zh-CN" w:bidi="zh-CN"/>
      </w:rPr>
    </w:lvl>
    <w:lvl w:ilvl="5" w:tplc="6C86B3AA">
      <w:numFmt w:val="bullet"/>
      <w:lvlText w:val="•"/>
      <w:lvlJc w:val="left"/>
      <w:pPr>
        <w:ind w:left="5520" w:hanging="584"/>
      </w:pPr>
      <w:rPr>
        <w:rFonts w:hint="default"/>
        <w:lang w:val="zh-CN" w:eastAsia="zh-CN" w:bidi="zh-CN"/>
      </w:rPr>
    </w:lvl>
    <w:lvl w:ilvl="6" w:tplc="ECC8622E">
      <w:numFmt w:val="bullet"/>
      <w:lvlText w:val="•"/>
      <w:lvlJc w:val="left"/>
      <w:pPr>
        <w:ind w:left="6545" w:hanging="584"/>
      </w:pPr>
      <w:rPr>
        <w:rFonts w:hint="default"/>
        <w:lang w:val="zh-CN" w:eastAsia="zh-CN" w:bidi="zh-CN"/>
      </w:rPr>
    </w:lvl>
    <w:lvl w:ilvl="7" w:tplc="ECF05F22">
      <w:numFmt w:val="bullet"/>
      <w:lvlText w:val="•"/>
      <w:lvlJc w:val="left"/>
      <w:pPr>
        <w:ind w:left="7570" w:hanging="584"/>
      </w:pPr>
      <w:rPr>
        <w:rFonts w:hint="default"/>
        <w:lang w:val="zh-CN" w:eastAsia="zh-CN" w:bidi="zh-CN"/>
      </w:rPr>
    </w:lvl>
    <w:lvl w:ilvl="8" w:tplc="04349632">
      <w:numFmt w:val="bullet"/>
      <w:lvlText w:val="•"/>
      <w:lvlJc w:val="left"/>
      <w:pPr>
        <w:ind w:left="8596" w:hanging="584"/>
      </w:pPr>
      <w:rPr>
        <w:rFonts w:hint="default"/>
        <w:lang w:val="zh-CN" w:eastAsia="zh-CN" w:bidi="zh-CN"/>
      </w:rPr>
    </w:lvl>
  </w:abstractNum>
  <w:abstractNum w:abstractNumId="78" w15:restartNumberingAfterBreak="0">
    <w:nsid w:val="09623060"/>
    <w:multiLevelType w:val="hybridMultilevel"/>
    <w:tmpl w:val="3CA03788"/>
    <w:lvl w:ilvl="0" w:tplc="DF323290">
      <w:start w:val="6"/>
      <w:numFmt w:val="decimal"/>
      <w:lvlText w:val="%1"/>
      <w:lvlJc w:val="left"/>
      <w:pPr>
        <w:ind w:left="1158" w:hanging="318"/>
        <w:jc w:val="left"/>
      </w:pPr>
      <w:rPr>
        <w:rFonts w:hint="default"/>
        <w:lang w:val="zh-CN" w:eastAsia="zh-CN" w:bidi="zh-CN"/>
      </w:rPr>
    </w:lvl>
    <w:lvl w:ilvl="1" w:tplc="352C5BAA">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1466CB66">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9E6876BC">
      <w:numFmt w:val="bullet"/>
      <w:lvlText w:val="•"/>
      <w:lvlJc w:val="left"/>
      <w:pPr>
        <w:ind w:left="2538" w:hanging="531"/>
      </w:pPr>
      <w:rPr>
        <w:rFonts w:hint="default"/>
        <w:lang w:val="zh-CN" w:eastAsia="zh-CN" w:bidi="zh-CN"/>
      </w:rPr>
    </w:lvl>
    <w:lvl w:ilvl="4" w:tplc="A440C4AE">
      <w:numFmt w:val="bullet"/>
      <w:lvlText w:val="•"/>
      <w:lvlJc w:val="left"/>
      <w:pPr>
        <w:ind w:left="3696" w:hanging="531"/>
      </w:pPr>
      <w:rPr>
        <w:rFonts w:hint="default"/>
        <w:lang w:val="zh-CN" w:eastAsia="zh-CN" w:bidi="zh-CN"/>
      </w:rPr>
    </w:lvl>
    <w:lvl w:ilvl="5" w:tplc="FE5CA7BE">
      <w:numFmt w:val="bullet"/>
      <w:lvlText w:val="•"/>
      <w:lvlJc w:val="left"/>
      <w:pPr>
        <w:ind w:left="4854" w:hanging="531"/>
      </w:pPr>
      <w:rPr>
        <w:rFonts w:hint="default"/>
        <w:lang w:val="zh-CN" w:eastAsia="zh-CN" w:bidi="zh-CN"/>
      </w:rPr>
    </w:lvl>
    <w:lvl w:ilvl="6" w:tplc="C67E7FA8">
      <w:numFmt w:val="bullet"/>
      <w:lvlText w:val="•"/>
      <w:lvlJc w:val="left"/>
      <w:pPr>
        <w:ind w:left="6013" w:hanging="531"/>
      </w:pPr>
      <w:rPr>
        <w:rFonts w:hint="default"/>
        <w:lang w:val="zh-CN" w:eastAsia="zh-CN" w:bidi="zh-CN"/>
      </w:rPr>
    </w:lvl>
    <w:lvl w:ilvl="7" w:tplc="D9ECB876">
      <w:numFmt w:val="bullet"/>
      <w:lvlText w:val="•"/>
      <w:lvlJc w:val="left"/>
      <w:pPr>
        <w:ind w:left="7171" w:hanging="531"/>
      </w:pPr>
      <w:rPr>
        <w:rFonts w:hint="default"/>
        <w:lang w:val="zh-CN" w:eastAsia="zh-CN" w:bidi="zh-CN"/>
      </w:rPr>
    </w:lvl>
    <w:lvl w:ilvl="8" w:tplc="F82C7112">
      <w:numFmt w:val="bullet"/>
      <w:lvlText w:val="•"/>
      <w:lvlJc w:val="left"/>
      <w:pPr>
        <w:ind w:left="8329" w:hanging="531"/>
      </w:pPr>
      <w:rPr>
        <w:rFonts w:hint="default"/>
        <w:lang w:val="zh-CN" w:eastAsia="zh-CN" w:bidi="zh-CN"/>
      </w:rPr>
    </w:lvl>
  </w:abstractNum>
  <w:abstractNum w:abstractNumId="79" w15:restartNumberingAfterBreak="0">
    <w:nsid w:val="09813CEB"/>
    <w:multiLevelType w:val="hybridMultilevel"/>
    <w:tmpl w:val="703A0200"/>
    <w:lvl w:ilvl="0" w:tplc="13A887BC">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C194E3E6">
      <w:numFmt w:val="bullet"/>
      <w:lvlText w:val="•"/>
      <w:lvlJc w:val="left"/>
      <w:pPr>
        <w:ind w:left="2288" w:hanging="529"/>
      </w:pPr>
      <w:rPr>
        <w:rFonts w:hint="default"/>
        <w:lang w:val="zh-CN" w:eastAsia="zh-CN" w:bidi="zh-CN"/>
      </w:rPr>
    </w:lvl>
    <w:lvl w:ilvl="2" w:tplc="A8D219FA">
      <w:numFmt w:val="bullet"/>
      <w:lvlText w:val="•"/>
      <w:lvlJc w:val="left"/>
      <w:pPr>
        <w:ind w:left="3217" w:hanging="529"/>
      </w:pPr>
      <w:rPr>
        <w:rFonts w:hint="default"/>
        <w:lang w:val="zh-CN" w:eastAsia="zh-CN" w:bidi="zh-CN"/>
      </w:rPr>
    </w:lvl>
    <w:lvl w:ilvl="3" w:tplc="D20A4B86">
      <w:numFmt w:val="bullet"/>
      <w:lvlText w:val="•"/>
      <w:lvlJc w:val="left"/>
      <w:pPr>
        <w:ind w:left="4145" w:hanging="529"/>
      </w:pPr>
      <w:rPr>
        <w:rFonts w:hint="default"/>
        <w:lang w:val="zh-CN" w:eastAsia="zh-CN" w:bidi="zh-CN"/>
      </w:rPr>
    </w:lvl>
    <w:lvl w:ilvl="4" w:tplc="C7800384">
      <w:numFmt w:val="bullet"/>
      <w:lvlText w:val="•"/>
      <w:lvlJc w:val="left"/>
      <w:pPr>
        <w:ind w:left="5074" w:hanging="529"/>
      </w:pPr>
      <w:rPr>
        <w:rFonts w:hint="default"/>
        <w:lang w:val="zh-CN" w:eastAsia="zh-CN" w:bidi="zh-CN"/>
      </w:rPr>
    </w:lvl>
    <w:lvl w:ilvl="5" w:tplc="4D9A8A02">
      <w:numFmt w:val="bullet"/>
      <w:lvlText w:val="•"/>
      <w:lvlJc w:val="left"/>
      <w:pPr>
        <w:ind w:left="6003" w:hanging="529"/>
      </w:pPr>
      <w:rPr>
        <w:rFonts w:hint="default"/>
        <w:lang w:val="zh-CN" w:eastAsia="zh-CN" w:bidi="zh-CN"/>
      </w:rPr>
    </w:lvl>
    <w:lvl w:ilvl="6" w:tplc="0F44F41A">
      <w:numFmt w:val="bullet"/>
      <w:lvlText w:val="•"/>
      <w:lvlJc w:val="left"/>
      <w:pPr>
        <w:ind w:left="6931" w:hanging="529"/>
      </w:pPr>
      <w:rPr>
        <w:rFonts w:hint="default"/>
        <w:lang w:val="zh-CN" w:eastAsia="zh-CN" w:bidi="zh-CN"/>
      </w:rPr>
    </w:lvl>
    <w:lvl w:ilvl="7" w:tplc="374EFBCA">
      <w:numFmt w:val="bullet"/>
      <w:lvlText w:val="•"/>
      <w:lvlJc w:val="left"/>
      <w:pPr>
        <w:ind w:left="7860" w:hanging="529"/>
      </w:pPr>
      <w:rPr>
        <w:rFonts w:hint="default"/>
        <w:lang w:val="zh-CN" w:eastAsia="zh-CN" w:bidi="zh-CN"/>
      </w:rPr>
    </w:lvl>
    <w:lvl w:ilvl="8" w:tplc="1CA4435C">
      <w:numFmt w:val="bullet"/>
      <w:lvlText w:val="•"/>
      <w:lvlJc w:val="left"/>
      <w:pPr>
        <w:ind w:left="8789" w:hanging="529"/>
      </w:pPr>
      <w:rPr>
        <w:rFonts w:hint="default"/>
        <w:lang w:val="zh-CN" w:eastAsia="zh-CN" w:bidi="zh-CN"/>
      </w:rPr>
    </w:lvl>
  </w:abstractNum>
  <w:abstractNum w:abstractNumId="80" w15:restartNumberingAfterBreak="0">
    <w:nsid w:val="09873CF4"/>
    <w:multiLevelType w:val="hybridMultilevel"/>
    <w:tmpl w:val="25E65EA4"/>
    <w:lvl w:ilvl="0" w:tplc="23B41994">
      <w:start w:val="4"/>
      <w:numFmt w:val="decimal"/>
      <w:lvlText w:val="%1"/>
      <w:lvlJc w:val="left"/>
      <w:pPr>
        <w:ind w:left="1158" w:hanging="318"/>
        <w:jc w:val="left"/>
      </w:pPr>
      <w:rPr>
        <w:rFonts w:hint="default"/>
        <w:lang w:val="zh-CN" w:eastAsia="zh-CN" w:bidi="zh-CN"/>
      </w:rPr>
    </w:lvl>
    <w:lvl w:ilvl="1" w:tplc="90B6FF76">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0C1A9B00">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C2FE05B6">
      <w:numFmt w:val="bullet"/>
      <w:lvlText w:val="•"/>
      <w:lvlJc w:val="left"/>
      <w:pPr>
        <w:ind w:left="1380" w:hanging="531"/>
      </w:pPr>
      <w:rPr>
        <w:rFonts w:hint="default"/>
        <w:lang w:val="zh-CN" w:eastAsia="zh-CN" w:bidi="zh-CN"/>
      </w:rPr>
    </w:lvl>
    <w:lvl w:ilvl="4" w:tplc="7AB884E0">
      <w:numFmt w:val="bullet"/>
      <w:lvlText w:val="•"/>
      <w:lvlJc w:val="left"/>
      <w:pPr>
        <w:ind w:left="2703" w:hanging="531"/>
      </w:pPr>
      <w:rPr>
        <w:rFonts w:hint="default"/>
        <w:lang w:val="zh-CN" w:eastAsia="zh-CN" w:bidi="zh-CN"/>
      </w:rPr>
    </w:lvl>
    <w:lvl w:ilvl="5" w:tplc="EDF6A31A">
      <w:numFmt w:val="bullet"/>
      <w:lvlText w:val="•"/>
      <w:lvlJc w:val="left"/>
      <w:pPr>
        <w:ind w:left="4027" w:hanging="531"/>
      </w:pPr>
      <w:rPr>
        <w:rFonts w:hint="default"/>
        <w:lang w:val="zh-CN" w:eastAsia="zh-CN" w:bidi="zh-CN"/>
      </w:rPr>
    </w:lvl>
    <w:lvl w:ilvl="6" w:tplc="CA664526">
      <w:numFmt w:val="bullet"/>
      <w:lvlText w:val="•"/>
      <w:lvlJc w:val="left"/>
      <w:pPr>
        <w:ind w:left="5351" w:hanging="531"/>
      </w:pPr>
      <w:rPr>
        <w:rFonts w:hint="default"/>
        <w:lang w:val="zh-CN" w:eastAsia="zh-CN" w:bidi="zh-CN"/>
      </w:rPr>
    </w:lvl>
    <w:lvl w:ilvl="7" w:tplc="153E2840">
      <w:numFmt w:val="bullet"/>
      <w:lvlText w:val="•"/>
      <w:lvlJc w:val="left"/>
      <w:pPr>
        <w:ind w:left="6675" w:hanging="531"/>
      </w:pPr>
      <w:rPr>
        <w:rFonts w:hint="default"/>
        <w:lang w:val="zh-CN" w:eastAsia="zh-CN" w:bidi="zh-CN"/>
      </w:rPr>
    </w:lvl>
    <w:lvl w:ilvl="8" w:tplc="7DEAF78C">
      <w:numFmt w:val="bullet"/>
      <w:lvlText w:val="•"/>
      <w:lvlJc w:val="left"/>
      <w:pPr>
        <w:ind w:left="7998" w:hanging="531"/>
      </w:pPr>
      <w:rPr>
        <w:rFonts w:hint="default"/>
        <w:lang w:val="zh-CN" w:eastAsia="zh-CN" w:bidi="zh-CN"/>
      </w:rPr>
    </w:lvl>
  </w:abstractNum>
  <w:abstractNum w:abstractNumId="81" w15:restartNumberingAfterBreak="0">
    <w:nsid w:val="09890588"/>
    <w:multiLevelType w:val="hybridMultilevel"/>
    <w:tmpl w:val="AD82EC12"/>
    <w:lvl w:ilvl="0" w:tplc="FE687E84">
      <w:start w:val="12"/>
      <w:numFmt w:val="decimal"/>
      <w:lvlText w:val="%1"/>
      <w:lvlJc w:val="left"/>
      <w:pPr>
        <w:ind w:left="1477" w:hanging="637"/>
        <w:jc w:val="left"/>
      </w:pPr>
      <w:rPr>
        <w:rFonts w:hint="default"/>
        <w:lang w:val="zh-CN" w:eastAsia="zh-CN" w:bidi="zh-CN"/>
      </w:rPr>
    </w:lvl>
    <w:lvl w:ilvl="1" w:tplc="05DE7EFA">
      <w:start w:val="4"/>
      <w:numFmt w:val="decimal"/>
      <w:lvlText w:val="%1.%2"/>
      <w:lvlJc w:val="left"/>
      <w:pPr>
        <w:ind w:left="1477" w:hanging="637"/>
        <w:jc w:val="left"/>
      </w:pPr>
      <w:rPr>
        <w:rFonts w:hint="default"/>
        <w:lang w:val="zh-CN" w:eastAsia="zh-CN" w:bidi="zh-CN"/>
      </w:rPr>
    </w:lvl>
    <w:lvl w:ilvl="2" w:tplc="A6C66746">
      <w:start w:val="4"/>
      <w:numFmt w:val="decimal"/>
      <w:lvlText w:val="%1.%2.%3"/>
      <w:lvlJc w:val="left"/>
      <w:pPr>
        <w:ind w:left="1477" w:hanging="637"/>
        <w:jc w:val="left"/>
      </w:pPr>
      <w:rPr>
        <w:rFonts w:ascii="宋体" w:eastAsia="宋体" w:hAnsi="宋体" w:cs="宋体" w:hint="default"/>
        <w:b/>
        <w:bCs/>
        <w:spacing w:val="-3"/>
        <w:w w:val="99"/>
        <w:sz w:val="19"/>
        <w:szCs w:val="19"/>
        <w:lang w:val="zh-CN" w:eastAsia="zh-CN" w:bidi="zh-CN"/>
      </w:rPr>
    </w:lvl>
    <w:lvl w:ilvl="3" w:tplc="5A4C85AA">
      <w:numFmt w:val="bullet"/>
      <w:lvlText w:val="•"/>
      <w:lvlJc w:val="left"/>
      <w:pPr>
        <w:ind w:left="4229" w:hanging="637"/>
      </w:pPr>
      <w:rPr>
        <w:rFonts w:hint="default"/>
        <w:lang w:val="zh-CN" w:eastAsia="zh-CN" w:bidi="zh-CN"/>
      </w:rPr>
    </w:lvl>
    <w:lvl w:ilvl="4" w:tplc="52F04A62">
      <w:numFmt w:val="bullet"/>
      <w:lvlText w:val="•"/>
      <w:lvlJc w:val="left"/>
      <w:pPr>
        <w:ind w:left="5146" w:hanging="637"/>
      </w:pPr>
      <w:rPr>
        <w:rFonts w:hint="default"/>
        <w:lang w:val="zh-CN" w:eastAsia="zh-CN" w:bidi="zh-CN"/>
      </w:rPr>
    </w:lvl>
    <w:lvl w:ilvl="5" w:tplc="05FCCC9C">
      <w:numFmt w:val="bullet"/>
      <w:lvlText w:val="•"/>
      <w:lvlJc w:val="left"/>
      <w:pPr>
        <w:ind w:left="6063" w:hanging="637"/>
      </w:pPr>
      <w:rPr>
        <w:rFonts w:hint="default"/>
        <w:lang w:val="zh-CN" w:eastAsia="zh-CN" w:bidi="zh-CN"/>
      </w:rPr>
    </w:lvl>
    <w:lvl w:ilvl="6" w:tplc="040481BA">
      <w:numFmt w:val="bullet"/>
      <w:lvlText w:val="•"/>
      <w:lvlJc w:val="left"/>
      <w:pPr>
        <w:ind w:left="6979" w:hanging="637"/>
      </w:pPr>
      <w:rPr>
        <w:rFonts w:hint="default"/>
        <w:lang w:val="zh-CN" w:eastAsia="zh-CN" w:bidi="zh-CN"/>
      </w:rPr>
    </w:lvl>
    <w:lvl w:ilvl="7" w:tplc="1D28FBE0">
      <w:numFmt w:val="bullet"/>
      <w:lvlText w:val="•"/>
      <w:lvlJc w:val="left"/>
      <w:pPr>
        <w:ind w:left="7896" w:hanging="637"/>
      </w:pPr>
      <w:rPr>
        <w:rFonts w:hint="default"/>
        <w:lang w:val="zh-CN" w:eastAsia="zh-CN" w:bidi="zh-CN"/>
      </w:rPr>
    </w:lvl>
    <w:lvl w:ilvl="8" w:tplc="4A18E898">
      <w:numFmt w:val="bullet"/>
      <w:lvlText w:val="•"/>
      <w:lvlJc w:val="left"/>
      <w:pPr>
        <w:ind w:left="8813" w:hanging="637"/>
      </w:pPr>
      <w:rPr>
        <w:rFonts w:hint="default"/>
        <w:lang w:val="zh-CN" w:eastAsia="zh-CN" w:bidi="zh-CN"/>
      </w:rPr>
    </w:lvl>
  </w:abstractNum>
  <w:abstractNum w:abstractNumId="82" w15:restartNumberingAfterBreak="0">
    <w:nsid w:val="09907F77"/>
    <w:multiLevelType w:val="hybridMultilevel"/>
    <w:tmpl w:val="837EFB18"/>
    <w:lvl w:ilvl="0" w:tplc="756AC892">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1708F800">
      <w:numFmt w:val="bullet"/>
      <w:lvlText w:val="•"/>
      <w:lvlJc w:val="left"/>
      <w:pPr>
        <w:ind w:left="2288" w:hanging="529"/>
      </w:pPr>
      <w:rPr>
        <w:rFonts w:hint="default"/>
        <w:lang w:val="zh-CN" w:eastAsia="zh-CN" w:bidi="zh-CN"/>
      </w:rPr>
    </w:lvl>
    <w:lvl w:ilvl="2" w:tplc="CA72FF5A">
      <w:numFmt w:val="bullet"/>
      <w:lvlText w:val="•"/>
      <w:lvlJc w:val="left"/>
      <w:pPr>
        <w:ind w:left="3217" w:hanging="529"/>
      </w:pPr>
      <w:rPr>
        <w:rFonts w:hint="default"/>
        <w:lang w:val="zh-CN" w:eastAsia="zh-CN" w:bidi="zh-CN"/>
      </w:rPr>
    </w:lvl>
    <w:lvl w:ilvl="3" w:tplc="B2446F4C">
      <w:numFmt w:val="bullet"/>
      <w:lvlText w:val="•"/>
      <w:lvlJc w:val="left"/>
      <w:pPr>
        <w:ind w:left="4145" w:hanging="529"/>
      </w:pPr>
      <w:rPr>
        <w:rFonts w:hint="default"/>
        <w:lang w:val="zh-CN" w:eastAsia="zh-CN" w:bidi="zh-CN"/>
      </w:rPr>
    </w:lvl>
    <w:lvl w:ilvl="4" w:tplc="24E249A4">
      <w:numFmt w:val="bullet"/>
      <w:lvlText w:val="•"/>
      <w:lvlJc w:val="left"/>
      <w:pPr>
        <w:ind w:left="5074" w:hanging="529"/>
      </w:pPr>
      <w:rPr>
        <w:rFonts w:hint="default"/>
        <w:lang w:val="zh-CN" w:eastAsia="zh-CN" w:bidi="zh-CN"/>
      </w:rPr>
    </w:lvl>
    <w:lvl w:ilvl="5" w:tplc="7B1EB8A0">
      <w:numFmt w:val="bullet"/>
      <w:lvlText w:val="•"/>
      <w:lvlJc w:val="left"/>
      <w:pPr>
        <w:ind w:left="6003" w:hanging="529"/>
      </w:pPr>
      <w:rPr>
        <w:rFonts w:hint="default"/>
        <w:lang w:val="zh-CN" w:eastAsia="zh-CN" w:bidi="zh-CN"/>
      </w:rPr>
    </w:lvl>
    <w:lvl w:ilvl="6" w:tplc="84B6D656">
      <w:numFmt w:val="bullet"/>
      <w:lvlText w:val="•"/>
      <w:lvlJc w:val="left"/>
      <w:pPr>
        <w:ind w:left="6931" w:hanging="529"/>
      </w:pPr>
      <w:rPr>
        <w:rFonts w:hint="default"/>
        <w:lang w:val="zh-CN" w:eastAsia="zh-CN" w:bidi="zh-CN"/>
      </w:rPr>
    </w:lvl>
    <w:lvl w:ilvl="7" w:tplc="4524F1D6">
      <w:numFmt w:val="bullet"/>
      <w:lvlText w:val="•"/>
      <w:lvlJc w:val="left"/>
      <w:pPr>
        <w:ind w:left="7860" w:hanging="529"/>
      </w:pPr>
      <w:rPr>
        <w:rFonts w:hint="default"/>
        <w:lang w:val="zh-CN" w:eastAsia="zh-CN" w:bidi="zh-CN"/>
      </w:rPr>
    </w:lvl>
    <w:lvl w:ilvl="8" w:tplc="5D9A3E2C">
      <w:numFmt w:val="bullet"/>
      <w:lvlText w:val="•"/>
      <w:lvlJc w:val="left"/>
      <w:pPr>
        <w:ind w:left="8789" w:hanging="529"/>
      </w:pPr>
      <w:rPr>
        <w:rFonts w:hint="default"/>
        <w:lang w:val="zh-CN" w:eastAsia="zh-CN" w:bidi="zh-CN"/>
      </w:rPr>
    </w:lvl>
  </w:abstractNum>
  <w:abstractNum w:abstractNumId="83" w15:restartNumberingAfterBreak="0">
    <w:nsid w:val="09A82DA6"/>
    <w:multiLevelType w:val="hybridMultilevel"/>
    <w:tmpl w:val="021ADD84"/>
    <w:lvl w:ilvl="0" w:tplc="D4988A88">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F050ADE6">
      <w:numFmt w:val="bullet"/>
      <w:lvlText w:val="•"/>
      <w:lvlJc w:val="left"/>
      <w:pPr>
        <w:ind w:left="1442" w:hanging="529"/>
      </w:pPr>
      <w:rPr>
        <w:rFonts w:hint="default"/>
        <w:lang w:val="zh-CN" w:eastAsia="zh-CN" w:bidi="zh-CN"/>
      </w:rPr>
    </w:lvl>
    <w:lvl w:ilvl="2" w:tplc="CF7E9F86">
      <w:numFmt w:val="bullet"/>
      <w:lvlText w:val="•"/>
      <w:lvlJc w:val="left"/>
      <w:pPr>
        <w:ind w:left="2465" w:hanging="529"/>
      </w:pPr>
      <w:rPr>
        <w:rFonts w:hint="default"/>
        <w:lang w:val="zh-CN" w:eastAsia="zh-CN" w:bidi="zh-CN"/>
      </w:rPr>
    </w:lvl>
    <w:lvl w:ilvl="3" w:tplc="47A4F6A2">
      <w:numFmt w:val="bullet"/>
      <w:lvlText w:val="•"/>
      <w:lvlJc w:val="left"/>
      <w:pPr>
        <w:ind w:left="3487" w:hanging="529"/>
      </w:pPr>
      <w:rPr>
        <w:rFonts w:hint="default"/>
        <w:lang w:val="zh-CN" w:eastAsia="zh-CN" w:bidi="zh-CN"/>
      </w:rPr>
    </w:lvl>
    <w:lvl w:ilvl="4" w:tplc="6FA0B256">
      <w:numFmt w:val="bullet"/>
      <w:lvlText w:val="•"/>
      <w:lvlJc w:val="left"/>
      <w:pPr>
        <w:ind w:left="4510" w:hanging="529"/>
      </w:pPr>
      <w:rPr>
        <w:rFonts w:hint="default"/>
        <w:lang w:val="zh-CN" w:eastAsia="zh-CN" w:bidi="zh-CN"/>
      </w:rPr>
    </w:lvl>
    <w:lvl w:ilvl="5" w:tplc="0582C546">
      <w:numFmt w:val="bullet"/>
      <w:lvlText w:val="•"/>
      <w:lvlJc w:val="left"/>
      <w:pPr>
        <w:ind w:left="5533" w:hanging="529"/>
      </w:pPr>
      <w:rPr>
        <w:rFonts w:hint="default"/>
        <w:lang w:val="zh-CN" w:eastAsia="zh-CN" w:bidi="zh-CN"/>
      </w:rPr>
    </w:lvl>
    <w:lvl w:ilvl="6" w:tplc="802CBEA6">
      <w:numFmt w:val="bullet"/>
      <w:lvlText w:val="•"/>
      <w:lvlJc w:val="left"/>
      <w:pPr>
        <w:ind w:left="6555" w:hanging="529"/>
      </w:pPr>
      <w:rPr>
        <w:rFonts w:hint="default"/>
        <w:lang w:val="zh-CN" w:eastAsia="zh-CN" w:bidi="zh-CN"/>
      </w:rPr>
    </w:lvl>
    <w:lvl w:ilvl="7" w:tplc="5992A37A">
      <w:numFmt w:val="bullet"/>
      <w:lvlText w:val="•"/>
      <w:lvlJc w:val="left"/>
      <w:pPr>
        <w:ind w:left="7578" w:hanging="529"/>
      </w:pPr>
      <w:rPr>
        <w:rFonts w:hint="default"/>
        <w:lang w:val="zh-CN" w:eastAsia="zh-CN" w:bidi="zh-CN"/>
      </w:rPr>
    </w:lvl>
    <w:lvl w:ilvl="8" w:tplc="19343DC2">
      <w:numFmt w:val="bullet"/>
      <w:lvlText w:val="•"/>
      <w:lvlJc w:val="left"/>
      <w:pPr>
        <w:ind w:left="8601" w:hanging="529"/>
      </w:pPr>
      <w:rPr>
        <w:rFonts w:hint="default"/>
        <w:lang w:val="zh-CN" w:eastAsia="zh-CN" w:bidi="zh-CN"/>
      </w:rPr>
    </w:lvl>
  </w:abstractNum>
  <w:abstractNum w:abstractNumId="84" w15:restartNumberingAfterBreak="0">
    <w:nsid w:val="09C46596"/>
    <w:multiLevelType w:val="hybridMultilevel"/>
    <w:tmpl w:val="CDF60FC2"/>
    <w:lvl w:ilvl="0" w:tplc="D7E86BA0">
      <w:start w:val="10"/>
      <w:numFmt w:val="decimal"/>
      <w:lvlText w:val="%1"/>
      <w:lvlJc w:val="left"/>
      <w:pPr>
        <w:ind w:left="1263" w:hanging="424"/>
        <w:jc w:val="left"/>
      </w:pPr>
      <w:rPr>
        <w:rFonts w:hint="default"/>
        <w:lang w:val="zh-CN" w:eastAsia="zh-CN" w:bidi="zh-CN"/>
      </w:rPr>
    </w:lvl>
    <w:lvl w:ilvl="1" w:tplc="75EC77D8">
      <w:start w:val="1"/>
      <w:numFmt w:val="decimal"/>
      <w:lvlText w:val="%1.%2"/>
      <w:lvlJc w:val="left"/>
      <w:pPr>
        <w:ind w:left="1263" w:hanging="424"/>
        <w:jc w:val="left"/>
      </w:pPr>
      <w:rPr>
        <w:rFonts w:ascii="宋体" w:eastAsia="宋体" w:hAnsi="宋体" w:cs="宋体" w:hint="default"/>
        <w:b/>
        <w:bCs/>
        <w:w w:val="99"/>
        <w:sz w:val="19"/>
        <w:szCs w:val="19"/>
        <w:lang w:val="zh-CN" w:eastAsia="zh-CN" w:bidi="zh-CN"/>
      </w:rPr>
    </w:lvl>
    <w:lvl w:ilvl="2" w:tplc="16B221EA">
      <w:start w:val="1"/>
      <w:numFmt w:val="decimal"/>
      <w:lvlText w:val="%1.%2.%3"/>
      <w:lvlJc w:val="left"/>
      <w:pPr>
        <w:ind w:left="1477" w:hanging="637"/>
        <w:jc w:val="left"/>
      </w:pPr>
      <w:rPr>
        <w:rFonts w:ascii="宋体" w:eastAsia="宋体" w:hAnsi="宋体" w:cs="宋体" w:hint="default"/>
        <w:b/>
        <w:bCs/>
        <w:w w:val="99"/>
        <w:sz w:val="19"/>
        <w:szCs w:val="19"/>
        <w:lang w:val="zh-CN" w:eastAsia="zh-CN" w:bidi="zh-CN"/>
      </w:rPr>
    </w:lvl>
    <w:lvl w:ilvl="3" w:tplc="52607D36">
      <w:numFmt w:val="bullet"/>
      <w:lvlText w:val="•"/>
      <w:lvlJc w:val="left"/>
      <w:pPr>
        <w:ind w:left="3516" w:hanging="637"/>
      </w:pPr>
      <w:rPr>
        <w:rFonts w:hint="default"/>
        <w:lang w:val="zh-CN" w:eastAsia="zh-CN" w:bidi="zh-CN"/>
      </w:rPr>
    </w:lvl>
    <w:lvl w:ilvl="4" w:tplc="E524432E">
      <w:numFmt w:val="bullet"/>
      <w:lvlText w:val="•"/>
      <w:lvlJc w:val="left"/>
      <w:pPr>
        <w:ind w:left="4535" w:hanging="637"/>
      </w:pPr>
      <w:rPr>
        <w:rFonts w:hint="default"/>
        <w:lang w:val="zh-CN" w:eastAsia="zh-CN" w:bidi="zh-CN"/>
      </w:rPr>
    </w:lvl>
    <w:lvl w:ilvl="5" w:tplc="C4069F2C">
      <w:numFmt w:val="bullet"/>
      <w:lvlText w:val="•"/>
      <w:lvlJc w:val="left"/>
      <w:pPr>
        <w:ind w:left="5553" w:hanging="637"/>
      </w:pPr>
      <w:rPr>
        <w:rFonts w:hint="default"/>
        <w:lang w:val="zh-CN" w:eastAsia="zh-CN" w:bidi="zh-CN"/>
      </w:rPr>
    </w:lvl>
    <w:lvl w:ilvl="6" w:tplc="C5F8603C">
      <w:numFmt w:val="bullet"/>
      <w:lvlText w:val="•"/>
      <w:lvlJc w:val="left"/>
      <w:pPr>
        <w:ind w:left="6572" w:hanging="637"/>
      </w:pPr>
      <w:rPr>
        <w:rFonts w:hint="default"/>
        <w:lang w:val="zh-CN" w:eastAsia="zh-CN" w:bidi="zh-CN"/>
      </w:rPr>
    </w:lvl>
    <w:lvl w:ilvl="7" w:tplc="687CE0E6">
      <w:numFmt w:val="bullet"/>
      <w:lvlText w:val="•"/>
      <w:lvlJc w:val="left"/>
      <w:pPr>
        <w:ind w:left="7590" w:hanging="637"/>
      </w:pPr>
      <w:rPr>
        <w:rFonts w:hint="default"/>
        <w:lang w:val="zh-CN" w:eastAsia="zh-CN" w:bidi="zh-CN"/>
      </w:rPr>
    </w:lvl>
    <w:lvl w:ilvl="8" w:tplc="81B09B1A">
      <w:numFmt w:val="bullet"/>
      <w:lvlText w:val="•"/>
      <w:lvlJc w:val="left"/>
      <w:pPr>
        <w:ind w:left="8609" w:hanging="637"/>
      </w:pPr>
      <w:rPr>
        <w:rFonts w:hint="default"/>
        <w:lang w:val="zh-CN" w:eastAsia="zh-CN" w:bidi="zh-CN"/>
      </w:rPr>
    </w:lvl>
  </w:abstractNum>
  <w:abstractNum w:abstractNumId="85" w15:restartNumberingAfterBreak="0">
    <w:nsid w:val="09E8363C"/>
    <w:multiLevelType w:val="hybridMultilevel"/>
    <w:tmpl w:val="BE008B78"/>
    <w:lvl w:ilvl="0" w:tplc="04184A84">
      <w:start w:val="6"/>
      <w:numFmt w:val="decimal"/>
      <w:lvlText w:val="%1"/>
      <w:lvlJc w:val="left"/>
      <w:pPr>
        <w:ind w:left="1369" w:hanging="529"/>
        <w:jc w:val="left"/>
      </w:pPr>
      <w:rPr>
        <w:rFonts w:hint="default"/>
        <w:lang w:val="zh-CN" w:eastAsia="zh-CN" w:bidi="zh-CN"/>
      </w:rPr>
    </w:lvl>
    <w:lvl w:ilvl="1" w:tplc="1E8E91D4">
      <w:start w:val="4"/>
      <w:numFmt w:val="decimal"/>
      <w:lvlText w:val="%1.%2"/>
      <w:lvlJc w:val="left"/>
      <w:pPr>
        <w:ind w:left="1369" w:hanging="529"/>
        <w:jc w:val="left"/>
      </w:pPr>
      <w:rPr>
        <w:rFonts w:hint="default"/>
        <w:lang w:val="zh-CN" w:eastAsia="zh-CN" w:bidi="zh-CN"/>
      </w:rPr>
    </w:lvl>
    <w:lvl w:ilvl="2" w:tplc="E7926854">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D076B7F8">
      <w:numFmt w:val="bullet"/>
      <w:lvlText w:val="•"/>
      <w:lvlJc w:val="left"/>
      <w:pPr>
        <w:ind w:left="4145" w:hanging="529"/>
      </w:pPr>
      <w:rPr>
        <w:rFonts w:hint="default"/>
        <w:lang w:val="zh-CN" w:eastAsia="zh-CN" w:bidi="zh-CN"/>
      </w:rPr>
    </w:lvl>
    <w:lvl w:ilvl="4" w:tplc="4CD880C4">
      <w:numFmt w:val="bullet"/>
      <w:lvlText w:val="•"/>
      <w:lvlJc w:val="left"/>
      <w:pPr>
        <w:ind w:left="5074" w:hanging="529"/>
      </w:pPr>
      <w:rPr>
        <w:rFonts w:hint="default"/>
        <w:lang w:val="zh-CN" w:eastAsia="zh-CN" w:bidi="zh-CN"/>
      </w:rPr>
    </w:lvl>
    <w:lvl w:ilvl="5" w:tplc="626638BC">
      <w:numFmt w:val="bullet"/>
      <w:lvlText w:val="•"/>
      <w:lvlJc w:val="left"/>
      <w:pPr>
        <w:ind w:left="6003" w:hanging="529"/>
      </w:pPr>
      <w:rPr>
        <w:rFonts w:hint="default"/>
        <w:lang w:val="zh-CN" w:eastAsia="zh-CN" w:bidi="zh-CN"/>
      </w:rPr>
    </w:lvl>
    <w:lvl w:ilvl="6" w:tplc="F648CB02">
      <w:numFmt w:val="bullet"/>
      <w:lvlText w:val="•"/>
      <w:lvlJc w:val="left"/>
      <w:pPr>
        <w:ind w:left="6931" w:hanging="529"/>
      </w:pPr>
      <w:rPr>
        <w:rFonts w:hint="default"/>
        <w:lang w:val="zh-CN" w:eastAsia="zh-CN" w:bidi="zh-CN"/>
      </w:rPr>
    </w:lvl>
    <w:lvl w:ilvl="7" w:tplc="9AFE8ED8">
      <w:numFmt w:val="bullet"/>
      <w:lvlText w:val="•"/>
      <w:lvlJc w:val="left"/>
      <w:pPr>
        <w:ind w:left="7860" w:hanging="529"/>
      </w:pPr>
      <w:rPr>
        <w:rFonts w:hint="default"/>
        <w:lang w:val="zh-CN" w:eastAsia="zh-CN" w:bidi="zh-CN"/>
      </w:rPr>
    </w:lvl>
    <w:lvl w:ilvl="8" w:tplc="94AC0FFA">
      <w:numFmt w:val="bullet"/>
      <w:lvlText w:val="•"/>
      <w:lvlJc w:val="left"/>
      <w:pPr>
        <w:ind w:left="8789" w:hanging="529"/>
      </w:pPr>
      <w:rPr>
        <w:rFonts w:hint="default"/>
        <w:lang w:val="zh-CN" w:eastAsia="zh-CN" w:bidi="zh-CN"/>
      </w:rPr>
    </w:lvl>
  </w:abstractNum>
  <w:abstractNum w:abstractNumId="86" w15:restartNumberingAfterBreak="0">
    <w:nsid w:val="0A114EA3"/>
    <w:multiLevelType w:val="hybridMultilevel"/>
    <w:tmpl w:val="2A58E2AE"/>
    <w:lvl w:ilvl="0" w:tplc="AC829A98">
      <w:start w:val="6"/>
      <w:numFmt w:val="decimal"/>
      <w:lvlText w:val="%1"/>
      <w:lvlJc w:val="left"/>
      <w:pPr>
        <w:ind w:left="1477" w:hanging="637"/>
        <w:jc w:val="left"/>
      </w:pPr>
      <w:rPr>
        <w:rFonts w:hint="default"/>
        <w:lang w:val="zh-CN" w:eastAsia="zh-CN" w:bidi="zh-CN"/>
      </w:rPr>
    </w:lvl>
    <w:lvl w:ilvl="1" w:tplc="536E2CB4">
      <w:start w:val="14"/>
      <w:numFmt w:val="decimal"/>
      <w:lvlText w:val="%1.%2"/>
      <w:lvlJc w:val="left"/>
      <w:pPr>
        <w:ind w:left="1477" w:hanging="637"/>
        <w:jc w:val="left"/>
      </w:pPr>
      <w:rPr>
        <w:rFonts w:hint="default"/>
        <w:lang w:val="zh-CN" w:eastAsia="zh-CN" w:bidi="zh-CN"/>
      </w:rPr>
    </w:lvl>
    <w:lvl w:ilvl="2" w:tplc="748C8BB2">
      <w:start w:val="1"/>
      <w:numFmt w:val="decimal"/>
      <w:lvlText w:val="%1.%2.%3"/>
      <w:lvlJc w:val="left"/>
      <w:pPr>
        <w:ind w:left="1477" w:hanging="637"/>
        <w:jc w:val="left"/>
      </w:pPr>
      <w:rPr>
        <w:rFonts w:ascii="宋体" w:eastAsia="宋体" w:hAnsi="宋体" w:cs="宋体" w:hint="default"/>
        <w:b/>
        <w:bCs/>
        <w:w w:val="99"/>
        <w:sz w:val="19"/>
        <w:szCs w:val="19"/>
        <w:lang w:val="zh-CN" w:eastAsia="zh-CN" w:bidi="zh-CN"/>
      </w:rPr>
    </w:lvl>
    <w:lvl w:ilvl="3" w:tplc="D2DCFDEC">
      <w:numFmt w:val="bullet"/>
      <w:lvlText w:val="•"/>
      <w:lvlJc w:val="left"/>
      <w:pPr>
        <w:ind w:left="4229" w:hanging="637"/>
      </w:pPr>
      <w:rPr>
        <w:rFonts w:hint="default"/>
        <w:lang w:val="zh-CN" w:eastAsia="zh-CN" w:bidi="zh-CN"/>
      </w:rPr>
    </w:lvl>
    <w:lvl w:ilvl="4" w:tplc="009828AC">
      <w:numFmt w:val="bullet"/>
      <w:lvlText w:val="•"/>
      <w:lvlJc w:val="left"/>
      <w:pPr>
        <w:ind w:left="5146" w:hanging="637"/>
      </w:pPr>
      <w:rPr>
        <w:rFonts w:hint="default"/>
        <w:lang w:val="zh-CN" w:eastAsia="zh-CN" w:bidi="zh-CN"/>
      </w:rPr>
    </w:lvl>
    <w:lvl w:ilvl="5" w:tplc="D916D6BC">
      <w:numFmt w:val="bullet"/>
      <w:lvlText w:val="•"/>
      <w:lvlJc w:val="left"/>
      <w:pPr>
        <w:ind w:left="6063" w:hanging="637"/>
      </w:pPr>
      <w:rPr>
        <w:rFonts w:hint="default"/>
        <w:lang w:val="zh-CN" w:eastAsia="zh-CN" w:bidi="zh-CN"/>
      </w:rPr>
    </w:lvl>
    <w:lvl w:ilvl="6" w:tplc="97DC60E2">
      <w:numFmt w:val="bullet"/>
      <w:lvlText w:val="•"/>
      <w:lvlJc w:val="left"/>
      <w:pPr>
        <w:ind w:left="6979" w:hanging="637"/>
      </w:pPr>
      <w:rPr>
        <w:rFonts w:hint="default"/>
        <w:lang w:val="zh-CN" w:eastAsia="zh-CN" w:bidi="zh-CN"/>
      </w:rPr>
    </w:lvl>
    <w:lvl w:ilvl="7" w:tplc="4FAAC3AC">
      <w:numFmt w:val="bullet"/>
      <w:lvlText w:val="•"/>
      <w:lvlJc w:val="left"/>
      <w:pPr>
        <w:ind w:left="7896" w:hanging="637"/>
      </w:pPr>
      <w:rPr>
        <w:rFonts w:hint="default"/>
        <w:lang w:val="zh-CN" w:eastAsia="zh-CN" w:bidi="zh-CN"/>
      </w:rPr>
    </w:lvl>
    <w:lvl w:ilvl="8" w:tplc="26A84142">
      <w:numFmt w:val="bullet"/>
      <w:lvlText w:val="•"/>
      <w:lvlJc w:val="left"/>
      <w:pPr>
        <w:ind w:left="8813" w:hanging="637"/>
      </w:pPr>
      <w:rPr>
        <w:rFonts w:hint="default"/>
        <w:lang w:val="zh-CN" w:eastAsia="zh-CN" w:bidi="zh-CN"/>
      </w:rPr>
    </w:lvl>
  </w:abstractNum>
  <w:abstractNum w:abstractNumId="87" w15:restartNumberingAfterBreak="0">
    <w:nsid w:val="0A173637"/>
    <w:multiLevelType w:val="hybridMultilevel"/>
    <w:tmpl w:val="378076B0"/>
    <w:lvl w:ilvl="0" w:tplc="C9622DF8">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DBDAD138">
      <w:numFmt w:val="bullet"/>
      <w:lvlText w:val="•"/>
      <w:lvlJc w:val="left"/>
      <w:pPr>
        <w:ind w:left="2288" w:hanging="529"/>
      </w:pPr>
      <w:rPr>
        <w:rFonts w:hint="default"/>
        <w:lang w:val="zh-CN" w:eastAsia="zh-CN" w:bidi="zh-CN"/>
      </w:rPr>
    </w:lvl>
    <w:lvl w:ilvl="2" w:tplc="10F03C5E">
      <w:numFmt w:val="bullet"/>
      <w:lvlText w:val="•"/>
      <w:lvlJc w:val="left"/>
      <w:pPr>
        <w:ind w:left="3217" w:hanging="529"/>
      </w:pPr>
      <w:rPr>
        <w:rFonts w:hint="default"/>
        <w:lang w:val="zh-CN" w:eastAsia="zh-CN" w:bidi="zh-CN"/>
      </w:rPr>
    </w:lvl>
    <w:lvl w:ilvl="3" w:tplc="5D7820A2">
      <w:numFmt w:val="bullet"/>
      <w:lvlText w:val="•"/>
      <w:lvlJc w:val="left"/>
      <w:pPr>
        <w:ind w:left="4145" w:hanging="529"/>
      </w:pPr>
      <w:rPr>
        <w:rFonts w:hint="default"/>
        <w:lang w:val="zh-CN" w:eastAsia="zh-CN" w:bidi="zh-CN"/>
      </w:rPr>
    </w:lvl>
    <w:lvl w:ilvl="4" w:tplc="51F475E4">
      <w:numFmt w:val="bullet"/>
      <w:lvlText w:val="•"/>
      <w:lvlJc w:val="left"/>
      <w:pPr>
        <w:ind w:left="5074" w:hanging="529"/>
      </w:pPr>
      <w:rPr>
        <w:rFonts w:hint="default"/>
        <w:lang w:val="zh-CN" w:eastAsia="zh-CN" w:bidi="zh-CN"/>
      </w:rPr>
    </w:lvl>
    <w:lvl w:ilvl="5" w:tplc="2C8A0AFA">
      <w:numFmt w:val="bullet"/>
      <w:lvlText w:val="•"/>
      <w:lvlJc w:val="left"/>
      <w:pPr>
        <w:ind w:left="6003" w:hanging="529"/>
      </w:pPr>
      <w:rPr>
        <w:rFonts w:hint="default"/>
        <w:lang w:val="zh-CN" w:eastAsia="zh-CN" w:bidi="zh-CN"/>
      </w:rPr>
    </w:lvl>
    <w:lvl w:ilvl="6" w:tplc="5A20F246">
      <w:numFmt w:val="bullet"/>
      <w:lvlText w:val="•"/>
      <w:lvlJc w:val="left"/>
      <w:pPr>
        <w:ind w:left="6931" w:hanging="529"/>
      </w:pPr>
      <w:rPr>
        <w:rFonts w:hint="default"/>
        <w:lang w:val="zh-CN" w:eastAsia="zh-CN" w:bidi="zh-CN"/>
      </w:rPr>
    </w:lvl>
    <w:lvl w:ilvl="7" w:tplc="1A7685AE">
      <w:numFmt w:val="bullet"/>
      <w:lvlText w:val="•"/>
      <w:lvlJc w:val="left"/>
      <w:pPr>
        <w:ind w:left="7860" w:hanging="529"/>
      </w:pPr>
      <w:rPr>
        <w:rFonts w:hint="default"/>
        <w:lang w:val="zh-CN" w:eastAsia="zh-CN" w:bidi="zh-CN"/>
      </w:rPr>
    </w:lvl>
    <w:lvl w:ilvl="8" w:tplc="0758FF30">
      <w:numFmt w:val="bullet"/>
      <w:lvlText w:val="•"/>
      <w:lvlJc w:val="left"/>
      <w:pPr>
        <w:ind w:left="8789" w:hanging="529"/>
      </w:pPr>
      <w:rPr>
        <w:rFonts w:hint="default"/>
        <w:lang w:val="zh-CN" w:eastAsia="zh-CN" w:bidi="zh-CN"/>
      </w:rPr>
    </w:lvl>
  </w:abstractNum>
  <w:abstractNum w:abstractNumId="88" w15:restartNumberingAfterBreak="0">
    <w:nsid w:val="0A687109"/>
    <w:multiLevelType w:val="hybridMultilevel"/>
    <w:tmpl w:val="5734D0E6"/>
    <w:lvl w:ilvl="0" w:tplc="C3E0F6F0">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09BEF9BC">
      <w:numFmt w:val="bullet"/>
      <w:lvlText w:val="•"/>
      <w:lvlJc w:val="left"/>
      <w:pPr>
        <w:ind w:left="2288" w:hanging="529"/>
      </w:pPr>
      <w:rPr>
        <w:rFonts w:hint="default"/>
        <w:lang w:val="zh-CN" w:eastAsia="zh-CN" w:bidi="zh-CN"/>
      </w:rPr>
    </w:lvl>
    <w:lvl w:ilvl="2" w:tplc="6944B748">
      <w:numFmt w:val="bullet"/>
      <w:lvlText w:val="•"/>
      <w:lvlJc w:val="left"/>
      <w:pPr>
        <w:ind w:left="3217" w:hanging="529"/>
      </w:pPr>
      <w:rPr>
        <w:rFonts w:hint="default"/>
        <w:lang w:val="zh-CN" w:eastAsia="zh-CN" w:bidi="zh-CN"/>
      </w:rPr>
    </w:lvl>
    <w:lvl w:ilvl="3" w:tplc="FDCE71F0">
      <w:numFmt w:val="bullet"/>
      <w:lvlText w:val="•"/>
      <w:lvlJc w:val="left"/>
      <w:pPr>
        <w:ind w:left="4145" w:hanging="529"/>
      </w:pPr>
      <w:rPr>
        <w:rFonts w:hint="default"/>
        <w:lang w:val="zh-CN" w:eastAsia="zh-CN" w:bidi="zh-CN"/>
      </w:rPr>
    </w:lvl>
    <w:lvl w:ilvl="4" w:tplc="99EC596C">
      <w:numFmt w:val="bullet"/>
      <w:lvlText w:val="•"/>
      <w:lvlJc w:val="left"/>
      <w:pPr>
        <w:ind w:left="5074" w:hanging="529"/>
      </w:pPr>
      <w:rPr>
        <w:rFonts w:hint="default"/>
        <w:lang w:val="zh-CN" w:eastAsia="zh-CN" w:bidi="zh-CN"/>
      </w:rPr>
    </w:lvl>
    <w:lvl w:ilvl="5" w:tplc="FC665AB2">
      <w:numFmt w:val="bullet"/>
      <w:lvlText w:val="•"/>
      <w:lvlJc w:val="left"/>
      <w:pPr>
        <w:ind w:left="6003" w:hanging="529"/>
      </w:pPr>
      <w:rPr>
        <w:rFonts w:hint="default"/>
        <w:lang w:val="zh-CN" w:eastAsia="zh-CN" w:bidi="zh-CN"/>
      </w:rPr>
    </w:lvl>
    <w:lvl w:ilvl="6" w:tplc="D2AE056A">
      <w:numFmt w:val="bullet"/>
      <w:lvlText w:val="•"/>
      <w:lvlJc w:val="left"/>
      <w:pPr>
        <w:ind w:left="6931" w:hanging="529"/>
      </w:pPr>
      <w:rPr>
        <w:rFonts w:hint="default"/>
        <w:lang w:val="zh-CN" w:eastAsia="zh-CN" w:bidi="zh-CN"/>
      </w:rPr>
    </w:lvl>
    <w:lvl w:ilvl="7" w:tplc="EC261872">
      <w:numFmt w:val="bullet"/>
      <w:lvlText w:val="•"/>
      <w:lvlJc w:val="left"/>
      <w:pPr>
        <w:ind w:left="7860" w:hanging="529"/>
      </w:pPr>
      <w:rPr>
        <w:rFonts w:hint="default"/>
        <w:lang w:val="zh-CN" w:eastAsia="zh-CN" w:bidi="zh-CN"/>
      </w:rPr>
    </w:lvl>
    <w:lvl w:ilvl="8" w:tplc="19FAE0A6">
      <w:numFmt w:val="bullet"/>
      <w:lvlText w:val="•"/>
      <w:lvlJc w:val="left"/>
      <w:pPr>
        <w:ind w:left="8789" w:hanging="529"/>
      </w:pPr>
      <w:rPr>
        <w:rFonts w:hint="default"/>
        <w:lang w:val="zh-CN" w:eastAsia="zh-CN" w:bidi="zh-CN"/>
      </w:rPr>
    </w:lvl>
  </w:abstractNum>
  <w:abstractNum w:abstractNumId="89" w15:restartNumberingAfterBreak="0">
    <w:nsid w:val="0A964548"/>
    <w:multiLevelType w:val="hybridMultilevel"/>
    <w:tmpl w:val="6284C86C"/>
    <w:lvl w:ilvl="0" w:tplc="6F6CE02C">
      <w:start w:val="6"/>
      <w:numFmt w:val="decimal"/>
      <w:lvlText w:val="%1"/>
      <w:lvlJc w:val="left"/>
      <w:pPr>
        <w:ind w:left="1369" w:hanging="529"/>
        <w:jc w:val="left"/>
      </w:pPr>
      <w:rPr>
        <w:rFonts w:hint="default"/>
        <w:lang w:val="zh-CN" w:eastAsia="zh-CN" w:bidi="zh-CN"/>
      </w:rPr>
    </w:lvl>
    <w:lvl w:ilvl="1" w:tplc="8BB653F2">
      <w:start w:val="3"/>
      <w:numFmt w:val="decimal"/>
      <w:lvlText w:val="%1.%2"/>
      <w:lvlJc w:val="left"/>
      <w:pPr>
        <w:ind w:left="1369" w:hanging="529"/>
        <w:jc w:val="left"/>
      </w:pPr>
      <w:rPr>
        <w:rFonts w:hint="default"/>
        <w:lang w:val="zh-CN" w:eastAsia="zh-CN" w:bidi="zh-CN"/>
      </w:rPr>
    </w:lvl>
    <w:lvl w:ilvl="2" w:tplc="C0D2A958">
      <w:start w:val="5"/>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354C09B4">
      <w:numFmt w:val="bullet"/>
      <w:lvlText w:val="•"/>
      <w:lvlJc w:val="left"/>
      <w:pPr>
        <w:ind w:left="4145" w:hanging="529"/>
      </w:pPr>
      <w:rPr>
        <w:rFonts w:hint="default"/>
        <w:lang w:val="zh-CN" w:eastAsia="zh-CN" w:bidi="zh-CN"/>
      </w:rPr>
    </w:lvl>
    <w:lvl w:ilvl="4" w:tplc="A0660012">
      <w:numFmt w:val="bullet"/>
      <w:lvlText w:val="•"/>
      <w:lvlJc w:val="left"/>
      <w:pPr>
        <w:ind w:left="5074" w:hanging="529"/>
      </w:pPr>
      <w:rPr>
        <w:rFonts w:hint="default"/>
        <w:lang w:val="zh-CN" w:eastAsia="zh-CN" w:bidi="zh-CN"/>
      </w:rPr>
    </w:lvl>
    <w:lvl w:ilvl="5" w:tplc="0C3EE388">
      <w:numFmt w:val="bullet"/>
      <w:lvlText w:val="•"/>
      <w:lvlJc w:val="left"/>
      <w:pPr>
        <w:ind w:left="6003" w:hanging="529"/>
      </w:pPr>
      <w:rPr>
        <w:rFonts w:hint="default"/>
        <w:lang w:val="zh-CN" w:eastAsia="zh-CN" w:bidi="zh-CN"/>
      </w:rPr>
    </w:lvl>
    <w:lvl w:ilvl="6" w:tplc="590E00F6">
      <w:numFmt w:val="bullet"/>
      <w:lvlText w:val="•"/>
      <w:lvlJc w:val="left"/>
      <w:pPr>
        <w:ind w:left="6931" w:hanging="529"/>
      </w:pPr>
      <w:rPr>
        <w:rFonts w:hint="default"/>
        <w:lang w:val="zh-CN" w:eastAsia="zh-CN" w:bidi="zh-CN"/>
      </w:rPr>
    </w:lvl>
    <w:lvl w:ilvl="7" w:tplc="470E7AB0">
      <w:numFmt w:val="bullet"/>
      <w:lvlText w:val="•"/>
      <w:lvlJc w:val="left"/>
      <w:pPr>
        <w:ind w:left="7860" w:hanging="529"/>
      </w:pPr>
      <w:rPr>
        <w:rFonts w:hint="default"/>
        <w:lang w:val="zh-CN" w:eastAsia="zh-CN" w:bidi="zh-CN"/>
      </w:rPr>
    </w:lvl>
    <w:lvl w:ilvl="8" w:tplc="4D4CC37A">
      <w:numFmt w:val="bullet"/>
      <w:lvlText w:val="•"/>
      <w:lvlJc w:val="left"/>
      <w:pPr>
        <w:ind w:left="8789" w:hanging="529"/>
      </w:pPr>
      <w:rPr>
        <w:rFonts w:hint="default"/>
        <w:lang w:val="zh-CN" w:eastAsia="zh-CN" w:bidi="zh-CN"/>
      </w:rPr>
    </w:lvl>
  </w:abstractNum>
  <w:abstractNum w:abstractNumId="90" w15:restartNumberingAfterBreak="0">
    <w:nsid w:val="0AB147B2"/>
    <w:multiLevelType w:val="hybridMultilevel"/>
    <w:tmpl w:val="696CE2AA"/>
    <w:lvl w:ilvl="0" w:tplc="531239B2">
      <w:start w:val="10"/>
      <w:numFmt w:val="decimal"/>
      <w:lvlText w:val="%1"/>
      <w:lvlJc w:val="left"/>
      <w:pPr>
        <w:ind w:left="418" w:hanging="424"/>
        <w:jc w:val="left"/>
      </w:pPr>
      <w:rPr>
        <w:rFonts w:hint="default"/>
        <w:lang w:val="zh-CN" w:eastAsia="zh-CN" w:bidi="zh-CN"/>
      </w:rPr>
    </w:lvl>
    <w:lvl w:ilvl="1" w:tplc="ABD0C418">
      <w:start w:val="1"/>
      <w:numFmt w:val="decimal"/>
      <w:lvlText w:val="%1.%2"/>
      <w:lvlJc w:val="left"/>
      <w:pPr>
        <w:ind w:left="418" w:hanging="424"/>
        <w:jc w:val="left"/>
      </w:pPr>
      <w:rPr>
        <w:rFonts w:ascii="宋体" w:eastAsia="宋体" w:hAnsi="宋体" w:cs="宋体" w:hint="default"/>
        <w:b/>
        <w:bCs/>
        <w:w w:val="99"/>
        <w:sz w:val="19"/>
        <w:szCs w:val="19"/>
        <w:lang w:val="zh-CN" w:eastAsia="zh-CN" w:bidi="zh-CN"/>
      </w:rPr>
    </w:lvl>
    <w:lvl w:ilvl="2" w:tplc="7B063254">
      <w:numFmt w:val="bullet"/>
      <w:lvlText w:val="•"/>
      <w:lvlJc w:val="left"/>
      <w:pPr>
        <w:ind w:left="2465" w:hanging="424"/>
      </w:pPr>
      <w:rPr>
        <w:rFonts w:hint="default"/>
        <w:lang w:val="zh-CN" w:eastAsia="zh-CN" w:bidi="zh-CN"/>
      </w:rPr>
    </w:lvl>
    <w:lvl w:ilvl="3" w:tplc="0A3E4C4A">
      <w:numFmt w:val="bullet"/>
      <w:lvlText w:val="•"/>
      <w:lvlJc w:val="left"/>
      <w:pPr>
        <w:ind w:left="3487" w:hanging="424"/>
      </w:pPr>
      <w:rPr>
        <w:rFonts w:hint="default"/>
        <w:lang w:val="zh-CN" w:eastAsia="zh-CN" w:bidi="zh-CN"/>
      </w:rPr>
    </w:lvl>
    <w:lvl w:ilvl="4" w:tplc="2A38FC12">
      <w:numFmt w:val="bullet"/>
      <w:lvlText w:val="•"/>
      <w:lvlJc w:val="left"/>
      <w:pPr>
        <w:ind w:left="4510" w:hanging="424"/>
      </w:pPr>
      <w:rPr>
        <w:rFonts w:hint="default"/>
        <w:lang w:val="zh-CN" w:eastAsia="zh-CN" w:bidi="zh-CN"/>
      </w:rPr>
    </w:lvl>
    <w:lvl w:ilvl="5" w:tplc="E5101A00">
      <w:numFmt w:val="bullet"/>
      <w:lvlText w:val="•"/>
      <w:lvlJc w:val="left"/>
      <w:pPr>
        <w:ind w:left="5533" w:hanging="424"/>
      </w:pPr>
      <w:rPr>
        <w:rFonts w:hint="default"/>
        <w:lang w:val="zh-CN" w:eastAsia="zh-CN" w:bidi="zh-CN"/>
      </w:rPr>
    </w:lvl>
    <w:lvl w:ilvl="6" w:tplc="B5FE7324">
      <w:numFmt w:val="bullet"/>
      <w:lvlText w:val="•"/>
      <w:lvlJc w:val="left"/>
      <w:pPr>
        <w:ind w:left="6555" w:hanging="424"/>
      </w:pPr>
      <w:rPr>
        <w:rFonts w:hint="default"/>
        <w:lang w:val="zh-CN" w:eastAsia="zh-CN" w:bidi="zh-CN"/>
      </w:rPr>
    </w:lvl>
    <w:lvl w:ilvl="7" w:tplc="CB309952">
      <w:numFmt w:val="bullet"/>
      <w:lvlText w:val="•"/>
      <w:lvlJc w:val="left"/>
      <w:pPr>
        <w:ind w:left="7578" w:hanging="424"/>
      </w:pPr>
      <w:rPr>
        <w:rFonts w:hint="default"/>
        <w:lang w:val="zh-CN" w:eastAsia="zh-CN" w:bidi="zh-CN"/>
      </w:rPr>
    </w:lvl>
    <w:lvl w:ilvl="8" w:tplc="48E2622E">
      <w:numFmt w:val="bullet"/>
      <w:lvlText w:val="•"/>
      <w:lvlJc w:val="left"/>
      <w:pPr>
        <w:ind w:left="8601" w:hanging="424"/>
      </w:pPr>
      <w:rPr>
        <w:rFonts w:hint="default"/>
        <w:lang w:val="zh-CN" w:eastAsia="zh-CN" w:bidi="zh-CN"/>
      </w:rPr>
    </w:lvl>
  </w:abstractNum>
  <w:abstractNum w:abstractNumId="91" w15:restartNumberingAfterBreak="0">
    <w:nsid w:val="0AED4FA5"/>
    <w:multiLevelType w:val="hybridMultilevel"/>
    <w:tmpl w:val="70B8AA48"/>
    <w:lvl w:ilvl="0" w:tplc="FA2C2BAC">
      <w:start w:val="4"/>
      <w:numFmt w:val="decimal"/>
      <w:lvlText w:val="%1"/>
      <w:lvlJc w:val="left"/>
      <w:pPr>
        <w:ind w:left="1370" w:hanging="531"/>
        <w:jc w:val="left"/>
      </w:pPr>
      <w:rPr>
        <w:rFonts w:hint="default"/>
        <w:lang w:val="zh-CN" w:eastAsia="zh-CN" w:bidi="zh-CN"/>
      </w:rPr>
    </w:lvl>
    <w:lvl w:ilvl="1" w:tplc="D6FAF480">
      <w:start w:val="2"/>
      <w:numFmt w:val="decimal"/>
      <w:lvlText w:val="%1.%2"/>
      <w:lvlJc w:val="left"/>
      <w:pPr>
        <w:ind w:left="1370" w:hanging="531"/>
        <w:jc w:val="left"/>
      </w:pPr>
      <w:rPr>
        <w:rFonts w:hint="default"/>
        <w:lang w:val="zh-CN" w:eastAsia="zh-CN" w:bidi="zh-CN"/>
      </w:rPr>
    </w:lvl>
    <w:lvl w:ilvl="2" w:tplc="7BCA6D34">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C3345950">
      <w:numFmt w:val="bullet"/>
      <w:lvlText w:val="•"/>
      <w:lvlJc w:val="left"/>
      <w:pPr>
        <w:ind w:left="4159" w:hanging="531"/>
      </w:pPr>
      <w:rPr>
        <w:rFonts w:hint="default"/>
        <w:lang w:val="zh-CN" w:eastAsia="zh-CN" w:bidi="zh-CN"/>
      </w:rPr>
    </w:lvl>
    <w:lvl w:ilvl="4" w:tplc="BE204124">
      <w:numFmt w:val="bullet"/>
      <w:lvlText w:val="•"/>
      <w:lvlJc w:val="left"/>
      <w:pPr>
        <w:ind w:left="5086" w:hanging="531"/>
      </w:pPr>
      <w:rPr>
        <w:rFonts w:hint="default"/>
        <w:lang w:val="zh-CN" w:eastAsia="zh-CN" w:bidi="zh-CN"/>
      </w:rPr>
    </w:lvl>
    <w:lvl w:ilvl="5" w:tplc="97D06C60">
      <w:numFmt w:val="bullet"/>
      <w:lvlText w:val="•"/>
      <w:lvlJc w:val="left"/>
      <w:pPr>
        <w:ind w:left="6013" w:hanging="531"/>
      </w:pPr>
      <w:rPr>
        <w:rFonts w:hint="default"/>
        <w:lang w:val="zh-CN" w:eastAsia="zh-CN" w:bidi="zh-CN"/>
      </w:rPr>
    </w:lvl>
    <w:lvl w:ilvl="6" w:tplc="0EF66EE6">
      <w:numFmt w:val="bullet"/>
      <w:lvlText w:val="•"/>
      <w:lvlJc w:val="left"/>
      <w:pPr>
        <w:ind w:left="6939" w:hanging="531"/>
      </w:pPr>
      <w:rPr>
        <w:rFonts w:hint="default"/>
        <w:lang w:val="zh-CN" w:eastAsia="zh-CN" w:bidi="zh-CN"/>
      </w:rPr>
    </w:lvl>
    <w:lvl w:ilvl="7" w:tplc="D0D07248">
      <w:numFmt w:val="bullet"/>
      <w:lvlText w:val="•"/>
      <w:lvlJc w:val="left"/>
      <w:pPr>
        <w:ind w:left="7866" w:hanging="531"/>
      </w:pPr>
      <w:rPr>
        <w:rFonts w:hint="default"/>
        <w:lang w:val="zh-CN" w:eastAsia="zh-CN" w:bidi="zh-CN"/>
      </w:rPr>
    </w:lvl>
    <w:lvl w:ilvl="8" w:tplc="BDFE5C2C">
      <w:numFmt w:val="bullet"/>
      <w:lvlText w:val="•"/>
      <w:lvlJc w:val="left"/>
      <w:pPr>
        <w:ind w:left="8793" w:hanging="531"/>
      </w:pPr>
      <w:rPr>
        <w:rFonts w:hint="default"/>
        <w:lang w:val="zh-CN" w:eastAsia="zh-CN" w:bidi="zh-CN"/>
      </w:rPr>
    </w:lvl>
  </w:abstractNum>
  <w:abstractNum w:abstractNumId="92" w15:restartNumberingAfterBreak="0">
    <w:nsid w:val="0AEE6C6C"/>
    <w:multiLevelType w:val="hybridMultilevel"/>
    <w:tmpl w:val="4EA8ECEA"/>
    <w:lvl w:ilvl="0" w:tplc="767A9F36">
      <w:start w:val="7"/>
      <w:numFmt w:val="decimal"/>
      <w:lvlText w:val="%1"/>
      <w:lvlJc w:val="left"/>
      <w:pPr>
        <w:ind w:left="1158" w:hanging="318"/>
        <w:jc w:val="left"/>
      </w:pPr>
      <w:rPr>
        <w:rFonts w:hint="default"/>
        <w:lang w:val="zh-CN" w:eastAsia="zh-CN" w:bidi="zh-CN"/>
      </w:rPr>
    </w:lvl>
    <w:lvl w:ilvl="1" w:tplc="4762CB7C">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F168E51C">
      <w:start w:val="1"/>
      <w:numFmt w:val="decimal"/>
      <w:lvlText w:val="%1.%2.%3"/>
      <w:lvlJc w:val="left"/>
      <w:pPr>
        <w:ind w:left="1423" w:hanging="584"/>
        <w:jc w:val="left"/>
      </w:pPr>
      <w:rPr>
        <w:rFonts w:ascii="宋体" w:eastAsia="宋体" w:hAnsi="宋体" w:cs="宋体" w:hint="default"/>
        <w:b/>
        <w:bCs/>
        <w:w w:val="99"/>
        <w:sz w:val="21"/>
        <w:szCs w:val="21"/>
        <w:lang w:val="zh-CN" w:eastAsia="zh-CN" w:bidi="zh-CN"/>
      </w:rPr>
    </w:lvl>
    <w:lvl w:ilvl="3" w:tplc="27729EC8">
      <w:numFmt w:val="bullet"/>
      <w:lvlText w:val="•"/>
      <w:lvlJc w:val="left"/>
      <w:pPr>
        <w:ind w:left="3470" w:hanging="584"/>
      </w:pPr>
      <w:rPr>
        <w:rFonts w:hint="default"/>
        <w:lang w:val="zh-CN" w:eastAsia="zh-CN" w:bidi="zh-CN"/>
      </w:rPr>
    </w:lvl>
    <w:lvl w:ilvl="4" w:tplc="0B40D930">
      <w:numFmt w:val="bullet"/>
      <w:lvlText w:val="•"/>
      <w:lvlJc w:val="left"/>
      <w:pPr>
        <w:ind w:left="4495" w:hanging="584"/>
      </w:pPr>
      <w:rPr>
        <w:rFonts w:hint="default"/>
        <w:lang w:val="zh-CN" w:eastAsia="zh-CN" w:bidi="zh-CN"/>
      </w:rPr>
    </w:lvl>
    <w:lvl w:ilvl="5" w:tplc="C4F0D324">
      <w:numFmt w:val="bullet"/>
      <w:lvlText w:val="•"/>
      <w:lvlJc w:val="left"/>
      <w:pPr>
        <w:ind w:left="5520" w:hanging="584"/>
      </w:pPr>
      <w:rPr>
        <w:rFonts w:hint="default"/>
        <w:lang w:val="zh-CN" w:eastAsia="zh-CN" w:bidi="zh-CN"/>
      </w:rPr>
    </w:lvl>
    <w:lvl w:ilvl="6" w:tplc="A3F2FC7A">
      <w:numFmt w:val="bullet"/>
      <w:lvlText w:val="•"/>
      <w:lvlJc w:val="left"/>
      <w:pPr>
        <w:ind w:left="6545" w:hanging="584"/>
      </w:pPr>
      <w:rPr>
        <w:rFonts w:hint="default"/>
        <w:lang w:val="zh-CN" w:eastAsia="zh-CN" w:bidi="zh-CN"/>
      </w:rPr>
    </w:lvl>
    <w:lvl w:ilvl="7" w:tplc="9EDA9E5E">
      <w:numFmt w:val="bullet"/>
      <w:lvlText w:val="•"/>
      <w:lvlJc w:val="left"/>
      <w:pPr>
        <w:ind w:left="7570" w:hanging="584"/>
      </w:pPr>
      <w:rPr>
        <w:rFonts w:hint="default"/>
        <w:lang w:val="zh-CN" w:eastAsia="zh-CN" w:bidi="zh-CN"/>
      </w:rPr>
    </w:lvl>
    <w:lvl w:ilvl="8" w:tplc="195C6708">
      <w:numFmt w:val="bullet"/>
      <w:lvlText w:val="•"/>
      <w:lvlJc w:val="left"/>
      <w:pPr>
        <w:ind w:left="8596" w:hanging="584"/>
      </w:pPr>
      <w:rPr>
        <w:rFonts w:hint="default"/>
        <w:lang w:val="zh-CN" w:eastAsia="zh-CN" w:bidi="zh-CN"/>
      </w:rPr>
    </w:lvl>
  </w:abstractNum>
  <w:abstractNum w:abstractNumId="93" w15:restartNumberingAfterBreak="0">
    <w:nsid w:val="0B183B43"/>
    <w:multiLevelType w:val="hybridMultilevel"/>
    <w:tmpl w:val="64520A54"/>
    <w:lvl w:ilvl="0" w:tplc="B7B87C2C">
      <w:start w:val="1"/>
      <w:numFmt w:val="lowerLetter"/>
      <w:lvlText w:val="%1)"/>
      <w:lvlJc w:val="left"/>
      <w:pPr>
        <w:ind w:left="418" w:hanging="213"/>
        <w:jc w:val="left"/>
      </w:pPr>
      <w:rPr>
        <w:rFonts w:ascii="宋体" w:eastAsia="宋体" w:hAnsi="宋体" w:cs="宋体" w:hint="default"/>
        <w:spacing w:val="-55"/>
        <w:w w:val="100"/>
        <w:sz w:val="19"/>
        <w:szCs w:val="19"/>
        <w:lang w:val="zh-CN" w:eastAsia="zh-CN" w:bidi="zh-CN"/>
      </w:rPr>
    </w:lvl>
    <w:lvl w:ilvl="1" w:tplc="407C36F4">
      <w:numFmt w:val="bullet"/>
      <w:lvlText w:val="•"/>
      <w:lvlJc w:val="left"/>
      <w:pPr>
        <w:ind w:left="1442" w:hanging="213"/>
      </w:pPr>
      <w:rPr>
        <w:rFonts w:hint="default"/>
        <w:lang w:val="zh-CN" w:eastAsia="zh-CN" w:bidi="zh-CN"/>
      </w:rPr>
    </w:lvl>
    <w:lvl w:ilvl="2" w:tplc="A8625BD2">
      <w:numFmt w:val="bullet"/>
      <w:lvlText w:val="•"/>
      <w:lvlJc w:val="left"/>
      <w:pPr>
        <w:ind w:left="2465" w:hanging="213"/>
      </w:pPr>
      <w:rPr>
        <w:rFonts w:hint="default"/>
        <w:lang w:val="zh-CN" w:eastAsia="zh-CN" w:bidi="zh-CN"/>
      </w:rPr>
    </w:lvl>
    <w:lvl w:ilvl="3" w:tplc="114272F8">
      <w:numFmt w:val="bullet"/>
      <w:lvlText w:val="•"/>
      <w:lvlJc w:val="left"/>
      <w:pPr>
        <w:ind w:left="3487" w:hanging="213"/>
      </w:pPr>
      <w:rPr>
        <w:rFonts w:hint="default"/>
        <w:lang w:val="zh-CN" w:eastAsia="zh-CN" w:bidi="zh-CN"/>
      </w:rPr>
    </w:lvl>
    <w:lvl w:ilvl="4" w:tplc="38B86C7E">
      <w:numFmt w:val="bullet"/>
      <w:lvlText w:val="•"/>
      <w:lvlJc w:val="left"/>
      <w:pPr>
        <w:ind w:left="4510" w:hanging="213"/>
      </w:pPr>
      <w:rPr>
        <w:rFonts w:hint="default"/>
        <w:lang w:val="zh-CN" w:eastAsia="zh-CN" w:bidi="zh-CN"/>
      </w:rPr>
    </w:lvl>
    <w:lvl w:ilvl="5" w:tplc="BDF02AD8">
      <w:numFmt w:val="bullet"/>
      <w:lvlText w:val="•"/>
      <w:lvlJc w:val="left"/>
      <w:pPr>
        <w:ind w:left="5533" w:hanging="213"/>
      </w:pPr>
      <w:rPr>
        <w:rFonts w:hint="default"/>
        <w:lang w:val="zh-CN" w:eastAsia="zh-CN" w:bidi="zh-CN"/>
      </w:rPr>
    </w:lvl>
    <w:lvl w:ilvl="6" w:tplc="FAE000F4">
      <w:numFmt w:val="bullet"/>
      <w:lvlText w:val="•"/>
      <w:lvlJc w:val="left"/>
      <w:pPr>
        <w:ind w:left="6555" w:hanging="213"/>
      </w:pPr>
      <w:rPr>
        <w:rFonts w:hint="default"/>
        <w:lang w:val="zh-CN" w:eastAsia="zh-CN" w:bidi="zh-CN"/>
      </w:rPr>
    </w:lvl>
    <w:lvl w:ilvl="7" w:tplc="D6D6615E">
      <w:numFmt w:val="bullet"/>
      <w:lvlText w:val="•"/>
      <w:lvlJc w:val="left"/>
      <w:pPr>
        <w:ind w:left="7578" w:hanging="213"/>
      </w:pPr>
      <w:rPr>
        <w:rFonts w:hint="default"/>
        <w:lang w:val="zh-CN" w:eastAsia="zh-CN" w:bidi="zh-CN"/>
      </w:rPr>
    </w:lvl>
    <w:lvl w:ilvl="8" w:tplc="E96A23FC">
      <w:numFmt w:val="bullet"/>
      <w:lvlText w:val="•"/>
      <w:lvlJc w:val="left"/>
      <w:pPr>
        <w:ind w:left="8601" w:hanging="213"/>
      </w:pPr>
      <w:rPr>
        <w:rFonts w:hint="default"/>
        <w:lang w:val="zh-CN" w:eastAsia="zh-CN" w:bidi="zh-CN"/>
      </w:rPr>
    </w:lvl>
  </w:abstractNum>
  <w:abstractNum w:abstractNumId="94" w15:restartNumberingAfterBreak="0">
    <w:nsid w:val="0B2245FC"/>
    <w:multiLevelType w:val="hybridMultilevel"/>
    <w:tmpl w:val="528E75F6"/>
    <w:lvl w:ilvl="0" w:tplc="ECB0B662">
      <w:start w:val="2"/>
      <w:numFmt w:val="lowerLetter"/>
      <w:lvlText w:val="%1）"/>
      <w:lvlJc w:val="left"/>
      <w:pPr>
        <w:ind w:left="1155" w:hanging="318"/>
        <w:jc w:val="left"/>
      </w:pPr>
      <w:rPr>
        <w:rFonts w:ascii="宋体" w:eastAsia="宋体" w:hAnsi="宋体" w:cs="宋体" w:hint="default"/>
        <w:w w:val="100"/>
        <w:sz w:val="19"/>
        <w:szCs w:val="19"/>
        <w:lang w:val="zh-CN" w:eastAsia="zh-CN" w:bidi="zh-CN"/>
      </w:rPr>
    </w:lvl>
    <w:lvl w:ilvl="1" w:tplc="406AAA32">
      <w:numFmt w:val="bullet"/>
      <w:lvlText w:val="•"/>
      <w:lvlJc w:val="left"/>
      <w:pPr>
        <w:ind w:left="2108" w:hanging="318"/>
      </w:pPr>
      <w:rPr>
        <w:rFonts w:hint="default"/>
        <w:lang w:val="zh-CN" w:eastAsia="zh-CN" w:bidi="zh-CN"/>
      </w:rPr>
    </w:lvl>
    <w:lvl w:ilvl="2" w:tplc="C8304EE4">
      <w:numFmt w:val="bullet"/>
      <w:lvlText w:val="•"/>
      <w:lvlJc w:val="left"/>
      <w:pPr>
        <w:ind w:left="3057" w:hanging="318"/>
      </w:pPr>
      <w:rPr>
        <w:rFonts w:hint="default"/>
        <w:lang w:val="zh-CN" w:eastAsia="zh-CN" w:bidi="zh-CN"/>
      </w:rPr>
    </w:lvl>
    <w:lvl w:ilvl="3" w:tplc="0F360636">
      <w:numFmt w:val="bullet"/>
      <w:lvlText w:val="•"/>
      <w:lvlJc w:val="left"/>
      <w:pPr>
        <w:ind w:left="4005" w:hanging="318"/>
      </w:pPr>
      <w:rPr>
        <w:rFonts w:hint="default"/>
        <w:lang w:val="zh-CN" w:eastAsia="zh-CN" w:bidi="zh-CN"/>
      </w:rPr>
    </w:lvl>
    <w:lvl w:ilvl="4" w:tplc="B946652C">
      <w:numFmt w:val="bullet"/>
      <w:lvlText w:val="•"/>
      <w:lvlJc w:val="left"/>
      <w:pPr>
        <w:ind w:left="4954" w:hanging="318"/>
      </w:pPr>
      <w:rPr>
        <w:rFonts w:hint="default"/>
        <w:lang w:val="zh-CN" w:eastAsia="zh-CN" w:bidi="zh-CN"/>
      </w:rPr>
    </w:lvl>
    <w:lvl w:ilvl="5" w:tplc="C756D182">
      <w:numFmt w:val="bullet"/>
      <w:lvlText w:val="•"/>
      <w:lvlJc w:val="left"/>
      <w:pPr>
        <w:ind w:left="5903" w:hanging="318"/>
      </w:pPr>
      <w:rPr>
        <w:rFonts w:hint="default"/>
        <w:lang w:val="zh-CN" w:eastAsia="zh-CN" w:bidi="zh-CN"/>
      </w:rPr>
    </w:lvl>
    <w:lvl w:ilvl="6" w:tplc="26AE6130">
      <w:numFmt w:val="bullet"/>
      <w:lvlText w:val="•"/>
      <w:lvlJc w:val="left"/>
      <w:pPr>
        <w:ind w:left="6851" w:hanging="318"/>
      </w:pPr>
      <w:rPr>
        <w:rFonts w:hint="default"/>
        <w:lang w:val="zh-CN" w:eastAsia="zh-CN" w:bidi="zh-CN"/>
      </w:rPr>
    </w:lvl>
    <w:lvl w:ilvl="7" w:tplc="CD2CA226">
      <w:numFmt w:val="bullet"/>
      <w:lvlText w:val="•"/>
      <w:lvlJc w:val="left"/>
      <w:pPr>
        <w:ind w:left="7800" w:hanging="318"/>
      </w:pPr>
      <w:rPr>
        <w:rFonts w:hint="default"/>
        <w:lang w:val="zh-CN" w:eastAsia="zh-CN" w:bidi="zh-CN"/>
      </w:rPr>
    </w:lvl>
    <w:lvl w:ilvl="8" w:tplc="FE547682">
      <w:numFmt w:val="bullet"/>
      <w:lvlText w:val="•"/>
      <w:lvlJc w:val="left"/>
      <w:pPr>
        <w:ind w:left="8749" w:hanging="318"/>
      </w:pPr>
      <w:rPr>
        <w:rFonts w:hint="default"/>
        <w:lang w:val="zh-CN" w:eastAsia="zh-CN" w:bidi="zh-CN"/>
      </w:rPr>
    </w:lvl>
  </w:abstractNum>
  <w:abstractNum w:abstractNumId="95" w15:restartNumberingAfterBreak="0">
    <w:nsid w:val="0B764D0E"/>
    <w:multiLevelType w:val="hybridMultilevel"/>
    <w:tmpl w:val="B84A7EA6"/>
    <w:lvl w:ilvl="0" w:tplc="30440EAA">
      <w:start w:val="2"/>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E45AD824">
      <w:numFmt w:val="bullet"/>
      <w:lvlText w:val="•"/>
      <w:lvlJc w:val="left"/>
      <w:pPr>
        <w:ind w:left="2018" w:hanging="213"/>
      </w:pPr>
      <w:rPr>
        <w:rFonts w:hint="default"/>
        <w:lang w:val="zh-CN" w:eastAsia="zh-CN" w:bidi="zh-CN"/>
      </w:rPr>
    </w:lvl>
    <w:lvl w:ilvl="2" w:tplc="5440917E">
      <w:numFmt w:val="bullet"/>
      <w:lvlText w:val="•"/>
      <w:lvlJc w:val="left"/>
      <w:pPr>
        <w:ind w:left="2977" w:hanging="213"/>
      </w:pPr>
      <w:rPr>
        <w:rFonts w:hint="default"/>
        <w:lang w:val="zh-CN" w:eastAsia="zh-CN" w:bidi="zh-CN"/>
      </w:rPr>
    </w:lvl>
    <w:lvl w:ilvl="3" w:tplc="F34C723C">
      <w:numFmt w:val="bullet"/>
      <w:lvlText w:val="•"/>
      <w:lvlJc w:val="left"/>
      <w:pPr>
        <w:ind w:left="3935" w:hanging="213"/>
      </w:pPr>
      <w:rPr>
        <w:rFonts w:hint="default"/>
        <w:lang w:val="zh-CN" w:eastAsia="zh-CN" w:bidi="zh-CN"/>
      </w:rPr>
    </w:lvl>
    <w:lvl w:ilvl="4" w:tplc="DF1A940A">
      <w:numFmt w:val="bullet"/>
      <w:lvlText w:val="•"/>
      <w:lvlJc w:val="left"/>
      <w:pPr>
        <w:ind w:left="4894" w:hanging="213"/>
      </w:pPr>
      <w:rPr>
        <w:rFonts w:hint="default"/>
        <w:lang w:val="zh-CN" w:eastAsia="zh-CN" w:bidi="zh-CN"/>
      </w:rPr>
    </w:lvl>
    <w:lvl w:ilvl="5" w:tplc="B816D43C">
      <w:numFmt w:val="bullet"/>
      <w:lvlText w:val="•"/>
      <w:lvlJc w:val="left"/>
      <w:pPr>
        <w:ind w:left="5853" w:hanging="213"/>
      </w:pPr>
      <w:rPr>
        <w:rFonts w:hint="default"/>
        <w:lang w:val="zh-CN" w:eastAsia="zh-CN" w:bidi="zh-CN"/>
      </w:rPr>
    </w:lvl>
    <w:lvl w:ilvl="6" w:tplc="93B06D36">
      <w:numFmt w:val="bullet"/>
      <w:lvlText w:val="•"/>
      <w:lvlJc w:val="left"/>
      <w:pPr>
        <w:ind w:left="6811" w:hanging="213"/>
      </w:pPr>
      <w:rPr>
        <w:rFonts w:hint="default"/>
        <w:lang w:val="zh-CN" w:eastAsia="zh-CN" w:bidi="zh-CN"/>
      </w:rPr>
    </w:lvl>
    <w:lvl w:ilvl="7" w:tplc="1652AA18">
      <w:numFmt w:val="bullet"/>
      <w:lvlText w:val="•"/>
      <w:lvlJc w:val="left"/>
      <w:pPr>
        <w:ind w:left="7770" w:hanging="213"/>
      </w:pPr>
      <w:rPr>
        <w:rFonts w:hint="default"/>
        <w:lang w:val="zh-CN" w:eastAsia="zh-CN" w:bidi="zh-CN"/>
      </w:rPr>
    </w:lvl>
    <w:lvl w:ilvl="8" w:tplc="E76CCBB4">
      <w:numFmt w:val="bullet"/>
      <w:lvlText w:val="•"/>
      <w:lvlJc w:val="left"/>
      <w:pPr>
        <w:ind w:left="8729" w:hanging="213"/>
      </w:pPr>
      <w:rPr>
        <w:rFonts w:hint="default"/>
        <w:lang w:val="zh-CN" w:eastAsia="zh-CN" w:bidi="zh-CN"/>
      </w:rPr>
    </w:lvl>
  </w:abstractNum>
  <w:abstractNum w:abstractNumId="96" w15:restartNumberingAfterBreak="0">
    <w:nsid w:val="0B823D15"/>
    <w:multiLevelType w:val="hybridMultilevel"/>
    <w:tmpl w:val="0B9CDF0C"/>
    <w:lvl w:ilvl="0" w:tplc="4C48F536">
      <w:start w:val="8"/>
      <w:numFmt w:val="decimal"/>
      <w:lvlText w:val="%1"/>
      <w:lvlJc w:val="left"/>
      <w:pPr>
        <w:ind w:left="418" w:hanging="529"/>
        <w:jc w:val="left"/>
      </w:pPr>
      <w:rPr>
        <w:rFonts w:hint="default"/>
        <w:lang w:val="zh-CN" w:eastAsia="zh-CN" w:bidi="zh-CN"/>
      </w:rPr>
    </w:lvl>
    <w:lvl w:ilvl="1" w:tplc="B574AF16">
      <w:numFmt w:val="decimal"/>
      <w:lvlText w:val="%1.%2"/>
      <w:lvlJc w:val="left"/>
      <w:pPr>
        <w:ind w:left="418" w:hanging="529"/>
        <w:jc w:val="left"/>
      </w:pPr>
      <w:rPr>
        <w:rFonts w:hint="default"/>
        <w:lang w:val="zh-CN" w:eastAsia="zh-CN" w:bidi="zh-CN"/>
      </w:rPr>
    </w:lvl>
    <w:lvl w:ilvl="2" w:tplc="85C699F0">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2D1CF318">
      <w:numFmt w:val="bullet"/>
      <w:lvlText w:val="•"/>
      <w:lvlJc w:val="left"/>
      <w:pPr>
        <w:ind w:left="3487" w:hanging="529"/>
      </w:pPr>
      <w:rPr>
        <w:rFonts w:hint="default"/>
        <w:lang w:val="zh-CN" w:eastAsia="zh-CN" w:bidi="zh-CN"/>
      </w:rPr>
    </w:lvl>
    <w:lvl w:ilvl="4" w:tplc="A2726124">
      <w:numFmt w:val="bullet"/>
      <w:lvlText w:val="•"/>
      <w:lvlJc w:val="left"/>
      <w:pPr>
        <w:ind w:left="4510" w:hanging="529"/>
      </w:pPr>
      <w:rPr>
        <w:rFonts w:hint="default"/>
        <w:lang w:val="zh-CN" w:eastAsia="zh-CN" w:bidi="zh-CN"/>
      </w:rPr>
    </w:lvl>
    <w:lvl w:ilvl="5" w:tplc="2378187C">
      <w:numFmt w:val="bullet"/>
      <w:lvlText w:val="•"/>
      <w:lvlJc w:val="left"/>
      <w:pPr>
        <w:ind w:left="5533" w:hanging="529"/>
      </w:pPr>
      <w:rPr>
        <w:rFonts w:hint="default"/>
        <w:lang w:val="zh-CN" w:eastAsia="zh-CN" w:bidi="zh-CN"/>
      </w:rPr>
    </w:lvl>
    <w:lvl w:ilvl="6" w:tplc="960275D4">
      <w:numFmt w:val="bullet"/>
      <w:lvlText w:val="•"/>
      <w:lvlJc w:val="left"/>
      <w:pPr>
        <w:ind w:left="6555" w:hanging="529"/>
      </w:pPr>
      <w:rPr>
        <w:rFonts w:hint="default"/>
        <w:lang w:val="zh-CN" w:eastAsia="zh-CN" w:bidi="zh-CN"/>
      </w:rPr>
    </w:lvl>
    <w:lvl w:ilvl="7" w:tplc="E01423EC">
      <w:numFmt w:val="bullet"/>
      <w:lvlText w:val="•"/>
      <w:lvlJc w:val="left"/>
      <w:pPr>
        <w:ind w:left="7578" w:hanging="529"/>
      </w:pPr>
      <w:rPr>
        <w:rFonts w:hint="default"/>
        <w:lang w:val="zh-CN" w:eastAsia="zh-CN" w:bidi="zh-CN"/>
      </w:rPr>
    </w:lvl>
    <w:lvl w:ilvl="8" w:tplc="917AA15E">
      <w:numFmt w:val="bullet"/>
      <w:lvlText w:val="•"/>
      <w:lvlJc w:val="left"/>
      <w:pPr>
        <w:ind w:left="8601" w:hanging="529"/>
      </w:pPr>
      <w:rPr>
        <w:rFonts w:hint="default"/>
        <w:lang w:val="zh-CN" w:eastAsia="zh-CN" w:bidi="zh-CN"/>
      </w:rPr>
    </w:lvl>
  </w:abstractNum>
  <w:abstractNum w:abstractNumId="97" w15:restartNumberingAfterBreak="0">
    <w:nsid w:val="0BB66F6A"/>
    <w:multiLevelType w:val="hybridMultilevel"/>
    <w:tmpl w:val="E96201CC"/>
    <w:lvl w:ilvl="0" w:tplc="5D029B40">
      <w:start w:val="6"/>
      <w:numFmt w:val="decimal"/>
      <w:lvlText w:val="%1"/>
      <w:lvlJc w:val="left"/>
      <w:pPr>
        <w:ind w:left="418" w:hanging="529"/>
        <w:jc w:val="left"/>
      </w:pPr>
      <w:rPr>
        <w:rFonts w:hint="default"/>
        <w:lang w:val="zh-CN" w:eastAsia="zh-CN" w:bidi="zh-CN"/>
      </w:rPr>
    </w:lvl>
    <w:lvl w:ilvl="1" w:tplc="6A6AFEF8">
      <w:start w:val="7"/>
      <w:numFmt w:val="decimal"/>
      <w:lvlText w:val="%1.%2"/>
      <w:lvlJc w:val="left"/>
      <w:pPr>
        <w:ind w:left="418" w:hanging="529"/>
        <w:jc w:val="left"/>
      </w:pPr>
      <w:rPr>
        <w:rFonts w:hint="default"/>
        <w:lang w:val="zh-CN" w:eastAsia="zh-CN" w:bidi="zh-CN"/>
      </w:rPr>
    </w:lvl>
    <w:lvl w:ilvl="2" w:tplc="1B004FDA">
      <w:start w:val="6"/>
      <w:numFmt w:val="decimal"/>
      <w:lvlText w:val="%1.%2.%3"/>
      <w:lvlJc w:val="left"/>
      <w:pPr>
        <w:ind w:left="418" w:hanging="529"/>
        <w:jc w:val="left"/>
      </w:pPr>
      <w:rPr>
        <w:rFonts w:ascii="宋体" w:eastAsia="宋体" w:hAnsi="宋体" w:cs="宋体" w:hint="default"/>
        <w:b/>
        <w:bCs/>
        <w:color w:val="333333"/>
        <w:w w:val="99"/>
        <w:sz w:val="19"/>
        <w:szCs w:val="19"/>
        <w:lang w:val="zh-CN" w:eastAsia="zh-CN" w:bidi="zh-CN"/>
      </w:rPr>
    </w:lvl>
    <w:lvl w:ilvl="3" w:tplc="D3A0531E">
      <w:numFmt w:val="bullet"/>
      <w:lvlText w:val="•"/>
      <w:lvlJc w:val="left"/>
      <w:pPr>
        <w:ind w:left="3487" w:hanging="529"/>
      </w:pPr>
      <w:rPr>
        <w:rFonts w:hint="default"/>
        <w:lang w:val="zh-CN" w:eastAsia="zh-CN" w:bidi="zh-CN"/>
      </w:rPr>
    </w:lvl>
    <w:lvl w:ilvl="4" w:tplc="3E68A39C">
      <w:numFmt w:val="bullet"/>
      <w:lvlText w:val="•"/>
      <w:lvlJc w:val="left"/>
      <w:pPr>
        <w:ind w:left="4510" w:hanging="529"/>
      </w:pPr>
      <w:rPr>
        <w:rFonts w:hint="default"/>
        <w:lang w:val="zh-CN" w:eastAsia="zh-CN" w:bidi="zh-CN"/>
      </w:rPr>
    </w:lvl>
    <w:lvl w:ilvl="5" w:tplc="2E9C9D20">
      <w:numFmt w:val="bullet"/>
      <w:lvlText w:val="•"/>
      <w:lvlJc w:val="left"/>
      <w:pPr>
        <w:ind w:left="5533" w:hanging="529"/>
      </w:pPr>
      <w:rPr>
        <w:rFonts w:hint="default"/>
        <w:lang w:val="zh-CN" w:eastAsia="zh-CN" w:bidi="zh-CN"/>
      </w:rPr>
    </w:lvl>
    <w:lvl w:ilvl="6" w:tplc="5502B6AC">
      <w:numFmt w:val="bullet"/>
      <w:lvlText w:val="•"/>
      <w:lvlJc w:val="left"/>
      <w:pPr>
        <w:ind w:left="6555" w:hanging="529"/>
      </w:pPr>
      <w:rPr>
        <w:rFonts w:hint="default"/>
        <w:lang w:val="zh-CN" w:eastAsia="zh-CN" w:bidi="zh-CN"/>
      </w:rPr>
    </w:lvl>
    <w:lvl w:ilvl="7" w:tplc="9626BC80">
      <w:numFmt w:val="bullet"/>
      <w:lvlText w:val="•"/>
      <w:lvlJc w:val="left"/>
      <w:pPr>
        <w:ind w:left="7578" w:hanging="529"/>
      </w:pPr>
      <w:rPr>
        <w:rFonts w:hint="default"/>
        <w:lang w:val="zh-CN" w:eastAsia="zh-CN" w:bidi="zh-CN"/>
      </w:rPr>
    </w:lvl>
    <w:lvl w:ilvl="8" w:tplc="32DC6B3E">
      <w:numFmt w:val="bullet"/>
      <w:lvlText w:val="•"/>
      <w:lvlJc w:val="left"/>
      <w:pPr>
        <w:ind w:left="8601" w:hanging="529"/>
      </w:pPr>
      <w:rPr>
        <w:rFonts w:hint="default"/>
        <w:lang w:val="zh-CN" w:eastAsia="zh-CN" w:bidi="zh-CN"/>
      </w:rPr>
    </w:lvl>
  </w:abstractNum>
  <w:abstractNum w:abstractNumId="98" w15:restartNumberingAfterBreak="0">
    <w:nsid w:val="0BD231A4"/>
    <w:multiLevelType w:val="hybridMultilevel"/>
    <w:tmpl w:val="3E7CA64E"/>
    <w:lvl w:ilvl="0" w:tplc="7B3C2992">
      <w:start w:val="12"/>
      <w:numFmt w:val="decimal"/>
      <w:lvlText w:val="%1"/>
      <w:lvlJc w:val="left"/>
      <w:pPr>
        <w:ind w:left="418" w:hanging="424"/>
        <w:jc w:val="left"/>
      </w:pPr>
      <w:rPr>
        <w:rFonts w:hint="default"/>
        <w:lang w:val="zh-CN" w:eastAsia="zh-CN" w:bidi="zh-CN"/>
      </w:rPr>
    </w:lvl>
    <w:lvl w:ilvl="1" w:tplc="435ED5A4">
      <w:start w:val="1"/>
      <w:numFmt w:val="decimal"/>
      <w:lvlText w:val="%1.%2"/>
      <w:lvlJc w:val="left"/>
      <w:pPr>
        <w:ind w:left="418" w:hanging="424"/>
        <w:jc w:val="left"/>
      </w:pPr>
      <w:rPr>
        <w:rFonts w:ascii="宋体" w:eastAsia="宋体" w:hAnsi="宋体" w:cs="宋体" w:hint="default"/>
        <w:b/>
        <w:bCs/>
        <w:w w:val="99"/>
        <w:sz w:val="19"/>
        <w:szCs w:val="19"/>
        <w:lang w:val="zh-CN" w:eastAsia="zh-CN" w:bidi="zh-CN"/>
      </w:rPr>
    </w:lvl>
    <w:lvl w:ilvl="2" w:tplc="871EEF12">
      <w:numFmt w:val="bullet"/>
      <w:lvlText w:val="•"/>
      <w:lvlJc w:val="left"/>
      <w:pPr>
        <w:ind w:left="2465" w:hanging="424"/>
      </w:pPr>
      <w:rPr>
        <w:rFonts w:hint="default"/>
        <w:lang w:val="zh-CN" w:eastAsia="zh-CN" w:bidi="zh-CN"/>
      </w:rPr>
    </w:lvl>
    <w:lvl w:ilvl="3" w:tplc="04B4BE24">
      <w:numFmt w:val="bullet"/>
      <w:lvlText w:val="•"/>
      <w:lvlJc w:val="left"/>
      <w:pPr>
        <w:ind w:left="3487" w:hanging="424"/>
      </w:pPr>
      <w:rPr>
        <w:rFonts w:hint="default"/>
        <w:lang w:val="zh-CN" w:eastAsia="zh-CN" w:bidi="zh-CN"/>
      </w:rPr>
    </w:lvl>
    <w:lvl w:ilvl="4" w:tplc="1E480724">
      <w:numFmt w:val="bullet"/>
      <w:lvlText w:val="•"/>
      <w:lvlJc w:val="left"/>
      <w:pPr>
        <w:ind w:left="4510" w:hanging="424"/>
      </w:pPr>
      <w:rPr>
        <w:rFonts w:hint="default"/>
        <w:lang w:val="zh-CN" w:eastAsia="zh-CN" w:bidi="zh-CN"/>
      </w:rPr>
    </w:lvl>
    <w:lvl w:ilvl="5" w:tplc="37703DB4">
      <w:numFmt w:val="bullet"/>
      <w:lvlText w:val="•"/>
      <w:lvlJc w:val="left"/>
      <w:pPr>
        <w:ind w:left="5533" w:hanging="424"/>
      </w:pPr>
      <w:rPr>
        <w:rFonts w:hint="default"/>
        <w:lang w:val="zh-CN" w:eastAsia="zh-CN" w:bidi="zh-CN"/>
      </w:rPr>
    </w:lvl>
    <w:lvl w:ilvl="6" w:tplc="9A926334">
      <w:numFmt w:val="bullet"/>
      <w:lvlText w:val="•"/>
      <w:lvlJc w:val="left"/>
      <w:pPr>
        <w:ind w:left="6555" w:hanging="424"/>
      </w:pPr>
      <w:rPr>
        <w:rFonts w:hint="default"/>
        <w:lang w:val="zh-CN" w:eastAsia="zh-CN" w:bidi="zh-CN"/>
      </w:rPr>
    </w:lvl>
    <w:lvl w:ilvl="7" w:tplc="60F88194">
      <w:numFmt w:val="bullet"/>
      <w:lvlText w:val="•"/>
      <w:lvlJc w:val="left"/>
      <w:pPr>
        <w:ind w:left="7578" w:hanging="424"/>
      </w:pPr>
      <w:rPr>
        <w:rFonts w:hint="default"/>
        <w:lang w:val="zh-CN" w:eastAsia="zh-CN" w:bidi="zh-CN"/>
      </w:rPr>
    </w:lvl>
    <w:lvl w:ilvl="8" w:tplc="8934FFF8">
      <w:numFmt w:val="bullet"/>
      <w:lvlText w:val="•"/>
      <w:lvlJc w:val="left"/>
      <w:pPr>
        <w:ind w:left="8601" w:hanging="424"/>
      </w:pPr>
      <w:rPr>
        <w:rFonts w:hint="default"/>
        <w:lang w:val="zh-CN" w:eastAsia="zh-CN" w:bidi="zh-CN"/>
      </w:rPr>
    </w:lvl>
  </w:abstractNum>
  <w:abstractNum w:abstractNumId="99" w15:restartNumberingAfterBreak="0">
    <w:nsid w:val="0BDE01A1"/>
    <w:multiLevelType w:val="hybridMultilevel"/>
    <w:tmpl w:val="7564117A"/>
    <w:lvl w:ilvl="0" w:tplc="F99A14C2">
      <w:start w:val="6"/>
      <w:numFmt w:val="decimal"/>
      <w:lvlText w:val="%1"/>
      <w:lvlJc w:val="left"/>
      <w:pPr>
        <w:ind w:left="418" w:hanging="637"/>
        <w:jc w:val="left"/>
      </w:pPr>
      <w:rPr>
        <w:rFonts w:hint="default"/>
        <w:lang w:val="zh-CN" w:eastAsia="zh-CN" w:bidi="zh-CN"/>
      </w:rPr>
    </w:lvl>
    <w:lvl w:ilvl="1" w:tplc="D196ED70">
      <w:start w:val="7"/>
      <w:numFmt w:val="decimal"/>
      <w:lvlText w:val="%1.%2"/>
      <w:lvlJc w:val="left"/>
      <w:pPr>
        <w:ind w:left="418" w:hanging="637"/>
        <w:jc w:val="left"/>
      </w:pPr>
      <w:rPr>
        <w:rFonts w:hint="default"/>
        <w:lang w:val="zh-CN" w:eastAsia="zh-CN" w:bidi="zh-CN"/>
      </w:rPr>
    </w:lvl>
    <w:lvl w:ilvl="2" w:tplc="6C2E8A00">
      <w:start w:val="15"/>
      <w:numFmt w:val="decimal"/>
      <w:lvlText w:val="%1.%2.%3"/>
      <w:lvlJc w:val="left"/>
      <w:pPr>
        <w:ind w:left="418" w:hanging="637"/>
        <w:jc w:val="left"/>
      </w:pPr>
      <w:rPr>
        <w:rFonts w:ascii="宋体" w:eastAsia="宋体" w:hAnsi="宋体" w:cs="宋体" w:hint="default"/>
        <w:b/>
        <w:bCs/>
        <w:spacing w:val="-55"/>
        <w:w w:val="99"/>
        <w:sz w:val="19"/>
        <w:szCs w:val="19"/>
        <w:lang w:val="zh-CN" w:eastAsia="zh-CN" w:bidi="zh-CN"/>
      </w:rPr>
    </w:lvl>
    <w:lvl w:ilvl="3" w:tplc="A5985996">
      <w:numFmt w:val="bullet"/>
      <w:lvlText w:val="•"/>
      <w:lvlJc w:val="left"/>
      <w:pPr>
        <w:ind w:left="3487" w:hanging="637"/>
      </w:pPr>
      <w:rPr>
        <w:rFonts w:hint="default"/>
        <w:lang w:val="zh-CN" w:eastAsia="zh-CN" w:bidi="zh-CN"/>
      </w:rPr>
    </w:lvl>
    <w:lvl w:ilvl="4" w:tplc="4CBA05D4">
      <w:numFmt w:val="bullet"/>
      <w:lvlText w:val="•"/>
      <w:lvlJc w:val="left"/>
      <w:pPr>
        <w:ind w:left="4510" w:hanging="637"/>
      </w:pPr>
      <w:rPr>
        <w:rFonts w:hint="default"/>
        <w:lang w:val="zh-CN" w:eastAsia="zh-CN" w:bidi="zh-CN"/>
      </w:rPr>
    </w:lvl>
    <w:lvl w:ilvl="5" w:tplc="D82E12EC">
      <w:numFmt w:val="bullet"/>
      <w:lvlText w:val="•"/>
      <w:lvlJc w:val="left"/>
      <w:pPr>
        <w:ind w:left="5533" w:hanging="637"/>
      </w:pPr>
      <w:rPr>
        <w:rFonts w:hint="default"/>
        <w:lang w:val="zh-CN" w:eastAsia="zh-CN" w:bidi="zh-CN"/>
      </w:rPr>
    </w:lvl>
    <w:lvl w:ilvl="6" w:tplc="2AD0F368">
      <w:numFmt w:val="bullet"/>
      <w:lvlText w:val="•"/>
      <w:lvlJc w:val="left"/>
      <w:pPr>
        <w:ind w:left="6555" w:hanging="637"/>
      </w:pPr>
      <w:rPr>
        <w:rFonts w:hint="default"/>
        <w:lang w:val="zh-CN" w:eastAsia="zh-CN" w:bidi="zh-CN"/>
      </w:rPr>
    </w:lvl>
    <w:lvl w:ilvl="7" w:tplc="9496B4B6">
      <w:numFmt w:val="bullet"/>
      <w:lvlText w:val="•"/>
      <w:lvlJc w:val="left"/>
      <w:pPr>
        <w:ind w:left="7578" w:hanging="637"/>
      </w:pPr>
      <w:rPr>
        <w:rFonts w:hint="default"/>
        <w:lang w:val="zh-CN" w:eastAsia="zh-CN" w:bidi="zh-CN"/>
      </w:rPr>
    </w:lvl>
    <w:lvl w:ilvl="8" w:tplc="625E0820">
      <w:numFmt w:val="bullet"/>
      <w:lvlText w:val="•"/>
      <w:lvlJc w:val="left"/>
      <w:pPr>
        <w:ind w:left="8601" w:hanging="637"/>
      </w:pPr>
      <w:rPr>
        <w:rFonts w:hint="default"/>
        <w:lang w:val="zh-CN" w:eastAsia="zh-CN" w:bidi="zh-CN"/>
      </w:rPr>
    </w:lvl>
  </w:abstractNum>
  <w:abstractNum w:abstractNumId="100" w15:restartNumberingAfterBreak="0">
    <w:nsid w:val="0C2941E0"/>
    <w:multiLevelType w:val="hybridMultilevel"/>
    <w:tmpl w:val="C6BA4934"/>
    <w:lvl w:ilvl="0" w:tplc="A7BA16A4">
      <w:start w:val="7"/>
      <w:numFmt w:val="decimal"/>
      <w:lvlText w:val="%1"/>
      <w:lvlJc w:val="left"/>
      <w:pPr>
        <w:ind w:left="1370" w:hanging="531"/>
        <w:jc w:val="left"/>
      </w:pPr>
      <w:rPr>
        <w:rFonts w:hint="default"/>
        <w:lang w:val="zh-CN" w:eastAsia="zh-CN" w:bidi="zh-CN"/>
      </w:rPr>
    </w:lvl>
    <w:lvl w:ilvl="1" w:tplc="F44214F6">
      <w:start w:val="2"/>
      <w:numFmt w:val="decimal"/>
      <w:lvlText w:val="%1.%2"/>
      <w:lvlJc w:val="left"/>
      <w:pPr>
        <w:ind w:left="1370" w:hanging="531"/>
        <w:jc w:val="left"/>
      </w:pPr>
      <w:rPr>
        <w:rFonts w:hint="default"/>
        <w:lang w:val="zh-CN" w:eastAsia="zh-CN" w:bidi="zh-CN"/>
      </w:rPr>
    </w:lvl>
    <w:lvl w:ilvl="2" w:tplc="87BA6290">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96DAB082">
      <w:numFmt w:val="bullet"/>
      <w:lvlText w:val="•"/>
      <w:lvlJc w:val="left"/>
      <w:pPr>
        <w:ind w:left="4159" w:hanging="531"/>
      </w:pPr>
      <w:rPr>
        <w:rFonts w:hint="default"/>
        <w:lang w:val="zh-CN" w:eastAsia="zh-CN" w:bidi="zh-CN"/>
      </w:rPr>
    </w:lvl>
    <w:lvl w:ilvl="4" w:tplc="152EEE78">
      <w:numFmt w:val="bullet"/>
      <w:lvlText w:val="•"/>
      <w:lvlJc w:val="left"/>
      <w:pPr>
        <w:ind w:left="5086" w:hanging="531"/>
      </w:pPr>
      <w:rPr>
        <w:rFonts w:hint="default"/>
        <w:lang w:val="zh-CN" w:eastAsia="zh-CN" w:bidi="zh-CN"/>
      </w:rPr>
    </w:lvl>
    <w:lvl w:ilvl="5" w:tplc="02E43474">
      <w:numFmt w:val="bullet"/>
      <w:lvlText w:val="•"/>
      <w:lvlJc w:val="left"/>
      <w:pPr>
        <w:ind w:left="6013" w:hanging="531"/>
      </w:pPr>
      <w:rPr>
        <w:rFonts w:hint="default"/>
        <w:lang w:val="zh-CN" w:eastAsia="zh-CN" w:bidi="zh-CN"/>
      </w:rPr>
    </w:lvl>
    <w:lvl w:ilvl="6" w:tplc="B5701FA4">
      <w:numFmt w:val="bullet"/>
      <w:lvlText w:val="•"/>
      <w:lvlJc w:val="left"/>
      <w:pPr>
        <w:ind w:left="6939" w:hanging="531"/>
      </w:pPr>
      <w:rPr>
        <w:rFonts w:hint="default"/>
        <w:lang w:val="zh-CN" w:eastAsia="zh-CN" w:bidi="zh-CN"/>
      </w:rPr>
    </w:lvl>
    <w:lvl w:ilvl="7" w:tplc="4F0604B6">
      <w:numFmt w:val="bullet"/>
      <w:lvlText w:val="•"/>
      <w:lvlJc w:val="left"/>
      <w:pPr>
        <w:ind w:left="7866" w:hanging="531"/>
      </w:pPr>
      <w:rPr>
        <w:rFonts w:hint="default"/>
        <w:lang w:val="zh-CN" w:eastAsia="zh-CN" w:bidi="zh-CN"/>
      </w:rPr>
    </w:lvl>
    <w:lvl w:ilvl="8" w:tplc="3402A0D0">
      <w:numFmt w:val="bullet"/>
      <w:lvlText w:val="•"/>
      <w:lvlJc w:val="left"/>
      <w:pPr>
        <w:ind w:left="8793" w:hanging="531"/>
      </w:pPr>
      <w:rPr>
        <w:rFonts w:hint="default"/>
        <w:lang w:val="zh-CN" w:eastAsia="zh-CN" w:bidi="zh-CN"/>
      </w:rPr>
    </w:lvl>
  </w:abstractNum>
  <w:abstractNum w:abstractNumId="101" w15:restartNumberingAfterBreak="0">
    <w:nsid w:val="0C3A4591"/>
    <w:multiLevelType w:val="hybridMultilevel"/>
    <w:tmpl w:val="41AAA89A"/>
    <w:lvl w:ilvl="0" w:tplc="8B18BE52">
      <w:start w:val="4"/>
      <w:numFmt w:val="decimal"/>
      <w:lvlText w:val="%1"/>
      <w:lvlJc w:val="left"/>
      <w:pPr>
        <w:ind w:left="1159" w:hanging="320"/>
        <w:jc w:val="left"/>
      </w:pPr>
      <w:rPr>
        <w:rFonts w:hint="default"/>
        <w:lang w:val="zh-CN" w:eastAsia="zh-CN" w:bidi="zh-CN"/>
      </w:rPr>
    </w:lvl>
    <w:lvl w:ilvl="1" w:tplc="D1C85AE6">
      <w:start w:val="3"/>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991C3CA8">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6FC2E150">
      <w:numFmt w:val="bullet"/>
      <w:lvlText w:val="•"/>
      <w:lvlJc w:val="left"/>
      <w:pPr>
        <w:ind w:left="2538" w:hanging="531"/>
      </w:pPr>
      <w:rPr>
        <w:rFonts w:hint="default"/>
        <w:lang w:val="zh-CN" w:eastAsia="zh-CN" w:bidi="zh-CN"/>
      </w:rPr>
    </w:lvl>
    <w:lvl w:ilvl="4" w:tplc="3BCA44CE">
      <w:numFmt w:val="bullet"/>
      <w:lvlText w:val="•"/>
      <w:lvlJc w:val="left"/>
      <w:pPr>
        <w:ind w:left="3696" w:hanging="531"/>
      </w:pPr>
      <w:rPr>
        <w:rFonts w:hint="default"/>
        <w:lang w:val="zh-CN" w:eastAsia="zh-CN" w:bidi="zh-CN"/>
      </w:rPr>
    </w:lvl>
    <w:lvl w:ilvl="5" w:tplc="1B2CC5D2">
      <w:numFmt w:val="bullet"/>
      <w:lvlText w:val="•"/>
      <w:lvlJc w:val="left"/>
      <w:pPr>
        <w:ind w:left="4854" w:hanging="531"/>
      </w:pPr>
      <w:rPr>
        <w:rFonts w:hint="default"/>
        <w:lang w:val="zh-CN" w:eastAsia="zh-CN" w:bidi="zh-CN"/>
      </w:rPr>
    </w:lvl>
    <w:lvl w:ilvl="6" w:tplc="B20E67F2">
      <w:numFmt w:val="bullet"/>
      <w:lvlText w:val="•"/>
      <w:lvlJc w:val="left"/>
      <w:pPr>
        <w:ind w:left="6013" w:hanging="531"/>
      </w:pPr>
      <w:rPr>
        <w:rFonts w:hint="default"/>
        <w:lang w:val="zh-CN" w:eastAsia="zh-CN" w:bidi="zh-CN"/>
      </w:rPr>
    </w:lvl>
    <w:lvl w:ilvl="7" w:tplc="3690A910">
      <w:numFmt w:val="bullet"/>
      <w:lvlText w:val="•"/>
      <w:lvlJc w:val="left"/>
      <w:pPr>
        <w:ind w:left="7171" w:hanging="531"/>
      </w:pPr>
      <w:rPr>
        <w:rFonts w:hint="default"/>
        <w:lang w:val="zh-CN" w:eastAsia="zh-CN" w:bidi="zh-CN"/>
      </w:rPr>
    </w:lvl>
    <w:lvl w:ilvl="8" w:tplc="680C11EC">
      <w:numFmt w:val="bullet"/>
      <w:lvlText w:val="•"/>
      <w:lvlJc w:val="left"/>
      <w:pPr>
        <w:ind w:left="8329" w:hanging="531"/>
      </w:pPr>
      <w:rPr>
        <w:rFonts w:hint="default"/>
        <w:lang w:val="zh-CN" w:eastAsia="zh-CN" w:bidi="zh-CN"/>
      </w:rPr>
    </w:lvl>
  </w:abstractNum>
  <w:abstractNum w:abstractNumId="102" w15:restartNumberingAfterBreak="0">
    <w:nsid w:val="0C5D6CA9"/>
    <w:multiLevelType w:val="hybridMultilevel"/>
    <w:tmpl w:val="A6FA38DA"/>
    <w:lvl w:ilvl="0" w:tplc="514428DC">
      <w:start w:val="4"/>
      <w:numFmt w:val="decimal"/>
      <w:lvlText w:val="%1"/>
      <w:lvlJc w:val="left"/>
      <w:pPr>
        <w:ind w:left="1158" w:hanging="318"/>
        <w:jc w:val="left"/>
      </w:pPr>
      <w:rPr>
        <w:rFonts w:hint="default"/>
        <w:lang w:val="zh-CN" w:eastAsia="zh-CN" w:bidi="zh-CN"/>
      </w:rPr>
    </w:lvl>
    <w:lvl w:ilvl="1" w:tplc="0080A02A">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D9B692F4">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074C2D40">
      <w:numFmt w:val="bullet"/>
      <w:lvlText w:val="•"/>
      <w:lvlJc w:val="left"/>
      <w:pPr>
        <w:ind w:left="3268" w:hanging="531"/>
      </w:pPr>
      <w:rPr>
        <w:rFonts w:hint="default"/>
        <w:lang w:val="zh-CN" w:eastAsia="zh-CN" w:bidi="zh-CN"/>
      </w:rPr>
    </w:lvl>
    <w:lvl w:ilvl="4" w:tplc="5032ED32">
      <w:numFmt w:val="bullet"/>
      <w:lvlText w:val="•"/>
      <w:lvlJc w:val="left"/>
      <w:pPr>
        <w:ind w:left="4322" w:hanging="531"/>
      </w:pPr>
      <w:rPr>
        <w:rFonts w:hint="default"/>
        <w:lang w:val="zh-CN" w:eastAsia="zh-CN" w:bidi="zh-CN"/>
      </w:rPr>
    </w:lvl>
    <w:lvl w:ilvl="5" w:tplc="545E2D02">
      <w:numFmt w:val="bullet"/>
      <w:lvlText w:val="•"/>
      <w:lvlJc w:val="left"/>
      <w:pPr>
        <w:ind w:left="5376" w:hanging="531"/>
      </w:pPr>
      <w:rPr>
        <w:rFonts w:hint="default"/>
        <w:lang w:val="zh-CN" w:eastAsia="zh-CN" w:bidi="zh-CN"/>
      </w:rPr>
    </w:lvl>
    <w:lvl w:ilvl="6" w:tplc="333E39CC">
      <w:numFmt w:val="bullet"/>
      <w:lvlText w:val="•"/>
      <w:lvlJc w:val="left"/>
      <w:pPr>
        <w:ind w:left="6430" w:hanging="531"/>
      </w:pPr>
      <w:rPr>
        <w:rFonts w:hint="default"/>
        <w:lang w:val="zh-CN" w:eastAsia="zh-CN" w:bidi="zh-CN"/>
      </w:rPr>
    </w:lvl>
    <w:lvl w:ilvl="7" w:tplc="B2B8EB2A">
      <w:numFmt w:val="bullet"/>
      <w:lvlText w:val="•"/>
      <w:lvlJc w:val="left"/>
      <w:pPr>
        <w:ind w:left="7484" w:hanging="531"/>
      </w:pPr>
      <w:rPr>
        <w:rFonts w:hint="default"/>
        <w:lang w:val="zh-CN" w:eastAsia="zh-CN" w:bidi="zh-CN"/>
      </w:rPr>
    </w:lvl>
    <w:lvl w:ilvl="8" w:tplc="621EB4DE">
      <w:numFmt w:val="bullet"/>
      <w:lvlText w:val="•"/>
      <w:lvlJc w:val="left"/>
      <w:pPr>
        <w:ind w:left="8538" w:hanging="531"/>
      </w:pPr>
      <w:rPr>
        <w:rFonts w:hint="default"/>
        <w:lang w:val="zh-CN" w:eastAsia="zh-CN" w:bidi="zh-CN"/>
      </w:rPr>
    </w:lvl>
  </w:abstractNum>
  <w:abstractNum w:abstractNumId="103" w15:restartNumberingAfterBreak="0">
    <w:nsid w:val="0C750964"/>
    <w:multiLevelType w:val="hybridMultilevel"/>
    <w:tmpl w:val="F8A22462"/>
    <w:lvl w:ilvl="0" w:tplc="483A4C70">
      <w:start w:val="1"/>
      <w:numFmt w:val="decimal"/>
      <w:lvlText w:val="（%1）"/>
      <w:lvlJc w:val="left"/>
      <w:pPr>
        <w:ind w:left="418" w:hanging="527"/>
        <w:jc w:val="left"/>
      </w:pPr>
      <w:rPr>
        <w:rFonts w:ascii="宋体" w:eastAsia="宋体" w:hAnsi="宋体" w:cs="宋体" w:hint="default"/>
        <w:spacing w:val="-68"/>
        <w:w w:val="100"/>
        <w:sz w:val="19"/>
        <w:szCs w:val="19"/>
        <w:lang w:val="zh-CN" w:eastAsia="zh-CN" w:bidi="zh-CN"/>
      </w:rPr>
    </w:lvl>
    <w:lvl w:ilvl="1" w:tplc="FB1C2292">
      <w:numFmt w:val="bullet"/>
      <w:lvlText w:val="•"/>
      <w:lvlJc w:val="left"/>
      <w:pPr>
        <w:ind w:left="1442" w:hanging="527"/>
      </w:pPr>
      <w:rPr>
        <w:rFonts w:hint="default"/>
        <w:lang w:val="zh-CN" w:eastAsia="zh-CN" w:bidi="zh-CN"/>
      </w:rPr>
    </w:lvl>
    <w:lvl w:ilvl="2" w:tplc="925C429A">
      <w:numFmt w:val="bullet"/>
      <w:lvlText w:val="•"/>
      <w:lvlJc w:val="left"/>
      <w:pPr>
        <w:ind w:left="2465" w:hanging="527"/>
      </w:pPr>
      <w:rPr>
        <w:rFonts w:hint="default"/>
        <w:lang w:val="zh-CN" w:eastAsia="zh-CN" w:bidi="zh-CN"/>
      </w:rPr>
    </w:lvl>
    <w:lvl w:ilvl="3" w:tplc="88D601D2">
      <w:numFmt w:val="bullet"/>
      <w:lvlText w:val="•"/>
      <w:lvlJc w:val="left"/>
      <w:pPr>
        <w:ind w:left="3487" w:hanging="527"/>
      </w:pPr>
      <w:rPr>
        <w:rFonts w:hint="default"/>
        <w:lang w:val="zh-CN" w:eastAsia="zh-CN" w:bidi="zh-CN"/>
      </w:rPr>
    </w:lvl>
    <w:lvl w:ilvl="4" w:tplc="3BB860BE">
      <w:numFmt w:val="bullet"/>
      <w:lvlText w:val="•"/>
      <w:lvlJc w:val="left"/>
      <w:pPr>
        <w:ind w:left="4510" w:hanging="527"/>
      </w:pPr>
      <w:rPr>
        <w:rFonts w:hint="default"/>
        <w:lang w:val="zh-CN" w:eastAsia="zh-CN" w:bidi="zh-CN"/>
      </w:rPr>
    </w:lvl>
    <w:lvl w:ilvl="5" w:tplc="C3E81A1A">
      <w:numFmt w:val="bullet"/>
      <w:lvlText w:val="•"/>
      <w:lvlJc w:val="left"/>
      <w:pPr>
        <w:ind w:left="5533" w:hanging="527"/>
      </w:pPr>
      <w:rPr>
        <w:rFonts w:hint="default"/>
        <w:lang w:val="zh-CN" w:eastAsia="zh-CN" w:bidi="zh-CN"/>
      </w:rPr>
    </w:lvl>
    <w:lvl w:ilvl="6" w:tplc="9E0CBDF6">
      <w:numFmt w:val="bullet"/>
      <w:lvlText w:val="•"/>
      <w:lvlJc w:val="left"/>
      <w:pPr>
        <w:ind w:left="6555" w:hanging="527"/>
      </w:pPr>
      <w:rPr>
        <w:rFonts w:hint="default"/>
        <w:lang w:val="zh-CN" w:eastAsia="zh-CN" w:bidi="zh-CN"/>
      </w:rPr>
    </w:lvl>
    <w:lvl w:ilvl="7" w:tplc="1D50C704">
      <w:numFmt w:val="bullet"/>
      <w:lvlText w:val="•"/>
      <w:lvlJc w:val="left"/>
      <w:pPr>
        <w:ind w:left="7578" w:hanging="527"/>
      </w:pPr>
      <w:rPr>
        <w:rFonts w:hint="default"/>
        <w:lang w:val="zh-CN" w:eastAsia="zh-CN" w:bidi="zh-CN"/>
      </w:rPr>
    </w:lvl>
    <w:lvl w:ilvl="8" w:tplc="91E6BC20">
      <w:numFmt w:val="bullet"/>
      <w:lvlText w:val="•"/>
      <w:lvlJc w:val="left"/>
      <w:pPr>
        <w:ind w:left="8601" w:hanging="527"/>
      </w:pPr>
      <w:rPr>
        <w:rFonts w:hint="default"/>
        <w:lang w:val="zh-CN" w:eastAsia="zh-CN" w:bidi="zh-CN"/>
      </w:rPr>
    </w:lvl>
  </w:abstractNum>
  <w:abstractNum w:abstractNumId="104" w15:restartNumberingAfterBreak="0">
    <w:nsid w:val="0CA41130"/>
    <w:multiLevelType w:val="hybridMultilevel"/>
    <w:tmpl w:val="126E4C1A"/>
    <w:lvl w:ilvl="0" w:tplc="18F61496">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00AC2304">
      <w:numFmt w:val="bullet"/>
      <w:lvlText w:val="•"/>
      <w:lvlJc w:val="left"/>
      <w:pPr>
        <w:ind w:left="1442" w:hanging="529"/>
      </w:pPr>
      <w:rPr>
        <w:rFonts w:hint="default"/>
        <w:lang w:val="zh-CN" w:eastAsia="zh-CN" w:bidi="zh-CN"/>
      </w:rPr>
    </w:lvl>
    <w:lvl w:ilvl="2" w:tplc="BEE6341A">
      <w:numFmt w:val="bullet"/>
      <w:lvlText w:val="•"/>
      <w:lvlJc w:val="left"/>
      <w:pPr>
        <w:ind w:left="2465" w:hanging="529"/>
      </w:pPr>
      <w:rPr>
        <w:rFonts w:hint="default"/>
        <w:lang w:val="zh-CN" w:eastAsia="zh-CN" w:bidi="zh-CN"/>
      </w:rPr>
    </w:lvl>
    <w:lvl w:ilvl="3" w:tplc="4E466C0A">
      <w:numFmt w:val="bullet"/>
      <w:lvlText w:val="•"/>
      <w:lvlJc w:val="left"/>
      <w:pPr>
        <w:ind w:left="3487" w:hanging="529"/>
      </w:pPr>
      <w:rPr>
        <w:rFonts w:hint="default"/>
        <w:lang w:val="zh-CN" w:eastAsia="zh-CN" w:bidi="zh-CN"/>
      </w:rPr>
    </w:lvl>
    <w:lvl w:ilvl="4" w:tplc="54DA99B4">
      <w:numFmt w:val="bullet"/>
      <w:lvlText w:val="•"/>
      <w:lvlJc w:val="left"/>
      <w:pPr>
        <w:ind w:left="4510" w:hanging="529"/>
      </w:pPr>
      <w:rPr>
        <w:rFonts w:hint="default"/>
        <w:lang w:val="zh-CN" w:eastAsia="zh-CN" w:bidi="zh-CN"/>
      </w:rPr>
    </w:lvl>
    <w:lvl w:ilvl="5" w:tplc="22F4518E">
      <w:numFmt w:val="bullet"/>
      <w:lvlText w:val="•"/>
      <w:lvlJc w:val="left"/>
      <w:pPr>
        <w:ind w:left="5533" w:hanging="529"/>
      </w:pPr>
      <w:rPr>
        <w:rFonts w:hint="default"/>
        <w:lang w:val="zh-CN" w:eastAsia="zh-CN" w:bidi="zh-CN"/>
      </w:rPr>
    </w:lvl>
    <w:lvl w:ilvl="6" w:tplc="24A4EA5C">
      <w:numFmt w:val="bullet"/>
      <w:lvlText w:val="•"/>
      <w:lvlJc w:val="left"/>
      <w:pPr>
        <w:ind w:left="6555" w:hanging="529"/>
      </w:pPr>
      <w:rPr>
        <w:rFonts w:hint="default"/>
        <w:lang w:val="zh-CN" w:eastAsia="zh-CN" w:bidi="zh-CN"/>
      </w:rPr>
    </w:lvl>
    <w:lvl w:ilvl="7" w:tplc="92D8D29C">
      <w:numFmt w:val="bullet"/>
      <w:lvlText w:val="•"/>
      <w:lvlJc w:val="left"/>
      <w:pPr>
        <w:ind w:left="7578" w:hanging="529"/>
      </w:pPr>
      <w:rPr>
        <w:rFonts w:hint="default"/>
        <w:lang w:val="zh-CN" w:eastAsia="zh-CN" w:bidi="zh-CN"/>
      </w:rPr>
    </w:lvl>
    <w:lvl w:ilvl="8" w:tplc="29EEE15A">
      <w:numFmt w:val="bullet"/>
      <w:lvlText w:val="•"/>
      <w:lvlJc w:val="left"/>
      <w:pPr>
        <w:ind w:left="8601" w:hanging="529"/>
      </w:pPr>
      <w:rPr>
        <w:rFonts w:hint="default"/>
        <w:lang w:val="zh-CN" w:eastAsia="zh-CN" w:bidi="zh-CN"/>
      </w:rPr>
    </w:lvl>
  </w:abstractNum>
  <w:abstractNum w:abstractNumId="105" w15:restartNumberingAfterBreak="0">
    <w:nsid w:val="0D0C27BB"/>
    <w:multiLevelType w:val="hybridMultilevel"/>
    <w:tmpl w:val="CEA88EDA"/>
    <w:lvl w:ilvl="0" w:tplc="A4BC40D0">
      <w:start w:val="4"/>
      <w:numFmt w:val="decimal"/>
      <w:lvlText w:val="%1"/>
      <w:lvlJc w:val="left"/>
      <w:pPr>
        <w:ind w:left="1370" w:hanging="531"/>
        <w:jc w:val="left"/>
      </w:pPr>
      <w:rPr>
        <w:rFonts w:hint="default"/>
        <w:lang w:val="zh-CN" w:eastAsia="zh-CN" w:bidi="zh-CN"/>
      </w:rPr>
    </w:lvl>
    <w:lvl w:ilvl="1" w:tplc="FBCEA244">
      <w:start w:val="2"/>
      <w:numFmt w:val="decimal"/>
      <w:lvlText w:val="%1.%2"/>
      <w:lvlJc w:val="left"/>
      <w:pPr>
        <w:ind w:left="1370" w:hanging="531"/>
        <w:jc w:val="left"/>
      </w:pPr>
      <w:rPr>
        <w:rFonts w:hint="default"/>
        <w:lang w:val="zh-CN" w:eastAsia="zh-CN" w:bidi="zh-CN"/>
      </w:rPr>
    </w:lvl>
    <w:lvl w:ilvl="2" w:tplc="A6FA52EE">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FC5CDCE0">
      <w:numFmt w:val="bullet"/>
      <w:lvlText w:val="•"/>
      <w:lvlJc w:val="left"/>
      <w:pPr>
        <w:ind w:left="4159" w:hanging="531"/>
      </w:pPr>
      <w:rPr>
        <w:rFonts w:hint="default"/>
        <w:lang w:val="zh-CN" w:eastAsia="zh-CN" w:bidi="zh-CN"/>
      </w:rPr>
    </w:lvl>
    <w:lvl w:ilvl="4" w:tplc="1BF28A1C">
      <w:numFmt w:val="bullet"/>
      <w:lvlText w:val="•"/>
      <w:lvlJc w:val="left"/>
      <w:pPr>
        <w:ind w:left="5086" w:hanging="531"/>
      </w:pPr>
      <w:rPr>
        <w:rFonts w:hint="default"/>
        <w:lang w:val="zh-CN" w:eastAsia="zh-CN" w:bidi="zh-CN"/>
      </w:rPr>
    </w:lvl>
    <w:lvl w:ilvl="5" w:tplc="BB52E338">
      <w:numFmt w:val="bullet"/>
      <w:lvlText w:val="•"/>
      <w:lvlJc w:val="left"/>
      <w:pPr>
        <w:ind w:left="6013" w:hanging="531"/>
      </w:pPr>
      <w:rPr>
        <w:rFonts w:hint="default"/>
        <w:lang w:val="zh-CN" w:eastAsia="zh-CN" w:bidi="zh-CN"/>
      </w:rPr>
    </w:lvl>
    <w:lvl w:ilvl="6" w:tplc="9D3EE1AC">
      <w:numFmt w:val="bullet"/>
      <w:lvlText w:val="•"/>
      <w:lvlJc w:val="left"/>
      <w:pPr>
        <w:ind w:left="6939" w:hanging="531"/>
      </w:pPr>
      <w:rPr>
        <w:rFonts w:hint="default"/>
        <w:lang w:val="zh-CN" w:eastAsia="zh-CN" w:bidi="zh-CN"/>
      </w:rPr>
    </w:lvl>
    <w:lvl w:ilvl="7" w:tplc="09E8595E">
      <w:numFmt w:val="bullet"/>
      <w:lvlText w:val="•"/>
      <w:lvlJc w:val="left"/>
      <w:pPr>
        <w:ind w:left="7866" w:hanging="531"/>
      </w:pPr>
      <w:rPr>
        <w:rFonts w:hint="default"/>
        <w:lang w:val="zh-CN" w:eastAsia="zh-CN" w:bidi="zh-CN"/>
      </w:rPr>
    </w:lvl>
    <w:lvl w:ilvl="8" w:tplc="FCFE6342">
      <w:numFmt w:val="bullet"/>
      <w:lvlText w:val="•"/>
      <w:lvlJc w:val="left"/>
      <w:pPr>
        <w:ind w:left="8793" w:hanging="531"/>
      </w:pPr>
      <w:rPr>
        <w:rFonts w:hint="default"/>
        <w:lang w:val="zh-CN" w:eastAsia="zh-CN" w:bidi="zh-CN"/>
      </w:rPr>
    </w:lvl>
  </w:abstractNum>
  <w:abstractNum w:abstractNumId="106" w15:restartNumberingAfterBreak="0">
    <w:nsid w:val="0D10534C"/>
    <w:multiLevelType w:val="hybridMultilevel"/>
    <w:tmpl w:val="ACEE9CBC"/>
    <w:lvl w:ilvl="0" w:tplc="618A4AD0">
      <w:start w:val="6"/>
      <w:numFmt w:val="decimal"/>
      <w:lvlText w:val="%1"/>
      <w:lvlJc w:val="left"/>
      <w:pPr>
        <w:ind w:left="418" w:hanging="531"/>
        <w:jc w:val="left"/>
      </w:pPr>
      <w:rPr>
        <w:rFonts w:hint="default"/>
        <w:lang w:val="zh-CN" w:eastAsia="zh-CN" w:bidi="zh-CN"/>
      </w:rPr>
    </w:lvl>
    <w:lvl w:ilvl="1" w:tplc="8794CBEA">
      <w:start w:val="5"/>
      <w:numFmt w:val="decimal"/>
      <w:lvlText w:val="%1.%2"/>
      <w:lvlJc w:val="left"/>
      <w:pPr>
        <w:ind w:left="418" w:hanging="531"/>
        <w:jc w:val="left"/>
      </w:pPr>
      <w:rPr>
        <w:rFonts w:hint="default"/>
        <w:lang w:val="zh-CN" w:eastAsia="zh-CN" w:bidi="zh-CN"/>
      </w:rPr>
    </w:lvl>
    <w:lvl w:ilvl="2" w:tplc="74C2C460">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229ABD12">
      <w:numFmt w:val="bullet"/>
      <w:lvlText w:val="•"/>
      <w:lvlJc w:val="left"/>
      <w:pPr>
        <w:ind w:left="3487" w:hanging="531"/>
      </w:pPr>
      <w:rPr>
        <w:rFonts w:hint="default"/>
        <w:lang w:val="zh-CN" w:eastAsia="zh-CN" w:bidi="zh-CN"/>
      </w:rPr>
    </w:lvl>
    <w:lvl w:ilvl="4" w:tplc="0F8CCD92">
      <w:numFmt w:val="bullet"/>
      <w:lvlText w:val="•"/>
      <w:lvlJc w:val="left"/>
      <w:pPr>
        <w:ind w:left="4510" w:hanging="531"/>
      </w:pPr>
      <w:rPr>
        <w:rFonts w:hint="default"/>
        <w:lang w:val="zh-CN" w:eastAsia="zh-CN" w:bidi="zh-CN"/>
      </w:rPr>
    </w:lvl>
    <w:lvl w:ilvl="5" w:tplc="192C1CF2">
      <w:numFmt w:val="bullet"/>
      <w:lvlText w:val="•"/>
      <w:lvlJc w:val="left"/>
      <w:pPr>
        <w:ind w:left="5533" w:hanging="531"/>
      </w:pPr>
      <w:rPr>
        <w:rFonts w:hint="default"/>
        <w:lang w:val="zh-CN" w:eastAsia="zh-CN" w:bidi="zh-CN"/>
      </w:rPr>
    </w:lvl>
    <w:lvl w:ilvl="6" w:tplc="C1206448">
      <w:numFmt w:val="bullet"/>
      <w:lvlText w:val="•"/>
      <w:lvlJc w:val="left"/>
      <w:pPr>
        <w:ind w:left="6555" w:hanging="531"/>
      </w:pPr>
      <w:rPr>
        <w:rFonts w:hint="default"/>
        <w:lang w:val="zh-CN" w:eastAsia="zh-CN" w:bidi="zh-CN"/>
      </w:rPr>
    </w:lvl>
    <w:lvl w:ilvl="7" w:tplc="81DA2BAE">
      <w:numFmt w:val="bullet"/>
      <w:lvlText w:val="•"/>
      <w:lvlJc w:val="left"/>
      <w:pPr>
        <w:ind w:left="7578" w:hanging="531"/>
      </w:pPr>
      <w:rPr>
        <w:rFonts w:hint="default"/>
        <w:lang w:val="zh-CN" w:eastAsia="zh-CN" w:bidi="zh-CN"/>
      </w:rPr>
    </w:lvl>
    <w:lvl w:ilvl="8" w:tplc="215AECBA">
      <w:numFmt w:val="bullet"/>
      <w:lvlText w:val="•"/>
      <w:lvlJc w:val="left"/>
      <w:pPr>
        <w:ind w:left="8601" w:hanging="531"/>
      </w:pPr>
      <w:rPr>
        <w:rFonts w:hint="default"/>
        <w:lang w:val="zh-CN" w:eastAsia="zh-CN" w:bidi="zh-CN"/>
      </w:rPr>
    </w:lvl>
  </w:abstractNum>
  <w:abstractNum w:abstractNumId="107" w15:restartNumberingAfterBreak="0">
    <w:nsid w:val="0D8266E3"/>
    <w:multiLevelType w:val="hybridMultilevel"/>
    <w:tmpl w:val="A6B4F02A"/>
    <w:lvl w:ilvl="0" w:tplc="0AEEB764">
      <w:start w:val="3"/>
      <w:numFmt w:val="decimal"/>
      <w:lvlText w:val="%1"/>
      <w:lvlJc w:val="left"/>
      <w:pPr>
        <w:ind w:left="1158" w:hanging="318"/>
        <w:jc w:val="left"/>
      </w:pPr>
      <w:rPr>
        <w:rFonts w:hint="default"/>
        <w:lang w:val="zh-CN" w:eastAsia="zh-CN" w:bidi="zh-CN"/>
      </w:rPr>
    </w:lvl>
    <w:lvl w:ilvl="1" w:tplc="E7F8A0C6">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6FB63642">
      <w:start w:val="1"/>
      <w:numFmt w:val="decimal"/>
      <w:lvlText w:val="%1.%2.%3"/>
      <w:lvlJc w:val="left"/>
      <w:pPr>
        <w:ind w:left="1423" w:hanging="584"/>
        <w:jc w:val="left"/>
      </w:pPr>
      <w:rPr>
        <w:rFonts w:ascii="宋体" w:eastAsia="宋体" w:hAnsi="宋体" w:cs="宋体" w:hint="default"/>
        <w:b/>
        <w:bCs/>
        <w:w w:val="99"/>
        <w:sz w:val="21"/>
        <w:szCs w:val="21"/>
        <w:lang w:val="zh-CN" w:eastAsia="zh-CN" w:bidi="zh-CN"/>
      </w:rPr>
    </w:lvl>
    <w:lvl w:ilvl="3" w:tplc="CED65D08">
      <w:numFmt w:val="bullet"/>
      <w:lvlText w:val="•"/>
      <w:lvlJc w:val="left"/>
      <w:pPr>
        <w:ind w:left="3470" w:hanging="584"/>
      </w:pPr>
      <w:rPr>
        <w:rFonts w:hint="default"/>
        <w:lang w:val="zh-CN" w:eastAsia="zh-CN" w:bidi="zh-CN"/>
      </w:rPr>
    </w:lvl>
    <w:lvl w:ilvl="4" w:tplc="4E2A113A">
      <w:numFmt w:val="bullet"/>
      <w:lvlText w:val="•"/>
      <w:lvlJc w:val="left"/>
      <w:pPr>
        <w:ind w:left="4495" w:hanging="584"/>
      </w:pPr>
      <w:rPr>
        <w:rFonts w:hint="default"/>
        <w:lang w:val="zh-CN" w:eastAsia="zh-CN" w:bidi="zh-CN"/>
      </w:rPr>
    </w:lvl>
    <w:lvl w:ilvl="5" w:tplc="40346B30">
      <w:numFmt w:val="bullet"/>
      <w:lvlText w:val="•"/>
      <w:lvlJc w:val="left"/>
      <w:pPr>
        <w:ind w:left="5520" w:hanging="584"/>
      </w:pPr>
      <w:rPr>
        <w:rFonts w:hint="default"/>
        <w:lang w:val="zh-CN" w:eastAsia="zh-CN" w:bidi="zh-CN"/>
      </w:rPr>
    </w:lvl>
    <w:lvl w:ilvl="6" w:tplc="695EB2BC">
      <w:numFmt w:val="bullet"/>
      <w:lvlText w:val="•"/>
      <w:lvlJc w:val="left"/>
      <w:pPr>
        <w:ind w:left="6545" w:hanging="584"/>
      </w:pPr>
      <w:rPr>
        <w:rFonts w:hint="default"/>
        <w:lang w:val="zh-CN" w:eastAsia="zh-CN" w:bidi="zh-CN"/>
      </w:rPr>
    </w:lvl>
    <w:lvl w:ilvl="7" w:tplc="51A46794">
      <w:numFmt w:val="bullet"/>
      <w:lvlText w:val="•"/>
      <w:lvlJc w:val="left"/>
      <w:pPr>
        <w:ind w:left="7570" w:hanging="584"/>
      </w:pPr>
      <w:rPr>
        <w:rFonts w:hint="default"/>
        <w:lang w:val="zh-CN" w:eastAsia="zh-CN" w:bidi="zh-CN"/>
      </w:rPr>
    </w:lvl>
    <w:lvl w:ilvl="8" w:tplc="1CD6989A">
      <w:numFmt w:val="bullet"/>
      <w:lvlText w:val="•"/>
      <w:lvlJc w:val="left"/>
      <w:pPr>
        <w:ind w:left="8596" w:hanging="584"/>
      </w:pPr>
      <w:rPr>
        <w:rFonts w:hint="default"/>
        <w:lang w:val="zh-CN" w:eastAsia="zh-CN" w:bidi="zh-CN"/>
      </w:rPr>
    </w:lvl>
  </w:abstractNum>
  <w:abstractNum w:abstractNumId="108" w15:restartNumberingAfterBreak="0">
    <w:nsid w:val="0DF06E5D"/>
    <w:multiLevelType w:val="hybridMultilevel"/>
    <w:tmpl w:val="5CBC1E24"/>
    <w:lvl w:ilvl="0" w:tplc="9D66D464">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A7CCB09A">
      <w:numFmt w:val="bullet"/>
      <w:lvlText w:val="•"/>
      <w:lvlJc w:val="left"/>
      <w:pPr>
        <w:ind w:left="2288" w:hanging="529"/>
      </w:pPr>
      <w:rPr>
        <w:rFonts w:hint="default"/>
        <w:lang w:val="zh-CN" w:eastAsia="zh-CN" w:bidi="zh-CN"/>
      </w:rPr>
    </w:lvl>
    <w:lvl w:ilvl="2" w:tplc="821018C8">
      <w:numFmt w:val="bullet"/>
      <w:lvlText w:val="•"/>
      <w:lvlJc w:val="left"/>
      <w:pPr>
        <w:ind w:left="3217" w:hanging="529"/>
      </w:pPr>
      <w:rPr>
        <w:rFonts w:hint="default"/>
        <w:lang w:val="zh-CN" w:eastAsia="zh-CN" w:bidi="zh-CN"/>
      </w:rPr>
    </w:lvl>
    <w:lvl w:ilvl="3" w:tplc="FA9AABB0">
      <w:numFmt w:val="bullet"/>
      <w:lvlText w:val="•"/>
      <w:lvlJc w:val="left"/>
      <w:pPr>
        <w:ind w:left="4145" w:hanging="529"/>
      </w:pPr>
      <w:rPr>
        <w:rFonts w:hint="default"/>
        <w:lang w:val="zh-CN" w:eastAsia="zh-CN" w:bidi="zh-CN"/>
      </w:rPr>
    </w:lvl>
    <w:lvl w:ilvl="4" w:tplc="2676BF60">
      <w:numFmt w:val="bullet"/>
      <w:lvlText w:val="•"/>
      <w:lvlJc w:val="left"/>
      <w:pPr>
        <w:ind w:left="5074" w:hanging="529"/>
      </w:pPr>
      <w:rPr>
        <w:rFonts w:hint="default"/>
        <w:lang w:val="zh-CN" w:eastAsia="zh-CN" w:bidi="zh-CN"/>
      </w:rPr>
    </w:lvl>
    <w:lvl w:ilvl="5" w:tplc="4F1C7A2E">
      <w:numFmt w:val="bullet"/>
      <w:lvlText w:val="•"/>
      <w:lvlJc w:val="left"/>
      <w:pPr>
        <w:ind w:left="6003" w:hanging="529"/>
      </w:pPr>
      <w:rPr>
        <w:rFonts w:hint="default"/>
        <w:lang w:val="zh-CN" w:eastAsia="zh-CN" w:bidi="zh-CN"/>
      </w:rPr>
    </w:lvl>
    <w:lvl w:ilvl="6" w:tplc="9F923692">
      <w:numFmt w:val="bullet"/>
      <w:lvlText w:val="•"/>
      <w:lvlJc w:val="left"/>
      <w:pPr>
        <w:ind w:left="6931" w:hanging="529"/>
      </w:pPr>
      <w:rPr>
        <w:rFonts w:hint="default"/>
        <w:lang w:val="zh-CN" w:eastAsia="zh-CN" w:bidi="zh-CN"/>
      </w:rPr>
    </w:lvl>
    <w:lvl w:ilvl="7" w:tplc="013E05EC">
      <w:numFmt w:val="bullet"/>
      <w:lvlText w:val="•"/>
      <w:lvlJc w:val="left"/>
      <w:pPr>
        <w:ind w:left="7860" w:hanging="529"/>
      </w:pPr>
      <w:rPr>
        <w:rFonts w:hint="default"/>
        <w:lang w:val="zh-CN" w:eastAsia="zh-CN" w:bidi="zh-CN"/>
      </w:rPr>
    </w:lvl>
    <w:lvl w:ilvl="8" w:tplc="A120DA9A">
      <w:numFmt w:val="bullet"/>
      <w:lvlText w:val="•"/>
      <w:lvlJc w:val="left"/>
      <w:pPr>
        <w:ind w:left="8789" w:hanging="529"/>
      </w:pPr>
      <w:rPr>
        <w:rFonts w:hint="default"/>
        <w:lang w:val="zh-CN" w:eastAsia="zh-CN" w:bidi="zh-CN"/>
      </w:rPr>
    </w:lvl>
  </w:abstractNum>
  <w:abstractNum w:abstractNumId="109" w15:restartNumberingAfterBreak="0">
    <w:nsid w:val="0DF236AE"/>
    <w:multiLevelType w:val="hybridMultilevel"/>
    <w:tmpl w:val="FC78430C"/>
    <w:lvl w:ilvl="0" w:tplc="A2B6CF28">
      <w:start w:val="3"/>
      <w:numFmt w:val="decimal"/>
      <w:lvlText w:val="%1"/>
      <w:lvlJc w:val="left"/>
      <w:pPr>
        <w:ind w:left="418" w:hanging="318"/>
        <w:jc w:val="left"/>
      </w:pPr>
      <w:rPr>
        <w:rFonts w:hint="default"/>
        <w:lang w:val="zh-CN" w:eastAsia="zh-CN" w:bidi="zh-CN"/>
      </w:rPr>
    </w:lvl>
    <w:lvl w:ilvl="1" w:tplc="D7A46F94">
      <w:start w:val="1"/>
      <w:numFmt w:val="decimal"/>
      <w:lvlText w:val="%1.%2"/>
      <w:lvlJc w:val="left"/>
      <w:pPr>
        <w:ind w:left="418" w:hanging="318"/>
        <w:jc w:val="left"/>
      </w:pPr>
      <w:rPr>
        <w:rFonts w:ascii="宋体" w:eastAsia="宋体" w:hAnsi="宋体" w:cs="宋体" w:hint="default"/>
        <w:b/>
        <w:bCs/>
        <w:w w:val="99"/>
        <w:sz w:val="19"/>
        <w:szCs w:val="19"/>
        <w:lang w:val="zh-CN" w:eastAsia="zh-CN" w:bidi="zh-CN"/>
      </w:rPr>
    </w:lvl>
    <w:lvl w:ilvl="2" w:tplc="0E94C9F4">
      <w:numFmt w:val="bullet"/>
      <w:lvlText w:val="•"/>
      <w:lvlJc w:val="left"/>
      <w:pPr>
        <w:ind w:left="2465" w:hanging="318"/>
      </w:pPr>
      <w:rPr>
        <w:rFonts w:hint="default"/>
        <w:lang w:val="zh-CN" w:eastAsia="zh-CN" w:bidi="zh-CN"/>
      </w:rPr>
    </w:lvl>
    <w:lvl w:ilvl="3" w:tplc="1D349B6E">
      <w:numFmt w:val="bullet"/>
      <w:lvlText w:val="•"/>
      <w:lvlJc w:val="left"/>
      <w:pPr>
        <w:ind w:left="3487" w:hanging="318"/>
      </w:pPr>
      <w:rPr>
        <w:rFonts w:hint="default"/>
        <w:lang w:val="zh-CN" w:eastAsia="zh-CN" w:bidi="zh-CN"/>
      </w:rPr>
    </w:lvl>
    <w:lvl w:ilvl="4" w:tplc="4F1C5974">
      <w:numFmt w:val="bullet"/>
      <w:lvlText w:val="•"/>
      <w:lvlJc w:val="left"/>
      <w:pPr>
        <w:ind w:left="4510" w:hanging="318"/>
      </w:pPr>
      <w:rPr>
        <w:rFonts w:hint="default"/>
        <w:lang w:val="zh-CN" w:eastAsia="zh-CN" w:bidi="zh-CN"/>
      </w:rPr>
    </w:lvl>
    <w:lvl w:ilvl="5" w:tplc="3B8E287A">
      <w:numFmt w:val="bullet"/>
      <w:lvlText w:val="•"/>
      <w:lvlJc w:val="left"/>
      <w:pPr>
        <w:ind w:left="5533" w:hanging="318"/>
      </w:pPr>
      <w:rPr>
        <w:rFonts w:hint="default"/>
        <w:lang w:val="zh-CN" w:eastAsia="zh-CN" w:bidi="zh-CN"/>
      </w:rPr>
    </w:lvl>
    <w:lvl w:ilvl="6" w:tplc="5DF01AE2">
      <w:numFmt w:val="bullet"/>
      <w:lvlText w:val="•"/>
      <w:lvlJc w:val="left"/>
      <w:pPr>
        <w:ind w:left="6555" w:hanging="318"/>
      </w:pPr>
      <w:rPr>
        <w:rFonts w:hint="default"/>
        <w:lang w:val="zh-CN" w:eastAsia="zh-CN" w:bidi="zh-CN"/>
      </w:rPr>
    </w:lvl>
    <w:lvl w:ilvl="7" w:tplc="94C85A26">
      <w:numFmt w:val="bullet"/>
      <w:lvlText w:val="•"/>
      <w:lvlJc w:val="left"/>
      <w:pPr>
        <w:ind w:left="7578" w:hanging="318"/>
      </w:pPr>
      <w:rPr>
        <w:rFonts w:hint="default"/>
        <w:lang w:val="zh-CN" w:eastAsia="zh-CN" w:bidi="zh-CN"/>
      </w:rPr>
    </w:lvl>
    <w:lvl w:ilvl="8" w:tplc="FFE82CF0">
      <w:numFmt w:val="bullet"/>
      <w:lvlText w:val="•"/>
      <w:lvlJc w:val="left"/>
      <w:pPr>
        <w:ind w:left="8601" w:hanging="318"/>
      </w:pPr>
      <w:rPr>
        <w:rFonts w:hint="default"/>
        <w:lang w:val="zh-CN" w:eastAsia="zh-CN" w:bidi="zh-CN"/>
      </w:rPr>
    </w:lvl>
  </w:abstractNum>
  <w:abstractNum w:abstractNumId="110" w15:restartNumberingAfterBreak="0">
    <w:nsid w:val="0DFB0B8C"/>
    <w:multiLevelType w:val="hybridMultilevel"/>
    <w:tmpl w:val="31C24F7C"/>
    <w:lvl w:ilvl="0" w:tplc="A09627BA">
      <w:start w:val="10"/>
      <w:numFmt w:val="decimal"/>
      <w:lvlText w:val="%1"/>
      <w:lvlJc w:val="left"/>
      <w:pPr>
        <w:ind w:left="1263" w:hanging="424"/>
        <w:jc w:val="left"/>
      </w:pPr>
      <w:rPr>
        <w:rFonts w:hint="default"/>
        <w:lang w:val="zh-CN" w:eastAsia="zh-CN" w:bidi="zh-CN"/>
      </w:rPr>
    </w:lvl>
    <w:lvl w:ilvl="1" w:tplc="8ABA87EC">
      <w:start w:val="1"/>
      <w:numFmt w:val="decimal"/>
      <w:lvlText w:val="%1.%2"/>
      <w:lvlJc w:val="left"/>
      <w:pPr>
        <w:ind w:left="1263" w:hanging="424"/>
        <w:jc w:val="left"/>
      </w:pPr>
      <w:rPr>
        <w:rFonts w:ascii="宋体" w:eastAsia="宋体" w:hAnsi="宋体" w:cs="宋体" w:hint="default"/>
        <w:b/>
        <w:bCs/>
        <w:w w:val="99"/>
        <w:sz w:val="19"/>
        <w:szCs w:val="19"/>
        <w:lang w:val="zh-CN" w:eastAsia="zh-CN" w:bidi="zh-CN"/>
      </w:rPr>
    </w:lvl>
    <w:lvl w:ilvl="2" w:tplc="063EE738">
      <w:start w:val="1"/>
      <w:numFmt w:val="decimal"/>
      <w:lvlText w:val="%1.%2.%3"/>
      <w:lvlJc w:val="left"/>
      <w:pPr>
        <w:ind w:left="418" w:hanging="689"/>
        <w:jc w:val="left"/>
      </w:pPr>
      <w:rPr>
        <w:rFonts w:ascii="宋体" w:eastAsia="宋体" w:hAnsi="宋体" w:cs="宋体" w:hint="default"/>
        <w:b/>
        <w:bCs/>
        <w:w w:val="99"/>
        <w:sz w:val="21"/>
        <w:szCs w:val="21"/>
        <w:lang w:val="zh-CN" w:eastAsia="zh-CN" w:bidi="zh-CN"/>
      </w:rPr>
    </w:lvl>
    <w:lvl w:ilvl="3" w:tplc="D7323222">
      <w:numFmt w:val="bullet"/>
      <w:lvlText w:val="•"/>
      <w:lvlJc w:val="left"/>
      <w:pPr>
        <w:ind w:left="3345" w:hanging="689"/>
      </w:pPr>
      <w:rPr>
        <w:rFonts w:hint="default"/>
        <w:lang w:val="zh-CN" w:eastAsia="zh-CN" w:bidi="zh-CN"/>
      </w:rPr>
    </w:lvl>
    <w:lvl w:ilvl="4" w:tplc="982EC068">
      <w:numFmt w:val="bullet"/>
      <w:lvlText w:val="•"/>
      <w:lvlJc w:val="left"/>
      <w:pPr>
        <w:ind w:left="4388" w:hanging="689"/>
      </w:pPr>
      <w:rPr>
        <w:rFonts w:hint="default"/>
        <w:lang w:val="zh-CN" w:eastAsia="zh-CN" w:bidi="zh-CN"/>
      </w:rPr>
    </w:lvl>
    <w:lvl w:ilvl="5" w:tplc="F5C883A0">
      <w:numFmt w:val="bullet"/>
      <w:lvlText w:val="•"/>
      <w:lvlJc w:val="left"/>
      <w:pPr>
        <w:ind w:left="5431" w:hanging="689"/>
      </w:pPr>
      <w:rPr>
        <w:rFonts w:hint="default"/>
        <w:lang w:val="zh-CN" w:eastAsia="zh-CN" w:bidi="zh-CN"/>
      </w:rPr>
    </w:lvl>
    <w:lvl w:ilvl="6" w:tplc="1C5A2C86">
      <w:numFmt w:val="bullet"/>
      <w:lvlText w:val="•"/>
      <w:lvlJc w:val="left"/>
      <w:pPr>
        <w:ind w:left="6474" w:hanging="689"/>
      </w:pPr>
      <w:rPr>
        <w:rFonts w:hint="default"/>
        <w:lang w:val="zh-CN" w:eastAsia="zh-CN" w:bidi="zh-CN"/>
      </w:rPr>
    </w:lvl>
    <w:lvl w:ilvl="7" w:tplc="66F401C0">
      <w:numFmt w:val="bullet"/>
      <w:lvlText w:val="•"/>
      <w:lvlJc w:val="left"/>
      <w:pPr>
        <w:ind w:left="7517" w:hanging="689"/>
      </w:pPr>
      <w:rPr>
        <w:rFonts w:hint="default"/>
        <w:lang w:val="zh-CN" w:eastAsia="zh-CN" w:bidi="zh-CN"/>
      </w:rPr>
    </w:lvl>
    <w:lvl w:ilvl="8" w:tplc="8EACF7B2">
      <w:numFmt w:val="bullet"/>
      <w:lvlText w:val="•"/>
      <w:lvlJc w:val="left"/>
      <w:pPr>
        <w:ind w:left="8560" w:hanging="689"/>
      </w:pPr>
      <w:rPr>
        <w:rFonts w:hint="default"/>
        <w:lang w:val="zh-CN" w:eastAsia="zh-CN" w:bidi="zh-CN"/>
      </w:rPr>
    </w:lvl>
  </w:abstractNum>
  <w:abstractNum w:abstractNumId="111" w15:restartNumberingAfterBreak="0">
    <w:nsid w:val="0E2D0D78"/>
    <w:multiLevelType w:val="hybridMultilevel"/>
    <w:tmpl w:val="B128FE34"/>
    <w:lvl w:ilvl="0" w:tplc="CA1C40A4">
      <w:start w:val="4"/>
      <w:numFmt w:val="decimal"/>
      <w:lvlText w:val="%1"/>
      <w:lvlJc w:val="left"/>
      <w:pPr>
        <w:ind w:left="1159" w:hanging="320"/>
        <w:jc w:val="left"/>
      </w:pPr>
      <w:rPr>
        <w:rFonts w:hint="default"/>
        <w:lang w:val="zh-CN" w:eastAsia="zh-CN" w:bidi="zh-CN"/>
      </w:rPr>
    </w:lvl>
    <w:lvl w:ilvl="1" w:tplc="357C380E">
      <w:start w:val="9"/>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FB220DBC">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3BCEE030">
      <w:numFmt w:val="bullet"/>
      <w:lvlText w:val="•"/>
      <w:lvlJc w:val="left"/>
      <w:pPr>
        <w:ind w:left="1480" w:hanging="531"/>
      </w:pPr>
      <w:rPr>
        <w:rFonts w:hint="default"/>
        <w:lang w:val="zh-CN" w:eastAsia="zh-CN" w:bidi="zh-CN"/>
      </w:rPr>
    </w:lvl>
    <w:lvl w:ilvl="4" w:tplc="42FAC63E">
      <w:numFmt w:val="bullet"/>
      <w:lvlText w:val="•"/>
      <w:lvlJc w:val="left"/>
      <w:pPr>
        <w:ind w:left="2789" w:hanging="531"/>
      </w:pPr>
      <w:rPr>
        <w:rFonts w:hint="default"/>
        <w:lang w:val="zh-CN" w:eastAsia="zh-CN" w:bidi="zh-CN"/>
      </w:rPr>
    </w:lvl>
    <w:lvl w:ilvl="5" w:tplc="DC845394">
      <w:numFmt w:val="bullet"/>
      <w:lvlText w:val="•"/>
      <w:lvlJc w:val="left"/>
      <w:pPr>
        <w:ind w:left="4098" w:hanging="531"/>
      </w:pPr>
      <w:rPr>
        <w:rFonts w:hint="default"/>
        <w:lang w:val="zh-CN" w:eastAsia="zh-CN" w:bidi="zh-CN"/>
      </w:rPr>
    </w:lvl>
    <w:lvl w:ilvl="6" w:tplc="C578FE3A">
      <w:numFmt w:val="bullet"/>
      <w:lvlText w:val="•"/>
      <w:lvlJc w:val="left"/>
      <w:pPr>
        <w:ind w:left="5408" w:hanging="531"/>
      </w:pPr>
      <w:rPr>
        <w:rFonts w:hint="default"/>
        <w:lang w:val="zh-CN" w:eastAsia="zh-CN" w:bidi="zh-CN"/>
      </w:rPr>
    </w:lvl>
    <w:lvl w:ilvl="7" w:tplc="A6966BB2">
      <w:numFmt w:val="bullet"/>
      <w:lvlText w:val="•"/>
      <w:lvlJc w:val="left"/>
      <w:pPr>
        <w:ind w:left="6717" w:hanging="531"/>
      </w:pPr>
      <w:rPr>
        <w:rFonts w:hint="default"/>
        <w:lang w:val="zh-CN" w:eastAsia="zh-CN" w:bidi="zh-CN"/>
      </w:rPr>
    </w:lvl>
    <w:lvl w:ilvl="8" w:tplc="1F0671B8">
      <w:numFmt w:val="bullet"/>
      <w:lvlText w:val="•"/>
      <w:lvlJc w:val="left"/>
      <w:pPr>
        <w:ind w:left="8027" w:hanging="531"/>
      </w:pPr>
      <w:rPr>
        <w:rFonts w:hint="default"/>
        <w:lang w:val="zh-CN" w:eastAsia="zh-CN" w:bidi="zh-CN"/>
      </w:rPr>
    </w:lvl>
  </w:abstractNum>
  <w:abstractNum w:abstractNumId="112" w15:restartNumberingAfterBreak="0">
    <w:nsid w:val="0E521226"/>
    <w:multiLevelType w:val="hybridMultilevel"/>
    <w:tmpl w:val="FB5216AE"/>
    <w:lvl w:ilvl="0" w:tplc="635A1404">
      <w:start w:val="4"/>
      <w:numFmt w:val="decimal"/>
      <w:lvlText w:val="%1"/>
      <w:lvlJc w:val="left"/>
      <w:pPr>
        <w:ind w:left="1159" w:hanging="320"/>
        <w:jc w:val="left"/>
      </w:pPr>
      <w:rPr>
        <w:rFonts w:hint="default"/>
        <w:lang w:val="zh-CN" w:eastAsia="zh-CN" w:bidi="zh-CN"/>
      </w:rPr>
    </w:lvl>
    <w:lvl w:ilvl="1" w:tplc="306ABECA">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D35CFC52">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7F1A8C74">
      <w:numFmt w:val="bullet"/>
      <w:lvlText w:val="•"/>
      <w:lvlJc w:val="left"/>
      <w:pPr>
        <w:ind w:left="1420" w:hanging="531"/>
      </w:pPr>
      <w:rPr>
        <w:rFonts w:hint="default"/>
        <w:lang w:val="zh-CN" w:eastAsia="zh-CN" w:bidi="zh-CN"/>
      </w:rPr>
    </w:lvl>
    <w:lvl w:ilvl="4" w:tplc="A2DA29B0">
      <w:numFmt w:val="bullet"/>
      <w:lvlText w:val="•"/>
      <w:lvlJc w:val="left"/>
      <w:pPr>
        <w:ind w:left="2738" w:hanging="531"/>
      </w:pPr>
      <w:rPr>
        <w:rFonts w:hint="default"/>
        <w:lang w:val="zh-CN" w:eastAsia="zh-CN" w:bidi="zh-CN"/>
      </w:rPr>
    </w:lvl>
    <w:lvl w:ilvl="5" w:tplc="C52EEF68">
      <w:numFmt w:val="bullet"/>
      <w:lvlText w:val="•"/>
      <w:lvlJc w:val="left"/>
      <w:pPr>
        <w:ind w:left="4056" w:hanging="531"/>
      </w:pPr>
      <w:rPr>
        <w:rFonts w:hint="default"/>
        <w:lang w:val="zh-CN" w:eastAsia="zh-CN" w:bidi="zh-CN"/>
      </w:rPr>
    </w:lvl>
    <w:lvl w:ilvl="6" w:tplc="007253B2">
      <w:numFmt w:val="bullet"/>
      <w:lvlText w:val="•"/>
      <w:lvlJc w:val="left"/>
      <w:pPr>
        <w:ind w:left="5374" w:hanging="531"/>
      </w:pPr>
      <w:rPr>
        <w:rFonts w:hint="default"/>
        <w:lang w:val="zh-CN" w:eastAsia="zh-CN" w:bidi="zh-CN"/>
      </w:rPr>
    </w:lvl>
    <w:lvl w:ilvl="7" w:tplc="490CB35A">
      <w:numFmt w:val="bullet"/>
      <w:lvlText w:val="•"/>
      <w:lvlJc w:val="left"/>
      <w:pPr>
        <w:ind w:left="6692" w:hanging="531"/>
      </w:pPr>
      <w:rPr>
        <w:rFonts w:hint="default"/>
        <w:lang w:val="zh-CN" w:eastAsia="zh-CN" w:bidi="zh-CN"/>
      </w:rPr>
    </w:lvl>
    <w:lvl w:ilvl="8" w:tplc="19461AE0">
      <w:numFmt w:val="bullet"/>
      <w:lvlText w:val="•"/>
      <w:lvlJc w:val="left"/>
      <w:pPr>
        <w:ind w:left="8010" w:hanging="531"/>
      </w:pPr>
      <w:rPr>
        <w:rFonts w:hint="default"/>
        <w:lang w:val="zh-CN" w:eastAsia="zh-CN" w:bidi="zh-CN"/>
      </w:rPr>
    </w:lvl>
  </w:abstractNum>
  <w:abstractNum w:abstractNumId="113" w15:restartNumberingAfterBreak="0">
    <w:nsid w:val="0E767CC1"/>
    <w:multiLevelType w:val="hybridMultilevel"/>
    <w:tmpl w:val="7AD84978"/>
    <w:lvl w:ilvl="0" w:tplc="E27EB858">
      <w:start w:val="2"/>
      <w:numFmt w:val="decimal"/>
      <w:lvlText w:val="%1"/>
      <w:lvlJc w:val="left"/>
      <w:pPr>
        <w:ind w:left="1529" w:hanging="689"/>
        <w:jc w:val="left"/>
      </w:pPr>
      <w:rPr>
        <w:rFonts w:hint="default"/>
        <w:lang w:val="zh-CN" w:eastAsia="zh-CN" w:bidi="zh-CN"/>
      </w:rPr>
    </w:lvl>
    <w:lvl w:ilvl="1" w:tplc="7A266E16">
      <w:start w:val="1"/>
      <w:numFmt w:val="decimal"/>
      <w:lvlText w:val="%1.%2"/>
      <w:lvlJc w:val="left"/>
      <w:pPr>
        <w:ind w:left="1529" w:hanging="689"/>
        <w:jc w:val="left"/>
      </w:pPr>
      <w:rPr>
        <w:rFonts w:hint="default"/>
        <w:lang w:val="zh-CN" w:eastAsia="zh-CN" w:bidi="zh-CN"/>
      </w:rPr>
    </w:lvl>
    <w:lvl w:ilvl="2" w:tplc="DAAA6F9A">
      <w:start w:val="11"/>
      <w:numFmt w:val="decimal"/>
      <w:lvlText w:val="%1.%2.%3"/>
      <w:lvlJc w:val="left"/>
      <w:pPr>
        <w:ind w:left="1529" w:hanging="689"/>
        <w:jc w:val="left"/>
      </w:pPr>
      <w:rPr>
        <w:rFonts w:ascii="宋体" w:eastAsia="宋体" w:hAnsi="宋体" w:cs="宋体" w:hint="default"/>
        <w:b/>
        <w:bCs/>
        <w:color w:val="333333"/>
        <w:w w:val="99"/>
        <w:sz w:val="21"/>
        <w:szCs w:val="21"/>
        <w:lang w:val="zh-CN" w:eastAsia="zh-CN" w:bidi="zh-CN"/>
      </w:rPr>
    </w:lvl>
    <w:lvl w:ilvl="3" w:tplc="ECEEF942">
      <w:numFmt w:val="bullet"/>
      <w:lvlText w:val="•"/>
      <w:lvlJc w:val="left"/>
      <w:pPr>
        <w:ind w:left="4257" w:hanging="689"/>
      </w:pPr>
      <w:rPr>
        <w:rFonts w:hint="default"/>
        <w:lang w:val="zh-CN" w:eastAsia="zh-CN" w:bidi="zh-CN"/>
      </w:rPr>
    </w:lvl>
    <w:lvl w:ilvl="4" w:tplc="ED16F652">
      <w:numFmt w:val="bullet"/>
      <w:lvlText w:val="•"/>
      <w:lvlJc w:val="left"/>
      <w:pPr>
        <w:ind w:left="5170" w:hanging="689"/>
      </w:pPr>
      <w:rPr>
        <w:rFonts w:hint="default"/>
        <w:lang w:val="zh-CN" w:eastAsia="zh-CN" w:bidi="zh-CN"/>
      </w:rPr>
    </w:lvl>
    <w:lvl w:ilvl="5" w:tplc="36D2A5C8">
      <w:numFmt w:val="bullet"/>
      <w:lvlText w:val="•"/>
      <w:lvlJc w:val="left"/>
      <w:pPr>
        <w:ind w:left="6083" w:hanging="689"/>
      </w:pPr>
      <w:rPr>
        <w:rFonts w:hint="default"/>
        <w:lang w:val="zh-CN" w:eastAsia="zh-CN" w:bidi="zh-CN"/>
      </w:rPr>
    </w:lvl>
    <w:lvl w:ilvl="6" w:tplc="73F4D146">
      <w:numFmt w:val="bullet"/>
      <w:lvlText w:val="•"/>
      <w:lvlJc w:val="left"/>
      <w:pPr>
        <w:ind w:left="6995" w:hanging="689"/>
      </w:pPr>
      <w:rPr>
        <w:rFonts w:hint="default"/>
        <w:lang w:val="zh-CN" w:eastAsia="zh-CN" w:bidi="zh-CN"/>
      </w:rPr>
    </w:lvl>
    <w:lvl w:ilvl="7" w:tplc="206C50B2">
      <w:numFmt w:val="bullet"/>
      <w:lvlText w:val="•"/>
      <w:lvlJc w:val="left"/>
      <w:pPr>
        <w:ind w:left="7908" w:hanging="689"/>
      </w:pPr>
      <w:rPr>
        <w:rFonts w:hint="default"/>
        <w:lang w:val="zh-CN" w:eastAsia="zh-CN" w:bidi="zh-CN"/>
      </w:rPr>
    </w:lvl>
    <w:lvl w:ilvl="8" w:tplc="2C3EBF4A">
      <w:numFmt w:val="bullet"/>
      <w:lvlText w:val="•"/>
      <w:lvlJc w:val="left"/>
      <w:pPr>
        <w:ind w:left="8821" w:hanging="689"/>
      </w:pPr>
      <w:rPr>
        <w:rFonts w:hint="default"/>
        <w:lang w:val="zh-CN" w:eastAsia="zh-CN" w:bidi="zh-CN"/>
      </w:rPr>
    </w:lvl>
  </w:abstractNum>
  <w:abstractNum w:abstractNumId="114" w15:restartNumberingAfterBreak="0">
    <w:nsid w:val="0EB02A7D"/>
    <w:multiLevelType w:val="hybridMultilevel"/>
    <w:tmpl w:val="61428556"/>
    <w:lvl w:ilvl="0" w:tplc="D1126064">
      <w:start w:val="6"/>
      <w:numFmt w:val="decimal"/>
      <w:lvlText w:val="%1"/>
      <w:lvlJc w:val="left"/>
      <w:pPr>
        <w:ind w:left="1158" w:hanging="318"/>
        <w:jc w:val="left"/>
      </w:pPr>
      <w:rPr>
        <w:rFonts w:hint="default"/>
        <w:lang w:val="zh-CN" w:eastAsia="zh-CN" w:bidi="zh-CN"/>
      </w:rPr>
    </w:lvl>
    <w:lvl w:ilvl="1" w:tplc="42B21468">
      <w:start w:val="1"/>
      <w:numFmt w:val="decimal"/>
      <w:lvlText w:val="%1.%2"/>
      <w:lvlJc w:val="left"/>
      <w:pPr>
        <w:ind w:left="1158" w:hanging="318"/>
        <w:jc w:val="left"/>
      </w:pPr>
      <w:rPr>
        <w:rFonts w:ascii="宋体" w:eastAsia="宋体" w:hAnsi="宋体" w:cs="宋体" w:hint="default"/>
        <w:b/>
        <w:bCs/>
        <w:spacing w:val="-3"/>
        <w:w w:val="99"/>
        <w:sz w:val="19"/>
        <w:szCs w:val="19"/>
        <w:lang w:val="zh-CN" w:eastAsia="zh-CN" w:bidi="zh-CN"/>
      </w:rPr>
    </w:lvl>
    <w:lvl w:ilvl="2" w:tplc="1C52CC10">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F976E900">
      <w:start w:val="1"/>
      <w:numFmt w:val="decimal"/>
      <w:lvlText w:val="%1.%2.%3.%4"/>
      <w:lvlJc w:val="left"/>
      <w:pPr>
        <w:ind w:left="1582" w:hanging="743"/>
        <w:jc w:val="left"/>
      </w:pPr>
      <w:rPr>
        <w:rFonts w:ascii="宋体" w:eastAsia="宋体" w:hAnsi="宋体" w:cs="宋体" w:hint="default"/>
        <w:b/>
        <w:bCs/>
        <w:spacing w:val="-3"/>
        <w:w w:val="99"/>
        <w:sz w:val="19"/>
        <w:szCs w:val="19"/>
        <w:lang w:val="zh-CN" w:eastAsia="zh-CN" w:bidi="zh-CN"/>
      </w:rPr>
    </w:lvl>
    <w:lvl w:ilvl="4" w:tplc="64C43F2C">
      <w:numFmt w:val="bullet"/>
      <w:lvlText w:val="•"/>
      <w:lvlJc w:val="left"/>
      <w:pPr>
        <w:ind w:left="3846" w:hanging="743"/>
      </w:pPr>
      <w:rPr>
        <w:rFonts w:hint="default"/>
        <w:lang w:val="zh-CN" w:eastAsia="zh-CN" w:bidi="zh-CN"/>
      </w:rPr>
    </w:lvl>
    <w:lvl w:ilvl="5" w:tplc="F782C1CA">
      <w:numFmt w:val="bullet"/>
      <w:lvlText w:val="•"/>
      <w:lvlJc w:val="left"/>
      <w:pPr>
        <w:ind w:left="4979" w:hanging="743"/>
      </w:pPr>
      <w:rPr>
        <w:rFonts w:hint="default"/>
        <w:lang w:val="zh-CN" w:eastAsia="zh-CN" w:bidi="zh-CN"/>
      </w:rPr>
    </w:lvl>
    <w:lvl w:ilvl="6" w:tplc="1A685330">
      <w:numFmt w:val="bullet"/>
      <w:lvlText w:val="•"/>
      <w:lvlJc w:val="left"/>
      <w:pPr>
        <w:ind w:left="6113" w:hanging="743"/>
      </w:pPr>
      <w:rPr>
        <w:rFonts w:hint="default"/>
        <w:lang w:val="zh-CN" w:eastAsia="zh-CN" w:bidi="zh-CN"/>
      </w:rPr>
    </w:lvl>
    <w:lvl w:ilvl="7" w:tplc="BB24E5DE">
      <w:numFmt w:val="bullet"/>
      <w:lvlText w:val="•"/>
      <w:lvlJc w:val="left"/>
      <w:pPr>
        <w:ind w:left="7246" w:hanging="743"/>
      </w:pPr>
      <w:rPr>
        <w:rFonts w:hint="default"/>
        <w:lang w:val="zh-CN" w:eastAsia="zh-CN" w:bidi="zh-CN"/>
      </w:rPr>
    </w:lvl>
    <w:lvl w:ilvl="8" w:tplc="12C8C36C">
      <w:numFmt w:val="bullet"/>
      <w:lvlText w:val="•"/>
      <w:lvlJc w:val="left"/>
      <w:pPr>
        <w:ind w:left="8379" w:hanging="743"/>
      </w:pPr>
      <w:rPr>
        <w:rFonts w:hint="default"/>
        <w:lang w:val="zh-CN" w:eastAsia="zh-CN" w:bidi="zh-CN"/>
      </w:rPr>
    </w:lvl>
  </w:abstractNum>
  <w:abstractNum w:abstractNumId="115" w15:restartNumberingAfterBreak="0">
    <w:nsid w:val="0ED66483"/>
    <w:multiLevelType w:val="hybridMultilevel"/>
    <w:tmpl w:val="8CA654AC"/>
    <w:lvl w:ilvl="0" w:tplc="D10897E8">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399EE256">
      <w:numFmt w:val="bullet"/>
      <w:lvlText w:val="•"/>
      <w:lvlJc w:val="left"/>
      <w:pPr>
        <w:ind w:left="1442" w:hanging="529"/>
      </w:pPr>
      <w:rPr>
        <w:rFonts w:hint="default"/>
        <w:lang w:val="zh-CN" w:eastAsia="zh-CN" w:bidi="zh-CN"/>
      </w:rPr>
    </w:lvl>
    <w:lvl w:ilvl="2" w:tplc="7AD6D336">
      <w:numFmt w:val="bullet"/>
      <w:lvlText w:val="•"/>
      <w:lvlJc w:val="left"/>
      <w:pPr>
        <w:ind w:left="2465" w:hanging="529"/>
      </w:pPr>
      <w:rPr>
        <w:rFonts w:hint="default"/>
        <w:lang w:val="zh-CN" w:eastAsia="zh-CN" w:bidi="zh-CN"/>
      </w:rPr>
    </w:lvl>
    <w:lvl w:ilvl="3" w:tplc="40A0A3C0">
      <w:numFmt w:val="bullet"/>
      <w:lvlText w:val="•"/>
      <w:lvlJc w:val="left"/>
      <w:pPr>
        <w:ind w:left="3487" w:hanging="529"/>
      </w:pPr>
      <w:rPr>
        <w:rFonts w:hint="default"/>
        <w:lang w:val="zh-CN" w:eastAsia="zh-CN" w:bidi="zh-CN"/>
      </w:rPr>
    </w:lvl>
    <w:lvl w:ilvl="4" w:tplc="8408C460">
      <w:numFmt w:val="bullet"/>
      <w:lvlText w:val="•"/>
      <w:lvlJc w:val="left"/>
      <w:pPr>
        <w:ind w:left="4510" w:hanging="529"/>
      </w:pPr>
      <w:rPr>
        <w:rFonts w:hint="default"/>
        <w:lang w:val="zh-CN" w:eastAsia="zh-CN" w:bidi="zh-CN"/>
      </w:rPr>
    </w:lvl>
    <w:lvl w:ilvl="5" w:tplc="475AA18A">
      <w:numFmt w:val="bullet"/>
      <w:lvlText w:val="•"/>
      <w:lvlJc w:val="left"/>
      <w:pPr>
        <w:ind w:left="5533" w:hanging="529"/>
      </w:pPr>
      <w:rPr>
        <w:rFonts w:hint="default"/>
        <w:lang w:val="zh-CN" w:eastAsia="zh-CN" w:bidi="zh-CN"/>
      </w:rPr>
    </w:lvl>
    <w:lvl w:ilvl="6" w:tplc="966895AE">
      <w:numFmt w:val="bullet"/>
      <w:lvlText w:val="•"/>
      <w:lvlJc w:val="left"/>
      <w:pPr>
        <w:ind w:left="6555" w:hanging="529"/>
      </w:pPr>
      <w:rPr>
        <w:rFonts w:hint="default"/>
        <w:lang w:val="zh-CN" w:eastAsia="zh-CN" w:bidi="zh-CN"/>
      </w:rPr>
    </w:lvl>
    <w:lvl w:ilvl="7" w:tplc="D65E6FF0">
      <w:numFmt w:val="bullet"/>
      <w:lvlText w:val="•"/>
      <w:lvlJc w:val="left"/>
      <w:pPr>
        <w:ind w:left="7578" w:hanging="529"/>
      </w:pPr>
      <w:rPr>
        <w:rFonts w:hint="default"/>
        <w:lang w:val="zh-CN" w:eastAsia="zh-CN" w:bidi="zh-CN"/>
      </w:rPr>
    </w:lvl>
    <w:lvl w:ilvl="8" w:tplc="A3822314">
      <w:numFmt w:val="bullet"/>
      <w:lvlText w:val="•"/>
      <w:lvlJc w:val="left"/>
      <w:pPr>
        <w:ind w:left="8601" w:hanging="529"/>
      </w:pPr>
      <w:rPr>
        <w:rFonts w:hint="default"/>
        <w:lang w:val="zh-CN" w:eastAsia="zh-CN" w:bidi="zh-CN"/>
      </w:rPr>
    </w:lvl>
  </w:abstractNum>
  <w:abstractNum w:abstractNumId="116" w15:restartNumberingAfterBreak="0">
    <w:nsid w:val="0EE101EC"/>
    <w:multiLevelType w:val="hybridMultilevel"/>
    <w:tmpl w:val="B896E9B8"/>
    <w:lvl w:ilvl="0" w:tplc="E4727C96">
      <w:start w:val="9"/>
      <w:numFmt w:val="decimal"/>
      <w:lvlText w:val="%1"/>
      <w:lvlJc w:val="left"/>
      <w:pPr>
        <w:ind w:left="418" w:hanging="529"/>
        <w:jc w:val="left"/>
      </w:pPr>
      <w:rPr>
        <w:rFonts w:hint="default"/>
        <w:lang w:val="zh-CN" w:eastAsia="zh-CN" w:bidi="zh-CN"/>
      </w:rPr>
    </w:lvl>
    <w:lvl w:ilvl="1" w:tplc="EC58827A">
      <w:numFmt w:val="decimal"/>
      <w:lvlText w:val="%1.%2"/>
      <w:lvlJc w:val="left"/>
      <w:pPr>
        <w:ind w:left="418" w:hanging="529"/>
        <w:jc w:val="left"/>
      </w:pPr>
      <w:rPr>
        <w:rFonts w:hint="default"/>
        <w:lang w:val="zh-CN" w:eastAsia="zh-CN" w:bidi="zh-CN"/>
      </w:rPr>
    </w:lvl>
    <w:lvl w:ilvl="2" w:tplc="11788172">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96B6495E">
      <w:numFmt w:val="bullet"/>
      <w:lvlText w:val="•"/>
      <w:lvlJc w:val="left"/>
      <w:pPr>
        <w:ind w:left="3487" w:hanging="529"/>
      </w:pPr>
      <w:rPr>
        <w:rFonts w:hint="default"/>
        <w:lang w:val="zh-CN" w:eastAsia="zh-CN" w:bidi="zh-CN"/>
      </w:rPr>
    </w:lvl>
    <w:lvl w:ilvl="4" w:tplc="17B4CB44">
      <w:numFmt w:val="bullet"/>
      <w:lvlText w:val="•"/>
      <w:lvlJc w:val="left"/>
      <w:pPr>
        <w:ind w:left="4510" w:hanging="529"/>
      </w:pPr>
      <w:rPr>
        <w:rFonts w:hint="default"/>
        <w:lang w:val="zh-CN" w:eastAsia="zh-CN" w:bidi="zh-CN"/>
      </w:rPr>
    </w:lvl>
    <w:lvl w:ilvl="5" w:tplc="7C7C2886">
      <w:numFmt w:val="bullet"/>
      <w:lvlText w:val="•"/>
      <w:lvlJc w:val="left"/>
      <w:pPr>
        <w:ind w:left="5533" w:hanging="529"/>
      </w:pPr>
      <w:rPr>
        <w:rFonts w:hint="default"/>
        <w:lang w:val="zh-CN" w:eastAsia="zh-CN" w:bidi="zh-CN"/>
      </w:rPr>
    </w:lvl>
    <w:lvl w:ilvl="6" w:tplc="01E6545A">
      <w:numFmt w:val="bullet"/>
      <w:lvlText w:val="•"/>
      <w:lvlJc w:val="left"/>
      <w:pPr>
        <w:ind w:left="6555" w:hanging="529"/>
      </w:pPr>
      <w:rPr>
        <w:rFonts w:hint="default"/>
        <w:lang w:val="zh-CN" w:eastAsia="zh-CN" w:bidi="zh-CN"/>
      </w:rPr>
    </w:lvl>
    <w:lvl w:ilvl="7" w:tplc="81C4AAE2">
      <w:numFmt w:val="bullet"/>
      <w:lvlText w:val="•"/>
      <w:lvlJc w:val="left"/>
      <w:pPr>
        <w:ind w:left="7578" w:hanging="529"/>
      </w:pPr>
      <w:rPr>
        <w:rFonts w:hint="default"/>
        <w:lang w:val="zh-CN" w:eastAsia="zh-CN" w:bidi="zh-CN"/>
      </w:rPr>
    </w:lvl>
    <w:lvl w:ilvl="8" w:tplc="21B0B51A">
      <w:numFmt w:val="bullet"/>
      <w:lvlText w:val="•"/>
      <w:lvlJc w:val="left"/>
      <w:pPr>
        <w:ind w:left="8601" w:hanging="529"/>
      </w:pPr>
      <w:rPr>
        <w:rFonts w:hint="default"/>
        <w:lang w:val="zh-CN" w:eastAsia="zh-CN" w:bidi="zh-CN"/>
      </w:rPr>
    </w:lvl>
  </w:abstractNum>
  <w:abstractNum w:abstractNumId="117" w15:restartNumberingAfterBreak="0">
    <w:nsid w:val="0EFB5AD8"/>
    <w:multiLevelType w:val="hybridMultilevel"/>
    <w:tmpl w:val="A3DA5B30"/>
    <w:lvl w:ilvl="0" w:tplc="D6344464">
      <w:start w:val="5"/>
      <w:numFmt w:val="decimal"/>
      <w:lvlText w:val="%1"/>
      <w:lvlJc w:val="left"/>
      <w:pPr>
        <w:ind w:left="1370" w:hanging="531"/>
        <w:jc w:val="left"/>
      </w:pPr>
      <w:rPr>
        <w:rFonts w:hint="default"/>
        <w:lang w:val="zh-CN" w:eastAsia="zh-CN" w:bidi="zh-CN"/>
      </w:rPr>
    </w:lvl>
    <w:lvl w:ilvl="1" w:tplc="1A28F970">
      <w:start w:val="8"/>
      <w:numFmt w:val="decimal"/>
      <w:lvlText w:val="%1.%2"/>
      <w:lvlJc w:val="left"/>
      <w:pPr>
        <w:ind w:left="1370" w:hanging="531"/>
        <w:jc w:val="left"/>
      </w:pPr>
      <w:rPr>
        <w:rFonts w:hint="default"/>
        <w:lang w:val="zh-CN" w:eastAsia="zh-CN" w:bidi="zh-CN"/>
      </w:rPr>
    </w:lvl>
    <w:lvl w:ilvl="2" w:tplc="E1E0F2B6">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D0560406">
      <w:numFmt w:val="bullet"/>
      <w:lvlText w:val="•"/>
      <w:lvlJc w:val="left"/>
      <w:pPr>
        <w:ind w:left="4159" w:hanging="531"/>
      </w:pPr>
      <w:rPr>
        <w:rFonts w:hint="default"/>
        <w:lang w:val="zh-CN" w:eastAsia="zh-CN" w:bidi="zh-CN"/>
      </w:rPr>
    </w:lvl>
    <w:lvl w:ilvl="4" w:tplc="C0843CA4">
      <w:numFmt w:val="bullet"/>
      <w:lvlText w:val="•"/>
      <w:lvlJc w:val="left"/>
      <w:pPr>
        <w:ind w:left="5086" w:hanging="531"/>
      </w:pPr>
      <w:rPr>
        <w:rFonts w:hint="default"/>
        <w:lang w:val="zh-CN" w:eastAsia="zh-CN" w:bidi="zh-CN"/>
      </w:rPr>
    </w:lvl>
    <w:lvl w:ilvl="5" w:tplc="D682DDF6">
      <w:numFmt w:val="bullet"/>
      <w:lvlText w:val="•"/>
      <w:lvlJc w:val="left"/>
      <w:pPr>
        <w:ind w:left="6013" w:hanging="531"/>
      </w:pPr>
      <w:rPr>
        <w:rFonts w:hint="default"/>
        <w:lang w:val="zh-CN" w:eastAsia="zh-CN" w:bidi="zh-CN"/>
      </w:rPr>
    </w:lvl>
    <w:lvl w:ilvl="6" w:tplc="D48472A4">
      <w:numFmt w:val="bullet"/>
      <w:lvlText w:val="•"/>
      <w:lvlJc w:val="left"/>
      <w:pPr>
        <w:ind w:left="6939" w:hanging="531"/>
      </w:pPr>
      <w:rPr>
        <w:rFonts w:hint="default"/>
        <w:lang w:val="zh-CN" w:eastAsia="zh-CN" w:bidi="zh-CN"/>
      </w:rPr>
    </w:lvl>
    <w:lvl w:ilvl="7" w:tplc="7B84E116">
      <w:numFmt w:val="bullet"/>
      <w:lvlText w:val="•"/>
      <w:lvlJc w:val="left"/>
      <w:pPr>
        <w:ind w:left="7866" w:hanging="531"/>
      </w:pPr>
      <w:rPr>
        <w:rFonts w:hint="default"/>
        <w:lang w:val="zh-CN" w:eastAsia="zh-CN" w:bidi="zh-CN"/>
      </w:rPr>
    </w:lvl>
    <w:lvl w:ilvl="8" w:tplc="B54253F8">
      <w:numFmt w:val="bullet"/>
      <w:lvlText w:val="•"/>
      <w:lvlJc w:val="left"/>
      <w:pPr>
        <w:ind w:left="8793" w:hanging="531"/>
      </w:pPr>
      <w:rPr>
        <w:rFonts w:hint="default"/>
        <w:lang w:val="zh-CN" w:eastAsia="zh-CN" w:bidi="zh-CN"/>
      </w:rPr>
    </w:lvl>
  </w:abstractNum>
  <w:abstractNum w:abstractNumId="118" w15:restartNumberingAfterBreak="0">
    <w:nsid w:val="0F1664DF"/>
    <w:multiLevelType w:val="hybridMultilevel"/>
    <w:tmpl w:val="39E20DDA"/>
    <w:lvl w:ilvl="0" w:tplc="CE4852BA">
      <w:start w:val="2"/>
      <w:numFmt w:val="decimal"/>
      <w:lvlText w:val="%1."/>
      <w:lvlJc w:val="left"/>
      <w:pPr>
        <w:ind w:left="1050" w:hanging="213"/>
        <w:jc w:val="left"/>
      </w:pPr>
      <w:rPr>
        <w:rFonts w:ascii="宋体" w:eastAsia="宋体" w:hAnsi="宋体" w:cs="宋体" w:hint="default"/>
        <w:spacing w:val="-3"/>
        <w:w w:val="100"/>
        <w:sz w:val="19"/>
        <w:szCs w:val="19"/>
        <w:lang w:val="zh-CN" w:eastAsia="zh-CN" w:bidi="zh-CN"/>
      </w:rPr>
    </w:lvl>
    <w:lvl w:ilvl="1" w:tplc="390CCE14">
      <w:numFmt w:val="bullet"/>
      <w:lvlText w:val="•"/>
      <w:lvlJc w:val="left"/>
      <w:pPr>
        <w:ind w:left="2018" w:hanging="213"/>
      </w:pPr>
      <w:rPr>
        <w:rFonts w:hint="default"/>
        <w:lang w:val="zh-CN" w:eastAsia="zh-CN" w:bidi="zh-CN"/>
      </w:rPr>
    </w:lvl>
    <w:lvl w:ilvl="2" w:tplc="858A8A3C">
      <w:numFmt w:val="bullet"/>
      <w:lvlText w:val="•"/>
      <w:lvlJc w:val="left"/>
      <w:pPr>
        <w:ind w:left="2977" w:hanging="213"/>
      </w:pPr>
      <w:rPr>
        <w:rFonts w:hint="default"/>
        <w:lang w:val="zh-CN" w:eastAsia="zh-CN" w:bidi="zh-CN"/>
      </w:rPr>
    </w:lvl>
    <w:lvl w:ilvl="3" w:tplc="B2CA9444">
      <w:numFmt w:val="bullet"/>
      <w:lvlText w:val="•"/>
      <w:lvlJc w:val="left"/>
      <w:pPr>
        <w:ind w:left="3935" w:hanging="213"/>
      </w:pPr>
      <w:rPr>
        <w:rFonts w:hint="default"/>
        <w:lang w:val="zh-CN" w:eastAsia="zh-CN" w:bidi="zh-CN"/>
      </w:rPr>
    </w:lvl>
    <w:lvl w:ilvl="4" w:tplc="971461F4">
      <w:numFmt w:val="bullet"/>
      <w:lvlText w:val="•"/>
      <w:lvlJc w:val="left"/>
      <w:pPr>
        <w:ind w:left="4894" w:hanging="213"/>
      </w:pPr>
      <w:rPr>
        <w:rFonts w:hint="default"/>
        <w:lang w:val="zh-CN" w:eastAsia="zh-CN" w:bidi="zh-CN"/>
      </w:rPr>
    </w:lvl>
    <w:lvl w:ilvl="5" w:tplc="6A08372A">
      <w:numFmt w:val="bullet"/>
      <w:lvlText w:val="•"/>
      <w:lvlJc w:val="left"/>
      <w:pPr>
        <w:ind w:left="5853" w:hanging="213"/>
      </w:pPr>
      <w:rPr>
        <w:rFonts w:hint="default"/>
        <w:lang w:val="zh-CN" w:eastAsia="zh-CN" w:bidi="zh-CN"/>
      </w:rPr>
    </w:lvl>
    <w:lvl w:ilvl="6" w:tplc="94C0114E">
      <w:numFmt w:val="bullet"/>
      <w:lvlText w:val="•"/>
      <w:lvlJc w:val="left"/>
      <w:pPr>
        <w:ind w:left="6811" w:hanging="213"/>
      </w:pPr>
      <w:rPr>
        <w:rFonts w:hint="default"/>
        <w:lang w:val="zh-CN" w:eastAsia="zh-CN" w:bidi="zh-CN"/>
      </w:rPr>
    </w:lvl>
    <w:lvl w:ilvl="7" w:tplc="54801C28">
      <w:numFmt w:val="bullet"/>
      <w:lvlText w:val="•"/>
      <w:lvlJc w:val="left"/>
      <w:pPr>
        <w:ind w:left="7770" w:hanging="213"/>
      </w:pPr>
      <w:rPr>
        <w:rFonts w:hint="default"/>
        <w:lang w:val="zh-CN" w:eastAsia="zh-CN" w:bidi="zh-CN"/>
      </w:rPr>
    </w:lvl>
    <w:lvl w:ilvl="8" w:tplc="9954ADE4">
      <w:numFmt w:val="bullet"/>
      <w:lvlText w:val="•"/>
      <w:lvlJc w:val="left"/>
      <w:pPr>
        <w:ind w:left="8729" w:hanging="213"/>
      </w:pPr>
      <w:rPr>
        <w:rFonts w:hint="default"/>
        <w:lang w:val="zh-CN" w:eastAsia="zh-CN" w:bidi="zh-CN"/>
      </w:rPr>
    </w:lvl>
  </w:abstractNum>
  <w:abstractNum w:abstractNumId="119" w15:restartNumberingAfterBreak="0">
    <w:nsid w:val="0F2B27AF"/>
    <w:multiLevelType w:val="hybridMultilevel"/>
    <w:tmpl w:val="61DCAD54"/>
    <w:lvl w:ilvl="0" w:tplc="21007B36">
      <w:start w:val="3"/>
      <w:numFmt w:val="decimal"/>
      <w:lvlText w:val="%1"/>
      <w:lvlJc w:val="left"/>
      <w:pPr>
        <w:ind w:left="1423" w:hanging="584"/>
        <w:jc w:val="left"/>
      </w:pPr>
      <w:rPr>
        <w:rFonts w:hint="default"/>
        <w:lang w:val="zh-CN" w:eastAsia="zh-CN" w:bidi="zh-CN"/>
      </w:rPr>
    </w:lvl>
    <w:lvl w:ilvl="1" w:tplc="50D8FD72">
      <w:start w:val="4"/>
      <w:numFmt w:val="decimal"/>
      <w:lvlText w:val="%1.%2"/>
      <w:lvlJc w:val="left"/>
      <w:pPr>
        <w:ind w:left="1423" w:hanging="584"/>
        <w:jc w:val="left"/>
      </w:pPr>
      <w:rPr>
        <w:rFonts w:hint="default"/>
        <w:lang w:val="zh-CN" w:eastAsia="zh-CN" w:bidi="zh-CN"/>
      </w:rPr>
    </w:lvl>
    <w:lvl w:ilvl="2" w:tplc="AEF20168">
      <w:start w:val="1"/>
      <w:numFmt w:val="decimal"/>
      <w:lvlText w:val="%1.%2.%3"/>
      <w:lvlJc w:val="left"/>
      <w:pPr>
        <w:ind w:left="1423" w:hanging="584"/>
        <w:jc w:val="left"/>
      </w:pPr>
      <w:rPr>
        <w:rFonts w:ascii="宋体" w:eastAsia="宋体" w:hAnsi="宋体" w:cs="宋体" w:hint="default"/>
        <w:b/>
        <w:bCs/>
        <w:w w:val="99"/>
        <w:sz w:val="21"/>
        <w:szCs w:val="21"/>
        <w:lang w:val="zh-CN" w:eastAsia="zh-CN" w:bidi="zh-CN"/>
      </w:rPr>
    </w:lvl>
    <w:lvl w:ilvl="3" w:tplc="727EE4A8">
      <w:numFmt w:val="bullet"/>
      <w:lvlText w:val="•"/>
      <w:lvlJc w:val="left"/>
      <w:pPr>
        <w:ind w:left="4187" w:hanging="584"/>
      </w:pPr>
      <w:rPr>
        <w:rFonts w:hint="default"/>
        <w:lang w:val="zh-CN" w:eastAsia="zh-CN" w:bidi="zh-CN"/>
      </w:rPr>
    </w:lvl>
    <w:lvl w:ilvl="4" w:tplc="A56EFE78">
      <w:numFmt w:val="bullet"/>
      <w:lvlText w:val="•"/>
      <w:lvlJc w:val="left"/>
      <w:pPr>
        <w:ind w:left="5110" w:hanging="584"/>
      </w:pPr>
      <w:rPr>
        <w:rFonts w:hint="default"/>
        <w:lang w:val="zh-CN" w:eastAsia="zh-CN" w:bidi="zh-CN"/>
      </w:rPr>
    </w:lvl>
    <w:lvl w:ilvl="5" w:tplc="0DACE322">
      <w:numFmt w:val="bullet"/>
      <w:lvlText w:val="•"/>
      <w:lvlJc w:val="left"/>
      <w:pPr>
        <w:ind w:left="6033" w:hanging="584"/>
      </w:pPr>
      <w:rPr>
        <w:rFonts w:hint="default"/>
        <w:lang w:val="zh-CN" w:eastAsia="zh-CN" w:bidi="zh-CN"/>
      </w:rPr>
    </w:lvl>
    <w:lvl w:ilvl="6" w:tplc="4E22F00C">
      <w:numFmt w:val="bullet"/>
      <w:lvlText w:val="•"/>
      <w:lvlJc w:val="left"/>
      <w:pPr>
        <w:ind w:left="6955" w:hanging="584"/>
      </w:pPr>
      <w:rPr>
        <w:rFonts w:hint="default"/>
        <w:lang w:val="zh-CN" w:eastAsia="zh-CN" w:bidi="zh-CN"/>
      </w:rPr>
    </w:lvl>
    <w:lvl w:ilvl="7" w:tplc="92568158">
      <w:numFmt w:val="bullet"/>
      <w:lvlText w:val="•"/>
      <w:lvlJc w:val="left"/>
      <w:pPr>
        <w:ind w:left="7878" w:hanging="584"/>
      </w:pPr>
      <w:rPr>
        <w:rFonts w:hint="default"/>
        <w:lang w:val="zh-CN" w:eastAsia="zh-CN" w:bidi="zh-CN"/>
      </w:rPr>
    </w:lvl>
    <w:lvl w:ilvl="8" w:tplc="9FD6726E">
      <w:numFmt w:val="bullet"/>
      <w:lvlText w:val="•"/>
      <w:lvlJc w:val="left"/>
      <w:pPr>
        <w:ind w:left="8801" w:hanging="584"/>
      </w:pPr>
      <w:rPr>
        <w:rFonts w:hint="default"/>
        <w:lang w:val="zh-CN" w:eastAsia="zh-CN" w:bidi="zh-CN"/>
      </w:rPr>
    </w:lvl>
  </w:abstractNum>
  <w:abstractNum w:abstractNumId="120" w15:restartNumberingAfterBreak="0">
    <w:nsid w:val="0F351B13"/>
    <w:multiLevelType w:val="hybridMultilevel"/>
    <w:tmpl w:val="CBD8C1F2"/>
    <w:lvl w:ilvl="0" w:tplc="EED60C82">
      <w:start w:val="6"/>
      <w:numFmt w:val="decimal"/>
      <w:lvlText w:val="%1"/>
      <w:lvlJc w:val="left"/>
      <w:pPr>
        <w:ind w:left="1158" w:hanging="318"/>
        <w:jc w:val="left"/>
      </w:pPr>
      <w:rPr>
        <w:rFonts w:hint="default"/>
        <w:lang w:val="zh-CN" w:eastAsia="zh-CN" w:bidi="zh-CN"/>
      </w:rPr>
    </w:lvl>
    <w:lvl w:ilvl="1" w:tplc="4B1281F6">
      <w:start w:val="1"/>
      <w:numFmt w:val="decimal"/>
      <w:lvlText w:val="%1.%2"/>
      <w:lvlJc w:val="left"/>
      <w:pPr>
        <w:ind w:left="1158" w:hanging="318"/>
        <w:jc w:val="left"/>
      </w:pPr>
      <w:rPr>
        <w:rFonts w:ascii="宋体" w:eastAsia="宋体" w:hAnsi="宋体" w:cs="宋体" w:hint="default"/>
        <w:b/>
        <w:bCs/>
        <w:spacing w:val="-3"/>
        <w:w w:val="99"/>
        <w:sz w:val="19"/>
        <w:szCs w:val="19"/>
        <w:lang w:val="zh-CN" w:eastAsia="zh-CN" w:bidi="zh-CN"/>
      </w:rPr>
    </w:lvl>
    <w:lvl w:ilvl="2" w:tplc="19E6EEAE">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528C566A">
      <w:numFmt w:val="bullet"/>
      <w:lvlText w:val="•"/>
      <w:lvlJc w:val="left"/>
      <w:pPr>
        <w:ind w:left="3423" w:hanging="529"/>
      </w:pPr>
      <w:rPr>
        <w:rFonts w:hint="default"/>
        <w:lang w:val="zh-CN" w:eastAsia="zh-CN" w:bidi="zh-CN"/>
      </w:rPr>
    </w:lvl>
    <w:lvl w:ilvl="4" w:tplc="78FCD1F6">
      <w:numFmt w:val="bullet"/>
      <w:lvlText w:val="•"/>
      <w:lvlJc w:val="left"/>
      <w:pPr>
        <w:ind w:left="4455" w:hanging="529"/>
      </w:pPr>
      <w:rPr>
        <w:rFonts w:hint="default"/>
        <w:lang w:val="zh-CN" w:eastAsia="zh-CN" w:bidi="zh-CN"/>
      </w:rPr>
    </w:lvl>
    <w:lvl w:ilvl="5" w:tplc="46687EA0">
      <w:numFmt w:val="bullet"/>
      <w:lvlText w:val="•"/>
      <w:lvlJc w:val="left"/>
      <w:pPr>
        <w:ind w:left="5487" w:hanging="529"/>
      </w:pPr>
      <w:rPr>
        <w:rFonts w:hint="default"/>
        <w:lang w:val="zh-CN" w:eastAsia="zh-CN" w:bidi="zh-CN"/>
      </w:rPr>
    </w:lvl>
    <w:lvl w:ilvl="6" w:tplc="36002BF8">
      <w:numFmt w:val="bullet"/>
      <w:lvlText w:val="•"/>
      <w:lvlJc w:val="left"/>
      <w:pPr>
        <w:ind w:left="6519" w:hanging="529"/>
      </w:pPr>
      <w:rPr>
        <w:rFonts w:hint="default"/>
        <w:lang w:val="zh-CN" w:eastAsia="zh-CN" w:bidi="zh-CN"/>
      </w:rPr>
    </w:lvl>
    <w:lvl w:ilvl="7" w:tplc="48F41010">
      <w:numFmt w:val="bullet"/>
      <w:lvlText w:val="•"/>
      <w:lvlJc w:val="left"/>
      <w:pPr>
        <w:ind w:left="7550" w:hanging="529"/>
      </w:pPr>
      <w:rPr>
        <w:rFonts w:hint="default"/>
        <w:lang w:val="zh-CN" w:eastAsia="zh-CN" w:bidi="zh-CN"/>
      </w:rPr>
    </w:lvl>
    <w:lvl w:ilvl="8" w:tplc="74DA2EDC">
      <w:numFmt w:val="bullet"/>
      <w:lvlText w:val="•"/>
      <w:lvlJc w:val="left"/>
      <w:pPr>
        <w:ind w:left="8582" w:hanging="529"/>
      </w:pPr>
      <w:rPr>
        <w:rFonts w:hint="default"/>
        <w:lang w:val="zh-CN" w:eastAsia="zh-CN" w:bidi="zh-CN"/>
      </w:rPr>
    </w:lvl>
  </w:abstractNum>
  <w:abstractNum w:abstractNumId="121" w15:restartNumberingAfterBreak="0">
    <w:nsid w:val="0FD918C0"/>
    <w:multiLevelType w:val="hybridMultilevel"/>
    <w:tmpl w:val="413AA606"/>
    <w:lvl w:ilvl="0" w:tplc="E5D6E9AA">
      <w:start w:val="2"/>
      <w:numFmt w:val="decimal"/>
      <w:lvlText w:val="%1."/>
      <w:lvlJc w:val="left"/>
      <w:pPr>
        <w:ind w:left="418" w:hanging="213"/>
        <w:jc w:val="left"/>
      </w:pPr>
      <w:rPr>
        <w:rFonts w:ascii="宋体" w:eastAsia="宋体" w:hAnsi="宋体" w:cs="宋体" w:hint="default"/>
        <w:color w:val="333333"/>
        <w:spacing w:val="-3"/>
        <w:w w:val="100"/>
        <w:sz w:val="19"/>
        <w:szCs w:val="19"/>
        <w:lang w:val="zh-CN" w:eastAsia="zh-CN" w:bidi="zh-CN"/>
      </w:rPr>
    </w:lvl>
    <w:lvl w:ilvl="1" w:tplc="9E6C16EA">
      <w:numFmt w:val="bullet"/>
      <w:lvlText w:val="•"/>
      <w:lvlJc w:val="left"/>
      <w:pPr>
        <w:ind w:left="1442" w:hanging="213"/>
      </w:pPr>
      <w:rPr>
        <w:rFonts w:hint="default"/>
        <w:lang w:val="zh-CN" w:eastAsia="zh-CN" w:bidi="zh-CN"/>
      </w:rPr>
    </w:lvl>
    <w:lvl w:ilvl="2" w:tplc="8D4C2F8E">
      <w:numFmt w:val="bullet"/>
      <w:lvlText w:val="•"/>
      <w:lvlJc w:val="left"/>
      <w:pPr>
        <w:ind w:left="2465" w:hanging="213"/>
      </w:pPr>
      <w:rPr>
        <w:rFonts w:hint="default"/>
        <w:lang w:val="zh-CN" w:eastAsia="zh-CN" w:bidi="zh-CN"/>
      </w:rPr>
    </w:lvl>
    <w:lvl w:ilvl="3" w:tplc="B366EDFE">
      <w:numFmt w:val="bullet"/>
      <w:lvlText w:val="•"/>
      <w:lvlJc w:val="left"/>
      <w:pPr>
        <w:ind w:left="3487" w:hanging="213"/>
      </w:pPr>
      <w:rPr>
        <w:rFonts w:hint="default"/>
        <w:lang w:val="zh-CN" w:eastAsia="zh-CN" w:bidi="zh-CN"/>
      </w:rPr>
    </w:lvl>
    <w:lvl w:ilvl="4" w:tplc="D6A40C1A">
      <w:numFmt w:val="bullet"/>
      <w:lvlText w:val="•"/>
      <w:lvlJc w:val="left"/>
      <w:pPr>
        <w:ind w:left="4510" w:hanging="213"/>
      </w:pPr>
      <w:rPr>
        <w:rFonts w:hint="default"/>
        <w:lang w:val="zh-CN" w:eastAsia="zh-CN" w:bidi="zh-CN"/>
      </w:rPr>
    </w:lvl>
    <w:lvl w:ilvl="5" w:tplc="880A73C4">
      <w:numFmt w:val="bullet"/>
      <w:lvlText w:val="•"/>
      <w:lvlJc w:val="left"/>
      <w:pPr>
        <w:ind w:left="5533" w:hanging="213"/>
      </w:pPr>
      <w:rPr>
        <w:rFonts w:hint="default"/>
        <w:lang w:val="zh-CN" w:eastAsia="zh-CN" w:bidi="zh-CN"/>
      </w:rPr>
    </w:lvl>
    <w:lvl w:ilvl="6" w:tplc="B0CAEC1E">
      <w:numFmt w:val="bullet"/>
      <w:lvlText w:val="•"/>
      <w:lvlJc w:val="left"/>
      <w:pPr>
        <w:ind w:left="6555" w:hanging="213"/>
      </w:pPr>
      <w:rPr>
        <w:rFonts w:hint="default"/>
        <w:lang w:val="zh-CN" w:eastAsia="zh-CN" w:bidi="zh-CN"/>
      </w:rPr>
    </w:lvl>
    <w:lvl w:ilvl="7" w:tplc="E8583768">
      <w:numFmt w:val="bullet"/>
      <w:lvlText w:val="•"/>
      <w:lvlJc w:val="left"/>
      <w:pPr>
        <w:ind w:left="7578" w:hanging="213"/>
      </w:pPr>
      <w:rPr>
        <w:rFonts w:hint="default"/>
        <w:lang w:val="zh-CN" w:eastAsia="zh-CN" w:bidi="zh-CN"/>
      </w:rPr>
    </w:lvl>
    <w:lvl w:ilvl="8" w:tplc="FE0EE998">
      <w:numFmt w:val="bullet"/>
      <w:lvlText w:val="•"/>
      <w:lvlJc w:val="left"/>
      <w:pPr>
        <w:ind w:left="8601" w:hanging="213"/>
      </w:pPr>
      <w:rPr>
        <w:rFonts w:hint="default"/>
        <w:lang w:val="zh-CN" w:eastAsia="zh-CN" w:bidi="zh-CN"/>
      </w:rPr>
    </w:lvl>
  </w:abstractNum>
  <w:abstractNum w:abstractNumId="122" w15:restartNumberingAfterBreak="0">
    <w:nsid w:val="10071401"/>
    <w:multiLevelType w:val="hybridMultilevel"/>
    <w:tmpl w:val="3410A7E6"/>
    <w:lvl w:ilvl="0" w:tplc="CE6A40AC">
      <w:start w:val="7"/>
      <w:numFmt w:val="decimal"/>
      <w:lvlText w:val="%1"/>
      <w:lvlJc w:val="left"/>
      <w:pPr>
        <w:ind w:left="1369" w:hanging="529"/>
        <w:jc w:val="left"/>
      </w:pPr>
      <w:rPr>
        <w:rFonts w:hint="default"/>
        <w:lang w:val="zh-CN" w:eastAsia="zh-CN" w:bidi="zh-CN"/>
      </w:rPr>
    </w:lvl>
    <w:lvl w:ilvl="1" w:tplc="99BE9D4C">
      <w:start w:val="2"/>
      <w:numFmt w:val="decimal"/>
      <w:lvlText w:val="%1.%2"/>
      <w:lvlJc w:val="left"/>
      <w:pPr>
        <w:ind w:left="1369" w:hanging="529"/>
        <w:jc w:val="left"/>
      </w:pPr>
      <w:rPr>
        <w:rFonts w:hint="default"/>
        <w:lang w:val="zh-CN" w:eastAsia="zh-CN" w:bidi="zh-CN"/>
      </w:rPr>
    </w:lvl>
    <w:lvl w:ilvl="2" w:tplc="ECA2BA8C">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1F64ACEE">
      <w:numFmt w:val="bullet"/>
      <w:lvlText w:val="•"/>
      <w:lvlJc w:val="left"/>
      <w:pPr>
        <w:ind w:left="4145" w:hanging="529"/>
      </w:pPr>
      <w:rPr>
        <w:rFonts w:hint="default"/>
        <w:lang w:val="zh-CN" w:eastAsia="zh-CN" w:bidi="zh-CN"/>
      </w:rPr>
    </w:lvl>
    <w:lvl w:ilvl="4" w:tplc="D85A9C84">
      <w:numFmt w:val="bullet"/>
      <w:lvlText w:val="•"/>
      <w:lvlJc w:val="left"/>
      <w:pPr>
        <w:ind w:left="5074" w:hanging="529"/>
      </w:pPr>
      <w:rPr>
        <w:rFonts w:hint="default"/>
        <w:lang w:val="zh-CN" w:eastAsia="zh-CN" w:bidi="zh-CN"/>
      </w:rPr>
    </w:lvl>
    <w:lvl w:ilvl="5" w:tplc="EFC61B30">
      <w:numFmt w:val="bullet"/>
      <w:lvlText w:val="•"/>
      <w:lvlJc w:val="left"/>
      <w:pPr>
        <w:ind w:left="6003" w:hanging="529"/>
      </w:pPr>
      <w:rPr>
        <w:rFonts w:hint="default"/>
        <w:lang w:val="zh-CN" w:eastAsia="zh-CN" w:bidi="zh-CN"/>
      </w:rPr>
    </w:lvl>
    <w:lvl w:ilvl="6" w:tplc="5F6411D8">
      <w:numFmt w:val="bullet"/>
      <w:lvlText w:val="•"/>
      <w:lvlJc w:val="left"/>
      <w:pPr>
        <w:ind w:left="6931" w:hanging="529"/>
      </w:pPr>
      <w:rPr>
        <w:rFonts w:hint="default"/>
        <w:lang w:val="zh-CN" w:eastAsia="zh-CN" w:bidi="zh-CN"/>
      </w:rPr>
    </w:lvl>
    <w:lvl w:ilvl="7" w:tplc="FF46CD86">
      <w:numFmt w:val="bullet"/>
      <w:lvlText w:val="•"/>
      <w:lvlJc w:val="left"/>
      <w:pPr>
        <w:ind w:left="7860" w:hanging="529"/>
      </w:pPr>
      <w:rPr>
        <w:rFonts w:hint="default"/>
        <w:lang w:val="zh-CN" w:eastAsia="zh-CN" w:bidi="zh-CN"/>
      </w:rPr>
    </w:lvl>
    <w:lvl w:ilvl="8" w:tplc="2598A066">
      <w:numFmt w:val="bullet"/>
      <w:lvlText w:val="•"/>
      <w:lvlJc w:val="left"/>
      <w:pPr>
        <w:ind w:left="8789" w:hanging="529"/>
      </w:pPr>
      <w:rPr>
        <w:rFonts w:hint="default"/>
        <w:lang w:val="zh-CN" w:eastAsia="zh-CN" w:bidi="zh-CN"/>
      </w:rPr>
    </w:lvl>
  </w:abstractNum>
  <w:abstractNum w:abstractNumId="123" w15:restartNumberingAfterBreak="0">
    <w:nsid w:val="101E7514"/>
    <w:multiLevelType w:val="hybridMultilevel"/>
    <w:tmpl w:val="95BCE25A"/>
    <w:lvl w:ilvl="0" w:tplc="27CAD21E">
      <w:start w:val="2"/>
      <w:numFmt w:val="decimal"/>
      <w:lvlText w:val="%1)"/>
      <w:lvlJc w:val="left"/>
      <w:pPr>
        <w:ind w:left="1050" w:hanging="213"/>
        <w:jc w:val="left"/>
      </w:pPr>
      <w:rPr>
        <w:rFonts w:ascii="宋体" w:eastAsia="宋体" w:hAnsi="宋体" w:cs="宋体" w:hint="default"/>
        <w:spacing w:val="-3"/>
        <w:w w:val="100"/>
        <w:sz w:val="19"/>
        <w:szCs w:val="19"/>
        <w:lang w:val="zh-CN" w:eastAsia="zh-CN" w:bidi="zh-CN"/>
      </w:rPr>
    </w:lvl>
    <w:lvl w:ilvl="1" w:tplc="65B4364E">
      <w:numFmt w:val="bullet"/>
      <w:lvlText w:val="•"/>
      <w:lvlJc w:val="left"/>
      <w:pPr>
        <w:ind w:left="2018" w:hanging="213"/>
      </w:pPr>
      <w:rPr>
        <w:rFonts w:hint="default"/>
        <w:lang w:val="zh-CN" w:eastAsia="zh-CN" w:bidi="zh-CN"/>
      </w:rPr>
    </w:lvl>
    <w:lvl w:ilvl="2" w:tplc="C768656C">
      <w:numFmt w:val="bullet"/>
      <w:lvlText w:val="•"/>
      <w:lvlJc w:val="left"/>
      <w:pPr>
        <w:ind w:left="2977" w:hanging="213"/>
      </w:pPr>
      <w:rPr>
        <w:rFonts w:hint="default"/>
        <w:lang w:val="zh-CN" w:eastAsia="zh-CN" w:bidi="zh-CN"/>
      </w:rPr>
    </w:lvl>
    <w:lvl w:ilvl="3" w:tplc="3BDE03A6">
      <w:numFmt w:val="bullet"/>
      <w:lvlText w:val="•"/>
      <w:lvlJc w:val="left"/>
      <w:pPr>
        <w:ind w:left="3935" w:hanging="213"/>
      </w:pPr>
      <w:rPr>
        <w:rFonts w:hint="default"/>
        <w:lang w:val="zh-CN" w:eastAsia="zh-CN" w:bidi="zh-CN"/>
      </w:rPr>
    </w:lvl>
    <w:lvl w:ilvl="4" w:tplc="781A00E2">
      <w:numFmt w:val="bullet"/>
      <w:lvlText w:val="•"/>
      <w:lvlJc w:val="left"/>
      <w:pPr>
        <w:ind w:left="4894" w:hanging="213"/>
      </w:pPr>
      <w:rPr>
        <w:rFonts w:hint="default"/>
        <w:lang w:val="zh-CN" w:eastAsia="zh-CN" w:bidi="zh-CN"/>
      </w:rPr>
    </w:lvl>
    <w:lvl w:ilvl="5" w:tplc="14BCD198">
      <w:numFmt w:val="bullet"/>
      <w:lvlText w:val="•"/>
      <w:lvlJc w:val="left"/>
      <w:pPr>
        <w:ind w:left="5853" w:hanging="213"/>
      </w:pPr>
      <w:rPr>
        <w:rFonts w:hint="default"/>
        <w:lang w:val="zh-CN" w:eastAsia="zh-CN" w:bidi="zh-CN"/>
      </w:rPr>
    </w:lvl>
    <w:lvl w:ilvl="6" w:tplc="38D6B222">
      <w:numFmt w:val="bullet"/>
      <w:lvlText w:val="•"/>
      <w:lvlJc w:val="left"/>
      <w:pPr>
        <w:ind w:left="6811" w:hanging="213"/>
      </w:pPr>
      <w:rPr>
        <w:rFonts w:hint="default"/>
        <w:lang w:val="zh-CN" w:eastAsia="zh-CN" w:bidi="zh-CN"/>
      </w:rPr>
    </w:lvl>
    <w:lvl w:ilvl="7" w:tplc="32D8DAE4">
      <w:numFmt w:val="bullet"/>
      <w:lvlText w:val="•"/>
      <w:lvlJc w:val="left"/>
      <w:pPr>
        <w:ind w:left="7770" w:hanging="213"/>
      </w:pPr>
      <w:rPr>
        <w:rFonts w:hint="default"/>
        <w:lang w:val="zh-CN" w:eastAsia="zh-CN" w:bidi="zh-CN"/>
      </w:rPr>
    </w:lvl>
    <w:lvl w:ilvl="8" w:tplc="107E08E2">
      <w:numFmt w:val="bullet"/>
      <w:lvlText w:val="•"/>
      <w:lvlJc w:val="left"/>
      <w:pPr>
        <w:ind w:left="8729" w:hanging="213"/>
      </w:pPr>
      <w:rPr>
        <w:rFonts w:hint="default"/>
        <w:lang w:val="zh-CN" w:eastAsia="zh-CN" w:bidi="zh-CN"/>
      </w:rPr>
    </w:lvl>
  </w:abstractNum>
  <w:abstractNum w:abstractNumId="124" w15:restartNumberingAfterBreak="0">
    <w:nsid w:val="10320C71"/>
    <w:multiLevelType w:val="hybridMultilevel"/>
    <w:tmpl w:val="07FA40EE"/>
    <w:lvl w:ilvl="0" w:tplc="5F78EE3C">
      <w:start w:val="8"/>
      <w:numFmt w:val="decimal"/>
      <w:lvlText w:val="%1"/>
      <w:lvlJc w:val="left"/>
      <w:pPr>
        <w:ind w:left="1159" w:hanging="320"/>
        <w:jc w:val="left"/>
      </w:pPr>
      <w:rPr>
        <w:rFonts w:hint="default"/>
        <w:lang w:val="zh-CN" w:eastAsia="zh-CN" w:bidi="zh-CN"/>
      </w:rPr>
    </w:lvl>
    <w:lvl w:ilvl="1" w:tplc="11C8911A">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305E16E0">
      <w:numFmt w:val="bullet"/>
      <w:lvlText w:val="•"/>
      <w:lvlJc w:val="left"/>
      <w:pPr>
        <w:ind w:left="3057" w:hanging="320"/>
      </w:pPr>
      <w:rPr>
        <w:rFonts w:hint="default"/>
        <w:lang w:val="zh-CN" w:eastAsia="zh-CN" w:bidi="zh-CN"/>
      </w:rPr>
    </w:lvl>
    <w:lvl w:ilvl="3" w:tplc="E7CC0362">
      <w:numFmt w:val="bullet"/>
      <w:lvlText w:val="•"/>
      <w:lvlJc w:val="left"/>
      <w:pPr>
        <w:ind w:left="4005" w:hanging="320"/>
      </w:pPr>
      <w:rPr>
        <w:rFonts w:hint="default"/>
        <w:lang w:val="zh-CN" w:eastAsia="zh-CN" w:bidi="zh-CN"/>
      </w:rPr>
    </w:lvl>
    <w:lvl w:ilvl="4" w:tplc="40BE0F3E">
      <w:numFmt w:val="bullet"/>
      <w:lvlText w:val="•"/>
      <w:lvlJc w:val="left"/>
      <w:pPr>
        <w:ind w:left="4954" w:hanging="320"/>
      </w:pPr>
      <w:rPr>
        <w:rFonts w:hint="default"/>
        <w:lang w:val="zh-CN" w:eastAsia="zh-CN" w:bidi="zh-CN"/>
      </w:rPr>
    </w:lvl>
    <w:lvl w:ilvl="5" w:tplc="02C0D61E">
      <w:numFmt w:val="bullet"/>
      <w:lvlText w:val="•"/>
      <w:lvlJc w:val="left"/>
      <w:pPr>
        <w:ind w:left="5903" w:hanging="320"/>
      </w:pPr>
      <w:rPr>
        <w:rFonts w:hint="default"/>
        <w:lang w:val="zh-CN" w:eastAsia="zh-CN" w:bidi="zh-CN"/>
      </w:rPr>
    </w:lvl>
    <w:lvl w:ilvl="6" w:tplc="F8186DB2">
      <w:numFmt w:val="bullet"/>
      <w:lvlText w:val="•"/>
      <w:lvlJc w:val="left"/>
      <w:pPr>
        <w:ind w:left="6851" w:hanging="320"/>
      </w:pPr>
      <w:rPr>
        <w:rFonts w:hint="default"/>
        <w:lang w:val="zh-CN" w:eastAsia="zh-CN" w:bidi="zh-CN"/>
      </w:rPr>
    </w:lvl>
    <w:lvl w:ilvl="7" w:tplc="B0E6DDB0">
      <w:numFmt w:val="bullet"/>
      <w:lvlText w:val="•"/>
      <w:lvlJc w:val="left"/>
      <w:pPr>
        <w:ind w:left="7800" w:hanging="320"/>
      </w:pPr>
      <w:rPr>
        <w:rFonts w:hint="default"/>
        <w:lang w:val="zh-CN" w:eastAsia="zh-CN" w:bidi="zh-CN"/>
      </w:rPr>
    </w:lvl>
    <w:lvl w:ilvl="8" w:tplc="396E8956">
      <w:numFmt w:val="bullet"/>
      <w:lvlText w:val="•"/>
      <w:lvlJc w:val="left"/>
      <w:pPr>
        <w:ind w:left="8749" w:hanging="320"/>
      </w:pPr>
      <w:rPr>
        <w:rFonts w:hint="default"/>
        <w:lang w:val="zh-CN" w:eastAsia="zh-CN" w:bidi="zh-CN"/>
      </w:rPr>
    </w:lvl>
  </w:abstractNum>
  <w:abstractNum w:abstractNumId="125" w15:restartNumberingAfterBreak="0">
    <w:nsid w:val="10412D9D"/>
    <w:multiLevelType w:val="hybridMultilevel"/>
    <w:tmpl w:val="1F3EE848"/>
    <w:lvl w:ilvl="0" w:tplc="93801294">
      <w:start w:val="2"/>
      <w:numFmt w:val="decimal"/>
      <w:lvlText w:val="%1."/>
      <w:lvlJc w:val="left"/>
      <w:pPr>
        <w:ind w:left="418" w:hanging="213"/>
        <w:jc w:val="left"/>
      </w:pPr>
      <w:rPr>
        <w:rFonts w:ascii="宋体" w:eastAsia="宋体" w:hAnsi="宋体" w:cs="宋体" w:hint="default"/>
        <w:spacing w:val="-55"/>
        <w:w w:val="100"/>
        <w:sz w:val="19"/>
        <w:szCs w:val="19"/>
        <w:lang w:val="zh-CN" w:eastAsia="zh-CN" w:bidi="zh-CN"/>
      </w:rPr>
    </w:lvl>
    <w:lvl w:ilvl="1" w:tplc="10D28A98">
      <w:numFmt w:val="bullet"/>
      <w:lvlText w:val="•"/>
      <w:lvlJc w:val="left"/>
      <w:pPr>
        <w:ind w:left="1442" w:hanging="213"/>
      </w:pPr>
      <w:rPr>
        <w:rFonts w:hint="default"/>
        <w:lang w:val="zh-CN" w:eastAsia="zh-CN" w:bidi="zh-CN"/>
      </w:rPr>
    </w:lvl>
    <w:lvl w:ilvl="2" w:tplc="6150B32E">
      <w:numFmt w:val="bullet"/>
      <w:lvlText w:val="•"/>
      <w:lvlJc w:val="left"/>
      <w:pPr>
        <w:ind w:left="2465" w:hanging="213"/>
      </w:pPr>
      <w:rPr>
        <w:rFonts w:hint="default"/>
        <w:lang w:val="zh-CN" w:eastAsia="zh-CN" w:bidi="zh-CN"/>
      </w:rPr>
    </w:lvl>
    <w:lvl w:ilvl="3" w:tplc="6E5C3320">
      <w:numFmt w:val="bullet"/>
      <w:lvlText w:val="•"/>
      <w:lvlJc w:val="left"/>
      <w:pPr>
        <w:ind w:left="3487" w:hanging="213"/>
      </w:pPr>
      <w:rPr>
        <w:rFonts w:hint="default"/>
        <w:lang w:val="zh-CN" w:eastAsia="zh-CN" w:bidi="zh-CN"/>
      </w:rPr>
    </w:lvl>
    <w:lvl w:ilvl="4" w:tplc="D944B4DA">
      <w:numFmt w:val="bullet"/>
      <w:lvlText w:val="•"/>
      <w:lvlJc w:val="left"/>
      <w:pPr>
        <w:ind w:left="4510" w:hanging="213"/>
      </w:pPr>
      <w:rPr>
        <w:rFonts w:hint="default"/>
        <w:lang w:val="zh-CN" w:eastAsia="zh-CN" w:bidi="zh-CN"/>
      </w:rPr>
    </w:lvl>
    <w:lvl w:ilvl="5" w:tplc="B6C2D8D4">
      <w:numFmt w:val="bullet"/>
      <w:lvlText w:val="•"/>
      <w:lvlJc w:val="left"/>
      <w:pPr>
        <w:ind w:left="5533" w:hanging="213"/>
      </w:pPr>
      <w:rPr>
        <w:rFonts w:hint="default"/>
        <w:lang w:val="zh-CN" w:eastAsia="zh-CN" w:bidi="zh-CN"/>
      </w:rPr>
    </w:lvl>
    <w:lvl w:ilvl="6" w:tplc="B922E010">
      <w:numFmt w:val="bullet"/>
      <w:lvlText w:val="•"/>
      <w:lvlJc w:val="left"/>
      <w:pPr>
        <w:ind w:left="6555" w:hanging="213"/>
      </w:pPr>
      <w:rPr>
        <w:rFonts w:hint="default"/>
        <w:lang w:val="zh-CN" w:eastAsia="zh-CN" w:bidi="zh-CN"/>
      </w:rPr>
    </w:lvl>
    <w:lvl w:ilvl="7" w:tplc="6810AF34">
      <w:numFmt w:val="bullet"/>
      <w:lvlText w:val="•"/>
      <w:lvlJc w:val="left"/>
      <w:pPr>
        <w:ind w:left="7578" w:hanging="213"/>
      </w:pPr>
      <w:rPr>
        <w:rFonts w:hint="default"/>
        <w:lang w:val="zh-CN" w:eastAsia="zh-CN" w:bidi="zh-CN"/>
      </w:rPr>
    </w:lvl>
    <w:lvl w:ilvl="8" w:tplc="FADC6A08">
      <w:numFmt w:val="bullet"/>
      <w:lvlText w:val="•"/>
      <w:lvlJc w:val="left"/>
      <w:pPr>
        <w:ind w:left="8601" w:hanging="213"/>
      </w:pPr>
      <w:rPr>
        <w:rFonts w:hint="default"/>
        <w:lang w:val="zh-CN" w:eastAsia="zh-CN" w:bidi="zh-CN"/>
      </w:rPr>
    </w:lvl>
  </w:abstractNum>
  <w:abstractNum w:abstractNumId="126" w15:restartNumberingAfterBreak="0">
    <w:nsid w:val="104A28DD"/>
    <w:multiLevelType w:val="hybridMultilevel"/>
    <w:tmpl w:val="CC9400D2"/>
    <w:lvl w:ilvl="0" w:tplc="CEB46D9C">
      <w:start w:val="9"/>
      <w:numFmt w:val="decimal"/>
      <w:lvlText w:val="%1"/>
      <w:lvlJc w:val="left"/>
      <w:pPr>
        <w:ind w:left="1158" w:hanging="318"/>
        <w:jc w:val="left"/>
      </w:pPr>
      <w:rPr>
        <w:rFonts w:hint="default"/>
        <w:lang w:val="zh-CN" w:eastAsia="zh-CN" w:bidi="zh-CN"/>
      </w:rPr>
    </w:lvl>
    <w:lvl w:ilvl="1" w:tplc="770A4ECE">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BEBCC9AE">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B00424EA">
      <w:numFmt w:val="bullet"/>
      <w:lvlText w:val="•"/>
      <w:lvlJc w:val="left"/>
      <w:pPr>
        <w:ind w:left="1380" w:hanging="531"/>
      </w:pPr>
      <w:rPr>
        <w:rFonts w:hint="default"/>
        <w:lang w:val="zh-CN" w:eastAsia="zh-CN" w:bidi="zh-CN"/>
      </w:rPr>
    </w:lvl>
    <w:lvl w:ilvl="4" w:tplc="8DC2DA94">
      <w:numFmt w:val="bullet"/>
      <w:lvlText w:val="•"/>
      <w:lvlJc w:val="left"/>
      <w:pPr>
        <w:ind w:left="2703" w:hanging="531"/>
      </w:pPr>
      <w:rPr>
        <w:rFonts w:hint="default"/>
        <w:lang w:val="zh-CN" w:eastAsia="zh-CN" w:bidi="zh-CN"/>
      </w:rPr>
    </w:lvl>
    <w:lvl w:ilvl="5" w:tplc="FE0CA6DC">
      <w:numFmt w:val="bullet"/>
      <w:lvlText w:val="•"/>
      <w:lvlJc w:val="left"/>
      <w:pPr>
        <w:ind w:left="4027" w:hanging="531"/>
      </w:pPr>
      <w:rPr>
        <w:rFonts w:hint="default"/>
        <w:lang w:val="zh-CN" w:eastAsia="zh-CN" w:bidi="zh-CN"/>
      </w:rPr>
    </w:lvl>
    <w:lvl w:ilvl="6" w:tplc="EC94B010">
      <w:numFmt w:val="bullet"/>
      <w:lvlText w:val="•"/>
      <w:lvlJc w:val="left"/>
      <w:pPr>
        <w:ind w:left="5351" w:hanging="531"/>
      </w:pPr>
      <w:rPr>
        <w:rFonts w:hint="default"/>
        <w:lang w:val="zh-CN" w:eastAsia="zh-CN" w:bidi="zh-CN"/>
      </w:rPr>
    </w:lvl>
    <w:lvl w:ilvl="7" w:tplc="FB7EBC76">
      <w:numFmt w:val="bullet"/>
      <w:lvlText w:val="•"/>
      <w:lvlJc w:val="left"/>
      <w:pPr>
        <w:ind w:left="6675" w:hanging="531"/>
      </w:pPr>
      <w:rPr>
        <w:rFonts w:hint="default"/>
        <w:lang w:val="zh-CN" w:eastAsia="zh-CN" w:bidi="zh-CN"/>
      </w:rPr>
    </w:lvl>
    <w:lvl w:ilvl="8" w:tplc="94E47456">
      <w:numFmt w:val="bullet"/>
      <w:lvlText w:val="•"/>
      <w:lvlJc w:val="left"/>
      <w:pPr>
        <w:ind w:left="7998" w:hanging="531"/>
      </w:pPr>
      <w:rPr>
        <w:rFonts w:hint="default"/>
        <w:lang w:val="zh-CN" w:eastAsia="zh-CN" w:bidi="zh-CN"/>
      </w:rPr>
    </w:lvl>
  </w:abstractNum>
  <w:abstractNum w:abstractNumId="127" w15:restartNumberingAfterBreak="0">
    <w:nsid w:val="10524CFB"/>
    <w:multiLevelType w:val="hybridMultilevel"/>
    <w:tmpl w:val="194CF590"/>
    <w:lvl w:ilvl="0" w:tplc="30A6AF5E">
      <w:start w:val="5"/>
      <w:numFmt w:val="decimal"/>
      <w:lvlText w:val="%1"/>
      <w:lvlJc w:val="left"/>
      <w:pPr>
        <w:ind w:left="1477" w:hanging="637"/>
        <w:jc w:val="left"/>
      </w:pPr>
      <w:rPr>
        <w:rFonts w:hint="default"/>
        <w:lang w:val="zh-CN" w:eastAsia="zh-CN" w:bidi="zh-CN"/>
      </w:rPr>
    </w:lvl>
    <w:lvl w:ilvl="1" w:tplc="351A72A6">
      <w:start w:val="11"/>
      <w:numFmt w:val="decimal"/>
      <w:lvlText w:val="%1.%2"/>
      <w:lvlJc w:val="left"/>
      <w:pPr>
        <w:ind w:left="1477" w:hanging="637"/>
        <w:jc w:val="left"/>
      </w:pPr>
      <w:rPr>
        <w:rFonts w:hint="default"/>
        <w:lang w:val="zh-CN" w:eastAsia="zh-CN" w:bidi="zh-CN"/>
      </w:rPr>
    </w:lvl>
    <w:lvl w:ilvl="2" w:tplc="BC18754A">
      <w:start w:val="3"/>
      <w:numFmt w:val="decimal"/>
      <w:lvlText w:val="%1.%2.%3"/>
      <w:lvlJc w:val="left"/>
      <w:pPr>
        <w:ind w:left="1477" w:hanging="637"/>
        <w:jc w:val="left"/>
      </w:pPr>
      <w:rPr>
        <w:rFonts w:ascii="宋体" w:eastAsia="宋体" w:hAnsi="宋体" w:cs="宋体" w:hint="default"/>
        <w:b/>
        <w:bCs/>
        <w:w w:val="99"/>
        <w:sz w:val="19"/>
        <w:szCs w:val="19"/>
        <w:lang w:val="zh-CN" w:eastAsia="zh-CN" w:bidi="zh-CN"/>
      </w:rPr>
    </w:lvl>
    <w:lvl w:ilvl="3" w:tplc="356E2D5E">
      <w:numFmt w:val="bullet"/>
      <w:lvlText w:val="•"/>
      <w:lvlJc w:val="left"/>
      <w:pPr>
        <w:ind w:left="4229" w:hanging="637"/>
      </w:pPr>
      <w:rPr>
        <w:rFonts w:hint="default"/>
        <w:lang w:val="zh-CN" w:eastAsia="zh-CN" w:bidi="zh-CN"/>
      </w:rPr>
    </w:lvl>
    <w:lvl w:ilvl="4" w:tplc="CD50EE06">
      <w:numFmt w:val="bullet"/>
      <w:lvlText w:val="•"/>
      <w:lvlJc w:val="left"/>
      <w:pPr>
        <w:ind w:left="5146" w:hanging="637"/>
      </w:pPr>
      <w:rPr>
        <w:rFonts w:hint="default"/>
        <w:lang w:val="zh-CN" w:eastAsia="zh-CN" w:bidi="zh-CN"/>
      </w:rPr>
    </w:lvl>
    <w:lvl w:ilvl="5" w:tplc="E6D64E4C">
      <w:numFmt w:val="bullet"/>
      <w:lvlText w:val="•"/>
      <w:lvlJc w:val="left"/>
      <w:pPr>
        <w:ind w:left="6063" w:hanging="637"/>
      </w:pPr>
      <w:rPr>
        <w:rFonts w:hint="default"/>
        <w:lang w:val="zh-CN" w:eastAsia="zh-CN" w:bidi="zh-CN"/>
      </w:rPr>
    </w:lvl>
    <w:lvl w:ilvl="6" w:tplc="42AC37E0">
      <w:numFmt w:val="bullet"/>
      <w:lvlText w:val="•"/>
      <w:lvlJc w:val="left"/>
      <w:pPr>
        <w:ind w:left="6979" w:hanging="637"/>
      </w:pPr>
      <w:rPr>
        <w:rFonts w:hint="default"/>
        <w:lang w:val="zh-CN" w:eastAsia="zh-CN" w:bidi="zh-CN"/>
      </w:rPr>
    </w:lvl>
    <w:lvl w:ilvl="7" w:tplc="FFD421AC">
      <w:numFmt w:val="bullet"/>
      <w:lvlText w:val="•"/>
      <w:lvlJc w:val="left"/>
      <w:pPr>
        <w:ind w:left="7896" w:hanging="637"/>
      </w:pPr>
      <w:rPr>
        <w:rFonts w:hint="default"/>
        <w:lang w:val="zh-CN" w:eastAsia="zh-CN" w:bidi="zh-CN"/>
      </w:rPr>
    </w:lvl>
    <w:lvl w:ilvl="8" w:tplc="0608CA9C">
      <w:numFmt w:val="bullet"/>
      <w:lvlText w:val="•"/>
      <w:lvlJc w:val="left"/>
      <w:pPr>
        <w:ind w:left="8813" w:hanging="637"/>
      </w:pPr>
      <w:rPr>
        <w:rFonts w:hint="default"/>
        <w:lang w:val="zh-CN" w:eastAsia="zh-CN" w:bidi="zh-CN"/>
      </w:rPr>
    </w:lvl>
  </w:abstractNum>
  <w:abstractNum w:abstractNumId="128" w15:restartNumberingAfterBreak="0">
    <w:nsid w:val="106347C7"/>
    <w:multiLevelType w:val="hybridMultilevel"/>
    <w:tmpl w:val="D1367D5A"/>
    <w:lvl w:ilvl="0" w:tplc="50DCA038">
      <w:start w:val="6"/>
      <w:numFmt w:val="decimal"/>
      <w:lvlText w:val="%1"/>
      <w:lvlJc w:val="left"/>
      <w:pPr>
        <w:ind w:left="418" w:hanging="529"/>
        <w:jc w:val="left"/>
      </w:pPr>
      <w:rPr>
        <w:rFonts w:hint="default"/>
        <w:lang w:val="zh-CN" w:eastAsia="zh-CN" w:bidi="zh-CN"/>
      </w:rPr>
    </w:lvl>
    <w:lvl w:ilvl="1" w:tplc="2932CFD4">
      <w:start w:val="9"/>
      <w:numFmt w:val="decimal"/>
      <w:lvlText w:val="%1.%2"/>
      <w:lvlJc w:val="left"/>
      <w:pPr>
        <w:ind w:left="418" w:hanging="529"/>
        <w:jc w:val="left"/>
      </w:pPr>
      <w:rPr>
        <w:rFonts w:hint="default"/>
        <w:lang w:val="zh-CN" w:eastAsia="zh-CN" w:bidi="zh-CN"/>
      </w:rPr>
    </w:lvl>
    <w:lvl w:ilvl="2" w:tplc="9B7EC118">
      <w:start w:val="1"/>
      <w:numFmt w:val="decimal"/>
      <w:lvlText w:val="%1.%2.%3"/>
      <w:lvlJc w:val="left"/>
      <w:pPr>
        <w:ind w:left="418" w:hanging="529"/>
        <w:jc w:val="left"/>
      </w:pPr>
      <w:rPr>
        <w:rFonts w:ascii="宋体" w:eastAsia="宋体" w:hAnsi="宋体" w:cs="宋体" w:hint="default"/>
        <w:b/>
        <w:bCs/>
        <w:spacing w:val="-3"/>
        <w:w w:val="99"/>
        <w:sz w:val="19"/>
        <w:szCs w:val="19"/>
        <w:lang w:val="zh-CN" w:eastAsia="zh-CN" w:bidi="zh-CN"/>
      </w:rPr>
    </w:lvl>
    <w:lvl w:ilvl="3" w:tplc="43F4677C">
      <w:numFmt w:val="bullet"/>
      <w:lvlText w:val="•"/>
      <w:lvlJc w:val="left"/>
      <w:pPr>
        <w:ind w:left="3487" w:hanging="529"/>
      </w:pPr>
      <w:rPr>
        <w:rFonts w:hint="default"/>
        <w:lang w:val="zh-CN" w:eastAsia="zh-CN" w:bidi="zh-CN"/>
      </w:rPr>
    </w:lvl>
    <w:lvl w:ilvl="4" w:tplc="961ACC24">
      <w:numFmt w:val="bullet"/>
      <w:lvlText w:val="•"/>
      <w:lvlJc w:val="left"/>
      <w:pPr>
        <w:ind w:left="4510" w:hanging="529"/>
      </w:pPr>
      <w:rPr>
        <w:rFonts w:hint="default"/>
        <w:lang w:val="zh-CN" w:eastAsia="zh-CN" w:bidi="zh-CN"/>
      </w:rPr>
    </w:lvl>
    <w:lvl w:ilvl="5" w:tplc="F490D302">
      <w:numFmt w:val="bullet"/>
      <w:lvlText w:val="•"/>
      <w:lvlJc w:val="left"/>
      <w:pPr>
        <w:ind w:left="5533" w:hanging="529"/>
      </w:pPr>
      <w:rPr>
        <w:rFonts w:hint="default"/>
        <w:lang w:val="zh-CN" w:eastAsia="zh-CN" w:bidi="zh-CN"/>
      </w:rPr>
    </w:lvl>
    <w:lvl w:ilvl="6" w:tplc="7310D034">
      <w:numFmt w:val="bullet"/>
      <w:lvlText w:val="•"/>
      <w:lvlJc w:val="left"/>
      <w:pPr>
        <w:ind w:left="6555" w:hanging="529"/>
      </w:pPr>
      <w:rPr>
        <w:rFonts w:hint="default"/>
        <w:lang w:val="zh-CN" w:eastAsia="zh-CN" w:bidi="zh-CN"/>
      </w:rPr>
    </w:lvl>
    <w:lvl w:ilvl="7" w:tplc="EB10822C">
      <w:numFmt w:val="bullet"/>
      <w:lvlText w:val="•"/>
      <w:lvlJc w:val="left"/>
      <w:pPr>
        <w:ind w:left="7578" w:hanging="529"/>
      </w:pPr>
      <w:rPr>
        <w:rFonts w:hint="default"/>
        <w:lang w:val="zh-CN" w:eastAsia="zh-CN" w:bidi="zh-CN"/>
      </w:rPr>
    </w:lvl>
    <w:lvl w:ilvl="8" w:tplc="47004758">
      <w:numFmt w:val="bullet"/>
      <w:lvlText w:val="•"/>
      <w:lvlJc w:val="left"/>
      <w:pPr>
        <w:ind w:left="8601" w:hanging="529"/>
      </w:pPr>
      <w:rPr>
        <w:rFonts w:hint="default"/>
        <w:lang w:val="zh-CN" w:eastAsia="zh-CN" w:bidi="zh-CN"/>
      </w:rPr>
    </w:lvl>
  </w:abstractNum>
  <w:abstractNum w:abstractNumId="129" w15:restartNumberingAfterBreak="0">
    <w:nsid w:val="10DA21F2"/>
    <w:multiLevelType w:val="hybridMultilevel"/>
    <w:tmpl w:val="D3C82C78"/>
    <w:lvl w:ilvl="0" w:tplc="5CCA32C6">
      <w:start w:val="8"/>
      <w:numFmt w:val="decimal"/>
      <w:lvlText w:val="%1"/>
      <w:lvlJc w:val="left"/>
      <w:pPr>
        <w:ind w:left="418" w:hanging="531"/>
        <w:jc w:val="left"/>
      </w:pPr>
      <w:rPr>
        <w:rFonts w:hint="default"/>
        <w:lang w:val="zh-CN" w:eastAsia="zh-CN" w:bidi="zh-CN"/>
      </w:rPr>
    </w:lvl>
    <w:lvl w:ilvl="1" w:tplc="31F6FAC0">
      <w:start w:val="2"/>
      <w:numFmt w:val="decimal"/>
      <w:lvlText w:val="%1.%2"/>
      <w:lvlJc w:val="left"/>
      <w:pPr>
        <w:ind w:left="418" w:hanging="531"/>
        <w:jc w:val="left"/>
      </w:pPr>
      <w:rPr>
        <w:rFonts w:hint="default"/>
        <w:lang w:val="zh-CN" w:eastAsia="zh-CN" w:bidi="zh-CN"/>
      </w:rPr>
    </w:lvl>
    <w:lvl w:ilvl="2" w:tplc="62A00522">
      <w:start w:val="7"/>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48684EEE">
      <w:numFmt w:val="bullet"/>
      <w:lvlText w:val="•"/>
      <w:lvlJc w:val="left"/>
      <w:pPr>
        <w:ind w:left="3487" w:hanging="531"/>
      </w:pPr>
      <w:rPr>
        <w:rFonts w:hint="default"/>
        <w:lang w:val="zh-CN" w:eastAsia="zh-CN" w:bidi="zh-CN"/>
      </w:rPr>
    </w:lvl>
    <w:lvl w:ilvl="4" w:tplc="84FA0F56">
      <w:numFmt w:val="bullet"/>
      <w:lvlText w:val="•"/>
      <w:lvlJc w:val="left"/>
      <w:pPr>
        <w:ind w:left="4510" w:hanging="531"/>
      </w:pPr>
      <w:rPr>
        <w:rFonts w:hint="default"/>
        <w:lang w:val="zh-CN" w:eastAsia="zh-CN" w:bidi="zh-CN"/>
      </w:rPr>
    </w:lvl>
    <w:lvl w:ilvl="5" w:tplc="CACA1E06">
      <w:numFmt w:val="bullet"/>
      <w:lvlText w:val="•"/>
      <w:lvlJc w:val="left"/>
      <w:pPr>
        <w:ind w:left="5533" w:hanging="531"/>
      </w:pPr>
      <w:rPr>
        <w:rFonts w:hint="default"/>
        <w:lang w:val="zh-CN" w:eastAsia="zh-CN" w:bidi="zh-CN"/>
      </w:rPr>
    </w:lvl>
    <w:lvl w:ilvl="6" w:tplc="2AF8F882">
      <w:numFmt w:val="bullet"/>
      <w:lvlText w:val="•"/>
      <w:lvlJc w:val="left"/>
      <w:pPr>
        <w:ind w:left="6555" w:hanging="531"/>
      </w:pPr>
      <w:rPr>
        <w:rFonts w:hint="default"/>
        <w:lang w:val="zh-CN" w:eastAsia="zh-CN" w:bidi="zh-CN"/>
      </w:rPr>
    </w:lvl>
    <w:lvl w:ilvl="7" w:tplc="4ACA8616">
      <w:numFmt w:val="bullet"/>
      <w:lvlText w:val="•"/>
      <w:lvlJc w:val="left"/>
      <w:pPr>
        <w:ind w:left="7578" w:hanging="531"/>
      </w:pPr>
      <w:rPr>
        <w:rFonts w:hint="default"/>
        <w:lang w:val="zh-CN" w:eastAsia="zh-CN" w:bidi="zh-CN"/>
      </w:rPr>
    </w:lvl>
    <w:lvl w:ilvl="8" w:tplc="7B60A1DC">
      <w:numFmt w:val="bullet"/>
      <w:lvlText w:val="•"/>
      <w:lvlJc w:val="left"/>
      <w:pPr>
        <w:ind w:left="8601" w:hanging="531"/>
      </w:pPr>
      <w:rPr>
        <w:rFonts w:hint="default"/>
        <w:lang w:val="zh-CN" w:eastAsia="zh-CN" w:bidi="zh-CN"/>
      </w:rPr>
    </w:lvl>
  </w:abstractNum>
  <w:abstractNum w:abstractNumId="130" w15:restartNumberingAfterBreak="0">
    <w:nsid w:val="10FB19F2"/>
    <w:multiLevelType w:val="hybridMultilevel"/>
    <w:tmpl w:val="1F5E9ED2"/>
    <w:lvl w:ilvl="0" w:tplc="4BFEBB54">
      <w:start w:val="8"/>
      <w:numFmt w:val="decimal"/>
      <w:lvlText w:val="%1"/>
      <w:lvlJc w:val="left"/>
      <w:pPr>
        <w:ind w:left="1370" w:hanging="531"/>
        <w:jc w:val="left"/>
      </w:pPr>
      <w:rPr>
        <w:rFonts w:hint="default"/>
        <w:lang w:val="zh-CN" w:eastAsia="zh-CN" w:bidi="zh-CN"/>
      </w:rPr>
    </w:lvl>
    <w:lvl w:ilvl="1" w:tplc="245E891E">
      <w:start w:val="2"/>
      <w:numFmt w:val="decimal"/>
      <w:lvlText w:val="%1.%2"/>
      <w:lvlJc w:val="left"/>
      <w:pPr>
        <w:ind w:left="1370" w:hanging="531"/>
        <w:jc w:val="left"/>
      </w:pPr>
      <w:rPr>
        <w:rFonts w:hint="default"/>
        <w:lang w:val="zh-CN" w:eastAsia="zh-CN" w:bidi="zh-CN"/>
      </w:rPr>
    </w:lvl>
    <w:lvl w:ilvl="2" w:tplc="D400B930">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1C1CB8E2">
      <w:numFmt w:val="bullet"/>
      <w:lvlText w:val="•"/>
      <w:lvlJc w:val="left"/>
      <w:pPr>
        <w:ind w:left="4159" w:hanging="531"/>
      </w:pPr>
      <w:rPr>
        <w:rFonts w:hint="default"/>
        <w:lang w:val="zh-CN" w:eastAsia="zh-CN" w:bidi="zh-CN"/>
      </w:rPr>
    </w:lvl>
    <w:lvl w:ilvl="4" w:tplc="436866EE">
      <w:numFmt w:val="bullet"/>
      <w:lvlText w:val="•"/>
      <w:lvlJc w:val="left"/>
      <w:pPr>
        <w:ind w:left="5086" w:hanging="531"/>
      </w:pPr>
      <w:rPr>
        <w:rFonts w:hint="default"/>
        <w:lang w:val="zh-CN" w:eastAsia="zh-CN" w:bidi="zh-CN"/>
      </w:rPr>
    </w:lvl>
    <w:lvl w:ilvl="5" w:tplc="59C2D994">
      <w:numFmt w:val="bullet"/>
      <w:lvlText w:val="•"/>
      <w:lvlJc w:val="left"/>
      <w:pPr>
        <w:ind w:left="6013" w:hanging="531"/>
      </w:pPr>
      <w:rPr>
        <w:rFonts w:hint="default"/>
        <w:lang w:val="zh-CN" w:eastAsia="zh-CN" w:bidi="zh-CN"/>
      </w:rPr>
    </w:lvl>
    <w:lvl w:ilvl="6" w:tplc="AC6C3734">
      <w:numFmt w:val="bullet"/>
      <w:lvlText w:val="•"/>
      <w:lvlJc w:val="left"/>
      <w:pPr>
        <w:ind w:left="6939" w:hanging="531"/>
      </w:pPr>
      <w:rPr>
        <w:rFonts w:hint="default"/>
        <w:lang w:val="zh-CN" w:eastAsia="zh-CN" w:bidi="zh-CN"/>
      </w:rPr>
    </w:lvl>
    <w:lvl w:ilvl="7" w:tplc="3DEC1A0E">
      <w:numFmt w:val="bullet"/>
      <w:lvlText w:val="•"/>
      <w:lvlJc w:val="left"/>
      <w:pPr>
        <w:ind w:left="7866" w:hanging="531"/>
      </w:pPr>
      <w:rPr>
        <w:rFonts w:hint="default"/>
        <w:lang w:val="zh-CN" w:eastAsia="zh-CN" w:bidi="zh-CN"/>
      </w:rPr>
    </w:lvl>
    <w:lvl w:ilvl="8" w:tplc="0B52AE60">
      <w:numFmt w:val="bullet"/>
      <w:lvlText w:val="•"/>
      <w:lvlJc w:val="left"/>
      <w:pPr>
        <w:ind w:left="8793" w:hanging="531"/>
      </w:pPr>
      <w:rPr>
        <w:rFonts w:hint="default"/>
        <w:lang w:val="zh-CN" w:eastAsia="zh-CN" w:bidi="zh-CN"/>
      </w:rPr>
    </w:lvl>
  </w:abstractNum>
  <w:abstractNum w:abstractNumId="131" w15:restartNumberingAfterBreak="0">
    <w:nsid w:val="110D4139"/>
    <w:multiLevelType w:val="hybridMultilevel"/>
    <w:tmpl w:val="F19A3BC8"/>
    <w:lvl w:ilvl="0" w:tplc="C9FC55B0">
      <w:start w:val="6"/>
      <w:numFmt w:val="decimal"/>
      <w:lvlText w:val="%1"/>
      <w:lvlJc w:val="left"/>
      <w:pPr>
        <w:ind w:left="1369" w:hanging="529"/>
        <w:jc w:val="left"/>
      </w:pPr>
      <w:rPr>
        <w:rFonts w:hint="default"/>
        <w:lang w:val="zh-CN" w:eastAsia="zh-CN" w:bidi="zh-CN"/>
      </w:rPr>
    </w:lvl>
    <w:lvl w:ilvl="1" w:tplc="B40CDD7C">
      <w:start w:val="5"/>
      <w:numFmt w:val="decimal"/>
      <w:lvlText w:val="%1.%2"/>
      <w:lvlJc w:val="left"/>
      <w:pPr>
        <w:ind w:left="1369" w:hanging="529"/>
        <w:jc w:val="left"/>
      </w:pPr>
      <w:rPr>
        <w:rFonts w:hint="default"/>
        <w:lang w:val="zh-CN" w:eastAsia="zh-CN" w:bidi="zh-CN"/>
      </w:rPr>
    </w:lvl>
    <w:lvl w:ilvl="2" w:tplc="7E9EFA5C">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3F38D156">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8500AF72">
      <w:numFmt w:val="bullet"/>
      <w:lvlText w:val="•"/>
      <w:lvlJc w:val="left"/>
      <w:pPr>
        <w:ind w:left="4602" w:hanging="738"/>
      </w:pPr>
      <w:rPr>
        <w:rFonts w:hint="default"/>
        <w:lang w:val="zh-CN" w:eastAsia="zh-CN" w:bidi="zh-CN"/>
      </w:rPr>
    </w:lvl>
    <w:lvl w:ilvl="5" w:tplc="2AC8C5B4">
      <w:numFmt w:val="bullet"/>
      <w:lvlText w:val="•"/>
      <w:lvlJc w:val="left"/>
      <w:pPr>
        <w:ind w:left="5609" w:hanging="738"/>
      </w:pPr>
      <w:rPr>
        <w:rFonts w:hint="default"/>
        <w:lang w:val="zh-CN" w:eastAsia="zh-CN" w:bidi="zh-CN"/>
      </w:rPr>
    </w:lvl>
    <w:lvl w:ilvl="6" w:tplc="2CB6994E">
      <w:numFmt w:val="bullet"/>
      <w:lvlText w:val="•"/>
      <w:lvlJc w:val="left"/>
      <w:pPr>
        <w:ind w:left="6616" w:hanging="738"/>
      </w:pPr>
      <w:rPr>
        <w:rFonts w:hint="default"/>
        <w:lang w:val="zh-CN" w:eastAsia="zh-CN" w:bidi="zh-CN"/>
      </w:rPr>
    </w:lvl>
    <w:lvl w:ilvl="7" w:tplc="C8A4C126">
      <w:numFmt w:val="bullet"/>
      <w:lvlText w:val="•"/>
      <w:lvlJc w:val="left"/>
      <w:pPr>
        <w:ind w:left="7624" w:hanging="738"/>
      </w:pPr>
      <w:rPr>
        <w:rFonts w:hint="default"/>
        <w:lang w:val="zh-CN" w:eastAsia="zh-CN" w:bidi="zh-CN"/>
      </w:rPr>
    </w:lvl>
    <w:lvl w:ilvl="8" w:tplc="4B0EC4B0">
      <w:numFmt w:val="bullet"/>
      <w:lvlText w:val="•"/>
      <w:lvlJc w:val="left"/>
      <w:pPr>
        <w:ind w:left="8631" w:hanging="738"/>
      </w:pPr>
      <w:rPr>
        <w:rFonts w:hint="default"/>
        <w:lang w:val="zh-CN" w:eastAsia="zh-CN" w:bidi="zh-CN"/>
      </w:rPr>
    </w:lvl>
  </w:abstractNum>
  <w:abstractNum w:abstractNumId="132" w15:restartNumberingAfterBreak="0">
    <w:nsid w:val="111D2DB0"/>
    <w:multiLevelType w:val="hybridMultilevel"/>
    <w:tmpl w:val="CAB63214"/>
    <w:lvl w:ilvl="0" w:tplc="9EBE7CF4">
      <w:start w:val="2"/>
      <w:numFmt w:val="decimal"/>
      <w:lvlText w:val="%1."/>
      <w:lvlJc w:val="left"/>
      <w:pPr>
        <w:ind w:left="418" w:hanging="213"/>
        <w:jc w:val="left"/>
      </w:pPr>
      <w:rPr>
        <w:rFonts w:ascii="宋体" w:eastAsia="宋体" w:hAnsi="宋体" w:cs="宋体" w:hint="default"/>
        <w:color w:val="333333"/>
        <w:spacing w:val="-53"/>
        <w:w w:val="100"/>
        <w:sz w:val="19"/>
        <w:szCs w:val="19"/>
        <w:lang w:val="zh-CN" w:eastAsia="zh-CN" w:bidi="zh-CN"/>
      </w:rPr>
    </w:lvl>
    <w:lvl w:ilvl="1" w:tplc="02EED802">
      <w:numFmt w:val="bullet"/>
      <w:lvlText w:val="•"/>
      <w:lvlJc w:val="left"/>
      <w:pPr>
        <w:ind w:left="1442" w:hanging="213"/>
      </w:pPr>
      <w:rPr>
        <w:rFonts w:hint="default"/>
        <w:lang w:val="zh-CN" w:eastAsia="zh-CN" w:bidi="zh-CN"/>
      </w:rPr>
    </w:lvl>
    <w:lvl w:ilvl="2" w:tplc="7AAA645A">
      <w:numFmt w:val="bullet"/>
      <w:lvlText w:val="•"/>
      <w:lvlJc w:val="left"/>
      <w:pPr>
        <w:ind w:left="2465" w:hanging="213"/>
      </w:pPr>
      <w:rPr>
        <w:rFonts w:hint="default"/>
        <w:lang w:val="zh-CN" w:eastAsia="zh-CN" w:bidi="zh-CN"/>
      </w:rPr>
    </w:lvl>
    <w:lvl w:ilvl="3" w:tplc="5BA2DEE8">
      <w:numFmt w:val="bullet"/>
      <w:lvlText w:val="•"/>
      <w:lvlJc w:val="left"/>
      <w:pPr>
        <w:ind w:left="3487" w:hanging="213"/>
      </w:pPr>
      <w:rPr>
        <w:rFonts w:hint="default"/>
        <w:lang w:val="zh-CN" w:eastAsia="zh-CN" w:bidi="zh-CN"/>
      </w:rPr>
    </w:lvl>
    <w:lvl w:ilvl="4" w:tplc="299814CC">
      <w:numFmt w:val="bullet"/>
      <w:lvlText w:val="•"/>
      <w:lvlJc w:val="left"/>
      <w:pPr>
        <w:ind w:left="4510" w:hanging="213"/>
      </w:pPr>
      <w:rPr>
        <w:rFonts w:hint="default"/>
        <w:lang w:val="zh-CN" w:eastAsia="zh-CN" w:bidi="zh-CN"/>
      </w:rPr>
    </w:lvl>
    <w:lvl w:ilvl="5" w:tplc="1B4C71BE">
      <w:numFmt w:val="bullet"/>
      <w:lvlText w:val="•"/>
      <w:lvlJc w:val="left"/>
      <w:pPr>
        <w:ind w:left="5533" w:hanging="213"/>
      </w:pPr>
      <w:rPr>
        <w:rFonts w:hint="default"/>
        <w:lang w:val="zh-CN" w:eastAsia="zh-CN" w:bidi="zh-CN"/>
      </w:rPr>
    </w:lvl>
    <w:lvl w:ilvl="6" w:tplc="ED0A42B8">
      <w:numFmt w:val="bullet"/>
      <w:lvlText w:val="•"/>
      <w:lvlJc w:val="left"/>
      <w:pPr>
        <w:ind w:left="6555" w:hanging="213"/>
      </w:pPr>
      <w:rPr>
        <w:rFonts w:hint="default"/>
        <w:lang w:val="zh-CN" w:eastAsia="zh-CN" w:bidi="zh-CN"/>
      </w:rPr>
    </w:lvl>
    <w:lvl w:ilvl="7" w:tplc="E3503112">
      <w:numFmt w:val="bullet"/>
      <w:lvlText w:val="•"/>
      <w:lvlJc w:val="left"/>
      <w:pPr>
        <w:ind w:left="7578" w:hanging="213"/>
      </w:pPr>
      <w:rPr>
        <w:rFonts w:hint="default"/>
        <w:lang w:val="zh-CN" w:eastAsia="zh-CN" w:bidi="zh-CN"/>
      </w:rPr>
    </w:lvl>
    <w:lvl w:ilvl="8" w:tplc="CB122F5C">
      <w:numFmt w:val="bullet"/>
      <w:lvlText w:val="•"/>
      <w:lvlJc w:val="left"/>
      <w:pPr>
        <w:ind w:left="8601" w:hanging="213"/>
      </w:pPr>
      <w:rPr>
        <w:rFonts w:hint="default"/>
        <w:lang w:val="zh-CN" w:eastAsia="zh-CN" w:bidi="zh-CN"/>
      </w:rPr>
    </w:lvl>
  </w:abstractNum>
  <w:abstractNum w:abstractNumId="133" w15:restartNumberingAfterBreak="0">
    <w:nsid w:val="11285552"/>
    <w:multiLevelType w:val="hybridMultilevel"/>
    <w:tmpl w:val="EBD84B5A"/>
    <w:lvl w:ilvl="0" w:tplc="0D8E500C">
      <w:start w:val="7"/>
      <w:numFmt w:val="decimal"/>
      <w:lvlText w:val="%1"/>
      <w:lvlJc w:val="left"/>
      <w:pPr>
        <w:ind w:left="1369" w:hanging="529"/>
        <w:jc w:val="left"/>
      </w:pPr>
      <w:rPr>
        <w:rFonts w:hint="default"/>
        <w:lang w:val="zh-CN" w:eastAsia="zh-CN" w:bidi="zh-CN"/>
      </w:rPr>
    </w:lvl>
    <w:lvl w:ilvl="1" w:tplc="6562F9C8">
      <w:start w:val="4"/>
      <w:numFmt w:val="decimal"/>
      <w:lvlText w:val="%1.%2"/>
      <w:lvlJc w:val="left"/>
      <w:pPr>
        <w:ind w:left="1369" w:hanging="529"/>
        <w:jc w:val="left"/>
      </w:pPr>
      <w:rPr>
        <w:rFonts w:hint="default"/>
        <w:lang w:val="zh-CN" w:eastAsia="zh-CN" w:bidi="zh-CN"/>
      </w:rPr>
    </w:lvl>
    <w:lvl w:ilvl="2" w:tplc="37066BDA">
      <w:start w:val="2"/>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F5EA9562">
      <w:numFmt w:val="bullet"/>
      <w:lvlText w:val="•"/>
      <w:lvlJc w:val="left"/>
      <w:pPr>
        <w:ind w:left="4145" w:hanging="529"/>
      </w:pPr>
      <w:rPr>
        <w:rFonts w:hint="default"/>
        <w:lang w:val="zh-CN" w:eastAsia="zh-CN" w:bidi="zh-CN"/>
      </w:rPr>
    </w:lvl>
    <w:lvl w:ilvl="4" w:tplc="794865B6">
      <w:numFmt w:val="bullet"/>
      <w:lvlText w:val="•"/>
      <w:lvlJc w:val="left"/>
      <w:pPr>
        <w:ind w:left="5074" w:hanging="529"/>
      </w:pPr>
      <w:rPr>
        <w:rFonts w:hint="default"/>
        <w:lang w:val="zh-CN" w:eastAsia="zh-CN" w:bidi="zh-CN"/>
      </w:rPr>
    </w:lvl>
    <w:lvl w:ilvl="5" w:tplc="9788A20C">
      <w:numFmt w:val="bullet"/>
      <w:lvlText w:val="•"/>
      <w:lvlJc w:val="left"/>
      <w:pPr>
        <w:ind w:left="6003" w:hanging="529"/>
      </w:pPr>
      <w:rPr>
        <w:rFonts w:hint="default"/>
        <w:lang w:val="zh-CN" w:eastAsia="zh-CN" w:bidi="zh-CN"/>
      </w:rPr>
    </w:lvl>
    <w:lvl w:ilvl="6" w:tplc="12189A02">
      <w:numFmt w:val="bullet"/>
      <w:lvlText w:val="•"/>
      <w:lvlJc w:val="left"/>
      <w:pPr>
        <w:ind w:left="6931" w:hanging="529"/>
      </w:pPr>
      <w:rPr>
        <w:rFonts w:hint="default"/>
        <w:lang w:val="zh-CN" w:eastAsia="zh-CN" w:bidi="zh-CN"/>
      </w:rPr>
    </w:lvl>
    <w:lvl w:ilvl="7" w:tplc="E32EF592">
      <w:numFmt w:val="bullet"/>
      <w:lvlText w:val="•"/>
      <w:lvlJc w:val="left"/>
      <w:pPr>
        <w:ind w:left="7860" w:hanging="529"/>
      </w:pPr>
      <w:rPr>
        <w:rFonts w:hint="default"/>
        <w:lang w:val="zh-CN" w:eastAsia="zh-CN" w:bidi="zh-CN"/>
      </w:rPr>
    </w:lvl>
    <w:lvl w:ilvl="8" w:tplc="99641B90">
      <w:numFmt w:val="bullet"/>
      <w:lvlText w:val="•"/>
      <w:lvlJc w:val="left"/>
      <w:pPr>
        <w:ind w:left="8789" w:hanging="529"/>
      </w:pPr>
      <w:rPr>
        <w:rFonts w:hint="default"/>
        <w:lang w:val="zh-CN" w:eastAsia="zh-CN" w:bidi="zh-CN"/>
      </w:rPr>
    </w:lvl>
  </w:abstractNum>
  <w:abstractNum w:abstractNumId="134" w15:restartNumberingAfterBreak="0">
    <w:nsid w:val="112E3B19"/>
    <w:multiLevelType w:val="hybridMultilevel"/>
    <w:tmpl w:val="FE882C1A"/>
    <w:lvl w:ilvl="0" w:tplc="5ACEF3FC">
      <w:start w:val="1"/>
      <w:numFmt w:val="lowerLetter"/>
      <w:lvlText w:val="%1)"/>
      <w:lvlJc w:val="left"/>
      <w:pPr>
        <w:ind w:left="418" w:hanging="213"/>
        <w:jc w:val="left"/>
      </w:pPr>
      <w:rPr>
        <w:rFonts w:ascii="宋体" w:eastAsia="宋体" w:hAnsi="宋体" w:cs="宋体" w:hint="default"/>
        <w:spacing w:val="-53"/>
        <w:w w:val="100"/>
        <w:sz w:val="19"/>
        <w:szCs w:val="19"/>
        <w:lang w:val="zh-CN" w:eastAsia="zh-CN" w:bidi="zh-CN"/>
      </w:rPr>
    </w:lvl>
    <w:lvl w:ilvl="1" w:tplc="8DCE93FC">
      <w:numFmt w:val="bullet"/>
      <w:lvlText w:val="•"/>
      <w:lvlJc w:val="left"/>
      <w:pPr>
        <w:ind w:left="1442" w:hanging="213"/>
      </w:pPr>
      <w:rPr>
        <w:rFonts w:hint="default"/>
        <w:lang w:val="zh-CN" w:eastAsia="zh-CN" w:bidi="zh-CN"/>
      </w:rPr>
    </w:lvl>
    <w:lvl w:ilvl="2" w:tplc="C8CAA96E">
      <w:numFmt w:val="bullet"/>
      <w:lvlText w:val="•"/>
      <w:lvlJc w:val="left"/>
      <w:pPr>
        <w:ind w:left="2465" w:hanging="213"/>
      </w:pPr>
      <w:rPr>
        <w:rFonts w:hint="default"/>
        <w:lang w:val="zh-CN" w:eastAsia="zh-CN" w:bidi="zh-CN"/>
      </w:rPr>
    </w:lvl>
    <w:lvl w:ilvl="3" w:tplc="86D661EA">
      <w:numFmt w:val="bullet"/>
      <w:lvlText w:val="•"/>
      <w:lvlJc w:val="left"/>
      <w:pPr>
        <w:ind w:left="3487" w:hanging="213"/>
      </w:pPr>
      <w:rPr>
        <w:rFonts w:hint="default"/>
        <w:lang w:val="zh-CN" w:eastAsia="zh-CN" w:bidi="zh-CN"/>
      </w:rPr>
    </w:lvl>
    <w:lvl w:ilvl="4" w:tplc="A9D4C576">
      <w:numFmt w:val="bullet"/>
      <w:lvlText w:val="•"/>
      <w:lvlJc w:val="left"/>
      <w:pPr>
        <w:ind w:left="4510" w:hanging="213"/>
      </w:pPr>
      <w:rPr>
        <w:rFonts w:hint="default"/>
        <w:lang w:val="zh-CN" w:eastAsia="zh-CN" w:bidi="zh-CN"/>
      </w:rPr>
    </w:lvl>
    <w:lvl w:ilvl="5" w:tplc="CA8E33FA">
      <w:numFmt w:val="bullet"/>
      <w:lvlText w:val="•"/>
      <w:lvlJc w:val="left"/>
      <w:pPr>
        <w:ind w:left="5533" w:hanging="213"/>
      </w:pPr>
      <w:rPr>
        <w:rFonts w:hint="default"/>
        <w:lang w:val="zh-CN" w:eastAsia="zh-CN" w:bidi="zh-CN"/>
      </w:rPr>
    </w:lvl>
    <w:lvl w:ilvl="6" w:tplc="7FE614F4">
      <w:numFmt w:val="bullet"/>
      <w:lvlText w:val="•"/>
      <w:lvlJc w:val="left"/>
      <w:pPr>
        <w:ind w:left="6555" w:hanging="213"/>
      </w:pPr>
      <w:rPr>
        <w:rFonts w:hint="default"/>
        <w:lang w:val="zh-CN" w:eastAsia="zh-CN" w:bidi="zh-CN"/>
      </w:rPr>
    </w:lvl>
    <w:lvl w:ilvl="7" w:tplc="16062A3C">
      <w:numFmt w:val="bullet"/>
      <w:lvlText w:val="•"/>
      <w:lvlJc w:val="left"/>
      <w:pPr>
        <w:ind w:left="7578" w:hanging="213"/>
      </w:pPr>
      <w:rPr>
        <w:rFonts w:hint="default"/>
        <w:lang w:val="zh-CN" w:eastAsia="zh-CN" w:bidi="zh-CN"/>
      </w:rPr>
    </w:lvl>
    <w:lvl w:ilvl="8" w:tplc="C5CE1F5E">
      <w:numFmt w:val="bullet"/>
      <w:lvlText w:val="•"/>
      <w:lvlJc w:val="left"/>
      <w:pPr>
        <w:ind w:left="8601" w:hanging="213"/>
      </w:pPr>
      <w:rPr>
        <w:rFonts w:hint="default"/>
        <w:lang w:val="zh-CN" w:eastAsia="zh-CN" w:bidi="zh-CN"/>
      </w:rPr>
    </w:lvl>
  </w:abstractNum>
  <w:abstractNum w:abstractNumId="135" w15:restartNumberingAfterBreak="0">
    <w:nsid w:val="115062A1"/>
    <w:multiLevelType w:val="hybridMultilevel"/>
    <w:tmpl w:val="01964AAC"/>
    <w:lvl w:ilvl="0" w:tplc="11D09890">
      <w:start w:val="2"/>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5F247E54">
      <w:numFmt w:val="bullet"/>
      <w:lvlText w:val="•"/>
      <w:lvlJc w:val="left"/>
      <w:pPr>
        <w:ind w:left="2018" w:hanging="213"/>
      </w:pPr>
      <w:rPr>
        <w:rFonts w:hint="default"/>
        <w:lang w:val="zh-CN" w:eastAsia="zh-CN" w:bidi="zh-CN"/>
      </w:rPr>
    </w:lvl>
    <w:lvl w:ilvl="2" w:tplc="BCB87242">
      <w:numFmt w:val="bullet"/>
      <w:lvlText w:val="•"/>
      <w:lvlJc w:val="left"/>
      <w:pPr>
        <w:ind w:left="2977" w:hanging="213"/>
      </w:pPr>
      <w:rPr>
        <w:rFonts w:hint="default"/>
        <w:lang w:val="zh-CN" w:eastAsia="zh-CN" w:bidi="zh-CN"/>
      </w:rPr>
    </w:lvl>
    <w:lvl w:ilvl="3" w:tplc="B4049CC2">
      <w:numFmt w:val="bullet"/>
      <w:lvlText w:val="•"/>
      <w:lvlJc w:val="left"/>
      <w:pPr>
        <w:ind w:left="3935" w:hanging="213"/>
      </w:pPr>
      <w:rPr>
        <w:rFonts w:hint="default"/>
        <w:lang w:val="zh-CN" w:eastAsia="zh-CN" w:bidi="zh-CN"/>
      </w:rPr>
    </w:lvl>
    <w:lvl w:ilvl="4" w:tplc="311A2B8C">
      <w:numFmt w:val="bullet"/>
      <w:lvlText w:val="•"/>
      <w:lvlJc w:val="left"/>
      <w:pPr>
        <w:ind w:left="4894" w:hanging="213"/>
      </w:pPr>
      <w:rPr>
        <w:rFonts w:hint="default"/>
        <w:lang w:val="zh-CN" w:eastAsia="zh-CN" w:bidi="zh-CN"/>
      </w:rPr>
    </w:lvl>
    <w:lvl w:ilvl="5" w:tplc="0EDC78BA">
      <w:numFmt w:val="bullet"/>
      <w:lvlText w:val="•"/>
      <w:lvlJc w:val="left"/>
      <w:pPr>
        <w:ind w:left="5853" w:hanging="213"/>
      </w:pPr>
      <w:rPr>
        <w:rFonts w:hint="default"/>
        <w:lang w:val="zh-CN" w:eastAsia="zh-CN" w:bidi="zh-CN"/>
      </w:rPr>
    </w:lvl>
    <w:lvl w:ilvl="6" w:tplc="08E218B6">
      <w:numFmt w:val="bullet"/>
      <w:lvlText w:val="•"/>
      <w:lvlJc w:val="left"/>
      <w:pPr>
        <w:ind w:left="6811" w:hanging="213"/>
      </w:pPr>
      <w:rPr>
        <w:rFonts w:hint="default"/>
        <w:lang w:val="zh-CN" w:eastAsia="zh-CN" w:bidi="zh-CN"/>
      </w:rPr>
    </w:lvl>
    <w:lvl w:ilvl="7" w:tplc="58C02E16">
      <w:numFmt w:val="bullet"/>
      <w:lvlText w:val="•"/>
      <w:lvlJc w:val="left"/>
      <w:pPr>
        <w:ind w:left="7770" w:hanging="213"/>
      </w:pPr>
      <w:rPr>
        <w:rFonts w:hint="default"/>
        <w:lang w:val="zh-CN" w:eastAsia="zh-CN" w:bidi="zh-CN"/>
      </w:rPr>
    </w:lvl>
    <w:lvl w:ilvl="8" w:tplc="755EF6B2">
      <w:numFmt w:val="bullet"/>
      <w:lvlText w:val="•"/>
      <w:lvlJc w:val="left"/>
      <w:pPr>
        <w:ind w:left="8729" w:hanging="213"/>
      </w:pPr>
      <w:rPr>
        <w:rFonts w:hint="default"/>
        <w:lang w:val="zh-CN" w:eastAsia="zh-CN" w:bidi="zh-CN"/>
      </w:rPr>
    </w:lvl>
  </w:abstractNum>
  <w:abstractNum w:abstractNumId="136" w15:restartNumberingAfterBreak="0">
    <w:nsid w:val="115805CA"/>
    <w:multiLevelType w:val="hybridMultilevel"/>
    <w:tmpl w:val="A7005014"/>
    <w:lvl w:ilvl="0" w:tplc="85848166">
      <w:start w:val="6"/>
      <w:numFmt w:val="decimal"/>
      <w:lvlText w:val="%1"/>
      <w:lvlJc w:val="left"/>
      <w:pPr>
        <w:ind w:left="1477" w:hanging="637"/>
        <w:jc w:val="left"/>
      </w:pPr>
      <w:rPr>
        <w:rFonts w:hint="default"/>
        <w:lang w:val="zh-CN" w:eastAsia="zh-CN" w:bidi="zh-CN"/>
      </w:rPr>
    </w:lvl>
    <w:lvl w:ilvl="1" w:tplc="B8CE4A22">
      <w:start w:val="11"/>
      <w:numFmt w:val="decimal"/>
      <w:lvlText w:val="%1.%2"/>
      <w:lvlJc w:val="left"/>
      <w:pPr>
        <w:ind w:left="1477" w:hanging="637"/>
        <w:jc w:val="left"/>
      </w:pPr>
      <w:rPr>
        <w:rFonts w:hint="default"/>
        <w:lang w:val="zh-CN" w:eastAsia="zh-CN" w:bidi="zh-CN"/>
      </w:rPr>
    </w:lvl>
    <w:lvl w:ilvl="2" w:tplc="5BA2D826">
      <w:start w:val="3"/>
      <w:numFmt w:val="decimal"/>
      <w:lvlText w:val="%1.%2.%3"/>
      <w:lvlJc w:val="left"/>
      <w:pPr>
        <w:ind w:left="1477" w:hanging="637"/>
        <w:jc w:val="left"/>
      </w:pPr>
      <w:rPr>
        <w:rFonts w:ascii="宋体" w:eastAsia="宋体" w:hAnsi="宋体" w:cs="宋体" w:hint="default"/>
        <w:b/>
        <w:bCs/>
        <w:spacing w:val="-3"/>
        <w:w w:val="99"/>
        <w:sz w:val="19"/>
        <w:szCs w:val="19"/>
        <w:lang w:val="zh-CN" w:eastAsia="zh-CN" w:bidi="zh-CN"/>
      </w:rPr>
    </w:lvl>
    <w:lvl w:ilvl="3" w:tplc="E222DF6E">
      <w:numFmt w:val="bullet"/>
      <w:lvlText w:val="•"/>
      <w:lvlJc w:val="left"/>
      <w:pPr>
        <w:ind w:left="4229" w:hanging="637"/>
      </w:pPr>
      <w:rPr>
        <w:rFonts w:hint="default"/>
        <w:lang w:val="zh-CN" w:eastAsia="zh-CN" w:bidi="zh-CN"/>
      </w:rPr>
    </w:lvl>
    <w:lvl w:ilvl="4" w:tplc="23FE451A">
      <w:numFmt w:val="bullet"/>
      <w:lvlText w:val="•"/>
      <w:lvlJc w:val="left"/>
      <w:pPr>
        <w:ind w:left="5146" w:hanging="637"/>
      </w:pPr>
      <w:rPr>
        <w:rFonts w:hint="default"/>
        <w:lang w:val="zh-CN" w:eastAsia="zh-CN" w:bidi="zh-CN"/>
      </w:rPr>
    </w:lvl>
    <w:lvl w:ilvl="5" w:tplc="805268A0">
      <w:numFmt w:val="bullet"/>
      <w:lvlText w:val="•"/>
      <w:lvlJc w:val="left"/>
      <w:pPr>
        <w:ind w:left="6063" w:hanging="637"/>
      </w:pPr>
      <w:rPr>
        <w:rFonts w:hint="default"/>
        <w:lang w:val="zh-CN" w:eastAsia="zh-CN" w:bidi="zh-CN"/>
      </w:rPr>
    </w:lvl>
    <w:lvl w:ilvl="6" w:tplc="478C3FE0">
      <w:numFmt w:val="bullet"/>
      <w:lvlText w:val="•"/>
      <w:lvlJc w:val="left"/>
      <w:pPr>
        <w:ind w:left="6979" w:hanging="637"/>
      </w:pPr>
      <w:rPr>
        <w:rFonts w:hint="default"/>
        <w:lang w:val="zh-CN" w:eastAsia="zh-CN" w:bidi="zh-CN"/>
      </w:rPr>
    </w:lvl>
    <w:lvl w:ilvl="7" w:tplc="CB6ED458">
      <w:numFmt w:val="bullet"/>
      <w:lvlText w:val="•"/>
      <w:lvlJc w:val="left"/>
      <w:pPr>
        <w:ind w:left="7896" w:hanging="637"/>
      </w:pPr>
      <w:rPr>
        <w:rFonts w:hint="default"/>
        <w:lang w:val="zh-CN" w:eastAsia="zh-CN" w:bidi="zh-CN"/>
      </w:rPr>
    </w:lvl>
    <w:lvl w:ilvl="8" w:tplc="CA6E9A0E">
      <w:numFmt w:val="bullet"/>
      <w:lvlText w:val="•"/>
      <w:lvlJc w:val="left"/>
      <w:pPr>
        <w:ind w:left="8813" w:hanging="637"/>
      </w:pPr>
      <w:rPr>
        <w:rFonts w:hint="default"/>
        <w:lang w:val="zh-CN" w:eastAsia="zh-CN" w:bidi="zh-CN"/>
      </w:rPr>
    </w:lvl>
  </w:abstractNum>
  <w:abstractNum w:abstractNumId="137" w15:restartNumberingAfterBreak="0">
    <w:nsid w:val="1162037D"/>
    <w:multiLevelType w:val="hybridMultilevel"/>
    <w:tmpl w:val="F614DF02"/>
    <w:lvl w:ilvl="0" w:tplc="0A48A5DA">
      <w:start w:val="1"/>
      <w:numFmt w:val="lowerLetter"/>
      <w:lvlText w:val="%1）"/>
      <w:lvlJc w:val="left"/>
      <w:pPr>
        <w:ind w:left="1155" w:hanging="318"/>
        <w:jc w:val="left"/>
      </w:pPr>
      <w:rPr>
        <w:rFonts w:ascii="宋体" w:eastAsia="宋体" w:hAnsi="宋体" w:cs="宋体" w:hint="default"/>
        <w:w w:val="100"/>
        <w:sz w:val="19"/>
        <w:szCs w:val="19"/>
        <w:lang w:val="zh-CN" w:eastAsia="zh-CN" w:bidi="zh-CN"/>
      </w:rPr>
    </w:lvl>
    <w:lvl w:ilvl="1" w:tplc="1F9AACF4">
      <w:numFmt w:val="bullet"/>
      <w:lvlText w:val="•"/>
      <w:lvlJc w:val="left"/>
      <w:pPr>
        <w:ind w:left="2108" w:hanging="318"/>
      </w:pPr>
      <w:rPr>
        <w:rFonts w:hint="default"/>
        <w:lang w:val="zh-CN" w:eastAsia="zh-CN" w:bidi="zh-CN"/>
      </w:rPr>
    </w:lvl>
    <w:lvl w:ilvl="2" w:tplc="A63234F4">
      <w:numFmt w:val="bullet"/>
      <w:lvlText w:val="•"/>
      <w:lvlJc w:val="left"/>
      <w:pPr>
        <w:ind w:left="3057" w:hanging="318"/>
      </w:pPr>
      <w:rPr>
        <w:rFonts w:hint="default"/>
        <w:lang w:val="zh-CN" w:eastAsia="zh-CN" w:bidi="zh-CN"/>
      </w:rPr>
    </w:lvl>
    <w:lvl w:ilvl="3" w:tplc="CB82EC74">
      <w:numFmt w:val="bullet"/>
      <w:lvlText w:val="•"/>
      <w:lvlJc w:val="left"/>
      <w:pPr>
        <w:ind w:left="4005" w:hanging="318"/>
      </w:pPr>
      <w:rPr>
        <w:rFonts w:hint="default"/>
        <w:lang w:val="zh-CN" w:eastAsia="zh-CN" w:bidi="zh-CN"/>
      </w:rPr>
    </w:lvl>
    <w:lvl w:ilvl="4" w:tplc="D09C6FC4">
      <w:numFmt w:val="bullet"/>
      <w:lvlText w:val="•"/>
      <w:lvlJc w:val="left"/>
      <w:pPr>
        <w:ind w:left="4954" w:hanging="318"/>
      </w:pPr>
      <w:rPr>
        <w:rFonts w:hint="default"/>
        <w:lang w:val="zh-CN" w:eastAsia="zh-CN" w:bidi="zh-CN"/>
      </w:rPr>
    </w:lvl>
    <w:lvl w:ilvl="5" w:tplc="4662A21E">
      <w:numFmt w:val="bullet"/>
      <w:lvlText w:val="•"/>
      <w:lvlJc w:val="left"/>
      <w:pPr>
        <w:ind w:left="5903" w:hanging="318"/>
      </w:pPr>
      <w:rPr>
        <w:rFonts w:hint="default"/>
        <w:lang w:val="zh-CN" w:eastAsia="zh-CN" w:bidi="zh-CN"/>
      </w:rPr>
    </w:lvl>
    <w:lvl w:ilvl="6" w:tplc="050271FE">
      <w:numFmt w:val="bullet"/>
      <w:lvlText w:val="•"/>
      <w:lvlJc w:val="left"/>
      <w:pPr>
        <w:ind w:left="6851" w:hanging="318"/>
      </w:pPr>
      <w:rPr>
        <w:rFonts w:hint="default"/>
        <w:lang w:val="zh-CN" w:eastAsia="zh-CN" w:bidi="zh-CN"/>
      </w:rPr>
    </w:lvl>
    <w:lvl w:ilvl="7" w:tplc="853CF214">
      <w:numFmt w:val="bullet"/>
      <w:lvlText w:val="•"/>
      <w:lvlJc w:val="left"/>
      <w:pPr>
        <w:ind w:left="7800" w:hanging="318"/>
      </w:pPr>
      <w:rPr>
        <w:rFonts w:hint="default"/>
        <w:lang w:val="zh-CN" w:eastAsia="zh-CN" w:bidi="zh-CN"/>
      </w:rPr>
    </w:lvl>
    <w:lvl w:ilvl="8" w:tplc="97C4E2FA">
      <w:numFmt w:val="bullet"/>
      <w:lvlText w:val="•"/>
      <w:lvlJc w:val="left"/>
      <w:pPr>
        <w:ind w:left="8749" w:hanging="318"/>
      </w:pPr>
      <w:rPr>
        <w:rFonts w:hint="default"/>
        <w:lang w:val="zh-CN" w:eastAsia="zh-CN" w:bidi="zh-CN"/>
      </w:rPr>
    </w:lvl>
  </w:abstractNum>
  <w:abstractNum w:abstractNumId="138" w15:restartNumberingAfterBreak="0">
    <w:nsid w:val="1168039D"/>
    <w:multiLevelType w:val="hybridMultilevel"/>
    <w:tmpl w:val="BFB6258E"/>
    <w:lvl w:ilvl="0" w:tplc="17206B7A">
      <w:start w:val="1"/>
      <w:numFmt w:val="decimal"/>
      <w:lvlText w:val="%1"/>
      <w:lvlJc w:val="left"/>
      <w:pPr>
        <w:ind w:left="418" w:hanging="372"/>
        <w:jc w:val="left"/>
      </w:pPr>
      <w:rPr>
        <w:rFonts w:hint="default"/>
        <w:lang w:val="zh-CN" w:eastAsia="zh-CN" w:bidi="zh-CN"/>
      </w:rPr>
    </w:lvl>
    <w:lvl w:ilvl="1" w:tplc="BF8E3528">
      <w:start w:val="1"/>
      <w:numFmt w:val="decimal"/>
      <w:lvlText w:val="%1.%2"/>
      <w:lvlJc w:val="left"/>
      <w:pPr>
        <w:ind w:left="418" w:hanging="372"/>
        <w:jc w:val="left"/>
      </w:pPr>
      <w:rPr>
        <w:rFonts w:ascii="宋体" w:eastAsia="宋体" w:hAnsi="宋体" w:cs="宋体" w:hint="default"/>
        <w:b/>
        <w:bCs/>
        <w:color w:val="333333"/>
        <w:w w:val="99"/>
        <w:sz w:val="21"/>
        <w:szCs w:val="21"/>
        <w:lang w:val="zh-CN" w:eastAsia="zh-CN" w:bidi="zh-CN"/>
      </w:rPr>
    </w:lvl>
    <w:lvl w:ilvl="2" w:tplc="C13A7D10">
      <w:numFmt w:val="bullet"/>
      <w:lvlText w:val="•"/>
      <w:lvlJc w:val="left"/>
      <w:pPr>
        <w:ind w:left="2465" w:hanging="372"/>
      </w:pPr>
      <w:rPr>
        <w:rFonts w:hint="default"/>
        <w:lang w:val="zh-CN" w:eastAsia="zh-CN" w:bidi="zh-CN"/>
      </w:rPr>
    </w:lvl>
    <w:lvl w:ilvl="3" w:tplc="714859DC">
      <w:numFmt w:val="bullet"/>
      <w:lvlText w:val="•"/>
      <w:lvlJc w:val="left"/>
      <w:pPr>
        <w:ind w:left="3487" w:hanging="372"/>
      </w:pPr>
      <w:rPr>
        <w:rFonts w:hint="default"/>
        <w:lang w:val="zh-CN" w:eastAsia="zh-CN" w:bidi="zh-CN"/>
      </w:rPr>
    </w:lvl>
    <w:lvl w:ilvl="4" w:tplc="B1B606DC">
      <w:numFmt w:val="bullet"/>
      <w:lvlText w:val="•"/>
      <w:lvlJc w:val="left"/>
      <w:pPr>
        <w:ind w:left="4510" w:hanging="372"/>
      </w:pPr>
      <w:rPr>
        <w:rFonts w:hint="default"/>
        <w:lang w:val="zh-CN" w:eastAsia="zh-CN" w:bidi="zh-CN"/>
      </w:rPr>
    </w:lvl>
    <w:lvl w:ilvl="5" w:tplc="7CDEDEA8">
      <w:numFmt w:val="bullet"/>
      <w:lvlText w:val="•"/>
      <w:lvlJc w:val="left"/>
      <w:pPr>
        <w:ind w:left="5533" w:hanging="372"/>
      </w:pPr>
      <w:rPr>
        <w:rFonts w:hint="default"/>
        <w:lang w:val="zh-CN" w:eastAsia="zh-CN" w:bidi="zh-CN"/>
      </w:rPr>
    </w:lvl>
    <w:lvl w:ilvl="6" w:tplc="59C2EC30">
      <w:numFmt w:val="bullet"/>
      <w:lvlText w:val="•"/>
      <w:lvlJc w:val="left"/>
      <w:pPr>
        <w:ind w:left="6555" w:hanging="372"/>
      </w:pPr>
      <w:rPr>
        <w:rFonts w:hint="default"/>
        <w:lang w:val="zh-CN" w:eastAsia="zh-CN" w:bidi="zh-CN"/>
      </w:rPr>
    </w:lvl>
    <w:lvl w:ilvl="7" w:tplc="AF642578">
      <w:numFmt w:val="bullet"/>
      <w:lvlText w:val="•"/>
      <w:lvlJc w:val="left"/>
      <w:pPr>
        <w:ind w:left="7578" w:hanging="372"/>
      </w:pPr>
      <w:rPr>
        <w:rFonts w:hint="default"/>
        <w:lang w:val="zh-CN" w:eastAsia="zh-CN" w:bidi="zh-CN"/>
      </w:rPr>
    </w:lvl>
    <w:lvl w:ilvl="8" w:tplc="DEEEDABE">
      <w:numFmt w:val="bullet"/>
      <w:lvlText w:val="•"/>
      <w:lvlJc w:val="left"/>
      <w:pPr>
        <w:ind w:left="8601" w:hanging="372"/>
      </w:pPr>
      <w:rPr>
        <w:rFonts w:hint="default"/>
        <w:lang w:val="zh-CN" w:eastAsia="zh-CN" w:bidi="zh-CN"/>
      </w:rPr>
    </w:lvl>
  </w:abstractNum>
  <w:abstractNum w:abstractNumId="139" w15:restartNumberingAfterBreak="0">
    <w:nsid w:val="116C1DB3"/>
    <w:multiLevelType w:val="hybridMultilevel"/>
    <w:tmpl w:val="37C877E6"/>
    <w:lvl w:ilvl="0" w:tplc="44BAE752">
      <w:start w:val="7"/>
      <w:numFmt w:val="decimal"/>
      <w:lvlText w:val="%1"/>
      <w:lvlJc w:val="left"/>
      <w:pPr>
        <w:ind w:left="1158" w:hanging="318"/>
        <w:jc w:val="left"/>
      </w:pPr>
      <w:rPr>
        <w:rFonts w:hint="default"/>
        <w:lang w:val="zh-CN" w:eastAsia="zh-CN" w:bidi="zh-CN"/>
      </w:rPr>
    </w:lvl>
    <w:lvl w:ilvl="1" w:tplc="B50033F8">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39DC3190">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A7E0C3EA">
      <w:numFmt w:val="bullet"/>
      <w:lvlText w:val="•"/>
      <w:lvlJc w:val="left"/>
      <w:pPr>
        <w:ind w:left="2538" w:hanging="531"/>
      </w:pPr>
      <w:rPr>
        <w:rFonts w:hint="default"/>
        <w:lang w:val="zh-CN" w:eastAsia="zh-CN" w:bidi="zh-CN"/>
      </w:rPr>
    </w:lvl>
    <w:lvl w:ilvl="4" w:tplc="6992939A">
      <w:numFmt w:val="bullet"/>
      <w:lvlText w:val="•"/>
      <w:lvlJc w:val="left"/>
      <w:pPr>
        <w:ind w:left="3696" w:hanging="531"/>
      </w:pPr>
      <w:rPr>
        <w:rFonts w:hint="default"/>
        <w:lang w:val="zh-CN" w:eastAsia="zh-CN" w:bidi="zh-CN"/>
      </w:rPr>
    </w:lvl>
    <w:lvl w:ilvl="5" w:tplc="F4AC0628">
      <w:numFmt w:val="bullet"/>
      <w:lvlText w:val="•"/>
      <w:lvlJc w:val="left"/>
      <w:pPr>
        <w:ind w:left="4854" w:hanging="531"/>
      </w:pPr>
      <w:rPr>
        <w:rFonts w:hint="default"/>
        <w:lang w:val="zh-CN" w:eastAsia="zh-CN" w:bidi="zh-CN"/>
      </w:rPr>
    </w:lvl>
    <w:lvl w:ilvl="6" w:tplc="8808FF8C">
      <w:numFmt w:val="bullet"/>
      <w:lvlText w:val="•"/>
      <w:lvlJc w:val="left"/>
      <w:pPr>
        <w:ind w:left="6013" w:hanging="531"/>
      </w:pPr>
      <w:rPr>
        <w:rFonts w:hint="default"/>
        <w:lang w:val="zh-CN" w:eastAsia="zh-CN" w:bidi="zh-CN"/>
      </w:rPr>
    </w:lvl>
    <w:lvl w:ilvl="7" w:tplc="320A02D0">
      <w:numFmt w:val="bullet"/>
      <w:lvlText w:val="•"/>
      <w:lvlJc w:val="left"/>
      <w:pPr>
        <w:ind w:left="7171" w:hanging="531"/>
      </w:pPr>
      <w:rPr>
        <w:rFonts w:hint="default"/>
        <w:lang w:val="zh-CN" w:eastAsia="zh-CN" w:bidi="zh-CN"/>
      </w:rPr>
    </w:lvl>
    <w:lvl w:ilvl="8" w:tplc="5634919C">
      <w:numFmt w:val="bullet"/>
      <w:lvlText w:val="•"/>
      <w:lvlJc w:val="left"/>
      <w:pPr>
        <w:ind w:left="8329" w:hanging="531"/>
      </w:pPr>
      <w:rPr>
        <w:rFonts w:hint="default"/>
        <w:lang w:val="zh-CN" w:eastAsia="zh-CN" w:bidi="zh-CN"/>
      </w:rPr>
    </w:lvl>
  </w:abstractNum>
  <w:abstractNum w:abstractNumId="140" w15:restartNumberingAfterBreak="0">
    <w:nsid w:val="11756F2E"/>
    <w:multiLevelType w:val="hybridMultilevel"/>
    <w:tmpl w:val="008AEEC0"/>
    <w:lvl w:ilvl="0" w:tplc="C0F2B81E">
      <w:start w:val="4"/>
      <w:numFmt w:val="decimal"/>
      <w:lvlText w:val="%1"/>
      <w:lvlJc w:val="left"/>
      <w:pPr>
        <w:ind w:left="1369" w:hanging="529"/>
        <w:jc w:val="left"/>
      </w:pPr>
      <w:rPr>
        <w:rFonts w:hint="default"/>
        <w:lang w:val="zh-CN" w:eastAsia="zh-CN" w:bidi="zh-CN"/>
      </w:rPr>
    </w:lvl>
    <w:lvl w:ilvl="1" w:tplc="FE966AFC">
      <w:start w:val="4"/>
      <w:numFmt w:val="decimal"/>
      <w:lvlText w:val="%1.%2"/>
      <w:lvlJc w:val="left"/>
      <w:pPr>
        <w:ind w:left="1369" w:hanging="529"/>
        <w:jc w:val="left"/>
      </w:pPr>
      <w:rPr>
        <w:rFonts w:hint="default"/>
        <w:lang w:val="zh-CN" w:eastAsia="zh-CN" w:bidi="zh-CN"/>
      </w:rPr>
    </w:lvl>
    <w:lvl w:ilvl="2" w:tplc="D1D8E4FA">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F1B66060">
      <w:numFmt w:val="bullet"/>
      <w:lvlText w:val="•"/>
      <w:lvlJc w:val="left"/>
      <w:pPr>
        <w:ind w:left="4145" w:hanging="529"/>
      </w:pPr>
      <w:rPr>
        <w:rFonts w:hint="default"/>
        <w:lang w:val="zh-CN" w:eastAsia="zh-CN" w:bidi="zh-CN"/>
      </w:rPr>
    </w:lvl>
    <w:lvl w:ilvl="4" w:tplc="D5A6F032">
      <w:numFmt w:val="bullet"/>
      <w:lvlText w:val="•"/>
      <w:lvlJc w:val="left"/>
      <w:pPr>
        <w:ind w:left="5074" w:hanging="529"/>
      </w:pPr>
      <w:rPr>
        <w:rFonts w:hint="default"/>
        <w:lang w:val="zh-CN" w:eastAsia="zh-CN" w:bidi="zh-CN"/>
      </w:rPr>
    </w:lvl>
    <w:lvl w:ilvl="5" w:tplc="75303E02">
      <w:numFmt w:val="bullet"/>
      <w:lvlText w:val="•"/>
      <w:lvlJc w:val="left"/>
      <w:pPr>
        <w:ind w:left="6003" w:hanging="529"/>
      </w:pPr>
      <w:rPr>
        <w:rFonts w:hint="default"/>
        <w:lang w:val="zh-CN" w:eastAsia="zh-CN" w:bidi="zh-CN"/>
      </w:rPr>
    </w:lvl>
    <w:lvl w:ilvl="6" w:tplc="53CE652A">
      <w:numFmt w:val="bullet"/>
      <w:lvlText w:val="•"/>
      <w:lvlJc w:val="left"/>
      <w:pPr>
        <w:ind w:left="6931" w:hanging="529"/>
      </w:pPr>
      <w:rPr>
        <w:rFonts w:hint="default"/>
        <w:lang w:val="zh-CN" w:eastAsia="zh-CN" w:bidi="zh-CN"/>
      </w:rPr>
    </w:lvl>
    <w:lvl w:ilvl="7" w:tplc="79F63C3C">
      <w:numFmt w:val="bullet"/>
      <w:lvlText w:val="•"/>
      <w:lvlJc w:val="left"/>
      <w:pPr>
        <w:ind w:left="7860" w:hanging="529"/>
      </w:pPr>
      <w:rPr>
        <w:rFonts w:hint="default"/>
        <w:lang w:val="zh-CN" w:eastAsia="zh-CN" w:bidi="zh-CN"/>
      </w:rPr>
    </w:lvl>
    <w:lvl w:ilvl="8" w:tplc="5276ED26">
      <w:numFmt w:val="bullet"/>
      <w:lvlText w:val="•"/>
      <w:lvlJc w:val="left"/>
      <w:pPr>
        <w:ind w:left="8789" w:hanging="529"/>
      </w:pPr>
      <w:rPr>
        <w:rFonts w:hint="default"/>
        <w:lang w:val="zh-CN" w:eastAsia="zh-CN" w:bidi="zh-CN"/>
      </w:rPr>
    </w:lvl>
  </w:abstractNum>
  <w:abstractNum w:abstractNumId="141" w15:restartNumberingAfterBreak="0">
    <w:nsid w:val="118D0AC0"/>
    <w:multiLevelType w:val="hybridMultilevel"/>
    <w:tmpl w:val="2062A0F8"/>
    <w:lvl w:ilvl="0" w:tplc="F6244E68">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3C4CA01C">
      <w:numFmt w:val="bullet"/>
      <w:lvlText w:val="•"/>
      <w:lvlJc w:val="left"/>
      <w:pPr>
        <w:ind w:left="2288" w:hanging="529"/>
      </w:pPr>
      <w:rPr>
        <w:rFonts w:hint="default"/>
        <w:lang w:val="zh-CN" w:eastAsia="zh-CN" w:bidi="zh-CN"/>
      </w:rPr>
    </w:lvl>
    <w:lvl w:ilvl="2" w:tplc="E50240BA">
      <w:numFmt w:val="bullet"/>
      <w:lvlText w:val="•"/>
      <w:lvlJc w:val="left"/>
      <w:pPr>
        <w:ind w:left="3217" w:hanging="529"/>
      </w:pPr>
      <w:rPr>
        <w:rFonts w:hint="default"/>
        <w:lang w:val="zh-CN" w:eastAsia="zh-CN" w:bidi="zh-CN"/>
      </w:rPr>
    </w:lvl>
    <w:lvl w:ilvl="3" w:tplc="AC443FF6">
      <w:numFmt w:val="bullet"/>
      <w:lvlText w:val="•"/>
      <w:lvlJc w:val="left"/>
      <w:pPr>
        <w:ind w:left="4145" w:hanging="529"/>
      </w:pPr>
      <w:rPr>
        <w:rFonts w:hint="default"/>
        <w:lang w:val="zh-CN" w:eastAsia="zh-CN" w:bidi="zh-CN"/>
      </w:rPr>
    </w:lvl>
    <w:lvl w:ilvl="4" w:tplc="235CD9CC">
      <w:numFmt w:val="bullet"/>
      <w:lvlText w:val="•"/>
      <w:lvlJc w:val="left"/>
      <w:pPr>
        <w:ind w:left="5074" w:hanging="529"/>
      </w:pPr>
      <w:rPr>
        <w:rFonts w:hint="default"/>
        <w:lang w:val="zh-CN" w:eastAsia="zh-CN" w:bidi="zh-CN"/>
      </w:rPr>
    </w:lvl>
    <w:lvl w:ilvl="5" w:tplc="E9F03D26">
      <w:numFmt w:val="bullet"/>
      <w:lvlText w:val="•"/>
      <w:lvlJc w:val="left"/>
      <w:pPr>
        <w:ind w:left="6003" w:hanging="529"/>
      </w:pPr>
      <w:rPr>
        <w:rFonts w:hint="default"/>
        <w:lang w:val="zh-CN" w:eastAsia="zh-CN" w:bidi="zh-CN"/>
      </w:rPr>
    </w:lvl>
    <w:lvl w:ilvl="6" w:tplc="47505C28">
      <w:numFmt w:val="bullet"/>
      <w:lvlText w:val="•"/>
      <w:lvlJc w:val="left"/>
      <w:pPr>
        <w:ind w:left="6931" w:hanging="529"/>
      </w:pPr>
      <w:rPr>
        <w:rFonts w:hint="default"/>
        <w:lang w:val="zh-CN" w:eastAsia="zh-CN" w:bidi="zh-CN"/>
      </w:rPr>
    </w:lvl>
    <w:lvl w:ilvl="7" w:tplc="FA286864">
      <w:numFmt w:val="bullet"/>
      <w:lvlText w:val="•"/>
      <w:lvlJc w:val="left"/>
      <w:pPr>
        <w:ind w:left="7860" w:hanging="529"/>
      </w:pPr>
      <w:rPr>
        <w:rFonts w:hint="default"/>
        <w:lang w:val="zh-CN" w:eastAsia="zh-CN" w:bidi="zh-CN"/>
      </w:rPr>
    </w:lvl>
    <w:lvl w:ilvl="8" w:tplc="1F845616">
      <w:numFmt w:val="bullet"/>
      <w:lvlText w:val="•"/>
      <w:lvlJc w:val="left"/>
      <w:pPr>
        <w:ind w:left="8789" w:hanging="529"/>
      </w:pPr>
      <w:rPr>
        <w:rFonts w:hint="default"/>
        <w:lang w:val="zh-CN" w:eastAsia="zh-CN" w:bidi="zh-CN"/>
      </w:rPr>
    </w:lvl>
  </w:abstractNum>
  <w:abstractNum w:abstractNumId="142" w15:restartNumberingAfterBreak="0">
    <w:nsid w:val="119E1D80"/>
    <w:multiLevelType w:val="hybridMultilevel"/>
    <w:tmpl w:val="D2EEAD1E"/>
    <w:lvl w:ilvl="0" w:tplc="F6828E38">
      <w:start w:val="5"/>
      <w:numFmt w:val="decimal"/>
      <w:lvlText w:val="%1"/>
      <w:lvlJc w:val="left"/>
      <w:pPr>
        <w:ind w:left="1263" w:hanging="424"/>
        <w:jc w:val="left"/>
      </w:pPr>
      <w:rPr>
        <w:rFonts w:hint="default"/>
        <w:lang w:val="zh-CN" w:eastAsia="zh-CN" w:bidi="zh-CN"/>
      </w:rPr>
    </w:lvl>
    <w:lvl w:ilvl="1" w:tplc="8FE00EE6">
      <w:start w:val="12"/>
      <w:numFmt w:val="decimal"/>
      <w:lvlText w:val="%1.%2"/>
      <w:lvlJc w:val="left"/>
      <w:pPr>
        <w:ind w:left="1263" w:hanging="424"/>
        <w:jc w:val="left"/>
      </w:pPr>
      <w:rPr>
        <w:rFonts w:ascii="宋体" w:eastAsia="宋体" w:hAnsi="宋体" w:cs="宋体" w:hint="default"/>
        <w:b/>
        <w:bCs/>
        <w:w w:val="99"/>
        <w:sz w:val="19"/>
        <w:szCs w:val="19"/>
        <w:lang w:val="zh-CN" w:eastAsia="zh-CN" w:bidi="zh-CN"/>
      </w:rPr>
    </w:lvl>
    <w:lvl w:ilvl="2" w:tplc="E4B6A794">
      <w:start w:val="1"/>
      <w:numFmt w:val="decimal"/>
      <w:lvlText w:val="%1.%2.%3"/>
      <w:lvlJc w:val="left"/>
      <w:pPr>
        <w:ind w:left="418" w:hanging="637"/>
        <w:jc w:val="left"/>
      </w:pPr>
      <w:rPr>
        <w:rFonts w:ascii="宋体" w:eastAsia="宋体" w:hAnsi="宋体" w:cs="宋体" w:hint="default"/>
        <w:b/>
        <w:bCs/>
        <w:spacing w:val="-53"/>
        <w:w w:val="99"/>
        <w:sz w:val="19"/>
        <w:szCs w:val="19"/>
        <w:lang w:val="zh-CN" w:eastAsia="zh-CN" w:bidi="zh-CN"/>
      </w:rPr>
    </w:lvl>
    <w:lvl w:ilvl="3" w:tplc="7EFACA20">
      <w:numFmt w:val="bullet"/>
      <w:lvlText w:val="•"/>
      <w:lvlJc w:val="left"/>
      <w:pPr>
        <w:ind w:left="3345" w:hanging="637"/>
      </w:pPr>
      <w:rPr>
        <w:rFonts w:hint="default"/>
        <w:lang w:val="zh-CN" w:eastAsia="zh-CN" w:bidi="zh-CN"/>
      </w:rPr>
    </w:lvl>
    <w:lvl w:ilvl="4" w:tplc="DFE00E64">
      <w:numFmt w:val="bullet"/>
      <w:lvlText w:val="•"/>
      <w:lvlJc w:val="left"/>
      <w:pPr>
        <w:ind w:left="4388" w:hanging="637"/>
      </w:pPr>
      <w:rPr>
        <w:rFonts w:hint="default"/>
        <w:lang w:val="zh-CN" w:eastAsia="zh-CN" w:bidi="zh-CN"/>
      </w:rPr>
    </w:lvl>
    <w:lvl w:ilvl="5" w:tplc="987A0B90">
      <w:numFmt w:val="bullet"/>
      <w:lvlText w:val="•"/>
      <w:lvlJc w:val="left"/>
      <w:pPr>
        <w:ind w:left="5431" w:hanging="637"/>
      </w:pPr>
      <w:rPr>
        <w:rFonts w:hint="default"/>
        <w:lang w:val="zh-CN" w:eastAsia="zh-CN" w:bidi="zh-CN"/>
      </w:rPr>
    </w:lvl>
    <w:lvl w:ilvl="6" w:tplc="FB3CE6DA">
      <w:numFmt w:val="bullet"/>
      <w:lvlText w:val="•"/>
      <w:lvlJc w:val="left"/>
      <w:pPr>
        <w:ind w:left="6474" w:hanging="637"/>
      </w:pPr>
      <w:rPr>
        <w:rFonts w:hint="default"/>
        <w:lang w:val="zh-CN" w:eastAsia="zh-CN" w:bidi="zh-CN"/>
      </w:rPr>
    </w:lvl>
    <w:lvl w:ilvl="7" w:tplc="CD1079FE">
      <w:numFmt w:val="bullet"/>
      <w:lvlText w:val="•"/>
      <w:lvlJc w:val="left"/>
      <w:pPr>
        <w:ind w:left="7517" w:hanging="637"/>
      </w:pPr>
      <w:rPr>
        <w:rFonts w:hint="default"/>
        <w:lang w:val="zh-CN" w:eastAsia="zh-CN" w:bidi="zh-CN"/>
      </w:rPr>
    </w:lvl>
    <w:lvl w:ilvl="8" w:tplc="83C20A52">
      <w:numFmt w:val="bullet"/>
      <w:lvlText w:val="•"/>
      <w:lvlJc w:val="left"/>
      <w:pPr>
        <w:ind w:left="8560" w:hanging="637"/>
      </w:pPr>
      <w:rPr>
        <w:rFonts w:hint="default"/>
        <w:lang w:val="zh-CN" w:eastAsia="zh-CN" w:bidi="zh-CN"/>
      </w:rPr>
    </w:lvl>
  </w:abstractNum>
  <w:abstractNum w:abstractNumId="143" w15:restartNumberingAfterBreak="0">
    <w:nsid w:val="11A064C8"/>
    <w:multiLevelType w:val="hybridMultilevel"/>
    <w:tmpl w:val="383E0B6C"/>
    <w:lvl w:ilvl="0" w:tplc="99443562">
      <w:start w:val="4"/>
      <w:numFmt w:val="decimal"/>
      <w:lvlText w:val="%1"/>
      <w:lvlJc w:val="left"/>
      <w:pPr>
        <w:ind w:left="418" w:hanging="318"/>
        <w:jc w:val="left"/>
      </w:pPr>
      <w:rPr>
        <w:rFonts w:hint="default"/>
        <w:lang w:val="zh-CN" w:eastAsia="zh-CN" w:bidi="zh-CN"/>
      </w:rPr>
    </w:lvl>
    <w:lvl w:ilvl="1" w:tplc="791EDDA8">
      <w:start w:val="6"/>
      <w:numFmt w:val="decimal"/>
      <w:lvlText w:val="%1.%2"/>
      <w:lvlJc w:val="left"/>
      <w:pPr>
        <w:ind w:left="418" w:hanging="318"/>
        <w:jc w:val="left"/>
      </w:pPr>
      <w:rPr>
        <w:rFonts w:ascii="宋体" w:eastAsia="宋体" w:hAnsi="宋体" w:cs="宋体" w:hint="default"/>
        <w:b/>
        <w:bCs/>
        <w:w w:val="99"/>
        <w:sz w:val="19"/>
        <w:szCs w:val="19"/>
        <w:lang w:val="zh-CN" w:eastAsia="zh-CN" w:bidi="zh-CN"/>
      </w:rPr>
    </w:lvl>
    <w:lvl w:ilvl="2" w:tplc="FCC4A8EC">
      <w:numFmt w:val="bullet"/>
      <w:lvlText w:val="•"/>
      <w:lvlJc w:val="left"/>
      <w:pPr>
        <w:ind w:left="2465" w:hanging="318"/>
      </w:pPr>
      <w:rPr>
        <w:rFonts w:hint="default"/>
        <w:lang w:val="zh-CN" w:eastAsia="zh-CN" w:bidi="zh-CN"/>
      </w:rPr>
    </w:lvl>
    <w:lvl w:ilvl="3" w:tplc="0A42E84A">
      <w:numFmt w:val="bullet"/>
      <w:lvlText w:val="•"/>
      <w:lvlJc w:val="left"/>
      <w:pPr>
        <w:ind w:left="3487" w:hanging="318"/>
      </w:pPr>
      <w:rPr>
        <w:rFonts w:hint="default"/>
        <w:lang w:val="zh-CN" w:eastAsia="zh-CN" w:bidi="zh-CN"/>
      </w:rPr>
    </w:lvl>
    <w:lvl w:ilvl="4" w:tplc="26C600A4">
      <w:numFmt w:val="bullet"/>
      <w:lvlText w:val="•"/>
      <w:lvlJc w:val="left"/>
      <w:pPr>
        <w:ind w:left="4510" w:hanging="318"/>
      </w:pPr>
      <w:rPr>
        <w:rFonts w:hint="default"/>
        <w:lang w:val="zh-CN" w:eastAsia="zh-CN" w:bidi="zh-CN"/>
      </w:rPr>
    </w:lvl>
    <w:lvl w:ilvl="5" w:tplc="DCF2BB26">
      <w:numFmt w:val="bullet"/>
      <w:lvlText w:val="•"/>
      <w:lvlJc w:val="left"/>
      <w:pPr>
        <w:ind w:left="5533" w:hanging="318"/>
      </w:pPr>
      <w:rPr>
        <w:rFonts w:hint="default"/>
        <w:lang w:val="zh-CN" w:eastAsia="zh-CN" w:bidi="zh-CN"/>
      </w:rPr>
    </w:lvl>
    <w:lvl w:ilvl="6" w:tplc="11D8F528">
      <w:numFmt w:val="bullet"/>
      <w:lvlText w:val="•"/>
      <w:lvlJc w:val="left"/>
      <w:pPr>
        <w:ind w:left="6555" w:hanging="318"/>
      </w:pPr>
      <w:rPr>
        <w:rFonts w:hint="default"/>
        <w:lang w:val="zh-CN" w:eastAsia="zh-CN" w:bidi="zh-CN"/>
      </w:rPr>
    </w:lvl>
    <w:lvl w:ilvl="7" w:tplc="AC0E0A9E">
      <w:numFmt w:val="bullet"/>
      <w:lvlText w:val="•"/>
      <w:lvlJc w:val="left"/>
      <w:pPr>
        <w:ind w:left="7578" w:hanging="318"/>
      </w:pPr>
      <w:rPr>
        <w:rFonts w:hint="default"/>
        <w:lang w:val="zh-CN" w:eastAsia="zh-CN" w:bidi="zh-CN"/>
      </w:rPr>
    </w:lvl>
    <w:lvl w:ilvl="8" w:tplc="9C74903A">
      <w:numFmt w:val="bullet"/>
      <w:lvlText w:val="•"/>
      <w:lvlJc w:val="left"/>
      <w:pPr>
        <w:ind w:left="8601" w:hanging="318"/>
      </w:pPr>
      <w:rPr>
        <w:rFonts w:hint="default"/>
        <w:lang w:val="zh-CN" w:eastAsia="zh-CN" w:bidi="zh-CN"/>
      </w:rPr>
    </w:lvl>
  </w:abstractNum>
  <w:abstractNum w:abstractNumId="144" w15:restartNumberingAfterBreak="0">
    <w:nsid w:val="11CB49BA"/>
    <w:multiLevelType w:val="hybridMultilevel"/>
    <w:tmpl w:val="330EEFDA"/>
    <w:lvl w:ilvl="0" w:tplc="FFD2BC58">
      <w:start w:val="1"/>
      <w:numFmt w:val="lowerLetter"/>
      <w:lvlText w:val="%1)"/>
      <w:lvlJc w:val="left"/>
      <w:pPr>
        <w:ind w:left="1050" w:hanging="213"/>
        <w:jc w:val="left"/>
      </w:pPr>
      <w:rPr>
        <w:rFonts w:ascii="宋体" w:eastAsia="宋体" w:hAnsi="宋体" w:cs="宋体" w:hint="default"/>
        <w:spacing w:val="-55"/>
        <w:w w:val="100"/>
        <w:sz w:val="19"/>
        <w:szCs w:val="19"/>
        <w:lang w:val="zh-CN" w:eastAsia="zh-CN" w:bidi="zh-CN"/>
      </w:rPr>
    </w:lvl>
    <w:lvl w:ilvl="1" w:tplc="25F0F506">
      <w:numFmt w:val="bullet"/>
      <w:lvlText w:val="•"/>
      <w:lvlJc w:val="left"/>
      <w:pPr>
        <w:ind w:left="2018" w:hanging="213"/>
      </w:pPr>
      <w:rPr>
        <w:rFonts w:hint="default"/>
        <w:lang w:val="zh-CN" w:eastAsia="zh-CN" w:bidi="zh-CN"/>
      </w:rPr>
    </w:lvl>
    <w:lvl w:ilvl="2" w:tplc="B0F67012">
      <w:numFmt w:val="bullet"/>
      <w:lvlText w:val="•"/>
      <w:lvlJc w:val="left"/>
      <w:pPr>
        <w:ind w:left="2977" w:hanging="213"/>
      </w:pPr>
      <w:rPr>
        <w:rFonts w:hint="default"/>
        <w:lang w:val="zh-CN" w:eastAsia="zh-CN" w:bidi="zh-CN"/>
      </w:rPr>
    </w:lvl>
    <w:lvl w:ilvl="3" w:tplc="E006FE64">
      <w:numFmt w:val="bullet"/>
      <w:lvlText w:val="•"/>
      <w:lvlJc w:val="left"/>
      <w:pPr>
        <w:ind w:left="3935" w:hanging="213"/>
      </w:pPr>
      <w:rPr>
        <w:rFonts w:hint="default"/>
        <w:lang w:val="zh-CN" w:eastAsia="zh-CN" w:bidi="zh-CN"/>
      </w:rPr>
    </w:lvl>
    <w:lvl w:ilvl="4" w:tplc="F65E2178">
      <w:numFmt w:val="bullet"/>
      <w:lvlText w:val="•"/>
      <w:lvlJc w:val="left"/>
      <w:pPr>
        <w:ind w:left="4894" w:hanging="213"/>
      </w:pPr>
      <w:rPr>
        <w:rFonts w:hint="default"/>
        <w:lang w:val="zh-CN" w:eastAsia="zh-CN" w:bidi="zh-CN"/>
      </w:rPr>
    </w:lvl>
    <w:lvl w:ilvl="5" w:tplc="72B8778E">
      <w:numFmt w:val="bullet"/>
      <w:lvlText w:val="•"/>
      <w:lvlJc w:val="left"/>
      <w:pPr>
        <w:ind w:left="5853" w:hanging="213"/>
      </w:pPr>
      <w:rPr>
        <w:rFonts w:hint="default"/>
        <w:lang w:val="zh-CN" w:eastAsia="zh-CN" w:bidi="zh-CN"/>
      </w:rPr>
    </w:lvl>
    <w:lvl w:ilvl="6" w:tplc="F8380832">
      <w:numFmt w:val="bullet"/>
      <w:lvlText w:val="•"/>
      <w:lvlJc w:val="left"/>
      <w:pPr>
        <w:ind w:left="6811" w:hanging="213"/>
      </w:pPr>
      <w:rPr>
        <w:rFonts w:hint="default"/>
        <w:lang w:val="zh-CN" w:eastAsia="zh-CN" w:bidi="zh-CN"/>
      </w:rPr>
    </w:lvl>
    <w:lvl w:ilvl="7" w:tplc="CD5A940C">
      <w:numFmt w:val="bullet"/>
      <w:lvlText w:val="•"/>
      <w:lvlJc w:val="left"/>
      <w:pPr>
        <w:ind w:left="7770" w:hanging="213"/>
      </w:pPr>
      <w:rPr>
        <w:rFonts w:hint="default"/>
        <w:lang w:val="zh-CN" w:eastAsia="zh-CN" w:bidi="zh-CN"/>
      </w:rPr>
    </w:lvl>
    <w:lvl w:ilvl="8" w:tplc="2D30F9B8">
      <w:numFmt w:val="bullet"/>
      <w:lvlText w:val="•"/>
      <w:lvlJc w:val="left"/>
      <w:pPr>
        <w:ind w:left="8729" w:hanging="213"/>
      </w:pPr>
      <w:rPr>
        <w:rFonts w:hint="default"/>
        <w:lang w:val="zh-CN" w:eastAsia="zh-CN" w:bidi="zh-CN"/>
      </w:rPr>
    </w:lvl>
  </w:abstractNum>
  <w:abstractNum w:abstractNumId="145" w15:restartNumberingAfterBreak="0">
    <w:nsid w:val="120C02DE"/>
    <w:multiLevelType w:val="hybridMultilevel"/>
    <w:tmpl w:val="37F2A7D6"/>
    <w:lvl w:ilvl="0" w:tplc="27CE55F0">
      <w:start w:val="5"/>
      <w:numFmt w:val="decimal"/>
      <w:lvlText w:val="%1"/>
      <w:lvlJc w:val="left"/>
      <w:pPr>
        <w:ind w:left="1575" w:hanging="738"/>
        <w:jc w:val="left"/>
      </w:pPr>
      <w:rPr>
        <w:rFonts w:hint="default"/>
        <w:lang w:val="zh-CN" w:eastAsia="zh-CN" w:bidi="zh-CN"/>
      </w:rPr>
    </w:lvl>
    <w:lvl w:ilvl="1" w:tplc="45928574">
      <w:start w:val="2"/>
      <w:numFmt w:val="decimal"/>
      <w:lvlText w:val="%1.%2"/>
      <w:lvlJc w:val="left"/>
      <w:pPr>
        <w:ind w:left="1575" w:hanging="738"/>
        <w:jc w:val="left"/>
      </w:pPr>
      <w:rPr>
        <w:rFonts w:hint="default"/>
        <w:lang w:val="zh-CN" w:eastAsia="zh-CN" w:bidi="zh-CN"/>
      </w:rPr>
    </w:lvl>
    <w:lvl w:ilvl="2" w:tplc="48D0E3CA">
      <w:start w:val="2"/>
      <w:numFmt w:val="decimal"/>
      <w:lvlText w:val="%1.%2.%3"/>
      <w:lvlJc w:val="left"/>
      <w:pPr>
        <w:ind w:left="1575" w:hanging="738"/>
        <w:jc w:val="left"/>
      </w:pPr>
      <w:rPr>
        <w:rFonts w:hint="default"/>
        <w:lang w:val="zh-CN" w:eastAsia="zh-CN" w:bidi="zh-CN"/>
      </w:rPr>
    </w:lvl>
    <w:lvl w:ilvl="3" w:tplc="479ECA8E">
      <w:start w:val="4"/>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3AA67674">
      <w:numFmt w:val="bullet"/>
      <w:lvlText w:val="•"/>
      <w:lvlJc w:val="left"/>
      <w:pPr>
        <w:ind w:left="5206" w:hanging="738"/>
      </w:pPr>
      <w:rPr>
        <w:rFonts w:hint="default"/>
        <w:lang w:val="zh-CN" w:eastAsia="zh-CN" w:bidi="zh-CN"/>
      </w:rPr>
    </w:lvl>
    <w:lvl w:ilvl="5" w:tplc="D3BA0E80">
      <w:numFmt w:val="bullet"/>
      <w:lvlText w:val="•"/>
      <w:lvlJc w:val="left"/>
      <w:pPr>
        <w:ind w:left="6113" w:hanging="738"/>
      </w:pPr>
      <w:rPr>
        <w:rFonts w:hint="default"/>
        <w:lang w:val="zh-CN" w:eastAsia="zh-CN" w:bidi="zh-CN"/>
      </w:rPr>
    </w:lvl>
    <w:lvl w:ilvl="6" w:tplc="984C1472">
      <w:numFmt w:val="bullet"/>
      <w:lvlText w:val="•"/>
      <w:lvlJc w:val="left"/>
      <w:pPr>
        <w:ind w:left="7019" w:hanging="738"/>
      </w:pPr>
      <w:rPr>
        <w:rFonts w:hint="default"/>
        <w:lang w:val="zh-CN" w:eastAsia="zh-CN" w:bidi="zh-CN"/>
      </w:rPr>
    </w:lvl>
    <w:lvl w:ilvl="7" w:tplc="A1085A5E">
      <w:numFmt w:val="bullet"/>
      <w:lvlText w:val="•"/>
      <w:lvlJc w:val="left"/>
      <w:pPr>
        <w:ind w:left="7926" w:hanging="738"/>
      </w:pPr>
      <w:rPr>
        <w:rFonts w:hint="default"/>
        <w:lang w:val="zh-CN" w:eastAsia="zh-CN" w:bidi="zh-CN"/>
      </w:rPr>
    </w:lvl>
    <w:lvl w:ilvl="8" w:tplc="331651F8">
      <w:numFmt w:val="bullet"/>
      <w:lvlText w:val="•"/>
      <w:lvlJc w:val="left"/>
      <w:pPr>
        <w:ind w:left="8833" w:hanging="738"/>
      </w:pPr>
      <w:rPr>
        <w:rFonts w:hint="default"/>
        <w:lang w:val="zh-CN" w:eastAsia="zh-CN" w:bidi="zh-CN"/>
      </w:rPr>
    </w:lvl>
  </w:abstractNum>
  <w:abstractNum w:abstractNumId="146" w15:restartNumberingAfterBreak="0">
    <w:nsid w:val="12144BE2"/>
    <w:multiLevelType w:val="hybridMultilevel"/>
    <w:tmpl w:val="C788628C"/>
    <w:lvl w:ilvl="0" w:tplc="041AAB8E">
      <w:start w:val="1"/>
      <w:numFmt w:val="decimal"/>
      <w:lvlText w:val="%1)"/>
      <w:lvlJc w:val="left"/>
      <w:pPr>
        <w:ind w:left="1050" w:hanging="213"/>
        <w:jc w:val="left"/>
      </w:pPr>
      <w:rPr>
        <w:rFonts w:ascii="宋体" w:eastAsia="宋体" w:hAnsi="宋体" w:cs="宋体" w:hint="default"/>
        <w:spacing w:val="-3"/>
        <w:w w:val="100"/>
        <w:sz w:val="19"/>
        <w:szCs w:val="19"/>
        <w:lang w:val="zh-CN" w:eastAsia="zh-CN" w:bidi="zh-CN"/>
      </w:rPr>
    </w:lvl>
    <w:lvl w:ilvl="1" w:tplc="13D4FE12">
      <w:numFmt w:val="bullet"/>
      <w:lvlText w:val="•"/>
      <w:lvlJc w:val="left"/>
      <w:pPr>
        <w:ind w:left="2018" w:hanging="213"/>
      </w:pPr>
      <w:rPr>
        <w:rFonts w:hint="default"/>
        <w:lang w:val="zh-CN" w:eastAsia="zh-CN" w:bidi="zh-CN"/>
      </w:rPr>
    </w:lvl>
    <w:lvl w:ilvl="2" w:tplc="C0088770">
      <w:numFmt w:val="bullet"/>
      <w:lvlText w:val="•"/>
      <w:lvlJc w:val="left"/>
      <w:pPr>
        <w:ind w:left="2977" w:hanging="213"/>
      </w:pPr>
      <w:rPr>
        <w:rFonts w:hint="default"/>
        <w:lang w:val="zh-CN" w:eastAsia="zh-CN" w:bidi="zh-CN"/>
      </w:rPr>
    </w:lvl>
    <w:lvl w:ilvl="3" w:tplc="4A54FF96">
      <w:numFmt w:val="bullet"/>
      <w:lvlText w:val="•"/>
      <w:lvlJc w:val="left"/>
      <w:pPr>
        <w:ind w:left="3935" w:hanging="213"/>
      </w:pPr>
      <w:rPr>
        <w:rFonts w:hint="default"/>
        <w:lang w:val="zh-CN" w:eastAsia="zh-CN" w:bidi="zh-CN"/>
      </w:rPr>
    </w:lvl>
    <w:lvl w:ilvl="4" w:tplc="EAA451E4">
      <w:numFmt w:val="bullet"/>
      <w:lvlText w:val="•"/>
      <w:lvlJc w:val="left"/>
      <w:pPr>
        <w:ind w:left="4894" w:hanging="213"/>
      </w:pPr>
      <w:rPr>
        <w:rFonts w:hint="default"/>
        <w:lang w:val="zh-CN" w:eastAsia="zh-CN" w:bidi="zh-CN"/>
      </w:rPr>
    </w:lvl>
    <w:lvl w:ilvl="5" w:tplc="FA0E80D8">
      <w:numFmt w:val="bullet"/>
      <w:lvlText w:val="•"/>
      <w:lvlJc w:val="left"/>
      <w:pPr>
        <w:ind w:left="5853" w:hanging="213"/>
      </w:pPr>
      <w:rPr>
        <w:rFonts w:hint="default"/>
        <w:lang w:val="zh-CN" w:eastAsia="zh-CN" w:bidi="zh-CN"/>
      </w:rPr>
    </w:lvl>
    <w:lvl w:ilvl="6" w:tplc="644EA29E">
      <w:numFmt w:val="bullet"/>
      <w:lvlText w:val="•"/>
      <w:lvlJc w:val="left"/>
      <w:pPr>
        <w:ind w:left="6811" w:hanging="213"/>
      </w:pPr>
      <w:rPr>
        <w:rFonts w:hint="default"/>
        <w:lang w:val="zh-CN" w:eastAsia="zh-CN" w:bidi="zh-CN"/>
      </w:rPr>
    </w:lvl>
    <w:lvl w:ilvl="7" w:tplc="1E3E8662">
      <w:numFmt w:val="bullet"/>
      <w:lvlText w:val="•"/>
      <w:lvlJc w:val="left"/>
      <w:pPr>
        <w:ind w:left="7770" w:hanging="213"/>
      </w:pPr>
      <w:rPr>
        <w:rFonts w:hint="default"/>
        <w:lang w:val="zh-CN" w:eastAsia="zh-CN" w:bidi="zh-CN"/>
      </w:rPr>
    </w:lvl>
    <w:lvl w:ilvl="8" w:tplc="EBCC8DA2">
      <w:numFmt w:val="bullet"/>
      <w:lvlText w:val="•"/>
      <w:lvlJc w:val="left"/>
      <w:pPr>
        <w:ind w:left="8729" w:hanging="213"/>
      </w:pPr>
      <w:rPr>
        <w:rFonts w:hint="default"/>
        <w:lang w:val="zh-CN" w:eastAsia="zh-CN" w:bidi="zh-CN"/>
      </w:rPr>
    </w:lvl>
  </w:abstractNum>
  <w:abstractNum w:abstractNumId="147" w15:restartNumberingAfterBreak="0">
    <w:nsid w:val="123F2350"/>
    <w:multiLevelType w:val="hybridMultilevel"/>
    <w:tmpl w:val="BC327D5C"/>
    <w:lvl w:ilvl="0" w:tplc="B5AC2FEA">
      <w:start w:val="7"/>
      <w:numFmt w:val="decimal"/>
      <w:lvlText w:val="%1"/>
      <w:lvlJc w:val="left"/>
      <w:pPr>
        <w:ind w:left="1158" w:hanging="318"/>
        <w:jc w:val="left"/>
      </w:pPr>
      <w:rPr>
        <w:rFonts w:hint="default"/>
        <w:lang w:val="zh-CN" w:eastAsia="zh-CN" w:bidi="zh-CN"/>
      </w:rPr>
    </w:lvl>
    <w:lvl w:ilvl="1" w:tplc="90BE58C0">
      <w:start w:val="2"/>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5A606C98">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85A6D5B6">
      <w:numFmt w:val="bullet"/>
      <w:lvlText w:val="•"/>
      <w:lvlJc w:val="left"/>
      <w:pPr>
        <w:ind w:left="3423" w:hanging="529"/>
      </w:pPr>
      <w:rPr>
        <w:rFonts w:hint="default"/>
        <w:lang w:val="zh-CN" w:eastAsia="zh-CN" w:bidi="zh-CN"/>
      </w:rPr>
    </w:lvl>
    <w:lvl w:ilvl="4" w:tplc="3F96AC4E">
      <w:numFmt w:val="bullet"/>
      <w:lvlText w:val="•"/>
      <w:lvlJc w:val="left"/>
      <w:pPr>
        <w:ind w:left="4455" w:hanging="529"/>
      </w:pPr>
      <w:rPr>
        <w:rFonts w:hint="default"/>
        <w:lang w:val="zh-CN" w:eastAsia="zh-CN" w:bidi="zh-CN"/>
      </w:rPr>
    </w:lvl>
    <w:lvl w:ilvl="5" w:tplc="A964CCA0">
      <w:numFmt w:val="bullet"/>
      <w:lvlText w:val="•"/>
      <w:lvlJc w:val="left"/>
      <w:pPr>
        <w:ind w:left="5487" w:hanging="529"/>
      </w:pPr>
      <w:rPr>
        <w:rFonts w:hint="default"/>
        <w:lang w:val="zh-CN" w:eastAsia="zh-CN" w:bidi="zh-CN"/>
      </w:rPr>
    </w:lvl>
    <w:lvl w:ilvl="6" w:tplc="C3425B2C">
      <w:numFmt w:val="bullet"/>
      <w:lvlText w:val="•"/>
      <w:lvlJc w:val="left"/>
      <w:pPr>
        <w:ind w:left="6519" w:hanging="529"/>
      </w:pPr>
      <w:rPr>
        <w:rFonts w:hint="default"/>
        <w:lang w:val="zh-CN" w:eastAsia="zh-CN" w:bidi="zh-CN"/>
      </w:rPr>
    </w:lvl>
    <w:lvl w:ilvl="7" w:tplc="439E7718">
      <w:numFmt w:val="bullet"/>
      <w:lvlText w:val="•"/>
      <w:lvlJc w:val="left"/>
      <w:pPr>
        <w:ind w:left="7550" w:hanging="529"/>
      </w:pPr>
      <w:rPr>
        <w:rFonts w:hint="default"/>
        <w:lang w:val="zh-CN" w:eastAsia="zh-CN" w:bidi="zh-CN"/>
      </w:rPr>
    </w:lvl>
    <w:lvl w:ilvl="8" w:tplc="76284120">
      <w:numFmt w:val="bullet"/>
      <w:lvlText w:val="•"/>
      <w:lvlJc w:val="left"/>
      <w:pPr>
        <w:ind w:left="8582" w:hanging="529"/>
      </w:pPr>
      <w:rPr>
        <w:rFonts w:hint="default"/>
        <w:lang w:val="zh-CN" w:eastAsia="zh-CN" w:bidi="zh-CN"/>
      </w:rPr>
    </w:lvl>
  </w:abstractNum>
  <w:abstractNum w:abstractNumId="148" w15:restartNumberingAfterBreak="0">
    <w:nsid w:val="124D562C"/>
    <w:multiLevelType w:val="hybridMultilevel"/>
    <w:tmpl w:val="3F146C68"/>
    <w:lvl w:ilvl="0" w:tplc="4ADC4F46">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BB762412">
      <w:numFmt w:val="bullet"/>
      <w:lvlText w:val="•"/>
      <w:lvlJc w:val="left"/>
      <w:pPr>
        <w:ind w:left="2288" w:hanging="529"/>
      </w:pPr>
      <w:rPr>
        <w:rFonts w:hint="default"/>
        <w:lang w:val="zh-CN" w:eastAsia="zh-CN" w:bidi="zh-CN"/>
      </w:rPr>
    </w:lvl>
    <w:lvl w:ilvl="2" w:tplc="5428F340">
      <w:numFmt w:val="bullet"/>
      <w:lvlText w:val="•"/>
      <w:lvlJc w:val="left"/>
      <w:pPr>
        <w:ind w:left="3217" w:hanging="529"/>
      </w:pPr>
      <w:rPr>
        <w:rFonts w:hint="default"/>
        <w:lang w:val="zh-CN" w:eastAsia="zh-CN" w:bidi="zh-CN"/>
      </w:rPr>
    </w:lvl>
    <w:lvl w:ilvl="3" w:tplc="6668301E">
      <w:numFmt w:val="bullet"/>
      <w:lvlText w:val="•"/>
      <w:lvlJc w:val="left"/>
      <w:pPr>
        <w:ind w:left="4145" w:hanging="529"/>
      </w:pPr>
      <w:rPr>
        <w:rFonts w:hint="default"/>
        <w:lang w:val="zh-CN" w:eastAsia="zh-CN" w:bidi="zh-CN"/>
      </w:rPr>
    </w:lvl>
    <w:lvl w:ilvl="4" w:tplc="5860D79C">
      <w:numFmt w:val="bullet"/>
      <w:lvlText w:val="•"/>
      <w:lvlJc w:val="left"/>
      <w:pPr>
        <w:ind w:left="5074" w:hanging="529"/>
      </w:pPr>
      <w:rPr>
        <w:rFonts w:hint="default"/>
        <w:lang w:val="zh-CN" w:eastAsia="zh-CN" w:bidi="zh-CN"/>
      </w:rPr>
    </w:lvl>
    <w:lvl w:ilvl="5" w:tplc="2520C2D6">
      <w:numFmt w:val="bullet"/>
      <w:lvlText w:val="•"/>
      <w:lvlJc w:val="left"/>
      <w:pPr>
        <w:ind w:left="6003" w:hanging="529"/>
      </w:pPr>
      <w:rPr>
        <w:rFonts w:hint="default"/>
        <w:lang w:val="zh-CN" w:eastAsia="zh-CN" w:bidi="zh-CN"/>
      </w:rPr>
    </w:lvl>
    <w:lvl w:ilvl="6" w:tplc="04323C8A">
      <w:numFmt w:val="bullet"/>
      <w:lvlText w:val="•"/>
      <w:lvlJc w:val="left"/>
      <w:pPr>
        <w:ind w:left="6931" w:hanging="529"/>
      </w:pPr>
      <w:rPr>
        <w:rFonts w:hint="default"/>
        <w:lang w:val="zh-CN" w:eastAsia="zh-CN" w:bidi="zh-CN"/>
      </w:rPr>
    </w:lvl>
    <w:lvl w:ilvl="7" w:tplc="CF30F742">
      <w:numFmt w:val="bullet"/>
      <w:lvlText w:val="•"/>
      <w:lvlJc w:val="left"/>
      <w:pPr>
        <w:ind w:left="7860" w:hanging="529"/>
      </w:pPr>
      <w:rPr>
        <w:rFonts w:hint="default"/>
        <w:lang w:val="zh-CN" w:eastAsia="zh-CN" w:bidi="zh-CN"/>
      </w:rPr>
    </w:lvl>
    <w:lvl w:ilvl="8" w:tplc="295AA968">
      <w:numFmt w:val="bullet"/>
      <w:lvlText w:val="•"/>
      <w:lvlJc w:val="left"/>
      <w:pPr>
        <w:ind w:left="8789" w:hanging="529"/>
      </w:pPr>
      <w:rPr>
        <w:rFonts w:hint="default"/>
        <w:lang w:val="zh-CN" w:eastAsia="zh-CN" w:bidi="zh-CN"/>
      </w:rPr>
    </w:lvl>
  </w:abstractNum>
  <w:abstractNum w:abstractNumId="149" w15:restartNumberingAfterBreak="0">
    <w:nsid w:val="126C7EE1"/>
    <w:multiLevelType w:val="hybridMultilevel"/>
    <w:tmpl w:val="A2620860"/>
    <w:lvl w:ilvl="0" w:tplc="AD9E14BC">
      <w:start w:val="7"/>
      <w:numFmt w:val="decimal"/>
      <w:lvlText w:val="%1"/>
      <w:lvlJc w:val="left"/>
      <w:pPr>
        <w:ind w:left="1159" w:hanging="320"/>
        <w:jc w:val="left"/>
      </w:pPr>
      <w:rPr>
        <w:rFonts w:hint="default"/>
        <w:lang w:val="zh-CN" w:eastAsia="zh-CN" w:bidi="zh-CN"/>
      </w:rPr>
    </w:lvl>
    <w:lvl w:ilvl="1" w:tplc="D97632A4">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3A180B6E">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FE6C2B62">
      <w:numFmt w:val="bullet"/>
      <w:lvlText w:val="•"/>
      <w:lvlJc w:val="left"/>
      <w:pPr>
        <w:ind w:left="2520" w:hanging="529"/>
      </w:pPr>
      <w:rPr>
        <w:rFonts w:hint="default"/>
        <w:lang w:val="zh-CN" w:eastAsia="zh-CN" w:bidi="zh-CN"/>
      </w:rPr>
    </w:lvl>
    <w:lvl w:ilvl="4" w:tplc="A57037CE">
      <w:numFmt w:val="bullet"/>
      <w:lvlText w:val="•"/>
      <w:lvlJc w:val="left"/>
      <w:pPr>
        <w:ind w:left="3681" w:hanging="529"/>
      </w:pPr>
      <w:rPr>
        <w:rFonts w:hint="default"/>
        <w:lang w:val="zh-CN" w:eastAsia="zh-CN" w:bidi="zh-CN"/>
      </w:rPr>
    </w:lvl>
    <w:lvl w:ilvl="5" w:tplc="6234F428">
      <w:numFmt w:val="bullet"/>
      <w:lvlText w:val="•"/>
      <w:lvlJc w:val="left"/>
      <w:pPr>
        <w:ind w:left="4842" w:hanging="529"/>
      </w:pPr>
      <w:rPr>
        <w:rFonts w:hint="default"/>
        <w:lang w:val="zh-CN" w:eastAsia="zh-CN" w:bidi="zh-CN"/>
      </w:rPr>
    </w:lvl>
    <w:lvl w:ilvl="6" w:tplc="55667E94">
      <w:numFmt w:val="bullet"/>
      <w:lvlText w:val="•"/>
      <w:lvlJc w:val="left"/>
      <w:pPr>
        <w:ind w:left="6003" w:hanging="529"/>
      </w:pPr>
      <w:rPr>
        <w:rFonts w:hint="default"/>
        <w:lang w:val="zh-CN" w:eastAsia="zh-CN" w:bidi="zh-CN"/>
      </w:rPr>
    </w:lvl>
    <w:lvl w:ilvl="7" w:tplc="8C5411E2">
      <w:numFmt w:val="bullet"/>
      <w:lvlText w:val="•"/>
      <w:lvlJc w:val="left"/>
      <w:pPr>
        <w:ind w:left="7164" w:hanging="529"/>
      </w:pPr>
      <w:rPr>
        <w:rFonts w:hint="default"/>
        <w:lang w:val="zh-CN" w:eastAsia="zh-CN" w:bidi="zh-CN"/>
      </w:rPr>
    </w:lvl>
    <w:lvl w:ilvl="8" w:tplc="4CC6CDF0">
      <w:numFmt w:val="bullet"/>
      <w:lvlText w:val="•"/>
      <w:lvlJc w:val="left"/>
      <w:pPr>
        <w:ind w:left="8324" w:hanging="529"/>
      </w:pPr>
      <w:rPr>
        <w:rFonts w:hint="default"/>
        <w:lang w:val="zh-CN" w:eastAsia="zh-CN" w:bidi="zh-CN"/>
      </w:rPr>
    </w:lvl>
  </w:abstractNum>
  <w:abstractNum w:abstractNumId="150" w15:restartNumberingAfterBreak="0">
    <w:nsid w:val="12A153CA"/>
    <w:multiLevelType w:val="hybridMultilevel"/>
    <w:tmpl w:val="46C08A70"/>
    <w:lvl w:ilvl="0" w:tplc="6A746D08">
      <w:start w:val="6"/>
      <w:numFmt w:val="decimal"/>
      <w:lvlText w:val="%1"/>
      <w:lvlJc w:val="left"/>
      <w:pPr>
        <w:ind w:left="947" w:hanging="529"/>
        <w:jc w:val="left"/>
      </w:pPr>
      <w:rPr>
        <w:rFonts w:hint="default"/>
        <w:lang w:val="zh-CN" w:eastAsia="zh-CN" w:bidi="zh-CN"/>
      </w:rPr>
    </w:lvl>
    <w:lvl w:ilvl="1" w:tplc="5F42F4BC">
      <w:start w:val="2"/>
      <w:numFmt w:val="decimal"/>
      <w:lvlText w:val="%1.%2"/>
      <w:lvlJc w:val="left"/>
      <w:pPr>
        <w:ind w:left="947" w:hanging="529"/>
        <w:jc w:val="left"/>
      </w:pPr>
      <w:rPr>
        <w:rFonts w:hint="default"/>
        <w:lang w:val="zh-CN" w:eastAsia="zh-CN" w:bidi="zh-CN"/>
      </w:rPr>
    </w:lvl>
    <w:lvl w:ilvl="2" w:tplc="8F66A138">
      <w:start w:val="9"/>
      <w:numFmt w:val="decimal"/>
      <w:lvlText w:val="%1.%2.%3"/>
      <w:lvlJc w:val="left"/>
      <w:pPr>
        <w:ind w:left="947" w:hanging="529"/>
        <w:jc w:val="right"/>
      </w:pPr>
      <w:rPr>
        <w:rFonts w:hint="default"/>
        <w:w w:val="100"/>
        <w:lang w:val="zh-CN" w:eastAsia="zh-CN" w:bidi="zh-CN"/>
      </w:rPr>
    </w:lvl>
    <w:lvl w:ilvl="3" w:tplc="5A96BF28">
      <w:numFmt w:val="bullet"/>
      <w:lvlText w:val="•"/>
      <w:lvlJc w:val="left"/>
      <w:pPr>
        <w:ind w:left="3851" w:hanging="529"/>
      </w:pPr>
      <w:rPr>
        <w:rFonts w:hint="default"/>
        <w:lang w:val="zh-CN" w:eastAsia="zh-CN" w:bidi="zh-CN"/>
      </w:rPr>
    </w:lvl>
    <w:lvl w:ilvl="4" w:tplc="07024882">
      <w:numFmt w:val="bullet"/>
      <w:lvlText w:val="•"/>
      <w:lvlJc w:val="left"/>
      <w:pPr>
        <w:ind w:left="4822" w:hanging="529"/>
      </w:pPr>
      <w:rPr>
        <w:rFonts w:hint="default"/>
        <w:lang w:val="zh-CN" w:eastAsia="zh-CN" w:bidi="zh-CN"/>
      </w:rPr>
    </w:lvl>
    <w:lvl w:ilvl="5" w:tplc="F65EF7A2">
      <w:numFmt w:val="bullet"/>
      <w:lvlText w:val="•"/>
      <w:lvlJc w:val="left"/>
      <w:pPr>
        <w:ind w:left="5793" w:hanging="529"/>
      </w:pPr>
      <w:rPr>
        <w:rFonts w:hint="default"/>
        <w:lang w:val="zh-CN" w:eastAsia="zh-CN" w:bidi="zh-CN"/>
      </w:rPr>
    </w:lvl>
    <w:lvl w:ilvl="6" w:tplc="828EED7C">
      <w:numFmt w:val="bullet"/>
      <w:lvlText w:val="•"/>
      <w:lvlJc w:val="left"/>
      <w:pPr>
        <w:ind w:left="6763" w:hanging="529"/>
      </w:pPr>
      <w:rPr>
        <w:rFonts w:hint="default"/>
        <w:lang w:val="zh-CN" w:eastAsia="zh-CN" w:bidi="zh-CN"/>
      </w:rPr>
    </w:lvl>
    <w:lvl w:ilvl="7" w:tplc="3A58D5AA">
      <w:numFmt w:val="bullet"/>
      <w:lvlText w:val="•"/>
      <w:lvlJc w:val="left"/>
      <w:pPr>
        <w:ind w:left="7734" w:hanging="529"/>
      </w:pPr>
      <w:rPr>
        <w:rFonts w:hint="default"/>
        <w:lang w:val="zh-CN" w:eastAsia="zh-CN" w:bidi="zh-CN"/>
      </w:rPr>
    </w:lvl>
    <w:lvl w:ilvl="8" w:tplc="5BBCBE76">
      <w:numFmt w:val="bullet"/>
      <w:lvlText w:val="•"/>
      <w:lvlJc w:val="left"/>
      <w:pPr>
        <w:ind w:left="8705" w:hanging="529"/>
      </w:pPr>
      <w:rPr>
        <w:rFonts w:hint="default"/>
        <w:lang w:val="zh-CN" w:eastAsia="zh-CN" w:bidi="zh-CN"/>
      </w:rPr>
    </w:lvl>
  </w:abstractNum>
  <w:abstractNum w:abstractNumId="151" w15:restartNumberingAfterBreak="0">
    <w:nsid w:val="12A60D28"/>
    <w:multiLevelType w:val="hybridMultilevel"/>
    <w:tmpl w:val="DD78F056"/>
    <w:lvl w:ilvl="0" w:tplc="B0622302">
      <w:start w:val="6"/>
      <w:numFmt w:val="decimal"/>
      <w:lvlText w:val="%1"/>
      <w:lvlJc w:val="left"/>
      <w:pPr>
        <w:ind w:left="418" w:hanging="529"/>
        <w:jc w:val="left"/>
      </w:pPr>
      <w:rPr>
        <w:rFonts w:hint="default"/>
        <w:lang w:val="zh-CN" w:eastAsia="zh-CN" w:bidi="zh-CN"/>
      </w:rPr>
    </w:lvl>
    <w:lvl w:ilvl="1" w:tplc="84622382">
      <w:start w:val="4"/>
      <w:numFmt w:val="decimal"/>
      <w:lvlText w:val="%1.%2"/>
      <w:lvlJc w:val="left"/>
      <w:pPr>
        <w:ind w:left="418" w:hanging="529"/>
        <w:jc w:val="left"/>
      </w:pPr>
      <w:rPr>
        <w:rFonts w:hint="default"/>
        <w:lang w:val="zh-CN" w:eastAsia="zh-CN" w:bidi="zh-CN"/>
      </w:rPr>
    </w:lvl>
    <w:lvl w:ilvl="2" w:tplc="7428C1A6">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90E2AB9E">
      <w:numFmt w:val="bullet"/>
      <w:lvlText w:val="•"/>
      <w:lvlJc w:val="left"/>
      <w:pPr>
        <w:ind w:left="3487" w:hanging="529"/>
      </w:pPr>
      <w:rPr>
        <w:rFonts w:hint="default"/>
        <w:lang w:val="zh-CN" w:eastAsia="zh-CN" w:bidi="zh-CN"/>
      </w:rPr>
    </w:lvl>
    <w:lvl w:ilvl="4" w:tplc="69DC9D04">
      <w:numFmt w:val="bullet"/>
      <w:lvlText w:val="•"/>
      <w:lvlJc w:val="left"/>
      <w:pPr>
        <w:ind w:left="4510" w:hanging="529"/>
      </w:pPr>
      <w:rPr>
        <w:rFonts w:hint="default"/>
        <w:lang w:val="zh-CN" w:eastAsia="zh-CN" w:bidi="zh-CN"/>
      </w:rPr>
    </w:lvl>
    <w:lvl w:ilvl="5" w:tplc="0AD4B672">
      <w:numFmt w:val="bullet"/>
      <w:lvlText w:val="•"/>
      <w:lvlJc w:val="left"/>
      <w:pPr>
        <w:ind w:left="5533" w:hanging="529"/>
      </w:pPr>
      <w:rPr>
        <w:rFonts w:hint="default"/>
        <w:lang w:val="zh-CN" w:eastAsia="zh-CN" w:bidi="zh-CN"/>
      </w:rPr>
    </w:lvl>
    <w:lvl w:ilvl="6" w:tplc="E72E8140">
      <w:numFmt w:val="bullet"/>
      <w:lvlText w:val="•"/>
      <w:lvlJc w:val="left"/>
      <w:pPr>
        <w:ind w:left="6555" w:hanging="529"/>
      </w:pPr>
      <w:rPr>
        <w:rFonts w:hint="default"/>
        <w:lang w:val="zh-CN" w:eastAsia="zh-CN" w:bidi="zh-CN"/>
      </w:rPr>
    </w:lvl>
    <w:lvl w:ilvl="7" w:tplc="101A2C9E">
      <w:numFmt w:val="bullet"/>
      <w:lvlText w:val="•"/>
      <w:lvlJc w:val="left"/>
      <w:pPr>
        <w:ind w:left="7578" w:hanging="529"/>
      </w:pPr>
      <w:rPr>
        <w:rFonts w:hint="default"/>
        <w:lang w:val="zh-CN" w:eastAsia="zh-CN" w:bidi="zh-CN"/>
      </w:rPr>
    </w:lvl>
    <w:lvl w:ilvl="8" w:tplc="08A02B3A">
      <w:numFmt w:val="bullet"/>
      <w:lvlText w:val="•"/>
      <w:lvlJc w:val="left"/>
      <w:pPr>
        <w:ind w:left="8601" w:hanging="529"/>
      </w:pPr>
      <w:rPr>
        <w:rFonts w:hint="default"/>
        <w:lang w:val="zh-CN" w:eastAsia="zh-CN" w:bidi="zh-CN"/>
      </w:rPr>
    </w:lvl>
  </w:abstractNum>
  <w:abstractNum w:abstractNumId="152" w15:restartNumberingAfterBreak="0">
    <w:nsid w:val="12E63A03"/>
    <w:multiLevelType w:val="hybridMultilevel"/>
    <w:tmpl w:val="94A057C8"/>
    <w:lvl w:ilvl="0" w:tplc="F24001A8">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01EC1C4A">
      <w:numFmt w:val="bullet"/>
      <w:lvlText w:val="•"/>
      <w:lvlJc w:val="left"/>
      <w:pPr>
        <w:ind w:left="2288" w:hanging="529"/>
      </w:pPr>
      <w:rPr>
        <w:rFonts w:hint="default"/>
        <w:lang w:val="zh-CN" w:eastAsia="zh-CN" w:bidi="zh-CN"/>
      </w:rPr>
    </w:lvl>
    <w:lvl w:ilvl="2" w:tplc="A18CF1CC">
      <w:numFmt w:val="bullet"/>
      <w:lvlText w:val="•"/>
      <w:lvlJc w:val="left"/>
      <w:pPr>
        <w:ind w:left="3217" w:hanging="529"/>
      </w:pPr>
      <w:rPr>
        <w:rFonts w:hint="default"/>
        <w:lang w:val="zh-CN" w:eastAsia="zh-CN" w:bidi="zh-CN"/>
      </w:rPr>
    </w:lvl>
    <w:lvl w:ilvl="3" w:tplc="B0A2BD9E">
      <w:numFmt w:val="bullet"/>
      <w:lvlText w:val="•"/>
      <w:lvlJc w:val="left"/>
      <w:pPr>
        <w:ind w:left="4145" w:hanging="529"/>
      </w:pPr>
      <w:rPr>
        <w:rFonts w:hint="default"/>
        <w:lang w:val="zh-CN" w:eastAsia="zh-CN" w:bidi="zh-CN"/>
      </w:rPr>
    </w:lvl>
    <w:lvl w:ilvl="4" w:tplc="F244BDE2">
      <w:numFmt w:val="bullet"/>
      <w:lvlText w:val="•"/>
      <w:lvlJc w:val="left"/>
      <w:pPr>
        <w:ind w:left="5074" w:hanging="529"/>
      </w:pPr>
      <w:rPr>
        <w:rFonts w:hint="default"/>
        <w:lang w:val="zh-CN" w:eastAsia="zh-CN" w:bidi="zh-CN"/>
      </w:rPr>
    </w:lvl>
    <w:lvl w:ilvl="5" w:tplc="078CD65A">
      <w:numFmt w:val="bullet"/>
      <w:lvlText w:val="•"/>
      <w:lvlJc w:val="left"/>
      <w:pPr>
        <w:ind w:left="6003" w:hanging="529"/>
      </w:pPr>
      <w:rPr>
        <w:rFonts w:hint="default"/>
        <w:lang w:val="zh-CN" w:eastAsia="zh-CN" w:bidi="zh-CN"/>
      </w:rPr>
    </w:lvl>
    <w:lvl w:ilvl="6" w:tplc="F30807EC">
      <w:numFmt w:val="bullet"/>
      <w:lvlText w:val="•"/>
      <w:lvlJc w:val="left"/>
      <w:pPr>
        <w:ind w:left="6931" w:hanging="529"/>
      </w:pPr>
      <w:rPr>
        <w:rFonts w:hint="default"/>
        <w:lang w:val="zh-CN" w:eastAsia="zh-CN" w:bidi="zh-CN"/>
      </w:rPr>
    </w:lvl>
    <w:lvl w:ilvl="7" w:tplc="355A3F14">
      <w:numFmt w:val="bullet"/>
      <w:lvlText w:val="•"/>
      <w:lvlJc w:val="left"/>
      <w:pPr>
        <w:ind w:left="7860" w:hanging="529"/>
      </w:pPr>
      <w:rPr>
        <w:rFonts w:hint="default"/>
        <w:lang w:val="zh-CN" w:eastAsia="zh-CN" w:bidi="zh-CN"/>
      </w:rPr>
    </w:lvl>
    <w:lvl w:ilvl="8" w:tplc="46767A18">
      <w:numFmt w:val="bullet"/>
      <w:lvlText w:val="•"/>
      <w:lvlJc w:val="left"/>
      <w:pPr>
        <w:ind w:left="8789" w:hanging="529"/>
      </w:pPr>
      <w:rPr>
        <w:rFonts w:hint="default"/>
        <w:lang w:val="zh-CN" w:eastAsia="zh-CN" w:bidi="zh-CN"/>
      </w:rPr>
    </w:lvl>
  </w:abstractNum>
  <w:abstractNum w:abstractNumId="153" w15:restartNumberingAfterBreak="0">
    <w:nsid w:val="12F61167"/>
    <w:multiLevelType w:val="hybridMultilevel"/>
    <w:tmpl w:val="7D9C554A"/>
    <w:lvl w:ilvl="0" w:tplc="5F747B8A">
      <w:start w:val="12"/>
      <w:numFmt w:val="decimal"/>
      <w:lvlText w:val="%1"/>
      <w:lvlJc w:val="left"/>
      <w:pPr>
        <w:ind w:left="418" w:hanging="637"/>
        <w:jc w:val="left"/>
      </w:pPr>
      <w:rPr>
        <w:rFonts w:hint="default"/>
        <w:lang w:val="zh-CN" w:eastAsia="zh-CN" w:bidi="zh-CN"/>
      </w:rPr>
    </w:lvl>
    <w:lvl w:ilvl="1" w:tplc="BEE6147E">
      <w:start w:val="4"/>
      <w:numFmt w:val="decimal"/>
      <w:lvlText w:val="%1.%2"/>
      <w:lvlJc w:val="left"/>
      <w:pPr>
        <w:ind w:left="418" w:hanging="637"/>
        <w:jc w:val="left"/>
      </w:pPr>
      <w:rPr>
        <w:rFonts w:hint="default"/>
        <w:lang w:val="zh-CN" w:eastAsia="zh-CN" w:bidi="zh-CN"/>
      </w:rPr>
    </w:lvl>
    <w:lvl w:ilvl="2" w:tplc="933CCD2E">
      <w:start w:val="5"/>
      <w:numFmt w:val="decimal"/>
      <w:lvlText w:val="%1.%2.%3"/>
      <w:lvlJc w:val="left"/>
      <w:pPr>
        <w:ind w:left="418" w:hanging="637"/>
        <w:jc w:val="left"/>
      </w:pPr>
      <w:rPr>
        <w:rFonts w:ascii="宋体" w:eastAsia="宋体" w:hAnsi="宋体" w:cs="宋体" w:hint="default"/>
        <w:b/>
        <w:bCs/>
        <w:w w:val="99"/>
        <w:sz w:val="19"/>
        <w:szCs w:val="19"/>
        <w:lang w:val="zh-CN" w:eastAsia="zh-CN" w:bidi="zh-CN"/>
      </w:rPr>
    </w:lvl>
    <w:lvl w:ilvl="3" w:tplc="16868F18">
      <w:numFmt w:val="bullet"/>
      <w:lvlText w:val="•"/>
      <w:lvlJc w:val="left"/>
      <w:pPr>
        <w:ind w:left="3487" w:hanging="637"/>
      </w:pPr>
      <w:rPr>
        <w:rFonts w:hint="default"/>
        <w:lang w:val="zh-CN" w:eastAsia="zh-CN" w:bidi="zh-CN"/>
      </w:rPr>
    </w:lvl>
    <w:lvl w:ilvl="4" w:tplc="FD880B7E">
      <w:numFmt w:val="bullet"/>
      <w:lvlText w:val="•"/>
      <w:lvlJc w:val="left"/>
      <w:pPr>
        <w:ind w:left="4510" w:hanging="637"/>
      </w:pPr>
      <w:rPr>
        <w:rFonts w:hint="default"/>
        <w:lang w:val="zh-CN" w:eastAsia="zh-CN" w:bidi="zh-CN"/>
      </w:rPr>
    </w:lvl>
    <w:lvl w:ilvl="5" w:tplc="567A0746">
      <w:numFmt w:val="bullet"/>
      <w:lvlText w:val="•"/>
      <w:lvlJc w:val="left"/>
      <w:pPr>
        <w:ind w:left="5533" w:hanging="637"/>
      </w:pPr>
      <w:rPr>
        <w:rFonts w:hint="default"/>
        <w:lang w:val="zh-CN" w:eastAsia="zh-CN" w:bidi="zh-CN"/>
      </w:rPr>
    </w:lvl>
    <w:lvl w:ilvl="6" w:tplc="5978B650">
      <w:numFmt w:val="bullet"/>
      <w:lvlText w:val="•"/>
      <w:lvlJc w:val="left"/>
      <w:pPr>
        <w:ind w:left="6555" w:hanging="637"/>
      </w:pPr>
      <w:rPr>
        <w:rFonts w:hint="default"/>
        <w:lang w:val="zh-CN" w:eastAsia="zh-CN" w:bidi="zh-CN"/>
      </w:rPr>
    </w:lvl>
    <w:lvl w:ilvl="7" w:tplc="8F485E94">
      <w:numFmt w:val="bullet"/>
      <w:lvlText w:val="•"/>
      <w:lvlJc w:val="left"/>
      <w:pPr>
        <w:ind w:left="7578" w:hanging="637"/>
      </w:pPr>
      <w:rPr>
        <w:rFonts w:hint="default"/>
        <w:lang w:val="zh-CN" w:eastAsia="zh-CN" w:bidi="zh-CN"/>
      </w:rPr>
    </w:lvl>
    <w:lvl w:ilvl="8" w:tplc="DB2A8FCE">
      <w:numFmt w:val="bullet"/>
      <w:lvlText w:val="•"/>
      <w:lvlJc w:val="left"/>
      <w:pPr>
        <w:ind w:left="8601" w:hanging="637"/>
      </w:pPr>
      <w:rPr>
        <w:rFonts w:hint="default"/>
        <w:lang w:val="zh-CN" w:eastAsia="zh-CN" w:bidi="zh-CN"/>
      </w:rPr>
    </w:lvl>
  </w:abstractNum>
  <w:abstractNum w:abstractNumId="154" w15:restartNumberingAfterBreak="0">
    <w:nsid w:val="1330406D"/>
    <w:multiLevelType w:val="hybridMultilevel"/>
    <w:tmpl w:val="AFFCE0BC"/>
    <w:lvl w:ilvl="0" w:tplc="51F6CCDA">
      <w:start w:val="6"/>
      <w:numFmt w:val="decimal"/>
      <w:lvlText w:val="%1"/>
      <w:lvlJc w:val="left"/>
      <w:pPr>
        <w:ind w:left="1159" w:hanging="320"/>
        <w:jc w:val="left"/>
      </w:pPr>
      <w:rPr>
        <w:rFonts w:hint="default"/>
        <w:lang w:val="zh-CN" w:eastAsia="zh-CN" w:bidi="zh-CN"/>
      </w:rPr>
    </w:lvl>
    <w:lvl w:ilvl="1" w:tplc="5400E89A">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E61A10F2">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7E0AE6BA">
      <w:numFmt w:val="bullet"/>
      <w:lvlText w:val="•"/>
      <w:lvlJc w:val="left"/>
      <w:pPr>
        <w:ind w:left="2538" w:hanging="531"/>
      </w:pPr>
      <w:rPr>
        <w:rFonts w:hint="default"/>
        <w:lang w:val="zh-CN" w:eastAsia="zh-CN" w:bidi="zh-CN"/>
      </w:rPr>
    </w:lvl>
    <w:lvl w:ilvl="4" w:tplc="2E001BAE">
      <w:numFmt w:val="bullet"/>
      <w:lvlText w:val="•"/>
      <w:lvlJc w:val="left"/>
      <w:pPr>
        <w:ind w:left="3696" w:hanging="531"/>
      </w:pPr>
      <w:rPr>
        <w:rFonts w:hint="default"/>
        <w:lang w:val="zh-CN" w:eastAsia="zh-CN" w:bidi="zh-CN"/>
      </w:rPr>
    </w:lvl>
    <w:lvl w:ilvl="5" w:tplc="5732A678">
      <w:numFmt w:val="bullet"/>
      <w:lvlText w:val="•"/>
      <w:lvlJc w:val="left"/>
      <w:pPr>
        <w:ind w:left="4854" w:hanging="531"/>
      </w:pPr>
      <w:rPr>
        <w:rFonts w:hint="default"/>
        <w:lang w:val="zh-CN" w:eastAsia="zh-CN" w:bidi="zh-CN"/>
      </w:rPr>
    </w:lvl>
    <w:lvl w:ilvl="6" w:tplc="CBA05668">
      <w:numFmt w:val="bullet"/>
      <w:lvlText w:val="•"/>
      <w:lvlJc w:val="left"/>
      <w:pPr>
        <w:ind w:left="6013" w:hanging="531"/>
      </w:pPr>
      <w:rPr>
        <w:rFonts w:hint="default"/>
        <w:lang w:val="zh-CN" w:eastAsia="zh-CN" w:bidi="zh-CN"/>
      </w:rPr>
    </w:lvl>
    <w:lvl w:ilvl="7" w:tplc="542A298C">
      <w:numFmt w:val="bullet"/>
      <w:lvlText w:val="•"/>
      <w:lvlJc w:val="left"/>
      <w:pPr>
        <w:ind w:left="7171" w:hanging="531"/>
      </w:pPr>
      <w:rPr>
        <w:rFonts w:hint="default"/>
        <w:lang w:val="zh-CN" w:eastAsia="zh-CN" w:bidi="zh-CN"/>
      </w:rPr>
    </w:lvl>
    <w:lvl w:ilvl="8" w:tplc="35706D64">
      <w:numFmt w:val="bullet"/>
      <w:lvlText w:val="•"/>
      <w:lvlJc w:val="left"/>
      <w:pPr>
        <w:ind w:left="8329" w:hanging="531"/>
      </w:pPr>
      <w:rPr>
        <w:rFonts w:hint="default"/>
        <w:lang w:val="zh-CN" w:eastAsia="zh-CN" w:bidi="zh-CN"/>
      </w:rPr>
    </w:lvl>
  </w:abstractNum>
  <w:abstractNum w:abstractNumId="155" w15:restartNumberingAfterBreak="0">
    <w:nsid w:val="135B3AE3"/>
    <w:multiLevelType w:val="hybridMultilevel"/>
    <w:tmpl w:val="AB76686E"/>
    <w:lvl w:ilvl="0" w:tplc="C8B6ABFC">
      <w:start w:val="8"/>
      <w:numFmt w:val="decimal"/>
      <w:lvlText w:val="%1"/>
      <w:lvlJc w:val="left"/>
      <w:pPr>
        <w:ind w:left="1370" w:hanging="531"/>
        <w:jc w:val="left"/>
      </w:pPr>
      <w:rPr>
        <w:rFonts w:hint="default"/>
        <w:lang w:val="zh-CN" w:eastAsia="zh-CN" w:bidi="zh-CN"/>
      </w:rPr>
    </w:lvl>
    <w:lvl w:ilvl="1" w:tplc="6C2E87B0">
      <w:start w:val="1"/>
      <w:numFmt w:val="decimal"/>
      <w:lvlText w:val="%1.%2"/>
      <w:lvlJc w:val="left"/>
      <w:pPr>
        <w:ind w:left="1370" w:hanging="531"/>
        <w:jc w:val="left"/>
      </w:pPr>
      <w:rPr>
        <w:rFonts w:hint="default"/>
        <w:lang w:val="zh-CN" w:eastAsia="zh-CN" w:bidi="zh-CN"/>
      </w:rPr>
    </w:lvl>
    <w:lvl w:ilvl="2" w:tplc="F1500B5E">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93AE1442">
      <w:numFmt w:val="bullet"/>
      <w:lvlText w:val="•"/>
      <w:lvlJc w:val="left"/>
      <w:pPr>
        <w:ind w:left="4159" w:hanging="531"/>
      </w:pPr>
      <w:rPr>
        <w:rFonts w:hint="default"/>
        <w:lang w:val="zh-CN" w:eastAsia="zh-CN" w:bidi="zh-CN"/>
      </w:rPr>
    </w:lvl>
    <w:lvl w:ilvl="4" w:tplc="A4085D5E">
      <w:numFmt w:val="bullet"/>
      <w:lvlText w:val="•"/>
      <w:lvlJc w:val="left"/>
      <w:pPr>
        <w:ind w:left="5086" w:hanging="531"/>
      </w:pPr>
      <w:rPr>
        <w:rFonts w:hint="default"/>
        <w:lang w:val="zh-CN" w:eastAsia="zh-CN" w:bidi="zh-CN"/>
      </w:rPr>
    </w:lvl>
    <w:lvl w:ilvl="5" w:tplc="58FEA128">
      <w:numFmt w:val="bullet"/>
      <w:lvlText w:val="•"/>
      <w:lvlJc w:val="left"/>
      <w:pPr>
        <w:ind w:left="6013" w:hanging="531"/>
      </w:pPr>
      <w:rPr>
        <w:rFonts w:hint="default"/>
        <w:lang w:val="zh-CN" w:eastAsia="zh-CN" w:bidi="zh-CN"/>
      </w:rPr>
    </w:lvl>
    <w:lvl w:ilvl="6" w:tplc="010EE324">
      <w:numFmt w:val="bullet"/>
      <w:lvlText w:val="•"/>
      <w:lvlJc w:val="left"/>
      <w:pPr>
        <w:ind w:left="6939" w:hanging="531"/>
      </w:pPr>
      <w:rPr>
        <w:rFonts w:hint="default"/>
        <w:lang w:val="zh-CN" w:eastAsia="zh-CN" w:bidi="zh-CN"/>
      </w:rPr>
    </w:lvl>
    <w:lvl w:ilvl="7" w:tplc="7E364616">
      <w:numFmt w:val="bullet"/>
      <w:lvlText w:val="•"/>
      <w:lvlJc w:val="left"/>
      <w:pPr>
        <w:ind w:left="7866" w:hanging="531"/>
      </w:pPr>
      <w:rPr>
        <w:rFonts w:hint="default"/>
        <w:lang w:val="zh-CN" w:eastAsia="zh-CN" w:bidi="zh-CN"/>
      </w:rPr>
    </w:lvl>
    <w:lvl w:ilvl="8" w:tplc="26B66852">
      <w:numFmt w:val="bullet"/>
      <w:lvlText w:val="•"/>
      <w:lvlJc w:val="left"/>
      <w:pPr>
        <w:ind w:left="8793" w:hanging="531"/>
      </w:pPr>
      <w:rPr>
        <w:rFonts w:hint="default"/>
        <w:lang w:val="zh-CN" w:eastAsia="zh-CN" w:bidi="zh-CN"/>
      </w:rPr>
    </w:lvl>
  </w:abstractNum>
  <w:abstractNum w:abstractNumId="156" w15:restartNumberingAfterBreak="0">
    <w:nsid w:val="138048F7"/>
    <w:multiLevelType w:val="hybridMultilevel"/>
    <w:tmpl w:val="F2AA02CA"/>
    <w:lvl w:ilvl="0" w:tplc="4A5ABF08">
      <w:start w:val="3"/>
      <w:numFmt w:val="decimal"/>
      <w:lvlText w:val="%1."/>
      <w:lvlJc w:val="left"/>
      <w:pPr>
        <w:ind w:left="418" w:hanging="213"/>
        <w:jc w:val="left"/>
      </w:pPr>
      <w:rPr>
        <w:rFonts w:ascii="宋体" w:eastAsia="宋体" w:hAnsi="宋体" w:cs="宋体" w:hint="default"/>
        <w:spacing w:val="-3"/>
        <w:w w:val="100"/>
        <w:sz w:val="19"/>
        <w:szCs w:val="19"/>
        <w:lang w:val="zh-CN" w:eastAsia="zh-CN" w:bidi="zh-CN"/>
      </w:rPr>
    </w:lvl>
    <w:lvl w:ilvl="1" w:tplc="2E24A524">
      <w:numFmt w:val="bullet"/>
      <w:lvlText w:val="•"/>
      <w:lvlJc w:val="left"/>
      <w:pPr>
        <w:ind w:left="1442" w:hanging="213"/>
      </w:pPr>
      <w:rPr>
        <w:rFonts w:hint="default"/>
        <w:lang w:val="zh-CN" w:eastAsia="zh-CN" w:bidi="zh-CN"/>
      </w:rPr>
    </w:lvl>
    <w:lvl w:ilvl="2" w:tplc="F0A22FDC">
      <w:numFmt w:val="bullet"/>
      <w:lvlText w:val="•"/>
      <w:lvlJc w:val="left"/>
      <w:pPr>
        <w:ind w:left="2465" w:hanging="213"/>
      </w:pPr>
      <w:rPr>
        <w:rFonts w:hint="default"/>
        <w:lang w:val="zh-CN" w:eastAsia="zh-CN" w:bidi="zh-CN"/>
      </w:rPr>
    </w:lvl>
    <w:lvl w:ilvl="3" w:tplc="6CC42F60">
      <w:numFmt w:val="bullet"/>
      <w:lvlText w:val="•"/>
      <w:lvlJc w:val="left"/>
      <w:pPr>
        <w:ind w:left="3487" w:hanging="213"/>
      </w:pPr>
      <w:rPr>
        <w:rFonts w:hint="default"/>
        <w:lang w:val="zh-CN" w:eastAsia="zh-CN" w:bidi="zh-CN"/>
      </w:rPr>
    </w:lvl>
    <w:lvl w:ilvl="4" w:tplc="041E2C7C">
      <w:numFmt w:val="bullet"/>
      <w:lvlText w:val="•"/>
      <w:lvlJc w:val="left"/>
      <w:pPr>
        <w:ind w:left="4510" w:hanging="213"/>
      </w:pPr>
      <w:rPr>
        <w:rFonts w:hint="default"/>
        <w:lang w:val="zh-CN" w:eastAsia="zh-CN" w:bidi="zh-CN"/>
      </w:rPr>
    </w:lvl>
    <w:lvl w:ilvl="5" w:tplc="1BF038A0">
      <w:numFmt w:val="bullet"/>
      <w:lvlText w:val="•"/>
      <w:lvlJc w:val="left"/>
      <w:pPr>
        <w:ind w:left="5533" w:hanging="213"/>
      </w:pPr>
      <w:rPr>
        <w:rFonts w:hint="default"/>
        <w:lang w:val="zh-CN" w:eastAsia="zh-CN" w:bidi="zh-CN"/>
      </w:rPr>
    </w:lvl>
    <w:lvl w:ilvl="6" w:tplc="DE027B02">
      <w:numFmt w:val="bullet"/>
      <w:lvlText w:val="•"/>
      <w:lvlJc w:val="left"/>
      <w:pPr>
        <w:ind w:left="6555" w:hanging="213"/>
      </w:pPr>
      <w:rPr>
        <w:rFonts w:hint="default"/>
        <w:lang w:val="zh-CN" w:eastAsia="zh-CN" w:bidi="zh-CN"/>
      </w:rPr>
    </w:lvl>
    <w:lvl w:ilvl="7" w:tplc="8EB2B48C">
      <w:numFmt w:val="bullet"/>
      <w:lvlText w:val="•"/>
      <w:lvlJc w:val="left"/>
      <w:pPr>
        <w:ind w:left="7578" w:hanging="213"/>
      </w:pPr>
      <w:rPr>
        <w:rFonts w:hint="default"/>
        <w:lang w:val="zh-CN" w:eastAsia="zh-CN" w:bidi="zh-CN"/>
      </w:rPr>
    </w:lvl>
    <w:lvl w:ilvl="8" w:tplc="D710FE9C">
      <w:numFmt w:val="bullet"/>
      <w:lvlText w:val="•"/>
      <w:lvlJc w:val="left"/>
      <w:pPr>
        <w:ind w:left="8601" w:hanging="213"/>
      </w:pPr>
      <w:rPr>
        <w:rFonts w:hint="default"/>
        <w:lang w:val="zh-CN" w:eastAsia="zh-CN" w:bidi="zh-CN"/>
      </w:rPr>
    </w:lvl>
  </w:abstractNum>
  <w:abstractNum w:abstractNumId="157" w15:restartNumberingAfterBreak="0">
    <w:nsid w:val="13B36651"/>
    <w:multiLevelType w:val="hybridMultilevel"/>
    <w:tmpl w:val="EE5AA568"/>
    <w:lvl w:ilvl="0" w:tplc="22E8632C">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EC0042E8">
      <w:numFmt w:val="bullet"/>
      <w:lvlText w:val="•"/>
      <w:lvlJc w:val="left"/>
      <w:pPr>
        <w:ind w:left="2288" w:hanging="529"/>
      </w:pPr>
      <w:rPr>
        <w:rFonts w:hint="default"/>
        <w:lang w:val="zh-CN" w:eastAsia="zh-CN" w:bidi="zh-CN"/>
      </w:rPr>
    </w:lvl>
    <w:lvl w:ilvl="2" w:tplc="103055AC">
      <w:numFmt w:val="bullet"/>
      <w:lvlText w:val="•"/>
      <w:lvlJc w:val="left"/>
      <w:pPr>
        <w:ind w:left="3217" w:hanging="529"/>
      </w:pPr>
      <w:rPr>
        <w:rFonts w:hint="default"/>
        <w:lang w:val="zh-CN" w:eastAsia="zh-CN" w:bidi="zh-CN"/>
      </w:rPr>
    </w:lvl>
    <w:lvl w:ilvl="3" w:tplc="0CF8E328">
      <w:numFmt w:val="bullet"/>
      <w:lvlText w:val="•"/>
      <w:lvlJc w:val="left"/>
      <w:pPr>
        <w:ind w:left="4145" w:hanging="529"/>
      </w:pPr>
      <w:rPr>
        <w:rFonts w:hint="default"/>
        <w:lang w:val="zh-CN" w:eastAsia="zh-CN" w:bidi="zh-CN"/>
      </w:rPr>
    </w:lvl>
    <w:lvl w:ilvl="4" w:tplc="379E1BE2">
      <w:numFmt w:val="bullet"/>
      <w:lvlText w:val="•"/>
      <w:lvlJc w:val="left"/>
      <w:pPr>
        <w:ind w:left="5074" w:hanging="529"/>
      </w:pPr>
      <w:rPr>
        <w:rFonts w:hint="default"/>
        <w:lang w:val="zh-CN" w:eastAsia="zh-CN" w:bidi="zh-CN"/>
      </w:rPr>
    </w:lvl>
    <w:lvl w:ilvl="5" w:tplc="2446EE2E">
      <w:numFmt w:val="bullet"/>
      <w:lvlText w:val="•"/>
      <w:lvlJc w:val="left"/>
      <w:pPr>
        <w:ind w:left="6003" w:hanging="529"/>
      </w:pPr>
      <w:rPr>
        <w:rFonts w:hint="default"/>
        <w:lang w:val="zh-CN" w:eastAsia="zh-CN" w:bidi="zh-CN"/>
      </w:rPr>
    </w:lvl>
    <w:lvl w:ilvl="6" w:tplc="E19E171E">
      <w:numFmt w:val="bullet"/>
      <w:lvlText w:val="•"/>
      <w:lvlJc w:val="left"/>
      <w:pPr>
        <w:ind w:left="6931" w:hanging="529"/>
      </w:pPr>
      <w:rPr>
        <w:rFonts w:hint="default"/>
        <w:lang w:val="zh-CN" w:eastAsia="zh-CN" w:bidi="zh-CN"/>
      </w:rPr>
    </w:lvl>
    <w:lvl w:ilvl="7" w:tplc="51348990">
      <w:numFmt w:val="bullet"/>
      <w:lvlText w:val="•"/>
      <w:lvlJc w:val="left"/>
      <w:pPr>
        <w:ind w:left="7860" w:hanging="529"/>
      </w:pPr>
      <w:rPr>
        <w:rFonts w:hint="default"/>
        <w:lang w:val="zh-CN" w:eastAsia="zh-CN" w:bidi="zh-CN"/>
      </w:rPr>
    </w:lvl>
    <w:lvl w:ilvl="8" w:tplc="F5E03386">
      <w:numFmt w:val="bullet"/>
      <w:lvlText w:val="•"/>
      <w:lvlJc w:val="left"/>
      <w:pPr>
        <w:ind w:left="8789" w:hanging="529"/>
      </w:pPr>
      <w:rPr>
        <w:rFonts w:hint="default"/>
        <w:lang w:val="zh-CN" w:eastAsia="zh-CN" w:bidi="zh-CN"/>
      </w:rPr>
    </w:lvl>
  </w:abstractNum>
  <w:abstractNum w:abstractNumId="158" w15:restartNumberingAfterBreak="0">
    <w:nsid w:val="13B70D90"/>
    <w:multiLevelType w:val="hybridMultilevel"/>
    <w:tmpl w:val="E2102C22"/>
    <w:lvl w:ilvl="0" w:tplc="81AC251C">
      <w:start w:val="5"/>
      <w:numFmt w:val="decimal"/>
      <w:lvlText w:val="%1"/>
      <w:lvlJc w:val="left"/>
      <w:pPr>
        <w:ind w:left="418" w:hanging="637"/>
        <w:jc w:val="left"/>
      </w:pPr>
      <w:rPr>
        <w:rFonts w:hint="default"/>
        <w:lang w:val="zh-CN" w:eastAsia="zh-CN" w:bidi="zh-CN"/>
      </w:rPr>
    </w:lvl>
    <w:lvl w:ilvl="1" w:tplc="2C0C328E">
      <w:start w:val="5"/>
      <w:numFmt w:val="decimal"/>
      <w:lvlText w:val="%1.%2"/>
      <w:lvlJc w:val="left"/>
      <w:pPr>
        <w:ind w:left="418" w:hanging="637"/>
        <w:jc w:val="left"/>
      </w:pPr>
      <w:rPr>
        <w:rFonts w:hint="default"/>
        <w:lang w:val="zh-CN" w:eastAsia="zh-CN" w:bidi="zh-CN"/>
      </w:rPr>
    </w:lvl>
    <w:lvl w:ilvl="2" w:tplc="E2CC3FE8">
      <w:start w:val="13"/>
      <w:numFmt w:val="decimal"/>
      <w:lvlText w:val="%1.%2.%3"/>
      <w:lvlJc w:val="left"/>
      <w:pPr>
        <w:ind w:left="418" w:hanging="637"/>
        <w:jc w:val="left"/>
      </w:pPr>
      <w:rPr>
        <w:rFonts w:ascii="宋体" w:eastAsia="宋体" w:hAnsi="宋体" w:cs="宋体" w:hint="default"/>
        <w:b/>
        <w:bCs/>
        <w:color w:val="333333"/>
        <w:spacing w:val="-55"/>
        <w:w w:val="99"/>
        <w:sz w:val="19"/>
        <w:szCs w:val="19"/>
        <w:lang w:val="zh-CN" w:eastAsia="zh-CN" w:bidi="zh-CN"/>
      </w:rPr>
    </w:lvl>
    <w:lvl w:ilvl="3" w:tplc="0D4C69A0">
      <w:numFmt w:val="bullet"/>
      <w:lvlText w:val="•"/>
      <w:lvlJc w:val="left"/>
      <w:pPr>
        <w:ind w:left="3487" w:hanging="637"/>
      </w:pPr>
      <w:rPr>
        <w:rFonts w:hint="default"/>
        <w:lang w:val="zh-CN" w:eastAsia="zh-CN" w:bidi="zh-CN"/>
      </w:rPr>
    </w:lvl>
    <w:lvl w:ilvl="4" w:tplc="A7285694">
      <w:numFmt w:val="bullet"/>
      <w:lvlText w:val="•"/>
      <w:lvlJc w:val="left"/>
      <w:pPr>
        <w:ind w:left="4510" w:hanging="637"/>
      </w:pPr>
      <w:rPr>
        <w:rFonts w:hint="default"/>
        <w:lang w:val="zh-CN" w:eastAsia="zh-CN" w:bidi="zh-CN"/>
      </w:rPr>
    </w:lvl>
    <w:lvl w:ilvl="5" w:tplc="D59661D0">
      <w:numFmt w:val="bullet"/>
      <w:lvlText w:val="•"/>
      <w:lvlJc w:val="left"/>
      <w:pPr>
        <w:ind w:left="5533" w:hanging="637"/>
      </w:pPr>
      <w:rPr>
        <w:rFonts w:hint="default"/>
        <w:lang w:val="zh-CN" w:eastAsia="zh-CN" w:bidi="zh-CN"/>
      </w:rPr>
    </w:lvl>
    <w:lvl w:ilvl="6" w:tplc="D5D61A2E">
      <w:numFmt w:val="bullet"/>
      <w:lvlText w:val="•"/>
      <w:lvlJc w:val="left"/>
      <w:pPr>
        <w:ind w:left="6555" w:hanging="637"/>
      </w:pPr>
      <w:rPr>
        <w:rFonts w:hint="default"/>
        <w:lang w:val="zh-CN" w:eastAsia="zh-CN" w:bidi="zh-CN"/>
      </w:rPr>
    </w:lvl>
    <w:lvl w:ilvl="7" w:tplc="B9A2359A">
      <w:numFmt w:val="bullet"/>
      <w:lvlText w:val="•"/>
      <w:lvlJc w:val="left"/>
      <w:pPr>
        <w:ind w:left="7578" w:hanging="637"/>
      </w:pPr>
      <w:rPr>
        <w:rFonts w:hint="default"/>
        <w:lang w:val="zh-CN" w:eastAsia="zh-CN" w:bidi="zh-CN"/>
      </w:rPr>
    </w:lvl>
    <w:lvl w:ilvl="8" w:tplc="BA5032AC">
      <w:numFmt w:val="bullet"/>
      <w:lvlText w:val="•"/>
      <w:lvlJc w:val="left"/>
      <w:pPr>
        <w:ind w:left="8601" w:hanging="637"/>
      </w:pPr>
      <w:rPr>
        <w:rFonts w:hint="default"/>
        <w:lang w:val="zh-CN" w:eastAsia="zh-CN" w:bidi="zh-CN"/>
      </w:rPr>
    </w:lvl>
  </w:abstractNum>
  <w:abstractNum w:abstractNumId="159" w15:restartNumberingAfterBreak="0">
    <w:nsid w:val="13F55450"/>
    <w:multiLevelType w:val="hybridMultilevel"/>
    <w:tmpl w:val="87FAE3EA"/>
    <w:lvl w:ilvl="0" w:tplc="0DBE7AAC">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AE8CAF2A">
      <w:numFmt w:val="bullet"/>
      <w:lvlText w:val="•"/>
      <w:lvlJc w:val="left"/>
      <w:pPr>
        <w:ind w:left="2288" w:hanging="529"/>
      </w:pPr>
      <w:rPr>
        <w:rFonts w:hint="default"/>
        <w:lang w:val="zh-CN" w:eastAsia="zh-CN" w:bidi="zh-CN"/>
      </w:rPr>
    </w:lvl>
    <w:lvl w:ilvl="2" w:tplc="716CA1F2">
      <w:numFmt w:val="bullet"/>
      <w:lvlText w:val="•"/>
      <w:lvlJc w:val="left"/>
      <w:pPr>
        <w:ind w:left="3217" w:hanging="529"/>
      </w:pPr>
      <w:rPr>
        <w:rFonts w:hint="default"/>
        <w:lang w:val="zh-CN" w:eastAsia="zh-CN" w:bidi="zh-CN"/>
      </w:rPr>
    </w:lvl>
    <w:lvl w:ilvl="3" w:tplc="390A8A5A">
      <w:numFmt w:val="bullet"/>
      <w:lvlText w:val="•"/>
      <w:lvlJc w:val="left"/>
      <w:pPr>
        <w:ind w:left="4145" w:hanging="529"/>
      </w:pPr>
      <w:rPr>
        <w:rFonts w:hint="default"/>
        <w:lang w:val="zh-CN" w:eastAsia="zh-CN" w:bidi="zh-CN"/>
      </w:rPr>
    </w:lvl>
    <w:lvl w:ilvl="4" w:tplc="05E8FDA0">
      <w:numFmt w:val="bullet"/>
      <w:lvlText w:val="•"/>
      <w:lvlJc w:val="left"/>
      <w:pPr>
        <w:ind w:left="5074" w:hanging="529"/>
      </w:pPr>
      <w:rPr>
        <w:rFonts w:hint="default"/>
        <w:lang w:val="zh-CN" w:eastAsia="zh-CN" w:bidi="zh-CN"/>
      </w:rPr>
    </w:lvl>
    <w:lvl w:ilvl="5" w:tplc="9F8E778C">
      <w:numFmt w:val="bullet"/>
      <w:lvlText w:val="•"/>
      <w:lvlJc w:val="left"/>
      <w:pPr>
        <w:ind w:left="6003" w:hanging="529"/>
      </w:pPr>
      <w:rPr>
        <w:rFonts w:hint="default"/>
        <w:lang w:val="zh-CN" w:eastAsia="zh-CN" w:bidi="zh-CN"/>
      </w:rPr>
    </w:lvl>
    <w:lvl w:ilvl="6" w:tplc="D2049670">
      <w:numFmt w:val="bullet"/>
      <w:lvlText w:val="•"/>
      <w:lvlJc w:val="left"/>
      <w:pPr>
        <w:ind w:left="6931" w:hanging="529"/>
      </w:pPr>
      <w:rPr>
        <w:rFonts w:hint="default"/>
        <w:lang w:val="zh-CN" w:eastAsia="zh-CN" w:bidi="zh-CN"/>
      </w:rPr>
    </w:lvl>
    <w:lvl w:ilvl="7" w:tplc="C9A2C316">
      <w:numFmt w:val="bullet"/>
      <w:lvlText w:val="•"/>
      <w:lvlJc w:val="left"/>
      <w:pPr>
        <w:ind w:left="7860" w:hanging="529"/>
      </w:pPr>
      <w:rPr>
        <w:rFonts w:hint="default"/>
        <w:lang w:val="zh-CN" w:eastAsia="zh-CN" w:bidi="zh-CN"/>
      </w:rPr>
    </w:lvl>
    <w:lvl w:ilvl="8" w:tplc="9CCE1E46">
      <w:numFmt w:val="bullet"/>
      <w:lvlText w:val="•"/>
      <w:lvlJc w:val="left"/>
      <w:pPr>
        <w:ind w:left="8789" w:hanging="529"/>
      </w:pPr>
      <w:rPr>
        <w:rFonts w:hint="default"/>
        <w:lang w:val="zh-CN" w:eastAsia="zh-CN" w:bidi="zh-CN"/>
      </w:rPr>
    </w:lvl>
  </w:abstractNum>
  <w:abstractNum w:abstractNumId="160" w15:restartNumberingAfterBreak="0">
    <w:nsid w:val="13F8539A"/>
    <w:multiLevelType w:val="hybridMultilevel"/>
    <w:tmpl w:val="DE3A197C"/>
    <w:lvl w:ilvl="0" w:tplc="3134E420">
      <w:start w:val="2"/>
      <w:numFmt w:val="decimal"/>
      <w:lvlText w:val="%1."/>
      <w:lvlJc w:val="left"/>
      <w:pPr>
        <w:ind w:left="1050" w:hanging="213"/>
        <w:jc w:val="left"/>
      </w:pPr>
      <w:rPr>
        <w:rFonts w:ascii="宋体" w:eastAsia="宋体" w:hAnsi="宋体" w:cs="宋体" w:hint="default"/>
        <w:spacing w:val="-53"/>
        <w:w w:val="100"/>
        <w:sz w:val="19"/>
        <w:szCs w:val="19"/>
        <w:lang w:val="zh-CN" w:eastAsia="zh-CN" w:bidi="zh-CN"/>
      </w:rPr>
    </w:lvl>
    <w:lvl w:ilvl="1" w:tplc="422AA5D6">
      <w:numFmt w:val="bullet"/>
      <w:lvlText w:val="•"/>
      <w:lvlJc w:val="left"/>
      <w:pPr>
        <w:ind w:left="2018" w:hanging="213"/>
      </w:pPr>
      <w:rPr>
        <w:rFonts w:hint="default"/>
        <w:lang w:val="zh-CN" w:eastAsia="zh-CN" w:bidi="zh-CN"/>
      </w:rPr>
    </w:lvl>
    <w:lvl w:ilvl="2" w:tplc="8CA89E52">
      <w:numFmt w:val="bullet"/>
      <w:lvlText w:val="•"/>
      <w:lvlJc w:val="left"/>
      <w:pPr>
        <w:ind w:left="2977" w:hanging="213"/>
      </w:pPr>
      <w:rPr>
        <w:rFonts w:hint="default"/>
        <w:lang w:val="zh-CN" w:eastAsia="zh-CN" w:bidi="zh-CN"/>
      </w:rPr>
    </w:lvl>
    <w:lvl w:ilvl="3" w:tplc="4EE414D2">
      <w:numFmt w:val="bullet"/>
      <w:lvlText w:val="•"/>
      <w:lvlJc w:val="left"/>
      <w:pPr>
        <w:ind w:left="3935" w:hanging="213"/>
      </w:pPr>
      <w:rPr>
        <w:rFonts w:hint="default"/>
        <w:lang w:val="zh-CN" w:eastAsia="zh-CN" w:bidi="zh-CN"/>
      </w:rPr>
    </w:lvl>
    <w:lvl w:ilvl="4" w:tplc="05782310">
      <w:numFmt w:val="bullet"/>
      <w:lvlText w:val="•"/>
      <w:lvlJc w:val="left"/>
      <w:pPr>
        <w:ind w:left="4894" w:hanging="213"/>
      </w:pPr>
      <w:rPr>
        <w:rFonts w:hint="default"/>
        <w:lang w:val="zh-CN" w:eastAsia="zh-CN" w:bidi="zh-CN"/>
      </w:rPr>
    </w:lvl>
    <w:lvl w:ilvl="5" w:tplc="965A944E">
      <w:numFmt w:val="bullet"/>
      <w:lvlText w:val="•"/>
      <w:lvlJc w:val="left"/>
      <w:pPr>
        <w:ind w:left="5853" w:hanging="213"/>
      </w:pPr>
      <w:rPr>
        <w:rFonts w:hint="default"/>
        <w:lang w:val="zh-CN" w:eastAsia="zh-CN" w:bidi="zh-CN"/>
      </w:rPr>
    </w:lvl>
    <w:lvl w:ilvl="6" w:tplc="0DFCEBE2">
      <w:numFmt w:val="bullet"/>
      <w:lvlText w:val="•"/>
      <w:lvlJc w:val="left"/>
      <w:pPr>
        <w:ind w:left="6811" w:hanging="213"/>
      </w:pPr>
      <w:rPr>
        <w:rFonts w:hint="default"/>
        <w:lang w:val="zh-CN" w:eastAsia="zh-CN" w:bidi="zh-CN"/>
      </w:rPr>
    </w:lvl>
    <w:lvl w:ilvl="7" w:tplc="CEB8EE86">
      <w:numFmt w:val="bullet"/>
      <w:lvlText w:val="•"/>
      <w:lvlJc w:val="left"/>
      <w:pPr>
        <w:ind w:left="7770" w:hanging="213"/>
      </w:pPr>
      <w:rPr>
        <w:rFonts w:hint="default"/>
        <w:lang w:val="zh-CN" w:eastAsia="zh-CN" w:bidi="zh-CN"/>
      </w:rPr>
    </w:lvl>
    <w:lvl w:ilvl="8" w:tplc="48181030">
      <w:numFmt w:val="bullet"/>
      <w:lvlText w:val="•"/>
      <w:lvlJc w:val="left"/>
      <w:pPr>
        <w:ind w:left="8729" w:hanging="213"/>
      </w:pPr>
      <w:rPr>
        <w:rFonts w:hint="default"/>
        <w:lang w:val="zh-CN" w:eastAsia="zh-CN" w:bidi="zh-CN"/>
      </w:rPr>
    </w:lvl>
  </w:abstractNum>
  <w:abstractNum w:abstractNumId="161" w15:restartNumberingAfterBreak="0">
    <w:nsid w:val="14332D08"/>
    <w:multiLevelType w:val="hybridMultilevel"/>
    <w:tmpl w:val="A1885EE2"/>
    <w:lvl w:ilvl="0" w:tplc="72BAD546">
      <w:start w:val="8"/>
      <w:numFmt w:val="decimal"/>
      <w:lvlText w:val="%1"/>
      <w:lvlJc w:val="left"/>
      <w:pPr>
        <w:ind w:left="418" w:hanging="531"/>
        <w:jc w:val="left"/>
      </w:pPr>
      <w:rPr>
        <w:rFonts w:hint="default"/>
        <w:lang w:val="zh-CN" w:eastAsia="zh-CN" w:bidi="zh-CN"/>
      </w:rPr>
    </w:lvl>
    <w:lvl w:ilvl="1" w:tplc="602C08A8">
      <w:start w:val="3"/>
      <w:numFmt w:val="decimal"/>
      <w:lvlText w:val="%1.%2"/>
      <w:lvlJc w:val="left"/>
      <w:pPr>
        <w:ind w:left="418" w:hanging="531"/>
        <w:jc w:val="left"/>
      </w:pPr>
      <w:rPr>
        <w:rFonts w:hint="default"/>
        <w:lang w:val="zh-CN" w:eastAsia="zh-CN" w:bidi="zh-CN"/>
      </w:rPr>
    </w:lvl>
    <w:lvl w:ilvl="2" w:tplc="53DC8AF0">
      <w:start w:val="4"/>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8F981C3E">
      <w:numFmt w:val="bullet"/>
      <w:lvlText w:val="•"/>
      <w:lvlJc w:val="left"/>
      <w:pPr>
        <w:ind w:left="3487" w:hanging="531"/>
      </w:pPr>
      <w:rPr>
        <w:rFonts w:hint="default"/>
        <w:lang w:val="zh-CN" w:eastAsia="zh-CN" w:bidi="zh-CN"/>
      </w:rPr>
    </w:lvl>
    <w:lvl w:ilvl="4" w:tplc="FFA6289A">
      <w:numFmt w:val="bullet"/>
      <w:lvlText w:val="•"/>
      <w:lvlJc w:val="left"/>
      <w:pPr>
        <w:ind w:left="4510" w:hanging="531"/>
      </w:pPr>
      <w:rPr>
        <w:rFonts w:hint="default"/>
        <w:lang w:val="zh-CN" w:eastAsia="zh-CN" w:bidi="zh-CN"/>
      </w:rPr>
    </w:lvl>
    <w:lvl w:ilvl="5" w:tplc="120C92C2">
      <w:numFmt w:val="bullet"/>
      <w:lvlText w:val="•"/>
      <w:lvlJc w:val="left"/>
      <w:pPr>
        <w:ind w:left="5533" w:hanging="531"/>
      </w:pPr>
      <w:rPr>
        <w:rFonts w:hint="default"/>
        <w:lang w:val="zh-CN" w:eastAsia="zh-CN" w:bidi="zh-CN"/>
      </w:rPr>
    </w:lvl>
    <w:lvl w:ilvl="6" w:tplc="81F4CB9E">
      <w:numFmt w:val="bullet"/>
      <w:lvlText w:val="•"/>
      <w:lvlJc w:val="left"/>
      <w:pPr>
        <w:ind w:left="6555" w:hanging="531"/>
      </w:pPr>
      <w:rPr>
        <w:rFonts w:hint="default"/>
        <w:lang w:val="zh-CN" w:eastAsia="zh-CN" w:bidi="zh-CN"/>
      </w:rPr>
    </w:lvl>
    <w:lvl w:ilvl="7" w:tplc="17E4D814">
      <w:numFmt w:val="bullet"/>
      <w:lvlText w:val="•"/>
      <w:lvlJc w:val="left"/>
      <w:pPr>
        <w:ind w:left="7578" w:hanging="531"/>
      </w:pPr>
      <w:rPr>
        <w:rFonts w:hint="default"/>
        <w:lang w:val="zh-CN" w:eastAsia="zh-CN" w:bidi="zh-CN"/>
      </w:rPr>
    </w:lvl>
    <w:lvl w:ilvl="8" w:tplc="076E5FA2">
      <w:numFmt w:val="bullet"/>
      <w:lvlText w:val="•"/>
      <w:lvlJc w:val="left"/>
      <w:pPr>
        <w:ind w:left="8601" w:hanging="531"/>
      </w:pPr>
      <w:rPr>
        <w:rFonts w:hint="default"/>
        <w:lang w:val="zh-CN" w:eastAsia="zh-CN" w:bidi="zh-CN"/>
      </w:rPr>
    </w:lvl>
  </w:abstractNum>
  <w:abstractNum w:abstractNumId="162" w15:restartNumberingAfterBreak="0">
    <w:nsid w:val="14536ADD"/>
    <w:multiLevelType w:val="hybridMultilevel"/>
    <w:tmpl w:val="FC504BD4"/>
    <w:lvl w:ilvl="0" w:tplc="96085A10">
      <w:start w:val="5"/>
      <w:numFmt w:val="decimal"/>
      <w:lvlText w:val="%1"/>
      <w:lvlJc w:val="left"/>
      <w:pPr>
        <w:ind w:left="1369" w:hanging="529"/>
        <w:jc w:val="left"/>
      </w:pPr>
      <w:rPr>
        <w:rFonts w:hint="default"/>
        <w:lang w:val="zh-CN" w:eastAsia="zh-CN" w:bidi="zh-CN"/>
      </w:rPr>
    </w:lvl>
    <w:lvl w:ilvl="1" w:tplc="82D24D3E">
      <w:start w:val="2"/>
      <w:numFmt w:val="decimal"/>
      <w:lvlText w:val="%1.%2"/>
      <w:lvlJc w:val="left"/>
      <w:pPr>
        <w:ind w:left="1369" w:hanging="529"/>
        <w:jc w:val="left"/>
      </w:pPr>
      <w:rPr>
        <w:rFonts w:hint="default"/>
        <w:lang w:val="zh-CN" w:eastAsia="zh-CN" w:bidi="zh-CN"/>
      </w:rPr>
    </w:lvl>
    <w:lvl w:ilvl="2" w:tplc="ABC89964">
      <w:start w:val="1"/>
      <w:numFmt w:val="decimal"/>
      <w:lvlText w:val="%1.%2.%3"/>
      <w:lvlJc w:val="left"/>
      <w:pPr>
        <w:ind w:left="1369" w:hanging="529"/>
        <w:jc w:val="left"/>
      </w:pPr>
      <w:rPr>
        <w:rFonts w:hint="default"/>
        <w:b/>
        <w:bCs/>
        <w:w w:val="99"/>
        <w:lang w:val="zh-CN" w:eastAsia="zh-CN" w:bidi="zh-CN"/>
      </w:rPr>
    </w:lvl>
    <w:lvl w:ilvl="3" w:tplc="3C26ED8E">
      <w:start w:val="1"/>
      <w:numFmt w:val="decimal"/>
      <w:lvlText w:val="%1.%2.%3.%4"/>
      <w:lvlJc w:val="left"/>
      <w:pPr>
        <w:ind w:left="418" w:hanging="738"/>
        <w:jc w:val="left"/>
      </w:pPr>
      <w:rPr>
        <w:rFonts w:ascii="宋体" w:eastAsia="宋体" w:hAnsi="宋体" w:cs="宋体" w:hint="default"/>
        <w:spacing w:val="-3"/>
        <w:w w:val="100"/>
        <w:sz w:val="19"/>
        <w:szCs w:val="19"/>
        <w:lang w:val="zh-CN" w:eastAsia="zh-CN" w:bidi="zh-CN"/>
      </w:rPr>
    </w:lvl>
    <w:lvl w:ilvl="4" w:tplc="F26E0024">
      <w:numFmt w:val="bullet"/>
      <w:lvlText w:val="•"/>
      <w:lvlJc w:val="left"/>
      <w:pPr>
        <w:ind w:left="3846" w:hanging="738"/>
      </w:pPr>
      <w:rPr>
        <w:rFonts w:hint="default"/>
        <w:lang w:val="zh-CN" w:eastAsia="zh-CN" w:bidi="zh-CN"/>
      </w:rPr>
    </w:lvl>
    <w:lvl w:ilvl="5" w:tplc="E7CC1DD0">
      <w:numFmt w:val="bullet"/>
      <w:lvlText w:val="•"/>
      <w:lvlJc w:val="left"/>
      <w:pPr>
        <w:ind w:left="4979" w:hanging="738"/>
      </w:pPr>
      <w:rPr>
        <w:rFonts w:hint="default"/>
        <w:lang w:val="zh-CN" w:eastAsia="zh-CN" w:bidi="zh-CN"/>
      </w:rPr>
    </w:lvl>
    <w:lvl w:ilvl="6" w:tplc="07B87516">
      <w:numFmt w:val="bullet"/>
      <w:lvlText w:val="•"/>
      <w:lvlJc w:val="left"/>
      <w:pPr>
        <w:ind w:left="6113" w:hanging="738"/>
      </w:pPr>
      <w:rPr>
        <w:rFonts w:hint="default"/>
        <w:lang w:val="zh-CN" w:eastAsia="zh-CN" w:bidi="zh-CN"/>
      </w:rPr>
    </w:lvl>
    <w:lvl w:ilvl="7" w:tplc="3440C174">
      <w:numFmt w:val="bullet"/>
      <w:lvlText w:val="•"/>
      <w:lvlJc w:val="left"/>
      <w:pPr>
        <w:ind w:left="7246" w:hanging="738"/>
      </w:pPr>
      <w:rPr>
        <w:rFonts w:hint="default"/>
        <w:lang w:val="zh-CN" w:eastAsia="zh-CN" w:bidi="zh-CN"/>
      </w:rPr>
    </w:lvl>
    <w:lvl w:ilvl="8" w:tplc="F1B2C444">
      <w:numFmt w:val="bullet"/>
      <w:lvlText w:val="•"/>
      <w:lvlJc w:val="left"/>
      <w:pPr>
        <w:ind w:left="8379" w:hanging="738"/>
      </w:pPr>
      <w:rPr>
        <w:rFonts w:hint="default"/>
        <w:lang w:val="zh-CN" w:eastAsia="zh-CN" w:bidi="zh-CN"/>
      </w:rPr>
    </w:lvl>
  </w:abstractNum>
  <w:abstractNum w:abstractNumId="163" w15:restartNumberingAfterBreak="0">
    <w:nsid w:val="149B29D1"/>
    <w:multiLevelType w:val="hybridMultilevel"/>
    <w:tmpl w:val="FACAD6E2"/>
    <w:lvl w:ilvl="0" w:tplc="42227000">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50A07818">
      <w:numFmt w:val="bullet"/>
      <w:lvlText w:val="•"/>
      <w:lvlJc w:val="left"/>
      <w:pPr>
        <w:ind w:left="2288" w:hanging="529"/>
      </w:pPr>
      <w:rPr>
        <w:rFonts w:hint="default"/>
        <w:lang w:val="zh-CN" w:eastAsia="zh-CN" w:bidi="zh-CN"/>
      </w:rPr>
    </w:lvl>
    <w:lvl w:ilvl="2" w:tplc="8FDA3BA8">
      <w:numFmt w:val="bullet"/>
      <w:lvlText w:val="•"/>
      <w:lvlJc w:val="left"/>
      <w:pPr>
        <w:ind w:left="3217" w:hanging="529"/>
      </w:pPr>
      <w:rPr>
        <w:rFonts w:hint="default"/>
        <w:lang w:val="zh-CN" w:eastAsia="zh-CN" w:bidi="zh-CN"/>
      </w:rPr>
    </w:lvl>
    <w:lvl w:ilvl="3" w:tplc="E42E51AE">
      <w:numFmt w:val="bullet"/>
      <w:lvlText w:val="•"/>
      <w:lvlJc w:val="left"/>
      <w:pPr>
        <w:ind w:left="4145" w:hanging="529"/>
      </w:pPr>
      <w:rPr>
        <w:rFonts w:hint="default"/>
        <w:lang w:val="zh-CN" w:eastAsia="zh-CN" w:bidi="zh-CN"/>
      </w:rPr>
    </w:lvl>
    <w:lvl w:ilvl="4" w:tplc="005044A2">
      <w:numFmt w:val="bullet"/>
      <w:lvlText w:val="•"/>
      <w:lvlJc w:val="left"/>
      <w:pPr>
        <w:ind w:left="5074" w:hanging="529"/>
      </w:pPr>
      <w:rPr>
        <w:rFonts w:hint="default"/>
        <w:lang w:val="zh-CN" w:eastAsia="zh-CN" w:bidi="zh-CN"/>
      </w:rPr>
    </w:lvl>
    <w:lvl w:ilvl="5" w:tplc="71900DCC">
      <w:numFmt w:val="bullet"/>
      <w:lvlText w:val="•"/>
      <w:lvlJc w:val="left"/>
      <w:pPr>
        <w:ind w:left="6003" w:hanging="529"/>
      </w:pPr>
      <w:rPr>
        <w:rFonts w:hint="default"/>
        <w:lang w:val="zh-CN" w:eastAsia="zh-CN" w:bidi="zh-CN"/>
      </w:rPr>
    </w:lvl>
    <w:lvl w:ilvl="6" w:tplc="A4D617EA">
      <w:numFmt w:val="bullet"/>
      <w:lvlText w:val="•"/>
      <w:lvlJc w:val="left"/>
      <w:pPr>
        <w:ind w:left="6931" w:hanging="529"/>
      </w:pPr>
      <w:rPr>
        <w:rFonts w:hint="default"/>
        <w:lang w:val="zh-CN" w:eastAsia="zh-CN" w:bidi="zh-CN"/>
      </w:rPr>
    </w:lvl>
    <w:lvl w:ilvl="7" w:tplc="C6621FF2">
      <w:numFmt w:val="bullet"/>
      <w:lvlText w:val="•"/>
      <w:lvlJc w:val="left"/>
      <w:pPr>
        <w:ind w:left="7860" w:hanging="529"/>
      </w:pPr>
      <w:rPr>
        <w:rFonts w:hint="default"/>
        <w:lang w:val="zh-CN" w:eastAsia="zh-CN" w:bidi="zh-CN"/>
      </w:rPr>
    </w:lvl>
    <w:lvl w:ilvl="8" w:tplc="EB26CA38">
      <w:numFmt w:val="bullet"/>
      <w:lvlText w:val="•"/>
      <w:lvlJc w:val="left"/>
      <w:pPr>
        <w:ind w:left="8789" w:hanging="529"/>
      </w:pPr>
      <w:rPr>
        <w:rFonts w:hint="default"/>
        <w:lang w:val="zh-CN" w:eastAsia="zh-CN" w:bidi="zh-CN"/>
      </w:rPr>
    </w:lvl>
  </w:abstractNum>
  <w:abstractNum w:abstractNumId="164" w15:restartNumberingAfterBreak="0">
    <w:nsid w:val="14DC7E05"/>
    <w:multiLevelType w:val="hybridMultilevel"/>
    <w:tmpl w:val="D5F48FA4"/>
    <w:lvl w:ilvl="0" w:tplc="05003EAE">
      <w:start w:val="12"/>
      <w:numFmt w:val="decimal"/>
      <w:lvlText w:val="%1"/>
      <w:lvlJc w:val="left"/>
      <w:pPr>
        <w:ind w:left="1477" w:hanging="637"/>
        <w:jc w:val="left"/>
      </w:pPr>
      <w:rPr>
        <w:rFonts w:hint="default"/>
        <w:lang w:val="zh-CN" w:eastAsia="zh-CN" w:bidi="zh-CN"/>
      </w:rPr>
    </w:lvl>
    <w:lvl w:ilvl="1" w:tplc="21B2251C">
      <w:start w:val="4"/>
      <w:numFmt w:val="decimal"/>
      <w:lvlText w:val="%1.%2"/>
      <w:lvlJc w:val="left"/>
      <w:pPr>
        <w:ind w:left="1477" w:hanging="637"/>
        <w:jc w:val="left"/>
      </w:pPr>
      <w:rPr>
        <w:rFonts w:hint="default"/>
        <w:lang w:val="zh-CN" w:eastAsia="zh-CN" w:bidi="zh-CN"/>
      </w:rPr>
    </w:lvl>
    <w:lvl w:ilvl="2" w:tplc="0156786E">
      <w:start w:val="1"/>
      <w:numFmt w:val="decimal"/>
      <w:lvlText w:val="%1.%2.%3"/>
      <w:lvlJc w:val="left"/>
      <w:pPr>
        <w:ind w:left="1477" w:hanging="637"/>
        <w:jc w:val="left"/>
      </w:pPr>
      <w:rPr>
        <w:rFonts w:ascii="宋体" w:eastAsia="宋体" w:hAnsi="宋体" w:cs="宋体" w:hint="default"/>
        <w:b/>
        <w:bCs/>
        <w:spacing w:val="-3"/>
        <w:w w:val="99"/>
        <w:sz w:val="19"/>
        <w:szCs w:val="19"/>
        <w:lang w:val="zh-CN" w:eastAsia="zh-CN" w:bidi="zh-CN"/>
      </w:rPr>
    </w:lvl>
    <w:lvl w:ilvl="3" w:tplc="7340D536">
      <w:numFmt w:val="bullet"/>
      <w:lvlText w:val="•"/>
      <w:lvlJc w:val="left"/>
      <w:pPr>
        <w:ind w:left="4229" w:hanging="637"/>
      </w:pPr>
      <w:rPr>
        <w:rFonts w:hint="default"/>
        <w:lang w:val="zh-CN" w:eastAsia="zh-CN" w:bidi="zh-CN"/>
      </w:rPr>
    </w:lvl>
    <w:lvl w:ilvl="4" w:tplc="184C838C">
      <w:numFmt w:val="bullet"/>
      <w:lvlText w:val="•"/>
      <w:lvlJc w:val="left"/>
      <w:pPr>
        <w:ind w:left="5146" w:hanging="637"/>
      </w:pPr>
      <w:rPr>
        <w:rFonts w:hint="default"/>
        <w:lang w:val="zh-CN" w:eastAsia="zh-CN" w:bidi="zh-CN"/>
      </w:rPr>
    </w:lvl>
    <w:lvl w:ilvl="5" w:tplc="1F7E9F80">
      <w:numFmt w:val="bullet"/>
      <w:lvlText w:val="•"/>
      <w:lvlJc w:val="left"/>
      <w:pPr>
        <w:ind w:left="6063" w:hanging="637"/>
      </w:pPr>
      <w:rPr>
        <w:rFonts w:hint="default"/>
        <w:lang w:val="zh-CN" w:eastAsia="zh-CN" w:bidi="zh-CN"/>
      </w:rPr>
    </w:lvl>
    <w:lvl w:ilvl="6" w:tplc="9C04C670">
      <w:numFmt w:val="bullet"/>
      <w:lvlText w:val="•"/>
      <w:lvlJc w:val="left"/>
      <w:pPr>
        <w:ind w:left="6979" w:hanging="637"/>
      </w:pPr>
      <w:rPr>
        <w:rFonts w:hint="default"/>
        <w:lang w:val="zh-CN" w:eastAsia="zh-CN" w:bidi="zh-CN"/>
      </w:rPr>
    </w:lvl>
    <w:lvl w:ilvl="7" w:tplc="42DEB8BE">
      <w:numFmt w:val="bullet"/>
      <w:lvlText w:val="•"/>
      <w:lvlJc w:val="left"/>
      <w:pPr>
        <w:ind w:left="7896" w:hanging="637"/>
      </w:pPr>
      <w:rPr>
        <w:rFonts w:hint="default"/>
        <w:lang w:val="zh-CN" w:eastAsia="zh-CN" w:bidi="zh-CN"/>
      </w:rPr>
    </w:lvl>
    <w:lvl w:ilvl="8" w:tplc="D8F82978">
      <w:numFmt w:val="bullet"/>
      <w:lvlText w:val="•"/>
      <w:lvlJc w:val="left"/>
      <w:pPr>
        <w:ind w:left="8813" w:hanging="637"/>
      </w:pPr>
      <w:rPr>
        <w:rFonts w:hint="default"/>
        <w:lang w:val="zh-CN" w:eastAsia="zh-CN" w:bidi="zh-CN"/>
      </w:rPr>
    </w:lvl>
  </w:abstractNum>
  <w:abstractNum w:abstractNumId="165" w15:restartNumberingAfterBreak="0">
    <w:nsid w:val="14F36A69"/>
    <w:multiLevelType w:val="hybridMultilevel"/>
    <w:tmpl w:val="1B001C86"/>
    <w:lvl w:ilvl="0" w:tplc="81089A42">
      <w:start w:val="5"/>
      <w:numFmt w:val="decimal"/>
      <w:lvlText w:val="%1"/>
      <w:lvlJc w:val="left"/>
      <w:pPr>
        <w:ind w:left="1474" w:hanging="637"/>
        <w:jc w:val="left"/>
      </w:pPr>
      <w:rPr>
        <w:rFonts w:hint="default"/>
        <w:lang w:val="zh-CN" w:eastAsia="zh-CN" w:bidi="zh-CN"/>
      </w:rPr>
    </w:lvl>
    <w:lvl w:ilvl="1" w:tplc="5F72FCD8">
      <w:start w:val="10"/>
      <w:numFmt w:val="decimal"/>
      <w:lvlText w:val="%1.%2"/>
      <w:lvlJc w:val="left"/>
      <w:pPr>
        <w:ind w:left="1474" w:hanging="637"/>
        <w:jc w:val="left"/>
      </w:pPr>
      <w:rPr>
        <w:rFonts w:hint="default"/>
        <w:lang w:val="zh-CN" w:eastAsia="zh-CN" w:bidi="zh-CN"/>
      </w:rPr>
    </w:lvl>
    <w:lvl w:ilvl="2" w:tplc="74EC1C92">
      <w:start w:val="1"/>
      <w:numFmt w:val="decimal"/>
      <w:lvlText w:val="%1.%2.%3"/>
      <w:lvlJc w:val="left"/>
      <w:pPr>
        <w:ind w:left="1474" w:hanging="637"/>
        <w:jc w:val="left"/>
      </w:pPr>
      <w:rPr>
        <w:rFonts w:ascii="宋体" w:eastAsia="宋体" w:hAnsi="宋体" w:cs="宋体" w:hint="default"/>
        <w:b/>
        <w:bCs/>
        <w:w w:val="99"/>
        <w:sz w:val="19"/>
        <w:szCs w:val="19"/>
        <w:lang w:val="zh-CN" w:eastAsia="zh-CN" w:bidi="zh-CN"/>
      </w:rPr>
    </w:lvl>
    <w:lvl w:ilvl="3" w:tplc="4EAC9550">
      <w:numFmt w:val="bullet"/>
      <w:lvlText w:val="•"/>
      <w:lvlJc w:val="left"/>
      <w:pPr>
        <w:ind w:left="4229" w:hanging="637"/>
      </w:pPr>
      <w:rPr>
        <w:rFonts w:hint="default"/>
        <w:lang w:val="zh-CN" w:eastAsia="zh-CN" w:bidi="zh-CN"/>
      </w:rPr>
    </w:lvl>
    <w:lvl w:ilvl="4" w:tplc="87623C3C">
      <w:numFmt w:val="bullet"/>
      <w:lvlText w:val="•"/>
      <w:lvlJc w:val="left"/>
      <w:pPr>
        <w:ind w:left="5146" w:hanging="637"/>
      </w:pPr>
      <w:rPr>
        <w:rFonts w:hint="default"/>
        <w:lang w:val="zh-CN" w:eastAsia="zh-CN" w:bidi="zh-CN"/>
      </w:rPr>
    </w:lvl>
    <w:lvl w:ilvl="5" w:tplc="59267140">
      <w:numFmt w:val="bullet"/>
      <w:lvlText w:val="•"/>
      <w:lvlJc w:val="left"/>
      <w:pPr>
        <w:ind w:left="6063" w:hanging="637"/>
      </w:pPr>
      <w:rPr>
        <w:rFonts w:hint="default"/>
        <w:lang w:val="zh-CN" w:eastAsia="zh-CN" w:bidi="zh-CN"/>
      </w:rPr>
    </w:lvl>
    <w:lvl w:ilvl="6" w:tplc="3D4C0D00">
      <w:numFmt w:val="bullet"/>
      <w:lvlText w:val="•"/>
      <w:lvlJc w:val="left"/>
      <w:pPr>
        <w:ind w:left="6979" w:hanging="637"/>
      </w:pPr>
      <w:rPr>
        <w:rFonts w:hint="default"/>
        <w:lang w:val="zh-CN" w:eastAsia="zh-CN" w:bidi="zh-CN"/>
      </w:rPr>
    </w:lvl>
    <w:lvl w:ilvl="7" w:tplc="1C0EAA24">
      <w:numFmt w:val="bullet"/>
      <w:lvlText w:val="•"/>
      <w:lvlJc w:val="left"/>
      <w:pPr>
        <w:ind w:left="7896" w:hanging="637"/>
      </w:pPr>
      <w:rPr>
        <w:rFonts w:hint="default"/>
        <w:lang w:val="zh-CN" w:eastAsia="zh-CN" w:bidi="zh-CN"/>
      </w:rPr>
    </w:lvl>
    <w:lvl w:ilvl="8" w:tplc="C1405434">
      <w:numFmt w:val="bullet"/>
      <w:lvlText w:val="•"/>
      <w:lvlJc w:val="left"/>
      <w:pPr>
        <w:ind w:left="8813" w:hanging="637"/>
      </w:pPr>
      <w:rPr>
        <w:rFonts w:hint="default"/>
        <w:lang w:val="zh-CN" w:eastAsia="zh-CN" w:bidi="zh-CN"/>
      </w:rPr>
    </w:lvl>
  </w:abstractNum>
  <w:abstractNum w:abstractNumId="166" w15:restartNumberingAfterBreak="0">
    <w:nsid w:val="153C64F0"/>
    <w:multiLevelType w:val="hybridMultilevel"/>
    <w:tmpl w:val="38962D26"/>
    <w:lvl w:ilvl="0" w:tplc="81865F90">
      <w:start w:val="5"/>
      <w:numFmt w:val="decimal"/>
      <w:lvlText w:val="%1"/>
      <w:lvlJc w:val="left"/>
      <w:pPr>
        <w:ind w:left="1370" w:hanging="531"/>
        <w:jc w:val="left"/>
      </w:pPr>
      <w:rPr>
        <w:rFonts w:hint="default"/>
        <w:lang w:val="zh-CN" w:eastAsia="zh-CN" w:bidi="zh-CN"/>
      </w:rPr>
    </w:lvl>
    <w:lvl w:ilvl="1" w:tplc="88EC423A">
      <w:start w:val="3"/>
      <w:numFmt w:val="decimal"/>
      <w:lvlText w:val="%1.%2"/>
      <w:lvlJc w:val="left"/>
      <w:pPr>
        <w:ind w:left="1370" w:hanging="531"/>
        <w:jc w:val="left"/>
      </w:pPr>
      <w:rPr>
        <w:rFonts w:hint="default"/>
        <w:lang w:val="zh-CN" w:eastAsia="zh-CN" w:bidi="zh-CN"/>
      </w:rPr>
    </w:lvl>
    <w:lvl w:ilvl="2" w:tplc="2DBCEF00">
      <w:start w:val="6"/>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6E96EA28">
      <w:numFmt w:val="bullet"/>
      <w:lvlText w:val="•"/>
      <w:lvlJc w:val="left"/>
      <w:pPr>
        <w:ind w:left="4159" w:hanging="531"/>
      </w:pPr>
      <w:rPr>
        <w:rFonts w:hint="default"/>
        <w:lang w:val="zh-CN" w:eastAsia="zh-CN" w:bidi="zh-CN"/>
      </w:rPr>
    </w:lvl>
    <w:lvl w:ilvl="4" w:tplc="BFDAC074">
      <w:numFmt w:val="bullet"/>
      <w:lvlText w:val="•"/>
      <w:lvlJc w:val="left"/>
      <w:pPr>
        <w:ind w:left="5086" w:hanging="531"/>
      </w:pPr>
      <w:rPr>
        <w:rFonts w:hint="default"/>
        <w:lang w:val="zh-CN" w:eastAsia="zh-CN" w:bidi="zh-CN"/>
      </w:rPr>
    </w:lvl>
    <w:lvl w:ilvl="5" w:tplc="D032AF6C">
      <w:numFmt w:val="bullet"/>
      <w:lvlText w:val="•"/>
      <w:lvlJc w:val="left"/>
      <w:pPr>
        <w:ind w:left="6013" w:hanging="531"/>
      </w:pPr>
      <w:rPr>
        <w:rFonts w:hint="default"/>
        <w:lang w:val="zh-CN" w:eastAsia="zh-CN" w:bidi="zh-CN"/>
      </w:rPr>
    </w:lvl>
    <w:lvl w:ilvl="6" w:tplc="3D02FD9E">
      <w:numFmt w:val="bullet"/>
      <w:lvlText w:val="•"/>
      <w:lvlJc w:val="left"/>
      <w:pPr>
        <w:ind w:left="6939" w:hanging="531"/>
      </w:pPr>
      <w:rPr>
        <w:rFonts w:hint="default"/>
        <w:lang w:val="zh-CN" w:eastAsia="zh-CN" w:bidi="zh-CN"/>
      </w:rPr>
    </w:lvl>
    <w:lvl w:ilvl="7" w:tplc="4B0200E4">
      <w:numFmt w:val="bullet"/>
      <w:lvlText w:val="•"/>
      <w:lvlJc w:val="left"/>
      <w:pPr>
        <w:ind w:left="7866" w:hanging="531"/>
      </w:pPr>
      <w:rPr>
        <w:rFonts w:hint="default"/>
        <w:lang w:val="zh-CN" w:eastAsia="zh-CN" w:bidi="zh-CN"/>
      </w:rPr>
    </w:lvl>
    <w:lvl w:ilvl="8" w:tplc="763A0A2E">
      <w:numFmt w:val="bullet"/>
      <w:lvlText w:val="•"/>
      <w:lvlJc w:val="left"/>
      <w:pPr>
        <w:ind w:left="8793" w:hanging="531"/>
      </w:pPr>
      <w:rPr>
        <w:rFonts w:hint="default"/>
        <w:lang w:val="zh-CN" w:eastAsia="zh-CN" w:bidi="zh-CN"/>
      </w:rPr>
    </w:lvl>
  </w:abstractNum>
  <w:abstractNum w:abstractNumId="167" w15:restartNumberingAfterBreak="0">
    <w:nsid w:val="154A613D"/>
    <w:multiLevelType w:val="hybridMultilevel"/>
    <w:tmpl w:val="6B9A6690"/>
    <w:lvl w:ilvl="0" w:tplc="42483CF0">
      <w:start w:val="8"/>
      <w:numFmt w:val="decimal"/>
      <w:lvlText w:val="%1"/>
      <w:lvlJc w:val="left"/>
      <w:pPr>
        <w:ind w:left="1159" w:hanging="320"/>
        <w:jc w:val="left"/>
      </w:pPr>
      <w:rPr>
        <w:rFonts w:hint="default"/>
        <w:lang w:val="zh-CN" w:eastAsia="zh-CN" w:bidi="zh-CN"/>
      </w:rPr>
    </w:lvl>
    <w:lvl w:ilvl="1" w:tplc="18000EDA">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4320B1B0">
      <w:numFmt w:val="bullet"/>
      <w:lvlText w:val="•"/>
      <w:lvlJc w:val="left"/>
      <w:pPr>
        <w:ind w:left="3057" w:hanging="320"/>
      </w:pPr>
      <w:rPr>
        <w:rFonts w:hint="default"/>
        <w:lang w:val="zh-CN" w:eastAsia="zh-CN" w:bidi="zh-CN"/>
      </w:rPr>
    </w:lvl>
    <w:lvl w:ilvl="3" w:tplc="24540F72">
      <w:numFmt w:val="bullet"/>
      <w:lvlText w:val="•"/>
      <w:lvlJc w:val="left"/>
      <w:pPr>
        <w:ind w:left="4005" w:hanging="320"/>
      </w:pPr>
      <w:rPr>
        <w:rFonts w:hint="default"/>
        <w:lang w:val="zh-CN" w:eastAsia="zh-CN" w:bidi="zh-CN"/>
      </w:rPr>
    </w:lvl>
    <w:lvl w:ilvl="4" w:tplc="04D4988E">
      <w:numFmt w:val="bullet"/>
      <w:lvlText w:val="•"/>
      <w:lvlJc w:val="left"/>
      <w:pPr>
        <w:ind w:left="4954" w:hanging="320"/>
      </w:pPr>
      <w:rPr>
        <w:rFonts w:hint="default"/>
        <w:lang w:val="zh-CN" w:eastAsia="zh-CN" w:bidi="zh-CN"/>
      </w:rPr>
    </w:lvl>
    <w:lvl w:ilvl="5" w:tplc="005289D8">
      <w:numFmt w:val="bullet"/>
      <w:lvlText w:val="•"/>
      <w:lvlJc w:val="left"/>
      <w:pPr>
        <w:ind w:left="5903" w:hanging="320"/>
      </w:pPr>
      <w:rPr>
        <w:rFonts w:hint="default"/>
        <w:lang w:val="zh-CN" w:eastAsia="zh-CN" w:bidi="zh-CN"/>
      </w:rPr>
    </w:lvl>
    <w:lvl w:ilvl="6" w:tplc="A9C69E86">
      <w:numFmt w:val="bullet"/>
      <w:lvlText w:val="•"/>
      <w:lvlJc w:val="left"/>
      <w:pPr>
        <w:ind w:left="6851" w:hanging="320"/>
      </w:pPr>
      <w:rPr>
        <w:rFonts w:hint="default"/>
        <w:lang w:val="zh-CN" w:eastAsia="zh-CN" w:bidi="zh-CN"/>
      </w:rPr>
    </w:lvl>
    <w:lvl w:ilvl="7" w:tplc="24762628">
      <w:numFmt w:val="bullet"/>
      <w:lvlText w:val="•"/>
      <w:lvlJc w:val="left"/>
      <w:pPr>
        <w:ind w:left="7800" w:hanging="320"/>
      </w:pPr>
      <w:rPr>
        <w:rFonts w:hint="default"/>
        <w:lang w:val="zh-CN" w:eastAsia="zh-CN" w:bidi="zh-CN"/>
      </w:rPr>
    </w:lvl>
    <w:lvl w:ilvl="8" w:tplc="21FC1D0E">
      <w:numFmt w:val="bullet"/>
      <w:lvlText w:val="•"/>
      <w:lvlJc w:val="left"/>
      <w:pPr>
        <w:ind w:left="8749" w:hanging="320"/>
      </w:pPr>
      <w:rPr>
        <w:rFonts w:hint="default"/>
        <w:lang w:val="zh-CN" w:eastAsia="zh-CN" w:bidi="zh-CN"/>
      </w:rPr>
    </w:lvl>
  </w:abstractNum>
  <w:abstractNum w:abstractNumId="168" w15:restartNumberingAfterBreak="0">
    <w:nsid w:val="15547A40"/>
    <w:multiLevelType w:val="hybridMultilevel"/>
    <w:tmpl w:val="86C00134"/>
    <w:lvl w:ilvl="0" w:tplc="7ADE21E0">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EE388554">
      <w:numFmt w:val="bullet"/>
      <w:lvlText w:val="•"/>
      <w:lvlJc w:val="left"/>
      <w:pPr>
        <w:ind w:left="2288" w:hanging="529"/>
      </w:pPr>
      <w:rPr>
        <w:rFonts w:hint="default"/>
        <w:lang w:val="zh-CN" w:eastAsia="zh-CN" w:bidi="zh-CN"/>
      </w:rPr>
    </w:lvl>
    <w:lvl w:ilvl="2" w:tplc="566CF742">
      <w:numFmt w:val="bullet"/>
      <w:lvlText w:val="•"/>
      <w:lvlJc w:val="left"/>
      <w:pPr>
        <w:ind w:left="3217" w:hanging="529"/>
      </w:pPr>
      <w:rPr>
        <w:rFonts w:hint="default"/>
        <w:lang w:val="zh-CN" w:eastAsia="zh-CN" w:bidi="zh-CN"/>
      </w:rPr>
    </w:lvl>
    <w:lvl w:ilvl="3" w:tplc="4926921E">
      <w:numFmt w:val="bullet"/>
      <w:lvlText w:val="•"/>
      <w:lvlJc w:val="left"/>
      <w:pPr>
        <w:ind w:left="4145" w:hanging="529"/>
      </w:pPr>
      <w:rPr>
        <w:rFonts w:hint="default"/>
        <w:lang w:val="zh-CN" w:eastAsia="zh-CN" w:bidi="zh-CN"/>
      </w:rPr>
    </w:lvl>
    <w:lvl w:ilvl="4" w:tplc="051695DE">
      <w:numFmt w:val="bullet"/>
      <w:lvlText w:val="•"/>
      <w:lvlJc w:val="left"/>
      <w:pPr>
        <w:ind w:left="5074" w:hanging="529"/>
      </w:pPr>
      <w:rPr>
        <w:rFonts w:hint="default"/>
        <w:lang w:val="zh-CN" w:eastAsia="zh-CN" w:bidi="zh-CN"/>
      </w:rPr>
    </w:lvl>
    <w:lvl w:ilvl="5" w:tplc="151886EC">
      <w:numFmt w:val="bullet"/>
      <w:lvlText w:val="•"/>
      <w:lvlJc w:val="left"/>
      <w:pPr>
        <w:ind w:left="6003" w:hanging="529"/>
      </w:pPr>
      <w:rPr>
        <w:rFonts w:hint="default"/>
        <w:lang w:val="zh-CN" w:eastAsia="zh-CN" w:bidi="zh-CN"/>
      </w:rPr>
    </w:lvl>
    <w:lvl w:ilvl="6" w:tplc="99F6E106">
      <w:numFmt w:val="bullet"/>
      <w:lvlText w:val="•"/>
      <w:lvlJc w:val="left"/>
      <w:pPr>
        <w:ind w:left="6931" w:hanging="529"/>
      </w:pPr>
      <w:rPr>
        <w:rFonts w:hint="default"/>
        <w:lang w:val="zh-CN" w:eastAsia="zh-CN" w:bidi="zh-CN"/>
      </w:rPr>
    </w:lvl>
    <w:lvl w:ilvl="7" w:tplc="2EB2D8EA">
      <w:numFmt w:val="bullet"/>
      <w:lvlText w:val="•"/>
      <w:lvlJc w:val="left"/>
      <w:pPr>
        <w:ind w:left="7860" w:hanging="529"/>
      </w:pPr>
      <w:rPr>
        <w:rFonts w:hint="default"/>
        <w:lang w:val="zh-CN" w:eastAsia="zh-CN" w:bidi="zh-CN"/>
      </w:rPr>
    </w:lvl>
    <w:lvl w:ilvl="8" w:tplc="3ADED430">
      <w:numFmt w:val="bullet"/>
      <w:lvlText w:val="•"/>
      <w:lvlJc w:val="left"/>
      <w:pPr>
        <w:ind w:left="8789" w:hanging="529"/>
      </w:pPr>
      <w:rPr>
        <w:rFonts w:hint="default"/>
        <w:lang w:val="zh-CN" w:eastAsia="zh-CN" w:bidi="zh-CN"/>
      </w:rPr>
    </w:lvl>
  </w:abstractNum>
  <w:abstractNum w:abstractNumId="169" w15:restartNumberingAfterBreak="0">
    <w:nsid w:val="15742E10"/>
    <w:multiLevelType w:val="hybridMultilevel"/>
    <w:tmpl w:val="A0FA0F5A"/>
    <w:lvl w:ilvl="0" w:tplc="662C213E">
      <w:start w:val="4"/>
      <w:numFmt w:val="decimal"/>
      <w:lvlText w:val="%1"/>
      <w:lvlJc w:val="left"/>
      <w:pPr>
        <w:ind w:left="1369" w:hanging="529"/>
        <w:jc w:val="left"/>
      </w:pPr>
      <w:rPr>
        <w:rFonts w:hint="default"/>
        <w:lang w:val="zh-CN" w:eastAsia="zh-CN" w:bidi="zh-CN"/>
      </w:rPr>
    </w:lvl>
    <w:lvl w:ilvl="1" w:tplc="BF4429C0">
      <w:start w:val="2"/>
      <w:numFmt w:val="decimal"/>
      <w:lvlText w:val="%1.%2"/>
      <w:lvlJc w:val="left"/>
      <w:pPr>
        <w:ind w:left="1369" w:hanging="529"/>
        <w:jc w:val="left"/>
      </w:pPr>
      <w:rPr>
        <w:rFonts w:hint="default"/>
        <w:lang w:val="zh-CN" w:eastAsia="zh-CN" w:bidi="zh-CN"/>
      </w:rPr>
    </w:lvl>
    <w:lvl w:ilvl="2" w:tplc="FEE8A8F6">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5D28510E">
      <w:numFmt w:val="bullet"/>
      <w:lvlText w:val="•"/>
      <w:lvlJc w:val="left"/>
      <w:pPr>
        <w:ind w:left="4145" w:hanging="529"/>
      </w:pPr>
      <w:rPr>
        <w:rFonts w:hint="default"/>
        <w:lang w:val="zh-CN" w:eastAsia="zh-CN" w:bidi="zh-CN"/>
      </w:rPr>
    </w:lvl>
    <w:lvl w:ilvl="4" w:tplc="E7BA538E">
      <w:numFmt w:val="bullet"/>
      <w:lvlText w:val="•"/>
      <w:lvlJc w:val="left"/>
      <w:pPr>
        <w:ind w:left="5074" w:hanging="529"/>
      </w:pPr>
      <w:rPr>
        <w:rFonts w:hint="default"/>
        <w:lang w:val="zh-CN" w:eastAsia="zh-CN" w:bidi="zh-CN"/>
      </w:rPr>
    </w:lvl>
    <w:lvl w:ilvl="5" w:tplc="CD12ADFA">
      <w:numFmt w:val="bullet"/>
      <w:lvlText w:val="•"/>
      <w:lvlJc w:val="left"/>
      <w:pPr>
        <w:ind w:left="6003" w:hanging="529"/>
      </w:pPr>
      <w:rPr>
        <w:rFonts w:hint="default"/>
        <w:lang w:val="zh-CN" w:eastAsia="zh-CN" w:bidi="zh-CN"/>
      </w:rPr>
    </w:lvl>
    <w:lvl w:ilvl="6" w:tplc="BD9A2F46">
      <w:numFmt w:val="bullet"/>
      <w:lvlText w:val="•"/>
      <w:lvlJc w:val="left"/>
      <w:pPr>
        <w:ind w:left="6931" w:hanging="529"/>
      </w:pPr>
      <w:rPr>
        <w:rFonts w:hint="default"/>
        <w:lang w:val="zh-CN" w:eastAsia="zh-CN" w:bidi="zh-CN"/>
      </w:rPr>
    </w:lvl>
    <w:lvl w:ilvl="7" w:tplc="E09086CC">
      <w:numFmt w:val="bullet"/>
      <w:lvlText w:val="•"/>
      <w:lvlJc w:val="left"/>
      <w:pPr>
        <w:ind w:left="7860" w:hanging="529"/>
      </w:pPr>
      <w:rPr>
        <w:rFonts w:hint="default"/>
        <w:lang w:val="zh-CN" w:eastAsia="zh-CN" w:bidi="zh-CN"/>
      </w:rPr>
    </w:lvl>
    <w:lvl w:ilvl="8" w:tplc="EAAC82D6">
      <w:numFmt w:val="bullet"/>
      <w:lvlText w:val="•"/>
      <w:lvlJc w:val="left"/>
      <w:pPr>
        <w:ind w:left="8789" w:hanging="529"/>
      </w:pPr>
      <w:rPr>
        <w:rFonts w:hint="default"/>
        <w:lang w:val="zh-CN" w:eastAsia="zh-CN" w:bidi="zh-CN"/>
      </w:rPr>
    </w:lvl>
  </w:abstractNum>
  <w:abstractNum w:abstractNumId="170" w15:restartNumberingAfterBreak="0">
    <w:nsid w:val="15907080"/>
    <w:multiLevelType w:val="hybridMultilevel"/>
    <w:tmpl w:val="50CC2DE0"/>
    <w:lvl w:ilvl="0" w:tplc="395A8F46">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E26AAA62">
      <w:numFmt w:val="bullet"/>
      <w:lvlText w:val="•"/>
      <w:lvlJc w:val="left"/>
      <w:pPr>
        <w:ind w:left="2288" w:hanging="529"/>
      </w:pPr>
      <w:rPr>
        <w:rFonts w:hint="default"/>
        <w:lang w:val="zh-CN" w:eastAsia="zh-CN" w:bidi="zh-CN"/>
      </w:rPr>
    </w:lvl>
    <w:lvl w:ilvl="2" w:tplc="1DCC6244">
      <w:numFmt w:val="bullet"/>
      <w:lvlText w:val="•"/>
      <w:lvlJc w:val="left"/>
      <w:pPr>
        <w:ind w:left="3217" w:hanging="529"/>
      </w:pPr>
      <w:rPr>
        <w:rFonts w:hint="default"/>
        <w:lang w:val="zh-CN" w:eastAsia="zh-CN" w:bidi="zh-CN"/>
      </w:rPr>
    </w:lvl>
    <w:lvl w:ilvl="3" w:tplc="53F66250">
      <w:numFmt w:val="bullet"/>
      <w:lvlText w:val="•"/>
      <w:lvlJc w:val="left"/>
      <w:pPr>
        <w:ind w:left="4145" w:hanging="529"/>
      </w:pPr>
      <w:rPr>
        <w:rFonts w:hint="default"/>
        <w:lang w:val="zh-CN" w:eastAsia="zh-CN" w:bidi="zh-CN"/>
      </w:rPr>
    </w:lvl>
    <w:lvl w:ilvl="4" w:tplc="17C2DBDC">
      <w:numFmt w:val="bullet"/>
      <w:lvlText w:val="•"/>
      <w:lvlJc w:val="left"/>
      <w:pPr>
        <w:ind w:left="5074" w:hanging="529"/>
      </w:pPr>
      <w:rPr>
        <w:rFonts w:hint="default"/>
        <w:lang w:val="zh-CN" w:eastAsia="zh-CN" w:bidi="zh-CN"/>
      </w:rPr>
    </w:lvl>
    <w:lvl w:ilvl="5" w:tplc="0D12E422">
      <w:numFmt w:val="bullet"/>
      <w:lvlText w:val="•"/>
      <w:lvlJc w:val="left"/>
      <w:pPr>
        <w:ind w:left="6003" w:hanging="529"/>
      </w:pPr>
      <w:rPr>
        <w:rFonts w:hint="default"/>
        <w:lang w:val="zh-CN" w:eastAsia="zh-CN" w:bidi="zh-CN"/>
      </w:rPr>
    </w:lvl>
    <w:lvl w:ilvl="6" w:tplc="AE046788">
      <w:numFmt w:val="bullet"/>
      <w:lvlText w:val="•"/>
      <w:lvlJc w:val="left"/>
      <w:pPr>
        <w:ind w:left="6931" w:hanging="529"/>
      </w:pPr>
      <w:rPr>
        <w:rFonts w:hint="default"/>
        <w:lang w:val="zh-CN" w:eastAsia="zh-CN" w:bidi="zh-CN"/>
      </w:rPr>
    </w:lvl>
    <w:lvl w:ilvl="7" w:tplc="30CEA0DE">
      <w:numFmt w:val="bullet"/>
      <w:lvlText w:val="•"/>
      <w:lvlJc w:val="left"/>
      <w:pPr>
        <w:ind w:left="7860" w:hanging="529"/>
      </w:pPr>
      <w:rPr>
        <w:rFonts w:hint="default"/>
        <w:lang w:val="zh-CN" w:eastAsia="zh-CN" w:bidi="zh-CN"/>
      </w:rPr>
    </w:lvl>
    <w:lvl w:ilvl="8" w:tplc="DCD2E2C0">
      <w:numFmt w:val="bullet"/>
      <w:lvlText w:val="•"/>
      <w:lvlJc w:val="left"/>
      <w:pPr>
        <w:ind w:left="8789" w:hanging="529"/>
      </w:pPr>
      <w:rPr>
        <w:rFonts w:hint="default"/>
        <w:lang w:val="zh-CN" w:eastAsia="zh-CN" w:bidi="zh-CN"/>
      </w:rPr>
    </w:lvl>
  </w:abstractNum>
  <w:abstractNum w:abstractNumId="171" w15:restartNumberingAfterBreak="0">
    <w:nsid w:val="15C13309"/>
    <w:multiLevelType w:val="hybridMultilevel"/>
    <w:tmpl w:val="3DC08062"/>
    <w:lvl w:ilvl="0" w:tplc="C9008746">
      <w:start w:val="3"/>
      <w:numFmt w:val="decimal"/>
      <w:lvlText w:val="%1"/>
      <w:lvlJc w:val="left"/>
      <w:pPr>
        <w:ind w:left="1158" w:hanging="318"/>
        <w:jc w:val="left"/>
      </w:pPr>
      <w:rPr>
        <w:rFonts w:hint="default"/>
        <w:lang w:val="zh-CN" w:eastAsia="zh-CN" w:bidi="zh-CN"/>
      </w:rPr>
    </w:lvl>
    <w:lvl w:ilvl="1" w:tplc="0B285E92">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A38A70B2">
      <w:start w:val="1"/>
      <w:numFmt w:val="decimal"/>
      <w:lvlText w:val="%1.%2.%3"/>
      <w:lvlJc w:val="left"/>
      <w:pPr>
        <w:ind w:left="418" w:hanging="584"/>
        <w:jc w:val="left"/>
      </w:pPr>
      <w:rPr>
        <w:rFonts w:ascii="宋体" w:eastAsia="宋体" w:hAnsi="宋体" w:cs="宋体" w:hint="default"/>
        <w:b/>
        <w:bCs/>
        <w:w w:val="99"/>
        <w:sz w:val="21"/>
        <w:szCs w:val="21"/>
        <w:lang w:val="zh-CN" w:eastAsia="zh-CN" w:bidi="zh-CN"/>
      </w:rPr>
    </w:lvl>
    <w:lvl w:ilvl="3" w:tplc="E4D2070C">
      <w:numFmt w:val="bullet"/>
      <w:lvlText w:val="•"/>
      <w:lvlJc w:val="left"/>
      <w:pPr>
        <w:ind w:left="3268" w:hanging="584"/>
      </w:pPr>
      <w:rPr>
        <w:rFonts w:hint="default"/>
        <w:lang w:val="zh-CN" w:eastAsia="zh-CN" w:bidi="zh-CN"/>
      </w:rPr>
    </w:lvl>
    <w:lvl w:ilvl="4" w:tplc="A0A0A8EC">
      <w:numFmt w:val="bullet"/>
      <w:lvlText w:val="•"/>
      <w:lvlJc w:val="left"/>
      <w:pPr>
        <w:ind w:left="4322" w:hanging="584"/>
      </w:pPr>
      <w:rPr>
        <w:rFonts w:hint="default"/>
        <w:lang w:val="zh-CN" w:eastAsia="zh-CN" w:bidi="zh-CN"/>
      </w:rPr>
    </w:lvl>
    <w:lvl w:ilvl="5" w:tplc="FBCEABD0">
      <w:numFmt w:val="bullet"/>
      <w:lvlText w:val="•"/>
      <w:lvlJc w:val="left"/>
      <w:pPr>
        <w:ind w:left="5376" w:hanging="584"/>
      </w:pPr>
      <w:rPr>
        <w:rFonts w:hint="default"/>
        <w:lang w:val="zh-CN" w:eastAsia="zh-CN" w:bidi="zh-CN"/>
      </w:rPr>
    </w:lvl>
    <w:lvl w:ilvl="6" w:tplc="EC08840A">
      <w:numFmt w:val="bullet"/>
      <w:lvlText w:val="•"/>
      <w:lvlJc w:val="left"/>
      <w:pPr>
        <w:ind w:left="6430" w:hanging="584"/>
      </w:pPr>
      <w:rPr>
        <w:rFonts w:hint="default"/>
        <w:lang w:val="zh-CN" w:eastAsia="zh-CN" w:bidi="zh-CN"/>
      </w:rPr>
    </w:lvl>
    <w:lvl w:ilvl="7" w:tplc="FFC24F04">
      <w:numFmt w:val="bullet"/>
      <w:lvlText w:val="•"/>
      <w:lvlJc w:val="left"/>
      <w:pPr>
        <w:ind w:left="7484" w:hanging="584"/>
      </w:pPr>
      <w:rPr>
        <w:rFonts w:hint="default"/>
        <w:lang w:val="zh-CN" w:eastAsia="zh-CN" w:bidi="zh-CN"/>
      </w:rPr>
    </w:lvl>
    <w:lvl w:ilvl="8" w:tplc="CAC6C240">
      <w:numFmt w:val="bullet"/>
      <w:lvlText w:val="•"/>
      <w:lvlJc w:val="left"/>
      <w:pPr>
        <w:ind w:left="8538" w:hanging="584"/>
      </w:pPr>
      <w:rPr>
        <w:rFonts w:hint="default"/>
        <w:lang w:val="zh-CN" w:eastAsia="zh-CN" w:bidi="zh-CN"/>
      </w:rPr>
    </w:lvl>
  </w:abstractNum>
  <w:abstractNum w:abstractNumId="172" w15:restartNumberingAfterBreak="0">
    <w:nsid w:val="15C14C68"/>
    <w:multiLevelType w:val="hybridMultilevel"/>
    <w:tmpl w:val="DA929EEA"/>
    <w:lvl w:ilvl="0" w:tplc="1F5A3648">
      <w:start w:val="5"/>
      <w:numFmt w:val="decimal"/>
      <w:lvlText w:val="%1"/>
      <w:lvlJc w:val="left"/>
      <w:pPr>
        <w:ind w:left="1681" w:hanging="844"/>
        <w:jc w:val="left"/>
      </w:pPr>
      <w:rPr>
        <w:rFonts w:hint="default"/>
        <w:lang w:val="zh-CN" w:eastAsia="zh-CN" w:bidi="zh-CN"/>
      </w:rPr>
    </w:lvl>
    <w:lvl w:ilvl="1" w:tplc="E5CEA6D2">
      <w:start w:val="10"/>
      <w:numFmt w:val="decimal"/>
      <w:lvlText w:val="%1.%2"/>
      <w:lvlJc w:val="left"/>
      <w:pPr>
        <w:ind w:left="1681" w:hanging="844"/>
        <w:jc w:val="left"/>
      </w:pPr>
      <w:rPr>
        <w:rFonts w:hint="default"/>
        <w:lang w:val="zh-CN" w:eastAsia="zh-CN" w:bidi="zh-CN"/>
      </w:rPr>
    </w:lvl>
    <w:lvl w:ilvl="2" w:tplc="70DC41BE">
      <w:start w:val="2"/>
      <w:numFmt w:val="decimal"/>
      <w:lvlText w:val="%1.%2.%3"/>
      <w:lvlJc w:val="left"/>
      <w:pPr>
        <w:ind w:left="1681" w:hanging="844"/>
        <w:jc w:val="left"/>
      </w:pPr>
      <w:rPr>
        <w:rFonts w:hint="default"/>
        <w:lang w:val="zh-CN" w:eastAsia="zh-CN" w:bidi="zh-CN"/>
      </w:rPr>
    </w:lvl>
    <w:lvl w:ilvl="3" w:tplc="843C6ABE">
      <w:start w:val="1"/>
      <w:numFmt w:val="decimal"/>
      <w:lvlText w:val="%1.%2.%3.%4"/>
      <w:lvlJc w:val="left"/>
      <w:pPr>
        <w:ind w:left="1681" w:hanging="844"/>
        <w:jc w:val="left"/>
      </w:pPr>
      <w:rPr>
        <w:rFonts w:ascii="宋体" w:eastAsia="宋体" w:hAnsi="宋体" w:cs="宋体" w:hint="default"/>
        <w:spacing w:val="-3"/>
        <w:w w:val="100"/>
        <w:sz w:val="19"/>
        <w:szCs w:val="19"/>
        <w:lang w:val="zh-CN" w:eastAsia="zh-CN" w:bidi="zh-CN"/>
      </w:rPr>
    </w:lvl>
    <w:lvl w:ilvl="4" w:tplc="91D876FA">
      <w:numFmt w:val="bullet"/>
      <w:lvlText w:val="•"/>
      <w:lvlJc w:val="left"/>
      <w:pPr>
        <w:ind w:left="5266" w:hanging="844"/>
      </w:pPr>
      <w:rPr>
        <w:rFonts w:hint="default"/>
        <w:lang w:val="zh-CN" w:eastAsia="zh-CN" w:bidi="zh-CN"/>
      </w:rPr>
    </w:lvl>
    <w:lvl w:ilvl="5" w:tplc="B8228B78">
      <w:numFmt w:val="bullet"/>
      <w:lvlText w:val="•"/>
      <w:lvlJc w:val="left"/>
      <w:pPr>
        <w:ind w:left="6163" w:hanging="844"/>
      </w:pPr>
      <w:rPr>
        <w:rFonts w:hint="default"/>
        <w:lang w:val="zh-CN" w:eastAsia="zh-CN" w:bidi="zh-CN"/>
      </w:rPr>
    </w:lvl>
    <w:lvl w:ilvl="6" w:tplc="EAA69070">
      <w:numFmt w:val="bullet"/>
      <w:lvlText w:val="•"/>
      <w:lvlJc w:val="left"/>
      <w:pPr>
        <w:ind w:left="7059" w:hanging="844"/>
      </w:pPr>
      <w:rPr>
        <w:rFonts w:hint="default"/>
        <w:lang w:val="zh-CN" w:eastAsia="zh-CN" w:bidi="zh-CN"/>
      </w:rPr>
    </w:lvl>
    <w:lvl w:ilvl="7" w:tplc="99EC6A84">
      <w:numFmt w:val="bullet"/>
      <w:lvlText w:val="•"/>
      <w:lvlJc w:val="left"/>
      <w:pPr>
        <w:ind w:left="7956" w:hanging="844"/>
      </w:pPr>
      <w:rPr>
        <w:rFonts w:hint="default"/>
        <w:lang w:val="zh-CN" w:eastAsia="zh-CN" w:bidi="zh-CN"/>
      </w:rPr>
    </w:lvl>
    <w:lvl w:ilvl="8" w:tplc="DF0C84AC">
      <w:numFmt w:val="bullet"/>
      <w:lvlText w:val="•"/>
      <w:lvlJc w:val="left"/>
      <w:pPr>
        <w:ind w:left="8853" w:hanging="844"/>
      </w:pPr>
      <w:rPr>
        <w:rFonts w:hint="default"/>
        <w:lang w:val="zh-CN" w:eastAsia="zh-CN" w:bidi="zh-CN"/>
      </w:rPr>
    </w:lvl>
  </w:abstractNum>
  <w:abstractNum w:abstractNumId="173" w15:restartNumberingAfterBreak="0">
    <w:nsid w:val="15FC1505"/>
    <w:multiLevelType w:val="hybridMultilevel"/>
    <w:tmpl w:val="3F2CEC58"/>
    <w:lvl w:ilvl="0" w:tplc="70FAAC92">
      <w:start w:val="8"/>
      <w:numFmt w:val="decimal"/>
      <w:lvlText w:val="%1"/>
      <w:lvlJc w:val="left"/>
      <w:pPr>
        <w:ind w:left="418" w:hanging="531"/>
        <w:jc w:val="left"/>
      </w:pPr>
      <w:rPr>
        <w:rFonts w:hint="default"/>
        <w:lang w:val="zh-CN" w:eastAsia="zh-CN" w:bidi="zh-CN"/>
      </w:rPr>
    </w:lvl>
    <w:lvl w:ilvl="1" w:tplc="F476F476">
      <w:numFmt w:val="decimal"/>
      <w:lvlText w:val="%1.%2"/>
      <w:lvlJc w:val="left"/>
      <w:pPr>
        <w:ind w:left="418" w:hanging="531"/>
        <w:jc w:val="left"/>
      </w:pPr>
      <w:rPr>
        <w:rFonts w:hint="default"/>
        <w:lang w:val="zh-CN" w:eastAsia="zh-CN" w:bidi="zh-CN"/>
      </w:rPr>
    </w:lvl>
    <w:lvl w:ilvl="2" w:tplc="036A3A48">
      <w:start w:val="4"/>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402A1752">
      <w:numFmt w:val="bullet"/>
      <w:lvlText w:val="•"/>
      <w:lvlJc w:val="left"/>
      <w:pPr>
        <w:ind w:left="3487" w:hanging="531"/>
      </w:pPr>
      <w:rPr>
        <w:rFonts w:hint="default"/>
        <w:lang w:val="zh-CN" w:eastAsia="zh-CN" w:bidi="zh-CN"/>
      </w:rPr>
    </w:lvl>
    <w:lvl w:ilvl="4" w:tplc="103E9686">
      <w:numFmt w:val="bullet"/>
      <w:lvlText w:val="•"/>
      <w:lvlJc w:val="left"/>
      <w:pPr>
        <w:ind w:left="4510" w:hanging="531"/>
      </w:pPr>
      <w:rPr>
        <w:rFonts w:hint="default"/>
        <w:lang w:val="zh-CN" w:eastAsia="zh-CN" w:bidi="zh-CN"/>
      </w:rPr>
    </w:lvl>
    <w:lvl w:ilvl="5" w:tplc="13120FD2">
      <w:numFmt w:val="bullet"/>
      <w:lvlText w:val="•"/>
      <w:lvlJc w:val="left"/>
      <w:pPr>
        <w:ind w:left="5533" w:hanging="531"/>
      </w:pPr>
      <w:rPr>
        <w:rFonts w:hint="default"/>
        <w:lang w:val="zh-CN" w:eastAsia="zh-CN" w:bidi="zh-CN"/>
      </w:rPr>
    </w:lvl>
    <w:lvl w:ilvl="6" w:tplc="2F2CFDF2">
      <w:numFmt w:val="bullet"/>
      <w:lvlText w:val="•"/>
      <w:lvlJc w:val="left"/>
      <w:pPr>
        <w:ind w:left="6555" w:hanging="531"/>
      </w:pPr>
      <w:rPr>
        <w:rFonts w:hint="default"/>
        <w:lang w:val="zh-CN" w:eastAsia="zh-CN" w:bidi="zh-CN"/>
      </w:rPr>
    </w:lvl>
    <w:lvl w:ilvl="7" w:tplc="DA86C766">
      <w:numFmt w:val="bullet"/>
      <w:lvlText w:val="•"/>
      <w:lvlJc w:val="left"/>
      <w:pPr>
        <w:ind w:left="7578" w:hanging="531"/>
      </w:pPr>
      <w:rPr>
        <w:rFonts w:hint="default"/>
        <w:lang w:val="zh-CN" w:eastAsia="zh-CN" w:bidi="zh-CN"/>
      </w:rPr>
    </w:lvl>
    <w:lvl w:ilvl="8" w:tplc="34588314">
      <w:numFmt w:val="bullet"/>
      <w:lvlText w:val="•"/>
      <w:lvlJc w:val="left"/>
      <w:pPr>
        <w:ind w:left="8601" w:hanging="531"/>
      </w:pPr>
      <w:rPr>
        <w:rFonts w:hint="default"/>
        <w:lang w:val="zh-CN" w:eastAsia="zh-CN" w:bidi="zh-CN"/>
      </w:rPr>
    </w:lvl>
  </w:abstractNum>
  <w:abstractNum w:abstractNumId="174" w15:restartNumberingAfterBreak="0">
    <w:nsid w:val="160168C8"/>
    <w:multiLevelType w:val="hybridMultilevel"/>
    <w:tmpl w:val="12ACCB34"/>
    <w:lvl w:ilvl="0" w:tplc="309A09A8">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E774F042">
      <w:numFmt w:val="bullet"/>
      <w:lvlText w:val="•"/>
      <w:lvlJc w:val="left"/>
      <w:pPr>
        <w:ind w:left="2288" w:hanging="529"/>
      </w:pPr>
      <w:rPr>
        <w:rFonts w:hint="default"/>
        <w:lang w:val="zh-CN" w:eastAsia="zh-CN" w:bidi="zh-CN"/>
      </w:rPr>
    </w:lvl>
    <w:lvl w:ilvl="2" w:tplc="A78C1CE8">
      <w:numFmt w:val="bullet"/>
      <w:lvlText w:val="•"/>
      <w:lvlJc w:val="left"/>
      <w:pPr>
        <w:ind w:left="3217" w:hanging="529"/>
      </w:pPr>
      <w:rPr>
        <w:rFonts w:hint="default"/>
        <w:lang w:val="zh-CN" w:eastAsia="zh-CN" w:bidi="zh-CN"/>
      </w:rPr>
    </w:lvl>
    <w:lvl w:ilvl="3" w:tplc="40CAD402">
      <w:numFmt w:val="bullet"/>
      <w:lvlText w:val="•"/>
      <w:lvlJc w:val="left"/>
      <w:pPr>
        <w:ind w:left="4145" w:hanging="529"/>
      </w:pPr>
      <w:rPr>
        <w:rFonts w:hint="default"/>
        <w:lang w:val="zh-CN" w:eastAsia="zh-CN" w:bidi="zh-CN"/>
      </w:rPr>
    </w:lvl>
    <w:lvl w:ilvl="4" w:tplc="EC3C70F4">
      <w:numFmt w:val="bullet"/>
      <w:lvlText w:val="•"/>
      <w:lvlJc w:val="left"/>
      <w:pPr>
        <w:ind w:left="5074" w:hanging="529"/>
      </w:pPr>
      <w:rPr>
        <w:rFonts w:hint="default"/>
        <w:lang w:val="zh-CN" w:eastAsia="zh-CN" w:bidi="zh-CN"/>
      </w:rPr>
    </w:lvl>
    <w:lvl w:ilvl="5" w:tplc="D026BBD0">
      <w:numFmt w:val="bullet"/>
      <w:lvlText w:val="•"/>
      <w:lvlJc w:val="left"/>
      <w:pPr>
        <w:ind w:left="6003" w:hanging="529"/>
      </w:pPr>
      <w:rPr>
        <w:rFonts w:hint="default"/>
        <w:lang w:val="zh-CN" w:eastAsia="zh-CN" w:bidi="zh-CN"/>
      </w:rPr>
    </w:lvl>
    <w:lvl w:ilvl="6" w:tplc="B3FEA5C0">
      <w:numFmt w:val="bullet"/>
      <w:lvlText w:val="•"/>
      <w:lvlJc w:val="left"/>
      <w:pPr>
        <w:ind w:left="6931" w:hanging="529"/>
      </w:pPr>
      <w:rPr>
        <w:rFonts w:hint="default"/>
        <w:lang w:val="zh-CN" w:eastAsia="zh-CN" w:bidi="zh-CN"/>
      </w:rPr>
    </w:lvl>
    <w:lvl w:ilvl="7" w:tplc="65504958">
      <w:numFmt w:val="bullet"/>
      <w:lvlText w:val="•"/>
      <w:lvlJc w:val="left"/>
      <w:pPr>
        <w:ind w:left="7860" w:hanging="529"/>
      </w:pPr>
      <w:rPr>
        <w:rFonts w:hint="default"/>
        <w:lang w:val="zh-CN" w:eastAsia="zh-CN" w:bidi="zh-CN"/>
      </w:rPr>
    </w:lvl>
    <w:lvl w:ilvl="8" w:tplc="4846170C">
      <w:numFmt w:val="bullet"/>
      <w:lvlText w:val="•"/>
      <w:lvlJc w:val="left"/>
      <w:pPr>
        <w:ind w:left="8789" w:hanging="529"/>
      </w:pPr>
      <w:rPr>
        <w:rFonts w:hint="default"/>
        <w:lang w:val="zh-CN" w:eastAsia="zh-CN" w:bidi="zh-CN"/>
      </w:rPr>
    </w:lvl>
  </w:abstractNum>
  <w:abstractNum w:abstractNumId="175" w15:restartNumberingAfterBreak="0">
    <w:nsid w:val="16031DD9"/>
    <w:multiLevelType w:val="hybridMultilevel"/>
    <w:tmpl w:val="8B9C88D4"/>
    <w:lvl w:ilvl="0" w:tplc="B03C7226">
      <w:start w:val="1"/>
      <w:numFmt w:val="decimal"/>
      <w:lvlText w:val="（%1）"/>
      <w:lvlJc w:val="left"/>
      <w:pPr>
        <w:ind w:left="418" w:hanging="527"/>
        <w:jc w:val="left"/>
      </w:pPr>
      <w:rPr>
        <w:rFonts w:ascii="宋体" w:eastAsia="宋体" w:hAnsi="宋体" w:cs="宋体" w:hint="default"/>
        <w:spacing w:val="-27"/>
        <w:w w:val="100"/>
        <w:sz w:val="19"/>
        <w:szCs w:val="19"/>
        <w:lang w:val="zh-CN" w:eastAsia="zh-CN" w:bidi="zh-CN"/>
      </w:rPr>
    </w:lvl>
    <w:lvl w:ilvl="1" w:tplc="7C5075FE">
      <w:numFmt w:val="bullet"/>
      <w:lvlText w:val="•"/>
      <w:lvlJc w:val="left"/>
      <w:pPr>
        <w:ind w:left="1442" w:hanging="527"/>
      </w:pPr>
      <w:rPr>
        <w:rFonts w:hint="default"/>
        <w:lang w:val="zh-CN" w:eastAsia="zh-CN" w:bidi="zh-CN"/>
      </w:rPr>
    </w:lvl>
    <w:lvl w:ilvl="2" w:tplc="34D65176">
      <w:numFmt w:val="bullet"/>
      <w:lvlText w:val="•"/>
      <w:lvlJc w:val="left"/>
      <w:pPr>
        <w:ind w:left="2465" w:hanging="527"/>
      </w:pPr>
      <w:rPr>
        <w:rFonts w:hint="default"/>
        <w:lang w:val="zh-CN" w:eastAsia="zh-CN" w:bidi="zh-CN"/>
      </w:rPr>
    </w:lvl>
    <w:lvl w:ilvl="3" w:tplc="6C88F7C6">
      <w:numFmt w:val="bullet"/>
      <w:lvlText w:val="•"/>
      <w:lvlJc w:val="left"/>
      <w:pPr>
        <w:ind w:left="3487" w:hanging="527"/>
      </w:pPr>
      <w:rPr>
        <w:rFonts w:hint="default"/>
        <w:lang w:val="zh-CN" w:eastAsia="zh-CN" w:bidi="zh-CN"/>
      </w:rPr>
    </w:lvl>
    <w:lvl w:ilvl="4" w:tplc="1C9AA012">
      <w:numFmt w:val="bullet"/>
      <w:lvlText w:val="•"/>
      <w:lvlJc w:val="left"/>
      <w:pPr>
        <w:ind w:left="4510" w:hanging="527"/>
      </w:pPr>
      <w:rPr>
        <w:rFonts w:hint="default"/>
        <w:lang w:val="zh-CN" w:eastAsia="zh-CN" w:bidi="zh-CN"/>
      </w:rPr>
    </w:lvl>
    <w:lvl w:ilvl="5" w:tplc="4CF0EBA0">
      <w:numFmt w:val="bullet"/>
      <w:lvlText w:val="•"/>
      <w:lvlJc w:val="left"/>
      <w:pPr>
        <w:ind w:left="5533" w:hanging="527"/>
      </w:pPr>
      <w:rPr>
        <w:rFonts w:hint="default"/>
        <w:lang w:val="zh-CN" w:eastAsia="zh-CN" w:bidi="zh-CN"/>
      </w:rPr>
    </w:lvl>
    <w:lvl w:ilvl="6" w:tplc="F40C3408">
      <w:numFmt w:val="bullet"/>
      <w:lvlText w:val="•"/>
      <w:lvlJc w:val="left"/>
      <w:pPr>
        <w:ind w:left="6555" w:hanging="527"/>
      </w:pPr>
      <w:rPr>
        <w:rFonts w:hint="default"/>
        <w:lang w:val="zh-CN" w:eastAsia="zh-CN" w:bidi="zh-CN"/>
      </w:rPr>
    </w:lvl>
    <w:lvl w:ilvl="7" w:tplc="66986D3C">
      <w:numFmt w:val="bullet"/>
      <w:lvlText w:val="•"/>
      <w:lvlJc w:val="left"/>
      <w:pPr>
        <w:ind w:left="7578" w:hanging="527"/>
      </w:pPr>
      <w:rPr>
        <w:rFonts w:hint="default"/>
        <w:lang w:val="zh-CN" w:eastAsia="zh-CN" w:bidi="zh-CN"/>
      </w:rPr>
    </w:lvl>
    <w:lvl w:ilvl="8" w:tplc="2EC0E2BC">
      <w:numFmt w:val="bullet"/>
      <w:lvlText w:val="•"/>
      <w:lvlJc w:val="left"/>
      <w:pPr>
        <w:ind w:left="8601" w:hanging="527"/>
      </w:pPr>
      <w:rPr>
        <w:rFonts w:hint="default"/>
        <w:lang w:val="zh-CN" w:eastAsia="zh-CN" w:bidi="zh-CN"/>
      </w:rPr>
    </w:lvl>
  </w:abstractNum>
  <w:abstractNum w:abstractNumId="176" w15:restartNumberingAfterBreak="0">
    <w:nsid w:val="16143DFE"/>
    <w:multiLevelType w:val="hybridMultilevel"/>
    <w:tmpl w:val="D528ECD6"/>
    <w:lvl w:ilvl="0" w:tplc="52EC993A">
      <w:start w:val="6"/>
      <w:numFmt w:val="decimal"/>
      <w:lvlText w:val="%1"/>
      <w:lvlJc w:val="left"/>
      <w:pPr>
        <w:ind w:left="418" w:hanging="637"/>
        <w:jc w:val="left"/>
      </w:pPr>
      <w:rPr>
        <w:rFonts w:hint="default"/>
        <w:lang w:val="zh-CN" w:eastAsia="zh-CN" w:bidi="zh-CN"/>
      </w:rPr>
    </w:lvl>
    <w:lvl w:ilvl="1" w:tplc="BF82674E">
      <w:start w:val="12"/>
      <w:numFmt w:val="decimal"/>
      <w:lvlText w:val="%1.%2"/>
      <w:lvlJc w:val="left"/>
      <w:pPr>
        <w:ind w:left="418" w:hanging="637"/>
        <w:jc w:val="left"/>
      </w:pPr>
      <w:rPr>
        <w:rFonts w:hint="default"/>
        <w:lang w:val="zh-CN" w:eastAsia="zh-CN" w:bidi="zh-CN"/>
      </w:rPr>
    </w:lvl>
    <w:lvl w:ilvl="2" w:tplc="9F8065C8">
      <w:start w:val="1"/>
      <w:numFmt w:val="decimal"/>
      <w:lvlText w:val="%1.%2.%3"/>
      <w:lvlJc w:val="left"/>
      <w:pPr>
        <w:ind w:left="418" w:hanging="637"/>
        <w:jc w:val="left"/>
      </w:pPr>
      <w:rPr>
        <w:rFonts w:ascii="宋体" w:eastAsia="宋体" w:hAnsi="宋体" w:cs="宋体" w:hint="default"/>
        <w:b/>
        <w:bCs/>
        <w:spacing w:val="-53"/>
        <w:w w:val="99"/>
        <w:sz w:val="19"/>
        <w:szCs w:val="19"/>
        <w:lang w:val="zh-CN" w:eastAsia="zh-CN" w:bidi="zh-CN"/>
      </w:rPr>
    </w:lvl>
    <w:lvl w:ilvl="3" w:tplc="01D0CA2C">
      <w:numFmt w:val="bullet"/>
      <w:lvlText w:val="•"/>
      <w:lvlJc w:val="left"/>
      <w:pPr>
        <w:ind w:left="3487" w:hanging="637"/>
      </w:pPr>
      <w:rPr>
        <w:rFonts w:hint="default"/>
        <w:lang w:val="zh-CN" w:eastAsia="zh-CN" w:bidi="zh-CN"/>
      </w:rPr>
    </w:lvl>
    <w:lvl w:ilvl="4" w:tplc="7278E6C0">
      <w:numFmt w:val="bullet"/>
      <w:lvlText w:val="•"/>
      <w:lvlJc w:val="left"/>
      <w:pPr>
        <w:ind w:left="4510" w:hanging="637"/>
      </w:pPr>
      <w:rPr>
        <w:rFonts w:hint="default"/>
        <w:lang w:val="zh-CN" w:eastAsia="zh-CN" w:bidi="zh-CN"/>
      </w:rPr>
    </w:lvl>
    <w:lvl w:ilvl="5" w:tplc="DB525CFE">
      <w:numFmt w:val="bullet"/>
      <w:lvlText w:val="•"/>
      <w:lvlJc w:val="left"/>
      <w:pPr>
        <w:ind w:left="5533" w:hanging="637"/>
      </w:pPr>
      <w:rPr>
        <w:rFonts w:hint="default"/>
        <w:lang w:val="zh-CN" w:eastAsia="zh-CN" w:bidi="zh-CN"/>
      </w:rPr>
    </w:lvl>
    <w:lvl w:ilvl="6" w:tplc="0CAC701C">
      <w:numFmt w:val="bullet"/>
      <w:lvlText w:val="•"/>
      <w:lvlJc w:val="left"/>
      <w:pPr>
        <w:ind w:left="6555" w:hanging="637"/>
      </w:pPr>
      <w:rPr>
        <w:rFonts w:hint="default"/>
        <w:lang w:val="zh-CN" w:eastAsia="zh-CN" w:bidi="zh-CN"/>
      </w:rPr>
    </w:lvl>
    <w:lvl w:ilvl="7" w:tplc="67464406">
      <w:numFmt w:val="bullet"/>
      <w:lvlText w:val="•"/>
      <w:lvlJc w:val="left"/>
      <w:pPr>
        <w:ind w:left="7578" w:hanging="637"/>
      </w:pPr>
      <w:rPr>
        <w:rFonts w:hint="default"/>
        <w:lang w:val="zh-CN" w:eastAsia="zh-CN" w:bidi="zh-CN"/>
      </w:rPr>
    </w:lvl>
    <w:lvl w:ilvl="8" w:tplc="308A8F60">
      <w:numFmt w:val="bullet"/>
      <w:lvlText w:val="•"/>
      <w:lvlJc w:val="left"/>
      <w:pPr>
        <w:ind w:left="8601" w:hanging="637"/>
      </w:pPr>
      <w:rPr>
        <w:rFonts w:hint="default"/>
        <w:lang w:val="zh-CN" w:eastAsia="zh-CN" w:bidi="zh-CN"/>
      </w:rPr>
    </w:lvl>
  </w:abstractNum>
  <w:abstractNum w:abstractNumId="177" w15:restartNumberingAfterBreak="0">
    <w:nsid w:val="161B43BC"/>
    <w:multiLevelType w:val="hybridMultilevel"/>
    <w:tmpl w:val="A82E6068"/>
    <w:lvl w:ilvl="0" w:tplc="F7565DEC">
      <w:start w:val="8"/>
      <w:numFmt w:val="decimal"/>
      <w:lvlText w:val="%1"/>
      <w:lvlJc w:val="left"/>
      <w:pPr>
        <w:ind w:left="418" w:hanging="529"/>
        <w:jc w:val="left"/>
      </w:pPr>
      <w:rPr>
        <w:rFonts w:hint="default"/>
        <w:lang w:val="zh-CN" w:eastAsia="zh-CN" w:bidi="zh-CN"/>
      </w:rPr>
    </w:lvl>
    <w:lvl w:ilvl="1" w:tplc="8B42F286">
      <w:start w:val="2"/>
      <w:numFmt w:val="decimal"/>
      <w:lvlText w:val="%1.%2"/>
      <w:lvlJc w:val="left"/>
      <w:pPr>
        <w:ind w:left="418" w:hanging="529"/>
        <w:jc w:val="left"/>
      </w:pPr>
      <w:rPr>
        <w:rFonts w:hint="default"/>
        <w:lang w:val="zh-CN" w:eastAsia="zh-CN" w:bidi="zh-CN"/>
      </w:rPr>
    </w:lvl>
    <w:lvl w:ilvl="2" w:tplc="93A4651E">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97BCA5FE">
      <w:numFmt w:val="bullet"/>
      <w:lvlText w:val="•"/>
      <w:lvlJc w:val="left"/>
      <w:pPr>
        <w:ind w:left="3487" w:hanging="529"/>
      </w:pPr>
      <w:rPr>
        <w:rFonts w:hint="default"/>
        <w:lang w:val="zh-CN" w:eastAsia="zh-CN" w:bidi="zh-CN"/>
      </w:rPr>
    </w:lvl>
    <w:lvl w:ilvl="4" w:tplc="8028F5DA">
      <w:numFmt w:val="bullet"/>
      <w:lvlText w:val="•"/>
      <w:lvlJc w:val="left"/>
      <w:pPr>
        <w:ind w:left="4510" w:hanging="529"/>
      </w:pPr>
      <w:rPr>
        <w:rFonts w:hint="default"/>
        <w:lang w:val="zh-CN" w:eastAsia="zh-CN" w:bidi="zh-CN"/>
      </w:rPr>
    </w:lvl>
    <w:lvl w:ilvl="5" w:tplc="73ECA5DC">
      <w:numFmt w:val="bullet"/>
      <w:lvlText w:val="•"/>
      <w:lvlJc w:val="left"/>
      <w:pPr>
        <w:ind w:left="5533" w:hanging="529"/>
      </w:pPr>
      <w:rPr>
        <w:rFonts w:hint="default"/>
        <w:lang w:val="zh-CN" w:eastAsia="zh-CN" w:bidi="zh-CN"/>
      </w:rPr>
    </w:lvl>
    <w:lvl w:ilvl="6" w:tplc="7EB8C6B8">
      <w:numFmt w:val="bullet"/>
      <w:lvlText w:val="•"/>
      <w:lvlJc w:val="left"/>
      <w:pPr>
        <w:ind w:left="6555" w:hanging="529"/>
      </w:pPr>
      <w:rPr>
        <w:rFonts w:hint="default"/>
        <w:lang w:val="zh-CN" w:eastAsia="zh-CN" w:bidi="zh-CN"/>
      </w:rPr>
    </w:lvl>
    <w:lvl w:ilvl="7" w:tplc="181C3706">
      <w:numFmt w:val="bullet"/>
      <w:lvlText w:val="•"/>
      <w:lvlJc w:val="left"/>
      <w:pPr>
        <w:ind w:left="7578" w:hanging="529"/>
      </w:pPr>
      <w:rPr>
        <w:rFonts w:hint="default"/>
        <w:lang w:val="zh-CN" w:eastAsia="zh-CN" w:bidi="zh-CN"/>
      </w:rPr>
    </w:lvl>
    <w:lvl w:ilvl="8" w:tplc="2C2CF3DA">
      <w:numFmt w:val="bullet"/>
      <w:lvlText w:val="•"/>
      <w:lvlJc w:val="left"/>
      <w:pPr>
        <w:ind w:left="8601" w:hanging="529"/>
      </w:pPr>
      <w:rPr>
        <w:rFonts w:hint="default"/>
        <w:lang w:val="zh-CN" w:eastAsia="zh-CN" w:bidi="zh-CN"/>
      </w:rPr>
    </w:lvl>
  </w:abstractNum>
  <w:abstractNum w:abstractNumId="178" w15:restartNumberingAfterBreak="0">
    <w:nsid w:val="16613DF6"/>
    <w:multiLevelType w:val="hybridMultilevel"/>
    <w:tmpl w:val="9C3ACEB4"/>
    <w:lvl w:ilvl="0" w:tplc="86C4B606">
      <w:start w:val="3"/>
      <w:numFmt w:val="lowerLetter"/>
      <w:lvlText w:val="%1）"/>
      <w:lvlJc w:val="left"/>
      <w:pPr>
        <w:ind w:left="1198" w:hanging="360"/>
        <w:jc w:val="left"/>
      </w:pPr>
      <w:rPr>
        <w:rFonts w:ascii="宋体" w:eastAsia="宋体" w:hAnsi="宋体" w:cs="宋体" w:hint="default"/>
        <w:w w:val="100"/>
        <w:sz w:val="21"/>
        <w:szCs w:val="21"/>
        <w:lang w:val="zh-CN" w:eastAsia="zh-CN" w:bidi="zh-CN"/>
      </w:rPr>
    </w:lvl>
    <w:lvl w:ilvl="1" w:tplc="860CFE90">
      <w:numFmt w:val="bullet"/>
      <w:lvlText w:val="•"/>
      <w:lvlJc w:val="left"/>
      <w:pPr>
        <w:ind w:left="2144" w:hanging="360"/>
      </w:pPr>
      <w:rPr>
        <w:rFonts w:hint="default"/>
        <w:lang w:val="zh-CN" w:eastAsia="zh-CN" w:bidi="zh-CN"/>
      </w:rPr>
    </w:lvl>
    <w:lvl w:ilvl="2" w:tplc="A26C8688">
      <w:numFmt w:val="bullet"/>
      <w:lvlText w:val="•"/>
      <w:lvlJc w:val="left"/>
      <w:pPr>
        <w:ind w:left="3089" w:hanging="360"/>
      </w:pPr>
      <w:rPr>
        <w:rFonts w:hint="default"/>
        <w:lang w:val="zh-CN" w:eastAsia="zh-CN" w:bidi="zh-CN"/>
      </w:rPr>
    </w:lvl>
    <w:lvl w:ilvl="3" w:tplc="AFC239BC">
      <w:numFmt w:val="bullet"/>
      <w:lvlText w:val="•"/>
      <w:lvlJc w:val="left"/>
      <w:pPr>
        <w:ind w:left="4033" w:hanging="360"/>
      </w:pPr>
      <w:rPr>
        <w:rFonts w:hint="default"/>
        <w:lang w:val="zh-CN" w:eastAsia="zh-CN" w:bidi="zh-CN"/>
      </w:rPr>
    </w:lvl>
    <w:lvl w:ilvl="4" w:tplc="44281B4C">
      <w:numFmt w:val="bullet"/>
      <w:lvlText w:val="•"/>
      <w:lvlJc w:val="left"/>
      <w:pPr>
        <w:ind w:left="4978" w:hanging="360"/>
      </w:pPr>
      <w:rPr>
        <w:rFonts w:hint="default"/>
        <w:lang w:val="zh-CN" w:eastAsia="zh-CN" w:bidi="zh-CN"/>
      </w:rPr>
    </w:lvl>
    <w:lvl w:ilvl="5" w:tplc="9858E7D6">
      <w:numFmt w:val="bullet"/>
      <w:lvlText w:val="•"/>
      <w:lvlJc w:val="left"/>
      <w:pPr>
        <w:ind w:left="5923" w:hanging="360"/>
      </w:pPr>
      <w:rPr>
        <w:rFonts w:hint="default"/>
        <w:lang w:val="zh-CN" w:eastAsia="zh-CN" w:bidi="zh-CN"/>
      </w:rPr>
    </w:lvl>
    <w:lvl w:ilvl="6" w:tplc="B41AD47E">
      <w:numFmt w:val="bullet"/>
      <w:lvlText w:val="•"/>
      <w:lvlJc w:val="left"/>
      <w:pPr>
        <w:ind w:left="6867" w:hanging="360"/>
      </w:pPr>
      <w:rPr>
        <w:rFonts w:hint="default"/>
        <w:lang w:val="zh-CN" w:eastAsia="zh-CN" w:bidi="zh-CN"/>
      </w:rPr>
    </w:lvl>
    <w:lvl w:ilvl="7" w:tplc="6764F6F2">
      <w:numFmt w:val="bullet"/>
      <w:lvlText w:val="•"/>
      <w:lvlJc w:val="left"/>
      <w:pPr>
        <w:ind w:left="7812" w:hanging="360"/>
      </w:pPr>
      <w:rPr>
        <w:rFonts w:hint="default"/>
        <w:lang w:val="zh-CN" w:eastAsia="zh-CN" w:bidi="zh-CN"/>
      </w:rPr>
    </w:lvl>
    <w:lvl w:ilvl="8" w:tplc="5E86B47E">
      <w:numFmt w:val="bullet"/>
      <w:lvlText w:val="•"/>
      <w:lvlJc w:val="left"/>
      <w:pPr>
        <w:ind w:left="8757" w:hanging="360"/>
      </w:pPr>
      <w:rPr>
        <w:rFonts w:hint="default"/>
        <w:lang w:val="zh-CN" w:eastAsia="zh-CN" w:bidi="zh-CN"/>
      </w:rPr>
    </w:lvl>
  </w:abstractNum>
  <w:abstractNum w:abstractNumId="179" w15:restartNumberingAfterBreak="0">
    <w:nsid w:val="169D3D09"/>
    <w:multiLevelType w:val="hybridMultilevel"/>
    <w:tmpl w:val="8EEC9298"/>
    <w:lvl w:ilvl="0" w:tplc="480C79E6">
      <w:start w:val="1"/>
      <w:numFmt w:val="decimal"/>
      <w:lvlText w:val="（%1）"/>
      <w:lvlJc w:val="left"/>
      <w:pPr>
        <w:ind w:left="418" w:hanging="532"/>
        <w:jc w:val="left"/>
      </w:pPr>
      <w:rPr>
        <w:rFonts w:ascii="宋体" w:eastAsia="宋体" w:hAnsi="宋体" w:cs="宋体" w:hint="default"/>
        <w:spacing w:val="0"/>
        <w:w w:val="100"/>
        <w:sz w:val="19"/>
        <w:szCs w:val="19"/>
        <w:lang w:val="zh-CN" w:eastAsia="zh-CN" w:bidi="zh-CN"/>
      </w:rPr>
    </w:lvl>
    <w:lvl w:ilvl="1" w:tplc="08A89004">
      <w:numFmt w:val="bullet"/>
      <w:lvlText w:val="•"/>
      <w:lvlJc w:val="left"/>
      <w:pPr>
        <w:ind w:left="1442" w:hanging="532"/>
      </w:pPr>
      <w:rPr>
        <w:rFonts w:hint="default"/>
        <w:lang w:val="zh-CN" w:eastAsia="zh-CN" w:bidi="zh-CN"/>
      </w:rPr>
    </w:lvl>
    <w:lvl w:ilvl="2" w:tplc="4D1466FC">
      <w:numFmt w:val="bullet"/>
      <w:lvlText w:val="•"/>
      <w:lvlJc w:val="left"/>
      <w:pPr>
        <w:ind w:left="2465" w:hanging="532"/>
      </w:pPr>
      <w:rPr>
        <w:rFonts w:hint="default"/>
        <w:lang w:val="zh-CN" w:eastAsia="zh-CN" w:bidi="zh-CN"/>
      </w:rPr>
    </w:lvl>
    <w:lvl w:ilvl="3" w:tplc="480C6DAA">
      <w:numFmt w:val="bullet"/>
      <w:lvlText w:val="•"/>
      <w:lvlJc w:val="left"/>
      <w:pPr>
        <w:ind w:left="3487" w:hanging="532"/>
      </w:pPr>
      <w:rPr>
        <w:rFonts w:hint="default"/>
        <w:lang w:val="zh-CN" w:eastAsia="zh-CN" w:bidi="zh-CN"/>
      </w:rPr>
    </w:lvl>
    <w:lvl w:ilvl="4" w:tplc="B02AC028">
      <w:numFmt w:val="bullet"/>
      <w:lvlText w:val="•"/>
      <w:lvlJc w:val="left"/>
      <w:pPr>
        <w:ind w:left="4510" w:hanging="532"/>
      </w:pPr>
      <w:rPr>
        <w:rFonts w:hint="default"/>
        <w:lang w:val="zh-CN" w:eastAsia="zh-CN" w:bidi="zh-CN"/>
      </w:rPr>
    </w:lvl>
    <w:lvl w:ilvl="5" w:tplc="5E6E3F2C">
      <w:numFmt w:val="bullet"/>
      <w:lvlText w:val="•"/>
      <w:lvlJc w:val="left"/>
      <w:pPr>
        <w:ind w:left="5533" w:hanging="532"/>
      </w:pPr>
      <w:rPr>
        <w:rFonts w:hint="default"/>
        <w:lang w:val="zh-CN" w:eastAsia="zh-CN" w:bidi="zh-CN"/>
      </w:rPr>
    </w:lvl>
    <w:lvl w:ilvl="6" w:tplc="FD02DC7E">
      <w:numFmt w:val="bullet"/>
      <w:lvlText w:val="•"/>
      <w:lvlJc w:val="left"/>
      <w:pPr>
        <w:ind w:left="6555" w:hanging="532"/>
      </w:pPr>
      <w:rPr>
        <w:rFonts w:hint="default"/>
        <w:lang w:val="zh-CN" w:eastAsia="zh-CN" w:bidi="zh-CN"/>
      </w:rPr>
    </w:lvl>
    <w:lvl w:ilvl="7" w:tplc="88A81B82">
      <w:numFmt w:val="bullet"/>
      <w:lvlText w:val="•"/>
      <w:lvlJc w:val="left"/>
      <w:pPr>
        <w:ind w:left="7578" w:hanging="532"/>
      </w:pPr>
      <w:rPr>
        <w:rFonts w:hint="default"/>
        <w:lang w:val="zh-CN" w:eastAsia="zh-CN" w:bidi="zh-CN"/>
      </w:rPr>
    </w:lvl>
    <w:lvl w:ilvl="8" w:tplc="96780228">
      <w:numFmt w:val="bullet"/>
      <w:lvlText w:val="•"/>
      <w:lvlJc w:val="left"/>
      <w:pPr>
        <w:ind w:left="8601" w:hanging="532"/>
      </w:pPr>
      <w:rPr>
        <w:rFonts w:hint="default"/>
        <w:lang w:val="zh-CN" w:eastAsia="zh-CN" w:bidi="zh-CN"/>
      </w:rPr>
    </w:lvl>
  </w:abstractNum>
  <w:abstractNum w:abstractNumId="180" w15:restartNumberingAfterBreak="0">
    <w:nsid w:val="16B30D42"/>
    <w:multiLevelType w:val="hybridMultilevel"/>
    <w:tmpl w:val="8FE6E704"/>
    <w:lvl w:ilvl="0" w:tplc="3712269C">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99F4B69E">
      <w:numFmt w:val="bullet"/>
      <w:lvlText w:val="•"/>
      <w:lvlJc w:val="left"/>
      <w:pPr>
        <w:ind w:left="2288" w:hanging="529"/>
      </w:pPr>
      <w:rPr>
        <w:rFonts w:hint="default"/>
        <w:lang w:val="zh-CN" w:eastAsia="zh-CN" w:bidi="zh-CN"/>
      </w:rPr>
    </w:lvl>
    <w:lvl w:ilvl="2" w:tplc="688EA6E2">
      <w:numFmt w:val="bullet"/>
      <w:lvlText w:val="•"/>
      <w:lvlJc w:val="left"/>
      <w:pPr>
        <w:ind w:left="3217" w:hanging="529"/>
      </w:pPr>
      <w:rPr>
        <w:rFonts w:hint="default"/>
        <w:lang w:val="zh-CN" w:eastAsia="zh-CN" w:bidi="zh-CN"/>
      </w:rPr>
    </w:lvl>
    <w:lvl w:ilvl="3" w:tplc="BE0A03CA">
      <w:numFmt w:val="bullet"/>
      <w:lvlText w:val="•"/>
      <w:lvlJc w:val="left"/>
      <w:pPr>
        <w:ind w:left="4145" w:hanging="529"/>
      </w:pPr>
      <w:rPr>
        <w:rFonts w:hint="default"/>
        <w:lang w:val="zh-CN" w:eastAsia="zh-CN" w:bidi="zh-CN"/>
      </w:rPr>
    </w:lvl>
    <w:lvl w:ilvl="4" w:tplc="95B49844">
      <w:numFmt w:val="bullet"/>
      <w:lvlText w:val="•"/>
      <w:lvlJc w:val="left"/>
      <w:pPr>
        <w:ind w:left="5074" w:hanging="529"/>
      </w:pPr>
      <w:rPr>
        <w:rFonts w:hint="default"/>
        <w:lang w:val="zh-CN" w:eastAsia="zh-CN" w:bidi="zh-CN"/>
      </w:rPr>
    </w:lvl>
    <w:lvl w:ilvl="5" w:tplc="D958BAF0">
      <w:numFmt w:val="bullet"/>
      <w:lvlText w:val="•"/>
      <w:lvlJc w:val="left"/>
      <w:pPr>
        <w:ind w:left="6003" w:hanging="529"/>
      </w:pPr>
      <w:rPr>
        <w:rFonts w:hint="default"/>
        <w:lang w:val="zh-CN" w:eastAsia="zh-CN" w:bidi="zh-CN"/>
      </w:rPr>
    </w:lvl>
    <w:lvl w:ilvl="6" w:tplc="13F271BE">
      <w:numFmt w:val="bullet"/>
      <w:lvlText w:val="•"/>
      <w:lvlJc w:val="left"/>
      <w:pPr>
        <w:ind w:left="6931" w:hanging="529"/>
      </w:pPr>
      <w:rPr>
        <w:rFonts w:hint="default"/>
        <w:lang w:val="zh-CN" w:eastAsia="zh-CN" w:bidi="zh-CN"/>
      </w:rPr>
    </w:lvl>
    <w:lvl w:ilvl="7" w:tplc="23CA5CAA">
      <w:numFmt w:val="bullet"/>
      <w:lvlText w:val="•"/>
      <w:lvlJc w:val="left"/>
      <w:pPr>
        <w:ind w:left="7860" w:hanging="529"/>
      </w:pPr>
      <w:rPr>
        <w:rFonts w:hint="default"/>
        <w:lang w:val="zh-CN" w:eastAsia="zh-CN" w:bidi="zh-CN"/>
      </w:rPr>
    </w:lvl>
    <w:lvl w:ilvl="8" w:tplc="768A25E8">
      <w:numFmt w:val="bullet"/>
      <w:lvlText w:val="•"/>
      <w:lvlJc w:val="left"/>
      <w:pPr>
        <w:ind w:left="8789" w:hanging="529"/>
      </w:pPr>
      <w:rPr>
        <w:rFonts w:hint="default"/>
        <w:lang w:val="zh-CN" w:eastAsia="zh-CN" w:bidi="zh-CN"/>
      </w:rPr>
    </w:lvl>
  </w:abstractNum>
  <w:abstractNum w:abstractNumId="181" w15:restartNumberingAfterBreak="0">
    <w:nsid w:val="171B21B9"/>
    <w:multiLevelType w:val="hybridMultilevel"/>
    <w:tmpl w:val="B95C8D22"/>
    <w:lvl w:ilvl="0" w:tplc="F578B132">
      <w:start w:val="5"/>
      <w:numFmt w:val="decimal"/>
      <w:lvlText w:val="%1"/>
      <w:lvlJc w:val="left"/>
      <w:pPr>
        <w:ind w:left="418" w:hanging="425"/>
        <w:jc w:val="left"/>
      </w:pPr>
      <w:rPr>
        <w:rFonts w:hint="default"/>
        <w:lang w:val="zh-CN" w:eastAsia="zh-CN" w:bidi="zh-CN"/>
      </w:rPr>
    </w:lvl>
    <w:lvl w:ilvl="1" w:tplc="81D8B6F4">
      <w:start w:val="18"/>
      <w:numFmt w:val="decimal"/>
      <w:lvlText w:val="%1.%2"/>
      <w:lvlJc w:val="left"/>
      <w:pPr>
        <w:ind w:left="418" w:hanging="425"/>
        <w:jc w:val="left"/>
      </w:pPr>
      <w:rPr>
        <w:rFonts w:ascii="宋体" w:eastAsia="宋体" w:hAnsi="宋体" w:cs="宋体" w:hint="default"/>
        <w:b/>
        <w:bCs/>
        <w:w w:val="99"/>
        <w:sz w:val="19"/>
        <w:szCs w:val="19"/>
        <w:lang w:val="zh-CN" w:eastAsia="zh-CN" w:bidi="zh-CN"/>
      </w:rPr>
    </w:lvl>
    <w:lvl w:ilvl="2" w:tplc="611A9BBC">
      <w:numFmt w:val="bullet"/>
      <w:lvlText w:val="•"/>
      <w:lvlJc w:val="left"/>
      <w:pPr>
        <w:ind w:left="2465" w:hanging="425"/>
      </w:pPr>
      <w:rPr>
        <w:rFonts w:hint="default"/>
        <w:lang w:val="zh-CN" w:eastAsia="zh-CN" w:bidi="zh-CN"/>
      </w:rPr>
    </w:lvl>
    <w:lvl w:ilvl="3" w:tplc="213EC398">
      <w:numFmt w:val="bullet"/>
      <w:lvlText w:val="•"/>
      <w:lvlJc w:val="left"/>
      <w:pPr>
        <w:ind w:left="3487" w:hanging="425"/>
      </w:pPr>
      <w:rPr>
        <w:rFonts w:hint="default"/>
        <w:lang w:val="zh-CN" w:eastAsia="zh-CN" w:bidi="zh-CN"/>
      </w:rPr>
    </w:lvl>
    <w:lvl w:ilvl="4" w:tplc="2F9A9078">
      <w:numFmt w:val="bullet"/>
      <w:lvlText w:val="•"/>
      <w:lvlJc w:val="left"/>
      <w:pPr>
        <w:ind w:left="4510" w:hanging="425"/>
      </w:pPr>
      <w:rPr>
        <w:rFonts w:hint="default"/>
        <w:lang w:val="zh-CN" w:eastAsia="zh-CN" w:bidi="zh-CN"/>
      </w:rPr>
    </w:lvl>
    <w:lvl w:ilvl="5" w:tplc="DBF83886">
      <w:numFmt w:val="bullet"/>
      <w:lvlText w:val="•"/>
      <w:lvlJc w:val="left"/>
      <w:pPr>
        <w:ind w:left="5533" w:hanging="425"/>
      </w:pPr>
      <w:rPr>
        <w:rFonts w:hint="default"/>
        <w:lang w:val="zh-CN" w:eastAsia="zh-CN" w:bidi="zh-CN"/>
      </w:rPr>
    </w:lvl>
    <w:lvl w:ilvl="6" w:tplc="F6326C04">
      <w:numFmt w:val="bullet"/>
      <w:lvlText w:val="•"/>
      <w:lvlJc w:val="left"/>
      <w:pPr>
        <w:ind w:left="6555" w:hanging="425"/>
      </w:pPr>
      <w:rPr>
        <w:rFonts w:hint="default"/>
        <w:lang w:val="zh-CN" w:eastAsia="zh-CN" w:bidi="zh-CN"/>
      </w:rPr>
    </w:lvl>
    <w:lvl w:ilvl="7" w:tplc="3CCCB2A0">
      <w:numFmt w:val="bullet"/>
      <w:lvlText w:val="•"/>
      <w:lvlJc w:val="left"/>
      <w:pPr>
        <w:ind w:left="7578" w:hanging="425"/>
      </w:pPr>
      <w:rPr>
        <w:rFonts w:hint="default"/>
        <w:lang w:val="zh-CN" w:eastAsia="zh-CN" w:bidi="zh-CN"/>
      </w:rPr>
    </w:lvl>
    <w:lvl w:ilvl="8" w:tplc="256CE93E">
      <w:numFmt w:val="bullet"/>
      <w:lvlText w:val="•"/>
      <w:lvlJc w:val="left"/>
      <w:pPr>
        <w:ind w:left="8601" w:hanging="425"/>
      </w:pPr>
      <w:rPr>
        <w:rFonts w:hint="default"/>
        <w:lang w:val="zh-CN" w:eastAsia="zh-CN" w:bidi="zh-CN"/>
      </w:rPr>
    </w:lvl>
  </w:abstractNum>
  <w:abstractNum w:abstractNumId="182" w15:restartNumberingAfterBreak="0">
    <w:nsid w:val="17473823"/>
    <w:multiLevelType w:val="hybridMultilevel"/>
    <w:tmpl w:val="98E28170"/>
    <w:lvl w:ilvl="0" w:tplc="2FA8BCA2">
      <w:start w:val="1"/>
      <w:numFmt w:val="decimal"/>
      <w:lvlText w:val="%1"/>
      <w:lvlJc w:val="left"/>
      <w:pPr>
        <w:ind w:left="1158" w:hanging="318"/>
        <w:jc w:val="left"/>
      </w:pPr>
      <w:rPr>
        <w:rFonts w:hint="default"/>
        <w:lang w:val="zh-CN" w:eastAsia="zh-CN" w:bidi="zh-CN"/>
      </w:rPr>
    </w:lvl>
    <w:lvl w:ilvl="1" w:tplc="4CAE3CFC">
      <w:start w:val="1"/>
      <w:numFmt w:val="decimal"/>
      <w:lvlText w:val="%1.%2"/>
      <w:lvlJc w:val="left"/>
      <w:pPr>
        <w:ind w:left="1158" w:hanging="318"/>
        <w:jc w:val="left"/>
      </w:pPr>
      <w:rPr>
        <w:rFonts w:ascii="宋体" w:eastAsia="宋体" w:hAnsi="宋体" w:cs="宋体" w:hint="default"/>
        <w:b/>
        <w:bCs/>
        <w:spacing w:val="-3"/>
        <w:w w:val="99"/>
        <w:sz w:val="19"/>
        <w:szCs w:val="19"/>
        <w:lang w:val="zh-CN" w:eastAsia="zh-CN" w:bidi="zh-CN"/>
      </w:rPr>
    </w:lvl>
    <w:lvl w:ilvl="2" w:tplc="F64079FC">
      <w:numFmt w:val="bullet"/>
      <w:lvlText w:val="•"/>
      <w:lvlJc w:val="left"/>
      <w:pPr>
        <w:ind w:left="3057" w:hanging="318"/>
      </w:pPr>
      <w:rPr>
        <w:rFonts w:hint="default"/>
        <w:lang w:val="zh-CN" w:eastAsia="zh-CN" w:bidi="zh-CN"/>
      </w:rPr>
    </w:lvl>
    <w:lvl w:ilvl="3" w:tplc="48F2E06E">
      <w:numFmt w:val="bullet"/>
      <w:lvlText w:val="•"/>
      <w:lvlJc w:val="left"/>
      <w:pPr>
        <w:ind w:left="4005" w:hanging="318"/>
      </w:pPr>
      <w:rPr>
        <w:rFonts w:hint="default"/>
        <w:lang w:val="zh-CN" w:eastAsia="zh-CN" w:bidi="zh-CN"/>
      </w:rPr>
    </w:lvl>
    <w:lvl w:ilvl="4" w:tplc="9104C202">
      <w:numFmt w:val="bullet"/>
      <w:lvlText w:val="•"/>
      <w:lvlJc w:val="left"/>
      <w:pPr>
        <w:ind w:left="4954" w:hanging="318"/>
      </w:pPr>
      <w:rPr>
        <w:rFonts w:hint="default"/>
        <w:lang w:val="zh-CN" w:eastAsia="zh-CN" w:bidi="zh-CN"/>
      </w:rPr>
    </w:lvl>
    <w:lvl w:ilvl="5" w:tplc="40184874">
      <w:numFmt w:val="bullet"/>
      <w:lvlText w:val="•"/>
      <w:lvlJc w:val="left"/>
      <w:pPr>
        <w:ind w:left="5903" w:hanging="318"/>
      </w:pPr>
      <w:rPr>
        <w:rFonts w:hint="default"/>
        <w:lang w:val="zh-CN" w:eastAsia="zh-CN" w:bidi="zh-CN"/>
      </w:rPr>
    </w:lvl>
    <w:lvl w:ilvl="6" w:tplc="031CC778">
      <w:numFmt w:val="bullet"/>
      <w:lvlText w:val="•"/>
      <w:lvlJc w:val="left"/>
      <w:pPr>
        <w:ind w:left="6851" w:hanging="318"/>
      </w:pPr>
      <w:rPr>
        <w:rFonts w:hint="default"/>
        <w:lang w:val="zh-CN" w:eastAsia="zh-CN" w:bidi="zh-CN"/>
      </w:rPr>
    </w:lvl>
    <w:lvl w:ilvl="7" w:tplc="E1F069D6">
      <w:numFmt w:val="bullet"/>
      <w:lvlText w:val="•"/>
      <w:lvlJc w:val="left"/>
      <w:pPr>
        <w:ind w:left="7800" w:hanging="318"/>
      </w:pPr>
      <w:rPr>
        <w:rFonts w:hint="default"/>
        <w:lang w:val="zh-CN" w:eastAsia="zh-CN" w:bidi="zh-CN"/>
      </w:rPr>
    </w:lvl>
    <w:lvl w:ilvl="8" w:tplc="927058C4">
      <w:numFmt w:val="bullet"/>
      <w:lvlText w:val="•"/>
      <w:lvlJc w:val="left"/>
      <w:pPr>
        <w:ind w:left="8749" w:hanging="318"/>
      </w:pPr>
      <w:rPr>
        <w:rFonts w:hint="default"/>
        <w:lang w:val="zh-CN" w:eastAsia="zh-CN" w:bidi="zh-CN"/>
      </w:rPr>
    </w:lvl>
  </w:abstractNum>
  <w:abstractNum w:abstractNumId="183" w15:restartNumberingAfterBreak="0">
    <w:nsid w:val="17AA0338"/>
    <w:multiLevelType w:val="hybridMultilevel"/>
    <w:tmpl w:val="3FC00C28"/>
    <w:lvl w:ilvl="0" w:tplc="BEE4C612">
      <w:start w:val="9"/>
      <w:numFmt w:val="decimal"/>
      <w:lvlText w:val="%1"/>
      <w:lvlJc w:val="left"/>
      <w:pPr>
        <w:ind w:left="1158" w:hanging="318"/>
        <w:jc w:val="left"/>
      </w:pPr>
      <w:rPr>
        <w:rFonts w:hint="default"/>
        <w:lang w:val="zh-CN" w:eastAsia="zh-CN" w:bidi="zh-CN"/>
      </w:rPr>
    </w:lvl>
    <w:lvl w:ilvl="1" w:tplc="34F29CF4">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B29C7EBE">
      <w:numFmt w:val="bullet"/>
      <w:lvlText w:val="•"/>
      <w:lvlJc w:val="left"/>
      <w:pPr>
        <w:ind w:left="3057" w:hanging="318"/>
      </w:pPr>
      <w:rPr>
        <w:rFonts w:hint="default"/>
        <w:lang w:val="zh-CN" w:eastAsia="zh-CN" w:bidi="zh-CN"/>
      </w:rPr>
    </w:lvl>
    <w:lvl w:ilvl="3" w:tplc="C8224EBA">
      <w:numFmt w:val="bullet"/>
      <w:lvlText w:val="•"/>
      <w:lvlJc w:val="left"/>
      <w:pPr>
        <w:ind w:left="4005" w:hanging="318"/>
      </w:pPr>
      <w:rPr>
        <w:rFonts w:hint="default"/>
        <w:lang w:val="zh-CN" w:eastAsia="zh-CN" w:bidi="zh-CN"/>
      </w:rPr>
    </w:lvl>
    <w:lvl w:ilvl="4" w:tplc="96001EB4">
      <w:numFmt w:val="bullet"/>
      <w:lvlText w:val="•"/>
      <w:lvlJc w:val="left"/>
      <w:pPr>
        <w:ind w:left="4954" w:hanging="318"/>
      </w:pPr>
      <w:rPr>
        <w:rFonts w:hint="default"/>
        <w:lang w:val="zh-CN" w:eastAsia="zh-CN" w:bidi="zh-CN"/>
      </w:rPr>
    </w:lvl>
    <w:lvl w:ilvl="5" w:tplc="20C800D6">
      <w:numFmt w:val="bullet"/>
      <w:lvlText w:val="•"/>
      <w:lvlJc w:val="left"/>
      <w:pPr>
        <w:ind w:left="5903" w:hanging="318"/>
      </w:pPr>
      <w:rPr>
        <w:rFonts w:hint="default"/>
        <w:lang w:val="zh-CN" w:eastAsia="zh-CN" w:bidi="zh-CN"/>
      </w:rPr>
    </w:lvl>
    <w:lvl w:ilvl="6" w:tplc="71E283F2">
      <w:numFmt w:val="bullet"/>
      <w:lvlText w:val="•"/>
      <w:lvlJc w:val="left"/>
      <w:pPr>
        <w:ind w:left="6851" w:hanging="318"/>
      </w:pPr>
      <w:rPr>
        <w:rFonts w:hint="default"/>
        <w:lang w:val="zh-CN" w:eastAsia="zh-CN" w:bidi="zh-CN"/>
      </w:rPr>
    </w:lvl>
    <w:lvl w:ilvl="7" w:tplc="45A070BC">
      <w:numFmt w:val="bullet"/>
      <w:lvlText w:val="•"/>
      <w:lvlJc w:val="left"/>
      <w:pPr>
        <w:ind w:left="7800" w:hanging="318"/>
      </w:pPr>
      <w:rPr>
        <w:rFonts w:hint="default"/>
        <w:lang w:val="zh-CN" w:eastAsia="zh-CN" w:bidi="zh-CN"/>
      </w:rPr>
    </w:lvl>
    <w:lvl w:ilvl="8" w:tplc="6DD04002">
      <w:numFmt w:val="bullet"/>
      <w:lvlText w:val="•"/>
      <w:lvlJc w:val="left"/>
      <w:pPr>
        <w:ind w:left="8749" w:hanging="318"/>
      </w:pPr>
      <w:rPr>
        <w:rFonts w:hint="default"/>
        <w:lang w:val="zh-CN" w:eastAsia="zh-CN" w:bidi="zh-CN"/>
      </w:rPr>
    </w:lvl>
  </w:abstractNum>
  <w:abstractNum w:abstractNumId="184" w15:restartNumberingAfterBreak="0">
    <w:nsid w:val="17B41C20"/>
    <w:multiLevelType w:val="hybridMultilevel"/>
    <w:tmpl w:val="7AFA60D2"/>
    <w:lvl w:ilvl="0" w:tplc="F802241E">
      <w:start w:val="7"/>
      <w:numFmt w:val="decimal"/>
      <w:lvlText w:val="%1"/>
      <w:lvlJc w:val="left"/>
      <w:pPr>
        <w:ind w:left="1158" w:hanging="318"/>
        <w:jc w:val="left"/>
      </w:pPr>
      <w:rPr>
        <w:rFonts w:hint="default"/>
        <w:lang w:val="zh-CN" w:eastAsia="zh-CN" w:bidi="zh-CN"/>
      </w:rPr>
    </w:lvl>
    <w:lvl w:ilvl="1" w:tplc="E91EDE52">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8B1C3626">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C69CD224">
      <w:numFmt w:val="bullet"/>
      <w:lvlText w:val="•"/>
      <w:lvlJc w:val="left"/>
      <w:pPr>
        <w:ind w:left="2520" w:hanging="529"/>
      </w:pPr>
      <w:rPr>
        <w:rFonts w:hint="default"/>
        <w:lang w:val="zh-CN" w:eastAsia="zh-CN" w:bidi="zh-CN"/>
      </w:rPr>
    </w:lvl>
    <w:lvl w:ilvl="4" w:tplc="493ABF10">
      <w:numFmt w:val="bullet"/>
      <w:lvlText w:val="•"/>
      <w:lvlJc w:val="left"/>
      <w:pPr>
        <w:ind w:left="3681" w:hanging="529"/>
      </w:pPr>
      <w:rPr>
        <w:rFonts w:hint="default"/>
        <w:lang w:val="zh-CN" w:eastAsia="zh-CN" w:bidi="zh-CN"/>
      </w:rPr>
    </w:lvl>
    <w:lvl w:ilvl="5" w:tplc="74101974">
      <w:numFmt w:val="bullet"/>
      <w:lvlText w:val="•"/>
      <w:lvlJc w:val="left"/>
      <w:pPr>
        <w:ind w:left="4842" w:hanging="529"/>
      </w:pPr>
      <w:rPr>
        <w:rFonts w:hint="default"/>
        <w:lang w:val="zh-CN" w:eastAsia="zh-CN" w:bidi="zh-CN"/>
      </w:rPr>
    </w:lvl>
    <w:lvl w:ilvl="6" w:tplc="F41C6372">
      <w:numFmt w:val="bullet"/>
      <w:lvlText w:val="•"/>
      <w:lvlJc w:val="left"/>
      <w:pPr>
        <w:ind w:left="6003" w:hanging="529"/>
      </w:pPr>
      <w:rPr>
        <w:rFonts w:hint="default"/>
        <w:lang w:val="zh-CN" w:eastAsia="zh-CN" w:bidi="zh-CN"/>
      </w:rPr>
    </w:lvl>
    <w:lvl w:ilvl="7" w:tplc="6AAA5C60">
      <w:numFmt w:val="bullet"/>
      <w:lvlText w:val="•"/>
      <w:lvlJc w:val="left"/>
      <w:pPr>
        <w:ind w:left="7164" w:hanging="529"/>
      </w:pPr>
      <w:rPr>
        <w:rFonts w:hint="default"/>
        <w:lang w:val="zh-CN" w:eastAsia="zh-CN" w:bidi="zh-CN"/>
      </w:rPr>
    </w:lvl>
    <w:lvl w:ilvl="8" w:tplc="3FC6157A">
      <w:numFmt w:val="bullet"/>
      <w:lvlText w:val="•"/>
      <w:lvlJc w:val="left"/>
      <w:pPr>
        <w:ind w:left="8324" w:hanging="529"/>
      </w:pPr>
      <w:rPr>
        <w:rFonts w:hint="default"/>
        <w:lang w:val="zh-CN" w:eastAsia="zh-CN" w:bidi="zh-CN"/>
      </w:rPr>
    </w:lvl>
  </w:abstractNum>
  <w:abstractNum w:abstractNumId="185" w15:restartNumberingAfterBreak="0">
    <w:nsid w:val="17F67530"/>
    <w:multiLevelType w:val="hybridMultilevel"/>
    <w:tmpl w:val="E78A1EB6"/>
    <w:lvl w:ilvl="0" w:tplc="8E0851A4">
      <w:start w:val="7"/>
      <w:numFmt w:val="decimal"/>
      <w:lvlText w:val="%1"/>
      <w:lvlJc w:val="left"/>
      <w:pPr>
        <w:ind w:left="1158" w:hanging="318"/>
        <w:jc w:val="left"/>
      </w:pPr>
      <w:rPr>
        <w:rFonts w:hint="default"/>
        <w:lang w:val="zh-CN" w:eastAsia="zh-CN" w:bidi="zh-CN"/>
      </w:rPr>
    </w:lvl>
    <w:lvl w:ilvl="1" w:tplc="79960F7A">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42820B2A">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9B545C90">
      <w:numFmt w:val="bullet"/>
      <w:lvlText w:val="•"/>
      <w:lvlJc w:val="left"/>
      <w:pPr>
        <w:ind w:left="2538" w:hanging="531"/>
      </w:pPr>
      <w:rPr>
        <w:rFonts w:hint="default"/>
        <w:lang w:val="zh-CN" w:eastAsia="zh-CN" w:bidi="zh-CN"/>
      </w:rPr>
    </w:lvl>
    <w:lvl w:ilvl="4" w:tplc="712E4BA0">
      <w:numFmt w:val="bullet"/>
      <w:lvlText w:val="•"/>
      <w:lvlJc w:val="left"/>
      <w:pPr>
        <w:ind w:left="3696" w:hanging="531"/>
      </w:pPr>
      <w:rPr>
        <w:rFonts w:hint="default"/>
        <w:lang w:val="zh-CN" w:eastAsia="zh-CN" w:bidi="zh-CN"/>
      </w:rPr>
    </w:lvl>
    <w:lvl w:ilvl="5" w:tplc="8BA49FD4">
      <w:numFmt w:val="bullet"/>
      <w:lvlText w:val="•"/>
      <w:lvlJc w:val="left"/>
      <w:pPr>
        <w:ind w:left="4854" w:hanging="531"/>
      </w:pPr>
      <w:rPr>
        <w:rFonts w:hint="default"/>
        <w:lang w:val="zh-CN" w:eastAsia="zh-CN" w:bidi="zh-CN"/>
      </w:rPr>
    </w:lvl>
    <w:lvl w:ilvl="6" w:tplc="2DEC12CE">
      <w:numFmt w:val="bullet"/>
      <w:lvlText w:val="•"/>
      <w:lvlJc w:val="left"/>
      <w:pPr>
        <w:ind w:left="6013" w:hanging="531"/>
      </w:pPr>
      <w:rPr>
        <w:rFonts w:hint="default"/>
        <w:lang w:val="zh-CN" w:eastAsia="zh-CN" w:bidi="zh-CN"/>
      </w:rPr>
    </w:lvl>
    <w:lvl w:ilvl="7" w:tplc="EEB2ADA4">
      <w:numFmt w:val="bullet"/>
      <w:lvlText w:val="•"/>
      <w:lvlJc w:val="left"/>
      <w:pPr>
        <w:ind w:left="7171" w:hanging="531"/>
      </w:pPr>
      <w:rPr>
        <w:rFonts w:hint="default"/>
        <w:lang w:val="zh-CN" w:eastAsia="zh-CN" w:bidi="zh-CN"/>
      </w:rPr>
    </w:lvl>
    <w:lvl w:ilvl="8" w:tplc="DD8A9C84">
      <w:numFmt w:val="bullet"/>
      <w:lvlText w:val="•"/>
      <w:lvlJc w:val="left"/>
      <w:pPr>
        <w:ind w:left="8329" w:hanging="531"/>
      </w:pPr>
      <w:rPr>
        <w:rFonts w:hint="default"/>
        <w:lang w:val="zh-CN" w:eastAsia="zh-CN" w:bidi="zh-CN"/>
      </w:rPr>
    </w:lvl>
  </w:abstractNum>
  <w:abstractNum w:abstractNumId="186" w15:restartNumberingAfterBreak="0">
    <w:nsid w:val="18192F44"/>
    <w:multiLevelType w:val="hybridMultilevel"/>
    <w:tmpl w:val="0CBC09C6"/>
    <w:lvl w:ilvl="0" w:tplc="41C81730">
      <w:start w:val="4"/>
      <w:numFmt w:val="decimal"/>
      <w:lvlText w:val="%1"/>
      <w:lvlJc w:val="left"/>
      <w:pPr>
        <w:ind w:left="1159" w:hanging="320"/>
        <w:jc w:val="left"/>
      </w:pPr>
      <w:rPr>
        <w:rFonts w:hint="default"/>
        <w:lang w:val="zh-CN" w:eastAsia="zh-CN" w:bidi="zh-CN"/>
      </w:rPr>
    </w:lvl>
    <w:lvl w:ilvl="1" w:tplc="F12E042A">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22E045C8">
      <w:numFmt w:val="bullet"/>
      <w:lvlText w:val="•"/>
      <w:lvlJc w:val="left"/>
      <w:pPr>
        <w:ind w:left="3057" w:hanging="320"/>
      </w:pPr>
      <w:rPr>
        <w:rFonts w:hint="default"/>
        <w:lang w:val="zh-CN" w:eastAsia="zh-CN" w:bidi="zh-CN"/>
      </w:rPr>
    </w:lvl>
    <w:lvl w:ilvl="3" w:tplc="97C83B6A">
      <w:numFmt w:val="bullet"/>
      <w:lvlText w:val="•"/>
      <w:lvlJc w:val="left"/>
      <w:pPr>
        <w:ind w:left="4005" w:hanging="320"/>
      </w:pPr>
      <w:rPr>
        <w:rFonts w:hint="default"/>
        <w:lang w:val="zh-CN" w:eastAsia="zh-CN" w:bidi="zh-CN"/>
      </w:rPr>
    </w:lvl>
    <w:lvl w:ilvl="4" w:tplc="DA92D4C8">
      <w:numFmt w:val="bullet"/>
      <w:lvlText w:val="•"/>
      <w:lvlJc w:val="left"/>
      <w:pPr>
        <w:ind w:left="4954" w:hanging="320"/>
      </w:pPr>
      <w:rPr>
        <w:rFonts w:hint="default"/>
        <w:lang w:val="zh-CN" w:eastAsia="zh-CN" w:bidi="zh-CN"/>
      </w:rPr>
    </w:lvl>
    <w:lvl w:ilvl="5" w:tplc="92D21932">
      <w:numFmt w:val="bullet"/>
      <w:lvlText w:val="•"/>
      <w:lvlJc w:val="left"/>
      <w:pPr>
        <w:ind w:left="5903" w:hanging="320"/>
      </w:pPr>
      <w:rPr>
        <w:rFonts w:hint="default"/>
        <w:lang w:val="zh-CN" w:eastAsia="zh-CN" w:bidi="zh-CN"/>
      </w:rPr>
    </w:lvl>
    <w:lvl w:ilvl="6" w:tplc="E3DC1E5A">
      <w:numFmt w:val="bullet"/>
      <w:lvlText w:val="•"/>
      <w:lvlJc w:val="left"/>
      <w:pPr>
        <w:ind w:left="6851" w:hanging="320"/>
      </w:pPr>
      <w:rPr>
        <w:rFonts w:hint="default"/>
        <w:lang w:val="zh-CN" w:eastAsia="zh-CN" w:bidi="zh-CN"/>
      </w:rPr>
    </w:lvl>
    <w:lvl w:ilvl="7" w:tplc="ECD40EA2">
      <w:numFmt w:val="bullet"/>
      <w:lvlText w:val="•"/>
      <w:lvlJc w:val="left"/>
      <w:pPr>
        <w:ind w:left="7800" w:hanging="320"/>
      </w:pPr>
      <w:rPr>
        <w:rFonts w:hint="default"/>
        <w:lang w:val="zh-CN" w:eastAsia="zh-CN" w:bidi="zh-CN"/>
      </w:rPr>
    </w:lvl>
    <w:lvl w:ilvl="8" w:tplc="D346B5F8">
      <w:numFmt w:val="bullet"/>
      <w:lvlText w:val="•"/>
      <w:lvlJc w:val="left"/>
      <w:pPr>
        <w:ind w:left="8749" w:hanging="320"/>
      </w:pPr>
      <w:rPr>
        <w:rFonts w:hint="default"/>
        <w:lang w:val="zh-CN" w:eastAsia="zh-CN" w:bidi="zh-CN"/>
      </w:rPr>
    </w:lvl>
  </w:abstractNum>
  <w:abstractNum w:abstractNumId="187" w15:restartNumberingAfterBreak="0">
    <w:nsid w:val="18193278"/>
    <w:multiLevelType w:val="hybridMultilevel"/>
    <w:tmpl w:val="A75E4B06"/>
    <w:lvl w:ilvl="0" w:tplc="7FE275DA">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A88697F2">
      <w:numFmt w:val="bullet"/>
      <w:lvlText w:val="•"/>
      <w:lvlJc w:val="left"/>
      <w:pPr>
        <w:ind w:left="2288" w:hanging="529"/>
      </w:pPr>
      <w:rPr>
        <w:rFonts w:hint="default"/>
        <w:lang w:val="zh-CN" w:eastAsia="zh-CN" w:bidi="zh-CN"/>
      </w:rPr>
    </w:lvl>
    <w:lvl w:ilvl="2" w:tplc="95126E28">
      <w:numFmt w:val="bullet"/>
      <w:lvlText w:val="•"/>
      <w:lvlJc w:val="left"/>
      <w:pPr>
        <w:ind w:left="3217" w:hanging="529"/>
      </w:pPr>
      <w:rPr>
        <w:rFonts w:hint="default"/>
        <w:lang w:val="zh-CN" w:eastAsia="zh-CN" w:bidi="zh-CN"/>
      </w:rPr>
    </w:lvl>
    <w:lvl w:ilvl="3" w:tplc="974472C6">
      <w:numFmt w:val="bullet"/>
      <w:lvlText w:val="•"/>
      <w:lvlJc w:val="left"/>
      <w:pPr>
        <w:ind w:left="4145" w:hanging="529"/>
      </w:pPr>
      <w:rPr>
        <w:rFonts w:hint="default"/>
        <w:lang w:val="zh-CN" w:eastAsia="zh-CN" w:bidi="zh-CN"/>
      </w:rPr>
    </w:lvl>
    <w:lvl w:ilvl="4" w:tplc="8920F2D2">
      <w:numFmt w:val="bullet"/>
      <w:lvlText w:val="•"/>
      <w:lvlJc w:val="left"/>
      <w:pPr>
        <w:ind w:left="5074" w:hanging="529"/>
      </w:pPr>
      <w:rPr>
        <w:rFonts w:hint="default"/>
        <w:lang w:val="zh-CN" w:eastAsia="zh-CN" w:bidi="zh-CN"/>
      </w:rPr>
    </w:lvl>
    <w:lvl w:ilvl="5" w:tplc="FEFEF8B4">
      <w:numFmt w:val="bullet"/>
      <w:lvlText w:val="•"/>
      <w:lvlJc w:val="left"/>
      <w:pPr>
        <w:ind w:left="6003" w:hanging="529"/>
      </w:pPr>
      <w:rPr>
        <w:rFonts w:hint="default"/>
        <w:lang w:val="zh-CN" w:eastAsia="zh-CN" w:bidi="zh-CN"/>
      </w:rPr>
    </w:lvl>
    <w:lvl w:ilvl="6" w:tplc="B52CC838">
      <w:numFmt w:val="bullet"/>
      <w:lvlText w:val="•"/>
      <w:lvlJc w:val="left"/>
      <w:pPr>
        <w:ind w:left="6931" w:hanging="529"/>
      </w:pPr>
      <w:rPr>
        <w:rFonts w:hint="default"/>
        <w:lang w:val="zh-CN" w:eastAsia="zh-CN" w:bidi="zh-CN"/>
      </w:rPr>
    </w:lvl>
    <w:lvl w:ilvl="7" w:tplc="82161A42">
      <w:numFmt w:val="bullet"/>
      <w:lvlText w:val="•"/>
      <w:lvlJc w:val="left"/>
      <w:pPr>
        <w:ind w:left="7860" w:hanging="529"/>
      </w:pPr>
      <w:rPr>
        <w:rFonts w:hint="default"/>
        <w:lang w:val="zh-CN" w:eastAsia="zh-CN" w:bidi="zh-CN"/>
      </w:rPr>
    </w:lvl>
    <w:lvl w:ilvl="8" w:tplc="ABA8F3BC">
      <w:numFmt w:val="bullet"/>
      <w:lvlText w:val="•"/>
      <w:lvlJc w:val="left"/>
      <w:pPr>
        <w:ind w:left="8789" w:hanging="529"/>
      </w:pPr>
      <w:rPr>
        <w:rFonts w:hint="default"/>
        <w:lang w:val="zh-CN" w:eastAsia="zh-CN" w:bidi="zh-CN"/>
      </w:rPr>
    </w:lvl>
  </w:abstractNum>
  <w:abstractNum w:abstractNumId="188" w15:restartNumberingAfterBreak="0">
    <w:nsid w:val="184D7CB7"/>
    <w:multiLevelType w:val="hybridMultilevel"/>
    <w:tmpl w:val="731211AE"/>
    <w:lvl w:ilvl="0" w:tplc="ABF42A16">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1214ED82">
      <w:numFmt w:val="bullet"/>
      <w:lvlText w:val="•"/>
      <w:lvlJc w:val="left"/>
      <w:pPr>
        <w:ind w:left="2288" w:hanging="529"/>
      </w:pPr>
      <w:rPr>
        <w:rFonts w:hint="default"/>
        <w:lang w:val="zh-CN" w:eastAsia="zh-CN" w:bidi="zh-CN"/>
      </w:rPr>
    </w:lvl>
    <w:lvl w:ilvl="2" w:tplc="1C008C14">
      <w:numFmt w:val="bullet"/>
      <w:lvlText w:val="•"/>
      <w:lvlJc w:val="left"/>
      <w:pPr>
        <w:ind w:left="3217" w:hanging="529"/>
      </w:pPr>
      <w:rPr>
        <w:rFonts w:hint="default"/>
        <w:lang w:val="zh-CN" w:eastAsia="zh-CN" w:bidi="zh-CN"/>
      </w:rPr>
    </w:lvl>
    <w:lvl w:ilvl="3" w:tplc="706C4B2A">
      <w:numFmt w:val="bullet"/>
      <w:lvlText w:val="•"/>
      <w:lvlJc w:val="left"/>
      <w:pPr>
        <w:ind w:left="4145" w:hanging="529"/>
      </w:pPr>
      <w:rPr>
        <w:rFonts w:hint="default"/>
        <w:lang w:val="zh-CN" w:eastAsia="zh-CN" w:bidi="zh-CN"/>
      </w:rPr>
    </w:lvl>
    <w:lvl w:ilvl="4" w:tplc="00F2B78E">
      <w:numFmt w:val="bullet"/>
      <w:lvlText w:val="•"/>
      <w:lvlJc w:val="left"/>
      <w:pPr>
        <w:ind w:left="5074" w:hanging="529"/>
      </w:pPr>
      <w:rPr>
        <w:rFonts w:hint="default"/>
        <w:lang w:val="zh-CN" w:eastAsia="zh-CN" w:bidi="zh-CN"/>
      </w:rPr>
    </w:lvl>
    <w:lvl w:ilvl="5" w:tplc="3612D87A">
      <w:numFmt w:val="bullet"/>
      <w:lvlText w:val="•"/>
      <w:lvlJc w:val="left"/>
      <w:pPr>
        <w:ind w:left="6003" w:hanging="529"/>
      </w:pPr>
      <w:rPr>
        <w:rFonts w:hint="default"/>
        <w:lang w:val="zh-CN" w:eastAsia="zh-CN" w:bidi="zh-CN"/>
      </w:rPr>
    </w:lvl>
    <w:lvl w:ilvl="6" w:tplc="803CF414">
      <w:numFmt w:val="bullet"/>
      <w:lvlText w:val="•"/>
      <w:lvlJc w:val="left"/>
      <w:pPr>
        <w:ind w:left="6931" w:hanging="529"/>
      </w:pPr>
      <w:rPr>
        <w:rFonts w:hint="default"/>
        <w:lang w:val="zh-CN" w:eastAsia="zh-CN" w:bidi="zh-CN"/>
      </w:rPr>
    </w:lvl>
    <w:lvl w:ilvl="7" w:tplc="68341D3C">
      <w:numFmt w:val="bullet"/>
      <w:lvlText w:val="•"/>
      <w:lvlJc w:val="left"/>
      <w:pPr>
        <w:ind w:left="7860" w:hanging="529"/>
      </w:pPr>
      <w:rPr>
        <w:rFonts w:hint="default"/>
        <w:lang w:val="zh-CN" w:eastAsia="zh-CN" w:bidi="zh-CN"/>
      </w:rPr>
    </w:lvl>
    <w:lvl w:ilvl="8" w:tplc="F42848CE">
      <w:numFmt w:val="bullet"/>
      <w:lvlText w:val="•"/>
      <w:lvlJc w:val="left"/>
      <w:pPr>
        <w:ind w:left="8789" w:hanging="529"/>
      </w:pPr>
      <w:rPr>
        <w:rFonts w:hint="default"/>
        <w:lang w:val="zh-CN" w:eastAsia="zh-CN" w:bidi="zh-CN"/>
      </w:rPr>
    </w:lvl>
  </w:abstractNum>
  <w:abstractNum w:abstractNumId="189" w15:restartNumberingAfterBreak="0">
    <w:nsid w:val="192F4946"/>
    <w:multiLevelType w:val="hybridMultilevel"/>
    <w:tmpl w:val="7570B8BC"/>
    <w:lvl w:ilvl="0" w:tplc="7E0C19DE">
      <w:start w:val="4"/>
      <w:numFmt w:val="decimal"/>
      <w:lvlText w:val="%1"/>
      <w:lvlJc w:val="left"/>
      <w:pPr>
        <w:ind w:left="1575" w:hanging="738"/>
        <w:jc w:val="left"/>
      </w:pPr>
      <w:rPr>
        <w:rFonts w:hint="default"/>
        <w:lang w:val="zh-CN" w:eastAsia="zh-CN" w:bidi="zh-CN"/>
      </w:rPr>
    </w:lvl>
    <w:lvl w:ilvl="1" w:tplc="CA4AF5EC">
      <w:start w:val="1"/>
      <w:numFmt w:val="decimal"/>
      <w:lvlText w:val="%1.%2"/>
      <w:lvlJc w:val="left"/>
      <w:pPr>
        <w:ind w:left="1575" w:hanging="738"/>
        <w:jc w:val="left"/>
      </w:pPr>
      <w:rPr>
        <w:rFonts w:hint="default"/>
        <w:lang w:val="zh-CN" w:eastAsia="zh-CN" w:bidi="zh-CN"/>
      </w:rPr>
    </w:lvl>
    <w:lvl w:ilvl="2" w:tplc="F56CE51C">
      <w:start w:val="2"/>
      <w:numFmt w:val="decimal"/>
      <w:lvlText w:val="%1.%2.%3"/>
      <w:lvlJc w:val="left"/>
      <w:pPr>
        <w:ind w:left="1575" w:hanging="738"/>
        <w:jc w:val="left"/>
      </w:pPr>
      <w:rPr>
        <w:rFonts w:hint="default"/>
        <w:lang w:val="zh-CN" w:eastAsia="zh-CN" w:bidi="zh-CN"/>
      </w:rPr>
    </w:lvl>
    <w:lvl w:ilvl="3" w:tplc="F1F04B7A">
      <w:start w:val="5"/>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E5C8EA78">
      <w:numFmt w:val="bullet"/>
      <w:lvlText w:val="•"/>
      <w:lvlJc w:val="left"/>
      <w:pPr>
        <w:ind w:left="5206" w:hanging="738"/>
      </w:pPr>
      <w:rPr>
        <w:rFonts w:hint="default"/>
        <w:lang w:val="zh-CN" w:eastAsia="zh-CN" w:bidi="zh-CN"/>
      </w:rPr>
    </w:lvl>
    <w:lvl w:ilvl="5" w:tplc="A6D00434">
      <w:numFmt w:val="bullet"/>
      <w:lvlText w:val="•"/>
      <w:lvlJc w:val="left"/>
      <w:pPr>
        <w:ind w:left="6113" w:hanging="738"/>
      </w:pPr>
      <w:rPr>
        <w:rFonts w:hint="default"/>
        <w:lang w:val="zh-CN" w:eastAsia="zh-CN" w:bidi="zh-CN"/>
      </w:rPr>
    </w:lvl>
    <w:lvl w:ilvl="6" w:tplc="82101516">
      <w:numFmt w:val="bullet"/>
      <w:lvlText w:val="•"/>
      <w:lvlJc w:val="left"/>
      <w:pPr>
        <w:ind w:left="7019" w:hanging="738"/>
      </w:pPr>
      <w:rPr>
        <w:rFonts w:hint="default"/>
        <w:lang w:val="zh-CN" w:eastAsia="zh-CN" w:bidi="zh-CN"/>
      </w:rPr>
    </w:lvl>
    <w:lvl w:ilvl="7" w:tplc="5AD410E8">
      <w:numFmt w:val="bullet"/>
      <w:lvlText w:val="•"/>
      <w:lvlJc w:val="left"/>
      <w:pPr>
        <w:ind w:left="7926" w:hanging="738"/>
      </w:pPr>
      <w:rPr>
        <w:rFonts w:hint="default"/>
        <w:lang w:val="zh-CN" w:eastAsia="zh-CN" w:bidi="zh-CN"/>
      </w:rPr>
    </w:lvl>
    <w:lvl w:ilvl="8" w:tplc="F9BE99D2">
      <w:numFmt w:val="bullet"/>
      <w:lvlText w:val="•"/>
      <w:lvlJc w:val="left"/>
      <w:pPr>
        <w:ind w:left="8833" w:hanging="738"/>
      </w:pPr>
      <w:rPr>
        <w:rFonts w:hint="default"/>
        <w:lang w:val="zh-CN" w:eastAsia="zh-CN" w:bidi="zh-CN"/>
      </w:rPr>
    </w:lvl>
  </w:abstractNum>
  <w:abstractNum w:abstractNumId="190" w15:restartNumberingAfterBreak="0">
    <w:nsid w:val="193E0849"/>
    <w:multiLevelType w:val="hybridMultilevel"/>
    <w:tmpl w:val="F194816E"/>
    <w:lvl w:ilvl="0" w:tplc="CCE60F10">
      <w:start w:val="2"/>
      <w:numFmt w:val="decimal"/>
      <w:lvlText w:val="%1."/>
      <w:lvlJc w:val="left"/>
      <w:pPr>
        <w:ind w:left="418" w:hanging="213"/>
        <w:jc w:val="left"/>
      </w:pPr>
      <w:rPr>
        <w:rFonts w:ascii="宋体" w:eastAsia="宋体" w:hAnsi="宋体" w:cs="宋体" w:hint="default"/>
        <w:spacing w:val="-53"/>
        <w:w w:val="100"/>
        <w:sz w:val="19"/>
        <w:szCs w:val="19"/>
        <w:lang w:val="zh-CN" w:eastAsia="zh-CN" w:bidi="zh-CN"/>
      </w:rPr>
    </w:lvl>
    <w:lvl w:ilvl="1" w:tplc="4C2CBFCE">
      <w:numFmt w:val="bullet"/>
      <w:lvlText w:val="•"/>
      <w:lvlJc w:val="left"/>
      <w:pPr>
        <w:ind w:left="1442" w:hanging="213"/>
      </w:pPr>
      <w:rPr>
        <w:rFonts w:hint="default"/>
        <w:lang w:val="zh-CN" w:eastAsia="zh-CN" w:bidi="zh-CN"/>
      </w:rPr>
    </w:lvl>
    <w:lvl w:ilvl="2" w:tplc="BD62CC74">
      <w:numFmt w:val="bullet"/>
      <w:lvlText w:val="•"/>
      <w:lvlJc w:val="left"/>
      <w:pPr>
        <w:ind w:left="2465" w:hanging="213"/>
      </w:pPr>
      <w:rPr>
        <w:rFonts w:hint="default"/>
        <w:lang w:val="zh-CN" w:eastAsia="zh-CN" w:bidi="zh-CN"/>
      </w:rPr>
    </w:lvl>
    <w:lvl w:ilvl="3" w:tplc="1BEA20C0">
      <w:numFmt w:val="bullet"/>
      <w:lvlText w:val="•"/>
      <w:lvlJc w:val="left"/>
      <w:pPr>
        <w:ind w:left="3487" w:hanging="213"/>
      </w:pPr>
      <w:rPr>
        <w:rFonts w:hint="default"/>
        <w:lang w:val="zh-CN" w:eastAsia="zh-CN" w:bidi="zh-CN"/>
      </w:rPr>
    </w:lvl>
    <w:lvl w:ilvl="4" w:tplc="CEE8460A">
      <w:numFmt w:val="bullet"/>
      <w:lvlText w:val="•"/>
      <w:lvlJc w:val="left"/>
      <w:pPr>
        <w:ind w:left="4510" w:hanging="213"/>
      </w:pPr>
      <w:rPr>
        <w:rFonts w:hint="default"/>
        <w:lang w:val="zh-CN" w:eastAsia="zh-CN" w:bidi="zh-CN"/>
      </w:rPr>
    </w:lvl>
    <w:lvl w:ilvl="5" w:tplc="50BEF792">
      <w:numFmt w:val="bullet"/>
      <w:lvlText w:val="•"/>
      <w:lvlJc w:val="left"/>
      <w:pPr>
        <w:ind w:left="5533" w:hanging="213"/>
      </w:pPr>
      <w:rPr>
        <w:rFonts w:hint="default"/>
        <w:lang w:val="zh-CN" w:eastAsia="zh-CN" w:bidi="zh-CN"/>
      </w:rPr>
    </w:lvl>
    <w:lvl w:ilvl="6" w:tplc="4F7E0C3A">
      <w:numFmt w:val="bullet"/>
      <w:lvlText w:val="•"/>
      <w:lvlJc w:val="left"/>
      <w:pPr>
        <w:ind w:left="6555" w:hanging="213"/>
      </w:pPr>
      <w:rPr>
        <w:rFonts w:hint="default"/>
        <w:lang w:val="zh-CN" w:eastAsia="zh-CN" w:bidi="zh-CN"/>
      </w:rPr>
    </w:lvl>
    <w:lvl w:ilvl="7" w:tplc="46DE1528">
      <w:numFmt w:val="bullet"/>
      <w:lvlText w:val="•"/>
      <w:lvlJc w:val="left"/>
      <w:pPr>
        <w:ind w:left="7578" w:hanging="213"/>
      </w:pPr>
      <w:rPr>
        <w:rFonts w:hint="default"/>
        <w:lang w:val="zh-CN" w:eastAsia="zh-CN" w:bidi="zh-CN"/>
      </w:rPr>
    </w:lvl>
    <w:lvl w:ilvl="8" w:tplc="16504C0C">
      <w:numFmt w:val="bullet"/>
      <w:lvlText w:val="•"/>
      <w:lvlJc w:val="left"/>
      <w:pPr>
        <w:ind w:left="8601" w:hanging="213"/>
      </w:pPr>
      <w:rPr>
        <w:rFonts w:hint="default"/>
        <w:lang w:val="zh-CN" w:eastAsia="zh-CN" w:bidi="zh-CN"/>
      </w:rPr>
    </w:lvl>
  </w:abstractNum>
  <w:abstractNum w:abstractNumId="191" w15:restartNumberingAfterBreak="0">
    <w:nsid w:val="19534727"/>
    <w:multiLevelType w:val="hybridMultilevel"/>
    <w:tmpl w:val="A808C5FE"/>
    <w:lvl w:ilvl="0" w:tplc="2F6215EE">
      <w:start w:val="4"/>
      <w:numFmt w:val="decimal"/>
      <w:lvlText w:val="%1"/>
      <w:lvlJc w:val="left"/>
      <w:pPr>
        <w:ind w:left="1369" w:hanging="529"/>
        <w:jc w:val="left"/>
      </w:pPr>
      <w:rPr>
        <w:rFonts w:hint="default"/>
        <w:lang w:val="zh-CN" w:eastAsia="zh-CN" w:bidi="zh-CN"/>
      </w:rPr>
    </w:lvl>
    <w:lvl w:ilvl="1" w:tplc="C428B882">
      <w:start w:val="3"/>
      <w:numFmt w:val="decimal"/>
      <w:lvlText w:val="%1.%2"/>
      <w:lvlJc w:val="left"/>
      <w:pPr>
        <w:ind w:left="1369" w:hanging="529"/>
        <w:jc w:val="left"/>
      </w:pPr>
      <w:rPr>
        <w:rFonts w:hint="default"/>
        <w:lang w:val="zh-CN" w:eastAsia="zh-CN" w:bidi="zh-CN"/>
      </w:rPr>
    </w:lvl>
    <w:lvl w:ilvl="2" w:tplc="F72CE46C">
      <w:start w:val="1"/>
      <w:numFmt w:val="decimal"/>
      <w:lvlText w:val="%1.%2.%3"/>
      <w:lvlJc w:val="left"/>
      <w:pPr>
        <w:ind w:left="1369" w:hanging="529"/>
        <w:jc w:val="left"/>
      </w:pPr>
      <w:rPr>
        <w:rFonts w:ascii="宋体" w:eastAsia="宋体" w:hAnsi="宋体" w:cs="宋体" w:hint="default"/>
        <w:b/>
        <w:bCs/>
        <w:spacing w:val="-8"/>
        <w:w w:val="99"/>
        <w:sz w:val="19"/>
        <w:szCs w:val="19"/>
        <w:lang w:val="zh-CN" w:eastAsia="zh-CN" w:bidi="zh-CN"/>
      </w:rPr>
    </w:lvl>
    <w:lvl w:ilvl="3" w:tplc="C47EAB78">
      <w:numFmt w:val="bullet"/>
      <w:lvlText w:val="•"/>
      <w:lvlJc w:val="left"/>
      <w:pPr>
        <w:ind w:left="4145" w:hanging="529"/>
      </w:pPr>
      <w:rPr>
        <w:rFonts w:hint="default"/>
        <w:lang w:val="zh-CN" w:eastAsia="zh-CN" w:bidi="zh-CN"/>
      </w:rPr>
    </w:lvl>
    <w:lvl w:ilvl="4" w:tplc="C6600862">
      <w:numFmt w:val="bullet"/>
      <w:lvlText w:val="•"/>
      <w:lvlJc w:val="left"/>
      <w:pPr>
        <w:ind w:left="5074" w:hanging="529"/>
      </w:pPr>
      <w:rPr>
        <w:rFonts w:hint="default"/>
        <w:lang w:val="zh-CN" w:eastAsia="zh-CN" w:bidi="zh-CN"/>
      </w:rPr>
    </w:lvl>
    <w:lvl w:ilvl="5" w:tplc="00484098">
      <w:numFmt w:val="bullet"/>
      <w:lvlText w:val="•"/>
      <w:lvlJc w:val="left"/>
      <w:pPr>
        <w:ind w:left="6003" w:hanging="529"/>
      </w:pPr>
      <w:rPr>
        <w:rFonts w:hint="default"/>
        <w:lang w:val="zh-CN" w:eastAsia="zh-CN" w:bidi="zh-CN"/>
      </w:rPr>
    </w:lvl>
    <w:lvl w:ilvl="6" w:tplc="5F9A0822">
      <w:numFmt w:val="bullet"/>
      <w:lvlText w:val="•"/>
      <w:lvlJc w:val="left"/>
      <w:pPr>
        <w:ind w:left="6931" w:hanging="529"/>
      </w:pPr>
      <w:rPr>
        <w:rFonts w:hint="default"/>
        <w:lang w:val="zh-CN" w:eastAsia="zh-CN" w:bidi="zh-CN"/>
      </w:rPr>
    </w:lvl>
    <w:lvl w:ilvl="7" w:tplc="73A03362">
      <w:numFmt w:val="bullet"/>
      <w:lvlText w:val="•"/>
      <w:lvlJc w:val="left"/>
      <w:pPr>
        <w:ind w:left="7860" w:hanging="529"/>
      </w:pPr>
      <w:rPr>
        <w:rFonts w:hint="default"/>
        <w:lang w:val="zh-CN" w:eastAsia="zh-CN" w:bidi="zh-CN"/>
      </w:rPr>
    </w:lvl>
    <w:lvl w:ilvl="8" w:tplc="9A0EAEC8">
      <w:numFmt w:val="bullet"/>
      <w:lvlText w:val="•"/>
      <w:lvlJc w:val="left"/>
      <w:pPr>
        <w:ind w:left="8789" w:hanging="529"/>
      </w:pPr>
      <w:rPr>
        <w:rFonts w:hint="default"/>
        <w:lang w:val="zh-CN" w:eastAsia="zh-CN" w:bidi="zh-CN"/>
      </w:rPr>
    </w:lvl>
  </w:abstractNum>
  <w:abstractNum w:abstractNumId="192" w15:restartNumberingAfterBreak="0">
    <w:nsid w:val="195625D2"/>
    <w:multiLevelType w:val="hybridMultilevel"/>
    <w:tmpl w:val="251C0F2A"/>
    <w:lvl w:ilvl="0" w:tplc="2E2C98EC">
      <w:start w:val="4"/>
      <w:numFmt w:val="decimal"/>
      <w:lvlText w:val="%1"/>
      <w:lvlJc w:val="left"/>
      <w:pPr>
        <w:ind w:left="1158" w:hanging="318"/>
        <w:jc w:val="left"/>
      </w:pPr>
      <w:rPr>
        <w:rFonts w:hint="default"/>
        <w:lang w:val="zh-CN" w:eastAsia="zh-CN" w:bidi="zh-CN"/>
      </w:rPr>
    </w:lvl>
    <w:lvl w:ilvl="1" w:tplc="079421D6">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6D827E76">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02000076">
      <w:numFmt w:val="bullet"/>
      <w:lvlText w:val="•"/>
      <w:lvlJc w:val="left"/>
      <w:pPr>
        <w:ind w:left="3268" w:hanging="531"/>
      </w:pPr>
      <w:rPr>
        <w:rFonts w:hint="default"/>
        <w:lang w:val="zh-CN" w:eastAsia="zh-CN" w:bidi="zh-CN"/>
      </w:rPr>
    </w:lvl>
    <w:lvl w:ilvl="4" w:tplc="2A8CA7C6">
      <w:numFmt w:val="bullet"/>
      <w:lvlText w:val="•"/>
      <w:lvlJc w:val="left"/>
      <w:pPr>
        <w:ind w:left="4322" w:hanging="531"/>
      </w:pPr>
      <w:rPr>
        <w:rFonts w:hint="default"/>
        <w:lang w:val="zh-CN" w:eastAsia="zh-CN" w:bidi="zh-CN"/>
      </w:rPr>
    </w:lvl>
    <w:lvl w:ilvl="5" w:tplc="C6FA0962">
      <w:numFmt w:val="bullet"/>
      <w:lvlText w:val="•"/>
      <w:lvlJc w:val="left"/>
      <w:pPr>
        <w:ind w:left="5376" w:hanging="531"/>
      </w:pPr>
      <w:rPr>
        <w:rFonts w:hint="default"/>
        <w:lang w:val="zh-CN" w:eastAsia="zh-CN" w:bidi="zh-CN"/>
      </w:rPr>
    </w:lvl>
    <w:lvl w:ilvl="6" w:tplc="4162E2F6">
      <w:numFmt w:val="bullet"/>
      <w:lvlText w:val="•"/>
      <w:lvlJc w:val="left"/>
      <w:pPr>
        <w:ind w:left="6430" w:hanging="531"/>
      </w:pPr>
      <w:rPr>
        <w:rFonts w:hint="default"/>
        <w:lang w:val="zh-CN" w:eastAsia="zh-CN" w:bidi="zh-CN"/>
      </w:rPr>
    </w:lvl>
    <w:lvl w:ilvl="7" w:tplc="A128ECDC">
      <w:numFmt w:val="bullet"/>
      <w:lvlText w:val="•"/>
      <w:lvlJc w:val="left"/>
      <w:pPr>
        <w:ind w:left="7484" w:hanging="531"/>
      </w:pPr>
      <w:rPr>
        <w:rFonts w:hint="default"/>
        <w:lang w:val="zh-CN" w:eastAsia="zh-CN" w:bidi="zh-CN"/>
      </w:rPr>
    </w:lvl>
    <w:lvl w:ilvl="8" w:tplc="3FB43252">
      <w:numFmt w:val="bullet"/>
      <w:lvlText w:val="•"/>
      <w:lvlJc w:val="left"/>
      <w:pPr>
        <w:ind w:left="8538" w:hanging="531"/>
      </w:pPr>
      <w:rPr>
        <w:rFonts w:hint="default"/>
        <w:lang w:val="zh-CN" w:eastAsia="zh-CN" w:bidi="zh-CN"/>
      </w:rPr>
    </w:lvl>
  </w:abstractNum>
  <w:abstractNum w:abstractNumId="193" w15:restartNumberingAfterBreak="0">
    <w:nsid w:val="196732F1"/>
    <w:multiLevelType w:val="hybridMultilevel"/>
    <w:tmpl w:val="283CD2CA"/>
    <w:lvl w:ilvl="0" w:tplc="12AEF698">
      <w:start w:val="5"/>
      <w:numFmt w:val="decimal"/>
      <w:lvlText w:val="%1"/>
      <w:lvlJc w:val="left"/>
      <w:pPr>
        <w:ind w:left="1158" w:hanging="318"/>
        <w:jc w:val="left"/>
      </w:pPr>
      <w:rPr>
        <w:rFonts w:hint="default"/>
        <w:lang w:val="zh-CN" w:eastAsia="zh-CN" w:bidi="zh-CN"/>
      </w:rPr>
    </w:lvl>
    <w:lvl w:ilvl="1" w:tplc="D8B2DCFE">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81DA1B12">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DC22B500">
      <w:numFmt w:val="bullet"/>
      <w:lvlText w:val="•"/>
      <w:lvlJc w:val="left"/>
      <w:pPr>
        <w:ind w:left="3439" w:hanging="531"/>
      </w:pPr>
      <w:rPr>
        <w:rFonts w:hint="default"/>
        <w:lang w:val="zh-CN" w:eastAsia="zh-CN" w:bidi="zh-CN"/>
      </w:rPr>
    </w:lvl>
    <w:lvl w:ilvl="4" w:tplc="5F328880">
      <w:numFmt w:val="bullet"/>
      <w:lvlText w:val="•"/>
      <w:lvlJc w:val="left"/>
      <w:pPr>
        <w:ind w:left="4468" w:hanging="531"/>
      </w:pPr>
      <w:rPr>
        <w:rFonts w:hint="default"/>
        <w:lang w:val="zh-CN" w:eastAsia="zh-CN" w:bidi="zh-CN"/>
      </w:rPr>
    </w:lvl>
    <w:lvl w:ilvl="5" w:tplc="0FA442DA">
      <w:numFmt w:val="bullet"/>
      <w:lvlText w:val="•"/>
      <w:lvlJc w:val="left"/>
      <w:pPr>
        <w:ind w:left="5498" w:hanging="531"/>
      </w:pPr>
      <w:rPr>
        <w:rFonts w:hint="default"/>
        <w:lang w:val="zh-CN" w:eastAsia="zh-CN" w:bidi="zh-CN"/>
      </w:rPr>
    </w:lvl>
    <w:lvl w:ilvl="6" w:tplc="11A08200">
      <w:numFmt w:val="bullet"/>
      <w:lvlText w:val="•"/>
      <w:lvlJc w:val="left"/>
      <w:pPr>
        <w:ind w:left="6528" w:hanging="531"/>
      </w:pPr>
      <w:rPr>
        <w:rFonts w:hint="default"/>
        <w:lang w:val="zh-CN" w:eastAsia="zh-CN" w:bidi="zh-CN"/>
      </w:rPr>
    </w:lvl>
    <w:lvl w:ilvl="7" w:tplc="BA107F8A">
      <w:numFmt w:val="bullet"/>
      <w:lvlText w:val="•"/>
      <w:lvlJc w:val="left"/>
      <w:pPr>
        <w:ind w:left="7557" w:hanging="531"/>
      </w:pPr>
      <w:rPr>
        <w:rFonts w:hint="default"/>
        <w:lang w:val="zh-CN" w:eastAsia="zh-CN" w:bidi="zh-CN"/>
      </w:rPr>
    </w:lvl>
    <w:lvl w:ilvl="8" w:tplc="6958F13A">
      <w:numFmt w:val="bullet"/>
      <w:lvlText w:val="•"/>
      <w:lvlJc w:val="left"/>
      <w:pPr>
        <w:ind w:left="8587" w:hanging="531"/>
      </w:pPr>
      <w:rPr>
        <w:rFonts w:hint="default"/>
        <w:lang w:val="zh-CN" w:eastAsia="zh-CN" w:bidi="zh-CN"/>
      </w:rPr>
    </w:lvl>
  </w:abstractNum>
  <w:abstractNum w:abstractNumId="194" w15:restartNumberingAfterBreak="0">
    <w:nsid w:val="1A2358E3"/>
    <w:multiLevelType w:val="hybridMultilevel"/>
    <w:tmpl w:val="A2DC4C38"/>
    <w:lvl w:ilvl="0" w:tplc="64429D92">
      <w:start w:val="2"/>
      <w:numFmt w:val="decimal"/>
      <w:lvlText w:val="%1"/>
      <w:lvlJc w:val="left"/>
      <w:pPr>
        <w:ind w:left="838" w:hanging="584"/>
        <w:jc w:val="left"/>
      </w:pPr>
      <w:rPr>
        <w:rFonts w:hint="default"/>
        <w:lang w:val="zh-CN" w:eastAsia="zh-CN" w:bidi="zh-CN"/>
      </w:rPr>
    </w:lvl>
    <w:lvl w:ilvl="1" w:tplc="7AE2C5C8">
      <w:start w:val="2"/>
      <w:numFmt w:val="decimal"/>
      <w:lvlText w:val="%1.%2"/>
      <w:lvlJc w:val="left"/>
      <w:pPr>
        <w:ind w:left="838" w:hanging="584"/>
        <w:jc w:val="left"/>
      </w:pPr>
      <w:rPr>
        <w:rFonts w:hint="default"/>
        <w:lang w:val="zh-CN" w:eastAsia="zh-CN" w:bidi="zh-CN"/>
      </w:rPr>
    </w:lvl>
    <w:lvl w:ilvl="2" w:tplc="3E801F26">
      <w:start w:val="4"/>
      <w:numFmt w:val="decimal"/>
      <w:lvlText w:val="%1.%2.%3"/>
      <w:lvlJc w:val="left"/>
      <w:pPr>
        <w:ind w:left="838" w:hanging="584"/>
        <w:jc w:val="left"/>
      </w:pPr>
      <w:rPr>
        <w:rFonts w:hint="default"/>
        <w:b/>
        <w:bCs/>
        <w:w w:val="99"/>
        <w:lang w:val="zh-CN" w:eastAsia="zh-CN" w:bidi="zh-CN"/>
      </w:rPr>
    </w:lvl>
    <w:lvl w:ilvl="3" w:tplc="765E9368">
      <w:numFmt w:val="bullet"/>
      <w:lvlText w:val="•"/>
      <w:lvlJc w:val="left"/>
      <w:pPr>
        <w:ind w:left="3781" w:hanging="584"/>
      </w:pPr>
      <w:rPr>
        <w:rFonts w:hint="default"/>
        <w:lang w:val="zh-CN" w:eastAsia="zh-CN" w:bidi="zh-CN"/>
      </w:rPr>
    </w:lvl>
    <w:lvl w:ilvl="4" w:tplc="7E54F3F0">
      <w:numFmt w:val="bullet"/>
      <w:lvlText w:val="•"/>
      <w:lvlJc w:val="left"/>
      <w:pPr>
        <w:ind w:left="4762" w:hanging="584"/>
      </w:pPr>
      <w:rPr>
        <w:rFonts w:hint="default"/>
        <w:lang w:val="zh-CN" w:eastAsia="zh-CN" w:bidi="zh-CN"/>
      </w:rPr>
    </w:lvl>
    <w:lvl w:ilvl="5" w:tplc="DCC05DEE">
      <w:numFmt w:val="bullet"/>
      <w:lvlText w:val="•"/>
      <w:lvlJc w:val="left"/>
      <w:pPr>
        <w:ind w:left="5743" w:hanging="584"/>
      </w:pPr>
      <w:rPr>
        <w:rFonts w:hint="default"/>
        <w:lang w:val="zh-CN" w:eastAsia="zh-CN" w:bidi="zh-CN"/>
      </w:rPr>
    </w:lvl>
    <w:lvl w:ilvl="6" w:tplc="0D34C7AE">
      <w:numFmt w:val="bullet"/>
      <w:lvlText w:val="•"/>
      <w:lvlJc w:val="left"/>
      <w:pPr>
        <w:ind w:left="6723" w:hanging="584"/>
      </w:pPr>
      <w:rPr>
        <w:rFonts w:hint="default"/>
        <w:lang w:val="zh-CN" w:eastAsia="zh-CN" w:bidi="zh-CN"/>
      </w:rPr>
    </w:lvl>
    <w:lvl w:ilvl="7" w:tplc="DE0059A2">
      <w:numFmt w:val="bullet"/>
      <w:lvlText w:val="•"/>
      <w:lvlJc w:val="left"/>
      <w:pPr>
        <w:ind w:left="7704" w:hanging="584"/>
      </w:pPr>
      <w:rPr>
        <w:rFonts w:hint="default"/>
        <w:lang w:val="zh-CN" w:eastAsia="zh-CN" w:bidi="zh-CN"/>
      </w:rPr>
    </w:lvl>
    <w:lvl w:ilvl="8" w:tplc="1AEA09F4">
      <w:numFmt w:val="bullet"/>
      <w:lvlText w:val="•"/>
      <w:lvlJc w:val="left"/>
      <w:pPr>
        <w:ind w:left="8685" w:hanging="584"/>
      </w:pPr>
      <w:rPr>
        <w:rFonts w:hint="default"/>
        <w:lang w:val="zh-CN" w:eastAsia="zh-CN" w:bidi="zh-CN"/>
      </w:rPr>
    </w:lvl>
  </w:abstractNum>
  <w:abstractNum w:abstractNumId="195" w15:restartNumberingAfterBreak="0">
    <w:nsid w:val="1A39383B"/>
    <w:multiLevelType w:val="hybridMultilevel"/>
    <w:tmpl w:val="C9429AC6"/>
    <w:lvl w:ilvl="0" w:tplc="336E7EB6">
      <w:start w:val="6"/>
      <w:numFmt w:val="decimal"/>
      <w:lvlText w:val="%1"/>
      <w:lvlJc w:val="left"/>
      <w:pPr>
        <w:ind w:left="1477" w:hanging="637"/>
        <w:jc w:val="left"/>
      </w:pPr>
      <w:rPr>
        <w:rFonts w:hint="default"/>
        <w:lang w:val="zh-CN" w:eastAsia="zh-CN" w:bidi="zh-CN"/>
      </w:rPr>
    </w:lvl>
    <w:lvl w:ilvl="1" w:tplc="9BC2F592">
      <w:start w:val="16"/>
      <w:numFmt w:val="decimal"/>
      <w:lvlText w:val="%1.%2"/>
      <w:lvlJc w:val="left"/>
      <w:pPr>
        <w:ind w:left="1477" w:hanging="637"/>
        <w:jc w:val="left"/>
      </w:pPr>
      <w:rPr>
        <w:rFonts w:hint="default"/>
        <w:lang w:val="zh-CN" w:eastAsia="zh-CN" w:bidi="zh-CN"/>
      </w:rPr>
    </w:lvl>
    <w:lvl w:ilvl="2" w:tplc="A74A7044">
      <w:start w:val="7"/>
      <w:numFmt w:val="decimal"/>
      <w:lvlText w:val="%1.%2.%3"/>
      <w:lvlJc w:val="left"/>
      <w:pPr>
        <w:ind w:left="1477" w:hanging="637"/>
        <w:jc w:val="left"/>
      </w:pPr>
      <w:rPr>
        <w:rFonts w:ascii="宋体" w:eastAsia="宋体" w:hAnsi="宋体" w:cs="宋体" w:hint="default"/>
        <w:b/>
        <w:bCs/>
        <w:w w:val="99"/>
        <w:sz w:val="19"/>
        <w:szCs w:val="19"/>
        <w:lang w:val="zh-CN" w:eastAsia="zh-CN" w:bidi="zh-CN"/>
      </w:rPr>
    </w:lvl>
    <w:lvl w:ilvl="3" w:tplc="7652C0DE">
      <w:start w:val="1"/>
      <w:numFmt w:val="decimal"/>
      <w:lvlText w:val="%1.%2.%3.%4"/>
      <w:lvlJc w:val="left"/>
      <w:pPr>
        <w:ind w:left="1681" w:hanging="844"/>
        <w:jc w:val="left"/>
      </w:pPr>
      <w:rPr>
        <w:rFonts w:ascii="宋体" w:eastAsia="宋体" w:hAnsi="宋体" w:cs="宋体" w:hint="default"/>
        <w:spacing w:val="-3"/>
        <w:w w:val="100"/>
        <w:sz w:val="19"/>
        <w:szCs w:val="19"/>
        <w:lang w:val="zh-CN" w:eastAsia="zh-CN" w:bidi="zh-CN"/>
      </w:rPr>
    </w:lvl>
    <w:lvl w:ilvl="4" w:tplc="9A121A9C">
      <w:numFmt w:val="bullet"/>
      <w:lvlText w:val="•"/>
      <w:lvlJc w:val="left"/>
      <w:pPr>
        <w:ind w:left="4668" w:hanging="844"/>
      </w:pPr>
      <w:rPr>
        <w:rFonts w:hint="default"/>
        <w:lang w:val="zh-CN" w:eastAsia="zh-CN" w:bidi="zh-CN"/>
      </w:rPr>
    </w:lvl>
    <w:lvl w:ilvl="5" w:tplc="501CDCA4">
      <w:numFmt w:val="bullet"/>
      <w:lvlText w:val="•"/>
      <w:lvlJc w:val="left"/>
      <w:pPr>
        <w:ind w:left="5665" w:hanging="844"/>
      </w:pPr>
      <w:rPr>
        <w:rFonts w:hint="default"/>
        <w:lang w:val="zh-CN" w:eastAsia="zh-CN" w:bidi="zh-CN"/>
      </w:rPr>
    </w:lvl>
    <w:lvl w:ilvl="6" w:tplc="358C8EB2">
      <w:numFmt w:val="bullet"/>
      <w:lvlText w:val="•"/>
      <w:lvlJc w:val="left"/>
      <w:pPr>
        <w:ind w:left="6661" w:hanging="844"/>
      </w:pPr>
      <w:rPr>
        <w:rFonts w:hint="default"/>
        <w:lang w:val="zh-CN" w:eastAsia="zh-CN" w:bidi="zh-CN"/>
      </w:rPr>
    </w:lvl>
    <w:lvl w:ilvl="7" w:tplc="B082F966">
      <w:numFmt w:val="bullet"/>
      <w:lvlText w:val="•"/>
      <w:lvlJc w:val="left"/>
      <w:pPr>
        <w:ind w:left="7657" w:hanging="844"/>
      </w:pPr>
      <w:rPr>
        <w:rFonts w:hint="default"/>
        <w:lang w:val="zh-CN" w:eastAsia="zh-CN" w:bidi="zh-CN"/>
      </w:rPr>
    </w:lvl>
    <w:lvl w:ilvl="8" w:tplc="565A3E2C">
      <w:numFmt w:val="bullet"/>
      <w:lvlText w:val="•"/>
      <w:lvlJc w:val="left"/>
      <w:pPr>
        <w:ind w:left="8653" w:hanging="844"/>
      </w:pPr>
      <w:rPr>
        <w:rFonts w:hint="default"/>
        <w:lang w:val="zh-CN" w:eastAsia="zh-CN" w:bidi="zh-CN"/>
      </w:rPr>
    </w:lvl>
  </w:abstractNum>
  <w:abstractNum w:abstractNumId="196" w15:restartNumberingAfterBreak="0">
    <w:nsid w:val="1A4D39DC"/>
    <w:multiLevelType w:val="hybridMultilevel"/>
    <w:tmpl w:val="FBD6DAE8"/>
    <w:lvl w:ilvl="0" w:tplc="B6C4F2BA">
      <w:start w:val="1"/>
      <w:numFmt w:val="decimal"/>
      <w:lvlText w:val="（%1）"/>
      <w:lvlJc w:val="left"/>
      <w:pPr>
        <w:ind w:left="418" w:hanging="529"/>
        <w:jc w:val="left"/>
      </w:pPr>
      <w:rPr>
        <w:rFonts w:ascii="宋体" w:eastAsia="宋体" w:hAnsi="宋体" w:cs="宋体" w:hint="default"/>
        <w:spacing w:val="-48"/>
        <w:w w:val="100"/>
        <w:sz w:val="19"/>
        <w:szCs w:val="19"/>
        <w:lang w:val="zh-CN" w:eastAsia="zh-CN" w:bidi="zh-CN"/>
      </w:rPr>
    </w:lvl>
    <w:lvl w:ilvl="1" w:tplc="7CD2ED98">
      <w:numFmt w:val="bullet"/>
      <w:lvlText w:val="•"/>
      <w:lvlJc w:val="left"/>
      <w:pPr>
        <w:ind w:left="1442" w:hanging="529"/>
      </w:pPr>
      <w:rPr>
        <w:rFonts w:hint="default"/>
        <w:lang w:val="zh-CN" w:eastAsia="zh-CN" w:bidi="zh-CN"/>
      </w:rPr>
    </w:lvl>
    <w:lvl w:ilvl="2" w:tplc="A596FEEC">
      <w:numFmt w:val="bullet"/>
      <w:lvlText w:val="•"/>
      <w:lvlJc w:val="left"/>
      <w:pPr>
        <w:ind w:left="2465" w:hanging="529"/>
      </w:pPr>
      <w:rPr>
        <w:rFonts w:hint="default"/>
        <w:lang w:val="zh-CN" w:eastAsia="zh-CN" w:bidi="zh-CN"/>
      </w:rPr>
    </w:lvl>
    <w:lvl w:ilvl="3" w:tplc="66BE196A">
      <w:numFmt w:val="bullet"/>
      <w:lvlText w:val="•"/>
      <w:lvlJc w:val="left"/>
      <w:pPr>
        <w:ind w:left="3487" w:hanging="529"/>
      </w:pPr>
      <w:rPr>
        <w:rFonts w:hint="default"/>
        <w:lang w:val="zh-CN" w:eastAsia="zh-CN" w:bidi="zh-CN"/>
      </w:rPr>
    </w:lvl>
    <w:lvl w:ilvl="4" w:tplc="5C78BA8A">
      <w:numFmt w:val="bullet"/>
      <w:lvlText w:val="•"/>
      <w:lvlJc w:val="left"/>
      <w:pPr>
        <w:ind w:left="4510" w:hanging="529"/>
      </w:pPr>
      <w:rPr>
        <w:rFonts w:hint="default"/>
        <w:lang w:val="zh-CN" w:eastAsia="zh-CN" w:bidi="zh-CN"/>
      </w:rPr>
    </w:lvl>
    <w:lvl w:ilvl="5" w:tplc="C83E8054">
      <w:numFmt w:val="bullet"/>
      <w:lvlText w:val="•"/>
      <w:lvlJc w:val="left"/>
      <w:pPr>
        <w:ind w:left="5533" w:hanging="529"/>
      </w:pPr>
      <w:rPr>
        <w:rFonts w:hint="default"/>
        <w:lang w:val="zh-CN" w:eastAsia="zh-CN" w:bidi="zh-CN"/>
      </w:rPr>
    </w:lvl>
    <w:lvl w:ilvl="6" w:tplc="ABE6153A">
      <w:numFmt w:val="bullet"/>
      <w:lvlText w:val="•"/>
      <w:lvlJc w:val="left"/>
      <w:pPr>
        <w:ind w:left="6555" w:hanging="529"/>
      </w:pPr>
      <w:rPr>
        <w:rFonts w:hint="default"/>
        <w:lang w:val="zh-CN" w:eastAsia="zh-CN" w:bidi="zh-CN"/>
      </w:rPr>
    </w:lvl>
    <w:lvl w:ilvl="7" w:tplc="CAA2597C">
      <w:numFmt w:val="bullet"/>
      <w:lvlText w:val="•"/>
      <w:lvlJc w:val="left"/>
      <w:pPr>
        <w:ind w:left="7578" w:hanging="529"/>
      </w:pPr>
      <w:rPr>
        <w:rFonts w:hint="default"/>
        <w:lang w:val="zh-CN" w:eastAsia="zh-CN" w:bidi="zh-CN"/>
      </w:rPr>
    </w:lvl>
    <w:lvl w:ilvl="8" w:tplc="5506434E">
      <w:numFmt w:val="bullet"/>
      <w:lvlText w:val="•"/>
      <w:lvlJc w:val="left"/>
      <w:pPr>
        <w:ind w:left="8601" w:hanging="529"/>
      </w:pPr>
      <w:rPr>
        <w:rFonts w:hint="default"/>
        <w:lang w:val="zh-CN" w:eastAsia="zh-CN" w:bidi="zh-CN"/>
      </w:rPr>
    </w:lvl>
  </w:abstractNum>
  <w:abstractNum w:abstractNumId="197" w15:restartNumberingAfterBreak="0">
    <w:nsid w:val="1A532982"/>
    <w:multiLevelType w:val="hybridMultilevel"/>
    <w:tmpl w:val="4A2AC2B8"/>
    <w:lvl w:ilvl="0" w:tplc="A2204CB8">
      <w:start w:val="4"/>
      <w:numFmt w:val="decimal"/>
      <w:lvlText w:val="%1"/>
      <w:lvlJc w:val="left"/>
      <w:pPr>
        <w:ind w:left="1159" w:hanging="320"/>
        <w:jc w:val="left"/>
      </w:pPr>
      <w:rPr>
        <w:rFonts w:hint="default"/>
        <w:lang w:val="zh-CN" w:eastAsia="zh-CN" w:bidi="zh-CN"/>
      </w:rPr>
    </w:lvl>
    <w:lvl w:ilvl="1" w:tplc="8340B990">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6D82806E">
      <w:numFmt w:val="bullet"/>
      <w:lvlText w:val="•"/>
      <w:lvlJc w:val="left"/>
      <w:pPr>
        <w:ind w:left="3057" w:hanging="320"/>
      </w:pPr>
      <w:rPr>
        <w:rFonts w:hint="default"/>
        <w:lang w:val="zh-CN" w:eastAsia="zh-CN" w:bidi="zh-CN"/>
      </w:rPr>
    </w:lvl>
    <w:lvl w:ilvl="3" w:tplc="9564824A">
      <w:numFmt w:val="bullet"/>
      <w:lvlText w:val="•"/>
      <w:lvlJc w:val="left"/>
      <w:pPr>
        <w:ind w:left="4005" w:hanging="320"/>
      </w:pPr>
      <w:rPr>
        <w:rFonts w:hint="default"/>
        <w:lang w:val="zh-CN" w:eastAsia="zh-CN" w:bidi="zh-CN"/>
      </w:rPr>
    </w:lvl>
    <w:lvl w:ilvl="4" w:tplc="B740BBF8">
      <w:numFmt w:val="bullet"/>
      <w:lvlText w:val="•"/>
      <w:lvlJc w:val="left"/>
      <w:pPr>
        <w:ind w:left="4954" w:hanging="320"/>
      </w:pPr>
      <w:rPr>
        <w:rFonts w:hint="default"/>
        <w:lang w:val="zh-CN" w:eastAsia="zh-CN" w:bidi="zh-CN"/>
      </w:rPr>
    </w:lvl>
    <w:lvl w:ilvl="5" w:tplc="9724D546">
      <w:numFmt w:val="bullet"/>
      <w:lvlText w:val="•"/>
      <w:lvlJc w:val="left"/>
      <w:pPr>
        <w:ind w:left="5903" w:hanging="320"/>
      </w:pPr>
      <w:rPr>
        <w:rFonts w:hint="default"/>
        <w:lang w:val="zh-CN" w:eastAsia="zh-CN" w:bidi="zh-CN"/>
      </w:rPr>
    </w:lvl>
    <w:lvl w:ilvl="6" w:tplc="93B4DE60">
      <w:numFmt w:val="bullet"/>
      <w:lvlText w:val="•"/>
      <w:lvlJc w:val="left"/>
      <w:pPr>
        <w:ind w:left="6851" w:hanging="320"/>
      </w:pPr>
      <w:rPr>
        <w:rFonts w:hint="default"/>
        <w:lang w:val="zh-CN" w:eastAsia="zh-CN" w:bidi="zh-CN"/>
      </w:rPr>
    </w:lvl>
    <w:lvl w:ilvl="7" w:tplc="81A4F1E0">
      <w:numFmt w:val="bullet"/>
      <w:lvlText w:val="•"/>
      <w:lvlJc w:val="left"/>
      <w:pPr>
        <w:ind w:left="7800" w:hanging="320"/>
      </w:pPr>
      <w:rPr>
        <w:rFonts w:hint="default"/>
        <w:lang w:val="zh-CN" w:eastAsia="zh-CN" w:bidi="zh-CN"/>
      </w:rPr>
    </w:lvl>
    <w:lvl w:ilvl="8" w:tplc="BE3455F8">
      <w:numFmt w:val="bullet"/>
      <w:lvlText w:val="•"/>
      <w:lvlJc w:val="left"/>
      <w:pPr>
        <w:ind w:left="8749" w:hanging="320"/>
      </w:pPr>
      <w:rPr>
        <w:rFonts w:hint="default"/>
        <w:lang w:val="zh-CN" w:eastAsia="zh-CN" w:bidi="zh-CN"/>
      </w:rPr>
    </w:lvl>
  </w:abstractNum>
  <w:abstractNum w:abstractNumId="198" w15:restartNumberingAfterBreak="0">
    <w:nsid w:val="1A7C4401"/>
    <w:multiLevelType w:val="hybridMultilevel"/>
    <w:tmpl w:val="54F81ABA"/>
    <w:lvl w:ilvl="0" w:tplc="9BE67648">
      <w:start w:val="5"/>
      <w:numFmt w:val="decimal"/>
      <w:lvlText w:val="%1"/>
      <w:lvlJc w:val="left"/>
      <w:pPr>
        <w:ind w:left="1369" w:hanging="529"/>
        <w:jc w:val="left"/>
      </w:pPr>
      <w:rPr>
        <w:rFonts w:hint="default"/>
        <w:lang w:val="zh-CN" w:eastAsia="zh-CN" w:bidi="zh-CN"/>
      </w:rPr>
    </w:lvl>
    <w:lvl w:ilvl="1" w:tplc="401014E2">
      <w:start w:val="2"/>
      <w:numFmt w:val="decimal"/>
      <w:lvlText w:val="%1.%2"/>
      <w:lvlJc w:val="left"/>
      <w:pPr>
        <w:ind w:left="1369" w:hanging="529"/>
        <w:jc w:val="left"/>
      </w:pPr>
      <w:rPr>
        <w:rFonts w:hint="default"/>
        <w:lang w:val="zh-CN" w:eastAsia="zh-CN" w:bidi="zh-CN"/>
      </w:rPr>
    </w:lvl>
    <w:lvl w:ilvl="2" w:tplc="72BC3A56">
      <w:start w:val="4"/>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844E0324">
      <w:numFmt w:val="bullet"/>
      <w:lvlText w:val="•"/>
      <w:lvlJc w:val="left"/>
      <w:pPr>
        <w:ind w:left="4145" w:hanging="529"/>
      </w:pPr>
      <w:rPr>
        <w:rFonts w:hint="default"/>
        <w:lang w:val="zh-CN" w:eastAsia="zh-CN" w:bidi="zh-CN"/>
      </w:rPr>
    </w:lvl>
    <w:lvl w:ilvl="4" w:tplc="B5225B14">
      <w:numFmt w:val="bullet"/>
      <w:lvlText w:val="•"/>
      <w:lvlJc w:val="left"/>
      <w:pPr>
        <w:ind w:left="5074" w:hanging="529"/>
      </w:pPr>
      <w:rPr>
        <w:rFonts w:hint="default"/>
        <w:lang w:val="zh-CN" w:eastAsia="zh-CN" w:bidi="zh-CN"/>
      </w:rPr>
    </w:lvl>
    <w:lvl w:ilvl="5" w:tplc="699AAD36">
      <w:numFmt w:val="bullet"/>
      <w:lvlText w:val="•"/>
      <w:lvlJc w:val="left"/>
      <w:pPr>
        <w:ind w:left="6003" w:hanging="529"/>
      </w:pPr>
      <w:rPr>
        <w:rFonts w:hint="default"/>
        <w:lang w:val="zh-CN" w:eastAsia="zh-CN" w:bidi="zh-CN"/>
      </w:rPr>
    </w:lvl>
    <w:lvl w:ilvl="6" w:tplc="5FEC7CF6">
      <w:numFmt w:val="bullet"/>
      <w:lvlText w:val="•"/>
      <w:lvlJc w:val="left"/>
      <w:pPr>
        <w:ind w:left="6931" w:hanging="529"/>
      </w:pPr>
      <w:rPr>
        <w:rFonts w:hint="default"/>
        <w:lang w:val="zh-CN" w:eastAsia="zh-CN" w:bidi="zh-CN"/>
      </w:rPr>
    </w:lvl>
    <w:lvl w:ilvl="7" w:tplc="688EA630">
      <w:numFmt w:val="bullet"/>
      <w:lvlText w:val="•"/>
      <w:lvlJc w:val="left"/>
      <w:pPr>
        <w:ind w:left="7860" w:hanging="529"/>
      </w:pPr>
      <w:rPr>
        <w:rFonts w:hint="default"/>
        <w:lang w:val="zh-CN" w:eastAsia="zh-CN" w:bidi="zh-CN"/>
      </w:rPr>
    </w:lvl>
    <w:lvl w:ilvl="8" w:tplc="F91A1E60">
      <w:numFmt w:val="bullet"/>
      <w:lvlText w:val="•"/>
      <w:lvlJc w:val="left"/>
      <w:pPr>
        <w:ind w:left="8789" w:hanging="529"/>
      </w:pPr>
      <w:rPr>
        <w:rFonts w:hint="default"/>
        <w:lang w:val="zh-CN" w:eastAsia="zh-CN" w:bidi="zh-CN"/>
      </w:rPr>
    </w:lvl>
  </w:abstractNum>
  <w:abstractNum w:abstractNumId="199" w15:restartNumberingAfterBreak="0">
    <w:nsid w:val="1A8223D2"/>
    <w:multiLevelType w:val="hybridMultilevel"/>
    <w:tmpl w:val="DC30AAB4"/>
    <w:lvl w:ilvl="0" w:tplc="33FE1EDA">
      <w:start w:val="1"/>
      <w:numFmt w:val="lowerLetter"/>
      <w:lvlText w:val="%1)"/>
      <w:lvlJc w:val="left"/>
      <w:pPr>
        <w:ind w:left="1050" w:hanging="213"/>
        <w:jc w:val="left"/>
      </w:pPr>
      <w:rPr>
        <w:rFonts w:ascii="宋体" w:eastAsia="宋体" w:hAnsi="宋体" w:cs="宋体" w:hint="default"/>
        <w:spacing w:val="-55"/>
        <w:w w:val="100"/>
        <w:sz w:val="19"/>
        <w:szCs w:val="19"/>
        <w:lang w:val="zh-CN" w:eastAsia="zh-CN" w:bidi="zh-CN"/>
      </w:rPr>
    </w:lvl>
    <w:lvl w:ilvl="1" w:tplc="1C4872E6">
      <w:numFmt w:val="bullet"/>
      <w:lvlText w:val="•"/>
      <w:lvlJc w:val="left"/>
      <w:pPr>
        <w:ind w:left="2018" w:hanging="213"/>
      </w:pPr>
      <w:rPr>
        <w:rFonts w:hint="default"/>
        <w:lang w:val="zh-CN" w:eastAsia="zh-CN" w:bidi="zh-CN"/>
      </w:rPr>
    </w:lvl>
    <w:lvl w:ilvl="2" w:tplc="82CC58BE">
      <w:numFmt w:val="bullet"/>
      <w:lvlText w:val="•"/>
      <w:lvlJc w:val="left"/>
      <w:pPr>
        <w:ind w:left="2977" w:hanging="213"/>
      </w:pPr>
      <w:rPr>
        <w:rFonts w:hint="default"/>
        <w:lang w:val="zh-CN" w:eastAsia="zh-CN" w:bidi="zh-CN"/>
      </w:rPr>
    </w:lvl>
    <w:lvl w:ilvl="3" w:tplc="E998F81E">
      <w:numFmt w:val="bullet"/>
      <w:lvlText w:val="•"/>
      <w:lvlJc w:val="left"/>
      <w:pPr>
        <w:ind w:left="3935" w:hanging="213"/>
      </w:pPr>
      <w:rPr>
        <w:rFonts w:hint="default"/>
        <w:lang w:val="zh-CN" w:eastAsia="zh-CN" w:bidi="zh-CN"/>
      </w:rPr>
    </w:lvl>
    <w:lvl w:ilvl="4" w:tplc="265861E6">
      <w:numFmt w:val="bullet"/>
      <w:lvlText w:val="•"/>
      <w:lvlJc w:val="left"/>
      <w:pPr>
        <w:ind w:left="4894" w:hanging="213"/>
      </w:pPr>
      <w:rPr>
        <w:rFonts w:hint="default"/>
        <w:lang w:val="zh-CN" w:eastAsia="zh-CN" w:bidi="zh-CN"/>
      </w:rPr>
    </w:lvl>
    <w:lvl w:ilvl="5" w:tplc="3F0627AA">
      <w:numFmt w:val="bullet"/>
      <w:lvlText w:val="•"/>
      <w:lvlJc w:val="left"/>
      <w:pPr>
        <w:ind w:left="5853" w:hanging="213"/>
      </w:pPr>
      <w:rPr>
        <w:rFonts w:hint="default"/>
        <w:lang w:val="zh-CN" w:eastAsia="zh-CN" w:bidi="zh-CN"/>
      </w:rPr>
    </w:lvl>
    <w:lvl w:ilvl="6" w:tplc="18B08B94">
      <w:numFmt w:val="bullet"/>
      <w:lvlText w:val="•"/>
      <w:lvlJc w:val="left"/>
      <w:pPr>
        <w:ind w:left="6811" w:hanging="213"/>
      </w:pPr>
      <w:rPr>
        <w:rFonts w:hint="default"/>
        <w:lang w:val="zh-CN" w:eastAsia="zh-CN" w:bidi="zh-CN"/>
      </w:rPr>
    </w:lvl>
    <w:lvl w:ilvl="7" w:tplc="0F188AEA">
      <w:numFmt w:val="bullet"/>
      <w:lvlText w:val="•"/>
      <w:lvlJc w:val="left"/>
      <w:pPr>
        <w:ind w:left="7770" w:hanging="213"/>
      </w:pPr>
      <w:rPr>
        <w:rFonts w:hint="default"/>
        <w:lang w:val="zh-CN" w:eastAsia="zh-CN" w:bidi="zh-CN"/>
      </w:rPr>
    </w:lvl>
    <w:lvl w:ilvl="8" w:tplc="A16C16CC">
      <w:numFmt w:val="bullet"/>
      <w:lvlText w:val="•"/>
      <w:lvlJc w:val="left"/>
      <w:pPr>
        <w:ind w:left="8729" w:hanging="213"/>
      </w:pPr>
      <w:rPr>
        <w:rFonts w:hint="default"/>
        <w:lang w:val="zh-CN" w:eastAsia="zh-CN" w:bidi="zh-CN"/>
      </w:rPr>
    </w:lvl>
  </w:abstractNum>
  <w:abstractNum w:abstractNumId="200" w15:restartNumberingAfterBreak="0">
    <w:nsid w:val="1AA157B2"/>
    <w:multiLevelType w:val="hybridMultilevel"/>
    <w:tmpl w:val="33C68AB8"/>
    <w:lvl w:ilvl="0" w:tplc="262E254E">
      <w:start w:val="4"/>
      <w:numFmt w:val="decimal"/>
      <w:lvlText w:val="%1"/>
      <w:lvlJc w:val="left"/>
      <w:pPr>
        <w:ind w:left="418" w:hanging="584"/>
        <w:jc w:val="left"/>
      </w:pPr>
      <w:rPr>
        <w:rFonts w:hint="default"/>
        <w:lang w:val="zh-CN" w:eastAsia="zh-CN" w:bidi="zh-CN"/>
      </w:rPr>
    </w:lvl>
    <w:lvl w:ilvl="1" w:tplc="74A0B9D4">
      <w:start w:val="4"/>
      <w:numFmt w:val="decimal"/>
      <w:lvlText w:val="%1.%2"/>
      <w:lvlJc w:val="left"/>
      <w:pPr>
        <w:ind w:left="418" w:hanging="584"/>
        <w:jc w:val="left"/>
      </w:pPr>
      <w:rPr>
        <w:rFonts w:hint="default"/>
        <w:lang w:val="zh-CN" w:eastAsia="zh-CN" w:bidi="zh-CN"/>
      </w:rPr>
    </w:lvl>
    <w:lvl w:ilvl="2" w:tplc="9A44B178">
      <w:start w:val="1"/>
      <w:numFmt w:val="decimal"/>
      <w:lvlText w:val="%1.%2.%3"/>
      <w:lvlJc w:val="left"/>
      <w:pPr>
        <w:ind w:left="418" w:hanging="584"/>
        <w:jc w:val="left"/>
      </w:pPr>
      <w:rPr>
        <w:rFonts w:ascii="宋体" w:eastAsia="宋体" w:hAnsi="宋体" w:cs="宋体" w:hint="default"/>
        <w:b/>
        <w:bCs/>
        <w:w w:val="99"/>
        <w:sz w:val="21"/>
        <w:szCs w:val="21"/>
        <w:lang w:val="zh-CN" w:eastAsia="zh-CN" w:bidi="zh-CN"/>
      </w:rPr>
    </w:lvl>
    <w:lvl w:ilvl="3" w:tplc="FCE0D628">
      <w:numFmt w:val="bullet"/>
      <w:lvlText w:val="•"/>
      <w:lvlJc w:val="left"/>
      <w:pPr>
        <w:ind w:left="3487" w:hanging="584"/>
      </w:pPr>
      <w:rPr>
        <w:rFonts w:hint="default"/>
        <w:lang w:val="zh-CN" w:eastAsia="zh-CN" w:bidi="zh-CN"/>
      </w:rPr>
    </w:lvl>
    <w:lvl w:ilvl="4" w:tplc="3F2C0AAA">
      <w:numFmt w:val="bullet"/>
      <w:lvlText w:val="•"/>
      <w:lvlJc w:val="left"/>
      <w:pPr>
        <w:ind w:left="4510" w:hanging="584"/>
      </w:pPr>
      <w:rPr>
        <w:rFonts w:hint="default"/>
        <w:lang w:val="zh-CN" w:eastAsia="zh-CN" w:bidi="zh-CN"/>
      </w:rPr>
    </w:lvl>
    <w:lvl w:ilvl="5" w:tplc="79E4C528">
      <w:numFmt w:val="bullet"/>
      <w:lvlText w:val="•"/>
      <w:lvlJc w:val="left"/>
      <w:pPr>
        <w:ind w:left="5533" w:hanging="584"/>
      </w:pPr>
      <w:rPr>
        <w:rFonts w:hint="default"/>
        <w:lang w:val="zh-CN" w:eastAsia="zh-CN" w:bidi="zh-CN"/>
      </w:rPr>
    </w:lvl>
    <w:lvl w:ilvl="6" w:tplc="4ACA7A08">
      <w:numFmt w:val="bullet"/>
      <w:lvlText w:val="•"/>
      <w:lvlJc w:val="left"/>
      <w:pPr>
        <w:ind w:left="6555" w:hanging="584"/>
      </w:pPr>
      <w:rPr>
        <w:rFonts w:hint="default"/>
        <w:lang w:val="zh-CN" w:eastAsia="zh-CN" w:bidi="zh-CN"/>
      </w:rPr>
    </w:lvl>
    <w:lvl w:ilvl="7" w:tplc="DFF0A2FC">
      <w:numFmt w:val="bullet"/>
      <w:lvlText w:val="•"/>
      <w:lvlJc w:val="left"/>
      <w:pPr>
        <w:ind w:left="7578" w:hanging="584"/>
      </w:pPr>
      <w:rPr>
        <w:rFonts w:hint="default"/>
        <w:lang w:val="zh-CN" w:eastAsia="zh-CN" w:bidi="zh-CN"/>
      </w:rPr>
    </w:lvl>
    <w:lvl w:ilvl="8" w:tplc="3D58E726">
      <w:numFmt w:val="bullet"/>
      <w:lvlText w:val="•"/>
      <w:lvlJc w:val="left"/>
      <w:pPr>
        <w:ind w:left="8601" w:hanging="584"/>
      </w:pPr>
      <w:rPr>
        <w:rFonts w:hint="default"/>
        <w:lang w:val="zh-CN" w:eastAsia="zh-CN" w:bidi="zh-CN"/>
      </w:rPr>
    </w:lvl>
  </w:abstractNum>
  <w:abstractNum w:abstractNumId="201" w15:restartNumberingAfterBreak="0">
    <w:nsid w:val="1AE63251"/>
    <w:multiLevelType w:val="hybridMultilevel"/>
    <w:tmpl w:val="15C463C4"/>
    <w:lvl w:ilvl="0" w:tplc="EDFC96E0">
      <w:start w:val="7"/>
      <w:numFmt w:val="decimal"/>
      <w:lvlText w:val="%1"/>
      <w:lvlJc w:val="left"/>
      <w:pPr>
        <w:ind w:left="1158" w:hanging="318"/>
        <w:jc w:val="left"/>
      </w:pPr>
      <w:rPr>
        <w:rFonts w:hint="default"/>
        <w:lang w:val="zh-CN" w:eastAsia="zh-CN" w:bidi="zh-CN"/>
      </w:rPr>
    </w:lvl>
    <w:lvl w:ilvl="1" w:tplc="B9FED354">
      <w:start w:val="2"/>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F16EBDD0">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84181F82">
      <w:start w:val="1"/>
      <w:numFmt w:val="decimal"/>
      <w:lvlText w:val="%1.%2.%3.%4"/>
      <w:lvlJc w:val="left"/>
      <w:pPr>
        <w:ind w:left="418" w:hanging="738"/>
        <w:jc w:val="left"/>
      </w:pPr>
      <w:rPr>
        <w:rFonts w:ascii="宋体" w:eastAsia="宋体" w:hAnsi="宋体" w:cs="宋体" w:hint="default"/>
        <w:spacing w:val="-3"/>
        <w:w w:val="100"/>
        <w:sz w:val="19"/>
        <w:szCs w:val="19"/>
        <w:lang w:val="zh-CN" w:eastAsia="zh-CN" w:bidi="zh-CN"/>
      </w:rPr>
    </w:lvl>
    <w:lvl w:ilvl="4" w:tplc="11AE92A0">
      <w:numFmt w:val="bullet"/>
      <w:lvlText w:val="•"/>
      <w:lvlJc w:val="left"/>
      <w:pPr>
        <w:ind w:left="3696" w:hanging="738"/>
      </w:pPr>
      <w:rPr>
        <w:rFonts w:hint="default"/>
        <w:lang w:val="zh-CN" w:eastAsia="zh-CN" w:bidi="zh-CN"/>
      </w:rPr>
    </w:lvl>
    <w:lvl w:ilvl="5" w:tplc="93547E84">
      <w:numFmt w:val="bullet"/>
      <w:lvlText w:val="•"/>
      <w:lvlJc w:val="left"/>
      <w:pPr>
        <w:ind w:left="4854" w:hanging="738"/>
      </w:pPr>
      <w:rPr>
        <w:rFonts w:hint="default"/>
        <w:lang w:val="zh-CN" w:eastAsia="zh-CN" w:bidi="zh-CN"/>
      </w:rPr>
    </w:lvl>
    <w:lvl w:ilvl="6" w:tplc="33640F0E">
      <w:numFmt w:val="bullet"/>
      <w:lvlText w:val="•"/>
      <w:lvlJc w:val="left"/>
      <w:pPr>
        <w:ind w:left="6013" w:hanging="738"/>
      </w:pPr>
      <w:rPr>
        <w:rFonts w:hint="default"/>
        <w:lang w:val="zh-CN" w:eastAsia="zh-CN" w:bidi="zh-CN"/>
      </w:rPr>
    </w:lvl>
    <w:lvl w:ilvl="7" w:tplc="FDD2F654">
      <w:numFmt w:val="bullet"/>
      <w:lvlText w:val="•"/>
      <w:lvlJc w:val="left"/>
      <w:pPr>
        <w:ind w:left="7171" w:hanging="738"/>
      </w:pPr>
      <w:rPr>
        <w:rFonts w:hint="default"/>
        <w:lang w:val="zh-CN" w:eastAsia="zh-CN" w:bidi="zh-CN"/>
      </w:rPr>
    </w:lvl>
    <w:lvl w:ilvl="8" w:tplc="C0949C4C">
      <w:numFmt w:val="bullet"/>
      <w:lvlText w:val="•"/>
      <w:lvlJc w:val="left"/>
      <w:pPr>
        <w:ind w:left="8329" w:hanging="738"/>
      </w:pPr>
      <w:rPr>
        <w:rFonts w:hint="default"/>
        <w:lang w:val="zh-CN" w:eastAsia="zh-CN" w:bidi="zh-CN"/>
      </w:rPr>
    </w:lvl>
  </w:abstractNum>
  <w:abstractNum w:abstractNumId="202" w15:restartNumberingAfterBreak="0">
    <w:nsid w:val="1B1B04EA"/>
    <w:multiLevelType w:val="hybridMultilevel"/>
    <w:tmpl w:val="436A86D4"/>
    <w:lvl w:ilvl="0" w:tplc="FD2648EA">
      <w:start w:val="8"/>
      <w:numFmt w:val="decimal"/>
      <w:lvlText w:val="%1"/>
      <w:lvlJc w:val="left"/>
      <w:pPr>
        <w:ind w:left="1370" w:hanging="531"/>
        <w:jc w:val="left"/>
      </w:pPr>
      <w:rPr>
        <w:rFonts w:hint="default"/>
        <w:lang w:val="zh-CN" w:eastAsia="zh-CN" w:bidi="zh-CN"/>
      </w:rPr>
    </w:lvl>
    <w:lvl w:ilvl="1" w:tplc="CDA86040">
      <w:start w:val="3"/>
      <w:numFmt w:val="decimal"/>
      <w:lvlText w:val="%1.%2"/>
      <w:lvlJc w:val="left"/>
      <w:pPr>
        <w:ind w:left="1370" w:hanging="531"/>
        <w:jc w:val="left"/>
      </w:pPr>
      <w:rPr>
        <w:rFonts w:hint="default"/>
        <w:lang w:val="zh-CN" w:eastAsia="zh-CN" w:bidi="zh-CN"/>
      </w:rPr>
    </w:lvl>
    <w:lvl w:ilvl="2" w:tplc="CBB0A1A4">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AE3A6BC2">
      <w:numFmt w:val="bullet"/>
      <w:lvlText w:val="•"/>
      <w:lvlJc w:val="left"/>
      <w:pPr>
        <w:ind w:left="4159" w:hanging="531"/>
      </w:pPr>
      <w:rPr>
        <w:rFonts w:hint="default"/>
        <w:lang w:val="zh-CN" w:eastAsia="zh-CN" w:bidi="zh-CN"/>
      </w:rPr>
    </w:lvl>
    <w:lvl w:ilvl="4" w:tplc="615A0E96">
      <w:numFmt w:val="bullet"/>
      <w:lvlText w:val="•"/>
      <w:lvlJc w:val="left"/>
      <w:pPr>
        <w:ind w:left="5086" w:hanging="531"/>
      </w:pPr>
      <w:rPr>
        <w:rFonts w:hint="default"/>
        <w:lang w:val="zh-CN" w:eastAsia="zh-CN" w:bidi="zh-CN"/>
      </w:rPr>
    </w:lvl>
    <w:lvl w:ilvl="5" w:tplc="D4C42134">
      <w:numFmt w:val="bullet"/>
      <w:lvlText w:val="•"/>
      <w:lvlJc w:val="left"/>
      <w:pPr>
        <w:ind w:left="6013" w:hanging="531"/>
      </w:pPr>
      <w:rPr>
        <w:rFonts w:hint="default"/>
        <w:lang w:val="zh-CN" w:eastAsia="zh-CN" w:bidi="zh-CN"/>
      </w:rPr>
    </w:lvl>
    <w:lvl w:ilvl="6" w:tplc="18DC1B56">
      <w:numFmt w:val="bullet"/>
      <w:lvlText w:val="•"/>
      <w:lvlJc w:val="left"/>
      <w:pPr>
        <w:ind w:left="6939" w:hanging="531"/>
      </w:pPr>
      <w:rPr>
        <w:rFonts w:hint="default"/>
        <w:lang w:val="zh-CN" w:eastAsia="zh-CN" w:bidi="zh-CN"/>
      </w:rPr>
    </w:lvl>
    <w:lvl w:ilvl="7" w:tplc="F8E2863E">
      <w:numFmt w:val="bullet"/>
      <w:lvlText w:val="•"/>
      <w:lvlJc w:val="left"/>
      <w:pPr>
        <w:ind w:left="7866" w:hanging="531"/>
      </w:pPr>
      <w:rPr>
        <w:rFonts w:hint="default"/>
        <w:lang w:val="zh-CN" w:eastAsia="zh-CN" w:bidi="zh-CN"/>
      </w:rPr>
    </w:lvl>
    <w:lvl w:ilvl="8" w:tplc="74124C48">
      <w:numFmt w:val="bullet"/>
      <w:lvlText w:val="•"/>
      <w:lvlJc w:val="left"/>
      <w:pPr>
        <w:ind w:left="8793" w:hanging="531"/>
      </w:pPr>
      <w:rPr>
        <w:rFonts w:hint="default"/>
        <w:lang w:val="zh-CN" w:eastAsia="zh-CN" w:bidi="zh-CN"/>
      </w:rPr>
    </w:lvl>
  </w:abstractNum>
  <w:abstractNum w:abstractNumId="203" w15:restartNumberingAfterBreak="0">
    <w:nsid w:val="1B7804FE"/>
    <w:multiLevelType w:val="hybridMultilevel"/>
    <w:tmpl w:val="5888D5F0"/>
    <w:lvl w:ilvl="0" w:tplc="FC107820">
      <w:start w:val="9"/>
      <w:numFmt w:val="decimal"/>
      <w:lvlText w:val="%1"/>
      <w:lvlJc w:val="left"/>
      <w:pPr>
        <w:ind w:left="1158" w:hanging="318"/>
        <w:jc w:val="left"/>
      </w:pPr>
      <w:rPr>
        <w:rFonts w:hint="default"/>
        <w:lang w:val="zh-CN" w:eastAsia="zh-CN" w:bidi="zh-CN"/>
      </w:rPr>
    </w:lvl>
    <w:lvl w:ilvl="1" w:tplc="F790E21A">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B022A00E">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D4D46FA6">
      <w:numFmt w:val="bullet"/>
      <w:lvlText w:val="•"/>
      <w:lvlJc w:val="left"/>
      <w:pPr>
        <w:ind w:left="3268" w:hanging="531"/>
      </w:pPr>
      <w:rPr>
        <w:rFonts w:hint="default"/>
        <w:lang w:val="zh-CN" w:eastAsia="zh-CN" w:bidi="zh-CN"/>
      </w:rPr>
    </w:lvl>
    <w:lvl w:ilvl="4" w:tplc="90522FDA">
      <w:numFmt w:val="bullet"/>
      <w:lvlText w:val="•"/>
      <w:lvlJc w:val="left"/>
      <w:pPr>
        <w:ind w:left="4322" w:hanging="531"/>
      </w:pPr>
      <w:rPr>
        <w:rFonts w:hint="default"/>
        <w:lang w:val="zh-CN" w:eastAsia="zh-CN" w:bidi="zh-CN"/>
      </w:rPr>
    </w:lvl>
    <w:lvl w:ilvl="5" w:tplc="25E4FFB4">
      <w:numFmt w:val="bullet"/>
      <w:lvlText w:val="•"/>
      <w:lvlJc w:val="left"/>
      <w:pPr>
        <w:ind w:left="5376" w:hanging="531"/>
      </w:pPr>
      <w:rPr>
        <w:rFonts w:hint="default"/>
        <w:lang w:val="zh-CN" w:eastAsia="zh-CN" w:bidi="zh-CN"/>
      </w:rPr>
    </w:lvl>
    <w:lvl w:ilvl="6" w:tplc="261A065A">
      <w:numFmt w:val="bullet"/>
      <w:lvlText w:val="•"/>
      <w:lvlJc w:val="left"/>
      <w:pPr>
        <w:ind w:left="6430" w:hanging="531"/>
      </w:pPr>
      <w:rPr>
        <w:rFonts w:hint="default"/>
        <w:lang w:val="zh-CN" w:eastAsia="zh-CN" w:bidi="zh-CN"/>
      </w:rPr>
    </w:lvl>
    <w:lvl w:ilvl="7" w:tplc="F30CB946">
      <w:numFmt w:val="bullet"/>
      <w:lvlText w:val="•"/>
      <w:lvlJc w:val="left"/>
      <w:pPr>
        <w:ind w:left="7484" w:hanging="531"/>
      </w:pPr>
      <w:rPr>
        <w:rFonts w:hint="default"/>
        <w:lang w:val="zh-CN" w:eastAsia="zh-CN" w:bidi="zh-CN"/>
      </w:rPr>
    </w:lvl>
    <w:lvl w:ilvl="8" w:tplc="25B61DAA">
      <w:numFmt w:val="bullet"/>
      <w:lvlText w:val="•"/>
      <w:lvlJc w:val="left"/>
      <w:pPr>
        <w:ind w:left="8538" w:hanging="531"/>
      </w:pPr>
      <w:rPr>
        <w:rFonts w:hint="default"/>
        <w:lang w:val="zh-CN" w:eastAsia="zh-CN" w:bidi="zh-CN"/>
      </w:rPr>
    </w:lvl>
  </w:abstractNum>
  <w:abstractNum w:abstractNumId="204" w15:restartNumberingAfterBreak="0">
    <w:nsid w:val="1B8B5810"/>
    <w:multiLevelType w:val="hybridMultilevel"/>
    <w:tmpl w:val="441EBA28"/>
    <w:lvl w:ilvl="0" w:tplc="3EBC106C">
      <w:start w:val="4"/>
      <w:numFmt w:val="decimal"/>
      <w:lvlText w:val="%1"/>
      <w:lvlJc w:val="left"/>
      <w:pPr>
        <w:ind w:left="1575" w:hanging="738"/>
        <w:jc w:val="left"/>
      </w:pPr>
      <w:rPr>
        <w:rFonts w:hint="default"/>
        <w:lang w:val="zh-CN" w:eastAsia="zh-CN" w:bidi="zh-CN"/>
      </w:rPr>
    </w:lvl>
    <w:lvl w:ilvl="1" w:tplc="776CE1B4">
      <w:start w:val="4"/>
      <w:numFmt w:val="decimal"/>
      <w:lvlText w:val="%1.%2"/>
      <w:lvlJc w:val="left"/>
      <w:pPr>
        <w:ind w:left="1575" w:hanging="738"/>
        <w:jc w:val="left"/>
      </w:pPr>
      <w:rPr>
        <w:rFonts w:hint="default"/>
        <w:lang w:val="zh-CN" w:eastAsia="zh-CN" w:bidi="zh-CN"/>
      </w:rPr>
    </w:lvl>
    <w:lvl w:ilvl="2" w:tplc="65284530">
      <w:start w:val="4"/>
      <w:numFmt w:val="decimal"/>
      <w:lvlText w:val="%1.%2.%3"/>
      <w:lvlJc w:val="left"/>
      <w:pPr>
        <w:ind w:left="1575" w:hanging="738"/>
        <w:jc w:val="left"/>
      </w:pPr>
      <w:rPr>
        <w:rFonts w:hint="default"/>
        <w:lang w:val="zh-CN" w:eastAsia="zh-CN" w:bidi="zh-CN"/>
      </w:rPr>
    </w:lvl>
    <w:lvl w:ilvl="3" w:tplc="B9069F08">
      <w:start w:val="3"/>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5BD68B20">
      <w:numFmt w:val="bullet"/>
      <w:lvlText w:val="•"/>
      <w:lvlJc w:val="left"/>
      <w:pPr>
        <w:ind w:left="5206" w:hanging="738"/>
      </w:pPr>
      <w:rPr>
        <w:rFonts w:hint="default"/>
        <w:lang w:val="zh-CN" w:eastAsia="zh-CN" w:bidi="zh-CN"/>
      </w:rPr>
    </w:lvl>
    <w:lvl w:ilvl="5" w:tplc="BBAC32A2">
      <w:numFmt w:val="bullet"/>
      <w:lvlText w:val="•"/>
      <w:lvlJc w:val="left"/>
      <w:pPr>
        <w:ind w:left="6113" w:hanging="738"/>
      </w:pPr>
      <w:rPr>
        <w:rFonts w:hint="default"/>
        <w:lang w:val="zh-CN" w:eastAsia="zh-CN" w:bidi="zh-CN"/>
      </w:rPr>
    </w:lvl>
    <w:lvl w:ilvl="6" w:tplc="F40AC73A">
      <w:numFmt w:val="bullet"/>
      <w:lvlText w:val="•"/>
      <w:lvlJc w:val="left"/>
      <w:pPr>
        <w:ind w:left="7019" w:hanging="738"/>
      </w:pPr>
      <w:rPr>
        <w:rFonts w:hint="default"/>
        <w:lang w:val="zh-CN" w:eastAsia="zh-CN" w:bidi="zh-CN"/>
      </w:rPr>
    </w:lvl>
    <w:lvl w:ilvl="7" w:tplc="88C6B0DE">
      <w:numFmt w:val="bullet"/>
      <w:lvlText w:val="•"/>
      <w:lvlJc w:val="left"/>
      <w:pPr>
        <w:ind w:left="7926" w:hanging="738"/>
      </w:pPr>
      <w:rPr>
        <w:rFonts w:hint="default"/>
        <w:lang w:val="zh-CN" w:eastAsia="zh-CN" w:bidi="zh-CN"/>
      </w:rPr>
    </w:lvl>
    <w:lvl w:ilvl="8" w:tplc="E8AA4E78">
      <w:numFmt w:val="bullet"/>
      <w:lvlText w:val="•"/>
      <w:lvlJc w:val="left"/>
      <w:pPr>
        <w:ind w:left="8833" w:hanging="738"/>
      </w:pPr>
      <w:rPr>
        <w:rFonts w:hint="default"/>
        <w:lang w:val="zh-CN" w:eastAsia="zh-CN" w:bidi="zh-CN"/>
      </w:rPr>
    </w:lvl>
  </w:abstractNum>
  <w:abstractNum w:abstractNumId="205" w15:restartNumberingAfterBreak="0">
    <w:nsid w:val="1BA714FB"/>
    <w:multiLevelType w:val="hybridMultilevel"/>
    <w:tmpl w:val="0D747F5E"/>
    <w:lvl w:ilvl="0" w:tplc="9994464A">
      <w:start w:val="3"/>
      <w:numFmt w:val="decimal"/>
      <w:lvlText w:val="%1"/>
      <w:lvlJc w:val="left"/>
      <w:pPr>
        <w:ind w:left="1158" w:hanging="318"/>
        <w:jc w:val="left"/>
      </w:pPr>
      <w:rPr>
        <w:rFonts w:hint="default"/>
        <w:lang w:val="zh-CN" w:eastAsia="zh-CN" w:bidi="zh-CN"/>
      </w:rPr>
    </w:lvl>
    <w:lvl w:ilvl="1" w:tplc="15663A44">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A56CC62A">
      <w:numFmt w:val="bullet"/>
      <w:lvlText w:val="•"/>
      <w:lvlJc w:val="left"/>
      <w:pPr>
        <w:ind w:left="3057" w:hanging="318"/>
      </w:pPr>
      <w:rPr>
        <w:rFonts w:hint="default"/>
        <w:lang w:val="zh-CN" w:eastAsia="zh-CN" w:bidi="zh-CN"/>
      </w:rPr>
    </w:lvl>
    <w:lvl w:ilvl="3" w:tplc="CA7CA35C">
      <w:numFmt w:val="bullet"/>
      <w:lvlText w:val="•"/>
      <w:lvlJc w:val="left"/>
      <w:pPr>
        <w:ind w:left="4005" w:hanging="318"/>
      </w:pPr>
      <w:rPr>
        <w:rFonts w:hint="default"/>
        <w:lang w:val="zh-CN" w:eastAsia="zh-CN" w:bidi="zh-CN"/>
      </w:rPr>
    </w:lvl>
    <w:lvl w:ilvl="4" w:tplc="7EF60570">
      <w:numFmt w:val="bullet"/>
      <w:lvlText w:val="•"/>
      <w:lvlJc w:val="left"/>
      <w:pPr>
        <w:ind w:left="4954" w:hanging="318"/>
      </w:pPr>
      <w:rPr>
        <w:rFonts w:hint="default"/>
        <w:lang w:val="zh-CN" w:eastAsia="zh-CN" w:bidi="zh-CN"/>
      </w:rPr>
    </w:lvl>
    <w:lvl w:ilvl="5" w:tplc="184C749E">
      <w:numFmt w:val="bullet"/>
      <w:lvlText w:val="•"/>
      <w:lvlJc w:val="left"/>
      <w:pPr>
        <w:ind w:left="5903" w:hanging="318"/>
      </w:pPr>
      <w:rPr>
        <w:rFonts w:hint="default"/>
        <w:lang w:val="zh-CN" w:eastAsia="zh-CN" w:bidi="zh-CN"/>
      </w:rPr>
    </w:lvl>
    <w:lvl w:ilvl="6" w:tplc="7038820E">
      <w:numFmt w:val="bullet"/>
      <w:lvlText w:val="•"/>
      <w:lvlJc w:val="left"/>
      <w:pPr>
        <w:ind w:left="6851" w:hanging="318"/>
      </w:pPr>
      <w:rPr>
        <w:rFonts w:hint="default"/>
        <w:lang w:val="zh-CN" w:eastAsia="zh-CN" w:bidi="zh-CN"/>
      </w:rPr>
    </w:lvl>
    <w:lvl w:ilvl="7" w:tplc="B9FC988C">
      <w:numFmt w:val="bullet"/>
      <w:lvlText w:val="•"/>
      <w:lvlJc w:val="left"/>
      <w:pPr>
        <w:ind w:left="7800" w:hanging="318"/>
      </w:pPr>
      <w:rPr>
        <w:rFonts w:hint="default"/>
        <w:lang w:val="zh-CN" w:eastAsia="zh-CN" w:bidi="zh-CN"/>
      </w:rPr>
    </w:lvl>
    <w:lvl w:ilvl="8" w:tplc="A578A022">
      <w:numFmt w:val="bullet"/>
      <w:lvlText w:val="•"/>
      <w:lvlJc w:val="left"/>
      <w:pPr>
        <w:ind w:left="8749" w:hanging="318"/>
      </w:pPr>
      <w:rPr>
        <w:rFonts w:hint="default"/>
        <w:lang w:val="zh-CN" w:eastAsia="zh-CN" w:bidi="zh-CN"/>
      </w:rPr>
    </w:lvl>
  </w:abstractNum>
  <w:abstractNum w:abstractNumId="206" w15:restartNumberingAfterBreak="0">
    <w:nsid w:val="1BCE742C"/>
    <w:multiLevelType w:val="hybridMultilevel"/>
    <w:tmpl w:val="275687EA"/>
    <w:lvl w:ilvl="0" w:tplc="7DB87E88">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84900F22">
      <w:numFmt w:val="bullet"/>
      <w:lvlText w:val="•"/>
      <w:lvlJc w:val="left"/>
      <w:pPr>
        <w:ind w:left="2288" w:hanging="529"/>
      </w:pPr>
      <w:rPr>
        <w:rFonts w:hint="default"/>
        <w:lang w:val="zh-CN" w:eastAsia="zh-CN" w:bidi="zh-CN"/>
      </w:rPr>
    </w:lvl>
    <w:lvl w:ilvl="2" w:tplc="E1C830F4">
      <w:numFmt w:val="bullet"/>
      <w:lvlText w:val="•"/>
      <w:lvlJc w:val="left"/>
      <w:pPr>
        <w:ind w:left="3217" w:hanging="529"/>
      </w:pPr>
      <w:rPr>
        <w:rFonts w:hint="default"/>
        <w:lang w:val="zh-CN" w:eastAsia="zh-CN" w:bidi="zh-CN"/>
      </w:rPr>
    </w:lvl>
    <w:lvl w:ilvl="3" w:tplc="5E102890">
      <w:numFmt w:val="bullet"/>
      <w:lvlText w:val="•"/>
      <w:lvlJc w:val="left"/>
      <w:pPr>
        <w:ind w:left="4145" w:hanging="529"/>
      </w:pPr>
      <w:rPr>
        <w:rFonts w:hint="default"/>
        <w:lang w:val="zh-CN" w:eastAsia="zh-CN" w:bidi="zh-CN"/>
      </w:rPr>
    </w:lvl>
    <w:lvl w:ilvl="4" w:tplc="81EC9C4E">
      <w:numFmt w:val="bullet"/>
      <w:lvlText w:val="•"/>
      <w:lvlJc w:val="left"/>
      <w:pPr>
        <w:ind w:left="5074" w:hanging="529"/>
      </w:pPr>
      <w:rPr>
        <w:rFonts w:hint="default"/>
        <w:lang w:val="zh-CN" w:eastAsia="zh-CN" w:bidi="zh-CN"/>
      </w:rPr>
    </w:lvl>
    <w:lvl w:ilvl="5" w:tplc="D436B700">
      <w:numFmt w:val="bullet"/>
      <w:lvlText w:val="•"/>
      <w:lvlJc w:val="left"/>
      <w:pPr>
        <w:ind w:left="6003" w:hanging="529"/>
      </w:pPr>
      <w:rPr>
        <w:rFonts w:hint="default"/>
        <w:lang w:val="zh-CN" w:eastAsia="zh-CN" w:bidi="zh-CN"/>
      </w:rPr>
    </w:lvl>
    <w:lvl w:ilvl="6" w:tplc="F86E4344">
      <w:numFmt w:val="bullet"/>
      <w:lvlText w:val="•"/>
      <w:lvlJc w:val="left"/>
      <w:pPr>
        <w:ind w:left="6931" w:hanging="529"/>
      </w:pPr>
      <w:rPr>
        <w:rFonts w:hint="default"/>
        <w:lang w:val="zh-CN" w:eastAsia="zh-CN" w:bidi="zh-CN"/>
      </w:rPr>
    </w:lvl>
    <w:lvl w:ilvl="7" w:tplc="0E485672">
      <w:numFmt w:val="bullet"/>
      <w:lvlText w:val="•"/>
      <w:lvlJc w:val="left"/>
      <w:pPr>
        <w:ind w:left="7860" w:hanging="529"/>
      </w:pPr>
      <w:rPr>
        <w:rFonts w:hint="default"/>
        <w:lang w:val="zh-CN" w:eastAsia="zh-CN" w:bidi="zh-CN"/>
      </w:rPr>
    </w:lvl>
    <w:lvl w:ilvl="8" w:tplc="BE88FEC0">
      <w:numFmt w:val="bullet"/>
      <w:lvlText w:val="•"/>
      <w:lvlJc w:val="left"/>
      <w:pPr>
        <w:ind w:left="8789" w:hanging="529"/>
      </w:pPr>
      <w:rPr>
        <w:rFonts w:hint="default"/>
        <w:lang w:val="zh-CN" w:eastAsia="zh-CN" w:bidi="zh-CN"/>
      </w:rPr>
    </w:lvl>
  </w:abstractNum>
  <w:abstractNum w:abstractNumId="207" w15:restartNumberingAfterBreak="0">
    <w:nsid w:val="1BD16773"/>
    <w:multiLevelType w:val="hybridMultilevel"/>
    <w:tmpl w:val="F43C22F6"/>
    <w:lvl w:ilvl="0" w:tplc="908237F0">
      <w:start w:val="4"/>
      <w:numFmt w:val="decimal"/>
      <w:lvlText w:val="%1"/>
      <w:lvlJc w:val="left"/>
      <w:pPr>
        <w:ind w:left="1158" w:hanging="318"/>
        <w:jc w:val="left"/>
      </w:pPr>
      <w:rPr>
        <w:rFonts w:hint="default"/>
        <w:lang w:val="zh-CN" w:eastAsia="zh-CN" w:bidi="zh-CN"/>
      </w:rPr>
    </w:lvl>
    <w:lvl w:ilvl="1" w:tplc="787C87B4">
      <w:start w:val="3"/>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83420ABE">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981E1E4C">
      <w:numFmt w:val="bullet"/>
      <w:lvlText w:val="•"/>
      <w:lvlJc w:val="left"/>
      <w:pPr>
        <w:ind w:left="3268" w:hanging="529"/>
      </w:pPr>
      <w:rPr>
        <w:rFonts w:hint="default"/>
        <w:lang w:val="zh-CN" w:eastAsia="zh-CN" w:bidi="zh-CN"/>
      </w:rPr>
    </w:lvl>
    <w:lvl w:ilvl="4" w:tplc="9D3233B8">
      <w:numFmt w:val="bullet"/>
      <w:lvlText w:val="•"/>
      <w:lvlJc w:val="left"/>
      <w:pPr>
        <w:ind w:left="4322" w:hanging="529"/>
      </w:pPr>
      <w:rPr>
        <w:rFonts w:hint="default"/>
        <w:lang w:val="zh-CN" w:eastAsia="zh-CN" w:bidi="zh-CN"/>
      </w:rPr>
    </w:lvl>
    <w:lvl w:ilvl="5" w:tplc="8CB0C4EA">
      <w:numFmt w:val="bullet"/>
      <w:lvlText w:val="•"/>
      <w:lvlJc w:val="left"/>
      <w:pPr>
        <w:ind w:left="5376" w:hanging="529"/>
      </w:pPr>
      <w:rPr>
        <w:rFonts w:hint="default"/>
        <w:lang w:val="zh-CN" w:eastAsia="zh-CN" w:bidi="zh-CN"/>
      </w:rPr>
    </w:lvl>
    <w:lvl w:ilvl="6" w:tplc="F886DA50">
      <w:numFmt w:val="bullet"/>
      <w:lvlText w:val="•"/>
      <w:lvlJc w:val="left"/>
      <w:pPr>
        <w:ind w:left="6430" w:hanging="529"/>
      </w:pPr>
      <w:rPr>
        <w:rFonts w:hint="default"/>
        <w:lang w:val="zh-CN" w:eastAsia="zh-CN" w:bidi="zh-CN"/>
      </w:rPr>
    </w:lvl>
    <w:lvl w:ilvl="7" w:tplc="ED06B7F0">
      <w:numFmt w:val="bullet"/>
      <w:lvlText w:val="•"/>
      <w:lvlJc w:val="left"/>
      <w:pPr>
        <w:ind w:left="7484" w:hanging="529"/>
      </w:pPr>
      <w:rPr>
        <w:rFonts w:hint="default"/>
        <w:lang w:val="zh-CN" w:eastAsia="zh-CN" w:bidi="zh-CN"/>
      </w:rPr>
    </w:lvl>
    <w:lvl w:ilvl="8" w:tplc="24369D88">
      <w:numFmt w:val="bullet"/>
      <w:lvlText w:val="•"/>
      <w:lvlJc w:val="left"/>
      <w:pPr>
        <w:ind w:left="8538" w:hanging="529"/>
      </w:pPr>
      <w:rPr>
        <w:rFonts w:hint="default"/>
        <w:lang w:val="zh-CN" w:eastAsia="zh-CN" w:bidi="zh-CN"/>
      </w:rPr>
    </w:lvl>
  </w:abstractNum>
  <w:abstractNum w:abstractNumId="208" w15:restartNumberingAfterBreak="0">
    <w:nsid w:val="1BDB5A4B"/>
    <w:multiLevelType w:val="hybridMultilevel"/>
    <w:tmpl w:val="60FC1908"/>
    <w:lvl w:ilvl="0" w:tplc="89E2107E">
      <w:start w:val="11"/>
      <w:numFmt w:val="decimal"/>
      <w:lvlText w:val="%1"/>
      <w:lvlJc w:val="left"/>
      <w:pPr>
        <w:ind w:left="418" w:hanging="637"/>
        <w:jc w:val="left"/>
      </w:pPr>
      <w:rPr>
        <w:rFonts w:hint="default"/>
        <w:lang w:val="zh-CN" w:eastAsia="zh-CN" w:bidi="zh-CN"/>
      </w:rPr>
    </w:lvl>
    <w:lvl w:ilvl="1" w:tplc="03342B7E">
      <w:start w:val="2"/>
      <w:numFmt w:val="decimal"/>
      <w:lvlText w:val="%1.%2"/>
      <w:lvlJc w:val="left"/>
      <w:pPr>
        <w:ind w:left="418" w:hanging="637"/>
        <w:jc w:val="left"/>
      </w:pPr>
      <w:rPr>
        <w:rFonts w:hint="default"/>
        <w:lang w:val="zh-CN" w:eastAsia="zh-CN" w:bidi="zh-CN"/>
      </w:rPr>
    </w:lvl>
    <w:lvl w:ilvl="2" w:tplc="FB56D74A">
      <w:start w:val="1"/>
      <w:numFmt w:val="decimal"/>
      <w:lvlText w:val="%1.%2.%3"/>
      <w:lvlJc w:val="left"/>
      <w:pPr>
        <w:ind w:left="418" w:hanging="637"/>
        <w:jc w:val="left"/>
      </w:pPr>
      <w:rPr>
        <w:rFonts w:ascii="宋体" w:eastAsia="宋体" w:hAnsi="宋体" w:cs="宋体" w:hint="default"/>
        <w:b/>
        <w:bCs/>
        <w:spacing w:val="-84"/>
        <w:w w:val="99"/>
        <w:sz w:val="19"/>
        <w:szCs w:val="19"/>
        <w:lang w:val="zh-CN" w:eastAsia="zh-CN" w:bidi="zh-CN"/>
      </w:rPr>
    </w:lvl>
    <w:lvl w:ilvl="3" w:tplc="DE840B72">
      <w:numFmt w:val="bullet"/>
      <w:lvlText w:val="•"/>
      <w:lvlJc w:val="left"/>
      <w:pPr>
        <w:ind w:left="3487" w:hanging="637"/>
      </w:pPr>
      <w:rPr>
        <w:rFonts w:hint="default"/>
        <w:lang w:val="zh-CN" w:eastAsia="zh-CN" w:bidi="zh-CN"/>
      </w:rPr>
    </w:lvl>
    <w:lvl w:ilvl="4" w:tplc="83002E90">
      <w:numFmt w:val="bullet"/>
      <w:lvlText w:val="•"/>
      <w:lvlJc w:val="left"/>
      <w:pPr>
        <w:ind w:left="4510" w:hanging="637"/>
      </w:pPr>
      <w:rPr>
        <w:rFonts w:hint="default"/>
        <w:lang w:val="zh-CN" w:eastAsia="zh-CN" w:bidi="zh-CN"/>
      </w:rPr>
    </w:lvl>
    <w:lvl w:ilvl="5" w:tplc="B7F84A2A">
      <w:numFmt w:val="bullet"/>
      <w:lvlText w:val="•"/>
      <w:lvlJc w:val="left"/>
      <w:pPr>
        <w:ind w:left="5533" w:hanging="637"/>
      </w:pPr>
      <w:rPr>
        <w:rFonts w:hint="default"/>
        <w:lang w:val="zh-CN" w:eastAsia="zh-CN" w:bidi="zh-CN"/>
      </w:rPr>
    </w:lvl>
    <w:lvl w:ilvl="6" w:tplc="8E9C8AEE">
      <w:numFmt w:val="bullet"/>
      <w:lvlText w:val="•"/>
      <w:lvlJc w:val="left"/>
      <w:pPr>
        <w:ind w:left="6555" w:hanging="637"/>
      </w:pPr>
      <w:rPr>
        <w:rFonts w:hint="default"/>
        <w:lang w:val="zh-CN" w:eastAsia="zh-CN" w:bidi="zh-CN"/>
      </w:rPr>
    </w:lvl>
    <w:lvl w:ilvl="7" w:tplc="599A0568">
      <w:numFmt w:val="bullet"/>
      <w:lvlText w:val="•"/>
      <w:lvlJc w:val="left"/>
      <w:pPr>
        <w:ind w:left="7578" w:hanging="637"/>
      </w:pPr>
      <w:rPr>
        <w:rFonts w:hint="default"/>
        <w:lang w:val="zh-CN" w:eastAsia="zh-CN" w:bidi="zh-CN"/>
      </w:rPr>
    </w:lvl>
    <w:lvl w:ilvl="8" w:tplc="C2F6D1CA">
      <w:numFmt w:val="bullet"/>
      <w:lvlText w:val="•"/>
      <w:lvlJc w:val="left"/>
      <w:pPr>
        <w:ind w:left="8601" w:hanging="637"/>
      </w:pPr>
      <w:rPr>
        <w:rFonts w:hint="default"/>
        <w:lang w:val="zh-CN" w:eastAsia="zh-CN" w:bidi="zh-CN"/>
      </w:rPr>
    </w:lvl>
  </w:abstractNum>
  <w:abstractNum w:abstractNumId="209" w15:restartNumberingAfterBreak="0">
    <w:nsid w:val="1C180CDA"/>
    <w:multiLevelType w:val="hybridMultilevel"/>
    <w:tmpl w:val="4F6C675A"/>
    <w:lvl w:ilvl="0" w:tplc="510818A6">
      <w:start w:val="4"/>
      <w:numFmt w:val="decimal"/>
      <w:lvlText w:val="%1"/>
      <w:lvlJc w:val="left"/>
      <w:pPr>
        <w:ind w:left="1575" w:hanging="738"/>
        <w:jc w:val="left"/>
      </w:pPr>
      <w:rPr>
        <w:rFonts w:hint="default"/>
        <w:lang w:val="zh-CN" w:eastAsia="zh-CN" w:bidi="zh-CN"/>
      </w:rPr>
    </w:lvl>
    <w:lvl w:ilvl="1" w:tplc="E460CD24">
      <w:start w:val="2"/>
      <w:numFmt w:val="decimal"/>
      <w:lvlText w:val="%1.%2"/>
      <w:lvlJc w:val="left"/>
      <w:pPr>
        <w:ind w:left="1575" w:hanging="738"/>
        <w:jc w:val="left"/>
      </w:pPr>
      <w:rPr>
        <w:rFonts w:hint="default"/>
        <w:lang w:val="zh-CN" w:eastAsia="zh-CN" w:bidi="zh-CN"/>
      </w:rPr>
    </w:lvl>
    <w:lvl w:ilvl="2" w:tplc="5D1C96A6">
      <w:start w:val="5"/>
      <w:numFmt w:val="decimal"/>
      <w:lvlText w:val="%1.%2.%3"/>
      <w:lvlJc w:val="left"/>
      <w:pPr>
        <w:ind w:left="1575" w:hanging="738"/>
        <w:jc w:val="left"/>
      </w:pPr>
      <w:rPr>
        <w:rFonts w:hint="default"/>
        <w:lang w:val="zh-CN" w:eastAsia="zh-CN" w:bidi="zh-CN"/>
      </w:rPr>
    </w:lvl>
    <w:lvl w:ilvl="3" w:tplc="C78001EE">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8A626560">
      <w:numFmt w:val="bullet"/>
      <w:lvlText w:val="•"/>
      <w:lvlJc w:val="left"/>
      <w:pPr>
        <w:ind w:left="5206" w:hanging="738"/>
      </w:pPr>
      <w:rPr>
        <w:rFonts w:hint="default"/>
        <w:lang w:val="zh-CN" w:eastAsia="zh-CN" w:bidi="zh-CN"/>
      </w:rPr>
    </w:lvl>
    <w:lvl w:ilvl="5" w:tplc="86DC3A52">
      <w:numFmt w:val="bullet"/>
      <w:lvlText w:val="•"/>
      <w:lvlJc w:val="left"/>
      <w:pPr>
        <w:ind w:left="6113" w:hanging="738"/>
      </w:pPr>
      <w:rPr>
        <w:rFonts w:hint="default"/>
        <w:lang w:val="zh-CN" w:eastAsia="zh-CN" w:bidi="zh-CN"/>
      </w:rPr>
    </w:lvl>
    <w:lvl w:ilvl="6" w:tplc="B344AEE6">
      <w:numFmt w:val="bullet"/>
      <w:lvlText w:val="•"/>
      <w:lvlJc w:val="left"/>
      <w:pPr>
        <w:ind w:left="7019" w:hanging="738"/>
      </w:pPr>
      <w:rPr>
        <w:rFonts w:hint="default"/>
        <w:lang w:val="zh-CN" w:eastAsia="zh-CN" w:bidi="zh-CN"/>
      </w:rPr>
    </w:lvl>
    <w:lvl w:ilvl="7" w:tplc="35DC83C8">
      <w:numFmt w:val="bullet"/>
      <w:lvlText w:val="•"/>
      <w:lvlJc w:val="left"/>
      <w:pPr>
        <w:ind w:left="7926" w:hanging="738"/>
      </w:pPr>
      <w:rPr>
        <w:rFonts w:hint="default"/>
        <w:lang w:val="zh-CN" w:eastAsia="zh-CN" w:bidi="zh-CN"/>
      </w:rPr>
    </w:lvl>
    <w:lvl w:ilvl="8" w:tplc="2D2E9F4A">
      <w:numFmt w:val="bullet"/>
      <w:lvlText w:val="•"/>
      <w:lvlJc w:val="left"/>
      <w:pPr>
        <w:ind w:left="8833" w:hanging="738"/>
      </w:pPr>
      <w:rPr>
        <w:rFonts w:hint="default"/>
        <w:lang w:val="zh-CN" w:eastAsia="zh-CN" w:bidi="zh-CN"/>
      </w:rPr>
    </w:lvl>
  </w:abstractNum>
  <w:abstractNum w:abstractNumId="210" w15:restartNumberingAfterBreak="0">
    <w:nsid w:val="1C4A6F00"/>
    <w:multiLevelType w:val="hybridMultilevel"/>
    <w:tmpl w:val="4D1ED9E0"/>
    <w:lvl w:ilvl="0" w:tplc="DFD2F70E">
      <w:start w:val="4"/>
      <w:numFmt w:val="decimal"/>
      <w:lvlText w:val="%1"/>
      <w:lvlJc w:val="left"/>
      <w:pPr>
        <w:ind w:left="1158" w:hanging="318"/>
        <w:jc w:val="left"/>
      </w:pPr>
      <w:rPr>
        <w:rFonts w:hint="default"/>
        <w:lang w:val="zh-CN" w:eastAsia="zh-CN" w:bidi="zh-CN"/>
      </w:rPr>
    </w:lvl>
    <w:lvl w:ilvl="1" w:tplc="844A7416">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E9CE4830">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A9583364">
      <w:numFmt w:val="bullet"/>
      <w:lvlText w:val="•"/>
      <w:lvlJc w:val="left"/>
      <w:pPr>
        <w:ind w:left="3439" w:hanging="531"/>
      </w:pPr>
      <w:rPr>
        <w:rFonts w:hint="default"/>
        <w:lang w:val="zh-CN" w:eastAsia="zh-CN" w:bidi="zh-CN"/>
      </w:rPr>
    </w:lvl>
    <w:lvl w:ilvl="4" w:tplc="0A40B88E">
      <w:numFmt w:val="bullet"/>
      <w:lvlText w:val="•"/>
      <w:lvlJc w:val="left"/>
      <w:pPr>
        <w:ind w:left="4468" w:hanging="531"/>
      </w:pPr>
      <w:rPr>
        <w:rFonts w:hint="default"/>
        <w:lang w:val="zh-CN" w:eastAsia="zh-CN" w:bidi="zh-CN"/>
      </w:rPr>
    </w:lvl>
    <w:lvl w:ilvl="5" w:tplc="A5D0BAEE">
      <w:numFmt w:val="bullet"/>
      <w:lvlText w:val="•"/>
      <w:lvlJc w:val="left"/>
      <w:pPr>
        <w:ind w:left="5498" w:hanging="531"/>
      </w:pPr>
      <w:rPr>
        <w:rFonts w:hint="default"/>
        <w:lang w:val="zh-CN" w:eastAsia="zh-CN" w:bidi="zh-CN"/>
      </w:rPr>
    </w:lvl>
    <w:lvl w:ilvl="6" w:tplc="F5B002CC">
      <w:numFmt w:val="bullet"/>
      <w:lvlText w:val="•"/>
      <w:lvlJc w:val="left"/>
      <w:pPr>
        <w:ind w:left="6528" w:hanging="531"/>
      </w:pPr>
      <w:rPr>
        <w:rFonts w:hint="default"/>
        <w:lang w:val="zh-CN" w:eastAsia="zh-CN" w:bidi="zh-CN"/>
      </w:rPr>
    </w:lvl>
    <w:lvl w:ilvl="7" w:tplc="889A209C">
      <w:numFmt w:val="bullet"/>
      <w:lvlText w:val="•"/>
      <w:lvlJc w:val="left"/>
      <w:pPr>
        <w:ind w:left="7557" w:hanging="531"/>
      </w:pPr>
      <w:rPr>
        <w:rFonts w:hint="default"/>
        <w:lang w:val="zh-CN" w:eastAsia="zh-CN" w:bidi="zh-CN"/>
      </w:rPr>
    </w:lvl>
    <w:lvl w:ilvl="8" w:tplc="7130CF46">
      <w:numFmt w:val="bullet"/>
      <w:lvlText w:val="•"/>
      <w:lvlJc w:val="left"/>
      <w:pPr>
        <w:ind w:left="8587" w:hanging="531"/>
      </w:pPr>
      <w:rPr>
        <w:rFonts w:hint="default"/>
        <w:lang w:val="zh-CN" w:eastAsia="zh-CN" w:bidi="zh-CN"/>
      </w:rPr>
    </w:lvl>
  </w:abstractNum>
  <w:abstractNum w:abstractNumId="211" w15:restartNumberingAfterBreak="0">
    <w:nsid w:val="1C77278B"/>
    <w:multiLevelType w:val="hybridMultilevel"/>
    <w:tmpl w:val="86445756"/>
    <w:lvl w:ilvl="0" w:tplc="1624CFC6">
      <w:start w:val="3"/>
      <w:numFmt w:val="decimal"/>
      <w:lvlText w:val="%1"/>
      <w:lvlJc w:val="left"/>
      <w:pPr>
        <w:ind w:left="1158" w:hanging="318"/>
        <w:jc w:val="left"/>
      </w:pPr>
      <w:rPr>
        <w:rFonts w:hint="default"/>
        <w:lang w:val="zh-CN" w:eastAsia="zh-CN" w:bidi="zh-CN"/>
      </w:rPr>
    </w:lvl>
    <w:lvl w:ilvl="1" w:tplc="7E8AD8F4">
      <w:start w:val="1"/>
      <w:numFmt w:val="decimal"/>
      <w:lvlText w:val="%1.%2"/>
      <w:lvlJc w:val="left"/>
      <w:pPr>
        <w:ind w:left="1158" w:hanging="318"/>
        <w:jc w:val="left"/>
      </w:pPr>
      <w:rPr>
        <w:rFonts w:ascii="宋体" w:eastAsia="宋体" w:hAnsi="宋体" w:cs="宋体" w:hint="default"/>
        <w:b/>
        <w:bCs/>
        <w:spacing w:val="-3"/>
        <w:w w:val="99"/>
        <w:sz w:val="19"/>
        <w:szCs w:val="19"/>
        <w:lang w:val="zh-CN" w:eastAsia="zh-CN" w:bidi="zh-CN"/>
      </w:rPr>
    </w:lvl>
    <w:lvl w:ilvl="2" w:tplc="C49C3FB8">
      <w:start w:val="1"/>
      <w:numFmt w:val="decimal"/>
      <w:lvlText w:val="%1.%2.%3"/>
      <w:lvlJc w:val="left"/>
      <w:pPr>
        <w:ind w:left="418" w:hanging="598"/>
        <w:jc w:val="left"/>
      </w:pPr>
      <w:rPr>
        <w:rFonts w:ascii="宋体" w:eastAsia="宋体" w:hAnsi="宋体" w:cs="宋体" w:hint="default"/>
        <w:b/>
        <w:bCs/>
        <w:w w:val="99"/>
        <w:sz w:val="21"/>
        <w:szCs w:val="21"/>
        <w:lang w:val="zh-CN" w:eastAsia="zh-CN" w:bidi="zh-CN"/>
      </w:rPr>
    </w:lvl>
    <w:lvl w:ilvl="3" w:tplc="D656361C">
      <w:numFmt w:val="bullet"/>
      <w:lvlText w:val="•"/>
      <w:lvlJc w:val="left"/>
      <w:pPr>
        <w:ind w:left="2520" w:hanging="598"/>
      </w:pPr>
      <w:rPr>
        <w:rFonts w:hint="default"/>
        <w:lang w:val="zh-CN" w:eastAsia="zh-CN" w:bidi="zh-CN"/>
      </w:rPr>
    </w:lvl>
    <w:lvl w:ilvl="4" w:tplc="47E6A3E4">
      <w:numFmt w:val="bullet"/>
      <w:lvlText w:val="•"/>
      <w:lvlJc w:val="left"/>
      <w:pPr>
        <w:ind w:left="3681" w:hanging="598"/>
      </w:pPr>
      <w:rPr>
        <w:rFonts w:hint="default"/>
        <w:lang w:val="zh-CN" w:eastAsia="zh-CN" w:bidi="zh-CN"/>
      </w:rPr>
    </w:lvl>
    <w:lvl w:ilvl="5" w:tplc="0D467B1C">
      <w:numFmt w:val="bullet"/>
      <w:lvlText w:val="•"/>
      <w:lvlJc w:val="left"/>
      <w:pPr>
        <w:ind w:left="4842" w:hanging="598"/>
      </w:pPr>
      <w:rPr>
        <w:rFonts w:hint="default"/>
        <w:lang w:val="zh-CN" w:eastAsia="zh-CN" w:bidi="zh-CN"/>
      </w:rPr>
    </w:lvl>
    <w:lvl w:ilvl="6" w:tplc="575854A2">
      <w:numFmt w:val="bullet"/>
      <w:lvlText w:val="•"/>
      <w:lvlJc w:val="left"/>
      <w:pPr>
        <w:ind w:left="6003" w:hanging="598"/>
      </w:pPr>
      <w:rPr>
        <w:rFonts w:hint="default"/>
        <w:lang w:val="zh-CN" w:eastAsia="zh-CN" w:bidi="zh-CN"/>
      </w:rPr>
    </w:lvl>
    <w:lvl w:ilvl="7" w:tplc="2EA269C0">
      <w:numFmt w:val="bullet"/>
      <w:lvlText w:val="•"/>
      <w:lvlJc w:val="left"/>
      <w:pPr>
        <w:ind w:left="7164" w:hanging="598"/>
      </w:pPr>
      <w:rPr>
        <w:rFonts w:hint="default"/>
        <w:lang w:val="zh-CN" w:eastAsia="zh-CN" w:bidi="zh-CN"/>
      </w:rPr>
    </w:lvl>
    <w:lvl w:ilvl="8" w:tplc="6C7419BE">
      <w:numFmt w:val="bullet"/>
      <w:lvlText w:val="•"/>
      <w:lvlJc w:val="left"/>
      <w:pPr>
        <w:ind w:left="8324" w:hanging="598"/>
      </w:pPr>
      <w:rPr>
        <w:rFonts w:hint="default"/>
        <w:lang w:val="zh-CN" w:eastAsia="zh-CN" w:bidi="zh-CN"/>
      </w:rPr>
    </w:lvl>
  </w:abstractNum>
  <w:abstractNum w:abstractNumId="212" w15:restartNumberingAfterBreak="0">
    <w:nsid w:val="1C826459"/>
    <w:multiLevelType w:val="hybridMultilevel"/>
    <w:tmpl w:val="C74407C8"/>
    <w:lvl w:ilvl="0" w:tplc="C8CA926E">
      <w:start w:val="2"/>
      <w:numFmt w:val="decimal"/>
      <w:lvlText w:val="%1)"/>
      <w:lvlJc w:val="left"/>
      <w:pPr>
        <w:ind w:left="1050" w:hanging="213"/>
        <w:jc w:val="left"/>
      </w:pPr>
      <w:rPr>
        <w:rFonts w:ascii="宋体" w:eastAsia="宋体" w:hAnsi="宋体" w:cs="宋体" w:hint="default"/>
        <w:spacing w:val="-3"/>
        <w:w w:val="100"/>
        <w:sz w:val="19"/>
        <w:szCs w:val="19"/>
        <w:lang w:val="zh-CN" w:eastAsia="zh-CN" w:bidi="zh-CN"/>
      </w:rPr>
    </w:lvl>
    <w:lvl w:ilvl="1" w:tplc="F000B954">
      <w:numFmt w:val="bullet"/>
      <w:lvlText w:val="•"/>
      <w:lvlJc w:val="left"/>
      <w:pPr>
        <w:ind w:left="2018" w:hanging="213"/>
      </w:pPr>
      <w:rPr>
        <w:rFonts w:hint="default"/>
        <w:lang w:val="zh-CN" w:eastAsia="zh-CN" w:bidi="zh-CN"/>
      </w:rPr>
    </w:lvl>
    <w:lvl w:ilvl="2" w:tplc="70C01244">
      <w:numFmt w:val="bullet"/>
      <w:lvlText w:val="•"/>
      <w:lvlJc w:val="left"/>
      <w:pPr>
        <w:ind w:left="2977" w:hanging="213"/>
      </w:pPr>
      <w:rPr>
        <w:rFonts w:hint="default"/>
        <w:lang w:val="zh-CN" w:eastAsia="zh-CN" w:bidi="zh-CN"/>
      </w:rPr>
    </w:lvl>
    <w:lvl w:ilvl="3" w:tplc="2C4E0EAE">
      <w:numFmt w:val="bullet"/>
      <w:lvlText w:val="•"/>
      <w:lvlJc w:val="left"/>
      <w:pPr>
        <w:ind w:left="3935" w:hanging="213"/>
      </w:pPr>
      <w:rPr>
        <w:rFonts w:hint="default"/>
        <w:lang w:val="zh-CN" w:eastAsia="zh-CN" w:bidi="zh-CN"/>
      </w:rPr>
    </w:lvl>
    <w:lvl w:ilvl="4" w:tplc="A73636C6">
      <w:numFmt w:val="bullet"/>
      <w:lvlText w:val="•"/>
      <w:lvlJc w:val="left"/>
      <w:pPr>
        <w:ind w:left="4894" w:hanging="213"/>
      </w:pPr>
      <w:rPr>
        <w:rFonts w:hint="default"/>
        <w:lang w:val="zh-CN" w:eastAsia="zh-CN" w:bidi="zh-CN"/>
      </w:rPr>
    </w:lvl>
    <w:lvl w:ilvl="5" w:tplc="D6DE81E8">
      <w:numFmt w:val="bullet"/>
      <w:lvlText w:val="•"/>
      <w:lvlJc w:val="left"/>
      <w:pPr>
        <w:ind w:left="5853" w:hanging="213"/>
      </w:pPr>
      <w:rPr>
        <w:rFonts w:hint="default"/>
        <w:lang w:val="zh-CN" w:eastAsia="zh-CN" w:bidi="zh-CN"/>
      </w:rPr>
    </w:lvl>
    <w:lvl w:ilvl="6" w:tplc="FFFAA4B2">
      <w:numFmt w:val="bullet"/>
      <w:lvlText w:val="•"/>
      <w:lvlJc w:val="left"/>
      <w:pPr>
        <w:ind w:left="6811" w:hanging="213"/>
      </w:pPr>
      <w:rPr>
        <w:rFonts w:hint="default"/>
        <w:lang w:val="zh-CN" w:eastAsia="zh-CN" w:bidi="zh-CN"/>
      </w:rPr>
    </w:lvl>
    <w:lvl w:ilvl="7" w:tplc="BE6CD2FE">
      <w:numFmt w:val="bullet"/>
      <w:lvlText w:val="•"/>
      <w:lvlJc w:val="left"/>
      <w:pPr>
        <w:ind w:left="7770" w:hanging="213"/>
      </w:pPr>
      <w:rPr>
        <w:rFonts w:hint="default"/>
        <w:lang w:val="zh-CN" w:eastAsia="zh-CN" w:bidi="zh-CN"/>
      </w:rPr>
    </w:lvl>
    <w:lvl w:ilvl="8" w:tplc="FFC249A8">
      <w:numFmt w:val="bullet"/>
      <w:lvlText w:val="•"/>
      <w:lvlJc w:val="left"/>
      <w:pPr>
        <w:ind w:left="8729" w:hanging="213"/>
      </w:pPr>
      <w:rPr>
        <w:rFonts w:hint="default"/>
        <w:lang w:val="zh-CN" w:eastAsia="zh-CN" w:bidi="zh-CN"/>
      </w:rPr>
    </w:lvl>
  </w:abstractNum>
  <w:abstractNum w:abstractNumId="213" w15:restartNumberingAfterBreak="0">
    <w:nsid w:val="1C8F4321"/>
    <w:multiLevelType w:val="hybridMultilevel"/>
    <w:tmpl w:val="37E48F84"/>
    <w:lvl w:ilvl="0" w:tplc="47ECB7F2">
      <w:start w:val="5"/>
      <w:numFmt w:val="decimal"/>
      <w:lvlText w:val="%1"/>
      <w:lvlJc w:val="left"/>
      <w:pPr>
        <w:ind w:left="1369" w:hanging="529"/>
        <w:jc w:val="left"/>
      </w:pPr>
      <w:rPr>
        <w:rFonts w:hint="default"/>
        <w:lang w:val="zh-CN" w:eastAsia="zh-CN" w:bidi="zh-CN"/>
      </w:rPr>
    </w:lvl>
    <w:lvl w:ilvl="1" w:tplc="4C92FB4C">
      <w:start w:val="3"/>
      <w:numFmt w:val="decimal"/>
      <w:lvlText w:val="%1.%2"/>
      <w:lvlJc w:val="left"/>
      <w:pPr>
        <w:ind w:left="1369" w:hanging="529"/>
        <w:jc w:val="left"/>
      </w:pPr>
      <w:rPr>
        <w:rFonts w:hint="default"/>
        <w:lang w:val="zh-CN" w:eastAsia="zh-CN" w:bidi="zh-CN"/>
      </w:rPr>
    </w:lvl>
    <w:lvl w:ilvl="2" w:tplc="32F8BE56">
      <w:start w:val="3"/>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96722108">
      <w:numFmt w:val="bullet"/>
      <w:lvlText w:val="•"/>
      <w:lvlJc w:val="left"/>
      <w:pPr>
        <w:ind w:left="4145" w:hanging="529"/>
      </w:pPr>
      <w:rPr>
        <w:rFonts w:hint="default"/>
        <w:lang w:val="zh-CN" w:eastAsia="zh-CN" w:bidi="zh-CN"/>
      </w:rPr>
    </w:lvl>
    <w:lvl w:ilvl="4" w:tplc="B074021C">
      <w:numFmt w:val="bullet"/>
      <w:lvlText w:val="•"/>
      <w:lvlJc w:val="left"/>
      <w:pPr>
        <w:ind w:left="5074" w:hanging="529"/>
      </w:pPr>
      <w:rPr>
        <w:rFonts w:hint="default"/>
        <w:lang w:val="zh-CN" w:eastAsia="zh-CN" w:bidi="zh-CN"/>
      </w:rPr>
    </w:lvl>
    <w:lvl w:ilvl="5" w:tplc="5AD03D18">
      <w:numFmt w:val="bullet"/>
      <w:lvlText w:val="•"/>
      <w:lvlJc w:val="left"/>
      <w:pPr>
        <w:ind w:left="6003" w:hanging="529"/>
      </w:pPr>
      <w:rPr>
        <w:rFonts w:hint="default"/>
        <w:lang w:val="zh-CN" w:eastAsia="zh-CN" w:bidi="zh-CN"/>
      </w:rPr>
    </w:lvl>
    <w:lvl w:ilvl="6" w:tplc="0D20058C">
      <w:numFmt w:val="bullet"/>
      <w:lvlText w:val="•"/>
      <w:lvlJc w:val="left"/>
      <w:pPr>
        <w:ind w:left="6931" w:hanging="529"/>
      </w:pPr>
      <w:rPr>
        <w:rFonts w:hint="default"/>
        <w:lang w:val="zh-CN" w:eastAsia="zh-CN" w:bidi="zh-CN"/>
      </w:rPr>
    </w:lvl>
    <w:lvl w:ilvl="7" w:tplc="417A5FA6">
      <w:numFmt w:val="bullet"/>
      <w:lvlText w:val="•"/>
      <w:lvlJc w:val="left"/>
      <w:pPr>
        <w:ind w:left="7860" w:hanging="529"/>
      </w:pPr>
      <w:rPr>
        <w:rFonts w:hint="default"/>
        <w:lang w:val="zh-CN" w:eastAsia="zh-CN" w:bidi="zh-CN"/>
      </w:rPr>
    </w:lvl>
    <w:lvl w:ilvl="8" w:tplc="CD140D2A">
      <w:numFmt w:val="bullet"/>
      <w:lvlText w:val="•"/>
      <w:lvlJc w:val="left"/>
      <w:pPr>
        <w:ind w:left="8789" w:hanging="529"/>
      </w:pPr>
      <w:rPr>
        <w:rFonts w:hint="default"/>
        <w:lang w:val="zh-CN" w:eastAsia="zh-CN" w:bidi="zh-CN"/>
      </w:rPr>
    </w:lvl>
  </w:abstractNum>
  <w:abstractNum w:abstractNumId="214" w15:restartNumberingAfterBreak="0">
    <w:nsid w:val="1CCB4012"/>
    <w:multiLevelType w:val="hybridMultilevel"/>
    <w:tmpl w:val="712C4448"/>
    <w:lvl w:ilvl="0" w:tplc="FE5A826E">
      <w:start w:val="1"/>
      <w:numFmt w:val="decimal"/>
      <w:lvlText w:val="（%1）"/>
      <w:lvlJc w:val="left"/>
      <w:pPr>
        <w:ind w:left="418" w:hanging="529"/>
        <w:jc w:val="left"/>
      </w:pPr>
      <w:rPr>
        <w:rFonts w:ascii="宋体" w:eastAsia="宋体" w:hAnsi="宋体" w:cs="宋体" w:hint="default"/>
        <w:spacing w:val="-48"/>
        <w:w w:val="100"/>
        <w:sz w:val="19"/>
        <w:szCs w:val="19"/>
        <w:lang w:val="zh-CN" w:eastAsia="zh-CN" w:bidi="zh-CN"/>
      </w:rPr>
    </w:lvl>
    <w:lvl w:ilvl="1" w:tplc="20025952">
      <w:numFmt w:val="bullet"/>
      <w:lvlText w:val="•"/>
      <w:lvlJc w:val="left"/>
      <w:pPr>
        <w:ind w:left="1442" w:hanging="529"/>
      </w:pPr>
      <w:rPr>
        <w:rFonts w:hint="default"/>
        <w:lang w:val="zh-CN" w:eastAsia="zh-CN" w:bidi="zh-CN"/>
      </w:rPr>
    </w:lvl>
    <w:lvl w:ilvl="2" w:tplc="34561252">
      <w:numFmt w:val="bullet"/>
      <w:lvlText w:val="•"/>
      <w:lvlJc w:val="left"/>
      <w:pPr>
        <w:ind w:left="2465" w:hanging="529"/>
      </w:pPr>
      <w:rPr>
        <w:rFonts w:hint="default"/>
        <w:lang w:val="zh-CN" w:eastAsia="zh-CN" w:bidi="zh-CN"/>
      </w:rPr>
    </w:lvl>
    <w:lvl w:ilvl="3" w:tplc="290C335E">
      <w:numFmt w:val="bullet"/>
      <w:lvlText w:val="•"/>
      <w:lvlJc w:val="left"/>
      <w:pPr>
        <w:ind w:left="3487" w:hanging="529"/>
      </w:pPr>
      <w:rPr>
        <w:rFonts w:hint="default"/>
        <w:lang w:val="zh-CN" w:eastAsia="zh-CN" w:bidi="zh-CN"/>
      </w:rPr>
    </w:lvl>
    <w:lvl w:ilvl="4" w:tplc="2A64C1AE">
      <w:numFmt w:val="bullet"/>
      <w:lvlText w:val="•"/>
      <w:lvlJc w:val="left"/>
      <w:pPr>
        <w:ind w:left="4510" w:hanging="529"/>
      </w:pPr>
      <w:rPr>
        <w:rFonts w:hint="default"/>
        <w:lang w:val="zh-CN" w:eastAsia="zh-CN" w:bidi="zh-CN"/>
      </w:rPr>
    </w:lvl>
    <w:lvl w:ilvl="5" w:tplc="CFA80764">
      <w:numFmt w:val="bullet"/>
      <w:lvlText w:val="•"/>
      <w:lvlJc w:val="left"/>
      <w:pPr>
        <w:ind w:left="5533" w:hanging="529"/>
      </w:pPr>
      <w:rPr>
        <w:rFonts w:hint="default"/>
        <w:lang w:val="zh-CN" w:eastAsia="zh-CN" w:bidi="zh-CN"/>
      </w:rPr>
    </w:lvl>
    <w:lvl w:ilvl="6" w:tplc="F684B812">
      <w:numFmt w:val="bullet"/>
      <w:lvlText w:val="•"/>
      <w:lvlJc w:val="left"/>
      <w:pPr>
        <w:ind w:left="6555" w:hanging="529"/>
      </w:pPr>
      <w:rPr>
        <w:rFonts w:hint="default"/>
        <w:lang w:val="zh-CN" w:eastAsia="zh-CN" w:bidi="zh-CN"/>
      </w:rPr>
    </w:lvl>
    <w:lvl w:ilvl="7" w:tplc="2F80AEEC">
      <w:numFmt w:val="bullet"/>
      <w:lvlText w:val="•"/>
      <w:lvlJc w:val="left"/>
      <w:pPr>
        <w:ind w:left="7578" w:hanging="529"/>
      </w:pPr>
      <w:rPr>
        <w:rFonts w:hint="default"/>
        <w:lang w:val="zh-CN" w:eastAsia="zh-CN" w:bidi="zh-CN"/>
      </w:rPr>
    </w:lvl>
    <w:lvl w:ilvl="8" w:tplc="162845AA">
      <w:numFmt w:val="bullet"/>
      <w:lvlText w:val="•"/>
      <w:lvlJc w:val="left"/>
      <w:pPr>
        <w:ind w:left="8601" w:hanging="529"/>
      </w:pPr>
      <w:rPr>
        <w:rFonts w:hint="default"/>
        <w:lang w:val="zh-CN" w:eastAsia="zh-CN" w:bidi="zh-CN"/>
      </w:rPr>
    </w:lvl>
  </w:abstractNum>
  <w:abstractNum w:abstractNumId="215" w15:restartNumberingAfterBreak="0">
    <w:nsid w:val="1CCC7502"/>
    <w:multiLevelType w:val="hybridMultilevel"/>
    <w:tmpl w:val="41500806"/>
    <w:lvl w:ilvl="0" w:tplc="46E2E1F2">
      <w:start w:val="6"/>
      <w:numFmt w:val="decimal"/>
      <w:lvlText w:val="%1"/>
      <w:lvlJc w:val="left"/>
      <w:pPr>
        <w:ind w:left="418" w:hanging="529"/>
        <w:jc w:val="left"/>
      </w:pPr>
      <w:rPr>
        <w:rFonts w:hint="default"/>
        <w:lang w:val="zh-CN" w:eastAsia="zh-CN" w:bidi="zh-CN"/>
      </w:rPr>
    </w:lvl>
    <w:lvl w:ilvl="1" w:tplc="81BC6E26">
      <w:start w:val="1"/>
      <w:numFmt w:val="decimal"/>
      <w:lvlText w:val="%1.%2"/>
      <w:lvlJc w:val="left"/>
      <w:pPr>
        <w:ind w:left="418" w:hanging="529"/>
        <w:jc w:val="left"/>
      </w:pPr>
      <w:rPr>
        <w:rFonts w:hint="default"/>
        <w:lang w:val="zh-CN" w:eastAsia="zh-CN" w:bidi="zh-CN"/>
      </w:rPr>
    </w:lvl>
    <w:lvl w:ilvl="2" w:tplc="0590DDC0">
      <w:start w:val="4"/>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98B877D8">
      <w:numFmt w:val="bullet"/>
      <w:lvlText w:val="•"/>
      <w:lvlJc w:val="left"/>
      <w:pPr>
        <w:ind w:left="3487" w:hanging="529"/>
      </w:pPr>
      <w:rPr>
        <w:rFonts w:hint="default"/>
        <w:lang w:val="zh-CN" w:eastAsia="zh-CN" w:bidi="zh-CN"/>
      </w:rPr>
    </w:lvl>
    <w:lvl w:ilvl="4" w:tplc="36A4AA88">
      <w:numFmt w:val="bullet"/>
      <w:lvlText w:val="•"/>
      <w:lvlJc w:val="left"/>
      <w:pPr>
        <w:ind w:left="4510" w:hanging="529"/>
      </w:pPr>
      <w:rPr>
        <w:rFonts w:hint="default"/>
        <w:lang w:val="zh-CN" w:eastAsia="zh-CN" w:bidi="zh-CN"/>
      </w:rPr>
    </w:lvl>
    <w:lvl w:ilvl="5" w:tplc="B3DA5A7E">
      <w:numFmt w:val="bullet"/>
      <w:lvlText w:val="•"/>
      <w:lvlJc w:val="left"/>
      <w:pPr>
        <w:ind w:left="5533" w:hanging="529"/>
      </w:pPr>
      <w:rPr>
        <w:rFonts w:hint="default"/>
        <w:lang w:val="zh-CN" w:eastAsia="zh-CN" w:bidi="zh-CN"/>
      </w:rPr>
    </w:lvl>
    <w:lvl w:ilvl="6" w:tplc="F0EC5298">
      <w:numFmt w:val="bullet"/>
      <w:lvlText w:val="•"/>
      <w:lvlJc w:val="left"/>
      <w:pPr>
        <w:ind w:left="6555" w:hanging="529"/>
      </w:pPr>
      <w:rPr>
        <w:rFonts w:hint="default"/>
        <w:lang w:val="zh-CN" w:eastAsia="zh-CN" w:bidi="zh-CN"/>
      </w:rPr>
    </w:lvl>
    <w:lvl w:ilvl="7" w:tplc="EDD0E4E4">
      <w:numFmt w:val="bullet"/>
      <w:lvlText w:val="•"/>
      <w:lvlJc w:val="left"/>
      <w:pPr>
        <w:ind w:left="7578" w:hanging="529"/>
      </w:pPr>
      <w:rPr>
        <w:rFonts w:hint="default"/>
        <w:lang w:val="zh-CN" w:eastAsia="zh-CN" w:bidi="zh-CN"/>
      </w:rPr>
    </w:lvl>
    <w:lvl w:ilvl="8" w:tplc="A78E9FAA">
      <w:numFmt w:val="bullet"/>
      <w:lvlText w:val="•"/>
      <w:lvlJc w:val="left"/>
      <w:pPr>
        <w:ind w:left="8601" w:hanging="529"/>
      </w:pPr>
      <w:rPr>
        <w:rFonts w:hint="default"/>
        <w:lang w:val="zh-CN" w:eastAsia="zh-CN" w:bidi="zh-CN"/>
      </w:rPr>
    </w:lvl>
  </w:abstractNum>
  <w:abstractNum w:abstractNumId="216" w15:restartNumberingAfterBreak="0">
    <w:nsid w:val="1CF17753"/>
    <w:multiLevelType w:val="hybridMultilevel"/>
    <w:tmpl w:val="F5DC88C8"/>
    <w:lvl w:ilvl="0" w:tplc="D8AA94D0">
      <w:start w:val="6"/>
      <w:numFmt w:val="decimal"/>
      <w:lvlText w:val="%1"/>
      <w:lvlJc w:val="left"/>
      <w:pPr>
        <w:ind w:left="418" w:hanging="529"/>
        <w:jc w:val="left"/>
      </w:pPr>
      <w:rPr>
        <w:rFonts w:hint="default"/>
        <w:lang w:val="zh-CN" w:eastAsia="zh-CN" w:bidi="zh-CN"/>
      </w:rPr>
    </w:lvl>
    <w:lvl w:ilvl="1" w:tplc="923EC91E">
      <w:start w:val="2"/>
      <w:numFmt w:val="decimal"/>
      <w:lvlText w:val="%1.%2"/>
      <w:lvlJc w:val="left"/>
      <w:pPr>
        <w:ind w:left="418" w:hanging="529"/>
        <w:jc w:val="left"/>
      </w:pPr>
      <w:rPr>
        <w:rFonts w:hint="default"/>
        <w:lang w:val="zh-CN" w:eastAsia="zh-CN" w:bidi="zh-CN"/>
      </w:rPr>
    </w:lvl>
    <w:lvl w:ilvl="2" w:tplc="F938623A">
      <w:start w:val="3"/>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E0CA5D2A">
      <w:numFmt w:val="bullet"/>
      <w:lvlText w:val="•"/>
      <w:lvlJc w:val="left"/>
      <w:pPr>
        <w:ind w:left="3487" w:hanging="529"/>
      </w:pPr>
      <w:rPr>
        <w:rFonts w:hint="default"/>
        <w:lang w:val="zh-CN" w:eastAsia="zh-CN" w:bidi="zh-CN"/>
      </w:rPr>
    </w:lvl>
    <w:lvl w:ilvl="4" w:tplc="A9664834">
      <w:numFmt w:val="bullet"/>
      <w:lvlText w:val="•"/>
      <w:lvlJc w:val="left"/>
      <w:pPr>
        <w:ind w:left="4510" w:hanging="529"/>
      </w:pPr>
      <w:rPr>
        <w:rFonts w:hint="default"/>
        <w:lang w:val="zh-CN" w:eastAsia="zh-CN" w:bidi="zh-CN"/>
      </w:rPr>
    </w:lvl>
    <w:lvl w:ilvl="5" w:tplc="7F9E3BAC">
      <w:numFmt w:val="bullet"/>
      <w:lvlText w:val="•"/>
      <w:lvlJc w:val="left"/>
      <w:pPr>
        <w:ind w:left="5533" w:hanging="529"/>
      </w:pPr>
      <w:rPr>
        <w:rFonts w:hint="default"/>
        <w:lang w:val="zh-CN" w:eastAsia="zh-CN" w:bidi="zh-CN"/>
      </w:rPr>
    </w:lvl>
    <w:lvl w:ilvl="6" w:tplc="AB4E4CCE">
      <w:numFmt w:val="bullet"/>
      <w:lvlText w:val="•"/>
      <w:lvlJc w:val="left"/>
      <w:pPr>
        <w:ind w:left="6555" w:hanging="529"/>
      </w:pPr>
      <w:rPr>
        <w:rFonts w:hint="default"/>
        <w:lang w:val="zh-CN" w:eastAsia="zh-CN" w:bidi="zh-CN"/>
      </w:rPr>
    </w:lvl>
    <w:lvl w:ilvl="7" w:tplc="ED800FFE">
      <w:numFmt w:val="bullet"/>
      <w:lvlText w:val="•"/>
      <w:lvlJc w:val="left"/>
      <w:pPr>
        <w:ind w:left="7578" w:hanging="529"/>
      </w:pPr>
      <w:rPr>
        <w:rFonts w:hint="default"/>
        <w:lang w:val="zh-CN" w:eastAsia="zh-CN" w:bidi="zh-CN"/>
      </w:rPr>
    </w:lvl>
    <w:lvl w:ilvl="8" w:tplc="C53046EE">
      <w:numFmt w:val="bullet"/>
      <w:lvlText w:val="•"/>
      <w:lvlJc w:val="left"/>
      <w:pPr>
        <w:ind w:left="8601" w:hanging="529"/>
      </w:pPr>
      <w:rPr>
        <w:rFonts w:hint="default"/>
        <w:lang w:val="zh-CN" w:eastAsia="zh-CN" w:bidi="zh-CN"/>
      </w:rPr>
    </w:lvl>
  </w:abstractNum>
  <w:abstractNum w:abstractNumId="217" w15:restartNumberingAfterBreak="0">
    <w:nsid w:val="1D11558F"/>
    <w:multiLevelType w:val="hybridMultilevel"/>
    <w:tmpl w:val="2D5A59B4"/>
    <w:lvl w:ilvl="0" w:tplc="D34244B2">
      <w:start w:val="5"/>
      <w:numFmt w:val="decimal"/>
      <w:lvlText w:val="%1"/>
      <w:lvlJc w:val="left"/>
      <w:pPr>
        <w:ind w:left="1263" w:hanging="424"/>
        <w:jc w:val="left"/>
      </w:pPr>
      <w:rPr>
        <w:rFonts w:hint="default"/>
        <w:lang w:val="zh-CN" w:eastAsia="zh-CN" w:bidi="zh-CN"/>
      </w:rPr>
    </w:lvl>
    <w:lvl w:ilvl="1" w:tplc="AD2E6812">
      <w:start w:val="12"/>
      <w:numFmt w:val="decimal"/>
      <w:lvlText w:val="%1.%2"/>
      <w:lvlJc w:val="left"/>
      <w:pPr>
        <w:ind w:left="1263" w:hanging="424"/>
        <w:jc w:val="left"/>
      </w:pPr>
      <w:rPr>
        <w:rFonts w:ascii="宋体" w:eastAsia="宋体" w:hAnsi="宋体" w:cs="宋体" w:hint="default"/>
        <w:b/>
        <w:bCs/>
        <w:w w:val="99"/>
        <w:sz w:val="19"/>
        <w:szCs w:val="19"/>
        <w:lang w:val="zh-CN" w:eastAsia="zh-CN" w:bidi="zh-CN"/>
      </w:rPr>
    </w:lvl>
    <w:lvl w:ilvl="2" w:tplc="FCBC5718">
      <w:start w:val="1"/>
      <w:numFmt w:val="decimal"/>
      <w:lvlText w:val="%1.%2.%3"/>
      <w:lvlJc w:val="left"/>
      <w:pPr>
        <w:ind w:left="418" w:hanging="637"/>
        <w:jc w:val="left"/>
      </w:pPr>
      <w:rPr>
        <w:rFonts w:ascii="宋体" w:eastAsia="宋体" w:hAnsi="宋体" w:cs="宋体" w:hint="default"/>
        <w:b/>
        <w:bCs/>
        <w:w w:val="99"/>
        <w:sz w:val="19"/>
        <w:szCs w:val="19"/>
        <w:lang w:val="zh-CN" w:eastAsia="zh-CN" w:bidi="zh-CN"/>
      </w:rPr>
    </w:lvl>
    <w:lvl w:ilvl="3" w:tplc="9E9E9ED2">
      <w:numFmt w:val="bullet"/>
      <w:lvlText w:val="•"/>
      <w:lvlJc w:val="left"/>
      <w:pPr>
        <w:ind w:left="2625" w:hanging="637"/>
      </w:pPr>
      <w:rPr>
        <w:rFonts w:hint="default"/>
        <w:lang w:val="zh-CN" w:eastAsia="zh-CN" w:bidi="zh-CN"/>
      </w:rPr>
    </w:lvl>
    <w:lvl w:ilvl="4" w:tplc="47921B0A">
      <w:numFmt w:val="bullet"/>
      <w:lvlText w:val="•"/>
      <w:lvlJc w:val="left"/>
      <w:pPr>
        <w:ind w:left="3771" w:hanging="637"/>
      </w:pPr>
      <w:rPr>
        <w:rFonts w:hint="default"/>
        <w:lang w:val="zh-CN" w:eastAsia="zh-CN" w:bidi="zh-CN"/>
      </w:rPr>
    </w:lvl>
    <w:lvl w:ilvl="5" w:tplc="9EA0F4B2">
      <w:numFmt w:val="bullet"/>
      <w:lvlText w:val="•"/>
      <w:lvlJc w:val="left"/>
      <w:pPr>
        <w:ind w:left="4917" w:hanging="637"/>
      </w:pPr>
      <w:rPr>
        <w:rFonts w:hint="default"/>
        <w:lang w:val="zh-CN" w:eastAsia="zh-CN" w:bidi="zh-CN"/>
      </w:rPr>
    </w:lvl>
    <w:lvl w:ilvl="6" w:tplc="E9AAA3B2">
      <w:numFmt w:val="bullet"/>
      <w:lvlText w:val="•"/>
      <w:lvlJc w:val="left"/>
      <w:pPr>
        <w:ind w:left="6063" w:hanging="637"/>
      </w:pPr>
      <w:rPr>
        <w:rFonts w:hint="default"/>
        <w:lang w:val="zh-CN" w:eastAsia="zh-CN" w:bidi="zh-CN"/>
      </w:rPr>
    </w:lvl>
    <w:lvl w:ilvl="7" w:tplc="63CAB9C2">
      <w:numFmt w:val="bullet"/>
      <w:lvlText w:val="•"/>
      <w:lvlJc w:val="left"/>
      <w:pPr>
        <w:ind w:left="7209" w:hanging="637"/>
      </w:pPr>
      <w:rPr>
        <w:rFonts w:hint="default"/>
        <w:lang w:val="zh-CN" w:eastAsia="zh-CN" w:bidi="zh-CN"/>
      </w:rPr>
    </w:lvl>
    <w:lvl w:ilvl="8" w:tplc="004A7692">
      <w:numFmt w:val="bullet"/>
      <w:lvlText w:val="•"/>
      <w:lvlJc w:val="left"/>
      <w:pPr>
        <w:ind w:left="8354" w:hanging="637"/>
      </w:pPr>
      <w:rPr>
        <w:rFonts w:hint="default"/>
        <w:lang w:val="zh-CN" w:eastAsia="zh-CN" w:bidi="zh-CN"/>
      </w:rPr>
    </w:lvl>
  </w:abstractNum>
  <w:abstractNum w:abstractNumId="218" w15:restartNumberingAfterBreak="0">
    <w:nsid w:val="1D144939"/>
    <w:multiLevelType w:val="hybridMultilevel"/>
    <w:tmpl w:val="8C6456EA"/>
    <w:lvl w:ilvl="0" w:tplc="9F46F266">
      <w:start w:val="7"/>
      <w:numFmt w:val="decimal"/>
      <w:lvlText w:val="%1"/>
      <w:lvlJc w:val="left"/>
      <w:pPr>
        <w:ind w:left="1159" w:hanging="320"/>
        <w:jc w:val="left"/>
      </w:pPr>
      <w:rPr>
        <w:rFonts w:hint="default"/>
        <w:lang w:val="zh-CN" w:eastAsia="zh-CN" w:bidi="zh-CN"/>
      </w:rPr>
    </w:lvl>
    <w:lvl w:ilvl="1" w:tplc="B36A8BE6">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6D3877AC">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7716E89A">
      <w:numFmt w:val="bullet"/>
      <w:lvlText w:val="•"/>
      <w:lvlJc w:val="left"/>
      <w:pPr>
        <w:ind w:left="3439" w:hanging="531"/>
      </w:pPr>
      <w:rPr>
        <w:rFonts w:hint="default"/>
        <w:lang w:val="zh-CN" w:eastAsia="zh-CN" w:bidi="zh-CN"/>
      </w:rPr>
    </w:lvl>
    <w:lvl w:ilvl="4" w:tplc="21702776">
      <w:numFmt w:val="bullet"/>
      <w:lvlText w:val="•"/>
      <w:lvlJc w:val="left"/>
      <w:pPr>
        <w:ind w:left="4468" w:hanging="531"/>
      </w:pPr>
      <w:rPr>
        <w:rFonts w:hint="default"/>
        <w:lang w:val="zh-CN" w:eastAsia="zh-CN" w:bidi="zh-CN"/>
      </w:rPr>
    </w:lvl>
    <w:lvl w:ilvl="5" w:tplc="3D08A7E4">
      <w:numFmt w:val="bullet"/>
      <w:lvlText w:val="•"/>
      <w:lvlJc w:val="left"/>
      <w:pPr>
        <w:ind w:left="5498" w:hanging="531"/>
      </w:pPr>
      <w:rPr>
        <w:rFonts w:hint="default"/>
        <w:lang w:val="zh-CN" w:eastAsia="zh-CN" w:bidi="zh-CN"/>
      </w:rPr>
    </w:lvl>
    <w:lvl w:ilvl="6" w:tplc="68561C82">
      <w:numFmt w:val="bullet"/>
      <w:lvlText w:val="•"/>
      <w:lvlJc w:val="left"/>
      <w:pPr>
        <w:ind w:left="6528" w:hanging="531"/>
      </w:pPr>
      <w:rPr>
        <w:rFonts w:hint="default"/>
        <w:lang w:val="zh-CN" w:eastAsia="zh-CN" w:bidi="zh-CN"/>
      </w:rPr>
    </w:lvl>
    <w:lvl w:ilvl="7" w:tplc="0A28E182">
      <w:numFmt w:val="bullet"/>
      <w:lvlText w:val="•"/>
      <w:lvlJc w:val="left"/>
      <w:pPr>
        <w:ind w:left="7557" w:hanging="531"/>
      </w:pPr>
      <w:rPr>
        <w:rFonts w:hint="default"/>
        <w:lang w:val="zh-CN" w:eastAsia="zh-CN" w:bidi="zh-CN"/>
      </w:rPr>
    </w:lvl>
    <w:lvl w:ilvl="8" w:tplc="F3325E1A">
      <w:numFmt w:val="bullet"/>
      <w:lvlText w:val="•"/>
      <w:lvlJc w:val="left"/>
      <w:pPr>
        <w:ind w:left="8587" w:hanging="531"/>
      </w:pPr>
      <w:rPr>
        <w:rFonts w:hint="default"/>
        <w:lang w:val="zh-CN" w:eastAsia="zh-CN" w:bidi="zh-CN"/>
      </w:rPr>
    </w:lvl>
  </w:abstractNum>
  <w:abstractNum w:abstractNumId="219" w15:restartNumberingAfterBreak="0">
    <w:nsid w:val="1D1B3909"/>
    <w:multiLevelType w:val="hybridMultilevel"/>
    <w:tmpl w:val="83AAA870"/>
    <w:lvl w:ilvl="0" w:tplc="571E9CA8">
      <w:start w:val="5"/>
      <w:numFmt w:val="decimal"/>
      <w:lvlText w:val="%1"/>
      <w:lvlJc w:val="left"/>
      <w:pPr>
        <w:ind w:left="1158" w:hanging="318"/>
        <w:jc w:val="left"/>
      </w:pPr>
      <w:rPr>
        <w:rFonts w:hint="default"/>
        <w:lang w:val="zh-CN" w:eastAsia="zh-CN" w:bidi="zh-CN"/>
      </w:rPr>
    </w:lvl>
    <w:lvl w:ilvl="1" w:tplc="6B8AF866">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EB18B058">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A92A5C82">
      <w:numFmt w:val="bullet"/>
      <w:lvlText w:val="•"/>
      <w:lvlJc w:val="left"/>
      <w:pPr>
        <w:ind w:left="2538" w:hanging="529"/>
      </w:pPr>
      <w:rPr>
        <w:rFonts w:hint="default"/>
        <w:lang w:val="zh-CN" w:eastAsia="zh-CN" w:bidi="zh-CN"/>
      </w:rPr>
    </w:lvl>
    <w:lvl w:ilvl="4" w:tplc="584E3944">
      <w:numFmt w:val="bullet"/>
      <w:lvlText w:val="•"/>
      <w:lvlJc w:val="left"/>
      <w:pPr>
        <w:ind w:left="3696" w:hanging="529"/>
      </w:pPr>
      <w:rPr>
        <w:rFonts w:hint="default"/>
        <w:lang w:val="zh-CN" w:eastAsia="zh-CN" w:bidi="zh-CN"/>
      </w:rPr>
    </w:lvl>
    <w:lvl w:ilvl="5" w:tplc="315CF91E">
      <w:numFmt w:val="bullet"/>
      <w:lvlText w:val="•"/>
      <w:lvlJc w:val="left"/>
      <w:pPr>
        <w:ind w:left="4854" w:hanging="529"/>
      </w:pPr>
      <w:rPr>
        <w:rFonts w:hint="default"/>
        <w:lang w:val="zh-CN" w:eastAsia="zh-CN" w:bidi="zh-CN"/>
      </w:rPr>
    </w:lvl>
    <w:lvl w:ilvl="6" w:tplc="A3DCD942">
      <w:numFmt w:val="bullet"/>
      <w:lvlText w:val="•"/>
      <w:lvlJc w:val="left"/>
      <w:pPr>
        <w:ind w:left="6013" w:hanging="529"/>
      </w:pPr>
      <w:rPr>
        <w:rFonts w:hint="default"/>
        <w:lang w:val="zh-CN" w:eastAsia="zh-CN" w:bidi="zh-CN"/>
      </w:rPr>
    </w:lvl>
    <w:lvl w:ilvl="7" w:tplc="6F741A8C">
      <w:numFmt w:val="bullet"/>
      <w:lvlText w:val="•"/>
      <w:lvlJc w:val="left"/>
      <w:pPr>
        <w:ind w:left="7171" w:hanging="529"/>
      </w:pPr>
      <w:rPr>
        <w:rFonts w:hint="default"/>
        <w:lang w:val="zh-CN" w:eastAsia="zh-CN" w:bidi="zh-CN"/>
      </w:rPr>
    </w:lvl>
    <w:lvl w:ilvl="8" w:tplc="E5988B50">
      <w:numFmt w:val="bullet"/>
      <w:lvlText w:val="•"/>
      <w:lvlJc w:val="left"/>
      <w:pPr>
        <w:ind w:left="8329" w:hanging="529"/>
      </w:pPr>
      <w:rPr>
        <w:rFonts w:hint="default"/>
        <w:lang w:val="zh-CN" w:eastAsia="zh-CN" w:bidi="zh-CN"/>
      </w:rPr>
    </w:lvl>
  </w:abstractNum>
  <w:abstractNum w:abstractNumId="220" w15:restartNumberingAfterBreak="0">
    <w:nsid w:val="1DBB3339"/>
    <w:multiLevelType w:val="hybridMultilevel"/>
    <w:tmpl w:val="89B09A86"/>
    <w:lvl w:ilvl="0" w:tplc="A7087B5E">
      <w:start w:val="5"/>
      <w:numFmt w:val="decimal"/>
      <w:lvlText w:val="%1"/>
      <w:lvlJc w:val="left"/>
      <w:pPr>
        <w:ind w:left="1159" w:hanging="320"/>
        <w:jc w:val="left"/>
      </w:pPr>
      <w:rPr>
        <w:rFonts w:hint="default"/>
        <w:lang w:val="zh-CN" w:eastAsia="zh-CN" w:bidi="zh-CN"/>
      </w:rPr>
    </w:lvl>
    <w:lvl w:ilvl="1" w:tplc="51A8301A">
      <w:start w:val="1"/>
      <w:numFmt w:val="decimal"/>
      <w:lvlText w:val="%1.%2"/>
      <w:lvlJc w:val="left"/>
      <w:pPr>
        <w:ind w:left="1159" w:hanging="320"/>
        <w:jc w:val="right"/>
      </w:pPr>
      <w:rPr>
        <w:rFonts w:ascii="宋体" w:eastAsia="宋体" w:hAnsi="宋体" w:cs="宋体" w:hint="default"/>
        <w:b/>
        <w:bCs/>
        <w:w w:val="99"/>
        <w:sz w:val="19"/>
        <w:szCs w:val="19"/>
        <w:lang w:val="zh-CN" w:eastAsia="zh-CN" w:bidi="zh-CN"/>
      </w:rPr>
    </w:lvl>
    <w:lvl w:ilvl="2" w:tplc="DDB02334">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F8662578">
      <w:start w:val="1"/>
      <w:numFmt w:val="decimal"/>
      <w:lvlText w:val="%1.%2.%3.%4"/>
      <w:lvlJc w:val="left"/>
      <w:pPr>
        <w:ind w:left="1575" w:hanging="738"/>
        <w:jc w:val="left"/>
      </w:pPr>
      <w:rPr>
        <w:rFonts w:hint="default"/>
        <w:spacing w:val="-3"/>
        <w:w w:val="100"/>
        <w:lang w:val="zh-CN" w:eastAsia="zh-CN" w:bidi="zh-CN"/>
      </w:rPr>
    </w:lvl>
    <w:lvl w:ilvl="4" w:tplc="E08626D2">
      <w:numFmt w:val="bullet"/>
      <w:lvlText w:val="•"/>
      <w:lvlJc w:val="left"/>
      <w:pPr>
        <w:ind w:left="2875" w:hanging="738"/>
      </w:pPr>
      <w:rPr>
        <w:rFonts w:hint="default"/>
        <w:lang w:val="zh-CN" w:eastAsia="zh-CN" w:bidi="zh-CN"/>
      </w:rPr>
    </w:lvl>
    <w:lvl w:ilvl="5" w:tplc="9310575C">
      <w:numFmt w:val="bullet"/>
      <w:lvlText w:val="•"/>
      <w:lvlJc w:val="left"/>
      <w:pPr>
        <w:ind w:left="4170" w:hanging="738"/>
      </w:pPr>
      <w:rPr>
        <w:rFonts w:hint="default"/>
        <w:lang w:val="zh-CN" w:eastAsia="zh-CN" w:bidi="zh-CN"/>
      </w:rPr>
    </w:lvl>
    <w:lvl w:ilvl="6" w:tplc="B7466C7E">
      <w:numFmt w:val="bullet"/>
      <w:lvlText w:val="•"/>
      <w:lvlJc w:val="left"/>
      <w:pPr>
        <w:ind w:left="5465" w:hanging="738"/>
      </w:pPr>
      <w:rPr>
        <w:rFonts w:hint="default"/>
        <w:lang w:val="zh-CN" w:eastAsia="zh-CN" w:bidi="zh-CN"/>
      </w:rPr>
    </w:lvl>
    <w:lvl w:ilvl="7" w:tplc="91B8D420">
      <w:numFmt w:val="bullet"/>
      <w:lvlText w:val="•"/>
      <w:lvlJc w:val="left"/>
      <w:pPr>
        <w:ind w:left="6760" w:hanging="738"/>
      </w:pPr>
      <w:rPr>
        <w:rFonts w:hint="default"/>
        <w:lang w:val="zh-CN" w:eastAsia="zh-CN" w:bidi="zh-CN"/>
      </w:rPr>
    </w:lvl>
    <w:lvl w:ilvl="8" w:tplc="79F88EAE">
      <w:numFmt w:val="bullet"/>
      <w:lvlText w:val="•"/>
      <w:lvlJc w:val="left"/>
      <w:pPr>
        <w:ind w:left="8056" w:hanging="738"/>
      </w:pPr>
      <w:rPr>
        <w:rFonts w:hint="default"/>
        <w:lang w:val="zh-CN" w:eastAsia="zh-CN" w:bidi="zh-CN"/>
      </w:rPr>
    </w:lvl>
  </w:abstractNum>
  <w:abstractNum w:abstractNumId="221" w15:restartNumberingAfterBreak="0">
    <w:nsid w:val="1DD706E5"/>
    <w:multiLevelType w:val="hybridMultilevel"/>
    <w:tmpl w:val="64AEBD10"/>
    <w:lvl w:ilvl="0" w:tplc="86C4B180">
      <w:start w:val="6"/>
      <w:numFmt w:val="decimal"/>
      <w:lvlText w:val="%1"/>
      <w:lvlJc w:val="left"/>
      <w:pPr>
        <w:ind w:left="1159" w:hanging="320"/>
        <w:jc w:val="left"/>
      </w:pPr>
      <w:rPr>
        <w:rFonts w:hint="default"/>
        <w:lang w:val="zh-CN" w:eastAsia="zh-CN" w:bidi="zh-CN"/>
      </w:rPr>
    </w:lvl>
    <w:lvl w:ilvl="1" w:tplc="0590A006">
      <w:start w:val="3"/>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A4CCB64E">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5F640334">
      <w:numFmt w:val="bullet"/>
      <w:lvlText w:val="•"/>
      <w:lvlJc w:val="left"/>
      <w:pPr>
        <w:ind w:left="2538" w:hanging="531"/>
      </w:pPr>
      <w:rPr>
        <w:rFonts w:hint="default"/>
        <w:lang w:val="zh-CN" w:eastAsia="zh-CN" w:bidi="zh-CN"/>
      </w:rPr>
    </w:lvl>
    <w:lvl w:ilvl="4" w:tplc="442A6BE2">
      <w:numFmt w:val="bullet"/>
      <w:lvlText w:val="•"/>
      <w:lvlJc w:val="left"/>
      <w:pPr>
        <w:ind w:left="3696" w:hanging="531"/>
      </w:pPr>
      <w:rPr>
        <w:rFonts w:hint="default"/>
        <w:lang w:val="zh-CN" w:eastAsia="zh-CN" w:bidi="zh-CN"/>
      </w:rPr>
    </w:lvl>
    <w:lvl w:ilvl="5" w:tplc="48429A26">
      <w:numFmt w:val="bullet"/>
      <w:lvlText w:val="•"/>
      <w:lvlJc w:val="left"/>
      <w:pPr>
        <w:ind w:left="4854" w:hanging="531"/>
      </w:pPr>
      <w:rPr>
        <w:rFonts w:hint="default"/>
        <w:lang w:val="zh-CN" w:eastAsia="zh-CN" w:bidi="zh-CN"/>
      </w:rPr>
    </w:lvl>
    <w:lvl w:ilvl="6" w:tplc="3C5AAEFA">
      <w:numFmt w:val="bullet"/>
      <w:lvlText w:val="•"/>
      <w:lvlJc w:val="left"/>
      <w:pPr>
        <w:ind w:left="6013" w:hanging="531"/>
      </w:pPr>
      <w:rPr>
        <w:rFonts w:hint="default"/>
        <w:lang w:val="zh-CN" w:eastAsia="zh-CN" w:bidi="zh-CN"/>
      </w:rPr>
    </w:lvl>
    <w:lvl w:ilvl="7" w:tplc="1D627EC8">
      <w:numFmt w:val="bullet"/>
      <w:lvlText w:val="•"/>
      <w:lvlJc w:val="left"/>
      <w:pPr>
        <w:ind w:left="7171" w:hanging="531"/>
      </w:pPr>
      <w:rPr>
        <w:rFonts w:hint="default"/>
        <w:lang w:val="zh-CN" w:eastAsia="zh-CN" w:bidi="zh-CN"/>
      </w:rPr>
    </w:lvl>
    <w:lvl w:ilvl="8" w:tplc="38209CC6">
      <w:numFmt w:val="bullet"/>
      <w:lvlText w:val="•"/>
      <w:lvlJc w:val="left"/>
      <w:pPr>
        <w:ind w:left="8329" w:hanging="531"/>
      </w:pPr>
      <w:rPr>
        <w:rFonts w:hint="default"/>
        <w:lang w:val="zh-CN" w:eastAsia="zh-CN" w:bidi="zh-CN"/>
      </w:rPr>
    </w:lvl>
  </w:abstractNum>
  <w:abstractNum w:abstractNumId="222" w15:restartNumberingAfterBreak="0">
    <w:nsid w:val="1E265916"/>
    <w:multiLevelType w:val="hybridMultilevel"/>
    <w:tmpl w:val="C2BADBD0"/>
    <w:lvl w:ilvl="0" w:tplc="4FD897D6">
      <w:start w:val="11"/>
      <w:numFmt w:val="decimal"/>
      <w:lvlText w:val="%1"/>
      <w:lvlJc w:val="left"/>
      <w:pPr>
        <w:ind w:left="1263" w:hanging="424"/>
        <w:jc w:val="left"/>
      </w:pPr>
      <w:rPr>
        <w:rFonts w:hint="default"/>
        <w:lang w:val="zh-CN" w:eastAsia="zh-CN" w:bidi="zh-CN"/>
      </w:rPr>
    </w:lvl>
    <w:lvl w:ilvl="1" w:tplc="833C300E">
      <w:start w:val="1"/>
      <w:numFmt w:val="decimal"/>
      <w:lvlText w:val="%1.%2"/>
      <w:lvlJc w:val="left"/>
      <w:pPr>
        <w:ind w:left="1263" w:hanging="424"/>
        <w:jc w:val="left"/>
      </w:pPr>
      <w:rPr>
        <w:rFonts w:ascii="宋体" w:eastAsia="宋体" w:hAnsi="宋体" w:cs="宋体" w:hint="default"/>
        <w:b/>
        <w:bCs/>
        <w:w w:val="99"/>
        <w:sz w:val="19"/>
        <w:szCs w:val="19"/>
        <w:lang w:val="zh-CN" w:eastAsia="zh-CN" w:bidi="zh-CN"/>
      </w:rPr>
    </w:lvl>
    <w:lvl w:ilvl="2" w:tplc="DC7E6502">
      <w:start w:val="1"/>
      <w:numFmt w:val="decimal"/>
      <w:lvlText w:val="%1.%2.%3"/>
      <w:lvlJc w:val="left"/>
      <w:pPr>
        <w:ind w:left="418" w:hanging="637"/>
        <w:jc w:val="left"/>
      </w:pPr>
      <w:rPr>
        <w:rFonts w:ascii="宋体" w:eastAsia="宋体" w:hAnsi="宋体" w:cs="宋体" w:hint="default"/>
        <w:b/>
        <w:bCs/>
        <w:spacing w:val="-3"/>
        <w:w w:val="99"/>
        <w:sz w:val="19"/>
        <w:szCs w:val="19"/>
        <w:lang w:val="zh-CN" w:eastAsia="zh-CN" w:bidi="zh-CN"/>
      </w:rPr>
    </w:lvl>
    <w:lvl w:ilvl="3" w:tplc="9AF41822">
      <w:numFmt w:val="bullet"/>
      <w:lvlText w:val="•"/>
      <w:lvlJc w:val="left"/>
      <w:pPr>
        <w:ind w:left="3345" w:hanging="637"/>
      </w:pPr>
      <w:rPr>
        <w:rFonts w:hint="default"/>
        <w:lang w:val="zh-CN" w:eastAsia="zh-CN" w:bidi="zh-CN"/>
      </w:rPr>
    </w:lvl>
    <w:lvl w:ilvl="4" w:tplc="5936DA34">
      <w:numFmt w:val="bullet"/>
      <w:lvlText w:val="•"/>
      <w:lvlJc w:val="left"/>
      <w:pPr>
        <w:ind w:left="4388" w:hanging="637"/>
      </w:pPr>
      <w:rPr>
        <w:rFonts w:hint="default"/>
        <w:lang w:val="zh-CN" w:eastAsia="zh-CN" w:bidi="zh-CN"/>
      </w:rPr>
    </w:lvl>
    <w:lvl w:ilvl="5" w:tplc="9E1AE602">
      <w:numFmt w:val="bullet"/>
      <w:lvlText w:val="•"/>
      <w:lvlJc w:val="left"/>
      <w:pPr>
        <w:ind w:left="5431" w:hanging="637"/>
      </w:pPr>
      <w:rPr>
        <w:rFonts w:hint="default"/>
        <w:lang w:val="zh-CN" w:eastAsia="zh-CN" w:bidi="zh-CN"/>
      </w:rPr>
    </w:lvl>
    <w:lvl w:ilvl="6" w:tplc="6D74675A">
      <w:numFmt w:val="bullet"/>
      <w:lvlText w:val="•"/>
      <w:lvlJc w:val="left"/>
      <w:pPr>
        <w:ind w:left="6474" w:hanging="637"/>
      </w:pPr>
      <w:rPr>
        <w:rFonts w:hint="default"/>
        <w:lang w:val="zh-CN" w:eastAsia="zh-CN" w:bidi="zh-CN"/>
      </w:rPr>
    </w:lvl>
    <w:lvl w:ilvl="7" w:tplc="86E6CF1A">
      <w:numFmt w:val="bullet"/>
      <w:lvlText w:val="•"/>
      <w:lvlJc w:val="left"/>
      <w:pPr>
        <w:ind w:left="7517" w:hanging="637"/>
      </w:pPr>
      <w:rPr>
        <w:rFonts w:hint="default"/>
        <w:lang w:val="zh-CN" w:eastAsia="zh-CN" w:bidi="zh-CN"/>
      </w:rPr>
    </w:lvl>
    <w:lvl w:ilvl="8" w:tplc="B440A7A8">
      <w:numFmt w:val="bullet"/>
      <w:lvlText w:val="•"/>
      <w:lvlJc w:val="left"/>
      <w:pPr>
        <w:ind w:left="8560" w:hanging="637"/>
      </w:pPr>
      <w:rPr>
        <w:rFonts w:hint="default"/>
        <w:lang w:val="zh-CN" w:eastAsia="zh-CN" w:bidi="zh-CN"/>
      </w:rPr>
    </w:lvl>
  </w:abstractNum>
  <w:abstractNum w:abstractNumId="223" w15:restartNumberingAfterBreak="0">
    <w:nsid w:val="1E2951ED"/>
    <w:multiLevelType w:val="hybridMultilevel"/>
    <w:tmpl w:val="6290AE20"/>
    <w:lvl w:ilvl="0" w:tplc="990283E2">
      <w:start w:val="1"/>
      <w:numFmt w:val="lowerLetter"/>
      <w:lvlText w:val="%1）"/>
      <w:lvlJc w:val="left"/>
      <w:pPr>
        <w:ind w:left="418" w:hanging="318"/>
        <w:jc w:val="left"/>
      </w:pPr>
      <w:rPr>
        <w:rFonts w:ascii="宋体" w:eastAsia="宋体" w:hAnsi="宋体" w:cs="宋体" w:hint="default"/>
        <w:w w:val="100"/>
        <w:sz w:val="19"/>
        <w:szCs w:val="19"/>
        <w:lang w:val="zh-CN" w:eastAsia="zh-CN" w:bidi="zh-CN"/>
      </w:rPr>
    </w:lvl>
    <w:lvl w:ilvl="1" w:tplc="1B781B40">
      <w:numFmt w:val="bullet"/>
      <w:lvlText w:val="•"/>
      <w:lvlJc w:val="left"/>
      <w:pPr>
        <w:ind w:left="1442" w:hanging="318"/>
      </w:pPr>
      <w:rPr>
        <w:rFonts w:hint="default"/>
        <w:lang w:val="zh-CN" w:eastAsia="zh-CN" w:bidi="zh-CN"/>
      </w:rPr>
    </w:lvl>
    <w:lvl w:ilvl="2" w:tplc="C9705F1E">
      <w:numFmt w:val="bullet"/>
      <w:lvlText w:val="•"/>
      <w:lvlJc w:val="left"/>
      <w:pPr>
        <w:ind w:left="2465" w:hanging="318"/>
      </w:pPr>
      <w:rPr>
        <w:rFonts w:hint="default"/>
        <w:lang w:val="zh-CN" w:eastAsia="zh-CN" w:bidi="zh-CN"/>
      </w:rPr>
    </w:lvl>
    <w:lvl w:ilvl="3" w:tplc="6ECE30E4">
      <w:numFmt w:val="bullet"/>
      <w:lvlText w:val="•"/>
      <w:lvlJc w:val="left"/>
      <w:pPr>
        <w:ind w:left="3487" w:hanging="318"/>
      </w:pPr>
      <w:rPr>
        <w:rFonts w:hint="default"/>
        <w:lang w:val="zh-CN" w:eastAsia="zh-CN" w:bidi="zh-CN"/>
      </w:rPr>
    </w:lvl>
    <w:lvl w:ilvl="4" w:tplc="F9585364">
      <w:numFmt w:val="bullet"/>
      <w:lvlText w:val="•"/>
      <w:lvlJc w:val="left"/>
      <w:pPr>
        <w:ind w:left="4510" w:hanging="318"/>
      </w:pPr>
      <w:rPr>
        <w:rFonts w:hint="default"/>
        <w:lang w:val="zh-CN" w:eastAsia="zh-CN" w:bidi="zh-CN"/>
      </w:rPr>
    </w:lvl>
    <w:lvl w:ilvl="5" w:tplc="8FB21618">
      <w:numFmt w:val="bullet"/>
      <w:lvlText w:val="•"/>
      <w:lvlJc w:val="left"/>
      <w:pPr>
        <w:ind w:left="5533" w:hanging="318"/>
      </w:pPr>
      <w:rPr>
        <w:rFonts w:hint="default"/>
        <w:lang w:val="zh-CN" w:eastAsia="zh-CN" w:bidi="zh-CN"/>
      </w:rPr>
    </w:lvl>
    <w:lvl w:ilvl="6" w:tplc="EBACDDDE">
      <w:numFmt w:val="bullet"/>
      <w:lvlText w:val="•"/>
      <w:lvlJc w:val="left"/>
      <w:pPr>
        <w:ind w:left="6555" w:hanging="318"/>
      </w:pPr>
      <w:rPr>
        <w:rFonts w:hint="default"/>
        <w:lang w:val="zh-CN" w:eastAsia="zh-CN" w:bidi="zh-CN"/>
      </w:rPr>
    </w:lvl>
    <w:lvl w:ilvl="7" w:tplc="35069630">
      <w:numFmt w:val="bullet"/>
      <w:lvlText w:val="•"/>
      <w:lvlJc w:val="left"/>
      <w:pPr>
        <w:ind w:left="7578" w:hanging="318"/>
      </w:pPr>
      <w:rPr>
        <w:rFonts w:hint="default"/>
        <w:lang w:val="zh-CN" w:eastAsia="zh-CN" w:bidi="zh-CN"/>
      </w:rPr>
    </w:lvl>
    <w:lvl w:ilvl="8" w:tplc="15A23B30">
      <w:numFmt w:val="bullet"/>
      <w:lvlText w:val="•"/>
      <w:lvlJc w:val="left"/>
      <w:pPr>
        <w:ind w:left="8601" w:hanging="318"/>
      </w:pPr>
      <w:rPr>
        <w:rFonts w:hint="default"/>
        <w:lang w:val="zh-CN" w:eastAsia="zh-CN" w:bidi="zh-CN"/>
      </w:rPr>
    </w:lvl>
  </w:abstractNum>
  <w:abstractNum w:abstractNumId="224" w15:restartNumberingAfterBreak="0">
    <w:nsid w:val="1E346A73"/>
    <w:multiLevelType w:val="hybridMultilevel"/>
    <w:tmpl w:val="1C58BD5E"/>
    <w:lvl w:ilvl="0" w:tplc="3DE26E22">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9F40063C">
      <w:numFmt w:val="bullet"/>
      <w:lvlText w:val="•"/>
      <w:lvlJc w:val="left"/>
      <w:pPr>
        <w:ind w:left="2288" w:hanging="529"/>
      </w:pPr>
      <w:rPr>
        <w:rFonts w:hint="default"/>
        <w:lang w:val="zh-CN" w:eastAsia="zh-CN" w:bidi="zh-CN"/>
      </w:rPr>
    </w:lvl>
    <w:lvl w:ilvl="2" w:tplc="83EA2566">
      <w:numFmt w:val="bullet"/>
      <w:lvlText w:val="•"/>
      <w:lvlJc w:val="left"/>
      <w:pPr>
        <w:ind w:left="3217" w:hanging="529"/>
      </w:pPr>
      <w:rPr>
        <w:rFonts w:hint="default"/>
        <w:lang w:val="zh-CN" w:eastAsia="zh-CN" w:bidi="zh-CN"/>
      </w:rPr>
    </w:lvl>
    <w:lvl w:ilvl="3" w:tplc="2BA60496">
      <w:numFmt w:val="bullet"/>
      <w:lvlText w:val="•"/>
      <w:lvlJc w:val="left"/>
      <w:pPr>
        <w:ind w:left="4145" w:hanging="529"/>
      </w:pPr>
      <w:rPr>
        <w:rFonts w:hint="default"/>
        <w:lang w:val="zh-CN" w:eastAsia="zh-CN" w:bidi="zh-CN"/>
      </w:rPr>
    </w:lvl>
    <w:lvl w:ilvl="4" w:tplc="4B209002">
      <w:numFmt w:val="bullet"/>
      <w:lvlText w:val="•"/>
      <w:lvlJc w:val="left"/>
      <w:pPr>
        <w:ind w:left="5074" w:hanging="529"/>
      </w:pPr>
      <w:rPr>
        <w:rFonts w:hint="default"/>
        <w:lang w:val="zh-CN" w:eastAsia="zh-CN" w:bidi="zh-CN"/>
      </w:rPr>
    </w:lvl>
    <w:lvl w:ilvl="5" w:tplc="26DE6856">
      <w:numFmt w:val="bullet"/>
      <w:lvlText w:val="•"/>
      <w:lvlJc w:val="left"/>
      <w:pPr>
        <w:ind w:left="6003" w:hanging="529"/>
      </w:pPr>
      <w:rPr>
        <w:rFonts w:hint="default"/>
        <w:lang w:val="zh-CN" w:eastAsia="zh-CN" w:bidi="zh-CN"/>
      </w:rPr>
    </w:lvl>
    <w:lvl w:ilvl="6" w:tplc="10F6F428">
      <w:numFmt w:val="bullet"/>
      <w:lvlText w:val="•"/>
      <w:lvlJc w:val="left"/>
      <w:pPr>
        <w:ind w:left="6931" w:hanging="529"/>
      </w:pPr>
      <w:rPr>
        <w:rFonts w:hint="default"/>
        <w:lang w:val="zh-CN" w:eastAsia="zh-CN" w:bidi="zh-CN"/>
      </w:rPr>
    </w:lvl>
    <w:lvl w:ilvl="7" w:tplc="3C0E304E">
      <w:numFmt w:val="bullet"/>
      <w:lvlText w:val="•"/>
      <w:lvlJc w:val="left"/>
      <w:pPr>
        <w:ind w:left="7860" w:hanging="529"/>
      </w:pPr>
      <w:rPr>
        <w:rFonts w:hint="default"/>
        <w:lang w:val="zh-CN" w:eastAsia="zh-CN" w:bidi="zh-CN"/>
      </w:rPr>
    </w:lvl>
    <w:lvl w:ilvl="8" w:tplc="994EC7A2">
      <w:numFmt w:val="bullet"/>
      <w:lvlText w:val="•"/>
      <w:lvlJc w:val="left"/>
      <w:pPr>
        <w:ind w:left="8789" w:hanging="529"/>
      </w:pPr>
      <w:rPr>
        <w:rFonts w:hint="default"/>
        <w:lang w:val="zh-CN" w:eastAsia="zh-CN" w:bidi="zh-CN"/>
      </w:rPr>
    </w:lvl>
  </w:abstractNum>
  <w:abstractNum w:abstractNumId="225" w15:restartNumberingAfterBreak="0">
    <w:nsid w:val="1E5D0628"/>
    <w:multiLevelType w:val="hybridMultilevel"/>
    <w:tmpl w:val="C7BE7574"/>
    <w:lvl w:ilvl="0" w:tplc="43DA65BA">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1DEE7BC0">
      <w:numFmt w:val="bullet"/>
      <w:lvlText w:val="•"/>
      <w:lvlJc w:val="left"/>
      <w:pPr>
        <w:ind w:left="2288" w:hanging="529"/>
      </w:pPr>
      <w:rPr>
        <w:rFonts w:hint="default"/>
        <w:lang w:val="zh-CN" w:eastAsia="zh-CN" w:bidi="zh-CN"/>
      </w:rPr>
    </w:lvl>
    <w:lvl w:ilvl="2" w:tplc="1916E506">
      <w:numFmt w:val="bullet"/>
      <w:lvlText w:val="•"/>
      <w:lvlJc w:val="left"/>
      <w:pPr>
        <w:ind w:left="3217" w:hanging="529"/>
      </w:pPr>
      <w:rPr>
        <w:rFonts w:hint="default"/>
        <w:lang w:val="zh-CN" w:eastAsia="zh-CN" w:bidi="zh-CN"/>
      </w:rPr>
    </w:lvl>
    <w:lvl w:ilvl="3" w:tplc="CEFC4D98">
      <w:numFmt w:val="bullet"/>
      <w:lvlText w:val="•"/>
      <w:lvlJc w:val="left"/>
      <w:pPr>
        <w:ind w:left="4145" w:hanging="529"/>
      </w:pPr>
      <w:rPr>
        <w:rFonts w:hint="default"/>
        <w:lang w:val="zh-CN" w:eastAsia="zh-CN" w:bidi="zh-CN"/>
      </w:rPr>
    </w:lvl>
    <w:lvl w:ilvl="4" w:tplc="50DEEEE4">
      <w:numFmt w:val="bullet"/>
      <w:lvlText w:val="•"/>
      <w:lvlJc w:val="left"/>
      <w:pPr>
        <w:ind w:left="5074" w:hanging="529"/>
      </w:pPr>
      <w:rPr>
        <w:rFonts w:hint="default"/>
        <w:lang w:val="zh-CN" w:eastAsia="zh-CN" w:bidi="zh-CN"/>
      </w:rPr>
    </w:lvl>
    <w:lvl w:ilvl="5" w:tplc="32F0A2DC">
      <w:numFmt w:val="bullet"/>
      <w:lvlText w:val="•"/>
      <w:lvlJc w:val="left"/>
      <w:pPr>
        <w:ind w:left="6003" w:hanging="529"/>
      </w:pPr>
      <w:rPr>
        <w:rFonts w:hint="default"/>
        <w:lang w:val="zh-CN" w:eastAsia="zh-CN" w:bidi="zh-CN"/>
      </w:rPr>
    </w:lvl>
    <w:lvl w:ilvl="6" w:tplc="40DEF6B0">
      <w:numFmt w:val="bullet"/>
      <w:lvlText w:val="•"/>
      <w:lvlJc w:val="left"/>
      <w:pPr>
        <w:ind w:left="6931" w:hanging="529"/>
      </w:pPr>
      <w:rPr>
        <w:rFonts w:hint="default"/>
        <w:lang w:val="zh-CN" w:eastAsia="zh-CN" w:bidi="zh-CN"/>
      </w:rPr>
    </w:lvl>
    <w:lvl w:ilvl="7" w:tplc="6AC20C42">
      <w:numFmt w:val="bullet"/>
      <w:lvlText w:val="•"/>
      <w:lvlJc w:val="left"/>
      <w:pPr>
        <w:ind w:left="7860" w:hanging="529"/>
      </w:pPr>
      <w:rPr>
        <w:rFonts w:hint="default"/>
        <w:lang w:val="zh-CN" w:eastAsia="zh-CN" w:bidi="zh-CN"/>
      </w:rPr>
    </w:lvl>
    <w:lvl w:ilvl="8" w:tplc="8BFA8642">
      <w:numFmt w:val="bullet"/>
      <w:lvlText w:val="•"/>
      <w:lvlJc w:val="left"/>
      <w:pPr>
        <w:ind w:left="8789" w:hanging="529"/>
      </w:pPr>
      <w:rPr>
        <w:rFonts w:hint="default"/>
        <w:lang w:val="zh-CN" w:eastAsia="zh-CN" w:bidi="zh-CN"/>
      </w:rPr>
    </w:lvl>
  </w:abstractNum>
  <w:abstractNum w:abstractNumId="226" w15:restartNumberingAfterBreak="0">
    <w:nsid w:val="1E6C4799"/>
    <w:multiLevelType w:val="hybridMultilevel"/>
    <w:tmpl w:val="FF8C64B4"/>
    <w:lvl w:ilvl="0" w:tplc="E2349EBC">
      <w:start w:val="2"/>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FADEDE00">
      <w:numFmt w:val="bullet"/>
      <w:lvlText w:val="•"/>
      <w:lvlJc w:val="left"/>
      <w:pPr>
        <w:ind w:left="2018" w:hanging="213"/>
      </w:pPr>
      <w:rPr>
        <w:rFonts w:hint="default"/>
        <w:lang w:val="zh-CN" w:eastAsia="zh-CN" w:bidi="zh-CN"/>
      </w:rPr>
    </w:lvl>
    <w:lvl w:ilvl="2" w:tplc="48B25E6E">
      <w:numFmt w:val="bullet"/>
      <w:lvlText w:val="•"/>
      <w:lvlJc w:val="left"/>
      <w:pPr>
        <w:ind w:left="2977" w:hanging="213"/>
      </w:pPr>
      <w:rPr>
        <w:rFonts w:hint="default"/>
        <w:lang w:val="zh-CN" w:eastAsia="zh-CN" w:bidi="zh-CN"/>
      </w:rPr>
    </w:lvl>
    <w:lvl w:ilvl="3" w:tplc="1CD0AB00">
      <w:numFmt w:val="bullet"/>
      <w:lvlText w:val="•"/>
      <w:lvlJc w:val="left"/>
      <w:pPr>
        <w:ind w:left="3935" w:hanging="213"/>
      </w:pPr>
      <w:rPr>
        <w:rFonts w:hint="default"/>
        <w:lang w:val="zh-CN" w:eastAsia="zh-CN" w:bidi="zh-CN"/>
      </w:rPr>
    </w:lvl>
    <w:lvl w:ilvl="4" w:tplc="93F0D47C">
      <w:numFmt w:val="bullet"/>
      <w:lvlText w:val="•"/>
      <w:lvlJc w:val="left"/>
      <w:pPr>
        <w:ind w:left="4894" w:hanging="213"/>
      </w:pPr>
      <w:rPr>
        <w:rFonts w:hint="default"/>
        <w:lang w:val="zh-CN" w:eastAsia="zh-CN" w:bidi="zh-CN"/>
      </w:rPr>
    </w:lvl>
    <w:lvl w:ilvl="5" w:tplc="37BEBDCA">
      <w:numFmt w:val="bullet"/>
      <w:lvlText w:val="•"/>
      <w:lvlJc w:val="left"/>
      <w:pPr>
        <w:ind w:left="5853" w:hanging="213"/>
      </w:pPr>
      <w:rPr>
        <w:rFonts w:hint="default"/>
        <w:lang w:val="zh-CN" w:eastAsia="zh-CN" w:bidi="zh-CN"/>
      </w:rPr>
    </w:lvl>
    <w:lvl w:ilvl="6" w:tplc="A49C5CAA">
      <w:numFmt w:val="bullet"/>
      <w:lvlText w:val="•"/>
      <w:lvlJc w:val="left"/>
      <w:pPr>
        <w:ind w:left="6811" w:hanging="213"/>
      </w:pPr>
      <w:rPr>
        <w:rFonts w:hint="default"/>
        <w:lang w:val="zh-CN" w:eastAsia="zh-CN" w:bidi="zh-CN"/>
      </w:rPr>
    </w:lvl>
    <w:lvl w:ilvl="7" w:tplc="6BD2BC06">
      <w:numFmt w:val="bullet"/>
      <w:lvlText w:val="•"/>
      <w:lvlJc w:val="left"/>
      <w:pPr>
        <w:ind w:left="7770" w:hanging="213"/>
      </w:pPr>
      <w:rPr>
        <w:rFonts w:hint="default"/>
        <w:lang w:val="zh-CN" w:eastAsia="zh-CN" w:bidi="zh-CN"/>
      </w:rPr>
    </w:lvl>
    <w:lvl w:ilvl="8" w:tplc="E5126D3A">
      <w:numFmt w:val="bullet"/>
      <w:lvlText w:val="•"/>
      <w:lvlJc w:val="left"/>
      <w:pPr>
        <w:ind w:left="8729" w:hanging="213"/>
      </w:pPr>
      <w:rPr>
        <w:rFonts w:hint="default"/>
        <w:lang w:val="zh-CN" w:eastAsia="zh-CN" w:bidi="zh-CN"/>
      </w:rPr>
    </w:lvl>
  </w:abstractNum>
  <w:abstractNum w:abstractNumId="227" w15:restartNumberingAfterBreak="0">
    <w:nsid w:val="1E6F3630"/>
    <w:multiLevelType w:val="hybridMultilevel"/>
    <w:tmpl w:val="FC40D302"/>
    <w:lvl w:ilvl="0" w:tplc="83C8306E">
      <w:start w:val="12"/>
      <w:numFmt w:val="decimal"/>
      <w:lvlText w:val="%1"/>
      <w:lvlJc w:val="left"/>
      <w:pPr>
        <w:ind w:left="1052" w:hanging="635"/>
        <w:jc w:val="left"/>
      </w:pPr>
      <w:rPr>
        <w:rFonts w:hint="default"/>
        <w:lang w:val="zh-CN" w:eastAsia="zh-CN" w:bidi="zh-CN"/>
      </w:rPr>
    </w:lvl>
    <w:lvl w:ilvl="1" w:tplc="50542608">
      <w:start w:val="1"/>
      <w:numFmt w:val="decimal"/>
      <w:lvlText w:val="%1.%2"/>
      <w:lvlJc w:val="left"/>
      <w:pPr>
        <w:ind w:left="1052" w:hanging="635"/>
        <w:jc w:val="left"/>
      </w:pPr>
      <w:rPr>
        <w:rFonts w:hint="default"/>
        <w:lang w:val="zh-CN" w:eastAsia="zh-CN" w:bidi="zh-CN"/>
      </w:rPr>
    </w:lvl>
    <w:lvl w:ilvl="2" w:tplc="79867E30">
      <w:start w:val="2"/>
      <w:numFmt w:val="decimal"/>
      <w:lvlText w:val="%1.%2.%3"/>
      <w:lvlJc w:val="left"/>
      <w:pPr>
        <w:ind w:left="1052" w:hanging="635"/>
        <w:jc w:val="right"/>
      </w:pPr>
      <w:rPr>
        <w:rFonts w:hint="default"/>
        <w:spacing w:val="-3"/>
        <w:w w:val="100"/>
        <w:lang w:val="zh-CN" w:eastAsia="zh-CN" w:bidi="zh-CN"/>
      </w:rPr>
    </w:lvl>
    <w:lvl w:ilvl="3" w:tplc="80C21E22">
      <w:numFmt w:val="bullet"/>
      <w:lvlText w:val="•"/>
      <w:lvlJc w:val="left"/>
      <w:pPr>
        <w:ind w:left="3935" w:hanging="635"/>
      </w:pPr>
      <w:rPr>
        <w:rFonts w:hint="default"/>
        <w:lang w:val="zh-CN" w:eastAsia="zh-CN" w:bidi="zh-CN"/>
      </w:rPr>
    </w:lvl>
    <w:lvl w:ilvl="4" w:tplc="3EE650AA">
      <w:numFmt w:val="bullet"/>
      <w:lvlText w:val="•"/>
      <w:lvlJc w:val="left"/>
      <w:pPr>
        <w:ind w:left="4894" w:hanging="635"/>
      </w:pPr>
      <w:rPr>
        <w:rFonts w:hint="default"/>
        <w:lang w:val="zh-CN" w:eastAsia="zh-CN" w:bidi="zh-CN"/>
      </w:rPr>
    </w:lvl>
    <w:lvl w:ilvl="5" w:tplc="FD9284C6">
      <w:numFmt w:val="bullet"/>
      <w:lvlText w:val="•"/>
      <w:lvlJc w:val="left"/>
      <w:pPr>
        <w:ind w:left="5853" w:hanging="635"/>
      </w:pPr>
      <w:rPr>
        <w:rFonts w:hint="default"/>
        <w:lang w:val="zh-CN" w:eastAsia="zh-CN" w:bidi="zh-CN"/>
      </w:rPr>
    </w:lvl>
    <w:lvl w:ilvl="6" w:tplc="355216F2">
      <w:numFmt w:val="bullet"/>
      <w:lvlText w:val="•"/>
      <w:lvlJc w:val="left"/>
      <w:pPr>
        <w:ind w:left="6811" w:hanging="635"/>
      </w:pPr>
      <w:rPr>
        <w:rFonts w:hint="default"/>
        <w:lang w:val="zh-CN" w:eastAsia="zh-CN" w:bidi="zh-CN"/>
      </w:rPr>
    </w:lvl>
    <w:lvl w:ilvl="7" w:tplc="AEA4597A">
      <w:numFmt w:val="bullet"/>
      <w:lvlText w:val="•"/>
      <w:lvlJc w:val="left"/>
      <w:pPr>
        <w:ind w:left="7770" w:hanging="635"/>
      </w:pPr>
      <w:rPr>
        <w:rFonts w:hint="default"/>
        <w:lang w:val="zh-CN" w:eastAsia="zh-CN" w:bidi="zh-CN"/>
      </w:rPr>
    </w:lvl>
    <w:lvl w:ilvl="8" w:tplc="2E386BB0">
      <w:numFmt w:val="bullet"/>
      <w:lvlText w:val="•"/>
      <w:lvlJc w:val="left"/>
      <w:pPr>
        <w:ind w:left="8729" w:hanging="635"/>
      </w:pPr>
      <w:rPr>
        <w:rFonts w:hint="default"/>
        <w:lang w:val="zh-CN" w:eastAsia="zh-CN" w:bidi="zh-CN"/>
      </w:rPr>
    </w:lvl>
  </w:abstractNum>
  <w:abstractNum w:abstractNumId="228" w15:restartNumberingAfterBreak="0">
    <w:nsid w:val="1EA85849"/>
    <w:multiLevelType w:val="hybridMultilevel"/>
    <w:tmpl w:val="3DBEF370"/>
    <w:lvl w:ilvl="0" w:tplc="CD5A6DAA">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A1E663AE">
      <w:numFmt w:val="bullet"/>
      <w:lvlText w:val="•"/>
      <w:lvlJc w:val="left"/>
      <w:pPr>
        <w:ind w:left="2288" w:hanging="529"/>
      </w:pPr>
      <w:rPr>
        <w:rFonts w:hint="default"/>
        <w:lang w:val="zh-CN" w:eastAsia="zh-CN" w:bidi="zh-CN"/>
      </w:rPr>
    </w:lvl>
    <w:lvl w:ilvl="2" w:tplc="7CA41FC8">
      <w:numFmt w:val="bullet"/>
      <w:lvlText w:val="•"/>
      <w:lvlJc w:val="left"/>
      <w:pPr>
        <w:ind w:left="3217" w:hanging="529"/>
      </w:pPr>
      <w:rPr>
        <w:rFonts w:hint="default"/>
        <w:lang w:val="zh-CN" w:eastAsia="zh-CN" w:bidi="zh-CN"/>
      </w:rPr>
    </w:lvl>
    <w:lvl w:ilvl="3" w:tplc="7FF42196">
      <w:numFmt w:val="bullet"/>
      <w:lvlText w:val="•"/>
      <w:lvlJc w:val="left"/>
      <w:pPr>
        <w:ind w:left="4145" w:hanging="529"/>
      </w:pPr>
      <w:rPr>
        <w:rFonts w:hint="default"/>
        <w:lang w:val="zh-CN" w:eastAsia="zh-CN" w:bidi="zh-CN"/>
      </w:rPr>
    </w:lvl>
    <w:lvl w:ilvl="4" w:tplc="C84C82BC">
      <w:numFmt w:val="bullet"/>
      <w:lvlText w:val="•"/>
      <w:lvlJc w:val="left"/>
      <w:pPr>
        <w:ind w:left="5074" w:hanging="529"/>
      </w:pPr>
      <w:rPr>
        <w:rFonts w:hint="default"/>
        <w:lang w:val="zh-CN" w:eastAsia="zh-CN" w:bidi="zh-CN"/>
      </w:rPr>
    </w:lvl>
    <w:lvl w:ilvl="5" w:tplc="C85C00E4">
      <w:numFmt w:val="bullet"/>
      <w:lvlText w:val="•"/>
      <w:lvlJc w:val="left"/>
      <w:pPr>
        <w:ind w:left="6003" w:hanging="529"/>
      </w:pPr>
      <w:rPr>
        <w:rFonts w:hint="default"/>
        <w:lang w:val="zh-CN" w:eastAsia="zh-CN" w:bidi="zh-CN"/>
      </w:rPr>
    </w:lvl>
    <w:lvl w:ilvl="6" w:tplc="64E87D66">
      <w:numFmt w:val="bullet"/>
      <w:lvlText w:val="•"/>
      <w:lvlJc w:val="left"/>
      <w:pPr>
        <w:ind w:left="6931" w:hanging="529"/>
      </w:pPr>
      <w:rPr>
        <w:rFonts w:hint="default"/>
        <w:lang w:val="zh-CN" w:eastAsia="zh-CN" w:bidi="zh-CN"/>
      </w:rPr>
    </w:lvl>
    <w:lvl w:ilvl="7" w:tplc="5372A88E">
      <w:numFmt w:val="bullet"/>
      <w:lvlText w:val="•"/>
      <w:lvlJc w:val="left"/>
      <w:pPr>
        <w:ind w:left="7860" w:hanging="529"/>
      </w:pPr>
      <w:rPr>
        <w:rFonts w:hint="default"/>
        <w:lang w:val="zh-CN" w:eastAsia="zh-CN" w:bidi="zh-CN"/>
      </w:rPr>
    </w:lvl>
    <w:lvl w:ilvl="8" w:tplc="BE84771C">
      <w:numFmt w:val="bullet"/>
      <w:lvlText w:val="•"/>
      <w:lvlJc w:val="left"/>
      <w:pPr>
        <w:ind w:left="8789" w:hanging="529"/>
      </w:pPr>
      <w:rPr>
        <w:rFonts w:hint="default"/>
        <w:lang w:val="zh-CN" w:eastAsia="zh-CN" w:bidi="zh-CN"/>
      </w:rPr>
    </w:lvl>
  </w:abstractNum>
  <w:abstractNum w:abstractNumId="229" w15:restartNumberingAfterBreak="0">
    <w:nsid w:val="1EC4722F"/>
    <w:multiLevelType w:val="hybridMultilevel"/>
    <w:tmpl w:val="6BDC3A8C"/>
    <w:lvl w:ilvl="0" w:tplc="921A6F06">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A8FEC77A">
      <w:numFmt w:val="bullet"/>
      <w:lvlText w:val="•"/>
      <w:lvlJc w:val="left"/>
      <w:pPr>
        <w:ind w:left="2288" w:hanging="529"/>
      </w:pPr>
      <w:rPr>
        <w:rFonts w:hint="default"/>
        <w:lang w:val="zh-CN" w:eastAsia="zh-CN" w:bidi="zh-CN"/>
      </w:rPr>
    </w:lvl>
    <w:lvl w:ilvl="2" w:tplc="099283C0">
      <w:numFmt w:val="bullet"/>
      <w:lvlText w:val="•"/>
      <w:lvlJc w:val="left"/>
      <w:pPr>
        <w:ind w:left="3217" w:hanging="529"/>
      </w:pPr>
      <w:rPr>
        <w:rFonts w:hint="default"/>
        <w:lang w:val="zh-CN" w:eastAsia="zh-CN" w:bidi="zh-CN"/>
      </w:rPr>
    </w:lvl>
    <w:lvl w:ilvl="3" w:tplc="EED87D6C">
      <w:numFmt w:val="bullet"/>
      <w:lvlText w:val="•"/>
      <w:lvlJc w:val="left"/>
      <w:pPr>
        <w:ind w:left="4145" w:hanging="529"/>
      </w:pPr>
      <w:rPr>
        <w:rFonts w:hint="default"/>
        <w:lang w:val="zh-CN" w:eastAsia="zh-CN" w:bidi="zh-CN"/>
      </w:rPr>
    </w:lvl>
    <w:lvl w:ilvl="4" w:tplc="0C6C0342">
      <w:numFmt w:val="bullet"/>
      <w:lvlText w:val="•"/>
      <w:lvlJc w:val="left"/>
      <w:pPr>
        <w:ind w:left="5074" w:hanging="529"/>
      </w:pPr>
      <w:rPr>
        <w:rFonts w:hint="default"/>
        <w:lang w:val="zh-CN" w:eastAsia="zh-CN" w:bidi="zh-CN"/>
      </w:rPr>
    </w:lvl>
    <w:lvl w:ilvl="5" w:tplc="6290BEA4">
      <w:numFmt w:val="bullet"/>
      <w:lvlText w:val="•"/>
      <w:lvlJc w:val="left"/>
      <w:pPr>
        <w:ind w:left="6003" w:hanging="529"/>
      </w:pPr>
      <w:rPr>
        <w:rFonts w:hint="default"/>
        <w:lang w:val="zh-CN" w:eastAsia="zh-CN" w:bidi="zh-CN"/>
      </w:rPr>
    </w:lvl>
    <w:lvl w:ilvl="6" w:tplc="13180242">
      <w:numFmt w:val="bullet"/>
      <w:lvlText w:val="•"/>
      <w:lvlJc w:val="left"/>
      <w:pPr>
        <w:ind w:left="6931" w:hanging="529"/>
      </w:pPr>
      <w:rPr>
        <w:rFonts w:hint="default"/>
        <w:lang w:val="zh-CN" w:eastAsia="zh-CN" w:bidi="zh-CN"/>
      </w:rPr>
    </w:lvl>
    <w:lvl w:ilvl="7" w:tplc="DB2A587C">
      <w:numFmt w:val="bullet"/>
      <w:lvlText w:val="•"/>
      <w:lvlJc w:val="left"/>
      <w:pPr>
        <w:ind w:left="7860" w:hanging="529"/>
      </w:pPr>
      <w:rPr>
        <w:rFonts w:hint="default"/>
        <w:lang w:val="zh-CN" w:eastAsia="zh-CN" w:bidi="zh-CN"/>
      </w:rPr>
    </w:lvl>
    <w:lvl w:ilvl="8" w:tplc="2402BA84">
      <w:numFmt w:val="bullet"/>
      <w:lvlText w:val="•"/>
      <w:lvlJc w:val="left"/>
      <w:pPr>
        <w:ind w:left="8789" w:hanging="529"/>
      </w:pPr>
      <w:rPr>
        <w:rFonts w:hint="default"/>
        <w:lang w:val="zh-CN" w:eastAsia="zh-CN" w:bidi="zh-CN"/>
      </w:rPr>
    </w:lvl>
  </w:abstractNum>
  <w:abstractNum w:abstractNumId="230" w15:restartNumberingAfterBreak="0">
    <w:nsid w:val="1ECD5501"/>
    <w:multiLevelType w:val="hybridMultilevel"/>
    <w:tmpl w:val="8E605B92"/>
    <w:lvl w:ilvl="0" w:tplc="5CF82446">
      <w:start w:val="4"/>
      <w:numFmt w:val="decimal"/>
      <w:lvlText w:val="%1"/>
      <w:lvlJc w:val="left"/>
      <w:pPr>
        <w:ind w:left="1158" w:hanging="318"/>
        <w:jc w:val="left"/>
      </w:pPr>
      <w:rPr>
        <w:rFonts w:hint="default"/>
        <w:lang w:val="zh-CN" w:eastAsia="zh-CN" w:bidi="zh-CN"/>
      </w:rPr>
    </w:lvl>
    <w:lvl w:ilvl="1" w:tplc="120CB7D4">
      <w:start w:val="3"/>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D39E117A">
      <w:start w:val="1"/>
      <w:numFmt w:val="decimal"/>
      <w:lvlText w:val="%1.%2.%3"/>
      <w:lvlJc w:val="left"/>
      <w:pPr>
        <w:ind w:left="1423" w:hanging="584"/>
        <w:jc w:val="left"/>
      </w:pPr>
      <w:rPr>
        <w:rFonts w:ascii="宋体" w:eastAsia="宋体" w:hAnsi="宋体" w:cs="宋体" w:hint="default"/>
        <w:b/>
        <w:bCs/>
        <w:w w:val="99"/>
        <w:sz w:val="21"/>
        <w:szCs w:val="21"/>
        <w:lang w:val="zh-CN" w:eastAsia="zh-CN" w:bidi="zh-CN"/>
      </w:rPr>
    </w:lvl>
    <w:lvl w:ilvl="3" w:tplc="E42620D6">
      <w:numFmt w:val="bullet"/>
      <w:lvlText w:val="•"/>
      <w:lvlJc w:val="left"/>
      <w:pPr>
        <w:ind w:left="3470" w:hanging="584"/>
      </w:pPr>
      <w:rPr>
        <w:rFonts w:hint="default"/>
        <w:lang w:val="zh-CN" w:eastAsia="zh-CN" w:bidi="zh-CN"/>
      </w:rPr>
    </w:lvl>
    <w:lvl w:ilvl="4" w:tplc="0F6272CC">
      <w:numFmt w:val="bullet"/>
      <w:lvlText w:val="•"/>
      <w:lvlJc w:val="left"/>
      <w:pPr>
        <w:ind w:left="4495" w:hanging="584"/>
      </w:pPr>
      <w:rPr>
        <w:rFonts w:hint="default"/>
        <w:lang w:val="zh-CN" w:eastAsia="zh-CN" w:bidi="zh-CN"/>
      </w:rPr>
    </w:lvl>
    <w:lvl w:ilvl="5" w:tplc="7FF67C9E">
      <w:numFmt w:val="bullet"/>
      <w:lvlText w:val="•"/>
      <w:lvlJc w:val="left"/>
      <w:pPr>
        <w:ind w:left="5520" w:hanging="584"/>
      </w:pPr>
      <w:rPr>
        <w:rFonts w:hint="default"/>
        <w:lang w:val="zh-CN" w:eastAsia="zh-CN" w:bidi="zh-CN"/>
      </w:rPr>
    </w:lvl>
    <w:lvl w:ilvl="6" w:tplc="36CCACF0">
      <w:numFmt w:val="bullet"/>
      <w:lvlText w:val="•"/>
      <w:lvlJc w:val="left"/>
      <w:pPr>
        <w:ind w:left="6545" w:hanging="584"/>
      </w:pPr>
      <w:rPr>
        <w:rFonts w:hint="default"/>
        <w:lang w:val="zh-CN" w:eastAsia="zh-CN" w:bidi="zh-CN"/>
      </w:rPr>
    </w:lvl>
    <w:lvl w:ilvl="7" w:tplc="0FFA3282">
      <w:numFmt w:val="bullet"/>
      <w:lvlText w:val="•"/>
      <w:lvlJc w:val="left"/>
      <w:pPr>
        <w:ind w:left="7570" w:hanging="584"/>
      </w:pPr>
      <w:rPr>
        <w:rFonts w:hint="default"/>
        <w:lang w:val="zh-CN" w:eastAsia="zh-CN" w:bidi="zh-CN"/>
      </w:rPr>
    </w:lvl>
    <w:lvl w:ilvl="8" w:tplc="EB9C5408">
      <w:numFmt w:val="bullet"/>
      <w:lvlText w:val="•"/>
      <w:lvlJc w:val="left"/>
      <w:pPr>
        <w:ind w:left="8596" w:hanging="584"/>
      </w:pPr>
      <w:rPr>
        <w:rFonts w:hint="default"/>
        <w:lang w:val="zh-CN" w:eastAsia="zh-CN" w:bidi="zh-CN"/>
      </w:rPr>
    </w:lvl>
  </w:abstractNum>
  <w:abstractNum w:abstractNumId="231" w15:restartNumberingAfterBreak="0">
    <w:nsid w:val="1EE8592D"/>
    <w:multiLevelType w:val="hybridMultilevel"/>
    <w:tmpl w:val="D5164AB4"/>
    <w:lvl w:ilvl="0" w:tplc="71F063F8">
      <w:start w:val="3"/>
      <w:numFmt w:val="decimal"/>
      <w:lvlText w:val="%1"/>
      <w:lvlJc w:val="left"/>
      <w:pPr>
        <w:ind w:left="1159" w:hanging="320"/>
        <w:jc w:val="left"/>
      </w:pPr>
      <w:rPr>
        <w:rFonts w:hint="default"/>
        <w:lang w:val="zh-CN" w:eastAsia="zh-CN" w:bidi="zh-CN"/>
      </w:rPr>
    </w:lvl>
    <w:lvl w:ilvl="1" w:tplc="AE7EBE2E">
      <w:start w:val="8"/>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8F448F28">
      <w:numFmt w:val="bullet"/>
      <w:lvlText w:val="•"/>
      <w:lvlJc w:val="left"/>
      <w:pPr>
        <w:ind w:left="3057" w:hanging="320"/>
      </w:pPr>
      <w:rPr>
        <w:rFonts w:hint="default"/>
        <w:lang w:val="zh-CN" w:eastAsia="zh-CN" w:bidi="zh-CN"/>
      </w:rPr>
    </w:lvl>
    <w:lvl w:ilvl="3" w:tplc="5AB685CE">
      <w:numFmt w:val="bullet"/>
      <w:lvlText w:val="•"/>
      <w:lvlJc w:val="left"/>
      <w:pPr>
        <w:ind w:left="4005" w:hanging="320"/>
      </w:pPr>
      <w:rPr>
        <w:rFonts w:hint="default"/>
        <w:lang w:val="zh-CN" w:eastAsia="zh-CN" w:bidi="zh-CN"/>
      </w:rPr>
    </w:lvl>
    <w:lvl w:ilvl="4" w:tplc="C2C48D32">
      <w:numFmt w:val="bullet"/>
      <w:lvlText w:val="•"/>
      <w:lvlJc w:val="left"/>
      <w:pPr>
        <w:ind w:left="4954" w:hanging="320"/>
      </w:pPr>
      <w:rPr>
        <w:rFonts w:hint="default"/>
        <w:lang w:val="zh-CN" w:eastAsia="zh-CN" w:bidi="zh-CN"/>
      </w:rPr>
    </w:lvl>
    <w:lvl w:ilvl="5" w:tplc="57189386">
      <w:numFmt w:val="bullet"/>
      <w:lvlText w:val="•"/>
      <w:lvlJc w:val="left"/>
      <w:pPr>
        <w:ind w:left="5903" w:hanging="320"/>
      </w:pPr>
      <w:rPr>
        <w:rFonts w:hint="default"/>
        <w:lang w:val="zh-CN" w:eastAsia="zh-CN" w:bidi="zh-CN"/>
      </w:rPr>
    </w:lvl>
    <w:lvl w:ilvl="6" w:tplc="FBF8F54A">
      <w:numFmt w:val="bullet"/>
      <w:lvlText w:val="•"/>
      <w:lvlJc w:val="left"/>
      <w:pPr>
        <w:ind w:left="6851" w:hanging="320"/>
      </w:pPr>
      <w:rPr>
        <w:rFonts w:hint="default"/>
        <w:lang w:val="zh-CN" w:eastAsia="zh-CN" w:bidi="zh-CN"/>
      </w:rPr>
    </w:lvl>
    <w:lvl w:ilvl="7" w:tplc="CBC49F3C">
      <w:numFmt w:val="bullet"/>
      <w:lvlText w:val="•"/>
      <w:lvlJc w:val="left"/>
      <w:pPr>
        <w:ind w:left="7800" w:hanging="320"/>
      </w:pPr>
      <w:rPr>
        <w:rFonts w:hint="default"/>
        <w:lang w:val="zh-CN" w:eastAsia="zh-CN" w:bidi="zh-CN"/>
      </w:rPr>
    </w:lvl>
    <w:lvl w:ilvl="8" w:tplc="6286183C">
      <w:numFmt w:val="bullet"/>
      <w:lvlText w:val="•"/>
      <w:lvlJc w:val="left"/>
      <w:pPr>
        <w:ind w:left="8749" w:hanging="320"/>
      </w:pPr>
      <w:rPr>
        <w:rFonts w:hint="default"/>
        <w:lang w:val="zh-CN" w:eastAsia="zh-CN" w:bidi="zh-CN"/>
      </w:rPr>
    </w:lvl>
  </w:abstractNum>
  <w:abstractNum w:abstractNumId="232" w15:restartNumberingAfterBreak="0">
    <w:nsid w:val="1F1C23D1"/>
    <w:multiLevelType w:val="hybridMultilevel"/>
    <w:tmpl w:val="8DAEDE80"/>
    <w:lvl w:ilvl="0" w:tplc="767271CA">
      <w:start w:val="8"/>
      <w:numFmt w:val="decimal"/>
      <w:lvlText w:val="%1"/>
      <w:lvlJc w:val="left"/>
      <w:pPr>
        <w:ind w:left="1159" w:hanging="320"/>
        <w:jc w:val="left"/>
      </w:pPr>
      <w:rPr>
        <w:rFonts w:hint="default"/>
        <w:lang w:val="zh-CN" w:eastAsia="zh-CN" w:bidi="zh-CN"/>
      </w:rPr>
    </w:lvl>
    <w:lvl w:ilvl="1" w:tplc="ACC8268C">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23B4F144">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5E66D0AE">
      <w:numFmt w:val="bullet"/>
      <w:lvlText w:val="•"/>
      <w:lvlJc w:val="left"/>
      <w:pPr>
        <w:ind w:left="3423" w:hanging="529"/>
      </w:pPr>
      <w:rPr>
        <w:rFonts w:hint="default"/>
        <w:lang w:val="zh-CN" w:eastAsia="zh-CN" w:bidi="zh-CN"/>
      </w:rPr>
    </w:lvl>
    <w:lvl w:ilvl="4" w:tplc="3B72FE6E">
      <w:numFmt w:val="bullet"/>
      <w:lvlText w:val="•"/>
      <w:lvlJc w:val="left"/>
      <w:pPr>
        <w:ind w:left="4455" w:hanging="529"/>
      </w:pPr>
      <w:rPr>
        <w:rFonts w:hint="default"/>
        <w:lang w:val="zh-CN" w:eastAsia="zh-CN" w:bidi="zh-CN"/>
      </w:rPr>
    </w:lvl>
    <w:lvl w:ilvl="5" w:tplc="69D20B20">
      <w:numFmt w:val="bullet"/>
      <w:lvlText w:val="•"/>
      <w:lvlJc w:val="left"/>
      <w:pPr>
        <w:ind w:left="5487" w:hanging="529"/>
      </w:pPr>
      <w:rPr>
        <w:rFonts w:hint="default"/>
        <w:lang w:val="zh-CN" w:eastAsia="zh-CN" w:bidi="zh-CN"/>
      </w:rPr>
    </w:lvl>
    <w:lvl w:ilvl="6" w:tplc="28549F22">
      <w:numFmt w:val="bullet"/>
      <w:lvlText w:val="•"/>
      <w:lvlJc w:val="left"/>
      <w:pPr>
        <w:ind w:left="6519" w:hanging="529"/>
      </w:pPr>
      <w:rPr>
        <w:rFonts w:hint="default"/>
        <w:lang w:val="zh-CN" w:eastAsia="zh-CN" w:bidi="zh-CN"/>
      </w:rPr>
    </w:lvl>
    <w:lvl w:ilvl="7" w:tplc="5D805C4E">
      <w:numFmt w:val="bullet"/>
      <w:lvlText w:val="•"/>
      <w:lvlJc w:val="left"/>
      <w:pPr>
        <w:ind w:left="7550" w:hanging="529"/>
      </w:pPr>
      <w:rPr>
        <w:rFonts w:hint="default"/>
        <w:lang w:val="zh-CN" w:eastAsia="zh-CN" w:bidi="zh-CN"/>
      </w:rPr>
    </w:lvl>
    <w:lvl w:ilvl="8" w:tplc="8060456E">
      <w:numFmt w:val="bullet"/>
      <w:lvlText w:val="•"/>
      <w:lvlJc w:val="left"/>
      <w:pPr>
        <w:ind w:left="8582" w:hanging="529"/>
      </w:pPr>
      <w:rPr>
        <w:rFonts w:hint="default"/>
        <w:lang w:val="zh-CN" w:eastAsia="zh-CN" w:bidi="zh-CN"/>
      </w:rPr>
    </w:lvl>
  </w:abstractNum>
  <w:abstractNum w:abstractNumId="233" w15:restartNumberingAfterBreak="0">
    <w:nsid w:val="1F6B7FFB"/>
    <w:multiLevelType w:val="hybridMultilevel"/>
    <w:tmpl w:val="3E34BABA"/>
    <w:lvl w:ilvl="0" w:tplc="1B420D44">
      <w:start w:val="4"/>
      <w:numFmt w:val="decimal"/>
      <w:lvlText w:val="%1"/>
      <w:lvlJc w:val="left"/>
      <w:pPr>
        <w:ind w:left="1369" w:hanging="529"/>
        <w:jc w:val="left"/>
      </w:pPr>
      <w:rPr>
        <w:rFonts w:hint="default"/>
        <w:lang w:val="zh-CN" w:eastAsia="zh-CN" w:bidi="zh-CN"/>
      </w:rPr>
    </w:lvl>
    <w:lvl w:ilvl="1" w:tplc="389654EE">
      <w:start w:val="1"/>
      <w:numFmt w:val="decimal"/>
      <w:lvlText w:val="%1.%2"/>
      <w:lvlJc w:val="left"/>
      <w:pPr>
        <w:ind w:left="1369" w:hanging="529"/>
        <w:jc w:val="left"/>
      </w:pPr>
      <w:rPr>
        <w:rFonts w:hint="default"/>
        <w:lang w:val="zh-CN" w:eastAsia="zh-CN" w:bidi="zh-CN"/>
      </w:rPr>
    </w:lvl>
    <w:lvl w:ilvl="2" w:tplc="844829E2">
      <w:start w:val="2"/>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4530BF3E">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262011A6">
      <w:numFmt w:val="bullet"/>
      <w:lvlText w:val="•"/>
      <w:lvlJc w:val="left"/>
      <w:pPr>
        <w:ind w:left="4602" w:hanging="738"/>
      </w:pPr>
      <w:rPr>
        <w:rFonts w:hint="default"/>
        <w:lang w:val="zh-CN" w:eastAsia="zh-CN" w:bidi="zh-CN"/>
      </w:rPr>
    </w:lvl>
    <w:lvl w:ilvl="5" w:tplc="49C0E266">
      <w:numFmt w:val="bullet"/>
      <w:lvlText w:val="•"/>
      <w:lvlJc w:val="left"/>
      <w:pPr>
        <w:ind w:left="5609" w:hanging="738"/>
      </w:pPr>
      <w:rPr>
        <w:rFonts w:hint="default"/>
        <w:lang w:val="zh-CN" w:eastAsia="zh-CN" w:bidi="zh-CN"/>
      </w:rPr>
    </w:lvl>
    <w:lvl w:ilvl="6" w:tplc="FBC08092">
      <w:numFmt w:val="bullet"/>
      <w:lvlText w:val="•"/>
      <w:lvlJc w:val="left"/>
      <w:pPr>
        <w:ind w:left="6616" w:hanging="738"/>
      </w:pPr>
      <w:rPr>
        <w:rFonts w:hint="default"/>
        <w:lang w:val="zh-CN" w:eastAsia="zh-CN" w:bidi="zh-CN"/>
      </w:rPr>
    </w:lvl>
    <w:lvl w:ilvl="7" w:tplc="D09CA92A">
      <w:numFmt w:val="bullet"/>
      <w:lvlText w:val="•"/>
      <w:lvlJc w:val="left"/>
      <w:pPr>
        <w:ind w:left="7624" w:hanging="738"/>
      </w:pPr>
      <w:rPr>
        <w:rFonts w:hint="default"/>
        <w:lang w:val="zh-CN" w:eastAsia="zh-CN" w:bidi="zh-CN"/>
      </w:rPr>
    </w:lvl>
    <w:lvl w:ilvl="8" w:tplc="2084C99A">
      <w:numFmt w:val="bullet"/>
      <w:lvlText w:val="•"/>
      <w:lvlJc w:val="left"/>
      <w:pPr>
        <w:ind w:left="8631" w:hanging="738"/>
      </w:pPr>
      <w:rPr>
        <w:rFonts w:hint="default"/>
        <w:lang w:val="zh-CN" w:eastAsia="zh-CN" w:bidi="zh-CN"/>
      </w:rPr>
    </w:lvl>
  </w:abstractNum>
  <w:abstractNum w:abstractNumId="234" w15:restartNumberingAfterBreak="0">
    <w:nsid w:val="1F844C88"/>
    <w:multiLevelType w:val="hybridMultilevel"/>
    <w:tmpl w:val="A4DC22E6"/>
    <w:lvl w:ilvl="0" w:tplc="1F9A9EDC">
      <w:start w:val="2"/>
      <w:numFmt w:val="lowerLetter"/>
      <w:lvlText w:val="%1）"/>
      <w:lvlJc w:val="left"/>
      <w:pPr>
        <w:ind w:left="838" w:hanging="318"/>
        <w:jc w:val="left"/>
      </w:pPr>
      <w:rPr>
        <w:rFonts w:ascii="宋体" w:eastAsia="宋体" w:hAnsi="宋体" w:cs="宋体" w:hint="default"/>
        <w:spacing w:val="-52"/>
        <w:w w:val="100"/>
        <w:sz w:val="19"/>
        <w:szCs w:val="19"/>
        <w:lang w:val="zh-CN" w:eastAsia="zh-CN" w:bidi="zh-CN"/>
      </w:rPr>
    </w:lvl>
    <w:lvl w:ilvl="1" w:tplc="ED1E47EC">
      <w:numFmt w:val="bullet"/>
      <w:lvlText w:val="•"/>
      <w:lvlJc w:val="left"/>
      <w:pPr>
        <w:ind w:left="1820" w:hanging="318"/>
      </w:pPr>
      <w:rPr>
        <w:rFonts w:hint="default"/>
        <w:lang w:val="zh-CN" w:eastAsia="zh-CN" w:bidi="zh-CN"/>
      </w:rPr>
    </w:lvl>
    <w:lvl w:ilvl="2" w:tplc="84C6194C">
      <w:numFmt w:val="bullet"/>
      <w:lvlText w:val="•"/>
      <w:lvlJc w:val="left"/>
      <w:pPr>
        <w:ind w:left="2801" w:hanging="318"/>
      </w:pPr>
      <w:rPr>
        <w:rFonts w:hint="default"/>
        <w:lang w:val="zh-CN" w:eastAsia="zh-CN" w:bidi="zh-CN"/>
      </w:rPr>
    </w:lvl>
    <w:lvl w:ilvl="3" w:tplc="BB789DD2">
      <w:numFmt w:val="bullet"/>
      <w:lvlText w:val="•"/>
      <w:lvlJc w:val="left"/>
      <w:pPr>
        <w:ind w:left="3781" w:hanging="318"/>
      </w:pPr>
      <w:rPr>
        <w:rFonts w:hint="default"/>
        <w:lang w:val="zh-CN" w:eastAsia="zh-CN" w:bidi="zh-CN"/>
      </w:rPr>
    </w:lvl>
    <w:lvl w:ilvl="4" w:tplc="2A4AAAC4">
      <w:numFmt w:val="bullet"/>
      <w:lvlText w:val="•"/>
      <w:lvlJc w:val="left"/>
      <w:pPr>
        <w:ind w:left="4762" w:hanging="318"/>
      </w:pPr>
      <w:rPr>
        <w:rFonts w:hint="default"/>
        <w:lang w:val="zh-CN" w:eastAsia="zh-CN" w:bidi="zh-CN"/>
      </w:rPr>
    </w:lvl>
    <w:lvl w:ilvl="5" w:tplc="92BCCD2C">
      <w:numFmt w:val="bullet"/>
      <w:lvlText w:val="•"/>
      <w:lvlJc w:val="left"/>
      <w:pPr>
        <w:ind w:left="5743" w:hanging="318"/>
      </w:pPr>
      <w:rPr>
        <w:rFonts w:hint="default"/>
        <w:lang w:val="zh-CN" w:eastAsia="zh-CN" w:bidi="zh-CN"/>
      </w:rPr>
    </w:lvl>
    <w:lvl w:ilvl="6" w:tplc="BD2E314E">
      <w:numFmt w:val="bullet"/>
      <w:lvlText w:val="•"/>
      <w:lvlJc w:val="left"/>
      <w:pPr>
        <w:ind w:left="6723" w:hanging="318"/>
      </w:pPr>
      <w:rPr>
        <w:rFonts w:hint="default"/>
        <w:lang w:val="zh-CN" w:eastAsia="zh-CN" w:bidi="zh-CN"/>
      </w:rPr>
    </w:lvl>
    <w:lvl w:ilvl="7" w:tplc="DA241D2E">
      <w:numFmt w:val="bullet"/>
      <w:lvlText w:val="•"/>
      <w:lvlJc w:val="left"/>
      <w:pPr>
        <w:ind w:left="7704" w:hanging="318"/>
      </w:pPr>
      <w:rPr>
        <w:rFonts w:hint="default"/>
        <w:lang w:val="zh-CN" w:eastAsia="zh-CN" w:bidi="zh-CN"/>
      </w:rPr>
    </w:lvl>
    <w:lvl w:ilvl="8" w:tplc="C8D079EE">
      <w:numFmt w:val="bullet"/>
      <w:lvlText w:val="•"/>
      <w:lvlJc w:val="left"/>
      <w:pPr>
        <w:ind w:left="8685" w:hanging="318"/>
      </w:pPr>
      <w:rPr>
        <w:rFonts w:hint="default"/>
        <w:lang w:val="zh-CN" w:eastAsia="zh-CN" w:bidi="zh-CN"/>
      </w:rPr>
    </w:lvl>
  </w:abstractNum>
  <w:abstractNum w:abstractNumId="235" w15:restartNumberingAfterBreak="0">
    <w:nsid w:val="1FB773D1"/>
    <w:multiLevelType w:val="hybridMultilevel"/>
    <w:tmpl w:val="CA801182"/>
    <w:lvl w:ilvl="0" w:tplc="28FC9BC0">
      <w:start w:val="3"/>
      <w:numFmt w:val="lowerLetter"/>
      <w:lvlText w:val="%1）"/>
      <w:lvlJc w:val="left"/>
      <w:pPr>
        <w:ind w:left="1160" w:hanging="318"/>
        <w:jc w:val="left"/>
      </w:pPr>
      <w:rPr>
        <w:rFonts w:ascii="宋体" w:eastAsia="宋体" w:hAnsi="宋体" w:cs="宋体" w:hint="default"/>
        <w:w w:val="100"/>
        <w:sz w:val="19"/>
        <w:szCs w:val="19"/>
        <w:lang w:val="zh-CN" w:eastAsia="zh-CN" w:bidi="zh-CN"/>
      </w:rPr>
    </w:lvl>
    <w:lvl w:ilvl="1" w:tplc="ADC4AE8A">
      <w:numFmt w:val="bullet"/>
      <w:lvlText w:val="•"/>
      <w:lvlJc w:val="left"/>
      <w:pPr>
        <w:ind w:left="2108" w:hanging="318"/>
      </w:pPr>
      <w:rPr>
        <w:rFonts w:hint="default"/>
        <w:lang w:val="zh-CN" w:eastAsia="zh-CN" w:bidi="zh-CN"/>
      </w:rPr>
    </w:lvl>
    <w:lvl w:ilvl="2" w:tplc="645A31EA">
      <w:numFmt w:val="bullet"/>
      <w:lvlText w:val="•"/>
      <w:lvlJc w:val="left"/>
      <w:pPr>
        <w:ind w:left="3057" w:hanging="318"/>
      </w:pPr>
      <w:rPr>
        <w:rFonts w:hint="default"/>
        <w:lang w:val="zh-CN" w:eastAsia="zh-CN" w:bidi="zh-CN"/>
      </w:rPr>
    </w:lvl>
    <w:lvl w:ilvl="3" w:tplc="3A7E4ECA">
      <w:numFmt w:val="bullet"/>
      <w:lvlText w:val="•"/>
      <w:lvlJc w:val="left"/>
      <w:pPr>
        <w:ind w:left="4005" w:hanging="318"/>
      </w:pPr>
      <w:rPr>
        <w:rFonts w:hint="default"/>
        <w:lang w:val="zh-CN" w:eastAsia="zh-CN" w:bidi="zh-CN"/>
      </w:rPr>
    </w:lvl>
    <w:lvl w:ilvl="4" w:tplc="254AEFD2">
      <w:numFmt w:val="bullet"/>
      <w:lvlText w:val="•"/>
      <w:lvlJc w:val="left"/>
      <w:pPr>
        <w:ind w:left="4954" w:hanging="318"/>
      </w:pPr>
      <w:rPr>
        <w:rFonts w:hint="default"/>
        <w:lang w:val="zh-CN" w:eastAsia="zh-CN" w:bidi="zh-CN"/>
      </w:rPr>
    </w:lvl>
    <w:lvl w:ilvl="5" w:tplc="FD461F18">
      <w:numFmt w:val="bullet"/>
      <w:lvlText w:val="•"/>
      <w:lvlJc w:val="left"/>
      <w:pPr>
        <w:ind w:left="5903" w:hanging="318"/>
      </w:pPr>
      <w:rPr>
        <w:rFonts w:hint="default"/>
        <w:lang w:val="zh-CN" w:eastAsia="zh-CN" w:bidi="zh-CN"/>
      </w:rPr>
    </w:lvl>
    <w:lvl w:ilvl="6" w:tplc="20ACE518">
      <w:numFmt w:val="bullet"/>
      <w:lvlText w:val="•"/>
      <w:lvlJc w:val="left"/>
      <w:pPr>
        <w:ind w:left="6851" w:hanging="318"/>
      </w:pPr>
      <w:rPr>
        <w:rFonts w:hint="default"/>
        <w:lang w:val="zh-CN" w:eastAsia="zh-CN" w:bidi="zh-CN"/>
      </w:rPr>
    </w:lvl>
    <w:lvl w:ilvl="7" w:tplc="8EDC1528">
      <w:numFmt w:val="bullet"/>
      <w:lvlText w:val="•"/>
      <w:lvlJc w:val="left"/>
      <w:pPr>
        <w:ind w:left="7800" w:hanging="318"/>
      </w:pPr>
      <w:rPr>
        <w:rFonts w:hint="default"/>
        <w:lang w:val="zh-CN" w:eastAsia="zh-CN" w:bidi="zh-CN"/>
      </w:rPr>
    </w:lvl>
    <w:lvl w:ilvl="8" w:tplc="EBDAD22C">
      <w:numFmt w:val="bullet"/>
      <w:lvlText w:val="•"/>
      <w:lvlJc w:val="left"/>
      <w:pPr>
        <w:ind w:left="8749" w:hanging="318"/>
      </w:pPr>
      <w:rPr>
        <w:rFonts w:hint="default"/>
        <w:lang w:val="zh-CN" w:eastAsia="zh-CN" w:bidi="zh-CN"/>
      </w:rPr>
    </w:lvl>
  </w:abstractNum>
  <w:abstractNum w:abstractNumId="236" w15:restartNumberingAfterBreak="0">
    <w:nsid w:val="20272EBE"/>
    <w:multiLevelType w:val="hybridMultilevel"/>
    <w:tmpl w:val="DF8A54D8"/>
    <w:lvl w:ilvl="0" w:tplc="7BB441C4">
      <w:start w:val="4"/>
      <w:numFmt w:val="decimal"/>
      <w:lvlText w:val="%1"/>
      <w:lvlJc w:val="left"/>
      <w:pPr>
        <w:ind w:left="1158" w:hanging="318"/>
        <w:jc w:val="left"/>
      </w:pPr>
      <w:rPr>
        <w:rFonts w:hint="default"/>
        <w:lang w:val="zh-CN" w:eastAsia="zh-CN" w:bidi="zh-CN"/>
      </w:rPr>
    </w:lvl>
    <w:lvl w:ilvl="1" w:tplc="69EC19D2">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DBF85CD2">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73CCE098">
      <w:numFmt w:val="bullet"/>
      <w:lvlText w:val="•"/>
      <w:lvlJc w:val="left"/>
      <w:pPr>
        <w:ind w:left="3423" w:hanging="529"/>
      </w:pPr>
      <w:rPr>
        <w:rFonts w:hint="default"/>
        <w:lang w:val="zh-CN" w:eastAsia="zh-CN" w:bidi="zh-CN"/>
      </w:rPr>
    </w:lvl>
    <w:lvl w:ilvl="4" w:tplc="A964FDB6">
      <w:numFmt w:val="bullet"/>
      <w:lvlText w:val="•"/>
      <w:lvlJc w:val="left"/>
      <w:pPr>
        <w:ind w:left="4455" w:hanging="529"/>
      </w:pPr>
      <w:rPr>
        <w:rFonts w:hint="default"/>
        <w:lang w:val="zh-CN" w:eastAsia="zh-CN" w:bidi="zh-CN"/>
      </w:rPr>
    </w:lvl>
    <w:lvl w:ilvl="5" w:tplc="DBCEEDEC">
      <w:numFmt w:val="bullet"/>
      <w:lvlText w:val="•"/>
      <w:lvlJc w:val="left"/>
      <w:pPr>
        <w:ind w:left="5487" w:hanging="529"/>
      </w:pPr>
      <w:rPr>
        <w:rFonts w:hint="default"/>
        <w:lang w:val="zh-CN" w:eastAsia="zh-CN" w:bidi="zh-CN"/>
      </w:rPr>
    </w:lvl>
    <w:lvl w:ilvl="6" w:tplc="1B5AA46C">
      <w:numFmt w:val="bullet"/>
      <w:lvlText w:val="•"/>
      <w:lvlJc w:val="left"/>
      <w:pPr>
        <w:ind w:left="6519" w:hanging="529"/>
      </w:pPr>
      <w:rPr>
        <w:rFonts w:hint="default"/>
        <w:lang w:val="zh-CN" w:eastAsia="zh-CN" w:bidi="zh-CN"/>
      </w:rPr>
    </w:lvl>
    <w:lvl w:ilvl="7" w:tplc="3EB8971C">
      <w:numFmt w:val="bullet"/>
      <w:lvlText w:val="•"/>
      <w:lvlJc w:val="left"/>
      <w:pPr>
        <w:ind w:left="7550" w:hanging="529"/>
      </w:pPr>
      <w:rPr>
        <w:rFonts w:hint="default"/>
        <w:lang w:val="zh-CN" w:eastAsia="zh-CN" w:bidi="zh-CN"/>
      </w:rPr>
    </w:lvl>
    <w:lvl w:ilvl="8" w:tplc="BA2E0682">
      <w:numFmt w:val="bullet"/>
      <w:lvlText w:val="•"/>
      <w:lvlJc w:val="left"/>
      <w:pPr>
        <w:ind w:left="8582" w:hanging="529"/>
      </w:pPr>
      <w:rPr>
        <w:rFonts w:hint="default"/>
        <w:lang w:val="zh-CN" w:eastAsia="zh-CN" w:bidi="zh-CN"/>
      </w:rPr>
    </w:lvl>
  </w:abstractNum>
  <w:abstractNum w:abstractNumId="237" w15:restartNumberingAfterBreak="0">
    <w:nsid w:val="2076189A"/>
    <w:multiLevelType w:val="hybridMultilevel"/>
    <w:tmpl w:val="0FE63E34"/>
    <w:lvl w:ilvl="0" w:tplc="E32CA122">
      <w:start w:val="7"/>
      <w:numFmt w:val="decimal"/>
      <w:lvlText w:val="%1"/>
      <w:lvlJc w:val="left"/>
      <w:pPr>
        <w:ind w:left="418" w:hanging="529"/>
        <w:jc w:val="left"/>
      </w:pPr>
      <w:rPr>
        <w:rFonts w:hint="default"/>
        <w:lang w:val="zh-CN" w:eastAsia="zh-CN" w:bidi="zh-CN"/>
      </w:rPr>
    </w:lvl>
    <w:lvl w:ilvl="1" w:tplc="19F88BDA">
      <w:start w:val="2"/>
      <w:numFmt w:val="decimal"/>
      <w:lvlText w:val="%1.%2"/>
      <w:lvlJc w:val="left"/>
      <w:pPr>
        <w:ind w:left="418" w:hanging="529"/>
        <w:jc w:val="left"/>
      </w:pPr>
      <w:rPr>
        <w:rFonts w:hint="default"/>
        <w:lang w:val="zh-CN" w:eastAsia="zh-CN" w:bidi="zh-CN"/>
      </w:rPr>
    </w:lvl>
    <w:lvl w:ilvl="2" w:tplc="A184E53E">
      <w:start w:val="1"/>
      <w:numFmt w:val="decimal"/>
      <w:lvlText w:val="%1.%2.%3"/>
      <w:lvlJc w:val="left"/>
      <w:pPr>
        <w:ind w:left="418" w:hanging="529"/>
        <w:jc w:val="left"/>
      </w:pPr>
      <w:rPr>
        <w:rFonts w:ascii="宋体" w:eastAsia="宋体" w:hAnsi="宋体" w:cs="宋体" w:hint="default"/>
        <w:b/>
        <w:bCs/>
        <w:color w:val="333333"/>
        <w:w w:val="99"/>
        <w:sz w:val="19"/>
        <w:szCs w:val="19"/>
        <w:lang w:val="zh-CN" w:eastAsia="zh-CN" w:bidi="zh-CN"/>
      </w:rPr>
    </w:lvl>
    <w:lvl w:ilvl="3" w:tplc="1A5A6A1E">
      <w:numFmt w:val="bullet"/>
      <w:lvlText w:val="•"/>
      <w:lvlJc w:val="left"/>
      <w:pPr>
        <w:ind w:left="3487" w:hanging="529"/>
      </w:pPr>
      <w:rPr>
        <w:rFonts w:hint="default"/>
        <w:lang w:val="zh-CN" w:eastAsia="zh-CN" w:bidi="zh-CN"/>
      </w:rPr>
    </w:lvl>
    <w:lvl w:ilvl="4" w:tplc="63FE7E24">
      <w:numFmt w:val="bullet"/>
      <w:lvlText w:val="•"/>
      <w:lvlJc w:val="left"/>
      <w:pPr>
        <w:ind w:left="4510" w:hanging="529"/>
      </w:pPr>
      <w:rPr>
        <w:rFonts w:hint="default"/>
        <w:lang w:val="zh-CN" w:eastAsia="zh-CN" w:bidi="zh-CN"/>
      </w:rPr>
    </w:lvl>
    <w:lvl w:ilvl="5" w:tplc="9C8A0554">
      <w:numFmt w:val="bullet"/>
      <w:lvlText w:val="•"/>
      <w:lvlJc w:val="left"/>
      <w:pPr>
        <w:ind w:left="5533" w:hanging="529"/>
      </w:pPr>
      <w:rPr>
        <w:rFonts w:hint="default"/>
        <w:lang w:val="zh-CN" w:eastAsia="zh-CN" w:bidi="zh-CN"/>
      </w:rPr>
    </w:lvl>
    <w:lvl w:ilvl="6" w:tplc="B0206328">
      <w:numFmt w:val="bullet"/>
      <w:lvlText w:val="•"/>
      <w:lvlJc w:val="left"/>
      <w:pPr>
        <w:ind w:left="6555" w:hanging="529"/>
      </w:pPr>
      <w:rPr>
        <w:rFonts w:hint="default"/>
        <w:lang w:val="zh-CN" w:eastAsia="zh-CN" w:bidi="zh-CN"/>
      </w:rPr>
    </w:lvl>
    <w:lvl w:ilvl="7" w:tplc="8F9CD4C6">
      <w:numFmt w:val="bullet"/>
      <w:lvlText w:val="•"/>
      <w:lvlJc w:val="left"/>
      <w:pPr>
        <w:ind w:left="7578" w:hanging="529"/>
      </w:pPr>
      <w:rPr>
        <w:rFonts w:hint="default"/>
        <w:lang w:val="zh-CN" w:eastAsia="zh-CN" w:bidi="zh-CN"/>
      </w:rPr>
    </w:lvl>
    <w:lvl w:ilvl="8" w:tplc="2848BD60">
      <w:numFmt w:val="bullet"/>
      <w:lvlText w:val="•"/>
      <w:lvlJc w:val="left"/>
      <w:pPr>
        <w:ind w:left="8601" w:hanging="529"/>
      </w:pPr>
      <w:rPr>
        <w:rFonts w:hint="default"/>
        <w:lang w:val="zh-CN" w:eastAsia="zh-CN" w:bidi="zh-CN"/>
      </w:rPr>
    </w:lvl>
  </w:abstractNum>
  <w:abstractNum w:abstractNumId="238" w15:restartNumberingAfterBreak="0">
    <w:nsid w:val="20812325"/>
    <w:multiLevelType w:val="hybridMultilevel"/>
    <w:tmpl w:val="077804FC"/>
    <w:lvl w:ilvl="0" w:tplc="A69A10A4">
      <w:start w:val="8"/>
      <w:numFmt w:val="decimal"/>
      <w:lvlText w:val="%1"/>
      <w:lvlJc w:val="left"/>
      <w:pPr>
        <w:ind w:left="1159" w:hanging="320"/>
        <w:jc w:val="left"/>
      </w:pPr>
      <w:rPr>
        <w:rFonts w:hint="default"/>
        <w:lang w:val="zh-CN" w:eastAsia="zh-CN" w:bidi="zh-CN"/>
      </w:rPr>
    </w:lvl>
    <w:lvl w:ilvl="1" w:tplc="B7EA1CEE">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26DE8814">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E168F55E">
      <w:numFmt w:val="bullet"/>
      <w:lvlText w:val="•"/>
      <w:lvlJc w:val="left"/>
      <w:pPr>
        <w:ind w:left="2520" w:hanging="529"/>
      </w:pPr>
      <w:rPr>
        <w:rFonts w:hint="default"/>
        <w:lang w:val="zh-CN" w:eastAsia="zh-CN" w:bidi="zh-CN"/>
      </w:rPr>
    </w:lvl>
    <w:lvl w:ilvl="4" w:tplc="B522643E">
      <w:numFmt w:val="bullet"/>
      <w:lvlText w:val="•"/>
      <w:lvlJc w:val="left"/>
      <w:pPr>
        <w:ind w:left="3681" w:hanging="529"/>
      </w:pPr>
      <w:rPr>
        <w:rFonts w:hint="default"/>
        <w:lang w:val="zh-CN" w:eastAsia="zh-CN" w:bidi="zh-CN"/>
      </w:rPr>
    </w:lvl>
    <w:lvl w:ilvl="5" w:tplc="0630AA4E">
      <w:numFmt w:val="bullet"/>
      <w:lvlText w:val="•"/>
      <w:lvlJc w:val="left"/>
      <w:pPr>
        <w:ind w:left="4842" w:hanging="529"/>
      </w:pPr>
      <w:rPr>
        <w:rFonts w:hint="default"/>
        <w:lang w:val="zh-CN" w:eastAsia="zh-CN" w:bidi="zh-CN"/>
      </w:rPr>
    </w:lvl>
    <w:lvl w:ilvl="6" w:tplc="F9783430">
      <w:numFmt w:val="bullet"/>
      <w:lvlText w:val="•"/>
      <w:lvlJc w:val="left"/>
      <w:pPr>
        <w:ind w:left="6003" w:hanging="529"/>
      </w:pPr>
      <w:rPr>
        <w:rFonts w:hint="default"/>
        <w:lang w:val="zh-CN" w:eastAsia="zh-CN" w:bidi="zh-CN"/>
      </w:rPr>
    </w:lvl>
    <w:lvl w:ilvl="7" w:tplc="8E62B3FA">
      <w:numFmt w:val="bullet"/>
      <w:lvlText w:val="•"/>
      <w:lvlJc w:val="left"/>
      <w:pPr>
        <w:ind w:left="7164" w:hanging="529"/>
      </w:pPr>
      <w:rPr>
        <w:rFonts w:hint="default"/>
        <w:lang w:val="zh-CN" w:eastAsia="zh-CN" w:bidi="zh-CN"/>
      </w:rPr>
    </w:lvl>
    <w:lvl w:ilvl="8" w:tplc="EBFE2296">
      <w:numFmt w:val="bullet"/>
      <w:lvlText w:val="•"/>
      <w:lvlJc w:val="left"/>
      <w:pPr>
        <w:ind w:left="8324" w:hanging="529"/>
      </w:pPr>
      <w:rPr>
        <w:rFonts w:hint="default"/>
        <w:lang w:val="zh-CN" w:eastAsia="zh-CN" w:bidi="zh-CN"/>
      </w:rPr>
    </w:lvl>
  </w:abstractNum>
  <w:abstractNum w:abstractNumId="239" w15:restartNumberingAfterBreak="0">
    <w:nsid w:val="20A056E0"/>
    <w:multiLevelType w:val="hybridMultilevel"/>
    <w:tmpl w:val="1430CA54"/>
    <w:lvl w:ilvl="0" w:tplc="B6DE0DC2">
      <w:start w:val="6"/>
      <w:numFmt w:val="decimal"/>
      <w:lvlText w:val="%1"/>
      <w:lvlJc w:val="left"/>
      <w:pPr>
        <w:ind w:left="838" w:hanging="529"/>
        <w:jc w:val="left"/>
      </w:pPr>
      <w:rPr>
        <w:rFonts w:hint="default"/>
        <w:lang w:val="zh-CN" w:eastAsia="zh-CN" w:bidi="zh-CN"/>
      </w:rPr>
    </w:lvl>
    <w:lvl w:ilvl="1" w:tplc="4480522E">
      <w:start w:val="1"/>
      <w:numFmt w:val="decimal"/>
      <w:lvlText w:val="%1.%2"/>
      <w:lvlJc w:val="left"/>
      <w:pPr>
        <w:ind w:left="838" w:hanging="529"/>
        <w:jc w:val="left"/>
      </w:pPr>
      <w:rPr>
        <w:rFonts w:hint="default"/>
        <w:lang w:val="zh-CN" w:eastAsia="zh-CN" w:bidi="zh-CN"/>
      </w:rPr>
    </w:lvl>
    <w:lvl w:ilvl="2" w:tplc="06B2550C">
      <w:start w:val="5"/>
      <w:numFmt w:val="decimal"/>
      <w:lvlText w:val="%1.%2.%3"/>
      <w:lvlJc w:val="left"/>
      <w:pPr>
        <w:ind w:left="838" w:hanging="529"/>
        <w:jc w:val="left"/>
      </w:pPr>
      <w:rPr>
        <w:rFonts w:ascii="宋体" w:eastAsia="宋体" w:hAnsi="宋体" w:cs="宋体" w:hint="default"/>
        <w:b/>
        <w:bCs/>
        <w:w w:val="99"/>
        <w:sz w:val="19"/>
        <w:szCs w:val="19"/>
        <w:lang w:val="zh-CN" w:eastAsia="zh-CN" w:bidi="zh-CN"/>
      </w:rPr>
    </w:lvl>
    <w:lvl w:ilvl="3" w:tplc="3E605806">
      <w:numFmt w:val="bullet"/>
      <w:lvlText w:val="•"/>
      <w:lvlJc w:val="left"/>
      <w:pPr>
        <w:ind w:left="3781" w:hanging="529"/>
      </w:pPr>
      <w:rPr>
        <w:rFonts w:hint="default"/>
        <w:lang w:val="zh-CN" w:eastAsia="zh-CN" w:bidi="zh-CN"/>
      </w:rPr>
    </w:lvl>
    <w:lvl w:ilvl="4" w:tplc="34A883DE">
      <w:numFmt w:val="bullet"/>
      <w:lvlText w:val="•"/>
      <w:lvlJc w:val="left"/>
      <w:pPr>
        <w:ind w:left="4762" w:hanging="529"/>
      </w:pPr>
      <w:rPr>
        <w:rFonts w:hint="default"/>
        <w:lang w:val="zh-CN" w:eastAsia="zh-CN" w:bidi="zh-CN"/>
      </w:rPr>
    </w:lvl>
    <w:lvl w:ilvl="5" w:tplc="5C50E5F6">
      <w:numFmt w:val="bullet"/>
      <w:lvlText w:val="•"/>
      <w:lvlJc w:val="left"/>
      <w:pPr>
        <w:ind w:left="5743" w:hanging="529"/>
      </w:pPr>
      <w:rPr>
        <w:rFonts w:hint="default"/>
        <w:lang w:val="zh-CN" w:eastAsia="zh-CN" w:bidi="zh-CN"/>
      </w:rPr>
    </w:lvl>
    <w:lvl w:ilvl="6" w:tplc="9A74F092">
      <w:numFmt w:val="bullet"/>
      <w:lvlText w:val="•"/>
      <w:lvlJc w:val="left"/>
      <w:pPr>
        <w:ind w:left="6723" w:hanging="529"/>
      </w:pPr>
      <w:rPr>
        <w:rFonts w:hint="default"/>
        <w:lang w:val="zh-CN" w:eastAsia="zh-CN" w:bidi="zh-CN"/>
      </w:rPr>
    </w:lvl>
    <w:lvl w:ilvl="7" w:tplc="CDE6AC80">
      <w:numFmt w:val="bullet"/>
      <w:lvlText w:val="•"/>
      <w:lvlJc w:val="left"/>
      <w:pPr>
        <w:ind w:left="7704" w:hanging="529"/>
      </w:pPr>
      <w:rPr>
        <w:rFonts w:hint="default"/>
        <w:lang w:val="zh-CN" w:eastAsia="zh-CN" w:bidi="zh-CN"/>
      </w:rPr>
    </w:lvl>
    <w:lvl w:ilvl="8" w:tplc="1CBA68AE">
      <w:numFmt w:val="bullet"/>
      <w:lvlText w:val="•"/>
      <w:lvlJc w:val="left"/>
      <w:pPr>
        <w:ind w:left="8685" w:hanging="529"/>
      </w:pPr>
      <w:rPr>
        <w:rFonts w:hint="default"/>
        <w:lang w:val="zh-CN" w:eastAsia="zh-CN" w:bidi="zh-CN"/>
      </w:rPr>
    </w:lvl>
  </w:abstractNum>
  <w:abstractNum w:abstractNumId="240" w15:restartNumberingAfterBreak="0">
    <w:nsid w:val="20B90D36"/>
    <w:multiLevelType w:val="hybridMultilevel"/>
    <w:tmpl w:val="F0440B54"/>
    <w:lvl w:ilvl="0" w:tplc="F8EABEE6">
      <w:start w:val="3"/>
      <w:numFmt w:val="decimal"/>
      <w:lvlText w:val="%1"/>
      <w:lvlJc w:val="left"/>
      <w:pPr>
        <w:ind w:left="1158" w:hanging="318"/>
        <w:jc w:val="left"/>
      </w:pPr>
      <w:rPr>
        <w:rFonts w:hint="default"/>
        <w:lang w:val="zh-CN" w:eastAsia="zh-CN" w:bidi="zh-CN"/>
      </w:rPr>
    </w:lvl>
    <w:lvl w:ilvl="1" w:tplc="0AE443F0">
      <w:start w:val="5"/>
      <w:numFmt w:val="decimal"/>
      <w:lvlText w:val="%1.%2"/>
      <w:lvlJc w:val="left"/>
      <w:pPr>
        <w:ind w:left="1158" w:hanging="318"/>
        <w:jc w:val="left"/>
      </w:pPr>
      <w:rPr>
        <w:rFonts w:ascii="宋体" w:eastAsia="宋体" w:hAnsi="宋体" w:cs="宋体" w:hint="default"/>
        <w:b/>
        <w:bCs/>
        <w:spacing w:val="-3"/>
        <w:w w:val="99"/>
        <w:sz w:val="19"/>
        <w:szCs w:val="19"/>
        <w:lang w:val="zh-CN" w:eastAsia="zh-CN" w:bidi="zh-CN"/>
      </w:rPr>
    </w:lvl>
    <w:lvl w:ilvl="2" w:tplc="DF520400">
      <w:numFmt w:val="bullet"/>
      <w:lvlText w:val="•"/>
      <w:lvlJc w:val="left"/>
      <w:pPr>
        <w:ind w:left="3057" w:hanging="318"/>
      </w:pPr>
      <w:rPr>
        <w:rFonts w:hint="default"/>
        <w:lang w:val="zh-CN" w:eastAsia="zh-CN" w:bidi="zh-CN"/>
      </w:rPr>
    </w:lvl>
    <w:lvl w:ilvl="3" w:tplc="DCCE77BC">
      <w:numFmt w:val="bullet"/>
      <w:lvlText w:val="•"/>
      <w:lvlJc w:val="left"/>
      <w:pPr>
        <w:ind w:left="4005" w:hanging="318"/>
      </w:pPr>
      <w:rPr>
        <w:rFonts w:hint="default"/>
        <w:lang w:val="zh-CN" w:eastAsia="zh-CN" w:bidi="zh-CN"/>
      </w:rPr>
    </w:lvl>
    <w:lvl w:ilvl="4" w:tplc="FBD01490">
      <w:numFmt w:val="bullet"/>
      <w:lvlText w:val="•"/>
      <w:lvlJc w:val="left"/>
      <w:pPr>
        <w:ind w:left="4954" w:hanging="318"/>
      </w:pPr>
      <w:rPr>
        <w:rFonts w:hint="default"/>
        <w:lang w:val="zh-CN" w:eastAsia="zh-CN" w:bidi="zh-CN"/>
      </w:rPr>
    </w:lvl>
    <w:lvl w:ilvl="5" w:tplc="210086C8">
      <w:numFmt w:val="bullet"/>
      <w:lvlText w:val="•"/>
      <w:lvlJc w:val="left"/>
      <w:pPr>
        <w:ind w:left="5903" w:hanging="318"/>
      </w:pPr>
      <w:rPr>
        <w:rFonts w:hint="default"/>
        <w:lang w:val="zh-CN" w:eastAsia="zh-CN" w:bidi="zh-CN"/>
      </w:rPr>
    </w:lvl>
    <w:lvl w:ilvl="6" w:tplc="09D69396">
      <w:numFmt w:val="bullet"/>
      <w:lvlText w:val="•"/>
      <w:lvlJc w:val="left"/>
      <w:pPr>
        <w:ind w:left="6851" w:hanging="318"/>
      </w:pPr>
      <w:rPr>
        <w:rFonts w:hint="default"/>
        <w:lang w:val="zh-CN" w:eastAsia="zh-CN" w:bidi="zh-CN"/>
      </w:rPr>
    </w:lvl>
    <w:lvl w:ilvl="7" w:tplc="750A9E6E">
      <w:numFmt w:val="bullet"/>
      <w:lvlText w:val="•"/>
      <w:lvlJc w:val="left"/>
      <w:pPr>
        <w:ind w:left="7800" w:hanging="318"/>
      </w:pPr>
      <w:rPr>
        <w:rFonts w:hint="default"/>
        <w:lang w:val="zh-CN" w:eastAsia="zh-CN" w:bidi="zh-CN"/>
      </w:rPr>
    </w:lvl>
    <w:lvl w:ilvl="8" w:tplc="704C790C">
      <w:numFmt w:val="bullet"/>
      <w:lvlText w:val="•"/>
      <w:lvlJc w:val="left"/>
      <w:pPr>
        <w:ind w:left="8749" w:hanging="318"/>
      </w:pPr>
      <w:rPr>
        <w:rFonts w:hint="default"/>
        <w:lang w:val="zh-CN" w:eastAsia="zh-CN" w:bidi="zh-CN"/>
      </w:rPr>
    </w:lvl>
  </w:abstractNum>
  <w:abstractNum w:abstractNumId="241" w15:restartNumberingAfterBreak="0">
    <w:nsid w:val="20FF00CE"/>
    <w:multiLevelType w:val="hybridMultilevel"/>
    <w:tmpl w:val="FD288AF0"/>
    <w:lvl w:ilvl="0" w:tplc="9ABEE8DA">
      <w:start w:val="4"/>
      <w:numFmt w:val="decimal"/>
      <w:lvlText w:val="%1"/>
      <w:lvlJc w:val="left"/>
      <w:pPr>
        <w:ind w:left="1158" w:hanging="318"/>
        <w:jc w:val="left"/>
      </w:pPr>
      <w:rPr>
        <w:rFonts w:hint="default"/>
        <w:lang w:val="zh-CN" w:eastAsia="zh-CN" w:bidi="zh-CN"/>
      </w:rPr>
    </w:lvl>
    <w:lvl w:ilvl="1" w:tplc="A300D780">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FF4A8286">
      <w:start w:val="1"/>
      <w:numFmt w:val="decimal"/>
      <w:lvlText w:val="%1.%2.%3"/>
      <w:lvlJc w:val="left"/>
      <w:pPr>
        <w:ind w:left="418" w:hanging="529"/>
        <w:jc w:val="left"/>
      </w:pPr>
      <w:rPr>
        <w:rFonts w:hint="default"/>
        <w:w w:val="100"/>
        <w:lang w:val="zh-CN" w:eastAsia="zh-CN" w:bidi="zh-CN"/>
      </w:rPr>
    </w:lvl>
    <w:lvl w:ilvl="3" w:tplc="C032B048">
      <w:numFmt w:val="bullet"/>
      <w:lvlText w:val="•"/>
      <w:lvlJc w:val="left"/>
      <w:pPr>
        <w:ind w:left="2538" w:hanging="529"/>
      </w:pPr>
      <w:rPr>
        <w:rFonts w:hint="default"/>
        <w:lang w:val="zh-CN" w:eastAsia="zh-CN" w:bidi="zh-CN"/>
      </w:rPr>
    </w:lvl>
    <w:lvl w:ilvl="4" w:tplc="689226E4">
      <w:numFmt w:val="bullet"/>
      <w:lvlText w:val="•"/>
      <w:lvlJc w:val="left"/>
      <w:pPr>
        <w:ind w:left="3696" w:hanging="529"/>
      </w:pPr>
      <w:rPr>
        <w:rFonts w:hint="default"/>
        <w:lang w:val="zh-CN" w:eastAsia="zh-CN" w:bidi="zh-CN"/>
      </w:rPr>
    </w:lvl>
    <w:lvl w:ilvl="5" w:tplc="7592004C">
      <w:numFmt w:val="bullet"/>
      <w:lvlText w:val="•"/>
      <w:lvlJc w:val="left"/>
      <w:pPr>
        <w:ind w:left="4854" w:hanging="529"/>
      </w:pPr>
      <w:rPr>
        <w:rFonts w:hint="default"/>
        <w:lang w:val="zh-CN" w:eastAsia="zh-CN" w:bidi="zh-CN"/>
      </w:rPr>
    </w:lvl>
    <w:lvl w:ilvl="6" w:tplc="D8A0E9A8">
      <w:numFmt w:val="bullet"/>
      <w:lvlText w:val="•"/>
      <w:lvlJc w:val="left"/>
      <w:pPr>
        <w:ind w:left="6013" w:hanging="529"/>
      </w:pPr>
      <w:rPr>
        <w:rFonts w:hint="default"/>
        <w:lang w:val="zh-CN" w:eastAsia="zh-CN" w:bidi="zh-CN"/>
      </w:rPr>
    </w:lvl>
    <w:lvl w:ilvl="7" w:tplc="776AB9A2">
      <w:numFmt w:val="bullet"/>
      <w:lvlText w:val="•"/>
      <w:lvlJc w:val="left"/>
      <w:pPr>
        <w:ind w:left="7171" w:hanging="529"/>
      </w:pPr>
      <w:rPr>
        <w:rFonts w:hint="default"/>
        <w:lang w:val="zh-CN" w:eastAsia="zh-CN" w:bidi="zh-CN"/>
      </w:rPr>
    </w:lvl>
    <w:lvl w:ilvl="8" w:tplc="EAC65BD8">
      <w:numFmt w:val="bullet"/>
      <w:lvlText w:val="•"/>
      <w:lvlJc w:val="left"/>
      <w:pPr>
        <w:ind w:left="8329" w:hanging="529"/>
      </w:pPr>
      <w:rPr>
        <w:rFonts w:hint="default"/>
        <w:lang w:val="zh-CN" w:eastAsia="zh-CN" w:bidi="zh-CN"/>
      </w:rPr>
    </w:lvl>
  </w:abstractNum>
  <w:abstractNum w:abstractNumId="242" w15:restartNumberingAfterBreak="0">
    <w:nsid w:val="210E5C9E"/>
    <w:multiLevelType w:val="hybridMultilevel"/>
    <w:tmpl w:val="BC801496"/>
    <w:lvl w:ilvl="0" w:tplc="06D68C0A">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FE3CFFB6">
      <w:numFmt w:val="bullet"/>
      <w:lvlText w:val="•"/>
      <w:lvlJc w:val="left"/>
      <w:pPr>
        <w:ind w:left="2288" w:hanging="529"/>
      </w:pPr>
      <w:rPr>
        <w:rFonts w:hint="default"/>
        <w:lang w:val="zh-CN" w:eastAsia="zh-CN" w:bidi="zh-CN"/>
      </w:rPr>
    </w:lvl>
    <w:lvl w:ilvl="2" w:tplc="7D8E0E6C">
      <w:numFmt w:val="bullet"/>
      <w:lvlText w:val="•"/>
      <w:lvlJc w:val="left"/>
      <w:pPr>
        <w:ind w:left="3217" w:hanging="529"/>
      </w:pPr>
      <w:rPr>
        <w:rFonts w:hint="default"/>
        <w:lang w:val="zh-CN" w:eastAsia="zh-CN" w:bidi="zh-CN"/>
      </w:rPr>
    </w:lvl>
    <w:lvl w:ilvl="3" w:tplc="9454E7F2">
      <w:numFmt w:val="bullet"/>
      <w:lvlText w:val="•"/>
      <w:lvlJc w:val="left"/>
      <w:pPr>
        <w:ind w:left="4145" w:hanging="529"/>
      </w:pPr>
      <w:rPr>
        <w:rFonts w:hint="default"/>
        <w:lang w:val="zh-CN" w:eastAsia="zh-CN" w:bidi="zh-CN"/>
      </w:rPr>
    </w:lvl>
    <w:lvl w:ilvl="4" w:tplc="C9D6B9B6">
      <w:numFmt w:val="bullet"/>
      <w:lvlText w:val="•"/>
      <w:lvlJc w:val="left"/>
      <w:pPr>
        <w:ind w:left="5074" w:hanging="529"/>
      </w:pPr>
      <w:rPr>
        <w:rFonts w:hint="default"/>
        <w:lang w:val="zh-CN" w:eastAsia="zh-CN" w:bidi="zh-CN"/>
      </w:rPr>
    </w:lvl>
    <w:lvl w:ilvl="5" w:tplc="0340E618">
      <w:numFmt w:val="bullet"/>
      <w:lvlText w:val="•"/>
      <w:lvlJc w:val="left"/>
      <w:pPr>
        <w:ind w:left="6003" w:hanging="529"/>
      </w:pPr>
      <w:rPr>
        <w:rFonts w:hint="default"/>
        <w:lang w:val="zh-CN" w:eastAsia="zh-CN" w:bidi="zh-CN"/>
      </w:rPr>
    </w:lvl>
    <w:lvl w:ilvl="6" w:tplc="BC8A94EE">
      <w:numFmt w:val="bullet"/>
      <w:lvlText w:val="•"/>
      <w:lvlJc w:val="left"/>
      <w:pPr>
        <w:ind w:left="6931" w:hanging="529"/>
      </w:pPr>
      <w:rPr>
        <w:rFonts w:hint="default"/>
        <w:lang w:val="zh-CN" w:eastAsia="zh-CN" w:bidi="zh-CN"/>
      </w:rPr>
    </w:lvl>
    <w:lvl w:ilvl="7" w:tplc="E78A1C24">
      <w:numFmt w:val="bullet"/>
      <w:lvlText w:val="•"/>
      <w:lvlJc w:val="left"/>
      <w:pPr>
        <w:ind w:left="7860" w:hanging="529"/>
      </w:pPr>
      <w:rPr>
        <w:rFonts w:hint="default"/>
        <w:lang w:val="zh-CN" w:eastAsia="zh-CN" w:bidi="zh-CN"/>
      </w:rPr>
    </w:lvl>
    <w:lvl w:ilvl="8" w:tplc="048CCDFA">
      <w:numFmt w:val="bullet"/>
      <w:lvlText w:val="•"/>
      <w:lvlJc w:val="left"/>
      <w:pPr>
        <w:ind w:left="8789" w:hanging="529"/>
      </w:pPr>
      <w:rPr>
        <w:rFonts w:hint="default"/>
        <w:lang w:val="zh-CN" w:eastAsia="zh-CN" w:bidi="zh-CN"/>
      </w:rPr>
    </w:lvl>
  </w:abstractNum>
  <w:abstractNum w:abstractNumId="243" w15:restartNumberingAfterBreak="0">
    <w:nsid w:val="216A0809"/>
    <w:multiLevelType w:val="hybridMultilevel"/>
    <w:tmpl w:val="FEAE1D7E"/>
    <w:lvl w:ilvl="0" w:tplc="ECECD720">
      <w:start w:val="1"/>
      <w:numFmt w:val="upperLetter"/>
      <w:lvlText w:val="%1."/>
      <w:lvlJc w:val="left"/>
      <w:pPr>
        <w:ind w:left="1052" w:hanging="213"/>
        <w:jc w:val="left"/>
      </w:pPr>
      <w:rPr>
        <w:rFonts w:ascii="宋体" w:eastAsia="宋体" w:hAnsi="宋体" w:cs="宋体" w:hint="default"/>
        <w:b/>
        <w:bCs/>
        <w:spacing w:val="-3"/>
        <w:w w:val="99"/>
        <w:sz w:val="19"/>
        <w:szCs w:val="19"/>
        <w:lang w:val="zh-CN" w:eastAsia="zh-CN" w:bidi="zh-CN"/>
      </w:rPr>
    </w:lvl>
    <w:lvl w:ilvl="1" w:tplc="8E56188A">
      <w:numFmt w:val="bullet"/>
      <w:lvlText w:val="•"/>
      <w:lvlJc w:val="left"/>
      <w:pPr>
        <w:ind w:left="2018" w:hanging="213"/>
      </w:pPr>
      <w:rPr>
        <w:rFonts w:hint="default"/>
        <w:lang w:val="zh-CN" w:eastAsia="zh-CN" w:bidi="zh-CN"/>
      </w:rPr>
    </w:lvl>
    <w:lvl w:ilvl="2" w:tplc="B4FE1FAA">
      <w:numFmt w:val="bullet"/>
      <w:lvlText w:val="•"/>
      <w:lvlJc w:val="left"/>
      <w:pPr>
        <w:ind w:left="2977" w:hanging="213"/>
      </w:pPr>
      <w:rPr>
        <w:rFonts w:hint="default"/>
        <w:lang w:val="zh-CN" w:eastAsia="zh-CN" w:bidi="zh-CN"/>
      </w:rPr>
    </w:lvl>
    <w:lvl w:ilvl="3" w:tplc="39746C78">
      <w:numFmt w:val="bullet"/>
      <w:lvlText w:val="•"/>
      <w:lvlJc w:val="left"/>
      <w:pPr>
        <w:ind w:left="3935" w:hanging="213"/>
      </w:pPr>
      <w:rPr>
        <w:rFonts w:hint="default"/>
        <w:lang w:val="zh-CN" w:eastAsia="zh-CN" w:bidi="zh-CN"/>
      </w:rPr>
    </w:lvl>
    <w:lvl w:ilvl="4" w:tplc="C91CCD66">
      <w:numFmt w:val="bullet"/>
      <w:lvlText w:val="•"/>
      <w:lvlJc w:val="left"/>
      <w:pPr>
        <w:ind w:left="4894" w:hanging="213"/>
      </w:pPr>
      <w:rPr>
        <w:rFonts w:hint="default"/>
        <w:lang w:val="zh-CN" w:eastAsia="zh-CN" w:bidi="zh-CN"/>
      </w:rPr>
    </w:lvl>
    <w:lvl w:ilvl="5" w:tplc="7AE414C8">
      <w:numFmt w:val="bullet"/>
      <w:lvlText w:val="•"/>
      <w:lvlJc w:val="left"/>
      <w:pPr>
        <w:ind w:left="5853" w:hanging="213"/>
      </w:pPr>
      <w:rPr>
        <w:rFonts w:hint="default"/>
        <w:lang w:val="zh-CN" w:eastAsia="zh-CN" w:bidi="zh-CN"/>
      </w:rPr>
    </w:lvl>
    <w:lvl w:ilvl="6" w:tplc="97A8732C">
      <w:numFmt w:val="bullet"/>
      <w:lvlText w:val="•"/>
      <w:lvlJc w:val="left"/>
      <w:pPr>
        <w:ind w:left="6811" w:hanging="213"/>
      </w:pPr>
      <w:rPr>
        <w:rFonts w:hint="default"/>
        <w:lang w:val="zh-CN" w:eastAsia="zh-CN" w:bidi="zh-CN"/>
      </w:rPr>
    </w:lvl>
    <w:lvl w:ilvl="7" w:tplc="EEBE9D16">
      <w:numFmt w:val="bullet"/>
      <w:lvlText w:val="•"/>
      <w:lvlJc w:val="left"/>
      <w:pPr>
        <w:ind w:left="7770" w:hanging="213"/>
      </w:pPr>
      <w:rPr>
        <w:rFonts w:hint="default"/>
        <w:lang w:val="zh-CN" w:eastAsia="zh-CN" w:bidi="zh-CN"/>
      </w:rPr>
    </w:lvl>
    <w:lvl w:ilvl="8" w:tplc="C5EEC85C">
      <w:numFmt w:val="bullet"/>
      <w:lvlText w:val="•"/>
      <w:lvlJc w:val="left"/>
      <w:pPr>
        <w:ind w:left="8729" w:hanging="213"/>
      </w:pPr>
      <w:rPr>
        <w:rFonts w:hint="default"/>
        <w:lang w:val="zh-CN" w:eastAsia="zh-CN" w:bidi="zh-CN"/>
      </w:rPr>
    </w:lvl>
  </w:abstractNum>
  <w:abstractNum w:abstractNumId="244" w15:restartNumberingAfterBreak="0">
    <w:nsid w:val="216D1BB7"/>
    <w:multiLevelType w:val="hybridMultilevel"/>
    <w:tmpl w:val="CEE49226"/>
    <w:lvl w:ilvl="0" w:tplc="21F05554">
      <w:start w:val="6"/>
      <w:numFmt w:val="lowerLetter"/>
      <w:lvlText w:val="%1）"/>
      <w:lvlJc w:val="left"/>
      <w:pPr>
        <w:ind w:left="418" w:hanging="318"/>
        <w:jc w:val="left"/>
      </w:pPr>
      <w:rPr>
        <w:rFonts w:ascii="宋体" w:eastAsia="宋体" w:hAnsi="宋体" w:cs="宋体" w:hint="default"/>
        <w:w w:val="100"/>
        <w:sz w:val="19"/>
        <w:szCs w:val="19"/>
        <w:lang w:val="zh-CN" w:eastAsia="zh-CN" w:bidi="zh-CN"/>
      </w:rPr>
    </w:lvl>
    <w:lvl w:ilvl="1" w:tplc="DBAC03EC">
      <w:numFmt w:val="bullet"/>
      <w:lvlText w:val="•"/>
      <w:lvlJc w:val="left"/>
      <w:pPr>
        <w:ind w:left="1442" w:hanging="318"/>
      </w:pPr>
      <w:rPr>
        <w:rFonts w:hint="default"/>
        <w:lang w:val="zh-CN" w:eastAsia="zh-CN" w:bidi="zh-CN"/>
      </w:rPr>
    </w:lvl>
    <w:lvl w:ilvl="2" w:tplc="C0F61568">
      <w:numFmt w:val="bullet"/>
      <w:lvlText w:val="•"/>
      <w:lvlJc w:val="left"/>
      <w:pPr>
        <w:ind w:left="2465" w:hanging="318"/>
      </w:pPr>
      <w:rPr>
        <w:rFonts w:hint="default"/>
        <w:lang w:val="zh-CN" w:eastAsia="zh-CN" w:bidi="zh-CN"/>
      </w:rPr>
    </w:lvl>
    <w:lvl w:ilvl="3" w:tplc="AEEAD888">
      <w:numFmt w:val="bullet"/>
      <w:lvlText w:val="•"/>
      <w:lvlJc w:val="left"/>
      <w:pPr>
        <w:ind w:left="3487" w:hanging="318"/>
      </w:pPr>
      <w:rPr>
        <w:rFonts w:hint="default"/>
        <w:lang w:val="zh-CN" w:eastAsia="zh-CN" w:bidi="zh-CN"/>
      </w:rPr>
    </w:lvl>
    <w:lvl w:ilvl="4" w:tplc="87DC63DA">
      <w:numFmt w:val="bullet"/>
      <w:lvlText w:val="•"/>
      <w:lvlJc w:val="left"/>
      <w:pPr>
        <w:ind w:left="4510" w:hanging="318"/>
      </w:pPr>
      <w:rPr>
        <w:rFonts w:hint="default"/>
        <w:lang w:val="zh-CN" w:eastAsia="zh-CN" w:bidi="zh-CN"/>
      </w:rPr>
    </w:lvl>
    <w:lvl w:ilvl="5" w:tplc="03C2977C">
      <w:numFmt w:val="bullet"/>
      <w:lvlText w:val="•"/>
      <w:lvlJc w:val="left"/>
      <w:pPr>
        <w:ind w:left="5533" w:hanging="318"/>
      </w:pPr>
      <w:rPr>
        <w:rFonts w:hint="default"/>
        <w:lang w:val="zh-CN" w:eastAsia="zh-CN" w:bidi="zh-CN"/>
      </w:rPr>
    </w:lvl>
    <w:lvl w:ilvl="6" w:tplc="0770D2CC">
      <w:numFmt w:val="bullet"/>
      <w:lvlText w:val="•"/>
      <w:lvlJc w:val="left"/>
      <w:pPr>
        <w:ind w:left="6555" w:hanging="318"/>
      </w:pPr>
      <w:rPr>
        <w:rFonts w:hint="default"/>
        <w:lang w:val="zh-CN" w:eastAsia="zh-CN" w:bidi="zh-CN"/>
      </w:rPr>
    </w:lvl>
    <w:lvl w:ilvl="7" w:tplc="8E26F2C8">
      <w:numFmt w:val="bullet"/>
      <w:lvlText w:val="•"/>
      <w:lvlJc w:val="left"/>
      <w:pPr>
        <w:ind w:left="7578" w:hanging="318"/>
      </w:pPr>
      <w:rPr>
        <w:rFonts w:hint="default"/>
        <w:lang w:val="zh-CN" w:eastAsia="zh-CN" w:bidi="zh-CN"/>
      </w:rPr>
    </w:lvl>
    <w:lvl w:ilvl="8" w:tplc="68D899A8">
      <w:numFmt w:val="bullet"/>
      <w:lvlText w:val="•"/>
      <w:lvlJc w:val="left"/>
      <w:pPr>
        <w:ind w:left="8601" w:hanging="318"/>
      </w:pPr>
      <w:rPr>
        <w:rFonts w:hint="default"/>
        <w:lang w:val="zh-CN" w:eastAsia="zh-CN" w:bidi="zh-CN"/>
      </w:rPr>
    </w:lvl>
  </w:abstractNum>
  <w:abstractNum w:abstractNumId="245" w15:restartNumberingAfterBreak="0">
    <w:nsid w:val="21993276"/>
    <w:multiLevelType w:val="hybridMultilevel"/>
    <w:tmpl w:val="25BA9F78"/>
    <w:lvl w:ilvl="0" w:tplc="65783A4A">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7DAA7402">
      <w:numFmt w:val="bullet"/>
      <w:lvlText w:val="•"/>
      <w:lvlJc w:val="left"/>
      <w:pPr>
        <w:ind w:left="1442" w:hanging="529"/>
      </w:pPr>
      <w:rPr>
        <w:rFonts w:hint="default"/>
        <w:lang w:val="zh-CN" w:eastAsia="zh-CN" w:bidi="zh-CN"/>
      </w:rPr>
    </w:lvl>
    <w:lvl w:ilvl="2" w:tplc="E6669CA4">
      <w:numFmt w:val="bullet"/>
      <w:lvlText w:val="•"/>
      <w:lvlJc w:val="left"/>
      <w:pPr>
        <w:ind w:left="2465" w:hanging="529"/>
      </w:pPr>
      <w:rPr>
        <w:rFonts w:hint="default"/>
        <w:lang w:val="zh-CN" w:eastAsia="zh-CN" w:bidi="zh-CN"/>
      </w:rPr>
    </w:lvl>
    <w:lvl w:ilvl="3" w:tplc="BF6AC476">
      <w:numFmt w:val="bullet"/>
      <w:lvlText w:val="•"/>
      <w:lvlJc w:val="left"/>
      <w:pPr>
        <w:ind w:left="3487" w:hanging="529"/>
      </w:pPr>
      <w:rPr>
        <w:rFonts w:hint="default"/>
        <w:lang w:val="zh-CN" w:eastAsia="zh-CN" w:bidi="zh-CN"/>
      </w:rPr>
    </w:lvl>
    <w:lvl w:ilvl="4" w:tplc="8E5AA428">
      <w:numFmt w:val="bullet"/>
      <w:lvlText w:val="•"/>
      <w:lvlJc w:val="left"/>
      <w:pPr>
        <w:ind w:left="4510" w:hanging="529"/>
      </w:pPr>
      <w:rPr>
        <w:rFonts w:hint="default"/>
        <w:lang w:val="zh-CN" w:eastAsia="zh-CN" w:bidi="zh-CN"/>
      </w:rPr>
    </w:lvl>
    <w:lvl w:ilvl="5" w:tplc="007CED10">
      <w:numFmt w:val="bullet"/>
      <w:lvlText w:val="•"/>
      <w:lvlJc w:val="left"/>
      <w:pPr>
        <w:ind w:left="5533" w:hanging="529"/>
      </w:pPr>
      <w:rPr>
        <w:rFonts w:hint="default"/>
        <w:lang w:val="zh-CN" w:eastAsia="zh-CN" w:bidi="zh-CN"/>
      </w:rPr>
    </w:lvl>
    <w:lvl w:ilvl="6" w:tplc="380C9366">
      <w:numFmt w:val="bullet"/>
      <w:lvlText w:val="•"/>
      <w:lvlJc w:val="left"/>
      <w:pPr>
        <w:ind w:left="6555" w:hanging="529"/>
      </w:pPr>
      <w:rPr>
        <w:rFonts w:hint="default"/>
        <w:lang w:val="zh-CN" w:eastAsia="zh-CN" w:bidi="zh-CN"/>
      </w:rPr>
    </w:lvl>
    <w:lvl w:ilvl="7" w:tplc="4A6EBE80">
      <w:numFmt w:val="bullet"/>
      <w:lvlText w:val="•"/>
      <w:lvlJc w:val="left"/>
      <w:pPr>
        <w:ind w:left="7578" w:hanging="529"/>
      </w:pPr>
      <w:rPr>
        <w:rFonts w:hint="default"/>
        <w:lang w:val="zh-CN" w:eastAsia="zh-CN" w:bidi="zh-CN"/>
      </w:rPr>
    </w:lvl>
    <w:lvl w:ilvl="8" w:tplc="D4B6FC6E">
      <w:numFmt w:val="bullet"/>
      <w:lvlText w:val="•"/>
      <w:lvlJc w:val="left"/>
      <w:pPr>
        <w:ind w:left="8601" w:hanging="529"/>
      </w:pPr>
      <w:rPr>
        <w:rFonts w:hint="default"/>
        <w:lang w:val="zh-CN" w:eastAsia="zh-CN" w:bidi="zh-CN"/>
      </w:rPr>
    </w:lvl>
  </w:abstractNum>
  <w:abstractNum w:abstractNumId="246" w15:restartNumberingAfterBreak="0">
    <w:nsid w:val="21A03DA3"/>
    <w:multiLevelType w:val="hybridMultilevel"/>
    <w:tmpl w:val="8C08755E"/>
    <w:lvl w:ilvl="0" w:tplc="F6805446">
      <w:start w:val="4"/>
      <w:numFmt w:val="decimal"/>
      <w:lvlText w:val="%1"/>
      <w:lvlJc w:val="left"/>
      <w:pPr>
        <w:ind w:left="1787" w:hanging="950"/>
        <w:jc w:val="left"/>
      </w:pPr>
      <w:rPr>
        <w:rFonts w:hint="default"/>
        <w:lang w:val="zh-CN" w:eastAsia="zh-CN" w:bidi="zh-CN"/>
      </w:rPr>
    </w:lvl>
    <w:lvl w:ilvl="1" w:tplc="50E4BE4E">
      <w:start w:val="4"/>
      <w:numFmt w:val="decimal"/>
      <w:lvlText w:val="%1.%2"/>
      <w:lvlJc w:val="left"/>
      <w:pPr>
        <w:ind w:left="1787" w:hanging="950"/>
        <w:jc w:val="left"/>
      </w:pPr>
      <w:rPr>
        <w:rFonts w:hint="default"/>
        <w:lang w:val="zh-CN" w:eastAsia="zh-CN" w:bidi="zh-CN"/>
      </w:rPr>
    </w:lvl>
    <w:lvl w:ilvl="2" w:tplc="4F829DFC">
      <w:start w:val="2"/>
      <w:numFmt w:val="decimal"/>
      <w:lvlText w:val="%1.%2.%3"/>
      <w:lvlJc w:val="left"/>
      <w:pPr>
        <w:ind w:left="1787" w:hanging="950"/>
        <w:jc w:val="left"/>
      </w:pPr>
      <w:rPr>
        <w:rFonts w:hint="default"/>
        <w:lang w:val="zh-CN" w:eastAsia="zh-CN" w:bidi="zh-CN"/>
      </w:rPr>
    </w:lvl>
    <w:lvl w:ilvl="3" w:tplc="39D2A886">
      <w:start w:val="3"/>
      <w:numFmt w:val="decimal"/>
      <w:lvlText w:val="%1.%2.%3.%4"/>
      <w:lvlJc w:val="left"/>
      <w:pPr>
        <w:ind w:left="1787" w:hanging="950"/>
        <w:jc w:val="left"/>
      </w:pPr>
      <w:rPr>
        <w:rFonts w:hint="default"/>
        <w:lang w:val="zh-CN" w:eastAsia="zh-CN" w:bidi="zh-CN"/>
      </w:rPr>
    </w:lvl>
    <w:lvl w:ilvl="4" w:tplc="CBE25428">
      <w:start w:val="4"/>
      <w:numFmt w:val="decimal"/>
      <w:lvlText w:val="%1.%2.%3.%4.%5"/>
      <w:lvlJc w:val="left"/>
      <w:pPr>
        <w:ind w:left="1787" w:hanging="950"/>
        <w:jc w:val="left"/>
      </w:pPr>
      <w:rPr>
        <w:rFonts w:ascii="宋体" w:eastAsia="宋体" w:hAnsi="宋体" w:cs="宋体" w:hint="default"/>
        <w:spacing w:val="-3"/>
        <w:w w:val="100"/>
        <w:sz w:val="19"/>
        <w:szCs w:val="19"/>
        <w:lang w:val="zh-CN" w:eastAsia="zh-CN" w:bidi="zh-CN"/>
      </w:rPr>
    </w:lvl>
    <w:lvl w:ilvl="5" w:tplc="1D04A182">
      <w:numFmt w:val="bullet"/>
      <w:lvlText w:val="•"/>
      <w:lvlJc w:val="left"/>
      <w:pPr>
        <w:ind w:left="6213" w:hanging="950"/>
      </w:pPr>
      <w:rPr>
        <w:rFonts w:hint="default"/>
        <w:lang w:val="zh-CN" w:eastAsia="zh-CN" w:bidi="zh-CN"/>
      </w:rPr>
    </w:lvl>
    <w:lvl w:ilvl="6" w:tplc="60CCE260">
      <w:numFmt w:val="bullet"/>
      <w:lvlText w:val="•"/>
      <w:lvlJc w:val="left"/>
      <w:pPr>
        <w:ind w:left="7099" w:hanging="950"/>
      </w:pPr>
      <w:rPr>
        <w:rFonts w:hint="default"/>
        <w:lang w:val="zh-CN" w:eastAsia="zh-CN" w:bidi="zh-CN"/>
      </w:rPr>
    </w:lvl>
    <w:lvl w:ilvl="7" w:tplc="09405FFA">
      <w:numFmt w:val="bullet"/>
      <w:lvlText w:val="•"/>
      <w:lvlJc w:val="left"/>
      <w:pPr>
        <w:ind w:left="7986" w:hanging="950"/>
      </w:pPr>
      <w:rPr>
        <w:rFonts w:hint="default"/>
        <w:lang w:val="zh-CN" w:eastAsia="zh-CN" w:bidi="zh-CN"/>
      </w:rPr>
    </w:lvl>
    <w:lvl w:ilvl="8" w:tplc="8C0648F2">
      <w:numFmt w:val="bullet"/>
      <w:lvlText w:val="•"/>
      <w:lvlJc w:val="left"/>
      <w:pPr>
        <w:ind w:left="8873" w:hanging="950"/>
      </w:pPr>
      <w:rPr>
        <w:rFonts w:hint="default"/>
        <w:lang w:val="zh-CN" w:eastAsia="zh-CN" w:bidi="zh-CN"/>
      </w:rPr>
    </w:lvl>
  </w:abstractNum>
  <w:abstractNum w:abstractNumId="247" w15:restartNumberingAfterBreak="0">
    <w:nsid w:val="21E92147"/>
    <w:multiLevelType w:val="hybridMultilevel"/>
    <w:tmpl w:val="A16AFDB0"/>
    <w:lvl w:ilvl="0" w:tplc="0D62E7AA">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F7D2D8BA">
      <w:numFmt w:val="bullet"/>
      <w:lvlText w:val="•"/>
      <w:lvlJc w:val="left"/>
      <w:pPr>
        <w:ind w:left="2288" w:hanging="529"/>
      </w:pPr>
      <w:rPr>
        <w:rFonts w:hint="default"/>
        <w:lang w:val="zh-CN" w:eastAsia="zh-CN" w:bidi="zh-CN"/>
      </w:rPr>
    </w:lvl>
    <w:lvl w:ilvl="2" w:tplc="E3409344">
      <w:numFmt w:val="bullet"/>
      <w:lvlText w:val="•"/>
      <w:lvlJc w:val="left"/>
      <w:pPr>
        <w:ind w:left="3217" w:hanging="529"/>
      </w:pPr>
      <w:rPr>
        <w:rFonts w:hint="default"/>
        <w:lang w:val="zh-CN" w:eastAsia="zh-CN" w:bidi="zh-CN"/>
      </w:rPr>
    </w:lvl>
    <w:lvl w:ilvl="3" w:tplc="30661E74">
      <w:numFmt w:val="bullet"/>
      <w:lvlText w:val="•"/>
      <w:lvlJc w:val="left"/>
      <w:pPr>
        <w:ind w:left="4145" w:hanging="529"/>
      </w:pPr>
      <w:rPr>
        <w:rFonts w:hint="default"/>
        <w:lang w:val="zh-CN" w:eastAsia="zh-CN" w:bidi="zh-CN"/>
      </w:rPr>
    </w:lvl>
    <w:lvl w:ilvl="4" w:tplc="A3AC9130">
      <w:numFmt w:val="bullet"/>
      <w:lvlText w:val="•"/>
      <w:lvlJc w:val="left"/>
      <w:pPr>
        <w:ind w:left="5074" w:hanging="529"/>
      </w:pPr>
      <w:rPr>
        <w:rFonts w:hint="default"/>
        <w:lang w:val="zh-CN" w:eastAsia="zh-CN" w:bidi="zh-CN"/>
      </w:rPr>
    </w:lvl>
    <w:lvl w:ilvl="5" w:tplc="624C873A">
      <w:numFmt w:val="bullet"/>
      <w:lvlText w:val="•"/>
      <w:lvlJc w:val="left"/>
      <w:pPr>
        <w:ind w:left="6003" w:hanging="529"/>
      </w:pPr>
      <w:rPr>
        <w:rFonts w:hint="default"/>
        <w:lang w:val="zh-CN" w:eastAsia="zh-CN" w:bidi="zh-CN"/>
      </w:rPr>
    </w:lvl>
    <w:lvl w:ilvl="6" w:tplc="5DC81888">
      <w:numFmt w:val="bullet"/>
      <w:lvlText w:val="•"/>
      <w:lvlJc w:val="left"/>
      <w:pPr>
        <w:ind w:left="6931" w:hanging="529"/>
      </w:pPr>
      <w:rPr>
        <w:rFonts w:hint="default"/>
        <w:lang w:val="zh-CN" w:eastAsia="zh-CN" w:bidi="zh-CN"/>
      </w:rPr>
    </w:lvl>
    <w:lvl w:ilvl="7" w:tplc="63ECAF86">
      <w:numFmt w:val="bullet"/>
      <w:lvlText w:val="•"/>
      <w:lvlJc w:val="left"/>
      <w:pPr>
        <w:ind w:left="7860" w:hanging="529"/>
      </w:pPr>
      <w:rPr>
        <w:rFonts w:hint="default"/>
        <w:lang w:val="zh-CN" w:eastAsia="zh-CN" w:bidi="zh-CN"/>
      </w:rPr>
    </w:lvl>
    <w:lvl w:ilvl="8" w:tplc="18388440">
      <w:numFmt w:val="bullet"/>
      <w:lvlText w:val="•"/>
      <w:lvlJc w:val="left"/>
      <w:pPr>
        <w:ind w:left="8789" w:hanging="529"/>
      </w:pPr>
      <w:rPr>
        <w:rFonts w:hint="default"/>
        <w:lang w:val="zh-CN" w:eastAsia="zh-CN" w:bidi="zh-CN"/>
      </w:rPr>
    </w:lvl>
  </w:abstractNum>
  <w:abstractNum w:abstractNumId="248" w15:restartNumberingAfterBreak="0">
    <w:nsid w:val="220B467D"/>
    <w:multiLevelType w:val="hybridMultilevel"/>
    <w:tmpl w:val="F4089F7C"/>
    <w:lvl w:ilvl="0" w:tplc="DE76F414">
      <w:start w:val="7"/>
      <w:numFmt w:val="decimal"/>
      <w:lvlText w:val="%1"/>
      <w:lvlJc w:val="left"/>
      <w:pPr>
        <w:ind w:left="996" w:hanging="579"/>
        <w:jc w:val="left"/>
      </w:pPr>
      <w:rPr>
        <w:rFonts w:hint="default"/>
        <w:lang w:val="zh-CN" w:eastAsia="zh-CN" w:bidi="zh-CN"/>
      </w:rPr>
    </w:lvl>
    <w:lvl w:ilvl="1" w:tplc="60E212C4">
      <w:start w:val="2"/>
      <w:numFmt w:val="decimal"/>
      <w:lvlText w:val="%1.%2"/>
      <w:lvlJc w:val="left"/>
      <w:pPr>
        <w:ind w:left="996" w:hanging="579"/>
        <w:jc w:val="left"/>
      </w:pPr>
      <w:rPr>
        <w:rFonts w:hint="default"/>
        <w:lang w:val="zh-CN" w:eastAsia="zh-CN" w:bidi="zh-CN"/>
      </w:rPr>
    </w:lvl>
    <w:lvl w:ilvl="2" w:tplc="37262E4C">
      <w:start w:val="2"/>
      <w:numFmt w:val="decimal"/>
      <w:lvlText w:val="%1.%2.%3"/>
      <w:lvlJc w:val="left"/>
      <w:pPr>
        <w:ind w:left="996" w:hanging="579"/>
        <w:jc w:val="right"/>
      </w:pPr>
      <w:rPr>
        <w:rFonts w:hint="default"/>
        <w:w w:val="100"/>
        <w:lang w:val="zh-CN" w:eastAsia="zh-CN" w:bidi="zh-CN"/>
      </w:rPr>
    </w:lvl>
    <w:lvl w:ilvl="3" w:tplc="8D660E1A">
      <w:numFmt w:val="bullet"/>
      <w:lvlText w:val="•"/>
      <w:lvlJc w:val="left"/>
      <w:pPr>
        <w:ind w:left="3893" w:hanging="579"/>
      </w:pPr>
      <w:rPr>
        <w:rFonts w:hint="default"/>
        <w:lang w:val="zh-CN" w:eastAsia="zh-CN" w:bidi="zh-CN"/>
      </w:rPr>
    </w:lvl>
    <w:lvl w:ilvl="4" w:tplc="5F3A89AE">
      <w:numFmt w:val="bullet"/>
      <w:lvlText w:val="•"/>
      <w:lvlJc w:val="left"/>
      <w:pPr>
        <w:ind w:left="4858" w:hanging="579"/>
      </w:pPr>
      <w:rPr>
        <w:rFonts w:hint="default"/>
        <w:lang w:val="zh-CN" w:eastAsia="zh-CN" w:bidi="zh-CN"/>
      </w:rPr>
    </w:lvl>
    <w:lvl w:ilvl="5" w:tplc="65561474">
      <w:numFmt w:val="bullet"/>
      <w:lvlText w:val="•"/>
      <w:lvlJc w:val="left"/>
      <w:pPr>
        <w:ind w:left="5823" w:hanging="579"/>
      </w:pPr>
      <w:rPr>
        <w:rFonts w:hint="default"/>
        <w:lang w:val="zh-CN" w:eastAsia="zh-CN" w:bidi="zh-CN"/>
      </w:rPr>
    </w:lvl>
    <w:lvl w:ilvl="6" w:tplc="25CE92B4">
      <w:numFmt w:val="bullet"/>
      <w:lvlText w:val="•"/>
      <w:lvlJc w:val="left"/>
      <w:pPr>
        <w:ind w:left="6787" w:hanging="579"/>
      </w:pPr>
      <w:rPr>
        <w:rFonts w:hint="default"/>
        <w:lang w:val="zh-CN" w:eastAsia="zh-CN" w:bidi="zh-CN"/>
      </w:rPr>
    </w:lvl>
    <w:lvl w:ilvl="7" w:tplc="8492765A">
      <w:numFmt w:val="bullet"/>
      <w:lvlText w:val="•"/>
      <w:lvlJc w:val="left"/>
      <w:pPr>
        <w:ind w:left="7752" w:hanging="579"/>
      </w:pPr>
      <w:rPr>
        <w:rFonts w:hint="default"/>
        <w:lang w:val="zh-CN" w:eastAsia="zh-CN" w:bidi="zh-CN"/>
      </w:rPr>
    </w:lvl>
    <w:lvl w:ilvl="8" w:tplc="CB2E23E6">
      <w:numFmt w:val="bullet"/>
      <w:lvlText w:val="•"/>
      <w:lvlJc w:val="left"/>
      <w:pPr>
        <w:ind w:left="8717" w:hanging="579"/>
      </w:pPr>
      <w:rPr>
        <w:rFonts w:hint="default"/>
        <w:lang w:val="zh-CN" w:eastAsia="zh-CN" w:bidi="zh-CN"/>
      </w:rPr>
    </w:lvl>
  </w:abstractNum>
  <w:abstractNum w:abstractNumId="249" w15:restartNumberingAfterBreak="0">
    <w:nsid w:val="225C51E6"/>
    <w:multiLevelType w:val="hybridMultilevel"/>
    <w:tmpl w:val="74D0D97A"/>
    <w:lvl w:ilvl="0" w:tplc="C2442534">
      <w:start w:val="7"/>
      <w:numFmt w:val="decimal"/>
      <w:lvlText w:val="%1"/>
      <w:lvlJc w:val="left"/>
      <w:pPr>
        <w:ind w:left="1370" w:hanging="531"/>
        <w:jc w:val="left"/>
      </w:pPr>
      <w:rPr>
        <w:rFonts w:hint="default"/>
        <w:lang w:val="zh-CN" w:eastAsia="zh-CN" w:bidi="zh-CN"/>
      </w:rPr>
    </w:lvl>
    <w:lvl w:ilvl="1" w:tplc="9A7852BE">
      <w:start w:val="2"/>
      <w:numFmt w:val="decimal"/>
      <w:lvlText w:val="%1.%2"/>
      <w:lvlJc w:val="left"/>
      <w:pPr>
        <w:ind w:left="1370" w:hanging="531"/>
        <w:jc w:val="left"/>
      </w:pPr>
      <w:rPr>
        <w:rFonts w:hint="default"/>
        <w:lang w:val="zh-CN" w:eastAsia="zh-CN" w:bidi="zh-CN"/>
      </w:rPr>
    </w:lvl>
    <w:lvl w:ilvl="2" w:tplc="B652EDDA">
      <w:start w:val="3"/>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6AE43104">
      <w:numFmt w:val="bullet"/>
      <w:lvlText w:val="•"/>
      <w:lvlJc w:val="left"/>
      <w:pPr>
        <w:ind w:left="4159" w:hanging="531"/>
      </w:pPr>
      <w:rPr>
        <w:rFonts w:hint="default"/>
        <w:lang w:val="zh-CN" w:eastAsia="zh-CN" w:bidi="zh-CN"/>
      </w:rPr>
    </w:lvl>
    <w:lvl w:ilvl="4" w:tplc="E474EC86">
      <w:numFmt w:val="bullet"/>
      <w:lvlText w:val="•"/>
      <w:lvlJc w:val="left"/>
      <w:pPr>
        <w:ind w:left="5086" w:hanging="531"/>
      </w:pPr>
      <w:rPr>
        <w:rFonts w:hint="default"/>
        <w:lang w:val="zh-CN" w:eastAsia="zh-CN" w:bidi="zh-CN"/>
      </w:rPr>
    </w:lvl>
    <w:lvl w:ilvl="5" w:tplc="54D02054">
      <w:numFmt w:val="bullet"/>
      <w:lvlText w:val="•"/>
      <w:lvlJc w:val="left"/>
      <w:pPr>
        <w:ind w:left="6013" w:hanging="531"/>
      </w:pPr>
      <w:rPr>
        <w:rFonts w:hint="default"/>
        <w:lang w:val="zh-CN" w:eastAsia="zh-CN" w:bidi="zh-CN"/>
      </w:rPr>
    </w:lvl>
    <w:lvl w:ilvl="6" w:tplc="83CCC632">
      <w:numFmt w:val="bullet"/>
      <w:lvlText w:val="•"/>
      <w:lvlJc w:val="left"/>
      <w:pPr>
        <w:ind w:left="6939" w:hanging="531"/>
      </w:pPr>
      <w:rPr>
        <w:rFonts w:hint="default"/>
        <w:lang w:val="zh-CN" w:eastAsia="zh-CN" w:bidi="zh-CN"/>
      </w:rPr>
    </w:lvl>
    <w:lvl w:ilvl="7" w:tplc="2050E30C">
      <w:numFmt w:val="bullet"/>
      <w:lvlText w:val="•"/>
      <w:lvlJc w:val="left"/>
      <w:pPr>
        <w:ind w:left="7866" w:hanging="531"/>
      </w:pPr>
      <w:rPr>
        <w:rFonts w:hint="default"/>
        <w:lang w:val="zh-CN" w:eastAsia="zh-CN" w:bidi="zh-CN"/>
      </w:rPr>
    </w:lvl>
    <w:lvl w:ilvl="8" w:tplc="D3608460">
      <w:numFmt w:val="bullet"/>
      <w:lvlText w:val="•"/>
      <w:lvlJc w:val="left"/>
      <w:pPr>
        <w:ind w:left="8793" w:hanging="531"/>
      </w:pPr>
      <w:rPr>
        <w:rFonts w:hint="default"/>
        <w:lang w:val="zh-CN" w:eastAsia="zh-CN" w:bidi="zh-CN"/>
      </w:rPr>
    </w:lvl>
  </w:abstractNum>
  <w:abstractNum w:abstractNumId="250" w15:restartNumberingAfterBreak="0">
    <w:nsid w:val="22693BFD"/>
    <w:multiLevelType w:val="hybridMultilevel"/>
    <w:tmpl w:val="166C9E26"/>
    <w:lvl w:ilvl="0" w:tplc="BA827D04">
      <w:start w:val="4"/>
      <w:numFmt w:val="decimal"/>
      <w:lvlText w:val="%1"/>
      <w:lvlJc w:val="left"/>
      <w:pPr>
        <w:ind w:left="1159" w:hanging="320"/>
        <w:jc w:val="left"/>
      </w:pPr>
      <w:rPr>
        <w:rFonts w:hint="default"/>
        <w:lang w:val="zh-CN" w:eastAsia="zh-CN" w:bidi="zh-CN"/>
      </w:rPr>
    </w:lvl>
    <w:lvl w:ilvl="1" w:tplc="98C432E2">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6060B87E">
      <w:start w:val="1"/>
      <w:numFmt w:val="decimal"/>
      <w:lvlText w:val="%1.%2.%3"/>
      <w:lvlJc w:val="left"/>
      <w:pPr>
        <w:ind w:left="418" w:hanging="584"/>
        <w:jc w:val="left"/>
      </w:pPr>
      <w:rPr>
        <w:rFonts w:ascii="宋体" w:eastAsia="宋体" w:hAnsi="宋体" w:cs="宋体" w:hint="default"/>
        <w:b/>
        <w:bCs/>
        <w:w w:val="99"/>
        <w:sz w:val="21"/>
        <w:szCs w:val="21"/>
        <w:lang w:val="zh-CN" w:eastAsia="zh-CN" w:bidi="zh-CN"/>
      </w:rPr>
    </w:lvl>
    <w:lvl w:ilvl="3" w:tplc="4A70FC4C">
      <w:numFmt w:val="bullet"/>
      <w:lvlText w:val="•"/>
      <w:lvlJc w:val="left"/>
      <w:pPr>
        <w:ind w:left="3268" w:hanging="584"/>
      </w:pPr>
      <w:rPr>
        <w:rFonts w:hint="default"/>
        <w:lang w:val="zh-CN" w:eastAsia="zh-CN" w:bidi="zh-CN"/>
      </w:rPr>
    </w:lvl>
    <w:lvl w:ilvl="4" w:tplc="99442E5A">
      <w:numFmt w:val="bullet"/>
      <w:lvlText w:val="•"/>
      <w:lvlJc w:val="left"/>
      <w:pPr>
        <w:ind w:left="4322" w:hanging="584"/>
      </w:pPr>
      <w:rPr>
        <w:rFonts w:hint="default"/>
        <w:lang w:val="zh-CN" w:eastAsia="zh-CN" w:bidi="zh-CN"/>
      </w:rPr>
    </w:lvl>
    <w:lvl w:ilvl="5" w:tplc="7E38CF00">
      <w:numFmt w:val="bullet"/>
      <w:lvlText w:val="•"/>
      <w:lvlJc w:val="left"/>
      <w:pPr>
        <w:ind w:left="5376" w:hanging="584"/>
      </w:pPr>
      <w:rPr>
        <w:rFonts w:hint="default"/>
        <w:lang w:val="zh-CN" w:eastAsia="zh-CN" w:bidi="zh-CN"/>
      </w:rPr>
    </w:lvl>
    <w:lvl w:ilvl="6" w:tplc="E1AAE6E8">
      <w:numFmt w:val="bullet"/>
      <w:lvlText w:val="•"/>
      <w:lvlJc w:val="left"/>
      <w:pPr>
        <w:ind w:left="6430" w:hanging="584"/>
      </w:pPr>
      <w:rPr>
        <w:rFonts w:hint="default"/>
        <w:lang w:val="zh-CN" w:eastAsia="zh-CN" w:bidi="zh-CN"/>
      </w:rPr>
    </w:lvl>
    <w:lvl w:ilvl="7" w:tplc="E31AE4E6">
      <w:numFmt w:val="bullet"/>
      <w:lvlText w:val="•"/>
      <w:lvlJc w:val="left"/>
      <w:pPr>
        <w:ind w:left="7484" w:hanging="584"/>
      </w:pPr>
      <w:rPr>
        <w:rFonts w:hint="default"/>
        <w:lang w:val="zh-CN" w:eastAsia="zh-CN" w:bidi="zh-CN"/>
      </w:rPr>
    </w:lvl>
    <w:lvl w:ilvl="8" w:tplc="CE982CC0">
      <w:numFmt w:val="bullet"/>
      <w:lvlText w:val="•"/>
      <w:lvlJc w:val="left"/>
      <w:pPr>
        <w:ind w:left="8538" w:hanging="584"/>
      </w:pPr>
      <w:rPr>
        <w:rFonts w:hint="default"/>
        <w:lang w:val="zh-CN" w:eastAsia="zh-CN" w:bidi="zh-CN"/>
      </w:rPr>
    </w:lvl>
  </w:abstractNum>
  <w:abstractNum w:abstractNumId="251" w15:restartNumberingAfterBreak="0">
    <w:nsid w:val="227D4F7B"/>
    <w:multiLevelType w:val="hybridMultilevel"/>
    <w:tmpl w:val="E542B91A"/>
    <w:lvl w:ilvl="0" w:tplc="A36E1D60">
      <w:start w:val="2"/>
      <w:numFmt w:val="decimal"/>
      <w:lvlText w:val="%1."/>
      <w:lvlJc w:val="left"/>
      <w:pPr>
        <w:ind w:left="1050" w:hanging="213"/>
        <w:jc w:val="left"/>
      </w:pPr>
      <w:rPr>
        <w:rFonts w:ascii="宋体" w:eastAsia="宋体" w:hAnsi="宋体" w:cs="宋体" w:hint="default"/>
        <w:spacing w:val="-3"/>
        <w:w w:val="100"/>
        <w:sz w:val="19"/>
        <w:szCs w:val="19"/>
        <w:lang w:val="zh-CN" w:eastAsia="zh-CN" w:bidi="zh-CN"/>
      </w:rPr>
    </w:lvl>
    <w:lvl w:ilvl="1" w:tplc="3CF6FB8E">
      <w:numFmt w:val="bullet"/>
      <w:lvlText w:val="•"/>
      <w:lvlJc w:val="left"/>
      <w:pPr>
        <w:ind w:left="2018" w:hanging="213"/>
      </w:pPr>
      <w:rPr>
        <w:rFonts w:hint="default"/>
        <w:lang w:val="zh-CN" w:eastAsia="zh-CN" w:bidi="zh-CN"/>
      </w:rPr>
    </w:lvl>
    <w:lvl w:ilvl="2" w:tplc="0464AB2A">
      <w:numFmt w:val="bullet"/>
      <w:lvlText w:val="•"/>
      <w:lvlJc w:val="left"/>
      <w:pPr>
        <w:ind w:left="2977" w:hanging="213"/>
      </w:pPr>
      <w:rPr>
        <w:rFonts w:hint="default"/>
        <w:lang w:val="zh-CN" w:eastAsia="zh-CN" w:bidi="zh-CN"/>
      </w:rPr>
    </w:lvl>
    <w:lvl w:ilvl="3" w:tplc="EBC8D7A2">
      <w:numFmt w:val="bullet"/>
      <w:lvlText w:val="•"/>
      <w:lvlJc w:val="left"/>
      <w:pPr>
        <w:ind w:left="3935" w:hanging="213"/>
      </w:pPr>
      <w:rPr>
        <w:rFonts w:hint="default"/>
        <w:lang w:val="zh-CN" w:eastAsia="zh-CN" w:bidi="zh-CN"/>
      </w:rPr>
    </w:lvl>
    <w:lvl w:ilvl="4" w:tplc="DD884CBE">
      <w:numFmt w:val="bullet"/>
      <w:lvlText w:val="•"/>
      <w:lvlJc w:val="left"/>
      <w:pPr>
        <w:ind w:left="4894" w:hanging="213"/>
      </w:pPr>
      <w:rPr>
        <w:rFonts w:hint="default"/>
        <w:lang w:val="zh-CN" w:eastAsia="zh-CN" w:bidi="zh-CN"/>
      </w:rPr>
    </w:lvl>
    <w:lvl w:ilvl="5" w:tplc="9514A3E0">
      <w:numFmt w:val="bullet"/>
      <w:lvlText w:val="•"/>
      <w:lvlJc w:val="left"/>
      <w:pPr>
        <w:ind w:left="5853" w:hanging="213"/>
      </w:pPr>
      <w:rPr>
        <w:rFonts w:hint="default"/>
        <w:lang w:val="zh-CN" w:eastAsia="zh-CN" w:bidi="zh-CN"/>
      </w:rPr>
    </w:lvl>
    <w:lvl w:ilvl="6" w:tplc="52AC260A">
      <w:numFmt w:val="bullet"/>
      <w:lvlText w:val="•"/>
      <w:lvlJc w:val="left"/>
      <w:pPr>
        <w:ind w:left="6811" w:hanging="213"/>
      </w:pPr>
      <w:rPr>
        <w:rFonts w:hint="default"/>
        <w:lang w:val="zh-CN" w:eastAsia="zh-CN" w:bidi="zh-CN"/>
      </w:rPr>
    </w:lvl>
    <w:lvl w:ilvl="7" w:tplc="B6AC715C">
      <w:numFmt w:val="bullet"/>
      <w:lvlText w:val="•"/>
      <w:lvlJc w:val="left"/>
      <w:pPr>
        <w:ind w:left="7770" w:hanging="213"/>
      </w:pPr>
      <w:rPr>
        <w:rFonts w:hint="default"/>
        <w:lang w:val="zh-CN" w:eastAsia="zh-CN" w:bidi="zh-CN"/>
      </w:rPr>
    </w:lvl>
    <w:lvl w:ilvl="8" w:tplc="666220B0">
      <w:numFmt w:val="bullet"/>
      <w:lvlText w:val="•"/>
      <w:lvlJc w:val="left"/>
      <w:pPr>
        <w:ind w:left="8729" w:hanging="213"/>
      </w:pPr>
      <w:rPr>
        <w:rFonts w:hint="default"/>
        <w:lang w:val="zh-CN" w:eastAsia="zh-CN" w:bidi="zh-CN"/>
      </w:rPr>
    </w:lvl>
  </w:abstractNum>
  <w:abstractNum w:abstractNumId="252" w15:restartNumberingAfterBreak="0">
    <w:nsid w:val="229C68D5"/>
    <w:multiLevelType w:val="hybridMultilevel"/>
    <w:tmpl w:val="1C3A340C"/>
    <w:lvl w:ilvl="0" w:tplc="276A5024">
      <w:start w:val="4"/>
      <w:numFmt w:val="decimal"/>
      <w:lvlText w:val="%1"/>
      <w:lvlJc w:val="left"/>
      <w:pPr>
        <w:ind w:left="418" w:hanging="584"/>
        <w:jc w:val="left"/>
      </w:pPr>
      <w:rPr>
        <w:rFonts w:hint="default"/>
        <w:lang w:val="zh-CN" w:eastAsia="zh-CN" w:bidi="zh-CN"/>
      </w:rPr>
    </w:lvl>
    <w:lvl w:ilvl="1" w:tplc="FA423F80">
      <w:start w:val="2"/>
      <w:numFmt w:val="decimal"/>
      <w:lvlText w:val="%1.%2"/>
      <w:lvlJc w:val="left"/>
      <w:pPr>
        <w:ind w:left="418" w:hanging="584"/>
        <w:jc w:val="left"/>
      </w:pPr>
      <w:rPr>
        <w:rFonts w:hint="default"/>
        <w:lang w:val="zh-CN" w:eastAsia="zh-CN" w:bidi="zh-CN"/>
      </w:rPr>
    </w:lvl>
    <w:lvl w:ilvl="2" w:tplc="749AB4D6">
      <w:start w:val="1"/>
      <w:numFmt w:val="decimal"/>
      <w:lvlText w:val="%1.%2.%3"/>
      <w:lvlJc w:val="left"/>
      <w:pPr>
        <w:ind w:left="418" w:hanging="584"/>
        <w:jc w:val="left"/>
      </w:pPr>
      <w:rPr>
        <w:rFonts w:ascii="宋体" w:eastAsia="宋体" w:hAnsi="宋体" w:cs="宋体" w:hint="default"/>
        <w:b/>
        <w:bCs/>
        <w:w w:val="99"/>
        <w:sz w:val="21"/>
        <w:szCs w:val="21"/>
        <w:lang w:val="zh-CN" w:eastAsia="zh-CN" w:bidi="zh-CN"/>
      </w:rPr>
    </w:lvl>
    <w:lvl w:ilvl="3" w:tplc="0E9A9B52">
      <w:numFmt w:val="bullet"/>
      <w:lvlText w:val="•"/>
      <w:lvlJc w:val="left"/>
      <w:pPr>
        <w:ind w:left="3487" w:hanging="584"/>
      </w:pPr>
      <w:rPr>
        <w:rFonts w:hint="default"/>
        <w:lang w:val="zh-CN" w:eastAsia="zh-CN" w:bidi="zh-CN"/>
      </w:rPr>
    </w:lvl>
    <w:lvl w:ilvl="4" w:tplc="065429BE">
      <w:numFmt w:val="bullet"/>
      <w:lvlText w:val="•"/>
      <w:lvlJc w:val="left"/>
      <w:pPr>
        <w:ind w:left="4510" w:hanging="584"/>
      </w:pPr>
      <w:rPr>
        <w:rFonts w:hint="default"/>
        <w:lang w:val="zh-CN" w:eastAsia="zh-CN" w:bidi="zh-CN"/>
      </w:rPr>
    </w:lvl>
    <w:lvl w:ilvl="5" w:tplc="B20AA1CA">
      <w:numFmt w:val="bullet"/>
      <w:lvlText w:val="•"/>
      <w:lvlJc w:val="left"/>
      <w:pPr>
        <w:ind w:left="5533" w:hanging="584"/>
      </w:pPr>
      <w:rPr>
        <w:rFonts w:hint="default"/>
        <w:lang w:val="zh-CN" w:eastAsia="zh-CN" w:bidi="zh-CN"/>
      </w:rPr>
    </w:lvl>
    <w:lvl w:ilvl="6" w:tplc="7594323A">
      <w:numFmt w:val="bullet"/>
      <w:lvlText w:val="•"/>
      <w:lvlJc w:val="left"/>
      <w:pPr>
        <w:ind w:left="6555" w:hanging="584"/>
      </w:pPr>
      <w:rPr>
        <w:rFonts w:hint="default"/>
        <w:lang w:val="zh-CN" w:eastAsia="zh-CN" w:bidi="zh-CN"/>
      </w:rPr>
    </w:lvl>
    <w:lvl w:ilvl="7" w:tplc="2CD66534">
      <w:numFmt w:val="bullet"/>
      <w:lvlText w:val="•"/>
      <w:lvlJc w:val="left"/>
      <w:pPr>
        <w:ind w:left="7578" w:hanging="584"/>
      </w:pPr>
      <w:rPr>
        <w:rFonts w:hint="default"/>
        <w:lang w:val="zh-CN" w:eastAsia="zh-CN" w:bidi="zh-CN"/>
      </w:rPr>
    </w:lvl>
    <w:lvl w:ilvl="8" w:tplc="FDC65D68">
      <w:numFmt w:val="bullet"/>
      <w:lvlText w:val="•"/>
      <w:lvlJc w:val="left"/>
      <w:pPr>
        <w:ind w:left="8601" w:hanging="584"/>
      </w:pPr>
      <w:rPr>
        <w:rFonts w:hint="default"/>
        <w:lang w:val="zh-CN" w:eastAsia="zh-CN" w:bidi="zh-CN"/>
      </w:rPr>
    </w:lvl>
  </w:abstractNum>
  <w:abstractNum w:abstractNumId="253" w15:restartNumberingAfterBreak="0">
    <w:nsid w:val="22BB27E1"/>
    <w:multiLevelType w:val="hybridMultilevel"/>
    <w:tmpl w:val="47C49C82"/>
    <w:lvl w:ilvl="0" w:tplc="951CEFEA">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A5E618C4">
      <w:numFmt w:val="bullet"/>
      <w:lvlText w:val="•"/>
      <w:lvlJc w:val="left"/>
      <w:pPr>
        <w:ind w:left="2288" w:hanging="529"/>
      </w:pPr>
      <w:rPr>
        <w:rFonts w:hint="default"/>
        <w:lang w:val="zh-CN" w:eastAsia="zh-CN" w:bidi="zh-CN"/>
      </w:rPr>
    </w:lvl>
    <w:lvl w:ilvl="2" w:tplc="742C5FEA">
      <w:numFmt w:val="bullet"/>
      <w:lvlText w:val="•"/>
      <w:lvlJc w:val="left"/>
      <w:pPr>
        <w:ind w:left="3217" w:hanging="529"/>
      </w:pPr>
      <w:rPr>
        <w:rFonts w:hint="default"/>
        <w:lang w:val="zh-CN" w:eastAsia="zh-CN" w:bidi="zh-CN"/>
      </w:rPr>
    </w:lvl>
    <w:lvl w:ilvl="3" w:tplc="1242D998">
      <w:numFmt w:val="bullet"/>
      <w:lvlText w:val="•"/>
      <w:lvlJc w:val="left"/>
      <w:pPr>
        <w:ind w:left="4145" w:hanging="529"/>
      </w:pPr>
      <w:rPr>
        <w:rFonts w:hint="default"/>
        <w:lang w:val="zh-CN" w:eastAsia="zh-CN" w:bidi="zh-CN"/>
      </w:rPr>
    </w:lvl>
    <w:lvl w:ilvl="4" w:tplc="2FB23E36">
      <w:numFmt w:val="bullet"/>
      <w:lvlText w:val="•"/>
      <w:lvlJc w:val="left"/>
      <w:pPr>
        <w:ind w:left="5074" w:hanging="529"/>
      </w:pPr>
      <w:rPr>
        <w:rFonts w:hint="default"/>
        <w:lang w:val="zh-CN" w:eastAsia="zh-CN" w:bidi="zh-CN"/>
      </w:rPr>
    </w:lvl>
    <w:lvl w:ilvl="5" w:tplc="2168FF64">
      <w:numFmt w:val="bullet"/>
      <w:lvlText w:val="•"/>
      <w:lvlJc w:val="left"/>
      <w:pPr>
        <w:ind w:left="6003" w:hanging="529"/>
      </w:pPr>
      <w:rPr>
        <w:rFonts w:hint="default"/>
        <w:lang w:val="zh-CN" w:eastAsia="zh-CN" w:bidi="zh-CN"/>
      </w:rPr>
    </w:lvl>
    <w:lvl w:ilvl="6" w:tplc="58EE2FA8">
      <w:numFmt w:val="bullet"/>
      <w:lvlText w:val="•"/>
      <w:lvlJc w:val="left"/>
      <w:pPr>
        <w:ind w:left="6931" w:hanging="529"/>
      </w:pPr>
      <w:rPr>
        <w:rFonts w:hint="default"/>
        <w:lang w:val="zh-CN" w:eastAsia="zh-CN" w:bidi="zh-CN"/>
      </w:rPr>
    </w:lvl>
    <w:lvl w:ilvl="7" w:tplc="C8A26704">
      <w:numFmt w:val="bullet"/>
      <w:lvlText w:val="•"/>
      <w:lvlJc w:val="left"/>
      <w:pPr>
        <w:ind w:left="7860" w:hanging="529"/>
      </w:pPr>
      <w:rPr>
        <w:rFonts w:hint="default"/>
        <w:lang w:val="zh-CN" w:eastAsia="zh-CN" w:bidi="zh-CN"/>
      </w:rPr>
    </w:lvl>
    <w:lvl w:ilvl="8" w:tplc="736A0B22">
      <w:numFmt w:val="bullet"/>
      <w:lvlText w:val="•"/>
      <w:lvlJc w:val="left"/>
      <w:pPr>
        <w:ind w:left="8789" w:hanging="529"/>
      </w:pPr>
      <w:rPr>
        <w:rFonts w:hint="default"/>
        <w:lang w:val="zh-CN" w:eastAsia="zh-CN" w:bidi="zh-CN"/>
      </w:rPr>
    </w:lvl>
  </w:abstractNum>
  <w:abstractNum w:abstractNumId="254" w15:restartNumberingAfterBreak="0">
    <w:nsid w:val="22D03756"/>
    <w:multiLevelType w:val="hybridMultilevel"/>
    <w:tmpl w:val="142AF4BE"/>
    <w:lvl w:ilvl="0" w:tplc="B0A4044A">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E8EEABA8">
      <w:numFmt w:val="bullet"/>
      <w:lvlText w:val="•"/>
      <w:lvlJc w:val="left"/>
      <w:pPr>
        <w:ind w:left="2288" w:hanging="529"/>
      </w:pPr>
      <w:rPr>
        <w:rFonts w:hint="default"/>
        <w:lang w:val="zh-CN" w:eastAsia="zh-CN" w:bidi="zh-CN"/>
      </w:rPr>
    </w:lvl>
    <w:lvl w:ilvl="2" w:tplc="F718194A">
      <w:numFmt w:val="bullet"/>
      <w:lvlText w:val="•"/>
      <w:lvlJc w:val="left"/>
      <w:pPr>
        <w:ind w:left="3217" w:hanging="529"/>
      </w:pPr>
      <w:rPr>
        <w:rFonts w:hint="default"/>
        <w:lang w:val="zh-CN" w:eastAsia="zh-CN" w:bidi="zh-CN"/>
      </w:rPr>
    </w:lvl>
    <w:lvl w:ilvl="3" w:tplc="9C40C5FE">
      <w:numFmt w:val="bullet"/>
      <w:lvlText w:val="•"/>
      <w:lvlJc w:val="left"/>
      <w:pPr>
        <w:ind w:left="4145" w:hanging="529"/>
      </w:pPr>
      <w:rPr>
        <w:rFonts w:hint="default"/>
        <w:lang w:val="zh-CN" w:eastAsia="zh-CN" w:bidi="zh-CN"/>
      </w:rPr>
    </w:lvl>
    <w:lvl w:ilvl="4" w:tplc="43FA3FD0">
      <w:numFmt w:val="bullet"/>
      <w:lvlText w:val="•"/>
      <w:lvlJc w:val="left"/>
      <w:pPr>
        <w:ind w:left="5074" w:hanging="529"/>
      </w:pPr>
      <w:rPr>
        <w:rFonts w:hint="default"/>
        <w:lang w:val="zh-CN" w:eastAsia="zh-CN" w:bidi="zh-CN"/>
      </w:rPr>
    </w:lvl>
    <w:lvl w:ilvl="5" w:tplc="8DE628A6">
      <w:numFmt w:val="bullet"/>
      <w:lvlText w:val="•"/>
      <w:lvlJc w:val="left"/>
      <w:pPr>
        <w:ind w:left="6003" w:hanging="529"/>
      </w:pPr>
      <w:rPr>
        <w:rFonts w:hint="default"/>
        <w:lang w:val="zh-CN" w:eastAsia="zh-CN" w:bidi="zh-CN"/>
      </w:rPr>
    </w:lvl>
    <w:lvl w:ilvl="6" w:tplc="F67C8AE2">
      <w:numFmt w:val="bullet"/>
      <w:lvlText w:val="•"/>
      <w:lvlJc w:val="left"/>
      <w:pPr>
        <w:ind w:left="6931" w:hanging="529"/>
      </w:pPr>
      <w:rPr>
        <w:rFonts w:hint="default"/>
        <w:lang w:val="zh-CN" w:eastAsia="zh-CN" w:bidi="zh-CN"/>
      </w:rPr>
    </w:lvl>
    <w:lvl w:ilvl="7" w:tplc="730AC324">
      <w:numFmt w:val="bullet"/>
      <w:lvlText w:val="•"/>
      <w:lvlJc w:val="left"/>
      <w:pPr>
        <w:ind w:left="7860" w:hanging="529"/>
      </w:pPr>
      <w:rPr>
        <w:rFonts w:hint="default"/>
        <w:lang w:val="zh-CN" w:eastAsia="zh-CN" w:bidi="zh-CN"/>
      </w:rPr>
    </w:lvl>
    <w:lvl w:ilvl="8" w:tplc="F4DA023A">
      <w:numFmt w:val="bullet"/>
      <w:lvlText w:val="•"/>
      <w:lvlJc w:val="left"/>
      <w:pPr>
        <w:ind w:left="8789" w:hanging="529"/>
      </w:pPr>
      <w:rPr>
        <w:rFonts w:hint="default"/>
        <w:lang w:val="zh-CN" w:eastAsia="zh-CN" w:bidi="zh-CN"/>
      </w:rPr>
    </w:lvl>
  </w:abstractNum>
  <w:abstractNum w:abstractNumId="255" w15:restartNumberingAfterBreak="0">
    <w:nsid w:val="236927C0"/>
    <w:multiLevelType w:val="hybridMultilevel"/>
    <w:tmpl w:val="3858E77C"/>
    <w:lvl w:ilvl="0" w:tplc="18B66F3E">
      <w:start w:val="5"/>
      <w:numFmt w:val="decimal"/>
      <w:lvlText w:val="%1"/>
      <w:lvlJc w:val="left"/>
      <w:pPr>
        <w:ind w:left="1265" w:hanging="425"/>
        <w:jc w:val="left"/>
      </w:pPr>
      <w:rPr>
        <w:rFonts w:hint="default"/>
        <w:lang w:val="zh-CN" w:eastAsia="zh-CN" w:bidi="zh-CN"/>
      </w:rPr>
    </w:lvl>
    <w:lvl w:ilvl="1" w:tplc="2A320B0A">
      <w:start w:val="10"/>
      <w:numFmt w:val="decimal"/>
      <w:lvlText w:val="%1.%2"/>
      <w:lvlJc w:val="left"/>
      <w:pPr>
        <w:ind w:left="1265" w:hanging="425"/>
        <w:jc w:val="right"/>
      </w:pPr>
      <w:rPr>
        <w:rFonts w:hint="default"/>
        <w:b/>
        <w:bCs/>
        <w:w w:val="99"/>
        <w:lang w:val="zh-CN" w:eastAsia="zh-CN" w:bidi="zh-CN"/>
      </w:rPr>
    </w:lvl>
    <w:lvl w:ilvl="2" w:tplc="DC58C8FE">
      <w:start w:val="1"/>
      <w:numFmt w:val="decimal"/>
      <w:lvlText w:val="%1.%2.%3"/>
      <w:lvlJc w:val="left"/>
      <w:pPr>
        <w:ind w:left="1477" w:hanging="637"/>
        <w:jc w:val="left"/>
      </w:pPr>
      <w:rPr>
        <w:rFonts w:ascii="宋体" w:eastAsia="宋体" w:hAnsi="宋体" w:cs="宋体" w:hint="default"/>
        <w:b/>
        <w:bCs/>
        <w:w w:val="99"/>
        <w:sz w:val="19"/>
        <w:szCs w:val="19"/>
        <w:lang w:val="zh-CN" w:eastAsia="zh-CN" w:bidi="zh-CN"/>
      </w:rPr>
    </w:lvl>
    <w:lvl w:ilvl="3" w:tplc="3C586C40">
      <w:start w:val="1"/>
      <w:numFmt w:val="decimal"/>
      <w:lvlText w:val="%1.%2.%3.%4"/>
      <w:lvlJc w:val="left"/>
      <w:pPr>
        <w:ind w:left="418" w:hanging="844"/>
        <w:jc w:val="left"/>
      </w:pPr>
      <w:rPr>
        <w:rFonts w:ascii="宋体" w:eastAsia="宋体" w:hAnsi="宋体" w:cs="宋体" w:hint="default"/>
        <w:spacing w:val="-3"/>
        <w:w w:val="100"/>
        <w:sz w:val="19"/>
        <w:szCs w:val="19"/>
        <w:lang w:val="zh-CN" w:eastAsia="zh-CN" w:bidi="zh-CN"/>
      </w:rPr>
    </w:lvl>
    <w:lvl w:ilvl="4" w:tplc="72825F3C">
      <w:numFmt w:val="bullet"/>
      <w:lvlText w:val="•"/>
      <w:lvlJc w:val="left"/>
      <w:pPr>
        <w:ind w:left="3771" w:hanging="844"/>
      </w:pPr>
      <w:rPr>
        <w:rFonts w:hint="default"/>
        <w:lang w:val="zh-CN" w:eastAsia="zh-CN" w:bidi="zh-CN"/>
      </w:rPr>
    </w:lvl>
    <w:lvl w:ilvl="5" w:tplc="D884DFF0">
      <w:numFmt w:val="bullet"/>
      <w:lvlText w:val="•"/>
      <w:lvlJc w:val="left"/>
      <w:pPr>
        <w:ind w:left="4917" w:hanging="844"/>
      </w:pPr>
      <w:rPr>
        <w:rFonts w:hint="default"/>
        <w:lang w:val="zh-CN" w:eastAsia="zh-CN" w:bidi="zh-CN"/>
      </w:rPr>
    </w:lvl>
    <w:lvl w:ilvl="6" w:tplc="91F4A3D4">
      <w:numFmt w:val="bullet"/>
      <w:lvlText w:val="•"/>
      <w:lvlJc w:val="left"/>
      <w:pPr>
        <w:ind w:left="6063" w:hanging="844"/>
      </w:pPr>
      <w:rPr>
        <w:rFonts w:hint="default"/>
        <w:lang w:val="zh-CN" w:eastAsia="zh-CN" w:bidi="zh-CN"/>
      </w:rPr>
    </w:lvl>
    <w:lvl w:ilvl="7" w:tplc="9AC027FE">
      <w:numFmt w:val="bullet"/>
      <w:lvlText w:val="•"/>
      <w:lvlJc w:val="left"/>
      <w:pPr>
        <w:ind w:left="7209" w:hanging="844"/>
      </w:pPr>
      <w:rPr>
        <w:rFonts w:hint="default"/>
        <w:lang w:val="zh-CN" w:eastAsia="zh-CN" w:bidi="zh-CN"/>
      </w:rPr>
    </w:lvl>
    <w:lvl w:ilvl="8" w:tplc="A52059A4">
      <w:numFmt w:val="bullet"/>
      <w:lvlText w:val="•"/>
      <w:lvlJc w:val="left"/>
      <w:pPr>
        <w:ind w:left="8354" w:hanging="844"/>
      </w:pPr>
      <w:rPr>
        <w:rFonts w:hint="default"/>
        <w:lang w:val="zh-CN" w:eastAsia="zh-CN" w:bidi="zh-CN"/>
      </w:rPr>
    </w:lvl>
  </w:abstractNum>
  <w:abstractNum w:abstractNumId="256" w15:restartNumberingAfterBreak="0">
    <w:nsid w:val="2377481C"/>
    <w:multiLevelType w:val="hybridMultilevel"/>
    <w:tmpl w:val="5A922EDA"/>
    <w:lvl w:ilvl="0" w:tplc="E152AD3E">
      <w:start w:val="12"/>
      <w:numFmt w:val="decimal"/>
      <w:lvlText w:val="%1"/>
      <w:lvlJc w:val="left"/>
      <w:pPr>
        <w:ind w:left="838" w:hanging="689"/>
        <w:jc w:val="left"/>
      </w:pPr>
      <w:rPr>
        <w:rFonts w:hint="default"/>
        <w:lang w:val="zh-CN" w:eastAsia="zh-CN" w:bidi="zh-CN"/>
      </w:rPr>
    </w:lvl>
    <w:lvl w:ilvl="1" w:tplc="B2364AB2">
      <w:start w:val="4"/>
      <w:numFmt w:val="decimal"/>
      <w:lvlText w:val="%1.%2"/>
      <w:lvlJc w:val="left"/>
      <w:pPr>
        <w:ind w:left="838" w:hanging="689"/>
        <w:jc w:val="left"/>
      </w:pPr>
      <w:rPr>
        <w:rFonts w:hint="default"/>
        <w:lang w:val="zh-CN" w:eastAsia="zh-CN" w:bidi="zh-CN"/>
      </w:rPr>
    </w:lvl>
    <w:lvl w:ilvl="2" w:tplc="1FB26A82">
      <w:start w:val="1"/>
      <w:numFmt w:val="decimal"/>
      <w:lvlText w:val="%1.%2.%3"/>
      <w:lvlJc w:val="left"/>
      <w:pPr>
        <w:ind w:left="838" w:hanging="689"/>
        <w:jc w:val="left"/>
      </w:pPr>
      <w:rPr>
        <w:rFonts w:ascii="宋体" w:eastAsia="宋体" w:hAnsi="宋体" w:cs="宋体" w:hint="default"/>
        <w:b/>
        <w:bCs/>
        <w:w w:val="99"/>
        <w:sz w:val="21"/>
        <w:szCs w:val="21"/>
        <w:lang w:val="zh-CN" w:eastAsia="zh-CN" w:bidi="zh-CN"/>
      </w:rPr>
    </w:lvl>
    <w:lvl w:ilvl="3" w:tplc="566256D4">
      <w:numFmt w:val="bullet"/>
      <w:lvlText w:val="•"/>
      <w:lvlJc w:val="left"/>
      <w:pPr>
        <w:ind w:left="3781" w:hanging="689"/>
      </w:pPr>
      <w:rPr>
        <w:rFonts w:hint="default"/>
        <w:lang w:val="zh-CN" w:eastAsia="zh-CN" w:bidi="zh-CN"/>
      </w:rPr>
    </w:lvl>
    <w:lvl w:ilvl="4" w:tplc="7FD45668">
      <w:numFmt w:val="bullet"/>
      <w:lvlText w:val="•"/>
      <w:lvlJc w:val="left"/>
      <w:pPr>
        <w:ind w:left="4762" w:hanging="689"/>
      </w:pPr>
      <w:rPr>
        <w:rFonts w:hint="default"/>
        <w:lang w:val="zh-CN" w:eastAsia="zh-CN" w:bidi="zh-CN"/>
      </w:rPr>
    </w:lvl>
    <w:lvl w:ilvl="5" w:tplc="5F42FE94">
      <w:numFmt w:val="bullet"/>
      <w:lvlText w:val="•"/>
      <w:lvlJc w:val="left"/>
      <w:pPr>
        <w:ind w:left="5743" w:hanging="689"/>
      </w:pPr>
      <w:rPr>
        <w:rFonts w:hint="default"/>
        <w:lang w:val="zh-CN" w:eastAsia="zh-CN" w:bidi="zh-CN"/>
      </w:rPr>
    </w:lvl>
    <w:lvl w:ilvl="6" w:tplc="09345328">
      <w:numFmt w:val="bullet"/>
      <w:lvlText w:val="•"/>
      <w:lvlJc w:val="left"/>
      <w:pPr>
        <w:ind w:left="6723" w:hanging="689"/>
      </w:pPr>
      <w:rPr>
        <w:rFonts w:hint="default"/>
        <w:lang w:val="zh-CN" w:eastAsia="zh-CN" w:bidi="zh-CN"/>
      </w:rPr>
    </w:lvl>
    <w:lvl w:ilvl="7" w:tplc="BB3A1C02">
      <w:numFmt w:val="bullet"/>
      <w:lvlText w:val="•"/>
      <w:lvlJc w:val="left"/>
      <w:pPr>
        <w:ind w:left="7704" w:hanging="689"/>
      </w:pPr>
      <w:rPr>
        <w:rFonts w:hint="default"/>
        <w:lang w:val="zh-CN" w:eastAsia="zh-CN" w:bidi="zh-CN"/>
      </w:rPr>
    </w:lvl>
    <w:lvl w:ilvl="8" w:tplc="B96CF692">
      <w:numFmt w:val="bullet"/>
      <w:lvlText w:val="•"/>
      <w:lvlJc w:val="left"/>
      <w:pPr>
        <w:ind w:left="8685" w:hanging="689"/>
      </w:pPr>
      <w:rPr>
        <w:rFonts w:hint="default"/>
        <w:lang w:val="zh-CN" w:eastAsia="zh-CN" w:bidi="zh-CN"/>
      </w:rPr>
    </w:lvl>
  </w:abstractNum>
  <w:abstractNum w:abstractNumId="257" w15:restartNumberingAfterBreak="0">
    <w:nsid w:val="237C0DC7"/>
    <w:multiLevelType w:val="hybridMultilevel"/>
    <w:tmpl w:val="7474F8A8"/>
    <w:lvl w:ilvl="0" w:tplc="0FC69046">
      <w:start w:val="1"/>
      <w:numFmt w:val="decimal"/>
      <w:lvlText w:val="（%1）"/>
      <w:lvlJc w:val="left"/>
      <w:pPr>
        <w:ind w:left="418" w:hanging="532"/>
        <w:jc w:val="left"/>
      </w:pPr>
      <w:rPr>
        <w:rFonts w:ascii="宋体" w:eastAsia="宋体" w:hAnsi="宋体" w:cs="宋体" w:hint="default"/>
        <w:spacing w:val="0"/>
        <w:w w:val="100"/>
        <w:sz w:val="19"/>
        <w:szCs w:val="19"/>
        <w:lang w:val="zh-CN" w:eastAsia="zh-CN" w:bidi="zh-CN"/>
      </w:rPr>
    </w:lvl>
    <w:lvl w:ilvl="1" w:tplc="62EEA07A">
      <w:numFmt w:val="bullet"/>
      <w:lvlText w:val="•"/>
      <w:lvlJc w:val="left"/>
      <w:pPr>
        <w:ind w:left="1442" w:hanging="532"/>
      </w:pPr>
      <w:rPr>
        <w:rFonts w:hint="default"/>
        <w:lang w:val="zh-CN" w:eastAsia="zh-CN" w:bidi="zh-CN"/>
      </w:rPr>
    </w:lvl>
    <w:lvl w:ilvl="2" w:tplc="11F67AA6">
      <w:numFmt w:val="bullet"/>
      <w:lvlText w:val="•"/>
      <w:lvlJc w:val="left"/>
      <w:pPr>
        <w:ind w:left="2465" w:hanging="532"/>
      </w:pPr>
      <w:rPr>
        <w:rFonts w:hint="default"/>
        <w:lang w:val="zh-CN" w:eastAsia="zh-CN" w:bidi="zh-CN"/>
      </w:rPr>
    </w:lvl>
    <w:lvl w:ilvl="3" w:tplc="C34230E6">
      <w:numFmt w:val="bullet"/>
      <w:lvlText w:val="•"/>
      <w:lvlJc w:val="left"/>
      <w:pPr>
        <w:ind w:left="3487" w:hanging="532"/>
      </w:pPr>
      <w:rPr>
        <w:rFonts w:hint="default"/>
        <w:lang w:val="zh-CN" w:eastAsia="zh-CN" w:bidi="zh-CN"/>
      </w:rPr>
    </w:lvl>
    <w:lvl w:ilvl="4" w:tplc="66BCAEC6">
      <w:numFmt w:val="bullet"/>
      <w:lvlText w:val="•"/>
      <w:lvlJc w:val="left"/>
      <w:pPr>
        <w:ind w:left="4510" w:hanging="532"/>
      </w:pPr>
      <w:rPr>
        <w:rFonts w:hint="default"/>
        <w:lang w:val="zh-CN" w:eastAsia="zh-CN" w:bidi="zh-CN"/>
      </w:rPr>
    </w:lvl>
    <w:lvl w:ilvl="5" w:tplc="8178667C">
      <w:numFmt w:val="bullet"/>
      <w:lvlText w:val="•"/>
      <w:lvlJc w:val="left"/>
      <w:pPr>
        <w:ind w:left="5533" w:hanging="532"/>
      </w:pPr>
      <w:rPr>
        <w:rFonts w:hint="default"/>
        <w:lang w:val="zh-CN" w:eastAsia="zh-CN" w:bidi="zh-CN"/>
      </w:rPr>
    </w:lvl>
    <w:lvl w:ilvl="6" w:tplc="FDFA1E16">
      <w:numFmt w:val="bullet"/>
      <w:lvlText w:val="•"/>
      <w:lvlJc w:val="left"/>
      <w:pPr>
        <w:ind w:left="6555" w:hanging="532"/>
      </w:pPr>
      <w:rPr>
        <w:rFonts w:hint="default"/>
        <w:lang w:val="zh-CN" w:eastAsia="zh-CN" w:bidi="zh-CN"/>
      </w:rPr>
    </w:lvl>
    <w:lvl w:ilvl="7" w:tplc="A7FACF1A">
      <w:numFmt w:val="bullet"/>
      <w:lvlText w:val="•"/>
      <w:lvlJc w:val="left"/>
      <w:pPr>
        <w:ind w:left="7578" w:hanging="532"/>
      </w:pPr>
      <w:rPr>
        <w:rFonts w:hint="default"/>
        <w:lang w:val="zh-CN" w:eastAsia="zh-CN" w:bidi="zh-CN"/>
      </w:rPr>
    </w:lvl>
    <w:lvl w:ilvl="8" w:tplc="D258206A">
      <w:numFmt w:val="bullet"/>
      <w:lvlText w:val="•"/>
      <w:lvlJc w:val="left"/>
      <w:pPr>
        <w:ind w:left="8601" w:hanging="532"/>
      </w:pPr>
      <w:rPr>
        <w:rFonts w:hint="default"/>
        <w:lang w:val="zh-CN" w:eastAsia="zh-CN" w:bidi="zh-CN"/>
      </w:rPr>
    </w:lvl>
  </w:abstractNum>
  <w:abstractNum w:abstractNumId="258" w15:restartNumberingAfterBreak="0">
    <w:nsid w:val="239835A5"/>
    <w:multiLevelType w:val="hybridMultilevel"/>
    <w:tmpl w:val="5882C4A8"/>
    <w:lvl w:ilvl="0" w:tplc="E7BCB842">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5AD05DE8">
      <w:numFmt w:val="bullet"/>
      <w:lvlText w:val="•"/>
      <w:lvlJc w:val="left"/>
      <w:pPr>
        <w:ind w:left="1442" w:hanging="529"/>
      </w:pPr>
      <w:rPr>
        <w:rFonts w:hint="default"/>
        <w:lang w:val="zh-CN" w:eastAsia="zh-CN" w:bidi="zh-CN"/>
      </w:rPr>
    </w:lvl>
    <w:lvl w:ilvl="2" w:tplc="233C33A2">
      <w:numFmt w:val="bullet"/>
      <w:lvlText w:val="•"/>
      <w:lvlJc w:val="left"/>
      <w:pPr>
        <w:ind w:left="2465" w:hanging="529"/>
      </w:pPr>
      <w:rPr>
        <w:rFonts w:hint="default"/>
        <w:lang w:val="zh-CN" w:eastAsia="zh-CN" w:bidi="zh-CN"/>
      </w:rPr>
    </w:lvl>
    <w:lvl w:ilvl="3" w:tplc="298C6C52">
      <w:numFmt w:val="bullet"/>
      <w:lvlText w:val="•"/>
      <w:lvlJc w:val="left"/>
      <w:pPr>
        <w:ind w:left="3487" w:hanging="529"/>
      </w:pPr>
      <w:rPr>
        <w:rFonts w:hint="default"/>
        <w:lang w:val="zh-CN" w:eastAsia="zh-CN" w:bidi="zh-CN"/>
      </w:rPr>
    </w:lvl>
    <w:lvl w:ilvl="4" w:tplc="F01AB7CA">
      <w:numFmt w:val="bullet"/>
      <w:lvlText w:val="•"/>
      <w:lvlJc w:val="left"/>
      <w:pPr>
        <w:ind w:left="4510" w:hanging="529"/>
      </w:pPr>
      <w:rPr>
        <w:rFonts w:hint="default"/>
        <w:lang w:val="zh-CN" w:eastAsia="zh-CN" w:bidi="zh-CN"/>
      </w:rPr>
    </w:lvl>
    <w:lvl w:ilvl="5" w:tplc="71509174">
      <w:numFmt w:val="bullet"/>
      <w:lvlText w:val="•"/>
      <w:lvlJc w:val="left"/>
      <w:pPr>
        <w:ind w:left="5533" w:hanging="529"/>
      </w:pPr>
      <w:rPr>
        <w:rFonts w:hint="default"/>
        <w:lang w:val="zh-CN" w:eastAsia="zh-CN" w:bidi="zh-CN"/>
      </w:rPr>
    </w:lvl>
    <w:lvl w:ilvl="6" w:tplc="79DA289E">
      <w:numFmt w:val="bullet"/>
      <w:lvlText w:val="•"/>
      <w:lvlJc w:val="left"/>
      <w:pPr>
        <w:ind w:left="6555" w:hanging="529"/>
      </w:pPr>
      <w:rPr>
        <w:rFonts w:hint="default"/>
        <w:lang w:val="zh-CN" w:eastAsia="zh-CN" w:bidi="zh-CN"/>
      </w:rPr>
    </w:lvl>
    <w:lvl w:ilvl="7" w:tplc="9E04853E">
      <w:numFmt w:val="bullet"/>
      <w:lvlText w:val="•"/>
      <w:lvlJc w:val="left"/>
      <w:pPr>
        <w:ind w:left="7578" w:hanging="529"/>
      </w:pPr>
      <w:rPr>
        <w:rFonts w:hint="default"/>
        <w:lang w:val="zh-CN" w:eastAsia="zh-CN" w:bidi="zh-CN"/>
      </w:rPr>
    </w:lvl>
    <w:lvl w:ilvl="8" w:tplc="20FCD70A">
      <w:numFmt w:val="bullet"/>
      <w:lvlText w:val="•"/>
      <w:lvlJc w:val="left"/>
      <w:pPr>
        <w:ind w:left="8601" w:hanging="529"/>
      </w:pPr>
      <w:rPr>
        <w:rFonts w:hint="default"/>
        <w:lang w:val="zh-CN" w:eastAsia="zh-CN" w:bidi="zh-CN"/>
      </w:rPr>
    </w:lvl>
  </w:abstractNum>
  <w:abstractNum w:abstractNumId="259" w15:restartNumberingAfterBreak="0">
    <w:nsid w:val="23AC46A5"/>
    <w:multiLevelType w:val="hybridMultilevel"/>
    <w:tmpl w:val="D016759A"/>
    <w:lvl w:ilvl="0" w:tplc="12AE0CC6">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8E2213A8">
      <w:numFmt w:val="bullet"/>
      <w:lvlText w:val="•"/>
      <w:lvlJc w:val="left"/>
      <w:pPr>
        <w:ind w:left="1442" w:hanging="529"/>
      </w:pPr>
      <w:rPr>
        <w:rFonts w:hint="default"/>
        <w:lang w:val="zh-CN" w:eastAsia="zh-CN" w:bidi="zh-CN"/>
      </w:rPr>
    </w:lvl>
    <w:lvl w:ilvl="2" w:tplc="9A5EB88C">
      <w:numFmt w:val="bullet"/>
      <w:lvlText w:val="•"/>
      <w:lvlJc w:val="left"/>
      <w:pPr>
        <w:ind w:left="2465" w:hanging="529"/>
      </w:pPr>
      <w:rPr>
        <w:rFonts w:hint="default"/>
        <w:lang w:val="zh-CN" w:eastAsia="zh-CN" w:bidi="zh-CN"/>
      </w:rPr>
    </w:lvl>
    <w:lvl w:ilvl="3" w:tplc="43A2FF16">
      <w:numFmt w:val="bullet"/>
      <w:lvlText w:val="•"/>
      <w:lvlJc w:val="left"/>
      <w:pPr>
        <w:ind w:left="3487" w:hanging="529"/>
      </w:pPr>
      <w:rPr>
        <w:rFonts w:hint="default"/>
        <w:lang w:val="zh-CN" w:eastAsia="zh-CN" w:bidi="zh-CN"/>
      </w:rPr>
    </w:lvl>
    <w:lvl w:ilvl="4" w:tplc="75141D6C">
      <w:numFmt w:val="bullet"/>
      <w:lvlText w:val="•"/>
      <w:lvlJc w:val="left"/>
      <w:pPr>
        <w:ind w:left="4510" w:hanging="529"/>
      </w:pPr>
      <w:rPr>
        <w:rFonts w:hint="default"/>
        <w:lang w:val="zh-CN" w:eastAsia="zh-CN" w:bidi="zh-CN"/>
      </w:rPr>
    </w:lvl>
    <w:lvl w:ilvl="5" w:tplc="35A45012">
      <w:numFmt w:val="bullet"/>
      <w:lvlText w:val="•"/>
      <w:lvlJc w:val="left"/>
      <w:pPr>
        <w:ind w:left="5533" w:hanging="529"/>
      </w:pPr>
      <w:rPr>
        <w:rFonts w:hint="default"/>
        <w:lang w:val="zh-CN" w:eastAsia="zh-CN" w:bidi="zh-CN"/>
      </w:rPr>
    </w:lvl>
    <w:lvl w:ilvl="6" w:tplc="46B4DC1E">
      <w:numFmt w:val="bullet"/>
      <w:lvlText w:val="•"/>
      <w:lvlJc w:val="left"/>
      <w:pPr>
        <w:ind w:left="6555" w:hanging="529"/>
      </w:pPr>
      <w:rPr>
        <w:rFonts w:hint="default"/>
        <w:lang w:val="zh-CN" w:eastAsia="zh-CN" w:bidi="zh-CN"/>
      </w:rPr>
    </w:lvl>
    <w:lvl w:ilvl="7" w:tplc="E8A2321C">
      <w:numFmt w:val="bullet"/>
      <w:lvlText w:val="•"/>
      <w:lvlJc w:val="left"/>
      <w:pPr>
        <w:ind w:left="7578" w:hanging="529"/>
      </w:pPr>
      <w:rPr>
        <w:rFonts w:hint="default"/>
        <w:lang w:val="zh-CN" w:eastAsia="zh-CN" w:bidi="zh-CN"/>
      </w:rPr>
    </w:lvl>
    <w:lvl w:ilvl="8" w:tplc="E918EAFE">
      <w:numFmt w:val="bullet"/>
      <w:lvlText w:val="•"/>
      <w:lvlJc w:val="left"/>
      <w:pPr>
        <w:ind w:left="8601" w:hanging="529"/>
      </w:pPr>
      <w:rPr>
        <w:rFonts w:hint="default"/>
        <w:lang w:val="zh-CN" w:eastAsia="zh-CN" w:bidi="zh-CN"/>
      </w:rPr>
    </w:lvl>
  </w:abstractNum>
  <w:abstractNum w:abstractNumId="260" w15:restartNumberingAfterBreak="0">
    <w:nsid w:val="23C44EF2"/>
    <w:multiLevelType w:val="hybridMultilevel"/>
    <w:tmpl w:val="C83AEB50"/>
    <w:lvl w:ilvl="0" w:tplc="FDAEA9A2">
      <w:start w:val="5"/>
      <w:numFmt w:val="decimal"/>
      <w:lvlText w:val="%1"/>
      <w:lvlJc w:val="left"/>
      <w:pPr>
        <w:ind w:left="1370" w:hanging="531"/>
        <w:jc w:val="left"/>
      </w:pPr>
      <w:rPr>
        <w:rFonts w:hint="default"/>
        <w:lang w:val="zh-CN" w:eastAsia="zh-CN" w:bidi="zh-CN"/>
      </w:rPr>
    </w:lvl>
    <w:lvl w:ilvl="1" w:tplc="3AA427C0">
      <w:start w:val="1"/>
      <w:numFmt w:val="decimal"/>
      <w:lvlText w:val="%1.%2"/>
      <w:lvlJc w:val="left"/>
      <w:pPr>
        <w:ind w:left="1370" w:hanging="531"/>
        <w:jc w:val="left"/>
      </w:pPr>
      <w:rPr>
        <w:rFonts w:hint="default"/>
        <w:lang w:val="zh-CN" w:eastAsia="zh-CN" w:bidi="zh-CN"/>
      </w:rPr>
    </w:lvl>
    <w:lvl w:ilvl="2" w:tplc="45C0353A">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7FDCA338">
      <w:numFmt w:val="bullet"/>
      <w:lvlText w:val="•"/>
      <w:lvlJc w:val="left"/>
      <w:pPr>
        <w:ind w:left="4159" w:hanging="531"/>
      </w:pPr>
      <w:rPr>
        <w:rFonts w:hint="default"/>
        <w:lang w:val="zh-CN" w:eastAsia="zh-CN" w:bidi="zh-CN"/>
      </w:rPr>
    </w:lvl>
    <w:lvl w:ilvl="4" w:tplc="069012FA">
      <w:numFmt w:val="bullet"/>
      <w:lvlText w:val="•"/>
      <w:lvlJc w:val="left"/>
      <w:pPr>
        <w:ind w:left="5086" w:hanging="531"/>
      </w:pPr>
      <w:rPr>
        <w:rFonts w:hint="default"/>
        <w:lang w:val="zh-CN" w:eastAsia="zh-CN" w:bidi="zh-CN"/>
      </w:rPr>
    </w:lvl>
    <w:lvl w:ilvl="5" w:tplc="480A14DE">
      <w:numFmt w:val="bullet"/>
      <w:lvlText w:val="•"/>
      <w:lvlJc w:val="left"/>
      <w:pPr>
        <w:ind w:left="6013" w:hanging="531"/>
      </w:pPr>
      <w:rPr>
        <w:rFonts w:hint="default"/>
        <w:lang w:val="zh-CN" w:eastAsia="zh-CN" w:bidi="zh-CN"/>
      </w:rPr>
    </w:lvl>
    <w:lvl w:ilvl="6" w:tplc="FCA04372">
      <w:numFmt w:val="bullet"/>
      <w:lvlText w:val="•"/>
      <w:lvlJc w:val="left"/>
      <w:pPr>
        <w:ind w:left="6939" w:hanging="531"/>
      </w:pPr>
      <w:rPr>
        <w:rFonts w:hint="default"/>
        <w:lang w:val="zh-CN" w:eastAsia="zh-CN" w:bidi="zh-CN"/>
      </w:rPr>
    </w:lvl>
    <w:lvl w:ilvl="7" w:tplc="C8EA5B42">
      <w:numFmt w:val="bullet"/>
      <w:lvlText w:val="•"/>
      <w:lvlJc w:val="left"/>
      <w:pPr>
        <w:ind w:left="7866" w:hanging="531"/>
      </w:pPr>
      <w:rPr>
        <w:rFonts w:hint="default"/>
        <w:lang w:val="zh-CN" w:eastAsia="zh-CN" w:bidi="zh-CN"/>
      </w:rPr>
    </w:lvl>
    <w:lvl w:ilvl="8" w:tplc="48C2C2D0">
      <w:numFmt w:val="bullet"/>
      <w:lvlText w:val="•"/>
      <w:lvlJc w:val="left"/>
      <w:pPr>
        <w:ind w:left="8793" w:hanging="531"/>
      </w:pPr>
      <w:rPr>
        <w:rFonts w:hint="default"/>
        <w:lang w:val="zh-CN" w:eastAsia="zh-CN" w:bidi="zh-CN"/>
      </w:rPr>
    </w:lvl>
  </w:abstractNum>
  <w:abstractNum w:abstractNumId="261" w15:restartNumberingAfterBreak="0">
    <w:nsid w:val="23F80AB0"/>
    <w:multiLevelType w:val="hybridMultilevel"/>
    <w:tmpl w:val="43CC599E"/>
    <w:lvl w:ilvl="0" w:tplc="665C5D52">
      <w:start w:val="3"/>
      <w:numFmt w:val="decimal"/>
      <w:lvlText w:val="%1"/>
      <w:lvlJc w:val="left"/>
      <w:pPr>
        <w:ind w:left="1423" w:hanging="584"/>
        <w:jc w:val="left"/>
      </w:pPr>
      <w:rPr>
        <w:rFonts w:hint="default"/>
        <w:lang w:val="zh-CN" w:eastAsia="zh-CN" w:bidi="zh-CN"/>
      </w:rPr>
    </w:lvl>
    <w:lvl w:ilvl="1" w:tplc="8A1E0372">
      <w:start w:val="4"/>
      <w:numFmt w:val="decimal"/>
      <w:lvlText w:val="%1.%2"/>
      <w:lvlJc w:val="left"/>
      <w:pPr>
        <w:ind w:left="1423" w:hanging="584"/>
        <w:jc w:val="left"/>
      </w:pPr>
      <w:rPr>
        <w:rFonts w:hint="default"/>
        <w:lang w:val="zh-CN" w:eastAsia="zh-CN" w:bidi="zh-CN"/>
      </w:rPr>
    </w:lvl>
    <w:lvl w:ilvl="2" w:tplc="949EE4BE">
      <w:start w:val="1"/>
      <w:numFmt w:val="decimal"/>
      <w:lvlText w:val="%1.%2.%3"/>
      <w:lvlJc w:val="left"/>
      <w:pPr>
        <w:ind w:left="1423" w:hanging="584"/>
        <w:jc w:val="left"/>
      </w:pPr>
      <w:rPr>
        <w:rFonts w:ascii="宋体" w:eastAsia="宋体" w:hAnsi="宋体" w:cs="宋体" w:hint="default"/>
        <w:b/>
        <w:bCs/>
        <w:w w:val="99"/>
        <w:sz w:val="21"/>
        <w:szCs w:val="21"/>
        <w:lang w:val="zh-CN" w:eastAsia="zh-CN" w:bidi="zh-CN"/>
      </w:rPr>
    </w:lvl>
    <w:lvl w:ilvl="3" w:tplc="FA32E214">
      <w:numFmt w:val="bullet"/>
      <w:lvlText w:val="•"/>
      <w:lvlJc w:val="left"/>
      <w:pPr>
        <w:ind w:left="4187" w:hanging="584"/>
      </w:pPr>
      <w:rPr>
        <w:rFonts w:hint="default"/>
        <w:lang w:val="zh-CN" w:eastAsia="zh-CN" w:bidi="zh-CN"/>
      </w:rPr>
    </w:lvl>
    <w:lvl w:ilvl="4" w:tplc="A7D4DDD2">
      <w:numFmt w:val="bullet"/>
      <w:lvlText w:val="•"/>
      <w:lvlJc w:val="left"/>
      <w:pPr>
        <w:ind w:left="5110" w:hanging="584"/>
      </w:pPr>
      <w:rPr>
        <w:rFonts w:hint="default"/>
        <w:lang w:val="zh-CN" w:eastAsia="zh-CN" w:bidi="zh-CN"/>
      </w:rPr>
    </w:lvl>
    <w:lvl w:ilvl="5" w:tplc="63F2B03E">
      <w:numFmt w:val="bullet"/>
      <w:lvlText w:val="•"/>
      <w:lvlJc w:val="left"/>
      <w:pPr>
        <w:ind w:left="6033" w:hanging="584"/>
      </w:pPr>
      <w:rPr>
        <w:rFonts w:hint="default"/>
        <w:lang w:val="zh-CN" w:eastAsia="zh-CN" w:bidi="zh-CN"/>
      </w:rPr>
    </w:lvl>
    <w:lvl w:ilvl="6" w:tplc="C5DC429C">
      <w:numFmt w:val="bullet"/>
      <w:lvlText w:val="•"/>
      <w:lvlJc w:val="left"/>
      <w:pPr>
        <w:ind w:left="6955" w:hanging="584"/>
      </w:pPr>
      <w:rPr>
        <w:rFonts w:hint="default"/>
        <w:lang w:val="zh-CN" w:eastAsia="zh-CN" w:bidi="zh-CN"/>
      </w:rPr>
    </w:lvl>
    <w:lvl w:ilvl="7" w:tplc="EA6E4658">
      <w:numFmt w:val="bullet"/>
      <w:lvlText w:val="•"/>
      <w:lvlJc w:val="left"/>
      <w:pPr>
        <w:ind w:left="7878" w:hanging="584"/>
      </w:pPr>
      <w:rPr>
        <w:rFonts w:hint="default"/>
        <w:lang w:val="zh-CN" w:eastAsia="zh-CN" w:bidi="zh-CN"/>
      </w:rPr>
    </w:lvl>
    <w:lvl w:ilvl="8" w:tplc="07D8658A">
      <w:numFmt w:val="bullet"/>
      <w:lvlText w:val="•"/>
      <w:lvlJc w:val="left"/>
      <w:pPr>
        <w:ind w:left="8801" w:hanging="584"/>
      </w:pPr>
      <w:rPr>
        <w:rFonts w:hint="default"/>
        <w:lang w:val="zh-CN" w:eastAsia="zh-CN" w:bidi="zh-CN"/>
      </w:rPr>
    </w:lvl>
  </w:abstractNum>
  <w:abstractNum w:abstractNumId="262" w15:restartNumberingAfterBreak="0">
    <w:nsid w:val="23FC36B3"/>
    <w:multiLevelType w:val="hybridMultilevel"/>
    <w:tmpl w:val="3A0C3C0E"/>
    <w:lvl w:ilvl="0" w:tplc="53263602">
      <w:start w:val="1"/>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4B508938">
      <w:numFmt w:val="bullet"/>
      <w:lvlText w:val="•"/>
      <w:lvlJc w:val="left"/>
      <w:pPr>
        <w:ind w:left="2018" w:hanging="213"/>
      </w:pPr>
      <w:rPr>
        <w:rFonts w:hint="default"/>
        <w:lang w:val="zh-CN" w:eastAsia="zh-CN" w:bidi="zh-CN"/>
      </w:rPr>
    </w:lvl>
    <w:lvl w:ilvl="2" w:tplc="ACAA9C22">
      <w:numFmt w:val="bullet"/>
      <w:lvlText w:val="•"/>
      <w:lvlJc w:val="left"/>
      <w:pPr>
        <w:ind w:left="2977" w:hanging="213"/>
      </w:pPr>
      <w:rPr>
        <w:rFonts w:hint="default"/>
        <w:lang w:val="zh-CN" w:eastAsia="zh-CN" w:bidi="zh-CN"/>
      </w:rPr>
    </w:lvl>
    <w:lvl w:ilvl="3" w:tplc="45367D96">
      <w:numFmt w:val="bullet"/>
      <w:lvlText w:val="•"/>
      <w:lvlJc w:val="left"/>
      <w:pPr>
        <w:ind w:left="3935" w:hanging="213"/>
      </w:pPr>
      <w:rPr>
        <w:rFonts w:hint="default"/>
        <w:lang w:val="zh-CN" w:eastAsia="zh-CN" w:bidi="zh-CN"/>
      </w:rPr>
    </w:lvl>
    <w:lvl w:ilvl="4" w:tplc="790C2246">
      <w:numFmt w:val="bullet"/>
      <w:lvlText w:val="•"/>
      <w:lvlJc w:val="left"/>
      <w:pPr>
        <w:ind w:left="4894" w:hanging="213"/>
      </w:pPr>
      <w:rPr>
        <w:rFonts w:hint="default"/>
        <w:lang w:val="zh-CN" w:eastAsia="zh-CN" w:bidi="zh-CN"/>
      </w:rPr>
    </w:lvl>
    <w:lvl w:ilvl="5" w:tplc="38CC4198">
      <w:numFmt w:val="bullet"/>
      <w:lvlText w:val="•"/>
      <w:lvlJc w:val="left"/>
      <w:pPr>
        <w:ind w:left="5853" w:hanging="213"/>
      </w:pPr>
      <w:rPr>
        <w:rFonts w:hint="default"/>
        <w:lang w:val="zh-CN" w:eastAsia="zh-CN" w:bidi="zh-CN"/>
      </w:rPr>
    </w:lvl>
    <w:lvl w:ilvl="6" w:tplc="F4700EC6">
      <w:numFmt w:val="bullet"/>
      <w:lvlText w:val="•"/>
      <w:lvlJc w:val="left"/>
      <w:pPr>
        <w:ind w:left="6811" w:hanging="213"/>
      </w:pPr>
      <w:rPr>
        <w:rFonts w:hint="default"/>
        <w:lang w:val="zh-CN" w:eastAsia="zh-CN" w:bidi="zh-CN"/>
      </w:rPr>
    </w:lvl>
    <w:lvl w:ilvl="7" w:tplc="1AC2FDAC">
      <w:numFmt w:val="bullet"/>
      <w:lvlText w:val="•"/>
      <w:lvlJc w:val="left"/>
      <w:pPr>
        <w:ind w:left="7770" w:hanging="213"/>
      </w:pPr>
      <w:rPr>
        <w:rFonts w:hint="default"/>
        <w:lang w:val="zh-CN" w:eastAsia="zh-CN" w:bidi="zh-CN"/>
      </w:rPr>
    </w:lvl>
    <w:lvl w:ilvl="8" w:tplc="49A6B940">
      <w:numFmt w:val="bullet"/>
      <w:lvlText w:val="•"/>
      <w:lvlJc w:val="left"/>
      <w:pPr>
        <w:ind w:left="8729" w:hanging="213"/>
      </w:pPr>
      <w:rPr>
        <w:rFonts w:hint="default"/>
        <w:lang w:val="zh-CN" w:eastAsia="zh-CN" w:bidi="zh-CN"/>
      </w:rPr>
    </w:lvl>
  </w:abstractNum>
  <w:abstractNum w:abstractNumId="263" w15:restartNumberingAfterBreak="0">
    <w:nsid w:val="24576973"/>
    <w:multiLevelType w:val="hybridMultilevel"/>
    <w:tmpl w:val="71509DA6"/>
    <w:lvl w:ilvl="0" w:tplc="540486E8">
      <w:start w:val="6"/>
      <w:numFmt w:val="decimal"/>
      <w:lvlText w:val="%1"/>
      <w:lvlJc w:val="left"/>
      <w:pPr>
        <w:ind w:left="418" w:hanging="950"/>
        <w:jc w:val="left"/>
      </w:pPr>
      <w:rPr>
        <w:rFonts w:hint="default"/>
        <w:lang w:val="zh-CN" w:eastAsia="zh-CN" w:bidi="zh-CN"/>
      </w:rPr>
    </w:lvl>
    <w:lvl w:ilvl="1" w:tplc="E0640FE8">
      <w:start w:val="8"/>
      <w:numFmt w:val="decimal"/>
      <w:lvlText w:val="%1.%2"/>
      <w:lvlJc w:val="left"/>
      <w:pPr>
        <w:ind w:left="418" w:hanging="950"/>
        <w:jc w:val="left"/>
      </w:pPr>
      <w:rPr>
        <w:rFonts w:hint="default"/>
        <w:lang w:val="zh-CN" w:eastAsia="zh-CN" w:bidi="zh-CN"/>
      </w:rPr>
    </w:lvl>
    <w:lvl w:ilvl="2" w:tplc="BA74AA3E">
      <w:start w:val="2"/>
      <w:numFmt w:val="decimal"/>
      <w:lvlText w:val="%1.%2.%3"/>
      <w:lvlJc w:val="left"/>
      <w:pPr>
        <w:ind w:left="418" w:hanging="950"/>
        <w:jc w:val="left"/>
      </w:pPr>
      <w:rPr>
        <w:rFonts w:hint="default"/>
        <w:lang w:val="zh-CN" w:eastAsia="zh-CN" w:bidi="zh-CN"/>
      </w:rPr>
    </w:lvl>
    <w:lvl w:ilvl="3" w:tplc="A58EAC72">
      <w:start w:val="2"/>
      <w:numFmt w:val="decimal"/>
      <w:lvlText w:val="%1.%2.%3.%4"/>
      <w:lvlJc w:val="left"/>
      <w:pPr>
        <w:ind w:left="418" w:hanging="950"/>
        <w:jc w:val="left"/>
      </w:pPr>
      <w:rPr>
        <w:rFonts w:hint="default"/>
        <w:lang w:val="zh-CN" w:eastAsia="zh-CN" w:bidi="zh-CN"/>
      </w:rPr>
    </w:lvl>
    <w:lvl w:ilvl="4" w:tplc="232EF302">
      <w:start w:val="1"/>
      <w:numFmt w:val="decimal"/>
      <w:lvlText w:val="%1.%2.%3.%4.%5"/>
      <w:lvlJc w:val="left"/>
      <w:pPr>
        <w:ind w:left="418" w:hanging="950"/>
        <w:jc w:val="left"/>
      </w:pPr>
      <w:rPr>
        <w:rFonts w:ascii="宋体" w:eastAsia="宋体" w:hAnsi="宋体" w:cs="宋体" w:hint="default"/>
        <w:spacing w:val="-3"/>
        <w:w w:val="100"/>
        <w:position w:val="1"/>
        <w:sz w:val="19"/>
        <w:szCs w:val="19"/>
        <w:lang w:val="zh-CN" w:eastAsia="zh-CN" w:bidi="zh-CN"/>
      </w:rPr>
    </w:lvl>
    <w:lvl w:ilvl="5" w:tplc="5114C436">
      <w:numFmt w:val="bullet"/>
      <w:lvlText w:val="•"/>
      <w:lvlJc w:val="left"/>
      <w:pPr>
        <w:ind w:left="5533" w:hanging="950"/>
      </w:pPr>
      <w:rPr>
        <w:rFonts w:hint="default"/>
        <w:lang w:val="zh-CN" w:eastAsia="zh-CN" w:bidi="zh-CN"/>
      </w:rPr>
    </w:lvl>
    <w:lvl w:ilvl="6" w:tplc="DB88B2F2">
      <w:numFmt w:val="bullet"/>
      <w:lvlText w:val="•"/>
      <w:lvlJc w:val="left"/>
      <w:pPr>
        <w:ind w:left="6555" w:hanging="950"/>
      </w:pPr>
      <w:rPr>
        <w:rFonts w:hint="default"/>
        <w:lang w:val="zh-CN" w:eastAsia="zh-CN" w:bidi="zh-CN"/>
      </w:rPr>
    </w:lvl>
    <w:lvl w:ilvl="7" w:tplc="86B422A2">
      <w:numFmt w:val="bullet"/>
      <w:lvlText w:val="•"/>
      <w:lvlJc w:val="left"/>
      <w:pPr>
        <w:ind w:left="7578" w:hanging="950"/>
      </w:pPr>
      <w:rPr>
        <w:rFonts w:hint="default"/>
        <w:lang w:val="zh-CN" w:eastAsia="zh-CN" w:bidi="zh-CN"/>
      </w:rPr>
    </w:lvl>
    <w:lvl w:ilvl="8" w:tplc="1326E7D8">
      <w:numFmt w:val="bullet"/>
      <w:lvlText w:val="•"/>
      <w:lvlJc w:val="left"/>
      <w:pPr>
        <w:ind w:left="8601" w:hanging="950"/>
      </w:pPr>
      <w:rPr>
        <w:rFonts w:hint="default"/>
        <w:lang w:val="zh-CN" w:eastAsia="zh-CN" w:bidi="zh-CN"/>
      </w:rPr>
    </w:lvl>
  </w:abstractNum>
  <w:abstractNum w:abstractNumId="264" w15:restartNumberingAfterBreak="0">
    <w:nsid w:val="249D4422"/>
    <w:multiLevelType w:val="hybridMultilevel"/>
    <w:tmpl w:val="30C0B70E"/>
    <w:lvl w:ilvl="0" w:tplc="165AD4BC">
      <w:start w:val="6"/>
      <w:numFmt w:val="decimal"/>
      <w:lvlText w:val="%1"/>
      <w:lvlJc w:val="left"/>
      <w:pPr>
        <w:ind w:left="1158" w:hanging="318"/>
        <w:jc w:val="left"/>
      </w:pPr>
      <w:rPr>
        <w:rFonts w:hint="default"/>
        <w:lang w:val="zh-CN" w:eastAsia="zh-CN" w:bidi="zh-CN"/>
      </w:rPr>
    </w:lvl>
    <w:lvl w:ilvl="1" w:tplc="E8E2EA0C">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624C737A">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A53A4256">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3754EE32">
      <w:start w:val="1"/>
      <w:numFmt w:val="decimal"/>
      <w:lvlText w:val="%1.%2.%3.%4.%5"/>
      <w:lvlJc w:val="left"/>
      <w:pPr>
        <w:ind w:left="1787" w:hanging="950"/>
        <w:jc w:val="left"/>
      </w:pPr>
      <w:rPr>
        <w:rFonts w:ascii="宋体" w:eastAsia="宋体" w:hAnsi="宋体" w:cs="宋体" w:hint="default"/>
        <w:spacing w:val="-3"/>
        <w:w w:val="100"/>
        <w:sz w:val="19"/>
        <w:szCs w:val="19"/>
        <w:lang w:val="zh-CN" w:eastAsia="zh-CN" w:bidi="zh-CN"/>
      </w:rPr>
    </w:lvl>
    <w:lvl w:ilvl="5" w:tplc="AB926ED8">
      <w:numFmt w:val="bullet"/>
      <w:lvlText w:val="•"/>
      <w:lvlJc w:val="left"/>
      <w:pPr>
        <w:ind w:left="3257" w:hanging="950"/>
      </w:pPr>
      <w:rPr>
        <w:rFonts w:hint="default"/>
        <w:lang w:val="zh-CN" w:eastAsia="zh-CN" w:bidi="zh-CN"/>
      </w:rPr>
    </w:lvl>
    <w:lvl w:ilvl="6" w:tplc="D862B132">
      <w:numFmt w:val="bullet"/>
      <w:lvlText w:val="•"/>
      <w:lvlJc w:val="left"/>
      <w:pPr>
        <w:ind w:left="4735" w:hanging="950"/>
      </w:pPr>
      <w:rPr>
        <w:rFonts w:hint="default"/>
        <w:lang w:val="zh-CN" w:eastAsia="zh-CN" w:bidi="zh-CN"/>
      </w:rPr>
    </w:lvl>
    <w:lvl w:ilvl="7" w:tplc="49DCDAC4">
      <w:numFmt w:val="bullet"/>
      <w:lvlText w:val="•"/>
      <w:lvlJc w:val="left"/>
      <w:pPr>
        <w:ind w:left="6213" w:hanging="950"/>
      </w:pPr>
      <w:rPr>
        <w:rFonts w:hint="default"/>
        <w:lang w:val="zh-CN" w:eastAsia="zh-CN" w:bidi="zh-CN"/>
      </w:rPr>
    </w:lvl>
    <w:lvl w:ilvl="8" w:tplc="3BEEAD9E">
      <w:numFmt w:val="bullet"/>
      <w:lvlText w:val="•"/>
      <w:lvlJc w:val="left"/>
      <w:pPr>
        <w:ind w:left="7690" w:hanging="950"/>
      </w:pPr>
      <w:rPr>
        <w:rFonts w:hint="default"/>
        <w:lang w:val="zh-CN" w:eastAsia="zh-CN" w:bidi="zh-CN"/>
      </w:rPr>
    </w:lvl>
  </w:abstractNum>
  <w:abstractNum w:abstractNumId="265" w15:restartNumberingAfterBreak="0">
    <w:nsid w:val="24B30DDD"/>
    <w:multiLevelType w:val="hybridMultilevel"/>
    <w:tmpl w:val="FB268C3A"/>
    <w:lvl w:ilvl="0" w:tplc="F5CE9888">
      <w:start w:val="4"/>
      <w:numFmt w:val="lowerLetter"/>
      <w:lvlText w:val="%1)"/>
      <w:lvlJc w:val="left"/>
      <w:pPr>
        <w:ind w:left="1050" w:hanging="213"/>
        <w:jc w:val="left"/>
      </w:pPr>
      <w:rPr>
        <w:rFonts w:ascii="宋体" w:eastAsia="宋体" w:hAnsi="宋体" w:cs="宋体" w:hint="default"/>
        <w:spacing w:val="-55"/>
        <w:w w:val="100"/>
        <w:sz w:val="19"/>
        <w:szCs w:val="19"/>
        <w:lang w:val="zh-CN" w:eastAsia="zh-CN" w:bidi="zh-CN"/>
      </w:rPr>
    </w:lvl>
    <w:lvl w:ilvl="1" w:tplc="4288D78E">
      <w:numFmt w:val="bullet"/>
      <w:lvlText w:val="•"/>
      <w:lvlJc w:val="left"/>
      <w:pPr>
        <w:ind w:left="2018" w:hanging="213"/>
      </w:pPr>
      <w:rPr>
        <w:rFonts w:hint="default"/>
        <w:lang w:val="zh-CN" w:eastAsia="zh-CN" w:bidi="zh-CN"/>
      </w:rPr>
    </w:lvl>
    <w:lvl w:ilvl="2" w:tplc="1BB8BF8A">
      <w:numFmt w:val="bullet"/>
      <w:lvlText w:val="•"/>
      <w:lvlJc w:val="left"/>
      <w:pPr>
        <w:ind w:left="2977" w:hanging="213"/>
      </w:pPr>
      <w:rPr>
        <w:rFonts w:hint="default"/>
        <w:lang w:val="zh-CN" w:eastAsia="zh-CN" w:bidi="zh-CN"/>
      </w:rPr>
    </w:lvl>
    <w:lvl w:ilvl="3" w:tplc="C05C22C6">
      <w:numFmt w:val="bullet"/>
      <w:lvlText w:val="•"/>
      <w:lvlJc w:val="left"/>
      <w:pPr>
        <w:ind w:left="3935" w:hanging="213"/>
      </w:pPr>
      <w:rPr>
        <w:rFonts w:hint="default"/>
        <w:lang w:val="zh-CN" w:eastAsia="zh-CN" w:bidi="zh-CN"/>
      </w:rPr>
    </w:lvl>
    <w:lvl w:ilvl="4" w:tplc="82E40C08">
      <w:numFmt w:val="bullet"/>
      <w:lvlText w:val="•"/>
      <w:lvlJc w:val="left"/>
      <w:pPr>
        <w:ind w:left="4894" w:hanging="213"/>
      </w:pPr>
      <w:rPr>
        <w:rFonts w:hint="default"/>
        <w:lang w:val="zh-CN" w:eastAsia="zh-CN" w:bidi="zh-CN"/>
      </w:rPr>
    </w:lvl>
    <w:lvl w:ilvl="5" w:tplc="E4ECADB2">
      <w:numFmt w:val="bullet"/>
      <w:lvlText w:val="•"/>
      <w:lvlJc w:val="left"/>
      <w:pPr>
        <w:ind w:left="5853" w:hanging="213"/>
      </w:pPr>
      <w:rPr>
        <w:rFonts w:hint="default"/>
        <w:lang w:val="zh-CN" w:eastAsia="zh-CN" w:bidi="zh-CN"/>
      </w:rPr>
    </w:lvl>
    <w:lvl w:ilvl="6" w:tplc="19C628C2">
      <w:numFmt w:val="bullet"/>
      <w:lvlText w:val="•"/>
      <w:lvlJc w:val="left"/>
      <w:pPr>
        <w:ind w:left="6811" w:hanging="213"/>
      </w:pPr>
      <w:rPr>
        <w:rFonts w:hint="default"/>
        <w:lang w:val="zh-CN" w:eastAsia="zh-CN" w:bidi="zh-CN"/>
      </w:rPr>
    </w:lvl>
    <w:lvl w:ilvl="7" w:tplc="24648AE0">
      <w:numFmt w:val="bullet"/>
      <w:lvlText w:val="•"/>
      <w:lvlJc w:val="left"/>
      <w:pPr>
        <w:ind w:left="7770" w:hanging="213"/>
      </w:pPr>
      <w:rPr>
        <w:rFonts w:hint="default"/>
        <w:lang w:val="zh-CN" w:eastAsia="zh-CN" w:bidi="zh-CN"/>
      </w:rPr>
    </w:lvl>
    <w:lvl w:ilvl="8" w:tplc="2A543B6A">
      <w:numFmt w:val="bullet"/>
      <w:lvlText w:val="•"/>
      <w:lvlJc w:val="left"/>
      <w:pPr>
        <w:ind w:left="8729" w:hanging="213"/>
      </w:pPr>
      <w:rPr>
        <w:rFonts w:hint="default"/>
        <w:lang w:val="zh-CN" w:eastAsia="zh-CN" w:bidi="zh-CN"/>
      </w:rPr>
    </w:lvl>
  </w:abstractNum>
  <w:abstractNum w:abstractNumId="266" w15:restartNumberingAfterBreak="0">
    <w:nsid w:val="24B90275"/>
    <w:multiLevelType w:val="hybridMultilevel"/>
    <w:tmpl w:val="EC60A1FE"/>
    <w:lvl w:ilvl="0" w:tplc="19FAE00C">
      <w:start w:val="9"/>
      <w:numFmt w:val="decimal"/>
      <w:lvlText w:val="%1"/>
      <w:lvlJc w:val="left"/>
      <w:pPr>
        <w:ind w:left="418" w:hanging="637"/>
        <w:jc w:val="left"/>
      </w:pPr>
      <w:rPr>
        <w:rFonts w:hint="default"/>
        <w:lang w:val="zh-CN" w:eastAsia="zh-CN" w:bidi="zh-CN"/>
      </w:rPr>
    </w:lvl>
    <w:lvl w:ilvl="1" w:tplc="B14055FE">
      <w:start w:val="3"/>
      <w:numFmt w:val="decimal"/>
      <w:lvlText w:val="%1.%2"/>
      <w:lvlJc w:val="left"/>
      <w:pPr>
        <w:ind w:left="418" w:hanging="637"/>
        <w:jc w:val="left"/>
      </w:pPr>
      <w:rPr>
        <w:rFonts w:hint="default"/>
        <w:lang w:val="zh-CN" w:eastAsia="zh-CN" w:bidi="zh-CN"/>
      </w:rPr>
    </w:lvl>
    <w:lvl w:ilvl="2" w:tplc="7C6CE0AC">
      <w:start w:val="15"/>
      <w:numFmt w:val="decimal"/>
      <w:lvlText w:val="%1.%2.%3"/>
      <w:lvlJc w:val="left"/>
      <w:pPr>
        <w:ind w:left="418" w:hanging="637"/>
        <w:jc w:val="left"/>
      </w:pPr>
      <w:rPr>
        <w:rFonts w:ascii="宋体" w:eastAsia="宋体" w:hAnsi="宋体" w:cs="宋体" w:hint="default"/>
        <w:b/>
        <w:bCs/>
        <w:color w:val="333333"/>
        <w:w w:val="99"/>
        <w:sz w:val="19"/>
        <w:szCs w:val="19"/>
        <w:lang w:val="zh-CN" w:eastAsia="zh-CN" w:bidi="zh-CN"/>
      </w:rPr>
    </w:lvl>
    <w:lvl w:ilvl="3" w:tplc="D35ACF4E">
      <w:numFmt w:val="bullet"/>
      <w:lvlText w:val="•"/>
      <w:lvlJc w:val="left"/>
      <w:pPr>
        <w:ind w:left="3487" w:hanging="637"/>
      </w:pPr>
      <w:rPr>
        <w:rFonts w:hint="default"/>
        <w:lang w:val="zh-CN" w:eastAsia="zh-CN" w:bidi="zh-CN"/>
      </w:rPr>
    </w:lvl>
    <w:lvl w:ilvl="4" w:tplc="A0BA9F10">
      <w:numFmt w:val="bullet"/>
      <w:lvlText w:val="•"/>
      <w:lvlJc w:val="left"/>
      <w:pPr>
        <w:ind w:left="4510" w:hanging="637"/>
      </w:pPr>
      <w:rPr>
        <w:rFonts w:hint="default"/>
        <w:lang w:val="zh-CN" w:eastAsia="zh-CN" w:bidi="zh-CN"/>
      </w:rPr>
    </w:lvl>
    <w:lvl w:ilvl="5" w:tplc="C31C86C6">
      <w:numFmt w:val="bullet"/>
      <w:lvlText w:val="•"/>
      <w:lvlJc w:val="left"/>
      <w:pPr>
        <w:ind w:left="5533" w:hanging="637"/>
      </w:pPr>
      <w:rPr>
        <w:rFonts w:hint="default"/>
        <w:lang w:val="zh-CN" w:eastAsia="zh-CN" w:bidi="zh-CN"/>
      </w:rPr>
    </w:lvl>
    <w:lvl w:ilvl="6" w:tplc="DBEEEA04">
      <w:numFmt w:val="bullet"/>
      <w:lvlText w:val="•"/>
      <w:lvlJc w:val="left"/>
      <w:pPr>
        <w:ind w:left="6555" w:hanging="637"/>
      </w:pPr>
      <w:rPr>
        <w:rFonts w:hint="default"/>
        <w:lang w:val="zh-CN" w:eastAsia="zh-CN" w:bidi="zh-CN"/>
      </w:rPr>
    </w:lvl>
    <w:lvl w:ilvl="7" w:tplc="3FECA724">
      <w:numFmt w:val="bullet"/>
      <w:lvlText w:val="•"/>
      <w:lvlJc w:val="left"/>
      <w:pPr>
        <w:ind w:left="7578" w:hanging="637"/>
      </w:pPr>
      <w:rPr>
        <w:rFonts w:hint="default"/>
        <w:lang w:val="zh-CN" w:eastAsia="zh-CN" w:bidi="zh-CN"/>
      </w:rPr>
    </w:lvl>
    <w:lvl w:ilvl="8" w:tplc="C4081FA0">
      <w:numFmt w:val="bullet"/>
      <w:lvlText w:val="•"/>
      <w:lvlJc w:val="left"/>
      <w:pPr>
        <w:ind w:left="8601" w:hanging="637"/>
      </w:pPr>
      <w:rPr>
        <w:rFonts w:hint="default"/>
        <w:lang w:val="zh-CN" w:eastAsia="zh-CN" w:bidi="zh-CN"/>
      </w:rPr>
    </w:lvl>
  </w:abstractNum>
  <w:abstractNum w:abstractNumId="267" w15:restartNumberingAfterBreak="0">
    <w:nsid w:val="24C303AF"/>
    <w:multiLevelType w:val="hybridMultilevel"/>
    <w:tmpl w:val="DC7ACD44"/>
    <w:lvl w:ilvl="0" w:tplc="5882D7BE">
      <w:start w:val="1"/>
      <w:numFmt w:val="lowerLetter"/>
      <w:lvlText w:val="%1）"/>
      <w:lvlJc w:val="left"/>
      <w:pPr>
        <w:ind w:left="418" w:hanging="318"/>
        <w:jc w:val="left"/>
      </w:pPr>
      <w:rPr>
        <w:rFonts w:ascii="宋体" w:eastAsia="宋体" w:hAnsi="宋体" w:cs="宋体" w:hint="default"/>
        <w:w w:val="100"/>
        <w:sz w:val="19"/>
        <w:szCs w:val="19"/>
        <w:lang w:val="zh-CN" w:eastAsia="zh-CN" w:bidi="zh-CN"/>
      </w:rPr>
    </w:lvl>
    <w:lvl w:ilvl="1" w:tplc="38ACA9F4">
      <w:numFmt w:val="bullet"/>
      <w:lvlText w:val="•"/>
      <w:lvlJc w:val="left"/>
      <w:pPr>
        <w:ind w:left="1442" w:hanging="318"/>
      </w:pPr>
      <w:rPr>
        <w:rFonts w:hint="default"/>
        <w:lang w:val="zh-CN" w:eastAsia="zh-CN" w:bidi="zh-CN"/>
      </w:rPr>
    </w:lvl>
    <w:lvl w:ilvl="2" w:tplc="80D0549A">
      <w:numFmt w:val="bullet"/>
      <w:lvlText w:val="•"/>
      <w:lvlJc w:val="left"/>
      <w:pPr>
        <w:ind w:left="2465" w:hanging="318"/>
      </w:pPr>
      <w:rPr>
        <w:rFonts w:hint="default"/>
        <w:lang w:val="zh-CN" w:eastAsia="zh-CN" w:bidi="zh-CN"/>
      </w:rPr>
    </w:lvl>
    <w:lvl w:ilvl="3" w:tplc="1DC68F90">
      <w:numFmt w:val="bullet"/>
      <w:lvlText w:val="•"/>
      <w:lvlJc w:val="left"/>
      <w:pPr>
        <w:ind w:left="3487" w:hanging="318"/>
      </w:pPr>
      <w:rPr>
        <w:rFonts w:hint="default"/>
        <w:lang w:val="zh-CN" w:eastAsia="zh-CN" w:bidi="zh-CN"/>
      </w:rPr>
    </w:lvl>
    <w:lvl w:ilvl="4" w:tplc="1466CED0">
      <w:numFmt w:val="bullet"/>
      <w:lvlText w:val="•"/>
      <w:lvlJc w:val="left"/>
      <w:pPr>
        <w:ind w:left="4510" w:hanging="318"/>
      </w:pPr>
      <w:rPr>
        <w:rFonts w:hint="default"/>
        <w:lang w:val="zh-CN" w:eastAsia="zh-CN" w:bidi="zh-CN"/>
      </w:rPr>
    </w:lvl>
    <w:lvl w:ilvl="5" w:tplc="83E67B58">
      <w:numFmt w:val="bullet"/>
      <w:lvlText w:val="•"/>
      <w:lvlJc w:val="left"/>
      <w:pPr>
        <w:ind w:left="5533" w:hanging="318"/>
      </w:pPr>
      <w:rPr>
        <w:rFonts w:hint="default"/>
        <w:lang w:val="zh-CN" w:eastAsia="zh-CN" w:bidi="zh-CN"/>
      </w:rPr>
    </w:lvl>
    <w:lvl w:ilvl="6" w:tplc="4E3E2BBE">
      <w:numFmt w:val="bullet"/>
      <w:lvlText w:val="•"/>
      <w:lvlJc w:val="left"/>
      <w:pPr>
        <w:ind w:left="6555" w:hanging="318"/>
      </w:pPr>
      <w:rPr>
        <w:rFonts w:hint="default"/>
        <w:lang w:val="zh-CN" w:eastAsia="zh-CN" w:bidi="zh-CN"/>
      </w:rPr>
    </w:lvl>
    <w:lvl w:ilvl="7" w:tplc="607CF662">
      <w:numFmt w:val="bullet"/>
      <w:lvlText w:val="•"/>
      <w:lvlJc w:val="left"/>
      <w:pPr>
        <w:ind w:left="7578" w:hanging="318"/>
      </w:pPr>
      <w:rPr>
        <w:rFonts w:hint="default"/>
        <w:lang w:val="zh-CN" w:eastAsia="zh-CN" w:bidi="zh-CN"/>
      </w:rPr>
    </w:lvl>
    <w:lvl w:ilvl="8" w:tplc="D9C85C1E">
      <w:numFmt w:val="bullet"/>
      <w:lvlText w:val="•"/>
      <w:lvlJc w:val="left"/>
      <w:pPr>
        <w:ind w:left="8601" w:hanging="318"/>
      </w:pPr>
      <w:rPr>
        <w:rFonts w:hint="default"/>
        <w:lang w:val="zh-CN" w:eastAsia="zh-CN" w:bidi="zh-CN"/>
      </w:rPr>
    </w:lvl>
  </w:abstractNum>
  <w:abstractNum w:abstractNumId="268" w15:restartNumberingAfterBreak="0">
    <w:nsid w:val="24EE692F"/>
    <w:multiLevelType w:val="hybridMultilevel"/>
    <w:tmpl w:val="E0047376"/>
    <w:lvl w:ilvl="0" w:tplc="F7B6CB7A">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9D8CA282">
      <w:numFmt w:val="bullet"/>
      <w:lvlText w:val="•"/>
      <w:lvlJc w:val="left"/>
      <w:pPr>
        <w:ind w:left="2288" w:hanging="529"/>
      </w:pPr>
      <w:rPr>
        <w:rFonts w:hint="default"/>
        <w:lang w:val="zh-CN" w:eastAsia="zh-CN" w:bidi="zh-CN"/>
      </w:rPr>
    </w:lvl>
    <w:lvl w:ilvl="2" w:tplc="07324D3C">
      <w:numFmt w:val="bullet"/>
      <w:lvlText w:val="•"/>
      <w:lvlJc w:val="left"/>
      <w:pPr>
        <w:ind w:left="3217" w:hanging="529"/>
      </w:pPr>
      <w:rPr>
        <w:rFonts w:hint="default"/>
        <w:lang w:val="zh-CN" w:eastAsia="zh-CN" w:bidi="zh-CN"/>
      </w:rPr>
    </w:lvl>
    <w:lvl w:ilvl="3" w:tplc="4B080664">
      <w:numFmt w:val="bullet"/>
      <w:lvlText w:val="•"/>
      <w:lvlJc w:val="left"/>
      <w:pPr>
        <w:ind w:left="4145" w:hanging="529"/>
      </w:pPr>
      <w:rPr>
        <w:rFonts w:hint="default"/>
        <w:lang w:val="zh-CN" w:eastAsia="zh-CN" w:bidi="zh-CN"/>
      </w:rPr>
    </w:lvl>
    <w:lvl w:ilvl="4" w:tplc="9FC4D040">
      <w:numFmt w:val="bullet"/>
      <w:lvlText w:val="•"/>
      <w:lvlJc w:val="left"/>
      <w:pPr>
        <w:ind w:left="5074" w:hanging="529"/>
      </w:pPr>
      <w:rPr>
        <w:rFonts w:hint="default"/>
        <w:lang w:val="zh-CN" w:eastAsia="zh-CN" w:bidi="zh-CN"/>
      </w:rPr>
    </w:lvl>
    <w:lvl w:ilvl="5" w:tplc="D1FEB972">
      <w:numFmt w:val="bullet"/>
      <w:lvlText w:val="•"/>
      <w:lvlJc w:val="left"/>
      <w:pPr>
        <w:ind w:left="6003" w:hanging="529"/>
      </w:pPr>
      <w:rPr>
        <w:rFonts w:hint="default"/>
        <w:lang w:val="zh-CN" w:eastAsia="zh-CN" w:bidi="zh-CN"/>
      </w:rPr>
    </w:lvl>
    <w:lvl w:ilvl="6" w:tplc="D5CCA6EC">
      <w:numFmt w:val="bullet"/>
      <w:lvlText w:val="•"/>
      <w:lvlJc w:val="left"/>
      <w:pPr>
        <w:ind w:left="6931" w:hanging="529"/>
      </w:pPr>
      <w:rPr>
        <w:rFonts w:hint="default"/>
        <w:lang w:val="zh-CN" w:eastAsia="zh-CN" w:bidi="zh-CN"/>
      </w:rPr>
    </w:lvl>
    <w:lvl w:ilvl="7" w:tplc="3D822BAA">
      <w:numFmt w:val="bullet"/>
      <w:lvlText w:val="•"/>
      <w:lvlJc w:val="left"/>
      <w:pPr>
        <w:ind w:left="7860" w:hanging="529"/>
      </w:pPr>
      <w:rPr>
        <w:rFonts w:hint="default"/>
        <w:lang w:val="zh-CN" w:eastAsia="zh-CN" w:bidi="zh-CN"/>
      </w:rPr>
    </w:lvl>
    <w:lvl w:ilvl="8" w:tplc="980C9AAC">
      <w:numFmt w:val="bullet"/>
      <w:lvlText w:val="•"/>
      <w:lvlJc w:val="left"/>
      <w:pPr>
        <w:ind w:left="8789" w:hanging="529"/>
      </w:pPr>
      <w:rPr>
        <w:rFonts w:hint="default"/>
        <w:lang w:val="zh-CN" w:eastAsia="zh-CN" w:bidi="zh-CN"/>
      </w:rPr>
    </w:lvl>
  </w:abstractNum>
  <w:abstractNum w:abstractNumId="269" w15:restartNumberingAfterBreak="0">
    <w:nsid w:val="250268D5"/>
    <w:multiLevelType w:val="hybridMultilevel"/>
    <w:tmpl w:val="1E589792"/>
    <w:lvl w:ilvl="0" w:tplc="66984C7C">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8A7E8020">
      <w:numFmt w:val="bullet"/>
      <w:lvlText w:val="•"/>
      <w:lvlJc w:val="left"/>
      <w:pPr>
        <w:ind w:left="2288" w:hanging="529"/>
      </w:pPr>
      <w:rPr>
        <w:rFonts w:hint="default"/>
        <w:lang w:val="zh-CN" w:eastAsia="zh-CN" w:bidi="zh-CN"/>
      </w:rPr>
    </w:lvl>
    <w:lvl w:ilvl="2" w:tplc="EB909930">
      <w:numFmt w:val="bullet"/>
      <w:lvlText w:val="•"/>
      <w:lvlJc w:val="left"/>
      <w:pPr>
        <w:ind w:left="3217" w:hanging="529"/>
      </w:pPr>
      <w:rPr>
        <w:rFonts w:hint="default"/>
        <w:lang w:val="zh-CN" w:eastAsia="zh-CN" w:bidi="zh-CN"/>
      </w:rPr>
    </w:lvl>
    <w:lvl w:ilvl="3" w:tplc="72AA7AFC">
      <w:numFmt w:val="bullet"/>
      <w:lvlText w:val="•"/>
      <w:lvlJc w:val="left"/>
      <w:pPr>
        <w:ind w:left="4145" w:hanging="529"/>
      </w:pPr>
      <w:rPr>
        <w:rFonts w:hint="default"/>
        <w:lang w:val="zh-CN" w:eastAsia="zh-CN" w:bidi="zh-CN"/>
      </w:rPr>
    </w:lvl>
    <w:lvl w:ilvl="4" w:tplc="B56A3C2C">
      <w:numFmt w:val="bullet"/>
      <w:lvlText w:val="•"/>
      <w:lvlJc w:val="left"/>
      <w:pPr>
        <w:ind w:left="5074" w:hanging="529"/>
      </w:pPr>
      <w:rPr>
        <w:rFonts w:hint="default"/>
        <w:lang w:val="zh-CN" w:eastAsia="zh-CN" w:bidi="zh-CN"/>
      </w:rPr>
    </w:lvl>
    <w:lvl w:ilvl="5" w:tplc="C9B854EA">
      <w:numFmt w:val="bullet"/>
      <w:lvlText w:val="•"/>
      <w:lvlJc w:val="left"/>
      <w:pPr>
        <w:ind w:left="6003" w:hanging="529"/>
      </w:pPr>
      <w:rPr>
        <w:rFonts w:hint="default"/>
        <w:lang w:val="zh-CN" w:eastAsia="zh-CN" w:bidi="zh-CN"/>
      </w:rPr>
    </w:lvl>
    <w:lvl w:ilvl="6" w:tplc="FF840202">
      <w:numFmt w:val="bullet"/>
      <w:lvlText w:val="•"/>
      <w:lvlJc w:val="left"/>
      <w:pPr>
        <w:ind w:left="6931" w:hanging="529"/>
      </w:pPr>
      <w:rPr>
        <w:rFonts w:hint="default"/>
        <w:lang w:val="zh-CN" w:eastAsia="zh-CN" w:bidi="zh-CN"/>
      </w:rPr>
    </w:lvl>
    <w:lvl w:ilvl="7" w:tplc="72EE7DE0">
      <w:numFmt w:val="bullet"/>
      <w:lvlText w:val="•"/>
      <w:lvlJc w:val="left"/>
      <w:pPr>
        <w:ind w:left="7860" w:hanging="529"/>
      </w:pPr>
      <w:rPr>
        <w:rFonts w:hint="default"/>
        <w:lang w:val="zh-CN" w:eastAsia="zh-CN" w:bidi="zh-CN"/>
      </w:rPr>
    </w:lvl>
    <w:lvl w:ilvl="8" w:tplc="78A86086">
      <w:numFmt w:val="bullet"/>
      <w:lvlText w:val="•"/>
      <w:lvlJc w:val="left"/>
      <w:pPr>
        <w:ind w:left="8789" w:hanging="529"/>
      </w:pPr>
      <w:rPr>
        <w:rFonts w:hint="default"/>
        <w:lang w:val="zh-CN" w:eastAsia="zh-CN" w:bidi="zh-CN"/>
      </w:rPr>
    </w:lvl>
  </w:abstractNum>
  <w:abstractNum w:abstractNumId="270" w15:restartNumberingAfterBreak="0">
    <w:nsid w:val="253F2137"/>
    <w:multiLevelType w:val="hybridMultilevel"/>
    <w:tmpl w:val="FC9C947E"/>
    <w:lvl w:ilvl="0" w:tplc="0F1E57C2">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2F288356">
      <w:numFmt w:val="bullet"/>
      <w:lvlText w:val="•"/>
      <w:lvlJc w:val="left"/>
      <w:pPr>
        <w:ind w:left="2288" w:hanging="529"/>
      </w:pPr>
      <w:rPr>
        <w:rFonts w:hint="default"/>
        <w:lang w:val="zh-CN" w:eastAsia="zh-CN" w:bidi="zh-CN"/>
      </w:rPr>
    </w:lvl>
    <w:lvl w:ilvl="2" w:tplc="FC5E4920">
      <w:numFmt w:val="bullet"/>
      <w:lvlText w:val="•"/>
      <w:lvlJc w:val="left"/>
      <w:pPr>
        <w:ind w:left="3217" w:hanging="529"/>
      </w:pPr>
      <w:rPr>
        <w:rFonts w:hint="default"/>
        <w:lang w:val="zh-CN" w:eastAsia="zh-CN" w:bidi="zh-CN"/>
      </w:rPr>
    </w:lvl>
    <w:lvl w:ilvl="3" w:tplc="DFF453DA">
      <w:numFmt w:val="bullet"/>
      <w:lvlText w:val="•"/>
      <w:lvlJc w:val="left"/>
      <w:pPr>
        <w:ind w:left="4145" w:hanging="529"/>
      </w:pPr>
      <w:rPr>
        <w:rFonts w:hint="default"/>
        <w:lang w:val="zh-CN" w:eastAsia="zh-CN" w:bidi="zh-CN"/>
      </w:rPr>
    </w:lvl>
    <w:lvl w:ilvl="4" w:tplc="28049B08">
      <w:numFmt w:val="bullet"/>
      <w:lvlText w:val="•"/>
      <w:lvlJc w:val="left"/>
      <w:pPr>
        <w:ind w:left="5074" w:hanging="529"/>
      </w:pPr>
      <w:rPr>
        <w:rFonts w:hint="default"/>
        <w:lang w:val="zh-CN" w:eastAsia="zh-CN" w:bidi="zh-CN"/>
      </w:rPr>
    </w:lvl>
    <w:lvl w:ilvl="5" w:tplc="2F36B7C4">
      <w:numFmt w:val="bullet"/>
      <w:lvlText w:val="•"/>
      <w:lvlJc w:val="left"/>
      <w:pPr>
        <w:ind w:left="6003" w:hanging="529"/>
      </w:pPr>
      <w:rPr>
        <w:rFonts w:hint="default"/>
        <w:lang w:val="zh-CN" w:eastAsia="zh-CN" w:bidi="zh-CN"/>
      </w:rPr>
    </w:lvl>
    <w:lvl w:ilvl="6" w:tplc="69EAB39E">
      <w:numFmt w:val="bullet"/>
      <w:lvlText w:val="•"/>
      <w:lvlJc w:val="left"/>
      <w:pPr>
        <w:ind w:left="6931" w:hanging="529"/>
      </w:pPr>
      <w:rPr>
        <w:rFonts w:hint="default"/>
        <w:lang w:val="zh-CN" w:eastAsia="zh-CN" w:bidi="zh-CN"/>
      </w:rPr>
    </w:lvl>
    <w:lvl w:ilvl="7" w:tplc="51242662">
      <w:numFmt w:val="bullet"/>
      <w:lvlText w:val="•"/>
      <w:lvlJc w:val="left"/>
      <w:pPr>
        <w:ind w:left="7860" w:hanging="529"/>
      </w:pPr>
      <w:rPr>
        <w:rFonts w:hint="default"/>
        <w:lang w:val="zh-CN" w:eastAsia="zh-CN" w:bidi="zh-CN"/>
      </w:rPr>
    </w:lvl>
    <w:lvl w:ilvl="8" w:tplc="04C8ECDC">
      <w:numFmt w:val="bullet"/>
      <w:lvlText w:val="•"/>
      <w:lvlJc w:val="left"/>
      <w:pPr>
        <w:ind w:left="8789" w:hanging="529"/>
      </w:pPr>
      <w:rPr>
        <w:rFonts w:hint="default"/>
        <w:lang w:val="zh-CN" w:eastAsia="zh-CN" w:bidi="zh-CN"/>
      </w:rPr>
    </w:lvl>
  </w:abstractNum>
  <w:abstractNum w:abstractNumId="271" w15:restartNumberingAfterBreak="0">
    <w:nsid w:val="25BE26B0"/>
    <w:multiLevelType w:val="hybridMultilevel"/>
    <w:tmpl w:val="BB9854CC"/>
    <w:lvl w:ilvl="0" w:tplc="902435EC">
      <w:start w:val="6"/>
      <w:numFmt w:val="decimal"/>
      <w:lvlText w:val="%1"/>
      <w:lvlJc w:val="left"/>
      <w:pPr>
        <w:ind w:left="1158" w:hanging="318"/>
        <w:jc w:val="left"/>
      </w:pPr>
      <w:rPr>
        <w:rFonts w:hint="default"/>
        <w:lang w:val="zh-CN" w:eastAsia="zh-CN" w:bidi="zh-CN"/>
      </w:rPr>
    </w:lvl>
    <w:lvl w:ilvl="1" w:tplc="2D3A5F08">
      <w:start w:val="6"/>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12F45E92">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60D2C20E">
      <w:numFmt w:val="bullet"/>
      <w:lvlText w:val="•"/>
      <w:lvlJc w:val="left"/>
      <w:pPr>
        <w:ind w:left="3423" w:hanging="529"/>
      </w:pPr>
      <w:rPr>
        <w:rFonts w:hint="default"/>
        <w:lang w:val="zh-CN" w:eastAsia="zh-CN" w:bidi="zh-CN"/>
      </w:rPr>
    </w:lvl>
    <w:lvl w:ilvl="4" w:tplc="08DC5346">
      <w:numFmt w:val="bullet"/>
      <w:lvlText w:val="•"/>
      <w:lvlJc w:val="left"/>
      <w:pPr>
        <w:ind w:left="4455" w:hanging="529"/>
      </w:pPr>
      <w:rPr>
        <w:rFonts w:hint="default"/>
        <w:lang w:val="zh-CN" w:eastAsia="zh-CN" w:bidi="zh-CN"/>
      </w:rPr>
    </w:lvl>
    <w:lvl w:ilvl="5" w:tplc="30B265A8">
      <w:numFmt w:val="bullet"/>
      <w:lvlText w:val="•"/>
      <w:lvlJc w:val="left"/>
      <w:pPr>
        <w:ind w:left="5487" w:hanging="529"/>
      </w:pPr>
      <w:rPr>
        <w:rFonts w:hint="default"/>
        <w:lang w:val="zh-CN" w:eastAsia="zh-CN" w:bidi="zh-CN"/>
      </w:rPr>
    </w:lvl>
    <w:lvl w:ilvl="6" w:tplc="48B84532">
      <w:numFmt w:val="bullet"/>
      <w:lvlText w:val="•"/>
      <w:lvlJc w:val="left"/>
      <w:pPr>
        <w:ind w:left="6519" w:hanging="529"/>
      </w:pPr>
      <w:rPr>
        <w:rFonts w:hint="default"/>
        <w:lang w:val="zh-CN" w:eastAsia="zh-CN" w:bidi="zh-CN"/>
      </w:rPr>
    </w:lvl>
    <w:lvl w:ilvl="7" w:tplc="DBBECBF0">
      <w:numFmt w:val="bullet"/>
      <w:lvlText w:val="•"/>
      <w:lvlJc w:val="left"/>
      <w:pPr>
        <w:ind w:left="7550" w:hanging="529"/>
      </w:pPr>
      <w:rPr>
        <w:rFonts w:hint="default"/>
        <w:lang w:val="zh-CN" w:eastAsia="zh-CN" w:bidi="zh-CN"/>
      </w:rPr>
    </w:lvl>
    <w:lvl w:ilvl="8" w:tplc="7152D7FA">
      <w:numFmt w:val="bullet"/>
      <w:lvlText w:val="•"/>
      <w:lvlJc w:val="left"/>
      <w:pPr>
        <w:ind w:left="8582" w:hanging="529"/>
      </w:pPr>
      <w:rPr>
        <w:rFonts w:hint="default"/>
        <w:lang w:val="zh-CN" w:eastAsia="zh-CN" w:bidi="zh-CN"/>
      </w:rPr>
    </w:lvl>
  </w:abstractNum>
  <w:abstractNum w:abstractNumId="272" w15:restartNumberingAfterBreak="0">
    <w:nsid w:val="26013F33"/>
    <w:multiLevelType w:val="hybridMultilevel"/>
    <w:tmpl w:val="9868780E"/>
    <w:lvl w:ilvl="0" w:tplc="240E7B9A">
      <w:start w:val="3"/>
      <w:numFmt w:val="decimal"/>
      <w:lvlText w:val="%1"/>
      <w:lvlJc w:val="left"/>
      <w:pPr>
        <w:ind w:left="1212" w:hanging="372"/>
        <w:jc w:val="left"/>
      </w:pPr>
      <w:rPr>
        <w:rFonts w:hint="default"/>
        <w:lang w:val="zh-CN" w:eastAsia="zh-CN" w:bidi="zh-CN"/>
      </w:rPr>
    </w:lvl>
    <w:lvl w:ilvl="1" w:tplc="25DCB1C4">
      <w:start w:val="1"/>
      <w:numFmt w:val="decimal"/>
      <w:lvlText w:val="%1.%2"/>
      <w:lvlJc w:val="left"/>
      <w:pPr>
        <w:ind w:left="1212" w:hanging="372"/>
        <w:jc w:val="left"/>
      </w:pPr>
      <w:rPr>
        <w:rFonts w:ascii="宋体" w:eastAsia="宋体" w:hAnsi="宋体" w:cs="宋体" w:hint="default"/>
        <w:b/>
        <w:bCs/>
        <w:w w:val="99"/>
        <w:sz w:val="21"/>
        <w:szCs w:val="21"/>
        <w:lang w:val="zh-CN" w:eastAsia="zh-CN" w:bidi="zh-CN"/>
      </w:rPr>
    </w:lvl>
    <w:lvl w:ilvl="2" w:tplc="4C549D8C">
      <w:numFmt w:val="bullet"/>
      <w:lvlText w:val="•"/>
      <w:lvlJc w:val="left"/>
      <w:pPr>
        <w:ind w:left="3105" w:hanging="372"/>
      </w:pPr>
      <w:rPr>
        <w:rFonts w:hint="default"/>
        <w:lang w:val="zh-CN" w:eastAsia="zh-CN" w:bidi="zh-CN"/>
      </w:rPr>
    </w:lvl>
    <w:lvl w:ilvl="3" w:tplc="953A46CE">
      <w:numFmt w:val="bullet"/>
      <w:lvlText w:val="•"/>
      <w:lvlJc w:val="left"/>
      <w:pPr>
        <w:ind w:left="4047" w:hanging="372"/>
      </w:pPr>
      <w:rPr>
        <w:rFonts w:hint="default"/>
        <w:lang w:val="zh-CN" w:eastAsia="zh-CN" w:bidi="zh-CN"/>
      </w:rPr>
    </w:lvl>
    <w:lvl w:ilvl="4" w:tplc="D95C206A">
      <w:numFmt w:val="bullet"/>
      <w:lvlText w:val="•"/>
      <w:lvlJc w:val="left"/>
      <w:pPr>
        <w:ind w:left="4990" w:hanging="372"/>
      </w:pPr>
      <w:rPr>
        <w:rFonts w:hint="default"/>
        <w:lang w:val="zh-CN" w:eastAsia="zh-CN" w:bidi="zh-CN"/>
      </w:rPr>
    </w:lvl>
    <w:lvl w:ilvl="5" w:tplc="EDF45076">
      <w:numFmt w:val="bullet"/>
      <w:lvlText w:val="•"/>
      <w:lvlJc w:val="left"/>
      <w:pPr>
        <w:ind w:left="5933" w:hanging="372"/>
      </w:pPr>
      <w:rPr>
        <w:rFonts w:hint="default"/>
        <w:lang w:val="zh-CN" w:eastAsia="zh-CN" w:bidi="zh-CN"/>
      </w:rPr>
    </w:lvl>
    <w:lvl w:ilvl="6" w:tplc="19E23C32">
      <w:numFmt w:val="bullet"/>
      <w:lvlText w:val="•"/>
      <w:lvlJc w:val="left"/>
      <w:pPr>
        <w:ind w:left="6875" w:hanging="372"/>
      </w:pPr>
      <w:rPr>
        <w:rFonts w:hint="default"/>
        <w:lang w:val="zh-CN" w:eastAsia="zh-CN" w:bidi="zh-CN"/>
      </w:rPr>
    </w:lvl>
    <w:lvl w:ilvl="7" w:tplc="C2105820">
      <w:numFmt w:val="bullet"/>
      <w:lvlText w:val="•"/>
      <w:lvlJc w:val="left"/>
      <w:pPr>
        <w:ind w:left="7818" w:hanging="372"/>
      </w:pPr>
      <w:rPr>
        <w:rFonts w:hint="default"/>
        <w:lang w:val="zh-CN" w:eastAsia="zh-CN" w:bidi="zh-CN"/>
      </w:rPr>
    </w:lvl>
    <w:lvl w:ilvl="8" w:tplc="2338642C">
      <w:numFmt w:val="bullet"/>
      <w:lvlText w:val="•"/>
      <w:lvlJc w:val="left"/>
      <w:pPr>
        <w:ind w:left="8761" w:hanging="372"/>
      </w:pPr>
      <w:rPr>
        <w:rFonts w:hint="default"/>
        <w:lang w:val="zh-CN" w:eastAsia="zh-CN" w:bidi="zh-CN"/>
      </w:rPr>
    </w:lvl>
  </w:abstractNum>
  <w:abstractNum w:abstractNumId="273" w15:restartNumberingAfterBreak="0">
    <w:nsid w:val="260E2C30"/>
    <w:multiLevelType w:val="hybridMultilevel"/>
    <w:tmpl w:val="E4482C6C"/>
    <w:lvl w:ilvl="0" w:tplc="984C1FEE">
      <w:start w:val="4"/>
      <w:numFmt w:val="decimal"/>
      <w:lvlText w:val="%1"/>
      <w:lvlJc w:val="left"/>
      <w:pPr>
        <w:ind w:left="1369" w:hanging="529"/>
        <w:jc w:val="left"/>
      </w:pPr>
      <w:rPr>
        <w:rFonts w:hint="default"/>
        <w:lang w:val="zh-CN" w:eastAsia="zh-CN" w:bidi="zh-CN"/>
      </w:rPr>
    </w:lvl>
    <w:lvl w:ilvl="1" w:tplc="4818306E">
      <w:start w:val="2"/>
      <w:numFmt w:val="decimal"/>
      <w:lvlText w:val="%1.%2"/>
      <w:lvlJc w:val="left"/>
      <w:pPr>
        <w:ind w:left="1369" w:hanging="529"/>
        <w:jc w:val="left"/>
      </w:pPr>
      <w:rPr>
        <w:rFonts w:hint="default"/>
        <w:lang w:val="zh-CN" w:eastAsia="zh-CN" w:bidi="zh-CN"/>
      </w:rPr>
    </w:lvl>
    <w:lvl w:ilvl="2" w:tplc="3A0EAABA">
      <w:start w:val="3"/>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1EC82F2C">
      <w:numFmt w:val="bullet"/>
      <w:lvlText w:val="•"/>
      <w:lvlJc w:val="left"/>
      <w:pPr>
        <w:ind w:left="4145" w:hanging="529"/>
      </w:pPr>
      <w:rPr>
        <w:rFonts w:hint="default"/>
        <w:lang w:val="zh-CN" w:eastAsia="zh-CN" w:bidi="zh-CN"/>
      </w:rPr>
    </w:lvl>
    <w:lvl w:ilvl="4" w:tplc="F4F87376">
      <w:numFmt w:val="bullet"/>
      <w:lvlText w:val="•"/>
      <w:lvlJc w:val="left"/>
      <w:pPr>
        <w:ind w:left="5074" w:hanging="529"/>
      </w:pPr>
      <w:rPr>
        <w:rFonts w:hint="default"/>
        <w:lang w:val="zh-CN" w:eastAsia="zh-CN" w:bidi="zh-CN"/>
      </w:rPr>
    </w:lvl>
    <w:lvl w:ilvl="5" w:tplc="CEA0462A">
      <w:numFmt w:val="bullet"/>
      <w:lvlText w:val="•"/>
      <w:lvlJc w:val="left"/>
      <w:pPr>
        <w:ind w:left="6003" w:hanging="529"/>
      </w:pPr>
      <w:rPr>
        <w:rFonts w:hint="default"/>
        <w:lang w:val="zh-CN" w:eastAsia="zh-CN" w:bidi="zh-CN"/>
      </w:rPr>
    </w:lvl>
    <w:lvl w:ilvl="6" w:tplc="484AD064">
      <w:numFmt w:val="bullet"/>
      <w:lvlText w:val="•"/>
      <w:lvlJc w:val="left"/>
      <w:pPr>
        <w:ind w:left="6931" w:hanging="529"/>
      </w:pPr>
      <w:rPr>
        <w:rFonts w:hint="default"/>
        <w:lang w:val="zh-CN" w:eastAsia="zh-CN" w:bidi="zh-CN"/>
      </w:rPr>
    </w:lvl>
    <w:lvl w:ilvl="7" w:tplc="4CA85DBC">
      <w:numFmt w:val="bullet"/>
      <w:lvlText w:val="•"/>
      <w:lvlJc w:val="left"/>
      <w:pPr>
        <w:ind w:left="7860" w:hanging="529"/>
      </w:pPr>
      <w:rPr>
        <w:rFonts w:hint="default"/>
        <w:lang w:val="zh-CN" w:eastAsia="zh-CN" w:bidi="zh-CN"/>
      </w:rPr>
    </w:lvl>
    <w:lvl w:ilvl="8" w:tplc="4DE4776E">
      <w:numFmt w:val="bullet"/>
      <w:lvlText w:val="•"/>
      <w:lvlJc w:val="left"/>
      <w:pPr>
        <w:ind w:left="8789" w:hanging="529"/>
      </w:pPr>
      <w:rPr>
        <w:rFonts w:hint="default"/>
        <w:lang w:val="zh-CN" w:eastAsia="zh-CN" w:bidi="zh-CN"/>
      </w:rPr>
    </w:lvl>
  </w:abstractNum>
  <w:abstractNum w:abstractNumId="274" w15:restartNumberingAfterBreak="0">
    <w:nsid w:val="26293095"/>
    <w:multiLevelType w:val="hybridMultilevel"/>
    <w:tmpl w:val="25F0B206"/>
    <w:lvl w:ilvl="0" w:tplc="3372F292">
      <w:start w:val="1"/>
      <w:numFmt w:val="lowerLetter"/>
      <w:lvlText w:val="%1）"/>
      <w:lvlJc w:val="left"/>
      <w:pPr>
        <w:ind w:left="1155" w:hanging="318"/>
        <w:jc w:val="left"/>
      </w:pPr>
      <w:rPr>
        <w:rFonts w:ascii="宋体" w:eastAsia="宋体" w:hAnsi="宋体" w:cs="宋体" w:hint="default"/>
        <w:w w:val="100"/>
        <w:sz w:val="19"/>
        <w:szCs w:val="19"/>
        <w:lang w:val="zh-CN" w:eastAsia="zh-CN" w:bidi="zh-CN"/>
      </w:rPr>
    </w:lvl>
    <w:lvl w:ilvl="1" w:tplc="8BEE8E1E">
      <w:numFmt w:val="bullet"/>
      <w:lvlText w:val="•"/>
      <w:lvlJc w:val="left"/>
      <w:pPr>
        <w:ind w:left="2108" w:hanging="318"/>
      </w:pPr>
      <w:rPr>
        <w:rFonts w:hint="default"/>
        <w:lang w:val="zh-CN" w:eastAsia="zh-CN" w:bidi="zh-CN"/>
      </w:rPr>
    </w:lvl>
    <w:lvl w:ilvl="2" w:tplc="AB9607E6">
      <w:numFmt w:val="bullet"/>
      <w:lvlText w:val="•"/>
      <w:lvlJc w:val="left"/>
      <w:pPr>
        <w:ind w:left="3057" w:hanging="318"/>
      </w:pPr>
      <w:rPr>
        <w:rFonts w:hint="default"/>
        <w:lang w:val="zh-CN" w:eastAsia="zh-CN" w:bidi="zh-CN"/>
      </w:rPr>
    </w:lvl>
    <w:lvl w:ilvl="3" w:tplc="84B0CF66">
      <w:numFmt w:val="bullet"/>
      <w:lvlText w:val="•"/>
      <w:lvlJc w:val="left"/>
      <w:pPr>
        <w:ind w:left="4005" w:hanging="318"/>
      </w:pPr>
      <w:rPr>
        <w:rFonts w:hint="default"/>
        <w:lang w:val="zh-CN" w:eastAsia="zh-CN" w:bidi="zh-CN"/>
      </w:rPr>
    </w:lvl>
    <w:lvl w:ilvl="4" w:tplc="28629930">
      <w:numFmt w:val="bullet"/>
      <w:lvlText w:val="•"/>
      <w:lvlJc w:val="left"/>
      <w:pPr>
        <w:ind w:left="4954" w:hanging="318"/>
      </w:pPr>
      <w:rPr>
        <w:rFonts w:hint="default"/>
        <w:lang w:val="zh-CN" w:eastAsia="zh-CN" w:bidi="zh-CN"/>
      </w:rPr>
    </w:lvl>
    <w:lvl w:ilvl="5" w:tplc="37CC1AA8">
      <w:numFmt w:val="bullet"/>
      <w:lvlText w:val="•"/>
      <w:lvlJc w:val="left"/>
      <w:pPr>
        <w:ind w:left="5903" w:hanging="318"/>
      </w:pPr>
      <w:rPr>
        <w:rFonts w:hint="default"/>
        <w:lang w:val="zh-CN" w:eastAsia="zh-CN" w:bidi="zh-CN"/>
      </w:rPr>
    </w:lvl>
    <w:lvl w:ilvl="6" w:tplc="EFB0D842">
      <w:numFmt w:val="bullet"/>
      <w:lvlText w:val="•"/>
      <w:lvlJc w:val="left"/>
      <w:pPr>
        <w:ind w:left="6851" w:hanging="318"/>
      </w:pPr>
      <w:rPr>
        <w:rFonts w:hint="default"/>
        <w:lang w:val="zh-CN" w:eastAsia="zh-CN" w:bidi="zh-CN"/>
      </w:rPr>
    </w:lvl>
    <w:lvl w:ilvl="7" w:tplc="0B1EF6D0">
      <w:numFmt w:val="bullet"/>
      <w:lvlText w:val="•"/>
      <w:lvlJc w:val="left"/>
      <w:pPr>
        <w:ind w:left="7800" w:hanging="318"/>
      </w:pPr>
      <w:rPr>
        <w:rFonts w:hint="default"/>
        <w:lang w:val="zh-CN" w:eastAsia="zh-CN" w:bidi="zh-CN"/>
      </w:rPr>
    </w:lvl>
    <w:lvl w:ilvl="8" w:tplc="0D8288FE">
      <w:numFmt w:val="bullet"/>
      <w:lvlText w:val="•"/>
      <w:lvlJc w:val="left"/>
      <w:pPr>
        <w:ind w:left="8749" w:hanging="318"/>
      </w:pPr>
      <w:rPr>
        <w:rFonts w:hint="default"/>
        <w:lang w:val="zh-CN" w:eastAsia="zh-CN" w:bidi="zh-CN"/>
      </w:rPr>
    </w:lvl>
  </w:abstractNum>
  <w:abstractNum w:abstractNumId="275" w15:restartNumberingAfterBreak="0">
    <w:nsid w:val="262A4BE1"/>
    <w:multiLevelType w:val="hybridMultilevel"/>
    <w:tmpl w:val="6668230C"/>
    <w:lvl w:ilvl="0" w:tplc="00A87B4E">
      <w:start w:val="7"/>
      <w:numFmt w:val="upperLetter"/>
      <w:lvlText w:val="%1"/>
      <w:lvlJc w:val="left"/>
      <w:pPr>
        <w:ind w:left="1369" w:hanging="529"/>
        <w:jc w:val="left"/>
      </w:pPr>
      <w:rPr>
        <w:rFonts w:hint="default"/>
        <w:lang w:val="zh-CN" w:eastAsia="zh-CN" w:bidi="zh-CN"/>
      </w:rPr>
    </w:lvl>
    <w:lvl w:ilvl="1" w:tplc="DE3679AE">
      <w:start w:val="1"/>
      <w:numFmt w:val="decimal"/>
      <w:lvlText w:val="%1.%2"/>
      <w:lvlJc w:val="left"/>
      <w:pPr>
        <w:ind w:left="1369" w:hanging="529"/>
        <w:jc w:val="left"/>
      </w:pPr>
      <w:rPr>
        <w:rFonts w:hint="default"/>
        <w:lang w:val="zh-CN" w:eastAsia="zh-CN" w:bidi="zh-CN"/>
      </w:rPr>
    </w:lvl>
    <w:lvl w:ilvl="2" w:tplc="6EF63992">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197636FA">
      <w:numFmt w:val="bullet"/>
      <w:lvlText w:val="•"/>
      <w:lvlJc w:val="left"/>
      <w:pPr>
        <w:ind w:left="4145" w:hanging="529"/>
      </w:pPr>
      <w:rPr>
        <w:rFonts w:hint="default"/>
        <w:lang w:val="zh-CN" w:eastAsia="zh-CN" w:bidi="zh-CN"/>
      </w:rPr>
    </w:lvl>
    <w:lvl w:ilvl="4" w:tplc="9C9A4AA8">
      <w:numFmt w:val="bullet"/>
      <w:lvlText w:val="•"/>
      <w:lvlJc w:val="left"/>
      <w:pPr>
        <w:ind w:left="5074" w:hanging="529"/>
      </w:pPr>
      <w:rPr>
        <w:rFonts w:hint="default"/>
        <w:lang w:val="zh-CN" w:eastAsia="zh-CN" w:bidi="zh-CN"/>
      </w:rPr>
    </w:lvl>
    <w:lvl w:ilvl="5" w:tplc="9F88C7D2">
      <w:numFmt w:val="bullet"/>
      <w:lvlText w:val="•"/>
      <w:lvlJc w:val="left"/>
      <w:pPr>
        <w:ind w:left="6003" w:hanging="529"/>
      </w:pPr>
      <w:rPr>
        <w:rFonts w:hint="default"/>
        <w:lang w:val="zh-CN" w:eastAsia="zh-CN" w:bidi="zh-CN"/>
      </w:rPr>
    </w:lvl>
    <w:lvl w:ilvl="6" w:tplc="52889000">
      <w:numFmt w:val="bullet"/>
      <w:lvlText w:val="•"/>
      <w:lvlJc w:val="left"/>
      <w:pPr>
        <w:ind w:left="6931" w:hanging="529"/>
      </w:pPr>
      <w:rPr>
        <w:rFonts w:hint="default"/>
        <w:lang w:val="zh-CN" w:eastAsia="zh-CN" w:bidi="zh-CN"/>
      </w:rPr>
    </w:lvl>
    <w:lvl w:ilvl="7" w:tplc="E2F42D88">
      <w:numFmt w:val="bullet"/>
      <w:lvlText w:val="•"/>
      <w:lvlJc w:val="left"/>
      <w:pPr>
        <w:ind w:left="7860" w:hanging="529"/>
      </w:pPr>
      <w:rPr>
        <w:rFonts w:hint="default"/>
        <w:lang w:val="zh-CN" w:eastAsia="zh-CN" w:bidi="zh-CN"/>
      </w:rPr>
    </w:lvl>
    <w:lvl w:ilvl="8" w:tplc="1194C588">
      <w:numFmt w:val="bullet"/>
      <w:lvlText w:val="•"/>
      <w:lvlJc w:val="left"/>
      <w:pPr>
        <w:ind w:left="8789" w:hanging="529"/>
      </w:pPr>
      <w:rPr>
        <w:rFonts w:hint="default"/>
        <w:lang w:val="zh-CN" w:eastAsia="zh-CN" w:bidi="zh-CN"/>
      </w:rPr>
    </w:lvl>
  </w:abstractNum>
  <w:abstractNum w:abstractNumId="276" w15:restartNumberingAfterBreak="0">
    <w:nsid w:val="26333B79"/>
    <w:multiLevelType w:val="hybridMultilevel"/>
    <w:tmpl w:val="9654A9E6"/>
    <w:lvl w:ilvl="0" w:tplc="76D408B8">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FA34575A">
      <w:numFmt w:val="bullet"/>
      <w:lvlText w:val="•"/>
      <w:lvlJc w:val="left"/>
      <w:pPr>
        <w:ind w:left="2288" w:hanging="529"/>
      </w:pPr>
      <w:rPr>
        <w:rFonts w:hint="default"/>
        <w:lang w:val="zh-CN" w:eastAsia="zh-CN" w:bidi="zh-CN"/>
      </w:rPr>
    </w:lvl>
    <w:lvl w:ilvl="2" w:tplc="8F2C271A">
      <w:numFmt w:val="bullet"/>
      <w:lvlText w:val="•"/>
      <w:lvlJc w:val="left"/>
      <w:pPr>
        <w:ind w:left="3217" w:hanging="529"/>
      </w:pPr>
      <w:rPr>
        <w:rFonts w:hint="default"/>
        <w:lang w:val="zh-CN" w:eastAsia="zh-CN" w:bidi="zh-CN"/>
      </w:rPr>
    </w:lvl>
    <w:lvl w:ilvl="3" w:tplc="7B6AEE18">
      <w:numFmt w:val="bullet"/>
      <w:lvlText w:val="•"/>
      <w:lvlJc w:val="left"/>
      <w:pPr>
        <w:ind w:left="4145" w:hanging="529"/>
      </w:pPr>
      <w:rPr>
        <w:rFonts w:hint="default"/>
        <w:lang w:val="zh-CN" w:eastAsia="zh-CN" w:bidi="zh-CN"/>
      </w:rPr>
    </w:lvl>
    <w:lvl w:ilvl="4" w:tplc="9FDC4C14">
      <w:numFmt w:val="bullet"/>
      <w:lvlText w:val="•"/>
      <w:lvlJc w:val="left"/>
      <w:pPr>
        <w:ind w:left="5074" w:hanging="529"/>
      </w:pPr>
      <w:rPr>
        <w:rFonts w:hint="default"/>
        <w:lang w:val="zh-CN" w:eastAsia="zh-CN" w:bidi="zh-CN"/>
      </w:rPr>
    </w:lvl>
    <w:lvl w:ilvl="5" w:tplc="FAE4B598">
      <w:numFmt w:val="bullet"/>
      <w:lvlText w:val="•"/>
      <w:lvlJc w:val="left"/>
      <w:pPr>
        <w:ind w:left="6003" w:hanging="529"/>
      </w:pPr>
      <w:rPr>
        <w:rFonts w:hint="default"/>
        <w:lang w:val="zh-CN" w:eastAsia="zh-CN" w:bidi="zh-CN"/>
      </w:rPr>
    </w:lvl>
    <w:lvl w:ilvl="6" w:tplc="15443890">
      <w:numFmt w:val="bullet"/>
      <w:lvlText w:val="•"/>
      <w:lvlJc w:val="left"/>
      <w:pPr>
        <w:ind w:left="6931" w:hanging="529"/>
      </w:pPr>
      <w:rPr>
        <w:rFonts w:hint="default"/>
        <w:lang w:val="zh-CN" w:eastAsia="zh-CN" w:bidi="zh-CN"/>
      </w:rPr>
    </w:lvl>
    <w:lvl w:ilvl="7" w:tplc="555C25F4">
      <w:numFmt w:val="bullet"/>
      <w:lvlText w:val="•"/>
      <w:lvlJc w:val="left"/>
      <w:pPr>
        <w:ind w:left="7860" w:hanging="529"/>
      </w:pPr>
      <w:rPr>
        <w:rFonts w:hint="default"/>
        <w:lang w:val="zh-CN" w:eastAsia="zh-CN" w:bidi="zh-CN"/>
      </w:rPr>
    </w:lvl>
    <w:lvl w:ilvl="8" w:tplc="517A4A70">
      <w:numFmt w:val="bullet"/>
      <w:lvlText w:val="•"/>
      <w:lvlJc w:val="left"/>
      <w:pPr>
        <w:ind w:left="8789" w:hanging="529"/>
      </w:pPr>
      <w:rPr>
        <w:rFonts w:hint="default"/>
        <w:lang w:val="zh-CN" w:eastAsia="zh-CN" w:bidi="zh-CN"/>
      </w:rPr>
    </w:lvl>
  </w:abstractNum>
  <w:abstractNum w:abstractNumId="277" w15:restartNumberingAfterBreak="0">
    <w:nsid w:val="2641352F"/>
    <w:multiLevelType w:val="hybridMultilevel"/>
    <w:tmpl w:val="FA7CFA98"/>
    <w:lvl w:ilvl="0" w:tplc="297AA312">
      <w:start w:val="1"/>
      <w:numFmt w:val="decimal"/>
      <w:lvlText w:val="（%1）"/>
      <w:lvlJc w:val="left"/>
      <w:pPr>
        <w:ind w:left="418" w:hanging="529"/>
        <w:jc w:val="left"/>
      </w:pPr>
      <w:rPr>
        <w:rFonts w:ascii="宋体" w:eastAsia="宋体" w:hAnsi="宋体" w:cs="宋体" w:hint="default"/>
        <w:color w:val="333333"/>
        <w:spacing w:val="-3"/>
        <w:w w:val="100"/>
        <w:sz w:val="19"/>
        <w:szCs w:val="19"/>
        <w:lang w:val="zh-CN" w:eastAsia="zh-CN" w:bidi="zh-CN"/>
      </w:rPr>
    </w:lvl>
    <w:lvl w:ilvl="1" w:tplc="7B563128">
      <w:numFmt w:val="bullet"/>
      <w:lvlText w:val="•"/>
      <w:lvlJc w:val="left"/>
      <w:pPr>
        <w:ind w:left="1442" w:hanging="529"/>
      </w:pPr>
      <w:rPr>
        <w:rFonts w:hint="default"/>
        <w:lang w:val="zh-CN" w:eastAsia="zh-CN" w:bidi="zh-CN"/>
      </w:rPr>
    </w:lvl>
    <w:lvl w:ilvl="2" w:tplc="1E40C7BE">
      <w:numFmt w:val="bullet"/>
      <w:lvlText w:val="•"/>
      <w:lvlJc w:val="left"/>
      <w:pPr>
        <w:ind w:left="2465" w:hanging="529"/>
      </w:pPr>
      <w:rPr>
        <w:rFonts w:hint="default"/>
        <w:lang w:val="zh-CN" w:eastAsia="zh-CN" w:bidi="zh-CN"/>
      </w:rPr>
    </w:lvl>
    <w:lvl w:ilvl="3" w:tplc="7D2C75C4">
      <w:numFmt w:val="bullet"/>
      <w:lvlText w:val="•"/>
      <w:lvlJc w:val="left"/>
      <w:pPr>
        <w:ind w:left="3487" w:hanging="529"/>
      </w:pPr>
      <w:rPr>
        <w:rFonts w:hint="default"/>
        <w:lang w:val="zh-CN" w:eastAsia="zh-CN" w:bidi="zh-CN"/>
      </w:rPr>
    </w:lvl>
    <w:lvl w:ilvl="4" w:tplc="61AA3A20">
      <w:numFmt w:val="bullet"/>
      <w:lvlText w:val="•"/>
      <w:lvlJc w:val="left"/>
      <w:pPr>
        <w:ind w:left="4510" w:hanging="529"/>
      </w:pPr>
      <w:rPr>
        <w:rFonts w:hint="default"/>
        <w:lang w:val="zh-CN" w:eastAsia="zh-CN" w:bidi="zh-CN"/>
      </w:rPr>
    </w:lvl>
    <w:lvl w:ilvl="5" w:tplc="2AA8CBBE">
      <w:numFmt w:val="bullet"/>
      <w:lvlText w:val="•"/>
      <w:lvlJc w:val="left"/>
      <w:pPr>
        <w:ind w:left="5533" w:hanging="529"/>
      </w:pPr>
      <w:rPr>
        <w:rFonts w:hint="default"/>
        <w:lang w:val="zh-CN" w:eastAsia="zh-CN" w:bidi="zh-CN"/>
      </w:rPr>
    </w:lvl>
    <w:lvl w:ilvl="6" w:tplc="C070166C">
      <w:numFmt w:val="bullet"/>
      <w:lvlText w:val="•"/>
      <w:lvlJc w:val="left"/>
      <w:pPr>
        <w:ind w:left="6555" w:hanging="529"/>
      </w:pPr>
      <w:rPr>
        <w:rFonts w:hint="default"/>
        <w:lang w:val="zh-CN" w:eastAsia="zh-CN" w:bidi="zh-CN"/>
      </w:rPr>
    </w:lvl>
    <w:lvl w:ilvl="7" w:tplc="844E446E">
      <w:numFmt w:val="bullet"/>
      <w:lvlText w:val="•"/>
      <w:lvlJc w:val="left"/>
      <w:pPr>
        <w:ind w:left="7578" w:hanging="529"/>
      </w:pPr>
      <w:rPr>
        <w:rFonts w:hint="default"/>
        <w:lang w:val="zh-CN" w:eastAsia="zh-CN" w:bidi="zh-CN"/>
      </w:rPr>
    </w:lvl>
    <w:lvl w:ilvl="8" w:tplc="BE88DA6E">
      <w:numFmt w:val="bullet"/>
      <w:lvlText w:val="•"/>
      <w:lvlJc w:val="left"/>
      <w:pPr>
        <w:ind w:left="8601" w:hanging="529"/>
      </w:pPr>
      <w:rPr>
        <w:rFonts w:hint="default"/>
        <w:lang w:val="zh-CN" w:eastAsia="zh-CN" w:bidi="zh-CN"/>
      </w:rPr>
    </w:lvl>
  </w:abstractNum>
  <w:abstractNum w:abstractNumId="278" w15:restartNumberingAfterBreak="0">
    <w:nsid w:val="26542016"/>
    <w:multiLevelType w:val="hybridMultilevel"/>
    <w:tmpl w:val="41804832"/>
    <w:lvl w:ilvl="0" w:tplc="15C69DEA">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ACAA8C34">
      <w:numFmt w:val="bullet"/>
      <w:lvlText w:val="•"/>
      <w:lvlJc w:val="left"/>
      <w:pPr>
        <w:ind w:left="2288" w:hanging="529"/>
      </w:pPr>
      <w:rPr>
        <w:rFonts w:hint="default"/>
        <w:lang w:val="zh-CN" w:eastAsia="zh-CN" w:bidi="zh-CN"/>
      </w:rPr>
    </w:lvl>
    <w:lvl w:ilvl="2" w:tplc="096A71E2">
      <w:numFmt w:val="bullet"/>
      <w:lvlText w:val="•"/>
      <w:lvlJc w:val="left"/>
      <w:pPr>
        <w:ind w:left="3217" w:hanging="529"/>
      </w:pPr>
      <w:rPr>
        <w:rFonts w:hint="default"/>
        <w:lang w:val="zh-CN" w:eastAsia="zh-CN" w:bidi="zh-CN"/>
      </w:rPr>
    </w:lvl>
    <w:lvl w:ilvl="3" w:tplc="660C3562">
      <w:numFmt w:val="bullet"/>
      <w:lvlText w:val="•"/>
      <w:lvlJc w:val="left"/>
      <w:pPr>
        <w:ind w:left="4145" w:hanging="529"/>
      </w:pPr>
      <w:rPr>
        <w:rFonts w:hint="default"/>
        <w:lang w:val="zh-CN" w:eastAsia="zh-CN" w:bidi="zh-CN"/>
      </w:rPr>
    </w:lvl>
    <w:lvl w:ilvl="4" w:tplc="64F47D36">
      <w:numFmt w:val="bullet"/>
      <w:lvlText w:val="•"/>
      <w:lvlJc w:val="left"/>
      <w:pPr>
        <w:ind w:left="5074" w:hanging="529"/>
      </w:pPr>
      <w:rPr>
        <w:rFonts w:hint="default"/>
        <w:lang w:val="zh-CN" w:eastAsia="zh-CN" w:bidi="zh-CN"/>
      </w:rPr>
    </w:lvl>
    <w:lvl w:ilvl="5" w:tplc="FD10F4F2">
      <w:numFmt w:val="bullet"/>
      <w:lvlText w:val="•"/>
      <w:lvlJc w:val="left"/>
      <w:pPr>
        <w:ind w:left="6003" w:hanging="529"/>
      </w:pPr>
      <w:rPr>
        <w:rFonts w:hint="default"/>
        <w:lang w:val="zh-CN" w:eastAsia="zh-CN" w:bidi="zh-CN"/>
      </w:rPr>
    </w:lvl>
    <w:lvl w:ilvl="6" w:tplc="7C6E24FC">
      <w:numFmt w:val="bullet"/>
      <w:lvlText w:val="•"/>
      <w:lvlJc w:val="left"/>
      <w:pPr>
        <w:ind w:left="6931" w:hanging="529"/>
      </w:pPr>
      <w:rPr>
        <w:rFonts w:hint="default"/>
        <w:lang w:val="zh-CN" w:eastAsia="zh-CN" w:bidi="zh-CN"/>
      </w:rPr>
    </w:lvl>
    <w:lvl w:ilvl="7" w:tplc="65701952">
      <w:numFmt w:val="bullet"/>
      <w:lvlText w:val="•"/>
      <w:lvlJc w:val="left"/>
      <w:pPr>
        <w:ind w:left="7860" w:hanging="529"/>
      </w:pPr>
      <w:rPr>
        <w:rFonts w:hint="default"/>
        <w:lang w:val="zh-CN" w:eastAsia="zh-CN" w:bidi="zh-CN"/>
      </w:rPr>
    </w:lvl>
    <w:lvl w:ilvl="8" w:tplc="D6701484">
      <w:numFmt w:val="bullet"/>
      <w:lvlText w:val="•"/>
      <w:lvlJc w:val="left"/>
      <w:pPr>
        <w:ind w:left="8789" w:hanging="529"/>
      </w:pPr>
      <w:rPr>
        <w:rFonts w:hint="default"/>
        <w:lang w:val="zh-CN" w:eastAsia="zh-CN" w:bidi="zh-CN"/>
      </w:rPr>
    </w:lvl>
  </w:abstractNum>
  <w:abstractNum w:abstractNumId="279" w15:restartNumberingAfterBreak="0">
    <w:nsid w:val="2674615F"/>
    <w:multiLevelType w:val="hybridMultilevel"/>
    <w:tmpl w:val="AC76DA52"/>
    <w:lvl w:ilvl="0" w:tplc="1F44B4B4">
      <w:start w:val="9"/>
      <w:numFmt w:val="decimal"/>
      <w:lvlText w:val="%1"/>
      <w:lvlJc w:val="left"/>
      <w:pPr>
        <w:ind w:left="1158" w:hanging="318"/>
        <w:jc w:val="left"/>
      </w:pPr>
      <w:rPr>
        <w:rFonts w:hint="default"/>
        <w:lang w:val="zh-CN" w:eastAsia="zh-CN" w:bidi="zh-CN"/>
      </w:rPr>
    </w:lvl>
    <w:lvl w:ilvl="1" w:tplc="01768522">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F52079EE">
      <w:start w:val="1"/>
      <w:numFmt w:val="decimal"/>
      <w:lvlText w:val="%1.%2.%3"/>
      <w:lvlJc w:val="left"/>
      <w:pPr>
        <w:ind w:left="1369" w:hanging="529"/>
        <w:jc w:val="left"/>
      </w:pPr>
      <w:rPr>
        <w:rFonts w:ascii="宋体" w:eastAsia="宋体" w:hAnsi="宋体" w:cs="宋体" w:hint="default"/>
        <w:b/>
        <w:bCs/>
        <w:color w:val="333333"/>
        <w:w w:val="99"/>
        <w:sz w:val="19"/>
        <w:szCs w:val="19"/>
        <w:lang w:val="zh-CN" w:eastAsia="zh-CN" w:bidi="zh-CN"/>
      </w:rPr>
    </w:lvl>
    <w:lvl w:ilvl="3" w:tplc="028E4A08">
      <w:numFmt w:val="bullet"/>
      <w:lvlText w:val="•"/>
      <w:lvlJc w:val="left"/>
      <w:pPr>
        <w:ind w:left="3423" w:hanging="529"/>
      </w:pPr>
      <w:rPr>
        <w:rFonts w:hint="default"/>
        <w:lang w:val="zh-CN" w:eastAsia="zh-CN" w:bidi="zh-CN"/>
      </w:rPr>
    </w:lvl>
    <w:lvl w:ilvl="4" w:tplc="A6885BCC">
      <w:numFmt w:val="bullet"/>
      <w:lvlText w:val="•"/>
      <w:lvlJc w:val="left"/>
      <w:pPr>
        <w:ind w:left="4455" w:hanging="529"/>
      </w:pPr>
      <w:rPr>
        <w:rFonts w:hint="default"/>
        <w:lang w:val="zh-CN" w:eastAsia="zh-CN" w:bidi="zh-CN"/>
      </w:rPr>
    </w:lvl>
    <w:lvl w:ilvl="5" w:tplc="0DCE098C">
      <w:numFmt w:val="bullet"/>
      <w:lvlText w:val="•"/>
      <w:lvlJc w:val="left"/>
      <w:pPr>
        <w:ind w:left="5487" w:hanging="529"/>
      </w:pPr>
      <w:rPr>
        <w:rFonts w:hint="default"/>
        <w:lang w:val="zh-CN" w:eastAsia="zh-CN" w:bidi="zh-CN"/>
      </w:rPr>
    </w:lvl>
    <w:lvl w:ilvl="6" w:tplc="80D29024">
      <w:numFmt w:val="bullet"/>
      <w:lvlText w:val="•"/>
      <w:lvlJc w:val="left"/>
      <w:pPr>
        <w:ind w:left="6519" w:hanging="529"/>
      </w:pPr>
      <w:rPr>
        <w:rFonts w:hint="default"/>
        <w:lang w:val="zh-CN" w:eastAsia="zh-CN" w:bidi="zh-CN"/>
      </w:rPr>
    </w:lvl>
    <w:lvl w:ilvl="7" w:tplc="43D002BE">
      <w:numFmt w:val="bullet"/>
      <w:lvlText w:val="•"/>
      <w:lvlJc w:val="left"/>
      <w:pPr>
        <w:ind w:left="7550" w:hanging="529"/>
      </w:pPr>
      <w:rPr>
        <w:rFonts w:hint="default"/>
        <w:lang w:val="zh-CN" w:eastAsia="zh-CN" w:bidi="zh-CN"/>
      </w:rPr>
    </w:lvl>
    <w:lvl w:ilvl="8" w:tplc="74FA2DA4">
      <w:numFmt w:val="bullet"/>
      <w:lvlText w:val="•"/>
      <w:lvlJc w:val="left"/>
      <w:pPr>
        <w:ind w:left="8582" w:hanging="529"/>
      </w:pPr>
      <w:rPr>
        <w:rFonts w:hint="default"/>
        <w:lang w:val="zh-CN" w:eastAsia="zh-CN" w:bidi="zh-CN"/>
      </w:rPr>
    </w:lvl>
  </w:abstractNum>
  <w:abstractNum w:abstractNumId="280" w15:restartNumberingAfterBreak="0">
    <w:nsid w:val="268028DF"/>
    <w:multiLevelType w:val="hybridMultilevel"/>
    <w:tmpl w:val="38D6D1FE"/>
    <w:lvl w:ilvl="0" w:tplc="72D0F3B0">
      <w:start w:val="10"/>
      <w:numFmt w:val="decimal"/>
      <w:lvlText w:val="%1"/>
      <w:lvlJc w:val="left"/>
      <w:pPr>
        <w:ind w:left="418" w:hanging="424"/>
        <w:jc w:val="left"/>
      </w:pPr>
      <w:rPr>
        <w:rFonts w:hint="default"/>
        <w:lang w:val="zh-CN" w:eastAsia="zh-CN" w:bidi="zh-CN"/>
      </w:rPr>
    </w:lvl>
    <w:lvl w:ilvl="1" w:tplc="63B69E20">
      <w:start w:val="7"/>
      <w:numFmt w:val="decimal"/>
      <w:lvlText w:val="%1.%2"/>
      <w:lvlJc w:val="left"/>
      <w:pPr>
        <w:ind w:left="418" w:hanging="424"/>
        <w:jc w:val="left"/>
      </w:pPr>
      <w:rPr>
        <w:rFonts w:ascii="宋体" w:eastAsia="宋体" w:hAnsi="宋体" w:cs="宋体" w:hint="default"/>
        <w:b/>
        <w:bCs/>
        <w:w w:val="99"/>
        <w:sz w:val="19"/>
        <w:szCs w:val="19"/>
        <w:lang w:val="zh-CN" w:eastAsia="zh-CN" w:bidi="zh-CN"/>
      </w:rPr>
    </w:lvl>
    <w:lvl w:ilvl="2" w:tplc="A6465146">
      <w:numFmt w:val="bullet"/>
      <w:lvlText w:val="•"/>
      <w:lvlJc w:val="left"/>
      <w:pPr>
        <w:ind w:left="2465" w:hanging="424"/>
      </w:pPr>
      <w:rPr>
        <w:rFonts w:hint="default"/>
        <w:lang w:val="zh-CN" w:eastAsia="zh-CN" w:bidi="zh-CN"/>
      </w:rPr>
    </w:lvl>
    <w:lvl w:ilvl="3" w:tplc="76DEB3C4">
      <w:numFmt w:val="bullet"/>
      <w:lvlText w:val="•"/>
      <w:lvlJc w:val="left"/>
      <w:pPr>
        <w:ind w:left="3487" w:hanging="424"/>
      </w:pPr>
      <w:rPr>
        <w:rFonts w:hint="default"/>
        <w:lang w:val="zh-CN" w:eastAsia="zh-CN" w:bidi="zh-CN"/>
      </w:rPr>
    </w:lvl>
    <w:lvl w:ilvl="4" w:tplc="E66A2160">
      <w:numFmt w:val="bullet"/>
      <w:lvlText w:val="•"/>
      <w:lvlJc w:val="left"/>
      <w:pPr>
        <w:ind w:left="4510" w:hanging="424"/>
      </w:pPr>
      <w:rPr>
        <w:rFonts w:hint="default"/>
        <w:lang w:val="zh-CN" w:eastAsia="zh-CN" w:bidi="zh-CN"/>
      </w:rPr>
    </w:lvl>
    <w:lvl w:ilvl="5" w:tplc="A42242AC">
      <w:numFmt w:val="bullet"/>
      <w:lvlText w:val="•"/>
      <w:lvlJc w:val="left"/>
      <w:pPr>
        <w:ind w:left="5533" w:hanging="424"/>
      </w:pPr>
      <w:rPr>
        <w:rFonts w:hint="default"/>
        <w:lang w:val="zh-CN" w:eastAsia="zh-CN" w:bidi="zh-CN"/>
      </w:rPr>
    </w:lvl>
    <w:lvl w:ilvl="6" w:tplc="2BE420F2">
      <w:numFmt w:val="bullet"/>
      <w:lvlText w:val="•"/>
      <w:lvlJc w:val="left"/>
      <w:pPr>
        <w:ind w:left="6555" w:hanging="424"/>
      </w:pPr>
      <w:rPr>
        <w:rFonts w:hint="default"/>
        <w:lang w:val="zh-CN" w:eastAsia="zh-CN" w:bidi="zh-CN"/>
      </w:rPr>
    </w:lvl>
    <w:lvl w:ilvl="7" w:tplc="5F5E254A">
      <w:numFmt w:val="bullet"/>
      <w:lvlText w:val="•"/>
      <w:lvlJc w:val="left"/>
      <w:pPr>
        <w:ind w:left="7578" w:hanging="424"/>
      </w:pPr>
      <w:rPr>
        <w:rFonts w:hint="default"/>
        <w:lang w:val="zh-CN" w:eastAsia="zh-CN" w:bidi="zh-CN"/>
      </w:rPr>
    </w:lvl>
    <w:lvl w:ilvl="8" w:tplc="D2746020">
      <w:numFmt w:val="bullet"/>
      <w:lvlText w:val="•"/>
      <w:lvlJc w:val="left"/>
      <w:pPr>
        <w:ind w:left="8601" w:hanging="424"/>
      </w:pPr>
      <w:rPr>
        <w:rFonts w:hint="default"/>
        <w:lang w:val="zh-CN" w:eastAsia="zh-CN" w:bidi="zh-CN"/>
      </w:rPr>
    </w:lvl>
  </w:abstractNum>
  <w:abstractNum w:abstractNumId="281" w15:restartNumberingAfterBreak="0">
    <w:nsid w:val="26845B13"/>
    <w:multiLevelType w:val="hybridMultilevel"/>
    <w:tmpl w:val="790E9E8C"/>
    <w:lvl w:ilvl="0" w:tplc="013A563C">
      <w:start w:val="4"/>
      <w:numFmt w:val="decimal"/>
      <w:lvlText w:val="%1"/>
      <w:lvlJc w:val="left"/>
      <w:pPr>
        <w:ind w:left="1158" w:hanging="318"/>
        <w:jc w:val="left"/>
      </w:pPr>
      <w:rPr>
        <w:rFonts w:hint="default"/>
        <w:lang w:val="zh-CN" w:eastAsia="zh-CN" w:bidi="zh-CN"/>
      </w:rPr>
    </w:lvl>
    <w:lvl w:ilvl="1" w:tplc="CF581676">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2C644EEE">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8B28F27C">
      <w:numFmt w:val="bullet"/>
      <w:lvlText w:val="•"/>
      <w:lvlJc w:val="left"/>
      <w:pPr>
        <w:ind w:left="3439" w:hanging="531"/>
      </w:pPr>
      <w:rPr>
        <w:rFonts w:hint="default"/>
        <w:lang w:val="zh-CN" w:eastAsia="zh-CN" w:bidi="zh-CN"/>
      </w:rPr>
    </w:lvl>
    <w:lvl w:ilvl="4" w:tplc="019C07C2">
      <w:numFmt w:val="bullet"/>
      <w:lvlText w:val="•"/>
      <w:lvlJc w:val="left"/>
      <w:pPr>
        <w:ind w:left="4468" w:hanging="531"/>
      </w:pPr>
      <w:rPr>
        <w:rFonts w:hint="default"/>
        <w:lang w:val="zh-CN" w:eastAsia="zh-CN" w:bidi="zh-CN"/>
      </w:rPr>
    </w:lvl>
    <w:lvl w:ilvl="5" w:tplc="F7D65EFC">
      <w:numFmt w:val="bullet"/>
      <w:lvlText w:val="•"/>
      <w:lvlJc w:val="left"/>
      <w:pPr>
        <w:ind w:left="5498" w:hanging="531"/>
      </w:pPr>
      <w:rPr>
        <w:rFonts w:hint="default"/>
        <w:lang w:val="zh-CN" w:eastAsia="zh-CN" w:bidi="zh-CN"/>
      </w:rPr>
    </w:lvl>
    <w:lvl w:ilvl="6" w:tplc="886AE088">
      <w:numFmt w:val="bullet"/>
      <w:lvlText w:val="•"/>
      <w:lvlJc w:val="left"/>
      <w:pPr>
        <w:ind w:left="6528" w:hanging="531"/>
      </w:pPr>
      <w:rPr>
        <w:rFonts w:hint="default"/>
        <w:lang w:val="zh-CN" w:eastAsia="zh-CN" w:bidi="zh-CN"/>
      </w:rPr>
    </w:lvl>
    <w:lvl w:ilvl="7" w:tplc="86062B0C">
      <w:numFmt w:val="bullet"/>
      <w:lvlText w:val="•"/>
      <w:lvlJc w:val="left"/>
      <w:pPr>
        <w:ind w:left="7557" w:hanging="531"/>
      </w:pPr>
      <w:rPr>
        <w:rFonts w:hint="default"/>
        <w:lang w:val="zh-CN" w:eastAsia="zh-CN" w:bidi="zh-CN"/>
      </w:rPr>
    </w:lvl>
    <w:lvl w:ilvl="8" w:tplc="CDEEDAC8">
      <w:numFmt w:val="bullet"/>
      <w:lvlText w:val="•"/>
      <w:lvlJc w:val="left"/>
      <w:pPr>
        <w:ind w:left="8587" w:hanging="531"/>
      </w:pPr>
      <w:rPr>
        <w:rFonts w:hint="default"/>
        <w:lang w:val="zh-CN" w:eastAsia="zh-CN" w:bidi="zh-CN"/>
      </w:rPr>
    </w:lvl>
  </w:abstractNum>
  <w:abstractNum w:abstractNumId="282" w15:restartNumberingAfterBreak="0">
    <w:nsid w:val="268F751C"/>
    <w:multiLevelType w:val="hybridMultilevel"/>
    <w:tmpl w:val="238C0C8A"/>
    <w:lvl w:ilvl="0" w:tplc="4BFEBE02">
      <w:start w:val="5"/>
      <w:numFmt w:val="decimal"/>
      <w:lvlText w:val="%1"/>
      <w:lvlJc w:val="left"/>
      <w:pPr>
        <w:ind w:left="1158" w:hanging="318"/>
        <w:jc w:val="left"/>
      </w:pPr>
      <w:rPr>
        <w:rFonts w:hint="default"/>
        <w:lang w:val="zh-CN" w:eastAsia="zh-CN" w:bidi="zh-CN"/>
      </w:rPr>
    </w:lvl>
    <w:lvl w:ilvl="1" w:tplc="C95451DE">
      <w:start w:val="2"/>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2402AF3C">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1A4896E8">
      <w:numFmt w:val="bullet"/>
      <w:lvlText w:val="•"/>
      <w:lvlJc w:val="left"/>
      <w:pPr>
        <w:ind w:left="3439" w:hanging="531"/>
      </w:pPr>
      <w:rPr>
        <w:rFonts w:hint="default"/>
        <w:lang w:val="zh-CN" w:eastAsia="zh-CN" w:bidi="zh-CN"/>
      </w:rPr>
    </w:lvl>
    <w:lvl w:ilvl="4" w:tplc="A796C786">
      <w:numFmt w:val="bullet"/>
      <w:lvlText w:val="•"/>
      <w:lvlJc w:val="left"/>
      <w:pPr>
        <w:ind w:left="4468" w:hanging="531"/>
      </w:pPr>
      <w:rPr>
        <w:rFonts w:hint="default"/>
        <w:lang w:val="zh-CN" w:eastAsia="zh-CN" w:bidi="zh-CN"/>
      </w:rPr>
    </w:lvl>
    <w:lvl w:ilvl="5" w:tplc="D6B0DC62">
      <w:numFmt w:val="bullet"/>
      <w:lvlText w:val="•"/>
      <w:lvlJc w:val="left"/>
      <w:pPr>
        <w:ind w:left="5498" w:hanging="531"/>
      </w:pPr>
      <w:rPr>
        <w:rFonts w:hint="default"/>
        <w:lang w:val="zh-CN" w:eastAsia="zh-CN" w:bidi="zh-CN"/>
      </w:rPr>
    </w:lvl>
    <w:lvl w:ilvl="6" w:tplc="5FBE9980">
      <w:numFmt w:val="bullet"/>
      <w:lvlText w:val="•"/>
      <w:lvlJc w:val="left"/>
      <w:pPr>
        <w:ind w:left="6528" w:hanging="531"/>
      </w:pPr>
      <w:rPr>
        <w:rFonts w:hint="default"/>
        <w:lang w:val="zh-CN" w:eastAsia="zh-CN" w:bidi="zh-CN"/>
      </w:rPr>
    </w:lvl>
    <w:lvl w:ilvl="7" w:tplc="6A20BA4E">
      <w:numFmt w:val="bullet"/>
      <w:lvlText w:val="•"/>
      <w:lvlJc w:val="left"/>
      <w:pPr>
        <w:ind w:left="7557" w:hanging="531"/>
      </w:pPr>
      <w:rPr>
        <w:rFonts w:hint="default"/>
        <w:lang w:val="zh-CN" w:eastAsia="zh-CN" w:bidi="zh-CN"/>
      </w:rPr>
    </w:lvl>
    <w:lvl w:ilvl="8" w:tplc="EB78DB3E">
      <w:numFmt w:val="bullet"/>
      <w:lvlText w:val="•"/>
      <w:lvlJc w:val="left"/>
      <w:pPr>
        <w:ind w:left="8587" w:hanging="531"/>
      </w:pPr>
      <w:rPr>
        <w:rFonts w:hint="default"/>
        <w:lang w:val="zh-CN" w:eastAsia="zh-CN" w:bidi="zh-CN"/>
      </w:rPr>
    </w:lvl>
  </w:abstractNum>
  <w:abstractNum w:abstractNumId="283" w15:restartNumberingAfterBreak="0">
    <w:nsid w:val="26FE06ED"/>
    <w:multiLevelType w:val="hybridMultilevel"/>
    <w:tmpl w:val="D28602A8"/>
    <w:lvl w:ilvl="0" w:tplc="58CE3CAE">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4FBC7810">
      <w:numFmt w:val="bullet"/>
      <w:lvlText w:val="•"/>
      <w:lvlJc w:val="left"/>
      <w:pPr>
        <w:ind w:left="1442" w:hanging="529"/>
      </w:pPr>
      <w:rPr>
        <w:rFonts w:hint="default"/>
        <w:lang w:val="zh-CN" w:eastAsia="zh-CN" w:bidi="zh-CN"/>
      </w:rPr>
    </w:lvl>
    <w:lvl w:ilvl="2" w:tplc="7430CF66">
      <w:numFmt w:val="bullet"/>
      <w:lvlText w:val="•"/>
      <w:lvlJc w:val="left"/>
      <w:pPr>
        <w:ind w:left="2465" w:hanging="529"/>
      </w:pPr>
      <w:rPr>
        <w:rFonts w:hint="default"/>
        <w:lang w:val="zh-CN" w:eastAsia="zh-CN" w:bidi="zh-CN"/>
      </w:rPr>
    </w:lvl>
    <w:lvl w:ilvl="3" w:tplc="FFA60610">
      <w:numFmt w:val="bullet"/>
      <w:lvlText w:val="•"/>
      <w:lvlJc w:val="left"/>
      <w:pPr>
        <w:ind w:left="3487" w:hanging="529"/>
      </w:pPr>
      <w:rPr>
        <w:rFonts w:hint="default"/>
        <w:lang w:val="zh-CN" w:eastAsia="zh-CN" w:bidi="zh-CN"/>
      </w:rPr>
    </w:lvl>
    <w:lvl w:ilvl="4" w:tplc="15EE997A">
      <w:numFmt w:val="bullet"/>
      <w:lvlText w:val="•"/>
      <w:lvlJc w:val="left"/>
      <w:pPr>
        <w:ind w:left="4510" w:hanging="529"/>
      </w:pPr>
      <w:rPr>
        <w:rFonts w:hint="default"/>
        <w:lang w:val="zh-CN" w:eastAsia="zh-CN" w:bidi="zh-CN"/>
      </w:rPr>
    </w:lvl>
    <w:lvl w:ilvl="5" w:tplc="6AE8CFD8">
      <w:numFmt w:val="bullet"/>
      <w:lvlText w:val="•"/>
      <w:lvlJc w:val="left"/>
      <w:pPr>
        <w:ind w:left="5533" w:hanging="529"/>
      </w:pPr>
      <w:rPr>
        <w:rFonts w:hint="default"/>
        <w:lang w:val="zh-CN" w:eastAsia="zh-CN" w:bidi="zh-CN"/>
      </w:rPr>
    </w:lvl>
    <w:lvl w:ilvl="6" w:tplc="18864E40">
      <w:numFmt w:val="bullet"/>
      <w:lvlText w:val="•"/>
      <w:lvlJc w:val="left"/>
      <w:pPr>
        <w:ind w:left="6555" w:hanging="529"/>
      </w:pPr>
      <w:rPr>
        <w:rFonts w:hint="default"/>
        <w:lang w:val="zh-CN" w:eastAsia="zh-CN" w:bidi="zh-CN"/>
      </w:rPr>
    </w:lvl>
    <w:lvl w:ilvl="7" w:tplc="5EEE4C34">
      <w:numFmt w:val="bullet"/>
      <w:lvlText w:val="•"/>
      <w:lvlJc w:val="left"/>
      <w:pPr>
        <w:ind w:left="7578" w:hanging="529"/>
      </w:pPr>
      <w:rPr>
        <w:rFonts w:hint="default"/>
        <w:lang w:val="zh-CN" w:eastAsia="zh-CN" w:bidi="zh-CN"/>
      </w:rPr>
    </w:lvl>
    <w:lvl w:ilvl="8" w:tplc="E83C0D80">
      <w:numFmt w:val="bullet"/>
      <w:lvlText w:val="•"/>
      <w:lvlJc w:val="left"/>
      <w:pPr>
        <w:ind w:left="8601" w:hanging="529"/>
      </w:pPr>
      <w:rPr>
        <w:rFonts w:hint="default"/>
        <w:lang w:val="zh-CN" w:eastAsia="zh-CN" w:bidi="zh-CN"/>
      </w:rPr>
    </w:lvl>
  </w:abstractNum>
  <w:abstractNum w:abstractNumId="284" w15:restartNumberingAfterBreak="0">
    <w:nsid w:val="26FF332F"/>
    <w:multiLevelType w:val="hybridMultilevel"/>
    <w:tmpl w:val="9E34C574"/>
    <w:lvl w:ilvl="0" w:tplc="9EA82FB6">
      <w:start w:val="8"/>
      <w:numFmt w:val="decimal"/>
      <w:lvlText w:val="%1"/>
      <w:lvlJc w:val="left"/>
      <w:pPr>
        <w:ind w:left="418" w:hanging="531"/>
        <w:jc w:val="left"/>
      </w:pPr>
      <w:rPr>
        <w:rFonts w:hint="default"/>
        <w:lang w:val="zh-CN" w:eastAsia="zh-CN" w:bidi="zh-CN"/>
      </w:rPr>
    </w:lvl>
    <w:lvl w:ilvl="1" w:tplc="CE40F02A">
      <w:start w:val="2"/>
      <w:numFmt w:val="decimal"/>
      <w:lvlText w:val="%1.%2"/>
      <w:lvlJc w:val="left"/>
      <w:pPr>
        <w:ind w:left="418" w:hanging="531"/>
        <w:jc w:val="left"/>
      </w:pPr>
      <w:rPr>
        <w:rFonts w:hint="default"/>
        <w:lang w:val="zh-CN" w:eastAsia="zh-CN" w:bidi="zh-CN"/>
      </w:rPr>
    </w:lvl>
    <w:lvl w:ilvl="2" w:tplc="3BCEA1A8">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59766F76">
      <w:numFmt w:val="bullet"/>
      <w:lvlText w:val="•"/>
      <w:lvlJc w:val="left"/>
      <w:pPr>
        <w:ind w:left="3487" w:hanging="531"/>
      </w:pPr>
      <w:rPr>
        <w:rFonts w:hint="default"/>
        <w:lang w:val="zh-CN" w:eastAsia="zh-CN" w:bidi="zh-CN"/>
      </w:rPr>
    </w:lvl>
    <w:lvl w:ilvl="4" w:tplc="776E16E6">
      <w:numFmt w:val="bullet"/>
      <w:lvlText w:val="•"/>
      <w:lvlJc w:val="left"/>
      <w:pPr>
        <w:ind w:left="4510" w:hanging="531"/>
      </w:pPr>
      <w:rPr>
        <w:rFonts w:hint="default"/>
        <w:lang w:val="zh-CN" w:eastAsia="zh-CN" w:bidi="zh-CN"/>
      </w:rPr>
    </w:lvl>
    <w:lvl w:ilvl="5" w:tplc="C1A69FD0">
      <w:numFmt w:val="bullet"/>
      <w:lvlText w:val="•"/>
      <w:lvlJc w:val="left"/>
      <w:pPr>
        <w:ind w:left="5533" w:hanging="531"/>
      </w:pPr>
      <w:rPr>
        <w:rFonts w:hint="default"/>
        <w:lang w:val="zh-CN" w:eastAsia="zh-CN" w:bidi="zh-CN"/>
      </w:rPr>
    </w:lvl>
    <w:lvl w:ilvl="6" w:tplc="7AC40ECE">
      <w:numFmt w:val="bullet"/>
      <w:lvlText w:val="•"/>
      <w:lvlJc w:val="left"/>
      <w:pPr>
        <w:ind w:left="6555" w:hanging="531"/>
      </w:pPr>
      <w:rPr>
        <w:rFonts w:hint="default"/>
        <w:lang w:val="zh-CN" w:eastAsia="zh-CN" w:bidi="zh-CN"/>
      </w:rPr>
    </w:lvl>
    <w:lvl w:ilvl="7" w:tplc="705AA94C">
      <w:numFmt w:val="bullet"/>
      <w:lvlText w:val="•"/>
      <w:lvlJc w:val="left"/>
      <w:pPr>
        <w:ind w:left="7578" w:hanging="531"/>
      </w:pPr>
      <w:rPr>
        <w:rFonts w:hint="default"/>
        <w:lang w:val="zh-CN" w:eastAsia="zh-CN" w:bidi="zh-CN"/>
      </w:rPr>
    </w:lvl>
    <w:lvl w:ilvl="8" w:tplc="33268608">
      <w:numFmt w:val="bullet"/>
      <w:lvlText w:val="•"/>
      <w:lvlJc w:val="left"/>
      <w:pPr>
        <w:ind w:left="8601" w:hanging="531"/>
      </w:pPr>
      <w:rPr>
        <w:rFonts w:hint="default"/>
        <w:lang w:val="zh-CN" w:eastAsia="zh-CN" w:bidi="zh-CN"/>
      </w:rPr>
    </w:lvl>
  </w:abstractNum>
  <w:abstractNum w:abstractNumId="285" w15:restartNumberingAfterBreak="0">
    <w:nsid w:val="270A64DA"/>
    <w:multiLevelType w:val="hybridMultilevel"/>
    <w:tmpl w:val="92DC8686"/>
    <w:lvl w:ilvl="0" w:tplc="660EC508">
      <w:start w:val="7"/>
      <w:numFmt w:val="decimal"/>
      <w:lvlText w:val="%1"/>
      <w:lvlJc w:val="left"/>
      <w:pPr>
        <w:ind w:left="1159" w:hanging="320"/>
        <w:jc w:val="left"/>
      </w:pPr>
      <w:rPr>
        <w:rFonts w:hint="default"/>
        <w:lang w:val="zh-CN" w:eastAsia="zh-CN" w:bidi="zh-CN"/>
      </w:rPr>
    </w:lvl>
    <w:lvl w:ilvl="1" w:tplc="65D05FFC">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DBB2FBC6">
      <w:numFmt w:val="bullet"/>
      <w:lvlText w:val="•"/>
      <w:lvlJc w:val="left"/>
      <w:pPr>
        <w:ind w:left="3057" w:hanging="320"/>
      </w:pPr>
      <w:rPr>
        <w:rFonts w:hint="default"/>
        <w:lang w:val="zh-CN" w:eastAsia="zh-CN" w:bidi="zh-CN"/>
      </w:rPr>
    </w:lvl>
    <w:lvl w:ilvl="3" w:tplc="6B1C9DEC">
      <w:numFmt w:val="bullet"/>
      <w:lvlText w:val="•"/>
      <w:lvlJc w:val="left"/>
      <w:pPr>
        <w:ind w:left="4005" w:hanging="320"/>
      </w:pPr>
      <w:rPr>
        <w:rFonts w:hint="default"/>
        <w:lang w:val="zh-CN" w:eastAsia="zh-CN" w:bidi="zh-CN"/>
      </w:rPr>
    </w:lvl>
    <w:lvl w:ilvl="4" w:tplc="D19AB686">
      <w:numFmt w:val="bullet"/>
      <w:lvlText w:val="•"/>
      <w:lvlJc w:val="left"/>
      <w:pPr>
        <w:ind w:left="4954" w:hanging="320"/>
      </w:pPr>
      <w:rPr>
        <w:rFonts w:hint="default"/>
        <w:lang w:val="zh-CN" w:eastAsia="zh-CN" w:bidi="zh-CN"/>
      </w:rPr>
    </w:lvl>
    <w:lvl w:ilvl="5" w:tplc="C880778A">
      <w:numFmt w:val="bullet"/>
      <w:lvlText w:val="•"/>
      <w:lvlJc w:val="left"/>
      <w:pPr>
        <w:ind w:left="5903" w:hanging="320"/>
      </w:pPr>
      <w:rPr>
        <w:rFonts w:hint="default"/>
        <w:lang w:val="zh-CN" w:eastAsia="zh-CN" w:bidi="zh-CN"/>
      </w:rPr>
    </w:lvl>
    <w:lvl w:ilvl="6" w:tplc="672804FA">
      <w:numFmt w:val="bullet"/>
      <w:lvlText w:val="•"/>
      <w:lvlJc w:val="left"/>
      <w:pPr>
        <w:ind w:left="6851" w:hanging="320"/>
      </w:pPr>
      <w:rPr>
        <w:rFonts w:hint="default"/>
        <w:lang w:val="zh-CN" w:eastAsia="zh-CN" w:bidi="zh-CN"/>
      </w:rPr>
    </w:lvl>
    <w:lvl w:ilvl="7" w:tplc="2FE4CD48">
      <w:numFmt w:val="bullet"/>
      <w:lvlText w:val="•"/>
      <w:lvlJc w:val="left"/>
      <w:pPr>
        <w:ind w:left="7800" w:hanging="320"/>
      </w:pPr>
      <w:rPr>
        <w:rFonts w:hint="default"/>
        <w:lang w:val="zh-CN" w:eastAsia="zh-CN" w:bidi="zh-CN"/>
      </w:rPr>
    </w:lvl>
    <w:lvl w:ilvl="8" w:tplc="FD428B3C">
      <w:numFmt w:val="bullet"/>
      <w:lvlText w:val="•"/>
      <w:lvlJc w:val="left"/>
      <w:pPr>
        <w:ind w:left="8749" w:hanging="320"/>
      </w:pPr>
      <w:rPr>
        <w:rFonts w:hint="default"/>
        <w:lang w:val="zh-CN" w:eastAsia="zh-CN" w:bidi="zh-CN"/>
      </w:rPr>
    </w:lvl>
  </w:abstractNum>
  <w:abstractNum w:abstractNumId="286" w15:restartNumberingAfterBreak="0">
    <w:nsid w:val="27175E99"/>
    <w:multiLevelType w:val="hybridMultilevel"/>
    <w:tmpl w:val="A21CAC5C"/>
    <w:lvl w:ilvl="0" w:tplc="DBD885D0">
      <w:start w:val="3"/>
      <w:numFmt w:val="decimal"/>
      <w:lvlText w:val="%1"/>
      <w:lvlJc w:val="left"/>
      <w:pPr>
        <w:ind w:left="838" w:hanging="372"/>
        <w:jc w:val="left"/>
      </w:pPr>
      <w:rPr>
        <w:rFonts w:hint="default"/>
        <w:lang w:val="zh-CN" w:eastAsia="zh-CN" w:bidi="zh-CN"/>
      </w:rPr>
    </w:lvl>
    <w:lvl w:ilvl="1" w:tplc="F45E6C6C">
      <w:start w:val="1"/>
      <w:numFmt w:val="decimal"/>
      <w:lvlText w:val="%1.%2"/>
      <w:lvlJc w:val="left"/>
      <w:pPr>
        <w:ind w:left="838" w:hanging="372"/>
        <w:jc w:val="left"/>
      </w:pPr>
      <w:rPr>
        <w:rFonts w:ascii="宋体" w:eastAsia="宋体" w:hAnsi="宋体" w:cs="宋体" w:hint="default"/>
        <w:b/>
        <w:bCs/>
        <w:w w:val="99"/>
        <w:sz w:val="21"/>
        <w:szCs w:val="21"/>
        <w:lang w:val="zh-CN" w:eastAsia="zh-CN" w:bidi="zh-CN"/>
      </w:rPr>
    </w:lvl>
    <w:lvl w:ilvl="2" w:tplc="FD4E2B7E">
      <w:numFmt w:val="bullet"/>
      <w:lvlText w:val="•"/>
      <w:lvlJc w:val="left"/>
      <w:pPr>
        <w:ind w:left="2801" w:hanging="372"/>
      </w:pPr>
      <w:rPr>
        <w:rFonts w:hint="default"/>
        <w:lang w:val="zh-CN" w:eastAsia="zh-CN" w:bidi="zh-CN"/>
      </w:rPr>
    </w:lvl>
    <w:lvl w:ilvl="3" w:tplc="E6D4E988">
      <w:numFmt w:val="bullet"/>
      <w:lvlText w:val="•"/>
      <w:lvlJc w:val="left"/>
      <w:pPr>
        <w:ind w:left="3781" w:hanging="372"/>
      </w:pPr>
      <w:rPr>
        <w:rFonts w:hint="default"/>
        <w:lang w:val="zh-CN" w:eastAsia="zh-CN" w:bidi="zh-CN"/>
      </w:rPr>
    </w:lvl>
    <w:lvl w:ilvl="4" w:tplc="9F0E8648">
      <w:numFmt w:val="bullet"/>
      <w:lvlText w:val="•"/>
      <w:lvlJc w:val="left"/>
      <w:pPr>
        <w:ind w:left="4762" w:hanging="372"/>
      </w:pPr>
      <w:rPr>
        <w:rFonts w:hint="default"/>
        <w:lang w:val="zh-CN" w:eastAsia="zh-CN" w:bidi="zh-CN"/>
      </w:rPr>
    </w:lvl>
    <w:lvl w:ilvl="5" w:tplc="EB5EF3F2">
      <w:numFmt w:val="bullet"/>
      <w:lvlText w:val="•"/>
      <w:lvlJc w:val="left"/>
      <w:pPr>
        <w:ind w:left="5743" w:hanging="372"/>
      </w:pPr>
      <w:rPr>
        <w:rFonts w:hint="default"/>
        <w:lang w:val="zh-CN" w:eastAsia="zh-CN" w:bidi="zh-CN"/>
      </w:rPr>
    </w:lvl>
    <w:lvl w:ilvl="6" w:tplc="5040173E">
      <w:numFmt w:val="bullet"/>
      <w:lvlText w:val="•"/>
      <w:lvlJc w:val="left"/>
      <w:pPr>
        <w:ind w:left="6723" w:hanging="372"/>
      </w:pPr>
      <w:rPr>
        <w:rFonts w:hint="default"/>
        <w:lang w:val="zh-CN" w:eastAsia="zh-CN" w:bidi="zh-CN"/>
      </w:rPr>
    </w:lvl>
    <w:lvl w:ilvl="7" w:tplc="E81AD34E">
      <w:numFmt w:val="bullet"/>
      <w:lvlText w:val="•"/>
      <w:lvlJc w:val="left"/>
      <w:pPr>
        <w:ind w:left="7704" w:hanging="372"/>
      </w:pPr>
      <w:rPr>
        <w:rFonts w:hint="default"/>
        <w:lang w:val="zh-CN" w:eastAsia="zh-CN" w:bidi="zh-CN"/>
      </w:rPr>
    </w:lvl>
    <w:lvl w:ilvl="8" w:tplc="DEB2CF82">
      <w:numFmt w:val="bullet"/>
      <w:lvlText w:val="•"/>
      <w:lvlJc w:val="left"/>
      <w:pPr>
        <w:ind w:left="8685" w:hanging="372"/>
      </w:pPr>
      <w:rPr>
        <w:rFonts w:hint="default"/>
        <w:lang w:val="zh-CN" w:eastAsia="zh-CN" w:bidi="zh-CN"/>
      </w:rPr>
    </w:lvl>
  </w:abstractNum>
  <w:abstractNum w:abstractNumId="287" w15:restartNumberingAfterBreak="0">
    <w:nsid w:val="271807AD"/>
    <w:multiLevelType w:val="hybridMultilevel"/>
    <w:tmpl w:val="5BD8C22E"/>
    <w:lvl w:ilvl="0" w:tplc="F3D4AD92">
      <w:start w:val="8"/>
      <w:numFmt w:val="decimal"/>
      <w:lvlText w:val="%1"/>
      <w:lvlJc w:val="left"/>
      <w:pPr>
        <w:ind w:left="1159" w:hanging="320"/>
        <w:jc w:val="left"/>
      </w:pPr>
      <w:rPr>
        <w:rFonts w:hint="default"/>
        <w:lang w:val="zh-CN" w:eastAsia="zh-CN" w:bidi="zh-CN"/>
      </w:rPr>
    </w:lvl>
    <w:lvl w:ilvl="1" w:tplc="47A4B5B4">
      <w:start w:val="5"/>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27EA8222">
      <w:start w:val="1"/>
      <w:numFmt w:val="decimal"/>
      <w:lvlText w:val="%1.%2.%3"/>
      <w:lvlJc w:val="left"/>
      <w:pPr>
        <w:ind w:left="1370" w:hanging="531"/>
        <w:jc w:val="left"/>
      </w:pPr>
      <w:rPr>
        <w:rFonts w:ascii="宋体" w:eastAsia="宋体" w:hAnsi="宋体" w:cs="宋体" w:hint="default"/>
        <w:b/>
        <w:bCs/>
        <w:color w:val="333333"/>
        <w:w w:val="99"/>
        <w:sz w:val="19"/>
        <w:szCs w:val="19"/>
        <w:lang w:val="zh-CN" w:eastAsia="zh-CN" w:bidi="zh-CN"/>
      </w:rPr>
    </w:lvl>
    <w:lvl w:ilvl="3" w:tplc="C52CDA40">
      <w:numFmt w:val="bullet"/>
      <w:lvlText w:val="•"/>
      <w:lvlJc w:val="left"/>
      <w:pPr>
        <w:ind w:left="3439" w:hanging="531"/>
      </w:pPr>
      <w:rPr>
        <w:rFonts w:hint="default"/>
        <w:lang w:val="zh-CN" w:eastAsia="zh-CN" w:bidi="zh-CN"/>
      </w:rPr>
    </w:lvl>
    <w:lvl w:ilvl="4" w:tplc="44E6A368">
      <w:numFmt w:val="bullet"/>
      <w:lvlText w:val="•"/>
      <w:lvlJc w:val="left"/>
      <w:pPr>
        <w:ind w:left="4468" w:hanging="531"/>
      </w:pPr>
      <w:rPr>
        <w:rFonts w:hint="default"/>
        <w:lang w:val="zh-CN" w:eastAsia="zh-CN" w:bidi="zh-CN"/>
      </w:rPr>
    </w:lvl>
    <w:lvl w:ilvl="5" w:tplc="7B9C7934">
      <w:numFmt w:val="bullet"/>
      <w:lvlText w:val="•"/>
      <w:lvlJc w:val="left"/>
      <w:pPr>
        <w:ind w:left="5498" w:hanging="531"/>
      </w:pPr>
      <w:rPr>
        <w:rFonts w:hint="default"/>
        <w:lang w:val="zh-CN" w:eastAsia="zh-CN" w:bidi="zh-CN"/>
      </w:rPr>
    </w:lvl>
    <w:lvl w:ilvl="6" w:tplc="44A4D352">
      <w:numFmt w:val="bullet"/>
      <w:lvlText w:val="•"/>
      <w:lvlJc w:val="left"/>
      <w:pPr>
        <w:ind w:left="6528" w:hanging="531"/>
      </w:pPr>
      <w:rPr>
        <w:rFonts w:hint="default"/>
        <w:lang w:val="zh-CN" w:eastAsia="zh-CN" w:bidi="zh-CN"/>
      </w:rPr>
    </w:lvl>
    <w:lvl w:ilvl="7" w:tplc="843460A0">
      <w:numFmt w:val="bullet"/>
      <w:lvlText w:val="•"/>
      <w:lvlJc w:val="left"/>
      <w:pPr>
        <w:ind w:left="7557" w:hanging="531"/>
      </w:pPr>
      <w:rPr>
        <w:rFonts w:hint="default"/>
        <w:lang w:val="zh-CN" w:eastAsia="zh-CN" w:bidi="zh-CN"/>
      </w:rPr>
    </w:lvl>
    <w:lvl w:ilvl="8" w:tplc="4BF21786">
      <w:numFmt w:val="bullet"/>
      <w:lvlText w:val="•"/>
      <w:lvlJc w:val="left"/>
      <w:pPr>
        <w:ind w:left="8587" w:hanging="531"/>
      </w:pPr>
      <w:rPr>
        <w:rFonts w:hint="default"/>
        <w:lang w:val="zh-CN" w:eastAsia="zh-CN" w:bidi="zh-CN"/>
      </w:rPr>
    </w:lvl>
  </w:abstractNum>
  <w:abstractNum w:abstractNumId="288" w15:restartNumberingAfterBreak="0">
    <w:nsid w:val="272A21AD"/>
    <w:multiLevelType w:val="hybridMultilevel"/>
    <w:tmpl w:val="4F18E25E"/>
    <w:lvl w:ilvl="0" w:tplc="BB962364">
      <w:start w:val="4"/>
      <w:numFmt w:val="decimal"/>
      <w:lvlText w:val="%1"/>
      <w:lvlJc w:val="left"/>
      <w:pPr>
        <w:ind w:left="1158" w:hanging="318"/>
        <w:jc w:val="left"/>
      </w:pPr>
      <w:rPr>
        <w:rFonts w:hint="default"/>
        <w:lang w:val="zh-CN" w:eastAsia="zh-CN" w:bidi="zh-CN"/>
      </w:rPr>
    </w:lvl>
    <w:lvl w:ilvl="1" w:tplc="17929B18">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714C0BC8">
      <w:start w:val="1"/>
      <w:numFmt w:val="decimal"/>
      <w:lvlText w:val="%1.%2.%3"/>
      <w:lvlJc w:val="left"/>
      <w:pPr>
        <w:ind w:left="1423" w:hanging="584"/>
        <w:jc w:val="left"/>
      </w:pPr>
      <w:rPr>
        <w:rFonts w:ascii="宋体" w:eastAsia="宋体" w:hAnsi="宋体" w:cs="宋体" w:hint="default"/>
        <w:b/>
        <w:bCs/>
        <w:w w:val="99"/>
        <w:sz w:val="21"/>
        <w:szCs w:val="21"/>
        <w:lang w:val="zh-CN" w:eastAsia="zh-CN" w:bidi="zh-CN"/>
      </w:rPr>
    </w:lvl>
    <w:lvl w:ilvl="3" w:tplc="76F62C22">
      <w:numFmt w:val="bullet"/>
      <w:lvlText w:val="•"/>
      <w:lvlJc w:val="left"/>
      <w:pPr>
        <w:ind w:left="2573" w:hanging="584"/>
      </w:pPr>
      <w:rPr>
        <w:rFonts w:hint="default"/>
        <w:lang w:val="zh-CN" w:eastAsia="zh-CN" w:bidi="zh-CN"/>
      </w:rPr>
    </w:lvl>
    <w:lvl w:ilvl="4" w:tplc="64B04BC2">
      <w:numFmt w:val="bullet"/>
      <w:lvlText w:val="•"/>
      <w:lvlJc w:val="left"/>
      <w:pPr>
        <w:ind w:left="3726" w:hanging="584"/>
      </w:pPr>
      <w:rPr>
        <w:rFonts w:hint="default"/>
        <w:lang w:val="zh-CN" w:eastAsia="zh-CN" w:bidi="zh-CN"/>
      </w:rPr>
    </w:lvl>
    <w:lvl w:ilvl="5" w:tplc="CC6A7320">
      <w:numFmt w:val="bullet"/>
      <w:lvlText w:val="•"/>
      <w:lvlJc w:val="left"/>
      <w:pPr>
        <w:ind w:left="4879" w:hanging="584"/>
      </w:pPr>
      <w:rPr>
        <w:rFonts w:hint="default"/>
        <w:lang w:val="zh-CN" w:eastAsia="zh-CN" w:bidi="zh-CN"/>
      </w:rPr>
    </w:lvl>
    <w:lvl w:ilvl="6" w:tplc="F5BCD18A">
      <w:numFmt w:val="bullet"/>
      <w:lvlText w:val="•"/>
      <w:lvlJc w:val="left"/>
      <w:pPr>
        <w:ind w:left="6033" w:hanging="584"/>
      </w:pPr>
      <w:rPr>
        <w:rFonts w:hint="default"/>
        <w:lang w:val="zh-CN" w:eastAsia="zh-CN" w:bidi="zh-CN"/>
      </w:rPr>
    </w:lvl>
    <w:lvl w:ilvl="7" w:tplc="483A50B6">
      <w:numFmt w:val="bullet"/>
      <w:lvlText w:val="•"/>
      <w:lvlJc w:val="left"/>
      <w:pPr>
        <w:ind w:left="7186" w:hanging="584"/>
      </w:pPr>
      <w:rPr>
        <w:rFonts w:hint="default"/>
        <w:lang w:val="zh-CN" w:eastAsia="zh-CN" w:bidi="zh-CN"/>
      </w:rPr>
    </w:lvl>
    <w:lvl w:ilvl="8" w:tplc="D938EC8E">
      <w:numFmt w:val="bullet"/>
      <w:lvlText w:val="•"/>
      <w:lvlJc w:val="left"/>
      <w:pPr>
        <w:ind w:left="8339" w:hanging="584"/>
      </w:pPr>
      <w:rPr>
        <w:rFonts w:hint="default"/>
        <w:lang w:val="zh-CN" w:eastAsia="zh-CN" w:bidi="zh-CN"/>
      </w:rPr>
    </w:lvl>
  </w:abstractNum>
  <w:abstractNum w:abstractNumId="289" w15:restartNumberingAfterBreak="0">
    <w:nsid w:val="276E5BBC"/>
    <w:multiLevelType w:val="hybridMultilevel"/>
    <w:tmpl w:val="0E3A4918"/>
    <w:lvl w:ilvl="0" w:tplc="76AE55D0">
      <w:start w:val="4"/>
      <w:numFmt w:val="decimal"/>
      <w:lvlText w:val="%1"/>
      <w:lvlJc w:val="left"/>
      <w:pPr>
        <w:ind w:left="1370" w:hanging="531"/>
        <w:jc w:val="left"/>
      </w:pPr>
      <w:rPr>
        <w:rFonts w:hint="default"/>
        <w:lang w:val="zh-CN" w:eastAsia="zh-CN" w:bidi="zh-CN"/>
      </w:rPr>
    </w:lvl>
    <w:lvl w:ilvl="1" w:tplc="801643D6">
      <w:start w:val="2"/>
      <w:numFmt w:val="decimal"/>
      <w:lvlText w:val="%1.%2"/>
      <w:lvlJc w:val="left"/>
      <w:pPr>
        <w:ind w:left="1370" w:hanging="531"/>
        <w:jc w:val="left"/>
      </w:pPr>
      <w:rPr>
        <w:rFonts w:hint="default"/>
        <w:lang w:val="zh-CN" w:eastAsia="zh-CN" w:bidi="zh-CN"/>
      </w:rPr>
    </w:lvl>
    <w:lvl w:ilvl="2" w:tplc="D720972C">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EF205BF8">
      <w:numFmt w:val="bullet"/>
      <w:lvlText w:val="•"/>
      <w:lvlJc w:val="left"/>
      <w:pPr>
        <w:ind w:left="4159" w:hanging="531"/>
      </w:pPr>
      <w:rPr>
        <w:rFonts w:hint="default"/>
        <w:lang w:val="zh-CN" w:eastAsia="zh-CN" w:bidi="zh-CN"/>
      </w:rPr>
    </w:lvl>
    <w:lvl w:ilvl="4" w:tplc="AA74A31C">
      <w:numFmt w:val="bullet"/>
      <w:lvlText w:val="•"/>
      <w:lvlJc w:val="left"/>
      <w:pPr>
        <w:ind w:left="5086" w:hanging="531"/>
      </w:pPr>
      <w:rPr>
        <w:rFonts w:hint="default"/>
        <w:lang w:val="zh-CN" w:eastAsia="zh-CN" w:bidi="zh-CN"/>
      </w:rPr>
    </w:lvl>
    <w:lvl w:ilvl="5" w:tplc="DC949C9C">
      <w:numFmt w:val="bullet"/>
      <w:lvlText w:val="•"/>
      <w:lvlJc w:val="left"/>
      <w:pPr>
        <w:ind w:left="6013" w:hanging="531"/>
      </w:pPr>
      <w:rPr>
        <w:rFonts w:hint="default"/>
        <w:lang w:val="zh-CN" w:eastAsia="zh-CN" w:bidi="zh-CN"/>
      </w:rPr>
    </w:lvl>
    <w:lvl w:ilvl="6" w:tplc="A2C265D4">
      <w:numFmt w:val="bullet"/>
      <w:lvlText w:val="•"/>
      <w:lvlJc w:val="left"/>
      <w:pPr>
        <w:ind w:left="6939" w:hanging="531"/>
      </w:pPr>
      <w:rPr>
        <w:rFonts w:hint="default"/>
        <w:lang w:val="zh-CN" w:eastAsia="zh-CN" w:bidi="zh-CN"/>
      </w:rPr>
    </w:lvl>
    <w:lvl w:ilvl="7" w:tplc="D4205026">
      <w:numFmt w:val="bullet"/>
      <w:lvlText w:val="•"/>
      <w:lvlJc w:val="left"/>
      <w:pPr>
        <w:ind w:left="7866" w:hanging="531"/>
      </w:pPr>
      <w:rPr>
        <w:rFonts w:hint="default"/>
        <w:lang w:val="zh-CN" w:eastAsia="zh-CN" w:bidi="zh-CN"/>
      </w:rPr>
    </w:lvl>
    <w:lvl w:ilvl="8" w:tplc="3A647720">
      <w:numFmt w:val="bullet"/>
      <w:lvlText w:val="•"/>
      <w:lvlJc w:val="left"/>
      <w:pPr>
        <w:ind w:left="8793" w:hanging="531"/>
      </w:pPr>
      <w:rPr>
        <w:rFonts w:hint="default"/>
        <w:lang w:val="zh-CN" w:eastAsia="zh-CN" w:bidi="zh-CN"/>
      </w:rPr>
    </w:lvl>
  </w:abstractNum>
  <w:abstractNum w:abstractNumId="290" w15:restartNumberingAfterBreak="0">
    <w:nsid w:val="277B662B"/>
    <w:multiLevelType w:val="hybridMultilevel"/>
    <w:tmpl w:val="74DA459E"/>
    <w:lvl w:ilvl="0" w:tplc="31DE9388">
      <w:start w:val="3"/>
      <w:numFmt w:val="decimal"/>
      <w:lvlText w:val="%1"/>
      <w:lvlJc w:val="left"/>
      <w:pPr>
        <w:ind w:left="947" w:hanging="529"/>
        <w:jc w:val="left"/>
      </w:pPr>
      <w:rPr>
        <w:rFonts w:hint="default"/>
        <w:lang w:val="zh-CN" w:eastAsia="zh-CN" w:bidi="zh-CN"/>
      </w:rPr>
    </w:lvl>
    <w:lvl w:ilvl="1" w:tplc="5BB48A30">
      <w:start w:val="3"/>
      <w:numFmt w:val="decimal"/>
      <w:lvlText w:val="%1.%2"/>
      <w:lvlJc w:val="left"/>
      <w:pPr>
        <w:ind w:left="947" w:hanging="529"/>
        <w:jc w:val="left"/>
      </w:pPr>
      <w:rPr>
        <w:rFonts w:hint="default"/>
        <w:lang w:val="zh-CN" w:eastAsia="zh-CN" w:bidi="zh-CN"/>
      </w:rPr>
    </w:lvl>
    <w:lvl w:ilvl="2" w:tplc="EA569948">
      <w:start w:val="1"/>
      <w:numFmt w:val="decimal"/>
      <w:lvlText w:val="%1.%2.%3"/>
      <w:lvlJc w:val="left"/>
      <w:pPr>
        <w:ind w:left="947" w:hanging="529"/>
        <w:jc w:val="right"/>
      </w:pPr>
      <w:rPr>
        <w:rFonts w:hint="default"/>
        <w:w w:val="100"/>
        <w:lang w:val="zh-CN" w:eastAsia="zh-CN" w:bidi="zh-CN"/>
      </w:rPr>
    </w:lvl>
    <w:lvl w:ilvl="3" w:tplc="F124A4FC">
      <w:start w:val="2"/>
      <w:numFmt w:val="decimal"/>
      <w:lvlText w:val="%4."/>
      <w:lvlJc w:val="left"/>
      <w:pPr>
        <w:ind w:left="418" w:hanging="213"/>
        <w:jc w:val="left"/>
      </w:pPr>
      <w:rPr>
        <w:rFonts w:ascii="宋体" w:eastAsia="宋体" w:hAnsi="宋体" w:cs="宋体" w:hint="default"/>
        <w:color w:val="333333"/>
        <w:spacing w:val="-55"/>
        <w:w w:val="100"/>
        <w:sz w:val="19"/>
        <w:szCs w:val="19"/>
        <w:lang w:val="zh-CN" w:eastAsia="zh-CN" w:bidi="zh-CN"/>
      </w:rPr>
    </w:lvl>
    <w:lvl w:ilvl="4" w:tplc="F714441A">
      <w:numFmt w:val="bullet"/>
      <w:lvlText w:val="•"/>
      <w:lvlJc w:val="left"/>
      <w:pPr>
        <w:ind w:left="4175" w:hanging="213"/>
      </w:pPr>
      <w:rPr>
        <w:rFonts w:hint="default"/>
        <w:lang w:val="zh-CN" w:eastAsia="zh-CN" w:bidi="zh-CN"/>
      </w:rPr>
    </w:lvl>
    <w:lvl w:ilvl="5" w:tplc="164E2BB2">
      <w:numFmt w:val="bullet"/>
      <w:lvlText w:val="•"/>
      <w:lvlJc w:val="left"/>
      <w:pPr>
        <w:ind w:left="5253" w:hanging="213"/>
      </w:pPr>
      <w:rPr>
        <w:rFonts w:hint="default"/>
        <w:lang w:val="zh-CN" w:eastAsia="zh-CN" w:bidi="zh-CN"/>
      </w:rPr>
    </w:lvl>
    <w:lvl w:ilvl="6" w:tplc="B52E3DDA">
      <w:numFmt w:val="bullet"/>
      <w:lvlText w:val="•"/>
      <w:lvlJc w:val="left"/>
      <w:pPr>
        <w:ind w:left="6332" w:hanging="213"/>
      </w:pPr>
      <w:rPr>
        <w:rFonts w:hint="default"/>
        <w:lang w:val="zh-CN" w:eastAsia="zh-CN" w:bidi="zh-CN"/>
      </w:rPr>
    </w:lvl>
    <w:lvl w:ilvl="7" w:tplc="279E4CDE">
      <w:numFmt w:val="bullet"/>
      <w:lvlText w:val="•"/>
      <w:lvlJc w:val="left"/>
      <w:pPr>
        <w:ind w:left="7410" w:hanging="213"/>
      </w:pPr>
      <w:rPr>
        <w:rFonts w:hint="default"/>
        <w:lang w:val="zh-CN" w:eastAsia="zh-CN" w:bidi="zh-CN"/>
      </w:rPr>
    </w:lvl>
    <w:lvl w:ilvl="8" w:tplc="67409C90">
      <w:numFmt w:val="bullet"/>
      <w:lvlText w:val="•"/>
      <w:lvlJc w:val="left"/>
      <w:pPr>
        <w:ind w:left="8489" w:hanging="213"/>
      </w:pPr>
      <w:rPr>
        <w:rFonts w:hint="default"/>
        <w:lang w:val="zh-CN" w:eastAsia="zh-CN" w:bidi="zh-CN"/>
      </w:rPr>
    </w:lvl>
  </w:abstractNum>
  <w:abstractNum w:abstractNumId="291" w15:restartNumberingAfterBreak="0">
    <w:nsid w:val="27995658"/>
    <w:multiLevelType w:val="hybridMultilevel"/>
    <w:tmpl w:val="49D03FF2"/>
    <w:lvl w:ilvl="0" w:tplc="77C67060">
      <w:start w:val="4"/>
      <w:numFmt w:val="decimal"/>
      <w:lvlText w:val="%1"/>
      <w:lvlJc w:val="left"/>
      <w:pPr>
        <w:ind w:left="1158" w:hanging="318"/>
        <w:jc w:val="left"/>
      </w:pPr>
      <w:rPr>
        <w:rFonts w:hint="default"/>
        <w:lang w:val="zh-CN" w:eastAsia="zh-CN" w:bidi="zh-CN"/>
      </w:rPr>
    </w:lvl>
    <w:lvl w:ilvl="1" w:tplc="75640F28">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C5A02334">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C66499C2">
      <w:numFmt w:val="bullet"/>
      <w:lvlText w:val="•"/>
      <w:lvlJc w:val="left"/>
      <w:pPr>
        <w:ind w:left="3423" w:hanging="529"/>
      </w:pPr>
      <w:rPr>
        <w:rFonts w:hint="default"/>
        <w:lang w:val="zh-CN" w:eastAsia="zh-CN" w:bidi="zh-CN"/>
      </w:rPr>
    </w:lvl>
    <w:lvl w:ilvl="4" w:tplc="5094C5D6">
      <w:numFmt w:val="bullet"/>
      <w:lvlText w:val="•"/>
      <w:lvlJc w:val="left"/>
      <w:pPr>
        <w:ind w:left="4455" w:hanging="529"/>
      </w:pPr>
      <w:rPr>
        <w:rFonts w:hint="default"/>
        <w:lang w:val="zh-CN" w:eastAsia="zh-CN" w:bidi="zh-CN"/>
      </w:rPr>
    </w:lvl>
    <w:lvl w:ilvl="5" w:tplc="4B5EA974">
      <w:numFmt w:val="bullet"/>
      <w:lvlText w:val="•"/>
      <w:lvlJc w:val="left"/>
      <w:pPr>
        <w:ind w:left="5487" w:hanging="529"/>
      </w:pPr>
      <w:rPr>
        <w:rFonts w:hint="default"/>
        <w:lang w:val="zh-CN" w:eastAsia="zh-CN" w:bidi="zh-CN"/>
      </w:rPr>
    </w:lvl>
    <w:lvl w:ilvl="6" w:tplc="32684038">
      <w:numFmt w:val="bullet"/>
      <w:lvlText w:val="•"/>
      <w:lvlJc w:val="left"/>
      <w:pPr>
        <w:ind w:left="6519" w:hanging="529"/>
      </w:pPr>
      <w:rPr>
        <w:rFonts w:hint="default"/>
        <w:lang w:val="zh-CN" w:eastAsia="zh-CN" w:bidi="zh-CN"/>
      </w:rPr>
    </w:lvl>
    <w:lvl w:ilvl="7" w:tplc="FA785404">
      <w:numFmt w:val="bullet"/>
      <w:lvlText w:val="•"/>
      <w:lvlJc w:val="left"/>
      <w:pPr>
        <w:ind w:left="7550" w:hanging="529"/>
      </w:pPr>
      <w:rPr>
        <w:rFonts w:hint="default"/>
        <w:lang w:val="zh-CN" w:eastAsia="zh-CN" w:bidi="zh-CN"/>
      </w:rPr>
    </w:lvl>
    <w:lvl w:ilvl="8" w:tplc="7FC08B18">
      <w:numFmt w:val="bullet"/>
      <w:lvlText w:val="•"/>
      <w:lvlJc w:val="left"/>
      <w:pPr>
        <w:ind w:left="8582" w:hanging="529"/>
      </w:pPr>
      <w:rPr>
        <w:rFonts w:hint="default"/>
        <w:lang w:val="zh-CN" w:eastAsia="zh-CN" w:bidi="zh-CN"/>
      </w:rPr>
    </w:lvl>
  </w:abstractNum>
  <w:abstractNum w:abstractNumId="292" w15:restartNumberingAfterBreak="0">
    <w:nsid w:val="27BA3AA0"/>
    <w:multiLevelType w:val="hybridMultilevel"/>
    <w:tmpl w:val="910E43F4"/>
    <w:lvl w:ilvl="0" w:tplc="49E2DC78">
      <w:start w:val="6"/>
      <w:numFmt w:val="decimal"/>
      <w:lvlText w:val="%1"/>
      <w:lvlJc w:val="left"/>
      <w:pPr>
        <w:ind w:left="1159" w:hanging="320"/>
        <w:jc w:val="left"/>
      </w:pPr>
      <w:rPr>
        <w:rFonts w:hint="default"/>
        <w:lang w:val="zh-CN" w:eastAsia="zh-CN" w:bidi="zh-CN"/>
      </w:rPr>
    </w:lvl>
    <w:lvl w:ilvl="1" w:tplc="722A2FDE">
      <w:start w:val="8"/>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9FD8C706">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A69A029E">
      <w:numFmt w:val="bullet"/>
      <w:lvlText w:val="•"/>
      <w:lvlJc w:val="left"/>
      <w:pPr>
        <w:ind w:left="3439" w:hanging="531"/>
      </w:pPr>
      <w:rPr>
        <w:rFonts w:hint="default"/>
        <w:lang w:val="zh-CN" w:eastAsia="zh-CN" w:bidi="zh-CN"/>
      </w:rPr>
    </w:lvl>
    <w:lvl w:ilvl="4" w:tplc="E26AB9A8">
      <w:numFmt w:val="bullet"/>
      <w:lvlText w:val="•"/>
      <w:lvlJc w:val="left"/>
      <w:pPr>
        <w:ind w:left="4468" w:hanging="531"/>
      </w:pPr>
      <w:rPr>
        <w:rFonts w:hint="default"/>
        <w:lang w:val="zh-CN" w:eastAsia="zh-CN" w:bidi="zh-CN"/>
      </w:rPr>
    </w:lvl>
    <w:lvl w:ilvl="5" w:tplc="F3D0320A">
      <w:numFmt w:val="bullet"/>
      <w:lvlText w:val="•"/>
      <w:lvlJc w:val="left"/>
      <w:pPr>
        <w:ind w:left="5498" w:hanging="531"/>
      </w:pPr>
      <w:rPr>
        <w:rFonts w:hint="default"/>
        <w:lang w:val="zh-CN" w:eastAsia="zh-CN" w:bidi="zh-CN"/>
      </w:rPr>
    </w:lvl>
    <w:lvl w:ilvl="6" w:tplc="29F4DEEC">
      <w:numFmt w:val="bullet"/>
      <w:lvlText w:val="•"/>
      <w:lvlJc w:val="left"/>
      <w:pPr>
        <w:ind w:left="6528" w:hanging="531"/>
      </w:pPr>
      <w:rPr>
        <w:rFonts w:hint="default"/>
        <w:lang w:val="zh-CN" w:eastAsia="zh-CN" w:bidi="zh-CN"/>
      </w:rPr>
    </w:lvl>
    <w:lvl w:ilvl="7" w:tplc="8702DB08">
      <w:numFmt w:val="bullet"/>
      <w:lvlText w:val="•"/>
      <w:lvlJc w:val="left"/>
      <w:pPr>
        <w:ind w:left="7557" w:hanging="531"/>
      </w:pPr>
      <w:rPr>
        <w:rFonts w:hint="default"/>
        <w:lang w:val="zh-CN" w:eastAsia="zh-CN" w:bidi="zh-CN"/>
      </w:rPr>
    </w:lvl>
    <w:lvl w:ilvl="8" w:tplc="7DD84F60">
      <w:numFmt w:val="bullet"/>
      <w:lvlText w:val="•"/>
      <w:lvlJc w:val="left"/>
      <w:pPr>
        <w:ind w:left="8587" w:hanging="531"/>
      </w:pPr>
      <w:rPr>
        <w:rFonts w:hint="default"/>
        <w:lang w:val="zh-CN" w:eastAsia="zh-CN" w:bidi="zh-CN"/>
      </w:rPr>
    </w:lvl>
  </w:abstractNum>
  <w:abstractNum w:abstractNumId="293" w15:restartNumberingAfterBreak="0">
    <w:nsid w:val="280B5E63"/>
    <w:multiLevelType w:val="hybridMultilevel"/>
    <w:tmpl w:val="996EC09A"/>
    <w:lvl w:ilvl="0" w:tplc="8FFEAF8C">
      <w:start w:val="1"/>
      <w:numFmt w:val="decimal"/>
      <w:lvlText w:val="（%1）"/>
      <w:lvlJc w:val="left"/>
      <w:pPr>
        <w:ind w:left="418" w:hanging="529"/>
        <w:jc w:val="left"/>
      </w:pPr>
      <w:rPr>
        <w:rFonts w:ascii="宋体" w:eastAsia="宋体" w:hAnsi="宋体" w:cs="宋体" w:hint="default"/>
        <w:spacing w:val="-36"/>
        <w:w w:val="100"/>
        <w:sz w:val="19"/>
        <w:szCs w:val="19"/>
        <w:lang w:val="zh-CN" w:eastAsia="zh-CN" w:bidi="zh-CN"/>
      </w:rPr>
    </w:lvl>
    <w:lvl w:ilvl="1" w:tplc="41C20290">
      <w:numFmt w:val="bullet"/>
      <w:lvlText w:val="•"/>
      <w:lvlJc w:val="left"/>
      <w:pPr>
        <w:ind w:left="1442" w:hanging="529"/>
      </w:pPr>
      <w:rPr>
        <w:rFonts w:hint="default"/>
        <w:lang w:val="zh-CN" w:eastAsia="zh-CN" w:bidi="zh-CN"/>
      </w:rPr>
    </w:lvl>
    <w:lvl w:ilvl="2" w:tplc="B3263190">
      <w:numFmt w:val="bullet"/>
      <w:lvlText w:val="•"/>
      <w:lvlJc w:val="left"/>
      <w:pPr>
        <w:ind w:left="2465" w:hanging="529"/>
      </w:pPr>
      <w:rPr>
        <w:rFonts w:hint="default"/>
        <w:lang w:val="zh-CN" w:eastAsia="zh-CN" w:bidi="zh-CN"/>
      </w:rPr>
    </w:lvl>
    <w:lvl w:ilvl="3" w:tplc="C43EFE0C">
      <w:numFmt w:val="bullet"/>
      <w:lvlText w:val="•"/>
      <w:lvlJc w:val="left"/>
      <w:pPr>
        <w:ind w:left="3487" w:hanging="529"/>
      </w:pPr>
      <w:rPr>
        <w:rFonts w:hint="default"/>
        <w:lang w:val="zh-CN" w:eastAsia="zh-CN" w:bidi="zh-CN"/>
      </w:rPr>
    </w:lvl>
    <w:lvl w:ilvl="4" w:tplc="A484F2F0">
      <w:numFmt w:val="bullet"/>
      <w:lvlText w:val="•"/>
      <w:lvlJc w:val="left"/>
      <w:pPr>
        <w:ind w:left="4510" w:hanging="529"/>
      </w:pPr>
      <w:rPr>
        <w:rFonts w:hint="default"/>
        <w:lang w:val="zh-CN" w:eastAsia="zh-CN" w:bidi="zh-CN"/>
      </w:rPr>
    </w:lvl>
    <w:lvl w:ilvl="5" w:tplc="9FE8F4BC">
      <w:numFmt w:val="bullet"/>
      <w:lvlText w:val="•"/>
      <w:lvlJc w:val="left"/>
      <w:pPr>
        <w:ind w:left="5533" w:hanging="529"/>
      </w:pPr>
      <w:rPr>
        <w:rFonts w:hint="default"/>
        <w:lang w:val="zh-CN" w:eastAsia="zh-CN" w:bidi="zh-CN"/>
      </w:rPr>
    </w:lvl>
    <w:lvl w:ilvl="6" w:tplc="8D9C1462">
      <w:numFmt w:val="bullet"/>
      <w:lvlText w:val="•"/>
      <w:lvlJc w:val="left"/>
      <w:pPr>
        <w:ind w:left="6555" w:hanging="529"/>
      </w:pPr>
      <w:rPr>
        <w:rFonts w:hint="default"/>
        <w:lang w:val="zh-CN" w:eastAsia="zh-CN" w:bidi="zh-CN"/>
      </w:rPr>
    </w:lvl>
    <w:lvl w:ilvl="7" w:tplc="6E4A866C">
      <w:numFmt w:val="bullet"/>
      <w:lvlText w:val="•"/>
      <w:lvlJc w:val="left"/>
      <w:pPr>
        <w:ind w:left="7578" w:hanging="529"/>
      </w:pPr>
      <w:rPr>
        <w:rFonts w:hint="default"/>
        <w:lang w:val="zh-CN" w:eastAsia="zh-CN" w:bidi="zh-CN"/>
      </w:rPr>
    </w:lvl>
    <w:lvl w:ilvl="8" w:tplc="49A48FDC">
      <w:numFmt w:val="bullet"/>
      <w:lvlText w:val="•"/>
      <w:lvlJc w:val="left"/>
      <w:pPr>
        <w:ind w:left="8601" w:hanging="529"/>
      </w:pPr>
      <w:rPr>
        <w:rFonts w:hint="default"/>
        <w:lang w:val="zh-CN" w:eastAsia="zh-CN" w:bidi="zh-CN"/>
      </w:rPr>
    </w:lvl>
  </w:abstractNum>
  <w:abstractNum w:abstractNumId="294" w15:restartNumberingAfterBreak="0">
    <w:nsid w:val="281C0623"/>
    <w:multiLevelType w:val="hybridMultilevel"/>
    <w:tmpl w:val="3BA22BD0"/>
    <w:lvl w:ilvl="0" w:tplc="0EAEA358">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CEB0C498">
      <w:numFmt w:val="bullet"/>
      <w:lvlText w:val="•"/>
      <w:lvlJc w:val="left"/>
      <w:pPr>
        <w:ind w:left="1442" w:hanging="529"/>
      </w:pPr>
      <w:rPr>
        <w:rFonts w:hint="default"/>
        <w:lang w:val="zh-CN" w:eastAsia="zh-CN" w:bidi="zh-CN"/>
      </w:rPr>
    </w:lvl>
    <w:lvl w:ilvl="2" w:tplc="AA1A3300">
      <w:numFmt w:val="bullet"/>
      <w:lvlText w:val="•"/>
      <w:lvlJc w:val="left"/>
      <w:pPr>
        <w:ind w:left="2465" w:hanging="529"/>
      </w:pPr>
      <w:rPr>
        <w:rFonts w:hint="default"/>
        <w:lang w:val="zh-CN" w:eastAsia="zh-CN" w:bidi="zh-CN"/>
      </w:rPr>
    </w:lvl>
    <w:lvl w:ilvl="3" w:tplc="D4567F6A">
      <w:numFmt w:val="bullet"/>
      <w:lvlText w:val="•"/>
      <w:lvlJc w:val="left"/>
      <w:pPr>
        <w:ind w:left="3487" w:hanging="529"/>
      </w:pPr>
      <w:rPr>
        <w:rFonts w:hint="default"/>
        <w:lang w:val="zh-CN" w:eastAsia="zh-CN" w:bidi="zh-CN"/>
      </w:rPr>
    </w:lvl>
    <w:lvl w:ilvl="4" w:tplc="658AEB90">
      <w:numFmt w:val="bullet"/>
      <w:lvlText w:val="•"/>
      <w:lvlJc w:val="left"/>
      <w:pPr>
        <w:ind w:left="4510" w:hanging="529"/>
      </w:pPr>
      <w:rPr>
        <w:rFonts w:hint="default"/>
        <w:lang w:val="zh-CN" w:eastAsia="zh-CN" w:bidi="zh-CN"/>
      </w:rPr>
    </w:lvl>
    <w:lvl w:ilvl="5" w:tplc="899C9B1C">
      <w:numFmt w:val="bullet"/>
      <w:lvlText w:val="•"/>
      <w:lvlJc w:val="left"/>
      <w:pPr>
        <w:ind w:left="5533" w:hanging="529"/>
      </w:pPr>
      <w:rPr>
        <w:rFonts w:hint="default"/>
        <w:lang w:val="zh-CN" w:eastAsia="zh-CN" w:bidi="zh-CN"/>
      </w:rPr>
    </w:lvl>
    <w:lvl w:ilvl="6" w:tplc="F16A3834">
      <w:numFmt w:val="bullet"/>
      <w:lvlText w:val="•"/>
      <w:lvlJc w:val="left"/>
      <w:pPr>
        <w:ind w:left="6555" w:hanging="529"/>
      </w:pPr>
      <w:rPr>
        <w:rFonts w:hint="default"/>
        <w:lang w:val="zh-CN" w:eastAsia="zh-CN" w:bidi="zh-CN"/>
      </w:rPr>
    </w:lvl>
    <w:lvl w:ilvl="7" w:tplc="728A71B2">
      <w:numFmt w:val="bullet"/>
      <w:lvlText w:val="•"/>
      <w:lvlJc w:val="left"/>
      <w:pPr>
        <w:ind w:left="7578" w:hanging="529"/>
      </w:pPr>
      <w:rPr>
        <w:rFonts w:hint="default"/>
        <w:lang w:val="zh-CN" w:eastAsia="zh-CN" w:bidi="zh-CN"/>
      </w:rPr>
    </w:lvl>
    <w:lvl w:ilvl="8" w:tplc="544A2BCC">
      <w:numFmt w:val="bullet"/>
      <w:lvlText w:val="•"/>
      <w:lvlJc w:val="left"/>
      <w:pPr>
        <w:ind w:left="8601" w:hanging="529"/>
      </w:pPr>
      <w:rPr>
        <w:rFonts w:hint="default"/>
        <w:lang w:val="zh-CN" w:eastAsia="zh-CN" w:bidi="zh-CN"/>
      </w:rPr>
    </w:lvl>
  </w:abstractNum>
  <w:abstractNum w:abstractNumId="295" w15:restartNumberingAfterBreak="0">
    <w:nsid w:val="282C5699"/>
    <w:multiLevelType w:val="hybridMultilevel"/>
    <w:tmpl w:val="FED0029E"/>
    <w:lvl w:ilvl="0" w:tplc="B67EA9F8">
      <w:start w:val="1"/>
      <w:numFmt w:val="decimal"/>
      <w:lvlText w:val="（%1）"/>
      <w:lvlJc w:val="left"/>
      <w:pPr>
        <w:ind w:left="1367" w:hanging="529"/>
        <w:jc w:val="left"/>
      </w:pPr>
      <w:rPr>
        <w:rFonts w:ascii="宋体" w:eastAsia="宋体" w:hAnsi="宋体" w:cs="宋体" w:hint="default"/>
        <w:w w:val="100"/>
        <w:sz w:val="19"/>
        <w:szCs w:val="19"/>
        <w:lang w:val="zh-CN" w:eastAsia="zh-CN" w:bidi="zh-CN"/>
      </w:rPr>
    </w:lvl>
    <w:lvl w:ilvl="1" w:tplc="3B8239B2">
      <w:numFmt w:val="bullet"/>
      <w:lvlText w:val="•"/>
      <w:lvlJc w:val="left"/>
      <w:pPr>
        <w:ind w:left="2288" w:hanging="529"/>
      </w:pPr>
      <w:rPr>
        <w:rFonts w:hint="default"/>
        <w:lang w:val="zh-CN" w:eastAsia="zh-CN" w:bidi="zh-CN"/>
      </w:rPr>
    </w:lvl>
    <w:lvl w:ilvl="2" w:tplc="F35EDF9C">
      <w:numFmt w:val="bullet"/>
      <w:lvlText w:val="•"/>
      <w:lvlJc w:val="left"/>
      <w:pPr>
        <w:ind w:left="3217" w:hanging="529"/>
      </w:pPr>
      <w:rPr>
        <w:rFonts w:hint="default"/>
        <w:lang w:val="zh-CN" w:eastAsia="zh-CN" w:bidi="zh-CN"/>
      </w:rPr>
    </w:lvl>
    <w:lvl w:ilvl="3" w:tplc="E4901582">
      <w:numFmt w:val="bullet"/>
      <w:lvlText w:val="•"/>
      <w:lvlJc w:val="left"/>
      <w:pPr>
        <w:ind w:left="4145" w:hanging="529"/>
      </w:pPr>
      <w:rPr>
        <w:rFonts w:hint="default"/>
        <w:lang w:val="zh-CN" w:eastAsia="zh-CN" w:bidi="zh-CN"/>
      </w:rPr>
    </w:lvl>
    <w:lvl w:ilvl="4" w:tplc="9D92878A">
      <w:numFmt w:val="bullet"/>
      <w:lvlText w:val="•"/>
      <w:lvlJc w:val="left"/>
      <w:pPr>
        <w:ind w:left="5074" w:hanging="529"/>
      </w:pPr>
      <w:rPr>
        <w:rFonts w:hint="default"/>
        <w:lang w:val="zh-CN" w:eastAsia="zh-CN" w:bidi="zh-CN"/>
      </w:rPr>
    </w:lvl>
    <w:lvl w:ilvl="5" w:tplc="4D48254E">
      <w:numFmt w:val="bullet"/>
      <w:lvlText w:val="•"/>
      <w:lvlJc w:val="left"/>
      <w:pPr>
        <w:ind w:left="6003" w:hanging="529"/>
      </w:pPr>
      <w:rPr>
        <w:rFonts w:hint="default"/>
        <w:lang w:val="zh-CN" w:eastAsia="zh-CN" w:bidi="zh-CN"/>
      </w:rPr>
    </w:lvl>
    <w:lvl w:ilvl="6" w:tplc="97E6F238">
      <w:numFmt w:val="bullet"/>
      <w:lvlText w:val="•"/>
      <w:lvlJc w:val="left"/>
      <w:pPr>
        <w:ind w:left="6931" w:hanging="529"/>
      </w:pPr>
      <w:rPr>
        <w:rFonts w:hint="default"/>
        <w:lang w:val="zh-CN" w:eastAsia="zh-CN" w:bidi="zh-CN"/>
      </w:rPr>
    </w:lvl>
    <w:lvl w:ilvl="7" w:tplc="FB686748">
      <w:numFmt w:val="bullet"/>
      <w:lvlText w:val="•"/>
      <w:lvlJc w:val="left"/>
      <w:pPr>
        <w:ind w:left="7860" w:hanging="529"/>
      </w:pPr>
      <w:rPr>
        <w:rFonts w:hint="default"/>
        <w:lang w:val="zh-CN" w:eastAsia="zh-CN" w:bidi="zh-CN"/>
      </w:rPr>
    </w:lvl>
    <w:lvl w:ilvl="8" w:tplc="A07E8318">
      <w:numFmt w:val="bullet"/>
      <w:lvlText w:val="•"/>
      <w:lvlJc w:val="left"/>
      <w:pPr>
        <w:ind w:left="8789" w:hanging="529"/>
      </w:pPr>
      <w:rPr>
        <w:rFonts w:hint="default"/>
        <w:lang w:val="zh-CN" w:eastAsia="zh-CN" w:bidi="zh-CN"/>
      </w:rPr>
    </w:lvl>
  </w:abstractNum>
  <w:abstractNum w:abstractNumId="296" w15:restartNumberingAfterBreak="0">
    <w:nsid w:val="284506DC"/>
    <w:multiLevelType w:val="hybridMultilevel"/>
    <w:tmpl w:val="B4BE61A2"/>
    <w:lvl w:ilvl="0" w:tplc="F75630CA">
      <w:start w:val="3"/>
      <w:numFmt w:val="decimal"/>
      <w:lvlText w:val="%1"/>
      <w:lvlJc w:val="left"/>
      <w:pPr>
        <w:ind w:left="1212" w:hanging="372"/>
        <w:jc w:val="left"/>
      </w:pPr>
      <w:rPr>
        <w:rFonts w:hint="default"/>
        <w:lang w:val="zh-CN" w:eastAsia="zh-CN" w:bidi="zh-CN"/>
      </w:rPr>
    </w:lvl>
    <w:lvl w:ilvl="1" w:tplc="12D833AE">
      <w:start w:val="1"/>
      <w:numFmt w:val="decimal"/>
      <w:lvlText w:val="%1.%2"/>
      <w:lvlJc w:val="left"/>
      <w:pPr>
        <w:ind w:left="1212" w:hanging="372"/>
        <w:jc w:val="left"/>
      </w:pPr>
      <w:rPr>
        <w:rFonts w:ascii="宋体" w:eastAsia="宋体" w:hAnsi="宋体" w:cs="宋体" w:hint="default"/>
        <w:b/>
        <w:bCs/>
        <w:w w:val="99"/>
        <w:sz w:val="21"/>
        <w:szCs w:val="21"/>
        <w:lang w:val="zh-CN" w:eastAsia="zh-CN" w:bidi="zh-CN"/>
      </w:rPr>
    </w:lvl>
    <w:lvl w:ilvl="2" w:tplc="E9203012">
      <w:numFmt w:val="bullet"/>
      <w:lvlText w:val="•"/>
      <w:lvlJc w:val="left"/>
      <w:pPr>
        <w:ind w:left="3105" w:hanging="372"/>
      </w:pPr>
      <w:rPr>
        <w:rFonts w:hint="default"/>
        <w:lang w:val="zh-CN" w:eastAsia="zh-CN" w:bidi="zh-CN"/>
      </w:rPr>
    </w:lvl>
    <w:lvl w:ilvl="3" w:tplc="6CBE4DFA">
      <w:numFmt w:val="bullet"/>
      <w:lvlText w:val="•"/>
      <w:lvlJc w:val="left"/>
      <w:pPr>
        <w:ind w:left="4047" w:hanging="372"/>
      </w:pPr>
      <w:rPr>
        <w:rFonts w:hint="default"/>
        <w:lang w:val="zh-CN" w:eastAsia="zh-CN" w:bidi="zh-CN"/>
      </w:rPr>
    </w:lvl>
    <w:lvl w:ilvl="4" w:tplc="C4D83D72">
      <w:numFmt w:val="bullet"/>
      <w:lvlText w:val="•"/>
      <w:lvlJc w:val="left"/>
      <w:pPr>
        <w:ind w:left="4990" w:hanging="372"/>
      </w:pPr>
      <w:rPr>
        <w:rFonts w:hint="default"/>
        <w:lang w:val="zh-CN" w:eastAsia="zh-CN" w:bidi="zh-CN"/>
      </w:rPr>
    </w:lvl>
    <w:lvl w:ilvl="5" w:tplc="87400C3E">
      <w:numFmt w:val="bullet"/>
      <w:lvlText w:val="•"/>
      <w:lvlJc w:val="left"/>
      <w:pPr>
        <w:ind w:left="5933" w:hanging="372"/>
      </w:pPr>
      <w:rPr>
        <w:rFonts w:hint="default"/>
        <w:lang w:val="zh-CN" w:eastAsia="zh-CN" w:bidi="zh-CN"/>
      </w:rPr>
    </w:lvl>
    <w:lvl w:ilvl="6" w:tplc="2A020CA6">
      <w:numFmt w:val="bullet"/>
      <w:lvlText w:val="•"/>
      <w:lvlJc w:val="left"/>
      <w:pPr>
        <w:ind w:left="6875" w:hanging="372"/>
      </w:pPr>
      <w:rPr>
        <w:rFonts w:hint="default"/>
        <w:lang w:val="zh-CN" w:eastAsia="zh-CN" w:bidi="zh-CN"/>
      </w:rPr>
    </w:lvl>
    <w:lvl w:ilvl="7" w:tplc="86A027B8">
      <w:numFmt w:val="bullet"/>
      <w:lvlText w:val="•"/>
      <w:lvlJc w:val="left"/>
      <w:pPr>
        <w:ind w:left="7818" w:hanging="372"/>
      </w:pPr>
      <w:rPr>
        <w:rFonts w:hint="default"/>
        <w:lang w:val="zh-CN" w:eastAsia="zh-CN" w:bidi="zh-CN"/>
      </w:rPr>
    </w:lvl>
    <w:lvl w:ilvl="8" w:tplc="471447B2">
      <w:numFmt w:val="bullet"/>
      <w:lvlText w:val="•"/>
      <w:lvlJc w:val="left"/>
      <w:pPr>
        <w:ind w:left="8761" w:hanging="372"/>
      </w:pPr>
      <w:rPr>
        <w:rFonts w:hint="default"/>
        <w:lang w:val="zh-CN" w:eastAsia="zh-CN" w:bidi="zh-CN"/>
      </w:rPr>
    </w:lvl>
  </w:abstractNum>
  <w:abstractNum w:abstractNumId="297" w15:restartNumberingAfterBreak="0">
    <w:nsid w:val="284B1278"/>
    <w:multiLevelType w:val="hybridMultilevel"/>
    <w:tmpl w:val="80BE68C8"/>
    <w:lvl w:ilvl="0" w:tplc="2926FD86">
      <w:start w:val="1"/>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A4E2F10E">
      <w:numFmt w:val="bullet"/>
      <w:lvlText w:val="•"/>
      <w:lvlJc w:val="left"/>
      <w:pPr>
        <w:ind w:left="2018" w:hanging="213"/>
      </w:pPr>
      <w:rPr>
        <w:rFonts w:hint="default"/>
        <w:lang w:val="zh-CN" w:eastAsia="zh-CN" w:bidi="zh-CN"/>
      </w:rPr>
    </w:lvl>
    <w:lvl w:ilvl="2" w:tplc="31B65EE6">
      <w:numFmt w:val="bullet"/>
      <w:lvlText w:val="•"/>
      <w:lvlJc w:val="left"/>
      <w:pPr>
        <w:ind w:left="2977" w:hanging="213"/>
      </w:pPr>
      <w:rPr>
        <w:rFonts w:hint="default"/>
        <w:lang w:val="zh-CN" w:eastAsia="zh-CN" w:bidi="zh-CN"/>
      </w:rPr>
    </w:lvl>
    <w:lvl w:ilvl="3" w:tplc="0F7EBB30">
      <w:numFmt w:val="bullet"/>
      <w:lvlText w:val="•"/>
      <w:lvlJc w:val="left"/>
      <w:pPr>
        <w:ind w:left="3935" w:hanging="213"/>
      </w:pPr>
      <w:rPr>
        <w:rFonts w:hint="default"/>
        <w:lang w:val="zh-CN" w:eastAsia="zh-CN" w:bidi="zh-CN"/>
      </w:rPr>
    </w:lvl>
    <w:lvl w:ilvl="4" w:tplc="904A10B8">
      <w:numFmt w:val="bullet"/>
      <w:lvlText w:val="•"/>
      <w:lvlJc w:val="left"/>
      <w:pPr>
        <w:ind w:left="4894" w:hanging="213"/>
      </w:pPr>
      <w:rPr>
        <w:rFonts w:hint="default"/>
        <w:lang w:val="zh-CN" w:eastAsia="zh-CN" w:bidi="zh-CN"/>
      </w:rPr>
    </w:lvl>
    <w:lvl w:ilvl="5" w:tplc="D8609A64">
      <w:numFmt w:val="bullet"/>
      <w:lvlText w:val="•"/>
      <w:lvlJc w:val="left"/>
      <w:pPr>
        <w:ind w:left="5853" w:hanging="213"/>
      </w:pPr>
      <w:rPr>
        <w:rFonts w:hint="default"/>
        <w:lang w:val="zh-CN" w:eastAsia="zh-CN" w:bidi="zh-CN"/>
      </w:rPr>
    </w:lvl>
    <w:lvl w:ilvl="6" w:tplc="87705E80">
      <w:numFmt w:val="bullet"/>
      <w:lvlText w:val="•"/>
      <w:lvlJc w:val="left"/>
      <w:pPr>
        <w:ind w:left="6811" w:hanging="213"/>
      </w:pPr>
      <w:rPr>
        <w:rFonts w:hint="default"/>
        <w:lang w:val="zh-CN" w:eastAsia="zh-CN" w:bidi="zh-CN"/>
      </w:rPr>
    </w:lvl>
    <w:lvl w:ilvl="7" w:tplc="D110F708">
      <w:numFmt w:val="bullet"/>
      <w:lvlText w:val="•"/>
      <w:lvlJc w:val="left"/>
      <w:pPr>
        <w:ind w:left="7770" w:hanging="213"/>
      </w:pPr>
      <w:rPr>
        <w:rFonts w:hint="default"/>
        <w:lang w:val="zh-CN" w:eastAsia="zh-CN" w:bidi="zh-CN"/>
      </w:rPr>
    </w:lvl>
    <w:lvl w:ilvl="8" w:tplc="B4862836">
      <w:numFmt w:val="bullet"/>
      <w:lvlText w:val="•"/>
      <w:lvlJc w:val="left"/>
      <w:pPr>
        <w:ind w:left="8729" w:hanging="213"/>
      </w:pPr>
      <w:rPr>
        <w:rFonts w:hint="default"/>
        <w:lang w:val="zh-CN" w:eastAsia="zh-CN" w:bidi="zh-CN"/>
      </w:rPr>
    </w:lvl>
  </w:abstractNum>
  <w:abstractNum w:abstractNumId="298" w15:restartNumberingAfterBreak="0">
    <w:nsid w:val="289B7273"/>
    <w:multiLevelType w:val="hybridMultilevel"/>
    <w:tmpl w:val="E934103A"/>
    <w:lvl w:ilvl="0" w:tplc="CAD03D68">
      <w:start w:val="5"/>
      <w:numFmt w:val="decimal"/>
      <w:lvlText w:val="%1"/>
      <w:lvlJc w:val="left"/>
      <w:pPr>
        <w:ind w:left="1158" w:hanging="318"/>
        <w:jc w:val="left"/>
      </w:pPr>
      <w:rPr>
        <w:rFonts w:hint="default"/>
        <w:lang w:val="zh-CN" w:eastAsia="zh-CN" w:bidi="zh-CN"/>
      </w:rPr>
    </w:lvl>
    <w:lvl w:ilvl="1" w:tplc="2C44A0B4">
      <w:start w:val="1"/>
      <w:numFmt w:val="decimal"/>
      <w:lvlText w:val="%1.%2"/>
      <w:lvlJc w:val="left"/>
      <w:pPr>
        <w:ind w:left="1158" w:hanging="318"/>
        <w:jc w:val="left"/>
      </w:pPr>
      <w:rPr>
        <w:rFonts w:ascii="宋体" w:eastAsia="宋体" w:hAnsi="宋体" w:cs="宋体" w:hint="default"/>
        <w:b/>
        <w:bCs/>
        <w:spacing w:val="-3"/>
        <w:w w:val="99"/>
        <w:sz w:val="19"/>
        <w:szCs w:val="19"/>
        <w:lang w:val="zh-CN" w:eastAsia="zh-CN" w:bidi="zh-CN"/>
      </w:rPr>
    </w:lvl>
    <w:lvl w:ilvl="2" w:tplc="BA168964">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43B03448">
      <w:numFmt w:val="bullet"/>
      <w:lvlText w:val="•"/>
      <w:lvlJc w:val="left"/>
      <w:pPr>
        <w:ind w:left="2538" w:hanging="529"/>
      </w:pPr>
      <w:rPr>
        <w:rFonts w:hint="default"/>
        <w:lang w:val="zh-CN" w:eastAsia="zh-CN" w:bidi="zh-CN"/>
      </w:rPr>
    </w:lvl>
    <w:lvl w:ilvl="4" w:tplc="232822FE">
      <w:numFmt w:val="bullet"/>
      <w:lvlText w:val="•"/>
      <w:lvlJc w:val="left"/>
      <w:pPr>
        <w:ind w:left="3696" w:hanging="529"/>
      </w:pPr>
      <w:rPr>
        <w:rFonts w:hint="default"/>
        <w:lang w:val="zh-CN" w:eastAsia="zh-CN" w:bidi="zh-CN"/>
      </w:rPr>
    </w:lvl>
    <w:lvl w:ilvl="5" w:tplc="BD76E88A">
      <w:numFmt w:val="bullet"/>
      <w:lvlText w:val="•"/>
      <w:lvlJc w:val="left"/>
      <w:pPr>
        <w:ind w:left="4854" w:hanging="529"/>
      </w:pPr>
      <w:rPr>
        <w:rFonts w:hint="default"/>
        <w:lang w:val="zh-CN" w:eastAsia="zh-CN" w:bidi="zh-CN"/>
      </w:rPr>
    </w:lvl>
    <w:lvl w:ilvl="6" w:tplc="9B1286B8">
      <w:numFmt w:val="bullet"/>
      <w:lvlText w:val="•"/>
      <w:lvlJc w:val="left"/>
      <w:pPr>
        <w:ind w:left="6013" w:hanging="529"/>
      </w:pPr>
      <w:rPr>
        <w:rFonts w:hint="default"/>
        <w:lang w:val="zh-CN" w:eastAsia="zh-CN" w:bidi="zh-CN"/>
      </w:rPr>
    </w:lvl>
    <w:lvl w:ilvl="7" w:tplc="A7F023F0">
      <w:numFmt w:val="bullet"/>
      <w:lvlText w:val="•"/>
      <w:lvlJc w:val="left"/>
      <w:pPr>
        <w:ind w:left="7171" w:hanging="529"/>
      </w:pPr>
      <w:rPr>
        <w:rFonts w:hint="default"/>
        <w:lang w:val="zh-CN" w:eastAsia="zh-CN" w:bidi="zh-CN"/>
      </w:rPr>
    </w:lvl>
    <w:lvl w:ilvl="8" w:tplc="2326F60E">
      <w:numFmt w:val="bullet"/>
      <w:lvlText w:val="•"/>
      <w:lvlJc w:val="left"/>
      <w:pPr>
        <w:ind w:left="8329" w:hanging="529"/>
      </w:pPr>
      <w:rPr>
        <w:rFonts w:hint="default"/>
        <w:lang w:val="zh-CN" w:eastAsia="zh-CN" w:bidi="zh-CN"/>
      </w:rPr>
    </w:lvl>
  </w:abstractNum>
  <w:abstractNum w:abstractNumId="299" w15:restartNumberingAfterBreak="0">
    <w:nsid w:val="28AE5123"/>
    <w:multiLevelType w:val="hybridMultilevel"/>
    <w:tmpl w:val="EFD2EF02"/>
    <w:lvl w:ilvl="0" w:tplc="C136D4C6">
      <w:start w:val="8"/>
      <w:numFmt w:val="decimal"/>
      <w:lvlText w:val="%1"/>
      <w:lvlJc w:val="left"/>
      <w:pPr>
        <w:ind w:left="1158" w:hanging="318"/>
        <w:jc w:val="left"/>
      </w:pPr>
      <w:rPr>
        <w:rFonts w:hint="default"/>
        <w:lang w:val="zh-CN" w:eastAsia="zh-CN" w:bidi="zh-CN"/>
      </w:rPr>
    </w:lvl>
    <w:lvl w:ilvl="1" w:tplc="2CBEDBE4">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48B48D6C">
      <w:numFmt w:val="bullet"/>
      <w:lvlText w:val="•"/>
      <w:lvlJc w:val="left"/>
      <w:pPr>
        <w:ind w:left="3057" w:hanging="318"/>
      </w:pPr>
      <w:rPr>
        <w:rFonts w:hint="default"/>
        <w:lang w:val="zh-CN" w:eastAsia="zh-CN" w:bidi="zh-CN"/>
      </w:rPr>
    </w:lvl>
    <w:lvl w:ilvl="3" w:tplc="014AC426">
      <w:numFmt w:val="bullet"/>
      <w:lvlText w:val="•"/>
      <w:lvlJc w:val="left"/>
      <w:pPr>
        <w:ind w:left="4005" w:hanging="318"/>
      </w:pPr>
      <w:rPr>
        <w:rFonts w:hint="default"/>
        <w:lang w:val="zh-CN" w:eastAsia="zh-CN" w:bidi="zh-CN"/>
      </w:rPr>
    </w:lvl>
    <w:lvl w:ilvl="4" w:tplc="9DBE31A0">
      <w:numFmt w:val="bullet"/>
      <w:lvlText w:val="•"/>
      <w:lvlJc w:val="left"/>
      <w:pPr>
        <w:ind w:left="4954" w:hanging="318"/>
      </w:pPr>
      <w:rPr>
        <w:rFonts w:hint="default"/>
        <w:lang w:val="zh-CN" w:eastAsia="zh-CN" w:bidi="zh-CN"/>
      </w:rPr>
    </w:lvl>
    <w:lvl w:ilvl="5" w:tplc="224C3E7C">
      <w:numFmt w:val="bullet"/>
      <w:lvlText w:val="•"/>
      <w:lvlJc w:val="left"/>
      <w:pPr>
        <w:ind w:left="5903" w:hanging="318"/>
      </w:pPr>
      <w:rPr>
        <w:rFonts w:hint="default"/>
        <w:lang w:val="zh-CN" w:eastAsia="zh-CN" w:bidi="zh-CN"/>
      </w:rPr>
    </w:lvl>
    <w:lvl w:ilvl="6" w:tplc="A43ABDBC">
      <w:numFmt w:val="bullet"/>
      <w:lvlText w:val="•"/>
      <w:lvlJc w:val="left"/>
      <w:pPr>
        <w:ind w:left="6851" w:hanging="318"/>
      </w:pPr>
      <w:rPr>
        <w:rFonts w:hint="default"/>
        <w:lang w:val="zh-CN" w:eastAsia="zh-CN" w:bidi="zh-CN"/>
      </w:rPr>
    </w:lvl>
    <w:lvl w:ilvl="7" w:tplc="888A815E">
      <w:numFmt w:val="bullet"/>
      <w:lvlText w:val="•"/>
      <w:lvlJc w:val="left"/>
      <w:pPr>
        <w:ind w:left="7800" w:hanging="318"/>
      </w:pPr>
      <w:rPr>
        <w:rFonts w:hint="default"/>
        <w:lang w:val="zh-CN" w:eastAsia="zh-CN" w:bidi="zh-CN"/>
      </w:rPr>
    </w:lvl>
    <w:lvl w:ilvl="8" w:tplc="702EFC86">
      <w:numFmt w:val="bullet"/>
      <w:lvlText w:val="•"/>
      <w:lvlJc w:val="left"/>
      <w:pPr>
        <w:ind w:left="8749" w:hanging="318"/>
      </w:pPr>
      <w:rPr>
        <w:rFonts w:hint="default"/>
        <w:lang w:val="zh-CN" w:eastAsia="zh-CN" w:bidi="zh-CN"/>
      </w:rPr>
    </w:lvl>
  </w:abstractNum>
  <w:abstractNum w:abstractNumId="300" w15:restartNumberingAfterBreak="0">
    <w:nsid w:val="28DA5B5B"/>
    <w:multiLevelType w:val="hybridMultilevel"/>
    <w:tmpl w:val="D59A2E5C"/>
    <w:lvl w:ilvl="0" w:tplc="D1CABAD0">
      <w:start w:val="5"/>
      <w:numFmt w:val="decimal"/>
      <w:lvlText w:val="%1"/>
      <w:lvlJc w:val="left"/>
      <w:pPr>
        <w:ind w:left="1159" w:hanging="320"/>
        <w:jc w:val="left"/>
      </w:pPr>
      <w:rPr>
        <w:rFonts w:hint="default"/>
        <w:lang w:val="zh-CN" w:eastAsia="zh-CN" w:bidi="zh-CN"/>
      </w:rPr>
    </w:lvl>
    <w:lvl w:ilvl="1" w:tplc="6F26A7F0">
      <w:start w:val="7"/>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3E2CB08C">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607A90A0">
      <w:numFmt w:val="bullet"/>
      <w:lvlText w:val="•"/>
      <w:lvlJc w:val="left"/>
      <w:pPr>
        <w:ind w:left="3268" w:hanging="531"/>
      </w:pPr>
      <w:rPr>
        <w:rFonts w:hint="default"/>
        <w:lang w:val="zh-CN" w:eastAsia="zh-CN" w:bidi="zh-CN"/>
      </w:rPr>
    </w:lvl>
    <w:lvl w:ilvl="4" w:tplc="C49E73D2">
      <w:numFmt w:val="bullet"/>
      <w:lvlText w:val="•"/>
      <w:lvlJc w:val="left"/>
      <w:pPr>
        <w:ind w:left="4322" w:hanging="531"/>
      </w:pPr>
      <w:rPr>
        <w:rFonts w:hint="default"/>
        <w:lang w:val="zh-CN" w:eastAsia="zh-CN" w:bidi="zh-CN"/>
      </w:rPr>
    </w:lvl>
    <w:lvl w:ilvl="5" w:tplc="A904A6D8">
      <w:numFmt w:val="bullet"/>
      <w:lvlText w:val="•"/>
      <w:lvlJc w:val="left"/>
      <w:pPr>
        <w:ind w:left="5376" w:hanging="531"/>
      </w:pPr>
      <w:rPr>
        <w:rFonts w:hint="default"/>
        <w:lang w:val="zh-CN" w:eastAsia="zh-CN" w:bidi="zh-CN"/>
      </w:rPr>
    </w:lvl>
    <w:lvl w:ilvl="6" w:tplc="28C09CAC">
      <w:numFmt w:val="bullet"/>
      <w:lvlText w:val="•"/>
      <w:lvlJc w:val="left"/>
      <w:pPr>
        <w:ind w:left="6430" w:hanging="531"/>
      </w:pPr>
      <w:rPr>
        <w:rFonts w:hint="default"/>
        <w:lang w:val="zh-CN" w:eastAsia="zh-CN" w:bidi="zh-CN"/>
      </w:rPr>
    </w:lvl>
    <w:lvl w:ilvl="7" w:tplc="16F28C94">
      <w:numFmt w:val="bullet"/>
      <w:lvlText w:val="•"/>
      <w:lvlJc w:val="left"/>
      <w:pPr>
        <w:ind w:left="7484" w:hanging="531"/>
      </w:pPr>
      <w:rPr>
        <w:rFonts w:hint="default"/>
        <w:lang w:val="zh-CN" w:eastAsia="zh-CN" w:bidi="zh-CN"/>
      </w:rPr>
    </w:lvl>
    <w:lvl w:ilvl="8" w:tplc="B232D8B8">
      <w:numFmt w:val="bullet"/>
      <w:lvlText w:val="•"/>
      <w:lvlJc w:val="left"/>
      <w:pPr>
        <w:ind w:left="8538" w:hanging="531"/>
      </w:pPr>
      <w:rPr>
        <w:rFonts w:hint="default"/>
        <w:lang w:val="zh-CN" w:eastAsia="zh-CN" w:bidi="zh-CN"/>
      </w:rPr>
    </w:lvl>
  </w:abstractNum>
  <w:abstractNum w:abstractNumId="301" w15:restartNumberingAfterBreak="0">
    <w:nsid w:val="296A7208"/>
    <w:multiLevelType w:val="hybridMultilevel"/>
    <w:tmpl w:val="BE62596A"/>
    <w:lvl w:ilvl="0" w:tplc="C3BEFAF4">
      <w:start w:val="5"/>
      <w:numFmt w:val="decimal"/>
      <w:lvlText w:val="%1"/>
      <w:lvlJc w:val="left"/>
      <w:pPr>
        <w:ind w:left="1158" w:hanging="318"/>
        <w:jc w:val="left"/>
      </w:pPr>
      <w:rPr>
        <w:rFonts w:hint="default"/>
        <w:lang w:val="zh-CN" w:eastAsia="zh-CN" w:bidi="zh-CN"/>
      </w:rPr>
    </w:lvl>
    <w:lvl w:ilvl="1" w:tplc="0CB002F8">
      <w:start w:val="6"/>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22AC8B8A">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A3CE7E7C">
      <w:numFmt w:val="bullet"/>
      <w:lvlText w:val="•"/>
      <w:lvlJc w:val="left"/>
      <w:pPr>
        <w:ind w:left="2538" w:hanging="531"/>
      </w:pPr>
      <w:rPr>
        <w:rFonts w:hint="default"/>
        <w:lang w:val="zh-CN" w:eastAsia="zh-CN" w:bidi="zh-CN"/>
      </w:rPr>
    </w:lvl>
    <w:lvl w:ilvl="4" w:tplc="F5C66BEE">
      <w:numFmt w:val="bullet"/>
      <w:lvlText w:val="•"/>
      <w:lvlJc w:val="left"/>
      <w:pPr>
        <w:ind w:left="3696" w:hanging="531"/>
      </w:pPr>
      <w:rPr>
        <w:rFonts w:hint="default"/>
        <w:lang w:val="zh-CN" w:eastAsia="zh-CN" w:bidi="zh-CN"/>
      </w:rPr>
    </w:lvl>
    <w:lvl w:ilvl="5" w:tplc="E31EA498">
      <w:numFmt w:val="bullet"/>
      <w:lvlText w:val="•"/>
      <w:lvlJc w:val="left"/>
      <w:pPr>
        <w:ind w:left="4854" w:hanging="531"/>
      </w:pPr>
      <w:rPr>
        <w:rFonts w:hint="default"/>
        <w:lang w:val="zh-CN" w:eastAsia="zh-CN" w:bidi="zh-CN"/>
      </w:rPr>
    </w:lvl>
    <w:lvl w:ilvl="6" w:tplc="FC5ACE04">
      <w:numFmt w:val="bullet"/>
      <w:lvlText w:val="•"/>
      <w:lvlJc w:val="left"/>
      <w:pPr>
        <w:ind w:left="6013" w:hanging="531"/>
      </w:pPr>
      <w:rPr>
        <w:rFonts w:hint="default"/>
        <w:lang w:val="zh-CN" w:eastAsia="zh-CN" w:bidi="zh-CN"/>
      </w:rPr>
    </w:lvl>
    <w:lvl w:ilvl="7" w:tplc="05DABBF6">
      <w:numFmt w:val="bullet"/>
      <w:lvlText w:val="•"/>
      <w:lvlJc w:val="left"/>
      <w:pPr>
        <w:ind w:left="7171" w:hanging="531"/>
      </w:pPr>
      <w:rPr>
        <w:rFonts w:hint="default"/>
        <w:lang w:val="zh-CN" w:eastAsia="zh-CN" w:bidi="zh-CN"/>
      </w:rPr>
    </w:lvl>
    <w:lvl w:ilvl="8" w:tplc="6472C426">
      <w:numFmt w:val="bullet"/>
      <w:lvlText w:val="•"/>
      <w:lvlJc w:val="left"/>
      <w:pPr>
        <w:ind w:left="8329" w:hanging="531"/>
      </w:pPr>
      <w:rPr>
        <w:rFonts w:hint="default"/>
        <w:lang w:val="zh-CN" w:eastAsia="zh-CN" w:bidi="zh-CN"/>
      </w:rPr>
    </w:lvl>
  </w:abstractNum>
  <w:abstractNum w:abstractNumId="302" w15:restartNumberingAfterBreak="0">
    <w:nsid w:val="29822D59"/>
    <w:multiLevelType w:val="hybridMultilevel"/>
    <w:tmpl w:val="D9D2E364"/>
    <w:lvl w:ilvl="0" w:tplc="F692EFAC">
      <w:start w:val="2"/>
      <w:numFmt w:val="decimal"/>
      <w:lvlText w:val="%1."/>
      <w:lvlJc w:val="left"/>
      <w:pPr>
        <w:ind w:left="1050" w:hanging="213"/>
        <w:jc w:val="left"/>
      </w:pPr>
      <w:rPr>
        <w:rFonts w:ascii="宋体" w:eastAsia="宋体" w:hAnsi="宋体" w:cs="宋体" w:hint="default"/>
        <w:color w:val="333333"/>
        <w:spacing w:val="-3"/>
        <w:w w:val="100"/>
        <w:sz w:val="19"/>
        <w:szCs w:val="19"/>
        <w:lang w:val="zh-CN" w:eastAsia="zh-CN" w:bidi="zh-CN"/>
      </w:rPr>
    </w:lvl>
    <w:lvl w:ilvl="1" w:tplc="4C8C1CDC">
      <w:numFmt w:val="bullet"/>
      <w:lvlText w:val="•"/>
      <w:lvlJc w:val="left"/>
      <w:pPr>
        <w:ind w:left="2018" w:hanging="213"/>
      </w:pPr>
      <w:rPr>
        <w:rFonts w:hint="default"/>
        <w:lang w:val="zh-CN" w:eastAsia="zh-CN" w:bidi="zh-CN"/>
      </w:rPr>
    </w:lvl>
    <w:lvl w:ilvl="2" w:tplc="95241E4A">
      <w:numFmt w:val="bullet"/>
      <w:lvlText w:val="•"/>
      <w:lvlJc w:val="left"/>
      <w:pPr>
        <w:ind w:left="2977" w:hanging="213"/>
      </w:pPr>
      <w:rPr>
        <w:rFonts w:hint="default"/>
        <w:lang w:val="zh-CN" w:eastAsia="zh-CN" w:bidi="zh-CN"/>
      </w:rPr>
    </w:lvl>
    <w:lvl w:ilvl="3" w:tplc="405A2D54">
      <w:numFmt w:val="bullet"/>
      <w:lvlText w:val="•"/>
      <w:lvlJc w:val="left"/>
      <w:pPr>
        <w:ind w:left="3935" w:hanging="213"/>
      </w:pPr>
      <w:rPr>
        <w:rFonts w:hint="default"/>
        <w:lang w:val="zh-CN" w:eastAsia="zh-CN" w:bidi="zh-CN"/>
      </w:rPr>
    </w:lvl>
    <w:lvl w:ilvl="4" w:tplc="3846217E">
      <w:numFmt w:val="bullet"/>
      <w:lvlText w:val="•"/>
      <w:lvlJc w:val="left"/>
      <w:pPr>
        <w:ind w:left="4894" w:hanging="213"/>
      </w:pPr>
      <w:rPr>
        <w:rFonts w:hint="default"/>
        <w:lang w:val="zh-CN" w:eastAsia="zh-CN" w:bidi="zh-CN"/>
      </w:rPr>
    </w:lvl>
    <w:lvl w:ilvl="5" w:tplc="2D3223BC">
      <w:numFmt w:val="bullet"/>
      <w:lvlText w:val="•"/>
      <w:lvlJc w:val="left"/>
      <w:pPr>
        <w:ind w:left="5853" w:hanging="213"/>
      </w:pPr>
      <w:rPr>
        <w:rFonts w:hint="default"/>
        <w:lang w:val="zh-CN" w:eastAsia="zh-CN" w:bidi="zh-CN"/>
      </w:rPr>
    </w:lvl>
    <w:lvl w:ilvl="6" w:tplc="4FC83C0C">
      <w:numFmt w:val="bullet"/>
      <w:lvlText w:val="•"/>
      <w:lvlJc w:val="left"/>
      <w:pPr>
        <w:ind w:left="6811" w:hanging="213"/>
      </w:pPr>
      <w:rPr>
        <w:rFonts w:hint="default"/>
        <w:lang w:val="zh-CN" w:eastAsia="zh-CN" w:bidi="zh-CN"/>
      </w:rPr>
    </w:lvl>
    <w:lvl w:ilvl="7" w:tplc="E5BAA772">
      <w:numFmt w:val="bullet"/>
      <w:lvlText w:val="•"/>
      <w:lvlJc w:val="left"/>
      <w:pPr>
        <w:ind w:left="7770" w:hanging="213"/>
      </w:pPr>
      <w:rPr>
        <w:rFonts w:hint="default"/>
        <w:lang w:val="zh-CN" w:eastAsia="zh-CN" w:bidi="zh-CN"/>
      </w:rPr>
    </w:lvl>
    <w:lvl w:ilvl="8" w:tplc="6D2CCA08">
      <w:numFmt w:val="bullet"/>
      <w:lvlText w:val="•"/>
      <w:lvlJc w:val="left"/>
      <w:pPr>
        <w:ind w:left="8729" w:hanging="213"/>
      </w:pPr>
      <w:rPr>
        <w:rFonts w:hint="default"/>
        <w:lang w:val="zh-CN" w:eastAsia="zh-CN" w:bidi="zh-CN"/>
      </w:rPr>
    </w:lvl>
  </w:abstractNum>
  <w:abstractNum w:abstractNumId="303" w15:restartNumberingAfterBreak="0">
    <w:nsid w:val="2A1B032C"/>
    <w:multiLevelType w:val="hybridMultilevel"/>
    <w:tmpl w:val="9858FB10"/>
    <w:lvl w:ilvl="0" w:tplc="19AAD10C">
      <w:start w:val="3"/>
      <w:numFmt w:val="decimal"/>
      <w:lvlText w:val="%1"/>
      <w:lvlJc w:val="left"/>
      <w:pPr>
        <w:ind w:left="418" w:hanging="320"/>
        <w:jc w:val="left"/>
      </w:pPr>
      <w:rPr>
        <w:rFonts w:hint="default"/>
        <w:lang w:val="zh-CN" w:eastAsia="zh-CN" w:bidi="zh-CN"/>
      </w:rPr>
    </w:lvl>
    <w:lvl w:ilvl="1" w:tplc="53A8EE54">
      <w:start w:val="1"/>
      <w:numFmt w:val="decimal"/>
      <w:lvlText w:val="%1.%2"/>
      <w:lvlJc w:val="left"/>
      <w:pPr>
        <w:ind w:left="418" w:hanging="320"/>
        <w:jc w:val="left"/>
      </w:pPr>
      <w:rPr>
        <w:rFonts w:ascii="宋体" w:eastAsia="宋体" w:hAnsi="宋体" w:cs="宋体" w:hint="default"/>
        <w:b/>
        <w:bCs/>
        <w:w w:val="99"/>
        <w:sz w:val="19"/>
        <w:szCs w:val="19"/>
        <w:lang w:val="zh-CN" w:eastAsia="zh-CN" w:bidi="zh-CN"/>
      </w:rPr>
    </w:lvl>
    <w:lvl w:ilvl="2" w:tplc="BCE40AB2">
      <w:numFmt w:val="bullet"/>
      <w:lvlText w:val="•"/>
      <w:lvlJc w:val="left"/>
      <w:pPr>
        <w:ind w:left="2465" w:hanging="320"/>
      </w:pPr>
      <w:rPr>
        <w:rFonts w:hint="default"/>
        <w:lang w:val="zh-CN" w:eastAsia="zh-CN" w:bidi="zh-CN"/>
      </w:rPr>
    </w:lvl>
    <w:lvl w:ilvl="3" w:tplc="C41E25C0">
      <w:numFmt w:val="bullet"/>
      <w:lvlText w:val="•"/>
      <w:lvlJc w:val="left"/>
      <w:pPr>
        <w:ind w:left="3487" w:hanging="320"/>
      </w:pPr>
      <w:rPr>
        <w:rFonts w:hint="default"/>
        <w:lang w:val="zh-CN" w:eastAsia="zh-CN" w:bidi="zh-CN"/>
      </w:rPr>
    </w:lvl>
    <w:lvl w:ilvl="4" w:tplc="A852BC78">
      <w:numFmt w:val="bullet"/>
      <w:lvlText w:val="•"/>
      <w:lvlJc w:val="left"/>
      <w:pPr>
        <w:ind w:left="4510" w:hanging="320"/>
      </w:pPr>
      <w:rPr>
        <w:rFonts w:hint="default"/>
        <w:lang w:val="zh-CN" w:eastAsia="zh-CN" w:bidi="zh-CN"/>
      </w:rPr>
    </w:lvl>
    <w:lvl w:ilvl="5" w:tplc="F2F67290">
      <w:numFmt w:val="bullet"/>
      <w:lvlText w:val="•"/>
      <w:lvlJc w:val="left"/>
      <w:pPr>
        <w:ind w:left="5533" w:hanging="320"/>
      </w:pPr>
      <w:rPr>
        <w:rFonts w:hint="default"/>
        <w:lang w:val="zh-CN" w:eastAsia="zh-CN" w:bidi="zh-CN"/>
      </w:rPr>
    </w:lvl>
    <w:lvl w:ilvl="6" w:tplc="7A883B70">
      <w:numFmt w:val="bullet"/>
      <w:lvlText w:val="•"/>
      <w:lvlJc w:val="left"/>
      <w:pPr>
        <w:ind w:left="6555" w:hanging="320"/>
      </w:pPr>
      <w:rPr>
        <w:rFonts w:hint="default"/>
        <w:lang w:val="zh-CN" w:eastAsia="zh-CN" w:bidi="zh-CN"/>
      </w:rPr>
    </w:lvl>
    <w:lvl w:ilvl="7" w:tplc="A4642610">
      <w:numFmt w:val="bullet"/>
      <w:lvlText w:val="•"/>
      <w:lvlJc w:val="left"/>
      <w:pPr>
        <w:ind w:left="7578" w:hanging="320"/>
      </w:pPr>
      <w:rPr>
        <w:rFonts w:hint="default"/>
        <w:lang w:val="zh-CN" w:eastAsia="zh-CN" w:bidi="zh-CN"/>
      </w:rPr>
    </w:lvl>
    <w:lvl w:ilvl="8" w:tplc="B51C808A">
      <w:numFmt w:val="bullet"/>
      <w:lvlText w:val="•"/>
      <w:lvlJc w:val="left"/>
      <w:pPr>
        <w:ind w:left="8601" w:hanging="320"/>
      </w:pPr>
      <w:rPr>
        <w:rFonts w:hint="default"/>
        <w:lang w:val="zh-CN" w:eastAsia="zh-CN" w:bidi="zh-CN"/>
      </w:rPr>
    </w:lvl>
  </w:abstractNum>
  <w:abstractNum w:abstractNumId="304" w15:restartNumberingAfterBreak="0">
    <w:nsid w:val="2A3324CE"/>
    <w:multiLevelType w:val="hybridMultilevel"/>
    <w:tmpl w:val="7A88160A"/>
    <w:lvl w:ilvl="0" w:tplc="C7FA39D4">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02B093D8">
      <w:numFmt w:val="bullet"/>
      <w:lvlText w:val="•"/>
      <w:lvlJc w:val="left"/>
      <w:pPr>
        <w:ind w:left="2288" w:hanging="529"/>
      </w:pPr>
      <w:rPr>
        <w:rFonts w:hint="default"/>
        <w:lang w:val="zh-CN" w:eastAsia="zh-CN" w:bidi="zh-CN"/>
      </w:rPr>
    </w:lvl>
    <w:lvl w:ilvl="2" w:tplc="38685A0A">
      <w:numFmt w:val="bullet"/>
      <w:lvlText w:val="•"/>
      <w:lvlJc w:val="left"/>
      <w:pPr>
        <w:ind w:left="3217" w:hanging="529"/>
      </w:pPr>
      <w:rPr>
        <w:rFonts w:hint="default"/>
        <w:lang w:val="zh-CN" w:eastAsia="zh-CN" w:bidi="zh-CN"/>
      </w:rPr>
    </w:lvl>
    <w:lvl w:ilvl="3" w:tplc="96D27594">
      <w:numFmt w:val="bullet"/>
      <w:lvlText w:val="•"/>
      <w:lvlJc w:val="left"/>
      <w:pPr>
        <w:ind w:left="4145" w:hanging="529"/>
      </w:pPr>
      <w:rPr>
        <w:rFonts w:hint="default"/>
        <w:lang w:val="zh-CN" w:eastAsia="zh-CN" w:bidi="zh-CN"/>
      </w:rPr>
    </w:lvl>
    <w:lvl w:ilvl="4" w:tplc="32F07C4C">
      <w:numFmt w:val="bullet"/>
      <w:lvlText w:val="•"/>
      <w:lvlJc w:val="left"/>
      <w:pPr>
        <w:ind w:left="5074" w:hanging="529"/>
      </w:pPr>
      <w:rPr>
        <w:rFonts w:hint="default"/>
        <w:lang w:val="zh-CN" w:eastAsia="zh-CN" w:bidi="zh-CN"/>
      </w:rPr>
    </w:lvl>
    <w:lvl w:ilvl="5" w:tplc="0838C430">
      <w:numFmt w:val="bullet"/>
      <w:lvlText w:val="•"/>
      <w:lvlJc w:val="left"/>
      <w:pPr>
        <w:ind w:left="6003" w:hanging="529"/>
      </w:pPr>
      <w:rPr>
        <w:rFonts w:hint="default"/>
        <w:lang w:val="zh-CN" w:eastAsia="zh-CN" w:bidi="zh-CN"/>
      </w:rPr>
    </w:lvl>
    <w:lvl w:ilvl="6" w:tplc="F65CD5E6">
      <w:numFmt w:val="bullet"/>
      <w:lvlText w:val="•"/>
      <w:lvlJc w:val="left"/>
      <w:pPr>
        <w:ind w:left="6931" w:hanging="529"/>
      </w:pPr>
      <w:rPr>
        <w:rFonts w:hint="default"/>
        <w:lang w:val="zh-CN" w:eastAsia="zh-CN" w:bidi="zh-CN"/>
      </w:rPr>
    </w:lvl>
    <w:lvl w:ilvl="7" w:tplc="61D8000E">
      <w:numFmt w:val="bullet"/>
      <w:lvlText w:val="•"/>
      <w:lvlJc w:val="left"/>
      <w:pPr>
        <w:ind w:left="7860" w:hanging="529"/>
      </w:pPr>
      <w:rPr>
        <w:rFonts w:hint="default"/>
        <w:lang w:val="zh-CN" w:eastAsia="zh-CN" w:bidi="zh-CN"/>
      </w:rPr>
    </w:lvl>
    <w:lvl w:ilvl="8" w:tplc="82880DC8">
      <w:numFmt w:val="bullet"/>
      <w:lvlText w:val="•"/>
      <w:lvlJc w:val="left"/>
      <w:pPr>
        <w:ind w:left="8789" w:hanging="529"/>
      </w:pPr>
      <w:rPr>
        <w:rFonts w:hint="default"/>
        <w:lang w:val="zh-CN" w:eastAsia="zh-CN" w:bidi="zh-CN"/>
      </w:rPr>
    </w:lvl>
  </w:abstractNum>
  <w:abstractNum w:abstractNumId="305" w15:restartNumberingAfterBreak="0">
    <w:nsid w:val="2A431387"/>
    <w:multiLevelType w:val="hybridMultilevel"/>
    <w:tmpl w:val="BB729A4E"/>
    <w:lvl w:ilvl="0" w:tplc="49244860">
      <w:start w:val="5"/>
      <w:numFmt w:val="decimal"/>
      <w:lvlText w:val="%1"/>
      <w:lvlJc w:val="left"/>
      <w:pPr>
        <w:ind w:left="1159" w:hanging="320"/>
        <w:jc w:val="left"/>
      </w:pPr>
      <w:rPr>
        <w:rFonts w:hint="default"/>
        <w:lang w:val="zh-CN" w:eastAsia="zh-CN" w:bidi="zh-CN"/>
      </w:rPr>
    </w:lvl>
    <w:lvl w:ilvl="1" w:tplc="E758A7AA">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AB8CAF22">
      <w:start w:val="1"/>
      <w:numFmt w:val="decimal"/>
      <w:lvlText w:val="%1.%2.%3"/>
      <w:lvlJc w:val="left"/>
      <w:pPr>
        <w:ind w:left="418" w:hanging="584"/>
        <w:jc w:val="left"/>
      </w:pPr>
      <w:rPr>
        <w:rFonts w:ascii="宋体" w:eastAsia="宋体" w:hAnsi="宋体" w:cs="宋体" w:hint="default"/>
        <w:b/>
        <w:bCs/>
        <w:w w:val="99"/>
        <w:sz w:val="21"/>
        <w:szCs w:val="21"/>
        <w:lang w:val="zh-CN" w:eastAsia="zh-CN" w:bidi="zh-CN"/>
      </w:rPr>
    </w:lvl>
    <w:lvl w:ilvl="3" w:tplc="25E674D2">
      <w:numFmt w:val="bullet"/>
      <w:lvlText w:val="•"/>
      <w:lvlJc w:val="left"/>
      <w:pPr>
        <w:ind w:left="3268" w:hanging="584"/>
      </w:pPr>
      <w:rPr>
        <w:rFonts w:hint="default"/>
        <w:lang w:val="zh-CN" w:eastAsia="zh-CN" w:bidi="zh-CN"/>
      </w:rPr>
    </w:lvl>
    <w:lvl w:ilvl="4" w:tplc="F72C0848">
      <w:numFmt w:val="bullet"/>
      <w:lvlText w:val="•"/>
      <w:lvlJc w:val="left"/>
      <w:pPr>
        <w:ind w:left="4322" w:hanging="584"/>
      </w:pPr>
      <w:rPr>
        <w:rFonts w:hint="default"/>
        <w:lang w:val="zh-CN" w:eastAsia="zh-CN" w:bidi="zh-CN"/>
      </w:rPr>
    </w:lvl>
    <w:lvl w:ilvl="5" w:tplc="22FC9F68">
      <w:numFmt w:val="bullet"/>
      <w:lvlText w:val="•"/>
      <w:lvlJc w:val="left"/>
      <w:pPr>
        <w:ind w:left="5376" w:hanging="584"/>
      </w:pPr>
      <w:rPr>
        <w:rFonts w:hint="default"/>
        <w:lang w:val="zh-CN" w:eastAsia="zh-CN" w:bidi="zh-CN"/>
      </w:rPr>
    </w:lvl>
    <w:lvl w:ilvl="6" w:tplc="E36684D8">
      <w:numFmt w:val="bullet"/>
      <w:lvlText w:val="•"/>
      <w:lvlJc w:val="left"/>
      <w:pPr>
        <w:ind w:left="6430" w:hanging="584"/>
      </w:pPr>
      <w:rPr>
        <w:rFonts w:hint="default"/>
        <w:lang w:val="zh-CN" w:eastAsia="zh-CN" w:bidi="zh-CN"/>
      </w:rPr>
    </w:lvl>
    <w:lvl w:ilvl="7" w:tplc="C8AC1528">
      <w:numFmt w:val="bullet"/>
      <w:lvlText w:val="•"/>
      <w:lvlJc w:val="left"/>
      <w:pPr>
        <w:ind w:left="7484" w:hanging="584"/>
      </w:pPr>
      <w:rPr>
        <w:rFonts w:hint="default"/>
        <w:lang w:val="zh-CN" w:eastAsia="zh-CN" w:bidi="zh-CN"/>
      </w:rPr>
    </w:lvl>
    <w:lvl w:ilvl="8" w:tplc="EBCA6A28">
      <w:numFmt w:val="bullet"/>
      <w:lvlText w:val="•"/>
      <w:lvlJc w:val="left"/>
      <w:pPr>
        <w:ind w:left="8538" w:hanging="584"/>
      </w:pPr>
      <w:rPr>
        <w:rFonts w:hint="default"/>
        <w:lang w:val="zh-CN" w:eastAsia="zh-CN" w:bidi="zh-CN"/>
      </w:rPr>
    </w:lvl>
  </w:abstractNum>
  <w:abstractNum w:abstractNumId="306" w15:restartNumberingAfterBreak="0">
    <w:nsid w:val="2A512F45"/>
    <w:multiLevelType w:val="hybridMultilevel"/>
    <w:tmpl w:val="4A2AAE4A"/>
    <w:lvl w:ilvl="0" w:tplc="E188D80E">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3CD06024">
      <w:numFmt w:val="bullet"/>
      <w:lvlText w:val="•"/>
      <w:lvlJc w:val="left"/>
      <w:pPr>
        <w:ind w:left="2288" w:hanging="529"/>
      </w:pPr>
      <w:rPr>
        <w:rFonts w:hint="default"/>
        <w:lang w:val="zh-CN" w:eastAsia="zh-CN" w:bidi="zh-CN"/>
      </w:rPr>
    </w:lvl>
    <w:lvl w:ilvl="2" w:tplc="9942114E">
      <w:numFmt w:val="bullet"/>
      <w:lvlText w:val="•"/>
      <w:lvlJc w:val="left"/>
      <w:pPr>
        <w:ind w:left="3217" w:hanging="529"/>
      </w:pPr>
      <w:rPr>
        <w:rFonts w:hint="default"/>
        <w:lang w:val="zh-CN" w:eastAsia="zh-CN" w:bidi="zh-CN"/>
      </w:rPr>
    </w:lvl>
    <w:lvl w:ilvl="3" w:tplc="5C06C4F2">
      <w:numFmt w:val="bullet"/>
      <w:lvlText w:val="•"/>
      <w:lvlJc w:val="left"/>
      <w:pPr>
        <w:ind w:left="4145" w:hanging="529"/>
      </w:pPr>
      <w:rPr>
        <w:rFonts w:hint="default"/>
        <w:lang w:val="zh-CN" w:eastAsia="zh-CN" w:bidi="zh-CN"/>
      </w:rPr>
    </w:lvl>
    <w:lvl w:ilvl="4" w:tplc="197860EE">
      <w:numFmt w:val="bullet"/>
      <w:lvlText w:val="•"/>
      <w:lvlJc w:val="left"/>
      <w:pPr>
        <w:ind w:left="5074" w:hanging="529"/>
      </w:pPr>
      <w:rPr>
        <w:rFonts w:hint="default"/>
        <w:lang w:val="zh-CN" w:eastAsia="zh-CN" w:bidi="zh-CN"/>
      </w:rPr>
    </w:lvl>
    <w:lvl w:ilvl="5" w:tplc="FE8CEFDE">
      <w:numFmt w:val="bullet"/>
      <w:lvlText w:val="•"/>
      <w:lvlJc w:val="left"/>
      <w:pPr>
        <w:ind w:left="6003" w:hanging="529"/>
      </w:pPr>
      <w:rPr>
        <w:rFonts w:hint="default"/>
        <w:lang w:val="zh-CN" w:eastAsia="zh-CN" w:bidi="zh-CN"/>
      </w:rPr>
    </w:lvl>
    <w:lvl w:ilvl="6" w:tplc="D1C8732C">
      <w:numFmt w:val="bullet"/>
      <w:lvlText w:val="•"/>
      <w:lvlJc w:val="left"/>
      <w:pPr>
        <w:ind w:left="6931" w:hanging="529"/>
      </w:pPr>
      <w:rPr>
        <w:rFonts w:hint="default"/>
        <w:lang w:val="zh-CN" w:eastAsia="zh-CN" w:bidi="zh-CN"/>
      </w:rPr>
    </w:lvl>
    <w:lvl w:ilvl="7" w:tplc="D4705182">
      <w:numFmt w:val="bullet"/>
      <w:lvlText w:val="•"/>
      <w:lvlJc w:val="left"/>
      <w:pPr>
        <w:ind w:left="7860" w:hanging="529"/>
      </w:pPr>
      <w:rPr>
        <w:rFonts w:hint="default"/>
        <w:lang w:val="zh-CN" w:eastAsia="zh-CN" w:bidi="zh-CN"/>
      </w:rPr>
    </w:lvl>
    <w:lvl w:ilvl="8" w:tplc="3ACABB08">
      <w:numFmt w:val="bullet"/>
      <w:lvlText w:val="•"/>
      <w:lvlJc w:val="left"/>
      <w:pPr>
        <w:ind w:left="8789" w:hanging="529"/>
      </w:pPr>
      <w:rPr>
        <w:rFonts w:hint="default"/>
        <w:lang w:val="zh-CN" w:eastAsia="zh-CN" w:bidi="zh-CN"/>
      </w:rPr>
    </w:lvl>
  </w:abstractNum>
  <w:abstractNum w:abstractNumId="307" w15:restartNumberingAfterBreak="0">
    <w:nsid w:val="2A70505B"/>
    <w:multiLevelType w:val="hybridMultilevel"/>
    <w:tmpl w:val="F830F736"/>
    <w:lvl w:ilvl="0" w:tplc="68E8113A">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5812477E">
      <w:numFmt w:val="bullet"/>
      <w:lvlText w:val="•"/>
      <w:lvlJc w:val="left"/>
      <w:pPr>
        <w:ind w:left="2288" w:hanging="529"/>
      </w:pPr>
      <w:rPr>
        <w:rFonts w:hint="default"/>
        <w:lang w:val="zh-CN" w:eastAsia="zh-CN" w:bidi="zh-CN"/>
      </w:rPr>
    </w:lvl>
    <w:lvl w:ilvl="2" w:tplc="F9CC930A">
      <w:numFmt w:val="bullet"/>
      <w:lvlText w:val="•"/>
      <w:lvlJc w:val="left"/>
      <w:pPr>
        <w:ind w:left="3217" w:hanging="529"/>
      </w:pPr>
      <w:rPr>
        <w:rFonts w:hint="default"/>
        <w:lang w:val="zh-CN" w:eastAsia="zh-CN" w:bidi="zh-CN"/>
      </w:rPr>
    </w:lvl>
    <w:lvl w:ilvl="3" w:tplc="6870F6C6">
      <w:numFmt w:val="bullet"/>
      <w:lvlText w:val="•"/>
      <w:lvlJc w:val="left"/>
      <w:pPr>
        <w:ind w:left="4145" w:hanging="529"/>
      </w:pPr>
      <w:rPr>
        <w:rFonts w:hint="default"/>
        <w:lang w:val="zh-CN" w:eastAsia="zh-CN" w:bidi="zh-CN"/>
      </w:rPr>
    </w:lvl>
    <w:lvl w:ilvl="4" w:tplc="BDBEBF6E">
      <w:numFmt w:val="bullet"/>
      <w:lvlText w:val="•"/>
      <w:lvlJc w:val="left"/>
      <w:pPr>
        <w:ind w:left="5074" w:hanging="529"/>
      </w:pPr>
      <w:rPr>
        <w:rFonts w:hint="default"/>
        <w:lang w:val="zh-CN" w:eastAsia="zh-CN" w:bidi="zh-CN"/>
      </w:rPr>
    </w:lvl>
    <w:lvl w:ilvl="5" w:tplc="658072FC">
      <w:numFmt w:val="bullet"/>
      <w:lvlText w:val="•"/>
      <w:lvlJc w:val="left"/>
      <w:pPr>
        <w:ind w:left="6003" w:hanging="529"/>
      </w:pPr>
      <w:rPr>
        <w:rFonts w:hint="default"/>
        <w:lang w:val="zh-CN" w:eastAsia="zh-CN" w:bidi="zh-CN"/>
      </w:rPr>
    </w:lvl>
    <w:lvl w:ilvl="6" w:tplc="8D069742">
      <w:numFmt w:val="bullet"/>
      <w:lvlText w:val="•"/>
      <w:lvlJc w:val="left"/>
      <w:pPr>
        <w:ind w:left="6931" w:hanging="529"/>
      </w:pPr>
      <w:rPr>
        <w:rFonts w:hint="default"/>
        <w:lang w:val="zh-CN" w:eastAsia="zh-CN" w:bidi="zh-CN"/>
      </w:rPr>
    </w:lvl>
    <w:lvl w:ilvl="7" w:tplc="38C67822">
      <w:numFmt w:val="bullet"/>
      <w:lvlText w:val="•"/>
      <w:lvlJc w:val="left"/>
      <w:pPr>
        <w:ind w:left="7860" w:hanging="529"/>
      </w:pPr>
      <w:rPr>
        <w:rFonts w:hint="default"/>
        <w:lang w:val="zh-CN" w:eastAsia="zh-CN" w:bidi="zh-CN"/>
      </w:rPr>
    </w:lvl>
    <w:lvl w:ilvl="8" w:tplc="270098A4">
      <w:numFmt w:val="bullet"/>
      <w:lvlText w:val="•"/>
      <w:lvlJc w:val="left"/>
      <w:pPr>
        <w:ind w:left="8789" w:hanging="529"/>
      </w:pPr>
      <w:rPr>
        <w:rFonts w:hint="default"/>
        <w:lang w:val="zh-CN" w:eastAsia="zh-CN" w:bidi="zh-CN"/>
      </w:rPr>
    </w:lvl>
  </w:abstractNum>
  <w:abstractNum w:abstractNumId="308" w15:restartNumberingAfterBreak="0">
    <w:nsid w:val="2A9005D4"/>
    <w:multiLevelType w:val="hybridMultilevel"/>
    <w:tmpl w:val="9642E102"/>
    <w:lvl w:ilvl="0" w:tplc="C6925E8C">
      <w:start w:val="11"/>
      <w:numFmt w:val="decimal"/>
      <w:lvlText w:val="%1"/>
      <w:lvlJc w:val="left"/>
      <w:pPr>
        <w:ind w:left="418" w:hanging="478"/>
        <w:jc w:val="left"/>
      </w:pPr>
      <w:rPr>
        <w:rFonts w:hint="default"/>
        <w:lang w:val="zh-CN" w:eastAsia="zh-CN" w:bidi="zh-CN"/>
      </w:rPr>
    </w:lvl>
    <w:lvl w:ilvl="1" w:tplc="8F5EB66C">
      <w:start w:val="1"/>
      <w:numFmt w:val="decimal"/>
      <w:lvlText w:val="%1.%2"/>
      <w:lvlJc w:val="left"/>
      <w:pPr>
        <w:ind w:left="418" w:hanging="478"/>
        <w:jc w:val="left"/>
      </w:pPr>
      <w:rPr>
        <w:rFonts w:ascii="宋体" w:eastAsia="宋体" w:hAnsi="宋体" w:cs="宋体" w:hint="default"/>
        <w:b/>
        <w:bCs/>
        <w:w w:val="99"/>
        <w:sz w:val="21"/>
        <w:szCs w:val="21"/>
        <w:lang w:val="zh-CN" w:eastAsia="zh-CN" w:bidi="zh-CN"/>
      </w:rPr>
    </w:lvl>
    <w:lvl w:ilvl="2" w:tplc="EC7E2D3A">
      <w:numFmt w:val="bullet"/>
      <w:lvlText w:val="•"/>
      <w:lvlJc w:val="left"/>
      <w:pPr>
        <w:ind w:left="2465" w:hanging="478"/>
      </w:pPr>
      <w:rPr>
        <w:rFonts w:hint="default"/>
        <w:lang w:val="zh-CN" w:eastAsia="zh-CN" w:bidi="zh-CN"/>
      </w:rPr>
    </w:lvl>
    <w:lvl w:ilvl="3" w:tplc="6CBABD40">
      <w:numFmt w:val="bullet"/>
      <w:lvlText w:val="•"/>
      <w:lvlJc w:val="left"/>
      <w:pPr>
        <w:ind w:left="3487" w:hanging="478"/>
      </w:pPr>
      <w:rPr>
        <w:rFonts w:hint="default"/>
        <w:lang w:val="zh-CN" w:eastAsia="zh-CN" w:bidi="zh-CN"/>
      </w:rPr>
    </w:lvl>
    <w:lvl w:ilvl="4" w:tplc="DD42D3A4">
      <w:numFmt w:val="bullet"/>
      <w:lvlText w:val="•"/>
      <w:lvlJc w:val="left"/>
      <w:pPr>
        <w:ind w:left="4510" w:hanging="478"/>
      </w:pPr>
      <w:rPr>
        <w:rFonts w:hint="default"/>
        <w:lang w:val="zh-CN" w:eastAsia="zh-CN" w:bidi="zh-CN"/>
      </w:rPr>
    </w:lvl>
    <w:lvl w:ilvl="5" w:tplc="E54E9BAC">
      <w:numFmt w:val="bullet"/>
      <w:lvlText w:val="•"/>
      <w:lvlJc w:val="left"/>
      <w:pPr>
        <w:ind w:left="5533" w:hanging="478"/>
      </w:pPr>
      <w:rPr>
        <w:rFonts w:hint="default"/>
        <w:lang w:val="zh-CN" w:eastAsia="zh-CN" w:bidi="zh-CN"/>
      </w:rPr>
    </w:lvl>
    <w:lvl w:ilvl="6" w:tplc="96C47AE8">
      <w:numFmt w:val="bullet"/>
      <w:lvlText w:val="•"/>
      <w:lvlJc w:val="left"/>
      <w:pPr>
        <w:ind w:left="6555" w:hanging="478"/>
      </w:pPr>
      <w:rPr>
        <w:rFonts w:hint="default"/>
        <w:lang w:val="zh-CN" w:eastAsia="zh-CN" w:bidi="zh-CN"/>
      </w:rPr>
    </w:lvl>
    <w:lvl w:ilvl="7" w:tplc="74FC8916">
      <w:numFmt w:val="bullet"/>
      <w:lvlText w:val="•"/>
      <w:lvlJc w:val="left"/>
      <w:pPr>
        <w:ind w:left="7578" w:hanging="478"/>
      </w:pPr>
      <w:rPr>
        <w:rFonts w:hint="default"/>
        <w:lang w:val="zh-CN" w:eastAsia="zh-CN" w:bidi="zh-CN"/>
      </w:rPr>
    </w:lvl>
    <w:lvl w:ilvl="8" w:tplc="B63226BA">
      <w:numFmt w:val="bullet"/>
      <w:lvlText w:val="•"/>
      <w:lvlJc w:val="left"/>
      <w:pPr>
        <w:ind w:left="8601" w:hanging="478"/>
      </w:pPr>
      <w:rPr>
        <w:rFonts w:hint="default"/>
        <w:lang w:val="zh-CN" w:eastAsia="zh-CN" w:bidi="zh-CN"/>
      </w:rPr>
    </w:lvl>
  </w:abstractNum>
  <w:abstractNum w:abstractNumId="309" w15:restartNumberingAfterBreak="0">
    <w:nsid w:val="2A98505F"/>
    <w:multiLevelType w:val="hybridMultilevel"/>
    <w:tmpl w:val="2806C11C"/>
    <w:lvl w:ilvl="0" w:tplc="0AA6ED50">
      <w:start w:val="6"/>
      <w:numFmt w:val="decimal"/>
      <w:lvlText w:val="%1"/>
      <w:lvlJc w:val="left"/>
      <w:pPr>
        <w:ind w:left="1263" w:hanging="424"/>
        <w:jc w:val="left"/>
      </w:pPr>
      <w:rPr>
        <w:rFonts w:hint="default"/>
        <w:lang w:val="zh-CN" w:eastAsia="zh-CN" w:bidi="zh-CN"/>
      </w:rPr>
    </w:lvl>
    <w:lvl w:ilvl="1" w:tplc="DA82674E">
      <w:start w:val="11"/>
      <w:numFmt w:val="decimal"/>
      <w:lvlText w:val="%1.%2"/>
      <w:lvlJc w:val="left"/>
      <w:pPr>
        <w:ind w:left="1263" w:hanging="424"/>
        <w:jc w:val="left"/>
      </w:pPr>
      <w:rPr>
        <w:rFonts w:ascii="宋体" w:eastAsia="宋体" w:hAnsi="宋体" w:cs="宋体" w:hint="default"/>
        <w:b/>
        <w:bCs/>
        <w:w w:val="99"/>
        <w:sz w:val="19"/>
        <w:szCs w:val="19"/>
        <w:lang w:val="zh-CN" w:eastAsia="zh-CN" w:bidi="zh-CN"/>
      </w:rPr>
    </w:lvl>
    <w:lvl w:ilvl="2" w:tplc="BBA0912E">
      <w:start w:val="1"/>
      <w:numFmt w:val="decimal"/>
      <w:lvlText w:val="%1.%2.%3"/>
      <w:lvlJc w:val="left"/>
      <w:pPr>
        <w:ind w:left="838" w:hanging="637"/>
        <w:jc w:val="left"/>
      </w:pPr>
      <w:rPr>
        <w:rFonts w:ascii="宋体" w:eastAsia="宋体" w:hAnsi="宋体" w:cs="宋体" w:hint="default"/>
        <w:b/>
        <w:bCs/>
        <w:spacing w:val="-53"/>
        <w:w w:val="99"/>
        <w:sz w:val="19"/>
        <w:szCs w:val="19"/>
        <w:lang w:val="zh-CN" w:eastAsia="zh-CN" w:bidi="zh-CN"/>
      </w:rPr>
    </w:lvl>
    <w:lvl w:ilvl="3" w:tplc="2D28BAEC">
      <w:numFmt w:val="bullet"/>
      <w:lvlText w:val="•"/>
      <w:lvlJc w:val="left"/>
      <w:pPr>
        <w:ind w:left="3345" w:hanging="637"/>
      </w:pPr>
      <w:rPr>
        <w:rFonts w:hint="default"/>
        <w:lang w:val="zh-CN" w:eastAsia="zh-CN" w:bidi="zh-CN"/>
      </w:rPr>
    </w:lvl>
    <w:lvl w:ilvl="4" w:tplc="5E0C7F08">
      <w:numFmt w:val="bullet"/>
      <w:lvlText w:val="•"/>
      <w:lvlJc w:val="left"/>
      <w:pPr>
        <w:ind w:left="4388" w:hanging="637"/>
      </w:pPr>
      <w:rPr>
        <w:rFonts w:hint="default"/>
        <w:lang w:val="zh-CN" w:eastAsia="zh-CN" w:bidi="zh-CN"/>
      </w:rPr>
    </w:lvl>
    <w:lvl w:ilvl="5" w:tplc="BC44F7B2">
      <w:numFmt w:val="bullet"/>
      <w:lvlText w:val="•"/>
      <w:lvlJc w:val="left"/>
      <w:pPr>
        <w:ind w:left="5431" w:hanging="637"/>
      </w:pPr>
      <w:rPr>
        <w:rFonts w:hint="default"/>
        <w:lang w:val="zh-CN" w:eastAsia="zh-CN" w:bidi="zh-CN"/>
      </w:rPr>
    </w:lvl>
    <w:lvl w:ilvl="6" w:tplc="2AECFB18">
      <w:numFmt w:val="bullet"/>
      <w:lvlText w:val="•"/>
      <w:lvlJc w:val="left"/>
      <w:pPr>
        <w:ind w:left="6474" w:hanging="637"/>
      </w:pPr>
      <w:rPr>
        <w:rFonts w:hint="default"/>
        <w:lang w:val="zh-CN" w:eastAsia="zh-CN" w:bidi="zh-CN"/>
      </w:rPr>
    </w:lvl>
    <w:lvl w:ilvl="7" w:tplc="703E91D6">
      <w:numFmt w:val="bullet"/>
      <w:lvlText w:val="•"/>
      <w:lvlJc w:val="left"/>
      <w:pPr>
        <w:ind w:left="7517" w:hanging="637"/>
      </w:pPr>
      <w:rPr>
        <w:rFonts w:hint="default"/>
        <w:lang w:val="zh-CN" w:eastAsia="zh-CN" w:bidi="zh-CN"/>
      </w:rPr>
    </w:lvl>
    <w:lvl w:ilvl="8" w:tplc="24BA748A">
      <w:numFmt w:val="bullet"/>
      <w:lvlText w:val="•"/>
      <w:lvlJc w:val="left"/>
      <w:pPr>
        <w:ind w:left="8560" w:hanging="637"/>
      </w:pPr>
      <w:rPr>
        <w:rFonts w:hint="default"/>
        <w:lang w:val="zh-CN" w:eastAsia="zh-CN" w:bidi="zh-CN"/>
      </w:rPr>
    </w:lvl>
  </w:abstractNum>
  <w:abstractNum w:abstractNumId="310" w15:restartNumberingAfterBreak="0">
    <w:nsid w:val="2AAE1977"/>
    <w:multiLevelType w:val="hybridMultilevel"/>
    <w:tmpl w:val="259ADE06"/>
    <w:lvl w:ilvl="0" w:tplc="116489CA">
      <w:start w:val="5"/>
      <w:numFmt w:val="decimal"/>
      <w:lvlText w:val="%1"/>
      <w:lvlJc w:val="left"/>
      <w:pPr>
        <w:ind w:left="418" w:hanging="318"/>
        <w:jc w:val="left"/>
      </w:pPr>
      <w:rPr>
        <w:rFonts w:hint="default"/>
        <w:lang w:val="zh-CN" w:eastAsia="zh-CN" w:bidi="zh-CN"/>
      </w:rPr>
    </w:lvl>
    <w:lvl w:ilvl="1" w:tplc="82383736">
      <w:start w:val="1"/>
      <w:numFmt w:val="decimal"/>
      <w:lvlText w:val="%1.%2"/>
      <w:lvlJc w:val="left"/>
      <w:pPr>
        <w:ind w:left="418" w:hanging="318"/>
        <w:jc w:val="left"/>
      </w:pPr>
      <w:rPr>
        <w:rFonts w:ascii="宋体" w:eastAsia="宋体" w:hAnsi="宋体" w:cs="宋体" w:hint="default"/>
        <w:b/>
        <w:bCs/>
        <w:w w:val="99"/>
        <w:sz w:val="19"/>
        <w:szCs w:val="19"/>
        <w:lang w:val="zh-CN" w:eastAsia="zh-CN" w:bidi="zh-CN"/>
      </w:rPr>
    </w:lvl>
    <w:lvl w:ilvl="2" w:tplc="94C6FBE2">
      <w:numFmt w:val="bullet"/>
      <w:lvlText w:val="•"/>
      <w:lvlJc w:val="left"/>
      <w:pPr>
        <w:ind w:left="2465" w:hanging="318"/>
      </w:pPr>
      <w:rPr>
        <w:rFonts w:hint="default"/>
        <w:lang w:val="zh-CN" w:eastAsia="zh-CN" w:bidi="zh-CN"/>
      </w:rPr>
    </w:lvl>
    <w:lvl w:ilvl="3" w:tplc="8F506E22">
      <w:numFmt w:val="bullet"/>
      <w:lvlText w:val="•"/>
      <w:lvlJc w:val="left"/>
      <w:pPr>
        <w:ind w:left="3487" w:hanging="318"/>
      </w:pPr>
      <w:rPr>
        <w:rFonts w:hint="default"/>
        <w:lang w:val="zh-CN" w:eastAsia="zh-CN" w:bidi="zh-CN"/>
      </w:rPr>
    </w:lvl>
    <w:lvl w:ilvl="4" w:tplc="8F1A39DE">
      <w:numFmt w:val="bullet"/>
      <w:lvlText w:val="•"/>
      <w:lvlJc w:val="left"/>
      <w:pPr>
        <w:ind w:left="4510" w:hanging="318"/>
      </w:pPr>
      <w:rPr>
        <w:rFonts w:hint="default"/>
        <w:lang w:val="zh-CN" w:eastAsia="zh-CN" w:bidi="zh-CN"/>
      </w:rPr>
    </w:lvl>
    <w:lvl w:ilvl="5" w:tplc="731C653E">
      <w:numFmt w:val="bullet"/>
      <w:lvlText w:val="•"/>
      <w:lvlJc w:val="left"/>
      <w:pPr>
        <w:ind w:left="5533" w:hanging="318"/>
      </w:pPr>
      <w:rPr>
        <w:rFonts w:hint="default"/>
        <w:lang w:val="zh-CN" w:eastAsia="zh-CN" w:bidi="zh-CN"/>
      </w:rPr>
    </w:lvl>
    <w:lvl w:ilvl="6" w:tplc="6A8E5868">
      <w:numFmt w:val="bullet"/>
      <w:lvlText w:val="•"/>
      <w:lvlJc w:val="left"/>
      <w:pPr>
        <w:ind w:left="6555" w:hanging="318"/>
      </w:pPr>
      <w:rPr>
        <w:rFonts w:hint="default"/>
        <w:lang w:val="zh-CN" w:eastAsia="zh-CN" w:bidi="zh-CN"/>
      </w:rPr>
    </w:lvl>
    <w:lvl w:ilvl="7" w:tplc="0A048EE2">
      <w:numFmt w:val="bullet"/>
      <w:lvlText w:val="•"/>
      <w:lvlJc w:val="left"/>
      <w:pPr>
        <w:ind w:left="7578" w:hanging="318"/>
      </w:pPr>
      <w:rPr>
        <w:rFonts w:hint="default"/>
        <w:lang w:val="zh-CN" w:eastAsia="zh-CN" w:bidi="zh-CN"/>
      </w:rPr>
    </w:lvl>
    <w:lvl w:ilvl="8" w:tplc="FC226AEE">
      <w:numFmt w:val="bullet"/>
      <w:lvlText w:val="•"/>
      <w:lvlJc w:val="left"/>
      <w:pPr>
        <w:ind w:left="8601" w:hanging="318"/>
      </w:pPr>
      <w:rPr>
        <w:rFonts w:hint="default"/>
        <w:lang w:val="zh-CN" w:eastAsia="zh-CN" w:bidi="zh-CN"/>
      </w:rPr>
    </w:lvl>
  </w:abstractNum>
  <w:abstractNum w:abstractNumId="311" w15:restartNumberingAfterBreak="0">
    <w:nsid w:val="2B0940C3"/>
    <w:multiLevelType w:val="hybridMultilevel"/>
    <w:tmpl w:val="5FDE485C"/>
    <w:lvl w:ilvl="0" w:tplc="887ED082">
      <w:start w:val="6"/>
      <w:numFmt w:val="decimal"/>
      <w:lvlText w:val="%1"/>
      <w:lvlJc w:val="left"/>
      <w:pPr>
        <w:ind w:left="1369" w:hanging="529"/>
        <w:jc w:val="left"/>
      </w:pPr>
      <w:rPr>
        <w:rFonts w:hint="default"/>
        <w:lang w:val="zh-CN" w:eastAsia="zh-CN" w:bidi="zh-CN"/>
      </w:rPr>
    </w:lvl>
    <w:lvl w:ilvl="1" w:tplc="C7325D86">
      <w:start w:val="5"/>
      <w:numFmt w:val="decimal"/>
      <w:lvlText w:val="%1.%2"/>
      <w:lvlJc w:val="left"/>
      <w:pPr>
        <w:ind w:left="1369" w:hanging="529"/>
        <w:jc w:val="left"/>
      </w:pPr>
      <w:rPr>
        <w:rFonts w:hint="default"/>
        <w:lang w:val="zh-CN" w:eastAsia="zh-CN" w:bidi="zh-CN"/>
      </w:rPr>
    </w:lvl>
    <w:lvl w:ilvl="2" w:tplc="787C9054">
      <w:start w:val="4"/>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6AA0DC92">
      <w:numFmt w:val="bullet"/>
      <w:lvlText w:val="•"/>
      <w:lvlJc w:val="left"/>
      <w:pPr>
        <w:ind w:left="4145" w:hanging="529"/>
      </w:pPr>
      <w:rPr>
        <w:rFonts w:hint="default"/>
        <w:lang w:val="zh-CN" w:eastAsia="zh-CN" w:bidi="zh-CN"/>
      </w:rPr>
    </w:lvl>
    <w:lvl w:ilvl="4" w:tplc="90D4B6F6">
      <w:numFmt w:val="bullet"/>
      <w:lvlText w:val="•"/>
      <w:lvlJc w:val="left"/>
      <w:pPr>
        <w:ind w:left="5074" w:hanging="529"/>
      </w:pPr>
      <w:rPr>
        <w:rFonts w:hint="default"/>
        <w:lang w:val="zh-CN" w:eastAsia="zh-CN" w:bidi="zh-CN"/>
      </w:rPr>
    </w:lvl>
    <w:lvl w:ilvl="5" w:tplc="A74ED08C">
      <w:numFmt w:val="bullet"/>
      <w:lvlText w:val="•"/>
      <w:lvlJc w:val="left"/>
      <w:pPr>
        <w:ind w:left="6003" w:hanging="529"/>
      </w:pPr>
      <w:rPr>
        <w:rFonts w:hint="default"/>
        <w:lang w:val="zh-CN" w:eastAsia="zh-CN" w:bidi="zh-CN"/>
      </w:rPr>
    </w:lvl>
    <w:lvl w:ilvl="6" w:tplc="17B6EFDA">
      <w:numFmt w:val="bullet"/>
      <w:lvlText w:val="•"/>
      <w:lvlJc w:val="left"/>
      <w:pPr>
        <w:ind w:left="6931" w:hanging="529"/>
      </w:pPr>
      <w:rPr>
        <w:rFonts w:hint="default"/>
        <w:lang w:val="zh-CN" w:eastAsia="zh-CN" w:bidi="zh-CN"/>
      </w:rPr>
    </w:lvl>
    <w:lvl w:ilvl="7" w:tplc="25F6D09E">
      <w:numFmt w:val="bullet"/>
      <w:lvlText w:val="•"/>
      <w:lvlJc w:val="left"/>
      <w:pPr>
        <w:ind w:left="7860" w:hanging="529"/>
      </w:pPr>
      <w:rPr>
        <w:rFonts w:hint="default"/>
        <w:lang w:val="zh-CN" w:eastAsia="zh-CN" w:bidi="zh-CN"/>
      </w:rPr>
    </w:lvl>
    <w:lvl w:ilvl="8" w:tplc="C1B6EBD8">
      <w:numFmt w:val="bullet"/>
      <w:lvlText w:val="•"/>
      <w:lvlJc w:val="left"/>
      <w:pPr>
        <w:ind w:left="8789" w:hanging="529"/>
      </w:pPr>
      <w:rPr>
        <w:rFonts w:hint="default"/>
        <w:lang w:val="zh-CN" w:eastAsia="zh-CN" w:bidi="zh-CN"/>
      </w:rPr>
    </w:lvl>
  </w:abstractNum>
  <w:abstractNum w:abstractNumId="312" w15:restartNumberingAfterBreak="0">
    <w:nsid w:val="2B5F0EA8"/>
    <w:multiLevelType w:val="hybridMultilevel"/>
    <w:tmpl w:val="08666D96"/>
    <w:lvl w:ilvl="0" w:tplc="6C906302">
      <w:start w:val="1"/>
      <w:numFmt w:val="decimal"/>
      <w:lvlText w:val="（%1）"/>
      <w:lvlJc w:val="left"/>
      <w:pPr>
        <w:ind w:left="418" w:hanging="529"/>
        <w:jc w:val="left"/>
      </w:pPr>
      <w:rPr>
        <w:rFonts w:ascii="宋体" w:eastAsia="宋体" w:hAnsi="宋体" w:cs="宋体" w:hint="default"/>
        <w:color w:val="333333"/>
        <w:spacing w:val="-3"/>
        <w:w w:val="100"/>
        <w:sz w:val="19"/>
        <w:szCs w:val="19"/>
        <w:lang w:val="zh-CN" w:eastAsia="zh-CN" w:bidi="zh-CN"/>
      </w:rPr>
    </w:lvl>
    <w:lvl w:ilvl="1" w:tplc="C49C1C06">
      <w:numFmt w:val="bullet"/>
      <w:lvlText w:val="•"/>
      <w:lvlJc w:val="left"/>
      <w:pPr>
        <w:ind w:left="1442" w:hanging="529"/>
      </w:pPr>
      <w:rPr>
        <w:rFonts w:hint="default"/>
        <w:lang w:val="zh-CN" w:eastAsia="zh-CN" w:bidi="zh-CN"/>
      </w:rPr>
    </w:lvl>
    <w:lvl w:ilvl="2" w:tplc="5FE68572">
      <w:numFmt w:val="bullet"/>
      <w:lvlText w:val="•"/>
      <w:lvlJc w:val="left"/>
      <w:pPr>
        <w:ind w:left="2465" w:hanging="529"/>
      </w:pPr>
      <w:rPr>
        <w:rFonts w:hint="default"/>
        <w:lang w:val="zh-CN" w:eastAsia="zh-CN" w:bidi="zh-CN"/>
      </w:rPr>
    </w:lvl>
    <w:lvl w:ilvl="3" w:tplc="C486FA56">
      <w:numFmt w:val="bullet"/>
      <w:lvlText w:val="•"/>
      <w:lvlJc w:val="left"/>
      <w:pPr>
        <w:ind w:left="3487" w:hanging="529"/>
      </w:pPr>
      <w:rPr>
        <w:rFonts w:hint="default"/>
        <w:lang w:val="zh-CN" w:eastAsia="zh-CN" w:bidi="zh-CN"/>
      </w:rPr>
    </w:lvl>
    <w:lvl w:ilvl="4" w:tplc="4C1C399A">
      <w:numFmt w:val="bullet"/>
      <w:lvlText w:val="•"/>
      <w:lvlJc w:val="left"/>
      <w:pPr>
        <w:ind w:left="4510" w:hanging="529"/>
      </w:pPr>
      <w:rPr>
        <w:rFonts w:hint="default"/>
        <w:lang w:val="zh-CN" w:eastAsia="zh-CN" w:bidi="zh-CN"/>
      </w:rPr>
    </w:lvl>
    <w:lvl w:ilvl="5" w:tplc="111CE6C6">
      <w:numFmt w:val="bullet"/>
      <w:lvlText w:val="•"/>
      <w:lvlJc w:val="left"/>
      <w:pPr>
        <w:ind w:left="5533" w:hanging="529"/>
      </w:pPr>
      <w:rPr>
        <w:rFonts w:hint="default"/>
        <w:lang w:val="zh-CN" w:eastAsia="zh-CN" w:bidi="zh-CN"/>
      </w:rPr>
    </w:lvl>
    <w:lvl w:ilvl="6" w:tplc="DBAC1A24">
      <w:numFmt w:val="bullet"/>
      <w:lvlText w:val="•"/>
      <w:lvlJc w:val="left"/>
      <w:pPr>
        <w:ind w:left="6555" w:hanging="529"/>
      </w:pPr>
      <w:rPr>
        <w:rFonts w:hint="default"/>
        <w:lang w:val="zh-CN" w:eastAsia="zh-CN" w:bidi="zh-CN"/>
      </w:rPr>
    </w:lvl>
    <w:lvl w:ilvl="7" w:tplc="34E21D4A">
      <w:numFmt w:val="bullet"/>
      <w:lvlText w:val="•"/>
      <w:lvlJc w:val="left"/>
      <w:pPr>
        <w:ind w:left="7578" w:hanging="529"/>
      </w:pPr>
      <w:rPr>
        <w:rFonts w:hint="default"/>
        <w:lang w:val="zh-CN" w:eastAsia="zh-CN" w:bidi="zh-CN"/>
      </w:rPr>
    </w:lvl>
    <w:lvl w:ilvl="8" w:tplc="1116B76A">
      <w:numFmt w:val="bullet"/>
      <w:lvlText w:val="•"/>
      <w:lvlJc w:val="left"/>
      <w:pPr>
        <w:ind w:left="8601" w:hanging="529"/>
      </w:pPr>
      <w:rPr>
        <w:rFonts w:hint="default"/>
        <w:lang w:val="zh-CN" w:eastAsia="zh-CN" w:bidi="zh-CN"/>
      </w:rPr>
    </w:lvl>
  </w:abstractNum>
  <w:abstractNum w:abstractNumId="313" w15:restartNumberingAfterBreak="0">
    <w:nsid w:val="2B7F651B"/>
    <w:multiLevelType w:val="hybridMultilevel"/>
    <w:tmpl w:val="0A3E4B3C"/>
    <w:lvl w:ilvl="0" w:tplc="8D1A884E">
      <w:start w:val="6"/>
      <w:numFmt w:val="decimal"/>
      <w:lvlText w:val="%1"/>
      <w:lvlJc w:val="left"/>
      <w:pPr>
        <w:ind w:left="828" w:hanging="411"/>
        <w:jc w:val="left"/>
      </w:pPr>
      <w:rPr>
        <w:rFonts w:hint="default"/>
        <w:lang w:val="zh-CN" w:eastAsia="zh-CN" w:bidi="zh-CN"/>
      </w:rPr>
    </w:lvl>
    <w:lvl w:ilvl="1" w:tplc="98186F4C">
      <w:start w:val="1"/>
      <w:numFmt w:val="decimal"/>
      <w:lvlText w:val="%1.%2"/>
      <w:lvlJc w:val="left"/>
      <w:pPr>
        <w:ind w:left="828" w:hanging="411"/>
        <w:jc w:val="right"/>
      </w:pPr>
      <w:rPr>
        <w:rFonts w:ascii="宋体" w:eastAsia="宋体" w:hAnsi="宋体" w:cs="宋体" w:hint="default"/>
        <w:b/>
        <w:bCs/>
        <w:spacing w:val="0"/>
        <w:w w:val="99"/>
        <w:sz w:val="21"/>
        <w:szCs w:val="21"/>
        <w:lang w:val="zh-CN" w:eastAsia="zh-CN" w:bidi="zh-CN"/>
      </w:rPr>
    </w:lvl>
    <w:lvl w:ilvl="2" w:tplc="2C4A61B4">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B20E75C0">
      <w:numFmt w:val="bullet"/>
      <w:lvlText w:val="•"/>
      <w:lvlJc w:val="left"/>
      <w:pPr>
        <w:ind w:left="2538" w:hanging="529"/>
      </w:pPr>
      <w:rPr>
        <w:rFonts w:hint="default"/>
        <w:lang w:val="zh-CN" w:eastAsia="zh-CN" w:bidi="zh-CN"/>
      </w:rPr>
    </w:lvl>
    <w:lvl w:ilvl="4" w:tplc="E074699E">
      <w:numFmt w:val="bullet"/>
      <w:lvlText w:val="•"/>
      <w:lvlJc w:val="left"/>
      <w:pPr>
        <w:ind w:left="3696" w:hanging="529"/>
      </w:pPr>
      <w:rPr>
        <w:rFonts w:hint="default"/>
        <w:lang w:val="zh-CN" w:eastAsia="zh-CN" w:bidi="zh-CN"/>
      </w:rPr>
    </w:lvl>
    <w:lvl w:ilvl="5" w:tplc="49907FCC">
      <w:numFmt w:val="bullet"/>
      <w:lvlText w:val="•"/>
      <w:lvlJc w:val="left"/>
      <w:pPr>
        <w:ind w:left="4854" w:hanging="529"/>
      </w:pPr>
      <w:rPr>
        <w:rFonts w:hint="default"/>
        <w:lang w:val="zh-CN" w:eastAsia="zh-CN" w:bidi="zh-CN"/>
      </w:rPr>
    </w:lvl>
    <w:lvl w:ilvl="6" w:tplc="59545524">
      <w:numFmt w:val="bullet"/>
      <w:lvlText w:val="•"/>
      <w:lvlJc w:val="left"/>
      <w:pPr>
        <w:ind w:left="6013" w:hanging="529"/>
      </w:pPr>
      <w:rPr>
        <w:rFonts w:hint="default"/>
        <w:lang w:val="zh-CN" w:eastAsia="zh-CN" w:bidi="zh-CN"/>
      </w:rPr>
    </w:lvl>
    <w:lvl w:ilvl="7" w:tplc="DFE2A1BC">
      <w:numFmt w:val="bullet"/>
      <w:lvlText w:val="•"/>
      <w:lvlJc w:val="left"/>
      <w:pPr>
        <w:ind w:left="7171" w:hanging="529"/>
      </w:pPr>
      <w:rPr>
        <w:rFonts w:hint="default"/>
        <w:lang w:val="zh-CN" w:eastAsia="zh-CN" w:bidi="zh-CN"/>
      </w:rPr>
    </w:lvl>
    <w:lvl w:ilvl="8" w:tplc="202A68E6">
      <w:numFmt w:val="bullet"/>
      <w:lvlText w:val="•"/>
      <w:lvlJc w:val="left"/>
      <w:pPr>
        <w:ind w:left="8329" w:hanging="529"/>
      </w:pPr>
      <w:rPr>
        <w:rFonts w:hint="default"/>
        <w:lang w:val="zh-CN" w:eastAsia="zh-CN" w:bidi="zh-CN"/>
      </w:rPr>
    </w:lvl>
  </w:abstractNum>
  <w:abstractNum w:abstractNumId="314" w15:restartNumberingAfterBreak="0">
    <w:nsid w:val="2B860041"/>
    <w:multiLevelType w:val="hybridMultilevel"/>
    <w:tmpl w:val="DFA8D1AE"/>
    <w:lvl w:ilvl="0" w:tplc="B622DEF0">
      <w:start w:val="8"/>
      <w:numFmt w:val="decimal"/>
      <w:lvlText w:val="%1"/>
      <w:lvlJc w:val="left"/>
      <w:pPr>
        <w:ind w:left="1158" w:hanging="318"/>
        <w:jc w:val="left"/>
      </w:pPr>
      <w:rPr>
        <w:rFonts w:hint="default"/>
        <w:lang w:val="zh-CN" w:eastAsia="zh-CN" w:bidi="zh-CN"/>
      </w:rPr>
    </w:lvl>
    <w:lvl w:ilvl="1" w:tplc="3556844A">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AE8EEF74">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CFA81B9A">
      <w:numFmt w:val="bullet"/>
      <w:lvlText w:val="•"/>
      <w:lvlJc w:val="left"/>
      <w:pPr>
        <w:ind w:left="3423" w:hanging="529"/>
      </w:pPr>
      <w:rPr>
        <w:rFonts w:hint="default"/>
        <w:lang w:val="zh-CN" w:eastAsia="zh-CN" w:bidi="zh-CN"/>
      </w:rPr>
    </w:lvl>
    <w:lvl w:ilvl="4" w:tplc="2D94CFD0">
      <w:numFmt w:val="bullet"/>
      <w:lvlText w:val="•"/>
      <w:lvlJc w:val="left"/>
      <w:pPr>
        <w:ind w:left="4455" w:hanging="529"/>
      </w:pPr>
      <w:rPr>
        <w:rFonts w:hint="default"/>
        <w:lang w:val="zh-CN" w:eastAsia="zh-CN" w:bidi="zh-CN"/>
      </w:rPr>
    </w:lvl>
    <w:lvl w:ilvl="5" w:tplc="D964697A">
      <w:numFmt w:val="bullet"/>
      <w:lvlText w:val="•"/>
      <w:lvlJc w:val="left"/>
      <w:pPr>
        <w:ind w:left="5487" w:hanging="529"/>
      </w:pPr>
      <w:rPr>
        <w:rFonts w:hint="default"/>
        <w:lang w:val="zh-CN" w:eastAsia="zh-CN" w:bidi="zh-CN"/>
      </w:rPr>
    </w:lvl>
    <w:lvl w:ilvl="6" w:tplc="FF9490DC">
      <w:numFmt w:val="bullet"/>
      <w:lvlText w:val="•"/>
      <w:lvlJc w:val="left"/>
      <w:pPr>
        <w:ind w:left="6519" w:hanging="529"/>
      </w:pPr>
      <w:rPr>
        <w:rFonts w:hint="default"/>
        <w:lang w:val="zh-CN" w:eastAsia="zh-CN" w:bidi="zh-CN"/>
      </w:rPr>
    </w:lvl>
    <w:lvl w:ilvl="7" w:tplc="B142A6CA">
      <w:numFmt w:val="bullet"/>
      <w:lvlText w:val="•"/>
      <w:lvlJc w:val="left"/>
      <w:pPr>
        <w:ind w:left="7550" w:hanging="529"/>
      </w:pPr>
      <w:rPr>
        <w:rFonts w:hint="default"/>
        <w:lang w:val="zh-CN" w:eastAsia="zh-CN" w:bidi="zh-CN"/>
      </w:rPr>
    </w:lvl>
    <w:lvl w:ilvl="8" w:tplc="4468A4C4">
      <w:numFmt w:val="bullet"/>
      <w:lvlText w:val="•"/>
      <w:lvlJc w:val="left"/>
      <w:pPr>
        <w:ind w:left="8582" w:hanging="529"/>
      </w:pPr>
      <w:rPr>
        <w:rFonts w:hint="default"/>
        <w:lang w:val="zh-CN" w:eastAsia="zh-CN" w:bidi="zh-CN"/>
      </w:rPr>
    </w:lvl>
  </w:abstractNum>
  <w:abstractNum w:abstractNumId="315" w15:restartNumberingAfterBreak="0">
    <w:nsid w:val="2B9E7898"/>
    <w:multiLevelType w:val="hybridMultilevel"/>
    <w:tmpl w:val="6480DB2E"/>
    <w:lvl w:ilvl="0" w:tplc="F44EE518">
      <w:start w:val="4"/>
      <w:numFmt w:val="decimal"/>
      <w:lvlText w:val="%1"/>
      <w:lvlJc w:val="left"/>
      <w:pPr>
        <w:ind w:left="1477" w:hanging="637"/>
        <w:jc w:val="left"/>
      </w:pPr>
      <w:rPr>
        <w:rFonts w:hint="default"/>
        <w:lang w:val="zh-CN" w:eastAsia="zh-CN" w:bidi="zh-CN"/>
      </w:rPr>
    </w:lvl>
    <w:lvl w:ilvl="1" w:tplc="66229E92">
      <w:start w:val="2"/>
      <w:numFmt w:val="decimal"/>
      <w:lvlText w:val="%1.%2"/>
      <w:lvlJc w:val="left"/>
      <w:pPr>
        <w:ind w:left="1477" w:hanging="637"/>
        <w:jc w:val="left"/>
      </w:pPr>
      <w:rPr>
        <w:rFonts w:hint="default"/>
        <w:lang w:val="zh-CN" w:eastAsia="zh-CN" w:bidi="zh-CN"/>
      </w:rPr>
    </w:lvl>
    <w:lvl w:ilvl="2" w:tplc="C92C10C6">
      <w:start w:val="10"/>
      <w:numFmt w:val="decimal"/>
      <w:lvlText w:val="%1.%2.%3"/>
      <w:lvlJc w:val="left"/>
      <w:pPr>
        <w:ind w:left="1477" w:hanging="637"/>
        <w:jc w:val="left"/>
      </w:pPr>
      <w:rPr>
        <w:rFonts w:ascii="宋体" w:eastAsia="宋体" w:hAnsi="宋体" w:cs="宋体" w:hint="default"/>
        <w:b/>
        <w:bCs/>
        <w:color w:val="333333"/>
        <w:w w:val="99"/>
        <w:sz w:val="19"/>
        <w:szCs w:val="19"/>
        <w:lang w:val="zh-CN" w:eastAsia="zh-CN" w:bidi="zh-CN"/>
      </w:rPr>
    </w:lvl>
    <w:lvl w:ilvl="3" w:tplc="D59AFFB4">
      <w:numFmt w:val="bullet"/>
      <w:lvlText w:val="•"/>
      <w:lvlJc w:val="left"/>
      <w:pPr>
        <w:ind w:left="4229" w:hanging="637"/>
      </w:pPr>
      <w:rPr>
        <w:rFonts w:hint="default"/>
        <w:lang w:val="zh-CN" w:eastAsia="zh-CN" w:bidi="zh-CN"/>
      </w:rPr>
    </w:lvl>
    <w:lvl w:ilvl="4" w:tplc="4F4A203E">
      <w:numFmt w:val="bullet"/>
      <w:lvlText w:val="•"/>
      <w:lvlJc w:val="left"/>
      <w:pPr>
        <w:ind w:left="5146" w:hanging="637"/>
      </w:pPr>
      <w:rPr>
        <w:rFonts w:hint="default"/>
        <w:lang w:val="zh-CN" w:eastAsia="zh-CN" w:bidi="zh-CN"/>
      </w:rPr>
    </w:lvl>
    <w:lvl w:ilvl="5" w:tplc="60EE0FB4">
      <w:numFmt w:val="bullet"/>
      <w:lvlText w:val="•"/>
      <w:lvlJc w:val="left"/>
      <w:pPr>
        <w:ind w:left="6063" w:hanging="637"/>
      </w:pPr>
      <w:rPr>
        <w:rFonts w:hint="default"/>
        <w:lang w:val="zh-CN" w:eastAsia="zh-CN" w:bidi="zh-CN"/>
      </w:rPr>
    </w:lvl>
    <w:lvl w:ilvl="6" w:tplc="B8BED61E">
      <w:numFmt w:val="bullet"/>
      <w:lvlText w:val="•"/>
      <w:lvlJc w:val="left"/>
      <w:pPr>
        <w:ind w:left="6979" w:hanging="637"/>
      </w:pPr>
      <w:rPr>
        <w:rFonts w:hint="default"/>
        <w:lang w:val="zh-CN" w:eastAsia="zh-CN" w:bidi="zh-CN"/>
      </w:rPr>
    </w:lvl>
    <w:lvl w:ilvl="7" w:tplc="C58E6C0E">
      <w:numFmt w:val="bullet"/>
      <w:lvlText w:val="•"/>
      <w:lvlJc w:val="left"/>
      <w:pPr>
        <w:ind w:left="7896" w:hanging="637"/>
      </w:pPr>
      <w:rPr>
        <w:rFonts w:hint="default"/>
        <w:lang w:val="zh-CN" w:eastAsia="zh-CN" w:bidi="zh-CN"/>
      </w:rPr>
    </w:lvl>
    <w:lvl w:ilvl="8" w:tplc="B50AB434">
      <w:numFmt w:val="bullet"/>
      <w:lvlText w:val="•"/>
      <w:lvlJc w:val="left"/>
      <w:pPr>
        <w:ind w:left="8813" w:hanging="637"/>
      </w:pPr>
      <w:rPr>
        <w:rFonts w:hint="default"/>
        <w:lang w:val="zh-CN" w:eastAsia="zh-CN" w:bidi="zh-CN"/>
      </w:rPr>
    </w:lvl>
  </w:abstractNum>
  <w:abstractNum w:abstractNumId="316" w15:restartNumberingAfterBreak="0">
    <w:nsid w:val="2BC9041D"/>
    <w:multiLevelType w:val="hybridMultilevel"/>
    <w:tmpl w:val="F4449D66"/>
    <w:lvl w:ilvl="0" w:tplc="EB10692E">
      <w:start w:val="3"/>
      <w:numFmt w:val="decimal"/>
      <w:lvlText w:val="%1"/>
      <w:lvlJc w:val="left"/>
      <w:pPr>
        <w:ind w:left="1158" w:hanging="318"/>
        <w:jc w:val="left"/>
      </w:pPr>
      <w:rPr>
        <w:rFonts w:hint="default"/>
        <w:lang w:val="zh-CN" w:eastAsia="zh-CN" w:bidi="zh-CN"/>
      </w:rPr>
    </w:lvl>
    <w:lvl w:ilvl="1" w:tplc="68981B7A">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98883114">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24D0896A">
      <w:numFmt w:val="bullet"/>
      <w:lvlText w:val="•"/>
      <w:lvlJc w:val="left"/>
      <w:pPr>
        <w:ind w:left="3268" w:hanging="529"/>
      </w:pPr>
      <w:rPr>
        <w:rFonts w:hint="default"/>
        <w:lang w:val="zh-CN" w:eastAsia="zh-CN" w:bidi="zh-CN"/>
      </w:rPr>
    </w:lvl>
    <w:lvl w:ilvl="4" w:tplc="178C950A">
      <w:numFmt w:val="bullet"/>
      <w:lvlText w:val="•"/>
      <w:lvlJc w:val="left"/>
      <w:pPr>
        <w:ind w:left="4322" w:hanging="529"/>
      </w:pPr>
      <w:rPr>
        <w:rFonts w:hint="default"/>
        <w:lang w:val="zh-CN" w:eastAsia="zh-CN" w:bidi="zh-CN"/>
      </w:rPr>
    </w:lvl>
    <w:lvl w:ilvl="5" w:tplc="0AB2BB6A">
      <w:numFmt w:val="bullet"/>
      <w:lvlText w:val="•"/>
      <w:lvlJc w:val="left"/>
      <w:pPr>
        <w:ind w:left="5376" w:hanging="529"/>
      </w:pPr>
      <w:rPr>
        <w:rFonts w:hint="default"/>
        <w:lang w:val="zh-CN" w:eastAsia="zh-CN" w:bidi="zh-CN"/>
      </w:rPr>
    </w:lvl>
    <w:lvl w:ilvl="6" w:tplc="441C45AC">
      <w:numFmt w:val="bullet"/>
      <w:lvlText w:val="•"/>
      <w:lvlJc w:val="left"/>
      <w:pPr>
        <w:ind w:left="6430" w:hanging="529"/>
      </w:pPr>
      <w:rPr>
        <w:rFonts w:hint="default"/>
        <w:lang w:val="zh-CN" w:eastAsia="zh-CN" w:bidi="zh-CN"/>
      </w:rPr>
    </w:lvl>
    <w:lvl w:ilvl="7" w:tplc="266E9D32">
      <w:numFmt w:val="bullet"/>
      <w:lvlText w:val="•"/>
      <w:lvlJc w:val="left"/>
      <w:pPr>
        <w:ind w:left="7484" w:hanging="529"/>
      </w:pPr>
      <w:rPr>
        <w:rFonts w:hint="default"/>
        <w:lang w:val="zh-CN" w:eastAsia="zh-CN" w:bidi="zh-CN"/>
      </w:rPr>
    </w:lvl>
    <w:lvl w:ilvl="8" w:tplc="FA0C2B74">
      <w:numFmt w:val="bullet"/>
      <w:lvlText w:val="•"/>
      <w:lvlJc w:val="left"/>
      <w:pPr>
        <w:ind w:left="8538" w:hanging="529"/>
      </w:pPr>
      <w:rPr>
        <w:rFonts w:hint="default"/>
        <w:lang w:val="zh-CN" w:eastAsia="zh-CN" w:bidi="zh-CN"/>
      </w:rPr>
    </w:lvl>
  </w:abstractNum>
  <w:abstractNum w:abstractNumId="317" w15:restartNumberingAfterBreak="0">
    <w:nsid w:val="2BCE4A28"/>
    <w:multiLevelType w:val="hybridMultilevel"/>
    <w:tmpl w:val="52E8F9B4"/>
    <w:lvl w:ilvl="0" w:tplc="0840CE56">
      <w:start w:val="1"/>
      <w:numFmt w:val="decimal"/>
      <w:lvlText w:val="（%1）"/>
      <w:lvlJc w:val="left"/>
      <w:pPr>
        <w:ind w:left="418" w:hanging="527"/>
        <w:jc w:val="left"/>
      </w:pPr>
      <w:rPr>
        <w:rFonts w:ascii="宋体" w:eastAsia="宋体" w:hAnsi="宋体" w:cs="宋体" w:hint="default"/>
        <w:spacing w:val="-68"/>
        <w:w w:val="100"/>
        <w:sz w:val="19"/>
        <w:szCs w:val="19"/>
        <w:lang w:val="zh-CN" w:eastAsia="zh-CN" w:bidi="zh-CN"/>
      </w:rPr>
    </w:lvl>
    <w:lvl w:ilvl="1" w:tplc="2E028340">
      <w:numFmt w:val="bullet"/>
      <w:lvlText w:val="•"/>
      <w:lvlJc w:val="left"/>
      <w:pPr>
        <w:ind w:left="1442" w:hanging="527"/>
      </w:pPr>
      <w:rPr>
        <w:rFonts w:hint="default"/>
        <w:lang w:val="zh-CN" w:eastAsia="zh-CN" w:bidi="zh-CN"/>
      </w:rPr>
    </w:lvl>
    <w:lvl w:ilvl="2" w:tplc="A5F42F16">
      <w:numFmt w:val="bullet"/>
      <w:lvlText w:val="•"/>
      <w:lvlJc w:val="left"/>
      <w:pPr>
        <w:ind w:left="2465" w:hanging="527"/>
      </w:pPr>
      <w:rPr>
        <w:rFonts w:hint="default"/>
        <w:lang w:val="zh-CN" w:eastAsia="zh-CN" w:bidi="zh-CN"/>
      </w:rPr>
    </w:lvl>
    <w:lvl w:ilvl="3" w:tplc="C4B028FE">
      <w:numFmt w:val="bullet"/>
      <w:lvlText w:val="•"/>
      <w:lvlJc w:val="left"/>
      <w:pPr>
        <w:ind w:left="3487" w:hanging="527"/>
      </w:pPr>
      <w:rPr>
        <w:rFonts w:hint="default"/>
        <w:lang w:val="zh-CN" w:eastAsia="zh-CN" w:bidi="zh-CN"/>
      </w:rPr>
    </w:lvl>
    <w:lvl w:ilvl="4" w:tplc="E85463C8">
      <w:numFmt w:val="bullet"/>
      <w:lvlText w:val="•"/>
      <w:lvlJc w:val="left"/>
      <w:pPr>
        <w:ind w:left="4510" w:hanging="527"/>
      </w:pPr>
      <w:rPr>
        <w:rFonts w:hint="default"/>
        <w:lang w:val="zh-CN" w:eastAsia="zh-CN" w:bidi="zh-CN"/>
      </w:rPr>
    </w:lvl>
    <w:lvl w:ilvl="5" w:tplc="4852E72E">
      <w:numFmt w:val="bullet"/>
      <w:lvlText w:val="•"/>
      <w:lvlJc w:val="left"/>
      <w:pPr>
        <w:ind w:left="5533" w:hanging="527"/>
      </w:pPr>
      <w:rPr>
        <w:rFonts w:hint="default"/>
        <w:lang w:val="zh-CN" w:eastAsia="zh-CN" w:bidi="zh-CN"/>
      </w:rPr>
    </w:lvl>
    <w:lvl w:ilvl="6" w:tplc="7020DC8C">
      <w:numFmt w:val="bullet"/>
      <w:lvlText w:val="•"/>
      <w:lvlJc w:val="left"/>
      <w:pPr>
        <w:ind w:left="6555" w:hanging="527"/>
      </w:pPr>
      <w:rPr>
        <w:rFonts w:hint="default"/>
        <w:lang w:val="zh-CN" w:eastAsia="zh-CN" w:bidi="zh-CN"/>
      </w:rPr>
    </w:lvl>
    <w:lvl w:ilvl="7" w:tplc="6DF00856">
      <w:numFmt w:val="bullet"/>
      <w:lvlText w:val="•"/>
      <w:lvlJc w:val="left"/>
      <w:pPr>
        <w:ind w:left="7578" w:hanging="527"/>
      </w:pPr>
      <w:rPr>
        <w:rFonts w:hint="default"/>
        <w:lang w:val="zh-CN" w:eastAsia="zh-CN" w:bidi="zh-CN"/>
      </w:rPr>
    </w:lvl>
    <w:lvl w:ilvl="8" w:tplc="05FE5FC8">
      <w:numFmt w:val="bullet"/>
      <w:lvlText w:val="•"/>
      <w:lvlJc w:val="left"/>
      <w:pPr>
        <w:ind w:left="8601" w:hanging="527"/>
      </w:pPr>
      <w:rPr>
        <w:rFonts w:hint="default"/>
        <w:lang w:val="zh-CN" w:eastAsia="zh-CN" w:bidi="zh-CN"/>
      </w:rPr>
    </w:lvl>
  </w:abstractNum>
  <w:abstractNum w:abstractNumId="318" w15:restartNumberingAfterBreak="0">
    <w:nsid w:val="2BD82B2B"/>
    <w:multiLevelType w:val="hybridMultilevel"/>
    <w:tmpl w:val="B58E9C08"/>
    <w:lvl w:ilvl="0" w:tplc="86F62002">
      <w:start w:val="5"/>
      <w:numFmt w:val="decimal"/>
      <w:lvlText w:val="%1"/>
      <w:lvlJc w:val="left"/>
      <w:pPr>
        <w:ind w:left="1158" w:hanging="318"/>
        <w:jc w:val="left"/>
      </w:pPr>
      <w:rPr>
        <w:rFonts w:hint="default"/>
        <w:lang w:val="zh-CN" w:eastAsia="zh-CN" w:bidi="zh-CN"/>
      </w:rPr>
    </w:lvl>
    <w:lvl w:ilvl="1" w:tplc="52469C4E">
      <w:start w:val="3"/>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EE90C458">
      <w:start w:val="1"/>
      <w:numFmt w:val="decimal"/>
      <w:lvlText w:val="%1.%2.%3"/>
      <w:lvlJc w:val="left"/>
      <w:pPr>
        <w:ind w:left="418" w:hanging="529"/>
        <w:jc w:val="right"/>
      </w:pPr>
      <w:rPr>
        <w:rFonts w:hint="default"/>
        <w:b/>
        <w:bCs/>
        <w:w w:val="99"/>
        <w:lang w:val="zh-CN" w:eastAsia="zh-CN" w:bidi="zh-CN"/>
      </w:rPr>
    </w:lvl>
    <w:lvl w:ilvl="3" w:tplc="1D1E5D44">
      <w:numFmt w:val="bullet"/>
      <w:lvlText w:val="•"/>
      <w:lvlJc w:val="left"/>
      <w:pPr>
        <w:ind w:left="3268" w:hanging="529"/>
      </w:pPr>
      <w:rPr>
        <w:rFonts w:hint="default"/>
        <w:lang w:val="zh-CN" w:eastAsia="zh-CN" w:bidi="zh-CN"/>
      </w:rPr>
    </w:lvl>
    <w:lvl w:ilvl="4" w:tplc="5B125DC4">
      <w:numFmt w:val="bullet"/>
      <w:lvlText w:val="•"/>
      <w:lvlJc w:val="left"/>
      <w:pPr>
        <w:ind w:left="4322" w:hanging="529"/>
      </w:pPr>
      <w:rPr>
        <w:rFonts w:hint="default"/>
        <w:lang w:val="zh-CN" w:eastAsia="zh-CN" w:bidi="zh-CN"/>
      </w:rPr>
    </w:lvl>
    <w:lvl w:ilvl="5" w:tplc="AB46491A">
      <w:numFmt w:val="bullet"/>
      <w:lvlText w:val="•"/>
      <w:lvlJc w:val="left"/>
      <w:pPr>
        <w:ind w:left="5376" w:hanging="529"/>
      </w:pPr>
      <w:rPr>
        <w:rFonts w:hint="default"/>
        <w:lang w:val="zh-CN" w:eastAsia="zh-CN" w:bidi="zh-CN"/>
      </w:rPr>
    </w:lvl>
    <w:lvl w:ilvl="6" w:tplc="C2467DF0">
      <w:numFmt w:val="bullet"/>
      <w:lvlText w:val="•"/>
      <w:lvlJc w:val="left"/>
      <w:pPr>
        <w:ind w:left="6430" w:hanging="529"/>
      </w:pPr>
      <w:rPr>
        <w:rFonts w:hint="default"/>
        <w:lang w:val="zh-CN" w:eastAsia="zh-CN" w:bidi="zh-CN"/>
      </w:rPr>
    </w:lvl>
    <w:lvl w:ilvl="7" w:tplc="042A2144">
      <w:numFmt w:val="bullet"/>
      <w:lvlText w:val="•"/>
      <w:lvlJc w:val="left"/>
      <w:pPr>
        <w:ind w:left="7484" w:hanging="529"/>
      </w:pPr>
      <w:rPr>
        <w:rFonts w:hint="default"/>
        <w:lang w:val="zh-CN" w:eastAsia="zh-CN" w:bidi="zh-CN"/>
      </w:rPr>
    </w:lvl>
    <w:lvl w:ilvl="8" w:tplc="9B92D0BE">
      <w:numFmt w:val="bullet"/>
      <w:lvlText w:val="•"/>
      <w:lvlJc w:val="left"/>
      <w:pPr>
        <w:ind w:left="8538" w:hanging="529"/>
      </w:pPr>
      <w:rPr>
        <w:rFonts w:hint="default"/>
        <w:lang w:val="zh-CN" w:eastAsia="zh-CN" w:bidi="zh-CN"/>
      </w:rPr>
    </w:lvl>
  </w:abstractNum>
  <w:abstractNum w:abstractNumId="319" w15:restartNumberingAfterBreak="0">
    <w:nsid w:val="2BE53BA1"/>
    <w:multiLevelType w:val="hybridMultilevel"/>
    <w:tmpl w:val="9B30E6FE"/>
    <w:lvl w:ilvl="0" w:tplc="4C8029D8">
      <w:start w:val="3"/>
      <w:numFmt w:val="decimal"/>
      <w:lvlText w:val="%1"/>
      <w:lvlJc w:val="left"/>
      <w:pPr>
        <w:ind w:left="1158" w:hanging="318"/>
        <w:jc w:val="left"/>
      </w:pPr>
      <w:rPr>
        <w:rFonts w:hint="default"/>
        <w:lang w:val="zh-CN" w:eastAsia="zh-CN" w:bidi="zh-CN"/>
      </w:rPr>
    </w:lvl>
    <w:lvl w:ilvl="1" w:tplc="ABE615A4">
      <w:start w:val="2"/>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A300AE20">
      <w:start w:val="1"/>
      <w:numFmt w:val="decimal"/>
      <w:lvlText w:val="%1.%2.%3"/>
      <w:lvlJc w:val="left"/>
      <w:pPr>
        <w:ind w:left="418" w:hanging="584"/>
        <w:jc w:val="left"/>
      </w:pPr>
      <w:rPr>
        <w:rFonts w:hint="default"/>
        <w:b/>
        <w:bCs/>
        <w:w w:val="99"/>
        <w:lang w:val="zh-CN" w:eastAsia="zh-CN" w:bidi="zh-CN"/>
      </w:rPr>
    </w:lvl>
    <w:lvl w:ilvl="3" w:tplc="7700CF7C">
      <w:numFmt w:val="bullet"/>
      <w:lvlText w:val="•"/>
      <w:lvlJc w:val="left"/>
      <w:pPr>
        <w:ind w:left="3268" w:hanging="584"/>
      </w:pPr>
      <w:rPr>
        <w:rFonts w:hint="default"/>
        <w:lang w:val="zh-CN" w:eastAsia="zh-CN" w:bidi="zh-CN"/>
      </w:rPr>
    </w:lvl>
    <w:lvl w:ilvl="4" w:tplc="8696AEB2">
      <w:numFmt w:val="bullet"/>
      <w:lvlText w:val="•"/>
      <w:lvlJc w:val="left"/>
      <w:pPr>
        <w:ind w:left="4322" w:hanging="584"/>
      </w:pPr>
      <w:rPr>
        <w:rFonts w:hint="default"/>
        <w:lang w:val="zh-CN" w:eastAsia="zh-CN" w:bidi="zh-CN"/>
      </w:rPr>
    </w:lvl>
    <w:lvl w:ilvl="5" w:tplc="5E18154A">
      <w:numFmt w:val="bullet"/>
      <w:lvlText w:val="•"/>
      <w:lvlJc w:val="left"/>
      <w:pPr>
        <w:ind w:left="5376" w:hanging="584"/>
      </w:pPr>
      <w:rPr>
        <w:rFonts w:hint="default"/>
        <w:lang w:val="zh-CN" w:eastAsia="zh-CN" w:bidi="zh-CN"/>
      </w:rPr>
    </w:lvl>
    <w:lvl w:ilvl="6" w:tplc="3C9ECAEA">
      <w:numFmt w:val="bullet"/>
      <w:lvlText w:val="•"/>
      <w:lvlJc w:val="left"/>
      <w:pPr>
        <w:ind w:left="6430" w:hanging="584"/>
      </w:pPr>
      <w:rPr>
        <w:rFonts w:hint="default"/>
        <w:lang w:val="zh-CN" w:eastAsia="zh-CN" w:bidi="zh-CN"/>
      </w:rPr>
    </w:lvl>
    <w:lvl w:ilvl="7" w:tplc="0756C8D2">
      <w:numFmt w:val="bullet"/>
      <w:lvlText w:val="•"/>
      <w:lvlJc w:val="left"/>
      <w:pPr>
        <w:ind w:left="7484" w:hanging="584"/>
      </w:pPr>
      <w:rPr>
        <w:rFonts w:hint="default"/>
        <w:lang w:val="zh-CN" w:eastAsia="zh-CN" w:bidi="zh-CN"/>
      </w:rPr>
    </w:lvl>
    <w:lvl w:ilvl="8" w:tplc="D7DCAB14">
      <w:numFmt w:val="bullet"/>
      <w:lvlText w:val="•"/>
      <w:lvlJc w:val="left"/>
      <w:pPr>
        <w:ind w:left="8538" w:hanging="584"/>
      </w:pPr>
      <w:rPr>
        <w:rFonts w:hint="default"/>
        <w:lang w:val="zh-CN" w:eastAsia="zh-CN" w:bidi="zh-CN"/>
      </w:rPr>
    </w:lvl>
  </w:abstractNum>
  <w:abstractNum w:abstractNumId="320" w15:restartNumberingAfterBreak="0">
    <w:nsid w:val="2BF46690"/>
    <w:multiLevelType w:val="hybridMultilevel"/>
    <w:tmpl w:val="EBE8A36C"/>
    <w:lvl w:ilvl="0" w:tplc="0BD084F4">
      <w:start w:val="1"/>
      <w:numFmt w:val="decimal"/>
      <w:lvlText w:val="%1"/>
      <w:lvlJc w:val="left"/>
      <w:pPr>
        <w:ind w:left="600" w:hanging="183"/>
        <w:jc w:val="left"/>
      </w:pPr>
      <w:rPr>
        <w:rFonts w:hint="default"/>
        <w:b/>
        <w:bCs/>
        <w:w w:val="99"/>
        <w:lang w:val="zh-CN" w:eastAsia="zh-CN" w:bidi="zh-CN"/>
      </w:rPr>
    </w:lvl>
    <w:lvl w:ilvl="1" w:tplc="0CC66F74">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28A22846">
      <w:numFmt w:val="bullet"/>
      <w:lvlText w:val="•"/>
      <w:lvlJc w:val="left"/>
      <w:pPr>
        <w:ind w:left="2214" w:hanging="318"/>
      </w:pPr>
      <w:rPr>
        <w:rFonts w:hint="default"/>
        <w:lang w:val="zh-CN" w:eastAsia="zh-CN" w:bidi="zh-CN"/>
      </w:rPr>
    </w:lvl>
    <w:lvl w:ilvl="3" w:tplc="842E7894">
      <w:numFmt w:val="bullet"/>
      <w:lvlText w:val="•"/>
      <w:lvlJc w:val="left"/>
      <w:pPr>
        <w:ind w:left="3268" w:hanging="318"/>
      </w:pPr>
      <w:rPr>
        <w:rFonts w:hint="default"/>
        <w:lang w:val="zh-CN" w:eastAsia="zh-CN" w:bidi="zh-CN"/>
      </w:rPr>
    </w:lvl>
    <w:lvl w:ilvl="4" w:tplc="44FCEC6E">
      <w:numFmt w:val="bullet"/>
      <w:lvlText w:val="•"/>
      <w:lvlJc w:val="left"/>
      <w:pPr>
        <w:ind w:left="4322" w:hanging="318"/>
      </w:pPr>
      <w:rPr>
        <w:rFonts w:hint="default"/>
        <w:lang w:val="zh-CN" w:eastAsia="zh-CN" w:bidi="zh-CN"/>
      </w:rPr>
    </w:lvl>
    <w:lvl w:ilvl="5" w:tplc="C33C8F1C">
      <w:numFmt w:val="bullet"/>
      <w:lvlText w:val="•"/>
      <w:lvlJc w:val="left"/>
      <w:pPr>
        <w:ind w:left="5376" w:hanging="318"/>
      </w:pPr>
      <w:rPr>
        <w:rFonts w:hint="default"/>
        <w:lang w:val="zh-CN" w:eastAsia="zh-CN" w:bidi="zh-CN"/>
      </w:rPr>
    </w:lvl>
    <w:lvl w:ilvl="6" w:tplc="AEBC08E8">
      <w:numFmt w:val="bullet"/>
      <w:lvlText w:val="•"/>
      <w:lvlJc w:val="left"/>
      <w:pPr>
        <w:ind w:left="6430" w:hanging="318"/>
      </w:pPr>
      <w:rPr>
        <w:rFonts w:hint="default"/>
        <w:lang w:val="zh-CN" w:eastAsia="zh-CN" w:bidi="zh-CN"/>
      </w:rPr>
    </w:lvl>
    <w:lvl w:ilvl="7" w:tplc="142A0D0C">
      <w:numFmt w:val="bullet"/>
      <w:lvlText w:val="•"/>
      <w:lvlJc w:val="left"/>
      <w:pPr>
        <w:ind w:left="7484" w:hanging="318"/>
      </w:pPr>
      <w:rPr>
        <w:rFonts w:hint="default"/>
        <w:lang w:val="zh-CN" w:eastAsia="zh-CN" w:bidi="zh-CN"/>
      </w:rPr>
    </w:lvl>
    <w:lvl w:ilvl="8" w:tplc="C1D463CC">
      <w:numFmt w:val="bullet"/>
      <w:lvlText w:val="•"/>
      <w:lvlJc w:val="left"/>
      <w:pPr>
        <w:ind w:left="8538" w:hanging="318"/>
      </w:pPr>
      <w:rPr>
        <w:rFonts w:hint="default"/>
        <w:lang w:val="zh-CN" w:eastAsia="zh-CN" w:bidi="zh-CN"/>
      </w:rPr>
    </w:lvl>
  </w:abstractNum>
  <w:abstractNum w:abstractNumId="321" w15:restartNumberingAfterBreak="0">
    <w:nsid w:val="2BFD3D3A"/>
    <w:multiLevelType w:val="hybridMultilevel"/>
    <w:tmpl w:val="46802CB8"/>
    <w:lvl w:ilvl="0" w:tplc="02D89A78">
      <w:start w:val="6"/>
      <w:numFmt w:val="decimal"/>
      <w:lvlText w:val="%1"/>
      <w:lvlJc w:val="left"/>
      <w:pPr>
        <w:ind w:left="418" w:hanging="738"/>
        <w:jc w:val="left"/>
      </w:pPr>
      <w:rPr>
        <w:rFonts w:hint="default"/>
        <w:lang w:val="zh-CN" w:eastAsia="zh-CN" w:bidi="zh-CN"/>
      </w:rPr>
    </w:lvl>
    <w:lvl w:ilvl="1" w:tplc="77AA1564">
      <w:start w:val="5"/>
      <w:numFmt w:val="decimal"/>
      <w:lvlText w:val="%1.%2"/>
      <w:lvlJc w:val="left"/>
      <w:pPr>
        <w:ind w:left="418" w:hanging="738"/>
        <w:jc w:val="left"/>
      </w:pPr>
      <w:rPr>
        <w:rFonts w:hint="default"/>
        <w:lang w:val="zh-CN" w:eastAsia="zh-CN" w:bidi="zh-CN"/>
      </w:rPr>
    </w:lvl>
    <w:lvl w:ilvl="2" w:tplc="09600A88">
      <w:start w:val="4"/>
      <w:numFmt w:val="decimal"/>
      <w:lvlText w:val="%1.%2.%3"/>
      <w:lvlJc w:val="left"/>
      <w:pPr>
        <w:ind w:left="418" w:hanging="738"/>
        <w:jc w:val="left"/>
      </w:pPr>
      <w:rPr>
        <w:rFonts w:hint="default"/>
        <w:lang w:val="zh-CN" w:eastAsia="zh-CN" w:bidi="zh-CN"/>
      </w:rPr>
    </w:lvl>
    <w:lvl w:ilvl="3" w:tplc="721C3144">
      <w:start w:val="2"/>
      <w:numFmt w:val="decimal"/>
      <w:lvlText w:val="%1.%2.%3.%4"/>
      <w:lvlJc w:val="left"/>
      <w:pPr>
        <w:ind w:left="418" w:hanging="738"/>
        <w:jc w:val="left"/>
      </w:pPr>
      <w:rPr>
        <w:rFonts w:ascii="宋体" w:eastAsia="宋体" w:hAnsi="宋体" w:cs="宋体" w:hint="default"/>
        <w:spacing w:val="-3"/>
        <w:w w:val="100"/>
        <w:sz w:val="19"/>
        <w:szCs w:val="19"/>
        <w:lang w:val="zh-CN" w:eastAsia="zh-CN" w:bidi="zh-CN"/>
      </w:rPr>
    </w:lvl>
    <w:lvl w:ilvl="4" w:tplc="5B4C1012">
      <w:numFmt w:val="bullet"/>
      <w:lvlText w:val="•"/>
      <w:lvlJc w:val="left"/>
      <w:pPr>
        <w:ind w:left="4510" w:hanging="738"/>
      </w:pPr>
      <w:rPr>
        <w:rFonts w:hint="default"/>
        <w:lang w:val="zh-CN" w:eastAsia="zh-CN" w:bidi="zh-CN"/>
      </w:rPr>
    </w:lvl>
    <w:lvl w:ilvl="5" w:tplc="05D89BE2">
      <w:numFmt w:val="bullet"/>
      <w:lvlText w:val="•"/>
      <w:lvlJc w:val="left"/>
      <w:pPr>
        <w:ind w:left="5533" w:hanging="738"/>
      </w:pPr>
      <w:rPr>
        <w:rFonts w:hint="default"/>
        <w:lang w:val="zh-CN" w:eastAsia="zh-CN" w:bidi="zh-CN"/>
      </w:rPr>
    </w:lvl>
    <w:lvl w:ilvl="6" w:tplc="D4C2BAF6">
      <w:numFmt w:val="bullet"/>
      <w:lvlText w:val="•"/>
      <w:lvlJc w:val="left"/>
      <w:pPr>
        <w:ind w:left="6555" w:hanging="738"/>
      </w:pPr>
      <w:rPr>
        <w:rFonts w:hint="default"/>
        <w:lang w:val="zh-CN" w:eastAsia="zh-CN" w:bidi="zh-CN"/>
      </w:rPr>
    </w:lvl>
    <w:lvl w:ilvl="7" w:tplc="F2622972">
      <w:numFmt w:val="bullet"/>
      <w:lvlText w:val="•"/>
      <w:lvlJc w:val="left"/>
      <w:pPr>
        <w:ind w:left="7578" w:hanging="738"/>
      </w:pPr>
      <w:rPr>
        <w:rFonts w:hint="default"/>
        <w:lang w:val="zh-CN" w:eastAsia="zh-CN" w:bidi="zh-CN"/>
      </w:rPr>
    </w:lvl>
    <w:lvl w:ilvl="8" w:tplc="3D9261A0">
      <w:numFmt w:val="bullet"/>
      <w:lvlText w:val="•"/>
      <w:lvlJc w:val="left"/>
      <w:pPr>
        <w:ind w:left="8601" w:hanging="738"/>
      </w:pPr>
      <w:rPr>
        <w:rFonts w:hint="default"/>
        <w:lang w:val="zh-CN" w:eastAsia="zh-CN" w:bidi="zh-CN"/>
      </w:rPr>
    </w:lvl>
  </w:abstractNum>
  <w:abstractNum w:abstractNumId="322" w15:restartNumberingAfterBreak="0">
    <w:nsid w:val="2C4870E1"/>
    <w:multiLevelType w:val="hybridMultilevel"/>
    <w:tmpl w:val="86CA7730"/>
    <w:lvl w:ilvl="0" w:tplc="02BC2BB4">
      <w:start w:val="1"/>
      <w:numFmt w:val="decimal"/>
      <w:lvlText w:val="%1"/>
      <w:lvlJc w:val="left"/>
      <w:pPr>
        <w:ind w:left="600" w:hanging="183"/>
        <w:jc w:val="left"/>
      </w:pPr>
      <w:rPr>
        <w:rFonts w:ascii="宋体" w:eastAsia="宋体" w:hAnsi="宋体" w:cs="宋体" w:hint="default"/>
        <w:b/>
        <w:bCs/>
        <w:w w:val="99"/>
        <w:sz w:val="24"/>
        <w:szCs w:val="24"/>
        <w:lang w:val="zh-CN" w:eastAsia="zh-CN" w:bidi="zh-CN"/>
      </w:rPr>
    </w:lvl>
    <w:lvl w:ilvl="1" w:tplc="DED89C02">
      <w:start w:val="1"/>
      <w:numFmt w:val="decimal"/>
      <w:lvlText w:val="%1.%2"/>
      <w:lvlJc w:val="left"/>
      <w:pPr>
        <w:ind w:left="1158" w:hanging="318"/>
        <w:jc w:val="left"/>
      </w:pPr>
      <w:rPr>
        <w:rFonts w:hint="default"/>
        <w:b/>
        <w:bCs/>
        <w:w w:val="99"/>
        <w:lang w:val="zh-CN" w:eastAsia="zh-CN" w:bidi="zh-CN"/>
      </w:rPr>
    </w:lvl>
    <w:lvl w:ilvl="2" w:tplc="6EB468A2">
      <w:start w:val="1"/>
      <w:numFmt w:val="decimal"/>
      <w:lvlText w:val="%1.%2.%3"/>
      <w:lvlJc w:val="left"/>
      <w:pPr>
        <w:ind w:left="1370" w:hanging="531"/>
        <w:jc w:val="left"/>
      </w:pPr>
      <w:rPr>
        <w:rFonts w:ascii="宋体" w:eastAsia="宋体" w:hAnsi="宋体" w:cs="宋体" w:hint="default"/>
        <w:b/>
        <w:bCs/>
        <w:color w:val="333333"/>
        <w:w w:val="99"/>
        <w:sz w:val="19"/>
        <w:szCs w:val="19"/>
        <w:lang w:val="zh-CN" w:eastAsia="zh-CN" w:bidi="zh-CN"/>
      </w:rPr>
    </w:lvl>
    <w:lvl w:ilvl="3" w:tplc="ADA6237C">
      <w:numFmt w:val="bullet"/>
      <w:lvlText w:val="•"/>
      <w:lvlJc w:val="left"/>
      <w:pPr>
        <w:ind w:left="2538" w:hanging="531"/>
      </w:pPr>
      <w:rPr>
        <w:rFonts w:hint="default"/>
        <w:lang w:val="zh-CN" w:eastAsia="zh-CN" w:bidi="zh-CN"/>
      </w:rPr>
    </w:lvl>
    <w:lvl w:ilvl="4" w:tplc="D8AE38B8">
      <w:numFmt w:val="bullet"/>
      <w:lvlText w:val="•"/>
      <w:lvlJc w:val="left"/>
      <w:pPr>
        <w:ind w:left="3696" w:hanging="531"/>
      </w:pPr>
      <w:rPr>
        <w:rFonts w:hint="default"/>
        <w:lang w:val="zh-CN" w:eastAsia="zh-CN" w:bidi="zh-CN"/>
      </w:rPr>
    </w:lvl>
    <w:lvl w:ilvl="5" w:tplc="3828E14E">
      <w:numFmt w:val="bullet"/>
      <w:lvlText w:val="•"/>
      <w:lvlJc w:val="left"/>
      <w:pPr>
        <w:ind w:left="4854" w:hanging="531"/>
      </w:pPr>
      <w:rPr>
        <w:rFonts w:hint="default"/>
        <w:lang w:val="zh-CN" w:eastAsia="zh-CN" w:bidi="zh-CN"/>
      </w:rPr>
    </w:lvl>
    <w:lvl w:ilvl="6" w:tplc="2BAE286E">
      <w:numFmt w:val="bullet"/>
      <w:lvlText w:val="•"/>
      <w:lvlJc w:val="left"/>
      <w:pPr>
        <w:ind w:left="6013" w:hanging="531"/>
      </w:pPr>
      <w:rPr>
        <w:rFonts w:hint="default"/>
        <w:lang w:val="zh-CN" w:eastAsia="zh-CN" w:bidi="zh-CN"/>
      </w:rPr>
    </w:lvl>
    <w:lvl w:ilvl="7" w:tplc="5030CD92">
      <w:numFmt w:val="bullet"/>
      <w:lvlText w:val="•"/>
      <w:lvlJc w:val="left"/>
      <w:pPr>
        <w:ind w:left="7171" w:hanging="531"/>
      </w:pPr>
      <w:rPr>
        <w:rFonts w:hint="default"/>
        <w:lang w:val="zh-CN" w:eastAsia="zh-CN" w:bidi="zh-CN"/>
      </w:rPr>
    </w:lvl>
    <w:lvl w:ilvl="8" w:tplc="05CEFD5E">
      <w:numFmt w:val="bullet"/>
      <w:lvlText w:val="•"/>
      <w:lvlJc w:val="left"/>
      <w:pPr>
        <w:ind w:left="8329" w:hanging="531"/>
      </w:pPr>
      <w:rPr>
        <w:rFonts w:hint="default"/>
        <w:lang w:val="zh-CN" w:eastAsia="zh-CN" w:bidi="zh-CN"/>
      </w:rPr>
    </w:lvl>
  </w:abstractNum>
  <w:abstractNum w:abstractNumId="323" w15:restartNumberingAfterBreak="0">
    <w:nsid w:val="2C6C63E4"/>
    <w:multiLevelType w:val="hybridMultilevel"/>
    <w:tmpl w:val="D4A65D82"/>
    <w:lvl w:ilvl="0" w:tplc="AA2E436C">
      <w:start w:val="5"/>
      <w:numFmt w:val="decimal"/>
      <w:lvlText w:val="%1"/>
      <w:lvlJc w:val="left"/>
      <w:pPr>
        <w:ind w:left="418" w:hanging="637"/>
        <w:jc w:val="left"/>
      </w:pPr>
      <w:rPr>
        <w:rFonts w:hint="default"/>
        <w:lang w:val="zh-CN" w:eastAsia="zh-CN" w:bidi="zh-CN"/>
      </w:rPr>
    </w:lvl>
    <w:lvl w:ilvl="1" w:tplc="0F70A356">
      <w:start w:val="11"/>
      <w:numFmt w:val="decimal"/>
      <w:lvlText w:val="%1.%2"/>
      <w:lvlJc w:val="left"/>
      <w:pPr>
        <w:ind w:left="418" w:hanging="637"/>
        <w:jc w:val="left"/>
      </w:pPr>
      <w:rPr>
        <w:rFonts w:hint="default"/>
        <w:lang w:val="zh-CN" w:eastAsia="zh-CN" w:bidi="zh-CN"/>
      </w:rPr>
    </w:lvl>
    <w:lvl w:ilvl="2" w:tplc="B6D6AC6A">
      <w:start w:val="2"/>
      <w:numFmt w:val="decimal"/>
      <w:lvlText w:val="%1.%2.%3"/>
      <w:lvlJc w:val="left"/>
      <w:pPr>
        <w:ind w:left="418" w:hanging="637"/>
        <w:jc w:val="left"/>
      </w:pPr>
      <w:rPr>
        <w:rFonts w:ascii="宋体" w:eastAsia="宋体" w:hAnsi="宋体" w:cs="宋体" w:hint="default"/>
        <w:b/>
        <w:bCs/>
        <w:spacing w:val="-53"/>
        <w:w w:val="99"/>
        <w:sz w:val="19"/>
        <w:szCs w:val="19"/>
        <w:lang w:val="zh-CN" w:eastAsia="zh-CN" w:bidi="zh-CN"/>
      </w:rPr>
    </w:lvl>
    <w:lvl w:ilvl="3" w:tplc="C9C05748">
      <w:numFmt w:val="bullet"/>
      <w:lvlText w:val="•"/>
      <w:lvlJc w:val="left"/>
      <w:pPr>
        <w:ind w:left="3487" w:hanging="637"/>
      </w:pPr>
      <w:rPr>
        <w:rFonts w:hint="default"/>
        <w:lang w:val="zh-CN" w:eastAsia="zh-CN" w:bidi="zh-CN"/>
      </w:rPr>
    </w:lvl>
    <w:lvl w:ilvl="4" w:tplc="F730812C">
      <w:numFmt w:val="bullet"/>
      <w:lvlText w:val="•"/>
      <w:lvlJc w:val="left"/>
      <w:pPr>
        <w:ind w:left="4510" w:hanging="637"/>
      </w:pPr>
      <w:rPr>
        <w:rFonts w:hint="default"/>
        <w:lang w:val="zh-CN" w:eastAsia="zh-CN" w:bidi="zh-CN"/>
      </w:rPr>
    </w:lvl>
    <w:lvl w:ilvl="5" w:tplc="06ECF6DC">
      <w:numFmt w:val="bullet"/>
      <w:lvlText w:val="•"/>
      <w:lvlJc w:val="left"/>
      <w:pPr>
        <w:ind w:left="5533" w:hanging="637"/>
      </w:pPr>
      <w:rPr>
        <w:rFonts w:hint="default"/>
        <w:lang w:val="zh-CN" w:eastAsia="zh-CN" w:bidi="zh-CN"/>
      </w:rPr>
    </w:lvl>
    <w:lvl w:ilvl="6" w:tplc="F334C1B2">
      <w:numFmt w:val="bullet"/>
      <w:lvlText w:val="•"/>
      <w:lvlJc w:val="left"/>
      <w:pPr>
        <w:ind w:left="6555" w:hanging="637"/>
      </w:pPr>
      <w:rPr>
        <w:rFonts w:hint="default"/>
        <w:lang w:val="zh-CN" w:eastAsia="zh-CN" w:bidi="zh-CN"/>
      </w:rPr>
    </w:lvl>
    <w:lvl w:ilvl="7" w:tplc="6B90ED28">
      <w:numFmt w:val="bullet"/>
      <w:lvlText w:val="•"/>
      <w:lvlJc w:val="left"/>
      <w:pPr>
        <w:ind w:left="7578" w:hanging="637"/>
      </w:pPr>
      <w:rPr>
        <w:rFonts w:hint="default"/>
        <w:lang w:val="zh-CN" w:eastAsia="zh-CN" w:bidi="zh-CN"/>
      </w:rPr>
    </w:lvl>
    <w:lvl w:ilvl="8" w:tplc="C4F6A360">
      <w:numFmt w:val="bullet"/>
      <w:lvlText w:val="•"/>
      <w:lvlJc w:val="left"/>
      <w:pPr>
        <w:ind w:left="8601" w:hanging="637"/>
      </w:pPr>
      <w:rPr>
        <w:rFonts w:hint="default"/>
        <w:lang w:val="zh-CN" w:eastAsia="zh-CN" w:bidi="zh-CN"/>
      </w:rPr>
    </w:lvl>
  </w:abstractNum>
  <w:abstractNum w:abstractNumId="324" w15:restartNumberingAfterBreak="0">
    <w:nsid w:val="2CAC7958"/>
    <w:multiLevelType w:val="hybridMultilevel"/>
    <w:tmpl w:val="F528BB4E"/>
    <w:lvl w:ilvl="0" w:tplc="45764788">
      <w:start w:val="10"/>
      <w:numFmt w:val="decimal"/>
      <w:lvlText w:val="%1"/>
      <w:lvlJc w:val="left"/>
      <w:pPr>
        <w:ind w:left="1318" w:hanging="478"/>
        <w:jc w:val="left"/>
      </w:pPr>
      <w:rPr>
        <w:rFonts w:hint="default"/>
        <w:lang w:val="zh-CN" w:eastAsia="zh-CN" w:bidi="zh-CN"/>
      </w:rPr>
    </w:lvl>
    <w:lvl w:ilvl="1" w:tplc="ADC626B4">
      <w:start w:val="1"/>
      <w:numFmt w:val="decimal"/>
      <w:lvlText w:val="%1.%2"/>
      <w:lvlJc w:val="left"/>
      <w:pPr>
        <w:ind w:left="1318" w:hanging="478"/>
        <w:jc w:val="left"/>
      </w:pPr>
      <w:rPr>
        <w:rFonts w:ascii="宋体" w:eastAsia="宋体" w:hAnsi="宋体" w:cs="宋体" w:hint="default"/>
        <w:b/>
        <w:bCs/>
        <w:w w:val="99"/>
        <w:sz w:val="21"/>
        <w:szCs w:val="21"/>
        <w:lang w:val="zh-CN" w:eastAsia="zh-CN" w:bidi="zh-CN"/>
      </w:rPr>
    </w:lvl>
    <w:lvl w:ilvl="2" w:tplc="46826682">
      <w:start w:val="1"/>
      <w:numFmt w:val="decimal"/>
      <w:lvlText w:val="%1.%2.%3"/>
      <w:lvlJc w:val="left"/>
      <w:pPr>
        <w:ind w:left="1477" w:hanging="637"/>
        <w:jc w:val="left"/>
      </w:pPr>
      <w:rPr>
        <w:rFonts w:ascii="宋体" w:eastAsia="宋体" w:hAnsi="宋体" w:cs="宋体" w:hint="default"/>
        <w:b/>
        <w:bCs/>
        <w:spacing w:val="-12"/>
        <w:w w:val="99"/>
        <w:sz w:val="19"/>
        <w:szCs w:val="19"/>
        <w:lang w:val="zh-CN" w:eastAsia="zh-CN" w:bidi="zh-CN"/>
      </w:rPr>
    </w:lvl>
    <w:lvl w:ilvl="3" w:tplc="EE12C980">
      <w:numFmt w:val="bullet"/>
      <w:lvlText w:val="•"/>
      <w:lvlJc w:val="left"/>
      <w:pPr>
        <w:ind w:left="3516" w:hanging="637"/>
      </w:pPr>
      <w:rPr>
        <w:rFonts w:hint="default"/>
        <w:lang w:val="zh-CN" w:eastAsia="zh-CN" w:bidi="zh-CN"/>
      </w:rPr>
    </w:lvl>
    <w:lvl w:ilvl="4" w:tplc="BC5E1BA2">
      <w:numFmt w:val="bullet"/>
      <w:lvlText w:val="•"/>
      <w:lvlJc w:val="left"/>
      <w:pPr>
        <w:ind w:left="4535" w:hanging="637"/>
      </w:pPr>
      <w:rPr>
        <w:rFonts w:hint="default"/>
        <w:lang w:val="zh-CN" w:eastAsia="zh-CN" w:bidi="zh-CN"/>
      </w:rPr>
    </w:lvl>
    <w:lvl w:ilvl="5" w:tplc="6F76A182">
      <w:numFmt w:val="bullet"/>
      <w:lvlText w:val="•"/>
      <w:lvlJc w:val="left"/>
      <w:pPr>
        <w:ind w:left="5553" w:hanging="637"/>
      </w:pPr>
      <w:rPr>
        <w:rFonts w:hint="default"/>
        <w:lang w:val="zh-CN" w:eastAsia="zh-CN" w:bidi="zh-CN"/>
      </w:rPr>
    </w:lvl>
    <w:lvl w:ilvl="6" w:tplc="951E326C">
      <w:numFmt w:val="bullet"/>
      <w:lvlText w:val="•"/>
      <w:lvlJc w:val="left"/>
      <w:pPr>
        <w:ind w:left="6572" w:hanging="637"/>
      </w:pPr>
      <w:rPr>
        <w:rFonts w:hint="default"/>
        <w:lang w:val="zh-CN" w:eastAsia="zh-CN" w:bidi="zh-CN"/>
      </w:rPr>
    </w:lvl>
    <w:lvl w:ilvl="7" w:tplc="E4BEE63C">
      <w:numFmt w:val="bullet"/>
      <w:lvlText w:val="•"/>
      <w:lvlJc w:val="left"/>
      <w:pPr>
        <w:ind w:left="7590" w:hanging="637"/>
      </w:pPr>
      <w:rPr>
        <w:rFonts w:hint="default"/>
        <w:lang w:val="zh-CN" w:eastAsia="zh-CN" w:bidi="zh-CN"/>
      </w:rPr>
    </w:lvl>
    <w:lvl w:ilvl="8" w:tplc="12A488FC">
      <w:numFmt w:val="bullet"/>
      <w:lvlText w:val="•"/>
      <w:lvlJc w:val="left"/>
      <w:pPr>
        <w:ind w:left="8609" w:hanging="637"/>
      </w:pPr>
      <w:rPr>
        <w:rFonts w:hint="default"/>
        <w:lang w:val="zh-CN" w:eastAsia="zh-CN" w:bidi="zh-CN"/>
      </w:rPr>
    </w:lvl>
  </w:abstractNum>
  <w:abstractNum w:abstractNumId="325" w15:restartNumberingAfterBreak="0">
    <w:nsid w:val="2CBB3AF0"/>
    <w:multiLevelType w:val="hybridMultilevel"/>
    <w:tmpl w:val="76AAF89E"/>
    <w:lvl w:ilvl="0" w:tplc="6EB8FBEC">
      <w:start w:val="5"/>
      <w:numFmt w:val="decimal"/>
      <w:lvlText w:val="%1"/>
      <w:lvlJc w:val="left"/>
      <w:pPr>
        <w:ind w:left="1477" w:hanging="637"/>
        <w:jc w:val="left"/>
      </w:pPr>
      <w:rPr>
        <w:rFonts w:hint="default"/>
        <w:lang w:val="zh-CN" w:eastAsia="zh-CN" w:bidi="zh-CN"/>
      </w:rPr>
    </w:lvl>
    <w:lvl w:ilvl="1" w:tplc="2D4C31F6">
      <w:start w:val="4"/>
      <w:numFmt w:val="decimal"/>
      <w:lvlText w:val="%1.%2"/>
      <w:lvlJc w:val="left"/>
      <w:pPr>
        <w:ind w:left="1477" w:hanging="637"/>
        <w:jc w:val="left"/>
      </w:pPr>
      <w:rPr>
        <w:rFonts w:hint="default"/>
        <w:lang w:val="zh-CN" w:eastAsia="zh-CN" w:bidi="zh-CN"/>
      </w:rPr>
    </w:lvl>
    <w:lvl w:ilvl="2" w:tplc="147058B4">
      <w:start w:val="10"/>
      <w:numFmt w:val="decimal"/>
      <w:lvlText w:val="%1.%2.%3"/>
      <w:lvlJc w:val="left"/>
      <w:pPr>
        <w:ind w:left="1477" w:hanging="637"/>
        <w:jc w:val="left"/>
      </w:pPr>
      <w:rPr>
        <w:rFonts w:ascii="宋体" w:eastAsia="宋体" w:hAnsi="宋体" w:cs="宋体" w:hint="default"/>
        <w:b/>
        <w:bCs/>
        <w:color w:val="333333"/>
        <w:w w:val="99"/>
        <w:sz w:val="19"/>
        <w:szCs w:val="19"/>
        <w:lang w:val="zh-CN" w:eastAsia="zh-CN" w:bidi="zh-CN"/>
      </w:rPr>
    </w:lvl>
    <w:lvl w:ilvl="3" w:tplc="6E60D04A">
      <w:numFmt w:val="bullet"/>
      <w:lvlText w:val="•"/>
      <w:lvlJc w:val="left"/>
      <w:pPr>
        <w:ind w:left="4229" w:hanging="637"/>
      </w:pPr>
      <w:rPr>
        <w:rFonts w:hint="default"/>
        <w:lang w:val="zh-CN" w:eastAsia="zh-CN" w:bidi="zh-CN"/>
      </w:rPr>
    </w:lvl>
    <w:lvl w:ilvl="4" w:tplc="2E8ABD52">
      <w:numFmt w:val="bullet"/>
      <w:lvlText w:val="•"/>
      <w:lvlJc w:val="left"/>
      <w:pPr>
        <w:ind w:left="5146" w:hanging="637"/>
      </w:pPr>
      <w:rPr>
        <w:rFonts w:hint="default"/>
        <w:lang w:val="zh-CN" w:eastAsia="zh-CN" w:bidi="zh-CN"/>
      </w:rPr>
    </w:lvl>
    <w:lvl w:ilvl="5" w:tplc="64FEC5C8">
      <w:numFmt w:val="bullet"/>
      <w:lvlText w:val="•"/>
      <w:lvlJc w:val="left"/>
      <w:pPr>
        <w:ind w:left="6063" w:hanging="637"/>
      </w:pPr>
      <w:rPr>
        <w:rFonts w:hint="default"/>
        <w:lang w:val="zh-CN" w:eastAsia="zh-CN" w:bidi="zh-CN"/>
      </w:rPr>
    </w:lvl>
    <w:lvl w:ilvl="6" w:tplc="070E1D9E">
      <w:numFmt w:val="bullet"/>
      <w:lvlText w:val="•"/>
      <w:lvlJc w:val="left"/>
      <w:pPr>
        <w:ind w:left="6979" w:hanging="637"/>
      </w:pPr>
      <w:rPr>
        <w:rFonts w:hint="default"/>
        <w:lang w:val="zh-CN" w:eastAsia="zh-CN" w:bidi="zh-CN"/>
      </w:rPr>
    </w:lvl>
    <w:lvl w:ilvl="7" w:tplc="A8EC0A28">
      <w:numFmt w:val="bullet"/>
      <w:lvlText w:val="•"/>
      <w:lvlJc w:val="left"/>
      <w:pPr>
        <w:ind w:left="7896" w:hanging="637"/>
      </w:pPr>
      <w:rPr>
        <w:rFonts w:hint="default"/>
        <w:lang w:val="zh-CN" w:eastAsia="zh-CN" w:bidi="zh-CN"/>
      </w:rPr>
    </w:lvl>
    <w:lvl w:ilvl="8" w:tplc="E2C673B0">
      <w:numFmt w:val="bullet"/>
      <w:lvlText w:val="•"/>
      <w:lvlJc w:val="left"/>
      <w:pPr>
        <w:ind w:left="8813" w:hanging="637"/>
      </w:pPr>
      <w:rPr>
        <w:rFonts w:hint="default"/>
        <w:lang w:val="zh-CN" w:eastAsia="zh-CN" w:bidi="zh-CN"/>
      </w:rPr>
    </w:lvl>
  </w:abstractNum>
  <w:abstractNum w:abstractNumId="326" w15:restartNumberingAfterBreak="0">
    <w:nsid w:val="2D0C68A5"/>
    <w:multiLevelType w:val="hybridMultilevel"/>
    <w:tmpl w:val="A82C4022"/>
    <w:lvl w:ilvl="0" w:tplc="AE3CB5A6">
      <w:start w:val="1"/>
      <w:numFmt w:val="lowerLetter"/>
      <w:lvlText w:val="%1)"/>
      <w:lvlJc w:val="left"/>
      <w:pPr>
        <w:ind w:left="418" w:hanging="213"/>
        <w:jc w:val="left"/>
      </w:pPr>
      <w:rPr>
        <w:rFonts w:ascii="宋体" w:eastAsia="宋体" w:hAnsi="宋体" w:cs="宋体" w:hint="default"/>
        <w:spacing w:val="-55"/>
        <w:w w:val="100"/>
        <w:sz w:val="19"/>
        <w:szCs w:val="19"/>
        <w:lang w:val="zh-CN" w:eastAsia="zh-CN" w:bidi="zh-CN"/>
      </w:rPr>
    </w:lvl>
    <w:lvl w:ilvl="1" w:tplc="1F2057D2">
      <w:numFmt w:val="bullet"/>
      <w:lvlText w:val="•"/>
      <w:lvlJc w:val="left"/>
      <w:pPr>
        <w:ind w:left="1442" w:hanging="213"/>
      </w:pPr>
      <w:rPr>
        <w:rFonts w:hint="default"/>
        <w:lang w:val="zh-CN" w:eastAsia="zh-CN" w:bidi="zh-CN"/>
      </w:rPr>
    </w:lvl>
    <w:lvl w:ilvl="2" w:tplc="7CE28972">
      <w:numFmt w:val="bullet"/>
      <w:lvlText w:val="•"/>
      <w:lvlJc w:val="left"/>
      <w:pPr>
        <w:ind w:left="2465" w:hanging="213"/>
      </w:pPr>
      <w:rPr>
        <w:rFonts w:hint="default"/>
        <w:lang w:val="zh-CN" w:eastAsia="zh-CN" w:bidi="zh-CN"/>
      </w:rPr>
    </w:lvl>
    <w:lvl w:ilvl="3" w:tplc="63C4CE0E">
      <w:numFmt w:val="bullet"/>
      <w:lvlText w:val="•"/>
      <w:lvlJc w:val="left"/>
      <w:pPr>
        <w:ind w:left="3487" w:hanging="213"/>
      </w:pPr>
      <w:rPr>
        <w:rFonts w:hint="default"/>
        <w:lang w:val="zh-CN" w:eastAsia="zh-CN" w:bidi="zh-CN"/>
      </w:rPr>
    </w:lvl>
    <w:lvl w:ilvl="4" w:tplc="9C4C7BEE">
      <w:numFmt w:val="bullet"/>
      <w:lvlText w:val="•"/>
      <w:lvlJc w:val="left"/>
      <w:pPr>
        <w:ind w:left="4510" w:hanging="213"/>
      </w:pPr>
      <w:rPr>
        <w:rFonts w:hint="default"/>
        <w:lang w:val="zh-CN" w:eastAsia="zh-CN" w:bidi="zh-CN"/>
      </w:rPr>
    </w:lvl>
    <w:lvl w:ilvl="5" w:tplc="EEF4B45E">
      <w:numFmt w:val="bullet"/>
      <w:lvlText w:val="•"/>
      <w:lvlJc w:val="left"/>
      <w:pPr>
        <w:ind w:left="5533" w:hanging="213"/>
      </w:pPr>
      <w:rPr>
        <w:rFonts w:hint="default"/>
        <w:lang w:val="zh-CN" w:eastAsia="zh-CN" w:bidi="zh-CN"/>
      </w:rPr>
    </w:lvl>
    <w:lvl w:ilvl="6" w:tplc="2E5E2F30">
      <w:numFmt w:val="bullet"/>
      <w:lvlText w:val="•"/>
      <w:lvlJc w:val="left"/>
      <w:pPr>
        <w:ind w:left="6555" w:hanging="213"/>
      </w:pPr>
      <w:rPr>
        <w:rFonts w:hint="default"/>
        <w:lang w:val="zh-CN" w:eastAsia="zh-CN" w:bidi="zh-CN"/>
      </w:rPr>
    </w:lvl>
    <w:lvl w:ilvl="7" w:tplc="A94C4C42">
      <w:numFmt w:val="bullet"/>
      <w:lvlText w:val="•"/>
      <w:lvlJc w:val="left"/>
      <w:pPr>
        <w:ind w:left="7578" w:hanging="213"/>
      </w:pPr>
      <w:rPr>
        <w:rFonts w:hint="default"/>
        <w:lang w:val="zh-CN" w:eastAsia="zh-CN" w:bidi="zh-CN"/>
      </w:rPr>
    </w:lvl>
    <w:lvl w:ilvl="8" w:tplc="18C4636C">
      <w:numFmt w:val="bullet"/>
      <w:lvlText w:val="•"/>
      <w:lvlJc w:val="left"/>
      <w:pPr>
        <w:ind w:left="8601" w:hanging="213"/>
      </w:pPr>
      <w:rPr>
        <w:rFonts w:hint="default"/>
        <w:lang w:val="zh-CN" w:eastAsia="zh-CN" w:bidi="zh-CN"/>
      </w:rPr>
    </w:lvl>
  </w:abstractNum>
  <w:abstractNum w:abstractNumId="327" w15:restartNumberingAfterBreak="0">
    <w:nsid w:val="2D0F60C8"/>
    <w:multiLevelType w:val="hybridMultilevel"/>
    <w:tmpl w:val="54FCC37A"/>
    <w:lvl w:ilvl="0" w:tplc="A87AD6D6">
      <w:start w:val="4"/>
      <w:numFmt w:val="decimal"/>
      <w:lvlText w:val="%1"/>
      <w:lvlJc w:val="left"/>
      <w:pPr>
        <w:ind w:left="1369" w:hanging="529"/>
        <w:jc w:val="left"/>
      </w:pPr>
      <w:rPr>
        <w:rFonts w:hint="default"/>
        <w:lang w:val="zh-CN" w:eastAsia="zh-CN" w:bidi="zh-CN"/>
      </w:rPr>
    </w:lvl>
    <w:lvl w:ilvl="1" w:tplc="82521190">
      <w:start w:val="2"/>
      <w:numFmt w:val="decimal"/>
      <w:lvlText w:val="%1.%2"/>
      <w:lvlJc w:val="left"/>
      <w:pPr>
        <w:ind w:left="1369" w:hanging="529"/>
        <w:jc w:val="left"/>
      </w:pPr>
      <w:rPr>
        <w:rFonts w:hint="default"/>
        <w:lang w:val="zh-CN" w:eastAsia="zh-CN" w:bidi="zh-CN"/>
      </w:rPr>
    </w:lvl>
    <w:lvl w:ilvl="2" w:tplc="42D07278">
      <w:start w:val="3"/>
      <w:numFmt w:val="decimal"/>
      <w:lvlText w:val="%1.%2.%3"/>
      <w:lvlJc w:val="left"/>
      <w:pPr>
        <w:ind w:left="1369" w:hanging="529"/>
        <w:jc w:val="left"/>
      </w:pPr>
      <w:rPr>
        <w:rFonts w:ascii="宋体" w:eastAsia="宋体" w:hAnsi="宋体" w:cs="宋体" w:hint="default"/>
        <w:b/>
        <w:bCs/>
        <w:spacing w:val="-3"/>
        <w:w w:val="99"/>
        <w:sz w:val="19"/>
        <w:szCs w:val="19"/>
        <w:lang w:val="zh-CN" w:eastAsia="zh-CN" w:bidi="zh-CN"/>
      </w:rPr>
    </w:lvl>
    <w:lvl w:ilvl="3" w:tplc="CD18C05A">
      <w:numFmt w:val="bullet"/>
      <w:lvlText w:val="•"/>
      <w:lvlJc w:val="left"/>
      <w:pPr>
        <w:ind w:left="4145" w:hanging="529"/>
      </w:pPr>
      <w:rPr>
        <w:rFonts w:hint="default"/>
        <w:lang w:val="zh-CN" w:eastAsia="zh-CN" w:bidi="zh-CN"/>
      </w:rPr>
    </w:lvl>
    <w:lvl w:ilvl="4" w:tplc="D722EBDC">
      <w:numFmt w:val="bullet"/>
      <w:lvlText w:val="•"/>
      <w:lvlJc w:val="left"/>
      <w:pPr>
        <w:ind w:left="5074" w:hanging="529"/>
      </w:pPr>
      <w:rPr>
        <w:rFonts w:hint="default"/>
        <w:lang w:val="zh-CN" w:eastAsia="zh-CN" w:bidi="zh-CN"/>
      </w:rPr>
    </w:lvl>
    <w:lvl w:ilvl="5" w:tplc="F44E0ED8">
      <w:numFmt w:val="bullet"/>
      <w:lvlText w:val="•"/>
      <w:lvlJc w:val="left"/>
      <w:pPr>
        <w:ind w:left="6003" w:hanging="529"/>
      </w:pPr>
      <w:rPr>
        <w:rFonts w:hint="default"/>
        <w:lang w:val="zh-CN" w:eastAsia="zh-CN" w:bidi="zh-CN"/>
      </w:rPr>
    </w:lvl>
    <w:lvl w:ilvl="6" w:tplc="BBF2A6AA">
      <w:numFmt w:val="bullet"/>
      <w:lvlText w:val="•"/>
      <w:lvlJc w:val="left"/>
      <w:pPr>
        <w:ind w:left="6931" w:hanging="529"/>
      </w:pPr>
      <w:rPr>
        <w:rFonts w:hint="default"/>
        <w:lang w:val="zh-CN" w:eastAsia="zh-CN" w:bidi="zh-CN"/>
      </w:rPr>
    </w:lvl>
    <w:lvl w:ilvl="7" w:tplc="4004695A">
      <w:numFmt w:val="bullet"/>
      <w:lvlText w:val="•"/>
      <w:lvlJc w:val="left"/>
      <w:pPr>
        <w:ind w:left="7860" w:hanging="529"/>
      </w:pPr>
      <w:rPr>
        <w:rFonts w:hint="default"/>
        <w:lang w:val="zh-CN" w:eastAsia="zh-CN" w:bidi="zh-CN"/>
      </w:rPr>
    </w:lvl>
    <w:lvl w:ilvl="8" w:tplc="1A1E32F2">
      <w:numFmt w:val="bullet"/>
      <w:lvlText w:val="•"/>
      <w:lvlJc w:val="left"/>
      <w:pPr>
        <w:ind w:left="8789" w:hanging="529"/>
      </w:pPr>
      <w:rPr>
        <w:rFonts w:hint="default"/>
        <w:lang w:val="zh-CN" w:eastAsia="zh-CN" w:bidi="zh-CN"/>
      </w:rPr>
    </w:lvl>
  </w:abstractNum>
  <w:abstractNum w:abstractNumId="328" w15:restartNumberingAfterBreak="0">
    <w:nsid w:val="2D36196C"/>
    <w:multiLevelType w:val="hybridMultilevel"/>
    <w:tmpl w:val="F788A70A"/>
    <w:lvl w:ilvl="0" w:tplc="B574B460">
      <w:start w:val="1"/>
      <w:numFmt w:val="decimal"/>
      <w:lvlText w:val="（%1）"/>
      <w:lvlJc w:val="left"/>
      <w:pPr>
        <w:ind w:left="418" w:hanging="527"/>
        <w:jc w:val="left"/>
      </w:pPr>
      <w:rPr>
        <w:rFonts w:ascii="宋体" w:eastAsia="宋体" w:hAnsi="宋体" w:cs="宋体" w:hint="default"/>
        <w:spacing w:val="-10"/>
        <w:w w:val="100"/>
        <w:sz w:val="19"/>
        <w:szCs w:val="19"/>
        <w:lang w:val="zh-CN" w:eastAsia="zh-CN" w:bidi="zh-CN"/>
      </w:rPr>
    </w:lvl>
    <w:lvl w:ilvl="1" w:tplc="52DC36F8">
      <w:numFmt w:val="bullet"/>
      <w:lvlText w:val="•"/>
      <w:lvlJc w:val="left"/>
      <w:pPr>
        <w:ind w:left="1442" w:hanging="527"/>
      </w:pPr>
      <w:rPr>
        <w:rFonts w:hint="default"/>
        <w:lang w:val="zh-CN" w:eastAsia="zh-CN" w:bidi="zh-CN"/>
      </w:rPr>
    </w:lvl>
    <w:lvl w:ilvl="2" w:tplc="178A580C">
      <w:numFmt w:val="bullet"/>
      <w:lvlText w:val="•"/>
      <w:lvlJc w:val="left"/>
      <w:pPr>
        <w:ind w:left="2465" w:hanging="527"/>
      </w:pPr>
      <w:rPr>
        <w:rFonts w:hint="default"/>
        <w:lang w:val="zh-CN" w:eastAsia="zh-CN" w:bidi="zh-CN"/>
      </w:rPr>
    </w:lvl>
    <w:lvl w:ilvl="3" w:tplc="2E4EEDC8">
      <w:numFmt w:val="bullet"/>
      <w:lvlText w:val="•"/>
      <w:lvlJc w:val="left"/>
      <w:pPr>
        <w:ind w:left="3487" w:hanging="527"/>
      </w:pPr>
      <w:rPr>
        <w:rFonts w:hint="default"/>
        <w:lang w:val="zh-CN" w:eastAsia="zh-CN" w:bidi="zh-CN"/>
      </w:rPr>
    </w:lvl>
    <w:lvl w:ilvl="4" w:tplc="C0D06AA6">
      <w:numFmt w:val="bullet"/>
      <w:lvlText w:val="•"/>
      <w:lvlJc w:val="left"/>
      <w:pPr>
        <w:ind w:left="4510" w:hanging="527"/>
      </w:pPr>
      <w:rPr>
        <w:rFonts w:hint="default"/>
        <w:lang w:val="zh-CN" w:eastAsia="zh-CN" w:bidi="zh-CN"/>
      </w:rPr>
    </w:lvl>
    <w:lvl w:ilvl="5" w:tplc="DF462B2A">
      <w:numFmt w:val="bullet"/>
      <w:lvlText w:val="•"/>
      <w:lvlJc w:val="left"/>
      <w:pPr>
        <w:ind w:left="5533" w:hanging="527"/>
      </w:pPr>
      <w:rPr>
        <w:rFonts w:hint="default"/>
        <w:lang w:val="zh-CN" w:eastAsia="zh-CN" w:bidi="zh-CN"/>
      </w:rPr>
    </w:lvl>
    <w:lvl w:ilvl="6" w:tplc="62609268">
      <w:numFmt w:val="bullet"/>
      <w:lvlText w:val="•"/>
      <w:lvlJc w:val="left"/>
      <w:pPr>
        <w:ind w:left="6555" w:hanging="527"/>
      </w:pPr>
      <w:rPr>
        <w:rFonts w:hint="default"/>
        <w:lang w:val="zh-CN" w:eastAsia="zh-CN" w:bidi="zh-CN"/>
      </w:rPr>
    </w:lvl>
    <w:lvl w:ilvl="7" w:tplc="13B0BB88">
      <w:numFmt w:val="bullet"/>
      <w:lvlText w:val="•"/>
      <w:lvlJc w:val="left"/>
      <w:pPr>
        <w:ind w:left="7578" w:hanging="527"/>
      </w:pPr>
      <w:rPr>
        <w:rFonts w:hint="default"/>
        <w:lang w:val="zh-CN" w:eastAsia="zh-CN" w:bidi="zh-CN"/>
      </w:rPr>
    </w:lvl>
    <w:lvl w:ilvl="8" w:tplc="01DE22A4">
      <w:numFmt w:val="bullet"/>
      <w:lvlText w:val="•"/>
      <w:lvlJc w:val="left"/>
      <w:pPr>
        <w:ind w:left="8601" w:hanging="527"/>
      </w:pPr>
      <w:rPr>
        <w:rFonts w:hint="default"/>
        <w:lang w:val="zh-CN" w:eastAsia="zh-CN" w:bidi="zh-CN"/>
      </w:rPr>
    </w:lvl>
  </w:abstractNum>
  <w:abstractNum w:abstractNumId="329" w15:restartNumberingAfterBreak="0">
    <w:nsid w:val="2D414887"/>
    <w:multiLevelType w:val="hybridMultilevel"/>
    <w:tmpl w:val="69A2DD6A"/>
    <w:lvl w:ilvl="0" w:tplc="EC368220">
      <w:start w:val="6"/>
      <w:numFmt w:val="decimal"/>
      <w:lvlText w:val="%1"/>
      <w:lvlJc w:val="left"/>
      <w:pPr>
        <w:ind w:left="1158" w:hanging="318"/>
        <w:jc w:val="left"/>
      </w:pPr>
      <w:rPr>
        <w:rFonts w:hint="default"/>
        <w:lang w:val="zh-CN" w:eastAsia="zh-CN" w:bidi="zh-CN"/>
      </w:rPr>
    </w:lvl>
    <w:lvl w:ilvl="1" w:tplc="76EC978E">
      <w:start w:val="6"/>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8A62425A">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E55A50A2">
      <w:numFmt w:val="bullet"/>
      <w:lvlText w:val="•"/>
      <w:lvlJc w:val="left"/>
      <w:pPr>
        <w:ind w:left="3439" w:hanging="531"/>
      </w:pPr>
      <w:rPr>
        <w:rFonts w:hint="default"/>
        <w:lang w:val="zh-CN" w:eastAsia="zh-CN" w:bidi="zh-CN"/>
      </w:rPr>
    </w:lvl>
    <w:lvl w:ilvl="4" w:tplc="D4A2D052">
      <w:numFmt w:val="bullet"/>
      <w:lvlText w:val="•"/>
      <w:lvlJc w:val="left"/>
      <w:pPr>
        <w:ind w:left="4468" w:hanging="531"/>
      </w:pPr>
      <w:rPr>
        <w:rFonts w:hint="default"/>
        <w:lang w:val="zh-CN" w:eastAsia="zh-CN" w:bidi="zh-CN"/>
      </w:rPr>
    </w:lvl>
    <w:lvl w:ilvl="5" w:tplc="4ED47288">
      <w:numFmt w:val="bullet"/>
      <w:lvlText w:val="•"/>
      <w:lvlJc w:val="left"/>
      <w:pPr>
        <w:ind w:left="5498" w:hanging="531"/>
      </w:pPr>
      <w:rPr>
        <w:rFonts w:hint="default"/>
        <w:lang w:val="zh-CN" w:eastAsia="zh-CN" w:bidi="zh-CN"/>
      </w:rPr>
    </w:lvl>
    <w:lvl w:ilvl="6" w:tplc="4DAC5112">
      <w:numFmt w:val="bullet"/>
      <w:lvlText w:val="•"/>
      <w:lvlJc w:val="left"/>
      <w:pPr>
        <w:ind w:left="6528" w:hanging="531"/>
      </w:pPr>
      <w:rPr>
        <w:rFonts w:hint="default"/>
        <w:lang w:val="zh-CN" w:eastAsia="zh-CN" w:bidi="zh-CN"/>
      </w:rPr>
    </w:lvl>
    <w:lvl w:ilvl="7" w:tplc="6EB0C70C">
      <w:numFmt w:val="bullet"/>
      <w:lvlText w:val="•"/>
      <w:lvlJc w:val="left"/>
      <w:pPr>
        <w:ind w:left="7557" w:hanging="531"/>
      </w:pPr>
      <w:rPr>
        <w:rFonts w:hint="default"/>
        <w:lang w:val="zh-CN" w:eastAsia="zh-CN" w:bidi="zh-CN"/>
      </w:rPr>
    </w:lvl>
    <w:lvl w:ilvl="8" w:tplc="99BEAA18">
      <w:numFmt w:val="bullet"/>
      <w:lvlText w:val="•"/>
      <w:lvlJc w:val="left"/>
      <w:pPr>
        <w:ind w:left="8587" w:hanging="531"/>
      </w:pPr>
      <w:rPr>
        <w:rFonts w:hint="default"/>
        <w:lang w:val="zh-CN" w:eastAsia="zh-CN" w:bidi="zh-CN"/>
      </w:rPr>
    </w:lvl>
  </w:abstractNum>
  <w:abstractNum w:abstractNumId="330" w15:restartNumberingAfterBreak="0">
    <w:nsid w:val="2D600380"/>
    <w:multiLevelType w:val="hybridMultilevel"/>
    <w:tmpl w:val="CB504C58"/>
    <w:lvl w:ilvl="0" w:tplc="4B962300">
      <w:start w:val="4"/>
      <w:numFmt w:val="decimal"/>
      <w:lvlText w:val="%1"/>
      <w:lvlJc w:val="left"/>
      <w:pPr>
        <w:ind w:left="418" w:hanging="738"/>
        <w:jc w:val="left"/>
      </w:pPr>
      <w:rPr>
        <w:rFonts w:hint="default"/>
        <w:lang w:val="zh-CN" w:eastAsia="zh-CN" w:bidi="zh-CN"/>
      </w:rPr>
    </w:lvl>
    <w:lvl w:ilvl="1" w:tplc="2D94F57E">
      <w:start w:val="2"/>
      <w:numFmt w:val="decimal"/>
      <w:lvlText w:val="%1.%2"/>
      <w:lvlJc w:val="left"/>
      <w:pPr>
        <w:ind w:left="418" w:hanging="738"/>
        <w:jc w:val="left"/>
      </w:pPr>
      <w:rPr>
        <w:rFonts w:hint="default"/>
        <w:lang w:val="zh-CN" w:eastAsia="zh-CN" w:bidi="zh-CN"/>
      </w:rPr>
    </w:lvl>
    <w:lvl w:ilvl="2" w:tplc="88140E4E">
      <w:start w:val="2"/>
      <w:numFmt w:val="decimal"/>
      <w:lvlText w:val="%1.%2.%3"/>
      <w:lvlJc w:val="left"/>
      <w:pPr>
        <w:ind w:left="418" w:hanging="738"/>
        <w:jc w:val="left"/>
      </w:pPr>
      <w:rPr>
        <w:rFonts w:hint="default"/>
        <w:lang w:val="zh-CN" w:eastAsia="zh-CN" w:bidi="zh-CN"/>
      </w:rPr>
    </w:lvl>
    <w:lvl w:ilvl="3" w:tplc="36604F9E">
      <w:start w:val="3"/>
      <w:numFmt w:val="decimal"/>
      <w:lvlText w:val="%1.%2.%3.%4"/>
      <w:lvlJc w:val="left"/>
      <w:pPr>
        <w:ind w:left="418" w:hanging="738"/>
        <w:jc w:val="left"/>
      </w:pPr>
      <w:rPr>
        <w:rFonts w:ascii="宋体" w:eastAsia="宋体" w:hAnsi="宋体" w:cs="宋体" w:hint="default"/>
        <w:spacing w:val="-3"/>
        <w:w w:val="100"/>
        <w:sz w:val="19"/>
        <w:szCs w:val="19"/>
        <w:lang w:val="zh-CN" w:eastAsia="zh-CN" w:bidi="zh-CN"/>
      </w:rPr>
    </w:lvl>
    <w:lvl w:ilvl="4" w:tplc="CC5ED0B8">
      <w:numFmt w:val="bullet"/>
      <w:lvlText w:val="•"/>
      <w:lvlJc w:val="left"/>
      <w:pPr>
        <w:ind w:left="4510" w:hanging="738"/>
      </w:pPr>
      <w:rPr>
        <w:rFonts w:hint="default"/>
        <w:lang w:val="zh-CN" w:eastAsia="zh-CN" w:bidi="zh-CN"/>
      </w:rPr>
    </w:lvl>
    <w:lvl w:ilvl="5" w:tplc="9DFC7994">
      <w:numFmt w:val="bullet"/>
      <w:lvlText w:val="•"/>
      <w:lvlJc w:val="left"/>
      <w:pPr>
        <w:ind w:left="5533" w:hanging="738"/>
      </w:pPr>
      <w:rPr>
        <w:rFonts w:hint="default"/>
        <w:lang w:val="zh-CN" w:eastAsia="zh-CN" w:bidi="zh-CN"/>
      </w:rPr>
    </w:lvl>
    <w:lvl w:ilvl="6" w:tplc="C778F372">
      <w:numFmt w:val="bullet"/>
      <w:lvlText w:val="•"/>
      <w:lvlJc w:val="left"/>
      <w:pPr>
        <w:ind w:left="6555" w:hanging="738"/>
      </w:pPr>
      <w:rPr>
        <w:rFonts w:hint="default"/>
        <w:lang w:val="zh-CN" w:eastAsia="zh-CN" w:bidi="zh-CN"/>
      </w:rPr>
    </w:lvl>
    <w:lvl w:ilvl="7" w:tplc="24563CF8">
      <w:numFmt w:val="bullet"/>
      <w:lvlText w:val="•"/>
      <w:lvlJc w:val="left"/>
      <w:pPr>
        <w:ind w:left="7578" w:hanging="738"/>
      </w:pPr>
      <w:rPr>
        <w:rFonts w:hint="default"/>
        <w:lang w:val="zh-CN" w:eastAsia="zh-CN" w:bidi="zh-CN"/>
      </w:rPr>
    </w:lvl>
    <w:lvl w:ilvl="8" w:tplc="870C6030">
      <w:numFmt w:val="bullet"/>
      <w:lvlText w:val="•"/>
      <w:lvlJc w:val="left"/>
      <w:pPr>
        <w:ind w:left="8601" w:hanging="738"/>
      </w:pPr>
      <w:rPr>
        <w:rFonts w:hint="default"/>
        <w:lang w:val="zh-CN" w:eastAsia="zh-CN" w:bidi="zh-CN"/>
      </w:rPr>
    </w:lvl>
  </w:abstractNum>
  <w:abstractNum w:abstractNumId="331" w15:restartNumberingAfterBreak="0">
    <w:nsid w:val="2D6077D3"/>
    <w:multiLevelType w:val="hybridMultilevel"/>
    <w:tmpl w:val="6A56E86E"/>
    <w:lvl w:ilvl="0" w:tplc="6F4E7914">
      <w:start w:val="7"/>
      <w:numFmt w:val="decimal"/>
      <w:lvlText w:val="%1"/>
      <w:lvlJc w:val="left"/>
      <w:pPr>
        <w:ind w:left="1158" w:hanging="318"/>
        <w:jc w:val="left"/>
      </w:pPr>
      <w:rPr>
        <w:rFonts w:hint="default"/>
        <w:lang w:val="zh-CN" w:eastAsia="zh-CN" w:bidi="zh-CN"/>
      </w:rPr>
    </w:lvl>
    <w:lvl w:ilvl="1" w:tplc="7A7EAB46">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1C14802C">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8988B6B8">
      <w:numFmt w:val="bullet"/>
      <w:lvlText w:val="•"/>
      <w:lvlJc w:val="left"/>
      <w:pPr>
        <w:ind w:left="3439" w:hanging="531"/>
      </w:pPr>
      <w:rPr>
        <w:rFonts w:hint="default"/>
        <w:lang w:val="zh-CN" w:eastAsia="zh-CN" w:bidi="zh-CN"/>
      </w:rPr>
    </w:lvl>
    <w:lvl w:ilvl="4" w:tplc="6276CCEE">
      <w:numFmt w:val="bullet"/>
      <w:lvlText w:val="•"/>
      <w:lvlJc w:val="left"/>
      <w:pPr>
        <w:ind w:left="4468" w:hanging="531"/>
      </w:pPr>
      <w:rPr>
        <w:rFonts w:hint="default"/>
        <w:lang w:val="zh-CN" w:eastAsia="zh-CN" w:bidi="zh-CN"/>
      </w:rPr>
    </w:lvl>
    <w:lvl w:ilvl="5" w:tplc="82AA2E0C">
      <w:numFmt w:val="bullet"/>
      <w:lvlText w:val="•"/>
      <w:lvlJc w:val="left"/>
      <w:pPr>
        <w:ind w:left="5498" w:hanging="531"/>
      </w:pPr>
      <w:rPr>
        <w:rFonts w:hint="default"/>
        <w:lang w:val="zh-CN" w:eastAsia="zh-CN" w:bidi="zh-CN"/>
      </w:rPr>
    </w:lvl>
    <w:lvl w:ilvl="6" w:tplc="04BE2F60">
      <w:numFmt w:val="bullet"/>
      <w:lvlText w:val="•"/>
      <w:lvlJc w:val="left"/>
      <w:pPr>
        <w:ind w:left="6528" w:hanging="531"/>
      </w:pPr>
      <w:rPr>
        <w:rFonts w:hint="default"/>
        <w:lang w:val="zh-CN" w:eastAsia="zh-CN" w:bidi="zh-CN"/>
      </w:rPr>
    </w:lvl>
    <w:lvl w:ilvl="7" w:tplc="FFE492F6">
      <w:numFmt w:val="bullet"/>
      <w:lvlText w:val="•"/>
      <w:lvlJc w:val="left"/>
      <w:pPr>
        <w:ind w:left="7557" w:hanging="531"/>
      </w:pPr>
      <w:rPr>
        <w:rFonts w:hint="default"/>
        <w:lang w:val="zh-CN" w:eastAsia="zh-CN" w:bidi="zh-CN"/>
      </w:rPr>
    </w:lvl>
    <w:lvl w:ilvl="8" w:tplc="52BEB3FA">
      <w:numFmt w:val="bullet"/>
      <w:lvlText w:val="•"/>
      <w:lvlJc w:val="left"/>
      <w:pPr>
        <w:ind w:left="8587" w:hanging="531"/>
      </w:pPr>
      <w:rPr>
        <w:rFonts w:hint="default"/>
        <w:lang w:val="zh-CN" w:eastAsia="zh-CN" w:bidi="zh-CN"/>
      </w:rPr>
    </w:lvl>
  </w:abstractNum>
  <w:abstractNum w:abstractNumId="332" w15:restartNumberingAfterBreak="0">
    <w:nsid w:val="2D735BAC"/>
    <w:multiLevelType w:val="hybridMultilevel"/>
    <w:tmpl w:val="27347F82"/>
    <w:lvl w:ilvl="0" w:tplc="323CA97E">
      <w:start w:val="1"/>
      <w:numFmt w:val="lowerLetter"/>
      <w:lvlText w:val="%1）"/>
      <w:lvlJc w:val="left"/>
      <w:pPr>
        <w:ind w:left="418" w:hanging="318"/>
        <w:jc w:val="left"/>
      </w:pPr>
      <w:rPr>
        <w:rFonts w:ascii="宋体" w:eastAsia="宋体" w:hAnsi="宋体" w:cs="宋体" w:hint="default"/>
        <w:w w:val="100"/>
        <w:sz w:val="19"/>
        <w:szCs w:val="19"/>
        <w:lang w:val="zh-CN" w:eastAsia="zh-CN" w:bidi="zh-CN"/>
      </w:rPr>
    </w:lvl>
    <w:lvl w:ilvl="1" w:tplc="C5A4C3CA">
      <w:numFmt w:val="bullet"/>
      <w:lvlText w:val="•"/>
      <w:lvlJc w:val="left"/>
      <w:pPr>
        <w:ind w:left="1442" w:hanging="318"/>
      </w:pPr>
      <w:rPr>
        <w:rFonts w:hint="default"/>
        <w:lang w:val="zh-CN" w:eastAsia="zh-CN" w:bidi="zh-CN"/>
      </w:rPr>
    </w:lvl>
    <w:lvl w:ilvl="2" w:tplc="CB88B464">
      <w:numFmt w:val="bullet"/>
      <w:lvlText w:val="•"/>
      <w:lvlJc w:val="left"/>
      <w:pPr>
        <w:ind w:left="2465" w:hanging="318"/>
      </w:pPr>
      <w:rPr>
        <w:rFonts w:hint="default"/>
        <w:lang w:val="zh-CN" w:eastAsia="zh-CN" w:bidi="zh-CN"/>
      </w:rPr>
    </w:lvl>
    <w:lvl w:ilvl="3" w:tplc="DDBAC618">
      <w:numFmt w:val="bullet"/>
      <w:lvlText w:val="•"/>
      <w:lvlJc w:val="left"/>
      <w:pPr>
        <w:ind w:left="3487" w:hanging="318"/>
      </w:pPr>
      <w:rPr>
        <w:rFonts w:hint="default"/>
        <w:lang w:val="zh-CN" w:eastAsia="zh-CN" w:bidi="zh-CN"/>
      </w:rPr>
    </w:lvl>
    <w:lvl w:ilvl="4" w:tplc="37CCE936">
      <w:numFmt w:val="bullet"/>
      <w:lvlText w:val="•"/>
      <w:lvlJc w:val="left"/>
      <w:pPr>
        <w:ind w:left="4510" w:hanging="318"/>
      </w:pPr>
      <w:rPr>
        <w:rFonts w:hint="default"/>
        <w:lang w:val="zh-CN" w:eastAsia="zh-CN" w:bidi="zh-CN"/>
      </w:rPr>
    </w:lvl>
    <w:lvl w:ilvl="5" w:tplc="5B7C3198">
      <w:numFmt w:val="bullet"/>
      <w:lvlText w:val="•"/>
      <w:lvlJc w:val="left"/>
      <w:pPr>
        <w:ind w:left="5533" w:hanging="318"/>
      </w:pPr>
      <w:rPr>
        <w:rFonts w:hint="default"/>
        <w:lang w:val="zh-CN" w:eastAsia="zh-CN" w:bidi="zh-CN"/>
      </w:rPr>
    </w:lvl>
    <w:lvl w:ilvl="6" w:tplc="E13C7996">
      <w:numFmt w:val="bullet"/>
      <w:lvlText w:val="•"/>
      <w:lvlJc w:val="left"/>
      <w:pPr>
        <w:ind w:left="6555" w:hanging="318"/>
      </w:pPr>
      <w:rPr>
        <w:rFonts w:hint="default"/>
        <w:lang w:val="zh-CN" w:eastAsia="zh-CN" w:bidi="zh-CN"/>
      </w:rPr>
    </w:lvl>
    <w:lvl w:ilvl="7" w:tplc="D138DD2E">
      <w:numFmt w:val="bullet"/>
      <w:lvlText w:val="•"/>
      <w:lvlJc w:val="left"/>
      <w:pPr>
        <w:ind w:left="7578" w:hanging="318"/>
      </w:pPr>
      <w:rPr>
        <w:rFonts w:hint="default"/>
        <w:lang w:val="zh-CN" w:eastAsia="zh-CN" w:bidi="zh-CN"/>
      </w:rPr>
    </w:lvl>
    <w:lvl w:ilvl="8" w:tplc="E83E239E">
      <w:numFmt w:val="bullet"/>
      <w:lvlText w:val="•"/>
      <w:lvlJc w:val="left"/>
      <w:pPr>
        <w:ind w:left="8601" w:hanging="318"/>
      </w:pPr>
      <w:rPr>
        <w:rFonts w:hint="default"/>
        <w:lang w:val="zh-CN" w:eastAsia="zh-CN" w:bidi="zh-CN"/>
      </w:rPr>
    </w:lvl>
  </w:abstractNum>
  <w:abstractNum w:abstractNumId="333" w15:restartNumberingAfterBreak="0">
    <w:nsid w:val="2D76481F"/>
    <w:multiLevelType w:val="hybridMultilevel"/>
    <w:tmpl w:val="38AA2602"/>
    <w:lvl w:ilvl="0" w:tplc="9C005974">
      <w:start w:val="6"/>
      <w:numFmt w:val="decimal"/>
      <w:lvlText w:val="%1"/>
      <w:lvlJc w:val="left"/>
      <w:pPr>
        <w:ind w:left="1158" w:hanging="318"/>
        <w:jc w:val="left"/>
      </w:pPr>
      <w:rPr>
        <w:rFonts w:hint="default"/>
        <w:lang w:val="zh-CN" w:eastAsia="zh-CN" w:bidi="zh-CN"/>
      </w:rPr>
    </w:lvl>
    <w:lvl w:ilvl="1" w:tplc="4F221EA0">
      <w:start w:val="5"/>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5838E00E">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362A6F10">
      <w:start w:val="1"/>
      <w:numFmt w:val="decimal"/>
      <w:lvlText w:val="%1.%2.%3.%4"/>
      <w:lvlJc w:val="left"/>
      <w:pPr>
        <w:ind w:left="418" w:hanging="738"/>
        <w:jc w:val="left"/>
      </w:pPr>
      <w:rPr>
        <w:rFonts w:ascii="宋体" w:eastAsia="宋体" w:hAnsi="宋体" w:cs="宋体" w:hint="default"/>
        <w:spacing w:val="-3"/>
        <w:w w:val="100"/>
        <w:sz w:val="19"/>
        <w:szCs w:val="19"/>
        <w:lang w:val="zh-CN" w:eastAsia="zh-CN" w:bidi="zh-CN"/>
      </w:rPr>
    </w:lvl>
    <w:lvl w:ilvl="4" w:tplc="35D45BD4">
      <w:numFmt w:val="bullet"/>
      <w:lvlText w:val="•"/>
      <w:lvlJc w:val="left"/>
      <w:pPr>
        <w:ind w:left="1480" w:hanging="738"/>
      </w:pPr>
      <w:rPr>
        <w:rFonts w:hint="default"/>
        <w:lang w:val="zh-CN" w:eastAsia="zh-CN" w:bidi="zh-CN"/>
      </w:rPr>
    </w:lvl>
    <w:lvl w:ilvl="5" w:tplc="3D229626">
      <w:numFmt w:val="bullet"/>
      <w:lvlText w:val="•"/>
      <w:lvlJc w:val="left"/>
      <w:pPr>
        <w:ind w:left="1580" w:hanging="738"/>
      </w:pPr>
      <w:rPr>
        <w:rFonts w:hint="default"/>
        <w:lang w:val="zh-CN" w:eastAsia="zh-CN" w:bidi="zh-CN"/>
      </w:rPr>
    </w:lvl>
    <w:lvl w:ilvl="6" w:tplc="DCA64F96">
      <w:numFmt w:val="bullet"/>
      <w:lvlText w:val="•"/>
      <w:lvlJc w:val="left"/>
      <w:pPr>
        <w:ind w:left="1680" w:hanging="738"/>
      </w:pPr>
      <w:rPr>
        <w:rFonts w:hint="default"/>
        <w:lang w:val="zh-CN" w:eastAsia="zh-CN" w:bidi="zh-CN"/>
      </w:rPr>
    </w:lvl>
    <w:lvl w:ilvl="7" w:tplc="91887BE4">
      <w:numFmt w:val="bullet"/>
      <w:lvlText w:val="•"/>
      <w:lvlJc w:val="left"/>
      <w:pPr>
        <w:ind w:left="3921" w:hanging="738"/>
      </w:pPr>
      <w:rPr>
        <w:rFonts w:hint="default"/>
        <w:lang w:val="zh-CN" w:eastAsia="zh-CN" w:bidi="zh-CN"/>
      </w:rPr>
    </w:lvl>
    <w:lvl w:ilvl="8" w:tplc="70EEEE88">
      <w:numFmt w:val="bullet"/>
      <w:lvlText w:val="•"/>
      <w:lvlJc w:val="left"/>
      <w:pPr>
        <w:ind w:left="6163" w:hanging="738"/>
      </w:pPr>
      <w:rPr>
        <w:rFonts w:hint="default"/>
        <w:lang w:val="zh-CN" w:eastAsia="zh-CN" w:bidi="zh-CN"/>
      </w:rPr>
    </w:lvl>
  </w:abstractNum>
  <w:abstractNum w:abstractNumId="334" w15:restartNumberingAfterBreak="0">
    <w:nsid w:val="2D9F66C1"/>
    <w:multiLevelType w:val="hybridMultilevel"/>
    <w:tmpl w:val="7076DC06"/>
    <w:lvl w:ilvl="0" w:tplc="4BC05AE4">
      <w:start w:val="9"/>
      <w:numFmt w:val="decimal"/>
      <w:lvlText w:val="%1"/>
      <w:lvlJc w:val="left"/>
      <w:pPr>
        <w:ind w:left="1158" w:hanging="318"/>
        <w:jc w:val="left"/>
      </w:pPr>
      <w:rPr>
        <w:rFonts w:hint="default"/>
        <w:lang w:val="zh-CN" w:eastAsia="zh-CN" w:bidi="zh-CN"/>
      </w:rPr>
    </w:lvl>
    <w:lvl w:ilvl="1" w:tplc="65222280">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E7009ED6">
      <w:start w:val="1"/>
      <w:numFmt w:val="decimal"/>
      <w:lvlText w:val="%1.%2.%3"/>
      <w:lvlJc w:val="left"/>
      <w:pPr>
        <w:ind w:left="1423" w:hanging="584"/>
        <w:jc w:val="left"/>
      </w:pPr>
      <w:rPr>
        <w:rFonts w:ascii="宋体" w:eastAsia="宋体" w:hAnsi="宋体" w:cs="宋体" w:hint="default"/>
        <w:b/>
        <w:bCs/>
        <w:w w:val="99"/>
        <w:sz w:val="21"/>
        <w:szCs w:val="21"/>
        <w:lang w:val="zh-CN" w:eastAsia="zh-CN" w:bidi="zh-CN"/>
      </w:rPr>
    </w:lvl>
    <w:lvl w:ilvl="3" w:tplc="FD704050">
      <w:numFmt w:val="bullet"/>
      <w:lvlText w:val="•"/>
      <w:lvlJc w:val="left"/>
      <w:pPr>
        <w:ind w:left="3470" w:hanging="584"/>
      </w:pPr>
      <w:rPr>
        <w:rFonts w:hint="default"/>
        <w:lang w:val="zh-CN" w:eastAsia="zh-CN" w:bidi="zh-CN"/>
      </w:rPr>
    </w:lvl>
    <w:lvl w:ilvl="4" w:tplc="CDC6A3B0">
      <w:numFmt w:val="bullet"/>
      <w:lvlText w:val="•"/>
      <w:lvlJc w:val="left"/>
      <w:pPr>
        <w:ind w:left="4495" w:hanging="584"/>
      </w:pPr>
      <w:rPr>
        <w:rFonts w:hint="default"/>
        <w:lang w:val="zh-CN" w:eastAsia="zh-CN" w:bidi="zh-CN"/>
      </w:rPr>
    </w:lvl>
    <w:lvl w:ilvl="5" w:tplc="37448F32">
      <w:numFmt w:val="bullet"/>
      <w:lvlText w:val="•"/>
      <w:lvlJc w:val="left"/>
      <w:pPr>
        <w:ind w:left="5520" w:hanging="584"/>
      </w:pPr>
      <w:rPr>
        <w:rFonts w:hint="default"/>
        <w:lang w:val="zh-CN" w:eastAsia="zh-CN" w:bidi="zh-CN"/>
      </w:rPr>
    </w:lvl>
    <w:lvl w:ilvl="6" w:tplc="1910F594">
      <w:numFmt w:val="bullet"/>
      <w:lvlText w:val="•"/>
      <w:lvlJc w:val="left"/>
      <w:pPr>
        <w:ind w:left="6545" w:hanging="584"/>
      </w:pPr>
      <w:rPr>
        <w:rFonts w:hint="default"/>
        <w:lang w:val="zh-CN" w:eastAsia="zh-CN" w:bidi="zh-CN"/>
      </w:rPr>
    </w:lvl>
    <w:lvl w:ilvl="7" w:tplc="C27CAD66">
      <w:numFmt w:val="bullet"/>
      <w:lvlText w:val="•"/>
      <w:lvlJc w:val="left"/>
      <w:pPr>
        <w:ind w:left="7570" w:hanging="584"/>
      </w:pPr>
      <w:rPr>
        <w:rFonts w:hint="default"/>
        <w:lang w:val="zh-CN" w:eastAsia="zh-CN" w:bidi="zh-CN"/>
      </w:rPr>
    </w:lvl>
    <w:lvl w:ilvl="8" w:tplc="C4C8E810">
      <w:numFmt w:val="bullet"/>
      <w:lvlText w:val="•"/>
      <w:lvlJc w:val="left"/>
      <w:pPr>
        <w:ind w:left="8596" w:hanging="584"/>
      </w:pPr>
      <w:rPr>
        <w:rFonts w:hint="default"/>
        <w:lang w:val="zh-CN" w:eastAsia="zh-CN" w:bidi="zh-CN"/>
      </w:rPr>
    </w:lvl>
  </w:abstractNum>
  <w:abstractNum w:abstractNumId="335" w15:restartNumberingAfterBreak="0">
    <w:nsid w:val="2DD74D10"/>
    <w:multiLevelType w:val="hybridMultilevel"/>
    <w:tmpl w:val="28D626CE"/>
    <w:lvl w:ilvl="0" w:tplc="06A444D6">
      <w:start w:val="4"/>
      <w:numFmt w:val="decimal"/>
      <w:lvlText w:val="%1"/>
      <w:lvlJc w:val="left"/>
      <w:pPr>
        <w:ind w:left="1159" w:hanging="320"/>
        <w:jc w:val="left"/>
      </w:pPr>
      <w:rPr>
        <w:rFonts w:hint="default"/>
        <w:lang w:val="zh-CN" w:eastAsia="zh-CN" w:bidi="zh-CN"/>
      </w:rPr>
    </w:lvl>
    <w:lvl w:ilvl="1" w:tplc="44FE49F8">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3536C810">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9E5810F4">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DD1E8864">
      <w:numFmt w:val="bullet"/>
      <w:lvlText w:val="•"/>
      <w:lvlJc w:val="left"/>
      <w:pPr>
        <w:ind w:left="2875" w:hanging="738"/>
      </w:pPr>
      <w:rPr>
        <w:rFonts w:hint="default"/>
        <w:lang w:val="zh-CN" w:eastAsia="zh-CN" w:bidi="zh-CN"/>
      </w:rPr>
    </w:lvl>
    <w:lvl w:ilvl="5" w:tplc="D2B894AC">
      <w:numFmt w:val="bullet"/>
      <w:lvlText w:val="•"/>
      <w:lvlJc w:val="left"/>
      <w:pPr>
        <w:ind w:left="4170" w:hanging="738"/>
      </w:pPr>
      <w:rPr>
        <w:rFonts w:hint="default"/>
        <w:lang w:val="zh-CN" w:eastAsia="zh-CN" w:bidi="zh-CN"/>
      </w:rPr>
    </w:lvl>
    <w:lvl w:ilvl="6" w:tplc="2BDCDA40">
      <w:numFmt w:val="bullet"/>
      <w:lvlText w:val="•"/>
      <w:lvlJc w:val="left"/>
      <w:pPr>
        <w:ind w:left="5465" w:hanging="738"/>
      </w:pPr>
      <w:rPr>
        <w:rFonts w:hint="default"/>
        <w:lang w:val="zh-CN" w:eastAsia="zh-CN" w:bidi="zh-CN"/>
      </w:rPr>
    </w:lvl>
    <w:lvl w:ilvl="7" w:tplc="4634AB20">
      <w:numFmt w:val="bullet"/>
      <w:lvlText w:val="•"/>
      <w:lvlJc w:val="left"/>
      <w:pPr>
        <w:ind w:left="6760" w:hanging="738"/>
      </w:pPr>
      <w:rPr>
        <w:rFonts w:hint="default"/>
        <w:lang w:val="zh-CN" w:eastAsia="zh-CN" w:bidi="zh-CN"/>
      </w:rPr>
    </w:lvl>
    <w:lvl w:ilvl="8" w:tplc="7D769DCE">
      <w:numFmt w:val="bullet"/>
      <w:lvlText w:val="•"/>
      <w:lvlJc w:val="left"/>
      <w:pPr>
        <w:ind w:left="8056" w:hanging="738"/>
      </w:pPr>
      <w:rPr>
        <w:rFonts w:hint="default"/>
        <w:lang w:val="zh-CN" w:eastAsia="zh-CN" w:bidi="zh-CN"/>
      </w:rPr>
    </w:lvl>
  </w:abstractNum>
  <w:abstractNum w:abstractNumId="336" w15:restartNumberingAfterBreak="0">
    <w:nsid w:val="2DFA0914"/>
    <w:multiLevelType w:val="hybridMultilevel"/>
    <w:tmpl w:val="F03CC3CE"/>
    <w:lvl w:ilvl="0" w:tplc="412CB7FE">
      <w:start w:val="3"/>
      <w:numFmt w:val="decimal"/>
      <w:lvlText w:val="%1"/>
      <w:lvlJc w:val="left"/>
      <w:pPr>
        <w:ind w:left="838" w:hanging="372"/>
        <w:jc w:val="left"/>
      </w:pPr>
      <w:rPr>
        <w:rFonts w:hint="default"/>
        <w:lang w:val="zh-CN" w:eastAsia="zh-CN" w:bidi="zh-CN"/>
      </w:rPr>
    </w:lvl>
    <w:lvl w:ilvl="1" w:tplc="FCBC712A">
      <w:start w:val="1"/>
      <w:numFmt w:val="decimal"/>
      <w:lvlText w:val="%1.%2"/>
      <w:lvlJc w:val="left"/>
      <w:pPr>
        <w:ind w:left="838" w:hanging="372"/>
        <w:jc w:val="left"/>
      </w:pPr>
      <w:rPr>
        <w:rFonts w:ascii="宋体" w:eastAsia="宋体" w:hAnsi="宋体" w:cs="宋体" w:hint="default"/>
        <w:b/>
        <w:bCs/>
        <w:w w:val="99"/>
        <w:sz w:val="21"/>
        <w:szCs w:val="21"/>
        <w:lang w:val="zh-CN" w:eastAsia="zh-CN" w:bidi="zh-CN"/>
      </w:rPr>
    </w:lvl>
    <w:lvl w:ilvl="2" w:tplc="CC66053A">
      <w:numFmt w:val="bullet"/>
      <w:lvlText w:val="•"/>
      <w:lvlJc w:val="left"/>
      <w:pPr>
        <w:ind w:left="2801" w:hanging="372"/>
      </w:pPr>
      <w:rPr>
        <w:rFonts w:hint="default"/>
        <w:lang w:val="zh-CN" w:eastAsia="zh-CN" w:bidi="zh-CN"/>
      </w:rPr>
    </w:lvl>
    <w:lvl w:ilvl="3" w:tplc="BFAE0AB6">
      <w:numFmt w:val="bullet"/>
      <w:lvlText w:val="•"/>
      <w:lvlJc w:val="left"/>
      <w:pPr>
        <w:ind w:left="3781" w:hanging="372"/>
      </w:pPr>
      <w:rPr>
        <w:rFonts w:hint="default"/>
        <w:lang w:val="zh-CN" w:eastAsia="zh-CN" w:bidi="zh-CN"/>
      </w:rPr>
    </w:lvl>
    <w:lvl w:ilvl="4" w:tplc="49024DEC">
      <w:numFmt w:val="bullet"/>
      <w:lvlText w:val="•"/>
      <w:lvlJc w:val="left"/>
      <w:pPr>
        <w:ind w:left="4762" w:hanging="372"/>
      </w:pPr>
      <w:rPr>
        <w:rFonts w:hint="default"/>
        <w:lang w:val="zh-CN" w:eastAsia="zh-CN" w:bidi="zh-CN"/>
      </w:rPr>
    </w:lvl>
    <w:lvl w:ilvl="5" w:tplc="D0B2F5A8">
      <w:numFmt w:val="bullet"/>
      <w:lvlText w:val="•"/>
      <w:lvlJc w:val="left"/>
      <w:pPr>
        <w:ind w:left="5743" w:hanging="372"/>
      </w:pPr>
      <w:rPr>
        <w:rFonts w:hint="default"/>
        <w:lang w:val="zh-CN" w:eastAsia="zh-CN" w:bidi="zh-CN"/>
      </w:rPr>
    </w:lvl>
    <w:lvl w:ilvl="6" w:tplc="DAE2C22A">
      <w:numFmt w:val="bullet"/>
      <w:lvlText w:val="•"/>
      <w:lvlJc w:val="left"/>
      <w:pPr>
        <w:ind w:left="6723" w:hanging="372"/>
      </w:pPr>
      <w:rPr>
        <w:rFonts w:hint="default"/>
        <w:lang w:val="zh-CN" w:eastAsia="zh-CN" w:bidi="zh-CN"/>
      </w:rPr>
    </w:lvl>
    <w:lvl w:ilvl="7" w:tplc="60B43336">
      <w:numFmt w:val="bullet"/>
      <w:lvlText w:val="•"/>
      <w:lvlJc w:val="left"/>
      <w:pPr>
        <w:ind w:left="7704" w:hanging="372"/>
      </w:pPr>
      <w:rPr>
        <w:rFonts w:hint="default"/>
        <w:lang w:val="zh-CN" w:eastAsia="zh-CN" w:bidi="zh-CN"/>
      </w:rPr>
    </w:lvl>
    <w:lvl w:ilvl="8" w:tplc="30A0E6C8">
      <w:numFmt w:val="bullet"/>
      <w:lvlText w:val="•"/>
      <w:lvlJc w:val="left"/>
      <w:pPr>
        <w:ind w:left="8685" w:hanging="372"/>
      </w:pPr>
      <w:rPr>
        <w:rFonts w:hint="default"/>
        <w:lang w:val="zh-CN" w:eastAsia="zh-CN" w:bidi="zh-CN"/>
      </w:rPr>
    </w:lvl>
  </w:abstractNum>
  <w:abstractNum w:abstractNumId="337" w15:restartNumberingAfterBreak="0">
    <w:nsid w:val="2DFB443A"/>
    <w:multiLevelType w:val="hybridMultilevel"/>
    <w:tmpl w:val="72AC9820"/>
    <w:lvl w:ilvl="0" w:tplc="97507F08">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B26ED284">
      <w:numFmt w:val="bullet"/>
      <w:lvlText w:val="•"/>
      <w:lvlJc w:val="left"/>
      <w:pPr>
        <w:ind w:left="1442" w:hanging="529"/>
      </w:pPr>
      <w:rPr>
        <w:rFonts w:hint="default"/>
        <w:lang w:val="zh-CN" w:eastAsia="zh-CN" w:bidi="zh-CN"/>
      </w:rPr>
    </w:lvl>
    <w:lvl w:ilvl="2" w:tplc="B1C6B0F4">
      <w:numFmt w:val="bullet"/>
      <w:lvlText w:val="•"/>
      <w:lvlJc w:val="left"/>
      <w:pPr>
        <w:ind w:left="2465" w:hanging="529"/>
      </w:pPr>
      <w:rPr>
        <w:rFonts w:hint="default"/>
        <w:lang w:val="zh-CN" w:eastAsia="zh-CN" w:bidi="zh-CN"/>
      </w:rPr>
    </w:lvl>
    <w:lvl w:ilvl="3" w:tplc="0EB44BC8">
      <w:numFmt w:val="bullet"/>
      <w:lvlText w:val="•"/>
      <w:lvlJc w:val="left"/>
      <w:pPr>
        <w:ind w:left="3487" w:hanging="529"/>
      </w:pPr>
      <w:rPr>
        <w:rFonts w:hint="default"/>
        <w:lang w:val="zh-CN" w:eastAsia="zh-CN" w:bidi="zh-CN"/>
      </w:rPr>
    </w:lvl>
    <w:lvl w:ilvl="4" w:tplc="B01E0096">
      <w:numFmt w:val="bullet"/>
      <w:lvlText w:val="•"/>
      <w:lvlJc w:val="left"/>
      <w:pPr>
        <w:ind w:left="4510" w:hanging="529"/>
      </w:pPr>
      <w:rPr>
        <w:rFonts w:hint="default"/>
        <w:lang w:val="zh-CN" w:eastAsia="zh-CN" w:bidi="zh-CN"/>
      </w:rPr>
    </w:lvl>
    <w:lvl w:ilvl="5" w:tplc="B638FCF6">
      <w:numFmt w:val="bullet"/>
      <w:lvlText w:val="•"/>
      <w:lvlJc w:val="left"/>
      <w:pPr>
        <w:ind w:left="5533" w:hanging="529"/>
      </w:pPr>
      <w:rPr>
        <w:rFonts w:hint="default"/>
        <w:lang w:val="zh-CN" w:eastAsia="zh-CN" w:bidi="zh-CN"/>
      </w:rPr>
    </w:lvl>
    <w:lvl w:ilvl="6" w:tplc="FDD0C2EE">
      <w:numFmt w:val="bullet"/>
      <w:lvlText w:val="•"/>
      <w:lvlJc w:val="left"/>
      <w:pPr>
        <w:ind w:left="6555" w:hanging="529"/>
      </w:pPr>
      <w:rPr>
        <w:rFonts w:hint="default"/>
        <w:lang w:val="zh-CN" w:eastAsia="zh-CN" w:bidi="zh-CN"/>
      </w:rPr>
    </w:lvl>
    <w:lvl w:ilvl="7" w:tplc="C6FEB6F0">
      <w:numFmt w:val="bullet"/>
      <w:lvlText w:val="•"/>
      <w:lvlJc w:val="left"/>
      <w:pPr>
        <w:ind w:left="7578" w:hanging="529"/>
      </w:pPr>
      <w:rPr>
        <w:rFonts w:hint="default"/>
        <w:lang w:val="zh-CN" w:eastAsia="zh-CN" w:bidi="zh-CN"/>
      </w:rPr>
    </w:lvl>
    <w:lvl w:ilvl="8" w:tplc="C50293A0">
      <w:numFmt w:val="bullet"/>
      <w:lvlText w:val="•"/>
      <w:lvlJc w:val="left"/>
      <w:pPr>
        <w:ind w:left="8601" w:hanging="529"/>
      </w:pPr>
      <w:rPr>
        <w:rFonts w:hint="default"/>
        <w:lang w:val="zh-CN" w:eastAsia="zh-CN" w:bidi="zh-CN"/>
      </w:rPr>
    </w:lvl>
  </w:abstractNum>
  <w:abstractNum w:abstractNumId="338" w15:restartNumberingAfterBreak="0">
    <w:nsid w:val="2E3B3AA4"/>
    <w:multiLevelType w:val="hybridMultilevel"/>
    <w:tmpl w:val="EA5A1A40"/>
    <w:lvl w:ilvl="0" w:tplc="5B7AB058">
      <w:start w:val="1"/>
      <w:numFmt w:val="decimal"/>
      <w:lvlText w:val="（%1）"/>
      <w:lvlJc w:val="left"/>
      <w:pPr>
        <w:ind w:left="418" w:hanging="529"/>
        <w:jc w:val="left"/>
      </w:pPr>
      <w:rPr>
        <w:rFonts w:ascii="宋体" w:eastAsia="宋体" w:hAnsi="宋体" w:cs="宋体" w:hint="default"/>
        <w:spacing w:val="-36"/>
        <w:w w:val="100"/>
        <w:sz w:val="19"/>
        <w:szCs w:val="19"/>
        <w:lang w:val="zh-CN" w:eastAsia="zh-CN" w:bidi="zh-CN"/>
      </w:rPr>
    </w:lvl>
    <w:lvl w:ilvl="1" w:tplc="A254F8F2">
      <w:numFmt w:val="bullet"/>
      <w:lvlText w:val="•"/>
      <w:lvlJc w:val="left"/>
      <w:pPr>
        <w:ind w:left="1442" w:hanging="529"/>
      </w:pPr>
      <w:rPr>
        <w:rFonts w:hint="default"/>
        <w:lang w:val="zh-CN" w:eastAsia="zh-CN" w:bidi="zh-CN"/>
      </w:rPr>
    </w:lvl>
    <w:lvl w:ilvl="2" w:tplc="1DACD6B6">
      <w:numFmt w:val="bullet"/>
      <w:lvlText w:val="•"/>
      <w:lvlJc w:val="left"/>
      <w:pPr>
        <w:ind w:left="2465" w:hanging="529"/>
      </w:pPr>
      <w:rPr>
        <w:rFonts w:hint="default"/>
        <w:lang w:val="zh-CN" w:eastAsia="zh-CN" w:bidi="zh-CN"/>
      </w:rPr>
    </w:lvl>
    <w:lvl w:ilvl="3" w:tplc="92203D96">
      <w:numFmt w:val="bullet"/>
      <w:lvlText w:val="•"/>
      <w:lvlJc w:val="left"/>
      <w:pPr>
        <w:ind w:left="3487" w:hanging="529"/>
      </w:pPr>
      <w:rPr>
        <w:rFonts w:hint="default"/>
        <w:lang w:val="zh-CN" w:eastAsia="zh-CN" w:bidi="zh-CN"/>
      </w:rPr>
    </w:lvl>
    <w:lvl w:ilvl="4" w:tplc="23C6A3EC">
      <w:numFmt w:val="bullet"/>
      <w:lvlText w:val="•"/>
      <w:lvlJc w:val="left"/>
      <w:pPr>
        <w:ind w:left="4510" w:hanging="529"/>
      </w:pPr>
      <w:rPr>
        <w:rFonts w:hint="default"/>
        <w:lang w:val="zh-CN" w:eastAsia="zh-CN" w:bidi="zh-CN"/>
      </w:rPr>
    </w:lvl>
    <w:lvl w:ilvl="5" w:tplc="246237EA">
      <w:numFmt w:val="bullet"/>
      <w:lvlText w:val="•"/>
      <w:lvlJc w:val="left"/>
      <w:pPr>
        <w:ind w:left="5533" w:hanging="529"/>
      </w:pPr>
      <w:rPr>
        <w:rFonts w:hint="default"/>
        <w:lang w:val="zh-CN" w:eastAsia="zh-CN" w:bidi="zh-CN"/>
      </w:rPr>
    </w:lvl>
    <w:lvl w:ilvl="6" w:tplc="7A1C1A5A">
      <w:numFmt w:val="bullet"/>
      <w:lvlText w:val="•"/>
      <w:lvlJc w:val="left"/>
      <w:pPr>
        <w:ind w:left="6555" w:hanging="529"/>
      </w:pPr>
      <w:rPr>
        <w:rFonts w:hint="default"/>
        <w:lang w:val="zh-CN" w:eastAsia="zh-CN" w:bidi="zh-CN"/>
      </w:rPr>
    </w:lvl>
    <w:lvl w:ilvl="7" w:tplc="2FB2353A">
      <w:numFmt w:val="bullet"/>
      <w:lvlText w:val="•"/>
      <w:lvlJc w:val="left"/>
      <w:pPr>
        <w:ind w:left="7578" w:hanging="529"/>
      </w:pPr>
      <w:rPr>
        <w:rFonts w:hint="default"/>
        <w:lang w:val="zh-CN" w:eastAsia="zh-CN" w:bidi="zh-CN"/>
      </w:rPr>
    </w:lvl>
    <w:lvl w:ilvl="8" w:tplc="654C6F5E">
      <w:numFmt w:val="bullet"/>
      <w:lvlText w:val="•"/>
      <w:lvlJc w:val="left"/>
      <w:pPr>
        <w:ind w:left="8601" w:hanging="529"/>
      </w:pPr>
      <w:rPr>
        <w:rFonts w:hint="default"/>
        <w:lang w:val="zh-CN" w:eastAsia="zh-CN" w:bidi="zh-CN"/>
      </w:rPr>
    </w:lvl>
  </w:abstractNum>
  <w:abstractNum w:abstractNumId="339" w15:restartNumberingAfterBreak="0">
    <w:nsid w:val="2E3B488B"/>
    <w:multiLevelType w:val="hybridMultilevel"/>
    <w:tmpl w:val="98D47588"/>
    <w:lvl w:ilvl="0" w:tplc="3EBAD0BE">
      <w:start w:val="5"/>
      <w:numFmt w:val="decimal"/>
      <w:lvlText w:val="%1"/>
      <w:lvlJc w:val="left"/>
      <w:pPr>
        <w:ind w:left="1582" w:hanging="743"/>
        <w:jc w:val="left"/>
      </w:pPr>
      <w:rPr>
        <w:rFonts w:hint="default"/>
        <w:lang w:val="zh-CN" w:eastAsia="zh-CN" w:bidi="zh-CN"/>
      </w:rPr>
    </w:lvl>
    <w:lvl w:ilvl="1" w:tplc="B9DA8C80">
      <w:start w:val="6"/>
      <w:numFmt w:val="decimal"/>
      <w:lvlText w:val="%1.%2"/>
      <w:lvlJc w:val="left"/>
      <w:pPr>
        <w:ind w:left="1582" w:hanging="743"/>
        <w:jc w:val="left"/>
      </w:pPr>
      <w:rPr>
        <w:rFonts w:hint="default"/>
        <w:lang w:val="zh-CN" w:eastAsia="zh-CN" w:bidi="zh-CN"/>
      </w:rPr>
    </w:lvl>
    <w:lvl w:ilvl="2" w:tplc="7D769F40">
      <w:start w:val="2"/>
      <w:numFmt w:val="decimal"/>
      <w:lvlText w:val="%1.%2.%3"/>
      <w:lvlJc w:val="left"/>
      <w:pPr>
        <w:ind w:left="1582" w:hanging="743"/>
        <w:jc w:val="left"/>
      </w:pPr>
      <w:rPr>
        <w:rFonts w:hint="default"/>
        <w:lang w:val="zh-CN" w:eastAsia="zh-CN" w:bidi="zh-CN"/>
      </w:rPr>
    </w:lvl>
    <w:lvl w:ilvl="3" w:tplc="05CA79CC">
      <w:start w:val="1"/>
      <w:numFmt w:val="decimal"/>
      <w:lvlText w:val="%1.%2.%3.%4"/>
      <w:lvlJc w:val="left"/>
      <w:pPr>
        <w:ind w:left="1582" w:hanging="743"/>
        <w:jc w:val="left"/>
      </w:pPr>
      <w:rPr>
        <w:rFonts w:ascii="宋体" w:eastAsia="宋体" w:hAnsi="宋体" w:cs="宋体" w:hint="default"/>
        <w:b/>
        <w:bCs/>
        <w:w w:val="99"/>
        <w:sz w:val="19"/>
        <w:szCs w:val="19"/>
        <w:lang w:val="zh-CN" w:eastAsia="zh-CN" w:bidi="zh-CN"/>
      </w:rPr>
    </w:lvl>
    <w:lvl w:ilvl="4" w:tplc="2B0E3A72">
      <w:numFmt w:val="bullet"/>
      <w:lvlText w:val="•"/>
      <w:lvlJc w:val="left"/>
      <w:pPr>
        <w:ind w:left="5206" w:hanging="743"/>
      </w:pPr>
      <w:rPr>
        <w:rFonts w:hint="default"/>
        <w:lang w:val="zh-CN" w:eastAsia="zh-CN" w:bidi="zh-CN"/>
      </w:rPr>
    </w:lvl>
    <w:lvl w:ilvl="5" w:tplc="702A6B20">
      <w:numFmt w:val="bullet"/>
      <w:lvlText w:val="•"/>
      <w:lvlJc w:val="left"/>
      <w:pPr>
        <w:ind w:left="6113" w:hanging="743"/>
      </w:pPr>
      <w:rPr>
        <w:rFonts w:hint="default"/>
        <w:lang w:val="zh-CN" w:eastAsia="zh-CN" w:bidi="zh-CN"/>
      </w:rPr>
    </w:lvl>
    <w:lvl w:ilvl="6" w:tplc="2C7CF8F2">
      <w:numFmt w:val="bullet"/>
      <w:lvlText w:val="•"/>
      <w:lvlJc w:val="left"/>
      <w:pPr>
        <w:ind w:left="7019" w:hanging="743"/>
      </w:pPr>
      <w:rPr>
        <w:rFonts w:hint="default"/>
        <w:lang w:val="zh-CN" w:eastAsia="zh-CN" w:bidi="zh-CN"/>
      </w:rPr>
    </w:lvl>
    <w:lvl w:ilvl="7" w:tplc="23165458">
      <w:numFmt w:val="bullet"/>
      <w:lvlText w:val="•"/>
      <w:lvlJc w:val="left"/>
      <w:pPr>
        <w:ind w:left="7926" w:hanging="743"/>
      </w:pPr>
      <w:rPr>
        <w:rFonts w:hint="default"/>
        <w:lang w:val="zh-CN" w:eastAsia="zh-CN" w:bidi="zh-CN"/>
      </w:rPr>
    </w:lvl>
    <w:lvl w:ilvl="8" w:tplc="3FDE7D4A">
      <w:numFmt w:val="bullet"/>
      <w:lvlText w:val="•"/>
      <w:lvlJc w:val="left"/>
      <w:pPr>
        <w:ind w:left="8833" w:hanging="743"/>
      </w:pPr>
      <w:rPr>
        <w:rFonts w:hint="default"/>
        <w:lang w:val="zh-CN" w:eastAsia="zh-CN" w:bidi="zh-CN"/>
      </w:rPr>
    </w:lvl>
  </w:abstractNum>
  <w:abstractNum w:abstractNumId="340" w15:restartNumberingAfterBreak="0">
    <w:nsid w:val="2E5A5EBC"/>
    <w:multiLevelType w:val="hybridMultilevel"/>
    <w:tmpl w:val="5712D6F8"/>
    <w:lvl w:ilvl="0" w:tplc="9C3AC7D8">
      <w:start w:val="6"/>
      <w:numFmt w:val="decimal"/>
      <w:lvlText w:val="%1"/>
      <w:lvlJc w:val="left"/>
      <w:pPr>
        <w:ind w:left="418" w:hanging="531"/>
        <w:jc w:val="left"/>
      </w:pPr>
      <w:rPr>
        <w:rFonts w:hint="default"/>
        <w:lang w:val="zh-CN" w:eastAsia="zh-CN" w:bidi="zh-CN"/>
      </w:rPr>
    </w:lvl>
    <w:lvl w:ilvl="1" w:tplc="3976E154">
      <w:start w:val="5"/>
      <w:numFmt w:val="decimal"/>
      <w:lvlText w:val="%1.%2"/>
      <w:lvlJc w:val="left"/>
      <w:pPr>
        <w:ind w:left="418" w:hanging="531"/>
        <w:jc w:val="left"/>
      </w:pPr>
      <w:rPr>
        <w:rFonts w:hint="default"/>
        <w:lang w:val="zh-CN" w:eastAsia="zh-CN" w:bidi="zh-CN"/>
      </w:rPr>
    </w:lvl>
    <w:lvl w:ilvl="2" w:tplc="EFAC5BA6">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7E68026C">
      <w:numFmt w:val="bullet"/>
      <w:lvlText w:val="•"/>
      <w:lvlJc w:val="left"/>
      <w:pPr>
        <w:ind w:left="3487" w:hanging="531"/>
      </w:pPr>
      <w:rPr>
        <w:rFonts w:hint="default"/>
        <w:lang w:val="zh-CN" w:eastAsia="zh-CN" w:bidi="zh-CN"/>
      </w:rPr>
    </w:lvl>
    <w:lvl w:ilvl="4" w:tplc="48F65578">
      <w:numFmt w:val="bullet"/>
      <w:lvlText w:val="•"/>
      <w:lvlJc w:val="left"/>
      <w:pPr>
        <w:ind w:left="4510" w:hanging="531"/>
      </w:pPr>
      <w:rPr>
        <w:rFonts w:hint="default"/>
        <w:lang w:val="zh-CN" w:eastAsia="zh-CN" w:bidi="zh-CN"/>
      </w:rPr>
    </w:lvl>
    <w:lvl w:ilvl="5" w:tplc="4678D9AA">
      <w:numFmt w:val="bullet"/>
      <w:lvlText w:val="•"/>
      <w:lvlJc w:val="left"/>
      <w:pPr>
        <w:ind w:left="5533" w:hanging="531"/>
      </w:pPr>
      <w:rPr>
        <w:rFonts w:hint="default"/>
        <w:lang w:val="zh-CN" w:eastAsia="zh-CN" w:bidi="zh-CN"/>
      </w:rPr>
    </w:lvl>
    <w:lvl w:ilvl="6" w:tplc="CDC22368">
      <w:numFmt w:val="bullet"/>
      <w:lvlText w:val="•"/>
      <w:lvlJc w:val="left"/>
      <w:pPr>
        <w:ind w:left="6555" w:hanging="531"/>
      </w:pPr>
      <w:rPr>
        <w:rFonts w:hint="default"/>
        <w:lang w:val="zh-CN" w:eastAsia="zh-CN" w:bidi="zh-CN"/>
      </w:rPr>
    </w:lvl>
    <w:lvl w:ilvl="7" w:tplc="9334BB04">
      <w:numFmt w:val="bullet"/>
      <w:lvlText w:val="•"/>
      <w:lvlJc w:val="left"/>
      <w:pPr>
        <w:ind w:left="7578" w:hanging="531"/>
      </w:pPr>
      <w:rPr>
        <w:rFonts w:hint="default"/>
        <w:lang w:val="zh-CN" w:eastAsia="zh-CN" w:bidi="zh-CN"/>
      </w:rPr>
    </w:lvl>
    <w:lvl w:ilvl="8" w:tplc="32DA25B8">
      <w:numFmt w:val="bullet"/>
      <w:lvlText w:val="•"/>
      <w:lvlJc w:val="left"/>
      <w:pPr>
        <w:ind w:left="8601" w:hanging="531"/>
      </w:pPr>
      <w:rPr>
        <w:rFonts w:hint="default"/>
        <w:lang w:val="zh-CN" w:eastAsia="zh-CN" w:bidi="zh-CN"/>
      </w:rPr>
    </w:lvl>
  </w:abstractNum>
  <w:abstractNum w:abstractNumId="341" w15:restartNumberingAfterBreak="0">
    <w:nsid w:val="2E7E49EF"/>
    <w:multiLevelType w:val="hybridMultilevel"/>
    <w:tmpl w:val="38E64BC8"/>
    <w:lvl w:ilvl="0" w:tplc="8EF02982">
      <w:start w:val="5"/>
      <w:numFmt w:val="decimal"/>
      <w:lvlText w:val="%1"/>
      <w:lvlJc w:val="left"/>
      <w:pPr>
        <w:ind w:left="418" w:hanging="531"/>
        <w:jc w:val="left"/>
      </w:pPr>
      <w:rPr>
        <w:rFonts w:hint="default"/>
        <w:lang w:val="zh-CN" w:eastAsia="zh-CN" w:bidi="zh-CN"/>
      </w:rPr>
    </w:lvl>
    <w:lvl w:ilvl="1" w:tplc="C722006C">
      <w:start w:val="4"/>
      <w:numFmt w:val="decimal"/>
      <w:lvlText w:val="%1.%2"/>
      <w:lvlJc w:val="left"/>
      <w:pPr>
        <w:ind w:left="418" w:hanging="531"/>
        <w:jc w:val="left"/>
      </w:pPr>
      <w:rPr>
        <w:rFonts w:hint="default"/>
        <w:lang w:val="zh-CN" w:eastAsia="zh-CN" w:bidi="zh-CN"/>
      </w:rPr>
    </w:lvl>
    <w:lvl w:ilvl="2" w:tplc="8264ACF0">
      <w:start w:val="1"/>
      <w:numFmt w:val="decimal"/>
      <w:lvlText w:val="%1.%2.%3"/>
      <w:lvlJc w:val="left"/>
      <w:pPr>
        <w:ind w:left="418" w:hanging="531"/>
        <w:jc w:val="left"/>
      </w:pPr>
      <w:rPr>
        <w:rFonts w:hint="default"/>
        <w:b/>
        <w:bCs/>
        <w:w w:val="99"/>
        <w:lang w:val="zh-CN" w:eastAsia="zh-CN" w:bidi="zh-CN"/>
      </w:rPr>
    </w:lvl>
    <w:lvl w:ilvl="3" w:tplc="0DCC8A02">
      <w:numFmt w:val="bullet"/>
      <w:lvlText w:val="•"/>
      <w:lvlJc w:val="left"/>
      <w:pPr>
        <w:ind w:left="3487" w:hanging="531"/>
      </w:pPr>
      <w:rPr>
        <w:rFonts w:hint="default"/>
        <w:lang w:val="zh-CN" w:eastAsia="zh-CN" w:bidi="zh-CN"/>
      </w:rPr>
    </w:lvl>
    <w:lvl w:ilvl="4" w:tplc="0D2CC40E">
      <w:numFmt w:val="bullet"/>
      <w:lvlText w:val="•"/>
      <w:lvlJc w:val="left"/>
      <w:pPr>
        <w:ind w:left="4510" w:hanging="531"/>
      </w:pPr>
      <w:rPr>
        <w:rFonts w:hint="default"/>
        <w:lang w:val="zh-CN" w:eastAsia="zh-CN" w:bidi="zh-CN"/>
      </w:rPr>
    </w:lvl>
    <w:lvl w:ilvl="5" w:tplc="F42CCA96">
      <w:numFmt w:val="bullet"/>
      <w:lvlText w:val="•"/>
      <w:lvlJc w:val="left"/>
      <w:pPr>
        <w:ind w:left="5533" w:hanging="531"/>
      </w:pPr>
      <w:rPr>
        <w:rFonts w:hint="default"/>
        <w:lang w:val="zh-CN" w:eastAsia="zh-CN" w:bidi="zh-CN"/>
      </w:rPr>
    </w:lvl>
    <w:lvl w:ilvl="6" w:tplc="9160A0F8">
      <w:numFmt w:val="bullet"/>
      <w:lvlText w:val="•"/>
      <w:lvlJc w:val="left"/>
      <w:pPr>
        <w:ind w:left="6555" w:hanging="531"/>
      </w:pPr>
      <w:rPr>
        <w:rFonts w:hint="default"/>
        <w:lang w:val="zh-CN" w:eastAsia="zh-CN" w:bidi="zh-CN"/>
      </w:rPr>
    </w:lvl>
    <w:lvl w:ilvl="7" w:tplc="D5A4A91E">
      <w:numFmt w:val="bullet"/>
      <w:lvlText w:val="•"/>
      <w:lvlJc w:val="left"/>
      <w:pPr>
        <w:ind w:left="7578" w:hanging="531"/>
      </w:pPr>
      <w:rPr>
        <w:rFonts w:hint="default"/>
        <w:lang w:val="zh-CN" w:eastAsia="zh-CN" w:bidi="zh-CN"/>
      </w:rPr>
    </w:lvl>
    <w:lvl w:ilvl="8" w:tplc="7E52A3B2">
      <w:numFmt w:val="bullet"/>
      <w:lvlText w:val="•"/>
      <w:lvlJc w:val="left"/>
      <w:pPr>
        <w:ind w:left="8601" w:hanging="531"/>
      </w:pPr>
      <w:rPr>
        <w:rFonts w:hint="default"/>
        <w:lang w:val="zh-CN" w:eastAsia="zh-CN" w:bidi="zh-CN"/>
      </w:rPr>
    </w:lvl>
  </w:abstractNum>
  <w:abstractNum w:abstractNumId="342" w15:restartNumberingAfterBreak="0">
    <w:nsid w:val="2EA10ACF"/>
    <w:multiLevelType w:val="hybridMultilevel"/>
    <w:tmpl w:val="9D9A8978"/>
    <w:lvl w:ilvl="0" w:tplc="449C6D6E">
      <w:start w:val="6"/>
      <w:numFmt w:val="decimal"/>
      <w:lvlText w:val="%1"/>
      <w:lvlJc w:val="left"/>
      <w:pPr>
        <w:ind w:left="1477" w:hanging="637"/>
        <w:jc w:val="left"/>
      </w:pPr>
      <w:rPr>
        <w:rFonts w:hint="default"/>
        <w:lang w:val="zh-CN" w:eastAsia="zh-CN" w:bidi="zh-CN"/>
      </w:rPr>
    </w:lvl>
    <w:lvl w:ilvl="1" w:tplc="70085D5C">
      <w:start w:val="15"/>
      <w:numFmt w:val="decimal"/>
      <w:lvlText w:val="%1.%2"/>
      <w:lvlJc w:val="left"/>
      <w:pPr>
        <w:ind w:left="1477" w:hanging="637"/>
        <w:jc w:val="left"/>
      </w:pPr>
      <w:rPr>
        <w:rFonts w:hint="default"/>
        <w:lang w:val="zh-CN" w:eastAsia="zh-CN" w:bidi="zh-CN"/>
      </w:rPr>
    </w:lvl>
    <w:lvl w:ilvl="2" w:tplc="E862A3B2">
      <w:start w:val="1"/>
      <w:numFmt w:val="decimal"/>
      <w:lvlText w:val="%1.%2.%3"/>
      <w:lvlJc w:val="left"/>
      <w:pPr>
        <w:ind w:left="1477" w:hanging="637"/>
        <w:jc w:val="left"/>
      </w:pPr>
      <w:rPr>
        <w:rFonts w:hint="default"/>
        <w:b/>
        <w:bCs/>
        <w:w w:val="99"/>
        <w:lang w:val="zh-CN" w:eastAsia="zh-CN" w:bidi="zh-CN"/>
      </w:rPr>
    </w:lvl>
    <w:lvl w:ilvl="3" w:tplc="5AF2575A">
      <w:numFmt w:val="bullet"/>
      <w:lvlText w:val="•"/>
      <w:lvlJc w:val="left"/>
      <w:pPr>
        <w:ind w:left="4229" w:hanging="637"/>
      </w:pPr>
      <w:rPr>
        <w:rFonts w:hint="default"/>
        <w:lang w:val="zh-CN" w:eastAsia="zh-CN" w:bidi="zh-CN"/>
      </w:rPr>
    </w:lvl>
    <w:lvl w:ilvl="4" w:tplc="805A7FDC">
      <w:numFmt w:val="bullet"/>
      <w:lvlText w:val="•"/>
      <w:lvlJc w:val="left"/>
      <w:pPr>
        <w:ind w:left="5146" w:hanging="637"/>
      </w:pPr>
      <w:rPr>
        <w:rFonts w:hint="default"/>
        <w:lang w:val="zh-CN" w:eastAsia="zh-CN" w:bidi="zh-CN"/>
      </w:rPr>
    </w:lvl>
    <w:lvl w:ilvl="5" w:tplc="87C4C99E">
      <w:numFmt w:val="bullet"/>
      <w:lvlText w:val="•"/>
      <w:lvlJc w:val="left"/>
      <w:pPr>
        <w:ind w:left="6063" w:hanging="637"/>
      </w:pPr>
      <w:rPr>
        <w:rFonts w:hint="default"/>
        <w:lang w:val="zh-CN" w:eastAsia="zh-CN" w:bidi="zh-CN"/>
      </w:rPr>
    </w:lvl>
    <w:lvl w:ilvl="6" w:tplc="3F841812">
      <w:numFmt w:val="bullet"/>
      <w:lvlText w:val="•"/>
      <w:lvlJc w:val="left"/>
      <w:pPr>
        <w:ind w:left="6979" w:hanging="637"/>
      </w:pPr>
      <w:rPr>
        <w:rFonts w:hint="default"/>
        <w:lang w:val="zh-CN" w:eastAsia="zh-CN" w:bidi="zh-CN"/>
      </w:rPr>
    </w:lvl>
    <w:lvl w:ilvl="7" w:tplc="C62E63AA">
      <w:numFmt w:val="bullet"/>
      <w:lvlText w:val="•"/>
      <w:lvlJc w:val="left"/>
      <w:pPr>
        <w:ind w:left="7896" w:hanging="637"/>
      </w:pPr>
      <w:rPr>
        <w:rFonts w:hint="default"/>
        <w:lang w:val="zh-CN" w:eastAsia="zh-CN" w:bidi="zh-CN"/>
      </w:rPr>
    </w:lvl>
    <w:lvl w:ilvl="8" w:tplc="FFF633D0">
      <w:numFmt w:val="bullet"/>
      <w:lvlText w:val="•"/>
      <w:lvlJc w:val="left"/>
      <w:pPr>
        <w:ind w:left="8813" w:hanging="637"/>
      </w:pPr>
      <w:rPr>
        <w:rFonts w:hint="default"/>
        <w:lang w:val="zh-CN" w:eastAsia="zh-CN" w:bidi="zh-CN"/>
      </w:rPr>
    </w:lvl>
  </w:abstractNum>
  <w:abstractNum w:abstractNumId="343" w15:restartNumberingAfterBreak="0">
    <w:nsid w:val="2EA35551"/>
    <w:multiLevelType w:val="hybridMultilevel"/>
    <w:tmpl w:val="817CFFD0"/>
    <w:lvl w:ilvl="0" w:tplc="69846264">
      <w:start w:val="7"/>
      <w:numFmt w:val="decimal"/>
      <w:lvlText w:val="%1"/>
      <w:lvlJc w:val="left"/>
      <w:pPr>
        <w:ind w:left="1371" w:hanging="532"/>
        <w:jc w:val="left"/>
      </w:pPr>
      <w:rPr>
        <w:rFonts w:hint="default"/>
        <w:lang w:val="zh-CN" w:eastAsia="zh-CN" w:bidi="zh-CN"/>
      </w:rPr>
    </w:lvl>
    <w:lvl w:ilvl="1" w:tplc="314C7608">
      <w:start w:val="3"/>
      <w:numFmt w:val="decimal"/>
      <w:lvlText w:val="%1.%2"/>
      <w:lvlJc w:val="left"/>
      <w:pPr>
        <w:ind w:left="1371" w:hanging="532"/>
        <w:jc w:val="left"/>
      </w:pPr>
      <w:rPr>
        <w:rFonts w:hint="default"/>
        <w:lang w:val="zh-CN" w:eastAsia="zh-CN" w:bidi="zh-CN"/>
      </w:rPr>
    </w:lvl>
    <w:lvl w:ilvl="2" w:tplc="98E89974">
      <w:start w:val="1"/>
      <w:numFmt w:val="decimal"/>
      <w:lvlText w:val="%1.%2.%3"/>
      <w:lvlJc w:val="left"/>
      <w:pPr>
        <w:ind w:left="1371" w:hanging="532"/>
        <w:jc w:val="left"/>
      </w:pPr>
      <w:rPr>
        <w:rFonts w:ascii="宋体" w:eastAsia="宋体" w:hAnsi="宋体" w:cs="宋体" w:hint="default"/>
        <w:b/>
        <w:bCs/>
        <w:w w:val="99"/>
        <w:sz w:val="19"/>
        <w:szCs w:val="19"/>
        <w:lang w:val="zh-CN" w:eastAsia="zh-CN" w:bidi="zh-CN"/>
      </w:rPr>
    </w:lvl>
    <w:lvl w:ilvl="3" w:tplc="A4F00392">
      <w:numFmt w:val="bullet"/>
      <w:lvlText w:val="•"/>
      <w:lvlJc w:val="left"/>
      <w:pPr>
        <w:ind w:left="4159" w:hanging="532"/>
      </w:pPr>
      <w:rPr>
        <w:rFonts w:hint="default"/>
        <w:lang w:val="zh-CN" w:eastAsia="zh-CN" w:bidi="zh-CN"/>
      </w:rPr>
    </w:lvl>
    <w:lvl w:ilvl="4" w:tplc="69682576">
      <w:numFmt w:val="bullet"/>
      <w:lvlText w:val="•"/>
      <w:lvlJc w:val="left"/>
      <w:pPr>
        <w:ind w:left="5086" w:hanging="532"/>
      </w:pPr>
      <w:rPr>
        <w:rFonts w:hint="default"/>
        <w:lang w:val="zh-CN" w:eastAsia="zh-CN" w:bidi="zh-CN"/>
      </w:rPr>
    </w:lvl>
    <w:lvl w:ilvl="5" w:tplc="75022E7A">
      <w:numFmt w:val="bullet"/>
      <w:lvlText w:val="•"/>
      <w:lvlJc w:val="left"/>
      <w:pPr>
        <w:ind w:left="6013" w:hanging="532"/>
      </w:pPr>
      <w:rPr>
        <w:rFonts w:hint="default"/>
        <w:lang w:val="zh-CN" w:eastAsia="zh-CN" w:bidi="zh-CN"/>
      </w:rPr>
    </w:lvl>
    <w:lvl w:ilvl="6" w:tplc="82FA3494">
      <w:numFmt w:val="bullet"/>
      <w:lvlText w:val="•"/>
      <w:lvlJc w:val="left"/>
      <w:pPr>
        <w:ind w:left="6939" w:hanging="532"/>
      </w:pPr>
      <w:rPr>
        <w:rFonts w:hint="default"/>
        <w:lang w:val="zh-CN" w:eastAsia="zh-CN" w:bidi="zh-CN"/>
      </w:rPr>
    </w:lvl>
    <w:lvl w:ilvl="7" w:tplc="6CECF704">
      <w:numFmt w:val="bullet"/>
      <w:lvlText w:val="•"/>
      <w:lvlJc w:val="left"/>
      <w:pPr>
        <w:ind w:left="7866" w:hanging="532"/>
      </w:pPr>
      <w:rPr>
        <w:rFonts w:hint="default"/>
        <w:lang w:val="zh-CN" w:eastAsia="zh-CN" w:bidi="zh-CN"/>
      </w:rPr>
    </w:lvl>
    <w:lvl w:ilvl="8" w:tplc="04326C26">
      <w:numFmt w:val="bullet"/>
      <w:lvlText w:val="•"/>
      <w:lvlJc w:val="left"/>
      <w:pPr>
        <w:ind w:left="8793" w:hanging="532"/>
      </w:pPr>
      <w:rPr>
        <w:rFonts w:hint="default"/>
        <w:lang w:val="zh-CN" w:eastAsia="zh-CN" w:bidi="zh-CN"/>
      </w:rPr>
    </w:lvl>
  </w:abstractNum>
  <w:abstractNum w:abstractNumId="344" w15:restartNumberingAfterBreak="0">
    <w:nsid w:val="2EB04AAB"/>
    <w:multiLevelType w:val="hybridMultilevel"/>
    <w:tmpl w:val="7C22B5B6"/>
    <w:lvl w:ilvl="0" w:tplc="A31E5CB6">
      <w:start w:val="6"/>
      <w:numFmt w:val="decimal"/>
      <w:lvlText w:val="%1"/>
      <w:lvlJc w:val="left"/>
      <w:pPr>
        <w:ind w:left="1369" w:hanging="529"/>
        <w:jc w:val="left"/>
      </w:pPr>
      <w:rPr>
        <w:rFonts w:hint="default"/>
        <w:lang w:val="zh-CN" w:eastAsia="zh-CN" w:bidi="zh-CN"/>
      </w:rPr>
    </w:lvl>
    <w:lvl w:ilvl="1" w:tplc="386AC6DC">
      <w:start w:val="4"/>
      <w:numFmt w:val="decimal"/>
      <w:lvlText w:val="%1.%2"/>
      <w:lvlJc w:val="left"/>
      <w:pPr>
        <w:ind w:left="1369" w:hanging="529"/>
        <w:jc w:val="left"/>
      </w:pPr>
      <w:rPr>
        <w:rFonts w:hint="default"/>
        <w:lang w:val="zh-CN" w:eastAsia="zh-CN" w:bidi="zh-CN"/>
      </w:rPr>
    </w:lvl>
    <w:lvl w:ilvl="2" w:tplc="7884BFC6">
      <w:start w:val="2"/>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A4364DA2">
      <w:start w:val="1"/>
      <w:numFmt w:val="decimal"/>
      <w:lvlText w:val="%1.%2.%3.%4"/>
      <w:lvlJc w:val="left"/>
      <w:pPr>
        <w:ind w:left="418" w:hanging="738"/>
        <w:jc w:val="left"/>
      </w:pPr>
      <w:rPr>
        <w:rFonts w:ascii="宋体" w:eastAsia="宋体" w:hAnsi="宋体" w:cs="宋体" w:hint="default"/>
        <w:spacing w:val="-3"/>
        <w:w w:val="100"/>
        <w:sz w:val="19"/>
        <w:szCs w:val="19"/>
        <w:lang w:val="zh-CN" w:eastAsia="zh-CN" w:bidi="zh-CN"/>
      </w:rPr>
    </w:lvl>
    <w:lvl w:ilvl="4" w:tplc="B0322142">
      <w:numFmt w:val="bullet"/>
      <w:lvlText w:val="•"/>
      <w:lvlJc w:val="left"/>
      <w:pPr>
        <w:ind w:left="4455" w:hanging="738"/>
      </w:pPr>
      <w:rPr>
        <w:rFonts w:hint="default"/>
        <w:lang w:val="zh-CN" w:eastAsia="zh-CN" w:bidi="zh-CN"/>
      </w:rPr>
    </w:lvl>
    <w:lvl w:ilvl="5" w:tplc="477CC23E">
      <w:numFmt w:val="bullet"/>
      <w:lvlText w:val="•"/>
      <w:lvlJc w:val="left"/>
      <w:pPr>
        <w:ind w:left="5487" w:hanging="738"/>
      </w:pPr>
      <w:rPr>
        <w:rFonts w:hint="default"/>
        <w:lang w:val="zh-CN" w:eastAsia="zh-CN" w:bidi="zh-CN"/>
      </w:rPr>
    </w:lvl>
    <w:lvl w:ilvl="6" w:tplc="58E6F06A">
      <w:numFmt w:val="bullet"/>
      <w:lvlText w:val="•"/>
      <w:lvlJc w:val="left"/>
      <w:pPr>
        <w:ind w:left="6519" w:hanging="738"/>
      </w:pPr>
      <w:rPr>
        <w:rFonts w:hint="default"/>
        <w:lang w:val="zh-CN" w:eastAsia="zh-CN" w:bidi="zh-CN"/>
      </w:rPr>
    </w:lvl>
    <w:lvl w:ilvl="7" w:tplc="931280A0">
      <w:numFmt w:val="bullet"/>
      <w:lvlText w:val="•"/>
      <w:lvlJc w:val="left"/>
      <w:pPr>
        <w:ind w:left="7550" w:hanging="738"/>
      </w:pPr>
      <w:rPr>
        <w:rFonts w:hint="default"/>
        <w:lang w:val="zh-CN" w:eastAsia="zh-CN" w:bidi="zh-CN"/>
      </w:rPr>
    </w:lvl>
    <w:lvl w:ilvl="8" w:tplc="1D826D40">
      <w:numFmt w:val="bullet"/>
      <w:lvlText w:val="•"/>
      <w:lvlJc w:val="left"/>
      <w:pPr>
        <w:ind w:left="8582" w:hanging="738"/>
      </w:pPr>
      <w:rPr>
        <w:rFonts w:hint="default"/>
        <w:lang w:val="zh-CN" w:eastAsia="zh-CN" w:bidi="zh-CN"/>
      </w:rPr>
    </w:lvl>
  </w:abstractNum>
  <w:abstractNum w:abstractNumId="345" w15:restartNumberingAfterBreak="0">
    <w:nsid w:val="2ED42CAC"/>
    <w:multiLevelType w:val="hybridMultilevel"/>
    <w:tmpl w:val="E3CE0792"/>
    <w:lvl w:ilvl="0" w:tplc="BE4CF462">
      <w:start w:val="4"/>
      <w:numFmt w:val="decimal"/>
      <w:lvlText w:val="%1"/>
      <w:lvlJc w:val="left"/>
      <w:pPr>
        <w:ind w:left="1370" w:hanging="531"/>
        <w:jc w:val="left"/>
      </w:pPr>
      <w:rPr>
        <w:rFonts w:hint="default"/>
        <w:lang w:val="zh-CN" w:eastAsia="zh-CN" w:bidi="zh-CN"/>
      </w:rPr>
    </w:lvl>
    <w:lvl w:ilvl="1" w:tplc="0DBAEFB4">
      <w:start w:val="5"/>
      <w:numFmt w:val="decimal"/>
      <w:lvlText w:val="%1.%2"/>
      <w:lvlJc w:val="left"/>
      <w:pPr>
        <w:ind w:left="1370" w:hanging="531"/>
        <w:jc w:val="left"/>
      </w:pPr>
      <w:rPr>
        <w:rFonts w:hint="default"/>
        <w:lang w:val="zh-CN" w:eastAsia="zh-CN" w:bidi="zh-CN"/>
      </w:rPr>
    </w:lvl>
    <w:lvl w:ilvl="2" w:tplc="777EB0AA">
      <w:start w:val="2"/>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092053DA">
      <w:start w:val="1"/>
      <w:numFmt w:val="decimal"/>
      <w:lvlText w:val="%1.%2.%3.%4"/>
      <w:lvlJc w:val="left"/>
      <w:pPr>
        <w:ind w:left="1582" w:hanging="743"/>
        <w:jc w:val="left"/>
      </w:pPr>
      <w:rPr>
        <w:rFonts w:ascii="宋体" w:eastAsia="宋体" w:hAnsi="宋体" w:cs="宋体" w:hint="default"/>
        <w:b/>
        <w:bCs/>
        <w:spacing w:val="-3"/>
        <w:w w:val="99"/>
        <w:sz w:val="19"/>
        <w:szCs w:val="19"/>
        <w:lang w:val="zh-CN" w:eastAsia="zh-CN" w:bidi="zh-CN"/>
      </w:rPr>
    </w:lvl>
    <w:lvl w:ilvl="4" w:tplc="2594FDAC">
      <w:numFmt w:val="bullet"/>
      <w:lvlText w:val="•"/>
      <w:lvlJc w:val="left"/>
      <w:pPr>
        <w:ind w:left="2280" w:hanging="743"/>
      </w:pPr>
      <w:rPr>
        <w:rFonts w:hint="default"/>
        <w:lang w:val="zh-CN" w:eastAsia="zh-CN" w:bidi="zh-CN"/>
      </w:rPr>
    </w:lvl>
    <w:lvl w:ilvl="5" w:tplc="5BAEAB5E">
      <w:numFmt w:val="bullet"/>
      <w:lvlText w:val="•"/>
      <w:lvlJc w:val="left"/>
      <w:pPr>
        <w:ind w:left="2514" w:hanging="743"/>
      </w:pPr>
      <w:rPr>
        <w:rFonts w:hint="default"/>
        <w:lang w:val="zh-CN" w:eastAsia="zh-CN" w:bidi="zh-CN"/>
      </w:rPr>
    </w:lvl>
    <w:lvl w:ilvl="6" w:tplc="C9369B0C">
      <w:numFmt w:val="bullet"/>
      <w:lvlText w:val="•"/>
      <w:lvlJc w:val="left"/>
      <w:pPr>
        <w:ind w:left="2748" w:hanging="743"/>
      </w:pPr>
      <w:rPr>
        <w:rFonts w:hint="default"/>
        <w:lang w:val="zh-CN" w:eastAsia="zh-CN" w:bidi="zh-CN"/>
      </w:rPr>
    </w:lvl>
    <w:lvl w:ilvl="7" w:tplc="C986949E">
      <w:numFmt w:val="bullet"/>
      <w:lvlText w:val="•"/>
      <w:lvlJc w:val="left"/>
      <w:pPr>
        <w:ind w:left="2981" w:hanging="743"/>
      </w:pPr>
      <w:rPr>
        <w:rFonts w:hint="default"/>
        <w:lang w:val="zh-CN" w:eastAsia="zh-CN" w:bidi="zh-CN"/>
      </w:rPr>
    </w:lvl>
    <w:lvl w:ilvl="8" w:tplc="E8301BEE">
      <w:numFmt w:val="bullet"/>
      <w:lvlText w:val="•"/>
      <w:lvlJc w:val="left"/>
      <w:pPr>
        <w:ind w:left="3215" w:hanging="743"/>
      </w:pPr>
      <w:rPr>
        <w:rFonts w:hint="default"/>
        <w:lang w:val="zh-CN" w:eastAsia="zh-CN" w:bidi="zh-CN"/>
      </w:rPr>
    </w:lvl>
  </w:abstractNum>
  <w:abstractNum w:abstractNumId="346" w15:restartNumberingAfterBreak="0">
    <w:nsid w:val="2F0E7188"/>
    <w:multiLevelType w:val="hybridMultilevel"/>
    <w:tmpl w:val="83664496"/>
    <w:lvl w:ilvl="0" w:tplc="B61E548C">
      <w:start w:val="7"/>
      <w:numFmt w:val="decimal"/>
      <w:lvlText w:val="%1"/>
      <w:lvlJc w:val="left"/>
      <w:pPr>
        <w:ind w:left="1158" w:hanging="318"/>
        <w:jc w:val="left"/>
      </w:pPr>
      <w:rPr>
        <w:rFonts w:hint="default"/>
        <w:lang w:val="zh-CN" w:eastAsia="zh-CN" w:bidi="zh-CN"/>
      </w:rPr>
    </w:lvl>
    <w:lvl w:ilvl="1" w:tplc="06788BCC">
      <w:start w:val="7"/>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A23C734A">
      <w:start w:val="1"/>
      <w:numFmt w:val="decimal"/>
      <w:lvlText w:val="%1.%2.%3"/>
      <w:lvlJc w:val="left"/>
      <w:pPr>
        <w:ind w:left="838" w:hanging="531"/>
        <w:jc w:val="left"/>
      </w:pPr>
      <w:rPr>
        <w:rFonts w:ascii="宋体" w:eastAsia="宋体" w:hAnsi="宋体" w:cs="宋体" w:hint="default"/>
        <w:b/>
        <w:bCs/>
        <w:w w:val="99"/>
        <w:sz w:val="19"/>
        <w:szCs w:val="19"/>
        <w:lang w:val="zh-CN" w:eastAsia="zh-CN" w:bidi="zh-CN"/>
      </w:rPr>
    </w:lvl>
    <w:lvl w:ilvl="3" w:tplc="38744C50">
      <w:numFmt w:val="bullet"/>
      <w:lvlText w:val="•"/>
      <w:lvlJc w:val="left"/>
      <w:pPr>
        <w:ind w:left="2538" w:hanging="531"/>
      </w:pPr>
      <w:rPr>
        <w:rFonts w:hint="default"/>
        <w:lang w:val="zh-CN" w:eastAsia="zh-CN" w:bidi="zh-CN"/>
      </w:rPr>
    </w:lvl>
    <w:lvl w:ilvl="4" w:tplc="23340422">
      <w:numFmt w:val="bullet"/>
      <w:lvlText w:val="•"/>
      <w:lvlJc w:val="left"/>
      <w:pPr>
        <w:ind w:left="3696" w:hanging="531"/>
      </w:pPr>
      <w:rPr>
        <w:rFonts w:hint="default"/>
        <w:lang w:val="zh-CN" w:eastAsia="zh-CN" w:bidi="zh-CN"/>
      </w:rPr>
    </w:lvl>
    <w:lvl w:ilvl="5" w:tplc="F1E230B2">
      <w:numFmt w:val="bullet"/>
      <w:lvlText w:val="•"/>
      <w:lvlJc w:val="left"/>
      <w:pPr>
        <w:ind w:left="4854" w:hanging="531"/>
      </w:pPr>
      <w:rPr>
        <w:rFonts w:hint="default"/>
        <w:lang w:val="zh-CN" w:eastAsia="zh-CN" w:bidi="zh-CN"/>
      </w:rPr>
    </w:lvl>
    <w:lvl w:ilvl="6" w:tplc="954C2BE4">
      <w:numFmt w:val="bullet"/>
      <w:lvlText w:val="•"/>
      <w:lvlJc w:val="left"/>
      <w:pPr>
        <w:ind w:left="6013" w:hanging="531"/>
      </w:pPr>
      <w:rPr>
        <w:rFonts w:hint="default"/>
        <w:lang w:val="zh-CN" w:eastAsia="zh-CN" w:bidi="zh-CN"/>
      </w:rPr>
    </w:lvl>
    <w:lvl w:ilvl="7" w:tplc="38C08ABC">
      <w:numFmt w:val="bullet"/>
      <w:lvlText w:val="•"/>
      <w:lvlJc w:val="left"/>
      <w:pPr>
        <w:ind w:left="7171" w:hanging="531"/>
      </w:pPr>
      <w:rPr>
        <w:rFonts w:hint="default"/>
        <w:lang w:val="zh-CN" w:eastAsia="zh-CN" w:bidi="zh-CN"/>
      </w:rPr>
    </w:lvl>
    <w:lvl w:ilvl="8" w:tplc="E18C3C9E">
      <w:numFmt w:val="bullet"/>
      <w:lvlText w:val="•"/>
      <w:lvlJc w:val="left"/>
      <w:pPr>
        <w:ind w:left="8329" w:hanging="531"/>
      </w:pPr>
      <w:rPr>
        <w:rFonts w:hint="default"/>
        <w:lang w:val="zh-CN" w:eastAsia="zh-CN" w:bidi="zh-CN"/>
      </w:rPr>
    </w:lvl>
  </w:abstractNum>
  <w:abstractNum w:abstractNumId="347" w15:restartNumberingAfterBreak="0">
    <w:nsid w:val="2F1F7B51"/>
    <w:multiLevelType w:val="hybridMultilevel"/>
    <w:tmpl w:val="32E0453E"/>
    <w:lvl w:ilvl="0" w:tplc="D4F07C38">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100C1C94">
      <w:numFmt w:val="bullet"/>
      <w:lvlText w:val="•"/>
      <w:lvlJc w:val="left"/>
      <w:pPr>
        <w:ind w:left="2288" w:hanging="529"/>
      </w:pPr>
      <w:rPr>
        <w:rFonts w:hint="default"/>
        <w:lang w:val="zh-CN" w:eastAsia="zh-CN" w:bidi="zh-CN"/>
      </w:rPr>
    </w:lvl>
    <w:lvl w:ilvl="2" w:tplc="DFC8BBA6">
      <w:numFmt w:val="bullet"/>
      <w:lvlText w:val="•"/>
      <w:lvlJc w:val="left"/>
      <w:pPr>
        <w:ind w:left="3217" w:hanging="529"/>
      </w:pPr>
      <w:rPr>
        <w:rFonts w:hint="default"/>
        <w:lang w:val="zh-CN" w:eastAsia="zh-CN" w:bidi="zh-CN"/>
      </w:rPr>
    </w:lvl>
    <w:lvl w:ilvl="3" w:tplc="7318C22E">
      <w:numFmt w:val="bullet"/>
      <w:lvlText w:val="•"/>
      <w:lvlJc w:val="left"/>
      <w:pPr>
        <w:ind w:left="4145" w:hanging="529"/>
      </w:pPr>
      <w:rPr>
        <w:rFonts w:hint="default"/>
        <w:lang w:val="zh-CN" w:eastAsia="zh-CN" w:bidi="zh-CN"/>
      </w:rPr>
    </w:lvl>
    <w:lvl w:ilvl="4" w:tplc="FF7E2540">
      <w:numFmt w:val="bullet"/>
      <w:lvlText w:val="•"/>
      <w:lvlJc w:val="left"/>
      <w:pPr>
        <w:ind w:left="5074" w:hanging="529"/>
      </w:pPr>
      <w:rPr>
        <w:rFonts w:hint="default"/>
        <w:lang w:val="zh-CN" w:eastAsia="zh-CN" w:bidi="zh-CN"/>
      </w:rPr>
    </w:lvl>
    <w:lvl w:ilvl="5" w:tplc="51D27378">
      <w:numFmt w:val="bullet"/>
      <w:lvlText w:val="•"/>
      <w:lvlJc w:val="left"/>
      <w:pPr>
        <w:ind w:left="6003" w:hanging="529"/>
      </w:pPr>
      <w:rPr>
        <w:rFonts w:hint="default"/>
        <w:lang w:val="zh-CN" w:eastAsia="zh-CN" w:bidi="zh-CN"/>
      </w:rPr>
    </w:lvl>
    <w:lvl w:ilvl="6" w:tplc="6804D9B6">
      <w:numFmt w:val="bullet"/>
      <w:lvlText w:val="•"/>
      <w:lvlJc w:val="left"/>
      <w:pPr>
        <w:ind w:left="6931" w:hanging="529"/>
      </w:pPr>
      <w:rPr>
        <w:rFonts w:hint="default"/>
        <w:lang w:val="zh-CN" w:eastAsia="zh-CN" w:bidi="zh-CN"/>
      </w:rPr>
    </w:lvl>
    <w:lvl w:ilvl="7" w:tplc="AAC4B6D0">
      <w:numFmt w:val="bullet"/>
      <w:lvlText w:val="•"/>
      <w:lvlJc w:val="left"/>
      <w:pPr>
        <w:ind w:left="7860" w:hanging="529"/>
      </w:pPr>
      <w:rPr>
        <w:rFonts w:hint="default"/>
        <w:lang w:val="zh-CN" w:eastAsia="zh-CN" w:bidi="zh-CN"/>
      </w:rPr>
    </w:lvl>
    <w:lvl w:ilvl="8" w:tplc="FAE25CF8">
      <w:numFmt w:val="bullet"/>
      <w:lvlText w:val="•"/>
      <w:lvlJc w:val="left"/>
      <w:pPr>
        <w:ind w:left="8789" w:hanging="529"/>
      </w:pPr>
      <w:rPr>
        <w:rFonts w:hint="default"/>
        <w:lang w:val="zh-CN" w:eastAsia="zh-CN" w:bidi="zh-CN"/>
      </w:rPr>
    </w:lvl>
  </w:abstractNum>
  <w:abstractNum w:abstractNumId="348" w15:restartNumberingAfterBreak="0">
    <w:nsid w:val="2F423064"/>
    <w:multiLevelType w:val="hybridMultilevel"/>
    <w:tmpl w:val="526A46AA"/>
    <w:lvl w:ilvl="0" w:tplc="56D469C6">
      <w:start w:val="6"/>
      <w:numFmt w:val="decimal"/>
      <w:lvlText w:val="%1"/>
      <w:lvlJc w:val="left"/>
      <w:pPr>
        <w:ind w:left="1158" w:hanging="318"/>
        <w:jc w:val="left"/>
      </w:pPr>
      <w:rPr>
        <w:rFonts w:hint="default"/>
        <w:lang w:val="zh-CN" w:eastAsia="zh-CN" w:bidi="zh-CN"/>
      </w:rPr>
    </w:lvl>
    <w:lvl w:ilvl="1" w:tplc="45343F48">
      <w:start w:val="8"/>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396E9D1A">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91641F14">
      <w:numFmt w:val="bullet"/>
      <w:lvlText w:val="•"/>
      <w:lvlJc w:val="left"/>
      <w:pPr>
        <w:ind w:left="3268" w:hanging="531"/>
      </w:pPr>
      <w:rPr>
        <w:rFonts w:hint="default"/>
        <w:lang w:val="zh-CN" w:eastAsia="zh-CN" w:bidi="zh-CN"/>
      </w:rPr>
    </w:lvl>
    <w:lvl w:ilvl="4" w:tplc="CDD86458">
      <w:numFmt w:val="bullet"/>
      <w:lvlText w:val="•"/>
      <w:lvlJc w:val="left"/>
      <w:pPr>
        <w:ind w:left="4322" w:hanging="531"/>
      </w:pPr>
      <w:rPr>
        <w:rFonts w:hint="default"/>
        <w:lang w:val="zh-CN" w:eastAsia="zh-CN" w:bidi="zh-CN"/>
      </w:rPr>
    </w:lvl>
    <w:lvl w:ilvl="5" w:tplc="F7227B50">
      <w:numFmt w:val="bullet"/>
      <w:lvlText w:val="•"/>
      <w:lvlJc w:val="left"/>
      <w:pPr>
        <w:ind w:left="5376" w:hanging="531"/>
      </w:pPr>
      <w:rPr>
        <w:rFonts w:hint="default"/>
        <w:lang w:val="zh-CN" w:eastAsia="zh-CN" w:bidi="zh-CN"/>
      </w:rPr>
    </w:lvl>
    <w:lvl w:ilvl="6" w:tplc="15BAD718">
      <w:numFmt w:val="bullet"/>
      <w:lvlText w:val="•"/>
      <w:lvlJc w:val="left"/>
      <w:pPr>
        <w:ind w:left="6430" w:hanging="531"/>
      </w:pPr>
      <w:rPr>
        <w:rFonts w:hint="default"/>
        <w:lang w:val="zh-CN" w:eastAsia="zh-CN" w:bidi="zh-CN"/>
      </w:rPr>
    </w:lvl>
    <w:lvl w:ilvl="7" w:tplc="75023B8A">
      <w:numFmt w:val="bullet"/>
      <w:lvlText w:val="•"/>
      <w:lvlJc w:val="left"/>
      <w:pPr>
        <w:ind w:left="7484" w:hanging="531"/>
      </w:pPr>
      <w:rPr>
        <w:rFonts w:hint="default"/>
        <w:lang w:val="zh-CN" w:eastAsia="zh-CN" w:bidi="zh-CN"/>
      </w:rPr>
    </w:lvl>
    <w:lvl w:ilvl="8" w:tplc="6882B796">
      <w:numFmt w:val="bullet"/>
      <w:lvlText w:val="•"/>
      <w:lvlJc w:val="left"/>
      <w:pPr>
        <w:ind w:left="8538" w:hanging="531"/>
      </w:pPr>
      <w:rPr>
        <w:rFonts w:hint="default"/>
        <w:lang w:val="zh-CN" w:eastAsia="zh-CN" w:bidi="zh-CN"/>
      </w:rPr>
    </w:lvl>
  </w:abstractNum>
  <w:abstractNum w:abstractNumId="349" w15:restartNumberingAfterBreak="0">
    <w:nsid w:val="2FA514BB"/>
    <w:multiLevelType w:val="hybridMultilevel"/>
    <w:tmpl w:val="07CA11D2"/>
    <w:lvl w:ilvl="0" w:tplc="22E074C0">
      <w:start w:val="3"/>
      <w:numFmt w:val="decimal"/>
      <w:lvlText w:val="%1"/>
      <w:lvlJc w:val="left"/>
      <w:pPr>
        <w:ind w:left="1158" w:hanging="318"/>
        <w:jc w:val="left"/>
      </w:pPr>
      <w:rPr>
        <w:rFonts w:hint="default"/>
        <w:lang w:val="zh-CN" w:eastAsia="zh-CN" w:bidi="zh-CN"/>
      </w:rPr>
    </w:lvl>
    <w:lvl w:ilvl="1" w:tplc="6D22203E">
      <w:start w:val="8"/>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539C1A4A">
      <w:numFmt w:val="bullet"/>
      <w:lvlText w:val="•"/>
      <w:lvlJc w:val="left"/>
      <w:pPr>
        <w:ind w:left="3057" w:hanging="318"/>
      </w:pPr>
      <w:rPr>
        <w:rFonts w:hint="default"/>
        <w:lang w:val="zh-CN" w:eastAsia="zh-CN" w:bidi="zh-CN"/>
      </w:rPr>
    </w:lvl>
    <w:lvl w:ilvl="3" w:tplc="D6DA193A">
      <w:numFmt w:val="bullet"/>
      <w:lvlText w:val="•"/>
      <w:lvlJc w:val="left"/>
      <w:pPr>
        <w:ind w:left="4005" w:hanging="318"/>
      </w:pPr>
      <w:rPr>
        <w:rFonts w:hint="default"/>
        <w:lang w:val="zh-CN" w:eastAsia="zh-CN" w:bidi="zh-CN"/>
      </w:rPr>
    </w:lvl>
    <w:lvl w:ilvl="4" w:tplc="156E9ADE">
      <w:numFmt w:val="bullet"/>
      <w:lvlText w:val="•"/>
      <w:lvlJc w:val="left"/>
      <w:pPr>
        <w:ind w:left="4954" w:hanging="318"/>
      </w:pPr>
      <w:rPr>
        <w:rFonts w:hint="default"/>
        <w:lang w:val="zh-CN" w:eastAsia="zh-CN" w:bidi="zh-CN"/>
      </w:rPr>
    </w:lvl>
    <w:lvl w:ilvl="5" w:tplc="AE50C09E">
      <w:numFmt w:val="bullet"/>
      <w:lvlText w:val="•"/>
      <w:lvlJc w:val="left"/>
      <w:pPr>
        <w:ind w:left="5903" w:hanging="318"/>
      </w:pPr>
      <w:rPr>
        <w:rFonts w:hint="default"/>
        <w:lang w:val="zh-CN" w:eastAsia="zh-CN" w:bidi="zh-CN"/>
      </w:rPr>
    </w:lvl>
    <w:lvl w:ilvl="6" w:tplc="E426418A">
      <w:numFmt w:val="bullet"/>
      <w:lvlText w:val="•"/>
      <w:lvlJc w:val="left"/>
      <w:pPr>
        <w:ind w:left="6851" w:hanging="318"/>
      </w:pPr>
      <w:rPr>
        <w:rFonts w:hint="default"/>
        <w:lang w:val="zh-CN" w:eastAsia="zh-CN" w:bidi="zh-CN"/>
      </w:rPr>
    </w:lvl>
    <w:lvl w:ilvl="7" w:tplc="A73E63E4">
      <w:numFmt w:val="bullet"/>
      <w:lvlText w:val="•"/>
      <w:lvlJc w:val="left"/>
      <w:pPr>
        <w:ind w:left="7800" w:hanging="318"/>
      </w:pPr>
      <w:rPr>
        <w:rFonts w:hint="default"/>
        <w:lang w:val="zh-CN" w:eastAsia="zh-CN" w:bidi="zh-CN"/>
      </w:rPr>
    </w:lvl>
    <w:lvl w:ilvl="8" w:tplc="C1C8AAC2">
      <w:numFmt w:val="bullet"/>
      <w:lvlText w:val="•"/>
      <w:lvlJc w:val="left"/>
      <w:pPr>
        <w:ind w:left="8749" w:hanging="318"/>
      </w:pPr>
      <w:rPr>
        <w:rFonts w:hint="default"/>
        <w:lang w:val="zh-CN" w:eastAsia="zh-CN" w:bidi="zh-CN"/>
      </w:rPr>
    </w:lvl>
  </w:abstractNum>
  <w:abstractNum w:abstractNumId="350" w15:restartNumberingAfterBreak="0">
    <w:nsid w:val="2FA62EE3"/>
    <w:multiLevelType w:val="hybridMultilevel"/>
    <w:tmpl w:val="01AA428E"/>
    <w:lvl w:ilvl="0" w:tplc="CB8649EC">
      <w:start w:val="1"/>
      <w:numFmt w:val="decimal"/>
      <w:lvlText w:val="%1"/>
      <w:lvlJc w:val="left"/>
      <w:pPr>
        <w:ind w:left="418" w:hanging="584"/>
        <w:jc w:val="left"/>
      </w:pPr>
      <w:rPr>
        <w:rFonts w:hint="default"/>
        <w:lang w:val="zh-CN" w:eastAsia="zh-CN" w:bidi="zh-CN"/>
      </w:rPr>
    </w:lvl>
    <w:lvl w:ilvl="1" w:tplc="43BAC5F2">
      <w:numFmt w:val="decimal"/>
      <w:lvlText w:val="%1.%2"/>
      <w:lvlJc w:val="left"/>
      <w:pPr>
        <w:ind w:left="418" w:hanging="584"/>
        <w:jc w:val="left"/>
      </w:pPr>
      <w:rPr>
        <w:rFonts w:hint="default"/>
        <w:lang w:val="zh-CN" w:eastAsia="zh-CN" w:bidi="zh-CN"/>
      </w:rPr>
    </w:lvl>
    <w:lvl w:ilvl="2" w:tplc="6C14BC9C">
      <w:start w:val="1"/>
      <w:numFmt w:val="decimal"/>
      <w:lvlText w:val="%1.%2.%3"/>
      <w:lvlJc w:val="left"/>
      <w:pPr>
        <w:ind w:left="418" w:hanging="584"/>
        <w:jc w:val="left"/>
      </w:pPr>
      <w:rPr>
        <w:rFonts w:hint="default"/>
        <w:b/>
        <w:bCs/>
        <w:w w:val="99"/>
        <w:lang w:val="zh-CN" w:eastAsia="zh-CN" w:bidi="zh-CN"/>
      </w:rPr>
    </w:lvl>
    <w:lvl w:ilvl="3" w:tplc="44EC7568">
      <w:numFmt w:val="bullet"/>
      <w:lvlText w:val="•"/>
      <w:lvlJc w:val="left"/>
      <w:pPr>
        <w:ind w:left="3487" w:hanging="584"/>
      </w:pPr>
      <w:rPr>
        <w:rFonts w:hint="default"/>
        <w:lang w:val="zh-CN" w:eastAsia="zh-CN" w:bidi="zh-CN"/>
      </w:rPr>
    </w:lvl>
    <w:lvl w:ilvl="4" w:tplc="88FCD706">
      <w:numFmt w:val="bullet"/>
      <w:lvlText w:val="•"/>
      <w:lvlJc w:val="left"/>
      <w:pPr>
        <w:ind w:left="4510" w:hanging="584"/>
      </w:pPr>
      <w:rPr>
        <w:rFonts w:hint="default"/>
        <w:lang w:val="zh-CN" w:eastAsia="zh-CN" w:bidi="zh-CN"/>
      </w:rPr>
    </w:lvl>
    <w:lvl w:ilvl="5" w:tplc="AB882174">
      <w:numFmt w:val="bullet"/>
      <w:lvlText w:val="•"/>
      <w:lvlJc w:val="left"/>
      <w:pPr>
        <w:ind w:left="5533" w:hanging="584"/>
      </w:pPr>
      <w:rPr>
        <w:rFonts w:hint="default"/>
        <w:lang w:val="zh-CN" w:eastAsia="zh-CN" w:bidi="zh-CN"/>
      </w:rPr>
    </w:lvl>
    <w:lvl w:ilvl="6" w:tplc="D0700BF0">
      <w:numFmt w:val="bullet"/>
      <w:lvlText w:val="•"/>
      <w:lvlJc w:val="left"/>
      <w:pPr>
        <w:ind w:left="6555" w:hanging="584"/>
      </w:pPr>
      <w:rPr>
        <w:rFonts w:hint="default"/>
        <w:lang w:val="zh-CN" w:eastAsia="zh-CN" w:bidi="zh-CN"/>
      </w:rPr>
    </w:lvl>
    <w:lvl w:ilvl="7" w:tplc="309670EC">
      <w:numFmt w:val="bullet"/>
      <w:lvlText w:val="•"/>
      <w:lvlJc w:val="left"/>
      <w:pPr>
        <w:ind w:left="7578" w:hanging="584"/>
      </w:pPr>
      <w:rPr>
        <w:rFonts w:hint="default"/>
        <w:lang w:val="zh-CN" w:eastAsia="zh-CN" w:bidi="zh-CN"/>
      </w:rPr>
    </w:lvl>
    <w:lvl w:ilvl="8" w:tplc="ADF41606">
      <w:numFmt w:val="bullet"/>
      <w:lvlText w:val="•"/>
      <w:lvlJc w:val="left"/>
      <w:pPr>
        <w:ind w:left="8601" w:hanging="584"/>
      </w:pPr>
      <w:rPr>
        <w:rFonts w:hint="default"/>
        <w:lang w:val="zh-CN" w:eastAsia="zh-CN" w:bidi="zh-CN"/>
      </w:rPr>
    </w:lvl>
  </w:abstractNum>
  <w:abstractNum w:abstractNumId="351" w15:restartNumberingAfterBreak="0">
    <w:nsid w:val="2FA63E59"/>
    <w:multiLevelType w:val="hybridMultilevel"/>
    <w:tmpl w:val="5476B56C"/>
    <w:lvl w:ilvl="0" w:tplc="986626EA">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23DACB8E">
      <w:numFmt w:val="bullet"/>
      <w:lvlText w:val="•"/>
      <w:lvlJc w:val="left"/>
      <w:pPr>
        <w:ind w:left="2288" w:hanging="529"/>
      </w:pPr>
      <w:rPr>
        <w:rFonts w:hint="default"/>
        <w:lang w:val="zh-CN" w:eastAsia="zh-CN" w:bidi="zh-CN"/>
      </w:rPr>
    </w:lvl>
    <w:lvl w:ilvl="2" w:tplc="805019AE">
      <w:numFmt w:val="bullet"/>
      <w:lvlText w:val="•"/>
      <w:lvlJc w:val="left"/>
      <w:pPr>
        <w:ind w:left="3217" w:hanging="529"/>
      </w:pPr>
      <w:rPr>
        <w:rFonts w:hint="default"/>
        <w:lang w:val="zh-CN" w:eastAsia="zh-CN" w:bidi="zh-CN"/>
      </w:rPr>
    </w:lvl>
    <w:lvl w:ilvl="3" w:tplc="6EE6EEC4">
      <w:numFmt w:val="bullet"/>
      <w:lvlText w:val="•"/>
      <w:lvlJc w:val="left"/>
      <w:pPr>
        <w:ind w:left="4145" w:hanging="529"/>
      </w:pPr>
      <w:rPr>
        <w:rFonts w:hint="default"/>
        <w:lang w:val="zh-CN" w:eastAsia="zh-CN" w:bidi="zh-CN"/>
      </w:rPr>
    </w:lvl>
    <w:lvl w:ilvl="4" w:tplc="7F266DB4">
      <w:numFmt w:val="bullet"/>
      <w:lvlText w:val="•"/>
      <w:lvlJc w:val="left"/>
      <w:pPr>
        <w:ind w:left="5074" w:hanging="529"/>
      </w:pPr>
      <w:rPr>
        <w:rFonts w:hint="default"/>
        <w:lang w:val="zh-CN" w:eastAsia="zh-CN" w:bidi="zh-CN"/>
      </w:rPr>
    </w:lvl>
    <w:lvl w:ilvl="5" w:tplc="11F0827A">
      <w:numFmt w:val="bullet"/>
      <w:lvlText w:val="•"/>
      <w:lvlJc w:val="left"/>
      <w:pPr>
        <w:ind w:left="6003" w:hanging="529"/>
      </w:pPr>
      <w:rPr>
        <w:rFonts w:hint="default"/>
        <w:lang w:val="zh-CN" w:eastAsia="zh-CN" w:bidi="zh-CN"/>
      </w:rPr>
    </w:lvl>
    <w:lvl w:ilvl="6" w:tplc="F2180908">
      <w:numFmt w:val="bullet"/>
      <w:lvlText w:val="•"/>
      <w:lvlJc w:val="left"/>
      <w:pPr>
        <w:ind w:left="6931" w:hanging="529"/>
      </w:pPr>
      <w:rPr>
        <w:rFonts w:hint="default"/>
        <w:lang w:val="zh-CN" w:eastAsia="zh-CN" w:bidi="zh-CN"/>
      </w:rPr>
    </w:lvl>
    <w:lvl w:ilvl="7" w:tplc="CB9EFAF4">
      <w:numFmt w:val="bullet"/>
      <w:lvlText w:val="•"/>
      <w:lvlJc w:val="left"/>
      <w:pPr>
        <w:ind w:left="7860" w:hanging="529"/>
      </w:pPr>
      <w:rPr>
        <w:rFonts w:hint="default"/>
        <w:lang w:val="zh-CN" w:eastAsia="zh-CN" w:bidi="zh-CN"/>
      </w:rPr>
    </w:lvl>
    <w:lvl w:ilvl="8" w:tplc="138C2BA0">
      <w:numFmt w:val="bullet"/>
      <w:lvlText w:val="•"/>
      <w:lvlJc w:val="left"/>
      <w:pPr>
        <w:ind w:left="8789" w:hanging="529"/>
      </w:pPr>
      <w:rPr>
        <w:rFonts w:hint="default"/>
        <w:lang w:val="zh-CN" w:eastAsia="zh-CN" w:bidi="zh-CN"/>
      </w:rPr>
    </w:lvl>
  </w:abstractNum>
  <w:abstractNum w:abstractNumId="352" w15:restartNumberingAfterBreak="0">
    <w:nsid w:val="2FAF772B"/>
    <w:multiLevelType w:val="hybridMultilevel"/>
    <w:tmpl w:val="0D526296"/>
    <w:lvl w:ilvl="0" w:tplc="A0F8CF6C">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D9A41786">
      <w:numFmt w:val="bullet"/>
      <w:lvlText w:val="•"/>
      <w:lvlJc w:val="left"/>
      <w:pPr>
        <w:ind w:left="2288" w:hanging="529"/>
      </w:pPr>
      <w:rPr>
        <w:rFonts w:hint="default"/>
        <w:lang w:val="zh-CN" w:eastAsia="zh-CN" w:bidi="zh-CN"/>
      </w:rPr>
    </w:lvl>
    <w:lvl w:ilvl="2" w:tplc="D9867FF2">
      <w:numFmt w:val="bullet"/>
      <w:lvlText w:val="•"/>
      <w:lvlJc w:val="left"/>
      <w:pPr>
        <w:ind w:left="3217" w:hanging="529"/>
      </w:pPr>
      <w:rPr>
        <w:rFonts w:hint="default"/>
        <w:lang w:val="zh-CN" w:eastAsia="zh-CN" w:bidi="zh-CN"/>
      </w:rPr>
    </w:lvl>
    <w:lvl w:ilvl="3" w:tplc="F7BA6412">
      <w:numFmt w:val="bullet"/>
      <w:lvlText w:val="•"/>
      <w:lvlJc w:val="left"/>
      <w:pPr>
        <w:ind w:left="4145" w:hanging="529"/>
      </w:pPr>
      <w:rPr>
        <w:rFonts w:hint="default"/>
        <w:lang w:val="zh-CN" w:eastAsia="zh-CN" w:bidi="zh-CN"/>
      </w:rPr>
    </w:lvl>
    <w:lvl w:ilvl="4" w:tplc="9DB6E15C">
      <w:numFmt w:val="bullet"/>
      <w:lvlText w:val="•"/>
      <w:lvlJc w:val="left"/>
      <w:pPr>
        <w:ind w:left="5074" w:hanging="529"/>
      </w:pPr>
      <w:rPr>
        <w:rFonts w:hint="default"/>
        <w:lang w:val="zh-CN" w:eastAsia="zh-CN" w:bidi="zh-CN"/>
      </w:rPr>
    </w:lvl>
    <w:lvl w:ilvl="5" w:tplc="0CF0D914">
      <w:numFmt w:val="bullet"/>
      <w:lvlText w:val="•"/>
      <w:lvlJc w:val="left"/>
      <w:pPr>
        <w:ind w:left="6003" w:hanging="529"/>
      </w:pPr>
      <w:rPr>
        <w:rFonts w:hint="default"/>
        <w:lang w:val="zh-CN" w:eastAsia="zh-CN" w:bidi="zh-CN"/>
      </w:rPr>
    </w:lvl>
    <w:lvl w:ilvl="6" w:tplc="4F4A3764">
      <w:numFmt w:val="bullet"/>
      <w:lvlText w:val="•"/>
      <w:lvlJc w:val="left"/>
      <w:pPr>
        <w:ind w:left="6931" w:hanging="529"/>
      </w:pPr>
      <w:rPr>
        <w:rFonts w:hint="default"/>
        <w:lang w:val="zh-CN" w:eastAsia="zh-CN" w:bidi="zh-CN"/>
      </w:rPr>
    </w:lvl>
    <w:lvl w:ilvl="7" w:tplc="549C6564">
      <w:numFmt w:val="bullet"/>
      <w:lvlText w:val="•"/>
      <w:lvlJc w:val="left"/>
      <w:pPr>
        <w:ind w:left="7860" w:hanging="529"/>
      </w:pPr>
      <w:rPr>
        <w:rFonts w:hint="default"/>
        <w:lang w:val="zh-CN" w:eastAsia="zh-CN" w:bidi="zh-CN"/>
      </w:rPr>
    </w:lvl>
    <w:lvl w:ilvl="8" w:tplc="18942A22">
      <w:numFmt w:val="bullet"/>
      <w:lvlText w:val="•"/>
      <w:lvlJc w:val="left"/>
      <w:pPr>
        <w:ind w:left="8789" w:hanging="529"/>
      </w:pPr>
      <w:rPr>
        <w:rFonts w:hint="default"/>
        <w:lang w:val="zh-CN" w:eastAsia="zh-CN" w:bidi="zh-CN"/>
      </w:rPr>
    </w:lvl>
  </w:abstractNum>
  <w:abstractNum w:abstractNumId="353" w15:restartNumberingAfterBreak="0">
    <w:nsid w:val="2FCA1296"/>
    <w:multiLevelType w:val="hybridMultilevel"/>
    <w:tmpl w:val="64BC12B4"/>
    <w:lvl w:ilvl="0" w:tplc="F9EC7E1C">
      <w:start w:val="2"/>
      <w:numFmt w:val="decimal"/>
      <w:lvlText w:val="%1"/>
      <w:lvlJc w:val="left"/>
      <w:pPr>
        <w:ind w:left="1369" w:hanging="529"/>
        <w:jc w:val="left"/>
      </w:pPr>
      <w:rPr>
        <w:rFonts w:hint="default"/>
        <w:lang w:val="zh-CN" w:eastAsia="zh-CN" w:bidi="zh-CN"/>
      </w:rPr>
    </w:lvl>
    <w:lvl w:ilvl="1" w:tplc="93408E8E">
      <w:start w:val="1"/>
      <w:numFmt w:val="decimal"/>
      <w:lvlText w:val="%1.%2"/>
      <w:lvlJc w:val="left"/>
      <w:pPr>
        <w:ind w:left="1369" w:hanging="529"/>
        <w:jc w:val="left"/>
      </w:pPr>
      <w:rPr>
        <w:rFonts w:hint="default"/>
        <w:lang w:val="zh-CN" w:eastAsia="zh-CN" w:bidi="zh-CN"/>
      </w:rPr>
    </w:lvl>
    <w:lvl w:ilvl="2" w:tplc="7ACEA652">
      <w:start w:val="7"/>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095456B8">
      <w:numFmt w:val="bullet"/>
      <w:lvlText w:val="•"/>
      <w:lvlJc w:val="left"/>
      <w:pPr>
        <w:ind w:left="4145" w:hanging="529"/>
      </w:pPr>
      <w:rPr>
        <w:rFonts w:hint="default"/>
        <w:lang w:val="zh-CN" w:eastAsia="zh-CN" w:bidi="zh-CN"/>
      </w:rPr>
    </w:lvl>
    <w:lvl w:ilvl="4" w:tplc="2864F852">
      <w:numFmt w:val="bullet"/>
      <w:lvlText w:val="•"/>
      <w:lvlJc w:val="left"/>
      <w:pPr>
        <w:ind w:left="5074" w:hanging="529"/>
      </w:pPr>
      <w:rPr>
        <w:rFonts w:hint="default"/>
        <w:lang w:val="zh-CN" w:eastAsia="zh-CN" w:bidi="zh-CN"/>
      </w:rPr>
    </w:lvl>
    <w:lvl w:ilvl="5" w:tplc="1CF65EE0">
      <w:numFmt w:val="bullet"/>
      <w:lvlText w:val="•"/>
      <w:lvlJc w:val="left"/>
      <w:pPr>
        <w:ind w:left="6003" w:hanging="529"/>
      </w:pPr>
      <w:rPr>
        <w:rFonts w:hint="default"/>
        <w:lang w:val="zh-CN" w:eastAsia="zh-CN" w:bidi="zh-CN"/>
      </w:rPr>
    </w:lvl>
    <w:lvl w:ilvl="6" w:tplc="4F8C1640">
      <w:numFmt w:val="bullet"/>
      <w:lvlText w:val="•"/>
      <w:lvlJc w:val="left"/>
      <w:pPr>
        <w:ind w:left="6931" w:hanging="529"/>
      </w:pPr>
      <w:rPr>
        <w:rFonts w:hint="default"/>
        <w:lang w:val="zh-CN" w:eastAsia="zh-CN" w:bidi="zh-CN"/>
      </w:rPr>
    </w:lvl>
    <w:lvl w:ilvl="7" w:tplc="ECE6C00E">
      <w:numFmt w:val="bullet"/>
      <w:lvlText w:val="•"/>
      <w:lvlJc w:val="left"/>
      <w:pPr>
        <w:ind w:left="7860" w:hanging="529"/>
      </w:pPr>
      <w:rPr>
        <w:rFonts w:hint="default"/>
        <w:lang w:val="zh-CN" w:eastAsia="zh-CN" w:bidi="zh-CN"/>
      </w:rPr>
    </w:lvl>
    <w:lvl w:ilvl="8" w:tplc="7850021A">
      <w:numFmt w:val="bullet"/>
      <w:lvlText w:val="•"/>
      <w:lvlJc w:val="left"/>
      <w:pPr>
        <w:ind w:left="8789" w:hanging="529"/>
      </w:pPr>
      <w:rPr>
        <w:rFonts w:hint="default"/>
        <w:lang w:val="zh-CN" w:eastAsia="zh-CN" w:bidi="zh-CN"/>
      </w:rPr>
    </w:lvl>
  </w:abstractNum>
  <w:abstractNum w:abstractNumId="354" w15:restartNumberingAfterBreak="0">
    <w:nsid w:val="2FEB0F9A"/>
    <w:multiLevelType w:val="hybridMultilevel"/>
    <w:tmpl w:val="5D2A7A3C"/>
    <w:lvl w:ilvl="0" w:tplc="EFAE65E0">
      <w:start w:val="6"/>
      <w:numFmt w:val="decimal"/>
      <w:lvlText w:val="%1"/>
      <w:lvlJc w:val="left"/>
      <w:pPr>
        <w:ind w:left="1787" w:hanging="950"/>
        <w:jc w:val="left"/>
      </w:pPr>
      <w:rPr>
        <w:rFonts w:hint="default"/>
        <w:lang w:val="zh-CN" w:eastAsia="zh-CN" w:bidi="zh-CN"/>
      </w:rPr>
    </w:lvl>
    <w:lvl w:ilvl="1" w:tplc="B096DA68">
      <w:start w:val="1"/>
      <w:numFmt w:val="decimal"/>
      <w:lvlText w:val="%1.%2"/>
      <w:lvlJc w:val="left"/>
      <w:pPr>
        <w:ind w:left="1787" w:hanging="950"/>
        <w:jc w:val="left"/>
      </w:pPr>
      <w:rPr>
        <w:rFonts w:hint="default"/>
        <w:lang w:val="zh-CN" w:eastAsia="zh-CN" w:bidi="zh-CN"/>
      </w:rPr>
    </w:lvl>
    <w:lvl w:ilvl="2" w:tplc="815C4910">
      <w:start w:val="6"/>
      <w:numFmt w:val="decimal"/>
      <w:lvlText w:val="%1.%2.%3"/>
      <w:lvlJc w:val="left"/>
      <w:pPr>
        <w:ind w:left="1787" w:hanging="950"/>
        <w:jc w:val="left"/>
      </w:pPr>
      <w:rPr>
        <w:rFonts w:hint="default"/>
        <w:lang w:val="zh-CN" w:eastAsia="zh-CN" w:bidi="zh-CN"/>
      </w:rPr>
    </w:lvl>
    <w:lvl w:ilvl="3" w:tplc="527E2E2C">
      <w:start w:val="1"/>
      <w:numFmt w:val="decimal"/>
      <w:lvlText w:val="%1.%2.%3.%4"/>
      <w:lvlJc w:val="left"/>
      <w:pPr>
        <w:ind w:left="1787" w:hanging="950"/>
        <w:jc w:val="left"/>
      </w:pPr>
      <w:rPr>
        <w:rFonts w:hint="default"/>
        <w:lang w:val="zh-CN" w:eastAsia="zh-CN" w:bidi="zh-CN"/>
      </w:rPr>
    </w:lvl>
    <w:lvl w:ilvl="4" w:tplc="D8DE49D8">
      <w:start w:val="4"/>
      <w:numFmt w:val="decimal"/>
      <w:lvlText w:val="%1.%2.%3.%4.%5"/>
      <w:lvlJc w:val="left"/>
      <w:pPr>
        <w:ind w:left="1787" w:hanging="950"/>
        <w:jc w:val="left"/>
      </w:pPr>
      <w:rPr>
        <w:rFonts w:ascii="宋体" w:eastAsia="宋体" w:hAnsi="宋体" w:cs="宋体" w:hint="default"/>
        <w:spacing w:val="-3"/>
        <w:w w:val="100"/>
        <w:sz w:val="19"/>
        <w:szCs w:val="19"/>
        <w:lang w:val="zh-CN" w:eastAsia="zh-CN" w:bidi="zh-CN"/>
      </w:rPr>
    </w:lvl>
    <w:lvl w:ilvl="5" w:tplc="7B90DA4C">
      <w:numFmt w:val="bullet"/>
      <w:lvlText w:val="•"/>
      <w:lvlJc w:val="left"/>
      <w:pPr>
        <w:ind w:left="6213" w:hanging="950"/>
      </w:pPr>
      <w:rPr>
        <w:rFonts w:hint="default"/>
        <w:lang w:val="zh-CN" w:eastAsia="zh-CN" w:bidi="zh-CN"/>
      </w:rPr>
    </w:lvl>
    <w:lvl w:ilvl="6" w:tplc="1A487DF4">
      <w:numFmt w:val="bullet"/>
      <w:lvlText w:val="•"/>
      <w:lvlJc w:val="left"/>
      <w:pPr>
        <w:ind w:left="7099" w:hanging="950"/>
      </w:pPr>
      <w:rPr>
        <w:rFonts w:hint="default"/>
        <w:lang w:val="zh-CN" w:eastAsia="zh-CN" w:bidi="zh-CN"/>
      </w:rPr>
    </w:lvl>
    <w:lvl w:ilvl="7" w:tplc="5742FACC">
      <w:numFmt w:val="bullet"/>
      <w:lvlText w:val="•"/>
      <w:lvlJc w:val="left"/>
      <w:pPr>
        <w:ind w:left="7986" w:hanging="950"/>
      </w:pPr>
      <w:rPr>
        <w:rFonts w:hint="default"/>
        <w:lang w:val="zh-CN" w:eastAsia="zh-CN" w:bidi="zh-CN"/>
      </w:rPr>
    </w:lvl>
    <w:lvl w:ilvl="8" w:tplc="13D0897E">
      <w:numFmt w:val="bullet"/>
      <w:lvlText w:val="•"/>
      <w:lvlJc w:val="left"/>
      <w:pPr>
        <w:ind w:left="8873" w:hanging="950"/>
      </w:pPr>
      <w:rPr>
        <w:rFonts w:hint="default"/>
        <w:lang w:val="zh-CN" w:eastAsia="zh-CN" w:bidi="zh-CN"/>
      </w:rPr>
    </w:lvl>
  </w:abstractNum>
  <w:abstractNum w:abstractNumId="355" w15:restartNumberingAfterBreak="0">
    <w:nsid w:val="301A1C2B"/>
    <w:multiLevelType w:val="hybridMultilevel"/>
    <w:tmpl w:val="8898CBE4"/>
    <w:lvl w:ilvl="0" w:tplc="A5AA1E6E">
      <w:start w:val="2"/>
      <w:numFmt w:val="decimal"/>
      <w:lvlText w:val="%1."/>
      <w:lvlJc w:val="left"/>
      <w:pPr>
        <w:ind w:left="418" w:hanging="213"/>
        <w:jc w:val="left"/>
      </w:pPr>
      <w:rPr>
        <w:rFonts w:ascii="宋体" w:eastAsia="宋体" w:hAnsi="宋体" w:cs="宋体" w:hint="default"/>
        <w:spacing w:val="-52"/>
        <w:w w:val="100"/>
        <w:sz w:val="19"/>
        <w:szCs w:val="19"/>
        <w:lang w:val="zh-CN" w:eastAsia="zh-CN" w:bidi="zh-CN"/>
      </w:rPr>
    </w:lvl>
    <w:lvl w:ilvl="1" w:tplc="E0F49416">
      <w:numFmt w:val="bullet"/>
      <w:lvlText w:val="•"/>
      <w:lvlJc w:val="left"/>
      <w:pPr>
        <w:ind w:left="1442" w:hanging="213"/>
      </w:pPr>
      <w:rPr>
        <w:rFonts w:hint="default"/>
        <w:lang w:val="zh-CN" w:eastAsia="zh-CN" w:bidi="zh-CN"/>
      </w:rPr>
    </w:lvl>
    <w:lvl w:ilvl="2" w:tplc="9BC42032">
      <w:numFmt w:val="bullet"/>
      <w:lvlText w:val="•"/>
      <w:lvlJc w:val="left"/>
      <w:pPr>
        <w:ind w:left="2465" w:hanging="213"/>
      </w:pPr>
      <w:rPr>
        <w:rFonts w:hint="default"/>
        <w:lang w:val="zh-CN" w:eastAsia="zh-CN" w:bidi="zh-CN"/>
      </w:rPr>
    </w:lvl>
    <w:lvl w:ilvl="3" w:tplc="A10CCE82">
      <w:numFmt w:val="bullet"/>
      <w:lvlText w:val="•"/>
      <w:lvlJc w:val="left"/>
      <w:pPr>
        <w:ind w:left="3487" w:hanging="213"/>
      </w:pPr>
      <w:rPr>
        <w:rFonts w:hint="default"/>
        <w:lang w:val="zh-CN" w:eastAsia="zh-CN" w:bidi="zh-CN"/>
      </w:rPr>
    </w:lvl>
    <w:lvl w:ilvl="4" w:tplc="FA98576E">
      <w:numFmt w:val="bullet"/>
      <w:lvlText w:val="•"/>
      <w:lvlJc w:val="left"/>
      <w:pPr>
        <w:ind w:left="4510" w:hanging="213"/>
      </w:pPr>
      <w:rPr>
        <w:rFonts w:hint="default"/>
        <w:lang w:val="zh-CN" w:eastAsia="zh-CN" w:bidi="zh-CN"/>
      </w:rPr>
    </w:lvl>
    <w:lvl w:ilvl="5" w:tplc="83FE3A60">
      <w:numFmt w:val="bullet"/>
      <w:lvlText w:val="•"/>
      <w:lvlJc w:val="left"/>
      <w:pPr>
        <w:ind w:left="5533" w:hanging="213"/>
      </w:pPr>
      <w:rPr>
        <w:rFonts w:hint="default"/>
        <w:lang w:val="zh-CN" w:eastAsia="zh-CN" w:bidi="zh-CN"/>
      </w:rPr>
    </w:lvl>
    <w:lvl w:ilvl="6" w:tplc="FB58EFB8">
      <w:numFmt w:val="bullet"/>
      <w:lvlText w:val="•"/>
      <w:lvlJc w:val="left"/>
      <w:pPr>
        <w:ind w:left="6555" w:hanging="213"/>
      </w:pPr>
      <w:rPr>
        <w:rFonts w:hint="default"/>
        <w:lang w:val="zh-CN" w:eastAsia="zh-CN" w:bidi="zh-CN"/>
      </w:rPr>
    </w:lvl>
    <w:lvl w:ilvl="7" w:tplc="E968E59C">
      <w:numFmt w:val="bullet"/>
      <w:lvlText w:val="•"/>
      <w:lvlJc w:val="left"/>
      <w:pPr>
        <w:ind w:left="7578" w:hanging="213"/>
      </w:pPr>
      <w:rPr>
        <w:rFonts w:hint="default"/>
        <w:lang w:val="zh-CN" w:eastAsia="zh-CN" w:bidi="zh-CN"/>
      </w:rPr>
    </w:lvl>
    <w:lvl w:ilvl="8" w:tplc="2730AEFA">
      <w:numFmt w:val="bullet"/>
      <w:lvlText w:val="•"/>
      <w:lvlJc w:val="left"/>
      <w:pPr>
        <w:ind w:left="8601" w:hanging="213"/>
      </w:pPr>
      <w:rPr>
        <w:rFonts w:hint="default"/>
        <w:lang w:val="zh-CN" w:eastAsia="zh-CN" w:bidi="zh-CN"/>
      </w:rPr>
    </w:lvl>
  </w:abstractNum>
  <w:abstractNum w:abstractNumId="356" w15:restartNumberingAfterBreak="0">
    <w:nsid w:val="30626128"/>
    <w:multiLevelType w:val="hybridMultilevel"/>
    <w:tmpl w:val="ED50C1D6"/>
    <w:lvl w:ilvl="0" w:tplc="AD32F088">
      <w:start w:val="5"/>
      <w:numFmt w:val="decimal"/>
      <w:lvlText w:val="%1"/>
      <w:lvlJc w:val="left"/>
      <w:pPr>
        <w:ind w:left="1477" w:hanging="637"/>
        <w:jc w:val="left"/>
      </w:pPr>
      <w:rPr>
        <w:rFonts w:hint="default"/>
        <w:lang w:val="zh-CN" w:eastAsia="zh-CN" w:bidi="zh-CN"/>
      </w:rPr>
    </w:lvl>
    <w:lvl w:ilvl="1" w:tplc="48F081C4">
      <w:start w:val="1"/>
      <w:numFmt w:val="decimal"/>
      <w:lvlText w:val="%1.%2"/>
      <w:lvlJc w:val="left"/>
      <w:pPr>
        <w:ind w:left="1477" w:hanging="637"/>
        <w:jc w:val="left"/>
      </w:pPr>
      <w:rPr>
        <w:rFonts w:hint="default"/>
        <w:lang w:val="zh-CN" w:eastAsia="zh-CN" w:bidi="zh-CN"/>
      </w:rPr>
    </w:lvl>
    <w:lvl w:ilvl="2" w:tplc="9C5AD7AA">
      <w:start w:val="13"/>
      <w:numFmt w:val="decimal"/>
      <w:lvlText w:val="%1.%2.%3"/>
      <w:lvlJc w:val="left"/>
      <w:pPr>
        <w:ind w:left="1477" w:hanging="637"/>
        <w:jc w:val="left"/>
      </w:pPr>
      <w:rPr>
        <w:rFonts w:ascii="宋体" w:eastAsia="宋体" w:hAnsi="宋体" w:cs="宋体" w:hint="default"/>
        <w:b/>
        <w:bCs/>
        <w:spacing w:val="-3"/>
        <w:w w:val="99"/>
        <w:sz w:val="19"/>
        <w:szCs w:val="19"/>
        <w:lang w:val="zh-CN" w:eastAsia="zh-CN" w:bidi="zh-CN"/>
      </w:rPr>
    </w:lvl>
    <w:lvl w:ilvl="3" w:tplc="27D8DE10">
      <w:numFmt w:val="bullet"/>
      <w:lvlText w:val="•"/>
      <w:lvlJc w:val="left"/>
      <w:pPr>
        <w:ind w:left="4229" w:hanging="637"/>
      </w:pPr>
      <w:rPr>
        <w:rFonts w:hint="default"/>
        <w:lang w:val="zh-CN" w:eastAsia="zh-CN" w:bidi="zh-CN"/>
      </w:rPr>
    </w:lvl>
    <w:lvl w:ilvl="4" w:tplc="B56A22DC">
      <w:numFmt w:val="bullet"/>
      <w:lvlText w:val="•"/>
      <w:lvlJc w:val="left"/>
      <w:pPr>
        <w:ind w:left="5146" w:hanging="637"/>
      </w:pPr>
      <w:rPr>
        <w:rFonts w:hint="default"/>
        <w:lang w:val="zh-CN" w:eastAsia="zh-CN" w:bidi="zh-CN"/>
      </w:rPr>
    </w:lvl>
    <w:lvl w:ilvl="5" w:tplc="D2E2AAAA">
      <w:numFmt w:val="bullet"/>
      <w:lvlText w:val="•"/>
      <w:lvlJc w:val="left"/>
      <w:pPr>
        <w:ind w:left="6063" w:hanging="637"/>
      </w:pPr>
      <w:rPr>
        <w:rFonts w:hint="default"/>
        <w:lang w:val="zh-CN" w:eastAsia="zh-CN" w:bidi="zh-CN"/>
      </w:rPr>
    </w:lvl>
    <w:lvl w:ilvl="6" w:tplc="C0ECB51E">
      <w:numFmt w:val="bullet"/>
      <w:lvlText w:val="•"/>
      <w:lvlJc w:val="left"/>
      <w:pPr>
        <w:ind w:left="6979" w:hanging="637"/>
      </w:pPr>
      <w:rPr>
        <w:rFonts w:hint="default"/>
        <w:lang w:val="zh-CN" w:eastAsia="zh-CN" w:bidi="zh-CN"/>
      </w:rPr>
    </w:lvl>
    <w:lvl w:ilvl="7" w:tplc="ADC25C40">
      <w:numFmt w:val="bullet"/>
      <w:lvlText w:val="•"/>
      <w:lvlJc w:val="left"/>
      <w:pPr>
        <w:ind w:left="7896" w:hanging="637"/>
      </w:pPr>
      <w:rPr>
        <w:rFonts w:hint="default"/>
        <w:lang w:val="zh-CN" w:eastAsia="zh-CN" w:bidi="zh-CN"/>
      </w:rPr>
    </w:lvl>
    <w:lvl w:ilvl="8" w:tplc="854065BE">
      <w:numFmt w:val="bullet"/>
      <w:lvlText w:val="•"/>
      <w:lvlJc w:val="left"/>
      <w:pPr>
        <w:ind w:left="8813" w:hanging="637"/>
      </w:pPr>
      <w:rPr>
        <w:rFonts w:hint="default"/>
        <w:lang w:val="zh-CN" w:eastAsia="zh-CN" w:bidi="zh-CN"/>
      </w:rPr>
    </w:lvl>
  </w:abstractNum>
  <w:abstractNum w:abstractNumId="357" w15:restartNumberingAfterBreak="0">
    <w:nsid w:val="306D048E"/>
    <w:multiLevelType w:val="hybridMultilevel"/>
    <w:tmpl w:val="D3E0BCC2"/>
    <w:lvl w:ilvl="0" w:tplc="04802516">
      <w:start w:val="5"/>
      <w:numFmt w:val="lowerLetter"/>
      <w:lvlText w:val="%1）"/>
      <w:lvlJc w:val="left"/>
      <w:pPr>
        <w:ind w:left="1155" w:hanging="318"/>
        <w:jc w:val="left"/>
      </w:pPr>
      <w:rPr>
        <w:rFonts w:ascii="宋体" w:eastAsia="宋体" w:hAnsi="宋体" w:cs="宋体" w:hint="default"/>
        <w:w w:val="100"/>
        <w:sz w:val="19"/>
        <w:szCs w:val="19"/>
        <w:lang w:val="zh-CN" w:eastAsia="zh-CN" w:bidi="zh-CN"/>
      </w:rPr>
    </w:lvl>
    <w:lvl w:ilvl="1" w:tplc="2F30BEF4">
      <w:numFmt w:val="bullet"/>
      <w:lvlText w:val="•"/>
      <w:lvlJc w:val="left"/>
      <w:pPr>
        <w:ind w:left="2108" w:hanging="318"/>
      </w:pPr>
      <w:rPr>
        <w:rFonts w:hint="default"/>
        <w:lang w:val="zh-CN" w:eastAsia="zh-CN" w:bidi="zh-CN"/>
      </w:rPr>
    </w:lvl>
    <w:lvl w:ilvl="2" w:tplc="1DE2D678">
      <w:numFmt w:val="bullet"/>
      <w:lvlText w:val="•"/>
      <w:lvlJc w:val="left"/>
      <w:pPr>
        <w:ind w:left="3057" w:hanging="318"/>
      </w:pPr>
      <w:rPr>
        <w:rFonts w:hint="default"/>
        <w:lang w:val="zh-CN" w:eastAsia="zh-CN" w:bidi="zh-CN"/>
      </w:rPr>
    </w:lvl>
    <w:lvl w:ilvl="3" w:tplc="5086B226">
      <w:numFmt w:val="bullet"/>
      <w:lvlText w:val="•"/>
      <w:lvlJc w:val="left"/>
      <w:pPr>
        <w:ind w:left="4005" w:hanging="318"/>
      </w:pPr>
      <w:rPr>
        <w:rFonts w:hint="default"/>
        <w:lang w:val="zh-CN" w:eastAsia="zh-CN" w:bidi="zh-CN"/>
      </w:rPr>
    </w:lvl>
    <w:lvl w:ilvl="4" w:tplc="07C8C5B0">
      <w:numFmt w:val="bullet"/>
      <w:lvlText w:val="•"/>
      <w:lvlJc w:val="left"/>
      <w:pPr>
        <w:ind w:left="4954" w:hanging="318"/>
      </w:pPr>
      <w:rPr>
        <w:rFonts w:hint="default"/>
        <w:lang w:val="zh-CN" w:eastAsia="zh-CN" w:bidi="zh-CN"/>
      </w:rPr>
    </w:lvl>
    <w:lvl w:ilvl="5" w:tplc="7F6CC426">
      <w:numFmt w:val="bullet"/>
      <w:lvlText w:val="•"/>
      <w:lvlJc w:val="left"/>
      <w:pPr>
        <w:ind w:left="5903" w:hanging="318"/>
      </w:pPr>
      <w:rPr>
        <w:rFonts w:hint="default"/>
        <w:lang w:val="zh-CN" w:eastAsia="zh-CN" w:bidi="zh-CN"/>
      </w:rPr>
    </w:lvl>
    <w:lvl w:ilvl="6" w:tplc="8BB2CB78">
      <w:numFmt w:val="bullet"/>
      <w:lvlText w:val="•"/>
      <w:lvlJc w:val="left"/>
      <w:pPr>
        <w:ind w:left="6851" w:hanging="318"/>
      </w:pPr>
      <w:rPr>
        <w:rFonts w:hint="default"/>
        <w:lang w:val="zh-CN" w:eastAsia="zh-CN" w:bidi="zh-CN"/>
      </w:rPr>
    </w:lvl>
    <w:lvl w:ilvl="7" w:tplc="448AF8E4">
      <w:numFmt w:val="bullet"/>
      <w:lvlText w:val="•"/>
      <w:lvlJc w:val="left"/>
      <w:pPr>
        <w:ind w:left="7800" w:hanging="318"/>
      </w:pPr>
      <w:rPr>
        <w:rFonts w:hint="default"/>
        <w:lang w:val="zh-CN" w:eastAsia="zh-CN" w:bidi="zh-CN"/>
      </w:rPr>
    </w:lvl>
    <w:lvl w:ilvl="8" w:tplc="0D20CF0E">
      <w:numFmt w:val="bullet"/>
      <w:lvlText w:val="•"/>
      <w:lvlJc w:val="left"/>
      <w:pPr>
        <w:ind w:left="8749" w:hanging="318"/>
      </w:pPr>
      <w:rPr>
        <w:rFonts w:hint="default"/>
        <w:lang w:val="zh-CN" w:eastAsia="zh-CN" w:bidi="zh-CN"/>
      </w:rPr>
    </w:lvl>
  </w:abstractNum>
  <w:abstractNum w:abstractNumId="358" w15:restartNumberingAfterBreak="0">
    <w:nsid w:val="3076529B"/>
    <w:multiLevelType w:val="hybridMultilevel"/>
    <w:tmpl w:val="A370A39E"/>
    <w:lvl w:ilvl="0" w:tplc="6FB2718A">
      <w:start w:val="1"/>
      <w:numFmt w:val="decimal"/>
      <w:lvlText w:val="%1"/>
      <w:lvlJc w:val="left"/>
      <w:pPr>
        <w:ind w:left="418" w:hanging="320"/>
        <w:jc w:val="left"/>
      </w:pPr>
      <w:rPr>
        <w:rFonts w:hint="default"/>
        <w:lang w:val="zh-CN" w:eastAsia="zh-CN" w:bidi="zh-CN"/>
      </w:rPr>
    </w:lvl>
    <w:lvl w:ilvl="1" w:tplc="1A9A063C">
      <w:start w:val="1"/>
      <w:numFmt w:val="decimal"/>
      <w:lvlText w:val="%1.%2"/>
      <w:lvlJc w:val="left"/>
      <w:pPr>
        <w:ind w:left="418" w:hanging="320"/>
        <w:jc w:val="left"/>
      </w:pPr>
      <w:rPr>
        <w:rFonts w:ascii="宋体" w:eastAsia="宋体" w:hAnsi="宋体" w:cs="宋体" w:hint="default"/>
        <w:b/>
        <w:bCs/>
        <w:w w:val="99"/>
        <w:sz w:val="19"/>
        <w:szCs w:val="19"/>
        <w:lang w:val="zh-CN" w:eastAsia="zh-CN" w:bidi="zh-CN"/>
      </w:rPr>
    </w:lvl>
    <w:lvl w:ilvl="2" w:tplc="9F2CCF10">
      <w:numFmt w:val="bullet"/>
      <w:lvlText w:val="•"/>
      <w:lvlJc w:val="left"/>
      <w:pPr>
        <w:ind w:left="2465" w:hanging="320"/>
      </w:pPr>
      <w:rPr>
        <w:rFonts w:hint="default"/>
        <w:lang w:val="zh-CN" w:eastAsia="zh-CN" w:bidi="zh-CN"/>
      </w:rPr>
    </w:lvl>
    <w:lvl w:ilvl="3" w:tplc="1AA825EA">
      <w:numFmt w:val="bullet"/>
      <w:lvlText w:val="•"/>
      <w:lvlJc w:val="left"/>
      <w:pPr>
        <w:ind w:left="3487" w:hanging="320"/>
      </w:pPr>
      <w:rPr>
        <w:rFonts w:hint="default"/>
        <w:lang w:val="zh-CN" w:eastAsia="zh-CN" w:bidi="zh-CN"/>
      </w:rPr>
    </w:lvl>
    <w:lvl w:ilvl="4" w:tplc="D67CF39E">
      <w:numFmt w:val="bullet"/>
      <w:lvlText w:val="•"/>
      <w:lvlJc w:val="left"/>
      <w:pPr>
        <w:ind w:left="4510" w:hanging="320"/>
      </w:pPr>
      <w:rPr>
        <w:rFonts w:hint="default"/>
        <w:lang w:val="zh-CN" w:eastAsia="zh-CN" w:bidi="zh-CN"/>
      </w:rPr>
    </w:lvl>
    <w:lvl w:ilvl="5" w:tplc="97A8A15A">
      <w:numFmt w:val="bullet"/>
      <w:lvlText w:val="•"/>
      <w:lvlJc w:val="left"/>
      <w:pPr>
        <w:ind w:left="5533" w:hanging="320"/>
      </w:pPr>
      <w:rPr>
        <w:rFonts w:hint="default"/>
        <w:lang w:val="zh-CN" w:eastAsia="zh-CN" w:bidi="zh-CN"/>
      </w:rPr>
    </w:lvl>
    <w:lvl w:ilvl="6" w:tplc="919225CA">
      <w:numFmt w:val="bullet"/>
      <w:lvlText w:val="•"/>
      <w:lvlJc w:val="left"/>
      <w:pPr>
        <w:ind w:left="6555" w:hanging="320"/>
      </w:pPr>
      <w:rPr>
        <w:rFonts w:hint="default"/>
        <w:lang w:val="zh-CN" w:eastAsia="zh-CN" w:bidi="zh-CN"/>
      </w:rPr>
    </w:lvl>
    <w:lvl w:ilvl="7" w:tplc="FC922C1C">
      <w:numFmt w:val="bullet"/>
      <w:lvlText w:val="•"/>
      <w:lvlJc w:val="left"/>
      <w:pPr>
        <w:ind w:left="7578" w:hanging="320"/>
      </w:pPr>
      <w:rPr>
        <w:rFonts w:hint="default"/>
        <w:lang w:val="zh-CN" w:eastAsia="zh-CN" w:bidi="zh-CN"/>
      </w:rPr>
    </w:lvl>
    <w:lvl w:ilvl="8" w:tplc="B74C68C2">
      <w:numFmt w:val="bullet"/>
      <w:lvlText w:val="•"/>
      <w:lvlJc w:val="left"/>
      <w:pPr>
        <w:ind w:left="8601" w:hanging="320"/>
      </w:pPr>
      <w:rPr>
        <w:rFonts w:hint="default"/>
        <w:lang w:val="zh-CN" w:eastAsia="zh-CN" w:bidi="zh-CN"/>
      </w:rPr>
    </w:lvl>
  </w:abstractNum>
  <w:abstractNum w:abstractNumId="359" w15:restartNumberingAfterBreak="0">
    <w:nsid w:val="30C1238E"/>
    <w:multiLevelType w:val="hybridMultilevel"/>
    <w:tmpl w:val="7D964808"/>
    <w:lvl w:ilvl="0" w:tplc="D61A4272">
      <w:start w:val="6"/>
      <w:numFmt w:val="decimal"/>
      <w:lvlText w:val="%1"/>
      <w:lvlJc w:val="left"/>
      <w:pPr>
        <w:ind w:left="1477" w:hanging="637"/>
        <w:jc w:val="left"/>
      </w:pPr>
      <w:rPr>
        <w:rFonts w:hint="default"/>
        <w:lang w:val="zh-CN" w:eastAsia="zh-CN" w:bidi="zh-CN"/>
      </w:rPr>
    </w:lvl>
    <w:lvl w:ilvl="1" w:tplc="5C92ABCE">
      <w:start w:val="2"/>
      <w:numFmt w:val="decimal"/>
      <w:lvlText w:val="%1.%2"/>
      <w:lvlJc w:val="left"/>
      <w:pPr>
        <w:ind w:left="1477" w:hanging="637"/>
        <w:jc w:val="left"/>
      </w:pPr>
      <w:rPr>
        <w:rFonts w:hint="default"/>
        <w:lang w:val="zh-CN" w:eastAsia="zh-CN" w:bidi="zh-CN"/>
      </w:rPr>
    </w:lvl>
    <w:lvl w:ilvl="2" w:tplc="703AC35A">
      <w:start w:val="16"/>
      <w:numFmt w:val="decimal"/>
      <w:lvlText w:val="%1.%2.%3"/>
      <w:lvlJc w:val="left"/>
      <w:pPr>
        <w:ind w:left="1477" w:hanging="637"/>
        <w:jc w:val="left"/>
      </w:pPr>
      <w:rPr>
        <w:rFonts w:ascii="宋体" w:eastAsia="宋体" w:hAnsi="宋体" w:cs="宋体" w:hint="default"/>
        <w:b/>
        <w:bCs/>
        <w:w w:val="99"/>
        <w:sz w:val="19"/>
        <w:szCs w:val="19"/>
        <w:lang w:val="zh-CN" w:eastAsia="zh-CN" w:bidi="zh-CN"/>
      </w:rPr>
    </w:lvl>
    <w:lvl w:ilvl="3" w:tplc="F25C66BA">
      <w:numFmt w:val="bullet"/>
      <w:lvlText w:val="•"/>
      <w:lvlJc w:val="left"/>
      <w:pPr>
        <w:ind w:left="4229" w:hanging="637"/>
      </w:pPr>
      <w:rPr>
        <w:rFonts w:hint="default"/>
        <w:lang w:val="zh-CN" w:eastAsia="zh-CN" w:bidi="zh-CN"/>
      </w:rPr>
    </w:lvl>
    <w:lvl w:ilvl="4" w:tplc="7624A5D8">
      <w:numFmt w:val="bullet"/>
      <w:lvlText w:val="•"/>
      <w:lvlJc w:val="left"/>
      <w:pPr>
        <w:ind w:left="5146" w:hanging="637"/>
      </w:pPr>
      <w:rPr>
        <w:rFonts w:hint="default"/>
        <w:lang w:val="zh-CN" w:eastAsia="zh-CN" w:bidi="zh-CN"/>
      </w:rPr>
    </w:lvl>
    <w:lvl w:ilvl="5" w:tplc="F8C09104">
      <w:numFmt w:val="bullet"/>
      <w:lvlText w:val="•"/>
      <w:lvlJc w:val="left"/>
      <w:pPr>
        <w:ind w:left="6063" w:hanging="637"/>
      </w:pPr>
      <w:rPr>
        <w:rFonts w:hint="default"/>
        <w:lang w:val="zh-CN" w:eastAsia="zh-CN" w:bidi="zh-CN"/>
      </w:rPr>
    </w:lvl>
    <w:lvl w:ilvl="6" w:tplc="B21EB44C">
      <w:numFmt w:val="bullet"/>
      <w:lvlText w:val="•"/>
      <w:lvlJc w:val="left"/>
      <w:pPr>
        <w:ind w:left="6979" w:hanging="637"/>
      </w:pPr>
      <w:rPr>
        <w:rFonts w:hint="default"/>
        <w:lang w:val="zh-CN" w:eastAsia="zh-CN" w:bidi="zh-CN"/>
      </w:rPr>
    </w:lvl>
    <w:lvl w:ilvl="7" w:tplc="5F269B2A">
      <w:numFmt w:val="bullet"/>
      <w:lvlText w:val="•"/>
      <w:lvlJc w:val="left"/>
      <w:pPr>
        <w:ind w:left="7896" w:hanging="637"/>
      </w:pPr>
      <w:rPr>
        <w:rFonts w:hint="default"/>
        <w:lang w:val="zh-CN" w:eastAsia="zh-CN" w:bidi="zh-CN"/>
      </w:rPr>
    </w:lvl>
    <w:lvl w:ilvl="8" w:tplc="0346E6DE">
      <w:numFmt w:val="bullet"/>
      <w:lvlText w:val="•"/>
      <w:lvlJc w:val="left"/>
      <w:pPr>
        <w:ind w:left="8813" w:hanging="637"/>
      </w:pPr>
      <w:rPr>
        <w:rFonts w:hint="default"/>
        <w:lang w:val="zh-CN" w:eastAsia="zh-CN" w:bidi="zh-CN"/>
      </w:rPr>
    </w:lvl>
  </w:abstractNum>
  <w:abstractNum w:abstractNumId="360" w15:restartNumberingAfterBreak="0">
    <w:nsid w:val="30D63A33"/>
    <w:multiLevelType w:val="hybridMultilevel"/>
    <w:tmpl w:val="03BA2E6A"/>
    <w:lvl w:ilvl="0" w:tplc="F8741B9C">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944CBAC0">
      <w:numFmt w:val="bullet"/>
      <w:lvlText w:val="•"/>
      <w:lvlJc w:val="left"/>
      <w:pPr>
        <w:ind w:left="2288" w:hanging="529"/>
      </w:pPr>
      <w:rPr>
        <w:rFonts w:hint="default"/>
        <w:lang w:val="zh-CN" w:eastAsia="zh-CN" w:bidi="zh-CN"/>
      </w:rPr>
    </w:lvl>
    <w:lvl w:ilvl="2" w:tplc="11A0A1E8">
      <w:numFmt w:val="bullet"/>
      <w:lvlText w:val="•"/>
      <w:lvlJc w:val="left"/>
      <w:pPr>
        <w:ind w:left="3217" w:hanging="529"/>
      </w:pPr>
      <w:rPr>
        <w:rFonts w:hint="default"/>
        <w:lang w:val="zh-CN" w:eastAsia="zh-CN" w:bidi="zh-CN"/>
      </w:rPr>
    </w:lvl>
    <w:lvl w:ilvl="3" w:tplc="C0A06C26">
      <w:numFmt w:val="bullet"/>
      <w:lvlText w:val="•"/>
      <w:lvlJc w:val="left"/>
      <w:pPr>
        <w:ind w:left="4145" w:hanging="529"/>
      </w:pPr>
      <w:rPr>
        <w:rFonts w:hint="default"/>
        <w:lang w:val="zh-CN" w:eastAsia="zh-CN" w:bidi="zh-CN"/>
      </w:rPr>
    </w:lvl>
    <w:lvl w:ilvl="4" w:tplc="5366C746">
      <w:numFmt w:val="bullet"/>
      <w:lvlText w:val="•"/>
      <w:lvlJc w:val="left"/>
      <w:pPr>
        <w:ind w:left="5074" w:hanging="529"/>
      </w:pPr>
      <w:rPr>
        <w:rFonts w:hint="default"/>
        <w:lang w:val="zh-CN" w:eastAsia="zh-CN" w:bidi="zh-CN"/>
      </w:rPr>
    </w:lvl>
    <w:lvl w:ilvl="5" w:tplc="61AA4DCC">
      <w:numFmt w:val="bullet"/>
      <w:lvlText w:val="•"/>
      <w:lvlJc w:val="left"/>
      <w:pPr>
        <w:ind w:left="6003" w:hanging="529"/>
      </w:pPr>
      <w:rPr>
        <w:rFonts w:hint="default"/>
        <w:lang w:val="zh-CN" w:eastAsia="zh-CN" w:bidi="zh-CN"/>
      </w:rPr>
    </w:lvl>
    <w:lvl w:ilvl="6" w:tplc="FCDC199E">
      <w:numFmt w:val="bullet"/>
      <w:lvlText w:val="•"/>
      <w:lvlJc w:val="left"/>
      <w:pPr>
        <w:ind w:left="6931" w:hanging="529"/>
      </w:pPr>
      <w:rPr>
        <w:rFonts w:hint="default"/>
        <w:lang w:val="zh-CN" w:eastAsia="zh-CN" w:bidi="zh-CN"/>
      </w:rPr>
    </w:lvl>
    <w:lvl w:ilvl="7" w:tplc="3120167A">
      <w:numFmt w:val="bullet"/>
      <w:lvlText w:val="•"/>
      <w:lvlJc w:val="left"/>
      <w:pPr>
        <w:ind w:left="7860" w:hanging="529"/>
      </w:pPr>
      <w:rPr>
        <w:rFonts w:hint="default"/>
        <w:lang w:val="zh-CN" w:eastAsia="zh-CN" w:bidi="zh-CN"/>
      </w:rPr>
    </w:lvl>
    <w:lvl w:ilvl="8" w:tplc="C7F6AAFE">
      <w:numFmt w:val="bullet"/>
      <w:lvlText w:val="•"/>
      <w:lvlJc w:val="left"/>
      <w:pPr>
        <w:ind w:left="8789" w:hanging="529"/>
      </w:pPr>
      <w:rPr>
        <w:rFonts w:hint="default"/>
        <w:lang w:val="zh-CN" w:eastAsia="zh-CN" w:bidi="zh-CN"/>
      </w:rPr>
    </w:lvl>
  </w:abstractNum>
  <w:abstractNum w:abstractNumId="361" w15:restartNumberingAfterBreak="0">
    <w:nsid w:val="30E5721A"/>
    <w:multiLevelType w:val="hybridMultilevel"/>
    <w:tmpl w:val="297A7046"/>
    <w:lvl w:ilvl="0" w:tplc="96361566">
      <w:start w:val="1"/>
      <w:numFmt w:val="decimal"/>
      <w:lvlText w:val="%1）"/>
      <w:lvlJc w:val="left"/>
      <w:pPr>
        <w:ind w:left="1155" w:hanging="318"/>
        <w:jc w:val="left"/>
      </w:pPr>
      <w:rPr>
        <w:rFonts w:ascii="宋体" w:eastAsia="宋体" w:hAnsi="宋体" w:cs="宋体" w:hint="default"/>
        <w:color w:val="333333"/>
        <w:w w:val="100"/>
        <w:sz w:val="19"/>
        <w:szCs w:val="19"/>
        <w:lang w:val="zh-CN" w:eastAsia="zh-CN" w:bidi="zh-CN"/>
      </w:rPr>
    </w:lvl>
    <w:lvl w:ilvl="1" w:tplc="5D6EBE00">
      <w:numFmt w:val="bullet"/>
      <w:lvlText w:val="•"/>
      <w:lvlJc w:val="left"/>
      <w:pPr>
        <w:ind w:left="2108" w:hanging="318"/>
      </w:pPr>
      <w:rPr>
        <w:rFonts w:hint="default"/>
        <w:lang w:val="zh-CN" w:eastAsia="zh-CN" w:bidi="zh-CN"/>
      </w:rPr>
    </w:lvl>
    <w:lvl w:ilvl="2" w:tplc="9C0C1812">
      <w:numFmt w:val="bullet"/>
      <w:lvlText w:val="•"/>
      <w:lvlJc w:val="left"/>
      <w:pPr>
        <w:ind w:left="3057" w:hanging="318"/>
      </w:pPr>
      <w:rPr>
        <w:rFonts w:hint="default"/>
        <w:lang w:val="zh-CN" w:eastAsia="zh-CN" w:bidi="zh-CN"/>
      </w:rPr>
    </w:lvl>
    <w:lvl w:ilvl="3" w:tplc="AD30A640">
      <w:numFmt w:val="bullet"/>
      <w:lvlText w:val="•"/>
      <w:lvlJc w:val="left"/>
      <w:pPr>
        <w:ind w:left="4005" w:hanging="318"/>
      </w:pPr>
      <w:rPr>
        <w:rFonts w:hint="default"/>
        <w:lang w:val="zh-CN" w:eastAsia="zh-CN" w:bidi="zh-CN"/>
      </w:rPr>
    </w:lvl>
    <w:lvl w:ilvl="4" w:tplc="682A8E8A">
      <w:numFmt w:val="bullet"/>
      <w:lvlText w:val="•"/>
      <w:lvlJc w:val="left"/>
      <w:pPr>
        <w:ind w:left="4954" w:hanging="318"/>
      </w:pPr>
      <w:rPr>
        <w:rFonts w:hint="default"/>
        <w:lang w:val="zh-CN" w:eastAsia="zh-CN" w:bidi="zh-CN"/>
      </w:rPr>
    </w:lvl>
    <w:lvl w:ilvl="5" w:tplc="E9223AC4">
      <w:numFmt w:val="bullet"/>
      <w:lvlText w:val="•"/>
      <w:lvlJc w:val="left"/>
      <w:pPr>
        <w:ind w:left="5903" w:hanging="318"/>
      </w:pPr>
      <w:rPr>
        <w:rFonts w:hint="default"/>
        <w:lang w:val="zh-CN" w:eastAsia="zh-CN" w:bidi="zh-CN"/>
      </w:rPr>
    </w:lvl>
    <w:lvl w:ilvl="6" w:tplc="D7A428FE">
      <w:numFmt w:val="bullet"/>
      <w:lvlText w:val="•"/>
      <w:lvlJc w:val="left"/>
      <w:pPr>
        <w:ind w:left="6851" w:hanging="318"/>
      </w:pPr>
      <w:rPr>
        <w:rFonts w:hint="default"/>
        <w:lang w:val="zh-CN" w:eastAsia="zh-CN" w:bidi="zh-CN"/>
      </w:rPr>
    </w:lvl>
    <w:lvl w:ilvl="7" w:tplc="223A8DC4">
      <w:numFmt w:val="bullet"/>
      <w:lvlText w:val="•"/>
      <w:lvlJc w:val="left"/>
      <w:pPr>
        <w:ind w:left="7800" w:hanging="318"/>
      </w:pPr>
      <w:rPr>
        <w:rFonts w:hint="default"/>
        <w:lang w:val="zh-CN" w:eastAsia="zh-CN" w:bidi="zh-CN"/>
      </w:rPr>
    </w:lvl>
    <w:lvl w:ilvl="8" w:tplc="30A815AA">
      <w:numFmt w:val="bullet"/>
      <w:lvlText w:val="•"/>
      <w:lvlJc w:val="left"/>
      <w:pPr>
        <w:ind w:left="8749" w:hanging="318"/>
      </w:pPr>
      <w:rPr>
        <w:rFonts w:hint="default"/>
        <w:lang w:val="zh-CN" w:eastAsia="zh-CN" w:bidi="zh-CN"/>
      </w:rPr>
    </w:lvl>
  </w:abstractNum>
  <w:abstractNum w:abstractNumId="362" w15:restartNumberingAfterBreak="0">
    <w:nsid w:val="31053CBE"/>
    <w:multiLevelType w:val="hybridMultilevel"/>
    <w:tmpl w:val="EBC213F6"/>
    <w:lvl w:ilvl="0" w:tplc="375E8190">
      <w:start w:val="1"/>
      <w:numFmt w:val="lowerLetter"/>
      <w:lvlText w:val="%1)"/>
      <w:lvlJc w:val="left"/>
      <w:pPr>
        <w:ind w:left="418" w:hanging="213"/>
        <w:jc w:val="left"/>
      </w:pPr>
      <w:rPr>
        <w:rFonts w:ascii="宋体" w:eastAsia="宋体" w:hAnsi="宋体" w:cs="宋体" w:hint="default"/>
        <w:spacing w:val="-55"/>
        <w:w w:val="100"/>
        <w:sz w:val="19"/>
        <w:szCs w:val="19"/>
        <w:lang w:val="zh-CN" w:eastAsia="zh-CN" w:bidi="zh-CN"/>
      </w:rPr>
    </w:lvl>
    <w:lvl w:ilvl="1" w:tplc="EDCC5A12">
      <w:numFmt w:val="bullet"/>
      <w:lvlText w:val="•"/>
      <w:lvlJc w:val="left"/>
      <w:pPr>
        <w:ind w:left="1442" w:hanging="213"/>
      </w:pPr>
      <w:rPr>
        <w:rFonts w:hint="default"/>
        <w:lang w:val="zh-CN" w:eastAsia="zh-CN" w:bidi="zh-CN"/>
      </w:rPr>
    </w:lvl>
    <w:lvl w:ilvl="2" w:tplc="DFDA339E">
      <w:numFmt w:val="bullet"/>
      <w:lvlText w:val="•"/>
      <w:lvlJc w:val="left"/>
      <w:pPr>
        <w:ind w:left="2465" w:hanging="213"/>
      </w:pPr>
      <w:rPr>
        <w:rFonts w:hint="default"/>
        <w:lang w:val="zh-CN" w:eastAsia="zh-CN" w:bidi="zh-CN"/>
      </w:rPr>
    </w:lvl>
    <w:lvl w:ilvl="3" w:tplc="7C9A937A">
      <w:numFmt w:val="bullet"/>
      <w:lvlText w:val="•"/>
      <w:lvlJc w:val="left"/>
      <w:pPr>
        <w:ind w:left="3487" w:hanging="213"/>
      </w:pPr>
      <w:rPr>
        <w:rFonts w:hint="default"/>
        <w:lang w:val="zh-CN" w:eastAsia="zh-CN" w:bidi="zh-CN"/>
      </w:rPr>
    </w:lvl>
    <w:lvl w:ilvl="4" w:tplc="1370F53E">
      <w:numFmt w:val="bullet"/>
      <w:lvlText w:val="•"/>
      <w:lvlJc w:val="left"/>
      <w:pPr>
        <w:ind w:left="4510" w:hanging="213"/>
      </w:pPr>
      <w:rPr>
        <w:rFonts w:hint="default"/>
        <w:lang w:val="zh-CN" w:eastAsia="zh-CN" w:bidi="zh-CN"/>
      </w:rPr>
    </w:lvl>
    <w:lvl w:ilvl="5" w:tplc="ED3C9D52">
      <w:numFmt w:val="bullet"/>
      <w:lvlText w:val="•"/>
      <w:lvlJc w:val="left"/>
      <w:pPr>
        <w:ind w:left="5533" w:hanging="213"/>
      </w:pPr>
      <w:rPr>
        <w:rFonts w:hint="default"/>
        <w:lang w:val="zh-CN" w:eastAsia="zh-CN" w:bidi="zh-CN"/>
      </w:rPr>
    </w:lvl>
    <w:lvl w:ilvl="6" w:tplc="D158A67E">
      <w:numFmt w:val="bullet"/>
      <w:lvlText w:val="•"/>
      <w:lvlJc w:val="left"/>
      <w:pPr>
        <w:ind w:left="6555" w:hanging="213"/>
      </w:pPr>
      <w:rPr>
        <w:rFonts w:hint="default"/>
        <w:lang w:val="zh-CN" w:eastAsia="zh-CN" w:bidi="zh-CN"/>
      </w:rPr>
    </w:lvl>
    <w:lvl w:ilvl="7" w:tplc="A782D5CA">
      <w:numFmt w:val="bullet"/>
      <w:lvlText w:val="•"/>
      <w:lvlJc w:val="left"/>
      <w:pPr>
        <w:ind w:left="7578" w:hanging="213"/>
      </w:pPr>
      <w:rPr>
        <w:rFonts w:hint="default"/>
        <w:lang w:val="zh-CN" w:eastAsia="zh-CN" w:bidi="zh-CN"/>
      </w:rPr>
    </w:lvl>
    <w:lvl w:ilvl="8" w:tplc="52EA72E2">
      <w:numFmt w:val="bullet"/>
      <w:lvlText w:val="•"/>
      <w:lvlJc w:val="left"/>
      <w:pPr>
        <w:ind w:left="8601" w:hanging="213"/>
      </w:pPr>
      <w:rPr>
        <w:rFonts w:hint="default"/>
        <w:lang w:val="zh-CN" w:eastAsia="zh-CN" w:bidi="zh-CN"/>
      </w:rPr>
    </w:lvl>
  </w:abstractNum>
  <w:abstractNum w:abstractNumId="363" w15:restartNumberingAfterBreak="0">
    <w:nsid w:val="310F59EE"/>
    <w:multiLevelType w:val="hybridMultilevel"/>
    <w:tmpl w:val="793ED3E0"/>
    <w:lvl w:ilvl="0" w:tplc="DFBE0AEA">
      <w:start w:val="1"/>
      <w:numFmt w:val="decimal"/>
      <w:lvlText w:val="（%1）"/>
      <w:lvlJc w:val="left"/>
      <w:pPr>
        <w:ind w:left="418" w:hanging="532"/>
        <w:jc w:val="left"/>
      </w:pPr>
      <w:rPr>
        <w:rFonts w:ascii="宋体" w:eastAsia="宋体" w:hAnsi="宋体" w:cs="宋体" w:hint="default"/>
        <w:spacing w:val="0"/>
        <w:w w:val="100"/>
        <w:sz w:val="19"/>
        <w:szCs w:val="19"/>
        <w:lang w:val="zh-CN" w:eastAsia="zh-CN" w:bidi="zh-CN"/>
      </w:rPr>
    </w:lvl>
    <w:lvl w:ilvl="1" w:tplc="FD148FAE">
      <w:numFmt w:val="bullet"/>
      <w:lvlText w:val="•"/>
      <w:lvlJc w:val="left"/>
      <w:pPr>
        <w:ind w:left="1442" w:hanging="532"/>
      </w:pPr>
      <w:rPr>
        <w:rFonts w:hint="default"/>
        <w:lang w:val="zh-CN" w:eastAsia="zh-CN" w:bidi="zh-CN"/>
      </w:rPr>
    </w:lvl>
    <w:lvl w:ilvl="2" w:tplc="960CD762">
      <w:numFmt w:val="bullet"/>
      <w:lvlText w:val="•"/>
      <w:lvlJc w:val="left"/>
      <w:pPr>
        <w:ind w:left="2465" w:hanging="532"/>
      </w:pPr>
      <w:rPr>
        <w:rFonts w:hint="default"/>
        <w:lang w:val="zh-CN" w:eastAsia="zh-CN" w:bidi="zh-CN"/>
      </w:rPr>
    </w:lvl>
    <w:lvl w:ilvl="3" w:tplc="6A34CB26">
      <w:numFmt w:val="bullet"/>
      <w:lvlText w:val="•"/>
      <w:lvlJc w:val="left"/>
      <w:pPr>
        <w:ind w:left="3487" w:hanging="532"/>
      </w:pPr>
      <w:rPr>
        <w:rFonts w:hint="default"/>
        <w:lang w:val="zh-CN" w:eastAsia="zh-CN" w:bidi="zh-CN"/>
      </w:rPr>
    </w:lvl>
    <w:lvl w:ilvl="4" w:tplc="123E3CEA">
      <w:numFmt w:val="bullet"/>
      <w:lvlText w:val="•"/>
      <w:lvlJc w:val="left"/>
      <w:pPr>
        <w:ind w:left="4510" w:hanging="532"/>
      </w:pPr>
      <w:rPr>
        <w:rFonts w:hint="default"/>
        <w:lang w:val="zh-CN" w:eastAsia="zh-CN" w:bidi="zh-CN"/>
      </w:rPr>
    </w:lvl>
    <w:lvl w:ilvl="5" w:tplc="32520454">
      <w:numFmt w:val="bullet"/>
      <w:lvlText w:val="•"/>
      <w:lvlJc w:val="left"/>
      <w:pPr>
        <w:ind w:left="5533" w:hanging="532"/>
      </w:pPr>
      <w:rPr>
        <w:rFonts w:hint="default"/>
        <w:lang w:val="zh-CN" w:eastAsia="zh-CN" w:bidi="zh-CN"/>
      </w:rPr>
    </w:lvl>
    <w:lvl w:ilvl="6" w:tplc="5BA0962E">
      <w:numFmt w:val="bullet"/>
      <w:lvlText w:val="•"/>
      <w:lvlJc w:val="left"/>
      <w:pPr>
        <w:ind w:left="6555" w:hanging="532"/>
      </w:pPr>
      <w:rPr>
        <w:rFonts w:hint="default"/>
        <w:lang w:val="zh-CN" w:eastAsia="zh-CN" w:bidi="zh-CN"/>
      </w:rPr>
    </w:lvl>
    <w:lvl w:ilvl="7" w:tplc="D3920EEC">
      <w:numFmt w:val="bullet"/>
      <w:lvlText w:val="•"/>
      <w:lvlJc w:val="left"/>
      <w:pPr>
        <w:ind w:left="7578" w:hanging="532"/>
      </w:pPr>
      <w:rPr>
        <w:rFonts w:hint="default"/>
        <w:lang w:val="zh-CN" w:eastAsia="zh-CN" w:bidi="zh-CN"/>
      </w:rPr>
    </w:lvl>
    <w:lvl w:ilvl="8" w:tplc="E9E0CCCC">
      <w:numFmt w:val="bullet"/>
      <w:lvlText w:val="•"/>
      <w:lvlJc w:val="left"/>
      <w:pPr>
        <w:ind w:left="8601" w:hanging="532"/>
      </w:pPr>
      <w:rPr>
        <w:rFonts w:hint="default"/>
        <w:lang w:val="zh-CN" w:eastAsia="zh-CN" w:bidi="zh-CN"/>
      </w:rPr>
    </w:lvl>
  </w:abstractNum>
  <w:abstractNum w:abstractNumId="364" w15:restartNumberingAfterBreak="0">
    <w:nsid w:val="3119391E"/>
    <w:multiLevelType w:val="hybridMultilevel"/>
    <w:tmpl w:val="080AD6B4"/>
    <w:lvl w:ilvl="0" w:tplc="6700D49E">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54BABBA0">
      <w:numFmt w:val="bullet"/>
      <w:lvlText w:val="•"/>
      <w:lvlJc w:val="left"/>
      <w:pPr>
        <w:ind w:left="2288" w:hanging="529"/>
      </w:pPr>
      <w:rPr>
        <w:rFonts w:hint="default"/>
        <w:lang w:val="zh-CN" w:eastAsia="zh-CN" w:bidi="zh-CN"/>
      </w:rPr>
    </w:lvl>
    <w:lvl w:ilvl="2" w:tplc="5F2A642A">
      <w:numFmt w:val="bullet"/>
      <w:lvlText w:val="•"/>
      <w:lvlJc w:val="left"/>
      <w:pPr>
        <w:ind w:left="3217" w:hanging="529"/>
      </w:pPr>
      <w:rPr>
        <w:rFonts w:hint="default"/>
        <w:lang w:val="zh-CN" w:eastAsia="zh-CN" w:bidi="zh-CN"/>
      </w:rPr>
    </w:lvl>
    <w:lvl w:ilvl="3" w:tplc="11BCAC18">
      <w:numFmt w:val="bullet"/>
      <w:lvlText w:val="•"/>
      <w:lvlJc w:val="left"/>
      <w:pPr>
        <w:ind w:left="4145" w:hanging="529"/>
      </w:pPr>
      <w:rPr>
        <w:rFonts w:hint="default"/>
        <w:lang w:val="zh-CN" w:eastAsia="zh-CN" w:bidi="zh-CN"/>
      </w:rPr>
    </w:lvl>
    <w:lvl w:ilvl="4" w:tplc="9F3E875A">
      <w:numFmt w:val="bullet"/>
      <w:lvlText w:val="•"/>
      <w:lvlJc w:val="left"/>
      <w:pPr>
        <w:ind w:left="5074" w:hanging="529"/>
      </w:pPr>
      <w:rPr>
        <w:rFonts w:hint="default"/>
        <w:lang w:val="zh-CN" w:eastAsia="zh-CN" w:bidi="zh-CN"/>
      </w:rPr>
    </w:lvl>
    <w:lvl w:ilvl="5" w:tplc="260AD93A">
      <w:numFmt w:val="bullet"/>
      <w:lvlText w:val="•"/>
      <w:lvlJc w:val="left"/>
      <w:pPr>
        <w:ind w:left="6003" w:hanging="529"/>
      </w:pPr>
      <w:rPr>
        <w:rFonts w:hint="default"/>
        <w:lang w:val="zh-CN" w:eastAsia="zh-CN" w:bidi="zh-CN"/>
      </w:rPr>
    </w:lvl>
    <w:lvl w:ilvl="6" w:tplc="FE12B9C4">
      <w:numFmt w:val="bullet"/>
      <w:lvlText w:val="•"/>
      <w:lvlJc w:val="left"/>
      <w:pPr>
        <w:ind w:left="6931" w:hanging="529"/>
      </w:pPr>
      <w:rPr>
        <w:rFonts w:hint="default"/>
        <w:lang w:val="zh-CN" w:eastAsia="zh-CN" w:bidi="zh-CN"/>
      </w:rPr>
    </w:lvl>
    <w:lvl w:ilvl="7" w:tplc="441AEA4A">
      <w:numFmt w:val="bullet"/>
      <w:lvlText w:val="•"/>
      <w:lvlJc w:val="left"/>
      <w:pPr>
        <w:ind w:left="7860" w:hanging="529"/>
      </w:pPr>
      <w:rPr>
        <w:rFonts w:hint="default"/>
        <w:lang w:val="zh-CN" w:eastAsia="zh-CN" w:bidi="zh-CN"/>
      </w:rPr>
    </w:lvl>
    <w:lvl w:ilvl="8" w:tplc="AE6E5BCE">
      <w:numFmt w:val="bullet"/>
      <w:lvlText w:val="•"/>
      <w:lvlJc w:val="left"/>
      <w:pPr>
        <w:ind w:left="8789" w:hanging="529"/>
      </w:pPr>
      <w:rPr>
        <w:rFonts w:hint="default"/>
        <w:lang w:val="zh-CN" w:eastAsia="zh-CN" w:bidi="zh-CN"/>
      </w:rPr>
    </w:lvl>
  </w:abstractNum>
  <w:abstractNum w:abstractNumId="365" w15:restartNumberingAfterBreak="0">
    <w:nsid w:val="311C392A"/>
    <w:multiLevelType w:val="hybridMultilevel"/>
    <w:tmpl w:val="A008C31E"/>
    <w:lvl w:ilvl="0" w:tplc="0E7AC268">
      <w:start w:val="1"/>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CAA47BB0">
      <w:numFmt w:val="bullet"/>
      <w:lvlText w:val="•"/>
      <w:lvlJc w:val="left"/>
      <w:pPr>
        <w:ind w:left="2018" w:hanging="213"/>
      </w:pPr>
      <w:rPr>
        <w:rFonts w:hint="default"/>
        <w:lang w:val="zh-CN" w:eastAsia="zh-CN" w:bidi="zh-CN"/>
      </w:rPr>
    </w:lvl>
    <w:lvl w:ilvl="2" w:tplc="7CA07B14">
      <w:numFmt w:val="bullet"/>
      <w:lvlText w:val="•"/>
      <w:lvlJc w:val="left"/>
      <w:pPr>
        <w:ind w:left="2977" w:hanging="213"/>
      </w:pPr>
      <w:rPr>
        <w:rFonts w:hint="default"/>
        <w:lang w:val="zh-CN" w:eastAsia="zh-CN" w:bidi="zh-CN"/>
      </w:rPr>
    </w:lvl>
    <w:lvl w:ilvl="3" w:tplc="43AA50A4">
      <w:numFmt w:val="bullet"/>
      <w:lvlText w:val="•"/>
      <w:lvlJc w:val="left"/>
      <w:pPr>
        <w:ind w:left="3935" w:hanging="213"/>
      </w:pPr>
      <w:rPr>
        <w:rFonts w:hint="default"/>
        <w:lang w:val="zh-CN" w:eastAsia="zh-CN" w:bidi="zh-CN"/>
      </w:rPr>
    </w:lvl>
    <w:lvl w:ilvl="4" w:tplc="00FAC43E">
      <w:numFmt w:val="bullet"/>
      <w:lvlText w:val="•"/>
      <w:lvlJc w:val="left"/>
      <w:pPr>
        <w:ind w:left="4894" w:hanging="213"/>
      </w:pPr>
      <w:rPr>
        <w:rFonts w:hint="default"/>
        <w:lang w:val="zh-CN" w:eastAsia="zh-CN" w:bidi="zh-CN"/>
      </w:rPr>
    </w:lvl>
    <w:lvl w:ilvl="5" w:tplc="1ACA2E32">
      <w:numFmt w:val="bullet"/>
      <w:lvlText w:val="•"/>
      <w:lvlJc w:val="left"/>
      <w:pPr>
        <w:ind w:left="5853" w:hanging="213"/>
      </w:pPr>
      <w:rPr>
        <w:rFonts w:hint="default"/>
        <w:lang w:val="zh-CN" w:eastAsia="zh-CN" w:bidi="zh-CN"/>
      </w:rPr>
    </w:lvl>
    <w:lvl w:ilvl="6" w:tplc="BF803CB0">
      <w:numFmt w:val="bullet"/>
      <w:lvlText w:val="•"/>
      <w:lvlJc w:val="left"/>
      <w:pPr>
        <w:ind w:left="6811" w:hanging="213"/>
      </w:pPr>
      <w:rPr>
        <w:rFonts w:hint="default"/>
        <w:lang w:val="zh-CN" w:eastAsia="zh-CN" w:bidi="zh-CN"/>
      </w:rPr>
    </w:lvl>
    <w:lvl w:ilvl="7" w:tplc="74D6A166">
      <w:numFmt w:val="bullet"/>
      <w:lvlText w:val="•"/>
      <w:lvlJc w:val="left"/>
      <w:pPr>
        <w:ind w:left="7770" w:hanging="213"/>
      </w:pPr>
      <w:rPr>
        <w:rFonts w:hint="default"/>
        <w:lang w:val="zh-CN" w:eastAsia="zh-CN" w:bidi="zh-CN"/>
      </w:rPr>
    </w:lvl>
    <w:lvl w:ilvl="8" w:tplc="5EFE8E40">
      <w:numFmt w:val="bullet"/>
      <w:lvlText w:val="•"/>
      <w:lvlJc w:val="left"/>
      <w:pPr>
        <w:ind w:left="8729" w:hanging="213"/>
      </w:pPr>
      <w:rPr>
        <w:rFonts w:hint="default"/>
        <w:lang w:val="zh-CN" w:eastAsia="zh-CN" w:bidi="zh-CN"/>
      </w:rPr>
    </w:lvl>
  </w:abstractNum>
  <w:abstractNum w:abstractNumId="366" w15:restartNumberingAfterBreak="0">
    <w:nsid w:val="31345E5B"/>
    <w:multiLevelType w:val="hybridMultilevel"/>
    <w:tmpl w:val="44C49D9E"/>
    <w:lvl w:ilvl="0" w:tplc="6166F8E2">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A3661792">
      <w:numFmt w:val="bullet"/>
      <w:lvlText w:val="•"/>
      <w:lvlJc w:val="left"/>
      <w:pPr>
        <w:ind w:left="1442" w:hanging="529"/>
      </w:pPr>
      <w:rPr>
        <w:rFonts w:hint="default"/>
        <w:lang w:val="zh-CN" w:eastAsia="zh-CN" w:bidi="zh-CN"/>
      </w:rPr>
    </w:lvl>
    <w:lvl w:ilvl="2" w:tplc="C1A69DEE">
      <w:numFmt w:val="bullet"/>
      <w:lvlText w:val="•"/>
      <w:lvlJc w:val="left"/>
      <w:pPr>
        <w:ind w:left="2465" w:hanging="529"/>
      </w:pPr>
      <w:rPr>
        <w:rFonts w:hint="default"/>
        <w:lang w:val="zh-CN" w:eastAsia="zh-CN" w:bidi="zh-CN"/>
      </w:rPr>
    </w:lvl>
    <w:lvl w:ilvl="3" w:tplc="53FA2264">
      <w:numFmt w:val="bullet"/>
      <w:lvlText w:val="•"/>
      <w:lvlJc w:val="left"/>
      <w:pPr>
        <w:ind w:left="3487" w:hanging="529"/>
      </w:pPr>
      <w:rPr>
        <w:rFonts w:hint="default"/>
        <w:lang w:val="zh-CN" w:eastAsia="zh-CN" w:bidi="zh-CN"/>
      </w:rPr>
    </w:lvl>
    <w:lvl w:ilvl="4" w:tplc="AE36F368">
      <w:numFmt w:val="bullet"/>
      <w:lvlText w:val="•"/>
      <w:lvlJc w:val="left"/>
      <w:pPr>
        <w:ind w:left="4510" w:hanging="529"/>
      </w:pPr>
      <w:rPr>
        <w:rFonts w:hint="default"/>
        <w:lang w:val="zh-CN" w:eastAsia="zh-CN" w:bidi="zh-CN"/>
      </w:rPr>
    </w:lvl>
    <w:lvl w:ilvl="5" w:tplc="61406BD8">
      <w:numFmt w:val="bullet"/>
      <w:lvlText w:val="•"/>
      <w:lvlJc w:val="left"/>
      <w:pPr>
        <w:ind w:left="5533" w:hanging="529"/>
      </w:pPr>
      <w:rPr>
        <w:rFonts w:hint="default"/>
        <w:lang w:val="zh-CN" w:eastAsia="zh-CN" w:bidi="zh-CN"/>
      </w:rPr>
    </w:lvl>
    <w:lvl w:ilvl="6" w:tplc="B3AC74C2">
      <w:numFmt w:val="bullet"/>
      <w:lvlText w:val="•"/>
      <w:lvlJc w:val="left"/>
      <w:pPr>
        <w:ind w:left="6555" w:hanging="529"/>
      </w:pPr>
      <w:rPr>
        <w:rFonts w:hint="default"/>
        <w:lang w:val="zh-CN" w:eastAsia="zh-CN" w:bidi="zh-CN"/>
      </w:rPr>
    </w:lvl>
    <w:lvl w:ilvl="7" w:tplc="B1A6B340">
      <w:numFmt w:val="bullet"/>
      <w:lvlText w:val="•"/>
      <w:lvlJc w:val="left"/>
      <w:pPr>
        <w:ind w:left="7578" w:hanging="529"/>
      </w:pPr>
      <w:rPr>
        <w:rFonts w:hint="default"/>
        <w:lang w:val="zh-CN" w:eastAsia="zh-CN" w:bidi="zh-CN"/>
      </w:rPr>
    </w:lvl>
    <w:lvl w:ilvl="8" w:tplc="543E2FE0">
      <w:numFmt w:val="bullet"/>
      <w:lvlText w:val="•"/>
      <w:lvlJc w:val="left"/>
      <w:pPr>
        <w:ind w:left="8601" w:hanging="529"/>
      </w:pPr>
      <w:rPr>
        <w:rFonts w:hint="default"/>
        <w:lang w:val="zh-CN" w:eastAsia="zh-CN" w:bidi="zh-CN"/>
      </w:rPr>
    </w:lvl>
  </w:abstractNum>
  <w:abstractNum w:abstractNumId="367" w15:restartNumberingAfterBreak="0">
    <w:nsid w:val="31AE1963"/>
    <w:multiLevelType w:val="hybridMultilevel"/>
    <w:tmpl w:val="5BE604CA"/>
    <w:lvl w:ilvl="0" w:tplc="2A2C5744">
      <w:start w:val="5"/>
      <w:numFmt w:val="decimal"/>
      <w:lvlText w:val="%1"/>
      <w:lvlJc w:val="left"/>
      <w:pPr>
        <w:ind w:left="418" w:hanging="529"/>
        <w:jc w:val="left"/>
      </w:pPr>
      <w:rPr>
        <w:rFonts w:hint="default"/>
        <w:lang w:val="zh-CN" w:eastAsia="zh-CN" w:bidi="zh-CN"/>
      </w:rPr>
    </w:lvl>
    <w:lvl w:ilvl="1" w:tplc="38429366">
      <w:start w:val="8"/>
      <w:numFmt w:val="decimal"/>
      <w:lvlText w:val="%1.%2"/>
      <w:lvlJc w:val="left"/>
      <w:pPr>
        <w:ind w:left="418" w:hanging="529"/>
        <w:jc w:val="left"/>
      </w:pPr>
      <w:rPr>
        <w:rFonts w:hint="default"/>
        <w:lang w:val="zh-CN" w:eastAsia="zh-CN" w:bidi="zh-CN"/>
      </w:rPr>
    </w:lvl>
    <w:lvl w:ilvl="2" w:tplc="538A6402">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F9C22E24">
      <w:numFmt w:val="bullet"/>
      <w:lvlText w:val="•"/>
      <w:lvlJc w:val="left"/>
      <w:pPr>
        <w:ind w:left="3487" w:hanging="529"/>
      </w:pPr>
      <w:rPr>
        <w:rFonts w:hint="default"/>
        <w:lang w:val="zh-CN" w:eastAsia="zh-CN" w:bidi="zh-CN"/>
      </w:rPr>
    </w:lvl>
    <w:lvl w:ilvl="4" w:tplc="704C7B5E">
      <w:numFmt w:val="bullet"/>
      <w:lvlText w:val="•"/>
      <w:lvlJc w:val="left"/>
      <w:pPr>
        <w:ind w:left="4510" w:hanging="529"/>
      </w:pPr>
      <w:rPr>
        <w:rFonts w:hint="default"/>
        <w:lang w:val="zh-CN" w:eastAsia="zh-CN" w:bidi="zh-CN"/>
      </w:rPr>
    </w:lvl>
    <w:lvl w:ilvl="5" w:tplc="3CF4AC54">
      <w:numFmt w:val="bullet"/>
      <w:lvlText w:val="•"/>
      <w:lvlJc w:val="left"/>
      <w:pPr>
        <w:ind w:left="5533" w:hanging="529"/>
      </w:pPr>
      <w:rPr>
        <w:rFonts w:hint="default"/>
        <w:lang w:val="zh-CN" w:eastAsia="zh-CN" w:bidi="zh-CN"/>
      </w:rPr>
    </w:lvl>
    <w:lvl w:ilvl="6" w:tplc="A21CA910">
      <w:numFmt w:val="bullet"/>
      <w:lvlText w:val="•"/>
      <w:lvlJc w:val="left"/>
      <w:pPr>
        <w:ind w:left="6555" w:hanging="529"/>
      </w:pPr>
      <w:rPr>
        <w:rFonts w:hint="default"/>
        <w:lang w:val="zh-CN" w:eastAsia="zh-CN" w:bidi="zh-CN"/>
      </w:rPr>
    </w:lvl>
    <w:lvl w:ilvl="7" w:tplc="75D623EC">
      <w:numFmt w:val="bullet"/>
      <w:lvlText w:val="•"/>
      <w:lvlJc w:val="left"/>
      <w:pPr>
        <w:ind w:left="7578" w:hanging="529"/>
      </w:pPr>
      <w:rPr>
        <w:rFonts w:hint="default"/>
        <w:lang w:val="zh-CN" w:eastAsia="zh-CN" w:bidi="zh-CN"/>
      </w:rPr>
    </w:lvl>
    <w:lvl w:ilvl="8" w:tplc="766A3822">
      <w:numFmt w:val="bullet"/>
      <w:lvlText w:val="•"/>
      <w:lvlJc w:val="left"/>
      <w:pPr>
        <w:ind w:left="8601" w:hanging="529"/>
      </w:pPr>
      <w:rPr>
        <w:rFonts w:hint="default"/>
        <w:lang w:val="zh-CN" w:eastAsia="zh-CN" w:bidi="zh-CN"/>
      </w:rPr>
    </w:lvl>
  </w:abstractNum>
  <w:abstractNum w:abstractNumId="368" w15:restartNumberingAfterBreak="0">
    <w:nsid w:val="31AF38D3"/>
    <w:multiLevelType w:val="hybridMultilevel"/>
    <w:tmpl w:val="5B5E9810"/>
    <w:lvl w:ilvl="0" w:tplc="2F3C5CD6">
      <w:start w:val="4"/>
      <w:numFmt w:val="decimal"/>
      <w:lvlText w:val="%1"/>
      <w:lvlJc w:val="left"/>
      <w:pPr>
        <w:ind w:left="1158" w:hanging="318"/>
        <w:jc w:val="left"/>
      </w:pPr>
      <w:rPr>
        <w:rFonts w:hint="default"/>
        <w:lang w:val="zh-CN" w:eastAsia="zh-CN" w:bidi="zh-CN"/>
      </w:rPr>
    </w:lvl>
    <w:lvl w:ilvl="1" w:tplc="FD7C4C88">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6970829A">
      <w:start w:val="1"/>
      <w:numFmt w:val="decimal"/>
      <w:lvlText w:val="%1.%2.%3"/>
      <w:lvlJc w:val="left"/>
      <w:pPr>
        <w:ind w:left="418" w:hanging="531"/>
        <w:jc w:val="left"/>
      </w:pPr>
      <w:rPr>
        <w:rFonts w:ascii="宋体" w:eastAsia="宋体" w:hAnsi="宋体" w:cs="宋体" w:hint="default"/>
        <w:b/>
        <w:bCs/>
        <w:color w:val="333333"/>
        <w:w w:val="99"/>
        <w:sz w:val="19"/>
        <w:szCs w:val="19"/>
        <w:lang w:val="zh-CN" w:eastAsia="zh-CN" w:bidi="zh-CN"/>
      </w:rPr>
    </w:lvl>
    <w:lvl w:ilvl="3" w:tplc="F2124C20">
      <w:numFmt w:val="bullet"/>
      <w:lvlText w:val="•"/>
      <w:lvlJc w:val="left"/>
      <w:pPr>
        <w:ind w:left="2520" w:hanging="531"/>
      </w:pPr>
      <w:rPr>
        <w:rFonts w:hint="default"/>
        <w:lang w:val="zh-CN" w:eastAsia="zh-CN" w:bidi="zh-CN"/>
      </w:rPr>
    </w:lvl>
    <w:lvl w:ilvl="4" w:tplc="E5ACAB90">
      <w:numFmt w:val="bullet"/>
      <w:lvlText w:val="•"/>
      <w:lvlJc w:val="left"/>
      <w:pPr>
        <w:ind w:left="3681" w:hanging="531"/>
      </w:pPr>
      <w:rPr>
        <w:rFonts w:hint="default"/>
        <w:lang w:val="zh-CN" w:eastAsia="zh-CN" w:bidi="zh-CN"/>
      </w:rPr>
    </w:lvl>
    <w:lvl w:ilvl="5" w:tplc="3CE214DA">
      <w:numFmt w:val="bullet"/>
      <w:lvlText w:val="•"/>
      <w:lvlJc w:val="left"/>
      <w:pPr>
        <w:ind w:left="4842" w:hanging="531"/>
      </w:pPr>
      <w:rPr>
        <w:rFonts w:hint="default"/>
        <w:lang w:val="zh-CN" w:eastAsia="zh-CN" w:bidi="zh-CN"/>
      </w:rPr>
    </w:lvl>
    <w:lvl w:ilvl="6" w:tplc="43904D7E">
      <w:numFmt w:val="bullet"/>
      <w:lvlText w:val="•"/>
      <w:lvlJc w:val="left"/>
      <w:pPr>
        <w:ind w:left="6003" w:hanging="531"/>
      </w:pPr>
      <w:rPr>
        <w:rFonts w:hint="default"/>
        <w:lang w:val="zh-CN" w:eastAsia="zh-CN" w:bidi="zh-CN"/>
      </w:rPr>
    </w:lvl>
    <w:lvl w:ilvl="7" w:tplc="2CE8331E">
      <w:numFmt w:val="bullet"/>
      <w:lvlText w:val="•"/>
      <w:lvlJc w:val="left"/>
      <w:pPr>
        <w:ind w:left="7164" w:hanging="531"/>
      </w:pPr>
      <w:rPr>
        <w:rFonts w:hint="default"/>
        <w:lang w:val="zh-CN" w:eastAsia="zh-CN" w:bidi="zh-CN"/>
      </w:rPr>
    </w:lvl>
    <w:lvl w:ilvl="8" w:tplc="58CCF618">
      <w:numFmt w:val="bullet"/>
      <w:lvlText w:val="•"/>
      <w:lvlJc w:val="left"/>
      <w:pPr>
        <w:ind w:left="8324" w:hanging="531"/>
      </w:pPr>
      <w:rPr>
        <w:rFonts w:hint="default"/>
        <w:lang w:val="zh-CN" w:eastAsia="zh-CN" w:bidi="zh-CN"/>
      </w:rPr>
    </w:lvl>
  </w:abstractNum>
  <w:abstractNum w:abstractNumId="369" w15:restartNumberingAfterBreak="0">
    <w:nsid w:val="31B11E78"/>
    <w:multiLevelType w:val="hybridMultilevel"/>
    <w:tmpl w:val="2362C192"/>
    <w:lvl w:ilvl="0" w:tplc="76F032AA">
      <w:start w:val="3"/>
      <w:numFmt w:val="decimal"/>
      <w:lvlText w:val="%1"/>
      <w:lvlJc w:val="left"/>
      <w:pPr>
        <w:ind w:left="1158" w:hanging="318"/>
        <w:jc w:val="left"/>
      </w:pPr>
      <w:rPr>
        <w:rFonts w:hint="default"/>
        <w:lang w:val="zh-CN" w:eastAsia="zh-CN" w:bidi="zh-CN"/>
      </w:rPr>
    </w:lvl>
    <w:lvl w:ilvl="1" w:tplc="240C6734">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B85086A0">
      <w:numFmt w:val="bullet"/>
      <w:lvlText w:val="•"/>
      <w:lvlJc w:val="left"/>
      <w:pPr>
        <w:ind w:left="3057" w:hanging="318"/>
      </w:pPr>
      <w:rPr>
        <w:rFonts w:hint="default"/>
        <w:lang w:val="zh-CN" w:eastAsia="zh-CN" w:bidi="zh-CN"/>
      </w:rPr>
    </w:lvl>
    <w:lvl w:ilvl="3" w:tplc="0B4817D4">
      <w:numFmt w:val="bullet"/>
      <w:lvlText w:val="•"/>
      <w:lvlJc w:val="left"/>
      <w:pPr>
        <w:ind w:left="4005" w:hanging="318"/>
      </w:pPr>
      <w:rPr>
        <w:rFonts w:hint="default"/>
        <w:lang w:val="zh-CN" w:eastAsia="zh-CN" w:bidi="zh-CN"/>
      </w:rPr>
    </w:lvl>
    <w:lvl w:ilvl="4" w:tplc="A274C020">
      <w:numFmt w:val="bullet"/>
      <w:lvlText w:val="•"/>
      <w:lvlJc w:val="left"/>
      <w:pPr>
        <w:ind w:left="4954" w:hanging="318"/>
      </w:pPr>
      <w:rPr>
        <w:rFonts w:hint="default"/>
        <w:lang w:val="zh-CN" w:eastAsia="zh-CN" w:bidi="zh-CN"/>
      </w:rPr>
    </w:lvl>
    <w:lvl w:ilvl="5" w:tplc="411E7296">
      <w:numFmt w:val="bullet"/>
      <w:lvlText w:val="•"/>
      <w:lvlJc w:val="left"/>
      <w:pPr>
        <w:ind w:left="5903" w:hanging="318"/>
      </w:pPr>
      <w:rPr>
        <w:rFonts w:hint="default"/>
        <w:lang w:val="zh-CN" w:eastAsia="zh-CN" w:bidi="zh-CN"/>
      </w:rPr>
    </w:lvl>
    <w:lvl w:ilvl="6" w:tplc="6B283DC0">
      <w:numFmt w:val="bullet"/>
      <w:lvlText w:val="•"/>
      <w:lvlJc w:val="left"/>
      <w:pPr>
        <w:ind w:left="6851" w:hanging="318"/>
      </w:pPr>
      <w:rPr>
        <w:rFonts w:hint="default"/>
        <w:lang w:val="zh-CN" w:eastAsia="zh-CN" w:bidi="zh-CN"/>
      </w:rPr>
    </w:lvl>
    <w:lvl w:ilvl="7" w:tplc="8108AB88">
      <w:numFmt w:val="bullet"/>
      <w:lvlText w:val="•"/>
      <w:lvlJc w:val="left"/>
      <w:pPr>
        <w:ind w:left="7800" w:hanging="318"/>
      </w:pPr>
      <w:rPr>
        <w:rFonts w:hint="default"/>
        <w:lang w:val="zh-CN" w:eastAsia="zh-CN" w:bidi="zh-CN"/>
      </w:rPr>
    </w:lvl>
    <w:lvl w:ilvl="8" w:tplc="07D860B2">
      <w:numFmt w:val="bullet"/>
      <w:lvlText w:val="•"/>
      <w:lvlJc w:val="left"/>
      <w:pPr>
        <w:ind w:left="8749" w:hanging="318"/>
      </w:pPr>
      <w:rPr>
        <w:rFonts w:hint="default"/>
        <w:lang w:val="zh-CN" w:eastAsia="zh-CN" w:bidi="zh-CN"/>
      </w:rPr>
    </w:lvl>
  </w:abstractNum>
  <w:abstractNum w:abstractNumId="370" w15:restartNumberingAfterBreak="0">
    <w:nsid w:val="31F77F33"/>
    <w:multiLevelType w:val="hybridMultilevel"/>
    <w:tmpl w:val="1AF21328"/>
    <w:lvl w:ilvl="0" w:tplc="64B87B78">
      <w:start w:val="4"/>
      <w:numFmt w:val="lowerLetter"/>
      <w:lvlText w:val="%1)"/>
      <w:lvlJc w:val="left"/>
      <w:pPr>
        <w:ind w:left="1050" w:hanging="213"/>
        <w:jc w:val="left"/>
      </w:pPr>
      <w:rPr>
        <w:rFonts w:ascii="宋体" w:eastAsia="宋体" w:hAnsi="宋体" w:cs="宋体" w:hint="default"/>
        <w:spacing w:val="-3"/>
        <w:w w:val="99"/>
        <w:sz w:val="19"/>
        <w:szCs w:val="19"/>
        <w:lang w:val="zh-CN" w:eastAsia="zh-CN" w:bidi="zh-CN"/>
      </w:rPr>
    </w:lvl>
    <w:lvl w:ilvl="1" w:tplc="27AE96BA">
      <w:numFmt w:val="bullet"/>
      <w:lvlText w:val="•"/>
      <w:lvlJc w:val="left"/>
      <w:pPr>
        <w:ind w:left="2018" w:hanging="213"/>
      </w:pPr>
      <w:rPr>
        <w:rFonts w:hint="default"/>
        <w:lang w:val="zh-CN" w:eastAsia="zh-CN" w:bidi="zh-CN"/>
      </w:rPr>
    </w:lvl>
    <w:lvl w:ilvl="2" w:tplc="F8F2F7AC">
      <w:numFmt w:val="bullet"/>
      <w:lvlText w:val="•"/>
      <w:lvlJc w:val="left"/>
      <w:pPr>
        <w:ind w:left="2977" w:hanging="213"/>
      </w:pPr>
      <w:rPr>
        <w:rFonts w:hint="default"/>
        <w:lang w:val="zh-CN" w:eastAsia="zh-CN" w:bidi="zh-CN"/>
      </w:rPr>
    </w:lvl>
    <w:lvl w:ilvl="3" w:tplc="4754BC52">
      <w:numFmt w:val="bullet"/>
      <w:lvlText w:val="•"/>
      <w:lvlJc w:val="left"/>
      <w:pPr>
        <w:ind w:left="3935" w:hanging="213"/>
      </w:pPr>
      <w:rPr>
        <w:rFonts w:hint="default"/>
        <w:lang w:val="zh-CN" w:eastAsia="zh-CN" w:bidi="zh-CN"/>
      </w:rPr>
    </w:lvl>
    <w:lvl w:ilvl="4" w:tplc="3B1894E8">
      <w:numFmt w:val="bullet"/>
      <w:lvlText w:val="•"/>
      <w:lvlJc w:val="left"/>
      <w:pPr>
        <w:ind w:left="4894" w:hanging="213"/>
      </w:pPr>
      <w:rPr>
        <w:rFonts w:hint="default"/>
        <w:lang w:val="zh-CN" w:eastAsia="zh-CN" w:bidi="zh-CN"/>
      </w:rPr>
    </w:lvl>
    <w:lvl w:ilvl="5" w:tplc="1B5269EC">
      <w:numFmt w:val="bullet"/>
      <w:lvlText w:val="•"/>
      <w:lvlJc w:val="left"/>
      <w:pPr>
        <w:ind w:left="5853" w:hanging="213"/>
      </w:pPr>
      <w:rPr>
        <w:rFonts w:hint="default"/>
        <w:lang w:val="zh-CN" w:eastAsia="zh-CN" w:bidi="zh-CN"/>
      </w:rPr>
    </w:lvl>
    <w:lvl w:ilvl="6" w:tplc="EDB8669C">
      <w:numFmt w:val="bullet"/>
      <w:lvlText w:val="•"/>
      <w:lvlJc w:val="left"/>
      <w:pPr>
        <w:ind w:left="6811" w:hanging="213"/>
      </w:pPr>
      <w:rPr>
        <w:rFonts w:hint="default"/>
        <w:lang w:val="zh-CN" w:eastAsia="zh-CN" w:bidi="zh-CN"/>
      </w:rPr>
    </w:lvl>
    <w:lvl w:ilvl="7" w:tplc="03FE77D0">
      <w:numFmt w:val="bullet"/>
      <w:lvlText w:val="•"/>
      <w:lvlJc w:val="left"/>
      <w:pPr>
        <w:ind w:left="7770" w:hanging="213"/>
      </w:pPr>
      <w:rPr>
        <w:rFonts w:hint="default"/>
        <w:lang w:val="zh-CN" w:eastAsia="zh-CN" w:bidi="zh-CN"/>
      </w:rPr>
    </w:lvl>
    <w:lvl w:ilvl="8" w:tplc="F0101FCE">
      <w:numFmt w:val="bullet"/>
      <w:lvlText w:val="•"/>
      <w:lvlJc w:val="left"/>
      <w:pPr>
        <w:ind w:left="8729" w:hanging="213"/>
      </w:pPr>
      <w:rPr>
        <w:rFonts w:hint="default"/>
        <w:lang w:val="zh-CN" w:eastAsia="zh-CN" w:bidi="zh-CN"/>
      </w:rPr>
    </w:lvl>
  </w:abstractNum>
  <w:abstractNum w:abstractNumId="371" w15:restartNumberingAfterBreak="0">
    <w:nsid w:val="31FF3A4B"/>
    <w:multiLevelType w:val="hybridMultilevel"/>
    <w:tmpl w:val="1794EE96"/>
    <w:lvl w:ilvl="0" w:tplc="7B668A44">
      <w:start w:val="12"/>
      <w:numFmt w:val="decimal"/>
      <w:lvlText w:val="%1"/>
      <w:lvlJc w:val="left"/>
      <w:pPr>
        <w:ind w:left="1318" w:hanging="478"/>
        <w:jc w:val="left"/>
      </w:pPr>
      <w:rPr>
        <w:rFonts w:hint="default"/>
        <w:lang w:val="zh-CN" w:eastAsia="zh-CN" w:bidi="zh-CN"/>
      </w:rPr>
    </w:lvl>
    <w:lvl w:ilvl="1" w:tplc="CAEC4D58">
      <w:start w:val="1"/>
      <w:numFmt w:val="decimal"/>
      <w:lvlText w:val="%1.%2"/>
      <w:lvlJc w:val="left"/>
      <w:pPr>
        <w:ind w:left="1318" w:hanging="478"/>
        <w:jc w:val="left"/>
      </w:pPr>
      <w:rPr>
        <w:rFonts w:ascii="宋体" w:eastAsia="宋体" w:hAnsi="宋体" w:cs="宋体" w:hint="default"/>
        <w:b/>
        <w:bCs/>
        <w:w w:val="99"/>
        <w:sz w:val="21"/>
        <w:szCs w:val="21"/>
        <w:lang w:val="zh-CN" w:eastAsia="zh-CN" w:bidi="zh-CN"/>
      </w:rPr>
    </w:lvl>
    <w:lvl w:ilvl="2" w:tplc="928A2E06">
      <w:start w:val="1"/>
      <w:numFmt w:val="decimal"/>
      <w:lvlText w:val="%1.%2.%3"/>
      <w:lvlJc w:val="left"/>
      <w:pPr>
        <w:ind w:left="418" w:hanging="637"/>
        <w:jc w:val="left"/>
      </w:pPr>
      <w:rPr>
        <w:rFonts w:ascii="宋体" w:eastAsia="宋体" w:hAnsi="宋体" w:cs="宋体" w:hint="default"/>
        <w:b/>
        <w:bCs/>
        <w:spacing w:val="-53"/>
        <w:w w:val="99"/>
        <w:sz w:val="19"/>
        <w:szCs w:val="19"/>
        <w:lang w:val="zh-CN" w:eastAsia="zh-CN" w:bidi="zh-CN"/>
      </w:rPr>
    </w:lvl>
    <w:lvl w:ilvl="3" w:tplc="E14A7EDA">
      <w:numFmt w:val="bullet"/>
      <w:lvlText w:val="•"/>
      <w:lvlJc w:val="left"/>
      <w:pPr>
        <w:ind w:left="3392" w:hanging="637"/>
      </w:pPr>
      <w:rPr>
        <w:rFonts w:hint="default"/>
        <w:lang w:val="zh-CN" w:eastAsia="zh-CN" w:bidi="zh-CN"/>
      </w:rPr>
    </w:lvl>
    <w:lvl w:ilvl="4" w:tplc="F1D89658">
      <w:numFmt w:val="bullet"/>
      <w:lvlText w:val="•"/>
      <w:lvlJc w:val="left"/>
      <w:pPr>
        <w:ind w:left="4428" w:hanging="637"/>
      </w:pPr>
      <w:rPr>
        <w:rFonts w:hint="default"/>
        <w:lang w:val="zh-CN" w:eastAsia="zh-CN" w:bidi="zh-CN"/>
      </w:rPr>
    </w:lvl>
    <w:lvl w:ilvl="5" w:tplc="2092EAE8">
      <w:numFmt w:val="bullet"/>
      <w:lvlText w:val="•"/>
      <w:lvlJc w:val="left"/>
      <w:pPr>
        <w:ind w:left="5465" w:hanging="637"/>
      </w:pPr>
      <w:rPr>
        <w:rFonts w:hint="default"/>
        <w:lang w:val="zh-CN" w:eastAsia="zh-CN" w:bidi="zh-CN"/>
      </w:rPr>
    </w:lvl>
    <w:lvl w:ilvl="6" w:tplc="633A02F2">
      <w:numFmt w:val="bullet"/>
      <w:lvlText w:val="•"/>
      <w:lvlJc w:val="left"/>
      <w:pPr>
        <w:ind w:left="6501" w:hanging="637"/>
      </w:pPr>
      <w:rPr>
        <w:rFonts w:hint="default"/>
        <w:lang w:val="zh-CN" w:eastAsia="zh-CN" w:bidi="zh-CN"/>
      </w:rPr>
    </w:lvl>
    <w:lvl w:ilvl="7" w:tplc="5CF21A58">
      <w:numFmt w:val="bullet"/>
      <w:lvlText w:val="•"/>
      <w:lvlJc w:val="left"/>
      <w:pPr>
        <w:ind w:left="7537" w:hanging="637"/>
      </w:pPr>
      <w:rPr>
        <w:rFonts w:hint="default"/>
        <w:lang w:val="zh-CN" w:eastAsia="zh-CN" w:bidi="zh-CN"/>
      </w:rPr>
    </w:lvl>
    <w:lvl w:ilvl="8" w:tplc="17126BD4">
      <w:numFmt w:val="bullet"/>
      <w:lvlText w:val="•"/>
      <w:lvlJc w:val="left"/>
      <w:pPr>
        <w:ind w:left="8573" w:hanging="637"/>
      </w:pPr>
      <w:rPr>
        <w:rFonts w:hint="default"/>
        <w:lang w:val="zh-CN" w:eastAsia="zh-CN" w:bidi="zh-CN"/>
      </w:rPr>
    </w:lvl>
  </w:abstractNum>
  <w:abstractNum w:abstractNumId="372" w15:restartNumberingAfterBreak="0">
    <w:nsid w:val="32094B11"/>
    <w:multiLevelType w:val="hybridMultilevel"/>
    <w:tmpl w:val="0EF64394"/>
    <w:lvl w:ilvl="0" w:tplc="F4946AB0">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7EA29E46">
      <w:numFmt w:val="bullet"/>
      <w:lvlText w:val="•"/>
      <w:lvlJc w:val="left"/>
      <w:pPr>
        <w:ind w:left="2288" w:hanging="529"/>
      </w:pPr>
      <w:rPr>
        <w:rFonts w:hint="default"/>
        <w:lang w:val="zh-CN" w:eastAsia="zh-CN" w:bidi="zh-CN"/>
      </w:rPr>
    </w:lvl>
    <w:lvl w:ilvl="2" w:tplc="7C568D5C">
      <w:numFmt w:val="bullet"/>
      <w:lvlText w:val="•"/>
      <w:lvlJc w:val="left"/>
      <w:pPr>
        <w:ind w:left="3217" w:hanging="529"/>
      </w:pPr>
      <w:rPr>
        <w:rFonts w:hint="default"/>
        <w:lang w:val="zh-CN" w:eastAsia="zh-CN" w:bidi="zh-CN"/>
      </w:rPr>
    </w:lvl>
    <w:lvl w:ilvl="3" w:tplc="7A8257DA">
      <w:numFmt w:val="bullet"/>
      <w:lvlText w:val="•"/>
      <w:lvlJc w:val="left"/>
      <w:pPr>
        <w:ind w:left="4145" w:hanging="529"/>
      </w:pPr>
      <w:rPr>
        <w:rFonts w:hint="default"/>
        <w:lang w:val="zh-CN" w:eastAsia="zh-CN" w:bidi="zh-CN"/>
      </w:rPr>
    </w:lvl>
    <w:lvl w:ilvl="4" w:tplc="C58E5EF8">
      <w:numFmt w:val="bullet"/>
      <w:lvlText w:val="•"/>
      <w:lvlJc w:val="left"/>
      <w:pPr>
        <w:ind w:left="5074" w:hanging="529"/>
      </w:pPr>
      <w:rPr>
        <w:rFonts w:hint="default"/>
        <w:lang w:val="zh-CN" w:eastAsia="zh-CN" w:bidi="zh-CN"/>
      </w:rPr>
    </w:lvl>
    <w:lvl w:ilvl="5" w:tplc="CB24AF40">
      <w:numFmt w:val="bullet"/>
      <w:lvlText w:val="•"/>
      <w:lvlJc w:val="left"/>
      <w:pPr>
        <w:ind w:left="6003" w:hanging="529"/>
      </w:pPr>
      <w:rPr>
        <w:rFonts w:hint="default"/>
        <w:lang w:val="zh-CN" w:eastAsia="zh-CN" w:bidi="zh-CN"/>
      </w:rPr>
    </w:lvl>
    <w:lvl w:ilvl="6" w:tplc="C3589522">
      <w:numFmt w:val="bullet"/>
      <w:lvlText w:val="•"/>
      <w:lvlJc w:val="left"/>
      <w:pPr>
        <w:ind w:left="6931" w:hanging="529"/>
      </w:pPr>
      <w:rPr>
        <w:rFonts w:hint="default"/>
        <w:lang w:val="zh-CN" w:eastAsia="zh-CN" w:bidi="zh-CN"/>
      </w:rPr>
    </w:lvl>
    <w:lvl w:ilvl="7" w:tplc="AC7449AA">
      <w:numFmt w:val="bullet"/>
      <w:lvlText w:val="•"/>
      <w:lvlJc w:val="left"/>
      <w:pPr>
        <w:ind w:left="7860" w:hanging="529"/>
      </w:pPr>
      <w:rPr>
        <w:rFonts w:hint="default"/>
        <w:lang w:val="zh-CN" w:eastAsia="zh-CN" w:bidi="zh-CN"/>
      </w:rPr>
    </w:lvl>
    <w:lvl w:ilvl="8" w:tplc="754455BC">
      <w:numFmt w:val="bullet"/>
      <w:lvlText w:val="•"/>
      <w:lvlJc w:val="left"/>
      <w:pPr>
        <w:ind w:left="8789" w:hanging="529"/>
      </w:pPr>
      <w:rPr>
        <w:rFonts w:hint="default"/>
        <w:lang w:val="zh-CN" w:eastAsia="zh-CN" w:bidi="zh-CN"/>
      </w:rPr>
    </w:lvl>
  </w:abstractNum>
  <w:abstractNum w:abstractNumId="373" w15:restartNumberingAfterBreak="0">
    <w:nsid w:val="3216439B"/>
    <w:multiLevelType w:val="hybridMultilevel"/>
    <w:tmpl w:val="B97EBF5A"/>
    <w:lvl w:ilvl="0" w:tplc="931E61C2">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B3D0B81A">
      <w:numFmt w:val="bullet"/>
      <w:lvlText w:val="•"/>
      <w:lvlJc w:val="left"/>
      <w:pPr>
        <w:ind w:left="1442" w:hanging="529"/>
      </w:pPr>
      <w:rPr>
        <w:rFonts w:hint="default"/>
        <w:lang w:val="zh-CN" w:eastAsia="zh-CN" w:bidi="zh-CN"/>
      </w:rPr>
    </w:lvl>
    <w:lvl w:ilvl="2" w:tplc="5DD657EA">
      <w:numFmt w:val="bullet"/>
      <w:lvlText w:val="•"/>
      <w:lvlJc w:val="left"/>
      <w:pPr>
        <w:ind w:left="2465" w:hanging="529"/>
      </w:pPr>
      <w:rPr>
        <w:rFonts w:hint="default"/>
        <w:lang w:val="zh-CN" w:eastAsia="zh-CN" w:bidi="zh-CN"/>
      </w:rPr>
    </w:lvl>
    <w:lvl w:ilvl="3" w:tplc="0FF8FF70">
      <w:numFmt w:val="bullet"/>
      <w:lvlText w:val="•"/>
      <w:lvlJc w:val="left"/>
      <w:pPr>
        <w:ind w:left="3487" w:hanging="529"/>
      </w:pPr>
      <w:rPr>
        <w:rFonts w:hint="default"/>
        <w:lang w:val="zh-CN" w:eastAsia="zh-CN" w:bidi="zh-CN"/>
      </w:rPr>
    </w:lvl>
    <w:lvl w:ilvl="4" w:tplc="16C869B6">
      <w:numFmt w:val="bullet"/>
      <w:lvlText w:val="•"/>
      <w:lvlJc w:val="left"/>
      <w:pPr>
        <w:ind w:left="4510" w:hanging="529"/>
      </w:pPr>
      <w:rPr>
        <w:rFonts w:hint="default"/>
        <w:lang w:val="zh-CN" w:eastAsia="zh-CN" w:bidi="zh-CN"/>
      </w:rPr>
    </w:lvl>
    <w:lvl w:ilvl="5" w:tplc="D7D8F608">
      <w:numFmt w:val="bullet"/>
      <w:lvlText w:val="•"/>
      <w:lvlJc w:val="left"/>
      <w:pPr>
        <w:ind w:left="5533" w:hanging="529"/>
      </w:pPr>
      <w:rPr>
        <w:rFonts w:hint="default"/>
        <w:lang w:val="zh-CN" w:eastAsia="zh-CN" w:bidi="zh-CN"/>
      </w:rPr>
    </w:lvl>
    <w:lvl w:ilvl="6" w:tplc="2668AA66">
      <w:numFmt w:val="bullet"/>
      <w:lvlText w:val="•"/>
      <w:lvlJc w:val="left"/>
      <w:pPr>
        <w:ind w:left="6555" w:hanging="529"/>
      </w:pPr>
      <w:rPr>
        <w:rFonts w:hint="default"/>
        <w:lang w:val="zh-CN" w:eastAsia="zh-CN" w:bidi="zh-CN"/>
      </w:rPr>
    </w:lvl>
    <w:lvl w:ilvl="7" w:tplc="9684EA68">
      <w:numFmt w:val="bullet"/>
      <w:lvlText w:val="•"/>
      <w:lvlJc w:val="left"/>
      <w:pPr>
        <w:ind w:left="7578" w:hanging="529"/>
      </w:pPr>
      <w:rPr>
        <w:rFonts w:hint="default"/>
        <w:lang w:val="zh-CN" w:eastAsia="zh-CN" w:bidi="zh-CN"/>
      </w:rPr>
    </w:lvl>
    <w:lvl w:ilvl="8" w:tplc="1CF2C4BA">
      <w:numFmt w:val="bullet"/>
      <w:lvlText w:val="•"/>
      <w:lvlJc w:val="left"/>
      <w:pPr>
        <w:ind w:left="8601" w:hanging="529"/>
      </w:pPr>
      <w:rPr>
        <w:rFonts w:hint="default"/>
        <w:lang w:val="zh-CN" w:eastAsia="zh-CN" w:bidi="zh-CN"/>
      </w:rPr>
    </w:lvl>
  </w:abstractNum>
  <w:abstractNum w:abstractNumId="374" w15:restartNumberingAfterBreak="0">
    <w:nsid w:val="321E7413"/>
    <w:multiLevelType w:val="hybridMultilevel"/>
    <w:tmpl w:val="C14406A6"/>
    <w:lvl w:ilvl="0" w:tplc="6EAAEE2C">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8D268086">
      <w:numFmt w:val="bullet"/>
      <w:lvlText w:val="•"/>
      <w:lvlJc w:val="left"/>
      <w:pPr>
        <w:ind w:left="2288" w:hanging="529"/>
      </w:pPr>
      <w:rPr>
        <w:rFonts w:hint="default"/>
        <w:lang w:val="zh-CN" w:eastAsia="zh-CN" w:bidi="zh-CN"/>
      </w:rPr>
    </w:lvl>
    <w:lvl w:ilvl="2" w:tplc="272405BC">
      <w:numFmt w:val="bullet"/>
      <w:lvlText w:val="•"/>
      <w:lvlJc w:val="left"/>
      <w:pPr>
        <w:ind w:left="3217" w:hanging="529"/>
      </w:pPr>
      <w:rPr>
        <w:rFonts w:hint="default"/>
        <w:lang w:val="zh-CN" w:eastAsia="zh-CN" w:bidi="zh-CN"/>
      </w:rPr>
    </w:lvl>
    <w:lvl w:ilvl="3" w:tplc="73F4C292">
      <w:numFmt w:val="bullet"/>
      <w:lvlText w:val="•"/>
      <w:lvlJc w:val="left"/>
      <w:pPr>
        <w:ind w:left="4145" w:hanging="529"/>
      </w:pPr>
      <w:rPr>
        <w:rFonts w:hint="default"/>
        <w:lang w:val="zh-CN" w:eastAsia="zh-CN" w:bidi="zh-CN"/>
      </w:rPr>
    </w:lvl>
    <w:lvl w:ilvl="4" w:tplc="0FBACF9C">
      <w:numFmt w:val="bullet"/>
      <w:lvlText w:val="•"/>
      <w:lvlJc w:val="left"/>
      <w:pPr>
        <w:ind w:left="5074" w:hanging="529"/>
      </w:pPr>
      <w:rPr>
        <w:rFonts w:hint="default"/>
        <w:lang w:val="zh-CN" w:eastAsia="zh-CN" w:bidi="zh-CN"/>
      </w:rPr>
    </w:lvl>
    <w:lvl w:ilvl="5" w:tplc="26FAA93C">
      <w:numFmt w:val="bullet"/>
      <w:lvlText w:val="•"/>
      <w:lvlJc w:val="left"/>
      <w:pPr>
        <w:ind w:left="6003" w:hanging="529"/>
      </w:pPr>
      <w:rPr>
        <w:rFonts w:hint="default"/>
        <w:lang w:val="zh-CN" w:eastAsia="zh-CN" w:bidi="zh-CN"/>
      </w:rPr>
    </w:lvl>
    <w:lvl w:ilvl="6" w:tplc="CE5A0266">
      <w:numFmt w:val="bullet"/>
      <w:lvlText w:val="•"/>
      <w:lvlJc w:val="left"/>
      <w:pPr>
        <w:ind w:left="6931" w:hanging="529"/>
      </w:pPr>
      <w:rPr>
        <w:rFonts w:hint="default"/>
        <w:lang w:val="zh-CN" w:eastAsia="zh-CN" w:bidi="zh-CN"/>
      </w:rPr>
    </w:lvl>
    <w:lvl w:ilvl="7" w:tplc="68841704">
      <w:numFmt w:val="bullet"/>
      <w:lvlText w:val="•"/>
      <w:lvlJc w:val="left"/>
      <w:pPr>
        <w:ind w:left="7860" w:hanging="529"/>
      </w:pPr>
      <w:rPr>
        <w:rFonts w:hint="default"/>
        <w:lang w:val="zh-CN" w:eastAsia="zh-CN" w:bidi="zh-CN"/>
      </w:rPr>
    </w:lvl>
    <w:lvl w:ilvl="8" w:tplc="555C0D0C">
      <w:numFmt w:val="bullet"/>
      <w:lvlText w:val="•"/>
      <w:lvlJc w:val="left"/>
      <w:pPr>
        <w:ind w:left="8789" w:hanging="529"/>
      </w:pPr>
      <w:rPr>
        <w:rFonts w:hint="default"/>
        <w:lang w:val="zh-CN" w:eastAsia="zh-CN" w:bidi="zh-CN"/>
      </w:rPr>
    </w:lvl>
  </w:abstractNum>
  <w:abstractNum w:abstractNumId="375" w15:restartNumberingAfterBreak="0">
    <w:nsid w:val="32245735"/>
    <w:multiLevelType w:val="hybridMultilevel"/>
    <w:tmpl w:val="B52257FE"/>
    <w:lvl w:ilvl="0" w:tplc="0750D2B6">
      <w:start w:val="1"/>
      <w:numFmt w:val="lowerLetter"/>
      <w:lvlText w:val="%1)"/>
      <w:lvlJc w:val="left"/>
      <w:pPr>
        <w:ind w:left="838" w:hanging="213"/>
        <w:jc w:val="left"/>
      </w:pPr>
      <w:rPr>
        <w:rFonts w:ascii="宋体" w:eastAsia="宋体" w:hAnsi="宋体" w:cs="宋体" w:hint="default"/>
        <w:spacing w:val="-3"/>
        <w:w w:val="99"/>
        <w:sz w:val="19"/>
        <w:szCs w:val="19"/>
        <w:lang w:val="zh-CN" w:eastAsia="zh-CN" w:bidi="zh-CN"/>
      </w:rPr>
    </w:lvl>
    <w:lvl w:ilvl="1" w:tplc="239C626E">
      <w:numFmt w:val="bullet"/>
      <w:lvlText w:val="•"/>
      <w:lvlJc w:val="left"/>
      <w:pPr>
        <w:ind w:left="1820" w:hanging="213"/>
      </w:pPr>
      <w:rPr>
        <w:rFonts w:hint="default"/>
        <w:lang w:val="zh-CN" w:eastAsia="zh-CN" w:bidi="zh-CN"/>
      </w:rPr>
    </w:lvl>
    <w:lvl w:ilvl="2" w:tplc="8D465EC6">
      <w:numFmt w:val="bullet"/>
      <w:lvlText w:val="•"/>
      <w:lvlJc w:val="left"/>
      <w:pPr>
        <w:ind w:left="2801" w:hanging="213"/>
      </w:pPr>
      <w:rPr>
        <w:rFonts w:hint="default"/>
        <w:lang w:val="zh-CN" w:eastAsia="zh-CN" w:bidi="zh-CN"/>
      </w:rPr>
    </w:lvl>
    <w:lvl w:ilvl="3" w:tplc="610459C6">
      <w:numFmt w:val="bullet"/>
      <w:lvlText w:val="•"/>
      <w:lvlJc w:val="left"/>
      <w:pPr>
        <w:ind w:left="3781" w:hanging="213"/>
      </w:pPr>
      <w:rPr>
        <w:rFonts w:hint="default"/>
        <w:lang w:val="zh-CN" w:eastAsia="zh-CN" w:bidi="zh-CN"/>
      </w:rPr>
    </w:lvl>
    <w:lvl w:ilvl="4" w:tplc="60622AF4">
      <w:numFmt w:val="bullet"/>
      <w:lvlText w:val="•"/>
      <w:lvlJc w:val="left"/>
      <w:pPr>
        <w:ind w:left="4762" w:hanging="213"/>
      </w:pPr>
      <w:rPr>
        <w:rFonts w:hint="default"/>
        <w:lang w:val="zh-CN" w:eastAsia="zh-CN" w:bidi="zh-CN"/>
      </w:rPr>
    </w:lvl>
    <w:lvl w:ilvl="5" w:tplc="605888A6">
      <w:numFmt w:val="bullet"/>
      <w:lvlText w:val="•"/>
      <w:lvlJc w:val="left"/>
      <w:pPr>
        <w:ind w:left="5743" w:hanging="213"/>
      </w:pPr>
      <w:rPr>
        <w:rFonts w:hint="default"/>
        <w:lang w:val="zh-CN" w:eastAsia="zh-CN" w:bidi="zh-CN"/>
      </w:rPr>
    </w:lvl>
    <w:lvl w:ilvl="6" w:tplc="BA363C92">
      <w:numFmt w:val="bullet"/>
      <w:lvlText w:val="•"/>
      <w:lvlJc w:val="left"/>
      <w:pPr>
        <w:ind w:left="6723" w:hanging="213"/>
      </w:pPr>
      <w:rPr>
        <w:rFonts w:hint="default"/>
        <w:lang w:val="zh-CN" w:eastAsia="zh-CN" w:bidi="zh-CN"/>
      </w:rPr>
    </w:lvl>
    <w:lvl w:ilvl="7" w:tplc="32265F18">
      <w:numFmt w:val="bullet"/>
      <w:lvlText w:val="•"/>
      <w:lvlJc w:val="left"/>
      <w:pPr>
        <w:ind w:left="7704" w:hanging="213"/>
      </w:pPr>
      <w:rPr>
        <w:rFonts w:hint="default"/>
        <w:lang w:val="zh-CN" w:eastAsia="zh-CN" w:bidi="zh-CN"/>
      </w:rPr>
    </w:lvl>
    <w:lvl w:ilvl="8" w:tplc="82988866">
      <w:numFmt w:val="bullet"/>
      <w:lvlText w:val="•"/>
      <w:lvlJc w:val="left"/>
      <w:pPr>
        <w:ind w:left="8685" w:hanging="213"/>
      </w:pPr>
      <w:rPr>
        <w:rFonts w:hint="default"/>
        <w:lang w:val="zh-CN" w:eastAsia="zh-CN" w:bidi="zh-CN"/>
      </w:rPr>
    </w:lvl>
  </w:abstractNum>
  <w:abstractNum w:abstractNumId="376" w15:restartNumberingAfterBreak="0">
    <w:nsid w:val="324711E7"/>
    <w:multiLevelType w:val="hybridMultilevel"/>
    <w:tmpl w:val="1890CB78"/>
    <w:lvl w:ilvl="0" w:tplc="3FE4813A">
      <w:start w:val="2"/>
      <w:numFmt w:val="decimal"/>
      <w:lvlText w:val="%1)"/>
      <w:lvlJc w:val="left"/>
      <w:pPr>
        <w:ind w:left="1050" w:hanging="213"/>
        <w:jc w:val="left"/>
      </w:pPr>
      <w:rPr>
        <w:rFonts w:ascii="宋体" w:eastAsia="宋体" w:hAnsi="宋体" w:cs="宋体" w:hint="default"/>
        <w:spacing w:val="-55"/>
        <w:w w:val="100"/>
        <w:sz w:val="19"/>
        <w:szCs w:val="19"/>
        <w:lang w:val="zh-CN" w:eastAsia="zh-CN" w:bidi="zh-CN"/>
      </w:rPr>
    </w:lvl>
    <w:lvl w:ilvl="1" w:tplc="1FCC4FAC">
      <w:numFmt w:val="bullet"/>
      <w:lvlText w:val="•"/>
      <w:lvlJc w:val="left"/>
      <w:pPr>
        <w:ind w:left="2018" w:hanging="213"/>
      </w:pPr>
      <w:rPr>
        <w:rFonts w:hint="default"/>
        <w:lang w:val="zh-CN" w:eastAsia="zh-CN" w:bidi="zh-CN"/>
      </w:rPr>
    </w:lvl>
    <w:lvl w:ilvl="2" w:tplc="E72C3CAE">
      <w:numFmt w:val="bullet"/>
      <w:lvlText w:val="•"/>
      <w:lvlJc w:val="left"/>
      <w:pPr>
        <w:ind w:left="2977" w:hanging="213"/>
      </w:pPr>
      <w:rPr>
        <w:rFonts w:hint="default"/>
        <w:lang w:val="zh-CN" w:eastAsia="zh-CN" w:bidi="zh-CN"/>
      </w:rPr>
    </w:lvl>
    <w:lvl w:ilvl="3" w:tplc="6776A45A">
      <w:numFmt w:val="bullet"/>
      <w:lvlText w:val="•"/>
      <w:lvlJc w:val="left"/>
      <w:pPr>
        <w:ind w:left="3935" w:hanging="213"/>
      </w:pPr>
      <w:rPr>
        <w:rFonts w:hint="default"/>
        <w:lang w:val="zh-CN" w:eastAsia="zh-CN" w:bidi="zh-CN"/>
      </w:rPr>
    </w:lvl>
    <w:lvl w:ilvl="4" w:tplc="B0309BF0">
      <w:numFmt w:val="bullet"/>
      <w:lvlText w:val="•"/>
      <w:lvlJc w:val="left"/>
      <w:pPr>
        <w:ind w:left="4894" w:hanging="213"/>
      </w:pPr>
      <w:rPr>
        <w:rFonts w:hint="default"/>
        <w:lang w:val="zh-CN" w:eastAsia="zh-CN" w:bidi="zh-CN"/>
      </w:rPr>
    </w:lvl>
    <w:lvl w:ilvl="5" w:tplc="ADF2B558">
      <w:numFmt w:val="bullet"/>
      <w:lvlText w:val="•"/>
      <w:lvlJc w:val="left"/>
      <w:pPr>
        <w:ind w:left="5853" w:hanging="213"/>
      </w:pPr>
      <w:rPr>
        <w:rFonts w:hint="default"/>
        <w:lang w:val="zh-CN" w:eastAsia="zh-CN" w:bidi="zh-CN"/>
      </w:rPr>
    </w:lvl>
    <w:lvl w:ilvl="6" w:tplc="71D6AF46">
      <w:numFmt w:val="bullet"/>
      <w:lvlText w:val="•"/>
      <w:lvlJc w:val="left"/>
      <w:pPr>
        <w:ind w:left="6811" w:hanging="213"/>
      </w:pPr>
      <w:rPr>
        <w:rFonts w:hint="default"/>
        <w:lang w:val="zh-CN" w:eastAsia="zh-CN" w:bidi="zh-CN"/>
      </w:rPr>
    </w:lvl>
    <w:lvl w:ilvl="7" w:tplc="BDB2D1AE">
      <w:numFmt w:val="bullet"/>
      <w:lvlText w:val="•"/>
      <w:lvlJc w:val="left"/>
      <w:pPr>
        <w:ind w:left="7770" w:hanging="213"/>
      </w:pPr>
      <w:rPr>
        <w:rFonts w:hint="default"/>
        <w:lang w:val="zh-CN" w:eastAsia="zh-CN" w:bidi="zh-CN"/>
      </w:rPr>
    </w:lvl>
    <w:lvl w:ilvl="8" w:tplc="7DEC587E">
      <w:numFmt w:val="bullet"/>
      <w:lvlText w:val="•"/>
      <w:lvlJc w:val="left"/>
      <w:pPr>
        <w:ind w:left="8729" w:hanging="213"/>
      </w:pPr>
      <w:rPr>
        <w:rFonts w:hint="default"/>
        <w:lang w:val="zh-CN" w:eastAsia="zh-CN" w:bidi="zh-CN"/>
      </w:rPr>
    </w:lvl>
  </w:abstractNum>
  <w:abstractNum w:abstractNumId="377" w15:restartNumberingAfterBreak="0">
    <w:nsid w:val="3264633E"/>
    <w:multiLevelType w:val="hybridMultilevel"/>
    <w:tmpl w:val="21703E06"/>
    <w:lvl w:ilvl="0" w:tplc="D6EE0D0C">
      <w:start w:val="5"/>
      <w:numFmt w:val="decimal"/>
      <w:lvlText w:val="%1"/>
      <w:lvlJc w:val="left"/>
      <w:pPr>
        <w:ind w:left="1158" w:hanging="318"/>
        <w:jc w:val="left"/>
      </w:pPr>
      <w:rPr>
        <w:rFonts w:hint="default"/>
        <w:lang w:val="zh-CN" w:eastAsia="zh-CN" w:bidi="zh-CN"/>
      </w:rPr>
    </w:lvl>
    <w:lvl w:ilvl="1" w:tplc="D02CA0F0">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867821A4">
      <w:start w:val="1"/>
      <w:numFmt w:val="decimal"/>
      <w:lvlText w:val="%1.%2.%3"/>
      <w:lvlJc w:val="left"/>
      <w:pPr>
        <w:ind w:left="1369" w:hanging="529"/>
        <w:jc w:val="left"/>
      </w:pPr>
      <w:rPr>
        <w:rFonts w:ascii="宋体" w:eastAsia="宋体" w:hAnsi="宋体" w:cs="宋体" w:hint="default"/>
        <w:b/>
        <w:bCs/>
        <w:spacing w:val="-3"/>
        <w:w w:val="99"/>
        <w:sz w:val="19"/>
        <w:szCs w:val="19"/>
        <w:lang w:val="zh-CN" w:eastAsia="zh-CN" w:bidi="zh-CN"/>
      </w:rPr>
    </w:lvl>
    <w:lvl w:ilvl="3" w:tplc="F260D98A">
      <w:start w:val="1"/>
      <w:numFmt w:val="decimal"/>
      <w:lvlText w:val="%1.%2.%3.%4"/>
      <w:lvlJc w:val="left"/>
      <w:pPr>
        <w:ind w:left="1582" w:hanging="743"/>
        <w:jc w:val="left"/>
      </w:pPr>
      <w:rPr>
        <w:rFonts w:ascii="宋体" w:eastAsia="宋体" w:hAnsi="宋体" w:cs="宋体" w:hint="default"/>
        <w:b/>
        <w:bCs/>
        <w:spacing w:val="-3"/>
        <w:w w:val="99"/>
        <w:sz w:val="19"/>
        <w:szCs w:val="19"/>
        <w:lang w:val="zh-CN" w:eastAsia="zh-CN" w:bidi="zh-CN"/>
      </w:rPr>
    </w:lvl>
    <w:lvl w:ilvl="4" w:tplc="001A3796">
      <w:numFmt w:val="bullet"/>
      <w:lvlText w:val="•"/>
      <w:lvlJc w:val="left"/>
      <w:pPr>
        <w:ind w:left="3846" w:hanging="743"/>
      </w:pPr>
      <w:rPr>
        <w:rFonts w:hint="default"/>
        <w:lang w:val="zh-CN" w:eastAsia="zh-CN" w:bidi="zh-CN"/>
      </w:rPr>
    </w:lvl>
    <w:lvl w:ilvl="5" w:tplc="F6AE0D14">
      <w:numFmt w:val="bullet"/>
      <w:lvlText w:val="•"/>
      <w:lvlJc w:val="left"/>
      <w:pPr>
        <w:ind w:left="4979" w:hanging="743"/>
      </w:pPr>
      <w:rPr>
        <w:rFonts w:hint="default"/>
        <w:lang w:val="zh-CN" w:eastAsia="zh-CN" w:bidi="zh-CN"/>
      </w:rPr>
    </w:lvl>
    <w:lvl w:ilvl="6" w:tplc="11B842E0">
      <w:numFmt w:val="bullet"/>
      <w:lvlText w:val="•"/>
      <w:lvlJc w:val="left"/>
      <w:pPr>
        <w:ind w:left="6113" w:hanging="743"/>
      </w:pPr>
      <w:rPr>
        <w:rFonts w:hint="default"/>
        <w:lang w:val="zh-CN" w:eastAsia="zh-CN" w:bidi="zh-CN"/>
      </w:rPr>
    </w:lvl>
    <w:lvl w:ilvl="7" w:tplc="21A2AF90">
      <w:numFmt w:val="bullet"/>
      <w:lvlText w:val="•"/>
      <w:lvlJc w:val="left"/>
      <w:pPr>
        <w:ind w:left="7246" w:hanging="743"/>
      </w:pPr>
      <w:rPr>
        <w:rFonts w:hint="default"/>
        <w:lang w:val="zh-CN" w:eastAsia="zh-CN" w:bidi="zh-CN"/>
      </w:rPr>
    </w:lvl>
    <w:lvl w:ilvl="8" w:tplc="B24C80F6">
      <w:numFmt w:val="bullet"/>
      <w:lvlText w:val="•"/>
      <w:lvlJc w:val="left"/>
      <w:pPr>
        <w:ind w:left="8379" w:hanging="743"/>
      </w:pPr>
      <w:rPr>
        <w:rFonts w:hint="default"/>
        <w:lang w:val="zh-CN" w:eastAsia="zh-CN" w:bidi="zh-CN"/>
      </w:rPr>
    </w:lvl>
  </w:abstractNum>
  <w:abstractNum w:abstractNumId="378" w15:restartNumberingAfterBreak="0">
    <w:nsid w:val="327C70B1"/>
    <w:multiLevelType w:val="hybridMultilevel"/>
    <w:tmpl w:val="2794E29E"/>
    <w:lvl w:ilvl="0" w:tplc="83CE05D4">
      <w:start w:val="4"/>
      <w:numFmt w:val="decimal"/>
      <w:lvlText w:val="%1"/>
      <w:lvlJc w:val="left"/>
      <w:pPr>
        <w:ind w:left="1370" w:hanging="531"/>
        <w:jc w:val="left"/>
      </w:pPr>
      <w:rPr>
        <w:rFonts w:hint="default"/>
        <w:lang w:val="zh-CN" w:eastAsia="zh-CN" w:bidi="zh-CN"/>
      </w:rPr>
    </w:lvl>
    <w:lvl w:ilvl="1" w:tplc="0FA4796A">
      <w:start w:val="2"/>
      <w:numFmt w:val="decimal"/>
      <w:lvlText w:val="%1.%2"/>
      <w:lvlJc w:val="left"/>
      <w:pPr>
        <w:ind w:left="1370" w:hanging="531"/>
        <w:jc w:val="left"/>
      </w:pPr>
      <w:rPr>
        <w:rFonts w:hint="default"/>
        <w:lang w:val="zh-CN" w:eastAsia="zh-CN" w:bidi="zh-CN"/>
      </w:rPr>
    </w:lvl>
    <w:lvl w:ilvl="2" w:tplc="618A552C">
      <w:start w:val="5"/>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E61C495E">
      <w:numFmt w:val="bullet"/>
      <w:lvlText w:val="•"/>
      <w:lvlJc w:val="left"/>
      <w:pPr>
        <w:ind w:left="4159" w:hanging="531"/>
      </w:pPr>
      <w:rPr>
        <w:rFonts w:hint="default"/>
        <w:lang w:val="zh-CN" w:eastAsia="zh-CN" w:bidi="zh-CN"/>
      </w:rPr>
    </w:lvl>
    <w:lvl w:ilvl="4" w:tplc="0F48926A">
      <w:numFmt w:val="bullet"/>
      <w:lvlText w:val="•"/>
      <w:lvlJc w:val="left"/>
      <w:pPr>
        <w:ind w:left="5086" w:hanging="531"/>
      </w:pPr>
      <w:rPr>
        <w:rFonts w:hint="default"/>
        <w:lang w:val="zh-CN" w:eastAsia="zh-CN" w:bidi="zh-CN"/>
      </w:rPr>
    </w:lvl>
    <w:lvl w:ilvl="5" w:tplc="96607FA2">
      <w:numFmt w:val="bullet"/>
      <w:lvlText w:val="•"/>
      <w:lvlJc w:val="left"/>
      <w:pPr>
        <w:ind w:left="6013" w:hanging="531"/>
      </w:pPr>
      <w:rPr>
        <w:rFonts w:hint="default"/>
        <w:lang w:val="zh-CN" w:eastAsia="zh-CN" w:bidi="zh-CN"/>
      </w:rPr>
    </w:lvl>
    <w:lvl w:ilvl="6" w:tplc="FCC491D2">
      <w:numFmt w:val="bullet"/>
      <w:lvlText w:val="•"/>
      <w:lvlJc w:val="left"/>
      <w:pPr>
        <w:ind w:left="6939" w:hanging="531"/>
      </w:pPr>
      <w:rPr>
        <w:rFonts w:hint="default"/>
        <w:lang w:val="zh-CN" w:eastAsia="zh-CN" w:bidi="zh-CN"/>
      </w:rPr>
    </w:lvl>
    <w:lvl w:ilvl="7" w:tplc="957E6A7E">
      <w:numFmt w:val="bullet"/>
      <w:lvlText w:val="•"/>
      <w:lvlJc w:val="left"/>
      <w:pPr>
        <w:ind w:left="7866" w:hanging="531"/>
      </w:pPr>
      <w:rPr>
        <w:rFonts w:hint="default"/>
        <w:lang w:val="zh-CN" w:eastAsia="zh-CN" w:bidi="zh-CN"/>
      </w:rPr>
    </w:lvl>
    <w:lvl w:ilvl="8" w:tplc="FB42A90A">
      <w:numFmt w:val="bullet"/>
      <w:lvlText w:val="•"/>
      <w:lvlJc w:val="left"/>
      <w:pPr>
        <w:ind w:left="8793" w:hanging="531"/>
      </w:pPr>
      <w:rPr>
        <w:rFonts w:hint="default"/>
        <w:lang w:val="zh-CN" w:eastAsia="zh-CN" w:bidi="zh-CN"/>
      </w:rPr>
    </w:lvl>
  </w:abstractNum>
  <w:abstractNum w:abstractNumId="379" w15:restartNumberingAfterBreak="0">
    <w:nsid w:val="327F7CB3"/>
    <w:multiLevelType w:val="hybridMultilevel"/>
    <w:tmpl w:val="767CD16C"/>
    <w:lvl w:ilvl="0" w:tplc="97A06ED2">
      <w:start w:val="8"/>
      <w:numFmt w:val="decimal"/>
      <w:lvlText w:val="%1"/>
      <w:lvlJc w:val="left"/>
      <w:pPr>
        <w:ind w:left="1370" w:hanging="531"/>
        <w:jc w:val="left"/>
      </w:pPr>
      <w:rPr>
        <w:rFonts w:hint="default"/>
        <w:lang w:val="zh-CN" w:eastAsia="zh-CN" w:bidi="zh-CN"/>
      </w:rPr>
    </w:lvl>
    <w:lvl w:ilvl="1" w:tplc="E90AD3F4">
      <w:start w:val="5"/>
      <w:numFmt w:val="decimal"/>
      <w:lvlText w:val="%1.%2"/>
      <w:lvlJc w:val="left"/>
      <w:pPr>
        <w:ind w:left="1370" w:hanging="531"/>
        <w:jc w:val="left"/>
      </w:pPr>
      <w:rPr>
        <w:rFonts w:hint="default"/>
        <w:lang w:val="zh-CN" w:eastAsia="zh-CN" w:bidi="zh-CN"/>
      </w:rPr>
    </w:lvl>
    <w:lvl w:ilvl="2" w:tplc="EF647114">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92D686A2">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84FAFA16">
      <w:numFmt w:val="bullet"/>
      <w:lvlText w:val="•"/>
      <w:lvlJc w:val="left"/>
      <w:pPr>
        <w:ind w:left="4602" w:hanging="738"/>
      </w:pPr>
      <w:rPr>
        <w:rFonts w:hint="default"/>
        <w:lang w:val="zh-CN" w:eastAsia="zh-CN" w:bidi="zh-CN"/>
      </w:rPr>
    </w:lvl>
    <w:lvl w:ilvl="5" w:tplc="B12463B2">
      <w:numFmt w:val="bullet"/>
      <w:lvlText w:val="•"/>
      <w:lvlJc w:val="left"/>
      <w:pPr>
        <w:ind w:left="5609" w:hanging="738"/>
      </w:pPr>
      <w:rPr>
        <w:rFonts w:hint="default"/>
        <w:lang w:val="zh-CN" w:eastAsia="zh-CN" w:bidi="zh-CN"/>
      </w:rPr>
    </w:lvl>
    <w:lvl w:ilvl="6" w:tplc="38268CE6">
      <w:numFmt w:val="bullet"/>
      <w:lvlText w:val="•"/>
      <w:lvlJc w:val="left"/>
      <w:pPr>
        <w:ind w:left="6616" w:hanging="738"/>
      </w:pPr>
      <w:rPr>
        <w:rFonts w:hint="default"/>
        <w:lang w:val="zh-CN" w:eastAsia="zh-CN" w:bidi="zh-CN"/>
      </w:rPr>
    </w:lvl>
    <w:lvl w:ilvl="7" w:tplc="EA0A0548">
      <w:numFmt w:val="bullet"/>
      <w:lvlText w:val="•"/>
      <w:lvlJc w:val="left"/>
      <w:pPr>
        <w:ind w:left="7624" w:hanging="738"/>
      </w:pPr>
      <w:rPr>
        <w:rFonts w:hint="default"/>
        <w:lang w:val="zh-CN" w:eastAsia="zh-CN" w:bidi="zh-CN"/>
      </w:rPr>
    </w:lvl>
    <w:lvl w:ilvl="8" w:tplc="DBEEC748">
      <w:numFmt w:val="bullet"/>
      <w:lvlText w:val="•"/>
      <w:lvlJc w:val="left"/>
      <w:pPr>
        <w:ind w:left="8631" w:hanging="738"/>
      </w:pPr>
      <w:rPr>
        <w:rFonts w:hint="default"/>
        <w:lang w:val="zh-CN" w:eastAsia="zh-CN" w:bidi="zh-CN"/>
      </w:rPr>
    </w:lvl>
  </w:abstractNum>
  <w:abstractNum w:abstractNumId="380" w15:restartNumberingAfterBreak="0">
    <w:nsid w:val="328E1D85"/>
    <w:multiLevelType w:val="hybridMultilevel"/>
    <w:tmpl w:val="4F829FB0"/>
    <w:lvl w:ilvl="0" w:tplc="C882D570">
      <w:start w:val="6"/>
      <w:numFmt w:val="upperLetter"/>
      <w:lvlText w:val="%1."/>
      <w:lvlJc w:val="left"/>
      <w:pPr>
        <w:ind w:left="1052" w:hanging="213"/>
        <w:jc w:val="left"/>
      </w:pPr>
      <w:rPr>
        <w:rFonts w:ascii="宋体" w:eastAsia="宋体" w:hAnsi="宋体" w:cs="宋体" w:hint="default"/>
        <w:b/>
        <w:bCs/>
        <w:w w:val="99"/>
        <w:sz w:val="19"/>
        <w:szCs w:val="19"/>
        <w:lang w:val="zh-CN" w:eastAsia="zh-CN" w:bidi="zh-CN"/>
      </w:rPr>
    </w:lvl>
    <w:lvl w:ilvl="1" w:tplc="B1DA797E">
      <w:numFmt w:val="bullet"/>
      <w:lvlText w:val="•"/>
      <w:lvlJc w:val="left"/>
      <w:pPr>
        <w:ind w:left="2018" w:hanging="213"/>
      </w:pPr>
      <w:rPr>
        <w:rFonts w:hint="default"/>
        <w:lang w:val="zh-CN" w:eastAsia="zh-CN" w:bidi="zh-CN"/>
      </w:rPr>
    </w:lvl>
    <w:lvl w:ilvl="2" w:tplc="38547594">
      <w:numFmt w:val="bullet"/>
      <w:lvlText w:val="•"/>
      <w:lvlJc w:val="left"/>
      <w:pPr>
        <w:ind w:left="2977" w:hanging="213"/>
      </w:pPr>
      <w:rPr>
        <w:rFonts w:hint="default"/>
        <w:lang w:val="zh-CN" w:eastAsia="zh-CN" w:bidi="zh-CN"/>
      </w:rPr>
    </w:lvl>
    <w:lvl w:ilvl="3" w:tplc="35D82FD8">
      <w:numFmt w:val="bullet"/>
      <w:lvlText w:val="•"/>
      <w:lvlJc w:val="left"/>
      <w:pPr>
        <w:ind w:left="3935" w:hanging="213"/>
      </w:pPr>
      <w:rPr>
        <w:rFonts w:hint="default"/>
        <w:lang w:val="zh-CN" w:eastAsia="zh-CN" w:bidi="zh-CN"/>
      </w:rPr>
    </w:lvl>
    <w:lvl w:ilvl="4" w:tplc="D8B6549C">
      <w:numFmt w:val="bullet"/>
      <w:lvlText w:val="•"/>
      <w:lvlJc w:val="left"/>
      <w:pPr>
        <w:ind w:left="4894" w:hanging="213"/>
      </w:pPr>
      <w:rPr>
        <w:rFonts w:hint="default"/>
        <w:lang w:val="zh-CN" w:eastAsia="zh-CN" w:bidi="zh-CN"/>
      </w:rPr>
    </w:lvl>
    <w:lvl w:ilvl="5" w:tplc="4F3E583E">
      <w:numFmt w:val="bullet"/>
      <w:lvlText w:val="•"/>
      <w:lvlJc w:val="left"/>
      <w:pPr>
        <w:ind w:left="5853" w:hanging="213"/>
      </w:pPr>
      <w:rPr>
        <w:rFonts w:hint="default"/>
        <w:lang w:val="zh-CN" w:eastAsia="zh-CN" w:bidi="zh-CN"/>
      </w:rPr>
    </w:lvl>
    <w:lvl w:ilvl="6" w:tplc="9F54E614">
      <w:numFmt w:val="bullet"/>
      <w:lvlText w:val="•"/>
      <w:lvlJc w:val="left"/>
      <w:pPr>
        <w:ind w:left="6811" w:hanging="213"/>
      </w:pPr>
      <w:rPr>
        <w:rFonts w:hint="default"/>
        <w:lang w:val="zh-CN" w:eastAsia="zh-CN" w:bidi="zh-CN"/>
      </w:rPr>
    </w:lvl>
    <w:lvl w:ilvl="7" w:tplc="29F03F92">
      <w:numFmt w:val="bullet"/>
      <w:lvlText w:val="•"/>
      <w:lvlJc w:val="left"/>
      <w:pPr>
        <w:ind w:left="7770" w:hanging="213"/>
      </w:pPr>
      <w:rPr>
        <w:rFonts w:hint="default"/>
        <w:lang w:val="zh-CN" w:eastAsia="zh-CN" w:bidi="zh-CN"/>
      </w:rPr>
    </w:lvl>
    <w:lvl w:ilvl="8" w:tplc="47027552">
      <w:numFmt w:val="bullet"/>
      <w:lvlText w:val="•"/>
      <w:lvlJc w:val="left"/>
      <w:pPr>
        <w:ind w:left="8729" w:hanging="213"/>
      </w:pPr>
      <w:rPr>
        <w:rFonts w:hint="default"/>
        <w:lang w:val="zh-CN" w:eastAsia="zh-CN" w:bidi="zh-CN"/>
      </w:rPr>
    </w:lvl>
  </w:abstractNum>
  <w:abstractNum w:abstractNumId="381" w15:restartNumberingAfterBreak="0">
    <w:nsid w:val="32A762FF"/>
    <w:multiLevelType w:val="hybridMultilevel"/>
    <w:tmpl w:val="42564CEC"/>
    <w:lvl w:ilvl="0" w:tplc="838279D0">
      <w:start w:val="5"/>
      <w:numFmt w:val="decimal"/>
      <w:lvlText w:val="%1"/>
      <w:lvlJc w:val="left"/>
      <w:pPr>
        <w:ind w:left="418" w:hanging="531"/>
        <w:jc w:val="left"/>
      </w:pPr>
      <w:rPr>
        <w:rFonts w:hint="default"/>
        <w:lang w:val="zh-CN" w:eastAsia="zh-CN" w:bidi="zh-CN"/>
      </w:rPr>
    </w:lvl>
    <w:lvl w:ilvl="1" w:tplc="B3DA4CF6">
      <w:start w:val="2"/>
      <w:numFmt w:val="decimal"/>
      <w:lvlText w:val="%1.%2"/>
      <w:lvlJc w:val="left"/>
      <w:pPr>
        <w:ind w:left="418" w:hanging="531"/>
        <w:jc w:val="left"/>
      </w:pPr>
      <w:rPr>
        <w:rFonts w:hint="default"/>
        <w:lang w:val="zh-CN" w:eastAsia="zh-CN" w:bidi="zh-CN"/>
      </w:rPr>
    </w:lvl>
    <w:lvl w:ilvl="2" w:tplc="D9C02DD4">
      <w:start w:val="6"/>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A566E07E">
      <w:numFmt w:val="bullet"/>
      <w:lvlText w:val="•"/>
      <w:lvlJc w:val="left"/>
      <w:pPr>
        <w:ind w:left="3487" w:hanging="531"/>
      </w:pPr>
      <w:rPr>
        <w:rFonts w:hint="default"/>
        <w:lang w:val="zh-CN" w:eastAsia="zh-CN" w:bidi="zh-CN"/>
      </w:rPr>
    </w:lvl>
    <w:lvl w:ilvl="4" w:tplc="CAC22076">
      <w:numFmt w:val="bullet"/>
      <w:lvlText w:val="•"/>
      <w:lvlJc w:val="left"/>
      <w:pPr>
        <w:ind w:left="4510" w:hanging="531"/>
      </w:pPr>
      <w:rPr>
        <w:rFonts w:hint="default"/>
        <w:lang w:val="zh-CN" w:eastAsia="zh-CN" w:bidi="zh-CN"/>
      </w:rPr>
    </w:lvl>
    <w:lvl w:ilvl="5" w:tplc="C83E79A4">
      <w:numFmt w:val="bullet"/>
      <w:lvlText w:val="•"/>
      <w:lvlJc w:val="left"/>
      <w:pPr>
        <w:ind w:left="5533" w:hanging="531"/>
      </w:pPr>
      <w:rPr>
        <w:rFonts w:hint="default"/>
        <w:lang w:val="zh-CN" w:eastAsia="zh-CN" w:bidi="zh-CN"/>
      </w:rPr>
    </w:lvl>
    <w:lvl w:ilvl="6" w:tplc="27C06E06">
      <w:numFmt w:val="bullet"/>
      <w:lvlText w:val="•"/>
      <w:lvlJc w:val="left"/>
      <w:pPr>
        <w:ind w:left="6555" w:hanging="531"/>
      </w:pPr>
      <w:rPr>
        <w:rFonts w:hint="default"/>
        <w:lang w:val="zh-CN" w:eastAsia="zh-CN" w:bidi="zh-CN"/>
      </w:rPr>
    </w:lvl>
    <w:lvl w:ilvl="7" w:tplc="5D226CBC">
      <w:numFmt w:val="bullet"/>
      <w:lvlText w:val="•"/>
      <w:lvlJc w:val="left"/>
      <w:pPr>
        <w:ind w:left="7578" w:hanging="531"/>
      </w:pPr>
      <w:rPr>
        <w:rFonts w:hint="default"/>
        <w:lang w:val="zh-CN" w:eastAsia="zh-CN" w:bidi="zh-CN"/>
      </w:rPr>
    </w:lvl>
    <w:lvl w:ilvl="8" w:tplc="C9380D82">
      <w:numFmt w:val="bullet"/>
      <w:lvlText w:val="•"/>
      <w:lvlJc w:val="left"/>
      <w:pPr>
        <w:ind w:left="8601" w:hanging="531"/>
      </w:pPr>
      <w:rPr>
        <w:rFonts w:hint="default"/>
        <w:lang w:val="zh-CN" w:eastAsia="zh-CN" w:bidi="zh-CN"/>
      </w:rPr>
    </w:lvl>
  </w:abstractNum>
  <w:abstractNum w:abstractNumId="382" w15:restartNumberingAfterBreak="0">
    <w:nsid w:val="32B45DBD"/>
    <w:multiLevelType w:val="hybridMultilevel"/>
    <w:tmpl w:val="AF40B364"/>
    <w:lvl w:ilvl="0" w:tplc="99F4B8BC">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A1DE3BE0">
      <w:numFmt w:val="bullet"/>
      <w:lvlText w:val="•"/>
      <w:lvlJc w:val="left"/>
      <w:pPr>
        <w:ind w:left="2288" w:hanging="529"/>
      </w:pPr>
      <w:rPr>
        <w:rFonts w:hint="default"/>
        <w:lang w:val="zh-CN" w:eastAsia="zh-CN" w:bidi="zh-CN"/>
      </w:rPr>
    </w:lvl>
    <w:lvl w:ilvl="2" w:tplc="498839AA">
      <w:numFmt w:val="bullet"/>
      <w:lvlText w:val="•"/>
      <w:lvlJc w:val="left"/>
      <w:pPr>
        <w:ind w:left="3217" w:hanging="529"/>
      </w:pPr>
      <w:rPr>
        <w:rFonts w:hint="default"/>
        <w:lang w:val="zh-CN" w:eastAsia="zh-CN" w:bidi="zh-CN"/>
      </w:rPr>
    </w:lvl>
    <w:lvl w:ilvl="3" w:tplc="785E4E74">
      <w:numFmt w:val="bullet"/>
      <w:lvlText w:val="•"/>
      <w:lvlJc w:val="left"/>
      <w:pPr>
        <w:ind w:left="4145" w:hanging="529"/>
      </w:pPr>
      <w:rPr>
        <w:rFonts w:hint="default"/>
        <w:lang w:val="zh-CN" w:eastAsia="zh-CN" w:bidi="zh-CN"/>
      </w:rPr>
    </w:lvl>
    <w:lvl w:ilvl="4" w:tplc="477E203A">
      <w:numFmt w:val="bullet"/>
      <w:lvlText w:val="•"/>
      <w:lvlJc w:val="left"/>
      <w:pPr>
        <w:ind w:left="5074" w:hanging="529"/>
      </w:pPr>
      <w:rPr>
        <w:rFonts w:hint="default"/>
        <w:lang w:val="zh-CN" w:eastAsia="zh-CN" w:bidi="zh-CN"/>
      </w:rPr>
    </w:lvl>
    <w:lvl w:ilvl="5" w:tplc="D0FCC9CA">
      <w:numFmt w:val="bullet"/>
      <w:lvlText w:val="•"/>
      <w:lvlJc w:val="left"/>
      <w:pPr>
        <w:ind w:left="6003" w:hanging="529"/>
      </w:pPr>
      <w:rPr>
        <w:rFonts w:hint="default"/>
        <w:lang w:val="zh-CN" w:eastAsia="zh-CN" w:bidi="zh-CN"/>
      </w:rPr>
    </w:lvl>
    <w:lvl w:ilvl="6" w:tplc="DDC8C1FA">
      <w:numFmt w:val="bullet"/>
      <w:lvlText w:val="•"/>
      <w:lvlJc w:val="left"/>
      <w:pPr>
        <w:ind w:left="6931" w:hanging="529"/>
      </w:pPr>
      <w:rPr>
        <w:rFonts w:hint="default"/>
        <w:lang w:val="zh-CN" w:eastAsia="zh-CN" w:bidi="zh-CN"/>
      </w:rPr>
    </w:lvl>
    <w:lvl w:ilvl="7" w:tplc="1EDC3094">
      <w:numFmt w:val="bullet"/>
      <w:lvlText w:val="•"/>
      <w:lvlJc w:val="left"/>
      <w:pPr>
        <w:ind w:left="7860" w:hanging="529"/>
      </w:pPr>
      <w:rPr>
        <w:rFonts w:hint="default"/>
        <w:lang w:val="zh-CN" w:eastAsia="zh-CN" w:bidi="zh-CN"/>
      </w:rPr>
    </w:lvl>
    <w:lvl w:ilvl="8" w:tplc="F656E68A">
      <w:numFmt w:val="bullet"/>
      <w:lvlText w:val="•"/>
      <w:lvlJc w:val="left"/>
      <w:pPr>
        <w:ind w:left="8789" w:hanging="529"/>
      </w:pPr>
      <w:rPr>
        <w:rFonts w:hint="default"/>
        <w:lang w:val="zh-CN" w:eastAsia="zh-CN" w:bidi="zh-CN"/>
      </w:rPr>
    </w:lvl>
  </w:abstractNum>
  <w:abstractNum w:abstractNumId="383" w15:restartNumberingAfterBreak="0">
    <w:nsid w:val="32BF0C66"/>
    <w:multiLevelType w:val="hybridMultilevel"/>
    <w:tmpl w:val="B0ECF8A0"/>
    <w:lvl w:ilvl="0" w:tplc="A59CC4CC">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4C467AAC">
      <w:numFmt w:val="bullet"/>
      <w:lvlText w:val="•"/>
      <w:lvlJc w:val="left"/>
      <w:pPr>
        <w:ind w:left="2288" w:hanging="529"/>
      </w:pPr>
      <w:rPr>
        <w:rFonts w:hint="default"/>
        <w:lang w:val="zh-CN" w:eastAsia="zh-CN" w:bidi="zh-CN"/>
      </w:rPr>
    </w:lvl>
    <w:lvl w:ilvl="2" w:tplc="89748AB0">
      <w:numFmt w:val="bullet"/>
      <w:lvlText w:val="•"/>
      <w:lvlJc w:val="left"/>
      <w:pPr>
        <w:ind w:left="3217" w:hanging="529"/>
      </w:pPr>
      <w:rPr>
        <w:rFonts w:hint="default"/>
        <w:lang w:val="zh-CN" w:eastAsia="zh-CN" w:bidi="zh-CN"/>
      </w:rPr>
    </w:lvl>
    <w:lvl w:ilvl="3" w:tplc="0BB8F72C">
      <w:numFmt w:val="bullet"/>
      <w:lvlText w:val="•"/>
      <w:lvlJc w:val="left"/>
      <w:pPr>
        <w:ind w:left="4145" w:hanging="529"/>
      </w:pPr>
      <w:rPr>
        <w:rFonts w:hint="default"/>
        <w:lang w:val="zh-CN" w:eastAsia="zh-CN" w:bidi="zh-CN"/>
      </w:rPr>
    </w:lvl>
    <w:lvl w:ilvl="4" w:tplc="D8D606F8">
      <w:numFmt w:val="bullet"/>
      <w:lvlText w:val="•"/>
      <w:lvlJc w:val="left"/>
      <w:pPr>
        <w:ind w:left="5074" w:hanging="529"/>
      </w:pPr>
      <w:rPr>
        <w:rFonts w:hint="default"/>
        <w:lang w:val="zh-CN" w:eastAsia="zh-CN" w:bidi="zh-CN"/>
      </w:rPr>
    </w:lvl>
    <w:lvl w:ilvl="5" w:tplc="AF000F34">
      <w:numFmt w:val="bullet"/>
      <w:lvlText w:val="•"/>
      <w:lvlJc w:val="left"/>
      <w:pPr>
        <w:ind w:left="6003" w:hanging="529"/>
      </w:pPr>
      <w:rPr>
        <w:rFonts w:hint="default"/>
        <w:lang w:val="zh-CN" w:eastAsia="zh-CN" w:bidi="zh-CN"/>
      </w:rPr>
    </w:lvl>
    <w:lvl w:ilvl="6" w:tplc="A09AAD6C">
      <w:numFmt w:val="bullet"/>
      <w:lvlText w:val="•"/>
      <w:lvlJc w:val="left"/>
      <w:pPr>
        <w:ind w:left="6931" w:hanging="529"/>
      </w:pPr>
      <w:rPr>
        <w:rFonts w:hint="default"/>
        <w:lang w:val="zh-CN" w:eastAsia="zh-CN" w:bidi="zh-CN"/>
      </w:rPr>
    </w:lvl>
    <w:lvl w:ilvl="7" w:tplc="AACC0238">
      <w:numFmt w:val="bullet"/>
      <w:lvlText w:val="•"/>
      <w:lvlJc w:val="left"/>
      <w:pPr>
        <w:ind w:left="7860" w:hanging="529"/>
      </w:pPr>
      <w:rPr>
        <w:rFonts w:hint="default"/>
        <w:lang w:val="zh-CN" w:eastAsia="zh-CN" w:bidi="zh-CN"/>
      </w:rPr>
    </w:lvl>
    <w:lvl w:ilvl="8" w:tplc="74AEB9EA">
      <w:numFmt w:val="bullet"/>
      <w:lvlText w:val="•"/>
      <w:lvlJc w:val="left"/>
      <w:pPr>
        <w:ind w:left="8789" w:hanging="529"/>
      </w:pPr>
      <w:rPr>
        <w:rFonts w:hint="default"/>
        <w:lang w:val="zh-CN" w:eastAsia="zh-CN" w:bidi="zh-CN"/>
      </w:rPr>
    </w:lvl>
  </w:abstractNum>
  <w:abstractNum w:abstractNumId="384" w15:restartNumberingAfterBreak="0">
    <w:nsid w:val="32DD792B"/>
    <w:multiLevelType w:val="hybridMultilevel"/>
    <w:tmpl w:val="801885F4"/>
    <w:lvl w:ilvl="0" w:tplc="557E3BFC">
      <w:start w:val="6"/>
      <w:numFmt w:val="decimal"/>
      <w:lvlText w:val="%1"/>
      <w:lvlJc w:val="left"/>
      <w:pPr>
        <w:ind w:left="1158" w:hanging="318"/>
        <w:jc w:val="left"/>
      </w:pPr>
      <w:rPr>
        <w:rFonts w:hint="default"/>
        <w:lang w:val="zh-CN" w:eastAsia="zh-CN" w:bidi="zh-CN"/>
      </w:rPr>
    </w:lvl>
    <w:lvl w:ilvl="1" w:tplc="8C065980">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DF80B25C">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09A2F3F6">
      <w:numFmt w:val="bullet"/>
      <w:lvlText w:val="•"/>
      <w:lvlJc w:val="left"/>
      <w:pPr>
        <w:ind w:left="3268" w:hanging="529"/>
      </w:pPr>
      <w:rPr>
        <w:rFonts w:hint="default"/>
        <w:lang w:val="zh-CN" w:eastAsia="zh-CN" w:bidi="zh-CN"/>
      </w:rPr>
    </w:lvl>
    <w:lvl w:ilvl="4" w:tplc="AA8413C2">
      <w:numFmt w:val="bullet"/>
      <w:lvlText w:val="•"/>
      <w:lvlJc w:val="left"/>
      <w:pPr>
        <w:ind w:left="4322" w:hanging="529"/>
      </w:pPr>
      <w:rPr>
        <w:rFonts w:hint="default"/>
        <w:lang w:val="zh-CN" w:eastAsia="zh-CN" w:bidi="zh-CN"/>
      </w:rPr>
    </w:lvl>
    <w:lvl w:ilvl="5" w:tplc="63E84772">
      <w:numFmt w:val="bullet"/>
      <w:lvlText w:val="•"/>
      <w:lvlJc w:val="left"/>
      <w:pPr>
        <w:ind w:left="5376" w:hanging="529"/>
      </w:pPr>
      <w:rPr>
        <w:rFonts w:hint="default"/>
        <w:lang w:val="zh-CN" w:eastAsia="zh-CN" w:bidi="zh-CN"/>
      </w:rPr>
    </w:lvl>
    <w:lvl w:ilvl="6" w:tplc="43685F60">
      <w:numFmt w:val="bullet"/>
      <w:lvlText w:val="•"/>
      <w:lvlJc w:val="left"/>
      <w:pPr>
        <w:ind w:left="6430" w:hanging="529"/>
      </w:pPr>
      <w:rPr>
        <w:rFonts w:hint="default"/>
        <w:lang w:val="zh-CN" w:eastAsia="zh-CN" w:bidi="zh-CN"/>
      </w:rPr>
    </w:lvl>
    <w:lvl w:ilvl="7" w:tplc="6D222CEA">
      <w:numFmt w:val="bullet"/>
      <w:lvlText w:val="•"/>
      <w:lvlJc w:val="left"/>
      <w:pPr>
        <w:ind w:left="7484" w:hanging="529"/>
      </w:pPr>
      <w:rPr>
        <w:rFonts w:hint="default"/>
        <w:lang w:val="zh-CN" w:eastAsia="zh-CN" w:bidi="zh-CN"/>
      </w:rPr>
    </w:lvl>
    <w:lvl w:ilvl="8" w:tplc="6C382BE2">
      <w:numFmt w:val="bullet"/>
      <w:lvlText w:val="•"/>
      <w:lvlJc w:val="left"/>
      <w:pPr>
        <w:ind w:left="8538" w:hanging="529"/>
      </w:pPr>
      <w:rPr>
        <w:rFonts w:hint="default"/>
        <w:lang w:val="zh-CN" w:eastAsia="zh-CN" w:bidi="zh-CN"/>
      </w:rPr>
    </w:lvl>
  </w:abstractNum>
  <w:abstractNum w:abstractNumId="385" w15:restartNumberingAfterBreak="0">
    <w:nsid w:val="330873F1"/>
    <w:multiLevelType w:val="hybridMultilevel"/>
    <w:tmpl w:val="56485F90"/>
    <w:lvl w:ilvl="0" w:tplc="6DA4AD14">
      <w:start w:val="3"/>
      <w:numFmt w:val="decimal"/>
      <w:lvlText w:val="%1"/>
      <w:lvlJc w:val="left"/>
      <w:pPr>
        <w:ind w:left="1159" w:hanging="320"/>
        <w:jc w:val="left"/>
      </w:pPr>
      <w:rPr>
        <w:rFonts w:hint="default"/>
        <w:lang w:val="zh-CN" w:eastAsia="zh-CN" w:bidi="zh-CN"/>
      </w:rPr>
    </w:lvl>
    <w:lvl w:ilvl="1" w:tplc="4E4E9DF2">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E2CC6D1C">
      <w:start w:val="1"/>
      <w:numFmt w:val="decimal"/>
      <w:lvlText w:val="%1.%2.%3"/>
      <w:lvlJc w:val="left"/>
      <w:pPr>
        <w:ind w:left="418" w:hanging="584"/>
        <w:jc w:val="left"/>
      </w:pPr>
      <w:rPr>
        <w:rFonts w:ascii="宋体" w:eastAsia="宋体" w:hAnsi="宋体" w:cs="宋体" w:hint="default"/>
        <w:b/>
        <w:bCs/>
        <w:w w:val="99"/>
        <w:sz w:val="21"/>
        <w:szCs w:val="21"/>
        <w:lang w:val="zh-CN" w:eastAsia="zh-CN" w:bidi="zh-CN"/>
      </w:rPr>
    </w:lvl>
    <w:lvl w:ilvl="3" w:tplc="4722586C">
      <w:numFmt w:val="bullet"/>
      <w:lvlText w:val="•"/>
      <w:lvlJc w:val="left"/>
      <w:pPr>
        <w:ind w:left="3268" w:hanging="584"/>
      </w:pPr>
      <w:rPr>
        <w:rFonts w:hint="default"/>
        <w:lang w:val="zh-CN" w:eastAsia="zh-CN" w:bidi="zh-CN"/>
      </w:rPr>
    </w:lvl>
    <w:lvl w:ilvl="4" w:tplc="B16C2B16">
      <w:numFmt w:val="bullet"/>
      <w:lvlText w:val="•"/>
      <w:lvlJc w:val="left"/>
      <w:pPr>
        <w:ind w:left="4322" w:hanging="584"/>
      </w:pPr>
      <w:rPr>
        <w:rFonts w:hint="default"/>
        <w:lang w:val="zh-CN" w:eastAsia="zh-CN" w:bidi="zh-CN"/>
      </w:rPr>
    </w:lvl>
    <w:lvl w:ilvl="5" w:tplc="4822B9A6">
      <w:numFmt w:val="bullet"/>
      <w:lvlText w:val="•"/>
      <w:lvlJc w:val="left"/>
      <w:pPr>
        <w:ind w:left="5376" w:hanging="584"/>
      </w:pPr>
      <w:rPr>
        <w:rFonts w:hint="default"/>
        <w:lang w:val="zh-CN" w:eastAsia="zh-CN" w:bidi="zh-CN"/>
      </w:rPr>
    </w:lvl>
    <w:lvl w:ilvl="6" w:tplc="C282A026">
      <w:numFmt w:val="bullet"/>
      <w:lvlText w:val="•"/>
      <w:lvlJc w:val="left"/>
      <w:pPr>
        <w:ind w:left="6430" w:hanging="584"/>
      </w:pPr>
      <w:rPr>
        <w:rFonts w:hint="default"/>
        <w:lang w:val="zh-CN" w:eastAsia="zh-CN" w:bidi="zh-CN"/>
      </w:rPr>
    </w:lvl>
    <w:lvl w:ilvl="7" w:tplc="62E8FE74">
      <w:numFmt w:val="bullet"/>
      <w:lvlText w:val="•"/>
      <w:lvlJc w:val="left"/>
      <w:pPr>
        <w:ind w:left="7484" w:hanging="584"/>
      </w:pPr>
      <w:rPr>
        <w:rFonts w:hint="default"/>
        <w:lang w:val="zh-CN" w:eastAsia="zh-CN" w:bidi="zh-CN"/>
      </w:rPr>
    </w:lvl>
    <w:lvl w:ilvl="8" w:tplc="57B4EA7C">
      <w:numFmt w:val="bullet"/>
      <w:lvlText w:val="•"/>
      <w:lvlJc w:val="left"/>
      <w:pPr>
        <w:ind w:left="8538" w:hanging="584"/>
      </w:pPr>
      <w:rPr>
        <w:rFonts w:hint="default"/>
        <w:lang w:val="zh-CN" w:eastAsia="zh-CN" w:bidi="zh-CN"/>
      </w:rPr>
    </w:lvl>
  </w:abstractNum>
  <w:abstractNum w:abstractNumId="386" w15:restartNumberingAfterBreak="0">
    <w:nsid w:val="33434A45"/>
    <w:multiLevelType w:val="hybridMultilevel"/>
    <w:tmpl w:val="0E842164"/>
    <w:lvl w:ilvl="0" w:tplc="3F529AFE">
      <w:start w:val="2"/>
      <w:numFmt w:val="decimal"/>
      <w:lvlText w:val="%1"/>
      <w:lvlJc w:val="left"/>
      <w:pPr>
        <w:ind w:left="418" w:hanging="318"/>
        <w:jc w:val="left"/>
      </w:pPr>
      <w:rPr>
        <w:rFonts w:hint="default"/>
        <w:lang w:val="zh-CN" w:eastAsia="zh-CN" w:bidi="zh-CN"/>
      </w:rPr>
    </w:lvl>
    <w:lvl w:ilvl="1" w:tplc="89062856">
      <w:start w:val="9"/>
      <w:numFmt w:val="decimal"/>
      <w:lvlText w:val="%1.%2"/>
      <w:lvlJc w:val="left"/>
      <w:pPr>
        <w:ind w:left="418" w:hanging="318"/>
        <w:jc w:val="left"/>
      </w:pPr>
      <w:rPr>
        <w:rFonts w:ascii="宋体" w:eastAsia="宋体" w:hAnsi="宋体" w:cs="宋体" w:hint="default"/>
        <w:b/>
        <w:bCs/>
        <w:spacing w:val="-51"/>
        <w:w w:val="99"/>
        <w:sz w:val="19"/>
        <w:szCs w:val="19"/>
        <w:lang w:val="zh-CN" w:eastAsia="zh-CN" w:bidi="zh-CN"/>
      </w:rPr>
    </w:lvl>
    <w:lvl w:ilvl="2" w:tplc="D640113C">
      <w:numFmt w:val="bullet"/>
      <w:lvlText w:val="•"/>
      <w:lvlJc w:val="left"/>
      <w:pPr>
        <w:ind w:left="2465" w:hanging="318"/>
      </w:pPr>
      <w:rPr>
        <w:rFonts w:hint="default"/>
        <w:lang w:val="zh-CN" w:eastAsia="zh-CN" w:bidi="zh-CN"/>
      </w:rPr>
    </w:lvl>
    <w:lvl w:ilvl="3" w:tplc="B05A1194">
      <w:numFmt w:val="bullet"/>
      <w:lvlText w:val="•"/>
      <w:lvlJc w:val="left"/>
      <w:pPr>
        <w:ind w:left="3487" w:hanging="318"/>
      </w:pPr>
      <w:rPr>
        <w:rFonts w:hint="default"/>
        <w:lang w:val="zh-CN" w:eastAsia="zh-CN" w:bidi="zh-CN"/>
      </w:rPr>
    </w:lvl>
    <w:lvl w:ilvl="4" w:tplc="A3EC0032">
      <w:numFmt w:val="bullet"/>
      <w:lvlText w:val="•"/>
      <w:lvlJc w:val="left"/>
      <w:pPr>
        <w:ind w:left="4510" w:hanging="318"/>
      </w:pPr>
      <w:rPr>
        <w:rFonts w:hint="default"/>
        <w:lang w:val="zh-CN" w:eastAsia="zh-CN" w:bidi="zh-CN"/>
      </w:rPr>
    </w:lvl>
    <w:lvl w:ilvl="5" w:tplc="FDE6F91A">
      <w:numFmt w:val="bullet"/>
      <w:lvlText w:val="•"/>
      <w:lvlJc w:val="left"/>
      <w:pPr>
        <w:ind w:left="5533" w:hanging="318"/>
      </w:pPr>
      <w:rPr>
        <w:rFonts w:hint="default"/>
        <w:lang w:val="zh-CN" w:eastAsia="zh-CN" w:bidi="zh-CN"/>
      </w:rPr>
    </w:lvl>
    <w:lvl w:ilvl="6" w:tplc="21B8002C">
      <w:numFmt w:val="bullet"/>
      <w:lvlText w:val="•"/>
      <w:lvlJc w:val="left"/>
      <w:pPr>
        <w:ind w:left="6555" w:hanging="318"/>
      </w:pPr>
      <w:rPr>
        <w:rFonts w:hint="default"/>
        <w:lang w:val="zh-CN" w:eastAsia="zh-CN" w:bidi="zh-CN"/>
      </w:rPr>
    </w:lvl>
    <w:lvl w:ilvl="7" w:tplc="FCBED242">
      <w:numFmt w:val="bullet"/>
      <w:lvlText w:val="•"/>
      <w:lvlJc w:val="left"/>
      <w:pPr>
        <w:ind w:left="7578" w:hanging="318"/>
      </w:pPr>
      <w:rPr>
        <w:rFonts w:hint="default"/>
        <w:lang w:val="zh-CN" w:eastAsia="zh-CN" w:bidi="zh-CN"/>
      </w:rPr>
    </w:lvl>
    <w:lvl w:ilvl="8" w:tplc="D2D8684A">
      <w:numFmt w:val="bullet"/>
      <w:lvlText w:val="•"/>
      <w:lvlJc w:val="left"/>
      <w:pPr>
        <w:ind w:left="8601" w:hanging="318"/>
      </w:pPr>
      <w:rPr>
        <w:rFonts w:hint="default"/>
        <w:lang w:val="zh-CN" w:eastAsia="zh-CN" w:bidi="zh-CN"/>
      </w:rPr>
    </w:lvl>
  </w:abstractNum>
  <w:abstractNum w:abstractNumId="387" w15:restartNumberingAfterBreak="0">
    <w:nsid w:val="33492576"/>
    <w:multiLevelType w:val="hybridMultilevel"/>
    <w:tmpl w:val="CCDA82EE"/>
    <w:lvl w:ilvl="0" w:tplc="6EA08BA2">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48707170">
      <w:numFmt w:val="bullet"/>
      <w:lvlText w:val="•"/>
      <w:lvlJc w:val="left"/>
      <w:pPr>
        <w:ind w:left="1442" w:hanging="529"/>
      </w:pPr>
      <w:rPr>
        <w:rFonts w:hint="default"/>
        <w:lang w:val="zh-CN" w:eastAsia="zh-CN" w:bidi="zh-CN"/>
      </w:rPr>
    </w:lvl>
    <w:lvl w:ilvl="2" w:tplc="3716CA14">
      <w:numFmt w:val="bullet"/>
      <w:lvlText w:val="•"/>
      <w:lvlJc w:val="left"/>
      <w:pPr>
        <w:ind w:left="2465" w:hanging="529"/>
      </w:pPr>
      <w:rPr>
        <w:rFonts w:hint="default"/>
        <w:lang w:val="zh-CN" w:eastAsia="zh-CN" w:bidi="zh-CN"/>
      </w:rPr>
    </w:lvl>
    <w:lvl w:ilvl="3" w:tplc="FA52BF82">
      <w:numFmt w:val="bullet"/>
      <w:lvlText w:val="•"/>
      <w:lvlJc w:val="left"/>
      <w:pPr>
        <w:ind w:left="3487" w:hanging="529"/>
      </w:pPr>
      <w:rPr>
        <w:rFonts w:hint="default"/>
        <w:lang w:val="zh-CN" w:eastAsia="zh-CN" w:bidi="zh-CN"/>
      </w:rPr>
    </w:lvl>
    <w:lvl w:ilvl="4" w:tplc="793A0E46">
      <w:numFmt w:val="bullet"/>
      <w:lvlText w:val="•"/>
      <w:lvlJc w:val="left"/>
      <w:pPr>
        <w:ind w:left="4510" w:hanging="529"/>
      </w:pPr>
      <w:rPr>
        <w:rFonts w:hint="default"/>
        <w:lang w:val="zh-CN" w:eastAsia="zh-CN" w:bidi="zh-CN"/>
      </w:rPr>
    </w:lvl>
    <w:lvl w:ilvl="5" w:tplc="F05CBA18">
      <w:numFmt w:val="bullet"/>
      <w:lvlText w:val="•"/>
      <w:lvlJc w:val="left"/>
      <w:pPr>
        <w:ind w:left="5533" w:hanging="529"/>
      </w:pPr>
      <w:rPr>
        <w:rFonts w:hint="default"/>
        <w:lang w:val="zh-CN" w:eastAsia="zh-CN" w:bidi="zh-CN"/>
      </w:rPr>
    </w:lvl>
    <w:lvl w:ilvl="6" w:tplc="C4766710">
      <w:numFmt w:val="bullet"/>
      <w:lvlText w:val="•"/>
      <w:lvlJc w:val="left"/>
      <w:pPr>
        <w:ind w:left="6555" w:hanging="529"/>
      </w:pPr>
      <w:rPr>
        <w:rFonts w:hint="default"/>
        <w:lang w:val="zh-CN" w:eastAsia="zh-CN" w:bidi="zh-CN"/>
      </w:rPr>
    </w:lvl>
    <w:lvl w:ilvl="7" w:tplc="548863D2">
      <w:numFmt w:val="bullet"/>
      <w:lvlText w:val="•"/>
      <w:lvlJc w:val="left"/>
      <w:pPr>
        <w:ind w:left="7578" w:hanging="529"/>
      </w:pPr>
      <w:rPr>
        <w:rFonts w:hint="default"/>
        <w:lang w:val="zh-CN" w:eastAsia="zh-CN" w:bidi="zh-CN"/>
      </w:rPr>
    </w:lvl>
    <w:lvl w:ilvl="8" w:tplc="C9A65D58">
      <w:numFmt w:val="bullet"/>
      <w:lvlText w:val="•"/>
      <w:lvlJc w:val="left"/>
      <w:pPr>
        <w:ind w:left="8601" w:hanging="529"/>
      </w:pPr>
      <w:rPr>
        <w:rFonts w:hint="default"/>
        <w:lang w:val="zh-CN" w:eastAsia="zh-CN" w:bidi="zh-CN"/>
      </w:rPr>
    </w:lvl>
  </w:abstractNum>
  <w:abstractNum w:abstractNumId="388" w15:restartNumberingAfterBreak="0">
    <w:nsid w:val="33AD3738"/>
    <w:multiLevelType w:val="hybridMultilevel"/>
    <w:tmpl w:val="6042449E"/>
    <w:lvl w:ilvl="0" w:tplc="AC2C7DFA">
      <w:start w:val="5"/>
      <w:numFmt w:val="decimal"/>
      <w:lvlText w:val="%1"/>
      <w:lvlJc w:val="left"/>
      <w:pPr>
        <w:ind w:left="1370" w:hanging="531"/>
        <w:jc w:val="left"/>
      </w:pPr>
      <w:rPr>
        <w:rFonts w:hint="default"/>
        <w:lang w:val="zh-CN" w:eastAsia="zh-CN" w:bidi="zh-CN"/>
      </w:rPr>
    </w:lvl>
    <w:lvl w:ilvl="1" w:tplc="7C7AE9EC">
      <w:start w:val="9"/>
      <w:numFmt w:val="decimal"/>
      <w:lvlText w:val="%1.%2"/>
      <w:lvlJc w:val="left"/>
      <w:pPr>
        <w:ind w:left="1370" w:hanging="531"/>
        <w:jc w:val="left"/>
      </w:pPr>
      <w:rPr>
        <w:rFonts w:hint="default"/>
        <w:lang w:val="zh-CN" w:eastAsia="zh-CN" w:bidi="zh-CN"/>
      </w:rPr>
    </w:lvl>
    <w:lvl w:ilvl="2" w:tplc="81A2B2D2">
      <w:start w:val="3"/>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B1B60EC8">
      <w:numFmt w:val="bullet"/>
      <w:lvlText w:val="•"/>
      <w:lvlJc w:val="left"/>
      <w:pPr>
        <w:ind w:left="4159" w:hanging="531"/>
      </w:pPr>
      <w:rPr>
        <w:rFonts w:hint="default"/>
        <w:lang w:val="zh-CN" w:eastAsia="zh-CN" w:bidi="zh-CN"/>
      </w:rPr>
    </w:lvl>
    <w:lvl w:ilvl="4" w:tplc="8762453A">
      <w:numFmt w:val="bullet"/>
      <w:lvlText w:val="•"/>
      <w:lvlJc w:val="left"/>
      <w:pPr>
        <w:ind w:left="5086" w:hanging="531"/>
      </w:pPr>
      <w:rPr>
        <w:rFonts w:hint="default"/>
        <w:lang w:val="zh-CN" w:eastAsia="zh-CN" w:bidi="zh-CN"/>
      </w:rPr>
    </w:lvl>
    <w:lvl w:ilvl="5" w:tplc="0F103974">
      <w:numFmt w:val="bullet"/>
      <w:lvlText w:val="•"/>
      <w:lvlJc w:val="left"/>
      <w:pPr>
        <w:ind w:left="6013" w:hanging="531"/>
      </w:pPr>
      <w:rPr>
        <w:rFonts w:hint="default"/>
        <w:lang w:val="zh-CN" w:eastAsia="zh-CN" w:bidi="zh-CN"/>
      </w:rPr>
    </w:lvl>
    <w:lvl w:ilvl="6" w:tplc="A2BEF422">
      <w:numFmt w:val="bullet"/>
      <w:lvlText w:val="•"/>
      <w:lvlJc w:val="left"/>
      <w:pPr>
        <w:ind w:left="6939" w:hanging="531"/>
      </w:pPr>
      <w:rPr>
        <w:rFonts w:hint="default"/>
        <w:lang w:val="zh-CN" w:eastAsia="zh-CN" w:bidi="zh-CN"/>
      </w:rPr>
    </w:lvl>
    <w:lvl w:ilvl="7" w:tplc="5540F5E2">
      <w:numFmt w:val="bullet"/>
      <w:lvlText w:val="•"/>
      <w:lvlJc w:val="left"/>
      <w:pPr>
        <w:ind w:left="7866" w:hanging="531"/>
      </w:pPr>
      <w:rPr>
        <w:rFonts w:hint="default"/>
        <w:lang w:val="zh-CN" w:eastAsia="zh-CN" w:bidi="zh-CN"/>
      </w:rPr>
    </w:lvl>
    <w:lvl w:ilvl="8" w:tplc="70AE6040">
      <w:numFmt w:val="bullet"/>
      <w:lvlText w:val="•"/>
      <w:lvlJc w:val="left"/>
      <w:pPr>
        <w:ind w:left="8793" w:hanging="531"/>
      </w:pPr>
      <w:rPr>
        <w:rFonts w:hint="default"/>
        <w:lang w:val="zh-CN" w:eastAsia="zh-CN" w:bidi="zh-CN"/>
      </w:rPr>
    </w:lvl>
  </w:abstractNum>
  <w:abstractNum w:abstractNumId="389" w15:restartNumberingAfterBreak="0">
    <w:nsid w:val="341138B3"/>
    <w:multiLevelType w:val="hybridMultilevel"/>
    <w:tmpl w:val="C3FAD422"/>
    <w:lvl w:ilvl="0" w:tplc="AE441026">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DDF6DBF4">
      <w:numFmt w:val="bullet"/>
      <w:lvlText w:val="•"/>
      <w:lvlJc w:val="left"/>
      <w:pPr>
        <w:ind w:left="2288" w:hanging="529"/>
      </w:pPr>
      <w:rPr>
        <w:rFonts w:hint="default"/>
        <w:lang w:val="zh-CN" w:eastAsia="zh-CN" w:bidi="zh-CN"/>
      </w:rPr>
    </w:lvl>
    <w:lvl w:ilvl="2" w:tplc="CC6606BC">
      <w:numFmt w:val="bullet"/>
      <w:lvlText w:val="•"/>
      <w:lvlJc w:val="left"/>
      <w:pPr>
        <w:ind w:left="3217" w:hanging="529"/>
      </w:pPr>
      <w:rPr>
        <w:rFonts w:hint="default"/>
        <w:lang w:val="zh-CN" w:eastAsia="zh-CN" w:bidi="zh-CN"/>
      </w:rPr>
    </w:lvl>
    <w:lvl w:ilvl="3" w:tplc="B8C4B9F4">
      <w:numFmt w:val="bullet"/>
      <w:lvlText w:val="•"/>
      <w:lvlJc w:val="left"/>
      <w:pPr>
        <w:ind w:left="4145" w:hanging="529"/>
      </w:pPr>
      <w:rPr>
        <w:rFonts w:hint="default"/>
        <w:lang w:val="zh-CN" w:eastAsia="zh-CN" w:bidi="zh-CN"/>
      </w:rPr>
    </w:lvl>
    <w:lvl w:ilvl="4" w:tplc="7252465A">
      <w:numFmt w:val="bullet"/>
      <w:lvlText w:val="•"/>
      <w:lvlJc w:val="left"/>
      <w:pPr>
        <w:ind w:left="5074" w:hanging="529"/>
      </w:pPr>
      <w:rPr>
        <w:rFonts w:hint="default"/>
        <w:lang w:val="zh-CN" w:eastAsia="zh-CN" w:bidi="zh-CN"/>
      </w:rPr>
    </w:lvl>
    <w:lvl w:ilvl="5" w:tplc="6D966E7A">
      <w:numFmt w:val="bullet"/>
      <w:lvlText w:val="•"/>
      <w:lvlJc w:val="left"/>
      <w:pPr>
        <w:ind w:left="6003" w:hanging="529"/>
      </w:pPr>
      <w:rPr>
        <w:rFonts w:hint="default"/>
        <w:lang w:val="zh-CN" w:eastAsia="zh-CN" w:bidi="zh-CN"/>
      </w:rPr>
    </w:lvl>
    <w:lvl w:ilvl="6" w:tplc="DBFE3DA2">
      <w:numFmt w:val="bullet"/>
      <w:lvlText w:val="•"/>
      <w:lvlJc w:val="left"/>
      <w:pPr>
        <w:ind w:left="6931" w:hanging="529"/>
      </w:pPr>
      <w:rPr>
        <w:rFonts w:hint="default"/>
        <w:lang w:val="zh-CN" w:eastAsia="zh-CN" w:bidi="zh-CN"/>
      </w:rPr>
    </w:lvl>
    <w:lvl w:ilvl="7" w:tplc="E8E4F1CA">
      <w:numFmt w:val="bullet"/>
      <w:lvlText w:val="•"/>
      <w:lvlJc w:val="left"/>
      <w:pPr>
        <w:ind w:left="7860" w:hanging="529"/>
      </w:pPr>
      <w:rPr>
        <w:rFonts w:hint="default"/>
        <w:lang w:val="zh-CN" w:eastAsia="zh-CN" w:bidi="zh-CN"/>
      </w:rPr>
    </w:lvl>
    <w:lvl w:ilvl="8" w:tplc="739226C2">
      <w:numFmt w:val="bullet"/>
      <w:lvlText w:val="•"/>
      <w:lvlJc w:val="left"/>
      <w:pPr>
        <w:ind w:left="8789" w:hanging="529"/>
      </w:pPr>
      <w:rPr>
        <w:rFonts w:hint="default"/>
        <w:lang w:val="zh-CN" w:eastAsia="zh-CN" w:bidi="zh-CN"/>
      </w:rPr>
    </w:lvl>
  </w:abstractNum>
  <w:abstractNum w:abstractNumId="390" w15:restartNumberingAfterBreak="0">
    <w:nsid w:val="34847025"/>
    <w:multiLevelType w:val="hybridMultilevel"/>
    <w:tmpl w:val="1EE6CC9E"/>
    <w:lvl w:ilvl="0" w:tplc="79C87A76">
      <w:start w:val="3"/>
      <w:numFmt w:val="decimal"/>
      <w:lvlText w:val="%1"/>
      <w:lvlJc w:val="left"/>
      <w:pPr>
        <w:ind w:left="1159" w:hanging="320"/>
        <w:jc w:val="left"/>
      </w:pPr>
      <w:rPr>
        <w:rFonts w:hint="default"/>
        <w:lang w:val="zh-CN" w:eastAsia="zh-CN" w:bidi="zh-CN"/>
      </w:rPr>
    </w:lvl>
    <w:lvl w:ilvl="1" w:tplc="5DFE5392">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6CB61FF2">
      <w:numFmt w:val="bullet"/>
      <w:lvlText w:val="•"/>
      <w:lvlJc w:val="left"/>
      <w:pPr>
        <w:ind w:left="3057" w:hanging="320"/>
      </w:pPr>
      <w:rPr>
        <w:rFonts w:hint="default"/>
        <w:lang w:val="zh-CN" w:eastAsia="zh-CN" w:bidi="zh-CN"/>
      </w:rPr>
    </w:lvl>
    <w:lvl w:ilvl="3" w:tplc="CFEABEFC">
      <w:numFmt w:val="bullet"/>
      <w:lvlText w:val="•"/>
      <w:lvlJc w:val="left"/>
      <w:pPr>
        <w:ind w:left="4005" w:hanging="320"/>
      </w:pPr>
      <w:rPr>
        <w:rFonts w:hint="default"/>
        <w:lang w:val="zh-CN" w:eastAsia="zh-CN" w:bidi="zh-CN"/>
      </w:rPr>
    </w:lvl>
    <w:lvl w:ilvl="4" w:tplc="5FFCA872">
      <w:numFmt w:val="bullet"/>
      <w:lvlText w:val="•"/>
      <w:lvlJc w:val="left"/>
      <w:pPr>
        <w:ind w:left="4954" w:hanging="320"/>
      </w:pPr>
      <w:rPr>
        <w:rFonts w:hint="default"/>
        <w:lang w:val="zh-CN" w:eastAsia="zh-CN" w:bidi="zh-CN"/>
      </w:rPr>
    </w:lvl>
    <w:lvl w:ilvl="5" w:tplc="C6EA9BAE">
      <w:numFmt w:val="bullet"/>
      <w:lvlText w:val="•"/>
      <w:lvlJc w:val="left"/>
      <w:pPr>
        <w:ind w:left="5903" w:hanging="320"/>
      </w:pPr>
      <w:rPr>
        <w:rFonts w:hint="default"/>
        <w:lang w:val="zh-CN" w:eastAsia="zh-CN" w:bidi="zh-CN"/>
      </w:rPr>
    </w:lvl>
    <w:lvl w:ilvl="6" w:tplc="0BAACF7E">
      <w:numFmt w:val="bullet"/>
      <w:lvlText w:val="•"/>
      <w:lvlJc w:val="left"/>
      <w:pPr>
        <w:ind w:left="6851" w:hanging="320"/>
      </w:pPr>
      <w:rPr>
        <w:rFonts w:hint="default"/>
        <w:lang w:val="zh-CN" w:eastAsia="zh-CN" w:bidi="zh-CN"/>
      </w:rPr>
    </w:lvl>
    <w:lvl w:ilvl="7" w:tplc="A59E14E0">
      <w:numFmt w:val="bullet"/>
      <w:lvlText w:val="•"/>
      <w:lvlJc w:val="left"/>
      <w:pPr>
        <w:ind w:left="7800" w:hanging="320"/>
      </w:pPr>
      <w:rPr>
        <w:rFonts w:hint="default"/>
        <w:lang w:val="zh-CN" w:eastAsia="zh-CN" w:bidi="zh-CN"/>
      </w:rPr>
    </w:lvl>
    <w:lvl w:ilvl="8" w:tplc="1376041C">
      <w:numFmt w:val="bullet"/>
      <w:lvlText w:val="•"/>
      <w:lvlJc w:val="left"/>
      <w:pPr>
        <w:ind w:left="8749" w:hanging="320"/>
      </w:pPr>
      <w:rPr>
        <w:rFonts w:hint="default"/>
        <w:lang w:val="zh-CN" w:eastAsia="zh-CN" w:bidi="zh-CN"/>
      </w:rPr>
    </w:lvl>
  </w:abstractNum>
  <w:abstractNum w:abstractNumId="391" w15:restartNumberingAfterBreak="0">
    <w:nsid w:val="34A30CF2"/>
    <w:multiLevelType w:val="hybridMultilevel"/>
    <w:tmpl w:val="94A03702"/>
    <w:lvl w:ilvl="0" w:tplc="9E6C3A50">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7FC4EAA2">
      <w:numFmt w:val="bullet"/>
      <w:lvlText w:val="•"/>
      <w:lvlJc w:val="left"/>
      <w:pPr>
        <w:ind w:left="2288" w:hanging="529"/>
      </w:pPr>
      <w:rPr>
        <w:rFonts w:hint="default"/>
        <w:lang w:val="zh-CN" w:eastAsia="zh-CN" w:bidi="zh-CN"/>
      </w:rPr>
    </w:lvl>
    <w:lvl w:ilvl="2" w:tplc="CEB8DEBC">
      <w:numFmt w:val="bullet"/>
      <w:lvlText w:val="•"/>
      <w:lvlJc w:val="left"/>
      <w:pPr>
        <w:ind w:left="3217" w:hanging="529"/>
      </w:pPr>
      <w:rPr>
        <w:rFonts w:hint="default"/>
        <w:lang w:val="zh-CN" w:eastAsia="zh-CN" w:bidi="zh-CN"/>
      </w:rPr>
    </w:lvl>
    <w:lvl w:ilvl="3" w:tplc="8FDED284">
      <w:numFmt w:val="bullet"/>
      <w:lvlText w:val="•"/>
      <w:lvlJc w:val="left"/>
      <w:pPr>
        <w:ind w:left="4145" w:hanging="529"/>
      </w:pPr>
      <w:rPr>
        <w:rFonts w:hint="default"/>
        <w:lang w:val="zh-CN" w:eastAsia="zh-CN" w:bidi="zh-CN"/>
      </w:rPr>
    </w:lvl>
    <w:lvl w:ilvl="4" w:tplc="CB729242">
      <w:numFmt w:val="bullet"/>
      <w:lvlText w:val="•"/>
      <w:lvlJc w:val="left"/>
      <w:pPr>
        <w:ind w:left="5074" w:hanging="529"/>
      </w:pPr>
      <w:rPr>
        <w:rFonts w:hint="default"/>
        <w:lang w:val="zh-CN" w:eastAsia="zh-CN" w:bidi="zh-CN"/>
      </w:rPr>
    </w:lvl>
    <w:lvl w:ilvl="5" w:tplc="8F18FE2C">
      <w:numFmt w:val="bullet"/>
      <w:lvlText w:val="•"/>
      <w:lvlJc w:val="left"/>
      <w:pPr>
        <w:ind w:left="6003" w:hanging="529"/>
      </w:pPr>
      <w:rPr>
        <w:rFonts w:hint="default"/>
        <w:lang w:val="zh-CN" w:eastAsia="zh-CN" w:bidi="zh-CN"/>
      </w:rPr>
    </w:lvl>
    <w:lvl w:ilvl="6" w:tplc="A96405EC">
      <w:numFmt w:val="bullet"/>
      <w:lvlText w:val="•"/>
      <w:lvlJc w:val="left"/>
      <w:pPr>
        <w:ind w:left="6931" w:hanging="529"/>
      </w:pPr>
      <w:rPr>
        <w:rFonts w:hint="default"/>
        <w:lang w:val="zh-CN" w:eastAsia="zh-CN" w:bidi="zh-CN"/>
      </w:rPr>
    </w:lvl>
    <w:lvl w:ilvl="7" w:tplc="9EDABEA8">
      <w:numFmt w:val="bullet"/>
      <w:lvlText w:val="•"/>
      <w:lvlJc w:val="left"/>
      <w:pPr>
        <w:ind w:left="7860" w:hanging="529"/>
      </w:pPr>
      <w:rPr>
        <w:rFonts w:hint="default"/>
        <w:lang w:val="zh-CN" w:eastAsia="zh-CN" w:bidi="zh-CN"/>
      </w:rPr>
    </w:lvl>
    <w:lvl w:ilvl="8" w:tplc="CDBE960E">
      <w:numFmt w:val="bullet"/>
      <w:lvlText w:val="•"/>
      <w:lvlJc w:val="left"/>
      <w:pPr>
        <w:ind w:left="8789" w:hanging="529"/>
      </w:pPr>
      <w:rPr>
        <w:rFonts w:hint="default"/>
        <w:lang w:val="zh-CN" w:eastAsia="zh-CN" w:bidi="zh-CN"/>
      </w:rPr>
    </w:lvl>
  </w:abstractNum>
  <w:abstractNum w:abstractNumId="392" w15:restartNumberingAfterBreak="0">
    <w:nsid w:val="34A425C2"/>
    <w:multiLevelType w:val="hybridMultilevel"/>
    <w:tmpl w:val="6DB42DB6"/>
    <w:lvl w:ilvl="0" w:tplc="E3A490B2">
      <w:start w:val="4"/>
      <w:numFmt w:val="decimal"/>
      <w:lvlText w:val="%1"/>
      <w:lvlJc w:val="left"/>
      <w:pPr>
        <w:ind w:left="1159" w:hanging="320"/>
        <w:jc w:val="left"/>
      </w:pPr>
      <w:rPr>
        <w:rFonts w:hint="default"/>
        <w:lang w:val="zh-CN" w:eastAsia="zh-CN" w:bidi="zh-CN"/>
      </w:rPr>
    </w:lvl>
    <w:lvl w:ilvl="1" w:tplc="7F845A04">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DA0A35A2">
      <w:numFmt w:val="bullet"/>
      <w:lvlText w:val="•"/>
      <w:lvlJc w:val="left"/>
      <w:pPr>
        <w:ind w:left="3057" w:hanging="320"/>
      </w:pPr>
      <w:rPr>
        <w:rFonts w:hint="default"/>
        <w:lang w:val="zh-CN" w:eastAsia="zh-CN" w:bidi="zh-CN"/>
      </w:rPr>
    </w:lvl>
    <w:lvl w:ilvl="3" w:tplc="09B6DEB2">
      <w:numFmt w:val="bullet"/>
      <w:lvlText w:val="•"/>
      <w:lvlJc w:val="left"/>
      <w:pPr>
        <w:ind w:left="4005" w:hanging="320"/>
      </w:pPr>
      <w:rPr>
        <w:rFonts w:hint="default"/>
        <w:lang w:val="zh-CN" w:eastAsia="zh-CN" w:bidi="zh-CN"/>
      </w:rPr>
    </w:lvl>
    <w:lvl w:ilvl="4" w:tplc="F9C6A4EA">
      <w:numFmt w:val="bullet"/>
      <w:lvlText w:val="•"/>
      <w:lvlJc w:val="left"/>
      <w:pPr>
        <w:ind w:left="4954" w:hanging="320"/>
      </w:pPr>
      <w:rPr>
        <w:rFonts w:hint="default"/>
        <w:lang w:val="zh-CN" w:eastAsia="zh-CN" w:bidi="zh-CN"/>
      </w:rPr>
    </w:lvl>
    <w:lvl w:ilvl="5" w:tplc="54FE2470">
      <w:numFmt w:val="bullet"/>
      <w:lvlText w:val="•"/>
      <w:lvlJc w:val="left"/>
      <w:pPr>
        <w:ind w:left="5903" w:hanging="320"/>
      </w:pPr>
      <w:rPr>
        <w:rFonts w:hint="default"/>
        <w:lang w:val="zh-CN" w:eastAsia="zh-CN" w:bidi="zh-CN"/>
      </w:rPr>
    </w:lvl>
    <w:lvl w:ilvl="6" w:tplc="3F94A366">
      <w:numFmt w:val="bullet"/>
      <w:lvlText w:val="•"/>
      <w:lvlJc w:val="left"/>
      <w:pPr>
        <w:ind w:left="6851" w:hanging="320"/>
      </w:pPr>
      <w:rPr>
        <w:rFonts w:hint="default"/>
        <w:lang w:val="zh-CN" w:eastAsia="zh-CN" w:bidi="zh-CN"/>
      </w:rPr>
    </w:lvl>
    <w:lvl w:ilvl="7" w:tplc="21921E58">
      <w:numFmt w:val="bullet"/>
      <w:lvlText w:val="•"/>
      <w:lvlJc w:val="left"/>
      <w:pPr>
        <w:ind w:left="7800" w:hanging="320"/>
      </w:pPr>
      <w:rPr>
        <w:rFonts w:hint="default"/>
        <w:lang w:val="zh-CN" w:eastAsia="zh-CN" w:bidi="zh-CN"/>
      </w:rPr>
    </w:lvl>
    <w:lvl w:ilvl="8" w:tplc="6C92A80C">
      <w:numFmt w:val="bullet"/>
      <w:lvlText w:val="•"/>
      <w:lvlJc w:val="left"/>
      <w:pPr>
        <w:ind w:left="8749" w:hanging="320"/>
      </w:pPr>
      <w:rPr>
        <w:rFonts w:hint="default"/>
        <w:lang w:val="zh-CN" w:eastAsia="zh-CN" w:bidi="zh-CN"/>
      </w:rPr>
    </w:lvl>
  </w:abstractNum>
  <w:abstractNum w:abstractNumId="393" w15:restartNumberingAfterBreak="0">
    <w:nsid w:val="34A84146"/>
    <w:multiLevelType w:val="hybridMultilevel"/>
    <w:tmpl w:val="C2F4B290"/>
    <w:lvl w:ilvl="0" w:tplc="F44CCA80">
      <w:start w:val="5"/>
      <w:numFmt w:val="decimal"/>
      <w:lvlText w:val="%1"/>
      <w:lvlJc w:val="left"/>
      <w:pPr>
        <w:ind w:left="1787" w:hanging="950"/>
        <w:jc w:val="left"/>
      </w:pPr>
      <w:rPr>
        <w:rFonts w:hint="default"/>
        <w:lang w:val="zh-CN" w:eastAsia="zh-CN" w:bidi="zh-CN"/>
      </w:rPr>
    </w:lvl>
    <w:lvl w:ilvl="1" w:tplc="09FC7CD2">
      <w:start w:val="4"/>
      <w:numFmt w:val="decimal"/>
      <w:lvlText w:val="%1.%2"/>
      <w:lvlJc w:val="left"/>
      <w:pPr>
        <w:ind w:left="1787" w:hanging="950"/>
        <w:jc w:val="left"/>
      </w:pPr>
      <w:rPr>
        <w:rFonts w:hint="default"/>
        <w:lang w:val="zh-CN" w:eastAsia="zh-CN" w:bidi="zh-CN"/>
      </w:rPr>
    </w:lvl>
    <w:lvl w:ilvl="2" w:tplc="E11A1D4E">
      <w:start w:val="4"/>
      <w:numFmt w:val="decimal"/>
      <w:lvlText w:val="%1.%2.%3"/>
      <w:lvlJc w:val="left"/>
      <w:pPr>
        <w:ind w:left="1787" w:hanging="950"/>
        <w:jc w:val="left"/>
      </w:pPr>
      <w:rPr>
        <w:rFonts w:hint="default"/>
        <w:lang w:val="zh-CN" w:eastAsia="zh-CN" w:bidi="zh-CN"/>
      </w:rPr>
    </w:lvl>
    <w:lvl w:ilvl="3" w:tplc="96825F34">
      <w:start w:val="2"/>
      <w:numFmt w:val="decimal"/>
      <w:lvlText w:val="%1.%2.%3.%4"/>
      <w:lvlJc w:val="left"/>
      <w:pPr>
        <w:ind w:left="1787" w:hanging="950"/>
        <w:jc w:val="left"/>
      </w:pPr>
      <w:rPr>
        <w:rFonts w:hint="default"/>
        <w:lang w:val="zh-CN" w:eastAsia="zh-CN" w:bidi="zh-CN"/>
      </w:rPr>
    </w:lvl>
    <w:lvl w:ilvl="4" w:tplc="EA44DEC6">
      <w:start w:val="4"/>
      <w:numFmt w:val="decimal"/>
      <w:lvlText w:val="%1.%2.%3.%4.%5"/>
      <w:lvlJc w:val="left"/>
      <w:pPr>
        <w:ind w:left="1787" w:hanging="950"/>
        <w:jc w:val="left"/>
      </w:pPr>
      <w:rPr>
        <w:rFonts w:ascii="宋体" w:eastAsia="宋体" w:hAnsi="宋体" w:cs="宋体" w:hint="default"/>
        <w:spacing w:val="-3"/>
        <w:w w:val="100"/>
        <w:sz w:val="19"/>
        <w:szCs w:val="19"/>
        <w:lang w:val="zh-CN" w:eastAsia="zh-CN" w:bidi="zh-CN"/>
      </w:rPr>
    </w:lvl>
    <w:lvl w:ilvl="5" w:tplc="E46A7CDA">
      <w:start w:val="1"/>
      <w:numFmt w:val="decimal"/>
      <w:lvlText w:val="%1.%2.%3.%4.%5.%6"/>
      <w:lvlJc w:val="left"/>
      <w:pPr>
        <w:ind w:left="418" w:hanging="1158"/>
        <w:jc w:val="left"/>
      </w:pPr>
      <w:rPr>
        <w:rFonts w:ascii="宋体" w:eastAsia="宋体" w:hAnsi="宋体" w:cs="宋体" w:hint="default"/>
        <w:spacing w:val="-3"/>
        <w:w w:val="100"/>
        <w:sz w:val="19"/>
        <w:szCs w:val="19"/>
        <w:lang w:val="zh-CN" w:eastAsia="zh-CN" w:bidi="zh-CN"/>
      </w:rPr>
    </w:lvl>
    <w:lvl w:ilvl="6" w:tplc="5E5A0090">
      <w:numFmt w:val="bullet"/>
      <w:lvlText w:val="•"/>
      <w:lvlJc w:val="left"/>
      <w:pPr>
        <w:ind w:left="6705" w:hanging="1158"/>
      </w:pPr>
      <w:rPr>
        <w:rFonts w:hint="default"/>
        <w:lang w:val="zh-CN" w:eastAsia="zh-CN" w:bidi="zh-CN"/>
      </w:rPr>
    </w:lvl>
    <w:lvl w:ilvl="7" w:tplc="0ADCF438">
      <w:numFmt w:val="bullet"/>
      <w:lvlText w:val="•"/>
      <w:lvlJc w:val="left"/>
      <w:pPr>
        <w:ind w:left="7690" w:hanging="1158"/>
      </w:pPr>
      <w:rPr>
        <w:rFonts w:hint="default"/>
        <w:lang w:val="zh-CN" w:eastAsia="zh-CN" w:bidi="zh-CN"/>
      </w:rPr>
    </w:lvl>
    <w:lvl w:ilvl="8" w:tplc="C98A5300">
      <w:numFmt w:val="bullet"/>
      <w:lvlText w:val="•"/>
      <w:lvlJc w:val="left"/>
      <w:pPr>
        <w:ind w:left="8676" w:hanging="1158"/>
      </w:pPr>
      <w:rPr>
        <w:rFonts w:hint="default"/>
        <w:lang w:val="zh-CN" w:eastAsia="zh-CN" w:bidi="zh-CN"/>
      </w:rPr>
    </w:lvl>
  </w:abstractNum>
  <w:abstractNum w:abstractNumId="394" w15:restartNumberingAfterBreak="0">
    <w:nsid w:val="34AC671C"/>
    <w:multiLevelType w:val="hybridMultilevel"/>
    <w:tmpl w:val="DC006644"/>
    <w:lvl w:ilvl="0" w:tplc="C58037D6">
      <w:start w:val="6"/>
      <w:numFmt w:val="decimal"/>
      <w:lvlText w:val="%1"/>
      <w:lvlJc w:val="left"/>
      <w:pPr>
        <w:ind w:left="1369" w:hanging="529"/>
        <w:jc w:val="left"/>
      </w:pPr>
      <w:rPr>
        <w:rFonts w:hint="default"/>
        <w:lang w:val="zh-CN" w:eastAsia="zh-CN" w:bidi="zh-CN"/>
      </w:rPr>
    </w:lvl>
    <w:lvl w:ilvl="1" w:tplc="8188DB40">
      <w:start w:val="2"/>
      <w:numFmt w:val="decimal"/>
      <w:lvlText w:val="%1.%2"/>
      <w:lvlJc w:val="left"/>
      <w:pPr>
        <w:ind w:left="1369" w:hanging="529"/>
        <w:jc w:val="left"/>
      </w:pPr>
      <w:rPr>
        <w:rFonts w:hint="default"/>
        <w:lang w:val="zh-CN" w:eastAsia="zh-CN" w:bidi="zh-CN"/>
      </w:rPr>
    </w:lvl>
    <w:lvl w:ilvl="2" w:tplc="B5BC696A">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849E2F60">
      <w:numFmt w:val="bullet"/>
      <w:lvlText w:val="•"/>
      <w:lvlJc w:val="left"/>
      <w:pPr>
        <w:ind w:left="4145" w:hanging="529"/>
      </w:pPr>
      <w:rPr>
        <w:rFonts w:hint="default"/>
        <w:lang w:val="zh-CN" w:eastAsia="zh-CN" w:bidi="zh-CN"/>
      </w:rPr>
    </w:lvl>
    <w:lvl w:ilvl="4" w:tplc="BA84063A">
      <w:numFmt w:val="bullet"/>
      <w:lvlText w:val="•"/>
      <w:lvlJc w:val="left"/>
      <w:pPr>
        <w:ind w:left="5074" w:hanging="529"/>
      </w:pPr>
      <w:rPr>
        <w:rFonts w:hint="default"/>
        <w:lang w:val="zh-CN" w:eastAsia="zh-CN" w:bidi="zh-CN"/>
      </w:rPr>
    </w:lvl>
    <w:lvl w:ilvl="5" w:tplc="4EE06342">
      <w:numFmt w:val="bullet"/>
      <w:lvlText w:val="•"/>
      <w:lvlJc w:val="left"/>
      <w:pPr>
        <w:ind w:left="6003" w:hanging="529"/>
      </w:pPr>
      <w:rPr>
        <w:rFonts w:hint="default"/>
        <w:lang w:val="zh-CN" w:eastAsia="zh-CN" w:bidi="zh-CN"/>
      </w:rPr>
    </w:lvl>
    <w:lvl w:ilvl="6" w:tplc="34E0FC94">
      <w:numFmt w:val="bullet"/>
      <w:lvlText w:val="•"/>
      <w:lvlJc w:val="left"/>
      <w:pPr>
        <w:ind w:left="6931" w:hanging="529"/>
      </w:pPr>
      <w:rPr>
        <w:rFonts w:hint="default"/>
        <w:lang w:val="zh-CN" w:eastAsia="zh-CN" w:bidi="zh-CN"/>
      </w:rPr>
    </w:lvl>
    <w:lvl w:ilvl="7" w:tplc="51E63F1C">
      <w:numFmt w:val="bullet"/>
      <w:lvlText w:val="•"/>
      <w:lvlJc w:val="left"/>
      <w:pPr>
        <w:ind w:left="7860" w:hanging="529"/>
      </w:pPr>
      <w:rPr>
        <w:rFonts w:hint="default"/>
        <w:lang w:val="zh-CN" w:eastAsia="zh-CN" w:bidi="zh-CN"/>
      </w:rPr>
    </w:lvl>
    <w:lvl w:ilvl="8" w:tplc="851ABE76">
      <w:numFmt w:val="bullet"/>
      <w:lvlText w:val="•"/>
      <w:lvlJc w:val="left"/>
      <w:pPr>
        <w:ind w:left="8789" w:hanging="529"/>
      </w:pPr>
      <w:rPr>
        <w:rFonts w:hint="default"/>
        <w:lang w:val="zh-CN" w:eastAsia="zh-CN" w:bidi="zh-CN"/>
      </w:rPr>
    </w:lvl>
  </w:abstractNum>
  <w:abstractNum w:abstractNumId="395" w15:restartNumberingAfterBreak="0">
    <w:nsid w:val="34BB2854"/>
    <w:multiLevelType w:val="hybridMultilevel"/>
    <w:tmpl w:val="9F96A7EC"/>
    <w:lvl w:ilvl="0" w:tplc="B39E2F18">
      <w:start w:val="6"/>
      <w:numFmt w:val="decimal"/>
      <w:lvlText w:val="%1"/>
      <w:lvlJc w:val="left"/>
      <w:pPr>
        <w:ind w:left="418" w:hanging="637"/>
        <w:jc w:val="left"/>
      </w:pPr>
      <w:rPr>
        <w:rFonts w:hint="default"/>
        <w:lang w:val="zh-CN" w:eastAsia="zh-CN" w:bidi="zh-CN"/>
      </w:rPr>
    </w:lvl>
    <w:lvl w:ilvl="1" w:tplc="130E6764">
      <w:start w:val="16"/>
      <w:numFmt w:val="decimal"/>
      <w:lvlText w:val="%1.%2"/>
      <w:lvlJc w:val="left"/>
      <w:pPr>
        <w:ind w:left="418" w:hanging="637"/>
        <w:jc w:val="left"/>
      </w:pPr>
      <w:rPr>
        <w:rFonts w:hint="default"/>
        <w:lang w:val="zh-CN" w:eastAsia="zh-CN" w:bidi="zh-CN"/>
      </w:rPr>
    </w:lvl>
    <w:lvl w:ilvl="2" w:tplc="D988BE62">
      <w:start w:val="1"/>
      <w:numFmt w:val="decimal"/>
      <w:lvlText w:val="%1.%2.%3"/>
      <w:lvlJc w:val="left"/>
      <w:pPr>
        <w:ind w:left="418" w:hanging="637"/>
        <w:jc w:val="left"/>
      </w:pPr>
      <w:rPr>
        <w:rFonts w:ascii="宋体" w:eastAsia="宋体" w:hAnsi="宋体" w:cs="宋体" w:hint="default"/>
        <w:b/>
        <w:bCs/>
        <w:w w:val="99"/>
        <w:sz w:val="19"/>
        <w:szCs w:val="19"/>
        <w:lang w:val="zh-CN" w:eastAsia="zh-CN" w:bidi="zh-CN"/>
      </w:rPr>
    </w:lvl>
    <w:lvl w:ilvl="3" w:tplc="33BE579A">
      <w:numFmt w:val="bullet"/>
      <w:lvlText w:val="•"/>
      <w:lvlJc w:val="left"/>
      <w:pPr>
        <w:ind w:left="3487" w:hanging="637"/>
      </w:pPr>
      <w:rPr>
        <w:rFonts w:hint="default"/>
        <w:lang w:val="zh-CN" w:eastAsia="zh-CN" w:bidi="zh-CN"/>
      </w:rPr>
    </w:lvl>
    <w:lvl w:ilvl="4" w:tplc="081A2E74">
      <w:numFmt w:val="bullet"/>
      <w:lvlText w:val="•"/>
      <w:lvlJc w:val="left"/>
      <w:pPr>
        <w:ind w:left="4510" w:hanging="637"/>
      </w:pPr>
      <w:rPr>
        <w:rFonts w:hint="default"/>
        <w:lang w:val="zh-CN" w:eastAsia="zh-CN" w:bidi="zh-CN"/>
      </w:rPr>
    </w:lvl>
    <w:lvl w:ilvl="5" w:tplc="8FF420CC">
      <w:numFmt w:val="bullet"/>
      <w:lvlText w:val="•"/>
      <w:lvlJc w:val="left"/>
      <w:pPr>
        <w:ind w:left="5533" w:hanging="637"/>
      </w:pPr>
      <w:rPr>
        <w:rFonts w:hint="default"/>
        <w:lang w:val="zh-CN" w:eastAsia="zh-CN" w:bidi="zh-CN"/>
      </w:rPr>
    </w:lvl>
    <w:lvl w:ilvl="6" w:tplc="8A92A184">
      <w:numFmt w:val="bullet"/>
      <w:lvlText w:val="•"/>
      <w:lvlJc w:val="left"/>
      <w:pPr>
        <w:ind w:left="6555" w:hanging="637"/>
      </w:pPr>
      <w:rPr>
        <w:rFonts w:hint="default"/>
        <w:lang w:val="zh-CN" w:eastAsia="zh-CN" w:bidi="zh-CN"/>
      </w:rPr>
    </w:lvl>
    <w:lvl w:ilvl="7" w:tplc="F4D40E6E">
      <w:numFmt w:val="bullet"/>
      <w:lvlText w:val="•"/>
      <w:lvlJc w:val="left"/>
      <w:pPr>
        <w:ind w:left="7578" w:hanging="637"/>
      </w:pPr>
      <w:rPr>
        <w:rFonts w:hint="default"/>
        <w:lang w:val="zh-CN" w:eastAsia="zh-CN" w:bidi="zh-CN"/>
      </w:rPr>
    </w:lvl>
    <w:lvl w:ilvl="8" w:tplc="164CBDDA">
      <w:numFmt w:val="bullet"/>
      <w:lvlText w:val="•"/>
      <w:lvlJc w:val="left"/>
      <w:pPr>
        <w:ind w:left="8601" w:hanging="637"/>
      </w:pPr>
      <w:rPr>
        <w:rFonts w:hint="default"/>
        <w:lang w:val="zh-CN" w:eastAsia="zh-CN" w:bidi="zh-CN"/>
      </w:rPr>
    </w:lvl>
  </w:abstractNum>
  <w:abstractNum w:abstractNumId="396" w15:restartNumberingAfterBreak="0">
    <w:nsid w:val="34CD5C1D"/>
    <w:multiLevelType w:val="hybridMultilevel"/>
    <w:tmpl w:val="09FA1ABA"/>
    <w:lvl w:ilvl="0" w:tplc="CDD85370">
      <w:start w:val="5"/>
      <w:numFmt w:val="decimal"/>
      <w:lvlText w:val="%1"/>
      <w:lvlJc w:val="left"/>
      <w:pPr>
        <w:ind w:left="1158" w:hanging="318"/>
        <w:jc w:val="left"/>
      </w:pPr>
      <w:rPr>
        <w:rFonts w:hint="default"/>
        <w:lang w:val="zh-CN" w:eastAsia="zh-CN" w:bidi="zh-CN"/>
      </w:rPr>
    </w:lvl>
    <w:lvl w:ilvl="1" w:tplc="4E28BADA">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E166B284">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116818A8">
      <w:numFmt w:val="bullet"/>
      <w:lvlText w:val="•"/>
      <w:lvlJc w:val="left"/>
      <w:pPr>
        <w:ind w:left="2573" w:hanging="531"/>
      </w:pPr>
      <w:rPr>
        <w:rFonts w:hint="default"/>
        <w:lang w:val="zh-CN" w:eastAsia="zh-CN" w:bidi="zh-CN"/>
      </w:rPr>
    </w:lvl>
    <w:lvl w:ilvl="4" w:tplc="3614FA64">
      <w:numFmt w:val="bullet"/>
      <w:lvlText w:val="•"/>
      <w:lvlJc w:val="left"/>
      <w:pPr>
        <w:ind w:left="3726" w:hanging="531"/>
      </w:pPr>
      <w:rPr>
        <w:rFonts w:hint="default"/>
        <w:lang w:val="zh-CN" w:eastAsia="zh-CN" w:bidi="zh-CN"/>
      </w:rPr>
    </w:lvl>
    <w:lvl w:ilvl="5" w:tplc="533A2A74">
      <w:numFmt w:val="bullet"/>
      <w:lvlText w:val="•"/>
      <w:lvlJc w:val="left"/>
      <w:pPr>
        <w:ind w:left="4879" w:hanging="531"/>
      </w:pPr>
      <w:rPr>
        <w:rFonts w:hint="default"/>
        <w:lang w:val="zh-CN" w:eastAsia="zh-CN" w:bidi="zh-CN"/>
      </w:rPr>
    </w:lvl>
    <w:lvl w:ilvl="6" w:tplc="075CD6D6">
      <w:numFmt w:val="bullet"/>
      <w:lvlText w:val="•"/>
      <w:lvlJc w:val="left"/>
      <w:pPr>
        <w:ind w:left="6033" w:hanging="531"/>
      </w:pPr>
      <w:rPr>
        <w:rFonts w:hint="default"/>
        <w:lang w:val="zh-CN" w:eastAsia="zh-CN" w:bidi="zh-CN"/>
      </w:rPr>
    </w:lvl>
    <w:lvl w:ilvl="7" w:tplc="711A6FB8">
      <w:numFmt w:val="bullet"/>
      <w:lvlText w:val="•"/>
      <w:lvlJc w:val="left"/>
      <w:pPr>
        <w:ind w:left="7186" w:hanging="531"/>
      </w:pPr>
      <w:rPr>
        <w:rFonts w:hint="default"/>
        <w:lang w:val="zh-CN" w:eastAsia="zh-CN" w:bidi="zh-CN"/>
      </w:rPr>
    </w:lvl>
    <w:lvl w:ilvl="8" w:tplc="516CFFC8">
      <w:numFmt w:val="bullet"/>
      <w:lvlText w:val="•"/>
      <w:lvlJc w:val="left"/>
      <w:pPr>
        <w:ind w:left="8339" w:hanging="531"/>
      </w:pPr>
      <w:rPr>
        <w:rFonts w:hint="default"/>
        <w:lang w:val="zh-CN" w:eastAsia="zh-CN" w:bidi="zh-CN"/>
      </w:rPr>
    </w:lvl>
  </w:abstractNum>
  <w:abstractNum w:abstractNumId="397" w15:restartNumberingAfterBreak="0">
    <w:nsid w:val="34CE0D66"/>
    <w:multiLevelType w:val="hybridMultilevel"/>
    <w:tmpl w:val="8676CBDA"/>
    <w:lvl w:ilvl="0" w:tplc="E2F42EB8">
      <w:start w:val="2"/>
      <w:numFmt w:val="decimal"/>
      <w:lvlText w:val="%1"/>
      <w:lvlJc w:val="left"/>
      <w:pPr>
        <w:ind w:left="1158" w:hanging="318"/>
        <w:jc w:val="left"/>
      </w:pPr>
      <w:rPr>
        <w:rFonts w:hint="default"/>
        <w:lang w:val="zh-CN" w:eastAsia="zh-CN" w:bidi="zh-CN"/>
      </w:rPr>
    </w:lvl>
    <w:lvl w:ilvl="1" w:tplc="B2167356">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382C459A">
      <w:numFmt w:val="bullet"/>
      <w:lvlText w:val="•"/>
      <w:lvlJc w:val="left"/>
      <w:pPr>
        <w:ind w:left="3057" w:hanging="318"/>
      </w:pPr>
      <w:rPr>
        <w:rFonts w:hint="default"/>
        <w:lang w:val="zh-CN" w:eastAsia="zh-CN" w:bidi="zh-CN"/>
      </w:rPr>
    </w:lvl>
    <w:lvl w:ilvl="3" w:tplc="82847FC4">
      <w:numFmt w:val="bullet"/>
      <w:lvlText w:val="•"/>
      <w:lvlJc w:val="left"/>
      <w:pPr>
        <w:ind w:left="4005" w:hanging="318"/>
      </w:pPr>
      <w:rPr>
        <w:rFonts w:hint="default"/>
        <w:lang w:val="zh-CN" w:eastAsia="zh-CN" w:bidi="zh-CN"/>
      </w:rPr>
    </w:lvl>
    <w:lvl w:ilvl="4" w:tplc="19D66708">
      <w:numFmt w:val="bullet"/>
      <w:lvlText w:val="•"/>
      <w:lvlJc w:val="left"/>
      <w:pPr>
        <w:ind w:left="4954" w:hanging="318"/>
      </w:pPr>
      <w:rPr>
        <w:rFonts w:hint="default"/>
        <w:lang w:val="zh-CN" w:eastAsia="zh-CN" w:bidi="zh-CN"/>
      </w:rPr>
    </w:lvl>
    <w:lvl w:ilvl="5" w:tplc="120004CA">
      <w:numFmt w:val="bullet"/>
      <w:lvlText w:val="•"/>
      <w:lvlJc w:val="left"/>
      <w:pPr>
        <w:ind w:left="5903" w:hanging="318"/>
      </w:pPr>
      <w:rPr>
        <w:rFonts w:hint="default"/>
        <w:lang w:val="zh-CN" w:eastAsia="zh-CN" w:bidi="zh-CN"/>
      </w:rPr>
    </w:lvl>
    <w:lvl w:ilvl="6" w:tplc="2C7600D4">
      <w:numFmt w:val="bullet"/>
      <w:lvlText w:val="•"/>
      <w:lvlJc w:val="left"/>
      <w:pPr>
        <w:ind w:left="6851" w:hanging="318"/>
      </w:pPr>
      <w:rPr>
        <w:rFonts w:hint="default"/>
        <w:lang w:val="zh-CN" w:eastAsia="zh-CN" w:bidi="zh-CN"/>
      </w:rPr>
    </w:lvl>
    <w:lvl w:ilvl="7" w:tplc="34DC4568">
      <w:numFmt w:val="bullet"/>
      <w:lvlText w:val="•"/>
      <w:lvlJc w:val="left"/>
      <w:pPr>
        <w:ind w:left="7800" w:hanging="318"/>
      </w:pPr>
      <w:rPr>
        <w:rFonts w:hint="default"/>
        <w:lang w:val="zh-CN" w:eastAsia="zh-CN" w:bidi="zh-CN"/>
      </w:rPr>
    </w:lvl>
    <w:lvl w:ilvl="8" w:tplc="3CD2976A">
      <w:numFmt w:val="bullet"/>
      <w:lvlText w:val="•"/>
      <w:lvlJc w:val="left"/>
      <w:pPr>
        <w:ind w:left="8749" w:hanging="318"/>
      </w:pPr>
      <w:rPr>
        <w:rFonts w:hint="default"/>
        <w:lang w:val="zh-CN" w:eastAsia="zh-CN" w:bidi="zh-CN"/>
      </w:rPr>
    </w:lvl>
  </w:abstractNum>
  <w:abstractNum w:abstractNumId="398" w15:restartNumberingAfterBreak="0">
    <w:nsid w:val="34D04D82"/>
    <w:multiLevelType w:val="hybridMultilevel"/>
    <w:tmpl w:val="776E170E"/>
    <w:lvl w:ilvl="0" w:tplc="D9C868D0">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85CE8F6E">
      <w:numFmt w:val="bullet"/>
      <w:lvlText w:val="•"/>
      <w:lvlJc w:val="left"/>
      <w:pPr>
        <w:ind w:left="2288" w:hanging="529"/>
      </w:pPr>
      <w:rPr>
        <w:rFonts w:hint="default"/>
        <w:lang w:val="zh-CN" w:eastAsia="zh-CN" w:bidi="zh-CN"/>
      </w:rPr>
    </w:lvl>
    <w:lvl w:ilvl="2" w:tplc="1B40EE46">
      <w:numFmt w:val="bullet"/>
      <w:lvlText w:val="•"/>
      <w:lvlJc w:val="left"/>
      <w:pPr>
        <w:ind w:left="3217" w:hanging="529"/>
      </w:pPr>
      <w:rPr>
        <w:rFonts w:hint="default"/>
        <w:lang w:val="zh-CN" w:eastAsia="zh-CN" w:bidi="zh-CN"/>
      </w:rPr>
    </w:lvl>
    <w:lvl w:ilvl="3" w:tplc="BC440B08">
      <w:numFmt w:val="bullet"/>
      <w:lvlText w:val="•"/>
      <w:lvlJc w:val="left"/>
      <w:pPr>
        <w:ind w:left="4145" w:hanging="529"/>
      </w:pPr>
      <w:rPr>
        <w:rFonts w:hint="default"/>
        <w:lang w:val="zh-CN" w:eastAsia="zh-CN" w:bidi="zh-CN"/>
      </w:rPr>
    </w:lvl>
    <w:lvl w:ilvl="4" w:tplc="A058CD70">
      <w:numFmt w:val="bullet"/>
      <w:lvlText w:val="•"/>
      <w:lvlJc w:val="left"/>
      <w:pPr>
        <w:ind w:left="5074" w:hanging="529"/>
      </w:pPr>
      <w:rPr>
        <w:rFonts w:hint="default"/>
        <w:lang w:val="zh-CN" w:eastAsia="zh-CN" w:bidi="zh-CN"/>
      </w:rPr>
    </w:lvl>
    <w:lvl w:ilvl="5" w:tplc="FC82BCAC">
      <w:numFmt w:val="bullet"/>
      <w:lvlText w:val="•"/>
      <w:lvlJc w:val="left"/>
      <w:pPr>
        <w:ind w:left="6003" w:hanging="529"/>
      </w:pPr>
      <w:rPr>
        <w:rFonts w:hint="default"/>
        <w:lang w:val="zh-CN" w:eastAsia="zh-CN" w:bidi="zh-CN"/>
      </w:rPr>
    </w:lvl>
    <w:lvl w:ilvl="6" w:tplc="A1EEDA92">
      <w:numFmt w:val="bullet"/>
      <w:lvlText w:val="•"/>
      <w:lvlJc w:val="left"/>
      <w:pPr>
        <w:ind w:left="6931" w:hanging="529"/>
      </w:pPr>
      <w:rPr>
        <w:rFonts w:hint="default"/>
        <w:lang w:val="zh-CN" w:eastAsia="zh-CN" w:bidi="zh-CN"/>
      </w:rPr>
    </w:lvl>
    <w:lvl w:ilvl="7" w:tplc="C172BF3C">
      <w:numFmt w:val="bullet"/>
      <w:lvlText w:val="•"/>
      <w:lvlJc w:val="left"/>
      <w:pPr>
        <w:ind w:left="7860" w:hanging="529"/>
      </w:pPr>
      <w:rPr>
        <w:rFonts w:hint="default"/>
        <w:lang w:val="zh-CN" w:eastAsia="zh-CN" w:bidi="zh-CN"/>
      </w:rPr>
    </w:lvl>
    <w:lvl w:ilvl="8" w:tplc="E83E4DB8">
      <w:numFmt w:val="bullet"/>
      <w:lvlText w:val="•"/>
      <w:lvlJc w:val="left"/>
      <w:pPr>
        <w:ind w:left="8789" w:hanging="529"/>
      </w:pPr>
      <w:rPr>
        <w:rFonts w:hint="default"/>
        <w:lang w:val="zh-CN" w:eastAsia="zh-CN" w:bidi="zh-CN"/>
      </w:rPr>
    </w:lvl>
  </w:abstractNum>
  <w:abstractNum w:abstractNumId="399" w15:restartNumberingAfterBreak="0">
    <w:nsid w:val="34D20E81"/>
    <w:multiLevelType w:val="hybridMultilevel"/>
    <w:tmpl w:val="21F03E18"/>
    <w:lvl w:ilvl="0" w:tplc="9146A6E6">
      <w:start w:val="2"/>
      <w:numFmt w:val="decimal"/>
      <w:lvlText w:val="%1."/>
      <w:lvlJc w:val="left"/>
      <w:pPr>
        <w:ind w:left="1050" w:hanging="213"/>
        <w:jc w:val="left"/>
      </w:pPr>
      <w:rPr>
        <w:rFonts w:ascii="宋体" w:eastAsia="宋体" w:hAnsi="宋体" w:cs="宋体" w:hint="default"/>
        <w:spacing w:val="-55"/>
        <w:w w:val="100"/>
        <w:sz w:val="19"/>
        <w:szCs w:val="19"/>
        <w:lang w:val="zh-CN" w:eastAsia="zh-CN" w:bidi="zh-CN"/>
      </w:rPr>
    </w:lvl>
    <w:lvl w:ilvl="1" w:tplc="328ED99A">
      <w:numFmt w:val="bullet"/>
      <w:lvlText w:val="•"/>
      <w:lvlJc w:val="left"/>
      <w:pPr>
        <w:ind w:left="2018" w:hanging="213"/>
      </w:pPr>
      <w:rPr>
        <w:rFonts w:hint="default"/>
        <w:lang w:val="zh-CN" w:eastAsia="zh-CN" w:bidi="zh-CN"/>
      </w:rPr>
    </w:lvl>
    <w:lvl w:ilvl="2" w:tplc="6F4886F2">
      <w:numFmt w:val="bullet"/>
      <w:lvlText w:val="•"/>
      <w:lvlJc w:val="left"/>
      <w:pPr>
        <w:ind w:left="2977" w:hanging="213"/>
      </w:pPr>
      <w:rPr>
        <w:rFonts w:hint="default"/>
        <w:lang w:val="zh-CN" w:eastAsia="zh-CN" w:bidi="zh-CN"/>
      </w:rPr>
    </w:lvl>
    <w:lvl w:ilvl="3" w:tplc="8FD2F536">
      <w:numFmt w:val="bullet"/>
      <w:lvlText w:val="•"/>
      <w:lvlJc w:val="left"/>
      <w:pPr>
        <w:ind w:left="3935" w:hanging="213"/>
      </w:pPr>
      <w:rPr>
        <w:rFonts w:hint="default"/>
        <w:lang w:val="zh-CN" w:eastAsia="zh-CN" w:bidi="zh-CN"/>
      </w:rPr>
    </w:lvl>
    <w:lvl w:ilvl="4" w:tplc="9F74C242">
      <w:numFmt w:val="bullet"/>
      <w:lvlText w:val="•"/>
      <w:lvlJc w:val="left"/>
      <w:pPr>
        <w:ind w:left="4894" w:hanging="213"/>
      </w:pPr>
      <w:rPr>
        <w:rFonts w:hint="default"/>
        <w:lang w:val="zh-CN" w:eastAsia="zh-CN" w:bidi="zh-CN"/>
      </w:rPr>
    </w:lvl>
    <w:lvl w:ilvl="5" w:tplc="F2CE4C3E">
      <w:numFmt w:val="bullet"/>
      <w:lvlText w:val="•"/>
      <w:lvlJc w:val="left"/>
      <w:pPr>
        <w:ind w:left="5853" w:hanging="213"/>
      </w:pPr>
      <w:rPr>
        <w:rFonts w:hint="default"/>
        <w:lang w:val="zh-CN" w:eastAsia="zh-CN" w:bidi="zh-CN"/>
      </w:rPr>
    </w:lvl>
    <w:lvl w:ilvl="6" w:tplc="3412FB96">
      <w:numFmt w:val="bullet"/>
      <w:lvlText w:val="•"/>
      <w:lvlJc w:val="left"/>
      <w:pPr>
        <w:ind w:left="6811" w:hanging="213"/>
      </w:pPr>
      <w:rPr>
        <w:rFonts w:hint="default"/>
        <w:lang w:val="zh-CN" w:eastAsia="zh-CN" w:bidi="zh-CN"/>
      </w:rPr>
    </w:lvl>
    <w:lvl w:ilvl="7" w:tplc="59F0BA46">
      <w:numFmt w:val="bullet"/>
      <w:lvlText w:val="•"/>
      <w:lvlJc w:val="left"/>
      <w:pPr>
        <w:ind w:left="7770" w:hanging="213"/>
      </w:pPr>
      <w:rPr>
        <w:rFonts w:hint="default"/>
        <w:lang w:val="zh-CN" w:eastAsia="zh-CN" w:bidi="zh-CN"/>
      </w:rPr>
    </w:lvl>
    <w:lvl w:ilvl="8" w:tplc="806056DC">
      <w:numFmt w:val="bullet"/>
      <w:lvlText w:val="•"/>
      <w:lvlJc w:val="left"/>
      <w:pPr>
        <w:ind w:left="8729" w:hanging="213"/>
      </w:pPr>
      <w:rPr>
        <w:rFonts w:hint="default"/>
        <w:lang w:val="zh-CN" w:eastAsia="zh-CN" w:bidi="zh-CN"/>
      </w:rPr>
    </w:lvl>
  </w:abstractNum>
  <w:abstractNum w:abstractNumId="400" w15:restartNumberingAfterBreak="0">
    <w:nsid w:val="34FC5386"/>
    <w:multiLevelType w:val="hybridMultilevel"/>
    <w:tmpl w:val="E0AE2D7C"/>
    <w:lvl w:ilvl="0" w:tplc="55308B5E">
      <w:start w:val="5"/>
      <w:numFmt w:val="decimal"/>
      <w:lvlText w:val="%1"/>
      <w:lvlJc w:val="left"/>
      <w:pPr>
        <w:ind w:left="1369" w:hanging="529"/>
        <w:jc w:val="left"/>
      </w:pPr>
      <w:rPr>
        <w:rFonts w:hint="default"/>
        <w:lang w:val="zh-CN" w:eastAsia="zh-CN" w:bidi="zh-CN"/>
      </w:rPr>
    </w:lvl>
    <w:lvl w:ilvl="1" w:tplc="2DF80DD2">
      <w:start w:val="4"/>
      <w:numFmt w:val="decimal"/>
      <w:lvlText w:val="%1.%2"/>
      <w:lvlJc w:val="left"/>
      <w:pPr>
        <w:ind w:left="1369" w:hanging="529"/>
        <w:jc w:val="left"/>
      </w:pPr>
      <w:rPr>
        <w:rFonts w:hint="default"/>
        <w:lang w:val="zh-CN" w:eastAsia="zh-CN" w:bidi="zh-CN"/>
      </w:rPr>
    </w:lvl>
    <w:lvl w:ilvl="2" w:tplc="B694F308">
      <w:start w:val="3"/>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06962B28">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19808F9E">
      <w:start w:val="1"/>
      <w:numFmt w:val="decimal"/>
      <w:lvlText w:val="%1.%2.%3.%4.%5"/>
      <w:lvlJc w:val="left"/>
      <w:pPr>
        <w:ind w:left="1787" w:hanging="950"/>
        <w:jc w:val="left"/>
      </w:pPr>
      <w:rPr>
        <w:rFonts w:ascii="宋体" w:eastAsia="宋体" w:hAnsi="宋体" w:cs="宋体" w:hint="default"/>
        <w:spacing w:val="-3"/>
        <w:w w:val="100"/>
        <w:sz w:val="19"/>
        <w:szCs w:val="19"/>
        <w:lang w:val="zh-CN" w:eastAsia="zh-CN" w:bidi="zh-CN"/>
      </w:rPr>
    </w:lvl>
    <w:lvl w:ilvl="5" w:tplc="36E0AF80">
      <w:numFmt w:val="bullet"/>
      <w:lvlText w:val="•"/>
      <w:lvlJc w:val="left"/>
      <w:pPr>
        <w:ind w:left="4313" w:hanging="950"/>
      </w:pPr>
      <w:rPr>
        <w:rFonts w:hint="default"/>
        <w:lang w:val="zh-CN" w:eastAsia="zh-CN" w:bidi="zh-CN"/>
      </w:rPr>
    </w:lvl>
    <w:lvl w:ilvl="6" w:tplc="6FFEF744">
      <w:numFmt w:val="bullet"/>
      <w:lvlText w:val="•"/>
      <w:lvlJc w:val="left"/>
      <w:pPr>
        <w:ind w:left="5579" w:hanging="950"/>
      </w:pPr>
      <w:rPr>
        <w:rFonts w:hint="default"/>
        <w:lang w:val="zh-CN" w:eastAsia="zh-CN" w:bidi="zh-CN"/>
      </w:rPr>
    </w:lvl>
    <w:lvl w:ilvl="7" w:tplc="7B02A28E">
      <w:numFmt w:val="bullet"/>
      <w:lvlText w:val="•"/>
      <w:lvlJc w:val="left"/>
      <w:pPr>
        <w:ind w:left="6846" w:hanging="950"/>
      </w:pPr>
      <w:rPr>
        <w:rFonts w:hint="default"/>
        <w:lang w:val="zh-CN" w:eastAsia="zh-CN" w:bidi="zh-CN"/>
      </w:rPr>
    </w:lvl>
    <w:lvl w:ilvl="8" w:tplc="8A88E634">
      <w:numFmt w:val="bullet"/>
      <w:lvlText w:val="•"/>
      <w:lvlJc w:val="left"/>
      <w:pPr>
        <w:ind w:left="8113" w:hanging="950"/>
      </w:pPr>
      <w:rPr>
        <w:rFonts w:hint="default"/>
        <w:lang w:val="zh-CN" w:eastAsia="zh-CN" w:bidi="zh-CN"/>
      </w:rPr>
    </w:lvl>
  </w:abstractNum>
  <w:abstractNum w:abstractNumId="401" w15:restartNumberingAfterBreak="0">
    <w:nsid w:val="3506776F"/>
    <w:multiLevelType w:val="hybridMultilevel"/>
    <w:tmpl w:val="42F626F4"/>
    <w:lvl w:ilvl="0" w:tplc="EC46F1B6">
      <w:start w:val="2"/>
      <w:numFmt w:val="decimal"/>
      <w:lvlText w:val="%1"/>
      <w:lvlJc w:val="left"/>
      <w:pPr>
        <w:ind w:left="1158" w:hanging="318"/>
        <w:jc w:val="left"/>
      </w:pPr>
      <w:rPr>
        <w:rFonts w:hint="default"/>
        <w:lang w:val="zh-CN" w:eastAsia="zh-CN" w:bidi="zh-CN"/>
      </w:rPr>
    </w:lvl>
    <w:lvl w:ilvl="1" w:tplc="7CE4A68C">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B6FC6EE0">
      <w:numFmt w:val="bullet"/>
      <w:lvlText w:val="•"/>
      <w:lvlJc w:val="left"/>
      <w:pPr>
        <w:ind w:left="3057" w:hanging="318"/>
      </w:pPr>
      <w:rPr>
        <w:rFonts w:hint="default"/>
        <w:lang w:val="zh-CN" w:eastAsia="zh-CN" w:bidi="zh-CN"/>
      </w:rPr>
    </w:lvl>
    <w:lvl w:ilvl="3" w:tplc="16B6A99A">
      <w:numFmt w:val="bullet"/>
      <w:lvlText w:val="•"/>
      <w:lvlJc w:val="left"/>
      <w:pPr>
        <w:ind w:left="4005" w:hanging="318"/>
      </w:pPr>
      <w:rPr>
        <w:rFonts w:hint="default"/>
        <w:lang w:val="zh-CN" w:eastAsia="zh-CN" w:bidi="zh-CN"/>
      </w:rPr>
    </w:lvl>
    <w:lvl w:ilvl="4" w:tplc="2A0E9F50">
      <w:numFmt w:val="bullet"/>
      <w:lvlText w:val="•"/>
      <w:lvlJc w:val="left"/>
      <w:pPr>
        <w:ind w:left="4954" w:hanging="318"/>
      </w:pPr>
      <w:rPr>
        <w:rFonts w:hint="default"/>
        <w:lang w:val="zh-CN" w:eastAsia="zh-CN" w:bidi="zh-CN"/>
      </w:rPr>
    </w:lvl>
    <w:lvl w:ilvl="5" w:tplc="2606F898">
      <w:numFmt w:val="bullet"/>
      <w:lvlText w:val="•"/>
      <w:lvlJc w:val="left"/>
      <w:pPr>
        <w:ind w:left="5903" w:hanging="318"/>
      </w:pPr>
      <w:rPr>
        <w:rFonts w:hint="default"/>
        <w:lang w:val="zh-CN" w:eastAsia="zh-CN" w:bidi="zh-CN"/>
      </w:rPr>
    </w:lvl>
    <w:lvl w:ilvl="6" w:tplc="9928F97A">
      <w:numFmt w:val="bullet"/>
      <w:lvlText w:val="•"/>
      <w:lvlJc w:val="left"/>
      <w:pPr>
        <w:ind w:left="6851" w:hanging="318"/>
      </w:pPr>
      <w:rPr>
        <w:rFonts w:hint="default"/>
        <w:lang w:val="zh-CN" w:eastAsia="zh-CN" w:bidi="zh-CN"/>
      </w:rPr>
    </w:lvl>
    <w:lvl w:ilvl="7" w:tplc="3F76E730">
      <w:numFmt w:val="bullet"/>
      <w:lvlText w:val="•"/>
      <w:lvlJc w:val="left"/>
      <w:pPr>
        <w:ind w:left="7800" w:hanging="318"/>
      </w:pPr>
      <w:rPr>
        <w:rFonts w:hint="default"/>
        <w:lang w:val="zh-CN" w:eastAsia="zh-CN" w:bidi="zh-CN"/>
      </w:rPr>
    </w:lvl>
    <w:lvl w:ilvl="8" w:tplc="99665C62">
      <w:numFmt w:val="bullet"/>
      <w:lvlText w:val="•"/>
      <w:lvlJc w:val="left"/>
      <w:pPr>
        <w:ind w:left="8749" w:hanging="318"/>
      </w:pPr>
      <w:rPr>
        <w:rFonts w:hint="default"/>
        <w:lang w:val="zh-CN" w:eastAsia="zh-CN" w:bidi="zh-CN"/>
      </w:rPr>
    </w:lvl>
  </w:abstractNum>
  <w:abstractNum w:abstractNumId="402" w15:restartNumberingAfterBreak="0">
    <w:nsid w:val="35293624"/>
    <w:multiLevelType w:val="hybridMultilevel"/>
    <w:tmpl w:val="A8067778"/>
    <w:lvl w:ilvl="0" w:tplc="9210D5CA">
      <w:start w:val="13"/>
      <w:numFmt w:val="decimal"/>
      <w:lvlText w:val="%1"/>
      <w:lvlJc w:val="left"/>
      <w:pPr>
        <w:ind w:left="1634" w:hanging="795"/>
        <w:jc w:val="left"/>
      </w:pPr>
      <w:rPr>
        <w:rFonts w:hint="default"/>
        <w:lang w:val="zh-CN" w:eastAsia="zh-CN" w:bidi="zh-CN"/>
      </w:rPr>
    </w:lvl>
    <w:lvl w:ilvl="1" w:tplc="274C13C6">
      <w:start w:val="2"/>
      <w:numFmt w:val="decimal"/>
      <w:lvlText w:val="%1.%2"/>
      <w:lvlJc w:val="left"/>
      <w:pPr>
        <w:ind w:left="1634" w:hanging="795"/>
        <w:jc w:val="left"/>
      </w:pPr>
      <w:rPr>
        <w:rFonts w:hint="default"/>
        <w:lang w:val="zh-CN" w:eastAsia="zh-CN" w:bidi="zh-CN"/>
      </w:rPr>
    </w:lvl>
    <w:lvl w:ilvl="2" w:tplc="E23E0BA2">
      <w:start w:val="13"/>
      <w:numFmt w:val="decimal"/>
      <w:lvlText w:val="%1.%2.%3"/>
      <w:lvlJc w:val="left"/>
      <w:pPr>
        <w:ind w:left="1634" w:hanging="795"/>
        <w:jc w:val="left"/>
      </w:pPr>
      <w:rPr>
        <w:rFonts w:ascii="宋体" w:eastAsia="宋体" w:hAnsi="宋体" w:cs="宋体" w:hint="default"/>
        <w:b/>
        <w:bCs/>
        <w:w w:val="99"/>
        <w:sz w:val="21"/>
        <w:szCs w:val="21"/>
        <w:lang w:val="zh-CN" w:eastAsia="zh-CN" w:bidi="zh-CN"/>
      </w:rPr>
    </w:lvl>
    <w:lvl w:ilvl="3" w:tplc="9B50B2E8">
      <w:numFmt w:val="bullet"/>
      <w:lvlText w:val="•"/>
      <w:lvlJc w:val="left"/>
      <w:pPr>
        <w:ind w:left="4341" w:hanging="795"/>
      </w:pPr>
      <w:rPr>
        <w:rFonts w:hint="default"/>
        <w:lang w:val="zh-CN" w:eastAsia="zh-CN" w:bidi="zh-CN"/>
      </w:rPr>
    </w:lvl>
    <w:lvl w:ilvl="4" w:tplc="FA623006">
      <w:numFmt w:val="bullet"/>
      <w:lvlText w:val="•"/>
      <w:lvlJc w:val="left"/>
      <w:pPr>
        <w:ind w:left="5242" w:hanging="795"/>
      </w:pPr>
      <w:rPr>
        <w:rFonts w:hint="default"/>
        <w:lang w:val="zh-CN" w:eastAsia="zh-CN" w:bidi="zh-CN"/>
      </w:rPr>
    </w:lvl>
    <w:lvl w:ilvl="5" w:tplc="BE1E32F0">
      <w:numFmt w:val="bullet"/>
      <w:lvlText w:val="•"/>
      <w:lvlJc w:val="left"/>
      <w:pPr>
        <w:ind w:left="6143" w:hanging="795"/>
      </w:pPr>
      <w:rPr>
        <w:rFonts w:hint="default"/>
        <w:lang w:val="zh-CN" w:eastAsia="zh-CN" w:bidi="zh-CN"/>
      </w:rPr>
    </w:lvl>
    <w:lvl w:ilvl="6" w:tplc="93F0FF2E">
      <w:numFmt w:val="bullet"/>
      <w:lvlText w:val="•"/>
      <w:lvlJc w:val="left"/>
      <w:pPr>
        <w:ind w:left="7043" w:hanging="795"/>
      </w:pPr>
      <w:rPr>
        <w:rFonts w:hint="default"/>
        <w:lang w:val="zh-CN" w:eastAsia="zh-CN" w:bidi="zh-CN"/>
      </w:rPr>
    </w:lvl>
    <w:lvl w:ilvl="7" w:tplc="0EE0E4DE">
      <w:numFmt w:val="bullet"/>
      <w:lvlText w:val="•"/>
      <w:lvlJc w:val="left"/>
      <w:pPr>
        <w:ind w:left="7944" w:hanging="795"/>
      </w:pPr>
      <w:rPr>
        <w:rFonts w:hint="default"/>
        <w:lang w:val="zh-CN" w:eastAsia="zh-CN" w:bidi="zh-CN"/>
      </w:rPr>
    </w:lvl>
    <w:lvl w:ilvl="8" w:tplc="9CF4C436">
      <w:numFmt w:val="bullet"/>
      <w:lvlText w:val="•"/>
      <w:lvlJc w:val="left"/>
      <w:pPr>
        <w:ind w:left="8845" w:hanging="795"/>
      </w:pPr>
      <w:rPr>
        <w:rFonts w:hint="default"/>
        <w:lang w:val="zh-CN" w:eastAsia="zh-CN" w:bidi="zh-CN"/>
      </w:rPr>
    </w:lvl>
  </w:abstractNum>
  <w:abstractNum w:abstractNumId="403" w15:restartNumberingAfterBreak="0">
    <w:nsid w:val="352B7FD7"/>
    <w:multiLevelType w:val="hybridMultilevel"/>
    <w:tmpl w:val="46EE8772"/>
    <w:lvl w:ilvl="0" w:tplc="911C6792">
      <w:start w:val="1"/>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DC042B48">
      <w:numFmt w:val="bullet"/>
      <w:lvlText w:val="•"/>
      <w:lvlJc w:val="left"/>
      <w:pPr>
        <w:ind w:left="2018" w:hanging="213"/>
      </w:pPr>
      <w:rPr>
        <w:rFonts w:hint="default"/>
        <w:lang w:val="zh-CN" w:eastAsia="zh-CN" w:bidi="zh-CN"/>
      </w:rPr>
    </w:lvl>
    <w:lvl w:ilvl="2" w:tplc="BBFAD612">
      <w:numFmt w:val="bullet"/>
      <w:lvlText w:val="•"/>
      <w:lvlJc w:val="left"/>
      <w:pPr>
        <w:ind w:left="2977" w:hanging="213"/>
      </w:pPr>
      <w:rPr>
        <w:rFonts w:hint="default"/>
        <w:lang w:val="zh-CN" w:eastAsia="zh-CN" w:bidi="zh-CN"/>
      </w:rPr>
    </w:lvl>
    <w:lvl w:ilvl="3" w:tplc="0A104AD0">
      <w:numFmt w:val="bullet"/>
      <w:lvlText w:val="•"/>
      <w:lvlJc w:val="left"/>
      <w:pPr>
        <w:ind w:left="3935" w:hanging="213"/>
      </w:pPr>
      <w:rPr>
        <w:rFonts w:hint="default"/>
        <w:lang w:val="zh-CN" w:eastAsia="zh-CN" w:bidi="zh-CN"/>
      </w:rPr>
    </w:lvl>
    <w:lvl w:ilvl="4" w:tplc="818AEF76">
      <w:numFmt w:val="bullet"/>
      <w:lvlText w:val="•"/>
      <w:lvlJc w:val="left"/>
      <w:pPr>
        <w:ind w:left="4894" w:hanging="213"/>
      </w:pPr>
      <w:rPr>
        <w:rFonts w:hint="default"/>
        <w:lang w:val="zh-CN" w:eastAsia="zh-CN" w:bidi="zh-CN"/>
      </w:rPr>
    </w:lvl>
    <w:lvl w:ilvl="5" w:tplc="1CDA2A62">
      <w:numFmt w:val="bullet"/>
      <w:lvlText w:val="•"/>
      <w:lvlJc w:val="left"/>
      <w:pPr>
        <w:ind w:left="5853" w:hanging="213"/>
      </w:pPr>
      <w:rPr>
        <w:rFonts w:hint="default"/>
        <w:lang w:val="zh-CN" w:eastAsia="zh-CN" w:bidi="zh-CN"/>
      </w:rPr>
    </w:lvl>
    <w:lvl w:ilvl="6" w:tplc="525ADE70">
      <w:numFmt w:val="bullet"/>
      <w:lvlText w:val="•"/>
      <w:lvlJc w:val="left"/>
      <w:pPr>
        <w:ind w:left="6811" w:hanging="213"/>
      </w:pPr>
      <w:rPr>
        <w:rFonts w:hint="default"/>
        <w:lang w:val="zh-CN" w:eastAsia="zh-CN" w:bidi="zh-CN"/>
      </w:rPr>
    </w:lvl>
    <w:lvl w:ilvl="7" w:tplc="0B0C0710">
      <w:numFmt w:val="bullet"/>
      <w:lvlText w:val="•"/>
      <w:lvlJc w:val="left"/>
      <w:pPr>
        <w:ind w:left="7770" w:hanging="213"/>
      </w:pPr>
      <w:rPr>
        <w:rFonts w:hint="default"/>
        <w:lang w:val="zh-CN" w:eastAsia="zh-CN" w:bidi="zh-CN"/>
      </w:rPr>
    </w:lvl>
    <w:lvl w:ilvl="8" w:tplc="64FC81A6">
      <w:numFmt w:val="bullet"/>
      <w:lvlText w:val="•"/>
      <w:lvlJc w:val="left"/>
      <w:pPr>
        <w:ind w:left="8729" w:hanging="213"/>
      </w:pPr>
      <w:rPr>
        <w:rFonts w:hint="default"/>
        <w:lang w:val="zh-CN" w:eastAsia="zh-CN" w:bidi="zh-CN"/>
      </w:rPr>
    </w:lvl>
  </w:abstractNum>
  <w:abstractNum w:abstractNumId="404" w15:restartNumberingAfterBreak="0">
    <w:nsid w:val="353205DB"/>
    <w:multiLevelType w:val="hybridMultilevel"/>
    <w:tmpl w:val="B7D0310C"/>
    <w:lvl w:ilvl="0" w:tplc="18E8F926">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E80E03E6">
      <w:numFmt w:val="bullet"/>
      <w:lvlText w:val="•"/>
      <w:lvlJc w:val="left"/>
      <w:pPr>
        <w:ind w:left="1442" w:hanging="529"/>
      </w:pPr>
      <w:rPr>
        <w:rFonts w:hint="default"/>
        <w:lang w:val="zh-CN" w:eastAsia="zh-CN" w:bidi="zh-CN"/>
      </w:rPr>
    </w:lvl>
    <w:lvl w:ilvl="2" w:tplc="CB94A7C6">
      <w:numFmt w:val="bullet"/>
      <w:lvlText w:val="•"/>
      <w:lvlJc w:val="left"/>
      <w:pPr>
        <w:ind w:left="2465" w:hanging="529"/>
      </w:pPr>
      <w:rPr>
        <w:rFonts w:hint="default"/>
        <w:lang w:val="zh-CN" w:eastAsia="zh-CN" w:bidi="zh-CN"/>
      </w:rPr>
    </w:lvl>
    <w:lvl w:ilvl="3" w:tplc="F7C01A2C">
      <w:numFmt w:val="bullet"/>
      <w:lvlText w:val="•"/>
      <w:lvlJc w:val="left"/>
      <w:pPr>
        <w:ind w:left="3487" w:hanging="529"/>
      </w:pPr>
      <w:rPr>
        <w:rFonts w:hint="default"/>
        <w:lang w:val="zh-CN" w:eastAsia="zh-CN" w:bidi="zh-CN"/>
      </w:rPr>
    </w:lvl>
    <w:lvl w:ilvl="4" w:tplc="72862030">
      <w:numFmt w:val="bullet"/>
      <w:lvlText w:val="•"/>
      <w:lvlJc w:val="left"/>
      <w:pPr>
        <w:ind w:left="4510" w:hanging="529"/>
      </w:pPr>
      <w:rPr>
        <w:rFonts w:hint="default"/>
        <w:lang w:val="zh-CN" w:eastAsia="zh-CN" w:bidi="zh-CN"/>
      </w:rPr>
    </w:lvl>
    <w:lvl w:ilvl="5" w:tplc="14A6A3FE">
      <w:numFmt w:val="bullet"/>
      <w:lvlText w:val="•"/>
      <w:lvlJc w:val="left"/>
      <w:pPr>
        <w:ind w:left="5533" w:hanging="529"/>
      </w:pPr>
      <w:rPr>
        <w:rFonts w:hint="default"/>
        <w:lang w:val="zh-CN" w:eastAsia="zh-CN" w:bidi="zh-CN"/>
      </w:rPr>
    </w:lvl>
    <w:lvl w:ilvl="6" w:tplc="EF78663A">
      <w:numFmt w:val="bullet"/>
      <w:lvlText w:val="•"/>
      <w:lvlJc w:val="left"/>
      <w:pPr>
        <w:ind w:left="6555" w:hanging="529"/>
      </w:pPr>
      <w:rPr>
        <w:rFonts w:hint="default"/>
        <w:lang w:val="zh-CN" w:eastAsia="zh-CN" w:bidi="zh-CN"/>
      </w:rPr>
    </w:lvl>
    <w:lvl w:ilvl="7" w:tplc="1A3E1F0A">
      <w:numFmt w:val="bullet"/>
      <w:lvlText w:val="•"/>
      <w:lvlJc w:val="left"/>
      <w:pPr>
        <w:ind w:left="7578" w:hanging="529"/>
      </w:pPr>
      <w:rPr>
        <w:rFonts w:hint="default"/>
        <w:lang w:val="zh-CN" w:eastAsia="zh-CN" w:bidi="zh-CN"/>
      </w:rPr>
    </w:lvl>
    <w:lvl w:ilvl="8" w:tplc="337ECF68">
      <w:numFmt w:val="bullet"/>
      <w:lvlText w:val="•"/>
      <w:lvlJc w:val="left"/>
      <w:pPr>
        <w:ind w:left="8601" w:hanging="529"/>
      </w:pPr>
      <w:rPr>
        <w:rFonts w:hint="default"/>
        <w:lang w:val="zh-CN" w:eastAsia="zh-CN" w:bidi="zh-CN"/>
      </w:rPr>
    </w:lvl>
  </w:abstractNum>
  <w:abstractNum w:abstractNumId="405" w15:restartNumberingAfterBreak="0">
    <w:nsid w:val="35331EE9"/>
    <w:multiLevelType w:val="hybridMultilevel"/>
    <w:tmpl w:val="055ACE9C"/>
    <w:lvl w:ilvl="0" w:tplc="CE88F640">
      <w:start w:val="8"/>
      <w:numFmt w:val="decimal"/>
      <w:lvlText w:val="%1"/>
      <w:lvlJc w:val="left"/>
      <w:pPr>
        <w:ind w:left="1158" w:hanging="318"/>
        <w:jc w:val="left"/>
      </w:pPr>
      <w:rPr>
        <w:rFonts w:hint="default"/>
        <w:lang w:val="zh-CN" w:eastAsia="zh-CN" w:bidi="zh-CN"/>
      </w:rPr>
    </w:lvl>
    <w:lvl w:ilvl="1" w:tplc="949EF608">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4FFE126A">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CE96C49E">
      <w:numFmt w:val="bullet"/>
      <w:lvlText w:val="•"/>
      <w:lvlJc w:val="left"/>
      <w:pPr>
        <w:ind w:left="3423" w:hanging="529"/>
      </w:pPr>
      <w:rPr>
        <w:rFonts w:hint="default"/>
        <w:lang w:val="zh-CN" w:eastAsia="zh-CN" w:bidi="zh-CN"/>
      </w:rPr>
    </w:lvl>
    <w:lvl w:ilvl="4" w:tplc="74B480B4">
      <w:numFmt w:val="bullet"/>
      <w:lvlText w:val="•"/>
      <w:lvlJc w:val="left"/>
      <w:pPr>
        <w:ind w:left="4455" w:hanging="529"/>
      </w:pPr>
      <w:rPr>
        <w:rFonts w:hint="default"/>
        <w:lang w:val="zh-CN" w:eastAsia="zh-CN" w:bidi="zh-CN"/>
      </w:rPr>
    </w:lvl>
    <w:lvl w:ilvl="5" w:tplc="F07093D0">
      <w:numFmt w:val="bullet"/>
      <w:lvlText w:val="•"/>
      <w:lvlJc w:val="left"/>
      <w:pPr>
        <w:ind w:left="5487" w:hanging="529"/>
      </w:pPr>
      <w:rPr>
        <w:rFonts w:hint="default"/>
        <w:lang w:val="zh-CN" w:eastAsia="zh-CN" w:bidi="zh-CN"/>
      </w:rPr>
    </w:lvl>
    <w:lvl w:ilvl="6" w:tplc="29CCED14">
      <w:numFmt w:val="bullet"/>
      <w:lvlText w:val="•"/>
      <w:lvlJc w:val="left"/>
      <w:pPr>
        <w:ind w:left="6519" w:hanging="529"/>
      </w:pPr>
      <w:rPr>
        <w:rFonts w:hint="default"/>
        <w:lang w:val="zh-CN" w:eastAsia="zh-CN" w:bidi="zh-CN"/>
      </w:rPr>
    </w:lvl>
    <w:lvl w:ilvl="7" w:tplc="CB201A74">
      <w:numFmt w:val="bullet"/>
      <w:lvlText w:val="•"/>
      <w:lvlJc w:val="left"/>
      <w:pPr>
        <w:ind w:left="7550" w:hanging="529"/>
      </w:pPr>
      <w:rPr>
        <w:rFonts w:hint="default"/>
        <w:lang w:val="zh-CN" w:eastAsia="zh-CN" w:bidi="zh-CN"/>
      </w:rPr>
    </w:lvl>
    <w:lvl w:ilvl="8" w:tplc="3E103FE6">
      <w:numFmt w:val="bullet"/>
      <w:lvlText w:val="•"/>
      <w:lvlJc w:val="left"/>
      <w:pPr>
        <w:ind w:left="8582" w:hanging="529"/>
      </w:pPr>
      <w:rPr>
        <w:rFonts w:hint="default"/>
        <w:lang w:val="zh-CN" w:eastAsia="zh-CN" w:bidi="zh-CN"/>
      </w:rPr>
    </w:lvl>
  </w:abstractNum>
  <w:abstractNum w:abstractNumId="406" w15:restartNumberingAfterBreak="0">
    <w:nsid w:val="356C2B39"/>
    <w:multiLevelType w:val="hybridMultilevel"/>
    <w:tmpl w:val="DABC14BE"/>
    <w:lvl w:ilvl="0" w:tplc="4204F4AC">
      <w:start w:val="4"/>
      <w:numFmt w:val="upperLetter"/>
      <w:lvlText w:val="%1"/>
      <w:lvlJc w:val="left"/>
      <w:pPr>
        <w:ind w:left="418" w:hanging="531"/>
        <w:jc w:val="left"/>
      </w:pPr>
      <w:rPr>
        <w:rFonts w:hint="default"/>
        <w:lang w:val="zh-CN" w:eastAsia="zh-CN" w:bidi="zh-CN"/>
      </w:rPr>
    </w:lvl>
    <w:lvl w:ilvl="1" w:tplc="F088215C">
      <w:start w:val="1"/>
      <w:numFmt w:val="decimal"/>
      <w:lvlText w:val="%1.%2"/>
      <w:lvlJc w:val="left"/>
      <w:pPr>
        <w:ind w:left="418" w:hanging="531"/>
        <w:jc w:val="left"/>
      </w:pPr>
      <w:rPr>
        <w:rFonts w:hint="default"/>
        <w:lang w:val="zh-CN" w:eastAsia="zh-CN" w:bidi="zh-CN"/>
      </w:rPr>
    </w:lvl>
    <w:lvl w:ilvl="2" w:tplc="34AAB4B2">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9CD2B5F6">
      <w:numFmt w:val="bullet"/>
      <w:lvlText w:val="•"/>
      <w:lvlJc w:val="left"/>
      <w:pPr>
        <w:ind w:left="3487" w:hanging="531"/>
      </w:pPr>
      <w:rPr>
        <w:rFonts w:hint="default"/>
        <w:lang w:val="zh-CN" w:eastAsia="zh-CN" w:bidi="zh-CN"/>
      </w:rPr>
    </w:lvl>
    <w:lvl w:ilvl="4" w:tplc="0B482E56">
      <w:numFmt w:val="bullet"/>
      <w:lvlText w:val="•"/>
      <w:lvlJc w:val="left"/>
      <w:pPr>
        <w:ind w:left="4510" w:hanging="531"/>
      </w:pPr>
      <w:rPr>
        <w:rFonts w:hint="default"/>
        <w:lang w:val="zh-CN" w:eastAsia="zh-CN" w:bidi="zh-CN"/>
      </w:rPr>
    </w:lvl>
    <w:lvl w:ilvl="5" w:tplc="06A0A2FE">
      <w:numFmt w:val="bullet"/>
      <w:lvlText w:val="•"/>
      <w:lvlJc w:val="left"/>
      <w:pPr>
        <w:ind w:left="5533" w:hanging="531"/>
      </w:pPr>
      <w:rPr>
        <w:rFonts w:hint="default"/>
        <w:lang w:val="zh-CN" w:eastAsia="zh-CN" w:bidi="zh-CN"/>
      </w:rPr>
    </w:lvl>
    <w:lvl w:ilvl="6" w:tplc="8D8A6F6C">
      <w:numFmt w:val="bullet"/>
      <w:lvlText w:val="•"/>
      <w:lvlJc w:val="left"/>
      <w:pPr>
        <w:ind w:left="6555" w:hanging="531"/>
      </w:pPr>
      <w:rPr>
        <w:rFonts w:hint="default"/>
        <w:lang w:val="zh-CN" w:eastAsia="zh-CN" w:bidi="zh-CN"/>
      </w:rPr>
    </w:lvl>
    <w:lvl w:ilvl="7" w:tplc="F3801030">
      <w:numFmt w:val="bullet"/>
      <w:lvlText w:val="•"/>
      <w:lvlJc w:val="left"/>
      <w:pPr>
        <w:ind w:left="7578" w:hanging="531"/>
      </w:pPr>
      <w:rPr>
        <w:rFonts w:hint="default"/>
        <w:lang w:val="zh-CN" w:eastAsia="zh-CN" w:bidi="zh-CN"/>
      </w:rPr>
    </w:lvl>
    <w:lvl w:ilvl="8" w:tplc="5EDC908A">
      <w:numFmt w:val="bullet"/>
      <w:lvlText w:val="•"/>
      <w:lvlJc w:val="left"/>
      <w:pPr>
        <w:ind w:left="8601" w:hanging="531"/>
      </w:pPr>
      <w:rPr>
        <w:rFonts w:hint="default"/>
        <w:lang w:val="zh-CN" w:eastAsia="zh-CN" w:bidi="zh-CN"/>
      </w:rPr>
    </w:lvl>
  </w:abstractNum>
  <w:abstractNum w:abstractNumId="407" w15:restartNumberingAfterBreak="0">
    <w:nsid w:val="358452DA"/>
    <w:multiLevelType w:val="hybridMultilevel"/>
    <w:tmpl w:val="628632B0"/>
    <w:lvl w:ilvl="0" w:tplc="162E42FC">
      <w:start w:val="2"/>
      <w:numFmt w:val="decimal"/>
      <w:lvlText w:val="%1"/>
      <w:lvlJc w:val="left"/>
      <w:pPr>
        <w:ind w:left="1158" w:hanging="318"/>
        <w:jc w:val="left"/>
      </w:pPr>
      <w:rPr>
        <w:rFonts w:hint="default"/>
        <w:lang w:val="zh-CN" w:eastAsia="zh-CN" w:bidi="zh-CN"/>
      </w:rPr>
    </w:lvl>
    <w:lvl w:ilvl="1" w:tplc="3DAAEDF6">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7414ACE0">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8780DC6E">
      <w:numFmt w:val="bullet"/>
      <w:lvlText w:val="•"/>
      <w:lvlJc w:val="left"/>
      <w:pPr>
        <w:ind w:left="3439" w:hanging="531"/>
      </w:pPr>
      <w:rPr>
        <w:rFonts w:hint="default"/>
        <w:lang w:val="zh-CN" w:eastAsia="zh-CN" w:bidi="zh-CN"/>
      </w:rPr>
    </w:lvl>
    <w:lvl w:ilvl="4" w:tplc="EE7ED5E2">
      <w:numFmt w:val="bullet"/>
      <w:lvlText w:val="•"/>
      <w:lvlJc w:val="left"/>
      <w:pPr>
        <w:ind w:left="4468" w:hanging="531"/>
      </w:pPr>
      <w:rPr>
        <w:rFonts w:hint="default"/>
        <w:lang w:val="zh-CN" w:eastAsia="zh-CN" w:bidi="zh-CN"/>
      </w:rPr>
    </w:lvl>
    <w:lvl w:ilvl="5" w:tplc="FB28B816">
      <w:numFmt w:val="bullet"/>
      <w:lvlText w:val="•"/>
      <w:lvlJc w:val="left"/>
      <w:pPr>
        <w:ind w:left="5498" w:hanging="531"/>
      </w:pPr>
      <w:rPr>
        <w:rFonts w:hint="default"/>
        <w:lang w:val="zh-CN" w:eastAsia="zh-CN" w:bidi="zh-CN"/>
      </w:rPr>
    </w:lvl>
    <w:lvl w:ilvl="6" w:tplc="BDA28EA2">
      <w:numFmt w:val="bullet"/>
      <w:lvlText w:val="•"/>
      <w:lvlJc w:val="left"/>
      <w:pPr>
        <w:ind w:left="6528" w:hanging="531"/>
      </w:pPr>
      <w:rPr>
        <w:rFonts w:hint="default"/>
        <w:lang w:val="zh-CN" w:eastAsia="zh-CN" w:bidi="zh-CN"/>
      </w:rPr>
    </w:lvl>
    <w:lvl w:ilvl="7" w:tplc="544A0360">
      <w:numFmt w:val="bullet"/>
      <w:lvlText w:val="•"/>
      <w:lvlJc w:val="left"/>
      <w:pPr>
        <w:ind w:left="7557" w:hanging="531"/>
      </w:pPr>
      <w:rPr>
        <w:rFonts w:hint="default"/>
        <w:lang w:val="zh-CN" w:eastAsia="zh-CN" w:bidi="zh-CN"/>
      </w:rPr>
    </w:lvl>
    <w:lvl w:ilvl="8" w:tplc="C1A6A060">
      <w:numFmt w:val="bullet"/>
      <w:lvlText w:val="•"/>
      <w:lvlJc w:val="left"/>
      <w:pPr>
        <w:ind w:left="8587" w:hanging="531"/>
      </w:pPr>
      <w:rPr>
        <w:rFonts w:hint="default"/>
        <w:lang w:val="zh-CN" w:eastAsia="zh-CN" w:bidi="zh-CN"/>
      </w:rPr>
    </w:lvl>
  </w:abstractNum>
  <w:abstractNum w:abstractNumId="408" w15:restartNumberingAfterBreak="0">
    <w:nsid w:val="358C070A"/>
    <w:multiLevelType w:val="hybridMultilevel"/>
    <w:tmpl w:val="7884E188"/>
    <w:lvl w:ilvl="0" w:tplc="98A0D0EA">
      <w:start w:val="11"/>
      <w:numFmt w:val="decimal"/>
      <w:lvlText w:val="%1"/>
      <w:lvlJc w:val="left"/>
      <w:pPr>
        <w:ind w:left="1263" w:hanging="424"/>
        <w:jc w:val="left"/>
      </w:pPr>
      <w:rPr>
        <w:rFonts w:hint="default"/>
        <w:lang w:val="zh-CN" w:eastAsia="zh-CN" w:bidi="zh-CN"/>
      </w:rPr>
    </w:lvl>
    <w:lvl w:ilvl="1" w:tplc="4E66EF66">
      <w:start w:val="1"/>
      <w:numFmt w:val="decimal"/>
      <w:lvlText w:val="%1.%2"/>
      <w:lvlJc w:val="left"/>
      <w:pPr>
        <w:ind w:left="1263" w:hanging="424"/>
        <w:jc w:val="left"/>
      </w:pPr>
      <w:rPr>
        <w:rFonts w:hint="default"/>
        <w:b/>
        <w:bCs/>
        <w:w w:val="99"/>
        <w:lang w:val="zh-CN" w:eastAsia="zh-CN" w:bidi="zh-CN"/>
      </w:rPr>
    </w:lvl>
    <w:lvl w:ilvl="2" w:tplc="AC4A3986">
      <w:numFmt w:val="bullet"/>
      <w:lvlText w:val="•"/>
      <w:lvlJc w:val="left"/>
      <w:pPr>
        <w:ind w:left="3137" w:hanging="424"/>
      </w:pPr>
      <w:rPr>
        <w:rFonts w:hint="default"/>
        <w:lang w:val="zh-CN" w:eastAsia="zh-CN" w:bidi="zh-CN"/>
      </w:rPr>
    </w:lvl>
    <w:lvl w:ilvl="3" w:tplc="1E60C8C6">
      <w:numFmt w:val="bullet"/>
      <w:lvlText w:val="•"/>
      <w:lvlJc w:val="left"/>
      <w:pPr>
        <w:ind w:left="4075" w:hanging="424"/>
      </w:pPr>
      <w:rPr>
        <w:rFonts w:hint="default"/>
        <w:lang w:val="zh-CN" w:eastAsia="zh-CN" w:bidi="zh-CN"/>
      </w:rPr>
    </w:lvl>
    <w:lvl w:ilvl="4" w:tplc="033EDB76">
      <w:numFmt w:val="bullet"/>
      <w:lvlText w:val="•"/>
      <w:lvlJc w:val="left"/>
      <w:pPr>
        <w:ind w:left="5014" w:hanging="424"/>
      </w:pPr>
      <w:rPr>
        <w:rFonts w:hint="default"/>
        <w:lang w:val="zh-CN" w:eastAsia="zh-CN" w:bidi="zh-CN"/>
      </w:rPr>
    </w:lvl>
    <w:lvl w:ilvl="5" w:tplc="F21E0ED4">
      <w:numFmt w:val="bullet"/>
      <w:lvlText w:val="•"/>
      <w:lvlJc w:val="left"/>
      <w:pPr>
        <w:ind w:left="5953" w:hanging="424"/>
      </w:pPr>
      <w:rPr>
        <w:rFonts w:hint="default"/>
        <w:lang w:val="zh-CN" w:eastAsia="zh-CN" w:bidi="zh-CN"/>
      </w:rPr>
    </w:lvl>
    <w:lvl w:ilvl="6" w:tplc="40C06D4E">
      <w:numFmt w:val="bullet"/>
      <w:lvlText w:val="•"/>
      <w:lvlJc w:val="left"/>
      <w:pPr>
        <w:ind w:left="6891" w:hanging="424"/>
      </w:pPr>
      <w:rPr>
        <w:rFonts w:hint="default"/>
        <w:lang w:val="zh-CN" w:eastAsia="zh-CN" w:bidi="zh-CN"/>
      </w:rPr>
    </w:lvl>
    <w:lvl w:ilvl="7" w:tplc="ADFE76D8">
      <w:numFmt w:val="bullet"/>
      <w:lvlText w:val="•"/>
      <w:lvlJc w:val="left"/>
      <w:pPr>
        <w:ind w:left="7830" w:hanging="424"/>
      </w:pPr>
      <w:rPr>
        <w:rFonts w:hint="default"/>
        <w:lang w:val="zh-CN" w:eastAsia="zh-CN" w:bidi="zh-CN"/>
      </w:rPr>
    </w:lvl>
    <w:lvl w:ilvl="8" w:tplc="A76EAE02">
      <w:numFmt w:val="bullet"/>
      <w:lvlText w:val="•"/>
      <w:lvlJc w:val="left"/>
      <w:pPr>
        <w:ind w:left="8769" w:hanging="424"/>
      </w:pPr>
      <w:rPr>
        <w:rFonts w:hint="default"/>
        <w:lang w:val="zh-CN" w:eastAsia="zh-CN" w:bidi="zh-CN"/>
      </w:rPr>
    </w:lvl>
  </w:abstractNum>
  <w:abstractNum w:abstractNumId="409" w15:restartNumberingAfterBreak="0">
    <w:nsid w:val="35913F0C"/>
    <w:multiLevelType w:val="hybridMultilevel"/>
    <w:tmpl w:val="C4E4DC7C"/>
    <w:lvl w:ilvl="0" w:tplc="1382E680">
      <w:start w:val="5"/>
      <w:numFmt w:val="decimal"/>
      <w:lvlText w:val="%1"/>
      <w:lvlJc w:val="left"/>
      <w:pPr>
        <w:ind w:left="1158" w:hanging="318"/>
        <w:jc w:val="left"/>
      </w:pPr>
      <w:rPr>
        <w:rFonts w:hint="default"/>
        <w:lang w:val="zh-CN" w:eastAsia="zh-CN" w:bidi="zh-CN"/>
      </w:rPr>
    </w:lvl>
    <w:lvl w:ilvl="1" w:tplc="49E67316">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9722A230">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B8CCF84E">
      <w:numFmt w:val="bullet"/>
      <w:lvlText w:val="•"/>
      <w:lvlJc w:val="left"/>
      <w:pPr>
        <w:ind w:left="2538" w:hanging="529"/>
      </w:pPr>
      <w:rPr>
        <w:rFonts w:hint="default"/>
        <w:lang w:val="zh-CN" w:eastAsia="zh-CN" w:bidi="zh-CN"/>
      </w:rPr>
    </w:lvl>
    <w:lvl w:ilvl="4" w:tplc="7FE613F6">
      <w:numFmt w:val="bullet"/>
      <w:lvlText w:val="•"/>
      <w:lvlJc w:val="left"/>
      <w:pPr>
        <w:ind w:left="3696" w:hanging="529"/>
      </w:pPr>
      <w:rPr>
        <w:rFonts w:hint="default"/>
        <w:lang w:val="zh-CN" w:eastAsia="zh-CN" w:bidi="zh-CN"/>
      </w:rPr>
    </w:lvl>
    <w:lvl w:ilvl="5" w:tplc="34760AD6">
      <w:numFmt w:val="bullet"/>
      <w:lvlText w:val="•"/>
      <w:lvlJc w:val="left"/>
      <w:pPr>
        <w:ind w:left="4854" w:hanging="529"/>
      </w:pPr>
      <w:rPr>
        <w:rFonts w:hint="default"/>
        <w:lang w:val="zh-CN" w:eastAsia="zh-CN" w:bidi="zh-CN"/>
      </w:rPr>
    </w:lvl>
    <w:lvl w:ilvl="6" w:tplc="1F009028">
      <w:numFmt w:val="bullet"/>
      <w:lvlText w:val="•"/>
      <w:lvlJc w:val="left"/>
      <w:pPr>
        <w:ind w:left="6013" w:hanging="529"/>
      </w:pPr>
      <w:rPr>
        <w:rFonts w:hint="default"/>
        <w:lang w:val="zh-CN" w:eastAsia="zh-CN" w:bidi="zh-CN"/>
      </w:rPr>
    </w:lvl>
    <w:lvl w:ilvl="7" w:tplc="C1C664B2">
      <w:numFmt w:val="bullet"/>
      <w:lvlText w:val="•"/>
      <w:lvlJc w:val="left"/>
      <w:pPr>
        <w:ind w:left="7171" w:hanging="529"/>
      </w:pPr>
      <w:rPr>
        <w:rFonts w:hint="default"/>
        <w:lang w:val="zh-CN" w:eastAsia="zh-CN" w:bidi="zh-CN"/>
      </w:rPr>
    </w:lvl>
    <w:lvl w:ilvl="8" w:tplc="7504A3D2">
      <w:numFmt w:val="bullet"/>
      <w:lvlText w:val="•"/>
      <w:lvlJc w:val="left"/>
      <w:pPr>
        <w:ind w:left="8329" w:hanging="529"/>
      </w:pPr>
      <w:rPr>
        <w:rFonts w:hint="default"/>
        <w:lang w:val="zh-CN" w:eastAsia="zh-CN" w:bidi="zh-CN"/>
      </w:rPr>
    </w:lvl>
  </w:abstractNum>
  <w:abstractNum w:abstractNumId="410" w15:restartNumberingAfterBreak="0">
    <w:nsid w:val="359C5615"/>
    <w:multiLevelType w:val="hybridMultilevel"/>
    <w:tmpl w:val="6F9E83AA"/>
    <w:lvl w:ilvl="0" w:tplc="B5BED6BE">
      <w:start w:val="8"/>
      <w:numFmt w:val="decimal"/>
      <w:lvlText w:val="%1"/>
      <w:lvlJc w:val="left"/>
      <w:pPr>
        <w:ind w:left="418" w:hanging="529"/>
        <w:jc w:val="left"/>
      </w:pPr>
      <w:rPr>
        <w:rFonts w:hint="default"/>
        <w:lang w:val="zh-CN" w:eastAsia="zh-CN" w:bidi="zh-CN"/>
      </w:rPr>
    </w:lvl>
    <w:lvl w:ilvl="1" w:tplc="CD3C0362">
      <w:start w:val="6"/>
      <w:numFmt w:val="decimal"/>
      <w:lvlText w:val="%1.%2"/>
      <w:lvlJc w:val="left"/>
      <w:pPr>
        <w:ind w:left="418" w:hanging="529"/>
        <w:jc w:val="left"/>
      </w:pPr>
      <w:rPr>
        <w:rFonts w:hint="default"/>
        <w:lang w:val="zh-CN" w:eastAsia="zh-CN" w:bidi="zh-CN"/>
      </w:rPr>
    </w:lvl>
    <w:lvl w:ilvl="2" w:tplc="0DD4EA88">
      <w:start w:val="1"/>
      <w:numFmt w:val="decimal"/>
      <w:lvlText w:val="%1.%2.%3"/>
      <w:lvlJc w:val="left"/>
      <w:pPr>
        <w:ind w:left="418" w:hanging="529"/>
        <w:jc w:val="left"/>
      </w:pPr>
      <w:rPr>
        <w:rFonts w:ascii="宋体" w:eastAsia="宋体" w:hAnsi="宋体" w:cs="宋体" w:hint="default"/>
        <w:b/>
        <w:bCs/>
        <w:spacing w:val="-55"/>
        <w:w w:val="99"/>
        <w:sz w:val="19"/>
        <w:szCs w:val="19"/>
        <w:lang w:val="zh-CN" w:eastAsia="zh-CN" w:bidi="zh-CN"/>
      </w:rPr>
    </w:lvl>
    <w:lvl w:ilvl="3" w:tplc="29E23E0E">
      <w:numFmt w:val="bullet"/>
      <w:lvlText w:val="•"/>
      <w:lvlJc w:val="left"/>
      <w:pPr>
        <w:ind w:left="3487" w:hanging="529"/>
      </w:pPr>
      <w:rPr>
        <w:rFonts w:hint="default"/>
        <w:lang w:val="zh-CN" w:eastAsia="zh-CN" w:bidi="zh-CN"/>
      </w:rPr>
    </w:lvl>
    <w:lvl w:ilvl="4" w:tplc="004002DA">
      <w:numFmt w:val="bullet"/>
      <w:lvlText w:val="•"/>
      <w:lvlJc w:val="left"/>
      <w:pPr>
        <w:ind w:left="4510" w:hanging="529"/>
      </w:pPr>
      <w:rPr>
        <w:rFonts w:hint="default"/>
        <w:lang w:val="zh-CN" w:eastAsia="zh-CN" w:bidi="zh-CN"/>
      </w:rPr>
    </w:lvl>
    <w:lvl w:ilvl="5" w:tplc="C92E69D2">
      <w:numFmt w:val="bullet"/>
      <w:lvlText w:val="•"/>
      <w:lvlJc w:val="left"/>
      <w:pPr>
        <w:ind w:left="5533" w:hanging="529"/>
      </w:pPr>
      <w:rPr>
        <w:rFonts w:hint="default"/>
        <w:lang w:val="zh-CN" w:eastAsia="zh-CN" w:bidi="zh-CN"/>
      </w:rPr>
    </w:lvl>
    <w:lvl w:ilvl="6" w:tplc="15420A5A">
      <w:numFmt w:val="bullet"/>
      <w:lvlText w:val="•"/>
      <w:lvlJc w:val="left"/>
      <w:pPr>
        <w:ind w:left="6555" w:hanging="529"/>
      </w:pPr>
      <w:rPr>
        <w:rFonts w:hint="default"/>
        <w:lang w:val="zh-CN" w:eastAsia="zh-CN" w:bidi="zh-CN"/>
      </w:rPr>
    </w:lvl>
    <w:lvl w:ilvl="7" w:tplc="6EBA4D44">
      <w:numFmt w:val="bullet"/>
      <w:lvlText w:val="•"/>
      <w:lvlJc w:val="left"/>
      <w:pPr>
        <w:ind w:left="7578" w:hanging="529"/>
      </w:pPr>
      <w:rPr>
        <w:rFonts w:hint="default"/>
        <w:lang w:val="zh-CN" w:eastAsia="zh-CN" w:bidi="zh-CN"/>
      </w:rPr>
    </w:lvl>
    <w:lvl w:ilvl="8" w:tplc="94423C24">
      <w:numFmt w:val="bullet"/>
      <w:lvlText w:val="•"/>
      <w:lvlJc w:val="left"/>
      <w:pPr>
        <w:ind w:left="8601" w:hanging="529"/>
      </w:pPr>
      <w:rPr>
        <w:rFonts w:hint="default"/>
        <w:lang w:val="zh-CN" w:eastAsia="zh-CN" w:bidi="zh-CN"/>
      </w:rPr>
    </w:lvl>
  </w:abstractNum>
  <w:abstractNum w:abstractNumId="411" w15:restartNumberingAfterBreak="0">
    <w:nsid w:val="35A81B94"/>
    <w:multiLevelType w:val="hybridMultilevel"/>
    <w:tmpl w:val="4CD8698E"/>
    <w:lvl w:ilvl="0" w:tplc="090EE2D4">
      <w:start w:val="6"/>
      <w:numFmt w:val="decimal"/>
      <w:lvlText w:val="%1"/>
      <w:lvlJc w:val="left"/>
      <w:pPr>
        <w:ind w:left="1159" w:hanging="320"/>
        <w:jc w:val="left"/>
      </w:pPr>
      <w:rPr>
        <w:rFonts w:hint="default"/>
        <w:lang w:val="zh-CN" w:eastAsia="zh-CN" w:bidi="zh-CN"/>
      </w:rPr>
    </w:lvl>
    <w:lvl w:ilvl="1" w:tplc="7EC26DE6">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71A09F36">
      <w:start w:val="1"/>
      <w:numFmt w:val="decimal"/>
      <w:lvlText w:val="%1.%2.%3"/>
      <w:lvlJc w:val="left"/>
      <w:pPr>
        <w:ind w:left="418" w:hanging="584"/>
        <w:jc w:val="left"/>
      </w:pPr>
      <w:rPr>
        <w:rFonts w:ascii="宋体" w:eastAsia="宋体" w:hAnsi="宋体" w:cs="宋体" w:hint="default"/>
        <w:b/>
        <w:bCs/>
        <w:w w:val="99"/>
        <w:sz w:val="21"/>
        <w:szCs w:val="21"/>
        <w:lang w:val="zh-CN" w:eastAsia="zh-CN" w:bidi="zh-CN"/>
      </w:rPr>
    </w:lvl>
    <w:lvl w:ilvl="3" w:tplc="885806BA">
      <w:numFmt w:val="bullet"/>
      <w:lvlText w:val="•"/>
      <w:lvlJc w:val="left"/>
      <w:pPr>
        <w:ind w:left="2573" w:hanging="584"/>
      </w:pPr>
      <w:rPr>
        <w:rFonts w:hint="default"/>
        <w:lang w:val="zh-CN" w:eastAsia="zh-CN" w:bidi="zh-CN"/>
      </w:rPr>
    </w:lvl>
    <w:lvl w:ilvl="4" w:tplc="7EF88E98">
      <w:numFmt w:val="bullet"/>
      <w:lvlText w:val="•"/>
      <w:lvlJc w:val="left"/>
      <w:pPr>
        <w:ind w:left="3726" w:hanging="584"/>
      </w:pPr>
      <w:rPr>
        <w:rFonts w:hint="default"/>
        <w:lang w:val="zh-CN" w:eastAsia="zh-CN" w:bidi="zh-CN"/>
      </w:rPr>
    </w:lvl>
    <w:lvl w:ilvl="5" w:tplc="C0306AE6">
      <w:numFmt w:val="bullet"/>
      <w:lvlText w:val="•"/>
      <w:lvlJc w:val="left"/>
      <w:pPr>
        <w:ind w:left="4879" w:hanging="584"/>
      </w:pPr>
      <w:rPr>
        <w:rFonts w:hint="default"/>
        <w:lang w:val="zh-CN" w:eastAsia="zh-CN" w:bidi="zh-CN"/>
      </w:rPr>
    </w:lvl>
    <w:lvl w:ilvl="6" w:tplc="829E5458">
      <w:numFmt w:val="bullet"/>
      <w:lvlText w:val="•"/>
      <w:lvlJc w:val="left"/>
      <w:pPr>
        <w:ind w:left="6033" w:hanging="584"/>
      </w:pPr>
      <w:rPr>
        <w:rFonts w:hint="default"/>
        <w:lang w:val="zh-CN" w:eastAsia="zh-CN" w:bidi="zh-CN"/>
      </w:rPr>
    </w:lvl>
    <w:lvl w:ilvl="7" w:tplc="430C762A">
      <w:numFmt w:val="bullet"/>
      <w:lvlText w:val="•"/>
      <w:lvlJc w:val="left"/>
      <w:pPr>
        <w:ind w:left="7186" w:hanging="584"/>
      </w:pPr>
      <w:rPr>
        <w:rFonts w:hint="default"/>
        <w:lang w:val="zh-CN" w:eastAsia="zh-CN" w:bidi="zh-CN"/>
      </w:rPr>
    </w:lvl>
    <w:lvl w:ilvl="8" w:tplc="844AB228">
      <w:numFmt w:val="bullet"/>
      <w:lvlText w:val="•"/>
      <w:lvlJc w:val="left"/>
      <w:pPr>
        <w:ind w:left="8339" w:hanging="584"/>
      </w:pPr>
      <w:rPr>
        <w:rFonts w:hint="default"/>
        <w:lang w:val="zh-CN" w:eastAsia="zh-CN" w:bidi="zh-CN"/>
      </w:rPr>
    </w:lvl>
  </w:abstractNum>
  <w:abstractNum w:abstractNumId="412" w15:restartNumberingAfterBreak="0">
    <w:nsid w:val="35CC01F1"/>
    <w:multiLevelType w:val="hybridMultilevel"/>
    <w:tmpl w:val="4BC642C6"/>
    <w:lvl w:ilvl="0" w:tplc="19BC9D0E">
      <w:start w:val="5"/>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99C00148">
      <w:numFmt w:val="bullet"/>
      <w:lvlText w:val="•"/>
      <w:lvlJc w:val="left"/>
      <w:pPr>
        <w:ind w:left="2288" w:hanging="529"/>
      </w:pPr>
      <w:rPr>
        <w:rFonts w:hint="default"/>
        <w:lang w:val="zh-CN" w:eastAsia="zh-CN" w:bidi="zh-CN"/>
      </w:rPr>
    </w:lvl>
    <w:lvl w:ilvl="2" w:tplc="72D001B2">
      <w:numFmt w:val="bullet"/>
      <w:lvlText w:val="•"/>
      <w:lvlJc w:val="left"/>
      <w:pPr>
        <w:ind w:left="3217" w:hanging="529"/>
      </w:pPr>
      <w:rPr>
        <w:rFonts w:hint="default"/>
        <w:lang w:val="zh-CN" w:eastAsia="zh-CN" w:bidi="zh-CN"/>
      </w:rPr>
    </w:lvl>
    <w:lvl w:ilvl="3" w:tplc="82FC965E">
      <w:numFmt w:val="bullet"/>
      <w:lvlText w:val="•"/>
      <w:lvlJc w:val="left"/>
      <w:pPr>
        <w:ind w:left="4145" w:hanging="529"/>
      </w:pPr>
      <w:rPr>
        <w:rFonts w:hint="default"/>
        <w:lang w:val="zh-CN" w:eastAsia="zh-CN" w:bidi="zh-CN"/>
      </w:rPr>
    </w:lvl>
    <w:lvl w:ilvl="4" w:tplc="1B108A96">
      <w:numFmt w:val="bullet"/>
      <w:lvlText w:val="•"/>
      <w:lvlJc w:val="left"/>
      <w:pPr>
        <w:ind w:left="5074" w:hanging="529"/>
      </w:pPr>
      <w:rPr>
        <w:rFonts w:hint="default"/>
        <w:lang w:val="zh-CN" w:eastAsia="zh-CN" w:bidi="zh-CN"/>
      </w:rPr>
    </w:lvl>
    <w:lvl w:ilvl="5" w:tplc="1BD86F76">
      <w:numFmt w:val="bullet"/>
      <w:lvlText w:val="•"/>
      <w:lvlJc w:val="left"/>
      <w:pPr>
        <w:ind w:left="6003" w:hanging="529"/>
      </w:pPr>
      <w:rPr>
        <w:rFonts w:hint="default"/>
        <w:lang w:val="zh-CN" w:eastAsia="zh-CN" w:bidi="zh-CN"/>
      </w:rPr>
    </w:lvl>
    <w:lvl w:ilvl="6" w:tplc="7E063E1C">
      <w:numFmt w:val="bullet"/>
      <w:lvlText w:val="•"/>
      <w:lvlJc w:val="left"/>
      <w:pPr>
        <w:ind w:left="6931" w:hanging="529"/>
      </w:pPr>
      <w:rPr>
        <w:rFonts w:hint="default"/>
        <w:lang w:val="zh-CN" w:eastAsia="zh-CN" w:bidi="zh-CN"/>
      </w:rPr>
    </w:lvl>
    <w:lvl w:ilvl="7" w:tplc="2B6C3EE4">
      <w:numFmt w:val="bullet"/>
      <w:lvlText w:val="•"/>
      <w:lvlJc w:val="left"/>
      <w:pPr>
        <w:ind w:left="7860" w:hanging="529"/>
      </w:pPr>
      <w:rPr>
        <w:rFonts w:hint="default"/>
        <w:lang w:val="zh-CN" w:eastAsia="zh-CN" w:bidi="zh-CN"/>
      </w:rPr>
    </w:lvl>
    <w:lvl w:ilvl="8" w:tplc="2E4C6688">
      <w:numFmt w:val="bullet"/>
      <w:lvlText w:val="•"/>
      <w:lvlJc w:val="left"/>
      <w:pPr>
        <w:ind w:left="8789" w:hanging="529"/>
      </w:pPr>
      <w:rPr>
        <w:rFonts w:hint="default"/>
        <w:lang w:val="zh-CN" w:eastAsia="zh-CN" w:bidi="zh-CN"/>
      </w:rPr>
    </w:lvl>
  </w:abstractNum>
  <w:abstractNum w:abstractNumId="413" w15:restartNumberingAfterBreak="0">
    <w:nsid w:val="35E0028F"/>
    <w:multiLevelType w:val="hybridMultilevel"/>
    <w:tmpl w:val="992493B8"/>
    <w:lvl w:ilvl="0" w:tplc="8144B458">
      <w:start w:val="1"/>
      <w:numFmt w:val="decimal"/>
      <w:lvlText w:val="（%1）"/>
      <w:lvlJc w:val="left"/>
      <w:pPr>
        <w:ind w:left="418" w:hanging="529"/>
        <w:jc w:val="left"/>
      </w:pPr>
      <w:rPr>
        <w:rFonts w:ascii="宋体" w:eastAsia="宋体" w:hAnsi="宋体" w:cs="宋体" w:hint="default"/>
        <w:spacing w:val="-48"/>
        <w:w w:val="100"/>
        <w:sz w:val="19"/>
        <w:szCs w:val="19"/>
        <w:lang w:val="zh-CN" w:eastAsia="zh-CN" w:bidi="zh-CN"/>
      </w:rPr>
    </w:lvl>
    <w:lvl w:ilvl="1" w:tplc="12A471D0">
      <w:numFmt w:val="bullet"/>
      <w:lvlText w:val="•"/>
      <w:lvlJc w:val="left"/>
      <w:pPr>
        <w:ind w:left="1442" w:hanging="529"/>
      </w:pPr>
      <w:rPr>
        <w:rFonts w:hint="default"/>
        <w:lang w:val="zh-CN" w:eastAsia="zh-CN" w:bidi="zh-CN"/>
      </w:rPr>
    </w:lvl>
    <w:lvl w:ilvl="2" w:tplc="A1A26772">
      <w:numFmt w:val="bullet"/>
      <w:lvlText w:val="•"/>
      <w:lvlJc w:val="left"/>
      <w:pPr>
        <w:ind w:left="2465" w:hanging="529"/>
      </w:pPr>
      <w:rPr>
        <w:rFonts w:hint="default"/>
        <w:lang w:val="zh-CN" w:eastAsia="zh-CN" w:bidi="zh-CN"/>
      </w:rPr>
    </w:lvl>
    <w:lvl w:ilvl="3" w:tplc="03B6DA52">
      <w:numFmt w:val="bullet"/>
      <w:lvlText w:val="•"/>
      <w:lvlJc w:val="left"/>
      <w:pPr>
        <w:ind w:left="3487" w:hanging="529"/>
      </w:pPr>
      <w:rPr>
        <w:rFonts w:hint="default"/>
        <w:lang w:val="zh-CN" w:eastAsia="zh-CN" w:bidi="zh-CN"/>
      </w:rPr>
    </w:lvl>
    <w:lvl w:ilvl="4" w:tplc="2168EB14">
      <w:numFmt w:val="bullet"/>
      <w:lvlText w:val="•"/>
      <w:lvlJc w:val="left"/>
      <w:pPr>
        <w:ind w:left="4510" w:hanging="529"/>
      </w:pPr>
      <w:rPr>
        <w:rFonts w:hint="default"/>
        <w:lang w:val="zh-CN" w:eastAsia="zh-CN" w:bidi="zh-CN"/>
      </w:rPr>
    </w:lvl>
    <w:lvl w:ilvl="5" w:tplc="20780D82">
      <w:numFmt w:val="bullet"/>
      <w:lvlText w:val="•"/>
      <w:lvlJc w:val="left"/>
      <w:pPr>
        <w:ind w:left="5533" w:hanging="529"/>
      </w:pPr>
      <w:rPr>
        <w:rFonts w:hint="default"/>
        <w:lang w:val="zh-CN" w:eastAsia="zh-CN" w:bidi="zh-CN"/>
      </w:rPr>
    </w:lvl>
    <w:lvl w:ilvl="6" w:tplc="99CEE932">
      <w:numFmt w:val="bullet"/>
      <w:lvlText w:val="•"/>
      <w:lvlJc w:val="left"/>
      <w:pPr>
        <w:ind w:left="6555" w:hanging="529"/>
      </w:pPr>
      <w:rPr>
        <w:rFonts w:hint="default"/>
        <w:lang w:val="zh-CN" w:eastAsia="zh-CN" w:bidi="zh-CN"/>
      </w:rPr>
    </w:lvl>
    <w:lvl w:ilvl="7" w:tplc="C7D4922E">
      <w:numFmt w:val="bullet"/>
      <w:lvlText w:val="•"/>
      <w:lvlJc w:val="left"/>
      <w:pPr>
        <w:ind w:left="7578" w:hanging="529"/>
      </w:pPr>
      <w:rPr>
        <w:rFonts w:hint="default"/>
        <w:lang w:val="zh-CN" w:eastAsia="zh-CN" w:bidi="zh-CN"/>
      </w:rPr>
    </w:lvl>
    <w:lvl w:ilvl="8" w:tplc="9732C8BE">
      <w:numFmt w:val="bullet"/>
      <w:lvlText w:val="•"/>
      <w:lvlJc w:val="left"/>
      <w:pPr>
        <w:ind w:left="8601" w:hanging="529"/>
      </w:pPr>
      <w:rPr>
        <w:rFonts w:hint="default"/>
        <w:lang w:val="zh-CN" w:eastAsia="zh-CN" w:bidi="zh-CN"/>
      </w:rPr>
    </w:lvl>
  </w:abstractNum>
  <w:abstractNum w:abstractNumId="414" w15:restartNumberingAfterBreak="0">
    <w:nsid w:val="35F52C43"/>
    <w:multiLevelType w:val="hybridMultilevel"/>
    <w:tmpl w:val="7026F75E"/>
    <w:lvl w:ilvl="0" w:tplc="8C6455DA">
      <w:start w:val="5"/>
      <w:numFmt w:val="decimal"/>
      <w:lvlText w:val="%1"/>
      <w:lvlJc w:val="left"/>
      <w:pPr>
        <w:ind w:left="418" w:hanging="529"/>
        <w:jc w:val="left"/>
      </w:pPr>
      <w:rPr>
        <w:rFonts w:hint="default"/>
        <w:lang w:val="zh-CN" w:eastAsia="zh-CN" w:bidi="zh-CN"/>
      </w:rPr>
    </w:lvl>
    <w:lvl w:ilvl="1" w:tplc="E6447B66">
      <w:start w:val="4"/>
      <w:numFmt w:val="decimal"/>
      <w:lvlText w:val="%1.%2"/>
      <w:lvlJc w:val="left"/>
      <w:pPr>
        <w:ind w:left="418" w:hanging="529"/>
        <w:jc w:val="left"/>
      </w:pPr>
      <w:rPr>
        <w:rFonts w:hint="default"/>
        <w:lang w:val="zh-CN" w:eastAsia="zh-CN" w:bidi="zh-CN"/>
      </w:rPr>
    </w:lvl>
    <w:lvl w:ilvl="2" w:tplc="65FA908E">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3FC84AF4">
      <w:numFmt w:val="bullet"/>
      <w:lvlText w:val="•"/>
      <w:lvlJc w:val="left"/>
      <w:pPr>
        <w:ind w:left="3487" w:hanging="529"/>
      </w:pPr>
      <w:rPr>
        <w:rFonts w:hint="default"/>
        <w:lang w:val="zh-CN" w:eastAsia="zh-CN" w:bidi="zh-CN"/>
      </w:rPr>
    </w:lvl>
    <w:lvl w:ilvl="4" w:tplc="ED0EE9C8">
      <w:numFmt w:val="bullet"/>
      <w:lvlText w:val="•"/>
      <w:lvlJc w:val="left"/>
      <w:pPr>
        <w:ind w:left="4510" w:hanging="529"/>
      </w:pPr>
      <w:rPr>
        <w:rFonts w:hint="default"/>
        <w:lang w:val="zh-CN" w:eastAsia="zh-CN" w:bidi="zh-CN"/>
      </w:rPr>
    </w:lvl>
    <w:lvl w:ilvl="5" w:tplc="3AE6016E">
      <w:numFmt w:val="bullet"/>
      <w:lvlText w:val="•"/>
      <w:lvlJc w:val="left"/>
      <w:pPr>
        <w:ind w:left="5533" w:hanging="529"/>
      </w:pPr>
      <w:rPr>
        <w:rFonts w:hint="default"/>
        <w:lang w:val="zh-CN" w:eastAsia="zh-CN" w:bidi="zh-CN"/>
      </w:rPr>
    </w:lvl>
    <w:lvl w:ilvl="6" w:tplc="1264D9D6">
      <w:numFmt w:val="bullet"/>
      <w:lvlText w:val="•"/>
      <w:lvlJc w:val="left"/>
      <w:pPr>
        <w:ind w:left="6555" w:hanging="529"/>
      </w:pPr>
      <w:rPr>
        <w:rFonts w:hint="default"/>
        <w:lang w:val="zh-CN" w:eastAsia="zh-CN" w:bidi="zh-CN"/>
      </w:rPr>
    </w:lvl>
    <w:lvl w:ilvl="7" w:tplc="80C0A346">
      <w:numFmt w:val="bullet"/>
      <w:lvlText w:val="•"/>
      <w:lvlJc w:val="left"/>
      <w:pPr>
        <w:ind w:left="7578" w:hanging="529"/>
      </w:pPr>
      <w:rPr>
        <w:rFonts w:hint="default"/>
        <w:lang w:val="zh-CN" w:eastAsia="zh-CN" w:bidi="zh-CN"/>
      </w:rPr>
    </w:lvl>
    <w:lvl w:ilvl="8" w:tplc="54D2738E">
      <w:numFmt w:val="bullet"/>
      <w:lvlText w:val="•"/>
      <w:lvlJc w:val="left"/>
      <w:pPr>
        <w:ind w:left="8601" w:hanging="529"/>
      </w:pPr>
      <w:rPr>
        <w:rFonts w:hint="default"/>
        <w:lang w:val="zh-CN" w:eastAsia="zh-CN" w:bidi="zh-CN"/>
      </w:rPr>
    </w:lvl>
  </w:abstractNum>
  <w:abstractNum w:abstractNumId="415" w15:restartNumberingAfterBreak="0">
    <w:nsid w:val="36371B67"/>
    <w:multiLevelType w:val="hybridMultilevel"/>
    <w:tmpl w:val="0D7A5A9C"/>
    <w:lvl w:ilvl="0" w:tplc="965E3288">
      <w:start w:val="1"/>
      <w:numFmt w:val="lowerLetter"/>
      <w:lvlText w:val="%1)"/>
      <w:lvlJc w:val="left"/>
      <w:pPr>
        <w:ind w:left="418" w:hanging="213"/>
        <w:jc w:val="left"/>
      </w:pPr>
      <w:rPr>
        <w:rFonts w:ascii="宋体" w:eastAsia="宋体" w:hAnsi="宋体" w:cs="宋体" w:hint="default"/>
        <w:spacing w:val="-3"/>
        <w:w w:val="100"/>
        <w:sz w:val="19"/>
        <w:szCs w:val="19"/>
        <w:lang w:val="zh-CN" w:eastAsia="zh-CN" w:bidi="zh-CN"/>
      </w:rPr>
    </w:lvl>
    <w:lvl w:ilvl="1" w:tplc="1C261C9A">
      <w:numFmt w:val="bullet"/>
      <w:lvlText w:val="•"/>
      <w:lvlJc w:val="left"/>
      <w:pPr>
        <w:ind w:left="1442" w:hanging="213"/>
      </w:pPr>
      <w:rPr>
        <w:rFonts w:hint="default"/>
        <w:lang w:val="zh-CN" w:eastAsia="zh-CN" w:bidi="zh-CN"/>
      </w:rPr>
    </w:lvl>
    <w:lvl w:ilvl="2" w:tplc="A9689496">
      <w:numFmt w:val="bullet"/>
      <w:lvlText w:val="•"/>
      <w:lvlJc w:val="left"/>
      <w:pPr>
        <w:ind w:left="2465" w:hanging="213"/>
      </w:pPr>
      <w:rPr>
        <w:rFonts w:hint="default"/>
        <w:lang w:val="zh-CN" w:eastAsia="zh-CN" w:bidi="zh-CN"/>
      </w:rPr>
    </w:lvl>
    <w:lvl w:ilvl="3" w:tplc="A882FFBA">
      <w:numFmt w:val="bullet"/>
      <w:lvlText w:val="•"/>
      <w:lvlJc w:val="left"/>
      <w:pPr>
        <w:ind w:left="3487" w:hanging="213"/>
      </w:pPr>
      <w:rPr>
        <w:rFonts w:hint="default"/>
        <w:lang w:val="zh-CN" w:eastAsia="zh-CN" w:bidi="zh-CN"/>
      </w:rPr>
    </w:lvl>
    <w:lvl w:ilvl="4" w:tplc="2ED61B72">
      <w:numFmt w:val="bullet"/>
      <w:lvlText w:val="•"/>
      <w:lvlJc w:val="left"/>
      <w:pPr>
        <w:ind w:left="4510" w:hanging="213"/>
      </w:pPr>
      <w:rPr>
        <w:rFonts w:hint="default"/>
        <w:lang w:val="zh-CN" w:eastAsia="zh-CN" w:bidi="zh-CN"/>
      </w:rPr>
    </w:lvl>
    <w:lvl w:ilvl="5" w:tplc="55700576">
      <w:numFmt w:val="bullet"/>
      <w:lvlText w:val="•"/>
      <w:lvlJc w:val="left"/>
      <w:pPr>
        <w:ind w:left="5533" w:hanging="213"/>
      </w:pPr>
      <w:rPr>
        <w:rFonts w:hint="default"/>
        <w:lang w:val="zh-CN" w:eastAsia="zh-CN" w:bidi="zh-CN"/>
      </w:rPr>
    </w:lvl>
    <w:lvl w:ilvl="6" w:tplc="FD983334">
      <w:numFmt w:val="bullet"/>
      <w:lvlText w:val="•"/>
      <w:lvlJc w:val="left"/>
      <w:pPr>
        <w:ind w:left="6555" w:hanging="213"/>
      </w:pPr>
      <w:rPr>
        <w:rFonts w:hint="default"/>
        <w:lang w:val="zh-CN" w:eastAsia="zh-CN" w:bidi="zh-CN"/>
      </w:rPr>
    </w:lvl>
    <w:lvl w:ilvl="7" w:tplc="A18E4FAA">
      <w:numFmt w:val="bullet"/>
      <w:lvlText w:val="•"/>
      <w:lvlJc w:val="left"/>
      <w:pPr>
        <w:ind w:left="7578" w:hanging="213"/>
      </w:pPr>
      <w:rPr>
        <w:rFonts w:hint="default"/>
        <w:lang w:val="zh-CN" w:eastAsia="zh-CN" w:bidi="zh-CN"/>
      </w:rPr>
    </w:lvl>
    <w:lvl w:ilvl="8" w:tplc="AF26F73A">
      <w:numFmt w:val="bullet"/>
      <w:lvlText w:val="•"/>
      <w:lvlJc w:val="left"/>
      <w:pPr>
        <w:ind w:left="8601" w:hanging="213"/>
      </w:pPr>
      <w:rPr>
        <w:rFonts w:hint="default"/>
        <w:lang w:val="zh-CN" w:eastAsia="zh-CN" w:bidi="zh-CN"/>
      </w:rPr>
    </w:lvl>
  </w:abstractNum>
  <w:abstractNum w:abstractNumId="416" w15:restartNumberingAfterBreak="0">
    <w:nsid w:val="36481660"/>
    <w:multiLevelType w:val="hybridMultilevel"/>
    <w:tmpl w:val="4EA22F22"/>
    <w:lvl w:ilvl="0" w:tplc="9F74A412">
      <w:start w:val="1"/>
      <w:numFmt w:val="lowerLetter"/>
      <w:lvlText w:val="%1)"/>
      <w:lvlJc w:val="left"/>
      <w:pPr>
        <w:ind w:left="1050" w:hanging="213"/>
        <w:jc w:val="left"/>
      </w:pPr>
      <w:rPr>
        <w:rFonts w:ascii="宋体" w:eastAsia="宋体" w:hAnsi="宋体" w:cs="宋体" w:hint="default"/>
        <w:spacing w:val="-3"/>
        <w:w w:val="99"/>
        <w:sz w:val="19"/>
        <w:szCs w:val="19"/>
        <w:lang w:val="zh-CN" w:eastAsia="zh-CN" w:bidi="zh-CN"/>
      </w:rPr>
    </w:lvl>
    <w:lvl w:ilvl="1" w:tplc="BDE69CF6">
      <w:numFmt w:val="bullet"/>
      <w:lvlText w:val="•"/>
      <w:lvlJc w:val="left"/>
      <w:pPr>
        <w:ind w:left="2018" w:hanging="213"/>
      </w:pPr>
      <w:rPr>
        <w:rFonts w:hint="default"/>
        <w:lang w:val="zh-CN" w:eastAsia="zh-CN" w:bidi="zh-CN"/>
      </w:rPr>
    </w:lvl>
    <w:lvl w:ilvl="2" w:tplc="05DAB5F4">
      <w:numFmt w:val="bullet"/>
      <w:lvlText w:val="•"/>
      <w:lvlJc w:val="left"/>
      <w:pPr>
        <w:ind w:left="2977" w:hanging="213"/>
      </w:pPr>
      <w:rPr>
        <w:rFonts w:hint="default"/>
        <w:lang w:val="zh-CN" w:eastAsia="zh-CN" w:bidi="zh-CN"/>
      </w:rPr>
    </w:lvl>
    <w:lvl w:ilvl="3" w:tplc="CDD6224A">
      <w:numFmt w:val="bullet"/>
      <w:lvlText w:val="•"/>
      <w:lvlJc w:val="left"/>
      <w:pPr>
        <w:ind w:left="3935" w:hanging="213"/>
      </w:pPr>
      <w:rPr>
        <w:rFonts w:hint="default"/>
        <w:lang w:val="zh-CN" w:eastAsia="zh-CN" w:bidi="zh-CN"/>
      </w:rPr>
    </w:lvl>
    <w:lvl w:ilvl="4" w:tplc="CDC49688">
      <w:numFmt w:val="bullet"/>
      <w:lvlText w:val="•"/>
      <w:lvlJc w:val="left"/>
      <w:pPr>
        <w:ind w:left="4894" w:hanging="213"/>
      </w:pPr>
      <w:rPr>
        <w:rFonts w:hint="default"/>
        <w:lang w:val="zh-CN" w:eastAsia="zh-CN" w:bidi="zh-CN"/>
      </w:rPr>
    </w:lvl>
    <w:lvl w:ilvl="5" w:tplc="7226763A">
      <w:numFmt w:val="bullet"/>
      <w:lvlText w:val="•"/>
      <w:lvlJc w:val="left"/>
      <w:pPr>
        <w:ind w:left="5853" w:hanging="213"/>
      </w:pPr>
      <w:rPr>
        <w:rFonts w:hint="default"/>
        <w:lang w:val="zh-CN" w:eastAsia="zh-CN" w:bidi="zh-CN"/>
      </w:rPr>
    </w:lvl>
    <w:lvl w:ilvl="6" w:tplc="20B87E22">
      <w:numFmt w:val="bullet"/>
      <w:lvlText w:val="•"/>
      <w:lvlJc w:val="left"/>
      <w:pPr>
        <w:ind w:left="6811" w:hanging="213"/>
      </w:pPr>
      <w:rPr>
        <w:rFonts w:hint="default"/>
        <w:lang w:val="zh-CN" w:eastAsia="zh-CN" w:bidi="zh-CN"/>
      </w:rPr>
    </w:lvl>
    <w:lvl w:ilvl="7" w:tplc="5B44AEFE">
      <w:numFmt w:val="bullet"/>
      <w:lvlText w:val="•"/>
      <w:lvlJc w:val="left"/>
      <w:pPr>
        <w:ind w:left="7770" w:hanging="213"/>
      </w:pPr>
      <w:rPr>
        <w:rFonts w:hint="default"/>
        <w:lang w:val="zh-CN" w:eastAsia="zh-CN" w:bidi="zh-CN"/>
      </w:rPr>
    </w:lvl>
    <w:lvl w:ilvl="8" w:tplc="FB50EFD2">
      <w:numFmt w:val="bullet"/>
      <w:lvlText w:val="•"/>
      <w:lvlJc w:val="left"/>
      <w:pPr>
        <w:ind w:left="8729" w:hanging="213"/>
      </w:pPr>
      <w:rPr>
        <w:rFonts w:hint="default"/>
        <w:lang w:val="zh-CN" w:eastAsia="zh-CN" w:bidi="zh-CN"/>
      </w:rPr>
    </w:lvl>
  </w:abstractNum>
  <w:abstractNum w:abstractNumId="417" w15:restartNumberingAfterBreak="0">
    <w:nsid w:val="36A235D1"/>
    <w:multiLevelType w:val="hybridMultilevel"/>
    <w:tmpl w:val="ADC014F0"/>
    <w:lvl w:ilvl="0" w:tplc="B46E5096">
      <w:start w:val="5"/>
      <w:numFmt w:val="decimal"/>
      <w:lvlText w:val="%1"/>
      <w:lvlJc w:val="left"/>
      <w:pPr>
        <w:ind w:left="947" w:hanging="529"/>
        <w:jc w:val="left"/>
      </w:pPr>
      <w:rPr>
        <w:rFonts w:hint="default"/>
        <w:lang w:val="zh-CN" w:eastAsia="zh-CN" w:bidi="zh-CN"/>
      </w:rPr>
    </w:lvl>
    <w:lvl w:ilvl="1" w:tplc="F7A2B9E2">
      <w:start w:val="2"/>
      <w:numFmt w:val="decimal"/>
      <w:lvlText w:val="%1.%2"/>
      <w:lvlJc w:val="left"/>
      <w:pPr>
        <w:ind w:left="947" w:hanging="529"/>
        <w:jc w:val="left"/>
      </w:pPr>
      <w:rPr>
        <w:rFonts w:hint="default"/>
        <w:lang w:val="zh-CN" w:eastAsia="zh-CN" w:bidi="zh-CN"/>
      </w:rPr>
    </w:lvl>
    <w:lvl w:ilvl="2" w:tplc="B6BE4978">
      <w:start w:val="1"/>
      <w:numFmt w:val="decimal"/>
      <w:lvlText w:val="%1.%2.%3"/>
      <w:lvlJc w:val="left"/>
      <w:pPr>
        <w:ind w:left="947" w:hanging="529"/>
        <w:jc w:val="left"/>
      </w:pPr>
      <w:rPr>
        <w:rFonts w:ascii="宋体" w:eastAsia="宋体" w:hAnsi="宋体" w:cs="宋体" w:hint="default"/>
        <w:w w:val="100"/>
        <w:sz w:val="19"/>
        <w:szCs w:val="19"/>
        <w:lang w:val="zh-CN" w:eastAsia="zh-CN" w:bidi="zh-CN"/>
      </w:rPr>
    </w:lvl>
    <w:lvl w:ilvl="3" w:tplc="E76EF91E">
      <w:numFmt w:val="bullet"/>
      <w:lvlText w:val="•"/>
      <w:lvlJc w:val="left"/>
      <w:pPr>
        <w:ind w:left="3851" w:hanging="529"/>
      </w:pPr>
      <w:rPr>
        <w:rFonts w:hint="default"/>
        <w:lang w:val="zh-CN" w:eastAsia="zh-CN" w:bidi="zh-CN"/>
      </w:rPr>
    </w:lvl>
    <w:lvl w:ilvl="4" w:tplc="9F9EEE8A">
      <w:numFmt w:val="bullet"/>
      <w:lvlText w:val="•"/>
      <w:lvlJc w:val="left"/>
      <w:pPr>
        <w:ind w:left="4822" w:hanging="529"/>
      </w:pPr>
      <w:rPr>
        <w:rFonts w:hint="default"/>
        <w:lang w:val="zh-CN" w:eastAsia="zh-CN" w:bidi="zh-CN"/>
      </w:rPr>
    </w:lvl>
    <w:lvl w:ilvl="5" w:tplc="D782371C">
      <w:numFmt w:val="bullet"/>
      <w:lvlText w:val="•"/>
      <w:lvlJc w:val="left"/>
      <w:pPr>
        <w:ind w:left="5793" w:hanging="529"/>
      </w:pPr>
      <w:rPr>
        <w:rFonts w:hint="default"/>
        <w:lang w:val="zh-CN" w:eastAsia="zh-CN" w:bidi="zh-CN"/>
      </w:rPr>
    </w:lvl>
    <w:lvl w:ilvl="6" w:tplc="89BC8E7E">
      <w:numFmt w:val="bullet"/>
      <w:lvlText w:val="•"/>
      <w:lvlJc w:val="left"/>
      <w:pPr>
        <w:ind w:left="6763" w:hanging="529"/>
      </w:pPr>
      <w:rPr>
        <w:rFonts w:hint="default"/>
        <w:lang w:val="zh-CN" w:eastAsia="zh-CN" w:bidi="zh-CN"/>
      </w:rPr>
    </w:lvl>
    <w:lvl w:ilvl="7" w:tplc="0B5E9054">
      <w:numFmt w:val="bullet"/>
      <w:lvlText w:val="•"/>
      <w:lvlJc w:val="left"/>
      <w:pPr>
        <w:ind w:left="7734" w:hanging="529"/>
      </w:pPr>
      <w:rPr>
        <w:rFonts w:hint="default"/>
        <w:lang w:val="zh-CN" w:eastAsia="zh-CN" w:bidi="zh-CN"/>
      </w:rPr>
    </w:lvl>
    <w:lvl w:ilvl="8" w:tplc="5BBE232C">
      <w:numFmt w:val="bullet"/>
      <w:lvlText w:val="•"/>
      <w:lvlJc w:val="left"/>
      <w:pPr>
        <w:ind w:left="8705" w:hanging="529"/>
      </w:pPr>
      <w:rPr>
        <w:rFonts w:hint="default"/>
        <w:lang w:val="zh-CN" w:eastAsia="zh-CN" w:bidi="zh-CN"/>
      </w:rPr>
    </w:lvl>
  </w:abstractNum>
  <w:abstractNum w:abstractNumId="418" w15:restartNumberingAfterBreak="0">
    <w:nsid w:val="36BE4C67"/>
    <w:multiLevelType w:val="hybridMultilevel"/>
    <w:tmpl w:val="AC7A6916"/>
    <w:lvl w:ilvl="0" w:tplc="D1683A52">
      <w:start w:val="6"/>
      <w:numFmt w:val="decimal"/>
      <w:lvlText w:val="%1"/>
      <w:lvlJc w:val="left"/>
      <w:pPr>
        <w:ind w:left="1477" w:hanging="637"/>
        <w:jc w:val="left"/>
      </w:pPr>
      <w:rPr>
        <w:rFonts w:hint="default"/>
        <w:lang w:val="zh-CN" w:eastAsia="zh-CN" w:bidi="zh-CN"/>
      </w:rPr>
    </w:lvl>
    <w:lvl w:ilvl="1" w:tplc="E528AE74">
      <w:start w:val="2"/>
      <w:numFmt w:val="decimal"/>
      <w:lvlText w:val="%1.%2"/>
      <w:lvlJc w:val="left"/>
      <w:pPr>
        <w:ind w:left="1477" w:hanging="637"/>
        <w:jc w:val="left"/>
      </w:pPr>
      <w:rPr>
        <w:rFonts w:hint="default"/>
        <w:lang w:val="zh-CN" w:eastAsia="zh-CN" w:bidi="zh-CN"/>
      </w:rPr>
    </w:lvl>
    <w:lvl w:ilvl="2" w:tplc="3CD63074">
      <w:start w:val="12"/>
      <w:numFmt w:val="decimal"/>
      <w:lvlText w:val="%1.%2.%3"/>
      <w:lvlJc w:val="left"/>
      <w:pPr>
        <w:ind w:left="1477" w:hanging="637"/>
        <w:jc w:val="left"/>
      </w:pPr>
      <w:rPr>
        <w:rFonts w:ascii="宋体" w:eastAsia="宋体" w:hAnsi="宋体" w:cs="宋体" w:hint="default"/>
        <w:b/>
        <w:bCs/>
        <w:spacing w:val="-3"/>
        <w:w w:val="99"/>
        <w:sz w:val="19"/>
        <w:szCs w:val="19"/>
        <w:lang w:val="zh-CN" w:eastAsia="zh-CN" w:bidi="zh-CN"/>
      </w:rPr>
    </w:lvl>
    <w:lvl w:ilvl="3" w:tplc="30DE0F82">
      <w:numFmt w:val="bullet"/>
      <w:lvlText w:val="•"/>
      <w:lvlJc w:val="left"/>
      <w:pPr>
        <w:ind w:left="4229" w:hanging="637"/>
      </w:pPr>
      <w:rPr>
        <w:rFonts w:hint="default"/>
        <w:lang w:val="zh-CN" w:eastAsia="zh-CN" w:bidi="zh-CN"/>
      </w:rPr>
    </w:lvl>
    <w:lvl w:ilvl="4" w:tplc="2CCAB036">
      <w:numFmt w:val="bullet"/>
      <w:lvlText w:val="•"/>
      <w:lvlJc w:val="left"/>
      <w:pPr>
        <w:ind w:left="5146" w:hanging="637"/>
      </w:pPr>
      <w:rPr>
        <w:rFonts w:hint="default"/>
        <w:lang w:val="zh-CN" w:eastAsia="zh-CN" w:bidi="zh-CN"/>
      </w:rPr>
    </w:lvl>
    <w:lvl w:ilvl="5" w:tplc="A40A820C">
      <w:numFmt w:val="bullet"/>
      <w:lvlText w:val="•"/>
      <w:lvlJc w:val="left"/>
      <w:pPr>
        <w:ind w:left="6063" w:hanging="637"/>
      </w:pPr>
      <w:rPr>
        <w:rFonts w:hint="default"/>
        <w:lang w:val="zh-CN" w:eastAsia="zh-CN" w:bidi="zh-CN"/>
      </w:rPr>
    </w:lvl>
    <w:lvl w:ilvl="6" w:tplc="880EE260">
      <w:numFmt w:val="bullet"/>
      <w:lvlText w:val="•"/>
      <w:lvlJc w:val="left"/>
      <w:pPr>
        <w:ind w:left="6979" w:hanging="637"/>
      </w:pPr>
      <w:rPr>
        <w:rFonts w:hint="default"/>
        <w:lang w:val="zh-CN" w:eastAsia="zh-CN" w:bidi="zh-CN"/>
      </w:rPr>
    </w:lvl>
    <w:lvl w:ilvl="7" w:tplc="325EB526">
      <w:numFmt w:val="bullet"/>
      <w:lvlText w:val="•"/>
      <w:lvlJc w:val="left"/>
      <w:pPr>
        <w:ind w:left="7896" w:hanging="637"/>
      </w:pPr>
      <w:rPr>
        <w:rFonts w:hint="default"/>
        <w:lang w:val="zh-CN" w:eastAsia="zh-CN" w:bidi="zh-CN"/>
      </w:rPr>
    </w:lvl>
    <w:lvl w:ilvl="8" w:tplc="2512996A">
      <w:numFmt w:val="bullet"/>
      <w:lvlText w:val="•"/>
      <w:lvlJc w:val="left"/>
      <w:pPr>
        <w:ind w:left="8813" w:hanging="637"/>
      </w:pPr>
      <w:rPr>
        <w:rFonts w:hint="default"/>
        <w:lang w:val="zh-CN" w:eastAsia="zh-CN" w:bidi="zh-CN"/>
      </w:rPr>
    </w:lvl>
  </w:abstractNum>
  <w:abstractNum w:abstractNumId="419" w15:restartNumberingAfterBreak="0">
    <w:nsid w:val="36EB1D87"/>
    <w:multiLevelType w:val="hybridMultilevel"/>
    <w:tmpl w:val="F5FEB3E2"/>
    <w:lvl w:ilvl="0" w:tplc="98CEB1B0">
      <w:start w:val="12"/>
      <w:numFmt w:val="decimal"/>
      <w:lvlText w:val="%1"/>
      <w:lvlJc w:val="left"/>
      <w:pPr>
        <w:ind w:left="1529" w:hanging="689"/>
        <w:jc w:val="left"/>
      </w:pPr>
      <w:rPr>
        <w:rFonts w:hint="default"/>
        <w:lang w:val="zh-CN" w:eastAsia="zh-CN" w:bidi="zh-CN"/>
      </w:rPr>
    </w:lvl>
    <w:lvl w:ilvl="1" w:tplc="579ED900">
      <w:start w:val="3"/>
      <w:numFmt w:val="decimal"/>
      <w:lvlText w:val="%1.%2"/>
      <w:lvlJc w:val="left"/>
      <w:pPr>
        <w:ind w:left="1529" w:hanging="689"/>
        <w:jc w:val="left"/>
      </w:pPr>
      <w:rPr>
        <w:rFonts w:hint="default"/>
        <w:lang w:val="zh-CN" w:eastAsia="zh-CN" w:bidi="zh-CN"/>
      </w:rPr>
    </w:lvl>
    <w:lvl w:ilvl="2" w:tplc="59B880DE">
      <w:start w:val="1"/>
      <w:numFmt w:val="decimal"/>
      <w:lvlText w:val="%1.%2.%3"/>
      <w:lvlJc w:val="left"/>
      <w:pPr>
        <w:ind w:left="1529" w:hanging="689"/>
        <w:jc w:val="left"/>
      </w:pPr>
      <w:rPr>
        <w:rFonts w:ascii="宋体" w:eastAsia="宋体" w:hAnsi="宋体" w:cs="宋体" w:hint="default"/>
        <w:b/>
        <w:bCs/>
        <w:w w:val="99"/>
        <w:sz w:val="21"/>
        <w:szCs w:val="21"/>
        <w:lang w:val="zh-CN" w:eastAsia="zh-CN" w:bidi="zh-CN"/>
      </w:rPr>
    </w:lvl>
    <w:lvl w:ilvl="3" w:tplc="5692A170">
      <w:numFmt w:val="bullet"/>
      <w:lvlText w:val="•"/>
      <w:lvlJc w:val="left"/>
      <w:pPr>
        <w:ind w:left="4257" w:hanging="689"/>
      </w:pPr>
      <w:rPr>
        <w:rFonts w:hint="default"/>
        <w:lang w:val="zh-CN" w:eastAsia="zh-CN" w:bidi="zh-CN"/>
      </w:rPr>
    </w:lvl>
    <w:lvl w:ilvl="4" w:tplc="C0B6C1DC">
      <w:numFmt w:val="bullet"/>
      <w:lvlText w:val="•"/>
      <w:lvlJc w:val="left"/>
      <w:pPr>
        <w:ind w:left="5170" w:hanging="689"/>
      </w:pPr>
      <w:rPr>
        <w:rFonts w:hint="default"/>
        <w:lang w:val="zh-CN" w:eastAsia="zh-CN" w:bidi="zh-CN"/>
      </w:rPr>
    </w:lvl>
    <w:lvl w:ilvl="5" w:tplc="AAFAC1A6">
      <w:numFmt w:val="bullet"/>
      <w:lvlText w:val="•"/>
      <w:lvlJc w:val="left"/>
      <w:pPr>
        <w:ind w:left="6083" w:hanging="689"/>
      </w:pPr>
      <w:rPr>
        <w:rFonts w:hint="default"/>
        <w:lang w:val="zh-CN" w:eastAsia="zh-CN" w:bidi="zh-CN"/>
      </w:rPr>
    </w:lvl>
    <w:lvl w:ilvl="6" w:tplc="8FA41A8C">
      <w:numFmt w:val="bullet"/>
      <w:lvlText w:val="•"/>
      <w:lvlJc w:val="left"/>
      <w:pPr>
        <w:ind w:left="6995" w:hanging="689"/>
      </w:pPr>
      <w:rPr>
        <w:rFonts w:hint="default"/>
        <w:lang w:val="zh-CN" w:eastAsia="zh-CN" w:bidi="zh-CN"/>
      </w:rPr>
    </w:lvl>
    <w:lvl w:ilvl="7" w:tplc="B8180AD6">
      <w:numFmt w:val="bullet"/>
      <w:lvlText w:val="•"/>
      <w:lvlJc w:val="left"/>
      <w:pPr>
        <w:ind w:left="7908" w:hanging="689"/>
      </w:pPr>
      <w:rPr>
        <w:rFonts w:hint="default"/>
        <w:lang w:val="zh-CN" w:eastAsia="zh-CN" w:bidi="zh-CN"/>
      </w:rPr>
    </w:lvl>
    <w:lvl w:ilvl="8" w:tplc="F6EC81CA">
      <w:numFmt w:val="bullet"/>
      <w:lvlText w:val="•"/>
      <w:lvlJc w:val="left"/>
      <w:pPr>
        <w:ind w:left="8821" w:hanging="689"/>
      </w:pPr>
      <w:rPr>
        <w:rFonts w:hint="default"/>
        <w:lang w:val="zh-CN" w:eastAsia="zh-CN" w:bidi="zh-CN"/>
      </w:rPr>
    </w:lvl>
  </w:abstractNum>
  <w:abstractNum w:abstractNumId="420" w15:restartNumberingAfterBreak="0">
    <w:nsid w:val="37060CC5"/>
    <w:multiLevelType w:val="hybridMultilevel"/>
    <w:tmpl w:val="1FD46E7C"/>
    <w:lvl w:ilvl="0" w:tplc="E630738C">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419097AA">
      <w:numFmt w:val="bullet"/>
      <w:lvlText w:val="•"/>
      <w:lvlJc w:val="left"/>
      <w:pPr>
        <w:ind w:left="2288" w:hanging="529"/>
      </w:pPr>
      <w:rPr>
        <w:rFonts w:hint="default"/>
        <w:lang w:val="zh-CN" w:eastAsia="zh-CN" w:bidi="zh-CN"/>
      </w:rPr>
    </w:lvl>
    <w:lvl w:ilvl="2" w:tplc="BEAEA1C8">
      <w:numFmt w:val="bullet"/>
      <w:lvlText w:val="•"/>
      <w:lvlJc w:val="left"/>
      <w:pPr>
        <w:ind w:left="3217" w:hanging="529"/>
      </w:pPr>
      <w:rPr>
        <w:rFonts w:hint="default"/>
        <w:lang w:val="zh-CN" w:eastAsia="zh-CN" w:bidi="zh-CN"/>
      </w:rPr>
    </w:lvl>
    <w:lvl w:ilvl="3" w:tplc="E3CE1B6E">
      <w:numFmt w:val="bullet"/>
      <w:lvlText w:val="•"/>
      <w:lvlJc w:val="left"/>
      <w:pPr>
        <w:ind w:left="4145" w:hanging="529"/>
      </w:pPr>
      <w:rPr>
        <w:rFonts w:hint="default"/>
        <w:lang w:val="zh-CN" w:eastAsia="zh-CN" w:bidi="zh-CN"/>
      </w:rPr>
    </w:lvl>
    <w:lvl w:ilvl="4" w:tplc="9B7C9018">
      <w:numFmt w:val="bullet"/>
      <w:lvlText w:val="•"/>
      <w:lvlJc w:val="left"/>
      <w:pPr>
        <w:ind w:left="5074" w:hanging="529"/>
      </w:pPr>
      <w:rPr>
        <w:rFonts w:hint="default"/>
        <w:lang w:val="zh-CN" w:eastAsia="zh-CN" w:bidi="zh-CN"/>
      </w:rPr>
    </w:lvl>
    <w:lvl w:ilvl="5" w:tplc="502E665A">
      <w:numFmt w:val="bullet"/>
      <w:lvlText w:val="•"/>
      <w:lvlJc w:val="left"/>
      <w:pPr>
        <w:ind w:left="6003" w:hanging="529"/>
      </w:pPr>
      <w:rPr>
        <w:rFonts w:hint="default"/>
        <w:lang w:val="zh-CN" w:eastAsia="zh-CN" w:bidi="zh-CN"/>
      </w:rPr>
    </w:lvl>
    <w:lvl w:ilvl="6" w:tplc="1BB65560">
      <w:numFmt w:val="bullet"/>
      <w:lvlText w:val="•"/>
      <w:lvlJc w:val="left"/>
      <w:pPr>
        <w:ind w:left="6931" w:hanging="529"/>
      </w:pPr>
      <w:rPr>
        <w:rFonts w:hint="default"/>
        <w:lang w:val="zh-CN" w:eastAsia="zh-CN" w:bidi="zh-CN"/>
      </w:rPr>
    </w:lvl>
    <w:lvl w:ilvl="7" w:tplc="9E8E39B0">
      <w:numFmt w:val="bullet"/>
      <w:lvlText w:val="•"/>
      <w:lvlJc w:val="left"/>
      <w:pPr>
        <w:ind w:left="7860" w:hanging="529"/>
      </w:pPr>
      <w:rPr>
        <w:rFonts w:hint="default"/>
        <w:lang w:val="zh-CN" w:eastAsia="zh-CN" w:bidi="zh-CN"/>
      </w:rPr>
    </w:lvl>
    <w:lvl w:ilvl="8" w:tplc="89CCF270">
      <w:numFmt w:val="bullet"/>
      <w:lvlText w:val="•"/>
      <w:lvlJc w:val="left"/>
      <w:pPr>
        <w:ind w:left="8789" w:hanging="529"/>
      </w:pPr>
      <w:rPr>
        <w:rFonts w:hint="default"/>
        <w:lang w:val="zh-CN" w:eastAsia="zh-CN" w:bidi="zh-CN"/>
      </w:rPr>
    </w:lvl>
  </w:abstractNum>
  <w:abstractNum w:abstractNumId="421" w15:restartNumberingAfterBreak="0">
    <w:nsid w:val="373B2450"/>
    <w:multiLevelType w:val="hybridMultilevel"/>
    <w:tmpl w:val="73C2433A"/>
    <w:lvl w:ilvl="0" w:tplc="5E4619A4">
      <w:start w:val="3"/>
      <w:numFmt w:val="decimal"/>
      <w:lvlText w:val="%1"/>
      <w:lvlJc w:val="left"/>
      <w:pPr>
        <w:ind w:left="1158" w:hanging="318"/>
        <w:jc w:val="left"/>
      </w:pPr>
      <w:rPr>
        <w:rFonts w:hint="default"/>
        <w:lang w:val="zh-CN" w:eastAsia="zh-CN" w:bidi="zh-CN"/>
      </w:rPr>
    </w:lvl>
    <w:lvl w:ilvl="1" w:tplc="EC8E88F0">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FBE0813E">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A6406636">
      <w:numFmt w:val="bullet"/>
      <w:lvlText w:val="•"/>
      <w:lvlJc w:val="left"/>
      <w:pPr>
        <w:ind w:left="2538" w:hanging="531"/>
      </w:pPr>
      <w:rPr>
        <w:rFonts w:hint="default"/>
        <w:lang w:val="zh-CN" w:eastAsia="zh-CN" w:bidi="zh-CN"/>
      </w:rPr>
    </w:lvl>
    <w:lvl w:ilvl="4" w:tplc="AE4AC780">
      <w:numFmt w:val="bullet"/>
      <w:lvlText w:val="•"/>
      <w:lvlJc w:val="left"/>
      <w:pPr>
        <w:ind w:left="3696" w:hanging="531"/>
      </w:pPr>
      <w:rPr>
        <w:rFonts w:hint="default"/>
        <w:lang w:val="zh-CN" w:eastAsia="zh-CN" w:bidi="zh-CN"/>
      </w:rPr>
    </w:lvl>
    <w:lvl w:ilvl="5" w:tplc="37ECD71E">
      <w:numFmt w:val="bullet"/>
      <w:lvlText w:val="•"/>
      <w:lvlJc w:val="left"/>
      <w:pPr>
        <w:ind w:left="4854" w:hanging="531"/>
      </w:pPr>
      <w:rPr>
        <w:rFonts w:hint="default"/>
        <w:lang w:val="zh-CN" w:eastAsia="zh-CN" w:bidi="zh-CN"/>
      </w:rPr>
    </w:lvl>
    <w:lvl w:ilvl="6" w:tplc="4A52B48C">
      <w:numFmt w:val="bullet"/>
      <w:lvlText w:val="•"/>
      <w:lvlJc w:val="left"/>
      <w:pPr>
        <w:ind w:left="6013" w:hanging="531"/>
      </w:pPr>
      <w:rPr>
        <w:rFonts w:hint="default"/>
        <w:lang w:val="zh-CN" w:eastAsia="zh-CN" w:bidi="zh-CN"/>
      </w:rPr>
    </w:lvl>
    <w:lvl w:ilvl="7" w:tplc="E8F6CA24">
      <w:numFmt w:val="bullet"/>
      <w:lvlText w:val="•"/>
      <w:lvlJc w:val="left"/>
      <w:pPr>
        <w:ind w:left="7171" w:hanging="531"/>
      </w:pPr>
      <w:rPr>
        <w:rFonts w:hint="default"/>
        <w:lang w:val="zh-CN" w:eastAsia="zh-CN" w:bidi="zh-CN"/>
      </w:rPr>
    </w:lvl>
    <w:lvl w:ilvl="8" w:tplc="77A8E3CE">
      <w:numFmt w:val="bullet"/>
      <w:lvlText w:val="•"/>
      <w:lvlJc w:val="left"/>
      <w:pPr>
        <w:ind w:left="8329" w:hanging="531"/>
      </w:pPr>
      <w:rPr>
        <w:rFonts w:hint="default"/>
        <w:lang w:val="zh-CN" w:eastAsia="zh-CN" w:bidi="zh-CN"/>
      </w:rPr>
    </w:lvl>
  </w:abstractNum>
  <w:abstractNum w:abstractNumId="422" w15:restartNumberingAfterBreak="0">
    <w:nsid w:val="374D481B"/>
    <w:multiLevelType w:val="hybridMultilevel"/>
    <w:tmpl w:val="0066C86A"/>
    <w:lvl w:ilvl="0" w:tplc="36FA9ADC">
      <w:start w:val="8"/>
      <w:numFmt w:val="decimal"/>
      <w:lvlText w:val="%1"/>
      <w:lvlJc w:val="left"/>
      <w:pPr>
        <w:ind w:left="1370" w:hanging="531"/>
        <w:jc w:val="left"/>
      </w:pPr>
      <w:rPr>
        <w:rFonts w:hint="default"/>
        <w:lang w:val="zh-CN" w:eastAsia="zh-CN" w:bidi="zh-CN"/>
      </w:rPr>
    </w:lvl>
    <w:lvl w:ilvl="1" w:tplc="5504D9B8">
      <w:start w:val="2"/>
      <w:numFmt w:val="decimal"/>
      <w:lvlText w:val="%1.%2"/>
      <w:lvlJc w:val="left"/>
      <w:pPr>
        <w:ind w:left="1370" w:hanging="531"/>
        <w:jc w:val="left"/>
      </w:pPr>
      <w:rPr>
        <w:rFonts w:hint="default"/>
        <w:lang w:val="zh-CN" w:eastAsia="zh-CN" w:bidi="zh-CN"/>
      </w:rPr>
    </w:lvl>
    <w:lvl w:ilvl="2" w:tplc="083E7824">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92CE4FA6">
      <w:numFmt w:val="bullet"/>
      <w:lvlText w:val="•"/>
      <w:lvlJc w:val="left"/>
      <w:pPr>
        <w:ind w:left="4159" w:hanging="531"/>
      </w:pPr>
      <w:rPr>
        <w:rFonts w:hint="default"/>
        <w:lang w:val="zh-CN" w:eastAsia="zh-CN" w:bidi="zh-CN"/>
      </w:rPr>
    </w:lvl>
    <w:lvl w:ilvl="4" w:tplc="13027384">
      <w:numFmt w:val="bullet"/>
      <w:lvlText w:val="•"/>
      <w:lvlJc w:val="left"/>
      <w:pPr>
        <w:ind w:left="5086" w:hanging="531"/>
      </w:pPr>
      <w:rPr>
        <w:rFonts w:hint="default"/>
        <w:lang w:val="zh-CN" w:eastAsia="zh-CN" w:bidi="zh-CN"/>
      </w:rPr>
    </w:lvl>
    <w:lvl w:ilvl="5" w:tplc="1EA88B56">
      <w:numFmt w:val="bullet"/>
      <w:lvlText w:val="•"/>
      <w:lvlJc w:val="left"/>
      <w:pPr>
        <w:ind w:left="6013" w:hanging="531"/>
      </w:pPr>
      <w:rPr>
        <w:rFonts w:hint="default"/>
        <w:lang w:val="zh-CN" w:eastAsia="zh-CN" w:bidi="zh-CN"/>
      </w:rPr>
    </w:lvl>
    <w:lvl w:ilvl="6" w:tplc="D6588E3A">
      <w:numFmt w:val="bullet"/>
      <w:lvlText w:val="•"/>
      <w:lvlJc w:val="left"/>
      <w:pPr>
        <w:ind w:left="6939" w:hanging="531"/>
      </w:pPr>
      <w:rPr>
        <w:rFonts w:hint="default"/>
        <w:lang w:val="zh-CN" w:eastAsia="zh-CN" w:bidi="zh-CN"/>
      </w:rPr>
    </w:lvl>
    <w:lvl w:ilvl="7" w:tplc="AB460C32">
      <w:numFmt w:val="bullet"/>
      <w:lvlText w:val="•"/>
      <w:lvlJc w:val="left"/>
      <w:pPr>
        <w:ind w:left="7866" w:hanging="531"/>
      </w:pPr>
      <w:rPr>
        <w:rFonts w:hint="default"/>
        <w:lang w:val="zh-CN" w:eastAsia="zh-CN" w:bidi="zh-CN"/>
      </w:rPr>
    </w:lvl>
    <w:lvl w:ilvl="8" w:tplc="474A5F38">
      <w:numFmt w:val="bullet"/>
      <w:lvlText w:val="•"/>
      <w:lvlJc w:val="left"/>
      <w:pPr>
        <w:ind w:left="8793" w:hanging="531"/>
      </w:pPr>
      <w:rPr>
        <w:rFonts w:hint="default"/>
        <w:lang w:val="zh-CN" w:eastAsia="zh-CN" w:bidi="zh-CN"/>
      </w:rPr>
    </w:lvl>
  </w:abstractNum>
  <w:abstractNum w:abstractNumId="423" w15:restartNumberingAfterBreak="0">
    <w:nsid w:val="37D40FE0"/>
    <w:multiLevelType w:val="hybridMultilevel"/>
    <w:tmpl w:val="4EA0AEAC"/>
    <w:lvl w:ilvl="0" w:tplc="A8FC5F5E">
      <w:start w:val="3"/>
      <w:numFmt w:val="decimal"/>
      <w:lvlText w:val="%1"/>
      <w:lvlJc w:val="left"/>
      <w:pPr>
        <w:ind w:left="1423" w:hanging="584"/>
        <w:jc w:val="left"/>
      </w:pPr>
      <w:rPr>
        <w:rFonts w:hint="default"/>
        <w:lang w:val="zh-CN" w:eastAsia="zh-CN" w:bidi="zh-CN"/>
      </w:rPr>
    </w:lvl>
    <w:lvl w:ilvl="1" w:tplc="EF82EBAE">
      <w:start w:val="2"/>
      <w:numFmt w:val="decimal"/>
      <w:lvlText w:val="%1.%2"/>
      <w:lvlJc w:val="left"/>
      <w:pPr>
        <w:ind w:left="1423" w:hanging="584"/>
        <w:jc w:val="left"/>
      </w:pPr>
      <w:rPr>
        <w:rFonts w:hint="default"/>
        <w:lang w:val="zh-CN" w:eastAsia="zh-CN" w:bidi="zh-CN"/>
      </w:rPr>
    </w:lvl>
    <w:lvl w:ilvl="2" w:tplc="30BAB3E2">
      <w:start w:val="1"/>
      <w:numFmt w:val="decimal"/>
      <w:lvlText w:val="%1.%2.%3"/>
      <w:lvlJc w:val="left"/>
      <w:pPr>
        <w:ind w:left="1423" w:hanging="584"/>
        <w:jc w:val="left"/>
      </w:pPr>
      <w:rPr>
        <w:rFonts w:ascii="宋体" w:eastAsia="宋体" w:hAnsi="宋体" w:cs="宋体" w:hint="default"/>
        <w:b/>
        <w:bCs/>
        <w:w w:val="99"/>
        <w:sz w:val="21"/>
        <w:szCs w:val="21"/>
        <w:lang w:val="zh-CN" w:eastAsia="zh-CN" w:bidi="zh-CN"/>
      </w:rPr>
    </w:lvl>
    <w:lvl w:ilvl="3" w:tplc="526417FA">
      <w:numFmt w:val="bullet"/>
      <w:lvlText w:val="•"/>
      <w:lvlJc w:val="left"/>
      <w:pPr>
        <w:ind w:left="4187" w:hanging="584"/>
      </w:pPr>
      <w:rPr>
        <w:rFonts w:hint="default"/>
        <w:lang w:val="zh-CN" w:eastAsia="zh-CN" w:bidi="zh-CN"/>
      </w:rPr>
    </w:lvl>
    <w:lvl w:ilvl="4" w:tplc="29761698">
      <w:numFmt w:val="bullet"/>
      <w:lvlText w:val="•"/>
      <w:lvlJc w:val="left"/>
      <w:pPr>
        <w:ind w:left="5110" w:hanging="584"/>
      </w:pPr>
      <w:rPr>
        <w:rFonts w:hint="default"/>
        <w:lang w:val="zh-CN" w:eastAsia="zh-CN" w:bidi="zh-CN"/>
      </w:rPr>
    </w:lvl>
    <w:lvl w:ilvl="5" w:tplc="39F00060">
      <w:numFmt w:val="bullet"/>
      <w:lvlText w:val="•"/>
      <w:lvlJc w:val="left"/>
      <w:pPr>
        <w:ind w:left="6033" w:hanging="584"/>
      </w:pPr>
      <w:rPr>
        <w:rFonts w:hint="default"/>
        <w:lang w:val="zh-CN" w:eastAsia="zh-CN" w:bidi="zh-CN"/>
      </w:rPr>
    </w:lvl>
    <w:lvl w:ilvl="6" w:tplc="BC26A806">
      <w:numFmt w:val="bullet"/>
      <w:lvlText w:val="•"/>
      <w:lvlJc w:val="left"/>
      <w:pPr>
        <w:ind w:left="6955" w:hanging="584"/>
      </w:pPr>
      <w:rPr>
        <w:rFonts w:hint="default"/>
        <w:lang w:val="zh-CN" w:eastAsia="zh-CN" w:bidi="zh-CN"/>
      </w:rPr>
    </w:lvl>
    <w:lvl w:ilvl="7" w:tplc="599418E4">
      <w:numFmt w:val="bullet"/>
      <w:lvlText w:val="•"/>
      <w:lvlJc w:val="left"/>
      <w:pPr>
        <w:ind w:left="7878" w:hanging="584"/>
      </w:pPr>
      <w:rPr>
        <w:rFonts w:hint="default"/>
        <w:lang w:val="zh-CN" w:eastAsia="zh-CN" w:bidi="zh-CN"/>
      </w:rPr>
    </w:lvl>
    <w:lvl w:ilvl="8" w:tplc="46045B7C">
      <w:numFmt w:val="bullet"/>
      <w:lvlText w:val="•"/>
      <w:lvlJc w:val="left"/>
      <w:pPr>
        <w:ind w:left="8801" w:hanging="584"/>
      </w:pPr>
      <w:rPr>
        <w:rFonts w:hint="default"/>
        <w:lang w:val="zh-CN" w:eastAsia="zh-CN" w:bidi="zh-CN"/>
      </w:rPr>
    </w:lvl>
  </w:abstractNum>
  <w:abstractNum w:abstractNumId="424" w15:restartNumberingAfterBreak="0">
    <w:nsid w:val="37F866C3"/>
    <w:multiLevelType w:val="hybridMultilevel"/>
    <w:tmpl w:val="17789964"/>
    <w:lvl w:ilvl="0" w:tplc="24AC1BEE">
      <w:start w:val="2"/>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0438433E">
      <w:numFmt w:val="bullet"/>
      <w:lvlText w:val="•"/>
      <w:lvlJc w:val="left"/>
      <w:pPr>
        <w:ind w:left="2018" w:hanging="213"/>
      </w:pPr>
      <w:rPr>
        <w:rFonts w:hint="default"/>
        <w:lang w:val="zh-CN" w:eastAsia="zh-CN" w:bidi="zh-CN"/>
      </w:rPr>
    </w:lvl>
    <w:lvl w:ilvl="2" w:tplc="14381F88">
      <w:numFmt w:val="bullet"/>
      <w:lvlText w:val="•"/>
      <w:lvlJc w:val="left"/>
      <w:pPr>
        <w:ind w:left="2977" w:hanging="213"/>
      </w:pPr>
      <w:rPr>
        <w:rFonts w:hint="default"/>
        <w:lang w:val="zh-CN" w:eastAsia="zh-CN" w:bidi="zh-CN"/>
      </w:rPr>
    </w:lvl>
    <w:lvl w:ilvl="3" w:tplc="FAA2DEA6">
      <w:numFmt w:val="bullet"/>
      <w:lvlText w:val="•"/>
      <w:lvlJc w:val="left"/>
      <w:pPr>
        <w:ind w:left="3935" w:hanging="213"/>
      </w:pPr>
      <w:rPr>
        <w:rFonts w:hint="default"/>
        <w:lang w:val="zh-CN" w:eastAsia="zh-CN" w:bidi="zh-CN"/>
      </w:rPr>
    </w:lvl>
    <w:lvl w:ilvl="4" w:tplc="06403298">
      <w:numFmt w:val="bullet"/>
      <w:lvlText w:val="•"/>
      <w:lvlJc w:val="left"/>
      <w:pPr>
        <w:ind w:left="4894" w:hanging="213"/>
      </w:pPr>
      <w:rPr>
        <w:rFonts w:hint="default"/>
        <w:lang w:val="zh-CN" w:eastAsia="zh-CN" w:bidi="zh-CN"/>
      </w:rPr>
    </w:lvl>
    <w:lvl w:ilvl="5" w:tplc="61D4743E">
      <w:numFmt w:val="bullet"/>
      <w:lvlText w:val="•"/>
      <w:lvlJc w:val="left"/>
      <w:pPr>
        <w:ind w:left="5853" w:hanging="213"/>
      </w:pPr>
      <w:rPr>
        <w:rFonts w:hint="default"/>
        <w:lang w:val="zh-CN" w:eastAsia="zh-CN" w:bidi="zh-CN"/>
      </w:rPr>
    </w:lvl>
    <w:lvl w:ilvl="6" w:tplc="F10CDCD6">
      <w:numFmt w:val="bullet"/>
      <w:lvlText w:val="•"/>
      <w:lvlJc w:val="left"/>
      <w:pPr>
        <w:ind w:left="6811" w:hanging="213"/>
      </w:pPr>
      <w:rPr>
        <w:rFonts w:hint="default"/>
        <w:lang w:val="zh-CN" w:eastAsia="zh-CN" w:bidi="zh-CN"/>
      </w:rPr>
    </w:lvl>
    <w:lvl w:ilvl="7" w:tplc="B52E545A">
      <w:numFmt w:val="bullet"/>
      <w:lvlText w:val="•"/>
      <w:lvlJc w:val="left"/>
      <w:pPr>
        <w:ind w:left="7770" w:hanging="213"/>
      </w:pPr>
      <w:rPr>
        <w:rFonts w:hint="default"/>
        <w:lang w:val="zh-CN" w:eastAsia="zh-CN" w:bidi="zh-CN"/>
      </w:rPr>
    </w:lvl>
    <w:lvl w:ilvl="8" w:tplc="8746052A">
      <w:numFmt w:val="bullet"/>
      <w:lvlText w:val="•"/>
      <w:lvlJc w:val="left"/>
      <w:pPr>
        <w:ind w:left="8729" w:hanging="213"/>
      </w:pPr>
      <w:rPr>
        <w:rFonts w:hint="default"/>
        <w:lang w:val="zh-CN" w:eastAsia="zh-CN" w:bidi="zh-CN"/>
      </w:rPr>
    </w:lvl>
  </w:abstractNum>
  <w:abstractNum w:abstractNumId="425" w15:restartNumberingAfterBreak="0">
    <w:nsid w:val="380D1C1E"/>
    <w:multiLevelType w:val="hybridMultilevel"/>
    <w:tmpl w:val="AD2AA2AC"/>
    <w:lvl w:ilvl="0" w:tplc="1F50C5E0">
      <w:start w:val="4"/>
      <w:numFmt w:val="decimal"/>
      <w:lvlText w:val="%1"/>
      <w:lvlJc w:val="left"/>
      <w:pPr>
        <w:ind w:left="1369" w:hanging="529"/>
        <w:jc w:val="left"/>
      </w:pPr>
      <w:rPr>
        <w:rFonts w:hint="default"/>
        <w:lang w:val="zh-CN" w:eastAsia="zh-CN" w:bidi="zh-CN"/>
      </w:rPr>
    </w:lvl>
    <w:lvl w:ilvl="1" w:tplc="CDCA55CE">
      <w:start w:val="4"/>
      <w:numFmt w:val="decimal"/>
      <w:lvlText w:val="%1.%2"/>
      <w:lvlJc w:val="left"/>
      <w:pPr>
        <w:ind w:left="1369" w:hanging="529"/>
        <w:jc w:val="left"/>
      </w:pPr>
      <w:rPr>
        <w:rFonts w:hint="default"/>
        <w:lang w:val="zh-CN" w:eastAsia="zh-CN" w:bidi="zh-CN"/>
      </w:rPr>
    </w:lvl>
    <w:lvl w:ilvl="2" w:tplc="261C4420">
      <w:start w:val="1"/>
      <w:numFmt w:val="decimal"/>
      <w:lvlText w:val="%1.%2.%3"/>
      <w:lvlJc w:val="left"/>
      <w:pPr>
        <w:ind w:left="1369" w:hanging="529"/>
        <w:jc w:val="left"/>
      </w:pPr>
      <w:rPr>
        <w:rFonts w:ascii="宋体" w:eastAsia="宋体" w:hAnsi="宋体" w:cs="宋体" w:hint="default"/>
        <w:b/>
        <w:bCs/>
        <w:spacing w:val="-3"/>
        <w:w w:val="99"/>
        <w:sz w:val="19"/>
        <w:szCs w:val="19"/>
        <w:lang w:val="zh-CN" w:eastAsia="zh-CN" w:bidi="zh-CN"/>
      </w:rPr>
    </w:lvl>
    <w:lvl w:ilvl="3" w:tplc="CDD27492">
      <w:numFmt w:val="bullet"/>
      <w:lvlText w:val="•"/>
      <w:lvlJc w:val="left"/>
      <w:pPr>
        <w:ind w:left="4145" w:hanging="529"/>
      </w:pPr>
      <w:rPr>
        <w:rFonts w:hint="default"/>
        <w:lang w:val="zh-CN" w:eastAsia="zh-CN" w:bidi="zh-CN"/>
      </w:rPr>
    </w:lvl>
    <w:lvl w:ilvl="4" w:tplc="93E67EC8">
      <w:numFmt w:val="bullet"/>
      <w:lvlText w:val="•"/>
      <w:lvlJc w:val="left"/>
      <w:pPr>
        <w:ind w:left="5074" w:hanging="529"/>
      </w:pPr>
      <w:rPr>
        <w:rFonts w:hint="default"/>
        <w:lang w:val="zh-CN" w:eastAsia="zh-CN" w:bidi="zh-CN"/>
      </w:rPr>
    </w:lvl>
    <w:lvl w:ilvl="5" w:tplc="50403DF4">
      <w:numFmt w:val="bullet"/>
      <w:lvlText w:val="•"/>
      <w:lvlJc w:val="left"/>
      <w:pPr>
        <w:ind w:left="6003" w:hanging="529"/>
      </w:pPr>
      <w:rPr>
        <w:rFonts w:hint="default"/>
        <w:lang w:val="zh-CN" w:eastAsia="zh-CN" w:bidi="zh-CN"/>
      </w:rPr>
    </w:lvl>
    <w:lvl w:ilvl="6" w:tplc="40F2184C">
      <w:numFmt w:val="bullet"/>
      <w:lvlText w:val="•"/>
      <w:lvlJc w:val="left"/>
      <w:pPr>
        <w:ind w:left="6931" w:hanging="529"/>
      </w:pPr>
      <w:rPr>
        <w:rFonts w:hint="default"/>
        <w:lang w:val="zh-CN" w:eastAsia="zh-CN" w:bidi="zh-CN"/>
      </w:rPr>
    </w:lvl>
    <w:lvl w:ilvl="7" w:tplc="9E2A1D8E">
      <w:numFmt w:val="bullet"/>
      <w:lvlText w:val="•"/>
      <w:lvlJc w:val="left"/>
      <w:pPr>
        <w:ind w:left="7860" w:hanging="529"/>
      </w:pPr>
      <w:rPr>
        <w:rFonts w:hint="default"/>
        <w:lang w:val="zh-CN" w:eastAsia="zh-CN" w:bidi="zh-CN"/>
      </w:rPr>
    </w:lvl>
    <w:lvl w:ilvl="8" w:tplc="57826E1A">
      <w:numFmt w:val="bullet"/>
      <w:lvlText w:val="•"/>
      <w:lvlJc w:val="left"/>
      <w:pPr>
        <w:ind w:left="8789" w:hanging="529"/>
      </w:pPr>
      <w:rPr>
        <w:rFonts w:hint="default"/>
        <w:lang w:val="zh-CN" w:eastAsia="zh-CN" w:bidi="zh-CN"/>
      </w:rPr>
    </w:lvl>
  </w:abstractNum>
  <w:abstractNum w:abstractNumId="426" w15:restartNumberingAfterBreak="0">
    <w:nsid w:val="38317B08"/>
    <w:multiLevelType w:val="hybridMultilevel"/>
    <w:tmpl w:val="60C85EB8"/>
    <w:lvl w:ilvl="0" w:tplc="2932D210">
      <w:start w:val="1"/>
      <w:numFmt w:val="lowerLetter"/>
      <w:lvlText w:val="%1）"/>
      <w:lvlJc w:val="left"/>
      <w:pPr>
        <w:ind w:left="418" w:hanging="318"/>
        <w:jc w:val="left"/>
      </w:pPr>
      <w:rPr>
        <w:rFonts w:ascii="宋体" w:eastAsia="宋体" w:hAnsi="宋体" w:cs="宋体" w:hint="default"/>
        <w:spacing w:val="-53"/>
        <w:w w:val="100"/>
        <w:sz w:val="19"/>
        <w:szCs w:val="19"/>
        <w:lang w:val="zh-CN" w:eastAsia="zh-CN" w:bidi="zh-CN"/>
      </w:rPr>
    </w:lvl>
    <w:lvl w:ilvl="1" w:tplc="2DF459C2">
      <w:numFmt w:val="bullet"/>
      <w:lvlText w:val="•"/>
      <w:lvlJc w:val="left"/>
      <w:pPr>
        <w:ind w:left="1442" w:hanging="318"/>
      </w:pPr>
      <w:rPr>
        <w:rFonts w:hint="default"/>
        <w:lang w:val="zh-CN" w:eastAsia="zh-CN" w:bidi="zh-CN"/>
      </w:rPr>
    </w:lvl>
    <w:lvl w:ilvl="2" w:tplc="FFC26B26">
      <w:numFmt w:val="bullet"/>
      <w:lvlText w:val="•"/>
      <w:lvlJc w:val="left"/>
      <w:pPr>
        <w:ind w:left="2465" w:hanging="318"/>
      </w:pPr>
      <w:rPr>
        <w:rFonts w:hint="default"/>
        <w:lang w:val="zh-CN" w:eastAsia="zh-CN" w:bidi="zh-CN"/>
      </w:rPr>
    </w:lvl>
    <w:lvl w:ilvl="3" w:tplc="297AA606">
      <w:numFmt w:val="bullet"/>
      <w:lvlText w:val="•"/>
      <w:lvlJc w:val="left"/>
      <w:pPr>
        <w:ind w:left="3487" w:hanging="318"/>
      </w:pPr>
      <w:rPr>
        <w:rFonts w:hint="default"/>
        <w:lang w:val="zh-CN" w:eastAsia="zh-CN" w:bidi="zh-CN"/>
      </w:rPr>
    </w:lvl>
    <w:lvl w:ilvl="4" w:tplc="B596CC66">
      <w:numFmt w:val="bullet"/>
      <w:lvlText w:val="•"/>
      <w:lvlJc w:val="left"/>
      <w:pPr>
        <w:ind w:left="4510" w:hanging="318"/>
      </w:pPr>
      <w:rPr>
        <w:rFonts w:hint="default"/>
        <w:lang w:val="zh-CN" w:eastAsia="zh-CN" w:bidi="zh-CN"/>
      </w:rPr>
    </w:lvl>
    <w:lvl w:ilvl="5" w:tplc="F74E0E7A">
      <w:numFmt w:val="bullet"/>
      <w:lvlText w:val="•"/>
      <w:lvlJc w:val="left"/>
      <w:pPr>
        <w:ind w:left="5533" w:hanging="318"/>
      </w:pPr>
      <w:rPr>
        <w:rFonts w:hint="default"/>
        <w:lang w:val="zh-CN" w:eastAsia="zh-CN" w:bidi="zh-CN"/>
      </w:rPr>
    </w:lvl>
    <w:lvl w:ilvl="6" w:tplc="AB101BB8">
      <w:numFmt w:val="bullet"/>
      <w:lvlText w:val="•"/>
      <w:lvlJc w:val="left"/>
      <w:pPr>
        <w:ind w:left="6555" w:hanging="318"/>
      </w:pPr>
      <w:rPr>
        <w:rFonts w:hint="default"/>
        <w:lang w:val="zh-CN" w:eastAsia="zh-CN" w:bidi="zh-CN"/>
      </w:rPr>
    </w:lvl>
    <w:lvl w:ilvl="7" w:tplc="BE5A30EC">
      <w:numFmt w:val="bullet"/>
      <w:lvlText w:val="•"/>
      <w:lvlJc w:val="left"/>
      <w:pPr>
        <w:ind w:left="7578" w:hanging="318"/>
      </w:pPr>
      <w:rPr>
        <w:rFonts w:hint="default"/>
        <w:lang w:val="zh-CN" w:eastAsia="zh-CN" w:bidi="zh-CN"/>
      </w:rPr>
    </w:lvl>
    <w:lvl w:ilvl="8" w:tplc="370C44F2">
      <w:numFmt w:val="bullet"/>
      <w:lvlText w:val="•"/>
      <w:lvlJc w:val="left"/>
      <w:pPr>
        <w:ind w:left="8601" w:hanging="318"/>
      </w:pPr>
      <w:rPr>
        <w:rFonts w:hint="default"/>
        <w:lang w:val="zh-CN" w:eastAsia="zh-CN" w:bidi="zh-CN"/>
      </w:rPr>
    </w:lvl>
  </w:abstractNum>
  <w:abstractNum w:abstractNumId="427" w15:restartNumberingAfterBreak="0">
    <w:nsid w:val="387A52F7"/>
    <w:multiLevelType w:val="hybridMultilevel"/>
    <w:tmpl w:val="29B0D0DA"/>
    <w:lvl w:ilvl="0" w:tplc="EA848A66">
      <w:start w:val="3"/>
      <w:numFmt w:val="decimal"/>
      <w:lvlText w:val="%1"/>
      <w:lvlJc w:val="left"/>
      <w:pPr>
        <w:ind w:left="1212" w:hanging="372"/>
        <w:jc w:val="left"/>
      </w:pPr>
      <w:rPr>
        <w:rFonts w:hint="default"/>
        <w:lang w:val="zh-CN" w:eastAsia="zh-CN" w:bidi="zh-CN"/>
      </w:rPr>
    </w:lvl>
    <w:lvl w:ilvl="1" w:tplc="E1029FD8">
      <w:start w:val="1"/>
      <w:numFmt w:val="decimal"/>
      <w:lvlText w:val="%1.%2"/>
      <w:lvlJc w:val="left"/>
      <w:pPr>
        <w:ind w:left="1212" w:hanging="372"/>
        <w:jc w:val="left"/>
      </w:pPr>
      <w:rPr>
        <w:rFonts w:ascii="宋体" w:eastAsia="宋体" w:hAnsi="宋体" w:cs="宋体" w:hint="default"/>
        <w:b/>
        <w:bCs/>
        <w:w w:val="99"/>
        <w:sz w:val="21"/>
        <w:szCs w:val="21"/>
        <w:lang w:val="zh-CN" w:eastAsia="zh-CN" w:bidi="zh-CN"/>
      </w:rPr>
    </w:lvl>
    <w:lvl w:ilvl="2" w:tplc="C27206DC">
      <w:numFmt w:val="bullet"/>
      <w:lvlText w:val="•"/>
      <w:lvlJc w:val="left"/>
      <w:pPr>
        <w:ind w:left="3105" w:hanging="372"/>
      </w:pPr>
      <w:rPr>
        <w:rFonts w:hint="default"/>
        <w:lang w:val="zh-CN" w:eastAsia="zh-CN" w:bidi="zh-CN"/>
      </w:rPr>
    </w:lvl>
    <w:lvl w:ilvl="3" w:tplc="8472942E">
      <w:numFmt w:val="bullet"/>
      <w:lvlText w:val="•"/>
      <w:lvlJc w:val="left"/>
      <w:pPr>
        <w:ind w:left="4047" w:hanging="372"/>
      </w:pPr>
      <w:rPr>
        <w:rFonts w:hint="default"/>
        <w:lang w:val="zh-CN" w:eastAsia="zh-CN" w:bidi="zh-CN"/>
      </w:rPr>
    </w:lvl>
    <w:lvl w:ilvl="4" w:tplc="37B0ADFA">
      <w:numFmt w:val="bullet"/>
      <w:lvlText w:val="•"/>
      <w:lvlJc w:val="left"/>
      <w:pPr>
        <w:ind w:left="4990" w:hanging="372"/>
      </w:pPr>
      <w:rPr>
        <w:rFonts w:hint="default"/>
        <w:lang w:val="zh-CN" w:eastAsia="zh-CN" w:bidi="zh-CN"/>
      </w:rPr>
    </w:lvl>
    <w:lvl w:ilvl="5" w:tplc="FBFEC1B6">
      <w:numFmt w:val="bullet"/>
      <w:lvlText w:val="•"/>
      <w:lvlJc w:val="left"/>
      <w:pPr>
        <w:ind w:left="5933" w:hanging="372"/>
      </w:pPr>
      <w:rPr>
        <w:rFonts w:hint="default"/>
        <w:lang w:val="zh-CN" w:eastAsia="zh-CN" w:bidi="zh-CN"/>
      </w:rPr>
    </w:lvl>
    <w:lvl w:ilvl="6" w:tplc="F39C6458">
      <w:numFmt w:val="bullet"/>
      <w:lvlText w:val="•"/>
      <w:lvlJc w:val="left"/>
      <w:pPr>
        <w:ind w:left="6875" w:hanging="372"/>
      </w:pPr>
      <w:rPr>
        <w:rFonts w:hint="default"/>
        <w:lang w:val="zh-CN" w:eastAsia="zh-CN" w:bidi="zh-CN"/>
      </w:rPr>
    </w:lvl>
    <w:lvl w:ilvl="7" w:tplc="F8F455FE">
      <w:numFmt w:val="bullet"/>
      <w:lvlText w:val="•"/>
      <w:lvlJc w:val="left"/>
      <w:pPr>
        <w:ind w:left="7818" w:hanging="372"/>
      </w:pPr>
      <w:rPr>
        <w:rFonts w:hint="default"/>
        <w:lang w:val="zh-CN" w:eastAsia="zh-CN" w:bidi="zh-CN"/>
      </w:rPr>
    </w:lvl>
    <w:lvl w:ilvl="8" w:tplc="6BF4D402">
      <w:numFmt w:val="bullet"/>
      <w:lvlText w:val="•"/>
      <w:lvlJc w:val="left"/>
      <w:pPr>
        <w:ind w:left="8761" w:hanging="372"/>
      </w:pPr>
      <w:rPr>
        <w:rFonts w:hint="default"/>
        <w:lang w:val="zh-CN" w:eastAsia="zh-CN" w:bidi="zh-CN"/>
      </w:rPr>
    </w:lvl>
  </w:abstractNum>
  <w:abstractNum w:abstractNumId="428" w15:restartNumberingAfterBreak="0">
    <w:nsid w:val="388057FA"/>
    <w:multiLevelType w:val="hybridMultilevel"/>
    <w:tmpl w:val="A28A18F2"/>
    <w:lvl w:ilvl="0" w:tplc="74FA1034">
      <w:start w:val="5"/>
      <w:numFmt w:val="decimal"/>
      <w:lvlText w:val="%1"/>
      <w:lvlJc w:val="left"/>
      <w:pPr>
        <w:ind w:left="1787" w:hanging="950"/>
        <w:jc w:val="left"/>
      </w:pPr>
      <w:rPr>
        <w:rFonts w:hint="default"/>
        <w:lang w:val="zh-CN" w:eastAsia="zh-CN" w:bidi="zh-CN"/>
      </w:rPr>
    </w:lvl>
    <w:lvl w:ilvl="1" w:tplc="FBD47D84">
      <w:start w:val="4"/>
      <w:numFmt w:val="decimal"/>
      <w:lvlText w:val="%1.%2"/>
      <w:lvlJc w:val="left"/>
      <w:pPr>
        <w:ind w:left="1787" w:hanging="950"/>
        <w:jc w:val="left"/>
      </w:pPr>
      <w:rPr>
        <w:rFonts w:hint="default"/>
        <w:lang w:val="zh-CN" w:eastAsia="zh-CN" w:bidi="zh-CN"/>
      </w:rPr>
    </w:lvl>
    <w:lvl w:ilvl="2" w:tplc="9F029A8C">
      <w:start w:val="3"/>
      <w:numFmt w:val="decimal"/>
      <w:lvlText w:val="%1.%2.%3"/>
      <w:lvlJc w:val="left"/>
      <w:pPr>
        <w:ind w:left="1787" w:hanging="950"/>
        <w:jc w:val="left"/>
      </w:pPr>
      <w:rPr>
        <w:rFonts w:hint="default"/>
        <w:lang w:val="zh-CN" w:eastAsia="zh-CN" w:bidi="zh-CN"/>
      </w:rPr>
    </w:lvl>
    <w:lvl w:ilvl="3" w:tplc="8CB6C4D2">
      <w:start w:val="1"/>
      <w:numFmt w:val="decimal"/>
      <w:lvlText w:val="%1.%2.%3.%4"/>
      <w:lvlJc w:val="left"/>
      <w:pPr>
        <w:ind w:left="1787" w:hanging="950"/>
        <w:jc w:val="left"/>
      </w:pPr>
      <w:rPr>
        <w:rFonts w:hint="default"/>
        <w:lang w:val="zh-CN" w:eastAsia="zh-CN" w:bidi="zh-CN"/>
      </w:rPr>
    </w:lvl>
    <w:lvl w:ilvl="4" w:tplc="36907E28">
      <w:start w:val="5"/>
      <w:numFmt w:val="decimal"/>
      <w:lvlText w:val="%1.%2.%3.%4.%5"/>
      <w:lvlJc w:val="left"/>
      <w:pPr>
        <w:ind w:left="1787" w:hanging="950"/>
        <w:jc w:val="left"/>
      </w:pPr>
      <w:rPr>
        <w:rFonts w:ascii="宋体" w:eastAsia="宋体" w:hAnsi="宋体" w:cs="宋体" w:hint="default"/>
        <w:spacing w:val="-3"/>
        <w:w w:val="100"/>
        <w:sz w:val="19"/>
        <w:szCs w:val="19"/>
        <w:lang w:val="zh-CN" w:eastAsia="zh-CN" w:bidi="zh-CN"/>
      </w:rPr>
    </w:lvl>
    <w:lvl w:ilvl="5" w:tplc="475C0930">
      <w:numFmt w:val="bullet"/>
      <w:lvlText w:val="•"/>
      <w:lvlJc w:val="left"/>
      <w:pPr>
        <w:ind w:left="6213" w:hanging="950"/>
      </w:pPr>
      <w:rPr>
        <w:rFonts w:hint="default"/>
        <w:lang w:val="zh-CN" w:eastAsia="zh-CN" w:bidi="zh-CN"/>
      </w:rPr>
    </w:lvl>
    <w:lvl w:ilvl="6" w:tplc="E27AFD60">
      <w:numFmt w:val="bullet"/>
      <w:lvlText w:val="•"/>
      <w:lvlJc w:val="left"/>
      <w:pPr>
        <w:ind w:left="7099" w:hanging="950"/>
      </w:pPr>
      <w:rPr>
        <w:rFonts w:hint="default"/>
        <w:lang w:val="zh-CN" w:eastAsia="zh-CN" w:bidi="zh-CN"/>
      </w:rPr>
    </w:lvl>
    <w:lvl w:ilvl="7" w:tplc="E73EFD3E">
      <w:numFmt w:val="bullet"/>
      <w:lvlText w:val="•"/>
      <w:lvlJc w:val="left"/>
      <w:pPr>
        <w:ind w:left="7986" w:hanging="950"/>
      </w:pPr>
      <w:rPr>
        <w:rFonts w:hint="default"/>
        <w:lang w:val="zh-CN" w:eastAsia="zh-CN" w:bidi="zh-CN"/>
      </w:rPr>
    </w:lvl>
    <w:lvl w:ilvl="8" w:tplc="01FC988C">
      <w:numFmt w:val="bullet"/>
      <w:lvlText w:val="•"/>
      <w:lvlJc w:val="left"/>
      <w:pPr>
        <w:ind w:left="8873" w:hanging="950"/>
      </w:pPr>
      <w:rPr>
        <w:rFonts w:hint="default"/>
        <w:lang w:val="zh-CN" w:eastAsia="zh-CN" w:bidi="zh-CN"/>
      </w:rPr>
    </w:lvl>
  </w:abstractNum>
  <w:abstractNum w:abstractNumId="429" w15:restartNumberingAfterBreak="0">
    <w:nsid w:val="38A37EA9"/>
    <w:multiLevelType w:val="hybridMultilevel"/>
    <w:tmpl w:val="E1C60C44"/>
    <w:lvl w:ilvl="0" w:tplc="0C1E187A">
      <w:start w:val="3"/>
      <w:numFmt w:val="decimal"/>
      <w:lvlText w:val="%1"/>
      <w:lvlJc w:val="left"/>
      <w:pPr>
        <w:ind w:left="418" w:hanging="529"/>
        <w:jc w:val="left"/>
      </w:pPr>
      <w:rPr>
        <w:rFonts w:hint="default"/>
        <w:lang w:val="zh-CN" w:eastAsia="zh-CN" w:bidi="zh-CN"/>
      </w:rPr>
    </w:lvl>
    <w:lvl w:ilvl="1" w:tplc="461E5194">
      <w:start w:val="4"/>
      <w:numFmt w:val="decimal"/>
      <w:lvlText w:val="%1.%2"/>
      <w:lvlJc w:val="left"/>
      <w:pPr>
        <w:ind w:left="418" w:hanging="529"/>
        <w:jc w:val="left"/>
      </w:pPr>
      <w:rPr>
        <w:rFonts w:hint="default"/>
        <w:lang w:val="zh-CN" w:eastAsia="zh-CN" w:bidi="zh-CN"/>
      </w:rPr>
    </w:lvl>
    <w:lvl w:ilvl="2" w:tplc="33DCF84A">
      <w:start w:val="3"/>
      <w:numFmt w:val="decimal"/>
      <w:lvlText w:val="%1.%2.%3"/>
      <w:lvlJc w:val="left"/>
      <w:pPr>
        <w:ind w:left="418" w:hanging="529"/>
        <w:jc w:val="right"/>
      </w:pPr>
      <w:rPr>
        <w:rFonts w:hint="default"/>
        <w:w w:val="100"/>
        <w:lang w:val="zh-CN" w:eastAsia="zh-CN" w:bidi="zh-CN"/>
      </w:rPr>
    </w:lvl>
    <w:lvl w:ilvl="3" w:tplc="B2B0C028">
      <w:numFmt w:val="bullet"/>
      <w:lvlText w:val="•"/>
      <w:lvlJc w:val="left"/>
      <w:pPr>
        <w:ind w:left="3487" w:hanging="529"/>
      </w:pPr>
      <w:rPr>
        <w:rFonts w:hint="default"/>
        <w:lang w:val="zh-CN" w:eastAsia="zh-CN" w:bidi="zh-CN"/>
      </w:rPr>
    </w:lvl>
    <w:lvl w:ilvl="4" w:tplc="797888B0">
      <w:numFmt w:val="bullet"/>
      <w:lvlText w:val="•"/>
      <w:lvlJc w:val="left"/>
      <w:pPr>
        <w:ind w:left="4510" w:hanging="529"/>
      </w:pPr>
      <w:rPr>
        <w:rFonts w:hint="default"/>
        <w:lang w:val="zh-CN" w:eastAsia="zh-CN" w:bidi="zh-CN"/>
      </w:rPr>
    </w:lvl>
    <w:lvl w:ilvl="5" w:tplc="58F4DE12">
      <w:numFmt w:val="bullet"/>
      <w:lvlText w:val="•"/>
      <w:lvlJc w:val="left"/>
      <w:pPr>
        <w:ind w:left="5533" w:hanging="529"/>
      </w:pPr>
      <w:rPr>
        <w:rFonts w:hint="default"/>
        <w:lang w:val="zh-CN" w:eastAsia="zh-CN" w:bidi="zh-CN"/>
      </w:rPr>
    </w:lvl>
    <w:lvl w:ilvl="6" w:tplc="E4FC281E">
      <w:numFmt w:val="bullet"/>
      <w:lvlText w:val="•"/>
      <w:lvlJc w:val="left"/>
      <w:pPr>
        <w:ind w:left="6555" w:hanging="529"/>
      </w:pPr>
      <w:rPr>
        <w:rFonts w:hint="default"/>
        <w:lang w:val="zh-CN" w:eastAsia="zh-CN" w:bidi="zh-CN"/>
      </w:rPr>
    </w:lvl>
    <w:lvl w:ilvl="7" w:tplc="505E8E3E">
      <w:numFmt w:val="bullet"/>
      <w:lvlText w:val="•"/>
      <w:lvlJc w:val="left"/>
      <w:pPr>
        <w:ind w:left="7578" w:hanging="529"/>
      </w:pPr>
      <w:rPr>
        <w:rFonts w:hint="default"/>
        <w:lang w:val="zh-CN" w:eastAsia="zh-CN" w:bidi="zh-CN"/>
      </w:rPr>
    </w:lvl>
    <w:lvl w:ilvl="8" w:tplc="4FD65F18">
      <w:numFmt w:val="bullet"/>
      <w:lvlText w:val="•"/>
      <w:lvlJc w:val="left"/>
      <w:pPr>
        <w:ind w:left="8601" w:hanging="529"/>
      </w:pPr>
      <w:rPr>
        <w:rFonts w:hint="default"/>
        <w:lang w:val="zh-CN" w:eastAsia="zh-CN" w:bidi="zh-CN"/>
      </w:rPr>
    </w:lvl>
  </w:abstractNum>
  <w:abstractNum w:abstractNumId="430" w15:restartNumberingAfterBreak="0">
    <w:nsid w:val="38CB784E"/>
    <w:multiLevelType w:val="hybridMultilevel"/>
    <w:tmpl w:val="2A14CE02"/>
    <w:lvl w:ilvl="0" w:tplc="D8641A10">
      <w:start w:val="4"/>
      <w:numFmt w:val="decimal"/>
      <w:lvlText w:val="%1"/>
      <w:lvlJc w:val="left"/>
      <w:pPr>
        <w:ind w:left="1575" w:hanging="738"/>
        <w:jc w:val="left"/>
      </w:pPr>
      <w:rPr>
        <w:rFonts w:hint="default"/>
        <w:lang w:val="zh-CN" w:eastAsia="zh-CN" w:bidi="zh-CN"/>
      </w:rPr>
    </w:lvl>
    <w:lvl w:ilvl="1" w:tplc="41B4EF16">
      <w:start w:val="4"/>
      <w:numFmt w:val="decimal"/>
      <w:lvlText w:val="%1.%2"/>
      <w:lvlJc w:val="left"/>
      <w:pPr>
        <w:ind w:left="1575" w:hanging="738"/>
        <w:jc w:val="left"/>
      </w:pPr>
      <w:rPr>
        <w:rFonts w:hint="default"/>
        <w:lang w:val="zh-CN" w:eastAsia="zh-CN" w:bidi="zh-CN"/>
      </w:rPr>
    </w:lvl>
    <w:lvl w:ilvl="2" w:tplc="C5388BF8">
      <w:start w:val="2"/>
      <w:numFmt w:val="decimal"/>
      <w:lvlText w:val="%1.%2.%3"/>
      <w:lvlJc w:val="left"/>
      <w:pPr>
        <w:ind w:left="1575" w:hanging="738"/>
        <w:jc w:val="left"/>
      </w:pPr>
      <w:rPr>
        <w:rFonts w:hint="default"/>
        <w:lang w:val="zh-CN" w:eastAsia="zh-CN" w:bidi="zh-CN"/>
      </w:rPr>
    </w:lvl>
    <w:lvl w:ilvl="3" w:tplc="289C5B50">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9E105310">
      <w:start w:val="1"/>
      <w:numFmt w:val="decimal"/>
      <w:lvlText w:val="%1.%2.%3.%4.%5"/>
      <w:lvlJc w:val="left"/>
      <w:pPr>
        <w:ind w:left="1787" w:hanging="950"/>
        <w:jc w:val="left"/>
      </w:pPr>
      <w:rPr>
        <w:rFonts w:ascii="宋体" w:eastAsia="宋体" w:hAnsi="宋体" w:cs="宋体" w:hint="default"/>
        <w:spacing w:val="-3"/>
        <w:w w:val="100"/>
        <w:sz w:val="19"/>
        <w:szCs w:val="19"/>
        <w:lang w:val="zh-CN" w:eastAsia="zh-CN" w:bidi="zh-CN"/>
      </w:rPr>
    </w:lvl>
    <w:lvl w:ilvl="5" w:tplc="FEB4DD64">
      <w:numFmt w:val="bullet"/>
      <w:lvlText w:val="•"/>
      <w:lvlJc w:val="left"/>
      <w:pPr>
        <w:ind w:left="5104" w:hanging="950"/>
      </w:pPr>
      <w:rPr>
        <w:rFonts w:hint="default"/>
        <w:lang w:val="zh-CN" w:eastAsia="zh-CN" w:bidi="zh-CN"/>
      </w:rPr>
    </w:lvl>
    <w:lvl w:ilvl="6" w:tplc="0A00E32A">
      <w:numFmt w:val="bullet"/>
      <w:lvlText w:val="•"/>
      <w:lvlJc w:val="left"/>
      <w:pPr>
        <w:ind w:left="6213" w:hanging="950"/>
      </w:pPr>
      <w:rPr>
        <w:rFonts w:hint="default"/>
        <w:lang w:val="zh-CN" w:eastAsia="zh-CN" w:bidi="zh-CN"/>
      </w:rPr>
    </w:lvl>
    <w:lvl w:ilvl="7" w:tplc="3F60B5F6">
      <w:numFmt w:val="bullet"/>
      <w:lvlText w:val="•"/>
      <w:lvlJc w:val="left"/>
      <w:pPr>
        <w:ind w:left="7321" w:hanging="950"/>
      </w:pPr>
      <w:rPr>
        <w:rFonts w:hint="default"/>
        <w:lang w:val="zh-CN" w:eastAsia="zh-CN" w:bidi="zh-CN"/>
      </w:rPr>
    </w:lvl>
    <w:lvl w:ilvl="8" w:tplc="3ECC6BA4">
      <w:numFmt w:val="bullet"/>
      <w:lvlText w:val="•"/>
      <w:lvlJc w:val="left"/>
      <w:pPr>
        <w:ind w:left="8429" w:hanging="950"/>
      </w:pPr>
      <w:rPr>
        <w:rFonts w:hint="default"/>
        <w:lang w:val="zh-CN" w:eastAsia="zh-CN" w:bidi="zh-CN"/>
      </w:rPr>
    </w:lvl>
  </w:abstractNum>
  <w:abstractNum w:abstractNumId="431" w15:restartNumberingAfterBreak="0">
    <w:nsid w:val="393F6BA9"/>
    <w:multiLevelType w:val="hybridMultilevel"/>
    <w:tmpl w:val="0212BC06"/>
    <w:lvl w:ilvl="0" w:tplc="EA7047D6">
      <w:start w:val="6"/>
      <w:numFmt w:val="decimal"/>
      <w:lvlText w:val="%1"/>
      <w:lvlJc w:val="left"/>
      <w:pPr>
        <w:ind w:left="418" w:hanging="637"/>
        <w:jc w:val="left"/>
      </w:pPr>
      <w:rPr>
        <w:rFonts w:hint="default"/>
        <w:lang w:val="zh-CN" w:eastAsia="zh-CN" w:bidi="zh-CN"/>
      </w:rPr>
    </w:lvl>
    <w:lvl w:ilvl="1" w:tplc="410E38B4">
      <w:start w:val="7"/>
      <w:numFmt w:val="decimal"/>
      <w:lvlText w:val="%1.%2"/>
      <w:lvlJc w:val="left"/>
      <w:pPr>
        <w:ind w:left="418" w:hanging="637"/>
        <w:jc w:val="left"/>
      </w:pPr>
      <w:rPr>
        <w:rFonts w:hint="default"/>
        <w:lang w:val="zh-CN" w:eastAsia="zh-CN" w:bidi="zh-CN"/>
      </w:rPr>
    </w:lvl>
    <w:lvl w:ilvl="2" w:tplc="DE1EC5B4">
      <w:start w:val="30"/>
      <w:numFmt w:val="decimal"/>
      <w:lvlText w:val="%1.%2.%3"/>
      <w:lvlJc w:val="left"/>
      <w:pPr>
        <w:ind w:left="418" w:hanging="637"/>
        <w:jc w:val="left"/>
      </w:pPr>
      <w:rPr>
        <w:rFonts w:ascii="宋体" w:eastAsia="宋体" w:hAnsi="宋体" w:cs="宋体" w:hint="default"/>
        <w:b/>
        <w:bCs/>
        <w:spacing w:val="-55"/>
        <w:w w:val="99"/>
        <w:sz w:val="19"/>
        <w:szCs w:val="19"/>
        <w:lang w:val="zh-CN" w:eastAsia="zh-CN" w:bidi="zh-CN"/>
      </w:rPr>
    </w:lvl>
    <w:lvl w:ilvl="3" w:tplc="3D4292A4">
      <w:numFmt w:val="bullet"/>
      <w:lvlText w:val="•"/>
      <w:lvlJc w:val="left"/>
      <w:pPr>
        <w:ind w:left="3487" w:hanging="637"/>
      </w:pPr>
      <w:rPr>
        <w:rFonts w:hint="default"/>
        <w:lang w:val="zh-CN" w:eastAsia="zh-CN" w:bidi="zh-CN"/>
      </w:rPr>
    </w:lvl>
    <w:lvl w:ilvl="4" w:tplc="07AEFD1A">
      <w:numFmt w:val="bullet"/>
      <w:lvlText w:val="•"/>
      <w:lvlJc w:val="left"/>
      <w:pPr>
        <w:ind w:left="4510" w:hanging="637"/>
      </w:pPr>
      <w:rPr>
        <w:rFonts w:hint="default"/>
        <w:lang w:val="zh-CN" w:eastAsia="zh-CN" w:bidi="zh-CN"/>
      </w:rPr>
    </w:lvl>
    <w:lvl w:ilvl="5" w:tplc="622C8B62">
      <w:numFmt w:val="bullet"/>
      <w:lvlText w:val="•"/>
      <w:lvlJc w:val="left"/>
      <w:pPr>
        <w:ind w:left="5533" w:hanging="637"/>
      </w:pPr>
      <w:rPr>
        <w:rFonts w:hint="default"/>
        <w:lang w:val="zh-CN" w:eastAsia="zh-CN" w:bidi="zh-CN"/>
      </w:rPr>
    </w:lvl>
    <w:lvl w:ilvl="6" w:tplc="B0BEE0BE">
      <w:numFmt w:val="bullet"/>
      <w:lvlText w:val="•"/>
      <w:lvlJc w:val="left"/>
      <w:pPr>
        <w:ind w:left="6555" w:hanging="637"/>
      </w:pPr>
      <w:rPr>
        <w:rFonts w:hint="default"/>
        <w:lang w:val="zh-CN" w:eastAsia="zh-CN" w:bidi="zh-CN"/>
      </w:rPr>
    </w:lvl>
    <w:lvl w:ilvl="7" w:tplc="8DA69310">
      <w:numFmt w:val="bullet"/>
      <w:lvlText w:val="•"/>
      <w:lvlJc w:val="left"/>
      <w:pPr>
        <w:ind w:left="7578" w:hanging="637"/>
      </w:pPr>
      <w:rPr>
        <w:rFonts w:hint="default"/>
        <w:lang w:val="zh-CN" w:eastAsia="zh-CN" w:bidi="zh-CN"/>
      </w:rPr>
    </w:lvl>
    <w:lvl w:ilvl="8" w:tplc="4D76F63C">
      <w:numFmt w:val="bullet"/>
      <w:lvlText w:val="•"/>
      <w:lvlJc w:val="left"/>
      <w:pPr>
        <w:ind w:left="8601" w:hanging="637"/>
      </w:pPr>
      <w:rPr>
        <w:rFonts w:hint="default"/>
        <w:lang w:val="zh-CN" w:eastAsia="zh-CN" w:bidi="zh-CN"/>
      </w:rPr>
    </w:lvl>
  </w:abstractNum>
  <w:abstractNum w:abstractNumId="432" w15:restartNumberingAfterBreak="0">
    <w:nsid w:val="399375C8"/>
    <w:multiLevelType w:val="hybridMultilevel"/>
    <w:tmpl w:val="800A5EE4"/>
    <w:lvl w:ilvl="0" w:tplc="D1D69F0C">
      <w:start w:val="5"/>
      <w:numFmt w:val="decimal"/>
      <w:lvlText w:val="%1"/>
      <w:lvlJc w:val="left"/>
      <w:pPr>
        <w:ind w:left="418" w:hanging="531"/>
        <w:jc w:val="left"/>
      </w:pPr>
      <w:rPr>
        <w:rFonts w:hint="default"/>
        <w:lang w:val="zh-CN" w:eastAsia="zh-CN" w:bidi="zh-CN"/>
      </w:rPr>
    </w:lvl>
    <w:lvl w:ilvl="1" w:tplc="129C4310">
      <w:start w:val="2"/>
      <w:numFmt w:val="decimal"/>
      <w:lvlText w:val="%1.%2"/>
      <w:lvlJc w:val="left"/>
      <w:pPr>
        <w:ind w:left="418" w:hanging="531"/>
        <w:jc w:val="left"/>
      </w:pPr>
      <w:rPr>
        <w:rFonts w:hint="default"/>
        <w:lang w:val="zh-CN" w:eastAsia="zh-CN" w:bidi="zh-CN"/>
      </w:rPr>
    </w:lvl>
    <w:lvl w:ilvl="2" w:tplc="409AD496">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3BE2D770">
      <w:numFmt w:val="bullet"/>
      <w:lvlText w:val="•"/>
      <w:lvlJc w:val="left"/>
      <w:pPr>
        <w:ind w:left="3487" w:hanging="531"/>
      </w:pPr>
      <w:rPr>
        <w:rFonts w:hint="default"/>
        <w:lang w:val="zh-CN" w:eastAsia="zh-CN" w:bidi="zh-CN"/>
      </w:rPr>
    </w:lvl>
    <w:lvl w:ilvl="4" w:tplc="8F5088F0">
      <w:numFmt w:val="bullet"/>
      <w:lvlText w:val="•"/>
      <w:lvlJc w:val="left"/>
      <w:pPr>
        <w:ind w:left="4510" w:hanging="531"/>
      </w:pPr>
      <w:rPr>
        <w:rFonts w:hint="default"/>
        <w:lang w:val="zh-CN" w:eastAsia="zh-CN" w:bidi="zh-CN"/>
      </w:rPr>
    </w:lvl>
    <w:lvl w:ilvl="5" w:tplc="D7F2D692">
      <w:numFmt w:val="bullet"/>
      <w:lvlText w:val="•"/>
      <w:lvlJc w:val="left"/>
      <w:pPr>
        <w:ind w:left="5533" w:hanging="531"/>
      </w:pPr>
      <w:rPr>
        <w:rFonts w:hint="default"/>
        <w:lang w:val="zh-CN" w:eastAsia="zh-CN" w:bidi="zh-CN"/>
      </w:rPr>
    </w:lvl>
    <w:lvl w:ilvl="6" w:tplc="27506C94">
      <w:numFmt w:val="bullet"/>
      <w:lvlText w:val="•"/>
      <w:lvlJc w:val="left"/>
      <w:pPr>
        <w:ind w:left="6555" w:hanging="531"/>
      </w:pPr>
      <w:rPr>
        <w:rFonts w:hint="default"/>
        <w:lang w:val="zh-CN" w:eastAsia="zh-CN" w:bidi="zh-CN"/>
      </w:rPr>
    </w:lvl>
    <w:lvl w:ilvl="7" w:tplc="EE1EA8E6">
      <w:numFmt w:val="bullet"/>
      <w:lvlText w:val="•"/>
      <w:lvlJc w:val="left"/>
      <w:pPr>
        <w:ind w:left="7578" w:hanging="531"/>
      </w:pPr>
      <w:rPr>
        <w:rFonts w:hint="default"/>
        <w:lang w:val="zh-CN" w:eastAsia="zh-CN" w:bidi="zh-CN"/>
      </w:rPr>
    </w:lvl>
    <w:lvl w:ilvl="8" w:tplc="09042D5E">
      <w:numFmt w:val="bullet"/>
      <w:lvlText w:val="•"/>
      <w:lvlJc w:val="left"/>
      <w:pPr>
        <w:ind w:left="8601" w:hanging="531"/>
      </w:pPr>
      <w:rPr>
        <w:rFonts w:hint="default"/>
        <w:lang w:val="zh-CN" w:eastAsia="zh-CN" w:bidi="zh-CN"/>
      </w:rPr>
    </w:lvl>
  </w:abstractNum>
  <w:abstractNum w:abstractNumId="433" w15:restartNumberingAfterBreak="0">
    <w:nsid w:val="399B3D70"/>
    <w:multiLevelType w:val="hybridMultilevel"/>
    <w:tmpl w:val="44443A4C"/>
    <w:lvl w:ilvl="0" w:tplc="DBE22316">
      <w:start w:val="10"/>
      <w:numFmt w:val="decimal"/>
      <w:lvlText w:val="%1"/>
      <w:lvlJc w:val="left"/>
      <w:pPr>
        <w:ind w:left="1263" w:hanging="424"/>
        <w:jc w:val="left"/>
      </w:pPr>
      <w:rPr>
        <w:rFonts w:hint="default"/>
        <w:lang w:val="zh-CN" w:eastAsia="zh-CN" w:bidi="zh-CN"/>
      </w:rPr>
    </w:lvl>
    <w:lvl w:ilvl="1" w:tplc="85B888EE">
      <w:start w:val="1"/>
      <w:numFmt w:val="decimal"/>
      <w:lvlText w:val="%1.%2"/>
      <w:lvlJc w:val="left"/>
      <w:pPr>
        <w:ind w:left="1263" w:hanging="424"/>
        <w:jc w:val="left"/>
      </w:pPr>
      <w:rPr>
        <w:rFonts w:ascii="宋体" w:eastAsia="宋体" w:hAnsi="宋体" w:cs="宋体" w:hint="default"/>
        <w:b/>
        <w:bCs/>
        <w:w w:val="99"/>
        <w:sz w:val="19"/>
        <w:szCs w:val="19"/>
        <w:lang w:val="zh-CN" w:eastAsia="zh-CN" w:bidi="zh-CN"/>
      </w:rPr>
    </w:lvl>
    <w:lvl w:ilvl="2" w:tplc="996C67FC">
      <w:start w:val="1"/>
      <w:numFmt w:val="decimal"/>
      <w:lvlText w:val="%1.%2.%3"/>
      <w:lvlJc w:val="left"/>
      <w:pPr>
        <w:ind w:left="418" w:hanging="637"/>
        <w:jc w:val="left"/>
      </w:pPr>
      <w:rPr>
        <w:rFonts w:hint="default"/>
        <w:b/>
        <w:bCs/>
        <w:spacing w:val="-52"/>
        <w:w w:val="99"/>
        <w:lang w:val="zh-CN" w:eastAsia="zh-CN" w:bidi="zh-CN"/>
      </w:rPr>
    </w:lvl>
    <w:lvl w:ilvl="3" w:tplc="CBCE1314">
      <w:numFmt w:val="bullet"/>
      <w:lvlText w:val="•"/>
      <w:lvlJc w:val="left"/>
      <w:pPr>
        <w:ind w:left="2625" w:hanging="637"/>
      </w:pPr>
      <w:rPr>
        <w:rFonts w:hint="default"/>
        <w:lang w:val="zh-CN" w:eastAsia="zh-CN" w:bidi="zh-CN"/>
      </w:rPr>
    </w:lvl>
    <w:lvl w:ilvl="4" w:tplc="27E6FDCC">
      <w:numFmt w:val="bullet"/>
      <w:lvlText w:val="•"/>
      <w:lvlJc w:val="left"/>
      <w:pPr>
        <w:ind w:left="3771" w:hanging="637"/>
      </w:pPr>
      <w:rPr>
        <w:rFonts w:hint="default"/>
        <w:lang w:val="zh-CN" w:eastAsia="zh-CN" w:bidi="zh-CN"/>
      </w:rPr>
    </w:lvl>
    <w:lvl w:ilvl="5" w:tplc="476EDB2C">
      <w:numFmt w:val="bullet"/>
      <w:lvlText w:val="•"/>
      <w:lvlJc w:val="left"/>
      <w:pPr>
        <w:ind w:left="4917" w:hanging="637"/>
      </w:pPr>
      <w:rPr>
        <w:rFonts w:hint="default"/>
        <w:lang w:val="zh-CN" w:eastAsia="zh-CN" w:bidi="zh-CN"/>
      </w:rPr>
    </w:lvl>
    <w:lvl w:ilvl="6" w:tplc="D49C1454">
      <w:numFmt w:val="bullet"/>
      <w:lvlText w:val="•"/>
      <w:lvlJc w:val="left"/>
      <w:pPr>
        <w:ind w:left="6063" w:hanging="637"/>
      </w:pPr>
      <w:rPr>
        <w:rFonts w:hint="default"/>
        <w:lang w:val="zh-CN" w:eastAsia="zh-CN" w:bidi="zh-CN"/>
      </w:rPr>
    </w:lvl>
    <w:lvl w:ilvl="7" w:tplc="371A3BD4">
      <w:numFmt w:val="bullet"/>
      <w:lvlText w:val="•"/>
      <w:lvlJc w:val="left"/>
      <w:pPr>
        <w:ind w:left="7209" w:hanging="637"/>
      </w:pPr>
      <w:rPr>
        <w:rFonts w:hint="default"/>
        <w:lang w:val="zh-CN" w:eastAsia="zh-CN" w:bidi="zh-CN"/>
      </w:rPr>
    </w:lvl>
    <w:lvl w:ilvl="8" w:tplc="9BB0489E">
      <w:numFmt w:val="bullet"/>
      <w:lvlText w:val="•"/>
      <w:lvlJc w:val="left"/>
      <w:pPr>
        <w:ind w:left="8354" w:hanging="637"/>
      </w:pPr>
      <w:rPr>
        <w:rFonts w:hint="default"/>
        <w:lang w:val="zh-CN" w:eastAsia="zh-CN" w:bidi="zh-CN"/>
      </w:rPr>
    </w:lvl>
  </w:abstractNum>
  <w:abstractNum w:abstractNumId="434" w15:restartNumberingAfterBreak="0">
    <w:nsid w:val="39BC153F"/>
    <w:multiLevelType w:val="hybridMultilevel"/>
    <w:tmpl w:val="79D41862"/>
    <w:lvl w:ilvl="0" w:tplc="CE80B620">
      <w:start w:val="5"/>
      <w:numFmt w:val="decimal"/>
      <w:lvlText w:val="%1"/>
      <w:lvlJc w:val="left"/>
      <w:pPr>
        <w:ind w:left="1159" w:hanging="320"/>
        <w:jc w:val="left"/>
      </w:pPr>
      <w:rPr>
        <w:rFonts w:hint="default"/>
        <w:lang w:val="zh-CN" w:eastAsia="zh-CN" w:bidi="zh-CN"/>
      </w:rPr>
    </w:lvl>
    <w:lvl w:ilvl="1" w:tplc="80F260BA">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307A3B7C">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787A6C2E">
      <w:numFmt w:val="bullet"/>
      <w:lvlText w:val="•"/>
      <w:lvlJc w:val="left"/>
      <w:pPr>
        <w:ind w:left="3439" w:hanging="531"/>
      </w:pPr>
      <w:rPr>
        <w:rFonts w:hint="default"/>
        <w:lang w:val="zh-CN" w:eastAsia="zh-CN" w:bidi="zh-CN"/>
      </w:rPr>
    </w:lvl>
    <w:lvl w:ilvl="4" w:tplc="9F26266A">
      <w:numFmt w:val="bullet"/>
      <w:lvlText w:val="•"/>
      <w:lvlJc w:val="left"/>
      <w:pPr>
        <w:ind w:left="4468" w:hanging="531"/>
      </w:pPr>
      <w:rPr>
        <w:rFonts w:hint="default"/>
        <w:lang w:val="zh-CN" w:eastAsia="zh-CN" w:bidi="zh-CN"/>
      </w:rPr>
    </w:lvl>
    <w:lvl w:ilvl="5" w:tplc="2758B916">
      <w:numFmt w:val="bullet"/>
      <w:lvlText w:val="•"/>
      <w:lvlJc w:val="left"/>
      <w:pPr>
        <w:ind w:left="5498" w:hanging="531"/>
      </w:pPr>
      <w:rPr>
        <w:rFonts w:hint="default"/>
        <w:lang w:val="zh-CN" w:eastAsia="zh-CN" w:bidi="zh-CN"/>
      </w:rPr>
    </w:lvl>
    <w:lvl w:ilvl="6" w:tplc="F97A88BE">
      <w:numFmt w:val="bullet"/>
      <w:lvlText w:val="•"/>
      <w:lvlJc w:val="left"/>
      <w:pPr>
        <w:ind w:left="6528" w:hanging="531"/>
      </w:pPr>
      <w:rPr>
        <w:rFonts w:hint="default"/>
        <w:lang w:val="zh-CN" w:eastAsia="zh-CN" w:bidi="zh-CN"/>
      </w:rPr>
    </w:lvl>
    <w:lvl w:ilvl="7" w:tplc="61A8F588">
      <w:numFmt w:val="bullet"/>
      <w:lvlText w:val="•"/>
      <w:lvlJc w:val="left"/>
      <w:pPr>
        <w:ind w:left="7557" w:hanging="531"/>
      </w:pPr>
      <w:rPr>
        <w:rFonts w:hint="default"/>
        <w:lang w:val="zh-CN" w:eastAsia="zh-CN" w:bidi="zh-CN"/>
      </w:rPr>
    </w:lvl>
    <w:lvl w:ilvl="8" w:tplc="1AA6AB58">
      <w:numFmt w:val="bullet"/>
      <w:lvlText w:val="•"/>
      <w:lvlJc w:val="left"/>
      <w:pPr>
        <w:ind w:left="8587" w:hanging="531"/>
      </w:pPr>
      <w:rPr>
        <w:rFonts w:hint="default"/>
        <w:lang w:val="zh-CN" w:eastAsia="zh-CN" w:bidi="zh-CN"/>
      </w:rPr>
    </w:lvl>
  </w:abstractNum>
  <w:abstractNum w:abstractNumId="435" w15:restartNumberingAfterBreak="0">
    <w:nsid w:val="3A2E4511"/>
    <w:multiLevelType w:val="hybridMultilevel"/>
    <w:tmpl w:val="C6CE7200"/>
    <w:lvl w:ilvl="0" w:tplc="04D82334">
      <w:start w:val="5"/>
      <w:numFmt w:val="decimal"/>
      <w:lvlText w:val="%1"/>
      <w:lvlJc w:val="left"/>
      <w:pPr>
        <w:ind w:left="1370" w:hanging="531"/>
        <w:jc w:val="left"/>
      </w:pPr>
      <w:rPr>
        <w:rFonts w:hint="default"/>
        <w:lang w:val="zh-CN" w:eastAsia="zh-CN" w:bidi="zh-CN"/>
      </w:rPr>
    </w:lvl>
    <w:lvl w:ilvl="1" w:tplc="EC168C90">
      <w:start w:val="2"/>
      <w:numFmt w:val="decimal"/>
      <w:lvlText w:val="%1.%2"/>
      <w:lvlJc w:val="left"/>
      <w:pPr>
        <w:ind w:left="1370" w:hanging="531"/>
        <w:jc w:val="left"/>
      </w:pPr>
      <w:rPr>
        <w:rFonts w:hint="default"/>
        <w:lang w:val="zh-CN" w:eastAsia="zh-CN" w:bidi="zh-CN"/>
      </w:rPr>
    </w:lvl>
    <w:lvl w:ilvl="2" w:tplc="FCC49FC0">
      <w:start w:val="9"/>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25D00774">
      <w:numFmt w:val="bullet"/>
      <w:lvlText w:val="•"/>
      <w:lvlJc w:val="left"/>
      <w:pPr>
        <w:ind w:left="4159" w:hanging="531"/>
      </w:pPr>
      <w:rPr>
        <w:rFonts w:hint="default"/>
        <w:lang w:val="zh-CN" w:eastAsia="zh-CN" w:bidi="zh-CN"/>
      </w:rPr>
    </w:lvl>
    <w:lvl w:ilvl="4" w:tplc="25C6A9C2">
      <w:numFmt w:val="bullet"/>
      <w:lvlText w:val="•"/>
      <w:lvlJc w:val="left"/>
      <w:pPr>
        <w:ind w:left="5086" w:hanging="531"/>
      </w:pPr>
      <w:rPr>
        <w:rFonts w:hint="default"/>
        <w:lang w:val="zh-CN" w:eastAsia="zh-CN" w:bidi="zh-CN"/>
      </w:rPr>
    </w:lvl>
    <w:lvl w:ilvl="5" w:tplc="E2764D8A">
      <w:numFmt w:val="bullet"/>
      <w:lvlText w:val="•"/>
      <w:lvlJc w:val="left"/>
      <w:pPr>
        <w:ind w:left="6013" w:hanging="531"/>
      </w:pPr>
      <w:rPr>
        <w:rFonts w:hint="default"/>
        <w:lang w:val="zh-CN" w:eastAsia="zh-CN" w:bidi="zh-CN"/>
      </w:rPr>
    </w:lvl>
    <w:lvl w:ilvl="6" w:tplc="09F69D4E">
      <w:numFmt w:val="bullet"/>
      <w:lvlText w:val="•"/>
      <w:lvlJc w:val="left"/>
      <w:pPr>
        <w:ind w:left="6939" w:hanging="531"/>
      </w:pPr>
      <w:rPr>
        <w:rFonts w:hint="default"/>
        <w:lang w:val="zh-CN" w:eastAsia="zh-CN" w:bidi="zh-CN"/>
      </w:rPr>
    </w:lvl>
    <w:lvl w:ilvl="7" w:tplc="4EA6ADB6">
      <w:numFmt w:val="bullet"/>
      <w:lvlText w:val="•"/>
      <w:lvlJc w:val="left"/>
      <w:pPr>
        <w:ind w:left="7866" w:hanging="531"/>
      </w:pPr>
      <w:rPr>
        <w:rFonts w:hint="default"/>
        <w:lang w:val="zh-CN" w:eastAsia="zh-CN" w:bidi="zh-CN"/>
      </w:rPr>
    </w:lvl>
    <w:lvl w:ilvl="8" w:tplc="8A10F3EE">
      <w:numFmt w:val="bullet"/>
      <w:lvlText w:val="•"/>
      <w:lvlJc w:val="left"/>
      <w:pPr>
        <w:ind w:left="8793" w:hanging="531"/>
      </w:pPr>
      <w:rPr>
        <w:rFonts w:hint="default"/>
        <w:lang w:val="zh-CN" w:eastAsia="zh-CN" w:bidi="zh-CN"/>
      </w:rPr>
    </w:lvl>
  </w:abstractNum>
  <w:abstractNum w:abstractNumId="436" w15:restartNumberingAfterBreak="0">
    <w:nsid w:val="3A645825"/>
    <w:multiLevelType w:val="hybridMultilevel"/>
    <w:tmpl w:val="77F4651C"/>
    <w:lvl w:ilvl="0" w:tplc="7E249D58">
      <w:start w:val="2"/>
      <w:numFmt w:val="lowerLetter"/>
      <w:lvlText w:val="%1)"/>
      <w:lvlJc w:val="left"/>
      <w:pPr>
        <w:ind w:left="840" w:hanging="213"/>
        <w:jc w:val="left"/>
      </w:pPr>
      <w:rPr>
        <w:rFonts w:ascii="宋体" w:eastAsia="宋体" w:hAnsi="宋体" w:cs="宋体" w:hint="default"/>
        <w:spacing w:val="-3"/>
        <w:w w:val="99"/>
        <w:sz w:val="19"/>
        <w:szCs w:val="19"/>
        <w:lang w:val="zh-CN" w:eastAsia="zh-CN" w:bidi="zh-CN"/>
      </w:rPr>
    </w:lvl>
    <w:lvl w:ilvl="1" w:tplc="DD104E48">
      <w:numFmt w:val="bullet"/>
      <w:lvlText w:val="•"/>
      <w:lvlJc w:val="left"/>
      <w:pPr>
        <w:ind w:left="1820" w:hanging="213"/>
      </w:pPr>
      <w:rPr>
        <w:rFonts w:hint="default"/>
        <w:lang w:val="zh-CN" w:eastAsia="zh-CN" w:bidi="zh-CN"/>
      </w:rPr>
    </w:lvl>
    <w:lvl w:ilvl="2" w:tplc="B2A852FA">
      <w:numFmt w:val="bullet"/>
      <w:lvlText w:val="•"/>
      <w:lvlJc w:val="left"/>
      <w:pPr>
        <w:ind w:left="2801" w:hanging="213"/>
      </w:pPr>
      <w:rPr>
        <w:rFonts w:hint="default"/>
        <w:lang w:val="zh-CN" w:eastAsia="zh-CN" w:bidi="zh-CN"/>
      </w:rPr>
    </w:lvl>
    <w:lvl w:ilvl="3" w:tplc="AC3C2DBE">
      <w:numFmt w:val="bullet"/>
      <w:lvlText w:val="•"/>
      <w:lvlJc w:val="left"/>
      <w:pPr>
        <w:ind w:left="3781" w:hanging="213"/>
      </w:pPr>
      <w:rPr>
        <w:rFonts w:hint="default"/>
        <w:lang w:val="zh-CN" w:eastAsia="zh-CN" w:bidi="zh-CN"/>
      </w:rPr>
    </w:lvl>
    <w:lvl w:ilvl="4" w:tplc="22326042">
      <w:numFmt w:val="bullet"/>
      <w:lvlText w:val="•"/>
      <w:lvlJc w:val="left"/>
      <w:pPr>
        <w:ind w:left="4762" w:hanging="213"/>
      </w:pPr>
      <w:rPr>
        <w:rFonts w:hint="default"/>
        <w:lang w:val="zh-CN" w:eastAsia="zh-CN" w:bidi="zh-CN"/>
      </w:rPr>
    </w:lvl>
    <w:lvl w:ilvl="5" w:tplc="29CCC790">
      <w:numFmt w:val="bullet"/>
      <w:lvlText w:val="•"/>
      <w:lvlJc w:val="left"/>
      <w:pPr>
        <w:ind w:left="5743" w:hanging="213"/>
      </w:pPr>
      <w:rPr>
        <w:rFonts w:hint="default"/>
        <w:lang w:val="zh-CN" w:eastAsia="zh-CN" w:bidi="zh-CN"/>
      </w:rPr>
    </w:lvl>
    <w:lvl w:ilvl="6" w:tplc="59BC110E">
      <w:numFmt w:val="bullet"/>
      <w:lvlText w:val="•"/>
      <w:lvlJc w:val="left"/>
      <w:pPr>
        <w:ind w:left="6723" w:hanging="213"/>
      </w:pPr>
      <w:rPr>
        <w:rFonts w:hint="default"/>
        <w:lang w:val="zh-CN" w:eastAsia="zh-CN" w:bidi="zh-CN"/>
      </w:rPr>
    </w:lvl>
    <w:lvl w:ilvl="7" w:tplc="B704B55A">
      <w:numFmt w:val="bullet"/>
      <w:lvlText w:val="•"/>
      <w:lvlJc w:val="left"/>
      <w:pPr>
        <w:ind w:left="7704" w:hanging="213"/>
      </w:pPr>
      <w:rPr>
        <w:rFonts w:hint="default"/>
        <w:lang w:val="zh-CN" w:eastAsia="zh-CN" w:bidi="zh-CN"/>
      </w:rPr>
    </w:lvl>
    <w:lvl w:ilvl="8" w:tplc="D10C6526">
      <w:numFmt w:val="bullet"/>
      <w:lvlText w:val="•"/>
      <w:lvlJc w:val="left"/>
      <w:pPr>
        <w:ind w:left="8685" w:hanging="213"/>
      </w:pPr>
      <w:rPr>
        <w:rFonts w:hint="default"/>
        <w:lang w:val="zh-CN" w:eastAsia="zh-CN" w:bidi="zh-CN"/>
      </w:rPr>
    </w:lvl>
  </w:abstractNum>
  <w:abstractNum w:abstractNumId="437" w15:restartNumberingAfterBreak="0">
    <w:nsid w:val="3A6F7D31"/>
    <w:multiLevelType w:val="hybridMultilevel"/>
    <w:tmpl w:val="03C4CF08"/>
    <w:lvl w:ilvl="0" w:tplc="E24AD8B8">
      <w:start w:val="4"/>
      <w:numFmt w:val="decimal"/>
      <w:lvlText w:val="%1"/>
      <w:lvlJc w:val="left"/>
      <w:pPr>
        <w:ind w:left="1159" w:hanging="320"/>
        <w:jc w:val="left"/>
      </w:pPr>
      <w:rPr>
        <w:rFonts w:hint="default"/>
        <w:lang w:val="zh-CN" w:eastAsia="zh-CN" w:bidi="zh-CN"/>
      </w:rPr>
    </w:lvl>
    <w:lvl w:ilvl="1" w:tplc="9E2C9BB6">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16646F54">
      <w:numFmt w:val="bullet"/>
      <w:lvlText w:val="•"/>
      <w:lvlJc w:val="left"/>
      <w:pPr>
        <w:ind w:left="3057" w:hanging="320"/>
      </w:pPr>
      <w:rPr>
        <w:rFonts w:hint="default"/>
        <w:lang w:val="zh-CN" w:eastAsia="zh-CN" w:bidi="zh-CN"/>
      </w:rPr>
    </w:lvl>
    <w:lvl w:ilvl="3" w:tplc="5CAEDBBC">
      <w:numFmt w:val="bullet"/>
      <w:lvlText w:val="•"/>
      <w:lvlJc w:val="left"/>
      <w:pPr>
        <w:ind w:left="4005" w:hanging="320"/>
      </w:pPr>
      <w:rPr>
        <w:rFonts w:hint="default"/>
        <w:lang w:val="zh-CN" w:eastAsia="zh-CN" w:bidi="zh-CN"/>
      </w:rPr>
    </w:lvl>
    <w:lvl w:ilvl="4" w:tplc="50D6A62A">
      <w:numFmt w:val="bullet"/>
      <w:lvlText w:val="•"/>
      <w:lvlJc w:val="left"/>
      <w:pPr>
        <w:ind w:left="4954" w:hanging="320"/>
      </w:pPr>
      <w:rPr>
        <w:rFonts w:hint="default"/>
        <w:lang w:val="zh-CN" w:eastAsia="zh-CN" w:bidi="zh-CN"/>
      </w:rPr>
    </w:lvl>
    <w:lvl w:ilvl="5" w:tplc="066CCE7C">
      <w:numFmt w:val="bullet"/>
      <w:lvlText w:val="•"/>
      <w:lvlJc w:val="left"/>
      <w:pPr>
        <w:ind w:left="5903" w:hanging="320"/>
      </w:pPr>
      <w:rPr>
        <w:rFonts w:hint="default"/>
        <w:lang w:val="zh-CN" w:eastAsia="zh-CN" w:bidi="zh-CN"/>
      </w:rPr>
    </w:lvl>
    <w:lvl w:ilvl="6" w:tplc="1B4C9716">
      <w:numFmt w:val="bullet"/>
      <w:lvlText w:val="•"/>
      <w:lvlJc w:val="left"/>
      <w:pPr>
        <w:ind w:left="6851" w:hanging="320"/>
      </w:pPr>
      <w:rPr>
        <w:rFonts w:hint="default"/>
        <w:lang w:val="zh-CN" w:eastAsia="zh-CN" w:bidi="zh-CN"/>
      </w:rPr>
    </w:lvl>
    <w:lvl w:ilvl="7" w:tplc="8AF2D192">
      <w:numFmt w:val="bullet"/>
      <w:lvlText w:val="•"/>
      <w:lvlJc w:val="left"/>
      <w:pPr>
        <w:ind w:left="7800" w:hanging="320"/>
      </w:pPr>
      <w:rPr>
        <w:rFonts w:hint="default"/>
        <w:lang w:val="zh-CN" w:eastAsia="zh-CN" w:bidi="zh-CN"/>
      </w:rPr>
    </w:lvl>
    <w:lvl w:ilvl="8" w:tplc="673856D8">
      <w:numFmt w:val="bullet"/>
      <w:lvlText w:val="•"/>
      <w:lvlJc w:val="left"/>
      <w:pPr>
        <w:ind w:left="8749" w:hanging="320"/>
      </w:pPr>
      <w:rPr>
        <w:rFonts w:hint="default"/>
        <w:lang w:val="zh-CN" w:eastAsia="zh-CN" w:bidi="zh-CN"/>
      </w:rPr>
    </w:lvl>
  </w:abstractNum>
  <w:abstractNum w:abstractNumId="438" w15:restartNumberingAfterBreak="0">
    <w:nsid w:val="3A796BAE"/>
    <w:multiLevelType w:val="hybridMultilevel"/>
    <w:tmpl w:val="5C06E500"/>
    <w:lvl w:ilvl="0" w:tplc="EFD8FB30">
      <w:start w:val="5"/>
      <w:numFmt w:val="decimal"/>
      <w:lvlText w:val="%1"/>
      <w:lvlJc w:val="left"/>
      <w:pPr>
        <w:ind w:left="1158" w:hanging="318"/>
        <w:jc w:val="left"/>
      </w:pPr>
      <w:rPr>
        <w:rFonts w:hint="default"/>
        <w:lang w:val="zh-CN" w:eastAsia="zh-CN" w:bidi="zh-CN"/>
      </w:rPr>
    </w:lvl>
    <w:lvl w:ilvl="1" w:tplc="FBEC417C">
      <w:start w:val="5"/>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B69E3A1A">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75DAC41E">
      <w:start w:val="1"/>
      <w:numFmt w:val="decimal"/>
      <w:lvlText w:val="%1.%2.%3.%4"/>
      <w:lvlJc w:val="left"/>
      <w:pPr>
        <w:ind w:left="418" w:hanging="738"/>
        <w:jc w:val="left"/>
      </w:pPr>
      <w:rPr>
        <w:rFonts w:ascii="宋体" w:eastAsia="宋体" w:hAnsi="宋体" w:cs="宋体" w:hint="default"/>
        <w:spacing w:val="-3"/>
        <w:w w:val="100"/>
        <w:sz w:val="19"/>
        <w:szCs w:val="19"/>
        <w:lang w:val="zh-CN" w:eastAsia="zh-CN" w:bidi="zh-CN"/>
      </w:rPr>
    </w:lvl>
    <w:lvl w:ilvl="4" w:tplc="61E03112">
      <w:numFmt w:val="bullet"/>
      <w:lvlText w:val="•"/>
      <w:lvlJc w:val="left"/>
      <w:pPr>
        <w:ind w:left="3696" w:hanging="738"/>
      </w:pPr>
      <w:rPr>
        <w:rFonts w:hint="default"/>
        <w:lang w:val="zh-CN" w:eastAsia="zh-CN" w:bidi="zh-CN"/>
      </w:rPr>
    </w:lvl>
    <w:lvl w:ilvl="5" w:tplc="03228CD4">
      <w:numFmt w:val="bullet"/>
      <w:lvlText w:val="•"/>
      <w:lvlJc w:val="left"/>
      <w:pPr>
        <w:ind w:left="4854" w:hanging="738"/>
      </w:pPr>
      <w:rPr>
        <w:rFonts w:hint="default"/>
        <w:lang w:val="zh-CN" w:eastAsia="zh-CN" w:bidi="zh-CN"/>
      </w:rPr>
    </w:lvl>
    <w:lvl w:ilvl="6" w:tplc="3D1CC536">
      <w:numFmt w:val="bullet"/>
      <w:lvlText w:val="•"/>
      <w:lvlJc w:val="left"/>
      <w:pPr>
        <w:ind w:left="6013" w:hanging="738"/>
      </w:pPr>
      <w:rPr>
        <w:rFonts w:hint="default"/>
        <w:lang w:val="zh-CN" w:eastAsia="zh-CN" w:bidi="zh-CN"/>
      </w:rPr>
    </w:lvl>
    <w:lvl w:ilvl="7" w:tplc="34ACF4B6">
      <w:numFmt w:val="bullet"/>
      <w:lvlText w:val="•"/>
      <w:lvlJc w:val="left"/>
      <w:pPr>
        <w:ind w:left="7171" w:hanging="738"/>
      </w:pPr>
      <w:rPr>
        <w:rFonts w:hint="default"/>
        <w:lang w:val="zh-CN" w:eastAsia="zh-CN" w:bidi="zh-CN"/>
      </w:rPr>
    </w:lvl>
    <w:lvl w:ilvl="8" w:tplc="8A705EE2">
      <w:numFmt w:val="bullet"/>
      <w:lvlText w:val="•"/>
      <w:lvlJc w:val="left"/>
      <w:pPr>
        <w:ind w:left="8329" w:hanging="738"/>
      </w:pPr>
      <w:rPr>
        <w:rFonts w:hint="default"/>
        <w:lang w:val="zh-CN" w:eastAsia="zh-CN" w:bidi="zh-CN"/>
      </w:rPr>
    </w:lvl>
  </w:abstractNum>
  <w:abstractNum w:abstractNumId="439" w15:restartNumberingAfterBreak="0">
    <w:nsid w:val="3A87028E"/>
    <w:multiLevelType w:val="hybridMultilevel"/>
    <w:tmpl w:val="5EB47C1E"/>
    <w:lvl w:ilvl="0" w:tplc="20EC61CA">
      <w:start w:val="2"/>
      <w:numFmt w:val="decimal"/>
      <w:lvlText w:val="%1"/>
      <w:lvlJc w:val="left"/>
      <w:pPr>
        <w:ind w:left="1158" w:hanging="318"/>
        <w:jc w:val="left"/>
      </w:pPr>
      <w:rPr>
        <w:rFonts w:hint="default"/>
        <w:lang w:val="zh-CN" w:eastAsia="zh-CN" w:bidi="zh-CN"/>
      </w:rPr>
    </w:lvl>
    <w:lvl w:ilvl="1" w:tplc="001A6438">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209E98A6">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BF709F38">
      <w:numFmt w:val="bullet"/>
      <w:lvlText w:val="•"/>
      <w:lvlJc w:val="left"/>
      <w:pPr>
        <w:ind w:left="3423" w:hanging="529"/>
      </w:pPr>
      <w:rPr>
        <w:rFonts w:hint="default"/>
        <w:lang w:val="zh-CN" w:eastAsia="zh-CN" w:bidi="zh-CN"/>
      </w:rPr>
    </w:lvl>
    <w:lvl w:ilvl="4" w:tplc="B61A7C14">
      <w:numFmt w:val="bullet"/>
      <w:lvlText w:val="•"/>
      <w:lvlJc w:val="left"/>
      <w:pPr>
        <w:ind w:left="4455" w:hanging="529"/>
      </w:pPr>
      <w:rPr>
        <w:rFonts w:hint="default"/>
        <w:lang w:val="zh-CN" w:eastAsia="zh-CN" w:bidi="zh-CN"/>
      </w:rPr>
    </w:lvl>
    <w:lvl w:ilvl="5" w:tplc="8620FBAA">
      <w:numFmt w:val="bullet"/>
      <w:lvlText w:val="•"/>
      <w:lvlJc w:val="left"/>
      <w:pPr>
        <w:ind w:left="5487" w:hanging="529"/>
      </w:pPr>
      <w:rPr>
        <w:rFonts w:hint="default"/>
        <w:lang w:val="zh-CN" w:eastAsia="zh-CN" w:bidi="zh-CN"/>
      </w:rPr>
    </w:lvl>
    <w:lvl w:ilvl="6" w:tplc="555E5554">
      <w:numFmt w:val="bullet"/>
      <w:lvlText w:val="•"/>
      <w:lvlJc w:val="left"/>
      <w:pPr>
        <w:ind w:left="6519" w:hanging="529"/>
      </w:pPr>
      <w:rPr>
        <w:rFonts w:hint="default"/>
        <w:lang w:val="zh-CN" w:eastAsia="zh-CN" w:bidi="zh-CN"/>
      </w:rPr>
    </w:lvl>
    <w:lvl w:ilvl="7" w:tplc="F782E6A8">
      <w:numFmt w:val="bullet"/>
      <w:lvlText w:val="•"/>
      <w:lvlJc w:val="left"/>
      <w:pPr>
        <w:ind w:left="7550" w:hanging="529"/>
      </w:pPr>
      <w:rPr>
        <w:rFonts w:hint="default"/>
        <w:lang w:val="zh-CN" w:eastAsia="zh-CN" w:bidi="zh-CN"/>
      </w:rPr>
    </w:lvl>
    <w:lvl w:ilvl="8" w:tplc="3F8EAAA8">
      <w:numFmt w:val="bullet"/>
      <w:lvlText w:val="•"/>
      <w:lvlJc w:val="left"/>
      <w:pPr>
        <w:ind w:left="8582" w:hanging="529"/>
      </w:pPr>
      <w:rPr>
        <w:rFonts w:hint="default"/>
        <w:lang w:val="zh-CN" w:eastAsia="zh-CN" w:bidi="zh-CN"/>
      </w:rPr>
    </w:lvl>
  </w:abstractNum>
  <w:abstractNum w:abstractNumId="440" w15:restartNumberingAfterBreak="0">
    <w:nsid w:val="3ADF377C"/>
    <w:multiLevelType w:val="hybridMultilevel"/>
    <w:tmpl w:val="9EC8CA5A"/>
    <w:lvl w:ilvl="0" w:tplc="5C8020EA">
      <w:start w:val="8"/>
      <w:numFmt w:val="decimal"/>
      <w:lvlText w:val="%1"/>
      <w:lvlJc w:val="left"/>
      <w:pPr>
        <w:ind w:left="1158" w:hanging="318"/>
        <w:jc w:val="left"/>
      </w:pPr>
      <w:rPr>
        <w:rFonts w:hint="default"/>
        <w:lang w:val="zh-CN" w:eastAsia="zh-CN" w:bidi="zh-CN"/>
      </w:rPr>
    </w:lvl>
    <w:lvl w:ilvl="1" w:tplc="3D1E09D2">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11AA127E">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AF42F82C">
      <w:numFmt w:val="bullet"/>
      <w:lvlText w:val="•"/>
      <w:lvlJc w:val="left"/>
      <w:pPr>
        <w:ind w:left="1380" w:hanging="531"/>
      </w:pPr>
      <w:rPr>
        <w:rFonts w:hint="default"/>
        <w:lang w:val="zh-CN" w:eastAsia="zh-CN" w:bidi="zh-CN"/>
      </w:rPr>
    </w:lvl>
    <w:lvl w:ilvl="4" w:tplc="36247FC0">
      <w:numFmt w:val="bullet"/>
      <w:lvlText w:val="•"/>
      <w:lvlJc w:val="left"/>
      <w:pPr>
        <w:ind w:left="2703" w:hanging="531"/>
      </w:pPr>
      <w:rPr>
        <w:rFonts w:hint="default"/>
        <w:lang w:val="zh-CN" w:eastAsia="zh-CN" w:bidi="zh-CN"/>
      </w:rPr>
    </w:lvl>
    <w:lvl w:ilvl="5" w:tplc="7EDE69F6">
      <w:numFmt w:val="bullet"/>
      <w:lvlText w:val="•"/>
      <w:lvlJc w:val="left"/>
      <w:pPr>
        <w:ind w:left="4027" w:hanging="531"/>
      </w:pPr>
      <w:rPr>
        <w:rFonts w:hint="default"/>
        <w:lang w:val="zh-CN" w:eastAsia="zh-CN" w:bidi="zh-CN"/>
      </w:rPr>
    </w:lvl>
    <w:lvl w:ilvl="6" w:tplc="78027F2E">
      <w:numFmt w:val="bullet"/>
      <w:lvlText w:val="•"/>
      <w:lvlJc w:val="left"/>
      <w:pPr>
        <w:ind w:left="5351" w:hanging="531"/>
      </w:pPr>
      <w:rPr>
        <w:rFonts w:hint="default"/>
        <w:lang w:val="zh-CN" w:eastAsia="zh-CN" w:bidi="zh-CN"/>
      </w:rPr>
    </w:lvl>
    <w:lvl w:ilvl="7" w:tplc="9AAC1DB2">
      <w:numFmt w:val="bullet"/>
      <w:lvlText w:val="•"/>
      <w:lvlJc w:val="left"/>
      <w:pPr>
        <w:ind w:left="6675" w:hanging="531"/>
      </w:pPr>
      <w:rPr>
        <w:rFonts w:hint="default"/>
        <w:lang w:val="zh-CN" w:eastAsia="zh-CN" w:bidi="zh-CN"/>
      </w:rPr>
    </w:lvl>
    <w:lvl w:ilvl="8" w:tplc="91F28712">
      <w:numFmt w:val="bullet"/>
      <w:lvlText w:val="•"/>
      <w:lvlJc w:val="left"/>
      <w:pPr>
        <w:ind w:left="7998" w:hanging="531"/>
      </w:pPr>
      <w:rPr>
        <w:rFonts w:hint="default"/>
        <w:lang w:val="zh-CN" w:eastAsia="zh-CN" w:bidi="zh-CN"/>
      </w:rPr>
    </w:lvl>
  </w:abstractNum>
  <w:abstractNum w:abstractNumId="441" w15:restartNumberingAfterBreak="0">
    <w:nsid w:val="3AFF1510"/>
    <w:multiLevelType w:val="hybridMultilevel"/>
    <w:tmpl w:val="9760D5CE"/>
    <w:lvl w:ilvl="0" w:tplc="E3A82F00">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88720FA8">
      <w:numFmt w:val="bullet"/>
      <w:lvlText w:val="•"/>
      <w:lvlJc w:val="left"/>
      <w:pPr>
        <w:ind w:left="2288" w:hanging="529"/>
      </w:pPr>
      <w:rPr>
        <w:rFonts w:hint="default"/>
        <w:lang w:val="zh-CN" w:eastAsia="zh-CN" w:bidi="zh-CN"/>
      </w:rPr>
    </w:lvl>
    <w:lvl w:ilvl="2" w:tplc="E32CBC6E">
      <w:numFmt w:val="bullet"/>
      <w:lvlText w:val="•"/>
      <w:lvlJc w:val="left"/>
      <w:pPr>
        <w:ind w:left="3217" w:hanging="529"/>
      </w:pPr>
      <w:rPr>
        <w:rFonts w:hint="default"/>
        <w:lang w:val="zh-CN" w:eastAsia="zh-CN" w:bidi="zh-CN"/>
      </w:rPr>
    </w:lvl>
    <w:lvl w:ilvl="3" w:tplc="4A28612A">
      <w:numFmt w:val="bullet"/>
      <w:lvlText w:val="•"/>
      <w:lvlJc w:val="left"/>
      <w:pPr>
        <w:ind w:left="4145" w:hanging="529"/>
      </w:pPr>
      <w:rPr>
        <w:rFonts w:hint="default"/>
        <w:lang w:val="zh-CN" w:eastAsia="zh-CN" w:bidi="zh-CN"/>
      </w:rPr>
    </w:lvl>
    <w:lvl w:ilvl="4" w:tplc="1DA0E736">
      <w:numFmt w:val="bullet"/>
      <w:lvlText w:val="•"/>
      <w:lvlJc w:val="left"/>
      <w:pPr>
        <w:ind w:left="5074" w:hanging="529"/>
      </w:pPr>
      <w:rPr>
        <w:rFonts w:hint="default"/>
        <w:lang w:val="zh-CN" w:eastAsia="zh-CN" w:bidi="zh-CN"/>
      </w:rPr>
    </w:lvl>
    <w:lvl w:ilvl="5" w:tplc="889C707A">
      <w:numFmt w:val="bullet"/>
      <w:lvlText w:val="•"/>
      <w:lvlJc w:val="left"/>
      <w:pPr>
        <w:ind w:left="6003" w:hanging="529"/>
      </w:pPr>
      <w:rPr>
        <w:rFonts w:hint="default"/>
        <w:lang w:val="zh-CN" w:eastAsia="zh-CN" w:bidi="zh-CN"/>
      </w:rPr>
    </w:lvl>
    <w:lvl w:ilvl="6" w:tplc="7D385FD6">
      <w:numFmt w:val="bullet"/>
      <w:lvlText w:val="•"/>
      <w:lvlJc w:val="left"/>
      <w:pPr>
        <w:ind w:left="6931" w:hanging="529"/>
      </w:pPr>
      <w:rPr>
        <w:rFonts w:hint="default"/>
        <w:lang w:val="zh-CN" w:eastAsia="zh-CN" w:bidi="zh-CN"/>
      </w:rPr>
    </w:lvl>
    <w:lvl w:ilvl="7" w:tplc="2C52CC64">
      <w:numFmt w:val="bullet"/>
      <w:lvlText w:val="•"/>
      <w:lvlJc w:val="left"/>
      <w:pPr>
        <w:ind w:left="7860" w:hanging="529"/>
      </w:pPr>
      <w:rPr>
        <w:rFonts w:hint="default"/>
        <w:lang w:val="zh-CN" w:eastAsia="zh-CN" w:bidi="zh-CN"/>
      </w:rPr>
    </w:lvl>
    <w:lvl w:ilvl="8" w:tplc="BC62A384">
      <w:numFmt w:val="bullet"/>
      <w:lvlText w:val="•"/>
      <w:lvlJc w:val="left"/>
      <w:pPr>
        <w:ind w:left="8789" w:hanging="529"/>
      </w:pPr>
      <w:rPr>
        <w:rFonts w:hint="default"/>
        <w:lang w:val="zh-CN" w:eastAsia="zh-CN" w:bidi="zh-CN"/>
      </w:rPr>
    </w:lvl>
  </w:abstractNum>
  <w:abstractNum w:abstractNumId="442" w15:restartNumberingAfterBreak="0">
    <w:nsid w:val="3B377FE2"/>
    <w:multiLevelType w:val="hybridMultilevel"/>
    <w:tmpl w:val="906AC68E"/>
    <w:lvl w:ilvl="0" w:tplc="EFFC1CAA">
      <w:start w:val="4"/>
      <w:numFmt w:val="decimal"/>
      <w:lvlText w:val="%1"/>
      <w:lvlJc w:val="left"/>
      <w:pPr>
        <w:ind w:left="418" w:hanging="531"/>
        <w:jc w:val="left"/>
      </w:pPr>
      <w:rPr>
        <w:rFonts w:hint="default"/>
        <w:lang w:val="zh-CN" w:eastAsia="zh-CN" w:bidi="zh-CN"/>
      </w:rPr>
    </w:lvl>
    <w:lvl w:ilvl="1" w:tplc="23723136">
      <w:start w:val="1"/>
      <w:numFmt w:val="decimal"/>
      <w:lvlText w:val="%1.%2"/>
      <w:lvlJc w:val="left"/>
      <w:pPr>
        <w:ind w:left="418" w:hanging="531"/>
        <w:jc w:val="left"/>
      </w:pPr>
      <w:rPr>
        <w:rFonts w:hint="default"/>
        <w:lang w:val="zh-CN" w:eastAsia="zh-CN" w:bidi="zh-CN"/>
      </w:rPr>
    </w:lvl>
    <w:lvl w:ilvl="2" w:tplc="68C25A18">
      <w:start w:val="3"/>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A68CE0A0">
      <w:numFmt w:val="bullet"/>
      <w:lvlText w:val="•"/>
      <w:lvlJc w:val="left"/>
      <w:pPr>
        <w:ind w:left="3487" w:hanging="531"/>
      </w:pPr>
      <w:rPr>
        <w:rFonts w:hint="default"/>
        <w:lang w:val="zh-CN" w:eastAsia="zh-CN" w:bidi="zh-CN"/>
      </w:rPr>
    </w:lvl>
    <w:lvl w:ilvl="4" w:tplc="1CF424F6">
      <w:numFmt w:val="bullet"/>
      <w:lvlText w:val="•"/>
      <w:lvlJc w:val="left"/>
      <w:pPr>
        <w:ind w:left="4510" w:hanging="531"/>
      </w:pPr>
      <w:rPr>
        <w:rFonts w:hint="default"/>
        <w:lang w:val="zh-CN" w:eastAsia="zh-CN" w:bidi="zh-CN"/>
      </w:rPr>
    </w:lvl>
    <w:lvl w:ilvl="5" w:tplc="7E2284DE">
      <w:numFmt w:val="bullet"/>
      <w:lvlText w:val="•"/>
      <w:lvlJc w:val="left"/>
      <w:pPr>
        <w:ind w:left="5533" w:hanging="531"/>
      </w:pPr>
      <w:rPr>
        <w:rFonts w:hint="default"/>
        <w:lang w:val="zh-CN" w:eastAsia="zh-CN" w:bidi="zh-CN"/>
      </w:rPr>
    </w:lvl>
    <w:lvl w:ilvl="6" w:tplc="A7BEB8CC">
      <w:numFmt w:val="bullet"/>
      <w:lvlText w:val="•"/>
      <w:lvlJc w:val="left"/>
      <w:pPr>
        <w:ind w:left="6555" w:hanging="531"/>
      </w:pPr>
      <w:rPr>
        <w:rFonts w:hint="default"/>
        <w:lang w:val="zh-CN" w:eastAsia="zh-CN" w:bidi="zh-CN"/>
      </w:rPr>
    </w:lvl>
    <w:lvl w:ilvl="7" w:tplc="FDF8DA5E">
      <w:numFmt w:val="bullet"/>
      <w:lvlText w:val="•"/>
      <w:lvlJc w:val="left"/>
      <w:pPr>
        <w:ind w:left="7578" w:hanging="531"/>
      </w:pPr>
      <w:rPr>
        <w:rFonts w:hint="default"/>
        <w:lang w:val="zh-CN" w:eastAsia="zh-CN" w:bidi="zh-CN"/>
      </w:rPr>
    </w:lvl>
    <w:lvl w:ilvl="8" w:tplc="E2268216">
      <w:numFmt w:val="bullet"/>
      <w:lvlText w:val="•"/>
      <w:lvlJc w:val="left"/>
      <w:pPr>
        <w:ind w:left="8601" w:hanging="531"/>
      </w:pPr>
      <w:rPr>
        <w:rFonts w:hint="default"/>
        <w:lang w:val="zh-CN" w:eastAsia="zh-CN" w:bidi="zh-CN"/>
      </w:rPr>
    </w:lvl>
  </w:abstractNum>
  <w:abstractNum w:abstractNumId="443" w15:restartNumberingAfterBreak="0">
    <w:nsid w:val="3B58549B"/>
    <w:multiLevelType w:val="hybridMultilevel"/>
    <w:tmpl w:val="EE9EBAA2"/>
    <w:lvl w:ilvl="0" w:tplc="7FDA3608">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5E22A1D8">
      <w:numFmt w:val="bullet"/>
      <w:lvlText w:val="•"/>
      <w:lvlJc w:val="left"/>
      <w:pPr>
        <w:ind w:left="1442" w:hanging="529"/>
      </w:pPr>
      <w:rPr>
        <w:rFonts w:hint="default"/>
        <w:lang w:val="zh-CN" w:eastAsia="zh-CN" w:bidi="zh-CN"/>
      </w:rPr>
    </w:lvl>
    <w:lvl w:ilvl="2" w:tplc="6180FA5A">
      <w:numFmt w:val="bullet"/>
      <w:lvlText w:val="•"/>
      <w:lvlJc w:val="left"/>
      <w:pPr>
        <w:ind w:left="2465" w:hanging="529"/>
      </w:pPr>
      <w:rPr>
        <w:rFonts w:hint="default"/>
        <w:lang w:val="zh-CN" w:eastAsia="zh-CN" w:bidi="zh-CN"/>
      </w:rPr>
    </w:lvl>
    <w:lvl w:ilvl="3" w:tplc="F4A89A04">
      <w:numFmt w:val="bullet"/>
      <w:lvlText w:val="•"/>
      <w:lvlJc w:val="left"/>
      <w:pPr>
        <w:ind w:left="3487" w:hanging="529"/>
      </w:pPr>
      <w:rPr>
        <w:rFonts w:hint="default"/>
        <w:lang w:val="zh-CN" w:eastAsia="zh-CN" w:bidi="zh-CN"/>
      </w:rPr>
    </w:lvl>
    <w:lvl w:ilvl="4" w:tplc="FBB28DD4">
      <w:numFmt w:val="bullet"/>
      <w:lvlText w:val="•"/>
      <w:lvlJc w:val="left"/>
      <w:pPr>
        <w:ind w:left="4510" w:hanging="529"/>
      </w:pPr>
      <w:rPr>
        <w:rFonts w:hint="default"/>
        <w:lang w:val="zh-CN" w:eastAsia="zh-CN" w:bidi="zh-CN"/>
      </w:rPr>
    </w:lvl>
    <w:lvl w:ilvl="5" w:tplc="91500D1A">
      <w:numFmt w:val="bullet"/>
      <w:lvlText w:val="•"/>
      <w:lvlJc w:val="left"/>
      <w:pPr>
        <w:ind w:left="5533" w:hanging="529"/>
      </w:pPr>
      <w:rPr>
        <w:rFonts w:hint="default"/>
        <w:lang w:val="zh-CN" w:eastAsia="zh-CN" w:bidi="zh-CN"/>
      </w:rPr>
    </w:lvl>
    <w:lvl w:ilvl="6" w:tplc="E42E388A">
      <w:numFmt w:val="bullet"/>
      <w:lvlText w:val="•"/>
      <w:lvlJc w:val="left"/>
      <w:pPr>
        <w:ind w:left="6555" w:hanging="529"/>
      </w:pPr>
      <w:rPr>
        <w:rFonts w:hint="default"/>
        <w:lang w:val="zh-CN" w:eastAsia="zh-CN" w:bidi="zh-CN"/>
      </w:rPr>
    </w:lvl>
    <w:lvl w:ilvl="7" w:tplc="8800EFD8">
      <w:numFmt w:val="bullet"/>
      <w:lvlText w:val="•"/>
      <w:lvlJc w:val="left"/>
      <w:pPr>
        <w:ind w:left="7578" w:hanging="529"/>
      </w:pPr>
      <w:rPr>
        <w:rFonts w:hint="default"/>
        <w:lang w:val="zh-CN" w:eastAsia="zh-CN" w:bidi="zh-CN"/>
      </w:rPr>
    </w:lvl>
    <w:lvl w:ilvl="8" w:tplc="E01E5CE2">
      <w:numFmt w:val="bullet"/>
      <w:lvlText w:val="•"/>
      <w:lvlJc w:val="left"/>
      <w:pPr>
        <w:ind w:left="8601" w:hanging="529"/>
      </w:pPr>
      <w:rPr>
        <w:rFonts w:hint="default"/>
        <w:lang w:val="zh-CN" w:eastAsia="zh-CN" w:bidi="zh-CN"/>
      </w:rPr>
    </w:lvl>
  </w:abstractNum>
  <w:abstractNum w:abstractNumId="444" w15:restartNumberingAfterBreak="0">
    <w:nsid w:val="3B96242E"/>
    <w:multiLevelType w:val="hybridMultilevel"/>
    <w:tmpl w:val="80CA6666"/>
    <w:lvl w:ilvl="0" w:tplc="C58E7FB4">
      <w:start w:val="4"/>
      <w:numFmt w:val="decimal"/>
      <w:lvlText w:val="%1"/>
      <w:lvlJc w:val="left"/>
      <w:pPr>
        <w:ind w:left="1370" w:hanging="531"/>
        <w:jc w:val="left"/>
      </w:pPr>
      <w:rPr>
        <w:rFonts w:hint="default"/>
        <w:lang w:val="zh-CN" w:eastAsia="zh-CN" w:bidi="zh-CN"/>
      </w:rPr>
    </w:lvl>
    <w:lvl w:ilvl="1" w:tplc="814E31A4">
      <w:start w:val="3"/>
      <w:numFmt w:val="decimal"/>
      <w:lvlText w:val="%1.%2"/>
      <w:lvlJc w:val="left"/>
      <w:pPr>
        <w:ind w:left="1370" w:hanging="531"/>
        <w:jc w:val="left"/>
      </w:pPr>
      <w:rPr>
        <w:rFonts w:hint="default"/>
        <w:lang w:val="zh-CN" w:eastAsia="zh-CN" w:bidi="zh-CN"/>
      </w:rPr>
    </w:lvl>
    <w:lvl w:ilvl="2" w:tplc="A78AECB6">
      <w:start w:val="3"/>
      <w:numFmt w:val="decimal"/>
      <w:lvlText w:val="%1.%2.%3"/>
      <w:lvlJc w:val="left"/>
      <w:pPr>
        <w:ind w:left="1370" w:hanging="531"/>
        <w:jc w:val="left"/>
      </w:pPr>
      <w:rPr>
        <w:rFonts w:hint="default"/>
        <w:b/>
        <w:bCs/>
        <w:w w:val="99"/>
        <w:lang w:val="zh-CN" w:eastAsia="zh-CN" w:bidi="zh-CN"/>
      </w:rPr>
    </w:lvl>
    <w:lvl w:ilvl="3" w:tplc="C33A3722">
      <w:numFmt w:val="bullet"/>
      <w:lvlText w:val="•"/>
      <w:lvlJc w:val="left"/>
      <w:pPr>
        <w:ind w:left="4159" w:hanging="531"/>
      </w:pPr>
      <w:rPr>
        <w:rFonts w:hint="default"/>
        <w:lang w:val="zh-CN" w:eastAsia="zh-CN" w:bidi="zh-CN"/>
      </w:rPr>
    </w:lvl>
    <w:lvl w:ilvl="4" w:tplc="96BA09BC">
      <w:numFmt w:val="bullet"/>
      <w:lvlText w:val="•"/>
      <w:lvlJc w:val="left"/>
      <w:pPr>
        <w:ind w:left="5086" w:hanging="531"/>
      </w:pPr>
      <w:rPr>
        <w:rFonts w:hint="default"/>
        <w:lang w:val="zh-CN" w:eastAsia="zh-CN" w:bidi="zh-CN"/>
      </w:rPr>
    </w:lvl>
    <w:lvl w:ilvl="5" w:tplc="F50C801C">
      <w:numFmt w:val="bullet"/>
      <w:lvlText w:val="•"/>
      <w:lvlJc w:val="left"/>
      <w:pPr>
        <w:ind w:left="6013" w:hanging="531"/>
      </w:pPr>
      <w:rPr>
        <w:rFonts w:hint="default"/>
        <w:lang w:val="zh-CN" w:eastAsia="zh-CN" w:bidi="zh-CN"/>
      </w:rPr>
    </w:lvl>
    <w:lvl w:ilvl="6" w:tplc="23108F28">
      <w:numFmt w:val="bullet"/>
      <w:lvlText w:val="•"/>
      <w:lvlJc w:val="left"/>
      <w:pPr>
        <w:ind w:left="6939" w:hanging="531"/>
      </w:pPr>
      <w:rPr>
        <w:rFonts w:hint="default"/>
        <w:lang w:val="zh-CN" w:eastAsia="zh-CN" w:bidi="zh-CN"/>
      </w:rPr>
    </w:lvl>
    <w:lvl w:ilvl="7" w:tplc="927C1CD2">
      <w:numFmt w:val="bullet"/>
      <w:lvlText w:val="•"/>
      <w:lvlJc w:val="left"/>
      <w:pPr>
        <w:ind w:left="7866" w:hanging="531"/>
      </w:pPr>
      <w:rPr>
        <w:rFonts w:hint="default"/>
        <w:lang w:val="zh-CN" w:eastAsia="zh-CN" w:bidi="zh-CN"/>
      </w:rPr>
    </w:lvl>
    <w:lvl w:ilvl="8" w:tplc="058C4D98">
      <w:numFmt w:val="bullet"/>
      <w:lvlText w:val="•"/>
      <w:lvlJc w:val="left"/>
      <w:pPr>
        <w:ind w:left="8793" w:hanging="531"/>
      </w:pPr>
      <w:rPr>
        <w:rFonts w:hint="default"/>
        <w:lang w:val="zh-CN" w:eastAsia="zh-CN" w:bidi="zh-CN"/>
      </w:rPr>
    </w:lvl>
  </w:abstractNum>
  <w:abstractNum w:abstractNumId="445" w15:restartNumberingAfterBreak="0">
    <w:nsid w:val="3B974B5E"/>
    <w:multiLevelType w:val="hybridMultilevel"/>
    <w:tmpl w:val="1C764032"/>
    <w:lvl w:ilvl="0" w:tplc="222C79AA">
      <w:start w:val="1"/>
      <w:numFmt w:val="decimal"/>
      <w:lvlText w:val="%1"/>
      <w:lvlJc w:val="left"/>
      <w:pPr>
        <w:ind w:left="1158" w:hanging="318"/>
        <w:jc w:val="left"/>
      </w:pPr>
      <w:rPr>
        <w:rFonts w:hint="default"/>
        <w:lang w:val="zh-CN" w:eastAsia="zh-CN" w:bidi="zh-CN"/>
      </w:rPr>
    </w:lvl>
    <w:lvl w:ilvl="1" w:tplc="F7A40D6C">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62A49228">
      <w:numFmt w:val="bullet"/>
      <w:lvlText w:val="•"/>
      <w:lvlJc w:val="left"/>
      <w:pPr>
        <w:ind w:left="3057" w:hanging="318"/>
      </w:pPr>
      <w:rPr>
        <w:rFonts w:hint="default"/>
        <w:lang w:val="zh-CN" w:eastAsia="zh-CN" w:bidi="zh-CN"/>
      </w:rPr>
    </w:lvl>
    <w:lvl w:ilvl="3" w:tplc="7396A5A8">
      <w:numFmt w:val="bullet"/>
      <w:lvlText w:val="•"/>
      <w:lvlJc w:val="left"/>
      <w:pPr>
        <w:ind w:left="4005" w:hanging="318"/>
      </w:pPr>
      <w:rPr>
        <w:rFonts w:hint="default"/>
        <w:lang w:val="zh-CN" w:eastAsia="zh-CN" w:bidi="zh-CN"/>
      </w:rPr>
    </w:lvl>
    <w:lvl w:ilvl="4" w:tplc="A32C6452">
      <w:numFmt w:val="bullet"/>
      <w:lvlText w:val="•"/>
      <w:lvlJc w:val="left"/>
      <w:pPr>
        <w:ind w:left="4954" w:hanging="318"/>
      </w:pPr>
      <w:rPr>
        <w:rFonts w:hint="default"/>
        <w:lang w:val="zh-CN" w:eastAsia="zh-CN" w:bidi="zh-CN"/>
      </w:rPr>
    </w:lvl>
    <w:lvl w:ilvl="5" w:tplc="00120458">
      <w:numFmt w:val="bullet"/>
      <w:lvlText w:val="•"/>
      <w:lvlJc w:val="left"/>
      <w:pPr>
        <w:ind w:left="5903" w:hanging="318"/>
      </w:pPr>
      <w:rPr>
        <w:rFonts w:hint="default"/>
        <w:lang w:val="zh-CN" w:eastAsia="zh-CN" w:bidi="zh-CN"/>
      </w:rPr>
    </w:lvl>
    <w:lvl w:ilvl="6" w:tplc="EC2E32F4">
      <w:numFmt w:val="bullet"/>
      <w:lvlText w:val="•"/>
      <w:lvlJc w:val="left"/>
      <w:pPr>
        <w:ind w:left="6851" w:hanging="318"/>
      </w:pPr>
      <w:rPr>
        <w:rFonts w:hint="default"/>
        <w:lang w:val="zh-CN" w:eastAsia="zh-CN" w:bidi="zh-CN"/>
      </w:rPr>
    </w:lvl>
    <w:lvl w:ilvl="7" w:tplc="02DE7A94">
      <w:numFmt w:val="bullet"/>
      <w:lvlText w:val="•"/>
      <w:lvlJc w:val="left"/>
      <w:pPr>
        <w:ind w:left="7800" w:hanging="318"/>
      </w:pPr>
      <w:rPr>
        <w:rFonts w:hint="default"/>
        <w:lang w:val="zh-CN" w:eastAsia="zh-CN" w:bidi="zh-CN"/>
      </w:rPr>
    </w:lvl>
    <w:lvl w:ilvl="8" w:tplc="1472C276">
      <w:numFmt w:val="bullet"/>
      <w:lvlText w:val="•"/>
      <w:lvlJc w:val="left"/>
      <w:pPr>
        <w:ind w:left="8749" w:hanging="318"/>
      </w:pPr>
      <w:rPr>
        <w:rFonts w:hint="default"/>
        <w:lang w:val="zh-CN" w:eastAsia="zh-CN" w:bidi="zh-CN"/>
      </w:rPr>
    </w:lvl>
  </w:abstractNum>
  <w:abstractNum w:abstractNumId="446" w15:restartNumberingAfterBreak="0">
    <w:nsid w:val="3BD9280A"/>
    <w:multiLevelType w:val="hybridMultilevel"/>
    <w:tmpl w:val="743CB99A"/>
    <w:lvl w:ilvl="0" w:tplc="EBE69244">
      <w:start w:val="5"/>
      <w:numFmt w:val="decimal"/>
      <w:lvlText w:val="%1"/>
      <w:lvlJc w:val="left"/>
      <w:pPr>
        <w:ind w:left="1477" w:hanging="637"/>
        <w:jc w:val="left"/>
      </w:pPr>
      <w:rPr>
        <w:rFonts w:hint="default"/>
        <w:lang w:val="zh-CN" w:eastAsia="zh-CN" w:bidi="zh-CN"/>
      </w:rPr>
    </w:lvl>
    <w:lvl w:ilvl="1" w:tplc="D5A47740">
      <w:start w:val="11"/>
      <w:numFmt w:val="decimal"/>
      <w:lvlText w:val="%1.%2"/>
      <w:lvlJc w:val="left"/>
      <w:pPr>
        <w:ind w:left="1477" w:hanging="637"/>
        <w:jc w:val="left"/>
      </w:pPr>
      <w:rPr>
        <w:rFonts w:hint="default"/>
        <w:lang w:val="zh-CN" w:eastAsia="zh-CN" w:bidi="zh-CN"/>
      </w:rPr>
    </w:lvl>
    <w:lvl w:ilvl="2" w:tplc="52ACF392">
      <w:start w:val="1"/>
      <w:numFmt w:val="decimal"/>
      <w:lvlText w:val="%1.%2.%3"/>
      <w:lvlJc w:val="left"/>
      <w:pPr>
        <w:ind w:left="1477" w:hanging="637"/>
        <w:jc w:val="left"/>
      </w:pPr>
      <w:rPr>
        <w:rFonts w:ascii="宋体" w:eastAsia="宋体" w:hAnsi="宋体" w:cs="宋体" w:hint="default"/>
        <w:b/>
        <w:bCs/>
        <w:spacing w:val="-3"/>
        <w:w w:val="99"/>
        <w:sz w:val="19"/>
        <w:szCs w:val="19"/>
        <w:lang w:val="zh-CN" w:eastAsia="zh-CN" w:bidi="zh-CN"/>
      </w:rPr>
    </w:lvl>
    <w:lvl w:ilvl="3" w:tplc="BAC46A4A">
      <w:numFmt w:val="bullet"/>
      <w:lvlText w:val="•"/>
      <w:lvlJc w:val="left"/>
      <w:pPr>
        <w:ind w:left="4229" w:hanging="637"/>
      </w:pPr>
      <w:rPr>
        <w:rFonts w:hint="default"/>
        <w:lang w:val="zh-CN" w:eastAsia="zh-CN" w:bidi="zh-CN"/>
      </w:rPr>
    </w:lvl>
    <w:lvl w:ilvl="4" w:tplc="F1F271D6">
      <w:numFmt w:val="bullet"/>
      <w:lvlText w:val="•"/>
      <w:lvlJc w:val="left"/>
      <w:pPr>
        <w:ind w:left="5146" w:hanging="637"/>
      </w:pPr>
      <w:rPr>
        <w:rFonts w:hint="default"/>
        <w:lang w:val="zh-CN" w:eastAsia="zh-CN" w:bidi="zh-CN"/>
      </w:rPr>
    </w:lvl>
    <w:lvl w:ilvl="5" w:tplc="B52E21C8">
      <w:numFmt w:val="bullet"/>
      <w:lvlText w:val="•"/>
      <w:lvlJc w:val="left"/>
      <w:pPr>
        <w:ind w:left="6063" w:hanging="637"/>
      </w:pPr>
      <w:rPr>
        <w:rFonts w:hint="default"/>
        <w:lang w:val="zh-CN" w:eastAsia="zh-CN" w:bidi="zh-CN"/>
      </w:rPr>
    </w:lvl>
    <w:lvl w:ilvl="6" w:tplc="420C5A3C">
      <w:numFmt w:val="bullet"/>
      <w:lvlText w:val="•"/>
      <w:lvlJc w:val="left"/>
      <w:pPr>
        <w:ind w:left="6979" w:hanging="637"/>
      </w:pPr>
      <w:rPr>
        <w:rFonts w:hint="default"/>
        <w:lang w:val="zh-CN" w:eastAsia="zh-CN" w:bidi="zh-CN"/>
      </w:rPr>
    </w:lvl>
    <w:lvl w:ilvl="7" w:tplc="0B645986">
      <w:numFmt w:val="bullet"/>
      <w:lvlText w:val="•"/>
      <w:lvlJc w:val="left"/>
      <w:pPr>
        <w:ind w:left="7896" w:hanging="637"/>
      </w:pPr>
      <w:rPr>
        <w:rFonts w:hint="default"/>
        <w:lang w:val="zh-CN" w:eastAsia="zh-CN" w:bidi="zh-CN"/>
      </w:rPr>
    </w:lvl>
    <w:lvl w:ilvl="8" w:tplc="D25CACA4">
      <w:numFmt w:val="bullet"/>
      <w:lvlText w:val="•"/>
      <w:lvlJc w:val="left"/>
      <w:pPr>
        <w:ind w:left="8813" w:hanging="637"/>
      </w:pPr>
      <w:rPr>
        <w:rFonts w:hint="default"/>
        <w:lang w:val="zh-CN" w:eastAsia="zh-CN" w:bidi="zh-CN"/>
      </w:rPr>
    </w:lvl>
  </w:abstractNum>
  <w:abstractNum w:abstractNumId="447" w15:restartNumberingAfterBreak="0">
    <w:nsid w:val="3C036E16"/>
    <w:multiLevelType w:val="hybridMultilevel"/>
    <w:tmpl w:val="3F0E6716"/>
    <w:lvl w:ilvl="0" w:tplc="1BC0E59E">
      <w:start w:val="2"/>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86EEDD7A">
      <w:numFmt w:val="bullet"/>
      <w:lvlText w:val="•"/>
      <w:lvlJc w:val="left"/>
      <w:pPr>
        <w:ind w:left="2018" w:hanging="213"/>
      </w:pPr>
      <w:rPr>
        <w:rFonts w:hint="default"/>
        <w:lang w:val="zh-CN" w:eastAsia="zh-CN" w:bidi="zh-CN"/>
      </w:rPr>
    </w:lvl>
    <w:lvl w:ilvl="2" w:tplc="18AE2826">
      <w:numFmt w:val="bullet"/>
      <w:lvlText w:val="•"/>
      <w:lvlJc w:val="left"/>
      <w:pPr>
        <w:ind w:left="2977" w:hanging="213"/>
      </w:pPr>
      <w:rPr>
        <w:rFonts w:hint="default"/>
        <w:lang w:val="zh-CN" w:eastAsia="zh-CN" w:bidi="zh-CN"/>
      </w:rPr>
    </w:lvl>
    <w:lvl w:ilvl="3" w:tplc="85F699B4">
      <w:numFmt w:val="bullet"/>
      <w:lvlText w:val="•"/>
      <w:lvlJc w:val="left"/>
      <w:pPr>
        <w:ind w:left="3935" w:hanging="213"/>
      </w:pPr>
      <w:rPr>
        <w:rFonts w:hint="default"/>
        <w:lang w:val="zh-CN" w:eastAsia="zh-CN" w:bidi="zh-CN"/>
      </w:rPr>
    </w:lvl>
    <w:lvl w:ilvl="4" w:tplc="1578DB10">
      <w:numFmt w:val="bullet"/>
      <w:lvlText w:val="•"/>
      <w:lvlJc w:val="left"/>
      <w:pPr>
        <w:ind w:left="4894" w:hanging="213"/>
      </w:pPr>
      <w:rPr>
        <w:rFonts w:hint="default"/>
        <w:lang w:val="zh-CN" w:eastAsia="zh-CN" w:bidi="zh-CN"/>
      </w:rPr>
    </w:lvl>
    <w:lvl w:ilvl="5" w:tplc="931ABA66">
      <w:numFmt w:val="bullet"/>
      <w:lvlText w:val="•"/>
      <w:lvlJc w:val="left"/>
      <w:pPr>
        <w:ind w:left="5853" w:hanging="213"/>
      </w:pPr>
      <w:rPr>
        <w:rFonts w:hint="default"/>
        <w:lang w:val="zh-CN" w:eastAsia="zh-CN" w:bidi="zh-CN"/>
      </w:rPr>
    </w:lvl>
    <w:lvl w:ilvl="6" w:tplc="6630C6D0">
      <w:numFmt w:val="bullet"/>
      <w:lvlText w:val="•"/>
      <w:lvlJc w:val="left"/>
      <w:pPr>
        <w:ind w:left="6811" w:hanging="213"/>
      </w:pPr>
      <w:rPr>
        <w:rFonts w:hint="default"/>
        <w:lang w:val="zh-CN" w:eastAsia="zh-CN" w:bidi="zh-CN"/>
      </w:rPr>
    </w:lvl>
    <w:lvl w:ilvl="7" w:tplc="A9EA1018">
      <w:numFmt w:val="bullet"/>
      <w:lvlText w:val="•"/>
      <w:lvlJc w:val="left"/>
      <w:pPr>
        <w:ind w:left="7770" w:hanging="213"/>
      </w:pPr>
      <w:rPr>
        <w:rFonts w:hint="default"/>
        <w:lang w:val="zh-CN" w:eastAsia="zh-CN" w:bidi="zh-CN"/>
      </w:rPr>
    </w:lvl>
    <w:lvl w:ilvl="8" w:tplc="C84CAC78">
      <w:numFmt w:val="bullet"/>
      <w:lvlText w:val="•"/>
      <w:lvlJc w:val="left"/>
      <w:pPr>
        <w:ind w:left="8729" w:hanging="213"/>
      </w:pPr>
      <w:rPr>
        <w:rFonts w:hint="default"/>
        <w:lang w:val="zh-CN" w:eastAsia="zh-CN" w:bidi="zh-CN"/>
      </w:rPr>
    </w:lvl>
  </w:abstractNum>
  <w:abstractNum w:abstractNumId="448" w15:restartNumberingAfterBreak="0">
    <w:nsid w:val="3C0541B5"/>
    <w:multiLevelType w:val="hybridMultilevel"/>
    <w:tmpl w:val="F482E518"/>
    <w:lvl w:ilvl="0" w:tplc="525E589C">
      <w:start w:val="4"/>
      <w:numFmt w:val="decimal"/>
      <w:lvlText w:val="%1"/>
      <w:lvlJc w:val="left"/>
      <w:pPr>
        <w:ind w:left="1370" w:hanging="531"/>
        <w:jc w:val="left"/>
      </w:pPr>
      <w:rPr>
        <w:rFonts w:hint="default"/>
        <w:lang w:val="zh-CN" w:eastAsia="zh-CN" w:bidi="zh-CN"/>
      </w:rPr>
    </w:lvl>
    <w:lvl w:ilvl="1" w:tplc="EEF4A3EC">
      <w:start w:val="5"/>
      <w:numFmt w:val="decimal"/>
      <w:lvlText w:val="%1.%2"/>
      <w:lvlJc w:val="left"/>
      <w:pPr>
        <w:ind w:left="1370" w:hanging="531"/>
        <w:jc w:val="left"/>
      </w:pPr>
      <w:rPr>
        <w:rFonts w:hint="default"/>
        <w:lang w:val="zh-CN" w:eastAsia="zh-CN" w:bidi="zh-CN"/>
      </w:rPr>
    </w:lvl>
    <w:lvl w:ilvl="2" w:tplc="FFA4DC4C">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139A5778">
      <w:numFmt w:val="bullet"/>
      <w:lvlText w:val="•"/>
      <w:lvlJc w:val="left"/>
      <w:pPr>
        <w:ind w:left="4159" w:hanging="531"/>
      </w:pPr>
      <w:rPr>
        <w:rFonts w:hint="default"/>
        <w:lang w:val="zh-CN" w:eastAsia="zh-CN" w:bidi="zh-CN"/>
      </w:rPr>
    </w:lvl>
    <w:lvl w:ilvl="4" w:tplc="0412A362">
      <w:numFmt w:val="bullet"/>
      <w:lvlText w:val="•"/>
      <w:lvlJc w:val="left"/>
      <w:pPr>
        <w:ind w:left="5086" w:hanging="531"/>
      </w:pPr>
      <w:rPr>
        <w:rFonts w:hint="default"/>
        <w:lang w:val="zh-CN" w:eastAsia="zh-CN" w:bidi="zh-CN"/>
      </w:rPr>
    </w:lvl>
    <w:lvl w:ilvl="5" w:tplc="596E5C26">
      <w:numFmt w:val="bullet"/>
      <w:lvlText w:val="•"/>
      <w:lvlJc w:val="left"/>
      <w:pPr>
        <w:ind w:left="6013" w:hanging="531"/>
      </w:pPr>
      <w:rPr>
        <w:rFonts w:hint="default"/>
        <w:lang w:val="zh-CN" w:eastAsia="zh-CN" w:bidi="zh-CN"/>
      </w:rPr>
    </w:lvl>
    <w:lvl w:ilvl="6" w:tplc="A0C65D9A">
      <w:numFmt w:val="bullet"/>
      <w:lvlText w:val="•"/>
      <w:lvlJc w:val="left"/>
      <w:pPr>
        <w:ind w:left="6939" w:hanging="531"/>
      </w:pPr>
      <w:rPr>
        <w:rFonts w:hint="default"/>
        <w:lang w:val="zh-CN" w:eastAsia="zh-CN" w:bidi="zh-CN"/>
      </w:rPr>
    </w:lvl>
    <w:lvl w:ilvl="7" w:tplc="4B6E309C">
      <w:numFmt w:val="bullet"/>
      <w:lvlText w:val="•"/>
      <w:lvlJc w:val="left"/>
      <w:pPr>
        <w:ind w:left="7866" w:hanging="531"/>
      </w:pPr>
      <w:rPr>
        <w:rFonts w:hint="default"/>
        <w:lang w:val="zh-CN" w:eastAsia="zh-CN" w:bidi="zh-CN"/>
      </w:rPr>
    </w:lvl>
    <w:lvl w:ilvl="8" w:tplc="3A901BDA">
      <w:numFmt w:val="bullet"/>
      <w:lvlText w:val="•"/>
      <w:lvlJc w:val="left"/>
      <w:pPr>
        <w:ind w:left="8793" w:hanging="531"/>
      </w:pPr>
      <w:rPr>
        <w:rFonts w:hint="default"/>
        <w:lang w:val="zh-CN" w:eastAsia="zh-CN" w:bidi="zh-CN"/>
      </w:rPr>
    </w:lvl>
  </w:abstractNum>
  <w:abstractNum w:abstractNumId="449" w15:restartNumberingAfterBreak="0">
    <w:nsid w:val="3C217299"/>
    <w:multiLevelType w:val="hybridMultilevel"/>
    <w:tmpl w:val="58181108"/>
    <w:lvl w:ilvl="0" w:tplc="BD7A86F6">
      <w:start w:val="6"/>
      <w:numFmt w:val="decimal"/>
      <w:lvlText w:val="%1"/>
      <w:lvlJc w:val="left"/>
      <w:pPr>
        <w:ind w:left="1529" w:hanging="689"/>
        <w:jc w:val="left"/>
      </w:pPr>
      <w:rPr>
        <w:rFonts w:hint="default"/>
        <w:lang w:val="zh-CN" w:eastAsia="zh-CN" w:bidi="zh-CN"/>
      </w:rPr>
    </w:lvl>
    <w:lvl w:ilvl="1" w:tplc="16A41468">
      <w:start w:val="12"/>
      <w:numFmt w:val="decimal"/>
      <w:lvlText w:val="%1.%2"/>
      <w:lvlJc w:val="left"/>
      <w:pPr>
        <w:ind w:left="1529" w:hanging="689"/>
        <w:jc w:val="left"/>
      </w:pPr>
      <w:rPr>
        <w:rFonts w:hint="default"/>
        <w:lang w:val="zh-CN" w:eastAsia="zh-CN" w:bidi="zh-CN"/>
      </w:rPr>
    </w:lvl>
    <w:lvl w:ilvl="2" w:tplc="2010622E">
      <w:start w:val="1"/>
      <w:numFmt w:val="decimal"/>
      <w:lvlText w:val="%1.%2.%3"/>
      <w:lvlJc w:val="left"/>
      <w:pPr>
        <w:ind w:left="1529" w:hanging="689"/>
        <w:jc w:val="left"/>
      </w:pPr>
      <w:rPr>
        <w:rFonts w:ascii="宋体" w:eastAsia="宋体" w:hAnsi="宋体" w:cs="宋体" w:hint="default"/>
        <w:b/>
        <w:bCs/>
        <w:w w:val="99"/>
        <w:sz w:val="21"/>
        <w:szCs w:val="21"/>
        <w:lang w:val="zh-CN" w:eastAsia="zh-CN" w:bidi="zh-CN"/>
      </w:rPr>
    </w:lvl>
    <w:lvl w:ilvl="3" w:tplc="087CF0F0">
      <w:numFmt w:val="bullet"/>
      <w:lvlText w:val="•"/>
      <w:lvlJc w:val="left"/>
      <w:pPr>
        <w:ind w:left="4257" w:hanging="689"/>
      </w:pPr>
      <w:rPr>
        <w:rFonts w:hint="default"/>
        <w:lang w:val="zh-CN" w:eastAsia="zh-CN" w:bidi="zh-CN"/>
      </w:rPr>
    </w:lvl>
    <w:lvl w:ilvl="4" w:tplc="CB9A548E">
      <w:numFmt w:val="bullet"/>
      <w:lvlText w:val="•"/>
      <w:lvlJc w:val="left"/>
      <w:pPr>
        <w:ind w:left="5170" w:hanging="689"/>
      </w:pPr>
      <w:rPr>
        <w:rFonts w:hint="default"/>
        <w:lang w:val="zh-CN" w:eastAsia="zh-CN" w:bidi="zh-CN"/>
      </w:rPr>
    </w:lvl>
    <w:lvl w:ilvl="5" w:tplc="6074D714">
      <w:numFmt w:val="bullet"/>
      <w:lvlText w:val="•"/>
      <w:lvlJc w:val="left"/>
      <w:pPr>
        <w:ind w:left="6083" w:hanging="689"/>
      </w:pPr>
      <w:rPr>
        <w:rFonts w:hint="default"/>
        <w:lang w:val="zh-CN" w:eastAsia="zh-CN" w:bidi="zh-CN"/>
      </w:rPr>
    </w:lvl>
    <w:lvl w:ilvl="6" w:tplc="B2A84A18">
      <w:numFmt w:val="bullet"/>
      <w:lvlText w:val="•"/>
      <w:lvlJc w:val="left"/>
      <w:pPr>
        <w:ind w:left="6995" w:hanging="689"/>
      </w:pPr>
      <w:rPr>
        <w:rFonts w:hint="default"/>
        <w:lang w:val="zh-CN" w:eastAsia="zh-CN" w:bidi="zh-CN"/>
      </w:rPr>
    </w:lvl>
    <w:lvl w:ilvl="7" w:tplc="CD28FCF2">
      <w:numFmt w:val="bullet"/>
      <w:lvlText w:val="•"/>
      <w:lvlJc w:val="left"/>
      <w:pPr>
        <w:ind w:left="7908" w:hanging="689"/>
      </w:pPr>
      <w:rPr>
        <w:rFonts w:hint="default"/>
        <w:lang w:val="zh-CN" w:eastAsia="zh-CN" w:bidi="zh-CN"/>
      </w:rPr>
    </w:lvl>
    <w:lvl w:ilvl="8" w:tplc="6756C702">
      <w:numFmt w:val="bullet"/>
      <w:lvlText w:val="•"/>
      <w:lvlJc w:val="left"/>
      <w:pPr>
        <w:ind w:left="8821" w:hanging="689"/>
      </w:pPr>
      <w:rPr>
        <w:rFonts w:hint="default"/>
        <w:lang w:val="zh-CN" w:eastAsia="zh-CN" w:bidi="zh-CN"/>
      </w:rPr>
    </w:lvl>
  </w:abstractNum>
  <w:abstractNum w:abstractNumId="450" w15:restartNumberingAfterBreak="0">
    <w:nsid w:val="3C7E68BB"/>
    <w:multiLevelType w:val="hybridMultilevel"/>
    <w:tmpl w:val="34145110"/>
    <w:lvl w:ilvl="0" w:tplc="63E0070C">
      <w:start w:val="4"/>
      <w:numFmt w:val="decimal"/>
      <w:lvlText w:val="%1"/>
      <w:lvlJc w:val="left"/>
      <w:pPr>
        <w:ind w:left="1158" w:hanging="318"/>
        <w:jc w:val="left"/>
      </w:pPr>
      <w:rPr>
        <w:rFonts w:hint="default"/>
        <w:lang w:val="zh-CN" w:eastAsia="zh-CN" w:bidi="zh-CN"/>
      </w:rPr>
    </w:lvl>
    <w:lvl w:ilvl="1" w:tplc="CE0AE328">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F40AD432">
      <w:start w:val="1"/>
      <w:numFmt w:val="decimal"/>
      <w:lvlText w:val="%1.%2.%3"/>
      <w:lvlJc w:val="left"/>
      <w:pPr>
        <w:ind w:left="418" w:hanging="598"/>
        <w:jc w:val="left"/>
      </w:pPr>
      <w:rPr>
        <w:rFonts w:ascii="宋体" w:eastAsia="宋体" w:hAnsi="宋体" w:cs="宋体" w:hint="default"/>
        <w:b/>
        <w:bCs/>
        <w:w w:val="99"/>
        <w:sz w:val="21"/>
        <w:szCs w:val="21"/>
        <w:lang w:val="zh-CN" w:eastAsia="zh-CN" w:bidi="zh-CN"/>
      </w:rPr>
    </w:lvl>
    <w:lvl w:ilvl="3" w:tplc="2830455E">
      <w:numFmt w:val="bullet"/>
      <w:lvlText w:val="•"/>
      <w:lvlJc w:val="left"/>
      <w:pPr>
        <w:ind w:left="3268" w:hanging="598"/>
      </w:pPr>
      <w:rPr>
        <w:rFonts w:hint="default"/>
        <w:lang w:val="zh-CN" w:eastAsia="zh-CN" w:bidi="zh-CN"/>
      </w:rPr>
    </w:lvl>
    <w:lvl w:ilvl="4" w:tplc="8938A968">
      <w:numFmt w:val="bullet"/>
      <w:lvlText w:val="•"/>
      <w:lvlJc w:val="left"/>
      <w:pPr>
        <w:ind w:left="4322" w:hanging="598"/>
      </w:pPr>
      <w:rPr>
        <w:rFonts w:hint="default"/>
        <w:lang w:val="zh-CN" w:eastAsia="zh-CN" w:bidi="zh-CN"/>
      </w:rPr>
    </w:lvl>
    <w:lvl w:ilvl="5" w:tplc="9468EFE0">
      <w:numFmt w:val="bullet"/>
      <w:lvlText w:val="•"/>
      <w:lvlJc w:val="left"/>
      <w:pPr>
        <w:ind w:left="5376" w:hanging="598"/>
      </w:pPr>
      <w:rPr>
        <w:rFonts w:hint="default"/>
        <w:lang w:val="zh-CN" w:eastAsia="zh-CN" w:bidi="zh-CN"/>
      </w:rPr>
    </w:lvl>
    <w:lvl w:ilvl="6" w:tplc="E71EFCC4">
      <w:numFmt w:val="bullet"/>
      <w:lvlText w:val="•"/>
      <w:lvlJc w:val="left"/>
      <w:pPr>
        <w:ind w:left="6430" w:hanging="598"/>
      </w:pPr>
      <w:rPr>
        <w:rFonts w:hint="default"/>
        <w:lang w:val="zh-CN" w:eastAsia="zh-CN" w:bidi="zh-CN"/>
      </w:rPr>
    </w:lvl>
    <w:lvl w:ilvl="7" w:tplc="8222E5C6">
      <w:numFmt w:val="bullet"/>
      <w:lvlText w:val="•"/>
      <w:lvlJc w:val="left"/>
      <w:pPr>
        <w:ind w:left="7484" w:hanging="598"/>
      </w:pPr>
      <w:rPr>
        <w:rFonts w:hint="default"/>
        <w:lang w:val="zh-CN" w:eastAsia="zh-CN" w:bidi="zh-CN"/>
      </w:rPr>
    </w:lvl>
    <w:lvl w:ilvl="8" w:tplc="75104E48">
      <w:numFmt w:val="bullet"/>
      <w:lvlText w:val="•"/>
      <w:lvlJc w:val="left"/>
      <w:pPr>
        <w:ind w:left="8538" w:hanging="598"/>
      </w:pPr>
      <w:rPr>
        <w:rFonts w:hint="default"/>
        <w:lang w:val="zh-CN" w:eastAsia="zh-CN" w:bidi="zh-CN"/>
      </w:rPr>
    </w:lvl>
  </w:abstractNum>
  <w:abstractNum w:abstractNumId="451" w15:restartNumberingAfterBreak="0">
    <w:nsid w:val="3CC51B1C"/>
    <w:multiLevelType w:val="hybridMultilevel"/>
    <w:tmpl w:val="9030E502"/>
    <w:lvl w:ilvl="0" w:tplc="18722E38">
      <w:start w:val="7"/>
      <w:numFmt w:val="decimal"/>
      <w:lvlText w:val="%1"/>
      <w:lvlJc w:val="left"/>
      <w:pPr>
        <w:ind w:left="418" w:hanging="389"/>
        <w:jc w:val="left"/>
      </w:pPr>
      <w:rPr>
        <w:rFonts w:hint="default"/>
        <w:lang w:val="zh-CN" w:eastAsia="zh-CN" w:bidi="zh-CN"/>
      </w:rPr>
    </w:lvl>
    <w:lvl w:ilvl="1" w:tplc="84ECDF6E">
      <w:start w:val="1"/>
      <w:numFmt w:val="decimal"/>
      <w:lvlText w:val="%1.%2"/>
      <w:lvlJc w:val="left"/>
      <w:pPr>
        <w:ind w:left="418" w:hanging="389"/>
        <w:jc w:val="left"/>
      </w:pPr>
      <w:rPr>
        <w:rFonts w:ascii="宋体" w:eastAsia="宋体" w:hAnsi="宋体" w:cs="宋体" w:hint="default"/>
        <w:b/>
        <w:bCs/>
        <w:w w:val="99"/>
        <w:sz w:val="21"/>
        <w:szCs w:val="21"/>
        <w:lang w:val="zh-CN" w:eastAsia="zh-CN" w:bidi="zh-CN"/>
      </w:rPr>
    </w:lvl>
    <w:lvl w:ilvl="2" w:tplc="3BD6DB04">
      <w:numFmt w:val="bullet"/>
      <w:lvlText w:val="•"/>
      <w:lvlJc w:val="left"/>
      <w:pPr>
        <w:ind w:left="2465" w:hanging="389"/>
      </w:pPr>
      <w:rPr>
        <w:rFonts w:hint="default"/>
        <w:lang w:val="zh-CN" w:eastAsia="zh-CN" w:bidi="zh-CN"/>
      </w:rPr>
    </w:lvl>
    <w:lvl w:ilvl="3" w:tplc="AD7CEF3E">
      <w:numFmt w:val="bullet"/>
      <w:lvlText w:val="•"/>
      <w:lvlJc w:val="left"/>
      <w:pPr>
        <w:ind w:left="3487" w:hanging="389"/>
      </w:pPr>
      <w:rPr>
        <w:rFonts w:hint="default"/>
        <w:lang w:val="zh-CN" w:eastAsia="zh-CN" w:bidi="zh-CN"/>
      </w:rPr>
    </w:lvl>
    <w:lvl w:ilvl="4" w:tplc="B8C4BF6E">
      <w:numFmt w:val="bullet"/>
      <w:lvlText w:val="•"/>
      <w:lvlJc w:val="left"/>
      <w:pPr>
        <w:ind w:left="4510" w:hanging="389"/>
      </w:pPr>
      <w:rPr>
        <w:rFonts w:hint="default"/>
        <w:lang w:val="zh-CN" w:eastAsia="zh-CN" w:bidi="zh-CN"/>
      </w:rPr>
    </w:lvl>
    <w:lvl w:ilvl="5" w:tplc="9412DA20">
      <w:numFmt w:val="bullet"/>
      <w:lvlText w:val="•"/>
      <w:lvlJc w:val="left"/>
      <w:pPr>
        <w:ind w:left="5533" w:hanging="389"/>
      </w:pPr>
      <w:rPr>
        <w:rFonts w:hint="default"/>
        <w:lang w:val="zh-CN" w:eastAsia="zh-CN" w:bidi="zh-CN"/>
      </w:rPr>
    </w:lvl>
    <w:lvl w:ilvl="6" w:tplc="9074376C">
      <w:numFmt w:val="bullet"/>
      <w:lvlText w:val="•"/>
      <w:lvlJc w:val="left"/>
      <w:pPr>
        <w:ind w:left="6555" w:hanging="389"/>
      </w:pPr>
      <w:rPr>
        <w:rFonts w:hint="default"/>
        <w:lang w:val="zh-CN" w:eastAsia="zh-CN" w:bidi="zh-CN"/>
      </w:rPr>
    </w:lvl>
    <w:lvl w:ilvl="7" w:tplc="A2F05FAA">
      <w:numFmt w:val="bullet"/>
      <w:lvlText w:val="•"/>
      <w:lvlJc w:val="left"/>
      <w:pPr>
        <w:ind w:left="7578" w:hanging="389"/>
      </w:pPr>
      <w:rPr>
        <w:rFonts w:hint="default"/>
        <w:lang w:val="zh-CN" w:eastAsia="zh-CN" w:bidi="zh-CN"/>
      </w:rPr>
    </w:lvl>
    <w:lvl w:ilvl="8" w:tplc="8A4AB6DE">
      <w:numFmt w:val="bullet"/>
      <w:lvlText w:val="•"/>
      <w:lvlJc w:val="left"/>
      <w:pPr>
        <w:ind w:left="8601" w:hanging="389"/>
      </w:pPr>
      <w:rPr>
        <w:rFonts w:hint="default"/>
        <w:lang w:val="zh-CN" w:eastAsia="zh-CN" w:bidi="zh-CN"/>
      </w:rPr>
    </w:lvl>
  </w:abstractNum>
  <w:abstractNum w:abstractNumId="452" w15:restartNumberingAfterBreak="0">
    <w:nsid w:val="3D080F36"/>
    <w:multiLevelType w:val="hybridMultilevel"/>
    <w:tmpl w:val="5DAE4B7C"/>
    <w:lvl w:ilvl="0" w:tplc="3578B06A">
      <w:start w:val="12"/>
      <w:numFmt w:val="decimal"/>
      <w:lvlText w:val="%1"/>
      <w:lvlJc w:val="left"/>
      <w:pPr>
        <w:ind w:left="1477" w:hanging="637"/>
        <w:jc w:val="left"/>
      </w:pPr>
      <w:rPr>
        <w:rFonts w:hint="default"/>
        <w:lang w:val="zh-CN" w:eastAsia="zh-CN" w:bidi="zh-CN"/>
      </w:rPr>
    </w:lvl>
    <w:lvl w:ilvl="1" w:tplc="65142CEC">
      <w:start w:val="1"/>
      <w:numFmt w:val="decimal"/>
      <w:lvlText w:val="%1.%2"/>
      <w:lvlJc w:val="left"/>
      <w:pPr>
        <w:ind w:left="1477" w:hanging="637"/>
        <w:jc w:val="left"/>
      </w:pPr>
      <w:rPr>
        <w:rFonts w:hint="default"/>
        <w:lang w:val="zh-CN" w:eastAsia="zh-CN" w:bidi="zh-CN"/>
      </w:rPr>
    </w:lvl>
    <w:lvl w:ilvl="2" w:tplc="B7BC170E">
      <w:start w:val="8"/>
      <w:numFmt w:val="decimal"/>
      <w:lvlText w:val="%1.%2.%3"/>
      <w:lvlJc w:val="left"/>
      <w:pPr>
        <w:ind w:left="1477" w:hanging="637"/>
        <w:jc w:val="left"/>
      </w:pPr>
      <w:rPr>
        <w:rFonts w:ascii="宋体" w:eastAsia="宋体" w:hAnsi="宋体" w:cs="宋体" w:hint="default"/>
        <w:b/>
        <w:bCs/>
        <w:spacing w:val="-3"/>
        <w:w w:val="99"/>
        <w:sz w:val="19"/>
        <w:szCs w:val="19"/>
        <w:lang w:val="zh-CN" w:eastAsia="zh-CN" w:bidi="zh-CN"/>
      </w:rPr>
    </w:lvl>
    <w:lvl w:ilvl="3" w:tplc="E63AF508">
      <w:numFmt w:val="bullet"/>
      <w:lvlText w:val="•"/>
      <w:lvlJc w:val="left"/>
      <w:pPr>
        <w:ind w:left="4229" w:hanging="637"/>
      </w:pPr>
      <w:rPr>
        <w:rFonts w:hint="default"/>
        <w:lang w:val="zh-CN" w:eastAsia="zh-CN" w:bidi="zh-CN"/>
      </w:rPr>
    </w:lvl>
    <w:lvl w:ilvl="4" w:tplc="D09CA68E">
      <w:numFmt w:val="bullet"/>
      <w:lvlText w:val="•"/>
      <w:lvlJc w:val="left"/>
      <w:pPr>
        <w:ind w:left="5146" w:hanging="637"/>
      </w:pPr>
      <w:rPr>
        <w:rFonts w:hint="default"/>
        <w:lang w:val="zh-CN" w:eastAsia="zh-CN" w:bidi="zh-CN"/>
      </w:rPr>
    </w:lvl>
    <w:lvl w:ilvl="5" w:tplc="049EA096">
      <w:numFmt w:val="bullet"/>
      <w:lvlText w:val="•"/>
      <w:lvlJc w:val="left"/>
      <w:pPr>
        <w:ind w:left="6063" w:hanging="637"/>
      </w:pPr>
      <w:rPr>
        <w:rFonts w:hint="default"/>
        <w:lang w:val="zh-CN" w:eastAsia="zh-CN" w:bidi="zh-CN"/>
      </w:rPr>
    </w:lvl>
    <w:lvl w:ilvl="6" w:tplc="31B4223E">
      <w:numFmt w:val="bullet"/>
      <w:lvlText w:val="•"/>
      <w:lvlJc w:val="left"/>
      <w:pPr>
        <w:ind w:left="6979" w:hanging="637"/>
      </w:pPr>
      <w:rPr>
        <w:rFonts w:hint="default"/>
        <w:lang w:val="zh-CN" w:eastAsia="zh-CN" w:bidi="zh-CN"/>
      </w:rPr>
    </w:lvl>
    <w:lvl w:ilvl="7" w:tplc="2F869C94">
      <w:numFmt w:val="bullet"/>
      <w:lvlText w:val="•"/>
      <w:lvlJc w:val="left"/>
      <w:pPr>
        <w:ind w:left="7896" w:hanging="637"/>
      </w:pPr>
      <w:rPr>
        <w:rFonts w:hint="default"/>
        <w:lang w:val="zh-CN" w:eastAsia="zh-CN" w:bidi="zh-CN"/>
      </w:rPr>
    </w:lvl>
    <w:lvl w:ilvl="8" w:tplc="611CFA6A">
      <w:numFmt w:val="bullet"/>
      <w:lvlText w:val="•"/>
      <w:lvlJc w:val="left"/>
      <w:pPr>
        <w:ind w:left="8813" w:hanging="637"/>
      </w:pPr>
      <w:rPr>
        <w:rFonts w:hint="default"/>
        <w:lang w:val="zh-CN" w:eastAsia="zh-CN" w:bidi="zh-CN"/>
      </w:rPr>
    </w:lvl>
  </w:abstractNum>
  <w:abstractNum w:abstractNumId="453" w15:restartNumberingAfterBreak="0">
    <w:nsid w:val="3D331443"/>
    <w:multiLevelType w:val="hybridMultilevel"/>
    <w:tmpl w:val="DF30DFC2"/>
    <w:lvl w:ilvl="0" w:tplc="CF8CDBAE">
      <w:start w:val="8"/>
      <w:numFmt w:val="decimal"/>
      <w:lvlText w:val="%1"/>
      <w:lvlJc w:val="left"/>
      <w:pPr>
        <w:ind w:left="1158" w:hanging="318"/>
        <w:jc w:val="left"/>
      </w:pPr>
      <w:rPr>
        <w:rFonts w:hint="default"/>
        <w:lang w:val="zh-CN" w:eastAsia="zh-CN" w:bidi="zh-CN"/>
      </w:rPr>
    </w:lvl>
    <w:lvl w:ilvl="1" w:tplc="5770B4B4">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DF2C3926">
      <w:numFmt w:val="bullet"/>
      <w:lvlText w:val="•"/>
      <w:lvlJc w:val="left"/>
      <w:pPr>
        <w:ind w:left="3057" w:hanging="318"/>
      </w:pPr>
      <w:rPr>
        <w:rFonts w:hint="default"/>
        <w:lang w:val="zh-CN" w:eastAsia="zh-CN" w:bidi="zh-CN"/>
      </w:rPr>
    </w:lvl>
    <w:lvl w:ilvl="3" w:tplc="D116DCEC">
      <w:numFmt w:val="bullet"/>
      <w:lvlText w:val="•"/>
      <w:lvlJc w:val="left"/>
      <w:pPr>
        <w:ind w:left="4005" w:hanging="318"/>
      </w:pPr>
      <w:rPr>
        <w:rFonts w:hint="default"/>
        <w:lang w:val="zh-CN" w:eastAsia="zh-CN" w:bidi="zh-CN"/>
      </w:rPr>
    </w:lvl>
    <w:lvl w:ilvl="4" w:tplc="CA34C4A0">
      <w:numFmt w:val="bullet"/>
      <w:lvlText w:val="•"/>
      <w:lvlJc w:val="left"/>
      <w:pPr>
        <w:ind w:left="4954" w:hanging="318"/>
      </w:pPr>
      <w:rPr>
        <w:rFonts w:hint="default"/>
        <w:lang w:val="zh-CN" w:eastAsia="zh-CN" w:bidi="zh-CN"/>
      </w:rPr>
    </w:lvl>
    <w:lvl w:ilvl="5" w:tplc="BDC817CC">
      <w:numFmt w:val="bullet"/>
      <w:lvlText w:val="•"/>
      <w:lvlJc w:val="left"/>
      <w:pPr>
        <w:ind w:left="5903" w:hanging="318"/>
      </w:pPr>
      <w:rPr>
        <w:rFonts w:hint="default"/>
        <w:lang w:val="zh-CN" w:eastAsia="zh-CN" w:bidi="zh-CN"/>
      </w:rPr>
    </w:lvl>
    <w:lvl w:ilvl="6" w:tplc="59E65ACC">
      <w:numFmt w:val="bullet"/>
      <w:lvlText w:val="•"/>
      <w:lvlJc w:val="left"/>
      <w:pPr>
        <w:ind w:left="6851" w:hanging="318"/>
      </w:pPr>
      <w:rPr>
        <w:rFonts w:hint="default"/>
        <w:lang w:val="zh-CN" w:eastAsia="zh-CN" w:bidi="zh-CN"/>
      </w:rPr>
    </w:lvl>
    <w:lvl w:ilvl="7" w:tplc="C9D2316A">
      <w:numFmt w:val="bullet"/>
      <w:lvlText w:val="•"/>
      <w:lvlJc w:val="left"/>
      <w:pPr>
        <w:ind w:left="7800" w:hanging="318"/>
      </w:pPr>
      <w:rPr>
        <w:rFonts w:hint="default"/>
        <w:lang w:val="zh-CN" w:eastAsia="zh-CN" w:bidi="zh-CN"/>
      </w:rPr>
    </w:lvl>
    <w:lvl w:ilvl="8" w:tplc="332228F4">
      <w:numFmt w:val="bullet"/>
      <w:lvlText w:val="•"/>
      <w:lvlJc w:val="left"/>
      <w:pPr>
        <w:ind w:left="8749" w:hanging="318"/>
      </w:pPr>
      <w:rPr>
        <w:rFonts w:hint="default"/>
        <w:lang w:val="zh-CN" w:eastAsia="zh-CN" w:bidi="zh-CN"/>
      </w:rPr>
    </w:lvl>
  </w:abstractNum>
  <w:abstractNum w:abstractNumId="454" w15:restartNumberingAfterBreak="0">
    <w:nsid w:val="3D66329C"/>
    <w:multiLevelType w:val="hybridMultilevel"/>
    <w:tmpl w:val="8EC226E2"/>
    <w:lvl w:ilvl="0" w:tplc="3392C9EC">
      <w:start w:val="5"/>
      <w:numFmt w:val="decimal"/>
      <w:lvlText w:val="%1"/>
      <w:lvlJc w:val="left"/>
      <w:pPr>
        <w:ind w:left="1158" w:hanging="318"/>
        <w:jc w:val="left"/>
      </w:pPr>
      <w:rPr>
        <w:rFonts w:hint="default"/>
        <w:lang w:val="zh-CN" w:eastAsia="zh-CN" w:bidi="zh-CN"/>
      </w:rPr>
    </w:lvl>
    <w:lvl w:ilvl="1" w:tplc="0338CD98">
      <w:start w:val="3"/>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B7A23210">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EE889372">
      <w:numFmt w:val="bullet"/>
      <w:lvlText w:val="•"/>
      <w:lvlJc w:val="left"/>
      <w:pPr>
        <w:ind w:left="3268" w:hanging="531"/>
      </w:pPr>
      <w:rPr>
        <w:rFonts w:hint="default"/>
        <w:lang w:val="zh-CN" w:eastAsia="zh-CN" w:bidi="zh-CN"/>
      </w:rPr>
    </w:lvl>
    <w:lvl w:ilvl="4" w:tplc="EDFA3DBC">
      <w:numFmt w:val="bullet"/>
      <w:lvlText w:val="•"/>
      <w:lvlJc w:val="left"/>
      <w:pPr>
        <w:ind w:left="4322" w:hanging="531"/>
      </w:pPr>
      <w:rPr>
        <w:rFonts w:hint="default"/>
        <w:lang w:val="zh-CN" w:eastAsia="zh-CN" w:bidi="zh-CN"/>
      </w:rPr>
    </w:lvl>
    <w:lvl w:ilvl="5" w:tplc="BABEB8B0">
      <w:numFmt w:val="bullet"/>
      <w:lvlText w:val="•"/>
      <w:lvlJc w:val="left"/>
      <w:pPr>
        <w:ind w:left="5376" w:hanging="531"/>
      </w:pPr>
      <w:rPr>
        <w:rFonts w:hint="default"/>
        <w:lang w:val="zh-CN" w:eastAsia="zh-CN" w:bidi="zh-CN"/>
      </w:rPr>
    </w:lvl>
    <w:lvl w:ilvl="6" w:tplc="D8CA4FDA">
      <w:numFmt w:val="bullet"/>
      <w:lvlText w:val="•"/>
      <w:lvlJc w:val="left"/>
      <w:pPr>
        <w:ind w:left="6430" w:hanging="531"/>
      </w:pPr>
      <w:rPr>
        <w:rFonts w:hint="default"/>
        <w:lang w:val="zh-CN" w:eastAsia="zh-CN" w:bidi="zh-CN"/>
      </w:rPr>
    </w:lvl>
    <w:lvl w:ilvl="7" w:tplc="F6DE3E9C">
      <w:numFmt w:val="bullet"/>
      <w:lvlText w:val="•"/>
      <w:lvlJc w:val="left"/>
      <w:pPr>
        <w:ind w:left="7484" w:hanging="531"/>
      </w:pPr>
      <w:rPr>
        <w:rFonts w:hint="default"/>
        <w:lang w:val="zh-CN" w:eastAsia="zh-CN" w:bidi="zh-CN"/>
      </w:rPr>
    </w:lvl>
    <w:lvl w:ilvl="8" w:tplc="64C6636E">
      <w:numFmt w:val="bullet"/>
      <w:lvlText w:val="•"/>
      <w:lvlJc w:val="left"/>
      <w:pPr>
        <w:ind w:left="8538" w:hanging="531"/>
      </w:pPr>
      <w:rPr>
        <w:rFonts w:hint="default"/>
        <w:lang w:val="zh-CN" w:eastAsia="zh-CN" w:bidi="zh-CN"/>
      </w:rPr>
    </w:lvl>
  </w:abstractNum>
  <w:abstractNum w:abstractNumId="455" w15:restartNumberingAfterBreak="0">
    <w:nsid w:val="3D841ECE"/>
    <w:multiLevelType w:val="hybridMultilevel"/>
    <w:tmpl w:val="F3BCFE0C"/>
    <w:lvl w:ilvl="0" w:tplc="9DE60F6E">
      <w:start w:val="1"/>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557E488C">
      <w:numFmt w:val="bullet"/>
      <w:lvlText w:val="•"/>
      <w:lvlJc w:val="left"/>
      <w:pPr>
        <w:ind w:left="2018" w:hanging="213"/>
      </w:pPr>
      <w:rPr>
        <w:rFonts w:hint="default"/>
        <w:lang w:val="zh-CN" w:eastAsia="zh-CN" w:bidi="zh-CN"/>
      </w:rPr>
    </w:lvl>
    <w:lvl w:ilvl="2" w:tplc="A5B801BE">
      <w:numFmt w:val="bullet"/>
      <w:lvlText w:val="•"/>
      <w:lvlJc w:val="left"/>
      <w:pPr>
        <w:ind w:left="2977" w:hanging="213"/>
      </w:pPr>
      <w:rPr>
        <w:rFonts w:hint="default"/>
        <w:lang w:val="zh-CN" w:eastAsia="zh-CN" w:bidi="zh-CN"/>
      </w:rPr>
    </w:lvl>
    <w:lvl w:ilvl="3" w:tplc="30161150">
      <w:numFmt w:val="bullet"/>
      <w:lvlText w:val="•"/>
      <w:lvlJc w:val="left"/>
      <w:pPr>
        <w:ind w:left="3935" w:hanging="213"/>
      </w:pPr>
      <w:rPr>
        <w:rFonts w:hint="default"/>
        <w:lang w:val="zh-CN" w:eastAsia="zh-CN" w:bidi="zh-CN"/>
      </w:rPr>
    </w:lvl>
    <w:lvl w:ilvl="4" w:tplc="7592FF9E">
      <w:numFmt w:val="bullet"/>
      <w:lvlText w:val="•"/>
      <w:lvlJc w:val="left"/>
      <w:pPr>
        <w:ind w:left="4894" w:hanging="213"/>
      </w:pPr>
      <w:rPr>
        <w:rFonts w:hint="default"/>
        <w:lang w:val="zh-CN" w:eastAsia="zh-CN" w:bidi="zh-CN"/>
      </w:rPr>
    </w:lvl>
    <w:lvl w:ilvl="5" w:tplc="E6087AD6">
      <w:numFmt w:val="bullet"/>
      <w:lvlText w:val="•"/>
      <w:lvlJc w:val="left"/>
      <w:pPr>
        <w:ind w:left="5853" w:hanging="213"/>
      </w:pPr>
      <w:rPr>
        <w:rFonts w:hint="default"/>
        <w:lang w:val="zh-CN" w:eastAsia="zh-CN" w:bidi="zh-CN"/>
      </w:rPr>
    </w:lvl>
    <w:lvl w:ilvl="6" w:tplc="EA821B2A">
      <w:numFmt w:val="bullet"/>
      <w:lvlText w:val="•"/>
      <w:lvlJc w:val="left"/>
      <w:pPr>
        <w:ind w:left="6811" w:hanging="213"/>
      </w:pPr>
      <w:rPr>
        <w:rFonts w:hint="default"/>
        <w:lang w:val="zh-CN" w:eastAsia="zh-CN" w:bidi="zh-CN"/>
      </w:rPr>
    </w:lvl>
    <w:lvl w:ilvl="7" w:tplc="938266E4">
      <w:numFmt w:val="bullet"/>
      <w:lvlText w:val="•"/>
      <w:lvlJc w:val="left"/>
      <w:pPr>
        <w:ind w:left="7770" w:hanging="213"/>
      </w:pPr>
      <w:rPr>
        <w:rFonts w:hint="default"/>
        <w:lang w:val="zh-CN" w:eastAsia="zh-CN" w:bidi="zh-CN"/>
      </w:rPr>
    </w:lvl>
    <w:lvl w:ilvl="8" w:tplc="B52E2C42">
      <w:numFmt w:val="bullet"/>
      <w:lvlText w:val="•"/>
      <w:lvlJc w:val="left"/>
      <w:pPr>
        <w:ind w:left="8729" w:hanging="213"/>
      </w:pPr>
      <w:rPr>
        <w:rFonts w:hint="default"/>
        <w:lang w:val="zh-CN" w:eastAsia="zh-CN" w:bidi="zh-CN"/>
      </w:rPr>
    </w:lvl>
  </w:abstractNum>
  <w:abstractNum w:abstractNumId="456" w15:restartNumberingAfterBreak="0">
    <w:nsid w:val="3DA23B83"/>
    <w:multiLevelType w:val="hybridMultilevel"/>
    <w:tmpl w:val="7FB24C30"/>
    <w:lvl w:ilvl="0" w:tplc="3006C512">
      <w:start w:val="4"/>
      <w:numFmt w:val="decimal"/>
      <w:lvlText w:val="%1"/>
      <w:lvlJc w:val="left"/>
      <w:pPr>
        <w:ind w:left="1477" w:hanging="637"/>
        <w:jc w:val="left"/>
      </w:pPr>
      <w:rPr>
        <w:rFonts w:hint="default"/>
        <w:lang w:val="zh-CN" w:eastAsia="zh-CN" w:bidi="zh-CN"/>
      </w:rPr>
    </w:lvl>
    <w:lvl w:ilvl="1" w:tplc="E4808166">
      <w:start w:val="11"/>
      <w:numFmt w:val="decimal"/>
      <w:lvlText w:val="%1.%2"/>
      <w:lvlJc w:val="left"/>
      <w:pPr>
        <w:ind w:left="1477" w:hanging="637"/>
        <w:jc w:val="left"/>
      </w:pPr>
      <w:rPr>
        <w:rFonts w:hint="default"/>
        <w:lang w:val="zh-CN" w:eastAsia="zh-CN" w:bidi="zh-CN"/>
      </w:rPr>
    </w:lvl>
    <w:lvl w:ilvl="2" w:tplc="CA56CCAC">
      <w:start w:val="7"/>
      <w:numFmt w:val="decimal"/>
      <w:lvlText w:val="%1.%2.%3"/>
      <w:lvlJc w:val="left"/>
      <w:pPr>
        <w:ind w:left="1477" w:hanging="637"/>
        <w:jc w:val="left"/>
      </w:pPr>
      <w:rPr>
        <w:rFonts w:ascii="宋体" w:eastAsia="宋体" w:hAnsi="宋体" w:cs="宋体" w:hint="default"/>
        <w:b/>
        <w:bCs/>
        <w:w w:val="99"/>
        <w:sz w:val="19"/>
        <w:szCs w:val="19"/>
        <w:lang w:val="zh-CN" w:eastAsia="zh-CN" w:bidi="zh-CN"/>
      </w:rPr>
    </w:lvl>
    <w:lvl w:ilvl="3" w:tplc="7DF45D7C">
      <w:numFmt w:val="bullet"/>
      <w:lvlText w:val="•"/>
      <w:lvlJc w:val="left"/>
      <w:pPr>
        <w:ind w:left="4229" w:hanging="637"/>
      </w:pPr>
      <w:rPr>
        <w:rFonts w:hint="default"/>
        <w:lang w:val="zh-CN" w:eastAsia="zh-CN" w:bidi="zh-CN"/>
      </w:rPr>
    </w:lvl>
    <w:lvl w:ilvl="4" w:tplc="D11A61D8">
      <w:numFmt w:val="bullet"/>
      <w:lvlText w:val="•"/>
      <w:lvlJc w:val="left"/>
      <w:pPr>
        <w:ind w:left="5146" w:hanging="637"/>
      </w:pPr>
      <w:rPr>
        <w:rFonts w:hint="default"/>
        <w:lang w:val="zh-CN" w:eastAsia="zh-CN" w:bidi="zh-CN"/>
      </w:rPr>
    </w:lvl>
    <w:lvl w:ilvl="5" w:tplc="28EA13E2">
      <w:numFmt w:val="bullet"/>
      <w:lvlText w:val="•"/>
      <w:lvlJc w:val="left"/>
      <w:pPr>
        <w:ind w:left="6063" w:hanging="637"/>
      </w:pPr>
      <w:rPr>
        <w:rFonts w:hint="default"/>
        <w:lang w:val="zh-CN" w:eastAsia="zh-CN" w:bidi="zh-CN"/>
      </w:rPr>
    </w:lvl>
    <w:lvl w:ilvl="6" w:tplc="432A330E">
      <w:numFmt w:val="bullet"/>
      <w:lvlText w:val="•"/>
      <w:lvlJc w:val="left"/>
      <w:pPr>
        <w:ind w:left="6979" w:hanging="637"/>
      </w:pPr>
      <w:rPr>
        <w:rFonts w:hint="default"/>
        <w:lang w:val="zh-CN" w:eastAsia="zh-CN" w:bidi="zh-CN"/>
      </w:rPr>
    </w:lvl>
    <w:lvl w:ilvl="7" w:tplc="0A56CD60">
      <w:numFmt w:val="bullet"/>
      <w:lvlText w:val="•"/>
      <w:lvlJc w:val="left"/>
      <w:pPr>
        <w:ind w:left="7896" w:hanging="637"/>
      </w:pPr>
      <w:rPr>
        <w:rFonts w:hint="default"/>
        <w:lang w:val="zh-CN" w:eastAsia="zh-CN" w:bidi="zh-CN"/>
      </w:rPr>
    </w:lvl>
    <w:lvl w:ilvl="8" w:tplc="6D26AE24">
      <w:numFmt w:val="bullet"/>
      <w:lvlText w:val="•"/>
      <w:lvlJc w:val="left"/>
      <w:pPr>
        <w:ind w:left="8813" w:hanging="637"/>
      </w:pPr>
      <w:rPr>
        <w:rFonts w:hint="default"/>
        <w:lang w:val="zh-CN" w:eastAsia="zh-CN" w:bidi="zh-CN"/>
      </w:rPr>
    </w:lvl>
  </w:abstractNum>
  <w:abstractNum w:abstractNumId="457" w15:restartNumberingAfterBreak="0">
    <w:nsid w:val="3E2D05C0"/>
    <w:multiLevelType w:val="hybridMultilevel"/>
    <w:tmpl w:val="7F6E11A6"/>
    <w:lvl w:ilvl="0" w:tplc="9078DABA">
      <w:start w:val="9"/>
      <w:numFmt w:val="decimal"/>
      <w:lvlText w:val="%1"/>
      <w:lvlJc w:val="left"/>
      <w:pPr>
        <w:ind w:left="418" w:hanging="529"/>
        <w:jc w:val="left"/>
      </w:pPr>
      <w:rPr>
        <w:rFonts w:hint="default"/>
        <w:lang w:val="zh-CN" w:eastAsia="zh-CN" w:bidi="zh-CN"/>
      </w:rPr>
    </w:lvl>
    <w:lvl w:ilvl="1" w:tplc="8C1ECAF4">
      <w:start w:val="2"/>
      <w:numFmt w:val="decimal"/>
      <w:lvlText w:val="%1.%2"/>
      <w:lvlJc w:val="left"/>
      <w:pPr>
        <w:ind w:left="418" w:hanging="529"/>
        <w:jc w:val="left"/>
      </w:pPr>
      <w:rPr>
        <w:rFonts w:hint="default"/>
        <w:lang w:val="zh-CN" w:eastAsia="zh-CN" w:bidi="zh-CN"/>
      </w:rPr>
    </w:lvl>
    <w:lvl w:ilvl="2" w:tplc="7E3C471A">
      <w:start w:val="1"/>
      <w:numFmt w:val="decimal"/>
      <w:lvlText w:val="%1.%2.%3"/>
      <w:lvlJc w:val="left"/>
      <w:pPr>
        <w:ind w:left="418" w:hanging="529"/>
        <w:jc w:val="left"/>
      </w:pPr>
      <w:rPr>
        <w:rFonts w:ascii="宋体" w:eastAsia="宋体" w:hAnsi="宋体" w:cs="宋体" w:hint="default"/>
        <w:b/>
        <w:bCs/>
        <w:color w:val="333333"/>
        <w:w w:val="99"/>
        <w:sz w:val="19"/>
        <w:szCs w:val="19"/>
        <w:lang w:val="zh-CN" w:eastAsia="zh-CN" w:bidi="zh-CN"/>
      </w:rPr>
    </w:lvl>
    <w:lvl w:ilvl="3" w:tplc="1B0C0306">
      <w:numFmt w:val="bullet"/>
      <w:lvlText w:val="•"/>
      <w:lvlJc w:val="left"/>
      <w:pPr>
        <w:ind w:left="3487" w:hanging="529"/>
      </w:pPr>
      <w:rPr>
        <w:rFonts w:hint="default"/>
        <w:lang w:val="zh-CN" w:eastAsia="zh-CN" w:bidi="zh-CN"/>
      </w:rPr>
    </w:lvl>
    <w:lvl w:ilvl="4" w:tplc="7AF68E96">
      <w:numFmt w:val="bullet"/>
      <w:lvlText w:val="•"/>
      <w:lvlJc w:val="left"/>
      <w:pPr>
        <w:ind w:left="4510" w:hanging="529"/>
      </w:pPr>
      <w:rPr>
        <w:rFonts w:hint="default"/>
        <w:lang w:val="zh-CN" w:eastAsia="zh-CN" w:bidi="zh-CN"/>
      </w:rPr>
    </w:lvl>
    <w:lvl w:ilvl="5" w:tplc="BDF27448">
      <w:numFmt w:val="bullet"/>
      <w:lvlText w:val="•"/>
      <w:lvlJc w:val="left"/>
      <w:pPr>
        <w:ind w:left="5533" w:hanging="529"/>
      </w:pPr>
      <w:rPr>
        <w:rFonts w:hint="default"/>
        <w:lang w:val="zh-CN" w:eastAsia="zh-CN" w:bidi="zh-CN"/>
      </w:rPr>
    </w:lvl>
    <w:lvl w:ilvl="6" w:tplc="847AAD7E">
      <w:numFmt w:val="bullet"/>
      <w:lvlText w:val="•"/>
      <w:lvlJc w:val="left"/>
      <w:pPr>
        <w:ind w:left="6555" w:hanging="529"/>
      </w:pPr>
      <w:rPr>
        <w:rFonts w:hint="default"/>
        <w:lang w:val="zh-CN" w:eastAsia="zh-CN" w:bidi="zh-CN"/>
      </w:rPr>
    </w:lvl>
    <w:lvl w:ilvl="7" w:tplc="4B10379E">
      <w:numFmt w:val="bullet"/>
      <w:lvlText w:val="•"/>
      <w:lvlJc w:val="left"/>
      <w:pPr>
        <w:ind w:left="7578" w:hanging="529"/>
      </w:pPr>
      <w:rPr>
        <w:rFonts w:hint="default"/>
        <w:lang w:val="zh-CN" w:eastAsia="zh-CN" w:bidi="zh-CN"/>
      </w:rPr>
    </w:lvl>
    <w:lvl w:ilvl="8" w:tplc="0F68637E">
      <w:numFmt w:val="bullet"/>
      <w:lvlText w:val="•"/>
      <w:lvlJc w:val="left"/>
      <w:pPr>
        <w:ind w:left="8601" w:hanging="529"/>
      </w:pPr>
      <w:rPr>
        <w:rFonts w:hint="default"/>
        <w:lang w:val="zh-CN" w:eastAsia="zh-CN" w:bidi="zh-CN"/>
      </w:rPr>
    </w:lvl>
  </w:abstractNum>
  <w:abstractNum w:abstractNumId="458" w15:restartNumberingAfterBreak="0">
    <w:nsid w:val="3E9B04BD"/>
    <w:multiLevelType w:val="hybridMultilevel"/>
    <w:tmpl w:val="D6AE942C"/>
    <w:lvl w:ilvl="0" w:tplc="E7AA2A18">
      <w:start w:val="6"/>
      <w:numFmt w:val="decimal"/>
      <w:lvlText w:val="%1"/>
      <w:lvlJc w:val="left"/>
      <w:pPr>
        <w:ind w:left="1370" w:hanging="531"/>
        <w:jc w:val="left"/>
      </w:pPr>
      <w:rPr>
        <w:rFonts w:hint="default"/>
        <w:lang w:val="zh-CN" w:eastAsia="zh-CN" w:bidi="zh-CN"/>
      </w:rPr>
    </w:lvl>
    <w:lvl w:ilvl="1" w:tplc="511CF380">
      <w:start w:val="2"/>
      <w:numFmt w:val="decimal"/>
      <w:lvlText w:val="%1.%2"/>
      <w:lvlJc w:val="left"/>
      <w:pPr>
        <w:ind w:left="1370" w:hanging="531"/>
        <w:jc w:val="left"/>
      </w:pPr>
      <w:rPr>
        <w:rFonts w:hint="default"/>
        <w:lang w:val="zh-CN" w:eastAsia="zh-CN" w:bidi="zh-CN"/>
      </w:rPr>
    </w:lvl>
    <w:lvl w:ilvl="2" w:tplc="08FE68C2">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5D6C8FDA">
      <w:numFmt w:val="bullet"/>
      <w:lvlText w:val="•"/>
      <w:lvlJc w:val="left"/>
      <w:pPr>
        <w:ind w:left="4159" w:hanging="531"/>
      </w:pPr>
      <w:rPr>
        <w:rFonts w:hint="default"/>
        <w:lang w:val="zh-CN" w:eastAsia="zh-CN" w:bidi="zh-CN"/>
      </w:rPr>
    </w:lvl>
    <w:lvl w:ilvl="4" w:tplc="19AAF8EE">
      <w:numFmt w:val="bullet"/>
      <w:lvlText w:val="•"/>
      <w:lvlJc w:val="left"/>
      <w:pPr>
        <w:ind w:left="5086" w:hanging="531"/>
      </w:pPr>
      <w:rPr>
        <w:rFonts w:hint="default"/>
        <w:lang w:val="zh-CN" w:eastAsia="zh-CN" w:bidi="zh-CN"/>
      </w:rPr>
    </w:lvl>
    <w:lvl w:ilvl="5" w:tplc="681C5DE6">
      <w:numFmt w:val="bullet"/>
      <w:lvlText w:val="•"/>
      <w:lvlJc w:val="left"/>
      <w:pPr>
        <w:ind w:left="6013" w:hanging="531"/>
      </w:pPr>
      <w:rPr>
        <w:rFonts w:hint="default"/>
        <w:lang w:val="zh-CN" w:eastAsia="zh-CN" w:bidi="zh-CN"/>
      </w:rPr>
    </w:lvl>
    <w:lvl w:ilvl="6" w:tplc="AC608F14">
      <w:numFmt w:val="bullet"/>
      <w:lvlText w:val="•"/>
      <w:lvlJc w:val="left"/>
      <w:pPr>
        <w:ind w:left="6939" w:hanging="531"/>
      </w:pPr>
      <w:rPr>
        <w:rFonts w:hint="default"/>
        <w:lang w:val="zh-CN" w:eastAsia="zh-CN" w:bidi="zh-CN"/>
      </w:rPr>
    </w:lvl>
    <w:lvl w:ilvl="7" w:tplc="9F10B436">
      <w:numFmt w:val="bullet"/>
      <w:lvlText w:val="•"/>
      <w:lvlJc w:val="left"/>
      <w:pPr>
        <w:ind w:left="7866" w:hanging="531"/>
      </w:pPr>
      <w:rPr>
        <w:rFonts w:hint="default"/>
        <w:lang w:val="zh-CN" w:eastAsia="zh-CN" w:bidi="zh-CN"/>
      </w:rPr>
    </w:lvl>
    <w:lvl w:ilvl="8" w:tplc="002295F2">
      <w:numFmt w:val="bullet"/>
      <w:lvlText w:val="•"/>
      <w:lvlJc w:val="left"/>
      <w:pPr>
        <w:ind w:left="8793" w:hanging="531"/>
      </w:pPr>
      <w:rPr>
        <w:rFonts w:hint="default"/>
        <w:lang w:val="zh-CN" w:eastAsia="zh-CN" w:bidi="zh-CN"/>
      </w:rPr>
    </w:lvl>
  </w:abstractNum>
  <w:abstractNum w:abstractNumId="459" w15:restartNumberingAfterBreak="0">
    <w:nsid w:val="3EAC155F"/>
    <w:multiLevelType w:val="hybridMultilevel"/>
    <w:tmpl w:val="32CAD02E"/>
    <w:lvl w:ilvl="0" w:tplc="20B4EDE6">
      <w:start w:val="2"/>
      <w:numFmt w:val="decimal"/>
      <w:lvlText w:val="%1."/>
      <w:lvlJc w:val="left"/>
      <w:pPr>
        <w:ind w:left="1050" w:hanging="213"/>
        <w:jc w:val="left"/>
      </w:pPr>
      <w:rPr>
        <w:rFonts w:ascii="宋体" w:eastAsia="宋体" w:hAnsi="宋体" w:cs="宋体" w:hint="default"/>
        <w:spacing w:val="-55"/>
        <w:w w:val="100"/>
        <w:sz w:val="19"/>
        <w:szCs w:val="19"/>
        <w:lang w:val="zh-CN" w:eastAsia="zh-CN" w:bidi="zh-CN"/>
      </w:rPr>
    </w:lvl>
    <w:lvl w:ilvl="1" w:tplc="2932C52C">
      <w:numFmt w:val="bullet"/>
      <w:lvlText w:val="•"/>
      <w:lvlJc w:val="left"/>
      <w:pPr>
        <w:ind w:left="2018" w:hanging="213"/>
      </w:pPr>
      <w:rPr>
        <w:rFonts w:hint="default"/>
        <w:lang w:val="zh-CN" w:eastAsia="zh-CN" w:bidi="zh-CN"/>
      </w:rPr>
    </w:lvl>
    <w:lvl w:ilvl="2" w:tplc="AD6C9EC2">
      <w:numFmt w:val="bullet"/>
      <w:lvlText w:val="•"/>
      <w:lvlJc w:val="left"/>
      <w:pPr>
        <w:ind w:left="2977" w:hanging="213"/>
      </w:pPr>
      <w:rPr>
        <w:rFonts w:hint="default"/>
        <w:lang w:val="zh-CN" w:eastAsia="zh-CN" w:bidi="zh-CN"/>
      </w:rPr>
    </w:lvl>
    <w:lvl w:ilvl="3" w:tplc="FC563586">
      <w:numFmt w:val="bullet"/>
      <w:lvlText w:val="•"/>
      <w:lvlJc w:val="left"/>
      <w:pPr>
        <w:ind w:left="3935" w:hanging="213"/>
      </w:pPr>
      <w:rPr>
        <w:rFonts w:hint="default"/>
        <w:lang w:val="zh-CN" w:eastAsia="zh-CN" w:bidi="zh-CN"/>
      </w:rPr>
    </w:lvl>
    <w:lvl w:ilvl="4" w:tplc="AB768312">
      <w:numFmt w:val="bullet"/>
      <w:lvlText w:val="•"/>
      <w:lvlJc w:val="left"/>
      <w:pPr>
        <w:ind w:left="4894" w:hanging="213"/>
      </w:pPr>
      <w:rPr>
        <w:rFonts w:hint="default"/>
        <w:lang w:val="zh-CN" w:eastAsia="zh-CN" w:bidi="zh-CN"/>
      </w:rPr>
    </w:lvl>
    <w:lvl w:ilvl="5" w:tplc="E6A26740">
      <w:numFmt w:val="bullet"/>
      <w:lvlText w:val="•"/>
      <w:lvlJc w:val="left"/>
      <w:pPr>
        <w:ind w:left="5853" w:hanging="213"/>
      </w:pPr>
      <w:rPr>
        <w:rFonts w:hint="default"/>
        <w:lang w:val="zh-CN" w:eastAsia="zh-CN" w:bidi="zh-CN"/>
      </w:rPr>
    </w:lvl>
    <w:lvl w:ilvl="6" w:tplc="8452B6A4">
      <w:numFmt w:val="bullet"/>
      <w:lvlText w:val="•"/>
      <w:lvlJc w:val="left"/>
      <w:pPr>
        <w:ind w:left="6811" w:hanging="213"/>
      </w:pPr>
      <w:rPr>
        <w:rFonts w:hint="default"/>
        <w:lang w:val="zh-CN" w:eastAsia="zh-CN" w:bidi="zh-CN"/>
      </w:rPr>
    </w:lvl>
    <w:lvl w:ilvl="7" w:tplc="5D4464A2">
      <w:numFmt w:val="bullet"/>
      <w:lvlText w:val="•"/>
      <w:lvlJc w:val="left"/>
      <w:pPr>
        <w:ind w:left="7770" w:hanging="213"/>
      </w:pPr>
      <w:rPr>
        <w:rFonts w:hint="default"/>
        <w:lang w:val="zh-CN" w:eastAsia="zh-CN" w:bidi="zh-CN"/>
      </w:rPr>
    </w:lvl>
    <w:lvl w:ilvl="8" w:tplc="2E76D0F8">
      <w:numFmt w:val="bullet"/>
      <w:lvlText w:val="•"/>
      <w:lvlJc w:val="left"/>
      <w:pPr>
        <w:ind w:left="8729" w:hanging="213"/>
      </w:pPr>
      <w:rPr>
        <w:rFonts w:hint="default"/>
        <w:lang w:val="zh-CN" w:eastAsia="zh-CN" w:bidi="zh-CN"/>
      </w:rPr>
    </w:lvl>
  </w:abstractNum>
  <w:abstractNum w:abstractNumId="460" w15:restartNumberingAfterBreak="0">
    <w:nsid w:val="3F031A31"/>
    <w:multiLevelType w:val="hybridMultilevel"/>
    <w:tmpl w:val="0664915C"/>
    <w:lvl w:ilvl="0" w:tplc="F7BC9AFE">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A92ECA96">
      <w:numFmt w:val="bullet"/>
      <w:lvlText w:val="•"/>
      <w:lvlJc w:val="left"/>
      <w:pPr>
        <w:ind w:left="2288" w:hanging="529"/>
      </w:pPr>
      <w:rPr>
        <w:rFonts w:hint="default"/>
        <w:lang w:val="zh-CN" w:eastAsia="zh-CN" w:bidi="zh-CN"/>
      </w:rPr>
    </w:lvl>
    <w:lvl w:ilvl="2" w:tplc="9B7A2636">
      <w:numFmt w:val="bullet"/>
      <w:lvlText w:val="•"/>
      <w:lvlJc w:val="left"/>
      <w:pPr>
        <w:ind w:left="3217" w:hanging="529"/>
      </w:pPr>
      <w:rPr>
        <w:rFonts w:hint="default"/>
        <w:lang w:val="zh-CN" w:eastAsia="zh-CN" w:bidi="zh-CN"/>
      </w:rPr>
    </w:lvl>
    <w:lvl w:ilvl="3" w:tplc="518A6B58">
      <w:numFmt w:val="bullet"/>
      <w:lvlText w:val="•"/>
      <w:lvlJc w:val="left"/>
      <w:pPr>
        <w:ind w:left="4145" w:hanging="529"/>
      </w:pPr>
      <w:rPr>
        <w:rFonts w:hint="default"/>
        <w:lang w:val="zh-CN" w:eastAsia="zh-CN" w:bidi="zh-CN"/>
      </w:rPr>
    </w:lvl>
    <w:lvl w:ilvl="4" w:tplc="7674B77E">
      <w:numFmt w:val="bullet"/>
      <w:lvlText w:val="•"/>
      <w:lvlJc w:val="left"/>
      <w:pPr>
        <w:ind w:left="5074" w:hanging="529"/>
      </w:pPr>
      <w:rPr>
        <w:rFonts w:hint="default"/>
        <w:lang w:val="zh-CN" w:eastAsia="zh-CN" w:bidi="zh-CN"/>
      </w:rPr>
    </w:lvl>
    <w:lvl w:ilvl="5" w:tplc="D646BB14">
      <w:numFmt w:val="bullet"/>
      <w:lvlText w:val="•"/>
      <w:lvlJc w:val="left"/>
      <w:pPr>
        <w:ind w:left="6003" w:hanging="529"/>
      </w:pPr>
      <w:rPr>
        <w:rFonts w:hint="default"/>
        <w:lang w:val="zh-CN" w:eastAsia="zh-CN" w:bidi="zh-CN"/>
      </w:rPr>
    </w:lvl>
    <w:lvl w:ilvl="6" w:tplc="87D8EACC">
      <w:numFmt w:val="bullet"/>
      <w:lvlText w:val="•"/>
      <w:lvlJc w:val="left"/>
      <w:pPr>
        <w:ind w:left="6931" w:hanging="529"/>
      </w:pPr>
      <w:rPr>
        <w:rFonts w:hint="default"/>
        <w:lang w:val="zh-CN" w:eastAsia="zh-CN" w:bidi="zh-CN"/>
      </w:rPr>
    </w:lvl>
    <w:lvl w:ilvl="7" w:tplc="56009940">
      <w:numFmt w:val="bullet"/>
      <w:lvlText w:val="•"/>
      <w:lvlJc w:val="left"/>
      <w:pPr>
        <w:ind w:left="7860" w:hanging="529"/>
      </w:pPr>
      <w:rPr>
        <w:rFonts w:hint="default"/>
        <w:lang w:val="zh-CN" w:eastAsia="zh-CN" w:bidi="zh-CN"/>
      </w:rPr>
    </w:lvl>
    <w:lvl w:ilvl="8" w:tplc="C58E838E">
      <w:numFmt w:val="bullet"/>
      <w:lvlText w:val="•"/>
      <w:lvlJc w:val="left"/>
      <w:pPr>
        <w:ind w:left="8789" w:hanging="529"/>
      </w:pPr>
      <w:rPr>
        <w:rFonts w:hint="default"/>
        <w:lang w:val="zh-CN" w:eastAsia="zh-CN" w:bidi="zh-CN"/>
      </w:rPr>
    </w:lvl>
  </w:abstractNum>
  <w:abstractNum w:abstractNumId="461" w15:restartNumberingAfterBreak="0">
    <w:nsid w:val="3F236D20"/>
    <w:multiLevelType w:val="hybridMultilevel"/>
    <w:tmpl w:val="47760008"/>
    <w:lvl w:ilvl="0" w:tplc="AC26DED4">
      <w:start w:val="8"/>
      <w:numFmt w:val="decimal"/>
      <w:lvlText w:val="%1"/>
      <w:lvlJc w:val="left"/>
      <w:pPr>
        <w:ind w:left="1369" w:hanging="529"/>
        <w:jc w:val="left"/>
      </w:pPr>
      <w:rPr>
        <w:rFonts w:hint="default"/>
        <w:lang w:val="zh-CN" w:eastAsia="zh-CN" w:bidi="zh-CN"/>
      </w:rPr>
    </w:lvl>
    <w:lvl w:ilvl="1" w:tplc="28D03A88">
      <w:start w:val="1"/>
      <w:numFmt w:val="decimal"/>
      <w:lvlText w:val="%1.%2"/>
      <w:lvlJc w:val="left"/>
      <w:pPr>
        <w:ind w:left="1369" w:hanging="529"/>
        <w:jc w:val="left"/>
      </w:pPr>
      <w:rPr>
        <w:rFonts w:hint="default"/>
        <w:lang w:val="zh-CN" w:eastAsia="zh-CN" w:bidi="zh-CN"/>
      </w:rPr>
    </w:lvl>
    <w:lvl w:ilvl="2" w:tplc="E19A92EE">
      <w:start w:val="5"/>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1FDC94EC">
      <w:numFmt w:val="bullet"/>
      <w:lvlText w:val="•"/>
      <w:lvlJc w:val="left"/>
      <w:pPr>
        <w:ind w:left="4145" w:hanging="529"/>
      </w:pPr>
      <w:rPr>
        <w:rFonts w:hint="default"/>
        <w:lang w:val="zh-CN" w:eastAsia="zh-CN" w:bidi="zh-CN"/>
      </w:rPr>
    </w:lvl>
    <w:lvl w:ilvl="4" w:tplc="CFE880DE">
      <w:numFmt w:val="bullet"/>
      <w:lvlText w:val="•"/>
      <w:lvlJc w:val="left"/>
      <w:pPr>
        <w:ind w:left="5074" w:hanging="529"/>
      </w:pPr>
      <w:rPr>
        <w:rFonts w:hint="default"/>
        <w:lang w:val="zh-CN" w:eastAsia="zh-CN" w:bidi="zh-CN"/>
      </w:rPr>
    </w:lvl>
    <w:lvl w:ilvl="5" w:tplc="53F413BC">
      <w:numFmt w:val="bullet"/>
      <w:lvlText w:val="•"/>
      <w:lvlJc w:val="left"/>
      <w:pPr>
        <w:ind w:left="6003" w:hanging="529"/>
      </w:pPr>
      <w:rPr>
        <w:rFonts w:hint="default"/>
        <w:lang w:val="zh-CN" w:eastAsia="zh-CN" w:bidi="zh-CN"/>
      </w:rPr>
    </w:lvl>
    <w:lvl w:ilvl="6" w:tplc="63C2963C">
      <w:numFmt w:val="bullet"/>
      <w:lvlText w:val="•"/>
      <w:lvlJc w:val="left"/>
      <w:pPr>
        <w:ind w:left="6931" w:hanging="529"/>
      </w:pPr>
      <w:rPr>
        <w:rFonts w:hint="default"/>
        <w:lang w:val="zh-CN" w:eastAsia="zh-CN" w:bidi="zh-CN"/>
      </w:rPr>
    </w:lvl>
    <w:lvl w:ilvl="7" w:tplc="F75655AA">
      <w:numFmt w:val="bullet"/>
      <w:lvlText w:val="•"/>
      <w:lvlJc w:val="left"/>
      <w:pPr>
        <w:ind w:left="7860" w:hanging="529"/>
      </w:pPr>
      <w:rPr>
        <w:rFonts w:hint="default"/>
        <w:lang w:val="zh-CN" w:eastAsia="zh-CN" w:bidi="zh-CN"/>
      </w:rPr>
    </w:lvl>
    <w:lvl w:ilvl="8" w:tplc="BB9CEF58">
      <w:numFmt w:val="bullet"/>
      <w:lvlText w:val="•"/>
      <w:lvlJc w:val="left"/>
      <w:pPr>
        <w:ind w:left="8789" w:hanging="529"/>
      </w:pPr>
      <w:rPr>
        <w:rFonts w:hint="default"/>
        <w:lang w:val="zh-CN" w:eastAsia="zh-CN" w:bidi="zh-CN"/>
      </w:rPr>
    </w:lvl>
  </w:abstractNum>
  <w:abstractNum w:abstractNumId="462" w15:restartNumberingAfterBreak="0">
    <w:nsid w:val="3F457A0F"/>
    <w:multiLevelType w:val="hybridMultilevel"/>
    <w:tmpl w:val="D20471FE"/>
    <w:lvl w:ilvl="0" w:tplc="7FFC5D44">
      <w:start w:val="2"/>
      <w:numFmt w:val="upperLetter"/>
      <w:lvlText w:val="%1."/>
      <w:lvlJc w:val="left"/>
      <w:pPr>
        <w:ind w:left="418" w:hanging="213"/>
        <w:jc w:val="left"/>
      </w:pPr>
      <w:rPr>
        <w:rFonts w:ascii="宋体" w:eastAsia="宋体" w:hAnsi="宋体" w:cs="宋体" w:hint="default"/>
        <w:b/>
        <w:bCs/>
        <w:w w:val="99"/>
        <w:sz w:val="19"/>
        <w:szCs w:val="19"/>
        <w:lang w:val="zh-CN" w:eastAsia="zh-CN" w:bidi="zh-CN"/>
      </w:rPr>
    </w:lvl>
    <w:lvl w:ilvl="1" w:tplc="7116C3CC">
      <w:numFmt w:val="bullet"/>
      <w:lvlText w:val="•"/>
      <w:lvlJc w:val="left"/>
      <w:pPr>
        <w:ind w:left="1442" w:hanging="213"/>
      </w:pPr>
      <w:rPr>
        <w:rFonts w:hint="default"/>
        <w:lang w:val="zh-CN" w:eastAsia="zh-CN" w:bidi="zh-CN"/>
      </w:rPr>
    </w:lvl>
    <w:lvl w:ilvl="2" w:tplc="E320ED60">
      <w:numFmt w:val="bullet"/>
      <w:lvlText w:val="•"/>
      <w:lvlJc w:val="left"/>
      <w:pPr>
        <w:ind w:left="2465" w:hanging="213"/>
      </w:pPr>
      <w:rPr>
        <w:rFonts w:hint="default"/>
        <w:lang w:val="zh-CN" w:eastAsia="zh-CN" w:bidi="zh-CN"/>
      </w:rPr>
    </w:lvl>
    <w:lvl w:ilvl="3" w:tplc="27D802BE">
      <w:numFmt w:val="bullet"/>
      <w:lvlText w:val="•"/>
      <w:lvlJc w:val="left"/>
      <w:pPr>
        <w:ind w:left="3487" w:hanging="213"/>
      </w:pPr>
      <w:rPr>
        <w:rFonts w:hint="default"/>
        <w:lang w:val="zh-CN" w:eastAsia="zh-CN" w:bidi="zh-CN"/>
      </w:rPr>
    </w:lvl>
    <w:lvl w:ilvl="4" w:tplc="7D20A87E">
      <w:numFmt w:val="bullet"/>
      <w:lvlText w:val="•"/>
      <w:lvlJc w:val="left"/>
      <w:pPr>
        <w:ind w:left="4510" w:hanging="213"/>
      </w:pPr>
      <w:rPr>
        <w:rFonts w:hint="default"/>
        <w:lang w:val="zh-CN" w:eastAsia="zh-CN" w:bidi="zh-CN"/>
      </w:rPr>
    </w:lvl>
    <w:lvl w:ilvl="5" w:tplc="70747844">
      <w:numFmt w:val="bullet"/>
      <w:lvlText w:val="•"/>
      <w:lvlJc w:val="left"/>
      <w:pPr>
        <w:ind w:left="5533" w:hanging="213"/>
      </w:pPr>
      <w:rPr>
        <w:rFonts w:hint="default"/>
        <w:lang w:val="zh-CN" w:eastAsia="zh-CN" w:bidi="zh-CN"/>
      </w:rPr>
    </w:lvl>
    <w:lvl w:ilvl="6" w:tplc="2E20DC8E">
      <w:numFmt w:val="bullet"/>
      <w:lvlText w:val="•"/>
      <w:lvlJc w:val="left"/>
      <w:pPr>
        <w:ind w:left="6555" w:hanging="213"/>
      </w:pPr>
      <w:rPr>
        <w:rFonts w:hint="default"/>
        <w:lang w:val="zh-CN" w:eastAsia="zh-CN" w:bidi="zh-CN"/>
      </w:rPr>
    </w:lvl>
    <w:lvl w:ilvl="7" w:tplc="C442C978">
      <w:numFmt w:val="bullet"/>
      <w:lvlText w:val="•"/>
      <w:lvlJc w:val="left"/>
      <w:pPr>
        <w:ind w:left="7578" w:hanging="213"/>
      </w:pPr>
      <w:rPr>
        <w:rFonts w:hint="default"/>
        <w:lang w:val="zh-CN" w:eastAsia="zh-CN" w:bidi="zh-CN"/>
      </w:rPr>
    </w:lvl>
    <w:lvl w:ilvl="8" w:tplc="79B8F654">
      <w:numFmt w:val="bullet"/>
      <w:lvlText w:val="•"/>
      <w:lvlJc w:val="left"/>
      <w:pPr>
        <w:ind w:left="8601" w:hanging="213"/>
      </w:pPr>
      <w:rPr>
        <w:rFonts w:hint="default"/>
        <w:lang w:val="zh-CN" w:eastAsia="zh-CN" w:bidi="zh-CN"/>
      </w:rPr>
    </w:lvl>
  </w:abstractNum>
  <w:abstractNum w:abstractNumId="463" w15:restartNumberingAfterBreak="0">
    <w:nsid w:val="3F625A22"/>
    <w:multiLevelType w:val="hybridMultilevel"/>
    <w:tmpl w:val="36B885C0"/>
    <w:lvl w:ilvl="0" w:tplc="994C885C">
      <w:start w:val="3"/>
      <w:numFmt w:val="decimal"/>
      <w:lvlText w:val="%1"/>
      <w:lvlJc w:val="left"/>
      <w:pPr>
        <w:ind w:left="1158" w:hanging="318"/>
        <w:jc w:val="left"/>
      </w:pPr>
      <w:rPr>
        <w:rFonts w:hint="default"/>
        <w:lang w:val="zh-CN" w:eastAsia="zh-CN" w:bidi="zh-CN"/>
      </w:rPr>
    </w:lvl>
    <w:lvl w:ilvl="1" w:tplc="9FAC19FE">
      <w:start w:val="1"/>
      <w:numFmt w:val="decimal"/>
      <w:lvlText w:val="%1.%2"/>
      <w:lvlJc w:val="left"/>
      <w:pPr>
        <w:ind w:left="1158" w:hanging="318"/>
        <w:jc w:val="left"/>
      </w:pPr>
      <w:rPr>
        <w:rFonts w:ascii="宋体" w:eastAsia="宋体" w:hAnsi="宋体" w:cs="宋体" w:hint="default"/>
        <w:b/>
        <w:bCs/>
        <w:spacing w:val="-8"/>
        <w:w w:val="99"/>
        <w:sz w:val="19"/>
        <w:szCs w:val="19"/>
        <w:lang w:val="zh-CN" w:eastAsia="zh-CN" w:bidi="zh-CN"/>
      </w:rPr>
    </w:lvl>
    <w:lvl w:ilvl="2" w:tplc="8976E238">
      <w:numFmt w:val="bullet"/>
      <w:lvlText w:val="•"/>
      <w:lvlJc w:val="left"/>
      <w:pPr>
        <w:ind w:left="3057" w:hanging="318"/>
      </w:pPr>
      <w:rPr>
        <w:rFonts w:hint="default"/>
        <w:lang w:val="zh-CN" w:eastAsia="zh-CN" w:bidi="zh-CN"/>
      </w:rPr>
    </w:lvl>
    <w:lvl w:ilvl="3" w:tplc="1096A6DA">
      <w:numFmt w:val="bullet"/>
      <w:lvlText w:val="•"/>
      <w:lvlJc w:val="left"/>
      <w:pPr>
        <w:ind w:left="4005" w:hanging="318"/>
      </w:pPr>
      <w:rPr>
        <w:rFonts w:hint="default"/>
        <w:lang w:val="zh-CN" w:eastAsia="zh-CN" w:bidi="zh-CN"/>
      </w:rPr>
    </w:lvl>
    <w:lvl w:ilvl="4" w:tplc="AB160AE4">
      <w:numFmt w:val="bullet"/>
      <w:lvlText w:val="•"/>
      <w:lvlJc w:val="left"/>
      <w:pPr>
        <w:ind w:left="4954" w:hanging="318"/>
      </w:pPr>
      <w:rPr>
        <w:rFonts w:hint="default"/>
        <w:lang w:val="zh-CN" w:eastAsia="zh-CN" w:bidi="zh-CN"/>
      </w:rPr>
    </w:lvl>
    <w:lvl w:ilvl="5" w:tplc="13340066">
      <w:numFmt w:val="bullet"/>
      <w:lvlText w:val="•"/>
      <w:lvlJc w:val="left"/>
      <w:pPr>
        <w:ind w:left="5903" w:hanging="318"/>
      </w:pPr>
      <w:rPr>
        <w:rFonts w:hint="default"/>
        <w:lang w:val="zh-CN" w:eastAsia="zh-CN" w:bidi="zh-CN"/>
      </w:rPr>
    </w:lvl>
    <w:lvl w:ilvl="6" w:tplc="C74E8FD4">
      <w:numFmt w:val="bullet"/>
      <w:lvlText w:val="•"/>
      <w:lvlJc w:val="left"/>
      <w:pPr>
        <w:ind w:left="6851" w:hanging="318"/>
      </w:pPr>
      <w:rPr>
        <w:rFonts w:hint="default"/>
        <w:lang w:val="zh-CN" w:eastAsia="zh-CN" w:bidi="zh-CN"/>
      </w:rPr>
    </w:lvl>
    <w:lvl w:ilvl="7" w:tplc="2B5010D8">
      <w:numFmt w:val="bullet"/>
      <w:lvlText w:val="•"/>
      <w:lvlJc w:val="left"/>
      <w:pPr>
        <w:ind w:left="7800" w:hanging="318"/>
      </w:pPr>
      <w:rPr>
        <w:rFonts w:hint="default"/>
        <w:lang w:val="zh-CN" w:eastAsia="zh-CN" w:bidi="zh-CN"/>
      </w:rPr>
    </w:lvl>
    <w:lvl w:ilvl="8" w:tplc="6CBE12E8">
      <w:numFmt w:val="bullet"/>
      <w:lvlText w:val="•"/>
      <w:lvlJc w:val="left"/>
      <w:pPr>
        <w:ind w:left="8749" w:hanging="318"/>
      </w:pPr>
      <w:rPr>
        <w:rFonts w:hint="default"/>
        <w:lang w:val="zh-CN" w:eastAsia="zh-CN" w:bidi="zh-CN"/>
      </w:rPr>
    </w:lvl>
  </w:abstractNum>
  <w:abstractNum w:abstractNumId="464" w15:restartNumberingAfterBreak="0">
    <w:nsid w:val="3F8D3BE0"/>
    <w:multiLevelType w:val="hybridMultilevel"/>
    <w:tmpl w:val="7C203934"/>
    <w:lvl w:ilvl="0" w:tplc="0B18F6D2">
      <w:start w:val="1"/>
      <w:numFmt w:val="decimal"/>
      <w:lvlText w:val="%1"/>
      <w:lvlJc w:val="left"/>
      <w:pPr>
        <w:ind w:left="418" w:hanging="529"/>
        <w:jc w:val="left"/>
      </w:pPr>
      <w:rPr>
        <w:rFonts w:hint="default"/>
        <w:lang w:val="zh-CN" w:eastAsia="zh-CN" w:bidi="zh-CN"/>
      </w:rPr>
    </w:lvl>
    <w:lvl w:ilvl="1" w:tplc="5CD48FC4">
      <w:numFmt w:val="decimal"/>
      <w:lvlText w:val="%1.%2"/>
      <w:lvlJc w:val="left"/>
      <w:pPr>
        <w:ind w:left="418" w:hanging="529"/>
        <w:jc w:val="left"/>
      </w:pPr>
      <w:rPr>
        <w:rFonts w:hint="default"/>
        <w:lang w:val="zh-CN" w:eastAsia="zh-CN" w:bidi="zh-CN"/>
      </w:rPr>
    </w:lvl>
    <w:lvl w:ilvl="2" w:tplc="E6528C06">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59EC0D12">
      <w:numFmt w:val="bullet"/>
      <w:lvlText w:val="•"/>
      <w:lvlJc w:val="left"/>
      <w:pPr>
        <w:ind w:left="3487" w:hanging="529"/>
      </w:pPr>
      <w:rPr>
        <w:rFonts w:hint="default"/>
        <w:lang w:val="zh-CN" w:eastAsia="zh-CN" w:bidi="zh-CN"/>
      </w:rPr>
    </w:lvl>
    <w:lvl w:ilvl="4" w:tplc="A61CED94">
      <w:numFmt w:val="bullet"/>
      <w:lvlText w:val="•"/>
      <w:lvlJc w:val="left"/>
      <w:pPr>
        <w:ind w:left="4510" w:hanging="529"/>
      </w:pPr>
      <w:rPr>
        <w:rFonts w:hint="default"/>
        <w:lang w:val="zh-CN" w:eastAsia="zh-CN" w:bidi="zh-CN"/>
      </w:rPr>
    </w:lvl>
    <w:lvl w:ilvl="5" w:tplc="F78EB7CE">
      <w:numFmt w:val="bullet"/>
      <w:lvlText w:val="•"/>
      <w:lvlJc w:val="left"/>
      <w:pPr>
        <w:ind w:left="5533" w:hanging="529"/>
      </w:pPr>
      <w:rPr>
        <w:rFonts w:hint="default"/>
        <w:lang w:val="zh-CN" w:eastAsia="zh-CN" w:bidi="zh-CN"/>
      </w:rPr>
    </w:lvl>
    <w:lvl w:ilvl="6" w:tplc="DA963064">
      <w:numFmt w:val="bullet"/>
      <w:lvlText w:val="•"/>
      <w:lvlJc w:val="left"/>
      <w:pPr>
        <w:ind w:left="6555" w:hanging="529"/>
      </w:pPr>
      <w:rPr>
        <w:rFonts w:hint="default"/>
        <w:lang w:val="zh-CN" w:eastAsia="zh-CN" w:bidi="zh-CN"/>
      </w:rPr>
    </w:lvl>
    <w:lvl w:ilvl="7" w:tplc="B3E04BD4">
      <w:numFmt w:val="bullet"/>
      <w:lvlText w:val="•"/>
      <w:lvlJc w:val="left"/>
      <w:pPr>
        <w:ind w:left="7578" w:hanging="529"/>
      </w:pPr>
      <w:rPr>
        <w:rFonts w:hint="default"/>
        <w:lang w:val="zh-CN" w:eastAsia="zh-CN" w:bidi="zh-CN"/>
      </w:rPr>
    </w:lvl>
    <w:lvl w:ilvl="8" w:tplc="6BA2848A">
      <w:numFmt w:val="bullet"/>
      <w:lvlText w:val="•"/>
      <w:lvlJc w:val="left"/>
      <w:pPr>
        <w:ind w:left="8601" w:hanging="529"/>
      </w:pPr>
      <w:rPr>
        <w:rFonts w:hint="default"/>
        <w:lang w:val="zh-CN" w:eastAsia="zh-CN" w:bidi="zh-CN"/>
      </w:rPr>
    </w:lvl>
  </w:abstractNum>
  <w:abstractNum w:abstractNumId="465" w15:restartNumberingAfterBreak="0">
    <w:nsid w:val="3F903B20"/>
    <w:multiLevelType w:val="hybridMultilevel"/>
    <w:tmpl w:val="D8D26F90"/>
    <w:lvl w:ilvl="0" w:tplc="644C4B64">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9B9E75EE">
      <w:numFmt w:val="bullet"/>
      <w:lvlText w:val="•"/>
      <w:lvlJc w:val="left"/>
      <w:pPr>
        <w:ind w:left="1442" w:hanging="529"/>
      </w:pPr>
      <w:rPr>
        <w:rFonts w:hint="default"/>
        <w:lang w:val="zh-CN" w:eastAsia="zh-CN" w:bidi="zh-CN"/>
      </w:rPr>
    </w:lvl>
    <w:lvl w:ilvl="2" w:tplc="85B6224C">
      <w:numFmt w:val="bullet"/>
      <w:lvlText w:val="•"/>
      <w:lvlJc w:val="left"/>
      <w:pPr>
        <w:ind w:left="2465" w:hanging="529"/>
      </w:pPr>
      <w:rPr>
        <w:rFonts w:hint="default"/>
        <w:lang w:val="zh-CN" w:eastAsia="zh-CN" w:bidi="zh-CN"/>
      </w:rPr>
    </w:lvl>
    <w:lvl w:ilvl="3" w:tplc="41DAC2A6">
      <w:numFmt w:val="bullet"/>
      <w:lvlText w:val="•"/>
      <w:lvlJc w:val="left"/>
      <w:pPr>
        <w:ind w:left="3487" w:hanging="529"/>
      </w:pPr>
      <w:rPr>
        <w:rFonts w:hint="default"/>
        <w:lang w:val="zh-CN" w:eastAsia="zh-CN" w:bidi="zh-CN"/>
      </w:rPr>
    </w:lvl>
    <w:lvl w:ilvl="4" w:tplc="D6FC112E">
      <w:numFmt w:val="bullet"/>
      <w:lvlText w:val="•"/>
      <w:lvlJc w:val="left"/>
      <w:pPr>
        <w:ind w:left="4510" w:hanging="529"/>
      </w:pPr>
      <w:rPr>
        <w:rFonts w:hint="default"/>
        <w:lang w:val="zh-CN" w:eastAsia="zh-CN" w:bidi="zh-CN"/>
      </w:rPr>
    </w:lvl>
    <w:lvl w:ilvl="5" w:tplc="913C1518">
      <w:numFmt w:val="bullet"/>
      <w:lvlText w:val="•"/>
      <w:lvlJc w:val="left"/>
      <w:pPr>
        <w:ind w:left="5533" w:hanging="529"/>
      </w:pPr>
      <w:rPr>
        <w:rFonts w:hint="default"/>
        <w:lang w:val="zh-CN" w:eastAsia="zh-CN" w:bidi="zh-CN"/>
      </w:rPr>
    </w:lvl>
    <w:lvl w:ilvl="6" w:tplc="BF304392">
      <w:numFmt w:val="bullet"/>
      <w:lvlText w:val="•"/>
      <w:lvlJc w:val="left"/>
      <w:pPr>
        <w:ind w:left="6555" w:hanging="529"/>
      </w:pPr>
      <w:rPr>
        <w:rFonts w:hint="default"/>
        <w:lang w:val="zh-CN" w:eastAsia="zh-CN" w:bidi="zh-CN"/>
      </w:rPr>
    </w:lvl>
    <w:lvl w:ilvl="7" w:tplc="A7F61060">
      <w:numFmt w:val="bullet"/>
      <w:lvlText w:val="•"/>
      <w:lvlJc w:val="left"/>
      <w:pPr>
        <w:ind w:left="7578" w:hanging="529"/>
      </w:pPr>
      <w:rPr>
        <w:rFonts w:hint="default"/>
        <w:lang w:val="zh-CN" w:eastAsia="zh-CN" w:bidi="zh-CN"/>
      </w:rPr>
    </w:lvl>
    <w:lvl w:ilvl="8" w:tplc="9D10DD02">
      <w:numFmt w:val="bullet"/>
      <w:lvlText w:val="•"/>
      <w:lvlJc w:val="left"/>
      <w:pPr>
        <w:ind w:left="8601" w:hanging="529"/>
      </w:pPr>
      <w:rPr>
        <w:rFonts w:hint="default"/>
        <w:lang w:val="zh-CN" w:eastAsia="zh-CN" w:bidi="zh-CN"/>
      </w:rPr>
    </w:lvl>
  </w:abstractNum>
  <w:abstractNum w:abstractNumId="466" w15:restartNumberingAfterBreak="0">
    <w:nsid w:val="3F9506CC"/>
    <w:multiLevelType w:val="hybridMultilevel"/>
    <w:tmpl w:val="D6AC0F36"/>
    <w:lvl w:ilvl="0" w:tplc="02E42F88">
      <w:start w:val="6"/>
      <w:numFmt w:val="decimal"/>
      <w:lvlText w:val="%1"/>
      <w:lvlJc w:val="left"/>
      <w:pPr>
        <w:ind w:left="1158" w:hanging="318"/>
        <w:jc w:val="left"/>
      </w:pPr>
      <w:rPr>
        <w:rFonts w:hint="default"/>
        <w:lang w:val="zh-CN" w:eastAsia="zh-CN" w:bidi="zh-CN"/>
      </w:rPr>
    </w:lvl>
    <w:lvl w:ilvl="1" w:tplc="F4D88E2E">
      <w:start w:val="3"/>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E1A2BFDC">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D2ACA2C8">
      <w:numFmt w:val="bullet"/>
      <w:lvlText w:val="•"/>
      <w:lvlJc w:val="left"/>
      <w:pPr>
        <w:ind w:left="1380" w:hanging="529"/>
      </w:pPr>
      <w:rPr>
        <w:rFonts w:hint="default"/>
        <w:lang w:val="zh-CN" w:eastAsia="zh-CN" w:bidi="zh-CN"/>
      </w:rPr>
    </w:lvl>
    <w:lvl w:ilvl="4" w:tplc="7BD87798">
      <w:numFmt w:val="bullet"/>
      <w:lvlText w:val="•"/>
      <w:lvlJc w:val="left"/>
      <w:pPr>
        <w:ind w:left="2703" w:hanging="529"/>
      </w:pPr>
      <w:rPr>
        <w:rFonts w:hint="default"/>
        <w:lang w:val="zh-CN" w:eastAsia="zh-CN" w:bidi="zh-CN"/>
      </w:rPr>
    </w:lvl>
    <w:lvl w:ilvl="5" w:tplc="894A72EA">
      <w:numFmt w:val="bullet"/>
      <w:lvlText w:val="•"/>
      <w:lvlJc w:val="left"/>
      <w:pPr>
        <w:ind w:left="4027" w:hanging="529"/>
      </w:pPr>
      <w:rPr>
        <w:rFonts w:hint="default"/>
        <w:lang w:val="zh-CN" w:eastAsia="zh-CN" w:bidi="zh-CN"/>
      </w:rPr>
    </w:lvl>
    <w:lvl w:ilvl="6" w:tplc="0E7631BE">
      <w:numFmt w:val="bullet"/>
      <w:lvlText w:val="•"/>
      <w:lvlJc w:val="left"/>
      <w:pPr>
        <w:ind w:left="5351" w:hanging="529"/>
      </w:pPr>
      <w:rPr>
        <w:rFonts w:hint="default"/>
        <w:lang w:val="zh-CN" w:eastAsia="zh-CN" w:bidi="zh-CN"/>
      </w:rPr>
    </w:lvl>
    <w:lvl w:ilvl="7" w:tplc="8C700E04">
      <w:numFmt w:val="bullet"/>
      <w:lvlText w:val="•"/>
      <w:lvlJc w:val="left"/>
      <w:pPr>
        <w:ind w:left="6675" w:hanging="529"/>
      </w:pPr>
      <w:rPr>
        <w:rFonts w:hint="default"/>
        <w:lang w:val="zh-CN" w:eastAsia="zh-CN" w:bidi="zh-CN"/>
      </w:rPr>
    </w:lvl>
    <w:lvl w:ilvl="8" w:tplc="EBDCEC80">
      <w:numFmt w:val="bullet"/>
      <w:lvlText w:val="•"/>
      <w:lvlJc w:val="left"/>
      <w:pPr>
        <w:ind w:left="7998" w:hanging="529"/>
      </w:pPr>
      <w:rPr>
        <w:rFonts w:hint="default"/>
        <w:lang w:val="zh-CN" w:eastAsia="zh-CN" w:bidi="zh-CN"/>
      </w:rPr>
    </w:lvl>
  </w:abstractNum>
  <w:abstractNum w:abstractNumId="467" w15:restartNumberingAfterBreak="0">
    <w:nsid w:val="3FCA6FB1"/>
    <w:multiLevelType w:val="hybridMultilevel"/>
    <w:tmpl w:val="713A4B9A"/>
    <w:lvl w:ilvl="0" w:tplc="DF963DDE">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F28C63CC">
      <w:numFmt w:val="bullet"/>
      <w:lvlText w:val="•"/>
      <w:lvlJc w:val="left"/>
      <w:pPr>
        <w:ind w:left="2288" w:hanging="529"/>
      </w:pPr>
      <w:rPr>
        <w:rFonts w:hint="default"/>
        <w:lang w:val="zh-CN" w:eastAsia="zh-CN" w:bidi="zh-CN"/>
      </w:rPr>
    </w:lvl>
    <w:lvl w:ilvl="2" w:tplc="EC2045CC">
      <w:numFmt w:val="bullet"/>
      <w:lvlText w:val="•"/>
      <w:lvlJc w:val="left"/>
      <w:pPr>
        <w:ind w:left="3217" w:hanging="529"/>
      </w:pPr>
      <w:rPr>
        <w:rFonts w:hint="default"/>
        <w:lang w:val="zh-CN" w:eastAsia="zh-CN" w:bidi="zh-CN"/>
      </w:rPr>
    </w:lvl>
    <w:lvl w:ilvl="3" w:tplc="F09657AA">
      <w:numFmt w:val="bullet"/>
      <w:lvlText w:val="•"/>
      <w:lvlJc w:val="left"/>
      <w:pPr>
        <w:ind w:left="4145" w:hanging="529"/>
      </w:pPr>
      <w:rPr>
        <w:rFonts w:hint="default"/>
        <w:lang w:val="zh-CN" w:eastAsia="zh-CN" w:bidi="zh-CN"/>
      </w:rPr>
    </w:lvl>
    <w:lvl w:ilvl="4" w:tplc="84E00B2A">
      <w:numFmt w:val="bullet"/>
      <w:lvlText w:val="•"/>
      <w:lvlJc w:val="left"/>
      <w:pPr>
        <w:ind w:left="5074" w:hanging="529"/>
      </w:pPr>
      <w:rPr>
        <w:rFonts w:hint="default"/>
        <w:lang w:val="zh-CN" w:eastAsia="zh-CN" w:bidi="zh-CN"/>
      </w:rPr>
    </w:lvl>
    <w:lvl w:ilvl="5" w:tplc="866A35CC">
      <w:numFmt w:val="bullet"/>
      <w:lvlText w:val="•"/>
      <w:lvlJc w:val="left"/>
      <w:pPr>
        <w:ind w:left="6003" w:hanging="529"/>
      </w:pPr>
      <w:rPr>
        <w:rFonts w:hint="default"/>
        <w:lang w:val="zh-CN" w:eastAsia="zh-CN" w:bidi="zh-CN"/>
      </w:rPr>
    </w:lvl>
    <w:lvl w:ilvl="6" w:tplc="4014B980">
      <w:numFmt w:val="bullet"/>
      <w:lvlText w:val="•"/>
      <w:lvlJc w:val="left"/>
      <w:pPr>
        <w:ind w:left="6931" w:hanging="529"/>
      </w:pPr>
      <w:rPr>
        <w:rFonts w:hint="default"/>
        <w:lang w:val="zh-CN" w:eastAsia="zh-CN" w:bidi="zh-CN"/>
      </w:rPr>
    </w:lvl>
    <w:lvl w:ilvl="7" w:tplc="0628809A">
      <w:numFmt w:val="bullet"/>
      <w:lvlText w:val="•"/>
      <w:lvlJc w:val="left"/>
      <w:pPr>
        <w:ind w:left="7860" w:hanging="529"/>
      </w:pPr>
      <w:rPr>
        <w:rFonts w:hint="default"/>
        <w:lang w:val="zh-CN" w:eastAsia="zh-CN" w:bidi="zh-CN"/>
      </w:rPr>
    </w:lvl>
    <w:lvl w:ilvl="8" w:tplc="1584BB98">
      <w:numFmt w:val="bullet"/>
      <w:lvlText w:val="•"/>
      <w:lvlJc w:val="left"/>
      <w:pPr>
        <w:ind w:left="8789" w:hanging="529"/>
      </w:pPr>
      <w:rPr>
        <w:rFonts w:hint="default"/>
        <w:lang w:val="zh-CN" w:eastAsia="zh-CN" w:bidi="zh-CN"/>
      </w:rPr>
    </w:lvl>
  </w:abstractNum>
  <w:abstractNum w:abstractNumId="468" w15:restartNumberingAfterBreak="0">
    <w:nsid w:val="3FDD5030"/>
    <w:multiLevelType w:val="hybridMultilevel"/>
    <w:tmpl w:val="F844DB08"/>
    <w:lvl w:ilvl="0" w:tplc="57E8CB92">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39FE3D96">
      <w:numFmt w:val="bullet"/>
      <w:lvlText w:val="•"/>
      <w:lvlJc w:val="left"/>
      <w:pPr>
        <w:ind w:left="2288" w:hanging="529"/>
      </w:pPr>
      <w:rPr>
        <w:rFonts w:hint="default"/>
        <w:lang w:val="zh-CN" w:eastAsia="zh-CN" w:bidi="zh-CN"/>
      </w:rPr>
    </w:lvl>
    <w:lvl w:ilvl="2" w:tplc="17240312">
      <w:numFmt w:val="bullet"/>
      <w:lvlText w:val="•"/>
      <w:lvlJc w:val="left"/>
      <w:pPr>
        <w:ind w:left="3217" w:hanging="529"/>
      </w:pPr>
      <w:rPr>
        <w:rFonts w:hint="default"/>
        <w:lang w:val="zh-CN" w:eastAsia="zh-CN" w:bidi="zh-CN"/>
      </w:rPr>
    </w:lvl>
    <w:lvl w:ilvl="3" w:tplc="172C5E1C">
      <w:numFmt w:val="bullet"/>
      <w:lvlText w:val="•"/>
      <w:lvlJc w:val="left"/>
      <w:pPr>
        <w:ind w:left="4145" w:hanging="529"/>
      </w:pPr>
      <w:rPr>
        <w:rFonts w:hint="default"/>
        <w:lang w:val="zh-CN" w:eastAsia="zh-CN" w:bidi="zh-CN"/>
      </w:rPr>
    </w:lvl>
    <w:lvl w:ilvl="4" w:tplc="CF42A2AA">
      <w:numFmt w:val="bullet"/>
      <w:lvlText w:val="•"/>
      <w:lvlJc w:val="left"/>
      <w:pPr>
        <w:ind w:left="5074" w:hanging="529"/>
      </w:pPr>
      <w:rPr>
        <w:rFonts w:hint="default"/>
        <w:lang w:val="zh-CN" w:eastAsia="zh-CN" w:bidi="zh-CN"/>
      </w:rPr>
    </w:lvl>
    <w:lvl w:ilvl="5" w:tplc="DA187AF0">
      <w:numFmt w:val="bullet"/>
      <w:lvlText w:val="•"/>
      <w:lvlJc w:val="left"/>
      <w:pPr>
        <w:ind w:left="6003" w:hanging="529"/>
      </w:pPr>
      <w:rPr>
        <w:rFonts w:hint="default"/>
        <w:lang w:val="zh-CN" w:eastAsia="zh-CN" w:bidi="zh-CN"/>
      </w:rPr>
    </w:lvl>
    <w:lvl w:ilvl="6" w:tplc="BA4458FA">
      <w:numFmt w:val="bullet"/>
      <w:lvlText w:val="•"/>
      <w:lvlJc w:val="left"/>
      <w:pPr>
        <w:ind w:left="6931" w:hanging="529"/>
      </w:pPr>
      <w:rPr>
        <w:rFonts w:hint="default"/>
        <w:lang w:val="zh-CN" w:eastAsia="zh-CN" w:bidi="zh-CN"/>
      </w:rPr>
    </w:lvl>
    <w:lvl w:ilvl="7" w:tplc="C46E34D2">
      <w:numFmt w:val="bullet"/>
      <w:lvlText w:val="•"/>
      <w:lvlJc w:val="left"/>
      <w:pPr>
        <w:ind w:left="7860" w:hanging="529"/>
      </w:pPr>
      <w:rPr>
        <w:rFonts w:hint="default"/>
        <w:lang w:val="zh-CN" w:eastAsia="zh-CN" w:bidi="zh-CN"/>
      </w:rPr>
    </w:lvl>
    <w:lvl w:ilvl="8" w:tplc="EAC2D026">
      <w:numFmt w:val="bullet"/>
      <w:lvlText w:val="•"/>
      <w:lvlJc w:val="left"/>
      <w:pPr>
        <w:ind w:left="8789" w:hanging="529"/>
      </w:pPr>
      <w:rPr>
        <w:rFonts w:hint="default"/>
        <w:lang w:val="zh-CN" w:eastAsia="zh-CN" w:bidi="zh-CN"/>
      </w:rPr>
    </w:lvl>
  </w:abstractNum>
  <w:abstractNum w:abstractNumId="469" w15:restartNumberingAfterBreak="0">
    <w:nsid w:val="3FE024E2"/>
    <w:multiLevelType w:val="hybridMultilevel"/>
    <w:tmpl w:val="78585C70"/>
    <w:lvl w:ilvl="0" w:tplc="8C1C8C72">
      <w:start w:val="9"/>
      <w:numFmt w:val="decimal"/>
      <w:lvlText w:val="%1"/>
      <w:lvlJc w:val="left"/>
      <w:pPr>
        <w:ind w:left="418" w:hanging="529"/>
        <w:jc w:val="left"/>
      </w:pPr>
      <w:rPr>
        <w:rFonts w:hint="default"/>
        <w:lang w:val="zh-CN" w:eastAsia="zh-CN" w:bidi="zh-CN"/>
      </w:rPr>
    </w:lvl>
    <w:lvl w:ilvl="1" w:tplc="7D60536C">
      <w:start w:val="1"/>
      <w:numFmt w:val="decimal"/>
      <w:lvlText w:val="%1.%2"/>
      <w:lvlJc w:val="left"/>
      <w:pPr>
        <w:ind w:left="418" w:hanging="529"/>
        <w:jc w:val="left"/>
      </w:pPr>
      <w:rPr>
        <w:rFonts w:hint="default"/>
        <w:lang w:val="zh-CN" w:eastAsia="zh-CN" w:bidi="zh-CN"/>
      </w:rPr>
    </w:lvl>
    <w:lvl w:ilvl="2" w:tplc="A6941CFC">
      <w:start w:val="2"/>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52841CF4">
      <w:numFmt w:val="bullet"/>
      <w:lvlText w:val="•"/>
      <w:lvlJc w:val="left"/>
      <w:pPr>
        <w:ind w:left="3487" w:hanging="529"/>
      </w:pPr>
      <w:rPr>
        <w:rFonts w:hint="default"/>
        <w:lang w:val="zh-CN" w:eastAsia="zh-CN" w:bidi="zh-CN"/>
      </w:rPr>
    </w:lvl>
    <w:lvl w:ilvl="4" w:tplc="4434EF9C">
      <w:numFmt w:val="bullet"/>
      <w:lvlText w:val="•"/>
      <w:lvlJc w:val="left"/>
      <w:pPr>
        <w:ind w:left="4510" w:hanging="529"/>
      </w:pPr>
      <w:rPr>
        <w:rFonts w:hint="default"/>
        <w:lang w:val="zh-CN" w:eastAsia="zh-CN" w:bidi="zh-CN"/>
      </w:rPr>
    </w:lvl>
    <w:lvl w:ilvl="5" w:tplc="F7005DE2">
      <w:numFmt w:val="bullet"/>
      <w:lvlText w:val="•"/>
      <w:lvlJc w:val="left"/>
      <w:pPr>
        <w:ind w:left="5533" w:hanging="529"/>
      </w:pPr>
      <w:rPr>
        <w:rFonts w:hint="default"/>
        <w:lang w:val="zh-CN" w:eastAsia="zh-CN" w:bidi="zh-CN"/>
      </w:rPr>
    </w:lvl>
    <w:lvl w:ilvl="6" w:tplc="0B227944">
      <w:numFmt w:val="bullet"/>
      <w:lvlText w:val="•"/>
      <w:lvlJc w:val="left"/>
      <w:pPr>
        <w:ind w:left="6555" w:hanging="529"/>
      </w:pPr>
      <w:rPr>
        <w:rFonts w:hint="default"/>
        <w:lang w:val="zh-CN" w:eastAsia="zh-CN" w:bidi="zh-CN"/>
      </w:rPr>
    </w:lvl>
    <w:lvl w:ilvl="7" w:tplc="9566DE54">
      <w:numFmt w:val="bullet"/>
      <w:lvlText w:val="•"/>
      <w:lvlJc w:val="left"/>
      <w:pPr>
        <w:ind w:left="7578" w:hanging="529"/>
      </w:pPr>
      <w:rPr>
        <w:rFonts w:hint="default"/>
        <w:lang w:val="zh-CN" w:eastAsia="zh-CN" w:bidi="zh-CN"/>
      </w:rPr>
    </w:lvl>
    <w:lvl w:ilvl="8" w:tplc="CCE2B56A">
      <w:numFmt w:val="bullet"/>
      <w:lvlText w:val="•"/>
      <w:lvlJc w:val="left"/>
      <w:pPr>
        <w:ind w:left="8601" w:hanging="529"/>
      </w:pPr>
      <w:rPr>
        <w:rFonts w:hint="default"/>
        <w:lang w:val="zh-CN" w:eastAsia="zh-CN" w:bidi="zh-CN"/>
      </w:rPr>
    </w:lvl>
  </w:abstractNum>
  <w:abstractNum w:abstractNumId="470" w15:restartNumberingAfterBreak="0">
    <w:nsid w:val="3FE61B9C"/>
    <w:multiLevelType w:val="hybridMultilevel"/>
    <w:tmpl w:val="BB1EF514"/>
    <w:lvl w:ilvl="0" w:tplc="8FB246D6">
      <w:start w:val="5"/>
      <w:numFmt w:val="decimal"/>
      <w:lvlText w:val="%1"/>
      <w:lvlJc w:val="left"/>
      <w:pPr>
        <w:ind w:left="418" w:hanging="950"/>
        <w:jc w:val="left"/>
      </w:pPr>
      <w:rPr>
        <w:rFonts w:hint="default"/>
        <w:lang w:val="zh-CN" w:eastAsia="zh-CN" w:bidi="zh-CN"/>
      </w:rPr>
    </w:lvl>
    <w:lvl w:ilvl="1" w:tplc="FBF0DF24">
      <w:start w:val="4"/>
      <w:numFmt w:val="decimal"/>
      <w:lvlText w:val="%1.%2"/>
      <w:lvlJc w:val="left"/>
      <w:pPr>
        <w:ind w:left="418" w:hanging="950"/>
        <w:jc w:val="left"/>
      </w:pPr>
      <w:rPr>
        <w:rFonts w:hint="default"/>
        <w:lang w:val="zh-CN" w:eastAsia="zh-CN" w:bidi="zh-CN"/>
      </w:rPr>
    </w:lvl>
    <w:lvl w:ilvl="2" w:tplc="1DDAA752">
      <w:start w:val="2"/>
      <w:numFmt w:val="decimal"/>
      <w:lvlText w:val="%1.%2.%3"/>
      <w:lvlJc w:val="left"/>
      <w:pPr>
        <w:ind w:left="418" w:hanging="950"/>
        <w:jc w:val="left"/>
      </w:pPr>
      <w:rPr>
        <w:rFonts w:hint="default"/>
        <w:lang w:val="zh-CN" w:eastAsia="zh-CN" w:bidi="zh-CN"/>
      </w:rPr>
    </w:lvl>
    <w:lvl w:ilvl="3" w:tplc="8CB0DE76">
      <w:start w:val="3"/>
      <w:numFmt w:val="decimal"/>
      <w:lvlText w:val="%1.%2.%3.%4"/>
      <w:lvlJc w:val="left"/>
      <w:pPr>
        <w:ind w:left="418" w:hanging="950"/>
        <w:jc w:val="left"/>
      </w:pPr>
      <w:rPr>
        <w:rFonts w:hint="default"/>
        <w:lang w:val="zh-CN" w:eastAsia="zh-CN" w:bidi="zh-CN"/>
      </w:rPr>
    </w:lvl>
    <w:lvl w:ilvl="4" w:tplc="01124CC8">
      <w:start w:val="7"/>
      <w:numFmt w:val="decimal"/>
      <w:lvlText w:val="%1.%2.%3.%4.%5"/>
      <w:lvlJc w:val="left"/>
      <w:pPr>
        <w:ind w:left="418" w:hanging="950"/>
        <w:jc w:val="left"/>
      </w:pPr>
      <w:rPr>
        <w:rFonts w:ascii="宋体" w:eastAsia="宋体" w:hAnsi="宋体" w:cs="宋体" w:hint="default"/>
        <w:spacing w:val="-3"/>
        <w:w w:val="100"/>
        <w:sz w:val="19"/>
        <w:szCs w:val="19"/>
        <w:lang w:val="zh-CN" w:eastAsia="zh-CN" w:bidi="zh-CN"/>
      </w:rPr>
    </w:lvl>
    <w:lvl w:ilvl="5" w:tplc="00F6536E">
      <w:numFmt w:val="bullet"/>
      <w:lvlText w:val="•"/>
      <w:lvlJc w:val="left"/>
      <w:pPr>
        <w:ind w:left="5533" w:hanging="950"/>
      </w:pPr>
      <w:rPr>
        <w:rFonts w:hint="default"/>
        <w:lang w:val="zh-CN" w:eastAsia="zh-CN" w:bidi="zh-CN"/>
      </w:rPr>
    </w:lvl>
    <w:lvl w:ilvl="6" w:tplc="1D38438C">
      <w:numFmt w:val="bullet"/>
      <w:lvlText w:val="•"/>
      <w:lvlJc w:val="left"/>
      <w:pPr>
        <w:ind w:left="6555" w:hanging="950"/>
      </w:pPr>
      <w:rPr>
        <w:rFonts w:hint="default"/>
        <w:lang w:val="zh-CN" w:eastAsia="zh-CN" w:bidi="zh-CN"/>
      </w:rPr>
    </w:lvl>
    <w:lvl w:ilvl="7" w:tplc="C48E38B4">
      <w:numFmt w:val="bullet"/>
      <w:lvlText w:val="•"/>
      <w:lvlJc w:val="left"/>
      <w:pPr>
        <w:ind w:left="7578" w:hanging="950"/>
      </w:pPr>
      <w:rPr>
        <w:rFonts w:hint="default"/>
        <w:lang w:val="zh-CN" w:eastAsia="zh-CN" w:bidi="zh-CN"/>
      </w:rPr>
    </w:lvl>
    <w:lvl w:ilvl="8" w:tplc="AE4C4002">
      <w:numFmt w:val="bullet"/>
      <w:lvlText w:val="•"/>
      <w:lvlJc w:val="left"/>
      <w:pPr>
        <w:ind w:left="8601" w:hanging="950"/>
      </w:pPr>
      <w:rPr>
        <w:rFonts w:hint="default"/>
        <w:lang w:val="zh-CN" w:eastAsia="zh-CN" w:bidi="zh-CN"/>
      </w:rPr>
    </w:lvl>
  </w:abstractNum>
  <w:abstractNum w:abstractNumId="471" w15:restartNumberingAfterBreak="0">
    <w:nsid w:val="400000FA"/>
    <w:multiLevelType w:val="hybridMultilevel"/>
    <w:tmpl w:val="2834BE9C"/>
    <w:lvl w:ilvl="0" w:tplc="DF009BD6">
      <w:start w:val="6"/>
      <w:numFmt w:val="decimal"/>
      <w:lvlText w:val="%1"/>
      <w:lvlJc w:val="left"/>
      <w:pPr>
        <w:ind w:left="1158" w:hanging="318"/>
        <w:jc w:val="left"/>
      </w:pPr>
      <w:rPr>
        <w:rFonts w:hint="default"/>
        <w:lang w:val="zh-CN" w:eastAsia="zh-CN" w:bidi="zh-CN"/>
      </w:rPr>
    </w:lvl>
    <w:lvl w:ilvl="1" w:tplc="F24A9ADA">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4D5AFFC2">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84F2BBF6">
      <w:numFmt w:val="bullet"/>
      <w:lvlText w:val="•"/>
      <w:lvlJc w:val="left"/>
      <w:pPr>
        <w:ind w:left="2538" w:hanging="529"/>
      </w:pPr>
      <w:rPr>
        <w:rFonts w:hint="default"/>
        <w:lang w:val="zh-CN" w:eastAsia="zh-CN" w:bidi="zh-CN"/>
      </w:rPr>
    </w:lvl>
    <w:lvl w:ilvl="4" w:tplc="56849968">
      <w:numFmt w:val="bullet"/>
      <w:lvlText w:val="•"/>
      <w:lvlJc w:val="left"/>
      <w:pPr>
        <w:ind w:left="3696" w:hanging="529"/>
      </w:pPr>
      <w:rPr>
        <w:rFonts w:hint="default"/>
        <w:lang w:val="zh-CN" w:eastAsia="zh-CN" w:bidi="zh-CN"/>
      </w:rPr>
    </w:lvl>
    <w:lvl w:ilvl="5" w:tplc="913AE91C">
      <w:numFmt w:val="bullet"/>
      <w:lvlText w:val="•"/>
      <w:lvlJc w:val="left"/>
      <w:pPr>
        <w:ind w:left="4854" w:hanging="529"/>
      </w:pPr>
      <w:rPr>
        <w:rFonts w:hint="default"/>
        <w:lang w:val="zh-CN" w:eastAsia="zh-CN" w:bidi="zh-CN"/>
      </w:rPr>
    </w:lvl>
    <w:lvl w:ilvl="6" w:tplc="763AEA0C">
      <w:numFmt w:val="bullet"/>
      <w:lvlText w:val="•"/>
      <w:lvlJc w:val="left"/>
      <w:pPr>
        <w:ind w:left="6013" w:hanging="529"/>
      </w:pPr>
      <w:rPr>
        <w:rFonts w:hint="default"/>
        <w:lang w:val="zh-CN" w:eastAsia="zh-CN" w:bidi="zh-CN"/>
      </w:rPr>
    </w:lvl>
    <w:lvl w:ilvl="7" w:tplc="820EDCC6">
      <w:numFmt w:val="bullet"/>
      <w:lvlText w:val="•"/>
      <w:lvlJc w:val="left"/>
      <w:pPr>
        <w:ind w:left="7171" w:hanging="529"/>
      </w:pPr>
      <w:rPr>
        <w:rFonts w:hint="default"/>
        <w:lang w:val="zh-CN" w:eastAsia="zh-CN" w:bidi="zh-CN"/>
      </w:rPr>
    </w:lvl>
    <w:lvl w:ilvl="8" w:tplc="2E7EF5B0">
      <w:numFmt w:val="bullet"/>
      <w:lvlText w:val="•"/>
      <w:lvlJc w:val="left"/>
      <w:pPr>
        <w:ind w:left="8329" w:hanging="529"/>
      </w:pPr>
      <w:rPr>
        <w:rFonts w:hint="default"/>
        <w:lang w:val="zh-CN" w:eastAsia="zh-CN" w:bidi="zh-CN"/>
      </w:rPr>
    </w:lvl>
  </w:abstractNum>
  <w:abstractNum w:abstractNumId="472" w15:restartNumberingAfterBreak="0">
    <w:nsid w:val="401B1F00"/>
    <w:multiLevelType w:val="hybridMultilevel"/>
    <w:tmpl w:val="16DC3AB6"/>
    <w:lvl w:ilvl="0" w:tplc="E60A9B44">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14322380">
      <w:numFmt w:val="bullet"/>
      <w:lvlText w:val="•"/>
      <w:lvlJc w:val="left"/>
      <w:pPr>
        <w:ind w:left="2288" w:hanging="529"/>
      </w:pPr>
      <w:rPr>
        <w:rFonts w:hint="default"/>
        <w:lang w:val="zh-CN" w:eastAsia="zh-CN" w:bidi="zh-CN"/>
      </w:rPr>
    </w:lvl>
    <w:lvl w:ilvl="2" w:tplc="28406C00">
      <w:numFmt w:val="bullet"/>
      <w:lvlText w:val="•"/>
      <w:lvlJc w:val="left"/>
      <w:pPr>
        <w:ind w:left="3217" w:hanging="529"/>
      </w:pPr>
      <w:rPr>
        <w:rFonts w:hint="default"/>
        <w:lang w:val="zh-CN" w:eastAsia="zh-CN" w:bidi="zh-CN"/>
      </w:rPr>
    </w:lvl>
    <w:lvl w:ilvl="3" w:tplc="95EADCD8">
      <w:numFmt w:val="bullet"/>
      <w:lvlText w:val="•"/>
      <w:lvlJc w:val="left"/>
      <w:pPr>
        <w:ind w:left="4145" w:hanging="529"/>
      </w:pPr>
      <w:rPr>
        <w:rFonts w:hint="default"/>
        <w:lang w:val="zh-CN" w:eastAsia="zh-CN" w:bidi="zh-CN"/>
      </w:rPr>
    </w:lvl>
    <w:lvl w:ilvl="4" w:tplc="F580C834">
      <w:numFmt w:val="bullet"/>
      <w:lvlText w:val="•"/>
      <w:lvlJc w:val="left"/>
      <w:pPr>
        <w:ind w:left="5074" w:hanging="529"/>
      </w:pPr>
      <w:rPr>
        <w:rFonts w:hint="default"/>
        <w:lang w:val="zh-CN" w:eastAsia="zh-CN" w:bidi="zh-CN"/>
      </w:rPr>
    </w:lvl>
    <w:lvl w:ilvl="5" w:tplc="29587FEA">
      <w:numFmt w:val="bullet"/>
      <w:lvlText w:val="•"/>
      <w:lvlJc w:val="left"/>
      <w:pPr>
        <w:ind w:left="6003" w:hanging="529"/>
      </w:pPr>
      <w:rPr>
        <w:rFonts w:hint="default"/>
        <w:lang w:val="zh-CN" w:eastAsia="zh-CN" w:bidi="zh-CN"/>
      </w:rPr>
    </w:lvl>
    <w:lvl w:ilvl="6" w:tplc="CD9A3F20">
      <w:numFmt w:val="bullet"/>
      <w:lvlText w:val="•"/>
      <w:lvlJc w:val="left"/>
      <w:pPr>
        <w:ind w:left="6931" w:hanging="529"/>
      </w:pPr>
      <w:rPr>
        <w:rFonts w:hint="default"/>
        <w:lang w:val="zh-CN" w:eastAsia="zh-CN" w:bidi="zh-CN"/>
      </w:rPr>
    </w:lvl>
    <w:lvl w:ilvl="7" w:tplc="F9888082">
      <w:numFmt w:val="bullet"/>
      <w:lvlText w:val="•"/>
      <w:lvlJc w:val="left"/>
      <w:pPr>
        <w:ind w:left="7860" w:hanging="529"/>
      </w:pPr>
      <w:rPr>
        <w:rFonts w:hint="default"/>
        <w:lang w:val="zh-CN" w:eastAsia="zh-CN" w:bidi="zh-CN"/>
      </w:rPr>
    </w:lvl>
    <w:lvl w:ilvl="8" w:tplc="9EDCDC8C">
      <w:numFmt w:val="bullet"/>
      <w:lvlText w:val="•"/>
      <w:lvlJc w:val="left"/>
      <w:pPr>
        <w:ind w:left="8789" w:hanging="529"/>
      </w:pPr>
      <w:rPr>
        <w:rFonts w:hint="default"/>
        <w:lang w:val="zh-CN" w:eastAsia="zh-CN" w:bidi="zh-CN"/>
      </w:rPr>
    </w:lvl>
  </w:abstractNum>
  <w:abstractNum w:abstractNumId="473" w15:restartNumberingAfterBreak="0">
    <w:nsid w:val="401C36CE"/>
    <w:multiLevelType w:val="hybridMultilevel"/>
    <w:tmpl w:val="8348EEA4"/>
    <w:lvl w:ilvl="0" w:tplc="9E469472">
      <w:start w:val="5"/>
      <w:numFmt w:val="decimal"/>
      <w:lvlText w:val="%1"/>
      <w:lvlJc w:val="left"/>
      <w:pPr>
        <w:ind w:left="1159" w:hanging="320"/>
        <w:jc w:val="left"/>
      </w:pPr>
      <w:rPr>
        <w:rFonts w:hint="default"/>
        <w:lang w:val="zh-CN" w:eastAsia="zh-CN" w:bidi="zh-CN"/>
      </w:rPr>
    </w:lvl>
    <w:lvl w:ilvl="1" w:tplc="5BFC46A8">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0E901A6C">
      <w:start w:val="1"/>
      <w:numFmt w:val="decimal"/>
      <w:lvlText w:val="%1.%2.%3"/>
      <w:lvlJc w:val="left"/>
      <w:pPr>
        <w:ind w:left="838" w:hanging="531"/>
        <w:jc w:val="left"/>
      </w:pPr>
      <w:rPr>
        <w:rFonts w:ascii="宋体" w:eastAsia="宋体" w:hAnsi="宋体" w:cs="宋体" w:hint="default"/>
        <w:b/>
        <w:bCs/>
        <w:w w:val="99"/>
        <w:sz w:val="19"/>
        <w:szCs w:val="19"/>
        <w:lang w:val="zh-CN" w:eastAsia="zh-CN" w:bidi="zh-CN"/>
      </w:rPr>
    </w:lvl>
    <w:lvl w:ilvl="3" w:tplc="E546470A">
      <w:numFmt w:val="bullet"/>
      <w:lvlText w:val="•"/>
      <w:lvlJc w:val="left"/>
      <w:pPr>
        <w:ind w:left="1380" w:hanging="531"/>
      </w:pPr>
      <w:rPr>
        <w:rFonts w:hint="default"/>
        <w:lang w:val="zh-CN" w:eastAsia="zh-CN" w:bidi="zh-CN"/>
      </w:rPr>
    </w:lvl>
    <w:lvl w:ilvl="4" w:tplc="9B4AF754">
      <w:numFmt w:val="bullet"/>
      <w:lvlText w:val="•"/>
      <w:lvlJc w:val="left"/>
      <w:pPr>
        <w:ind w:left="2703" w:hanging="531"/>
      </w:pPr>
      <w:rPr>
        <w:rFonts w:hint="default"/>
        <w:lang w:val="zh-CN" w:eastAsia="zh-CN" w:bidi="zh-CN"/>
      </w:rPr>
    </w:lvl>
    <w:lvl w:ilvl="5" w:tplc="0630D32A">
      <w:numFmt w:val="bullet"/>
      <w:lvlText w:val="•"/>
      <w:lvlJc w:val="left"/>
      <w:pPr>
        <w:ind w:left="4027" w:hanging="531"/>
      </w:pPr>
      <w:rPr>
        <w:rFonts w:hint="default"/>
        <w:lang w:val="zh-CN" w:eastAsia="zh-CN" w:bidi="zh-CN"/>
      </w:rPr>
    </w:lvl>
    <w:lvl w:ilvl="6" w:tplc="6B9EE4EC">
      <w:numFmt w:val="bullet"/>
      <w:lvlText w:val="•"/>
      <w:lvlJc w:val="left"/>
      <w:pPr>
        <w:ind w:left="5351" w:hanging="531"/>
      </w:pPr>
      <w:rPr>
        <w:rFonts w:hint="default"/>
        <w:lang w:val="zh-CN" w:eastAsia="zh-CN" w:bidi="zh-CN"/>
      </w:rPr>
    </w:lvl>
    <w:lvl w:ilvl="7" w:tplc="D7CEB4EE">
      <w:numFmt w:val="bullet"/>
      <w:lvlText w:val="•"/>
      <w:lvlJc w:val="left"/>
      <w:pPr>
        <w:ind w:left="6675" w:hanging="531"/>
      </w:pPr>
      <w:rPr>
        <w:rFonts w:hint="default"/>
        <w:lang w:val="zh-CN" w:eastAsia="zh-CN" w:bidi="zh-CN"/>
      </w:rPr>
    </w:lvl>
    <w:lvl w:ilvl="8" w:tplc="9D4855E6">
      <w:numFmt w:val="bullet"/>
      <w:lvlText w:val="•"/>
      <w:lvlJc w:val="left"/>
      <w:pPr>
        <w:ind w:left="7998" w:hanging="531"/>
      </w:pPr>
      <w:rPr>
        <w:rFonts w:hint="default"/>
        <w:lang w:val="zh-CN" w:eastAsia="zh-CN" w:bidi="zh-CN"/>
      </w:rPr>
    </w:lvl>
  </w:abstractNum>
  <w:abstractNum w:abstractNumId="474" w15:restartNumberingAfterBreak="0">
    <w:nsid w:val="402F1018"/>
    <w:multiLevelType w:val="hybridMultilevel"/>
    <w:tmpl w:val="3620B0B0"/>
    <w:lvl w:ilvl="0" w:tplc="F8D0E4AE">
      <w:start w:val="2"/>
      <w:numFmt w:val="decimal"/>
      <w:lvlText w:val="%1."/>
      <w:lvlJc w:val="left"/>
      <w:pPr>
        <w:ind w:left="418" w:hanging="213"/>
        <w:jc w:val="left"/>
      </w:pPr>
      <w:rPr>
        <w:rFonts w:ascii="宋体" w:eastAsia="宋体" w:hAnsi="宋体" w:cs="宋体" w:hint="default"/>
        <w:spacing w:val="-3"/>
        <w:w w:val="100"/>
        <w:sz w:val="19"/>
        <w:szCs w:val="19"/>
        <w:lang w:val="zh-CN" w:eastAsia="zh-CN" w:bidi="zh-CN"/>
      </w:rPr>
    </w:lvl>
    <w:lvl w:ilvl="1" w:tplc="A246E8AE">
      <w:numFmt w:val="bullet"/>
      <w:lvlText w:val="•"/>
      <w:lvlJc w:val="left"/>
      <w:pPr>
        <w:ind w:left="1442" w:hanging="213"/>
      </w:pPr>
      <w:rPr>
        <w:rFonts w:hint="default"/>
        <w:lang w:val="zh-CN" w:eastAsia="zh-CN" w:bidi="zh-CN"/>
      </w:rPr>
    </w:lvl>
    <w:lvl w:ilvl="2" w:tplc="0BEE25EC">
      <w:numFmt w:val="bullet"/>
      <w:lvlText w:val="•"/>
      <w:lvlJc w:val="left"/>
      <w:pPr>
        <w:ind w:left="2465" w:hanging="213"/>
      </w:pPr>
      <w:rPr>
        <w:rFonts w:hint="default"/>
        <w:lang w:val="zh-CN" w:eastAsia="zh-CN" w:bidi="zh-CN"/>
      </w:rPr>
    </w:lvl>
    <w:lvl w:ilvl="3" w:tplc="242E5C60">
      <w:numFmt w:val="bullet"/>
      <w:lvlText w:val="•"/>
      <w:lvlJc w:val="left"/>
      <w:pPr>
        <w:ind w:left="3487" w:hanging="213"/>
      </w:pPr>
      <w:rPr>
        <w:rFonts w:hint="default"/>
        <w:lang w:val="zh-CN" w:eastAsia="zh-CN" w:bidi="zh-CN"/>
      </w:rPr>
    </w:lvl>
    <w:lvl w:ilvl="4" w:tplc="2CD8B3F4">
      <w:numFmt w:val="bullet"/>
      <w:lvlText w:val="•"/>
      <w:lvlJc w:val="left"/>
      <w:pPr>
        <w:ind w:left="4510" w:hanging="213"/>
      </w:pPr>
      <w:rPr>
        <w:rFonts w:hint="default"/>
        <w:lang w:val="zh-CN" w:eastAsia="zh-CN" w:bidi="zh-CN"/>
      </w:rPr>
    </w:lvl>
    <w:lvl w:ilvl="5" w:tplc="3C0AAFAC">
      <w:numFmt w:val="bullet"/>
      <w:lvlText w:val="•"/>
      <w:lvlJc w:val="left"/>
      <w:pPr>
        <w:ind w:left="5533" w:hanging="213"/>
      </w:pPr>
      <w:rPr>
        <w:rFonts w:hint="default"/>
        <w:lang w:val="zh-CN" w:eastAsia="zh-CN" w:bidi="zh-CN"/>
      </w:rPr>
    </w:lvl>
    <w:lvl w:ilvl="6" w:tplc="E42AAA56">
      <w:numFmt w:val="bullet"/>
      <w:lvlText w:val="•"/>
      <w:lvlJc w:val="left"/>
      <w:pPr>
        <w:ind w:left="6555" w:hanging="213"/>
      </w:pPr>
      <w:rPr>
        <w:rFonts w:hint="default"/>
        <w:lang w:val="zh-CN" w:eastAsia="zh-CN" w:bidi="zh-CN"/>
      </w:rPr>
    </w:lvl>
    <w:lvl w:ilvl="7" w:tplc="244CC654">
      <w:numFmt w:val="bullet"/>
      <w:lvlText w:val="•"/>
      <w:lvlJc w:val="left"/>
      <w:pPr>
        <w:ind w:left="7578" w:hanging="213"/>
      </w:pPr>
      <w:rPr>
        <w:rFonts w:hint="default"/>
        <w:lang w:val="zh-CN" w:eastAsia="zh-CN" w:bidi="zh-CN"/>
      </w:rPr>
    </w:lvl>
    <w:lvl w:ilvl="8" w:tplc="17CEBEF8">
      <w:numFmt w:val="bullet"/>
      <w:lvlText w:val="•"/>
      <w:lvlJc w:val="left"/>
      <w:pPr>
        <w:ind w:left="8601" w:hanging="213"/>
      </w:pPr>
      <w:rPr>
        <w:rFonts w:hint="default"/>
        <w:lang w:val="zh-CN" w:eastAsia="zh-CN" w:bidi="zh-CN"/>
      </w:rPr>
    </w:lvl>
  </w:abstractNum>
  <w:abstractNum w:abstractNumId="475" w15:restartNumberingAfterBreak="0">
    <w:nsid w:val="402F165E"/>
    <w:multiLevelType w:val="hybridMultilevel"/>
    <w:tmpl w:val="B344AA24"/>
    <w:lvl w:ilvl="0" w:tplc="AB4E4810">
      <w:start w:val="6"/>
      <w:numFmt w:val="decimal"/>
      <w:lvlText w:val="%1"/>
      <w:lvlJc w:val="left"/>
      <w:pPr>
        <w:ind w:left="1370" w:hanging="531"/>
        <w:jc w:val="left"/>
      </w:pPr>
      <w:rPr>
        <w:rFonts w:hint="default"/>
        <w:lang w:val="zh-CN" w:eastAsia="zh-CN" w:bidi="zh-CN"/>
      </w:rPr>
    </w:lvl>
    <w:lvl w:ilvl="1" w:tplc="1CF8D4CC">
      <w:start w:val="3"/>
      <w:numFmt w:val="decimal"/>
      <w:lvlText w:val="%1.%2"/>
      <w:lvlJc w:val="left"/>
      <w:pPr>
        <w:ind w:left="1370" w:hanging="531"/>
        <w:jc w:val="left"/>
      </w:pPr>
      <w:rPr>
        <w:rFonts w:hint="default"/>
        <w:lang w:val="zh-CN" w:eastAsia="zh-CN" w:bidi="zh-CN"/>
      </w:rPr>
    </w:lvl>
    <w:lvl w:ilvl="2" w:tplc="214A68A0">
      <w:start w:val="8"/>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5E9AC2FC">
      <w:numFmt w:val="bullet"/>
      <w:lvlText w:val="•"/>
      <w:lvlJc w:val="left"/>
      <w:pPr>
        <w:ind w:left="4159" w:hanging="531"/>
      </w:pPr>
      <w:rPr>
        <w:rFonts w:hint="default"/>
        <w:lang w:val="zh-CN" w:eastAsia="zh-CN" w:bidi="zh-CN"/>
      </w:rPr>
    </w:lvl>
    <w:lvl w:ilvl="4" w:tplc="EAE4E0AC">
      <w:numFmt w:val="bullet"/>
      <w:lvlText w:val="•"/>
      <w:lvlJc w:val="left"/>
      <w:pPr>
        <w:ind w:left="5086" w:hanging="531"/>
      </w:pPr>
      <w:rPr>
        <w:rFonts w:hint="default"/>
        <w:lang w:val="zh-CN" w:eastAsia="zh-CN" w:bidi="zh-CN"/>
      </w:rPr>
    </w:lvl>
    <w:lvl w:ilvl="5" w:tplc="A2FC0DF6">
      <w:numFmt w:val="bullet"/>
      <w:lvlText w:val="•"/>
      <w:lvlJc w:val="left"/>
      <w:pPr>
        <w:ind w:left="6013" w:hanging="531"/>
      </w:pPr>
      <w:rPr>
        <w:rFonts w:hint="default"/>
        <w:lang w:val="zh-CN" w:eastAsia="zh-CN" w:bidi="zh-CN"/>
      </w:rPr>
    </w:lvl>
    <w:lvl w:ilvl="6" w:tplc="0E424762">
      <w:numFmt w:val="bullet"/>
      <w:lvlText w:val="•"/>
      <w:lvlJc w:val="left"/>
      <w:pPr>
        <w:ind w:left="6939" w:hanging="531"/>
      </w:pPr>
      <w:rPr>
        <w:rFonts w:hint="default"/>
        <w:lang w:val="zh-CN" w:eastAsia="zh-CN" w:bidi="zh-CN"/>
      </w:rPr>
    </w:lvl>
    <w:lvl w:ilvl="7" w:tplc="05A03F3E">
      <w:numFmt w:val="bullet"/>
      <w:lvlText w:val="•"/>
      <w:lvlJc w:val="left"/>
      <w:pPr>
        <w:ind w:left="7866" w:hanging="531"/>
      </w:pPr>
      <w:rPr>
        <w:rFonts w:hint="default"/>
        <w:lang w:val="zh-CN" w:eastAsia="zh-CN" w:bidi="zh-CN"/>
      </w:rPr>
    </w:lvl>
    <w:lvl w:ilvl="8" w:tplc="B226FCF6">
      <w:numFmt w:val="bullet"/>
      <w:lvlText w:val="•"/>
      <w:lvlJc w:val="left"/>
      <w:pPr>
        <w:ind w:left="8793" w:hanging="531"/>
      </w:pPr>
      <w:rPr>
        <w:rFonts w:hint="default"/>
        <w:lang w:val="zh-CN" w:eastAsia="zh-CN" w:bidi="zh-CN"/>
      </w:rPr>
    </w:lvl>
  </w:abstractNum>
  <w:abstractNum w:abstractNumId="476" w15:restartNumberingAfterBreak="0">
    <w:nsid w:val="40402223"/>
    <w:multiLevelType w:val="hybridMultilevel"/>
    <w:tmpl w:val="9E28EEA8"/>
    <w:lvl w:ilvl="0" w:tplc="477A9A0A">
      <w:start w:val="9"/>
      <w:numFmt w:val="decimal"/>
      <w:lvlText w:val="%1"/>
      <w:lvlJc w:val="left"/>
      <w:pPr>
        <w:ind w:left="1369" w:hanging="529"/>
        <w:jc w:val="left"/>
      </w:pPr>
      <w:rPr>
        <w:rFonts w:hint="default"/>
        <w:lang w:val="zh-CN" w:eastAsia="zh-CN" w:bidi="zh-CN"/>
      </w:rPr>
    </w:lvl>
    <w:lvl w:ilvl="1" w:tplc="1846BAF8">
      <w:start w:val="3"/>
      <w:numFmt w:val="decimal"/>
      <w:lvlText w:val="%1.%2"/>
      <w:lvlJc w:val="left"/>
      <w:pPr>
        <w:ind w:left="1369" w:hanging="529"/>
        <w:jc w:val="left"/>
      </w:pPr>
      <w:rPr>
        <w:rFonts w:hint="default"/>
        <w:lang w:val="zh-CN" w:eastAsia="zh-CN" w:bidi="zh-CN"/>
      </w:rPr>
    </w:lvl>
    <w:lvl w:ilvl="2" w:tplc="3E0267B8">
      <w:start w:val="5"/>
      <w:numFmt w:val="decimal"/>
      <w:lvlText w:val="%1.%2.%3"/>
      <w:lvlJc w:val="left"/>
      <w:pPr>
        <w:ind w:left="1369" w:hanging="529"/>
        <w:jc w:val="left"/>
      </w:pPr>
      <w:rPr>
        <w:rFonts w:ascii="宋体" w:eastAsia="宋体" w:hAnsi="宋体" w:cs="宋体" w:hint="default"/>
        <w:b/>
        <w:bCs/>
        <w:spacing w:val="-3"/>
        <w:w w:val="99"/>
        <w:sz w:val="19"/>
        <w:szCs w:val="19"/>
        <w:lang w:val="zh-CN" w:eastAsia="zh-CN" w:bidi="zh-CN"/>
      </w:rPr>
    </w:lvl>
    <w:lvl w:ilvl="3" w:tplc="97426384">
      <w:numFmt w:val="bullet"/>
      <w:lvlText w:val="•"/>
      <w:lvlJc w:val="left"/>
      <w:pPr>
        <w:ind w:left="4145" w:hanging="529"/>
      </w:pPr>
      <w:rPr>
        <w:rFonts w:hint="default"/>
        <w:lang w:val="zh-CN" w:eastAsia="zh-CN" w:bidi="zh-CN"/>
      </w:rPr>
    </w:lvl>
    <w:lvl w:ilvl="4" w:tplc="3A2C3766">
      <w:numFmt w:val="bullet"/>
      <w:lvlText w:val="•"/>
      <w:lvlJc w:val="left"/>
      <w:pPr>
        <w:ind w:left="5074" w:hanging="529"/>
      </w:pPr>
      <w:rPr>
        <w:rFonts w:hint="default"/>
        <w:lang w:val="zh-CN" w:eastAsia="zh-CN" w:bidi="zh-CN"/>
      </w:rPr>
    </w:lvl>
    <w:lvl w:ilvl="5" w:tplc="D1D8EE3C">
      <w:numFmt w:val="bullet"/>
      <w:lvlText w:val="•"/>
      <w:lvlJc w:val="left"/>
      <w:pPr>
        <w:ind w:left="6003" w:hanging="529"/>
      </w:pPr>
      <w:rPr>
        <w:rFonts w:hint="default"/>
        <w:lang w:val="zh-CN" w:eastAsia="zh-CN" w:bidi="zh-CN"/>
      </w:rPr>
    </w:lvl>
    <w:lvl w:ilvl="6" w:tplc="2DFEEDCE">
      <w:numFmt w:val="bullet"/>
      <w:lvlText w:val="•"/>
      <w:lvlJc w:val="left"/>
      <w:pPr>
        <w:ind w:left="6931" w:hanging="529"/>
      </w:pPr>
      <w:rPr>
        <w:rFonts w:hint="default"/>
        <w:lang w:val="zh-CN" w:eastAsia="zh-CN" w:bidi="zh-CN"/>
      </w:rPr>
    </w:lvl>
    <w:lvl w:ilvl="7" w:tplc="A844E914">
      <w:numFmt w:val="bullet"/>
      <w:lvlText w:val="•"/>
      <w:lvlJc w:val="left"/>
      <w:pPr>
        <w:ind w:left="7860" w:hanging="529"/>
      </w:pPr>
      <w:rPr>
        <w:rFonts w:hint="default"/>
        <w:lang w:val="zh-CN" w:eastAsia="zh-CN" w:bidi="zh-CN"/>
      </w:rPr>
    </w:lvl>
    <w:lvl w:ilvl="8" w:tplc="68867B48">
      <w:numFmt w:val="bullet"/>
      <w:lvlText w:val="•"/>
      <w:lvlJc w:val="left"/>
      <w:pPr>
        <w:ind w:left="8789" w:hanging="529"/>
      </w:pPr>
      <w:rPr>
        <w:rFonts w:hint="default"/>
        <w:lang w:val="zh-CN" w:eastAsia="zh-CN" w:bidi="zh-CN"/>
      </w:rPr>
    </w:lvl>
  </w:abstractNum>
  <w:abstractNum w:abstractNumId="477" w15:restartNumberingAfterBreak="0">
    <w:nsid w:val="40606E07"/>
    <w:multiLevelType w:val="hybridMultilevel"/>
    <w:tmpl w:val="9D00A2E6"/>
    <w:lvl w:ilvl="0" w:tplc="E06405B2">
      <w:start w:val="2"/>
      <w:numFmt w:val="lowerLetter"/>
      <w:lvlText w:val="%1)"/>
      <w:lvlJc w:val="left"/>
      <w:pPr>
        <w:ind w:left="1050" w:hanging="213"/>
        <w:jc w:val="left"/>
      </w:pPr>
      <w:rPr>
        <w:rFonts w:ascii="宋体" w:eastAsia="宋体" w:hAnsi="宋体" w:cs="宋体" w:hint="default"/>
        <w:spacing w:val="-3"/>
        <w:w w:val="99"/>
        <w:sz w:val="19"/>
        <w:szCs w:val="19"/>
        <w:lang w:val="zh-CN" w:eastAsia="zh-CN" w:bidi="zh-CN"/>
      </w:rPr>
    </w:lvl>
    <w:lvl w:ilvl="1" w:tplc="DD303E2E">
      <w:numFmt w:val="bullet"/>
      <w:lvlText w:val="•"/>
      <w:lvlJc w:val="left"/>
      <w:pPr>
        <w:ind w:left="2018" w:hanging="213"/>
      </w:pPr>
      <w:rPr>
        <w:rFonts w:hint="default"/>
        <w:lang w:val="zh-CN" w:eastAsia="zh-CN" w:bidi="zh-CN"/>
      </w:rPr>
    </w:lvl>
    <w:lvl w:ilvl="2" w:tplc="FCD08446">
      <w:numFmt w:val="bullet"/>
      <w:lvlText w:val="•"/>
      <w:lvlJc w:val="left"/>
      <w:pPr>
        <w:ind w:left="2977" w:hanging="213"/>
      </w:pPr>
      <w:rPr>
        <w:rFonts w:hint="default"/>
        <w:lang w:val="zh-CN" w:eastAsia="zh-CN" w:bidi="zh-CN"/>
      </w:rPr>
    </w:lvl>
    <w:lvl w:ilvl="3" w:tplc="000E8964">
      <w:numFmt w:val="bullet"/>
      <w:lvlText w:val="•"/>
      <w:lvlJc w:val="left"/>
      <w:pPr>
        <w:ind w:left="3935" w:hanging="213"/>
      </w:pPr>
      <w:rPr>
        <w:rFonts w:hint="default"/>
        <w:lang w:val="zh-CN" w:eastAsia="zh-CN" w:bidi="zh-CN"/>
      </w:rPr>
    </w:lvl>
    <w:lvl w:ilvl="4" w:tplc="48067E90">
      <w:numFmt w:val="bullet"/>
      <w:lvlText w:val="•"/>
      <w:lvlJc w:val="left"/>
      <w:pPr>
        <w:ind w:left="4894" w:hanging="213"/>
      </w:pPr>
      <w:rPr>
        <w:rFonts w:hint="default"/>
        <w:lang w:val="zh-CN" w:eastAsia="zh-CN" w:bidi="zh-CN"/>
      </w:rPr>
    </w:lvl>
    <w:lvl w:ilvl="5" w:tplc="C8FAA4BA">
      <w:numFmt w:val="bullet"/>
      <w:lvlText w:val="•"/>
      <w:lvlJc w:val="left"/>
      <w:pPr>
        <w:ind w:left="5853" w:hanging="213"/>
      </w:pPr>
      <w:rPr>
        <w:rFonts w:hint="default"/>
        <w:lang w:val="zh-CN" w:eastAsia="zh-CN" w:bidi="zh-CN"/>
      </w:rPr>
    </w:lvl>
    <w:lvl w:ilvl="6" w:tplc="121E6CBA">
      <w:numFmt w:val="bullet"/>
      <w:lvlText w:val="•"/>
      <w:lvlJc w:val="left"/>
      <w:pPr>
        <w:ind w:left="6811" w:hanging="213"/>
      </w:pPr>
      <w:rPr>
        <w:rFonts w:hint="default"/>
        <w:lang w:val="zh-CN" w:eastAsia="zh-CN" w:bidi="zh-CN"/>
      </w:rPr>
    </w:lvl>
    <w:lvl w:ilvl="7" w:tplc="B1C694B4">
      <w:numFmt w:val="bullet"/>
      <w:lvlText w:val="•"/>
      <w:lvlJc w:val="left"/>
      <w:pPr>
        <w:ind w:left="7770" w:hanging="213"/>
      </w:pPr>
      <w:rPr>
        <w:rFonts w:hint="default"/>
        <w:lang w:val="zh-CN" w:eastAsia="zh-CN" w:bidi="zh-CN"/>
      </w:rPr>
    </w:lvl>
    <w:lvl w:ilvl="8" w:tplc="48704B24">
      <w:numFmt w:val="bullet"/>
      <w:lvlText w:val="•"/>
      <w:lvlJc w:val="left"/>
      <w:pPr>
        <w:ind w:left="8729" w:hanging="213"/>
      </w:pPr>
      <w:rPr>
        <w:rFonts w:hint="default"/>
        <w:lang w:val="zh-CN" w:eastAsia="zh-CN" w:bidi="zh-CN"/>
      </w:rPr>
    </w:lvl>
  </w:abstractNum>
  <w:abstractNum w:abstractNumId="478" w15:restartNumberingAfterBreak="0">
    <w:nsid w:val="40D90CD3"/>
    <w:multiLevelType w:val="hybridMultilevel"/>
    <w:tmpl w:val="7804A5F2"/>
    <w:lvl w:ilvl="0" w:tplc="C8EED18E">
      <w:start w:val="1"/>
      <w:numFmt w:val="lowerLetter"/>
      <w:lvlText w:val="%1)"/>
      <w:lvlJc w:val="left"/>
      <w:pPr>
        <w:ind w:left="418" w:hanging="213"/>
        <w:jc w:val="left"/>
      </w:pPr>
      <w:rPr>
        <w:rFonts w:ascii="宋体" w:eastAsia="宋体" w:hAnsi="宋体" w:cs="宋体" w:hint="default"/>
        <w:spacing w:val="-53"/>
        <w:w w:val="100"/>
        <w:sz w:val="19"/>
        <w:szCs w:val="19"/>
        <w:lang w:val="zh-CN" w:eastAsia="zh-CN" w:bidi="zh-CN"/>
      </w:rPr>
    </w:lvl>
    <w:lvl w:ilvl="1" w:tplc="E9BA4348">
      <w:numFmt w:val="bullet"/>
      <w:lvlText w:val="•"/>
      <w:lvlJc w:val="left"/>
      <w:pPr>
        <w:ind w:left="1442" w:hanging="213"/>
      </w:pPr>
      <w:rPr>
        <w:rFonts w:hint="default"/>
        <w:lang w:val="zh-CN" w:eastAsia="zh-CN" w:bidi="zh-CN"/>
      </w:rPr>
    </w:lvl>
    <w:lvl w:ilvl="2" w:tplc="912A9292">
      <w:numFmt w:val="bullet"/>
      <w:lvlText w:val="•"/>
      <w:lvlJc w:val="left"/>
      <w:pPr>
        <w:ind w:left="2465" w:hanging="213"/>
      </w:pPr>
      <w:rPr>
        <w:rFonts w:hint="default"/>
        <w:lang w:val="zh-CN" w:eastAsia="zh-CN" w:bidi="zh-CN"/>
      </w:rPr>
    </w:lvl>
    <w:lvl w:ilvl="3" w:tplc="969A3B64">
      <w:numFmt w:val="bullet"/>
      <w:lvlText w:val="•"/>
      <w:lvlJc w:val="left"/>
      <w:pPr>
        <w:ind w:left="3487" w:hanging="213"/>
      </w:pPr>
      <w:rPr>
        <w:rFonts w:hint="default"/>
        <w:lang w:val="zh-CN" w:eastAsia="zh-CN" w:bidi="zh-CN"/>
      </w:rPr>
    </w:lvl>
    <w:lvl w:ilvl="4" w:tplc="D57A505A">
      <w:numFmt w:val="bullet"/>
      <w:lvlText w:val="•"/>
      <w:lvlJc w:val="left"/>
      <w:pPr>
        <w:ind w:left="4510" w:hanging="213"/>
      </w:pPr>
      <w:rPr>
        <w:rFonts w:hint="default"/>
        <w:lang w:val="zh-CN" w:eastAsia="zh-CN" w:bidi="zh-CN"/>
      </w:rPr>
    </w:lvl>
    <w:lvl w:ilvl="5" w:tplc="220C892C">
      <w:numFmt w:val="bullet"/>
      <w:lvlText w:val="•"/>
      <w:lvlJc w:val="left"/>
      <w:pPr>
        <w:ind w:left="5533" w:hanging="213"/>
      </w:pPr>
      <w:rPr>
        <w:rFonts w:hint="default"/>
        <w:lang w:val="zh-CN" w:eastAsia="zh-CN" w:bidi="zh-CN"/>
      </w:rPr>
    </w:lvl>
    <w:lvl w:ilvl="6" w:tplc="CE507EDC">
      <w:numFmt w:val="bullet"/>
      <w:lvlText w:val="•"/>
      <w:lvlJc w:val="left"/>
      <w:pPr>
        <w:ind w:left="6555" w:hanging="213"/>
      </w:pPr>
      <w:rPr>
        <w:rFonts w:hint="default"/>
        <w:lang w:val="zh-CN" w:eastAsia="zh-CN" w:bidi="zh-CN"/>
      </w:rPr>
    </w:lvl>
    <w:lvl w:ilvl="7" w:tplc="62DABE70">
      <w:numFmt w:val="bullet"/>
      <w:lvlText w:val="•"/>
      <w:lvlJc w:val="left"/>
      <w:pPr>
        <w:ind w:left="7578" w:hanging="213"/>
      </w:pPr>
      <w:rPr>
        <w:rFonts w:hint="default"/>
        <w:lang w:val="zh-CN" w:eastAsia="zh-CN" w:bidi="zh-CN"/>
      </w:rPr>
    </w:lvl>
    <w:lvl w:ilvl="8" w:tplc="5BB2448C">
      <w:numFmt w:val="bullet"/>
      <w:lvlText w:val="•"/>
      <w:lvlJc w:val="left"/>
      <w:pPr>
        <w:ind w:left="8601" w:hanging="213"/>
      </w:pPr>
      <w:rPr>
        <w:rFonts w:hint="default"/>
        <w:lang w:val="zh-CN" w:eastAsia="zh-CN" w:bidi="zh-CN"/>
      </w:rPr>
    </w:lvl>
  </w:abstractNum>
  <w:abstractNum w:abstractNumId="479" w15:restartNumberingAfterBreak="0">
    <w:nsid w:val="40E02176"/>
    <w:multiLevelType w:val="hybridMultilevel"/>
    <w:tmpl w:val="B4E079D0"/>
    <w:lvl w:ilvl="0" w:tplc="BA8AF792">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4B4ABE9E">
      <w:numFmt w:val="bullet"/>
      <w:lvlText w:val="•"/>
      <w:lvlJc w:val="left"/>
      <w:pPr>
        <w:ind w:left="2288" w:hanging="529"/>
      </w:pPr>
      <w:rPr>
        <w:rFonts w:hint="default"/>
        <w:lang w:val="zh-CN" w:eastAsia="zh-CN" w:bidi="zh-CN"/>
      </w:rPr>
    </w:lvl>
    <w:lvl w:ilvl="2" w:tplc="46B0315E">
      <w:numFmt w:val="bullet"/>
      <w:lvlText w:val="•"/>
      <w:lvlJc w:val="left"/>
      <w:pPr>
        <w:ind w:left="3217" w:hanging="529"/>
      </w:pPr>
      <w:rPr>
        <w:rFonts w:hint="default"/>
        <w:lang w:val="zh-CN" w:eastAsia="zh-CN" w:bidi="zh-CN"/>
      </w:rPr>
    </w:lvl>
    <w:lvl w:ilvl="3" w:tplc="5650BEFA">
      <w:numFmt w:val="bullet"/>
      <w:lvlText w:val="•"/>
      <w:lvlJc w:val="left"/>
      <w:pPr>
        <w:ind w:left="4145" w:hanging="529"/>
      </w:pPr>
      <w:rPr>
        <w:rFonts w:hint="default"/>
        <w:lang w:val="zh-CN" w:eastAsia="zh-CN" w:bidi="zh-CN"/>
      </w:rPr>
    </w:lvl>
    <w:lvl w:ilvl="4" w:tplc="07EC480E">
      <w:numFmt w:val="bullet"/>
      <w:lvlText w:val="•"/>
      <w:lvlJc w:val="left"/>
      <w:pPr>
        <w:ind w:left="5074" w:hanging="529"/>
      </w:pPr>
      <w:rPr>
        <w:rFonts w:hint="default"/>
        <w:lang w:val="zh-CN" w:eastAsia="zh-CN" w:bidi="zh-CN"/>
      </w:rPr>
    </w:lvl>
    <w:lvl w:ilvl="5" w:tplc="D5A841AA">
      <w:numFmt w:val="bullet"/>
      <w:lvlText w:val="•"/>
      <w:lvlJc w:val="left"/>
      <w:pPr>
        <w:ind w:left="6003" w:hanging="529"/>
      </w:pPr>
      <w:rPr>
        <w:rFonts w:hint="default"/>
        <w:lang w:val="zh-CN" w:eastAsia="zh-CN" w:bidi="zh-CN"/>
      </w:rPr>
    </w:lvl>
    <w:lvl w:ilvl="6" w:tplc="A74487AE">
      <w:numFmt w:val="bullet"/>
      <w:lvlText w:val="•"/>
      <w:lvlJc w:val="left"/>
      <w:pPr>
        <w:ind w:left="6931" w:hanging="529"/>
      </w:pPr>
      <w:rPr>
        <w:rFonts w:hint="default"/>
        <w:lang w:val="zh-CN" w:eastAsia="zh-CN" w:bidi="zh-CN"/>
      </w:rPr>
    </w:lvl>
    <w:lvl w:ilvl="7" w:tplc="C6DEE2FE">
      <w:numFmt w:val="bullet"/>
      <w:lvlText w:val="•"/>
      <w:lvlJc w:val="left"/>
      <w:pPr>
        <w:ind w:left="7860" w:hanging="529"/>
      </w:pPr>
      <w:rPr>
        <w:rFonts w:hint="default"/>
        <w:lang w:val="zh-CN" w:eastAsia="zh-CN" w:bidi="zh-CN"/>
      </w:rPr>
    </w:lvl>
    <w:lvl w:ilvl="8" w:tplc="B4442702">
      <w:numFmt w:val="bullet"/>
      <w:lvlText w:val="•"/>
      <w:lvlJc w:val="left"/>
      <w:pPr>
        <w:ind w:left="8789" w:hanging="529"/>
      </w:pPr>
      <w:rPr>
        <w:rFonts w:hint="default"/>
        <w:lang w:val="zh-CN" w:eastAsia="zh-CN" w:bidi="zh-CN"/>
      </w:rPr>
    </w:lvl>
  </w:abstractNum>
  <w:abstractNum w:abstractNumId="480" w15:restartNumberingAfterBreak="0">
    <w:nsid w:val="410F2E38"/>
    <w:multiLevelType w:val="hybridMultilevel"/>
    <w:tmpl w:val="ACC801E6"/>
    <w:lvl w:ilvl="0" w:tplc="347A82AA">
      <w:start w:val="1"/>
      <w:numFmt w:val="lowerLetter"/>
      <w:lvlText w:val="%1）"/>
      <w:lvlJc w:val="left"/>
      <w:pPr>
        <w:ind w:left="418" w:hanging="318"/>
        <w:jc w:val="left"/>
      </w:pPr>
      <w:rPr>
        <w:rFonts w:ascii="宋体" w:eastAsia="宋体" w:hAnsi="宋体" w:cs="宋体" w:hint="default"/>
        <w:w w:val="100"/>
        <w:sz w:val="19"/>
        <w:szCs w:val="19"/>
        <w:lang w:val="zh-CN" w:eastAsia="zh-CN" w:bidi="zh-CN"/>
      </w:rPr>
    </w:lvl>
    <w:lvl w:ilvl="1" w:tplc="2422823A">
      <w:numFmt w:val="bullet"/>
      <w:lvlText w:val="•"/>
      <w:lvlJc w:val="left"/>
      <w:pPr>
        <w:ind w:left="1442" w:hanging="318"/>
      </w:pPr>
      <w:rPr>
        <w:rFonts w:hint="default"/>
        <w:lang w:val="zh-CN" w:eastAsia="zh-CN" w:bidi="zh-CN"/>
      </w:rPr>
    </w:lvl>
    <w:lvl w:ilvl="2" w:tplc="652A859E">
      <w:numFmt w:val="bullet"/>
      <w:lvlText w:val="•"/>
      <w:lvlJc w:val="left"/>
      <w:pPr>
        <w:ind w:left="2465" w:hanging="318"/>
      </w:pPr>
      <w:rPr>
        <w:rFonts w:hint="default"/>
        <w:lang w:val="zh-CN" w:eastAsia="zh-CN" w:bidi="zh-CN"/>
      </w:rPr>
    </w:lvl>
    <w:lvl w:ilvl="3" w:tplc="8CECC1A8">
      <w:numFmt w:val="bullet"/>
      <w:lvlText w:val="•"/>
      <w:lvlJc w:val="left"/>
      <w:pPr>
        <w:ind w:left="3487" w:hanging="318"/>
      </w:pPr>
      <w:rPr>
        <w:rFonts w:hint="default"/>
        <w:lang w:val="zh-CN" w:eastAsia="zh-CN" w:bidi="zh-CN"/>
      </w:rPr>
    </w:lvl>
    <w:lvl w:ilvl="4" w:tplc="EFEAA9E4">
      <w:numFmt w:val="bullet"/>
      <w:lvlText w:val="•"/>
      <w:lvlJc w:val="left"/>
      <w:pPr>
        <w:ind w:left="4510" w:hanging="318"/>
      </w:pPr>
      <w:rPr>
        <w:rFonts w:hint="default"/>
        <w:lang w:val="zh-CN" w:eastAsia="zh-CN" w:bidi="zh-CN"/>
      </w:rPr>
    </w:lvl>
    <w:lvl w:ilvl="5" w:tplc="195AE5F8">
      <w:numFmt w:val="bullet"/>
      <w:lvlText w:val="•"/>
      <w:lvlJc w:val="left"/>
      <w:pPr>
        <w:ind w:left="5533" w:hanging="318"/>
      </w:pPr>
      <w:rPr>
        <w:rFonts w:hint="default"/>
        <w:lang w:val="zh-CN" w:eastAsia="zh-CN" w:bidi="zh-CN"/>
      </w:rPr>
    </w:lvl>
    <w:lvl w:ilvl="6" w:tplc="17EAC1D0">
      <w:numFmt w:val="bullet"/>
      <w:lvlText w:val="•"/>
      <w:lvlJc w:val="left"/>
      <w:pPr>
        <w:ind w:left="6555" w:hanging="318"/>
      </w:pPr>
      <w:rPr>
        <w:rFonts w:hint="default"/>
        <w:lang w:val="zh-CN" w:eastAsia="zh-CN" w:bidi="zh-CN"/>
      </w:rPr>
    </w:lvl>
    <w:lvl w:ilvl="7" w:tplc="F8624D28">
      <w:numFmt w:val="bullet"/>
      <w:lvlText w:val="•"/>
      <w:lvlJc w:val="left"/>
      <w:pPr>
        <w:ind w:left="7578" w:hanging="318"/>
      </w:pPr>
      <w:rPr>
        <w:rFonts w:hint="default"/>
        <w:lang w:val="zh-CN" w:eastAsia="zh-CN" w:bidi="zh-CN"/>
      </w:rPr>
    </w:lvl>
    <w:lvl w:ilvl="8" w:tplc="62D4E536">
      <w:numFmt w:val="bullet"/>
      <w:lvlText w:val="•"/>
      <w:lvlJc w:val="left"/>
      <w:pPr>
        <w:ind w:left="8601" w:hanging="318"/>
      </w:pPr>
      <w:rPr>
        <w:rFonts w:hint="default"/>
        <w:lang w:val="zh-CN" w:eastAsia="zh-CN" w:bidi="zh-CN"/>
      </w:rPr>
    </w:lvl>
  </w:abstractNum>
  <w:abstractNum w:abstractNumId="481" w15:restartNumberingAfterBreak="0">
    <w:nsid w:val="41603DE6"/>
    <w:multiLevelType w:val="hybridMultilevel"/>
    <w:tmpl w:val="BD26F6D0"/>
    <w:lvl w:ilvl="0" w:tplc="2FB0FC42">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280CCE80">
      <w:numFmt w:val="bullet"/>
      <w:lvlText w:val="•"/>
      <w:lvlJc w:val="left"/>
      <w:pPr>
        <w:ind w:left="1442" w:hanging="529"/>
      </w:pPr>
      <w:rPr>
        <w:rFonts w:hint="default"/>
        <w:lang w:val="zh-CN" w:eastAsia="zh-CN" w:bidi="zh-CN"/>
      </w:rPr>
    </w:lvl>
    <w:lvl w:ilvl="2" w:tplc="B17C77AE">
      <w:numFmt w:val="bullet"/>
      <w:lvlText w:val="•"/>
      <w:lvlJc w:val="left"/>
      <w:pPr>
        <w:ind w:left="2465" w:hanging="529"/>
      </w:pPr>
      <w:rPr>
        <w:rFonts w:hint="default"/>
        <w:lang w:val="zh-CN" w:eastAsia="zh-CN" w:bidi="zh-CN"/>
      </w:rPr>
    </w:lvl>
    <w:lvl w:ilvl="3" w:tplc="B3BA5C00">
      <w:numFmt w:val="bullet"/>
      <w:lvlText w:val="•"/>
      <w:lvlJc w:val="left"/>
      <w:pPr>
        <w:ind w:left="3487" w:hanging="529"/>
      </w:pPr>
      <w:rPr>
        <w:rFonts w:hint="default"/>
        <w:lang w:val="zh-CN" w:eastAsia="zh-CN" w:bidi="zh-CN"/>
      </w:rPr>
    </w:lvl>
    <w:lvl w:ilvl="4" w:tplc="C846C206">
      <w:numFmt w:val="bullet"/>
      <w:lvlText w:val="•"/>
      <w:lvlJc w:val="left"/>
      <w:pPr>
        <w:ind w:left="4510" w:hanging="529"/>
      </w:pPr>
      <w:rPr>
        <w:rFonts w:hint="default"/>
        <w:lang w:val="zh-CN" w:eastAsia="zh-CN" w:bidi="zh-CN"/>
      </w:rPr>
    </w:lvl>
    <w:lvl w:ilvl="5" w:tplc="F3CC7CA6">
      <w:numFmt w:val="bullet"/>
      <w:lvlText w:val="•"/>
      <w:lvlJc w:val="left"/>
      <w:pPr>
        <w:ind w:left="5533" w:hanging="529"/>
      </w:pPr>
      <w:rPr>
        <w:rFonts w:hint="default"/>
        <w:lang w:val="zh-CN" w:eastAsia="zh-CN" w:bidi="zh-CN"/>
      </w:rPr>
    </w:lvl>
    <w:lvl w:ilvl="6" w:tplc="6488559E">
      <w:numFmt w:val="bullet"/>
      <w:lvlText w:val="•"/>
      <w:lvlJc w:val="left"/>
      <w:pPr>
        <w:ind w:left="6555" w:hanging="529"/>
      </w:pPr>
      <w:rPr>
        <w:rFonts w:hint="default"/>
        <w:lang w:val="zh-CN" w:eastAsia="zh-CN" w:bidi="zh-CN"/>
      </w:rPr>
    </w:lvl>
    <w:lvl w:ilvl="7" w:tplc="09A8DEE2">
      <w:numFmt w:val="bullet"/>
      <w:lvlText w:val="•"/>
      <w:lvlJc w:val="left"/>
      <w:pPr>
        <w:ind w:left="7578" w:hanging="529"/>
      </w:pPr>
      <w:rPr>
        <w:rFonts w:hint="default"/>
        <w:lang w:val="zh-CN" w:eastAsia="zh-CN" w:bidi="zh-CN"/>
      </w:rPr>
    </w:lvl>
    <w:lvl w:ilvl="8" w:tplc="102CD9D2">
      <w:numFmt w:val="bullet"/>
      <w:lvlText w:val="•"/>
      <w:lvlJc w:val="left"/>
      <w:pPr>
        <w:ind w:left="8601" w:hanging="529"/>
      </w:pPr>
      <w:rPr>
        <w:rFonts w:hint="default"/>
        <w:lang w:val="zh-CN" w:eastAsia="zh-CN" w:bidi="zh-CN"/>
      </w:rPr>
    </w:lvl>
  </w:abstractNum>
  <w:abstractNum w:abstractNumId="482" w15:restartNumberingAfterBreak="0">
    <w:nsid w:val="4178623E"/>
    <w:multiLevelType w:val="hybridMultilevel"/>
    <w:tmpl w:val="62FCFABC"/>
    <w:lvl w:ilvl="0" w:tplc="981A9F3E">
      <w:start w:val="6"/>
      <w:numFmt w:val="decimal"/>
      <w:lvlText w:val="%1"/>
      <w:lvlJc w:val="left"/>
      <w:pPr>
        <w:ind w:left="1477" w:hanging="637"/>
        <w:jc w:val="left"/>
      </w:pPr>
      <w:rPr>
        <w:rFonts w:hint="default"/>
        <w:lang w:val="zh-CN" w:eastAsia="zh-CN" w:bidi="zh-CN"/>
      </w:rPr>
    </w:lvl>
    <w:lvl w:ilvl="1" w:tplc="90F48656">
      <w:start w:val="16"/>
      <w:numFmt w:val="decimal"/>
      <w:lvlText w:val="%1.%2"/>
      <w:lvlJc w:val="left"/>
      <w:pPr>
        <w:ind w:left="1477" w:hanging="637"/>
        <w:jc w:val="left"/>
      </w:pPr>
      <w:rPr>
        <w:rFonts w:hint="default"/>
        <w:lang w:val="zh-CN" w:eastAsia="zh-CN" w:bidi="zh-CN"/>
      </w:rPr>
    </w:lvl>
    <w:lvl w:ilvl="2" w:tplc="F38491EC">
      <w:start w:val="1"/>
      <w:numFmt w:val="decimal"/>
      <w:lvlText w:val="%1.%2.%3"/>
      <w:lvlJc w:val="left"/>
      <w:pPr>
        <w:ind w:left="1477" w:hanging="637"/>
        <w:jc w:val="left"/>
      </w:pPr>
      <w:rPr>
        <w:rFonts w:ascii="宋体" w:eastAsia="宋体" w:hAnsi="宋体" w:cs="宋体" w:hint="default"/>
        <w:b/>
        <w:bCs/>
        <w:spacing w:val="-3"/>
        <w:w w:val="99"/>
        <w:sz w:val="19"/>
        <w:szCs w:val="19"/>
        <w:lang w:val="zh-CN" w:eastAsia="zh-CN" w:bidi="zh-CN"/>
      </w:rPr>
    </w:lvl>
    <w:lvl w:ilvl="3" w:tplc="9F48F6B2">
      <w:start w:val="1"/>
      <w:numFmt w:val="decimal"/>
      <w:lvlText w:val="%1.%2.%3.%4"/>
      <w:lvlJc w:val="left"/>
      <w:pPr>
        <w:ind w:left="1681" w:hanging="844"/>
        <w:jc w:val="left"/>
      </w:pPr>
      <w:rPr>
        <w:rFonts w:ascii="宋体" w:eastAsia="宋体" w:hAnsi="宋体" w:cs="宋体" w:hint="default"/>
        <w:spacing w:val="-3"/>
        <w:w w:val="100"/>
        <w:sz w:val="19"/>
        <w:szCs w:val="19"/>
        <w:lang w:val="zh-CN" w:eastAsia="zh-CN" w:bidi="zh-CN"/>
      </w:rPr>
    </w:lvl>
    <w:lvl w:ilvl="4" w:tplc="BF360C06">
      <w:numFmt w:val="bullet"/>
      <w:lvlText w:val="•"/>
      <w:lvlJc w:val="left"/>
      <w:pPr>
        <w:ind w:left="4668" w:hanging="844"/>
      </w:pPr>
      <w:rPr>
        <w:rFonts w:hint="default"/>
        <w:lang w:val="zh-CN" w:eastAsia="zh-CN" w:bidi="zh-CN"/>
      </w:rPr>
    </w:lvl>
    <w:lvl w:ilvl="5" w:tplc="B790B71A">
      <w:numFmt w:val="bullet"/>
      <w:lvlText w:val="•"/>
      <w:lvlJc w:val="left"/>
      <w:pPr>
        <w:ind w:left="5665" w:hanging="844"/>
      </w:pPr>
      <w:rPr>
        <w:rFonts w:hint="default"/>
        <w:lang w:val="zh-CN" w:eastAsia="zh-CN" w:bidi="zh-CN"/>
      </w:rPr>
    </w:lvl>
    <w:lvl w:ilvl="6" w:tplc="EC540ED0">
      <w:numFmt w:val="bullet"/>
      <w:lvlText w:val="•"/>
      <w:lvlJc w:val="left"/>
      <w:pPr>
        <w:ind w:left="6661" w:hanging="844"/>
      </w:pPr>
      <w:rPr>
        <w:rFonts w:hint="default"/>
        <w:lang w:val="zh-CN" w:eastAsia="zh-CN" w:bidi="zh-CN"/>
      </w:rPr>
    </w:lvl>
    <w:lvl w:ilvl="7" w:tplc="A120B8F0">
      <w:numFmt w:val="bullet"/>
      <w:lvlText w:val="•"/>
      <w:lvlJc w:val="left"/>
      <w:pPr>
        <w:ind w:left="7657" w:hanging="844"/>
      </w:pPr>
      <w:rPr>
        <w:rFonts w:hint="default"/>
        <w:lang w:val="zh-CN" w:eastAsia="zh-CN" w:bidi="zh-CN"/>
      </w:rPr>
    </w:lvl>
    <w:lvl w:ilvl="8" w:tplc="743A72D2">
      <w:numFmt w:val="bullet"/>
      <w:lvlText w:val="•"/>
      <w:lvlJc w:val="left"/>
      <w:pPr>
        <w:ind w:left="8653" w:hanging="844"/>
      </w:pPr>
      <w:rPr>
        <w:rFonts w:hint="default"/>
        <w:lang w:val="zh-CN" w:eastAsia="zh-CN" w:bidi="zh-CN"/>
      </w:rPr>
    </w:lvl>
  </w:abstractNum>
  <w:abstractNum w:abstractNumId="483" w15:restartNumberingAfterBreak="0">
    <w:nsid w:val="419C3B6C"/>
    <w:multiLevelType w:val="hybridMultilevel"/>
    <w:tmpl w:val="C5ACCEF2"/>
    <w:lvl w:ilvl="0" w:tplc="9B383F50">
      <w:start w:val="2"/>
      <w:numFmt w:val="decimal"/>
      <w:lvlText w:val="%1."/>
      <w:lvlJc w:val="left"/>
      <w:pPr>
        <w:ind w:left="418" w:hanging="213"/>
        <w:jc w:val="left"/>
      </w:pPr>
      <w:rPr>
        <w:rFonts w:ascii="宋体" w:eastAsia="宋体" w:hAnsi="宋体" w:cs="宋体" w:hint="default"/>
        <w:color w:val="333333"/>
        <w:spacing w:val="-55"/>
        <w:w w:val="100"/>
        <w:sz w:val="19"/>
        <w:szCs w:val="19"/>
        <w:lang w:val="zh-CN" w:eastAsia="zh-CN" w:bidi="zh-CN"/>
      </w:rPr>
    </w:lvl>
    <w:lvl w:ilvl="1" w:tplc="295E4F44">
      <w:numFmt w:val="bullet"/>
      <w:lvlText w:val="•"/>
      <w:lvlJc w:val="left"/>
      <w:pPr>
        <w:ind w:left="1442" w:hanging="213"/>
      </w:pPr>
      <w:rPr>
        <w:rFonts w:hint="default"/>
        <w:lang w:val="zh-CN" w:eastAsia="zh-CN" w:bidi="zh-CN"/>
      </w:rPr>
    </w:lvl>
    <w:lvl w:ilvl="2" w:tplc="752ECE4E">
      <w:numFmt w:val="bullet"/>
      <w:lvlText w:val="•"/>
      <w:lvlJc w:val="left"/>
      <w:pPr>
        <w:ind w:left="2465" w:hanging="213"/>
      </w:pPr>
      <w:rPr>
        <w:rFonts w:hint="default"/>
        <w:lang w:val="zh-CN" w:eastAsia="zh-CN" w:bidi="zh-CN"/>
      </w:rPr>
    </w:lvl>
    <w:lvl w:ilvl="3" w:tplc="4198CB02">
      <w:numFmt w:val="bullet"/>
      <w:lvlText w:val="•"/>
      <w:lvlJc w:val="left"/>
      <w:pPr>
        <w:ind w:left="3487" w:hanging="213"/>
      </w:pPr>
      <w:rPr>
        <w:rFonts w:hint="default"/>
        <w:lang w:val="zh-CN" w:eastAsia="zh-CN" w:bidi="zh-CN"/>
      </w:rPr>
    </w:lvl>
    <w:lvl w:ilvl="4" w:tplc="872081CC">
      <w:numFmt w:val="bullet"/>
      <w:lvlText w:val="•"/>
      <w:lvlJc w:val="left"/>
      <w:pPr>
        <w:ind w:left="4510" w:hanging="213"/>
      </w:pPr>
      <w:rPr>
        <w:rFonts w:hint="default"/>
        <w:lang w:val="zh-CN" w:eastAsia="zh-CN" w:bidi="zh-CN"/>
      </w:rPr>
    </w:lvl>
    <w:lvl w:ilvl="5" w:tplc="10AC0878">
      <w:numFmt w:val="bullet"/>
      <w:lvlText w:val="•"/>
      <w:lvlJc w:val="left"/>
      <w:pPr>
        <w:ind w:left="5533" w:hanging="213"/>
      </w:pPr>
      <w:rPr>
        <w:rFonts w:hint="default"/>
        <w:lang w:val="zh-CN" w:eastAsia="zh-CN" w:bidi="zh-CN"/>
      </w:rPr>
    </w:lvl>
    <w:lvl w:ilvl="6" w:tplc="6296782A">
      <w:numFmt w:val="bullet"/>
      <w:lvlText w:val="•"/>
      <w:lvlJc w:val="left"/>
      <w:pPr>
        <w:ind w:left="6555" w:hanging="213"/>
      </w:pPr>
      <w:rPr>
        <w:rFonts w:hint="default"/>
        <w:lang w:val="zh-CN" w:eastAsia="zh-CN" w:bidi="zh-CN"/>
      </w:rPr>
    </w:lvl>
    <w:lvl w:ilvl="7" w:tplc="43A80B1E">
      <w:numFmt w:val="bullet"/>
      <w:lvlText w:val="•"/>
      <w:lvlJc w:val="left"/>
      <w:pPr>
        <w:ind w:left="7578" w:hanging="213"/>
      </w:pPr>
      <w:rPr>
        <w:rFonts w:hint="default"/>
        <w:lang w:val="zh-CN" w:eastAsia="zh-CN" w:bidi="zh-CN"/>
      </w:rPr>
    </w:lvl>
    <w:lvl w:ilvl="8" w:tplc="DA8A5F60">
      <w:numFmt w:val="bullet"/>
      <w:lvlText w:val="•"/>
      <w:lvlJc w:val="left"/>
      <w:pPr>
        <w:ind w:left="8601" w:hanging="213"/>
      </w:pPr>
      <w:rPr>
        <w:rFonts w:hint="default"/>
        <w:lang w:val="zh-CN" w:eastAsia="zh-CN" w:bidi="zh-CN"/>
      </w:rPr>
    </w:lvl>
  </w:abstractNum>
  <w:abstractNum w:abstractNumId="484" w15:restartNumberingAfterBreak="0">
    <w:nsid w:val="41A10A8D"/>
    <w:multiLevelType w:val="hybridMultilevel"/>
    <w:tmpl w:val="E4CAB268"/>
    <w:lvl w:ilvl="0" w:tplc="BBBED6CE">
      <w:start w:val="6"/>
      <w:numFmt w:val="decimal"/>
      <w:lvlText w:val="%1"/>
      <w:lvlJc w:val="left"/>
      <w:pPr>
        <w:ind w:left="1158" w:hanging="318"/>
        <w:jc w:val="left"/>
      </w:pPr>
      <w:rPr>
        <w:rFonts w:hint="default"/>
        <w:lang w:val="zh-CN" w:eastAsia="zh-CN" w:bidi="zh-CN"/>
      </w:rPr>
    </w:lvl>
    <w:lvl w:ilvl="1" w:tplc="31E21B32">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BFACBAEE">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AEF22FEA">
      <w:start w:val="1"/>
      <w:numFmt w:val="decimal"/>
      <w:lvlText w:val="%1.%2.%3.%4"/>
      <w:lvlJc w:val="left"/>
      <w:pPr>
        <w:ind w:left="418" w:hanging="790"/>
        <w:jc w:val="left"/>
      </w:pPr>
      <w:rPr>
        <w:rFonts w:ascii="宋体" w:eastAsia="宋体" w:hAnsi="宋体" w:cs="宋体" w:hint="default"/>
        <w:spacing w:val="-3"/>
        <w:w w:val="100"/>
        <w:sz w:val="21"/>
        <w:szCs w:val="21"/>
        <w:lang w:val="zh-CN" w:eastAsia="zh-CN" w:bidi="zh-CN"/>
      </w:rPr>
    </w:lvl>
    <w:lvl w:ilvl="4" w:tplc="9E9A13FC">
      <w:numFmt w:val="bullet"/>
      <w:lvlText w:val="•"/>
      <w:lvlJc w:val="left"/>
      <w:pPr>
        <w:ind w:left="2738" w:hanging="790"/>
      </w:pPr>
      <w:rPr>
        <w:rFonts w:hint="default"/>
        <w:lang w:val="zh-CN" w:eastAsia="zh-CN" w:bidi="zh-CN"/>
      </w:rPr>
    </w:lvl>
    <w:lvl w:ilvl="5" w:tplc="157CA514">
      <w:numFmt w:val="bullet"/>
      <w:lvlText w:val="•"/>
      <w:lvlJc w:val="left"/>
      <w:pPr>
        <w:ind w:left="4056" w:hanging="790"/>
      </w:pPr>
      <w:rPr>
        <w:rFonts w:hint="default"/>
        <w:lang w:val="zh-CN" w:eastAsia="zh-CN" w:bidi="zh-CN"/>
      </w:rPr>
    </w:lvl>
    <w:lvl w:ilvl="6" w:tplc="8A28A66C">
      <w:numFmt w:val="bullet"/>
      <w:lvlText w:val="•"/>
      <w:lvlJc w:val="left"/>
      <w:pPr>
        <w:ind w:left="5374" w:hanging="790"/>
      </w:pPr>
      <w:rPr>
        <w:rFonts w:hint="default"/>
        <w:lang w:val="zh-CN" w:eastAsia="zh-CN" w:bidi="zh-CN"/>
      </w:rPr>
    </w:lvl>
    <w:lvl w:ilvl="7" w:tplc="176E3508">
      <w:numFmt w:val="bullet"/>
      <w:lvlText w:val="•"/>
      <w:lvlJc w:val="left"/>
      <w:pPr>
        <w:ind w:left="6692" w:hanging="790"/>
      </w:pPr>
      <w:rPr>
        <w:rFonts w:hint="default"/>
        <w:lang w:val="zh-CN" w:eastAsia="zh-CN" w:bidi="zh-CN"/>
      </w:rPr>
    </w:lvl>
    <w:lvl w:ilvl="8" w:tplc="DAD8525C">
      <w:numFmt w:val="bullet"/>
      <w:lvlText w:val="•"/>
      <w:lvlJc w:val="left"/>
      <w:pPr>
        <w:ind w:left="8010" w:hanging="790"/>
      </w:pPr>
      <w:rPr>
        <w:rFonts w:hint="default"/>
        <w:lang w:val="zh-CN" w:eastAsia="zh-CN" w:bidi="zh-CN"/>
      </w:rPr>
    </w:lvl>
  </w:abstractNum>
  <w:abstractNum w:abstractNumId="485" w15:restartNumberingAfterBreak="0">
    <w:nsid w:val="41AF1946"/>
    <w:multiLevelType w:val="hybridMultilevel"/>
    <w:tmpl w:val="85B25DE2"/>
    <w:lvl w:ilvl="0" w:tplc="1E1A3FDA">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EA205FB8">
      <w:numFmt w:val="bullet"/>
      <w:lvlText w:val="•"/>
      <w:lvlJc w:val="left"/>
      <w:pPr>
        <w:ind w:left="2288" w:hanging="529"/>
      </w:pPr>
      <w:rPr>
        <w:rFonts w:hint="default"/>
        <w:lang w:val="zh-CN" w:eastAsia="zh-CN" w:bidi="zh-CN"/>
      </w:rPr>
    </w:lvl>
    <w:lvl w:ilvl="2" w:tplc="A418B23E">
      <w:numFmt w:val="bullet"/>
      <w:lvlText w:val="•"/>
      <w:lvlJc w:val="left"/>
      <w:pPr>
        <w:ind w:left="3217" w:hanging="529"/>
      </w:pPr>
      <w:rPr>
        <w:rFonts w:hint="default"/>
        <w:lang w:val="zh-CN" w:eastAsia="zh-CN" w:bidi="zh-CN"/>
      </w:rPr>
    </w:lvl>
    <w:lvl w:ilvl="3" w:tplc="7148416C">
      <w:numFmt w:val="bullet"/>
      <w:lvlText w:val="•"/>
      <w:lvlJc w:val="left"/>
      <w:pPr>
        <w:ind w:left="4145" w:hanging="529"/>
      </w:pPr>
      <w:rPr>
        <w:rFonts w:hint="default"/>
        <w:lang w:val="zh-CN" w:eastAsia="zh-CN" w:bidi="zh-CN"/>
      </w:rPr>
    </w:lvl>
    <w:lvl w:ilvl="4" w:tplc="3EC44DC2">
      <w:numFmt w:val="bullet"/>
      <w:lvlText w:val="•"/>
      <w:lvlJc w:val="left"/>
      <w:pPr>
        <w:ind w:left="5074" w:hanging="529"/>
      </w:pPr>
      <w:rPr>
        <w:rFonts w:hint="default"/>
        <w:lang w:val="zh-CN" w:eastAsia="zh-CN" w:bidi="zh-CN"/>
      </w:rPr>
    </w:lvl>
    <w:lvl w:ilvl="5" w:tplc="86EEEA9C">
      <w:numFmt w:val="bullet"/>
      <w:lvlText w:val="•"/>
      <w:lvlJc w:val="left"/>
      <w:pPr>
        <w:ind w:left="6003" w:hanging="529"/>
      </w:pPr>
      <w:rPr>
        <w:rFonts w:hint="default"/>
        <w:lang w:val="zh-CN" w:eastAsia="zh-CN" w:bidi="zh-CN"/>
      </w:rPr>
    </w:lvl>
    <w:lvl w:ilvl="6" w:tplc="15F48DB8">
      <w:numFmt w:val="bullet"/>
      <w:lvlText w:val="•"/>
      <w:lvlJc w:val="left"/>
      <w:pPr>
        <w:ind w:left="6931" w:hanging="529"/>
      </w:pPr>
      <w:rPr>
        <w:rFonts w:hint="default"/>
        <w:lang w:val="zh-CN" w:eastAsia="zh-CN" w:bidi="zh-CN"/>
      </w:rPr>
    </w:lvl>
    <w:lvl w:ilvl="7" w:tplc="32BA625C">
      <w:numFmt w:val="bullet"/>
      <w:lvlText w:val="•"/>
      <w:lvlJc w:val="left"/>
      <w:pPr>
        <w:ind w:left="7860" w:hanging="529"/>
      </w:pPr>
      <w:rPr>
        <w:rFonts w:hint="default"/>
        <w:lang w:val="zh-CN" w:eastAsia="zh-CN" w:bidi="zh-CN"/>
      </w:rPr>
    </w:lvl>
    <w:lvl w:ilvl="8" w:tplc="0088C78E">
      <w:numFmt w:val="bullet"/>
      <w:lvlText w:val="•"/>
      <w:lvlJc w:val="left"/>
      <w:pPr>
        <w:ind w:left="8789" w:hanging="529"/>
      </w:pPr>
      <w:rPr>
        <w:rFonts w:hint="default"/>
        <w:lang w:val="zh-CN" w:eastAsia="zh-CN" w:bidi="zh-CN"/>
      </w:rPr>
    </w:lvl>
  </w:abstractNum>
  <w:abstractNum w:abstractNumId="486" w15:restartNumberingAfterBreak="0">
    <w:nsid w:val="41D41D77"/>
    <w:multiLevelType w:val="hybridMultilevel"/>
    <w:tmpl w:val="4FF61B5C"/>
    <w:lvl w:ilvl="0" w:tplc="1F64B8D2">
      <w:start w:val="3"/>
      <w:numFmt w:val="decimal"/>
      <w:lvlText w:val="%1"/>
      <w:lvlJc w:val="left"/>
      <w:pPr>
        <w:ind w:left="418" w:hanging="531"/>
        <w:jc w:val="left"/>
      </w:pPr>
      <w:rPr>
        <w:rFonts w:hint="default"/>
        <w:lang w:val="zh-CN" w:eastAsia="zh-CN" w:bidi="zh-CN"/>
      </w:rPr>
    </w:lvl>
    <w:lvl w:ilvl="1" w:tplc="085E6E0A">
      <w:start w:val="6"/>
      <w:numFmt w:val="decimal"/>
      <w:lvlText w:val="%1.%2"/>
      <w:lvlJc w:val="left"/>
      <w:pPr>
        <w:ind w:left="418" w:hanging="531"/>
        <w:jc w:val="left"/>
      </w:pPr>
      <w:rPr>
        <w:rFonts w:hint="default"/>
        <w:lang w:val="zh-CN" w:eastAsia="zh-CN" w:bidi="zh-CN"/>
      </w:rPr>
    </w:lvl>
    <w:lvl w:ilvl="2" w:tplc="FC90E4E2">
      <w:start w:val="9"/>
      <w:numFmt w:val="decimal"/>
      <w:lvlText w:val="%1.%2.%3"/>
      <w:lvlJc w:val="left"/>
      <w:pPr>
        <w:ind w:left="418" w:hanging="531"/>
        <w:jc w:val="left"/>
      </w:pPr>
      <w:rPr>
        <w:rFonts w:ascii="宋体" w:eastAsia="宋体" w:hAnsi="宋体" w:cs="宋体" w:hint="default"/>
        <w:b/>
        <w:bCs/>
        <w:color w:val="333333"/>
        <w:w w:val="99"/>
        <w:sz w:val="19"/>
        <w:szCs w:val="19"/>
        <w:lang w:val="zh-CN" w:eastAsia="zh-CN" w:bidi="zh-CN"/>
      </w:rPr>
    </w:lvl>
    <w:lvl w:ilvl="3" w:tplc="3F4EE85C">
      <w:numFmt w:val="bullet"/>
      <w:lvlText w:val="•"/>
      <w:lvlJc w:val="left"/>
      <w:pPr>
        <w:ind w:left="3487" w:hanging="531"/>
      </w:pPr>
      <w:rPr>
        <w:rFonts w:hint="default"/>
        <w:lang w:val="zh-CN" w:eastAsia="zh-CN" w:bidi="zh-CN"/>
      </w:rPr>
    </w:lvl>
    <w:lvl w:ilvl="4" w:tplc="AAEC99E8">
      <w:numFmt w:val="bullet"/>
      <w:lvlText w:val="•"/>
      <w:lvlJc w:val="left"/>
      <w:pPr>
        <w:ind w:left="4510" w:hanging="531"/>
      </w:pPr>
      <w:rPr>
        <w:rFonts w:hint="default"/>
        <w:lang w:val="zh-CN" w:eastAsia="zh-CN" w:bidi="zh-CN"/>
      </w:rPr>
    </w:lvl>
    <w:lvl w:ilvl="5" w:tplc="D206B442">
      <w:numFmt w:val="bullet"/>
      <w:lvlText w:val="•"/>
      <w:lvlJc w:val="left"/>
      <w:pPr>
        <w:ind w:left="5533" w:hanging="531"/>
      </w:pPr>
      <w:rPr>
        <w:rFonts w:hint="default"/>
        <w:lang w:val="zh-CN" w:eastAsia="zh-CN" w:bidi="zh-CN"/>
      </w:rPr>
    </w:lvl>
    <w:lvl w:ilvl="6" w:tplc="DD7A3EE8">
      <w:numFmt w:val="bullet"/>
      <w:lvlText w:val="•"/>
      <w:lvlJc w:val="left"/>
      <w:pPr>
        <w:ind w:left="6555" w:hanging="531"/>
      </w:pPr>
      <w:rPr>
        <w:rFonts w:hint="default"/>
        <w:lang w:val="zh-CN" w:eastAsia="zh-CN" w:bidi="zh-CN"/>
      </w:rPr>
    </w:lvl>
    <w:lvl w:ilvl="7" w:tplc="B3DED4CC">
      <w:numFmt w:val="bullet"/>
      <w:lvlText w:val="•"/>
      <w:lvlJc w:val="left"/>
      <w:pPr>
        <w:ind w:left="7578" w:hanging="531"/>
      </w:pPr>
      <w:rPr>
        <w:rFonts w:hint="default"/>
        <w:lang w:val="zh-CN" w:eastAsia="zh-CN" w:bidi="zh-CN"/>
      </w:rPr>
    </w:lvl>
    <w:lvl w:ilvl="8" w:tplc="13FAD0C4">
      <w:numFmt w:val="bullet"/>
      <w:lvlText w:val="•"/>
      <w:lvlJc w:val="left"/>
      <w:pPr>
        <w:ind w:left="8601" w:hanging="531"/>
      </w:pPr>
      <w:rPr>
        <w:rFonts w:hint="default"/>
        <w:lang w:val="zh-CN" w:eastAsia="zh-CN" w:bidi="zh-CN"/>
      </w:rPr>
    </w:lvl>
  </w:abstractNum>
  <w:abstractNum w:abstractNumId="487" w15:restartNumberingAfterBreak="0">
    <w:nsid w:val="41DF52EC"/>
    <w:multiLevelType w:val="hybridMultilevel"/>
    <w:tmpl w:val="C2388F7C"/>
    <w:lvl w:ilvl="0" w:tplc="FCEC92F0">
      <w:start w:val="5"/>
      <w:numFmt w:val="decimal"/>
      <w:lvlText w:val="%1"/>
      <w:lvlJc w:val="left"/>
      <w:pPr>
        <w:ind w:left="418" w:hanging="738"/>
        <w:jc w:val="left"/>
      </w:pPr>
      <w:rPr>
        <w:rFonts w:hint="default"/>
        <w:lang w:val="zh-CN" w:eastAsia="zh-CN" w:bidi="zh-CN"/>
      </w:rPr>
    </w:lvl>
    <w:lvl w:ilvl="1" w:tplc="99304EC4">
      <w:start w:val="4"/>
      <w:numFmt w:val="decimal"/>
      <w:lvlText w:val="%1.%2"/>
      <w:lvlJc w:val="left"/>
      <w:pPr>
        <w:ind w:left="418" w:hanging="738"/>
        <w:jc w:val="left"/>
      </w:pPr>
      <w:rPr>
        <w:rFonts w:hint="default"/>
        <w:lang w:val="zh-CN" w:eastAsia="zh-CN" w:bidi="zh-CN"/>
      </w:rPr>
    </w:lvl>
    <w:lvl w:ilvl="2" w:tplc="16B699B8">
      <w:start w:val="2"/>
      <w:numFmt w:val="decimal"/>
      <w:lvlText w:val="%1.%2.%3"/>
      <w:lvlJc w:val="left"/>
      <w:pPr>
        <w:ind w:left="418" w:hanging="738"/>
        <w:jc w:val="left"/>
      </w:pPr>
      <w:rPr>
        <w:rFonts w:hint="default"/>
        <w:lang w:val="zh-CN" w:eastAsia="zh-CN" w:bidi="zh-CN"/>
      </w:rPr>
    </w:lvl>
    <w:lvl w:ilvl="3" w:tplc="BFB2851C">
      <w:start w:val="1"/>
      <w:numFmt w:val="decimal"/>
      <w:lvlText w:val="%1.%2.%3.%4"/>
      <w:lvlJc w:val="left"/>
      <w:pPr>
        <w:ind w:left="418" w:hanging="738"/>
        <w:jc w:val="left"/>
      </w:pPr>
      <w:rPr>
        <w:rFonts w:ascii="宋体" w:eastAsia="宋体" w:hAnsi="宋体" w:cs="宋体" w:hint="default"/>
        <w:spacing w:val="-3"/>
        <w:w w:val="100"/>
        <w:sz w:val="19"/>
        <w:szCs w:val="19"/>
        <w:lang w:val="zh-CN" w:eastAsia="zh-CN" w:bidi="zh-CN"/>
      </w:rPr>
    </w:lvl>
    <w:lvl w:ilvl="4" w:tplc="1BD04F70">
      <w:numFmt w:val="bullet"/>
      <w:lvlText w:val="•"/>
      <w:lvlJc w:val="left"/>
      <w:pPr>
        <w:ind w:left="4510" w:hanging="738"/>
      </w:pPr>
      <w:rPr>
        <w:rFonts w:hint="default"/>
        <w:lang w:val="zh-CN" w:eastAsia="zh-CN" w:bidi="zh-CN"/>
      </w:rPr>
    </w:lvl>
    <w:lvl w:ilvl="5" w:tplc="D3AAB912">
      <w:numFmt w:val="bullet"/>
      <w:lvlText w:val="•"/>
      <w:lvlJc w:val="left"/>
      <w:pPr>
        <w:ind w:left="5533" w:hanging="738"/>
      </w:pPr>
      <w:rPr>
        <w:rFonts w:hint="default"/>
        <w:lang w:val="zh-CN" w:eastAsia="zh-CN" w:bidi="zh-CN"/>
      </w:rPr>
    </w:lvl>
    <w:lvl w:ilvl="6" w:tplc="563EF66C">
      <w:numFmt w:val="bullet"/>
      <w:lvlText w:val="•"/>
      <w:lvlJc w:val="left"/>
      <w:pPr>
        <w:ind w:left="6555" w:hanging="738"/>
      </w:pPr>
      <w:rPr>
        <w:rFonts w:hint="default"/>
        <w:lang w:val="zh-CN" w:eastAsia="zh-CN" w:bidi="zh-CN"/>
      </w:rPr>
    </w:lvl>
    <w:lvl w:ilvl="7" w:tplc="38101E60">
      <w:numFmt w:val="bullet"/>
      <w:lvlText w:val="•"/>
      <w:lvlJc w:val="left"/>
      <w:pPr>
        <w:ind w:left="7578" w:hanging="738"/>
      </w:pPr>
      <w:rPr>
        <w:rFonts w:hint="default"/>
        <w:lang w:val="zh-CN" w:eastAsia="zh-CN" w:bidi="zh-CN"/>
      </w:rPr>
    </w:lvl>
    <w:lvl w:ilvl="8" w:tplc="96E6A1CE">
      <w:numFmt w:val="bullet"/>
      <w:lvlText w:val="•"/>
      <w:lvlJc w:val="left"/>
      <w:pPr>
        <w:ind w:left="8601" w:hanging="738"/>
      </w:pPr>
      <w:rPr>
        <w:rFonts w:hint="default"/>
        <w:lang w:val="zh-CN" w:eastAsia="zh-CN" w:bidi="zh-CN"/>
      </w:rPr>
    </w:lvl>
  </w:abstractNum>
  <w:abstractNum w:abstractNumId="488" w15:restartNumberingAfterBreak="0">
    <w:nsid w:val="41E231B7"/>
    <w:multiLevelType w:val="hybridMultilevel"/>
    <w:tmpl w:val="DB76C8D2"/>
    <w:lvl w:ilvl="0" w:tplc="B128F778">
      <w:start w:val="5"/>
      <w:numFmt w:val="decimal"/>
      <w:lvlText w:val="%1"/>
      <w:lvlJc w:val="left"/>
      <w:pPr>
        <w:ind w:left="1370" w:hanging="531"/>
        <w:jc w:val="left"/>
      </w:pPr>
      <w:rPr>
        <w:rFonts w:hint="default"/>
        <w:lang w:val="zh-CN" w:eastAsia="zh-CN" w:bidi="zh-CN"/>
      </w:rPr>
    </w:lvl>
    <w:lvl w:ilvl="1" w:tplc="7A7ED240">
      <w:start w:val="2"/>
      <w:numFmt w:val="decimal"/>
      <w:lvlText w:val="%1.%2"/>
      <w:lvlJc w:val="left"/>
      <w:pPr>
        <w:ind w:left="1370" w:hanging="531"/>
        <w:jc w:val="left"/>
      </w:pPr>
      <w:rPr>
        <w:rFonts w:hint="default"/>
        <w:lang w:val="zh-CN" w:eastAsia="zh-CN" w:bidi="zh-CN"/>
      </w:rPr>
    </w:lvl>
    <w:lvl w:ilvl="2" w:tplc="99C6CDD4">
      <w:start w:val="3"/>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D5801B14">
      <w:numFmt w:val="bullet"/>
      <w:lvlText w:val="•"/>
      <w:lvlJc w:val="left"/>
      <w:pPr>
        <w:ind w:left="4159" w:hanging="531"/>
      </w:pPr>
      <w:rPr>
        <w:rFonts w:hint="default"/>
        <w:lang w:val="zh-CN" w:eastAsia="zh-CN" w:bidi="zh-CN"/>
      </w:rPr>
    </w:lvl>
    <w:lvl w:ilvl="4" w:tplc="1A1CEE22">
      <w:numFmt w:val="bullet"/>
      <w:lvlText w:val="•"/>
      <w:lvlJc w:val="left"/>
      <w:pPr>
        <w:ind w:left="5086" w:hanging="531"/>
      </w:pPr>
      <w:rPr>
        <w:rFonts w:hint="default"/>
        <w:lang w:val="zh-CN" w:eastAsia="zh-CN" w:bidi="zh-CN"/>
      </w:rPr>
    </w:lvl>
    <w:lvl w:ilvl="5" w:tplc="3EE650AC">
      <w:numFmt w:val="bullet"/>
      <w:lvlText w:val="•"/>
      <w:lvlJc w:val="left"/>
      <w:pPr>
        <w:ind w:left="6013" w:hanging="531"/>
      </w:pPr>
      <w:rPr>
        <w:rFonts w:hint="default"/>
        <w:lang w:val="zh-CN" w:eastAsia="zh-CN" w:bidi="zh-CN"/>
      </w:rPr>
    </w:lvl>
    <w:lvl w:ilvl="6" w:tplc="5DFC0A62">
      <w:numFmt w:val="bullet"/>
      <w:lvlText w:val="•"/>
      <w:lvlJc w:val="left"/>
      <w:pPr>
        <w:ind w:left="6939" w:hanging="531"/>
      </w:pPr>
      <w:rPr>
        <w:rFonts w:hint="default"/>
        <w:lang w:val="zh-CN" w:eastAsia="zh-CN" w:bidi="zh-CN"/>
      </w:rPr>
    </w:lvl>
    <w:lvl w:ilvl="7" w:tplc="D2CC6568">
      <w:numFmt w:val="bullet"/>
      <w:lvlText w:val="•"/>
      <w:lvlJc w:val="left"/>
      <w:pPr>
        <w:ind w:left="7866" w:hanging="531"/>
      </w:pPr>
      <w:rPr>
        <w:rFonts w:hint="default"/>
        <w:lang w:val="zh-CN" w:eastAsia="zh-CN" w:bidi="zh-CN"/>
      </w:rPr>
    </w:lvl>
    <w:lvl w:ilvl="8" w:tplc="E4645F70">
      <w:numFmt w:val="bullet"/>
      <w:lvlText w:val="•"/>
      <w:lvlJc w:val="left"/>
      <w:pPr>
        <w:ind w:left="8793" w:hanging="531"/>
      </w:pPr>
      <w:rPr>
        <w:rFonts w:hint="default"/>
        <w:lang w:val="zh-CN" w:eastAsia="zh-CN" w:bidi="zh-CN"/>
      </w:rPr>
    </w:lvl>
  </w:abstractNum>
  <w:abstractNum w:abstractNumId="489" w15:restartNumberingAfterBreak="0">
    <w:nsid w:val="42172BED"/>
    <w:multiLevelType w:val="hybridMultilevel"/>
    <w:tmpl w:val="B5BC6F62"/>
    <w:lvl w:ilvl="0" w:tplc="8642F52A">
      <w:start w:val="5"/>
      <w:numFmt w:val="decimal"/>
      <w:lvlText w:val="%1"/>
      <w:lvlJc w:val="left"/>
      <w:pPr>
        <w:ind w:left="1158" w:hanging="318"/>
        <w:jc w:val="left"/>
      </w:pPr>
      <w:rPr>
        <w:rFonts w:hint="default"/>
        <w:lang w:val="zh-CN" w:eastAsia="zh-CN" w:bidi="zh-CN"/>
      </w:rPr>
    </w:lvl>
    <w:lvl w:ilvl="1" w:tplc="D074A5D4">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2E68BB2E">
      <w:numFmt w:val="bullet"/>
      <w:lvlText w:val="•"/>
      <w:lvlJc w:val="left"/>
      <w:pPr>
        <w:ind w:left="3057" w:hanging="318"/>
      </w:pPr>
      <w:rPr>
        <w:rFonts w:hint="default"/>
        <w:lang w:val="zh-CN" w:eastAsia="zh-CN" w:bidi="zh-CN"/>
      </w:rPr>
    </w:lvl>
    <w:lvl w:ilvl="3" w:tplc="4D38B1E2">
      <w:numFmt w:val="bullet"/>
      <w:lvlText w:val="•"/>
      <w:lvlJc w:val="left"/>
      <w:pPr>
        <w:ind w:left="4005" w:hanging="318"/>
      </w:pPr>
      <w:rPr>
        <w:rFonts w:hint="default"/>
        <w:lang w:val="zh-CN" w:eastAsia="zh-CN" w:bidi="zh-CN"/>
      </w:rPr>
    </w:lvl>
    <w:lvl w:ilvl="4" w:tplc="CDCA4FF4">
      <w:numFmt w:val="bullet"/>
      <w:lvlText w:val="•"/>
      <w:lvlJc w:val="left"/>
      <w:pPr>
        <w:ind w:left="4954" w:hanging="318"/>
      </w:pPr>
      <w:rPr>
        <w:rFonts w:hint="default"/>
        <w:lang w:val="zh-CN" w:eastAsia="zh-CN" w:bidi="zh-CN"/>
      </w:rPr>
    </w:lvl>
    <w:lvl w:ilvl="5" w:tplc="CBECA43A">
      <w:numFmt w:val="bullet"/>
      <w:lvlText w:val="•"/>
      <w:lvlJc w:val="left"/>
      <w:pPr>
        <w:ind w:left="5903" w:hanging="318"/>
      </w:pPr>
      <w:rPr>
        <w:rFonts w:hint="default"/>
        <w:lang w:val="zh-CN" w:eastAsia="zh-CN" w:bidi="zh-CN"/>
      </w:rPr>
    </w:lvl>
    <w:lvl w:ilvl="6" w:tplc="C124346E">
      <w:numFmt w:val="bullet"/>
      <w:lvlText w:val="•"/>
      <w:lvlJc w:val="left"/>
      <w:pPr>
        <w:ind w:left="6851" w:hanging="318"/>
      </w:pPr>
      <w:rPr>
        <w:rFonts w:hint="default"/>
        <w:lang w:val="zh-CN" w:eastAsia="zh-CN" w:bidi="zh-CN"/>
      </w:rPr>
    </w:lvl>
    <w:lvl w:ilvl="7" w:tplc="B6F202EC">
      <w:numFmt w:val="bullet"/>
      <w:lvlText w:val="•"/>
      <w:lvlJc w:val="left"/>
      <w:pPr>
        <w:ind w:left="7800" w:hanging="318"/>
      </w:pPr>
      <w:rPr>
        <w:rFonts w:hint="default"/>
        <w:lang w:val="zh-CN" w:eastAsia="zh-CN" w:bidi="zh-CN"/>
      </w:rPr>
    </w:lvl>
    <w:lvl w:ilvl="8" w:tplc="9078D59E">
      <w:numFmt w:val="bullet"/>
      <w:lvlText w:val="•"/>
      <w:lvlJc w:val="left"/>
      <w:pPr>
        <w:ind w:left="8749" w:hanging="318"/>
      </w:pPr>
      <w:rPr>
        <w:rFonts w:hint="default"/>
        <w:lang w:val="zh-CN" w:eastAsia="zh-CN" w:bidi="zh-CN"/>
      </w:rPr>
    </w:lvl>
  </w:abstractNum>
  <w:abstractNum w:abstractNumId="490" w15:restartNumberingAfterBreak="0">
    <w:nsid w:val="42254174"/>
    <w:multiLevelType w:val="hybridMultilevel"/>
    <w:tmpl w:val="809E9926"/>
    <w:lvl w:ilvl="0" w:tplc="F168ABE8">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58E60802">
      <w:numFmt w:val="bullet"/>
      <w:lvlText w:val="•"/>
      <w:lvlJc w:val="left"/>
      <w:pPr>
        <w:ind w:left="2288" w:hanging="529"/>
      </w:pPr>
      <w:rPr>
        <w:rFonts w:hint="default"/>
        <w:lang w:val="zh-CN" w:eastAsia="zh-CN" w:bidi="zh-CN"/>
      </w:rPr>
    </w:lvl>
    <w:lvl w:ilvl="2" w:tplc="A8D8EC2C">
      <w:numFmt w:val="bullet"/>
      <w:lvlText w:val="•"/>
      <w:lvlJc w:val="left"/>
      <w:pPr>
        <w:ind w:left="3217" w:hanging="529"/>
      </w:pPr>
      <w:rPr>
        <w:rFonts w:hint="default"/>
        <w:lang w:val="zh-CN" w:eastAsia="zh-CN" w:bidi="zh-CN"/>
      </w:rPr>
    </w:lvl>
    <w:lvl w:ilvl="3" w:tplc="F348A3B4">
      <w:numFmt w:val="bullet"/>
      <w:lvlText w:val="•"/>
      <w:lvlJc w:val="left"/>
      <w:pPr>
        <w:ind w:left="4145" w:hanging="529"/>
      </w:pPr>
      <w:rPr>
        <w:rFonts w:hint="default"/>
        <w:lang w:val="zh-CN" w:eastAsia="zh-CN" w:bidi="zh-CN"/>
      </w:rPr>
    </w:lvl>
    <w:lvl w:ilvl="4" w:tplc="C6E274AC">
      <w:numFmt w:val="bullet"/>
      <w:lvlText w:val="•"/>
      <w:lvlJc w:val="left"/>
      <w:pPr>
        <w:ind w:left="5074" w:hanging="529"/>
      </w:pPr>
      <w:rPr>
        <w:rFonts w:hint="default"/>
        <w:lang w:val="zh-CN" w:eastAsia="zh-CN" w:bidi="zh-CN"/>
      </w:rPr>
    </w:lvl>
    <w:lvl w:ilvl="5" w:tplc="6A0CAECC">
      <w:numFmt w:val="bullet"/>
      <w:lvlText w:val="•"/>
      <w:lvlJc w:val="left"/>
      <w:pPr>
        <w:ind w:left="6003" w:hanging="529"/>
      </w:pPr>
      <w:rPr>
        <w:rFonts w:hint="default"/>
        <w:lang w:val="zh-CN" w:eastAsia="zh-CN" w:bidi="zh-CN"/>
      </w:rPr>
    </w:lvl>
    <w:lvl w:ilvl="6" w:tplc="54A00A8E">
      <w:numFmt w:val="bullet"/>
      <w:lvlText w:val="•"/>
      <w:lvlJc w:val="left"/>
      <w:pPr>
        <w:ind w:left="6931" w:hanging="529"/>
      </w:pPr>
      <w:rPr>
        <w:rFonts w:hint="default"/>
        <w:lang w:val="zh-CN" w:eastAsia="zh-CN" w:bidi="zh-CN"/>
      </w:rPr>
    </w:lvl>
    <w:lvl w:ilvl="7" w:tplc="2E0258DA">
      <w:numFmt w:val="bullet"/>
      <w:lvlText w:val="•"/>
      <w:lvlJc w:val="left"/>
      <w:pPr>
        <w:ind w:left="7860" w:hanging="529"/>
      </w:pPr>
      <w:rPr>
        <w:rFonts w:hint="default"/>
        <w:lang w:val="zh-CN" w:eastAsia="zh-CN" w:bidi="zh-CN"/>
      </w:rPr>
    </w:lvl>
    <w:lvl w:ilvl="8" w:tplc="0AA00D8E">
      <w:numFmt w:val="bullet"/>
      <w:lvlText w:val="•"/>
      <w:lvlJc w:val="left"/>
      <w:pPr>
        <w:ind w:left="8789" w:hanging="529"/>
      </w:pPr>
      <w:rPr>
        <w:rFonts w:hint="default"/>
        <w:lang w:val="zh-CN" w:eastAsia="zh-CN" w:bidi="zh-CN"/>
      </w:rPr>
    </w:lvl>
  </w:abstractNum>
  <w:abstractNum w:abstractNumId="491" w15:restartNumberingAfterBreak="0">
    <w:nsid w:val="423A6F51"/>
    <w:multiLevelType w:val="hybridMultilevel"/>
    <w:tmpl w:val="82F09F70"/>
    <w:lvl w:ilvl="0" w:tplc="3684C312">
      <w:start w:val="5"/>
      <w:numFmt w:val="decimal"/>
      <w:lvlText w:val="%1"/>
      <w:lvlJc w:val="left"/>
      <w:pPr>
        <w:ind w:left="1369" w:hanging="529"/>
        <w:jc w:val="left"/>
      </w:pPr>
      <w:rPr>
        <w:rFonts w:hint="default"/>
        <w:lang w:val="zh-CN" w:eastAsia="zh-CN" w:bidi="zh-CN"/>
      </w:rPr>
    </w:lvl>
    <w:lvl w:ilvl="1" w:tplc="33CC6C4E">
      <w:start w:val="4"/>
      <w:numFmt w:val="decimal"/>
      <w:lvlText w:val="%1.%2"/>
      <w:lvlJc w:val="left"/>
      <w:pPr>
        <w:ind w:left="1369" w:hanging="529"/>
        <w:jc w:val="left"/>
      </w:pPr>
      <w:rPr>
        <w:rFonts w:hint="default"/>
        <w:lang w:val="zh-CN" w:eastAsia="zh-CN" w:bidi="zh-CN"/>
      </w:rPr>
    </w:lvl>
    <w:lvl w:ilvl="2" w:tplc="47A4DB34">
      <w:start w:val="5"/>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ECF05976">
      <w:start w:val="1"/>
      <w:numFmt w:val="decimal"/>
      <w:lvlText w:val="%1.%2.%3.%4"/>
      <w:lvlJc w:val="left"/>
      <w:pPr>
        <w:ind w:left="418" w:hanging="738"/>
        <w:jc w:val="left"/>
      </w:pPr>
      <w:rPr>
        <w:rFonts w:ascii="宋体" w:eastAsia="宋体" w:hAnsi="宋体" w:cs="宋体" w:hint="default"/>
        <w:spacing w:val="-3"/>
        <w:w w:val="100"/>
        <w:sz w:val="19"/>
        <w:szCs w:val="19"/>
        <w:lang w:val="zh-CN" w:eastAsia="zh-CN" w:bidi="zh-CN"/>
      </w:rPr>
    </w:lvl>
    <w:lvl w:ilvl="4" w:tplc="8A6CD12C">
      <w:numFmt w:val="bullet"/>
      <w:lvlText w:val="•"/>
      <w:lvlJc w:val="left"/>
      <w:pPr>
        <w:ind w:left="3846" w:hanging="738"/>
      </w:pPr>
      <w:rPr>
        <w:rFonts w:hint="default"/>
        <w:lang w:val="zh-CN" w:eastAsia="zh-CN" w:bidi="zh-CN"/>
      </w:rPr>
    </w:lvl>
    <w:lvl w:ilvl="5" w:tplc="137834EA">
      <w:numFmt w:val="bullet"/>
      <w:lvlText w:val="•"/>
      <w:lvlJc w:val="left"/>
      <w:pPr>
        <w:ind w:left="4979" w:hanging="738"/>
      </w:pPr>
      <w:rPr>
        <w:rFonts w:hint="default"/>
        <w:lang w:val="zh-CN" w:eastAsia="zh-CN" w:bidi="zh-CN"/>
      </w:rPr>
    </w:lvl>
    <w:lvl w:ilvl="6" w:tplc="7B1ECEDA">
      <w:numFmt w:val="bullet"/>
      <w:lvlText w:val="•"/>
      <w:lvlJc w:val="left"/>
      <w:pPr>
        <w:ind w:left="6113" w:hanging="738"/>
      </w:pPr>
      <w:rPr>
        <w:rFonts w:hint="default"/>
        <w:lang w:val="zh-CN" w:eastAsia="zh-CN" w:bidi="zh-CN"/>
      </w:rPr>
    </w:lvl>
    <w:lvl w:ilvl="7" w:tplc="1A5803F0">
      <w:numFmt w:val="bullet"/>
      <w:lvlText w:val="•"/>
      <w:lvlJc w:val="left"/>
      <w:pPr>
        <w:ind w:left="7246" w:hanging="738"/>
      </w:pPr>
      <w:rPr>
        <w:rFonts w:hint="default"/>
        <w:lang w:val="zh-CN" w:eastAsia="zh-CN" w:bidi="zh-CN"/>
      </w:rPr>
    </w:lvl>
    <w:lvl w:ilvl="8" w:tplc="543291BC">
      <w:numFmt w:val="bullet"/>
      <w:lvlText w:val="•"/>
      <w:lvlJc w:val="left"/>
      <w:pPr>
        <w:ind w:left="8379" w:hanging="738"/>
      </w:pPr>
      <w:rPr>
        <w:rFonts w:hint="default"/>
        <w:lang w:val="zh-CN" w:eastAsia="zh-CN" w:bidi="zh-CN"/>
      </w:rPr>
    </w:lvl>
  </w:abstractNum>
  <w:abstractNum w:abstractNumId="492" w15:restartNumberingAfterBreak="0">
    <w:nsid w:val="42433807"/>
    <w:multiLevelType w:val="hybridMultilevel"/>
    <w:tmpl w:val="260AB48C"/>
    <w:lvl w:ilvl="0" w:tplc="0930D152">
      <w:start w:val="1"/>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CEEE36C8">
      <w:numFmt w:val="bullet"/>
      <w:lvlText w:val="•"/>
      <w:lvlJc w:val="left"/>
      <w:pPr>
        <w:ind w:left="2018" w:hanging="213"/>
      </w:pPr>
      <w:rPr>
        <w:rFonts w:hint="default"/>
        <w:lang w:val="zh-CN" w:eastAsia="zh-CN" w:bidi="zh-CN"/>
      </w:rPr>
    </w:lvl>
    <w:lvl w:ilvl="2" w:tplc="203E564C">
      <w:numFmt w:val="bullet"/>
      <w:lvlText w:val="•"/>
      <w:lvlJc w:val="left"/>
      <w:pPr>
        <w:ind w:left="2977" w:hanging="213"/>
      </w:pPr>
      <w:rPr>
        <w:rFonts w:hint="default"/>
        <w:lang w:val="zh-CN" w:eastAsia="zh-CN" w:bidi="zh-CN"/>
      </w:rPr>
    </w:lvl>
    <w:lvl w:ilvl="3" w:tplc="27D6BD72">
      <w:numFmt w:val="bullet"/>
      <w:lvlText w:val="•"/>
      <w:lvlJc w:val="left"/>
      <w:pPr>
        <w:ind w:left="3935" w:hanging="213"/>
      </w:pPr>
      <w:rPr>
        <w:rFonts w:hint="default"/>
        <w:lang w:val="zh-CN" w:eastAsia="zh-CN" w:bidi="zh-CN"/>
      </w:rPr>
    </w:lvl>
    <w:lvl w:ilvl="4" w:tplc="67B63356">
      <w:numFmt w:val="bullet"/>
      <w:lvlText w:val="•"/>
      <w:lvlJc w:val="left"/>
      <w:pPr>
        <w:ind w:left="4894" w:hanging="213"/>
      </w:pPr>
      <w:rPr>
        <w:rFonts w:hint="default"/>
        <w:lang w:val="zh-CN" w:eastAsia="zh-CN" w:bidi="zh-CN"/>
      </w:rPr>
    </w:lvl>
    <w:lvl w:ilvl="5" w:tplc="B192B8C0">
      <w:numFmt w:val="bullet"/>
      <w:lvlText w:val="•"/>
      <w:lvlJc w:val="left"/>
      <w:pPr>
        <w:ind w:left="5853" w:hanging="213"/>
      </w:pPr>
      <w:rPr>
        <w:rFonts w:hint="default"/>
        <w:lang w:val="zh-CN" w:eastAsia="zh-CN" w:bidi="zh-CN"/>
      </w:rPr>
    </w:lvl>
    <w:lvl w:ilvl="6" w:tplc="0E869B5E">
      <w:numFmt w:val="bullet"/>
      <w:lvlText w:val="•"/>
      <w:lvlJc w:val="left"/>
      <w:pPr>
        <w:ind w:left="6811" w:hanging="213"/>
      </w:pPr>
      <w:rPr>
        <w:rFonts w:hint="default"/>
        <w:lang w:val="zh-CN" w:eastAsia="zh-CN" w:bidi="zh-CN"/>
      </w:rPr>
    </w:lvl>
    <w:lvl w:ilvl="7" w:tplc="D092EE0E">
      <w:numFmt w:val="bullet"/>
      <w:lvlText w:val="•"/>
      <w:lvlJc w:val="left"/>
      <w:pPr>
        <w:ind w:left="7770" w:hanging="213"/>
      </w:pPr>
      <w:rPr>
        <w:rFonts w:hint="default"/>
        <w:lang w:val="zh-CN" w:eastAsia="zh-CN" w:bidi="zh-CN"/>
      </w:rPr>
    </w:lvl>
    <w:lvl w:ilvl="8" w:tplc="364EBACE">
      <w:numFmt w:val="bullet"/>
      <w:lvlText w:val="•"/>
      <w:lvlJc w:val="left"/>
      <w:pPr>
        <w:ind w:left="8729" w:hanging="213"/>
      </w:pPr>
      <w:rPr>
        <w:rFonts w:hint="default"/>
        <w:lang w:val="zh-CN" w:eastAsia="zh-CN" w:bidi="zh-CN"/>
      </w:rPr>
    </w:lvl>
  </w:abstractNum>
  <w:abstractNum w:abstractNumId="493" w15:restartNumberingAfterBreak="0">
    <w:nsid w:val="425031B2"/>
    <w:multiLevelType w:val="hybridMultilevel"/>
    <w:tmpl w:val="740C4DC0"/>
    <w:lvl w:ilvl="0" w:tplc="24A06B2C">
      <w:start w:val="4"/>
      <w:numFmt w:val="decimal"/>
      <w:lvlText w:val="%1"/>
      <w:lvlJc w:val="left"/>
      <w:pPr>
        <w:ind w:left="1159" w:hanging="320"/>
        <w:jc w:val="left"/>
      </w:pPr>
      <w:rPr>
        <w:rFonts w:hint="default"/>
        <w:lang w:val="zh-CN" w:eastAsia="zh-CN" w:bidi="zh-CN"/>
      </w:rPr>
    </w:lvl>
    <w:lvl w:ilvl="1" w:tplc="F226560C">
      <w:start w:val="3"/>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9DCAF9C4">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6902CB8E">
      <w:numFmt w:val="bullet"/>
      <w:lvlText w:val="•"/>
      <w:lvlJc w:val="left"/>
      <w:pPr>
        <w:ind w:left="2538" w:hanging="529"/>
      </w:pPr>
      <w:rPr>
        <w:rFonts w:hint="default"/>
        <w:lang w:val="zh-CN" w:eastAsia="zh-CN" w:bidi="zh-CN"/>
      </w:rPr>
    </w:lvl>
    <w:lvl w:ilvl="4" w:tplc="8CCAAAAA">
      <w:numFmt w:val="bullet"/>
      <w:lvlText w:val="•"/>
      <w:lvlJc w:val="left"/>
      <w:pPr>
        <w:ind w:left="3696" w:hanging="529"/>
      </w:pPr>
      <w:rPr>
        <w:rFonts w:hint="default"/>
        <w:lang w:val="zh-CN" w:eastAsia="zh-CN" w:bidi="zh-CN"/>
      </w:rPr>
    </w:lvl>
    <w:lvl w:ilvl="5" w:tplc="BD8C38F0">
      <w:numFmt w:val="bullet"/>
      <w:lvlText w:val="•"/>
      <w:lvlJc w:val="left"/>
      <w:pPr>
        <w:ind w:left="4854" w:hanging="529"/>
      </w:pPr>
      <w:rPr>
        <w:rFonts w:hint="default"/>
        <w:lang w:val="zh-CN" w:eastAsia="zh-CN" w:bidi="zh-CN"/>
      </w:rPr>
    </w:lvl>
    <w:lvl w:ilvl="6" w:tplc="B7D0407C">
      <w:numFmt w:val="bullet"/>
      <w:lvlText w:val="•"/>
      <w:lvlJc w:val="left"/>
      <w:pPr>
        <w:ind w:left="6013" w:hanging="529"/>
      </w:pPr>
      <w:rPr>
        <w:rFonts w:hint="default"/>
        <w:lang w:val="zh-CN" w:eastAsia="zh-CN" w:bidi="zh-CN"/>
      </w:rPr>
    </w:lvl>
    <w:lvl w:ilvl="7" w:tplc="43324964">
      <w:numFmt w:val="bullet"/>
      <w:lvlText w:val="•"/>
      <w:lvlJc w:val="left"/>
      <w:pPr>
        <w:ind w:left="7171" w:hanging="529"/>
      </w:pPr>
      <w:rPr>
        <w:rFonts w:hint="default"/>
        <w:lang w:val="zh-CN" w:eastAsia="zh-CN" w:bidi="zh-CN"/>
      </w:rPr>
    </w:lvl>
    <w:lvl w:ilvl="8" w:tplc="07F83306">
      <w:numFmt w:val="bullet"/>
      <w:lvlText w:val="•"/>
      <w:lvlJc w:val="left"/>
      <w:pPr>
        <w:ind w:left="8329" w:hanging="529"/>
      </w:pPr>
      <w:rPr>
        <w:rFonts w:hint="default"/>
        <w:lang w:val="zh-CN" w:eastAsia="zh-CN" w:bidi="zh-CN"/>
      </w:rPr>
    </w:lvl>
  </w:abstractNum>
  <w:abstractNum w:abstractNumId="494" w15:restartNumberingAfterBreak="0">
    <w:nsid w:val="42741831"/>
    <w:multiLevelType w:val="hybridMultilevel"/>
    <w:tmpl w:val="A866FD9A"/>
    <w:lvl w:ilvl="0" w:tplc="C5CA6C22">
      <w:start w:val="6"/>
      <w:numFmt w:val="decimal"/>
      <w:lvlText w:val="%1"/>
      <w:lvlJc w:val="left"/>
      <w:pPr>
        <w:ind w:left="1369" w:hanging="529"/>
        <w:jc w:val="left"/>
      </w:pPr>
      <w:rPr>
        <w:rFonts w:hint="default"/>
        <w:lang w:val="zh-CN" w:eastAsia="zh-CN" w:bidi="zh-CN"/>
      </w:rPr>
    </w:lvl>
    <w:lvl w:ilvl="1" w:tplc="AE36CC6C">
      <w:start w:val="4"/>
      <w:numFmt w:val="decimal"/>
      <w:lvlText w:val="%1.%2"/>
      <w:lvlJc w:val="left"/>
      <w:pPr>
        <w:ind w:left="1369" w:hanging="529"/>
        <w:jc w:val="left"/>
      </w:pPr>
      <w:rPr>
        <w:rFonts w:hint="default"/>
        <w:lang w:val="zh-CN" w:eastAsia="zh-CN" w:bidi="zh-CN"/>
      </w:rPr>
    </w:lvl>
    <w:lvl w:ilvl="2" w:tplc="DF0ED028">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4078B51E">
      <w:numFmt w:val="bullet"/>
      <w:lvlText w:val="•"/>
      <w:lvlJc w:val="left"/>
      <w:pPr>
        <w:ind w:left="4145" w:hanging="529"/>
      </w:pPr>
      <w:rPr>
        <w:rFonts w:hint="default"/>
        <w:lang w:val="zh-CN" w:eastAsia="zh-CN" w:bidi="zh-CN"/>
      </w:rPr>
    </w:lvl>
    <w:lvl w:ilvl="4" w:tplc="B6C6483A">
      <w:numFmt w:val="bullet"/>
      <w:lvlText w:val="•"/>
      <w:lvlJc w:val="left"/>
      <w:pPr>
        <w:ind w:left="5074" w:hanging="529"/>
      </w:pPr>
      <w:rPr>
        <w:rFonts w:hint="default"/>
        <w:lang w:val="zh-CN" w:eastAsia="zh-CN" w:bidi="zh-CN"/>
      </w:rPr>
    </w:lvl>
    <w:lvl w:ilvl="5" w:tplc="5CC68CE4">
      <w:numFmt w:val="bullet"/>
      <w:lvlText w:val="•"/>
      <w:lvlJc w:val="left"/>
      <w:pPr>
        <w:ind w:left="6003" w:hanging="529"/>
      </w:pPr>
      <w:rPr>
        <w:rFonts w:hint="default"/>
        <w:lang w:val="zh-CN" w:eastAsia="zh-CN" w:bidi="zh-CN"/>
      </w:rPr>
    </w:lvl>
    <w:lvl w:ilvl="6" w:tplc="80FE2DD0">
      <w:numFmt w:val="bullet"/>
      <w:lvlText w:val="•"/>
      <w:lvlJc w:val="left"/>
      <w:pPr>
        <w:ind w:left="6931" w:hanging="529"/>
      </w:pPr>
      <w:rPr>
        <w:rFonts w:hint="default"/>
        <w:lang w:val="zh-CN" w:eastAsia="zh-CN" w:bidi="zh-CN"/>
      </w:rPr>
    </w:lvl>
    <w:lvl w:ilvl="7" w:tplc="140450EA">
      <w:numFmt w:val="bullet"/>
      <w:lvlText w:val="•"/>
      <w:lvlJc w:val="left"/>
      <w:pPr>
        <w:ind w:left="7860" w:hanging="529"/>
      </w:pPr>
      <w:rPr>
        <w:rFonts w:hint="default"/>
        <w:lang w:val="zh-CN" w:eastAsia="zh-CN" w:bidi="zh-CN"/>
      </w:rPr>
    </w:lvl>
    <w:lvl w:ilvl="8" w:tplc="7F50989C">
      <w:numFmt w:val="bullet"/>
      <w:lvlText w:val="•"/>
      <w:lvlJc w:val="left"/>
      <w:pPr>
        <w:ind w:left="8789" w:hanging="529"/>
      </w:pPr>
      <w:rPr>
        <w:rFonts w:hint="default"/>
        <w:lang w:val="zh-CN" w:eastAsia="zh-CN" w:bidi="zh-CN"/>
      </w:rPr>
    </w:lvl>
  </w:abstractNum>
  <w:abstractNum w:abstractNumId="495" w15:restartNumberingAfterBreak="0">
    <w:nsid w:val="427B1836"/>
    <w:multiLevelType w:val="hybridMultilevel"/>
    <w:tmpl w:val="271CD4EC"/>
    <w:lvl w:ilvl="0" w:tplc="0C4AF234">
      <w:start w:val="1"/>
      <w:numFmt w:val="decimal"/>
      <w:lvlText w:val="%1"/>
      <w:lvlJc w:val="left"/>
      <w:pPr>
        <w:ind w:left="996" w:hanging="159"/>
        <w:jc w:val="left"/>
      </w:pPr>
      <w:rPr>
        <w:rFonts w:ascii="宋体" w:eastAsia="宋体" w:hAnsi="宋体" w:cs="宋体" w:hint="default"/>
        <w:w w:val="100"/>
        <w:sz w:val="21"/>
        <w:szCs w:val="21"/>
        <w:lang w:val="zh-CN" w:eastAsia="zh-CN" w:bidi="zh-CN"/>
      </w:rPr>
    </w:lvl>
    <w:lvl w:ilvl="1" w:tplc="56BE0CA4">
      <w:numFmt w:val="bullet"/>
      <w:lvlText w:val="•"/>
      <w:lvlJc w:val="left"/>
      <w:pPr>
        <w:ind w:left="1964" w:hanging="159"/>
      </w:pPr>
      <w:rPr>
        <w:rFonts w:hint="default"/>
        <w:lang w:val="zh-CN" w:eastAsia="zh-CN" w:bidi="zh-CN"/>
      </w:rPr>
    </w:lvl>
    <w:lvl w:ilvl="2" w:tplc="6700C5CA">
      <w:numFmt w:val="bullet"/>
      <w:lvlText w:val="•"/>
      <w:lvlJc w:val="left"/>
      <w:pPr>
        <w:ind w:left="2929" w:hanging="159"/>
      </w:pPr>
      <w:rPr>
        <w:rFonts w:hint="default"/>
        <w:lang w:val="zh-CN" w:eastAsia="zh-CN" w:bidi="zh-CN"/>
      </w:rPr>
    </w:lvl>
    <w:lvl w:ilvl="3" w:tplc="75408682">
      <w:numFmt w:val="bullet"/>
      <w:lvlText w:val="•"/>
      <w:lvlJc w:val="left"/>
      <w:pPr>
        <w:ind w:left="3893" w:hanging="159"/>
      </w:pPr>
      <w:rPr>
        <w:rFonts w:hint="default"/>
        <w:lang w:val="zh-CN" w:eastAsia="zh-CN" w:bidi="zh-CN"/>
      </w:rPr>
    </w:lvl>
    <w:lvl w:ilvl="4" w:tplc="B5D0595C">
      <w:numFmt w:val="bullet"/>
      <w:lvlText w:val="•"/>
      <w:lvlJc w:val="left"/>
      <w:pPr>
        <w:ind w:left="4858" w:hanging="159"/>
      </w:pPr>
      <w:rPr>
        <w:rFonts w:hint="default"/>
        <w:lang w:val="zh-CN" w:eastAsia="zh-CN" w:bidi="zh-CN"/>
      </w:rPr>
    </w:lvl>
    <w:lvl w:ilvl="5" w:tplc="8D3CB178">
      <w:numFmt w:val="bullet"/>
      <w:lvlText w:val="•"/>
      <w:lvlJc w:val="left"/>
      <w:pPr>
        <w:ind w:left="5823" w:hanging="159"/>
      </w:pPr>
      <w:rPr>
        <w:rFonts w:hint="default"/>
        <w:lang w:val="zh-CN" w:eastAsia="zh-CN" w:bidi="zh-CN"/>
      </w:rPr>
    </w:lvl>
    <w:lvl w:ilvl="6" w:tplc="C736DF58">
      <w:numFmt w:val="bullet"/>
      <w:lvlText w:val="•"/>
      <w:lvlJc w:val="left"/>
      <w:pPr>
        <w:ind w:left="6787" w:hanging="159"/>
      </w:pPr>
      <w:rPr>
        <w:rFonts w:hint="default"/>
        <w:lang w:val="zh-CN" w:eastAsia="zh-CN" w:bidi="zh-CN"/>
      </w:rPr>
    </w:lvl>
    <w:lvl w:ilvl="7" w:tplc="B2C228DC">
      <w:numFmt w:val="bullet"/>
      <w:lvlText w:val="•"/>
      <w:lvlJc w:val="left"/>
      <w:pPr>
        <w:ind w:left="7752" w:hanging="159"/>
      </w:pPr>
      <w:rPr>
        <w:rFonts w:hint="default"/>
        <w:lang w:val="zh-CN" w:eastAsia="zh-CN" w:bidi="zh-CN"/>
      </w:rPr>
    </w:lvl>
    <w:lvl w:ilvl="8" w:tplc="C3BE0002">
      <w:numFmt w:val="bullet"/>
      <w:lvlText w:val="•"/>
      <w:lvlJc w:val="left"/>
      <w:pPr>
        <w:ind w:left="8717" w:hanging="159"/>
      </w:pPr>
      <w:rPr>
        <w:rFonts w:hint="default"/>
        <w:lang w:val="zh-CN" w:eastAsia="zh-CN" w:bidi="zh-CN"/>
      </w:rPr>
    </w:lvl>
  </w:abstractNum>
  <w:abstractNum w:abstractNumId="496" w15:restartNumberingAfterBreak="0">
    <w:nsid w:val="42EC186A"/>
    <w:multiLevelType w:val="hybridMultilevel"/>
    <w:tmpl w:val="906050AA"/>
    <w:lvl w:ilvl="0" w:tplc="206AFE1A">
      <w:start w:val="1"/>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D294F808">
      <w:numFmt w:val="bullet"/>
      <w:lvlText w:val="•"/>
      <w:lvlJc w:val="left"/>
      <w:pPr>
        <w:ind w:left="2018" w:hanging="213"/>
      </w:pPr>
      <w:rPr>
        <w:rFonts w:hint="default"/>
        <w:lang w:val="zh-CN" w:eastAsia="zh-CN" w:bidi="zh-CN"/>
      </w:rPr>
    </w:lvl>
    <w:lvl w:ilvl="2" w:tplc="CD4C7460">
      <w:numFmt w:val="bullet"/>
      <w:lvlText w:val="•"/>
      <w:lvlJc w:val="left"/>
      <w:pPr>
        <w:ind w:left="2977" w:hanging="213"/>
      </w:pPr>
      <w:rPr>
        <w:rFonts w:hint="default"/>
        <w:lang w:val="zh-CN" w:eastAsia="zh-CN" w:bidi="zh-CN"/>
      </w:rPr>
    </w:lvl>
    <w:lvl w:ilvl="3" w:tplc="0598E63C">
      <w:numFmt w:val="bullet"/>
      <w:lvlText w:val="•"/>
      <w:lvlJc w:val="left"/>
      <w:pPr>
        <w:ind w:left="3935" w:hanging="213"/>
      </w:pPr>
      <w:rPr>
        <w:rFonts w:hint="default"/>
        <w:lang w:val="zh-CN" w:eastAsia="zh-CN" w:bidi="zh-CN"/>
      </w:rPr>
    </w:lvl>
    <w:lvl w:ilvl="4" w:tplc="3A9A78E2">
      <w:numFmt w:val="bullet"/>
      <w:lvlText w:val="•"/>
      <w:lvlJc w:val="left"/>
      <w:pPr>
        <w:ind w:left="4894" w:hanging="213"/>
      </w:pPr>
      <w:rPr>
        <w:rFonts w:hint="default"/>
        <w:lang w:val="zh-CN" w:eastAsia="zh-CN" w:bidi="zh-CN"/>
      </w:rPr>
    </w:lvl>
    <w:lvl w:ilvl="5" w:tplc="E9B2010A">
      <w:numFmt w:val="bullet"/>
      <w:lvlText w:val="•"/>
      <w:lvlJc w:val="left"/>
      <w:pPr>
        <w:ind w:left="5853" w:hanging="213"/>
      </w:pPr>
      <w:rPr>
        <w:rFonts w:hint="default"/>
        <w:lang w:val="zh-CN" w:eastAsia="zh-CN" w:bidi="zh-CN"/>
      </w:rPr>
    </w:lvl>
    <w:lvl w:ilvl="6" w:tplc="222079C4">
      <w:numFmt w:val="bullet"/>
      <w:lvlText w:val="•"/>
      <w:lvlJc w:val="left"/>
      <w:pPr>
        <w:ind w:left="6811" w:hanging="213"/>
      </w:pPr>
      <w:rPr>
        <w:rFonts w:hint="default"/>
        <w:lang w:val="zh-CN" w:eastAsia="zh-CN" w:bidi="zh-CN"/>
      </w:rPr>
    </w:lvl>
    <w:lvl w:ilvl="7" w:tplc="D532805C">
      <w:numFmt w:val="bullet"/>
      <w:lvlText w:val="•"/>
      <w:lvlJc w:val="left"/>
      <w:pPr>
        <w:ind w:left="7770" w:hanging="213"/>
      </w:pPr>
      <w:rPr>
        <w:rFonts w:hint="default"/>
        <w:lang w:val="zh-CN" w:eastAsia="zh-CN" w:bidi="zh-CN"/>
      </w:rPr>
    </w:lvl>
    <w:lvl w:ilvl="8" w:tplc="D5D836F2">
      <w:numFmt w:val="bullet"/>
      <w:lvlText w:val="•"/>
      <w:lvlJc w:val="left"/>
      <w:pPr>
        <w:ind w:left="8729" w:hanging="213"/>
      </w:pPr>
      <w:rPr>
        <w:rFonts w:hint="default"/>
        <w:lang w:val="zh-CN" w:eastAsia="zh-CN" w:bidi="zh-CN"/>
      </w:rPr>
    </w:lvl>
  </w:abstractNum>
  <w:abstractNum w:abstractNumId="497" w15:restartNumberingAfterBreak="0">
    <w:nsid w:val="42FE4F71"/>
    <w:multiLevelType w:val="hybridMultilevel"/>
    <w:tmpl w:val="E542D318"/>
    <w:lvl w:ilvl="0" w:tplc="CB4CAE00">
      <w:start w:val="7"/>
      <w:numFmt w:val="decimal"/>
      <w:lvlText w:val="%1"/>
      <w:lvlJc w:val="left"/>
      <w:pPr>
        <w:ind w:left="1159" w:hanging="320"/>
        <w:jc w:val="left"/>
      </w:pPr>
      <w:rPr>
        <w:rFonts w:hint="default"/>
        <w:lang w:val="zh-CN" w:eastAsia="zh-CN" w:bidi="zh-CN"/>
      </w:rPr>
    </w:lvl>
    <w:lvl w:ilvl="1" w:tplc="BEE85B3A">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427E56B8">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458A10C8">
      <w:numFmt w:val="bullet"/>
      <w:lvlText w:val="•"/>
      <w:lvlJc w:val="left"/>
      <w:pPr>
        <w:ind w:left="1380" w:hanging="531"/>
      </w:pPr>
      <w:rPr>
        <w:rFonts w:hint="default"/>
        <w:lang w:val="zh-CN" w:eastAsia="zh-CN" w:bidi="zh-CN"/>
      </w:rPr>
    </w:lvl>
    <w:lvl w:ilvl="4" w:tplc="0406DDC0">
      <w:numFmt w:val="bullet"/>
      <w:lvlText w:val="•"/>
      <w:lvlJc w:val="left"/>
      <w:pPr>
        <w:ind w:left="2703" w:hanging="531"/>
      </w:pPr>
      <w:rPr>
        <w:rFonts w:hint="default"/>
        <w:lang w:val="zh-CN" w:eastAsia="zh-CN" w:bidi="zh-CN"/>
      </w:rPr>
    </w:lvl>
    <w:lvl w:ilvl="5" w:tplc="9558D086">
      <w:numFmt w:val="bullet"/>
      <w:lvlText w:val="•"/>
      <w:lvlJc w:val="left"/>
      <w:pPr>
        <w:ind w:left="4027" w:hanging="531"/>
      </w:pPr>
      <w:rPr>
        <w:rFonts w:hint="default"/>
        <w:lang w:val="zh-CN" w:eastAsia="zh-CN" w:bidi="zh-CN"/>
      </w:rPr>
    </w:lvl>
    <w:lvl w:ilvl="6" w:tplc="43EC32EC">
      <w:numFmt w:val="bullet"/>
      <w:lvlText w:val="•"/>
      <w:lvlJc w:val="left"/>
      <w:pPr>
        <w:ind w:left="5351" w:hanging="531"/>
      </w:pPr>
      <w:rPr>
        <w:rFonts w:hint="default"/>
        <w:lang w:val="zh-CN" w:eastAsia="zh-CN" w:bidi="zh-CN"/>
      </w:rPr>
    </w:lvl>
    <w:lvl w:ilvl="7" w:tplc="F154A22A">
      <w:numFmt w:val="bullet"/>
      <w:lvlText w:val="•"/>
      <w:lvlJc w:val="left"/>
      <w:pPr>
        <w:ind w:left="6675" w:hanging="531"/>
      </w:pPr>
      <w:rPr>
        <w:rFonts w:hint="default"/>
        <w:lang w:val="zh-CN" w:eastAsia="zh-CN" w:bidi="zh-CN"/>
      </w:rPr>
    </w:lvl>
    <w:lvl w:ilvl="8" w:tplc="9A52A03E">
      <w:numFmt w:val="bullet"/>
      <w:lvlText w:val="•"/>
      <w:lvlJc w:val="left"/>
      <w:pPr>
        <w:ind w:left="7998" w:hanging="531"/>
      </w:pPr>
      <w:rPr>
        <w:rFonts w:hint="default"/>
        <w:lang w:val="zh-CN" w:eastAsia="zh-CN" w:bidi="zh-CN"/>
      </w:rPr>
    </w:lvl>
  </w:abstractNum>
  <w:abstractNum w:abstractNumId="498" w15:restartNumberingAfterBreak="0">
    <w:nsid w:val="43054CF9"/>
    <w:multiLevelType w:val="hybridMultilevel"/>
    <w:tmpl w:val="75BE9940"/>
    <w:lvl w:ilvl="0" w:tplc="D63A1942">
      <w:start w:val="13"/>
      <w:numFmt w:val="decimal"/>
      <w:lvlText w:val="%1"/>
      <w:lvlJc w:val="left"/>
      <w:pPr>
        <w:ind w:left="1263" w:hanging="424"/>
        <w:jc w:val="left"/>
      </w:pPr>
      <w:rPr>
        <w:rFonts w:hint="default"/>
        <w:lang w:val="zh-CN" w:eastAsia="zh-CN" w:bidi="zh-CN"/>
      </w:rPr>
    </w:lvl>
    <w:lvl w:ilvl="1" w:tplc="3BA6D356">
      <w:start w:val="1"/>
      <w:numFmt w:val="decimal"/>
      <w:lvlText w:val="%1.%2"/>
      <w:lvlJc w:val="left"/>
      <w:pPr>
        <w:ind w:left="1263" w:hanging="424"/>
        <w:jc w:val="left"/>
      </w:pPr>
      <w:rPr>
        <w:rFonts w:ascii="宋体" w:eastAsia="宋体" w:hAnsi="宋体" w:cs="宋体" w:hint="default"/>
        <w:b/>
        <w:bCs/>
        <w:w w:val="99"/>
        <w:sz w:val="19"/>
        <w:szCs w:val="19"/>
        <w:lang w:val="zh-CN" w:eastAsia="zh-CN" w:bidi="zh-CN"/>
      </w:rPr>
    </w:lvl>
    <w:lvl w:ilvl="2" w:tplc="3222A862">
      <w:start w:val="1"/>
      <w:numFmt w:val="decimal"/>
      <w:lvlText w:val="%1.%2.%3"/>
      <w:lvlJc w:val="left"/>
      <w:pPr>
        <w:ind w:left="1529" w:hanging="689"/>
        <w:jc w:val="left"/>
      </w:pPr>
      <w:rPr>
        <w:rFonts w:ascii="宋体" w:eastAsia="宋体" w:hAnsi="宋体" w:cs="宋体" w:hint="default"/>
        <w:b/>
        <w:bCs/>
        <w:w w:val="99"/>
        <w:sz w:val="21"/>
        <w:szCs w:val="21"/>
        <w:lang w:val="zh-CN" w:eastAsia="zh-CN" w:bidi="zh-CN"/>
      </w:rPr>
    </w:lvl>
    <w:lvl w:ilvl="3" w:tplc="33BAF74A">
      <w:numFmt w:val="bullet"/>
      <w:lvlText w:val="•"/>
      <w:lvlJc w:val="left"/>
      <w:pPr>
        <w:ind w:left="3548" w:hanging="689"/>
      </w:pPr>
      <w:rPr>
        <w:rFonts w:hint="default"/>
        <w:lang w:val="zh-CN" w:eastAsia="zh-CN" w:bidi="zh-CN"/>
      </w:rPr>
    </w:lvl>
    <w:lvl w:ilvl="4" w:tplc="8C9227BC">
      <w:numFmt w:val="bullet"/>
      <w:lvlText w:val="•"/>
      <w:lvlJc w:val="left"/>
      <w:pPr>
        <w:ind w:left="4562" w:hanging="689"/>
      </w:pPr>
      <w:rPr>
        <w:rFonts w:hint="default"/>
        <w:lang w:val="zh-CN" w:eastAsia="zh-CN" w:bidi="zh-CN"/>
      </w:rPr>
    </w:lvl>
    <w:lvl w:ilvl="5" w:tplc="B8A040FE">
      <w:numFmt w:val="bullet"/>
      <w:lvlText w:val="•"/>
      <w:lvlJc w:val="left"/>
      <w:pPr>
        <w:ind w:left="5576" w:hanging="689"/>
      </w:pPr>
      <w:rPr>
        <w:rFonts w:hint="default"/>
        <w:lang w:val="zh-CN" w:eastAsia="zh-CN" w:bidi="zh-CN"/>
      </w:rPr>
    </w:lvl>
    <w:lvl w:ilvl="6" w:tplc="AEF0A5E6">
      <w:numFmt w:val="bullet"/>
      <w:lvlText w:val="•"/>
      <w:lvlJc w:val="left"/>
      <w:pPr>
        <w:ind w:left="6590" w:hanging="689"/>
      </w:pPr>
      <w:rPr>
        <w:rFonts w:hint="default"/>
        <w:lang w:val="zh-CN" w:eastAsia="zh-CN" w:bidi="zh-CN"/>
      </w:rPr>
    </w:lvl>
    <w:lvl w:ilvl="7" w:tplc="1B10B5F4">
      <w:numFmt w:val="bullet"/>
      <w:lvlText w:val="•"/>
      <w:lvlJc w:val="left"/>
      <w:pPr>
        <w:ind w:left="7604" w:hanging="689"/>
      </w:pPr>
      <w:rPr>
        <w:rFonts w:hint="default"/>
        <w:lang w:val="zh-CN" w:eastAsia="zh-CN" w:bidi="zh-CN"/>
      </w:rPr>
    </w:lvl>
    <w:lvl w:ilvl="8" w:tplc="C524694A">
      <w:numFmt w:val="bullet"/>
      <w:lvlText w:val="•"/>
      <w:lvlJc w:val="left"/>
      <w:pPr>
        <w:ind w:left="8618" w:hanging="689"/>
      </w:pPr>
      <w:rPr>
        <w:rFonts w:hint="default"/>
        <w:lang w:val="zh-CN" w:eastAsia="zh-CN" w:bidi="zh-CN"/>
      </w:rPr>
    </w:lvl>
  </w:abstractNum>
  <w:abstractNum w:abstractNumId="499" w15:restartNumberingAfterBreak="0">
    <w:nsid w:val="430C54E9"/>
    <w:multiLevelType w:val="hybridMultilevel"/>
    <w:tmpl w:val="696E2918"/>
    <w:lvl w:ilvl="0" w:tplc="E43A2A42">
      <w:start w:val="1"/>
      <w:numFmt w:val="lowerLetter"/>
      <w:lvlText w:val="%1)"/>
      <w:lvlJc w:val="left"/>
      <w:pPr>
        <w:ind w:left="418" w:hanging="213"/>
        <w:jc w:val="left"/>
      </w:pPr>
      <w:rPr>
        <w:rFonts w:ascii="宋体" w:eastAsia="宋体" w:hAnsi="宋体" w:cs="宋体" w:hint="default"/>
        <w:spacing w:val="-3"/>
        <w:w w:val="100"/>
        <w:sz w:val="19"/>
        <w:szCs w:val="19"/>
        <w:lang w:val="zh-CN" w:eastAsia="zh-CN" w:bidi="zh-CN"/>
      </w:rPr>
    </w:lvl>
    <w:lvl w:ilvl="1" w:tplc="9D0C4CA0">
      <w:numFmt w:val="bullet"/>
      <w:lvlText w:val="•"/>
      <w:lvlJc w:val="left"/>
      <w:pPr>
        <w:ind w:left="1442" w:hanging="213"/>
      </w:pPr>
      <w:rPr>
        <w:rFonts w:hint="default"/>
        <w:lang w:val="zh-CN" w:eastAsia="zh-CN" w:bidi="zh-CN"/>
      </w:rPr>
    </w:lvl>
    <w:lvl w:ilvl="2" w:tplc="2DA470E4">
      <w:numFmt w:val="bullet"/>
      <w:lvlText w:val="•"/>
      <w:lvlJc w:val="left"/>
      <w:pPr>
        <w:ind w:left="2465" w:hanging="213"/>
      </w:pPr>
      <w:rPr>
        <w:rFonts w:hint="default"/>
        <w:lang w:val="zh-CN" w:eastAsia="zh-CN" w:bidi="zh-CN"/>
      </w:rPr>
    </w:lvl>
    <w:lvl w:ilvl="3" w:tplc="442A53C0">
      <w:numFmt w:val="bullet"/>
      <w:lvlText w:val="•"/>
      <w:lvlJc w:val="left"/>
      <w:pPr>
        <w:ind w:left="3487" w:hanging="213"/>
      </w:pPr>
      <w:rPr>
        <w:rFonts w:hint="default"/>
        <w:lang w:val="zh-CN" w:eastAsia="zh-CN" w:bidi="zh-CN"/>
      </w:rPr>
    </w:lvl>
    <w:lvl w:ilvl="4" w:tplc="6434868A">
      <w:numFmt w:val="bullet"/>
      <w:lvlText w:val="•"/>
      <w:lvlJc w:val="left"/>
      <w:pPr>
        <w:ind w:left="4510" w:hanging="213"/>
      </w:pPr>
      <w:rPr>
        <w:rFonts w:hint="default"/>
        <w:lang w:val="zh-CN" w:eastAsia="zh-CN" w:bidi="zh-CN"/>
      </w:rPr>
    </w:lvl>
    <w:lvl w:ilvl="5" w:tplc="F5C2BBA0">
      <w:numFmt w:val="bullet"/>
      <w:lvlText w:val="•"/>
      <w:lvlJc w:val="left"/>
      <w:pPr>
        <w:ind w:left="5533" w:hanging="213"/>
      </w:pPr>
      <w:rPr>
        <w:rFonts w:hint="default"/>
        <w:lang w:val="zh-CN" w:eastAsia="zh-CN" w:bidi="zh-CN"/>
      </w:rPr>
    </w:lvl>
    <w:lvl w:ilvl="6" w:tplc="7312EAE8">
      <w:numFmt w:val="bullet"/>
      <w:lvlText w:val="•"/>
      <w:lvlJc w:val="left"/>
      <w:pPr>
        <w:ind w:left="6555" w:hanging="213"/>
      </w:pPr>
      <w:rPr>
        <w:rFonts w:hint="default"/>
        <w:lang w:val="zh-CN" w:eastAsia="zh-CN" w:bidi="zh-CN"/>
      </w:rPr>
    </w:lvl>
    <w:lvl w:ilvl="7" w:tplc="8DFA110C">
      <w:numFmt w:val="bullet"/>
      <w:lvlText w:val="•"/>
      <w:lvlJc w:val="left"/>
      <w:pPr>
        <w:ind w:left="7578" w:hanging="213"/>
      </w:pPr>
      <w:rPr>
        <w:rFonts w:hint="default"/>
        <w:lang w:val="zh-CN" w:eastAsia="zh-CN" w:bidi="zh-CN"/>
      </w:rPr>
    </w:lvl>
    <w:lvl w:ilvl="8" w:tplc="688E98DE">
      <w:numFmt w:val="bullet"/>
      <w:lvlText w:val="•"/>
      <w:lvlJc w:val="left"/>
      <w:pPr>
        <w:ind w:left="8601" w:hanging="213"/>
      </w:pPr>
      <w:rPr>
        <w:rFonts w:hint="default"/>
        <w:lang w:val="zh-CN" w:eastAsia="zh-CN" w:bidi="zh-CN"/>
      </w:rPr>
    </w:lvl>
  </w:abstractNum>
  <w:abstractNum w:abstractNumId="500" w15:restartNumberingAfterBreak="0">
    <w:nsid w:val="4324079E"/>
    <w:multiLevelType w:val="hybridMultilevel"/>
    <w:tmpl w:val="E7F06E32"/>
    <w:lvl w:ilvl="0" w:tplc="020E1062">
      <w:start w:val="6"/>
      <w:numFmt w:val="decimal"/>
      <w:lvlText w:val="%1"/>
      <w:lvlJc w:val="left"/>
      <w:pPr>
        <w:ind w:left="1158" w:hanging="318"/>
        <w:jc w:val="left"/>
      </w:pPr>
      <w:rPr>
        <w:rFonts w:hint="default"/>
        <w:lang w:val="zh-CN" w:eastAsia="zh-CN" w:bidi="zh-CN"/>
      </w:rPr>
    </w:lvl>
    <w:lvl w:ilvl="1" w:tplc="D792BEDA">
      <w:start w:val="5"/>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380ED3D8">
      <w:numFmt w:val="bullet"/>
      <w:lvlText w:val="•"/>
      <w:lvlJc w:val="left"/>
      <w:pPr>
        <w:ind w:left="3057" w:hanging="318"/>
      </w:pPr>
      <w:rPr>
        <w:rFonts w:hint="default"/>
        <w:lang w:val="zh-CN" w:eastAsia="zh-CN" w:bidi="zh-CN"/>
      </w:rPr>
    </w:lvl>
    <w:lvl w:ilvl="3" w:tplc="87E00AA4">
      <w:numFmt w:val="bullet"/>
      <w:lvlText w:val="•"/>
      <w:lvlJc w:val="left"/>
      <w:pPr>
        <w:ind w:left="4005" w:hanging="318"/>
      </w:pPr>
      <w:rPr>
        <w:rFonts w:hint="default"/>
        <w:lang w:val="zh-CN" w:eastAsia="zh-CN" w:bidi="zh-CN"/>
      </w:rPr>
    </w:lvl>
    <w:lvl w:ilvl="4" w:tplc="82EE7D18">
      <w:numFmt w:val="bullet"/>
      <w:lvlText w:val="•"/>
      <w:lvlJc w:val="left"/>
      <w:pPr>
        <w:ind w:left="4954" w:hanging="318"/>
      </w:pPr>
      <w:rPr>
        <w:rFonts w:hint="default"/>
        <w:lang w:val="zh-CN" w:eastAsia="zh-CN" w:bidi="zh-CN"/>
      </w:rPr>
    </w:lvl>
    <w:lvl w:ilvl="5" w:tplc="9E2C8ECA">
      <w:numFmt w:val="bullet"/>
      <w:lvlText w:val="•"/>
      <w:lvlJc w:val="left"/>
      <w:pPr>
        <w:ind w:left="5903" w:hanging="318"/>
      </w:pPr>
      <w:rPr>
        <w:rFonts w:hint="default"/>
        <w:lang w:val="zh-CN" w:eastAsia="zh-CN" w:bidi="zh-CN"/>
      </w:rPr>
    </w:lvl>
    <w:lvl w:ilvl="6" w:tplc="88FCADE6">
      <w:numFmt w:val="bullet"/>
      <w:lvlText w:val="•"/>
      <w:lvlJc w:val="left"/>
      <w:pPr>
        <w:ind w:left="6851" w:hanging="318"/>
      </w:pPr>
      <w:rPr>
        <w:rFonts w:hint="default"/>
        <w:lang w:val="zh-CN" w:eastAsia="zh-CN" w:bidi="zh-CN"/>
      </w:rPr>
    </w:lvl>
    <w:lvl w:ilvl="7" w:tplc="D8FAA52A">
      <w:numFmt w:val="bullet"/>
      <w:lvlText w:val="•"/>
      <w:lvlJc w:val="left"/>
      <w:pPr>
        <w:ind w:left="7800" w:hanging="318"/>
      </w:pPr>
      <w:rPr>
        <w:rFonts w:hint="default"/>
        <w:lang w:val="zh-CN" w:eastAsia="zh-CN" w:bidi="zh-CN"/>
      </w:rPr>
    </w:lvl>
    <w:lvl w:ilvl="8" w:tplc="A564A038">
      <w:numFmt w:val="bullet"/>
      <w:lvlText w:val="•"/>
      <w:lvlJc w:val="left"/>
      <w:pPr>
        <w:ind w:left="8749" w:hanging="318"/>
      </w:pPr>
      <w:rPr>
        <w:rFonts w:hint="default"/>
        <w:lang w:val="zh-CN" w:eastAsia="zh-CN" w:bidi="zh-CN"/>
      </w:rPr>
    </w:lvl>
  </w:abstractNum>
  <w:abstractNum w:abstractNumId="501" w15:restartNumberingAfterBreak="0">
    <w:nsid w:val="43350FED"/>
    <w:multiLevelType w:val="hybridMultilevel"/>
    <w:tmpl w:val="46AC9466"/>
    <w:lvl w:ilvl="0" w:tplc="766231AC">
      <w:start w:val="14"/>
      <w:numFmt w:val="decimal"/>
      <w:lvlText w:val="%1"/>
      <w:lvlJc w:val="left"/>
      <w:pPr>
        <w:ind w:left="418" w:hanging="478"/>
        <w:jc w:val="left"/>
      </w:pPr>
      <w:rPr>
        <w:rFonts w:hint="default"/>
        <w:lang w:val="zh-CN" w:eastAsia="zh-CN" w:bidi="zh-CN"/>
      </w:rPr>
    </w:lvl>
    <w:lvl w:ilvl="1" w:tplc="0F9C1764">
      <w:start w:val="1"/>
      <w:numFmt w:val="decimal"/>
      <w:lvlText w:val="%1.%2"/>
      <w:lvlJc w:val="left"/>
      <w:pPr>
        <w:ind w:left="418" w:hanging="478"/>
        <w:jc w:val="left"/>
      </w:pPr>
      <w:rPr>
        <w:rFonts w:ascii="宋体" w:eastAsia="宋体" w:hAnsi="宋体" w:cs="宋体" w:hint="default"/>
        <w:b/>
        <w:bCs/>
        <w:w w:val="99"/>
        <w:sz w:val="21"/>
        <w:szCs w:val="21"/>
        <w:lang w:val="zh-CN" w:eastAsia="zh-CN" w:bidi="zh-CN"/>
      </w:rPr>
    </w:lvl>
    <w:lvl w:ilvl="2" w:tplc="E0B2A8C8">
      <w:numFmt w:val="bullet"/>
      <w:lvlText w:val="•"/>
      <w:lvlJc w:val="left"/>
      <w:pPr>
        <w:ind w:left="2465" w:hanging="478"/>
      </w:pPr>
      <w:rPr>
        <w:rFonts w:hint="default"/>
        <w:lang w:val="zh-CN" w:eastAsia="zh-CN" w:bidi="zh-CN"/>
      </w:rPr>
    </w:lvl>
    <w:lvl w:ilvl="3" w:tplc="99526934">
      <w:numFmt w:val="bullet"/>
      <w:lvlText w:val="•"/>
      <w:lvlJc w:val="left"/>
      <w:pPr>
        <w:ind w:left="3487" w:hanging="478"/>
      </w:pPr>
      <w:rPr>
        <w:rFonts w:hint="default"/>
        <w:lang w:val="zh-CN" w:eastAsia="zh-CN" w:bidi="zh-CN"/>
      </w:rPr>
    </w:lvl>
    <w:lvl w:ilvl="4" w:tplc="641294DA">
      <w:numFmt w:val="bullet"/>
      <w:lvlText w:val="•"/>
      <w:lvlJc w:val="left"/>
      <w:pPr>
        <w:ind w:left="4510" w:hanging="478"/>
      </w:pPr>
      <w:rPr>
        <w:rFonts w:hint="default"/>
        <w:lang w:val="zh-CN" w:eastAsia="zh-CN" w:bidi="zh-CN"/>
      </w:rPr>
    </w:lvl>
    <w:lvl w:ilvl="5" w:tplc="E8023FBE">
      <w:numFmt w:val="bullet"/>
      <w:lvlText w:val="•"/>
      <w:lvlJc w:val="left"/>
      <w:pPr>
        <w:ind w:left="5533" w:hanging="478"/>
      </w:pPr>
      <w:rPr>
        <w:rFonts w:hint="default"/>
        <w:lang w:val="zh-CN" w:eastAsia="zh-CN" w:bidi="zh-CN"/>
      </w:rPr>
    </w:lvl>
    <w:lvl w:ilvl="6" w:tplc="B55074C2">
      <w:numFmt w:val="bullet"/>
      <w:lvlText w:val="•"/>
      <w:lvlJc w:val="left"/>
      <w:pPr>
        <w:ind w:left="6555" w:hanging="478"/>
      </w:pPr>
      <w:rPr>
        <w:rFonts w:hint="default"/>
        <w:lang w:val="zh-CN" w:eastAsia="zh-CN" w:bidi="zh-CN"/>
      </w:rPr>
    </w:lvl>
    <w:lvl w:ilvl="7" w:tplc="D32605A0">
      <w:numFmt w:val="bullet"/>
      <w:lvlText w:val="•"/>
      <w:lvlJc w:val="left"/>
      <w:pPr>
        <w:ind w:left="7578" w:hanging="478"/>
      </w:pPr>
      <w:rPr>
        <w:rFonts w:hint="default"/>
        <w:lang w:val="zh-CN" w:eastAsia="zh-CN" w:bidi="zh-CN"/>
      </w:rPr>
    </w:lvl>
    <w:lvl w:ilvl="8" w:tplc="2F3C5864">
      <w:numFmt w:val="bullet"/>
      <w:lvlText w:val="•"/>
      <w:lvlJc w:val="left"/>
      <w:pPr>
        <w:ind w:left="8601" w:hanging="478"/>
      </w:pPr>
      <w:rPr>
        <w:rFonts w:hint="default"/>
        <w:lang w:val="zh-CN" w:eastAsia="zh-CN" w:bidi="zh-CN"/>
      </w:rPr>
    </w:lvl>
  </w:abstractNum>
  <w:abstractNum w:abstractNumId="502" w15:restartNumberingAfterBreak="0">
    <w:nsid w:val="438E5E38"/>
    <w:multiLevelType w:val="hybridMultilevel"/>
    <w:tmpl w:val="92FE8394"/>
    <w:lvl w:ilvl="0" w:tplc="260044DE">
      <w:start w:val="7"/>
      <w:numFmt w:val="decimal"/>
      <w:lvlText w:val="%1"/>
      <w:lvlJc w:val="left"/>
      <w:pPr>
        <w:ind w:left="1158" w:hanging="318"/>
        <w:jc w:val="left"/>
      </w:pPr>
      <w:rPr>
        <w:rFonts w:hint="default"/>
        <w:lang w:val="zh-CN" w:eastAsia="zh-CN" w:bidi="zh-CN"/>
      </w:rPr>
    </w:lvl>
    <w:lvl w:ilvl="1" w:tplc="502E4FFE">
      <w:start w:val="3"/>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1F28A7AA">
      <w:start w:val="1"/>
      <w:numFmt w:val="decimal"/>
      <w:lvlText w:val="%1.%2.%3"/>
      <w:lvlJc w:val="left"/>
      <w:pPr>
        <w:ind w:left="838" w:hanging="531"/>
        <w:jc w:val="left"/>
      </w:pPr>
      <w:rPr>
        <w:rFonts w:ascii="宋体" w:eastAsia="宋体" w:hAnsi="宋体" w:cs="宋体" w:hint="default"/>
        <w:b/>
        <w:bCs/>
        <w:w w:val="99"/>
        <w:sz w:val="19"/>
        <w:szCs w:val="19"/>
        <w:lang w:val="zh-CN" w:eastAsia="zh-CN" w:bidi="zh-CN"/>
      </w:rPr>
    </w:lvl>
    <w:lvl w:ilvl="3" w:tplc="D70EB8CC">
      <w:numFmt w:val="bullet"/>
      <w:lvlText w:val="•"/>
      <w:lvlJc w:val="left"/>
      <w:pPr>
        <w:ind w:left="3268" w:hanging="531"/>
      </w:pPr>
      <w:rPr>
        <w:rFonts w:hint="default"/>
        <w:lang w:val="zh-CN" w:eastAsia="zh-CN" w:bidi="zh-CN"/>
      </w:rPr>
    </w:lvl>
    <w:lvl w:ilvl="4" w:tplc="0F36E910">
      <w:numFmt w:val="bullet"/>
      <w:lvlText w:val="•"/>
      <w:lvlJc w:val="left"/>
      <w:pPr>
        <w:ind w:left="4322" w:hanging="531"/>
      </w:pPr>
      <w:rPr>
        <w:rFonts w:hint="default"/>
        <w:lang w:val="zh-CN" w:eastAsia="zh-CN" w:bidi="zh-CN"/>
      </w:rPr>
    </w:lvl>
    <w:lvl w:ilvl="5" w:tplc="A1DC1F6A">
      <w:numFmt w:val="bullet"/>
      <w:lvlText w:val="•"/>
      <w:lvlJc w:val="left"/>
      <w:pPr>
        <w:ind w:left="5376" w:hanging="531"/>
      </w:pPr>
      <w:rPr>
        <w:rFonts w:hint="default"/>
        <w:lang w:val="zh-CN" w:eastAsia="zh-CN" w:bidi="zh-CN"/>
      </w:rPr>
    </w:lvl>
    <w:lvl w:ilvl="6" w:tplc="77EAC326">
      <w:numFmt w:val="bullet"/>
      <w:lvlText w:val="•"/>
      <w:lvlJc w:val="left"/>
      <w:pPr>
        <w:ind w:left="6430" w:hanging="531"/>
      </w:pPr>
      <w:rPr>
        <w:rFonts w:hint="default"/>
        <w:lang w:val="zh-CN" w:eastAsia="zh-CN" w:bidi="zh-CN"/>
      </w:rPr>
    </w:lvl>
    <w:lvl w:ilvl="7" w:tplc="1E506A24">
      <w:numFmt w:val="bullet"/>
      <w:lvlText w:val="•"/>
      <w:lvlJc w:val="left"/>
      <w:pPr>
        <w:ind w:left="7484" w:hanging="531"/>
      </w:pPr>
      <w:rPr>
        <w:rFonts w:hint="default"/>
        <w:lang w:val="zh-CN" w:eastAsia="zh-CN" w:bidi="zh-CN"/>
      </w:rPr>
    </w:lvl>
    <w:lvl w:ilvl="8" w:tplc="6E9A93A4">
      <w:numFmt w:val="bullet"/>
      <w:lvlText w:val="•"/>
      <w:lvlJc w:val="left"/>
      <w:pPr>
        <w:ind w:left="8538" w:hanging="531"/>
      </w:pPr>
      <w:rPr>
        <w:rFonts w:hint="default"/>
        <w:lang w:val="zh-CN" w:eastAsia="zh-CN" w:bidi="zh-CN"/>
      </w:rPr>
    </w:lvl>
  </w:abstractNum>
  <w:abstractNum w:abstractNumId="503" w15:restartNumberingAfterBreak="0">
    <w:nsid w:val="439E55F1"/>
    <w:multiLevelType w:val="hybridMultilevel"/>
    <w:tmpl w:val="AD5C108A"/>
    <w:lvl w:ilvl="0" w:tplc="F2C037F2">
      <w:start w:val="1"/>
      <w:numFmt w:val="decimal"/>
      <w:lvlText w:val="（%1）"/>
      <w:lvlJc w:val="left"/>
      <w:pPr>
        <w:ind w:left="947" w:hanging="529"/>
        <w:jc w:val="left"/>
      </w:pPr>
      <w:rPr>
        <w:rFonts w:ascii="宋体" w:eastAsia="宋体" w:hAnsi="宋体" w:cs="宋体" w:hint="default"/>
        <w:spacing w:val="-3"/>
        <w:w w:val="100"/>
        <w:sz w:val="19"/>
        <w:szCs w:val="19"/>
        <w:lang w:val="zh-CN" w:eastAsia="zh-CN" w:bidi="zh-CN"/>
      </w:rPr>
    </w:lvl>
    <w:lvl w:ilvl="1" w:tplc="866450B2">
      <w:start w:val="2"/>
      <w:numFmt w:val="decimal"/>
      <w:lvlText w:val="（%2）"/>
      <w:lvlJc w:val="left"/>
      <w:pPr>
        <w:ind w:left="1367" w:hanging="529"/>
        <w:jc w:val="left"/>
      </w:pPr>
      <w:rPr>
        <w:rFonts w:ascii="宋体" w:eastAsia="宋体" w:hAnsi="宋体" w:cs="宋体" w:hint="default"/>
        <w:spacing w:val="-3"/>
        <w:w w:val="100"/>
        <w:sz w:val="19"/>
        <w:szCs w:val="19"/>
        <w:lang w:val="zh-CN" w:eastAsia="zh-CN" w:bidi="zh-CN"/>
      </w:rPr>
    </w:lvl>
    <w:lvl w:ilvl="2" w:tplc="3D788168">
      <w:numFmt w:val="bullet"/>
      <w:lvlText w:val="•"/>
      <w:lvlJc w:val="left"/>
      <w:pPr>
        <w:ind w:left="2391" w:hanging="529"/>
      </w:pPr>
      <w:rPr>
        <w:rFonts w:hint="default"/>
        <w:lang w:val="zh-CN" w:eastAsia="zh-CN" w:bidi="zh-CN"/>
      </w:rPr>
    </w:lvl>
    <w:lvl w:ilvl="3" w:tplc="F77E3F3E">
      <w:numFmt w:val="bullet"/>
      <w:lvlText w:val="•"/>
      <w:lvlJc w:val="left"/>
      <w:pPr>
        <w:ind w:left="3423" w:hanging="529"/>
      </w:pPr>
      <w:rPr>
        <w:rFonts w:hint="default"/>
        <w:lang w:val="zh-CN" w:eastAsia="zh-CN" w:bidi="zh-CN"/>
      </w:rPr>
    </w:lvl>
    <w:lvl w:ilvl="4" w:tplc="C076E7A0">
      <w:numFmt w:val="bullet"/>
      <w:lvlText w:val="•"/>
      <w:lvlJc w:val="left"/>
      <w:pPr>
        <w:ind w:left="4455" w:hanging="529"/>
      </w:pPr>
      <w:rPr>
        <w:rFonts w:hint="default"/>
        <w:lang w:val="zh-CN" w:eastAsia="zh-CN" w:bidi="zh-CN"/>
      </w:rPr>
    </w:lvl>
    <w:lvl w:ilvl="5" w:tplc="96D01A66">
      <w:numFmt w:val="bullet"/>
      <w:lvlText w:val="•"/>
      <w:lvlJc w:val="left"/>
      <w:pPr>
        <w:ind w:left="5487" w:hanging="529"/>
      </w:pPr>
      <w:rPr>
        <w:rFonts w:hint="default"/>
        <w:lang w:val="zh-CN" w:eastAsia="zh-CN" w:bidi="zh-CN"/>
      </w:rPr>
    </w:lvl>
    <w:lvl w:ilvl="6" w:tplc="3F8E8C24">
      <w:numFmt w:val="bullet"/>
      <w:lvlText w:val="•"/>
      <w:lvlJc w:val="left"/>
      <w:pPr>
        <w:ind w:left="6519" w:hanging="529"/>
      </w:pPr>
      <w:rPr>
        <w:rFonts w:hint="default"/>
        <w:lang w:val="zh-CN" w:eastAsia="zh-CN" w:bidi="zh-CN"/>
      </w:rPr>
    </w:lvl>
    <w:lvl w:ilvl="7" w:tplc="A8D69D4E">
      <w:numFmt w:val="bullet"/>
      <w:lvlText w:val="•"/>
      <w:lvlJc w:val="left"/>
      <w:pPr>
        <w:ind w:left="7550" w:hanging="529"/>
      </w:pPr>
      <w:rPr>
        <w:rFonts w:hint="default"/>
        <w:lang w:val="zh-CN" w:eastAsia="zh-CN" w:bidi="zh-CN"/>
      </w:rPr>
    </w:lvl>
    <w:lvl w:ilvl="8" w:tplc="67CEC5DC">
      <w:numFmt w:val="bullet"/>
      <w:lvlText w:val="•"/>
      <w:lvlJc w:val="left"/>
      <w:pPr>
        <w:ind w:left="8582" w:hanging="529"/>
      </w:pPr>
      <w:rPr>
        <w:rFonts w:hint="default"/>
        <w:lang w:val="zh-CN" w:eastAsia="zh-CN" w:bidi="zh-CN"/>
      </w:rPr>
    </w:lvl>
  </w:abstractNum>
  <w:abstractNum w:abstractNumId="504" w15:restartNumberingAfterBreak="0">
    <w:nsid w:val="43A269E6"/>
    <w:multiLevelType w:val="hybridMultilevel"/>
    <w:tmpl w:val="CC741C46"/>
    <w:lvl w:ilvl="0" w:tplc="EA8820A8">
      <w:start w:val="6"/>
      <w:numFmt w:val="decimal"/>
      <w:lvlText w:val="%1"/>
      <w:lvlJc w:val="left"/>
      <w:pPr>
        <w:ind w:left="1158" w:hanging="318"/>
        <w:jc w:val="left"/>
      </w:pPr>
      <w:rPr>
        <w:rFonts w:hint="default"/>
        <w:lang w:val="zh-CN" w:eastAsia="zh-CN" w:bidi="zh-CN"/>
      </w:rPr>
    </w:lvl>
    <w:lvl w:ilvl="1" w:tplc="3C60A4D6">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19E0072E">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F27AB30C">
      <w:numFmt w:val="bullet"/>
      <w:lvlText w:val="•"/>
      <w:lvlJc w:val="left"/>
      <w:pPr>
        <w:ind w:left="1380" w:hanging="529"/>
      </w:pPr>
      <w:rPr>
        <w:rFonts w:hint="default"/>
        <w:lang w:val="zh-CN" w:eastAsia="zh-CN" w:bidi="zh-CN"/>
      </w:rPr>
    </w:lvl>
    <w:lvl w:ilvl="4" w:tplc="68BEBB3A">
      <w:numFmt w:val="bullet"/>
      <w:lvlText w:val="•"/>
      <w:lvlJc w:val="left"/>
      <w:pPr>
        <w:ind w:left="2703" w:hanging="529"/>
      </w:pPr>
      <w:rPr>
        <w:rFonts w:hint="default"/>
        <w:lang w:val="zh-CN" w:eastAsia="zh-CN" w:bidi="zh-CN"/>
      </w:rPr>
    </w:lvl>
    <w:lvl w:ilvl="5" w:tplc="16C4A90E">
      <w:numFmt w:val="bullet"/>
      <w:lvlText w:val="•"/>
      <w:lvlJc w:val="left"/>
      <w:pPr>
        <w:ind w:left="4027" w:hanging="529"/>
      </w:pPr>
      <w:rPr>
        <w:rFonts w:hint="default"/>
        <w:lang w:val="zh-CN" w:eastAsia="zh-CN" w:bidi="zh-CN"/>
      </w:rPr>
    </w:lvl>
    <w:lvl w:ilvl="6" w:tplc="1B50284A">
      <w:numFmt w:val="bullet"/>
      <w:lvlText w:val="•"/>
      <w:lvlJc w:val="left"/>
      <w:pPr>
        <w:ind w:left="5351" w:hanging="529"/>
      </w:pPr>
      <w:rPr>
        <w:rFonts w:hint="default"/>
        <w:lang w:val="zh-CN" w:eastAsia="zh-CN" w:bidi="zh-CN"/>
      </w:rPr>
    </w:lvl>
    <w:lvl w:ilvl="7" w:tplc="2AAC87B2">
      <w:numFmt w:val="bullet"/>
      <w:lvlText w:val="•"/>
      <w:lvlJc w:val="left"/>
      <w:pPr>
        <w:ind w:left="6675" w:hanging="529"/>
      </w:pPr>
      <w:rPr>
        <w:rFonts w:hint="default"/>
        <w:lang w:val="zh-CN" w:eastAsia="zh-CN" w:bidi="zh-CN"/>
      </w:rPr>
    </w:lvl>
    <w:lvl w:ilvl="8" w:tplc="60F4F5F0">
      <w:numFmt w:val="bullet"/>
      <w:lvlText w:val="•"/>
      <w:lvlJc w:val="left"/>
      <w:pPr>
        <w:ind w:left="7998" w:hanging="529"/>
      </w:pPr>
      <w:rPr>
        <w:rFonts w:hint="default"/>
        <w:lang w:val="zh-CN" w:eastAsia="zh-CN" w:bidi="zh-CN"/>
      </w:rPr>
    </w:lvl>
  </w:abstractNum>
  <w:abstractNum w:abstractNumId="505" w15:restartNumberingAfterBreak="0">
    <w:nsid w:val="43CE6594"/>
    <w:multiLevelType w:val="hybridMultilevel"/>
    <w:tmpl w:val="797040F0"/>
    <w:lvl w:ilvl="0" w:tplc="8A7A13AE">
      <w:start w:val="3"/>
      <w:numFmt w:val="decimal"/>
      <w:lvlText w:val="%1"/>
      <w:lvlJc w:val="left"/>
      <w:pPr>
        <w:ind w:left="1212" w:hanging="372"/>
        <w:jc w:val="left"/>
      </w:pPr>
      <w:rPr>
        <w:rFonts w:hint="default"/>
        <w:lang w:val="zh-CN" w:eastAsia="zh-CN" w:bidi="zh-CN"/>
      </w:rPr>
    </w:lvl>
    <w:lvl w:ilvl="1" w:tplc="82E6193A">
      <w:start w:val="1"/>
      <w:numFmt w:val="decimal"/>
      <w:lvlText w:val="%1.%2"/>
      <w:lvlJc w:val="left"/>
      <w:pPr>
        <w:ind w:left="1212" w:hanging="372"/>
        <w:jc w:val="left"/>
      </w:pPr>
      <w:rPr>
        <w:rFonts w:ascii="宋体" w:eastAsia="宋体" w:hAnsi="宋体" w:cs="宋体" w:hint="default"/>
        <w:b/>
        <w:bCs/>
        <w:w w:val="99"/>
        <w:sz w:val="21"/>
        <w:szCs w:val="21"/>
        <w:lang w:val="zh-CN" w:eastAsia="zh-CN" w:bidi="zh-CN"/>
      </w:rPr>
    </w:lvl>
    <w:lvl w:ilvl="2" w:tplc="05DC0EB8">
      <w:numFmt w:val="bullet"/>
      <w:lvlText w:val="•"/>
      <w:lvlJc w:val="left"/>
      <w:pPr>
        <w:ind w:left="3105" w:hanging="372"/>
      </w:pPr>
      <w:rPr>
        <w:rFonts w:hint="default"/>
        <w:lang w:val="zh-CN" w:eastAsia="zh-CN" w:bidi="zh-CN"/>
      </w:rPr>
    </w:lvl>
    <w:lvl w:ilvl="3" w:tplc="2408A5FA">
      <w:numFmt w:val="bullet"/>
      <w:lvlText w:val="•"/>
      <w:lvlJc w:val="left"/>
      <w:pPr>
        <w:ind w:left="4047" w:hanging="372"/>
      </w:pPr>
      <w:rPr>
        <w:rFonts w:hint="default"/>
        <w:lang w:val="zh-CN" w:eastAsia="zh-CN" w:bidi="zh-CN"/>
      </w:rPr>
    </w:lvl>
    <w:lvl w:ilvl="4" w:tplc="0B94B2D2">
      <w:numFmt w:val="bullet"/>
      <w:lvlText w:val="•"/>
      <w:lvlJc w:val="left"/>
      <w:pPr>
        <w:ind w:left="4990" w:hanging="372"/>
      </w:pPr>
      <w:rPr>
        <w:rFonts w:hint="default"/>
        <w:lang w:val="zh-CN" w:eastAsia="zh-CN" w:bidi="zh-CN"/>
      </w:rPr>
    </w:lvl>
    <w:lvl w:ilvl="5" w:tplc="B3020596">
      <w:numFmt w:val="bullet"/>
      <w:lvlText w:val="•"/>
      <w:lvlJc w:val="left"/>
      <w:pPr>
        <w:ind w:left="5933" w:hanging="372"/>
      </w:pPr>
      <w:rPr>
        <w:rFonts w:hint="default"/>
        <w:lang w:val="zh-CN" w:eastAsia="zh-CN" w:bidi="zh-CN"/>
      </w:rPr>
    </w:lvl>
    <w:lvl w:ilvl="6" w:tplc="CF0202E4">
      <w:numFmt w:val="bullet"/>
      <w:lvlText w:val="•"/>
      <w:lvlJc w:val="left"/>
      <w:pPr>
        <w:ind w:left="6875" w:hanging="372"/>
      </w:pPr>
      <w:rPr>
        <w:rFonts w:hint="default"/>
        <w:lang w:val="zh-CN" w:eastAsia="zh-CN" w:bidi="zh-CN"/>
      </w:rPr>
    </w:lvl>
    <w:lvl w:ilvl="7" w:tplc="53D44E9C">
      <w:numFmt w:val="bullet"/>
      <w:lvlText w:val="•"/>
      <w:lvlJc w:val="left"/>
      <w:pPr>
        <w:ind w:left="7818" w:hanging="372"/>
      </w:pPr>
      <w:rPr>
        <w:rFonts w:hint="default"/>
        <w:lang w:val="zh-CN" w:eastAsia="zh-CN" w:bidi="zh-CN"/>
      </w:rPr>
    </w:lvl>
    <w:lvl w:ilvl="8" w:tplc="04CA2EB6">
      <w:numFmt w:val="bullet"/>
      <w:lvlText w:val="•"/>
      <w:lvlJc w:val="left"/>
      <w:pPr>
        <w:ind w:left="8761" w:hanging="372"/>
      </w:pPr>
      <w:rPr>
        <w:rFonts w:hint="default"/>
        <w:lang w:val="zh-CN" w:eastAsia="zh-CN" w:bidi="zh-CN"/>
      </w:rPr>
    </w:lvl>
  </w:abstractNum>
  <w:abstractNum w:abstractNumId="506" w15:restartNumberingAfterBreak="0">
    <w:nsid w:val="441234CC"/>
    <w:multiLevelType w:val="hybridMultilevel"/>
    <w:tmpl w:val="8E1AEA5C"/>
    <w:lvl w:ilvl="0" w:tplc="61AEA3FC">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75548634">
      <w:numFmt w:val="bullet"/>
      <w:lvlText w:val="•"/>
      <w:lvlJc w:val="left"/>
      <w:pPr>
        <w:ind w:left="1442" w:hanging="529"/>
      </w:pPr>
      <w:rPr>
        <w:rFonts w:hint="default"/>
        <w:lang w:val="zh-CN" w:eastAsia="zh-CN" w:bidi="zh-CN"/>
      </w:rPr>
    </w:lvl>
    <w:lvl w:ilvl="2" w:tplc="E7C2B620">
      <w:numFmt w:val="bullet"/>
      <w:lvlText w:val="•"/>
      <w:lvlJc w:val="left"/>
      <w:pPr>
        <w:ind w:left="2465" w:hanging="529"/>
      </w:pPr>
      <w:rPr>
        <w:rFonts w:hint="default"/>
        <w:lang w:val="zh-CN" w:eastAsia="zh-CN" w:bidi="zh-CN"/>
      </w:rPr>
    </w:lvl>
    <w:lvl w:ilvl="3" w:tplc="6A12BBE0">
      <w:numFmt w:val="bullet"/>
      <w:lvlText w:val="•"/>
      <w:lvlJc w:val="left"/>
      <w:pPr>
        <w:ind w:left="3487" w:hanging="529"/>
      </w:pPr>
      <w:rPr>
        <w:rFonts w:hint="default"/>
        <w:lang w:val="zh-CN" w:eastAsia="zh-CN" w:bidi="zh-CN"/>
      </w:rPr>
    </w:lvl>
    <w:lvl w:ilvl="4" w:tplc="139C9072">
      <w:numFmt w:val="bullet"/>
      <w:lvlText w:val="•"/>
      <w:lvlJc w:val="left"/>
      <w:pPr>
        <w:ind w:left="4510" w:hanging="529"/>
      </w:pPr>
      <w:rPr>
        <w:rFonts w:hint="default"/>
        <w:lang w:val="zh-CN" w:eastAsia="zh-CN" w:bidi="zh-CN"/>
      </w:rPr>
    </w:lvl>
    <w:lvl w:ilvl="5" w:tplc="03483F84">
      <w:numFmt w:val="bullet"/>
      <w:lvlText w:val="•"/>
      <w:lvlJc w:val="left"/>
      <w:pPr>
        <w:ind w:left="5533" w:hanging="529"/>
      </w:pPr>
      <w:rPr>
        <w:rFonts w:hint="default"/>
        <w:lang w:val="zh-CN" w:eastAsia="zh-CN" w:bidi="zh-CN"/>
      </w:rPr>
    </w:lvl>
    <w:lvl w:ilvl="6" w:tplc="0A48DC4A">
      <w:numFmt w:val="bullet"/>
      <w:lvlText w:val="•"/>
      <w:lvlJc w:val="left"/>
      <w:pPr>
        <w:ind w:left="6555" w:hanging="529"/>
      </w:pPr>
      <w:rPr>
        <w:rFonts w:hint="default"/>
        <w:lang w:val="zh-CN" w:eastAsia="zh-CN" w:bidi="zh-CN"/>
      </w:rPr>
    </w:lvl>
    <w:lvl w:ilvl="7" w:tplc="ADF8AA62">
      <w:numFmt w:val="bullet"/>
      <w:lvlText w:val="•"/>
      <w:lvlJc w:val="left"/>
      <w:pPr>
        <w:ind w:left="7578" w:hanging="529"/>
      </w:pPr>
      <w:rPr>
        <w:rFonts w:hint="default"/>
        <w:lang w:val="zh-CN" w:eastAsia="zh-CN" w:bidi="zh-CN"/>
      </w:rPr>
    </w:lvl>
    <w:lvl w:ilvl="8" w:tplc="FA38CF20">
      <w:numFmt w:val="bullet"/>
      <w:lvlText w:val="•"/>
      <w:lvlJc w:val="left"/>
      <w:pPr>
        <w:ind w:left="8601" w:hanging="529"/>
      </w:pPr>
      <w:rPr>
        <w:rFonts w:hint="default"/>
        <w:lang w:val="zh-CN" w:eastAsia="zh-CN" w:bidi="zh-CN"/>
      </w:rPr>
    </w:lvl>
  </w:abstractNum>
  <w:abstractNum w:abstractNumId="507" w15:restartNumberingAfterBreak="0">
    <w:nsid w:val="44204A43"/>
    <w:multiLevelType w:val="hybridMultilevel"/>
    <w:tmpl w:val="69F4410A"/>
    <w:lvl w:ilvl="0" w:tplc="A57CF292">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59126230">
      <w:numFmt w:val="bullet"/>
      <w:lvlText w:val="•"/>
      <w:lvlJc w:val="left"/>
      <w:pPr>
        <w:ind w:left="1442" w:hanging="529"/>
      </w:pPr>
      <w:rPr>
        <w:rFonts w:hint="default"/>
        <w:lang w:val="zh-CN" w:eastAsia="zh-CN" w:bidi="zh-CN"/>
      </w:rPr>
    </w:lvl>
    <w:lvl w:ilvl="2" w:tplc="4B789690">
      <w:numFmt w:val="bullet"/>
      <w:lvlText w:val="•"/>
      <w:lvlJc w:val="left"/>
      <w:pPr>
        <w:ind w:left="2465" w:hanging="529"/>
      </w:pPr>
      <w:rPr>
        <w:rFonts w:hint="default"/>
        <w:lang w:val="zh-CN" w:eastAsia="zh-CN" w:bidi="zh-CN"/>
      </w:rPr>
    </w:lvl>
    <w:lvl w:ilvl="3" w:tplc="985EF0CA">
      <w:numFmt w:val="bullet"/>
      <w:lvlText w:val="•"/>
      <w:lvlJc w:val="left"/>
      <w:pPr>
        <w:ind w:left="3487" w:hanging="529"/>
      </w:pPr>
      <w:rPr>
        <w:rFonts w:hint="default"/>
        <w:lang w:val="zh-CN" w:eastAsia="zh-CN" w:bidi="zh-CN"/>
      </w:rPr>
    </w:lvl>
    <w:lvl w:ilvl="4" w:tplc="1B7E3A82">
      <w:numFmt w:val="bullet"/>
      <w:lvlText w:val="•"/>
      <w:lvlJc w:val="left"/>
      <w:pPr>
        <w:ind w:left="4510" w:hanging="529"/>
      </w:pPr>
      <w:rPr>
        <w:rFonts w:hint="default"/>
        <w:lang w:val="zh-CN" w:eastAsia="zh-CN" w:bidi="zh-CN"/>
      </w:rPr>
    </w:lvl>
    <w:lvl w:ilvl="5" w:tplc="10F003FA">
      <w:numFmt w:val="bullet"/>
      <w:lvlText w:val="•"/>
      <w:lvlJc w:val="left"/>
      <w:pPr>
        <w:ind w:left="5533" w:hanging="529"/>
      </w:pPr>
      <w:rPr>
        <w:rFonts w:hint="default"/>
        <w:lang w:val="zh-CN" w:eastAsia="zh-CN" w:bidi="zh-CN"/>
      </w:rPr>
    </w:lvl>
    <w:lvl w:ilvl="6" w:tplc="C7C0861E">
      <w:numFmt w:val="bullet"/>
      <w:lvlText w:val="•"/>
      <w:lvlJc w:val="left"/>
      <w:pPr>
        <w:ind w:left="6555" w:hanging="529"/>
      </w:pPr>
      <w:rPr>
        <w:rFonts w:hint="default"/>
        <w:lang w:val="zh-CN" w:eastAsia="zh-CN" w:bidi="zh-CN"/>
      </w:rPr>
    </w:lvl>
    <w:lvl w:ilvl="7" w:tplc="A2700BDA">
      <w:numFmt w:val="bullet"/>
      <w:lvlText w:val="•"/>
      <w:lvlJc w:val="left"/>
      <w:pPr>
        <w:ind w:left="7578" w:hanging="529"/>
      </w:pPr>
      <w:rPr>
        <w:rFonts w:hint="default"/>
        <w:lang w:val="zh-CN" w:eastAsia="zh-CN" w:bidi="zh-CN"/>
      </w:rPr>
    </w:lvl>
    <w:lvl w:ilvl="8" w:tplc="EA6E32FC">
      <w:numFmt w:val="bullet"/>
      <w:lvlText w:val="•"/>
      <w:lvlJc w:val="left"/>
      <w:pPr>
        <w:ind w:left="8601" w:hanging="529"/>
      </w:pPr>
      <w:rPr>
        <w:rFonts w:hint="default"/>
        <w:lang w:val="zh-CN" w:eastAsia="zh-CN" w:bidi="zh-CN"/>
      </w:rPr>
    </w:lvl>
  </w:abstractNum>
  <w:abstractNum w:abstractNumId="508" w15:restartNumberingAfterBreak="0">
    <w:nsid w:val="446A4EC9"/>
    <w:multiLevelType w:val="hybridMultilevel"/>
    <w:tmpl w:val="86F02A2E"/>
    <w:lvl w:ilvl="0" w:tplc="A50EA100">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E572CEB2">
      <w:numFmt w:val="bullet"/>
      <w:lvlText w:val="•"/>
      <w:lvlJc w:val="left"/>
      <w:pPr>
        <w:ind w:left="1442" w:hanging="529"/>
      </w:pPr>
      <w:rPr>
        <w:rFonts w:hint="default"/>
        <w:lang w:val="zh-CN" w:eastAsia="zh-CN" w:bidi="zh-CN"/>
      </w:rPr>
    </w:lvl>
    <w:lvl w:ilvl="2" w:tplc="3B34AE0A">
      <w:numFmt w:val="bullet"/>
      <w:lvlText w:val="•"/>
      <w:lvlJc w:val="left"/>
      <w:pPr>
        <w:ind w:left="2465" w:hanging="529"/>
      </w:pPr>
      <w:rPr>
        <w:rFonts w:hint="default"/>
        <w:lang w:val="zh-CN" w:eastAsia="zh-CN" w:bidi="zh-CN"/>
      </w:rPr>
    </w:lvl>
    <w:lvl w:ilvl="3" w:tplc="3864BCF4">
      <w:numFmt w:val="bullet"/>
      <w:lvlText w:val="•"/>
      <w:lvlJc w:val="left"/>
      <w:pPr>
        <w:ind w:left="3487" w:hanging="529"/>
      </w:pPr>
      <w:rPr>
        <w:rFonts w:hint="default"/>
        <w:lang w:val="zh-CN" w:eastAsia="zh-CN" w:bidi="zh-CN"/>
      </w:rPr>
    </w:lvl>
    <w:lvl w:ilvl="4" w:tplc="4D10C7DC">
      <w:numFmt w:val="bullet"/>
      <w:lvlText w:val="•"/>
      <w:lvlJc w:val="left"/>
      <w:pPr>
        <w:ind w:left="4510" w:hanging="529"/>
      </w:pPr>
      <w:rPr>
        <w:rFonts w:hint="default"/>
        <w:lang w:val="zh-CN" w:eastAsia="zh-CN" w:bidi="zh-CN"/>
      </w:rPr>
    </w:lvl>
    <w:lvl w:ilvl="5" w:tplc="E5520438">
      <w:numFmt w:val="bullet"/>
      <w:lvlText w:val="•"/>
      <w:lvlJc w:val="left"/>
      <w:pPr>
        <w:ind w:left="5533" w:hanging="529"/>
      </w:pPr>
      <w:rPr>
        <w:rFonts w:hint="default"/>
        <w:lang w:val="zh-CN" w:eastAsia="zh-CN" w:bidi="zh-CN"/>
      </w:rPr>
    </w:lvl>
    <w:lvl w:ilvl="6" w:tplc="20F49530">
      <w:numFmt w:val="bullet"/>
      <w:lvlText w:val="•"/>
      <w:lvlJc w:val="left"/>
      <w:pPr>
        <w:ind w:left="6555" w:hanging="529"/>
      </w:pPr>
      <w:rPr>
        <w:rFonts w:hint="default"/>
        <w:lang w:val="zh-CN" w:eastAsia="zh-CN" w:bidi="zh-CN"/>
      </w:rPr>
    </w:lvl>
    <w:lvl w:ilvl="7" w:tplc="BD18CC74">
      <w:numFmt w:val="bullet"/>
      <w:lvlText w:val="•"/>
      <w:lvlJc w:val="left"/>
      <w:pPr>
        <w:ind w:left="7578" w:hanging="529"/>
      </w:pPr>
      <w:rPr>
        <w:rFonts w:hint="default"/>
        <w:lang w:val="zh-CN" w:eastAsia="zh-CN" w:bidi="zh-CN"/>
      </w:rPr>
    </w:lvl>
    <w:lvl w:ilvl="8" w:tplc="1902A278">
      <w:numFmt w:val="bullet"/>
      <w:lvlText w:val="•"/>
      <w:lvlJc w:val="left"/>
      <w:pPr>
        <w:ind w:left="8601" w:hanging="529"/>
      </w:pPr>
      <w:rPr>
        <w:rFonts w:hint="default"/>
        <w:lang w:val="zh-CN" w:eastAsia="zh-CN" w:bidi="zh-CN"/>
      </w:rPr>
    </w:lvl>
  </w:abstractNum>
  <w:abstractNum w:abstractNumId="509" w15:restartNumberingAfterBreak="0">
    <w:nsid w:val="447802F5"/>
    <w:multiLevelType w:val="hybridMultilevel"/>
    <w:tmpl w:val="28801676"/>
    <w:lvl w:ilvl="0" w:tplc="02467666">
      <w:start w:val="5"/>
      <w:numFmt w:val="decimal"/>
      <w:lvlText w:val="%1"/>
      <w:lvlJc w:val="left"/>
      <w:pPr>
        <w:ind w:left="1158" w:hanging="318"/>
        <w:jc w:val="left"/>
      </w:pPr>
      <w:rPr>
        <w:rFonts w:hint="default"/>
        <w:lang w:val="zh-CN" w:eastAsia="zh-CN" w:bidi="zh-CN"/>
      </w:rPr>
    </w:lvl>
    <w:lvl w:ilvl="1" w:tplc="8B305598">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0BF863FE">
      <w:numFmt w:val="bullet"/>
      <w:lvlText w:val="•"/>
      <w:lvlJc w:val="left"/>
      <w:pPr>
        <w:ind w:left="3057" w:hanging="318"/>
      </w:pPr>
      <w:rPr>
        <w:rFonts w:hint="default"/>
        <w:lang w:val="zh-CN" w:eastAsia="zh-CN" w:bidi="zh-CN"/>
      </w:rPr>
    </w:lvl>
    <w:lvl w:ilvl="3" w:tplc="6E6A5B36">
      <w:numFmt w:val="bullet"/>
      <w:lvlText w:val="•"/>
      <w:lvlJc w:val="left"/>
      <w:pPr>
        <w:ind w:left="4005" w:hanging="318"/>
      </w:pPr>
      <w:rPr>
        <w:rFonts w:hint="default"/>
        <w:lang w:val="zh-CN" w:eastAsia="zh-CN" w:bidi="zh-CN"/>
      </w:rPr>
    </w:lvl>
    <w:lvl w:ilvl="4" w:tplc="91CE114E">
      <w:numFmt w:val="bullet"/>
      <w:lvlText w:val="•"/>
      <w:lvlJc w:val="left"/>
      <w:pPr>
        <w:ind w:left="4954" w:hanging="318"/>
      </w:pPr>
      <w:rPr>
        <w:rFonts w:hint="default"/>
        <w:lang w:val="zh-CN" w:eastAsia="zh-CN" w:bidi="zh-CN"/>
      </w:rPr>
    </w:lvl>
    <w:lvl w:ilvl="5" w:tplc="2B8CF140">
      <w:numFmt w:val="bullet"/>
      <w:lvlText w:val="•"/>
      <w:lvlJc w:val="left"/>
      <w:pPr>
        <w:ind w:left="5903" w:hanging="318"/>
      </w:pPr>
      <w:rPr>
        <w:rFonts w:hint="default"/>
        <w:lang w:val="zh-CN" w:eastAsia="zh-CN" w:bidi="zh-CN"/>
      </w:rPr>
    </w:lvl>
    <w:lvl w:ilvl="6" w:tplc="E5C43A30">
      <w:numFmt w:val="bullet"/>
      <w:lvlText w:val="•"/>
      <w:lvlJc w:val="left"/>
      <w:pPr>
        <w:ind w:left="6851" w:hanging="318"/>
      </w:pPr>
      <w:rPr>
        <w:rFonts w:hint="default"/>
        <w:lang w:val="zh-CN" w:eastAsia="zh-CN" w:bidi="zh-CN"/>
      </w:rPr>
    </w:lvl>
    <w:lvl w:ilvl="7" w:tplc="B2B20A7C">
      <w:numFmt w:val="bullet"/>
      <w:lvlText w:val="•"/>
      <w:lvlJc w:val="left"/>
      <w:pPr>
        <w:ind w:left="7800" w:hanging="318"/>
      </w:pPr>
      <w:rPr>
        <w:rFonts w:hint="default"/>
        <w:lang w:val="zh-CN" w:eastAsia="zh-CN" w:bidi="zh-CN"/>
      </w:rPr>
    </w:lvl>
    <w:lvl w:ilvl="8" w:tplc="B26A32D8">
      <w:numFmt w:val="bullet"/>
      <w:lvlText w:val="•"/>
      <w:lvlJc w:val="left"/>
      <w:pPr>
        <w:ind w:left="8749" w:hanging="318"/>
      </w:pPr>
      <w:rPr>
        <w:rFonts w:hint="default"/>
        <w:lang w:val="zh-CN" w:eastAsia="zh-CN" w:bidi="zh-CN"/>
      </w:rPr>
    </w:lvl>
  </w:abstractNum>
  <w:abstractNum w:abstractNumId="510" w15:restartNumberingAfterBreak="0">
    <w:nsid w:val="44913D6B"/>
    <w:multiLevelType w:val="hybridMultilevel"/>
    <w:tmpl w:val="09464606"/>
    <w:lvl w:ilvl="0" w:tplc="BA1A04F8">
      <w:start w:val="5"/>
      <w:numFmt w:val="decimal"/>
      <w:lvlText w:val="%1"/>
      <w:lvlJc w:val="left"/>
      <w:pPr>
        <w:ind w:left="418" w:hanging="950"/>
        <w:jc w:val="left"/>
      </w:pPr>
      <w:rPr>
        <w:rFonts w:hint="default"/>
        <w:lang w:val="zh-CN" w:eastAsia="zh-CN" w:bidi="zh-CN"/>
      </w:rPr>
    </w:lvl>
    <w:lvl w:ilvl="1" w:tplc="E3D401D8">
      <w:start w:val="4"/>
      <w:numFmt w:val="decimal"/>
      <w:lvlText w:val="%1.%2"/>
      <w:lvlJc w:val="left"/>
      <w:pPr>
        <w:ind w:left="418" w:hanging="950"/>
        <w:jc w:val="left"/>
      </w:pPr>
      <w:rPr>
        <w:rFonts w:hint="default"/>
        <w:lang w:val="zh-CN" w:eastAsia="zh-CN" w:bidi="zh-CN"/>
      </w:rPr>
    </w:lvl>
    <w:lvl w:ilvl="2" w:tplc="2E06F554">
      <w:start w:val="3"/>
      <w:numFmt w:val="decimal"/>
      <w:lvlText w:val="%1.%2.%3"/>
      <w:lvlJc w:val="left"/>
      <w:pPr>
        <w:ind w:left="418" w:hanging="950"/>
        <w:jc w:val="left"/>
      </w:pPr>
      <w:rPr>
        <w:rFonts w:hint="default"/>
        <w:lang w:val="zh-CN" w:eastAsia="zh-CN" w:bidi="zh-CN"/>
      </w:rPr>
    </w:lvl>
    <w:lvl w:ilvl="3" w:tplc="4642E844">
      <w:start w:val="1"/>
      <w:numFmt w:val="decimal"/>
      <w:lvlText w:val="%1.%2.%3.%4"/>
      <w:lvlJc w:val="left"/>
      <w:pPr>
        <w:ind w:left="418" w:hanging="950"/>
        <w:jc w:val="left"/>
      </w:pPr>
      <w:rPr>
        <w:rFonts w:hint="default"/>
        <w:lang w:val="zh-CN" w:eastAsia="zh-CN" w:bidi="zh-CN"/>
      </w:rPr>
    </w:lvl>
    <w:lvl w:ilvl="4" w:tplc="0A467072">
      <w:start w:val="7"/>
      <w:numFmt w:val="decimal"/>
      <w:lvlText w:val="%1.%2.%3.%4.%5"/>
      <w:lvlJc w:val="left"/>
      <w:pPr>
        <w:ind w:left="418" w:hanging="950"/>
        <w:jc w:val="left"/>
      </w:pPr>
      <w:rPr>
        <w:rFonts w:ascii="宋体" w:eastAsia="宋体" w:hAnsi="宋体" w:cs="宋体" w:hint="default"/>
        <w:spacing w:val="-3"/>
        <w:w w:val="100"/>
        <w:sz w:val="19"/>
        <w:szCs w:val="19"/>
        <w:lang w:val="zh-CN" w:eastAsia="zh-CN" w:bidi="zh-CN"/>
      </w:rPr>
    </w:lvl>
    <w:lvl w:ilvl="5" w:tplc="42CC0B82">
      <w:numFmt w:val="bullet"/>
      <w:lvlText w:val="•"/>
      <w:lvlJc w:val="left"/>
      <w:pPr>
        <w:ind w:left="5533" w:hanging="950"/>
      </w:pPr>
      <w:rPr>
        <w:rFonts w:hint="default"/>
        <w:lang w:val="zh-CN" w:eastAsia="zh-CN" w:bidi="zh-CN"/>
      </w:rPr>
    </w:lvl>
    <w:lvl w:ilvl="6" w:tplc="DEF26EBA">
      <w:numFmt w:val="bullet"/>
      <w:lvlText w:val="•"/>
      <w:lvlJc w:val="left"/>
      <w:pPr>
        <w:ind w:left="6555" w:hanging="950"/>
      </w:pPr>
      <w:rPr>
        <w:rFonts w:hint="default"/>
        <w:lang w:val="zh-CN" w:eastAsia="zh-CN" w:bidi="zh-CN"/>
      </w:rPr>
    </w:lvl>
    <w:lvl w:ilvl="7" w:tplc="67F8FBD4">
      <w:numFmt w:val="bullet"/>
      <w:lvlText w:val="•"/>
      <w:lvlJc w:val="left"/>
      <w:pPr>
        <w:ind w:left="7578" w:hanging="950"/>
      </w:pPr>
      <w:rPr>
        <w:rFonts w:hint="default"/>
        <w:lang w:val="zh-CN" w:eastAsia="zh-CN" w:bidi="zh-CN"/>
      </w:rPr>
    </w:lvl>
    <w:lvl w:ilvl="8" w:tplc="A5A2C548">
      <w:numFmt w:val="bullet"/>
      <w:lvlText w:val="•"/>
      <w:lvlJc w:val="left"/>
      <w:pPr>
        <w:ind w:left="8601" w:hanging="950"/>
      </w:pPr>
      <w:rPr>
        <w:rFonts w:hint="default"/>
        <w:lang w:val="zh-CN" w:eastAsia="zh-CN" w:bidi="zh-CN"/>
      </w:rPr>
    </w:lvl>
  </w:abstractNum>
  <w:abstractNum w:abstractNumId="511" w15:restartNumberingAfterBreak="0">
    <w:nsid w:val="44A413CF"/>
    <w:multiLevelType w:val="hybridMultilevel"/>
    <w:tmpl w:val="57B06F34"/>
    <w:lvl w:ilvl="0" w:tplc="BACE14A8">
      <w:start w:val="5"/>
      <w:numFmt w:val="decimal"/>
      <w:lvlText w:val="%1"/>
      <w:lvlJc w:val="left"/>
      <w:pPr>
        <w:ind w:left="1212" w:hanging="372"/>
        <w:jc w:val="left"/>
      </w:pPr>
      <w:rPr>
        <w:rFonts w:hint="default"/>
        <w:lang w:val="zh-CN" w:eastAsia="zh-CN" w:bidi="zh-CN"/>
      </w:rPr>
    </w:lvl>
    <w:lvl w:ilvl="1" w:tplc="F76464A8">
      <w:start w:val="1"/>
      <w:numFmt w:val="decimal"/>
      <w:lvlText w:val="%1.%2"/>
      <w:lvlJc w:val="left"/>
      <w:pPr>
        <w:ind w:left="1212" w:hanging="372"/>
        <w:jc w:val="left"/>
      </w:pPr>
      <w:rPr>
        <w:rFonts w:ascii="宋体" w:eastAsia="宋体" w:hAnsi="宋体" w:cs="宋体" w:hint="default"/>
        <w:b/>
        <w:bCs/>
        <w:w w:val="99"/>
        <w:sz w:val="21"/>
        <w:szCs w:val="21"/>
        <w:lang w:val="zh-CN" w:eastAsia="zh-CN" w:bidi="zh-CN"/>
      </w:rPr>
    </w:lvl>
    <w:lvl w:ilvl="2" w:tplc="DFDA636E">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11CE55EA">
      <w:numFmt w:val="bullet"/>
      <w:lvlText w:val="•"/>
      <w:lvlJc w:val="left"/>
      <w:pPr>
        <w:ind w:left="3423" w:hanging="529"/>
      </w:pPr>
      <w:rPr>
        <w:rFonts w:hint="default"/>
        <w:lang w:val="zh-CN" w:eastAsia="zh-CN" w:bidi="zh-CN"/>
      </w:rPr>
    </w:lvl>
    <w:lvl w:ilvl="4" w:tplc="61346AC0">
      <w:numFmt w:val="bullet"/>
      <w:lvlText w:val="•"/>
      <w:lvlJc w:val="left"/>
      <w:pPr>
        <w:ind w:left="4455" w:hanging="529"/>
      </w:pPr>
      <w:rPr>
        <w:rFonts w:hint="default"/>
        <w:lang w:val="zh-CN" w:eastAsia="zh-CN" w:bidi="zh-CN"/>
      </w:rPr>
    </w:lvl>
    <w:lvl w:ilvl="5" w:tplc="B9DA8288">
      <w:numFmt w:val="bullet"/>
      <w:lvlText w:val="•"/>
      <w:lvlJc w:val="left"/>
      <w:pPr>
        <w:ind w:left="5487" w:hanging="529"/>
      </w:pPr>
      <w:rPr>
        <w:rFonts w:hint="default"/>
        <w:lang w:val="zh-CN" w:eastAsia="zh-CN" w:bidi="zh-CN"/>
      </w:rPr>
    </w:lvl>
    <w:lvl w:ilvl="6" w:tplc="20D4E8EE">
      <w:numFmt w:val="bullet"/>
      <w:lvlText w:val="•"/>
      <w:lvlJc w:val="left"/>
      <w:pPr>
        <w:ind w:left="6519" w:hanging="529"/>
      </w:pPr>
      <w:rPr>
        <w:rFonts w:hint="default"/>
        <w:lang w:val="zh-CN" w:eastAsia="zh-CN" w:bidi="zh-CN"/>
      </w:rPr>
    </w:lvl>
    <w:lvl w:ilvl="7" w:tplc="7B90AFAC">
      <w:numFmt w:val="bullet"/>
      <w:lvlText w:val="•"/>
      <w:lvlJc w:val="left"/>
      <w:pPr>
        <w:ind w:left="7550" w:hanging="529"/>
      </w:pPr>
      <w:rPr>
        <w:rFonts w:hint="default"/>
        <w:lang w:val="zh-CN" w:eastAsia="zh-CN" w:bidi="zh-CN"/>
      </w:rPr>
    </w:lvl>
    <w:lvl w:ilvl="8" w:tplc="FC62EE94">
      <w:numFmt w:val="bullet"/>
      <w:lvlText w:val="•"/>
      <w:lvlJc w:val="left"/>
      <w:pPr>
        <w:ind w:left="8582" w:hanging="529"/>
      </w:pPr>
      <w:rPr>
        <w:rFonts w:hint="default"/>
        <w:lang w:val="zh-CN" w:eastAsia="zh-CN" w:bidi="zh-CN"/>
      </w:rPr>
    </w:lvl>
  </w:abstractNum>
  <w:abstractNum w:abstractNumId="512" w15:restartNumberingAfterBreak="0">
    <w:nsid w:val="44A94A69"/>
    <w:multiLevelType w:val="hybridMultilevel"/>
    <w:tmpl w:val="E7426AC8"/>
    <w:lvl w:ilvl="0" w:tplc="ED0EB4E0">
      <w:start w:val="5"/>
      <w:numFmt w:val="decimal"/>
      <w:lvlText w:val="%1"/>
      <w:lvlJc w:val="left"/>
      <w:pPr>
        <w:ind w:left="1369" w:hanging="529"/>
        <w:jc w:val="left"/>
      </w:pPr>
      <w:rPr>
        <w:rFonts w:hint="default"/>
        <w:lang w:val="zh-CN" w:eastAsia="zh-CN" w:bidi="zh-CN"/>
      </w:rPr>
    </w:lvl>
    <w:lvl w:ilvl="1" w:tplc="70F83ABC">
      <w:start w:val="3"/>
      <w:numFmt w:val="decimal"/>
      <w:lvlText w:val="%1.%2"/>
      <w:lvlJc w:val="left"/>
      <w:pPr>
        <w:ind w:left="1369" w:hanging="529"/>
        <w:jc w:val="left"/>
      </w:pPr>
      <w:rPr>
        <w:rFonts w:hint="default"/>
        <w:lang w:val="zh-CN" w:eastAsia="zh-CN" w:bidi="zh-CN"/>
      </w:rPr>
    </w:lvl>
    <w:lvl w:ilvl="2" w:tplc="BB8C9A26">
      <w:start w:val="4"/>
      <w:numFmt w:val="decimal"/>
      <w:lvlText w:val="%1.%2.%3"/>
      <w:lvlJc w:val="left"/>
      <w:pPr>
        <w:ind w:left="1369" w:hanging="529"/>
        <w:jc w:val="left"/>
      </w:pPr>
      <w:rPr>
        <w:rFonts w:ascii="宋体" w:eastAsia="宋体" w:hAnsi="宋体" w:cs="宋体" w:hint="default"/>
        <w:b/>
        <w:bCs/>
        <w:spacing w:val="-3"/>
        <w:w w:val="99"/>
        <w:sz w:val="19"/>
        <w:szCs w:val="19"/>
        <w:lang w:val="zh-CN" w:eastAsia="zh-CN" w:bidi="zh-CN"/>
      </w:rPr>
    </w:lvl>
    <w:lvl w:ilvl="3" w:tplc="24B0E2B6">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11CAD596">
      <w:start w:val="1"/>
      <w:numFmt w:val="decimal"/>
      <w:lvlText w:val="%1.%2.%3.%4.%5"/>
      <w:lvlJc w:val="left"/>
      <w:pPr>
        <w:ind w:left="1787" w:hanging="950"/>
        <w:jc w:val="left"/>
      </w:pPr>
      <w:rPr>
        <w:rFonts w:ascii="宋体" w:eastAsia="宋体" w:hAnsi="宋体" w:cs="宋体" w:hint="default"/>
        <w:spacing w:val="-3"/>
        <w:w w:val="100"/>
        <w:sz w:val="19"/>
        <w:szCs w:val="19"/>
        <w:lang w:val="zh-CN" w:eastAsia="zh-CN" w:bidi="zh-CN"/>
      </w:rPr>
    </w:lvl>
    <w:lvl w:ilvl="5" w:tplc="9A30AF64">
      <w:numFmt w:val="bullet"/>
      <w:lvlText w:val="•"/>
      <w:lvlJc w:val="left"/>
      <w:pPr>
        <w:ind w:left="5104" w:hanging="950"/>
      </w:pPr>
      <w:rPr>
        <w:rFonts w:hint="default"/>
        <w:lang w:val="zh-CN" w:eastAsia="zh-CN" w:bidi="zh-CN"/>
      </w:rPr>
    </w:lvl>
    <w:lvl w:ilvl="6" w:tplc="FF4CCA84">
      <w:numFmt w:val="bullet"/>
      <w:lvlText w:val="•"/>
      <w:lvlJc w:val="left"/>
      <w:pPr>
        <w:ind w:left="6213" w:hanging="950"/>
      </w:pPr>
      <w:rPr>
        <w:rFonts w:hint="default"/>
        <w:lang w:val="zh-CN" w:eastAsia="zh-CN" w:bidi="zh-CN"/>
      </w:rPr>
    </w:lvl>
    <w:lvl w:ilvl="7" w:tplc="B47A4F96">
      <w:numFmt w:val="bullet"/>
      <w:lvlText w:val="•"/>
      <w:lvlJc w:val="left"/>
      <w:pPr>
        <w:ind w:left="7321" w:hanging="950"/>
      </w:pPr>
      <w:rPr>
        <w:rFonts w:hint="default"/>
        <w:lang w:val="zh-CN" w:eastAsia="zh-CN" w:bidi="zh-CN"/>
      </w:rPr>
    </w:lvl>
    <w:lvl w:ilvl="8" w:tplc="A118AD62">
      <w:numFmt w:val="bullet"/>
      <w:lvlText w:val="•"/>
      <w:lvlJc w:val="left"/>
      <w:pPr>
        <w:ind w:left="8429" w:hanging="950"/>
      </w:pPr>
      <w:rPr>
        <w:rFonts w:hint="default"/>
        <w:lang w:val="zh-CN" w:eastAsia="zh-CN" w:bidi="zh-CN"/>
      </w:rPr>
    </w:lvl>
  </w:abstractNum>
  <w:abstractNum w:abstractNumId="513" w15:restartNumberingAfterBreak="0">
    <w:nsid w:val="44E426DD"/>
    <w:multiLevelType w:val="hybridMultilevel"/>
    <w:tmpl w:val="330CCB3C"/>
    <w:lvl w:ilvl="0" w:tplc="7166D7EA">
      <w:start w:val="5"/>
      <w:numFmt w:val="decimal"/>
      <w:lvlText w:val="%1"/>
      <w:lvlJc w:val="left"/>
      <w:pPr>
        <w:ind w:left="1995" w:hanging="1158"/>
        <w:jc w:val="left"/>
      </w:pPr>
      <w:rPr>
        <w:rFonts w:hint="default"/>
        <w:lang w:val="zh-CN" w:eastAsia="zh-CN" w:bidi="zh-CN"/>
      </w:rPr>
    </w:lvl>
    <w:lvl w:ilvl="1" w:tplc="B5EA4B50">
      <w:start w:val="4"/>
      <w:numFmt w:val="decimal"/>
      <w:lvlText w:val="%1.%2"/>
      <w:lvlJc w:val="left"/>
      <w:pPr>
        <w:ind w:left="1995" w:hanging="1158"/>
        <w:jc w:val="left"/>
      </w:pPr>
      <w:rPr>
        <w:rFonts w:hint="default"/>
        <w:lang w:val="zh-CN" w:eastAsia="zh-CN" w:bidi="zh-CN"/>
      </w:rPr>
    </w:lvl>
    <w:lvl w:ilvl="2" w:tplc="A028B9A0">
      <w:start w:val="4"/>
      <w:numFmt w:val="decimal"/>
      <w:lvlText w:val="%1.%2.%3"/>
      <w:lvlJc w:val="left"/>
      <w:pPr>
        <w:ind w:left="1995" w:hanging="1158"/>
        <w:jc w:val="left"/>
      </w:pPr>
      <w:rPr>
        <w:rFonts w:hint="default"/>
        <w:lang w:val="zh-CN" w:eastAsia="zh-CN" w:bidi="zh-CN"/>
      </w:rPr>
    </w:lvl>
    <w:lvl w:ilvl="3" w:tplc="A12ED6EC">
      <w:start w:val="2"/>
      <w:numFmt w:val="decimal"/>
      <w:lvlText w:val="%1.%2.%3.%4"/>
      <w:lvlJc w:val="left"/>
      <w:pPr>
        <w:ind w:left="1995" w:hanging="1158"/>
        <w:jc w:val="left"/>
      </w:pPr>
      <w:rPr>
        <w:rFonts w:hint="default"/>
        <w:lang w:val="zh-CN" w:eastAsia="zh-CN" w:bidi="zh-CN"/>
      </w:rPr>
    </w:lvl>
    <w:lvl w:ilvl="4" w:tplc="A0DA73FE">
      <w:start w:val="6"/>
      <w:numFmt w:val="decimal"/>
      <w:lvlText w:val="%1.%2.%3.%4.%5"/>
      <w:lvlJc w:val="left"/>
      <w:pPr>
        <w:ind w:left="1995" w:hanging="1158"/>
        <w:jc w:val="left"/>
      </w:pPr>
      <w:rPr>
        <w:rFonts w:hint="default"/>
        <w:lang w:val="zh-CN" w:eastAsia="zh-CN" w:bidi="zh-CN"/>
      </w:rPr>
    </w:lvl>
    <w:lvl w:ilvl="5" w:tplc="68BED4BA">
      <w:start w:val="4"/>
      <w:numFmt w:val="decimal"/>
      <w:lvlText w:val="%1.%2.%3.%4.%5.%6"/>
      <w:lvlJc w:val="left"/>
      <w:pPr>
        <w:ind w:left="1995" w:hanging="1158"/>
        <w:jc w:val="left"/>
      </w:pPr>
      <w:rPr>
        <w:rFonts w:ascii="宋体" w:eastAsia="宋体" w:hAnsi="宋体" w:cs="宋体" w:hint="default"/>
        <w:spacing w:val="-3"/>
        <w:w w:val="100"/>
        <w:sz w:val="19"/>
        <w:szCs w:val="19"/>
        <w:lang w:val="zh-CN" w:eastAsia="zh-CN" w:bidi="zh-CN"/>
      </w:rPr>
    </w:lvl>
    <w:lvl w:ilvl="6" w:tplc="95B60A5A">
      <w:numFmt w:val="bullet"/>
      <w:lvlText w:val="•"/>
      <w:lvlJc w:val="left"/>
      <w:pPr>
        <w:ind w:left="7187" w:hanging="1158"/>
      </w:pPr>
      <w:rPr>
        <w:rFonts w:hint="default"/>
        <w:lang w:val="zh-CN" w:eastAsia="zh-CN" w:bidi="zh-CN"/>
      </w:rPr>
    </w:lvl>
    <w:lvl w:ilvl="7" w:tplc="9A3C7BFC">
      <w:numFmt w:val="bullet"/>
      <w:lvlText w:val="•"/>
      <w:lvlJc w:val="left"/>
      <w:pPr>
        <w:ind w:left="8052" w:hanging="1158"/>
      </w:pPr>
      <w:rPr>
        <w:rFonts w:hint="default"/>
        <w:lang w:val="zh-CN" w:eastAsia="zh-CN" w:bidi="zh-CN"/>
      </w:rPr>
    </w:lvl>
    <w:lvl w:ilvl="8" w:tplc="0140341E">
      <w:numFmt w:val="bullet"/>
      <w:lvlText w:val="•"/>
      <w:lvlJc w:val="left"/>
      <w:pPr>
        <w:ind w:left="8917" w:hanging="1158"/>
      </w:pPr>
      <w:rPr>
        <w:rFonts w:hint="default"/>
        <w:lang w:val="zh-CN" w:eastAsia="zh-CN" w:bidi="zh-CN"/>
      </w:rPr>
    </w:lvl>
  </w:abstractNum>
  <w:abstractNum w:abstractNumId="514" w15:restartNumberingAfterBreak="0">
    <w:nsid w:val="44EB223A"/>
    <w:multiLevelType w:val="hybridMultilevel"/>
    <w:tmpl w:val="7B6C8106"/>
    <w:lvl w:ilvl="0" w:tplc="468AA4EE">
      <w:start w:val="5"/>
      <w:numFmt w:val="decimal"/>
      <w:lvlText w:val="%1"/>
      <w:lvlJc w:val="left"/>
      <w:pPr>
        <w:ind w:left="1158" w:hanging="318"/>
        <w:jc w:val="left"/>
      </w:pPr>
      <w:rPr>
        <w:rFonts w:hint="default"/>
        <w:lang w:val="zh-CN" w:eastAsia="zh-CN" w:bidi="zh-CN"/>
      </w:rPr>
    </w:lvl>
    <w:lvl w:ilvl="1" w:tplc="D534EA6A">
      <w:start w:val="7"/>
      <w:numFmt w:val="decimal"/>
      <w:lvlText w:val="%1.%2"/>
      <w:lvlJc w:val="left"/>
      <w:pPr>
        <w:ind w:left="1158" w:hanging="318"/>
        <w:jc w:val="left"/>
      </w:pPr>
      <w:rPr>
        <w:rFonts w:ascii="宋体" w:eastAsia="宋体" w:hAnsi="宋体" w:cs="宋体" w:hint="default"/>
        <w:b/>
        <w:bCs/>
        <w:spacing w:val="-3"/>
        <w:w w:val="99"/>
        <w:sz w:val="19"/>
        <w:szCs w:val="19"/>
        <w:lang w:val="zh-CN" w:eastAsia="zh-CN" w:bidi="zh-CN"/>
      </w:rPr>
    </w:lvl>
    <w:lvl w:ilvl="2" w:tplc="95E0491C">
      <w:numFmt w:val="bullet"/>
      <w:lvlText w:val="•"/>
      <w:lvlJc w:val="left"/>
      <w:pPr>
        <w:ind w:left="3057" w:hanging="318"/>
      </w:pPr>
      <w:rPr>
        <w:rFonts w:hint="default"/>
        <w:lang w:val="zh-CN" w:eastAsia="zh-CN" w:bidi="zh-CN"/>
      </w:rPr>
    </w:lvl>
    <w:lvl w:ilvl="3" w:tplc="3E9658EE">
      <w:numFmt w:val="bullet"/>
      <w:lvlText w:val="•"/>
      <w:lvlJc w:val="left"/>
      <w:pPr>
        <w:ind w:left="4005" w:hanging="318"/>
      </w:pPr>
      <w:rPr>
        <w:rFonts w:hint="default"/>
        <w:lang w:val="zh-CN" w:eastAsia="zh-CN" w:bidi="zh-CN"/>
      </w:rPr>
    </w:lvl>
    <w:lvl w:ilvl="4" w:tplc="1668014A">
      <w:numFmt w:val="bullet"/>
      <w:lvlText w:val="•"/>
      <w:lvlJc w:val="left"/>
      <w:pPr>
        <w:ind w:left="4954" w:hanging="318"/>
      </w:pPr>
      <w:rPr>
        <w:rFonts w:hint="default"/>
        <w:lang w:val="zh-CN" w:eastAsia="zh-CN" w:bidi="zh-CN"/>
      </w:rPr>
    </w:lvl>
    <w:lvl w:ilvl="5" w:tplc="BE1E267C">
      <w:numFmt w:val="bullet"/>
      <w:lvlText w:val="•"/>
      <w:lvlJc w:val="left"/>
      <w:pPr>
        <w:ind w:left="5903" w:hanging="318"/>
      </w:pPr>
      <w:rPr>
        <w:rFonts w:hint="default"/>
        <w:lang w:val="zh-CN" w:eastAsia="zh-CN" w:bidi="zh-CN"/>
      </w:rPr>
    </w:lvl>
    <w:lvl w:ilvl="6" w:tplc="E07CA2C4">
      <w:numFmt w:val="bullet"/>
      <w:lvlText w:val="•"/>
      <w:lvlJc w:val="left"/>
      <w:pPr>
        <w:ind w:left="6851" w:hanging="318"/>
      </w:pPr>
      <w:rPr>
        <w:rFonts w:hint="default"/>
        <w:lang w:val="zh-CN" w:eastAsia="zh-CN" w:bidi="zh-CN"/>
      </w:rPr>
    </w:lvl>
    <w:lvl w:ilvl="7" w:tplc="C45C7582">
      <w:numFmt w:val="bullet"/>
      <w:lvlText w:val="•"/>
      <w:lvlJc w:val="left"/>
      <w:pPr>
        <w:ind w:left="7800" w:hanging="318"/>
      </w:pPr>
      <w:rPr>
        <w:rFonts w:hint="default"/>
        <w:lang w:val="zh-CN" w:eastAsia="zh-CN" w:bidi="zh-CN"/>
      </w:rPr>
    </w:lvl>
    <w:lvl w:ilvl="8" w:tplc="8FB825DA">
      <w:numFmt w:val="bullet"/>
      <w:lvlText w:val="•"/>
      <w:lvlJc w:val="left"/>
      <w:pPr>
        <w:ind w:left="8749" w:hanging="318"/>
      </w:pPr>
      <w:rPr>
        <w:rFonts w:hint="default"/>
        <w:lang w:val="zh-CN" w:eastAsia="zh-CN" w:bidi="zh-CN"/>
      </w:rPr>
    </w:lvl>
  </w:abstractNum>
  <w:abstractNum w:abstractNumId="515" w15:restartNumberingAfterBreak="0">
    <w:nsid w:val="4509378A"/>
    <w:multiLevelType w:val="hybridMultilevel"/>
    <w:tmpl w:val="B87A9A4C"/>
    <w:lvl w:ilvl="0" w:tplc="C7AEF94C">
      <w:start w:val="11"/>
      <w:numFmt w:val="decimal"/>
      <w:lvlText w:val="%1"/>
      <w:lvlJc w:val="left"/>
      <w:pPr>
        <w:ind w:left="418" w:hanging="424"/>
        <w:jc w:val="left"/>
      </w:pPr>
      <w:rPr>
        <w:rFonts w:hint="default"/>
        <w:lang w:val="zh-CN" w:eastAsia="zh-CN" w:bidi="zh-CN"/>
      </w:rPr>
    </w:lvl>
    <w:lvl w:ilvl="1" w:tplc="93209C04">
      <w:start w:val="1"/>
      <w:numFmt w:val="decimal"/>
      <w:lvlText w:val="%1.%2"/>
      <w:lvlJc w:val="left"/>
      <w:pPr>
        <w:ind w:left="418" w:hanging="424"/>
        <w:jc w:val="right"/>
      </w:pPr>
      <w:rPr>
        <w:rFonts w:ascii="宋体" w:eastAsia="宋体" w:hAnsi="宋体" w:cs="宋体" w:hint="default"/>
        <w:b/>
        <w:bCs/>
        <w:spacing w:val="-1"/>
        <w:w w:val="99"/>
        <w:sz w:val="19"/>
        <w:szCs w:val="19"/>
        <w:lang w:val="zh-CN" w:eastAsia="zh-CN" w:bidi="zh-CN"/>
      </w:rPr>
    </w:lvl>
    <w:lvl w:ilvl="2" w:tplc="E9FA9C4C">
      <w:numFmt w:val="bullet"/>
      <w:lvlText w:val="•"/>
      <w:lvlJc w:val="left"/>
      <w:pPr>
        <w:ind w:left="2465" w:hanging="424"/>
      </w:pPr>
      <w:rPr>
        <w:rFonts w:hint="default"/>
        <w:lang w:val="zh-CN" w:eastAsia="zh-CN" w:bidi="zh-CN"/>
      </w:rPr>
    </w:lvl>
    <w:lvl w:ilvl="3" w:tplc="AD08B9F2">
      <w:numFmt w:val="bullet"/>
      <w:lvlText w:val="•"/>
      <w:lvlJc w:val="left"/>
      <w:pPr>
        <w:ind w:left="3487" w:hanging="424"/>
      </w:pPr>
      <w:rPr>
        <w:rFonts w:hint="default"/>
        <w:lang w:val="zh-CN" w:eastAsia="zh-CN" w:bidi="zh-CN"/>
      </w:rPr>
    </w:lvl>
    <w:lvl w:ilvl="4" w:tplc="F244C37A">
      <w:numFmt w:val="bullet"/>
      <w:lvlText w:val="•"/>
      <w:lvlJc w:val="left"/>
      <w:pPr>
        <w:ind w:left="4510" w:hanging="424"/>
      </w:pPr>
      <w:rPr>
        <w:rFonts w:hint="default"/>
        <w:lang w:val="zh-CN" w:eastAsia="zh-CN" w:bidi="zh-CN"/>
      </w:rPr>
    </w:lvl>
    <w:lvl w:ilvl="5" w:tplc="D53024FA">
      <w:numFmt w:val="bullet"/>
      <w:lvlText w:val="•"/>
      <w:lvlJc w:val="left"/>
      <w:pPr>
        <w:ind w:left="5533" w:hanging="424"/>
      </w:pPr>
      <w:rPr>
        <w:rFonts w:hint="default"/>
        <w:lang w:val="zh-CN" w:eastAsia="zh-CN" w:bidi="zh-CN"/>
      </w:rPr>
    </w:lvl>
    <w:lvl w:ilvl="6" w:tplc="15C477B6">
      <w:numFmt w:val="bullet"/>
      <w:lvlText w:val="•"/>
      <w:lvlJc w:val="left"/>
      <w:pPr>
        <w:ind w:left="6555" w:hanging="424"/>
      </w:pPr>
      <w:rPr>
        <w:rFonts w:hint="default"/>
        <w:lang w:val="zh-CN" w:eastAsia="zh-CN" w:bidi="zh-CN"/>
      </w:rPr>
    </w:lvl>
    <w:lvl w:ilvl="7" w:tplc="0A409C66">
      <w:numFmt w:val="bullet"/>
      <w:lvlText w:val="•"/>
      <w:lvlJc w:val="left"/>
      <w:pPr>
        <w:ind w:left="7578" w:hanging="424"/>
      </w:pPr>
      <w:rPr>
        <w:rFonts w:hint="default"/>
        <w:lang w:val="zh-CN" w:eastAsia="zh-CN" w:bidi="zh-CN"/>
      </w:rPr>
    </w:lvl>
    <w:lvl w:ilvl="8" w:tplc="627CAA82">
      <w:numFmt w:val="bullet"/>
      <w:lvlText w:val="•"/>
      <w:lvlJc w:val="left"/>
      <w:pPr>
        <w:ind w:left="8601" w:hanging="424"/>
      </w:pPr>
      <w:rPr>
        <w:rFonts w:hint="default"/>
        <w:lang w:val="zh-CN" w:eastAsia="zh-CN" w:bidi="zh-CN"/>
      </w:rPr>
    </w:lvl>
  </w:abstractNum>
  <w:abstractNum w:abstractNumId="516" w15:restartNumberingAfterBreak="0">
    <w:nsid w:val="453C4CA6"/>
    <w:multiLevelType w:val="hybridMultilevel"/>
    <w:tmpl w:val="610EDFA6"/>
    <w:lvl w:ilvl="0" w:tplc="900A7012">
      <w:start w:val="3"/>
      <w:numFmt w:val="decimal"/>
      <w:lvlText w:val="%1"/>
      <w:lvlJc w:val="left"/>
      <w:pPr>
        <w:ind w:left="1529" w:hanging="689"/>
        <w:jc w:val="left"/>
      </w:pPr>
      <w:rPr>
        <w:rFonts w:hint="default"/>
        <w:lang w:val="zh-CN" w:eastAsia="zh-CN" w:bidi="zh-CN"/>
      </w:rPr>
    </w:lvl>
    <w:lvl w:ilvl="1" w:tplc="DA5EF9E8">
      <w:start w:val="3"/>
      <w:numFmt w:val="decimal"/>
      <w:lvlText w:val="%1.%2"/>
      <w:lvlJc w:val="left"/>
      <w:pPr>
        <w:ind w:left="1529" w:hanging="689"/>
        <w:jc w:val="left"/>
      </w:pPr>
      <w:rPr>
        <w:rFonts w:hint="default"/>
        <w:lang w:val="zh-CN" w:eastAsia="zh-CN" w:bidi="zh-CN"/>
      </w:rPr>
    </w:lvl>
    <w:lvl w:ilvl="2" w:tplc="EE887CAA">
      <w:start w:val="10"/>
      <w:numFmt w:val="decimal"/>
      <w:lvlText w:val="%1.%2.%3"/>
      <w:lvlJc w:val="left"/>
      <w:pPr>
        <w:ind w:left="1529" w:hanging="689"/>
        <w:jc w:val="left"/>
      </w:pPr>
      <w:rPr>
        <w:rFonts w:ascii="宋体" w:eastAsia="宋体" w:hAnsi="宋体" w:cs="宋体" w:hint="default"/>
        <w:b/>
        <w:bCs/>
        <w:w w:val="99"/>
        <w:sz w:val="21"/>
        <w:szCs w:val="21"/>
        <w:lang w:val="zh-CN" w:eastAsia="zh-CN" w:bidi="zh-CN"/>
      </w:rPr>
    </w:lvl>
    <w:lvl w:ilvl="3" w:tplc="F85EDA6E">
      <w:numFmt w:val="bullet"/>
      <w:lvlText w:val="•"/>
      <w:lvlJc w:val="left"/>
      <w:pPr>
        <w:ind w:left="4257" w:hanging="689"/>
      </w:pPr>
      <w:rPr>
        <w:rFonts w:hint="default"/>
        <w:lang w:val="zh-CN" w:eastAsia="zh-CN" w:bidi="zh-CN"/>
      </w:rPr>
    </w:lvl>
    <w:lvl w:ilvl="4" w:tplc="4D34460E">
      <w:numFmt w:val="bullet"/>
      <w:lvlText w:val="•"/>
      <w:lvlJc w:val="left"/>
      <w:pPr>
        <w:ind w:left="5170" w:hanging="689"/>
      </w:pPr>
      <w:rPr>
        <w:rFonts w:hint="default"/>
        <w:lang w:val="zh-CN" w:eastAsia="zh-CN" w:bidi="zh-CN"/>
      </w:rPr>
    </w:lvl>
    <w:lvl w:ilvl="5" w:tplc="E0407CA6">
      <w:numFmt w:val="bullet"/>
      <w:lvlText w:val="•"/>
      <w:lvlJc w:val="left"/>
      <w:pPr>
        <w:ind w:left="6083" w:hanging="689"/>
      </w:pPr>
      <w:rPr>
        <w:rFonts w:hint="default"/>
        <w:lang w:val="zh-CN" w:eastAsia="zh-CN" w:bidi="zh-CN"/>
      </w:rPr>
    </w:lvl>
    <w:lvl w:ilvl="6" w:tplc="571C4292">
      <w:numFmt w:val="bullet"/>
      <w:lvlText w:val="•"/>
      <w:lvlJc w:val="left"/>
      <w:pPr>
        <w:ind w:left="6995" w:hanging="689"/>
      </w:pPr>
      <w:rPr>
        <w:rFonts w:hint="default"/>
        <w:lang w:val="zh-CN" w:eastAsia="zh-CN" w:bidi="zh-CN"/>
      </w:rPr>
    </w:lvl>
    <w:lvl w:ilvl="7" w:tplc="2DE03998">
      <w:numFmt w:val="bullet"/>
      <w:lvlText w:val="•"/>
      <w:lvlJc w:val="left"/>
      <w:pPr>
        <w:ind w:left="7908" w:hanging="689"/>
      </w:pPr>
      <w:rPr>
        <w:rFonts w:hint="default"/>
        <w:lang w:val="zh-CN" w:eastAsia="zh-CN" w:bidi="zh-CN"/>
      </w:rPr>
    </w:lvl>
    <w:lvl w:ilvl="8" w:tplc="CC2C3D0A">
      <w:numFmt w:val="bullet"/>
      <w:lvlText w:val="•"/>
      <w:lvlJc w:val="left"/>
      <w:pPr>
        <w:ind w:left="8821" w:hanging="689"/>
      </w:pPr>
      <w:rPr>
        <w:rFonts w:hint="default"/>
        <w:lang w:val="zh-CN" w:eastAsia="zh-CN" w:bidi="zh-CN"/>
      </w:rPr>
    </w:lvl>
  </w:abstractNum>
  <w:abstractNum w:abstractNumId="517" w15:restartNumberingAfterBreak="0">
    <w:nsid w:val="4550413B"/>
    <w:multiLevelType w:val="hybridMultilevel"/>
    <w:tmpl w:val="8702CF36"/>
    <w:lvl w:ilvl="0" w:tplc="D2360E9C">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EC88BB98">
      <w:numFmt w:val="bullet"/>
      <w:lvlText w:val="•"/>
      <w:lvlJc w:val="left"/>
      <w:pPr>
        <w:ind w:left="2288" w:hanging="529"/>
      </w:pPr>
      <w:rPr>
        <w:rFonts w:hint="default"/>
        <w:lang w:val="zh-CN" w:eastAsia="zh-CN" w:bidi="zh-CN"/>
      </w:rPr>
    </w:lvl>
    <w:lvl w:ilvl="2" w:tplc="332C8B78">
      <w:numFmt w:val="bullet"/>
      <w:lvlText w:val="•"/>
      <w:lvlJc w:val="left"/>
      <w:pPr>
        <w:ind w:left="3217" w:hanging="529"/>
      </w:pPr>
      <w:rPr>
        <w:rFonts w:hint="default"/>
        <w:lang w:val="zh-CN" w:eastAsia="zh-CN" w:bidi="zh-CN"/>
      </w:rPr>
    </w:lvl>
    <w:lvl w:ilvl="3" w:tplc="1756897A">
      <w:numFmt w:val="bullet"/>
      <w:lvlText w:val="•"/>
      <w:lvlJc w:val="left"/>
      <w:pPr>
        <w:ind w:left="4145" w:hanging="529"/>
      </w:pPr>
      <w:rPr>
        <w:rFonts w:hint="default"/>
        <w:lang w:val="zh-CN" w:eastAsia="zh-CN" w:bidi="zh-CN"/>
      </w:rPr>
    </w:lvl>
    <w:lvl w:ilvl="4" w:tplc="7DCC72FA">
      <w:numFmt w:val="bullet"/>
      <w:lvlText w:val="•"/>
      <w:lvlJc w:val="left"/>
      <w:pPr>
        <w:ind w:left="5074" w:hanging="529"/>
      </w:pPr>
      <w:rPr>
        <w:rFonts w:hint="default"/>
        <w:lang w:val="zh-CN" w:eastAsia="zh-CN" w:bidi="zh-CN"/>
      </w:rPr>
    </w:lvl>
    <w:lvl w:ilvl="5" w:tplc="635C23C4">
      <w:numFmt w:val="bullet"/>
      <w:lvlText w:val="•"/>
      <w:lvlJc w:val="left"/>
      <w:pPr>
        <w:ind w:left="6003" w:hanging="529"/>
      </w:pPr>
      <w:rPr>
        <w:rFonts w:hint="default"/>
        <w:lang w:val="zh-CN" w:eastAsia="zh-CN" w:bidi="zh-CN"/>
      </w:rPr>
    </w:lvl>
    <w:lvl w:ilvl="6" w:tplc="82882074">
      <w:numFmt w:val="bullet"/>
      <w:lvlText w:val="•"/>
      <w:lvlJc w:val="left"/>
      <w:pPr>
        <w:ind w:left="6931" w:hanging="529"/>
      </w:pPr>
      <w:rPr>
        <w:rFonts w:hint="default"/>
        <w:lang w:val="zh-CN" w:eastAsia="zh-CN" w:bidi="zh-CN"/>
      </w:rPr>
    </w:lvl>
    <w:lvl w:ilvl="7" w:tplc="6E343788">
      <w:numFmt w:val="bullet"/>
      <w:lvlText w:val="•"/>
      <w:lvlJc w:val="left"/>
      <w:pPr>
        <w:ind w:left="7860" w:hanging="529"/>
      </w:pPr>
      <w:rPr>
        <w:rFonts w:hint="default"/>
        <w:lang w:val="zh-CN" w:eastAsia="zh-CN" w:bidi="zh-CN"/>
      </w:rPr>
    </w:lvl>
    <w:lvl w:ilvl="8" w:tplc="B5E6A7C2">
      <w:numFmt w:val="bullet"/>
      <w:lvlText w:val="•"/>
      <w:lvlJc w:val="left"/>
      <w:pPr>
        <w:ind w:left="8789" w:hanging="529"/>
      </w:pPr>
      <w:rPr>
        <w:rFonts w:hint="default"/>
        <w:lang w:val="zh-CN" w:eastAsia="zh-CN" w:bidi="zh-CN"/>
      </w:rPr>
    </w:lvl>
  </w:abstractNum>
  <w:abstractNum w:abstractNumId="518" w15:restartNumberingAfterBreak="0">
    <w:nsid w:val="45785C58"/>
    <w:multiLevelType w:val="hybridMultilevel"/>
    <w:tmpl w:val="C5BC3F22"/>
    <w:lvl w:ilvl="0" w:tplc="7D267FD0">
      <w:start w:val="4"/>
      <w:numFmt w:val="decimal"/>
      <w:lvlText w:val="%1"/>
      <w:lvlJc w:val="left"/>
      <w:pPr>
        <w:ind w:left="1416" w:hanging="999"/>
        <w:jc w:val="left"/>
      </w:pPr>
      <w:rPr>
        <w:rFonts w:hint="default"/>
        <w:lang w:val="zh-CN" w:eastAsia="zh-CN" w:bidi="zh-CN"/>
      </w:rPr>
    </w:lvl>
    <w:lvl w:ilvl="1" w:tplc="AC189F32">
      <w:start w:val="4"/>
      <w:numFmt w:val="decimal"/>
      <w:lvlText w:val="%1.%2"/>
      <w:lvlJc w:val="left"/>
      <w:pPr>
        <w:ind w:left="1416" w:hanging="999"/>
        <w:jc w:val="left"/>
      </w:pPr>
      <w:rPr>
        <w:rFonts w:hint="default"/>
        <w:lang w:val="zh-CN" w:eastAsia="zh-CN" w:bidi="zh-CN"/>
      </w:rPr>
    </w:lvl>
    <w:lvl w:ilvl="2" w:tplc="E9AC0488">
      <w:start w:val="2"/>
      <w:numFmt w:val="decimal"/>
      <w:lvlText w:val="%1.%2.%3"/>
      <w:lvlJc w:val="left"/>
      <w:pPr>
        <w:ind w:left="1416" w:hanging="999"/>
        <w:jc w:val="left"/>
      </w:pPr>
      <w:rPr>
        <w:rFonts w:hint="default"/>
        <w:lang w:val="zh-CN" w:eastAsia="zh-CN" w:bidi="zh-CN"/>
      </w:rPr>
    </w:lvl>
    <w:lvl w:ilvl="3" w:tplc="34AC16C8">
      <w:start w:val="4"/>
      <w:numFmt w:val="decimal"/>
      <w:lvlText w:val="%1.%2.%3.%4"/>
      <w:lvlJc w:val="left"/>
      <w:pPr>
        <w:ind w:left="1416" w:hanging="999"/>
        <w:jc w:val="left"/>
      </w:pPr>
      <w:rPr>
        <w:rFonts w:hint="default"/>
        <w:lang w:val="zh-CN" w:eastAsia="zh-CN" w:bidi="zh-CN"/>
      </w:rPr>
    </w:lvl>
    <w:lvl w:ilvl="4" w:tplc="497A394A">
      <w:start w:val="3"/>
      <w:numFmt w:val="decimal"/>
      <w:lvlText w:val="%1.%2.%3.%4.%5"/>
      <w:lvlJc w:val="left"/>
      <w:pPr>
        <w:ind w:left="1416" w:hanging="999"/>
        <w:jc w:val="left"/>
      </w:pPr>
      <w:rPr>
        <w:rFonts w:ascii="宋体" w:eastAsia="宋体" w:hAnsi="宋体" w:cs="宋体" w:hint="default"/>
        <w:spacing w:val="-3"/>
        <w:w w:val="100"/>
        <w:sz w:val="21"/>
        <w:szCs w:val="21"/>
        <w:lang w:val="zh-CN" w:eastAsia="zh-CN" w:bidi="zh-CN"/>
      </w:rPr>
    </w:lvl>
    <w:lvl w:ilvl="5" w:tplc="167E2270">
      <w:numFmt w:val="bullet"/>
      <w:lvlText w:val="•"/>
      <w:lvlJc w:val="left"/>
      <w:pPr>
        <w:ind w:left="6033" w:hanging="999"/>
      </w:pPr>
      <w:rPr>
        <w:rFonts w:hint="default"/>
        <w:lang w:val="zh-CN" w:eastAsia="zh-CN" w:bidi="zh-CN"/>
      </w:rPr>
    </w:lvl>
    <w:lvl w:ilvl="6" w:tplc="A30209D2">
      <w:numFmt w:val="bullet"/>
      <w:lvlText w:val="•"/>
      <w:lvlJc w:val="left"/>
      <w:pPr>
        <w:ind w:left="6955" w:hanging="999"/>
      </w:pPr>
      <w:rPr>
        <w:rFonts w:hint="default"/>
        <w:lang w:val="zh-CN" w:eastAsia="zh-CN" w:bidi="zh-CN"/>
      </w:rPr>
    </w:lvl>
    <w:lvl w:ilvl="7" w:tplc="3ECA373C">
      <w:numFmt w:val="bullet"/>
      <w:lvlText w:val="•"/>
      <w:lvlJc w:val="left"/>
      <w:pPr>
        <w:ind w:left="7878" w:hanging="999"/>
      </w:pPr>
      <w:rPr>
        <w:rFonts w:hint="default"/>
        <w:lang w:val="zh-CN" w:eastAsia="zh-CN" w:bidi="zh-CN"/>
      </w:rPr>
    </w:lvl>
    <w:lvl w:ilvl="8" w:tplc="64707DCC">
      <w:numFmt w:val="bullet"/>
      <w:lvlText w:val="•"/>
      <w:lvlJc w:val="left"/>
      <w:pPr>
        <w:ind w:left="8801" w:hanging="999"/>
      </w:pPr>
      <w:rPr>
        <w:rFonts w:hint="default"/>
        <w:lang w:val="zh-CN" w:eastAsia="zh-CN" w:bidi="zh-CN"/>
      </w:rPr>
    </w:lvl>
  </w:abstractNum>
  <w:abstractNum w:abstractNumId="519" w15:restartNumberingAfterBreak="0">
    <w:nsid w:val="45AB00F2"/>
    <w:multiLevelType w:val="hybridMultilevel"/>
    <w:tmpl w:val="C77C8578"/>
    <w:lvl w:ilvl="0" w:tplc="D66A2878">
      <w:start w:val="5"/>
      <w:numFmt w:val="decimal"/>
      <w:lvlText w:val="%1"/>
      <w:lvlJc w:val="left"/>
      <w:pPr>
        <w:ind w:left="1159" w:hanging="320"/>
        <w:jc w:val="left"/>
      </w:pPr>
      <w:rPr>
        <w:rFonts w:hint="default"/>
        <w:lang w:val="zh-CN" w:eastAsia="zh-CN" w:bidi="zh-CN"/>
      </w:rPr>
    </w:lvl>
    <w:lvl w:ilvl="1" w:tplc="E07A227A">
      <w:start w:val="4"/>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EAEAC9C4">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23724C5A">
      <w:numFmt w:val="bullet"/>
      <w:lvlText w:val="•"/>
      <w:lvlJc w:val="left"/>
      <w:pPr>
        <w:ind w:left="3423" w:hanging="529"/>
      </w:pPr>
      <w:rPr>
        <w:rFonts w:hint="default"/>
        <w:lang w:val="zh-CN" w:eastAsia="zh-CN" w:bidi="zh-CN"/>
      </w:rPr>
    </w:lvl>
    <w:lvl w:ilvl="4" w:tplc="8E7834EA">
      <w:numFmt w:val="bullet"/>
      <w:lvlText w:val="•"/>
      <w:lvlJc w:val="left"/>
      <w:pPr>
        <w:ind w:left="4455" w:hanging="529"/>
      </w:pPr>
      <w:rPr>
        <w:rFonts w:hint="default"/>
        <w:lang w:val="zh-CN" w:eastAsia="zh-CN" w:bidi="zh-CN"/>
      </w:rPr>
    </w:lvl>
    <w:lvl w:ilvl="5" w:tplc="7B34EB2C">
      <w:numFmt w:val="bullet"/>
      <w:lvlText w:val="•"/>
      <w:lvlJc w:val="left"/>
      <w:pPr>
        <w:ind w:left="5487" w:hanging="529"/>
      </w:pPr>
      <w:rPr>
        <w:rFonts w:hint="default"/>
        <w:lang w:val="zh-CN" w:eastAsia="zh-CN" w:bidi="zh-CN"/>
      </w:rPr>
    </w:lvl>
    <w:lvl w:ilvl="6" w:tplc="BD1EB118">
      <w:numFmt w:val="bullet"/>
      <w:lvlText w:val="•"/>
      <w:lvlJc w:val="left"/>
      <w:pPr>
        <w:ind w:left="6519" w:hanging="529"/>
      </w:pPr>
      <w:rPr>
        <w:rFonts w:hint="default"/>
        <w:lang w:val="zh-CN" w:eastAsia="zh-CN" w:bidi="zh-CN"/>
      </w:rPr>
    </w:lvl>
    <w:lvl w:ilvl="7" w:tplc="924857E0">
      <w:numFmt w:val="bullet"/>
      <w:lvlText w:val="•"/>
      <w:lvlJc w:val="left"/>
      <w:pPr>
        <w:ind w:left="7550" w:hanging="529"/>
      </w:pPr>
      <w:rPr>
        <w:rFonts w:hint="default"/>
        <w:lang w:val="zh-CN" w:eastAsia="zh-CN" w:bidi="zh-CN"/>
      </w:rPr>
    </w:lvl>
    <w:lvl w:ilvl="8" w:tplc="AD402642">
      <w:numFmt w:val="bullet"/>
      <w:lvlText w:val="•"/>
      <w:lvlJc w:val="left"/>
      <w:pPr>
        <w:ind w:left="8582" w:hanging="529"/>
      </w:pPr>
      <w:rPr>
        <w:rFonts w:hint="default"/>
        <w:lang w:val="zh-CN" w:eastAsia="zh-CN" w:bidi="zh-CN"/>
      </w:rPr>
    </w:lvl>
  </w:abstractNum>
  <w:abstractNum w:abstractNumId="520" w15:restartNumberingAfterBreak="0">
    <w:nsid w:val="45B165C8"/>
    <w:multiLevelType w:val="hybridMultilevel"/>
    <w:tmpl w:val="EDE2BED4"/>
    <w:lvl w:ilvl="0" w:tplc="80A0F87E">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911EA2B8">
      <w:numFmt w:val="bullet"/>
      <w:lvlText w:val="•"/>
      <w:lvlJc w:val="left"/>
      <w:pPr>
        <w:ind w:left="2288" w:hanging="529"/>
      </w:pPr>
      <w:rPr>
        <w:rFonts w:hint="default"/>
        <w:lang w:val="zh-CN" w:eastAsia="zh-CN" w:bidi="zh-CN"/>
      </w:rPr>
    </w:lvl>
    <w:lvl w:ilvl="2" w:tplc="D8249B08">
      <w:numFmt w:val="bullet"/>
      <w:lvlText w:val="•"/>
      <w:lvlJc w:val="left"/>
      <w:pPr>
        <w:ind w:left="3217" w:hanging="529"/>
      </w:pPr>
      <w:rPr>
        <w:rFonts w:hint="default"/>
        <w:lang w:val="zh-CN" w:eastAsia="zh-CN" w:bidi="zh-CN"/>
      </w:rPr>
    </w:lvl>
    <w:lvl w:ilvl="3" w:tplc="21DAE9C4">
      <w:numFmt w:val="bullet"/>
      <w:lvlText w:val="•"/>
      <w:lvlJc w:val="left"/>
      <w:pPr>
        <w:ind w:left="4145" w:hanging="529"/>
      </w:pPr>
      <w:rPr>
        <w:rFonts w:hint="default"/>
        <w:lang w:val="zh-CN" w:eastAsia="zh-CN" w:bidi="zh-CN"/>
      </w:rPr>
    </w:lvl>
    <w:lvl w:ilvl="4" w:tplc="9F96BC56">
      <w:numFmt w:val="bullet"/>
      <w:lvlText w:val="•"/>
      <w:lvlJc w:val="left"/>
      <w:pPr>
        <w:ind w:left="5074" w:hanging="529"/>
      </w:pPr>
      <w:rPr>
        <w:rFonts w:hint="default"/>
        <w:lang w:val="zh-CN" w:eastAsia="zh-CN" w:bidi="zh-CN"/>
      </w:rPr>
    </w:lvl>
    <w:lvl w:ilvl="5" w:tplc="E5B84552">
      <w:numFmt w:val="bullet"/>
      <w:lvlText w:val="•"/>
      <w:lvlJc w:val="left"/>
      <w:pPr>
        <w:ind w:left="6003" w:hanging="529"/>
      </w:pPr>
      <w:rPr>
        <w:rFonts w:hint="default"/>
        <w:lang w:val="zh-CN" w:eastAsia="zh-CN" w:bidi="zh-CN"/>
      </w:rPr>
    </w:lvl>
    <w:lvl w:ilvl="6" w:tplc="DC9E2FEA">
      <w:numFmt w:val="bullet"/>
      <w:lvlText w:val="•"/>
      <w:lvlJc w:val="left"/>
      <w:pPr>
        <w:ind w:left="6931" w:hanging="529"/>
      </w:pPr>
      <w:rPr>
        <w:rFonts w:hint="default"/>
        <w:lang w:val="zh-CN" w:eastAsia="zh-CN" w:bidi="zh-CN"/>
      </w:rPr>
    </w:lvl>
    <w:lvl w:ilvl="7" w:tplc="89C6ECA2">
      <w:numFmt w:val="bullet"/>
      <w:lvlText w:val="•"/>
      <w:lvlJc w:val="left"/>
      <w:pPr>
        <w:ind w:left="7860" w:hanging="529"/>
      </w:pPr>
      <w:rPr>
        <w:rFonts w:hint="default"/>
        <w:lang w:val="zh-CN" w:eastAsia="zh-CN" w:bidi="zh-CN"/>
      </w:rPr>
    </w:lvl>
    <w:lvl w:ilvl="8" w:tplc="BF2C96D2">
      <w:numFmt w:val="bullet"/>
      <w:lvlText w:val="•"/>
      <w:lvlJc w:val="left"/>
      <w:pPr>
        <w:ind w:left="8789" w:hanging="529"/>
      </w:pPr>
      <w:rPr>
        <w:rFonts w:hint="default"/>
        <w:lang w:val="zh-CN" w:eastAsia="zh-CN" w:bidi="zh-CN"/>
      </w:rPr>
    </w:lvl>
  </w:abstractNum>
  <w:abstractNum w:abstractNumId="521" w15:restartNumberingAfterBreak="0">
    <w:nsid w:val="46032BA2"/>
    <w:multiLevelType w:val="hybridMultilevel"/>
    <w:tmpl w:val="57385EE6"/>
    <w:lvl w:ilvl="0" w:tplc="F9E46580">
      <w:start w:val="5"/>
      <w:numFmt w:val="decimal"/>
      <w:lvlText w:val="%1"/>
      <w:lvlJc w:val="left"/>
      <w:pPr>
        <w:ind w:left="1158" w:hanging="318"/>
        <w:jc w:val="left"/>
      </w:pPr>
      <w:rPr>
        <w:rFonts w:hint="default"/>
        <w:lang w:val="zh-CN" w:eastAsia="zh-CN" w:bidi="zh-CN"/>
      </w:rPr>
    </w:lvl>
    <w:lvl w:ilvl="1" w:tplc="7480CAC2">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F42E26AA">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C4CC5B0E">
      <w:numFmt w:val="bullet"/>
      <w:lvlText w:val="•"/>
      <w:lvlJc w:val="left"/>
      <w:pPr>
        <w:ind w:left="2520" w:hanging="529"/>
      </w:pPr>
      <w:rPr>
        <w:rFonts w:hint="default"/>
        <w:lang w:val="zh-CN" w:eastAsia="zh-CN" w:bidi="zh-CN"/>
      </w:rPr>
    </w:lvl>
    <w:lvl w:ilvl="4" w:tplc="8014F9D0">
      <w:numFmt w:val="bullet"/>
      <w:lvlText w:val="•"/>
      <w:lvlJc w:val="left"/>
      <w:pPr>
        <w:ind w:left="3681" w:hanging="529"/>
      </w:pPr>
      <w:rPr>
        <w:rFonts w:hint="default"/>
        <w:lang w:val="zh-CN" w:eastAsia="zh-CN" w:bidi="zh-CN"/>
      </w:rPr>
    </w:lvl>
    <w:lvl w:ilvl="5" w:tplc="4650F046">
      <w:numFmt w:val="bullet"/>
      <w:lvlText w:val="•"/>
      <w:lvlJc w:val="left"/>
      <w:pPr>
        <w:ind w:left="4842" w:hanging="529"/>
      </w:pPr>
      <w:rPr>
        <w:rFonts w:hint="default"/>
        <w:lang w:val="zh-CN" w:eastAsia="zh-CN" w:bidi="zh-CN"/>
      </w:rPr>
    </w:lvl>
    <w:lvl w:ilvl="6" w:tplc="3A8EEDC8">
      <w:numFmt w:val="bullet"/>
      <w:lvlText w:val="•"/>
      <w:lvlJc w:val="left"/>
      <w:pPr>
        <w:ind w:left="6003" w:hanging="529"/>
      </w:pPr>
      <w:rPr>
        <w:rFonts w:hint="default"/>
        <w:lang w:val="zh-CN" w:eastAsia="zh-CN" w:bidi="zh-CN"/>
      </w:rPr>
    </w:lvl>
    <w:lvl w:ilvl="7" w:tplc="A8682484">
      <w:numFmt w:val="bullet"/>
      <w:lvlText w:val="•"/>
      <w:lvlJc w:val="left"/>
      <w:pPr>
        <w:ind w:left="7164" w:hanging="529"/>
      </w:pPr>
      <w:rPr>
        <w:rFonts w:hint="default"/>
        <w:lang w:val="zh-CN" w:eastAsia="zh-CN" w:bidi="zh-CN"/>
      </w:rPr>
    </w:lvl>
    <w:lvl w:ilvl="8" w:tplc="42E235D8">
      <w:numFmt w:val="bullet"/>
      <w:lvlText w:val="•"/>
      <w:lvlJc w:val="left"/>
      <w:pPr>
        <w:ind w:left="8324" w:hanging="529"/>
      </w:pPr>
      <w:rPr>
        <w:rFonts w:hint="default"/>
        <w:lang w:val="zh-CN" w:eastAsia="zh-CN" w:bidi="zh-CN"/>
      </w:rPr>
    </w:lvl>
  </w:abstractNum>
  <w:abstractNum w:abstractNumId="522" w15:restartNumberingAfterBreak="0">
    <w:nsid w:val="460E4247"/>
    <w:multiLevelType w:val="hybridMultilevel"/>
    <w:tmpl w:val="DED880FA"/>
    <w:lvl w:ilvl="0" w:tplc="90741E46">
      <w:start w:val="4"/>
      <w:numFmt w:val="decimal"/>
      <w:lvlText w:val="%1"/>
      <w:lvlJc w:val="left"/>
      <w:pPr>
        <w:ind w:left="418" w:hanging="689"/>
        <w:jc w:val="left"/>
      </w:pPr>
      <w:rPr>
        <w:rFonts w:hint="default"/>
        <w:lang w:val="zh-CN" w:eastAsia="zh-CN" w:bidi="zh-CN"/>
      </w:rPr>
    </w:lvl>
    <w:lvl w:ilvl="1" w:tplc="D0889BE0">
      <w:start w:val="27"/>
      <w:numFmt w:val="decimal"/>
      <w:lvlText w:val="%1.%2"/>
      <w:lvlJc w:val="left"/>
      <w:pPr>
        <w:ind w:left="418" w:hanging="689"/>
        <w:jc w:val="left"/>
      </w:pPr>
      <w:rPr>
        <w:rFonts w:hint="default"/>
        <w:lang w:val="zh-CN" w:eastAsia="zh-CN" w:bidi="zh-CN"/>
      </w:rPr>
    </w:lvl>
    <w:lvl w:ilvl="2" w:tplc="75744B30">
      <w:start w:val="1"/>
      <w:numFmt w:val="decimal"/>
      <w:lvlText w:val="%1.%2.%3"/>
      <w:lvlJc w:val="left"/>
      <w:pPr>
        <w:ind w:left="418" w:hanging="689"/>
        <w:jc w:val="left"/>
      </w:pPr>
      <w:rPr>
        <w:rFonts w:ascii="宋体" w:eastAsia="宋体" w:hAnsi="宋体" w:cs="宋体" w:hint="default"/>
        <w:b/>
        <w:bCs/>
        <w:w w:val="99"/>
        <w:sz w:val="21"/>
        <w:szCs w:val="21"/>
        <w:lang w:val="zh-CN" w:eastAsia="zh-CN" w:bidi="zh-CN"/>
      </w:rPr>
    </w:lvl>
    <w:lvl w:ilvl="3" w:tplc="D1D2E644">
      <w:numFmt w:val="bullet"/>
      <w:lvlText w:val="•"/>
      <w:lvlJc w:val="left"/>
      <w:pPr>
        <w:ind w:left="3487" w:hanging="689"/>
      </w:pPr>
      <w:rPr>
        <w:rFonts w:hint="default"/>
        <w:lang w:val="zh-CN" w:eastAsia="zh-CN" w:bidi="zh-CN"/>
      </w:rPr>
    </w:lvl>
    <w:lvl w:ilvl="4" w:tplc="747C4966">
      <w:numFmt w:val="bullet"/>
      <w:lvlText w:val="•"/>
      <w:lvlJc w:val="left"/>
      <w:pPr>
        <w:ind w:left="4510" w:hanging="689"/>
      </w:pPr>
      <w:rPr>
        <w:rFonts w:hint="default"/>
        <w:lang w:val="zh-CN" w:eastAsia="zh-CN" w:bidi="zh-CN"/>
      </w:rPr>
    </w:lvl>
    <w:lvl w:ilvl="5" w:tplc="5BB82074">
      <w:numFmt w:val="bullet"/>
      <w:lvlText w:val="•"/>
      <w:lvlJc w:val="left"/>
      <w:pPr>
        <w:ind w:left="5533" w:hanging="689"/>
      </w:pPr>
      <w:rPr>
        <w:rFonts w:hint="default"/>
        <w:lang w:val="zh-CN" w:eastAsia="zh-CN" w:bidi="zh-CN"/>
      </w:rPr>
    </w:lvl>
    <w:lvl w:ilvl="6" w:tplc="6A329832">
      <w:numFmt w:val="bullet"/>
      <w:lvlText w:val="•"/>
      <w:lvlJc w:val="left"/>
      <w:pPr>
        <w:ind w:left="6555" w:hanging="689"/>
      </w:pPr>
      <w:rPr>
        <w:rFonts w:hint="default"/>
        <w:lang w:val="zh-CN" w:eastAsia="zh-CN" w:bidi="zh-CN"/>
      </w:rPr>
    </w:lvl>
    <w:lvl w:ilvl="7" w:tplc="2766CB3E">
      <w:numFmt w:val="bullet"/>
      <w:lvlText w:val="•"/>
      <w:lvlJc w:val="left"/>
      <w:pPr>
        <w:ind w:left="7578" w:hanging="689"/>
      </w:pPr>
      <w:rPr>
        <w:rFonts w:hint="default"/>
        <w:lang w:val="zh-CN" w:eastAsia="zh-CN" w:bidi="zh-CN"/>
      </w:rPr>
    </w:lvl>
    <w:lvl w:ilvl="8" w:tplc="875AF05C">
      <w:numFmt w:val="bullet"/>
      <w:lvlText w:val="•"/>
      <w:lvlJc w:val="left"/>
      <w:pPr>
        <w:ind w:left="8601" w:hanging="689"/>
      </w:pPr>
      <w:rPr>
        <w:rFonts w:hint="default"/>
        <w:lang w:val="zh-CN" w:eastAsia="zh-CN" w:bidi="zh-CN"/>
      </w:rPr>
    </w:lvl>
  </w:abstractNum>
  <w:abstractNum w:abstractNumId="523" w15:restartNumberingAfterBreak="0">
    <w:nsid w:val="461E3498"/>
    <w:multiLevelType w:val="hybridMultilevel"/>
    <w:tmpl w:val="BF5CA15C"/>
    <w:lvl w:ilvl="0" w:tplc="C74C44A2">
      <w:start w:val="5"/>
      <w:numFmt w:val="decimal"/>
      <w:lvlText w:val="%1"/>
      <w:lvlJc w:val="left"/>
      <w:pPr>
        <w:ind w:left="418" w:hanging="529"/>
        <w:jc w:val="left"/>
      </w:pPr>
      <w:rPr>
        <w:rFonts w:hint="default"/>
        <w:lang w:val="zh-CN" w:eastAsia="zh-CN" w:bidi="zh-CN"/>
      </w:rPr>
    </w:lvl>
    <w:lvl w:ilvl="1" w:tplc="83B671A0">
      <w:start w:val="6"/>
      <w:numFmt w:val="decimal"/>
      <w:lvlText w:val="%1.%2"/>
      <w:lvlJc w:val="left"/>
      <w:pPr>
        <w:ind w:left="418" w:hanging="529"/>
        <w:jc w:val="left"/>
      </w:pPr>
      <w:rPr>
        <w:rFonts w:hint="default"/>
        <w:lang w:val="zh-CN" w:eastAsia="zh-CN" w:bidi="zh-CN"/>
      </w:rPr>
    </w:lvl>
    <w:lvl w:ilvl="2" w:tplc="81F061B8">
      <w:start w:val="1"/>
      <w:numFmt w:val="decimal"/>
      <w:lvlText w:val="%1.%2.%3"/>
      <w:lvlJc w:val="left"/>
      <w:pPr>
        <w:ind w:left="418" w:hanging="529"/>
        <w:jc w:val="left"/>
      </w:pPr>
      <w:rPr>
        <w:rFonts w:ascii="宋体" w:eastAsia="宋体" w:hAnsi="宋体" w:cs="宋体" w:hint="default"/>
        <w:b/>
        <w:bCs/>
        <w:spacing w:val="-53"/>
        <w:w w:val="99"/>
        <w:sz w:val="19"/>
        <w:szCs w:val="19"/>
        <w:lang w:val="zh-CN" w:eastAsia="zh-CN" w:bidi="zh-CN"/>
      </w:rPr>
    </w:lvl>
    <w:lvl w:ilvl="3" w:tplc="5D921BD4">
      <w:numFmt w:val="bullet"/>
      <w:lvlText w:val="•"/>
      <w:lvlJc w:val="left"/>
      <w:pPr>
        <w:ind w:left="3487" w:hanging="529"/>
      </w:pPr>
      <w:rPr>
        <w:rFonts w:hint="default"/>
        <w:lang w:val="zh-CN" w:eastAsia="zh-CN" w:bidi="zh-CN"/>
      </w:rPr>
    </w:lvl>
    <w:lvl w:ilvl="4" w:tplc="0DC00096">
      <w:numFmt w:val="bullet"/>
      <w:lvlText w:val="•"/>
      <w:lvlJc w:val="left"/>
      <w:pPr>
        <w:ind w:left="4510" w:hanging="529"/>
      </w:pPr>
      <w:rPr>
        <w:rFonts w:hint="default"/>
        <w:lang w:val="zh-CN" w:eastAsia="zh-CN" w:bidi="zh-CN"/>
      </w:rPr>
    </w:lvl>
    <w:lvl w:ilvl="5" w:tplc="B7B4EFDC">
      <w:numFmt w:val="bullet"/>
      <w:lvlText w:val="•"/>
      <w:lvlJc w:val="left"/>
      <w:pPr>
        <w:ind w:left="5533" w:hanging="529"/>
      </w:pPr>
      <w:rPr>
        <w:rFonts w:hint="default"/>
        <w:lang w:val="zh-CN" w:eastAsia="zh-CN" w:bidi="zh-CN"/>
      </w:rPr>
    </w:lvl>
    <w:lvl w:ilvl="6" w:tplc="629219A6">
      <w:numFmt w:val="bullet"/>
      <w:lvlText w:val="•"/>
      <w:lvlJc w:val="left"/>
      <w:pPr>
        <w:ind w:left="6555" w:hanging="529"/>
      </w:pPr>
      <w:rPr>
        <w:rFonts w:hint="default"/>
        <w:lang w:val="zh-CN" w:eastAsia="zh-CN" w:bidi="zh-CN"/>
      </w:rPr>
    </w:lvl>
    <w:lvl w:ilvl="7" w:tplc="33D83154">
      <w:numFmt w:val="bullet"/>
      <w:lvlText w:val="•"/>
      <w:lvlJc w:val="left"/>
      <w:pPr>
        <w:ind w:left="7578" w:hanging="529"/>
      </w:pPr>
      <w:rPr>
        <w:rFonts w:hint="default"/>
        <w:lang w:val="zh-CN" w:eastAsia="zh-CN" w:bidi="zh-CN"/>
      </w:rPr>
    </w:lvl>
    <w:lvl w:ilvl="8" w:tplc="F3A00C22">
      <w:numFmt w:val="bullet"/>
      <w:lvlText w:val="•"/>
      <w:lvlJc w:val="left"/>
      <w:pPr>
        <w:ind w:left="8601" w:hanging="529"/>
      </w:pPr>
      <w:rPr>
        <w:rFonts w:hint="default"/>
        <w:lang w:val="zh-CN" w:eastAsia="zh-CN" w:bidi="zh-CN"/>
      </w:rPr>
    </w:lvl>
  </w:abstractNum>
  <w:abstractNum w:abstractNumId="524" w15:restartNumberingAfterBreak="0">
    <w:nsid w:val="464749A2"/>
    <w:multiLevelType w:val="hybridMultilevel"/>
    <w:tmpl w:val="2AFA199C"/>
    <w:lvl w:ilvl="0" w:tplc="B9C40A56">
      <w:start w:val="1"/>
      <w:numFmt w:val="decimal"/>
      <w:lvlText w:val="%1）"/>
      <w:lvlJc w:val="left"/>
      <w:pPr>
        <w:ind w:left="1155" w:hanging="318"/>
        <w:jc w:val="left"/>
      </w:pPr>
      <w:rPr>
        <w:rFonts w:ascii="宋体" w:eastAsia="宋体" w:hAnsi="宋体" w:cs="宋体" w:hint="default"/>
        <w:w w:val="100"/>
        <w:sz w:val="19"/>
        <w:szCs w:val="19"/>
        <w:lang w:val="zh-CN" w:eastAsia="zh-CN" w:bidi="zh-CN"/>
      </w:rPr>
    </w:lvl>
    <w:lvl w:ilvl="1" w:tplc="DB284B00">
      <w:numFmt w:val="bullet"/>
      <w:lvlText w:val="•"/>
      <w:lvlJc w:val="left"/>
      <w:pPr>
        <w:ind w:left="2108" w:hanging="318"/>
      </w:pPr>
      <w:rPr>
        <w:rFonts w:hint="default"/>
        <w:lang w:val="zh-CN" w:eastAsia="zh-CN" w:bidi="zh-CN"/>
      </w:rPr>
    </w:lvl>
    <w:lvl w:ilvl="2" w:tplc="A06CE0D0">
      <w:numFmt w:val="bullet"/>
      <w:lvlText w:val="•"/>
      <w:lvlJc w:val="left"/>
      <w:pPr>
        <w:ind w:left="3057" w:hanging="318"/>
      </w:pPr>
      <w:rPr>
        <w:rFonts w:hint="default"/>
        <w:lang w:val="zh-CN" w:eastAsia="zh-CN" w:bidi="zh-CN"/>
      </w:rPr>
    </w:lvl>
    <w:lvl w:ilvl="3" w:tplc="078C07A6">
      <w:numFmt w:val="bullet"/>
      <w:lvlText w:val="•"/>
      <w:lvlJc w:val="left"/>
      <w:pPr>
        <w:ind w:left="4005" w:hanging="318"/>
      </w:pPr>
      <w:rPr>
        <w:rFonts w:hint="default"/>
        <w:lang w:val="zh-CN" w:eastAsia="zh-CN" w:bidi="zh-CN"/>
      </w:rPr>
    </w:lvl>
    <w:lvl w:ilvl="4" w:tplc="D1EA9A0E">
      <w:numFmt w:val="bullet"/>
      <w:lvlText w:val="•"/>
      <w:lvlJc w:val="left"/>
      <w:pPr>
        <w:ind w:left="4954" w:hanging="318"/>
      </w:pPr>
      <w:rPr>
        <w:rFonts w:hint="default"/>
        <w:lang w:val="zh-CN" w:eastAsia="zh-CN" w:bidi="zh-CN"/>
      </w:rPr>
    </w:lvl>
    <w:lvl w:ilvl="5" w:tplc="B3741494">
      <w:numFmt w:val="bullet"/>
      <w:lvlText w:val="•"/>
      <w:lvlJc w:val="left"/>
      <w:pPr>
        <w:ind w:left="5903" w:hanging="318"/>
      </w:pPr>
      <w:rPr>
        <w:rFonts w:hint="default"/>
        <w:lang w:val="zh-CN" w:eastAsia="zh-CN" w:bidi="zh-CN"/>
      </w:rPr>
    </w:lvl>
    <w:lvl w:ilvl="6" w:tplc="B680E718">
      <w:numFmt w:val="bullet"/>
      <w:lvlText w:val="•"/>
      <w:lvlJc w:val="left"/>
      <w:pPr>
        <w:ind w:left="6851" w:hanging="318"/>
      </w:pPr>
      <w:rPr>
        <w:rFonts w:hint="default"/>
        <w:lang w:val="zh-CN" w:eastAsia="zh-CN" w:bidi="zh-CN"/>
      </w:rPr>
    </w:lvl>
    <w:lvl w:ilvl="7" w:tplc="01C88D02">
      <w:numFmt w:val="bullet"/>
      <w:lvlText w:val="•"/>
      <w:lvlJc w:val="left"/>
      <w:pPr>
        <w:ind w:left="7800" w:hanging="318"/>
      </w:pPr>
      <w:rPr>
        <w:rFonts w:hint="default"/>
        <w:lang w:val="zh-CN" w:eastAsia="zh-CN" w:bidi="zh-CN"/>
      </w:rPr>
    </w:lvl>
    <w:lvl w:ilvl="8" w:tplc="E75A0EEA">
      <w:numFmt w:val="bullet"/>
      <w:lvlText w:val="•"/>
      <w:lvlJc w:val="left"/>
      <w:pPr>
        <w:ind w:left="8749" w:hanging="318"/>
      </w:pPr>
      <w:rPr>
        <w:rFonts w:hint="default"/>
        <w:lang w:val="zh-CN" w:eastAsia="zh-CN" w:bidi="zh-CN"/>
      </w:rPr>
    </w:lvl>
  </w:abstractNum>
  <w:abstractNum w:abstractNumId="525" w15:restartNumberingAfterBreak="0">
    <w:nsid w:val="464B6501"/>
    <w:multiLevelType w:val="hybridMultilevel"/>
    <w:tmpl w:val="61A09410"/>
    <w:lvl w:ilvl="0" w:tplc="B19C4B84">
      <w:start w:val="7"/>
      <w:numFmt w:val="decimal"/>
      <w:lvlText w:val="%1"/>
      <w:lvlJc w:val="left"/>
      <w:pPr>
        <w:ind w:left="418" w:hanging="529"/>
        <w:jc w:val="left"/>
      </w:pPr>
      <w:rPr>
        <w:rFonts w:hint="default"/>
        <w:lang w:val="zh-CN" w:eastAsia="zh-CN" w:bidi="zh-CN"/>
      </w:rPr>
    </w:lvl>
    <w:lvl w:ilvl="1" w:tplc="7088A490">
      <w:start w:val="1"/>
      <w:numFmt w:val="decimal"/>
      <w:lvlText w:val="%1.%2"/>
      <w:lvlJc w:val="left"/>
      <w:pPr>
        <w:ind w:left="418" w:hanging="529"/>
        <w:jc w:val="left"/>
      </w:pPr>
      <w:rPr>
        <w:rFonts w:hint="default"/>
        <w:lang w:val="zh-CN" w:eastAsia="zh-CN" w:bidi="zh-CN"/>
      </w:rPr>
    </w:lvl>
    <w:lvl w:ilvl="2" w:tplc="9CA852D4">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FB9AE380">
      <w:start w:val="1"/>
      <w:numFmt w:val="decimal"/>
      <w:lvlText w:val="%1.%2.%3.%4"/>
      <w:lvlJc w:val="left"/>
      <w:pPr>
        <w:ind w:left="418" w:hanging="738"/>
        <w:jc w:val="left"/>
      </w:pPr>
      <w:rPr>
        <w:rFonts w:ascii="宋体" w:eastAsia="宋体" w:hAnsi="宋体" w:cs="宋体" w:hint="default"/>
        <w:spacing w:val="-3"/>
        <w:w w:val="100"/>
        <w:sz w:val="19"/>
        <w:szCs w:val="19"/>
        <w:lang w:val="zh-CN" w:eastAsia="zh-CN" w:bidi="zh-CN"/>
      </w:rPr>
    </w:lvl>
    <w:lvl w:ilvl="4" w:tplc="4ECEC00A">
      <w:numFmt w:val="bullet"/>
      <w:lvlText w:val="•"/>
      <w:lvlJc w:val="left"/>
      <w:pPr>
        <w:ind w:left="4510" w:hanging="738"/>
      </w:pPr>
      <w:rPr>
        <w:rFonts w:hint="default"/>
        <w:lang w:val="zh-CN" w:eastAsia="zh-CN" w:bidi="zh-CN"/>
      </w:rPr>
    </w:lvl>
    <w:lvl w:ilvl="5" w:tplc="CFA0A26A">
      <w:numFmt w:val="bullet"/>
      <w:lvlText w:val="•"/>
      <w:lvlJc w:val="left"/>
      <w:pPr>
        <w:ind w:left="5533" w:hanging="738"/>
      </w:pPr>
      <w:rPr>
        <w:rFonts w:hint="default"/>
        <w:lang w:val="zh-CN" w:eastAsia="zh-CN" w:bidi="zh-CN"/>
      </w:rPr>
    </w:lvl>
    <w:lvl w:ilvl="6" w:tplc="406CB974">
      <w:numFmt w:val="bullet"/>
      <w:lvlText w:val="•"/>
      <w:lvlJc w:val="left"/>
      <w:pPr>
        <w:ind w:left="6555" w:hanging="738"/>
      </w:pPr>
      <w:rPr>
        <w:rFonts w:hint="default"/>
        <w:lang w:val="zh-CN" w:eastAsia="zh-CN" w:bidi="zh-CN"/>
      </w:rPr>
    </w:lvl>
    <w:lvl w:ilvl="7" w:tplc="2350FC78">
      <w:numFmt w:val="bullet"/>
      <w:lvlText w:val="•"/>
      <w:lvlJc w:val="left"/>
      <w:pPr>
        <w:ind w:left="7578" w:hanging="738"/>
      </w:pPr>
      <w:rPr>
        <w:rFonts w:hint="default"/>
        <w:lang w:val="zh-CN" w:eastAsia="zh-CN" w:bidi="zh-CN"/>
      </w:rPr>
    </w:lvl>
    <w:lvl w:ilvl="8" w:tplc="338021BE">
      <w:numFmt w:val="bullet"/>
      <w:lvlText w:val="•"/>
      <w:lvlJc w:val="left"/>
      <w:pPr>
        <w:ind w:left="8601" w:hanging="738"/>
      </w:pPr>
      <w:rPr>
        <w:rFonts w:hint="default"/>
        <w:lang w:val="zh-CN" w:eastAsia="zh-CN" w:bidi="zh-CN"/>
      </w:rPr>
    </w:lvl>
  </w:abstractNum>
  <w:abstractNum w:abstractNumId="526" w15:restartNumberingAfterBreak="0">
    <w:nsid w:val="464B719B"/>
    <w:multiLevelType w:val="hybridMultilevel"/>
    <w:tmpl w:val="0E74E566"/>
    <w:lvl w:ilvl="0" w:tplc="1DC08E18">
      <w:start w:val="5"/>
      <w:numFmt w:val="decimal"/>
      <w:lvlText w:val="%1"/>
      <w:lvlJc w:val="left"/>
      <w:pPr>
        <w:ind w:left="418" w:hanging="531"/>
        <w:jc w:val="left"/>
      </w:pPr>
      <w:rPr>
        <w:rFonts w:hint="default"/>
        <w:lang w:val="zh-CN" w:eastAsia="zh-CN" w:bidi="zh-CN"/>
      </w:rPr>
    </w:lvl>
    <w:lvl w:ilvl="1" w:tplc="C61A8222">
      <w:start w:val="3"/>
      <w:numFmt w:val="decimal"/>
      <w:lvlText w:val="%1.%2"/>
      <w:lvlJc w:val="left"/>
      <w:pPr>
        <w:ind w:left="418" w:hanging="531"/>
        <w:jc w:val="left"/>
      </w:pPr>
      <w:rPr>
        <w:rFonts w:hint="default"/>
        <w:lang w:val="zh-CN" w:eastAsia="zh-CN" w:bidi="zh-CN"/>
      </w:rPr>
    </w:lvl>
    <w:lvl w:ilvl="2" w:tplc="F6441D66">
      <w:start w:val="3"/>
      <w:numFmt w:val="decimal"/>
      <w:lvlText w:val="%1.%2.%3"/>
      <w:lvlJc w:val="left"/>
      <w:pPr>
        <w:ind w:left="418" w:hanging="531"/>
        <w:jc w:val="left"/>
      </w:pPr>
      <w:rPr>
        <w:rFonts w:ascii="宋体" w:eastAsia="宋体" w:hAnsi="宋体" w:cs="宋体" w:hint="default"/>
        <w:b/>
        <w:bCs/>
        <w:color w:val="333333"/>
        <w:w w:val="99"/>
        <w:sz w:val="19"/>
        <w:szCs w:val="19"/>
        <w:lang w:val="zh-CN" w:eastAsia="zh-CN" w:bidi="zh-CN"/>
      </w:rPr>
    </w:lvl>
    <w:lvl w:ilvl="3" w:tplc="27345C28">
      <w:numFmt w:val="bullet"/>
      <w:lvlText w:val="•"/>
      <w:lvlJc w:val="left"/>
      <w:pPr>
        <w:ind w:left="3487" w:hanging="531"/>
      </w:pPr>
      <w:rPr>
        <w:rFonts w:hint="default"/>
        <w:lang w:val="zh-CN" w:eastAsia="zh-CN" w:bidi="zh-CN"/>
      </w:rPr>
    </w:lvl>
    <w:lvl w:ilvl="4" w:tplc="C1268ACA">
      <w:numFmt w:val="bullet"/>
      <w:lvlText w:val="•"/>
      <w:lvlJc w:val="left"/>
      <w:pPr>
        <w:ind w:left="4510" w:hanging="531"/>
      </w:pPr>
      <w:rPr>
        <w:rFonts w:hint="default"/>
        <w:lang w:val="zh-CN" w:eastAsia="zh-CN" w:bidi="zh-CN"/>
      </w:rPr>
    </w:lvl>
    <w:lvl w:ilvl="5" w:tplc="D7AC7B18">
      <w:numFmt w:val="bullet"/>
      <w:lvlText w:val="•"/>
      <w:lvlJc w:val="left"/>
      <w:pPr>
        <w:ind w:left="5533" w:hanging="531"/>
      </w:pPr>
      <w:rPr>
        <w:rFonts w:hint="default"/>
        <w:lang w:val="zh-CN" w:eastAsia="zh-CN" w:bidi="zh-CN"/>
      </w:rPr>
    </w:lvl>
    <w:lvl w:ilvl="6" w:tplc="B08A4E9A">
      <w:numFmt w:val="bullet"/>
      <w:lvlText w:val="•"/>
      <w:lvlJc w:val="left"/>
      <w:pPr>
        <w:ind w:left="6555" w:hanging="531"/>
      </w:pPr>
      <w:rPr>
        <w:rFonts w:hint="default"/>
        <w:lang w:val="zh-CN" w:eastAsia="zh-CN" w:bidi="zh-CN"/>
      </w:rPr>
    </w:lvl>
    <w:lvl w:ilvl="7" w:tplc="D5A018DA">
      <w:numFmt w:val="bullet"/>
      <w:lvlText w:val="•"/>
      <w:lvlJc w:val="left"/>
      <w:pPr>
        <w:ind w:left="7578" w:hanging="531"/>
      </w:pPr>
      <w:rPr>
        <w:rFonts w:hint="default"/>
        <w:lang w:val="zh-CN" w:eastAsia="zh-CN" w:bidi="zh-CN"/>
      </w:rPr>
    </w:lvl>
    <w:lvl w:ilvl="8" w:tplc="BABE8A84">
      <w:numFmt w:val="bullet"/>
      <w:lvlText w:val="•"/>
      <w:lvlJc w:val="left"/>
      <w:pPr>
        <w:ind w:left="8601" w:hanging="531"/>
      </w:pPr>
      <w:rPr>
        <w:rFonts w:hint="default"/>
        <w:lang w:val="zh-CN" w:eastAsia="zh-CN" w:bidi="zh-CN"/>
      </w:rPr>
    </w:lvl>
  </w:abstractNum>
  <w:abstractNum w:abstractNumId="527" w15:restartNumberingAfterBreak="0">
    <w:nsid w:val="46E21CF3"/>
    <w:multiLevelType w:val="hybridMultilevel"/>
    <w:tmpl w:val="9B6AA540"/>
    <w:lvl w:ilvl="0" w:tplc="011CF5D4">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79F8A942">
      <w:numFmt w:val="bullet"/>
      <w:lvlText w:val="•"/>
      <w:lvlJc w:val="left"/>
      <w:pPr>
        <w:ind w:left="2288" w:hanging="529"/>
      </w:pPr>
      <w:rPr>
        <w:rFonts w:hint="default"/>
        <w:lang w:val="zh-CN" w:eastAsia="zh-CN" w:bidi="zh-CN"/>
      </w:rPr>
    </w:lvl>
    <w:lvl w:ilvl="2" w:tplc="DBCA82BE">
      <w:numFmt w:val="bullet"/>
      <w:lvlText w:val="•"/>
      <w:lvlJc w:val="left"/>
      <w:pPr>
        <w:ind w:left="3217" w:hanging="529"/>
      </w:pPr>
      <w:rPr>
        <w:rFonts w:hint="default"/>
        <w:lang w:val="zh-CN" w:eastAsia="zh-CN" w:bidi="zh-CN"/>
      </w:rPr>
    </w:lvl>
    <w:lvl w:ilvl="3" w:tplc="2DE03914">
      <w:numFmt w:val="bullet"/>
      <w:lvlText w:val="•"/>
      <w:lvlJc w:val="left"/>
      <w:pPr>
        <w:ind w:left="4145" w:hanging="529"/>
      </w:pPr>
      <w:rPr>
        <w:rFonts w:hint="default"/>
        <w:lang w:val="zh-CN" w:eastAsia="zh-CN" w:bidi="zh-CN"/>
      </w:rPr>
    </w:lvl>
    <w:lvl w:ilvl="4" w:tplc="016E3A02">
      <w:numFmt w:val="bullet"/>
      <w:lvlText w:val="•"/>
      <w:lvlJc w:val="left"/>
      <w:pPr>
        <w:ind w:left="5074" w:hanging="529"/>
      </w:pPr>
      <w:rPr>
        <w:rFonts w:hint="default"/>
        <w:lang w:val="zh-CN" w:eastAsia="zh-CN" w:bidi="zh-CN"/>
      </w:rPr>
    </w:lvl>
    <w:lvl w:ilvl="5" w:tplc="A8AAF108">
      <w:numFmt w:val="bullet"/>
      <w:lvlText w:val="•"/>
      <w:lvlJc w:val="left"/>
      <w:pPr>
        <w:ind w:left="6003" w:hanging="529"/>
      </w:pPr>
      <w:rPr>
        <w:rFonts w:hint="default"/>
        <w:lang w:val="zh-CN" w:eastAsia="zh-CN" w:bidi="zh-CN"/>
      </w:rPr>
    </w:lvl>
    <w:lvl w:ilvl="6" w:tplc="6E6A3592">
      <w:numFmt w:val="bullet"/>
      <w:lvlText w:val="•"/>
      <w:lvlJc w:val="left"/>
      <w:pPr>
        <w:ind w:left="6931" w:hanging="529"/>
      </w:pPr>
      <w:rPr>
        <w:rFonts w:hint="default"/>
        <w:lang w:val="zh-CN" w:eastAsia="zh-CN" w:bidi="zh-CN"/>
      </w:rPr>
    </w:lvl>
    <w:lvl w:ilvl="7" w:tplc="83FCE41A">
      <w:numFmt w:val="bullet"/>
      <w:lvlText w:val="•"/>
      <w:lvlJc w:val="left"/>
      <w:pPr>
        <w:ind w:left="7860" w:hanging="529"/>
      </w:pPr>
      <w:rPr>
        <w:rFonts w:hint="default"/>
        <w:lang w:val="zh-CN" w:eastAsia="zh-CN" w:bidi="zh-CN"/>
      </w:rPr>
    </w:lvl>
    <w:lvl w:ilvl="8" w:tplc="420050C8">
      <w:numFmt w:val="bullet"/>
      <w:lvlText w:val="•"/>
      <w:lvlJc w:val="left"/>
      <w:pPr>
        <w:ind w:left="8789" w:hanging="529"/>
      </w:pPr>
      <w:rPr>
        <w:rFonts w:hint="default"/>
        <w:lang w:val="zh-CN" w:eastAsia="zh-CN" w:bidi="zh-CN"/>
      </w:rPr>
    </w:lvl>
  </w:abstractNum>
  <w:abstractNum w:abstractNumId="528" w15:restartNumberingAfterBreak="0">
    <w:nsid w:val="47195913"/>
    <w:multiLevelType w:val="hybridMultilevel"/>
    <w:tmpl w:val="D166ECF4"/>
    <w:lvl w:ilvl="0" w:tplc="D368CC36">
      <w:start w:val="5"/>
      <w:numFmt w:val="decimal"/>
      <w:lvlText w:val="%1"/>
      <w:lvlJc w:val="left"/>
      <w:pPr>
        <w:ind w:left="1158" w:hanging="318"/>
        <w:jc w:val="left"/>
      </w:pPr>
      <w:rPr>
        <w:rFonts w:hint="default"/>
        <w:lang w:val="zh-CN" w:eastAsia="zh-CN" w:bidi="zh-CN"/>
      </w:rPr>
    </w:lvl>
    <w:lvl w:ilvl="1" w:tplc="B2BEDABE">
      <w:start w:val="1"/>
      <w:numFmt w:val="decimal"/>
      <w:lvlText w:val="%1.%2"/>
      <w:lvlJc w:val="left"/>
      <w:pPr>
        <w:ind w:left="1158" w:hanging="318"/>
        <w:jc w:val="right"/>
      </w:pPr>
      <w:rPr>
        <w:rFonts w:ascii="宋体" w:eastAsia="宋体" w:hAnsi="宋体" w:cs="宋体" w:hint="default"/>
        <w:b/>
        <w:bCs/>
        <w:w w:val="99"/>
        <w:sz w:val="19"/>
        <w:szCs w:val="19"/>
        <w:lang w:val="zh-CN" w:eastAsia="zh-CN" w:bidi="zh-CN"/>
      </w:rPr>
    </w:lvl>
    <w:lvl w:ilvl="2" w:tplc="3CB44D26">
      <w:numFmt w:val="bullet"/>
      <w:lvlText w:val="•"/>
      <w:lvlJc w:val="left"/>
      <w:pPr>
        <w:ind w:left="3057" w:hanging="318"/>
      </w:pPr>
      <w:rPr>
        <w:rFonts w:hint="default"/>
        <w:lang w:val="zh-CN" w:eastAsia="zh-CN" w:bidi="zh-CN"/>
      </w:rPr>
    </w:lvl>
    <w:lvl w:ilvl="3" w:tplc="1D161710">
      <w:numFmt w:val="bullet"/>
      <w:lvlText w:val="•"/>
      <w:lvlJc w:val="left"/>
      <w:pPr>
        <w:ind w:left="4005" w:hanging="318"/>
      </w:pPr>
      <w:rPr>
        <w:rFonts w:hint="default"/>
        <w:lang w:val="zh-CN" w:eastAsia="zh-CN" w:bidi="zh-CN"/>
      </w:rPr>
    </w:lvl>
    <w:lvl w:ilvl="4" w:tplc="26FC18B6">
      <w:numFmt w:val="bullet"/>
      <w:lvlText w:val="•"/>
      <w:lvlJc w:val="left"/>
      <w:pPr>
        <w:ind w:left="4954" w:hanging="318"/>
      </w:pPr>
      <w:rPr>
        <w:rFonts w:hint="default"/>
        <w:lang w:val="zh-CN" w:eastAsia="zh-CN" w:bidi="zh-CN"/>
      </w:rPr>
    </w:lvl>
    <w:lvl w:ilvl="5" w:tplc="3D0C772A">
      <w:numFmt w:val="bullet"/>
      <w:lvlText w:val="•"/>
      <w:lvlJc w:val="left"/>
      <w:pPr>
        <w:ind w:left="5903" w:hanging="318"/>
      </w:pPr>
      <w:rPr>
        <w:rFonts w:hint="default"/>
        <w:lang w:val="zh-CN" w:eastAsia="zh-CN" w:bidi="zh-CN"/>
      </w:rPr>
    </w:lvl>
    <w:lvl w:ilvl="6" w:tplc="EEFE48B2">
      <w:numFmt w:val="bullet"/>
      <w:lvlText w:val="•"/>
      <w:lvlJc w:val="left"/>
      <w:pPr>
        <w:ind w:left="6851" w:hanging="318"/>
      </w:pPr>
      <w:rPr>
        <w:rFonts w:hint="default"/>
        <w:lang w:val="zh-CN" w:eastAsia="zh-CN" w:bidi="zh-CN"/>
      </w:rPr>
    </w:lvl>
    <w:lvl w:ilvl="7" w:tplc="636A5DA2">
      <w:numFmt w:val="bullet"/>
      <w:lvlText w:val="•"/>
      <w:lvlJc w:val="left"/>
      <w:pPr>
        <w:ind w:left="7800" w:hanging="318"/>
      </w:pPr>
      <w:rPr>
        <w:rFonts w:hint="default"/>
        <w:lang w:val="zh-CN" w:eastAsia="zh-CN" w:bidi="zh-CN"/>
      </w:rPr>
    </w:lvl>
    <w:lvl w:ilvl="8" w:tplc="6B729450">
      <w:numFmt w:val="bullet"/>
      <w:lvlText w:val="•"/>
      <w:lvlJc w:val="left"/>
      <w:pPr>
        <w:ind w:left="8749" w:hanging="318"/>
      </w:pPr>
      <w:rPr>
        <w:rFonts w:hint="default"/>
        <w:lang w:val="zh-CN" w:eastAsia="zh-CN" w:bidi="zh-CN"/>
      </w:rPr>
    </w:lvl>
  </w:abstractNum>
  <w:abstractNum w:abstractNumId="529" w15:restartNumberingAfterBreak="0">
    <w:nsid w:val="471B2359"/>
    <w:multiLevelType w:val="hybridMultilevel"/>
    <w:tmpl w:val="876A79D2"/>
    <w:lvl w:ilvl="0" w:tplc="E38AA312">
      <w:start w:val="4"/>
      <w:numFmt w:val="decimal"/>
      <w:lvlText w:val="%1"/>
      <w:lvlJc w:val="left"/>
      <w:pPr>
        <w:ind w:left="1158" w:hanging="318"/>
        <w:jc w:val="left"/>
      </w:pPr>
      <w:rPr>
        <w:rFonts w:hint="default"/>
        <w:lang w:val="zh-CN" w:eastAsia="zh-CN" w:bidi="zh-CN"/>
      </w:rPr>
    </w:lvl>
    <w:lvl w:ilvl="1" w:tplc="73F878CE">
      <w:start w:val="4"/>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17149846">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29DEA320">
      <w:numFmt w:val="bullet"/>
      <w:lvlText w:val="•"/>
      <w:lvlJc w:val="left"/>
      <w:pPr>
        <w:ind w:left="2573" w:hanging="529"/>
      </w:pPr>
      <w:rPr>
        <w:rFonts w:hint="default"/>
        <w:lang w:val="zh-CN" w:eastAsia="zh-CN" w:bidi="zh-CN"/>
      </w:rPr>
    </w:lvl>
    <w:lvl w:ilvl="4" w:tplc="7C461E40">
      <w:numFmt w:val="bullet"/>
      <w:lvlText w:val="•"/>
      <w:lvlJc w:val="left"/>
      <w:pPr>
        <w:ind w:left="3726" w:hanging="529"/>
      </w:pPr>
      <w:rPr>
        <w:rFonts w:hint="default"/>
        <w:lang w:val="zh-CN" w:eastAsia="zh-CN" w:bidi="zh-CN"/>
      </w:rPr>
    </w:lvl>
    <w:lvl w:ilvl="5" w:tplc="EEEC6466">
      <w:numFmt w:val="bullet"/>
      <w:lvlText w:val="•"/>
      <w:lvlJc w:val="left"/>
      <w:pPr>
        <w:ind w:left="4879" w:hanging="529"/>
      </w:pPr>
      <w:rPr>
        <w:rFonts w:hint="default"/>
        <w:lang w:val="zh-CN" w:eastAsia="zh-CN" w:bidi="zh-CN"/>
      </w:rPr>
    </w:lvl>
    <w:lvl w:ilvl="6" w:tplc="153AD5FC">
      <w:numFmt w:val="bullet"/>
      <w:lvlText w:val="•"/>
      <w:lvlJc w:val="left"/>
      <w:pPr>
        <w:ind w:left="6033" w:hanging="529"/>
      </w:pPr>
      <w:rPr>
        <w:rFonts w:hint="default"/>
        <w:lang w:val="zh-CN" w:eastAsia="zh-CN" w:bidi="zh-CN"/>
      </w:rPr>
    </w:lvl>
    <w:lvl w:ilvl="7" w:tplc="D6ECA0C4">
      <w:numFmt w:val="bullet"/>
      <w:lvlText w:val="•"/>
      <w:lvlJc w:val="left"/>
      <w:pPr>
        <w:ind w:left="7186" w:hanging="529"/>
      </w:pPr>
      <w:rPr>
        <w:rFonts w:hint="default"/>
        <w:lang w:val="zh-CN" w:eastAsia="zh-CN" w:bidi="zh-CN"/>
      </w:rPr>
    </w:lvl>
    <w:lvl w:ilvl="8" w:tplc="E978469E">
      <w:numFmt w:val="bullet"/>
      <w:lvlText w:val="•"/>
      <w:lvlJc w:val="left"/>
      <w:pPr>
        <w:ind w:left="8339" w:hanging="529"/>
      </w:pPr>
      <w:rPr>
        <w:rFonts w:hint="default"/>
        <w:lang w:val="zh-CN" w:eastAsia="zh-CN" w:bidi="zh-CN"/>
      </w:rPr>
    </w:lvl>
  </w:abstractNum>
  <w:abstractNum w:abstractNumId="530" w15:restartNumberingAfterBreak="0">
    <w:nsid w:val="4721759B"/>
    <w:multiLevelType w:val="hybridMultilevel"/>
    <w:tmpl w:val="267244F0"/>
    <w:lvl w:ilvl="0" w:tplc="F69C6BC6">
      <w:start w:val="1"/>
      <w:numFmt w:val="decimal"/>
      <w:lvlText w:val="（%1）"/>
      <w:lvlJc w:val="left"/>
      <w:pPr>
        <w:ind w:left="418" w:hanging="532"/>
        <w:jc w:val="left"/>
      </w:pPr>
      <w:rPr>
        <w:rFonts w:ascii="宋体" w:eastAsia="宋体" w:hAnsi="宋体" w:cs="宋体" w:hint="default"/>
        <w:spacing w:val="0"/>
        <w:w w:val="100"/>
        <w:sz w:val="19"/>
        <w:szCs w:val="19"/>
        <w:lang w:val="zh-CN" w:eastAsia="zh-CN" w:bidi="zh-CN"/>
      </w:rPr>
    </w:lvl>
    <w:lvl w:ilvl="1" w:tplc="FFE8F0D8">
      <w:numFmt w:val="bullet"/>
      <w:lvlText w:val="•"/>
      <w:lvlJc w:val="left"/>
      <w:pPr>
        <w:ind w:left="1442" w:hanging="532"/>
      </w:pPr>
      <w:rPr>
        <w:rFonts w:hint="default"/>
        <w:lang w:val="zh-CN" w:eastAsia="zh-CN" w:bidi="zh-CN"/>
      </w:rPr>
    </w:lvl>
    <w:lvl w:ilvl="2" w:tplc="45120FD4">
      <w:numFmt w:val="bullet"/>
      <w:lvlText w:val="•"/>
      <w:lvlJc w:val="left"/>
      <w:pPr>
        <w:ind w:left="2465" w:hanging="532"/>
      </w:pPr>
      <w:rPr>
        <w:rFonts w:hint="default"/>
        <w:lang w:val="zh-CN" w:eastAsia="zh-CN" w:bidi="zh-CN"/>
      </w:rPr>
    </w:lvl>
    <w:lvl w:ilvl="3" w:tplc="901AB9EA">
      <w:numFmt w:val="bullet"/>
      <w:lvlText w:val="•"/>
      <w:lvlJc w:val="left"/>
      <w:pPr>
        <w:ind w:left="3487" w:hanging="532"/>
      </w:pPr>
      <w:rPr>
        <w:rFonts w:hint="default"/>
        <w:lang w:val="zh-CN" w:eastAsia="zh-CN" w:bidi="zh-CN"/>
      </w:rPr>
    </w:lvl>
    <w:lvl w:ilvl="4" w:tplc="E724F8F2">
      <w:numFmt w:val="bullet"/>
      <w:lvlText w:val="•"/>
      <w:lvlJc w:val="left"/>
      <w:pPr>
        <w:ind w:left="4510" w:hanging="532"/>
      </w:pPr>
      <w:rPr>
        <w:rFonts w:hint="default"/>
        <w:lang w:val="zh-CN" w:eastAsia="zh-CN" w:bidi="zh-CN"/>
      </w:rPr>
    </w:lvl>
    <w:lvl w:ilvl="5" w:tplc="F3767C80">
      <w:numFmt w:val="bullet"/>
      <w:lvlText w:val="•"/>
      <w:lvlJc w:val="left"/>
      <w:pPr>
        <w:ind w:left="5533" w:hanging="532"/>
      </w:pPr>
      <w:rPr>
        <w:rFonts w:hint="default"/>
        <w:lang w:val="zh-CN" w:eastAsia="zh-CN" w:bidi="zh-CN"/>
      </w:rPr>
    </w:lvl>
    <w:lvl w:ilvl="6" w:tplc="E0C0AAE8">
      <w:numFmt w:val="bullet"/>
      <w:lvlText w:val="•"/>
      <w:lvlJc w:val="left"/>
      <w:pPr>
        <w:ind w:left="6555" w:hanging="532"/>
      </w:pPr>
      <w:rPr>
        <w:rFonts w:hint="default"/>
        <w:lang w:val="zh-CN" w:eastAsia="zh-CN" w:bidi="zh-CN"/>
      </w:rPr>
    </w:lvl>
    <w:lvl w:ilvl="7" w:tplc="1644A788">
      <w:numFmt w:val="bullet"/>
      <w:lvlText w:val="•"/>
      <w:lvlJc w:val="left"/>
      <w:pPr>
        <w:ind w:left="7578" w:hanging="532"/>
      </w:pPr>
      <w:rPr>
        <w:rFonts w:hint="default"/>
        <w:lang w:val="zh-CN" w:eastAsia="zh-CN" w:bidi="zh-CN"/>
      </w:rPr>
    </w:lvl>
    <w:lvl w:ilvl="8" w:tplc="91F4D1B0">
      <w:numFmt w:val="bullet"/>
      <w:lvlText w:val="•"/>
      <w:lvlJc w:val="left"/>
      <w:pPr>
        <w:ind w:left="8601" w:hanging="532"/>
      </w:pPr>
      <w:rPr>
        <w:rFonts w:hint="default"/>
        <w:lang w:val="zh-CN" w:eastAsia="zh-CN" w:bidi="zh-CN"/>
      </w:rPr>
    </w:lvl>
  </w:abstractNum>
  <w:abstractNum w:abstractNumId="531" w15:restartNumberingAfterBreak="0">
    <w:nsid w:val="478A4E2E"/>
    <w:multiLevelType w:val="hybridMultilevel"/>
    <w:tmpl w:val="05CE0122"/>
    <w:lvl w:ilvl="0" w:tplc="B6E4F520">
      <w:start w:val="6"/>
      <w:numFmt w:val="decimal"/>
      <w:lvlText w:val="%1"/>
      <w:lvlJc w:val="left"/>
      <w:pPr>
        <w:ind w:left="1158" w:hanging="318"/>
        <w:jc w:val="left"/>
      </w:pPr>
      <w:rPr>
        <w:rFonts w:hint="default"/>
        <w:lang w:val="zh-CN" w:eastAsia="zh-CN" w:bidi="zh-CN"/>
      </w:rPr>
    </w:lvl>
    <w:lvl w:ilvl="1" w:tplc="841EDA6E">
      <w:start w:val="7"/>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6F6E46AE">
      <w:start w:val="1"/>
      <w:numFmt w:val="decimal"/>
      <w:lvlText w:val="%1.%2.%3"/>
      <w:lvlJc w:val="left"/>
      <w:pPr>
        <w:ind w:left="418" w:hanging="531"/>
        <w:jc w:val="left"/>
      </w:pPr>
      <w:rPr>
        <w:rFonts w:ascii="宋体" w:eastAsia="宋体" w:hAnsi="宋体" w:cs="宋体" w:hint="default"/>
        <w:b/>
        <w:bCs/>
        <w:color w:val="333333"/>
        <w:w w:val="99"/>
        <w:sz w:val="19"/>
        <w:szCs w:val="19"/>
        <w:lang w:val="zh-CN" w:eastAsia="zh-CN" w:bidi="zh-CN"/>
      </w:rPr>
    </w:lvl>
    <w:lvl w:ilvl="3" w:tplc="DC3A5194">
      <w:numFmt w:val="bullet"/>
      <w:lvlText w:val="•"/>
      <w:lvlJc w:val="left"/>
      <w:pPr>
        <w:ind w:left="3268" w:hanging="531"/>
      </w:pPr>
      <w:rPr>
        <w:rFonts w:hint="default"/>
        <w:lang w:val="zh-CN" w:eastAsia="zh-CN" w:bidi="zh-CN"/>
      </w:rPr>
    </w:lvl>
    <w:lvl w:ilvl="4" w:tplc="FC50217A">
      <w:numFmt w:val="bullet"/>
      <w:lvlText w:val="•"/>
      <w:lvlJc w:val="left"/>
      <w:pPr>
        <w:ind w:left="4322" w:hanging="531"/>
      </w:pPr>
      <w:rPr>
        <w:rFonts w:hint="default"/>
        <w:lang w:val="zh-CN" w:eastAsia="zh-CN" w:bidi="zh-CN"/>
      </w:rPr>
    </w:lvl>
    <w:lvl w:ilvl="5" w:tplc="BFCA5374">
      <w:numFmt w:val="bullet"/>
      <w:lvlText w:val="•"/>
      <w:lvlJc w:val="left"/>
      <w:pPr>
        <w:ind w:left="5376" w:hanging="531"/>
      </w:pPr>
      <w:rPr>
        <w:rFonts w:hint="default"/>
        <w:lang w:val="zh-CN" w:eastAsia="zh-CN" w:bidi="zh-CN"/>
      </w:rPr>
    </w:lvl>
    <w:lvl w:ilvl="6" w:tplc="22B4CE6A">
      <w:numFmt w:val="bullet"/>
      <w:lvlText w:val="•"/>
      <w:lvlJc w:val="left"/>
      <w:pPr>
        <w:ind w:left="6430" w:hanging="531"/>
      </w:pPr>
      <w:rPr>
        <w:rFonts w:hint="default"/>
        <w:lang w:val="zh-CN" w:eastAsia="zh-CN" w:bidi="zh-CN"/>
      </w:rPr>
    </w:lvl>
    <w:lvl w:ilvl="7" w:tplc="6E6A5248">
      <w:numFmt w:val="bullet"/>
      <w:lvlText w:val="•"/>
      <w:lvlJc w:val="left"/>
      <w:pPr>
        <w:ind w:left="7484" w:hanging="531"/>
      </w:pPr>
      <w:rPr>
        <w:rFonts w:hint="default"/>
        <w:lang w:val="zh-CN" w:eastAsia="zh-CN" w:bidi="zh-CN"/>
      </w:rPr>
    </w:lvl>
    <w:lvl w:ilvl="8" w:tplc="F326B4E2">
      <w:numFmt w:val="bullet"/>
      <w:lvlText w:val="•"/>
      <w:lvlJc w:val="left"/>
      <w:pPr>
        <w:ind w:left="8538" w:hanging="531"/>
      </w:pPr>
      <w:rPr>
        <w:rFonts w:hint="default"/>
        <w:lang w:val="zh-CN" w:eastAsia="zh-CN" w:bidi="zh-CN"/>
      </w:rPr>
    </w:lvl>
  </w:abstractNum>
  <w:abstractNum w:abstractNumId="532" w15:restartNumberingAfterBreak="0">
    <w:nsid w:val="479437DF"/>
    <w:multiLevelType w:val="hybridMultilevel"/>
    <w:tmpl w:val="5D0E6EEA"/>
    <w:lvl w:ilvl="0" w:tplc="84400D2E">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1674C482">
      <w:numFmt w:val="bullet"/>
      <w:lvlText w:val="•"/>
      <w:lvlJc w:val="left"/>
      <w:pPr>
        <w:ind w:left="1442" w:hanging="529"/>
      </w:pPr>
      <w:rPr>
        <w:rFonts w:hint="default"/>
        <w:lang w:val="zh-CN" w:eastAsia="zh-CN" w:bidi="zh-CN"/>
      </w:rPr>
    </w:lvl>
    <w:lvl w:ilvl="2" w:tplc="551A233A">
      <w:numFmt w:val="bullet"/>
      <w:lvlText w:val="•"/>
      <w:lvlJc w:val="left"/>
      <w:pPr>
        <w:ind w:left="2465" w:hanging="529"/>
      </w:pPr>
      <w:rPr>
        <w:rFonts w:hint="default"/>
        <w:lang w:val="zh-CN" w:eastAsia="zh-CN" w:bidi="zh-CN"/>
      </w:rPr>
    </w:lvl>
    <w:lvl w:ilvl="3" w:tplc="B5644E8A">
      <w:numFmt w:val="bullet"/>
      <w:lvlText w:val="•"/>
      <w:lvlJc w:val="left"/>
      <w:pPr>
        <w:ind w:left="3487" w:hanging="529"/>
      </w:pPr>
      <w:rPr>
        <w:rFonts w:hint="default"/>
        <w:lang w:val="zh-CN" w:eastAsia="zh-CN" w:bidi="zh-CN"/>
      </w:rPr>
    </w:lvl>
    <w:lvl w:ilvl="4" w:tplc="89425448">
      <w:numFmt w:val="bullet"/>
      <w:lvlText w:val="•"/>
      <w:lvlJc w:val="left"/>
      <w:pPr>
        <w:ind w:left="4510" w:hanging="529"/>
      </w:pPr>
      <w:rPr>
        <w:rFonts w:hint="default"/>
        <w:lang w:val="zh-CN" w:eastAsia="zh-CN" w:bidi="zh-CN"/>
      </w:rPr>
    </w:lvl>
    <w:lvl w:ilvl="5" w:tplc="A39AF61A">
      <w:numFmt w:val="bullet"/>
      <w:lvlText w:val="•"/>
      <w:lvlJc w:val="left"/>
      <w:pPr>
        <w:ind w:left="5533" w:hanging="529"/>
      </w:pPr>
      <w:rPr>
        <w:rFonts w:hint="default"/>
        <w:lang w:val="zh-CN" w:eastAsia="zh-CN" w:bidi="zh-CN"/>
      </w:rPr>
    </w:lvl>
    <w:lvl w:ilvl="6" w:tplc="0C2E9B5C">
      <w:numFmt w:val="bullet"/>
      <w:lvlText w:val="•"/>
      <w:lvlJc w:val="left"/>
      <w:pPr>
        <w:ind w:left="6555" w:hanging="529"/>
      </w:pPr>
      <w:rPr>
        <w:rFonts w:hint="default"/>
        <w:lang w:val="zh-CN" w:eastAsia="zh-CN" w:bidi="zh-CN"/>
      </w:rPr>
    </w:lvl>
    <w:lvl w:ilvl="7" w:tplc="9822E668">
      <w:numFmt w:val="bullet"/>
      <w:lvlText w:val="•"/>
      <w:lvlJc w:val="left"/>
      <w:pPr>
        <w:ind w:left="7578" w:hanging="529"/>
      </w:pPr>
      <w:rPr>
        <w:rFonts w:hint="default"/>
        <w:lang w:val="zh-CN" w:eastAsia="zh-CN" w:bidi="zh-CN"/>
      </w:rPr>
    </w:lvl>
    <w:lvl w:ilvl="8" w:tplc="B9E29820">
      <w:numFmt w:val="bullet"/>
      <w:lvlText w:val="•"/>
      <w:lvlJc w:val="left"/>
      <w:pPr>
        <w:ind w:left="8601" w:hanging="529"/>
      </w:pPr>
      <w:rPr>
        <w:rFonts w:hint="default"/>
        <w:lang w:val="zh-CN" w:eastAsia="zh-CN" w:bidi="zh-CN"/>
      </w:rPr>
    </w:lvl>
  </w:abstractNum>
  <w:abstractNum w:abstractNumId="533" w15:restartNumberingAfterBreak="0">
    <w:nsid w:val="47DB681D"/>
    <w:multiLevelType w:val="hybridMultilevel"/>
    <w:tmpl w:val="B9D22AB6"/>
    <w:lvl w:ilvl="0" w:tplc="F16AF9FC">
      <w:start w:val="1"/>
      <w:numFmt w:val="decimal"/>
      <w:lvlText w:val="（%1）"/>
      <w:lvlJc w:val="left"/>
      <w:pPr>
        <w:ind w:left="418" w:hanging="529"/>
        <w:jc w:val="left"/>
      </w:pPr>
      <w:rPr>
        <w:rFonts w:ascii="宋体" w:eastAsia="宋体" w:hAnsi="宋体" w:cs="宋体" w:hint="default"/>
        <w:w w:val="100"/>
        <w:sz w:val="19"/>
        <w:szCs w:val="19"/>
        <w:lang w:val="zh-CN" w:eastAsia="zh-CN" w:bidi="zh-CN"/>
      </w:rPr>
    </w:lvl>
    <w:lvl w:ilvl="1" w:tplc="C64A7F6C">
      <w:numFmt w:val="bullet"/>
      <w:lvlText w:val="•"/>
      <w:lvlJc w:val="left"/>
      <w:pPr>
        <w:ind w:left="1442" w:hanging="529"/>
      </w:pPr>
      <w:rPr>
        <w:rFonts w:hint="default"/>
        <w:lang w:val="zh-CN" w:eastAsia="zh-CN" w:bidi="zh-CN"/>
      </w:rPr>
    </w:lvl>
    <w:lvl w:ilvl="2" w:tplc="F084A4FA">
      <w:numFmt w:val="bullet"/>
      <w:lvlText w:val="•"/>
      <w:lvlJc w:val="left"/>
      <w:pPr>
        <w:ind w:left="2465" w:hanging="529"/>
      </w:pPr>
      <w:rPr>
        <w:rFonts w:hint="default"/>
        <w:lang w:val="zh-CN" w:eastAsia="zh-CN" w:bidi="zh-CN"/>
      </w:rPr>
    </w:lvl>
    <w:lvl w:ilvl="3" w:tplc="AD7A965C">
      <w:numFmt w:val="bullet"/>
      <w:lvlText w:val="•"/>
      <w:lvlJc w:val="left"/>
      <w:pPr>
        <w:ind w:left="3487" w:hanging="529"/>
      </w:pPr>
      <w:rPr>
        <w:rFonts w:hint="default"/>
        <w:lang w:val="zh-CN" w:eastAsia="zh-CN" w:bidi="zh-CN"/>
      </w:rPr>
    </w:lvl>
    <w:lvl w:ilvl="4" w:tplc="B672E36A">
      <w:numFmt w:val="bullet"/>
      <w:lvlText w:val="•"/>
      <w:lvlJc w:val="left"/>
      <w:pPr>
        <w:ind w:left="4510" w:hanging="529"/>
      </w:pPr>
      <w:rPr>
        <w:rFonts w:hint="default"/>
        <w:lang w:val="zh-CN" w:eastAsia="zh-CN" w:bidi="zh-CN"/>
      </w:rPr>
    </w:lvl>
    <w:lvl w:ilvl="5" w:tplc="F0F0C458">
      <w:numFmt w:val="bullet"/>
      <w:lvlText w:val="•"/>
      <w:lvlJc w:val="left"/>
      <w:pPr>
        <w:ind w:left="5533" w:hanging="529"/>
      </w:pPr>
      <w:rPr>
        <w:rFonts w:hint="default"/>
        <w:lang w:val="zh-CN" w:eastAsia="zh-CN" w:bidi="zh-CN"/>
      </w:rPr>
    </w:lvl>
    <w:lvl w:ilvl="6" w:tplc="1472B654">
      <w:numFmt w:val="bullet"/>
      <w:lvlText w:val="•"/>
      <w:lvlJc w:val="left"/>
      <w:pPr>
        <w:ind w:left="6555" w:hanging="529"/>
      </w:pPr>
      <w:rPr>
        <w:rFonts w:hint="default"/>
        <w:lang w:val="zh-CN" w:eastAsia="zh-CN" w:bidi="zh-CN"/>
      </w:rPr>
    </w:lvl>
    <w:lvl w:ilvl="7" w:tplc="5D9EDED4">
      <w:numFmt w:val="bullet"/>
      <w:lvlText w:val="•"/>
      <w:lvlJc w:val="left"/>
      <w:pPr>
        <w:ind w:left="7578" w:hanging="529"/>
      </w:pPr>
      <w:rPr>
        <w:rFonts w:hint="default"/>
        <w:lang w:val="zh-CN" w:eastAsia="zh-CN" w:bidi="zh-CN"/>
      </w:rPr>
    </w:lvl>
    <w:lvl w:ilvl="8" w:tplc="071E6C9A">
      <w:numFmt w:val="bullet"/>
      <w:lvlText w:val="•"/>
      <w:lvlJc w:val="left"/>
      <w:pPr>
        <w:ind w:left="8601" w:hanging="529"/>
      </w:pPr>
      <w:rPr>
        <w:rFonts w:hint="default"/>
        <w:lang w:val="zh-CN" w:eastAsia="zh-CN" w:bidi="zh-CN"/>
      </w:rPr>
    </w:lvl>
  </w:abstractNum>
  <w:abstractNum w:abstractNumId="534" w15:restartNumberingAfterBreak="0">
    <w:nsid w:val="47FE1BF8"/>
    <w:multiLevelType w:val="hybridMultilevel"/>
    <w:tmpl w:val="84B2194C"/>
    <w:lvl w:ilvl="0" w:tplc="CED2C2DC">
      <w:start w:val="4"/>
      <w:numFmt w:val="decimal"/>
      <w:lvlText w:val="%1"/>
      <w:lvlJc w:val="left"/>
      <w:pPr>
        <w:ind w:left="418" w:hanging="424"/>
        <w:jc w:val="left"/>
      </w:pPr>
      <w:rPr>
        <w:rFonts w:hint="default"/>
        <w:lang w:val="zh-CN" w:eastAsia="zh-CN" w:bidi="zh-CN"/>
      </w:rPr>
    </w:lvl>
    <w:lvl w:ilvl="1" w:tplc="1A78B552">
      <w:start w:val="16"/>
      <w:numFmt w:val="decimal"/>
      <w:lvlText w:val="%1.%2"/>
      <w:lvlJc w:val="left"/>
      <w:pPr>
        <w:ind w:left="418" w:hanging="424"/>
        <w:jc w:val="left"/>
      </w:pPr>
      <w:rPr>
        <w:rFonts w:ascii="宋体" w:eastAsia="宋体" w:hAnsi="宋体" w:cs="宋体" w:hint="default"/>
        <w:b/>
        <w:bCs/>
        <w:w w:val="99"/>
        <w:sz w:val="19"/>
        <w:szCs w:val="19"/>
        <w:lang w:val="zh-CN" w:eastAsia="zh-CN" w:bidi="zh-CN"/>
      </w:rPr>
    </w:lvl>
    <w:lvl w:ilvl="2" w:tplc="8C86788E">
      <w:numFmt w:val="bullet"/>
      <w:lvlText w:val="•"/>
      <w:lvlJc w:val="left"/>
      <w:pPr>
        <w:ind w:left="2465" w:hanging="424"/>
      </w:pPr>
      <w:rPr>
        <w:rFonts w:hint="default"/>
        <w:lang w:val="zh-CN" w:eastAsia="zh-CN" w:bidi="zh-CN"/>
      </w:rPr>
    </w:lvl>
    <w:lvl w:ilvl="3" w:tplc="654A2A6A">
      <w:numFmt w:val="bullet"/>
      <w:lvlText w:val="•"/>
      <w:lvlJc w:val="left"/>
      <w:pPr>
        <w:ind w:left="3487" w:hanging="424"/>
      </w:pPr>
      <w:rPr>
        <w:rFonts w:hint="default"/>
        <w:lang w:val="zh-CN" w:eastAsia="zh-CN" w:bidi="zh-CN"/>
      </w:rPr>
    </w:lvl>
    <w:lvl w:ilvl="4" w:tplc="99ACDB22">
      <w:numFmt w:val="bullet"/>
      <w:lvlText w:val="•"/>
      <w:lvlJc w:val="left"/>
      <w:pPr>
        <w:ind w:left="4510" w:hanging="424"/>
      </w:pPr>
      <w:rPr>
        <w:rFonts w:hint="default"/>
        <w:lang w:val="zh-CN" w:eastAsia="zh-CN" w:bidi="zh-CN"/>
      </w:rPr>
    </w:lvl>
    <w:lvl w:ilvl="5" w:tplc="6B4E1DCE">
      <w:numFmt w:val="bullet"/>
      <w:lvlText w:val="•"/>
      <w:lvlJc w:val="left"/>
      <w:pPr>
        <w:ind w:left="5533" w:hanging="424"/>
      </w:pPr>
      <w:rPr>
        <w:rFonts w:hint="default"/>
        <w:lang w:val="zh-CN" w:eastAsia="zh-CN" w:bidi="zh-CN"/>
      </w:rPr>
    </w:lvl>
    <w:lvl w:ilvl="6" w:tplc="CC3210A6">
      <w:numFmt w:val="bullet"/>
      <w:lvlText w:val="•"/>
      <w:lvlJc w:val="left"/>
      <w:pPr>
        <w:ind w:left="6555" w:hanging="424"/>
      </w:pPr>
      <w:rPr>
        <w:rFonts w:hint="default"/>
        <w:lang w:val="zh-CN" w:eastAsia="zh-CN" w:bidi="zh-CN"/>
      </w:rPr>
    </w:lvl>
    <w:lvl w:ilvl="7" w:tplc="F38A82B0">
      <w:numFmt w:val="bullet"/>
      <w:lvlText w:val="•"/>
      <w:lvlJc w:val="left"/>
      <w:pPr>
        <w:ind w:left="7578" w:hanging="424"/>
      </w:pPr>
      <w:rPr>
        <w:rFonts w:hint="default"/>
        <w:lang w:val="zh-CN" w:eastAsia="zh-CN" w:bidi="zh-CN"/>
      </w:rPr>
    </w:lvl>
    <w:lvl w:ilvl="8" w:tplc="FFC83176">
      <w:numFmt w:val="bullet"/>
      <w:lvlText w:val="•"/>
      <w:lvlJc w:val="left"/>
      <w:pPr>
        <w:ind w:left="8601" w:hanging="424"/>
      </w:pPr>
      <w:rPr>
        <w:rFonts w:hint="default"/>
        <w:lang w:val="zh-CN" w:eastAsia="zh-CN" w:bidi="zh-CN"/>
      </w:rPr>
    </w:lvl>
  </w:abstractNum>
  <w:abstractNum w:abstractNumId="535" w15:restartNumberingAfterBreak="0">
    <w:nsid w:val="480B16A4"/>
    <w:multiLevelType w:val="hybridMultilevel"/>
    <w:tmpl w:val="9FD88DDA"/>
    <w:lvl w:ilvl="0" w:tplc="7272E87C">
      <w:start w:val="4"/>
      <w:numFmt w:val="decimal"/>
      <w:lvlText w:val="%1"/>
      <w:lvlJc w:val="left"/>
      <w:pPr>
        <w:ind w:left="1263" w:hanging="424"/>
        <w:jc w:val="left"/>
      </w:pPr>
      <w:rPr>
        <w:rFonts w:hint="default"/>
        <w:lang w:val="zh-CN" w:eastAsia="zh-CN" w:bidi="zh-CN"/>
      </w:rPr>
    </w:lvl>
    <w:lvl w:ilvl="1" w:tplc="5AF6F3CA">
      <w:start w:val="28"/>
      <w:numFmt w:val="decimal"/>
      <w:lvlText w:val="%1.%2"/>
      <w:lvlJc w:val="left"/>
      <w:pPr>
        <w:ind w:left="1263" w:hanging="424"/>
        <w:jc w:val="left"/>
      </w:pPr>
      <w:rPr>
        <w:rFonts w:ascii="宋体" w:eastAsia="宋体" w:hAnsi="宋体" w:cs="宋体" w:hint="default"/>
        <w:b/>
        <w:bCs/>
        <w:w w:val="99"/>
        <w:sz w:val="19"/>
        <w:szCs w:val="19"/>
        <w:lang w:val="zh-CN" w:eastAsia="zh-CN" w:bidi="zh-CN"/>
      </w:rPr>
    </w:lvl>
    <w:lvl w:ilvl="2" w:tplc="503683F4">
      <w:start w:val="1"/>
      <w:numFmt w:val="decimal"/>
      <w:lvlText w:val="%1.%2.%3"/>
      <w:lvlJc w:val="left"/>
      <w:pPr>
        <w:ind w:left="418" w:hanging="637"/>
        <w:jc w:val="left"/>
      </w:pPr>
      <w:rPr>
        <w:rFonts w:ascii="宋体" w:eastAsia="宋体" w:hAnsi="宋体" w:cs="宋体" w:hint="default"/>
        <w:b/>
        <w:bCs/>
        <w:w w:val="99"/>
        <w:sz w:val="19"/>
        <w:szCs w:val="19"/>
        <w:lang w:val="zh-CN" w:eastAsia="zh-CN" w:bidi="zh-CN"/>
      </w:rPr>
    </w:lvl>
    <w:lvl w:ilvl="3" w:tplc="8B907472">
      <w:numFmt w:val="bullet"/>
      <w:lvlText w:val="•"/>
      <w:lvlJc w:val="left"/>
      <w:pPr>
        <w:ind w:left="3345" w:hanging="637"/>
      </w:pPr>
      <w:rPr>
        <w:rFonts w:hint="default"/>
        <w:lang w:val="zh-CN" w:eastAsia="zh-CN" w:bidi="zh-CN"/>
      </w:rPr>
    </w:lvl>
    <w:lvl w:ilvl="4" w:tplc="D3CCD4D4">
      <w:numFmt w:val="bullet"/>
      <w:lvlText w:val="•"/>
      <w:lvlJc w:val="left"/>
      <w:pPr>
        <w:ind w:left="4388" w:hanging="637"/>
      </w:pPr>
      <w:rPr>
        <w:rFonts w:hint="default"/>
        <w:lang w:val="zh-CN" w:eastAsia="zh-CN" w:bidi="zh-CN"/>
      </w:rPr>
    </w:lvl>
    <w:lvl w:ilvl="5" w:tplc="8B327B6C">
      <w:numFmt w:val="bullet"/>
      <w:lvlText w:val="•"/>
      <w:lvlJc w:val="left"/>
      <w:pPr>
        <w:ind w:left="5431" w:hanging="637"/>
      </w:pPr>
      <w:rPr>
        <w:rFonts w:hint="default"/>
        <w:lang w:val="zh-CN" w:eastAsia="zh-CN" w:bidi="zh-CN"/>
      </w:rPr>
    </w:lvl>
    <w:lvl w:ilvl="6" w:tplc="627A56BC">
      <w:numFmt w:val="bullet"/>
      <w:lvlText w:val="•"/>
      <w:lvlJc w:val="left"/>
      <w:pPr>
        <w:ind w:left="6474" w:hanging="637"/>
      </w:pPr>
      <w:rPr>
        <w:rFonts w:hint="default"/>
        <w:lang w:val="zh-CN" w:eastAsia="zh-CN" w:bidi="zh-CN"/>
      </w:rPr>
    </w:lvl>
    <w:lvl w:ilvl="7" w:tplc="D4A2C5EC">
      <w:numFmt w:val="bullet"/>
      <w:lvlText w:val="•"/>
      <w:lvlJc w:val="left"/>
      <w:pPr>
        <w:ind w:left="7517" w:hanging="637"/>
      </w:pPr>
      <w:rPr>
        <w:rFonts w:hint="default"/>
        <w:lang w:val="zh-CN" w:eastAsia="zh-CN" w:bidi="zh-CN"/>
      </w:rPr>
    </w:lvl>
    <w:lvl w:ilvl="8" w:tplc="A5D6A244">
      <w:numFmt w:val="bullet"/>
      <w:lvlText w:val="•"/>
      <w:lvlJc w:val="left"/>
      <w:pPr>
        <w:ind w:left="8560" w:hanging="637"/>
      </w:pPr>
      <w:rPr>
        <w:rFonts w:hint="default"/>
        <w:lang w:val="zh-CN" w:eastAsia="zh-CN" w:bidi="zh-CN"/>
      </w:rPr>
    </w:lvl>
  </w:abstractNum>
  <w:abstractNum w:abstractNumId="536" w15:restartNumberingAfterBreak="0">
    <w:nsid w:val="48193891"/>
    <w:multiLevelType w:val="hybridMultilevel"/>
    <w:tmpl w:val="AA9A6392"/>
    <w:lvl w:ilvl="0" w:tplc="3176D7C4">
      <w:start w:val="7"/>
      <w:numFmt w:val="decimal"/>
      <w:lvlText w:val="%1"/>
      <w:lvlJc w:val="left"/>
      <w:pPr>
        <w:ind w:left="1369" w:hanging="529"/>
        <w:jc w:val="left"/>
      </w:pPr>
      <w:rPr>
        <w:rFonts w:hint="default"/>
        <w:lang w:val="zh-CN" w:eastAsia="zh-CN" w:bidi="zh-CN"/>
      </w:rPr>
    </w:lvl>
    <w:lvl w:ilvl="1" w:tplc="0980F59E">
      <w:start w:val="5"/>
      <w:numFmt w:val="decimal"/>
      <w:lvlText w:val="%1.%2"/>
      <w:lvlJc w:val="left"/>
      <w:pPr>
        <w:ind w:left="1369" w:hanging="529"/>
        <w:jc w:val="left"/>
      </w:pPr>
      <w:rPr>
        <w:rFonts w:hint="default"/>
        <w:lang w:val="zh-CN" w:eastAsia="zh-CN" w:bidi="zh-CN"/>
      </w:rPr>
    </w:lvl>
    <w:lvl w:ilvl="2" w:tplc="5E6CACC2">
      <w:start w:val="4"/>
      <w:numFmt w:val="decimal"/>
      <w:lvlText w:val="%1.%2.%3"/>
      <w:lvlJc w:val="left"/>
      <w:pPr>
        <w:ind w:left="1369" w:hanging="529"/>
        <w:jc w:val="left"/>
      </w:pPr>
      <w:rPr>
        <w:rFonts w:ascii="宋体" w:eastAsia="宋体" w:hAnsi="宋体" w:cs="宋体" w:hint="default"/>
        <w:b/>
        <w:bCs/>
        <w:spacing w:val="-3"/>
        <w:w w:val="99"/>
        <w:sz w:val="19"/>
        <w:szCs w:val="19"/>
        <w:lang w:val="zh-CN" w:eastAsia="zh-CN" w:bidi="zh-CN"/>
      </w:rPr>
    </w:lvl>
    <w:lvl w:ilvl="3" w:tplc="193EDAB0">
      <w:numFmt w:val="bullet"/>
      <w:lvlText w:val="•"/>
      <w:lvlJc w:val="left"/>
      <w:pPr>
        <w:ind w:left="4145" w:hanging="529"/>
      </w:pPr>
      <w:rPr>
        <w:rFonts w:hint="default"/>
        <w:lang w:val="zh-CN" w:eastAsia="zh-CN" w:bidi="zh-CN"/>
      </w:rPr>
    </w:lvl>
    <w:lvl w:ilvl="4" w:tplc="1A5A5B76">
      <w:numFmt w:val="bullet"/>
      <w:lvlText w:val="•"/>
      <w:lvlJc w:val="left"/>
      <w:pPr>
        <w:ind w:left="5074" w:hanging="529"/>
      </w:pPr>
      <w:rPr>
        <w:rFonts w:hint="default"/>
        <w:lang w:val="zh-CN" w:eastAsia="zh-CN" w:bidi="zh-CN"/>
      </w:rPr>
    </w:lvl>
    <w:lvl w:ilvl="5" w:tplc="277C02CA">
      <w:numFmt w:val="bullet"/>
      <w:lvlText w:val="•"/>
      <w:lvlJc w:val="left"/>
      <w:pPr>
        <w:ind w:left="6003" w:hanging="529"/>
      </w:pPr>
      <w:rPr>
        <w:rFonts w:hint="default"/>
        <w:lang w:val="zh-CN" w:eastAsia="zh-CN" w:bidi="zh-CN"/>
      </w:rPr>
    </w:lvl>
    <w:lvl w:ilvl="6" w:tplc="47EC9B42">
      <w:numFmt w:val="bullet"/>
      <w:lvlText w:val="•"/>
      <w:lvlJc w:val="left"/>
      <w:pPr>
        <w:ind w:left="6931" w:hanging="529"/>
      </w:pPr>
      <w:rPr>
        <w:rFonts w:hint="default"/>
        <w:lang w:val="zh-CN" w:eastAsia="zh-CN" w:bidi="zh-CN"/>
      </w:rPr>
    </w:lvl>
    <w:lvl w:ilvl="7" w:tplc="A4E21890">
      <w:numFmt w:val="bullet"/>
      <w:lvlText w:val="•"/>
      <w:lvlJc w:val="left"/>
      <w:pPr>
        <w:ind w:left="7860" w:hanging="529"/>
      </w:pPr>
      <w:rPr>
        <w:rFonts w:hint="default"/>
        <w:lang w:val="zh-CN" w:eastAsia="zh-CN" w:bidi="zh-CN"/>
      </w:rPr>
    </w:lvl>
    <w:lvl w:ilvl="8" w:tplc="AAF4C6F8">
      <w:numFmt w:val="bullet"/>
      <w:lvlText w:val="•"/>
      <w:lvlJc w:val="left"/>
      <w:pPr>
        <w:ind w:left="8789" w:hanging="529"/>
      </w:pPr>
      <w:rPr>
        <w:rFonts w:hint="default"/>
        <w:lang w:val="zh-CN" w:eastAsia="zh-CN" w:bidi="zh-CN"/>
      </w:rPr>
    </w:lvl>
  </w:abstractNum>
  <w:abstractNum w:abstractNumId="537" w15:restartNumberingAfterBreak="0">
    <w:nsid w:val="481B6D13"/>
    <w:multiLevelType w:val="hybridMultilevel"/>
    <w:tmpl w:val="7DD4D0C2"/>
    <w:lvl w:ilvl="0" w:tplc="46FA4FBC">
      <w:start w:val="3"/>
      <w:numFmt w:val="lowerLetter"/>
      <w:lvlText w:val="%1)"/>
      <w:lvlJc w:val="left"/>
      <w:pPr>
        <w:ind w:left="418" w:hanging="213"/>
        <w:jc w:val="left"/>
      </w:pPr>
      <w:rPr>
        <w:rFonts w:ascii="宋体" w:eastAsia="宋体" w:hAnsi="宋体" w:cs="宋体" w:hint="default"/>
        <w:spacing w:val="-55"/>
        <w:w w:val="100"/>
        <w:sz w:val="19"/>
        <w:szCs w:val="19"/>
        <w:lang w:val="zh-CN" w:eastAsia="zh-CN" w:bidi="zh-CN"/>
      </w:rPr>
    </w:lvl>
    <w:lvl w:ilvl="1" w:tplc="760E63AA">
      <w:numFmt w:val="bullet"/>
      <w:lvlText w:val="•"/>
      <w:lvlJc w:val="left"/>
      <w:pPr>
        <w:ind w:left="1442" w:hanging="213"/>
      </w:pPr>
      <w:rPr>
        <w:rFonts w:hint="default"/>
        <w:lang w:val="zh-CN" w:eastAsia="zh-CN" w:bidi="zh-CN"/>
      </w:rPr>
    </w:lvl>
    <w:lvl w:ilvl="2" w:tplc="F370A794">
      <w:numFmt w:val="bullet"/>
      <w:lvlText w:val="•"/>
      <w:lvlJc w:val="left"/>
      <w:pPr>
        <w:ind w:left="2465" w:hanging="213"/>
      </w:pPr>
      <w:rPr>
        <w:rFonts w:hint="default"/>
        <w:lang w:val="zh-CN" w:eastAsia="zh-CN" w:bidi="zh-CN"/>
      </w:rPr>
    </w:lvl>
    <w:lvl w:ilvl="3" w:tplc="883856D2">
      <w:numFmt w:val="bullet"/>
      <w:lvlText w:val="•"/>
      <w:lvlJc w:val="left"/>
      <w:pPr>
        <w:ind w:left="3487" w:hanging="213"/>
      </w:pPr>
      <w:rPr>
        <w:rFonts w:hint="default"/>
        <w:lang w:val="zh-CN" w:eastAsia="zh-CN" w:bidi="zh-CN"/>
      </w:rPr>
    </w:lvl>
    <w:lvl w:ilvl="4" w:tplc="2C06695C">
      <w:numFmt w:val="bullet"/>
      <w:lvlText w:val="•"/>
      <w:lvlJc w:val="left"/>
      <w:pPr>
        <w:ind w:left="4510" w:hanging="213"/>
      </w:pPr>
      <w:rPr>
        <w:rFonts w:hint="default"/>
        <w:lang w:val="zh-CN" w:eastAsia="zh-CN" w:bidi="zh-CN"/>
      </w:rPr>
    </w:lvl>
    <w:lvl w:ilvl="5" w:tplc="88CA4B46">
      <w:numFmt w:val="bullet"/>
      <w:lvlText w:val="•"/>
      <w:lvlJc w:val="left"/>
      <w:pPr>
        <w:ind w:left="5533" w:hanging="213"/>
      </w:pPr>
      <w:rPr>
        <w:rFonts w:hint="default"/>
        <w:lang w:val="zh-CN" w:eastAsia="zh-CN" w:bidi="zh-CN"/>
      </w:rPr>
    </w:lvl>
    <w:lvl w:ilvl="6" w:tplc="0DB4FDE0">
      <w:numFmt w:val="bullet"/>
      <w:lvlText w:val="•"/>
      <w:lvlJc w:val="left"/>
      <w:pPr>
        <w:ind w:left="6555" w:hanging="213"/>
      </w:pPr>
      <w:rPr>
        <w:rFonts w:hint="default"/>
        <w:lang w:val="zh-CN" w:eastAsia="zh-CN" w:bidi="zh-CN"/>
      </w:rPr>
    </w:lvl>
    <w:lvl w:ilvl="7" w:tplc="1994CB48">
      <w:numFmt w:val="bullet"/>
      <w:lvlText w:val="•"/>
      <w:lvlJc w:val="left"/>
      <w:pPr>
        <w:ind w:left="7578" w:hanging="213"/>
      </w:pPr>
      <w:rPr>
        <w:rFonts w:hint="default"/>
        <w:lang w:val="zh-CN" w:eastAsia="zh-CN" w:bidi="zh-CN"/>
      </w:rPr>
    </w:lvl>
    <w:lvl w:ilvl="8" w:tplc="07B06A98">
      <w:numFmt w:val="bullet"/>
      <w:lvlText w:val="•"/>
      <w:lvlJc w:val="left"/>
      <w:pPr>
        <w:ind w:left="8601" w:hanging="213"/>
      </w:pPr>
      <w:rPr>
        <w:rFonts w:hint="default"/>
        <w:lang w:val="zh-CN" w:eastAsia="zh-CN" w:bidi="zh-CN"/>
      </w:rPr>
    </w:lvl>
  </w:abstractNum>
  <w:abstractNum w:abstractNumId="538" w15:restartNumberingAfterBreak="0">
    <w:nsid w:val="483305C5"/>
    <w:multiLevelType w:val="hybridMultilevel"/>
    <w:tmpl w:val="FBC2F1CE"/>
    <w:lvl w:ilvl="0" w:tplc="08A87998">
      <w:start w:val="5"/>
      <w:numFmt w:val="decimal"/>
      <w:lvlText w:val="%1"/>
      <w:lvlJc w:val="left"/>
      <w:pPr>
        <w:ind w:left="1575" w:hanging="738"/>
        <w:jc w:val="left"/>
      </w:pPr>
      <w:rPr>
        <w:rFonts w:hint="default"/>
        <w:lang w:val="zh-CN" w:eastAsia="zh-CN" w:bidi="zh-CN"/>
      </w:rPr>
    </w:lvl>
    <w:lvl w:ilvl="1" w:tplc="4CF6DBEE">
      <w:start w:val="8"/>
      <w:numFmt w:val="decimal"/>
      <w:lvlText w:val="%1.%2"/>
      <w:lvlJc w:val="left"/>
      <w:pPr>
        <w:ind w:left="1575" w:hanging="738"/>
        <w:jc w:val="left"/>
      </w:pPr>
      <w:rPr>
        <w:rFonts w:hint="default"/>
        <w:lang w:val="zh-CN" w:eastAsia="zh-CN" w:bidi="zh-CN"/>
      </w:rPr>
    </w:lvl>
    <w:lvl w:ilvl="2" w:tplc="F50A1464">
      <w:start w:val="2"/>
      <w:numFmt w:val="decimal"/>
      <w:lvlText w:val="%1.%2.%3"/>
      <w:lvlJc w:val="left"/>
      <w:pPr>
        <w:ind w:left="1575" w:hanging="738"/>
        <w:jc w:val="left"/>
      </w:pPr>
      <w:rPr>
        <w:rFonts w:hint="default"/>
        <w:lang w:val="zh-CN" w:eastAsia="zh-CN" w:bidi="zh-CN"/>
      </w:rPr>
    </w:lvl>
    <w:lvl w:ilvl="3" w:tplc="B00AF8FC">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97F07C30">
      <w:numFmt w:val="bullet"/>
      <w:lvlText w:val="•"/>
      <w:lvlJc w:val="left"/>
      <w:pPr>
        <w:ind w:left="5206" w:hanging="738"/>
      </w:pPr>
      <w:rPr>
        <w:rFonts w:hint="default"/>
        <w:lang w:val="zh-CN" w:eastAsia="zh-CN" w:bidi="zh-CN"/>
      </w:rPr>
    </w:lvl>
    <w:lvl w:ilvl="5" w:tplc="C9A4314A">
      <w:numFmt w:val="bullet"/>
      <w:lvlText w:val="•"/>
      <w:lvlJc w:val="left"/>
      <w:pPr>
        <w:ind w:left="6113" w:hanging="738"/>
      </w:pPr>
      <w:rPr>
        <w:rFonts w:hint="default"/>
        <w:lang w:val="zh-CN" w:eastAsia="zh-CN" w:bidi="zh-CN"/>
      </w:rPr>
    </w:lvl>
    <w:lvl w:ilvl="6" w:tplc="461C04DE">
      <w:numFmt w:val="bullet"/>
      <w:lvlText w:val="•"/>
      <w:lvlJc w:val="left"/>
      <w:pPr>
        <w:ind w:left="7019" w:hanging="738"/>
      </w:pPr>
      <w:rPr>
        <w:rFonts w:hint="default"/>
        <w:lang w:val="zh-CN" w:eastAsia="zh-CN" w:bidi="zh-CN"/>
      </w:rPr>
    </w:lvl>
    <w:lvl w:ilvl="7" w:tplc="0352C228">
      <w:numFmt w:val="bullet"/>
      <w:lvlText w:val="•"/>
      <w:lvlJc w:val="left"/>
      <w:pPr>
        <w:ind w:left="7926" w:hanging="738"/>
      </w:pPr>
      <w:rPr>
        <w:rFonts w:hint="default"/>
        <w:lang w:val="zh-CN" w:eastAsia="zh-CN" w:bidi="zh-CN"/>
      </w:rPr>
    </w:lvl>
    <w:lvl w:ilvl="8" w:tplc="F8F44F6A">
      <w:numFmt w:val="bullet"/>
      <w:lvlText w:val="•"/>
      <w:lvlJc w:val="left"/>
      <w:pPr>
        <w:ind w:left="8833" w:hanging="738"/>
      </w:pPr>
      <w:rPr>
        <w:rFonts w:hint="default"/>
        <w:lang w:val="zh-CN" w:eastAsia="zh-CN" w:bidi="zh-CN"/>
      </w:rPr>
    </w:lvl>
  </w:abstractNum>
  <w:abstractNum w:abstractNumId="539" w15:restartNumberingAfterBreak="0">
    <w:nsid w:val="483B4729"/>
    <w:multiLevelType w:val="hybridMultilevel"/>
    <w:tmpl w:val="5492F102"/>
    <w:lvl w:ilvl="0" w:tplc="715083B2">
      <w:start w:val="3"/>
      <w:numFmt w:val="decimal"/>
      <w:lvlText w:val="%1"/>
      <w:lvlJc w:val="left"/>
      <w:pPr>
        <w:ind w:left="1158" w:hanging="318"/>
        <w:jc w:val="left"/>
      </w:pPr>
      <w:rPr>
        <w:rFonts w:hint="default"/>
        <w:lang w:val="zh-CN" w:eastAsia="zh-CN" w:bidi="zh-CN"/>
      </w:rPr>
    </w:lvl>
    <w:lvl w:ilvl="1" w:tplc="D004DF96">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4300DBC6">
      <w:start w:val="1"/>
      <w:numFmt w:val="decimal"/>
      <w:lvlText w:val="%1.%2.%3"/>
      <w:lvlJc w:val="left"/>
      <w:pPr>
        <w:ind w:left="418" w:hanging="584"/>
        <w:jc w:val="left"/>
      </w:pPr>
      <w:rPr>
        <w:rFonts w:ascii="宋体" w:eastAsia="宋体" w:hAnsi="宋体" w:cs="宋体" w:hint="default"/>
        <w:b/>
        <w:bCs/>
        <w:w w:val="99"/>
        <w:sz w:val="21"/>
        <w:szCs w:val="21"/>
        <w:lang w:val="zh-CN" w:eastAsia="zh-CN" w:bidi="zh-CN"/>
      </w:rPr>
    </w:lvl>
    <w:lvl w:ilvl="3" w:tplc="D870EAEA">
      <w:numFmt w:val="bullet"/>
      <w:lvlText w:val="•"/>
      <w:lvlJc w:val="left"/>
      <w:pPr>
        <w:ind w:left="3268" w:hanging="584"/>
      </w:pPr>
      <w:rPr>
        <w:rFonts w:hint="default"/>
        <w:lang w:val="zh-CN" w:eastAsia="zh-CN" w:bidi="zh-CN"/>
      </w:rPr>
    </w:lvl>
    <w:lvl w:ilvl="4" w:tplc="B0D464C0">
      <w:numFmt w:val="bullet"/>
      <w:lvlText w:val="•"/>
      <w:lvlJc w:val="left"/>
      <w:pPr>
        <w:ind w:left="4322" w:hanging="584"/>
      </w:pPr>
      <w:rPr>
        <w:rFonts w:hint="default"/>
        <w:lang w:val="zh-CN" w:eastAsia="zh-CN" w:bidi="zh-CN"/>
      </w:rPr>
    </w:lvl>
    <w:lvl w:ilvl="5" w:tplc="7B0C0762">
      <w:numFmt w:val="bullet"/>
      <w:lvlText w:val="•"/>
      <w:lvlJc w:val="left"/>
      <w:pPr>
        <w:ind w:left="5376" w:hanging="584"/>
      </w:pPr>
      <w:rPr>
        <w:rFonts w:hint="default"/>
        <w:lang w:val="zh-CN" w:eastAsia="zh-CN" w:bidi="zh-CN"/>
      </w:rPr>
    </w:lvl>
    <w:lvl w:ilvl="6" w:tplc="AC4C6466">
      <w:numFmt w:val="bullet"/>
      <w:lvlText w:val="•"/>
      <w:lvlJc w:val="left"/>
      <w:pPr>
        <w:ind w:left="6430" w:hanging="584"/>
      </w:pPr>
      <w:rPr>
        <w:rFonts w:hint="default"/>
        <w:lang w:val="zh-CN" w:eastAsia="zh-CN" w:bidi="zh-CN"/>
      </w:rPr>
    </w:lvl>
    <w:lvl w:ilvl="7" w:tplc="127A5258">
      <w:numFmt w:val="bullet"/>
      <w:lvlText w:val="•"/>
      <w:lvlJc w:val="left"/>
      <w:pPr>
        <w:ind w:left="7484" w:hanging="584"/>
      </w:pPr>
      <w:rPr>
        <w:rFonts w:hint="default"/>
        <w:lang w:val="zh-CN" w:eastAsia="zh-CN" w:bidi="zh-CN"/>
      </w:rPr>
    </w:lvl>
    <w:lvl w:ilvl="8" w:tplc="4D725E2A">
      <w:numFmt w:val="bullet"/>
      <w:lvlText w:val="•"/>
      <w:lvlJc w:val="left"/>
      <w:pPr>
        <w:ind w:left="8538" w:hanging="584"/>
      </w:pPr>
      <w:rPr>
        <w:rFonts w:hint="default"/>
        <w:lang w:val="zh-CN" w:eastAsia="zh-CN" w:bidi="zh-CN"/>
      </w:rPr>
    </w:lvl>
  </w:abstractNum>
  <w:abstractNum w:abstractNumId="540" w15:restartNumberingAfterBreak="0">
    <w:nsid w:val="487915D9"/>
    <w:multiLevelType w:val="hybridMultilevel"/>
    <w:tmpl w:val="D99E2CE2"/>
    <w:lvl w:ilvl="0" w:tplc="4DC280F4">
      <w:start w:val="3"/>
      <w:numFmt w:val="decimal"/>
      <w:lvlText w:val="%1"/>
      <w:lvlJc w:val="left"/>
      <w:pPr>
        <w:ind w:left="418" w:hanging="529"/>
        <w:jc w:val="left"/>
      </w:pPr>
      <w:rPr>
        <w:rFonts w:hint="default"/>
        <w:lang w:val="zh-CN" w:eastAsia="zh-CN" w:bidi="zh-CN"/>
      </w:rPr>
    </w:lvl>
    <w:lvl w:ilvl="1" w:tplc="AC02469E">
      <w:start w:val="2"/>
      <w:numFmt w:val="decimal"/>
      <w:lvlText w:val="%1.%2"/>
      <w:lvlJc w:val="left"/>
      <w:pPr>
        <w:ind w:left="418" w:hanging="529"/>
        <w:jc w:val="left"/>
      </w:pPr>
      <w:rPr>
        <w:rFonts w:hint="default"/>
        <w:lang w:val="zh-CN" w:eastAsia="zh-CN" w:bidi="zh-CN"/>
      </w:rPr>
    </w:lvl>
    <w:lvl w:ilvl="2" w:tplc="831AFB80">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FD44B0F8">
      <w:numFmt w:val="bullet"/>
      <w:lvlText w:val="•"/>
      <w:lvlJc w:val="left"/>
      <w:pPr>
        <w:ind w:left="3487" w:hanging="529"/>
      </w:pPr>
      <w:rPr>
        <w:rFonts w:hint="default"/>
        <w:lang w:val="zh-CN" w:eastAsia="zh-CN" w:bidi="zh-CN"/>
      </w:rPr>
    </w:lvl>
    <w:lvl w:ilvl="4" w:tplc="90B02F94">
      <w:numFmt w:val="bullet"/>
      <w:lvlText w:val="•"/>
      <w:lvlJc w:val="left"/>
      <w:pPr>
        <w:ind w:left="4510" w:hanging="529"/>
      </w:pPr>
      <w:rPr>
        <w:rFonts w:hint="default"/>
        <w:lang w:val="zh-CN" w:eastAsia="zh-CN" w:bidi="zh-CN"/>
      </w:rPr>
    </w:lvl>
    <w:lvl w:ilvl="5" w:tplc="93083488">
      <w:numFmt w:val="bullet"/>
      <w:lvlText w:val="•"/>
      <w:lvlJc w:val="left"/>
      <w:pPr>
        <w:ind w:left="5533" w:hanging="529"/>
      </w:pPr>
      <w:rPr>
        <w:rFonts w:hint="default"/>
        <w:lang w:val="zh-CN" w:eastAsia="zh-CN" w:bidi="zh-CN"/>
      </w:rPr>
    </w:lvl>
    <w:lvl w:ilvl="6" w:tplc="994C9CDE">
      <w:numFmt w:val="bullet"/>
      <w:lvlText w:val="•"/>
      <w:lvlJc w:val="left"/>
      <w:pPr>
        <w:ind w:left="6555" w:hanging="529"/>
      </w:pPr>
      <w:rPr>
        <w:rFonts w:hint="default"/>
        <w:lang w:val="zh-CN" w:eastAsia="zh-CN" w:bidi="zh-CN"/>
      </w:rPr>
    </w:lvl>
    <w:lvl w:ilvl="7" w:tplc="6CEAD972">
      <w:numFmt w:val="bullet"/>
      <w:lvlText w:val="•"/>
      <w:lvlJc w:val="left"/>
      <w:pPr>
        <w:ind w:left="7578" w:hanging="529"/>
      </w:pPr>
      <w:rPr>
        <w:rFonts w:hint="default"/>
        <w:lang w:val="zh-CN" w:eastAsia="zh-CN" w:bidi="zh-CN"/>
      </w:rPr>
    </w:lvl>
    <w:lvl w:ilvl="8" w:tplc="80EC54A6">
      <w:numFmt w:val="bullet"/>
      <w:lvlText w:val="•"/>
      <w:lvlJc w:val="left"/>
      <w:pPr>
        <w:ind w:left="8601" w:hanging="529"/>
      </w:pPr>
      <w:rPr>
        <w:rFonts w:hint="default"/>
        <w:lang w:val="zh-CN" w:eastAsia="zh-CN" w:bidi="zh-CN"/>
      </w:rPr>
    </w:lvl>
  </w:abstractNum>
  <w:abstractNum w:abstractNumId="541" w15:restartNumberingAfterBreak="0">
    <w:nsid w:val="48966CE1"/>
    <w:multiLevelType w:val="hybridMultilevel"/>
    <w:tmpl w:val="9B86E9D2"/>
    <w:lvl w:ilvl="0" w:tplc="A354761E">
      <w:start w:val="3"/>
      <w:numFmt w:val="lowerLetter"/>
      <w:lvlText w:val="%1）"/>
      <w:lvlJc w:val="left"/>
      <w:pPr>
        <w:ind w:left="1155" w:hanging="318"/>
        <w:jc w:val="left"/>
      </w:pPr>
      <w:rPr>
        <w:rFonts w:ascii="宋体" w:eastAsia="宋体" w:hAnsi="宋体" w:cs="宋体" w:hint="default"/>
        <w:w w:val="100"/>
        <w:sz w:val="19"/>
        <w:szCs w:val="19"/>
        <w:lang w:val="zh-CN" w:eastAsia="zh-CN" w:bidi="zh-CN"/>
      </w:rPr>
    </w:lvl>
    <w:lvl w:ilvl="1" w:tplc="CEBA3EAA">
      <w:numFmt w:val="bullet"/>
      <w:lvlText w:val="•"/>
      <w:lvlJc w:val="left"/>
      <w:pPr>
        <w:ind w:left="2108" w:hanging="318"/>
      </w:pPr>
      <w:rPr>
        <w:rFonts w:hint="default"/>
        <w:lang w:val="zh-CN" w:eastAsia="zh-CN" w:bidi="zh-CN"/>
      </w:rPr>
    </w:lvl>
    <w:lvl w:ilvl="2" w:tplc="8D0EE0A4">
      <w:numFmt w:val="bullet"/>
      <w:lvlText w:val="•"/>
      <w:lvlJc w:val="left"/>
      <w:pPr>
        <w:ind w:left="3057" w:hanging="318"/>
      </w:pPr>
      <w:rPr>
        <w:rFonts w:hint="default"/>
        <w:lang w:val="zh-CN" w:eastAsia="zh-CN" w:bidi="zh-CN"/>
      </w:rPr>
    </w:lvl>
    <w:lvl w:ilvl="3" w:tplc="82FEEA98">
      <w:numFmt w:val="bullet"/>
      <w:lvlText w:val="•"/>
      <w:lvlJc w:val="left"/>
      <w:pPr>
        <w:ind w:left="4005" w:hanging="318"/>
      </w:pPr>
      <w:rPr>
        <w:rFonts w:hint="default"/>
        <w:lang w:val="zh-CN" w:eastAsia="zh-CN" w:bidi="zh-CN"/>
      </w:rPr>
    </w:lvl>
    <w:lvl w:ilvl="4" w:tplc="8724ED26">
      <w:numFmt w:val="bullet"/>
      <w:lvlText w:val="•"/>
      <w:lvlJc w:val="left"/>
      <w:pPr>
        <w:ind w:left="4954" w:hanging="318"/>
      </w:pPr>
      <w:rPr>
        <w:rFonts w:hint="default"/>
        <w:lang w:val="zh-CN" w:eastAsia="zh-CN" w:bidi="zh-CN"/>
      </w:rPr>
    </w:lvl>
    <w:lvl w:ilvl="5" w:tplc="5DFC1550">
      <w:numFmt w:val="bullet"/>
      <w:lvlText w:val="•"/>
      <w:lvlJc w:val="left"/>
      <w:pPr>
        <w:ind w:left="5903" w:hanging="318"/>
      </w:pPr>
      <w:rPr>
        <w:rFonts w:hint="default"/>
        <w:lang w:val="zh-CN" w:eastAsia="zh-CN" w:bidi="zh-CN"/>
      </w:rPr>
    </w:lvl>
    <w:lvl w:ilvl="6" w:tplc="F0988AAA">
      <w:numFmt w:val="bullet"/>
      <w:lvlText w:val="•"/>
      <w:lvlJc w:val="left"/>
      <w:pPr>
        <w:ind w:left="6851" w:hanging="318"/>
      </w:pPr>
      <w:rPr>
        <w:rFonts w:hint="default"/>
        <w:lang w:val="zh-CN" w:eastAsia="zh-CN" w:bidi="zh-CN"/>
      </w:rPr>
    </w:lvl>
    <w:lvl w:ilvl="7" w:tplc="3110B7E2">
      <w:numFmt w:val="bullet"/>
      <w:lvlText w:val="•"/>
      <w:lvlJc w:val="left"/>
      <w:pPr>
        <w:ind w:left="7800" w:hanging="318"/>
      </w:pPr>
      <w:rPr>
        <w:rFonts w:hint="default"/>
        <w:lang w:val="zh-CN" w:eastAsia="zh-CN" w:bidi="zh-CN"/>
      </w:rPr>
    </w:lvl>
    <w:lvl w:ilvl="8" w:tplc="E42865EC">
      <w:numFmt w:val="bullet"/>
      <w:lvlText w:val="•"/>
      <w:lvlJc w:val="left"/>
      <w:pPr>
        <w:ind w:left="8749" w:hanging="318"/>
      </w:pPr>
      <w:rPr>
        <w:rFonts w:hint="default"/>
        <w:lang w:val="zh-CN" w:eastAsia="zh-CN" w:bidi="zh-CN"/>
      </w:rPr>
    </w:lvl>
  </w:abstractNum>
  <w:abstractNum w:abstractNumId="542" w15:restartNumberingAfterBreak="0">
    <w:nsid w:val="489F446A"/>
    <w:multiLevelType w:val="hybridMultilevel"/>
    <w:tmpl w:val="A87C18D0"/>
    <w:lvl w:ilvl="0" w:tplc="27BA64D2">
      <w:start w:val="5"/>
      <w:numFmt w:val="decimal"/>
      <w:lvlText w:val="%1"/>
      <w:lvlJc w:val="left"/>
      <w:pPr>
        <w:ind w:left="1370" w:hanging="531"/>
        <w:jc w:val="left"/>
      </w:pPr>
      <w:rPr>
        <w:rFonts w:hint="default"/>
        <w:lang w:val="zh-CN" w:eastAsia="zh-CN" w:bidi="zh-CN"/>
      </w:rPr>
    </w:lvl>
    <w:lvl w:ilvl="1" w:tplc="4FBAE10C">
      <w:start w:val="1"/>
      <w:numFmt w:val="decimal"/>
      <w:lvlText w:val="%1.%2"/>
      <w:lvlJc w:val="left"/>
      <w:pPr>
        <w:ind w:left="1370" w:hanging="531"/>
        <w:jc w:val="left"/>
      </w:pPr>
      <w:rPr>
        <w:rFonts w:hint="default"/>
        <w:lang w:val="zh-CN" w:eastAsia="zh-CN" w:bidi="zh-CN"/>
      </w:rPr>
    </w:lvl>
    <w:lvl w:ilvl="2" w:tplc="1A826354">
      <w:start w:val="8"/>
      <w:numFmt w:val="decimal"/>
      <w:lvlText w:val="%1.%2.%3"/>
      <w:lvlJc w:val="left"/>
      <w:pPr>
        <w:ind w:left="1370" w:hanging="531"/>
        <w:jc w:val="left"/>
      </w:pPr>
      <w:rPr>
        <w:rFonts w:ascii="宋体" w:eastAsia="宋体" w:hAnsi="宋体" w:cs="宋体" w:hint="default"/>
        <w:b/>
        <w:bCs/>
        <w:color w:val="333333"/>
        <w:w w:val="99"/>
        <w:sz w:val="19"/>
        <w:szCs w:val="19"/>
        <w:lang w:val="zh-CN" w:eastAsia="zh-CN" w:bidi="zh-CN"/>
      </w:rPr>
    </w:lvl>
    <w:lvl w:ilvl="3" w:tplc="0A803996">
      <w:numFmt w:val="bullet"/>
      <w:lvlText w:val="•"/>
      <w:lvlJc w:val="left"/>
      <w:pPr>
        <w:ind w:left="4159" w:hanging="531"/>
      </w:pPr>
      <w:rPr>
        <w:rFonts w:hint="default"/>
        <w:lang w:val="zh-CN" w:eastAsia="zh-CN" w:bidi="zh-CN"/>
      </w:rPr>
    </w:lvl>
    <w:lvl w:ilvl="4" w:tplc="BCB05992">
      <w:numFmt w:val="bullet"/>
      <w:lvlText w:val="•"/>
      <w:lvlJc w:val="left"/>
      <w:pPr>
        <w:ind w:left="5086" w:hanging="531"/>
      </w:pPr>
      <w:rPr>
        <w:rFonts w:hint="default"/>
        <w:lang w:val="zh-CN" w:eastAsia="zh-CN" w:bidi="zh-CN"/>
      </w:rPr>
    </w:lvl>
    <w:lvl w:ilvl="5" w:tplc="B16CF1B2">
      <w:numFmt w:val="bullet"/>
      <w:lvlText w:val="•"/>
      <w:lvlJc w:val="left"/>
      <w:pPr>
        <w:ind w:left="6013" w:hanging="531"/>
      </w:pPr>
      <w:rPr>
        <w:rFonts w:hint="default"/>
        <w:lang w:val="zh-CN" w:eastAsia="zh-CN" w:bidi="zh-CN"/>
      </w:rPr>
    </w:lvl>
    <w:lvl w:ilvl="6" w:tplc="CAC0AA1C">
      <w:numFmt w:val="bullet"/>
      <w:lvlText w:val="•"/>
      <w:lvlJc w:val="left"/>
      <w:pPr>
        <w:ind w:left="6939" w:hanging="531"/>
      </w:pPr>
      <w:rPr>
        <w:rFonts w:hint="default"/>
        <w:lang w:val="zh-CN" w:eastAsia="zh-CN" w:bidi="zh-CN"/>
      </w:rPr>
    </w:lvl>
    <w:lvl w:ilvl="7" w:tplc="6A048A38">
      <w:numFmt w:val="bullet"/>
      <w:lvlText w:val="•"/>
      <w:lvlJc w:val="left"/>
      <w:pPr>
        <w:ind w:left="7866" w:hanging="531"/>
      </w:pPr>
      <w:rPr>
        <w:rFonts w:hint="default"/>
        <w:lang w:val="zh-CN" w:eastAsia="zh-CN" w:bidi="zh-CN"/>
      </w:rPr>
    </w:lvl>
    <w:lvl w:ilvl="8" w:tplc="E7F683F0">
      <w:numFmt w:val="bullet"/>
      <w:lvlText w:val="•"/>
      <w:lvlJc w:val="left"/>
      <w:pPr>
        <w:ind w:left="8793" w:hanging="531"/>
      </w:pPr>
      <w:rPr>
        <w:rFonts w:hint="default"/>
        <w:lang w:val="zh-CN" w:eastAsia="zh-CN" w:bidi="zh-CN"/>
      </w:rPr>
    </w:lvl>
  </w:abstractNum>
  <w:abstractNum w:abstractNumId="543" w15:restartNumberingAfterBreak="0">
    <w:nsid w:val="48A35DF1"/>
    <w:multiLevelType w:val="hybridMultilevel"/>
    <w:tmpl w:val="845E6810"/>
    <w:lvl w:ilvl="0" w:tplc="A418B8E2">
      <w:start w:val="2"/>
      <w:numFmt w:val="decimal"/>
      <w:lvlText w:val="%1."/>
      <w:lvlJc w:val="left"/>
      <w:pPr>
        <w:ind w:left="418" w:hanging="213"/>
        <w:jc w:val="left"/>
      </w:pPr>
      <w:rPr>
        <w:rFonts w:ascii="宋体" w:eastAsia="宋体" w:hAnsi="宋体" w:cs="宋体" w:hint="default"/>
        <w:color w:val="333333"/>
        <w:spacing w:val="-53"/>
        <w:w w:val="99"/>
        <w:sz w:val="19"/>
        <w:szCs w:val="19"/>
        <w:lang w:val="zh-CN" w:eastAsia="zh-CN" w:bidi="zh-CN"/>
      </w:rPr>
    </w:lvl>
    <w:lvl w:ilvl="1" w:tplc="55B4610E">
      <w:numFmt w:val="bullet"/>
      <w:lvlText w:val="•"/>
      <w:lvlJc w:val="left"/>
      <w:pPr>
        <w:ind w:left="1442" w:hanging="213"/>
      </w:pPr>
      <w:rPr>
        <w:rFonts w:hint="default"/>
        <w:lang w:val="zh-CN" w:eastAsia="zh-CN" w:bidi="zh-CN"/>
      </w:rPr>
    </w:lvl>
    <w:lvl w:ilvl="2" w:tplc="AF749CD6">
      <w:numFmt w:val="bullet"/>
      <w:lvlText w:val="•"/>
      <w:lvlJc w:val="left"/>
      <w:pPr>
        <w:ind w:left="2465" w:hanging="213"/>
      </w:pPr>
      <w:rPr>
        <w:rFonts w:hint="default"/>
        <w:lang w:val="zh-CN" w:eastAsia="zh-CN" w:bidi="zh-CN"/>
      </w:rPr>
    </w:lvl>
    <w:lvl w:ilvl="3" w:tplc="4D30875C">
      <w:numFmt w:val="bullet"/>
      <w:lvlText w:val="•"/>
      <w:lvlJc w:val="left"/>
      <w:pPr>
        <w:ind w:left="3487" w:hanging="213"/>
      </w:pPr>
      <w:rPr>
        <w:rFonts w:hint="default"/>
        <w:lang w:val="zh-CN" w:eastAsia="zh-CN" w:bidi="zh-CN"/>
      </w:rPr>
    </w:lvl>
    <w:lvl w:ilvl="4" w:tplc="6AF6C350">
      <w:numFmt w:val="bullet"/>
      <w:lvlText w:val="•"/>
      <w:lvlJc w:val="left"/>
      <w:pPr>
        <w:ind w:left="4510" w:hanging="213"/>
      </w:pPr>
      <w:rPr>
        <w:rFonts w:hint="default"/>
        <w:lang w:val="zh-CN" w:eastAsia="zh-CN" w:bidi="zh-CN"/>
      </w:rPr>
    </w:lvl>
    <w:lvl w:ilvl="5" w:tplc="88629B06">
      <w:numFmt w:val="bullet"/>
      <w:lvlText w:val="•"/>
      <w:lvlJc w:val="left"/>
      <w:pPr>
        <w:ind w:left="5533" w:hanging="213"/>
      </w:pPr>
      <w:rPr>
        <w:rFonts w:hint="default"/>
        <w:lang w:val="zh-CN" w:eastAsia="zh-CN" w:bidi="zh-CN"/>
      </w:rPr>
    </w:lvl>
    <w:lvl w:ilvl="6" w:tplc="C6CE7642">
      <w:numFmt w:val="bullet"/>
      <w:lvlText w:val="•"/>
      <w:lvlJc w:val="left"/>
      <w:pPr>
        <w:ind w:left="6555" w:hanging="213"/>
      </w:pPr>
      <w:rPr>
        <w:rFonts w:hint="default"/>
        <w:lang w:val="zh-CN" w:eastAsia="zh-CN" w:bidi="zh-CN"/>
      </w:rPr>
    </w:lvl>
    <w:lvl w:ilvl="7" w:tplc="56B4B5C8">
      <w:numFmt w:val="bullet"/>
      <w:lvlText w:val="•"/>
      <w:lvlJc w:val="left"/>
      <w:pPr>
        <w:ind w:left="7578" w:hanging="213"/>
      </w:pPr>
      <w:rPr>
        <w:rFonts w:hint="default"/>
        <w:lang w:val="zh-CN" w:eastAsia="zh-CN" w:bidi="zh-CN"/>
      </w:rPr>
    </w:lvl>
    <w:lvl w:ilvl="8" w:tplc="27DEBFE6">
      <w:numFmt w:val="bullet"/>
      <w:lvlText w:val="•"/>
      <w:lvlJc w:val="left"/>
      <w:pPr>
        <w:ind w:left="8601" w:hanging="213"/>
      </w:pPr>
      <w:rPr>
        <w:rFonts w:hint="default"/>
        <w:lang w:val="zh-CN" w:eastAsia="zh-CN" w:bidi="zh-CN"/>
      </w:rPr>
    </w:lvl>
  </w:abstractNum>
  <w:abstractNum w:abstractNumId="544" w15:restartNumberingAfterBreak="0">
    <w:nsid w:val="48C45293"/>
    <w:multiLevelType w:val="hybridMultilevel"/>
    <w:tmpl w:val="201ACAD2"/>
    <w:lvl w:ilvl="0" w:tplc="8EE2F2CE">
      <w:start w:val="6"/>
      <w:numFmt w:val="decimal"/>
      <w:lvlText w:val="%1"/>
      <w:lvlJc w:val="left"/>
      <w:pPr>
        <w:ind w:left="418" w:hanging="529"/>
        <w:jc w:val="left"/>
      </w:pPr>
      <w:rPr>
        <w:rFonts w:hint="default"/>
        <w:lang w:val="zh-CN" w:eastAsia="zh-CN" w:bidi="zh-CN"/>
      </w:rPr>
    </w:lvl>
    <w:lvl w:ilvl="1" w:tplc="731EA818">
      <w:start w:val="8"/>
      <w:numFmt w:val="decimal"/>
      <w:lvlText w:val="%1.%2"/>
      <w:lvlJc w:val="left"/>
      <w:pPr>
        <w:ind w:left="418" w:hanging="529"/>
        <w:jc w:val="left"/>
      </w:pPr>
      <w:rPr>
        <w:rFonts w:hint="default"/>
        <w:lang w:val="zh-CN" w:eastAsia="zh-CN" w:bidi="zh-CN"/>
      </w:rPr>
    </w:lvl>
    <w:lvl w:ilvl="2" w:tplc="3460C8F8">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8D403566">
      <w:numFmt w:val="bullet"/>
      <w:lvlText w:val="•"/>
      <w:lvlJc w:val="left"/>
      <w:pPr>
        <w:ind w:left="3487" w:hanging="529"/>
      </w:pPr>
      <w:rPr>
        <w:rFonts w:hint="default"/>
        <w:lang w:val="zh-CN" w:eastAsia="zh-CN" w:bidi="zh-CN"/>
      </w:rPr>
    </w:lvl>
    <w:lvl w:ilvl="4" w:tplc="E6C23A5C">
      <w:numFmt w:val="bullet"/>
      <w:lvlText w:val="•"/>
      <w:lvlJc w:val="left"/>
      <w:pPr>
        <w:ind w:left="4510" w:hanging="529"/>
      </w:pPr>
      <w:rPr>
        <w:rFonts w:hint="default"/>
        <w:lang w:val="zh-CN" w:eastAsia="zh-CN" w:bidi="zh-CN"/>
      </w:rPr>
    </w:lvl>
    <w:lvl w:ilvl="5" w:tplc="2C66BC14">
      <w:numFmt w:val="bullet"/>
      <w:lvlText w:val="•"/>
      <w:lvlJc w:val="left"/>
      <w:pPr>
        <w:ind w:left="5533" w:hanging="529"/>
      </w:pPr>
      <w:rPr>
        <w:rFonts w:hint="default"/>
        <w:lang w:val="zh-CN" w:eastAsia="zh-CN" w:bidi="zh-CN"/>
      </w:rPr>
    </w:lvl>
    <w:lvl w:ilvl="6" w:tplc="F2C88556">
      <w:numFmt w:val="bullet"/>
      <w:lvlText w:val="•"/>
      <w:lvlJc w:val="left"/>
      <w:pPr>
        <w:ind w:left="6555" w:hanging="529"/>
      </w:pPr>
      <w:rPr>
        <w:rFonts w:hint="default"/>
        <w:lang w:val="zh-CN" w:eastAsia="zh-CN" w:bidi="zh-CN"/>
      </w:rPr>
    </w:lvl>
    <w:lvl w:ilvl="7" w:tplc="D574682C">
      <w:numFmt w:val="bullet"/>
      <w:lvlText w:val="•"/>
      <w:lvlJc w:val="left"/>
      <w:pPr>
        <w:ind w:left="7578" w:hanging="529"/>
      </w:pPr>
      <w:rPr>
        <w:rFonts w:hint="default"/>
        <w:lang w:val="zh-CN" w:eastAsia="zh-CN" w:bidi="zh-CN"/>
      </w:rPr>
    </w:lvl>
    <w:lvl w:ilvl="8" w:tplc="CD70F164">
      <w:numFmt w:val="bullet"/>
      <w:lvlText w:val="•"/>
      <w:lvlJc w:val="left"/>
      <w:pPr>
        <w:ind w:left="8601" w:hanging="529"/>
      </w:pPr>
      <w:rPr>
        <w:rFonts w:hint="default"/>
        <w:lang w:val="zh-CN" w:eastAsia="zh-CN" w:bidi="zh-CN"/>
      </w:rPr>
    </w:lvl>
  </w:abstractNum>
  <w:abstractNum w:abstractNumId="545" w15:restartNumberingAfterBreak="0">
    <w:nsid w:val="48EC4121"/>
    <w:multiLevelType w:val="hybridMultilevel"/>
    <w:tmpl w:val="96222394"/>
    <w:lvl w:ilvl="0" w:tplc="2D162062">
      <w:start w:val="1"/>
      <w:numFmt w:val="decimal"/>
      <w:lvlText w:val="%1"/>
      <w:lvlJc w:val="left"/>
      <w:pPr>
        <w:ind w:left="1158" w:hanging="318"/>
        <w:jc w:val="left"/>
      </w:pPr>
      <w:rPr>
        <w:rFonts w:hint="default"/>
        <w:lang w:val="zh-CN" w:eastAsia="zh-CN" w:bidi="zh-CN"/>
      </w:rPr>
    </w:lvl>
    <w:lvl w:ilvl="1" w:tplc="B82E5C48">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B5DC63A8">
      <w:numFmt w:val="bullet"/>
      <w:lvlText w:val="•"/>
      <w:lvlJc w:val="left"/>
      <w:pPr>
        <w:ind w:left="3057" w:hanging="318"/>
      </w:pPr>
      <w:rPr>
        <w:rFonts w:hint="default"/>
        <w:lang w:val="zh-CN" w:eastAsia="zh-CN" w:bidi="zh-CN"/>
      </w:rPr>
    </w:lvl>
    <w:lvl w:ilvl="3" w:tplc="816EBCAE">
      <w:numFmt w:val="bullet"/>
      <w:lvlText w:val="•"/>
      <w:lvlJc w:val="left"/>
      <w:pPr>
        <w:ind w:left="4005" w:hanging="318"/>
      </w:pPr>
      <w:rPr>
        <w:rFonts w:hint="default"/>
        <w:lang w:val="zh-CN" w:eastAsia="zh-CN" w:bidi="zh-CN"/>
      </w:rPr>
    </w:lvl>
    <w:lvl w:ilvl="4" w:tplc="1820E67C">
      <w:numFmt w:val="bullet"/>
      <w:lvlText w:val="•"/>
      <w:lvlJc w:val="left"/>
      <w:pPr>
        <w:ind w:left="4954" w:hanging="318"/>
      </w:pPr>
      <w:rPr>
        <w:rFonts w:hint="default"/>
        <w:lang w:val="zh-CN" w:eastAsia="zh-CN" w:bidi="zh-CN"/>
      </w:rPr>
    </w:lvl>
    <w:lvl w:ilvl="5" w:tplc="B28C313C">
      <w:numFmt w:val="bullet"/>
      <w:lvlText w:val="•"/>
      <w:lvlJc w:val="left"/>
      <w:pPr>
        <w:ind w:left="5903" w:hanging="318"/>
      </w:pPr>
      <w:rPr>
        <w:rFonts w:hint="default"/>
        <w:lang w:val="zh-CN" w:eastAsia="zh-CN" w:bidi="zh-CN"/>
      </w:rPr>
    </w:lvl>
    <w:lvl w:ilvl="6" w:tplc="25EC5A44">
      <w:numFmt w:val="bullet"/>
      <w:lvlText w:val="•"/>
      <w:lvlJc w:val="left"/>
      <w:pPr>
        <w:ind w:left="6851" w:hanging="318"/>
      </w:pPr>
      <w:rPr>
        <w:rFonts w:hint="default"/>
        <w:lang w:val="zh-CN" w:eastAsia="zh-CN" w:bidi="zh-CN"/>
      </w:rPr>
    </w:lvl>
    <w:lvl w:ilvl="7" w:tplc="7E64373E">
      <w:numFmt w:val="bullet"/>
      <w:lvlText w:val="•"/>
      <w:lvlJc w:val="left"/>
      <w:pPr>
        <w:ind w:left="7800" w:hanging="318"/>
      </w:pPr>
      <w:rPr>
        <w:rFonts w:hint="default"/>
        <w:lang w:val="zh-CN" w:eastAsia="zh-CN" w:bidi="zh-CN"/>
      </w:rPr>
    </w:lvl>
    <w:lvl w:ilvl="8" w:tplc="C518A94A">
      <w:numFmt w:val="bullet"/>
      <w:lvlText w:val="•"/>
      <w:lvlJc w:val="left"/>
      <w:pPr>
        <w:ind w:left="8749" w:hanging="318"/>
      </w:pPr>
      <w:rPr>
        <w:rFonts w:hint="default"/>
        <w:lang w:val="zh-CN" w:eastAsia="zh-CN" w:bidi="zh-CN"/>
      </w:rPr>
    </w:lvl>
  </w:abstractNum>
  <w:abstractNum w:abstractNumId="546" w15:restartNumberingAfterBreak="0">
    <w:nsid w:val="494B7BF5"/>
    <w:multiLevelType w:val="hybridMultilevel"/>
    <w:tmpl w:val="87B0EF56"/>
    <w:lvl w:ilvl="0" w:tplc="4538069E">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4C2A6488">
      <w:numFmt w:val="bullet"/>
      <w:lvlText w:val="•"/>
      <w:lvlJc w:val="left"/>
      <w:pPr>
        <w:ind w:left="2288" w:hanging="529"/>
      </w:pPr>
      <w:rPr>
        <w:rFonts w:hint="default"/>
        <w:lang w:val="zh-CN" w:eastAsia="zh-CN" w:bidi="zh-CN"/>
      </w:rPr>
    </w:lvl>
    <w:lvl w:ilvl="2" w:tplc="42CE4274">
      <w:numFmt w:val="bullet"/>
      <w:lvlText w:val="•"/>
      <w:lvlJc w:val="left"/>
      <w:pPr>
        <w:ind w:left="3217" w:hanging="529"/>
      </w:pPr>
      <w:rPr>
        <w:rFonts w:hint="default"/>
        <w:lang w:val="zh-CN" w:eastAsia="zh-CN" w:bidi="zh-CN"/>
      </w:rPr>
    </w:lvl>
    <w:lvl w:ilvl="3" w:tplc="ECF034D0">
      <w:numFmt w:val="bullet"/>
      <w:lvlText w:val="•"/>
      <w:lvlJc w:val="left"/>
      <w:pPr>
        <w:ind w:left="4145" w:hanging="529"/>
      </w:pPr>
      <w:rPr>
        <w:rFonts w:hint="default"/>
        <w:lang w:val="zh-CN" w:eastAsia="zh-CN" w:bidi="zh-CN"/>
      </w:rPr>
    </w:lvl>
    <w:lvl w:ilvl="4" w:tplc="727C7134">
      <w:numFmt w:val="bullet"/>
      <w:lvlText w:val="•"/>
      <w:lvlJc w:val="left"/>
      <w:pPr>
        <w:ind w:left="5074" w:hanging="529"/>
      </w:pPr>
      <w:rPr>
        <w:rFonts w:hint="default"/>
        <w:lang w:val="zh-CN" w:eastAsia="zh-CN" w:bidi="zh-CN"/>
      </w:rPr>
    </w:lvl>
    <w:lvl w:ilvl="5" w:tplc="45BEFA3E">
      <w:numFmt w:val="bullet"/>
      <w:lvlText w:val="•"/>
      <w:lvlJc w:val="left"/>
      <w:pPr>
        <w:ind w:left="6003" w:hanging="529"/>
      </w:pPr>
      <w:rPr>
        <w:rFonts w:hint="default"/>
        <w:lang w:val="zh-CN" w:eastAsia="zh-CN" w:bidi="zh-CN"/>
      </w:rPr>
    </w:lvl>
    <w:lvl w:ilvl="6" w:tplc="E0C22430">
      <w:numFmt w:val="bullet"/>
      <w:lvlText w:val="•"/>
      <w:lvlJc w:val="left"/>
      <w:pPr>
        <w:ind w:left="6931" w:hanging="529"/>
      </w:pPr>
      <w:rPr>
        <w:rFonts w:hint="default"/>
        <w:lang w:val="zh-CN" w:eastAsia="zh-CN" w:bidi="zh-CN"/>
      </w:rPr>
    </w:lvl>
    <w:lvl w:ilvl="7" w:tplc="B8E23BA0">
      <w:numFmt w:val="bullet"/>
      <w:lvlText w:val="•"/>
      <w:lvlJc w:val="left"/>
      <w:pPr>
        <w:ind w:left="7860" w:hanging="529"/>
      </w:pPr>
      <w:rPr>
        <w:rFonts w:hint="default"/>
        <w:lang w:val="zh-CN" w:eastAsia="zh-CN" w:bidi="zh-CN"/>
      </w:rPr>
    </w:lvl>
    <w:lvl w:ilvl="8" w:tplc="B7140EF2">
      <w:numFmt w:val="bullet"/>
      <w:lvlText w:val="•"/>
      <w:lvlJc w:val="left"/>
      <w:pPr>
        <w:ind w:left="8789" w:hanging="529"/>
      </w:pPr>
      <w:rPr>
        <w:rFonts w:hint="default"/>
        <w:lang w:val="zh-CN" w:eastAsia="zh-CN" w:bidi="zh-CN"/>
      </w:rPr>
    </w:lvl>
  </w:abstractNum>
  <w:abstractNum w:abstractNumId="547" w15:restartNumberingAfterBreak="0">
    <w:nsid w:val="494D552D"/>
    <w:multiLevelType w:val="hybridMultilevel"/>
    <w:tmpl w:val="B92ECCCC"/>
    <w:lvl w:ilvl="0" w:tplc="2A58EFF4">
      <w:start w:val="4"/>
      <w:numFmt w:val="decimal"/>
      <w:lvlText w:val="%1"/>
      <w:lvlJc w:val="left"/>
      <w:pPr>
        <w:ind w:left="1158" w:hanging="318"/>
        <w:jc w:val="left"/>
      </w:pPr>
      <w:rPr>
        <w:rFonts w:hint="default"/>
        <w:lang w:val="zh-CN" w:eastAsia="zh-CN" w:bidi="zh-CN"/>
      </w:rPr>
    </w:lvl>
    <w:lvl w:ilvl="1" w:tplc="F88A805E">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FF26FADA">
      <w:start w:val="1"/>
      <w:numFmt w:val="decimal"/>
      <w:lvlText w:val="%1.%2.%3"/>
      <w:lvlJc w:val="left"/>
      <w:pPr>
        <w:ind w:left="838" w:hanging="531"/>
        <w:jc w:val="left"/>
      </w:pPr>
      <w:rPr>
        <w:rFonts w:ascii="宋体" w:eastAsia="宋体" w:hAnsi="宋体" w:cs="宋体" w:hint="default"/>
        <w:b/>
        <w:bCs/>
        <w:w w:val="99"/>
        <w:sz w:val="19"/>
        <w:szCs w:val="19"/>
        <w:lang w:val="zh-CN" w:eastAsia="zh-CN" w:bidi="zh-CN"/>
      </w:rPr>
    </w:lvl>
    <w:lvl w:ilvl="3" w:tplc="253862C2">
      <w:numFmt w:val="bullet"/>
      <w:lvlText w:val="•"/>
      <w:lvlJc w:val="left"/>
      <w:pPr>
        <w:ind w:left="3268" w:hanging="531"/>
      </w:pPr>
      <w:rPr>
        <w:rFonts w:hint="default"/>
        <w:lang w:val="zh-CN" w:eastAsia="zh-CN" w:bidi="zh-CN"/>
      </w:rPr>
    </w:lvl>
    <w:lvl w:ilvl="4" w:tplc="3D82F4B0">
      <w:numFmt w:val="bullet"/>
      <w:lvlText w:val="•"/>
      <w:lvlJc w:val="left"/>
      <w:pPr>
        <w:ind w:left="4322" w:hanging="531"/>
      </w:pPr>
      <w:rPr>
        <w:rFonts w:hint="default"/>
        <w:lang w:val="zh-CN" w:eastAsia="zh-CN" w:bidi="zh-CN"/>
      </w:rPr>
    </w:lvl>
    <w:lvl w:ilvl="5" w:tplc="9CA4CCDC">
      <w:numFmt w:val="bullet"/>
      <w:lvlText w:val="•"/>
      <w:lvlJc w:val="left"/>
      <w:pPr>
        <w:ind w:left="5376" w:hanging="531"/>
      </w:pPr>
      <w:rPr>
        <w:rFonts w:hint="default"/>
        <w:lang w:val="zh-CN" w:eastAsia="zh-CN" w:bidi="zh-CN"/>
      </w:rPr>
    </w:lvl>
    <w:lvl w:ilvl="6" w:tplc="CF7C5C6A">
      <w:numFmt w:val="bullet"/>
      <w:lvlText w:val="•"/>
      <w:lvlJc w:val="left"/>
      <w:pPr>
        <w:ind w:left="6430" w:hanging="531"/>
      </w:pPr>
      <w:rPr>
        <w:rFonts w:hint="default"/>
        <w:lang w:val="zh-CN" w:eastAsia="zh-CN" w:bidi="zh-CN"/>
      </w:rPr>
    </w:lvl>
    <w:lvl w:ilvl="7" w:tplc="CCAA0F8E">
      <w:numFmt w:val="bullet"/>
      <w:lvlText w:val="•"/>
      <w:lvlJc w:val="left"/>
      <w:pPr>
        <w:ind w:left="7484" w:hanging="531"/>
      </w:pPr>
      <w:rPr>
        <w:rFonts w:hint="default"/>
        <w:lang w:val="zh-CN" w:eastAsia="zh-CN" w:bidi="zh-CN"/>
      </w:rPr>
    </w:lvl>
    <w:lvl w:ilvl="8" w:tplc="1F80BF68">
      <w:numFmt w:val="bullet"/>
      <w:lvlText w:val="•"/>
      <w:lvlJc w:val="left"/>
      <w:pPr>
        <w:ind w:left="8538" w:hanging="531"/>
      </w:pPr>
      <w:rPr>
        <w:rFonts w:hint="default"/>
        <w:lang w:val="zh-CN" w:eastAsia="zh-CN" w:bidi="zh-CN"/>
      </w:rPr>
    </w:lvl>
  </w:abstractNum>
  <w:abstractNum w:abstractNumId="548" w15:restartNumberingAfterBreak="0">
    <w:nsid w:val="497F5D19"/>
    <w:multiLevelType w:val="hybridMultilevel"/>
    <w:tmpl w:val="C6D2050E"/>
    <w:lvl w:ilvl="0" w:tplc="63BA5458">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0874A5B0">
      <w:numFmt w:val="bullet"/>
      <w:lvlText w:val="•"/>
      <w:lvlJc w:val="left"/>
      <w:pPr>
        <w:ind w:left="1442" w:hanging="529"/>
      </w:pPr>
      <w:rPr>
        <w:rFonts w:hint="default"/>
        <w:lang w:val="zh-CN" w:eastAsia="zh-CN" w:bidi="zh-CN"/>
      </w:rPr>
    </w:lvl>
    <w:lvl w:ilvl="2" w:tplc="F07EA1A2">
      <w:numFmt w:val="bullet"/>
      <w:lvlText w:val="•"/>
      <w:lvlJc w:val="left"/>
      <w:pPr>
        <w:ind w:left="2465" w:hanging="529"/>
      </w:pPr>
      <w:rPr>
        <w:rFonts w:hint="default"/>
        <w:lang w:val="zh-CN" w:eastAsia="zh-CN" w:bidi="zh-CN"/>
      </w:rPr>
    </w:lvl>
    <w:lvl w:ilvl="3" w:tplc="3BD82D68">
      <w:numFmt w:val="bullet"/>
      <w:lvlText w:val="•"/>
      <w:lvlJc w:val="left"/>
      <w:pPr>
        <w:ind w:left="3487" w:hanging="529"/>
      </w:pPr>
      <w:rPr>
        <w:rFonts w:hint="default"/>
        <w:lang w:val="zh-CN" w:eastAsia="zh-CN" w:bidi="zh-CN"/>
      </w:rPr>
    </w:lvl>
    <w:lvl w:ilvl="4" w:tplc="7B5AB53C">
      <w:numFmt w:val="bullet"/>
      <w:lvlText w:val="•"/>
      <w:lvlJc w:val="left"/>
      <w:pPr>
        <w:ind w:left="4510" w:hanging="529"/>
      </w:pPr>
      <w:rPr>
        <w:rFonts w:hint="default"/>
        <w:lang w:val="zh-CN" w:eastAsia="zh-CN" w:bidi="zh-CN"/>
      </w:rPr>
    </w:lvl>
    <w:lvl w:ilvl="5" w:tplc="74FC688E">
      <w:numFmt w:val="bullet"/>
      <w:lvlText w:val="•"/>
      <w:lvlJc w:val="left"/>
      <w:pPr>
        <w:ind w:left="5533" w:hanging="529"/>
      </w:pPr>
      <w:rPr>
        <w:rFonts w:hint="default"/>
        <w:lang w:val="zh-CN" w:eastAsia="zh-CN" w:bidi="zh-CN"/>
      </w:rPr>
    </w:lvl>
    <w:lvl w:ilvl="6" w:tplc="A464276C">
      <w:numFmt w:val="bullet"/>
      <w:lvlText w:val="•"/>
      <w:lvlJc w:val="left"/>
      <w:pPr>
        <w:ind w:left="6555" w:hanging="529"/>
      </w:pPr>
      <w:rPr>
        <w:rFonts w:hint="default"/>
        <w:lang w:val="zh-CN" w:eastAsia="zh-CN" w:bidi="zh-CN"/>
      </w:rPr>
    </w:lvl>
    <w:lvl w:ilvl="7" w:tplc="C366D174">
      <w:numFmt w:val="bullet"/>
      <w:lvlText w:val="•"/>
      <w:lvlJc w:val="left"/>
      <w:pPr>
        <w:ind w:left="7578" w:hanging="529"/>
      </w:pPr>
      <w:rPr>
        <w:rFonts w:hint="default"/>
        <w:lang w:val="zh-CN" w:eastAsia="zh-CN" w:bidi="zh-CN"/>
      </w:rPr>
    </w:lvl>
    <w:lvl w:ilvl="8" w:tplc="E3E420DA">
      <w:numFmt w:val="bullet"/>
      <w:lvlText w:val="•"/>
      <w:lvlJc w:val="left"/>
      <w:pPr>
        <w:ind w:left="8601" w:hanging="529"/>
      </w:pPr>
      <w:rPr>
        <w:rFonts w:hint="default"/>
        <w:lang w:val="zh-CN" w:eastAsia="zh-CN" w:bidi="zh-CN"/>
      </w:rPr>
    </w:lvl>
  </w:abstractNum>
  <w:abstractNum w:abstractNumId="549" w15:restartNumberingAfterBreak="0">
    <w:nsid w:val="49881BB7"/>
    <w:multiLevelType w:val="hybridMultilevel"/>
    <w:tmpl w:val="C806403C"/>
    <w:lvl w:ilvl="0" w:tplc="B07876BC">
      <w:start w:val="7"/>
      <w:numFmt w:val="upperLetter"/>
      <w:lvlText w:val="%1"/>
      <w:lvlJc w:val="left"/>
      <w:pPr>
        <w:ind w:left="1369" w:hanging="529"/>
        <w:jc w:val="left"/>
      </w:pPr>
      <w:rPr>
        <w:rFonts w:hint="default"/>
        <w:lang w:val="zh-CN" w:eastAsia="zh-CN" w:bidi="zh-CN"/>
      </w:rPr>
    </w:lvl>
    <w:lvl w:ilvl="1" w:tplc="9B28EC20">
      <w:start w:val="3"/>
      <w:numFmt w:val="decimal"/>
      <w:lvlText w:val="%1.%2"/>
      <w:lvlJc w:val="left"/>
      <w:pPr>
        <w:ind w:left="1369" w:hanging="529"/>
        <w:jc w:val="left"/>
      </w:pPr>
      <w:rPr>
        <w:rFonts w:hint="default"/>
        <w:lang w:val="zh-CN" w:eastAsia="zh-CN" w:bidi="zh-CN"/>
      </w:rPr>
    </w:lvl>
    <w:lvl w:ilvl="2" w:tplc="1D989AF2">
      <w:start w:val="2"/>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BF5011C8">
      <w:start w:val="1"/>
      <w:numFmt w:val="decimal"/>
      <w:lvlText w:val="%1.%2.%3.%4"/>
      <w:lvlJc w:val="left"/>
      <w:pPr>
        <w:ind w:left="1582" w:hanging="743"/>
        <w:jc w:val="left"/>
      </w:pPr>
      <w:rPr>
        <w:rFonts w:ascii="宋体" w:eastAsia="宋体" w:hAnsi="宋体" w:cs="宋体" w:hint="default"/>
        <w:b/>
        <w:bCs/>
        <w:spacing w:val="-3"/>
        <w:w w:val="99"/>
        <w:sz w:val="19"/>
        <w:szCs w:val="19"/>
        <w:lang w:val="zh-CN" w:eastAsia="zh-CN" w:bidi="zh-CN"/>
      </w:rPr>
    </w:lvl>
    <w:lvl w:ilvl="4" w:tplc="7A0EDB48">
      <w:numFmt w:val="bullet"/>
      <w:lvlText w:val="•"/>
      <w:lvlJc w:val="left"/>
      <w:pPr>
        <w:ind w:left="4602" w:hanging="743"/>
      </w:pPr>
      <w:rPr>
        <w:rFonts w:hint="default"/>
        <w:lang w:val="zh-CN" w:eastAsia="zh-CN" w:bidi="zh-CN"/>
      </w:rPr>
    </w:lvl>
    <w:lvl w:ilvl="5" w:tplc="1720ADAC">
      <w:numFmt w:val="bullet"/>
      <w:lvlText w:val="•"/>
      <w:lvlJc w:val="left"/>
      <w:pPr>
        <w:ind w:left="5609" w:hanging="743"/>
      </w:pPr>
      <w:rPr>
        <w:rFonts w:hint="default"/>
        <w:lang w:val="zh-CN" w:eastAsia="zh-CN" w:bidi="zh-CN"/>
      </w:rPr>
    </w:lvl>
    <w:lvl w:ilvl="6" w:tplc="52DA0BC2">
      <w:numFmt w:val="bullet"/>
      <w:lvlText w:val="•"/>
      <w:lvlJc w:val="left"/>
      <w:pPr>
        <w:ind w:left="6616" w:hanging="743"/>
      </w:pPr>
      <w:rPr>
        <w:rFonts w:hint="default"/>
        <w:lang w:val="zh-CN" w:eastAsia="zh-CN" w:bidi="zh-CN"/>
      </w:rPr>
    </w:lvl>
    <w:lvl w:ilvl="7" w:tplc="9124AF44">
      <w:numFmt w:val="bullet"/>
      <w:lvlText w:val="•"/>
      <w:lvlJc w:val="left"/>
      <w:pPr>
        <w:ind w:left="7624" w:hanging="743"/>
      </w:pPr>
      <w:rPr>
        <w:rFonts w:hint="default"/>
        <w:lang w:val="zh-CN" w:eastAsia="zh-CN" w:bidi="zh-CN"/>
      </w:rPr>
    </w:lvl>
    <w:lvl w:ilvl="8" w:tplc="55A060F0">
      <w:numFmt w:val="bullet"/>
      <w:lvlText w:val="•"/>
      <w:lvlJc w:val="left"/>
      <w:pPr>
        <w:ind w:left="8631" w:hanging="743"/>
      </w:pPr>
      <w:rPr>
        <w:rFonts w:hint="default"/>
        <w:lang w:val="zh-CN" w:eastAsia="zh-CN" w:bidi="zh-CN"/>
      </w:rPr>
    </w:lvl>
  </w:abstractNum>
  <w:abstractNum w:abstractNumId="550" w15:restartNumberingAfterBreak="0">
    <w:nsid w:val="49981719"/>
    <w:multiLevelType w:val="hybridMultilevel"/>
    <w:tmpl w:val="B7D29EE0"/>
    <w:lvl w:ilvl="0" w:tplc="98102FC8">
      <w:start w:val="6"/>
      <w:numFmt w:val="decimal"/>
      <w:lvlText w:val="%1"/>
      <w:lvlJc w:val="left"/>
      <w:pPr>
        <w:ind w:left="1158" w:hanging="318"/>
        <w:jc w:val="left"/>
      </w:pPr>
      <w:rPr>
        <w:rFonts w:hint="default"/>
        <w:lang w:val="zh-CN" w:eastAsia="zh-CN" w:bidi="zh-CN"/>
      </w:rPr>
    </w:lvl>
    <w:lvl w:ilvl="1" w:tplc="881C341A">
      <w:start w:val="6"/>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31BEB302">
      <w:numFmt w:val="bullet"/>
      <w:lvlText w:val="•"/>
      <w:lvlJc w:val="left"/>
      <w:pPr>
        <w:ind w:left="3057" w:hanging="318"/>
      </w:pPr>
      <w:rPr>
        <w:rFonts w:hint="default"/>
        <w:lang w:val="zh-CN" w:eastAsia="zh-CN" w:bidi="zh-CN"/>
      </w:rPr>
    </w:lvl>
    <w:lvl w:ilvl="3" w:tplc="FB9C4720">
      <w:numFmt w:val="bullet"/>
      <w:lvlText w:val="•"/>
      <w:lvlJc w:val="left"/>
      <w:pPr>
        <w:ind w:left="4005" w:hanging="318"/>
      </w:pPr>
      <w:rPr>
        <w:rFonts w:hint="default"/>
        <w:lang w:val="zh-CN" w:eastAsia="zh-CN" w:bidi="zh-CN"/>
      </w:rPr>
    </w:lvl>
    <w:lvl w:ilvl="4" w:tplc="01102958">
      <w:numFmt w:val="bullet"/>
      <w:lvlText w:val="•"/>
      <w:lvlJc w:val="left"/>
      <w:pPr>
        <w:ind w:left="4954" w:hanging="318"/>
      </w:pPr>
      <w:rPr>
        <w:rFonts w:hint="default"/>
        <w:lang w:val="zh-CN" w:eastAsia="zh-CN" w:bidi="zh-CN"/>
      </w:rPr>
    </w:lvl>
    <w:lvl w:ilvl="5" w:tplc="9DFAFD18">
      <w:numFmt w:val="bullet"/>
      <w:lvlText w:val="•"/>
      <w:lvlJc w:val="left"/>
      <w:pPr>
        <w:ind w:left="5903" w:hanging="318"/>
      </w:pPr>
      <w:rPr>
        <w:rFonts w:hint="default"/>
        <w:lang w:val="zh-CN" w:eastAsia="zh-CN" w:bidi="zh-CN"/>
      </w:rPr>
    </w:lvl>
    <w:lvl w:ilvl="6" w:tplc="2E4C8E70">
      <w:numFmt w:val="bullet"/>
      <w:lvlText w:val="•"/>
      <w:lvlJc w:val="left"/>
      <w:pPr>
        <w:ind w:left="6851" w:hanging="318"/>
      </w:pPr>
      <w:rPr>
        <w:rFonts w:hint="default"/>
        <w:lang w:val="zh-CN" w:eastAsia="zh-CN" w:bidi="zh-CN"/>
      </w:rPr>
    </w:lvl>
    <w:lvl w:ilvl="7" w:tplc="C374E5E4">
      <w:numFmt w:val="bullet"/>
      <w:lvlText w:val="•"/>
      <w:lvlJc w:val="left"/>
      <w:pPr>
        <w:ind w:left="7800" w:hanging="318"/>
      </w:pPr>
      <w:rPr>
        <w:rFonts w:hint="default"/>
        <w:lang w:val="zh-CN" w:eastAsia="zh-CN" w:bidi="zh-CN"/>
      </w:rPr>
    </w:lvl>
    <w:lvl w:ilvl="8" w:tplc="EDE2A834">
      <w:numFmt w:val="bullet"/>
      <w:lvlText w:val="•"/>
      <w:lvlJc w:val="left"/>
      <w:pPr>
        <w:ind w:left="8749" w:hanging="318"/>
      </w:pPr>
      <w:rPr>
        <w:rFonts w:hint="default"/>
        <w:lang w:val="zh-CN" w:eastAsia="zh-CN" w:bidi="zh-CN"/>
      </w:rPr>
    </w:lvl>
  </w:abstractNum>
  <w:abstractNum w:abstractNumId="551" w15:restartNumberingAfterBreak="0">
    <w:nsid w:val="49A920F0"/>
    <w:multiLevelType w:val="hybridMultilevel"/>
    <w:tmpl w:val="8600174A"/>
    <w:lvl w:ilvl="0" w:tplc="D5467DD6">
      <w:start w:val="5"/>
      <w:numFmt w:val="decimal"/>
      <w:lvlText w:val="%1"/>
      <w:lvlJc w:val="left"/>
      <w:pPr>
        <w:ind w:left="1158" w:hanging="318"/>
        <w:jc w:val="left"/>
      </w:pPr>
      <w:rPr>
        <w:rFonts w:hint="default"/>
        <w:lang w:val="zh-CN" w:eastAsia="zh-CN" w:bidi="zh-CN"/>
      </w:rPr>
    </w:lvl>
    <w:lvl w:ilvl="1" w:tplc="EC38E34E">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E40A1AB2">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88D82A7C">
      <w:numFmt w:val="bullet"/>
      <w:lvlText w:val="•"/>
      <w:lvlJc w:val="left"/>
      <w:pPr>
        <w:ind w:left="1380" w:hanging="529"/>
      </w:pPr>
      <w:rPr>
        <w:rFonts w:hint="default"/>
        <w:lang w:val="zh-CN" w:eastAsia="zh-CN" w:bidi="zh-CN"/>
      </w:rPr>
    </w:lvl>
    <w:lvl w:ilvl="4" w:tplc="3ACE766E">
      <w:numFmt w:val="bullet"/>
      <w:lvlText w:val="•"/>
      <w:lvlJc w:val="left"/>
      <w:pPr>
        <w:ind w:left="2703" w:hanging="529"/>
      </w:pPr>
      <w:rPr>
        <w:rFonts w:hint="default"/>
        <w:lang w:val="zh-CN" w:eastAsia="zh-CN" w:bidi="zh-CN"/>
      </w:rPr>
    </w:lvl>
    <w:lvl w:ilvl="5" w:tplc="F83CA382">
      <w:numFmt w:val="bullet"/>
      <w:lvlText w:val="•"/>
      <w:lvlJc w:val="left"/>
      <w:pPr>
        <w:ind w:left="4027" w:hanging="529"/>
      </w:pPr>
      <w:rPr>
        <w:rFonts w:hint="default"/>
        <w:lang w:val="zh-CN" w:eastAsia="zh-CN" w:bidi="zh-CN"/>
      </w:rPr>
    </w:lvl>
    <w:lvl w:ilvl="6" w:tplc="45F416B6">
      <w:numFmt w:val="bullet"/>
      <w:lvlText w:val="•"/>
      <w:lvlJc w:val="left"/>
      <w:pPr>
        <w:ind w:left="5351" w:hanging="529"/>
      </w:pPr>
      <w:rPr>
        <w:rFonts w:hint="default"/>
        <w:lang w:val="zh-CN" w:eastAsia="zh-CN" w:bidi="zh-CN"/>
      </w:rPr>
    </w:lvl>
    <w:lvl w:ilvl="7" w:tplc="967A759E">
      <w:numFmt w:val="bullet"/>
      <w:lvlText w:val="•"/>
      <w:lvlJc w:val="left"/>
      <w:pPr>
        <w:ind w:left="6675" w:hanging="529"/>
      </w:pPr>
      <w:rPr>
        <w:rFonts w:hint="default"/>
        <w:lang w:val="zh-CN" w:eastAsia="zh-CN" w:bidi="zh-CN"/>
      </w:rPr>
    </w:lvl>
    <w:lvl w:ilvl="8" w:tplc="C16E1E3A">
      <w:numFmt w:val="bullet"/>
      <w:lvlText w:val="•"/>
      <w:lvlJc w:val="left"/>
      <w:pPr>
        <w:ind w:left="7998" w:hanging="529"/>
      </w:pPr>
      <w:rPr>
        <w:rFonts w:hint="default"/>
        <w:lang w:val="zh-CN" w:eastAsia="zh-CN" w:bidi="zh-CN"/>
      </w:rPr>
    </w:lvl>
  </w:abstractNum>
  <w:abstractNum w:abstractNumId="552" w15:restartNumberingAfterBreak="0">
    <w:nsid w:val="49C128C5"/>
    <w:multiLevelType w:val="hybridMultilevel"/>
    <w:tmpl w:val="A4D659EC"/>
    <w:lvl w:ilvl="0" w:tplc="07943682">
      <w:start w:val="2"/>
      <w:numFmt w:val="decimal"/>
      <w:lvlText w:val="%1."/>
      <w:lvlJc w:val="left"/>
      <w:pPr>
        <w:ind w:left="418" w:hanging="213"/>
        <w:jc w:val="left"/>
      </w:pPr>
      <w:rPr>
        <w:rFonts w:ascii="宋体" w:eastAsia="宋体" w:hAnsi="宋体" w:cs="宋体" w:hint="default"/>
        <w:color w:val="333333"/>
        <w:spacing w:val="-55"/>
        <w:w w:val="100"/>
        <w:sz w:val="19"/>
        <w:szCs w:val="19"/>
        <w:lang w:val="zh-CN" w:eastAsia="zh-CN" w:bidi="zh-CN"/>
      </w:rPr>
    </w:lvl>
    <w:lvl w:ilvl="1" w:tplc="72967FAC">
      <w:numFmt w:val="bullet"/>
      <w:lvlText w:val="•"/>
      <w:lvlJc w:val="left"/>
      <w:pPr>
        <w:ind w:left="1442" w:hanging="213"/>
      </w:pPr>
      <w:rPr>
        <w:rFonts w:hint="default"/>
        <w:lang w:val="zh-CN" w:eastAsia="zh-CN" w:bidi="zh-CN"/>
      </w:rPr>
    </w:lvl>
    <w:lvl w:ilvl="2" w:tplc="665411C8">
      <w:numFmt w:val="bullet"/>
      <w:lvlText w:val="•"/>
      <w:lvlJc w:val="left"/>
      <w:pPr>
        <w:ind w:left="2465" w:hanging="213"/>
      </w:pPr>
      <w:rPr>
        <w:rFonts w:hint="default"/>
        <w:lang w:val="zh-CN" w:eastAsia="zh-CN" w:bidi="zh-CN"/>
      </w:rPr>
    </w:lvl>
    <w:lvl w:ilvl="3" w:tplc="6DBA14C0">
      <w:numFmt w:val="bullet"/>
      <w:lvlText w:val="•"/>
      <w:lvlJc w:val="left"/>
      <w:pPr>
        <w:ind w:left="3487" w:hanging="213"/>
      </w:pPr>
      <w:rPr>
        <w:rFonts w:hint="default"/>
        <w:lang w:val="zh-CN" w:eastAsia="zh-CN" w:bidi="zh-CN"/>
      </w:rPr>
    </w:lvl>
    <w:lvl w:ilvl="4" w:tplc="8EA84E4E">
      <w:numFmt w:val="bullet"/>
      <w:lvlText w:val="•"/>
      <w:lvlJc w:val="left"/>
      <w:pPr>
        <w:ind w:left="4510" w:hanging="213"/>
      </w:pPr>
      <w:rPr>
        <w:rFonts w:hint="default"/>
        <w:lang w:val="zh-CN" w:eastAsia="zh-CN" w:bidi="zh-CN"/>
      </w:rPr>
    </w:lvl>
    <w:lvl w:ilvl="5" w:tplc="7C44D2C6">
      <w:numFmt w:val="bullet"/>
      <w:lvlText w:val="•"/>
      <w:lvlJc w:val="left"/>
      <w:pPr>
        <w:ind w:left="5533" w:hanging="213"/>
      </w:pPr>
      <w:rPr>
        <w:rFonts w:hint="default"/>
        <w:lang w:val="zh-CN" w:eastAsia="zh-CN" w:bidi="zh-CN"/>
      </w:rPr>
    </w:lvl>
    <w:lvl w:ilvl="6" w:tplc="7E482700">
      <w:numFmt w:val="bullet"/>
      <w:lvlText w:val="•"/>
      <w:lvlJc w:val="left"/>
      <w:pPr>
        <w:ind w:left="6555" w:hanging="213"/>
      </w:pPr>
      <w:rPr>
        <w:rFonts w:hint="default"/>
        <w:lang w:val="zh-CN" w:eastAsia="zh-CN" w:bidi="zh-CN"/>
      </w:rPr>
    </w:lvl>
    <w:lvl w:ilvl="7" w:tplc="A6BE6A26">
      <w:numFmt w:val="bullet"/>
      <w:lvlText w:val="•"/>
      <w:lvlJc w:val="left"/>
      <w:pPr>
        <w:ind w:left="7578" w:hanging="213"/>
      </w:pPr>
      <w:rPr>
        <w:rFonts w:hint="default"/>
        <w:lang w:val="zh-CN" w:eastAsia="zh-CN" w:bidi="zh-CN"/>
      </w:rPr>
    </w:lvl>
    <w:lvl w:ilvl="8" w:tplc="C13491C8">
      <w:numFmt w:val="bullet"/>
      <w:lvlText w:val="•"/>
      <w:lvlJc w:val="left"/>
      <w:pPr>
        <w:ind w:left="8601" w:hanging="213"/>
      </w:pPr>
      <w:rPr>
        <w:rFonts w:hint="default"/>
        <w:lang w:val="zh-CN" w:eastAsia="zh-CN" w:bidi="zh-CN"/>
      </w:rPr>
    </w:lvl>
  </w:abstractNum>
  <w:abstractNum w:abstractNumId="553" w15:restartNumberingAfterBreak="0">
    <w:nsid w:val="49EB0A2D"/>
    <w:multiLevelType w:val="hybridMultilevel"/>
    <w:tmpl w:val="3D8A4032"/>
    <w:lvl w:ilvl="0" w:tplc="2A42A750">
      <w:start w:val="1"/>
      <w:numFmt w:val="decimal"/>
      <w:lvlText w:val="（%1）"/>
      <w:lvlJc w:val="left"/>
      <w:pPr>
        <w:ind w:left="418" w:hanging="532"/>
        <w:jc w:val="left"/>
      </w:pPr>
      <w:rPr>
        <w:rFonts w:ascii="宋体" w:eastAsia="宋体" w:hAnsi="宋体" w:cs="宋体" w:hint="default"/>
        <w:spacing w:val="0"/>
        <w:w w:val="100"/>
        <w:sz w:val="19"/>
        <w:szCs w:val="19"/>
        <w:lang w:val="zh-CN" w:eastAsia="zh-CN" w:bidi="zh-CN"/>
      </w:rPr>
    </w:lvl>
    <w:lvl w:ilvl="1" w:tplc="4CC46DE6">
      <w:numFmt w:val="bullet"/>
      <w:lvlText w:val="•"/>
      <w:lvlJc w:val="left"/>
      <w:pPr>
        <w:ind w:left="1442" w:hanging="532"/>
      </w:pPr>
      <w:rPr>
        <w:rFonts w:hint="default"/>
        <w:lang w:val="zh-CN" w:eastAsia="zh-CN" w:bidi="zh-CN"/>
      </w:rPr>
    </w:lvl>
    <w:lvl w:ilvl="2" w:tplc="903A7B4E">
      <w:numFmt w:val="bullet"/>
      <w:lvlText w:val="•"/>
      <w:lvlJc w:val="left"/>
      <w:pPr>
        <w:ind w:left="2465" w:hanging="532"/>
      </w:pPr>
      <w:rPr>
        <w:rFonts w:hint="default"/>
        <w:lang w:val="zh-CN" w:eastAsia="zh-CN" w:bidi="zh-CN"/>
      </w:rPr>
    </w:lvl>
    <w:lvl w:ilvl="3" w:tplc="CF86E940">
      <w:numFmt w:val="bullet"/>
      <w:lvlText w:val="•"/>
      <w:lvlJc w:val="left"/>
      <w:pPr>
        <w:ind w:left="3487" w:hanging="532"/>
      </w:pPr>
      <w:rPr>
        <w:rFonts w:hint="default"/>
        <w:lang w:val="zh-CN" w:eastAsia="zh-CN" w:bidi="zh-CN"/>
      </w:rPr>
    </w:lvl>
    <w:lvl w:ilvl="4" w:tplc="E8E07B42">
      <w:numFmt w:val="bullet"/>
      <w:lvlText w:val="•"/>
      <w:lvlJc w:val="left"/>
      <w:pPr>
        <w:ind w:left="4510" w:hanging="532"/>
      </w:pPr>
      <w:rPr>
        <w:rFonts w:hint="default"/>
        <w:lang w:val="zh-CN" w:eastAsia="zh-CN" w:bidi="zh-CN"/>
      </w:rPr>
    </w:lvl>
    <w:lvl w:ilvl="5" w:tplc="14E4F77E">
      <w:numFmt w:val="bullet"/>
      <w:lvlText w:val="•"/>
      <w:lvlJc w:val="left"/>
      <w:pPr>
        <w:ind w:left="5533" w:hanging="532"/>
      </w:pPr>
      <w:rPr>
        <w:rFonts w:hint="default"/>
        <w:lang w:val="zh-CN" w:eastAsia="zh-CN" w:bidi="zh-CN"/>
      </w:rPr>
    </w:lvl>
    <w:lvl w:ilvl="6" w:tplc="2EB4009E">
      <w:numFmt w:val="bullet"/>
      <w:lvlText w:val="•"/>
      <w:lvlJc w:val="left"/>
      <w:pPr>
        <w:ind w:left="6555" w:hanging="532"/>
      </w:pPr>
      <w:rPr>
        <w:rFonts w:hint="default"/>
        <w:lang w:val="zh-CN" w:eastAsia="zh-CN" w:bidi="zh-CN"/>
      </w:rPr>
    </w:lvl>
    <w:lvl w:ilvl="7" w:tplc="28D87492">
      <w:numFmt w:val="bullet"/>
      <w:lvlText w:val="•"/>
      <w:lvlJc w:val="left"/>
      <w:pPr>
        <w:ind w:left="7578" w:hanging="532"/>
      </w:pPr>
      <w:rPr>
        <w:rFonts w:hint="default"/>
        <w:lang w:val="zh-CN" w:eastAsia="zh-CN" w:bidi="zh-CN"/>
      </w:rPr>
    </w:lvl>
    <w:lvl w:ilvl="8" w:tplc="8D846D1C">
      <w:numFmt w:val="bullet"/>
      <w:lvlText w:val="•"/>
      <w:lvlJc w:val="left"/>
      <w:pPr>
        <w:ind w:left="8601" w:hanging="532"/>
      </w:pPr>
      <w:rPr>
        <w:rFonts w:hint="default"/>
        <w:lang w:val="zh-CN" w:eastAsia="zh-CN" w:bidi="zh-CN"/>
      </w:rPr>
    </w:lvl>
  </w:abstractNum>
  <w:abstractNum w:abstractNumId="554" w15:restartNumberingAfterBreak="0">
    <w:nsid w:val="49F03181"/>
    <w:multiLevelType w:val="hybridMultilevel"/>
    <w:tmpl w:val="D3667CDE"/>
    <w:lvl w:ilvl="0" w:tplc="F04C2CCA">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85DA72F0">
      <w:numFmt w:val="bullet"/>
      <w:lvlText w:val="•"/>
      <w:lvlJc w:val="left"/>
      <w:pPr>
        <w:ind w:left="2288" w:hanging="529"/>
      </w:pPr>
      <w:rPr>
        <w:rFonts w:hint="default"/>
        <w:lang w:val="zh-CN" w:eastAsia="zh-CN" w:bidi="zh-CN"/>
      </w:rPr>
    </w:lvl>
    <w:lvl w:ilvl="2" w:tplc="C1BCC444">
      <w:numFmt w:val="bullet"/>
      <w:lvlText w:val="•"/>
      <w:lvlJc w:val="left"/>
      <w:pPr>
        <w:ind w:left="3217" w:hanging="529"/>
      </w:pPr>
      <w:rPr>
        <w:rFonts w:hint="default"/>
        <w:lang w:val="zh-CN" w:eastAsia="zh-CN" w:bidi="zh-CN"/>
      </w:rPr>
    </w:lvl>
    <w:lvl w:ilvl="3" w:tplc="E61081D6">
      <w:numFmt w:val="bullet"/>
      <w:lvlText w:val="•"/>
      <w:lvlJc w:val="left"/>
      <w:pPr>
        <w:ind w:left="4145" w:hanging="529"/>
      </w:pPr>
      <w:rPr>
        <w:rFonts w:hint="default"/>
        <w:lang w:val="zh-CN" w:eastAsia="zh-CN" w:bidi="zh-CN"/>
      </w:rPr>
    </w:lvl>
    <w:lvl w:ilvl="4" w:tplc="7AEC2EC6">
      <w:numFmt w:val="bullet"/>
      <w:lvlText w:val="•"/>
      <w:lvlJc w:val="left"/>
      <w:pPr>
        <w:ind w:left="5074" w:hanging="529"/>
      </w:pPr>
      <w:rPr>
        <w:rFonts w:hint="default"/>
        <w:lang w:val="zh-CN" w:eastAsia="zh-CN" w:bidi="zh-CN"/>
      </w:rPr>
    </w:lvl>
    <w:lvl w:ilvl="5" w:tplc="BAFCDCE8">
      <w:numFmt w:val="bullet"/>
      <w:lvlText w:val="•"/>
      <w:lvlJc w:val="left"/>
      <w:pPr>
        <w:ind w:left="6003" w:hanging="529"/>
      </w:pPr>
      <w:rPr>
        <w:rFonts w:hint="default"/>
        <w:lang w:val="zh-CN" w:eastAsia="zh-CN" w:bidi="zh-CN"/>
      </w:rPr>
    </w:lvl>
    <w:lvl w:ilvl="6" w:tplc="2DDE1150">
      <w:numFmt w:val="bullet"/>
      <w:lvlText w:val="•"/>
      <w:lvlJc w:val="left"/>
      <w:pPr>
        <w:ind w:left="6931" w:hanging="529"/>
      </w:pPr>
      <w:rPr>
        <w:rFonts w:hint="default"/>
        <w:lang w:val="zh-CN" w:eastAsia="zh-CN" w:bidi="zh-CN"/>
      </w:rPr>
    </w:lvl>
    <w:lvl w:ilvl="7" w:tplc="7CA2B93A">
      <w:numFmt w:val="bullet"/>
      <w:lvlText w:val="•"/>
      <w:lvlJc w:val="left"/>
      <w:pPr>
        <w:ind w:left="7860" w:hanging="529"/>
      </w:pPr>
      <w:rPr>
        <w:rFonts w:hint="default"/>
        <w:lang w:val="zh-CN" w:eastAsia="zh-CN" w:bidi="zh-CN"/>
      </w:rPr>
    </w:lvl>
    <w:lvl w:ilvl="8" w:tplc="7278E822">
      <w:numFmt w:val="bullet"/>
      <w:lvlText w:val="•"/>
      <w:lvlJc w:val="left"/>
      <w:pPr>
        <w:ind w:left="8789" w:hanging="529"/>
      </w:pPr>
      <w:rPr>
        <w:rFonts w:hint="default"/>
        <w:lang w:val="zh-CN" w:eastAsia="zh-CN" w:bidi="zh-CN"/>
      </w:rPr>
    </w:lvl>
  </w:abstractNum>
  <w:abstractNum w:abstractNumId="555" w15:restartNumberingAfterBreak="0">
    <w:nsid w:val="4A29588F"/>
    <w:multiLevelType w:val="hybridMultilevel"/>
    <w:tmpl w:val="3F32C4F6"/>
    <w:lvl w:ilvl="0" w:tplc="934E8B98">
      <w:start w:val="2"/>
      <w:numFmt w:val="decimal"/>
      <w:lvlText w:val="%1"/>
      <w:lvlJc w:val="left"/>
      <w:pPr>
        <w:ind w:left="1370" w:hanging="531"/>
        <w:jc w:val="left"/>
      </w:pPr>
      <w:rPr>
        <w:rFonts w:hint="default"/>
        <w:lang w:val="zh-CN" w:eastAsia="zh-CN" w:bidi="zh-CN"/>
      </w:rPr>
    </w:lvl>
    <w:lvl w:ilvl="1" w:tplc="BDC247A8">
      <w:start w:val="1"/>
      <w:numFmt w:val="decimal"/>
      <w:lvlText w:val="%1.%2"/>
      <w:lvlJc w:val="left"/>
      <w:pPr>
        <w:ind w:left="1370" w:hanging="531"/>
        <w:jc w:val="left"/>
      </w:pPr>
      <w:rPr>
        <w:rFonts w:hint="default"/>
        <w:lang w:val="zh-CN" w:eastAsia="zh-CN" w:bidi="zh-CN"/>
      </w:rPr>
    </w:lvl>
    <w:lvl w:ilvl="2" w:tplc="4A1C8148">
      <w:start w:val="6"/>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26FE4BB2">
      <w:numFmt w:val="bullet"/>
      <w:lvlText w:val="•"/>
      <w:lvlJc w:val="left"/>
      <w:pPr>
        <w:ind w:left="4159" w:hanging="531"/>
      </w:pPr>
      <w:rPr>
        <w:rFonts w:hint="default"/>
        <w:lang w:val="zh-CN" w:eastAsia="zh-CN" w:bidi="zh-CN"/>
      </w:rPr>
    </w:lvl>
    <w:lvl w:ilvl="4" w:tplc="4BEC2A6A">
      <w:numFmt w:val="bullet"/>
      <w:lvlText w:val="•"/>
      <w:lvlJc w:val="left"/>
      <w:pPr>
        <w:ind w:left="5086" w:hanging="531"/>
      </w:pPr>
      <w:rPr>
        <w:rFonts w:hint="default"/>
        <w:lang w:val="zh-CN" w:eastAsia="zh-CN" w:bidi="zh-CN"/>
      </w:rPr>
    </w:lvl>
    <w:lvl w:ilvl="5" w:tplc="AAECC120">
      <w:numFmt w:val="bullet"/>
      <w:lvlText w:val="•"/>
      <w:lvlJc w:val="left"/>
      <w:pPr>
        <w:ind w:left="6013" w:hanging="531"/>
      </w:pPr>
      <w:rPr>
        <w:rFonts w:hint="default"/>
        <w:lang w:val="zh-CN" w:eastAsia="zh-CN" w:bidi="zh-CN"/>
      </w:rPr>
    </w:lvl>
    <w:lvl w:ilvl="6" w:tplc="98E2C0E4">
      <w:numFmt w:val="bullet"/>
      <w:lvlText w:val="•"/>
      <w:lvlJc w:val="left"/>
      <w:pPr>
        <w:ind w:left="6939" w:hanging="531"/>
      </w:pPr>
      <w:rPr>
        <w:rFonts w:hint="default"/>
        <w:lang w:val="zh-CN" w:eastAsia="zh-CN" w:bidi="zh-CN"/>
      </w:rPr>
    </w:lvl>
    <w:lvl w:ilvl="7" w:tplc="A35A207C">
      <w:numFmt w:val="bullet"/>
      <w:lvlText w:val="•"/>
      <w:lvlJc w:val="left"/>
      <w:pPr>
        <w:ind w:left="7866" w:hanging="531"/>
      </w:pPr>
      <w:rPr>
        <w:rFonts w:hint="default"/>
        <w:lang w:val="zh-CN" w:eastAsia="zh-CN" w:bidi="zh-CN"/>
      </w:rPr>
    </w:lvl>
    <w:lvl w:ilvl="8" w:tplc="A40C1268">
      <w:numFmt w:val="bullet"/>
      <w:lvlText w:val="•"/>
      <w:lvlJc w:val="left"/>
      <w:pPr>
        <w:ind w:left="8793" w:hanging="531"/>
      </w:pPr>
      <w:rPr>
        <w:rFonts w:hint="default"/>
        <w:lang w:val="zh-CN" w:eastAsia="zh-CN" w:bidi="zh-CN"/>
      </w:rPr>
    </w:lvl>
  </w:abstractNum>
  <w:abstractNum w:abstractNumId="556" w15:restartNumberingAfterBreak="0">
    <w:nsid w:val="4A492220"/>
    <w:multiLevelType w:val="hybridMultilevel"/>
    <w:tmpl w:val="ADBC70FA"/>
    <w:lvl w:ilvl="0" w:tplc="989E5680">
      <w:start w:val="4"/>
      <w:numFmt w:val="decimal"/>
      <w:lvlText w:val="%1"/>
      <w:lvlJc w:val="left"/>
      <w:pPr>
        <w:ind w:left="418" w:hanging="529"/>
        <w:jc w:val="left"/>
      </w:pPr>
      <w:rPr>
        <w:rFonts w:hint="default"/>
        <w:lang w:val="zh-CN" w:eastAsia="zh-CN" w:bidi="zh-CN"/>
      </w:rPr>
    </w:lvl>
    <w:lvl w:ilvl="1" w:tplc="C5888748">
      <w:start w:val="3"/>
      <w:numFmt w:val="decimal"/>
      <w:lvlText w:val="%1.%2"/>
      <w:lvlJc w:val="left"/>
      <w:pPr>
        <w:ind w:left="418" w:hanging="529"/>
        <w:jc w:val="left"/>
      </w:pPr>
      <w:rPr>
        <w:rFonts w:hint="default"/>
        <w:lang w:val="zh-CN" w:eastAsia="zh-CN" w:bidi="zh-CN"/>
      </w:rPr>
    </w:lvl>
    <w:lvl w:ilvl="2" w:tplc="4912BE0A">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4064C1E4">
      <w:numFmt w:val="bullet"/>
      <w:lvlText w:val="•"/>
      <w:lvlJc w:val="left"/>
      <w:pPr>
        <w:ind w:left="3487" w:hanging="529"/>
      </w:pPr>
      <w:rPr>
        <w:rFonts w:hint="default"/>
        <w:lang w:val="zh-CN" w:eastAsia="zh-CN" w:bidi="zh-CN"/>
      </w:rPr>
    </w:lvl>
    <w:lvl w:ilvl="4" w:tplc="D80E0952">
      <w:numFmt w:val="bullet"/>
      <w:lvlText w:val="•"/>
      <w:lvlJc w:val="left"/>
      <w:pPr>
        <w:ind w:left="4510" w:hanging="529"/>
      </w:pPr>
      <w:rPr>
        <w:rFonts w:hint="default"/>
        <w:lang w:val="zh-CN" w:eastAsia="zh-CN" w:bidi="zh-CN"/>
      </w:rPr>
    </w:lvl>
    <w:lvl w:ilvl="5" w:tplc="EE8E53A4">
      <w:numFmt w:val="bullet"/>
      <w:lvlText w:val="•"/>
      <w:lvlJc w:val="left"/>
      <w:pPr>
        <w:ind w:left="5533" w:hanging="529"/>
      </w:pPr>
      <w:rPr>
        <w:rFonts w:hint="default"/>
        <w:lang w:val="zh-CN" w:eastAsia="zh-CN" w:bidi="zh-CN"/>
      </w:rPr>
    </w:lvl>
    <w:lvl w:ilvl="6" w:tplc="28047008">
      <w:numFmt w:val="bullet"/>
      <w:lvlText w:val="•"/>
      <w:lvlJc w:val="left"/>
      <w:pPr>
        <w:ind w:left="6555" w:hanging="529"/>
      </w:pPr>
      <w:rPr>
        <w:rFonts w:hint="default"/>
        <w:lang w:val="zh-CN" w:eastAsia="zh-CN" w:bidi="zh-CN"/>
      </w:rPr>
    </w:lvl>
    <w:lvl w:ilvl="7" w:tplc="7F9AB10E">
      <w:numFmt w:val="bullet"/>
      <w:lvlText w:val="•"/>
      <w:lvlJc w:val="left"/>
      <w:pPr>
        <w:ind w:left="7578" w:hanging="529"/>
      </w:pPr>
      <w:rPr>
        <w:rFonts w:hint="default"/>
        <w:lang w:val="zh-CN" w:eastAsia="zh-CN" w:bidi="zh-CN"/>
      </w:rPr>
    </w:lvl>
    <w:lvl w:ilvl="8" w:tplc="140C935A">
      <w:numFmt w:val="bullet"/>
      <w:lvlText w:val="•"/>
      <w:lvlJc w:val="left"/>
      <w:pPr>
        <w:ind w:left="8601" w:hanging="529"/>
      </w:pPr>
      <w:rPr>
        <w:rFonts w:hint="default"/>
        <w:lang w:val="zh-CN" w:eastAsia="zh-CN" w:bidi="zh-CN"/>
      </w:rPr>
    </w:lvl>
  </w:abstractNum>
  <w:abstractNum w:abstractNumId="557" w15:restartNumberingAfterBreak="0">
    <w:nsid w:val="4A5A2CD3"/>
    <w:multiLevelType w:val="hybridMultilevel"/>
    <w:tmpl w:val="B568D666"/>
    <w:lvl w:ilvl="0" w:tplc="B678A75E">
      <w:start w:val="2"/>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618C9C28">
      <w:numFmt w:val="bullet"/>
      <w:lvlText w:val="•"/>
      <w:lvlJc w:val="left"/>
      <w:pPr>
        <w:ind w:left="2018" w:hanging="213"/>
      </w:pPr>
      <w:rPr>
        <w:rFonts w:hint="default"/>
        <w:lang w:val="zh-CN" w:eastAsia="zh-CN" w:bidi="zh-CN"/>
      </w:rPr>
    </w:lvl>
    <w:lvl w:ilvl="2" w:tplc="1E7E3094">
      <w:numFmt w:val="bullet"/>
      <w:lvlText w:val="•"/>
      <w:lvlJc w:val="left"/>
      <w:pPr>
        <w:ind w:left="2977" w:hanging="213"/>
      </w:pPr>
      <w:rPr>
        <w:rFonts w:hint="default"/>
        <w:lang w:val="zh-CN" w:eastAsia="zh-CN" w:bidi="zh-CN"/>
      </w:rPr>
    </w:lvl>
    <w:lvl w:ilvl="3" w:tplc="1A2A0C0E">
      <w:numFmt w:val="bullet"/>
      <w:lvlText w:val="•"/>
      <w:lvlJc w:val="left"/>
      <w:pPr>
        <w:ind w:left="3935" w:hanging="213"/>
      </w:pPr>
      <w:rPr>
        <w:rFonts w:hint="default"/>
        <w:lang w:val="zh-CN" w:eastAsia="zh-CN" w:bidi="zh-CN"/>
      </w:rPr>
    </w:lvl>
    <w:lvl w:ilvl="4" w:tplc="B8B8FC04">
      <w:numFmt w:val="bullet"/>
      <w:lvlText w:val="•"/>
      <w:lvlJc w:val="left"/>
      <w:pPr>
        <w:ind w:left="4894" w:hanging="213"/>
      </w:pPr>
      <w:rPr>
        <w:rFonts w:hint="default"/>
        <w:lang w:val="zh-CN" w:eastAsia="zh-CN" w:bidi="zh-CN"/>
      </w:rPr>
    </w:lvl>
    <w:lvl w:ilvl="5" w:tplc="CFCA26FA">
      <w:numFmt w:val="bullet"/>
      <w:lvlText w:val="•"/>
      <w:lvlJc w:val="left"/>
      <w:pPr>
        <w:ind w:left="5853" w:hanging="213"/>
      </w:pPr>
      <w:rPr>
        <w:rFonts w:hint="default"/>
        <w:lang w:val="zh-CN" w:eastAsia="zh-CN" w:bidi="zh-CN"/>
      </w:rPr>
    </w:lvl>
    <w:lvl w:ilvl="6" w:tplc="AE48A416">
      <w:numFmt w:val="bullet"/>
      <w:lvlText w:val="•"/>
      <w:lvlJc w:val="left"/>
      <w:pPr>
        <w:ind w:left="6811" w:hanging="213"/>
      </w:pPr>
      <w:rPr>
        <w:rFonts w:hint="default"/>
        <w:lang w:val="zh-CN" w:eastAsia="zh-CN" w:bidi="zh-CN"/>
      </w:rPr>
    </w:lvl>
    <w:lvl w:ilvl="7" w:tplc="687CB6FE">
      <w:numFmt w:val="bullet"/>
      <w:lvlText w:val="•"/>
      <w:lvlJc w:val="left"/>
      <w:pPr>
        <w:ind w:left="7770" w:hanging="213"/>
      </w:pPr>
      <w:rPr>
        <w:rFonts w:hint="default"/>
        <w:lang w:val="zh-CN" w:eastAsia="zh-CN" w:bidi="zh-CN"/>
      </w:rPr>
    </w:lvl>
    <w:lvl w:ilvl="8" w:tplc="A46C3722">
      <w:numFmt w:val="bullet"/>
      <w:lvlText w:val="•"/>
      <w:lvlJc w:val="left"/>
      <w:pPr>
        <w:ind w:left="8729" w:hanging="213"/>
      </w:pPr>
      <w:rPr>
        <w:rFonts w:hint="default"/>
        <w:lang w:val="zh-CN" w:eastAsia="zh-CN" w:bidi="zh-CN"/>
      </w:rPr>
    </w:lvl>
  </w:abstractNum>
  <w:abstractNum w:abstractNumId="558" w15:restartNumberingAfterBreak="0">
    <w:nsid w:val="4A8814A1"/>
    <w:multiLevelType w:val="hybridMultilevel"/>
    <w:tmpl w:val="53507628"/>
    <w:lvl w:ilvl="0" w:tplc="468A883C">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E9642736">
      <w:numFmt w:val="bullet"/>
      <w:lvlText w:val="•"/>
      <w:lvlJc w:val="left"/>
      <w:pPr>
        <w:ind w:left="1442" w:hanging="529"/>
      </w:pPr>
      <w:rPr>
        <w:rFonts w:hint="default"/>
        <w:lang w:val="zh-CN" w:eastAsia="zh-CN" w:bidi="zh-CN"/>
      </w:rPr>
    </w:lvl>
    <w:lvl w:ilvl="2" w:tplc="A2922F16">
      <w:numFmt w:val="bullet"/>
      <w:lvlText w:val="•"/>
      <w:lvlJc w:val="left"/>
      <w:pPr>
        <w:ind w:left="2465" w:hanging="529"/>
      </w:pPr>
      <w:rPr>
        <w:rFonts w:hint="default"/>
        <w:lang w:val="zh-CN" w:eastAsia="zh-CN" w:bidi="zh-CN"/>
      </w:rPr>
    </w:lvl>
    <w:lvl w:ilvl="3" w:tplc="C03C5B80">
      <w:numFmt w:val="bullet"/>
      <w:lvlText w:val="•"/>
      <w:lvlJc w:val="left"/>
      <w:pPr>
        <w:ind w:left="3487" w:hanging="529"/>
      </w:pPr>
      <w:rPr>
        <w:rFonts w:hint="default"/>
        <w:lang w:val="zh-CN" w:eastAsia="zh-CN" w:bidi="zh-CN"/>
      </w:rPr>
    </w:lvl>
    <w:lvl w:ilvl="4" w:tplc="A0903B28">
      <w:numFmt w:val="bullet"/>
      <w:lvlText w:val="•"/>
      <w:lvlJc w:val="left"/>
      <w:pPr>
        <w:ind w:left="4510" w:hanging="529"/>
      </w:pPr>
      <w:rPr>
        <w:rFonts w:hint="default"/>
        <w:lang w:val="zh-CN" w:eastAsia="zh-CN" w:bidi="zh-CN"/>
      </w:rPr>
    </w:lvl>
    <w:lvl w:ilvl="5" w:tplc="D8D4B696">
      <w:numFmt w:val="bullet"/>
      <w:lvlText w:val="•"/>
      <w:lvlJc w:val="left"/>
      <w:pPr>
        <w:ind w:left="5533" w:hanging="529"/>
      </w:pPr>
      <w:rPr>
        <w:rFonts w:hint="default"/>
        <w:lang w:val="zh-CN" w:eastAsia="zh-CN" w:bidi="zh-CN"/>
      </w:rPr>
    </w:lvl>
    <w:lvl w:ilvl="6" w:tplc="44F6F7C2">
      <w:numFmt w:val="bullet"/>
      <w:lvlText w:val="•"/>
      <w:lvlJc w:val="left"/>
      <w:pPr>
        <w:ind w:left="6555" w:hanging="529"/>
      </w:pPr>
      <w:rPr>
        <w:rFonts w:hint="default"/>
        <w:lang w:val="zh-CN" w:eastAsia="zh-CN" w:bidi="zh-CN"/>
      </w:rPr>
    </w:lvl>
    <w:lvl w:ilvl="7" w:tplc="747647FC">
      <w:numFmt w:val="bullet"/>
      <w:lvlText w:val="•"/>
      <w:lvlJc w:val="left"/>
      <w:pPr>
        <w:ind w:left="7578" w:hanging="529"/>
      </w:pPr>
      <w:rPr>
        <w:rFonts w:hint="default"/>
        <w:lang w:val="zh-CN" w:eastAsia="zh-CN" w:bidi="zh-CN"/>
      </w:rPr>
    </w:lvl>
    <w:lvl w:ilvl="8" w:tplc="EE02700E">
      <w:numFmt w:val="bullet"/>
      <w:lvlText w:val="•"/>
      <w:lvlJc w:val="left"/>
      <w:pPr>
        <w:ind w:left="8601" w:hanging="529"/>
      </w:pPr>
      <w:rPr>
        <w:rFonts w:hint="default"/>
        <w:lang w:val="zh-CN" w:eastAsia="zh-CN" w:bidi="zh-CN"/>
      </w:rPr>
    </w:lvl>
  </w:abstractNum>
  <w:abstractNum w:abstractNumId="559" w15:restartNumberingAfterBreak="0">
    <w:nsid w:val="4AB55604"/>
    <w:multiLevelType w:val="hybridMultilevel"/>
    <w:tmpl w:val="34121BCC"/>
    <w:lvl w:ilvl="0" w:tplc="E4A880DC">
      <w:start w:val="5"/>
      <w:numFmt w:val="decimal"/>
      <w:lvlText w:val="%1"/>
      <w:lvlJc w:val="left"/>
      <w:pPr>
        <w:ind w:left="1370" w:hanging="531"/>
        <w:jc w:val="left"/>
      </w:pPr>
      <w:rPr>
        <w:rFonts w:hint="default"/>
        <w:lang w:val="zh-CN" w:eastAsia="zh-CN" w:bidi="zh-CN"/>
      </w:rPr>
    </w:lvl>
    <w:lvl w:ilvl="1" w:tplc="0738733E">
      <w:start w:val="9"/>
      <w:numFmt w:val="decimal"/>
      <w:lvlText w:val="%1.%2"/>
      <w:lvlJc w:val="left"/>
      <w:pPr>
        <w:ind w:left="1370" w:hanging="531"/>
        <w:jc w:val="left"/>
      </w:pPr>
      <w:rPr>
        <w:rFonts w:hint="default"/>
        <w:lang w:val="zh-CN" w:eastAsia="zh-CN" w:bidi="zh-CN"/>
      </w:rPr>
    </w:lvl>
    <w:lvl w:ilvl="2" w:tplc="7B586A74">
      <w:start w:val="7"/>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5BB0D40C">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4AF02CB8">
      <w:numFmt w:val="bullet"/>
      <w:lvlText w:val="•"/>
      <w:lvlJc w:val="left"/>
      <w:pPr>
        <w:ind w:left="4602" w:hanging="738"/>
      </w:pPr>
      <w:rPr>
        <w:rFonts w:hint="default"/>
        <w:lang w:val="zh-CN" w:eastAsia="zh-CN" w:bidi="zh-CN"/>
      </w:rPr>
    </w:lvl>
    <w:lvl w:ilvl="5" w:tplc="DFEE5AF6">
      <w:numFmt w:val="bullet"/>
      <w:lvlText w:val="•"/>
      <w:lvlJc w:val="left"/>
      <w:pPr>
        <w:ind w:left="5609" w:hanging="738"/>
      </w:pPr>
      <w:rPr>
        <w:rFonts w:hint="default"/>
        <w:lang w:val="zh-CN" w:eastAsia="zh-CN" w:bidi="zh-CN"/>
      </w:rPr>
    </w:lvl>
    <w:lvl w:ilvl="6" w:tplc="05D65E32">
      <w:numFmt w:val="bullet"/>
      <w:lvlText w:val="•"/>
      <w:lvlJc w:val="left"/>
      <w:pPr>
        <w:ind w:left="6616" w:hanging="738"/>
      </w:pPr>
      <w:rPr>
        <w:rFonts w:hint="default"/>
        <w:lang w:val="zh-CN" w:eastAsia="zh-CN" w:bidi="zh-CN"/>
      </w:rPr>
    </w:lvl>
    <w:lvl w:ilvl="7" w:tplc="068ED842">
      <w:numFmt w:val="bullet"/>
      <w:lvlText w:val="•"/>
      <w:lvlJc w:val="left"/>
      <w:pPr>
        <w:ind w:left="7624" w:hanging="738"/>
      </w:pPr>
      <w:rPr>
        <w:rFonts w:hint="default"/>
        <w:lang w:val="zh-CN" w:eastAsia="zh-CN" w:bidi="zh-CN"/>
      </w:rPr>
    </w:lvl>
    <w:lvl w:ilvl="8" w:tplc="1AD4A55E">
      <w:numFmt w:val="bullet"/>
      <w:lvlText w:val="•"/>
      <w:lvlJc w:val="left"/>
      <w:pPr>
        <w:ind w:left="8631" w:hanging="738"/>
      </w:pPr>
      <w:rPr>
        <w:rFonts w:hint="default"/>
        <w:lang w:val="zh-CN" w:eastAsia="zh-CN" w:bidi="zh-CN"/>
      </w:rPr>
    </w:lvl>
  </w:abstractNum>
  <w:abstractNum w:abstractNumId="560" w15:restartNumberingAfterBreak="0">
    <w:nsid w:val="4AC47B46"/>
    <w:multiLevelType w:val="hybridMultilevel"/>
    <w:tmpl w:val="0B4477A4"/>
    <w:lvl w:ilvl="0" w:tplc="49C0D622">
      <w:start w:val="3"/>
      <w:numFmt w:val="decimal"/>
      <w:lvlText w:val="%1"/>
      <w:lvlJc w:val="left"/>
      <w:pPr>
        <w:ind w:left="418" w:hanging="584"/>
        <w:jc w:val="left"/>
      </w:pPr>
      <w:rPr>
        <w:rFonts w:hint="default"/>
        <w:lang w:val="zh-CN" w:eastAsia="zh-CN" w:bidi="zh-CN"/>
      </w:rPr>
    </w:lvl>
    <w:lvl w:ilvl="1" w:tplc="6FC8B4A8">
      <w:start w:val="2"/>
      <w:numFmt w:val="decimal"/>
      <w:lvlText w:val="%1.%2"/>
      <w:lvlJc w:val="left"/>
      <w:pPr>
        <w:ind w:left="418" w:hanging="584"/>
        <w:jc w:val="left"/>
      </w:pPr>
      <w:rPr>
        <w:rFonts w:hint="default"/>
        <w:lang w:val="zh-CN" w:eastAsia="zh-CN" w:bidi="zh-CN"/>
      </w:rPr>
    </w:lvl>
    <w:lvl w:ilvl="2" w:tplc="16CAC33C">
      <w:start w:val="1"/>
      <w:numFmt w:val="decimal"/>
      <w:lvlText w:val="%1.%2.%3"/>
      <w:lvlJc w:val="left"/>
      <w:pPr>
        <w:ind w:left="418" w:hanging="584"/>
        <w:jc w:val="left"/>
      </w:pPr>
      <w:rPr>
        <w:rFonts w:ascii="宋体" w:eastAsia="宋体" w:hAnsi="宋体" w:cs="宋体" w:hint="default"/>
        <w:b/>
        <w:bCs/>
        <w:w w:val="99"/>
        <w:sz w:val="21"/>
        <w:szCs w:val="21"/>
        <w:lang w:val="zh-CN" w:eastAsia="zh-CN" w:bidi="zh-CN"/>
      </w:rPr>
    </w:lvl>
    <w:lvl w:ilvl="3" w:tplc="70F843AA">
      <w:numFmt w:val="bullet"/>
      <w:lvlText w:val="•"/>
      <w:lvlJc w:val="left"/>
      <w:pPr>
        <w:ind w:left="3487" w:hanging="584"/>
      </w:pPr>
      <w:rPr>
        <w:rFonts w:hint="default"/>
        <w:lang w:val="zh-CN" w:eastAsia="zh-CN" w:bidi="zh-CN"/>
      </w:rPr>
    </w:lvl>
    <w:lvl w:ilvl="4" w:tplc="3CA632A0">
      <w:numFmt w:val="bullet"/>
      <w:lvlText w:val="•"/>
      <w:lvlJc w:val="left"/>
      <w:pPr>
        <w:ind w:left="4510" w:hanging="584"/>
      </w:pPr>
      <w:rPr>
        <w:rFonts w:hint="default"/>
        <w:lang w:val="zh-CN" w:eastAsia="zh-CN" w:bidi="zh-CN"/>
      </w:rPr>
    </w:lvl>
    <w:lvl w:ilvl="5" w:tplc="7D2C61CC">
      <w:numFmt w:val="bullet"/>
      <w:lvlText w:val="•"/>
      <w:lvlJc w:val="left"/>
      <w:pPr>
        <w:ind w:left="5533" w:hanging="584"/>
      </w:pPr>
      <w:rPr>
        <w:rFonts w:hint="default"/>
        <w:lang w:val="zh-CN" w:eastAsia="zh-CN" w:bidi="zh-CN"/>
      </w:rPr>
    </w:lvl>
    <w:lvl w:ilvl="6" w:tplc="5D6EAA00">
      <w:numFmt w:val="bullet"/>
      <w:lvlText w:val="•"/>
      <w:lvlJc w:val="left"/>
      <w:pPr>
        <w:ind w:left="6555" w:hanging="584"/>
      </w:pPr>
      <w:rPr>
        <w:rFonts w:hint="default"/>
        <w:lang w:val="zh-CN" w:eastAsia="zh-CN" w:bidi="zh-CN"/>
      </w:rPr>
    </w:lvl>
    <w:lvl w:ilvl="7" w:tplc="57720822">
      <w:numFmt w:val="bullet"/>
      <w:lvlText w:val="•"/>
      <w:lvlJc w:val="left"/>
      <w:pPr>
        <w:ind w:left="7578" w:hanging="584"/>
      </w:pPr>
      <w:rPr>
        <w:rFonts w:hint="default"/>
        <w:lang w:val="zh-CN" w:eastAsia="zh-CN" w:bidi="zh-CN"/>
      </w:rPr>
    </w:lvl>
    <w:lvl w:ilvl="8" w:tplc="44A02460">
      <w:numFmt w:val="bullet"/>
      <w:lvlText w:val="•"/>
      <w:lvlJc w:val="left"/>
      <w:pPr>
        <w:ind w:left="8601" w:hanging="584"/>
      </w:pPr>
      <w:rPr>
        <w:rFonts w:hint="default"/>
        <w:lang w:val="zh-CN" w:eastAsia="zh-CN" w:bidi="zh-CN"/>
      </w:rPr>
    </w:lvl>
  </w:abstractNum>
  <w:abstractNum w:abstractNumId="561" w15:restartNumberingAfterBreak="0">
    <w:nsid w:val="4AD63590"/>
    <w:multiLevelType w:val="hybridMultilevel"/>
    <w:tmpl w:val="34D40C90"/>
    <w:lvl w:ilvl="0" w:tplc="60041560">
      <w:start w:val="1"/>
      <w:numFmt w:val="lowerLetter"/>
      <w:lvlText w:val="%1)"/>
      <w:lvlJc w:val="left"/>
      <w:pPr>
        <w:ind w:left="418" w:hanging="213"/>
        <w:jc w:val="left"/>
      </w:pPr>
      <w:rPr>
        <w:rFonts w:ascii="宋体" w:eastAsia="宋体" w:hAnsi="宋体" w:cs="宋体" w:hint="default"/>
        <w:spacing w:val="-3"/>
        <w:w w:val="100"/>
        <w:sz w:val="19"/>
        <w:szCs w:val="19"/>
        <w:lang w:val="zh-CN" w:eastAsia="zh-CN" w:bidi="zh-CN"/>
      </w:rPr>
    </w:lvl>
    <w:lvl w:ilvl="1" w:tplc="78060FF6">
      <w:numFmt w:val="bullet"/>
      <w:lvlText w:val="•"/>
      <w:lvlJc w:val="left"/>
      <w:pPr>
        <w:ind w:left="1442" w:hanging="213"/>
      </w:pPr>
      <w:rPr>
        <w:rFonts w:hint="default"/>
        <w:lang w:val="zh-CN" w:eastAsia="zh-CN" w:bidi="zh-CN"/>
      </w:rPr>
    </w:lvl>
    <w:lvl w:ilvl="2" w:tplc="BBD45BD6">
      <w:numFmt w:val="bullet"/>
      <w:lvlText w:val="•"/>
      <w:lvlJc w:val="left"/>
      <w:pPr>
        <w:ind w:left="2465" w:hanging="213"/>
      </w:pPr>
      <w:rPr>
        <w:rFonts w:hint="default"/>
        <w:lang w:val="zh-CN" w:eastAsia="zh-CN" w:bidi="zh-CN"/>
      </w:rPr>
    </w:lvl>
    <w:lvl w:ilvl="3" w:tplc="B73E5A18">
      <w:numFmt w:val="bullet"/>
      <w:lvlText w:val="•"/>
      <w:lvlJc w:val="left"/>
      <w:pPr>
        <w:ind w:left="3487" w:hanging="213"/>
      </w:pPr>
      <w:rPr>
        <w:rFonts w:hint="default"/>
        <w:lang w:val="zh-CN" w:eastAsia="zh-CN" w:bidi="zh-CN"/>
      </w:rPr>
    </w:lvl>
    <w:lvl w:ilvl="4" w:tplc="C846C68C">
      <w:numFmt w:val="bullet"/>
      <w:lvlText w:val="•"/>
      <w:lvlJc w:val="left"/>
      <w:pPr>
        <w:ind w:left="4510" w:hanging="213"/>
      </w:pPr>
      <w:rPr>
        <w:rFonts w:hint="default"/>
        <w:lang w:val="zh-CN" w:eastAsia="zh-CN" w:bidi="zh-CN"/>
      </w:rPr>
    </w:lvl>
    <w:lvl w:ilvl="5" w:tplc="923467EE">
      <w:numFmt w:val="bullet"/>
      <w:lvlText w:val="•"/>
      <w:lvlJc w:val="left"/>
      <w:pPr>
        <w:ind w:left="5533" w:hanging="213"/>
      </w:pPr>
      <w:rPr>
        <w:rFonts w:hint="default"/>
        <w:lang w:val="zh-CN" w:eastAsia="zh-CN" w:bidi="zh-CN"/>
      </w:rPr>
    </w:lvl>
    <w:lvl w:ilvl="6" w:tplc="B44A1F94">
      <w:numFmt w:val="bullet"/>
      <w:lvlText w:val="•"/>
      <w:lvlJc w:val="left"/>
      <w:pPr>
        <w:ind w:left="6555" w:hanging="213"/>
      </w:pPr>
      <w:rPr>
        <w:rFonts w:hint="default"/>
        <w:lang w:val="zh-CN" w:eastAsia="zh-CN" w:bidi="zh-CN"/>
      </w:rPr>
    </w:lvl>
    <w:lvl w:ilvl="7" w:tplc="EC807F16">
      <w:numFmt w:val="bullet"/>
      <w:lvlText w:val="•"/>
      <w:lvlJc w:val="left"/>
      <w:pPr>
        <w:ind w:left="7578" w:hanging="213"/>
      </w:pPr>
      <w:rPr>
        <w:rFonts w:hint="default"/>
        <w:lang w:val="zh-CN" w:eastAsia="zh-CN" w:bidi="zh-CN"/>
      </w:rPr>
    </w:lvl>
    <w:lvl w:ilvl="8" w:tplc="007857B6">
      <w:numFmt w:val="bullet"/>
      <w:lvlText w:val="•"/>
      <w:lvlJc w:val="left"/>
      <w:pPr>
        <w:ind w:left="8601" w:hanging="213"/>
      </w:pPr>
      <w:rPr>
        <w:rFonts w:hint="default"/>
        <w:lang w:val="zh-CN" w:eastAsia="zh-CN" w:bidi="zh-CN"/>
      </w:rPr>
    </w:lvl>
  </w:abstractNum>
  <w:abstractNum w:abstractNumId="562" w15:restartNumberingAfterBreak="0">
    <w:nsid w:val="4AE03B83"/>
    <w:multiLevelType w:val="hybridMultilevel"/>
    <w:tmpl w:val="9CC48D00"/>
    <w:lvl w:ilvl="0" w:tplc="DB16688C">
      <w:start w:val="6"/>
      <w:numFmt w:val="decimal"/>
      <w:lvlText w:val="%1"/>
      <w:lvlJc w:val="left"/>
      <w:pPr>
        <w:ind w:left="1423" w:hanging="584"/>
        <w:jc w:val="left"/>
      </w:pPr>
      <w:rPr>
        <w:rFonts w:hint="default"/>
        <w:lang w:val="zh-CN" w:eastAsia="zh-CN" w:bidi="zh-CN"/>
      </w:rPr>
    </w:lvl>
    <w:lvl w:ilvl="1" w:tplc="541E6A88">
      <w:start w:val="7"/>
      <w:numFmt w:val="decimal"/>
      <w:lvlText w:val="%1.%2"/>
      <w:lvlJc w:val="left"/>
      <w:pPr>
        <w:ind w:left="1423" w:hanging="584"/>
        <w:jc w:val="left"/>
      </w:pPr>
      <w:rPr>
        <w:rFonts w:hint="default"/>
        <w:lang w:val="zh-CN" w:eastAsia="zh-CN" w:bidi="zh-CN"/>
      </w:rPr>
    </w:lvl>
    <w:lvl w:ilvl="2" w:tplc="466859E8">
      <w:start w:val="1"/>
      <w:numFmt w:val="decimal"/>
      <w:lvlText w:val="%1.%2.%3"/>
      <w:lvlJc w:val="left"/>
      <w:pPr>
        <w:ind w:left="1423" w:hanging="584"/>
        <w:jc w:val="left"/>
      </w:pPr>
      <w:rPr>
        <w:rFonts w:ascii="宋体" w:eastAsia="宋体" w:hAnsi="宋体" w:cs="宋体" w:hint="default"/>
        <w:b/>
        <w:bCs/>
        <w:w w:val="99"/>
        <w:sz w:val="21"/>
        <w:szCs w:val="21"/>
        <w:lang w:val="zh-CN" w:eastAsia="zh-CN" w:bidi="zh-CN"/>
      </w:rPr>
    </w:lvl>
    <w:lvl w:ilvl="3" w:tplc="B6BE0B1A">
      <w:numFmt w:val="bullet"/>
      <w:lvlText w:val="•"/>
      <w:lvlJc w:val="left"/>
      <w:pPr>
        <w:ind w:left="4187" w:hanging="584"/>
      </w:pPr>
      <w:rPr>
        <w:rFonts w:hint="default"/>
        <w:lang w:val="zh-CN" w:eastAsia="zh-CN" w:bidi="zh-CN"/>
      </w:rPr>
    </w:lvl>
    <w:lvl w:ilvl="4" w:tplc="57F6FDE6">
      <w:numFmt w:val="bullet"/>
      <w:lvlText w:val="•"/>
      <w:lvlJc w:val="left"/>
      <w:pPr>
        <w:ind w:left="5110" w:hanging="584"/>
      </w:pPr>
      <w:rPr>
        <w:rFonts w:hint="default"/>
        <w:lang w:val="zh-CN" w:eastAsia="zh-CN" w:bidi="zh-CN"/>
      </w:rPr>
    </w:lvl>
    <w:lvl w:ilvl="5" w:tplc="E56C0B10">
      <w:numFmt w:val="bullet"/>
      <w:lvlText w:val="•"/>
      <w:lvlJc w:val="left"/>
      <w:pPr>
        <w:ind w:left="6033" w:hanging="584"/>
      </w:pPr>
      <w:rPr>
        <w:rFonts w:hint="default"/>
        <w:lang w:val="zh-CN" w:eastAsia="zh-CN" w:bidi="zh-CN"/>
      </w:rPr>
    </w:lvl>
    <w:lvl w:ilvl="6" w:tplc="C1765A30">
      <w:numFmt w:val="bullet"/>
      <w:lvlText w:val="•"/>
      <w:lvlJc w:val="left"/>
      <w:pPr>
        <w:ind w:left="6955" w:hanging="584"/>
      </w:pPr>
      <w:rPr>
        <w:rFonts w:hint="default"/>
        <w:lang w:val="zh-CN" w:eastAsia="zh-CN" w:bidi="zh-CN"/>
      </w:rPr>
    </w:lvl>
    <w:lvl w:ilvl="7" w:tplc="45121226">
      <w:numFmt w:val="bullet"/>
      <w:lvlText w:val="•"/>
      <w:lvlJc w:val="left"/>
      <w:pPr>
        <w:ind w:left="7878" w:hanging="584"/>
      </w:pPr>
      <w:rPr>
        <w:rFonts w:hint="default"/>
        <w:lang w:val="zh-CN" w:eastAsia="zh-CN" w:bidi="zh-CN"/>
      </w:rPr>
    </w:lvl>
    <w:lvl w:ilvl="8" w:tplc="9D4ACE02">
      <w:numFmt w:val="bullet"/>
      <w:lvlText w:val="•"/>
      <w:lvlJc w:val="left"/>
      <w:pPr>
        <w:ind w:left="8801" w:hanging="584"/>
      </w:pPr>
      <w:rPr>
        <w:rFonts w:hint="default"/>
        <w:lang w:val="zh-CN" w:eastAsia="zh-CN" w:bidi="zh-CN"/>
      </w:rPr>
    </w:lvl>
  </w:abstractNum>
  <w:abstractNum w:abstractNumId="563" w15:restartNumberingAfterBreak="0">
    <w:nsid w:val="4AEA4351"/>
    <w:multiLevelType w:val="hybridMultilevel"/>
    <w:tmpl w:val="6B4CC138"/>
    <w:lvl w:ilvl="0" w:tplc="1BE43ABA">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577A5008">
      <w:numFmt w:val="bullet"/>
      <w:lvlText w:val="•"/>
      <w:lvlJc w:val="left"/>
      <w:pPr>
        <w:ind w:left="2288" w:hanging="529"/>
      </w:pPr>
      <w:rPr>
        <w:rFonts w:hint="default"/>
        <w:lang w:val="zh-CN" w:eastAsia="zh-CN" w:bidi="zh-CN"/>
      </w:rPr>
    </w:lvl>
    <w:lvl w:ilvl="2" w:tplc="D0C47FEE">
      <w:numFmt w:val="bullet"/>
      <w:lvlText w:val="•"/>
      <w:lvlJc w:val="left"/>
      <w:pPr>
        <w:ind w:left="3217" w:hanging="529"/>
      </w:pPr>
      <w:rPr>
        <w:rFonts w:hint="default"/>
        <w:lang w:val="zh-CN" w:eastAsia="zh-CN" w:bidi="zh-CN"/>
      </w:rPr>
    </w:lvl>
    <w:lvl w:ilvl="3" w:tplc="6AA6D1CC">
      <w:numFmt w:val="bullet"/>
      <w:lvlText w:val="•"/>
      <w:lvlJc w:val="left"/>
      <w:pPr>
        <w:ind w:left="4145" w:hanging="529"/>
      </w:pPr>
      <w:rPr>
        <w:rFonts w:hint="default"/>
        <w:lang w:val="zh-CN" w:eastAsia="zh-CN" w:bidi="zh-CN"/>
      </w:rPr>
    </w:lvl>
    <w:lvl w:ilvl="4" w:tplc="23920546">
      <w:numFmt w:val="bullet"/>
      <w:lvlText w:val="•"/>
      <w:lvlJc w:val="left"/>
      <w:pPr>
        <w:ind w:left="5074" w:hanging="529"/>
      </w:pPr>
      <w:rPr>
        <w:rFonts w:hint="default"/>
        <w:lang w:val="zh-CN" w:eastAsia="zh-CN" w:bidi="zh-CN"/>
      </w:rPr>
    </w:lvl>
    <w:lvl w:ilvl="5" w:tplc="9E70BF64">
      <w:numFmt w:val="bullet"/>
      <w:lvlText w:val="•"/>
      <w:lvlJc w:val="left"/>
      <w:pPr>
        <w:ind w:left="6003" w:hanging="529"/>
      </w:pPr>
      <w:rPr>
        <w:rFonts w:hint="default"/>
        <w:lang w:val="zh-CN" w:eastAsia="zh-CN" w:bidi="zh-CN"/>
      </w:rPr>
    </w:lvl>
    <w:lvl w:ilvl="6" w:tplc="F918AAD8">
      <w:numFmt w:val="bullet"/>
      <w:lvlText w:val="•"/>
      <w:lvlJc w:val="left"/>
      <w:pPr>
        <w:ind w:left="6931" w:hanging="529"/>
      </w:pPr>
      <w:rPr>
        <w:rFonts w:hint="default"/>
        <w:lang w:val="zh-CN" w:eastAsia="zh-CN" w:bidi="zh-CN"/>
      </w:rPr>
    </w:lvl>
    <w:lvl w:ilvl="7" w:tplc="B83AFFB6">
      <w:numFmt w:val="bullet"/>
      <w:lvlText w:val="•"/>
      <w:lvlJc w:val="left"/>
      <w:pPr>
        <w:ind w:left="7860" w:hanging="529"/>
      </w:pPr>
      <w:rPr>
        <w:rFonts w:hint="default"/>
        <w:lang w:val="zh-CN" w:eastAsia="zh-CN" w:bidi="zh-CN"/>
      </w:rPr>
    </w:lvl>
    <w:lvl w:ilvl="8" w:tplc="7CC622A8">
      <w:numFmt w:val="bullet"/>
      <w:lvlText w:val="•"/>
      <w:lvlJc w:val="left"/>
      <w:pPr>
        <w:ind w:left="8789" w:hanging="529"/>
      </w:pPr>
      <w:rPr>
        <w:rFonts w:hint="default"/>
        <w:lang w:val="zh-CN" w:eastAsia="zh-CN" w:bidi="zh-CN"/>
      </w:rPr>
    </w:lvl>
  </w:abstractNum>
  <w:abstractNum w:abstractNumId="564" w15:restartNumberingAfterBreak="0">
    <w:nsid w:val="4AF43658"/>
    <w:multiLevelType w:val="hybridMultilevel"/>
    <w:tmpl w:val="1E3A0414"/>
    <w:lvl w:ilvl="0" w:tplc="C3EE3B86">
      <w:start w:val="1"/>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FDB0D65A">
      <w:numFmt w:val="bullet"/>
      <w:lvlText w:val="•"/>
      <w:lvlJc w:val="left"/>
      <w:pPr>
        <w:ind w:left="2018" w:hanging="213"/>
      </w:pPr>
      <w:rPr>
        <w:rFonts w:hint="default"/>
        <w:lang w:val="zh-CN" w:eastAsia="zh-CN" w:bidi="zh-CN"/>
      </w:rPr>
    </w:lvl>
    <w:lvl w:ilvl="2" w:tplc="D452E5C4">
      <w:numFmt w:val="bullet"/>
      <w:lvlText w:val="•"/>
      <w:lvlJc w:val="left"/>
      <w:pPr>
        <w:ind w:left="2977" w:hanging="213"/>
      </w:pPr>
      <w:rPr>
        <w:rFonts w:hint="default"/>
        <w:lang w:val="zh-CN" w:eastAsia="zh-CN" w:bidi="zh-CN"/>
      </w:rPr>
    </w:lvl>
    <w:lvl w:ilvl="3" w:tplc="361412F8">
      <w:numFmt w:val="bullet"/>
      <w:lvlText w:val="•"/>
      <w:lvlJc w:val="left"/>
      <w:pPr>
        <w:ind w:left="3935" w:hanging="213"/>
      </w:pPr>
      <w:rPr>
        <w:rFonts w:hint="default"/>
        <w:lang w:val="zh-CN" w:eastAsia="zh-CN" w:bidi="zh-CN"/>
      </w:rPr>
    </w:lvl>
    <w:lvl w:ilvl="4" w:tplc="3658564E">
      <w:numFmt w:val="bullet"/>
      <w:lvlText w:val="•"/>
      <w:lvlJc w:val="left"/>
      <w:pPr>
        <w:ind w:left="4894" w:hanging="213"/>
      </w:pPr>
      <w:rPr>
        <w:rFonts w:hint="default"/>
        <w:lang w:val="zh-CN" w:eastAsia="zh-CN" w:bidi="zh-CN"/>
      </w:rPr>
    </w:lvl>
    <w:lvl w:ilvl="5" w:tplc="535A250A">
      <w:numFmt w:val="bullet"/>
      <w:lvlText w:val="•"/>
      <w:lvlJc w:val="left"/>
      <w:pPr>
        <w:ind w:left="5853" w:hanging="213"/>
      </w:pPr>
      <w:rPr>
        <w:rFonts w:hint="default"/>
        <w:lang w:val="zh-CN" w:eastAsia="zh-CN" w:bidi="zh-CN"/>
      </w:rPr>
    </w:lvl>
    <w:lvl w:ilvl="6" w:tplc="359268E0">
      <w:numFmt w:val="bullet"/>
      <w:lvlText w:val="•"/>
      <w:lvlJc w:val="left"/>
      <w:pPr>
        <w:ind w:left="6811" w:hanging="213"/>
      </w:pPr>
      <w:rPr>
        <w:rFonts w:hint="default"/>
        <w:lang w:val="zh-CN" w:eastAsia="zh-CN" w:bidi="zh-CN"/>
      </w:rPr>
    </w:lvl>
    <w:lvl w:ilvl="7" w:tplc="EB3E3CF4">
      <w:numFmt w:val="bullet"/>
      <w:lvlText w:val="•"/>
      <w:lvlJc w:val="left"/>
      <w:pPr>
        <w:ind w:left="7770" w:hanging="213"/>
      </w:pPr>
      <w:rPr>
        <w:rFonts w:hint="default"/>
        <w:lang w:val="zh-CN" w:eastAsia="zh-CN" w:bidi="zh-CN"/>
      </w:rPr>
    </w:lvl>
    <w:lvl w:ilvl="8" w:tplc="AD6446C6">
      <w:numFmt w:val="bullet"/>
      <w:lvlText w:val="•"/>
      <w:lvlJc w:val="left"/>
      <w:pPr>
        <w:ind w:left="8729" w:hanging="213"/>
      </w:pPr>
      <w:rPr>
        <w:rFonts w:hint="default"/>
        <w:lang w:val="zh-CN" w:eastAsia="zh-CN" w:bidi="zh-CN"/>
      </w:rPr>
    </w:lvl>
  </w:abstractNum>
  <w:abstractNum w:abstractNumId="565" w15:restartNumberingAfterBreak="0">
    <w:nsid w:val="4AF56247"/>
    <w:multiLevelType w:val="hybridMultilevel"/>
    <w:tmpl w:val="0E507566"/>
    <w:lvl w:ilvl="0" w:tplc="2D987D12">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C2F843CE">
      <w:numFmt w:val="bullet"/>
      <w:lvlText w:val="•"/>
      <w:lvlJc w:val="left"/>
      <w:pPr>
        <w:ind w:left="2288" w:hanging="529"/>
      </w:pPr>
      <w:rPr>
        <w:rFonts w:hint="default"/>
        <w:lang w:val="zh-CN" w:eastAsia="zh-CN" w:bidi="zh-CN"/>
      </w:rPr>
    </w:lvl>
    <w:lvl w:ilvl="2" w:tplc="AB2661E6">
      <w:numFmt w:val="bullet"/>
      <w:lvlText w:val="•"/>
      <w:lvlJc w:val="left"/>
      <w:pPr>
        <w:ind w:left="3217" w:hanging="529"/>
      </w:pPr>
      <w:rPr>
        <w:rFonts w:hint="default"/>
        <w:lang w:val="zh-CN" w:eastAsia="zh-CN" w:bidi="zh-CN"/>
      </w:rPr>
    </w:lvl>
    <w:lvl w:ilvl="3" w:tplc="43DCB9DA">
      <w:numFmt w:val="bullet"/>
      <w:lvlText w:val="•"/>
      <w:lvlJc w:val="left"/>
      <w:pPr>
        <w:ind w:left="4145" w:hanging="529"/>
      </w:pPr>
      <w:rPr>
        <w:rFonts w:hint="default"/>
        <w:lang w:val="zh-CN" w:eastAsia="zh-CN" w:bidi="zh-CN"/>
      </w:rPr>
    </w:lvl>
    <w:lvl w:ilvl="4" w:tplc="808A8DDA">
      <w:numFmt w:val="bullet"/>
      <w:lvlText w:val="•"/>
      <w:lvlJc w:val="left"/>
      <w:pPr>
        <w:ind w:left="5074" w:hanging="529"/>
      </w:pPr>
      <w:rPr>
        <w:rFonts w:hint="default"/>
        <w:lang w:val="zh-CN" w:eastAsia="zh-CN" w:bidi="zh-CN"/>
      </w:rPr>
    </w:lvl>
    <w:lvl w:ilvl="5" w:tplc="6658AF86">
      <w:numFmt w:val="bullet"/>
      <w:lvlText w:val="•"/>
      <w:lvlJc w:val="left"/>
      <w:pPr>
        <w:ind w:left="6003" w:hanging="529"/>
      </w:pPr>
      <w:rPr>
        <w:rFonts w:hint="default"/>
        <w:lang w:val="zh-CN" w:eastAsia="zh-CN" w:bidi="zh-CN"/>
      </w:rPr>
    </w:lvl>
    <w:lvl w:ilvl="6" w:tplc="426ED448">
      <w:numFmt w:val="bullet"/>
      <w:lvlText w:val="•"/>
      <w:lvlJc w:val="left"/>
      <w:pPr>
        <w:ind w:left="6931" w:hanging="529"/>
      </w:pPr>
      <w:rPr>
        <w:rFonts w:hint="default"/>
        <w:lang w:val="zh-CN" w:eastAsia="zh-CN" w:bidi="zh-CN"/>
      </w:rPr>
    </w:lvl>
    <w:lvl w:ilvl="7" w:tplc="6AB4E228">
      <w:numFmt w:val="bullet"/>
      <w:lvlText w:val="•"/>
      <w:lvlJc w:val="left"/>
      <w:pPr>
        <w:ind w:left="7860" w:hanging="529"/>
      </w:pPr>
      <w:rPr>
        <w:rFonts w:hint="default"/>
        <w:lang w:val="zh-CN" w:eastAsia="zh-CN" w:bidi="zh-CN"/>
      </w:rPr>
    </w:lvl>
    <w:lvl w:ilvl="8" w:tplc="94F05582">
      <w:numFmt w:val="bullet"/>
      <w:lvlText w:val="•"/>
      <w:lvlJc w:val="left"/>
      <w:pPr>
        <w:ind w:left="8789" w:hanging="529"/>
      </w:pPr>
      <w:rPr>
        <w:rFonts w:hint="default"/>
        <w:lang w:val="zh-CN" w:eastAsia="zh-CN" w:bidi="zh-CN"/>
      </w:rPr>
    </w:lvl>
  </w:abstractNum>
  <w:abstractNum w:abstractNumId="566" w15:restartNumberingAfterBreak="0">
    <w:nsid w:val="4B291755"/>
    <w:multiLevelType w:val="hybridMultilevel"/>
    <w:tmpl w:val="963E2F64"/>
    <w:lvl w:ilvl="0" w:tplc="6FC2FB4C">
      <w:start w:val="5"/>
      <w:numFmt w:val="decimal"/>
      <w:lvlText w:val="%1"/>
      <w:lvlJc w:val="left"/>
      <w:pPr>
        <w:ind w:left="1158" w:hanging="318"/>
        <w:jc w:val="left"/>
      </w:pPr>
      <w:rPr>
        <w:rFonts w:hint="default"/>
        <w:lang w:val="zh-CN" w:eastAsia="zh-CN" w:bidi="zh-CN"/>
      </w:rPr>
    </w:lvl>
    <w:lvl w:ilvl="1" w:tplc="59DA5910">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37228AF8">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D04C6F74">
      <w:numFmt w:val="bullet"/>
      <w:lvlText w:val="•"/>
      <w:lvlJc w:val="left"/>
      <w:pPr>
        <w:ind w:left="3268" w:hanging="531"/>
      </w:pPr>
      <w:rPr>
        <w:rFonts w:hint="default"/>
        <w:lang w:val="zh-CN" w:eastAsia="zh-CN" w:bidi="zh-CN"/>
      </w:rPr>
    </w:lvl>
    <w:lvl w:ilvl="4" w:tplc="42FC27BA">
      <w:numFmt w:val="bullet"/>
      <w:lvlText w:val="•"/>
      <w:lvlJc w:val="left"/>
      <w:pPr>
        <w:ind w:left="4322" w:hanging="531"/>
      </w:pPr>
      <w:rPr>
        <w:rFonts w:hint="default"/>
        <w:lang w:val="zh-CN" w:eastAsia="zh-CN" w:bidi="zh-CN"/>
      </w:rPr>
    </w:lvl>
    <w:lvl w:ilvl="5" w:tplc="60589F7C">
      <w:numFmt w:val="bullet"/>
      <w:lvlText w:val="•"/>
      <w:lvlJc w:val="left"/>
      <w:pPr>
        <w:ind w:left="5376" w:hanging="531"/>
      </w:pPr>
      <w:rPr>
        <w:rFonts w:hint="default"/>
        <w:lang w:val="zh-CN" w:eastAsia="zh-CN" w:bidi="zh-CN"/>
      </w:rPr>
    </w:lvl>
    <w:lvl w:ilvl="6" w:tplc="CADAC812">
      <w:numFmt w:val="bullet"/>
      <w:lvlText w:val="•"/>
      <w:lvlJc w:val="left"/>
      <w:pPr>
        <w:ind w:left="6430" w:hanging="531"/>
      </w:pPr>
      <w:rPr>
        <w:rFonts w:hint="default"/>
        <w:lang w:val="zh-CN" w:eastAsia="zh-CN" w:bidi="zh-CN"/>
      </w:rPr>
    </w:lvl>
    <w:lvl w:ilvl="7" w:tplc="183AC73E">
      <w:numFmt w:val="bullet"/>
      <w:lvlText w:val="•"/>
      <w:lvlJc w:val="left"/>
      <w:pPr>
        <w:ind w:left="7484" w:hanging="531"/>
      </w:pPr>
      <w:rPr>
        <w:rFonts w:hint="default"/>
        <w:lang w:val="zh-CN" w:eastAsia="zh-CN" w:bidi="zh-CN"/>
      </w:rPr>
    </w:lvl>
    <w:lvl w:ilvl="8" w:tplc="1390CD60">
      <w:numFmt w:val="bullet"/>
      <w:lvlText w:val="•"/>
      <w:lvlJc w:val="left"/>
      <w:pPr>
        <w:ind w:left="8538" w:hanging="531"/>
      </w:pPr>
      <w:rPr>
        <w:rFonts w:hint="default"/>
        <w:lang w:val="zh-CN" w:eastAsia="zh-CN" w:bidi="zh-CN"/>
      </w:rPr>
    </w:lvl>
  </w:abstractNum>
  <w:abstractNum w:abstractNumId="567" w15:restartNumberingAfterBreak="0">
    <w:nsid w:val="4B692D3A"/>
    <w:multiLevelType w:val="hybridMultilevel"/>
    <w:tmpl w:val="79FAFDA2"/>
    <w:lvl w:ilvl="0" w:tplc="FCF28338">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A3600976">
      <w:numFmt w:val="bullet"/>
      <w:lvlText w:val="•"/>
      <w:lvlJc w:val="left"/>
      <w:pPr>
        <w:ind w:left="2288" w:hanging="529"/>
      </w:pPr>
      <w:rPr>
        <w:rFonts w:hint="default"/>
        <w:lang w:val="zh-CN" w:eastAsia="zh-CN" w:bidi="zh-CN"/>
      </w:rPr>
    </w:lvl>
    <w:lvl w:ilvl="2" w:tplc="33F00BBE">
      <w:numFmt w:val="bullet"/>
      <w:lvlText w:val="•"/>
      <w:lvlJc w:val="left"/>
      <w:pPr>
        <w:ind w:left="3217" w:hanging="529"/>
      </w:pPr>
      <w:rPr>
        <w:rFonts w:hint="default"/>
        <w:lang w:val="zh-CN" w:eastAsia="zh-CN" w:bidi="zh-CN"/>
      </w:rPr>
    </w:lvl>
    <w:lvl w:ilvl="3" w:tplc="FCCA74EE">
      <w:numFmt w:val="bullet"/>
      <w:lvlText w:val="•"/>
      <w:lvlJc w:val="left"/>
      <w:pPr>
        <w:ind w:left="4145" w:hanging="529"/>
      </w:pPr>
      <w:rPr>
        <w:rFonts w:hint="default"/>
        <w:lang w:val="zh-CN" w:eastAsia="zh-CN" w:bidi="zh-CN"/>
      </w:rPr>
    </w:lvl>
    <w:lvl w:ilvl="4" w:tplc="32E6E91E">
      <w:numFmt w:val="bullet"/>
      <w:lvlText w:val="•"/>
      <w:lvlJc w:val="left"/>
      <w:pPr>
        <w:ind w:left="5074" w:hanging="529"/>
      </w:pPr>
      <w:rPr>
        <w:rFonts w:hint="default"/>
        <w:lang w:val="zh-CN" w:eastAsia="zh-CN" w:bidi="zh-CN"/>
      </w:rPr>
    </w:lvl>
    <w:lvl w:ilvl="5" w:tplc="C0EE060C">
      <w:numFmt w:val="bullet"/>
      <w:lvlText w:val="•"/>
      <w:lvlJc w:val="left"/>
      <w:pPr>
        <w:ind w:left="6003" w:hanging="529"/>
      </w:pPr>
      <w:rPr>
        <w:rFonts w:hint="default"/>
        <w:lang w:val="zh-CN" w:eastAsia="zh-CN" w:bidi="zh-CN"/>
      </w:rPr>
    </w:lvl>
    <w:lvl w:ilvl="6" w:tplc="3782FAF6">
      <w:numFmt w:val="bullet"/>
      <w:lvlText w:val="•"/>
      <w:lvlJc w:val="left"/>
      <w:pPr>
        <w:ind w:left="6931" w:hanging="529"/>
      </w:pPr>
      <w:rPr>
        <w:rFonts w:hint="default"/>
        <w:lang w:val="zh-CN" w:eastAsia="zh-CN" w:bidi="zh-CN"/>
      </w:rPr>
    </w:lvl>
    <w:lvl w:ilvl="7" w:tplc="750269EC">
      <w:numFmt w:val="bullet"/>
      <w:lvlText w:val="•"/>
      <w:lvlJc w:val="left"/>
      <w:pPr>
        <w:ind w:left="7860" w:hanging="529"/>
      </w:pPr>
      <w:rPr>
        <w:rFonts w:hint="default"/>
        <w:lang w:val="zh-CN" w:eastAsia="zh-CN" w:bidi="zh-CN"/>
      </w:rPr>
    </w:lvl>
    <w:lvl w:ilvl="8" w:tplc="FA623106">
      <w:numFmt w:val="bullet"/>
      <w:lvlText w:val="•"/>
      <w:lvlJc w:val="left"/>
      <w:pPr>
        <w:ind w:left="8789" w:hanging="529"/>
      </w:pPr>
      <w:rPr>
        <w:rFonts w:hint="default"/>
        <w:lang w:val="zh-CN" w:eastAsia="zh-CN" w:bidi="zh-CN"/>
      </w:rPr>
    </w:lvl>
  </w:abstractNum>
  <w:abstractNum w:abstractNumId="568" w15:restartNumberingAfterBreak="0">
    <w:nsid w:val="4B821101"/>
    <w:multiLevelType w:val="hybridMultilevel"/>
    <w:tmpl w:val="27D6B2AC"/>
    <w:lvl w:ilvl="0" w:tplc="11AC723E">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38268BA8">
      <w:numFmt w:val="bullet"/>
      <w:lvlText w:val="•"/>
      <w:lvlJc w:val="left"/>
      <w:pPr>
        <w:ind w:left="2288" w:hanging="529"/>
      </w:pPr>
      <w:rPr>
        <w:rFonts w:hint="default"/>
        <w:lang w:val="zh-CN" w:eastAsia="zh-CN" w:bidi="zh-CN"/>
      </w:rPr>
    </w:lvl>
    <w:lvl w:ilvl="2" w:tplc="23E68B9C">
      <w:numFmt w:val="bullet"/>
      <w:lvlText w:val="•"/>
      <w:lvlJc w:val="left"/>
      <w:pPr>
        <w:ind w:left="3217" w:hanging="529"/>
      </w:pPr>
      <w:rPr>
        <w:rFonts w:hint="default"/>
        <w:lang w:val="zh-CN" w:eastAsia="zh-CN" w:bidi="zh-CN"/>
      </w:rPr>
    </w:lvl>
    <w:lvl w:ilvl="3" w:tplc="66EE5616">
      <w:numFmt w:val="bullet"/>
      <w:lvlText w:val="•"/>
      <w:lvlJc w:val="left"/>
      <w:pPr>
        <w:ind w:left="4145" w:hanging="529"/>
      </w:pPr>
      <w:rPr>
        <w:rFonts w:hint="default"/>
        <w:lang w:val="zh-CN" w:eastAsia="zh-CN" w:bidi="zh-CN"/>
      </w:rPr>
    </w:lvl>
    <w:lvl w:ilvl="4" w:tplc="17E8834C">
      <w:numFmt w:val="bullet"/>
      <w:lvlText w:val="•"/>
      <w:lvlJc w:val="left"/>
      <w:pPr>
        <w:ind w:left="5074" w:hanging="529"/>
      </w:pPr>
      <w:rPr>
        <w:rFonts w:hint="default"/>
        <w:lang w:val="zh-CN" w:eastAsia="zh-CN" w:bidi="zh-CN"/>
      </w:rPr>
    </w:lvl>
    <w:lvl w:ilvl="5" w:tplc="620252DE">
      <w:numFmt w:val="bullet"/>
      <w:lvlText w:val="•"/>
      <w:lvlJc w:val="left"/>
      <w:pPr>
        <w:ind w:left="6003" w:hanging="529"/>
      </w:pPr>
      <w:rPr>
        <w:rFonts w:hint="default"/>
        <w:lang w:val="zh-CN" w:eastAsia="zh-CN" w:bidi="zh-CN"/>
      </w:rPr>
    </w:lvl>
    <w:lvl w:ilvl="6" w:tplc="60E238E4">
      <w:numFmt w:val="bullet"/>
      <w:lvlText w:val="•"/>
      <w:lvlJc w:val="left"/>
      <w:pPr>
        <w:ind w:left="6931" w:hanging="529"/>
      </w:pPr>
      <w:rPr>
        <w:rFonts w:hint="default"/>
        <w:lang w:val="zh-CN" w:eastAsia="zh-CN" w:bidi="zh-CN"/>
      </w:rPr>
    </w:lvl>
    <w:lvl w:ilvl="7" w:tplc="DFF0893C">
      <w:numFmt w:val="bullet"/>
      <w:lvlText w:val="•"/>
      <w:lvlJc w:val="left"/>
      <w:pPr>
        <w:ind w:left="7860" w:hanging="529"/>
      </w:pPr>
      <w:rPr>
        <w:rFonts w:hint="default"/>
        <w:lang w:val="zh-CN" w:eastAsia="zh-CN" w:bidi="zh-CN"/>
      </w:rPr>
    </w:lvl>
    <w:lvl w:ilvl="8" w:tplc="564898DC">
      <w:numFmt w:val="bullet"/>
      <w:lvlText w:val="•"/>
      <w:lvlJc w:val="left"/>
      <w:pPr>
        <w:ind w:left="8789" w:hanging="529"/>
      </w:pPr>
      <w:rPr>
        <w:rFonts w:hint="default"/>
        <w:lang w:val="zh-CN" w:eastAsia="zh-CN" w:bidi="zh-CN"/>
      </w:rPr>
    </w:lvl>
  </w:abstractNum>
  <w:abstractNum w:abstractNumId="569" w15:restartNumberingAfterBreak="0">
    <w:nsid w:val="4BD91A81"/>
    <w:multiLevelType w:val="hybridMultilevel"/>
    <w:tmpl w:val="14FAFE06"/>
    <w:lvl w:ilvl="0" w:tplc="C4741212">
      <w:start w:val="5"/>
      <w:numFmt w:val="decimal"/>
      <w:lvlText w:val="%1"/>
      <w:lvlJc w:val="left"/>
      <w:pPr>
        <w:ind w:left="1370" w:hanging="531"/>
        <w:jc w:val="left"/>
      </w:pPr>
      <w:rPr>
        <w:rFonts w:hint="default"/>
        <w:lang w:val="zh-CN" w:eastAsia="zh-CN" w:bidi="zh-CN"/>
      </w:rPr>
    </w:lvl>
    <w:lvl w:ilvl="1" w:tplc="B0D08C96">
      <w:start w:val="7"/>
      <w:numFmt w:val="decimal"/>
      <w:lvlText w:val="%1.%2"/>
      <w:lvlJc w:val="left"/>
      <w:pPr>
        <w:ind w:left="1370" w:hanging="531"/>
        <w:jc w:val="left"/>
      </w:pPr>
      <w:rPr>
        <w:rFonts w:hint="default"/>
        <w:lang w:val="zh-CN" w:eastAsia="zh-CN" w:bidi="zh-CN"/>
      </w:rPr>
    </w:lvl>
    <w:lvl w:ilvl="2" w:tplc="D4D23B0C">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9E7CA372">
      <w:numFmt w:val="bullet"/>
      <w:lvlText w:val="•"/>
      <w:lvlJc w:val="left"/>
      <w:pPr>
        <w:ind w:left="4159" w:hanging="531"/>
      </w:pPr>
      <w:rPr>
        <w:rFonts w:hint="default"/>
        <w:lang w:val="zh-CN" w:eastAsia="zh-CN" w:bidi="zh-CN"/>
      </w:rPr>
    </w:lvl>
    <w:lvl w:ilvl="4" w:tplc="BC7C507A">
      <w:numFmt w:val="bullet"/>
      <w:lvlText w:val="•"/>
      <w:lvlJc w:val="left"/>
      <w:pPr>
        <w:ind w:left="5086" w:hanging="531"/>
      </w:pPr>
      <w:rPr>
        <w:rFonts w:hint="default"/>
        <w:lang w:val="zh-CN" w:eastAsia="zh-CN" w:bidi="zh-CN"/>
      </w:rPr>
    </w:lvl>
    <w:lvl w:ilvl="5" w:tplc="CCC8B2CE">
      <w:numFmt w:val="bullet"/>
      <w:lvlText w:val="•"/>
      <w:lvlJc w:val="left"/>
      <w:pPr>
        <w:ind w:left="6013" w:hanging="531"/>
      </w:pPr>
      <w:rPr>
        <w:rFonts w:hint="default"/>
        <w:lang w:val="zh-CN" w:eastAsia="zh-CN" w:bidi="zh-CN"/>
      </w:rPr>
    </w:lvl>
    <w:lvl w:ilvl="6" w:tplc="32369B52">
      <w:numFmt w:val="bullet"/>
      <w:lvlText w:val="•"/>
      <w:lvlJc w:val="left"/>
      <w:pPr>
        <w:ind w:left="6939" w:hanging="531"/>
      </w:pPr>
      <w:rPr>
        <w:rFonts w:hint="default"/>
        <w:lang w:val="zh-CN" w:eastAsia="zh-CN" w:bidi="zh-CN"/>
      </w:rPr>
    </w:lvl>
    <w:lvl w:ilvl="7" w:tplc="FEEAE700">
      <w:numFmt w:val="bullet"/>
      <w:lvlText w:val="•"/>
      <w:lvlJc w:val="left"/>
      <w:pPr>
        <w:ind w:left="7866" w:hanging="531"/>
      </w:pPr>
      <w:rPr>
        <w:rFonts w:hint="default"/>
        <w:lang w:val="zh-CN" w:eastAsia="zh-CN" w:bidi="zh-CN"/>
      </w:rPr>
    </w:lvl>
    <w:lvl w:ilvl="8" w:tplc="95E4EFEA">
      <w:numFmt w:val="bullet"/>
      <w:lvlText w:val="•"/>
      <w:lvlJc w:val="left"/>
      <w:pPr>
        <w:ind w:left="8793" w:hanging="531"/>
      </w:pPr>
      <w:rPr>
        <w:rFonts w:hint="default"/>
        <w:lang w:val="zh-CN" w:eastAsia="zh-CN" w:bidi="zh-CN"/>
      </w:rPr>
    </w:lvl>
  </w:abstractNum>
  <w:abstractNum w:abstractNumId="570" w15:restartNumberingAfterBreak="0">
    <w:nsid w:val="4C1468B4"/>
    <w:multiLevelType w:val="hybridMultilevel"/>
    <w:tmpl w:val="0D1C4FA6"/>
    <w:lvl w:ilvl="0" w:tplc="021C2856">
      <w:start w:val="5"/>
      <w:numFmt w:val="decimal"/>
      <w:lvlText w:val="%1"/>
      <w:lvlJc w:val="left"/>
      <w:pPr>
        <w:ind w:left="1575" w:hanging="738"/>
        <w:jc w:val="left"/>
      </w:pPr>
      <w:rPr>
        <w:rFonts w:hint="default"/>
        <w:lang w:val="zh-CN" w:eastAsia="zh-CN" w:bidi="zh-CN"/>
      </w:rPr>
    </w:lvl>
    <w:lvl w:ilvl="1" w:tplc="F3FEF754">
      <w:start w:val="4"/>
      <w:numFmt w:val="decimal"/>
      <w:lvlText w:val="%1.%2"/>
      <w:lvlJc w:val="left"/>
      <w:pPr>
        <w:ind w:left="1575" w:hanging="738"/>
        <w:jc w:val="left"/>
      </w:pPr>
      <w:rPr>
        <w:rFonts w:hint="default"/>
        <w:lang w:val="zh-CN" w:eastAsia="zh-CN" w:bidi="zh-CN"/>
      </w:rPr>
    </w:lvl>
    <w:lvl w:ilvl="2" w:tplc="01F6BB44">
      <w:start w:val="7"/>
      <w:numFmt w:val="decimal"/>
      <w:lvlText w:val="%1.%2.%3"/>
      <w:lvlJc w:val="left"/>
      <w:pPr>
        <w:ind w:left="1575" w:hanging="738"/>
        <w:jc w:val="left"/>
      </w:pPr>
      <w:rPr>
        <w:rFonts w:hint="default"/>
        <w:lang w:val="zh-CN" w:eastAsia="zh-CN" w:bidi="zh-CN"/>
      </w:rPr>
    </w:lvl>
    <w:lvl w:ilvl="3" w:tplc="D012E696">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9D265E82">
      <w:numFmt w:val="bullet"/>
      <w:lvlText w:val="•"/>
      <w:lvlJc w:val="left"/>
      <w:pPr>
        <w:ind w:left="5206" w:hanging="738"/>
      </w:pPr>
      <w:rPr>
        <w:rFonts w:hint="default"/>
        <w:lang w:val="zh-CN" w:eastAsia="zh-CN" w:bidi="zh-CN"/>
      </w:rPr>
    </w:lvl>
    <w:lvl w:ilvl="5" w:tplc="F8069ED6">
      <w:numFmt w:val="bullet"/>
      <w:lvlText w:val="•"/>
      <w:lvlJc w:val="left"/>
      <w:pPr>
        <w:ind w:left="6113" w:hanging="738"/>
      </w:pPr>
      <w:rPr>
        <w:rFonts w:hint="default"/>
        <w:lang w:val="zh-CN" w:eastAsia="zh-CN" w:bidi="zh-CN"/>
      </w:rPr>
    </w:lvl>
    <w:lvl w:ilvl="6" w:tplc="FE6C076C">
      <w:numFmt w:val="bullet"/>
      <w:lvlText w:val="•"/>
      <w:lvlJc w:val="left"/>
      <w:pPr>
        <w:ind w:left="7019" w:hanging="738"/>
      </w:pPr>
      <w:rPr>
        <w:rFonts w:hint="default"/>
        <w:lang w:val="zh-CN" w:eastAsia="zh-CN" w:bidi="zh-CN"/>
      </w:rPr>
    </w:lvl>
    <w:lvl w:ilvl="7" w:tplc="0D26F022">
      <w:numFmt w:val="bullet"/>
      <w:lvlText w:val="•"/>
      <w:lvlJc w:val="left"/>
      <w:pPr>
        <w:ind w:left="7926" w:hanging="738"/>
      </w:pPr>
      <w:rPr>
        <w:rFonts w:hint="default"/>
        <w:lang w:val="zh-CN" w:eastAsia="zh-CN" w:bidi="zh-CN"/>
      </w:rPr>
    </w:lvl>
    <w:lvl w:ilvl="8" w:tplc="0D22178A">
      <w:numFmt w:val="bullet"/>
      <w:lvlText w:val="•"/>
      <w:lvlJc w:val="left"/>
      <w:pPr>
        <w:ind w:left="8833" w:hanging="738"/>
      </w:pPr>
      <w:rPr>
        <w:rFonts w:hint="default"/>
        <w:lang w:val="zh-CN" w:eastAsia="zh-CN" w:bidi="zh-CN"/>
      </w:rPr>
    </w:lvl>
  </w:abstractNum>
  <w:abstractNum w:abstractNumId="571" w15:restartNumberingAfterBreak="0">
    <w:nsid w:val="4C1D39B8"/>
    <w:multiLevelType w:val="hybridMultilevel"/>
    <w:tmpl w:val="231416DA"/>
    <w:lvl w:ilvl="0" w:tplc="F614076C">
      <w:start w:val="3"/>
      <w:numFmt w:val="decimal"/>
      <w:lvlText w:val="%1"/>
      <w:lvlJc w:val="left"/>
      <w:pPr>
        <w:ind w:left="1159" w:hanging="320"/>
        <w:jc w:val="left"/>
      </w:pPr>
      <w:rPr>
        <w:rFonts w:hint="default"/>
        <w:lang w:val="zh-CN" w:eastAsia="zh-CN" w:bidi="zh-CN"/>
      </w:rPr>
    </w:lvl>
    <w:lvl w:ilvl="1" w:tplc="16AE57D6">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33DCFCC4">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7BA28378">
      <w:numFmt w:val="bullet"/>
      <w:lvlText w:val="•"/>
      <w:lvlJc w:val="left"/>
      <w:pPr>
        <w:ind w:left="3439" w:hanging="531"/>
      </w:pPr>
      <w:rPr>
        <w:rFonts w:hint="default"/>
        <w:lang w:val="zh-CN" w:eastAsia="zh-CN" w:bidi="zh-CN"/>
      </w:rPr>
    </w:lvl>
    <w:lvl w:ilvl="4" w:tplc="23B8CA06">
      <w:numFmt w:val="bullet"/>
      <w:lvlText w:val="•"/>
      <w:lvlJc w:val="left"/>
      <w:pPr>
        <w:ind w:left="4468" w:hanging="531"/>
      </w:pPr>
      <w:rPr>
        <w:rFonts w:hint="default"/>
        <w:lang w:val="zh-CN" w:eastAsia="zh-CN" w:bidi="zh-CN"/>
      </w:rPr>
    </w:lvl>
    <w:lvl w:ilvl="5" w:tplc="CAFCE1E0">
      <w:numFmt w:val="bullet"/>
      <w:lvlText w:val="•"/>
      <w:lvlJc w:val="left"/>
      <w:pPr>
        <w:ind w:left="5498" w:hanging="531"/>
      </w:pPr>
      <w:rPr>
        <w:rFonts w:hint="default"/>
        <w:lang w:val="zh-CN" w:eastAsia="zh-CN" w:bidi="zh-CN"/>
      </w:rPr>
    </w:lvl>
    <w:lvl w:ilvl="6" w:tplc="DC6842AE">
      <w:numFmt w:val="bullet"/>
      <w:lvlText w:val="•"/>
      <w:lvlJc w:val="left"/>
      <w:pPr>
        <w:ind w:left="6528" w:hanging="531"/>
      </w:pPr>
      <w:rPr>
        <w:rFonts w:hint="default"/>
        <w:lang w:val="zh-CN" w:eastAsia="zh-CN" w:bidi="zh-CN"/>
      </w:rPr>
    </w:lvl>
    <w:lvl w:ilvl="7" w:tplc="6CA6844E">
      <w:numFmt w:val="bullet"/>
      <w:lvlText w:val="•"/>
      <w:lvlJc w:val="left"/>
      <w:pPr>
        <w:ind w:left="7557" w:hanging="531"/>
      </w:pPr>
      <w:rPr>
        <w:rFonts w:hint="default"/>
        <w:lang w:val="zh-CN" w:eastAsia="zh-CN" w:bidi="zh-CN"/>
      </w:rPr>
    </w:lvl>
    <w:lvl w:ilvl="8" w:tplc="13E808BC">
      <w:numFmt w:val="bullet"/>
      <w:lvlText w:val="•"/>
      <w:lvlJc w:val="left"/>
      <w:pPr>
        <w:ind w:left="8587" w:hanging="531"/>
      </w:pPr>
      <w:rPr>
        <w:rFonts w:hint="default"/>
        <w:lang w:val="zh-CN" w:eastAsia="zh-CN" w:bidi="zh-CN"/>
      </w:rPr>
    </w:lvl>
  </w:abstractNum>
  <w:abstractNum w:abstractNumId="572" w15:restartNumberingAfterBreak="0">
    <w:nsid w:val="4C3B2EED"/>
    <w:multiLevelType w:val="hybridMultilevel"/>
    <w:tmpl w:val="F5A66FC0"/>
    <w:lvl w:ilvl="0" w:tplc="A71ECF04">
      <w:start w:val="2"/>
      <w:numFmt w:val="decimal"/>
      <w:lvlText w:val="%1."/>
      <w:lvlJc w:val="left"/>
      <w:pPr>
        <w:ind w:left="418" w:hanging="213"/>
        <w:jc w:val="left"/>
      </w:pPr>
      <w:rPr>
        <w:rFonts w:ascii="宋体" w:eastAsia="宋体" w:hAnsi="宋体" w:cs="宋体" w:hint="default"/>
        <w:color w:val="333333"/>
        <w:spacing w:val="-55"/>
        <w:w w:val="100"/>
        <w:sz w:val="19"/>
        <w:szCs w:val="19"/>
        <w:lang w:val="zh-CN" w:eastAsia="zh-CN" w:bidi="zh-CN"/>
      </w:rPr>
    </w:lvl>
    <w:lvl w:ilvl="1" w:tplc="67D85156">
      <w:numFmt w:val="bullet"/>
      <w:lvlText w:val="•"/>
      <w:lvlJc w:val="left"/>
      <w:pPr>
        <w:ind w:left="1442" w:hanging="213"/>
      </w:pPr>
      <w:rPr>
        <w:rFonts w:hint="default"/>
        <w:lang w:val="zh-CN" w:eastAsia="zh-CN" w:bidi="zh-CN"/>
      </w:rPr>
    </w:lvl>
    <w:lvl w:ilvl="2" w:tplc="AC40B24E">
      <w:numFmt w:val="bullet"/>
      <w:lvlText w:val="•"/>
      <w:lvlJc w:val="left"/>
      <w:pPr>
        <w:ind w:left="2465" w:hanging="213"/>
      </w:pPr>
      <w:rPr>
        <w:rFonts w:hint="default"/>
        <w:lang w:val="zh-CN" w:eastAsia="zh-CN" w:bidi="zh-CN"/>
      </w:rPr>
    </w:lvl>
    <w:lvl w:ilvl="3" w:tplc="C7DE1026">
      <w:numFmt w:val="bullet"/>
      <w:lvlText w:val="•"/>
      <w:lvlJc w:val="left"/>
      <w:pPr>
        <w:ind w:left="3487" w:hanging="213"/>
      </w:pPr>
      <w:rPr>
        <w:rFonts w:hint="default"/>
        <w:lang w:val="zh-CN" w:eastAsia="zh-CN" w:bidi="zh-CN"/>
      </w:rPr>
    </w:lvl>
    <w:lvl w:ilvl="4" w:tplc="F1A00CB4">
      <w:numFmt w:val="bullet"/>
      <w:lvlText w:val="•"/>
      <w:lvlJc w:val="left"/>
      <w:pPr>
        <w:ind w:left="4510" w:hanging="213"/>
      </w:pPr>
      <w:rPr>
        <w:rFonts w:hint="default"/>
        <w:lang w:val="zh-CN" w:eastAsia="zh-CN" w:bidi="zh-CN"/>
      </w:rPr>
    </w:lvl>
    <w:lvl w:ilvl="5" w:tplc="BF0234C8">
      <w:numFmt w:val="bullet"/>
      <w:lvlText w:val="•"/>
      <w:lvlJc w:val="left"/>
      <w:pPr>
        <w:ind w:left="5533" w:hanging="213"/>
      </w:pPr>
      <w:rPr>
        <w:rFonts w:hint="default"/>
        <w:lang w:val="zh-CN" w:eastAsia="zh-CN" w:bidi="zh-CN"/>
      </w:rPr>
    </w:lvl>
    <w:lvl w:ilvl="6" w:tplc="42985772">
      <w:numFmt w:val="bullet"/>
      <w:lvlText w:val="•"/>
      <w:lvlJc w:val="left"/>
      <w:pPr>
        <w:ind w:left="6555" w:hanging="213"/>
      </w:pPr>
      <w:rPr>
        <w:rFonts w:hint="default"/>
        <w:lang w:val="zh-CN" w:eastAsia="zh-CN" w:bidi="zh-CN"/>
      </w:rPr>
    </w:lvl>
    <w:lvl w:ilvl="7" w:tplc="2DF20B60">
      <w:numFmt w:val="bullet"/>
      <w:lvlText w:val="•"/>
      <w:lvlJc w:val="left"/>
      <w:pPr>
        <w:ind w:left="7578" w:hanging="213"/>
      </w:pPr>
      <w:rPr>
        <w:rFonts w:hint="default"/>
        <w:lang w:val="zh-CN" w:eastAsia="zh-CN" w:bidi="zh-CN"/>
      </w:rPr>
    </w:lvl>
    <w:lvl w:ilvl="8" w:tplc="9D54385E">
      <w:numFmt w:val="bullet"/>
      <w:lvlText w:val="•"/>
      <w:lvlJc w:val="left"/>
      <w:pPr>
        <w:ind w:left="8601" w:hanging="213"/>
      </w:pPr>
      <w:rPr>
        <w:rFonts w:hint="default"/>
        <w:lang w:val="zh-CN" w:eastAsia="zh-CN" w:bidi="zh-CN"/>
      </w:rPr>
    </w:lvl>
  </w:abstractNum>
  <w:abstractNum w:abstractNumId="573" w15:restartNumberingAfterBreak="0">
    <w:nsid w:val="4C4D7B25"/>
    <w:multiLevelType w:val="hybridMultilevel"/>
    <w:tmpl w:val="24400B98"/>
    <w:lvl w:ilvl="0" w:tplc="06EE2E96">
      <w:start w:val="4"/>
      <w:numFmt w:val="lowerLetter"/>
      <w:lvlText w:val="%1）"/>
      <w:lvlJc w:val="left"/>
      <w:pPr>
        <w:ind w:left="1155" w:hanging="318"/>
        <w:jc w:val="left"/>
      </w:pPr>
      <w:rPr>
        <w:rFonts w:ascii="宋体" w:eastAsia="宋体" w:hAnsi="宋体" w:cs="宋体" w:hint="default"/>
        <w:w w:val="100"/>
        <w:sz w:val="19"/>
        <w:szCs w:val="19"/>
        <w:lang w:val="zh-CN" w:eastAsia="zh-CN" w:bidi="zh-CN"/>
      </w:rPr>
    </w:lvl>
    <w:lvl w:ilvl="1" w:tplc="BC300696">
      <w:numFmt w:val="bullet"/>
      <w:lvlText w:val="•"/>
      <w:lvlJc w:val="left"/>
      <w:pPr>
        <w:ind w:left="2108" w:hanging="318"/>
      </w:pPr>
      <w:rPr>
        <w:rFonts w:hint="default"/>
        <w:lang w:val="zh-CN" w:eastAsia="zh-CN" w:bidi="zh-CN"/>
      </w:rPr>
    </w:lvl>
    <w:lvl w:ilvl="2" w:tplc="0DC6AC00">
      <w:numFmt w:val="bullet"/>
      <w:lvlText w:val="•"/>
      <w:lvlJc w:val="left"/>
      <w:pPr>
        <w:ind w:left="3057" w:hanging="318"/>
      </w:pPr>
      <w:rPr>
        <w:rFonts w:hint="default"/>
        <w:lang w:val="zh-CN" w:eastAsia="zh-CN" w:bidi="zh-CN"/>
      </w:rPr>
    </w:lvl>
    <w:lvl w:ilvl="3" w:tplc="2A929CB6">
      <w:numFmt w:val="bullet"/>
      <w:lvlText w:val="•"/>
      <w:lvlJc w:val="left"/>
      <w:pPr>
        <w:ind w:left="4005" w:hanging="318"/>
      </w:pPr>
      <w:rPr>
        <w:rFonts w:hint="default"/>
        <w:lang w:val="zh-CN" w:eastAsia="zh-CN" w:bidi="zh-CN"/>
      </w:rPr>
    </w:lvl>
    <w:lvl w:ilvl="4" w:tplc="6C267678">
      <w:numFmt w:val="bullet"/>
      <w:lvlText w:val="•"/>
      <w:lvlJc w:val="left"/>
      <w:pPr>
        <w:ind w:left="4954" w:hanging="318"/>
      </w:pPr>
      <w:rPr>
        <w:rFonts w:hint="default"/>
        <w:lang w:val="zh-CN" w:eastAsia="zh-CN" w:bidi="zh-CN"/>
      </w:rPr>
    </w:lvl>
    <w:lvl w:ilvl="5" w:tplc="343C328C">
      <w:numFmt w:val="bullet"/>
      <w:lvlText w:val="•"/>
      <w:lvlJc w:val="left"/>
      <w:pPr>
        <w:ind w:left="5903" w:hanging="318"/>
      </w:pPr>
      <w:rPr>
        <w:rFonts w:hint="default"/>
        <w:lang w:val="zh-CN" w:eastAsia="zh-CN" w:bidi="zh-CN"/>
      </w:rPr>
    </w:lvl>
    <w:lvl w:ilvl="6" w:tplc="83DE5A72">
      <w:numFmt w:val="bullet"/>
      <w:lvlText w:val="•"/>
      <w:lvlJc w:val="left"/>
      <w:pPr>
        <w:ind w:left="6851" w:hanging="318"/>
      </w:pPr>
      <w:rPr>
        <w:rFonts w:hint="default"/>
        <w:lang w:val="zh-CN" w:eastAsia="zh-CN" w:bidi="zh-CN"/>
      </w:rPr>
    </w:lvl>
    <w:lvl w:ilvl="7" w:tplc="1D6E7ED6">
      <w:numFmt w:val="bullet"/>
      <w:lvlText w:val="•"/>
      <w:lvlJc w:val="left"/>
      <w:pPr>
        <w:ind w:left="7800" w:hanging="318"/>
      </w:pPr>
      <w:rPr>
        <w:rFonts w:hint="default"/>
        <w:lang w:val="zh-CN" w:eastAsia="zh-CN" w:bidi="zh-CN"/>
      </w:rPr>
    </w:lvl>
    <w:lvl w:ilvl="8" w:tplc="52AE6DD4">
      <w:numFmt w:val="bullet"/>
      <w:lvlText w:val="•"/>
      <w:lvlJc w:val="left"/>
      <w:pPr>
        <w:ind w:left="8749" w:hanging="318"/>
      </w:pPr>
      <w:rPr>
        <w:rFonts w:hint="default"/>
        <w:lang w:val="zh-CN" w:eastAsia="zh-CN" w:bidi="zh-CN"/>
      </w:rPr>
    </w:lvl>
  </w:abstractNum>
  <w:abstractNum w:abstractNumId="574" w15:restartNumberingAfterBreak="0">
    <w:nsid w:val="4C615A56"/>
    <w:multiLevelType w:val="hybridMultilevel"/>
    <w:tmpl w:val="CA1E5488"/>
    <w:lvl w:ilvl="0" w:tplc="4A38BF68">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8F32EF66">
      <w:numFmt w:val="bullet"/>
      <w:lvlText w:val="•"/>
      <w:lvlJc w:val="left"/>
      <w:pPr>
        <w:ind w:left="2288" w:hanging="529"/>
      </w:pPr>
      <w:rPr>
        <w:rFonts w:hint="default"/>
        <w:lang w:val="zh-CN" w:eastAsia="zh-CN" w:bidi="zh-CN"/>
      </w:rPr>
    </w:lvl>
    <w:lvl w:ilvl="2" w:tplc="C8AAD13A">
      <w:numFmt w:val="bullet"/>
      <w:lvlText w:val="•"/>
      <w:lvlJc w:val="left"/>
      <w:pPr>
        <w:ind w:left="3217" w:hanging="529"/>
      </w:pPr>
      <w:rPr>
        <w:rFonts w:hint="default"/>
        <w:lang w:val="zh-CN" w:eastAsia="zh-CN" w:bidi="zh-CN"/>
      </w:rPr>
    </w:lvl>
    <w:lvl w:ilvl="3" w:tplc="5192CD60">
      <w:numFmt w:val="bullet"/>
      <w:lvlText w:val="•"/>
      <w:lvlJc w:val="left"/>
      <w:pPr>
        <w:ind w:left="4145" w:hanging="529"/>
      </w:pPr>
      <w:rPr>
        <w:rFonts w:hint="default"/>
        <w:lang w:val="zh-CN" w:eastAsia="zh-CN" w:bidi="zh-CN"/>
      </w:rPr>
    </w:lvl>
    <w:lvl w:ilvl="4" w:tplc="6966C414">
      <w:numFmt w:val="bullet"/>
      <w:lvlText w:val="•"/>
      <w:lvlJc w:val="left"/>
      <w:pPr>
        <w:ind w:left="5074" w:hanging="529"/>
      </w:pPr>
      <w:rPr>
        <w:rFonts w:hint="default"/>
        <w:lang w:val="zh-CN" w:eastAsia="zh-CN" w:bidi="zh-CN"/>
      </w:rPr>
    </w:lvl>
    <w:lvl w:ilvl="5" w:tplc="AD08C268">
      <w:numFmt w:val="bullet"/>
      <w:lvlText w:val="•"/>
      <w:lvlJc w:val="left"/>
      <w:pPr>
        <w:ind w:left="6003" w:hanging="529"/>
      </w:pPr>
      <w:rPr>
        <w:rFonts w:hint="default"/>
        <w:lang w:val="zh-CN" w:eastAsia="zh-CN" w:bidi="zh-CN"/>
      </w:rPr>
    </w:lvl>
    <w:lvl w:ilvl="6" w:tplc="B9429E6E">
      <w:numFmt w:val="bullet"/>
      <w:lvlText w:val="•"/>
      <w:lvlJc w:val="left"/>
      <w:pPr>
        <w:ind w:left="6931" w:hanging="529"/>
      </w:pPr>
      <w:rPr>
        <w:rFonts w:hint="default"/>
        <w:lang w:val="zh-CN" w:eastAsia="zh-CN" w:bidi="zh-CN"/>
      </w:rPr>
    </w:lvl>
    <w:lvl w:ilvl="7" w:tplc="4E103BD6">
      <w:numFmt w:val="bullet"/>
      <w:lvlText w:val="•"/>
      <w:lvlJc w:val="left"/>
      <w:pPr>
        <w:ind w:left="7860" w:hanging="529"/>
      </w:pPr>
      <w:rPr>
        <w:rFonts w:hint="default"/>
        <w:lang w:val="zh-CN" w:eastAsia="zh-CN" w:bidi="zh-CN"/>
      </w:rPr>
    </w:lvl>
    <w:lvl w:ilvl="8" w:tplc="033206EA">
      <w:numFmt w:val="bullet"/>
      <w:lvlText w:val="•"/>
      <w:lvlJc w:val="left"/>
      <w:pPr>
        <w:ind w:left="8789" w:hanging="529"/>
      </w:pPr>
      <w:rPr>
        <w:rFonts w:hint="default"/>
        <w:lang w:val="zh-CN" w:eastAsia="zh-CN" w:bidi="zh-CN"/>
      </w:rPr>
    </w:lvl>
  </w:abstractNum>
  <w:abstractNum w:abstractNumId="575" w15:restartNumberingAfterBreak="0">
    <w:nsid w:val="4C923138"/>
    <w:multiLevelType w:val="hybridMultilevel"/>
    <w:tmpl w:val="01961B36"/>
    <w:lvl w:ilvl="0" w:tplc="50E85952">
      <w:start w:val="5"/>
      <w:numFmt w:val="decimal"/>
      <w:lvlText w:val="%1"/>
      <w:lvlJc w:val="left"/>
      <w:pPr>
        <w:ind w:left="1159" w:hanging="320"/>
        <w:jc w:val="left"/>
      </w:pPr>
      <w:rPr>
        <w:rFonts w:hint="default"/>
        <w:lang w:val="zh-CN" w:eastAsia="zh-CN" w:bidi="zh-CN"/>
      </w:rPr>
    </w:lvl>
    <w:lvl w:ilvl="1" w:tplc="16BC98F8">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EBC0B048">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321E0536">
      <w:numFmt w:val="bullet"/>
      <w:lvlText w:val="•"/>
      <w:lvlJc w:val="left"/>
      <w:pPr>
        <w:ind w:left="2538" w:hanging="531"/>
      </w:pPr>
      <w:rPr>
        <w:rFonts w:hint="default"/>
        <w:lang w:val="zh-CN" w:eastAsia="zh-CN" w:bidi="zh-CN"/>
      </w:rPr>
    </w:lvl>
    <w:lvl w:ilvl="4" w:tplc="4DBA288C">
      <w:numFmt w:val="bullet"/>
      <w:lvlText w:val="•"/>
      <w:lvlJc w:val="left"/>
      <w:pPr>
        <w:ind w:left="3696" w:hanging="531"/>
      </w:pPr>
      <w:rPr>
        <w:rFonts w:hint="default"/>
        <w:lang w:val="zh-CN" w:eastAsia="zh-CN" w:bidi="zh-CN"/>
      </w:rPr>
    </w:lvl>
    <w:lvl w:ilvl="5" w:tplc="DCC6563E">
      <w:numFmt w:val="bullet"/>
      <w:lvlText w:val="•"/>
      <w:lvlJc w:val="left"/>
      <w:pPr>
        <w:ind w:left="4854" w:hanging="531"/>
      </w:pPr>
      <w:rPr>
        <w:rFonts w:hint="default"/>
        <w:lang w:val="zh-CN" w:eastAsia="zh-CN" w:bidi="zh-CN"/>
      </w:rPr>
    </w:lvl>
    <w:lvl w:ilvl="6" w:tplc="F52C616E">
      <w:numFmt w:val="bullet"/>
      <w:lvlText w:val="•"/>
      <w:lvlJc w:val="left"/>
      <w:pPr>
        <w:ind w:left="6013" w:hanging="531"/>
      </w:pPr>
      <w:rPr>
        <w:rFonts w:hint="default"/>
        <w:lang w:val="zh-CN" w:eastAsia="zh-CN" w:bidi="zh-CN"/>
      </w:rPr>
    </w:lvl>
    <w:lvl w:ilvl="7" w:tplc="48EE3846">
      <w:numFmt w:val="bullet"/>
      <w:lvlText w:val="•"/>
      <w:lvlJc w:val="left"/>
      <w:pPr>
        <w:ind w:left="7171" w:hanging="531"/>
      </w:pPr>
      <w:rPr>
        <w:rFonts w:hint="default"/>
        <w:lang w:val="zh-CN" w:eastAsia="zh-CN" w:bidi="zh-CN"/>
      </w:rPr>
    </w:lvl>
    <w:lvl w:ilvl="8" w:tplc="51C2DC4A">
      <w:numFmt w:val="bullet"/>
      <w:lvlText w:val="•"/>
      <w:lvlJc w:val="left"/>
      <w:pPr>
        <w:ind w:left="8329" w:hanging="531"/>
      </w:pPr>
      <w:rPr>
        <w:rFonts w:hint="default"/>
        <w:lang w:val="zh-CN" w:eastAsia="zh-CN" w:bidi="zh-CN"/>
      </w:rPr>
    </w:lvl>
  </w:abstractNum>
  <w:abstractNum w:abstractNumId="576" w15:restartNumberingAfterBreak="0">
    <w:nsid w:val="4D0D263B"/>
    <w:multiLevelType w:val="hybridMultilevel"/>
    <w:tmpl w:val="DBCCCA9C"/>
    <w:lvl w:ilvl="0" w:tplc="4CCCBE12">
      <w:start w:val="1"/>
      <w:numFmt w:val="decimal"/>
      <w:lvlText w:val="%1"/>
      <w:lvlJc w:val="left"/>
      <w:pPr>
        <w:ind w:left="418" w:hanging="318"/>
        <w:jc w:val="left"/>
      </w:pPr>
      <w:rPr>
        <w:rFonts w:hint="default"/>
        <w:lang w:val="zh-CN" w:eastAsia="zh-CN" w:bidi="zh-CN"/>
      </w:rPr>
    </w:lvl>
    <w:lvl w:ilvl="1" w:tplc="629C8F34">
      <w:start w:val="3"/>
      <w:numFmt w:val="decimal"/>
      <w:lvlText w:val="%1.%2"/>
      <w:lvlJc w:val="left"/>
      <w:pPr>
        <w:ind w:left="418" w:hanging="318"/>
        <w:jc w:val="left"/>
      </w:pPr>
      <w:rPr>
        <w:rFonts w:ascii="宋体" w:eastAsia="宋体" w:hAnsi="宋体" w:cs="宋体" w:hint="default"/>
        <w:b/>
        <w:bCs/>
        <w:color w:val="333333"/>
        <w:w w:val="99"/>
        <w:sz w:val="19"/>
        <w:szCs w:val="19"/>
        <w:lang w:val="zh-CN" w:eastAsia="zh-CN" w:bidi="zh-CN"/>
      </w:rPr>
    </w:lvl>
    <w:lvl w:ilvl="2" w:tplc="1F44EF88">
      <w:numFmt w:val="bullet"/>
      <w:lvlText w:val="•"/>
      <w:lvlJc w:val="left"/>
      <w:pPr>
        <w:ind w:left="2465" w:hanging="318"/>
      </w:pPr>
      <w:rPr>
        <w:rFonts w:hint="default"/>
        <w:lang w:val="zh-CN" w:eastAsia="zh-CN" w:bidi="zh-CN"/>
      </w:rPr>
    </w:lvl>
    <w:lvl w:ilvl="3" w:tplc="CAE07AEE">
      <w:numFmt w:val="bullet"/>
      <w:lvlText w:val="•"/>
      <w:lvlJc w:val="left"/>
      <w:pPr>
        <w:ind w:left="3487" w:hanging="318"/>
      </w:pPr>
      <w:rPr>
        <w:rFonts w:hint="default"/>
        <w:lang w:val="zh-CN" w:eastAsia="zh-CN" w:bidi="zh-CN"/>
      </w:rPr>
    </w:lvl>
    <w:lvl w:ilvl="4" w:tplc="75F6C3FC">
      <w:numFmt w:val="bullet"/>
      <w:lvlText w:val="•"/>
      <w:lvlJc w:val="left"/>
      <w:pPr>
        <w:ind w:left="4510" w:hanging="318"/>
      </w:pPr>
      <w:rPr>
        <w:rFonts w:hint="default"/>
        <w:lang w:val="zh-CN" w:eastAsia="zh-CN" w:bidi="zh-CN"/>
      </w:rPr>
    </w:lvl>
    <w:lvl w:ilvl="5" w:tplc="5776AC34">
      <w:numFmt w:val="bullet"/>
      <w:lvlText w:val="•"/>
      <w:lvlJc w:val="left"/>
      <w:pPr>
        <w:ind w:left="5533" w:hanging="318"/>
      </w:pPr>
      <w:rPr>
        <w:rFonts w:hint="default"/>
        <w:lang w:val="zh-CN" w:eastAsia="zh-CN" w:bidi="zh-CN"/>
      </w:rPr>
    </w:lvl>
    <w:lvl w:ilvl="6" w:tplc="C736140E">
      <w:numFmt w:val="bullet"/>
      <w:lvlText w:val="•"/>
      <w:lvlJc w:val="left"/>
      <w:pPr>
        <w:ind w:left="6555" w:hanging="318"/>
      </w:pPr>
      <w:rPr>
        <w:rFonts w:hint="default"/>
        <w:lang w:val="zh-CN" w:eastAsia="zh-CN" w:bidi="zh-CN"/>
      </w:rPr>
    </w:lvl>
    <w:lvl w:ilvl="7" w:tplc="CD5246EA">
      <w:numFmt w:val="bullet"/>
      <w:lvlText w:val="•"/>
      <w:lvlJc w:val="left"/>
      <w:pPr>
        <w:ind w:left="7578" w:hanging="318"/>
      </w:pPr>
      <w:rPr>
        <w:rFonts w:hint="default"/>
        <w:lang w:val="zh-CN" w:eastAsia="zh-CN" w:bidi="zh-CN"/>
      </w:rPr>
    </w:lvl>
    <w:lvl w:ilvl="8" w:tplc="D012D7D8">
      <w:numFmt w:val="bullet"/>
      <w:lvlText w:val="•"/>
      <w:lvlJc w:val="left"/>
      <w:pPr>
        <w:ind w:left="8601" w:hanging="318"/>
      </w:pPr>
      <w:rPr>
        <w:rFonts w:hint="default"/>
        <w:lang w:val="zh-CN" w:eastAsia="zh-CN" w:bidi="zh-CN"/>
      </w:rPr>
    </w:lvl>
  </w:abstractNum>
  <w:abstractNum w:abstractNumId="577" w15:restartNumberingAfterBreak="0">
    <w:nsid w:val="4D2D7D97"/>
    <w:multiLevelType w:val="hybridMultilevel"/>
    <w:tmpl w:val="CF36E30A"/>
    <w:lvl w:ilvl="0" w:tplc="ABD0FBA2">
      <w:start w:val="4"/>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4030FCD6">
      <w:numFmt w:val="bullet"/>
      <w:lvlText w:val="•"/>
      <w:lvlJc w:val="left"/>
      <w:pPr>
        <w:ind w:left="2018" w:hanging="213"/>
      </w:pPr>
      <w:rPr>
        <w:rFonts w:hint="default"/>
        <w:lang w:val="zh-CN" w:eastAsia="zh-CN" w:bidi="zh-CN"/>
      </w:rPr>
    </w:lvl>
    <w:lvl w:ilvl="2" w:tplc="3662A878">
      <w:numFmt w:val="bullet"/>
      <w:lvlText w:val="•"/>
      <w:lvlJc w:val="left"/>
      <w:pPr>
        <w:ind w:left="2977" w:hanging="213"/>
      </w:pPr>
      <w:rPr>
        <w:rFonts w:hint="default"/>
        <w:lang w:val="zh-CN" w:eastAsia="zh-CN" w:bidi="zh-CN"/>
      </w:rPr>
    </w:lvl>
    <w:lvl w:ilvl="3" w:tplc="8138E834">
      <w:numFmt w:val="bullet"/>
      <w:lvlText w:val="•"/>
      <w:lvlJc w:val="left"/>
      <w:pPr>
        <w:ind w:left="3935" w:hanging="213"/>
      </w:pPr>
      <w:rPr>
        <w:rFonts w:hint="default"/>
        <w:lang w:val="zh-CN" w:eastAsia="zh-CN" w:bidi="zh-CN"/>
      </w:rPr>
    </w:lvl>
    <w:lvl w:ilvl="4" w:tplc="A622E76A">
      <w:numFmt w:val="bullet"/>
      <w:lvlText w:val="•"/>
      <w:lvlJc w:val="left"/>
      <w:pPr>
        <w:ind w:left="4894" w:hanging="213"/>
      </w:pPr>
      <w:rPr>
        <w:rFonts w:hint="default"/>
        <w:lang w:val="zh-CN" w:eastAsia="zh-CN" w:bidi="zh-CN"/>
      </w:rPr>
    </w:lvl>
    <w:lvl w:ilvl="5" w:tplc="4F34D95E">
      <w:numFmt w:val="bullet"/>
      <w:lvlText w:val="•"/>
      <w:lvlJc w:val="left"/>
      <w:pPr>
        <w:ind w:left="5853" w:hanging="213"/>
      </w:pPr>
      <w:rPr>
        <w:rFonts w:hint="default"/>
        <w:lang w:val="zh-CN" w:eastAsia="zh-CN" w:bidi="zh-CN"/>
      </w:rPr>
    </w:lvl>
    <w:lvl w:ilvl="6" w:tplc="7AC45594">
      <w:numFmt w:val="bullet"/>
      <w:lvlText w:val="•"/>
      <w:lvlJc w:val="left"/>
      <w:pPr>
        <w:ind w:left="6811" w:hanging="213"/>
      </w:pPr>
      <w:rPr>
        <w:rFonts w:hint="default"/>
        <w:lang w:val="zh-CN" w:eastAsia="zh-CN" w:bidi="zh-CN"/>
      </w:rPr>
    </w:lvl>
    <w:lvl w:ilvl="7" w:tplc="A8DA57BE">
      <w:numFmt w:val="bullet"/>
      <w:lvlText w:val="•"/>
      <w:lvlJc w:val="left"/>
      <w:pPr>
        <w:ind w:left="7770" w:hanging="213"/>
      </w:pPr>
      <w:rPr>
        <w:rFonts w:hint="default"/>
        <w:lang w:val="zh-CN" w:eastAsia="zh-CN" w:bidi="zh-CN"/>
      </w:rPr>
    </w:lvl>
    <w:lvl w:ilvl="8" w:tplc="942CCF8E">
      <w:numFmt w:val="bullet"/>
      <w:lvlText w:val="•"/>
      <w:lvlJc w:val="left"/>
      <w:pPr>
        <w:ind w:left="8729" w:hanging="213"/>
      </w:pPr>
      <w:rPr>
        <w:rFonts w:hint="default"/>
        <w:lang w:val="zh-CN" w:eastAsia="zh-CN" w:bidi="zh-CN"/>
      </w:rPr>
    </w:lvl>
  </w:abstractNum>
  <w:abstractNum w:abstractNumId="578" w15:restartNumberingAfterBreak="0">
    <w:nsid w:val="4D3239DF"/>
    <w:multiLevelType w:val="hybridMultilevel"/>
    <w:tmpl w:val="ACD27D16"/>
    <w:lvl w:ilvl="0" w:tplc="1F986850">
      <w:start w:val="2"/>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66880B5A">
      <w:numFmt w:val="bullet"/>
      <w:lvlText w:val="•"/>
      <w:lvlJc w:val="left"/>
      <w:pPr>
        <w:ind w:left="2018" w:hanging="213"/>
      </w:pPr>
      <w:rPr>
        <w:rFonts w:hint="default"/>
        <w:lang w:val="zh-CN" w:eastAsia="zh-CN" w:bidi="zh-CN"/>
      </w:rPr>
    </w:lvl>
    <w:lvl w:ilvl="2" w:tplc="B8F0821E">
      <w:numFmt w:val="bullet"/>
      <w:lvlText w:val="•"/>
      <w:lvlJc w:val="left"/>
      <w:pPr>
        <w:ind w:left="2977" w:hanging="213"/>
      </w:pPr>
      <w:rPr>
        <w:rFonts w:hint="default"/>
        <w:lang w:val="zh-CN" w:eastAsia="zh-CN" w:bidi="zh-CN"/>
      </w:rPr>
    </w:lvl>
    <w:lvl w:ilvl="3" w:tplc="44EC7F96">
      <w:numFmt w:val="bullet"/>
      <w:lvlText w:val="•"/>
      <w:lvlJc w:val="left"/>
      <w:pPr>
        <w:ind w:left="3935" w:hanging="213"/>
      </w:pPr>
      <w:rPr>
        <w:rFonts w:hint="default"/>
        <w:lang w:val="zh-CN" w:eastAsia="zh-CN" w:bidi="zh-CN"/>
      </w:rPr>
    </w:lvl>
    <w:lvl w:ilvl="4" w:tplc="45AEAE38">
      <w:numFmt w:val="bullet"/>
      <w:lvlText w:val="•"/>
      <w:lvlJc w:val="left"/>
      <w:pPr>
        <w:ind w:left="4894" w:hanging="213"/>
      </w:pPr>
      <w:rPr>
        <w:rFonts w:hint="default"/>
        <w:lang w:val="zh-CN" w:eastAsia="zh-CN" w:bidi="zh-CN"/>
      </w:rPr>
    </w:lvl>
    <w:lvl w:ilvl="5" w:tplc="3B22E594">
      <w:numFmt w:val="bullet"/>
      <w:lvlText w:val="•"/>
      <w:lvlJc w:val="left"/>
      <w:pPr>
        <w:ind w:left="5853" w:hanging="213"/>
      </w:pPr>
      <w:rPr>
        <w:rFonts w:hint="default"/>
        <w:lang w:val="zh-CN" w:eastAsia="zh-CN" w:bidi="zh-CN"/>
      </w:rPr>
    </w:lvl>
    <w:lvl w:ilvl="6" w:tplc="12EC3604">
      <w:numFmt w:val="bullet"/>
      <w:lvlText w:val="•"/>
      <w:lvlJc w:val="left"/>
      <w:pPr>
        <w:ind w:left="6811" w:hanging="213"/>
      </w:pPr>
      <w:rPr>
        <w:rFonts w:hint="default"/>
        <w:lang w:val="zh-CN" w:eastAsia="zh-CN" w:bidi="zh-CN"/>
      </w:rPr>
    </w:lvl>
    <w:lvl w:ilvl="7" w:tplc="BAFE1E98">
      <w:numFmt w:val="bullet"/>
      <w:lvlText w:val="•"/>
      <w:lvlJc w:val="left"/>
      <w:pPr>
        <w:ind w:left="7770" w:hanging="213"/>
      </w:pPr>
      <w:rPr>
        <w:rFonts w:hint="default"/>
        <w:lang w:val="zh-CN" w:eastAsia="zh-CN" w:bidi="zh-CN"/>
      </w:rPr>
    </w:lvl>
    <w:lvl w:ilvl="8" w:tplc="10CA52B4">
      <w:numFmt w:val="bullet"/>
      <w:lvlText w:val="•"/>
      <w:lvlJc w:val="left"/>
      <w:pPr>
        <w:ind w:left="8729" w:hanging="213"/>
      </w:pPr>
      <w:rPr>
        <w:rFonts w:hint="default"/>
        <w:lang w:val="zh-CN" w:eastAsia="zh-CN" w:bidi="zh-CN"/>
      </w:rPr>
    </w:lvl>
  </w:abstractNum>
  <w:abstractNum w:abstractNumId="579" w15:restartNumberingAfterBreak="0">
    <w:nsid w:val="4D7E1D38"/>
    <w:multiLevelType w:val="hybridMultilevel"/>
    <w:tmpl w:val="688C43D4"/>
    <w:lvl w:ilvl="0" w:tplc="7480F22C">
      <w:start w:val="7"/>
      <w:numFmt w:val="decimal"/>
      <w:lvlText w:val="%1"/>
      <w:lvlJc w:val="left"/>
      <w:pPr>
        <w:ind w:left="996" w:hanging="579"/>
        <w:jc w:val="left"/>
      </w:pPr>
      <w:rPr>
        <w:rFonts w:hint="default"/>
        <w:lang w:val="zh-CN" w:eastAsia="zh-CN" w:bidi="zh-CN"/>
      </w:rPr>
    </w:lvl>
    <w:lvl w:ilvl="1" w:tplc="2BBC5896">
      <w:start w:val="1"/>
      <w:numFmt w:val="decimal"/>
      <w:lvlText w:val="%1.%2"/>
      <w:lvlJc w:val="left"/>
      <w:pPr>
        <w:ind w:left="996" w:hanging="579"/>
        <w:jc w:val="left"/>
      </w:pPr>
      <w:rPr>
        <w:rFonts w:hint="default"/>
        <w:lang w:val="zh-CN" w:eastAsia="zh-CN" w:bidi="zh-CN"/>
      </w:rPr>
    </w:lvl>
    <w:lvl w:ilvl="2" w:tplc="EB36F9EC">
      <w:start w:val="4"/>
      <w:numFmt w:val="decimal"/>
      <w:lvlText w:val="%1.%2.%3"/>
      <w:lvlJc w:val="left"/>
      <w:pPr>
        <w:ind w:left="996" w:hanging="579"/>
        <w:jc w:val="right"/>
      </w:pPr>
      <w:rPr>
        <w:rFonts w:hint="default"/>
        <w:w w:val="100"/>
        <w:lang w:val="zh-CN" w:eastAsia="zh-CN" w:bidi="zh-CN"/>
      </w:rPr>
    </w:lvl>
    <w:lvl w:ilvl="3" w:tplc="9D96F1AE">
      <w:numFmt w:val="bullet"/>
      <w:lvlText w:val="•"/>
      <w:lvlJc w:val="left"/>
      <w:pPr>
        <w:ind w:left="3893" w:hanging="579"/>
      </w:pPr>
      <w:rPr>
        <w:rFonts w:hint="default"/>
        <w:lang w:val="zh-CN" w:eastAsia="zh-CN" w:bidi="zh-CN"/>
      </w:rPr>
    </w:lvl>
    <w:lvl w:ilvl="4" w:tplc="54F0DEDA">
      <w:numFmt w:val="bullet"/>
      <w:lvlText w:val="•"/>
      <w:lvlJc w:val="left"/>
      <w:pPr>
        <w:ind w:left="4858" w:hanging="579"/>
      </w:pPr>
      <w:rPr>
        <w:rFonts w:hint="default"/>
        <w:lang w:val="zh-CN" w:eastAsia="zh-CN" w:bidi="zh-CN"/>
      </w:rPr>
    </w:lvl>
    <w:lvl w:ilvl="5" w:tplc="D65E703C">
      <w:numFmt w:val="bullet"/>
      <w:lvlText w:val="•"/>
      <w:lvlJc w:val="left"/>
      <w:pPr>
        <w:ind w:left="5823" w:hanging="579"/>
      </w:pPr>
      <w:rPr>
        <w:rFonts w:hint="default"/>
        <w:lang w:val="zh-CN" w:eastAsia="zh-CN" w:bidi="zh-CN"/>
      </w:rPr>
    </w:lvl>
    <w:lvl w:ilvl="6" w:tplc="156E6E60">
      <w:numFmt w:val="bullet"/>
      <w:lvlText w:val="•"/>
      <w:lvlJc w:val="left"/>
      <w:pPr>
        <w:ind w:left="6787" w:hanging="579"/>
      </w:pPr>
      <w:rPr>
        <w:rFonts w:hint="default"/>
        <w:lang w:val="zh-CN" w:eastAsia="zh-CN" w:bidi="zh-CN"/>
      </w:rPr>
    </w:lvl>
    <w:lvl w:ilvl="7" w:tplc="C3C29068">
      <w:numFmt w:val="bullet"/>
      <w:lvlText w:val="•"/>
      <w:lvlJc w:val="left"/>
      <w:pPr>
        <w:ind w:left="7752" w:hanging="579"/>
      </w:pPr>
      <w:rPr>
        <w:rFonts w:hint="default"/>
        <w:lang w:val="zh-CN" w:eastAsia="zh-CN" w:bidi="zh-CN"/>
      </w:rPr>
    </w:lvl>
    <w:lvl w:ilvl="8" w:tplc="8EFA9556">
      <w:numFmt w:val="bullet"/>
      <w:lvlText w:val="•"/>
      <w:lvlJc w:val="left"/>
      <w:pPr>
        <w:ind w:left="8717" w:hanging="579"/>
      </w:pPr>
      <w:rPr>
        <w:rFonts w:hint="default"/>
        <w:lang w:val="zh-CN" w:eastAsia="zh-CN" w:bidi="zh-CN"/>
      </w:rPr>
    </w:lvl>
  </w:abstractNum>
  <w:abstractNum w:abstractNumId="580" w15:restartNumberingAfterBreak="0">
    <w:nsid w:val="4D8C4813"/>
    <w:multiLevelType w:val="hybridMultilevel"/>
    <w:tmpl w:val="7B341A20"/>
    <w:lvl w:ilvl="0" w:tplc="A3CC564A">
      <w:start w:val="3"/>
      <w:numFmt w:val="decimal"/>
      <w:lvlText w:val="%1"/>
      <w:lvlJc w:val="left"/>
      <w:pPr>
        <w:ind w:left="1370" w:hanging="531"/>
        <w:jc w:val="left"/>
      </w:pPr>
      <w:rPr>
        <w:rFonts w:hint="default"/>
        <w:lang w:val="zh-CN" w:eastAsia="zh-CN" w:bidi="zh-CN"/>
      </w:rPr>
    </w:lvl>
    <w:lvl w:ilvl="1" w:tplc="AFCA4F02">
      <w:start w:val="2"/>
      <w:numFmt w:val="decimal"/>
      <w:lvlText w:val="%1.%2"/>
      <w:lvlJc w:val="left"/>
      <w:pPr>
        <w:ind w:left="1370" w:hanging="531"/>
        <w:jc w:val="left"/>
      </w:pPr>
      <w:rPr>
        <w:rFonts w:hint="default"/>
        <w:lang w:val="zh-CN" w:eastAsia="zh-CN" w:bidi="zh-CN"/>
      </w:rPr>
    </w:lvl>
    <w:lvl w:ilvl="2" w:tplc="65922B60">
      <w:start w:val="6"/>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472CF37C">
      <w:numFmt w:val="bullet"/>
      <w:lvlText w:val="•"/>
      <w:lvlJc w:val="left"/>
      <w:pPr>
        <w:ind w:left="4159" w:hanging="531"/>
      </w:pPr>
      <w:rPr>
        <w:rFonts w:hint="default"/>
        <w:lang w:val="zh-CN" w:eastAsia="zh-CN" w:bidi="zh-CN"/>
      </w:rPr>
    </w:lvl>
    <w:lvl w:ilvl="4" w:tplc="9036137E">
      <w:numFmt w:val="bullet"/>
      <w:lvlText w:val="•"/>
      <w:lvlJc w:val="left"/>
      <w:pPr>
        <w:ind w:left="5086" w:hanging="531"/>
      </w:pPr>
      <w:rPr>
        <w:rFonts w:hint="default"/>
        <w:lang w:val="zh-CN" w:eastAsia="zh-CN" w:bidi="zh-CN"/>
      </w:rPr>
    </w:lvl>
    <w:lvl w:ilvl="5" w:tplc="0C883A90">
      <w:numFmt w:val="bullet"/>
      <w:lvlText w:val="•"/>
      <w:lvlJc w:val="left"/>
      <w:pPr>
        <w:ind w:left="6013" w:hanging="531"/>
      </w:pPr>
      <w:rPr>
        <w:rFonts w:hint="default"/>
        <w:lang w:val="zh-CN" w:eastAsia="zh-CN" w:bidi="zh-CN"/>
      </w:rPr>
    </w:lvl>
    <w:lvl w:ilvl="6" w:tplc="0A6AD956">
      <w:numFmt w:val="bullet"/>
      <w:lvlText w:val="•"/>
      <w:lvlJc w:val="left"/>
      <w:pPr>
        <w:ind w:left="6939" w:hanging="531"/>
      </w:pPr>
      <w:rPr>
        <w:rFonts w:hint="default"/>
        <w:lang w:val="zh-CN" w:eastAsia="zh-CN" w:bidi="zh-CN"/>
      </w:rPr>
    </w:lvl>
    <w:lvl w:ilvl="7" w:tplc="6BDC55E0">
      <w:numFmt w:val="bullet"/>
      <w:lvlText w:val="•"/>
      <w:lvlJc w:val="left"/>
      <w:pPr>
        <w:ind w:left="7866" w:hanging="531"/>
      </w:pPr>
      <w:rPr>
        <w:rFonts w:hint="default"/>
        <w:lang w:val="zh-CN" w:eastAsia="zh-CN" w:bidi="zh-CN"/>
      </w:rPr>
    </w:lvl>
    <w:lvl w:ilvl="8" w:tplc="090C706E">
      <w:numFmt w:val="bullet"/>
      <w:lvlText w:val="•"/>
      <w:lvlJc w:val="left"/>
      <w:pPr>
        <w:ind w:left="8793" w:hanging="531"/>
      </w:pPr>
      <w:rPr>
        <w:rFonts w:hint="default"/>
        <w:lang w:val="zh-CN" w:eastAsia="zh-CN" w:bidi="zh-CN"/>
      </w:rPr>
    </w:lvl>
  </w:abstractNum>
  <w:abstractNum w:abstractNumId="581" w15:restartNumberingAfterBreak="0">
    <w:nsid w:val="4DF16D64"/>
    <w:multiLevelType w:val="hybridMultilevel"/>
    <w:tmpl w:val="BC8020F8"/>
    <w:lvl w:ilvl="0" w:tplc="1ADE14D0">
      <w:start w:val="2"/>
      <w:numFmt w:val="decimal"/>
      <w:lvlText w:val="%1）"/>
      <w:lvlJc w:val="left"/>
      <w:pPr>
        <w:ind w:left="1155" w:hanging="318"/>
        <w:jc w:val="left"/>
      </w:pPr>
      <w:rPr>
        <w:rFonts w:ascii="宋体" w:eastAsia="宋体" w:hAnsi="宋体" w:cs="宋体" w:hint="default"/>
        <w:color w:val="333333"/>
        <w:w w:val="100"/>
        <w:sz w:val="19"/>
        <w:szCs w:val="19"/>
        <w:lang w:val="zh-CN" w:eastAsia="zh-CN" w:bidi="zh-CN"/>
      </w:rPr>
    </w:lvl>
    <w:lvl w:ilvl="1" w:tplc="BBCC274A">
      <w:numFmt w:val="bullet"/>
      <w:lvlText w:val="•"/>
      <w:lvlJc w:val="left"/>
      <w:pPr>
        <w:ind w:left="2108" w:hanging="318"/>
      </w:pPr>
      <w:rPr>
        <w:rFonts w:hint="default"/>
        <w:lang w:val="zh-CN" w:eastAsia="zh-CN" w:bidi="zh-CN"/>
      </w:rPr>
    </w:lvl>
    <w:lvl w:ilvl="2" w:tplc="89004F94">
      <w:numFmt w:val="bullet"/>
      <w:lvlText w:val="•"/>
      <w:lvlJc w:val="left"/>
      <w:pPr>
        <w:ind w:left="3057" w:hanging="318"/>
      </w:pPr>
      <w:rPr>
        <w:rFonts w:hint="default"/>
        <w:lang w:val="zh-CN" w:eastAsia="zh-CN" w:bidi="zh-CN"/>
      </w:rPr>
    </w:lvl>
    <w:lvl w:ilvl="3" w:tplc="6CC2E3F4">
      <w:numFmt w:val="bullet"/>
      <w:lvlText w:val="•"/>
      <w:lvlJc w:val="left"/>
      <w:pPr>
        <w:ind w:left="4005" w:hanging="318"/>
      </w:pPr>
      <w:rPr>
        <w:rFonts w:hint="default"/>
        <w:lang w:val="zh-CN" w:eastAsia="zh-CN" w:bidi="zh-CN"/>
      </w:rPr>
    </w:lvl>
    <w:lvl w:ilvl="4" w:tplc="9D9E399E">
      <w:numFmt w:val="bullet"/>
      <w:lvlText w:val="•"/>
      <w:lvlJc w:val="left"/>
      <w:pPr>
        <w:ind w:left="4954" w:hanging="318"/>
      </w:pPr>
      <w:rPr>
        <w:rFonts w:hint="default"/>
        <w:lang w:val="zh-CN" w:eastAsia="zh-CN" w:bidi="zh-CN"/>
      </w:rPr>
    </w:lvl>
    <w:lvl w:ilvl="5" w:tplc="C5B08A80">
      <w:numFmt w:val="bullet"/>
      <w:lvlText w:val="•"/>
      <w:lvlJc w:val="left"/>
      <w:pPr>
        <w:ind w:left="5903" w:hanging="318"/>
      </w:pPr>
      <w:rPr>
        <w:rFonts w:hint="default"/>
        <w:lang w:val="zh-CN" w:eastAsia="zh-CN" w:bidi="zh-CN"/>
      </w:rPr>
    </w:lvl>
    <w:lvl w:ilvl="6" w:tplc="C74E922A">
      <w:numFmt w:val="bullet"/>
      <w:lvlText w:val="•"/>
      <w:lvlJc w:val="left"/>
      <w:pPr>
        <w:ind w:left="6851" w:hanging="318"/>
      </w:pPr>
      <w:rPr>
        <w:rFonts w:hint="default"/>
        <w:lang w:val="zh-CN" w:eastAsia="zh-CN" w:bidi="zh-CN"/>
      </w:rPr>
    </w:lvl>
    <w:lvl w:ilvl="7" w:tplc="E12C0878">
      <w:numFmt w:val="bullet"/>
      <w:lvlText w:val="•"/>
      <w:lvlJc w:val="left"/>
      <w:pPr>
        <w:ind w:left="7800" w:hanging="318"/>
      </w:pPr>
      <w:rPr>
        <w:rFonts w:hint="default"/>
        <w:lang w:val="zh-CN" w:eastAsia="zh-CN" w:bidi="zh-CN"/>
      </w:rPr>
    </w:lvl>
    <w:lvl w:ilvl="8" w:tplc="468E06F0">
      <w:numFmt w:val="bullet"/>
      <w:lvlText w:val="•"/>
      <w:lvlJc w:val="left"/>
      <w:pPr>
        <w:ind w:left="8749" w:hanging="318"/>
      </w:pPr>
      <w:rPr>
        <w:rFonts w:hint="default"/>
        <w:lang w:val="zh-CN" w:eastAsia="zh-CN" w:bidi="zh-CN"/>
      </w:rPr>
    </w:lvl>
  </w:abstractNum>
  <w:abstractNum w:abstractNumId="582" w15:restartNumberingAfterBreak="0">
    <w:nsid w:val="4E026536"/>
    <w:multiLevelType w:val="hybridMultilevel"/>
    <w:tmpl w:val="117291C4"/>
    <w:lvl w:ilvl="0" w:tplc="98DA791E">
      <w:start w:val="6"/>
      <w:numFmt w:val="decimal"/>
      <w:lvlText w:val="%1"/>
      <w:lvlJc w:val="left"/>
      <w:pPr>
        <w:ind w:left="1575" w:hanging="738"/>
        <w:jc w:val="left"/>
      </w:pPr>
      <w:rPr>
        <w:rFonts w:hint="default"/>
        <w:lang w:val="zh-CN" w:eastAsia="zh-CN" w:bidi="zh-CN"/>
      </w:rPr>
    </w:lvl>
    <w:lvl w:ilvl="1" w:tplc="D0D4E3DA">
      <w:start w:val="6"/>
      <w:numFmt w:val="decimal"/>
      <w:lvlText w:val="%1.%2"/>
      <w:lvlJc w:val="left"/>
      <w:pPr>
        <w:ind w:left="1575" w:hanging="738"/>
        <w:jc w:val="left"/>
      </w:pPr>
      <w:rPr>
        <w:rFonts w:hint="default"/>
        <w:lang w:val="zh-CN" w:eastAsia="zh-CN" w:bidi="zh-CN"/>
      </w:rPr>
    </w:lvl>
    <w:lvl w:ilvl="2" w:tplc="E1FE5C66">
      <w:start w:val="2"/>
      <w:numFmt w:val="decimal"/>
      <w:lvlText w:val="%1.%2.%3"/>
      <w:lvlJc w:val="left"/>
      <w:pPr>
        <w:ind w:left="1575" w:hanging="738"/>
        <w:jc w:val="left"/>
      </w:pPr>
      <w:rPr>
        <w:rFonts w:hint="default"/>
        <w:lang w:val="zh-CN" w:eastAsia="zh-CN" w:bidi="zh-CN"/>
      </w:rPr>
    </w:lvl>
    <w:lvl w:ilvl="3" w:tplc="3D1CE20A">
      <w:start w:val="1"/>
      <w:numFmt w:val="decimal"/>
      <w:lvlText w:val="%1.%2.%3.%4"/>
      <w:lvlJc w:val="left"/>
      <w:pPr>
        <w:ind w:left="1575" w:hanging="738"/>
        <w:jc w:val="right"/>
      </w:pPr>
      <w:rPr>
        <w:rFonts w:hint="default"/>
        <w:spacing w:val="-3"/>
        <w:w w:val="100"/>
        <w:lang w:val="zh-CN" w:eastAsia="zh-CN" w:bidi="zh-CN"/>
      </w:rPr>
    </w:lvl>
    <w:lvl w:ilvl="4" w:tplc="4ADE8CF2">
      <w:numFmt w:val="bullet"/>
      <w:lvlText w:val="•"/>
      <w:lvlJc w:val="left"/>
      <w:pPr>
        <w:ind w:left="5206" w:hanging="738"/>
      </w:pPr>
      <w:rPr>
        <w:rFonts w:hint="default"/>
        <w:lang w:val="zh-CN" w:eastAsia="zh-CN" w:bidi="zh-CN"/>
      </w:rPr>
    </w:lvl>
    <w:lvl w:ilvl="5" w:tplc="BEDC9AC2">
      <w:numFmt w:val="bullet"/>
      <w:lvlText w:val="•"/>
      <w:lvlJc w:val="left"/>
      <w:pPr>
        <w:ind w:left="6113" w:hanging="738"/>
      </w:pPr>
      <w:rPr>
        <w:rFonts w:hint="default"/>
        <w:lang w:val="zh-CN" w:eastAsia="zh-CN" w:bidi="zh-CN"/>
      </w:rPr>
    </w:lvl>
    <w:lvl w:ilvl="6" w:tplc="7974CF36">
      <w:numFmt w:val="bullet"/>
      <w:lvlText w:val="•"/>
      <w:lvlJc w:val="left"/>
      <w:pPr>
        <w:ind w:left="7019" w:hanging="738"/>
      </w:pPr>
      <w:rPr>
        <w:rFonts w:hint="default"/>
        <w:lang w:val="zh-CN" w:eastAsia="zh-CN" w:bidi="zh-CN"/>
      </w:rPr>
    </w:lvl>
    <w:lvl w:ilvl="7" w:tplc="EF74BD1E">
      <w:numFmt w:val="bullet"/>
      <w:lvlText w:val="•"/>
      <w:lvlJc w:val="left"/>
      <w:pPr>
        <w:ind w:left="7926" w:hanging="738"/>
      </w:pPr>
      <w:rPr>
        <w:rFonts w:hint="default"/>
        <w:lang w:val="zh-CN" w:eastAsia="zh-CN" w:bidi="zh-CN"/>
      </w:rPr>
    </w:lvl>
    <w:lvl w:ilvl="8" w:tplc="C88295A4">
      <w:numFmt w:val="bullet"/>
      <w:lvlText w:val="•"/>
      <w:lvlJc w:val="left"/>
      <w:pPr>
        <w:ind w:left="8833" w:hanging="738"/>
      </w:pPr>
      <w:rPr>
        <w:rFonts w:hint="default"/>
        <w:lang w:val="zh-CN" w:eastAsia="zh-CN" w:bidi="zh-CN"/>
      </w:rPr>
    </w:lvl>
  </w:abstractNum>
  <w:abstractNum w:abstractNumId="583" w15:restartNumberingAfterBreak="0">
    <w:nsid w:val="4E1840B1"/>
    <w:multiLevelType w:val="hybridMultilevel"/>
    <w:tmpl w:val="2520882E"/>
    <w:lvl w:ilvl="0" w:tplc="AC54A644">
      <w:start w:val="5"/>
      <w:numFmt w:val="decimal"/>
      <w:lvlText w:val="%1"/>
      <w:lvlJc w:val="left"/>
      <w:pPr>
        <w:ind w:left="1265" w:hanging="425"/>
        <w:jc w:val="left"/>
      </w:pPr>
      <w:rPr>
        <w:rFonts w:hint="default"/>
        <w:lang w:val="zh-CN" w:eastAsia="zh-CN" w:bidi="zh-CN"/>
      </w:rPr>
    </w:lvl>
    <w:lvl w:ilvl="1" w:tplc="F37A3E06">
      <w:start w:val="10"/>
      <w:numFmt w:val="decimal"/>
      <w:lvlText w:val="%1.%2"/>
      <w:lvlJc w:val="left"/>
      <w:pPr>
        <w:ind w:left="1265" w:hanging="425"/>
        <w:jc w:val="left"/>
      </w:pPr>
      <w:rPr>
        <w:rFonts w:ascii="宋体" w:eastAsia="宋体" w:hAnsi="宋体" w:cs="宋体" w:hint="default"/>
        <w:b/>
        <w:bCs/>
        <w:w w:val="99"/>
        <w:sz w:val="19"/>
        <w:szCs w:val="19"/>
        <w:lang w:val="zh-CN" w:eastAsia="zh-CN" w:bidi="zh-CN"/>
      </w:rPr>
    </w:lvl>
    <w:lvl w:ilvl="2" w:tplc="EC563F6C">
      <w:numFmt w:val="bullet"/>
      <w:lvlText w:val="•"/>
      <w:lvlJc w:val="left"/>
      <w:pPr>
        <w:ind w:left="3137" w:hanging="425"/>
      </w:pPr>
      <w:rPr>
        <w:rFonts w:hint="default"/>
        <w:lang w:val="zh-CN" w:eastAsia="zh-CN" w:bidi="zh-CN"/>
      </w:rPr>
    </w:lvl>
    <w:lvl w:ilvl="3" w:tplc="965850F0">
      <w:numFmt w:val="bullet"/>
      <w:lvlText w:val="•"/>
      <w:lvlJc w:val="left"/>
      <w:pPr>
        <w:ind w:left="4075" w:hanging="425"/>
      </w:pPr>
      <w:rPr>
        <w:rFonts w:hint="default"/>
        <w:lang w:val="zh-CN" w:eastAsia="zh-CN" w:bidi="zh-CN"/>
      </w:rPr>
    </w:lvl>
    <w:lvl w:ilvl="4" w:tplc="91B8A37E">
      <w:numFmt w:val="bullet"/>
      <w:lvlText w:val="•"/>
      <w:lvlJc w:val="left"/>
      <w:pPr>
        <w:ind w:left="5014" w:hanging="425"/>
      </w:pPr>
      <w:rPr>
        <w:rFonts w:hint="default"/>
        <w:lang w:val="zh-CN" w:eastAsia="zh-CN" w:bidi="zh-CN"/>
      </w:rPr>
    </w:lvl>
    <w:lvl w:ilvl="5" w:tplc="C278EBBA">
      <w:numFmt w:val="bullet"/>
      <w:lvlText w:val="•"/>
      <w:lvlJc w:val="left"/>
      <w:pPr>
        <w:ind w:left="5953" w:hanging="425"/>
      </w:pPr>
      <w:rPr>
        <w:rFonts w:hint="default"/>
        <w:lang w:val="zh-CN" w:eastAsia="zh-CN" w:bidi="zh-CN"/>
      </w:rPr>
    </w:lvl>
    <w:lvl w:ilvl="6" w:tplc="02443770">
      <w:numFmt w:val="bullet"/>
      <w:lvlText w:val="•"/>
      <w:lvlJc w:val="left"/>
      <w:pPr>
        <w:ind w:left="6891" w:hanging="425"/>
      </w:pPr>
      <w:rPr>
        <w:rFonts w:hint="default"/>
        <w:lang w:val="zh-CN" w:eastAsia="zh-CN" w:bidi="zh-CN"/>
      </w:rPr>
    </w:lvl>
    <w:lvl w:ilvl="7" w:tplc="199E1A22">
      <w:numFmt w:val="bullet"/>
      <w:lvlText w:val="•"/>
      <w:lvlJc w:val="left"/>
      <w:pPr>
        <w:ind w:left="7830" w:hanging="425"/>
      </w:pPr>
      <w:rPr>
        <w:rFonts w:hint="default"/>
        <w:lang w:val="zh-CN" w:eastAsia="zh-CN" w:bidi="zh-CN"/>
      </w:rPr>
    </w:lvl>
    <w:lvl w:ilvl="8" w:tplc="EC46BE86">
      <w:numFmt w:val="bullet"/>
      <w:lvlText w:val="•"/>
      <w:lvlJc w:val="left"/>
      <w:pPr>
        <w:ind w:left="8769" w:hanging="425"/>
      </w:pPr>
      <w:rPr>
        <w:rFonts w:hint="default"/>
        <w:lang w:val="zh-CN" w:eastAsia="zh-CN" w:bidi="zh-CN"/>
      </w:rPr>
    </w:lvl>
  </w:abstractNum>
  <w:abstractNum w:abstractNumId="584" w15:restartNumberingAfterBreak="0">
    <w:nsid w:val="4E195964"/>
    <w:multiLevelType w:val="hybridMultilevel"/>
    <w:tmpl w:val="379CA638"/>
    <w:lvl w:ilvl="0" w:tplc="45F09122">
      <w:start w:val="5"/>
      <w:numFmt w:val="decimal"/>
      <w:lvlText w:val="%1"/>
      <w:lvlJc w:val="left"/>
      <w:pPr>
        <w:ind w:left="1158" w:hanging="318"/>
        <w:jc w:val="left"/>
      </w:pPr>
      <w:rPr>
        <w:rFonts w:hint="default"/>
        <w:lang w:val="zh-CN" w:eastAsia="zh-CN" w:bidi="zh-CN"/>
      </w:rPr>
    </w:lvl>
    <w:lvl w:ilvl="1" w:tplc="3F98237E">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0FBE725C">
      <w:start w:val="1"/>
      <w:numFmt w:val="decimal"/>
      <w:lvlText w:val="%1.%2.%3"/>
      <w:lvlJc w:val="left"/>
      <w:pPr>
        <w:ind w:left="1367" w:hanging="529"/>
        <w:jc w:val="right"/>
      </w:pPr>
      <w:rPr>
        <w:rFonts w:ascii="宋体" w:eastAsia="宋体" w:hAnsi="宋体" w:cs="宋体" w:hint="default"/>
        <w:b/>
        <w:bCs/>
        <w:w w:val="99"/>
        <w:sz w:val="19"/>
        <w:szCs w:val="19"/>
        <w:lang w:val="zh-CN" w:eastAsia="zh-CN" w:bidi="zh-CN"/>
      </w:rPr>
    </w:lvl>
    <w:lvl w:ilvl="3" w:tplc="8F66E834">
      <w:numFmt w:val="bullet"/>
      <w:lvlText w:val="•"/>
      <w:lvlJc w:val="left"/>
      <w:pPr>
        <w:ind w:left="3423" w:hanging="529"/>
      </w:pPr>
      <w:rPr>
        <w:rFonts w:hint="default"/>
        <w:lang w:val="zh-CN" w:eastAsia="zh-CN" w:bidi="zh-CN"/>
      </w:rPr>
    </w:lvl>
    <w:lvl w:ilvl="4" w:tplc="CBF055FE">
      <w:numFmt w:val="bullet"/>
      <w:lvlText w:val="•"/>
      <w:lvlJc w:val="left"/>
      <w:pPr>
        <w:ind w:left="4455" w:hanging="529"/>
      </w:pPr>
      <w:rPr>
        <w:rFonts w:hint="default"/>
        <w:lang w:val="zh-CN" w:eastAsia="zh-CN" w:bidi="zh-CN"/>
      </w:rPr>
    </w:lvl>
    <w:lvl w:ilvl="5" w:tplc="707CDB28">
      <w:numFmt w:val="bullet"/>
      <w:lvlText w:val="•"/>
      <w:lvlJc w:val="left"/>
      <w:pPr>
        <w:ind w:left="5487" w:hanging="529"/>
      </w:pPr>
      <w:rPr>
        <w:rFonts w:hint="default"/>
        <w:lang w:val="zh-CN" w:eastAsia="zh-CN" w:bidi="zh-CN"/>
      </w:rPr>
    </w:lvl>
    <w:lvl w:ilvl="6" w:tplc="20C20FD2">
      <w:numFmt w:val="bullet"/>
      <w:lvlText w:val="•"/>
      <w:lvlJc w:val="left"/>
      <w:pPr>
        <w:ind w:left="6519" w:hanging="529"/>
      </w:pPr>
      <w:rPr>
        <w:rFonts w:hint="default"/>
        <w:lang w:val="zh-CN" w:eastAsia="zh-CN" w:bidi="zh-CN"/>
      </w:rPr>
    </w:lvl>
    <w:lvl w:ilvl="7" w:tplc="33DE5034">
      <w:numFmt w:val="bullet"/>
      <w:lvlText w:val="•"/>
      <w:lvlJc w:val="left"/>
      <w:pPr>
        <w:ind w:left="7550" w:hanging="529"/>
      </w:pPr>
      <w:rPr>
        <w:rFonts w:hint="default"/>
        <w:lang w:val="zh-CN" w:eastAsia="zh-CN" w:bidi="zh-CN"/>
      </w:rPr>
    </w:lvl>
    <w:lvl w:ilvl="8" w:tplc="5D40CC3C">
      <w:numFmt w:val="bullet"/>
      <w:lvlText w:val="•"/>
      <w:lvlJc w:val="left"/>
      <w:pPr>
        <w:ind w:left="8582" w:hanging="529"/>
      </w:pPr>
      <w:rPr>
        <w:rFonts w:hint="default"/>
        <w:lang w:val="zh-CN" w:eastAsia="zh-CN" w:bidi="zh-CN"/>
      </w:rPr>
    </w:lvl>
  </w:abstractNum>
  <w:abstractNum w:abstractNumId="585" w15:restartNumberingAfterBreak="0">
    <w:nsid w:val="4E351DFB"/>
    <w:multiLevelType w:val="hybridMultilevel"/>
    <w:tmpl w:val="A54CC7FE"/>
    <w:lvl w:ilvl="0" w:tplc="FAA2B1BC">
      <w:start w:val="5"/>
      <w:numFmt w:val="decimal"/>
      <w:lvlText w:val="%1"/>
      <w:lvlJc w:val="left"/>
      <w:pPr>
        <w:ind w:left="1575" w:hanging="738"/>
        <w:jc w:val="left"/>
      </w:pPr>
      <w:rPr>
        <w:rFonts w:hint="default"/>
        <w:lang w:val="zh-CN" w:eastAsia="zh-CN" w:bidi="zh-CN"/>
      </w:rPr>
    </w:lvl>
    <w:lvl w:ilvl="1" w:tplc="1D2A1692">
      <w:start w:val="9"/>
      <w:numFmt w:val="decimal"/>
      <w:lvlText w:val="%1.%2"/>
      <w:lvlJc w:val="left"/>
      <w:pPr>
        <w:ind w:left="1575" w:hanging="738"/>
        <w:jc w:val="left"/>
      </w:pPr>
      <w:rPr>
        <w:rFonts w:hint="default"/>
        <w:lang w:val="zh-CN" w:eastAsia="zh-CN" w:bidi="zh-CN"/>
      </w:rPr>
    </w:lvl>
    <w:lvl w:ilvl="2" w:tplc="1D1E5724">
      <w:start w:val="6"/>
      <w:numFmt w:val="decimal"/>
      <w:lvlText w:val="%1.%2.%3"/>
      <w:lvlJc w:val="left"/>
      <w:pPr>
        <w:ind w:left="1575" w:hanging="738"/>
        <w:jc w:val="left"/>
      </w:pPr>
      <w:rPr>
        <w:rFonts w:hint="default"/>
        <w:lang w:val="zh-CN" w:eastAsia="zh-CN" w:bidi="zh-CN"/>
      </w:rPr>
    </w:lvl>
    <w:lvl w:ilvl="3" w:tplc="60D66352">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B75CDD1C">
      <w:numFmt w:val="bullet"/>
      <w:lvlText w:val="•"/>
      <w:lvlJc w:val="left"/>
      <w:pPr>
        <w:ind w:left="5206" w:hanging="738"/>
      </w:pPr>
      <w:rPr>
        <w:rFonts w:hint="default"/>
        <w:lang w:val="zh-CN" w:eastAsia="zh-CN" w:bidi="zh-CN"/>
      </w:rPr>
    </w:lvl>
    <w:lvl w:ilvl="5" w:tplc="361EAC56">
      <w:numFmt w:val="bullet"/>
      <w:lvlText w:val="•"/>
      <w:lvlJc w:val="left"/>
      <w:pPr>
        <w:ind w:left="6113" w:hanging="738"/>
      </w:pPr>
      <w:rPr>
        <w:rFonts w:hint="default"/>
        <w:lang w:val="zh-CN" w:eastAsia="zh-CN" w:bidi="zh-CN"/>
      </w:rPr>
    </w:lvl>
    <w:lvl w:ilvl="6" w:tplc="D11CA2E6">
      <w:numFmt w:val="bullet"/>
      <w:lvlText w:val="•"/>
      <w:lvlJc w:val="left"/>
      <w:pPr>
        <w:ind w:left="7019" w:hanging="738"/>
      </w:pPr>
      <w:rPr>
        <w:rFonts w:hint="default"/>
        <w:lang w:val="zh-CN" w:eastAsia="zh-CN" w:bidi="zh-CN"/>
      </w:rPr>
    </w:lvl>
    <w:lvl w:ilvl="7" w:tplc="DE24AEB6">
      <w:numFmt w:val="bullet"/>
      <w:lvlText w:val="•"/>
      <w:lvlJc w:val="left"/>
      <w:pPr>
        <w:ind w:left="7926" w:hanging="738"/>
      </w:pPr>
      <w:rPr>
        <w:rFonts w:hint="default"/>
        <w:lang w:val="zh-CN" w:eastAsia="zh-CN" w:bidi="zh-CN"/>
      </w:rPr>
    </w:lvl>
    <w:lvl w:ilvl="8" w:tplc="128C070C">
      <w:numFmt w:val="bullet"/>
      <w:lvlText w:val="•"/>
      <w:lvlJc w:val="left"/>
      <w:pPr>
        <w:ind w:left="8833" w:hanging="738"/>
      </w:pPr>
      <w:rPr>
        <w:rFonts w:hint="default"/>
        <w:lang w:val="zh-CN" w:eastAsia="zh-CN" w:bidi="zh-CN"/>
      </w:rPr>
    </w:lvl>
  </w:abstractNum>
  <w:abstractNum w:abstractNumId="586" w15:restartNumberingAfterBreak="0">
    <w:nsid w:val="4E5E21EF"/>
    <w:multiLevelType w:val="hybridMultilevel"/>
    <w:tmpl w:val="129AE2C6"/>
    <w:lvl w:ilvl="0" w:tplc="55BEBDA8">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61486B08">
      <w:numFmt w:val="bullet"/>
      <w:lvlText w:val="•"/>
      <w:lvlJc w:val="left"/>
      <w:pPr>
        <w:ind w:left="2288" w:hanging="529"/>
      </w:pPr>
      <w:rPr>
        <w:rFonts w:hint="default"/>
        <w:lang w:val="zh-CN" w:eastAsia="zh-CN" w:bidi="zh-CN"/>
      </w:rPr>
    </w:lvl>
    <w:lvl w:ilvl="2" w:tplc="74E60AEC">
      <w:numFmt w:val="bullet"/>
      <w:lvlText w:val="•"/>
      <w:lvlJc w:val="left"/>
      <w:pPr>
        <w:ind w:left="3217" w:hanging="529"/>
      </w:pPr>
      <w:rPr>
        <w:rFonts w:hint="default"/>
        <w:lang w:val="zh-CN" w:eastAsia="zh-CN" w:bidi="zh-CN"/>
      </w:rPr>
    </w:lvl>
    <w:lvl w:ilvl="3" w:tplc="3FDADE84">
      <w:numFmt w:val="bullet"/>
      <w:lvlText w:val="•"/>
      <w:lvlJc w:val="left"/>
      <w:pPr>
        <w:ind w:left="4145" w:hanging="529"/>
      </w:pPr>
      <w:rPr>
        <w:rFonts w:hint="default"/>
        <w:lang w:val="zh-CN" w:eastAsia="zh-CN" w:bidi="zh-CN"/>
      </w:rPr>
    </w:lvl>
    <w:lvl w:ilvl="4" w:tplc="1124127C">
      <w:numFmt w:val="bullet"/>
      <w:lvlText w:val="•"/>
      <w:lvlJc w:val="left"/>
      <w:pPr>
        <w:ind w:left="5074" w:hanging="529"/>
      </w:pPr>
      <w:rPr>
        <w:rFonts w:hint="default"/>
        <w:lang w:val="zh-CN" w:eastAsia="zh-CN" w:bidi="zh-CN"/>
      </w:rPr>
    </w:lvl>
    <w:lvl w:ilvl="5" w:tplc="8E32B4BE">
      <w:numFmt w:val="bullet"/>
      <w:lvlText w:val="•"/>
      <w:lvlJc w:val="left"/>
      <w:pPr>
        <w:ind w:left="6003" w:hanging="529"/>
      </w:pPr>
      <w:rPr>
        <w:rFonts w:hint="default"/>
        <w:lang w:val="zh-CN" w:eastAsia="zh-CN" w:bidi="zh-CN"/>
      </w:rPr>
    </w:lvl>
    <w:lvl w:ilvl="6" w:tplc="8FC4D29E">
      <w:numFmt w:val="bullet"/>
      <w:lvlText w:val="•"/>
      <w:lvlJc w:val="left"/>
      <w:pPr>
        <w:ind w:left="6931" w:hanging="529"/>
      </w:pPr>
      <w:rPr>
        <w:rFonts w:hint="default"/>
        <w:lang w:val="zh-CN" w:eastAsia="zh-CN" w:bidi="zh-CN"/>
      </w:rPr>
    </w:lvl>
    <w:lvl w:ilvl="7" w:tplc="B6929D9E">
      <w:numFmt w:val="bullet"/>
      <w:lvlText w:val="•"/>
      <w:lvlJc w:val="left"/>
      <w:pPr>
        <w:ind w:left="7860" w:hanging="529"/>
      </w:pPr>
      <w:rPr>
        <w:rFonts w:hint="default"/>
        <w:lang w:val="zh-CN" w:eastAsia="zh-CN" w:bidi="zh-CN"/>
      </w:rPr>
    </w:lvl>
    <w:lvl w:ilvl="8" w:tplc="29DAFF9E">
      <w:numFmt w:val="bullet"/>
      <w:lvlText w:val="•"/>
      <w:lvlJc w:val="left"/>
      <w:pPr>
        <w:ind w:left="8789" w:hanging="529"/>
      </w:pPr>
      <w:rPr>
        <w:rFonts w:hint="default"/>
        <w:lang w:val="zh-CN" w:eastAsia="zh-CN" w:bidi="zh-CN"/>
      </w:rPr>
    </w:lvl>
  </w:abstractNum>
  <w:abstractNum w:abstractNumId="587" w15:restartNumberingAfterBreak="0">
    <w:nsid w:val="4E665B52"/>
    <w:multiLevelType w:val="hybridMultilevel"/>
    <w:tmpl w:val="2D2E89C4"/>
    <w:lvl w:ilvl="0" w:tplc="B3A451A8">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2C925C26">
      <w:numFmt w:val="bullet"/>
      <w:lvlText w:val="•"/>
      <w:lvlJc w:val="left"/>
      <w:pPr>
        <w:ind w:left="2288" w:hanging="529"/>
      </w:pPr>
      <w:rPr>
        <w:rFonts w:hint="default"/>
        <w:lang w:val="zh-CN" w:eastAsia="zh-CN" w:bidi="zh-CN"/>
      </w:rPr>
    </w:lvl>
    <w:lvl w:ilvl="2" w:tplc="A0265C06">
      <w:numFmt w:val="bullet"/>
      <w:lvlText w:val="•"/>
      <w:lvlJc w:val="left"/>
      <w:pPr>
        <w:ind w:left="3217" w:hanging="529"/>
      </w:pPr>
      <w:rPr>
        <w:rFonts w:hint="default"/>
        <w:lang w:val="zh-CN" w:eastAsia="zh-CN" w:bidi="zh-CN"/>
      </w:rPr>
    </w:lvl>
    <w:lvl w:ilvl="3" w:tplc="AD46F52C">
      <w:numFmt w:val="bullet"/>
      <w:lvlText w:val="•"/>
      <w:lvlJc w:val="left"/>
      <w:pPr>
        <w:ind w:left="4145" w:hanging="529"/>
      </w:pPr>
      <w:rPr>
        <w:rFonts w:hint="default"/>
        <w:lang w:val="zh-CN" w:eastAsia="zh-CN" w:bidi="zh-CN"/>
      </w:rPr>
    </w:lvl>
    <w:lvl w:ilvl="4" w:tplc="28EC5446">
      <w:numFmt w:val="bullet"/>
      <w:lvlText w:val="•"/>
      <w:lvlJc w:val="left"/>
      <w:pPr>
        <w:ind w:left="5074" w:hanging="529"/>
      </w:pPr>
      <w:rPr>
        <w:rFonts w:hint="default"/>
        <w:lang w:val="zh-CN" w:eastAsia="zh-CN" w:bidi="zh-CN"/>
      </w:rPr>
    </w:lvl>
    <w:lvl w:ilvl="5" w:tplc="542CA8A4">
      <w:numFmt w:val="bullet"/>
      <w:lvlText w:val="•"/>
      <w:lvlJc w:val="left"/>
      <w:pPr>
        <w:ind w:left="6003" w:hanging="529"/>
      </w:pPr>
      <w:rPr>
        <w:rFonts w:hint="default"/>
        <w:lang w:val="zh-CN" w:eastAsia="zh-CN" w:bidi="zh-CN"/>
      </w:rPr>
    </w:lvl>
    <w:lvl w:ilvl="6" w:tplc="47F636AE">
      <w:numFmt w:val="bullet"/>
      <w:lvlText w:val="•"/>
      <w:lvlJc w:val="left"/>
      <w:pPr>
        <w:ind w:left="6931" w:hanging="529"/>
      </w:pPr>
      <w:rPr>
        <w:rFonts w:hint="default"/>
        <w:lang w:val="zh-CN" w:eastAsia="zh-CN" w:bidi="zh-CN"/>
      </w:rPr>
    </w:lvl>
    <w:lvl w:ilvl="7" w:tplc="422CF68E">
      <w:numFmt w:val="bullet"/>
      <w:lvlText w:val="•"/>
      <w:lvlJc w:val="left"/>
      <w:pPr>
        <w:ind w:left="7860" w:hanging="529"/>
      </w:pPr>
      <w:rPr>
        <w:rFonts w:hint="default"/>
        <w:lang w:val="zh-CN" w:eastAsia="zh-CN" w:bidi="zh-CN"/>
      </w:rPr>
    </w:lvl>
    <w:lvl w:ilvl="8" w:tplc="316089A8">
      <w:numFmt w:val="bullet"/>
      <w:lvlText w:val="•"/>
      <w:lvlJc w:val="left"/>
      <w:pPr>
        <w:ind w:left="8789" w:hanging="529"/>
      </w:pPr>
      <w:rPr>
        <w:rFonts w:hint="default"/>
        <w:lang w:val="zh-CN" w:eastAsia="zh-CN" w:bidi="zh-CN"/>
      </w:rPr>
    </w:lvl>
  </w:abstractNum>
  <w:abstractNum w:abstractNumId="588" w15:restartNumberingAfterBreak="0">
    <w:nsid w:val="4E916713"/>
    <w:multiLevelType w:val="hybridMultilevel"/>
    <w:tmpl w:val="380E0008"/>
    <w:lvl w:ilvl="0" w:tplc="769E2DE4">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F2BE2396">
      <w:numFmt w:val="bullet"/>
      <w:lvlText w:val="•"/>
      <w:lvlJc w:val="left"/>
      <w:pPr>
        <w:ind w:left="1442" w:hanging="529"/>
      </w:pPr>
      <w:rPr>
        <w:rFonts w:hint="default"/>
        <w:lang w:val="zh-CN" w:eastAsia="zh-CN" w:bidi="zh-CN"/>
      </w:rPr>
    </w:lvl>
    <w:lvl w:ilvl="2" w:tplc="AF54BA7A">
      <w:numFmt w:val="bullet"/>
      <w:lvlText w:val="•"/>
      <w:lvlJc w:val="left"/>
      <w:pPr>
        <w:ind w:left="2465" w:hanging="529"/>
      </w:pPr>
      <w:rPr>
        <w:rFonts w:hint="default"/>
        <w:lang w:val="zh-CN" w:eastAsia="zh-CN" w:bidi="zh-CN"/>
      </w:rPr>
    </w:lvl>
    <w:lvl w:ilvl="3" w:tplc="5B9843A6">
      <w:numFmt w:val="bullet"/>
      <w:lvlText w:val="•"/>
      <w:lvlJc w:val="left"/>
      <w:pPr>
        <w:ind w:left="3487" w:hanging="529"/>
      </w:pPr>
      <w:rPr>
        <w:rFonts w:hint="default"/>
        <w:lang w:val="zh-CN" w:eastAsia="zh-CN" w:bidi="zh-CN"/>
      </w:rPr>
    </w:lvl>
    <w:lvl w:ilvl="4" w:tplc="C11E26D6">
      <w:numFmt w:val="bullet"/>
      <w:lvlText w:val="•"/>
      <w:lvlJc w:val="left"/>
      <w:pPr>
        <w:ind w:left="4510" w:hanging="529"/>
      </w:pPr>
      <w:rPr>
        <w:rFonts w:hint="default"/>
        <w:lang w:val="zh-CN" w:eastAsia="zh-CN" w:bidi="zh-CN"/>
      </w:rPr>
    </w:lvl>
    <w:lvl w:ilvl="5" w:tplc="48D44A12">
      <w:numFmt w:val="bullet"/>
      <w:lvlText w:val="•"/>
      <w:lvlJc w:val="left"/>
      <w:pPr>
        <w:ind w:left="5533" w:hanging="529"/>
      </w:pPr>
      <w:rPr>
        <w:rFonts w:hint="default"/>
        <w:lang w:val="zh-CN" w:eastAsia="zh-CN" w:bidi="zh-CN"/>
      </w:rPr>
    </w:lvl>
    <w:lvl w:ilvl="6" w:tplc="FBD22F62">
      <w:numFmt w:val="bullet"/>
      <w:lvlText w:val="•"/>
      <w:lvlJc w:val="left"/>
      <w:pPr>
        <w:ind w:left="6555" w:hanging="529"/>
      </w:pPr>
      <w:rPr>
        <w:rFonts w:hint="default"/>
        <w:lang w:val="zh-CN" w:eastAsia="zh-CN" w:bidi="zh-CN"/>
      </w:rPr>
    </w:lvl>
    <w:lvl w:ilvl="7" w:tplc="4F3ABE50">
      <w:numFmt w:val="bullet"/>
      <w:lvlText w:val="•"/>
      <w:lvlJc w:val="left"/>
      <w:pPr>
        <w:ind w:left="7578" w:hanging="529"/>
      </w:pPr>
      <w:rPr>
        <w:rFonts w:hint="default"/>
        <w:lang w:val="zh-CN" w:eastAsia="zh-CN" w:bidi="zh-CN"/>
      </w:rPr>
    </w:lvl>
    <w:lvl w:ilvl="8" w:tplc="A4B092BA">
      <w:numFmt w:val="bullet"/>
      <w:lvlText w:val="•"/>
      <w:lvlJc w:val="left"/>
      <w:pPr>
        <w:ind w:left="8601" w:hanging="529"/>
      </w:pPr>
      <w:rPr>
        <w:rFonts w:hint="default"/>
        <w:lang w:val="zh-CN" w:eastAsia="zh-CN" w:bidi="zh-CN"/>
      </w:rPr>
    </w:lvl>
  </w:abstractNum>
  <w:abstractNum w:abstractNumId="589" w15:restartNumberingAfterBreak="0">
    <w:nsid w:val="4EA25F6F"/>
    <w:multiLevelType w:val="hybridMultilevel"/>
    <w:tmpl w:val="F9FCF9BA"/>
    <w:lvl w:ilvl="0" w:tplc="E01E769A">
      <w:start w:val="10"/>
      <w:numFmt w:val="decimal"/>
      <w:lvlText w:val="%1"/>
      <w:lvlJc w:val="left"/>
      <w:pPr>
        <w:ind w:left="1265" w:hanging="425"/>
        <w:jc w:val="left"/>
      </w:pPr>
      <w:rPr>
        <w:rFonts w:hint="default"/>
        <w:lang w:val="zh-CN" w:eastAsia="zh-CN" w:bidi="zh-CN"/>
      </w:rPr>
    </w:lvl>
    <w:lvl w:ilvl="1" w:tplc="97CCEF22">
      <w:start w:val="1"/>
      <w:numFmt w:val="decimal"/>
      <w:lvlText w:val="%1.%2"/>
      <w:lvlJc w:val="left"/>
      <w:pPr>
        <w:ind w:left="1265" w:hanging="425"/>
        <w:jc w:val="left"/>
      </w:pPr>
      <w:rPr>
        <w:rFonts w:ascii="宋体" w:eastAsia="宋体" w:hAnsi="宋体" w:cs="宋体" w:hint="default"/>
        <w:b/>
        <w:bCs/>
        <w:w w:val="99"/>
        <w:sz w:val="19"/>
        <w:szCs w:val="19"/>
        <w:lang w:val="zh-CN" w:eastAsia="zh-CN" w:bidi="zh-CN"/>
      </w:rPr>
    </w:lvl>
    <w:lvl w:ilvl="2" w:tplc="95E60034">
      <w:start w:val="1"/>
      <w:numFmt w:val="decimal"/>
      <w:lvlText w:val="%1.%2.%3"/>
      <w:lvlJc w:val="left"/>
      <w:pPr>
        <w:ind w:left="418" w:hanging="689"/>
        <w:jc w:val="left"/>
      </w:pPr>
      <w:rPr>
        <w:rFonts w:ascii="宋体" w:eastAsia="宋体" w:hAnsi="宋体" w:cs="宋体" w:hint="default"/>
        <w:b/>
        <w:bCs/>
        <w:w w:val="99"/>
        <w:sz w:val="21"/>
        <w:szCs w:val="21"/>
        <w:lang w:val="zh-CN" w:eastAsia="zh-CN" w:bidi="zh-CN"/>
      </w:rPr>
    </w:lvl>
    <w:lvl w:ilvl="3" w:tplc="2A4AD5AC">
      <w:numFmt w:val="bullet"/>
      <w:lvlText w:val="•"/>
      <w:lvlJc w:val="left"/>
      <w:pPr>
        <w:ind w:left="1520" w:hanging="689"/>
      </w:pPr>
      <w:rPr>
        <w:rFonts w:hint="default"/>
        <w:lang w:val="zh-CN" w:eastAsia="zh-CN" w:bidi="zh-CN"/>
      </w:rPr>
    </w:lvl>
    <w:lvl w:ilvl="4" w:tplc="D37262AC">
      <w:numFmt w:val="bullet"/>
      <w:lvlText w:val="•"/>
      <w:lvlJc w:val="left"/>
      <w:pPr>
        <w:ind w:left="2823" w:hanging="689"/>
      </w:pPr>
      <w:rPr>
        <w:rFonts w:hint="default"/>
        <w:lang w:val="zh-CN" w:eastAsia="zh-CN" w:bidi="zh-CN"/>
      </w:rPr>
    </w:lvl>
    <w:lvl w:ilvl="5" w:tplc="DA2C6F9A">
      <w:numFmt w:val="bullet"/>
      <w:lvlText w:val="•"/>
      <w:lvlJc w:val="left"/>
      <w:pPr>
        <w:ind w:left="4127" w:hanging="689"/>
      </w:pPr>
      <w:rPr>
        <w:rFonts w:hint="default"/>
        <w:lang w:val="zh-CN" w:eastAsia="zh-CN" w:bidi="zh-CN"/>
      </w:rPr>
    </w:lvl>
    <w:lvl w:ilvl="6" w:tplc="E19A8A84">
      <w:numFmt w:val="bullet"/>
      <w:lvlText w:val="•"/>
      <w:lvlJc w:val="left"/>
      <w:pPr>
        <w:ind w:left="5431" w:hanging="689"/>
      </w:pPr>
      <w:rPr>
        <w:rFonts w:hint="default"/>
        <w:lang w:val="zh-CN" w:eastAsia="zh-CN" w:bidi="zh-CN"/>
      </w:rPr>
    </w:lvl>
    <w:lvl w:ilvl="7" w:tplc="7054E6BE">
      <w:numFmt w:val="bullet"/>
      <w:lvlText w:val="•"/>
      <w:lvlJc w:val="left"/>
      <w:pPr>
        <w:ind w:left="6735" w:hanging="689"/>
      </w:pPr>
      <w:rPr>
        <w:rFonts w:hint="default"/>
        <w:lang w:val="zh-CN" w:eastAsia="zh-CN" w:bidi="zh-CN"/>
      </w:rPr>
    </w:lvl>
    <w:lvl w:ilvl="8" w:tplc="93522A48">
      <w:numFmt w:val="bullet"/>
      <w:lvlText w:val="•"/>
      <w:lvlJc w:val="left"/>
      <w:pPr>
        <w:ind w:left="8038" w:hanging="689"/>
      </w:pPr>
      <w:rPr>
        <w:rFonts w:hint="default"/>
        <w:lang w:val="zh-CN" w:eastAsia="zh-CN" w:bidi="zh-CN"/>
      </w:rPr>
    </w:lvl>
  </w:abstractNum>
  <w:abstractNum w:abstractNumId="590" w15:restartNumberingAfterBreak="0">
    <w:nsid w:val="4EB13446"/>
    <w:multiLevelType w:val="hybridMultilevel"/>
    <w:tmpl w:val="4ACE1F1E"/>
    <w:lvl w:ilvl="0" w:tplc="2C52B6B8">
      <w:start w:val="6"/>
      <w:numFmt w:val="decimal"/>
      <w:lvlText w:val="%1"/>
      <w:lvlJc w:val="left"/>
      <w:pPr>
        <w:ind w:left="1158" w:hanging="318"/>
        <w:jc w:val="left"/>
      </w:pPr>
      <w:rPr>
        <w:rFonts w:hint="default"/>
        <w:lang w:val="zh-CN" w:eastAsia="zh-CN" w:bidi="zh-CN"/>
      </w:rPr>
    </w:lvl>
    <w:lvl w:ilvl="1" w:tplc="5DC263B0">
      <w:start w:val="4"/>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CCA0C6B4">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A2566BDA">
      <w:numFmt w:val="bullet"/>
      <w:lvlText w:val="•"/>
      <w:lvlJc w:val="left"/>
      <w:pPr>
        <w:ind w:left="2538" w:hanging="531"/>
      </w:pPr>
      <w:rPr>
        <w:rFonts w:hint="default"/>
        <w:lang w:val="zh-CN" w:eastAsia="zh-CN" w:bidi="zh-CN"/>
      </w:rPr>
    </w:lvl>
    <w:lvl w:ilvl="4" w:tplc="EC9A66F8">
      <w:numFmt w:val="bullet"/>
      <w:lvlText w:val="•"/>
      <w:lvlJc w:val="left"/>
      <w:pPr>
        <w:ind w:left="3696" w:hanging="531"/>
      </w:pPr>
      <w:rPr>
        <w:rFonts w:hint="default"/>
        <w:lang w:val="zh-CN" w:eastAsia="zh-CN" w:bidi="zh-CN"/>
      </w:rPr>
    </w:lvl>
    <w:lvl w:ilvl="5" w:tplc="99640634">
      <w:numFmt w:val="bullet"/>
      <w:lvlText w:val="•"/>
      <w:lvlJc w:val="left"/>
      <w:pPr>
        <w:ind w:left="4854" w:hanging="531"/>
      </w:pPr>
      <w:rPr>
        <w:rFonts w:hint="default"/>
        <w:lang w:val="zh-CN" w:eastAsia="zh-CN" w:bidi="zh-CN"/>
      </w:rPr>
    </w:lvl>
    <w:lvl w:ilvl="6" w:tplc="3C3C2B70">
      <w:numFmt w:val="bullet"/>
      <w:lvlText w:val="•"/>
      <w:lvlJc w:val="left"/>
      <w:pPr>
        <w:ind w:left="6013" w:hanging="531"/>
      </w:pPr>
      <w:rPr>
        <w:rFonts w:hint="default"/>
        <w:lang w:val="zh-CN" w:eastAsia="zh-CN" w:bidi="zh-CN"/>
      </w:rPr>
    </w:lvl>
    <w:lvl w:ilvl="7" w:tplc="DCCAE904">
      <w:numFmt w:val="bullet"/>
      <w:lvlText w:val="•"/>
      <w:lvlJc w:val="left"/>
      <w:pPr>
        <w:ind w:left="7171" w:hanging="531"/>
      </w:pPr>
      <w:rPr>
        <w:rFonts w:hint="default"/>
        <w:lang w:val="zh-CN" w:eastAsia="zh-CN" w:bidi="zh-CN"/>
      </w:rPr>
    </w:lvl>
    <w:lvl w:ilvl="8" w:tplc="DFC6542C">
      <w:numFmt w:val="bullet"/>
      <w:lvlText w:val="•"/>
      <w:lvlJc w:val="left"/>
      <w:pPr>
        <w:ind w:left="8329" w:hanging="531"/>
      </w:pPr>
      <w:rPr>
        <w:rFonts w:hint="default"/>
        <w:lang w:val="zh-CN" w:eastAsia="zh-CN" w:bidi="zh-CN"/>
      </w:rPr>
    </w:lvl>
  </w:abstractNum>
  <w:abstractNum w:abstractNumId="591" w15:restartNumberingAfterBreak="0">
    <w:nsid w:val="4EC52C91"/>
    <w:multiLevelType w:val="hybridMultilevel"/>
    <w:tmpl w:val="C78A8210"/>
    <w:lvl w:ilvl="0" w:tplc="22CC529E">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CA92D492">
      <w:numFmt w:val="bullet"/>
      <w:lvlText w:val="•"/>
      <w:lvlJc w:val="left"/>
      <w:pPr>
        <w:ind w:left="2288" w:hanging="529"/>
      </w:pPr>
      <w:rPr>
        <w:rFonts w:hint="default"/>
        <w:lang w:val="zh-CN" w:eastAsia="zh-CN" w:bidi="zh-CN"/>
      </w:rPr>
    </w:lvl>
    <w:lvl w:ilvl="2" w:tplc="7B38B32E">
      <w:numFmt w:val="bullet"/>
      <w:lvlText w:val="•"/>
      <w:lvlJc w:val="left"/>
      <w:pPr>
        <w:ind w:left="3217" w:hanging="529"/>
      </w:pPr>
      <w:rPr>
        <w:rFonts w:hint="default"/>
        <w:lang w:val="zh-CN" w:eastAsia="zh-CN" w:bidi="zh-CN"/>
      </w:rPr>
    </w:lvl>
    <w:lvl w:ilvl="3" w:tplc="60A2895E">
      <w:numFmt w:val="bullet"/>
      <w:lvlText w:val="•"/>
      <w:lvlJc w:val="left"/>
      <w:pPr>
        <w:ind w:left="4145" w:hanging="529"/>
      </w:pPr>
      <w:rPr>
        <w:rFonts w:hint="default"/>
        <w:lang w:val="zh-CN" w:eastAsia="zh-CN" w:bidi="zh-CN"/>
      </w:rPr>
    </w:lvl>
    <w:lvl w:ilvl="4" w:tplc="851C2A48">
      <w:numFmt w:val="bullet"/>
      <w:lvlText w:val="•"/>
      <w:lvlJc w:val="left"/>
      <w:pPr>
        <w:ind w:left="5074" w:hanging="529"/>
      </w:pPr>
      <w:rPr>
        <w:rFonts w:hint="default"/>
        <w:lang w:val="zh-CN" w:eastAsia="zh-CN" w:bidi="zh-CN"/>
      </w:rPr>
    </w:lvl>
    <w:lvl w:ilvl="5" w:tplc="89FE5650">
      <w:numFmt w:val="bullet"/>
      <w:lvlText w:val="•"/>
      <w:lvlJc w:val="left"/>
      <w:pPr>
        <w:ind w:left="6003" w:hanging="529"/>
      </w:pPr>
      <w:rPr>
        <w:rFonts w:hint="default"/>
        <w:lang w:val="zh-CN" w:eastAsia="zh-CN" w:bidi="zh-CN"/>
      </w:rPr>
    </w:lvl>
    <w:lvl w:ilvl="6" w:tplc="BB0A1444">
      <w:numFmt w:val="bullet"/>
      <w:lvlText w:val="•"/>
      <w:lvlJc w:val="left"/>
      <w:pPr>
        <w:ind w:left="6931" w:hanging="529"/>
      </w:pPr>
      <w:rPr>
        <w:rFonts w:hint="default"/>
        <w:lang w:val="zh-CN" w:eastAsia="zh-CN" w:bidi="zh-CN"/>
      </w:rPr>
    </w:lvl>
    <w:lvl w:ilvl="7" w:tplc="F4FE67C8">
      <w:numFmt w:val="bullet"/>
      <w:lvlText w:val="•"/>
      <w:lvlJc w:val="left"/>
      <w:pPr>
        <w:ind w:left="7860" w:hanging="529"/>
      </w:pPr>
      <w:rPr>
        <w:rFonts w:hint="default"/>
        <w:lang w:val="zh-CN" w:eastAsia="zh-CN" w:bidi="zh-CN"/>
      </w:rPr>
    </w:lvl>
    <w:lvl w:ilvl="8" w:tplc="027EEB34">
      <w:numFmt w:val="bullet"/>
      <w:lvlText w:val="•"/>
      <w:lvlJc w:val="left"/>
      <w:pPr>
        <w:ind w:left="8789" w:hanging="529"/>
      </w:pPr>
      <w:rPr>
        <w:rFonts w:hint="default"/>
        <w:lang w:val="zh-CN" w:eastAsia="zh-CN" w:bidi="zh-CN"/>
      </w:rPr>
    </w:lvl>
  </w:abstractNum>
  <w:abstractNum w:abstractNumId="592" w15:restartNumberingAfterBreak="0">
    <w:nsid w:val="4EE84DA5"/>
    <w:multiLevelType w:val="hybridMultilevel"/>
    <w:tmpl w:val="F258C8EA"/>
    <w:lvl w:ilvl="0" w:tplc="31A27D6E">
      <w:start w:val="4"/>
      <w:numFmt w:val="decimal"/>
      <w:lvlText w:val="%1"/>
      <w:lvlJc w:val="left"/>
      <w:pPr>
        <w:ind w:left="418" w:hanging="529"/>
        <w:jc w:val="left"/>
      </w:pPr>
      <w:rPr>
        <w:rFonts w:hint="default"/>
        <w:lang w:val="zh-CN" w:eastAsia="zh-CN" w:bidi="zh-CN"/>
      </w:rPr>
    </w:lvl>
    <w:lvl w:ilvl="1" w:tplc="82FC857E">
      <w:start w:val="2"/>
      <w:numFmt w:val="decimal"/>
      <w:lvlText w:val="%1.%2"/>
      <w:lvlJc w:val="left"/>
      <w:pPr>
        <w:ind w:left="418" w:hanging="529"/>
        <w:jc w:val="left"/>
      </w:pPr>
      <w:rPr>
        <w:rFonts w:hint="default"/>
        <w:lang w:val="zh-CN" w:eastAsia="zh-CN" w:bidi="zh-CN"/>
      </w:rPr>
    </w:lvl>
    <w:lvl w:ilvl="2" w:tplc="BBE01D90">
      <w:start w:val="6"/>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7F1CD7BA">
      <w:numFmt w:val="bullet"/>
      <w:lvlText w:val="•"/>
      <w:lvlJc w:val="left"/>
      <w:pPr>
        <w:ind w:left="3487" w:hanging="529"/>
      </w:pPr>
      <w:rPr>
        <w:rFonts w:hint="default"/>
        <w:lang w:val="zh-CN" w:eastAsia="zh-CN" w:bidi="zh-CN"/>
      </w:rPr>
    </w:lvl>
    <w:lvl w:ilvl="4" w:tplc="9C283EF8">
      <w:numFmt w:val="bullet"/>
      <w:lvlText w:val="•"/>
      <w:lvlJc w:val="left"/>
      <w:pPr>
        <w:ind w:left="4510" w:hanging="529"/>
      </w:pPr>
      <w:rPr>
        <w:rFonts w:hint="default"/>
        <w:lang w:val="zh-CN" w:eastAsia="zh-CN" w:bidi="zh-CN"/>
      </w:rPr>
    </w:lvl>
    <w:lvl w:ilvl="5" w:tplc="32B6DF9A">
      <w:numFmt w:val="bullet"/>
      <w:lvlText w:val="•"/>
      <w:lvlJc w:val="left"/>
      <w:pPr>
        <w:ind w:left="5533" w:hanging="529"/>
      </w:pPr>
      <w:rPr>
        <w:rFonts w:hint="default"/>
        <w:lang w:val="zh-CN" w:eastAsia="zh-CN" w:bidi="zh-CN"/>
      </w:rPr>
    </w:lvl>
    <w:lvl w:ilvl="6" w:tplc="D70A230C">
      <w:numFmt w:val="bullet"/>
      <w:lvlText w:val="•"/>
      <w:lvlJc w:val="left"/>
      <w:pPr>
        <w:ind w:left="6555" w:hanging="529"/>
      </w:pPr>
      <w:rPr>
        <w:rFonts w:hint="default"/>
        <w:lang w:val="zh-CN" w:eastAsia="zh-CN" w:bidi="zh-CN"/>
      </w:rPr>
    </w:lvl>
    <w:lvl w:ilvl="7" w:tplc="10443C76">
      <w:numFmt w:val="bullet"/>
      <w:lvlText w:val="•"/>
      <w:lvlJc w:val="left"/>
      <w:pPr>
        <w:ind w:left="7578" w:hanging="529"/>
      </w:pPr>
      <w:rPr>
        <w:rFonts w:hint="default"/>
        <w:lang w:val="zh-CN" w:eastAsia="zh-CN" w:bidi="zh-CN"/>
      </w:rPr>
    </w:lvl>
    <w:lvl w:ilvl="8" w:tplc="F9F61FFE">
      <w:numFmt w:val="bullet"/>
      <w:lvlText w:val="•"/>
      <w:lvlJc w:val="left"/>
      <w:pPr>
        <w:ind w:left="8601" w:hanging="529"/>
      </w:pPr>
      <w:rPr>
        <w:rFonts w:hint="default"/>
        <w:lang w:val="zh-CN" w:eastAsia="zh-CN" w:bidi="zh-CN"/>
      </w:rPr>
    </w:lvl>
  </w:abstractNum>
  <w:abstractNum w:abstractNumId="593" w15:restartNumberingAfterBreak="0">
    <w:nsid w:val="4EF84ABC"/>
    <w:multiLevelType w:val="hybridMultilevel"/>
    <w:tmpl w:val="909893DA"/>
    <w:lvl w:ilvl="0" w:tplc="9BF0B1A6">
      <w:start w:val="6"/>
      <w:numFmt w:val="decimal"/>
      <w:lvlText w:val="%1"/>
      <w:lvlJc w:val="left"/>
      <w:pPr>
        <w:ind w:left="1158" w:hanging="318"/>
        <w:jc w:val="left"/>
      </w:pPr>
      <w:rPr>
        <w:rFonts w:hint="default"/>
        <w:lang w:val="zh-CN" w:eastAsia="zh-CN" w:bidi="zh-CN"/>
      </w:rPr>
    </w:lvl>
    <w:lvl w:ilvl="1" w:tplc="9F5E462C">
      <w:start w:val="3"/>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87E6FE7C">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795C339E">
      <w:numFmt w:val="bullet"/>
      <w:lvlText w:val="•"/>
      <w:lvlJc w:val="left"/>
      <w:pPr>
        <w:ind w:left="3268" w:hanging="529"/>
      </w:pPr>
      <w:rPr>
        <w:rFonts w:hint="default"/>
        <w:lang w:val="zh-CN" w:eastAsia="zh-CN" w:bidi="zh-CN"/>
      </w:rPr>
    </w:lvl>
    <w:lvl w:ilvl="4" w:tplc="7F068CFC">
      <w:numFmt w:val="bullet"/>
      <w:lvlText w:val="•"/>
      <w:lvlJc w:val="left"/>
      <w:pPr>
        <w:ind w:left="4322" w:hanging="529"/>
      </w:pPr>
      <w:rPr>
        <w:rFonts w:hint="default"/>
        <w:lang w:val="zh-CN" w:eastAsia="zh-CN" w:bidi="zh-CN"/>
      </w:rPr>
    </w:lvl>
    <w:lvl w:ilvl="5" w:tplc="396403CA">
      <w:numFmt w:val="bullet"/>
      <w:lvlText w:val="•"/>
      <w:lvlJc w:val="left"/>
      <w:pPr>
        <w:ind w:left="5376" w:hanging="529"/>
      </w:pPr>
      <w:rPr>
        <w:rFonts w:hint="default"/>
        <w:lang w:val="zh-CN" w:eastAsia="zh-CN" w:bidi="zh-CN"/>
      </w:rPr>
    </w:lvl>
    <w:lvl w:ilvl="6" w:tplc="BE08AA18">
      <w:numFmt w:val="bullet"/>
      <w:lvlText w:val="•"/>
      <w:lvlJc w:val="left"/>
      <w:pPr>
        <w:ind w:left="6430" w:hanging="529"/>
      </w:pPr>
      <w:rPr>
        <w:rFonts w:hint="default"/>
        <w:lang w:val="zh-CN" w:eastAsia="zh-CN" w:bidi="zh-CN"/>
      </w:rPr>
    </w:lvl>
    <w:lvl w:ilvl="7" w:tplc="C758FF96">
      <w:numFmt w:val="bullet"/>
      <w:lvlText w:val="•"/>
      <w:lvlJc w:val="left"/>
      <w:pPr>
        <w:ind w:left="7484" w:hanging="529"/>
      </w:pPr>
      <w:rPr>
        <w:rFonts w:hint="default"/>
        <w:lang w:val="zh-CN" w:eastAsia="zh-CN" w:bidi="zh-CN"/>
      </w:rPr>
    </w:lvl>
    <w:lvl w:ilvl="8" w:tplc="D04477B6">
      <w:numFmt w:val="bullet"/>
      <w:lvlText w:val="•"/>
      <w:lvlJc w:val="left"/>
      <w:pPr>
        <w:ind w:left="8538" w:hanging="529"/>
      </w:pPr>
      <w:rPr>
        <w:rFonts w:hint="default"/>
        <w:lang w:val="zh-CN" w:eastAsia="zh-CN" w:bidi="zh-CN"/>
      </w:rPr>
    </w:lvl>
  </w:abstractNum>
  <w:abstractNum w:abstractNumId="594" w15:restartNumberingAfterBreak="0">
    <w:nsid w:val="4F4140B8"/>
    <w:multiLevelType w:val="hybridMultilevel"/>
    <w:tmpl w:val="0BA89744"/>
    <w:lvl w:ilvl="0" w:tplc="8E14070A">
      <w:start w:val="9"/>
      <w:numFmt w:val="decimal"/>
      <w:lvlText w:val="%1"/>
      <w:lvlJc w:val="left"/>
      <w:pPr>
        <w:ind w:left="1158" w:hanging="318"/>
        <w:jc w:val="left"/>
      </w:pPr>
      <w:rPr>
        <w:rFonts w:hint="default"/>
        <w:lang w:val="zh-CN" w:eastAsia="zh-CN" w:bidi="zh-CN"/>
      </w:rPr>
    </w:lvl>
    <w:lvl w:ilvl="1" w:tplc="841A61A4">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40DEDAF8">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12B03A54">
      <w:numFmt w:val="bullet"/>
      <w:lvlText w:val="•"/>
      <w:lvlJc w:val="left"/>
      <w:pPr>
        <w:ind w:left="2520" w:hanging="529"/>
      </w:pPr>
      <w:rPr>
        <w:rFonts w:hint="default"/>
        <w:lang w:val="zh-CN" w:eastAsia="zh-CN" w:bidi="zh-CN"/>
      </w:rPr>
    </w:lvl>
    <w:lvl w:ilvl="4" w:tplc="F7AE69F0">
      <w:numFmt w:val="bullet"/>
      <w:lvlText w:val="•"/>
      <w:lvlJc w:val="left"/>
      <w:pPr>
        <w:ind w:left="3681" w:hanging="529"/>
      </w:pPr>
      <w:rPr>
        <w:rFonts w:hint="default"/>
        <w:lang w:val="zh-CN" w:eastAsia="zh-CN" w:bidi="zh-CN"/>
      </w:rPr>
    </w:lvl>
    <w:lvl w:ilvl="5" w:tplc="AF049E66">
      <w:numFmt w:val="bullet"/>
      <w:lvlText w:val="•"/>
      <w:lvlJc w:val="left"/>
      <w:pPr>
        <w:ind w:left="4842" w:hanging="529"/>
      </w:pPr>
      <w:rPr>
        <w:rFonts w:hint="default"/>
        <w:lang w:val="zh-CN" w:eastAsia="zh-CN" w:bidi="zh-CN"/>
      </w:rPr>
    </w:lvl>
    <w:lvl w:ilvl="6" w:tplc="2C5C4928">
      <w:numFmt w:val="bullet"/>
      <w:lvlText w:val="•"/>
      <w:lvlJc w:val="left"/>
      <w:pPr>
        <w:ind w:left="6003" w:hanging="529"/>
      </w:pPr>
      <w:rPr>
        <w:rFonts w:hint="default"/>
        <w:lang w:val="zh-CN" w:eastAsia="zh-CN" w:bidi="zh-CN"/>
      </w:rPr>
    </w:lvl>
    <w:lvl w:ilvl="7" w:tplc="D7F0C24E">
      <w:numFmt w:val="bullet"/>
      <w:lvlText w:val="•"/>
      <w:lvlJc w:val="left"/>
      <w:pPr>
        <w:ind w:left="7164" w:hanging="529"/>
      </w:pPr>
      <w:rPr>
        <w:rFonts w:hint="default"/>
        <w:lang w:val="zh-CN" w:eastAsia="zh-CN" w:bidi="zh-CN"/>
      </w:rPr>
    </w:lvl>
    <w:lvl w:ilvl="8" w:tplc="E550E314">
      <w:numFmt w:val="bullet"/>
      <w:lvlText w:val="•"/>
      <w:lvlJc w:val="left"/>
      <w:pPr>
        <w:ind w:left="8324" w:hanging="529"/>
      </w:pPr>
      <w:rPr>
        <w:rFonts w:hint="default"/>
        <w:lang w:val="zh-CN" w:eastAsia="zh-CN" w:bidi="zh-CN"/>
      </w:rPr>
    </w:lvl>
  </w:abstractNum>
  <w:abstractNum w:abstractNumId="595" w15:restartNumberingAfterBreak="0">
    <w:nsid w:val="4F522FE3"/>
    <w:multiLevelType w:val="hybridMultilevel"/>
    <w:tmpl w:val="AC1E9D48"/>
    <w:lvl w:ilvl="0" w:tplc="5D4EECF6">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40545840">
      <w:numFmt w:val="bullet"/>
      <w:lvlText w:val="•"/>
      <w:lvlJc w:val="left"/>
      <w:pPr>
        <w:ind w:left="2288" w:hanging="529"/>
      </w:pPr>
      <w:rPr>
        <w:rFonts w:hint="default"/>
        <w:lang w:val="zh-CN" w:eastAsia="zh-CN" w:bidi="zh-CN"/>
      </w:rPr>
    </w:lvl>
    <w:lvl w:ilvl="2" w:tplc="E698EB8A">
      <w:numFmt w:val="bullet"/>
      <w:lvlText w:val="•"/>
      <w:lvlJc w:val="left"/>
      <w:pPr>
        <w:ind w:left="3217" w:hanging="529"/>
      </w:pPr>
      <w:rPr>
        <w:rFonts w:hint="default"/>
        <w:lang w:val="zh-CN" w:eastAsia="zh-CN" w:bidi="zh-CN"/>
      </w:rPr>
    </w:lvl>
    <w:lvl w:ilvl="3" w:tplc="C6AADB16">
      <w:numFmt w:val="bullet"/>
      <w:lvlText w:val="•"/>
      <w:lvlJc w:val="left"/>
      <w:pPr>
        <w:ind w:left="4145" w:hanging="529"/>
      </w:pPr>
      <w:rPr>
        <w:rFonts w:hint="default"/>
        <w:lang w:val="zh-CN" w:eastAsia="zh-CN" w:bidi="zh-CN"/>
      </w:rPr>
    </w:lvl>
    <w:lvl w:ilvl="4" w:tplc="9C725F4A">
      <w:numFmt w:val="bullet"/>
      <w:lvlText w:val="•"/>
      <w:lvlJc w:val="left"/>
      <w:pPr>
        <w:ind w:left="5074" w:hanging="529"/>
      </w:pPr>
      <w:rPr>
        <w:rFonts w:hint="default"/>
        <w:lang w:val="zh-CN" w:eastAsia="zh-CN" w:bidi="zh-CN"/>
      </w:rPr>
    </w:lvl>
    <w:lvl w:ilvl="5" w:tplc="0F50E2F4">
      <w:numFmt w:val="bullet"/>
      <w:lvlText w:val="•"/>
      <w:lvlJc w:val="left"/>
      <w:pPr>
        <w:ind w:left="6003" w:hanging="529"/>
      </w:pPr>
      <w:rPr>
        <w:rFonts w:hint="default"/>
        <w:lang w:val="zh-CN" w:eastAsia="zh-CN" w:bidi="zh-CN"/>
      </w:rPr>
    </w:lvl>
    <w:lvl w:ilvl="6" w:tplc="29CCE6BC">
      <w:numFmt w:val="bullet"/>
      <w:lvlText w:val="•"/>
      <w:lvlJc w:val="left"/>
      <w:pPr>
        <w:ind w:left="6931" w:hanging="529"/>
      </w:pPr>
      <w:rPr>
        <w:rFonts w:hint="default"/>
        <w:lang w:val="zh-CN" w:eastAsia="zh-CN" w:bidi="zh-CN"/>
      </w:rPr>
    </w:lvl>
    <w:lvl w:ilvl="7" w:tplc="3654BA1A">
      <w:numFmt w:val="bullet"/>
      <w:lvlText w:val="•"/>
      <w:lvlJc w:val="left"/>
      <w:pPr>
        <w:ind w:left="7860" w:hanging="529"/>
      </w:pPr>
      <w:rPr>
        <w:rFonts w:hint="default"/>
        <w:lang w:val="zh-CN" w:eastAsia="zh-CN" w:bidi="zh-CN"/>
      </w:rPr>
    </w:lvl>
    <w:lvl w:ilvl="8" w:tplc="25B4D116">
      <w:numFmt w:val="bullet"/>
      <w:lvlText w:val="•"/>
      <w:lvlJc w:val="left"/>
      <w:pPr>
        <w:ind w:left="8789" w:hanging="529"/>
      </w:pPr>
      <w:rPr>
        <w:rFonts w:hint="default"/>
        <w:lang w:val="zh-CN" w:eastAsia="zh-CN" w:bidi="zh-CN"/>
      </w:rPr>
    </w:lvl>
  </w:abstractNum>
  <w:abstractNum w:abstractNumId="596" w15:restartNumberingAfterBreak="0">
    <w:nsid w:val="4F5D6E68"/>
    <w:multiLevelType w:val="hybridMultilevel"/>
    <w:tmpl w:val="AE26942A"/>
    <w:lvl w:ilvl="0" w:tplc="9E662F78">
      <w:start w:val="2"/>
      <w:numFmt w:val="decimal"/>
      <w:lvlText w:val="%1"/>
      <w:lvlJc w:val="left"/>
      <w:pPr>
        <w:ind w:left="1477" w:hanging="637"/>
        <w:jc w:val="left"/>
      </w:pPr>
      <w:rPr>
        <w:rFonts w:hint="default"/>
        <w:lang w:val="zh-CN" w:eastAsia="zh-CN" w:bidi="zh-CN"/>
      </w:rPr>
    </w:lvl>
    <w:lvl w:ilvl="1" w:tplc="9CB8E558">
      <w:start w:val="1"/>
      <w:numFmt w:val="decimal"/>
      <w:lvlText w:val="%1.%2"/>
      <w:lvlJc w:val="left"/>
      <w:pPr>
        <w:ind w:left="1477" w:hanging="637"/>
        <w:jc w:val="left"/>
      </w:pPr>
      <w:rPr>
        <w:rFonts w:hint="default"/>
        <w:lang w:val="zh-CN" w:eastAsia="zh-CN" w:bidi="zh-CN"/>
      </w:rPr>
    </w:lvl>
    <w:lvl w:ilvl="2" w:tplc="04046B40">
      <w:start w:val="17"/>
      <w:numFmt w:val="decimal"/>
      <w:lvlText w:val="%1.%2.%3"/>
      <w:lvlJc w:val="left"/>
      <w:pPr>
        <w:ind w:left="1477" w:hanging="637"/>
        <w:jc w:val="left"/>
      </w:pPr>
      <w:rPr>
        <w:rFonts w:ascii="宋体" w:eastAsia="宋体" w:hAnsi="宋体" w:cs="宋体" w:hint="default"/>
        <w:b/>
        <w:bCs/>
        <w:color w:val="333333"/>
        <w:w w:val="99"/>
        <w:sz w:val="19"/>
        <w:szCs w:val="19"/>
        <w:lang w:val="zh-CN" w:eastAsia="zh-CN" w:bidi="zh-CN"/>
      </w:rPr>
    </w:lvl>
    <w:lvl w:ilvl="3" w:tplc="D99E4388">
      <w:numFmt w:val="bullet"/>
      <w:lvlText w:val="•"/>
      <w:lvlJc w:val="left"/>
      <w:pPr>
        <w:ind w:left="4229" w:hanging="637"/>
      </w:pPr>
      <w:rPr>
        <w:rFonts w:hint="default"/>
        <w:lang w:val="zh-CN" w:eastAsia="zh-CN" w:bidi="zh-CN"/>
      </w:rPr>
    </w:lvl>
    <w:lvl w:ilvl="4" w:tplc="2A987E7E">
      <w:numFmt w:val="bullet"/>
      <w:lvlText w:val="•"/>
      <w:lvlJc w:val="left"/>
      <w:pPr>
        <w:ind w:left="5146" w:hanging="637"/>
      </w:pPr>
      <w:rPr>
        <w:rFonts w:hint="default"/>
        <w:lang w:val="zh-CN" w:eastAsia="zh-CN" w:bidi="zh-CN"/>
      </w:rPr>
    </w:lvl>
    <w:lvl w:ilvl="5" w:tplc="2F54068A">
      <w:numFmt w:val="bullet"/>
      <w:lvlText w:val="•"/>
      <w:lvlJc w:val="left"/>
      <w:pPr>
        <w:ind w:left="6063" w:hanging="637"/>
      </w:pPr>
      <w:rPr>
        <w:rFonts w:hint="default"/>
        <w:lang w:val="zh-CN" w:eastAsia="zh-CN" w:bidi="zh-CN"/>
      </w:rPr>
    </w:lvl>
    <w:lvl w:ilvl="6" w:tplc="4C8AE178">
      <w:numFmt w:val="bullet"/>
      <w:lvlText w:val="•"/>
      <w:lvlJc w:val="left"/>
      <w:pPr>
        <w:ind w:left="6979" w:hanging="637"/>
      </w:pPr>
      <w:rPr>
        <w:rFonts w:hint="default"/>
        <w:lang w:val="zh-CN" w:eastAsia="zh-CN" w:bidi="zh-CN"/>
      </w:rPr>
    </w:lvl>
    <w:lvl w:ilvl="7" w:tplc="54248384">
      <w:numFmt w:val="bullet"/>
      <w:lvlText w:val="•"/>
      <w:lvlJc w:val="left"/>
      <w:pPr>
        <w:ind w:left="7896" w:hanging="637"/>
      </w:pPr>
      <w:rPr>
        <w:rFonts w:hint="default"/>
        <w:lang w:val="zh-CN" w:eastAsia="zh-CN" w:bidi="zh-CN"/>
      </w:rPr>
    </w:lvl>
    <w:lvl w:ilvl="8" w:tplc="C9566970">
      <w:numFmt w:val="bullet"/>
      <w:lvlText w:val="•"/>
      <w:lvlJc w:val="left"/>
      <w:pPr>
        <w:ind w:left="8813" w:hanging="637"/>
      </w:pPr>
      <w:rPr>
        <w:rFonts w:hint="default"/>
        <w:lang w:val="zh-CN" w:eastAsia="zh-CN" w:bidi="zh-CN"/>
      </w:rPr>
    </w:lvl>
  </w:abstractNum>
  <w:abstractNum w:abstractNumId="597" w15:restartNumberingAfterBreak="0">
    <w:nsid w:val="4FC511C0"/>
    <w:multiLevelType w:val="hybridMultilevel"/>
    <w:tmpl w:val="286E7E8C"/>
    <w:lvl w:ilvl="0" w:tplc="39283A16">
      <w:start w:val="4"/>
      <w:numFmt w:val="decimal"/>
      <w:lvlText w:val="%1"/>
      <w:lvlJc w:val="left"/>
      <w:pPr>
        <w:ind w:left="1477" w:hanging="637"/>
        <w:jc w:val="left"/>
      </w:pPr>
      <w:rPr>
        <w:rFonts w:hint="default"/>
        <w:lang w:val="zh-CN" w:eastAsia="zh-CN" w:bidi="zh-CN"/>
      </w:rPr>
    </w:lvl>
    <w:lvl w:ilvl="1" w:tplc="E626D346">
      <w:start w:val="1"/>
      <w:numFmt w:val="decimal"/>
      <w:lvlText w:val="%1.%2"/>
      <w:lvlJc w:val="left"/>
      <w:pPr>
        <w:ind w:left="1477" w:hanging="637"/>
        <w:jc w:val="left"/>
      </w:pPr>
      <w:rPr>
        <w:rFonts w:hint="default"/>
        <w:lang w:val="zh-CN" w:eastAsia="zh-CN" w:bidi="zh-CN"/>
      </w:rPr>
    </w:lvl>
    <w:lvl w:ilvl="2" w:tplc="E1703ED6">
      <w:start w:val="10"/>
      <w:numFmt w:val="decimal"/>
      <w:lvlText w:val="%1.%2.%3"/>
      <w:lvlJc w:val="left"/>
      <w:pPr>
        <w:ind w:left="1477" w:hanging="637"/>
        <w:jc w:val="left"/>
      </w:pPr>
      <w:rPr>
        <w:rFonts w:ascii="宋体" w:eastAsia="宋体" w:hAnsi="宋体" w:cs="宋体" w:hint="default"/>
        <w:b/>
        <w:bCs/>
        <w:w w:val="99"/>
        <w:sz w:val="19"/>
        <w:szCs w:val="19"/>
        <w:lang w:val="zh-CN" w:eastAsia="zh-CN" w:bidi="zh-CN"/>
      </w:rPr>
    </w:lvl>
    <w:lvl w:ilvl="3" w:tplc="283257EC">
      <w:numFmt w:val="bullet"/>
      <w:lvlText w:val="•"/>
      <w:lvlJc w:val="left"/>
      <w:pPr>
        <w:ind w:left="4229" w:hanging="637"/>
      </w:pPr>
      <w:rPr>
        <w:rFonts w:hint="default"/>
        <w:lang w:val="zh-CN" w:eastAsia="zh-CN" w:bidi="zh-CN"/>
      </w:rPr>
    </w:lvl>
    <w:lvl w:ilvl="4" w:tplc="4A0E85BC">
      <w:numFmt w:val="bullet"/>
      <w:lvlText w:val="•"/>
      <w:lvlJc w:val="left"/>
      <w:pPr>
        <w:ind w:left="5146" w:hanging="637"/>
      </w:pPr>
      <w:rPr>
        <w:rFonts w:hint="default"/>
        <w:lang w:val="zh-CN" w:eastAsia="zh-CN" w:bidi="zh-CN"/>
      </w:rPr>
    </w:lvl>
    <w:lvl w:ilvl="5" w:tplc="E0E6935C">
      <w:numFmt w:val="bullet"/>
      <w:lvlText w:val="•"/>
      <w:lvlJc w:val="left"/>
      <w:pPr>
        <w:ind w:left="6063" w:hanging="637"/>
      </w:pPr>
      <w:rPr>
        <w:rFonts w:hint="default"/>
        <w:lang w:val="zh-CN" w:eastAsia="zh-CN" w:bidi="zh-CN"/>
      </w:rPr>
    </w:lvl>
    <w:lvl w:ilvl="6" w:tplc="D2906AA6">
      <w:numFmt w:val="bullet"/>
      <w:lvlText w:val="•"/>
      <w:lvlJc w:val="left"/>
      <w:pPr>
        <w:ind w:left="6979" w:hanging="637"/>
      </w:pPr>
      <w:rPr>
        <w:rFonts w:hint="default"/>
        <w:lang w:val="zh-CN" w:eastAsia="zh-CN" w:bidi="zh-CN"/>
      </w:rPr>
    </w:lvl>
    <w:lvl w:ilvl="7" w:tplc="028E761A">
      <w:numFmt w:val="bullet"/>
      <w:lvlText w:val="•"/>
      <w:lvlJc w:val="left"/>
      <w:pPr>
        <w:ind w:left="7896" w:hanging="637"/>
      </w:pPr>
      <w:rPr>
        <w:rFonts w:hint="default"/>
        <w:lang w:val="zh-CN" w:eastAsia="zh-CN" w:bidi="zh-CN"/>
      </w:rPr>
    </w:lvl>
    <w:lvl w:ilvl="8" w:tplc="61E890A6">
      <w:numFmt w:val="bullet"/>
      <w:lvlText w:val="•"/>
      <w:lvlJc w:val="left"/>
      <w:pPr>
        <w:ind w:left="8813" w:hanging="637"/>
      </w:pPr>
      <w:rPr>
        <w:rFonts w:hint="default"/>
        <w:lang w:val="zh-CN" w:eastAsia="zh-CN" w:bidi="zh-CN"/>
      </w:rPr>
    </w:lvl>
  </w:abstractNum>
  <w:abstractNum w:abstractNumId="598" w15:restartNumberingAfterBreak="0">
    <w:nsid w:val="4FE14210"/>
    <w:multiLevelType w:val="hybridMultilevel"/>
    <w:tmpl w:val="1F963B96"/>
    <w:lvl w:ilvl="0" w:tplc="4E6CEC3E">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9498FD04">
      <w:numFmt w:val="bullet"/>
      <w:lvlText w:val="•"/>
      <w:lvlJc w:val="left"/>
      <w:pPr>
        <w:ind w:left="2288" w:hanging="529"/>
      </w:pPr>
      <w:rPr>
        <w:rFonts w:hint="default"/>
        <w:lang w:val="zh-CN" w:eastAsia="zh-CN" w:bidi="zh-CN"/>
      </w:rPr>
    </w:lvl>
    <w:lvl w:ilvl="2" w:tplc="30745B82">
      <w:numFmt w:val="bullet"/>
      <w:lvlText w:val="•"/>
      <w:lvlJc w:val="left"/>
      <w:pPr>
        <w:ind w:left="3217" w:hanging="529"/>
      </w:pPr>
      <w:rPr>
        <w:rFonts w:hint="default"/>
        <w:lang w:val="zh-CN" w:eastAsia="zh-CN" w:bidi="zh-CN"/>
      </w:rPr>
    </w:lvl>
    <w:lvl w:ilvl="3" w:tplc="0E367344">
      <w:numFmt w:val="bullet"/>
      <w:lvlText w:val="•"/>
      <w:lvlJc w:val="left"/>
      <w:pPr>
        <w:ind w:left="4145" w:hanging="529"/>
      </w:pPr>
      <w:rPr>
        <w:rFonts w:hint="default"/>
        <w:lang w:val="zh-CN" w:eastAsia="zh-CN" w:bidi="zh-CN"/>
      </w:rPr>
    </w:lvl>
    <w:lvl w:ilvl="4" w:tplc="9C54D084">
      <w:numFmt w:val="bullet"/>
      <w:lvlText w:val="•"/>
      <w:lvlJc w:val="left"/>
      <w:pPr>
        <w:ind w:left="5074" w:hanging="529"/>
      </w:pPr>
      <w:rPr>
        <w:rFonts w:hint="default"/>
        <w:lang w:val="zh-CN" w:eastAsia="zh-CN" w:bidi="zh-CN"/>
      </w:rPr>
    </w:lvl>
    <w:lvl w:ilvl="5" w:tplc="F5FA28CC">
      <w:numFmt w:val="bullet"/>
      <w:lvlText w:val="•"/>
      <w:lvlJc w:val="left"/>
      <w:pPr>
        <w:ind w:left="6003" w:hanging="529"/>
      </w:pPr>
      <w:rPr>
        <w:rFonts w:hint="default"/>
        <w:lang w:val="zh-CN" w:eastAsia="zh-CN" w:bidi="zh-CN"/>
      </w:rPr>
    </w:lvl>
    <w:lvl w:ilvl="6" w:tplc="8C5ADFCA">
      <w:numFmt w:val="bullet"/>
      <w:lvlText w:val="•"/>
      <w:lvlJc w:val="left"/>
      <w:pPr>
        <w:ind w:left="6931" w:hanging="529"/>
      </w:pPr>
      <w:rPr>
        <w:rFonts w:hint="default"/>
        <w:lang w:val="zh-CN" w:eastAsia="zh-CN" w:bidi="zh-CN"/>
      </w:rPr>
    </w:lvl>
    <w:lvl w:ilvl="7" w:tplc="0ACA3F18">
      <w:numFmt w:val="bullet"/>
      <w:lvlText w:val="•"/>
      <w:lvlJc w:val="left"/>
      <w:pPr>
        <w:ind w:left="7860" w:hanging="529"/>
      </w:pPr>
      <w:rPr>
        <w:rFonts w:hint="default"/>
        <w:lang w:val="zh-CN" w:eastAsia="zh-CN" w:bidi="zh-CN"/>
      </w:rPr>
    </w:lvl>
    <w:lvl w:ilvl="8" w:tplc="0E6EDEE4">
      <w:numFmt w:val="bullet"/>
      <w:lvlText w:val="•"/>
      <w:lvlJc w:val="left"/>
      <w:pPr>
        <w:ind w:left="8789" w:hanging="529"/>
      </w:pPr>
      <w:rPr>
        <w:rFonts w:hint="default"/>
        <w:lang w:val="zh-CN" w:eastAsia="zh-CN" w:bidi="zh-CN"/>
      </w:rPr>
    </w:lvl>
  </w:abstractNum>
  <w:abstractNum w:abstractNumId="599" w15:restartNumberingAfterBreak="0">
    <w:nsid w:val="500A4921"/>
    <w:multiLevelType w:val="hybridMultilevel"/>
    <w:tmpl w:val="6B5C3CA4"/>
    <w:lvl w:ilvl="0" w:tplc="A9F49C38">
      <w:start w:val="8"/>
      <w:numFmt w:val="decimal"/>
      <w:lvlText w:val="%1"/>
      <w:lvlJc w:val="left"/>
      <w:pPr>
        <w:ind w:left="1158" w:hanging="318"/>
        <w:jc w:val="left"/>
      </w:pPr>
      <w:rPr>
        <w:rFonts w:hint="default"/>
        <w:lang w:val="zh-CN" w:eastAsia="zh-CN" w:bidi="zh-CN"/>
      </w:rPr>
    </w:lvl>
    <w:lvl w:ilvl="1" w:tplc="76609DB8">
      <w:start w:val="7"/>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1F6E1E08">
      <w:start w:val="1"/>
      <w:numFmt w:val="decimal"/>
      <w:lvlText w:val="%1.%2.%3"/>
      <w:lvlJc w:val="left"/>
      <w:pPr>
        <w:ind w:left="418" w:hanging="529"/>
        <w:jc w:val="left"/>
      </w:pPr>
      <w:rPr>
        <w:rFonts w:ascii="宋体" w:eastAsia="宋体" w:hAnsi="宋体" w:cs="宋体" w:hint="default"/>
        <w:b/>
        <w:bCs/>
        <w:spacing w:val="-52"/>
        <w:w w:val="99"/>
        <w:sz w:val="19"/>
        <w:szCs w:val="19"/>
        <w:lang w:val="zh-CN" w:eastAsia="zh-CN" w:bidi="zh-CN"/>
      </w:rPr>
    </w:lvl>
    <w:lvl w:ilvl="3" w:tplc="63B20BDC">
      <w:numFmt w:val="bullet"/>
      <w:lvlText w:val="•"/>
      <w:lvlJc w:val="left"/>
      <w:pPr>
        <w:ind w:left="3268" w:hanging="529"/>
      </w:pPr>
      <w:rPr>
        <w:rFonts w:hint="default"/>
        <w:lang w:val="zh-CN" w:eastAsia="zh-CN" w:bidi="zh-CN"/>
      </w:rPr>
    </w:lvl>
    <w:lvl w:ilvl="4" w:tplc="6A6C0F96">
      <w:numFmt w:val="bullet"/>
      <w:lvlText w:val="•"/>
      <w:lvlJc w:val="left"/>
      <w:pPr>
        <w:ind w:left="4322" w:hanging="529"/>
      </w:pPr>
      <w:rPr>
        <w:rFonts w:hint="default"/>
        <w:lang w:val="zh-CN" w:eastAsia="zh-CN" w:bidi="zh-CN"/>
      </w:rPr>
    </w:lvl>
    <w:lvl w:ilvl="5" w:tplc="5268B142">
      <w:numFmt w:val="bullet"/>
      <w:lvlText w:val="•"/>
      <w:lvlJc w:val="left"/>
      <w:pPr>
        <w:ind w:left="5376" w:hanging="529"/>
      </w:pPr>
      <w:rPr>
        <w:rFonts w:hint="default"/>
        <w:lang w:val="zh-CN" w:eastAsia="zh-CN" w:bidi="zh-CN"/>
      </w:rPr>
    </w:lvl>
    <w:lvl w:ilvl="6" w:tplc="BA2A4B74">
      <w:numFmt w:val="bullet"/>
      <w:lvlText w:val="•"/>
      <w:lvlJc w:val="left"/>
      <w:pPr>
        <w:ind w:left="6430" w:hanging="529"/>
      </w:pPr>
      <w:rPr>
        <w:rFonts w:hint="default"/>
        <w:lang w:val="zh-CN" w:eastAsia="zh-CN" w:bidi="zh-CN"/>
      </w:rPr>
    </w:lvl>
    <w:lvl w:ilvl="7" w:tplc="F536E1CC">
      <w:numFmt w:val="bullet"/>
      <w:lvlText w:val="•"/>
      <w:lvlJc w:val="left"/>
      <w:pPr>
        <w:ind w:left="7484" w:hanging="529"/>
      </w:pPr>
      <w:rPr>
        <w:rFonts w:hint="default"/>
        <w:lang w:val="zh-CN" w:eastAsia="zh-CN" w:bidi="zh-CN"/>
      </w:rPr>
    </w:lvl>
    <w:lvl w:ilvl="8" w:tplc="DC5EA6AA">
      <w:numFmt w:val="bullet"/>
      <w:lvlText w:val="•"/>
      <w:lvlJc w:val="left"/>
      <w:pPr>
        <w:ind w:left="8538" w:hanging="529"/>
      </w:pPr>
      <w:rPr>
        <w:rFonts w:hint="default"/>
        <w:lang w:val="zh-CN" w:eastAsia="zh-CN" w:bidi="zh-CN"/>
      </w:rPr>
    </w:lvl>
  </w:abstractNum>
  <w:abstractNum w:abstractNumId="600" w15:restartNumberingAfterBreak="0">
    <w:nsid w:val="501336DC"/>
    <w:multiLevelType w:val="hybridMultilevel"/>
    <w:tmpl w:val="BC14D116"/>
    <w:lvl w:ilvl="0" w:tplc="F6388994">
      <w:start w:val="7"/>
      <w:numFmt w:val="decimal"/>
      <w:lvlText w:val="%1"/>
      <w:lvlJc w:val="left"/>
      <w:pPr>
        <w:ind w:left="418" w:hanging="529"/>
        <w:jc w:val="left"/>
      </w:pPr>
      <w:rPr>
        <w:rFonts w:hint="default"/>
        <w:lang w:val="zh-CN" w:eastAsia="zh-CN" w:bidi="zh-CN"/>
      </w:rPr>
    </w:lvl>
    <w:lvl w:ilvl="1" w:tplc="781C57CA">
      <w:start w:val="1"/>
      <w:numFmt w:val="decimal"/>
      <w:lvlText w:val="%1.%2"/>
      <w:lvlJc w:val="left"/>
      <w:pPr>
        <w:ind w:left="418" w:hanging="529"/>
        <w:jc w:val="left"/>
      </w:pPr>
      <w:rPr>
        <w:rFonts w:hint="default"/>
        <w:lang w:val="zh-CN" w:eastAsia="zh-CN" w:bidi="zh-CN"/>
      </w:rPr>
    </w:lvl>
    <w:lvl w:ilvl="2" w:tplc="59801058">
      <w:start w:val="4"/>
      <w:numFmt w:val="decimal"/>
      <w:lvlText w:val="%1.%2.%3"/>
      <w:lvlJc w:val="left"/>
      <w:pPr>
        <w:ind w:left="418" w:hanging="529"/>
        <w:jc w:val="left"/>
      </w:pPr>
      <w:rPr>
        <w:rFonts w:ascii="宋体" w:eastAsia="宋体" w:hAnsi="宋体" w:cs="宋体" w:hint="default"/>
        <w:b/>
        <w:bCs/>
        <w:color w:val="333333"/>
        <w:w w:val="99"/>
        <w:sz w:val="19"/>
        <w:szCs w:val="19"/>
        <w:lang w:val="zh-CN" w:eastAsia="zh-CN" w:bidi="zh-CN"/>
      </w:rPr>
    </w:lvl>
    <w:lvl w:ilvl="3" w:tplc="7542DB8A">
      <w:numFmt w:val="bullet"/>
      <w:lvlText w:val="•"/>
      <w:lvlJc w:val="left"/>
      <w:pPr>
        <w:ind w:left="3487" w:hanging="529"/>
      </w:pPr>
      <w:rPr>
        <w:rFonts w:hint="default"/>
        <w:lang w:val="zh-CN" w:eastAsia="zh-CN" w:bidi="zh-CN"/>
      </w:rPr>
    </w:lvl>
    <w:lvl w:ilvl="4" w:tplc="FE48B362">
      <w:numFmt w:val="bullet"/>
      <w:lvlText w:val="•"/>
      <w:lvlJc w:val="left"/>
      <w:pPr>
        <w:ind w:left="4510" w:hanging="529"/>
      </w:pPr>
      <w:rPr>
        <w:rFonts w:hint="default"/>
        <w:lang w:val="zh-CN" w:eastAsia="zh-CN" w:bidi="zh-CN"/>
      </w:rPr>
    </w:lvl>
    <w:lvl w:ilvl="5" w:tplc="4470E77A">
      <w:numFmt w:val="bullet"/>
      <w:lvlText w:val="•"/>
      <w:lvlJc w:val="left"/>
      <w:pPr>
        <w:ind w:left="5533" w:hanging="529"/>
      </w:pPr>
      <w:rPr>
        <w:rFonts w:hint="default"/>
        <w:lang w:val="zh-CN" w:eastAsia="zh-CN" w:bidi="zh-CN"/>
      </w:rPr>
    </w:lvl>
    <w:lvl w:ilvl="6" w:tplc="EFAE8446">
      <w:numFmt w:val="bullet"/>
      <w:lvlText w:val="•"/>
      <w:lvlJc w:val="left"/>
      <w:pPr>
        <w:ind w:left="6555" w:hanging="529"/>
      </w:pPr>
      <w:rPr>
        <w:rFonts w:hint="default"/>
        <w:lang w:val="zh-CN" w:eastAsia="zh-CN" w:bidi="zh-CN"/>
      </w:rPr>
    </w:lvl>
    <w:lvl w:ilvl="7" w:tplc="F7B0C35C">
      <w:numFmt w:val="bullet"/>
      <w:lvlText w:val="•"/>
      <w:lvlJc w:val="left"/>
      <w:pPr>
        <w:ind w:left="7578" w:hanging="529"/>
      </w:pPr>
      <w:rPr>
        <w:rFonts w:hint="default"/>
        <w:lang w:val="zh-CN" w:eastAsia="zh-CN" w:bidi="zh-CN"/>
      </w:rPr>
    </w:lvl>
    <w:lvl w:ilvl="8" w:tplc="3C7E06CA">
      <w:numFmt w:val="bullet"/>
      <w:lvlText w:val="•"/>
      <w:lvlJc w:val="left"/>
      <w:pPr>
        <w:ind w:left="8601" w:hanging="529"/>
      </w:pPr>
      <w:rPr>
        <w:rFonts w:hint="default"/>
        <w:lang w:val="zh-CN" w:eastAsia="zh-CN" w:bidi="zh-CN"/>
      </w:rPr>
    </w:lvl>
  </w:abstractNum>
  <w:abstractNum w:abstractNumId="601" w15:restartNumberingAfterBreak="0">
    <w:nsid w:val="502E36FC"/>
    <w:multiLevelType w:val="hybridMultilevel"/>
    <w:tmpl w:val="5FF6FCA6"/>
    <w:lvl w:ilvl="0" w:tplc="37C266E4">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C2AA883E">
      <w:numFmt w:val="bullet"/>
      <w:lvlText w:val="•"/>
      <w:lvlJc w:val="left"/>
      <w:pPr>
        <w:ind w:left="2288" w:hanging="529"/>
      </w:pPr>
      <w:rPr>
        <w:rFonts w:hint="default"/>
        <w:lang w:val="zh-CN" w:eastAsia="zh-CN" w:bidi="zh-CN"/>
      </w:rPr>
    </w:lvl>
    <w:lvl w:ilvl="2" w:tplc="2D6C1018">
      <w:numFmt w:val="bullet"/>
      <w:lvlText w:val="•"/>
      <w:lvlJc w:val="left"/>
      <w:pPr>
        <w:ind w:left="3217" w:hanging="529"/>
      </w:pPr>
      <w:rPr>
        <w:rFonts w:hint="default"/>
        <w:lang w:val="zh-CN" w:eastAsia="zh-CN" w:bidi="zh-CN"/>
      </w:rPr>
    </w:lvl>
    <w:lvl w:ilvl="3" w:tplc="EE2000E2">
      <w:numFmt w:val="bullet"/>
      <w:lvlText w:val="•"/>
      <w:lvlJc w:val="left"/>
      <w:pPr>
        <w:ind w:left="4145" w:hanging="529"/>
      </w:pPr>
      <w:rPr>
        <w:rFonts w:hint="default"/>
        <w:lang w:val="zh-CN" w:eastAsia="zh-CN" w:bidi="zh-CN"/>
      </w:rPr>
    </w:lvl>
    <w:lvl w:ilvl="4" w:tplc="19E2359A">
      <w:numFmt w:val="bullet"/>
      <w:lvlText w:val="•"/>
      <w:lvlJc w:val="left"/>
      <w:pPr>
        <w:ind w:left="5074" w:hanging="529"/>
      </w:pPr>
      <w:rPr>
        <w:rFonts w:hint="default"/>
        <w:lang w:val="zh-CN" w:eastAsia="zh-CN" w:bidi="zh-CN"/>
      </w:rPr>
    </w:lvl>
    <w:lvl w:ilvl="5" w:tplc="A0EE6AE2">
      <w:numFmt w:val="bullet"/>
      <w:lvlText w:val="•"/>
      <w:lvlJc w:val="left"/>
      <w:pPr>
        <w:ind w:left="6003" w:hanging="529"/>
      </w:pPr>
      <w:rPr>
        <w:rFonts w:hint="default"/>
        <w:lang w:val="zh-CN" w:eastAsia="zh-CN" w:bidi="zh-CN"/>
      </w:rPr>
    </w:lvl>
    <w:lvl w:ilvl="6" w:tplc="BE262DAE">
      <w:numFmt w:val="bullet"/>
      <w:lvlText w:val="•"/>
      <w:lvlJc w:val="left"/>
      <w:pPr>
        <w:ind w:left="6931" w:hanging="529"/>
      </w:pPr>
      <w:rPr>
        <w:rFonts w:hint="default"/>
        <w:lang w:val="zh-CN" w:eastAsia="zh-CN" w:bidi="zh-CN"/>
      </w:rPr>
    </w:lvl>
    <w:lvl w:ilvl="7" w:tplc="DED8BD16">
      <w:numFmt w:val="bullet"/>
      <w:lvlText w:val="•"/>
      <w:lvlJc w:val="left"/>
      <w:pPr>
        <w:ind w:left="7860" w:hanging="529"/>
      </w:pPr>
      <w:rPr>
        <w:rFonts w:hint="default"/>
        <w:lang w:val="zh-CN" w:eastAsia="zh-CN" w:bidi="zh-CN"/>
      </w:rPr>
    </w:lvl>
    <w:lvl w:ilvl="8" w:tplc="7AE2A6AC">
      <w:numFmt w:val="bullet"/>
      <w:lvlText w:val="•"/>
      <w:lvlJc w:val="left"/>
      <w:pPr>
        <w:ind w:left="8789" w:hanging="529"/>
      </w:pPr>
      <w:rPr>
        <w:rFonts w:hint="default"/>
        <w:lang w:val="zh-CN" w:eastAsia="zh-CN" w:bidi="zh-CN"/>
      </w:rPr>
    </w:lvl>
  </w:abstractNum>
  <w:abstractNum w:abstractNumId="602" w15:restartNumberingAfterBreak="0">
    <w:nsid w:val="508F324A"/>
    <w:multiLevelType w:val="hybridMultilevel"/>
    <w:tmpl w:val="F8E4F052"/>
    <w:lvl w:ilvl="0" w:tplc="2A1A8056">
      <w:start w:val="1"/>
      <w:numFmt w:val="decimal"/>
      <w:lvlText w:val="（%1）"/>
      <w:lvlJc w:val="left"/>
      <w:pPr>
        <w:ind w:left="1367" w:hanging="529"/>
        <w:jc w:val="left"/>
      </w:pPr>
      <w:rPr>
        <w:rFonts w:ascii="宋体" w:eastAsia="宋体" w:hAnsi="宋体" w:cs="宋体" w:hint="default"/>
        <w:w w:val="100"/>
        <w:sz w:val="19"/>
        <w:szCs w:val="19"/>
        <w:lang w:val="zh-CN" w:eastAsia="zh-CN" w:bidi="zh-CN"/>
      </w:rPr>
    </w:lvl>
    <w:lvl w:ilvl="1" w:tplc="D974E52E">
      <w:numFmt w:val="bullet"/>
      <w:lvlText w:val="•"/>
      <w:lvlJc w:val="left"/>
      <w:pPr>
        <w:ind w:left="2288" w:hanging="529"/>
      </w:pPr>
      <w:rPr>
        <w:rFonts w:hint="default"/>
        <w:lang w:val="zh-CN" w:eastAsia="zh-CN" w:bidi="zh-CN"/>
      </w:rPr>
    </w:lvl>
    <w:lvl w:ilvl="2" w:tplc="AD68ECCE">
      <w:numFmt w:val="bullet"/>
      <w:lvlText w:val="•"/>
      <w:lvlJc w:val="left"/>
      <w:pPr>
        <w:ind w:left="3217" w:hanging="529"/>
      </w:pPr>
      <w:rPr>
        <w:rFonts w:hint="default"/>
        <w:lang w:val="zh-CN" w:eastAsia="zh-CN" w:bidi="zh-CN"/>
      </w:rPr>
    </w:lvl>
    <w:lvl w:ilvl="3" w:tplc="39666DB2">
      <w:numFmt w:val="bullet"/>
      <w:lvlText w:val="•"/>
      <w:lvlJc w:val="left"/>
      <w:pPr>
        <w:ind w:left="4145" w:hanging="529"/>
      </w:pPr>
      <w:rPr>
        <w:rFonts w:hint="default"/>
        <w:lang w:val="zh-CN" w:eastAsia="zh-CN" w:bidi="zh-CN"/>
      </w:rPr>
    </w:lvl>
    <w:lvl w:ilvl="4" w:tplc="AE72CF8C">
      <w:numFmt w:val="bullet"/>
      <w:lvlText w:val="•"/>
      <w:lvlJc w:val="left"/>
      <w:pPr>
        <w:ind w:left="5074" w:hanging="529"/>
      </w:pPr>
      <w:rPr>
        <w:rFonts w:hint="default"/>
        <w:lang w:val="zh-CN" w:eastAsia="zh-CN" w:bidi="zh-CN"/>
      </w:rPr>
    </w:lvl>
    <w:lvl w:ilvl="5" w:tplc="D34216D6">
      <w:numFmt w:val="bullet"/>
      <w:lvlText w:val="•"/>
      <w:lvlJc w:val="left"/>
      <w:pPr>
        <w:ind w:left="6003" w:hanging="529"/>
      </w:pPr>
      <w:rPr>
        <w:rFonts w:hint="default"/>
        <w:lang w:val="zh-CN" w:eastAsia="zh-CN" w:bidi="zh-CN"/>
      </w:rPr>
    </w:lvl>
    <w:lvl w:ilvl="6" w:tplc="94D0529A">
      <w:numFmt w:val="bullet"/>
      <w:lvlText w:val="•"/>
      <w:lvlJc w:val="left"/>
      <w:pPr>
        <w:ind w:left="6931" w:hanging="529"/>
      </w:pPr>
      <w:rPr>
        <w:rFonts w:hint="default"/>
        <w:lang w:val="zh-CN" w:eastAsia="zh-CN" w:bidi="zh-CN"/>
      </w:rPr>
    </w:lvl>
    <w:lvl w:ilvl="7" w:tplc="5680EAEE">
      <w:numFmt w:val="bullet"/>
      <w:lvlText w:val="•"/>
      <w:lvlJc w:val="left"/>
      <w:pPr>
        <w:ind w:left="7860" w:hanging="529"/>
      </w:pPr>
      <w:rPr>
        <w:rFonts w:hint="default"/>
        <w:lang w:val="zh-CN" w:eastAsia="zh-CN" w:bidi="zh-CN"/>
      </w:rPr>
    </w:lvl>
    <w:lvl w:ilvl="8" w:tplc="32B25CFA">
      <w:numFmt w:val="bullet"/>
      <w:lvlText w:val="•"/>
      <w:lvlJc w:val="left"/>
      <w:pPr>
        <w:ind w:left="8789" w:hanging="529"/>
      </w:pPr>
      <w:rPr>
        <w:rFonts w:hint="default"/>
        <w:lang w:val="zh-CN" w:eastAsia="zh-CN" w:bidi="zh-CN"/>
      </w:rPr>
    </w:lvl>
  </w:abstractNum>
  <w:abstractNum w:abstractNumId="603" w15:restartNumberingAfterBreak="0">
    <w:nsid w:val="50951A49"/>
    <w:multiLevelType w:val="hybridMultilevel"/>
    <w:tmpl w:val="4080EADA"/>
    <w:lvl w:ilvl="0" w:tplc="6192B3D4">
      <w:start w:val="8"/>
      <w:numFmt w:val="decimal"/>
      <w:lvlText w:val="%1"/>
      <w:lvlJc w:val="left"/>
      <w:pPr>
        <w:ind w:left="418" w:hanging="531"/>
        <w:jc w:val="left"/>
      </w:pPr>
      <w:rPr>
        <w:rFonts w:hint="default"/>
        <w:lang w:val="zh-CN" w:eastAsia="zh-CN" w:bidi="zh-CN"/>
      </w:rPr>
    </w:lvl>
    <w:lvl w:ilvl="1" w:tplc="4ADC6ED4">
      <w:start w:val="3"/>
      <w:numFmt w:val="decimal"/>
      <w:lvlText w:val="%1.%2"/>
      <w:lvlJc w:val="left"/>
      <w:pPr>
        <w:ind w:left="418" w:hanging="531"/>
        <w:jc w:val="left"/>
      </w:pPr>
      <w:rPr>
        <w:rFonts w:hint="default"/>
        <w:lang w:val="zh-CN" w:eastAsia="zh-CN" w:bidi="zh-CN"/>
      </w:rPr>
    </w:lvl>
    <w:lvl w:ilvl="2" w:tplc="2020CFEC">
      <w:start w:val="4"/>
      <w:numFmt w:val="decimal"/>
      <w:lvlText w:val="%1.%2.%3"/>
      <w:lvlJc w:val="left"/>
      <w:pPr>
        <w:ind w:left="418" w:hanging="531"/>
        <w:jc w:val="left"/>
      </w:pPr>
      <w:rPr>
        <w:rFonts w:ascii="宋体" w:eastAsia="宋体" w:hAnsi="宋体" w:cs="宋体" w:hint="default"/>
        <w:b/>
        <w:bCs/>
        <w:color w:val="333333"/>
        <w:w w:val="99"/>
        <w:sz w:val="19"/>
        <w:szCs w:val="19"/>
        <w:lang w:val="zh-CN" w:eastAsia="zh-CN" w:bidi="zh-CN"/>
      </w:rPr>
    </w:lvl>
    <w:lvl w:ilvl="3" w:tplc="0AB66CE6">
      <w:numFmt w:val="bullet"/>
      <w:lvlText w:val="•"/>
      <w:lvlJc w:val="left"/>
      <w:pPr>
        <w:ind w:left="3487" w:hanging="531"/>
      </w:pPr>
      <w:rPr>
        <w:rFonts w:hint="default"/>
        <w:lang w:val="zh-CN" w:eastAsia="zh-CN" w:bidi="zh-CN"/>
      </w:rPr>
    </w:lvl>
    <w:lvl w:ilvl="4" w:tplc="24C60BD4">
      <w:numFmt w:val="bullet"/>
      <w:lvlText w:val="•"/>
      <w:lvlJc w:val="left"/>
      <w:pPr>
        <w:ind w:left="4510" w:hanging="531"/>
      </w:pPr>
      <w:rPr>
        <w:rFonts w:hint="default"/>
        <w:lang w:val="zh-CN" w:eastAsia="zh-CN" w:bidi="zh-CN"/>
      </w:rPr>
    </w:lvl>
    <w:lvl w:ilvl="5" w:tplc="2B4AFD9A">
      <w:numFmt w:val="bullet"/>
      <w:lvlText w:val="•"/>
      <w:lvlJc w:val="left"/>
      <w:pPr>
        <w:ind w:left="5533" w:hanging="531"/>
      </w:pPr>
      <w:rPr>
        <w:rFonts w:hint="default"/>
        <w:lang w:val="zh-CN" w:eastAsia="zh-CN" w:bidi="zh-CN"/>
      </w:rPr>
    </w:lvl>
    <w:lvl w:ilvl="6" w:tplc="B3B017C0">
      <w:numFmt w:val="bullet"/>
      <w:lvlText w:val="•"/>
      <w:lvlJc w:val="left"/>
      <w:pPr>
        <w:ind w:left="6555" w:hanging="531"/>
      </w:pPr>
      <w:rPr>
        <w:rFonts w:hint="default"/>
        <w:lang w:val="zh-CN" w:eastAsia="zh-CN" w:bidi="zh-CN"/>
      </w:rPr>
    </w:lvl>
    <w:lvl w:ilvl="7" w:tplc="6932FEFC">
      <w:numFmt w:val="bullet"/>
      <w:lvlText w:val="•"/>
      <w:lvlJc w:val="left"/>
      <w:pPr>
        <w:ind w:left="7578" w:hanging="531"/>
      </w:pPr>
      <w:rPr>
        <w:rFonts w:hint="default"/>
        <w:lang w:val="zh-CN" w:eastAsia="zh-CN" w:bidi="zh-CN"/>
      </w:rPr>
    </w:lvl>
    <w:lvl w:ilvl="8" w:tplc="9FB6B9B0">
      <w:numFmt w:val="bullet"/>
      <w:lvlText w:val="•"/>
      <w:lvlJc w:val="left"/>
      <w:pPr>
        <w:ind w:left="8601" w:hanging="531"/>
      </w:pPr>
      <w:rPr>
        <w:rFonts w:hint="default"/>
        <w:lang w:val="zh-CN" w:eastAsia="zh-CN" w:bidi="zh-CN"/>
      </w:rPr>
    </w:lvl>
  </w:abstractNum>
  <w:abstractNum w:abstractNumId="604" w15:restartNumberingAfterBreak="0">
    <w:nsid w:val="50B203D1"/>
    <w:multiLevelType w:val="hybridMultilevel"/>
    <w:tmpl w:val="3F0869AC"/>
    <w:lvl w:ilvl="0" w:tplc="5F3AAD10">
      <w:start w:val="4"/>
      <w:numFmt w:val="decimal"/>
      <w:lvlText w:val="%1"/>
      <w:lvlJc w:val="left"/>
      <w:pPr>
        <w:ind w:left="418" w:hanging="529"/>
        <w:jc w:val="left"/>
      </w:pPr>
      <w:rPr>
        <w:rFonts w:hint="default"/>
        <w:lang w:val="zh-CN" w:eastAsia="zh-CN" w:bidi="zh-CN"/>
      </w:rPr>
    </w:lvl>
    <w:lvl w:ilvl="1" w:tplc="B86C936E">
      <w:start w:val="4"/>
      <w:numFmt w:val="decimal"/>
      <w:lvlText w:val="%1.%2"/>
      <w:lvlJc w:val="left"/>
      <w:pPr>
        <w:ind w:left="418" w:hanging="529"/>
        <w:jc w:val="left"/>
      </w:pPr>
      <w:rPr>
        <w:rFonts w:hint="default"/>
        <w:lang w:val="zh-CN" w:eastAsia="zh-CN" w:bidi="zh-CN"/>
      </w:rPr>
    </w:lvl>
    <w:lvl w:ilvl="2" w:tplc="63E6018E">
      <w:start w:val="2"/>
      <w:numFmt w:val="decimal"/>
      <w:lvlText w:val="%1.%2.%3"/>
      <w:lvlJc w:val="left"/>
      <w:pPr>
        <w:ind w:left="418" w:hanging="529"/>
        <w:jc w:val="left"/>
      </w:pPr>
      <w:rPr>
        <w:rFonts w:hint="default"/>
        <w:w w:val="100"/>
        <w:lang w:val="zh-CN" w:eastAsia="zh-CN" w:bidi="zh-CN"/>
      </w:rPr>
    </w:lvl>
    <w:lvl w:ilvl="3" w:tplc="07DE1BB4">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3CDE69DE">
      <w:start w:val="1"/>
      <w:numFmt w:val="decimal"/>
      <w:lvlText w:val="%1.%2.%3.%4.%5"/>
      <w:lvlJc w:val="left"/>
      <w:pPr>
        <w:ind w:left="418" w:hanging="950"/>
        <w:jc w:val="left"/>
      </w:pPr>
      <w:rPr>
        <w:rFonts w:ascii="宋体" w:eastAsia="宋体" w:hAnsi="宋体" w:cs="宋体" w:hint="default"/>
        <w:spacing w:val="-3"/>
        <w:w w:val="100"/>
        <w:sz w:val="19"/>
        <w:szCs w:val="19"/>
        <w:lang w:val="zh-CN" w:eastAsia="zh-CN" w:bidi="zh-CN"/>
      </w:rPr>
    </w:lvl>
    <w:lvl w:ilvl="5" w:tplc="C4E291D6">
      <w:numFmt w:val="bullet"/>
      <w:lvlText w:val="•"/>
      <w:lvlJc w:val="left"/>
      <w:pPr>
        <w:ind w:left="5609" w:hanging="950"/>
      </w:pPr>
      <w:rPr>
        <w:rFonts w:hint="default"/>
        <w:lang w:val="zh-CN" w:eastAsia="zh-CN" w:bidi="zh-CN"/>
      </w:rPr>
    </w:lvl>
    <w:lvl w:ilvl="6" w:tplc="45728FD2">
      <w:numFmt w:val="bullet"/>
      <w:lvlText w:val="•"/>
      <w:lvlJc w:val="left"/>
      <w:pPr>
        <w:ind w:left="6616" w:hanging="950"/>
      </w:pPr>
      <w:rPr>
        <w:rFonts w:hint="default"/>
        <w:lang w:val="zh-CN" w:eastAsia="zh-CN" w:bidi="zh-CN"/>
      </w:rPr>
    </w:lvl>
    <w:lvl w:ilvl="7" w:tplc="E3BEA378">
      <w:numFmt w:val="bullet"/>
      <w:lvlText w:val="•"/>
      <w:lvlJc w:val="left"/>
      <w:pPr>
        <w:ind w:left="7624" w:hanging="950"/>
      </w:pPr>
      <w:rPr>
        <w:rFonts w:hint="default"/>
        <w:lang w:val="zh-CN" w:eastAsia="zh-CN" w:bidi="zh-CN"/>
      </w:rPr>
    </w:lvl>
    <w:lvl w:ilvl="8" w:tplc="C20E449A">
      <w:numFmt w:val="bullet"/>
      <w:lvlText w:val="•"/>
      <w:lvlJc w:val="left"/>
      <w:pPr>
        <w:ind w:left="8631" w:hanging="950"/>
      </w:pPr>
      <w:rPr>
        <w:rFonts w:hint="default"/>
        <w:lang w:val="zh-CN" w:eastAsia="zh-CN" w:bidi="zh-CN"/>
      </w:rPr>
    </w:lvl>
  </w:abstractNum>
  <w:abstractNum w:abstractNumId="605" w15:restartNumberingAfterBreak="0">
    <w:nsid w:val="50CA0B4B"/>
    <w:multiLevelType w:val="hybridMultilevel"/>
    <w:tmpl w:val="DA36DAD6"/>
    <w:lvl w:ilvl="0" w:tplc="E98E7486">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964C71B6">
      <w:numFmt w:val="bullet"/>
      <w:lvlText w:val="•"/>
      <w:lvlJc w:val="left"/>
      <w:pPr>
        <w:ind w:left="2288" w:hanging="529"/>
      </w:pPr>
      <w:rPr>
        <w:rFonts w:hint="default"/>
        <w:lang w:val="zh-CN" w:eastAsia="zh-CN" w:bidi="zh-CN"/>
      </w:rPr>
    </w:lvl>
    <w:lvl w:ilvl="2" w:tplc="E968D90E">
      <w:numFmt w:val="bullet"/>
      <w:lvlText w:val="•"/>
      <w:lvlJc w:val="left"/>
      <w:pPr>
        <w:ind w:left="3217" w:hanging="529"/>
      </w:pPr>
      <w:rPr>
        <w:rFonts w:hint="default"/>
        <w:lang w:val="zh-CN" w:eastAsia="zh-CN" w:bidi="zh-CN"/>
      </w:rPr>
    </w:lvl>
    <w:lvl w:ilvl="3" w:tplc="8912FDFE">
      <w:numFmt w:val="bullet"/>
      <w:lvlText w:val="•"/>
      <w:lvlJc w:val="left"/>
      <w:pPr>
        <w:ind w:left="4145" w:hanging="529"/>
      </w:pPr>
      <w:rPr>
        <w:rFonts w:hint="default"/>
        <w:lang w:val="zh-CN" w:eastAsia="zh-CN" w:bidi="zh-CN"/>
      </w:rPr>
    </w:lvl>
    <w:lvl w:ilvl="4" w:tplc="7E3C6B34">
      <w:numFmt w:val="bullet"/>
      <w:lvlText w:val="•"/>
      <w:lvlJc w:val="left"/>
      <w:pPr>
        <w:ind w:left="5074" w:hanging="529"/>
      </w:pPr>
      <w:rPr>
        <w:rFonts w:hint="default"/>
        <w:lang w:val="zh-CN" w:eastAsia="zh-CN" w:bidi="zh-CN"/>
      </w:rPr>
    </w:lvl>
    <w:lvl w:ilvl="5" w:tplc="2C286D30">
      <w:numFmt w:val="bullet"/>
      <w:lvlText w:val="•"/>
      <w:lvlJc w:val="left"/>
      <w:pPr>
        <w:ind w:left="6003" w:hanging="529"/>
      </w:pPr>
      <w:rPr>
        <w:rFonts w:hint="default"/>
        <w:lang w:val="zh-CN" w:eastAsia="zh-CN" w:bidi="zh-CN"/>
      </w:rPr>
    </w:lvl>
    <w:lvl w:ilvl="6" w:tplc="588C8482">
      <w:numFmt w:val="bullet"/>
      <w:lvlText w:val="•"/>
      <w:lvlJc w:val="left"/>
      <w:pPr>
        <w:ind w:left="6931" w:hanging="529"/>
      </w:pPr>
      <w:rPr>
        <w:rFonts w:hint="default"/>
        <w:lang w:val="zh-CN" w:eastAsia="zh-CN" w:bidi="zh-CN"/>
      </w:rPr>
    </w:lvl>
    <w:lvl w:ilvl="7" w:tplc="D2AED6C6">
      <w:numFmt w:val="bullet"/>
      <w:lvlText w:val="•"/>
      <w:lvlJc w:val="left"/>
      <w:pPr>
        <w:ind w:left="7860" w:hanging="529"/>
      </w:pPr>
      <w:rPr>
        <w:rFonts w:hint="default"/>
        <w:lang w:val="zh-CN" w:eastAsia="zh-CN" w:bidi="zh-CN"/>
      </w:rPr>
    </w:lvl>
    <w:lvl w:ilvl="8" w:tplc="2B74714E">
      <w:numFmt w:val="bullet"/>
      <w:lvlText w:val="•"/>
      <w:lvlJc w:val="left"/>
      <w:pPr>
        <w:ind w:left="8789" w:hanging="529"/>
      </w:pPr>
      <w:rPr>
        <w:rFonts w:hint="default"/>
        <w:lang w:val="zh-CN" w:eastAsia="zh-CN" w:bidi="zh-CN"/>
      </w:rPr>
    </w:lvl>
  </w:abstractNum>
  <w:abstractNum w:abstractNumId="606" w15:restartNumberingAfterBreak="0">
    <w:nsid w:val="50D83F1B"/>
    <w:multiLevelType w:val="hybridMultilevel"/>
    <w:tmpl w:val="815ABB5A"/>
    <w:lvl w:ilvl="0" w:tplc="1428C4AE">
      <w:start w:val="4"/>
      <w:numFmt w:val="decimal"/>
      <w:lvlText w:val="%1"/>
      <w:lvlJc w:val="left"/>
      <w:pPr>
        <w:ind w:left="1158" w:hanging="318"/>
        <w:jc w:val="left"/>
      </w:pPr>
      <w:rPr>
        <w:rFonts w:hint="default"/>
        <w:lang w:val="zh-CN" w:eastAsia="zh-CN" w:bidi="zh-CN"/>
      </w:rPr>
    </w:lvl>
    <w:lvl w:ilvl="1" w:tplc="DFB4B3D6">
      <w:start w:val="6"/>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89C6D3CE">
      <w:numFmt w:val="bullet"/>
      <w:lvlText w:val="•"/>
      <w:lvlJc w:val="left"/>
      <w:pPr>
        <w:ind w:left="3057" w:hanging="318"/>
      </w:pPr>
      <w:rPr>
        <w:rFonts w:hint="default"/>
        <w:lang w:val="zh-CN" w:eastAsia="zh-CN" w:bidi="zh-CN"/>
      </w:rPr>
    </w:lvl>
    <w:lvl w:ilvl="3" w:tplc="29180872">
      <w:numFmt w:val="bullet"/>
      <w:lvlText w:val="•"/>
      <w:lvlJc w:val="left"/>
      <w:pPr>
        <w:ind w:left="4005" w:hanging="318"/>
      </w:pPr>
      <w:rPr>
        <w:rFonts w:hint="default"/>
        <w:lang w:val="zh-CN" w:eastAsia="zh-CN" w:bidi="zh-CN"/>
      </w:rPr>
    </w:lvl>
    <w:lvl w:ilvl="4" w:tplc="74ECE0E4">
      <w:numFmt w:val="bullet"/>
      <w:lvlText w:val="•"/>
      <w:lvlJc w:val="left"/>
      <w:pPr>
        <w:ind w:left="4954" w:hanging="318"/>
      </w:pPr>
      <w:rPr>
        <w:rFonts w:hint="default"/>
        <w:lang w:val="zh-CN" w:eastAsia="zh-CN" w:bidi="zh-CN"/>
      </w:rPr>
    </w:lvl>
    <w:lvl w:ilvl="5" w:tplc="19A65C40">
      <w:numFmt w:val="bullet"/>
      <w:lvlText w:val="•"/>
      <w:lvlJc w:val="left"/>
      <w:pPr>
        <w:ind w:left="5903" w:hanging="318"/>
      </w:pPr>
      <w:rPr>
        <w:rFonts w:hint="default"/>
        <w:lang w:val="zh-CN" w:eastAsia="zh-CN" w:bidi="zh-CN"/>
      </w:rPr>
    </w:lvl>
    <w:lvl w:ilvl="6" w:tplc="5516A1B4">
      <w:numFmt w:val="bullet"/>
      <w:lvlText w:val="•"/>
      <w:lvlJc w:val="left"/>
      <w:pPr>
        <w:ind w:left="6851" w:hanging="318"/>
      </w:pPr>
      <w:rPr>
        <w:rFonts w:hint="default"/>
        <w:lang w:val="zh-CN" w:eastAsia="zh-CN" w:bidi="zh-CN"/>
      </w:rPr>
    </w:lvl>
    <w:lvl w:ilvl="7" w:tplc="0FEAF3A0">
      <w:numFmt w:val="bullet"/>
      <w:lvlText w:val="•"/>
      <w:lvlJc w:val="left"/>
      <w:pPr>
        <w:ind w:left="7800" w:hanging="318"/>
      </w:pPr>
      <w:rPr>
        <w:rFonts w:hint="default"/>
        <w:lang w:val="zh-CN" w:eastAsia="zh-CN" w:bidi="zh-CN"/>
      </w:rPr>
    </w:lvl>
    <w:lvl w:ilvl="8" w:tplc="E4BCB2D0">
      <w:numFmt w:val="bullet"/>
      <w:lvlText w:val="•"/>
      <w:lvlJc w:val="left"/>
      <w:pPr>
        <w:ind w:left="8749" w:hanging="318"/>
      </w:pPr>
      <w:rPr>
        <w:rFonts w:hint="default"/>
        <w:lang w:val="zh-CN" w:eastAsia="zh-CN" w:bidi="zh-CN"/>
      </w:rPr>
    </w:lvl>
  </w:abstractNum>
  <w:abstractNum w:abstractNumId="607" w15:restartNumberingAfterBreak="0">
    <w:nsid w:val="50E80D42"/>
    <w:multiLevelType w:val="hybridMultilevel"/>
    <w:tmpl w:val="B5CE3B18"/>
    <w:lvl w:ilvl="0" w:tplc="82F2ED32">
      <w:start w:val="7"/>
      <w:numFmt w:val="decimal"/>
      <w:lvlText w:val="%1"/>
      <w:lvlJc w:val="left"/>
      <w:pPr>
        <w:ind w:left="418" w:hanging="531"/>
        <w:jc w:val="left"/>
      </w:pPr>
      <w:rPr>
        <w:rFonts w:hint="default"/>
        <w:lang w:val="zh-CN" w:eastAsia="zh-CN" w:bidi="zh-CN"/>
      </w:rPr>
    </w:lvl>
    <w:lvl w:ilvl="1" w:tplc="5136F12C">
      <w:start w:val="3"/>
      <w:numFmt w:val="decimal"/>
      <w:lvlText w:val="%1.%2"/>
      <w:lvlJc w:val="left"/>
      <w:pPr>
        <w:ind w:left="418" w:hanging="531"/>
        <w:jc w:val="left"/>
      </w:pPr>
      <w:rPr>
        <w:rFonts w:hint="default"/>
        <w:lang w:val="zh-CN" w:eastAsia="zh-CN" w:bidi="zh-CN"/>
      </w:rPr>
    </w:lvl>
    <w:lvl w:ilvl="2" w:tplc="E56AC190">
      <w:start w:val="5"/>
      <w:numFmt w:val="decimal"/>
      <w:lvlText w:val="%1.%2.%3"/>
      <w:lvlJc w:val="left"/>
      <w:pPr>
        <w:ind w:left="418" w:hanging="531"/>
        <w:jc w:val="left"/>
      </w:pPr>
      <w:rPr>
        <w:rFonts w:ascii="宋体" w:eastAsia="宋体" w:hAnsi="宋体" w:cs="宋体" w:hint="default"/>
        <w:b/>
        <w:bCs/>
        <w:color w:val="333333"/>
        <w:w w:val="99"/>
        <w:sz w:val="19"/>
        <w:szCs w:val="19"/>
        <w:lang w:val="zh-CN" w:eastAsia="zh-CN" w:bidi="zh-CN"/>
      </w:rPr>
    </w:lvl>
    <w:lvl w:ilvl="3" w:tplc="4C663A8E">
      <w:numFmt w:val="bullet"/>
      <w:lvlText w:val="•"/>
      <w:lvlJc w:val="left"/>
      <w:pPr>
        <w:ind w:left="3487" w:hanging="531"/>
      </w:pPr>
      <w:rPr>
        <w:rFonts w:hint="default"/>
        <w:lang w:val="zh-CN" w:eastAsia="zh-CN" w:bidi="zh-CN"/>
      </w:rPr>
    </w:lvl>
    <w:lvl w:ilvl="4" w:tplc="EB0CF3C8">
      <w:numFmt w:val="bullet"/>
      <w:lvlText w:val="•"/>
      <w:lvlJc w:val="left"/>
      <w:pPr>
        <w:ind w:left="4510" w:hanging="531"/>
      </w:pPr>
      <w:rPr>
        <w:rFonts w:hint="default"/>
        <w:lang w:val="zh-CN" w:eastAsia="zh-CN" w:bidi="zh-CN"/>
      </w:rPr>
    </w:lvl>
    <w:lvl w:ilvl="5" w:tplc="FE768A94">
      <w:numFmt w:val="bullet"/>
      <w:lvlText w:val="•"/>
      <w:lvlJc w:val="left"/>
      <w:pPr>
        <w:ind w:left="5533" w:hanging="531"/>
      </w:pPr>
      <w:rPr>
        <w:rFonts w:hint="default"/>
        <w:lang w:val="zh-CN" w:eastAsia="zh-CN" w:bidi="zh-CN"/>
      </w:rPr>
    </w:lvl>
    <w:lvl w:ilvl="6" w:tplc="D24A1694">
      <w:numFmt w:val="bullet"/>
      <w:lvlText w:val="•"/>
      <w:lvlJc w:val="left"/>
      <w:pPr>
        <w:ind w:left="6555" w:hanging="531"/>
      </w:pPr>
      <w:rPr>
        <w:rFonts w:hint="default"/>
        <w:lang w:val="zh-CN" w:eastAsia="zh-CN" w:bidi="zh-CN"/>
      </w:rPr>
    </w:lvl>
    <w:lvl w:ilvl="7" w:tplc="B2E6C79E">
      <w:numFmt w:val="bullet"/>
      <w:lvlText w:val="•"/>
      <w:lvlJc w:val="left"/>
      <w:pPr>
        <w:ind w:left="7578" w:hanging="531"/>
      </w:pPr>
      <w:rPr>
        <w:rFonts w:hint="default"/>
        <w:lang w:val="zh-CN" w:eastAsia="zh-CN" w:bidi="zh-CN"/>
      </w:rPr>
    </w:lvl>
    <w:lvl w:ilvl="8" w:tplc="6D76E432">
      <w:numFmt w:val="bullet"/>
      <w:lvlText w:val="•"/>
      <w:lvlJc w:val="left"/>
      <w:pPr>
        <w:ind w:left="8601" w:hanging="531"/>
      </w:pPr>
      <w:rPr>
        <w:rFonts w:hint="default"/>
        <w:lang w:val="zh-CN" w:eastAsia="zh-CN" w:bidi="zh-CN"/>
      </w:rPr>
    </w:lvl>
  </w:abstractNum>
  <w:abstractNum w:abstractNumId="608" w15:restartNumberingAfterBreak="0">
    <w:nsid w:val="50EF2B8E"/>
    <w:multiLevelType w:val="hybridMultilevel"/>
    <w:tmpl w:val="50788E98"/>
    <w:lvl w:ilvl="0" w:tplc="E5A6A0B0">
      <w:start w:val="1"/>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2E280664">
      <w:numFmt w:val="bullet"/>
      <w:lvlText w:val="•"/>
      <w:lvlJc w:val="left"/>
      <w:pPr>
        <w:ind w:left="2018" w:hanging="213"/>
      </w:pPr>
      <w:rPr>
        <w:rFonts w:hint="default"/>
        <w:lang w:val="zh-CN" w:eastAsia="zh-CN" w:bidi="zh-CN"/>
      </w:rPr>
    </w:lvl>
    <w:lvl w:ilvl="2" w:tplc="9E98CD08">
      <w:numFmt w:val="bullet"/>
      <w:lvlText w:val="•"/>
      <w:lvlJc w:val="left"/>
      <w:pPr>
        <w:ind w:left="2977" w:hanging="213"/>
      </w:pPr>
      <w:rPr>
        <w:rFonts w:hint="default"/>
        <w:lang w:val="zh-CN" w:eastAsia="zh-CN" w:bidi="zh-CN"/>
      </w:rPr>
    </w:lvl>
    <w:lvl w:ilvl="3" w:tplc="41245E28">
      <w:numFmt w:val="bullet"/>
      <w:lvlText w:val="•"/>
      <w:lvlJc w:val="left"/>
      <w:pPr>
        <w:ind w:left="3935" w:hanging="213"/>
      </w:pPr>
      <w:rPr>
        <w:rFonts w:hint="default"/>
        <w:lang w:val="zh-CN" w:eastAsia="zh-CN" w:bidi="zh-CN"/>
      </w:rPr>
    </w:lvl>
    <w:lvl w:ilvl="4" w:tplc="7C460F88">
      <w:numFmt w:val="bullet"/>
      <w:lvlText w:val="•"/>
      <w:lvlJc w:val="left"/>
      <w:pPr>
        <w:ind w:left="4894" w:hanging="213"/>
      </w:pPr>
      <w:rPr>
        <w:rFonts w:hint="default"/>
        <w:lang w:val="zh-CN" w:eastAsia="zh-CN" w:bidi="zh-CN"/>
      </w:rPr>
    </w:lvl>
    <w:lvl w:ilvl="5" w:tplc="34E21C12">
      <w:numFmt w:val="bullet"/>
      <w:lvlText w:val="•"/>
      <w:lvlJc w:val="left"/>
      <w:pPr>
        <w:ind w:left="5853" w:hanging="213"/>
      </w:pPr>
      <w:rPr>
        <w:rFonts w:hint="default"/>
        <w:lang w:val="zh-CN" w:eastAsia="zh-CN" w:bidi="zh-CN"/>
      </w:rPr>
    </w:lvl>
    <w:lvl w:ilvl="6" w:tplc="4526570A">
      <w:numFmt w:val="bullet"/>
      <w:lvlText w:val="•"/>
      <w:lvlJc w:val="left"/>
      <w:pPr>
        <w:ind w:left="6811" w:hanging="213"/>
      </w:pPr>
      <w:rPr>
        <w:rFonts w:hint="default"/>
        <w:lang w:val="zh-CN" w:eastAsia="zh-CN" w:bidi="zh-CN"/>
      </w:rPr>
    </w:lvl>
    <w:lvl w:ilvl="7" w:tplc="AA203D44">
      <w:numFmt w:val="bullet"/>
      <w:lvlText w:val="•"/>
      <w:lvlJc w:val="left"/>
      <w:pPr>
        <w:ind w:left="7770" w:hanging="213"/>
      </w:pPr>
      <w:rPr>
        <w:rFonts w:hint="default"/>
        <w:lang w:val="zh-CN" w:eastAsia="zh-CN" w:bidi="zh-CN"/>
      </w:rPr>
    </w:lvl>
    <w:lvl w:ilvl="8" w:tplc="E932CF9E">
      <w:numFmt w:val="bullet"/>
      <w:lvlText w:val="•"/>
      <w:lvlJc w:val="left"/>
      <w:pPr>
        <w:ind w:left="8729" w:hanging="213"/>
      </w:pPr>
      <w:rPr>
        <w:rFonts w:hint="default"/>
        <w:lang w:val="zh-CN" w:eastAsia="zh-CN" w:bidi="zh-CN"/>
      </w:rPr>
    </w:lvl>
  </w:abstractNum>
  <w:abstractNum w:abstractNumId="609" w15:restartNumberingAfterBreak="0">
    <w:nsid w:val="5104529A"/>
    <w:multiLevelType w:val="hybridMultilevel"/>
    <w:tmpl w:val="26F61246"/>
    <w:lvl w:ilvl="0" w:tplc="4866F9AA">
      <w:start w:val="6"/>
      <w:numFmt w:val="decimal"/>
      <w:lvlText w:val="%1"/>
      <w:lvlJc w:val="left"/>
      <w:pPr>
        <w:ind w:left="1369" w:hanging="529"/>
        <w:jc w:val="left"/>
      </w:pPr>
      <w:rPr>
        <w:rFonts w:hint="default"/>
        <w:lang w:val="zh-CN" w:eastAsia="zh-CN" w:bidi="zh-CN"/>
      </w:rPr>
    </w:lvl>
    <w:lvl w:ilvl="1" w:tplc="99A284FA">
      <w:start w:val="7"/>
      <w:numFmt w:val="decimal"/>
      <w:lvlText w:val="%1.%2"/>
      <w:lvlJc w:val="left"/>
      <w:pPr>
        <w:ind w:left="1369" w:hanging="529"/>
        <w:jc w:val="left"/>
      </w:pPr>
      <w:rPr>
        <w:rFonts w:hint="default"/>
        <w:lang w:val="zh-CN" w:eastAsia="zh-CN" w:bidi="zh-CN"/>
      </w:rPr>
    </w:lvl>
    <w:lvl w:ilvl="2" w:tplc="E9AAD33C">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3350143A">
      <w:numFmt w:val="bullet"/>
      <w:lvlText w:val="•"/>
      <w:lvlJc w:val="left"/>
      <w:pPr>
        <w:ind w:left="4145" w:hanging="529"/>
      </w:pPr>
      <w:rPr>
        <w:rFonts w:hint="default"/>
        <w:lang w:val="zh-CN" w:eastAsia="zh-CN" w:bidi="zh-CN"/>
      </w:rPr>
    </w:lvl>
    <w:lvl w:ilvl="4" w:tplc="3E30037C">
      <w:numFmt w:val="bullet"/>
      <w:lvlText w:val="•"/>
      <w:lvlJc w:val="left"/>
      <w:pPr>
        <w:ind w:left="5074" w:hanging="529"/>
      </w:pPr>
      <w:rPr>
        <w:rFonts w:hint="default"/>
        <w:lang w:val="zh-CN" w:eastAsia="zh-CN" w:bidi="zh-CN"/>
      </w:rPr>
    </w:lvl>
    <w:lvl w:ilvl="5" w:tplc="0C14B5B4">
      <w:numFmt w:val="bullet"/>
      <w:lvlText w:val="•"/>
      <w:lvlJc w:val="left"/>
      <w:pPr>
        <w:ind w:left="6003" w:hanging="529"/>
      </w:pPr>
      <w:rPr>
        <w:rFonts w:hint="default"/>
        <w:lang w:val="zh-CN" w:eastAsia="zh-CN" w:bidi="zh-CN"/>
      </w:rPr>
    </w:lvl>
    <w:lvl w:ilvl="6" w:tplc="6D6C5790">
      <w:numFmt w:val="bullet"/>
      <w:lvlText w:val="•"/>
      <w:lvlJc w:val="left"/>
      <w:pPr>
        <w:ind w:left="6931" w:hanging="529"/>
      </w:pPr>
      <w:rPr>
        <w:rFonts w:hint="default"/>
        <w:lang w:val="zh-CN" w:eastAsia="zh-CN" w:bidi="zh-CN"/>
      </w:rPr>
    </w:lvl>
    <w:lvl w:ilvl="7" w:tplc="8A3CC484">
      <w:numFmt w:val="bullet"/>
      <w:lvlText w:val="•"/>
      <w:lvlJc w:val="left"/>
      <w:pPr>
        <w:ind w:left="7860" w:hanging="529"/>
      </w:pPr>
      <w:rPr>
        <w:rFonts w:hint="default"/>
        <w:lang w:val="zh-CN" w:eastAsia="zh-CN" w:bidi="zh-CN"/>
      </w:rPr>
    </w:lvl>
    <w:lvl w:ilvl="8" w:tplc="9C305554">
      <w:numFmt w:val="bullet"/>
      <w:lvlText w:val="•"/>
      <w:lvlJc w:val="left"/>
      <w:pPr>
        <w:ind w:left="8789" w:hanging="529"/>
      </w:pPr>
      <w:rPr>
        <w:rFonts w:hint="default"/>
        <w:lang w:val="zh-CN" w:eastAsia="zh-CN" w:bidi="zh-CN"/>
      </w:rPr>
    </w:lvl>
  </w:abstractNum>
  <w:abstractNum w:abstractNumId="610" w15:restartNumberingAfterBreak="0">
    <w:nsid w:val="512F346E"/>
    <w:multiLevelType w:val="hybridMultilevel"/>
    <w:tmpl w:val="5DEED4DA"/>
    <w:lvl w:ilvl="0" w:tplc="3D9E46E0">
      <w:start w:val="6"/>
      <w:numFmt w:val="decimal"/>
      <w:lvlText w:val="%1"/>
      <w:lvlJc w:val="left"/>
      <w:pPr>
        <w:ind w:left="1263" w:hanging="424"/>
        <w:jc w:val="left"/>
      </w:pPr>
      <w:rPr>
        <w:rFonts w:hint="default"/>
        <w:lang w:val="zh-CN" w:eastAsia="zh-CN" w:bidi="zh-CN"/>
      </w:rPr>
    </w:lvl>
    <w:lvl w:ilvl="1" w:tplc="7C4026BC">
      <w:start w:val="27"/>
      <w:numFmt w:val="decimal"/>
      <w:lvlText w:val="%1.%2"/>
      <w:lvlJc w:val="left"/>
      <w:pPr>
        <w:ind w:left="1263" w:hanging="424"/>
        <w:jc w:val="left"/>
      </w:pPr>
      <w:rPr>
        <w:rFonts w:ascii="宋体" w:eastAsia="宋体" w:hAnsi="宋体" w:cs="宋体" w:hint="default"/>
        <w:b/>
        <w:bCs/>
        <w:w w:val="99"/>
        <w:sz w:val="19"/>
        <w:szCs w:val="19"/>
        <w:lang w:val="zh-CN" w:eastAsia="zh-CN" w:bidi="zh-CN"/>
      </w:rPr>
    </w:lvl>
    <w:lvl w:ilvl="2" w:tplc="701C4414">
      <w:numFmt w:val="bullet"/>
      <w:lvlText w:val="•"/>
      <w:lvlJc w:val="left"/>
      <w:pPr>
        <w:ind w:left="3137" w:hanging="424"/>
      </w:pPr>
      <w:rPr>
        <w:rFonts w:hint="default"/>
        <w:lang w:val="zh-CN" w:eastAsia="zh-CN" w:bidi="zh-CN"/>
      </w:rPr>
    </w:lvl>
    <w:lvl w:ilvl="3" w:tplc="1A20BF4E">
      <w:numFmt w:val="bullet"/>
      <w:lvlText w:val="•"/>
      <w:lvlJc w:val="left"/>
      <w:pPr>
        <w:ind w:left="4075" w:hanging="424"/>
      </w:pPr>
      <w:rPr>
        <w:rFonts w:hint="default"/>
        <w:lang w:val="zh-CN" w:eastAsia="zh-CN" w:bidi="zh-CN"/>
      </w:rPr>
    </w:lvl>
    <w:lvl w:ilvl="4" w:tplc="A77A7D52">
      <w:numFmt w:val="bullet"/>
      <w:lvlText w:val="•"/>
      <w:lvlJc w:val="left"/>
      <w:pPr>
        <w:ind w:left="5014" w:hanging="424"/>
      </w:pPr>
      <w:rPr>
        <w:rFonts w:hint="default"/>
        <w:lang w:val="zh-CN" w:eastAsia="zh-CN" w:bidi="zh-CN"/>
      </w:rPr>
    </w:lvl>
    <w:lvl w:ilvl="5" w:tplc="2F76064A">
      <w:numFmt w:val="bullet"/>
      <w:lvlText w:val="•"/>
      <w:lvlJc w:val="left"/>
      <w:pPr>
        <w:ind w:left="5953" w:hanging="424"/>
      </w:pPr>
      <w:rPr>
        <w:rFonts w:hint="default"/>
        <w:lang w:val="zh-CN" w:eastAsia="zh-CN" w:bidi="zh-CN"/>
      </w:rPr>
    </w:lvl>
    <w:lvl w:ilvl="6" w:tplc="8492599A">
      <w:numFmt w:val="bullet"/>
      <w:lvlText w:val="•"/>
      <w:lvlJc w:val="left"/>
      <w:pPr>
        <w:ind w:left="6891" w:hanging="424"/>
      </w:pPr>
      <w:rPr>
        <w:rFonts w:hint="default"/>
        <w:lang w:val="zh-CN" w:eastAsia="zh-CN" w:bidi="zh-CN"/>
      </w:rPr>
    </w:lvl>
    <w:lvl w:ilvl="7" w:tplc="C95A3A9A">
      <w:numFmt w:val="bullet"/>
      <w:lvlText w:val="•"/>
      <w:lvlJc w:val="left"/>
      <w:pPr>
        <w:ind w:left="7830" w:hanging="424"/>
      </w:pPr>
      <w:rPr>
        <w:rFonts w:hint="default"/>
        <w:lang w:val="zh-CN" w:eastAsia="zh-CN" w:bidi="zh-CN"/>
      </w:rPr>
    </w:lvl>
    <w:lvl w:ilvl="8" w:tplc="7194AD62">
      <w:numFmt w:val="bullet"/>
      <w:lvlText w:val="•"/>
      <w:lvlJc w:val="left"/>
      <w:pPr>
        <w:ind w:left="8769" w:hanging="424"/>
      </w:pPr>
      <w:rPr>
        <w:rFonts w:hint="default"/>
        <w:lang w:val="zh-CN" w:eastAsia="zh-CN" w:bidi="zh-CN"/>
      </w:rPr>
    </w:lvl>
  </w:abstractNum>
  <w:abstractNum w:abstractNumId="611" w15:restartNumberingAfterBreak="0">
    <w:nsid w:val="513F17B9"/>
    <w:multiLevelType w:val="hybridMultilevel"/>
    <w:tmpl w:val="9E6E5022"/>
    <w:lvl w:ilvl="0" w:tplc="BD1A08D8">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ADE844AE">
      <w:numFmt w:val="bullet"/>
      <w:lvlText w:val="•"/>
      <w:lvlJc w:val="left"/>
      <w:pPr>
        <w:ind w:left="2288" w:hanging="529"/>
      </w:pPr>
      <w:rPr>
        <w:rFonts w:hint="default"/>
        <w:lang w:val="zh-CN" w:eastAsia="zh-CN" w:bidi="zh-CN"/>
      </w:rPr>
    </w:lvl>
    <w:lvl w:ilvl="2" w:tplc="55D2BE64">
      <w:numFmt w:val="bullet"/>
      <w:lvlText w:val="•"/>
      <w:lvlJc w:val="left"/>
      <w:pPr>
        <w:ind w:left="3217" w:hanging="529"/>
      </w:pPr>
      <w:rPr>
        <w:rFonts w:hint="default"/>
        <w:lang w:val="zh-CN" w:eastAsia="zh-CN" w:bidi="zh-CN"/>
      </w:rPr>
    </w:lvl>
    <w:lvl w:ilvl="3" w:tplc="98AC8026">
      <w:numFmt w:val="bullet"/>
      <w:lvlText w:val="•"/>
      <w:lvlJc w:val="left"/>
      <w:pPr>
        <w:ind w:left="4145" w:hanging="529"/>
      </w:pPr>
      <w:rPr>
        <w:rFonts w:hint="default"/>
        <w:lang w:val="zh-CN" w:eastAsia="zh-CN" w:bidi="zh-CN"/>
      </w:rPr>
    </w:lvl>
    <w:lvl w:ilvl="4" w:tplc="97FA011C">
      <w:numFmt w:val="bullet"/>
      <w:lvlText w:val="•"/>
      <w:lvlJc w:val="left"/>
      <w:pPr>
        <w:ind w:left="5074" w:hanging="529"/>
      </w:pPr>
      <w:rPr>
        <w:rFonts w:hint="default"/>
        <w:lang w:val="zh-CN" w:eastAsia="zh-CN" w:bidi="zh-CN"/>
      </w:rPr>
    </w:lvl>
    <w:lvl w:ilvl="5" w:tplc="05862788">
      <w:numFmt w:val="bullet"/>
      <w:lvlText w:val="•"/>
      <w:lvlJc w:val="left"/>
      <w:pPr>
        <w:ind w:left="6003" w:hanging="529"/>
      </w:pPr>
      <w:rPr>
        <w:rFonts w:hint="default"/>
        <w:lang w:val="zh-CN" w:eastAsia="zh-CN" w:bidi="zh-CN"/>
      </w:rPr>
    </w:lvl>
    <w:lvl w:ilvl="6" w:tplc="E9DC32F6">
      <w:numFmt w:val="bullet"/>
      <w:lvlText w:val="•"/>
      <w:lvlJc w:val="left"/>
      <w:pPr>
        <w:ind w:left="6931" w:hanging="529"/>
      </w:pPr>
      <w:rPr>
        <w:rFonts w:hint="default"/>
        <w:lang w:val="zh-CN" w:eastAsia="zh-CN" w:bidi="zh-CN"/>
      </w:rPr>
    </w:lvl>
    <w:lvl w:ilvl="7" w:tplc="5778E8F4">
      <w:numFmt w:val="bullet"/>
      <w:lvlText w:val="•"/>
      <w:lvlJc w:val="left"/>
      <w:pPr>
        <w:ind w:left="7860" w:hanging="529"/>
      </w:pPr>
      <w:rPr>
        <w:rFonts w:hint="default"/>
        <w:lang w:val="zh-CN" w:eastAsia="zh-CN" w:bidi="zh-CN"/>
      </w:rPr>
    </w:lvl>
    <w:lvl w:ilvl="8" w:tplc="64429F1A">
      <w:numFmt w:val="bullet"/>
      <w:lvlText w:val="•"/>
      <w:lvlJc w:val="left"/>
      <w:pPr>
        <w:ind w:left="8789" w:hanging="529"/>
      </w:pPr>
      <w:rPr>
        <w:rFonts w:hint="default"/>
        <w:lang w:val="zh-CN" w:eastAsia="zh-CN" w:bidi="zh-CN"/>
      </w:rPr>
    </w:lvl>
  </w:abstractNum>
  <w:abstractNum w:abstractNumId="612" w15:restartNumberingAfterBreak="0">
    <w:nsid w:val="51421BB1"/>
    <w:multiLevelType w:val="hybridMultilevel"/>
    <w:tmpl w:val="351E38AA"/>
    <w:lvl w:ilvl="0" w:tplc="5CEA156A">
      <w:start w:val="4"/>
      <w:numFmt w:val="lowerLetter"/>
      <w:lvlText w:val="%1)"/>
      <w:lvlJc w:val="left"/>
      <w:pPr>
        <w:ind w:left="1050" w:hanging="213"/>
        <w:jc w:val="left"/>
      </w:pPr>
      <w:rPr>
        <w:rFonts w:ascii="宋体" w:eastAsia="宋体" w:hAnsi="宋体" w:cs="宋体" w:hint="default"/>
        <w:spacing w:val="-3"/>
        <w:w w:val="99"/>
        <w:sz w:val="19"/>
        <w:szCs w:val="19"/>
        <w:lang w:val="zh-CN" w:eastAsia="zh-CN" w:bidi="zh-CN"/>
      </w:rPr>
    </w:lvl>
    <w:lvl w:ilvl="1" w:tplc="E8D0248E">
      <w:numFmt w:val="bullet"/>
      <w:lvlText w:val="•"/>
      <w:lvlJc w:val="left"/>
      <w:pPr>
        <w:ind w:left="2018" w:hanging="213"/>
      </w:pPr>
      <w:rPr>
        <w:rFonts w:hint="default"/>
        <w:lang w:val="zh-CN" w:eastAsia="zh-CN" w:bidi="zh-CN"/>
      </w:rPr>
    </w:lvl>
    <w:lvl w:ilvl="2" w:tplc="A59A9B9C">
      <w:numFmt w:val="bullet"/>
      <w:lvlText w:val="•"/>
      <w:lvlJc w:val="left"/>
      <w:pPr>
        <w:ind w:left="2977" w:hanging="213"/>
      </w:pPr>
      <w:rPr>
        <w:rFonts w:hint="default"/>
        <w:lang w:val="zh-CN" w:eastAsia="zh-CN" w:bidi="zh-CN"/>
      </w:rPr>
    </w:lvl>
    <w:lvl w:ilvl="3" w:tplc="4F864EDA">
      <w:numFmt w:val="bullet"/>
      <w:lvlText w:val="•"/>
      <w:lvlJc w:val="left"/>
      <w:pPr>
        <w:ind w:left="3935" w:hanging="213"/>
      </w:pPr>
      <w:rPr>
        <w:rFonts w:hint="default"/>
        <w:lang w:val="zh-CN" w:eastAsia="zh-CN" w:bidi="zh-CN"/>
      </w:rPr>
    </w:lvl>
    <w:lvl w:ilvl="4" w:tplc="81703548">
      <w:numFmt w:val="bullet"/>
      <w:lvlText w:val="•"/>
      <w:lvlJc w:val="left"/>
      <w:pPr>
        <w:ind w:left="4894" w:hanging="213"/>
      </w:pPr>
      <w:rPr>
        <w:rFonts w:hint="default"/>
        <w:lang w:val="zh-CN" w:eastAsia="zh-CN" w:bidi="zh-CN"/>
      </w:rPr>
    </w:lvl>
    <w:lvl w:ilvl="5" w:tplc="869CB046">
      <w:numFmt w:val="bullet"/>
      <w:lvlText w:val="•"/>
      <w:lvlJc w:val="left"/>
      <w:pPr>
        <w:ind w:left="5853" w:hanging="213"/>
      </w:pPr>
      <w:rPr>
        <w:rFonts w:hint="default"/>
        <w:lang w:val="zh-CN" w:eastAsia="zh-CN" w:bidi="zh-CN"/>
      </w:rPr>
    </w:lvl>
    <w:lvl w:ilvl="6" w:tplc="060C364C">
      <w:numFmt w:val="bullet"/>
      <w:lvlText w:val="•"/>
      <w:lvlJc w:val="left"/>
      <w:pPr>
        <w:ind w:left="6811" w:hanging="213"/>
      </w:pPr>
      <w:rPr>
        <w:rFonts w:hint="default"/>
        <w:lang w:val="zh-CN" w:eastAsia="zh-CN" w:bidi="zh-CN"/>
      </w:rPr>
    </w:lvl>
    <w:lvl w:ilvl="7" w:tplc="9246278E">
      <w:numFmt w:val="bullet"/>
      <w:lvlText w:val="•"/>
      <w:lvlJc w:val="left"/>
      <w:pPr>
        <w:ind w:left="7770" w:hanging="213"/>
      </w:pPr>
      <w:rPr>
        <w:rFonts w:hint="default"/>
        <w:lang w:val="zh-CN" w:eastAsia="zh-CN" w:bidi="zh-CN"/>
      </w:rPr>
    </w:lvl>
    <w:lvl w:ilvl="8" w:tplc="E85A56B8">
      <w:numFmt w:val="bullet"/>
      <w:lvlText w:val="•"/>
      <w:lvlJc w:val="left"/>
      <w:pPr>
        <w:ind w:left="8729" w:hanging="213"/>
      </w:pPr>
      <w:rPr>
        <w:rFonts w:hint="default"/>
        <w:lang w:val="zh-CN" w:eastAsia="zh-CN" w:bidi="zh-CN"/>
      </w:rPr>
    </w:lvl>
  </w:abstractNum>
  <w:abstractNum w:abstractNumId="613" w15:restartNumberingAfterBreak="0">
    <w:nsid w:val="514476A7"/>
    <w:multiLevelType w:val="hybridMultilevel"/>
    <w:tmpl w:val="4F141470"/>
    <w:lvl w:ilvl="0" w:tplc="821C09C0">
      <w:start w:val="6"/>
      <w:numFmt w:val="decimal"/>
      <w:lvlText w:val="%1"/>
      <w:lvlJc w:val="left"/>
      <w:pPr>
        <w:ind w:left="1158" w:hanging="318"/>
        <w:jc w:val="left"/>
      </w:pPr>
      <w:rPr>
        <w:rFonts w:hint="default"/>
        <w:lang w:val="zh-CN" w:eastAsia="zh-CN" w:bidi="zh-CN"/>
      </w:rPr>
    </w:lvl>
    <w:lvl w:ilvl="1" w:tplc="519404EC">
      <w:start w:val="4"/>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518CCFA8">
      <w:start w:val="1"/>
      <w:numFmt w:val="decimal"/>
      <w:lvlText w:val="%1.%2.%3"/>
      <w:lvlJc w:val="left"/>
      <w:pPr>
        <w:ind w:left="1423" w:hanging="584"/>
        <w:jc w:val="left"/>
      </w:pPr>
      <w:rPr>
        <w:rFonts w:ascii="宋体" w:eastAsia="宋体" w:hAnsi="宋体" w:cs="宋体" w:hint="default"/>
        <w:b/>
        <w:bCs/>
        <w:w w:val="99"/>
        <w:sz w:val="21"/>
        <w:szCs w:val="21"/>
        <w:lang w:val="zh-CN" w:eastAsia="zh-CN" w:bidi="zh-CN"/>
      </w:rPr>
    </w:lvl>
    <w:lvl w:ilvl="3" w:tplc="FE021A20">
      <w:numFmt w:val="bullet"/>
      <w:lvlText w:val="•"/>
      <w:lvlJc w:val="left"/>
      <w:pPr>
        <w:ind w:left="3470" w:hanging="584"/>
      </w:pPr>
      <w:rPr>
        <w:rFonts w:hint="default"/>
        <w:lang w:val="zh-CN" w:eastAsia="zh-CN" w:bidi="zh-CN"/>
      </w:rPr>
    </w:lvl>
    <w:lvl w:ilvl="4" w:tplc="BCA0C098">
      <w:numFmt w:val="bullet"/>
      <w:lvlText w:val="•"/>
      <w:lvlJc w:val="left"/>
      <w:pPr>
        <w:ind w:left="4495" w:hanging="584"/>
      </w:pPr>
      <w:rPr>
        <w:rFonts w:hint="default"/>
        <w:lang w:val="zh-CN" w:eastAsia="zh-CN" w:bidi="zh-CN"/>
      </w:rPr>
    </w:lvl>
    <w:lvl w:ilvl="5" w:tplc="22043F9E">
      <w:numFmt w:val="bullet"/>
      <w:lvlText w:val="•"/>
      <w:lvlJc w:val="left"/>
      <w:pPr>
        <w:ind w:left="5520" w:hanging="584"/>
      </w:pPr>
      <w:rPr>
        <w:rFonts w:hint="default"/>
        <w:lang w:val="zh-CN" w:eastAsia="zh-CN" w:bidi="zh-CN"/>
      </w:rPr>
    </w:lvl>
    <w:lvl w:ilvl="6" w:tplc="14346D94">
      <w:numFmt w:val="bullet"/>
      <w:lvlText w:val="•"/>
      <w:lvlJc w:val="left"/>
      <w:pPr>
        <w:ind w:left="6545" w:hanging="584"/>
      </w:pPr>
      <w:rPr>
        <w:rFonts w:hint="default"/>
        <w:lang w:val="zh-CN" w:eastAsia="zh-CN" w:bidi="zh-CN"/>
      </w:rPr>
    </w:lvl>
    <w:lvl w:ilvl="7" w:tplc="45C643BE">
      <w:numFmt w:val="bullet"/>
      <w:lvlText w:val="•"/>
      <w:lvlJc w:val="left"/>
      <w:pPr>
        <w:ind w:left="7570" w:hanging="584"/>
      </w:pPr>
      <w:rPr>
        <w:rFonts w:hint="default"/>
        <w:lang w:val="zh-CN" w:eastAsia="zh-CN" w:bidi="zh-CN"/>
      </w:rPr>
    </w:lvl>
    <w:lvl w:ilvl="8" w:tplc="31003DD8">
      <w:numFmt w:val="bullet"/>
      <w:lvlText w:val="•"/>
      <w:lvlJc w:val="left"/>
      <w:pPr>
        <w:ind w:left="8596" w:hanging="584"/>
      </w:pPr>
      <w:rPr>
        <w:rFonts w:hint="default"/>
        <w:lang w:val="zh-CN" w:eastAsia="zh-CN" w:bidi="zh-CN"/>
      </w:rPr>
    </w:lvl>
  </w:abstractNum>
  <w:abstractNum w:abstractNumId="614" w15:restartNumberingAfterBreak="0">
    <w:nsid w:val="517F2FAF"/>
    <w:multiLevelType w:val="hybridMultilevel"/>
    <w:tmpl w:val="31562FB0"/>
    <w:lvl w:ilvl="0" w:tplc="F3325F0A">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799E35E4">
      <w:numFmt w:val="bullet"/>
      <w:lvlText w:val="•"/>
      <w:lvlJc w:val="left"/>
      <w:pPr>
        <w:ind w:left="2288" w:hanging="529"/>
      </w:pPr>
      <w:rPr>
        <w:rFonts w:hint="default"/>
        <w:lang w:val="zh-CN" w:eastAsia="zh-CN" w:bidi="zh-CN"/>
      </w:rPr>
    </w:lvl>
    <w:lvl w:ilvl="2" w:tplc="BE6002B4">
      <w:numFmt w:val="bullet"/>
      <w:lvlText w:val="•"/>
      <w:lvlJc w:val="left"/>
      <w:pPr>
        <w:ind w:left="3217" w:hanging="529"/>
      </w:pPr>
      <w:rPr>
        <w:rFonts w:hint="default"/>
        <w:lang w:val="zh-CN" w:eastAsia="zh-CN" w:bidi="zh-CN"/>
      </w:rPr>
    </w:lvl>
    <w:lvl w:ilvl="3" w:tplc="EB0E3DD4">
      <w:numFmt w:val="bullet"/>
      <w:lvlText w:val="•"/>
      <w:lvlJc w:val="left"/>
      <w:pPr>
        <w:ind w:left="4145" w:hanging="529"/>
      </w:pPr>
      <w:rPr>
        <w:rFonts w:hint="default"/>
        <w:lang w:val="zh-CN" w:eastAsia="zh-CN" w:bidi="zh-CN"/>
      </w:rPr>
    </w:lvl>
    <w:lvl w:ilvl="4" w:tplc="6BA65722">
      <w:numFmt w:val="bullet"/>
      <w:lvlText w:val="•"/>
      <w:lvlJc w:val="left"/>
      <w:pPr>
        <w:ind w:left="5074" w:hanging="529"/>
      </w:pPr>
      <w:rPr>
        <w:rFonts w:hint="default"/>
        <w:lang w:val="zh-CN" w:eastAsia="zh-CN" w:bidi="zh-CN"/>
      </w:rPr>
    </w:lvl>
    <w:lvl w:ilvl="5" w:tplc="0C14A346">
      <w:numFmt w:val="bullet"/>
      <w:lvlText w:val="•"/>
      <w:lvlJc w:val="left"/>
      <w:pPr>
        <w:ind w:left="6003" w:hanging="529"/>
      </w:pPr>
      <w:rPr>
        <w:rFonts w:hint="default"/>
        <w:lang w:val="zh-CN" w:eastAsia="zh-CN" w:bidi="zh-CN"/>
      </w:rPr>
    </w:lvl>
    <w:lvl w:ilvl="6" w:tplc="652EF1FA">
      <w:numFmt w:val="bullet"/>
      <w:lvlText w:val="•"/>
      <w:lvlJc w:val="left"/>
      <w:pPr>
        <w:ind w:left="6931" w:hanging="529"/>
      </w:pPr>
      <w:rPr>
        <w:rFonts w:hint="default"/>
        <w:lang w:val="zh-CN" w:eastAsia="zh-CN" w:bidi="zh-CN"/>
      </w:rPr>
    </w:lvl>
    <w:lvl w:ilvl="7" w:tplc="8E9A0DC0">
      <w:numFmt w:val="bullet"/>
      <w:lvlText w:val="•"/>
      <w:lvlJc w:val="left"/>
      <w:pPr>
        <w:ind w:left="7860" w:hanging="529"/>
      </w:pPr>
      <w:rPr>
        <w:rFonts w:hint="default"/>
        <w:lang w:val="zh-CN" w:eastAsia="zh-CN" w:bidi="zh-CN"/>
      </w:rPr>
    </w:lvl>
    <w:lvl w:ilvl="8" w:tplc="033C8680">
      <w:numFmt w:val="bullet"/>
      <w:lvlText w:val="•"/>
      <w:lvlJc w:val="left"/>
      <w:pPr>
        <w:ind w:left="8789" w:hanging="529"/>
      </w:pPr>
      <w:rPr>
        <w:rFonts w:hint="default"/>
        <w:lang w:val="zh-CN" w:eastAsia="zh-CN" w:bidi="zh-CN"/>
      </w:rPr>
    </w:lvl>
  </w:abstractNum>
  <w:abstractNum w:abstractNumId="615" w15:restartNumberingAfterBreak="0">
    <w:nsid w:val="51AB5FDF"/>
    <w:multiLevelType w:val="hybridMultilevel"/>
    <w:tmpl w:val="796219D2"/>
    <w:lvl w:ilvl="0" w:tplc="03AC1B4E">
      <w:start w:val="6"/>
      <w:numFmt w:val="decimal"/>
      <w:lvlText w:val="%1"/>
      <w:lvlJc w:val="left"/>
      <w:pPr>
        <w:ind w:left="418" w:hanging="950"/>
        <w:jc w:val="left"/>
      </w:pPr>
      <w:rPr>
        <w:rFonts w:hint="default"/>
        <w:lang w:val="zh-CN" w:eastAsia="zh-CN" w:bidi="zh-CN"/>
      </w:rPr>
    </w:lvl>
    <w:lvl w:ilvl="1" w:tplc="F4B21904">
      <w:start w:val="8"/>
      <w:numFmt w:val="decimal"/>
      <w:lvlText w:val="%1.%2"/>
      <w:lvlJc w:val="left"/>
      <w:pPr>
        <w:ind w:left="418" w:hanging="950"/>
        <w:jc w:val="left"/>
      </w:pPr>
      <w:rPr>
        <w:rFonts w:hint="default"/>
        <w:lang w:val="zh-CN" w:eastAsia="zh-CN" w:bidi="zh-CN"/>
      </w:rPr>
    </w:lvl>
    <w:lvl w:ilvl="2" w:tplc="16B43EF0">
      <w:start w:val="3"/>
      <w:numFmt w:val="decimal"/>
      <w:lvlText w:val="%1.%2.%3"/>
      <w:lvlJc w:val="left"/>
      <w:pPr>
        <w:ind w:left="418" w:hanging="950"/>
        <w:jc w:val="left"/>
      </w:pPr>
      <w:rPr>
        <w:rFonts w:hint="default"/>
        <w:lang w:val="zh-CN" w:eastAsia="zh-CN" w:bidi="zh-CN"/>
      </w:rPr>
    </w:lvl>
    <w:lvl w:ilvl="3" w:tplc="DDF82640">
      <w:start w:val="2"/>
      <w:numFmt w:val="decimal"/>
      <w:lvlText w:val="%1.%2.%3.%4"/>
      <w:lvlJc w:val="left"/>
      <w:pPr>
        <w:ind w:left="418" w:hanging="950"/>
        <w:jc w:val="left"/>
      </w:pPr>
      <w:rPr>
        <w:rFonts w:hint="default"/>
        <w:lang w:val="zh-CN" w:eastAsia="zh-CN" w:bidi="zh-CN"/>
      </w:rPr>
    </w:lvl>
    <w:lvl w:ilvl="4" w:tplc="E33E8696">
      <w:start w:val="1"/>
      <w:numFmt w:val="decimal"/>
      <w:lvlText w:val="%1.%2.%3.%4.%5"/>
      <w:lvlJc w:val="left"/>
      <w:pPr>
        <w:ind w:left="418" w:hanging="950"/>
        <w:jc w:val="left"/>
      </w:pPr>
      <w:rPr>
        <w:rFonts w:ascii="宋体" w:eastAsia="宋体" w:hAnsi="宋体" w:cs="宋体" w:hint="default"/>
        <w:spacing w:val="-3"/>
        <w:w w:val="100"/>
        <w:sz w:val="19"/>
        <w:szCs w:val="19"/>
        <w:lang w:val="zh-CN" w:eastAsia="zh-CN" w:bidi="zh-CN"/>
      </w:rPr>
    </w:lvl>
    <w:lvl w:ilvl="5" w:tplc="9B0A490A">
      <w:numFmt w:val="bullet"/>
      <w:lvlText w:val="•"/>
      <w:lvlJc w:val="left"/>
      <w:pPr>
        <w:ind w:left="5533" w:hanging="950"/>
      </w:pPr>
      <w:rPr>
        <w:rFonts w:hint="default"/>
        <w:lang w:val="zh-CN" w:eastAsia="zh-CN" w:bidi="zh-CN"/>
      </w:rPr>
    </w:lvl>
    <w:lvl w:ilvl="6" w:tplc="64F8D3B2">
      <w:numFmt w:val="bullet"/>
      <w:lvlText w:val="•"/>
      <w:lvlJc w:val="left"/>
      <w:pPr>
        <w:ind w:left="6555" w:hanging="950"/>
      </w:pPr>
      <w:rPr>
        <w:rFonts w:hint="default"/>
        <w:lang w:val="zh-CN" w:eastAsia="zh-CN" w:bidi="zh-CN"/>
      </w:rPr>
    </w:lvl>
    <w:lvl w:ilvl="7" w:tplc="F6F6FCF4">
      <w:numFmt w:val="bullet"/>
      <w:lvlText w:val="•"/>
      <w:lvlJc w:val="left"/>
      <w:pPr>
        <w:ind w:left="7578" w:hanging="950"/>
      </w:pPr>
      <w:rPr>
        <w:rFonts w:hint="default"/>
        <w:lang w:val="zh-CN" w:eastAsia="zh-CN" w:bidi="zh-CN"/>
      </w:rPr>
    </w:lvl>
    <w:lvl w:ilvl="8" w:tplc="B1C0A36E">
      <w:numFmt w:val="bullet"/>
      <w:lvlText w:val="•"/>
      <w:lvlJc w:val="left"/>
      <w:pPr>
        <w:ind w:left="8601" w:hanging="950"/>
      </w:pPr>
      <w:rPr>
        <w:rFonts w:hint="default"/>
        <w:lang w:val="zh-CN" w:eastAsia="zh-CN" w:bidi="zh-CN"/>
      </w:rPr>
    </w:lvl>
  </w:abstractNum>
  <w:abstractNum w:abstractNumId="616" w15:restartNumberingAfterBreak="0">
    <w:nsid w:val="51DF3150"/>
    <w:multiLevelType w:val="hybridMultilevel"/>
    <w:tmpl w:val="24BCAF32"/>
    <w:lvl w:ilvl="0" w:tplc="B4EA20E2">
      <w:start w:val="2"/>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0A105EAC">
      <w:numFmt w:val="bullet"/>
      <w:lvlText w:val="•"/>
      <w:lvlJc w:val="left"/>
      <w:pPr>
        <w:ind w:left="2018" w:hanging="213"/>
      </w:pPr>
      <w:rPr>
        <w:rFonts w:hint="default"/>
        <w:lang w:val="zh-CN" w:eastAsia="zh-CN" w:bidi="zh-CN"/>
      </w:rPr>
    </w:lvl>
    <w:lvl w:ilvl="2" w:tplc="44247FDC">
      <w:numFmt w:val="bullet"/>
      <w:lvlText w:val="•"/>
      <w:lvlJc w:val="left"/>
      <w:pPr>
        <w:ind w:left="2977" w:hanging="213"/>
      </w:pPr>
      <w:rPr>
        <w:rFonts w:hint="default"/>
        <w:lang w:val="zh-CN" w:eastAsia="zh-CN" w:bidi="zh-CN"/>
      </w:rPr>
    </w:lvl>
    <w:lvl w:ilvl="3" w:tplc="B9F457D8">
      <w:numFmt w:val="bullet"/>
      <w:lvlText w:val="•"/>
      <w:lvlJc w:val="left"/>
      <w:pPr>
        <w:ind w:left="3935" w:hanging="213"/>
      </w:pPr>
      <w:rPr>
        <w:rFonts w:hint="default"/>
        <w:lang w:val="zh-CN" w:eastAsia="zh-CN" w:bidi="zh-CN"/>
      </w:rPr>
    </w:lvl>
    <w:lvl w:ilvl="4" w:tplc="51EE708C">
      <w:numFmt w:val="bullet"/>
      <w:lvlText w:val="•"/>
      <w:lvlJc w:val="left"/>
      <w:pPr>
        <w:ind w:left="4894" w:hanging="213"/>
      </w:pPr>
      <w:rPr>
        <w:rFonts w:hint="default"/>
        <w:lang w:val="zh-CN" w:eastAsia="zh-CN" w:bidi="zh-CN"/>
      </w:rPr>
    </w:lvl>
    <w:lvl w:ilvl="5" w:tplc="4C3E34FA">
      <w:numFmt w:val="bullet"/>
      <w:lvlText w:val="•"/>
      <w:lvlJc w:val="left"/>
      <w:pPr>
        <w:ind w:left="5853" w:hanging="213"/>
      </w:pPr>
      <w:rPr>
        <w:rFonts w:hint="default"/>
        <w:lang w:val="zh-CN" w:eastAsia="zh-CN" w:bidi="zh-CN"/>
      </w:rPr>
    </w:lvl>
    <w:lvl w:ilvl="6" w:tplc="D9981954">
      <w:numFmt w:val="bullet"/>
      <w:lvlText w:val="•"/>
      <w:lvlJc w:val="left"/>
      <w:pPr>
        <w:ind w:left="6811" w:hanging="213"/>
      </w:pPr>
      <w:rPr>
        <w:rFonts w:hint="default"/>
        <w:lang w:val="zh-CN" w:eastAsia="zh-CN" w:bidi="zh-CN"/>
      </w:rPr>
    </w:lvl>
    <w:lvl w:ilvl="7" w:tplc="1F88EF8A">
      <w:numFmt w:val="bullet"/>
      <w:lvlText w:val="•"/>
      <w:lvlJc w:val="left"/>
      <w:pPr>
        <w:ind w:left="7770" w:hanging="213"/>
      </w:pPr>
      <w:rPr>
        <w:rFonts w:hint="default"/>
        <w:lang w:val="zh-CN" w:eastAsia="zh-CN" w:bidi="zh-CN"/>
      </w:rPr>
    </w:lvl>
    <w:lvl w:ilvl="8" w:tplc="0DAE220E">
      <w:numFmt w:val="bullet"/>
      <w:lvlText w:val="•"/>
      <w:lvlJc w:val="left"/>
      <w:pPr>
        <w:ind w:left="8729" w:hanging="213"/>
      </w:pPr>
      <w:rPr>
        <w:rFonts w:hint="default"/>
        <w:lang w:val="zh-CN" w:eastAsia="zh-CN" w:bidi="zh-CN"/>
      </w:rPr>
    </w:lvl>
  </w:abstractNum>
  <w:abstractNum w:abstractNumId="617" w15:restartNumberingAfterBreak="0">
    <w:nsid w:val="52042561"/>
    <w:multiLevelType w:val="hybridMultilevel"/>
    <w:tmpl w:val="66A439F8"/>
    <w:lvl w:ilvl="0" w:tplc="713C7452">
      <w:start w:val="5"/>
      <w:numFmt w:val="decimal"/>
      <w:lvlText w:val="%1"/>
      <w:lvlJc w:val="left"/>
      <w:pPr>
        <w:ind w:left="1787" w:hanging="950"/>
        <w:jc w:val="left"/>
      </w:pPr>
      <w:rPr>
        <w:rFonts w:hint="default"/>
        <w:lang w:val="zh-CN" w:eastAsia="zh-CN" w:bidi="zh-CN"/>
      </w:rPr>
    </w:lvl>
    <w:lvl w:ilvl="1" w:tplc="CAA6BABE">
      <w:start w:val="4"/>
      <w:numFmt w:val="decimal"/>
      <w:lvlText w:val="%1.%2"/>
      <w:lvlJc w:val="left"/>
      <w:pPr>
        <w:ind w:left="1787" w:hanging="950"/>
        <w:jc w:val="left"/>
      </w:pPr>
      <w:rPr>
        <w:rFonts w:hint="default"/>
        <w:lang w:val="zh-CN" w:eastAsia="zh-CN" w:bidi="zh-CN"/>
      </w:rPr>
    </w:lvl>
    <w:lvl w:ilvl="2" w:tplc="9DC65C5E">
      <w:start w:val="3"/>
      <w:numFmt w:val="decimal"/>
      <w:lvlText w:val="%1.%2.%3"/>
      <w:lvlJc w:val="left"/>
      <w:pPr>
        <w:ind w:left="1787" w:hanging="950"/>
        <w:jc w:val="left"/>
      </w:pPr>
      <w:rPr>
        <w:rFonts w:hint="default"/>
        <w:lang w:val="zh-CN" w:eastAsia="zh-CN" w:bidi="zh-CN"/>
      </w:rPr>
    </w:lvl>
    <w:lvl w:ilvl="3" w:tplc="03CE2DCA">
      <w:start w:val="1"/>
      <w:numFmt w:val="decimal"/>
      <w:lvlText w:val="%1.%2.%3.%4"/>
      <w:lvlJc w:val="left"/>
      <w:pPr>
        <w:ind w:left="1787" w:hanging="950"/>
        <w:jc w:val="left"/>
      </w:pPr>
      <w:rPr>
        <w:rFonts w:hint="default"/>
        <w:lang w:val="zh-CN" w:eastAsia="zh-CN" w:bidi="zh-CN"/>
      </w:rPr>
    </w:lvl>
    <w:lvl w:ilvl="4" w:tplc="0BC255A8">
      <w:start w:val="3"/>
      <w:numFmt w:val="decimal"/>
      <w:lvlText w:val="%1.%2.%3.%4.%5"/>
      <w:lvlJc w:val="left"/>
      <w:pPr>
        <w:ind w:left="1787" w:hanging="950"/>
        <w:jc w:val="left"/>
      </w:pPr>
      <w:rPr>
        <w:rFonts w:ascii="宋体" w:eastAsia="宋体" w:hAnsi="宋体" w:cs="宋体" w:hint="default"/>
        <w:spacing w:val="-3"/>
        <w:w w:val="100"/>
        <w:sz w:val="19"/>
        <w:szCs w:val="19"/>
        <w:lang w:val="zh-CN" w:eastAsia="zh-CN" w:bidi="zh-CN"/>
      </w:rPr>
    </w:lvl>
    <w:lvl w:ilvl="5" w:tplc="8E7A5D0E">
      <w:numFmt w:val="bullet"/>
      <w:lvlText w:val="•"/>
      <w:lvlJc w:val="left"/>
      <w:pPr>
        <w:ind w:left="6213" w:hanging="950"/>
      </w:pPr>
      <w:rPr>
        <w:rFonts w:hint="default"/>
        <w:lang w:val="zh-CN" w:eastAsia="zh-CN" w:bidi="zh-CN"/>
      </w:rPr>
    </w:lvl>
    <w:lvl w:ilvl="6" w:tplc="7A92A822">
      <w:numFmt w:val="bullet"/>
      <w:lvlText w:val="•"/>
      <w:lvlJc w:val="left"/>
      <w:pPr>
        <w:ind w:left="7099" w:hanging="950"/>
      </w:pPr>
      <w:rPr>
        <w:rFonts w:hint="default"/>
        <w:lang w:val="zh-CN" w:eastAsia="zh-CN" w:bidi="zh-CN"/>
      </w:rPr>
    </w:lvl>
    <w:lvl w:ilvl="7" w:tplc="BEEAB1CE">
      <w:numFmt w:val="bullet"/>
      <w:lvlText w:val="•"/>
      <w:lvlJc w:val="left"/>
      <w:pPr>
        <w:ind w:left="7986" w:hanging="950"/>
      </w:pPr>
      <w:rPr>
        <w:rFonts w:hint="default"/>
        <w:lang w:val="zh-CN" w:eastAsia="zh-CN" w:bidi="zh-CN"/>
      </w:rPr>
    </w:lvl>
    <w:lvl w:ilvl="8" w:tplc="D05857EC">
      <w:numFmt w:val="bullet"/>
      <w:lvlText w:val="•"/>
      <w:lvlJc w:val="left"/>
      <w:pPr>
        <w:ind w:left="8873" w:hanging="950"/>
      </w:pPr>
      <w:rPr>
        <w:rFonts w:hint="default"/>
        <w:lang w:val="zh-CN" w:eastAsia="zh-CN" w:bidi="zh-CN"/>
      </w:rPr>
    </w:lvl>
  </w:abstractNum>
  <w:abstractNum w:abstractNumId="618" w15:restartNumberingAfterBreak="0">
    <w:nsid w:val="520B44B0"/>
    <w:multiLevelType w:val="hybridMultilevel"/>
    <w:tmpl w:val="CA40AD2E"/>
    <w:lvl w:ilvl="0" w:tplc="474A5988">
      <w:start w:val="4"/>
      <w:numFmt w:val="decimal"/>
      <w:lvlText w:val="%1"/>
      <w:lvlJc w:val="left"/>
      <w:pPr>
        <w:ind w:left="1158" w:hanging="318"/>
        <w:jc w:val="left"/>
      </w:pPr>
      <w:rPr>
        <w:rFonts w:hint="default"/>
        <w:lang w:val="zh-CN" w:eastAsia="zh-CN" w:bidi="zh-CN"/>
      </w:rPr>
    </w:lvl>
    <w:lvl w:ilvl="1" w:tplc="132006E8">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5F282006">
      <w:start w:val="1"/>
      <w:numFmt w:val="decimal"/>
      <w:lvlText w:val="%1.%2.%3"/>
      <w:lvlJc w:val="left"/>
      <w:pPr>
        <w:ind w:left="418" w:hanging="584"/>
        <w:jc w:val="left"/>
      </w:pPr>
      <w:rPr>
        <w:rFonts w:ascii="宋体" w:eastAsia="宋体" w:hAnsi="宋体" w:cs="宋体" w:hint="default"/>
        <w:b/>
        <w:bCs/>
        <w:w w:val="99"/>
        <w:sz w:val="21"/>
        <w:szCs w:val="21"/>
        <w:lang w:val="zh-CN" w:eastAsia="zh-CN" w:bidi="zh-CN"/>
      </w:rPr>
    </w:lvl>
    <w:lvl w:ilvl="3" w:tplc="DDC0AD38">
      <w:numFmt w:val="bullet"/>
      <w:lvlText w:val="•"/>
      <w:lvlJc w:val="left"/>
      <w:pPr>
        <w:ind w:left="3268" w:hanging="584"/>
      </w:pPr>
      <w:rPr>
        <w:rFonts w:hint="default"/>
        <w:lang w:val="zh-CN" w:eastAsia="zh-CN" w:bidi="zh-CN"/>
      </w:rPr>
    </w:lvl>
    <w:lvl w:ilvl="4" w:tplc="BE52EE02">
      <w:numFmt w:val="bullet"/>
      <w:lvlText w:val="•"/>
      <w:lvlJc w:val="left"/>
      <w:pPr>
        <w:ind w:left="4322" w:hanging="584"/>
      </w:pPr>
      <w:rPr>
        <w:rFonts w:hint="default"/>
        <w:lang w:val="zh-CN" w:eastAsia="zh-CN" w:bidi="zh-CN"/>
      </w:rPr>
    </w:lvl>
    <w:lvl w:ilvl="5" w:tplc="85547C8E">
      <w:numFmt w:val="bullet"/>
      <w:lvlText w:val="•"/>
      <w:lvlJc w:val="left"/>
      <w:pPr>
        <w:ind w:left="5376" w:hanging="584"/>
      </w:pPr>
      <w:rPr>
        <w:rFonts w:hint="default"/>
        <w:lang w:val="zh-CN" w:eastAsia="zh-CN" w:bidi="zh-CN"/>
      </w:rPr>
    </w:lvl>
    <w:lvl w:ilvl="6" w:tplc="F734370E">
      <w:numFmt w:val="bullet"/>
      <w:lvlText w:val="•"/>
      <w:lvlJc w:val="left"/>
      <w:pPr>
        <w:ind w:left="6430" w:hanging="584"/>
      </w:pPr>
      <w:rPr>
        <w:rFonts w:hint="default"/>
        <w:lang w:val="zh-CN" w:eastAsia="zh-CN" w:bidi="zh-CN"/>
      </w:rPr>
    </w:lvl>
    <w:lvl w:ilvl="7" w:tplc="5AD8888E">
      <w:numFmt w:val="bullet"/>
      <w:lvlText w:val="•"/>
      <w:lvlJc w:val="left"/>
      <w:pPr>
        <w:ind w:left="7484" w:hanging="584"/>
      </w:pPr>
      <w:rPr>
        <w:rFonts w:hint="default"/>
        <w:lang w:val="zh-CN" w:eastAsia="zh-CN" w:bidi="zh-CN"/>
      </w:rPr>
    </w:lvl>
    <w:lvl w:ilvl="8" w:tplc="49E8DD80">
      <w:numFmt w:val="bullet"/>
      <w:lvlText w:val="•"/>
      <w:lvlJc w:val="left"/>
      <w:pPr>
        <w:ind w:left="8538" w:hanging="584"/>
      </w:pPr>
      <w:rPr>
        <w:rFonts w:hint="default"/>
        <w:lang w:val="zh-CN" w:eastAsia="zh-CN" w:bidi="zh-CN"/>
      </w:rPr>
    </w:lvl>
  </w:abstractNum>
  <w:abstractNum w:abstractNumId="619" w15:restartNumberingAfterBreak="0">
    <w:nsid w:val="522B7480"/>
    <w:multiLevelType w:val="hybridMultilevel"/>
    <w:tmpl w:val="270EB030"/>
    <w:lvl w:ilvl="0" w:tplc="C2B89906">
      <w:start w:val="1"/>
      <w:numFmt w:val="decimal"/>
      <w:lvlText w:val="%1"/>
      <w:lvlJc w:val="left"/>
      <w:pPr>
        <w:ind w:left="418" w:hanging="318"/>
        <w:jc w:val="left"/>
      </w:pPr>
      <w:rPr>
        <w:rFonts w:hint="default"/>
        <w:lang w:val="zh-CN" w:eastAsia="zh-CN" w:bidi="zh-CN"/>
      </w:rPr>
    </w:lvl>
    <w:lvl w:ilvl="1" w:tplc="1A826E74">
      <w:start w:val="1"/>
      <w:numFmt w:val="decimal"/>
      <w:lvlText w:val="%1.%2"/>
      <w:lvlJc w:val="left"/>
      <w:pPr>
        <w:ind w:left="418" w:hanging="318"/>
        <w:jc w:val="left"/>
      </w:pPr>
      <w:rPr>
        <w:rFonts w:ascii="宋体" w:eastAsia="宋体" w:hAnsi="宋体" w:cs="宋体" w:hint="default"/>
        <w:b/>
        <w:bCs/>
        <w:spacing w:val="-27"/>
        <w:w w:val="99"/>
        <w:sz w:val="19"/>
        <w:szCs w:val="19"/>
        <w:lang w:val="zh-CN" w:eastAsia="zh-CN" w:bidi="zh-CN"/>
      </w:rPr>
    </w:lvl>
    <w:lvl w:ilvl="2" w:tplc="D0BEAE0A">
      <w:numFmt w:val="bullet"/>
      <w:lvlText w:val="•"/>
      <w:lvlJc w:val="left"/>
      <w:pPr>
        <w:ind w:left="2465" w:hanging="318"/>
      </w:pPr>
      <w:rPr>
        <w:rFonts w:hint="default"/>
        <w:lang w:val="zh-CN" w:eastAsia="zh-CN" w:bidi="zh-CN"/>
      </w:rPr>
    </w:lvl>
    <w:lvl w:ilvl="3" w:tplc="64384A44">
      <w:numFmt w:val="bullet"/>
      <w:lvlText w:val="•"/>
      <w:lvlJc w:val="left"/>
      <w:pPr>
        <w:ind w:left="3487" w:hanging="318"/>
      </w:pPr>
      <w:rPr>
        <w:rFonts w:hint="default"/>
        <w:lang w:val="zh-CN" w:eastAsia="zh-CN" w:bidi="zh-CN"/>
      </w:rPr>
    </w:lvl>
    <w:lvl w:ilvl="4" w:tplc="9EEAFDDE">
      <w:numFmt w:val="bullet"/>
      <w:lvlText w:val="•"/>
      <w:lvlJc w:val="left"/>
      <w:pPr>
        <w:ind w:left="4510" w:hanging="318"/>
      </w:pPr>
      <w:rPr>
        <w:rFonts w:hint="default"/>
        <w:lang w:val="zh-CN" w:eastAsia="zh-CN" w:bidi="zh-CN"/>
      </w:rPr>
    </w:lvl>
    <w:lvl w:ilvl="5" w:tplc="D6E0DE6A">
      <w:numFmt w:val="bullet"/>
      <w:lvlText w:val="•"/>
      <w:lvlJc w:val="left"/>
      <w:pPr>
        <w:ind w:left="5533" w:hanging="318"/>
      </w:pPr>
      <w:rPr>
        <w:rFonts w:hint="default"/>
        <w:lang w:val="zh-CN" w:eastAsia="zh-CN" w:bidi="zh-CN"/>
      </w:rPr>
    </w:lvl>
    <w:lvl w:ilvl="6" w:tplc="429230E4">
      <w:numFmt w:val="bullet"/>
      <w:lvlText w:val="•"/>
      <w:lvlJc w:val="left"/>
      <w:pPr>
        <w:ind w:left="6555" w:hanging="318"/>
      </w:pPr>
      <w:rPr>
        <w:rFonts w:hint="default"/>
        <w:lang w:val="zh-CN" w:eastAsia="zh-CN" w:bidi="zh-CN"/>
      </w:rPr>
    </w:lvl>
    <w:lvl w:ilvl="7" w:tplc="263C3B5A">
      <w:numFmt w:val="bullet"/>
      <w:lvlText w:val="•"/>
      <w:lvlJc w:val="left"/>
      <w:pPr>
        <w:ind w:left="7578" w:hanging="318"/>
      </w:pPr>
      <w:rPr>
        <w:rFonts w:hint="default"/>
        <w:lang w:val="zh-CN" w:eastAsia="zh-CN" w:bidi="zh-CN"/>
      </w:rPr>
    </w:lvl>
    <w:lvl w:ilvl="8" w:tplc="3902544C">
      <w:numFmt w:val="bullet"/>
      <w:lvlText w:val="•"/>
      <w:lvlJc w:val="left"/>
      <w:pPr>
        <w:ind w:left="8601" w:hanging="318"/>
      </w:pPr>
      <w:rPr>
        <w:rFonts w:hint="default"/>
        <w:lang w:val="zh-CN" w:eastAsia="zh-CN" w:bidi="zh-CN"/>
      </w:rPr>
    </w:lvl>
  </w:abstractNum>
  <w:abstractNum w:abstractNumId="620" w15:restartNumberingAfterBreak="0">
    <w:nsid w:val="5237490C"/>
    <w:multiLevelType w:val="hybridMultilevel"/>
    <w:tmpl w:val="40B4A08C"/>
    <w:lvl w:ilvl="0" w:tplc="B692990E">
      <w:start w:val="5"/>
      <w:numFmt w:val="decimal"/>
      <w:lvlText w:val="%1"/>
      <w:lvlJc w:val="left"/>
      <w:pPr>
        <w:ind w:left="418" w:hanging="320"/>
        <w:jc w:val="left"/>
      </w:pPr>
      <w:rPr>
        <w:rFonts w:hint="default"/>
        <w:lang w:val="zh-CN" w:eastAsia="zh-CN" w:bidi="zh-CN"/>
      </w:rPr>
    </w:lvl>
    <w:lvl w:ilvl="1" w:tplc="3FDEAE04">
      <w:start w:val="1"/>
      <w:numFmt w:val="decimal"/>
      <w:lvlText w:val="%1.%2"/>
      <w:lvlJc w:val="left"/>
      <w:pPr>
        <w:ind w:left="418" w:hanging="320"/>
        <w:jc w:val="left"/>
      </w:pPr>
      <w:rPr>
        <w:rFonts w:ascii="宋体" w:eastAsia="宋体" w:hAnsi="宋体" w:cs="宋体" w:hint="default"/>
        <w:b/>
        <w:bCs/>
        <w:w w:val="99"/>
        <w:sz w:val="19"/>
        <w:szCs w:val="19"/>
        <w:lang w:val="zh-CN" w:eastAsia="zh-CN" w:bidi="zh-CN"/>
      </w:rPr>
    </w:lvl>
    <w:lvl w:ilvl="2" w:tplc="5C06C504">
      <w:numFmt w:val="bullet"/>
      <w:lvlText w:val="•"/>
      <w:lvlJc w:val="left"/>
      <w:pPr>
        <w:ind w:left="2465" w:hanging="320"/>
      </w:pPr>
      <w:rPr>
        <w:rFonts w:hint="default"/>
        <w:lang w:val="zh-CN" w:eastAsia="zh-CN" w:bidi="zh-CN"/>
      </w:rPr>
    </w:lvl>
    <w:lvl w:ilvl="3" w:tplc="D7DE1F2A">
      <w:numFmt w:val="bullet"/>
      <w:lvlText w:val="•"/>
      <w:lvlJc w:val="left"/>
      <w:pPr>
        <w:ind w:left="3487" w:hanging="320"/>
      </w:pPr>
      <w:rPr>
        <w:rFonts w:hint="default"/>
        <w:lang w:val="zh-CN" w:eastAsia="zh-CN" w:bidi="zh-CN"/>
      </w:rPr>
    </w:lvl>
    <w:lvl w:ilvl="4" w:tplc="EA6A9EF8">
      <w:numFmt w:val="bullet"/>
      <w:lvlText w:val="•"/>
      <w:lvlJc w:val="left"/>
      <w:pPr>
        <w:ind w:left="4510" w:hanging="320"/>
      </w:pPr>
      <w:rPr>
        <w:rFonts w:hint="default"/>
        <w:lang w:val="zh-CN" w:eastAsia="zh-CN" w:bidi="zh-CN"/>
      </w:rPr>
    </w:lvl>
    <w:lvl w:ilvl="5" w:tplc="2ADA7C64">
      <w:numFmt w:val="bullet"/>
      <w:lvlText w:val="•"/>
      <w:lvlJc w:val="left"/>
      <w:pPr>
        <w:ind w:left="5533" w:hanging="320"/>
      </w:pPr>
      <w:rPr>
        <w:rFonts w:hint="default"/>
        <w:lang w:val="zh-CN" w:eastAsia="zh-CN" w:bidi="zh-CN"/>
      </w:rPr>
    </w:lvl>
    <w:lvl w:ilvl="6" w:tplc="A8AC58C2">
      <w:numFmt w:val="bullet"/>
      <w:lvlText w:val="•"/>
      <w:lvlJc w:val="left"/>
      <w:pPr>
        <w:ind w:left="6555" w:hanging="320"/>
      </w:pPr>
      <w:rPr>
        <w:rFonts w:hint="default"/>
        <w:lang w:val="zh-CN" w:eastAsia="zh-CN" w:bidi="zh-CN"/>
      </w:rPr>
    </w:lvl>
    <w:lvl w:ilvl="7" w:tplc="997EDBFC">
      <w:numFmt w:val="bullet"/>
      <w:lvlText w:val="•"/>
      <w:lvlJc w:val="left"/>
      <w:pPr>
        <w:ind w:left="7578" w:hanging="320"/>
      </w:pPr>
      <w:rPr>
        <w:rFonts w:hint="default"/>
        <w:lang w:val="zh-CN" w:eastAsia="zh-CN" w:bidi="zh-CN"/>
      </w:rPr>
    </w:lvl>
    <w:lvl w:ilvl="8" w:tplc="D562CDB4">
      <w:numFmt w:val="bullet"/>
      <w:lvlText w:val="•"/>
      <w:lvlJc w:val="left"/>
      <w:pPr>
        <w:ind w:left="8601" w:hanging="320"/>
      </w:pPr>
      <w:rPr>
        <w:rFonts w:hint="default"/>
        <w:lang w:val="zh-CN" w:eastAsia="zh-CN" w:bidi="zh-CN"/>
      </w:rPr>
    </w:lvl>
  </w:abstractNum>
  <w:abstractNum w:abstractNumId="621" w15:restartNumberingAfterBreak="0">
    <w:nsid w:val="52846AD5"/>
    <w:multiLevelType w:val="hybridMultilevel"/>
    <w:tmpl w:val="61D21A64"/>
    <w:lvl w:ilvl="0" w:tplc="F63AC66C">
      <w:start w:val="8"/>
      <w:numFmt w:val="decimal"/>
      <w:lvlText w:val="%1"/>
      <w:lvlJc w:val="left"/>
      <w:pPr>
        <w:ind w:left="1158" w:hanging="318"/>
        <w:jc w:val="left"/>
      </w:pPr>
      <w:rPr>
        <w:rFonts w:hint="default"/>
        <w:lang w:val="zh-CN" w:eastAsia="zh-CN" w:bidi="zh-CN"/>
      </w:rPr>
    </w:lvl>
    <w:lvl w:ilvl="1" w:tplc="D2A0D126">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5C5EDFE2">
      <w:start w:val="1"/>
      <w:numFmt w:val="decimal"/>
      <w:lvlText w:val="%1.%2.%3"/>
      <w:lvlJc w:val="left"/>
      <w:pPr>
        <w:ind w:left="838" w:hanging="529"/>
        <w:jc w:val="left"/>
      </w:pPr>
      <w:rPr>
        <w:rFonts w:ascii="宋体" w:eastAsia="宋体" w:hAnsi="宋体" w:cs="宋体" w:hint="default"/>
        <w:b/>
        <w:bCs/>
        <w:w w:val="99"/>
        <w:sz w:val="19"/>
        <w:szCs w:val="19"/>
        <w:lang w:val="zh-CN" w:eastAsia="zh-CN" w:bidi="zh-CN"/>
      </w:rPr>
    </w:lvl>
    <w:lvl w:ilvl="3" w:tplc="726039A6">
      <w:numFmt w:val="bullet"/>
      <w:lvlText w:val="•"/>
      <w:lvlJc w:val="left"/>
      <w:pPr>
        <w:ind w:left="3268" w:hanging="529"/>
      </w:pPr>
      <w:rPr>
        <w:rFonts w:hint="default"/>
        <w:lang w:val="zh-CN" w:eastAsia="zh-CN" w:bidi="zh-CN"/>
      </w:rPr>
    </w:lvl>
    <w:lvl w:ilvl="4" w:tplc="DFF43406">
      <w:numFmt w:val="bullet"/>
      <w:lvlText w:val="•"/>
      <w:lvlJc w:val="left"/>
      <w:pPr>
        <w:ind w:left="4322" w:hanging="529"/>
      </w:pPr>
      <w:rPr>
        <w:rFonts w:hint="default"/>
        <w:lang w:val="zh-CN" w:eastAsia="zh-CN" w:bidi="zh-CN"/>
      </w:rPr>
    </w:lvl>
    <w:lvl w:ilvl="5" w:tplc="11E009BC">
      <w:numFmt w:val="bullet"/>
      <w:lvlText w:val="•"/>
      <w:lvlJc w:val="left"/>
      <w:pPr>
        <w:ind w:left="5376" w:hanging="529"/>
      </w:pPr>
      <w:rPr>
        <w:rFonts w:hint="default"/>
        <w:lang w:val="zh-CN" w:eastAsia="zh-CN" w:bidi="zh-CN"/>
      </w:rPr>
    </w:lvl>
    <w:lvl w:ilvl="6" w:tplc="B636DC96">
      <w:numFmt w:val="bullet"/>
      <w:lvlText w:val="•"/>
      <w:lvlJc w:val="left"/>
      <w:pPr>
        <w:ind w:left="6430" w:hanging="529"/>
      </w:pPr>
      <w:rPr>
        <w:rFonts w:hint="default"/>
        <w:lang w:val="zh-CN" w:eastAsia="zh-CN" w:bidi="zh-CN"/>
      </w:rPr>
    </w:lvl>
    <w:lvl w:ilvl="7" w:tplc="0324C390">
      <w:numFmt w:val="bullet"/>
      <w:lvlText w:val="•"/>
      <w:lvlJc w:val="left"/>
      <w:pPr>
        <w:ind w:left="7484" w:hanging="529"/>
      </w:pPr>
      <w:rPr>
        <w:rFonts w:hint="default"/>
        <w:lang w:val="zh-CN" w:eastAsia="zh-CN" w:bidi="zh-CN"/>
      </w:rPr>
    </w:lvl>
    <w:lvl w:ilvl="8" w:tplc="05B8E7F2">
      <w:numFmt w:val="bullet"/>
      <w:lvlText w:val="•"/>
      <w:lvlJc w:val="left"/>
      <w:pPr>
        <w:ind w:left="8538" w:hanging="529"/>
      </w:pPr>
      <w:rPr>
        <w:rFonts w:hint="default"/>
        <w:lang w:val="zh-CN" w:eastAsia="zh-CN" w:bidi="zh-CN"/>
      </w:rPr>
    </w:lvl>
  </w:abstractNum>
  <w:abstractNum w:abstractNumId="622" w15:restartNumberingAfterBreak="0">
    <w:nsid w:val="52B0746E"/>
    <w:multiLevelType w:val="hybridMultilevel"/>
    <w:tmpl w:val="BF862092"/>
    <w:lvl w:ilvl="0" w:tplc="C9AC7FEA">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AA2CE2BC">
      <w:numFmt w:val="bullet"/>
      <w:lvlText w:val="•"/>
      <w:lvlJc w:val="left"/>
      <w:pPr>
        <w:ind w:left="2288" w:hanging="529"/>
      </w:pPr>
      <w:rPr>
        <w:rFonts w:hint="default"/>
        <w:lang w:val="zh-CN" w:eastAsia="zh-CN" w:bidi="zh-CN"/>
      </w:rPr>
    </w:lvl>
    <w:lvl w:ilvl="2" w:tplc="ECEE24E0">
      <w:numFmt w:val="bullet"/>
      <w:lvlText w:val="•"/>
      <w:lvlJc w:val="left"/>
      <w:pPr>
        <w:ind w:left="3217" w:hanging="529"/>
      </w:pPr>
      <w:rPr>
        <w:rFonts w:hint="default"/>
        <w:lang w:val="zh-CN" w:eastAsia="zh-CN" w:bidi="zh-CN"/>
      </w:rPr>
    </w:lvl>
    <w:lvl w:ilvl="3" w:tplc="233E5120">
      <w:numFmt w:val="bullet"/>
      <w:lvlText w:val="•"/>
      <w:lvlJc w:val="left"/>
      <w:pPr>
        <w:ind w:left="4145" w:hanging="529"/>
      </w:pPr>
      <w:rPr>
        <w:rFonts w:hint="default"/>
        <w:lang w:val="zh-CN" w:eastAsia="zh-CN" w:bidi="zh-CN"/>
      </w:rPr>
    </w:lvl>
    <w:lvl w:ilvl="4" w:tplc="BEFC3BC4">
      <w:numFmt w:val="bullet"/>
      <w:lvlText w:val="•"/>
      <w:lvlJc w:val="left"/>
      <w:pPr>
        <w:ind w:left="5074" w:hanging="529"/>
      </w:pPr>
      <w:rPr>
        <w:rFonts w:hint="default"/>
        <w:lang w:val="zh-CN" w:eastAsia="zh-CN" w:bidi="zh-CN"/>
      </w:rPr>
    </w:lvl>
    <w:lvl w:ilvl="5" w:tplc="46523836">
      <w:numFmt w:val="bullet"/>
      <w:lvlText w:val="•"/>
      <w:lvlJc w:val="left"/>
      <w:pPr>
        <w:ind w:left="6003" w:hanging="529"/>
      </w:pPr>
      <w:rPr>
        <w:rFonts w:hint="default"/>
        <w:lang w:val="zh-CN" w:eastAsia="zh-CN" w:bidi="zh-CN"/>
      </w:rPr>
    </w:lvl>
    <w:lvl w:ilvl="6" w:tplc="E19806D8">
      <w:numFmt w:val="bullet"/>
      <w:lvlText w:val="•"/>
      <w:lvlJc w:val="left"/>
      <w:pPr>
        <w:ind w:left="6931" w:hanging="529"/>
      </w:pPr>
      <w:rPr>
        <w:rFonts w:hint="default"/>
        <w:lang w:val="zh-CN" w:eastAsia="zh-CN" w:bidi="zh-CN"/>
      </w:rPr>
    </w:lvl>
    <w:lvl w:ilvl="7" w:tplc="CB4232B4">
      <w:numFmt w:val="bullet"/>
      <w:lvlText w:val="•"/>
      <w:lvlJc w:val="left"/>
      <w:pPr>
        <w:ind w:left="7860" w:hanging="529"/>
      </w:pPr>
      <w:rPr>
        <w:rFonts w:hint="default"/>
        <w:lang w:val="zh-CN" w:eastAsia="zh-CN" w:bidi="zh-CN"/>
      </w:rPr>
    </w:lvl>
    <w:lvl w:ilvl="8" w:tplc="6FBABE8A">
      <w:numFmt w:val="bullet"/>
      <w:lvlText w:val="•"/>
      <w:lvlJc w:val="left"/>
      <w:pPr>
        <w:ind w:left="8789" w:hanging="529"/>
      </w:pPr>
      <w:rPr>
        <w:rFonts w:hint="default"/>
        <w:lang w:val="zh-CN" w:eastAsia="zh-CN" w:bidi="zh-CN"/>
      </w:rPr>
    </w:lvl>
  </w:abstractNum>
  <w:abstractNum w:abstractNumId="623" w15:restartNumberingAfterBreak="0">
    <w:nsid w:val="52B65D33"/>
    <w:multiLevelType w:val="hybridMultilevel"/>
    <w:tmpl w:val="8D706932"/>
    <w:lvl w:ilvl="0" w:tplc="1BD8B3CA">
      <w:start w:val="7"/>
      <w:numFmt w:val="decimal"/>
      <w:lvlText w:val="%1"/>
      <w:lvlJc w:val="left"/>
      <w:pPr>
        <w:ind w:left="1158" w:hanging="318"/>
        <w:jc w:val="left"/>
      </w:pPr>
      <w:rPr>
        <w:rFonts w:hint="default"/>
        <w:lang w:val="zh-CN" w:eastAsia="zh-CN" w:bidi="zh-CN"/>
      </w:rPr>
    </w:lvl>
    <w:lvl w:ilvl="1" w:tplc="D8E08E12">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BB22A624">
      <w:start w:val="1"/>
      <w:numFmt w:val="decimal"/>
      <w:lvlText w:val="%1.%2.%3"/>
      <w:lvlJc w:val="left"/>
      <w:pPr>
        <w:ind w:left="418" w:hanging="584"/>
        <w:jc w:val="left"/>
      </w:pPr>
      <w:rPr>
        <w:rFonts w:ascii="宋体" w:eastAsia="宋体" w:hAnsi="宋体" w:cs="宋体" w:hint="default"/>
        <w:b/>
        <w:bCs/>
        <w:w w:val="99"/>
        <w:sz w:val="21"/>
        <w:szCs w:val="21"/>
        <w:lang w:val="zh-CN" w:eastAsia="zh-CN" w:bidi="zh-CN"/>
      </w:rPr>
    </w:lvl>
    <w:lvl w:ilvl="3" w:tplc="52BEC7D2">
      <w:numFmt w:val="bullet"/>
      <w:lvlText w:val="•"/>
      <w:lvlJc w:val="left"/>
      <w:pPr>
        <w:ind w:left="3268" w:hanging="584"/>
      </w:pPr>
      <w:rPr>
        <w:rFonts w:hint="default"/>
        <w:lang w:val="zh-CN" w:eastAsia="zh-CN" w:bidi="zh-CN"/>
      </w:rPr>
    </w:lvl>
    <w:lvl w:ilvl="4" w:tplc="6826001C">
      <w:numFmt w:val="bullet"/>
      <w:lvlText w:val="•"/>
      <w:lvlJc w:val="left"/>
      <w:pPr>
        <w:ind w:left="4322" w:hanging="584"/>
      </w:pPr>
      <w:rPr>
        <w:rFonts w:hint="default"/>
        <w:lang w:val="zh-CN" w:eastAsia="zh-CN" w:bidi="zh-CN"/>
      </w:rPr>
    </w:lvl>
    <w:lvl w:ilvl="5" w:tplc="84E47D4A">
      <w:numFmt w:val="bullet"/>
      <w:lvlText w:val="•"/>
      <w:lvlJc w:val="left"/>
      <w:pPr>
        <w:ind w:left="5376" w:hanging="584"/>
      </w:pPr>
      <w:rPr>
        <w:rFonts w:hint="default"/>
        <w:lang w:val="zh-CN" w:eastAsia="zh-CN" w:bidi="zh-CN"/>
      </w:rPr>
    </w:lvl>
    <w:lvl w:ilvl="6" w:tplc="0CFC8314">
      <w:numFmt w:val="bullet"/>
      <w:lvlText w:val="•"/>
      <w:lvlJc w:val="left"/>
      <w:pPr>
        <w:ind w:left="6430" w:hanging="584"/>
      </w:pPr>
      <w:rPr>
        <w:rFonts w:hint="default"/>
        <w:lang w:val="zh-CN" w:eastAsia="zh-CN" w:bidi="zh-CN"/>
      </w:rPr>
    </w:lvl>
    <w:lvl w:ilvl="7" w:tplc="FEC436B2">
      <w:numFmt w:val="bullet"/>
      <w:lvlText w:val="•"/>
      <w:lvlJc w:val="left"/>
      <w:pPr>
        <w:ind w:left="7484" w:hanging="584"/>
      </w:pPr>
      <w:rPr>
        <w:rFonts w:hint="default"/>
        <w:lang w:val="zh-CN" w:eastAsia="zh-CN" w:bidi="zh-CN"/>
      </w:rPr>
    </w:lvl>
    <w:lvl w:ilvl="8" w:tplc="B37C1784">
      <w:numFmt w:val="bullet"/>
      <w:lvlText w:val="•"/>
      <w:lvlJc w:val="left"/>
      <w:pPr>
        <w:ind w:left="8538" w:hanging="584"/>
      </w:pPr>
      <w:rPr>
        <w:rFonts w:hint="default"/>
        <w:lang w:val="zh-CN" w:eastAsia="zh-CN" w:bidi="zh-CN"/>
      </w:rPr>
    </w:lvl>
  </w:abstractNum>
  <w:abstractNum w:abstractNumId="624" w15:restartNumberingAfterBreak="0">
    <w:nsid w:val="53896E7A"/>
    <w:multiLevelType w:val="hybridMultilevel"/>
    <w:tmpl w:val="38E03ABE"/>
    <w:lvl w:ilvl="0" w:tplc="E85C94BC">
      <w:start w:val="1"/>
      <w:numFmt w:val="decimal"/>
      <w:lvlText w:val="%1"/>
      <w:lvlJc w:val="left"/>
      <w:pPr>
        <w:ind w:left="418" w:hanging="318"/>
        <w:jc w:val="left"/>
      </w:pPr>
      <w:rPr>
        <w:rFonts w:hint="default"/>
        <w:lang w:val="zh-CN" w:eastAsia="zh-CN" w:bidi="zh-CN"/>
      </w:rPr>
    </w:lvl>
    <w:lvl w:ilvl="1" w:tplc="9D7E5474">
      <w:start w:val="1"/>
      <w:numFmt w:val="decimal"/>
      <w:lvlText w:val="%1.%2"/>
      <w:lvlJc w:val="left"/>
      <w:pPr>
        <w:ind w:left="418" w:hanging="318"/>
        <w:jc w:val="left"/>
      </w:pPr>
      <w:rPr>
        <w:rFonts w:ascii="宋体" w:eastAsia="宋体" w:hAnsi="宋体" w:cs="宋体" w:hint="default"/>
        <w:b/>
        <w:bCs/>
        <w:w w:val="99"/>
        <w:sz w:val="19"/>
        <w:szCs w:val="19"/>
        <w:lang w:val="zh-CN" w:eastAsia="zh-CN" w:bidi="zh-CN"/>
      </w:rPr>
    </w:lvl>
    <w:lvl w:ilvl="2" w:tplc="4C92D042">
      <w:numFmt w:val="bullet"/>
      <w:lvlText w:val="•"/>
      <w:lvlJc w:val="left"/>
      <w:pPr>
        <w:ind w:left="2465" w:hanging="318"/>
      </w:pPr>
      <w:rPr>
        <w:rFonts w:hint="default"/>
        <w:lang w:val="zh-CN" w:eastAsia="zh-CN" w:bidi="zh-CN"/>
      </w:rPr>
    </w:lvl>
    <w:lvl w:ilvl="3" w:tplc="F30254E2">
      <w:numFmt w:val="bullet"/>
      <w:lvlText w:val="•"/>
      <w:lvlJc w:val="left"/>
      <w:pPr>
        <w:ind w:left="3487" w:hanging="318"/>
      </w:pPr>
      <w:rPr>
        <w:rFonts w:hint="default"/>
        <w:lang w:val="zh-CN" w:eastAsia="zh-CN" w:bidi="zh-CN"/>
      </w:rPr>
    </w:lvl>
    <w:lvl w:ilvl="4" w:tplc="EA2ADBD6">
      <w:numFmt w:val="bullet"/>
      <w:lvlText w:val="•"/>
      <w:lvlJc w:val="left"/>
      <w:pPr>
        <w:ind w:left="4510" w:hanging="318"/>
      </w:pPr>
      <w:rPr>
        <w:rFonts w:hint="default"/>
        <w:lang w:val="zh-CN" w:eastAsia="zh-CN" w:bidi="zh-CN"/>
      </w:rPr>
    </w:lvl>
    <w:lvl w:ilvl="5" w:tplc="59B02FEE">
      <w:numFmt w:val="bullet"/>
      <w:lvlText w:val="•"/>
      <w:lvlJc w:val="left"/>
      <w:pPr>
        <w:ind w:left="5533" w:hanging="318"/>
      </w:pPr>
      <w:rPr>
        <w:rFonts w:hint="default"/>
        <w:lang w:val="zh-CN" w:eastAsia="zh-CN" w:bidi="zh-CN"/>
      </w:rPr>
    </w:lvl>
    <w:lvl w:ilvl="6" w:tplc="477A67FC">
      <w:numFmt w:val="bullet"/>
      <w:lvlText w:val="•"/>
      <w:lvlJc w:val="left"/>
      <w:pPr>
        <w:ind w:left="6555" w:hanging="318"/>
      </w:pPr>
      <w:rPr>
        <w:rFonts w:hint="default"/>
        <w:lang w:val="zh-CN" w:eastAsia="zh-CN" w:bidi="zh-CN"/>
      </w:rPr>
    </w:lvl>
    <w:lvl w:ilvl="7" w:tplc="BBB0C344">
      <w:numFmt w:val="bullet"/>
      <w:lvlText w:val="•"/>
      <w:lvlJc w:val="left"/>
      <w:pPr>
        <w:ind w:left="7578" w:hanging="318"/>
      </w:pPr>
      <w:rPr>
        <w:rFonts w:hint="default"/>
        <w:lang w:val="zh-CN" w:eastAsia="zh-CN" w:bidi="zh-CN"/>
      </w:rPr>
    </w:lvl>
    <w:lvl w:ilvl="8" w:tplc="7932E0D0">
      <w:numFmt w:val="bullet"/>
      <w:lvlText w:val="•"/>
      <w:lvlJc w:val="left"/>
      <w:pPr>
        <w:ind w:left="8601" w:hanging="318"/>
      </w:pPr>
      <w:rPr>
        <w:rFonts w:hint="default"/>
        <w:lang w:val="zh-CN" w:eastAsia="zh-CN" w:bidi="zh-CN"/>
      </w:rPr>
    </w:lvl>
  </w:abstractNum>
  <w:abstractNum w:abstractNumId="625" w15:restartNumberingAfterBreak="0">
    <w:nsid w:val="53E00644"/>
    <w:multiLevelType w:val="hybridMultilevel"/>
    <w:tmpl w:val="33FA870A"/>
    <w:lvl w:ilvl="0" w:tplc="1D28CAA4">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724E762C">
      <w:numFmt w:val="bullet"/>
      <w:lvlText w:val="•"/>
      <w:lvlJc w:val="left"/>
      <w:pPr>
        <w:ind w:left="2288" w:hanging="529"/>
      </w:pPr>
      <w:rPr>
        <w:rFonts w:hint="default"/>
        <w:lang w:val="zh-CN" w:eastAsia="zh-CN" w:bidi="zh-CN"/>
      </w:rPr>
    </w:lvl>
    <w:lvl w:ilvl="2" w:tplc="DD48920A">
      <w:numFmt w:val="bullet"/>
      <w:lvlText w:val="•"/>
      <w:lvlJc w:val="left"/>
      <w:pPr>
        <w:ind w:left="3217" w:hanging="529"/>
      </w:pPr>
      <w:rPr>
        <w:rFonts w:hint="default"/>
        <w:lang w:val="zh-CN" w:eastAsia="zh-CN" w:bidi="zh-CN"/>
      </w:rPr>
    </w:lvl>
    <w:lvl w:ilvl="3" w:tplc="0D12B4E6">
      <w:numFmt w:val="bullet"/>
      <w:lvlText w:val="•"/>
      <w:lvlJc w:val="left"/>
      <w:pPr>
        <w:ind w:left="4145" w:hanging="529"/>
      </w:pPr>
      <w:rPr>
        <w:rFonts w:hint="default"/>
        <w:lang w:val="zh-CN" w:eastAsia="zh-CN" w:bidi="zh-CN"/>
      </w:rPr>
    </w:lvl>
    <w:lvl w:ilvl="4" w:tplc="4F2EF61C">
      <w:numFmt w:val="bullet"/>
      <w:lvlText w:val="•"/>
      <w:lvlJc w:val="left"/>
      <w:pPr>
        <w:ind w:left="5074" w:hanging="529"/>
      </w:pPr>
      <w:rPr>
        <w:rFonts w:hint="default"/>
        <w:lang w:val="zh-CN" w:eastAsia="zh-CN" w:bidi="zh-CN"/>
      </w:rPr>
    </w:lvl>
    <w:lvl w:ilvl="5" w:tplc="38D2515A">
      <w:numFmt w:val="bullet"/>
      <w:lvlText w:val="•"/>
      <w:lvlJc w:val="left"/>
      <w:pPr>
        <w:ind w:left="6003" w:hanging="529"/>
      </w:pPr>
      <w:rPr>
        <w:rFonts w:hint="default"/>
        <w:lang w:val="zh-CN" w:eastAsia="zh-CN" w:bidi="zh-CN"/>
      </w:rPr>
    </w:lvl>
    <w:lvl w:ilvl="6" w:tplc="76C0252A">
      <w:numFmt w:val="bullet"/>
      <w:lvlText w:val="•"/>
      <w:lvlJc w:val="left"/>
      <w:pPr>
        <w:ind w:left="6931" w:hanging="529"/>
      </w:pPr>
      <w:rPr>
        <w:rFonts w:hint="default"/>
        <w:lang w:val="zh-CN" w:eastAsia="zh-CN" w:bidi="zh-CN"/>
      </w:rPr>
    </w:lvl>
    <w:lvl w:ilvl="7" w:tplc="1618DD3E">
      <w:numFmt w:val="bullet"/>
      <w:lvlText w:val="•"/>
      <w:lvlJc w:val="left"/>
      <w:pPr>
        <w:ind w:left="7860" w:hanging="529"/>
      </w:pPr>
      <w:rPr>
        <w:rFonts w:hint="default"/>
        <w:lang w:val="zh-CN" w:eastAsia="zh-CN" w:bidi="zh-CN"/>
      </w:rPr>
    </w:lvl>
    <w:lvl w:ilvl="8" w:tplc="23106A98">
      <w:numFmt w:val="bullet"/>
      <w:lvlText w:val="•"/>
      <w:lvlJc w:val="left"/>
      <w:pPr>
        <w:ind w:left="8789" w:hanging="529"/>
      </w:pPr>
      <w:rPr>
        <w:rFonts w:hint="default"/>
        <w:lang w:val="zh-CN" w:eastAsia="zh-CN" w:bidi="zh-CN"/>
      </w:rPr>
    </w:lvl>
  </w:abstractNum>
  <w:abstractNum w:abstractNumId="626" w15:restartNumberingAfterBreak="0">
    <w:nsid w:val="53E77D76"/>
    <w:multiLevelType w:val="hybridMultilevel"/>
    <w:tmpl w:val="BE8228C0"/>
    <w:lvl w:ilvl="0" w:tplc="982AFED8">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677C7E4C">
      <w:numFmt w:val="bullet"/>
      <w:lvlText w:val="•"/>
      <w:lvlJc w:val="left"/>
      <w:pPr>
        <w:ind w:left="2288" w:hanging="529"/>
      </w:pPr>
      <w:rPr>
        <w:rFonts w:hint="default"/>
        <w:lang w:val="zh-CN" w:eastAsia="zh-CN" w:bidi="zh-CN"/>
      </w:rPr>
    </w:lvl>
    <w:lvl w:ilvl="2" w:tplc="C6568CA2">
      <w:numFmt w:val="bullet"/>
      <w:lvlText w:val="•"/>
      <w:lvlJc w:val="left"/>
      <w:pPr>
        <w:ind w:left="3217" w:hanging="529"/>
      </w:pPr>
      <w:rPr>
        <w:rFonts w:hint="default"/>
        <w:lang w:val="zh-CN" w:eastAsia="zh-CN" w:bidi="zh-CN"/>
      </w:rPr>
    </w:lvl>
    <w:lvl w:ilvl="3" w:tplc="844A9BA6">
      <w:numFmt w:val="bullet"/>
      <w:lvlText w:val="•"/>
      <w:lvlJc w:val="left"/>
      <w:pPr>
        <w:ind w:left="4145" w:hanging="529"/>
      </w:pPr>
      <w:rPr>
        <w:rFonts w:hint="default"/>
        <w:lang w:val="zh-CN" w:eastAsia="zh-CN" w:bidi="zh-CN"/>
      </w:rPr>
    </w:lvl>
    <w:lvl w:ilvl="4" w:tplc="A6C8ED42">
      <w:numFmt w:val="bullet"/>
      <w:lvlText w:val="•"/>
      <w:lvlJc w:val="left"/>
      <w:pPr>
        <w:ind w:left="5074" w:hanging="529"/>
      </w:pPr>
      <w:rPr>
        <w:rFonts w:hint="default"/>
        <w:lang w:val="zh-CN" w:eastAsia="zh-CN" w:bidi="zh-CN"/>
      </w:rPr>
    </w:lvl>
    <w:lvl w:ilvl="5" w:tplc="85CC4C92">
      <w:numFmt w:val="bullet"/>
      <w:lvlText w:val="•"/>
      <w:lvlJc w:val="left"/>
      <w:pPr>
        <w:ind w:left="6003" w:hanging="529"/>
      </w:pPr>
      <w:rPr>
        <w:rFonts w:hint="default"/>
        <w:lang w:val="zh-CN" w:eastAsia="zh-CN" w:bidi="zh-CN"/>
      </w:rPr>
    </w:lvl>
    <w:lvl w:ilvl="6" w:tplc="D90ADC96">
      <w:numFmt w:val="bullet"/>
      <w:lvlText w:val="•"/>
      <w:lvlJc w:val="left"/>
      <w:pPr>
        <w:ind w:left="6931" w:hanging="529"/>
      </w:pPr>
      <w:rPr>
        <w:rFonts w:hint="default"/>
        <w:lang w:val="zh-CN" w:eastAsia="zh-CN" w:bidi="zh-CN"/>
      </w:rPr>
    </w:lvl>
    <w:lvl w:ilvl="7" w:tplc="16D2C80E">
      <w:numFmt w:val="bullet"/>
      <w:lvlText w:val="•"/>
      <w:lvlJc w:val="left"/>
      <w:pPr>
        <w:ind w:left="7860" w:hanging="529"/>
      </w:pPr>
      <w:rPr>
        <w:rFonts w:hint="default"/>
        <w:lang w:val="zh-CN" w:eastAsia="zh-CN" w:bidi="zh-CN"/>
      </w:rPr>
    </w:lvl>
    <w:lvl w:ilvl="8" w:tplc="47480986">
      <w:numFmt w:val="bullet"/>
      <w:lvlText w:val="•"/>
      <w:lvlJc w:val="left"/>
      <w:pPr>
        <w:ind w:left="8789" w:hanging="529"/>
      </w:pPr>
      <w:rPr>
        <w:rFonts w:hint="default"/>
        <w:lang w:val="zh-CN" w:eastAsia="zh-CN" w:bidi="zh-CN"/>
      </w:rPr>
    </w:lvl>
  </w:abstractNum>
  <w:abstractNum w:abstractNumId="627" w15:restartNumberingAfterBreak="0">
    <w:nsid w:val="53FA7345"/>
    <w:multiLevelType w:val="hybridMultilevel"/>
    <w:tmpl w:val="DCA8C904"/>
    <w:lvl w:ilvl="0" w:tplc="2062918C">
      <w:start w:val="7"/>
      <w:numFmt w:val="decimal"/>
      <w:lvlText w:val="%1"/>
      <w:lvlJc w:val="left"/>
      <w:pPr>
        <w:ind w:left="1158" w:hanging="318"/>
        <w:jc w:val="left"/>
      </w:pPr>
      <w:rPr>
        <w:rFonts w:hint="default"/>
        <w:lang w:val="zh-CN" w:eastAsia="zh-CN" w:bidi="zh-CN"/>
      </w:rPr>
    </w:lvl>
    <w:lvl w:ilvl="1" w:tplc="1E167664">
      <w:start w:val="3"/>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62A48F2C">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33104DB8">
      <w:numFmt w:val="bullet"/>
      <w:lvlText w:val="•"/>
      <w:lvlJc w:val="left"/>
      <w:pPr>
        <w:ind w:left="3423" w:hanging="529"/>
      </w:pPr>
      <w:rPr>
        <w:rFonts w:hint="default"/>
        <w:lang w:val="zh-CN" w:eastAsia="zh-CN" w:bidi="zh-CN"/>
      </w:rPr>
    </w:lvl>
    <w:lvl w:ilvl="4" w:tplc="DD1E5616">
      <w:numFmt w:val="bullet"/>
      <w:lvlText w:val="•"/>
      <w:lvlJc w:val="left"/>
      <w:pPr>
        <w:ind w:left="4455" w:hanging="529"/>
      </w:pPr>
      <w:rPr>
        <w:rFonts w:hint="default"/>
        <w:lang w:val="zh-CN" w:eastAsia="zh-CN" w:bidi="zh-CN"/>
      </w:rPr>
    </w:lvl>
    <w:lvl w:ilvl="5" w:tplc="EF9E2F1A">
      <w:numFmt w:val="bullet"/>
      <w:lvlText w:val="•"/>
      <w:lvlJc w:val="left"/>
      <w:pPr>
        <w:ind w:left="5487" w:hanging="529"/>
      </w:pPr>
      <w:rPr>
        <w:rFonts w:hint="default"/>
        <w:lang w:val="zh-CN" w:eastAsia="zh-CN" w:bidi="zh-CN"/>
      </w:rPr>
    </w:lvl>
    <w:lvl w:ilvl="6" w:tplc="88525D34">
      <w:numFmt w:val="bullet"/>
      <w:lvlText w:val="•"/>
      <w:lvlJc w:val="left"/>
      <w:pPr>
        <w:ind w:left="6519" w:hanging="529"/>
      </w:pPr>
      <w:rPr>
        <w:rFonts w:hint="default"/>
        <w:lang w:val="zh-CN" w:eastAsia="zh-CN" w:bidi="zh-CN"/>
      </w:rPr>
    </w:lvl>
    <w:lvl w:ilvl="7" w:tplc="F5126DD2">
      <w:numFmt w:val="bullet"/>
      <w:lvlText w:val="•"/>
      <w:lvlJc w:val="left"/>
      <w:pPr>
        <w:ind w:left="7550" w:hanging="529"/>
      </w:pPr>
      <w:rPr>
        <w:rFonts w:hint="default"/>
        <w:lang w:val="zh-CN" w:eastAsia="zh-CN" w:bidi="zh-CN"/>
      </w:rPr>
    </w:lvl>
    <w:lvl w:ilvl="8" w:tplc="A7607ABC">
      <w:numFmt w:val="bullet"/>
      <w:lvlText w:val="•"/>
      <w:lvlJc w:val="left"/>
      <w:pPr>
        <w:ind w:left="8582" w:hanging="529"/>
      </w:pPr>
      <w:rPr>
        <w:rFonts w:hint="default"/>
        <w:lang w:val="zh-CN" w:eastAsia="zh-CN" w:bidi="zh-CN"/>
      </w:rPr>
    </w:lvl>
  </w:abstractNum>
  <w:abstractNum w:abstractNumId="628" w15:restartNumberingAfterBreak="0">
    <w:nsid w:val="543949A3"/>
    <w:multiLevelType w:val="hybridMultilevel"/>
    <w:tmpl w:val="81DA19A6"/>
    <w:lvl w:ilvl="0" w:tplc="5CDE2EA0">
      <w:start w:val="6"/>
      <w:numFmt w:val="decimal"/>
      <w:lvlText w:val="%1"/>
      <w:lvlJc w:val="left"/>
      <w:pPr>
        <w:ind w:left="1158" w:hanging="318"/>
        <w:jc w:val="left"/>
      </w:pPr>
      <w:rPr>
        <w:rFonts w:hint="default"/>
        <w:lang w:val="zh-CN" w:eastAsia="zh-CN" w:bidi="zh-CN"/>
      </w:rPr>
    </w:lvl>
    <w:lvl w:ilvl="1" w:tplc="27065A54">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B0CC2BDA">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ABE8755E">
      <w:numFmt w:val="bullet"/>
      <w:lvlText w:val="•"/>
      <w:lvlJc w:val="left"/>
      <w:pPr>
        <w:ind w:left="2538" w:hanging="529"/>
      </w:pPr>
      <w:rPr>
        <w:rFonts w:hint="default"/>
        <w:lang w:val="zh-CN" w:eastAsia="zh-CN" w:bidi="zh-CN"/>
      </w:rPr>
    </w:lvl>
    <w:lvl w:ilvl="4" w:tplc="39A02310">
      <w:numFmt w:val="bullet"/>
      <w:lvlText w:val="•"/>
      <w:lvlJc w:val="left"/>
      <w:pPr>
        <w:ind w:left="3696" w:hanging="529"/>
      </w:pPr>
      <w:rPr>
        <w:rFonts w:hint="default"/>
        <w:lang w:val="zh-CN" w:eastAsia="zh-CN" w:bidi="zh-CN"/>
      </w:rPr>
    </w:lvl>
    <w:lvl w:ilvl="5" w:tplc="6CFA3772">
      <w:numFmt w:val="bullet"/>
      <w:lvlText w:val="•"/>
      <w:lvlJc w:val="left"/>
      <w:pPr>
        <w:ind w:left="4854" w:hanging="529"/>
      </w:pPr>
      <w:rPr>
        <w:rFonts w:hint="default"/>
        <w:lang w:val="zh-CN" w:eastAsia="zh-CN" w:bidi="zh-CN"/>
      </w:rPr>
    </w:lvl>
    <w:lvl w:ilvl="6" w:tplc="83F60A7E">
      <w:numFmt w:val="bullet"/>
      <w:lvlText w:val="•"/>
      <w:lvlJc w:val="left"/>
      <w:pPr>
        <w:ind w:left="6013" w:hanging="529"/>
      </w:pPr>
      <w:rPr>
        <w:rFonts w:hint="default"/>
        <w:lang w:val="zh-CN" w:eastAsia="zh-CN" w:bidi="zh-CN"/>
      </w:rPr>
    </w:lvl>
    <w:lvl w:ilvl="7" w:tplc="C36ED120">
      <w:numFmt w:val="bullet"/>
      <w:lvlText w:val="•"/>
      <w:lvlJc w:val="left"/>
      <w:pPr>
        <w:ind w:left="7171" w:hanging="529"/>
      </w:pPr>
      <w:rPr>
        <w:rFonts w:hint="default"/>
        <w:lang w:val="zh-CN" w:eastAsia="zh-CN" w:bidi="zh-CN"/>
      </w:rPr>
    </w:lvl>
    <w:lvl w:ilvl="8" w:tplc="5FD6169A">
      <w:numFmt w:val="bullet"/>
      <w:lvlText w:val="•"/>
      <w:lvlJc w:val="left"/>
      <w:pPr>
        <w:ind w:left="8329" w:hanging="529"/>
      </w:pPr>
      <w:rPr>
        <w:rFonts w:hint="default"/>
        <w:lang w:val="zh-CN" w:eastAsia="zh-CN" w:bidi="zh-CN"/>
      </w:rPr>
    </w:lvl>
  </w:abstractNum>
  <w:abstractNum w:abstractNumId="629" w15:restartNumberingAfterBreak="0">
    <w:nsid w:val="54823A42"/>
    <w:multiLevelType w:val="hybridMultilevel"/>
    <w:tmpl w:val="85E8864C"/>
    <w:lvl w:ilvl="0" w:tplc="7514EEDE">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62D2AA18">
      <w:numFmt w:val="bullet"/>
      <w:lvlText w:val="•"/>
      <w:lvlJc w:val="left"/>
      <w:pPr>
        <w:ind w:left="2288" w:hanging="529"/>
      </w:pPr>
      <w:rPr>
        <w:rFonts w:hint="default"/>
        <w:lang w:val="zh-CN" w:eastAsia="zh-CN" w:bidi="zh-CN"/>
      </w:rPr>
    </w:lvl>
    <w:lvl w:ilvl="2" w:tplc="D672562A">
      <w:numFmt w:val="bullet"/>
      <w:lvlText w:val="•"/>
      <w:lvlJc w:val="left"/>
      <w:pPr>
        <w:ind w:left="3217" w:hanging="529"/>
      </w:pPr>
      <w:rPr>
        <w:rFonts w:hint="default"/>
        <w:lang w:val="zh-CN" w:eastAsia="zh-CN" w:bidi="zh-CN"/>
      </w:rPr>
    </w:lvl>
    <w:lvl w:ilvl="3" w:tplc="F48A08DE">
      <w:numFmt w:val="bullet"/>
      <w:lvlText w:val="•"/>
      <w:lvlJc w:val="left"/>
      <w:pPr>
        <w:ind w:left="4145" w:hanging="529"/>
      </w:pPr>
      <w:rPr>
        <w:rFonts w:hint="default"/>
        <w:lang w:val="zh-CN" w:eastAsia="zh-CN" w:bidi="zh-CN"/>
      </w:rPr>
    </w:lvl>
    <w:lvl w:ilvl="4" w:tplc="7F10EC10">
      <w:numFmt w:val="bullet"/>
      <w:lvlText w:val="•"/>
      <w:lvlJc w:val="left"/>
      <w:pPr>
        <w:ind w:left="5074" w:hanging="529"/>
      </w:pPr>
      <w:rPr>
        <w:rFonts w:hint="default"/>
        <w:lang w:val="zh-CN" w:eastAsia="zh-CN" w:bidi="zh-CN"/>
      </w:rPr>
    </w:lvl>
    <w:lvl w:ilvl="5" w:tplc="D1E6E4D2">
      <w:numFmt w:val="bullet"/>
      <w:lvlText w:val="•"/>
      <w:lvlJc w:val="left"/>
      <w:pPr>
        <w:ind w:left="6003" w:hanging="529"/>
      </w:pPr>
      <w:rPr>
        <w:rFonts w:hint="default"/>
        <w:lang w:val="zh-CN" w:eastAsia="zh-CN" w:bidi="zh-CN"/>
      </w:rPr>
    </w:lvl>
    <w:lvl w:ilvl="6" w:tplc="CF661296">
      <w:numFmt w:val="bullet"/>
      <w:lvlText w:val="•"/>
      <w:lvlJc w:val="left"/>
      <w:pPr>
        <w:ind w:left="6931" w:hanging="529"/>
      </w:pPr>
      <w:rPr>
        <w:rFonts w:hint="default"/>
        <w:lang w:val="zh-CN" w:eastAsia="zh-CN" w:bidi="zh-CN"/>
      </w:rPr>
    </w:lvl>
    <w:lvl w:ilvl="7" w:tplc="489E255E">
      <w:numFmt w:val="bullet"/>
      <w:lvlText w:val="•"/>
      <w:lvlJc w:val="left"/>
      <w:pPr>
        <w:ind w:left="7860" w:hanging="529"/>
      </w:pPr>
      <w:rPr>
        <w:rFonts w:hint="default"/>
        <w:lang w:val="zh-CN" w:eastAsia="zh-CN" w:bidi="zh-CN"/>
      </w:rPr>
    </w:lvl>
    <w:lvl w:ilvl="8" w:tplc="E32A7DCC">
      <w:numFmt w:val="bullet"/>
      <w:lvlText w:val="•"/>
      <w:lvlJc w:val="left"/>
      <w:pPr>
        <w:ind w:left="8789" w:hanging="529"/>
      </w:pPr>
      <w:rPr>
        <w:rFonts w:hint="default"/>
        <w:lang w:val="zh-CN" w:eastAsia="zh-CN" w:bidi="zh-CN"/>
      </w:rPr>
    </w:lvl>
  </w:abstractNum>
  <w:abstractNum w:abstractNumId="630" w15:restartNumberingAfterBreak="0">
    <w:nsid w:val="54951BE5"/>
    <w:multiLevelType w:val="hybridMultilevel"/>
    <w:tmpl w:val="C170A23A"/>
    <w:lvl w:ilvl="0" w:tplc="2BC47A4E">
      <w:start w:val="5"/>
      <w:numFmt w:val="decimal"/>
      <w:lvlText w:val="%1"/>
      <w:lvlJc w:val="left"/>
      <w:pPr>
        <w:ind w:left="1369" w:hanging="529"/>
        <w:jc w:val="left"/>
      </w:pPr>
      <w:rPr>
        <w:rFonts w:hint="default"/>
        <w:lang w:val="zh-CN" w:eastAsia="zh-CN" w:bidi="zh-CN"/>
      </w:rPr>
    </w:lvl>
    <w:lvl w:ilvl="1" w:tplc="9CC81916">
      <w:start w:val="4"/>
      <w:numFmt w:val="decimal"/>
      <w:lvlText w:val="%1.%2"/>
      <w:lvlJc w:val="left"/>
      <w:pPr>
        <w:ind w:left="1369" w:hanging="529"/>
        <w:jc w:val="left"/>
      </w:pPr>
      <w:rPr>
        <w:rFonts w:hint="default"/>
        <w:lang w:val="zh-CN" w:eastAsia="zh-CN" w:bidi="zh-CN"/>
      </w:rPr>
    </w:lvl>
    <w:lvl w:ilvl="2" w:tplc="E5DEF68E">
      <w:start w:val="3"/>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260CEFE6">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111238DA">
      <w:start w:val="1"/>
      <w:numFmt w:val="decimal"/>
      <w:lvlText w:val="%1.%2.%3.%4.%5"/>
      <w:lvlJc w:val="left"/>
      <w:pPr>
        <w:ind w:left="1787" w:hanging="950"/>
        <w:jc w:val="left"/>
      </w:pPr>
      <w:rPr>
        <w:rFonts w:ascii="宋体" w:eastAsia="宋体" w:hAnsi="宋体" w:cs="宋体" w:hint="default"/>
        <w:spacing w:val="-3"/>
        <w:w w:val="100"/>
        <w:sz w:val="19"/>
        <w:szCs w:val="19"/>
        <w:lang w:val="zh-CN" w:eastAsia="zh-CN" w:bidi="zh-CN"/>
      </w:rPr>
    </w:lvl>
    <w:lvl w:ilvl="5" w:tplc="8018986A">
      <w:numFmt w:val="bullet"/>
      <w:lvlText w:val="•"/>
      <w:lvlJc w:val="left"/>
      <w:pPr>
        <w:ind w:left="4313" w:hanging="950"/>
      </w:pPr>
      <w:rPr>
        <w:rFonts w:hint="default"/>
        <w:lang w:val="zh-CN" w:eastAsia="zh-CN" w:bidi="zh-CN"/>
      </w:rPr>
    </w:lvl>
    <w:lvl w:ilvl="6" w:tplc="7F9C2772">
      <w:numFmt w:val="bullet"/>
      <w:lvlText w:val="•"/>
      <w:lvlJc w:val="left"/>
      <w:pPr>
        <w:ind w:left="5579" w:hanging="950"/>
      </w:pPr>
      <w:rPr>
        <w:rFonts w:hint="default"/>
        <w:lang w:val="zh-CN" w:eastAsia="zh-CN" w:bidi="zh-CN"/>
      </w:rPr>
    </w:lvl>
    <w:lvl w:ilvl="7" w:tplc="BE14869A">
      <w:numFmt w:val="bullet"/>
      <w:lvlText w:val="•"/>
      <w:lvlJc w:val="left"/>
      <w:pPr>
        <w:ind w:left="6846" w:hanging="950"/>
      </w:pPr>
      <w:rPr>
        <w:rFonts w:hint="default"/>
        <w:lang w:val="zh-CN" w:eastAsia="zh-CN" w:bidi="zh-CN"/>
      </w:rPr>
    </w:lvl>
    <w:lvl w:ilvl="8" w:tplc="3F42441E">
      <w:numFmt w:val="bullet"/>
      <w:lvlText w:val="•"/>
      <w:lvlJc w:val="left"/>
      <w:pPr>
        <w:ind w:left="8113" w:hanging="950"/>
      </w:pPr>
      <w:rPr>
        <w:rFonts w:hint="default"/>
        <w:lang w:val="zh-CN" w:eastAsia="zh-CN" w:bidi="zh-CN"/>
      </w:rPr>
    </w:lvl>
  </w:abstractNum>
  <w:abstractNum w:abstractNumId="631" w15:restartNumberingAfterBreak="0">
    <w:nsid w:val="54C301DD"/>
    <w:multiLevelType w:val="hybridMultilevel"/>
    <w:tmpl w:val="396C412E"/>
    <w:lvl w:ilvl="0" w:tplc="E1344DAA">
      <w:start w:val="4"/>
      <w:numFmt w:val="decimal"/>
      <w:lvlText w:val="%1"/>
      <w:lvlJc w:val="left"/>
      <w:pPr>
        <w:ind w:left="1158" w:hanging="318"/>
        <w:jc w:val="left"/>
      </w:pPr>
      <w:rPr>
        <w:rFonts w:hint="default"/>
        <w:lang w:val="zh-CN" w:eastAsia="zh-CN" w:bidi="zh-CN"/>
      </w:rPr>
    </w:lvl>
    <w:lvl w:ilvl="1" w:tplc="F9FE23AA">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7E4A5804">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04EC51B0">
      <w:numFmt w:val="bullet"/>
      <w:lvlText w:val="•"/>
      <w:lvlJc w:val="left"/>
      <w:pPr>
        <w:ind w:left="3423" w:hanging="529"/>
      </w:pPr>
      <w:rPr>
        <w:rFonts w:hint="default"/>
        <w:lang w:val="zh-CN" w:eastAsia="zh-CN" w:bidi="zh-CN"/>
      </w:rPr>
    </w:lvl>
    <w:lvl w:ilvl="4" w:tplc="50646232">
      <w:numFmt w:val="bullet"/>
      <w:lvlText w:val="•"/>
      <w:lvlJc w:val="left"/>
      <w:pPr>
        <w:ind w:left="4455" w:hanging="529"/>
      </w:pPr>
      <w:rPr>
        <w:rFonts w:hint="default"/>
        <w:lang w:val="zh-CN" w:eastAsia="zh-CN" w:bidi="zh-CN"/>
      </w:rPr>
    </w:lvl>
    <w:lvl w:ilvl="5" w:tplc="6D9A1D6C">
      <w:numFmt w:val="bullet"/>
      <w:lvlText w:val="•"/>
      <w:lvlJc w:val="left"/>
      <w:pPr>
        <w:ind w:left="5487" w:hanging="529"/>
      </w:pPr>
      <w:rPr>
        <w:rFonts w:hint="default"/>
        <w:lang w:val="zh-CN" w:eastAsia="zh-CN" w:bidi="zh-CN"/>
      </w:rPr>
    </w:lvl>
    <w:lvl w:ilvl="6" w:tplc="249CBE54">
      <w:numFmt w:val="bullet"/>
      <w:lvlText w:val="•"/>
      <w:lvlJc w:val="left"/>
      <w:pPr>
        <w:ind w:left="6519" w:hanging="529"/>
      </w:pPr>
      <w:rPr>
        <w:rFonts w:hint="default"/>
        <w:lang w:val="zh-CN" w:eastAsia="zh-CN" w:bidi="zh-CN"/>
      </w:rPr>
    </w:lvl>
    <w:lvl w:ilvl="7" w:tplc="10A4B0CA">
      <w:numFmt w:val="bullet"/>
      <w:lvlText w:val="•"/>
      <w:lvlJc w:val="left"/>
      <w:pPr>
        <w:ind w:left="7550" w:hanging="529"/>
      </w:pPr>
      <w:rPr>
        <w:rFonts w:hint="default"/>
        <w:lang w:val="zh-CN" w:eastAsia="zh-CN" w:bidi="zh-CN"/>
      </w:rPr>
    </w:lvl>
    <w:lvl w:ilvl="8" w:tplc="CE88B1D2">
      <w:numFmt w:val="bullet"/>
      <w:lvlText w:val="•"/>
      <w:lvlJc w:val="left"/>
      <w:pPr>
        <w:ind w:left="8582" w:hanging="529"/>
      </w:pPr>
      <w:rPr>
        <w:rFonts w:hint="default"/>
        <w:lang w:val="zh-CN" w:eastAsia="zh-CN" w:bidi="zh-CN"/>
      </w:rPr>
    </w:lvl>
  </w:abstractNum>
  <w:abstractNum w:abstractNumId="632" w15:restartNumberingAfterBreak="0">
    <w:nsid w:val="54C83BC6"/>
    <w:multiLevelType w:val="hybridMultilevel"/>
    <w:tmpl w:val="B0AAE8EE"/>
    <w:lvl w:ilvl="0" w:tplc="83F26352">
      <w:start w:val="4"/>
      <w:numFmt w:val="decimal"/>
      <w:lvlText w:val="%1"/>
      <w:lvlJc w:val="left"/>
      <w:pPr>
        <w:ind w:left="1158" w:hanging="318"/>
        <w:jc w:val="left"/>
      </w:pPr>
      <w:rPr>
        <w:rFonts w:hint="default"/>
        <w:lang w:val="zh-CN" w:eastAsia="zh-CN" w:bidi="zh-CN"/>
      </w:rPr>
    </w:lvl>
    <w:lvl w:ilvl="1" w:tplc="D0922C38">
      <w:start w:val="3"/>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E6864892">
      <w:start w:val="1"/>
      <w:numFmt w:val="decimal"/>
      <w:lvlText w:val="%1.%2.%3"/>
      <w:lvlJc w:val="left"/>
      <w:pPr>
        <w:ind w:left="418" w:hanging="598"/>
        <w:jc w:val="left"/>
      </w:pPr>
      <w:rPr>
        <w:rFonts w:ascii="宋体" w:eastAsia="宋体" w:hAnsi="宋体" w:cs="宋体" w:hint="default"/>
        <w:b/>
        <w:bCs/>
        <w:w w:val="99"/>
        <w:sz w:val="21"/>
        <w:szCs w:val="21"/>
        <w:lang w:val="zh-CN" w:eastAsia="zh-CN" w:bidi="zh-CN"/>
      </w:rPr>
    </w:lvl>
    <w:lvl w:ilvl="3" w:tplc="671E4248">
      <w:numFmt w:val="bullet"/>
      <w:lvlText w:val="•"/>
      <w:lvlJc w:val="left"/>
      <w:pPr>
        <w:ind w:left="1380" w:hanging="598"/>
      </w:pPr>
      <w:rPr>
        <w:rFonts w:hint="default"/>
        <w:lang w:val="zh-CN" w:eastAsia="zh-CN" w:bidi="zh-CN"/>
      </w:rPr>
    </w:lvl>
    <w:lvl w:ilvl="4" w:tplc="1AC2D49A">
      <w:numFmt w:val="bullet"/>
      <w:lvlText w:val="•"/>
      <w:lvlJc w:val="left"/>
      <w:pPr>
        <w:ind w:left="2703" w:hanging="598"/>
      </w:pPr>
      <w:rPr>
        <w:rFonts w:hint="default"/>
        <w:lang w:val="zh-CN" w:eastAsia="zh-CN" w:bidi="zh-CN"/>
      </w:rPr>
    </w:lvl>
    <w:lvl w:ilvl="5" w:tplc="A54269DC">
      <w:numFmt w:val="bullet"/>
      <w:lvlText w:val="•"/>
      <w:lvlJc w:val="left"/>
      <w:pPr>
        <w:ind w:left="4027" w:hanging="598"/>
      </w:pPr>
      <w:rPr>
        <w:rFonts w:hint="default"/>
        <w:lang w:val="zh-CN" w:eastAsia="zh-CN" w:bidi="zh-CN"/>
      </w:rPr>
    </w:lvl>
    <w:lvl w:ilvl="6" w:tplc="AEB0377C">
      <w:numFmt w:val="bullet"/>
      <w:lvlText w:val="•"/>
      <w:lvlJc w:val="left"/>
      <w:pPr>
        <w:ind w:left="5351" w:hanging="598"/>
      </w:pPr>
      <w:rPr>
        <w:rFonts w:hint="default"/>
        <w:lang w:val="zh-CN" w:eastAsia="zh-CN" w:bidi="zh-CN"/>
      </w:rPr>
    </w:lvl>
    <w:lvl w:ilvl="7" w:tplc="06CC3CC8">
      <w:numFmt w:val="bullet"/>
      <w:lvlText w:val="•"/>
      <w:lvlJc w:val="left"/>
      <w:pPr>
        <w:ind w:left="6675" w:hanging="598"/>
      </w:pPr>
      <w:rPr>
        <w:rFonts w:hint="default"/>
        <w:lang w:val="zh-CN" w:eastAsia="zh-CN" w:bidi="zh-CN"/>
      </w:rPr>
    </w:lvl>
    <w:lvl w:ilvl="8" w:tplc="40E066F8">
      <w:numFmt w:val="bullet"/>
      <w:lvlText w:val="•"/>
      <w:lvlJc w:val="left"/>
      <w:pPr>
        <w:ind w:left="7998" w:hanging="598"/>
      </w:pPr>
      <w:rPr>
        <w:rFonts w:hint="default"/>
        <w:lang w:val="zh-CN" w:eastAsia="zh-CN" w:bidi="zh-CN"/>
      </w:rPr>
    </w:lvl>
  </w:abstractNum>
  <w:abstractNum w:abstractNumId="633" w15:restartNumberingAfterBreak="0">
    <w:nsid w:val="54D070DF"/>
    <w:multiLevelType w:val="hybridMultilevel"/>
    <w:tmpl w:val="F3302F24"/>
    <w:lvl w:ilvl="0" w:tplc="EE7E055C">
      <w:start w:val="1"/>
      <w:numFmt w:val="upperLetter"/>
      <w:lvlText w:val="%1."/>
      <w:lvlJc w:val="left"/>
      <w:pPr>
        <w:ind w:left="838" w:hanging="213"/>
        <w:jc w:val="left"/>
      </w:pPr>
      <w:rPr>
        <w:rFonts w:ascii="宋体" w:eastAsia="宋体" w:hAnsi="宋体" w:cs="宋体" w:hint="default"/>
        <w:b/>
        <w:bCs/>
        <w:w w:val="99"/>
        <w:sz w:val="19"/>
        <w:szCs w:val="19"/>
        <w:lang w:val="zh-CN" w:eastAsia="zh-CN" w:bidi="zh-CN"/>
      </w:rPr>
    </w:lvl>
    <w:lvl w:ilvl="1" w:tplc="D2F0DBEA">
      <w:numFmt w:val="bullet"/>
      <w:lvlText w:val="•"/>
      <w:lvlJc w:val="left"/>
      <w:pPr>
        <w:ind w:left="1820" w:hanging="213"/>
      </w:pPr>
      <w:rPr>
        <w:rFonts w:hint="default"/>
        <w:lang w:val="zh-CN" w:eastAsia="zh-CN" w:bidi="zh-CN"/>
      </w:rPr>
    </w:lvl>
    <w:lvl w:ilvl="2" w:tplc="241A695A">
      <w:numFmt w:val="bullet"/>
      <w:lvlText w:val="•"/>
      <w:lvlJc w:val="left"/>
      <w:pPr>
        <w:ind w:left="2801" w:hanging="213"/>
      </w:pPr>
      <w:rPr>
        <w:rFonts w:hint="default"/>
        <w:lang w:val="zh-CN" w:eastAsia="zh-CN" w:bidi="zh-CN"/>
      </w:rPr>
    </w:lvl>
    <w:lvl w:ilvl="3" w:tplc="2A5C70CA">
      <w:numFmt w:val="bullet"/>
      <w:lvlText w:val="•"/>
      <w:lvlJc w:val="left"/>
      <w:pPr>
        <w:ind w:left="3781" w:hanging="213"/>
      </w:pPr>
      <w:rPr>
        <w:rFonts w:hint="default"/>
        <w:lang w:val="zh-CN" w:eastAsia="zh-CN" w:bidi="zh-CN"/>
      </w:rPr>
    </w:lvl>
    <w:lvl w:ilvl="4" w:tplc="9382784E">
      <w:numFmt w:val="bullet"/>
      <w:lvlText w:val="•"/>
      <w:lvlJc w:val="left"/>
      <w:pPr>
        <w:ind w:left="4762" w:hanging="213"/>
      </w:pPr>
      <w:rPr>
        <w:rFonts w:hint="default"/>
        <w:lang w:val="zh-CN" w:eastAsia="zh-CN" w:bidi="zh-CN"/>
      </w:rPr>
    </w:lvl>
    <w:lvl w:ilvl="5" w:tplc="B4387564">
      <w:numFmt w:val="bullet"/>
      <w:lvlText w:val="•"/>
      <w:lvlJc w:val="left"/>
      <w:pPr>
        <w:ind w:left="5743" w:hanging="213"/>
      </w:pPr>
      <w:rPr>
        <w:rFonts w:hint="default"/>
        <w:lang w:val="zh-CN" w:eastAsia="zh-CN" w:bidi="zh-CN"/>
      </w:rPr>
    </w:lvl>
    <w:lvl w:ilvl="6" w:tplc="F196BEEC">
      <w:numFmt w:val="bullet"/>
      <w:lvlText w:val="•"/>
      <w:lvlJc w:val="left"/>
      <w:pPr>
        <w:ind w:left="6723" w:hanging="213"/>
      </w:pPr>
      <w:rPr>
        <w:rFonts w:hint="default"/>
        <w:lang w:val="zh-CN" w:eastAsia="zh-CN" w:bidi="zh-CN"/>
      </w:rPr>
    </w:lvl>
    <w:lvl w:ilvl="7" w:tplc="EB220646">
      <w:numFmt w:val="bullet"/>
      <w:lvlText w:val="•"/>
      <w:lvlJc w:val="left"/>
      <w:pPr>
        <w:ind w:left="7704" w:hanging="213"/>
      </w:pPr>
      <w:rPr>
        <w:rFonts w:hint="default"/>
        <w:lang w:val="zh-CN" w:eastAsia="zh-CN" w:bidi="zh-CN"/>
      </w:rPr>
    </w:lvl>
    <w:lvl w:ilvl="8" w:tplc="272652B4">
      <w:numFmt w:val="bullet"/>
      <w:lvlText w:val="•"/>
      <w:lvlJc w:val="left"/>
      <w:pPr>
        <w:ind w:left="8685" w:hanging="213"/>
      </w:pPr>
      <w:rPr>
        <w:rFonts w:hint="default"/>
        <w:lang w:val="zh-CN" w:eastAsia="zh-CN" w:bidi="zh-CN"/>
      </w:rPr>
    </w:lvl>
  </w:abstractNum>
  <w:abstractNum w:abstractNumId="634" w15:restartNumberingAfterBreak="0">
    <w:nsid w:val="54D66BBC"/>
    <w:multiLevelType w:val="hybridMultilevel"/>
    <w:tmpl w:val="C7489320"/>
    <w:lvl w:ilvl="0" w:tplc="C13E0C26">
      <w:start w:val="10"/>
      <w:numFmt w:val="decimal"/>
      <w:lvlText w:val="%1"/>
      <w:lvlJc w:val="left"/>
      <w:pPr>
        <w:ind w:left="1263" w:hanging="424"/>
        <w:jc w:val="left"/>
      </w:pPr>
      <w:rPr>
        <w:rFonts w:hint="default"/>
        <w:lang w:val="zh-CN" w:eastAsia="zh-CN" w:bidi="zh-CN"/>
      </w:rPr>
    </w:lvl>
    <w:lvl w:ilvl="1" w:tplc="68505278">
      <w:start w:val="1"/>
      <w:numFmt w:val="decimal"/>
      <w:lvlText w:val="%1.%2"/>
      <w:lvlJc w:val="left"/>
      <w:pPr>
        <w:ind w:left="1263" w:hanging="424"/>
        <w:jc w:val="left"/>
      </w:pPr>
      <w:rPr>
        <w:rFonts w:ascii="宋体" w:eastAsia="宋体" w:hAnsi="宋体" w:cs="宋体" w:hint="default"/>
        <w:b/>
        <w:bCs/>
        <w:w w:val="99"/>
        <w:sz w:val="19"/>
        <w:szCs w:val="19"/>
        <w:lang w:val="zh-CN" w:eastAsia="zh-CN" w:bidi="zh-CN"/>
      </w:rPr>
    </w:lvl>
    <w:lvl w:ilvl="2" w:tplc="52D2977A">
      <w:start w:val="1"/>
      <w:numFmt w:val="decimal"/>
      <w:lvlText w:val="%1.%2.%3"/>
      <w:lvlJc w:val="left"/>
      <w:pPr>
        <w:ind w:left="418" w:hanging="637"/>
        <w:jc w:val="left"/>
      </w:pPr>
      <w:rPr>
        <w:rFonts w:ascii="宋体" w:eastAsia="宋体" w:hAnsi="宋体" w:cs="宋体" w:hint="default"/>
        <w:b/>
        <w:bCs/>
        <w:w w:val="99"/>
        <w:sz w:val="19"/>
        <w:szCs w:val="19"/>
        <w:lang w:val="zh-CN" w:eastAsia="zh-CN" w:bidi="zh-CN"/>
      </w:rPr>
    </w:lvl>
    <w:lvl w:ilvl="3" w:tplc="A546D804">
      <w:numFmt w:val="bullet"/>
      <w:lvlText w:val="•"/>
      <w:lvlJc w:val="left"/>
      <w:pPr>
        <w:ind w:left="3345" w:hanging="637"/>
      </w:pPr>
      <w:rPr>
        <w:rFonts w:hint="default"/>
        <w:lang w:val="zh-CN" w:eastAsia="zh-CN" w:bidi="zh-CN"/>
      </w:rPr>
    </w:lvl>
    <w:lvl w:ilvl="4" w:tplc="8BEA140C">
      <w:numFmt w:val="bullet"/>
      <w:lvlText w:val="•"/>
      <w:lvlJc w:val="left"/>
      <w:pPr>
        <w:ind w:left="4388" w:hanging="637"/>
      </w:pPr>
      <w:rPr>
        <w:rFonts w:hint="default"/>
        <w:lang w:val="zh-CN" w:eastAsia="zh-CN" w:bidi="zh-CN"/>
      </w:rPr>
    </w:lvl>
    <w:lvl w:ilvl="5" w:tplc="5B9A87B0">
      <w:numFmt w:val="bullet"/>
      <w:lvlText w:val="•"/>
      <w:lvlJc w:val="left"/>
      <w:pPr>
        <w:ind w:left="5431" w:hanging="637"/>
      </w:pPr>
      <w:rPr>
        <w:rFonts w:hint="default"/>
        <w:lang w:val="zh-CN" w:eastAsia="zh-CN" w:bidi="zh-CN"/>
      </w:rPr>
    </w:lvl>
    <w:lvl w:ilvl="6" w:tplc="D28A7F56">
      <w:numFmt w:val="bullet"/>
      <w:lvlText w:val="•"/>
      <w:lvlJc w:val="left"/>
      <w:pPr>
        <w:ind w:left="6474" w:hanging="637"/>
      </w:pPr>
      <w:rPr>
        <w:rFonts w:hint="default"/>
        <w:lang w:val="zh-CN" w:eastAsia="zh-CN" w:bidi="zh-CN"/>
      </w:rPr>
    </w:lvl>
    <w:lvl w:ilvl="7" w:tplc="9CC6F85E">
      <w:numFmt w:val="bullet"/>
      <w:lvlText w:val="•"/>
      <w:lvlJc w:val="left"/>
      <w:pPr>
        <w:ind w:left="7517" w:hanging="637"/>
      </w:pPr>
      <w:rPr>
        <w:rFonts w:hint="default"/>
        <w:lang w:val="zh-CN" w:eastAsia="zh-CN" w:bidi="zh-CN"/>
      </w:rPr>
    </w:lvl>
    <w:lvl w:ilvl="8" w:tplc="CE8A0314">
      <w:numFmt w:val="bullet"/>
      <w:lvlText w:val="•"/>
      <w:lvlJc w:val="left"/>
      <w:pPr>
        <w:ind w:left="8560" w:hanging="637"/>
      </w:pPr>
      <w:rPr>
        <w:rFonts w:hint="default"/>
        <w:lang w:val="zh-CN" w:eastAsia="zh-CN" w:bidi="zh-CN"/>
      </w:rPr>
    </w:lvl>
  </w:abstractNum>
  <w:abstractNum w:abstractNumId="635" w15:restartNumberingAfterBreak="0">
    <w:nsid w:val="54FA43B4"/>
    <w:multiLevelType w:val="hybridMultilevel"/>
    <w:tmpl w:val="46CC78BC"/>
    <w:lvl w:ilvl="0" w:tplc="59048528">
      <w:start w:val="5"/>
      <w:numFmt w:val="decimal"/>
      <w:lvlText w:val="%1"/>
      <w:lvlJc w:val="left"/>
      <w:pPr>
        <w:ind w:left="1369" w:hanging="529"/>
        <w:jc w:val="left"/>
      </w:pPr>
      <w:rPr>
        <w:rFonts w:hint="default"/>
        <w:lang w:val="zh-CN" w:eastAsia="zh-CN" w:bidi="zh-CN"/>
      </w:rPr>
    </w:lvl>
    <w:lvl w:ilvl="1" w:tplc="B84CB7FA">
      <w:start w:val="1"/>
      <w:numFmt w:val="decimal"/>
      <w:lvlText w:val="%1.%2"/>
      <w:lvlJc w:val="left"/>
      <w:pPr>
        <w:ind w:left="1369" w:hanging="529"/>
        <w:jc w:val="left"/>
      </w:pPr>
      <w:rPr>
        <w:rFonts w:hint="default"/>
        <w:lang w:val="zh-CN" w:eastAsia="zh-CN" w:bidi="zh-CN"/>
      </w:rPr>
    </w:lvl>
    <w:lvl w:ilvl="2" w:tplc="975ABE12">
      <w:start w:val="3"/>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341EE5B2">
      <w:numFmt w:val="bullet"/>
      <w:lvlText w:val="•"/>
      <w:lvlJc w:val="left"/>
      <w:pPr>
        <w:ind w:left="4145" w:hanging="529"/>
      </w:pPr>
      <w:rPr>
        <w:rFonts w:hint="default"/>
        <w:lang w:val="zh-CN" w:eastAsia="zh-CN" w:bidi="zh-CN"/>
      </w:rPr>
    </w:lvl>
    <w:lvl w:ilvl="4" w:tplc="8F5C5AF8">
      <w:numFmt w:val="bullet"/>
      <w:lvlText w:val="•"/>
      <w:lvlJc w:val="left"/>
      <w:pPr>
        <w:ind w:left="5074" w:hanging="529"/>
      </w:pPr>
      <w:rPr>
        <w:rFonts w:hint="default"/>
        <w:lang w:val="zh-CN" w:eastAsia="zh-CN" w:bidi="zh-CN"/>
      </w:rPr>
    </w:lvl>
    <w:lvl w:ilvl="5" w:tplc="4D16B14E">
      <w:numFmt w:val="bullet"/>
      <w:lvlText w:val="•"/>
      <w:lvlJc w:val="left"/>
      <w:pPr>
        <w:ind w:left="6003" w:hanging="529"/>
      </w:pPr>
      <w:rPr>
        <w:rFonts w:hint="default"/>
        <w:lang w:val="zh-CN" w:eastAsia="zh-CN" w:bidi="zh-CN"/>
      </w:rPr>
    </w:lvl>
    <w:lvl w:ilvl="6" w:tplc="6A56D0C2">
      <w:numFmt w:val="bullet"/>
      <w:lvlText w:val="•"/>
      <w:lvlJc w:val="left"/>
      <w:pPr>
        <w:ind w:left="6931" w:hanging="529"/>
      </w:pPr>
      <w:rPr>
        <w:rFonts w:hint="default"/>
        <w:lang w:val="zh-CN" w:eastAsia="zh-CN" w:bidi="zh-CN"/>
      </w:rPr>
    </w:lvl>
    <w:lvl w:ilvl="7" w:tplc="4920E2DC">
      <w:numFmt w:val="bullet"/>
      <w:lvlText w:val="•"/>
      <w:lvlJc w:val="left"/>
      <w:pPr>
        <w:ind w:left="7860" w:hanging="529"/>
      </w:pPr>
      <w:rPr>
        <w:rFonts w:hint="default"/>
        <w:lang w:val="zh-CN" w:eastAsia="zh-CN" w:bidi="zh-CN"/>
      </w:rPr>
    </w:lvl>
    <w:lvl w:ilvl="8" w:tplc="A620B600">
      <w:numFmt w:val="bullet"/>
      <w:lvlText w:val="•"/>
      <w:lvlJc w:val="left"/>
      <w:pPr>
        <w:ind w:left="8789" w:hanging="529"/>
      </w:pPr>
      <w:rPr>
        <w:rFonts w:hint="default"/>
        <w:lang w:val="zh-CN" w:eastAsia="zh-CN" w:bidi="zh-CN"/>
      </w:rPr>
    </w:lvl>
  </w:abstractNum>
  <w:abstractNum w:abstractNumId="636" w15:restartNumberingAfterBreak="0">
    <w:nsid w:val="55433F92"/>
    <w:multiLevelType w:val="hybridMultilevel"/>
    <w:tmpl w:val="03D0863C"/>
    <w:lvl w:ilvl="0" w:tplc="4C3E7620">
      <w:start w:val="5"/>
      <w:numFmt w:val="decimal"/>
      <w:lvlText w:val="%1"/>
      <w:lvlJc w:val="left"/>
      <w:pPr>
        <w:ind w:left="1369" w:hanging="529"/>
        <w:jc w:val="left"/>
      </w:pPr>
      <w:rPr>
        <w:rFonts w:hint="default"/>
        <w:lang w:val="zh-CN" w:eastAsia="zh-CN" w:bidi="zh-CN"/>
      </w:rPr>
    </w:lvl>
    <w:lvl w:ilvl="1" w:tplc="3182D638">
      <w:start w:val="2"/>
      <w:numFmt w:val="decimal"/>
      <w:lvlText w:val="%1.%2"/>
      <w:lvlJc w:val="left"/>
      <w:pPr>
        <w:ind w:left="1369" w:hanging="529"/>
        <w:jc w:val="left"/>
      </w:pPr>
      <w:rPr>
        <w:rFonts w:hint="default"/>
        <w:lang w:val="zh-CN" w:eastAsia="zh-CN" w:bidi="zh-CN"/>
      </w:rPr>
    </w:lvl>
    <w:lvl w:ilvl="2" w:tplc="C520D39A">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441EA898">
      <w:numFmt w:val="bullet"/>
      <w:lvlText w:val="•"/>
      <w:lvlJc w:val="left"/>
      <w:pPr>
        <w:ind w:left="4145" w:hanging="529"/>
      </w:pPr>
      <w:rPr>
        <w:rFonts w:hint="default"/>
        <w:lang w:val="zh-CN" w:eastAsia="zh-CN" w:bidi="zh-CN"/>
      </w:rPr>
    </w:lvl>
    <w:lvl w:ilvl="4" w:tplc="55CCDEF4">
      <w:numFmt w:val="bullet"/>
      <w:lvlText w:val="•"/>
      <w:lvlJc w:val="left"/>
      <w:pPr>
        <w:ind w:left="5074" w:hanging="529"/>
      </w:pPr>
      <w:rPr>
        <w:rFonts w:hint="default"/>
        <w:lang w:val="zh-CN" w:eastAsia="zh-CN" w:bidi="zh-CN"/>
      </w:rPr>
    </w:lvl>
    <w:lvl w:ilvl="5" w:tplc="BD60891A">
      <w:numFmt w:val="bullet"/>
      <w:lvlText w:val="•"/>
      <w:lvlJc w:val="left"/>
      <w:pPr>
        <w:ind w:left="6003" w:hanging="529"/>
      </w:pPr>
      <w:rPr>
        <w:rFonts w:hint="default"/>
        <w:lang w:val="zh-CN" w:eastAsia="zh-CN" w:bidi="zh-CN"/>
      </w:rPr>
    </w:lvl>
    <w:lvl w:ilvl="6" w:tplc="24D68B0A">
      <w:numFmt w:val="bullet"/>
      <w:lvlText w:val="•"/>
      <w:lvlJc w:val="left"/>
      <w:pPr>
        <w:ind w:left="6931" w:hanging="529"/>
      </w:pPr>
      <w:rPr>
        <w:rFonts w:hint="default"/>
        <w:lang w:val="zh-CN" w:eastAsia="zh-CN" w:bidi="zh-CN"/>
      </w:rPr>
    </w:lvl>
    <w:lvl w:ilvl="7" w:tplc="94B463F8">
      <w:numFmt w:val="bullet"/>
      <w:lvlText w:val="•"/>
      <w:lvlJc w:val="left"/>
      <w:pPr>
        <w:ind w:left="7860" w:hanging="529"/>
      </w:pPr>
      <w:rPr>
        <w:rFonts w:hint="default"/>
        <w:lang w:val="zh-CN" w:eastAsia="zh-CN" w:bidi="zh-CN"/>
      </w:rPr>
    </w:lvl>
    <w:lvl w:ilvl="8" w:tplc="BD4E0EE2">
      <w:numFmt w:val="bullet"/>
      <w:lvlText w:val="•"/>
      <w:lvlJc w:val="left"/>
      <w:pPr>
        <w:ind w:left="8789" w:hanging="529"/>
      </w:pPr>
      <w:rPr>
        <w:rFonts w:hint="default"/>
        <w:lang w:val="zh-CN" w:eastAsia="zh-CN" w:bidi="zh-CN"/>
      </w:rPr>
    </w:lvl>
  </w:abstractNum>
  <w:abstractNum w:abstractNumId="637" w15:restartNumberingAfterBreak="0">
    <w:nsid w:val="55457A1E"/>
    <w:multiLevelType w:val="hybridMultilevel"/>
    <w:tmpl w:val="468E319A"/>
    <w:lvl w:ilvl="0" w:tplc="2D80049C">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4E465802">
      <w:numFmt w:val="bullet"/>
      <w:lvlText w:val="•"/>
      <w:lvlJc w:val="left"/>
      <w:pPr>
        <w:ind w:left="2288" w:hanging="529"/>
      </w:pPr>
      <w:rPr>
        <w:rFonts w:hint="default"/>
        <w:lang w:val="zh-CN" w:eastAsia="zh-CN" w:bidi="zh-CN"/>
      </w:rPr>
    </w:lvl>
    <w:lvl w:ilvl="2" w:tplc="97700E6E">
      <w:numFmt w:val="bullet"/>
      <w:lvlText w:val="•"/>
      <w:lvlJc w:val="left"/>
      <w:pPr>
        <w:ind w:left="3217" w:hanging="529"/>
      </w:pPr>
      <w:rPr>
        <w:rFonts w:hint="default"/>
        <w:lang w:val="zh-CN" w:eastAsia="zh-CN" w:bidi="zh-CN"/>
      </w:rPr>
    </w:lvl>
    <w:lvl w:ilvl="3" w:tplc="E1AAD8AC">
      <w:numFmt w:val="bullet"/>
      <w:lvlText w:val="•"/>
      <w:lvlJc w:val="left"/>
      <w:pPr>
        <w:ind w:left="4145" w:hanging="529"/>
      </w:pPr>
      <w:rPr>
        <w:rFonts w:hint="default"/>
        <w:lang w:val="zh-CN" w:eastAsia="zh-CN" w:bidi="zh-CN"/>
      </w:rPr>
    </w:lvl>
    <w:lvl w:ilvl="4" w:tplc="DC36A6C0">
      <w:numFmt w:val="bullet"/>
      <w:lvlText w:val="•"/>
      <w:lvlJc w:val="left"/>
      <w:pPr>
        <w:ind w:left="5074" w:hanging="529"/>
      </w:pPr>
      <w:rPr>
        <w:rFonts w:hint="default"/>
        <w:lang w:val="zh-CN" w:eastAsia="zh-CN" w:bidi="zh-CN"/>
      </w:rPr>
    </w:lvl>
    <w:lvl w:ilvl="5" w:tplc="C16856D0">
      <w:numFmt w:val="bullet"/>
      <w:lvlText w:val="•"/>
      <w:lvlJc w:val="left"/>
      <w:pPr>
        <w:ind w:left="6003" w:hanging="529"/>
      </w:pPr>
      <w:rPr>
        <w:rFonts w:hint="default"/>
        <w:lang w:val="zh-CN" w:eastAsia="zh-CN" w:bidi="zh-CN"/>
      </w:rPr>
    </w:lvl>
    <w:lvl w:ilvl="6" w:tplc="FE4A0FF6">
      <w:numFmt w:val="bullet"/>
      <w:lvlText w:val="•"/>
      <w:lvlJc w:val="left"/>
      <w:pPr>
        <w:ind w:left="6931" w:hanging="529"/>
      </w:pPr>
      <w:rPr>
        <w:rFonts w:hint="default"/>
        <w:lang w:val="zh-CN" w:eastAsia="zh-CN" w:bidi="zh-CN"/>
      </w:rPr>
    </w:lvl>
    <w:lvl w:ilvl="7" w:tplc="9D30A884">
      <w:numFmt w:val="bullet"/>
      <w:lvlText w:val="•"/>
      <w:lvlJc w:val="left"/>
      <w:pPr>
        <w:ind w:left="7860" w:hanging="529"/>
      </w:pPr>
      <w:rPr>
        <w:rFonts w:hint="default"/>
        <w:lang w:val="zh-CN" w:eastAsia="zh-CN" w:bidi="zh-CN"/>
      </w:rPr>
    </w:lvl>
    <w:lvl w:ilvl="8" w:tplc="38A0C8F4">
      <w:numFmt w:val="bullet"/>
      <w:lvlText w:val="•"/>
      <w:lvlJc w:val="left"/>
      <w:pPr>
        <w:ind w:left="8789" w:hanging="529"/>
      </w:pPr>
      <w:rPr>
        <w:rFonts w:hint="default"/>
        <w:lang w:val="zh-CN" w:eastAsia="zh-CN" w:bidi="zh-CN"/>
      </w:rPr>
    </w:lvl>
  </w:abstractNum>
  <w:abstractNum w:abstractNumId="638" w15:restartNumberingAfterBreak="0">
    <w:nsid w:val="55806148"/>
    <w:multiLevelType w:val="hybridMultilevel"/>
    <w:tmpl w:val="C6740DCE"/>
    <w:lvl w:ilvl="0" w:tplc="1A5ECB80">
      <w:start w:val="3"/>
      <w:numFmt w:val="decimal"/>
      <w:lvlText w:val="%1"/>
      <w:lvlJc w:val="left"/>
      <w:pPr>
        <w:ind w:left="1158" w:hanging="318"/>
        <w:jc w:val="left"/>
      </w:pPr>
      <w:rPr>
        <w:rFonts w:hint="default"/>
        <w:lang w:val="zh-CN" w:eastAsia="zh-CN" w:bidi="zh-CN"/>
      </w:rPr>
    </w:lvl>
    <w:lvl w:ilvl="1" w:tplc="859C1756">
      <w:start w:val="3"/>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C5666AAC">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DE7E103E">
      <w:numFmt w:val="bullet"/>
      <w:lvlText w:val="•"/>
      <w:lvlJc w:val="left"/>
      <w:pPr>
        <w:ind w:left="2520" w:hanging="529"/>
      </w:pPr>
      <w:rPr>
        <w:rFonts w:hint="default"/>
        <w:lang w:val="zh-CN" w:eastAsia="zh-CN" w:bidi="zh-CN"/>
      </w:rPr>
    </w:lvl>
    <w:lvl w:ilvl="4" w:tplc="55B8FCC8">
      <w:numFmt w:val="bullet"/>
      <w:lvlText w:val="•"/>
      <w:lvlJc w:val="left"/>
      <w:pPr>
        <w:ind w:left="3681" w:hanging="529"/>
      </w:pPr>
      <w:rPr>
        <w:rFonts w:hint="default"/>
        <w:lang w:val="zh-CN" w:eastAsia="zh-CN" w:bidi="zh-CN"/>
      </w:rPr>
    </w:lvl>
    <w:lvl w:ilvl="5" w:tplc="395E472A">
      <w:numFmt w:val="bullet"/>
      <w:lvlText w:val="•"/>
      <w:lvlJc w:val="left"/>
      <w:pPr>
        <w:ind w:left="4842" w:hanging="529"/>
      </w:pPr>
      <w:rPr>
        <w:rFonts w:hint="default"/>
        <w:lang w:val="zh-CN" w:eastAsia="zh-CN" w:bidi="zh-CN"/>
      </w:rPr>
    </w:lvl>
    <w:lvl w:ilvl="6" w:tplc="7756B178">
      <w:numFmt w:val="bullet"/>
      <w:lvlText w:val="•"/>
      <w:lvlJc w:val="left"/>
      <w:pPr>
        <w:ind w:left="6003" w:hanging="529"/>
      </w:pPr>
      <w:rPr>
        <w:rFonts w:hint="default"/>
        <w:lang w:val="zh-CN" w:eastAsia="zh-CN" w:bidi="zh-CN"/>
      </w:rPr>
    </w:lvl>
    <w:lvl w:ilvl="7" w:tplc="C7023714">
      <w:numFmt w:val="bullet"/>
      <w:lvlText w:val="•"/>
      <w:lvlJc w:val="left"/>
      <w:pPr>
        <w:ind w:left="7164" w:hanging="529"/>
      </w:pPr>
      <w:rPr>
        <w:rFonts w:hint="default"/>
        <w:lang w:val="zh-CN" w:eastAsia="zh-CN" w:bidi="zh-CN"/>
      </w:rPr>
    </w:lvl>
    <w:lvl w:ilvl="8" w:tplc="47F602C4">
      <w:numFmt w:val="bullet"/>
      <w:lvlText w:val="•"/>
      <w:lvlJc w:val="left"/>
      <w:pPr>
        <w:ind w:left="8324" w:hanging="529"/>
      </w:pPr>
      <w:rPr>
        <w:rFonts w:hint="default"/>
        <w:lang w:val="zh-CN" w:eastAsia="zh-CN" w:bidi="zh-CN"/>
      </w:rPr>
    </w:lvl>
  </w:abstractNum>
  <w:abstractNum w:abstractNumId="639" w15:restartNumberingAfterBreak="0">
    <w:nsid w:val="559B7037"/>
    <w:multiLevelType w:val="hybridMultilevel"/>
    <w:tmpl w:val="8542B268"/>
    <w:lvl w:ilvl="0" w:tplc="BF580C0C">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80C45910">
      <w:numFmt w:val="bullet"/>
      <w:lvlText w:val="•"/>
      <w:lvlJc w:val="left"/>
      <w:pPr>
        <w:ind w:left="2288" w:hanging="529"/>
      </w:pPr>
      <w:rPr>
        <w:rFonts w:hint="default"/>
        <w:lang w:val="zh-CN" w:eastAsia="zh-CN" w:bidi="zh-CN"/>
      </w:rPr>
    </w:lvl>
    <w:lvl w:ilvl="2" w:tplc="33849C9E">
      <w:numFmt w:val="bullet"/>
      <w:lvlText w:val="•"/>
      <w:lvlJc w:val="left"/>
      <w:pPr>
        <w:ind w:left="3217" w:hanging="529"/>
      </w:pPr>
      <w:rPr>
        <w:rFonts w:hint="default"/>
        <w:lang w:val="zh-CN" w:eastAsia="zh-CN" w:bidi="zh-CN"/>
      </w:rPr>
    </w:lvl>
    <w:lvl w:ilvl="3" w:tplc="F6E2CD20">
      <w:numFmt w:val="bullet"/>
      <w:lvlText w:val="•"/>
      <w:lvlJc w:val="left"/>
      <w:pPr>
        <w:ind w:left="4145" w:hanging="529"/>
      </w:pPr>
      <w:rPr>
        <w:rFonts w:hint="default"/>
        <w:lang w:val="zh-CN" w:eastAsia="zh-CN" w:bidi="zh-CN"/>
      </w:rPr>
    </w:lvl>
    <w:lvl w:ilvl="4" w:tplc="F5320008">
      <w:numFmt w:val="bullet"/>
      <w:lvlText w:val="•"/>
      <w:lvlJc w:val="left"/>
      <w:pPr>
        <w:ind w:left="5074" w:hanging="529"/>
      </w:pPr>
      <w:rPr>
        <w:rFonts w:hint="default"/>
        <w:lang w:val="zh-CN" w:eastAsia="zh-CN" w:bidi="zh-CN"/>
      </w:rPr>
    </w:lvl>
    <w:lvl w:ilvl="5" w:tplc="B40E2822">
      <w:numFmt w:val="bullet"/>
      <w:lvlText w:val="•"/>
      <w:lvlJc w:val="left"/>
      <w:pPr>
        <w:ind w:left="6003" w:hanging="529"/>
      </w:pPr>
      <w:rPr>
        <w:rFonts w:hint="default"/>
        <w:lang w:val="zh-CN" w:eastAsia="zh-CN" w:bidi="zh-CN"/>
      </w:rPr>
    </w:lvl>
    <w:lvl w:ilvl="6" w:tplc="02443E26">
      <w:numFmt w:val="bullet"/>
      <w:lvlText w:val="•"/>
      <w:lvlJc w:val="left"/>
      <w:pPr>
        <w:ind w:left="6931" w:hanging="529"/>
      </w:pPr>
      <w:rPr>
        <w:rFonts w:hint="default"/>
        <w:lang w:val="zh-CN" w:eastAsia="zh-CN" w:bidi="zh-CN"/>
      </w:rPr>
    </w:lvl>
    <w:lvl w:ilvl="7" w:tplc="A34C0FE0">
      <w:numFmt w:val="bullet"/>
      <w:lvlText w:val="•"/>
      <w:lvlJc w:val="left"/>
      <w:pPr>
        <w:ind w:left="7860" w:hanging="529"/>
      </w:pPr>
      <w:rPr>
        <w:rFonts w:hint="default"/>
        <w:lang w:val="zh-CN" w:eastAsia="zh-CN" w:bidi="zh-CN"/>
      </w:rPr>
    </w:lvl>
    <w:lvl w:ilvl="8" w:tplc="6D18BD54">
      <w:numFmt w:val="bullet"/>
      <w:lvlText w:val="•"/>
      <w:lvlJc w:val="left"/>
      <w:pPr>
        <w:ind w:left="8789" w:hanging="529"/>
      </w:pPr>
      <w:rPr>
        <w:rFonts w:hint="default"/>
        <w:lang w:val="zh-CN" w:eastAsia="zh-CN" w:bidi="zh-CN"/>
      </w:rPr>
    </w:lvl>
  </w:abstractNum>
  <w:abstractNum w:abstractNumId="640" w15:restartNumberingAfterBreak="0">
    <w:nsid w:val="55A978E1"/>
    <w:multiLevelType w:val="hybridMultilevel"/>
    <w:tmpl w:val="692C5F46"/>
    <w:lvl w:ilvl="0" w:tplc="872043B4">
      <w:start w:val="1"/>
      <w:numFmt w:val="decimal"/>
      <w:lvlText w:val="（%1）"/>
      <w:lvlJc w:val="left"/>
      <w:pPr>
        <w:ind w:left="418" w:hanging="532"/>
        <w:jc w:val="left"/>
      </w:pPr>
      <w:rPr>
        <w:rFonts w:ascii="宋体" w:eastAsia="宋体" w:hAnsi="宋体" w:cs="宋体" w:hint="default"/>
        <w:spacing w:val="0"/>
        <w:w w:val="100"/>
        <w:sz w:val="19"/>
        <w:szCs w:val="19"/>
        <w:lang w:val="zh-CN" w:eastAsia="zh-CN" w:bidi="zh-CN"/>
      </w:rPr>
    </w:lvl>
    <w:lvl w:ilvl="1" w:tplc="DD709A7A">
      <w:numFmt w:val="bullet"/>
      <w:lvlText w:val="•"/>
      <w:lvlJc w:val="left"/>
      <w:pPr>
        <w:ind w:left="1442" w:hanging="532"/>
      </w:pPr>
      <w:rPr>
        <w:rFonts w:hint="default"/>
        <w:lang w:val="zh-CN" w:eastAsia="zh-CN" w:bidi="zh-CN"/>
      </w:rPr>
    </w:lvl>
    <w:lvl w:ilvl="2" w:tplc="BF1E5DB0">
      <w:numFmt w:val="bullet"/>
      <w:lvlText w:val="•"/>
      <w:lvlJc w:val="left"/>
      <w:pPr>
        <w:ind w:left="2465" w:hanging="532"/>
      </w:pPr>
      <w:rPr>
        <w:rFonts w:hint="default"/>
        <w:lang w:val="zh-CN" w:eastAsia="zh-CN" w:bidi="zh-CN"/>
      </w:rPr>
    </w:lvl>
    <w:lvl w:ilvl="3" w:tplc="8CA298EC">
      <w:numFmt w:val="bullet"/>
      <w:lvlText w:val="•"/>
      <w:lvlJc w:val="left"/>
      <w:pPr>
        <w:ind w:left="3487" w:hanging="532"/>
      </w:pPr>
      <w:rPr>
        <w:rFonts w:hint="default"/>
        <w:lang w:val="zh-CN" w:eastAsia="zh-CN" w:bidi="zh-CN"/>
      </w:rPr>
    </w:lvl>
    <w:lvl w:ilvl="4" w:tplc="40124920">
      <w:numFmt w:val="bullet"/>
      <w:lvlText w:val="•"/>
      <w:lvlJc w:val="left"/>
      <w:pPr>
        <w:ind w:left="4510" w:hanging="532"/>
      </w:pPr>
      <w:rPr>
        <w:rFonts w:hint="default"/>
        <w:lang w:val="zh-CN" w:eastAsia="zh-CN" w:bidi="zh-CN"/>
      </w:rPr>
    </w:lvl>
    <w:lvl w:ilvl="5" w:tplc="AEE661E6">
      <w:numFmt w:val="bullet"/>
      <w:lvlText w:val="•"/>
      <w:lvlJc w:val="left"/>
      <w:pPr>
        <w:ind w:left="5533" w:hanging="532"/>
      </w:pPr>
      <w:rPr>
        <w:rFonts w:hint="default"/>
        <w:lang w:val="zh-CN" w:eastAsia="zh-CN" w:bidi="zh-CN"/>
      </w:rPr>
    </w:lvl>
    <w:lvl w:ilvl="6" w:tplc="0D90C42E">
      <w:numFmt w:val="bullet"/>
      <w:lvlText w:val="•"/>
      <w:lvlJc w:val="left"/>
      <w:pPr>
        <w:ind w:left="6555" w:hanging="532"/>
      </w:pPr>
      <w:rPr>
        <w:rFonts w:hint="default"/>
        <w:lang w:val="zh-CN" w:eastAsia="zh-CN" w:bidi="zh-CN"/>
      </w:rPr>
    </w:lvl>
    <w:lvl w:ilvl="7" w:tplc="94888EC6">
      <w:numFmt w:val="bullet"/>
      <w:lvlText w:val="•"/>
      <w:lvlJc w:val="left"/>
      <w:pPr>
        <w:ind w:left="7578" w:hanging="532"/>
      </w:pPr>
      <w:rPr>
        <w:rFonts w:hint="default"/>
        <w:lang w:val="zh-CN" w:eastAsia="zh-CN" w:bidi="zh-CN"/>
      </w:rPr>
    </w:lvl>
    <w:lvl w:ilvl="8" w:tplc="BF2C769A">
      <w:numFmt w:val="bullet"/>
      <w:lvlText w:val="•"/>
      <w:lvlJc w:val="left"/>
      <w:pPr>
        <w:ind w:left="8601" w:hanging="532"/>
      </w:pPr>
      <w:rPr>
        <w:rFonts w:hint="default"/>
        <w:lang w:val="zh-CN" w:eastAsia="zh-CN" w:bidi="zh-CN"/>
      </w:rPr>
    </w:lvl>
  </w:abstractNum>
  <w:abstractNum w:abstractNumId="641" w15:restartNumberingAfterBreak="0">
    <w:nsid w:val="55F00EC4"/>
    <w:multiLevelType w:val="hybridMultilevel"/>
    <w:tmpl w:val="506217FC"/>
    <w:lvl w:ilvl="0" w:tplc="802C8508">
      <w:start w:val="1"/>
      <w:numFmt w:val="decimal"/>
      <w:lvlText w:val="%1)"/>
      <w:lvlJc w:val="left"/>
      <w:pPr>
        <w:ind w:left="418" w:hanging="213"/>
        <w:jc w:val="left"/>
      </w:pPr>
      <w:rPr>
        <w:rFonts w:ascii="宋体" w:eastAsia="宋体" w:hAnsi="宋体" w:cs="宋体" w:hint="default"/>
        <w:spacing w:val="-3"/>
        <w:w w:val="100"/>
        <w:sz w:val="19"/>
        <w:szCs w:val="19"/>
        <w:lang w:val="zh-CN" w:eastAsia="zh-CN" w:bidi="zh-CN"/>
      </w:rPr>
    </w:lvl>
    <w:lvl w:ilvl="1" w:tplc="1882BACA">
      <w:numFmt w:val="bullet"/>
      <w:lvlText w:val="•"/>
      <w:lvlJc w:val="left"/>
      <w:pPr>
        <w:ind w:left="1442" w:hanging="213"/>
      </w:pPr>
      <w:rPr>
        <w:rFonts w:hint="default"/>
        <w:lang w:val="zh-CN" w:eastAsia="zh-CN" w:bidi="zh-CN"/>
      </w:rPr>
    </w:lvl>
    <w:lvl w:ilvl="2" w:tplc="6E9A77A8">
      <w:numFmt w:val="bullet"/>
      <w:lvlText w:val="•"/>
      <w:lvlJc w:val="left"/>
      <w:pPr>
        <w:ind w:left="2465" w:hanging="213"/>
      </w:pPr>
      <w:rPr>
        <w:rFonts w:hint="default"/>
        <w:lang w:val="zh-CN" w:eastAsia="zh-CN" w:bidi="zh-CN"/>
      </w:rPr>
    </w:lvl>
    <w:lvl w:ilvl="3" w:tplc="08B2F754">
      <w:numFmt w:val="bullet"/>
      <w:lvlText w:val="•"/>
      <w:lvlJc w:val="left"/>
      <w:pPr>
        <w:ind w:left="3487" w:hanging="213"/>
      </w:pPr>
      <w:rPr>
        <w:rFonts w:hint="default"/>
        <w:lang w:val="zh-CN" w:eastAsia="zh-CN" w:bidi="zh-CN"/>
      </w:rPr>
    </w:lvl>
    <w:lvl w:ilvl="4" w:tplc="06E848C4">
      <w:numFmt w:val="bullet"/>
      <w:lvlText w:val="•"/>
      <w:lvlJc w:val="left"/>
      <w:pPr>
        <w:ind w:left="4510" w:hanging="213"/>
      </w:pPr>
      <w:rPr>
        <w:rFonts w:hint="default"/>
        <w:lang w:val="zh-CN" w:eastAsia="zh-CN" w:bidi="zh-CN"/>
      </w:rPr>
    </w:lvl>
    <w:lvl w:ilvl="5" w:tplc="ECAE8F20">
      <w:numFmt w:val="bullet"/>
      <w:lvlText w:val="•"/>
      <w:lvlJc w:val="left"/>
      <w:pPr>
        <w:ind w:left="5533" w:hanging="213"/>
      </w:pPr>
      <w:rPr>
        <w:rFonts w:hint="default"/>
        <w:lang w:val="zh-CN" w:eastAsia="zh-CN" w:bidi="zh-CN"/>
      </w:rPr>
    </w:lvl>
    <w:lvl w:ilvl="6" w:tplc="50F09BC0">
      <w:numFmt w:val="bullet"/>
      <w:lvlText w:val="•"/>
      <w:lvlJc w:val="left"/>
      <w:pPr>
        <w:ind w:left="6555" w:hanging="213"/>
      </w:pPr>
      <w:rPr>
        <w:rFonts w:hint="default"/>
        <w:lang w:val="zh-CN" w:eastAsia="zh-CN" w:bidi="zh-CN"/>
      </w:rPr>
    </w:lvl>
    <w:lvl w:ilvl="7" w:tplc="AFBE7880">
      <w:numFmt w:val="bullet"/>
      <w:lvlText w:val="•"/>
      <w:lvlJc w:val="left"/>
      <w:pPr>
        <w:ind w:left="7578" w:hanging="213"/>
      </w:pPr>
      <w:rPr>
        <w:rFonts w:hint="default"/>
        <w:lang w:val="zh-CN" w:eastAsia="zh-CN" w:bidi="zh-CN"/>
      </w:rPr>
    </w:lvl>
    <w:lvl w:ilvl="8" w:tplc="66F05B62">
      <w:numFmt w:val="bullet"/>
      <w:lvlText w:val="•"/>
      <w:lvlJc w:val="left"/>
      <w:pPr>
        <w:ind w:left="8601" w:hanging="213"/>
      </w:pPr>
      <w:rPr>
        <w:rFonts w:hint="default"/>
        <w:lang w:val="zh-CN" w:eastAsia="zh-CN" w:bidi="zh-CN"/>
      </w:rPr>
    </w:lvl>
  </w:abstractNum>
  <w:abstractNum w:abstractNumId="642" w15:restartNumberingAfterBreak="0">
    <w:nsid w:val="55FE2C0B"/>
    <w:multiLevelType w:val="hybridMultilevel"/>
    <w:tmpl w:val="DDAED88C"/>
    <w:lvl w:ilvl="0" w:tplc="1D9C52DA">
      <w:start w:val="5"/>
      <w:numFmt w:val="decimal"/>
      <w:lvlText w:val="%1"/>
      <w:lvlJc w:val="left"/>
      <w:pPr>
        <w:ind w:left="418" w:hanging="531"/>
        <w:jc w:val="left"/>
      </w:pPr>
      <w:rPr>
        <w:rFonts w:hint="default"/>
        <w:lang w:val="zh-CN" w:eastAsia="zh-CN" w:bidi="zh-CN"/>
      </w:rPr>
    </w:lvl>
    <w:lvl w:ilvl="1" w:tplc="01D6AD2E">
      <w:start w:val="6"/>
      <w:numFmt w:val="decimal"/>
      <w:lvlText w:val="%1.%2"/>
      <w:lvlJc w:val="left"/>
      <w:pPr>
        <w:ind w:left="418" w:hanging="531"/>
        <w:jc w:val="left"/>
      </w:pPr>
      <w:rPr>
        <w:rFonts w:hint="default"/>
        <w:lang w:val="zh-CN" w:eastAsia="zh-CN" w:bidi="zh-CN"/>
      </w:rPr>
    </w:lvl>
    <w:lvl w:ilvl="2" w:tplc="4FE2F96C">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2ABE160A">
      <w:numFmt w:val="bullet"/>
      <w:lvlText w:val="•"/>
      <w:lvlJc w:val="left"/>
      <w:pPr>
        <w:ind w:left="3487" w:hanging="531"/>
      </w:pPr>
      <w:rPr>
        <w:rFonts w:hint="default"/>
        <w:lang w:val="zh-CN" w:eastAsia="zh-CN" w:bidi="zh-CN"/>
      </w:rPr>
    </w:lvl>
    <w:lvl w:ilvl="4" w:tplc="CDBA111A">
      <w:numFmt w:val="bullet"/>
      <w:lvlText w:val="•"/>
      <w:lvlJc w:val="left"/>
      <w:pPr>
        <w:ind w:left="4510" w:hanging="531"/>
      </w:pPr>
      <w:rPr>
        <w:rFonts w:hint="default"/>
        <w:lang w:val="zh-CN" w:eastAsia="zh-CN" w:bidi="zh-CN"/>
      </w:rPr>
    </w:lvl>
    <w:lvl w:ilvl="5" w:tplc="8EEA3FEC">
      <w:numFmt w:val="bullet"/>
      <w:lvlText w:val="•"/>
      <w:lvlJc w:val="left"/>
      <w:pPr>
        <w:ind w:left="5533" w:hanging="531"/>
      </w:pPr>
      <w:rPr>
        <w:rFonts w:hint="default"/>
        <w:lang w:val="zh-CN" w:eastAsia="zh-CN" w:bidi="zh-CN"/>
      </w:rPr>
    </w:lvl>
    <w:lvl w:ilvl="6" w:tplc="AE768BF2">
      <w:numFmt w:val="bullet"/>
      <w:lvlText w:val="•"/>
      <w:lvlJc w:val="left"/>
      <w:pPr>
        <w:ind w:left="6555" w:hanging="531"/>
      </w:pPr>
      <w:rPr>
        <w:rFonts w:hint="default"/>
        <w:lang w:val="zh-CN" w:eastAsia="zh-CN" w:bidi="zh-CN"/>
      </w:rPr>
    </w:lvl>
    <w:lvl w:ilvl="7" w:tplc="4E26572E">
      <w:numFmt w:val="bullet"/>
      <w:lvlText w:val="•"/>
      <w:lvlJc w:val="left"/>
      <w:pPr>
        <w:ind w:left="7578" w:hanging="531"/>
      </w:pPr>
      <w:rPr>
        <w:rFonts w:hint="default"/>
        <w:lang w:val="zh-CN" w:eastAsia="zh-CN" w:bidi="zh-CN"/>
      </w:rPr>
    </w:lvl>
    <w:lvl w:ilvl="8" w:tplc="EF36A52E">
      <w:numFmt w:val="bullet"/>
      <w:lvlText w:val="•"/>
      <w:lvlJc w:val="left"/>
      <w:pPr>
        <w:ind w:left="8601" w:hanging="531"/>
      </w:pPr>
      <w:rPr>
        <w:rFonts w:hint="default"/>
        <w:lang w:val="zh-CN" w:eastAsia="zh-CN" w:bidi="zh-CN"/>
      </w:rPr>
    </w:lvl>
  </w:abstractNum>
  <w:abstractNum w:abstractNumId="643" w15:restartNumberingAfterBreak="0">
    <w:nsid w:val="562515CD"/>
    <w:multiLevelType w:val="hybridMultilevel"/>
    <w:tmpl w:val="37D44AA2"/>
    <w:lvl w:ilvl="0" w:tplc="A3FA5670">
      <w:start w:val="8"/>
      <w:numFmt w:val="decimal"/>
      <w:lvlText w:val="%1"/>
      <w:lvlJc w:val="left"/>
      <w:pPr>
        <w:ind w:left="1158" w:hanging="318"/>
        <w:jc w:val="left"/>
      </w:pPr>
      <w:rPr>
        <w:rFonts w:hint="default"/>
        <w:lang w:val="zh-CN" w:eastAsia="zh-CN" w:bidi="zh-CN"/>
      </w:rPr>
    </w:lvl>
    <w:lvl w:ilvl="1" w:tplc="75CC7E38">
      <w:start w:val="7"/>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D042F46E">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E5884254">
      <w:start w:val="1"/>
      <w:numFmt w:val="decimal"/>
      <w:lvlText w:val="%1.%2.%3.%4"/>
      <w:lvlJc w:val="left"/>
      <w:pPr>
        <w:ind w:left="418" w:hanging="738"/>
        <w:jc w:val="left"/>
      </w:pPr>
      <w:rPr>
        <w:rFonts w:ascii="宋体" w:eastAsia="宋体" w:hAnsi="宋体" w:cs="宋体" w:hint="default"/>
        <w:spacing w:val="-3"/>
        <w:w w:val="100"/>
        <w:position w:val="1"/>
        <w:sz w:val="19"/>
        <w:szCs w:val="19"/>
        <w:lang w:val="zh-CN" w:eastAsia="zh-CN" w:bidi="zh-CN"/>
      </w:rPr>
    </w:lvl>
    <w:lvl w:ilvl="4" w:tplc="0586558C">
      <w:numFmt w:val="bullet"/>
      <w:lvlText w:val="•"/>
      <w:lvlJc w:val="left"/>
      <w:pPr>
        <w:ind w:left="2703" w:hanging="738"/>
      </w:pPr>
      <w:rPr>
        <w:rFonts w:hint="default"/>
        <w:lang w:val="zh-CN" w:eastAsia="zh-CN" w:bidi="zh-CN"/>
      </w:rPr>
    </w:lvl>
    <w:lvl w:ilvl="5" w:tplc="66460158">
      <w:numFmt w:val="bullet"/>
      <w:lvlText w:val="•"/>
      <w:lvlJc w:val="left"/>
      <w:pPr>
        <w:ind w:left="4027" w:hanging="738"/>
      </w:pPr>
      <w:rPr>
        <w:rFonts w:hint="default"/>
        <w:lang w:val="zh-CN" w:eastAsia="zh-CN" w:bidi="zh-CN"/>
      </w:rPr>
    </w:lvl>
    <w:lvl w:ilvl="6" w:tplc="EF3C6228">
      <w:numFmt w:val="bullet"/>
      <w:lvlText w:val="•"/>
      <w:lvlJc w:val="left"/>
      <w:pPr>
        <w:ind w:left="5351" w:hanging="738"/>
      </w:pPr>
      <w:rPr>
        <w:rFonts w:hint="default"/>
        <w:lang w:val="zh-CN" w:eastAsia="zh-CN" w:bidi="zh-CN"/>
      </w:rPr>
    </w:lvl>
    <w:lvl w:ilvl="7" w:tplc="FF38ADBE">
      <w:numFmt w:val="bullet"/>
      <w:lvlText w:val="•"/>
      <w:lvlJc w:val="left"/>
      <w:pPr>
        <w:ind w:left="6675" w:hanging="738"/>
      </w:pPr>
      <w:rPr>
        <w:rFonts w:hint="default"/>
        <w:lang w:val="zh-CN" w:eastAsia="zh-CN" w:bidi="zh-CN"/>
      </w:rPr>
    </w:lvl>
    <w:lvl w:ilvl="8" w:tplc="048A7D48">
      <w:numFmt w:val="bullet"/>
      <w:lvlText w:val="•"/>
      <w:lvlJc w:val="left"/>
      <w:pPr>
        <w:ind w:left="7998" w:hanging="738"/>
      </w:pPr>
      <w:rPr>
        <w:rFonts w:hint="default"/>
        <w:lang w:val="zh-CN" w:eastAsia="zh-CN" w:bidi="zh-CN"/>
      </w:rPr>
    </w:lvl>
  </w:abstractNum>
  <w:abstractNum w:abstractNumId="644" w15:restartNumberingAfterBreak="0">
    <w:nsid w:val="56814990"/>
    <w:multiLevelType w:val="hybridMultilevel"/>
    <w:tmpl w:val="B4E0A2C2"/>
    <w:lvl w:ilvl="0" w:tplc="97CE616A">
      <w:start w:val="5"/>
      <w:numFmt w:val="decimal"/>
      <w:lvlText w:val="%1"/>
      <w:lvlJc w:val="left"/>
      <w:pPr>
        <w:ind w:left="1477" w:hanging="637"/>
        <w:jc w:val="left"/>
      </w:pPr>
      <w:rPr>
        <w:rFonts w:hint="default"/>
        <w:lang w:val="zh-CN" w:eastAsia="zh-CN" w:bidi="zh-CN"/>
      </w:rPr>
    </w:lvl>
    <w:lvl w:ilvl="1" w:tplc="ABF0B2FE">
      <w:start w:val="16"/>
      <w:numFmt w:val="decimal"/>
      <w:lvlText w:val="%1.%2"/>
      <w:lvlJc w:val="left"/>
      <w:pPr>
        <w:ind w:left="1477" w:hanging="637"/>
        <w:jc w:val="left"/>
      </w:pPr>
      <w:rPr>
        <w:rFonts w:hint="default"/>
        <w:lang w:val="zh-CN" w:eastAsia="zh-CN" w:bidi="zh-CN"/>
      </w:rPr>
    </w:lvl>
    <w:lvl w:ilvl="2" w:tplc="5E042C2C">
      <w:start w:val="3"/>
      <w:numFmt w:val="decimal"/>
      <w:lvlText w:val="%1.%2.%3"/>
      <w:lvlJc w:val="left"/>
      <w:pPr>
        <w:ind w:left="1477" w:hanging="637"/>
        <w:jc w:val="left"/>
      </w:pPr>
      <w:rPr>
        <w:rFonts w:ascii="宋体" w:eastAsia="宋体" w:hAnsi="宋体" w:cs="宋体" w:hint="default"/>
        <w:b/>
        <w:bCs/>
        <w:spacing w:val="-3"/>
        <w:w w:val="99"/>
        <w:sz w:val="19"/>
        <w:szCs w:val="19"/>
        <w:lang w:val="zh-CN" w:eastAsia="zh-CN" w:bidi="zh-CN"/>
      </w:rPr>
    </w:lvl>
    <w:lvl w:ilvl="3" w:tplc="0E6E0C80">
      <w:numFmt w:val="bullet"/>
      <w:lvlText w:val="•"/>
      <w:lvlJc w:val="left"/>
      <w:pPr>
        <w:ind w:left="4229" w:hanging="637"/>
      </w:pPr>
      <w:rPr>
        <w:rFonts w:hint="default"/>
        <w:lang w:val="zh-CN" w:eastAsia="zh-CN" w:bidi="zh-CN"/>
      </w:rPr>
    </w:lvl>
    <w:lvl w:ilvl="4" w:tplc="08D05E56">
      <w:numFmt w:val="bullet"/>
      <w:lvlText w:val="•"/>
      <w:lvlJc w:val="left"/>
      <w:pPr>
        <w:ind w:left="5146" w:hanging="637"/>
      </w:pPr>
      <w:rPr>
        <w:rFonts w:hint="default"/>
        <w:lang w:val="zh-CN" w:eastAsia="zh-CN" w:bidi="zh-CN"/>
      </w:rPr>
    </w:lvl>
    <w:lvl w:ilvl="5" w:tplc="5DE2124E">
      <w:numFmt w:val="bullet"/>
      <w:lvlText w:val="•"/>
      <w:lvlJc w:val="left"/>
      <w:pPr>
        <w:ind w:left="6063" w:hanging="637"/>
      </w:pPr>
      <w:rPr>
        <w:rFonts w:hint="default"/>
        <w:lang w:val="zh-CN" w:eastAsia="zh-CN" w:bidi="zh-CN"/>
      </w:rPr>
    </w:lvl>
    <w:lvl w:ilvl="6" w:tplc="B3C29CEC">
      <w:numFmt w:val="bullet"/>
      <w:lvlText w:val="•"/>
      <w:lvlJc w:val="left"/>
      <w:pPr>
        <w:ind w:left="6979" w:hanging="637"/>
      </w:pPr>
      <w:rPr>
        <w:rFonts w:hint="default"/>
        <w:lang w:val="zh-CN" w:eastAsia="zh-CN" w:bidi="zh-CN"/>
      </w:rPr>
    </w:lvl>
    <w:lvl w:ilvl="7" w:tplc="93F0C3A4">
      <w:numFmt w:val="bullet"/>
      <w:lvlText w:val="•"/>
      <w:lvlJc w:val="left"/>
      <w:pPr>
        <w:ind w:left="7896" w:hanging="637"/>
      </w:pPr>
      <w:rPr>
        <w:rFonts w:hint="default"/>
        <w:lang w:val="zh-CN" w:eastAsia="zh-CN" w:bidi="zh-CN"/>
      </w:rPr>
    </w:lvl>
    <w:lvl w:ilvl="8" w:tplc="F3C2019A">
      <w:numFmt w:val="bullet"/>
      <w:lvlText w:val="•"/>
      <w:lvlJc w:val="left"/>
      <w:pPr>
        <w:ind w:left="8813" w:hanging="637"/>
      </w:pPr>
      <w:rPr>
        <w:rFonts w:hint="default"/>
        <w:lang w:val="zh-CN" w:eastAsia="zh-CN" w:bidi="zh-CN"/>
      </w:rPr>
    </w:lvl>
  </w:abstractNum>
  <w:abstractNum w:abstractNumId="645" w15:restartNumberingAfterBreak="0">
    <w:nsid w:val="56AC534C"/>
    <w:multiLevelType w:val="hybridMultilevel"/>
    <w:tmpl w:val="8936808A"/>
    <w:lvl w:ilvl="0" w:tplc="C88898E8">
      <w:start w:val="4"/>
      <w:numFmt w:val="decimal"/>
      <w:lvlText w:val="%1"/>
      <w:lvlJc w:val="left"/>
      <w:pPr>
        <w:ind w:left="1158" w:hanging="318"/>
        <w:jc w:val="left"/>
      </w:pPr>
      <w:rPr>
        <w:rFonts w:hint="default"/>
        <w:lang w:val="zh-CN" w:eastAsia="zh-CN" w:bidi="zh-CN"/>
      </w:rPr>
    </w:lvl>
    <w:lvl w:ilvl="1" w:tplc="A7480E82">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DF463578">
      <w:numFmt w:val="bullet"/>
      <w:lvlText w:val="•"/>
      <w:lvlJc w:val="left"/>
      <w:pPr>
        <w:ind w:left="3057" w:hanging="318"/>
      </w:pPr>
      <w:rPr>
        <w:rFonts w:hint="default"/>
        <w:lang w:val="zh-CN" w:eastAsia="zh-CN" w:bidi="zh-CN"/>
      </w:rPr>
    </w:lvl>
    <w:lvl w:ilvl="3" w:tplc="8C229934">
      <w:numFmt w:val="bullet"/>
      <w:lvlText w:val="•"/>
      <w:lvlJc w:val="left"/>
      <w:pPr>
        <w:ind w:left="4005" w:hanging="318"/>
      </w:pPr>
      <w:rPr>
        <w:rFonts w:hint="default"/>
        <w:lang w:val="zh-CN" w:eastAsia="zh-CN" w:bidi="zh-CN"/>
      </w:rPr>
    </w:lvl>
    <w:lvl w:ilvl="4" w:tplc="D1E03570">
      <w:numFmt w:val="bullet"/>
      <w:lvlText w:val="•"/>
      <w:lvlJc w:val="left"/>
      <w:pPr>
        <w:ind w:left="4954" w:hanging="318"/>
      </w:pPr>
      <w:rPr>
        <w:rFonts w:hint="default"/>
        <w:lang w:val="zh-CN" w:eastAsia="zh-CN" w:bidi="zh-CN"/>
      </w:rPr>
    </w:lvl>
    <w:lvl w:ilvl="5" w:tplc="9C6EC964">
      <w:numFmt w:val="bullet"/>
      <w:lvlText w:val="•"/>
      <w:lvlJc w:val="left"/>
      <w:pPr>
        <w:ind w:left="5903" w:hanging="318"/>
      </w:pPr>
      <w:rPr>
        <w:rFonts w:hint="default"/>
        <w:lang w:val="zh-CN" w:eastAsia="zh-CN" w:bidi="zh-CN"/>
      </w:rPr>
    </w:lvl>
    <w:lvl w:ilvl="6" w:tplc="9EAE0AB8">
      <w:numFmt w:val="bullet"/>
      <w:lvlText w:val="•"/>
      <w:lvlJc w:val="left"/>
      <w:pPr>
        <w:ind w:left="6851" w:hanging="318"/>
      </w:pPr>
      <w:rPr>
        <w:rFonts w:hint="default"/>
        <w:lang w:val="zh-CN" w:eastAsia="zh-CN" w:bidi="zh-CN"/>
      </w:rPr>
    </w:lvl>
    <w:lvl w:ilvl="7" w:tplc="955431D4">
      <w:numFmt w:val="bullet"/>
      <w:lvlText w:val="•"/>
      <w:lvlJc w:val="left"/>
      <w:pPr>
        <w:ind w:left="7800" w:hanging="318"/>
      </w:pPr>
      <w:rPr>
        <w:rFonts w:hint="default"/>
        <w:lang w:val="zh-CN" w:eastAsia="zh-CN" w:bidi="zh-CN"/>
      </w:rPr>
    </w:lvl>
    <w:lvl w:ilvl="8" w:tplc="18F6DEF4">
      <w:numFmt w:val="bullet"/>
      <w:lvlText w:val="•"/>
      <w:lvlJc w:val="left"/>
      <w:pPr>
        <w:ind w:left="8749" w:hanging="318"/>
      </w:pPr>
      <w:rPr>
        <w:rFonts w:hint="default"/>
        <w:lang w:val="zh-CN" w:eastAsia="zh-CN" w:bidi="zh-CN"/>
      </w:rPr>
    </w:lvl>
  </w:abstractNum>
  <w:abstractNum w:abstractNumId="646" w15:restartNumberingAfterBreak="0">
    <w:nsid w:val="56B77F48"/>
    <w:multiLevelType w:val="hybridMultilevel"/>
    <w:tmpl w:val="7554B568"/>
    <w:lvl w:ilvl="0" w:tplc="CDD85E68">
      <w:start w:val="4"/>
      <w:numFmt w:val="decimal"/>
      <w:lvlText w:val="%1"/>
      <w:lvlJc w:val="left"/>
      <w:pPr>
        <w:ind w:left="418" w:hanging="529"/>
        <w:jc w:val="left"/>
      </w:pPr>
      <w:rPr>
        <w:rFonts w:hint="default"/>
        <w:lang w:val="zh-CN" w:eastAsia="zh-CN" w:bidi="zh-CN"/>
      </w:rPr>
    </w:lvl>
    <w:lvl w:ilvl="1" w:tplc="19A645DA">
      <w:start w:val="8"/>
      <w:numFmt w:val="decimal"/>
      <w:lvlText w:val="%1.%2"/>
      <w:lvlJc w:val="left"/>
      <w:pPr>
        <w:ind w:left="418" w:hanging="529"/>
        <w:jc w:val="left"/>
      </w:pPr>
      <w:rPr>
        <w:rFonts w:hint="default"/>
        <w:lang w:val="zh-CN" w:eastAsia="zh-CN" w:bidi="zh-CN"/>
      </w:rPr>
    </w:lvl>
    <w:lvl w:ilvl="2" w:tplc="31B8DE34">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0588A276">
      <w:numFmt w:val="bullet"/>
      <w:lvlText w:val="•"/>
      <w:lvlJc w:val="left"/>
      <w:pPr>
        <w:ind w:left="3487" w:hanging="529"/>
      </w:pPr>
      <w:rPr>
        <w:rFonts w:hint="default"/>
        <w:lang w:val="zh-CN" w:eastAsia="zh-CN" w:bidi="zh-CN"/>
      </w:rPr>
    </w:lvl>
    <w:lvl w:ilvl="4" w:tplc="F202E24E">
      <w:numFmt w:val="bullet"/>
      <w:lvlText w:val="•"/>
      <w:lvlJc w:val="left"/>
      <w:pPr>
        <w:ind w:left="4510" w:hanging="529"/>
      </w:pPr>
      <w:rPr>
        <w:rFonts w:hint="default"/>
        <w:lang w:val="zh-CN" w:eastAsia="zh-CN" w:bidi="zh-CN"/>
      </w:rPr>
    </w:lvl>
    <w:lvl w:ilvl="5" w:tplc="60EA4F76">
      <w:numFmt w:val="bullet"/>
      <w:lvlText w:val="•"/>
      <w:lvlJc w:val="left"/>
      <w:pPr>
        <w:ind w:left="5533" w:hanging="529"/>
      </w:pPr>
      <w:rPr>
        <w:rFonts w:hint="default"/>
        <w:lang w:val="zh-CN" w:eastAsia="zh-CN" w:bidi="zh-CN"/>
      </w:rPr>
    </w:lvl>
    <w:lvl w:ilvl="6" w:tplc="B5D2EFEA">
      <w:numFmt w:val="bullet"/>
      <w:lvlText w:val="•"/>
      <w:lvlJc w:val="left"/>
      <w:pPr>
        <w:ind w:left="6555" w:hanging="529"/>
      </w:pPr>
      <w:rPr>
        <w:rFonts w:hint="default"/>
        <w:lang w:val="zh-CN" w:eastAsia="zh-CN" w:bidi="zh-CN"/>
      </w:rPr>
    </w:lvl>
    <w:lvl w:ilvl="7" w:tplc="A59CF14E">
      <w:numFmt w:val="bullet"/>
      <w:lvlText w:val="•"/>
      <w:lvlJc w:val="left"/>
      <w:pPr>
        <w:ind w:left="7578" w:hanging="529"/>
      </w:pPr>
      <w:rPr>
        <w:rFonts w:hint="default"/>
        <w:lang w:val="zh-CN" w:eastAsia="zh-CN" w:bidi="zh-CN"/>
      </w:rPr>
    </w:lvl>
    <w:lvl w:ilvl="8" w:tplc="F9062034">
      <w:numFmt w:val="bullet"/>
      <w:lvlText w:val="•"/>
      <w:lvlJc w:val="left"/>
      <w:pPr>
        <w:ind w:left="8601" w:hanging="529"/>
      </w:pPr>
      <w:rPr>
        <w:rFonts w:hint="default"/>
        <w:lang w:val="zh-CN" w:eastAsia="zh-CN" w:bidi="zh-CN"/>
      </w:rPr>
    </w:lvl>
  </w:abstractNum>
  <w:abstractNum w:abstractNumId="647" w15:restartNumberingAfterBreak="0">
    <w:nsid w:val="56C168CF"/>
    <w:multiLevelType w:val="hybridMultilevel"/>
    <w:tmpl w:val="19FC4860"/>
    <w:lvl w:ilvl="0" w:tplc="F8C40B8A">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32AA1CAA">
      <w:numFmt w:val="bullet"/>
      <w:lvlText w:val="•"/>
      <w:lvlJc w:val="left"/>
      <w:pPr>
        <w:ind w:left="2288" w:hanging="529"/>
      </w:pPr>
      <w:rPr>
        <w:rFonts w:hint="default"/>
        <w:lang w:val="zh-CN" w:eastAsia="zh-CN" w:bidi="zh-CN"/>
      </w:rPr>
    </w:lvl>
    <w:lvl w:ilvl="2" w:tplc="FBBE2D80">
      <w:numFmt w:val="bullet"/>
      <w:lvlText w:val="•"/>
      <w:lvlJc w:val="left"/>
      <w:pPr>
        <w:ind w:left="3217" w:hanging="529"/>
      </w:pPr>
      <w:rPr>
        <w:rFonts w:hint="default"/>
        <w:lang w:val="zh-CN" w:eastAsia="zh-CN" w:bidi="zh-CN"/>
      </w:rPr>
    </w:lvl>
    <w:lvl w:ilvl="3" w:tplc="D3E0B18C">
      <w:numFmt w:val="bullet"/>
      <w:lvlText w:val="•"/>
      <w:lvlJc w:val="left"/>
      <w:pPr>
        <w:ind w:left="4145" w:hanging="529"/>
      </w:pPr>
      <w:rPr>
        <w:rFonts w:hint="default"/>
        <w:lang w:val="zh-CN" w:eastAsia="zh-CN" w:bidi="zh-CN"/>
      </w:rPr>
    </w:lvl>
    <w:lvl w:ilvl="4" w:tplc="E106400C">
      <w:numFmt w:val="bullet"/>
      <w:lvlText w:val="•"/>
      <w:lvlJc w:val="left"/>
      <w:pPr>
        <w:ind w:left="5074" w:hanging="529"/>
      </w:pPr>
      <w:rPr>
        <w:rFonts w:hint="default"/>
        <w:lang w:val="zh-CN" w:eastAsia="zh-CN" w:bidi="zh-CN"/>
      </w:rPr>
    </w:lvl>
    <w:lvl w:ilvl="5" w:tplc="637CE8B2">
      <w:numFmt w:val="bullet"/>
      <w:lvlText w:val="•"/>
      <w:lvlJc w:val="left"/>
      <w:pPr>
        <w:ind w:left="6003" w:hanging="529"/>
      </w:pPr>
      <w:rPr>
        <w:rFonts w:hint="default"/>
        <w:lang w:val="zh-CN" w:eastAsia="zh-CN" w:bidi="zh-CN"/>
      </w:rPr>
    </w:lvl>
    <w:lvl w:ilvl="6" w:tplc="9B081058">
      <w:numFmt w:val="bullet"/>
      <w:lvlText w:val="•"/>
      <w:lvlJc w:val="left"/>
      <w:pPr>
        <w:ind w:left="6931" w:hanging="529"/>
      </w:pPr>
      <w:rPr>
        <w:rFonts w:hint="default"/>
        <w:lang w:val="zh-CN" w:eastAsia="zh-CN" w:bidi="zh-CN"/>
      </w:rPr>
    </w:lvl>
    <w:lvl w:ilvl="7" w:tplc="4EDE1B9E">
      <w:numFmt w:val="bullet"/>
      <w:lvlText w:val="•"/>
      <w:lvlJc w:val="left"/>
      <w:pPr>
        <w:ind w:left="7860" w:hanging="529"/>
      </w:pPr>
      <w:rPr>
        <w:rFonts w:hint="default"/>
        <w:lang w:val="zh-CN" w:eastAsia="zh-CN" w:bidi="zh-CN"/>
      </w:rPr>
    </w:lvl>
    <w:lvl w:ilvl="8" w:tplc="FECA1C48">
      <w:numFmt w:val="bullet"/>
      <w:lvlText w:val="•"/>
      <w:lvlJc w:val="left"/>
      <w:pPr>
        <w:ind w:left="8789" w:hanging="529"/>
      </w:pPr>
      <w:rPr>
        <w:rFonts w:hint="default"/>
        <w:lang w:val="zh-CN" w:eastAsia="zh-CN" w:bidi="zh-CN"/>
      </w:rPr>
    </w:lvl>
  </w:abstractNum>
  <w:abstractNum w:abstractNumId="648" w15:restartNumberingAfterBreak="0">
    <w:nsid w:val="56D57722"/>
    <w:multiLevelType w:val="hybridMultilevel"/>
    <w:tmpl w:val="40C8A40A"/>
    <w:lvl w:ilvl="0" w:tplc="A7E0A8B6">
      <w:start w:val="4"/>
      <w:numFmt w:val="decimal"/>
      <w:lvlText w:val="%1"/>
      <w:lvlJc w:val="left"/>
      <w:pPr>
        <w:ind w:left="418" w:hanging="531"/>
        <w:jc w:val="left"/>
      </w:pPr>
      <w:rPr>
        <w:rFonts w:hint="default"/>
        <w:lang w:val="zh-CN" w:eastAsia="zh-CN" w:bidi="zh-CN"/>
      </w:rPr>
    </w:lvl>
    <w:lvl w:ilvl="1" w:tplc="E5F6CEE6">
      <w:start w:val="3"/>
      <w:numFmt w:val="decimal"/>
      <w:lvlText w:val="%1.%2"/>
      <w:lvlJc w:val="left"/>
      <w:pPr>
        <w:ind w:left="418" w:hanging="531"/>
        <w:jc w:val="left"/>
      </w:pPr>
      <w:rPr>
        <w:rFonts w:hint="default"/>
        <w:lang w:val="zh-CN" w:eastAsia="zh-CN" w:bidi="zh-CN"/>
      </w:rPr>
    </w:lvl>
    <w:lvl w:ilvl="2" w:tplc="F29CDD4C">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51A24C32">
      <w:numFmt w:val="bullet"/>
      <w:lvlText w:val="•"/>
      <w:lvlJc w:val="left"/>
      <w:pPr>
        <w:ind w:left="3487" w:hanging="531"/>
      </w:pPr>
      <w:rPr>
        <w:rFonts w:hint="default"/>
        <w:lang w:val="zh-CN" w:eastAsia="zh-CN" w:bidi="zh-CN"/>
      </w:rPr>
    </w:lvl>
    <w:lvl w:ilvl="4" w:tplc="879E5FC6">
      <w:numFmt w:val="bullet"/>
      <w:lvlText w:val="•"/>
      <w:lvlJc w:val="left"/>
      <w:pPr>
        <w:ind w:left="4510" w:hanging="531"/>
      </w:pPr>
      <w:rPr>
        <w:rFonts w:hint="default"/>
        <w:lang w:val="zh-CN" w:eastAsia="zh-CN" w:bidi="zh-CN"/>
      </w:rPr>
    </w:lvl>
    <w:lvl w:ilvl="5" w:tplc="8C60B02C">
      <w:numFmt w:val="bullet"/>
      <w:lvlText w:val="•"/>
      <w:lvlJc w:val="left"/>
      <w:pPr>
        <w:ind w:left="5533" w:hanging="531"/>
      </w:pPr>
      <w:rPr>
        <w:rFonts w:hint="default"/>
        <w:lang w:val="zh-CN" w:eastAsia="zh-CN" w:bidi="zh-CN"/>
      </w:rPr>
    </w:lvl>
    <w:lvl w:ilvl="6" w:tplc="0E289322">
      <w:numFmt w:val="bullet"/>
      <w:lvlText w:val="•"/>
      <w:lvlJc w:val="left"/>
      <w:pPr>
        <w:ind w:left="6555" w:hanging="531"/>
      </w:pPr>
      <w:rPr>
        <w:rFonts w:hint="default"/>
        <w:lang w:val="zh-CN" w:eastAsia="zh-CN" w:bidi="zh-CN"/>
      </w:rPr>
    </w:lvl>
    <w:lvl w:ilvl="7" w:tplc="F9060C82">
      <w:numFmt w:val="bullet"/>
      <w:lvlText w:val="•"/>
      <w:lvlJc w:val="left"/>
      <w:pPr>
        <w:ind w:left="7578" w:hanging="531"/>
      </w:pPr>
      <w:rPr>
        <w:rFonts w:hint="default"/>
        <w:lang w:val="zh-CN" w:eastAsia="zh-CN" w:bidi="zh-CN"/>
      </w:rPr>
    </w:lvl>
    <w:lvl w:ilvl="8" w:tplc="13A4F1A6">
      <w:numFmt w:val="bullet"/>
      <w:lvlText w:val="•"/>
      <w:lvlJc w:val="left"/>
      <w:pPr>
        <w:ind w:left="8601" w:hanging="531"/>
      </w:pPr>
      <w:rPr>
        <w:rFonts w:hint="default"/>
        <w:lang w:val="zh-CN" w:eastAsia="zh-CN" w:bidi="zh-CN"/>
      </w:rPr>
    </w:lvl>
  </w:abstractNum>
  <w:abstractNum w:abstractNumId="649" w15:restartNumberingAfterBreak="0">
    <w:nsid w:val="57157741"/>
    <w:multiLevelType w:val="hybridMultilevel"/>
    <w:tmpl w:val="6F404268"/>
    <w:lvl w:ilvl="0" w:tplc="229E838C">
      <w:start w:val="6"/>
      <w:numFmt w:val="decimal"/>
      <w:lvlText w:val="%1"/>
      <w:lvlJc w:val="left"/>
      <w:pPr>
        <w:ind w:left="1370" w:hanging="531"/>
        <w:jc w:val="left"/>
      </w:pPr>
      <w:rPr>
        <w:rFonts w:hint="default"/>
        <w:lang w:val="zh-CN" w:eastAsia="zh-CN" w:bidi="zh-CN"/>
      </w:rPr>
    </w:lvl>
    <w:lvl w:ilvl="1" w:tplc="1C2C0902">
      <w:start w:val="7"/>
      <w:numFmt w:val="decimal"/>
      <w:lvlText w:val="%1.%2"/>
      <w:lvlJc w:val="left"/>
      <w:pPr>
        <w:ind w:left="1370" w:hanging="531"/>
        <w:jc w:val="left"/>
      </w:pPr>
      <w:rPr>
        <w:rFonts w:hint="default"/>
        <w:lang w:val="zh-CN" w:eastAsia="zh-CN" w:bidi="zh-CN"/>
      </w:rPr>
    </w:lvl>
    <w:lvl w:ilvl="2" w:tplc="D33AEAA2">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ECB44A92">
      <w:numFmt w:val="bullet"/>
      <w:lvlText w:val="•"/>
      <w:lvlJc w:val="left"/>
      <w:pPr>
        <w:ind w:left="4159" w:hanging="531"/>
      </w:pPr>
      <w:rPr>
        <w:rFonts w:hint="default"/>
        <w:lang w:val="zh-CN" w:eastAsia="zh-CN" w:bidi="zh-CN"/>
      </w:rPr>
    </w:lvl>
    <w:lvl w:ilvl="4" w:tplc="24A05916">
      <w:numFmt w:val="bullet"/>
      <w:lvlText w:val="•"/>
      <w:lvlJc w:val="left"/>
      <w:pPr>
        <w:ind w:left="5086" w:hanging="531"/>
      </w:pPr>
      <w:rPr>
        <w:rFonts w:hint="default"/>
        <w:lang w:val="zh-CN" w:eastAsia="zh-CN" w:bidi="zh-CN"/>
      </w:rPr>
    </w:lvl>
    <w:lvl w:ilvl="5" w:tplc="10E81962">
      <w:numFmt w:val="bullet"/>
      <w:lvlText w:val="•"/>
      <w:lvlJc w:val="left"/>
      <w:pPr>
        <w:ind w:left="6013" w:hanging="531"/>
      </w:pPr>
      <w:rPr>
        <w:rFonts w:hint="default"/>
        <w:lang w:val="zh-CN" w:eastAsia="zh-CN" w:bidi="zh-CN"/>
      </w:rPr>
    </w:lvl>
    <w:lvl w:ilvl="6" w:tplc="31F62BA8">
      <w:numFmt w:val="bullet"/>
      <w:lvlText w:val="•"/>
      <w:lvlJc w:val="left"/>
      <w:pPr>
        <w:ind w:left="6939" w:hanging="531"/>
      </w:pPr>
      <w:rPr>
        <w:rFonts w:hint="default"/>
        <w:lang w:val="zh-CN" w:eastAsia="zh-CN" w:bidi="zh-CN"/>
      </w:rPr>
    </w:lvl>
    <w:lvl w:ilvl="7" w:tplc="4B846BB4">
      <w:numFmt w:val="bullet"/>
      <w:lvlText w:val="•"/>
      <w:lvlJc w:val="left"/>
      <w:pPr>
        <w:ind w:left="7866" w:hanging="531"/>
      </w:pPr>
      <w:rPr>
        <w:rFonts w:hint="default"/>
        <w:lang w:val="zh-CN" w:eastAsia="zh-CN" w:bidi="zh-CN"/>
      </w:rPr>
    </w:lvl>
    <w:lvl w:ilvl="8" w:tplc="5E3A6F10">
      <w:numFmt w:val="bullet"/>
      <w:lvlText w:val="•"/>
      <w:lvlJc w:val="left"/>
      <w:pPr>
        <w:ind w:left="8793" w:hanging="531"/>
      </w:pPr>
      <w:rPr>
        <w:rFonts w:hint="default"/>
        <w:lang w:val="zh-CN" w:eastAsia="zh-CN" w:bidi="zh-CN"/>
      </w:rPr>
    </w:lvl>
  </w:abstractNum>
  <w:abstractNum w:abstractNumId="650" w15:restartNumberingAfterBreak="0">
    <w:nsid w:val="57215DCC"/>
    <w:multiLevelType w:val="hybridMultilevel"/>
    <w:tmpl w:val="4EF6A2B8"/>
    <w:lvl w:ilvl="0" w:tplc="F232E9EE">
      <w:start w:val="5"/>
      <w:numFmt w:val="decimal"/>
      <w:lvlText w:val="%1"/>
      <w:lvlJc w:val="left"/>
      <w:pPr>
        <w:ind w:left="1158" w:hanging="318"/>
        <w:jc w:val="left"/>
      </w:pPr>
      <w:rPr>
        <w:rFonts w:hint="default"/>
        <w:lang w:val="zh-CN" w:eastAsia="zh-CN" w:bidi="zh-CN"/>
      </w:rPr>
    </w:lvl>
    <w:lvl w:ilvl="1" w:tplc="E876832C">
      <w:start w:val="2"/>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A264874C">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14FEAF7A">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5FF0FAAE">
      <w:numFmt w:val="bullet"/>
      <w:lvlText w:val="•"/>
      <w:lvlJc w:val="left"/>
      <w:pPr>
        <w:ind w:left="2875" w:hanging="738"/>
      </w:pPr>
      <w:rPr>
        <w:rFonts w:hint="default"/>
        <w:lang w:val="zh-CN" w:eastAsia="zh-CN" w:bidi="zh-CN"/>
      </w:rPr>
    </w:lvl>
    <w:lvl w:ilvl="5" w:tplc="9CAE60BA">
      <w:numFmt w:val="bullet"/>
      <w:lvlText w:val="•"/>
      <w:lvlJc w:val="left"/>
      <w:pPr>
        <w:ind w:left="4170" w:hanging="738"/>
      </w:pPr>
      <w:rPr>
        <w:rFonts w:hint="default"/>
        <w:lang w:val="zh-CN" w:eastAsia="zh-CN" w:bidi="zh-CN"/>
      </w:rPr>
    </w:lvl>
    <w:lvl w:ilvl="6" w:tplc="50FC5DF6">
      <w:numFmt w:val="bullet"/>
      <w:lvlText w:val="•"/>
      <w:lvlJc w:val="left"/>
      <w:pPr>
        <w:ind w:left="5465" w:hanging="738"/>
      </w:pPr>
      <w:rPr>
        <w:rFonts w:hint="default"/>
        <w:lang w:val="zh-CN" w:eastAsia="zh-CN" w:bidi="zh-CN"/>
      </w:rPr>
    </w:lvl>
    <w:lvl w:ilvl="7" w:tplc="354C0E5A">
      <w:numFmt w:val="bullet"/>
      <w:lvlText w:val="•"/>
      <w:lvlJc w:val="left"/>
      <w:pPr>
        <w:ind w:left="6760" w:hanging="738"/>
      </w:pPr>
      <w:rPr>
        <w:rFonts w:hint="default"/>
        <w:lang w:val="zh-CN" w:eastAsia="zh-CN" w:bidi="zh-CN"/>
      </w:rPr>
    </w:lvl>
    <w:lvl w:ilvl="8" w:tplc="EFDECCB2">
      <w:numFmt w:val="bullet"/>
      <w:lvlText w:val="•"/>
      <w:lvlJc w:val="left"/>
      <w:pPr>
        <w:ind w:left="8056" w:hanging="738"/>
      </w:pPr>
      <w:rPr>
        <w:rFonts w:hint="default"/>
        <w:lang w:val="zh-CN" w:eastAsia="zh-CN" w:bidi="zh-CN"/>
      </w:rPr>
    </w:lvl>
  </w:abstractNum>
  <w:abstractNum w:abstractNumId="651" w15:restartNumberingAfterBreak="0">
    <w:nsid w:val="57262511"/>
    <w:multiLevelType w:val="hybridMultilevel"/>
    <w:tmpl w:val="6254AB38"/>
    <w:lvl w:ilvl="0" w:tplc="EE6AD7F8">
      <w:start w:val="2"/>
      <w:numFmt w:val="decimal"/>
      <w:lvlText w:val="%1"/>
      <w:lvlJc w:val="left"/>
      <w:pPr>
        <w:ind w:left="418" w:hanging="320"/>
        <w:jc w:val="left"/>
      </w:pPr>
      <w:rPr>
        <w:rFonts w:hint="default"/>
        <w:lang w:val="zh-CN" w:eastAsia="zh-CN" w:bidi="zh-CN"/>
      </w:rPr>
    </w:lvl>
    <w:lvl w:ilvl="1" w:tplc="084CAF32">
      <w:start w:val="1"/>
      <w:numFmt w:val="decimal"/>
      <w:lvlText w:val="%1.%2"/>
      <w:lvlJc w:val="left"/>
      <w:pPr>
        <w:ind w:left="418" w:hanging="320"/>
        <w:jc w:val="left"/>
      </w:pPr>
      <w:rPr>
        <w:rFonts w:ascii="宋体" w:eastAsia="宋体" w:hAnsi="宋体" w:cs="宋体" w:hint="default"/>
        <w:b/>
        <w:bCs/>
        <w:w w:val="99"/>
        <w:sz w:val="19"/>
        <w:szCs w:val="19"/>
        <w:lang w:val="zh-CN" w:eastAsia="zh-CN" w:bidi="zh-CN"/>
      </w:rPr>
    </w:lvl>
    <w:lvl w:ilvl="2" w:tplc="9E9A0888">
      <w:numFmt w:val="bullet"/>
      <w:lvlText w:val="•"/>
      <w:lvlJc w:val="left"/>
      <w:pPr>
        <w:ind w:left="2465" w:hanging="320"/>
      </w:pPr>
      <w:rPr>
        <w:rFonts w:hint="default"/>
        <w:lang w:val="zh-CN" w:eastAsia="zh-CN" w:bidi="zh-CN"/>
      </w:rPr>
    </w:lvl>
    <w:lvl w:ilvl="3" w:tplc="AD3423CA">
      <w:numFmt w:val="bullet"/>
      <w:lvlText w:val="•"/>
      <w:lvlJc w:val="left"/>
      <w:pPr>
        <w:ind w:left="3487" w:hanging="320"/>
      </w:pPr>
      <w:rPr>
        <w:rFonts w:hint="default"/>
        <w:lang w:val="zh-CN" w:eastAsia="zh-CN" w:bidi="zh-CN"/>
      </w:rPr>
    </w:lvl>
    <w:lvl w:ilvl="4" w:tplc="44365EB8">
      <w:numFmt w:val="bullet"/>
      <w:lvlText w:val="•"/>
      <w:lvlJc w:val="left"/>
      <w:pPr>
        <w:ind w:left="4510" w:hanging="320"/>
      </w:pPr>
      <w:rPr>
        <w:rFonts w:hint="default"/>
        <w:lang w:val="zh-CN" w:eastAsia="zh-CN" w:bidi="zh-CN"/>
      </w:rPr>
    </w:lvl>
    <w:lvl w:ilvl="5" w:tplc="1DEC5ACE">
      <w:numFmt w:val="bullet"/>
      <w:lvlText w:val="•"/>
      <w:lvlJc w:val="left"/>
      <w:pPr>
        <w:ind w:left="5533" w:hanging="320"/>
      </w:pPr>
      <w:rPr>
        <w:rFonts w:hint="default"/>
        <w:lang w:val="zh-CN" w:eastAsia="zh-CN" w:bidi="zh-CN"/>
      </w:rPr>
    </w:lvl>
    <w:lvl w:ilvl="6" w:tplc="0E96F8EE">
      <w:numFmt w:val="bullet"/>
      <w:lvlText w:val="•"/>
      <w:lvlJc w:val="left"/>
      <w:pPr>
        <w:ind w:left="6555" w:hanging="320"/>
      </w:pPr>
      <w:rPr>
        <w:rFonts w:hint="default"/>
        <w:lang w:val="zh-CN" w:eastAsia="zh-CN" w:bidi="zh-CN"/>
      </w:rPr>
    </w:lvl>
    <w:lvl w:ilvl="7" w:tplc="58A403F0">
      <w:numFmt w:val="bullet"/>
      <w:lvlText w:val="•"/>
      <w:lvlJc w:val="left"/>
      <w:pPr>
        <w:ind w:left="7578" w:hanging="320"/>
      </w:pPr>
      <w:rPr>
        <w:rFonts w:hint="default"/>
        <w:lang w:val="zh-CN" w:eastAsia="zh-CN" w:bidi="zh-CN"/>
      </w:rPr>
    </w:lvl>
    <w:lvl w:ilvl="8" w:tplc="6762A976">
      <w:numFmt w:val="bullet"/>
      <w:lvlText w:val="•"/>
      <w:lvlJc w:val="left"/>
      <w:pPr>
        <w:ind w:left="8601" w:hanging="320"/>
      </w:pPr>
      <w:rPr>
        <w:rFonts w:hint="default"/>
        <w:lang w:val="zh-CN" w:eastAsia="zh-CN" w:bidi="zh-CN"/>
      </w:rPr>
    </w:lvl>
  </w:abstractNum>
  <w:abstractNum w:abstractNumId="652" w15:restartNumberingAfterBreak="0">
    <w:nsid w:val="57273C69"/>
    <w:multiLevelType w:val="hybridMultilevel"/>
    <w:tmpl w:val="6E2ADCE2"/>
    <w:lvl w:ilvl="0" w:tplc="6C82430A">
      <w:start w:val="6"/>
      <w:numFmt w:val="decimal"/>
      <w:lvlText w:val="%1"/>
      <w:lvlJc w:val="left"/>
      <w:pPr>
        <w:ind w:left="1159" w:hanging="320"/>
        <w:jc w:val="left"/>
      </w:pPr>
      <w:rPr>
        <w:rFonts w:hint="default"/>
        <w:lang w:val="zh-CN" w:eastAsia="zh-CN" w:bidi="zh-CN"/>
      </w:rPr>
    </w:lvl>
    <w:lvl w:ilvl="1" w:tplc="6018EF7C">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0A8E61BC">
      <w:numFmt w:val="bullet"/>
      <w:lvlText w:val="•"/>
      <w:lvlJc w:val="left"/>
      <w:pPr>
        <w:ind w:left="3057" w:hanging="320"/>
      </w:pPr>
      <w:rPr>
        <w:rFonts w:hint="default"/>
        <w:lang w:val="zh-CN" w:eastAsia="zh-CN" w:bidi="zh-CN"/>
      </w:rPr>
    </w:lvl>
    <w:lvl w:ilvl="3" w:tplc="CCBCF3A8">
      <w:numFmt w:val="bullet"/>
      <w:lvlText w:val="•"/>
      <w:lvlJc w:val="left"/>
      <w:pPr>
        <w:ind w:left="4005" w:hanging="320"/>
      </w:pPr>
      <w:rPr>
        <w:rFonts w:hint="default"/>
        <w:lang w:val="zh-CN" w:eastAsia="zh-CN" w:bidi="zh-CN"/>
      </w:rPr>
    </w:lvl>
    <w:lvl w:ilvl="4" w:tplc="024C739C">
      <w:numFmt w:val="bullet"/>
      <w:lvlText w:val="•"/>
      <w:lvlJc w:val="left"/>
      <w:pPr>
        <w:ind w:left="4954" w:hanging="320"/>
      </w:pPr>
      <w:rPr>
        <w:rFonts w:hint="default"/>
        <w:lang w:val="zh-CN" w:eastAsia="zh-CN" w:bidi="zh-CN"/>
      </w:rPr>
    </w:lvl>
    <w:lvl w:ilvl="5" w:tplc="A3D222A0">
      <w:numFmt w:val="bullet"/>
      <w:lvlText w:val="•"/>
      <w:lvlJc w:val="left"/>
      <w:pPr>
        <w:ind w:left="5903" w:hanging="320"/>
      </w:pPr>
      <w:rPr>
        <w:rFonts w:hint="default"/>
        <w:lang w:val="zh-CN" w:eastAsia="zh-CN" w:bidi="zh-CN"/>
      </w:rPr>
    </w:lvl>
    <w:lvl w:ilvl="6" w:tplc="BAA498DA">
      <w:numFmt w:val="bullet"/>
      <w:lvlText w:val="•"/>
      <w:lvlJc w:val="left"/>
      <w:pPr>
        <w:ind w:left="6851" w:hanging="320"/>
      </w:pPr>
      <w:rPr>
        <w:rFonts w:hint="default"/>
        <w:lang w:val="zh-CN" w:eastAsia="zh-CN" w:bidi="zh-CN"/>
      </w:rPr>
    </w:lvl>
    <w:lvl w:ilvl="7" w:tplc="6588807A">
      <w:numFmt w:val="bullet"/>
      <w:lvlText w:val="•"/>
      <w:lvlJc w:val="left"/>
      <w:pPr>
        <w:ind w:left="7800" w:hanging="320"/>
      </w:pPr>
      <w:rPr>
        <w:rFonts w:hint="default"/>
        <w:lang w:val="zh-CN" w:eastAsia="zh-CN" w:bidi="zh-CN"/>
      </w:rPr>
    </w:lvl>
    <w:lvl w:ilvl="8" w:tplc="2BCC9BE2">
      <w:numFmt w:val="bullet"/>
      <w:lvlText w:val="•"/>
      <w:lvlJc w:val="left"/>
      <w:pPr>
        <w:ind w:left="8749" w:hanging="320"/>
      </w:pPr>
      <w:rPr>
        <w:rFonts w:hint="default"/>
        <w:lang w:val="zh-CN" w:eastAsia="zh-CN" w:bidi="zh-CN"/>
      </w:rPr>
    </w:lvl>
  </w:abstractNum>
  <w:abstractNum w:abstractNumId="653" w15:restartNumberingAfterBreak="0">
    <w:nsid w:val="57290D85"/>
    <w:multiLevelType w:val="hybridMultilevel"/>
    <w:tmpl w:val="BDE0E2DA"/>
    <w:lvl w:ilvl="0" w:tplc="89FE67EC">
      <w:start w:val="11"/>
      <w:numFmt w:val="decimal"/>
      <w:lvlText w:val="%1"/>
      <w:lvlJc w:val="left"/>
      <w:pPr>
        <w:ind w:left="838" w:hanging="478"/>
        <w:jc w:val="left"/>
      </w:pPr>
      <w:rPr>
        <w:rFonts w:hint="default"/>
        <w:lang w:val="zh-CN" w:eastAsia="zh-CN" w:bidi="zh-CN"/>
      </w:rPr>
    </w:lvl>
    <w:lvl w:ilvl="1" w:tplc="3698AC0A">
      <w:start w:val="1"/>
      <w:numFmt w:val="decimal"/>
      <w:lvlText w:val="%1.%2"/>
      <w:lvlJc w:val="left"/>
      <w:pPr>
        <w:ind w:left="838" w:hanging="478"/>
        <w:jc w:val="left"/>
      </w:pPr>
      <w:rPr>
        <w:rFonts w:ascii="宋体" w:eastAsia="宋体" w:hAnsi="宋体" w:cs="宋体" w:hint="default"/>
        <w:b/>
        <w:bCs/>
        <w:w w:val="99"/>
        <w:sz w:val="21"/>
        <w:szCs w:val="21"/>
        <w:lang w:val="zh-CN" w:eastAsia="zh-CN" w:bidi="zh-CN"/>
      </w:rPr>
    </w:lvl>
    <w:lvl w:ilvl="2" w:tplc="9FAC203A">
      <w:numFmt w:val="bullet"/>
      <w:lvlText w:val="•"/>
      <w:lvlJc w:val="left"/>
      <w:pPr>
        <w:ind w:left="2801" w:hanging="478"/>
      </w:pPr>
      <w:rPr>
        <w:rFonts w:hint="default"/>
        <w:lang w:val="zh-CN" w:eastAsia="zh-CN" w:bidi="zh-CN"/>
      </w:rPr>
    </w:lvl>
    <w:lvl w:ilvl="3" w:tplc="B5CAAFB6">
      <w:numFmt w:val="bullet"/>
      <w:lvlText w:val="•"/>
      <w:lvlJc w:val="left"/>
      <w:pPr>
        <w:ind w:left="3781" w:hanging="478"/>
      </w:pPr>
      <w:rPr>
        <w:rFonts w:hint="default"/>
        <w:lang w:val="zh-CN" w:eastAsia="zh-CN" w:bidi="zh-CN"/>
      </w:rPr>
    </w:lvl>
    <w:lvl w:ilvl="4" w:tplc="6608D372">
      <w:numFmt w:val="bullet"/>
      <w:lvlText w:val="•"/>
      <w:lvlJc w:val="left"/>
      <w:pPr>
        <w:ind w:left="4762" w:hanging="478"/>
      </w:pPr>
      <w:rPr>
        <w:rFonts w:hint="default"/>
        <w:lang w:val="zh-CN" w:eastAsia="zh-CN" w:bidi="zh-CN"/>
      </w:rPr>
    </w:lvl>
    <w:lvl w:ilvl="5" w:tplc="4A9EF7B2">
      <w:numFmt w:val="bullet"/>
      <w:lvlText w:val="•"/>
      <w:lvlJc w:val="left"/>
      <w:pPr>
        <w:ind w:left="5743" w:hanging="478"/>
      </w:pPr>
      <w:rPr>
        <w:rFonts w:hint="default"/>
        <w:lang w:val="zh-CN" w:eastAsia="zh-CN" w:bidi="zh-CN"/>
      </w:rPr>
    </w:lvl>
    <w:lvl w:ilvl="6" w:tplc="EF0AD690">
      <w:numFmt w:val="bullet"/>
      <w:lvlText w:val="•"/>
      <w:lvlJc w:val="left"/>
      <w:pPr>
        <w:ind w:left="6723" w:hanging="478"/>
      </w:pPr>
      <w:rPr>
        <w:rFonts w:hint="default"/>
        <w:lang w:val="zh-CN" w:eastAsia="zh-CN" w:bidi="zh-CN"/>
      </w:rPr>
    </w:lvl>
    <w:lvl w:ilvl="7" w:tplc="0B6CA1C2">
      <w:numFmt w:val="bullet"/>
      <w:lvlText w:val="•"/>
      <w:lvlJc w:val="left"/>
      <w:pPr>
        <w:ind w:left="7704" w:hanging="478"/>
      </w:pPr>
      <w:rPr>
        <w:rFonts w:hint="default"/>
        <w:lang w:val="zh-CN" w:eastAsia="zh-CN" w:bidi="zh-CN"/>
      </w:rPr>
    </w:lvl>
    <w:lvl w:ilvl="8" w:tplc="138411E4">
      <w:numFmt w:val="bullet"/>
      <w:lvlText w:val="•"/>
      <w:lvlJc w:val="left"/>
      <w:pPr>
        <w:ind w:left="8685" w:hanging="478"/>
      </w:pPr>
      <w:rPr>
        <w:rFonts w:hint="default"/>
        <w:lang w:val="zh-CN" w:eastAsia="zh-CN" w:bidi="zh-CN"/>
      </w:rPr>
    </w:lvl>
  </w:abstractNum>
  <w:abstractNum w:abstractNumId="654" w15:restartNumberingAfterBreak="0">
    <w:nsid w:val="57441753"/>
    <w:multiLevelType w:val="hybridMultilevel"/>
    <w:tmpl w:val="E7F8CEE8"/>
    <w:lvl w:ilvl="0" w:tplc="53D4503C">
      <w:start w:val="1"/>
      <w:numFmt w:val="decimal"/>
      <w:lvlText w:val="%1"/>
      <w:lvlJc w:val="left"/>
      <w:pPr>
        <w:ind w:left="418" w:hanging="372"/>
        <w:jc w:val="left"/>
      </w:pPr>
      <w:rPr>
        <w:rFonts w:hint="default"/>
        <w:lang w:val="zh-CN" w:eastAsia="zh-CN" w:bidi="zh-CN"/>
      </w:rPr>
    </w:lvl>
    <w:lvl w:ilvl="1" w:tplc="79EAAD0E">
      <w:start w:val="1"/>
      <w:numFmt w:val="decimal"/>
      <w:lvlText w:val="%1.%2"/>
      <w:lvlJc w:val="left"/>
      <w:pPr>
        <w:ind w:left="418" w:hanging="372"/>
        <w:jc w:val="left"/>
      </w:pPr>
      <w:rPr>
        <w:rFonts w:ascii="宋体" w:eastAsia="宋体" w:hAnsi="宋体" w:cs="宋体" w:hint="default"/>
        <w:b/>
        <w:bCs/>
        <w:color w:val="333333"/>
        <w:w w:val="99"/>
        <w:sz w:val="21"/>
        <w:szCs w:val="21"/>
        <w:lang w:val="zh-CN" w:eastAsia="zh-CN" w:bidi="zh-CN"/>
      </w:rPr>
    </w:lvl>
    <w:lvl w:ilvl="2" w:tplc="8B2EEA1A">
      <w:numFmt w:val="bullet"/>
      <w:lvlText w:val="•"/>
      <w:lvlJc w:val="left"/>
      <w:pPr>
        <w:ind w:left="2465" w:hanging="372"/>
      </w:pPr>
      <w:rPr>
        <w:rFonts w:hint="default"/>
        <w:lang w:val="zh-CN" w:eastAsia="zh-CN" w:bidi="zh-CN"/>
      </w:rPr>
    </w:lvl>
    <w:lvl w:ilvl="3" w:tplc="7B24768E">
      <w:numFmt w:val="bullet"/>
      <w:lvlText w:val="•"/>
      <w:lvlJc w:val="left"/>
      <w:pPr>
        <w:ind w:left="3487" w:hanging="372"/>
      </w:pPr>
      <w:rPr>
        <w:rFonts w:hint="default"/>
        <w:lang w:val="zh-CN" w:eastAsia="zh-CN" w:bidi="zh-CN"/>
      </w:rPr>
    </w:lvl>
    <w:lvl w:ilvl="4" w:tplc="CA3AA6FA">
      <w:numFmt w:val="bullet"/>
      <w:lvlText w:val="•"/>
      <w:lvlJc w:val="left"/>
      <w:pPr>
        <w:ind w:left="4510" w:hanging="372"/>
      </w:pPr>
      <w:rPr>
        <w:rFonts w:hint="default"/>
        <w:lang w:val="zh-CN" w:eastAsia="zh-CN" w:bidi="zh-CN"/>
      </w:rPr>
    </w:lvl>
    <w:lvl w:ilvl="5" w:tplc="35FC74D4">
      <w:numFmt w:val="bullet"/>
      <w:lvlText w:val="•"/>
      <w:lvlJc w:val="left"/>
      <w:pPr>
        <w:ind w:left="5533" w:hanging="372"/>
      </w:pPr>
      <w:rPr>
        <w:rFonts w:hint="default"/>
        <w:lang w:val="zh-CN" w:eastAsia="zh-CN" w:bidi="zh-CN"/>
      </w:rPr>
    </w:lvl>
    <w:lvl w:ilvl="6" w:tplc="6480F71C">
      <w:numFmt w:val="bullet"/>
      <w:lvlText w:val="•"/>
      <w:lvlJc w:val="left"/>
      <w:pPr>
        <w:ind w:left="6555" w:hanging="372"/>
      </w:pPr>
      <w:rPr>
        <w:rFonts w:hint="default"/>
        <w:lang w:val="zh-CN" w:eastAsia="zh-CN" w:bidi="zh-CN"/>
      </w:rPr>
    </w:lvl>
    <w:lvl w:ilvl="7" w:tplc="97AAEF0C">
      <w:numFmt w:val="bullet"/>
      <w:lvlText w:val="•"/>
      <w:lvlJc w:val="left"/>
      <w:pPr>
        <w:ind w:left="7578" w:hanging="372"/>
      </w:pPr>
      <w:rPr>
        <w:rFonts w:hint="default"/>
        <w:lang w:val="zh-CN" w:eastAsia="zh-CN" w:bidi="zh-CN"/>
      </w:rPr>
    </w:lvl>
    <w:lvl w:ilvl="8" w:tplc="2A56AB18">
      <w:numFmt w:val="bullet"/>
      <w:lvlText w:val="•"/>
      <w:lvlJc w:val="left"/>
      <w:pPr>
        <w:ind w:left="8601" w:hanging="372"/>
      </w:pPr>
      <w:rPr>
        <w:rFonts w:hint="default"/>
        <w:lang w:val="zh-CN" w:eastAsia="zh-CN" w:bidi="zh-CN"/>
      </w:rPr>
    </w:lvl>
  </w:abstractNum>
  <w:abstractNum w:abstractNumId="655" w15:restartNumberingAfterBreak="0">
    <w:nsid w:val="577E577D"/>
    <w:multiLevelType w:val="hybridMultilevel"/>
    <w:tmpl w:val="370066C8"/>
    <w:lvl w:ilvl="0" w:tplc="92928A22">
      <w:start w:val="5"/>
      <w:numFmt w:val="decimal"/>
      <w:lvlText w:val="%1"/>
      <w:lvlJc w:val="left"/>
      <w:pPr>
        <w:ind w:left="838" w:hanging="531"/>
        <w:jc w:val="left"/>
      </w:pPr>
      <w:rPr>
        <w:rFonts w:hint="default"/>
        <w:lang w:val="zh-CN" w:eastAsia="zh-CN" w:bidi="zh-CN"/>
      </w:rPr>
    </w:lvl>
    <w:lvl w:ilvl="1" w:tplc="9A24C88C">
      <w:start w:val="2"/>
      <w:numFmt w:val="decimal"/>
      <w:lvlText w:val="%1.%2"/>
      <w:lvlJc w:val="left"/>
      <w:pPr>
        <w:ind w:left="838" w:hanging="531"/>
        <w:jc w:val="left"/>
      </w:pPr>
      <w:rPr>
        <w:rFonts w:hint="default"/>
        <w:lang w:val="zh-CN" w:eastAsia="zh-CN" w:bidi="zh-CN"/>
      </w:rPr>
    </w:lvl>
    <w:lvl w:ilvl="2" w:tplc="5E8A6BA0">
      <w:start w:val="6"/>
      <w:numFmt w:val="decimal"/>
      <w:lvlText w:val="%1.%2.%3"/>
      <w:lvlJc w:val="left"/>
      <w:pPr>
        <w:ind w:left="838" w:hanging="531"/>
        <w:jc w:val="left"/>
      </w:pPr>
      <w:rPr>
        <w:rFonts w:ascii="宋体" w:eastAsia="宋体" w:hAnsi="宋体" w:cs="宋体" w:hint="default"/>
        <w:b/>
        <w:bCs/>
        <w:w w:val="99"/>
        <w:sz w:val="19"/>
        <w:szCs w:val="19"/>
        <w:lang w:val="zh-CN" w:eastAsia="zh-CN" w:bidi="zh-CN"/>
      </w:rPr>
    </w:lvl>
    <w:lvl w:ilvl="3" w:tplc="33FA6FA4">
      <w:numFmt w:val="bullet"/>
      <w:lvlText w:val="•"/>
      <w:lvlJc w:val="left"/>
      <w:pPr>
        <w:ind w:left="3781" w:hanging="531"/>
      </w:pPr>
      <w:rPr>
        <w:rFonts w:hint="default"/>
        <w:lang w:val="zh-CN" w:eastAsia="zh-CN" w:bidi="zh-CN"/>
      </w:rPr>
    </w:lvl>
    <w:lvl w:ilvl="4" w:tplc="6E2E7256">
      <w:numFmt w:val="bullet"/>
      <w:lvlText w:val="•"/>
      <w:lvlJc w:val="left"/>
      <w:pPr>
        <w:ind w:left="4762" w:hanging="531"/>
      </w:pPr>
      <w:rPr>
        <w:rFonts w:hint="default"/>
        <w:lang w:val="zh-CN" w:eastAsia="zh-CN" w:bidi="zh-CN"/>
      </w:rPr>
    </w:lvl>
    <w:lvl w:ilvl="5" w:tplc="A6B27B06">
      <w:numFmt w:val="bullet"/>
      <w:lvlText w:val="•"/>
      <w:lvlJc w:val="left"/>
      <w:pPr>
        <w:ind w:left="5743" w:hanging="531"/>
      </w:pPr>
      <w:rPr>
        <w:rFonts w:hint="default"/>
        <w:lang w:val="zh-CN" w:eastAsia="zh-CN" w:bidi="zh-CN"/>
      </w:rPr>
    </w:lvl>
    <w:lvl w:ilvl="6" w:tplc="2676D77E">
      <w:numFmt w:val="bullet"/>
      <w:lvlText w:val="•"/>
      <w:lvlJc w:val="left"/>
      <w:pPr>
        <w:ind w:left="6723" w:hanging="531"/>
      </w:pPr>
      <w:rPr>
        <w:rFonts w:hint="default"/>
        <w:lang w:val="zh-CN" w:eastAsia="zh-CN" w:bidi="zh-CN"/>
      </w:rPr>
    </w:lvl>
    <w:lvl w:ilvl="7" w:tplc="BEDCB556">
      <w:numFmt w:val="bullet"/>
      <w:lvlText w:val="•"/>
      <w:lvlJc w:val="left"/>
      <w:pPr>
        <w:ind w:left="7704" w:hanging="531"/>
      </w:pPr>
      <w:rPr>
        <w:rFonts w:hint="default"/>
        <w:lang w:val="zh-CN" w:eastAsia="zh-CN" w:bidi="zh-CN"/>
      </w:rPr>
    </w:lvl>
    <w:lvl w:ilvl="8" w:tplc="36001758">
      <w:numFmt w:val="bullet"/>
      <w:lvlText w:val="•"/>
      <w:lvlJc w:val="left"/>
      <w:pPr>
        <w:ind w:left="8685" w:hanging="531"/>
      </w:pPr>
      <w:rPr>
        <w:rFonts w:hint="default"/>
        <w:lang w:val="zh-CN" w:eastAsia="zh-CN" w:bidi="zh-CN"/>
      </w:rPr>
    </w:lvl>
  </w:abstractNum>
  <w:abstractNum w:abstractNumId="656" w15:restartNumberingAfterBreak="0">
    <w:nsid w:val="57A4753E"/>
    <w:multiLevelType w:val="hybridMultilevel"/>
    <w:tmpl w:val="2A22C2F4"/>
    <w:lvl w:ilvl="0" w:tplc="C1AED010">
      <w:start w:val="5"/>
      <w:numFmt w:val="decimal"/>
      <w:lvlText w:val="%1"/>
      <w:lvlJc w:val="left"/>
      <w:pPr>
        <w:ind w:left="1369" w:hanging="529"/>
        <w:jc w:val="left"/>
      </w:pPr>
      <w:rPr>
        <w:rFonts w:hint="default"/>
        <w:lang w:val="zh-CN" w:eastAsia="zh-CN" w:bidi="zh-CN"/>
      </w:rPr>
    </w:lvl>
    <w:lvl w:ilvl="1" w:tplc="A1746D2A">
      <w:start w:val="2"/>
      <w:numFmt w:val="decimal"/>
      <w:lvlText w:val="%1.%2"/>
      <w:lvlJc w:val="left"/>
      <w:pPr>
        <w:ind w:left="1369" w:hanging="529"/>
        <w:jc w:val="left"/>
      </w:pPr>
      <w:rPr>
        <w:rFonts w:hint="default"/>
        <w:lang w:val="zh-CN" w:eastAsia="zh-CN" w:bidi="zh-CN"/>
      </w:rPr>
    </w:lvl>
    <w:lvl w:ilvl="2" w:tplc="603415F4">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997A4ACA">
      <w:start w:val="1"/>
      <w:numFmt w:val="decimal"/>
      <w:lvlText w:val="%1.%2.%3.%4"/>
      <w:lvlJc w:val="left"/>
      <w:pPr>
        <w:ind w:left="418" w:hanging="738"/>
        <w:jc w:val="left"/>
      </w:pPr>
      <w:rPr>
        <w:rFonts w:ascii="宋体" w:eastAsia="宋体" w:hAnsi="宋体" w:cs="宋体" w:hint="default"/>
        <w:spacing w:val="-3"/>
        <w:w w:val="100"/>
        <w:sz w:val="19"/>
        <w:szCs w:val="19"/>
        <w:lang w:val="zh-CN" w:eastAsia="zh-CN" w:bidi="zh-CN"/>
      </w:rPr>
    </w:lvl>
    <w:lvl w:ilvl="4" w:tplc="AE80F3B4">
      <w:numFmt w:val="bullet"/>
      <w:lvlText w:val="•"/>
      <w:lvlJc w:val="left"/>
      <w:pPr>
        <w:ind w:left="4455" w:hanging="738"/>
      </w:pPr>
      <w:rPr>
        <w:rFonts w:hint="default"/>
        <w:lang w:val="zh-CN" w:eastAsia="zh-CN" w:bidi="zh-CN"/>
      </w:rPr>
    </w:lvl>
    <w:lvl w:ilvl="5" w:tplc="CFA2F388">
      <w:numFmt w:val="bullet"/>
      <w:lvlText w:val="•"/>
      <w:lvlJc w:val="left"/>
      <w:pPr>
        <w:ind w:left="5487" w:hanging="738"/>
      </w:pPr>
      <w:rPr>
        <w:rFonts w:hint="default"/>
        <w:lang w:val="zh-CN" w:eastAsia="zh-CN" w:bidi="zh-CN"/>
      </w:rPr>
    </w:lvl>
    <w:lvl w:ilvl="6" w:tplc="46EC20DE">
      <w:numFmt w:val="bullet"/>
      <w:lvlText w:val="•"/>
      <w:lvlJc w:val="left"/>
      <w:pPr>
        <w:ind w:left="6519" w:hanging="738"/>
      </w:pPr>
      <w:rPr>
        <w:rFonts w:hint="default"/>
        <w:lang w:val="zh-CN" w:eastAsia="zh-CN" w:bidi="zh-CN"/>
      </w:rPr>
    </w:lvl>
    <w:lvl w:ilvl="7" w:tplc="49C685D6">
      <w:numFmt w:val="bullet"/>
      <w:lvlText w:val="•"/>
      <w:lvlJc w:val="left"/>
      <w:pPr>
        <w:ind w:left="7550" w:hanging="738"/>
      </w:pPr>
      <w:rPr>
        <w:rFonts w:hint="default"/>
        <w:lang w:val="zh-CN" w:eastAsia="zh-CN" w:bidi="zh-CN"/>
      </w:rPr>
    </w:lvl>
    <w:lvl w:ilvl="8" w:tplc="FAF6367C">
      <w:numFmt w:val="bullet"/>
      <w:lvlText w:val="•"/>
      <w:lvlJc w:val="left"/>
      <w:pPr>
        <w:ind w:left="8582" w:hanging="738"/>
      </w:pPr>
      <w:rPr>
        <w:rFonts w:hint="default"/>
        <w:lang w:val="zh-CN" w:eastAsia="zh-CN" w:bidi="zh-CN"/>
      </w:rPr>
    </w:lvl>
  </w:abstractNum>
  <w:abstractNum w:abstractNumId="657" w15:restartNumberingAfterBreak="0">
    <w:nsid w:val="57B57D55"/>
    <w:multiLevelType w:val="hybridMultilevel"/>
    <w:tmpl w:val="0E5C60C0"/>
    <w:lvl w:ilvl="0" w:tplc="0B8084BE">
      <w:start w:val="4"/>
      <w:numFmt w:val="decimal"/>
      <w:lvlText w:val="%1"/>
      <w:lvlJc w:val="left"/>
      <w:pPr>
        <w:ind w:left="1158" w:hanging="318"/>
        <w:jc w:val="left"/>
      </w:pPr>
      <w:rPr>
        <w:rFonts w:hint="default"/>
        <w:lang w:val="zh-CN" w:eastAsia="zh-CN" w:bidi="zh-CN"/>
      </w:rPr>
    </w:lvl>
    <w:lvl w:ilvl="1" w:tplc="FB1AA77E">
      <w:start w:val="4"/>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0CCEAD0E">
      <w:start w:val="1"/>
      <w:numFmt w:val="decimal"/>
      <w:lvlText w:val="%1.%2.%3"/>
      <w:lvlJc w:val="left"/>
      <w:pPr>
        <w:ind w:left="1423" w:hanging="584"/>
        <w:jc w:val="left"/>
      </w:pPr>
      <w:rPr>
        <w:rFonts w:ascii="宋体" w:eastAsia="宋体" w:hAnsi="宋体" w:cs="宋体" w:hint="default"/>
        <w:b/>
        <w:bCs/>
        <w:w w:val="99"/>
        <w:sz w:val="21"/>
        <w:szCs w:val="21"/>
        <w:lang w:val="zh-CN" w:eastAsia="zh-CN" w:bidi="zh-CN"/>
      </w:rPr>
    </w:lvl>
    <w:lvl w:ilvl="3" w:tplc="A80C704E">
      <w:numFmt w:val="bullet"/>
      <w:lvlText w:val="•"/>
      <w:lvlJc w:val="left"/>
      <w:pPr>
        <w:ind w:left="3470" w:hanging="584"/>
      </w:pPr>
      <w:rPr>
        <w:rFonts w:hint="default"/>
        <w:lang w:val="zh-CN" w:eastAsia="zh-CN" w:bidi="zh-CN"/>
      </w:rPr>
    </w:lvl>
    <w:lvl w:ilvl="4" w:tplc="DDF6E6DA">
      <w:numFmt w:val="bullet"/>
      <w:lvlText w:val="•"/>
      <w:lvlJc w:val="left"/>
      <w:pPr>
        <w:ind w:left="4495" w:hanging="584"/>
      </w:pPr>
      <w:rPr>
        <w:rFonts w:hint="default"/>
        <w:lang w:val="zh-CN" w:eastAsia="zh-CN" w:bidi="zh-CN"/>
      </w:rPr>
    </w:lvl>
    <w:lvl w:ilvl="5" w:tplc="BCFC8D6E">
      <w:numFmt w:val="bullet"/>
      <w:lvlText w:val="•"/>
      <w:lvlJc w:val="left"/>
      <w:pPr>
        <w:ind w:left="5520" w:hanging="584"/>
      </w:pPr>
      <w:rPr>
        <w:rFonts w:hint="default"/>
        <w:lang w:val="zh-CN" w:eastAsia="zh-CN" w:bidi="zh-CN"/>
      </w:rPr>
    </w:lvl>
    <w:lvl w:ilvl="6" w:tplc="47308692">
      <w:numFmt w:val="bullet"/>
      <w:lvlText w:val="•"/>
      <w:lvlJc w:val="left"/>
      <w:pPr>
        <w:ind w:left="6545" w:hanging="584"/>
      </w:pPr>
      <w:rPr>
        <w:rFonts w:hint="default"/>
        <w:lang w:val="zh-CN" w:eastAsia="zh-CN" w:bidi="zh-CN"/>
      </w:rPr>
    </w:lvl>
    <w:lvl w:ilvl="7" w:tplc="315C22A8">
      <w:numFmt w:val="bullet"/>
      <w:lvlText w:val="•"/>
      <w:lvlJc w:val="left"/>
      <w:pPr>
        <w:ind w:left="7570" w:hanging="584"/>
      </w:pPr>
      <w:rPr>
        <w:rFonts w:hint="default"/>
        <w:lang w:val="zh-CN" w:eastAsia="zh-CN" w:bidi="zh-CN"/>
      </w:rPr>
    </w:lvl>
    <w:lvl w:ilvl="8" w:tplc="E854649C">
      <w:numFmt w:val="bullet"/>
      <w:lvlText w:val="•"/>
      <w:lvlJc w:val="left"/>
      <w:pPr>
        <w:ind w:left="8596" w:hanging="584"/>
      </w:pPr>
      <w:rPr>
        <w:rFonts w:hint="default"/>
        <w:lang w:val="zh-CN" w:eastAsia="zh-CN" w:bidi="zh-CN"/>
      </w:rPr>
    </w:lvl>
  </w:abstractNum>
  <w:abstractNum w:abstractNumId="658" w15:restartNumberingAfterBreak="0">
    <w:nsid w:val="57F06B17"/>
    <w:multiLevelType w:val="hybridMultilevel"/>
    <w:tmpl w:val="577C8142"/>
    <w:lvl w:ilvl="0" w:tplc="5DEA3DD0">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ABE8695A">
      <w:numFmt w:val="bullet"/>
      <w:lvlText w:val="•"/>
      <w:lvlJc w:val="left"/>
      <w:pPr>
        <w:ind w:left="2288" w:hanging="529"/>
      </w:pPr>
      <w:rPr>
        <w:rFonts w:hint="default"/>
        <w:lang w:val="zh-CN" w:eastAsia="zh-CN" w:bidi="zh-CN"/>
      </w:rPr>
    </w:lvl>
    <w:lvl w:ilvl="2" w:tplc="04348DFC">
      <w:numFmt w:val="bullet"/>
      <w:lvlText w:val="•"/>
      <w:lvlJc w:val="left"/>
      <w:pPr>
        <w:ind w:left="3217" w:hanging="529"/>
      </w:pPr>
      <w:rPr>
        <w:rFonts w:hint="default"/>
        <w:lang w:val="zh-CN" w:eastAsia="zh-CN" w:bidi="zh-CN"/>
      </w:rPr>
    </w:lvl>
    <w:lvl w:ilvl="3" w:tplc="886E64CA">
      <w:numFmt w:val="bullet"/>
      <w:lvlText w:val="•"/>
      <w:lvlJc w:val="left"/>
      <w:pPr>
        <w:ind w:left="4145" w:hanging="529"/>
      </w:pPr>
      <w:rPr>
        <w:rFonts w:hint="default"/>
        <w:lang w:val="zh-CN" w:eastAsia="zh-CN" w:bidi="zh-CN"/>
      </w:rPr>
    </w:lvl>
    <w:lvl w:ilvl="4" w:tplc="19C05794">
      <w:numFmt w:val="bullet"/>
      <w:lvlText w:val="•"/>
      <w:lvlJc w:val="left"/>
      <w:pPr>
        <w:ind w:left="5074" w:hanging="529"/>
      </w:pPr>
      <w:rPr>
        <w:rFonts w:hint="default"/>
        <w:lang w:val="zh-CN" w:eastAsia="zh-CN" w:bidi="zh-CN"/>
      </w:rPr>
    </w:lvl>
    <w:lvl w:ilvl="5" w:tplc="488A2A88">
      <w:numFmt w:val="bullet"/>
      <w:lvlText w:val="•"/>
      <w:lvlJc w:val="left"/>
      <w:pPr>
        <w:ind w:left="6003" w:hanging="529"/>
      </w:pPr>
      <w:rPr>
        <w:rFonts w:hint="default"/>
        <w:lang w:val="zh-CN" w:eastAsia="zh-CN" w:bidi="zh-CN"/>
      </w:rPr>
    </w:lvl>
    <w:lvl w:ilvl="6" w:tplc="1688B86E">
      <w:numFmt w:val="bullet"/>
      <w:lvlText w:val="•"/>
      <w:lvlJc w:val="left"/>
      <w:pPr>
        <w:ind w:left="6931" w:hanging="529"/>
      </w:pPr>
      <w:rPr>
        <w:rFonts w:hint="default"/>
        <w:lang w:val="zh-CN" w:eastAsia="zh-CN" w:bidi="zh-CN"/>
      </w:rPr>
    </w:lvl>
    <w:lvl w:ilvl="7" w:tplc="C99037C4">
      <w:numFmt w:val="bullet"/>
      <w:lvlText w:val="•"/>
      <w:lvlJc w:val="left"/>
      <w:pPr>
        <w:ind w:left="7860" w:hanging="529"/>
      </w:pPr>
      <w:rPr>
        <w:rFonts w:hint="default"/>
        <w:lang w:val="zh-CN" w:eastAsia="zh-CN" w:bidi="zh-CN"/>
      </w:rPr>
    </w:lvl>
    <w:lvl w:ilvl="8" w:tplc="D376E0F0">
      <w:numFmt w:val="bullet"/>
      <w:lvlText w:val="•"/>
      <w:lvlJc w:val="left"/>
      <w:pPr>
        <w:ind w:left="8789" w:hanging="529"/>
      </w:pPr>
      <w:rPr>
        <w:rFonts w:hint="default"/>
        <w:lang w:val="zh-CN" w:eastAsia="zh-CN" w:bidi="zh-CN"/>
      </w:rPr>
    </w:lvl>
  </w:abstractNum>
  <w:abstractNum w:abstractNumId="659" w15:restartNumberingAfterBreak="0">
    <w:nsid w:val="57F33D0D"/>
    <w:multiLevelType w:val="hybridMultilevel"/>
    <w:tmpl w:val="DCAEBB1E"/>
    <w:lvl w:ilvl="0" w:tplc="09381FDC">
      <w:start w:val="1"/>
      <w:numFmt w:val="upperLetter"/>
      <w:lvlText w:val="%1"/>
      <w:lvlJc w:val="left"/>
      <w:pPr>
        <w:ind w:left="1575" w:hanging="738"/>
        <w:jc w:val="left"/>
      </w:pPr>
      <w:rPr>
        <w:rFonts w:hint="default"/>
        <w:lang w:val="zh-CN" w:eastAsia="zh-CN" w:bidi="zh-CN"/>
      </w:rPr>
    </w:lvl>
    <w:lvl w:ilvl="1" w:tplc="A44EB430">
      <w:start w:val="1"/>
      <w:numFmt w:val="decimal"/>
      <w:lvlText w:val="%1.%2"/>
      <w:lvlJc w:val="left"/>
      <w:pPr>
        <w:ind w:left="1575" w:hanging="738"/>
        <w:jc w:val="left"/>
      </w:pPr>
      <w:rPr>
        <w:rFonts w:hint="default"/>
        <w:lang w:val="zh-CN" w:eastAsia="zh-CN" w:bidi="zh-CN"/>
      </w:rPr>
    </w:lvl>
    <w:lvl w:ilvl="2" w:tplc="2242BF3A">
      <w:start w:val="1"/>
      <w:numFmt w:val="decimal"/>
      <w:lvlText w:val="%1.%2.%3"/>
      <w:lvlJc w:val="left"/>
      <w:pPr>
        <w:ind w:left="1575" w:hanging="738"/>
        <w:jc w:val="left"/>
      </w:pPr>
      <w:rPr>
        <w:rFonts w:hint="default"/>
        <w:lang w:val="zh-CN" w:eastAsia="zh-CN" w:bidi="zh-CN"/>
      </w:rPr>
    </w:lvl>
    <w:lvl w:ilvl="3" w:tplc="B39878B8">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BA34FC86">
      <w:numFmt w:val="bullet"/>
      <w:lvlText w:val="•"/>
      <w:lvlJc w:val="left"/>
      <w:pPr>
        <w:ind w:left="5206" w:hanging="738"/>
      </w:pPr>
      <w:rPr>
        <w:rFonts w:hint="default"/>
        <w:lang w:val="zh-CN" w:eastAsia="zh-CN" w:bidi="zh-CN"/>
      </w:rPr>
    </w:lvl>
    <w:lvl w:ilvl="5" w:tplc="3616613C">
      <w:numFmt w:val="bullet"/>
      <w:lvlText w:val="•"/>
      <w:lvlJc w:val="left"/>
      <w:pPr>
        <w:ind w:left="6113" w:hanging="738"/>
      </w:pPr>
      <w:rPr>
        <w:rFonts w:hint="default"/>
        <w:lang w:val="zh-CN" w:eastAsia="zh-CN" w:bidi="zh-CN"/>
      </w:rPr>
    </w:lvl>
    <w:lvl w:ilvl="6" w:tplc="BC244C8A">
      <w:numFmt w:val="bullet"/>
      <w:lvlText w:val="•"/>
      <w:lvlJc w:val="left"/>
      <w:pPr>
        <w:ind w:left="7019" w:hanging="738"/>
      </w:pPr>
      <w:rPr>
        <w:rFonts w:hint="default"/>
        <w:lang w:val="zh-CN" w:eastAsia="zh-CN" w:bidi="zh-CN"/>
      </w:rPr>
    </w:lvl>
    <w:lvl w:ilvl="7" w:tplc="B1DA75E6">
      <w:numFmt w:val="bullet"/>
      <w:lvlText w:val="•"/>
      <w:lvlJc w:val="left"/>
      <w:pPr>
        <w:ind w:left="7926" w:hanging="738"/>
      </w:pPr>
      <w:rPr>
        <w:rFonts w:hint="default"/>
        <w:lang w:val="zh-CN" w:eastAsia="zh-CN" w:bidi="zh-CN"/>
      </w:rPr>
    </w:lvl>
    <w:lvl w:ilvl="8" w:tplc="94C0FEAE">
      <w:numFmt w:val="bullet"/>
      <w:lvlText w:val="•"/>
      <w:lvlJc w:val="left"/>
      <w:pPr>
        <w:ind w:left="8833" w:hanging="738"/>
      </w:pPr>
      <w:rPr>
        <w:rFonts w:hint="default"/>
        <w:lang w:val="zh-CN" w:eastAsia="zh-CN" w:bidi="zh-CN"/>
      </w:rPr>
    </w:lvl>
  </w:abstractNum>
  <w:abstractNum w:abstractNumId="660" w15:restartNumberingAfterBreak="0">
    <w:nsid w:val="582664BB"/>
    <w:multiLevelType w:val="hybridMultilevel"/>
    <w:tmpl w:val="2E6EA76C"/>
    <w:lvl w:ilvl="0" w:tplc="73563B8A">
      <w:start w:val="7"/>
      <w:numFmt w:val="decimal"/>
      <w:lvlText w:val="%1"/>
      <w:lvlJc w:val="left"/>
      <w:pPr>
        <w:ind w:left="418" w:hanging="529"/>
        <w:jc w:val="left"/>
      </w:pPr>
      <w:rPr>
        <w:rFonts w:hint="default"/>
        <w:lang w:val="zh-CN" w:eastAsia="zh-CN" w:bidi="zh-CN"/>
      </w:rPr>
    </w:lvl>
    <w:lvl w:ilvl="1" w:tplc="797E39AA">
      <w:start w:val="4"/>
      <w:numFmt w:val="decimal"/>
      <w:lvlText w:val="%1.%2"/>
      <w:lvlJc w:val="left"/>
      <w:pPr>
        <w:ind w:left="418" w:hanging="529"/>
        <w:jc w:val="left"/>
      </w:pPr>
      <w:rPr>
        <w:rFonts w:hint="default"/>
        <w:lang w:val="zh-CN" w:eastAsia="zh-CN" w:bidi="zh-CN"/>
      </w:rPr>
    </w:lvl>
    <w:lvl w:ilvl="2" w:tplc="AA60AAFA">
      <w:start w:val="1"/>
      <w:numFmt w:val="decimal"/>
      <w:lvlText w:val="%1.%2.%3"/>
      <w:lvlJc w:val="left"/>
      <w:pPr>
        <w:ind w:left="418" w:hanging="529"/>
        <w:jc w:val="left"/>
      </w:pPr>
      <w:rPr>
        <w:rFonts w:ascii="宋体" w:eastAsia="宋体" w:hAnsi="宋体" w:cs="宋体" w:hint="default"/>
        <w:b/>
        <w:bCs/>
        <w:color w:val="333333"/>
        <w:w w:val="99"/>
        <w:sz w:val="19"/>
        <w:szCs w:val="19"/>
        <w:lang w:val="zh-CN" w:eastAsia="zh-CN" w:bidi="zh-CN"/>
      </w:rPr>
    </w:lvl>
    <w:lvl w:ilvl="3" w:tplc="C7AA5E8C">
      <w:numFmt w:val="bullet"/>
      <w:lvlText w:val="•"/>
      <w:lvlJc w:val="left"/>
      <w:pPr>
        <w:ind w:left="3487" w:hanging="529"/>
      </w:pPr>
      <w:rPr>
        <w:rFonts w:hint="default"/>
        <w:lang w:val="zh-CN" w:eastAsia="zh-CN" w:bidi="zh-CN"/>
      </w:rPr>
    </w:lvl>
    <w:lvl w:ilvl="4" w:tplc="93860BF0">
      <w:numFmt w:val="bullet"/>
      <w:lvlText w:val="•"/>
      <w:lvlJc w:val="left"/>
      <w:pPr>
        <w:ind w:left="4510" w:hanging="529"/>
      </w:pPr>
      <w:rPr>
        <w:rFonts w:hint="default"/>
        <w:lang w:val="zh-CN" w:eastAsia="zh-CN" w:bidi="zh-CN"/>
      </w:rPr>
    </w:lvl>
    <w:lvl w:ilvl="5" w:tplc="4C6EB02A">
      <w:numFmt w:val="bullet"/>
      <w:lvlText w:val="•"/>
      <w:lvlJc w:val="left"/>
      <w:pPr>
        <w:ind w:left="5533" w:hanging="529"/>
      </w:pPr>
      <w:rPr>
        <w:rFonts w:hint="default"/>
        <w:lang w:val="zh-CN" w:eastAsia="zh-CN" w:bidi="zh-CN"/>
      </w:rPr>
    </w:lvl>
    <w:lvl w:ilvl="6" w:tplc="CA70CD02">
      <w:numFmt w:val="bullet"/>
      <w:lvlText w:val="•"/>
      <w:lvlJc w:val="left"/>
      <w:pPr>
        <w:ind w:left="6555" w:hanging="529"/>
      </w:pPr>
      <w:rPr>
        <w:rFonts w:hint="default"/>
        <w:lang w:val="zh-CN" w:eastAsia="zh-CN" w:bidi="zh-CN"/>
      </w:rPr>
    </w:lvl>
    <w:lvl w:ilvl="7" w:tplc="78DAD472">
      <w:numFmt w:val="bullet"/>
      <w:lvlText w:val="•"/>
      <w:lvlJc w:val="left"/>
      <w:pPr>
        <w:ind w:left="7578" w:hanging="529"/>
      </w:pPr>
      <w:rPr>
        <w:rFonts w:hint="default"/>
        <w:lang w:val="zh-CN" w:eastAsia="zh-CN" w:bidi="zh-CN"/>
      </w:rPr>
    </w:lvl>
    <w:lvl w:ilvl="8" w:tplc="BF76BD82">
      <w:numFmt w:val="bullet"/>
      <w:lvlText w:val="•"/>
      <w:lvlJc w:val="left"/>
      <w:pPr>
        <w:ind w:left="8601" w:hanging="529"/>
      </w:pPr>
      <w:rPr>
        <w:rFonts w:hint="default"/>
        <w:lang w:val="zh-CN" w:eastAsia="zh-CN" w:bidi="zh-CN"/>
      </w:rPr>
    </w:lvl>
  </w:abstractNum>
  <w:abstractNum w:abstractNumId="661" w15:restartNumberingAfterBreak="0">
    <w:nsid w:val="583C3550"/>
    <w:multiLevelType w:val="hybridMultilevel"/>
    <w:tmpl w:val="E5CAFC00"/>
    <w:lvl w:ilvl="0" w:tplc="3F24D418">
      <w:start w:val="6"/>
      <w:numFmt w:val="decimal"/>
      <w:lvlText w:val="%1"/>
      <w:lvlJc w:val="left"/>
      <w:pPr>
        <w:ind w:left="418" w:hanging="372"/>
        <w:jc w:val="left"/>
      </w:pPr>
      <w:rPr>
        <w:rFonts w:hint="default"/>
        <w:lang w:val="zh-CN" w:eastAsia="zh-CN" w:bidi="zh-CN"/>
      </w:rPr>
    </w:lvl>
    <w:lvl w:ilvl="1" w:tplc="29283854">
      <w:start w:val="1"/>
      <w:numFmt w:val="decimal"/>
      <w:lvlText w:val="%1.%2"/>
      <w:lvlJc w:val="left"/>
      <w:pPr>
        <w:ind w:left="418" w:hanging="372"/>
        <w:jc w:val="left"/>
      </w:pPr>
      <w:rPr>
        <w:rFonts w:ascii="宋体" w:eastAsia="宋体" w:hAnsi="宋体" w:cs="宋体" w:hint="default"/>
        <w:b/>
        <w:bCs/>
        <w:w w:val="99"/>
        <w:sz w:val="21"/>
        <w:szCs w:val="21"/>
        <w:lang w:val="zh-CN" w:eastAsia="zh-CN" w:bidi="zh-CN"/>
      </w:rPr>
    </w:lvl>
    <w:lvl w:ilvl="2" w:tplc="76F0376E">
      <w:numFmt w:val="bullet"/>
      <w:lvlText w:val="•"/>
      <w:lvlJc w:val="left"/>
      <w:pPr>
        <w:ind w:left="2465" w:hanging="372"/>
      </w:pPr>
      <w:rPr>
        <w:rFonts w:hint="default"/>
        <w:lang w:val="zh-CN" w:eastAsia="zh-CN" w:bidi="zh-CN"/>
      </w:rPr>
    </w:lvl>
    <w:lvl w:ilvl="3" w:tplc="E1646744">
      <w:numFmt w:val="bullet"/>
      <w:lvlText w:val="•"/>
      <w:lvlJc w:val="left"/>
      <w:pPr>
        <w:ind w:left="3487" w:hanging="372"/>
      </w:pPr>
      <w:rPr>
        <w:rFonts w:hint="default"/>
        <w:lang w:val="zh-CN" w:eastAsia="zh-CN" w:bidi="zh-CN"/>
      </w:rPr>
    </w:lvl>
    <w:lvl w:ilvl="4" w:tplc="11207380">
      <w:numFmt w:val="bullet"/>
      <w:lvlText w:val="•"/>
      <w:lvlJc w:val="left"/>
      <w:pPr>
        <w:ind w:left="4510" w:hanging="372"/>
      </w:pPr>
      <w:rPr>
        <w:rFonts w:hint="default"/>
        <w:lang w:val="zh-CN" w:eastAsia="zh-CN" w:bidi="zh-CN"/>
      </w:rPr>
    </w:lvl>
    <w:lvl w:ilvl="5" w:tplc="81CE20E0">
      <w:numFmt w:val="bullet"/>
      <w:lvlText w:val="•"/>
      <w:lvlJc w:val="left"/>
      <w:pPr>
        <w:ind w:left="5533" w:hanging="372"/>
      </w:pPr>
      <w:rPr>
        <w:rFonts w:hint="default"/>
        <w:lang w:val="zh-CN" w:eastAsia="zh-CN" w:bidi="zh-CN"/>
      </w:rPr>
    </w:lvl>
    <w:lvl w:ilvl="6" w:tplc="AE68440A">
      <w:numFmt w:val="bullet"/>
      <w:lvlText w:val="•"/>
      <w:lvlJc w:val="left"/>
      <w:pPr>
        <w:ind w:left="6555" w:hanging="372"/>
      </w:pPr>
      <w:rPr>
        <w:rFonts w:hint="default"/>
        <w:lang w:val="zh-CN" w:eastAsia="zh-CN" w:bidi="zh-CN"/>
      </w:rPr>
    </w:lvl>
    <w:lvl w:ilvl="7" w:tplc="94EE075A">
      <w:numFmt w:val="bullet"/>
      <w:lvlText w:val="•"/>
      <w:lvlJc w:val="left"/>
      <w:pPr>
        <w:ind w:left="7578" w:hanging="372"/>
      </w:pPr>
      <w:rPr>
        <w:rFonts w:hint="default"/>
        <w:lang w:val="zh-CN" w:eastAsia="zh-CN" w:bidi="zh-CN"/>
      </w:rPr>
    </w:lvl>
    <w:lvl w:ilvl="8" w:tplc="7FF43970">
      <w:numFmt w:val="bullet"/>
      <w:lvlText w:val="•"/>
      <w:lvlJc w:val="left"/>
      <w:pPr>
        <w:ind w:left="8601" w:hanging="372"/>
      </w:pPr>
      <w:rPr>
        <w:rFonts w:hint="default"/>
        <w:lang w:val="zh-CN" w:eastAsia="zh-CN" w:bidi="zh-CN"/>
      </w:rPr>
    </w:lvl>
  </w:abstractNum>
  <w:abstractNum w:abstractNumId="662" w15:restartNumberingAfterBreak="0">
    <w:nsid w:val="5889381B"/>
    <w:multiLevelType w:val="hybridMultilevel"/>
    <w:tmpl w:val="2D96563E"/>
    <w:lvl w:ilvl="0" w:tplc="EBE69AE8">
      <w:start w:val="1"/>
      <w:numFmt w:val="lowerLetter"/>
      <w:lvlText w:val="%1)"/>
      <w:lvlJc w:val="left"/>
      <w:pPr>
        <w:ind w:left="1050" w:hanging="213"/>
        <w:jc w:val="left"/>
      </w:pPr>
      <w:rPr>
        <w:rFonts w:ascii="宋体" w:eastAsia="宋体" w:hAnsi="宋体" w:cs="宋体" w:hint="default"/>
        <w:spacing w:val="-3"/>
        <w:w w:val="99"/>
        <w:sz w:val="19"/>
        <w:szCs w:val="19"/>
        <w:lang w:val="zh-CN" w:eastAsia="zh-CN" w:bidi="zh-CN"/>
      </w:rPr>
    </w:lvl>
    <w:lvl w:ilvl="1" w:tplc="310AC776">
      <w:numFmt w:val="bullet"/>
      <w:lvlText w:val="•"/>
      <w:lvlJc w:val="left"/>
      <w:pPr>
        <w:ind w:left="2018" w:hanging="213"/>
      </w:pPr>
      <w:rPr>
        <w:rFonts w:hint="default"/>
        <w:lang w:val="zh-CN" w:eastAsia="zh-CN" w:bidi="zh-CN"/>
      </w:rPr>
    </w:lvl>
    <w:lvl w:ilvl="2" w:tplc="91641652">
      <w:numFmt w:val="bullet"/>
      <w:lvlText w:val="•"/>
      <w:lvlJc w:val="left"/>
      <w:pPr>
        <w:ind w:left="2977" w:hanging="213"/>
      </w:pPr>
      <w:rPr>
        <w:rFonts w:hint="default"/>
        <w:lang w:val="zh-CN" w:eastAsia="zh-CN" w:bidi="zh-CN"/>
      </w:rPr>
    </w:lvl>
    <w:lvl w:ilvl="3" w:tplc="8E7EFC36">
      <w:numFmt w:val="bullet"/>
      <w:lvlText w:val="•"/>
      <w:lvlJc w:val="left"/>
      <w:pPr>
        <w:ind w:left="3935" w:hanging="213"/>
      </w:pPr>
      <w:rPr>
        <w:rFonts w:hint="default"/>
        <w:lang w:val="zh-CN" w:eastAsia="zh-CN" w:bidi="zh-CN"/>
      </w:rPr>
    </w:lvl>
    <w:lvl w:ilvl="4" w:tplc="68727144">
      <w:numFmt w:val="bullet"/>
      <w:lvlText w:val="•"/>
      <w:lvlJc w:val="left"/>
      <w:pPr>
        <w:ind w:left="4894" w:hanging="213"/>
      </w:pPr>
      <w:rPr>
        <w:rFonts w:hint="default"/>
        <w:lang w:val="zh-CN" w:eastAsia="zh-CN" w:bidi="zh-CN"/>
      </w:rPr>
    </w:lvl>
    <w:lvl w:ilvl="5" w:tplc="B0D8E7FA">
      <w:numFmt w:val="bullet"/>
      <w:lvlText w:val="•"/>
      <w:lvlJc w:val="left"/>
      <w:pPr>
        <w:ind w:left="5853" w:hanging="213"/>
      </w:pPr>
      <w:rPr>
        <w:rFonts w:hint="default"/>
        <w:lang w:val="zh-CN" w:eastAsia="zh-CN" w:bidi="zh-CN"/>
      </w:rPr>
    </w:lvl>
    <w:lvl w:ilvl="6" w:tplc="2206AB58">
      <w:numFmt w:val="bullet"/>
      <w:lvlText w:val="•"/>
      <w:lvlJc w:val="left"/>
      <w:pPr>
        <w:ind w:left="6811" w:hanging="213"/>
      </w:pPr>
      <w:rPr>
        <w:rFonts w:hint="default"/>
        <w:lang w:val="zh-CN" w:eastAsia="zh-CN" w:bidi="zh-CN"/>
      </w:rPr>
    </w:lvl>
    <w:lvl w:ilvl="7" w:tplc="EE8AE2C8">
      <w:numFmt w:val="bullet"/>
      <w:lvlText w:val="•"/>
      <w:lvlJc w:val="left"/>
      <w:pPr>
        <w:ind w:left="7770" w:hanging="213"/>
      </w:pPr>
      <w:rPr>
        <w:rFonts w:hint="default"/>
        <w:lang w:val="zh-CN" w:eastAsia="zh-CN" w:bidi="zh-CN"/>
      </w:rPr>
    </w:lvl>
    <w:lvl w:ilvl="8" w:tplc="CD6C25E2">
      <w:numFmt w:val="bullet"/>
      <w:lvlText w:val="•"/>
      <w:lvlJc w:val="left"/>
      <w:pPr>
        <w:ind w:left="8729" w:hanging="213"/>
      </w:pPr>
      <w:rPr>
        <w:rFonts w:hint="default"/>
        <w:lang w:val="zh-CN" w:eastAsia="zh-CN" w:bidi="zh-CN"/>
      </w:rPr>
    </w:lvl>
  </w:abstractNum>
  <w:abstractNum w:abstractNumId="663" w15:restartNumberingAfterBreak="0">
    <w:nsid w:val="589522CE"/>
    <w:multiLevelType w:val="hybridMultilevel"/>
    <w:tmpl w:val="F43A021E"/>
    <w:lvl w:ilvl="0" w:tplc="8006E544">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0CF6B46C">
      <w:numFmt w:val="bullet"/>
      <w:lvlText w:val="•"/>
      <w:lvlJc w:val="left"/>
      <w:pPr>
        <w:ind w:left="1442" w:hanging="529"/>
      </w:pPr>
      <w:rPr>
        <w:rFonts w:hint="default"/>
        <w:lang w:val="zh-CN" w:eastAsia="zh-CN" w:bidi="zh-CN"/>
      </w:rPr>
    </w:lvl>
    <w:lvl w:ilvl="2" w:tplc="2270A37C">
      <w:numFmt w:val="bullet"/>
      <w:lvlText w:val="•"/>
      <w:lvlJc w:val="left"/>
      <w:pPr>
        <w:ind w:left="2465" w:hanging="529"/>
      </w:pPr>
      <w:rPr>
        <w:rFonts w:hint="default"/>
        <w:lang w:val="zh-CN" w:eastAsia="zh-CN" w:bidi="zh-CN"/>
      </w:rPr>
    </w:lvl>
    <w:lvl w:ilvl="3" w:tplc="7B6C7F3C">
      <w:numFmt w:val="bullet"/>
      <w:lvlText w:val="•"/>
      <w:lvlJc w:val="left"/>
      <w:pPr>
        <w:ind w:left="3487" w:hanging="529"/>
      </w:pPr>
      <w:rPr>
        <w:rFonts w:hint="default"/>
        <w:lang w:val="zh-CN" w:eastAsia="zh-CN" w:bidi="zh-CN"/>
      </w:rPr>
    </w:lvl>
    <w:lvl w:ilvl="4" w:tplc="A060EC10">
      <w:numFmt w:val="bullet"/>
      <w:lvlText w:val="•"/>
      <w:lvlJc w:val="left"/>
      <w:pPr>
        <w:ind w:left="4510" w:hanging="529"/>
      </w:pPr>
      <w:rPr>
        <w:rFonts w:hint="default"/>
        <w:lang w:val="zh-CN" w:eastAsia="zh-CN" w:bidi="zh-CN"/>
      </w:rPr>
    </w:lvl>
    <w:lvl w:ilvl="5" w:tplc="D2DAB672">
      <w:numFmt w:val="bullet"/>
      <w:lvlText w:val="•"/>
      <w:lvlJc w:val="left"/>
      <w:pPr>
        <w:ind w:left="5533" w:hanging="529"/>
      </w:pPr>
      <w:rPr>
        <w:rFonts w:hint="default"/>
        <w:lang w:val="zh-CN" w:eastAsia="zh-CN" w:bidi="zh-CN"/>
      </w:rPr>
    </w:lvl>
    <w:lvl w:ilvl="6" w:tplc="BD8ADB7C">
      <w:numFmt w:val="bullet"/>
      <w:lvlText w:val="•"/>
      <w:lvlJc w:val="left"/>
      <w:pPr>
        <w:ind w:left="6555" w:hanging="529"/>
      </w:pPr>
      <w:rPr>
        <w:rFonts w:hint="default"/>
        <w:lang w:val="zh-CN" w:eastAsia="zh-CN" w:bidi="zh-CN"/>
      </w:rPr>
    </w:lvl>
    <w:lvl w:ilvl="7" w:tplc="C562E0AC">
      <w:numFmt w:val="bullet"/>
      <w:lvlText w:val="•"/>
      <w:lvlJc w:val="left"/>
      <w:pPr>
        <w:ind w:left="7578" w:hanging="529"/>
      </w:pPr>
      <w:rPr>
        <w:rFonts w:hint="default"/>
        <w:lang w:val="zh-CN" w:eastAsia="zh-CN" w:bidi="zh-CN"/>
      </w:rPr>
    </w:lvl>
    <w:lvl w:ilvl="8" w:tplc="D6BC6A64">
      <w:numFmt w:val="bullet"/>
      <w:lvlText w:val="•"/>
      <w:lvlJc w:val="left"/>
      <w:pPr>
        <w:ind w:left="8601" w:hanging="529"/>
      </w:pPr>
      <w:rPr>
        <w:rFonts w:hint="default"/>
        <w:lang w:val="zh-CN" w:eastAsia="zh-CN" w:bidi="zh-CN"/>
      </w:rPr>
    </w:lvl>
  </w:abstractNum>
  <w:abstractNum w:abstractNumId="664" w15:restartNumberingAfterBreak="0">
    <w:nsid w:val="58DD70F0"/>
    <w:multiLevelType w:val="hybridMultilevel"/>
    <w:tmpl w:val="EF9A9D54"/>
    <w:lvl w:ilvl="0" w:tplc="2C46DB4E">
      <w:start w:val="4"/>
      <w:numFmt w:val="decimal"/>
      <w:lvlText w:val="%1"/>
      <w:lvlJc w:val="left"/>
      <w:pPr>
        <w:ind w:left="1367" w:hanging="529"/>
        <w:jc w:val="left"/>
      </w:pPr>
      <w:rPr>
        <w:rFonts w:hint="default"/>
        <w:lang w:val="zh-CN" w:eastAsia="zh-CN" w:bidi="zh-CN"/>
      </w:rPr>
    </w:lvl>
    <w:lvl w:ilvl="1" w:tplc="CCBC065C">
      <w:start w:val="4"/>
      <w:numFmt w:val="decimal"/>
      <w:lvlText w:val="%1.%2"/>
      <w:lvlJc w:val="left"/>
      <w:pPr>
        <w:ind w:left="1367" w:hanging="529"/>
        <w:jc w:val="left"/>
      </w:pPr>
      <w:rPr>
        <w:rFonts w:hint="default"/>
        <w:lang w:val="zh-CN" w:eastAsia="zh-CN" w:bidi="zh-CN"/>
      </w:rPr>
    </w:lvl>
    <w:lvl w:ilvl="2" w:tplc="433A94B6">
      <w:start w:val="4"/>
      <w:numFmt w:val="decimal"/>
      <w:lvlText w:val="%1.%2.%3"/>
      <w:lvlJc w:val="left"/>
      <w:pPr>
        <w:ind w:left="1367" w:hanging="529"/>
        <w:jc w:val="left"/>
      </w:pPr>
      <w:rPr>
        <w:rFonts w:hint="default"/>
        <w:w w:val="100"/>
        <w:lang w:val="zh-CN" w:eastAsia="zh-CN" w:bidi="zh-CN"/>
      </w:rPr>
    </w:lvl>
    <w:lvl w:ilvl="3" w:tplc="8B18BA9C">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AD368870">
      <w:numFmt w:val="bullet"/>
      <w:lvlText w:val="•"/>
      <w:lvlJc w:val="left"/>
      <w:pPr>
        <w:ind w:left="4602" w:hanging="738"/>
      </w:pPr>
      <w:rPr>
        <w:rFonts w:hint="default"/>
        <w:lang w:val="zh-CN" w:eastAsia="zh-CN" w:bidi="zh-CN"/>
      </w:rPr>
    </w:lvl>
    <w:lvl w:ilvl="5" w:tplc="9434FBFA">
      <w:numFmt w:val="bullet"/>
      <w:lvlText w:val="•"/>
      <w:lvlJc w:val="left"/>
      <w:pPr>
        <w:ind w:left="5609" w:hanging="738"/>
      </w:pPr>
      <w:rPr>
        <w:rFonts w:hint="default"/>
        <w:lang w:val="zh-CN" w:eastAsia="zh-CN" w:bidi="zh-CN"/>
      </w:rPr>
    </w:lvl>
    <w:lvl w:ilvl="6" w:tplc="354E5AFE">
      <w:numFmt w:val="bullet"/>
      <w:lvlText w:val="•"/>
      <w:lvlJc w:val="left"/>
      <w:pPr>
        <w:ind w:left="6616" w:hanging="738"/>
      </w:pPr>
      <w:rPr>
        <w:rFonts w:hint="default"/>
        <w:lang w:val="zh-CN" w:eastAsia="zh-CN" w:bidi="zh-CN"/>
      </w:rPr>
    </w:lvl>
    <w:lvl w:ilvl="7" w:tplc="4C108F26">
      <w:numFmt w:val="bullet"/>
      <w:lvlText w:val="•"/>
      <w:lvlJc w:val="left"/>
      <w:pPr>
        <w:ind w:left="7624" w:hanging="738"/>
      </w:pPr>
      <w:rPr>
        <w:rFonts w:hint="default"/>
        <w:lang w:val="zh-CN" w:eastAsia="zh-CN" w:bidi="zh-CN"/>
      </w:rPr>
    </w:lvl>
    <w:lvl w:ilvl="8" w:tplc="0DD067AE">
      <w:numFmt w:val="bullet"/>
      <w:lvlText w:val="•"/>
      <w:lvlJc w:val="left"/>
      <w:pPr>
        <w:ind w:left="8631" w:hanging="738"/>
      </w:pPr>
      <w:rPr>
        <w:rFonts w:hint="default"/>
        <w:lang w:val="zh-CN" w:eastAsia="zh-CN" w:bidi="zh-CN"/>
      </w:rPr>
    </w:lvl>
  </w:abstractNum>
  <w:abstractNum w:abstractNumId="665" w15:restartNumberingAfterBreak="0">
    <w:nsid w:val="5918439A"/>
    <w:multiLevelType w:val="hybridMultilevel"/>
    <w:tmpl w:val="36F815A4"/>
    <w:lvl w:ilvl="0" w:tplc="883A913C">
      <w:start w:val="5"/>
      <w:numFmt w:val="decimal"/>
      <w:lvlText w:val="%1"/>
      <w:lvlJc w:val="left"/>
      <w:pPr>
        <w:ind w:left="1158" w:hanging="318"/>
        <w:jc w:val="left"/>
      </w:pPr>
      <w:rPr>
        <w:rFonts w:hint="default"/>
        <w:lang w:val="zh-CN" w:eastAsia="zh-CN" w:bidi="zh-CN"/>
      </w:rPr>
    </w:lvl>
    <w:lvl w:ilvl="1" w:tplc="3A1244B4">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2B5006D6">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A41AEBE6">
      <w:numFmt w:val="bullet"/>
      <w:lvlText w:val="•"/>
      <w:lvlJc w:val="left"/>
      <w:pPr>
        <w:ind w:left="3423" w:hanging="529"/>
      </w:pPr>
      <w:rPr>
        <w:rFonts w:hint="default"/>
        <w:lang w:val="zh-CN" w:eastAsia="zh-CN" w:bidi="zh-CN"/>
      </w:rPr>
    </w:lvl>
    <w:lvl w:ilvl="4" w:tplc="8A3A5D80">
      <w:numFmt w:val="bullet"/>
      <w:lvlText w:val="•"/>
      <w:lvlJc w:val="left"/>
      <w:pPr>
        <w:ind w:left="4455" w:hanging="529"/>
      </w:pPr>
      <w:rPr>
        <w:rFonts w:hint="default"/>
        <w:lang w:val="zh-CN" w:eastAsia="zh-CN" w:bidi="zh-CN"/>
      </w:rPr>
    </w:lvl>
    <w:lvl w:ilvl="5" w:tplc="574A10C4">
      <w:numFmt w:val="bullet"/>
      <w:lvlText w:val="•"/>
      <w:lvlJc w:val="left"/>
      <w:pPr>
        <w:ind w:left="5487" w:hanging="529"/>
      </w:pPr>
      <w:rPr>
        <w:rFonts w:hint="default"/>
        <w:lang w:val="zh-CN" w:eastAsia="zh-CN" w:bidi="zh-CN"/>
      </w:rPr>
    </w:lvl>
    <w:lvl w:ilvl="6" w:tplc="97E477B6">
      <w:numFmt w:val="bullet"/>
      <w:lvlText w:val="•"/>
      <w:lvlJc w:val="left"/>
      <w:pPr>
        <w:ind w:left="6519" w:hanging="529"/>
      </w:pPr>
      <w:rPr>
        <w:rFonts w:hint="default"/>
        <w:lang w:val="zh-CN" w:eastAsia="zh-CN" w:bidi="zh-CN"/>
      </w:rPr>
    </w:lvl>
    <w:lvl w:ilvl="7" w:tplc="09901E52">
      <w:numFmt w:val="bullet"/>
      <w:lvlText w:val="•"/>
      <w:lvlJc w:val="left"/>
      <w:pPr>
        <w:ind w:left="7550" w:hanging="529"/>
      </w:pPr>
      <w:rPr>
        <w:rFonts w:hint="default"/>
        <w:lang w:val="zh-CN" w:eastAsia="zh-CN" w:bidi="zh-CN"/>
      </w:rPr>
    </w:lvl>
    <w:lvl w:ilvl="8" w:tplc="98AA230E">
      <w:numFmt w:val="bullet"/>
      <w:lvlText w:val="•"/>
      <w:lvlJc w:val="left"/>
      <w:pPr>
        <w:ind w:left="8582" w:hanging="529"/>
      </w:pPr>
      <w:rPr>
        <w:rFonts w:hint="default"/>
        <w:lang w:val="zh-CN" w:eastAsia="zh-CN" w:bidi="zh-CN"/>
      </w:rPr>
    </w:lvl>
  </w:abstractNum>
  <w:abstractNum w:abstractNumId="666" w15:restartNumberingAfterBreak="0">
    <w:nsid w:val="5939337C"/>
    <w:multiLevelType w:val="hybridMultilevel"/>
    <w:tmpl w:val="A16C29CA"/>
    <w:lvl w:ilvl="0" w:tplc="B9068E1C">
      <w:start w:val="7"/>
      <w:numFmt w:val="decimal"/>
      <w:lvlText w:val="%1"/>
      <w:lvlJc w:val="left"/>
      <w:pPr>
        <w:ind w:left="1158" w:hanging="318"/>
        <w:jc w:val="left"/>
      </w:pPr>
      <w:rPr>
        <w:rFonts w:hint="default"/>
        <w:lang w:val="zh-CN" w:eastAsia="zh-CN" w:bidi="zh-CN"/>
      </w:rPr>
    </w:lvl>
    <w:lvl w:ilvl="1" w:tplc="3AD8CEE6">
      <w:start w:val="4"/>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D54452FA">
      <w:start w:val="1"/>
      <w:numFmt w:val="decimal"/>
      <w:lvlText w:val="%1.%2.%3"/>
      <w:lvlJc w:val="left"/>
      <w:pPr>
        <w:ind w:left="418" w:hanging="584"/>
        <w:jc w:val="left"/>
      </w:pPr>
      <w:rPr>
        <w:rFonts w:ascii="宋体" w:eastAsia="宋体" w:hAnsi="宋体" w:cs="宋体" w:hint="default"/>
        <w:b/>
        <w:bCs/>
        <w:w w:val="99"/>
        <w:sz w:val="21"/>
        <w:szCs w:val="21"/>
        <w:lang w:val="zh-CN" w:eastAsia="zh-CN" w:bidi="zh-CN"/>
      </w:rPr>
    </w:lvl>
    <w:lvl w:ilvl="3" w:tplc="9C200F2E">
      <w:numFmt w:val="bullet"/>
      <w:lvlText w:val="•"/>
      <w:lvlJc w:val="left"/>
      <w:pPr>
        <w:ind w:left="3268" w:hanging="584"/>
      </w:pPr>
      <w:rPr>
        <w:rFonts w:hint="default"/>
        <w:lang w:val="zh-CN" w:eastAsia="zh-CN" w:bidi="zh-CN"/>
      </w:rPr>
    </w:lvl>
    <w:lvl w:ilvl="4" w:tplc="C5E0C4B8">
      <w:numFmt w:val="bullet"/>
      <w:lvlText w:val="•"/>
      <w:lvlJc w:val="left"/>
      <w:pPr>
        <w:ind w:left="4322" w:hanging="584"/>
      </w:pPr>
      <w:rPr>
        <w:rFonts w:hint="default"/>
        <w:lang w:val="zh-CN" w:eastAsia="zh-CN" w:bidi="zh-CN"/>
      </w:rPr>
    </w:lvl>
    <w:lvl w:ilvl="5" w:tplc="7E3E8CC0">
      <w:numFmt w:val="bullet"/>
      <w:lvlText w:val="•"/>
      <w:lvlJc w:val="left"/>
      <w:pPr>
        <w:ind w:left="5376" w:hanging="584"/>
      </w:pPr>
      <w:rPr>
        <w:rFonts w:hint="default"/>
        <w:lang w:val="zh-CN" w:eastAsia="zh-CN" w:bidi="zh-CN"/>
      </w:rPr>
    </w:lvl>
    <w:lvl w:ilvl="6" w:tplc="163662D0">
      <w:numFmt w:val="bullet"/>
      <w:lvlText w:val="•"/>
      <w:lvlJc w:val="left"/>
      <w:pPr>
        <w:ind w:left="6430" w:hanging="584"/>
      </w:pPr>
      <w:rPr>
        <w:rFonts w:hint="default"/>
        <w:lang w:val="zh-CN" w:eastAsia="zh-CN" w:bidi="zh-CN"/>
      </w:rPr>
    </w:lvl>
    <w:lvl w:ilvl="7" w:tplc="4472172E">
      <w:numFmt w:val="bullet"/>
      <w:lvlText w:val="•"/>
      <w:lvlJc w:val="left"/>
      <w:pPr>
        <w:ind w:left="7484" w:hanging="584"/>
      </w:pPr>
      <w:rPr>
        <w:rFonts w:hint="default"/>
        <w:lang w:val="zh-CN" w:eastAsia="zh-CN" w:bidi="zh-CN"/>
      </w:rPr>
    </w:lvl>
    <w:lvl w:ilvl="8" w:tplc="85C699BE">
      <w:numFmt w:val="bullet"/>
      <w:lvlText w:val="•"/>
      <w:lvlJc w:val="left"/>
      <w:pPr>
        <w:ind w:left="8538" w:hanging="584"/>
      </w:pPr>
      <w:rPr>
        <w:rFonts w:hint="default"/>
        <w:lang w:val="zh-CN" w:eastAsia="zh-CN" w:bidi="zh-CN"/>
      </w:rPr>
    </w:lvl>
  </w:abstractNum>
  <w:abstractNum w:abstractNumId="667" w15:restartNumberingAfterBreak="0">
    <w:nsid w:val="594B616C"/>
    <w:multiLevelType w:val="hybridMultilevel"/>
    <w:tmpl w:val="744E6BB0"/>
    <w:lvl w:ilvl="0" w:tplc="D602BCDA">
      <w:start w:val="4"/>
      <w:numFmt w:val="decimal"/>
      <w:lvlText w:val="%1"/>
      <w:lvlJc w:val="left"/>
      <w:pPr>
        <w:ind w:left="1158" w:hanging="318"/>
        <w:jc w:val="left"/>
      </w:pPr>
      <w:rPr>
        <w:rFonts w:hint="default"/>
        <w:lang w:val="zh-CN" w:eastAsia="zh-CN" w:bidi="zh-CN"/>
      </w:rPr>
    </w:lvl>
    <w:lvl w:ilvl="1" w:tplc="8EA4C900">
      <w:start w:val="6"/>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A20C183C">
      <w:numFmt w:val="bullet"/>
      <w:lvlText w:val="•"/>
      <w:lvlJc w:val="left"/>
      <w:pPr>
        <w:ind w:left="3057" w:hanging="318"/>
      </w:pPr>
      <w:rPr>
        <w:rFonts w:hint="default"/>
        <w:lang w:val="zh-CN" w:eastAsia="zh-CN" w:bidi="zh-CN"/>
      </w:rPr>
    </w:lvl>
    <w:lvl w:ilvl="3" w:tplc="183C0A9C">
      <w:numFmt w:val="bullet"/>
      <w:lvlText w:val="•"/>
      <w:lvlJc w:val="left"/>
      <w:pPr>
        <w:ind w:left="4005" w:hanging="318"/>
      </w:pPr>
      <w:rPr>
        <w:rFonts w:hint="default"/>
        <w:lang w:val="zh-CN" w:eastAsia="zh-CN" w:bidi="zh-CN"/>
      </w:rPr>
    </w:lvl>
    <w:lvl w:ilvl="4" w:tplc="57585A40">
      <w:numFmt w:val="bullet"/>
      <w:lvlText w:val="•"/>
      <w:lvlJc w:val="left"/>
      <w:pPr>
        <w:ind w:left="4954" w:hanging="318"/>
      </w:pPr>
      <w:rPr>
        <w:rFonts w:hint="default"/>
        <w:lang w:val="zh-CN" w:eastAsia="zh-CN" w:bidi="zh-CN"/>
      </w:rPr>
    </w:lvl>
    <w:lvl w:ilvl="5" w:tplc="CEE6F3CC">
      <w:numFmt w:val="bullet"/>
      <w:lvlText w:val="•"/>
      <w:lvlJc w:val="left"/>
      <w:pPr>
        <w:ind w:left="5903" w:hanging="318"/>
      </w:pPr>
      <w:rPr>
        <w:rFonts w:hint="default"/>
        <w:lang w:val="zh-CN" w:eastAsia="zh-CN" w:bidi="zh-CN"/>
      </w:rPr>
    </w:lvl>
    <w:lvl w:ilvl="6" w:tplc="5C603056">
      <w:numFmt w:val="bullet"/>
      <w:lvlText w:val="•"/>
      <w:lvlJc w:val="left"/>
      <w:pPr>
        <w:ind w:left="6851" w:hanging="318"/>
      </w:pPr>
      <w:rPr>
        <w:rFonts w:hint="default"/>
        <w:lang w:val="zh-CN" w:eastAsia="zh-CN" w:bidi="zh-CN"/>
      </w:rPr>
    </w:lvl>
    <w:lvl w:ilvl="7" w:tplc="C17E9A92">
      <w:numFmt w:val="bullet"/>
      <w:lvlText w:val="•"/>
      <w:lvlJc w:val="left"/>
      <w:pPr>
        <w:ind w:left="7800" w:hanging="318"/>
      </w:pPr>
      <w:rPr>
        <w:rFonts w:hint="default"/>
        <w:lang w:val="zh-CN" w:eastAsia="zh-CN" w:bidi="zh-CN"/>
      </w:rPr>
    </w:lvl>
    <w:lvl w:ilvl="8" w:tplc="7A0C9136">
      <w:numFmt w:val="bullet"/>
      <w:lvlText w:val="•"/>
      <w:lvlJc w:val="left"/>
      <w:pPr>
        <w:ind w:left="8749" w:hanging="318"/>
      </w:pPr>
      <w:rPr>
        <w:rFonts w:hint="default"/>
        <w:lang w:val="zh-CN" w:eastAsia="zh-CN" w:bidi="zh-CN"/>
      </w:rPr>
    </w:lvl>
  </w:abstractNum>
  <w:abstractNum w:abstractNumId="668" w15:restartNumberingAfterBreak="0">
    <w:nsid w:val="59956F01"/>
    <w:multiLevelType w:val="hybridMultilevel"/>
    <w:tmpl w:val="A2285EF0"/>
    <w:lvl w:ilvl="0" w:tplc="9E02563C">
      <w:start w:val="8"/>
      <w:numFmt w:val="decimal"/>
      <w:lvlText w:val="%1"/>
      <w:lvlJc w:val="left"/>
      <w:pPr>
        <w:ind w:left="1158" w:hanging="318"/>
        <w:jc w:val="left"/>
      </w:pPr>
      <w:rPr>
        <w:rFonts w:hint="default"/>
        <w:lang w:val="zh-CN" w:eastAsia="zh-CN" w:bidi="zh-CN"/>
      </w:rPr>
    </w:lvl>
    <w:lvl w:ilvl="1" w:tplc="8D52FE82">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51B621A2">
      <w:start w:val="1"/>
      <w:numFmt w:val="decimal"/>
      <w:lvlText w:val="%1.%2.%3"/>
      <w:lvlJc w:val="left"/>
      <w:pPr>
        <w:ind w:left="418" w:hanging="598"/>
        <w:jc w:val="left"/>
      </w:pPr>
      <w:rPr>
        <w:rFonts w:ascii="宋体" w:eastAsia="宋体" w:hAnsi="宋体" w:cs="宋体" w:hint="default"/>
        <w:b/>
        <w:bCs/>
        <w:w w:val="99"/>
        <w:sz w:val="21"/>
        <w:szCs w:val="21"/>
        <w:lang w:val="zh-CN" w:eastAsia="zh-CN" w:bidi="zh-CN"/>
      </w:rPr>
    </w:lvl>
    <w:lvl w:ilvl="3" w:tplc="9AE60FA0">
      <w:numFmt w:val="bullet"/>
      <w:lvlText w:val="•"/>
      <w:lvlJc w:val="left"/>
      <w:pPr>
        <w:ind w:left="3268" w:hanging="598"/>
      </w:pPr>
      <w:rPr>
        <w:rFonts w:hint="default"/>
        <w:lang w:val="zh-CN" w:eastAsia="zh-CN" w:bidi="zh-CN"/>
      </w:rPr>
    </w:lvl>
    <w:lvl w:ilvl="4" w:tplc="B2527B16">
      <w:numFmt w:val="bullet"/>
      <w:lvlText w:val="•"/>
      <w:lvlJc w:val="left"/>
      <w:pPr>
        <w:ind w:left="4322" w:hanging="598"/>
      </w:pPr>
      <w:rPr>
        <w:rFonts w:hint="default"/>
        <w:lang w:val="zh-CN" w:eastAsia="zh-CN" w:bidi="zh-CN"/>
      </w:rPr>
    </w:lvl>
    <w:lvl w:ilvl="5" w:tplc="5A642A96">
      <w:numFmt w:val="bullet"/>
      <w:lvlText w:val="•"/>
      <w:lvlJc w:val="left"/>
      <w:pPr>
        <w:ind w:left="5376" w:hanging="598"/>
      </w:pPr>
      <w:rPr>
        <w:rFonts w:hint="default"/>
        <w:lang w:val="zh-CN" w:eastAsia="zh-CN" w:bidi="zh-CN"/>
      </w:rPr>
    </w:lvl>
    <w:lvl w:ilvl="6" w:tplc="1CAA0092">
      <w:numFmt w:val="bullet"/>
      <w:lvlText w:val="•"/>
      <w:lvlJc w:val="left"/>
      <w:pPr>
        <w:ind w:left="6430" w:hanging="598"/>
      </w:pPr>
      <w:rPr>
        <w:rFonts w:hint="default"/>
        <w:lang w:val="zh-CN" w:eastAsia="zh-CN" w:bidi="zh-CN"/>
      </w:rPr>
    </w:lvl>
    <w:lvl w:ilvl="7" w:tplc="24BCB7FC">
      <w:numFmt w:val="bullet"/>
      <w:lvlText w:val="•"/>
      <w:lvlJc w:val="left"/>
      <w:pPr>
        <w:ind w:left="7484" w:hanging="598"/>
      </w:pPr>
      <w:rPr>
        <w:rFonts w:hint="default"/>
        <w:lang w:val="zh-CN" w:eastAsia="zh-CN" w:bidi="zh-CN"/>
      </w:rPr>
    </w:lvl>
    <w:lvl w:ilvl="8" w:tplc="EA10EE3A">
      <w:numFmt w:val="bullet"/>
      <w:lvlText w:val="•"/>
      <w:lvlJc w:val="left"/>
      <w:pPr>
        <w:ind w:left="8538" w:hanging="598"/>
      </w:pPr>
      <w:rPr>
        <w:rFonts w:hint="default"/>
        <w:lang w:val="zh-CN" w:eastAsia="zh-CN" w:bidi="zh-CN"/>
      </w:rPr>
    </w:lvl>
  </w:abstractNum>
  <w:abstractNum w:abstractNumId="669" w15:restartNumberingAfterBreak="0">
    <w:nsid w:val="59B4290C"/>
    <w:multiLevelType w:val="hybridMultilevel"/>
    <w:tmpl w:val="BEFEAC10"/>
    <w:lvl w:ilvl="0" w:tplc="77963F98">
      <w:start w:val="1"/>
      <w:numFmt w:val="lowerLetter"/>
      <w:lvlText w:val="%1)"/>
      <w:lvlJc w:val="left"/>
      <w:pPr>
        <w:ind w:left="418" w:hanging="213"/>
        <w:jc w:val="left"/>
      </w:pPr>
      <w:rPr>
        <w:rFonts w:ascii="宋体" w:eastAsia="宋体" w:hAnsi="宋体" w:cs="宋体" w:hint="default"/>
        <w:spacing w:val="-53"/>
        <w:w w:val="100"/>
        <w:sz w:val="19"/>
        <w:szCs w:val="19"/>
        <w:lang w:val="zh-CN" w:eastAsia="zh-CN" w:bidi="zh-CN"/>
      </w:rPr>
    </w:lvl>
    <w:lvl w:ilvl="1" w:tplc="28047BDE">
      <w:numFmt w:val="bullet"/>
      <w:lvlText w:val="•"/>
      <w:lvlJc w:val="left"/>
      <w:pPr>
        <w:ind w:left="1442" w:hanging="213"/>
      </w:pPr>
      <w:rPr>
        <w:rFonts w:hint="default"/>
        <w:lang w:val="zh-CN" w:eastAsia="zh-CN" w:bidi="zh-CN"/>
      </w:rPr>
    </w:lvl>
    <w:lvl w:ilvl="2" w:tplc="69F42E46">
      <w:numFmt w:val="bullet"/>
      <w:lvlText w:val="•"/>
      <w:lvlJc w:val="left"/>
      <w:pPr>
        <w:ind w:left="2465" w:hanging="213"/>
      </w:pPr>
      <w:rPr>
        <w:rFonts w:hint="default"/>
        <w:lang w:val="zh-CN" w:eastAsia="zh-CN" w:bidi="zh-CN"/>
      </w:rPr>
    </w:lvl>
    <w:lvl w:ilvl="3" w:tplc="C0BA1E92">
      <w:numFmt w:val="bullet"/>
      <w:lvlText w:val="•"/>
      <w:lvlJc w:val="left"/>
      <w:pPr>
        <w:ind w:left="3487" w:hanging="213"/>
      </w:pPr>
      <w:rPr>
        <w:rFonts w:hint="default"/>
        <w:lang w:val="zh-CN" w:eastAsia="zh-CN" w:bidi="zh-CN"/>
      </w:rPr>
    </w:lvl>
    <w:lvl w:ilvl="4" w:tplc="07D271CC">
      <w:numFmt w:val="bullet"/>
      <w:lvlText w:val="•"/>
      <w:lvlJc w:val="left"/>
      <w:pPr>
        <w:ind w:left="4510" w:hanging="213"/>
      </w:pPr>
      <w:rPr>
        <w:rFonts w:hint="default"/>
        <w:lang w:val="zh-CN" w:eastAsia="zh-CN" w:bidi="zh-CN"/>
      </w:rPr>
    </w:lvl>
    <w:lvl w:ilvl="5" w:tplc="07B860A2">
      <w:numFmt w:val="bullet"/>
      <w:lvlText w:val="•"/>
      <w:lvlJc w:val="left"/>
      <w:pPr>
        <w:ind w:left="5533" w:hanging="213"/>
      </w:pPr>
      <w:rPr>
        <w:rFonts w:hint="default"/>
        <w:lang w:val="zh-CN" w:eastAsia="zh-CN" w:bidi="zh-CN"/>
      </w:rPr>
    </w:lvl>
    <w:lvl w:ilvl="6" w:tplc="BE322FF0">
      <w:numFmt w:val="bullet"/>
      <w:lvlText w:val="•"/>
      <w:lvlJc w:val="left"/>
      <w:pPr>
        <w:ind w:left="6555" w:hanging="213"/>
      </w:pPr>
      <w:rPr>
        <w:rFonts w:hint="default"/>
        <w:lang w:val="zh-CN" w:eastAsia="zh-CN" w:bidi="zh-CN"/>
      </w:rPr>
    </w:lvl>
    <w:lvl w:ilvl="7" w:tplc="79FA01B6">
      <w:numFmt w:val="bullet"/>
      <w:lvlText w:val="•"/>
      <w:lvlJc w:val="left"/>
      <w:pPr>
        <w:ind w:left="7578" w:hanging="213"/>
      </w:pPr>
      <w:rPr>
        <w:rFonts w:hint="default"/>
        <w:lang w:val="zh-CN" w:eastAsia="zh-CN" w:bidi="zh-CN"/>
      </w:rPr>
    </w:lvl>
    <w:lvl w:ilvl="8" w:tplc="0F9403DA">
      <w:numFmt w:val="bullet"/>
      <w:lvlText w:val="•"/>
      <w:lvlJc w:val="left"/>
      <w:pPr>
        <w:ind w:left="8601" w:hanging="213"/>
      </w:pPr>
      <w:rPr>
        <w:rFonts w:hint="default"/>
        <w:lang w:val="zh-CN" w:eastAsia="zh-CN" w:bidi="zh-CN"/>
      </w:rPr>
    </w:lvl>
  </w:abstractNum>
  <w:abstractNum w:abstractNumId="670" w15:restartNumberingAfterBreak="0">
    <w:nsid w:val="59E02AF1"/>
    <w:multiLevelType w:val="hybridMultilevel"/>
    <w:tmpl w:val="51EC628E"/>
    <w:lvl w:ilvl="0" w:tplc="6868B44C">
      <w:start w:val="1"/>
      <w:numFmt w:val="decimal"/>
      <w:lvlText w:val="（%1）"/>
      <w:lvlJc w:val="left"/>
      <w:pPr>
        <w:ind w:left="418" w:hanging="529"/>
        <w:jc w:val="left"/>
      </w:pPr>
      <w:rPr>
        <w:rFonts w:ascii="宋体" w:eastAsia="宋体" w:hAnsi="宋体" w:cs="宋体" w:hint="default"/>
        <w:spacing w:val="-48"/>
        <w:w w:val="100"/>
        <w:sz w:val="19"/>
        <w:szCs w:val="19"/>
        <w:lang w:val="zh-CN" w:eastAsia="zh-CN" w:bidi="zh-CN"/>
      </w:rPr>
    </w:lvl>
    <w:lvl w:ilvl="1" w:tplc="691CE6D0">
      <w:numFmt w:val="bullet"/>
      <w:lvlText w:val="•"/>
      <w:lvlJc w:val="left"/>
      <w:pPr>
        <w:ind w:left="1442" w:hanging="529"/>
      </w:pPr>
      <w:rPr>
        <w:rFonts w:hint="default"/>
        <w:lang w:val="zh-CN" w:eastAsia="zh-CN" w:bidi="zh-CN"/>
      </w:rPr>
    </w:lvl>
    <w:lvl w:ilvl="2" w:tplc="69B6F65E">
      <w:numFmt w:val="bullet"/>
      <w:lvlText w:val="•"/>
      <w:lvlJc w:val="left"/>
      <w:pPr>
        <w:ind w:left="2465" w:hanging="529"/>
      </w:pPr>
      <w:rPr>
        <w:rFonts w:hint="default"/>
        <w:lang w:val="zh-CN" w:eastAsia="zh-CN" w:bidi="zh-CN"/>
      </w:rPr>
    </w:lvl>
    <w:lvl w:ilvl="3" w:tplc="0638E8BC">
      <w:numFmt w:val="bullet"/>
      <w:lvlText w:val="•"/>
      <w:lvlJc w:val="left"/>
      <w:pPr>
        <w:ind w:left="3487" w:hanging="529"/>
      </w:pPr>
      <w:rPr>
        <w:rFonts w:hint="default"/>
        <w:lang w:val="zh-CN" w:eastAsia="zh-CN" w:bidi="zh-CN"/>
      </w:rPr>
    </w:lvl>
    <w:lvl w:ilvl="4" w:tplc="24C60EAE">
      <w:numFmt w:val="bullet"/>
      <w:lvlText w:val="•"/>
      <w:lvlJc w:val="left"/>
      <w:pPr>
        <w:ind w:left="4510" w:hanging="529"/>
      </w:pPr>
      <w:rPr>
        <w:rFonts w:hint="default"/>
        <w:lang w:val="zh-CN" w:eastAsia="zh-CN" w:bidi="zh-CN"/>
      </w:rPr>
    </w:lvl>
    <w:lvl w:ilvl="5" w:tplc="9B5EE7B4">
      <w:numFmt w:val="bullet"/>
      <w:lvlText w:val="•"/>
      <w:lvlJc w:val="left"/>
      <w:pPr>
        <w:ind w:left="5533" w:hanging="529"/>
      </w:pPr>
      <w:rPr>
        <w:rFonts w:hint="default"/>
        <w:lang w:val="zh-CN" w:eastAsia="zh-CN" w:bidi="zh-CN"/>
      </w:rPr>
    </w:lvl>
    <w:lvl w:ilvl="6" w:tplc="6A6C4548">
      <w:numFmt w:val="bullet"/>
      <w:lvlText w:val="•"/>
      <w:lvlJc w:val="left"/>
      <w:pPr>
        <w:ind w:left="6555" w:hanging="529"/>
      </w:pPr>
      <w:rPr>
        <w:rFonts w:hint="default"/>
        <w:lang w:val="zh-CN" w:eastAsia="zh-CN" w:bidi="zh-CN"/>
      </w:rPr>
    </w:lvl>
    <w:lvl w:ilvl="7" w:tplc="3516D372">
      <w:numFmt w:val="bullet"/>
      <w:lvlText w:val="•"/>
      <w:lvlJc w:val="left"/>
      <w:pPr>
        <w:ind w:left="7578" w:hanging="529"/>
      </w:pPr>
      <w:rPr>
        <w:rFonts w:hint="default"/>
        <w:lang w:val="zh-CN" w:eastAsia="zh-CN" w:bidi="zh-CN"/>
      </w:rPr>
    </w:lvl>
    <w:lvl w:ilvl="8" w:tplc="3BD006CE">
      <w:numFmt w:val="bullet"/>
      <w:lvlText w:val="•"/>
      <w:lvlJc w:val="left"/>
      <w:pPr>
        <w:ind w:left="8601" w:hanging="529"/>
      </w:pPr>
      <w:rPr>
        <w:rFonts w:hint="default"/>
        <w:lang w:val="zh-CN" w:eastAsia="zh-CN" w:bidi="zh-CN"/>
      </w:rPr>
    </w:lvl>
  </w:abstractNum>
  <w:abstractNum w:abstractNumId="671" w15:restartNumberingAfterBreak="0">
    <w:nsid w:val="5A327348"/>
    <w:multiLevelType w:val="hybridMultilevel"/>
    <w:tmpl w:val="A9222786"/>
    <w:lvl w:ilvl="0" w:tplc="BA4C754A">
      <w:start w:val="5"/>
      <w:numFmt w:val="decimal"/>
      <w:lvlText w:val="%1"/>
      <w:lvlJc w:val="left"/>
      <w:pPr>
        <w:ind w:left="1370" w:hanging="531"/>
        <w:jc w:val="left"/>
      </w:pPr>
      <w:rPr>
        <w:rFonts w:hint="default"/>
        <w:lang w:val="zh-CN" w:eastAsia="zh-CN" w:bidi="zh-CN"/>
      </w:rPr>
    </w:lvl>
    <w:lvl w:ilvl="1" w:tplc="FC4A6A88">
      <w:start w:val="7"/>
      <w:numFmt w:val="decimal"/>
      <w:lvlText w:val="%1.%2"/>
      <w:lvlJc w:val="left"/>
      <w:pPr>
        <w:ind w:left="1370" w:hanging="531"/>
        <w:jc w:val="left"/>
      </w:pPr>
      <w:rPr>
        <w:rFonts w:hint="default"/>
        <w:lang w:val="zh-CN" w:eastAsia="zh-CN" w:bidi="zh-CN"/>
      </w:rPr>
    </w:lvl>
    <w:lvl w:ilvl="2" w:tplc="523C27A8">
      <w:start w:val="4"/>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9F1EE438">
      <w:numFmt w:val="bullet"/>
      <w:lvlText w:val="•"/>
      <w:lvlJc w:val="left"/>
      <w:pPr>
        <w:ind w:left="4159" w:hanging="531"/>
      </w:pPr>
      <w:rPr>
        <w:rFonts w:hint="default"/>
        <w:lang w:val="zh-CN" w:eastAsia="zh-CN" w:bidi="zh-CN"/>
      </w:rPr>
    </w:lvl>
    <w:lvl w:ilvl="4" w:tplc="EA4C1F3E">
      <w:numFmt w:val="bullet"/>
      <w:lvlText w:val="•"/>
      <w:lvlJc w:val="left"/>
      <w:pPr>
        <w:ind w:left="5086" w:hanging="531"/>
      </w:pPr>
      <w:rPr>
        <w:rFonts w:hint="default"/>
        <w:lang w:val="zh-CN" w:eastAsia="zh-CN" w:bidi="zh-CN"/>
      </w:rPr>
    </w:lvl>
    <w:lvl w:ilvl="5" w:tplc="0C8C95D2">
      <w:numFmt w:val="bullet"/>
      <w:lvlText w:val="•"/>
      <w:lvlJc w:val="left"/>
      <w:pPr>
        <w:ind w:left="6013" w:hanging="531"/>
      </w:pPr>
      <w:rPr>
        <w:rFonts w:hint="default"/>
        <w:lang w:val="zh-CN" w:eastAsia="zh-CN" w:bidi="zh-CN"/>
      </w:rPr>
    </w:lvl>
    <w:lvl w:ilvl="6" w:tplc="40685236">
      <w:numFmt w:val="bullet"/>
      <w:lvlText w:val="•"/>
      <w:lvlJc w:val="left"/>
      <w:pPr>
        <w:ind w:left="6939" w:hanging="531"/>
      </w:pPr>
      <w:rPr>
        <w:rFonts w:hint="default"/>
        <w:lang w:val="zh-CN" w:eastAsia="zh-CN" w:bidi="zh-CN"/>
      </w:rPr>
    </w:lvl>
    <w:lvl w:ilvl="7" w:tplc="66EC0548">
      <w:numFmt w:val="bullet"/>
      <w:lvlText w:val="•"/>
      <w:lvlJc w:val="left"/>
      <w:pPr>
        <w:ind w:left="7866" w:hanging="531"/>
      </w:pPr>
      <w:rPr>
        <w:rFonts w:hint="default"/>
        <w:lang w:val="zh-CN" w:eastAsia="zh-CN" w:bidi="zh-CN"/>
      </w:rPr>
    </w:lvl>
    <w:lvl w:ilvl="8" w:tplc="E34C8E56">
      <w:numFmt w:val="bullet"/>
      <w:lvlText w:val="•"/>
      <w:lvlJc w:val="left"/>
      <w:pPr>
        <w:ind w:left="8793" w:hanging="531"/>
      </w:pPr>
      <w:rPr>
        <w:rFonts w:hint="default"/>
        <w:lang w:val="zh-CN" w:eastAsia="zh-CN" w:bidi="zh-CN"/>
      </w:rPr>
    </w:lvl>
  </w:abstractNum>
  <w:abstractNum w:abstractNumId="672" w15:restartNumberingAfterBreak="0">
    <w:nsid w:val="5A495AA8"/>
    <w:multiLevelType w:val="hybridMultilevel"/>
    <w:tmpl w:val="5D38C272"/>
    <w:lvl w:ilvl="0" w:tplc="30489EE6">
      <w:start w:val="7"/>
      <w:numFmt w:val="decimal"/>
      <w:lvlText w:val="%1"/>
      <w:lvlJc w:val="left"/>
      <w:pPr>
        <w:ind w:left="1158" w:hanging="318"/>
        <w:jc w:val="left"/>
      </w:pPr>
      <w:rPr>
        <w:rFonts w:hint="default"/>
        <w:lang w:val="zh-CN" w:eastAsia="zh-CN" w:bidi="zh-CN"/>
      </w:rPr>
    </w:lvl>
    <w:lvl w:ilvl="1" w:tplc="7286DDF2">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4D263FBC">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81643FEC">
      <w:numFmt w:val="bullet"/>
      <w:lvlText w:val="•"/>
      <w:lvlJc w:val="left"/>
      <w:pPr>
        <w:ind w:left="1380" w:hanging="529"/>
      </w:pPr>
      <w:rPr>
        <w:rFonts w:hint="default"/>
        <w:lang w:val="zh-CN" w:eastAsia="zh-CN" w:bidi="zh-CN"/>
      </w:rPr>
    </w:lvl>
    <w:lvl w:ilvl="4" w:tplc="AEC09992">
      <w:numFmt w:val="bullet"/>
      <w:lvlText w:val="•"/>
      <w:lvlJc w:val="left"/>
      <w:pPr>
        <w:ind w:left="2703" w:hanging="529"/>
      </w:pPr>
      <w:rPr>
        <w:rFonts w:hint="default"/>
        <w:lang w:val="zh-CN" w:eastAsia="zh-CN" w:bidi="zh-CN"/>
      </w:rPr>
    </w:lvl>
    <w:lvl w:ilvl="5" w:tplc="08ACF544">
      <w:numFmt w:val="bullet"/>
      <w:lvlText w:val="•"/>
      <w:lvlJc w:val="left"/>
      <w:pPr>
        <w:ind w:left="4027" w:hanging="529"/>
      </w:pPr>
      <w:rPr>
        <w:rFonts w:hint="default"/>
        <w:lang w:val="zh-CN" w:eastAsia="zh-CN" w:bidi="zh-CN"/>
      </w:rPr>
    </w:lvl>
    <w:lvl w:ilvl="6" w:tplc="C1DEFE4C">
      <w:numFmt w:val="bullet"/>
      <w:lvlText w:val="•"/>
      <w:lvlJc w:val="left"/>
      <w:pPr>
        <w:ind w:left="5351" w:hanging="529"/>
      </w:pPr>
      <w:rPr>
        <w:rFonts w:hint="default"/>
        <w:lang w:val="zh-CN" w:eastAsia="zh-CN" w:bidi="zh-CN"/>
      </w:rPr>
    </w:lvl>
    <w:lvl w:ilvl="7" w:tplc="4BA46A22">
      <w:numFmt w:val="bullet"/>
      <w:lvlText w:val="•"/>
      <w:lvlJc w:val="left"/>
      <w:pPr>
        <w:ind w:left="6675" w:hanging="529"/>
      </w:pPr>
      <w:rPr>
        <w:rFonts w:hint="default"/>
        <w:lang w:val="zh-CN" w:eastAsia="zh-CN" w:bidi="zh-CN"/>
      </w:rPr>
    </w:lvl>
    <w:lvl w:ilvl="8" w:tplc="17187352">
      <w:numFmt w:val="bullet"/>
      <w:lvlText w:val="•"/>
      <w:lvlJc w:val="left"/>
      <w:pPr>
        <w:ind w:left="7998" w:hanging="529"/>
      </w:pPr>
      <w:rPr>
        <w:rFonts w:hint="default"/>
        <w:lang w:val="zh-CN" w:eastAsia="zh-CN" w:bidi="zh-CN"/>
      </w:rPr>
    </w:lvl>
  </w:abstractNum>
  <w:abstractNum w:abstractNumId="673" w15:restartNumberingAfterBreak="0">
    <w:nsid w:val="5A830D09"/>
    <w:multiLevelType w:val="hybridMultilevel"/>
    <w:tmpl w:val="7F7E8C84"/>
    <w:lvl w:ilvl="0" w:tplc="30D85202">
      <w:start w:val="5"/>
      <w:numFmt w:val="decimal"/>
      <w:lvlText w:val="%1"/>
      <w:lvlJc w:val="left"/>
      <w:pPr>
        <w:ind w:left="418" w:hanging="531"/>
        <w:jc w:val="left"/>
      </w:pPr>
      <w:rPr>
        <w:rFonts w:hint="default"/>
        <w:lang w:val="zh-CN" w:eastAsia="zh-CN" w:bidi="zh-CN"/>
      </w:rPr>
    </w:lvl>
    <w:lvl w:ilvl="1" w:tplc="6C94CC96">
      <w:start w:val="3"/>
      <w:numFmt w:val="decimal"/>
      <w:lvlText w:val="%1.%2"/>
      <w:lvlJc w:val="left"/>
      <w:pPr>
        <w:ind w:left="418" w:hanging="531"/>
        <w:jc w:val="left"/>
      </w:pPr>
      <w:rPr>
        <w:rFonts w:hint="default"/>
        <w:lang w:val="zh-CN" w:eastAsia="zh-CN" w:bidi="zh-CN"/>
      </w:rPr>
    </w:lvl>
    <w:lvl w:ilvl="2" w:tplc="427E541C">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4C5CD238">
      <w:numFmt w:val="bullet"/>
      <w:lvlText w:val="•"/>
      <w:lvlJc w:val="left"/>
      <w:pPr>
        <w:ind w:left="3487" w:hanging="531"/>
      </w:pPr>
      <w:rPr>
        <w:rFonts w:hint="default"/>
        <w:lang w:val="zh-CN" w:eastAsia="zh-CN" w:bidi="zh-CN"/>
      </w:rPr>
    </w:lvl>
    <w:lvl w:ilvl="4" w:tplc="43A6A916">
      <w:numFmt w:val="bullet"/>
      <w:lvlText w:val="•"/>
      <w:lvlJc w:val="left"/>
      <w:pPr>
        <w:ind w:left="4510" w:hanging="531"/>
      </w:pPr>
      <w:rPr>
        <w:rFonts w:hint="default"/>
        <w:lang w:val="zh-CN" w:eastAsia="zh-CN" w:bidi="zh-CN"/>
      </w:rPr>
    </w:lvl>
    <w:lvl w:ilvl="5" w:tplc="2D64D0B8">
      <w:numFmt w:val="bullet"/>
      <w:lvlText w:val="•"/>
      <w:lvlJc w:val="left"/>
      <w:pPr>
        <w:ind w:left="5533" w:hanging="531"/>
      </w:pPr>
      <w:rPr>
        <w:rFonts w:hint="default"/>
        <w:lang w:val="zh-CN" w:eastAsia="zh-CN" w:bidi="zh-CN"/>
      </w:rPr>
    </w:lvl>
    <w:lvl w:ilvl="6" w:tplc="9FC6D832">
      <w:numFmt w:val="bullet"/>
      <w:lvlText w:val="•"/>
      <w:lvlJc w:val="left"/>
      <w:pPr>
        <w:ind w:left="6555" w:hanging="531"/>
      </w:pPr>
      <w:rPr>
        <w:rFonts w:hint="default"/>
        <w:lang w:val="zh-CN" w:eastAsia="zh-CN" w:bidi="zh-CN"/>
      </w:rPr>
    </w:lvl>
    <w:lvl w:ilvl="7" w:tplc="AFB2DE50">
      <w:numFmt w:val="bullet"/>
      <w:lvlText w:val="•"/>
      <w:lvlJc w:val="left"/>
      <w:pPr>
        <w:ind w:left="7578" w:hanging="531"/>
      </w:pPr>
      <w:rPr>
        <w:rFonts w:hint="default"/>
        <w:lang w:val="zh-CN" w:eastAsia="zh-CN" w:bidi="zh-CN"/>
      </w:rPr>
    </w:lvl>
    <w:lvl w:ilvl="8" w:tplc="5CDE03F6">
      <w:numFmt w:val="bullet"/>
      <w:lvlText w:val="•"/>
      <w:lvlJc w:val="left"/>
      <w:pPr>
        <w:ind w:left="8601" w:hanging="531"/>
      </w:pPr>
      <w:rPr>
        <w:rFonts w:hint="default"/>
        <w:lang w:val="zh-CN" w:eastAsia="zh-CN" w:bidi="zh-CN"/>
      </w:rPr>
    </w:lvl>
  </w:abstractNum>
  <w:abstractNum w:abstractNumId="674" w15:restartNumberingAfterBreak="0">
    <w:nsid w:val="5AA824DE"/>
    <w:multiLevelType w:val="hybridMultilevel"/>
    <w:tmpl w:val="2B32674A"/>
    <w:lvl w:ilvl="0" w:tplc="E6028BAE">
      <w:start w:val="6"/>
      <w:numFmt w:val="decimal"/>
      <w:lvlText w:val="%1"/>
      <w:lvlJc w:val="left"/>
      <w:pPr>
        <w:ind w:left="1681" w:hanging="844"/>
        <w:jc w:val="left"/>
      </w:pPr>
      <w:rPr>
        <w:rFonts w:hint="default"/>
        <w:lang w:val="zh-CN" w:eastAsia="zh-CN" w:bidi="zh-CN"/>
      </w:rPr>
    </w:lvl>
    <w:lvl w:ilvl="1" w:tplc="32A07C62">
      <w:start w:val="16"/>
      <w:numFmt w:val="decimal"/>
      <w:lvlText w:val="%1.%2"/>
      <w:lvlJc w:val="left"/>
      <w:pPr>
        <w:ind w:left="1681" w:hanging="844"/>
        <w:jc w:val="left"/>
      </w:pPr>
      <w:rPr>
        <w:rFonts w:hint="default"/>
        <w:lang w:val="zh-CN" w:eastAsia="zh-CN" w:bidi="zh-CN"/>
      </w:rPr>
    </w:lvl>
    <w:lvl w:ilvl="2" w:tplc="18140626">
      <w:start w:val="6"/>
      <w:numFmt w:val="decimal"/>
      <w:lvlText w:val="%1.%2.%3"/>
      <w:lvlJc w:val="left"/>
      <w:pPr>
        <w:ind w:left="1681" w:hanging="844"/>
        <w:jc w:val="left"/>
      </w:pPr>
      <w:rPr>
        <w:rFonts w:hint="default"/>
        <w:lang w:val="zh-CN" w:eastAsia="zh-CN" w:bidi="zh-CN"/>
      </w:rPr>
    </w:lvl>
    <w:lvl w:ilvl="3" w:tplc="4CDC0EA4">
      <w:start w:val="1"/>
      <w:numFmt w:val="decimal"/>
      <w:lvlText w:val="%1.%2.%3.%4"/>
      <w:lvlJc w:val="left"/>
      <w:pPr>
        <w:ind w:left="1681" w:hanging="844"/>
        <w:jc w:val="left"/>
      </w:pPr>
      <w:rPr>
        <w:rFonts w:ascii="宋体" w:eastAsia="宋体" w:hAnsi="宋体" w:cs="宋体" w:hint="default"/>
        <w:spacing w:val="-3"/>
        <w:w w:val="100"/>
        <w:sz w:val="19"/>
        <w:szCs w:val="19"/>
        <w:lang w:val="zh-CN" w:eastAsia="zh-CN" w:bidi="zh-CN"/>
      </w:rPr>
    </w:lvl>
    <w:lvl w:ilvl="4" w:tplc="261EC262">
      <w:numFmt w:val="bullet"/>
      <w:lvlText w:val="•"/>
      <w:lvlJc w:val="left"/>
      <w:pPr>
        <w:ind w:left="5266" w:hanging="844"/>
      </w:pPr>
      <w:rPr>
        <w:rFonts w:hint="default"/>
        <w:lang w:val="zh-CN" w:eastAsia="zh-CN" w:bidi="zh-CN"/>
      </w:rPr>
    </w:lvl>
    <w:lvl w:ilvl="5" w:tplc="D1DEB7E2">
      <w:numFmt w:val="bullet"/>
      <w:lvlText w:val="•"/>
      <w:lvlJc w:val="left"/>
      <w:pPr>
        <w:ind w:left="6163" w:hanging="844"/>
      </w:pPr>
      <w:rPr>
        <w:rFonts w:hint="default"/>
        <w:lang w:val="zh-CN" w:eastAsia="zh-CN" w:bidi="zh-CN"/>
      </w:rPr>
    </w:lvl>
    <w:lvl w:ilvl="6" w:tplc="FFA283A8">
      <w:numFmt w:val="bullet"/>
      <w:lvlText w:val="•"/>
      <w:lvlJc w:val="left"/>
      <w:pPr>
        <w:ind w:left="7059" w:hanging="844"/>
      </w:pPr>
      <w:rPr>
        <w:rFonts w:hint="default"/>
        <w:lang w:val="zh-CN" w:eastAsia="zh-CN" w:bidi="zh-CN"/>
      </w:rPr>
    </w:lvl>
    <w:lvl w:ilvl="7" w:tplc="42BC7588">
      <w:numFmt w:val="bullet"/>
      <w:lvlText w:val="•"/>
      <w:lvlJc w:val="left"/>
      <w:pPr>
        <w:ind w:left="7956" w:hanging="844"/>
      </w:pPr>
      <w:rPr>
        <w:rFonts w:hint="default"/>
        <w:lang w:val="zh-CN" w:eastAsia="zh-CN" w:bidi="zh-CN"/>
      </w:rPr>
    </w:lvl>
    <w:lvl w:ilvl="8" w:tplc="81D43F0A">
      <w:numFmt w:val="bullet"/>
      <w:lvlText w:val="•"/>
      <w:lvlJc w:val="left"/>
      <w:pPr>
        <w:ind w:left="8853" w:hanging="844"/>
      </w:pPr>
      <w:rPr>
        <w:rFonts w:hint="default"/>
        <w:lang w:val="zh-CN" w:eastAsia="zh-CN" w:bidi="zh-CN"/>
      </w:rPr>
    </w:lvl>
  </w:abstractNum>
  <w:abstractNum w:abstractNumId="675" w15:restartNumberingAfterBreak="0">
    <w:nsid w:val="5AD735D1"/>
    <w:multiLevelType w:val="hybridMultilevel"/>
    <w:tmpl w:val="C778ED80"/>
    <w:lvl w:ilvl="0" w:tplc="F4B66FC6">
      <w:start w:val="9"/>
      <w:numFmt w:val="decimal"/>
      <w:lvlText w:val="%1"/>
      <w:lvlJc w:val="left"/>
      <w:pPr>
        <w:ind w:left="1158" w:hanging="318"/>
        <w:jc w:val="left"/>
      </w:pPr>
      <w:rPr>
        <w:rFonts w:hint="default"/>
        <w:lang w:val="zh-CN" w:eastAsia="zh-CN" w:bidi="zh-CN"/>
      </w:rPr>
    </w:lvl>
    <w:lvl w:ilvl="1" w:tplc="68B44EFA">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48DEED10">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4338474C">
      <w:numFmt w:val="bullet"/>
      <w:lvlText w:val="•"/>
      <w:lvlJc w:val="left"/>
      <w:pPr>
        <w:ind w:left="2538" w:hanging="529"/>
      </w:pPr>
      <w:rPr>
        <w:rFonts w:hint="default"/>
        <w:lang w:val="zh-CN" w:eastAsia="zh-CN" w:bidi="zh-CN"/>
      </w:rPr>
    </w:lvl>
    <w:lvl w:ilvl="4" w:tplc="BF026208">
      <w:numFmt w:val="bullet"/>
      <w:lvlText w:val="•"/>
      <w:lvlJc w:val="left"/>
      <w:pPr>
        <w:ind w:left="3696" w:hanging="529"/>
      </w:pPr>
      <w:rPr>
        <w:rFonts w:hint="default"/>
        <w:lang w:val="zh-CN" w:eastAsia="zh-CN" w:bidi="zh-CN"/>
      </w:rPr>
    </w:lvl>
    <w:lvl w:ilvl="5" w:tplc="20EC7276">
      <w:numFmt w:val="bullet"/>
      <w:lvlText w:val="•"/>
      <w:lvlJc w:val="left"/>
      <w:pPr>
        <w:ind w:left="4854" w:hanging="529"/>
      </w:pPr>
      <w:rPr>
        <w:rFonts w:hint="default"/>
        <w:lang w:val="zh-CN" w:eastAsia="zh-CN" w:bidi="zh-CN"/>
      </w:rPr>
    </w:lvl>
    <w:lvl w:ilvl="6" w:tplc="87F67E88">
      <w:numFmt w:val="bullet"/>
      <w:lvlText w:val="•"/>
      <w:lvlJc w:val="left"/>
      <w:pPr>
        <w:ind w:left="6013" w:hanging="529"/>
      </w:pPr>
      <w:rPr>
        <w:rFonts w:hint="default"/>
        <w:lang w:val="zh-CN" w:eastAsia="zh-CN" w:bidi="zh-CN"/>
      </w:rPr>
    </w:lvl>
    <w:lvl w:ilvl="7" w:tplc="CC0C946E">
      <w:numFmt w:val="bullet"/>
      <w:lvlText w:val="•"/>
      <w:lvlJc w:val="left"/>
      <w:pPr>
        <w:ind w:left="7171" w:hanging="529"/>
      </w:pPr>
      <w:rPr>
        <w:rFonts w:hint="default"/>
        <w:lang w:val="zh-CN" w:eastAsia="zh-CN" w:bidi="zh-CN"/>
      </w:rPr>
    </w:lvl>
    <w:lvl w:ilvl="8" w:tplc="ADC84770">
      <w:numFmt w:val="bullet"/>
      <w:lvlText w:val="•"/>
      <w:lvlJc w:val="left"/>
      <w:pPr>
        <w:ind w:left="8329" w:hanging="529"/>
      </w:pPr>
      <w:rPr>
        <w:rFonts w:hint="default"/>
        <w:lang w:val="zh-CN" w:eastAsia="zh-CN" w:bidi="zh-CN"/>
      </w:rPr>
    </w:lvl>
  </w:abstractNum>
  <w:abstractNum w:abstractNumId="676" w15:restartNumberingAfterBreak="0">
    <w:nsid w:val="5B077426"/>
    <w:multiLevelType w:val="hybridMultilevel"/>
    <w:tmpl w:val="68864A16"/>
    <w:lvl w:ilvl="0" w:tplc="B80079D8">
      <w:start w:val="6"/>
      <w:numFmt w:val="decimal"/>
      <w:lvlText w:val="%1"/>
      <w:lvlJc w:val="left"/>
      <w:pPr>
        <w:ind w:left="1370" w:hanging="531"/>
        <w:jc w:val="left"/>
      </w:pPr>
      <w:rPr>
        <w:rFonts w:hint="default"/>
        <w:lang w:val="zh-CN" w:eastAsia="zh-CN" w:bidi="zh-CN"/>
      </w:rPr>
    </w:lvl>
    <w:lvl w:ilvl="1" w:tplc="B978B9D8">
      <w:start w:val="3"/>
      <w:numFmt w:val="decimal"/>
      <w:lvlText w:val="%1.%2"/>
      <w:lvlJc w:val="left"/>
      <w:pPr>
        <w:ind w:left="1370" w:hanging="531"/>
        <w:jc w:val="left"/>
      </w:pPr>
      <w:rPr>
        <w:rFonts w:hint="default"/>
        <w:lang w:val="zh-CN" w:eastAsia="zh-CN" w:bidi="zh-CN"/>
      </w:rPr>
    </w:lvl>
    <w:lvl w:ilvl="2" w:tplc="195C3EB2">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C4BE25F2">
      <w:numFmt w:val="bullet"/>
      <w:lvlText w:val="•"/>
      <w:lvlJc w:val="left"/>
      <w:pPr>
        <w:ind w:left="4159" w:hanging="531"/>
      </w:pPr>
      <w:rPr>
        <w:rFonts w:hint="default"/>
        <w:lang w:val="zh-CN" w:eastAsia="zh-CN" w:bidi="zh-CN"/>
      </w:rPr>
    </w:lvl>
    <w:lvl w:ilvl="4" w:tplc="2B98D3B8">
      <w:numFmt w:val="bullet"/>
      <w:lvlText w:val="•"/>
      <w:lvlJc w:val="left"/>
      <w:pPr>
        <w:ind w:left="5086" w:hanging="531"/>
      </w:pPr>
      <w:rPr>
        <w:rFonts w:hint="default"/>
        <w:lang w:val="zh-CN" w:eastAsia="zh-CN" w:bidi="zh-CN"/>
      </w:rPr>
    </w:lvl>
    <w:lvl w:ilvl="5" w:tplc="B616D9CA">
      <w:numFmt w:val="bullet"/>
      <w:lvlText w:val="•"/>
      <w:lvlJc w:val="left"/>
      <w:pPr>
        <w:ind w:left="6013" w:hanging="531"/>
      </w:pPr>
      <w:rPr>
        <w:rFonts w:hint="default"/>
        <w:lang w:val="zh-CN" w:eastAsia="zh-CN" w:bidi="zh-CN"/>
      </w:rPr>
    </w:lvl>
    <w:lvl w:ilvl="6" w:tplc="D332DD72">
      <w:numFmt w:val="bullet"/>
      <w:lvlText w:val="•"/>
      <w:lvlJc w:val="left"/>
      <w:pPr>
        <w:ind w:left="6939" w:hanging="531"/>
      </w:pPr>
      <w:rPr>
        <w:rFonts w:hint="default"/>
        <w:lang w:val="zh-CN" w:eastAsia="zh-CN" w:bidi="zh-CN"/>
      </w:rPr>
    </w:lvl>
    <w:lvl w:ilvl="7" w:tplc="EF36856A">
      <w:numFmt w:val="bullet"/>
      <w:lvlText w:val="•"/>
      <w:lvlJc w:val="left"/>
      <w:pPr>
        <w:ind w:left="7866" w:hanging="531"/>
      </w:pPr>
      <w:rPr>
        <w:rFonts w:hint="default"/>
        <w:lang w:val="zh-CN" w:eastAsia="zh-CN" w:bidi="zh-CN"/>
      </w:rPr>
    </w:lvl>
    <w:lvl w:ilvl="8" w:tplc="AE28C806">
      <w:numFmt w:val="bullet"/>
      <w:lvlText w:val="•"/>
      <w:lvlJc w:val="left"/>
      <w:pPr>
        <w:ind w:left="8793" w:hanging="531"/>
      </w:pPr>
      <w:rPr>
        <w:rFonts w:hint="default"/>
        <w:lang w:val="zh-CN" w:eastAsia="zh-CN" w:bidi="zh-CN"/>
      </w:rPr>
    </w:lvl>
  </w:abstractNum>
  <w:abstractNum w:abstractNumId="677" w15:restartNumberingAfterBreak="0">
    <w:nsid w:val="5B201E07"/>
    <w:multiLevelType w:val="hybridMultilevel"/>
    <w:tmpl w:val="36FCD762"/>
    <w:lvl w:ilvl="0" w:tplc="7A801C7E">
      <w:start w:val="1"/>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5B342F3A">
      <w:numFmt w:val="bullet"/>
      <w:lvlText w:val="•"/>
      <w:lvlJc w:val="left"/>
      <w:pPr>
        <w:ind w:left="2018" w:hanging="213"/>
      </w:pPr>
      <w:rPr>
        <w:rFonts w:hint="default"/>
        <w:lang w:val="zh-CN" w:eastAsia="zh-CN" w:bidi="zh-CN"/>
      </w:rPr>
    </w:lvl>
    <w:lvl w:ilvl="2" w:tplc="1DB4F4A6">
      <w:numFmt w:val="bullet"/>
      <w:lvlText w:val="•"/>
      <w:lvlJc w:val="left"/>
      <w:pPr>
        <w:ind w:left="2977" w:hanging="213"/>
      </w:pPr>
      <w:rPr>
        <w:rFonts w:hint="default"/>
        <w:lang w:val="zh-CN" w:eastAsia="zh-CN" w:bidi="zh-CN"/>
      </w:rPr>
    </w:lvl>
    <w:lvl w:ilvl="3" w:tplc="31EA61A0">
      <w:numFmt w:val="bullet"/>
      <w:lvlText w:val="•"/>
      <w:lvlJc w:val="left"/>
      <w:pPr>
        <w:ind w:left="3935" w:hanging="213"/>
      </w:pPr>
      <w:rPr>
        <w:rFonts w:hint="default"/>
        <w:lang w:val="zh-CN" w:eastAsia="zh-CN" w:bidi="zh-CN"/>
      </w:rPr>
    </w:lvl>
    <w:lvl w:ilvl="4" w:tplc="C8CCCE5C">
      <w:numFmt w:val="bullet"/>
      <w:lvlText w:val="•"/>
      <w:lvlJc w:val="left"/>
      <w:pPr>
        <w:ind w:left="4894" w:hanging="213"/>
      </w:pPr>
      <w:rPr>
        <w:rFonts w:hint="default"/>
        <w:lang w:val="zh-CN" w:eastAsia="zh-CN" w:bidi="zh-CN"/>
      </w:rPr>
    </w:lvl>
    <w:lvl w:ilvl="5" w:tplc="5A26B958">
      <w:numFmt w:val="bullet"/>
      <w:lvlText w:val="•"/>
      <w:lvlJc w:val="left"/>
      <w:pPr>
        <w:ind w:left="5853" w:hanging="213"/>
      </w:pPr>
      <w:rPr>
        <w:rFonts w:hint="default"/>
        <w:lang w:val="zh-CN" w:eastAsia="zh-CN" w:bidi="zh-CN"/>
      </w:rPr>
    </w:lvl>
    <w:lvl w:ilvl="6" w:tplc="D7381D5C">
      <w:numFmt w:val="bullet"/>
      <w:lvlText w:val="•"/>
      <w:lvlJc w:val="left"/>
      <w:pPr>
        <w:ind w:left="6811" w:hanging="213"/>
      </w:pPr>
      <w:rPr>
        <w:rFonts w:hint="default"/>
        <w:lang w:val="zh-CN" w:eastAsia="zh-CN" w:bidi="zh-CN"/>
      </w:rPr>
    </w:lvl>
    <w:lvl w:ilvl="7" w:tplc="D256E8BE">
      <w:numFmt w:val="bullet"/>
      <w:lvlText w:val="•"/>
      <w:lvlJc w:val="left"/>
      <w:pPr>
        <w:ind w:left="7770" w:hanging="213"/>
      </w:pPr>
      <w:rPr>
        <w:rFonts w:hint="default"/>
        <w:lang w:val="zh-CN" w:eastAsia="zh-CN" w:bidi="zh-CN"/>
      </w:rPr>
    </w:lvl>
    <w:lvl w:ilvl="8" w:tplc="4FFA8F68">
      <w:numFmt w:val="bullet"/>
      <w:lvlText w:val="•"/>
      <w:lvlJc w:val="left"/>
      <w:pPr>
        <w:ind w:left="8729" w:hanging="213"/>
      </w:pPr>
      <w:rPr>
        <w:rFonts w:hint="default"/>
        <w:lang w:val="zh-CN" w:eastAsia="zh-CN" w:bidi="zh-CN"/>
      </w:rPr>
    </w:lvl>
  </w:abstractNum>
  <w:abstractNum w:abstractNumId="678" w15:restartNumberingAfterBreak="0">
    <w:nsid w:val="5B3840FB"/>
    <w:multiLevelType w:val="hybridMultilevel"/>
    <w:tmpl w:val="3DFC80FC"/>
    <w:lvl w:ilvl="0" w:tplc="B642B346">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0304FAA8">
      <w:numFmt w:val="bullet"/>
      <w:lvlText w:val="•"/>
      <w:lvlJc w:val="left"/>
      <w:pPr>
        <w:ind w:left="2288" w:hanging="529"/>
      </w:pPr>
      <w:rPr>
        <w:rFonts w:hint="default"/>
        <w:lang w:val="zh-CN" w:eastAsia="zh-CN" w:bidi="zh-CN"/>
      </w:rPr>
    </w:lvl>
    <w:lvl w:ilvl="2" w:tplc="A8486AF4">
      <w:numFmt w:val="bullet"/>
      <w:lvlText w:val="•"/>
      <w:lvlJc w:val="left"/>
      <w:pPr>
        <w:ind w:left="3217" w:hanging="529"/>
      </w:pPr>
      <w:rPr>
        <w:rFonts w:hint="default"/>
        <w:lang w:val="zh-CN" w:eastAsia="zh-CN" w:bidi="zh-CN"/>
      </w:rPr>
    </w:lvl>
    <w:lvl w:ilvl="3" w:tplc="8B4ECE46">
      <w:numFmt w:val="bullet"/>
      <w:lvlText w:val="•"/>
      <w:lvlJc w:val="left"/>
      <w:pPr>
        <w:ind w:left="4145" w:hanging="529"/>
      </w:pPr>
      <w:rPr>
        <w:rFonts w:hint="default"/>
        <w:lang w:val="zh-CN" w:eastAsia="zh-CN" w:bidi="zh-CN"/>
      </w:rPr>
    </w:lvl>
    <w:lvl w:ilvl="4" w:tplc="E1B43912">
      <w:numFmt w:val="bullet"/>
      <w:lvlText w:val="•"/>
      <w:lvlJc w:val="left"/>
      <w:pPr>
        <w:ind w:left="5074" w:hanging="529"/>
      </w:pPr>
      <w:rPr>
        <w:rFonts w:hint="default"/>
        <w:lang w:val="zh-CN" w:eastAsia="zh-CN" w:bidi="zh-CN"/>
      </w:rPr>
    </w:lvl>
    <w:lvl w:ilvl="5" w:tplc="BEC87AAE">
      <w:numFmt w:val="bullet"/>
      <w:lvlText w:val="•"/>
      <w:lvlJc w:val="left"/>
      <w:pPr>
        <w:ind w:left="6003" w:hanging="529"/>
      </w:pPr>
      <w:rPr>
        <w:rFonts w:hint="default"/>
        <w:lang w:val="zh-CN" w:eastAsia="zh-CN" w:bidi="zh-CN"/>
      </w:rPr>
    </w:lvl>
    <w:lvl w:ilvl="6" w:tplc="F10E47A8">
      <w:numFmt w:val="bullet"/>
      <w:lvlText w:val="•"/>
      <w:lvlJc w:val="left"/>
      <w:pPr>
        <w:ind w:left="6931" w:hanging="529"/>
      </w:pPr>
      <w:rPr>
        <w:rFonts w:hint="default"/>
        <w:lang w:val="zh-CN" w:eastAsia="zh-CN" w:bidi="zh-CN"/>
      </w:rPr>
    </w:lvl>
    <w:lvl w:ilvl="7" w:tplc="72EA1C7A">
      <w:numFmt w:val="bullet"/>
      <w:lvlText w:val="•"/>
      <w:lvlJc w:val="left"/>
      <w:pPr>
        <w:ind w:left="7860" w:hanging="529"/>
      </w:pPr>
      <w:rPr>
        <w:rFonts w:hint="default"/>
        <w:lang w:val="zh-CN" w:eastAsia="zh-CN" w:bidi="zh-CN"/>
      </w:rPr>
    </w:lvl>
    <w:lvl w:ilvl="8" w:tplc="D3723C44">
      <w:numFmt w:val="bullet"/>
      <w:lvlText w:val="•"/>
      <w:lvlJc w:val="left"/>
      <w:pPr>
        <w:ind w:left="8789" w:hanging="529"/>
      </w:pPr>
      <w:rPr>
        <w:rFonts w:hint="default"/>
        <w:lang w:val="zh-CN" w:eastAsia="zh-CN" w:bidi="zh-CN"/>
      </w:rPr>
    </w:lvl>
  </w:abstractNum>
  <w:abstractNum w:abstractNumId="679" w15:restartNumberingAfterBreak="0">
    <w:nsid w:val="5B742C3F"/>
    <w:multiLevelType w:val="hybridMultilevel"/>
    <w:tmpl w:val="5D9E009C"/>
    <w:lvl w:ilvl="0" w:tplc="CDBACCE2">
      <w:start w:val="8"/>
      <w:numFmt w:val="decimal"/>
      <w:lvlText w:val="%1"/>
      <w:lvlJc w:val="left"/>
      <w:pPr>
        <w:ind w:left="1370" w:hanging="531"/>
        <w:jc w:val="left"/>
      </w:pPr>
      <w:rPr>
        <w:rFonts w:hint="default"/>
        <w:lang w:val="zh-CN" w:eastAsia="zh-CN" w:bidi="zh-CN"/>
      </w:rPr>
    </w:lvl>
    <w:lvl w:ilvl="1" w:tplc="B1A45C3A">
      <w:start w:val="5"/>
      <w:numFmt w:val="decimal"/>
      <w:lvlText w:val="%1.%2"/>
      <w:lvlJc w:val="left"/>
      <w:pPr>
        <w:ind w:left="1370" w:hanging="531"/>
        <w:jc w:val="left"/>
      </w:pPr>
      <w:rPr>
        <w:rFonts w:hint="default"/>
        <w:lang w:val="zh-CN" w:eastAsia="zh-CN" w:bidi="zh-CN"/>
      </w:rPr>
    </w:lvl>
    <w:lvl w:ilvl="2" w:tplc="83BAE328">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F49A6B16">
      <w:numFmt w:val="bullet"/>
      <w:lvlText w:val="•"/>
      <w:lvlJc w:val="left"/>
      <w:pPr>
        <w:ind w:left="4159" w:hanging="531"/>
      </w:pPr>
      <w:rPr>
        <w:rFonts w:hint="default"/>
        <w:lang w:val="zh-CN" w:eastAsia="zh-CN" w:bidi="zh-CN"/>
      </w:rPr>
    </w:lvl>
    <w:lvl w:ilvl="4" w:tplc="CADCEA74">
      <w:numFmt w:val="bullet"/>
      <w:lvlText w:val="•"/>
      <w:lvlJc w:val="left"/>
      <w:pPr>
        <w:ind w:left="5086" w:hanging="531"/>
      </w:pPr>
      <w:rPr>
        <w:rFonts w:hint="default"/>
        <w:lang w:val="zh-CN" w:eastAsia="zh-CN" w:bidi="zh-CN"/>
      </w:rPr>
    </w:lvl>
    <w:lvl w:ilvl="5" w:tplc="EB187C50">
      <w:numFmt w:val="bullet"/>
      <w:lvlText w:val="•"/>
      <w:lvlJc w:val="left"/>
      <w:pPr>
        <w:ind w:left="6013" w:hanging="531"/>
      </w:pPr>
      <w:rPr>
        <w:rFonts w:hint="default"/>
        <w:lang w:val="zh-CN" w:eastAsia="zh-CN" w:bidi="zh-CN"/>
      </w:rPr>
    </w:lvl>
    <w:lvl w:ilvl="6" w:tplc="A0BAAFE8">
      <w:numFmt w:val="bullet"/>
      <w:lvlText w:val="•"/>
      <w:lvlJc w:val="left"/>
      <w:pPr>
        <w:ind w:left="6939" w:hanging="531"/>
      </w:pPr>
      <w:rPr>
        <w:rFonts w:hint="default"/>
        <w:lang w:val="zh-CN" w:eastAsia="zh-CN" w:bidi="zh-CN"/>
      </w:rPr>
    </w:lvl>
    <w:lvl w:ilvl="7" w:tplc="F78439C0">
      <w:numFmt w:val="bullet"/>
      <w:lvlText w:val="•"/>
      <w:lvlJc w:val="left"/>
      <w:pPr>
        <w:ind w:left="7866" w:hanging="531"/>
      </w:pPr>
      <w:rPr>
        <w:rFonts w:hint="default"/>
        <w:lang w:val="zh-CN" w:eastAsia="zh-CN" w:bidi="zh-CN"/>
      </w:rPr>
    </w:lvl>
    <w:lvl w:ilvl="8" w:tplc="DCAEA322">
      <w:numFmt w:val="bullet"/>
      <w:lvlText w:val="•"/>
      <w:lvlJc w:val="left"/>
      <w:pPr>
        <w:ind w:left="8793" w:hanging="531"/>
      </w:pPr>
      <w:rPr>
        <w:rFonts w:hint="default"/>
        <w:lang w:val="zh-CN" w:eastAsia="zh-CN" w:bidi="zh-CN"/>
      </w:rPr>
    </w:lvl>
  </w:abstractNum>
  <w:abstractNum w:abstractNumId="680" w15:restartNumberingAfterBreak="0">
    <w:nsid w:val="5BAF0774"/>
    <w:multiLevelType w:val="hybridMultilevel"/>
    <w:tmpl w:val="51D84964"/>
    <w:lvl w:ilvl="0" w:tplc="E7F0A408">
      <w:start w:val="5"/>
      <w:numFmt w:val="decimal"/>
      <w:lvlText w:val="%1"/>
      <w:lvlJc w:val="left"/>
      <w:pPr>
        <w:ind w:left="1159" w:hanging="320"/>
        <w:jc w:val="left"/>
      </w:pPr>
      <w:rPr>
        <w:rFonts w:hint="default"/>
        <w:lang w:val="zh-CN" w:eastAsia="zh-CN" w:bidi="zh-CN"/>
      </w:rPr>
    </w:lvl>
    <w:lvl w:ilvl="1" w:tplc="5E009022">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FB50B06A">
      <w:numFmt w:val="bullet"/>
      <w:lvlText w:val="•"/>
      <w:lvlJc w:val="left"/>
      <w:pPr>
        <w:ind w:left="3057" w:hanging="320"/>
      </w:pPr>
      <w:rPr>
        <w:rFonts w:hint="default"/>
        <w:lang w:val="zh-CN" w:eastAsia="zh-CN" w:bidi="zh-CN"/>
      </w:rPr>
    </w:lvl>
    <w:lvl w:ilvl="3" w:tplc="75B64734">
      <w:numFmt w:val="bullet"/>
      <w:lvlText w:val="•"/>
      <w:lvlJc w:val="left"/>
      <w:pPr>
        <w:ind w:left="4005" w:hanging="320"/>
      </w:pPr>
      <w:rPr>
        <w:rFonts w:hint="default"/>
        <w:lang w:val="zh-CN" w:eastAsia="zh-CN" w:bidi="zh-CN"/>
      </w:rPr>
    </w:lvl>
    <w:lvl w:ilvl="4" w:tplc="12DE4EFE">
      <w:numFmt w:val="bullet"/>
      <w:lvlText w:val="•"/>
      <w:lvlJc w:val="left"/>
      <w:pPr>
        <w:ind w:left="4954" w:hanging="320"/>
      </w:pPr>
      <w:rPr>
        <w:rFonts w:hint="default"/>
        <w:lang w:val="zh-CN" w:eastAsia="zh-CN" w:bidi="zh-CN"/>
      </w:rPr>
    </w:lvl>
    <w:lvl w:ilvl="5" w:tplc="E64229E6">
      <w:numFmt w:val="bullet"/>
      <w:lvlText w:val="•"/>
      <w:lvlJc w:val="left"/>
      <w:pPr>
        <w:ind w:left="5903" w:hanging="320"/>
      </w:pPr>
      <w:rPr>
        <w:rFonts w:hint="default"/>
        <w:lang w:val="zh-CN" w:eastAsia="zh-CN" w:bidi="zh-CN"/>
      </w:rPr>
    </w:lvl>
    <w:lvl w:ilvl="6" w:tplc="DBE47466">
      <w:numFmt w:val="bullet"/>
      <w:lvlText w:val="•"/>
      <w:lvlJc w:val="left"/>
      <w:pPr>
        <w:ind w:left="6851" w:hanging="320"/>
      </w:pPr>
      <w:rPr>
        <w:rFonts w:hint="default"/>
        <w:lang w:val="zh-CN" w:eastAsia="zh-CN" w:bidi="zh-CN"/>
      </w:rPr>
    </w:lvl>
    <w:lvl w:ilvl="7" w:tplc="D53AC5A2">
      <w:numFmt w:val="bullet"/>
      <w:lvlText w:val="•"/>
      <w:lvlJc w:val="left"/>
      <w:pPr>
        <w:ind w:left="7800" w:hanging="320"/>
      </w:pPr>
      <w:rPr>
        <w:rFonts w:hint="default"/>
        <w:lang w:val="zh-CN" w:eastAsia="zh-CN" w:bidi="zh-CN"/>
      </w:rPr>
    </w:lvl>
    <w:lvl w:ilvl="8" w:tplc="51F6C948">
      <w:numFmt w:val="bullet"/>
      <w:lvlText w:val="•"/>
      <w:lvlJc w:val="left"/>
      <w:pPr>
        <w:ind w:left="8749" w:hanging="320"/>
      </w:pPr>
      <w:rPr>
        <w:rFonts w:hint="default"/>
        <w:lang w:val="zh-CN" w:eastAsia="zh-CN" w:bidi="zh-CN"/>
      </w:rPr>
    </w:lvl>
  </w:abstractNum>
  <w:abstractNum w:abstractNumId="681" w15:restartNumberingAfterBreak="0">
    <w:nsid w:val="5BB16C9E"/>
    <w:multiLevelType w:val="hybridMultilevel"/>
    <w:tmpl w:val="717646BA"/>
    <w:lvl w:ilvl="0" w:tplc="D8DAC2A8">
      <w:start w:val="3"/>
      <w:numFmt w:val="decimal"/>
      <w:lvlText w:val="%1"/>
      <w:lvlJc w:val="left"/>
      <w:pPr>
        <w:ind w:left="1159" w:hanging="320"/>
        <w:jc w:val="left"/>
      </w:pPr>
      <w:rPr>
        <w:rFonts w:hint="default"/>
        <w:lang w:val="zh-CN" w:eastAsia="zh-CN" w:bidi="zh-CN"/>
      </w:rPr>
    </w:lvl>
    <w:lvl w:ilvl="1" w:tplc="43FEB294">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5554D632">
      <w:numFmt w:val="bullet"/>
      <w:lvlText w:val="•"/>
      <w:lvlJc w:val="left"/>
      <w:pPr>
        <w:ind w:left="3057" w:hanging="320"/>
      </w:pPr>
      <w:rPr>
        <w:rFonts w:hint="default"/>
        <w:lang w:val="zh-CN" w:eastAsia="zh-CN" w:bidi="zh-CN"/>
      </w:rPr>
    </w:lvl>
    <w:lvl w:ilvl="3" w:tplc="C092563A">
      <w:numFmt w:val="bullet"/>
      <w:lvlText w:val="•"/>
      <w:lvlJc w:val="left"/>
      <w:pPr>
        <w:ind w:left="4005" w:hanging="320"/>
      </w:pPr>
      <w:rPr>
        <w:rFonts w:hint="default"/>
        <w:lang w:val="zh-CN" w:eastAsia="zh-CN" w:bidi="zh-CN"/>
      </w:rPr>
    </w:lvl>
    <w:lvl w:ilvl="4" w:tplc="66A06E24">
      <w:numFmt w:val="bullet"/>
      <w:lvlText w:val="•"/>
      <w:lvlJc w:val="left"/>
      <w:pPr>
        <w:ind w:left="4954" w:hanging="320"/>
      </w:pPr>
      <w:rPr>
        <w:rFonts w:hint="default"/>
        <w:lang w:val="zh-CN" w:eastAsia="zh-CN" w:bidi="zh-CN"/>
      </w:rPr>
    </w:lvl>
    <w:lvl w:ilvl="5" w:tplc="DF84666C">
      <w:numFmt w:val="bullet"/>
      <w:lvlText w:val="•"/>
      <w:lvlJc w:val="left"/>
      <w:pPr>
        <w:ind w:left="5903" w:hanging="320"/>
      </w:pPr>
      <w:rPr>
        <w:rFonts w:hint="default"/>
        <w:lang w:val="zh-CN" w:eastAsia="zh-CN" w:bidi="zh-CN"/>
      </w:rPr>
    </w:lvl>
    <w:lvl w:ilvl="6" w:tplc="92369B2C">
      <w:numFmt w:val="bullet"/>
      <w:lvlText w:val="•"/>
      <w:lvlJc w:val="left"/>
      <w:pPr>
        <w:ind w:left="6851" w:hanging="320"/>
      </w:pPr>
      <w:rPr>
        <w:rFonts w:hint="default"/>
        <w:lang w:val="zh-CN" w:eastAsia="zh-CN" w:bidi="zh-CN"/>
      </w:rPr>
    </w:lvl>
    <w:lvl w:ilvl="7" w:tplc="7A0EF9A0">
      <w:numFmt w:val="bullet"/>
      <w:lvlText w:val="•"/>
      <w:lvlJc w:val="left"/>
      <w:pPr>
        <w:ind w:left="7800" w:hanging="320"/>
      </w:pPr>
      <w:rPr>
        <w:rFonts w:hint="default"/>
        <w:lang w:val="zh-CN" w:eastAsia="zh-CN" w:bidi="zh-CN"/>
      </w:rPr>
    </w:lvl>
    <w:lvl w:ilvl="8" w:tplc="075A785E">
      <w:numFmt w:val="bullet"/>
      <w:lvlText w:val="•"/>
      <w:lvlJc w:val="left"/>
      <w:pPr>
        <w:ind w:left="8749" w:hanging="320"/>
      </w:pPr>
      <w:rPr>
        <w:rFonts w:hint="default"/>
        <w:lang w:val="zh-CN" w:eastAsia="zh-CN" w:bidi="zh-CN"/>
      </w:rPr>
    </w:lvl>
  </w:abstractNum>
  <w:abstractNum w:abstractNumId="682" w15:restartNumberingAfterBreak="0">
    <w:nsid w:val="5BC13A64"/>
    <w:multiLevelType w:val="hybridMultilevel"/>
    <w:tmpl w:val="868AC758"/>
    <w:lvl w:ilvl="0" w:tplc="38F0DAD8">
      <w:start w:val="4"/>
      <w:numFmt w:val="decimal"/>
      <w:lvlText w:val="%1"/>
      <w:lvlJc w:val="left"/>
      <w:pPr>
        <w:ind w:left="1158" w:hanging="318"/>
        <w:jc w:val="left"/>
      </w:pPr>
      <w:rPr>
        <w:rFonts w:hint="default"/>
        <w:lang w:val="zh-CN" w:eastAsia="zh-CN" w:bidi="zh-CN"/>
      </w:rPr>
    </w:lvl>
    <w:lvl w:ilvl="1" w:tplc="0BE6C3F0">
      <w:start w:val="5"/>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6C6272A6">
      <w:start w:val="1"/>
      <w:numFmt w:val="decimal"/>
      <w:lvlText w:val="%1.%2.%3"/>
      <w:lvlJc w:val="left"/>
      <w:pPr>
        <w:ind w:left="1370" w:hanging="531"/>
        <w:jc w:val="left"/>
      </w:pPr>
      <w:rPr>
        <w:rFonts w:ascii="宋体" w:eastAsia="宋体" w:hAnsi="宋体" w:cs="宋体" w:hint="default"/>
        <w:b/>
        <w:bCs/>
        <w:color w:val="333333"/>
        <w:w w:val="99"/>
        <w:sz w:val="19"/>
        <w:szCs w:val="19"/>
        <w:lang w:val="zh-CN" w:eastAsia="zh-CN" w:bidi="zh-CN"/>
      </w:rPr>
    </w:lvl>
    <w:lvl w:ilvl="3" w:tplc="A72CAF08">
      <w:numFmt w:val="bullet"/>
      <w:lvlText w:val="•"/>
      <w:lvlJc w:val="left"/>
      <w:pPr>
        <w:ind w:left="3439" w:hanging="531"/>
      </w:pPr>
      <w:rPr>
        <w:rFonts w:hint="default"/>
        <w:lang w:val="zh-CN" w:eastAsia="zh-CN" w:bidi="zh-CN"/>
      </w:rPr>
    </w:lvl>
    <w:lvl w:ilvl="4" w:tplc="797A9D0C">
      <w:numFmt w:val="bullet"/>
      <w:lvlText w:val="•"/>
      <w:lvlJc w:val="left"/>
      <w:pPr>
        <w:ind w:left="4468" w:hanging="531"/>
      </w:pPr>
      <w:rPr>
        <w:rFonts w:hint="default"/>
        <w:lang w:val="zh-CN" w:eastAsia="zh-CN" w:bidi="zh-CN"/>
      </w:rPr>
    </w:lvl>
    <w:lvl w:ilvl="5" w:tplc="83A4C4E2">
      <w:numFmt w:val="bullet"/>
      <w:lvlText w:val="•"/>
      <w:lvlJc w:val="left"/>
      <w:pPr>
        <w:ind w:left="5498" w:hanging="531"/>
      </w:pPr>
      <w:rPr>
        <w:rFonts w:hint="default"/>
        <w:lang w:val="zh-CN" w:eastAsia="zh-CN" w:bidi="zh-CN"/>
      </w:rPr>
    </w:lvl>
    <w:lvl w:ilvl="6" w:tplc="BB183D58">
      <w:numFmt w:val="bullet"/>
      <w:lvlText w:val="•"/>
      <w:lvlJc w:val="left"/>
      <w:pPr>
        <w:ind w:left="6528" w:hanging="531"/>
      </w:pPr>
      <w:rPr>
        <w:rFonts w:hint="default"/>
        <w:lang w:val="zh-CN" w:eastAsia="zh-CN" w:bidi="zh-CN"/>
      </w:rPr>
    </w:lvl>
    <w:lvl w:ilvl="7" w:tplc="E5E88A58">
      <w:numFmt w:val="bullet"/>
      <w:lvlText w:val="•"/>
      <w:lvlJc w:val="left"/>
      <w:pPr>
        <w:ind w:left="7557" w:hanging="531"/>
      </w:pPr>
      <w:rPr>
        <w:rFonts w:hint="default"/>
        <w:lang w:val="zh-CN" w:eastAsia="zh-CN" w:bidi="zh-CN"/>
      </w:rPr>
    </w:lvl>
    <w:lvl w:ilvl="8" w:tplc="BAFCC4C6">
      <w:numFmt w:val="bullet"/>
      <w:lvlText w:val="•"/>
      <w:lvlJc w:val="left"/>
      <w:pPr>
        <w:ind w:left="8587" w:hanging="531"/>
      </w:pPr>
      <w:rPr>
        <w:rFonts w:hint="default"/>
        <w:lang w:val="zh-CN" w:eastAsia="zh-CN" w:bidi="zh-CN"/>
      </w:rPr>
    </w:lvl>
  </w:abstractNum>
  <w:abstractNum w:abstractNumId="683" w15:restartNumberingAfterBreak="0">
    <w:nsid w:val="5BEC3DA3"/>
    <w:multiLevelType w:val="hybridMultilevel"/>
    <w:tmpl w:val="95D80336"/>
    <w:lvl w:ilvl="0" w:tplc="A07AFAA2">
      <w:start w:val="6"/>
      <w:numFmt w:val="decimal"/>
      <w:lvlText w:val="%1"/>
      <w:lvlJc w:val="left"/>
      <w:pPr>
        <w:ind w:left="1158" w:hanging="318"/>
        <w:jc w:val="left"/>
      </w:pPr>
      <w:rPr>
        <w:rFonts w:hint="default"/>
        <w:lang w:val="zh-CN" w:eastAsia="zh-CN" w:bidi="zh-CN"/>
      </w:rPr>
    </w:lvl>
    <w:lvl w:ilvl="1" w:tplc="BA607358">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87321A9E">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8398CED2">
      <w:numFmt w:val="bullet"/>
      <w:lvlText w:val="•"/>
      <w:lvlJc w:val="left"/>
      <w:pPr>
        <w:ind w:left="2538" w:hanging="531"/>
      </w:pPr>
      <w:rPr>
        <w:rFonts w:hint="default"/>
        <w:lang w:val="zh-CN" w:eastAsia="zh-CN" w:bidi="zh-CN"/>
      </w:rPr>
    </w:lvl>
    <w:lvl w:ilvl="4" w:tplc="0E702850">
      <w:numFmt w:val="bullet"/>
      <w:lvlText w:val="•"/>
      <w:lvlJc w:val="left"/>
      <w:pPr>
        <w:ind w:left="3696" w:hanging="531"/>
      </w:pPr>
      <w:rPr>
        <w:rFonts w:hint="default"/>
        <w:lang w:val="zh-CN" w:eastAsia="zh-CN" w:bidi="zh-CN"/>
      </w:rPr>
    </w:lvl>
    <w:lvl w:ilvl="5" w:tplc="DE8E87C0">
      <w:numFmt w:val="bullet"/>
      <w:lvlText w:val="•"/>
      <w:lvlJc w:val="left"/>
      <w:pPr>
        <w:ind w:left="4854" w:hanging="531"/>
      </w:pPr>
      <w:rPr>
        <w:rFonts w:hint="default"/>
        <w:lang w:val="zh-CN" w:eastAsia="zh-CN" w:bidi="zh-CN"/>
      </w:rPr>
    </w:lvl>
    <w:lvl w:ilvl="6" w:tplc="51E2C47E">
      <w:numFmt w:val="bullet"/>
      <w:lvlText w:val="•"/>
      <w:lvlJc w:val="left"/>
      <w:pPr>
        <w:ind w:left="6013" w:hanging="531"/>
      </w:pPr>
      <w:rPr>
        <w:rFonts w:hint="default"/>
        <w:lang w:val="zh-CN" w:eastAsia="zh-CN" w:bidi="zh-CN"/>
      </w:rPr>
    </w:lvl>
    <w:lvl w:ilvl="7" w:tplc="C9B00734">
      <w:numFmt w:val="bullet"/>
      <w:lvlText w:val="•"/>
      <w:lvlJc w:val="left"/>
      <w:pPr>
        <w:ind w:left="7171" w:hanging="531"/>
      </w:pPr>
      <w:rPr>
        <w:rFonts w:hint="default"/>
        <w:lang w:val="zh-CN" w:eastAsia="zh-CN" w:bidi="zh-CN"/>
      </w:rPr>
    </w:lvl>
    <w:lvl w:ilvl="8" w:tplc="B26E9324">
      <w:numFmt w:val="bullet"/>
      <w:lvlText w:val="•"/>
      <w:lvlJc w:val="left"/>
      <w:pPr>
        <w:ind w:left="8329" w:hanging="531"/>
      </w:pPr>
      <w:rPr>
        <w:rFonts w:hint="default"/>
        <w:lang w:val="zh-CN" w:eastAsia="zh-CN" w:bidi="zh-CN"/>
      </w:rPr>
    </w:lvl>
  </w:abstractNum>
  <w:abstractNum w:abstractNumId="684" w15:restartNumberingAfterBreak="0">
    <w:nsid w:val="5BED6999"/>
    <w:multiLevelType w:val="hybridMultilevel"/>
    <w:tmpl w:val="AC027B64"/>
    <w:lvl w:ilvl="0" w:tplc="2FFEABEE">
      <w:start w:val="3"/>
      <w:numFmt w:val="decimal"/>
      <w:lvlText w:val="%1"/>
      <w:lvlJc w:val="left"/>
      <w:pPr>
        <w:ind w:left="1158" w:hanging="318"/>
        <w:jc w:val="left"/>
      </w:pPr>
      <w:rPr>
        <w:rFonts w:hint="default"/>
        <w:lang w:val="zh-CN" w:eastAsia="zh-CN" w:bidi="zh-CN"/>
      </w:rPr>
    </w:lvl>
    <w:lvl w:ilvl="1" w:tplc="6120913C">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4C781712">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5F14143E">
      <w:numFmt w:val="bullet"/>
      <w:lvlText w:val="•"/>
      <w:lvlJc w:val="left"/>
      <w:pPr>
        <w:ind w:left="2520" w:hanging="531"/>
      </w:pPr>
      <w:rPr>
        <w:rFonts w:hint="default"/>
        <w:lang w:val="zh-CN" w:eastAsia="zh-CN" w:bidi="zh-CN"/>
      </w:rPr>
    </w:lvl>
    <w:lvl w:ilvl="4" w:tplc="D5EC42FE">
      <w:numFmt w:val="bullet"/>
      <w:lvlText w:val="•"/>
      <w:lvlJc w:val="left"/>
      <w:pPr>
        <w:ind w:left="3681" w:hanging="531"/>
      </w:pPr>
      <w:rPr>
        <w:rFonts w:hint="default"/>
        <w:lang w:val="zh-CN" w:eastAsia="zh-CN" w:bidi="zh-CN"/>
      </w:rPr>
    </w:lvl>
    <w:lvl w:ilvl="5" w:tplc="7066762A">
      <w:numFmt w:val="bullet"/>
      <w:lvlText w:val="•"/>
      <w:lvlJc w:val="left"/>
      <w:pPr>
        <w:ind w:left="4842" w:hanging="531"/>
      </w:pPr>
      <w:rPr>
        <w:rFonts w:hint="default"/>
        <w:lang w:val="zh-CN" w:eastAsia="zh-CN" w:bidi="zh-CN"/>
      </w:rPr>
    </w:lvl>
    <w:lvl w:ilvl="6" w:tplc="B19C5BEA">
      <w:numFmt w:val="bullet"/>
      <w:lvlText w:val="•"/>
      <w:lvlJc w:val="left"/>
      <w:pPr>
        <w:ind w:left="6003" w:hanging="531"/>
      </w:pPr>
      <w:rPr>
        <w:rFonts w:hint="default"/>
        <w:lang w:val="zh-CN" w:eastAsia="zh-CN" w:bidi="zh-CN"/>
      </w:rPr>
    </w:lvl>
    <w:lvl w:ilvl="7" w:tplc="ACE8E406">
      <w:numFmt w:val="bullet"/>
      <w:lvlText w:val="•"/>
      <w:lvlJc w:val="left"/>
      <w:pPr>
        <w:ind w:left="7164" w:hanging="531"/>
      </w:pPr>
      <w:rPr>
        <w:rFonts w:hint="default"/>
        <w:lang w:val="zh-CN" w:eastAsia="zh-CN" w:bidi="zh-CN"/>
      </w:rPr>
    </w:lvl>
    <w:lvl w:ilvl="8" w:tplc="6A222706">
      <w:numFmt w:val="bullet"/>
      <w:lvlText w:val="•"/>
      <w:lvlJc w:val="left"/>
      <w:pPr>
        <w:ind w:left="8324" w:hanging="531"/>
      </w:pPr>
      <w:rPr>
        <w:rFonts w:hint="default"/>
        <w:lang w:val="zh-CN" w:eastAsia="zh-CN" w:bidi="zh-CN"/>
      </w:rPr>
    </w:lvl>
  </w:abstractNum>
  <w:abstractNum w:abstractNumId="685" w15:restartNumberingAfterBreak="0">
    <w:nsid w:val="5C7A7150"/>
    <w:multiLevelType w:val="hybridMultilevel"/>
    <w:tmpl w:val="A156D7EC"/>
    <w:lvl w:ilvl="0" w:tplc="382A012A">
      <w:start w:val="8"/>
      <w:numFmt w:val="decimal"/>
      <w:lvlText w:val="%1"/>
      <w:lvlJc w:val="left"/>
      <w:pPr>
        <w:ind w:left="1370" w:hanging="531"/>
        <w:jc w:val="left"/>
      </w:pPr>
      <w:rPr>
        <w:rFonts w:hint="default"/>
        <w:lang w:val="zh-CN" w:eastAsia="zh-CN" w:bidi="zh-CN"/>
      </w:rPr>
    </w:lvl>
    <w:lvl w:ilvl="1" w:tplc="1B865672">
      <w:start w:val="3"/>
      <w:numFmt w:val="decimal"/>
      <w:lvlText w:val="%1.%2"/>
      <w:lvlJc w:val="left"/>
      <w:pPr>
        <w:ind w:left="1370" w:hanging="531"/>
        <w:jc w:val="left"/>
      </w:pPr>
      <w:rPr>
        <w:rFonts w:hint="default"/>
        <w:lang w:val="zh-CN" w:eastAsia="zh-CN" w:bidi="zh-CN"/>
      </w:rPr>
    </w:lvl>
    <w:lvl w:ilvl="2" w:tplc="B426C644">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B7DE3B70">
      <w:numFmt w:val="bullet"/>
      <w:lvlText w:val="•"/>
      <w:lvlJc w:val="left"/>
      <w:pPr>
        <w:ind w:left="4159" w:hanging="531"/>
      </w:pPr>
      <w:rPr>
        <w:rFonts w:hint="default"/>
        <w:lang w:val="zh-CN" w:eastAsia="zh-CN" w:bidi="zh-CN"/>
      </w:rPr>
    </w:lvl>
    <w:lvl w:ilvl="4" w:tplc="84C4E6B8">
      <w:numFmt w:val="bullet"/>
      <w:lvlText w:val="•"/>
      <w:lvlJc w:val="left"/>
      <w:pPr>
        <w:ind w:left="5086" w:hanging="531"/>
      </w:pPr>
      <w:rPr>
        <w:rFonts w:hint="default"/>
        <w:lang w:val="zh-CN" w:eastAsia="zh-CN" w:bidi="zh-CN"/>
      </w:rPr>
    </w:lvl>
    <w:lvl w:ilvl="5" w:tplc="A2726D80">
      <w:numFmt w:val="bullet"/>
      <w:lvlText w:val="•"/>
      <w:lvlJc w:val="left"/>
      <w:pPr>
        <w:ind w:left="6013" w:hanging="531"/>
      </w:pPr>
      <w:rPr>
        <w:rFonts w:hint="default"/>
        <w:lang w:val="zh-CN" w:eastAsia="zh-CN" w:bidi="zh-CN"/>
      </w:rPr>
    </w:lvl>
    <w:lvl w:ilvl="6" w:tplc="6526BC64">
      <w:numFmt w:val="bullet"/>
      <w:lvlText w:val="•"/>
      <w:lvlJc w:val="left"/>
      <w:pPr>
        <w:ind w:left="6939" w:hanging="531"/>
      </w:pPr>
      <w:rPr>
        <w:rFonts w:hint="default"/>
        <w:lang w:val="zh-CN" w:eastAsia="zh-CN" w:bidi="zh-CN"/>
      </w:rPr>
    </w:lvl>
    <w:lvl w:ilvl="7" w:tplc="F8FC8F16">
      <w:numFmt w:val="bullet"/>
      <w:lvlText w:val="•"/>
      <w:lvlJc w:val="left"/>
      <w:pPr>
        <w:ind w:left="7866" w:hanging="531"/>
      </w:pPr>
      <w:rPr>
        <w:rFonts w:hint="default"/>
        <w:lang w:val="zh-CN" w:eastAsia="zh-CN" w:bidi="zh-CN"/>
      </w:rPr>
    </w:lvl>
    <w:lvl w:ilvl="8" w:tplc="C0145C96">
      <w:numFmt w:val="bullet"/>
      <w:lvlText w:val="•"/>
      <w:lvlJc w:val="left"/>
      <w:pPr>
        <w:ind w:left="8793" w:hanging="531"/>
      </w:pPr>
      <w:rPr>
        <w:rFonts w:hint="default"/>
        <w:lang w:val="zh-CN" w:eastAsia="zh-CN" w:bidi="zh-CN"/>
      </w:rPr>
    </w:lvl>
  </w:abstractNum>
  <w:abstractNum w:abstractNumId="686" w15:restartNumberingAfterBreak="0">
    <w:nsid w:val="5CAA23B2"/>
    <w:multiLevelType w:val="hybridMultilevel"/>
    <w:tmpl w:val="29C61824"/>
    <w:lvl w:ilvl="0" w:tplc="9948CEFA">
      <w:start w:val="7"/>
      <w:numFmt w:val="decimal"/>
      <w:lvlText w:val="%1"/>
      <w:lvlJc w:val="left"/>
      <w:pPr>
        <w:ind w:left="1158" w:hanging="318"/>
        <w:jc w:val="left"/>
      </w:pPr>
      <w:rPr>
        <w:rFonts w:hint="default"/>
        <w:lang w:val="zh-CN" w:eastAsia="zh-CN" w:bidi="zh-CN"/>
      </w:rPr>
    </w:lvl>
    <w:lvl w:ilvl="1" w:tplc="FC620960">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06624BCA">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E118FAF8">
      <w:numFmt w:val="bullet"/>
      <w:lvlText w:val="•"/>
      <w:lvlJc w:val="left"/>
      <w:pPr>
        <w:ind w:left="3268" w:hanging="531"/>
      </w:pPr>
      <w:rPr>
        <w:rFonts w:hint="default"/>
        <w:lang w:val="zh-CN" w:eastAsia="zh-CN" w:bidi="zh-CN"/>
      </w:rPr>
    </w:lvl>
    <w:lvl w:ilvl="4" w:tplc="8550D17C">
      <w:numFmt w:val="bullet"/>
      <w:lvlText w:val="•"/>
      <w:lvlJc w:val="left"/>
      <w:pPr>
        <w:ind w:left="4322" w:hanging="531"/>
      </w:pPr>
      <w:rPr>
        <w:rFonts w:hint="default"/>
        <w:lang w:val="zh-CN" w:eastAsia="zh-CN" w:bidi="zh-CN"/>
      </w:rPr>
    </w:lvl>
    <w:lvl w:ilvl="5" w:tplc="2BF4A592">
      <w:numFmt w:val="bullet"/>
      <w:lvlText w:val="•"/>
      <w:lvlJc w:val="left"/>
      <w:pPr>
        <w:ind w:left="5376" w:hanging="531"/>
      </w:pPr>
      <w:rPr>
        <w:rFonts w:hint="default"/>
        <w:lang w:val="zh-CN" w:eastAsia="zh-CN" w:bidi="zh-CN"/>
      </w:rPr>
    </w:lvl>
    <w:lvl w:ilvl="6" w:tplc="7180A078">
      <w:numFmt w:val="bullet"/>
      <w:lvlText w:val="•"/>
      <w:lvlJc w:val="left"/>
      <w:pPr>
        <w:ind w:left="6430" w:hanging="531"/>
      </w:pPr>
      <w:rPr>
        <w:rFonts w:hint="default"/>
        <w:lang w:val="zh-CN" w:eastAsia="zh-CN" w:bidi="zh-CN"/>
      </w:rPr>
    </w:lvl>
    <w:lvl w:ilvl="7" w:tplc="AABC66AC">
      <w:numFmt w:val="bullet"/>
      <w:lvlText w:val="•"/>
      <w:lvlJc w:val="left"/>
      <w:pPr>
        <w:ind w:left="7484" w:hanging="531"/>
      </w:pPr>
      <w:rPr>
        <w:rFonts w:hint="default"/>
        <w:lang w:val="zh-CN" w:eastAsia="zh-CN" w:bidi="zh-CN"/>
      </w:rPr>
    </w:lvl>
    <w:lvl w:ilvl="8" w:tplc="5D501998">
      <w:numFmt w:val="bullet"/>
      <w:lvlText w:val="•"/>
      <w:lvlJc w:val="left"/>
      <w:pPr>
        <w:ind w:left="8538" w:hanging="531"/>
      </w:pPr>
      <w:rPr>
        <w:rFonts w:hint="default"/>
        <w:lang w:val="zh-CN" w:eastAsia="zh-CN" w:bidi="zh-CN"/>
      </w:rPr>
    </w:lvl>
  </w:abstractNum>
  <w:abstractNum w:abstractNumId="687" w15:restartNumberingAfterBreak="0">
    <w:nsid w:val="5CC1134A"/>
    <w:multiLevelType w:val="hybridMultilevel"/>
    <w:tmpl w:val="54745F50"/>
    <w:lvl w:ilvl="0" w:tplc="F91C6848">
      <w:start w:val="2"/>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0FC094DC">
      <w:numFmt w:val="bullet"/>
      <w:lvlText w:val="•"/>
      <w:lvlJc w:val="left"/>
      <w:pPr>
        <w:ind w:left="2018" w:hanging="213"/>
      </w:pPr>
      <w:rPr>
        <w:rFonts w:hint="default"/>
        <w:lang w:val="zh-CN" w:eastAsia="zh-CN" w:bidi="zh-CN"/>
      </w:rPr>
    </w:lvl>
    <w:lvl w:ilvl="2" w:tplc="4C2249DA">
      <w:numFmt w:val="bullet"/>
      <w:lvlText w:val="•"/>
      <w:lvlJc w:val="left"/>
      <w:pPr>
        <w:ind w:left="2977" w:hanging="213"/>
      </w:pPr>
      <w:rPr>
        <w:rFonts w:hint="default"/>
        <w:lang w:val="zh-CN" w:eastAsia="zh-CN" w:bidi="zh-CN"/>
      </w:rPr>
    </w:lvl>
    <w:lvl w:ilvl="3" w:tplc="9350DB16">
      <w:numFmt w:val="bullet"/>
      <w:lvlText w:val="•"/>
      <w:lvlJc w:val="left"/>
      <w:pPr>
        <w:ind w:left="3935" w:hanging="213"/>
      </w:pPr>
      <w:rPr>
        <w:rFonts w:hint="default"/>
        <w:lang w:val="zh-CN" w:eastAsia="zh-CN" w:bidi="zh-CN"/>
      </w:rPr>
    </w:lvl>
    <w:lvl w:ilvl="4" w:tplc="81A89B02">
      <w:numFmt w:val="bullet"/>
      <w:lvlText w:val="•"/>
      <w:lvlJc w:val="left"/>
      <w:pPr>
        <w:ind w:left="4894" w:hanging="213"/>
      </w:pPr>
      <w:rPr>
        <w:rFonts w:hint="default"/>
        <w:lang w:val="zh-CN" w:eastAsia="zh-CN" w:bidi="zh-CN"/>
      </w:rPr>
    </w:lvl>
    <w:lvl w:ilvl="5" w:tplc="05DE6B8E">
      <w:numFmt w:val="bullet"/>
      <w:lvlText w:val="•"/>
      <w:lvlJc w:val="left"/>
      <w:pPr>
        <w:ind w:left="5853" w:hanging="213"/>
      </w:pPr>
      <w:rPr>
        <w:rFonts w:hint="default"/>
        <w:lang w:val="zh-CN" w:eastAsia="zh-CN" w:bidi="zh-CN"/>
      </w:rPr>
    </w:lvl>
    <w:lvl w:ilvl="6" w:tplc="C96E0E7E">
      <w:numFmt w:val="bullet"/>
      <w:lvlText w:val="•"/>
      <w:lvlJc w:val="left"/>
      <w:pPr>
        <w:ind w:left="6811" w:hanging="213"/>
      </w:pPr>
      <w:rPr>
        <w:rFonts w:hint="default"/>
        <w:lang w:val="zh-CN" w:eastAsia="zh-CN" w:bidi="zh-CN"/>
      </w:rPr>
    </w:lvl>
    <w:lvl w:ilvl="7" w:tplc="660AF296">
      <w:numFmt w:val="bullet"/>
      <w:lvlText w:val="•"/>
      <w:lvlJc w:val="left"/>
      <w:pPr>
        <w:ind w:left="7770" w:hanging="213"/>
      </w:pPr>
      <w:rPr>
        <w:rFonts w:hint="default"/>
        <w:lang w:val="zh-CN" w:eastAsia="zh-CN" w:bidi="zh-CN"/>
      </w:rPr>
    </w:lvl>
    <w:lvl w:ilvl="8" w:tplc="045A2BC6">
      <w:numFmt w:val="bullet"/>
      <w:lvlText w:val="•"/>
      <w:lvlJc w:val="left"/>
      <w:pPr>
        <w:ind w:left="8729" w:hanging="213"/>
      </w:pPr>
      <w:rPr>
        <w:rFonts w:hint="default"/>
        <w:lang w:val="zh-CN" w:eastAsia="zh-CN" w:bidi="zh-CN"/>
      </w:rPr>
    </w:lvl>
  </w:abstractNum>
  <w:abstractNum w:abstractNumId="688" w15:restartNumberingAfterBreak="0">
    <w:nsid w:val="5D1C41B4"/>
    <w:multiLevelType w:val="hybridMultilevel"/>
    <w:tmpl w:val="AB987654"/>
    <w:lvl w:ilvl="0" w:tplc="DA883088">
      <w:start w:val="1"/>
      <w:numFmt w:val="decimal"/>
      <w:lvlText w:val="%1"/>
      <w:lvlJc w:val="left"/>
      <w:pPr>
        <w:ind w:left="418" w:hanging="320"/>
        <w:jc w:val="left"/>
      </w:pPr>
      <w:rPr>
        <w:rFonts w:hint="default"/>
        <w:lang w:val="zh-CN" w:eastAsia="zh-CN" w:bidi="zh-CN"/>
      </w:rPr>
    </w:lvl>
    <w:lvl w:ilvl="1" w:tplc="25802168">
      <w:start w:val="1"/>
      <w:numFmt w:val="decimal"/>
      <w:lvlText w:val="%1.%2"/>
      <w:lvlJc w:val="left"/>
      <w:pPr>
        <w:ind w:left="418" w:hanging="320"/>
        <w:jc w:val="left"/>
      </w:pPr>
      <w:rPr>
        <w:rFonts w:ascii="宋体" w:eastAsia="宋体" w:hAnsi="宋体" w:cs="宋体" w:hint="default"/>
        <w:b/>
        <w:bCs/>
        <w:w w:val="99"/>
        <w:sz w:val="19"/>
        <w:szCs w:val="19"/>
        <w:lang w:val="zh-CN" w:eastAsia="zh-CN" w:bidi="zh-CN"/>
      </w:rPr>
    </w:lvl>
    <w:lvl w:ilvl="2" w:tplc="1A520AB2">
      <w:numFmt w:val="bullet"/>
      <w:lvlText w:val="•"/>
      <w:lvlJc w:val="left"/>
      <w:pPr>
        <w:ind w:left="2465" w:hanging="320"/>
      </w:pPr>
      <w:rPr>
        <w:rFonts w:hint="default"/>
        <w:lang w:val="zh-CN" w:eastAsia="zh-CN" w:bidi="zh-CN"/>
      </w:rPr>
    </w:lvl>
    <w:lvl w:ilvl="3" w:tplc="9A38C3AE">
      <w:numFmt w:val="bullet"/>
      <w:lvlText w:val="•"/>
      <w:lvlJc w:val="left"/>
      <w:pPr>
        <w:ind w:left="3487" w:hanging="320"/>
      </w:pPr>
      <w:rPr>
        <w:rFonts w:hint="default"/>
        <w:lang w:val="zh-CN" w:eastAsia="zh-CN" w:bidi="zh-CN"/>
      </w:rPr>
    </w:lvl>
    <w:lvl w:ilvl="4" w:tplc="963ADBF4">
      <w:numFmt w:val="bullet"/>
      <w:lvlText w:val="•"/>
      <w:lvlJc w:val="left"/>
      <w:pPr>
        <w:ind w:left="4510" w:hanging="320"/>
      </w:pPr>
      <w:rPr>
        <w:rFonts w:hint="default"/>
        <w:lang w:val="zh-CN" w:eastAsia="zh-CN" w:bidi="zh-CN"/>
      </w:rPr>
    </w:lvl>
    <w:lvl w:ilvl="5" w:tplc="A1F48FBC">
      <w:numFmt w:val="bullet"/>
      <w:lvlText w:val="•"/>
      <w:lvlJc w:val="left"/>
      <w:pPr>
        <w:ind w:left="5533" w:hanging="320"/>
      </w:pPr>
      <w:rPr>
        <w:rFonts w:hint="default"/>
        <w:lang w:val="zh-CN" w:eastAsia="zh-CN" w:bidi="zh-CN"/>
      </w:rPr>
    </w:lvl>
    <w:lvl w:ilvl="6" w:tplc="A76E9772">
      <w:numFmt w:val="bullet"/>
      <w:lvlText w:val="•"/>
      <w:lvlJc w:val="left"/>
      <w:pPr>
        <w:ind w:left="6555" w:hanging="320"/>
      </w:pPr>
      <w:rPr>
        <w:rFonts w:hint="default"/>
        <w:lang w:val="zh-CN" w:eastAsia="zh-CN" w:bidi="zh-CN"/>
      </w:rPr>
    </w:lvl>
    <w:lvl w:ilvl="7" w:tplc="5E08B570">
      <w:numFmt w:val="bullet"/>
      <w:lvlText w:val="•"/>
      <w:lvlJc w:val="left"/>
      <w:pPr>
        <w:ind w:left="7578" w:hanging="320"/>
      </w:pPr>
      <w:rPr>
        <w:rFonts w:hint="default"/>
        <w:lang w:val="zh-CN" w:eastAsia="zh-CN" w:bidi="zh-CN"/>
      </w:rPr>
    </w:lvl>
    <w:lvl w:ilvl="8" w:tplc="08B8B4E0">
      <w:numFmt w:val="bullet"/>
      <w:lvlText w:val="•"/>
      <w:lvlJc w:val="left"/>
      <w:pPr>
        <w:ind w:left="8601" w:hanging="320"/>
      </w:pPr>
      <w:rPr>
        <w:rFonts w:hint="default"/>
        <w:lang w:val="zh-CN" w:eastAsia="zh-CN" w:bidi="zh-CN"/>
      </w:rPr>
    </w:lvl>
  </w:abstractNum>
  <w:abstractNum w:abstractNumId="689" w15:restartNumberingAfterBreak="0">
    <w:nsid w:val="5D3034AB"/>
    <w:multiLevelType w:val="hybridMultilevel"/>
    <w:tmpl w:val="7A3855A4"/>
    <w:lvl w:ilvl="0" w:tplc="EB5E152C">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8AFED6E8">
      <w:numFmt w:val="bullet"/>
      <w:lvlText w:val="•"/>
      <w:lvlJc w:val="left"/>
      <w:pPr>
        <w:ind w:left="1442" w:hanging="529"/>
      </w:pPr>
      <w:rPr>
        <w:rFonts w:hint="default"/>
        <w:lang w:val="zh-CN" w:eastAsia="zh-CN" w:bidi="zh-CN"/>
      </w:rPr>
    </w:lvl>
    <w:lvl w:ilvl="2" w:tplc="FB3497C6">
      <w:numFmt w:val="bullet"/>
      <w:lvlText w:val="•"/>
      <w:lvlJc w:val="left"/>
      <w:pPr>
        <w:ind w:left="2465" w:hanging="529"/>
      </w:pPr>
      <w:rPr>
        <w:rFonts w:hint="default"/>
        <w:lang w:val="zh-CN" w:eastAsia="zh-CN" w:bidi="zh-CN"/>
      </w:rPr>
    </w:lvl>
    <w:lvl w:ilvl="3" w:tplc="370C49E8">
      <w:numFmt w:val="bullet"/>
      <w:lvlText w:val="•"/>
      <w:lvlJc w:val="left"/>
      <w:pPr>
        <w:ind w:left="3487" w:hanging="529"/>
      </w:pPr>
      <w:rPr>
        <w:rFonts w:hint="default"/>
        <w:lang w:val="zh-CN" w:eastAsia="zh-CN" w:bidi="zh-CN"/>
      </w:rPr>
    </w:lvl>
    <w:lvl w:ilvl="4" w:tplc="CFCC6010">
      <w:numFmt w:val="bullet"/>
      <w:lvlText w:val="•"/>
      <w:lvlJc w:val="left"/>
      <w:pPr>
        <w:ind w:left="4510" w:hanging="529"/>
      </w:pPr>
      <w:rPr>
        <w:rFonts w:hint="default"/>
        <w:lang w:val="zh-CN" w:eastAsia="zh-CN" w:bidi="zh-CN"/>
      </w:rPr>
    </w:lvl>
    <w:lvl w:ilvl="5" w:tplc="D600345E">
      <w:numFmt w:val="bullet"/>
      <w:lvlText w:val="•"/>
      <w:lvlJc w:val="left"/>
      <w:pPr>
        <w:ind w:left="5533" w:hanging="529"/>
      </w:pPr>
      <w:rPr>
        <w:rFonts w:hint="default"/>
        <w:lang w:val="zh-CN" w:eastAsia="zh-CN" w:bidi="zh-CN"/>
      </w:rPr>
    </w:lvl>
    <w:lvl w:ilvl="6" w:tplc="7A4ADB30">
      <w:numFmt w:val="bullet"/>
      <w:lvlText w:val="•"/>
      <w:lvlJc w:val="left"/>
      <w:pPr>
        <w:ind w:left="6555" w:hanging="529"/>
      </w:pPr>
      <w:rPr>
        <w:rFonts w:hint="default"/>
        <w:lang w:val="zh-CN" w:eastAsia="zh-CN" w:bidi="zh-CN"/>
      </w:rPr>
    </w:lvl>
    <w:lvl w:ilvl="7" w:tplc="435222E4">
      <w:numFmt w:val="bullet"/>
      <w:lvlText w:val="•"/>
      <w:lvlJc w:val="left"/>
      <w:pPr>
        <w:ind w:left="7578" w:hanging="529"/>
      </w:pPr>
      <w:rPr>
        <w:rFonts w:hint="default"/>
        <w:lang w:val="zh-CN" w:eastAsia="zh-CN" w:bidi="zh-CN"/>
      </w:rPr>
    </w:lvl>
    <w:lvl w:ilvl="8" w:tplc="E6C48E42">
      <w:numFmt w:val="bullet"/>
      <w:lvlText w:val="•"/>
      <w:lvlJc w:val="left"/>
      <w:pPr>
        <w:ind w:left="8601" w:hanging="529"/>
      </w:pPr>
      <w:rPr>
        <w:rFonts w:hint="default"/>
        <w:lang w:val="zh-CN" w:eastAsia="zh-CN" w:bidi="zh-CN"/>
      </w:rPr>
    </w:lvl>
  </w:abstractNum>
  <w:abstractNum w:abstractNumId="690" w15:restartNumberingAfterBreak="0">
    <w:nsid w:val="5D84612F"/>
    <w:multiLevelType w:val="hybridMultilevel"/>
    <w:tmpl w:val="108C1D0E"/>
    <w:lvl w:ilvl="0" w:tplc="2614546A">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CBE2558A">
      <w:numFmt w:val="bullet"/>
      <w:lvlText w:val="•"/>
      <w:lvlJc w:val="left"/>
      <w:pPr>
        <w:ind w:left="2288" w:hanging="529"/>
      </w:pPr>
      <w:rPr>
        <w:rFonts w:hint="default"/>
        <w:lang w:val="zh-CN" w:eastAsia="zh-CN" w:bidi="zh-CN"/>
      </w:rPr>
    </w:lvl>
    <w:lvl w:ilvl="2" w:tplc="E676E302">
      <w:numFmt w:val="bullet"/>
      <w:lvlText w:val="•"/>
      <w:lvlJc w:val="left"/>
      <w:pPr>
        <w:ind w:left="3217" w:hanging="529"/>
      </w:pPr>
      <w:rPr>
        <w:rFonts w:hint="default"/>
        <w:lang w:val="zh-CN" w:eastAsia="zh-CN" w:bidi="zh-CN"/>
      </w:rPr>
    </w:lvl>
    <w:lvl w:ilvl="3" w:tplc="41827E70">
      <w:numFmt w:val="bullet"/>
      <w:lvlText w:val="•"/>
      <w:lvlJc w:val="left"/>
      <w:pPr>
        <w:ind w:left="4145" w:hanging="529"/>
      </w:pPr>
      <w:rPr>
        <w:rFonts w:hint="default"/>
        <w:lang w:val="zh-CN" w:eastAsia="zh-CN" w:bidi="zh-CN"/>
      </w:rPr>
    </w:lvl>
    <w:lvl w:ilvl="4" w:tplc="ECF8918C">
      <w:numFmt w:val="bullet"/>
      <w:lvlText w:val="•"/>
      <w:lvlJc w:val="left"/>
      <w:pPr>
        <w:ind w:left="5074" w:hanging="529"/>
      </w:pPr>
      <w:rPr>
        <w:rFonts w:hint="default"/>
        <w:lang w:val="zh-CN" w:eastAsia="zh-CN" w:bidi="zh-CN"/>
      </w:rPr>
    </w:lvl>
    <w:lvl w:ilvl="5" w:tplc="420051A0">
      <w:numFmt w:val="bullet"/>
      <w:lvlText w:val="•"/>
      <w:lvlJc w:val="left"/>
      <w:pPr>
        <w:ind w:left="6003" w:hanging="529"/>
      </w:pPr>
      <w:rPr>
        <w:rFonts w:hint="default"/>
        <w:lang w:val="zh-CN" w:eastAsia="zh-CN" w:bidi="zh-CN"/>
      </w:rPr>
    </w:lvl>
    <w:lvl w:ilvl="6" w:tplc="FC3E87B6">
      <w:numFmt w:val="bullet"/>
      <w:lvlText w:val="•"/>
      <w:lvlJc w:val="left"/>
      <w:pPr>
        <w:ind w:left="6931" w:hanging="529"/>
      </w:pPr>
      <w:rPr>
        <w:rFonts w:hint="default"/>
        <w:lang w:val="zh-CN" w:eastAsia="zh-CN" w:bidi="zh-CN"/>
      </w:rPr>
    </w:lvl>
    <w:lvl w:ilvl="7" w:tplc="C3BC9EBA">
      <w:numFmt w:val="bullet"/>
      <w:lvlText w:val="•"/>
      <w:lvlJc w:val="left"/>
      <w:pPr>
        <w:ind w:left="7860" w:hanging="529"/>
      </w:pPr>
      <w:rPr>
        <w:rFonts w:hint="default"/>
        <w:lang w:val="zh-CN" w:eastAsia="zh-CN" w:bidi="zh-CN"/>
      </w:rPr>
    </w:lvl>
    <w:lvl w:ilvl="8" w:tplc="B706D04E">
      <w:numFmt w:val="bullet"/>
      <w:lvlText w:val="•"/>
      <w:lvlJc w:val="left"/>
      <w:pPr>
        <w:ind w:left="8789" w:hanging="529"/>
      </w:pPr>
      <w:rPr>
        <w:rFonts w:hint="default"/>
        <w:lang w:val="zh-CN" w:eastAsia="zh-CN" w:bidi="zh-CN"/>
      </w:rPr>
    </w:lvl>
  </w:abstractNum>
  <w:abstractNum w:abstractNumId="691" w15:restartNumberingAfterBreak="0">
    <w:nsid w:val="5DA41733"/>
    <w:multiLevelType w:val="hybridMultilevel"/>
    <w:tmpl w:val="51E8C51E"/>
    <w:lvl w:ilvl="0" w:tplc="A350DEE8">
      <w:start w:val="4"/>
      <w:numFmt w:val="upperLetter"/>
      <w:lvlText w:val="%1"/>
      <w:lvlJc w:val="left"/>
      <w:pPr>
        <w:ind w:left="418" w:hanging="531"/>
        <w:jc w:val="left"/>
      </w:pPr>
      <w:rPr>
        <w:rFonts w:hint="default"/>
        <w:lang w:val="zh-CN" w:eastAsia="zh-CN" w:bidi="zh-CN"/>
      </w:rPr>
    </w:lvl>
    <w:lvl w:ilvl="1" w:tplc="2C460920">
      <w:start w:val="2"/>
      <w:numFmt w:val="decimal"/>
      <w:lvlText w:val="%1.%2"/>
      <w:lvlJc w:val="left"/>
      <w:pPr>
        <w:ind w:left="418" w:hanging="531"/>
        <w:jc w:val="left"/>
      </w:pPr>
      <w:rPr>
        <w:rFonts w:hint="default"/>
        <w:lang w:val="zh-CN" w:eastAsia="zh-CN" w:bidi="zh-CN"/>
      </w:rPr>
    </w:lvl>
    <w:lvl w:ilvl="2" w:tplc="841ED0B2">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E3D02842">
      <w:numFmt w:val="bullet"/>
      <w:lvlText w:val="•"/>
      <w:lvlJc w:val="left"/>
      <w:pPr>
        <w:ind w:left="3487" w:hanging="531"/>
      </w:pPr>
      <w:rPr>
        <w:rFonts w:hint="default"/>
        <w:lang w:val="zh-CN" w:eastAsia="zh-CN" w:bidi="zh-CN"/>
      </w:rPr>
    </w:lvl>
    <w:lvl w:ilvl="4" w:tplc="F23EFA08">
      <w:numFmt w:val="bullet"/>
      <w:lvlText w:val="•"/>
      <w:lvlJc w:val="left"/>
      <w:pPr>
        <w:ind w:left="4510" w:hanging="531"/>
      </w:pPr>
      <w:rPr>
        <w:rFonts w:hint="default"/>
        <w:lang w:val="zh-CN" w:eastAsia="zh-CN" w:bidi="zh-CN"/>
      </w:rPr>
    </w:lvl>
    <w:lvl w:ilvl="5" w:tplc="D082B4CE">
      <w:numFmt w:val="bullet"/>
      <w:lvlText w:val="•"/>
      <w:lvlJc w:val="left"/>
      <w:pPr>
        <w:ind w:left="5533" w:hanging="531"/>
      </w:pPr>
      <w:rPr>
        <w:rFonts w:hint="default"/>
        <w:lang w:val="zh-CN" w:eastAsia="zh-CN" w:bidi="zh-CN"/>
      </w:rPr>
    </w:lvl>
    <w:lvl w:ilvl="6" w:tplc="BB9A934A">
      <w:numFmt w:val="bullet"/>
      <w:lvlText w:val="•"/>
      <w:lvlJc w:val="left"/>
      <w:pPr>
        <w:ind w:left="6555" w:hanging="531"/>
      </w:pPr>
      <w:rPr>
        <w:rFonts w:hint="default"/>
        <w:lang w:val="zh-CN" w:eastAsia="zh-CN" w:bidi="zh-CN"/>
      </w:rPr>
    </w:lvl>
    <w:lvl w:ilvl="7" w:tplc="16EEEB3A">
      <w:numFmt w:val="bullet"/>
      <w:lvlText w:val="•"/>
      <w:lvlJc w:val="left"/>
      <w:pPr>
        <w:ind w:left="7578" w:hanging="531"/>
      </w:pPr>
      <w:rPr>
        <w:rFonts w:hint="default"/>
        <w:lang w:val="zh-CN" w:eastAsia="zh-CN" w:bidi="zh-CN"/>
      </w:rPr>
    </w:lvl>
    <w:lvl w:ilvl="8" w:tplc="90C2C656">
      <w:numFmt w:val="bullet"/>
      <w:lvlText w:val="•"/>
      <w:lvlJc w:val="left"/>
      <w:pPr>
        <w:ind w:left="8601" w:hanging="531"/>
      </w:pPr>
      <w:rPr>
        <w:rFonts w:hint="default"/>
        <w:lang w:val="zh-CN" w:eastAsia="zh-CN" w:bidi="zh-CN"/>
      </w:rPr>
    </w:lvl>
  </w:abstractNum>
  <w:abstractNum w:abstractNumId="692" w15:restartNumberingAfterBreak="0">
    <w:nsid w:val="5DFB4317"/>
    <w:multiLevelType w:val="hybridMultilevel"/>
    <w:tmpl w:val="3A5C41BC"/>
    <w:lvl w:ilvl="0" w:tplc="58922B20">
      <w:start w:val="5"/>
      <w:numFmt w:val="decimal"/>
      <w:lvlText w:val="%1"/>
      <w:lvlJc w:val="left"/>
      <w:pPr>
        <w:ind w:left="1370" w:hanging="531"/>
        <w:jc w:val="left"/>
      </w:pPr>
      <w:rPr>
        <w:rFonts w:hint="default"/>
        <w:lang w:val="zh-CN" w:eastAsia="zh-CN" w:bidi="zh-CN"/>
      </w:rPr>
    </w:lvl>
    <w:lvl w:ilvl="1" w:tplc="C4FEBFEE">
      <w:start w:val="4"/>
      <w:numFmt w:val="decimal"/>
      <w:lvlText w:val="%1.%2"/>
      <w:lvlJc w:val="left"/>
      <w:pPr>
        <w:ind w:left="1370" w:hanging="531"/>
        <w:jc w:val="left"/>
      </w:pPr>
      <w:rPr>
        <w:rFonts w:hint="default"/>
        <w:lang w:val="zh-CN" w:eastAsia="zh-CN" w:bidi="zh-CN"/>
      </w:rPr>
    </w:lvl>
    <w:lvl w:ilvl="2" w:tplc="C81C8106">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60120AB4">
      <w:numFmt w:val="bullet"/>
      <w:lvlText w:val="•"/>
      <w:lvlJc w:val="left"/>
      <w:pPr>
        <w:ind w:left="4159" w:hanging="531"/>
      </w:pPr>
      <w:rPr>
        <w:rFonts w:hint="default"/>
        <w:lang w:val="zh-CN" w:eastAsia="zh-CN" w:bidi="zh-CN"/>
      </w:rPr>
    </w:lvl>
    <w:lvl w:ilvl="4" w:tplc="F47E3D12">
      <w:numFmt w:val="bullet"/>
      <w:lvlText w:val="•"/>
      <w:lvlJc w:val="left"/>
      <w:pPr>
        <w:ind w:left="5086" w:hanging="531"/>
      </w:pPr>
      <w:rPr>
        <w:rFonts w:hint="default"/>
        <w:lang w:val="zh-CN" w:eastAsia="zh-CN" w:bidi="zh-CN"/>
      </w:rPr>
    </w:lvl>
    <w:lvl w:ilvl="5" w:tplc="24A092FE">
      <w:numFmt w:val="bullet"/>
      <w:lvlText w:val="•"/>
      <w:lvlJc w:val="left"/>
      <w:pPr>
        <w:ind w:left="6013" w:hanging="531"/>
      </w:pPr>
      <w:rPr>
        <w:rFonts w:hint="default"/>
        <w:lang w:val="zh-CN" w:eastAsia="zh-CN" w:bidi="zh-CN"/>
      </w:rPr>
    </w:lvl>
    <w:lvl w:ilvl="6" w:tplc="AA4E06CC">
      <w:numFmt w:val="bullet"/>
      <w:lvlText w:val="•"/>
      <w:lvlJc w:val="left"/>
      <w:pPr>
        <w:ind w:left="6939" w:hanging="531"/>
      </w:pPr>
      <w:rPr>
        <w:rFonts w:hint="default"/>
        <w:lang w:val="zh-CN" w:eastAsia="zh-CN" w:bidi="zh-CN"/>
      </w:rPr>
    </w:lvl>
    <w:lvl w:ilvl="7" w:tplc="34340D06">
      <w:numFmt w:val="bullet"/>
      <w:lvlText w:val="•"/>
      <w:lvlJc w:val="left"/>
      <w:pPr>
        <w:ind w:left="7866" w:hanging="531"/>
      </w:pPr>
      <w:rPr>
        <w:rFonts w:hint="default"/>
        <w:lang w:val="zh-CN" w:eastAsia="zh-CN" w:bidi="zh-CN"/>
      </w:rPr>
    </w:lvl>
    <w:lvl w:ilvl="8" w:tplc="1D5A6B18">
      <w:numFmt w:val="bullet"/>
      <w:lvlText w:val="•"/>
      <w:lvlJc w:val="left"/>
      <w:pPr>
        <w:ind w:left="8793" w:hanging="531"/>
      </w:pPr>
      <w:rPr>
        <w:rFonts w:hint="default"/>
        <w:lang w:val="zh-CN" w:eastAsia="zh-CN" w:bidi="zh-CN"/>
      </w:rPr>
    </w:lvl>
  </w:abstractNum>
  <w:abstractNum w:abstractNumId="693" w15:restartNumberingAfterBreak="0">
    <w:nsid w:val="5E2B65E8"/>
    <w:multiLevelType w:val="hybridMultilevel"/>
    <w:tmpl w:val="8D6E1BE4"/>
    <w:lvl w:ilvl="0" w:tplc="796469C0">
      <w:start w:val="1"/>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743C9C02">
      <w:numFmt w:val="bullet"/>
      <w:lvlText w:val="•"/>
      <w:lvlJc w:val="left"/>
      <w:pPr>
        <w:ind w:left="2018" w:hanging="213"/>
      </w:pPr>
      <w:rPr>
        <w:rFonts w:hint="default"/>
        <w:lang w:val="zh-CN" w:eastAsia="zh-CN" w:bidi="zh-CN"/>
      </w:rPr>
    </w:lvl>
    <w:lvl w:ilvl="2" w:tplc="6ADE4290">
      <w:numFmt w:val="bullet"/>
      <w:lvlText w:val="•"/>
      <w:lvlJc w:val="left"/>
      <w:pPr>
        <w:ind w:left="2977" w:hanging="213"/>
      </w:pPr>
      <w:rPr>
        <w:rFonts w:hint="default"/>
        <w:lang w:val="zh-CN" w:eastAsia="zh-CN" w:bidi="zh-CN"/>
      </w:rPr>
    </w:lvl>
    <w:lvl w:ilvl="3" w:tplc="FF5AC290">
      <w:numFmt w:val="bullet"/>
      <w:lvlText w:val="•"/>
      <w:lvlJc w:val="left"/>
      <w:pPr>
        <w:ind w:left="3935" w:hanging="213"/>
      </w:pPr>
      <w:rPr>
        <w:rFonts w:hint="default"/>
        <w:lang w:val="zh-CN" w:eastAsia="zh-CN" w:bidi="zh-CN"/>
      </w:rPr>
    </w:lvl>
    <w:lvl w:ilvl="4" w:tplc="91B2D812">
      <w:numFmt w:val="bullet"/>
      <w:lvlText w:val="•"/>
      <w:lvlJc w:val="left"/>
      <w:pPr>
        <w:ind w:left="4894" w:hanging="213"/>
      </w:pPr>
      <w:rPr>
        <w:rFonts w:hint="default"/>
        <w:lang w:val="zh-CN" w:eastAsia="zh-CN" w:bidi="zh-CN"/>
      </w:rPr>
    </w:lvl>
    <w:lvl w:ilvl="5" w:tplc="A8CC1F12">
      <w:numFmt w:val="bullet"/>
      <w:lvlText w:val="•"/>
      <w:lvlJc w:val="left"/>
      <w:pPr>
        <w:ind w:left="5853" w:hanging="213"/>
      </w:pPr>
      <w:rPr>
        <w:rFonts w:hint="default"/>
        <w:lang w:val="zh-CN" w:eastAsia="zh-CN" w:bidi="zh-CN"/>
      </w:rPr>
    </w:lvl>
    <w:lvl w:ilvl="6" w:tplc="68BC6722">
      <w:numFmt w:val="bullet"/>
      <w:lvlText w:val="•"/>
      <w:lvlJc w:val="left"/>
      <w:pPr>
        <w:ind w:left="6811" w:hanging="213"/>
      </w:pPr>
      <w:rPr>
        <w:rFonts w:hint="default"/>
        <w:lang w:val="zh-CN" w:eastAsia="zh-CN" w:bidi="zh-CN"/>
      </w:rPr>
    </w:lvl>
    <w:lvl w:ilvl="7" w:tplc="201C4E8A">
      <w:numFmt w:val="bullet"/>
      <w:lvlText w:val="•"/>
      <w:lvlJc w:val="left"/>
      <w:pPr>
        <w:ind w:left="7770" w:hanging="213"/>
      </w:pPr>
      <w:rPr>
        <w:rFonts w:hint="default"/>
        <w:lang w:val="zh-CN" w:eastAsia="zh-CN" w:bidi="zh-CN"/>
      </w:rPr>
    </w:lvl>
    <w:lvl w:ilvl="8" w:tplc="66A09F10">
      <w:numFmt w:val="bullet"/>
      <w:lvlText w:val="•"/>
      <w:lvlJc w:val="left"/>
      <w:pPr>
        <w:ind w:left="8729" w:hanging="213"/>
      </w:pPr>
      <w:rPr>
        <w:rFonts w:hint="default"/>
        <w:lang w:val="zh-CN" w:eastAsia="zh-CN" w:bidi="zh-CN"/>
      </w:rPr>
    </w:lvl>
  </w:abstractNum>
  <w:abstractNum w:abstractNumId="694" w15:restartNumberingAfterBreak="0">
    <w:nsid w:val="5E407AB5"/>
    <w:multiLevelType w:val="hybridMultilevel"/>
    <w:tmpl w:val="84565204"/>
    <w:lvl w:ilvl="0" w:tplc="EF8C5E72">
      <w:start w:val="4"/>
      <w:numFmt w:val="decimal"/>
      <w:lvlText w:val="%1"/>
      <w:lvlJc w:val="left"/>
      <w:pPr>
        <w:ind w:left="1575" w:hanging="738"/>
        <w:jc w:val="left"/>
      </w:pPr>
      <w:rPr>
        <w:rFonts w:hint="default"/>
        <w:lang w:val="zh-CN" w:eastAsia="zh-CN" w:bidi="zh-CN"/>
      </w:rPr>
    </w:lvl>
    <w:lvl w:ilvl="1" w:tplc="CB6A19D2">
      <w:start w:val="2"/>
      <w:numFmt w:val="decimal"/>
      <w:lvlText w:val="%1.%2"/>
      <w:lvlJc w:val="left"/>
      <w:pPr>
        <w:ind w:left="1575" w:hanging="738"/>
        <w:jc w:val="left"/>
      </w:pPr>
      <w:rPr>
        <w:rFonts w:hint="default"/>
        <w:lang w:val="zh-CN" w:eastAsia="zh-CN" w:bidi="zh-CN"/>
      </w:rPr>
    </w:lvl>
    <w:lvl w:ilvl="2" w:tplc="DDE06376">
      <w:start w:val="2"/>
      <w:numFmt w:val="decimal"/>
      <w:lvlText w:val="%1.%2.%3"/>
      <w:lvlJc w:val="left"/>
      <w:pPr>
        <w:ind w:left="1575" w:hanging="738"/>
        <w:jc w:val="left"/>
      </w:pPr>
      <w:rPr>
        <w:rFonts w:hint="default"/>
        <w:lang w:val="zh-CN" w:eastAsia="zh-CN" w:bidi="zh-CN"/>
      </w:rPr>
    </w:lvl>
    <w:lvl w:ilvl="3" w:tplc="0BAE79A0">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8CCCEB34">
      <w:numFmt w:val="bullet"/>
      <w:lvlText w:val="•"/>
      <w:lvlJc w:val="left"/>
      <w:pPr>
        <w:ind w:left="5206" w:hanging="738"/>
      </w:pPr>
      <w:rPr>
        <w:rFonts w:hint="default"/>
        <w:lang w:val="zh-CN" w:eastAsia="zh-CN" w:bidi="zh-CN"/>
      </w:rPr>
    </w:lvl>
    <w:lvl w:ilvl="5" w:tplc="E5EC2CD4">
      <w:numFmt w:val="bullet"/>
      <w:lvlText w:val="•"/>
      <w:lvlJc w:val="left"/>
      <w:pPr>
        <w:ind w:left="6113" w:hanging="738"/>
      </w:pPr>
      <w:rPr>
        <w:rFonts w:hint="default"/>
        <w:lang w:val="zh-CN" w:eastAsia="zh-CN" w:bidi="zh-CN"/>
      </w:rPr>
    </w:lvl>
    <w:lvl w:ilvl="6" w:tplc="203E443E">
      <w:numFmt w:val="bullet"/>
      <w:lvlText w:val="•"/>
      <w:lvlJc w:val="left"/>
      <w:pPr>
        <w:ind w:left="7019" w:hanging="738"/>
      </w:pPr>
      <w:rPr>
        <w:rFonts w:hint="default"/>
        <w:lang w:val="zh-CN" w:eastAsia="zh-CN" w:bidi="zh-CN"/>
      </w:rPr>
    </w:lvl>
    <w:lvl w:ilvl="7" w:tplc="8E8C328A">
      <w:numFmt w:val="bullet"/>
      <w:lvlText w:val="•"/>
      <w:lvlJc w:val="left"/>
      <w:pPr>
        <w:ind w:left="7926" w:hanging="738"/>
      </w:pPr>
      <w:rPr>
        <w:rFonts w:hint="default"/>
        <w:lang w:val="zh-CN" w:eastAsia="zh-CN" w:bidi="zh-CN"/>
      </w:rPr>
    </w:lvl>
    <w:lvl w:ilvl="8" w:tplc="46C0A43A">
      <w:numFmt w:val="bullet"/>
      <w:lvlText w:val="•"/>
      <w:lvlJc w:val="left"/>
      <w:pPr>
        <w:ind w:left="8833" w:hanging="738"/>
      </w:pPr>
      <w:rPr>
        <w:rFonts w:hint="default"/>
        <w:lang w:val="zh-CN" w:eastAsia="zh-CN" w:bidi="zh-CN"/>
      </w:rPr>
    </w:lvl>
  </w:abstractNum>
  <w:abstractNum w:abstractNumId="695" w15:restartNumberingAfterBreak="0">
    <w:nsid w:val="5E65038F"/>
    <w:multiLevelType w:val="hybridMultilevel"/>
    <w:tmpl w:val="76E6BD36"/>
    <w:lvl w:ilvl="0" w:tplc="47923322">
      <w:start w:val="6"/>
      <w:numFmt w:val="decimal"/>
      <w:lvlText w:val="%1"/>
      <w:lvlJc w:val="left"/>
      <w:pPr>
        <w:ind w:left="418" w:hanging="529"/>
        <w:jc w:val="left"/>
      </w:pPr>
      <w:rPr>
        <w:rFonts w:hint="default"/>
        <w:lang w:val="zh-CN" w:eastAsia="zh-CN" w:bidi="zh-CN"/>
      </w:rPr>
    </w:lvl>
    <w:lvl w:ilvl="1" w:tplc="EF8ECDE6">
      <w:start w:val="3"/>
      <w:numFmt w:val="decimal"/>
      <w:lvlText w:val="%1.%2"/>
      <w:lvlJc w:val="left"/>
      <w:pPr>
        <w:ind w:left="418" w:hanging="529"/>
        <w:jc w:val="left"/>
      </w:pPr>
      <w:rPr>
        <w:rFonts w:hint="default"/>
        <w:lang w:val="zh-CN" w:eastAsia="zh-CN" w:bidi="zh-CN"/>
      </w:rPr>
    </w:lvl>
    <w:lvl w:ilvl="2" w:tplc="6974238C">
      <w:start w:val="3"/>
      <w:numFmt w:val="decimal"/>
      <w:lvlText w:val="%1.%2.%3"/>
      <w:lvlJc w:val="left"/>
      <w:pPr>
        <w:ind w:left="418" w:hanging="529"/>
        <w:jc w:val="left"/>
      </w:pPr>
      <w:rPr>
        <w:rFonts w:ascii="宋体" w:eastAsia="宋体" w:hAnsi="宋体" w:cs="宋体" w:hint="default"/>
        <w:b/>
        <w:bCs/>
        <w:color w:val="333333"/>
        <w:w w:val="99"/>
        <w:sz w:val="19"/>
        <w:szCs w:val="19"/>
        <w:lang w:val="zh-CN" w:eastAsia="zh-CN" w:bidi="zh-CN"/>
      </w:rPr>
    </w:lvl>
    <w:lvl w:ilvl="3" w:tplc="FF167654">
      <w:numFmt w:val="bullet"/>
      <w:lvlText w:val="•"/>
      <w:lvlJc w:val="left"/>
      <w:pPr>
        <w:ind w:left="3487" w:hanging="529"/>
      </w:pPr>
      <w:rPr>
        <w:rFonts w:hint="default"/>
        <w:lang w:val="zh-CN" w:eastAsia="zh-CN" w:bidi="zh-CN"/>
      </w:rPr>
    </w:lvl>
    <w:lvl w:ilvl="4" w:tplc="EAFED96E">
      <w:numFmt w:val="bullet"/>
      <w:lvlText w:val="•"/>
      <w:lvlJc w:val="left"/>
      <w:pPr>
        <w:ind w:left="4510" w:hanging="529"/>
      </w:pPr>
      <w:rPr>
        <w:rFonts w:hint="default"/>
        <w:lang w:val="zh-CN" w:eastAsia="zh-CN" w:bidi="zh-CN"/>
      </w:rPr>
    </w:lvl>
    <w:lvl w:ilvl="5" w:tplc="0584E90A">
      <w:numFmt w:val="bullet"/>
      <w:lvlText w:val="•"/>
      <w:lvlJc w:val="left"/>
      <w:pPr>
        <w:ind w:left="5533" w:hanging="529"/>
      </w:pPr>
      <w:rPr>
        <w:rFonts w:hint="default"/>
        <w:lang w:val="zh-CN" w:eastAsia="zh-CN" w:bidi="zh-CN"/>
      </w:rPr>
    </w:lvl>
    <w:lvl w:ilvl="6" w:tplc="ACB08D74">
      <w:numFmt w:val="bullet"/>
      <w:lvlText w:val="•"/>
      <w:lvlJc w:val="left"/>
      <w:pPr>
        <w:ind w:left="6555" w:hanging="529"/>
      </w:pPr>
      <w:rPr>
        <w:rFonts w:hint="default"/>
        <w:lang w:val="zh-CN" w:eastAsia="zh-CN" w:bidi="zh-CN"/>
      </w:rPr>
    </w:lvl>
    <w:lvl w:ilvl="7" w:tplc="39A4A274">
      <w:numFmt w:val="bullet"/>
      <w:lvlText w:val="•"/>
      <w:lvlJc w:val="left"/>
      <w:pPr>
        <w:ind w:left="7578" w:hanging="529"/>
      </w:pPr>
      <w:rPr>
        <w:rFonts w:hint="default"/>
        <w:lang w:val="zh-CN" w:eastAsia="zh-CN" w:bidi="zh-CN"/>
      </w:rPr>
    </w:lvl>
    <w:lvl w:ilvl="8" w:tplc="A886CA64">
      <w:numFmt w:val="bullet"/>
      <w:lvlText w:val="•"/>
      <w:lvlJc w:val="left"/>
      <w:pPr>
        <w:ind w:left="8601" w:hanging="529"/>
      </w:pPr>
      <w:rPr>
        <w:rFonts w:hint="default"/>
        <w:lang w:val="zh-CN" w:eastAsia="zh-CN" w:bidi="zh-CN"/>
      </w:rPr>
    </w:lvl>
  </w:abstractNum>
  <w:abstractNum w:abstractNumId="696" w15:restartNumberingAfterBreak="0">
    <w:nsid w:val="5E714EDB"/>
    <w:multiLevelType w:val="hybridMultilevel"/>
    <w:tmpl w:val="BA3C153A"/>
    <w:lvl w:ilvl="0" w:tplc="BFB66416">
      <w:start w:val="7"/>
      <w:numFmt w:val="decimal"/>
      <w:lvlText w:val="%1"/>
      <w:lvlJc w:val="left"/>
      <w:pPr>
        <w:ind w:left="418" w:hanging="584"/>
        <w:jc w:val="left"/>
      </w:pPr>
      <w:rPr>
        <w:rFonts w:hint="default"/>
        <w:lang w:val="zh-CN" w:eastAsia="zh-CN" w:bidi="zh-CN"/>
      </w:rPr>
    </w:lvl>
    <w:lvl w:ilvl="1" w:tplc="116A5132">
      <w:start w:val="2"/>
      <w:numFmt w:val="decimal"/>
      <w:lvlText w:val="%1.%2"/>
      <w:lvlJc w:val="left"/>
      <w:pPr>
        <w:ind w:left="418" w:hanging="584"/>
        <w:jc w:val="left"/>
      </w:pPr>
      <w:rPr>
        <w:rFonts w:hint="default"/>
        <w:lang w:val="zh-CN" w:eastAsia="zh-CN" w:bidi="zh-CN"/>
      </w:rPr>
    </w:lvl>
    <w:lvl w:ilvl="2" w:tplc="63FC43F4">
      <w:start w:val="1"/>
      <w:numFmt w:val="decimal"/>
      <w:lvlText w:val="%1.%2.%3"/>
      <w:lvlJc w:val="left"/>
      <w:pPr>
        <w:ind w:left="418" w:hanging="584"/>
        <w:jc w:val="left"/>
      </w:pPr>
      <w:rPr>
        <w:rFonts w:ascii="宋体" w:eastAsia="宋体" w:hAnsi="宋体" w:cs="宋体" w:hint="default"/>
        <w:b/>
        <w:bCs/>
        <w:w w:val="99"/>
        <w:sz w:val="21"/>
        <w:szCs w:val="21"/>
        <w:lang w:val="zh-CN" w:eastAsia="zh-CN" w:bidi="zh-CN"/>
      </w:rPr>
    </w:lvl>
    <w:lvl w:ilvl="3" w:tplc="433E194E">
      <w:numFmt w:val="bullet"/>
      <w:lvlText w:val="•"/>
      <w:lvlJc w:val="left"/>
      <w:pPr>
        <w:ind w:left="3487" w:hanging="584"/>
      </w:pPr>
      <w:rPr>
        <w:rFonts w:hint="default"/>
        <w:lang w:val="zh-CN" w:eastAsia="zh-CN" w:bidi="zh-CN"/>
      </w:rPr>
    </w:lvl>
    <w:lvl w:ilvl="4" w:tplc="3D3EE822">
      <w:numFmt w:val="bullet"/>
      <w:lvlText w:val="•"/>
      <w:lvlJc w:val="left"/>
      <w:pPr>
        <w:ind w:left="4510" w:hanging="584"/>
      </w:pPr>
      <w:rPr>
        <w:rFonts w:hint="default"/>
        <w:lang w:val="zh-CN" w:eastAsia="zh-CN" w:bidi="zh-CN"/>
      </w:rPr>
    </w:lvl>
    <w:lvl w:ilvl="5" w:tplc="01B6F6DC">
      <w:numFmt w:val="bullet"/>
      <w:lvlText w:val="•"/>
      <w:lvlJc w:val="left"/>
      <w:pPr>
        <w:ind w:left="5533" w:hanging="584"/>
      </w:pPr>
      <w:rPr>
        <w:rFonts w:hint="default"/>
        <w:lang w:val="zh-CN" w:eastAsia="zh-CN" w:bidi="zh-CN"/>
      </w:rPr>
    </w:lvl>
    <w:lvl w:ilvl="6" w:tplc="12C8EB04">
      <w:numFmt w:val="bullet"/>
      <w:lvlText w:val="•"/>
      <w:lvlJc w:val="left"/>
      <w:pPr>
        <w:ind w:left="6555" w:hanging="584"/>
      </w:pPr>
      <w:rPr>
        <w:rFonts w:hint="default"/>
        <w:lang w:val="zh-CN" w:eastAsia="zh-CN" w:bidi="zh-CN"/>
      </w:rPr>
    </w:lvl>
    <w:lvl w:ilvl="7" w:tplc="782216C4">
      <w:numFmt w:val="bullet"/>
      <w:lvlText w:val="•"/>
      <w:lvlJc w:val="left"/>
      <w:pPr>
        <w:ind w:left="7578" w:hanging="584"/>
      </w:pPr>
      <w:rPr>
        <w:rFonts w:hint="default"/>
        <w:lang w:val="zh-CN" w:eastAsia="zh-CN" w:bidi="zh-CN"/>
      </w:rPr>
    </w:lvl>
    <w:lvl w:ilvl="8" w:tplc="CB20249E">
      <w:numFmt w:val="bullet"/>
      <w:lvlText w:val="•"/>
      <w:lvlJc w:val="left"/>
      <w:pPr>
        <w:ind w:left="8601" w:hanging="584"/>
      </w:pPr>
      <w:rPr>
        <w:rFonts w:hint="default"/>
        <w:lang w:val="zh-CN" w:eastAsia="zh-CN" w:bidi="zh-CN"/>
      </w:rPr>
    </w:lvl>
  </w:abstractNum>
  <w:abstractNum w:abstractNumId="697" w15:restartNumberingAfterBreak="0">
    <w:nsid w:val="5EBF06C6"/>
    <w:multiLevelType w:val="hybridMultilevel"/>
    <w:tmpl w:val="1D3496CE"/>
    <w:lvl w:ilvl="0" w:tplc="F476E214">
      <w:start w:val="5"/>
      <w:numFmt w:val="decimal"/>
      <w:lvlText w:val="%1"/>
      <w:lvlJc w:val="left"/>
      <w:pPr>
        <w:ind w:left="1158" w:hanging="318"/>
        <w:jc w:val="left"/>
      </w:pPr>
      <w:rPr>
        <w:rFonts w:hint="default"/>
        <w:lang w:val="zh-CN" w:eastAsia="zh-CN" w:bidi="zh-CN"/>
      </w:rPr>
    </w:lvl>
    <w:lvl w:ilvl="1" w:tplc="C31A606C">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A4FAB8D6">
      <w:start w:val="1"/>
      <w:numFmt w:val="decimal"/>
      <w:lvlText w:val="%1.%2.%3"/>
      <w:lvlJc w:val="left"/>
      <w:pPr>
        <w:ind w:left="1477" w:hanging="637"/>
        <w:jc w:val="left"/>
      </w:pPr>
      <w:rPr>
        <w:rFonts w:hint="default"/>
        <w:b/>
        <w:bCs/>
        <w:spacing w:val="-3"/>
        <w:w w:val="99"/>
        <w:lang w:val="zh-CN" w:eastAsia="zh-CN" w:bidi="zh-CN"/>
      </w:rPr>
    </w:lvl>
    <w:lvl w:ilvl="3" w:tplc="8BACD2A8">
      <w:start w:val="1"/>
      <w:numFmt w:val="decimal"/>
      <w:lvlText w:val="%1.%2.%3.%4"/>
      <w:lvlJc w:val="left"/>
      <w:pPr>
        <w:ind w:left="1575" w:hanging="637"/>
        <w:jc w:val="left"/>
      </w:pPr>
      <w:rPr>
        <w:rFonts w:ascii="宋体" w:eastAsia="宋体" w:hAnsi="宋体" w:cs="宋体" w:hint="default"/>
        <w:spacing w:val="-3"/>
        <w:w w:val="100"/>
        <w:sz w:val="19"/>
        <w:szCs w:val="19"/>
        <w:lang w:val="zh-CN" w:eastAsia="zh-CN" w:bidi="zh-CN"/>
      </w:rPr>
    </w:lvl>
    <w:lvl w:ilvl="4" w:tplc="141232BC">
      <w:numFmt w:val="bullet"/>
      <w:lvlText w:val="•"/>
      <w:lvlJc w:val="left"/>
      <w:pPr>
        <w:ind w:left="1480" w:hanging="637"/>
      </w:pPr>
      <w:rPr>
        <w:rFonts w:hint="default"/>
        <w:lang w:val="zh-CN" w:eastAsia="zh-CN" w:bidi="zh-CN"/>
      </w:rPr>
    </w:lvl>
    <w:lvl w:ilvl="5" w:tplc="AA0AE4A4">
      <w:numFmt w:val="bullet"/>
      <w:lvlText w:val="•"/>
      <w:lvlJc w:val="left"/>
      <w:pPr>
        <w:ind w:left="1580" w:hanging="637"/>
      </w:pPr>
      <w:rPr>
        <w:rFonts w:hint="default"/>
        <w:lang w:val="zh-CN" w:eastAsia="zh-CN" w:bidi="zh-CN"/>
      </w:rPr>
    </w:lvl>
    <w:lvl w:ilvl="6" w:tplc="F2F43C5A">
      <w:numFmt w:val="bullet"/>
      <w:lvlText w:val="•"/>
      <w:lvlJc w:val="left"/>
      <w:pPr>
        <w:ind w:left="3393" w:hanging="637"/>
      </w:pPr>
      <w:rPr>
        <w:rFonts w:hint="default"/>
        <w:lang w:val="zh-CN" w:eastAsia="zh-CN" w:bidi="zh-CN"/>
      </w:rPr>
    </w:lvl>
    <w:lvl w:ilvl="7" w:tplc="9A542E6E">
      <w:numFmt w:val="bullet"/>
      <w:lvlText w:val="•"/>
      <w:lvlJc w:val="left"/>
      <w:pPr>
        <w:ind w:left="5206" w:hanging="637"/>
      </w:pPr>
      <w:rPr>
        <w:rFonts w:hint="default"/>
        <w:lang w:val="zh-CN" w:eastAsia="zh-CN" w:bidi="zh-CN"/>
      </w:rPr>
    </w:lvl>
    <w:lvl w:ilvl="8" w:tplc="76A4F1B2">
      <w:numFmt w:val="bullet"/>
      <w:lvlText w:val="•"/>
      <w:lvlJc w:val="left"/>
      <w:pPr>
        <w:ind w:left="7019" w:hanging="637"/>
      </w:pPr>
      <w:rPr>
        <w:rFonts w:hint="default"/>
        <w:lang w:val="zh-CN" w:eastAsia="zh-CN" w:bidi="zh-CN"/>
      </w:rPr>
    </w:lvl>
  </w:abstractNum>
  <w:abstractNum w:abstractNumId="698" w15:restartNumberingAfterBreak="0">
    <w:nsid w:val="5EEA12B9"/>
    <w:multiLevelType w:val="hybridMultilevel"/>
    <w:tmpl w:val="F19483FA"/>
    <w:lvl w:ilvl="0" w:tplc="97CCD1F0">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A286977A">
      <w:numFmt w:val="bullet"/>
      <w:lvlText w:val="•"/>
      <w:lvlJc w:val="left"/>
      <w:pPr>
        <w:ind w:left="2288" w:hanging="529"/>
      </w:pPr>
      <w:rPr>
        <w:rFonts w:hint="default"/>
        <w:lang w:val="zh-CN" w:eastAsia="zh-CN" w:bidi="zh-CN"/>
      </w:rPr>
    </w:lvl>
    <w:lvl w:ilvl="2" w:tplc="C302954E">
      <w:numFmt w:val="bullet"/>
      <w:lvlText w:val="•"/>
      <w:lvlJc w:val="left"/>
      <w:pPr>
        <w:ind w:left="3217" w:hanging="529"/>
      </w:pPr>
      <w:rPr>
        <w:rFonts w:hint="default"/>
        <w:lang w:val="zh-CN" w:eastAsia="zh-CN" w:bidi="zh-CN"/>
      </w:rPr>
    </w:lvl>
    <w:lvl w:ilvl="3" w:tplc="7688ADFE">
      <w:numFmt w:val="bullet"/>
      <w:lvlText w:val="•"/>
      <w:lvlJc w:val="left"/>
      <w:pPr>
        <w:ind w:left="4145" w:hanging="529"/>
      </w:pPr>
      <w:rPr>
        <w:rFonts w:hint="default"/>
        <w:lang w:val="zh-CN" w:eastAsia="zh-CN" w:bidi="zh-CN"/>
      </w:rPr>
    </w:lvl>
    <w:lvl w:ilvl="4" w:tplc="8DC05FB6">
      <w:numFmt w:val="bullet"/>
      <w:lvlText w:val="•"/>
      <w:lvlJc w:val="left"/>
      <w:pPr>
        <w:ind w:left="5074" w:hanging="529"/>
      </w:pPr>
      <w:rPr>
        <w:rFonts w:hint="default"/>
        <w:lang w:val="zh-CN" w:eastAsia="zh-CN" w:bidi="zh-CN"/>
      </w:rPr>
    </w:lvl>
    <w:lvl w:ilvl="5" w:tplc="61F0A082">
      <w:numFmt w:val="bullet"/>
      <w:lvlText w:val="•"/>
      <w:lvlJc w:val="left"/>
      <w:pPr>
        <w:ind w:left="6003" w:hanging="529"/>
      </w:pPr>
      <w:rPr>
        <w:rFonts w:hint="default"/>
        <w:lang w:val="zh-CN" w:eastAsia="zh-CN" w:bidi="zh-CN"/>
      </w:rPr>
    </w:lvl>
    <w:lvl w:ilvl="6" w:tplc="1B76D3A0">
      <w:numFmt w:val="bullet"/>
      <w:lvlText w:val="•"/>
      <w:lvlJc w:val="left"/>
      <w:pPr>
        <w:ind w:left="6931" w:hanging="529"/>
      </w:pPr>
      <w:rPr>
        <w:rFonts w:hint="default"/>
        <w:lang w:val="zh-CN" w:eastAsia="zh-CN" w:bidi="zh-CN"/>
      </w:rPr>
    </w:lvl>
    <w:lvl w:ilvl="7" w:tplc="1EA88E04">
      <w:numFmt w:val="bullet"/>
      <w:lvlText w:val="•"/>
      <w:lvlJc w:val="left"/>
      <w:pPr>
        <w:ind w:left="7860" w:hanging="529"/>
      </w:pPr>
      <w:rPr>
        <w:rFonts w:hint="default"/>
        <w:lang w:val="zh-CN" w:eastAsia="zh-CN" w:bidi="zh-CN"/>
      </w:rPr>
    </w:lvl>
    <w:lvl w:ilvl="8" w:tplc="B5307C98">
      <w:numFmt w:val="bullet"/>
      <w:lvlText w:val="•"/>
      <w:lvlJc w:val="left"/>
      <w:pPr>
        <w:ind w:left="8789" w:hanging="529"/>
      </w:pPr>
      <w:rPr>
        <w:rFonts w:hint="default"/>
        <w:lang w:val="zh-CN" w:eastAsia="zh-CN" w:bidi="zh-CN"/>
      </w:rPr>
    </w:lvl>
  </w:abstractNum>
  <w:abstractNum w:abstractNumId="699" w15:restartNumberingAfterBreak="0">
    <w:nsid w:val="5EF52B0F"/>
    <w:multiLevelType w:val="hybridMultilevel"/>
    <w:tmpl w:val="137E0D26"/>
    <w:lvl w:ilvl="0" w:tplc="D104308E">
      <w:start w:val="3"/>
      <w:numFmt w:val="decimal"/>
      <w:lvlText w:val="%1"/>
      <w:lvlJc w:val="left"/>
      <w:pPr>
        <w:ind w:left="418" w:hanging="529"/>
        <w:jc w:val="left"/>
      </w:pPr>
      <w:rPr>
        <w:rFonts w:hint="default"/>
        <w:lang w:val="zh-CN" w:eastAsia="zh-CN" w:bidi="zh-CN"/>
      </w:rPr>
    </w:lvl>
    <w:lvl w:ilvl="1" w:tplc="2CEA7BA6">
      <w:start w:val="4"/>
      <w:numFmt w:val="decimal"/>
      <w:lvlText w:val="%1.%2"/>
      <w:lvlJc w:val="left"/>
      <w:pPr>
        <w:ind w:left="418" w:hanging="529"/>
        <w:jc w:val="left"/>
      </w:pPr>
      <w:rPr>
        <w:rFonts w:hint="default"/>
        <w:lang w:val="zh-CN" w:eastAsia="zh-CN" w:bidi="zh-CN"/>
      </w:rPr>
    </w:lvl>
    <w:lvl w:ilvl="2" w:tplc="1AA0CBDA">
      <w:start w:val="9"/>
      <w:numFmt w:val="decimal"/>
      <w:lvlText w:val="%1.%2.%3"/>
      <w:lvlJc w:val="left"/>
      <w:pPr>
        <w:ind w:left="418" w:hanging="529"/>
        <w:jc w:val="left"/>
      </w:pPr>
      <w:rPr>
        <w:rFonts w:ascii="宋体" w:eastAsia="宋体" w:hAnsi="宋体" w:cs="宋体" w:hint="default"/>
        <w:b/>
        <w:bCs/>
        <w:color w:val="333333"/>
        <w:spacing w:val="-3"/>
        <w:w w:val="99"/>
        <w:sz w:val="19"/>
        <w:szCs w:val="19"/>
        <w:lang w:val="zh-CN" w:eastAsia="zh-CN" w:bidi="zh-CN"/>
      </w:rPr>
    </w:lvl>
    <w:lvl w:ilvl="3" w:tplc="14DEE610">
      <w:numFmt w:val="bullet"/>
      <w:lvlText w:val="•"/>
      <w:lvlJc w:val="left"/>
      <w:pPr>
        <w:ind w:left="3487" w:hanging="529"/>
      </w:pPr>
      <w:rPr>
        <w:rFonts w:hint="default"/>
        <w:lang w:val="zh-CN" w:eastAsia="zh-CN" w:bidi="zh-CN"/>
      </w:rPr>
    </w:lvl>
    <w:lvl w:ilvl="4" w:tplc="6F22FF36">
      <w:numFmt w:val="bullet"/>
      <w:lvlText w:val="•"/>
      <w:lvlJc w:val="left"/>
      <w:pPr>
        <w:ind w:left="4510" w:hanging="529"/>
      </w:pPr>
      <w:rPr>
        <w:rFonts w:hint="default"/>
        <w:lang w:val="zh-CN" w:eastAsia="zh-CN" w:bidi="zh-CN"/>
      </w:rPr>
    </w:lvl>
    <w:lvl w:ilvl="5" w:tplc="720488E8">
      <w:numFmt w:val="bullet"/>
      <w:lvlText w:val="•"/>
      <w:lvlJc w:val="left"/>
      <w:pPr>
        <w:ind w:left="5533" w:hanging="529"/>
      </w:pPr>
      <w:rPr>
        <w:rFonts w:hint="default"/>
        <w:lang w:val="zh-CN" w:eastAsia="zh-CN" w:bidi="zh-CN"/>
      </w:rPr>
    </w:lvl>
    <w:lvl w:ilvl="6" w:tplc="C0CE25D2">
      <w:numFmt w:val="bullet"/>
      <w:lvlText w:val="•"/>
      <w:lvlJc w:val="left"/>
      <w:pPr>
        <w:ind w:left="6555" w:hanging="529"/>
      </w:pPr>
      <w:rPr>
        <w:rFonts w:hint="default"/>
        <w:lang w:val="zh-CN" w:eastAsia="zh-CN" w:bidi="zh-CN"/>
      </w:rPr>
    </w:lvl>
    <w:lvl w:ilvl="7" w:tplc="48BCC058">
      <w:numFmt w:val="bullet"/>
      <w:lvlText w:val="•"/>
      <w:lvlJc w:val="left"/>
      <w:pPr>
        <w:ind w:left="7578" w:hanging="529"/>
      </w:pPr>
      <w:rPr>
        <w:rFonts w:hint="default"/>
        <w:lang w:val="zh-CN" w:eastAsia="zh-CN" w:bidi="zh-CN"/>
      </w:rPr>
    </w:lvl>
    <w:lvl w:ilvl="8" w:tplc="8A56A3A4">
      <w:numFmt w:val="bullet"/>
      <w:lvlText w:val="•"/>
      <w:lvlJc w:val="left"/>
      <w:pPr>
        <w:ind w:left="8601" w:hanging="529"/>
      </w:pPr>
      <w:rPr>
        <w:rFonts w:hint="default"/>
        <w:lang w:val="zh-CN" w:eastAsia="zh-CN" w:bidi="zh-CN"/>
      </w:rPr>
    </w:lvl>
  </w:abstractNum>
  <w:abstractNum w:abstractNumId="700" w15:restartNumberingAfterBreak="0">
    <w:nsid w:val="5F017FF7"/>
    <w:multiLevelType w:val="hybridMultilevel"/>
    <w:tmpl w:val="D65646C0"/>
    <w:lvl w:ilvl="0" w:tplc="81C62908">
      <w:start w:val="4"/>
      <w:numFmt w:val="lowerLetter"/>
      <w:lvlText w:val="%1）"/>
      <w:lvlJc w:val="left"/>
      <w:pPr>
        <w:ind w:left="1155" w:hanging="318"/>
        <w:jc w:val="left"/>
      </w:pPr>
      <w:rPr>
        <w:rFonts w:ascii="宋体" w:eastAsia="宋体" w:hAnsi="宋体" w:cs="宋体" w:hint="default"/>
        <w:w w:val="100"/>
        <w:sz w:val="19"/>
        <w:szCs w:val="19"/>
        <w:lang w:val="zh-CN" w:eastAsia="zh-CN" w:bidi="zh-CN"/>
      </w:rPr>
    </w:lvl>
    <w:lvl w:ilvl="1" w:tplc="860E5724">
      <w:numFmt w:val="bullet"/>
      <w:lvlText w:val="•"/>
      <w:lvlJc w:val="left"/>
      <w:pPr>
        <w:ind w:left="2108" w:hanging="318"/>
      </w:pPr>
      <w:rPr>
        <w:rFonts w:hint="default"/>
        <w:lang w:val="zh-CN" w:eastAsia="zh-CN" w:bidi="zh-CN"/>
      </w:rPr>
    </w:lvl>
    <w:lvl w:ilvl="2" w:tplc="604A4E02">
      <w:numFmt w:val="bullet"/>
      <w:lvlText w:val="•"/>
      <w:lvlJc w:val="left"/>
      <w:pPr>
        <w:ind w:left="3057" w:hanging="318"/>
      </w:pPr>
      <w:rPr>
        <w:rFonts w:hint="default"/>
        <w:lang w:val="zh-CN" w:eastAsia="zh-CN" w:bidi="zh-CN"/>
      </w:rPr>
    </w:lvl>
    <w:lvl w:ilvl="3" w:tplc="12C42AFC">
      <w:numFmt w:val="bullet"/>
      <w:lvlText w:val="•"/>
      <w:lvlJc w:val="left"/>
      <w:pPr>
        <w:ind w:left="4005" w:hanging="318"/>
      </w:pPr>
      <w:rPr>
        <w:rFonts w:hint="default"/>
        <w:lang w:val="zh-CN" w:eastAsia="zh-CN" w:bidi="zh-CN"/>
      </w:rPr>
    </w:lvl>
    <w:lvl w:ilvl="4" w:tplc="917A60AA">
      <w:numFmt w:val="bullet"/>
      <w:lvlText w:val="•"/>
      <w:lvlJc w:val="left"/>
      <w:pPr>
        <w:ind w:left="4954" w:hanging="318"/>
      </w:pPr>
      <w:rPr>
        <w:rFonts w:hint="default"/>
        <w:lang w:val="zh-CN" w:eastAsia="zh-CN" w:bidi="zh-CN"/>
      </w:rPr>
    </w:lvl>
    <w:lvl w:ilvl="5" w:tplc="E6969530">
      <w:numFmt w:val="bullet"/>
      <w:lvlText w:val="•"/>
      <w:lvlJc w:val="left"/>
      <w:pPr>
        <w:ind w:left="5903" w:hanging="318"/>
      </w:pPr>
      <w:rPr>
        <w:rFonts w:hint="default"/>
        <w:lang w:val="zh-CN" w:eastAsia="zh-CN" w:bidi="zh-CN"/>
      </w:rPr>
    </w:lvl>
    <w:lvl w:ilvl="6" w:tplc="B9B286FE">
      <w:numFmt w:val="bullet"/>
      <w:lvlText w:val="•"/>
      <w:lvlJc w:val="left"/>
      <w:pPr>
        <w:ind w:left="6851" w:hanging="318"/>
      </w:pPr>
      <w:rPr>
        <w:rFonts w:hint="default"/>
        <w:lang w:val="zh-CN" w:eastAsia="zh-CN" w:bidi="zh-CN"/>
      </w:rPr>
    </w:lvl>
    <w:lvl w:ilvl="7" w:tplc="4C7494FC">
      <w:numFmt w:val="bullet"/>
      <w:lvlText w:val="•"/>
      <w:lvlJc w:val="left"/>
      <w:pPr>
        <w:ind w:left="7800" w:hanging="318"/>
      </w:pPr>
      <w:rPr>
        <w:rFonts w:hint="default"/>
        <w:lang w:val="zh-CN" w:eastAsia="zh-CN" w:bidi="zh-CN"/>
      </w:rPr>
    </w:lvl>
    <w:lvl w:ilvl="8" w:tplc="228E0EC2">
      <w:numFmt w:val="bullet"/>
      <w:lvlText w:val="•"/>
      <w:lvlJc w:val="left"/>
      <w:pPr>
        <w:ind w:left="8749" w:hanging="318"/>
      </w:pPr>
      <w:rPr>
        <w:rFonts w:hint="default"/>
        <w:lang w:val="zh-CN" w:eastAsia="zh-CN" w:bidi="zh-CN"/>
      </w:rPr>
    </w:lvl>
  </w:abstractNum>
  <w:abstractNum w:abstractNumId="701" w15:restartNumberingAfterBreak="0">
    <w:nsid w:val="5F3A6EB4"/>
    <w:multiLevelType w:val="hybridMultilevel"/>
    <w:tmpl w:val="A3B28190"/>
    <w:lvl w:ilvl="0" w:tplc="E75EC532">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A8C4D80E">
      <w:numFmt w:val="bullet"/>
      <w:lvlText w:val="•"/>
      <w:lvlJc w:val="left"/>
      <w:pPr>
        <w:ind w:left="2288" w:hanging="529"/>
      </w:pPr>
      <w:rPr>
        <w:rFonts w:hint="default"/>
        <w:lang w:val="zh-CN" w:eastAsia="zh-CN" w:bidi="zh-CN"/>
      </w:rPr>
    </w:lvl>
    <w:lvl w:ilvl="2" w:tplc="3B661F2A">
      <w:numFmt w:val="bullet"/>
      <w:lvlText w:val="•"/>
      <w:lvlJc w:val="left"/>
      <w:pPr>
        <w:ind w:left="3217" w:hanging="529"/>
      </w:pPr>
      <w:rPr>
        <w:rFonts w:hint="default"/>
        <w:lang w:val="zh-CN" w:eastAsia="zh-CN" w:bidi="zh-CN"/>
      </w:rPr>
    </w:lvl>
    <w:lvl w:ilvl="3" w:tplc="F0E052FA">
      <w:numFmt w:val="bullet"/>
      <w:lvlText w:val="•"/>
      <w:lvlJc w:val="left"/>
      <w:pPr>
        <w:ind w:left="4145" w:hanging="529"/>
      </w:pPr>
      <w:rPr>
        <w:rFonts w:hint="default"/>
        <w:lang w:val="zh-CN" w:eastAsia="zh-CN" w:bidi="zh-CN"/>
      </w:rPr>
    </w:lvl>
    <w:lvl w:ilvl="4" w:tplc="D39A4AE2">
      <w:numFmt w:val="bullet"/>
      <w:lvlText w:val="•"/>
      <w:lvlJc w:val="left"/>
      <w:pPr>
        <w:ind w:left="5074" w:hanging="529"/>
      </w:pPr>
      <w:rPr>
        <w:rFonts w:hint="default"/>
        <w:lang w:val="zh-CN" w:eastAsia="zh-CN" w:bidi="zh-CN"/>
      </w:rPr>
    </w:lvl>
    <w:lvl w:ilvl="5" w:tplc="4B50C6C8">
      <w:numFmt w:val="bullet"/>
      <w:lvlText w:val="•"/>
      <w:lvlJc w:val="left"/>
      <w:pPr>
        <w:ind w:left="6003" w:hanging="529"/>
      </w:pPr>
      <w:rPr>
        <w:rFonts w:hint="default"/>
        <w:lang w:val="zh-CN" w:eastAsia="zh-CN" w:bidi="zh-CN"/>
      </w:rPr>
    </w:lvl>
    <w:lvl w:ilvl="6" w:tplc="8D3E15DA">
      <w:numFmt w:val="bullet"/>
      <w:lvlText w:val="•"/>
      <w:lvlJc w:val="left"/>
      <w:pPr>
        <w:ind w:left="6931" w:hanging="529"/>
      </w:pPr>
      <w:rPr>
        <w:rFonts w:hint="default"/>
        <w:lang w:val="zh-CN" w:eastAsia="zh-CN" w:bidi="zh-CN"/>
      </w:rPr>
    </w:lvl>
    <w:lvl w:ilvl="7" w:tplc="8E62CF6A">
      <w:numFmt w:val="bullet"/>
      <w:lvlText w:val="•"/>
      <w:lvlJc w:val="left"/>
      <w:pPr>
        <w:ind w:left="7860" w:hanging="529"/>
      </w:pPr>
      <w:rPr>
        <w:rFonts w:hint="default"/>
        <w:lang w:val="zh-CN" w:eastAsia="zh-CN" w:bidi="zh-CN"/>
      </w:rPr>
    </w:lvl>
    <w:lvl w:ilvl="8" w:tplc="8DF695C2">
      <w:numFmt w:val="bullet"/>
      <w:lvlText w:val="•"/>
      <w:lvlJc w:val="left"/>
      <w:pPr>
        <w:ind w:left="8789" w:hanging="529"/>
      </w:pPr>
      <w:rPr>
        <w:rFonts w:hint="default"/>
        <w:lang w:val="zh-CN" w:eastAsia="zh-CN" w:bidi="zh-CN"/>
      </w:rPr>
    </w:lvl>
  </w:abstractNum>
  <w:abstractNum w:abstractNumId="702" w15:restartNumberingAfterBreak="0">
    <w:nsid w:val="5F4940EF"/>
    <w:multiLevelType w:val="hybridMultilevel"/>
    <w:tmpl w:val="B03A530E"/>
    <w:lvl w:ilvl="0" w:tplc="B3DED77A">
      <w:start w:val="2"/>
      <w:numFmt w:val="lowerLetter"/>
      <w:lvlText w:val="%1)"/>
      <w:lvlJc w:val="left"/>
      <w:pPr>
        <w:ind w:left="1055" w:hanging="213"/>
        <w:jc w:val="left"/>
      </w:pPr>
      <w:rPr>
        <w:rFonts w:ascii="宋体" w:eastAsia="宋体" w:hAnsi="宋体" w:cs="宋体" w:hint="default"/>
        <w:spacing w:val="-3"/>
        <w:w w:val="100"/>
        <w:sz w:val="19"/>
        <w:szCs w:val="19"/>
        <w:lang w:val="zh-CN" w:eastAsia="zh-CN" w:bidi="zh-CN"/>
      </w:rPr>
    </w:lvl>
    <w:lvl w:ilvl="1" w:tplc="125A537E">
      <w:numFmt w:val="bullet"/>
      <w:lvlText w:val="•"/>
      <w:lvlJc w:val="left"/>
      <w:pPr>
        <w:ind w:left="2018" w:hanging="213"/>
      </w:pPr>
      <w:rPr>
        <w:rFonts w:hint="default"/>
        <w:lang w:val="zh-CN" w:eastAsia="zh-CN" w:bidi="zh-CN"/>
      </w:rPr>
    </w:lvl>
    <w:lvl w:ilvl="2" w:tplc="7BEC7A50">
      <w:numFmt w:val="bullet"/>
      <w:lvlText w:val="•"/>
      <w:lvlJc w:val="left"/>
      <w:pPr>
        <w:ind w:left="2977" w:hanging="213"/>
      </w:pPr>
      <w:rPr>
        <w:rFonts w:hint="default"/>
        <w:lang w:val="zh-CN" w:eastAsia="zh-CN" w:bidi="zh-CN"/>
      </w:rPr>
    </w:lvl>
    <w:lvl w:ilvl="3" w:tplc="B04E5126">
      <w:numFmt w:val="bullet"/>
      <w:lvlText w:val="•"/>
      <w:lvlJc w:val="left"/>
      <w:pPr>
        <w:ind w:left="3935" w:hanging="213"/>
      </w:pPr>
      <w:rPr>
        <w:rFonts w:hint="default"/>
        <w:lang w:val="zh-CN" w:eastAsia="zh-CN" w:bidi="zh-CN"/>
      </w:rPr>
    </w:lvl>
    <w:lvl w:ilvl="4" w:tplc="90D6E8DE">
      <w:numFmt w:val="bullet"/>
      <w:lvlText w:val="•"/>
      <w:lvlJc w:val="left"/>
      <w:pPr>
        <w:ind w:left="4894" w:hanging="213"/>
      </w:pPr>
      <w:rPr>
        <w:rFonts w:hint="default"/>
        <w:lang w:val="zh-CN" w:eastAsia="zh-CN" w:bidi="zh-CN"/>
      </w:rPr>
    </w:lvl>
    <w:lvl w:ilvl="5" w:tplc="26DE8722">
      <w:numFmt w:val="bullet"/>
      <w:lvlText w:val="•"/>
      <w:lvlJc w:val="left"/>
      <w:pPr>
        <w:ind w:left="5853" w:hanging="213"/>
      </w:pPr>
      <w:rPr>
        <w:rFonts w:hint="default"/>
        <w:lang w:val="zh-CN" w:eastAsia="zh-CN" w:bidi="zh-CN"/>
      </w:rPr>
    </w:lvl>
    <w:lvl w:ilvl="6" w:tplc="A2AC4176">
      <w:numFmt w:val="bullet"/>
      <w:lvlText w:val="•"/>
      <w:lvlJc w:val="left"/>
      <w:pPr>
        <w:ind w:left="6811" w:hanging="213"/>
      </w:pPr>
      <w:rPr>
        <w:rFonts w:hint="default"/>
        <w:lang w:val="zh-CN" w:eastAsia="zh-CN" w:bidi="zh-CN"/>
      </w:rPr>
    </w:lvl>
    <w:lvl w:ilvl="7" w:tplc="99689816">
      <w:numFmt w:val="bullet"/>
      <w:lvlText w:val="•"/>
      <w:lvlJc w:val="left"/>
      <w:pPr>
        <w:ind w:left="7770" w:hanging="213"/>
      </w:pPr>
      <w:rPr>
        <w:rFonts w:hint="default"/>
        <w:lang w:val="zh-CN" w:eastAsia="zh-CN" w:bidi="zh-CN"/>
      </w:rPr>
    </w:lvl>
    <w:lvl w:ilvl="8" w:tplc="1AC2E52E">
      <w:numFmt w:val="bullet"/>
      <w:lvlText w:val="•"/>
      <w:lvlJc w:val="left"/>
      <w:pPr>
        <w:ind w:left="8729" w:hanging="213"/>
      </w:pPr>
      <w:rPr>
        <w:rFonts w:hint="default"/>
        <w:lang w:val="zh-CN" w:eastAsia="zh-CN" w:bidi="zh-CN"/>
      </w:rPr>
    </w:lvl>
  </w:abstractNum>
  <w:abstractNum w:abstractNumId="703" w15:restartNumberingAfterBreak="0">
    <w:nsid w:val="5F5E6E95"/>
    <w:multiLevelType w:val="hybridMultilevel"/>
    <w:tmpl w:val="177E9B46"/>
    <w:lvl w:ilvl="0" w:tplc="71F66BFC">
      <w:start w:val="4"/>
      <w:numFmt w:val="decimal"/>
      <w:lvlText w:val="%1"/>
      <w:lvlJc w:val="left"/>
      <w:pPr>
        <w:ind w:left="1369" w:hanging="529"/>
        <w:jc w:val="left"/>
      </w:pPr>
      <w:rPr>
        <w:rFonts w:hint="default"/>
        <w:lang w:val="zh-CN" w:eastAsia="zh-CN" w:bidi="zh-CN"/>
      </w:rPr>
    </w:lvl>
    <w:lvl w:ilvl="1" w:tplc="0BE24BF0">
      <w:start w:val="4"/>
      <w:numFmt w:val="decimal"/>
      <w:lvlText w:val="%1.%2"/>
      <w:lvlJc w:val="left"/>
      <w:pPr>
        <w:ind w:left="1369" w:hanging="529"/>
        <w:jc w:val="left"/>
      </w:pPr>
      <w:rPr>
        <w:rFonts w:hint="default"/>
        <w:lang w:val="zh-CN" w:eastAsia="zh-CN" w:bidi="zh-CN"/>
      </w:rPr>
    </w:lvl>
    <w:lvl w:ilvl="2" w:tplc="9CF2667A">
      <w:start w:val="3"/>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C8F03A1A">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6032F29C">
      <w:start w:val="1"/>
      <w:numFmt w:val="decimal"/>
      <w:lvlText w:val="%1.%2.%3.%4.%5"/>
      <w:lvlJc w:val="left"/>
      <w:pPr>
        <w:ind w:left="418" w:hanging="950"/>
        <w:jc w:val="left"/>
      </w:pPr>
      <w:rPr>
        <w:rFonts w:ascii="宋体" w:eastAsia="宋体" w:hAnsi="宋体" w:cs="宋体" w:hint="default"/>
        <w:spacing w:val="-3"/>
        <w:w w:val="100"/>
        <w:sz w:val="19"/>
        <w:szCs w:val="19"/>
        <w:lang w:val="zh-CN" w:eastAsia="zh-CN" w:bidi="zh-CN"/>
      </w:rPr>
    </w:lvl>
    <w:lvl w:ilvl="5" w:tplc="F2E864F2">
      <w:numFmt w:val="bullet"/>
      <w:lvlText w:val="•"/>
      <w:lvlJc w:val="left"/>
      <w:pPr>
        <w:ind w:left="4313" w:hanging="950"/>
      </w:pPr>
      <w:rPr>
        <w:rFonts w:hint="default"/>
        <w:lang w:val="zh-CN" w:eastAsia="zh-CN" w:bidi="zh-CN"/>
      </w:rPr>
    </w:lvl>
    <w:lvl w:ilvl="6" w:tplc="1D0CA6CC">
      <w:numFmt w:val="bullet"/>
      <w:lvlText w:val="•"/>
      <w:lvlJc w:val="left"/>
      <w:pPr>
        <w:ind w:left="5579" w:hanging="950"/>
      </w:pPr>
      <w:rPr>
        <w:rFonts w:hint="default"/>
        <w:lang w:val="zh-CN" w:eastAsia="zh-CN" w:bidi="zh-CN"/>
      </w:rPr>
    </w:lvl>
    <w:lvl w:ilvl="7" w:tplc="55D4063E">
      <w:numFmt w:val="bullet"/>
      <w:lvlText w:val="•"/>
      <w:lvlJc w:val="left"/>
      <w:pPr>
        <w:ind w:left="6846" w:hanging="950"/>
      </w:pPr>
      <w:rPr>
        <w:rFonts w:hint="default"/>
        <w:lang w:val="zh-CN" w:eastAsia="zh-CN" w:bidi="zh-CN"/>
      </w:rPr>
    </w:lvl>
    <w:lvl w:ilvl="8" w:tplc="DF5C6826">
      <w:numFmt w:val="bullet"/>
      <w:lvlText w:val="•"/>
      <w:lvlJc w:val="left"/>
      <w:pPr>
        <w:ind w:left="8113" w:hanging="950"/>
      </w:pPr>
      <w:rPr>
        <w:rFonts w:hint="default"/>
        <w:lang w:val="zh-CN" w:eastAsia="zh-CN" w:bidi="zh-CN"/>
      </w:rPr>
    </w:lvl>
  </w:abstractNum>
  <w:abstractNum w:abstractNumId="704" w15:restartNumberingAfterBreak="0">
    <w:nsid w:val="5F627ED2"/>
    <w:multiLevelType w:val="hybridMultilevel"/>
    <w:tmpl w:val="340E4468"/>
    <w:lvl w:ilvl="0" w:tplc="A5BA4D14">
      <w:start w:val="3"/>
      <w:numFmt w:val="decimal"/>
      <w:lvlText w:val="%1"/>
      <w:lvlJc w:val="left"/>
      <w:pPr>
        <w:ind w:left="1159" w:hanging="320"/>
        <w:jc w:val="left"/>
      </w:pPr>
      <w:rPr>
        <w:rFonts w:hint="default"/>
        <w:lang w:val="zh-CN" w:eastAsia="zh-CN" w:bidi="zh-CN"/>
      </w:rPr>
    </w:lvl>
    <w:lvl w:ilvl="1" w:tplc="8918D904">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26CA5FEE">
      <w:numFmt w:val="bullet"/>
      <w:lvlText w:val="•"/>
      <w:lvlJc w:val="left"/>
      <w:pPr>
        <w:ind w:left="3057" w:hanging="320"/>
      </w:pPr>
      <w:rPr>
        <w:rFonts w:hint="default"/>
        <w:lang w:val="zh-CN" w:eastAsia="zh-CN" w:bidi="zh-CN"/>
      </w:rPr>
    </w:lvl>
    <w:lvl w:ilvl="3" w:tplc="BB16D960">
      <w:numFmt w:val="bullet"/>
      <w:lvlText w:val="•"/>
      <w:lvlJc w:val="left"/>
      <w:pPr>
        <w:ind w:left="4005" w:hanging="320"/>
      </w:pPr>
      <w:rPr>
        <w:rFonts w:hint="default"/>
        <w:lang w:val="zh-CN" w:eastAsia="zh-CN" w:bidi="zh-CN"/>
      </w:rPr>
    </w:lvl>
    <w:lvl w:ilvl="4" w:tplc="BFC80002">
      <w:numFmt w:val="bullet"/>
      <w:lvlText w:val="•"/>
      <w:lvlJc w:val="left"/>
      <w:pPr>
        <w:ind w:left="4954" w:hanging="320"/>
      </w:pPr>
      <w:rPr>
        <w:rFonts w:hint="default"/>
        <w:lang w:val="zh-CN" w:eastAsia="zh-CN" w:bidi="zh-CN"/>
      </w:rPr>
    </w:lvl>
    <w:lvl w:ilvl="5" w:tplc="8B525918">
      <w:numFmt w:val="bullet"/>
      <w:lvlText w:val="•"/>
      <w:lvlJc w:val="left"/>
      <w:pPr>
        <w:ind w:left="5903" w:hanging="320"/>
      </w:pPr>
      <w:rPr>
        <w:rFonts w:hint="default"/>
        <w:lang w:val="zh-CN" w:eastAsia="zh-CN" w:bidi="zh-CN"/>
      </w:rPr>
    </w:lvl>
    <w:lvl w:ilvl="6" w:tplc="7480E944">
      <w:numFmt w:val="bullet"/>
      <w:lvlText w:val="•"/>
      <w:lvlJc w:val="left"/>
      <w:pPr>
        <w:ind w:left="6851" w:hanging="320"/>
      </w:pPr>
      <w:rPr>
        <w:rFonts w:hint="default"/>
        <w:lang w:val="zh-CN" w:eastAsia="zh-CN" w:bidi="zh-CN"/>
      </w:rPr>
    </w:lvl>
    <w:lvl w:ilvl="7" w:tplc="7230405C">
      <w:numFmt w:val="bullet"/>
      <w:lvlText w:val="•"/>
      <w:lvlJc w:val="left"/>
      <w:pPr>
        <w:ind w:left="7800" w:hanging="320"/>
      </w:pPr>
      <w:rPr>
        <w:rFonts w:hint="default"/>
        <w:lang w:val="zh-CN" w:eastAsia="zh-CN" w:bidi="zh-CN"/>
      </w:rPr>
    </w:lvl>
    <w:lvl w:ilvl="8" w:tplc="8884C432">
      <w:numFmt w:val="bullet"/>
      <w:lvlText w:val="•"/>
      <w:lvlJc w:val="left"/>
      <w:pPr>
        <w:ind w:left="8749" w:hanging="320"/>
      </w:pPr>
      <w:rPr>
        <w:rFonts w:hint="default"/>
        <w:lang w:val="zh-CN" w:eastAsia="zh-CN" w:bidi="zh-CN"/>
      </w:rPr>
    </w:lvl>
  </w:abstractNum>
  <w:abstractNum w:abstractNumId="705" w15:restartNumberingAfterBreak="0">
    <w:nsid w:val="5F75440D"/>
    <w:multiLevelType w:val="hybridMultilevel"/>
    <w:tmpl w:val="C0D440E0"/>
    <w:lvl w:ilvl="0" w:tplc="55D8DBE8">
      <w:start w:val="5"/>
      <w:numFmt w:val="decimal"/>
      <w:lvlText w:val="%1"/>
      <w:lvlJc w:val="left"/>
      <w:pPr>
        <w:ind w:left="1159" w:hanging="320"/>
        <w:jc w:val="left"/>
      </w:pPr>
      <w:rPr>
        <w:rFonts w:hint="default"/>
        <w:lang w:val="zh-CN" w:eastAsia="zh-CN" w:bidi="zh-CN"/>
      </w:rPr>
    </w:lvl>
    <w:lvl w:ilvl="1" w:tplc="0DD88C82">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B934A9A4">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774AED4C">
      <w:start w:val="1"/>
      <w:numFmt w:val="decimal"/>
      <w:lvlText w:val="%1.%2.%3.%4"/>
      <w:lvlJc w:val="left"/>
      <w:pPr>
        <w:ind w:left="418" w:hanging="738"/>
        <w:jc w:val="left"/>
      </w:pPr>
      <w:rPr>
        <w:rFonts w:hint="default"/>
        <w:spacing w:val="-3"/>
        <w:w w:val="100"/>
        <w:lang w:val="zh-CN" w:eastAsia="zh-CN" w:bidi="zh-CN"/>
      </w:rPr>
    </w:lvl>
    <w:lvl w:ilvl="4" w:tplc="3D6E174A">
      <w:start w:val="1"/>
      <w:numFmt w:val="decimal"/>
      <w:lvlText w:val="%1.%2.%3.%4.%5"/>
      <w:lvlJc w:val="left"/>
      <w:pPr>
        <w:ind w:left="418" w:hanging="738"/>
        <w:jc w:val="left"/>
      </w:pPr>
      <w:rPr>
        <w:rFonts w:ascii="宋体" w:eastAsia="宋体" w:hAnsi="宋体" w:cs="宋体" w:hint="default"/>
        <w:spacing w:val="-3"/>
        <w:w w:val="100"/>
        <w:sz w:val="19"/>
        <w:szCs w:val="19"/>
        <w:lang w:val="zh-CN" w:eastAsia="zh-CN" w:bidi="zh-CN"/>
      </w:rPr>
    </w:lvl>
    <w:lvl w:ilvl="5" w:tplc="B07ACC4E">
      <w:numFmt w:val="bullet"/>
      <w:lvlText w:val="•"/>
      <w:lvlJc w:val="left"/>
      <w:pPr>
        <w:ind w:left="4170" w:hanging="738"/>
      </w:pPr>
      <w:rPr>
        <w:rFonts w:hint="default"/>
        <w:lang w:val="zh-CN" w:eastAsia="zh-CN" w:bidi="zh-CN"/>
      </w:rPr>
    </w:lvl>
    <w:lvl w:ilvl="6" w:tplc="732018AC">
      <w:numFmt w:val="bullet"/>
      <w:lvlText w:val="•"/>
      <w:lvlJc w:val="left"/>
      <w:pPr>
        <w:ind w:left="5465" w:hanging="738"/>
      </w:pPr>
      <w:rPr>
        <w:rFonts w:hint="default"/>
        <w:lang w:val="zh-CN" w:eastAsia="zh-CN" w:bidi="zh-CN"/>
      </w:rPr>
    </w:lvl>
    <w:lvl w:ilvl="7" w:tplc="FC26051E">
      <w:numFmt w:val="bullet"/>
      <w:lvlText w:val="•"/>
      <w:lvlJc w:val="left"/>
      <w:pPr>
        <w:ind w:left="6760" w:hanging="738"/>
      </w:pPr>
      <w:rPr>
        <w:rFonts w:hint="default"/>
        <w:lang w:val="zh-CN" w:eastAsia="zh-CN" w:bidi="zh-CN"/>
      </w:rPr>
    </w:lvl>
    <w:lvl w:ilvl="8" w:tplc="C786D43C">
      <w:numFmt w:val="bullet"/>
      <w:lvlText w:val="•"/>
      <w:lvlJc w:val="left"/>
      <w:pPr>
        <w:ind w:left="8056" w:hanging="738"/>
      </w:pPr>
      <w:rPr>
        <w:rFonts w:hint="default"/>
        <w:lang w:val="zh-CN" w:eastAsia="zh-CN" w:bidi="zh-CN"/>
      </w:rPr>
    </w:lvl>
  </w:abstractNum>
  <w:abstractNum w:abstractNumId="706" w15:restartNumberingAfterBreak="0">
    <w:nsid w:val="5F9D498C"/>
    <w:multiLevelType w:val="hybridMultilevel"/>
    <w:tmpl w:val="AAFE617E"/>
    <w:lvl w:ilvl="0" w:tplc="986853AC">
      <w:start w:val="4"/>
      <w:numFmt w:val="decimal"/>
      <w:lvlText w:val="%1"/>
      <w:lvlJc w:val="left"/>
      <w:pPr>
        <w:ind w:left="1158" w:hanging="318"/>
        <w:jc w:val="left"/>
      </w:pPr>
      <w:rPr>
        <w:rFonts w:hint="default"/>
        <w:lang w:val="zh-CN" w:eastAsia="zh-CN" w:bidi="zh-CN"/>
      </w:rPr>
    </w:lvl>
    <w:lvl w:ilvl="1" w:tplc="62106EDA">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1478C6D8">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E200AA72">
      <w:numFmt w:val="bullet"/>
      <w:lvlText w:val="•"/>
      <w:lvlJc w:val="left"/>
      <w:pPr>
        <w:ind w:left="2520" w:hanging="529"/>
      </w:pPr>
      <w:rPr>
        <w:rFonts w:hint="default"/>
        <w:lang w:val="zh-CN" w:eastAsia="zh-CN" w:bidi="zh-CN"/>
      </w:rPr>
    </w:lvl>
    <w:lvl w:ilvl="4" w:tplc="71100F9C">
      <w:numFmt w:val="bullet"/>
      <w:lvlText w:val="•"/>
      <w:lvlJc w:val="left"/>
      <w:pPr>
        <w:ind w:left="3681" w:hanging="529"/>
      </w:pPr>
      <w:rPr>
        <w:rFonts w:hint="default"/>
        <w:lang w:val="zh-CN" w:eastAsia="zh-CN" w:bidi="zh-CN"/>
      </w:rPr>
    </w:lvl>
    <w:lvl w:ilvl="5" w:tplc="16D8A4A0">
      <w:numFmt w:val="bullet"/>
      <w:lvlText w:val="•"/>
      <w:lvlJc w:val="left"/>
      <w:pPr>
        <w:ind w:left="4842" w:hanging="529"/>
      </w:pPr>
      <w:rPr>
        <w:rFonts w:hint="default"/>
        <w:lang w:val="zh-CN" w:eastAsia="zh-CN" w:bidi="zh-CN"/>
      </w:rPr>
    </w:lvl>
    <w:lvl w:ilvl="6" w:tplc="06B46E28">
      <w:numFmt w:val="bullet"/>
      <w:lvlText w:val="•"/>
      <w:lvlJc w:val="left"/>
      <w:pPr>
        <w:ind w:left="6003" w:hanging="529"/>
      </w:pPr>
      <w:rPr>
        <w:rFonts w:hint="default"/>
        <w:lang w:val="zh-CN" w:eastAsia="zh-CN" w:bidi="zh-CN"/>
      </w:rPr>
    </w:lvl>
    <w:lvl w:ilvl="7" w:tplc="63B2F8EC">
      <w:numFmt w:val="bullet"/>
      <w:lvlText w:val="•"/>
      <w:lvlJc w:val="left"/>
      <w:pPr>
        <w:ind w:left="7164" w:hanging="529"/>
      </w:pPr>
      <w:rPr>
        <w:rFonts w:hint="default"/>
        <w:lang w:val="zh-CN" w:eastAsia="zh-CN" w:bidi="zh-CN"/>
      </w:rPr>
    </w:lvl>
    <w:lvl w:ilvl="8" w:tplc="F7F28238">
      <w:numFmt w:val="bullet"/>
      <w:lvlText w:val="•"/>
      <w:lvlJc w:val="left"/>
      <w:pPr>
        <w:ind w:left="8324" w:hanging="529"/>
      </w:pPr>
      <w:rPr>
        <w:rFonts w:hint="default"/>
        <w:lang w:val="zh-CN" w:eastAsia="zh-CN" w:bidi="zh-CN"/>
      </w:rPr>
    </w:lvl>
  </w:abstractNum>
  <w:abstractNum w:abstractNumId="707" w15:restartNumberingAfterBreak="0">
    <w:nsid w:val="5F9F2ADA"/>
    <w:multiLevelType w:val="hybridMultilevel"/>
    <w:tmpl w:val="6F660B40"/>
    <w:lvl w:ilvl="0" w:tplc="0AACCF76">
      <w:start w:val="9"/>
      <w:numFmt w:val="decimal"/>
      <w:lvlText w:val="%1"/>
      <w:lvlJc w:val="left"/>
      <w:pPr>
        <w:ind w:left="418" w:hanging="531"/>
        <w:jc w:val="left"/>
      </w:pPr>
      <w:rPr>
        <w:rFonts w:hint="default"/>
        <w:lang w:val="zh-CN" w:eastAsia="zh-CN" w:bidi="zh-CN"/>
      </w:rPr>
    </w:lvl>
    <w:lvl w:ilvl="1" w:tplc="5AFE4744">
      <w:start w:val="3"/>
      <w:numFmt w:val="decimal"/>
      <w:lvlText w:val="%1.%2"/>
      <w:lvlJc w:val="left"/>
      <w:pPr>
        <w:ind w:left="418" w:hanging="531"/>
        <w:jc w:val="left"/>
      </w:pPr>
      <w:rPr>
        <w:rFonts w:hint="default"/>
        <w:lang w:val="zh-CN" w:eastAsia="zh-CN" w:bidi="zh-CN"/>
      </w:rPr>
    </w:lvl>
    <w:lvl w:ilvl="2" w:tplc="76CAC980">
      <w:start w:val="1"/>
      <w:numFmt w:val="decimal"/>
      <w:lvlText w:val="%1.%2.%3"/>
      <w:lvlJc w:val="left"/>
      <w:pPr>
        <w:ind w:left="418" w:hanging="531"/>
        <w:jc w:val="left"/>
      </w:pPr>
      <w:rPr>
        <w:rFonts w:ascii="宋体" w:eastAsia="宋体" w:hAnsi="宋体" w:cs="宋体" w:hint="default"/>
        <w:b/>
        <w:bCs/>
        <w:color w:val="333333"/>
        <w:w w:val="99"/>
        <w:sz w:val="19"/>
        <w:szCs w:val="19"/>
        <w:lang w:val="zh-CN" w:eastAsia="zh-CN" w:bidi="zh-CN"/>
      </w:rPr>
    </w:lvl>
    <w:lvl w:ilvl="3" w:tplc="EA6CE574">
      <w:numFmt w:val="bullet"/>
      <w:lvlText w:val="•"/>
      <w:lvlJc w:val="left"/>
      <w:pPr>
        <w:ind w:left="3487" w:hanging="531"/>
      </w:pPr>
      <w:rPr>
        <w:rFonts w:hint="default"/>
        <w:lang w:val="zh-CN" w:eastAsia="zh-CN" w:bidi="zh-CN"/>
      </w:rPr>
    </w:lvl>
    <w:lvl w:ilvl="4" w:tplc="4CBAF7B4">
      <w:numFmt w:val="bullet"/>
      <w:lvlText w:val="•"/>
      <w:lvlJc w:val="left"/>
      <w:pPr>
        <w:ind w:left="4510" w:hanging="531"/>
      </w:pPr>
      <w:rPr>
        <w:rFonts w:hint="default"/>
        <w:lang w:val="zh-CN" w:eastAsia="zh-CN" w:bidi="zh-CN"/>
      </w:rPr>
    </w:lvl>
    <w:lvl w:ilvl="5" w:tplc="3A02E1B2">
      <w:numFmt w:val="bullet"/>
      <w:lvlText w:val="•"/>
      <w:lvlJc w:val="left"/>
      <w:pPr>
        <w:ind w:left="5533" w:hanging="531"/>
      </w:pPr>
      <w:rPr>
        <w:rFonts w:hint="default"/>
        <w:lang w:val="zh-CN" w:eastAsia="zh-CN" w:bidi="zh-CN"/>
      </w:rPr>
    </w:lvl>
    <w:lvl w:ilvl="6" w:tplc="05B686E0">
      <w:numFmt w:val="bullet"/>
      <w:lvlText w:val="•"/>
      <w:lvlJc w:val="left"/>
      <w:pPr>
        <w:ind w:left="6555" w:hanging="531"/>
      </w:pPr>
      <w:rPr>
        <w:rFonts w:hint="default"/>
        <w:lang w:val="zh-CN" w:eastAsia="zh-CN" w:bidi="zh-CN"/>
      </w:rPr>
    </w:lvl>
    <w:lvl w:ilvl="7" w:tplc="BCB4D4DE">
      <w:numFmt w:val="bullet"/>
      <w:lvlText w:val="•"/>
      <w:lvlJc w:val="left"/>
      <w:pPr>
        <w:ind w:left="7578" w:hanging="531"/>
      </w:pPr>
      <w:rPr>
        <w:rFonts w:hint="default"/>
        <w:lang w:val="zh-CN" w:eastAsia="zh-CN" w:bidi="zh-CN"/>
      </w:rPr>
    </w:lvl>
    <w:lvl w:ilvl="8" w:tplc="EB84B5A2">
      <w:numFmt w:val="bullet"/>
      <w:lvlText w:val="•"/>
      <w:lvlJc w:val="left"/>
      <w:pPr>
        <w:ind w:left="8601" w:hanging="531"/>
      </w:pPr>
      <w:rPr>
        <w:rFonts w:hint="default"/>
        <w:lang w:val="zh-CN" w:eastAsia="zh-CN" w:bidi="zh-CN"/>
      </w:rPr>
    </w:lvl>
  </w:abstractNum>
  <w:abstractNum w:abstractNumId="708" w15:restartNumberingAfterBreak="0">
    <w:nsid w:val="5FC01D68"/>
    <w:multiLevelType w:val="hybridMultilevel"/>
    <w:tmpl w:val="8D5A57BC"/>
    <w:lvl w:ilvl="0" w:tplc="3F88D2A2">
      <w:start w:val="3"/>
      <w:numFmt w:val="decimal"/>
      <w:lvlText w:val="%1"/>
      <w:lvlJc w:val="left"/>
      <w:pPr>
        <w:ind w:left="1158" w:hanging="318"/>
        <w:jc w:val="left"/>
      </w:pPr>
      <w:rPr>
        <w:rFonts w:hint="default"/>
        <w:lang w:val="zh-CN" w:eastAsia="zh-CN" w:bidi="zh-CN"/>
      </w:rPr>
    </w:lvl>
    <w:lvl w:ilvl="1" w:tplc="402AFD7E">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82BCC8F0">
      <w:start w:val="1"/>
      <w:numFmt w:val="decimal"/>
      <w:lvlText w:val="%1.%2.%3"/>
      <w:lvlJc w:val="left"/>
      <w:pPr>
        <w:ind w:left="418" w:hanging="531"/>
        <w:jc w:val="left"/>
      </w:pPr>
      <w:rPr>
        <w:rFonts w:ascii="宋体" w:eastAsia="宋体" w:hAnsi="宋体" w:cs="宋体" w:hint="default"/>
        <w:b/>
        <w:bCs/>
        <w:color w:val="333333"/>
        <w:w w:val="99"/>
        <w:sz w:val="19"/>
        <w:szCs w:val="19"/>
        <w:lang w:val="zh-CN" w:eastAsia="zh-CN" w:bidi="zh-CN"/>
      </w:rPr>
    </w:lvl>
    <w:lvl w:ilvl="3" w:tplc="2AFC5192">
      <w:numFmt w:val="bullet"/>
      <w:lvlText w:val="•"/>
      <w:lvlJc w:val="left"/>
      <w:pPr>
        <w:ind w:left="1380" w:hanging="531"/>
      </w:pPr>
      <w:rPr>
        <w:rFonts w:hint="default"/>
        <w:lang w:val="zh-CN" w:eastAsia="zh-CN" w:bidi="zh-CN"/>
      </w:rPr>
    </w:lvl>
    <w:lvl w:ilvl="4" w:tplc="C1AA3358">
      <w:numFmt w:val="bullet"/>
      <w:lvlText w:val="•"/>
      <w:lvlJc w:val="left"/>
      <w:pPr>
        <w:ind w:left="2703" w:hanging="531"/>
      </w:pPr>
      <w:rPr>
        <w:rFonts w:hint="default"/>
        <w:lang w:val="zh-CN" w:eastAsia="zh-CN" w:bidi="zh-CN"/>
      </w:rPr>
    </w:lvl>
    <w:lvl w:ilvl="5" w:tplc="376EC6A4">
      <w:numFmt w:val="bullet"/>
      <w:lvlText w:val="•"/>
      <w:lvlJc w:val="left"/>
      <w:pPr>
        <w:ind w:left="4027" w:hanging="531"/>
      </w:pPr>
      <w:rPr>
        <w:rFonts w:hint="default"/>
        <w:lang w:val="zh-CN" w:eastAsia="zh-CN" w:bidi="zh-CN"/>
      </w:rPr>
    </w:lvl>
    <w:lvl w:ilvl="6" w:tplc="356A899C">
      <w:numFmt w:val="bullet"/>
      <w:lvlText w:val="•"/>
      <w:lvlJc w:val="left"/>
      <w:pPr>
        <w:ind w:left="5351" w:hanging="531"/>
      </w:pPr>
      <w:rPr>
        <w:rFonts w:hint="default"/>
        <w:lang w:val="zh-CN" w:eastAsia="zh-CN" w:bidi="zh-CN"/>
      </w:rPr>
    </w:lvl>
    <w:lvl w:ilvl="7" w:tplc="947E4144">
      <w:numFmt w:val="bullet"/>
      <w:lvlText w:val="•"/>
      <w:lvlJc w:val="left"/>
      <w:pPr>
        <w:ind w:left="6675" w:hanging="531"/>
      </w:pPr>
      <w:rPr>
        <w:rFonts w:hint="default"/>
        <w:lang w:val="zh-CN" w:eastAsia="zh-CN" w:bidi="zh-CN"/>
      </w:rPr>
    </w:lvl>
    <w:lvl w:ilvl="8" w:tplc="3BE2B3D8">
      <w:numFmt w:val="bullet"/>
      <w:lvlText w:val="•"/>
      <w:lvlJc w:val="left"/>
      <w:pPr>
        <w:ind w:left="7998" w:hanging="531"/>
      </w:pPr>
      <w:rPr>
        <w:rFonts w:hint="default"/>
        <w:lang w:val="zh-CN" w:eastAsia="zh-CN" w:bidi="zh-CN"/>
      </w:rPr>
    </w:lvl>
  </w:abstractNum>
  <w:abstractNum w:abstractNumId="709" w15:restartNumberingAfterBreak="0">
    <w:nsid w:val="5FF20A8F"/>
    <w:multiLevelType w:val="hybridMultilevel"/>
    <w:tmpl w:val="756898AC"/>
    <w:lvl w:ilvl="0" w:tplc="8D520E22">
      <w:start w:val="2"/>
      <w:numFmt w:val="decimal"/>
      <w:lvlText w:val="%1"/>
      <w:lvlJc w:val="left"/>
      <w:pPr>
        <w:ind w:left="1159" w:hanging="320"/>
        <w:jc w:val="left"/>
      </w:pPr>
      <w:rPr>
        <w:rFonts w:hint="default"/>
        <w:lang w:val="zh-CN" w:eastAsia="zh-CN" w:bidi="zh-CN"/>
      </w:rPr>
    </w:lvl>
    <w:lvl w:ilvl="1" w:tplc="7E921BB2">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D4881AF2">
      <w:numFmt w:val="bullet"/>
      <w:lvlText w:val="•"/>
      <w:lvlJc w:val="left"/>
      <w:pPr>
        <w:ind w:left="3057" w:hanging="320"/>
      </w:pPr>
      <w:rPr>
        <w:rFonts w:hint="default"/>
        <w:lang w:val="zh-CN" w:eastAsia="zh-CN" w:bidi="zh-CN"/>
      </w:rPr>
    </w:lvl>
    <w:lvl w:ilvl="3" w:tplc="3DDCA0C0">
      <w:numFmt w:val="bullet"/>
      <w:lvlText w:val="•"/>
      <w:lvlJc w:val="left"/>
      <w:pPr>
        <w:ind w:left="4005" w:hanging="320"/>
      </w:pPr>
      <w:rPr>
        <w:rFonts w:hint="default"/>
        <w:lang w:val="zh-CN" w:eastAsia="zh-CN" w:bidi="zh-CN"/>
      </w:rPr>
    </w:lvl>
    <w:lvl w:ilvl="4" w:tplc="762CE4B6">
      <w:numFmt w:val="bullet"/>
      <w:lvlText w:val="•"/>
      <w:lvlJc w:val="left"/>
      <w:pPr>
        <w:ind w:left="4954" w:hanging="320"/>
      </w:pPr>
      <w:rPr>
        <w:rFonts w:hint="default"/>
        <w:lang w:val="zh-CN" w:eastAsia="zh-CN" w:bidi="zh-CN"/>
      </w:rPr>
    </w:lvl>
    <w:lvl w:ilvl="5" w:tplc="CB82B93A">
      <w:numFmt w:val="bullet"/>
      <w:lvlText w:val="•"/>
      <w:lvlJc w:val="left"/>
      <w:pPr>
        <w:ind w:left="5903" w:hanging="320"/>
      </w:pPr>
      <w:rPr>
        <w:rFonts w:hint="default"/>
        <w:lang w:val="zh-CN" w:eastAsia="zh-CN" w:bidi="zh-CN"/>
      </w:rPr>
    </w:lvl>
    <w:lvl w:ilvl="6" w:tplc="7F380060">
      <w:numFmt w:val="bullet"/>
      <w:lvlText w:val="•"/>
      <w:lvlJc w:val="left"/>
      <w:pPr>
        <w:ind w:left="6851" w:hanging="320"/>
      </w:pPr>
      <w:rPr>
        <w:rFonts w:hint="default"/>
        <w:lang w:val="zh-CN" w:eastAsia="zh-CN" w:bidi="zh-CN"/>
      </w:rPr>
    </w:lvl>
    <w:lvl w:ilvl="7" w:tplc="B1080068">
      <w:numFmt w:val="bullet"/>
      <w:lvlText w:val="•"/>
      <w:lvlJc w:val="left"/>
      <w:pPr>
        <w:ind w:left="7800" w:hanging="320"/>
      </w:pPr>
      <w:rPr>
        <w:rFonts w:hint="default"/>
        <w:lang w:val="zh-CN" w:eastAsia="zh-CN" w:bidi="zh-CN"/>
      </w:rPr>
    </w:lvl>
    <w:lvl w:ilvl="8" w:tplc="037A9692">
      <w:numFmt w:val="bullet"/>
      <w:lvlText w:val="•"/>
      <w:lvlJc w:val="left"/>
      <w:pPr>
        <w:ind w:left="8749" w:hanging="320"/>
      </w:pPr>
      <w:rPr>
        <w:rFonts w:hint="default"/>
        <w:lang w:val="zh-CN" w:eastAsia="zh-CN" w:bidi="zh-CN"/>
      </w:rPr>
    </w:lvl>
  </w:abstractNum>
  <w:abstractNum w:abstractNumId="710" w15:restartNumberingAfterBreak="0">
    <w:nsid w:val="5FF5135C"/>
    <w:multiLevelType w:val="hybridMultilevel"/>
    <w:tmpl w:val="EDBCDDFC"/>
    <w:lvl w:ilvl="0" w:tplc="9DCAE2AE">
      <w:start w:val="2"/>
      <w:numFmt w:val="decimal"/>
      <w:lvlText w:val="%1）"/>
      <w:lvlJc w:val="left"/>
      <w:pPr>
        <w:ind w:left="1155" w:hanging="318"/>
        <w:jc w:val="left"/>
      </w:pPr>
      <w:rPr>
        <w:rFonts w:ascii="宋体" w:eastAsia="宋体" w:hAnsi="宋体" w:cs="宋体" w:hint="default"/>
        <w:w w:val="100"/>
        <w:sz w:val="19"/>
        <w:szCs w:val="19"/>
        <w:lang w:val="zh-CN" w:eastAsia="zh-CN" w:bidi="zh-CN"/>
      </w:rPr>
    </w:lvl>
    <w:lvl w:ilvl="1" w:tplc="D8E456EA">
      <w:numFmt w:val="bullet"/>
      <w:lvlText w:val="•"/>
      <w:lvlJc w:val="left"/>
      <w:pPr>
        <w:ind w:left="2108" w:hanging="318"/>
      </w:pPr>
      <w:rPr>
        <w:rFonts w:hint="default"/>
        <w:lang w:val="zh-CN" w:eastAsia="zh-CN" w:bidi="zh-CN"/>
      </w:rPr>
    </w:lvl>
    <w:lvl w:ilvl="2" w:tplc="DF3A6B76">
      <w:numFmt w:val="bullet"/>
      <w:lvlText w:val="•"/>
      <w:lvlJc w:val="left"/>
      <w:pPr>
        <w:ind w:left="3057" w:hanging="318"/>
      </w:pPr>
      <w:rPr>
        <w:rFonts w:hint="default"/>
        <w:lang w:val="zh-CN" w:eastAsia="zh-CN" w:bidi="zh-CN"/>
      </w:rPr>
    </w:lvl>
    <w:lvl w:ilvl="3" w:tplc="2B6AD76E">
      <w:numFmt w:val="bullet"/>
      <w:lvlText w:val="•"/>
      <w:lvlJc w:val="left"/>
      <w:pPr>
        <w:ind w:left="4005" w:hanging="318"/>
      </w:pPr>
      <w:rPr>
        <w:rFonts w:hint="default"/>
        <w:lang w:val="zh-CN" w:eastAsia="zh-CN" w:bidi="zh-CN"/>
      </w:rPr>
    </w:lvl>
    <w:lvl w:ilvl="4" w:tplc="3F983B08">
      <w:numFmt w:val="bullet"/>
      <w:lvlText w:val="•"/>
      <w:lvlJc w:val="left"/>
      <w:pPr>
        <w:ind w:left="4954" w:hanging="318"/>
      </w:pPr>
      <w:rPr>
        <w:rFonts w:hint="default"/>
        <w:lang w:val="zh-CN" w:eastAsia="zh-CN" w:bidi="zh-CN"/>
      </w:rPr>
    </w:lvl>
    <w:lvl w:ilvl="5" w:tplc="101A173A">
      <w:numFmt w:val="bullet"/>
      <w:lvlText w:val="•"/>
      <w:lvlJc w:val="left"/>
      <w:pPr>
        <w:ind w:left="5903" w:hanging="318"/>
      </w:pPr>
      <w:rPr>
        <w:rFonts w:hint="default"/>
        <w:lang w:val="zh-CN" w:eastAsia="zh-CN" w:bidi="zh-CN"/>
      </w:rPr>
    </w:lvl>
    <w:lvl w:ilvl="6" w:tplc="5DB41B4C">
      <w:numFmt w:val="bullet"/>
      <w:lvlText w:val="•"/>
      <w:lvlJc w:val="left"/>
      <w:pPr>
        <w:ind w:left="6851" w:hanging="318"/>
      </w:pPr>
      <w:rPr>
        <w:rFonts w:hint="default"/>
        <w:lang w:val="zh-CN" w:eastAsia="zh-CN" w:bidi="zh-CN"/>
      </w:rPr>
    </w:lvl>
    <w:lvl w:ilvl="7" w:tplc="92B46836">
      <w:numFmt w:val="bullet"/>
      <w:lvlText w:val="•"/>
      <w:lvlJc w:val="left"/>
      <w:pPr>
        <w:ind w:left="7800" w:hanging="318"/>
      </w:pPr>
      <w:rPr>
        <w:rFonts w:hint="default"/>
        <w:lang w:val="zh-CN" w:eastAsia="zh-CN" w:bidi="zh-CN"/>
      </w:rPr>
    </w:lvl>
    <w:lvl w:ilvl="8" w:tplc="72B29ECA">
      <w:numFmt w:val="bullet"/>
      <w:lvlText w:val="•"/>
      <w:lvlJc w:val="left"/>
      <w:pPr>
        <w:ind w:left="8749" w:hanging="318"/>
      </w:pPr>
      <w:rPr>
        <w:rFonts w:hint="default"/>
        <w:lang w:val="zh-CN" w:eastAsia="zh-CN" w:bidi="zh-CN"/>
      </w:rPr>
    </w:lvl>
  </w:abstractNum>
  <w:abstractNum w:abstractNumId="711" w15:restartNumberingAfterBreak="0">
    <w:nsid w:val="5FF92D54"/>
    <w:multiLevelType w:val="hybridMultilevel"/>
    <w:tmpl w:val="5E7E6E46"/>
    <w:lvl w:ilvl="0" w:tplc="DD8AB58A">
      <w:start w:val="6"/>
      <w:numFmt w:val="decimal"/>
      <w:lvlText w:val="%1"/>
      <w:lvlJc w:val="left"/>
      <w:pPr>
        <w:ind w:left="1159" w:hanging="320"/>
        <w:jc w:val="left"/>
      </w:pPr>
      <w:rPr>
        <w:rFonts w:hint="default"/>
        <w:lang w:val="zh-CN" w:eastAsia="zh-CN" w:bidi="zh-CN"/>
      </w:rPr>
    </w:lvl>
    <w:lvl w:ilvl="1" w:tplc="1FA6A986">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E4B473E6">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E3444798">
      <w:numFmt w:val="bullet"/>
      <w:lvlText w:val="•"/>
      <w:lvlJc w:val="left"/>
      <w:pPr>
        <w:ind w:left="3268" w:hanging="531"/>
      </w:pPr>
      <w:rPr>
        <w:rFonts w:hint="default"/>
        <w:lang w:val="zh-CN" w:eastAsia="zh-CN" w:bidi="zh-CN"/>
      </w:rPr>
    </w:lvl>
    <w:lvl w:ilvl="4" w:tplc="F5AEBE90">
      <w:numFmt w:val="bullet"/>
      <w:lvlText w:val="•"/>
      <w:lvlJc w:val="left"/>
      <w:pPr>
        <w:ind w:left="4322" w:hanging="531"/>
      </w:pPr>
      <w:rPr>
        <w:rFonts w:hint="default"/>
        <w:lang w:val="zh-CN" w:eastAsia="zh-CN" w:bidi="zh-CN"/>
      </w:rPr>
    </w:lvl>
    <w:lvl w:ilvl="5" w:tplc="396E9276">
      <w:numFmt w:val="bullet"/>
      <w:lvlText w:val="•"/>
      <w:lvlJc w:val="left"/>
      <w:pPr>
        <w:ind w:left="5376" w:hanging="531"/>
      </w:pPr>
      <w:rPr>
        <w:rFonts w:hint="default"/>
        <w:lang w:val="zh-CN" w:eastAsia="zh-CN" w:bidi="zh-CN"/>
      </w:rPr>
    </w:lvl>
    <w:lvl w:ilvl="6" w:tplc="2CEA8B3E">
      <w:numFmt w:val="bullet"/>
      <w:lvlText w:val="•"/>
      <w:lvlJc w:val="left"/>
      <w:pPr>
        <w:ind w:left="6430" w:hanging="531"/>
      </w:pPr>
      <w:rPr>
        <w:rFonts w:hint="default"/>
        <w:lang w:val="zh-CN" w:eastAsia="zh-CN" w:bidi="zh-CN"/>
      </w:rPr>
    </w:lvl>
    <w:lvl w:ilvl="7" w:tplc="65247966">
      <w:numFmt w:val="bullet"/>
      <w:lvlText w:val="•"/>
      <w:lvlJc w:val="left"/>
      <w:pPr>
        <w:ind w:left="7484" w:hanging="531"/>
      </w:pPr>
      <w:rPr>
        <w:rFonts w:hint="default"/>
        <w:lang w:val="zh-CN" w:eastAsia="zh-CN" w:bidi="zh-CN"/>
      </w:rPr>
    </w:lvl>
    <w:lvl w:ilvl="8" w:tplc="9B78BD7E">
      <w:numFmt w:val="bullet"/>
      <w:lvlText w:val="•"/>
      <w:lvlJc w:val="left"/>
      <w:pPr>
        <w:ind w:left="8538" w:hanging="531"/>
      </w:pPr>
      <w:rPr>
        <w:rFonts w:hint="default"/>
        <w:lang w:val="zh-CN" w:eastAsia="zh-CN" w:bidi="zh-CN"/>
      </w:rPr>
    </w:lvl>
  </w:abstractNum>
  <w:abstractNum w:abstractNumId="712" w15:restartNumberingAfterBreak="0">
    <w:nsid w:val="600B4846"/>
    <w:multiLevelType w:val="hybridMultilevel"/>
    <w:tmpl w:val="C270C146"/>
    <w:lvl w:ilvl="0" w:tplc="33884CA2">
      <w:start w:val="1"/>
      <w:numFmt w:val="decimal"/>
      <w:lvlText w:val="（%1）"/>
      <w:lvlJc w:val="left"/>
      <w:pPr>
        <w:ind w:left="418" w:hanging="532"/>
        <w:jc w:val="left"/>
      </w:pPr>
      <w:rPr>
        <w:rFonts w:ascii="宋体" w:eastAsia="宋体" w:hAnsi="宋体" w:cs="宋体" w:hint="default"/>
        <w:spacing w:val="0"/>
        <w:w w:val="100"/>
        <w:sz w:val="19"/>
        <w:szCs w:val="19"/>
        <w:lang w:val="zh-CN" w:eastAsia="zh-CN" w:bidi="zh-CN"/>
      </w:rPr>
    </w:lvl>
    <w:lvl w:ilvl="1" w:tplc="36B05412">
      <w:numFmt w:val="bullet"/>
      <w:lvlText w:val="•"/>
      <w:lvlJc w:val="left"/>
      <w:pPr>
        <w:ind w:left="1442" w:hanging="532"/>
      </w:pPr>
      <w:rPr>
        <w:rFonts w:hint="default"/>
        <w:lang w:val="zh-CN" w:eastAsia="zh-CN" w:bidi="zh-CN"/>
      </w:rPr>
    </w:lvl>
    <w:lvl w:ilvl="2" w:tplc="C3401DD8">
      <w:numFmt w:val="bullet"/>
      <w:lvlText w:val="•"/>
      <w:lvlJc w:val="left"/>
      <w:pPr>
        <w:ind w:left="2465" w:hanging="532"/>
      </w:pPr>
      <w:rPr>
        <w:rFonts w:hint="default"/>
        <w:lang w:val="zh-CN" w:eastAsia="zh-CN" w:bidi="zh-CN"/>
      </w:rPr>
    </w:lvl>
    <w:lvl w:ilvl="3" w:tplc="4D30A0DC">
      <w:numFmt w:val="bullet"/>
      <w:lvlText w:val="•"/>
      <w:lvlJc w:val="left"/>
      <w:pPr>
        <w:ind w:left="3487" w:hanging="532"/>
      </w:pPr>
      <w:rPr>
        <w:rFonts w:hint="default"/>
        <w:lang w:val="zh-CN" w:eastAsia="zh-CN" w:bidi="zh-CN"/>
      </w:rPr>
    </w:lvl>
    <w:lvl w:ilvl="4" w:tplc="A25C53FA">
      <w:numFmt w:val="bullet"/>
      <w:lvlText w:val="•"/>
      <w:lvlJc w:val="left"/>
      <w:pPr>
        <w:ind w:left="4510" w:hanging="532"/>
      </w:pPr>
      <w:rPr>
        <w:rFonts w:hint="default"/>
        <w:lang w:val="zh-CN" w:eastAsia="zh-CN" w:bidi="zh-CN"/>
      </w:rPr>
    </w:lvl>
    <w:lvl w:ilvl="5" w:tplc="EFD2F346">
      <w:numFmt w:val="bullet"/>
      <w:lvlText w:val="•"/>
      <w:lvlJc w:val="left"/>
      <w:pPr>
        <w:ind w:left="5533" w:hanging="532"/>
      </w:pPr>
      <w:rPr>
        <w:rFonts w:hint="default"/>
        <w:lang w:val="zh-CN" w:eastAsia="zh-CN" w:bidi="zh-CN"/>
      </w:rPr>
    </w:lvl>
    <w:lvl w:ilvl="6" w:tplc="8C089234">
      <w:numFmt w:val="bullet"/>
      <w:lvlText w:val="•"/>
      <w:lvlJc w:val="left"/>
      <w:pPr>
        <w:ind w:left="6555" w:hanging="532"/>
      </w:pPr>
      <w:rPr>
        <w:rFonts w:hint="default"/>
        <w:lang w:val="zh-CN" w:eastAsia="zh-CN" w:bidi="zh-CN"/>
      </w:rPr>
    </w:lvl>
    <w:lvl w:ilvl="7" w:tplc="5316F088">
      <w:numFmt w:val="bullet"/>
      <w:lvlText w:val="•"/>
      <w:lvlJc w:val="left"/>
      <w:pPr>
        <w:ind w:left="7578" w:hanging="532"/>
      </w:pPr>
      <w:rPr>
        <w:rFonts w:hint="default"/>
        <w:lang w:val="zh-CN" w:eastAsia="zh-CN" w:bidi="zh-CN"/>
      </w:rPr>
    </w:lvl>
    <w:lvl w:ilvl="8" w:tplc="45C867BA">
      <w:numFmt w:val="bullet"/>
      <w:lvlText w:val="•"/>
      <w:lvlJc w:val="left"/>
      <w:pPr>
        <w:ind w:left="8601" w:hanging="532"/>
      </w:pPr>
      <w:rPr>
        <w:rFonts w:hint="default"/>
        <w:lang w:val="zh-CN" w:eastAsia="zh-CN" w:bidi="zh-CN"/>
      </w:rPr>
    </w:lvl>
  </w:abstractNum>
  <w:abstractNum w:abstractNumId="713" w15:restartNumberingAfterBreak="0">
    <w:nsid w:val="60155C16"/>
    <w:multiLevelType w:val="hybridMultilevel"/>
    <w:tmpl w:val="F118CE06"/>
    <w:lvl w:ilvl="0" w:tplc="3662BBD2">
      <w:start w:val="5"/>
      <w:numFmt w:val="decimal"/>
      <w:lvlText w:val="%1"/>
      <w:lvlJc w:val="left"/>
      <w:pPr>
        <w:ind w:left="1370" w:hanging="531"/>
        <w:jc w:val="left"/>
      </w:pPr>
      <w:rPr>
        <w:rFonts w:hint="default"/>
        <w:lang w:val="zh-CN" w:eastAsia="zh-CN" w:bidi="zh-CN"/>
      </w:rPr>
    </w:lvl>
    <w:lvl w:ilvl="1" w:tplc="18140C54">
      <w:start w:val="3"/>
      <w:numFmt w:val="decimal"/>
      <w:lvlText w:val="%1.%2"/>
      <w:lvlJc w:val="left"/>
      <w:pPr>
        <w:ind w:left="1370" w:hanging="531"/>
        <w:jc w:val="left"/>
      </w:pPr>
      <w:rPr>
        <w:rFonts w:hint="default"/>
        <w:lang w:val="zh-CN" w:eastAsia="zh-CN" w:bidi="zh-CN"/>
      </w:rPr>
    </w:lvl>
    <w:lvl w:ilvl="2" w:tplc="46385184">
      <w:start w:val="3"/>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8B7CBF10">
      <w:numFmt w:val="bullet"/>
      <w:lvlText w:val="•"/>
      <w:lvlJc w:val="left"/>
      <w:pPr>
        <w:ind w:left="4159" w:hanging="531"/>
      </w:pPr>
      <w:rPr>
        <w:rFonts w:hint="default"/>
        <w:lang w:val="zh-CN" w:eastAsia="zh-CN" w:bidi="zh-CN"/>
      </w:rPr>
    </w:lvl>
    <w:lvl w:ilvl="4" w:tplc="687CFA2C">
      <w:numFmt w:val="bullet"/>
      <w:lvlText w:val="•"/>
      <w:lvlJc w:val="left"/>
      <w:pPr>
        <w:ind w:left="5086" w:hanging="531"/>
      </w:pPr>
      <w:rPr>
        <w:rFonts w:hint="default"/>
        <w:lang w:val="zh-CN" w:eastAsia="zh-CN" w:bidi="zh-CN"/>
      </w:rPr>
    </w:lvl>
    <w:lvl w:ilvl="5" w:tplc="203E3FAA">
      <w:numFmt w:val="bullet"/>
      <w:lvlText w:val="•"/>
      <w:lvlJc w:val="left"/>
      <w:pPr>
        <w:ind w:left="6013" w:hanging="531"/>
      </w:pPr>
      <w:rPr>
        <w:rFonts w:hint="default"/>
        <w:lang w:val="zh-CN" w:eastAsia="zh-CN" w:bidi="zh-CN"/>
      </w:rPr>
    </w:lvl>
    <w:lvl w:ilvl="6" w:tplc="EDF8D402">
      <w:numFmt w:val="bullet"/>
      <w:lvlText w:val="•"/>
      <w:lvlJc w:val="left"/>
      <w:pPr>
        <w:ind w:left="6939" w:hanging="531"/>
      </w:pPr>
      <w:rPr>
        <w:rFonts w:hint="default"/>
        <w:lang w:val="zh-CN" w:eastAsia="zh-CN" w:bidi="zh-CN"/>
      </w:rPr>
    </w:lvl>
    <w:lvl w:ilvl="7" w:tplc="047437C8">
      <w:numFmt w:val="bullet"/>
      <w:lvlText w:val="•"/>
      <w:lvlJc w:val="left"/>
      <w:pPr>
        <w:ind w:left="7866" w:hanging="531"/>
      </w:pPr>
      <w:rPr>
        <w:rFonts w:hint="default"/>
        <w:lang w:val="zh-CN" w:eastAsia="zh-CN" w:bidi="zh-CN"/>
      </w:rPr>
    </w:lvl>
    <w:lvl w:ilvl="8" w:tplc="6D2A670A">
      <w:numFmt w:val="bullet"/>
      <w:lvlText w:val="•"/>
      <w:lvlJc w:val="left"/>
      <w:pPr>
        <w:ind w:left="8793" w:hanging="531"/>
      </w:pPr>
      <w:rPr>
        <w:rFonts w:hint="default"/>
        <w:lang w:val="zh-CN" w:eastAsia="zh-CN" w:bidi="zh-CN"/>
      </w:rPr>
    </w:lvl>
  </w:abstractNum>
  <w:abstractNum w:abstractNumId="714" w15:restartNumberingAfterBreak="0">
    <w:nsid w:val="603358FE"/>
    <w:multiLevelType w:val="hybridMultilevel"/>
    <w:tmpl w:val="AC96A0DA"/>
    <w:lvl w:ilvl="0" w:tplc="5E2C230E">
      <w:start w:val="12"/>
      <w:numFmt w:val="decimal"/>
      <w:lvlText w:val="%1"/>
      <w:lvlJc w:val="left"/>
      <w:pPr>
        <w:ind w:left="1263" w:hanging="424"/>
        <w:jc w:val="left"/>
      </w:pPr>
      <w:rPr>
        <w:rFonts w:hint="default"/>
        <w:lang w:val="zh-CN" w:eastAsia="zh-CN" w:bidi="zh-CN"/>
      </w:rPr>
    </w:lvl>
    <w:lvl w:ilvl="1" w:tplc="39E220BE">
      <w:start w:val="1"/>
      <w:numFmt w:val="decimal"/>
      <w:lvlText w:val="%1.%2"/>
      <w:lvlJc w:val="left"/>
      <w:pPr>
        <w:ind w:left="1263" w:hanging="424"/>
        <w:jc w:val="left"/>
      </w:pPr>
      <w:rPr>
        <w:rFonts w:ascii="宋体" w:eastAsia="宋体" w:hAnsi="宋体" w:cs="宋体" w:hint="default"/>
        <w:b/>
        <w:bCs/>
        <w:w w:val="99"/>
        <w:sz w:val="19"/>
        <w:szCs w:val="19"/>
        <w:lang w:val="zh-CN" w:eastAsia="zh-CN" w:bidi="zh-CN"/>
      </w:rPr>
    </w:lvl>
    <w:lvl w:ilvl="2" w:tplc="60F86B12">
      <w:start w:val="1"/>
      <w:numFmt w:val="decimal"/>
      <w:lvlText w:val="%1.%2.%3"/>
      <w:lvlJc w:val="left"/>
      <w:pPr>
        <w:ind w:left="418" w:hanging="637"/>
        <w:jc w:val="left"/>
      </w:pPr>
      <w:rPr>
        <w:rFonts w:ascii="宋体" w:eastAsia="宋体" w:hAnsi="宋体" w:cs="宋体" w:hint="default"/>
        <w:b/>
        <w:bCs/>
        <w:spacing w:val="-3"/>
        <w:w w:val="99"/>
        <w:sz w:val="19"/>
        <w:szCs w:val="19"/>
        <w:lang w:val="zh-CN" w:eastAsia="zh-CN" w:bidi="zh-CN"/>
      </w:rPr>
    </w:lvl>
    <w:lvl w:ilvl="3" w:tplc="FF4007D4">
      <w:numFmt w:val="bullet"/>
      <w:lvlText w:val="•"/>
      <w:lvlJc w:val="left"/>
      <w:pPr>
        <w:ind w:left="3345" w:hanging="637"/>
      </w:pPr>
      <w:rPr>
        <w:rFonts w:hint="default"/>
        <w:lang w:val="zh-CN" w:eastAsia="zh-CN" w:bidi="zh-CN"/>
      </w:rPr>
    </w:lvl>
    <w:lvl w:ilvl="4" w:tplc="B1E4F54E">
      <w:numFmt w:val="bullet"/>
      <w:lvlText w:val="•"/>
      <w:lvlJc w:val="left"/>
      <w:pPr>
        <w:ind w:left="4388" w:hanging="637"/>
      </w:pPr>
      <w:rPr>
        <w:rFonts w:hint="default"/>
        <w:lang w:val="zh-CN" w:eastAsia="zh-CN" w:bidi="zh-CN"/>
      </w:rPr>
    </w:lvl>
    <w:lvl w:ilvl="5" w:tplc="6E1A5F6E">
      <w:numFmt w:val="bullet"/>
      <w:lvlText w:val="•"/>
      <w:lvlJc w:val="left"/>
      <w:pPr>
        <w:ind w:left="5431" w:hanging="637"/>
      </w:pPr>
      <w:rPr>
        <w:rFonts w:hint="default"/>
        <w:lang w:val="zh-CN" w:eastAsia="zh-CN" w:bidi="zh-CN"/>
      </w:rPr>
    </w:lvl>
    <w:lvl w:ilvl="6" w:tplc="8BBC2B7C">
      <w:numFmt w:val="bullet"/>
      <w:lvlText w:val="•"/>
      <w:lvlJc w:val="left"/>
      <w:pPr>
        <w:ind w:left="6474" w:hanging="637"/>
      </w:pPr>
      <w:rPr>
        <w:rFonts w:hint="default"/>
        <w:lang w:val="zh-CN" w:eastAsia="zh-CN" w:bidi="zh-CN"/>
      </w:rPr>
    </w:lvl>
    <w:lvl w:ilvl="7" w:tplc="C0C4CC44">
      <w:numFmt w:val="bullet"/>
      <w:lvlText w:val="•"/>
      <w:lvlJc w:val="left"/>
      <w:pPr>
        <w:ind w:left="7517" w:hanging="637"/>
      </w:pPr>
      <w:rPr>
        <w:rFonts w:hint="default"/>
        <w:lang w:val="zh-CN" w:eastAsia="zh-CN" w:bidi="zh-CN"/>
      </w:rPr>
    </w:lvl>
    <w:lvl w:ilvl="8" w:tplc="CBCE463C">
      <w:numFmt w:val="bullet"/>
      <w:lvlText w:val="•"/>
      <w:lvlJc w:val="left"/>
      <w:pPr>
        <w:ind w:left="8560" w:hanging="637"/>
      </w:pPr>
      <w:rPr>
        <w:rFonts w:hint="default"/>
        <w:lang w:val="zh-CN" w:eastAsia="zh-CN" w:bidi="zh-CN"/>
      </w:rPr>
    </w:lvl>
  </w:abstractNum>
  <w:abstractNum w:abstractNumId="715" w15:restartNumberingAfterBreak="0">
    <w:nsid w:val="604F722E"/>
    <w:multiLevelType w:val="hybridMultilevel"/>
    <w:tmpl w:val="2BFEFB32"/>
    <w:lvl w:ilvl="0" w:tplc="78F4AE92">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90102FFA">
      <w:numFmt w:val="bullet"/>
      <w:lvlText w:val="•"/>
      <w:lvlJc w:val="left"/>
      <w:pPr>
        <w:ind w:left="1442" w:hanging="529"/>
      </w:pPr>
      <w:rPr>
        <w:rFonts w:hint="default"/>
        <w:lang w:val="zh-CN" w:eastAsia="zh-CN" w:bidi="zh-CN"/>
      </w:rPr>
    </w:lvl>
    <w:lvl w:ilvl="2" w:tplc="FFA8574A">
      <w:numFmt w:val="bullet"/>
      <w:lvlText w:val="•"/>
      <w:lvlJc w:val="left"/>
      <w:pPr>
        <w:ind w:left="2465" w:hanging="529"/>
      </w:pPr>
      <w:rPr>
        <w:rFonts w:hint="default"/>
        <w:lang w:val="zh-CN" w:eastAsia="zh-CN" w:bidi="zh-CN"/>
      </w:rPr>
    </w:lvl>
    <w:lvl w:ilvl="3" w:tplc="0DC23174">
      <w:numFmt w:val="bullet"/>
      <w:lvlText w:val="•"/>
      <w:lvlJc w:val="left"/>
      <w:pPr>
        <w:ind w:left="3487" w:hanging="529"/>
      </w:pPr>
      <w:rPr>
        <w:rFonts w:hint="default"/>
        <w:lang w:val="zh-CN" w:eastAsia="zh-CN" w:bidi="zh-CN"/>
      </w:rPr>
    </w:lvl>
    <w:lvl w:ilvl="4" w:tplc="7FFA0878">
      <w:numFmt w:val="bullet"/>
      <w:lvlText w:val="•"/>
      <w:lvlJc w:val="left"/>
      <w:pPr>
        <w:ind w:left="4510" w:hanging="529"/>
      </w:pPr>
      <w:rPr>
        <w:rFonts w:hint="default"/>
        <w:lang w:val="zh-CN" w:eastAsia="zh-CN" w:bidi="zh-CN"/>
      </w:rPr>
    </w:lvl>
    <w:lvl w:ilvl="5" w:tplc="5210AFFE">
      <w:numFmt w:val="bullet"/>
      <w:lvlText w:val="•"/>
      <w:lvlJc w:val="left"/>
      <w:pPr>
        <w:ind w:left="5533" w:hanging="529"/>
      </w:pPr>
      <w:rPr>
        <w:rFonts w:hint="default"/>
        <w:lang w:val="zh-CN" w:eastAsia="zh-CN" w:bidi="zh-CN"/>
      </w:rPr>
    </w:lvl>
    <w:lvl w:ilvl="6" w:tplc="4406F2E2">
      <w:numFmt w:val="bullet"/>
      <w:lvlText w:val="•"/>
      <w:lvlJc w:val="left"/>
      <w:pPr>
        <w:ind w:left="6555" w:hanging="529"/>
      </w:pPr>
      <w:rPr>
        <w:rFonts w:hint="default"/>
        <w:lang w:val="zh-CN" w:eastAsia="zh-CN" w:bidi="zh-CN"/>
      </w:rPr>
    </w:lvl>
    <w:lvl w:ilvl="7" w:tplc="72FCD128">
      <w:numFmt w:val="bullet"/>
      <w:lvlText w:val="•"/>
      <w:lvlJc w:val="left"/>
      <w:pPr>
        <w:ind w:left="7578" w:hanging="529"/>
      </w:pPr>
      <w:rPr>
        <w:rFonts w:hint="default"/>
        <w:lang w:val="zh-CN" w:eastAsia="zh-CN" w:bidi="zh-CN"/>
      </w:rPr>
    </w:lvl>
    <w:lvl w:ilvl="8" w:tplc="6C2C630C">
      <w:numFmt w:val="bullet"/>
      <w:lvlText w:val="•"/>
      <w:lvlJc w:val="left"/>
      <w:pPr>
        <w:ind w:left="8601" w:hanging="529"/>
      </w:pPr>
      <w:rPr>
        <w:rFonts w:hint="default"/>
        <w:lang w:val="zh-CN" w:eastAsia="zh-CN" w:bidi="zh-CN"/>
      </w:rPr>
    </w:lvl>
  </w:abstractNum>
  <w:abstractNum w:abstractNumId="716" w15:restartNumberingAfterBreak="0">
    <w:nsid w:val="607376A9"/>
    <w:multiLevelType w:val="hybridMultilevel"/>
    <w:tmpl w:val="E6249378"/>
    <w:lvl w:ilvl="0" w:tplc="F52EAAFC">
      <w:start w:val="3"/>
      <w:numFmt w:val="decimal"/>
      <w:lvlText w:val="%1."/>
      <w:lvlJc w:val="left"/>
      <w:pPr>
        <w:ind w:left="1050" w:hanging="213"/>
        <w:jc w:val="left"/>
      </w:pPr>
      <w:rPr>
        <w:rFonts w:ascii="宋体" w:eastAsia="宋体" w:hAnsi="宋体" w:cs="宋体" w:hint="default"/>
        <w:color w:val="333333"/>
        <w:spacing w:val="-53"/>
        <w:w w:val="100"/>
        <w:sz w:val="19"/>
        <w:szCs w:val="19"/>
        <w:lang w:val="zh-CN" w:eastAsia="zh-CN" w:bidi="zh-CN"/>
      </w:rPr>
    </w:lvl>
    <w:lvl w:ilvl="1" w:tplc="0CEE7B72">
      <w:numFmt w:val="bullet"/>
      <w:lvlText w:val="•"/>
      <w:lvlJc w:val="left"/>
      <w:pPr>
        <w:ind w:left="2018" w:hanging="213"/>
      </w:pPr>
      <w:rPr>
        <w:rFonts w:hint="default"/>
        <w:lang w:val="zh-CN" w:eastAsia="zh-CN" w:bidi="zh-CN"/>
      </w:rPr>
    </w:lvl>
    <w:lvl w:ilvl="2" w:tplc="6936A94A">
      <w:numFmt w:val="bullet"/>
      <w:lvlText w:val="•"/>
      <w:lvlJc w:val="left"/>
      <w:pPr>
        <w:ind w:left="2977" w:hanging="213"/>
      </w:pPr>
      <w:rPr>
        <w:rFonts w:hint="default"/>
        <w:lang w:val="zh-CN" w:eastAsia="zh-CN" w:bidi="zh-CN"/>
      </w:rPr>
    </w:lvl>
    <w:lvl w:ilvl="3" w:tplc="FF46D6C8">
      <w:numFmt w:val="bullet"/>
      <w:lvlText w:val="•"/>
      <w:lvlJc w:val="left"/>
      <w:pPr>
        <w:ind w:left="3935" w:hanging="213"/>
      </w:pPr>
      <w:rPr>
        <w:rFonts w:hint="default"/>
        <w:lang w:val="zh-CN" w:eastAsia="zh-CN" w:bidi="zh-CN"/>
      </w:rPr>
    </w:lvl>
    <w:lvl w:ilvl="4" w:tplc="5C768D4C">
      <w:numFmt w:val="bullet"/>
      <w:lvlText w:val="•"/>
      <w:lvlJc w:val="left"/>
      <w:pPr>
        <w:ind w:left="4894" w:hanging="213"/>
      </w:pPr>
      <w:rPr>
        <w:rFonts w:hint="default"/>
        <w:lang w:val="zh-CN" w:eastAsia="zh-CN" w:bidi="zh-CN"/>
      </w:rPr>
    </w:lvl>
    <w:lvl w:ilvl="5" w:tplc="43DCCC7E">
      <w:numFmt w:val="bullet"/>
      <w:lvlText w:val="•"/>
      <w:lvlJc w:val="left"/>
      <w:pPr>
        <w:ind w:left="5853" w:hanging="213"/>
      </w:pPr>
      <w:rPr>
        <w:rFonts w:hint="default"/>
        <w:lang w:val="zh-CN" w:eastAsia="zh-CN" w:bidi="zh-CN"/>
      </w:rPr>
    </w:lvl>
    <w:lvl w:ilvl="6" w:tplc="83A606A2">
      <w:numFmt w:val="bullet"/>
      <w:lvlText w:val="•"/>
      <w:lvlJc w:val="left"/>
      <w:pPr>
        <w:ind w:left="6811" w:hanging="213"/>
      </w:pPr>
      <w:rPr>
        <w:rFonts w:hint="default"/>
        <w:lang w:val="zh-CN" w:eastAsia="zh-CN" w:bidi="zh-CN"/>
      </w:rPr>
    </w:lvl>
    <w:lvl w:ilvl="7" w:tplc="EB9414B0">
      <w:numFmt w:val="bullet"/>
      <w:lvlText w:val="•"/>
      <w:lvlJc w:val="left"/>
      <w:pPr>
        <w:ind w:left="7770" w:hanging="213"/>
      </w:pPr>
      <w:rPr>
        <w:rFonts w:hint="default"/>
        <w:lang w:val="zh-CN" w:eastAsia="zh-CN" w:bidi="zh-CN"/>
      </w:rPr>
    </w:lvl>
    <w:lvl w:ilvl="8" w:tplc="FDA0A38E">
      <w:numFmt w:val="bullet"/>
      <w:lvlText w:val="•"/>
      <w:lvlJc w:val="left"/>
      <w:pPr>
        <w:ind w:left="8729" w:hanging="213"/>
      </w:pPr>
      <w:rPr>
        <w:rFonts w:hint="default"/>
        <w:lang w:val="zh-CN" w:eastAsia="zh-CN" w:bidi="zh-CN"/>
      </w:rPr>
    </w:lvl>
  </w:abstractNum>
  <w:abstractNum w:abstractNumId="717" w15:restartNumberingAfterBreak="0">
    <w:nsid w:val="60AC64F6"/>
    <w:multiLevelType w:val="hybridMultilevel"/>
    <w:tmpl w:val="06462CE4"/>
    <w:lvl w:ilvl="0" w:tplc="9A507444">
      <w:start w:val="5"/>
      <w:numFmt w:val="decimal"/>
      <w:lvlText w:val="%1"/>
      <w:lvlJc w:val="left"/>
      <w:pPr>
        <w:ind w:left="1158" w:hanging="318"/>
        <w:jc w:val="left"/>
      </w:pPr>
      <w:rPr>
        <w:rFonts w:hint="default"/>
        <w:lang w:val="zh-CN" w:eastAsia="zh-CN" w:bidi="zh-CN"/>
      </w:rPr>
    </w:lvl>
    <w:lvl w:ilvl="1" w:tplc="E342E146">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D74E8E20">
      <w:start w:val="1"/>
      <w:numFmt w:val="decimal"/>
      <w:lvlText w:val="%1.%2.%3"/>
      <w:lvlJc w:val="left"/>
      <w:pPr>
        <w:ind w:left="1369" w:hanging="529"/>
        <w:jc w:val="left"/>
      </w:pPr>
      <w:rPr>
        <w:rFonts w:hint="default"/>
        <w:b/>
        <w:bCs/>
        <w:w w:val="99"/>
        <w:lang w:val="zh-CN" w:eastAsia="zh-CN" w:bidi="zh-CN"/>
      </w:rPr>
    </w:lvl>
    <w:lvl w:ilvl="3" w:tplc="E2E4FD3A">
      <w:numFmt w:val="bullet"/>
      <w:lvlText w:val="•"/>
      <w:lvlJc w:val="left"/>
      <w:pPr>
        <w:ind w:left="3423" w:hanging="529"/>
      </w:pPr>
      <w:rPr>
        <w:rFonts w:hint="default"/>
        <w:lang w:val="zh-CN" w:eastAsia="zh-CN" w:bidi="zh-CN"/>
      </w:rPr>
    </w:lvl>
    <w:lvl w:ilvl="4" w:tplc="6074B8E6">
      <w:numFmt w:val="bullet"/>
      <w:lvlText w:val="•"/>
      <w:lvlJc w:val="left"/>
      <w:pPr>
        <w:ind w:left="4455" w:hanging="529"/>
      </w:pPr>
      <w:rPr>
        <w:rFonts w:hint="default"/>
        <w:lang w:val="zh-CN" w:eastAsia="zh-CN" w:bidi="zh-CN"/>
      </w:rPr>
    </w:lvl>
    <w:lvl w:ilvl="5" w:tplc="D09CA0B4">
      <w:numFmt w:val="bullet"/>
      <w:lvlText w:val="•"/>
      <w:lvlJc w:val="left"/>
      <w:pPr>
        <w:ind w:left="5487" w:hanging="529"/>
      </w:pPr>
      <w:rPr>
        <w:rFonts w:hint="default"/>
        <w:lang w:val="zh-CN" w:eastAsia="zh-CN" w:bidi="zh-CN"/>
      </w:rPr>
    </w:lvl>
    <w:lvl w:ilvl="6" w:tplc="B2E6CC16">
      <w:numFmt w:val="bullet"/>
      <w:lvlText w:val="•"/>
      <w:lvlJc w:val="left"/>
      <w:pPr>
        <w:ind w:left="6519" w:hanging="529"/>
      </w:pPr>
      <w:rPr>
        <w:rFonts w:hint="default"/>
        <w:lang w:val="zh-CN" w:eastAsia="zh-CN" w:bidi="zh-CN"/>
      </w:rPr>
    </w:lvl>
    <w:lvl w:ilvl="7" w:tplc="DBCA67D4">
      <w:numFmt w:val="bullet"/>
      <w:lvlText w:val="•"/>
      <w:lvlJc w:val="left"/>
      <w:pPr>
        <w:ind w:left="7550" w:hanging="529"/>
      </w:pPr>
      <w:rPr>
        <w:rFonts w:hint="default"/>
        <w:lang w:val="zh-CN" w:eastAsia="zh-CN" w:bidi="zh-CN"/>
      </w:rPr>
    </w:lvl>
    <w:lvl w:ilvl="8" w:tplc="88DE26FA">
      <w:numFmt w:val="bullet"/>
      <w:lvlText w:val="•"/>
      <w:lvlJc w:val="left"/>
      <w:pPr>
        <w:ind w:left="8582" w:hanging="529"/>
      </w:pPr>
      <w:rPr>
        <w:rFonts w:hint="default"/>
        <w:lang w:val="zh-CN" w:eastAsia="zh-CN" w:bidi="zh-CN"/>
      </w:rPr>
    </w:lvl>
  </w:abstractNum>
  <w:abstractNum w:abstractNumId="718" w15:restartNumberingAfterBreak="0">
    <w:nsid w:val="60DC2BF5"/>
    <w:multiLevelType w:val="hybridMultilevel"/>
    <w:tmpl w:val="10E0E382"/>
    <w:lvl w:ilvl="0" w:tplc="72B4C3F0">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424A6490">
      <w:numFmt w:val="bullet"/>
      <w:lvlText w:val="•"/>
      <w:lvlJc w:val="left"/>
      <w:pPr>
        <w:ind w:left="2288" w:hanging="529"/>
      </w:pPr>
      <w:rPr>
        <w:rFonts w:hint="default"/>
        <w:lang w:val="zh-CN" w:eastAsia="zh-CN" w:bidi="zh-CN"/>
      </w:rPr>
    </w:lvl>
    <w:lvl w:ilvl="2" w:tplc="4A6A5ADE">
      <w:numFmt w:val="bullet"/>
      <w:lvlText w:val="•"/>
      <w:lvlJc w:val="left"/>
      <w:pPr>
        <w:ind w:left="3217" w:hanging="529"/>
      </w:pPr>
      <w:rPr>
        <w:rFonts w:hint="default"/>
        <w:lang w:val="zh-CN" w:eastAsia="zh-CN" w:bidi="zh-CN"/>
      </w:rPr>
    </w:lvl>
    <w:lvl w:ilvl="3" w:tplc="54663B5C">
      <w:numFmt w:val="bullet"/>
      <w:lvlText w:val="•"/>
      <w:lvlJc w:val="left"/>
      <w:pPr>
        <w:ind w:left="4145" w:hanging="529"/>
      </w:pPr>
      <w:rPr>
        <w:rFonts w:hint="default"/>
        <w:lang w:val="zh-CN" w:eastAsia="zh-CN" w:bidi="zh-CN"/>
      </w:rPr>
    </w:lvl>
    <w:lvl w:ilvl="4" w:tplc="988217FA">
      <w:numFmt w:val="bullet"/>
      <w:lvlText w:val="•"/>
      <w:lvlJc w:val="left"/>
      <w:pPr>
        <w:ind w:left="5074" w:hanging="529"/>
      </w:pPr>
      <w:rPr>
        <w:rFonts w:hint="default"/>
        <w:lang w:val="zh-CN" w:eastAsia="zh-CN" w:bidi="zh-CN"/>
      </w:rPr>
    </w:lvl>
    <w:lvl w:ilvl="5" w:tplc="29A61CDC">
      <w:numFmt w:val="bullet"/>
      <w:lvlText w:val="•"/>
      <w:lvlJc w:val="left"/>
      <w:pPr>
        <w:ind w:left="6003" w:hanging="529"/>
      </w:pPr>
      <w:rPr>
        <w:rFonts w:hint="default"/>
        <w:lang w:val="zh-CN" w:eastAsia="zh-CN" w:bidi="zh-CN"/>
      </w:rPr>
    </w:lvl>
    <w:lvl w:ilvl="6" w:tplc="9C44457E">
      <w:numFmt w:val="bullet"/>
      <w:lvlText w:val="•"/>
      <w:lvlJc w:val="left"/>
      <w:pPr>
        <w:ind w:left="6931" w:hanging="529"/>
      </w:pPr>
      <w:rPr>
        <w:rFonts w:hint="default"/>
        <w:lang w:val="zh-CN" w:eastAsia="zh-CN" w:bidi="zh-CN"/>
      </w:rPr>
    </w:lvl>
    <w:lvl w:ilvl="7" w:tplc="59744E16">
      <w:numFmt w:val="bullet"/>
      <w:lvlText w:val="•"/>
      <w:lvlJc w:val="left"/>
      <w:pPr>
        <w:ind w:left="7860" w:hanging="529"/>
      </w:pPr>
      <w:rPr>
        <w:rFonts w:hint="default"/>
        <w:lang w:val="zh-CN" w:eastAsia="zh-CN" w:bidi="zh-CN"/>
      </w:rPr>
    </w:lvl>
    <w:lvl w:ilvl="8" w:tplc="1708EB0E">
      <w:numFmt w:val="bullet"/>
      <w:lvlText w:val="•"/>
      <w:lvlJc w:val="left"/>
      <w:pPr>
        <w:ind w:left="8789" w:hanging="529"/>
      </w:pPr>
      <w:rPr>
        <w:rFonts w:hint="default"/>
        <w:lang w:val="zh-CN" w:eastAsia="zh-CN" w:bidi="zh-CN"/>
      </w:rPr>
    </w:lvl>
  </w:abstractNum>
  <w:abstractNum w:abstractNumId="719" w15:restartNumberingAfterBreak="0">
    <w:nsid w:val="60F42C71"/>
    <w:multiLevelType w:val="hybridMultilevel"/>
    <w:tmpl w:val="28860ADC"/>
    <w:lvl w:ilvl="0" w:tplc="090C650C">
      <w:start w:val="4"/>
      <w:numFmt w:val="decimal"/>
      <w:lvlText w:val="%1"/>
      <w:lvlJc w:val="left"/>
      <w:pPr>
        <w:ind w:left="1158" w:hanging="318"/>
        <w:jc w:val="left"/>
      </w:pPr>
      <w:rPr>
        <w:rFonts w:hint="default"/>
        <w:lang w:val="zh-CN" w:eastAsia="zh-CN" w:bidi="zh-CN"/>
      </w:rPr>
    </w:lvl>
    <w:lvl w:ilvl="1" w:tplc="EF7AE496">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111492A0">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818C7090">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D3480D0C">
      <w:numFmt w:val="bullet"/>
      <w:lvlText w:val="•"/>
      <w:lvlJc w:val="left"/>
      <w:pPr>
        <w:ind w:left="3846" w:hanging="738"/>
      </w:pPr>
      <w:rPr>
        <w:rFonts w:hint="default"/>
        <w:lang w:val="zh-CN" w:eastAsia="zh-CN" w:bidi="zh-CN"/>
      </w:rPr>
    </w:lvl>
    <w:lvl w:ilvl="5" w:tplc="CEBCA694">
      <w:numFmt w:val="bullet"/>
      <w:lvlText w:val="•"/>
      <w:lvlJc w:val="left"/>
      <w:pPr>
        <w:ind w:left="4979" w:hanging="738"/>
      </w:pPr>
      <w:rPr>
        <w:rFonts w:hint="default"/>
        <w:lang w:val="zh-CN" w:eastAsia="zh-CN" w:bidi="zh-CN"/>
      </w:rPr>
    </w:lvl>
    <w:lvl w:ilvl="6" w:tplc="FCF4AFB2">
      <w:numFmt w:val="bullet"/>
      <w:lvlText w:val="•"/>
      <w:lvlJc w:val="left"/>
      <w:pPr>
        <w:ind w:left="6113" w:hanging="738"/>
      </w:pPr>
      <w:rPr>
        <w:rFonts w:hint="default"/>
        <w:lang w:val="zh-CN" w:eastAsia="zh-CN" w:bidi="zh-CN"/>
      </w:rPr>
    </w:lvl>
    <w:lvl w:ilvl="7" w:tplc="F0F22C6A">
      <w:numFmt w:val="bullet"/>
      <w:lvlText w:val="•"/>
      <w:lvlJc w:val="left"/>
      <w:pPr>
        <w:ind w:left="7246" w:hanging="738"/>
      </w:pPr>
      <w:rPr>
        <w:rFonts w:hint="default"/>
        <w:lang w:val="zh-CN" w:eastAsia="zh-CN" w:bidi="zh-CN"/>
      </w:rPr>
    </w:lvl>
    <w:lvl w:ilvl="8" w:tplc="6DB2C07E">
      <w:numFmt w:val="bullet"/>
      <w:lvlText w:val="•"/>
      <w:lvlJc w:val="left"/>
      <w:pPr>
        <w:ind w:left="8379" w:hanging="738"/>
      </w:pPr>
      <w:rPr>
        <w:rFonts w:hint="default"/>
        <w:lang w:val="zh-CN" w:eastAsia="zh-CN" w:bidi="zh-CN"/>
      </w:rPr>
    </w:lvl>
  </w:abstractNum>
  <w:abstractNum w:abstractNumId="720" w15:restartNumberingAfterBreak="0">
    <w:nsid w:val="612223BB"/>
    <w:multiLevelType w:val="hybridMultilevel"/>
    <w:tmpl w:val="C5C4932A"/>
    <w:lvl w:ilvl="0" w:tplc="193C5214">
      <w:start w:val="6"/>
      <w:numFmt w:val="decimal"/>
      <w:lvlText w:val="%1"/>
      <w:lvlJc w:val="left"/>
      <w:pPr>
        <w:ind w:left="1158" w:hanging="318"/>
        <w:jc w:val="left"/>
      </w:pPr>
      <w:rPr>
        <w:rFonts w:hint="default"/>
        <w:lang w:val="zh-CN" w:eastAsia="zh-CN" w:bidi="zh-CN"/>
      </w:rPr>
    </w:lvl>
    <w:lvl w:ilvl="1" w:tplc="18A837DC">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493A94B8">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F830D880">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1FA44BB6">
      <w:numFmt w:val="bullet"/>
      <w:lvlText w:val="•"/>
      <w:lvlJc w:val="left"/>
      <w:pPr>
        <w:ind w:left="3846" w:hanging="738"/>
      </w:pPr>
      <w:rPr>
        <w:rFonts w:hint="default"/>
        <w:lang w:val="zh-CN" w:eastAsia="zh-CN" w:bidi="zh-CN"/>
      </w:rPr>
    </w:lvl>
    <w:lvl w:ilvl="5" w:tplc="0284EC1E">
      <w:numFmt w:val="bullet"/>
      <w:lvlText w:val="•"/>
      <w:lvlJc w:val="left"/>
      <w:pPr>
        <w:ind w:left="4979" w:hanging="738"/>
      </w:pPr>
      <w:rPr>
        <w:rFonts w:hint="default"/>
        <w:lang w:val="zh-CN" w:eastAsia="zh-CN" w:bidi="zh-CN"/>
      </w:rPr>
    </w:lvl>
    <w:lvl w:ilvl="6" w:tplc="EE4C83A8">
      <w:numFmt w:val="bullet"/>
      <w:lvlText w:val="•"/>
      <w:lvlJc w:val="left"/>
      <w:pPr>
        <w:ind w:left="6113" w:hanging="738"/>
      </w:pPr>
      <w:rPr>
        <w:rFonts w:hint="default"/>
        <w:lang w:val="zh-CN" w:eastAsia="zh-CN" w:bidi="zh-CN"/>
      </w:rPr>
    </w:lvl>
    <w:lvl w:ilvl="7" w:tplc="4014B236">
      <w:numFmt w:val="bullet"/>
      <w:lvlText w:val="•"/>
      <w:lvlJc w:val="left"/>
      <w:pPr>
        <w:ind w:left="7246" w:hanging="738"/>
      </w:pPr>
      <w:rPr>
        <w:rFonts w:hint="default"/>
        <w:lang w:val="zh-CN" w:eastAsia="zh-CN" w:bidi="zh-CN"/>
      </w:rPr>
    </w:lvl>
    <w:lvl w:ilvl="8" w:tplc="508ED5A2">
      <w:numFmt w:val="bullet"/>
      <w:lvlText w:val="•"/>
      <w:lvlJc w:val="left"/>
      <w:pPr>
        <w:ind w:left="8379" w:hanging="738"/>
      </w:pPr>
      <w:rPr>
        <w:rFonts w:hint="default"/>
        <w:lang w:val="zh-CN" w:eastAsia="zh-CN" w:bidi="zh-CN"/>
      </w:rPr>
    </w:lvl>
  </w:abstractNum>
  <w:abstractNum w:abstractNumId="721" w15:restartNumberingAfterBreak="0">
    <w:nsid w:val="61361E17"/>
    <w:multiLevelType w:val="hybridMultilevel"/>
    <w:tmpl w:val="1706BE3C"/>
    <w:lvl w:ilvl="0" w:tplc="9216D9EA">
      <w:start w:val="1"/>
      <w:numFmt w:val="decimal"/>
      <w:lvlText w:val="%1"/>
      <w:lvlJc w:val="left"/>
      <w:pPr>
        <w:ind w:left="600" w:hanging="183"/>
        <w:jc w:val="left"/>
      </w:pPr>
      <w:rPr>
        <w:rFonts w:ascii="宋体" w:eastAsia="宋体" w:hAnsi="宋体" w:cs="宋体" w:hint="default"/>
        <w:b/>
        <w:bCs/>
        <w:w w:val="99"/>
        <w:sz w:val="24"/>
        <w:szCs w:val="24"/>
        <w:lang w:val="zh-CN" w:eastAsia="zh-CN" w:bidi="zh-CN"/>
      </w:rPr>
    </w:lvl>
    <w:lvl w:ilvl="1" w:tplc="A844DDB2">
      <w:start w:val="1"/>
      <w:numFmt w:val="decimal"/>
      <w:lvlText w:val="%1.%2"/>
      <w:lvlJc w:val="left"/>
      <w:pPr>
        <w:ind w:left="418" w:hanging="320"/>
        <w:jc w:val="left"/>
      </w:pPr>
      <w:rPr>
        <w:rFonts w:ascii="宋体" w:eastAsia="宋体" w:hAnsi="宋体" w:cs="宋体" w:hint="default"/>
        <w:b/>
        <w:bCs/>
        <w:w w:val="99"/>
        <w:sz w:val="19"/>
        <w:szCs w:val="19"/>
        <w:lang w:val="zh-CN" w:eastAsia="zh-CN" w:bidi="zh-CN"/>
      </w:rPr>
    </w:lvl>
    <w:lvl w:ilvl="2" w:tplc="9FCCFC5E">
      <w:numFmt w:val="bullet"/>
      <w:lvlText w:val="•"/>
      <w:lvlJc w:val="left"/>
      <w:pPr>
        <w:ind w:left="1716" w:hanging="320"/>
      </w:pPr>
      <w:rPr>
        <w:rFonts w:hint="default"/>
        <w:lang w:val="zh-CN" w:eastAsia="zh-CN" w:bidi="zh-CN"/>
      </w:rPr>
    </w:lvl>
    <w:lvl w:ilvl="3" w:tplc="483EE440">
      <w:numFmt w:val="bullet"/>
      <w:lvlText w:val="•"/>
      <w:lvlJc w:val="left"/>
      <w:pPr>
        <w:ind w:left="2832" w:hanging="320"/>
      </w:pPr>
      <w:rPr>
        <w:rFonts w:hint="default"/>
        <w:lang w:val="zh-CN" w:eastAsia="zh-CN" w:bidi="zh-CN"/>
      </w:rPr>
    </w:lvl>
    <w:lvl w:ilvl="4" w:tplc="27EE21C0">
      <w:numFmt w:val="bullet"/>
      <w:lvlText w:val="•"/>
      <w:lvlJc w:val="left"/>
      <w:pPr>
        <w:ind w:left="3948" w:hanging="320"/>
      </w:pPr>
      <w:rPr>
        <w:rFonts w:hint="default"/>
        <w:lang w:val="zh-CN" w:eastAsia="zh-CN" w:bidi="zh-CN"/>
      </w:rPr>
    </w:lvl>
    <w:lvl w:ilvl="5" w:tplc="0B923224">
      <w:numFmt w:val="bullet"/>
      <w:lvlText w:val="•"/>
      <w:lvlJc w:val="left"/>
      <w:pPr>
        <w:ind w:left="5065" w:hanging="320"/>
      </w:pPr>
      <w:rPr>
        <w:rFonts w:hint="default"/>
        <w:lang w:val="zh-CN" w:eastAsia="zh-CN" w:bidi="zh-CN"/>
      </w:rPr>
    </w:lvl>
    <w:lvl w:ilvl="6" w:tplc="1B585826">
      <w:numFmt w:val="bullet"/>
      <w:lvlText w:val="•"/>
      <w:lvlJc w:val="left"/>
      <w:pPr>
        <w:ind w:left="6181" w:hanging="320"/>
      </w:pPr>
      <w:rPr>
        <w:rFonts w:hint="default"/>
        <w:lang w:val="zh-CN" w:eastAsia="zh-CN" w:bidi="zh-CN"/>
      </w:rPr>
    </w:lvl>
    <w:lvl w:ilvl="7" w:tplc="3BB01E4C">
      <w:numFmt w:val="bullet"/>
      <w:lvlText w:val="•"/>
      <w:lvlJc w:val="left"/>
      <w:pPr>
        <w:ind w:left="7297" w:hanging="320"/>
      </w:pPr>
      <w:rPr>
        <w:rFonts w:hint="default"/>
        <w:lang w:val="zh-CN" w:eastAsia="zh-CN" w:bidi="zh-CN"/>
      </w:rPr>
    </w:lvl>
    <w:lvl w:ilvl="8" w:tplc="8D42BFA4">
      <w:numFmt w:val="bullet"/>
      <w:lvlText w:val="•"/>
      <w:lvlJc w:val="left"/>
      <w:pPr>
        <w:ind w:left="8413" w:hanging="320"/>
      </w:pPr>
      <w:rPr>
        <w:rFonts w:hint="default"/>
        <w:lang w:val="zh-CN" w:eastAsia="zh-CN" w:bidi="zh-CN"/>
      </w:rPr>
    </w:lvl>
  </w:abstractNum>
  <w:abstractNum w:abstractNumId="722" w15:restartNumberingAfterBreak="0">
    <w:nsid w:val="617879FC"/>
    <w:multiLevelType w:val="hybridMultilevel"/>
    <w:tmpl w:val="2488C08C"/>
    <w:lvl w:ilvl="0" w:tplc="509E4850">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A75CF6BE">
      <w:numFmt w:val="bullet"/>
      <w:lvlText w:val="•"/>
      <w:lvlJc w:val="left"/>
      <w:pPr>
        <w:ind w:left="1442" w:hanging="529"/>
      </w:pPr>
      <w:rPr>
        <w:rFonts w:hint="default"/>
        <w:lang w:val="zh-CN" w:eastAsia="zh-CN" w:bidi="zh-CN"/>
      </w:rPr>
    </w:lvl>
    <w:lvl w:ilvl="2" w:tplc="77D46826">
      <w:numFmt w:val="bullet"/>
      <w:lvlText w:val="•"/>
      <w:lvlJc w:val="left"/>
      <w:pPr>
        <w:ind w:left="2465" w:hanging="529"/>
      </w:pPr>
      <w:rPr>
        <w:rFonts w:hint="default"/>
        <w:lang w:val="zh-CN" w:eastAsia="zh-CN" w:bidi="zh-CN"/>
      </w:rPr>
    </w:lvl>
    <w:lvl w:ilvl="3" w:tplc="E702C228">
      <w:numFmt w:val="bullet"/>
      <w:lvlText w:val="•"/>
      <w:lvlJc w:val="left"/>
      <w:pPr>
        <w:ind w:left="3487" w:hanging="529"/>
      </w:pPr>
      <w:rPr>
        <w:rFonts w:hint="default"/>
        <w:lang w:val="zh-CN" w:eastAsia="zh-CN" w:bidi="zh-CN"/>
      </w:rPr>
    </w:lvl>
    <w:lvl w:ilvl="4" w:tplc="F35A6706">
      <w:numFmt w:val="bullet"/>
      <w:lvlText w:val="•"/>
      <w:lvlJc w:val="left"/>
      <w:pPr>
        <w:ind w:left="4510" w:hanging="529"/>
      </w:pPr>
      <w:rPr>
        <w:rFonts w:hint="default"/>
        <w:lang w:val="zh-CN" w:eastAsia="zh-CN" w:bidi="zh-CN"/>
      </w:rPr>
    </w:lvl>
    <w:lvl w:ilvl="5" w:tplc="B18A9C60">
      <w:numFmt w:val="bullet"/>
      <w:lvlText w:val="•"/>
      <w:lvlJc w:val="left"/>
      <w:pPr>
        <w:ind w:left="5533" w:hanging="529"/>
      </w:pPr>
      <w:rPr>
        <w:rFonts w:hint="default"/>
        <w:lang w:val="zh-CN" w:eastAsia="zh-CN" w:bidi="zh-CN"/>
      </w:rPr>
    </w:lvl>
    <w:lvl w:ilvl="6" w:tplc="A83EBEB4">
      <w:numFmt w:val="bullet"/>
      <w:lvlText w:val="•"/>
      <w:lvlJc w:val="left"/>
      <w:pPr>
        <w:ind w:left="6555" w:hanging="529"/>
      </w:pPr>
      <w:rPr>
        <w:rFonts w:hint="default"/>
        <w:lang w:val="zh-CN" w:eastAsia="zh-CN" w:bidi="zh-CN"/>
      </w:rPr>
    </w:lvl>
    <w:lvl w:ilvl="7" w:tplc="B40EF0A4">
      <w:numFmt w:val="bullet"/>
      <w:lvlText w:val="•"/>
      <w:lvlJc w:val="left"/>
      <w:pPr>
        <w:ind w:left="7578" w:hanging="529"/>
      </w:pPr>
      <w:rPr>
        <w:rFonts w:hint="default"/>
        <w:lang w:val="zh-CN" w:eastAsia="zh-CN" w:bidi="zh-CN"/>
      </w:rPr>
    </w:lvl>
    <w:lvl w:ilvl="8" w:tplc="74E63460">
      <w:numFmt w:val="bullet"/>
      <w:lvlText w:val="•"/>
      <w:lvlJc w:val="left"/>
      <w:pPr>
        <w:ind w:left="8601" w:hanging="529"/>
      </w:pPr>
      <w:rPr>
        <w:rFonts w:hint="default"/>
        <w:lang w:val="zh-CN" w:eastAsia="zh-CN" w:bidi="zh-CN"/>
      </w:rPr>
    </w:lvl>
  </w:abstractNum>
  <w:abstractNum w:abstractNumId="723" w15:restartNumberingAfterBreak="0">
    <w:nsid w:val="617B70D3"/>
    <w:multiLevelType w:val="hybridMultilevel"/>
    <w:tmpl w:val="17289864"/>
    <w:lvl w:ilvl="0" w:tplc="D0D07586">
      <w:start w:val="4"/>
      <w:numFmt w:val="decimal"/>
      <w:lvlText w:val="%1"/>
      <w:lvlJc w:val="left"/>
      <w:pPr>
        <w:ind w:left="1369" w:hanging="529"/>
        <w:jc w:val="left"/>
      </w:pPr>
      <w:rPr>
        <w:rFonts w:hint="default"/>
        <w:lang w:val="zh-CN" w:eastAsia="zh-CN" w:bidi="zh-CN"/>
      </w:rPr>
    </w:lvl>
    <w:lvl w:ilvl="1" w:tplc="3392E568">
      <w:start w:val="3"/>
      <w:numFmt w:val="decimal"/>
      <w:lvlText w:val="%1.%2"/>
      <w:lvlJc w:val="left"/>
      <w:pPr>
        <w:ind w:left="1369" w:hanging="529"/>
        <w:jc w:val="left"/>
      </w:pPr>
      <w:rPr>
        <w:rFonts w:hint="default"/>
        <w:lang w:val="zh-CN" w:eastAsia="zh-CN" w:bidi="zh-CN"/>
      </w:rPr>
    </w:lvl>
    <w:lvl w:ilvl="2" w:tplc="85F69DFE">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B93CC718">
      <w:numFmt w:val="bullet"/>
      <w:lvlText w:val="•"/>
      <w:lvlJc w:val="left"/>
      <w:pPr>
        <w:ind w:left="4145" w:hanging="529"/>
      </w:pPr>
      <w:rPr>
        <w:rFonts w:hint="default"/>
        <w:lang w:val="zh-CN" w:eastAsia="zh-CN" w:bidi="zh-CN"/>
      </w:rPr>
    </w:lvl>
    <w:lvl w:ilvl="4" w:tplc="83DC1D64">
      <w:numFmt w:val="bullet"/>
      <w:lvlText w:val="•"/>
      <w:lvlJc w:val="left"/>
      <w:pPr>
        <w:ind w:left="5074" w:hanging="529"/>
      </w:pPr>
      <w:rPr>
        <w:rFonts w:hint="default"/>
        <w:lang w:val="zh-CN" w:eastAsia="zh-CN" w:bidi="zh-CN"/>
      </w:rPr>
    </w:lvl>
    <w:lvl w:ilvl="5" w:tplc="E6D03502">
      <w:numFmt w:val="bullet"/>
      <w:lvlText w:val="•"/>
      <w:lvlJc w:val="left"/>
      <w:pPr>
        <w:ind w:left="6003" w:hanging="529"/>
      </w:pPr>
      <w:rPr>
        <w:rFonts w:hint="default"/>
        <w:lang w:val="zh-CN" w:eastAsia="zh-CN" w:bidi="zh-CN"/>
      </w:rPr>
    </w:lvl>
    <w:lvl w:ilvl="6" w:tplc="D528E552">
      <w:numFmt w:val="bullet"/>
      <w:lvlText w:val="•"/>
      <w:lvlJc w:val="left"/>
      <w:pPr>
        <w:ind w:left="6931" w:hanging="529"/>
      </w:pPr>
      <w:rPr>
        <w:rFonts w:hint="default"/>
        <w:lang w:val="zh-CN" w:eastAsia="zh-CN" w:bidi="zh-CN"/>
      </w:rPr>
    </w:lvl>
    <w:lvl w:ilvl="7" w:tplc="3BF0F8EE">
      <w:numFmt w:val="bullet"/>
      <w:lvlText w:val="•"/>
      <w:lvlJc w:val="left"/>
      <w:pPr>
        <w:ind w:left="7860" w:hanging="529"/>
      </w:pPr>
      <w:rPr>
        <w:rFonts w:hint="default"/>
        <w:lang w:val="zh-CN" w:eastAsia="zh-CN" w:bidi="zh-CN"/>
      </w:rPr>
    </w:lvl>
    <w:lvl w:ilvl="8" w:tplc="59907222">
      <w:numFmt w:val="bullet"/>
      <w:lvlText w:val="•"/>
      <w:lvlJc w:val="left"/>
      <w:pPr>
        <w:ind w:left="8789" w:hanging="529"/>
      </w:pPr>
      <w:rPr>
        <w:rFonts w:hint="default"/>
        <w:lang w:val="zh-CN" w:eastAsia="zh-CN" w:bidi="zh-CN"/>
      </w:rPr>
    </w:lvl>
  </w:abstractNum>
  <w:abstractNum w:abstractNumId="724" w15:restartNumberingAfterBreak="0">
    <w:nsid w:val="6186286F"/>
    <w:multiLevelType w:val="hybridMultilevel"/>
    <w:tmpl w:val="AE662DDE"/>
    <w:lvl w:ilvl="0" w:tplc="E19CCC64">
      <w:start w:val="7"/>
      <w:numFmt w:val="decimal"/>
      <w:lvlText w:val="%1"/>
      <w:lvlJc w:val="left"/>
      <w:pPr>
        <w:ind w:left="1158" w:hanging="318"/>
        <w:jc w:val="left"/>
      </w:pPr>
      <w:rPr>
        <w:rFonts w:hint="default"/>
        <w:lang w:val="zh-CN" w:eastAsia="zh-CN" w:bidi="zh-CN"/>
      </w:rPr>
    </w:lvl>
    <w:lvl w:ilvl="1" w:tplc="D36EC0F2">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A7D875D8">
      <w:start w:val="1"/>
      <w:numFmt w:val="decimal"/>
      <w:lvlText w:val="%1.%2.%3"/>
      <w:lvlJc w:val="left"/>
      <w:pPr>
        <w:ind w:left="418" w:hanging="529"/>
        <w:jc w:val="left"/>
      </w:pPr>
      <w:rPr>
        <w:rFonts w:ascii="宋体" w:eastAsia="宋体" w:hAnsi="宋体" w:cs="宋体" w:hint="default"/>
        <w:b/>
        <w:bCs/>
        <w:spacing w:val="-3"/>
        <w:w w:val="99"/>
        <w:sz w:val="19"/>
        <w:szCs w:val="19"/>
        <w:lang w:val="zh-CN" w:eastAsia="zh-CN" w:bidi="zh-CN"/>
      </w:rPr>
    </w:lvl>
    <w:lvl w:ilvl="3" w:tplc="439404C6">
      <w:numFmt w:val="bullet"/>
      <w:lvlText w:val="•"/>
      <w:lvlJc w:val="left"/>
      <w:pPr>
        <w:ind w:left="2538" w:hanging="529"/>
      </w:pPr>
      <w:rPr>
        <w:rFonts w:hint="default"/>
        <w:lang w:val="zh-CN" w:eastAsia="zh-CN" w:bidi="zh-CN"/>
      </w:rPr>
    </w:lvl>
    <w:lvl w:ilvl="4" w:tplc="814844C2">
      <w:numFmt w:val="bullet"/>
      <w:lvlText w:val="•"/>
      <w:lvlJc w:val="left"/>
      <w:pPr>
        <w:ind w:left="3696" w:hanging="529"/>
      </w:pPr>
      <w:rPr>
        <w:rFonts w:hint="default"/>
        <w:lang w:val="zh-CN" w:eastAsia="zh-CN" w:bidi="zh-CN"/>
      </w:rPr>
    </w:lvl>
    <w:lvl w:ilvl="5" w:tplc="4380E1AC">
      <w:numFmt w:val="bullet"/>
      <w:lvlText w:val="•"/>
      <w:lvlJc w:val="left"/>
      <w:pPr>
        <w:ind w:left="4854" w:hanging="529"/>
      </w:pPr>
      <w:rPr>
        <w:rFonts w:hint="default"/>
        <w:lang w:val="zh-CN" w:eastAsia="zh-CN" w:bidi="zh-CN"/>
      </w:rPr>
    </w:lvl>
    <w:lvl w:ilvl="6" w:tplc="1D000068">
      <w:numFmt w:val="bullet"/>
      <w:lvlText w:val="•"/>
      <w:lvlJc w:val="left"/>
      <w:pPr>
        <w:ind w:left="6013" w:hanging="529"/>
      </w:pPr>
      <w:rPr>
        <w:rFonts w:hint="default"/>
        <w:lang w:val="zh-CN" w:eastAsia="zh-CN" w:bidi="zh-CN"/>
      </w:rPr>
    </w:lvl>
    <w:lvl w:ilvl="7" w:tplc="03C299F6">
      <w:numFmt w:val="bullet"/>
      <w:lvlText w:val="•"/>
      <w:lvlJc w:val="left"/>
      <w:pPr>
        <w:ind w:left="7171" w:hanging="529"/>
      </w:pPr>
      <w:rPr>
        <w:rFonts w:hint="default"/>
        <w:lang w:val="zh-CN" w:eastAsia="zh-CN" w:bidi="zh-CN"/>
      </w:rPr>
    </w:lvl>
    <w:lvl w:ilvl="8" w:tplc="D6F4D23E">
      <w:numFmt w:val="bullet"/>
      <w:lvlText w:val="•"/>
      <w:lvlJc w:val="left"/>
      <w:pPr>
        <w:ind w:left="8329" w:hanging="529"/>
      </w:pPr>
      <w:rPr>
        <w:rFonts w:hint="default"/>
        <w:lang w:val="zh-CN" w:eastAsia="zh-CN" w:bidi="zh-CN"/>
      </w:rPr>
    </w:lvl>
  </w:abstractNum>
  <w:abstractNum w:abstractNumId="725" w15:restartNumberingAfterBreak="0">
    <w:nsid w:val="618F6888"/>
    <w:multiLevelType w:val="hybridMultilevel"/>
    <w:tmpl w:val="01F2F136"/>
    <w:lvl w:ilvl="0" w:tplc="63320D7E">
      <w:start w:val="10"/>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039816D6">
      <w:numFmt w:val="bullet"/>
      <w:lvlText w:val="•"/>
      <w:lvlJc w:val="left"/>
      <w:pPr>
        <w:ind w:left="2018" w:hanging="213"/>
      </w:pPr>
      <w:rPr>
        <w:rFonts w:hint="default"/>
        <w:lang w:val="zh-CN" w:eastAsia="zh-CN" w:bidi="zh-CN"/>
      </w:rPr>
    </w:lvl>
    <w:lvl w:ilvl="2" w:tplc="6DB42438">
      <w:numFmt w:val="bullet"/>
      <w:lvlText w:val="•"/>
      <w:lvlJc w:val="left"/>
      <w:pPr>
        <w:ind w:left="2977" w:hanging="213"/>
      </w:pPr>
      <w:rPr>
        <w:rFonts w:hint="default"/>
        <w:lang w:val="zh-CN" w:eastAsia="zh-CN" w:bidi="zh-CN"/>
      </w:rPr>
    </w:lvl>
    <w:lvl w:ilvl="3" w:tplc="D3BC5FF8">
      <w:numFmt w:val="bullet"/>
      <w:lvlText w:val="•"/>
      <w:lvlJc w:val="left"/>
      <w:pPr>
        <w:ind w:left="3935" w:hanging="213"/>
      </w:pPr>
      <w:rPr>
        <w:rFonts w:hint="default"/>
        <w:lang w:val="zh-CN" w:eastAsia="zh-CN" w:bidi="zh-CN"/>
      </w:rPr>
    </w:lvl>
    <w:lvl w:ilvl="4" w:tplc="1BF26C14">
      <w:numFmt w:val="bullet"/>
      <w:lvlText w:val="•"/>
      <w:lvlJc w:val="left"/>
      <w:pPr>
        <w:ind w:left="4894" w:hanging="213"/>
      </w:pPr>
      <w:rPr>
        <w:rFonts w:hint="default"/>
        <w:lang w:val="zh-CN" w:eastAsia="zh-CN" w:bidi="zh-CN"/>
      </w:rPr>
    </w:lvl>
    <w:lvl w:ilvl="5" w:tplc="CCF8C204">
      <w:numFmt w:val="bullet"/>
      <w:lvlText w:val="•"/>
      <w:lvlJc w:val="left"/>
      <w:pPr>
        <w:ind w:left="5853" w:hanging="213"/>
      </w:pPr>
      <w:rPr>
        <w:rFonts w:hint="default"/>
        <w:lang w:val="zh-CN" w:eastAsia="zh-CN" w:bidi="zh-CN"/>
      </w:rPr>
    </w:lvl>
    <w:lvl w:ilvl="6" w:tplc="BC662600">
      <w:numFmt w:val="bullet"/>
      <w:lvlText w:val="•"/>
      <w:lvlJc w:val="left"/>
      <w:pPr>
        <w:ind w:left="6811" w:hanging="213"/>
      </w:pPr>
      <w:rPr>
        <w:rFonts w:hint="default"/>
        <w:lang w:val="zh-CN" w:eastAsia="zh-CN" w:bidi="zh-CN"/>
      </w:rPr>
    </w:lvl>
    <w:lvl w:ilvl="7" w:tplc="4C109774">
      <w:numFmt w:val="bullet"/>
      <w:lvlText w:val="•"/>
      <w:lvlJc w:val="left"/>
      <w:pPr>
        <w:ind w:left="7770" w:hanging="213"/>
      </w:pPr>
      <w:rPr>
        <w:rFonts w:hint="default"/>
        <w:lang w:val="zh-CN" w:eastAsia="zh-CN" w:bidi="zh-CN"/>
      </w:rPr>
    </w:lvl>
    <w:lvl w:ilvl="8" w:tplc="EBBC3AA6">
      <w:numFmt w:val="bullet"/>
      <w:lvlText w:val="•"/>
      <w:lvlJc w:val="left"/>
      <w:pPr>
        <w:ind w:left="8729" w:hanging="213"/>
      </w:pPr>
      <w:rPr>
        <w:rFonts w:hint="default"/>
        <w:lang w:val="zh-CN" w:eastAsia="zh-CN" w:bidi="zh-CN"/>
      </w:rPr>
    </w:lvl>
  </w:abstractNum>
  <w:abstractNum w:abstractNumId="726" w15:restartNumberingAfterBreak="0">
    <w:nsid w:val="61930600"/>
    <w:multiLevelType w:val="hybridMultilevel"/>
    <w:tmpl w:val="A342B908"/>
    <w:lvl w:ilvl="0" w:tplc="E042C900">
      <w:start w:val="10"/>
      <w:numFmt w:val="lowerLetter"/>
      <w:lvlText w:val="%1)"/>
      <w:lvlJc w:val="left"/>
      <w:pPr>
        <w:ind w:left="1050" w:hanging="213"/>
        <w:jc w:val="left"/>
      </w:pPr>
      <w:rPr>
        <w:rFonts w:ascii="宋体" w:eastAsia="宋体" w:hAnsi="宋体" w:cs="宋体" w:hint="default"/>
        <w:spacing w:val="-52"/>
        <w:w w:val="100"/>
        <w:sz w:val="19"/>
        <w:szCs w:val="19"/>
        <w:lang w:val="zh-CN" w:eastAsia="zh-CN" w:bidi="zh-CN"/>
      </w:rPr>
    </w:lvl>
    <w:lvl w:ilvl="1" w:tplc="8984F0A8">
      <w:numFmt w:val="bullet"/>
      <w:lvlText w:val="•"/>
      <w:lvlJc w:val="left"/>
      <w:pPr>
        <w:ind w:left="2018" w:hanging="213"/>
      </w:pPr>
      <w:rPr>
        <w:rFonts w:hint="default"/>
        <w:lang w:val="zh-CN" w:eastAsia="zh-CN" w:bidi="zh-CN"/>
      </w:rPr>
    </w:lvl>
    <w:lvl w:ilvl="2" w:tplc="E188A816">
      <w:numFmt w:val="bullet"/>
      <w:lvlText w:val="•"/>
      <w:lvlJc w:val="left"/>
      <w:pPr>
        <w:ind w:left="2977" w:hanging="213"/>
      </w:pPr>
      <w:rPr>
        <w:rFonts w:hint="default"/>
        <w:lang w:val="zh-CN" w:eastAsia="zh-CN" w:bidi="zh-CN"/>
      </w:rPr>
    </w:lvl>
    <w:lvl w:ilvl="3" w:tplc="F330FF2A">
      <w:numFmt w:val="bullet"/>
      <w:lvlText w:val="•"/>
      <w:lvlJc w:val="left"/>
      <w:pPr>
        <w:ind w:left="3935" w:hanging="213"/>
      </w:pPr>
      <w:rPr>
        <w:rFonts w:hint="default"/>
        <w:lang w:val="zh-CN" w:eastAsia="zh-CN" w:bidi="zh-CN"/>
      </w:rPr>
    </w:lvl>
    <w:lvl w:ilvl="4" w:tplc="A78C29E0">
      <w:numFmt w:val="bullet"/>
      <w:lvlText w:val="•"/>
      <w:lvlJc w:val="left"/>
      <w:pPr>
        <w:ind w:left="4894" w:hanging="213"/>
      </w:pPr>
      <w:rPr>
        <w:rFonts w:hint="default"/>
        <w:lang w:val="zh-CN" w:eastAsia="zh-CN" w:bidi="zh-CN"/>
      </w:rPr>
    </w:lvl>
    <w:lvl w:ilvl="5" w:tplc="CEC4DD9E">
      <w:numFmt w:val="bullet"/>
      <w:lvlText w:val="•"/>
      <w:lvlJc w:val="left"/>
      <w:pPr>
        <w:ind w:left="5853" w:hanging="213"/>
      </w:pPr>
      <w:rPr>
        <w:rFonts w:hint="default"/>
        <w:lang w:val="zh-CN" w:eastAsia="zh-CN" w:bidi="zh-CN"/>
      </w:rPr>
    </w:lvl>
    <w:lvl w:ilvl="6" w:tplc="8E249CCC">
      <w:numFmt w:val="bullet"/>
      <w:lvlText w:val="•"/>
      <w:lvlJc w:val="left"/>
      <w:pPr>
        <w:ind w:left="6811" w:hanging="213"/>
      </w:pPr>
      <w:rPr>
        <w:rFonts w:hint="default"/>
        <w:lang w:val="zh-CN" w:eastAsia="zh-CN" w:bidi="zh-CN"/>
      </w:rPr>
    </w:lvl>
    <w:lvl w:ilvl="7" w:tplc="C6DC9BFC">
      <w:numFmt w:val="bullet"/>
      <w:lvlText w:val="•"/>
      <w:lvlJc w:val="left"/>
      <w:pPr>
        <w:ind w:left="7770" w:hanging="213"/>
      </w:pPr>
      <w:rPr>
        <w:rFonts w:hint="default"/>
        <w:lang w:val="zh-CN" w:eastAsia="zh-CN" w:bidi="zh-CN"/>
      </w:rPr>
    </w:lvl>
    <w:lvl w:ilvl="8" w:tplc="BFEC4B68">
      <w:numFmt w:val="bullet"/>
      <w:lvlText w:val="•"/>
      <w:lvlJc w:val="left"/>
      <w:pPr>
        <w:ind w:left="8729" w:hanging="213"/>
      </w:pPr>
      <w:rPr>
        <w:rFonts w:hint="default"/>
        <w:lang w:val="zh-CN" w:eastAsia="zh-CN" w:bidi="zh-CN"/>
      </w:rPr>
    </w:lvl>
  </w:abstractNum>
  <w:abstractNum w:abstractNumId="727" w15:restartNumberingAfterBreak="0">
    <w:nsid w:val="619A29CB"/>
    <w:multiLevelType w:val="hybridMultilevel"/>
    <w:tmpl w:val="1FC42E1A"/>
    <w:lvl w:ilvl="0" w:tplc="F3268364">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39283B0A">
      <w:numFmt w:val="bullet"/>
      <w:lvlText w:val="•"/>
      <w:lvlJc w:val="left"/>
      <w:pPr>
        <w:ind w:left="1442" w:hanging="529"/>
      </w:pPr>
      <w:rPr>
        <w:rFonts w:hint="default"/>
        <w:lang w:val="zh-CN" w:eastAsia="zh-CN" w:bidi="zh-CN"/>
      </w:rPr>
    </w:lvl>
    <w:lvl w:ilvl="2" w:tplc="3D7AE58E">
      <w:numFmt w:val="bullet"/>
      <w:lvlText w:val="•"/>
      <w:lvlJc w:val="left"/>
      <w:pPr>
        <w:ind w:left="2465" w:hanging="529"/>
      </w:pPr>
      <w:rPr>
        <w:rFonts w:hint="default"/>
        <w:lang w:val="zh-CN" w:eastAsia="zh-CN" w:bidi="zh-CN"/>
      </w:rPr>
    </w:lvl>
    <w:lvl w:ilvl="3" w:tplc="3402BEE4">
      <w:numFmt w:val="bullet"/>
      <w:lvlText w:val="•"/>
      <w:lvlJc w:val="left"/>
      <w:pPr>
        <w:ind w:left="3487" w:hanging="529"/>
      </w:pPr>
      <w:rPr>
        <w:rFonts w:hint="default"/>
        <w:lang w:val="zh-CN" w:eastAsia="zh-CN" w:bidi="zh-CN"/>
      </w:rPr>
    </w:lvl>
    <w:lvl w:ilvl="4" w:tplc="B554FB50">
      <w:numFmt w:val="bullet"/>
      <w:lvlText w:val="•"/>
      <w:lvlJc w:val="left"/>
      <w:pPr>
        <w:ind w:left="4510" w:hanging="529"/>
      </w:pPr>
      <w:rPr>
        <w:rFonts w:hint="default"/>
        <w:lang w:val="zh-CN" w:eastAsia="zh-CN" w:bidi="zh-CN"/>
      </w:rPr>
    </w:lvl>
    <w:lvl w:ilvl="5" w:tplc="CE1C9CF6">
      <w:numFmt w:val="bullet"/>
      <w:lvlText w:val="•"/>
      <w:lvlJc w:val="left"/>
      <w:pPr>
        <w:ind w:left="5533" w:hanging="529"/>
      </w:pPr>
      <w:rPr>
        <w:rFonts w:hint="default"/>
        <w:lang w:val="zh-CN" w:eastAsia="zh-CN" w:bidi="zh-CN"/>
      </w:rPr>
    </w:lvl>
    <w:lvl w:ilvl="6" w:tplc="FB56CAF8">
      <w:numFmt w:val="bullet"/>
      <w:lvlText w:val="•"/>
      <w:lvlJc w:val="left"/>
      <w:pPr>
        <w:ind w:left="6555" w:hanging="529"/>
      </w:pPr>
      <w:rPr>
        <w:rFonts w:hint="default"/>
        <w:lang w:val="zh-CN" w:eastAsia="zh-CN" w:bidi="zh-CN"/>
      </w:rPr>
    </w:lvl>
    <w:lvl w:ilvl="7" w:tplc="350EC118">
      <w:numFmt w:val="bullet"/>
      <w:lvlText w:val="•"/>
      <w:lvlJc w:val="left"/>
      <w:pPr>
        <w:ind w:left="7578" w:hanging="529"/>
      </w:pPr>
      <w:rPr>
        <w:rFonts w:hint="default"/>
        <w:lang w:val="zh-CN" w:eastAsia="zh-CN" w:bidi="zh-CN"/>
      </w:rPr>
    </w:lvl>
    <w:lvl w:ilvl="8" w:tplc="6CA80762">
      <w:numFmt w:val="bullet"/>
      <w:lvlText w:val="•"/>
      <w:lvlJc w:val="left"/>
      <w:pPr>
        <w:ind w:left="8601" w:hanging="529"/>
      </w:pPr>
      <w:rPr>
        <w:rFonts w:hint="default"/>
        <w:lang w:val="zh-CN" w:eastAsia="zh-CN" w:bidi="zh-CN"/>
      </w:rPr>
    </w:lvl>
  </w:abstractNum>
  <w:abstractNum w:abstractNumId="728" w15:restartNumberingAfterBreak="0">
    <w:nsid w:val="619E3990"/>
    <w:multiLevelType w:val="hybridMultilevel"/>
    <w:tmpl w:val="020AB83A"/>
    <w:lvl w:ilvl="0" w:tplc="253CD92A">
      <w:start w:val="5"/>
      <w:numFmt w:val="decimal"/>
      <w:lvlText w:val="%1"/>
      <w:lvlJc w:val="left"/>
      <w:pPr>
        <w:ind w:left="1158" w:hanging="318"/>
        <w:jc w:val="left"/>
      </w:pPr>
      <w:rPr>
        <w:rFonts w:hint="default"/>
        <w:lang w:val="zh-CN" w:eastAsia="zh-CN" w:bidi="zh-CN"/>
      </w:rPr>
    </w:lvl>
    <w:lvl w:ilvl="1" w:tplc="A9221A6A">
      <w:start w:val="2"/>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B11CF6D2">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5D969B02">
      <w:numFmt w:val="bullet"/>
      <w:lvlText w:val="•"/>
      <w:lvlJc w:val="left"/>
      <w:pPr>
        <w:ind w:left="3268" w:hanging="531"/>
      </w:pPr>
      <w:rPr>
        <w:rFonts w:hint="default"/>
        <w:lang w:val="zh-CN" w:eastAsia="zh-CN" w:bidi="zh-CN"/>
      </w:rPr>
    </w:lvl>
    <w:lvl w:ilvl="4" w:tplc="1C007DE6">
      <w:numFmt w:val="bullet"/>
      <w:lvlText w:val="•"/>
      <w:lvlJc w:val="left"/>
      <w:pPr>
        <w:ind w:left="4322" w:hanging="531"/>
      </w:pPr>
      <w:rPr>
        <w:rFonts w:hint="default"/>
        <w:lang w:val="zh-CN" w:eastAsia="zh-CN" w:bidi="zh-CN"/>
      </w:rPr>
    </w:lvl>
    <w:lvl w:ilvl="5" w:tplc="3E024CD0">
      <w:numFmt w:val="bullet"/>
      <w:lvlText w:val="•"/>
      <w:lvlJc w:val="left"/>
      <w:pPr>
        <w:ind w:left="5376" w:hanging="531"/>
      </w:pPr>
      <w:rPr>
        <w:rFonts w:hint="default"/>
        <w:lang w:val="zh-CN" w:eastAsia="zh-CN" w:bidi="zh-CN"/>
      </w:rPr>
    </w:lvl>
    <w:lvl w:ilvl="6" w:tplc="53962994">
      <w:numFmt w:val="bullet"/>
      <w:lvlText w:val="•"/>
      <w:lvlJc w:val="left"/>
      <w:pPr>
        <w:ind w:left="6430" w:hanging="531"/>
      </w:pPr>
      <w:rPr>
        <w:rFonts w:hint="default"/>
        <w:lang w:val="zh-CN" w:eastAsia="zh-CN" w:bidi="zh-CN"/>
      </w:rPr>
    </w:lvl>
    <w:lvl w:ilvl="7" w:tplc="8DAEDFE6">
      <w:numFmt w:val="bullet"/>
      <w:lvlText w:val="•"/>
      <w:lvlJc w:val="left"/>
      <w:pPr>
        <w:ind w:left="7484" w:hanging="531"/>
      </w:pPr>
      <w:rPr>
        <w:rFonts w:hint="default"/>
        <w:lang w:val="zh-CN" w:eastAsia="zh-CN" w:bidi="zh-CN"/>
      </w:rPr>
    </w:lvl>
    <w:lvl w:ilvl="8" w:tplc="159AF618">
      <w:numFmt w:val="bullet"/>
      <w:lvlText w:val="•"/>
      <w:lvlJc w:val="left"/>
      <w:pPr>
        <w:ind w:left="8538" w:hanging="531"/>
      </w:pPr>
      <w:rPr>
        <w:rFonts w:hint="default"/>
        <w:lang w:val="zh-CN" w:eastAsia="zh-CN" w:bidi="zh-CN"/>
      </w:rPr>
    </w:lvl>
  </w:abstractNum>
  <w:abstractNum w:abstractNumId="729" w15:restartNumberingAfterBreak="0">
    <w:nsid w:val="61EC7011"/>
    <w:multiLevelType w:val="hybridMultilevel"/>
    <w:tmpl w:val="1D20CF9E"/>
    <w:lvl w:ilvl="0" w:tplc="7F1E0C60">
      <w:start w:val="4"/>
      <w:numFmt w:val="lowerLetter"/>
      <w:lvlText w:val="%1）"/>
      <w:lvlJc w:val="left"/>
      <w:pPr>
        <w:ind w:left="1155" w:hanging="318"/>
        <w:jc w:val="left"/>
      </w:pPr>
      <w:rPr>
        <w:rFonts w:ascii="宋体" w:eastAsia="宋体" w:hAnsi="宋体" w:cs="宋体" w:hint="default"/>
        <w:w w:val="100"/>
        <w:sz w:val="19"/>
        <w:szCs w:val="19"/>
        <w:lang w:val="zh-CN" w:eastAsia="zh-CN" w:bidi="zh-CN"/>
      </w:rPr>
    </w:lvl>
    <w:lvl w:ilvl="1" w:tplc="1BD2B082">
      <w:numFmt w:val="bullet"/>
      <w:lvlText w:val="•"/>
      <w:lvlJc w:val="left"/>
      <w:pPr>
        <w:ind w:left="2108" w:hanging="318"/>
      </w:pPr>
      <w:rPr>
        <w:rFonts w:hint="default"/>
        <w:lang w:val="zh-CN" w:eastAsia="zh-CN" w:bidi="zh-CN"/>
      </w:rPr>
    </w:lvl>
    <w:lvl w:ilvl="2" w:tplc="0FBC0A78">
      <w:numFmt w:val="bullet"/>
      <w:lvlText w:val="•"/>
      <w:lvlJc w:val="left"/>
      <w:pPr>
        <w:ind w:left="3057" w:hanging="318"/>
      </w:pPr>
      <w:rPr>
        <w:rFonts w:hint="default"/>
        <w:lang w:val="zh-CN" w:eastAsia="zh-CN" w:bidi="zh-CN"/>
      </w:rPr>
    </w:lvl>
    <w:lvl w:ilvl="3" w:tplc="2292A32E">
      <w:numFmt w:val="bullet"/>
      <w:lvlText w:val="•"/>
      <w:lvlJc w:val="left"/>
      <w:pPr>
        <w:ind w:left="4005" w:hanging="318"/>
      </w:pPr>
      <w:rPr>
        <w:rFonts w:hint="default"/>
        <w:lang w:val="zh-CN" w:eastAsia="zh-CN" w:bidi="zh-CN"/>
      </w:rPr>
    </w:lvl>
    <w:lvl w:ilvl="4" w:tplc="9BB87406">
      <w:numFmt w:val="bullet"/>
      <w:lvlText w:val="•"/>
      <w:lvlJc w:val="left"/>
      <w:pPr>
        <w:ind w:left="4954" w:hanging="318"/>
      </w:pPr>
      <w:rPr>
        <w:rFonts w:hint="default"/>
        <w:lang w:val="zh-CN" w:eastAsia="zh-CN" w:bidi="zh-CN"/>
      </w:rPr>
    </w:lvl>
    <w:lvl w:ilvl="5" w:tplc="66B24A5C">
      <w:numFmt w:val="bullet"/>
      <w:lvlText w:val="•"/>
      <w:lvlJc w:val="left"/>
      <w:pPr>
        <w:ind w:left="5903" w:hanging="318"/>
      </w:pPr>
      <w:rPr>
        <w:rFonts w:hint="default"/>
        <w:lang w:val="zh-CN" w:eastAsia="zh-CN" w:bidi="zh-CN"/>
      </w:rPr>
    </w:lvl>
    <w:lvl w:ilvl="6" w:tplc="0824BF00">
      <w:numFmt w:val="bullet"/>
      <w:lvlText w:val="•"/>
      <w:lvlJc w:val="left"/>
      <w:pPr>
        <w:ind w:left="6851" w:hanging="318"/>
      </w:pPr>
      <w:rPr>
        <w:rFonts w:hint="default"/>
        <w:lang w:val="zh-CN" w:eastAsia="zh-CN" w:bidi="zh-CN"/>
      </w:rPr>
    </w:lvl>
    <w:lvl w:ilvl="7" w:tplc="E9700C14">
      <w:numFmt w:val="bullet"/>
      <w:lvlText w:val="•"/>
      <w:lvlJc w:val="left"/>
      <w:pPr>
        <w:ind w:left="7800" w:hanging="318"/>
      </w:pPr>
      <w:rPr>
        <w:rFonts w:hint="default"/>
        <w:lang w:val="zh-CN" w:eastAsia="zh-CN" w:bidi="zh-CN"/>
      </w:rPr>
    </w:lvl>
    <w:lvl w:ilvl="8" w:tplc="DCB01084">
      <w:numFmt w:val="bullet"/>
      <w:lvlText w:val="•"/>
      <w:lvlJc w:val="left"/>
      <w:pPr>
        <w:ind w:left="8749" w:hanging="318"/>
      </w:pPr>
      <w:rPr>
        <w:rFonts w:hint="default"/>
        <w:lang w:val="zh-CN" w:eastAsia="zh-CN" w:bidi="zh-CN"/>
      </w:rPr>
    </w:lvl>
  </w:abstractNum>
  <w:abstractNum w:abstractNumId="730" w15:restartNumberingAfterBreak="0">
    <w:nsid w:val="62011381"/>
    <w:multiLevelType w:val="hybridMultilevel"/>
    <w:tmpl w:val="F1B67428"/>
    <w:lvl w:ilvl="0" w:tplc="A7F2740E">
      <w:start w:val="4"/>
      <w:numFmt w:val="decimal"/>
      <w:lvlText w:val="%1"/>
      <w:lvlJc w:val="left"/>
      <w:pPr>
        <w:ind w:left="1158" w:hanging="318"/>
        <w:jc w:val="left"/>
      </w:pPr>
      <w:rPr>
        <w:rFonts w:hint="default"/>
        <w:lang w:val="zh-CN" w:eastAsia="zh-CN" w:bidi="zh-CN"/>
      </w:rPr>
    </w:lvl>
    <w:lvl w:ilvl="1" w:tplc="C23AB2E2">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14E60CB4">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BC28B9F6">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898C4FBC">
      <w:numFmt w:val="bullet"/>
      <w:lvlText w:val="•"/>
      <w:lvlJc w:val="left"/>
      <w:pPr>
        <w:ind w:left="2875" w:hanging="738"/>
      </w:pPr>
      <w:rPr>
        <w:rFonts w:hint="default"/>
        <w:lang w:val="zh-CN" w:eastAsia="zh-CN" w:bidi="zh-CN"/>
      </w:rPr>
    </w:lvl>
    <w:lvl w:ilvl="5" w:tplc="3FC6E198">
      <w:numFmt w:val="bullet"/>
      <w:lvlText w:val="•"/>
      <w:lvlJc w:val="left"/>
      <w:pPr>
        <w:ind w:left="4170" w:hanging="738"/>
      </w:pPr>
      <w:rPr>
        <w:rFonts w:hint="default"/>
        <w:lang w:val="zh-CN" w:eastAsia="zh-CN" w:bidi="zh-CN"/>
      </w:rPr>
    </w:lvl>
    <w:lvl w:ilvl="6" w:tplc="27624DBC">
      <w:numFmt w:val="bullet"/>
      <w:lvlText w:val="•"/>
      <w:lvlJc w:val="left"/>
      <w:pPr>
        <w:ind w:left="5465" w:hanging="738"/>
      </w:pPr>
      <w:rPr>
        <w:rFonts w:hint="default"/>
        <w:lang w:val="zh-CN" w:eastAsia="zh-CN" w:bidi="zh-CN"/>
      </w:rPr>
    </w:lvl>
    <w:lvl w:ilvl="7" w:tplc="75E8CB3E">
      <w:numFmt w:val="bullet"/>
      <w:lvlText w:val="•"/>
      <w:lvlJc w:val="left"/>
      <w:pPr>
        <w:ind w:left="6760" w:hanging="738"/>
      </w:pPr>
      <w:rPr>
        <w:rFonts w:hint="default"/>
        <w:lang w:val="zh-CN" w:eastAsia="zh-CN" w:bidi="zh-CN"/>
      </w:rPr>
    </w:lvl>
    <w:lvl w:ilvl="8" w:tplc="BD6087C6">
      <w:numFmt w:val="bullet"/>
      <w:lvlText w:val="•"/>
      <w:lvlJc w:val="left"/>
      <w:pPr>
        <w:ind w:left="8056" w:hanging="738"/>
      </w:pPr>
      <w:rPr>
        <w:rFonts w:hint="default"/>
        <w:lang w:val="zh-CN" w:eastAsia="zh-CN" w:bidi="zh-CN"/>
      </w:rPr>
    </w:lvl>
  </w:abstractNum>
  <w:abstractNum w:abstractNumId="731" w15:restartNumberingAfterBreak="0">
    <w:nsid w:val="62077AE2"/>
    <w:multiLevelType w:val="hybridMultilevel"/>
    <w:tmpl w:val="0434AA2C"/>
    <w:lvl w:ilvl="0" w:tplc="008C692E">
      <w:start w:val="4"/>
      <w:numFmt w:val="decimal"/>
      <w:lvlText w:val="%1"/>
      <w:lvlJc w:val="left"/>
      <w:pPr>
        <w:ind w:left="418" w:hanging="637"/>
        <w:jc w:val="left"/>
      </w:pPr>
      <w:rPr>
        <w:rFonts w:hint="default"/>
        <w:lang w:val="zh-CN" w:eastAsia="zh-CN" w:bidi="zh-CN"/>
      </w:rPr>
    </w:lvl>
    <w:lvl w:ilvl="1" w:tplc="81D2C434">
      <w:start w:val="10"/>
      <w:numFmt w:val="decimal"/>
      <w:lvlText w:val="%1.%2"/>
      <w:lvlJc w:val="left"/>
      <w:pPr>
        <w:ind w:left="418" w:hanging="637"/>
        <w:jc w:val="left"/>
      </w:pPr>
      <w:rPr>
        <w:rFonts w:hint="default"/>
        <w:lang w:val="zh-CN" w:eastAsia="zh-CN" w:bidi="zh-CN"/>
      </w:rPr>
    </w:lvl>
    <w:lvl w:ilvl="2" w:tplc="A4BA0C5A">
      <w:start w:val="1"/>
      <w:numFmt w:val="decimal"/>
      <w:lvlText w:val="%1.%2.%3"/>
      <w:lvlJc w:val="left"/>
      <w:pPr>
        <w:ind w:left="418" w:hanging="637"/>
        <w:jc w:val="left"/>
      </w:pPr>
      <w:rPr>
        <w:rFonts w:ascii="宋体" w:eastAsia="宋体" w:hAnsi="宋体" w:cs="宋体" w:hint="default"/>
        <w:b/>
        <w:bCs/>
        <w:spacing w:val="-55"/>
        <w:w w:val="99"/>
        <w:sz w:val="19"/>
        <w:szCs w:val="19"/>
        <w:lang w:val="zh-CN" w:eastAsia="zh-CN" w:bidi="zh-CN"/>
      </w:rPr>
    </w:lvl>
    <w:lvl w:ilvl="3" w:tplc="58485B0E">
      <w:numFmt w:val="bullet"/>
      <w:lvlText w:val="•"/>
      <w:lvlJc w:val="left"/>
      <w:pPr>
        <w:ind w:left="3487" w:hanging="637"/>
      </w:pPr>
      <w:rPr>
        <w:rFonts w:hint="default"/>
        <w:lang w:val="zh-CN" w:eastAsia="zh-CN" w:bidi="zh-CN"/>
      </w:rPr>
    </w:lvl>
    <w:lvl w:ilvl="4" w:tplc="B896C378">
      <w:numFmt w:val="bullet"/>
      <w:lvlText w:val="•"/>
      <w:lvlJc w:val="left"/>
      <w:pPr>
        <w:ind w:left="4510" w:hanging="637"/>
      </w:pPr>
      <w:rPr>
        <w:rFonts w:hint="default"/>
        <w:lang w:val="zh-CN" w:eastAsia="zh-CN" w:bidi="zh-CN"/>
      </w:rPr>
    </w:lvl>
    <w:lvl w:ilvl="5" w:tplc="58FC1E38">
      <w:numFmt w:val="bullet"/>
      <w:lvlText w:val="•"/>
      <w:lvlJc w:val="left"/>
      <w:pPr>
        <w:ind w:left="5533" w:hanging="637"/>
      </w:pPr>
      <w:rPr>
        <w:rFonts w:hint="default"/>
        <w:lang w:val="zh-CN" w:eastAsia="zh-CN" w:bidi="zh-CN"/>
      </w:rPr>
    </w:lvl>
    <w:lvl w:ilvl="6" w:tplc="AB1E4520">
      <w:numFmt w:val="bullet"/>
      <w:lvlText w:val="•"/>
      <w:lvlJc w:val="left"/>
      <w:pPr>
        <w:ind w:left="6555" w:hanging="637"/>
      </w:pPr>
      <w:rPr>
        <w:rFonts w:hint="default"/>
        <w:lang w:val="zh-CN" w:eastAsia="zh-CN" w:bidi="zh-CN"/>
      </w:rPr>
    </w:lvl>
    <w:lvl w:ilvl="7" w:tplc="33D60E94">
      <w:numFmt w:val="bullet"/>
      <w:lvlText w:val="•"/>
      <w:lvlJc w:val="left"/>
      <w:pPr>
        <w:ind w:left="7578" w:hanging="637"/>
      </w:pPr>
      <w:rPr>
        <w:rFonts w:hint="default"/>
        <w:lang w:val="zh-CN" w:eastAsia="zh-CN" w:bidi="zh-CN"/>
      </w:rPr>
    </w:lvl>
    <w:lvl w:ilvl="8" w:tplc="BFBE84E6">
      <w:numFmt w:val="bullet"/>
      <w:lvlText w:val="•"/>
      <w:lvlJc w:val="left"/>
      <w:pPr>
        <w:ind w:left="8601" w:hanging="637"/>
      </w:pPr>
      <w:rPr>
        <w:rFonts w:hint="default"/>
        <w:lang w:val="zh-CN" w:eastAsia="zh-CN" w:bidi="zh-CN"/>
      </w:rPr>
    </w:lvl>
  </w:abstractNum>
  <w:abstractNum w:abstractNumId="732" w15:restartNumberingAfterBreak="0">
    <w:nsid w:val="62176A95"/>
    <w:multiLevelType w:val="hybridMultilevel"/>
    <w:tmpl w:val="52BE974A"/>
    <w:lvl w:ilvl="0" w:tplc="90D2596A">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BEDA313C">
      <w:numFmt w:val="bullet"/>
      <w:lvlText w:val="•"/>
      <w:lvlJc w:val="left"/>
      <w:pPr>
        <w:ind w:left="2288" w:hanging="529"/>
      </w:pPr>
      <w:rPr>
        <w:rFonts w:hint="default"/>
        <w:lang w:val="zh-CN" w:eastAsia="zh-CN" w:bidi="zh-CN"/>
      </w:rPr>
    </w:lvl>
    <w:lvl w:ilvl="2" w:tplc="368AD594">
      <w:numFmt w:val="bullet"/>
      <w:lvlText w:val="•"/>
      <w:lvlJc w:val="left"/>
      <w:pPr>
        <w:ind w:left="3217" w:hanging="529"/>
      </w:pPr>
      <w:rPr>
        <w:rFonts w:hint="default"/>
        <w:lang w:val="zh-CN" w:eastAsia="zh-CN" w:bidi="zh-CN"/>
      </w:rPr>
    </w:lvl>
    <w:lvl w:ilvl="3" w:tplc="1F5208B4">
      <w:numFmt w:val="bullet"/>
      <w:lvlText w:val="•"/>
      <w:lvlJc w:val="left"/>
      <w:pPr>
        <w:ind w:left="4145" w:hanging="529"/>
      </w:pPr>
      <w:rPr>
        <w:rFonts w:hint="default"/>
        <w:lang w:val="zh-CN" w:eastAsia="zh-CN" w:bidi="zh-CN"/>
      </w:rPr>
    </w:lvl>
    <w:lvl w:ilvl="4" w:tplc="31DAD69E">
      <w:numFmt w:val="bullet"/>
      <w:lvlText w:val="•"/>
      <w:lvlJc w:val="left"/>
      <w:pPr>
        <w:ind w:left="5074" w:hanging="529"/>
      </w:pPr>
      <w:rPr>
        <w:rFonts w:hint="default"/>
        <w:lang w:val="zh-CN" w:eastAsia="zh-CN" w:bidi="zh-CN"/>
      </w:rPr>
    </w:lvl>
    <w:lvl w:ilvl="5" w:tplc="2D52F42C">
      <w:numFmt w:val="bullet"/>
      <w:lvlText w:val="•"/>
      <w:lvlJc w:val="left"/>
      <w:pPr>
        <w:ind w:left="6003" w:hanging="529"/>
      </w:pPr>
      <w:rPr>
        <w:rFonts w:hint="default"/>
        <w:lang w:val="zh-CN" w:eastAsia="zh-CN" w:bidi="zh-CN"/>
      </w:rPr>
    </w:lvl>
    <w:lvl w:ilvl="6" w:tplc="D0E47B5C">
      <w:numFmt w:val="bullet"/>
      <w:lvlText w:val="•"/>
      <w:lvlJc w:val="left"/>
      <w:pPr>
        <w:ind w:left="6931" w:hanging="529"/>
      </w:pPr>
      <w:rPr>
        <w:rFonts w:hint="default"/>
        <w:lang w:val="zh-CN" w:eastAsia="zh-CN" w:bidi="zh-CN"/>
      </w:rPr>
    </w:lvl>
    <w:lvl w:ilvl="7" w:tplc="E2021340">
      <w:numFmt w:val="bullet"/>
      <w:lvlText w:val="•"/>
      <w:lvlJc w:val="left"/>
      <w:pPr>
        <w:ind w:left="7860" w:hanging="529"/>
      </w:pPr>
      <w:rPr>
        <w:rFonts w:hint="default"/>
        <w:lang w:val="zh-CN" w:eastAsia="zh-CN" w:bidi="zh-CN"/>
      </w:rPr>
    </w:lvl>
    <w:lvl w:ilvl="8" w:tplc="C8A86C82">
      <w:numFmt w:val="bullet"/>
      <w:lvlText w:val="•"/>
      <w:lvlJc w:val="left"/>
      <w:pPr>
        <w:ind w:left="8789" w:hanging="529"/>
      </w:pPr>
      <w:rPr>
        <w:rFonts w:hint="default"/>
        <w:lang w:val="zh-CN" w:eastAsia="zh-CN" w:bidi="zh-CN"/>
      </w:rPr>
    </w:lvl>
  </w:abstractNum>
  <w:abstractNum w:abstractNumId="733" w15:restartNumberingAfterBreak="0">
    <w:nsid w:val="622C01C5"/>
    <w:multiLevelType w:val="hybridMultilevel"/>
    <w:tmpl w:val="1A885412"/>
    <w:lvl w:ilvl="0" w:tplc="CA7A4F14">
      <w:start w:val="12"/>
      <w:numFmt w:val="decimal"/>
      <w:lvlText w:val="%1"/>
      <w:lvlJc w:val="left"/>
      <w:pPr>
        <w:ind w:left="1263" w:hanging="424"/>
        <w:jc w:val="left"/>
      </w:pPr>
      <w:rPr>
        <w:rFonts w:hint="default"/>
        <w:lang w:val="zh-CN" w:eastAsia="zh-CN" w:bidi="zh-CN"/>
      </w:rPr>
    </w:lvl>
    <w:lvl w:ilvl="1" w:tplc="2862A64C">
      <w:start w:val="4"/>
      <w:numFmt w:val="decimal"/>
      <w:lvlText w:val="%1.%2"/>
      <w:lvlJc w:val="left"/>
      <w:pPr>
        <w:ind w:left="1263" w:hanging="424"/>
        <w:jc w:val="left"/>
      </w:pPr>
      <w:rPr>
        <w:rFonts w:ascii="宋体" w:eastAsia="宋体" w:hAnsi="宋体" w:cs="宋体" w:hint="default"/>
        <w:b/>
        <w:bCs/>
        <w:w w:val="99"/>
        <w:sz w:val="19"/>
        <w:szCs w:val="19"/>
        <w:lang w:val="zh-CN" w:eastAsia="zh-CN" w:bidi="zh-CN"/>
      </w:rPr>
    </w:lvl>
    <w:lvl w:ilvl="2" w:tplc="2D741286">
      <w:start w:val="1"/>
      <w:numFmt w:val="decimal"/>
      <w:lvlText w:val="%1.%2.%3"/>
      <w:lvlJc w:val="left"/>
      <w:pPr>
        <w:ind w:left="418" w:hanging="637"/>
        <w:jc w:val="left"/>
      </w:pPr>
      <w:rPr>
        <w:rFonts w:ascii="宋体" w:eastAsia="宋体" w:hAnsi="宋体" w:cs="宋体" w:hint="default"/>
        <w:b/>
        <w:bCs/>
        <w:w w:val="99"/>
        <w:sz w:val="19"/>
        <w:szCs w:val="19"/>
        <w:lang w:val="zh-CN" w:eastAsia="zh-CN" w:bidi="zh-CN"/>
      </w:rPr>
    </w:lvl>
    <w:lvl w:ilvl="3" w:tplc="23B89A90">
      <w:numFmt w:val="bullet"/>
      <w:lvlText w:val="•"/>
      <w:lvlJc w:val="left"/>
      <w:pPr>
        <w:ind w:left="3345" w:hanging="637"/>
      </w:pPr>
      <w:rPr>
        <w:rFonts w:hint="default"/>
        <w:lang w:val="zh-CN" w:eastAsia="zh-CN" w:bidi="zh-CN"/>
      </w:rPr>
    </w:lvl>
    <w:lvl w:ilvl="4" w:tplc="2A4C0F7C">
      <w:numFmt w:val="bullet"/>
      <w:lvlText w:val="•"/>
      <w:lvlJc w:val="left"/>
      <w:pPr>
        <w:ind w:left="4388" w:hanging="637"/>
      </w:pPr>
      <w:rPr>
        <w:rFonts w:hint="default"/>
        <w:lang w:val="zh-CN" w:eastAsia="zh-CN" w:bidi="zh-CN"/>
      </w:rPr>
    </w:lvl>
    <w:lvl w:ilvl="5" w:tplc="86F49F3E">
      <w:numFmt w:val="bullet"/>
      <w:lvlText w:val="•"/>
      <w:lvlJc w:val="left"/>
      <w:pPr>
        <w:ind w:left="5431" w:hanging="637"/>
      </w:pPr>
      <w:rPr>
        <w:rFonts w:hint="default"/>
        <w:lang w:val="zh-CN" w:eastAsia="zh-CN" w:bidi="zh-CN"/>
      </w:rPr>
    </w:lvl>
    <w:lvl w:ilvl="6" w:tplc="B5447F66">
      <w:numFmt w:val="bullet"/>
      <w:lvlText w:val="•"/>
      <w:lvlJc w:val="left"/>
      <w:pPr>
        <w:ind w:left="6474" w:hanging="637"/>
      </w:pPr>
      <w:rPr>
        <w:rFonts w:hint="default"/>
        <w:lang w:val="zh-CN" w:eastAsia="zh-CN" w:bidi="zh-CN"/>
      </w:rPr>
    </w:lvl>
    <w:lvl w:ilvl="7" w:tplc="1096A86A">
      <w:numFmt w:val="bullet"/>
      <w:lvlText w:val="•"/>
      <w:lvlJc w:val="left"/>
      <w:pPr>
        <w:ind w:left="7517" w:hanging="637"/>
      </w:pPr>
      <w:rPr>
        <w:rFonts w:hint="default"/>
        <w:lang w:val="zh-CN" w:eastAsia="zh-CN" w:bidi="zh-CN"/>
      </w:rPr>
    </w:lvl>
    <w:lvl w:ilvl="8" w:tplc="9F0C2E98">
      <w:numFmt w:val="bullet"/>
      <w:lvlText w:val="•"/>
      <w:lvlJc w:val="left"/>
      <w:pPr>
        <w:ind w:left="8560" w:hanging="637"/>
      </w:pPr>
      <w:rPr>
        <w:rFonts w:hint="default"/>
        <w:lang w:val="zh-CN" w:eastAsia="zh-CN" w:bidi="zh-CN"/>
      </w:rPr>
    </w:lvl>
  </w:abstractNum>
  <w:abstractNum w:abstractNumId="734" w15:restartNumberingAfterBreak="0">
    <w:nsid w:val="62467351"/>
    <w:multiLevelType w:val="hybridMultilevel"/>
    <w:tmpl w:val="699AD1E2"/>
    <w:lvl w:ilvl="0" w:tplc="4A948A90">
      <w:start w:val="5"/>
      <w:numFmt w:val="decimal"/>
      <w:lvlText w:val="%1"/>
      <w:lvlJc w:val="left"/>
      <w:pPr>
        <w:ind w:left="418" w:hanging="531"/>
        <w:jc w:val="left"/>
      </w:pPr>
      <w:rPr>
        <w:rFonts w:hint="default"/>
        <w:lang w:val="zh-CN" w:eastAsia="zh-CN" w:bidi="zh-CN"/>
      </w:rPr>
    </w:lvl>
    <w:lvl w:ilvl="1" w:tplc="1DDABCAC">
      <w:start w:val="4"/>
      <w:numFmt w:val="decimal"/>
      <w:lvlText w:val="%1.%2"/>
      <w:lvlJc w:val="left"/>
      <w:pPr>
        <w:ind w:left="418" w:hanging="531"/>
        <w:jc w:val="left"/>
      </w:pPr>
      <w:rPr>
        <w:rFonts w:hint="default"/>
        <w:lang w:val="zh-CN" w:eastAsia="zh-CN" w:bidi="zh-CN"/>
      </w:rPr>
    </w:lvl>
    <w:lvl w:ilvl="2" w:tplc="BE72A35C">
      <w:start w:val="4"/>
      <w:numFmt w:val="decimal"/>
      <w:lvlText w:val="%1.%2.%3"/>
      <w:lvlJc w:val="left"/>
      <w:pPr>
        <w:ind w:left="418" w:hanging="531"/>
        <w:jc w:val="left"/>
      </w:pPr>
      <w:rPr>
        <w:rFonts w:ascii="宋体" w:eastAsia="宋体" w:hAnsi="宋体" w:cs="宋体" w:hint="default"/>
        <w:b/>
        <w:bCs/>
        <w:color w:val="333333"/>
        <w:w w:val="99"/>
        <w:sz w:val="19"/>
        <w:szCs w:val="19"/>
        <w:lang w:val="zh-CN" w:eastAsia="zh-CN" w:bidi="zh-CN"/>
      </w:rPr>
    </w:lvl>
    <w:lvl w:ilvl="3" w:tplc="85A46BB2">
      <w:numFmt w:val="bullet"/>
      <w:lvlText w:val="•"/>
      <w:lvlJc w:val="left"/>
      <w:pPr>
        <w:ind w:left="3487" w:hanging="531"/>
      </w:pPr>
      <w:rPr>
        <w:rFonts w:hint="default"/>
        <w:lang w:val="zh-CN" w:eastAsia="zh-CN" w:bidi="zh-CN"/>
      </w:rPr>
    </w:lvl>
    <w:lvl w:ilvl="4" w:tplc="0F4E9696">
      <w:numFmt w:val="bullet"/>
      <w:lvlText w:val="•"/>
      <w:lvlJc w:val="left"/>
      <w:pPr>
        <w:ind w:left="4510" w:hanging="531"/>
      </w:pPr>
      <w:rPr>
        <w:rFonts w:hint="default"/>
        <w:lang w:val="zh-CN" w:eastAsia="zh-CN" w:bidi="zh-CN"/>
      </w:rPr>
    </w:lvl>
    <w:lvl w:ilvl="5" w:tplc="70782F9A">
      <w:numFmt w:val="bullet"/>
      <w:lvlText w:val="•"/>
      <w:lvlJc w:val="left"/>
      <w:pPr>
        <w:ind w:left="5533" w:hanging="531"/>
      </w:pPr>
      <w:rPr>
        <w:rFonts w:hint="default"/>
        <w:lang w:val="zh-CN" w:eastAsia="zh-CN" w:bidi="zh-CN"/>
      </w:rPr>
    </w:lvl>
    <w:lvl w:ilvl="6" w:tplc="B4B62E1E">
      <w:numFmt w:val="bullet"/>
      <w:lvlText w:val="•"/>
      <w:lvlJc w:val="left"/>
      <w:pPr>
        <w:ind w:left="6555" w:hanging="531"/>
      </w:pPr>
      <w:rPr>
        <w:rFonts w:hint="default"/>
        <w:lang w:val="zh-CN" w:eastAsia="zh-CN" w:bidi="zh-CN"/>
      </w:rPr>
    </w:lvl>
    <w:lvl w:ilvl="7" w:tplc="BEC41474">
      <w:numFmt w:val="bullet"/>
      <w:lvlText w:val="•"/>
      <w:lvlJc w:val="left"/>
      <w:pPr>
        <w:ind w:left="7578" w:hanging="531"/>
      </w:pPr>
      <w:rPr>
        <w:rFonts w:hint="default"/>
        <w:lang w:val="zh-CN" w:eastAsia="zh-CN" w:bidi="zh-CN"/>
      </w:rPr>
    </w:lvl>
    <w:lvl w:ilvl="8" w:tplc="E708E2C0">
      <w:numFmt w:val="bullet"/>
      <w:lvlText w:val="•"/>
      <w:lvlJc w:val="left"/>
      <w:pPr>
        <w:ind w:left="8601" w:hanging="531"/>
      </w:pPr>
      <w:rPr>
        <w:rFonts w:hint="default"/>
        <w:lang w:val="zh-CN" w:eastAsia="zh-CN" w:bidi="zh-CN"/>
      </w:rPr>
    </w:lvl>
  </w:abstractNum>
  <w:abstractNum w:abstractNumId="735" w15:restartNumberingAfterBreak="0">
    <w:nsid w:val="626B7635"/>
    <w:multiLevelType w:val="hybridMultilevel"/>
    <w:tmpl w:val="49A23AA2"/>
    <w:lvl w:ilvl="0" w:tplc="ADF63E7E">
      <w:start w:val="5"/>
      <w:numFmt w:val="decimal"/>
      <w:lvlText w:val="（%1）"/>
      <w:lvlJc w:val="left"/>
      <w:pPr>
        <w:ind w:left="1367" w:hanging="529"/>
        <w:jc w:val="left"/>
      </w:pPr>
      <w:rPr>
        <w:rFonts w:ascii="宋体" w:eastAsia="宋体" w:hAnsi="宋体" w:cs="宋体" w:hint="default"/>
        <w:w w:val="100"/>
        <w:sz w:val="19"/>
        <w:szCs w:val="19"/>
        <w:lang w:val="zh-CN" w:eastAsia="zh-CN" w:bidi="zh-CN"/>
      </w:rPr>
    </w:lvl>
    <w:lvl w:ilvl="1" w:tplc="F76A3CFE">
      <w:numFmt w:val="bullet"/>
      <w:lvlText w:val="•"/>
      <w:lvlJc w:val="left"/>
      <w:pPr>
        <w:ind w:left="2288" w:hanging="529"/>
      </w:pPr>
      <w:rPr>
        <w:rFonts w:hint="default"/>
        <w:lang w:val="zh-CN" w:eastAsia="zh-CN" w:bidi="zh-CN"/>
      </w:rPr>
    </w:lvl>
    <w:lvl w:ilvl="2" w:tplc="711A8AD8">
      <w:numFmt w:val="bullet"/>
      <w:lvlText w:val="•"/>
      <w:lvlJc w:val="left"/>
      <w:pPr>
        <w:ind w:left="3217" w:hanging="529"/>
      </w:pPr>
      <w:rPr>
        <w:rFonts w:hint="default"/>
        <w:lang w:val="zh-CN" w:eastAsia="zh-CN" w:bidi="zh-CN"/>
      </w:rPr>
    </w:lvl>
    <w:lvl w:ilvl="3" w:tplc="0018EA7E">
      <w:numFmt w:val="bullet"/>
      <w:lvlText w:val="•"/>
      <w:lvlJc w:val="left"/>
      <w:pPr>
        <w:ind w:left="4145" w:hanging="529"/>
      </w:pPr>
      <w:rPr>
        <w:rFonts w:hint="default"/>
        <w:lang w:val="zh-CN" w:eastAsia="zh-CN" w:bidi="zh-CN"/>
      </w:rPr>
    </w:lvl>
    <w:lvl w:ilvl="4" w:tplc="98544B06">
      <w:numFmt w:val="bullet"/>
      <w:lvlText w:val="•"/>
      <w:lvlJc w:val="left"/>
      <w:pPr>
        <w:ind w:left="5074" w:hanging="529"/>
      </w:pPr>
      <w:rPr>
        <w:rFonts w:hint="default"/>
        <w:lang w:val="zh-CN" w:eastAsia="zh-CN" w:bidi="zh-CN"/>
      </w:rPr>
    </w:lvl>
    <w:lvl w:ilvl="5" w:tplc="9E34AEEA">
      <w:numFmt w:val="bullet"/>
      <w:lvlText w:val="•"/>
      <w:lvlJc w:val="left"/>
      <w:pPr>
        <w:ind w:left="6003" w:hanging="529"/>
      </w:pPr>
      <w:rPr>
        <w:rFonts w:hint="default"/>
        <w:lang w:val="zh-CN" w:eastAsia="zh-CN" w:bidi="zh-CN"/>
      </w:rPr>
    </w:lvl>
    <w:lvl w:ilvl="6" w:tplc="DC8A2C8A">
      <w:numFmt w:val="bullet"/>
      <w:lvlText w:val="•"/>
      <w:lvlJc w:val="left"/>
      <w:pPr>
        <w:ind w:left="6931" w:hanging="529"/>
      </w:pPr>
      <w:rPr>
        <w:rFonts w:hint="default"/>
        <w:lang w:val="zh-CN" w:eastAsia="zh-CN" w:bidi="zh-CN"/>
      </w:rPr>
    </w:lvl>
    <w:lvl w:ilvl="7" w:tplc="FD460232">
      <w:numFmt w:val="bullet"/>
      <w:lvlText w:val="•"/>
      <w:lvlJc w:val="left"/>
      <w:pPr>
        <w:ind w:left="7860" w:hanging="529"/>
      </w:pPr>
      <w:rPr>
        <w:rFonts w:hint="default"/>
        <w:lang w:val="zh-CN" w:eastAsia="zh-CN" w:bidi="zh-CN"/>
      </w:rPr>
    </w:lvl>
    <w:lvl w:ilvl="8" w:tplc="85602A88">
      <w:numFmt w:val="bullet"/>
      <w:lvlText w:val="•"/>
      <w:lvlJc w:val="left"/>
      <w:pPr>
        <w:ind w:left="8789" w:hanging="529"/>
      </w:pPr>
      <w:rPr>
        <w:rFonts w:hint="default"/>
        <w:lang w:val="zh-CN" w:eastAsia="zh-CN" w:bidi="zh-CN"/>
      </w:rPr>
    </w:lvl>
  </w:abstractNum>
  <w:abstractNum w:abstractNumId="736" w15:restartNumberingAfterBreak="0">
    <w:nsid w:val="626E70E5"/>
    <w:multiLevelType w:val="hybridMultilevel"/>
    <w:tmpl w:val="A03228D6"/>
    <w:lvl w:ilvl="0" w:tplc="F60248C6">
      <w:start w:val="5"/>
      <w:numFmt w:val="decimal"/>
      <w:lvlText w:val="%1"/>
      <w:lvlJc w:val="left"/>
      <w:pPr>
        <w:ind w:left="418" w:hanging="529"/>
        <w:jc w:val="left"/>
      </w:pPr>
      <w:rPr>
        <w:rFonts w:hint="default"/>
        <w:lang w:val="zh-CN" w:eastAsia="zh-CN" w:bidi="zh-CN"/>
      </w:rPr>
    </w:lvl>
    <w:lvl w:ilvl="1" w:tplc="500672EE">
      <w:start w:val="8"/>
      <w:numFmt w:val="decimal"/>
      <w:lvlText w:val="%1.%2"/>
      <w:lvlJc w:val="left"/>
      <w:pPr>
        <w:ind w:left="418" w:hanging="529"/>
        <w:jc w:val="left"/>
      </w:pPr>
      <w:rPr>
        <w:rFonts w:hint="default"/>
        <w:lang w:val="zh-CN" w:eastAsia="zh-CN" w:bidi="zh-CN"/>
      </w:rPr>
    </w:lvl>
    <w:lvl w:ilvl="2" w:tplc="772C4720">
      <w:start w:val="4"/>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E282212C">
      <w:numFmt w:val="bullet"/>
      <w:lvlText w:val="•"/>
      <w:lvlJc w:val="left"/>
      <w:pPr>
        <w:ind w:left="3487" w:hanging="529"/>
      </w:pPr>
      <w:rPr>
        <w:rFonts w:hint="default"/>
        <w:lang w:val="zh-CN" w:eastAsia="zh-CN" w:bidi="zh-CN"/>
      </w:rPr>
    </w:lvl>
    <w:lvl w:ilvl="4" w:tplc="0CD0F8F0">
      <w:numFmt w:val="bullet"/>
      <w:lvlText w:val="•"/>
      <w:lvlJc w:val="left"/>
      <w:pPr>
        <w:ind w:left="4510" w:hanging="529"/>
      </w:pPr>
      <w:rPr>
        <w:rFonts w:hint="default"/>
        <w:lang w:val="zh-CN" w:eastAsia="zh-CN" w:bidi="zh-CN"/>
      </w:rPr>
    </w:lvl>
    <w:lvl w:ilvl="5" w:tplc="B6E2A992">
      <w:numFmt w:val="bullet"/>
      <w:lvlText w:val="•"/>
      <w:lvlJc w:val="left"/>
      <w:pPr>
        <w:ind w:left="5533" w:hanging="529"/>
      </w:pPr>
      <w:rPr>
        <w:rFonts w:hint="default"/>
        <w:lang w:val="zh-CN" w:eastAsia="zh-CN" w:bidi="zh-CN"/>
      </w:rPr>
    </w:lvl>
    <w:lvl w:ilvl="6" w:tplc="B24C9CDC">
      <w:numFmt w:val="bullet"/>
      <w:lvlText w:val="•"/>
      <w:lvlJc w:val="left"/>
      <w:pPr>
        <w:ind w:left="6555" w:hanging="529"/>
      </w:pPr>
      <w:rPr>
        <w:rFonts w:hint="default"/>
        <w:lang w:val="zh-CN" w:eastAsia="zh-CN" w:bidi="zh-CN"/>
      </w:rPr>
    </w:lvl>
    <w:lvl w:ilvl="7" w:tplc="1DC0BEE6">
      <w:numFmt w:val="bullet"/>
      <w:lvlText w:val="•"/>
      <w:lvlJc w:val="left"/>
      <w:pPr>
        <w:ind w:left="7578" w:hanging="529"/>
      </w:pPr>
      <w:rPr>
        <w:rFonts w:hint="default"/>
        <w:lang w:val="zh-CN" w:eastAsia="zh-CN" w:bidi="zh-CN"/>
      </w:rPr>
    </w:lvl>
    <w:lvl w:ilvl="8" w:tplc="15BE9DB0">
      <w:numFmt w:val="bullet"/>
      <w:lvlText w:val="•"/>
      <w:lvlJc w:val="left"/>
      <w:pPr>
        <w:ind w:left="8601" w:hanging="529"/>
      </w:pPr>
      <w:rPr>
        <w:rFonts w:hint="default"/>
        <w:lang w:val="zh-CN" w:eastAsia="zh-CN" w:bidi="zh-CN"/>
      </w:rPr>
    </w:lvl>
  </w:abstractNum>
  <w:abstractNum w:abstractNumId="737" w15:restartNumberingAfterBreak="0">
    <w:nsid w:val="627024E2"/>
    <w:multiLevelType w:val="hybridMultilevel"/>
    <w:tmpl w:val="5A968678"/>
    <w:lvl w:ilvl="0" w:tplc="4E44EB36">
      <w:start w:val="1"/>
      <w:numFmt w:val="decimal"/>
      <w:lvlText w:val="（%1）"/>
      <w:lvlJc w:val="left"/>
      <w:pPr>
        <w:ind w:left="418" w:hanging="529"/>
        <w:jc w:val="left"/>
      </w:pPr>
      <w:rPr>
        <w:rFonts w:ascii="宋体" w:eastAsia="宋体" w:hAnsi="宋体" w:cs="宋体" w:hint="default"/>
        <w:spacing w:val="-48"/>
        <w:w w:val="100"/>
        <w:sz w:val="19"/>
        <w:szCs w:val="19"/>
        <w:lang w:val="zh-CN" w:eastAsia="zh-CN" w:bidi="zh-CN"/>
      </w:rPr>
    </w:lvl>
    <w:lvl w:ilvl="1" w:tplc="1A965A86">
      <w:numFmt w:val="bullet"/>
      <w:lvlText w:val="•"/>
      <w:lvlJc w:val="left"/>
      <w:pPr>
        <w:ind w:left="1442" w:hanging="529"/>
      </w:pPr>
      <w:rPr>
        <w:rFonts w:hint="default"/>
        <w:lang w:val="zh-CN" w:eastAsia="zh-CN" w:bidi="zh-CN"/>
      </w:rPr>
    </w:lvl>
    <w:lvl w:ilvl="2" w:tplc="6122AE58">
      <w:numFmt w:val="bullet"/>
      <w:lvlText w:val="•"/>
      <w:lvlJc w:val="left"/>
      <w:pPr>
        <w:ind w:left="2465" w:hanging="529"/>
      </w:pPr>
      <w:rPr>
        <w:rFonts w:hint="default"/>
        <w:lang w:val="zh-CN" w:eastAsia="zh-CN" w:bidi="zh-CN"/>
      </w:rPr>
    </w:lvl>
    <w:lvl w:ilvl="3" w:tplc="12721AEE">
      <w:numFmt w:val="bullet"/>
      <w:lvlText w:val="•"/>
      <w:lvlJc w:val="left"/>
      <w:pPr>
        <w:ind w:left="3487" w:hanging="529"/>
      </w:pPr>
      <w:rPr>
        <w:rFonts w:hint="default"/>
        <w:lang w:val="zh-CN" w:eastAsia="zh-CN" w:bidi="zh-CN"/>
      </w:rPr>
    </w:lvl>
    <w:lvl w:ilvl="4" w:tplc="8410DEFE">
      <w:numFmt w:val="bullet"/>
      <w:lvlText w:val="•"/>
      <w:lvlJc w:val="left"/>
      <w:pPr>
        <w:ind w:left="4510" w:hanging="529"/>
      </w:pPr>
      <w:rPr>
        <w:rFonts w:hint="default"/>
        <w:lang w:val="zh-CN" w:eastAsia="zh-CN" w:bidi="zh-CN"/>
      </w:rPr>
    </w:lvl>
    <w:lvl w:ilvl="5" w:tplc="637ACE54">
      <w:numFmt w:val="bullet"/>
      <w:lvlText w:val="•"/>
      <w:lvlJc w:val="left"/>
      <w:pPr>
        <w:ind w:left="5533" w:hanging="529"/>
      </w:pPr>
      <w:rPr>
        <w:rFonts w:hint="default"/>
        <w:lang w:val="zh-CN" w:eastAsia="zh-CN" w:bidi="zh-CN"/>
      </w:rPr>
    </w:lvl>
    <w:lvl w:ilvl="6" w:tplc="FDD8DC3A">
      <w:numFmt w:val="bullet"/>
      <w:lvlText w:val="•"/>
      <w:lvlJc w:val="left"/>
      <w:pPr>
        <w:ind w:left="6555" w:hanging="529"/>
      </w:pPr>
      <w:rPr>
        <w:rFonts w:hint="default"/>
        <w:lang w:val="zh-CN" w:eastAsia="zh-CN" w:bidi="zh-CN"/>
      </w:rPr>
    </w:lvl>
    <w:lvl w:ilvl="7" w:tplc="2C40FF0C">
      <w:numFmt w:val="bullet"/>
      <w:lvlText w:val="•"/>
      <w:lvlJc w:val="left"/>
      <w:pPr>
        <w:ind w:left="7578" w:hanging="529"/>
      </w:pPr>
      <w:rPr>
        <w:rFonts w:hint="default"/>
        <w:lang w:val="zh-CN" w:eastAsia="zh-CN" w:bidi="zh-CN"/>
      </w:rPr>
    </w:lvl>
    <w:lvl w:ilvl="8" w:tplc="0D888A7E">
      <w:numFmt w:val="bullet"/>
      <w:lvlText w:val="•"/>
      <w:lvlJc w:val="left"/>
      <w:pPr>
        <w:ind w:left="8601" w:hanging="529"/>
      </w:pPr>
      <w:rPr>
        <w:rFonts w:hint="default"/>
        <w:lang w:val="zh-CN" w:eastAsia="zh-CN" w:bidi="zh-CN"/>
      </w:rPr>
    </w:lvl>
  </w:abstractNum>
  <w:abstractNum w:abstractNumId="738" w15:restartNumberingAfterBreak="0">
    <w:nsid w:val="628729B6"/>
    <w:multiLevelType w:val="hybridMultilevel"/>
    <w:tmpl w:val="CD6C1EFE"/>
    <w:lvl w:ilvl="0" w:tplc="3738DAFE">
      <w:start w:val="8"/>
      <w:numFmt w:val="decimal"/>
      <w:lvlText w:val="%1"/>
      <w:lvlJc w:val="left"/>
      <w:pPr>
        <w:ind w:left="1369" w:hanging="529"/>
        <w:jc w:val="left"/>
      </w:pPr>
      <w:rPr>
        <w:rFonts w:hint="default"/>
        <w:lang w:val="zh-CN" w:eastAsia="zh-CN" w:bidi="zh-CN"/>
      </w:rPr>
    </w:lvl>
    <w:lvl w:ilvl="1" w:tplc="E13AF628">
      <w:start w:val="3"/>
      <w:numFmt w:val="decimal"/>
      <w:lvlText w:val="%1.%2"/>
      <w:lvlJc w:val="left"/>
      <w:pPr>
        <w:ind w:left="1369" w:hanging="529"/>
        <w:jc w:val="left"/>
      </w:pPr>
      <w:rPr>
        <w:rFonts w:hint="default"/>
        <w:lang w:val="zh-CN" w:eastAsia="zh-CN" w:bidi="zh-CN"/>
      </w:rPr>
    </w:lvl>
    <w:lvl w:ilvl="2" w:tplc="272073E8">
      <w:start w:val="9"/>
      <w:numFmt w:val="decimal"/>
      <w:lvlText w:val="%1.%2.%3"/>
      <w:lvlJc w:val="left"/>
      <w:pPr>
        <w:ind w:left="1369" w:hanging="529"/>
        <w:jc w:val="left"/>
      </w:pPr>
      <w:rPr>
        <w:rFonts w:ascii="宋体" w:eastAsia="宋体" w:hAnsi="宋体" w:cs="宋体" w:hint="default"/>
        <w:b/>
        <w:bCs/>
        <w:color w:val="333333"/>
        <w:w w:val="99"/>
        <w:sz w:val="19"/>
        <w:szCs w:val="19"/>
        <w:lang w:val="zh-CN" w:eastAsia="zh-CN" w:bidi="zh-CN"/>
      </w:rPr>
    </w:lvl>
    <w:lvl w:ilvl="3" w:tplc="FC5E2466">
      <w:numFmt w:val="bullet"/>
      <w:lvlText w:val="•"/>
      <w:lvlJc w:val="left"/>
      <w:pPr>
        <w:ind w:left="4145" w:hanging="529"/>
      </w:pPr>
      <w:rPr>
        <w:rFonts w:hint="default"/>
        <w:lang w:val="zh-CN" w:eastAsia="zh-CN" w:bidi="zh-CN"/>
      </w:rPr>
    </w:lvl>
    <w:lvl w:ilvl="4" w:tplc="BA4A4EB6">
      <w:numFmt w:val="bullet"/>
      <w:lvlText w:val="•"/>
      <w:lvlJc w:val="left"/>
      <w:pPr>
        <w:ind w:left="5074" w:hanging="529"/>
      </w:pPr>
      <w:rPr>
        <w:rFonts w:hint="default"/>
        <w:lang w:val="zh-CN" w:eastAsia="zh-CN" w:bidi="zh-CN"/>
      </w:rPr>
    </w:lvl>
    <w:lvl w:ilvl="5" w:tplc="25C2D83A">
      <w:numFmt w:val="bullet"/>
      <w:lvlText w:val="•"/>
      <w:lvlJc w:val="left"/>
      <w:pPr>
        <w:ind w:left="6003" w:hanging="529"/>
      </w:pPr>
      <w:rPr>
        <w:rFonts w:hint="default"/>
        <w:lang w:val="zh-CN" w:eastAsia="zh-CN" w:bidi="zh-CN"/>
      </w:rPr>
    </w:lvl>
    <w:lvl w:ilvl="6" w:tplc="B3F8DA50">
      <w:numFmt w:val="bullet"/>
      <w:lvlText w:val="•"/>
      <w:lvlJc w:val="left"/>
      <w:pPr>
        <w:ind w:left="6931" w:hanging="529"/>
      </w:pPr>
      <w:rPr>
        <w:rFonts w:hint="default"/>
        <w:lang w:val="zh-CN" w:eastAsia="zh-CN" w:bidi="zh-CN"/>
      </w:rPr>
    </w:lvl>
    <w:lvl w:ilvl="7" w:tplc="B7466620">
      <w:numFmt w:val="bullet"/>
      <w:lvlText w:val="•"/>
      <w:lvlJc w:val="left"/>
      <w:pPr>
        <w:ind w:left="7860" w:hanging="529"/>
      </w:pPr>
      <w:rPr>
        <w:rFonts w:hint="default"/>
        <w:lang w:val="zh-CN" w:eastAsia="zh-CN" w:bidi="zh-CN"/>
      </w:rPr>
    </w:lvl>
    <w:lvl w:ilvl="8" w:tplc="71B00120">
      <w:numFmt w:val="bullet"/>
      <w:lvlText w:val="•"/>
      <w:lvlJc w:val="left"/>
      <w:pPr>
        <w:ind w:left="8789" w:hanging="529"/>
      </w:pPr>
      <w:rPr>
        <w:rFonts w:hint="default"/>
        <w:lang w:val="zh-CN" w:eastAsia="zh-CN" w:bidi="zh-CN"/>
      </w:rPr>
    </w:lvl>
  </w:abstractNum>
  <w:abstractNum w:abstractNumId="739" w15:restartNumberingAfterBreak="0">
    <w:nsid w:val="628B3BC7"/>
    <w:multiLevelType w:val="hybridMultilevel"/>
    <w:tmpl w:val="E7289BCE"/>
    <w:lvl w:ilvl="0" w:tplc="CB728C24">
      <w:start w:val="5"/>
      <w:numFmt w:val="decimal"/>
      <w:lvlText w:val="%1"/>
      <w:lvlJc w:val="left"/>
      <w:pPr>
        <w:ind w:left="418" w:hanging="637"/>
        <w:jc w:val="left"/>
      </w:pPr>
      <w:rPr>
        <w:rFonts w:hint="default"/>
        <w:lang w:val="zh-CN" w:eastAsia="zh-CN" w:bidi="zh-CN"/>
      </w:rPr>
    </w:lvl>
    <w:lvl w:ilvl="1" w:tplc="E916972E">
      <w:start w:val="5"/>
      <w:numFmt w:val="decimal"/>
      <w:lvlText w:val="%1.%2"/>
      <w:lvlJc w:val="left"/>
      <w:pPr>
        <w:ind w:left="418" w:hanging="637"/>
        <w:jc w:val="left"/>
      </w:pPr>
      <w:rPr>
        <w:rFonts w:hint="default"/>
        <w:lang w:val="zh-CN" w:eastAsia="zh-CN" w:bidi="zh-CN"/>
      </w:rPr>
    </w:lvl>
    <w:lvl w:ilvl="2" w:tplc="5BD0D756">
      <w:start w:val="21"/>
      <w:numFmt w:val="decimal"/>
      <w:lvlText w:val="%1.%2.%3"/>
      <w:lvlJc w:val="left"/>
      <w:pPr>
        <w:ind w:left="418" w:hanging="637"/>
        <w:jc w:val="left"/>
      </w:pPr>
      <w:rPr>
        <w:rFonts w:ascii="宋体" w:eastAsia="宋体" w:hAnsi="宋体" w:cs="宋体" w:hint="default"/>
        <w:b/>
        <w:bCs/>
        <w:color w:val="333333"/>
        <w:spacing w:val="-3"/>
        <w:w w:val="99"/>
        <w:sz w:val="19"/>
        <w:szCs w:val="19"/>
        <w:lang w:val="zh-CN" w:eastAsia="zh-CN" w:bidi="zh-CN"/>
      </w:rPr>
    </w:lvl>
    <w:lvl w:ilvl="3" w:tplc="B7640E0C">
      <w:numFmt w:val="bullet"/>
      <w:lvlText w:val="•"/>
      <w:lvlJc w:val="left"/>
      <w:pPr>
        <w:ind w:left="3487" w:hanging="637"/>
      </w:pPr>
      <w:rPr>
        <w:rFonts w:hint="default"/>
        <w:lang w:val="zh-CN" w:eastAsia="zh-CN" w:bidi="zh-CN"/>
      </w:rPr>
    </w:lvl>
    <w:lvl w:ilvl="4" w:tplc="32DEE89E">
      <w:numFmt w:val="bullet"/>
      <w:lvlText w:val="•"/>
      <w:lvlJc w:val="left"/>
      <w:pPr>
        <w:ind w:left="4510" w:hanging="637"/>
      </w:pPr>
      <w:rPr>
        <w:rFonts w:hint="default"/>
        <w:lang w:val="zh-CN" w:eastAsia="zh-CN" w:bidi="zh-CN"/>
      </w:rPr>
    </w:lvl>
    <w:lvl w:ilvl="5" w:tplc="7FA68602">
      <w:numFmt w:val="bullet"/>
      <w:lvlText w:val="•"/>
      <w:lvlJc w:val="left"/>
      <w:pPr>
        <w:ind w:left="5533" w:hanging="637"/>
      </w:pPr>
      <w:rPr>
        <w:rFonts w:hint="default"/>
        <w:lang w:val="zh-CN" w:eastAsia="zh-CN" w:bidi="zh-CN"/>
      </w:rPr>
    </w:lvl>
    <w:lvl w:ilvl="6" w:tplc="6FB4E750">
      <w:numFmt w:val="bullet"/>
      <w:lvlText w:val="•"/>
      <w:lvlJc w:val="left"/>
      <w:pPr>
        <w:ind w:left="6555" w:hanging="637"/>
      </w:pPr>
      <w:rPr>
        <w:rFonts w:hint="default"/>
        <w:lang w:val="zh-CN" w:eastAsia="zh-CN" w:bidi="zh-CN"/>
      </w:rPr>
    </w:lvl>
    <w:lvl w:ilvl="7" w:tplc="9D7889AC">
      <w:numFmt w:val="bullet"/>
      <w:lvlText w:val="•"/>
      <w:lvlJc w:val="left"/>
      <w:pPr>
        <w:ind w:left="7578" w:hanging="637"/>
      </w:pPr>
      <w:rPr>
        <w:rFonts w:hint="default"/>
        <w:lang w:val="zh-CN" w:eastAsia="zh-CN" w:bidi="zh-CN"/>
      </w:rPr>
    </w:lvl>
    <w:lvl w:ilvl="8" w:tplc="F0F466CA">
      <w:numFmt w:val="bullet"/>
      <w:lvlText w:val="•"/>
      <w:lvlJc w:val="left"/>
      <w:pPr>
        <w:ind w:left="8601" w:hanging="637"/>
      </w:pPr>
      <w:rPr>
        <w:rFonts w:hint="default"/>
        <w:lang w:val="zh-CN" w:eastAsia="zh-CN" w:bidi="zh-CN"/>
      </w:rPr>
    </w:lvl>
  </w:abstractNum>
  <w:abstractNum w:abstractNumId="740" w15:restartNumberingAfterBreak="0">
    <w:nsid w:val="631F5870"/>
    <w:multiLevelType w:val="hybridMultilevel"/>
    <w:tmpl w:val="0C324180"/>
    <w:lvl w:ilvl="0" w:tplc="198A442C">
      <w:start w:val="6"/>
      <w:numFmt w:val="decimal"/>
      <w:lvlText w:val="%1"/>
      <w:lvlJc w:val="left"/>
      <w:pPr>
        <w:ind w:left="1263" w:hanging="424"/>
        <w:jc w:val="left"/>
      </w:pPr>
      <w:rPr>
        <w:rFonts w:hint="default"/>
        <w:lang w:val="zh-CN" w:eastAsia="zh-CN" w:bidi="zh-CN"/>
      </w:rPr>
    </w:lvl>
    <w:lvl w:ilvl="1" w:tplc="B9E2BB2A">
      <w:start w:val="12"/>
      <w:numFmt w:val="decimal"/>
      <w:lvlText w:val="%1.%2"/>
      <w:lvlJc w:val="left"/>
      <w:pPr>
        <w:ind w:left="1263" w:hanging="424"/>
        <w:jc w:val="left"/>
      </w:pPr>
      <w:rPr>
        <w:rFonts w:ascii="宋体" w:eastAsia="宋体" w:hAnsi="宋体" w:cs="宋体" w:hint="default"/>
        <w:b/>
        <w:bCs/>
        <w:w w:val="99"/>
        <w:sz w:val="19"/>
        <w:szCs w:val="19"/>
        <w:lang w:val="zh-CN" w:eastAsia="zh-CN" w:bidi="zh-CN"/>
      </w:rPr>
    </w:lvl>
    <w:lvl w:ilvl="2" w:tplc="BC5A6CDA">
      <w:start w:val="1"/>
      <w:numFmt w:val="decimal"/>
      <w:lvlText w:val="%1.%2.%3"/>
      <w:lvlJc w:val="left"/>
      <w:pPr>
        <w:ind w:left="1477" w:hanging="637"/>
        <w:jc w:val="left"/>
      </w:pPr>
      <w:rPr>
        <w:rFonts w:ascii="宋体" w:eastAsia="宋体" w:hAnsi="宋体" w:cs="宋体" w:hint="default"/>
        <w:b/>
        <w:bCs/>
        <w:w w:val="99"/>
        <w:sz w:val="19"/>
        <w:szCs w:val="19"/>
        <w:lang w:val="zh-CN" w:eastAsia="zh-CN" w:bidi="zh-CN"/>
      </w:rPr>
    </w:lvl>
    <w:lvl w:ilvl="3" w:tplc="7408D52A">
      <w:numFmt w:val="bullet"/>
      <w:lvlText w:val="•"/>
      <w:lvlJc w:val="left"/>
      <w:pPr>
        <w:ind w:left="3516" w:hanging="637"/>
      </w:pPr>
      <w:rPr>
        <w:rFonts w:hint="default"/>
        <w:lang w:val="zh-CN" w:eastAsia="zh-CN" w:bidi="zh-CN"/>
      </w:rPr>
    </w:lvl>
    <w:lvl w:ilvl="4" w:tplc="54A24408">
      <w:numFmt w:val="bullet"/>
      <w:lvlText w:val="•"/>
      <w:lvlJc w:val="left"/>
      <w:pPr>
        <w:ind w:left="4535" w:hanging="637"/>
      </w:pPr>
      <w:rPr>
        <w:rFonts w:hint="default"/>
        <w:lang w:val="zh-CN" w:eastAsia="zh-CN" w:bidi="zh-CN"/>
      </w:rPr>
    </w:lvl>
    <w:lvl w:ilvl="5" w:tplc="7AA0CDDE">
      <w:numFmt w:val="bullet"/>
      <w:lvlText w:val="•"/>
      <w:lvlJc w:val="left"/>
      <w:pPr>
        <w:ind w:left="5553" w:hanging="637"/>
      </w:pPr>
      <w:rPr>
        <w:rFonts w:hint="default"/>
        <w:lang w:val="zh-CN" w:eastAsia="zh-CN" w:bidi="zh-CN"/>
      </w:rPr>
    </w:lvl>
    <w:lvl w:ilvl="6" w:tplc="5832F0A8">
      <w:numFmt w:val="bullet"/>
      <w:lvlText w:val="•"/>
      <w:lvlJc w:val="left"/>
      <w:pPr>
        <w:ind w:left="6572" w:hanging="637"/>
      </w:pPr>
      <w:rPr>
        <w:rFonts w:hint="default"/>
        <w:lang w:val="zh-CN" w:eastAsia="zh-CN" w:bidi="zh-CN"/>
      </w:rPr>
    </w:lvl>
    <w:lvl w:ilvl="7" w:tplc="15BE84CE">
      <w:numFmt w:val="bullet"/>
      <w:lvlText w:val="•"/>
      <w:lvlJc w:val="left"/>
      <w:pPr>
        <w:ind w:left="7590" w:hanging="637"/>
      </w:pPr>
      <w:rPr>
        <w:rFonts w:hint="default"/>
        <w:lang w:val="zh-CN" w:eastAsia="zh-CN" w:bidi="zh-CN"/>
      </w:rPr>
    </w:lvl>
    <w:lvl w:ilvl="8" w:tplc="419449EA">
      <w:numFmt w:val="bullet"/>
      <w:lvlText w:val="•"/>
      <w:lvlJc w:val="left"/>
      <w:pPr>
        <w:ind w:left="8609" w:hanging="637"/>
      </w:pPr>
      <w:rPr>
        <w:rFonts w:hint="default"/>
        <w:lang w:val="zh-CN" w:eastAsia="zh-CN" w:bidi="zh-CN"/>
      </w:rPr>
    </w:lvl>
  </w:abstractNum>
  <w:abstractNum w:abstractNumId="741" w15:restartNumberingAfterBreak="0">
    <w:nsid w:val="63382E03"/>
    <w:multiLevelType w:val="hybridMultilevel"/>
    <w:tmpl w:val="AAFE40D0"/>
    <w:lvl w:ilvl="0" w:tplc="C7B63D7E">
      <w:start w:val="12"/>
      <w:numFmt w:val="decimal"/>
      <w:lvlText w:val="%1"/>
      <w:lvlJc w:val="left"/>
      <w:pPr>
        <w:ind w:left="1265" w:hanging="425"/>
        <w:jc w:val="left"/>
      </w:pPr>
      <w:rPr>
        <w:rFonts w:hint="default"/>
        <w:lang w:val="zh-CN" w:eastAsia="zh-CN" w:bidi="zh-CN"/>
      </w:rPr>
    </w:lvl>
    <w:lvl w:ilvl="1" w:tplc="82768BDA">
      <w:start w:val="1"/>
      <w:numFmt w:val="decimal"/>
      <w:lvlText w:val="%1.%2"/>
      <w:lvlJc w:val="left"/>
      <w:pPr>
        <w:ind w:left="1265" w:hanging="425"/>
        <w:jc w:val="left"/>
      </w:pPr>
      <w:rPr>
        <w:rFonts w:ascii="宋体" w:eastAsia="宋体" w:hAnsi="宋体" w:cs="宋体" w:hint="default"/>
        <w:b/>
        <w:bCs/>
        <w:w w:val="99"/>
        <w:sz w:val="19"/>
        <w:szCs w:val="19"/>
        <w:lang w:val="zh-CN" w:eastAsia="zh-CN" w:bidi="zh-CN"/>
      </w:rPr>
    </w:lvl>
    <w:lvl w:ilvl="2" w:tplc="94AC15F6">
      <w:start w:val="1"/>
      <w:numFmt w:val="decimal"/>
      <w:lvlText w:val="%1.%2.%3"/>
      <w:lvlJc w:val="left"/>
      <w:pPr>
        <w:ind w:left="1529" w:hanging="689"/>
        <w:jc w:val="left"/>
      </w:pPr>
      <w:rPr>
        <w:rFonts w:ascii="宋体" w:eastAsia="宋体" w:hAnsi="宋体" w:cs="宋体" w:hint="default"/>
        <w:b/>
        <w:bCs/>
        <w:w w:val="99"/>
        <w:sz w:val="21"/>
        <w:szCs w:val="21"/>
        <w:lang w:val="zh-CN" w:eastAsia="zh-CN" w:bidi="zh-CN"/>
      </w:rPr>
    </w:lvl>
    <w:lvl w:ilvl="3" w:tplc="E4007C8A">
      <w:numFmt w:val="bullet"/>
      <w:lvlText w:val="•"/>
      <w:lvlJc w:val="left"/>
      <w:pPr>
        <w:ind w:left="2660" w:hanging="689"/>
      </w:pPr>
      <w:rPr>
        <w:rFonts w:hint="default"/>
        <w:lang w:val="zh-CN" w:eastAsia="zh-CN" w:bidi="zh-CN"/>
      </w:rPr>
    </w:lvl>
    <w:lvl w:ilvl="4" w:tplc="3022184A">
      <w:numFmt w:val="bullet"/>
      <w:lvlText w:val="•"/>
      <w:lvlJc w:val="left"/>
      <w:pPr>
        <w:ind w:left="3801" w:hanging="689"/>
      </w:pPr>
      <w:rPr>
        <w:rFonts w:hint="default"/>
        <w:lang w:val="zh-CN" w:eastAsia="zh-CN" w:bidi="zh-CN"/>
      </w:rPr>
    </w:lvl>
    <w:lvl w:ilvl="5" w:tplc="12824BB4">
      <w:numFmt w:val="bullet"/>
      <w:lvlText w:val="•"/>
      <w:lvlJc w:val="left"/>
      <w:pPr>
        <w:ind w:left="4942" w:hanging="689"/>
      </w:pPr>
      <w:rPr>
        <w:rFonts w:hint="default"/>
        <w:lang w:val="zh-CN" w:eastAsia="zh-CN" w:bidi="zh-CN"/>
      </w:rPr>
    </w:lvl>
    <w:lvl w:ilvl="6" w:tplc="AB9889CC">
      <w:numFmt w:val="bullet"/>
      <w:lvlText w:val="•"/>
      <w:lvlJc w:val="left"/>
      <w:pPr>
        <w:ind w:left="6083" w:hanging="689"/>
      </w:pPr>
      <w:rPr>
        <w:rFonts w:hint="default"/>
        <w:lang w:val="zh-CN" w:eastAsia="zh-CN" w:bidi="zh-CN"/>
      </w:rPr>
    </w:lvl>
    <w:lvl w:ilvl="7" w:tplc="E4B8E1C0">
      <w:numFmt w:val="bullet"/>
      <w:lvlText w:val="•"/>
      <w:lvlJc w:val="left"/>
      <w:pPr>
        <w:ind w:left="7224" w:hanging="689"/>
      </w:pPr>
      <w:rPr>
        <w:rFonts w:hint="default"/>
        <w:lang w:val="zh-CN" w:eastAsia="zh-CN" w:bidi="zh-CN"/>
      </w:rPr>
    </w:lvl>
    <w:lvl w:ilvl="8" w:tplc="0114BA6E">
      <w:numFmt w:val="bullet"/>
      <w:lvlText w:val="•"/>
      <w:lvlJc w:val="left"/>
      <w:pPr>
        <w:ind w:left="8364" w:hanging="689"/>
      </w:pPr>
      <w:rPr>
        <w:rFonts w:hint="default"/>
        <w:lang w:val="zh-CN" w:eastAsia="zh-CN" w:bidi="zh-CN"/>
      </w:rPr>
    </w:lvl>
  </w:abstractNum>
  <w:abstractNum w:abstractNumId="742" w15:restartNumberingAfterBreak="0">
    <w:nsid w:val="634935E2"/>
    <w:multiLevelType w:val="hybridMultilevel"/>
    <w:tmpl w:val="D0DACFC4"/>
    <w:lvl w:ilvl="0" w:tplc="094C082C">
      <w:start w:val="6"/>
      <w:numFmt w:val="decimal"/>
      <w:lvlText w:val="%1"/>
      <w:lvlJc w:val="left"/>
      <w:pPr>
        <w:ind w:left="1159" w:hanging="320"/>
        <w:jc w:val="left"/>
      </w:pPr>
      <w:rPr>
        <w:rFonts w:hint="default"/>
        <w:lang w:val="zh-CN" w:eastAsia="zh-CN" w:bidi="zh-CN"/>
      </w:rPr>
    </w:lvl>
    <w:lvl w:ilvl="1" w:tplc="D2DCC376">
      <w:start w:val="5"/>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0E726EB0">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C456CF3C">
      <w:numFmt w:val="bullet"/>
      <w:lvlText w:val="•"/>
      <w:lvlJc w:val="left"/>
      <w:pPr>
        <w:ind w:left="3439" w:hanging="531"/>
      </w:pPr>
      <w:rPr>
        <w:rFonts w:hint="default"/>
        <w:lang w:val="zh-CN" w:eastAsia="zh-CN" w:bidi="zh-CN"/>
      </w:rPr>
    </w:lvl>
    <w:lvl w:ilvl="4" w:tplc="E6E6ABAC">
      <w:numFmt w:val="bullet"/>
      <w:lvlText w:val="•"/>
      <w:lvlJc w:val="left"/>
      <w:pPr>
        <w:ind w:left="4468" w:hanging="531"/>
      </w:pPr>
      <w:rPr>
        <w:rFonts w:hint="default"/>
        <w:lang w:val="zh-CN" w:eastAsia="zh-CN" w:bidi="zh-CN"/>
      </w:rPr>
    </w:lvl>
    <w:lvl w:ilvl="5" w:tplc="9910980A">
      <w:numFmt w:val="bullet"/>
      <w:lvlText w:val="•"/>
      <w:lvlJc w:val="left"/>
      <w:pPr>
        <w:ind w:left="5498" w:hanging="531"/>
      </w:pPr>
      <w:rPr>
        <w:rFonts w:hint="default"/>
        <w:lang w:val="zh-CN" w:eastAsia="zh-CN" w:bidi="zh-CN"/>
      </w:rPr>
    </w:lvl>
    <w:lvl w:ilvl="6" w:tplc="40C09A60">
      <w:numFmt w:val="bullet"/>
      <w:lvlText w:val="•"/>
      <w:lvlJc w:val="left"/>
      <w:pPr>
        <w:ind w:left="6528" w:hanging="531"/>
      </w:pPr>
      <w:rPr>
        <w:rFonts w:hint="default"/>
        <w:lang w:val="zh-CN" w:eastAsia="zh-CN" w:bidi="zh-CN"/>
      </w:rPr>
    </w:lvl>
    <w:lvl w:ilvl="7" w:tplc="C9208EB2">
      <w:numFmt w:val="bullet"/>
      <w:lvlText w:val="•"/>
      <w:lvlJc w:val="left"/>
      <w:pPr>
        <w:ind w:left="7557" w:hanging="531"/>
      </w:pPr>
      <w:rPr>
        <w:rFonts w:hint="default"/>
        <w:lang w:val="zh-CN" w:eastAsia="zh-CN" w:bidi="zh-CN"/>
      </w:rPr>
    </w:lvl>
    <w:lvl w:ilvl="8" w:tplc="B32C3142">
      <w:numFmt w:val="bullet"/>
      <w:lvlText w:val="•"/>
      <w:lvlJc w:val="left"/>
      <w:pPr>
        <w:ind w:left="8587" w:hanging="531"/>
      </w:pPr>
      <w:rPr>
        <w:rFonts w:hint="default"/>
        <w:lang w:val="zh-CN" w:eastAsia="zh-CN" w:bidi="zh-CN"/>
      </w:rPr>
    </w:lvl>
  </w:abstractNum>
  <w:abstractNum w:abstractNumId="743" w15:restartNumberingAfterBreak="0">
    <w:nsid w:val="63806BE3"/>
    <w:multiLevelType w:val="hybridMultilevel"/>
    <w:tmpl w:val="5CBE7C60"/>
    <w:lvl w:ilvl="0" w:tplc="E8A47D26">
      <w:start w:val="3"/>
      <w:numFmt w:val="decimal"/>
      <w:lvlText w:val="%1"/>
      <w:lvlJc w:val="left"/>
      <w:pPr>
        <w:ind w:left="418" w:hanging="584"/>
        <w:jc w:val="left"/>
      </w:pPr>
      <w:rPr>
        <w:rFonts w:hint="default"/>
        <w:lang w:val="zh-CN" w:eastAsia="zh-CN" w:bidi="zh-CN"/>
      </w:rPr>
    </w:lvl>
    <w:lvl w:ilvl="1" w:tplc="C20AA4D6">
      <w:start w:val="1"/>
      <w:numFmt w:val="decimal"/>
      <w:lvlText w:val="%1.%2"/>
      <w:lvlJc w:val="left"/>
      <w:pPr>
        <w:ind w:left="418" w:hanging="584"/>
        <w:jc w:val="left"/>
      </w:pPr>
      <w:rPr>
        <w:rFonts w:hint="default"/>
        <w:lang w:val="zh-CN" w:eastAsia="zh-CN" w:bidi="zh-CN"/>
      </w:rPr>
    </w:lvl>
    <w:lvl w:ilvl="2" w:tplc="55D8D942">
      <w:start w:val="7"/>
      <w:numFmt w:val="decimal"/>
      <w:lvlText w:val="%1.%2.%3"/>
      <w:lvlJc w:val="left"/>
      <w:pPr>
        <w:ind w:left="418" w:hanging="584"/>
        <w:jc w:val="left"/>
      </w:pPr>
      <w:rPr>
        <w:rFonts w:ascii="宋体" w:eastAsia="宋体" w:hAnsi="宋体" w:cs="宋体" w:hint="default"/>
        <w:b/>
        <w:bCs/>
        <w:w w:val="99"/>
        <w:sz w:val="21"/>
        <w:szCs w:val="21"/>
        <w:lang w:val="zh-CN" w:eastAsia="zh-CN" w:bidi="zh-CN"/>
      </w:rPr>
    </w:lvl>
    <w:lvl w:ilvl="3" w:tplc="73981560">
      <w:numFmt w:val="bullet"/>
      <w:lvlText w:val="•"/>
      <w:lvlJc w:val="left"/>
      <w:pPr>
        <w:ind w:left="3487" w:hanging="584"/>
      </w:pPr>
      <w:rPr>
        <w:rFonts w:hint="default"/>
        <w:lang w:val="zh-CN" w:eastAsia="zh-CN" w:bidi="zh-CN"/>
      </w:rPr>
    </w:lvl>
    <w:lvl w:ilvl="4" w:tplc="703ADF5C">
      <w:numFmt w:val="bullet"/>
      <w:lvlText w:val="•"/>
      <w:lvlJc w:val="left"/>
      <w:pPr>
        <w:ind w:left="4510" w:hanging="584"/>
      </w:pPr>
      <w:rPr>
        <w:rFonts w:hint="default"/>
        <w:lang w:val="zh-CN" w:eastAsia="zh-CN" w:bidi="zh-CN"/>
      </w:rPr>
    </w:lvl>
    <w:lvl w:ilvl="5" w:tplc="53429574">
      <w:numFmt w:val="bullet"/>
      <w:lvlText w:val="•"/>
      <w:lvlJc w:val="left"/>
      <w:pPr>
        <w:ind w:left="5533" w:hanging="584"/>
      </w:pPr>
      <w:rPr>
        <w:rFonts w:hint="default"/>
        <w:lang w:val="zh-CN" w:eastAsia="zh-CN" w:bidi="zh-CN"/>
      </w:rPr>
    </w:lvl>
    <w:lvl w:ilvl="6" w:tplc="25021586">
      <w:numFmt w:val="bullet"/>
      <w:lvlText w:val="•"/>
      <w:lvlJc w:val="left"/>
      <w:pPr>
        <w:ind w:left="6555" w:hanging="584"/>
      </w:pPr>
      <w:rPr>
        <w:rFonts w:hint="default"/>
        <w:lang w:val="zh-CN" w:eastAsia="zh-CN" w:bidi="zh-CN"/>
      </w:rPr>
    </w:lvl>
    <w:lvl w:ilvl="7" w:tplc="F37C5CB2">
      <w:numFmt w:val="bullet"/>
      <w:lvlText w:val="•"/>
      <w:lvlJc w:val="left"/>
      <w:pPr>
        <w:ind w:left="7578" w:hanging="584"/>
      </w:pPr>
      <w:rPr>
        <w:rFonts w:hint="default"/>
        <w:lang w:val="zh-CN" w:eastAsia="zh-CN" w:bidi="zh-CN"/>
      </w:rPr>
    </w:lvl>
    <w:lvl w:ilvl="8" w:tplc="738C3846">
      <w:numFmt w:val="bullet"/>
      <w:lvlText w:val="•"/>
      <w:lvlJc w:val="left"/>
      <w:pPr>
        <w:ind w:left="8601" w:hanging="584"/>
      </w:pPr>
      <w:rPr>
        <w:rFonts w:hint="default"/>
        <w:lang w:val="zh-CN" w:eastAsia="zh-CN" w:bidi="zh-CN"/>
      </w:rPr>
    </w:lvl>
  </w:abstractNum>
  <w:abstractNum w:abstractNumId="744" w15:restartNumberingAfterBreak="0">
    <w:nsid w:val="638A75B9"/>
    <w:multiLevelType w:val="hybridMultilevel"/>
    <w:tmpl w:val="09323220"/>
    <w:lvl w:ilvl="0" w:tplc="483A432A">
      <w:start w:val="6"/>
      <w:numFmt w:val="decimal"/>
      <w:lvlText w:val="%1"/>
      <w:lvlJc w:val="left"/>
      <w:pPr>
        <w:ind w:left="1158" w:hanging="318"/>
        <w:jc w:val="left"/>
      </w:pPr>
      <w:rPr>
        <w:rFonts w:hint="default"/>
        <w:lang w:val="zh-CN" w:eastAsia="zh-CN" w:bidi="zh-CN"/>
      </w:rPr>
    </w:lvl>
    <w:lvl w:ilvl="1" w:tplc="2F9CC88E">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692C26BA">
      <w:numFmt w:val="bullet"/>
      <w:lvlText w:val="•"/>
      <w:lvlJc w:val="left"/>
      <w:pPr>
        <w:ind w:left="3057" w:hanging="318"/>
      </w:pPr>
      <w:rPr>
        <w:rFonts w:hint="default"/>
        <w:lang w:val="zh-CN" w:eastAsia="zh-CN" w:bidi="zh-CN"/>
      </w:rPr>
    </w:lvl>
    <w:lvl w:ilvl="3" w:tplc="2AE883D4">
      <w:numFmt w:val="bullet"/>
      <w:lvlText w:val="•"/>
      <w:lvlJc w:val="left"/>
      <w:pPr>
        <w:ind w:left="4005" w:hanging="318"/>
      </w:pPr>
      <w:rPr>
        <w:rFonts w:hint="default"/>
        <w:lang w:val="zh-CN" w:eastAsia="zh-CN" w:bidi="zh-CN"/>
      </w:rPr>
    </w:lvl>
    <w:lvl w:ilvl="4" w:tplc="CC0EE492">
      <w:numFmt w:val="bullet"/>
      <w:lvlText w:val="•"/>
      <w:lvlJc w:val="left"/>
      <w:pPr>
        <w:ind w:left="4954" w:hanging="318"/>
      </w:pPr>
      <w:rPr>
        <w:rFonts w:hint="default"/>
        <w:lang w:val="zh-CN" w:eastAsia="zh-CN" w:bidi="zh-CN"/>
      </w:rPr>
    </w:lvl>
    <w:lvl w:ilvl="5" w:tplc="39DAAD88">
      <w:numFmt w:val="bullet"/>
      <w:lvlText w:val="•"/>
      <w:lvlJc w:val="left"/>
      <w:pPr>
        <w:ind w:left="5903" w:hanging="318"/>
      </w:pPr>
      <w:rPr>
        <w:rFonts w:hint="default"/>
        <w:lang w:val="zh-CN" w:eastAsia="zh-CN" w:bidi="zh-CN"/>
      </w:rPr>
    </w:lvl>
    <w:lvl w:ilvl="6" w:tplc="E85A8566">
      <w:numFmt w:val="bullet"/>
      <w:lvlText w:val="•"/>
      <w:lvlJc w:val="left"/>
      <w:pPr>
        <w:ind w:left="6851" w:hanging="318"/>
      </w:pPr>
      <w:rPr>
        <w:rFonts w:hint="default"/>
        <w:lang w:val="zh-CN" w:eastAsia="zh-CN" w:bidi="zh-CN"/>
      </w:rPr>
    </w:lvl>
    <w:lvl w:ilvl="7" w:tplc="37DA3454">
      <w:numFmt w:val="bullet"/>
      <w:lvlText w:val="•"/>
      <w:lvlJc w:val="left"/>
      <w:pPr>
        <w:ind w:left="7800" w:hanging="318"/>
      </w:pPr>
      <w:rPr>
        <w:rFonts w:hint="default"/>
        <w:lang w:val="zh-CN" w:eastAsia="zh-CN" w:bidi="zh-CN"/>
      </w:rPr>
    </w:lvl>
    <w:lvl w:ilvl="8" w:tplc="E9E48720">
      <w:numFmt w:val="bullet"/>
      <w:lvlText w:val="•"/>
      <w:lvlJc w:val="left"/>
      <w:pPr>
        <w:ind w:left="8749" w:hanging="318"/>
      </w:pPr>
      <w:rPr>
        <w:rFonts w:hint="default"/>
        <w:lang w:val="zh-CN" w:eastAsia="zh-CN" w:bidi="zh-CN"/>
      </w:rPr>
    </w:lvl>
  </w:abstractNum>
  <w:abstractNum w:abstractNumId="745" w15:restartNumberingAfterBreak="0">
    <w:nsid w:val="63992427"/>
    <w:multiLevelType w:val="hybridMultilevel"/>
    <w:tmpl w:val="31F02902"/>
    <w:lvl w:ilvl="0" w:tplc="AC085832">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FF4EECC4">
      <w:numFmt w:val="bullet"/>
      <w:lvlText w:val="•"/>
      <w:lvlJc w:val="left"/>
      <w:pPr>
        <w:ind w:left="1442" w:hanging="529"/>
      </w:pPr>
      <w:rPr>
        <w:rFonts w:hint="default"/>
        <w:lang w:val="zh-CN" w:eastAsia="zh-CN" w:bidi="zh-CN"/>
      </w:rPr>
    </w:lvl>
    <w:lvl w:ilvl="2" w:tplc="C63A25F6">
      <w:numFmt w:val="bullet"/>
      <w:lvlText w:val="•"/>
      <w:lvlJc w:val="left"/>
      <w:pPr>
        <w:ind w:left="2465" w:hanging="529"/>
      </w:pPr>
      <w:rPr>
        <w:rFonts w:hint="default"/>
        <w:lang w:val="zh-CN" w:eastAsia="zh-CN" w:bidi="zh-CN"/>
      </w:rPr>
    </w:lvl>
    <w:lvl w:ilvl="3" w:tplc="D500F992">
      <w:numFmt w:val="bullet"/>
      <w:lvlText w:val="•"/>
      <w:lvlJc w:val="left"/>
      <w:pPr>
        <w:ind w:left="3487" w:hanging="529"/>
      </w:pPr>
      <w:rPr>
        <w:rFonts w:hint="default"/>
        <w:lang w:val="zh-CN" w:eastAsia="zh-CN" w:bidi="zh-CN"/>
      </w:rPr>
    </w:lvl>
    <w:lvl w:ilvl="4" w:tplc="FC5E4322">
      <w:numFmt w:val="bullet"/>
      <w:lvlText w:val="•"/>
      <w:lvlJc w:val="left"/>
      <w:pPr>
        <w:ind w:left="4510" w:hanging="529"/>
      </w:pPr>
      <w:rPr>
        <w:rFonts w:hint="default"/>
        <w:lang w:val="zh-CN" w:eastAsia="zh-CN" w:bidi="zh-CN"/>
      </w:rPr>
    </w:lvl>
    <w:lvl w:ilvl="5" w:tplc="D8224396">
      <w:numFmt w:val="bullet"/>
      <w:lvlText w:val="•"/>
      <w:lvlJc w:val="left"/>
      <w:pPr>
        <w:ind w:left="5533" w:hanging="529"/>
      </w:pPr>
      <w:rPr>
        <w:rFonts w:hint="default"/>
        <w:lang w:val="zh-CN" w:eastAsia="zh-CN" w:bidi="zh-CN"/>
      </w:rPr>
    </w:lvl>
    <w:lvl w:ilvl="6" w:tplc="1C066F8C">
      <w:numFmt w:val="bullet"/>
      <w:lvlText w:val="•"/>
      <w:lvlJc w:val="left"/>
      <w:pPr>
        <w:ind w:left="6555" w:hanging="529"/>
      </w:pPr>
      <w:rPr>
        <w:rFonts w:hint="default"/>
        <w:lang w:val="zh-CN" w:eastAsia="zh-CN" w:bidi="zh-CN"/>
      </w:rPr>
    </w:lvl>
    <w:lvl w:ilvl="7" w:tplc="BDA05310">
      <w:numFmt w:val="bullet"/>
      <w:lvlText w:val="•"/>
      <w:lvlJc w:val="left"/>
      <w:pPr>
        <w:ind w:left="7578" w:hanging="529"/>
      </w:pPr>
      <w:rPr>
        <w:rFonts w:hint="default"/>
        <w:lang w:val="zh-CN" w:eastAsia="zh-CN" w:bidi="zh-CN"/>
      </w:rPr>
    </w:lvl>
    <w:lvl w:ilvl="8" w:tplc="ED267EC6">
      <w:numFmt w:val="bullet"/>
      <w:lvlText w:val="•"/>
      <w:lvlJc w:val="left"/>
      <w:pPr>
        <w:ind w:left="8601" w:hanging="529"/>
      </w:pPr>
      <w:rPr>
        <w:rFonts w:hint="default"/>
        <w:lang w:val="zh-CN" w:eastAsia="zh-CN" w:bidi="zh-CN"/>
      </w:rPr>
    </w:lvl>
  </w:abstractNum>
  <w:abstractNum w:abstractNumId="746" w15:restartNumberingAfterBreak="0">
    <w:nsid w:val="63D650B4"/>
    <w:multiLevelType w:val="hybridMultilevel"/>
    <w:tmpl w:val="8B90809E"/>
    <w:lvl w:ilvl="0" w:tplc="D6A4E8B4">
      <w:start w:val="2"/>
      <w:numFmt w:val="decimal"/>
      <w:lvlText w:val="%1"/>
      <w:lvlJc w:val="left"/>
      <w:pPr>
        <w:ind w:left="1158" w:hanging="318"/>
        <w:jc w:val="left"/>
      </w:pPr>
      <w:rPr>
        <w:rFonts w:hint="default"/>
        <w:lang w:val="zh-CN" w:eastAsia="zh-CN" w:bidi="zh-CN"/>
      </w:rPr>
    </w:lvl>
    <w:lvl w:ilvl="1" w:tplc="C13A8612">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CFF47C1C">
      <w:start w:val="1"/>
      <w:numFmt w:val="decimal"/>
      <w:lvlText w:val="%1.%2.%3"/>
      <w:lvlJc w:val="left"/>
      <w:pPr>
        <w:ind w:left="1423" w:hanging="584"/>
        <w:jc w:val="left"/>
      </w:pPr>
      <w:rPr>
        <w:rFonts w:hint="default"/>
        <w:b/>
        <w:bCs/>
        <w:w w:val="99"/>
        <w:lang w:val="zh-CN" w:eastAsia="zh-CN" w:bidi="zh-CN"/>
      </w:rPr>
    </w:lvl>
    <w:lvl w:ilvl="3" w:tplc="B9941524">
      <w:numFmt w:val="bullet"/>
      <w:lvlText w:val="•"/>
      <w:lvlJc w:val="left"/>
      <w:pPr>
        <w:ind w:left="3470" w:hanging="584"/>
      </w:pPr>
      <w:rPr>
        <w:rFonts w:hint="default"/>
        <w:lang w:val="zh-CN" w:eastAsia="zh-CN" w:bidi="zh-CN"/>
      </w:rPr>
    </w:lvl>
    <w:lvl w:ilvl="4" w:tplc="59EE5EB0">
      <w:numFmt w:val="bullet"/>
      <w:lvlText w:val="•"/>
      <w:lvlJc w:val="left"/>
      <w:pPr>
        <w:ind w:left="4495" w:hanging="584"/>
      </w:pPr>
      <w:rPr>
        <w:rFonts w:hint="default"/>
        <w:lang w:val="zh-CN" w:eastAsia="zh-CN" w:bidi="zh-CN"/>
      </w:rPr>
    </w:lvl>
    <w:lvl w:ilvl="5" w:tplc="F3769D40">
      <w:numFmt w:val="bullet"/>
      <w:lvlText w:val="•"/>
      <w:lvlJc w:val="left"/>
      <w:pPr>
        <w:ind w:left="5520" w:hanging="584"/>
      </w:pPr>
      <w:rPr>
        <w:rFonts w:hint="default"/>
        <w:lang w:val="zh-CN" w:eastAsia="zh-CN" w:bidi="zh-CN"/>
      </w:rPr>
    </w:lvl>
    <w:lvl w:ilvl="6" w:tplc="349CCC22">
      <w:numFmt w:val="bullet"/>
      <w:lvlText w:val="•"/>
      <w:lvlJc w:val="left"/>
      <w:pPr>
        <w:ind w:left="6545" w:hanging="584"/>
      </w:pPr>
      <w:rPr>
        <w:rFonts w:hint="default"/>
        <w:lang w:val="zh-CN" w:eastAsia="zh-CN" w:bidi="zh-CN"/>
      </w:rPr>
    </w:lvl>
    <w:lvl w:ilvl="7" w:tplc="E8F49EBA">
      <w:numFmt w:val="bullet"/>
      <w:lvlText w:val="•"/>
      <w:lvlJc w:val="left"/>
      <w:pPr>
        <w:ind w:left="7570" w:hanging="584"/>
      </w:pPr>
      <w:rPr>
        <w:rFonts w:hint="default"/>
        <w:lang w:val="zh-CN" w:eastAsia="zh-CN" w:bidi="zh-CN"/>
      </w:rPr>
    </w:lvl>
    <w:lvl w:ilvl="8" w:tplc="B9A0D854">
      <w:numFmt w:val="bullet"/>
      <w:lvlText w:val="•"/>
      <w:lvlJc w:val="left"/>
      <w:pPr>
        <w:ind w:left="8596" w:hanging="584"/>
      </w:pPr>
      <w:rPr>
        <w:rFonts w:hint="default"/>
        <w:lang w:val="zh-CN" w:eastAsia="zh-CN" w:bidi="zh-CN"/>
      </w:rPr>
    </w:lvl>
  </w:abstractNum>
  <w:abstractNum w:abstractNumId="747" w15:restartNumberingAfterBreak="0">
    <w:nsid w:val="63DF2B27"/>
    <w:multiLevelType w:val="hybridMultilevel"/>
    <w:tmpl w:val="6174F968"/>
    <w:lvl w:ilvl="0" w:tplc="BF860498">
      <w:start w:val="7"/>
      <w:numFmt w:val="decimal"/>
      <w:lvlText w:val="%1"/>
      <w:lvlJc w:val="left"/>
      <w:pPr>
        <w:ind w:left="1158" w:hanging="318"/>
        <w:jc w:val="left"/>
      </w:pPr>
      <w:rPr>
        <w:rFonts w:hint="default"/>
        <w:lang w:val="zh-CN" w:eastAsia="zh-CN" w:bidi="zh-CN"/>
      </w:rPr>
    </w:lvl>
    <w:lvl w:ilvl="1" w:tplc="B678B338">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D840A66E">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524A4A74">
      <w:numFmt w:val="bullet"/>
      <w:lvlText w:val="•"/>
      <w:lvlJc w:val="left"/>
      <w:pPr>
        <w:ind w:left="3439" w:hanging="531"/>
      </w:pPr>
      <w:rPr>
        <w:rFonts w:hint="default"/>
        <w:lang w:val="zh-CN" w:eastAsia="zh-CN" w:bidi="zh-CN"/>
      </w:rPr>
    </w:lvl>
    <w:lvl w:ilvl="4" w:tplc="956CC158">
      <w:numFmt w:val="bullet"/>
      <w:lvlText w:val="•"/>
      <w:lvlJc w:val="left"/>
      <w:pPr>
        <w:ind w:left="4468" w:hanging="531"/>
      </w:pPr>
      <w:rPr>
        <w:rFonts w:hint="default"/>
        <w:lang w:val="zh-CN" w:eastAsia="zh-CN" w:bidi="zh-CN"/>
      </w:rPr>
    </w:lvl>
    <w:lvl w:ilvl="5" w:tplc="E69ED5AC">
      <w:numFmt w:val="bullet"/>
      <w:lvlText w:val="•"/>
      <w:lvlJc w:val="left"/>
      <w:pPr>
        <w:ind w:left="5498" w:hanging="531"/>
      </w:pPr>
      <w:rPr>
        <w:rFonts w:hint="default"/>
        <w:lang w:val="zh-CN" w:eastAsia="zh-CN" w:bidi="zh-CN"/>
      </w:rPr>
    </w:lvl>
    <w:lvl w:ilvl="6" w:tplc="BBB8FDAA">
      <w:numFmt w:val="bullet"/>
      <w:lvlText w:val="•"/>
      <w:lvlJc w:val="left"/>
      <w:pPr>
        <w:ind w:left="6528" w:hanging="531"/>
      </w:pPr>
      <w:rPr>
        <w:rFonts w:hint="default"/>
        <w:lang w:val="zh-CN" w:eastAsia="zh-CN" w:bidi="zh-CN"/>
      </w:rPr>
    </w:lvl>
    <w:lvl w:ilvl="7" w:tplc="0E041AE2">
      <w:numFmt w:val="bullet"/>
      <w:lvlText w:val="•"/>
      <w:lvlJc w:val="left"/>
      <w:pPr>
        <w:ind w:left="7557" w:hanging="531"/>
      </w:pPr>
      <w:rPr>
        <w:rFonts w:hint="default"/>
        <w:lang w:val="zh-CN" w:eastAsia="zh-CN" w:bidi="zh-CN"/>
      </w:rPr>
    </w:lvl>
    <w:lvl w:ilvl="8" w:tplc="AD8EA9CE">
      <w:numFmt w:val="bullet"/>
      <w:lvlText w:val="•"/>
      <w:lvlJc w:val="left"/>
      <w:pPr>
        <w:ind w:left="8587" w:hanging="531"/>
      </w:pPr>
      <w:rPr>
        <w:rFonts w:hint="default"/>
        <w:lang w:val="zh-CN" w:eastAsia="zh-CN" w:bidi="zh-CN"/>
      </w:rPr>
    </w:lvl>
  </w:abstractNum>
  <w:abstractNum w:abstractNumId="748" w15:restartNumberingAfterBreak="0">
    <w:nsid w:val="63E632C9"/>
    <w:multiLevelType w:val="hybridMultilevel"/>
    <w:tmpl w:val="03B6B622"/>
    <w:lvl w:ilvl="0" w:tplc="AEAA3484">
      <w:start w:val="1"/>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11D80BC0">
      <w:numFmt w:val="bullet"/>
      <w:lvlText w:val="•"/>
      <w:lvlJc w:val="left"/>
      <w:pPr>
        <w:ind w:left="2018" w:hanging="213"/>
      </w:pPr>
      <w:rPr>
        <w:rFonts w:hint="default"/>
        <w:lang w:val="zh-CN" w:eastAsia="zh-CN" w:bidi="zh-CN"/>
      </w:rPr>
    </w:lvl>
    <w:lvl w:ilvl="2" w:tplc="19FA1552">
      <w:numFmt w:val="bullet"/>
      <w:lvlText w:val="•"/>
      <w:lvlJc w:val="left"/>
      <w:pPr>
        <w:ind w:left="2977" w:hanging="213"/>
      </w:pPr>
      <w:rPr>
        <w:rFonts w:hint="default"/>
        <w:lang w:val="zh-CN" w:eastAsia="zh-CN" w:bidi="zh-CN"/>
      </w:rPr>
    </w:lvl>
    <w:lvl w:ilvl="3" w:tplc="46F81B64">
      <w:numFmt w:val="bullet"/>
      <w:lvlText w:val="•"/>
      <w:lvlJc w:val="left"/>
      <w:pPr>
        <w:ind w:left="3935" w:hanging="213"/>
      </w:pPr>
      <w:rPr>
        <w:rFonts w:hint="default"/>
        <w:lang w:val="zh-CN" w:eastAsia="zh-CN" w:bidi="zh-CN"/>
      </w:rPr>
    </w:lvl>
    <w:lvl w:ilvl="4" w:tplc="149E572C">
      <w:numFmt w:val="bullet"/>
      <w:lvlText w:val="•"/>
      <w:lvlJc w:val="left"/>
      <w:pPr>
        <w:ind w:left="4894" w:hanging="213"/>
      </w:pPr>
      <w:rPr>
        <w:rFonts w:hint="default"/>
        <w:lang w:val="zh-CN" w:eastAsia="zh-CN" w:bidi="zh-CN"/>
      </w:rPr>
    </w:lvl>
    <w:lvl w:ilvl="5" w:tplc="BF12B76E">
      <w:numFmt w:val="bullet"/>
      <w:lvlText w:val="•"/>
      <w:lvlJc w:val="left"/>
      <w:pPr>
        <w:ind w:left="5853" w:hanging="213"/>
      </w:pPr>
      <w:rPr>
        <w:rFonts w:hint="default"/>
        <w:lang w:val="zh-CN" w:eastAsia="zh-CN" w:bidi="zh-CN"/>
      </w:rPr>
    </w:lvl>
    <w:lvl w:ilvl="6" w:tplc="8D9C39EA">
      <w:numFmt w:val="bullet"/>
      <w:lvlText w:val="•"/>
      <w:lvlJc w:val="left"/>
      <w:pPr>
        <w:ind w:left="6811" w:hanging="213"/>
      </w:pPr>
      <w:rPr>
        <w:rFonts w:hint="default"/>
        <w:lang w:val="zh-CN" w:eastAsia="zh-CN" w:bidi="zh-CN"/>
      </w:rPr>
    </w:lvl>
    <w:lvl w:ilvl="7" w:tplc="2278BBD6">
      <w:numFmt w:val="bullet"/>
      <w:lvlText w:val="•"/>
      <w:lvlJc w:val="left"/>
      <w:pPr>
        <w:ind w:left="7770" w:hanging="213"/>
      </w:pPr>
      <w:rPr>
        <w:rFonts w:hint="default"/>
        <w:lang w:val="zh-CN" w:eastAsia="zh-CN" w:bidi="zh-CN"/>
      </w:rPr>
    </w:lvl>
    <w:lvl w:ilvl="8" w:tplc="71C03EE6">
      <w:numFmt w:val="bullet"/>
      <w:lvlText w:val="•"/>
      <w:lvlJc w:val="left"/>
      <w:pPr>
        <w:ind w:left="8729" w:hanging="213"/>
      </w:pPr>
      <w:rPr>
        <w:rFonts w:hint="default"/>
        <w:lang w:val="zh-CN" w:eastAsia="zh-CN" w:bidi="zh-CN"/>
      </w:rPr>
    </w:lvl>
  </w:abstractNum>
  <w:abstractNum w:abstractNumId="749" w15:restartNumberingAfterBreak="0">
    <w:nsid w:val="63F31FF9"/>
    <w:multiLevelType w:val="hybridMultilevel"/>
    <w:tmpl w:val="A8181764"/>
    <w:lvl w:ilvl="0" w:tplc="94BC9756">
      <w:start w:val="5"/>
      <w:numFmt w:val="decimal"/>
      <w:lvlText w:val="%1"/>
      <w:lvlJc w:val="left"/>
      <w:pPr>
        <w:ind w:left="1158" w:hanging="318"/>
        <w:jc w:val="left"/>
      </w:pPr>
      <w:rPr>
        <w:rFonts w:hint="default"/>
        <w:lang w:val="zh-CN" w:eastAsia="zh-CN" w:bidi="zh-CN"/>
      </w:rPr>
    </w:lvl>
    <w:lvl w:ilvl="1" w:tplc="2F28685A">
      <w:start w:val="4"/>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BAC6ED40">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698EDBAE">
      <w:numFmt w:val="bullet"/>
      <w:lvlText w:val="•"/>
      <w:lvlJc w:val="left"/>
      <w:pPr>
        <w:ind w:left="2538" w:hanging="531"/>
      </w:pPr>
      <w:rPr>
        <w:rFonts w:hint="default"/>
        <w:lang w:val="zh-CN" w:eastAsia="zh-CN" w:bidi="zh-CN"/>
      </w:rPr>
    </w:lvl>
    <w:lvl w:ilvl="4" w:tplc="5BEE2A58">
      <w:numFmt w:val="bullet"/>
      <w:lvlText w:val="•"/>
      <w:lvlJc w:val="left"/>
      <w:pPr>
        <w:ind w:left="3696" w:hanging="531"/>
      </w:pPr>
      <w:rPr>
        <w:rFonts w:hint="default"/>
        <w:lang w:val="zh-CN" w:eastAsia="zh-CN" w:bidi="zh-CN"/>
      </w:rPr>
    </w:lvl>
    <w:lvl w:ilvl="5" w:tplc="C0CC0828">
      <w:numFmt w:val="bullet"/>
      <w:lvlText w:val="•"/>
      <w:lvlJc w:val="left"/>
      <w:pPr>
        <w:ind w:left="4854" w:hanging="531"/>
      </w:pPr>
      <w:rPr>
        <w:rFonts w:hint="default"/>
        <w:lang w:val="zh-CN" w:eastAsia="zh-CN" w:bidi="zh-CN"/>
      </w:rPr>
    </w:lvl>
    <w:lvl w:ilvl="6" w:tplc="4978EE9C">
      <w:numFmt w:val="bullet"/>
      <w:lvlText w:val="•"/>
      <w:lvlJc w:val="left"/>
      <w:pPr>
        <w:ind w:left="6013" w:hanging="531"/>
      </w:pPr>
      <w:rPr>
        <w:rFonts w:hint="default"/>
        <w:lang w:val="zh-CN" w:eastAsia="zh-CN" w:bidi="zh-CN"/>
      </w:rPr>
    </w:lvl>
    <w:lvl w:ilvl="7" w:tplc="6C1E3F36">
      <w:numFmt w:val="bullet"/>
      <w:lvlText w:val="•"/>
      <w:lvlJc w:val="left"/>
      <w:pPr>
        <w:ind w:left="7171" w:hanging="531"/>
      </w:pPr>
      <w:rPr>
        <w:rFonts w:hint="default"/>
        <w:lang w:val="zh-CN" w:eastAsia="zh-CN" w:bidi="zh-CN"/>
      </w:rPr>
    </w:lvl>
    <w:lvl w:ilvl="8" w:tplc="783AD0E0">
      <w:numFmt w:val="bullet"/>
      <w:lvlText w:val="•"/>
      <w:lvlJc w:val="left"/>
      <w:pPr>
        <w:ind w:left="8329" w:hanging="531"/>
      </w:pPr>
      <w:rPr>
        <w:rFonts w:hint="default"/>
        <w:lang w:val="zh-CN" w:eastAsia="zh-CN" w:bidi="zh-CN"/>
      </w:rPr>
    </w:lvl>
  </w:abstractNum>
  <w:abstractNum w:abstractNumId="750" w15:restartNumberingAfterBreak="0">
    <w:nsid w:val="64252EE4"/>
    <w:multiLevelType w:val="hybridMultilevel"/>
    <w:tmpl w:val="55A2B43E"/>
    <w:lvl w:ilvl="0" w:tplc="4D1C8918">
      <w:start w:val="4"/>
      <w:numFmt w:val="decimal"/>
      <w:lvlText w:val="%1"/>
      <w:lvlJc w:val="left"/>
      <w:pPr>
        <w:ind w:left="1369" w:hanging="529"/>
        <w:jc w:val="left"/>
      </w:pPr>
      <w:rPr>
        <w:rFonts w:hint="default"/>
        <w:lang w:val="zh-CN" w:eastAsia="zh-CN" w:bidi="zh-CN"/>
      </w:rPr>
    </w:lvl>
    <w:lvl w:ilvl="1" w:tplc="F424BF82">
      <w:start w:val="4"/>
      <w:numFmt w:val="decimal"/>
      <w:lvlText w:val="%1.%2"/>
      <w:lvlJc w:val="left"/>
      <w:pPr>
        <w:ind w:left="1369" w:hanging="529"/>
        <w:jc w:val="left"/>
      </w:pPr>
      <w:rPr>
        <w:rFonts w:hint="default"/>
        <w:lang w:val="zh-CN" w:eastAsia="zh-CN" w:bidi="zh-CN"/>
      </w:rPr>
    </w:lvl>
    <w:lvl w:ilvl="2" w:tplc="9530CCD0">
      <w:start w:val="5"/>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CB28685A">
      <w:start w:val="1"/>
      <w:numFmt w:val="decimal"/>
      <w:lvlText w:val="%1.%2.%3.%4"/>
      <w:lvlJc w:val="left"/>
      <w:pPr>
        <w:ind w:left="418" w:hanging="738"/>
        <w:jc w:val="left"/>
      </w:pPr>
      <w:rPr>
        <w:rFonts w:ascii="宋体" w:eastAsia="宋体" w:hAnsi="宋体" w:cs="宋体" w:hint="default"/>
        <w:spacing w:val="-3"/>
        <w:w w:val="100"/>
        <w:sz w:val="19"/>
        <w:szCs w:val="19"/>
        <w:lang w:val="zh-CN" w:eastAsia="zh-CN" w:bidi="zh-CN"/>
      </w:rPr>
    </w:lvl>
    <w:lvl w:ilvl="4" w:tplc="CE621AA2">
      <w:numFmt w:val="bullet"/>
      <w:lvlText w:val="•"/>
      <w:lvlJc w:val="left"/>
      <w:pPr>
        <w:ind w:left="4455" w:hanging="738"/>
      </w:pPr>
      <w:rPr>
        <w:rFonts w:hint="default"/>
        <w:lang w:val="zh-CN" w:eastAsia="zh-CN" w:bidi="zh-CN"/>
      </w:rPr>
    </w:lvl>
    <w:lvl w:ilvl="5" w:tplc="3FC4B992">
      <w:numFmt w:val="bullet"/>
      <w:lvlText w:val="•"/>
      <w:lvlJc w:val="left"/>
      <w:pPr>
        <w:ind w:left="5487" w:hanging="738"/>
      </w:pPr>
      <w:rPr>
        <w:rFonts w:hint="default"/>
        <w:lang w:val="zh-CN" w:eastAsia="zh-CN" w:bidi="zh-CN"/>
      </w:rPr>
    </w:lvl>
    <w:lvl w:ilvl="6" w:tplc="A82052E4">
      <w:numFmt w:val="bullet"/>
      <w:lvlText w:val="•"/>
      <w:lvlJc w:val="left"/>
      <w:pPr>
        <w:ind w:left="6519" w:hanging="738"/>
      </w:pPr>
      <w:rPr>
        <w:rFonts w:hint="default"/>
        <w:lang w:val="zh-CN" w:eastAsia="zh-CN" w:bidi="zh-CN"/>
      </w:rPr>
    </w:lvl>
    <w:lvl w:ilvl="7" w:tplc="58D093EE">
      <w:numFmt w:val="bullet"/>
      <w:lvlText w:val="•"/>
      <w:lvlJc w:val="left"/>
      <w:pPr>
        <w:ind w:left="7550" w:hanging="738"/>
      </w:pPr>
      <w:rPr>
        <w:rFonts w:hint="default"/>
        <w:lang w:val="zh-CN" w:eastAsia="zh-CN" w:bidi="zh-CN"/>
      </w:rPr>
    </w:lvl>
    <w:lvl w:ilvl="8" w:tplc="838614DE">
      <w:numFmt w:val="bullet"/>
      <w:lvlText w:val="•"/>
      <w:lvlJc w:val="left"/>
      <w:pPr>
        <w:ind w:left="8582" w:hanging="738"/>
      </w:pPr>
      <w:rPr>
        <w:rFonts w:hint="default"/>
        <w:lang w:val="zh-CN" w:eastAsia="zh-CN" w:bidi="zh-CN"/>
      </w:rPr>
    </w:lvl>
  </w:abstractNum>
  <w:abstractNum w:abstractNumId="751" w15:restartNumberingAfterBreak="0">
    <w:nsid w:val="64586068"/>
    <w:multiLevelType w:val="hybridMultilevel"/>
    <w:tmpl w:val="5DE6AF94"/>
    <w:lvl w:ilvl="0" w:tplc="32F8BCBE">
      <w:start w:val="5"/>
      <w:numFmt w:val="decimal"/>
      <w:lvlText w:val="%1"/>
      <w:lvlJc w:val="left"/>
      <w:pPr>
        <w:ind w:left="1265" w:hanging="425"/>
        <w:jc w:val="left"/>
      </w:pPr>
      <w:rPr>
        <w:rFonts w:hint="default"/>
        <w:lang w:val="zh-CN" w:eastAsia="zh-CN" w:bidi="zh-CN"/>
      </w:rPr>
    </w:lvl>
    <w:lvl w:ilvl="1" w:tplc="4948A516">
      <w:start w:val="16"/>
      <w:numFmt w:val="decimal"/>
      <w:lvlText w:val="%1.%2"/>
      <w:lvlJc w:val="left"/>
      <w:pPr>
        <w:ind w:left="1265" w:hanging="425"/>
        <w:jc w:val="left"/>
      </w:pPr>
      <w:rPr>
        <w:rFonts w:ascii="宋体" w:eastAsia="宋体" w:hAnsi="宋体" w:cs="宋体" w:hint="default"/>
        <w:b/>
        <w:bCs/>
        <w:w w:val="99"/>
        <w:sz w:val="19"/>
        <w:szCs w:val="19"/>
        <w:lang w:val="zh-CN" w:eastAsia="zh-CN" w:bidi="zh-CN"/>
      </w:rPr>
    </w:lvl>
    <w:lvl w:ilvl="2" w:tplc="DF9E30A8">
      <w:start w:val="1"/>
      <w:numFmt w:val="decimal"/>
      <w:lvlText w:val="%1.%2.%3"/>
      <w:lvlJc w:val="left"/>
      <w:pPr>
        <w:ind w:left="838" w:hanging="637"/>
        <w:jc w:val="left"/>
      </w:pPr>
      <w:rPr>
        <w:rFonts w:ascii="宋体" w:eastAsia="宋体" w:hAnsi="宋体" w:cs="宋体" w:hint="default"/>
        <w:b/>
        <w:bCs/>
        <w:w w:val="99"/>
        <w:sz w:val="19"/>
        <w:szCs w:val="19"/>
        <w:lang w:val="zh-CN" w:eastAsia="zh-CN" w:bidi="zh-CN"/>
      </w:rPr>
    </w:lvl>
    <w:lvl w:ilvl="3" w:tplc="E7BEFA2A">
      <w:numFmt w:val="bullet"/>
      <w:lvlText w:val="•"/>
      <w:lvlJc w:val="left"/>
      <w:pPr>
        <w:ind w:left="2625" w:hanging="637"/>
      </w:pPr>
      <w:rPr>
        <w:rFonts w:hint="default"/>
        <w:lang w:val="zh-CN" w:eastAsia="zh-CN" w:bidi="zh-CN"/>
      </w:rPr>
    </w:lvl>
    <w:lvl w:ilvl="4" w:tplc="A21E0658">
      <w:numFmt w:val="bullet"/>
      <w:lvlText w:val="•"/>
      <w:lvlJc w:val="left"/>
      <w:pPr>
        <w:ind w:left="3771" w:hanging="637"/>
      </w:pPr>
      <w:rPr>
        <w:rFonts w:hint="default"/>
        <w:lang w:val="zh-CN" w:eastAsia="zh-CN" w:bidi="zh-CN"/>
      </w:rPr>
    </w:lvl>
    <w:lvl w:ilvl="5" w:tplc="C770A23A">
      <w:numFmt w:val="bullet"/>
      <w:lvlText w:val="•"/>
      <w:lvlJc w:val="left"/>
      <w:pPr>
        <w:ind w:left="4917" w:hanging="637"/>
      </w:pPr>
      <w:rPr>
        <w:rFonts w:hint="default"/>
        <w:lang w:val="zh-CN" w:eastAsia="zh-CN" w:bidi="zh-CN"/>
      </w:rPr>
    </w:lvl>
    <w:lvl w:ilvl="6" w:tplc="00C868A8">
      <w:numFmt w:val="bullet"/>
      <w:lvlText w:val="•"/>
      <w:lvlJc w:val="left"/>
      <w:pPr>
        <w:ind w:left="6063" w:hanging="637"/>
      </w:pPr>
      <w:rPr>
        <w:rFonts w:hint="default"/>
        <w:lang w:val="zh-CN" w:eastAsia="zh-CN" w:bidi="zh-CN"/>
      </w:rPr>
    </w:lvl>
    <w:lvl w:ilvl="7" w:tplc="8B8600E0">
      <w:numFmt w:val="bullet"/>
      <w:lvlText w:val="•"/>
      <w:lvlJc w:val="left"/>
      <w:pPr>
        <w:ind w:left="7209" w:hanging="637"/>
      </w:pPr>
      <w:rPr>
        <w:rFonts w:hint="default"/>
        <w:lang w:val="zh-CN" w:eastAsia="zh-CN" w:bidi="zh-CN"/>
      </w:rPr>
    </w:lvl>
    <w:lvl w:ilvl="8" w:tplc="08A4EF46">
      <w:numFmt w:val="bullet"/>
      <w:lvlText w:val="•"/>
      <w:lvlJc w:val="left"/>
      <w:pPr>
        <w:ind w:left="8354" w:hanging="637"/>
      </w:pPr>
      <w:rPr>
        <w:rFonts w:hint="default"/>
        <w:lang w:val="zh-CN" w:eastAsia="zh-CN" w:bidi="zh-CN"/>
      </w:rPr>
    </w:lvl>
  </w:abstractNum>
  <w:abstractNum w:abstractNumId="752" w15:restartNumberingAfterBreak="0">
    <w:nsid w:val="646B2530"/>
    <w:multiLevelType w:val="hybridMultilevel"/>
    <w:tmpl w:val="C1A8EE86"/>
    <w:lvl w:ilvl="0" w:tplc="54721A7C">
      <w:start w:val="5"/>
      <w:numFmt w:val="decimal"/>
      <w:lvlText w:val="%1"/>
      <w:lvlJc w:val="left"/>
      <w:pPr>
        <w:ind w:left="418" w:hanging="531"/>
        <w:jc w:val="left"/>
      </w:pPr>
      <w:rPr>
        <w:rFonts w:hint="default"/>
        <w:lang w:val="zh-CN" w:eastAsia="zh-CN" w:bidi="zh-CN"/>
      </w:rPr>
    </w:lvl>
    <w:lvl w:ilvl="1" w:tplc="649E6386">
      <w:start w:val="2"/>
      <w:numFmt w:val="decimal"/>
      <w:lvlText w:val="%1.%2"/>
      <w:lvlJc w:val="left"/>
      <w:pPr>
        <w:ind w:left="418" w:hanging="531"/>
        <w:jc w:val="left"/>
      </w:pPr>
      <w:rPr>
        <w:rFonts w:hint="default"/>
        <w:lang w:val="zh-CN" w:eastAsia="zh-CN" w:bidi="zh-CN"/>
      </w:rPr>
    </w:lvl>
    <w:lvl w:ilvl="2" w:tplc="8FF65C6E">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45E005CC">
      <w:numFmt w:val="bullet"/>
      <w:lvlText w:val="•"/>
      <w:lvlJc w:val="left"/>
      <w:pPr>
        <w:ind w:left="3487" w:hanging="531"/>
      </w:pPr>
      <w:rPr>
        <w:rFonts w:hint="default"/>
        <w:lang w:val="zh-CN" w:eastAsia="zh-CN" w:bidi="zh-CN"/>
      </w:rPr>
    </w:lvl>
    <w:lvl w:ilvl="4" w:tplc="C31C85F6">
      <w:numFmt w:val="bullet"/>
      <w:lvlText w:val="•"/>
      <w:lvlJc w:val="left"/>
      <w:pPr>
        <w:ind w:left="4510" w:hanging="531"/>
      </w:pPr>
      <w:rPr>
        <w:rFonts w:hint="default"/>
        <w:lang w:val="zh-CN" w:eastAsia="zh-CN" w:bidi="zh-CN"/>
      </w:rPr>
    </w:lvl>
    <w:lvl w:ilvl="5" w:tplc="A858B0D2">
      <w:numFmt w:val="bullet"/>
      <w:lvlText w:val="•"/>
      <w:lvlJc w:val="left"/>
      <w:pPr>
        <w:ind w:left="5533" w:hanging="531"/>
      </w:pPr>
      <w:rPr>
        <w:rFonts w:hint="default"/>
        <w:lang w:val="zh-CN" w:eastAsia="zh-CN" w:bidi="zh-CN"/>
      </w:rPr>
    </w:lvl>
    <w:lvl w:ilvl="6" w:tplc="0ADC016A">
      <w:numFmt w:val="bullet"/>
      <w:lvlText w:val="•"/>
      <w:lvlJc w:val="left"/>
      <w:pPr>
        <w:ind w:left="6555" w:hanging="531"/>
      </w:pPr>
      <w:rPr>
        <w:rFonts w:hint="default"/>
        <w:lang w:val="zh-CN" w:eastAsia="zh-CN" w:bidi="zh-CN"/>
      </w:rPr>
    </w:lvl>
    <w:lvl w:ilvl="7" w:tplc="8B4C8C5C">
      <w:numFmt w:val="bullet"/>
      <w:lvlText w:val="•"/>
      <w:lvlJc w:val="left"/>
      <w:pPr>
        <w:ind w:left="7578" w:hanging="531"/>
      </w:pPr>
      <w:rPr>
        <w:rFonts w:hint="default"/>
        <w:lang w:val="zh-CN" w:eastAsia="zh-CN" w:bidi="zh-CN"/>
      </w:rPr>
    </w:lvl>
    <w:lvl w:ilvl="8" w:tplc="206EA470">
      <w:numFmt w:val="bullet"/>
      <w:lvlText w:val="•"/>
      <w:lvlJc w:val="left"/>
      <w:pPr>
        <w:ind w:left="8601" w:hanging="531"/>
      </w:pPr>
      <w:rPr>
        <w:rFonts w:hint="default"/>
        <w:lang w:val="zh-CN" w:eastAsia="zh-CN" w:bidi="zh-CN"/>
      </w:rPr>
    </w:lvl>
  </w:abstractNum>
  <w:abstractNum w:abstractNumId="753" w15:restartNumberingAfterBreak="0">
    <w:nsid w:val="6472412F"/>
    <w:multiLevelType w:val="hybridMultilevel"/>
    <w:tmpl w:val="B0183F58"/>
    <w:lvl w:ilvl="0" w:tplc="5F6039AC">
      <w:start w:val="1"/>
      <w:numFmt w:val="lowerLetter"/>
      <w:lvlText w:val="%1）"/>
      <w:lvlJc w:val="left"/>
      <w:pPr>
        <w:ind w:left="418" w:hanging="318"/>
        <w:jc w:val="left"/>
      </w:pPr>
      <w:rPr>
        <w:rFonts w:ascii="宋体" w:eastAsia="宋体" w:hAnsi="宋体" w:cs="宋体" w:hint="default"/>
        <w:w w:val="100"/>
        <w:sz w:val="19"/>
        <w:szCs w:val="19"/>
        <w:lang w:val="zh-CN" w:eastAsia="zh-CN" w:bidi="zh-CN"/>
      </w:rPr>
    </w:lvl>
    <w:lvl w:ilvl="1" w:tplc="FC9EF8F2">
      <w:numFmt w:val="bullet"/>
      <w:lvlText w:val="•"/>
      <w:lvlJc w:val="left"/>
      <w:pPr>
        <w:ind w:left="1442" w:hanging="318"/>
      </w:pPr>
      <w:rPr>
        <w:rFonts w:hint="default"/>
        <w:lang w:val="zh-CN" w:eastAsia="zh-CN" w:bidi="zh-CN"/>
      </w:rPr>
    </w:lvl>
    <w:lvl w:ilvl="2" w:tplc="09D6BB70">
      <w:numFmt w:val="bullet"/>
      <w:lvlText w:val="•"/>
      <w:lvlJc w:val="left"/>
      <w:pPr>
        <w:ind w:left="2465" w:hanging="318"/>
      </w:pPr>
      <w:rPr>
        <w:rFonts w:hint="default"/>
        <w:lang w:val="zh-CN" w:eastAsia="zh-CN" w:bidi="zh-CN"/>
      </w:rPr>
    </w:lvl>
    <w:lvl w:ilvl="3" w:tplc="38929CBE">
      <w:numFmt w:val="bullet"/>
      <w:lvlText w:val="•"/>
      <w:lvlJc w:val="left"/>
      <w:pPr>
        <w:ind w:left="3487" w:hanging="318"/>
      </w:pPr>
      <w:rPr>
        <w:rFonts w:hint="default"/>
        <w:lang w:val="zh-CN" w:eastAsia="zh-CN" w:bidi="zh-CN"/>
      </w:rPr>
    </w:lvl>
    <w:lvl w:ilvl="4" w:tplc="CD061516">
      <w:numFmt w:val="bullet"/>
      <w:lvlText w:val="•"/>
      <w:lvlJc w:val="left"/>
      <w:pPr>
        <w:ind w:left="4510" w:hanging="318"/>
      </w:pPr>
      <w:rPr>
        <w:rFonts w:hint="default"/>
        <w:lang w:val="zh-CN" w:eastAsia="zh-CN" w:bidi="zh-CN"/>
      </w:rPr>
    </w:lvl>
    <w:lvl w:ilvl="5" w:tplc="3C305934">
      <w:numFmt w:val="bullet"/>
      <w:lvlText w:val="•"/>
      <w:lvlJc w:val="left"/>
      <w:pPr>
        <w:ind w:left="5533" w:hanging="318"/>
      </w:pPr>
      <w:rPr>
        <w:rFonts w:hint="default"/>
        <w:lang w:val="zh-CN" w:eastAsia="zh-CN" w:bidi="zh-CN"/>
      </w:rPr>
    </w:lvl>
    <w:lvl w:ilvl="6" w:tplc="7BDC026E">
      <w:numFmt w:val="bullet"/>
      <w:lvlText w:val="•"/>
      <w:lvlJc w:val="left"/>
      <w:pPr>
        <w:ind w:left="6555" w:hanging="318"/>
      </w:pPr>
      <w:rPr>
        <w:rFonts w:hint="default"/>
        <w:lang w:val="zh-CN" w:eastAsia="zh-CN" w:bidi="zh-CN"/>
      </w:rPr>
    </w:lvl>
    <w:lvl w:ilvl="7" w:tplc="7F042230">
      <w:numFmt w:val="bullet"/>
      <w:lvlText w:val="•"/>
      <w:lvlJc w:val="left"/>
      <w:pPr>
        <w:ind w:left="7578" w:hanging="318"/>
      </w:pPr>
      <w:rPr>
        <w:rFonts w:hint="default"/>
        <w:lang w:val="zh-CN" w:eastAsia="zh-CN" w:bidi="zh-CN"/>
      </w:rPr>
    </w:lvl>
    <w:lvl w:ilvl="8" w:tplc="E05851C8">
      <w:numFmt w:val="bullet"/>
      <w:lvlText w:val="•"/>
      <w:lvlJc w:val="left"/>
      <w:pPr>
        <w:ind w:left="8601" w:hanging="318"/>
      </w:pPr>
      <w:rPr>
        <w:rFonts w:hint="default"/>
        <w:lang w:val="zh-CN" w:eastAsia="zh-CN" w:bidi="zh-CN"/>
      </w:rPr>
    </w:lvl>
  </w:abstractNum>
  <w:abstractNum w:abstractNumId="754" w15:restartNumberingAfterBreak="0">
    <w:nsid w:val="64A42787"/>
    <w:multiLevelType w:val="hybridMultilevel"/>
    <w:tmpl w:val="59F0C656"/>
    <w:lvl w:ilvl="0" w:tplc="6D327F50">
      <w:start w:val="7"/>
      <w:numFmt w:val="decimal"/>
      <w:lvlText w:val="%1"/>
      <w:lvlJc w:val="left"/>
      <w:pPr>
        <w:ind w:left="418" w:hanging="584"/>
        <w:jc w:val="left"/>
      </w:pPr>
      <w:rPr>
        <w:rFonts w:hint="default"/>
        <w:lang w:val="zh-CN" w:eastAsia="zh-CN" w:bidi="zh-CN"/>
      </w:rPr>
    </w:lvl>
    <w:lvl w:ilvl="1" w:tplc="A78EA00C">
      <w:start w:val="3"/>
      <w:numFmt w:val="decimal"/>
      <w:lvlText w:val="%1.%2"/>
      <w:lvlJc w:val="left"/>
      <w:pPr>
        <w:ind w:left="418" w:hanging="584"/>
        <w:jc w:val="left"/>
      </w:pPr>
      <w:rPr>
        <w:rFonts w:hint="default"/>
        <w:lang w:val="zh-CN" w:eastAsia="zh-CN" w:bidi="zh-CN"/>
      </w:rPr>
    </w:lvl>
    <w:lvl w:ilvl="2" w:tplc="531010A2">
      <w:start w:val="1"/>
      <w:numFmt w:val="decimal"/>
      <w:lvlText w:val="%1.%2.%3"/>
      <w:lvlJc w:val="left"/>
      <w:pPr>
        <w:ind w:left="418" w:hanging="584"/>
        <w:jc w:val="left"/>
      </w:pPr>
      <w:rPr>
        <w:rFonts w:ascii="宋体" w:eastAsia="宋体" w:hAnsi="宋体" w:cs="宋体" w:hint="default"/>
        <w:b/>
        <w:bCs/>
        <w:w w:val="99"/>
        <w:sz w:val="21"/>
        <w:szCs w:val="21"/>
        <w:lang w:val="zh-CN" w:eastAsia="zh-CN" w:bidi="zh-CN"/>
      </w:rPr>
    </w:lvl>
    <w:lvl w:ilvl="3" w:tplc="65B4220E">
      <w:numFmt w:val="bullet"/>
      <w:lvlText w:val="•"/>
      <w:lvlJc w:val="left"/>
      <w:pPr>
        <w:ind w:left="3487" w:hanging="584"/>
      </w:pPr>
      <w:rPr>
        <w:rFonts w:hint="default"/>
        <w:lang w:val="zh-CN" w:eastAsia="zh-CN" w:bidi="zh-CN"/>
      </w:rPr>
    </w:lvl>
    <w:lvl w:ilvl="4" w:tplc="E74E3DD0">
      <w:numFmt w:val="bullet"/>
      <w:lvlText w:val="•"/>
      <w:lvlJc w:val="left"/>
      <w:pPr>
        <w:ind w:left="4510" w:hanging="584"/>
      </w:pPr>
      <w:rPr>
        <w:rFonts w:hint="default"/>
        <w:lang w:val="zh-CN" w:eastAsia="zh-CN" w:bidi="zh-CN"/>
      </w:rPr>
    </w:lvl>
    <w:lvl w:ilvl="5" w:tplc="E3BC2DF8">
      <w:numFmt w:val="bullet"/>
      <w:lvlText w:val="•"/>
      <w:lvlJc w:val="left"/>
      <w:pPr>
        <w:ind w:left="5533" w:hanging="584"/>
      </w:pPr>
      <w:rPr>
        <w:rFonts w:hint="default"/>
        <w:lang w:val="zh-CN" w:eastAsia="zh-CN" w:bidi="zh-CN"/>
      </w:rPr>
    </w:lvl>
    <w:lvl w:ilvl="6" w:tplc="EA1E1604">
      <w:numFmt w:val="bullet"/>
      <w:lvlText w:val="•"/>
      <w:lvlJc w:val="left"/>
      <w:pPr>
        <w:ind w:left="6555" w:hanging="584"/>
      </w:pPr>
      <w:rPr>
        <w:rFonts w:hint="default"/>
        <w:lang w:val="zh-CN" w:eastAsia="zh-CN" w:bidi="zh-CN"/>
      </w:rPr>
    </w:lvl>
    <w:lvl w:ilvl="7" w:tplc="0A5E2CCC">
      <w:numFmt w:val="bullet"/>
      <w:lvlText w:val="•"/>
      <w:lvlJc w:val="left"/>
      <w:pPr>
        <w:ind w:left="7578" w:hanging="584"/>
      </w:pPr>
      <w:rPr>
        <w:rFonts w:hint="default"/>
        <w:lang w:val="zh-CN" w:eastAsia="zh-CN" w:bidi="zh-CN"/>
      </w:rPr>
    </w:lvl>
    <w:lvl w:ilvl="8" w:tplc="1566274A">
      <w:numFmt w:val="bullet"/>
      <w:lvlText w:val="•"/>
      <w:lvlJc w:val="left"/>
      <w:pPr>
        <w:ind w:left="8601" w:hanging="584"/>
      </w:pPr>
      <w:rPr>
        <w:rFonts w:hint="default"/>
        <w:lang w:val="zh-CN" w:eastAsia="zh-CN" w:bidi="zh-CN"/>
      </w:rPr>
    </w:lvl>
  </w:abstractNum>
  <w:abstractNum w:abstractNumId="755" w15:restartNumberingAfterBreak="0">
    <w:nsid w:val="64E73257"/>
    <w:multiLevelType w:val="hybridMultilevel"/>
    <w:tmpl w:val="C02E4C72"/>
    <w:lvl w:ilvl="0" w:tplc="2600328A">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429A86AE">
      <w:numFmt w:val="bullet"/>
      <w:lvlText w:val="•"/>
      <w:lvlJc w:val="left"/>
      <w:pPr>
        <w:ind w:left="2288" w:hanging="529"/>
      </w:pPr>
      <w:rPr>
        <w:rFonts w:hint="default"/>
        <w:lang w:val="zh-CN" w:eastAsia="zh-CN" w:bidi="zh-CN"/>
      </w:rPr>
    </w:lvl>
    <w:lvl w:ilvl="2" w:tplc="4EF0D9CA">
      <w:numFmt w:val="bullet"/>
      <w:lvlText w:val="•"/>
      <w:lvlJc w:val="left"/>
      <w:pPr>
        <w:ind w:left="3217" w:hanging="529"/>
      </w:pPr>
      <w:rPr>
        <w:rFonts w:hint="default"/>
        <w:lang w:val="zh-CN" w:eastAsia="zh-CN" w:bidi="zh-CN"/>
      </w:rPr>
    </w:lvl>
    <w:lvl w:ilvl="3" w:tplc="9F62EB46">
      <w:numFmt w:val="bullet"/>
      <w:lvlText w:val="•"/>
      <w:lvlJc w:val="left"/>
      <w:pPr>
        <w:ind w:left="4145" w:hanging="529"/>
      </w:pPr>
      <w:rPr>
        <w:rFonts w:hint="default"/>
        <w:lang w:val="zh-CN" w:eastAsia="zh-CN" w:bidi="zh-CN"/>
      </w:rPr>
    </w:lvl>
    <w:lvl w:ilvl="4" w:tplc="6BCAC5CA">
      <w:numFmt w:val="bullet"/>
      <w:lvlText w:val="•"/>
      <w:lvlJc w:val="left"/>
      <w:pPr>
        <w:ind w:left="5074" w:hanging="529"/>
      </w:pPr>
      <w:rPr>
        <w:rFonts w:hint="default"/>
        <w:lang w:val="zh-CN" w:eastAsia="zh-CN" w:bidi="zh-CN"/>
      </w:rPr>
    </w:lvl>
    <w:lvl w:ilvl="5" w:tplc="725CCB5C">
      <w:numFmt w:val="bullet"/>
      <w:lvlText w:val="•"/>
      <w:lvlJc w:val="left"/>
      <w:pPr>
        <w:ind w:left="6003" w:hanging="529"/>
      </w:pPr>
      <w:rPr>
        <w:rFonts w:hint="default"/>
        <w:lang w:val="zh-CN" w:eastAsia="zh-CN" w:bidi="zh-CN"/>
      </w:rPr>
    </w:lvl>
    <w:lvl w:ilvl="6" w:tplc="360CC97A">
      <w:numFmt w:val="bullet"/>
      <w:lvlText w:val="•"/>
      <w:lvlJc w:val="left"/>
      <w:pPr>
        <w:ind w:left="6931" w:hanging="529"/>
      </w:pPr>
      <w:rPr>
        <w:rFonts w:hint="default"/>
        <w:lang w:val="zh-CN" w:eastAsia="zh-CN" w:bidi="zh-CN"/>
      </w:rPr>
    </w:lvl>
    <w:lvl w:ilvl="7" w:tplc="FB4E83F2">
      <w:numFmt w:val="bullet"/>
      <w:lvlText w:val="•"/>
      <w:lvlJc w:val="left"/>
      <w:pPr>
        <w:ind w:left="7860" w:hanging="529"/>
      </w:pPr>
      <w:rPr>
        <w:rFonts w:hint="default"/>
        <w:lang w:val="zh-CN" w:eastAsia="zh-CN" w:bidi="zh-CN"/>
      </w:rPr>
    </w:lvl>
    <w:lvl w:ilvl="8" w:tplc="78DE51E6">
      <w:numFmt w:val="bullet"/>
      <w:lvlText w:val="•"/>
      <w:lvlJc w:val="left"/>
      <w:pPr>
        <w:ind w:left="8789" w:hanging="529"/>
      </w:pPr>
      <w:rPr>
        <w:rFonts w:hint="default"/>
        <w:lang w:val="zh-CN" w:eastAsia="zh-CN" w:bidi="zh-CN"/>
      </w:rPr>
    </w:lvl>
  </w:abstractNum>
  <w:abstractNum w:abstractNumId="756" w15:restartNumberingAfterBreak="0">
    <w:nsid w:val="654C633B"/>
    <w:multiLevelType w:val="hybridMultilevel"/>
    <w:tmpl w:val="56AC658A"/>
    <w:lvl w:ilvl="0" w:tplc="DD886402">
      <w:start w:val="3"/>
      <w:numFmt w:val="decimal"/>
      <w:lvlText w:val="%1"/>
      <w:lvlJc w:val="left"/>
      <w:pPr>
        <w:ind w:left="1212" w:hanging="372"/>
        <w:jc w:val="left"/>
      </w:pPr>
      <w:rPr>
        <w:rFonts w:hint="default"/>
        <w:lang w:val="zh-CN" w:eastAsia="zh-CN" w:bidi="zh-CN"/>
      </w:rPr>
    </w:lvl>
    <w:lvl w:ilvl="1" w:tplc="3082529E">
      <w:start w:val="1"/>
      <w:numFmt w:val="decimal"/>
      <w:lvlText w:val="%1.%2"/>
      <w:lvlJc w:val="left"/>
      <w:pPr>
        <w:ind w:left="1212" w:hanging="372"/>
        <w:jc w:val="left"/>
      </w:pPr>
      <w:rPr>
        <w:rFonts w:ascii="宋体" w:eastAsia="宋体" w:hAnsi="宋体" w:cs="宋体" w:hint="default"/>
        <w:b/>
        <w:bCs/>
        <w:w w:val="99"/>
        <w:sz w:val="21"/>
        <w:szCs w:val="21"/>
        <w:lang w:val="zh-CN" w:eastAsia="zh-CN" w:bidi="zh-CN"/>
      </w:rPr>
    </w:lvl>
    <w:lvl w:ilvl="2" w:tplc="118685D8">
      <w:numFmt w:val="bullet"/>
      <w:lvlText w:val="•"/>
      <w:lvlJc w:val="left"/>
      <w:pPr>
        <w:ind w:left="3105" w:hanging="372"/>
      </w:pPr>
      <w:rPr>
        <w:rFonts w:hint="default"/>
        <w:lang w:val="zh-CN" w:eastAsia="zh-CN" w:bidi="zh-CN"/>
      </w:rPr>
    </w:lvl>
    <w:lvl w:ilvl="3" w:tplc="15C8FEAE">
      <w:numFmt w:val="bullet"/>
      <w:lvlText w:val="•"/>
      <w:lvlJc w:val="left"/>
      <w:pPr>
        <w:ind w:left="4047" w:hanging="372"/>
      </w:pPr>
      <w:rPr>
        <w:rFonts w:hint="default"/>
        <w:lang w:val="zh-CN" w:eastAsia="zh-CN" w:bidi="zh-CN"/>
      </w:rPr>
    </w:lvl>
    <w:lvl w:ilvl="4" w:tplc="FDCAD1C6">
      <w:numFmt w:val="bullet"/>
      <w:lvlText w:val="•"/>
      <w:lvlJc w:val="left"/>
      <w:pPr>
        <w:ind w:left="4990" w:hanging="372"/>
      </w:pPr>
      <w:rPr>
        <w:rFonts w:hint="default"/>
        <w:lang w:val="zh-CN" w:eastAsia="zh-CN" w:bidi="zh-CN"/>
      </w:rPr>
    </w:lvl>
    <w:lvl w:ilvl="5" w:tplc="4A24D508">
      <w:numFmt w:val="bullet"/>
      <w:lvlText w:val="•"/>
      <w:lvlJc w:val="left"/>
      <w:pPr>
        <w:ind w:left="5933" w:hanging="372"/>
      </w:pPr>
      <w:rPr>
        <w:rFonts w:hint="default"/>
        <w:lang w:val="zh-CN" w:eastAsia="zh-CN" w:bidi="zh-CN"/>
      </w:rPr>
    </w:lvl>
    <w:lvl w:ilvl="6" w:tplc="226A808C">
      <w:numFmt w:val="bullet"/>
      <w:lvlText w:val="•"/>
      <w:lvlJc w:val="left"/>
      <w:pPr>
        <w:ind w:left="6875" w:hanging="372"/>
      </w:pPr>
      <w:rPr>
        <w:rFonts w:hint="default"/>
        <w:lang w:val="zh-CN" w:eastAsia="zh-CN" w:bidi="zh-CN"/>
      </w:rPr>
    </w:lvl>
    <w:lvl w:ilvl="7" w:tplc="1F243150">
      <w:numFmt w:val="bullet"/>
      <w:lvlText w:val="•"/>
      <w:lvlJc w:val="left"/>
      <w:pPr>
        <w:ind w:left="7818" w:hanging="372"/>
      </w:pPr>
      <w:rPr>
        <w:rFonts w:hint="default"/>
        <w:lang w:val="zh-CN" w:eastAsia="zh-CN" w:bidi="zh-CN"/>
      </w:rPr>
    </w:lvl>
    <w:lvl w:ilvl="8" w:tplc="15B40534">
      <w:numFmt w:val="bullet"/>
      <w:lvlText w:val="•"/>
      <w:lvlJc w:val="left"/>
      <w:pPr>
        <w:ind w:left="8761" w:hanging="372"/>
      </w:pPr>
      <w:rPr>
        <w:rFonts w:hint="default"/>
        <w:lang w:val="zh-CN" w:eastAsia="zh-CN" w:bidi="zh-CN"/>
      </w:rPr>
    </w:lvl>
  </w:abstractNum>
  <w:abstractNum w:abstractNumId="757" w15:restartNumberingAfterBreak="0">
    <w:nsid w:val="657621D1"/>
    <w:multiLevelType w:val="hybridMultilevel"/>
    <w:tmpl w:val="33EA10AE"/>
    <w:lvl w:ilvl="0" w:tplc="50263524">
      <w:start w:val="6"/>
      <w:numFmt w:val="decimal"/>
      <w:lvlText w:val="%1"/>
      <w:lvlJc w:val="left"/>
      <w:pPr>
        <w:ind w:left="418" w:hanging="738"/>
        <w:jc w:val="left"/>
      </w:pPr>
      <w:rPr>
        <w:rFonts w:hint="default"/>
        <w:lang w:val="zh-CN" w:eastAsia="zh-CN" w:bidi="zh-CN"/>
      </w:rPr>
    </w:lvl>
    <w:lvl w:ilvl="1" w:tplc="ED6011D8">
      <w:start w:val="5"/>
      <w:numFmt w:val="decimal"/>
      <w:lvlText w:val="%1.%2"/>
      <w:lvlJc w:val="left"/>
      <w:pPr>
        <w:ind w:left="418" w:hanging="738"/>
        <w:jc w:val="left"/>
      </w:pPr>
      <w:rPr>
        <w:rFonts w:hint="default"/>
        <w:lang w:val="zh-CN" w:eastAsia="zh-CN" w:bidi="zh-CN"/>
      </w:rPr>
    </w:lvl>
    <w:lvl w:ilvl="2" w:tplc="1166BFA6">
      <w:start w:val="1"/>
      <w:numFmt w:val="decimal"/>
      <w:lvlText w:val="%1.%2.%3"/>
      <w:lvlJc w:val="left"/>
      <w:pPr>
        <w:ind w:left="418" w:hanging="738"/>
        <w:jc w:val="left"/>
      </w:pPr>
      <w:rPr>
        <w:rFonts w:hint="default"/>
        <w:lang w:val="zh-CN" w:eastAsia="zh-CN" w:bidi="zh-CN"/>
      </w:rPr>
    </w:lvl>
    <w:lvl w:ilvl="3" w:tplc="C29A22A2">
      <w:start w:val="5"/>
      <w:numFmt w:val="decimal"/>
      <w:lvlText w:val="%1.%2.%3.%4"/>
      <w:lvlJc w:val="left"/>
      <w:pPr>
        <w:ind w:left="418" w:hanging="738"/>
        <w:jc w:val="left"/>
      </w:pPr>
      <w:rPr>
        <w:rFonts w:ascii="宋体" w:eastAsia="宋体" w:hAnsi="宋体" w:cs="宋体" w:hint="default"/>
        <w:spacing w:val="-3"/>
        <w:w w:val="100"/>
        <w:sz w:val="19"/>
        <w:szCs w:val="19"/>
        <w:lang w:val="zh-CN" w:eastAsia="zh-CN" w:bidi="zh-CN"/>
      </w:rPr>
    </w:lvl>
    <w:lvl w:ilvl="4" w:tplc="F47AA4B6">
      <w:numFmt w:val="bullet"/>
      <w:lvlText w:val="•"/>
      <w:lvlJc w:val="left"/>
      <w:pPr>
        <w:ind w:left="4510" w:hanging="738"/>
      </w:pPr>
      <w:rPr>
        <w:rFonts w:hint="default"/>
        <w:lang w:val="zh-CN" w:eastAsia="zh-CN" w:bidi="zh-CN"/>
      </w:rPr>
    </w:lvl>
    <w:lvl w:ilvl="5" w:tplc="41BEA836">
      <w:numFmt w:val="bullet"/>
      <w:lvlText w:val="•"/>
      <w:lvlJc w:val="left"/>
      <w:pPr>
        <w:ind w:left="5533" w:hanging="738"/>
      </w:pPr>
      <w:rPr>
        <w:rFonts w:hint="default"/>
        <w:lang w:val="zh-CN" w:eastAsia="zh-CN" w:bidi="zh-CN"/>
      </w:rPr>
    </w:lvl>
    <w:lvl w:ilvl="6" w:tplc="C57CC8D6">
      <w:numFmt w:val="bullet"/>
      <w:lvlText w:val="•"/>
      <w:lvlJc w:val="left"/>
      <w:pPr>
        <w:ind w:left="6555" w:hanging="738"/>
      </w:pPr>
      <w:rPr>
        <w:rFonts w:hint="default"/>
        <w:lang w:val="zh-CN" w:eastAsia="zh-CN" w:bidi="zh-CN"/>
      </w:rPr>
    </w:lvl>
    <w:lvl w:ilvl="7" w:tplc="2F6EEC3A">
      <w:numFmt w:val="bullet"/>
      <w:lvlText w:val="•"/>
      <w:lvlJc w:val="left"/>
      <w:pPr>
        <w:ind w:left="7578" w:hanging="738"/>
      </w:pPr>
      <w:rPr>
        <w:rFonts w:hint="default"/>
        <w:lang w:val="zh-CN" w:eastAsia="zh-CN" w:bidi="zh-CN"/>
      </w:rPr>
    </w:lvl>
    <w:lvl w:ilvl="8" w:tplc="0B30B1FA">
      <w:numFmt w:val="bullet"/>
      <w:lvlText w:val="•"/>
      <w:lvlJc w:val="left"/>
      <w:pPr>
        <w:ind w:left="8601" w:hanging="738"/>
      </w:pPr>
      <w:rPr>
        <w:rFonts w:hint="default"/>
        <w:lang w:val="zh-CN" w:eastAsia="zh-CN" w:bidi="zh-CN"/>
      </w:rPr>
    </w:lvl>
  </w:abstractNum>
  <w:abstractNum w:abstractNumId="758" w15:restartNumberingAfterBreak="0">
    <w:nsid w:val="65997D08"/>
    <w:multiLevelType w:val="hybridMultilevel"/>
    <w:tmpl w:val="EDB60B58"/>
    <w:lvl w:ilvl="0" w:tplc="81CCD86E">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881ABCDA">
      <w:numFmt w:val="bullet"/>
      <w:lvlText w:val="•"/>
      <w:lvlJc w:val="left"/>
      <w:pPr>
        <w:ind w:left="1442" w:hanging="529"/>
      </w:pPr>
      <w:rPr>
        <w:rFonts w:hint="default"/>
        <w:lang w:val="zh-CN" w:eastAsia="zh-CN" w:bidi="zh-CN"/>
      </w:rPr>
    </w:lvl>
    <w:lvl w:ilvl="2" w:tplc="A1C6C40E">
      <w:numFmt w:val="bullet"/>
      <w:lvlText w:val="•"/>
      <w:lvlJc w:val="left"/>
      <w:pPr>
        <w:ind w:left="2465" w:hanging="529"/>
      </w:pPr>
      <w:rPr>
        <w:rFonts w:hint="default"/>
        <w:lang w:val="zh-CN" w:eastAsia="zh-CN" w:bidi="zh-CN"/>
      </w:rPr>
    </w:lvl>
    <w:lvl w:ilvl="3" w:tplc="FE022910">
      <w:numFmt w:val="bullet"/>
      <w:lvlText w:val="•"/>
      <w:lvlJc w:val="left"/>
      <w:pPr>
        <w:ind w:left="3487" w:hanging="529"/>
      </w:pPr>
      <w:rPr>
        <w:rFonts w:hint="default"/>
        <w:lang w:val="zh-CN" w:eastAsia="zh-CN" w:bidi="zh-CN"/>
      </w:rPr>
    </w:lvl>
    <w:lvl w:ilvl="4" w:tplc="C9D6A604">
      <w:numFmt w:val="bullet"/>
      <w:lvlText w:val="•"/>
      <w:lvlJc w:val="left"/>
      <w:pPr>
        <w:ind w:left="4510" w:hanging="529"/>
      </w:pPr>
      <w:rPr>
        <w:rFonts w:hint="default"/>
        <w:lang w:val="zh-CN" w:eastAsia="zh-CN" w:bidi="zh-CN"/>
      </w:rPr>
    </w:lvl>
    <w:lvl w:ilvl="5" w:tplc="50B0F8A8">
      <w:numFmt w:val="bullet"/>
      <w:lvlText w:val="•"/>
      <w:lvlJc w:val="left"/>
      <w:pPr>
        <w:ind w:left="5533" w:hanging="529"/>
      </w:pPr>
      <w:rPr>
        <w:rFonts w:hint="default"/>
        <w:lang w:val="zh-CN" w:eastAsia="zh-CN" w:bidi="zh-CN"/>
      </w:rPr>
    </w:lvl>
    <w:lvl w:ilvl="6" w:tplc="E3D643B6">
      <w:numFmt w:val="bullet"/>
      <w:lvlText w:val="•"/>
      <w:lvlJc w:val="left"/>
      <w:pPr>
        <w:ind w:left="6555" w:hanging="529"/>
      </w:pPr>
      <w:rPr>
        <w:rFonts w:hint="default"/>
        <w:lang w:val="zh-CN" w:eastAsia="zh-CN" w:bidi="zh-CN"/>
      </w:rPr>
    </w:lvl>
    <w:lvl w:ilvl="7" w:tplc="1346CDEA">
      <w:numFmt w:val="bullet"/>
      <w:lvlText w:val="•"/>
      <w:lvlJc w:val="left"/>
      <w:pPr>
        <w:ind w:left="7578" w:hanging="529"/>
      </w:pPr>
      <w:rPr>
        <w:rFonts w:hint="default"/>
        <w:lang w:val="zh-CN" w:eastAsia="zh-CN" w:bidi="zh-CN"/>
      </w:rPr>
    </w:lvl>
    <w:lvl w:ilvl="8" w:tplc="0E762950">
      <w:numFmt w:val="bullet"/>
      <w:lvlText w:val="•"/>
      <w:lvlJc w:val="left"/>
      <w:pPr>
        <w:ind w:left="8601" w:hanging="529"/>
      </w:pPr>
      <w:rPr>
        <w:rFonts w:hint="default"/>
        <w:lang w:val="zh-CN" w:eastAsia="zh-CN" w:bidi="zh-CN"/>
      </w:rPr>
    </w:lvl>
  </w:abstractNum>
  <w:abstractNum w:abstractNumId="759" w15:restartNumberingAfterBreak="0">
    <w:nsid w:val="65AD5D10"/>
    <w:multiLevelType w:val="hybridMultilevel"/>
    <w:tmpl w:val="17DA62BA"/>
    <w:lvl w:ilvl="0" w:tplc="F9BC5608">
      <w:start w:val="1"/>
      <w:numFmt w:val="lowerLetter"/>
      <w:lvlText w:val="%1）"/>
      <w:lvlJc w:val="left"/>
      <w:pPr>
        <w:ind w:left="418" w:hanging="318"/>
        <w:jc w:val="left"/>
      </w:pPr>
      <w:rPr>
        <w:rFonts w:ascii="宋体" w:eastAsia="宋体" w:hAnsi="宋体" w:cs="宋体" w:hint="default"/>
        <w:w w:val="100"/>
        <w:sz w:val="19"/>
        <w:szCs w:val="19"/>
        <w:lang w:val="zh-CN" w:eastAsia="zh-CN" w:bidi="zh-CN"/>
      </w:rPr>
    </w:lvl>
    <w:lvl w:ilvl="1" w:tplc="0CEE529E">
      <w:numFmt w:val="bullet"/>
      <w:lvlText w:val="•"/>
      <w:lvlJc w:val="left"/>
      <w:pPr>
        <w:ind w:left="1442" w:hanging="318"/>
      </w:pPr>
      <w:rPr>
        <w:rFonts w:hint="default"/>
        <w:lang w:val="zh-CN" w:eastAsia="zh-CN" w:bidi="zh-CN"/>
      </w:rPr>
    </w:lvl>
    <w:lvl w:ilvl="2" w:tplc="0FD4BDFA">
      <w:numFmt w:val="bullet"/>
      <w:lvlText w:val="•"/>
      <w:lvlJc w:val="left"/>
      <w:pPr>
        <w:ind w:left="2465" w:hanging="318"/>
      </w:pPr>
      <w:rPr>
        <w:rFonts w:hint="default"/>
        <w:lang w:val="zh-CN" w:eastAsia="zh-CN" w:bidi="zh-CN"/>
      </w:rPr>
    </w:lvl>
    <w:lvl w:ilvl="3" w:tplc="D7823B74">
      <w:numFmt w:val="bullet"/>
      <w:lvlText w:val="•"/>
      <w:lvlJc w:val="left"/>
      <w:pPr>
        <w:ind w:left="3487" w:hanging="318"/>
      </w:pPr>
      <w:rPr>
        <w:rFonts w:hint="default"/>
        <w:lang w:val="zh-CN" w:eastAsia="zh-CN" w:bidi="zh-CN"/>
      </w:rPr>
    </w:lvl>
    <w:lvl w:ilvl="4" w:tplc="5628B81E">
      <w:numFmt w:val="bullet"/>
      <w:lvlText w:val="•"/>
      <w:lvlJc w:val="left"/>
      <w:pPr>
        <w:ind w:left="4510" w:hanging="318"/>
      </w:pPr>
      <w:rPr>
        <w:rFonts w:hint="default"/>
        <w:lang w:val="zh-CN" w:eastAsia="zh-CN" w:bidi="zh-CN"/>
      </w:rPr>
    </w:lvl>
    <w:lvl w:ilvl="5" w:tplc="EE8050E8">
      <w:numFmt w:val="bullet"/>
      <w:lvlText w:val="•"/>
      <w:lvlJc w:val="left"/>
      <w:pPr>
        <w:ind w:left="5533" w:hanging="318"/>
      </w:pPr>
      <w:rPr>
        <w:rFonts w:hint="default"/>
        <w:lang w:val="zh-CN" w:eastAsia="zh-CN" w:bidi="zh-CN"/>
      </w:rPr>
    </w:lvl>
    <w:lvl w:ilvl="6" w:tplc="463826BA">
      <w:numFmt w:val="bullet"/>
      <w:lvlText w:val="•"/>
      <w:lvlJc w:val="left"/>
      <w:pPr>
        <w:ind w:left="6555" w:hanging="318"/>
      </w:pPr>
      <w:rPr>
        <w:rFonts w:hint="default"/>
        <w:lang w:val="zh-CN" w:eastAsia="zh-CN" w:bidi="zh-CN"/>
      </w:rPr>
    </w:lvl>
    <w:lvl w:ilvl="7" w:tplc="0C9AC19A">
      <w:numFmt w:val="bullet"/>
      <w:lvlText w:val="•"/>
      <w:lvlJc w:val="left"/>
      <w:pPr>
        <w:ind w:left="7578" w:hanging="318"/>
      </w:pPr>
      <w:rPr>
        <w:rFonts w:hint="default"/>
        <w:lang w:val="zh-CN" w:eastAsia="zh-CN" w:bidi="zh-CN"/>
      </w:rPr>
    </w:lvl>
    <w:lvl w:ilvl="8" w:tplc="C734AB0E">
      <w:numFmt w:val="bullet"/>
      <w:lvlText w:val="•"/>
      <w:lvlJc w:val="left"/>
      <w:pPr>
        <w:ind w:left="8601" w:hanging="318"/>
      </w:pPr>
      <w:rPr>
        <w:rFonts w:hint="default"/>
        <w:lang w:val="zh-CN" w:eastAsia="zh-CN" w:bidi="zh-CN"/>
      </w:rPr>
    </w:lvl>
  </w:abstractNum>
  <w:abstractNum w:abstractNumId="760" w15:restartNumberingAfterBreak="0">
    <w:nsid w:val="65BB0F43"/>
    <w:multiLevelType w:val="hybridMultilevel"/>
    <w:tmpl w:val="7AF43F8A"/>
    <w:lvl w:ilvl="0" w:tplc="152467B8">
      <w:start w:val="2"/>
      <w:numFmt w:val="upperLetter"/>
      <w:lvlText w:val="%1"/>
      <w:lvlJc w:val="left"/>
      <w:pPr>
        <w:ind w:left="418" w:hanging="531"/>
        <w:jc w:val="left"/>
      </w:pPr>
      <w:rPr>
        <w:rFonts w:hint="default"/>
        <w:lang w:val="zh-CN" w:eastAsia="zh-CN" w:bidi="zh-CN"/>
      </w:rPr>
    </w:lvl>
    <w:lvl w:ilvl="1" w:tplc="648268F0">
      <w:start w:val="2"/>
      <w:numFmt w:val="decimal"/>
      <w:lvlText w:val="%1.%2"/>
      <w:lvlJc w:val="left"/>
      <w:pPr>
        <w:ind w:left="418" w:hanging="531"/>
        <w:jc w:val="left"/>
      </w:pPr>
      <w:rPr>
        <w:rFonts w:hint="default"/>
        <w:lang w:val="zh-CN" w:eastAsia="zh-CN" w:bidi="zh-CN"/>
      </w:rPr>
    </w:lvl>
    <w:lvl w:ilvl="2" w:tplc="3EF24DEC">
      <w:start w:val="3"/>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F0AC78A8">
      <w:numFmt w:val="bullet"/>
      <w:lvlText w:val="•"/>
      <w:lvlJc w:val="left"/>
      <w:pPr>
        <w:ind w:left="3487" w:hanging="531"/>
      </w:pPr>
      <w:rPr>
        <w:rFonts w:hint="default"/>
        <w:lang w:val="zh-CN" w:eastAsia="zh-CN" w:bidi="zh-CN"/>
      </w:rPr>
    </w:lvl>
    <w:lvl w:ilvl="4" w:tplc="5D84E47A">
      <w:numFmt w:val="bullet"/>
      <w:lvlText w:val="•"/>
      <w:lvlJc w:val="left"/>
      <w:pPr>
        <w:ind w:left="4510" w:hanging="531"/>
      </w:pPr>
      <w:rPr>
        <w:rFonts w:hint="default"/>
        <w:lang w:val="zh-CN" w:eastAsia="zh-CN" w:bidi="zh-CN"/>
      </w:rPr>
    </w:lvl>
    <w:lvl w:ilvl="5" w:tplc="9E84AB38">
      <w:numFmt w:val="bullet"/>
      <w:lvlText w:val="•"/>
      <w:lvlJc w:val="left"/>
      <w:pPr>
        <w:ind w:left="5533" w:hanging="531"/>
      </w:pPr>
      <w:rPr>
        <w:rFonts w:hint="default"/>
        <w:lang w:val="zh-CN" w:eastAsia="zh-CN" w:bidi="zh-CN"/>
      </w:rPr>
    </w:lvl>
    <w:lvl w:ilvl="6" w:tplc="0B5E6C22">
      <w:numFmt w:val="bullet"/>
      <w:lvlText w:val="•"/>
      <w:lvlJc w:val="left"/>
      <w:pPr>
        <w:ind w:left="6555" w:hanging="531"/>
      </w:pPr>
      <w:rPr>
        <w:rFonts w:hint="default"/>
        <w:lang w:val="zh-CN" w:eastAsia="zh-CN" w:bidi="zh-CN"/>
      </w:rPr>
    </w:lvl>
    <w:lvl w:ilvl="7" w:tplc="ADD44F12">
      <w:numFmt w:val="bullet"/>
      <w:lvlText w:val="•"/>
      <w:lvlJc w:val="left"/>
      <w:pPr>
        <w:ind w:left="7578" w:hanging="531"/>
      </w:pPr>
      <w:rPr>
        <w:rFonts w:hint="default"/>
        <w:lang w:val="zh-CN" w:eastAsia="zh-CN" w:bidi="zh-CN"/>
      </w:rPr>
    </w:lvl>
    <w:lvl w:ilvl="8" w:tplc="CEAAD2A0">
      <w:numFmt w:val="bullet"/>
      <w:lvlText w:val="•"/>
      <w:lvlJc w:val="left"/>
      <w:pPr>
        <w:ind w:left="8601" w:hanging="531"/>
      </w:pPr>
      <w:rPr>
        <w:rFonts w:hint="default"/>
        <w:lang w:val="zh-CN" w:eastAsia="zh-CN" w:bidi="zh-CN"/>
      </w:rPr>
    </w:lvl>
  </w:abstractNum>
  <w:abstractNum w:abstractNumId="761" w15:restartNumberingAfterBreak="0">
    <w:nsid w:val="65DD2938"/>
    <w:multiLevelType w:val="hybridMultilevel"/>
    <w:tmpl w:val="052E06C8"/>
    <w:lvl w:ilvl="0" w:tplc="6B204C6A">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0524B4D8">
      <w:numFmt w:val="bullet"/>
      <w:lvlText w:val="•"/>
      <w:lvlJc w:val="left"/>
      <w:pPr>
        <w:ind w:left="2288" w:hanging="529"/>
      </w:pPr>
      <w:rPr>
        <w:rFonts w:hint="default"/>
        <w:lang w:val="zh-CN" w:eastAsia="zh-CN" w:bidi="zh-CN"/>
      </w:rPr>
    </w:lvl>
    <w:lvl w:ilvl="2" w:tplc="7890B8CE">
      <w:numFmt w:val="bullet"/>
      <w:lvlText w:val="•"/>
      <w:lvlJc w:val="left"/>
      <w:pPr>
        <w:ind w:left="3217" w:hanging="529"/>
      </w:pPr>
      <w:rPr>
        <w:rFonts w:hint="default"/>
        <w:lang w:val="zh-CN" w:eastAsia="zh-CN" w:bidi="zh-CN"/>
      </w:rPr>
    </w:lvl>
    <w:lvl w:ilvl="3" w:tplc="28A0DBD0">
      <w:numFmt w:val="bullet"/>
      <w:lvlText w:val="•"/>
      <w:lvlJc w:val="left"/>
      <w:pPr>
        <w:ind w:left="4145" w:hanging="529"/>
      </w:pPr>
      <w:rPr>
        <w:rFonts w:hint="default"/>
        <w:lang w:val="zh-CN" w:eastAsia="zh-CN" w:bidi="zh-CN"/>
      </w:rPr>
    </w:lvl>
    <w:lvl w:ilvl="4" w:tplc="43C092EA">
      <w:numFmt w:val="bullet"/>
      <w:lvlText w:val="•"/>
      <w:lvlJc w:val="left"/>
      <w:pPr>
        <w:ind w:left="5074" w:hanging="529"/>
      </w:pPr>
      <w:rPr>
        <w:rFonts w:hint="default"/>
        <w:lang w:val="zh-CN" w:eastAsia="zh-CN" w:bidi="zh-CN"/>
      </w:rPr>
    </w:lvl>
    <w:lvl w:ilvl="5" w:tplc="9152A07A">
      <w:numFmt w:val="bullet"/>
      <w:lvlText w:val="•"/>
      <w:lvlJc w:val="left"/>
      <w:pPr>
        <w:ind w:left="6003" w:hanging="529"/>
      </w:pPr>
      <w:rPr>
        <w:rFonts w:hint="default"/>
        <w:lang w:val="zh-CN" w:eastAsia="zh-CN" w:bidi="zh-CN"/>
      </w:rPr>
    </w:lvl>
    <w:lvl w:ilvl="6" w:tplc="F91A14AA">
      <w:numFmt w:val="bullet"/>
      <w:lvlText w:val="•"/>
      <w:lvlJc w:val="left"/>
      <w:pPr>
        <w:ind w:left="6931" w:hanging="529"/>
      </w:pPr>
      <w:rPr>
        <w:rFonts w:hint="default"/>
        <w:lang w:val="zh-CN" w:eastAsia="zh-CN" w:bidi="zh-CN"/>
      </w:rPr>
    </w:lvl>
    <w:lvl w:ilvl="7" w:tplc="37FE7CB8">
      <w:numFmt w:val="bullet"/>
      <w:lvlText w:val="•"/>
      <w:lvlJc w:val="left"/>
      <w:pPr>
        <w:ind w:left="7860" w:hanging="529"/>
      </w:pPr>
      <w:rPr>
        <w:rFonts w:hint="default"/>
        <w:lang w:val="zh-CN" w:eastAsia="zh-CN" w:bidi="zh-CN"/>
      </w:rPr>
    </w:lvl>
    <w:lvl w:ilvl="8" w:tplc="3E4089B4">
      <w:numFmt w:val="bullet"/>
      <w:lvlText w:val="•"/>
      <w:lvlJc w:val="left"/>
      <w:pPr>
        <w:ind w:left="8789" w:hanging="529"/>
      </w:pPr>
      <w:rPr>
        <w:rFonts w:hint="default"/>
        <w:lang w:val="zh-CN" w:eastAsia="zh-CN" w:bidi="zh-CN"/>
      </w:rPr>
    </w:lvl>
  </w:abstractNum>
  <w:abstractNum w:abstractNumId="762" w15:restartNumberingAfterBreak="0">
    <w:nsid w:val="660F126A"/>
    <w:multiLevelType w:val="hybridMultilevel"/>
    <w:tmpl w:val="38AEC786"/>
    <w:lvl w:ilvl="0" w:tplc="D5B08396">
      <w:start w:val="6"/>
      <w:numFmt w:val="decimal"/>
      <w:lvlText w:val="%1"/>
      <w:lvlJc w:val="left"/>
      <w:pPr>
        <w:ind w:left="1158" w:hanging="318"/>
        <w:jc w:val="left"/>
      </w:pPr>
      <w:rPr>
        <w:rFonts w:hint="default"/>
        <w:lang w:val="zh-CN" w:eastAsia="zh-CN" w:bidi="zh-CN"/>
      </w:rPr>
    </w:lvl>
    <w:lvl w:ilvl="1" w:tplc="8F4820E2">
      <w:start w:val="5"/>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E27E88DC">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C6A42412">
      <w:numFmt w:val="bullet"/>
      <w:lvlText w:val="•"/>
      <w:lvlJc w:val="left"/>
      <w:pPr>
        <w:ind w:left="2538" w:hanging="529"/>
      </w:pPr>
      <w:rPr>
        <w:rFonts w:hint="default"/>
        <w:lang w:val="zh-CN" w:eastAsia="zh-CN" w:bidi="zh-CN"/>
      </w:rPr>
    </w:lvl>
    <w:lvl w:ilvl="4" w:tplc="14182618">
      <w:numFmt w:val="bullet"/>
      <w:lvlText w:val="•"/>
      <w:lvlJc w:val="left"/>
      <w:pPr>
        <w:ind w:left="3696" w:hanging="529"/>
      </w:pPr>
      <w:rPr>
        <w:rFonts w:hint="default"/>
        <w:lang w:val="zh-CN" w:eastAsia="zh-CN" w:bidi="zh-CN"/>
      </w:rPr>
    </w:lvl>
    <w:lvl w:ilvl="5" w:tplc="C2828072">
      <w:numFmt w:val="bullet"/>
      <w:lvlText w:val="•"/>
      <w:lvlJc w:val="left"/>
      <w:pPr>
        <w:ind w:left="4854" w:hanging="529"/>
      </w:pPr>
      <w:rPr>
        <w:rFonts w:hint="default"/>
        <w:lang w:val="zh-CN" w:eastAsia="zh-CN" w:bidi="zh-CN"/>
      </w:rPr>
    </w:lvl>
    <w:lvl w:ilvl="6" w:tplc="17FA1ED8">
      <w:numFmt w:val="bullet"/>
      <w:lvlText w:val="•"/>
      <w:lvlJc w:val="left"/>
      <w:pPr>
        <w:ind w:left="6013" w:hanging="529"/>
      </w:pPr>
      <w:rPr>
        <w:rFonts w:hint="default"/>
        <w:lang w:val="zh-CN" w:eastAsia="zh-CN" w:bidi="zh-CN"/>
      </w:rPr>
    </w:lvl>
    <w:lvl w:ilvl="7" w:tplc="C9A8E5D2">
      <w:numFmt w:val="bullet"/>
      <w:lvlText w:val="•"/>
      <w:lvlJc w:val="left"/>
      <w:pPr>
        <w:ind w:left="7171" w:hanging="529"/>
      </w:pPr>
      <w:rPr>
        <w:rFonts w:hint="default"/>
        <w:lang w:val="zh-CN" w:eastAsia="zh-CN" w:bidi="zh-CN"/>
      </w:rPr>
    </w:lvl>
    <w:lvl w:ilvl="8" w:tplc="55226B06">
      <w:numFmt w:val="bullet"/>
      <w:lvlText w:val="•"/>
      <w:lvlJc w:val="left"/>
      <w:pPr>
        <w:ind w:left="8329" w:hanging="529"/>
      </w:pPr>
      <w:rPr>
        <w:rFonts w:hint="default"/>
        <w:lang w:val="zh-CN" w:eastAsia="zh-CN" w:bidi="zh-CN"/>
      </w:rPr>
    </w:lvl>
  </w:abstractNum>
  <w:abstractNum w:abstractNumId="763" w15:restartNumberingAfterBreak="0">
    <w:nsid w:val="666032FC"/>
    <w:multiLevelType w:val="hybridMultilevel"/>
    <w:tmpl w:val="6988EE40"/>
    <w:lvl w:ilvl="0" w:tplc="B978DD1A">
      <w:start w:val="6"/>
      <w:numFmt w:val="decimal"/>
      <w:lvlText w:val="%1"/>
      <w:lvlJc w:val="left"/>
      <w:pPr>
        <w:ind w:left="1369" w:hanging="529"/>
        <w:jc w:val="left"/>
      </w:pPr>
      <w:rPr>
        <w:rFonts w:hint="default"/>
        <w:lang w:val="zh-CN" w:eastAsia="zh-CN" w:bidi="zh-CN"/>
      </w:rPr>
    </w:lvl>
    <w:lvl w:ilvl="1" w:tplc="C4903952">
      <w:start w:val="3"/>
      <w:numFmt w:val="decimal"/>
      <w:lvlText w:val="%1.%2"/>
      <w:lvlJc w:val="left"/>
      <w:pPr>
        <w:ind w:left="1369" w:hanging="529"/>
        <w:jc w:val="left"/>
      </w:pPr>
      <w:rPr>
        <w:rFonts w:hint="default"/>
        <w:lang w:val="zh-CN" w:eastAsia="zh-CN" w:bidi="zh-CN"/>
      </w:rPr>
    </w:lvl>
    <w:lvl w:ilvl="2" w:tplc="7C4CF28E">
      <w:start w:val="2"/>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FA5C2B8A">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D9AC3186">
      <w:numFmt w:val="bullet"/>
      <w:lvlText w:val="•"/>
      <w:lvlJc w:val="left"/>
      <w:pPr>
        <w:ind w:left="4602" w:hanging="738"/>
      </w:pPr>
      <w:rPr>
        <w:rFonts w:hint="default"/>
        <w:lang w:val="zh-CN" w:eastAsia="zh-CN" w:bidi="zh-CN"/>
      </w:rPr>
    </w:lvl>
    <w:lvl w:ilvl="5" w:tplc="67C0C434">
      <w:numFmt w:val="bullet"/>
      <w:lvlText w:val="•"/>
      <w:lvlJc w:val="left"/>
      <w:pPr>
        <w:ind w:left="5609" w:hanging="738"/>
      </w:pPr>
      <w:rPr>
        <w:rFonts w:hint="default"/>
        <w:lang w:val="zh-CN" w:eastAsia="zh-CN" w:bidi="zh-CN"/>
      </w:rPr>
    </w:lvl>
    <w:lvl w:ilvl="6" w:tplc="B94E5C22">
      <w:numFmt w:val="bullet"/>
      <w:lvlText w:val="•"/>
      <w:lvlJc w:val="left"/>
      <w:pPr>
        <w:ind w:left="6616" w:hanging="738"/>
      </w:pPr>
      <w:rPr>
        <w:rFonts w:hint="default"/>
        <w:lang w:val="zh-CN" w:eastAsia="zh-CN" w:bidi="zh-CN"/>
      </w:rPr>
    </w:lvl>
    <w:lvl w:ilvl="7" w:tplc="03648CEC">
      <w:numFmt w:val="bullet"/>
      <w:lvlText w:val="•"/>
      <w:lvlJc w:val="left"/>
      <w:pPr>
        <w:ind w:left="7624" w:hanging="738"/>
      </w:pPr>
      <w:rPr>
        <w:rFonts w:hint="default"/>
        <w:lang w:val="zh-CN" w:eastAsia="zh-CN" w:bidi="zh-CN"/>
      </w:rPr>
    </w:lvl>
    <w:lvl w:ilvl="8" w:tplc="CC101AD8">
      <w:numFmt w:val="bullet"/>
      <w:lvlText w:val="•"/>
      <w:lvlJc w:val="left"/>
      <w:pPr>
        <w:ind w:left="8631" w:hanging="738"/>
      </w:pPr>
      <w:rPr>
        <w:rFonts w:hint="default"/>
        <w:lang w:val="zh-CN" w:eastAsia="zh-CN" w:bidi="zh-CN"/>
      </w:rPr>
    </w:lvl>
  </w:abstractNum>
  <w:abstractNum w:abstractNumId="764" w15:restartNumberingAfterBreak="0">
    <w:nsid w:val="669E038E"/>
    <w:multiLevelType w:val="hybridMultilevel"/>
    <w:tmpl w:val="3C4E0AD0"/>
    <w:lvl w:ilvl="0" w:tplc="485EA2EA">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5D5AACB6">
      <w:numFmt w:val="bullet"/>
      <w:lvlText w:val="•"/>
      <w:lvlJc w:val="left"/>
      <w:pPr>
        <w:ind w:left="2288" w:hanging="529"/>
      </w:pPr>
      <w:rPr>
        <w:rFonts w:hint="default"/>
        <w:lang w:val="zh-CN" w:eastAsia="zh-CN" w:bidi="zh-CN"/>
      </w:rPr>
    </w:lvl>
    <w:lvl w:ilvl="2" w:tplc="30CEA256">
      <w:numFmt w:val="bullet"/>
      <w:lvlText w:val="•"/>
      <w:lvlJc w:val="left"/>
      <w:pPr>
        <w:ind w:left="3217" w:hanging="529"/>
      </w:pPr>
      <w:rPr>
        <w:rFonts w:hint="default"/>
        <w:lang w:val="zh-CN" w:eastAsia="zh-CN" w:bidi="zh-CN"/>
      </w:rPr>
    </w:lvl>
    <w:lvl w:ilvl="3" w:tplc="2876A650">
      <w:numFmt w:val="bullet"/>
      <w:lvlText w:val="•"/>
      <w:lvlJc w:val="left"/>
      <w:pPr>
        <w:ind w:left="4145" w:hanging="529"/>
      </w:pPr>
      <w:rPr>
        <w:rFonts w:hint="default"/>
        <w:lang w:val="zh-CN" w:eastAsia="zh-CN" w:bidi="zh-CN"/>
      </w:rPr>
    </w:lvl>
    <w:lvl w:ilvl="4" w:tplc="D9D0C1BE">
      <w:numFmt w:val="bullet"/>
      <w:lvlText w:val="•"/>
      <w:lvlJc w:val="left"/>
      <w:pPr>
        <w:ind w:left="5074" w:hanging="529"/>
      </w:pPr>
      <w:rPr>
        <w:rFonts w:hint="default"/>
        <w:lang w:val="zh-CN" w:eastAsia="zh-CN" w:bidi="zh-CN"/>
      </w:rPr>
    </w:lvl>
    <w:lvl w:ilvl="5" w:tplc="2B46A364">
      <w:numFmt w:val="bullet"/>
      <w:lvlText w:val="•"/>
      <w:lvlJc w:val="left"/>
      <w:pPr>
        <w:ind w:left="6003" w:hanging="529"/>
      </w:pPr>
      <w:rPr>
        <w:rFonts w:hint="default"/>
        <w:lang w:val="zh-CN" w:eastAsia="zh-CN" w:bidi="zh-CN"/>
      </w:rPr>
    </w:lvl>
    <w:lvl w:ilvl="6" w:tplc="C16858AC">
      <w:numFmt w:val="bullet"/>
      <w:lvlText w:val="•"/>
      <w:lvlJc w:val="left"/>
      <w:pPr>
        <w:ind w:left="6931" w:hanging="529"/>
      </w:pPr>
      <w:rPr>
        <w:rFonts w:hint="default"/>
        <w:lang w:val="zh-CN" w:eastAsia="zh-CN" w:bidi="zh-CN"/>
      </w:rPr>
    </w:lvl>
    <w:lvl w:ilvl="7" w:tplc="27961AC6">
      <w:numFmt w:val="bullet"/>
      <w:lvlText w:val="•"/>
      <w:lvlJc w:val="left"/>
      <w:pPr>
        <w:ind w:left="7860" w:hanging="529"/>
      </w:pPr>
      <w:rPr>
        <w:rFonts w:hint="default"/>
        <w:lang w:val="zh-CN" w:eastAsia="zh-CN" w:bidi="zh-CN"/>
      </w:rPr>
    </w:lvl>
    <w:lvl w:ilvl="8" w:tplc="8572D636">
      <w:numFmt w:val="bullet"/>
      <w:lvlText w:val="•"/>
      <w:lvlJc w:val="left"/>
      <w:pPr>
        <w:ind w:left="8789" w:hanging="529"/>
      </w:pPr>
      <w:rPr>
        <w:rFonts w:hint="default"/>
        <w:lang w:val="zh-CN" w:eastAsia="zh-CN" w:bidi="zh-CN"/>
      </w:rPr>
    </w:lvl>
  </w:abstractNum>
  <w:abstractNum w:abstractNumId="765" w15:restartNumberingAfterBreak="0">
    <w:nsid w:val="669E09CE"/>
    <w:multiLevelType w:val="hybridMultilevel"/>
    <w:tmpl w:val="8FDC9796"/>
    <w:lvl w:ilvl="0" w:tplc="CFFC8286">
      <w:start w:val="4"/>
      <w:numFmt w:val="decimal"/>
      <w:lvlText w:val="%1"/>
      <w:lvlJc w:val="left"/>
      <w:pPr>
        <w:ind w:left="1995" w:hanging="1158"/>
        <w:jc w:val="left"/>
      </w:pPr>
      <w:rPr>
        <w:rFonts w:hint="default"/>
        <w:lang w:val="zh-CN" w:eastAsia="zh-CN" w:bidi="zh-CN"/>
      </w:rPr>
    </w:lvl>
    <w:lvl w:ilvl="1" w:tplc="B9F2EA92">
      <w:start w:val="4"/>
      <w:numFmt w:val="decimal"/>
      <w:lvlText w:val="%1.%2"/>
      <w:lvlJc w:val="left"/>
      <w:pPr>
        <w:ind w:left="1995" w:hanging="1158"/>
        <w:jc w:val="left"/>
      </w:pPr>
      <w:rPr>
        <w:rFonts w:hint="default"/>
        <w:lang w:val="zh-CN" w:eastAsia="zh-CN" w:bidi="zh-CN"/>
      </w:rPr>
    </w:lvl>
    <w:lvl w:ilvl="2" w:tplc="65DAD568">
      <w:start w:val="4"/>
      <w:numFmt w:val="decimal"/>
      <w:lvlText w:val="%1.%2.%3"/>
      <w:lvlJc w:val="left"/>
      <w:pPr>
        <w:ind w:left="1995" w:hanging="1158"/>
        <w:jc w:val="left"/>
      </w:pPr>
      <w:rPr>
        <w:rFonts w:hint="default"/>
        <w:lang w:val="zh-CN" w:eastAsia="zh-CN" w:bidi="zh-CN"/>
      </w:rPr>
    </w:lvl>
    <w:lvl w:ilvl="3" w:tplc="9A983026">
      <w:start w:val="2"/>
      <w:numFmt w:val="decimal"/>
      <w:lvlText w:val="%1.%2.%3.%4"/>
      <w:lvlJc w:val="left"/>
      <w:pPr>
        <w:ind w:left="1995" w:hanging="1158"/>
        <w:jc w:val="left"/>
      </w:pPr>
      <w:rPr>
        <w:rFonts w:hint="default"/>
        <w:lang w:val="zh-CN" w:eastAsia="zh-CN" w:bidi="zh-CN"/>
      </w:rPr>
    </w:lvl>
    <w:lvl w:ilvl="4" w:tplc="8806CECA">
      <w:start w:val="5"/>
      <w:numFmt w:val="decimal"/>
      <w:lvlText w:val="%1.%2.%3.%4.%5"/>
      <w:lvlJc w:val="left"/>
      <w:pPr>
        <w:ind w:left="1995" w:hanging="1158"/>
        <w:jc w:val="left"/>
      </w:pPr>
      <w:rPr>
        <w:rFonts w:hint="default"/>
        <w:lang w:val="zh-CN" w:eastAsia="zh-CN" w:bidi="zh-CN"/>
      </w:rPr>
    </w:lvl>
    <w:lvl w:ilvl="5" w:tplc="97087C16">
      <w:start w:val="1"/>
      <w:numFmt w:val="decimal"/>
      <w:lvlText w:val="%1.%2.%3.%4.%5.%6"/>
      <w:lvlJc w:val="left"/>
      <w:pPr>
        <w:ind w:left="1995" w:hanging="1158"/>
        <w:jc w:val="left"/>
      </w:pPr>
      <w:rPr>
        <w:rFonts w:ascii="宋体" w:eastAsia="宋体" w:hAnsi="宋体" w:cs="宋体" w:hint="default"/>
        <w:spacing w:val="-3"/>
        <w:w w:val="100"/>
        <w:sz w:val="19"/>
        <w:szCs w:val="19"/>
        <w:lang w:val="zh-CN" w:eastAsia="zh-CN" w:bidi="zh-CN"/>
      </w:rPr>
    </w:lvl>
    <w:lvl w:ilvl="6" w:tplc="C12EAC5A">
      <w:numFmt w:val="bullet"/>
      <w:lvlText w:val="•"/>
      <w:lvlJc w:val="left"/>
      <w:pPr>
        <w:ind w:left="7187" w:hanging="1158"/>
      </w:pPr>
      <w:rPr>
        <w:rFonts w:hint="default"/>
        <w:lang w:val="zh-CN" w:eastAsia="zh-CN" w:bidi="zh-CN"/>
      </w:rPr>
    </w:lvl>
    <w:lvl w:ilvl="7" w:tplc="A838FF34">
      <w:numFmt w:val="bullet"/>
      <w:lvlText w:val="•"/>
      <w:lvlJc w:val="left"/>
      <w:pPr>
        <w:ind w:left="8052" w:hanging="1158"/>
      </w:pPr>
      <w:rPr>
        <w:rFonts w:hint="default"/>
        <w:lang w:val="zh-CN" w:eastAsia="zh-CN" w:bidi="zh-CN"/>
      </w:rPr>
    </w:lvl>
    <w:lvl w:ilvl="8" w:tplc="28DCE676">
      <w:numFmt w:val="bullet"/>
      <w:lvlText w:val="•"/>
      <w:lvlJc w:val="left"/>
      <w:pPr>
        <w:ind w:left="8917" w:hanging="1158"/>
      </w:pPr>
      <w:rPr>
        <w:rFonts w:hint="default"/>
        <w:lang w:val="zh-CN" w:eastAsia="zh-CN" w:bidi="zh-CN"/>
      </w:rPr>
    </w:lvl>
  </w:abstractNum>
  <w:abstractNum w:abstractNumId="766" w15:restartNumberingAfterBreak="0">
    <w:nsid w:val="66A5158A"/>
    <w:multiLevelType w:val="hybridMultilevel"/>
    <w:tmpl w:val="FD5E99D4"/>
    <w:lvl w:ilvl="0" w:tplc="D92283E0">
      <w:start w:val="8"/>
      <w:numFmt w:val="decimal"/>
      <w:lvlText w:val="%1"/>
      <w:lvlJc w:val="left"/>
      <w:pPr>
        <w:ind w:left="1575" w:hanging="738"/>
        <w:jc w:val="left"/>
      </w:pPr>
      <w:rPr>
        <w:rFonts w:hint="default"/>
        <w:lang w:val="zh-CN" w:eastAsia="zh-CN" w:bidi="zh-CN"/>
      </w:rPr>
    </w:lvl>
    <w:lvl w:ilvl="1" w:tplc="88049CC0">
      <w:start w:val="6"/>
      <w:numFmt w:val="decimal"/>
      <w:lvlText w:val="%1.%2"/>
      <w:lvlJc w:val="left"/>
      <w:pPr>
        <w:ind w:left="1575" w:hanging="738"/>
        <w:jc w:val="left"/>
      </w:pPr>
      <w:rPr>
        <w:rFonts w:hint="default"/>
        <w:lang w:val="zh-CN" w:eastAsia="zh-CN" w:bidi="zh-CN"/>
      </w:rPr>
    </w:lvl>
    <w:lvl w:ilvl="2" w:tplc="05641BB2">
      <w:start w:val="2"/>
      <w:numFmt w:val="decimal"/>
      <w:lvlText w:val="%1.%2.%3"/>
      <w:lvlJc w:val="left"/>
      <w:pPr>
        <w:ind w:left="1575" w:hanging="738"/>
        <w:jc w:val="left"/>
      </w:pPr>
      <w:rPr>
        <w:rFonts w:hint="default"/>
        <w:lang w:val="zh-CN" w:eastAsia="zh-CN" w:bidi="zh-CN"/>
      </w:rPr>
    </w:lvl>
    <w:lvl w:ilvl="3" w:tplc="D6341D18">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A7E207F8">
      <w:numFmt w:val="bullet"/>
      <w:lvlText w:val="•"/>
      <w:lvlJc w:val="left"/>
      <w:pPr>
        <w:ind w:left="5206" w:hanging="738"/>
      </w:pPr>
      <w:rPr>
        <w:rFonts w:hint="default"/>
        <w:lang w:val="zh-CN" w:eastAsia="zh-CN" w:bidi="zh-CN"/>
      </w:rPr>
    </w:lvl>
    <w:lvl w:ilvl="5" w:tplc="FC863120">
      <w:numFmt w:val="bullet"/>
      <w:lvlText w:val="•"/>
      <w:lvlJc w:val="left"/>
      <w:pPr>
        <w:ind w:left="6113" w:hanging="738"/>
      </w:pPr>
      <w:rPr>
        <w:rFonts w:hint="default"/>
        <w:lang w:val="zh-CN" w:eastAsia="zh-CN" w:bidi="zh-CN"/>
      </w:rPr>
    </w:lvl>
    <w:lvl w:ilvl="6" w:tplc="E77E646A">
      <w:numFmt w:val="bullet"/>
      <w:lvlText w:val="•"/>
      <w:lvlJc w:val="left"/>
      <w:pPr>
        <w:ind w:left="7019" w:hanging="738"/>
      </w:pPr>
      <w:rPr>
        <w:rFonts w:hint="default"/>
        <w:lang w:val="zh-CN" w:eastAsia="zh-CN" w:bidi="zh-CN"/>
      </w:rPr>
    </w:lvl>
    <w:lvl w:ilvl="7" w:tplc="94003788">
      <w:numFmt w:val="bullet"/>
      <w:lvlText w:val="•"/>
      <w:lvlJc w:val="left"/>
      <w:pPr>
        <w:ind w:left="7926" w:hanging="738"/>
      </w:pPr>
      <w:rPr>
        <w:rFonts w:hint="default"/>
        <w:lang w:val="zh-CN" w:eastAsia="zh-CN" w:bidi="zh-CN"/>
      </w:rPr>
    </w:lvl>
    <w:lvl w:ilvl="8" w:tplc="CD001C1A">
      <w:numFmt w:val="bullet"/>
      <w:lvlText w:val="•"/>
      <w:lvlJc w:val="left"/>
      <w:pPr>
        <w:ind w:left="8833" w:hanging="738"/>
      </w:pPr>
      <w:rPr>
        <w:rFonts w:hint="default"/>
        <w:lang w:val="zh-CN" w:eastAsia="zh-CN" w:bidi="zh-CN"/>
      </w:rPr>
    </w:lvl>
  </w:abstractNum>
  <w:abstractNum w:abstractNumId="767" w15:restartNumberingAfterBreak="0">
    <w:nsid w:val="66DD03D6"/>
    <w:multiLevelType w:val="hybridMultilevel"/>
    <w:tmpl w:val="D504AF8E"/>
    <w:lvl w:ilvl="0" w:tplc="60923370">
      <w:start w:val="1"/>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9F0C2A2C">
      <w:numFmt w:val="bullet"/>
      <w:lvlText w:val="•"/>
      <w:lvlJc w:val="left"/>
      <w:pPr>
        <w:ind w:left="2018" w:hanging="213"/>
      </w:pPr>
      <w:rPr>
        <w:rFonts w:hint="default"/>
        <w:lang w:val="zh-CN" w:eastAsia="zh-CN" w:bidi="zh-CN"/>
      </w:rPr>
    </w:lvl>
    <w:lvl w:ilvl="2" w:tplc="295C0A04">
      <w:numFmt w:val="bullet"/>
      <w:lvlText w:val="•"/>
      <w:lvlJc w:val="left"/>
      <w:pPr>
        <w:ind w:left="2977" w:hanging="213"/>
      </w:pPr>
      <w:rPr>
        <w:rFonts w:hint="default"/>
        <w:lang w:val="zh-CN" w:eastAsia="zh-CN" w:bidi="zh-CN"/>
      </w:rPr>
    </w:lvl>
    <w:lvl w:ilvl="3" w:tplc="755CA504">
      <w:numFmt w:val="bullet"/>
      <w:lvlText w:val="•"/>
      <w:lvlJc w:val="left"/>
      <w:pPr>
        <w:ind w:left="3935" w:hanging="213"/>
      </w:pPr>
      <w:rPr>
        <w:rFonts w:hint="default"/>
        <w:lang w:val="zh-CN" w:eastAsia="zh-CN" w:bidi="zh-CN"/>
      </w:rPr>
    </w:lvl>
    <w:lvl w:ilvl="4" w:tplc="0250276C">
      <w:numFmt w:val="bullet"/>
      <w:lvlText w:val="•"/>
      <w:lvlJc w:val="left"/>
      <w:pPr>
        <w:ind w:left="4894" w:hanging="213"/>
      </w:pPr>
      <w:rPr>
        <w:rFonts w:hint="default"/>
        <w:lang w:val="zh-CN" w:eastAsia="zh-CN" w:bidi="zh-CN"/>
      </w:rPr>
    </w:lvl>
    <w:lvl w:ilvl="5" w:tplc="DB1A2BB8">
      <w:numFmt w:val="bullet"/>
      <w:lvlText w:val="•"/>
      <w:lvlJc w:val="left"/>
      <w:pPr>
        <w:ind w:left="5853" w:hanging="213"/>
      </w:pPr>
      <w:rPr>
        <w:rFonts w:hint="default"/>
        <w:lang w:val="zh-CN" w:eastAsia="zh-CN" w:bidi="zh-CN"/>
      </w:rPr>
    </w:lvl>
    <w:lvl w:ilvl="6" w:tplc="BC76B0EC">
      <w:numFmt w:val="bullet"/>
      <w:lvlText w:val="•"/>
      <w:lvlJc w:val="left"/>
      <w:pPr>
        <w:ind w:left="6811" w:hanging="213"/>
      </w:pPr>
      <w:rPr>
        <w:rFonts w:hint="default"/>
        <w:lang w:val="zh-CN" w:eastAsia="zh-CN" w:bidi="zh-CN"/>
      </w:rPr>
    </w:lvl>
    <w:lvl w:ilvl="7" w:tplc="DD5EEB5A">
      <w:numFmt w:val="bullet"/>
      <w:lvlText w:val="•"/>
      <w:lvlJc w:val="left"/>
      <w:pPr>
        <w:ind w:left="7770" w:hanging="213"/>
      </w:pPr>
      <w:rPr>
        <w:rFonts w:hint="default"/>
        <w:lang w:val="zh-CN" w:eastAsia="zh-CN" w:bidi="zh-CN"/>
      </w:rPr>
    </w:lvl>
    <w:lvl w:ilvl="8" w:tplc="998C11EE">
      <w:numFmt w:val="bullet"/>
      <w:lvlText w:val="•"/>
      <w:lvlJc w:val="left"/>
      <w:pPr>
        <w:ind w:left="8729" w:hanging="213"/>
      </w:pPr>
      <w:rPr>
        <w:rFonts w:hint="default"/>
        <w:lang w:val="zh-CN" w:eastAsia="zh-CN" w:bidi="zh-CN"/>
      </w:rPr>
    </w:lvl>
  </w:abstractNum>
  <w:abstractNum w:abstractNumId="768" w15:restartNumberingAfterBreak="0">
    <w:nsid w:val="66E95653"/>
    <w:multiLevelType w:val="hybridMultilevel"/>
    <w:tmpl w:val="D02A7E66"/>
    <w:lvl w:ilvl="0" w:tplc="A844B520">
      <w:start w:val="4"/>
      <w:numFmt w:val="decimal"/>
      <w:lvlText w:val="%1"/>
      <w:lvlJc w:val="left"/>
      <w:pPr>
        <w:ind w:left="1158" w:hanging="318"/>
        <w:jc w:val="left"/>
      </w:pPr>
      <w:rPr>
        <w:rFonts w:hint="default"/>
        <w:lang w:val="zh-CN" w:eastAsia="zh-CN" w:bidi="zh-CN"/>
      </w:rPr>
    </w:lvl>
    <w:lvl w:ilvl="1" w:tplc="0A06D738">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14D818FE">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1DD02BBC">
      <w:numFmt w:val="bullet"/>
      <w:lvlText w:val="•"/>
      <w:lvlJc w:val="left"/>
      <w:pPr>
        <w:ind w:left="3268" w:hanging="529"/>
      </w:pPr>
      <w:rPr>
        <w:rFonts w:hint="default"/>
        <w:lang w:val="zh-CN" w:eastAsia="zh-CN" w:bidi="zh-CN"/>
      </w:rPr>
    </w:lvl>
    <w:lvl w:ilvl="4" w:tplc="440E2D42">
      <w:numFmt w:val="bullet"/>
      <w:lvlText w:val="•"/>
      <w:lvlJc w:val="left"/>
      <w:pPr>
        <w:ind w:left="4322" w:hanging="529"/>
      </w:pPr>
      <w:rPr>
        <w:rFonts w:hint="default"/>
        <w:lang w:val="zh-CN" w:eastAsia="zh-CN" w:bidi="zh-CN"/>
      </w:rPr>
    </w:lvl>
    <w:lvl w:ilvl="5" w:tplc="8DE0757A">
      <w:numFmt w:val="bullet"/>
      <w:lvlText w:val="•"/>
      <w:lvlJc w:val="left"/>
      <w:pPr>
        <w:ind w:left="5376" w:hanging="529"/>
      </w:pPr>
      <w:rPr>
        <w:rFonts w:hint="default"/>
        <w:lang w:val="zh-CN" w:eastAsia="zh-CN" w:bidi="zh-CN"/>
      </w:rPr>
    </w:lvl>
    <w:lvl w:ilvl="6" w:tplc="6E08C802">
      <w:numFmt w:val="bullet"/>
      <w:lvlText w:val="•"/>
      <w:lvlJc w:val="left"/>
      <w:pPr>
        <w:ind w:left="6430" w:hanging="529"/>
      </w:pPr>
      <w:rPr>
        <w:rFonts w:hint="default"/>
        <w:lang w:val="zh-CN" w:eastAsia="zh-CN" w:bidi="zh-CN"/>
      </w:rPr>
    </w:lvl>
    <w:lvl w:ilvl="7" w:tplc="7652AD7A">
      <w:numFmt w:val="bullet"/>
      <w:lvlText w:val="•"/>
      <w:lvlJc w:val="left"/>
      <w:pPr>
        <w:ind w:left="7484" w:hanging="529"/>
      </w:pPr>
      <w:rPr>
        <w:rFonts w:hint="default"/>
        <w:lang w:val="zh-CN" w:eastAsia="zh-CN" w:bidi="zh-CN"/>
      </w:rPr>
    </w:lvl>
    <w:lvl w:ilvl="8" w:tplc="D65C20B8">
      <w:numFmt w:val="bullet"/>
      <w:lvlText w:val="•"/>
      <w:lvlJc w:val="left"/>
      <w:pPr>
        <w:ind w:left="8538" w:hanging="529"/>
      </w:pPr>
      <w:rPr>
        <w:rFonts w:hint="default"/>
        <w:lang w:val="zh-CN" w:eastAsia="zh-CN" w:bidi="zh-CN"/>
      </w:rPr>
    </w:lvl>
  </w:abstractNum>
  <w:abstractNum w:abstractNumId="769" w15:restartNumberingAfterBreak="0">
    <w:nsid w:val="66F93C9E"/>
    <w:multiLevelType w:val="hybridMultilevel"/>
    <w:tmpl w:val="93AA7F4E"/>
    <w:lvl w:ilvl="0" w:tplc="6470B17A">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289421E0">
      <w:numFmt w:val="bullet"/>
      <w:lvlText w:val="•"/>
      <w:lvlJc w:val="left"/>
      <w:pPr>
        <w:ind w:left="1442" w:hanging="529"/>
      </w:pPr>
      <w:rPr>
        <w:rFonts w:hint="default"/>
        <w:lang w:val="zh-CN" w:eastAsia="zh-CN" w:bidi="zh-CN"/>
      </w:rPr>
    </w:lvl>
    <w:lvl w:ilvl="2" w:tplc="EB325B16">
      <w:numFmt w:val="bullet"/>
      <w:lvlText w:val="•"/>
      <w:lvlJc w:val="left"/>
      <w:pPr>
        <w:ind w:left="2465" w:hanging="529"/>
      </w:pPr>
      <w:rPr>
        <w:rFonts w:hint="default"/>
        <w:lang w:val="zh-CN" w:eastAsia="zh-CN" w:bidi="zh-CN"/>
      </w:rPr>
    </w:lvl>
    <w:lvl w:ilvl="3" w:tplc="BE4E4DF4">
      <w:numFmt w:val="bullet"/>
      <w:lvlText w:val="•"/>
      <w:lvlJc w:val="left"/>
      <w:pPr>
        <w:ind w:left="3487" w:hanging="529"/>
      </w:pPr>
      <w:rPr>
        <w:rFonts w:hint="default"/>
        <w:lang w:val="zh-CN" w:eastAsia="zh-CN" w:bidi="zh-CN"/>
      </w:rPr>
    </w:lvl>
    <w:lvl w:ilvl="4" w:tplc="D9620A4C">
      <w:numFmt w:val="bullet"/>
      <w:lvlText w:val="•"/>
      <w:lvlJc w:val="left"/>
      <w:pPr>
        <w:ind w:left="4510" w:hanging="529"/>
      </w:pPr>
      <w:rPr>
        <w:rFonts w:hint="default"/>
        <w:lang w:val="zh-CN" w:eastAsia="zh-CN" w:bidi="zh-CN"/>
      </w:rPr>
    </w:lvl>
    <w:lvl w:ilvl="5" w:tplc="43D234A0">
      <w:numFmt w:val="bullet"/>
      <w:lvlText w:val="•"/>
      <w:lvlJc w:val="left"/>
      <w:pPr>
        <w:ind w:left="5533" w:hanging="529"/>
      </w:pPr>
      <w:rPr>
        <w:rFonts w:hint="default"/>
        <w:lang w:val="zh-CN" w:eastAsia="zh-CN" w:bidi="zh-CN"/>
      </w:rPr>
    </w:lvl>
    <w:lvl w:ilvl="6" w:tplc="38101F2E">
      <w:numFmt w:val="bullet"/>
      <w:lvlText w:val="•"/>
      <w:lvlJc w:val="left"/>
      <w:pPr>
        <w:ind w:left="6555" w:hanging="529"/>
      </w:pPr>
      <w:rPr>
        <w:rFonts w:hint="default"/>
        <w:lang w:val="zh-CN" w:eastAsia="zh-CN" w:bidi="zh-CN"/>
      </w:rPr>
    </w:lvl>
    <w:lvl w:ilvl="7" w:tplc="9746BF1A">
      <w:numFmt w:val="bullet"/>
      <w:lvlText w:val="•"/>
      <w:lvlJc w:val="left"/>
      <w:pPr>
        <w:ind w:left="7578" w:hanging="529"/>
      </w:pPr>
      <w:rPr>
        <w:rFonts w:hint="default"/>
        <w:lang w:val="zh-CN" w:eastAsia="zh-CN" w:bidi="zh-CN"/>
      </w:rPr>
    </w:lvl>
    <w:lvl w:ilvl="8" w:tplc="BDCE21D0">
      <w:numFmt w:val="bullet"/>
      <w:lvlText w:val="•"/>
      <w:lvlJc w:val="left"/>
      <w:pPr>
        <w:ind w:left="8601" w:hanging="529"/>
      </w:pPr>
      <w:rPr>
        <w:rFonts w:hint="default"/>
        <w:lang w:val="zh-CN" w:eastAsia="zh-CN" w:bidi="zh-CN"/>
      </w:rPr>
    </w:lvl>
  </w:abstractNum>
  <w:abstractNum w:abstractNumId="770" w15:restartNumberingAfterBreak="0">
    <w:nsid w:val="67002D2C"/>
    <w:multiLevelType w:val="hybridMultilevel"/>
    <w:tmpl w:val="6F663FE0"/>
    <w:lvl w:ilvl="0" w:tplc="E1A07C9A">
      <w:start w:val="5"/>
      <w:numFmt w:val="decimal"/>
      <w:lvlText w:val="%1"/>
      <w:lvlJc w:val="left"/>
      <w:pPr>
        <w:ind w:left="1158" w:hanging="318"/>
        <w:jc w:val="left"/>
      </w:pPr>
      <w:rPr>
        <w:rFonts w:hint="default"/>
        <w:lang w:val="zh-CN" w:eastAsia="zh-CN" w:bidi="zh-CN"/>
      </w:rPr>
    </w:lvl>
    <w:lvl w:ilvl="1" w:tplc="A9664F5A">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908E124A">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F94A21F8">
      <w:numFmt w:val="bullet"/>
      <w:lvlText w:val="•"/>
      <w:lvlJc w:val="left"/>
      <w:pPr>
        <w:ind w:left="2538" w:hanging="531"/>
      </w:pPr>
      <w:rPr>
        <w:rFonts w:hint="default"/>
        <w:lang w:val="zh-CN" w:eastAsia="zh-CN" w:bidi="zh-CN"/>
      </w:rPr>
    </w:lvl>
    <w:lvl w:ilvl="4" w:tplc="B2340AB4">
      <w:numFmt w:val="bullet"/>
      <w:lvlText w:val="•"/>
      <w:lvlJc w:val="left"/>
      <w:pPr>
        <w:ind w:left="3696" w:hanging="531"/>
      </w:pPr>
      <w:rPr>
        <w:rFonts w:hint="default"/>
        <w:lang w:val="zh-CN" w:eastAsia="zh-CN" w:bidi="zh-CN"/>
      </w:rPr>
    </w:lvl>
    <w:lvl w:ilvl="5" w:tplc="16E6D29C">
      <w:numFmt w:val="bullet"/>
      <w:lvlText w:val="•"/>
      <w:lvlJc w:val="left"/>
      <w:pPr>
        <w:ind w:left="4854" w:hanging="531"/>
      </w:pPr>
      <w:rPr>
        <w:rFonts w:hint="default"/>
        <w:lang w:val="zh-CN" w:eastAsia="zh-CN" w:bidi="zh-CN"/>
      </w:rPr>
    </w:lvl>
    <w:lvl w:ilvl="6" w:tplc="66927E8A">
      <w:numFmt w:val="bullet"/>
      <w:lvlText w:val="•"/>
      <w:lvlJc w:val="left"/>
      <w:pPr>
        <w:ind w:left="6013" w:hanging="531"/>
      </w:pPr>
      <w:rPr>
        <w:rFonts w:hint="default"/>
        <w:lang w:val="zh-CN" w:eastAsia="zh-CN" w:bidi="zh-CN"/>
      </w:rPr>
    </w:lvl>
    <w:lvl w:ilvl="7" w:tplc="E064DBB2">
      <w:numFmt w:val="bullet"/>
      <w:lvlText w:val="•"/>
      <w:lvlJc w:val="left"/>
      <w:pPr>
        <w:ind w:left="7171" w:hanging="531"/>
      </w:pPr>
      <w:rPr>
        <w:rFonts w:hint="default"/>
        <w:lang w:val="zh-CN" w:eastAsia="zh-CN" w:bidi="zh-CN"/>
      </w:rPr>
    </w:lvl>
    <w:lvl w:ilvl="8" w:tplc="EDAA2DDC">
      <w:numFmt w:val="bullet"/>
      <w:lvlText w:val="•"/>
      <w:lvlJc w:val="left"/>
      <w:pPr>
        <w:ind w:left="8329" w:hanging="531"/>
      </w:pPr>
      <w:rPr>
        <w:rFonts w:hint="default"/>
        <w:lang w:val="zh-CN" w:eastAsia="zh-CN" w:bidi="zh-CN"/>
      </w:rPr>
    </w:lvl>
  </w:abstractNum>
  <w:abstractNum w:abstractNumId="771" w15:restartNumberingAfterBreak="0">
    <w:nsid w:val="671B49ED"/>
    <w:multiLevelType w:val="hybridMultilevel"/>
    <w:tmpl w:val="87E27CEC"/>
    <w:lvl w:ilvl="0" w:tplc="C678A268">
      <w:start w:val="5"/>
      <w:numFmt w:val="decimal"/>
      <w:lvlText w:val="%1"/>
      <w:lvlJc w:val="left"/>
      <w:pPr>
        <w:ind w:left="1158" w:hanging="318"/>
        <w:jc w:val="left"/>
      </w:pPr>
      <w:rPr>
        <w:rFonts w:hint="default"/>
        <w:lang w:val="zh-CN" w:eastAsia="zh-CN" w:bidi="zh-CN"/>
      </w:rPr>
    </w:lvl>
    <w:lvl w:ilvl="1" w:tplc="05D2ABA8">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BD2A8DBC">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E5EE69D8">
      <w:numFmt w:val="bullet"/>
      <w:lvlText w:val="•"/>
      <w:lvlJc w:val="left"/>
      <w:pPr>
        <w:ind w:left="1420" w:hanging="531"/>
      </w:pPr>
      <w:rPr>
        <w:rFonts w:hint="default"/>
        <w:lang w:val="zh-CN" w:eastAsia="zh-CN" w:bidi="zh-CN"/>
      </w:rPr>
    </w:lvl>
    <w:lvl w:ilvl="4" w:tplc="EA043D12">
      <w:numFmt w:val="bullet"/>
      <w:lvlText w:val="•"/>
      <w:lvlJc w:val="left"/>
      <w:pPr>
        <w:ind w:left="2738" w:hanging="531"/>
      </w:pPr>
      <w:rPr>
        <w:rFonts w:hint="default"/>
        <w:lang w:val="zh-CN" w:eastAsia="zh-CN" w:bidi="zh-CN"/>
      </w:rPr>
    </w:lvl>
    <w:lvl w:ilvl="5" w:tplc="4ECC7B6C">
      <w:numFmt w:val="bullet"/>
      <w:lvlText w:val="•"/>
      <w:lvlJc w:val="left"/>
      <w:pPr>
        <w:ind w:left="4056" w:hanging="531"/>
      </w:pPr>
      <w:rPr>
        <w:rFonts w:hint="default"/>
        <w:lang w:val="zh-CN" w:eastAsia="zh-CN" w:bidi="zh-CN"/>
      </w:rPr>
    </w:lvl>
    <w:lvl w:ilvl="6" w:tplc="81A05482">
      <w:numFmt w:val="bullet"/>
      <w:lvlText w:val="•"/>
      <w:lvlJc w:val="left"/>
      <w:pPr>
        <w:ind w:left="5374" w:hanging="531"/>
      </w:pPr>
      <w:rPr>
        <w:rFonts w:hint="default"/>
        <w:lang w:val="zh-CN" w:eastAsia="zh-CN" w:bidi="zh-CN"/>
      </w:rPr>
    </w:lvl>
    <w:lvl w:ilvl="7" w:tplc="73888D18">
      <w:numFmt w:val="bullet"/>
      <w:lvlText w:val="•"/>
      <w:lvlJc w:val="left"/>
      <w:pPr>
        <w:ind w:left="6692" w:hanging="531"/>
      </w:pPr>
      <w:rPr>
        <w:rFonts w:hint="default"/>
        <w:lang w:val="zh-CN" w:eastAsia="zh-CN" w:bidi="zh-CN"/>
      </w:rPr>
    </w:lvl>
    <w:lvl w:ilvl="8" w:tplc="3CC482CE">
      <w:numFmt w:val="bullet"/>
      <w:lvlText w:val="•"/>
      <w:lvlJc w:val="left"/>
      <w:pPr>
        <w:ind w:left="8010" w:hanging="531"/>
      </w:pPr>
      <w:rPr>
        <w:rFonts w:hint="default"/>
        <w:lang w:val="zh-CN" w:eastAsia="zh-CN" w:bidi="zh-CN"/>
      </w:rPr>
    </w:lvl>
  </w:abstractNum>
  <w:abstractNum w:abstractNumId="772" w15:restartNumberingAfterBreak="0">
    <w:nsid w:val="673B115A"/>
    <w:multiLevelType w:val="hybridMultilevel"/>
    <w:tmpl w:val="BDF29950"/>
    <w:lvl w:ilvl="0" w:tplc="F7A8763A">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16262694">
      <w:numFmt w:val="bullet"/>
      <w:lvlText w:val="•"/>
      <w:lvlJc w:val="left"/>
      <w:pPr>
        <w:ind w:left="1442" w:hanging="529"/>
      </w:pPr>
      <w:rPr>
        <w:rFonts w:hint="default"/>
        <w:lang w:val="zh-CN" w:eastAsia="zh-CN" w:bidi="zh-CN"/>
      </w:rPr>
    </w:lvl>
    <w:lvl w:ilvl="2" w:tplc="68D64678">
      <w:numFmt w:val="bullet"/>
      <w:lvlText w:val="•"/>
      <w:lvlJc w:val="left"/>
      <w:pPr>
        <w:ind w:left="2465" w:hanging="529"/>
      </w:pPr>
      <w:rPr>
        <w:rFonts w:hint="default"/>
        <w:lang w:val="zh-CN" w:eastAsia="zh-CN" w:bidi="zh-CN"/>
      </w:rPr>
    </w:lvl>
    <w:lvl w:ilvl="3" w:tplc="C86C79B0">
      <w:numFmt w:val="bullet"/>
      <w:lvlText w:val="•"/>
      <w:lvlJc w:val="left"/>
      <w:pPr>
        <w:ind w:left="3487" w:hanging="529"/>
      </w:pPr>
      <w:rPr>
        <w:rFonts w:hint="default"/>
        <w:lang w:val="zh-CN" w:eastAsia="zh-CN" w:bidi="zh-CN"/>
      </w:rPr>
    </w:lvl>
    <w:lvl w:ilvl="4" w:tplc="B622DADE">
      <w:numFmt w:val="bullet"/>
      <w:lvlText w:val="•"/>
      <w:lvlJc w:val="left"/>
      <w:pPr>
        <w:ind w:left="4510" w:hanging="529"/>
      </w:pPr>
      <w:rPr>
        <w:rFonts w:hint="default"/>
        <w:lang w:val="zh-CN" w:eastAsia="zh-CN" w:bidi="zh-CN"/>
      </w:rPr>
    </w:lvl>
    <w:lvl w:ilvl="5" w:tplc="0FA0B812">
      <w:numFmt w:val="bullet"/>
      <w:lvlText w:val="•"/>
      <w:lvlJc w:val="left"/>
      <w:pPr>
        <w:ind w:left="5533" w:hanging="529"/>
      </w:pPr>
      <w:rPr>
        <w:rFonts w:hint="default"/>
        <w:lang w:val="zh-CN" w:eastAsia="zh-CN" w:bidi="zh-CN"/>
      </w:rPr>
    </w:lvl>
    <w:lvl w:ilvl="6" w:tplc="2FAEB540">
      <w:numFmt w:val="bullet"/>
      <w:lvlText w:val="•"/>
      <w:lvlJc w:val="left"/>
      <w:pPr>
        <w:ind w:left="6555" w:hanging="529"/>
      </w:pPr>
      <w:rPr>
        <w:rFonts w:hint="default"/>
        <w:lang w:val="zh-CN" w:eastAsia="zh-CN" w:bidi="zh-CN"/>
      </w:rPr>
    </w:lvl>
    <w:lvl w:ilvl="7" w:tplc="0E229E92">
      <w:numFmt w:val="bullet"/>
      <w:lvlText w:val="•"/>
      <w:lvlJc w:val="left"/>
      <w:pPr>
        <w:ind w:left="7578" w:hanging="529"/>
      </w:pPr>
      <w:rPr>
        <w:rFonts w:hint="default"/>
        <w:lang w:val="zh-CN" w:eastAsia="zh-CN" w:bidi="zh-CN"/>
      </w:rPr>
    </w:lvl>
    <w:lvl w:ilvl="8" w:tplc="E0F23530">
      <w:numFmt w:val="bullet"/>
      <w:lvlText w:val="•"/>
      <w:lvlJc w:val="left"/>
      <w:pPr>
        <w:ind w:left="8601" w:hanging="529"/>
      </w:pPr>
      <w:rPr>
        <w:rFonts w:hint="default"/>
        <w:lang w:val="zh-CN" w:eastAsia="zh-CN" w:bidi="zh-CN"/>
      </w:rPr>
    </w:lvl>
  </w:abstractNum>
  <w:abstractNum w:abstractNumId="773" w15:restartNumberingAfterBreak="0">
    <w:nsid w:val="674F0AEE"/>
    <w:multiLevelType w:val="hybridMultilevel"/>
    <w:tmpl w:val="10CE04E2"/>
    <w:lvl w:ilvl="0" w:tplc="B9301C5A">
      <w:start w:val="1"/>
      <w:numFmt w:val="decimal"/>
      <w:lvlText w:val="（%1）"/>
      <w:lvlJc w:val="left"/>
      <w:pPr>
        <w:ind w:left="418" w:hanging="529"/>
        <w:jc w:val="left"/>
      </w:pPr>
      <w:rPr>
        <w:rFonts w:ascii="宋体" w:eastAsia="宋体" w:hAnsi="宋体" w:cs="宋体" w:hint="default"/>
        <w:spacing w:val="-48"/>
        <w:w w:val="100"/>
        <w:sz w:val="19"/>
        <w:szCs w:val="19"/>
        <w:lang w:val="zh-CN" w:eastAsia="zh-CN" w:bidi="zh-CN"/>
      </w:rPr>
    </w:lvl>
    <w:lvl w:ilvl="1" w:tplc="E826B300">
      <w:numFmt w:val="bullet"/>
      <w:lvlText w:val="•"/>
      <w:lvlJc w:val="left"/>
      <w:pPr>
        <w:ind w:left="1442" w:hanging="529"/>
      </w:pPr>
      <w:rPr>
        <w:rFonts w:hint="default"/>
        <w:lang w:val="zh-CN" w:eastAsia="zh-CN" w:bidi="zh-CN"/>
      </w:rPr>
    </w:lvl>
    <w:lvl w:ilvl="2" w:tplc="A84C0B32">
      <w:numFmt w:val="bullet"/>
      <w:lvlText w:val="•"/>
      <w:lvlJc w:val="left"/>
      <w:pPr>
        <w:ind w:left="2465" w:hanging="529"/>
      </w:pPr>
      <w:rPr>
        <w:rFonts w:hint="default"/>
        <w:lang w:val="zh-CN" w:eastAsia="zh-CN" w:bidi="zh-CN"/>
      </w:rPr>
    </w:lvl>
    <w:lvl w:ilvl="3" w:tplc="CEBCBD32">
      <w:numFmt w:val="bullet"/>
      <w:lvlText w:val="•"/>
      <w:lvlJc w:val="left"/>
      <w:pPr>
        <w:ind w:left="3487" w:hanging="529"/>
      </w:pPr>
      <w:rPr>
        <w:rFonts w:hint="default"/>
        <w:lang w:val="zh-CN" w:eastAsia="zh-CN" w:bidi="zh-CN"/>
      </w:rPr>
    </w:lvl>
    <w:lvl w:ilvl="4" w:tplc="BF26899E">
      <w:numFmt w:val="bullet"/>
      <w:lvlText w:val="•"/>
      <w:lvlJc w:val="left"/>
      <w:pPr>
        <w:ind w:left="4510" w:hanging="529"/>
      </w:pPr>
      <w:rPr>
        <w:rFonts w:hint="default"/>
        <w:lang w:val="zh-CN" w:eastAsia="zh-CN" w:bidi="zh-CN"/>
      </w:rPr>
    </w:lvl>
    <w:lvl w:ilvl="5" w:tplc="051433B2">
      <w:numFmt w:val="bullet"/>
      <w:lvlText w:val="•"/>
      <w:lvlJc w:val="left"/>
      <w:pPr>
        <w:ind w:left="5533" w:hanging="529"/>
      </w:pPr>
      <w:rPr>
        <w:rFonts w:hint="default"/>
        <w:lang w:val="zh-CN" w:eastAsia="zh-CN" w:bidi="zh-CN"/>
      </w:rPr>
    </w:lvl>
    <w:lvl w:ilvl="6" w:tplc="80ACDC4C">
      <w:numFmt w:val="bullet"/>
      <w:lvlText w:val="•"/>
      <w:lvlJc w:val="left"/>
      <w:pPr>
        <w:ind w:left="6555" w:hanging="529"/>
      </w:pPr>
      <w:rPr>
        <w:rFonts w:hint="default"/>
        <w:lang w:val="zh-CN" w:eastAsia="zh-CN" w:bidi="zh-CN"/>
      </w:rPr>
    </w:lvl>
    <w:lvl w:ilvl="7" w:tplc="F3827C9A">
      <w:numFmt w:val="bullet"/>
      <w:lvlText w:val="•"/>
      <w:lvlJc w:val="left"/>
      <w:pPr>
        <w:ind w:left="7578" w:hanging="529"/>
      </w:pPr>
      <w:rPr>
        <w:rFonts w:hint="default"/>
        <w:lang w:val="zh-CN" w:eastAsia="zh-CN" w:bidi="zh-CN"/>
      </w:rPr>
    </w:lvl>
    <w:lvl w:ilvl="8" w:tplc="991AEC3A">
      <w:numFmt w:val="bullet"/>
      <w:lvlText w:val="•"/>
      <w:lvlJc w:val="left"/>
      <w:pPr>
        <w:ind w:left="8601" w:hanging="529"/>
      </w:pPr>
      <w:rPr>
        <w:rFonts w:hint="default"/>
        <w:lang w:val="zh-CN" w:eastAsia="zh-CN" w:bidi="zh-CN"/>
      </w:rPr>
    </w:lvl>
  </w:abstractNum>
  <w:abstractNum w:abstractNumId="774" w15:restartNumberingAfterBreak="0">
    <w:nsid w:val="678065D1"/>
    <w:multiLevelType w:val="hybridMultilevel"/>
    <w:tmpl w:val="C3AC549A"/>
    <w:lvl w:ilvl="0" w:tplc="2BA245D4">
      <w:start w:val="6"/>
      <w:numFmt w:val="decimal"/>
      <w:lvlText w:val="%1"/>
      <w:lvlJc w:val="left"/>
      <w:pPr>
        <w:ind w:left="1158" w:hanging="318"/>
        <w:jc w:val="left"/>
      </w:pPr>
      <w:rPr>
        <w:rFonts w:hint="default"/>
        <w:lang w:val="zh-CN" w:eastAsia="zh-CN" w:bidi="zh-CN"/>
      </w:rPr>
    </w:lvl>
    <w:lvl w:ilvl="1" w:tplc="69EE558A">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16B44B7E">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A4421B66">
      <w:numFmt w:val="bullet"/>
      <w:lvlText w:val="•"/>
      <w:lvlJc w:val="left"/>
      <w:pPr>
        <w:ind w:left="3423" w:hanging="529"/>
      </w:pPr>
      <w:rPr>
        <w:rFonts w:hint="default"/>
        <w:lang w:val="zh-CN" w:eastAsia="zh-CN" w:bidi="zh-CN"/>
      </w:rPr>
    </w:lvl>
    <w:lvl w:ilvl="4" w:tplc="818E929E">
      <w:numFmt w:val="bullet"/>
      <w:lvlText w:val="•"/>
      <w:lvlJc w:val="left"/>
      <w:pPr>
        <w:ind w:left="4455" w:hanging="529"/>
      </w:pPr>
      <w:rPr>
        <w:rFonts w:hint="default"/>
        <w:lang w:val="zh-CN" w:eastAsia="zh-CN" w:bidi="zh-CN"/>
      </w:rPr>
    </w:lvl>
    <w:lvl w:ilvl="5" w:tplc="4FCE0B22">
      <w:numFmt w:val="bullet"/>
      <w:lvlText w:val="•"/>
      <w:lvlJc w:val="left"/>
      <w:pPr>
        <w:ind w:left="5487" w:hanging="529"/>
      </w:pPr>
      <w:rPr>
        <w:rFonts w:hint="default"/>
        <w:lang w:val="zh-CN" w:eastAsia="zh-CN" w:bidi="zh-CN"/>
      </w:rPr>
    </w:lvl>
    <w:lvl w:ilvl="6" w:tplc="92A8D82C">
      <w:numFmt w:val="bullet"/>
      <w:lvlText w:val="•"/>
      <w:lvlJc w:val="left"/>
      <w:pPr>
        <w:ind w:left="6519" w:hanging="529"/>
      </w:pPr>
      <w:rPr>
        <w:rFonts w:hint="default"/>
        <w:lang w:val="zh-CN" w:eastAsia="zh-CN" w:bidi="zh-CN"/>
      </w:rPr>
    </w:lvl>
    <w:lvl w:ilvl="7" w:tplc="99945896">
      <w:numFmt w:val="bullet"/>
      <w:lvlText w:val="•"/>
      <w:lvlJc w:val="left"/>
      <w:pPr>
        <w:ind w:left="7550" w:hanging="529"/>
      </w:pPr>
      <w:rPr>
        <w:rFonts w:hint="default"/>
        <w:lang w:val="zh-CN" w:eastAsia="zh-CN" w:bidi="zh-CN"/>
      </w:rPr>
    </w:lvl>
    <w:lvl w:ilvl="8" w:tplc="0854DFEE">
      <w:numFmt w:val="bullet"/>
      <w:lvlText w:val="•"/>
      <w:lvlJc w:val="left"/>
      <w:pPr>
        <w:ind w:left="8582" w:hanging="529"/>
      </w:pPr>
      <w:rPr>
        <w:rFonts w:hint="default"/>
        <w:lang w:val="zh-CN" w:eastAsia="zh-CN" w:bidi="zh-CN"/>
      </w:rPr>
    </w:lvl>
  </w:abstractNum>
  <w:abstractNum w:abstractNumId="775" w15:restartNumberingAfterBreak="0">
    <w:nsid w:val="67A566E9"/>
    <w:multiLevelType w:val="hybridMultilevel"/>
    <w:tmpl w:val="816C8EC2"/>
    <w:lvl w:ilvl="0" w:tplc="10563A74">
      <w:start w:val="12"/>
      <w:numFmt w:val="decimal"/>
      <w:lvlText w:val="%1"/>
      <w:lvlJc w:val="left"/>
      <w:pPr>
        <w:ind w:left="1477" w:hanging="637"/>
        <w:jc w:val="left"/>
      </w:pPr>
      <w:rPr>
        <w:rFonts w:hint="default"/>
        <w:lang w:val="zh-CN" w:eastAsia="zh-CN" w:bidi="zh-CN"/>
      </w:rPr>
    </w:lvl>
    <w:lvl w:ilvl="1" w:tplc="E78A1828">
      <w:start w:val="3"/>
      <w:numFmt w:val="decimal"/>
      <w:lvlText w:val="%1.%2"/>
      <w:lvlJc w:val="left"/>
      <w:pPr>
        <w:ind w:left="1477" w:hanging="637"/>
        <w:jc w:val="left"/>
      </w:pPr>
      <w:rPr>
        <w:rFonts w:hint="default"/>
        <w:lang w:val="zh-CN" w:eastAsia="zh-CN" w:bidi="zh-CN"/>
      </w:rPr>
    </w:lvl>
    <w:lvl w:ilvl="2" w:tplc="0E40F020">
      <w:start w:val="1"/>
      <w:numFmt w:val="decimal"/>
      <w:lvlText w:val="%1.%2.%3"/>
      <w:lvlJc w:val="left"/>
      <w:pPr>
        <w:ind w:left="1477" w:hanging="637"/>
        <w:jc w:val="left"/>
      </w:pPr>
      <w:rPr>
        <w:rFonts w:ascii="宋体" w:eastAsia="宋体" w:hAnsi="宋体" w:cs="宋体" w:hint="default"/>
        <w:b/>
        <w:bCs/>
        <w:spacing w:val="-3"/>
        <w:w w:val="99"/>
        <w:sz w:val="19"/>
        <w:szCs w:val="19"/>
        <w:lang w:val="zh-CN" w:eastAsia="zh-CN" w:bidi="zh-CN"/>
      </w:rPr>
    </w:lvl>
    <w:lvl w:ilvl="3" w:tplc="ADD2BC9E">
      <w:numFmt w:val="bullet"/>
      <w:lvlText w:val="•"/>
      <w:lvlJc w:val="left"/>
      <w:pPr>
        <w:ind w:left="4229" w:hanging="637"/>
      </w:pPr>
      <w:rPr>
        <w:rFonts w:hint="default"/>
        <w:lang w:val="zh-CN" w:eastAsia="zh-CN" w:bidi="zh-CN"/>
      </w:rPr>
    </w:lvl>
    <w:lvl w:ilvl="4" w:tplc="B262D988">
      <w:numFmt w:val="bullet"/>
      <w:lvlText w:val="•"/>
      <w:lvlJc w:val="left"/>
      <w:pPr>
        <w:ind w:left="5146" w:hanging="637"/>
      </w:pPr>
      <w:rPr>
        <w:rFonts w:hint="default"/>
        <w:lang w:val="zh-CN" w:eastAsia="zh-CN" w:bidi="zh-CN"/>
      </w:rPr>
    </w:lvl>
    <w:lvl w:ilvl="5" w:tplc="DDD85CBA">
      <w:numFmt w:val="bullet"/>
      <w:lvlText w:val="•"/>
      <w:lvlJc w:val="left"/>
      <w:pPr>
        <w:ind w:left="6063" w:hanging="637"/>
      </w:pPr>
      <w:rPr>
        <w:rFonts w:hint="default"/>
        <w:lang w:val="zh-CN" w:eastAsia="zh-CN" w:bidi="zh-CN"/>
      </w:rPr>
    </w:lvl>
    <w:lvl w:ilvl="6" w:tplc="B0B81938">
      <w:numFmt w:val="bullet"/>
      <w:lvlText w:val="•"/>
      <w:lvlJc w:val="left"/>
      <w:pPr>
        <w:ind w:left="6979" w:hanging="637"/>
      </w:pPr>
      <w:rPr>
        <w:rFonts w:hint="default"/>
        <w:lang w:val="zh-CN" w:eastAsia="zh-CN" w:bidi="zh-CN"/>
      </w:rPr>
    </w:lvl>
    <w:lvl w:ilvl="7" w:tplc="FC68D008">
      <w:numFmt w:val="bullet"/>
      <w:lvlText w:val="•"/>
      <w:lvlJc w:val="left"/>
      <w:pPr>
        <w:ind w:left="7896" w:hanging="637"/>
      </w:pPr>
      <w:rPr>
        <w:rFonts w:hint="default"/>
        <w:lang w:val="zh-CN" w:eastAsia="zh-CN" w:bidi="zh-CN"/>
      </w:rPr>
    </w:lvl>
    <w:lvl w:ilvl="8" w:tplc="62E2FCC4">
      <w:numFmt w:val="bullet"/>
      <w:lvlText w:val="•"/>
      <w:lvlJc w:val="left"/>
      <w:pPr>
        <w:ind w:left="8813" w:hanging="637"/>
      </w:pPr>
      <w:rPr>
        <w:rFonts w:hint="default"/>
        <w:lang w:val="zh-CN" w:eastAsia="zh-CN" w:bidi="zh-CN"/>
      </w:rPr>
    </w:lvl>
  </w:abstractNum>
  <w:abstractNum w:abstractNumId="776" w15:restartNumberingAfterBreak="0">
    <w:nsid w:val="67B72A97"/>
    <w:multiLevelType w:val="hybridMultilevel"/>
    <w:tmpl w:val="61BE172C"/>
    <w:lvl w:ilvl="0" w:tplc="39167210">
      <w:start w:val="6"/>
      <w:numFmt w:val="decimal"/>
      <w:lvlText w:val="%1"/>
      <w:lvlJc w:val="left"/>
      <w:pPr>
        <w:ind w:left="1158" w:hanging="318"/>
        <w:jc w:val="left"/>
      </w:pPr>
      <w:rPr>
        <w:rFonts w:hint="default"/>
        <w:lang w:val="zh-CN" w:eastAsia="zh-CN" w:bidi="zh-CN"/>
      </w:rPr>
    </w:lvl>
    <w:lvl w:ilvl="1" w:tplc="450A0A42">
      <w:start w:val="2"/>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C9A0BDD0">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80C0E5BC">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019E6478">
      <w:start w:val="1"/>
      <w:numFmt w:val="decimal"/>
      <w:lvlText w:val="%1.%2.%3.%4.%5"/>
      <w:lvlJc w:val="left"/>
      <w:pPr>
        <w:ind w:left="418" w:hanging="950"/>
        <w:jc w:val="left"/>
      </w:pPr>
      <w:rPr>
        <w:rFonts w:ascii="宋体" w:eastAsia="宋体" w:hAnsi="宋体" w:cs="宋体" w:hint="default"/>
        <w:spacing w:val="-3"/>
        <w:w w:val="100"/>
        <w:sz w:val="19"/>
        <w:szCs w:val="19"/>
        <w:lang w:val="zh-CN" w:eastAsia="zh-CN" w:bidi="zh-CN"/>
      </w:rPr>
    </w:lvl>
    <w:lvl w:ilvl="5" w:tplc="C5E20038">
      <w:numFmt w:val="bullet"/>
      <w:lvlText w:val="•"/>
      <w:lvlJc w:val="left"/>
      <w:pPr>
        <w:ind w:left="1780" w:hanging="950"/>
      </w:pPr>
      <w:rPr>
        <w:rFonts w:hint="default"/>
        <w:lang w:val="zh-CN" w:eastAsia="zh-CN" w:bidi="zh-CN"/>
      </w:rPr>
    </w:lvl>
    <w:lvl w:ilvl="6" w:tplc="E3EA3EC8">
      <w:numFmt w:val="bullet"/>
      <w:lvlText w:val="•"/>
      <w:lvlJc w:val="left"/>
      <w:pPr>
        <w:ind w:left="3553" w:hanging="950"/>
      </w:pPr>
      <w:rPr>
        <w:rFonts w:hint="default"/>
        <w:lang w:val="zh-CN" w:eastAsia="zh-CN" w:bidi="zh-CN"/>
      </w:rPr>
    </w:lvl>
    <w:lvl w:ilvl="7" w:tplc="F4AE672C">
      <w:numFmt w:val="bullet"/>
      <w:lvlText w:val="•"/>
      <w:lvlJc w:val="left"/>
      <w:pPr>
        <w:ind w:left="5326" w:hanging="950"/>
      </w:pPr>
      <w:rPr>
        <w:rFonts w:hint="default"/>
        <w:lang w:val="zh-CN" w:eastAsia="zh-CN" w:bidi="zh-CN"/>
      </w:rPr>
    </w:lvl>
    <w:lvl w:ilvl="8" w:tplc="74C2AB90">
      <w:numFmt w:val="bullet"/>
      <w:lvlText w:val="•"/>
      <w:lvlJc w:val="left"/>
      <w:pPr>
        <w:ind w:left="7099" w:hanging="950"/>
      </w:pPr>
      <w:rPr>
        <w:rFonts w:hint="default"/>
        <w:lang w:val="zh-CN" w:eastAsia="zh-CN" w:bidi="zh-CN"/>
      </w:rPr>
    </w:lvl>
  </w:abstractNum>
  <w:abstractNum w:abstractNumId="777" w15:restartNumberingAfterBreak="0">
    <w:nsid w:val="67D2339A"/>
    <w:multiLevelType w:val="hybridMultilevel"/>
    <w:tmpl w:val="93D26D48"/>
    <w:lvl w:ilvl="0" w:tplc="E6DAE5D0">
      <w:start w:val="1"/>
      <w:numFmt w:val="lowerLetter"/>
      <w:lvlText w:val="%1）"/>
      <w:lvlJc w:val="left"/>
      <w:pPr>
        <w:ind w:left="418" w:hanging="318"/>
        <w:jc w:val="left"/>
      </w:pPr>
      <w:rPr>
        <w:rFonts w:ascii="宋体" w:eastAsia="宋体" w:hAnsi="宋体" w:cs="宋体" w:hint="default"/>
        <w:w w:val="100"/>
        <w:sz w:val="19"/>
        <w:szCs w:val="19"/>
        <w:lang w:val="zh-CN" w:eastAsia="zh-CN" w:bidi="zh-CN"/>
      </w:rPr>
    </w:lvl>
    <w:lvl w:ilvl="1" w:tplc="0E46E502">
      <w:numFmt w:val="bullet"/>
      <w:lvlText w:val="•"/>
      <w:lvlJc w:val="left"/>
      <w:pPr>
        <w:ind w:left="1442" w:hanging="318"/>
      </w:pPr>
      <w:rPr>
        <w:rFonts w:hint="default"/>
        <w:lang w:val="zh-CN" w:eastAsia="zh-CN" w:bidi="zh-CN"/>
      </w:rPr>
    </w:lvl>
    <w:lvl w:ilvl="2" w:tplc="17569E72">
      <w:numFmt w:val="bullet"/>
      <w:lvlText w:val="•"/>
      <w:lvlJc w:val="left"/>
      <w:pPr>
        <w:ind w:left="2465" w:hanging="318"/>
      </w:pPr>
      <w:rPr>
        <w:rFonts w:hint="default"/>
        <w:lang w:val="zh-CN" w:eastAsia="zh-CN" w:bidi="zh-CN"/>
      </w:rPr>
    </w:lvl>
    <w:lvl w:ilvl="3" w:tplc="EE086DE8">
      <w:numFmt w:val="bullet"/>
      <w:lvlText w:val="•"/>
      <w:lvlJc w:val="left"/>
      <w:pPr>
        <w:ind w:left="3487" w:hanging="318"/>
      </w:pPr>
      <w:rPr>
        <w:rFonts w:hint="default"/>
        <w:lang w:val="zh-CN" w:eastAsia="zh-CN" w:bidi="zh-CN"/>
      </w:rPr>
    </w:lvl>
    <w:lvl w:ilvl="4" w:tplc="B6F0B560">
      <w:numFmt w:val="bullet"/>
      <w:lvlText w:val="•"/>
      <w:lvlJc w:val="left"/>
      <w:pPr>
        <w:ind w:left="4510" w:hanging="318"/>
      </w:pPr>
      <w:rPr>
        <w:rFonts w:hint="default"/>
        <w:lang w:val="zh-CN" w:eastAsia="zh-CN" w:bidi="zh-CN"/>
      </w:rPr>
    </w:lvl>
    <w:lvl w:ilvl="5" w:tplc="CADE5BEE">
      <w:numFmt w:val="bullet"/>
      <w:lvlText w:val="•"/>
      <w:lvlJc w:val="left"/>
      <w:pPr>
        <w:ind w:left="5533" w:hanging="318"/>
      </w:pPr>
      <w:rPr>
        <w:rFonts w:hint="default"/>
        <w:lang w:val="zh-CN" w:eastAsia="zh-CN" w:bidi="zh-CN"/>
      </w:rPr>
    </w:lvl>
    <w:lvl w:ilvl="6" w:tplc="45729C0A">
      <w:numFmt w:val="bullet"/>
      <w:lvlText w:val="•"/>
      <w:lvlJc w:val="left"/>
      <w:pPr>
        <w:ind w:left="6555" w:hanging="318"/>
      </w:pPr>
      <w:rPr>
        <w:rFonts w:hint="default"/>
        <w:lang w:val="zh-CN" w:eastAsia="zh-CN" w:bidi="zh-CN"/>
      </w:rPr>
    </w:lvl>
    <w:lvl w:ilvl="7" w:tplc="B39CF078">
      <w:numFmt w:val="bullet"/>
      <w:lvlText w:val="•"/>
      <w:lvlJc w:val="left"/>
      <w:pPr>
        <w:ind w:left="7578" w:hanging="318"/>
      </w:pPr>
      <w:rPr>
        <w:rFonts w:hint="default"/>
        <w:lang w:val="zh-CN" w:eastAsia="zh-CN" w:bidi="zh-CN"/>
      </w:rPr>
    </w:lvl>
    <w:lvl w:ilvl="8" w:tplc="ED705F6E">
      <w:numFmt w:val="bullet"/>
      <w:lvlText w:val="•"/>
      <w:lvlJc w:val="left"/>
      <w:pPr>
        <w:ind w:left="8601" w:hanging="318"/>
      </w:pPr>
      <w:rPr>
        <w:rFonts w:hint="default"/>
        <w:lang w:val="zh-CN" w:eastAsia="zh-CN" w:bidi="zh-CN"/>
      </w:rPr>
    </w:lvl>
  </w:abstractNum>
  <w:abstractNum w:abstractNumId="778" w15:restartNumberingAfterBreak="0">
    <w:nsid w:val="67D76034"/>
    <w:multiLevelType w:val="hybridMultilevel"/>
    <w:tmpl w:val="DB4ECFA6"/>
    <w:lvl w:ilvl="0" w:tplc="B220FD5C">
      <w:start w:val="7"/>
      <w:numFmt w:val="decimal"/>
      <w:lvlText w:val="%1"/>
      <w:lvlJc w:val="left"/>
      <w:pPr>
        <w:ind w:left="1158" w:hanging="318"/>
        <w:jc w:val="left"/>
      </w:pPr>
      <w:rPr>
        <w:rFonts w:hint="default"/>
        <w:lang w:val="zh-CN" w:eastAsia="zh-CN" w:bidi="zh-CN"/>
      </w:rPr>
    </w:lvl>
    <w:lvl w:ilvl="1" w:tplc="5E4CF298">
      <w:start w:val="3"/>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7466057C">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AF84CE6E">
      <w:numFmt w:val="bullet"/>
      <w:lvlText w:val="•"/>
      <w:lvlJc w:val="left"/>
      <w:pPr>
        <w:ind w:left="3423" w:hanging="529"/>
      </w:pPr>
      <w:rPr>
        <w:rFonts w:hint="default"/>
        <w:lang w:val="zh-CN" w:eastAsia="zh-CN" w:bidi="zh-CN"/>
      </w:rPr>
    </w:lvl>
    <w:lvl w:ilvl="4" w:tplc="DD940200">
      <w:numFmt w:val="bullet"/>
      <w:lvlText w:val="•"/>
      <w:lvlJc w:val="left"/>
      <w:pPr>
        <w:ind w:left="4455" w:hanging="529"/>
      </w:pPr>
      <w:rPr>
        <w:rFonts w:hint="default"/>
        <w:lang w:val="zh-CN" w:eastAsia="zh-CN" w:bidi="zh-CN"/>
      </w:rPr>
    </w:lvl>
    <w:lvl w:ilvl="5" w:tplc="39362328">
      <w:numFmt w:val="bullet"/>
      <w:lvlText w:val="•"/>
      <w:lvlJc w:val="left"/>
      <w:pPr>
        <w:ind w:left="5487" w:hanging="529"/>
      </w:pPr>
      <w:rPr>
        <w:rFonts w:hint="default"/>
        <w:lang w:val="zh-CN" w:eastAsia="zh-CN" w:bidi="zh-CN"/>
      </w:rPr>
    </w:lvl>
    <w:lvl w:ilvl="6" w:tplc="13725D10">
      <w:numFmt w:val="bullet"/>
      <w:lvlText w:val="•"/>
      <w:lvlJc w:val="left"/>
      <w:pPr>
        <w:ind w:left="6519" w:hanging="529"/>
      </w:pPr>
      <w:rPr>
        <w:rFonts w:hint="default"/>
        <w:lang w:val="zh-CN" w:eastAsia="zh-CN" w:bidi="zh-CN"/>
      </w:rPr>
    </w:lvl>
    <w:lvl w:ilvl="7" w:tplc="8ECEEB2E">
      <w:numFmt w:val="bullet"/>
      <w:lvlText w:val="•"/>
      <w:lvlJc w:val="left"/>
      <w:pPr>
        <w:ind w:left="7550" w:hanging="529"/>
      </w:pPr>
      <w:rPr>
        <w:rFonts w:hint="default"/>
        <w:lang w:val="zh-CN" w:eastAsia="zh-CN" w:bidi="zh-CN"/>
      </w:rPr>
    </w:lvl>
    <w:lvl w:ilvl="8" w:tplc="D55A576A">
      <w:numFmt w:val="bullet"/>
      <w:lvlText w:val="•"/>
      <w:lvlJc w:val="left"/>
      <w:pPr>
        <w:ind w:left="8582" w:hanging="529"/>
      </w:pPr>
      <w:rPr>
        <w:rFonts w:hint="default"/>
        <w:lang w:val="zh-CN" w:eastAsia="zh-CN" w:bidi="zh-CN"/>
      </w:rPr>
    </w:lvl>
  </w:abstractNum>
  <w:abstractNum w:abstractNumId="779" w15:restartNumberingAfterBreak="0">
    <w:nsid w:val="681E1A86"/>
    <w:multiLevelType w:val="hybridMultilevel"/>
    <w:tmpl w:val="88082F60"/>
    <w:lvl w:ilvl="0" w:tplc="E9A875AC">
      <w:start w:val="5"/>
      <w:numFmt w:val="decimal"/>
      <w:lvlText w:val="%1"/>
      <w:lvlJc w:val="left"/>
      <w:pPr>
        <w:ind w:left="418" w:hanging="424"/>
        <w:jc w:val="left"/>
      </w:pPr>
      <w:rPr>
        <w:rFonts w:hint="default"/>
        <w:lang w:val="zh-CN" w:eastAsia="zh-CN" w:bidi="zh-CN"/>
      </w:rPr>
    </w:lvl>
    <w:lvl w:ilvl="1" w:tplc="A710806E">
      <w:start w:val="12"/>
      <w:numFmt w:val="decimal"/>
      <w:lvlText w:val="%1.%2"/>
      <w:lvlJc w:val="left"/>
      <w:pPr>
        <w:ind w:left="418" w:hanging="424"/>
        <w:jc w:val="left"/>
      </w:pPr>
      <w:rPr>
        <w:rFonts w:ascii="宋体" w:eastAsia="宋体" w:hAnsi="宋体" w:cs="宋体" w:hint="default"/>
        <w:b/>
        <w:bCs/>
        <w:w w:val="99"/>
        <w:sz w:val="19"/>
        <w:szCs w:val="19"/>
        <w:lang w:val="zh-CN" w:eastAsia="zh-CN" w:bidi="zh-CN"/>
      </w:rPr>
    </w:lvl>
    <w:lvl w:ilvl="2" w:tplc="6C5A33C4">
      <w:numFmt w:val="bullet"/>
      <w:lvlText w:val="•"/>
      <w:lvlJc w:val="left"/>
      <w:pPr>
        <w:ind w:left="2465" w:hanging="424"/>
      </w:pPr>
      <w:rPr>
        <w:rFonts w:hint="default"/>
        <w:lang w:val="zh-CN" w:eastAsia="zh-CN" w:bidi="zh-CN"/>
      </w:rPr>
    </w:lvl>
    <w:lvl w:ilvl="3" w:tplc="62223B54">
      <w:numFmt w:val="bullet"/>
      <w:lvlText w:val="•"/>
      <w:lvlJc w:val="left"/>
      <w:pPr>
        <w:ind w:left="3487" w:hanging="424"/>
      </w:pPr>
      <w:rPr>
        <w:rFonts w:hint="default"/>
        <w:lang w:val="zh-CN" w:eastAsia="zh-CN" w:bidi="zh-CN"/>
      </w:rPr>
    </w:lvl>
    <w:lvl w:ilvl="4" w:tplc="8C58A6D4">
      <w:numFmt w:val="bullet"/>
      <w:lvlText w:val="•"/>
      <w:lvlJc w:val="left"/>
      <w:pPr>
        <w:ind w:left="4510" w:hanging="424"/>
      </w:pPr>
      <w:rPr>
        <w:rFonts w:hint="default"/>
        <w:lang w:val="zh-CN" w:eastAsia="zh-CN" w:bidi="zh-CN"/>
      </w:rPr>
    </w:lvl>
    <w:lvl w:ilvl="5" w:tplc="C6AAFDE6">
      <w:numFmt w:val="bullet"/>
      <w:lvlText w:val="•"/>
      <w:lvlJc w:val="left"/>
      <w:pPr>
        <w:ind w:left="5533" w:hanging="424"/>
      </w:pPr>
      <w:rPr>
        <w:rFonts w:hint="default"/>
        <w:lang w:val="zh-CN" w:eastAsia="zh-CN" w:bidi="zh-CN"/>
      </w:rPr>
    </w:lvl>
    <w:lvl w:ilvl="6" w:tplc="067AEAB4">
      <w:numFmt w:val="bullet"/>
      <w:lvlText w:val="•"/>
      <w:lvlJc w:val="left"/>
      <w:pPr>
        <w:ind w:left="6555" w:hanging="424"/>
      </w:pPr>
      <w:rPr>
        <w:rFonts w:hint="default"/>
        <w:lang w:val="zh-CN" w:eastAsia="zh-CN" w:bidi="zh-CN"/>
      </w:rPr>
    </w:lvl>
    <w:lvl w:ilvl="7" w:tplc="A7B68C62">
      <w:numFmt w:val="bullet"/>
      <w:lvlText w:val="•"/>
      <w:lvlJc w:val="left"/>
      <w:pPr>
        <w:ind w:left="7578" w:hanging="424"/>
      </w:pPr>
      <w:rPr>
        <w:rFonts w:hint="default"/>
        <w:lang w:val="zh-CN" w:eastAsia="zh-CN" w:bidi="zh-CN"/>
      </w:rPr>
    </w:lvl>
    <w:lvl w:ilvl="8" w:tplc="24C04730">
      <w:numFmt w:val="bullet"/>
      <w:lvlText w:val="•"/>
      <w:lvlJc w:val="left"/>
      <w:pPr>
        <w:ind w:left="8601" w:hanging="424"/>
      </w:pPr>
      <w:rPr>
        <w:rFonts w:hint="default"/>
        <w:lang w:val="zh-CN" w:eastAsia="zh-CN" w:bidi="zh-CN"/>
      </w:rPr>
    </w:lvl>
  </w:abstractNum>
  <w:abstractNum w:abstractNumId="780" w15:restartNumberingAfterBreak="0">
    <w:nsid w:val="682073BA"/>
    <w:multiLevelType w:val="hybridMultilevel"/>
    <w:tmpl w:val="E7206EE2"/>
    <w:lvl w:ilvl="0" w:tplc="67023634">
      <w:start w:val="4"/>
      <w:numFmt w:val="decimal"/>
      <w:lvlText w:val="%1"/>
      <w:lvlJc w:val="left"/>
      <w:pPr>
        <w:ind w:left="1575" w:hanging="738"/>
        <w:jc w:val="left"/>
      </w:pPr>
      <w:rPr>
        <w:rFonts w:hint="default"/>
        <w:lang w:val="zh-CN" w:eastAsia="zh-CN" w:bidi="zh-CN"/>
      </w:rPr>
    </w:lvl>
    <w:lvl w:ilvl="1" w:tplc="E2FC6716">
      <w:start w:val="2"/>
      <w:numFmt w:val="decimal"/>
      <w:lvlText w:val="%1.%2"/>
      <w:lvlJc w:val="left"/>
      <w:pPr>
        <w:ind w:left="1575" w:hanging="738"/>
        <w:jc w:val="left"/>
      </w:pPr>
      <w:rPr>
        <w:rFonts w:hint="default"/>
        <w:lang w:val="zh-CN" w:eastAsia="zh-CN" w:bidi="zh-CN"/>
      </w:rPr>
    </w:lvl>
    <w:lvl w:ilvl="2" w:tplc="45367B88">
      <w:start w:val="3"/>
      <w:numFmt w:val="decimal"/>
      <w:lvlText w:val="%1.%2.%3"/>
      <w:lvlJc w:val="left"/>
      <w:pPr>
        <w:ind w:left="1575" w:hanging="738"/>
        <w:jc w:val="left"/>
      </w:pPr>
      <w:rPr>
        <w:rFonts w:hint="default"/>
        <w:lang w:val="zh-CN" w:eastAsia="zh-CN" w:bidi="zh-CN"/>
      </w:rPr>
    </w:lvl>
    <w:lvl w:ilvl="3" w:tplc="906CE3B2">
      <w:start w:val="4"/>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B426B72E">
      <w:numFmt w:val="bullet"/>
      <w:lvlText w:val="•"/>
      <w:lvlJc w:val="left"/>
      <w:pPr>
        <w:ind w:left="5206" w:hanging="738"/>
      </w:pPr>
      <w:rPr>
        <w:rFonts w:hint="default"/>
        <w:lang w:val="zh-CN" w:eastAsia="zh-CN" w:bidi="zh-CN"/>
      </w:rPr>
    </w:lvl>
    <w:lvl w:ilvl="5" w:tplc="EECEFBA4">
      <w:numFmt w:val="bullet"/>
      <w:lvlText w:val="•"/>
      <w:lvlJc w:val="left"/>
      <w:pPr>
        <w:ind w:left="6113" w:hanging="738"/>
      </w:pPr>
      <w:rPr>
        <w:rFonts w:hint="default"/>
        <w:lang w:val="zh-CN" w:eastAsia="zh-CN" w:bidi="zh-CN"/>
      </w:rPr>
    </w:lvl>
    <w:lvl w:ilvl="6" w:tplc="634CF114">
      <w:numFmt w:val="bullet"/>
      <w:lvlText w:val="•"/>
      <w:lvlJc w:val="left"/>
      <w:pPr>
        <w:ind w:left="7019" w:hanging="738"/>
      </w:pPr>
      <w:rPr>
        <w:rFonts w:hint="default"/>
        <w:lang w:val="zh-CN" w:eastAsia="zh-CN" w:bidi="zh-CN"/>
      </w:rPr>
    </w:lvl>
    <w:lvl w:ilvl="7" w:tplc="384AF622">
      <w:numFmt w:val="bullet"/>
      <w:lvlText w:val="•"/>
      <w:lvlJc w:val="left"/>
      <w:pPr>
        <w:ind w:left="7926" w:hanging="738"/>
      </w:pPr>
      <w:rPr>
        <w:rFonts w:hint="default"/>
        <w:lang w:val="zh-CN" w:eastAsia="zh-CN" w:bidi="zh-CN"/>
      </w:rPr>
    </w:lvl>
    <w:lvl w:ilvl="8" w:tplc="1EB085FC">
      <w:numFmt w:val="bullet"/>
      <w:lvlText w:val="•"/>
      <w:lvlJc w:val="left"/>
      <w:pPr>
        <w:ind w:left="8833" w:hanging="738"/>
      </w:pPr>
      <w:rPr>
        <w:rFonts w:hint="default"/>
        <w:lang w:val="zh-CN" w:eastAsia="zh-CN" w:bidi="zh-CN"/>
      </w:rPr>
    </w:lvl>
  </w:abstractNum>
  <w:abstractNum w:abstractNumId="781" w15:restartNumberingAfterBreak="0">
    <w:nsid w:val="68711555"/>
    <w:multiLevelType w:val="hybridMultilevel"/>
    <w:tmpl w:val="181AFB98"/>
    <w:lvl w:ilvl="0" w:tplc="C30C447E">
      <w:start w:val="5"/>
      <w:numFmt w:val="decimal"/>
      <w:lvlText w:val="%1"/>
      <w:lvlJc w:val="left"/>
      <w:pPr>
        <w:ind w:left="1158" w:hanging="318"/>
        <w:jc w:val="left"/>
      </w:pPr>
      <w:rPr>
        <w:rFonts w:hint="default"/>
        <w:lang w:val="zh-CN" w:eastAsia="zh-CN" w:bidi="zh-CN"/>
      </w:rPr>
    </w:lvl>
    <w:lvl w:ilvl="1" w:tplc="E50459A6">
      <w:start w:val="7"/>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C9D0C5B2">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C422C940">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1BB8DA84">
      <w:numFmt w:val="bullet"/>
      <w:lvlText w:val="•"/>
      <w:lvlJc w:val="left"/>
      <w:pPr>
        <w:ind w:left="1580" w:hanging="738"/>
      </w:pPr>
      <w:rPr>
        <w:rFonts w:hint="default"/>
        <w:lang w:val="zh-CN" w:eastAsia="zh-CN" w:bidi="zh-CN"/>
      </w:rPr>
    </w:lvl>
    <w:lvl w:ilvl="5" w:tplc="93440B2C">
      <w:numFmt w:val="bullet"/>
      <w:lvlText w:val="•"/>
      <w:lvlJc w:val="left"/>
      <w:pPr>
        <w:ind w:left="1680" w:hanging="738"/>
      </w:pPr>
      <w:rPr>
        <w:rFonts w:hint="default"/>
        <w:lang w:val="zh-CN" w:eastAsia="zh-CN" w:bidi="zh-CN"/>
      </w:rPr>
    </w:lvl>
    <w:lvl w:ilvl="6" w:tplc="F8AA2318">
      <w:numFmt w:val="bullet"/>
      <w:lvlText w:val="•"/>
      <w:lvlJc w:val="left"/>
      <w:pPr>
        <w:ind w:left="3473" w:hanging="738"/>
      </w:pPr>
      <w:rPr>
        <w:rFonts w:hint="default"/>
        <w:lang w:val="zh-CN" w:eastAsia="zh-CN" w:bidi="zh-CN"/>
      </w:rPr>
    </w:lvl>
    <w:lvl w:ilvl="7" w:tplc="C5C4731E">
      <w:numFmt w:val="bullet"/>
      <w:lvlText w:val="•"/>
      <w:lvlJc w:val="left"/>
      <w:pPr>
        <w:ind w:left="5266" w:hanging="738"/>
      </w:pPr>
      <w:rPr>
        <w:rFonts w:hint="default"/>
        <w:lang w:val="zh-CN" w:eastAsia="zh-CN" w:bidi="zh-CN"/>
      </w:rPr>
    </w:lvl>
    <w:lvl w:ilvl="8" w:tplc="D166ABE2">
      <w:numFmt w:val="bullet"/>
      <w:lvlText w:val="•"/>
      <w:lvlJc w:val="left"/>
      <w:pPr>
        <w:ind w:left="7059" w:hanging="738"/>
      </w:pPr>
      <w:rPr>
        <w:rFonts w:hint="default"/>
        <w:lang w:val="zh-CN" w:eastAsia="zh-CN" w:bidi="zh-CN"/>
      </w:rPr>
    </w:lvl>
  </w:abstractNum>
  <w:abstractNum w:abstractNumId="782" w15:restartNumberingAfterBreak="0">
    <w:nsid w:val="687E0601"/>
    <w:multiLevelType w:val="hybridMultilevel"/>
    <w:tmpl w:val="E8301E58"/>
    <w:lvl w:ilvl="0" w:tplc="99000B9E">
      <w:start w:val="1"/>
      <w:numFmt w:val="lowerLetter"/>
      <w:lvlText w:val="%1）"/>
      <w:lvlJc w:val="left"/>
      <w:pPr>
        <w:ind w:left="418" w:hanging="318"/>
        <w:jc w:val="left"/>
      </w:pPr>
      <w:rPr>
        <w:rFonts w:ascii="宋体" w:eastAsia="宋体" w:hAnsi="宋体" w:cs="宋体" w:hint="default"/>
        <w:w w:val="100"/>
        <w:sz w:val="19"/>
        <w:szCs w:val="19"/>
        <w:lang w:val="zh-CN" w:eastAsia="zh-CN" w:bidi="zh-CN"/>
      </w:rPr>
    </w:lvl>
    <w:lvl w:ilvl="1" w:tplc="0B9812E2">
      <w:numFmt w:val="bullet"/>
      <w:lvlText w:val="•"/>
      <w:lvlJc w:val="left"/>
      <w:pPr>
        <w:ind w:left="1442" w:hanging="318"/>
      </w:pPr>
      <w:rPr>
        <w:rFonts w:hint="default"/>
        <w:lang w:val="zh-CN" w:eastAsia="zh-CN" w:bidi="zh-CN"/>
      </w:rPr>
    </w:lvl>
    <w:lvl w:ilvl="2" w:tplc="BA943CD4">
      <w:numFmt w:val="bullet"/>
      <w:lvlText w:val="•"/>
      <w:lvlJc w:val="left"/>
      <w:pPr>
        <w:ind w:left="2465" w:hanging="318"/>
      </w:pPr>
      <w:rPr>
        <w:rFonts w:hint="default"/>
        <w:lang w:val="zh-CN" w:eastAsia="zh-CN" w:bidi="zh-CN"/>
      </w:rPr>
    </w:lvl>
    <w:lvl w:ilvl="3" w:tplc="101E8EFC">
      <w:numFmt w:val="bullet"/>
      <w:lvlText w:val="•"/>
      <w:lvlJc w:val="left"/>
      <w:pPr>
        <w:ind w:left="3487" w:hanging="318"/>
      </w:pPr>
      <w:rPr>
        <w:rFonts w:hint="default"/>
        <w:lang w:val="zh-CN" w:eastAsia="zh-CN" w:bidi="zh-CN"/>
      </w:rPr>
    </w:lvl>
    <w:lvl w:ilvl="4" w:tplc="EAC6732C">
      <w:numFmt w:val="bullet"/>
      <w:lvlText w:val="•"/>
      <w:lvlJc w:val="left"/>
      <w:pPr>
        <w:ind w:left="4510" w:hanging="318"/>
      </w:pPr>
      <w:rPr>
        <w:rFonts w:hint="default"/>
        <w:lang w:val="zh-CN" w:eastAsia="zh-CN" w:bidi="zh-CN"/>
      </w:rPr>
    </w:lvl>
    <w:lvl w:ilvl="5" w:tplc="C5AC10AA">
      <w:numFmt w:val="bullet"/>
      <w:lvlText w:val="•"/>
      <w:lvlJc w:val="left"/>
      <w:pPr>
        <w:ind w:left="5533" w:hanging="318"/>
      </w:pPr>
      <w:rPr>
        <w:rFonts w:hint="default"/>
        <w:lang w:val="zh-CN" w:eastAsia="zh-CN" w:bidi="zh-CN"/>
      </w:rPr>
    </w:lvl>
    <w:lvl w:ilvl="6" w:tplc="B58087EC">
      <w:numFmt w:val="bullet"/>
      <w:lvlText w:val="•"/>
      <w:lvlJc w:val="left"/>
      <w:pPr>
        <w:ind w:left="6555" w:hanging="318"/>
      </w:pPr>
      <w:rPr>
        <w:rFonts w:hint="default"/>
        <w:lang w:val="zh-CN" w:eastAsia="zh-CN" w:bidi="zh-CN"/>
      </w:rPr>
    </w:lvl>
    <w:lvl w:ilvl="7" w:tplc="0F64E32A">
      <w:numFmt w:val="bullet"/>
      <w:lvlText w:val="•"/>
      <w:lvlJc w:val="left"/>
      <w:pPr>
        <w:ind w:left="7578" w:hanging="318"/>
      </w:pPr>
      <w:rPr>
        <w:rFonts w:hint="default"/>
        <w:lang w:val="zh-CN" w:eastAsia="zh-CN" w:bidi="zh-CN"/>
      </w:rPr>
    </w:lvl>
    <w:lvl w:ilvl="8" w:tplc="5CD24D3E">
      <w:numFmt w:val="bullet"/>
      <w:lvlText w:val="•"/>
      <w:lvlJc w:val="left"/>
      <w:pPr>
        <w:ind w:left="8601" w:hanging="318"/>
      </w:pPr>
      <w:rPr>
        <w:rFonts w:hint="default"/>
        <w:lang w:val="zh-CN" w:eastAsia="zh-CN" w:bidi="zh-CN"/>
      </w:rPr>
    </w:lvl>
  </w:abstractNum>
  <w:abstractNum w:abstractNumId="783" w15:restartNumberingAfterBreak="0">
    <w:nsid w:val="68973972"/>
    <w:multiLevelType w:val="hybridMultilevel"/>
    <w:tmpl w:val="0D1891FE"/>
    <w:lvl w:ilvl="0" w:tplc="4448F162">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F58470CE">
      <w:numFmt w:val="bullet"/>
      <w:lvlText w:val="•"/>
      <w:lvlJc w:val="left"/>
      <w:pPr>
        <w:ind w:left="2288" w:hanging="529"/>
      </w:pPr>
      <w:rPr>
        <w:rFonts w:hint="default"/>
        <w:lang w:val="zh-CN" w:eastAsia="zh-CN" w:bidi="zh-CN"/>
      </w:rPr>
    </w:lvl>
    <w:lvl w:ilvl="2" w:tplc="F40884D4">
      <w:numFmt w:val="bullet"/>
      <w:lvlText w:val="•"/>
      <w:lvlJc w:val="left"/>
      <w:pPr>
        <w:ind w:left="3217" w:hanging="529"/>
      </w:pPr>
      <w:rPr>
        <w:rFonts w:hint="default"/>
        <w:lang w:val="zh-CN" w:eastAsia="zh-CN" w:bidi="zh-CN"/>
      </w:rPr>
    </w:lvl>
    <w:lvl w:ilvl="3" w:tplc="1E807746">
      <w:numFmt w:val="bullet"/>
      <w:lvlText w:val="•"/>
      <w:lvlJc w:val="left"/>
      <w:pPr>
        <w:ind w:left="4145" w:hanging="529"/>
      </w:pPr>
      <w:rPr>
        <w:rFonts w:hint="default"/>
        <w:lang w:val="zh-CN" w:eastAsia="zh-CN" w:bidi="zh-CN"/>
      </w:rPr>
    </w:lvl>
    <w:lvl w:ilvl="4" w:tplc="37203EFA">
      <w:numFmt w:val="bullet"/>
      <w:lvlText w:val="•"/>
      <w:lvlJc w:val="left"/>
      <w:pPr>
        <w:ind w:left="5074" w:hanging="529"/>
      </w:pPr>
      <w:rPr>
        <w:rFonts w:hint="default"/>
        <w:lang w:val="zh-CN" w:eastAsia="zh-CN" w:bidi="zh-CN"/>
      </w:rPr>
    </w:lvl>
    <w:lvl w:ilvl="5" w:tplc="5372D776">
      <w:numFmt w:val="bullet"/>
      <w:lvlText w:val="•"/>
      <w:lvlJc w:val="left"/>
      <w:pPr>
        <w:ind w:left="6003" w:hanging="529"/>
      </w:pPr>
      <w:rPr>
        <w:rFonts w:hint="default"/>
        <w:lang w:val="zh-CN" w:eastAsia="zh-CN" w:bidi="zh-CN"/>
      </w:rPr>
    </w:lvl>
    <w:lvl w:ilvl="6" w:tplc="4E7C6520">
      <w:numFmt w:val="bullet"/>
      <w:lvlText w:val="•"/>
      <w:lvlJc w:val="left"/>
      <w:pPr>
        <w:ind w:left="6931" w:hanging="529"/>
      </w:pPr>
      <w:rPr>
        <w:rFonts w:hint="default"/>
        <w:lang w:val="zh-CN" w:eastAsia="zh-CN" w:bidi="zh-CN"/>
      </w:rPr>
    </w:lvl>
    <w:lvl w:ilvl="7" w:tplc="DF4CE780">
      <w:numFmt w:val="bullet"/>
      <w:lvlText w:val="•"/>
      <w:lvlJc w:val="left"/>
      <w:pPr>
        <w:ind w:left="7860" w:hanging="529"/>
      </w:pPr>
      <w:rPr>
        <w:rFonts w:hint="default"/>
        <w:lang w:val="zh-CN" w:eastAsia="zh-CN" w:bidi="zh-CN"/>
      </w:rPr>
    </w:lvl>
    <w:lvl w:ilvl="8" w:tplc="9C7A71D0">
      <w:numFmt w:val="bullet"/>
      <w:lvlText w:val="•"/>
      <w:lvlJc w:val="left"/>
      <w:pPr>
        <w:ind w:left="8789" w:hanging="529"/>
      </w:pPr>
      <w:rPr>
        <w:rFonts w:hint="default"/>
        <w:lang w:val="zh-CN" w:eastAsia="zh-CN" w:bidi="zh-CN"/>
      </w:rPr>
    </w:lvl>
  </w:abstractNum>
  <w:abstractNum w:abstractNumId="784" w15:restartNumberingAfterBreak="0">
    <w:nsid w:val="68A843FD"/>
    <w:multiLevelType w:val="hybridMultilevel"/>
    <w:tmpl w:val="F8D6EFD0"/>
    <w:lvl w:ilvl="0" w:tplc="A4362B88">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45343E5E">
      <w:numFmt w:val="bullet"/>
      <w:lvlText w:val="•"/>
      <w:lvlJc w:val="left"/>
      <w:pPr>
        <w:ind w:left="2288" w:hanging="529"/>
      </w:pPr>
      <w:rPr>
        <w:rFonts w:hint="default"/>
        <w:lang w:val="zh-CN" w:eastAsia="zh-CN" w:bidi="zh-CN"/>
      </w:rPr>
    </w:lvl>
    <w:lvl w:ilvl="2" w:tplc="29E4582E">
      <w:numFmt w:val="bullet"/>
      <w:lvlText w:val="•"/>
      <w:lvlJc w:val="left"/>
      <w:pPr>
        <w:ind w:left="3217" w:hanging="529"/>
      </w:pPr>
      <w:rPr>
        <w:rFonts w:hint="default"/>
        <w:lang w:val="zh-CN" w:eastAsia="zh-CN" w:bidi="zh-CN"/>
      </w:rPr>
    </w:lvl>
    <w:lvl w:ilvl="3" w:tplc="54EC73F0">
      <w:numFmt w:val="bullet"/>
      <w:lvlText w:val="•"/>
      <w:lvlJc w:val="left"/>
      <w:pPr>
        <w:ind w:left="4145" w:hanging="529"/>
      </w:pPr>
      <w:rPr>
        <w:rFonts w:hint="default"/>
        <w:lang w:val="zh-CN" w:eastAsia="zh-CN" w:bidi="zh-CN"/>
      </w:rPr>
    </w:lvl>
    <w:lvl w:ilvl="4" w:tplc="312CAD12">
      <w:numFmt w:val="bullet"/>
      <w:lvlText w:val="•"/>
      <w:lvlJc w:val="left"/>
      <w:pPr>
        <w:ind w:left="5074" w:hanging="529"/>
      </w:pPr>
      <w:rPr>
        <w:rFonts w:hint="default"/>
        <w:lang w:val="zh-CN" w:eastAsia="zh-CN" w:bidi="zh-CN"/>
      </w:rPr>
    </w:lvl>
    <w:lvl w:ilvl="5" w:tplc="06D2F494">
      <w:numFmt w:val="bullet"/>
      <w:lvlText w:val="•"/>
      <w:lvlJc w:val="left"/>
      <w:pPr>
        <w:ind w:left="6003" w:hanging="529"/>
      </w:pPr>
      <w:rPr>
        <w:rFonts w:hint="default"/>
        <w:lang w:val="zh-CN" w:eastAsia="zh-CN" w:bidi="zh-CN"/>
      </w:rPr>
    </w:lvl>
    <w:lvl w:ilvl="6" w:tplc="7B56F520">
      <w:numFmt w:val="bullet"/>
      <w:lvlText w:val="•"/>
      <w:lvlJc w:val="left"/>
      <w:pPr>
        <w:ind w:left="6931" w:hanging="529"/>
      </w:pPr>
      <w:rPr>
        <w:rFonts w:hint="default"/>
        <w:lang w:val="zh-CN" w:eastAsia="zh-CN" w:bidi="zh-CN"/>
      </w:rPr>
    </w:lvl>
    <w:lvl w:ilvl="7" w:tplc="6420A3B6">
      <w:numFmt w:val="bullet"/>
      <w:lvlText w:val="•"/>
      <w:lvlJc w:val="left"/>
      <w:pPr>
        <w:ind w:left="7860" w:hanging="529"/>
      </w:pPr>
      <w:rPr>
        <w:rFonts w:hint="default"/>
        <w:lang w:val="zh-CN" w:eastAsia="zh-CN" w:bidi="zh-CN"/>
      </w:rPr>
    </w:lvl>
    <w:lvl w:ilvl="8" w:tplc="2654CB92">
      <w:numFmt w:val="bullet"/>
      <w:lvlText w:val="•"/>
      <w:lvlJc w:val="left"/>
      <w:pPr>
        <w:ind w:left="8789" w:hanging="529"/>
      </w:pPr>
      <w:rPr>
        <w:rFonts w:hint="default"/>
        <w:lang w:val="zh-CN" w:eastAsia="zh-CN" w:bidi="zh-CN"/>
      </w:rPr>
    </w:lvl>
  </w:abstractNum>
  <w:abstractNum w:abstractNumId="785" w15:restartNumberingAfterBreak="0">
    <w:nsid w:val="68B94770"/>
    <w:multiLevelType w:val="hybridMultilevel"/>
    <w:tmpl w:val="945C34C0"/>
    <w:lvl w:ilvl="0" w:tplc="1F0A12EA">
      <w:start w:val="2"/>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0E6455C6">
      <w:numFmt w:val="bullet"/>
      <w:lvlText w:val="•"/>
      <w:lvlJc w:val="left"/>
      <w:pPr>
        <w:ind w:left="2018" w:hanging="213"/>
      </w:pPr>
      <w:rPr>
        <w:rFonts w:hint="default"/>
        <w:lang w:val="zh-CN" w:eastAsia="zh-CN" w:bidi="zh-CN"/>
      </w:rPr>
    </w:lvl>
    <w:lvl w:ilvl="2" w:tplc="0E3EB6EA">
      <w:numFmt w:val="bullet"/>
      <w:lvlText w:val="•"/>
      <w:lvlJc w:val="left"/>
      <w:pPr>
        <w:ind w:left="2977" w:hanging="213"/>
      </w:pPr>
      <w:rPr>
        <w:rFonts w:hint="default"/>
        <w:lang w:val="zh-CN" w:eastAsia="zh-CN" w:bidi="zh-CN"/>
      </w:rPr>
    </w:lvl>
    <w:lvl w:ilvl="3" w:tplc="A6AA3F06">
      <w:numFmt w:val="bullet"/>
      <w:lvlText w:val="•"/>
      <w:lvlJc w:val="left"/>
      <w:pPr>
        <w:ind w:left="3935" w:hanging="213"/>
      </w:pPr>
      <w:rPr>
        <w:rFonts w:hint="default"/>
        <w:lang w:val="zh-CN" w:eastAsia="zh-CN" w:bidi="zh-CN"/>
      </w:rPr>
    </w:lvl>
    <w:lvl w:ilvl="4" w:tplc="5AF860B2">
      <w:numFmt w:val="bullet"/>
      <w:lvlText w:val="•"/>
      <w:lvlJc w:val="left"/>
      <w:pPr>
        <w:ind w:left="4894" w:hanging="213"/>
      </w:pPr>
      <w:rPr>
        <w:rFonts w:hint="default"/>
        <w:lang w:val="zh-CN" w:eastAsia="zh-CN" w:bidi="zh-CN"/>
      </w:rPr>
    </w:lvl>
    <w:lvl w:ilvl="5" w:tplc="1E200E9A">
      <w:numFmt w:val="bullet"/>
      <w:lvlText w:val="•"/>
      <w:lvlJc w:val="left"/>
      <w:pPr>
        <w:ind w:left="5853" w:hanging="213"/>
      </w:pPr>
      <w:rPr>
        <w:rFonts w:hint="default"/>
        <w:lang w:val="zh-CN" w:eastAsia="zh-CN" w:bidi="zh-CN"/>
      </w:rPr>
    </w:lvl>
    <w:lvl w:ilvl="6" w:tplc="78E8DF2A">
      <w:numFmt w:val="bullet"/>
      <w:lvlText w:val="•"/>
      <w:lvlJc w:val="left"/>
      <w:pPr>
        <w:ind w:left="6811" w:hanging="213"/>
      </w:pPr>
      <w:rPr>
        <w:rFonts w:hint="default"/>
        <w:lang w:val="zh-CN" w:eastAsia="zh-CN" w:bidi="zh-CN"/>
      </w:rPr>
    </w:lvl>
    <w:lvl w:ilvl="7" w:tplc="C8E6B4B4">
      <w:numFmt w:val="bullet"/>
      <w:lvlText w:val="•"/>
      <w:lvlJc w:val="left"/>
      <w:pPr>
        <w:ind w:left="7770" w:hanging="213"/>
      </w:pPr>
      <w:rPr>
        <w:rFonts w:hint="default"/>
        <w:lang w:val="zh-CN" w:eastAsia="zh-CN" w:bidi="zh-CN"/>
      </w:rPr>
    </w:lvl>
    <w:lvl w:ilvl="8" w:tplc="EEFE106A">
      <w:numFmt w:val="bullet"/>
      <w:lvlText w:val="•"/>
      <w:lvlJc w:val="left"/>
      <w:pPr>
        <w:ind w:left="8729" w:hanging="213"/>
      </w:pPr>
      <w:rPr>
        <w:rFonts w:hint="default"/>
        <w:lang w:val="zh-CN" w:eastAsia="zh-CN" w:bidi="zh-CN"/>
      </w:rPr>
    </w:lvl>
  </w:abstractNum>
  <w:abstractNum w:abstractNumId="786" w15:restartNumberingAfterBreak="0">
    <w:nsid w:val="68BF244B"/>
    <w:multiLevelType w:val="hybridMultilevel"/>
    <w:tmpl w:val="344A7216"/>
    <w:lvl w:ilvl="0" w:tplc="4D3C7670">
      <w:start w:val="5"/>
      <w:numFmt w:val="decimal"/>
      <w:lvlText w:val="%1"/>
      <w:lvlJc w:val="left"/>
      <w:pPr>
        <w:ind w:left="1370" w:hanging="531"/>
        <w:jc w:val="left"/>
      </w:pPr>
      <w:rPr>
        <w:rFonts w:hint="default"/>
        <w:lang w:val="zh-CN" w:eastAsia="zh-CN" w:bidi="zh-CN"/>
      </w:rPr>
    </w:lvl>
    <w:lvl w:ilvl="1" w:tplc="1AC2DB2C">
      <w:start w:val="2"/>
      <w:numFmt w:val="decimal"/>
      <w:lvlText w:val="%1.%2"/>
      <w:lvlJc w:val="left"/>
      <w:pPr>
        <w:ind w:left="1370" w:hanging="531"/>
        <w:jc w:val="left"/>
      </w:pPr>
      <w:rPr>
        <w:rFonts w:hint="default"/>
        <w:lang w:val="zh-CN" w:eastAsia="zh-CN" w:bidi="zh-CN"/>
      </w:rPr>
    </w:lvl>
    <w:lvl w:ilvl="2" w:tplc="A2E0E99E">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D8F4AEEA">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C352B266">
      <w:numFmt w:val="bullet"/>
      <w:lvlText w:val="•"/>
      <w:lvlJc w:val="left"/>
      <w:pPr>
        <w:ind w:left="3846" w:hanging="738"/>
      </w:pPr>
      <w:rPr>
        <w:rFonts w:hint="default"/>
        <w:lang w:val="zh-CN" w:eastAsia="zh-CN" w:bidi="zh-CN"/>
      </w:rPr>
    </w:lvl>
    <w:lvl w:ilvl="5" w:tplc="9EDC07A0">
      <w:numFmt w:val="bullet"/>
      <w:lvlText w:val="•"/>
      <w:lvlJc w:val="left"/>
      <w:pPr>
        <w:ind w:left="4979" w:hanging="738"/>
      </w:pPr>
      <w:rPr>
        <w:rFonts w:hint="default"/>
        <w:lang w:val="zh-CN" w:eastAsia="zh-CN" w:bidi="zh-CN"/>
      </w:rPr>
    </w:lvl>
    <w:lvl w:ilvl="6" w:tplc="DB34ED42">
      <w:numFmt w:val="bullet"/>
      <w:lvlText w:val="•"/>
      <w:lvlJc w:val="left"/>
      <w:pPr>
        <w:ind w:left="6113" w:hanging="738"/>
      </w:pPr>
      <w:rPr>
        <w:rFonts w:hint="default"/>
        <w:lang w:val="zh-CN" w:eastAsia="zh-CN" w:bidi="zh-CN"/>
      </w:rPr>
    </w:lvl>
    <w:lvl w:ilvl="7" w:tplc="8104D6FA">
      <w:numFmt w:val="bullet"/>
      <w:lvlText w:val="•"/>
      <w:lvlJc w:val="left"/>
      <w:pPr>
        <w:ind w:left="7246" w:hanging="738"/>
      </w:pPr>
      <w:rPr>
        <w:rFonts w:hint="default"/>
        <w:lang w:val="zh-CN" w:eastAsia="zh-CN" w:bidi="zh-CN"/>
      </w:rPr>
    </w:lvl>
    <w:lvl w:ilvl="8" w:tplc="E7ECFD20">
      <w:numFmt w:val="bullet"/>
      <w:lvlText w:val="•"/>
      <w:lvlJc w:val="left"/>
      <w:pPr>
        <w:ind w:left="8379" w:hanging="738"/>
      </w:pPr>
      <w:rPr>
        <w:rFonts w:hint="default"/>
        <w:lang w:val="zh-CN" w:eastAsia="zh-CN" w:bidi="zh-CN"/>
      </w:rPr>
    </w:lvl>
  </w:abstractNum>
  <w:abstractNum w:abstractNumId="787" w15:restartNumberingAfterBreak="0">
    <w:nsid w:val="68C238AF"/>
    <w:multiLevelType w:val="hybridMultilevel"/>
    <w:tmpl w:val="C4043EFA"/>
    <w:lvl w:ilvl="0" w:tplc="722449DC">
      <w:start w:val="1"/>
      <w:numFmt w:val="decimal"/>
      <w:lvlText w:val="%1）"/>
      <w:lvlJc w:val="left"/>
      <w:pPr>
        <w:ind w:left="418" w:hanging="318"/>
        <w:jc w:val="left"/>
      </w:pPr>
      <w:rPr>
        <w:rFonts w:ascii="宋体" w:eastAsia="宋体" w:hAnsi="宋体" w:cs="宋体" w:hint="default"/>
        <w:w w:val="100"/>
        <w:sz w:val="19"/>
        <w:szCs w:val="19"/>
        <w:lang w:val="zh-CN" w:eastAsia="zh-CN" w:bidi="zh-CN"/>
      </w:rPr>
    </w:lvl>
    <w:lvl w:ilvl="1" w:tplc="04A0EB5C">
      <w:numFmt w:val="bullet"/>
      <w:lvlText w:val="•"/>
      <w:lvlJc w:val="left"/>
      <w:pPr>
        <w:ind w:left="1442" w:hanging="318"/>
      </w:pPr>
      <w:rPr>
        <w:rFonts w:hint="default"/>
        <w:lang w:val="zh-CN" w:eastAsia="zh-CN" w:bidi="zh-CN"/>
      </w:rPr>
    </w:lvl>
    <w:lvl w:ilvl="2" w:tplc="D0F254EE">
      <w:numFmt w:val="bullet"/>
      <w:lvlText w:val="•"/>
      <w:lvlJc w:val="left"/>
      <w:pPr>
        <w:ind w:left="2465" w:hanging="318"/>
      </w:pPr>
      <w:rPr>
        <w:rFonts w:hint="default"/>
        <w:lang w:val="zh-CN" w:eastAsia="zh-CN" w:bidi="zh-CN"/>
      </w:rPr>
    </w:lvl>
    <w:lvl w:ilvl="3" w:tplc="7EA625D0">
      <w:numFmt w:val="bullet"/>
      <w:lvlText w:val="•"/>
      <w:lvlJc w:val="left"/>
      <w:pPr>
        <w:ind w:left="3487" w:hanging="318"/>
      </w:pPr>
      <w:rPr>
        <w:rFonts w:hint="default"/>
        <w:lang w:val="zh-CN" w:eastAsia="zh-CN" w:bidi="zh-CN"/>
      </w:rPr>
    </w:lvl>
    <w:lvl w:ilvl="4" w:tplc="1E784DD2">
      <w:numFmt w:val="bullet"/>
      <w:lvlText w:val="•"/>
      <w:lvlJc w:val="left"/>
      <w:pPr>
        <w:ind w:left="4510" w:hanging="318"/>
      </w:pPr>
      <w:rPr>
        <w:rFonts w:hint="default"/>
        <w:lang w:val="zh-CN" w:eastAsia="zh-CN" w:bidi="zh-CN"/>
      </w:rPr>
    </w:lvl>
    <w:lvl w:ilvl="5" w:tplc="EF52B68E">
      <w:numFmt w:val="bullet"/>
      <w:lvlText w:val="•"/>
      <w:lvlJc w:val="left"/>
      <w:pPr>
        <w:ind w:left="5533" w:hanging="318"/>
      </w:pPr>
      <w:rPr>
        <w:rFonts w:hint="default"/>
        <w:lang w:val="zh-CN" w:eastAsia="zh-CN" w:bidi="zh-CN"/>
      </w:rPr>
    </w:lvl>
    <w:lvl w:ilvl="6" w:tplc="D5C0D294">
      <w:numFmt w:val="bullet"/>
      <w:lvlText w:val="•"/>
      <w:lvlJc w:val="left"/>
      <w:pPr>
        <w:ind w:left="6555" w:hanging="318"/>
      </w:pPr>
      <w:rPr>
        <w:rFonts w:hint="default"/>
        <w:lang w:val="zh-CN" w:eastAsia="zh-CN" w:bidi="zh-CN"/>
      </w:rPr>
    </w:lvl>
    <w:lvl w:ilvl="7" w:tplc="29F045F2">
      <w:numFmt w:val="bullet"/>
      <w:lvlText w:val="•"/>
      <w:lvlJc w:val="left"/>
      <w:pPr>
        <w:ind w:left="7578" w:hanging="318"/>
      </w:pPr>
      <w:rPr>
        <w:rFonts w:hint="default"/>
        <w:lang w:val="zh-CN" w:eastAsia="zh-CN" w:bidi="zh-CN"/>
      </w:rPr>
    </w:lvl>
    <w:lvl w:ilvl="8" w:tplc="D186A0EE">
      <w:numFmt w:val="bullet"/>
      <w:lvlText w:val="•"/>
      <w:lvlJc w:val="left"/>
      <w:pPr>
        <w:ind w:left="8601" w:hanging="318"/>
      </w:pPr>
      <w:rPr>
        <w:rFonts w:hint="default"/>
        <w:lang w:val="zh-CN" w:eastAsia="zh-CN" w:bidi="zh-CN"/>
      </w:rPr>
    </w:lvl>
  </w:abstractNum>
  <w:abstractNum w:abstractNumId="788" w15:restartNumberingAfterBreak="0">
    <w:nsid w:val="68E558A7"/>
    <w:multiLevelType w:val="hybridMultilevel"/>
    <w:tmpl w:val="83385CD8"/>
    <w:lvl w:ilvl="0" w:tplc="589606DE">
      <w:start w:val="5"/>
      <w:numFmt w:val="decimal"/>
      <w:lvlText w:val="%1"/>
      <w:lvlJc w:val="left"/>
      <w:pPr>
        <w:ind w:left="1159" w:hanging="320"/>
        <w:jc w:val="left"/>
      </w:pPr>
      <w:rPr>
        <w:rFonts w:hint="default"/>
        <w:lang w:val="zh-CN" w:eastAsia="zh-CN" w:bidi="zh-CN"/>
      </w:rPr>
    </w:lvl>
    <w:lvl w:ilvl="1" w:tplc="D33C4048">
      <w:start w:val="3"/>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9FBC8348">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CFCC85B2">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748C87CA">
      <w:start w:val="1"/>
      <w:numFmt w:val="decimal"/>
      <w:lvlText w:val="%1.%2.%3.%4.%5"/>
      <w:lvlJc w:val="left"/>
      <w:pPr>
        <w:ind w:left="418" w:hanging="950"/>
        <w:jc w:val="left"/>
      </w:pPr>
      <w:rPr>
        <w:rFonts w:ascii="宋体" w:eastAsia="宋体" w:hAnsi="宋体" w:cs="宋体" w:hint="default"/>
        <w:spacing w:val="-3"/>
        <w:w w:val="100"/>
        <w:sz w:val="19"/>
        <w:szCs w:val="19"/>
        <w:lang w:val="zh-CN" w:eastAsia="zh-CN" w:bidi="zh-CN"/>
      </w:rPr>
    </w:lvl>
    <w:lvl w:ilvl="5" w:tplc="B7ACE558">
      <w:numFmt w:val="bullet"/>
      <w:lvlText w:val="•"/>
      <w:lvlJc w:val="left"/>
      <w:pPr>
        <w:ind w:left="1780" w:hanging="950"/>
      </w:pPr>
      <w:rPr>
        <w:rFonts w:hint="default"/>
        <w:lang w:val="zh-CN" w:eastAsia="zh-CN" w:bidi="zh-CN"/>
      </w:rPr>
    </w:lvl>
    <w:lvl w:ilvl="6" w:tplc="EF760D9A">
      <w:numFmt w:val="bullet"/>
      <w:lvlText w:val="•"/>
      <w:lvlJc w:val="left"/>
      <w:pPr>
        <w:ind w:left="3553" w:hanging="950"/>
      </w:pPr>
      <w:rPr>
        <w:rFonts w:hint="default"/>
        <w:lang w:val="zh-CN" w:eastAsia="zh-CN" w:bidi="zh-CN"/>
      </w:rPr>
    </w:lvl>
    <w:lvl w:ilvl="7" w:tplc="21D09AFC">
      <w:numFmt w:val="bullet"/>
      <w:lvlText w:val="•"/>
      <w:lvlJc w:val="left"/>
      <w:pPr>
        <w:ind w:left="5326" w:hanging="950"/>
      </w:pPr>
      <w:rPr>
        <w:rFonts w:hint="default"/>
        <w:lang w:val="zh-CN" w:eastAsia="zh-CN" w:bidi="zh-CN"/>
      </w:rPr>
    </w:lvl>
    <w:lvl w:ilvl="8" w:tplc="4E545144">
      <w:numFmt w:val="bullet"/>
      <w:lvlText w:val="•"/>
      <w:lvlJc w:val="left"/>
      <w:pPr>
        <w:ind w:left="7099" w:hanging="950"/>
      </w:pPr>
      <w:rPr>
        <w:rFonts w:hint="default"/>
        <w:lang w:val="zh-CN" w:eastAsia="zh-CN" w:bidi="zh-CN"/>
      </w:rPr>
    </w:lvl>
  </w:abstractNum>
  <w:abstractNum w:abstractNumId="789" w15:restartNumberingAfterBreak="0">
    <w:nsid w:val="69133AEA"/>
    <w:multiLevelType w:val="hybridMultilevel"/>
    <w:tmpl w:val="A9467BC6"/>
    <w:lvl w:ilvl="0" w:tplc="F11A12A8">
      <w:start w:val="5"/>
      <w:numFmt w:val="decimal"/>
      <w:lvlText w:val="%1"/>
      <w:lvlJc w:val="left"/>
      <w:pPr>
        <w:ind w:left="1477" w:hanging="637"/>
        <w:jc w:val="left"/>
      </w:pPr>
      <w:rPr>
        <w:rFonts w:hint="default"/>
        <w:lang w:val="zh-CN" w:eastAsia="zh-CN" w:bidi="zh-CN"/>
      </w:rPr>
    </w:lvl>
    <w:lvl w:ilvl="1" w:tplc="164A5BC6">
      <w:start w:val="3"/>
      <w:numFmt w:val="decimal"/>
      <w:lvlText w:val="%1.%2"/>
      <w:lvlJc w:val="left"/>
      <w:pPr>
        <w:ind w:left="1477" w:hanging="637"/>
        <w:jc w:val="left"/>
      </w:pPr>
      <w:rPr>
        <w:rFonts w:hint="default"/>
        <w:lang w:val="zh-CN" w:eastAsia="zh-CN" w:bidi="zh-CN"/>
      </w:rPr>
    </w:lvl>
    <w:lvl w:ilvl="2" w:tplc="4C76A8A2">
      <w:start w:val="10"/>
      <w:numFmt w:val="decimal"/>
      <w:lvlText w:val="%1.%2.%3"/>
      <w:lvlJc w:val="left"/>
      <w:pPr>
        <w:ind w:left="1477" w:hanging="637"/>
        <w:jc w:val="left"/>
      </w:pPr>
      <w:rPr>
        <w:rFonts w:ascii="宋体" w:eastAsia="宋体" w:hAnsi="宋体" w:cs="宋体" w:hint="default"/>
        <w:b/>
        <w:bCs/>
        <w:spacing w:val="-8"/>
        <w:w w:val="99"/>
        <w:sz w:val="19"/>
        <w:szCs w:val="19"/>
        <w:lang w:val="zh-CN" w:eastAsia="zh-CN" w:bidi="zh-CN"/>
      </w:rPr>
    </w:lvl>
    <w:lvl w:ilvl="3" w:tplc="03541E70">
      <w:numFmt w:val="bullet"/>
      <w:lvlText w:val="•"/>
      <w:lvlJc w:val="left"/>
      <w:pPr>
        <w:ind w:left="4229" w:hanging="637"/>
      </w:pPr>
      <w:rPr>
        <w:rFonts w:hint="default"/>
        <w:lang w:val="zh-CN" w:eastAsia="zh-CN" w:bidi="zh-CN"/>
      </w:rPr>
    </w:lvl>
    <w:lvl w:ilvl="4" w:tplc="12021C50">
      <w:numFmt w:val="bullet"/>
      <w:lvlText w:val="•"/>
      <w:lvlJc w:val="left"/>
      <w:pPr>
        <w:ind w:left="5146" w:hanging="637"/>
      </w:pPr>
      <w:rPr>
        <w:rFonts w:hint="default"/>
        <w:lang w:val="zh-CN" w:eastAsia="zh-CN" w:bidi="zh-CN"/>
      </w:rPr>
    </w:lvl>
    <w:lvl w:ilvl="5" w:tplc="AF3624F4">
      <w:numFmt w:val="bullet"/>
      <w:lvlText w:val="•"/>
      <w:lvlJc w:val="left"/>
      <w:pPr>
        <w:ind w:left="6063" w:hanging="637"/>
      </w:pPr>
      <w:rPr>
        <w:rFonts w:hint="default"/>
        <w:lang w:val="zh-CN" w:eastAsia="zh-CN" w:bidi="zh-CN"/>
      </w:rPr>
    </w:lvl>
    <w:lvl w:ilvl="6" w:tplc="E69ED196">
      <w:numFmt w:val="bullet"/>
      <w:lvlText w:val="•"/>
      <w:lvlJc w:val="left"/>
      <w:pPr>
        <w:ind w:left="6979" w:hanging="637"/>
      </w:pPr>
      <w:rPr>
        <w:rFonts w:hint="default"/>
        <w:lang w:val="zh-CN" w:eastAsia="zh-CN" w:bidi="zh-CN"/>
      </w:rPr>
    </w:lvl>
    <w:lvl w:ilvl="7" w:tplc="025AAC7A">
      <w:numFmt w:val="bullet"/>
      <w:lvlText w:val="•"/>
      <w:lvlJc w:val="left"/>
      <w:pPr>
        <w:ind w:left="7896" w:hanging="637"/>
      </w:pPr>
      <w:rPr>
        <w:rFonts w:hint="default"/>
        <w:lang w:val="zh-CN" w:eastAsia="zh-CN" w:bidi="zh-CN"/>
      </w:rPr>
    </w:lvl>
    <w:lvl w:ilvl="8" w:tplc="48928392">
      <w:numFmt w:val="bullet"/>
      <w:lvlText w:val="•"/>
      <w:lvlJc w:val="left"/>
      <w:pPr>
        <w:ind w:left="8813" w:hanging="637"/>
      </w:pPr>
      <w:rPr>
        <w:rFonts w:hint="default"/>
        <w:lang w:val="zh-CN" w:eastAsia="zh-CN" w:bidi="zh-CN"/>
      </w:rPr>
    </w:lvl>
  </w:abstractNum>
  <w:abstractNum w:abstractNumId="790" w15:restartNumberingAfterBreak="0">
    <w:nsid w:val="691B0BDB"/>
    <w:multiLevelType w:val="hybridMultilevel"/>
    <w:tmpl w:val="169EF140"/>
    <w:lvl w:ilvl="0" w:tplc="C82A8C02">
      <w:start w:val="1"/>
      <w:numFmt w:val="decimal"/>
      <w:lvlText w:val="%1）"/>
      <w:lvlJc w:val="left"/>
      <w:pPr>
        <w:ind w:left="1155" w:hanging="318"/>
        <w:jc w:val="left"/>
      </w:pPr>
      <w:rPr>
        <w:rFonts w:ascii="宋体" w:eastAsia="宋体" w:hAnsi="宋体" w:cs="宋体" w:hint="default"/>
        <w:w w:val="100"/>
        <w:sz w:val="19"/>
        <w:szCs w:val="19"/>
        <w:lang w:val="zh-CN" w:eastAsia="zh-CN" w:bidi="zh-CN"/>
      </w:rPr>
    </w:lvl>
    <w:lvl w:ilvl="1" w:tplc="B93CB0B8">
      <w:numFmt w:val="bullet"/>
      <w:lvlText w:val="•"/>
      <w:lvlJc w:val="left"/>
      <w:pPr>
        <w:ind w:left="2108" w:hanging="318"/>
      </w:pPr>
      <w:rPr>
        <w:rFonts w:hint="default"/>
        <w:lang w:val="zh-CN" w:eastAsia="zh-CN" w:bidi="zh-CN"/>
      </w:rPr>
    </w:lvl>
    <w:lvl w:ilvl="2" w:tplc="FE52240A">
      <w:numFmt w:val="bullet"/>
      <w:lvlText w:val="•"/>
      <w:lvlJc w:val="left"/>
      <w:pPr>
        <w:ind w:left="3057" w:hanging="318"/>
      </w:pPr>
      <w:rPr>
        <w:rFonts w:hint="default"/>
        <w:lang w:val="zh-CN" w:eastAsia="zh-CN" w:bidi="zh-CN"/>
      </w:rPr>
    </w:lvl>
    <w:lvl w:ilvl="3" w:tplc="F280D30C">
      <w:numFmt w:val="bullet"/>
      <w:lvlText w:val="•"/>
      <w:lvlJc w:val="left"/>
      <w:pPr>
        <w:ind w:left="4005" w:hanging="318"/>
      </w:pPr>
      <w:rPr>
        <w:rFonts w:hint="default"/>
        <w:lang w:val="zh-CN" w:eastAsia="zh-CN" w:bidi="zh-CN"/>
      </w:rPr>
    </w:lvl>
    <w:lvl w:ilvl="4" w:tplc="EDB84DAC">
      <w:numFmt w:val="bullet"/>
      <w:lvlText w:val="•"/>
      <w:lvlJc w:val="left"/>
      <w:pPr>
        <w:ind w:left="4954" w:hanging="318"/>
      </w:pPr>
      <w:rPr>
        <w:rFonts w:hint="default"/>
        <w:lang w:val="zh-CN" w:eastAsia="zh-CN" w:bidi="zh-CN"/>
      </w:rPr>
    </w:lvl>
    <w:lvl w:ilvl="5" w:tplc="4F3871B4">
      <w:numFmt w:val="bullet"/>
      <w:lvlText w:val="•"/>
      <w:lvlJc w:val="left"/>
      <w:pPr>
        <w:ind w:left="5903" w:hanging="318"/>
      </w:pPr>
      <w:rPr>
        <w:rFonts w:hint="default"/>
        <w:lang w:val="zh-CN" w:eastAsia="zh-CN" w:bidi="zh-CN"/>
      </w:rPr>
    </w:lvl>
    <w:lvl w:ilvl="6" w:tplc="859887C8">
      <w:numFmt w:val="bullet"/>
      <w:lvlText w:val="•"/>
      <w:lvlJc w:val="left"/>
      <w:pPr>
        <w:ind w:left="6851" w:hanging="318"/>
      </w:pPr>
      <w:rPr>
        <w:rFonts w:hint="default"/>
        <w:lang w:val="zh-CN" w:eastAsia="zh-CN" w:bidi="zh-CN"/>
      </w:rPr>
    </w:lvl>
    <w:lvl w:ilvl="7" w:tplc="A79CA71E">
      <w:numFmt w:val="bullet"/>
      <w:lvlText w:val="•"/>
      <w:lvlJc w:val="left"/>
      <w:pPr>
        <w:ind w:left="7800" w:hanging="318"/>
      </w:pPr>
      <w:rPr>
        <w:rFonts w:hint="default"/>
        <w:lang w:val="zh-CN" w:eastAsia="zh-CN" w:bidi="zh-CN"/>
      </w:rPr>
    </w:lvl>
    <w:lvl w:ilvl="8" w:tplc="B55E9022">
      <w:numFmt w:val="bullet"/>
      <w:lvlText w:val="•"/>
      <w:lvlJc w:val="left"/>
      <w:pPr>
        <w:ind w:left="8749" w:hanging="318"/>
      </w:pPr>
      <w:rPr>
        <w:rFonts w:hint="default"/>
        <w:lang w:val="zh-CN" w:eastAsia="zh-CN" w:bidi="zh-CN"/>
      </w:rPr>
    </w:lvl>
  </w:abstractNum>
  <w:abstractNum w:abstractNumId="791" w15:restartNumberingAfterBreak="0">
    <w:nsid w:val="694A78BA"/>
    <w:multiLevelType w:val="hybridMultilevel"/>
    <w:tmpl w:val="8D86E800"/>
    <w:lvl w:ilvl="0" w:tplc="F2F2BD7E">
      <w:start w:val="2"/>
      <w:numFmt w:val="decimal"/>
      <w:lvlText w:val="%1）"/>
      <w:lvlJc w:val="left"/>
      <w:pPr>
        <w:ind w:left="1155" w:hanging="318"/>
        <w:jc w:val="left"/>
      </w:pPr>
      <w:rPr>
        <w:rFonts w:ascii="宋体" w:eastAsia="宋体" w:hAnsi="宋体" w:cs="宋体" w:hint="default"/>
        <w:w w:val="100"/>
        <w:sz w:val="19"/>
        <w:szCs w:val="19"/>
        <w:lang w:val="zh-CN" w:eastAsia="zh-CN" w:bidi="zh-CN"/>
      </w:rPr>
    </w:lvl>
    <w:lvl w:ilvl="1" w:tplc="331C0014">
      <w:numFmt w:val="bullet"/>
      <w:lvlText w:val="•"/>
      <w:lvlJc w:val="left"/>
      <w:pPr>
        <w:ind w:left="2108" w:hanging="318"/>
      </w:pPr>
      <w:rPr>
        <w:rFonts w:hint="default"/>
        <w:lang w:val="zh-CN" w:eastAsia="zh-CN" w:bidi="zh-CN"/>
      </w:rPr>
    </w:lvl>
    <w:lvl w:ilvl="2" w:tplc="471C6AB8">
      <w:numFmt w:val="bullet"/>
      <w:lvlText w:val="•"/>
      <w:lvlJc w:val="left"/>
      <w:pPr>
        <w:ind w:left="3057" w:hanging="318"/>
      </w:pPr>
      <w:rPr>
        <w:rFonts w:hint="default"/>
        <w:lang w:val="zh-CN" w:eastAsia="zh-CN" w:bidi="zh-CN"/>
      </w:rPr>
    </w:lvl>
    <w:lvl w:ilvl="3" w:tplc="8E78F848">
      <w:numFmt w:val="bullet"/>
      <w:lvlText w:val="•"/>
      <w:lvlJc w:val="left"/>
      <w:pPr>
        <w:ind w:left="4005" w:hanging="318"/>
      </w:pPr>
      <w:rPr>
        <w:rFonts w:hint="default"/>
        <w:lang w:val="zh-CN" w:eastAsia="zh-CN" w:bidi="zh-CN"/>
      </w:rPr>
    </w:lvl>
    <w:lvl w:ilvl="4" w:tplc="646277E0">
      <w:numFmt w:val="bullet"/>
      <w:lvlText w:val="•"/>
      <w:lvlJc w:val="left"/>
      <w:pPr>
        <w:ind w:left="4954" w:hanging="318"/>
      </w:pPr>
      <w:rPr>
        <w:rFonts w:hint="default"/>
        <w:lang w:val="zh-CN" w:eastAsia="zh-CN" w:bidi="zh-CN"/>
      </w:rPr>
    </w:lvl>
    <w:lvl w:ilvl="5" w:tplc="581A4A78">
      <w:numFmt w:val="bullet"/>
      <w:lvlText w:val="•"/>
      <w:lvlJc w:val="left"/>
      <w:pPr>
        <w:ind w:left="5903" w:hanging="318"/>
      </w:pPr>
      <w:rPr>
        <w:rFonts w:hint="default"/>
        <w:lang w:val="zh-CN" w:eastAsia="zh-CN" w:bidi="zh-CN"/>
      </w:rPr>
    </w:lvl>
    <w:lvl w:ilvl="6" w:tplc="413C249E">
      <w:numFmt w:val="bullet"/>
      <w:lvlText w:val="•"/>
      <w:lvlJc w:val="left"/>
      <w:pPr>
        <w:ind w:left="6851" w:hanging="318"/>
      </w:pPr>
      <w:rPr>
        <w:rFonts w:hint="default"/>
        <w:lang w:val="zh-CN" w:eastAsia="zh-CN" w:bidi="zh-CN"/>
      </w:rPr>
    </w:lvl>
    <w:lvl w:ilvl="7" w:tplc="332C7BCC">
      <w:numFmt w:val="bullet"/>
      <w:lvlText w:val="•"/>
      <w:lvlJc w:val="left"/>
      <w:pPr>
        <w:ind w:left="7800" w:hanging="318"/>
      </w:pPr>
      <w:rPr>
        <w:rFonts w:hint="default"/>
        <w:lang w:val="zh-CN" w:eastAsia="zh-CN" w:bidi="zh-CN"/>
      </w:rPr>
    </w:lvl>
    <w:lvl w:ilvl="8" w:tplc="D466CCC6">
      <w:numFmt w:val="bullet"/>
      <w:lvlText w:val="•"/>
      <w:lvlJc w:val="left"/>
      <w:pPr>
        <w:ind w:left="8749" w:hanging="318"/>
      </w:pPr>
      <w:rPr>
        <w:rFonts w:hint="default"/>
        <w:lang w:val="zh-CN" w:eastAsia="zh-CN" w:bidi="zh-CN"/>
      </w:rPr>
    </w:lvl>
  </w:abstractNum>
  <w:abstractNum w:abstractNumId="792" w15:restartNumberingAfterBreak="0">
    <w:nsid w:val="696B6C55"/>
    <w:multiLevelType w:val="hybridMultilevel"/>
    <w:tmpl w:val="90EAFED2"/>
    <w:lvl w:ilvl="0" w:tplc="767AB0B4">
      <w:start w:val="2"/>
      <w:numFmt w:val="lowerLetter"/>
      <w:lvlText w:val="%1."/>
      <w:lvlJc w:val="left"/>
      <w:pPr>
        <w:ind w:left="418" w:hanging="213"/>
        <w:jc w:val="left"/>
      </w:pPr>
      <w:rPr>
        <w:rFonts w:ascii="宋体" w:eastAsia="宋体" w:hAnsi="宋体" w:cs="宋体" w:hint="default"/>
        <w:spacing w:val="-10"/>
        <w:w w:val="100"/>
        <w:sz w:val="19"/>
        <w:szCs w:val="19"/>
        <w:lang w:val="zh-CN" w:eastAsia="zh-CN" w:bidi="zh-CN"/>
      </w:rPr>
    </w:lvl>
    <w:lvl w:ilvl="1" w:tplc="5C70A0D2">
      <w:numFmt w:val="bullet"/>
      <w:lvlText w:val="•"/>
      <w:lvlJc w:val="left"/>
      <w:pPr>
        <w:ind w:left="1442" w:hanging="213"/>
      </w:pPr>
      <w:rPr>
        <w:rFonts w:hint="default"/>
        <w:lang w:val="zh-CN" w:eastAsia="zh-CN" w:bidi="zh-CN"/>
      </w:rPr>
    </w:lvl>
    <w:lvl w:ilvl="2" w:tplc="1DA00D5E">
      <w:numFmt w:val="bullet"/>
      <w:lvlText w:val="•"/>
      <w:lvlJc w:val="left"/>
      <w:pPr>
        <w:ind w:left="2465" w:hanging="213"/>
      </w:pPr>
      <w:rPr>
        <w:rFonts w:hint="default"/>
        <w:lang w:val="zh-CN" w:eastAsia="zh-CN" w:bidi="zh-CN"/>
      </w:rPr>
    </w:lvl>
    <w:lvl w:ilvl="3" w:tplc="2F7C1354">
      <w:numFmt w:val="bullet"/>
      <w:lvlText w:val="•"/>
      <w:lvlJc w:val="left"/>
      <w:pPr>
        <w:ind w:left="3487" w:hanging="213"/>
      </w:pPr>
      <w:rPr>
        <w:rFonts w:hint="default"/>
        <w:lang w:val="zh-CN" w:eastAsia="zh-CN" w:bidi="zh-CN"/>
      </w:rPr>
    </w:lvl>
    <w:lvl w:ilvl="4" w:tplc="CB76EEDC">
      <w:numFmt w:val="bullet"/>
      <w:lvlText w:val="•"/>
      <w:lvlJc w:val="left"/>
      <w:pPr>
        <w:ind w:left="4510" w:hanging="213"/>
      </w:pPr>
      <w:rPr>
        <w:rFonts w:hint="default"/>
        <w:lang w:val="zh-CN" w:eastAsia="zh-CN" w:bidi="zh-CN"/>
      </w:rPr>
    </w:lvl>
    <w:lvl w:ilvl="5" w:tplc="1C1CE28A">
      <w:numFmt w:val="bullet"/>
      <w:lvlText w:val="•"/>
      <w:lvlJc w:val="left"/>
      <w:pPr>
        <w:ind w:left="5533" w:hanging="213"/>
      </w:pPr>
      <w:rPr>
        <w:rFonts w:hint="default"/>
        <w:lang w:val="zh-CN" w:eastAsia="zh-CN" w:bidi="zh-CN"/>
      </w:rPr>
    </w:lvl>
    <w:lvl w:ilvl="6" w:tplc="80F0DF44">
      <w:numFmt w:val="bullet"/>
      <w:lvlText w:val="•"/>
      <w:lvlJc w:val="left"/>
      <w:pPr>
        <w:ind w:left="6555" w:hanging="213"/>
      </w:pPr>
      <w:rPr>
        <w:rFonts w:hint="default"/>
        <w:lang w:val="zh-CN" w:eastAsia="zh-CN" w:bidi="zh-CN"/>
      </w:rPr>
    </w:lvl>
    <w:lvl w:ilvl="7" w:tplc="C6D2DBEE">
      <w:numFmt w:val="bullet"/>
      <w:lvlText w:val="•"/>
      <w:lvlJc w:val="left"/>
      <w:pPr>
        <w:ind w:left="7578" w:hanging="213"/>
      </w:pPr>
      <w:rPr>
        <w:rFonts w:hint="default"/>
        <w:lang w:val="zh-CN" w:eastAsia="zh-CN" w:bidi="zh-CN"/>
      </w:rPr>
    </w:lvl>
    <w:lvl w:ilvl="8" w:tplc="EAFA13EE">
      <w:numFmt w:val="bullet"/>
      <w:lvlText w:val="•"/>
      <w:lvlJc w:val="left"/>
      <w:pPr>
        <w:ind w:left="8601" w:hanging="213"/>
      </w:pPr>
      <w:rPr>
        <w:rFonts w:hint="default"/>
        <w:lang w:val="zh-CN" w:eastAsia="zh-CN" w:bidi="zh-CN"/>
      </w:rPr>
    </w:lvl>
  </w:abstractNum>
  <w:abstractNum w:abstractNumId="793" w15:restartNumberingAfterBreak="0">
    <w:nsid w:val="69775AEB"/>
    <w:multiLevelType w:val="hybridMultilevel"/>
    <w:tmpl w:val="4D761C5E"/>
    <w:lvl w:ilvl="0" w:tplc="AB7065A6">
      <w:start w:val="4"/>
      <w:numFmt w:val="decimal"/>
      <w:lvlText w:val="%1"/>
      <w:lvlJc w:val="left"/>
      <w:pPr>
        <w:ind w:left="1627" w:hanging="1210"/>
        <w:jc w:val="left"/>
      </w:pPr>
      <w:rPr>
        <w:rFonts w:hint="default"/>
        <w:lang w:val="zh-CN" w:eastAsia="zh-CN" w:bidi="zh-CN"/>
      </w:rPr>
    </w:lvl>
    <w:lvl w:ilvl="1" w:tplc="0C74FC44">
      <w:start w:val="4"/>
      <w:numFmt w:val="decimal"/>
      <w:lvlText w:val="%1.%2"/>
      <w:lvlJc w:val="left"/>
      <w:pPr>
        <w:ind w:left="1627" w:hanging="1210"/>
        <w:jc w:val="left"/>
      </w:pPr>
      <w:rPr>
        <w:rFonts w:hint="default"/>
        <w:lang w:val="zh-CN" w:eastAsia="zh-CN" w:bidi="zh-CN"/>
      </w:rPr>
    </w:lvl>
    <w:lvl w:ilvl="2" w:tplc="62DC1458">
      <w:start w:val="4"/>
      <w:numFmt w:val="decimal"/>
      <w:lvlText w:val="%1.%2.%3"/>
      <w:lvlJc w:val="left"/>
      <w:pPr>
        <w:ind w:left="1627" w:hanging="1210"/>
        <w:jc w:val="left"/>
      </w:pPr>
      <w:rPr>
        <w:rFonts w:hint="default"/>
        <w:lang w:val="zh-CN" w:eastAsia="zh-CN" w:bidi="zh-CN"/>
      </w:rPr>
    </w:lvl>
    <w:lvl w:ilvl="3" w:tplc="FC34015E">
      <w:start w:val="2"/>
      <w:numFmt w:val="decimal"/>
      <w:lvlText w:val="%1.%2.%3.%4"/>
      <w:lvlJc w:val="left"/>
      <w:pPr>
        <w:ind w:left="1627" w:hanging="1210"/>
        <w:jc w:val="left"/>
      </w:pPr>
      <w:rPr>
        <w:rFonts w:hint="default"/>
        <w:lang w:val="zh-CN" w:eastAsia="zh-CN" w:bidi="zh-CN"/>
      </w:rPr>
    </w:lvl>
    <w:lvl w:ilvl="4" w:tplc="BAFAB4EA">
      <w:start w:val="6"/>
      <w:numFmt w:val="decimal"/>
      <w:lvlText w:val="%1.%2.%3.%4.%5"/>
      <w:lvlJc w:val="left"/>
      <w:pPr>
        <w:ind w:left="1627" w:hanging="1210"/>
        <w:jc w:val="left"/>
      </w:pPr>
      <w:rPr>
        <w:rFonts w:hint="default"/>
        <w:lang w:val="zh-CN" w:eastAsia="zh-CN" w:bidi="zh-CN"/>
      </w:rPr>
    </w:lvl>
    <w:lvl w:ilvl="5" w:tplc="F2147DA2">
      <w:start w:val="2"/>
      <w:numFmt w:val="decimal"/>
      <w:lvlText w:val="%1.%2.%3.%4.%5.%6"/>
      <w:lvlJc w:val="left"/>
      <w:pPr>
        <w:ind w:left="1627" w:hanging="1210"/>
        <w:jc w:val="left"/>
      </w:pPr>
      <w:rPr>
        <w:rFonts w:ascii="宋体" w:eastAsia="宋体" w:hAnsi="宋体" w:cs="宋体" w:hint="default"/>
        <w:spacing w:val="-3"/>
        <w:w w:val="100"/>
        <w:sz w:val="21"/>
        <w:szCs w:val="21"/>
        <w:lang w:val="zh-CN" w:eastAsia="zh-CN" w:bidi="zh-CN"/>
      </w:rPr>
    </w:lvl>
    <w:lvl w:ilvl="6" w:tplc="535456D2">
      <w:numFmt w:val="bullet"/>
      <w:lvlText w:val="•"/>
      <w:lvlJc w:val="left"/>
      <w:pPr>
        <w:ind w:left="7035" w:hanging="1210"/>
      </w:pPr>
      <w:rPr>
        <w:rFonts w:hint="default"/>
        <w:lang w:val="zh-CN" w:eastAsia="zh-CN" w:bidi="zh-CN"/>
      </w:rPr>
    </w:lvl>
    <w:lvl w:ilvl="7" w:tplc="35067D26">
      <w:numFmt w:val="bullet"/>
      <w:lvlText w:val="•"/>
      <w:lvlJc w:val="left"/>
      <w:pPr>
        <w:ind w:left="7938" w:hanging="1210"/>
      </w:pPr>
      <w:rPr>
        <w:rFonts w:hint="default"/>
        <w:lang w:val="zh-CN" w:eastAsia="zh-CN" w:bidi="zh-CN"/>
      </w:rPr>
    </w:lvl>
    <w:lvl w:ilvl="8" w:tplc="7C7064D2">
      <w:numFmt w:val="bullet"/>
      <w:lvlText w:val="•"/>
      <w:lvlJc w:val="left"/>
      <w:pPr>
        <w:ind w:left="8841" w:hanging="1210"/>
      </w:pPr>
      <w:rPr>
        <w:rFonts w:hint="default"/>
        <w:lang w:val="zh-CN" w:eastAsia="zh-CN" w:bidi="zh-CN"/>
      </w:rPr>
    </w:lvl>
  </w:abstractNum>
  <w:abstractNum w:abstractNumId="794" w15:restartNumberingAfterBreak="0">
    <w:nsid w:val="699C51A5"/>
    <w:multiLevelType w:val="hybridMultilevel"/>
    <w:tmpl w:val="BDA4E1F2"/>
    <w:lvl w:ilvl="0" w:tplc="A19A077A">
      <w:start w:val="6"/>
      <w:numFmt w:val="decimal"/>
      <w:lvlText w:val="%1"/>
      <w:lvlJc w:val="left"/>
      <w:pPr>
        <w:ind w:left="1529" w:hanging="689"/>
        <w:jc w:val="left"/>
      </w:pPr>
      <w:rPr>
        <w:rFonts w:hint="default"/>
        <w:lang w:val="zh-CN" w:eastAsia="zh-CN" w:bidi="zh-CN"/>
      </w:rPr>
    </w:lvl>
    <w:lvl w:ilvl="1" w:tplc="1F3CB73E">
      <w:start w:val="13"/>
      <w:numFmt w:val="decimal"/>
      <w:lvlText w:val="%1.%2"/>
      <w:lvlJc w:val="left"/>
      <w:pPr>
        <w:ind w:left="1529" w:hanging="689"/>
        <w:jc w:val="left"/>
      </w:pPr>
      <w:rPr>
        <w:rFonts w:hint="default"/>
        <w:lang w:val="zh-CN" w:eastAsia="zh-CN" w:bidi="zh-CN"/>
      </w:rPr>
    </w:lvl>
    <w:lvl w:ilvl="2" w:tplc="39E0AF7E">
      <w:start w:val="1"/>
      <w:numFmt w:val="decimal"/>
      <w:lvlText w:val="%1.%2.%3"/>
      <w:lvlJc w:val="left"/>
      <w:pPr>
        <w:ind w:left="1529" w:hanging="689"/>
        <w:jc w:val="left"/>
      </w:pPr>
      <w:rPr>
        <w:rFonts w:ascii="宋体" w:eastAsia="宋体" w:hAnsi="宋体" w:cs="宋体" w:hint="default"/>
        <w:b/>
        <w:bCs/>
        <w:w w:val="99"/>
        <w:sz w:val="21"/>
        <w:szCs w:val="21"/>
        <w:lang w:val="zh-CN" w:eastAsia="zh-CN" w:bidi="zh-CN"/>
      </w:rPr>
    </w:lvl>
    <w:lvl w:ilvl="3" w:tplc="FFFC0BCC">
      <w:numFmt w:val="bullet"/>
      <w:lvlText w:val="•"/>
      <w:lvlJc w:val="left"/>
      <w:pPr>
        <w:ind w:left="4257" w:hanging="689"/>
      </w:pPr>
      <w:rPr>
        <w:rFonts w:hint="default"/>
        <w:lang w:val="zh-CN" w:eastAsia="zh-CN" w:bidi="zh-CN"/>
      </w:rPr>
    </w:lvl>
    <w:lvl w:ilvl="4" w:tplc="D9F66B56">
      <w:numFmt w:val="bullet"/>
      <w:lvlText w:val="•"/>
      <w:lvlJc w:val="left"/>
      <w:pPr>
        <w:ind w:left="5170" w:hanging="689"/>
      </w:pPr>
      <w:rPr>
        <w:rFonts w:hint="default"/>
        <w:lang w:val="zh-CN" w:eastAsia="zh-CN" w:bidi="zh-CN"/>
      </w:rPr>
    </w:lvl>
    <w:lvl w:ilvl="5" w:tplc="475E68C4">
      <w:numFmt w:val="bullet"/>
      <w:lvlText w:val="•"/>
      <w:lvlJc w:val="left"/>
      <w:pPr>
        <w:ind w:left="6083" w:hanging="689"/>
      </w:pPr>
      <w:rPr>
        <w:rFonts w:hint="default"/>
        <w:lang w:val="zh-CN" w:eastAsia="zh-CN" w:bidi="zh-CN"/>
      </w:rPr>
    </w:lvl>
    <w:lvl w:ilvl="6" w:tplc="9D789B4C">
      <w:numFmt w:val="bullet"/>
      <w:lvlText w:val="•"/>
      <w:lvlJc w:val="left"/>
      <w:pPr>
        <w:ind w:left="6995" w:hanging="689"/>
      </w:pPr>
      <w:rPr>
        <w:rFonts w:hint="default"/>
        <w:lang w:val="zh-CN" w:eastAsia="zh-CN" w:bidi="zh-CN"/>
      </w:rPr>
    </w:lvl>
    <w:lvl w:ilvl="7" w:tplc="3C5865CE">
      <w:numFmt w:val="bullet"/>
      <w:lvlText w:val="•"/>
      <w:lvlJc w:val="left"/>
      <w:pPr>
        <w:ind w:left="7908" w:hanging="689"/>
      </w:pPr>
      <w:rPr>
        <w:rFonts w:hint="default"/>
        <w:lang w:val="zh-CN" w:eastAsia="zh-CN" w:bidi="zh-CN"/>
      </w:rPr>
    </w:lvl>
    <w:lvl w:ilvl="8" w:tplc="F944521C">
      <w:numFmt w:val="bullet"/>
      <w:lvlText w:val="•"/>
      <w:lvlJc w:val="left"/>
      <w:pPr>
        <w:ind w:left="8821" w:hanging="689"/>
      </w:pPr>
      <w:rPr>
        <w:rFonts w:hint="default"/>
        <w:lang w:val="zh-CN" w:eastAsia="zh-CN" w:bidi="zh-CN"/>
      </w:rPr>
    </w:lvl>
  </w:abstractNum>
  <w:abstractNum w:abstractNumId="795" w15:restartNumberingAfterBreak="0">
    <w:nsid w:val="69D559A3"/>
    <w:multiLevelType w:val="hybridMultilevel"/>
    <w:tmpl w:val="38DA5D8C"/>
    <w:lvl w:ilvl="0" w:tplc="5E00A85C">
      <w:start w:val="3"/>
      <w:numFmt w:val="decimal"/>
      <w:lvlText w:val="%1"/>
      <w:lvlJc w:val="left"/>
      <w:pPr>
        <w:ind w:left="418" w:hanging="318"/>
        <w:jc w:val="left"/>
      </w:pPr>
      <w:rPr>
        <w:rFonts w:hint="default"/>
        <w:lang w:val="zh-CN" w:eastAsia="zh-CN" w:bidi="zh-CN"/>
      </w:rPr>
    </w:lvl>
    <w:lvl w:ilvl="1" w:tplc="731A1C46">
      <w:start w:val="1"/>
      <w:numFmt w:val="decimal"/>
      <w:lvlText w:val="%1.%2"/>
      <w:lvlJc w:val="left"/>
      <w:pPr>
        <w:ind w:left="418" w:hanging="318"/>
        <w:jc w:val="left"/>
      </w:pPr>
      <w:rPr>
        <w:rFonts w:ascii="宋体" w:eastAsia="宋体" w:hAnsi="宋体" w:cs="宋体" w:hint="default"/>
        <w:b/>
        <w:bCs/>
        <w:w w:val="99"/>
        <w:sz w:val="19"/>
        <w:szCs w:val="19"/>
        <w:lang w:val="zh-CN" w:eastAsia="zh-CN" w:bidi="zh-CN"/>
      </w:rPr>
    </w:lvl>
    <w:lvl w:ilvl="2" w:tplc="2B00EB04">
      <w:numFmt w:val="bullet"/>
      <w:lvlText w:val="•"/>
      <w:lvlJc w:val="left"/>
      <w:pPr>
        <w:ind w:left="2465" w:hanging="318"/>
      </w:pPr>
      <w:rPr>
        <w:rFonts w:hint="default"/>
        <w:lang w:val="zh-CN" w:eastAsia="zh-CN" w:bidi="zh-CN"/>
      </w:rPr>
    </w:lvl>
    <w:lvl w:ilvl="3" w:tplc="986C022C">
      <w:numFmt w:val="bullet"/>
      <w:lvlText w:val="•"/>
      <w:lvlJc w:val="left"/>
      <w:pPr>
        <w:ind w:left="3487" w:hanging="318"/>
      </w:pPr>
      <w:rPr>
        <w:rFonts w:hint="default"/>
        <w:lang w:val="zh-CN" w:eastAsia="zh-CN" w:bidi="zh-CN"/>
      </w:rPr>
    </w:lvl>
    <w:lvl w:ilvl="4" w:tplc="AF04C778">
      <w:numFmt w:val="bullet"/>
      <w:lvlText w:val="•"/>
      <w:lvlJc w:val="left"/>
      <w:pPr>
        <w:ind w:left="4510" w:hanging="318"/>
      </w:pPr>
      <w:rPr>
        <w:rFonts w:hint="default"/>
        <w:lang w:val="zh-CN" w:eastAsia="zh-CN" w:bidi="zh-CN"/>
      </w:rPr>
    </w:lvl>
    <w:lvl w:ilvl="5" w:tplc="E2F44E1E">
      <w:numFmt w:val="bullet"/>
      <w:lvlText w:val="•"/>
      <w:lvlJc w:val="left"/>
      <w:pPr>
        <w:ind w:left="5533" w:hanging="318"/>
      </w:pPr>
      <w:rPr>
        <w:rFonts w:hint="default"/>
        <w:lang w:val="zh-CN" w:eastAsia="zh-CN" w:bidi="zh-CN"/>
      </w:rPr>
    </w:lvl>
    <w:lvl w:ilvl="6" w:tplc="4C2E0A36">
      <w:numFmt w:val="bullet"/>
      <w:lvlText w:val="•"/>
      <w:lvlJc w:val="left"/>
      <w:pPr>
        <w:ind w:left="6555" w:hanging="318"/>
      </w:pPr>
      <w:rPr>
        <w:rFonts w:hint="default"/>
        <w:lang w:val="zh-CN" w:eastAsia="zh-CN" w:bidi="zh-CN"/>
      </w:rPr>
    </w:lvl>
    <w:lvl w:ilvl="7" w:tplc="29DA0DA6">
      <w:numFmt w:val="bullet"/>
      <w:lvlText w:val="•"/>
      <w:lvlJc w:val="left"/>
      <w:pPr>
        <w:ind w:left="7578" w:hanging="318"/>
      </w:pPr>
      <w:rPr>
        <w:rFonts w:hint="default"/>
        <w:lang w:val="zh-CN" w:eastAsia="zh-CN" w:bidi="zh-CN"/>
      </w:rPr>
    </w:lvl>
    <w:lvl w:ilvl="8" w:tplc="FF783F70">
      <w:numFmt w:val="bullet"/>
      <w:lvlText w:val="•"/>
      <w:lvlJc w:val="left"/>
      <w:pPr>
        <w:ind w:left="8601" w:hanging="318"/>
      </w:pPr>
      <w:rPr>
        <w:rFonts w:hint="default"/>
        <w:lang w:val="zh-CN" w:eastAsia="zh-CN" w:bidi="zh-CN"/>
      </w:rPr>
    </w:lvl>
  </w:abstractNum>
  <w:abstractNum w:abstractNumId="796" w15:restartNumberingAfterBreak="0">
    <w:nsid w:val="69E82CA3"/>
    <w:multiLevelType w:val="hybridMultilevel"/>
    <w:tmpl w:val="2C1A63B8"/>
    <w:lvl w:ilvl="0" w:tplc="11D8135C">
      <w:start w:val="5"/>
      <w:numFmt w:val="decimal"/>
      <w:lvlText w:val="%1"/>
      <w:lvlJc w:val="left"/>
      <w:pPr>
        <w:ind w:left="1159" w:hanging="320"/>
        <w:jc w:val="left"/>
      </w:pPr>
      <w:rPr>
        <w:rFonts w:hint="default"/>
        <w:lang w:val="zh-CN" w:eastAsia="zh-CN" w:bidi="zh-CN"/>
      </w:rPr>
    </w:lvl>
    <w:lvl w:ilvl="1" w:tplc="0FE07310">
      <w:start w:val="3"/>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9E1C2646">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B2C2372C">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250244D8">
      <w:start w:val="1"/>
      <w:numFmt w:val="decimal"/>
      <w:lvlText w:val="%1.%2.%3.%4.%5"/>
      <w:lvlJc w:val="left"/>
      <w:pPr>
        <w:ind w:left="1787" w:hanging="950"/>
        <w:jc w:val="left"/>
      </w:pPr>
      <w:rPr>
        <w:rFonts w:ascii="宋体" w:eastAsia="宋体" w:hAnsi="宋体" w:cs="宋体" w:hint="default"/>
        <w:spacing w:val="-3"/>
        <w:w w:val="100"/>
        <w:sz w:val="19"/>
        <w:szCs w:val="19"/>
        <w:lang w:val="zh-CN" w:eastAsia="zh-CN" w:bidi="zh-CN"/>
      </w:rPr>
    </w:lvl>
    <w:lvl w:ilvl="5" w:tplc="9D4CD374">
      <w:numFmt w:val="bullet"/>
      <w:lvlText w:val="•"/>
      <w:lvlJc w:val="left"/>
      <w:pPr>
        <w:ind w:left="1780" w:hanging="950"/>
      </w:pPr>
      <w:rPr>
        <w:rFonts w:hint="default"/>
        <w:lang w:val="zh-CN" w:eastAsia="zh-CN" w:bidi="zh-CN"/>
      </w:rPr>
    </w:lvl>
    <w:lvl w:ilvl="6" w:tplc="9CFE53BC">
      <w:numFmt w:val="bullet"/>
      <w:lvlText w:val="•"/>
      <w:lvlJc w:val="left"/>
      <w:pPr>
        <w:ind w:left="3553" w:hanging="950"/>
      </w:pPr>
      <w:rPr>
        <w:rFonts w:hint="default"/>
        <w:lang w:val="zh-CN" w:eastAsia="zh-CN" w:bidi="zh-CN"/>
      </w:rPr>
    </w:lvl>
    <w:lvl w:ilvl="7" w:tplc="A48CF6B4">
      <w:numFmt w:val="bullet"/>
      <w:lvlText w:val="•"/>
      <w:lvlJc w:val="left"/>
      <w:pPr>
        <w:ind w:left="5326" w:hanging="950"/>
      </w:pPr>
      <w:rPr>
        <w:rFonts w:hint="default"/>
        <w:lang w:val="zh-CN" w:eastAsia="zh-CN" w:bidi="zh-CN"/>
      </w:rPr>
    </w:lvl>
    <w:lvl w:ilvl="8" w:tplc="F0129D96">
      <w:numFmt w:val="bullet"/>
      <w:lvlText w:val="•"/>
      <w:lvlJc w:val="left"/>
      <w:pPr>
        <w:ind w:left="7099" w:hanging="950"/>
      </w:pPr>
      <w:rPr>
        <w:rFonts w:hint="default"/>
        <w:lang w:val="zh-CN" w:eastAsia="zh-CN" w:bidi="zh-CN"/>
      </w:rPr>
    </w:lvl>
  </w:abstractNum>
  <w:abstractNum w:abstractNumId="797" w15:restartNumberingAfterBreak="0">
    <w:nsid w:val="6A0B67B5"/>
    <w:multiLevelType w:val="hybridMultilevel"/>
    <w:tmpl w:val="B442E13C"/>
    <w:lvl w:ilvl="0" w:tplc="7AFA6C2C">
      <w:start w:val="8"/>
      <w:numFmt w:val="decimal"/>
      <w:lvlText w:val="%1"/>
      <w:lvlJc w:val="left"/>
      <w:pPr>
        <w:ind w:left="1369" w:hanging="529"/>
        <w:jc w:val="left"/>
      </w:pPr>
      <w:rPr>
        <w:rFonts w:hint="default"/>
        <w:lang w:val="zh-CN" w:eastAsia="zh-CN" w:bidi="zh-CN"/>
      </w:rPr>
    </w:lvl>
    <w:lvl w:ilvl="1" w:tplc="469C4C56">
      <w:start w:val="4"/>
      <w:numFmt w:val="decimal"/>
      <w:lvlText w:val="%1.%2"/>
      <w:lvlJc w:val="left"/>
      <w:pPr>
        <w:ind w:left="1369" w:hanging="529"/>
        <w:jc w:val="left"/>
      </w:pPr>
      <w:rPr>
        <w:rFonts w:hint="default"/>
        <w:lang w:val="zh-CN" w:eastAsia="zh-CN" w:bidi="zh-CN"/>
      </w:rPr>
    </w:lvl>
    <w:lvl w:ilvl="2" w:tplc="CF98AF4C">
      <w:start w:val="1"/>
      <w:numFmt w:val="decimal"/>
      <w:lvlText w:val="%1.%2.%3"/>
      <w:lvlJc w:val="left"/>
      <w:pPr>
        <w:ind w:left="1369" w:hanging="529"/>
        <w:jc w:val="left"/>
      </w:pPr>
      <w:rPr>
        <w:rFonts w:ascii="宋体" w:eastAsia="宋体" w:hAnsi="宋体" w:cs="宋体" w:hint="default"/>
        <w:b/>
        <w:bCs/>
        <w:color w:val="333333"/>
        <w:w w:val="99"/>
        <w:sz w:val="19"/>
        <w:szCs w:val="19"/>
        <w:lang w:val="zh-CN" w:eastAsia="zh-CN" w:bidi="zh-CN"/>
      </w:rPr>
    </w:lvl>
    <w:lvl w:ilvl="3" w:tplc="69184C3E">
      <w:numFmt w:val="bullet"/>
      <w:lvlText w:val="•"/>
      <w:lvlJc w:val="left"/>
      <w:pPr>
        <w:ind w:left="4145" w:hanging="529"/>
      </w:pPr>
      <w:rPr>
        <w:rFonts w:hint="default"/>
        <w:lang w:val="zh-CN" w:eastAsia="zh-CN" w:bidi="zh-CN"/>
      </w:rPr>
    </w:lvl>
    <w:lvl w:ilvl="4" w:tplc="455A1A9C">
      <w:numFmt w:val="bullet"/>
      <w:lvlText w:val="•"/>
      <w:lvlJc w:val="left"/>
      <w:pPr>
        <w:ind w:left="5074" w:hanging="529"/>
      </w:pPr>
      <w:rPr>
        <w:rFonts w:hint="default"/>
        <w:lang w:val="zh-CN" w:eastAsia="zh-CN" w:bidi="zh-CN"/>
      </w:rPr>
    </w:lvl>
    <w:lvl w:ilvl="5" w:tplc="4F7485C4">
      <w:numFmt w:val="bullet"/>
      <w:lvlText w:val="•"/>
      <w:lvlJc w:val="left"/>
      <w:pPr>
        <w:ind w:left="6003" w:hanging="529"/>
      </w:pPr>
      <w:rPr>
        <w:rFonts w:hint="default"/>
        <w:lang w:val="zh-CN" w:eastAsia="zh-CN" w:bidi="zh-CN"/>
      </w:rPr>
    </w:lvl>
    <w:lvl w:ilvl="6" w:tplc="26E0BA40">
      <w:numFmt w:val="bullet"/>
      <w:lvlText w:val="•"/>
      <w:lvlJc w:val="left"/>
      <w:pPr>
        <w:ind w:left="6931" w:hanging="529"/>
      </w:pPr>
      <w:rPr>
        <w:rFonts w:hint="default"/>
        <w:lang w:val="zh-CN" w:eastAsia="zh-CN" w:bidi="zh-CN"/>
      </w:rPr>
    </w:lvl>
    <w:lvl w:ilvl="7" w:tplc="9D6E2ACA">
      <w:numFmt w:val="bullet"/>
      <w:lvlText w:val="•"/>
      <w:lvlJc w:val="left"/>
      <w:pPr>
        <w:ind w:left="7860" w:hanging="529"/>
      </w:pPr>
      <w:rPr>
        <w:rFonts w:hint="default"/>
        <w:lang w:val="zh-CN" w:eastAsia="zh-CN" w:bidi="zh-CN"/>
      </w:rPr>
    </w:lvl>
    <w:lvl w:ilvl="8" w:tplc="E13438C2">
      <w:numFmt w:val="bullet"/>
      <w:lvlText w:val="•"/>
      <w:lvlJc w:val="left"/>
      <w:pPr>
        <w:ind w:left="8789" w:hanging="529"/>
      </w:pPr>
      <w:rPr>
        <w:rFonts w:hint="default"/>
        <w:lang w:val="zh-CN" w:eastAsia="zh-CN" w:bidi="zh-CN"/>
      </w:rPr>
    </w:lvl>
  </w:abstractNum>
  <w:abstractNum w:abstractNumId="798" w15:restartNumberingAfterBreak="0">
    <w:nsid w:val="6A1D2CCC"/>
    <w:multiLevelType w:val="hybridMultilevel"/>
    <w:tmpl w:val="7AAEC0AE"/>
    <w:lvl w:ilvl="0" w:tplc="4EC65402">
      <w:start w:val="6"/>
      <w:numFmt w:val="decimal"/>
      <w:lvlText w:val="%1"/>
      <w:lvlJc w:val="left"/>
      <w:pPr>
        <w:ind w:left="1212" w:hanging="372"/>
        <w:jc w:val="left"/>
      </w:pPr>
      <w:rPr>
        <w:rFonts w:hint="default"/>
        <w:lang w:val="zh-CN" w:eastAsia="zh-CN" w:bidi="zh-CN"/>
      </w:rPr>
    </w:lvl>
    <w:lvl w:ilvl="1" w:tplc="2FCE46C2">
      <w:start w:val="1"/>
      <w:numFmt w:val="decimal"/>
      <w:lvlText w:val="%1.%2"/>
      <w:lvlJc w:val="left"/>
      <w:pPr>
        <w:ind w:left="1212" w:hanging="372"/>
        <w:jc w:val="left"/>
      </w:pPr>
      <w:rPr>
        <w:rFonts w:ascii="宋体" w:eastAsia="宋体" w:hAnsi="宋体" w:cs="宋体" w:hint="default"/>
        <w:b/>
        <w:bCs/>
        <w:w w:val="99"/>
        <w:sz w:val="21"/>
        <w:szCs w:val="21"/>
        <w:lang w:val="zh-CN" w:eastAsia="zh-CN" w:bidi="zh-CN"/>
      </w:rPr>
    </w:lvl>
    <w:lvl w:ilvl="2" w:tplc="12908D56">
      <w:start w:val="1"/>
      <w:numFmt w:val="decimal"/>
      <w:lvlText w:val="%1.%2.%3"/>
      <w:lvlJc w:val="left"/>
      <w:pPr>
        <w:ind w:left="418" w:hanging="531"/>
        <w:jc w:val="left"/>
      </w:pPr>
      <w:rPr>
        <w:rFonts w:ascii="宋体" w:eastAsia="宋体" w:hAnsi="宋体" w:cs="宋体" w:hint="default"/>
        <w:b/>
        <w:bCs/>
        <w:color w:val="333333"/>
        <w:w w:val="99"/>
        <w:sz w:val="19"/>
        <w:szCs w:val="19"/>
        <w:lang w:val="zh-CN" w:eastAsia="zh-CN" w:bidi="zh-CN"/>
      </w:rPr>
    </w:lvl>
    <w:lvl w:ilvl="3" w:tplc="B9048710">
      <w:numFmt w:val="bullet"/>
      <w:lvlText w:val="•"/>
      <w:lvlJc w:val="left"/>
      <w:pPr>
        <w:ind w:left="2520" w:hanging="531"/>
      </w:pPr>
      <w:rPr>
        <w:rFonts w:hint="default"/>
        <w:lang w:val="zh-CN" w:eastAsia="zh-CN" w:bidi="zh-CN"/>
      </w:rPr>
    </w:lvl>
    <w:lvl w:ilvl="4" w:tplc="0876ECEE">
      <w:numFmt w:val="bullet"/>
      <w:lvlText w:val="•"/>
      <w:lvlJc w:val="left"/>
      <w:pPr>
        <w:ind w:left="3681" w:hanging="531"/>
      </w:pPr>
      <w:rPr>
        <w:rFonts w:hint="default"/>
        <w:lang w:val="zh-CN" w:eastAsia="zh-CN" w:bidi="zh-CN"/>
      </w:rPr>
    </w:lvl>
    <w:lvl w:ilvl="5" w:tplc="0EF89BF6">
      <w:numFmt w:val="bullet"/>
      <w:lvlText w:val="•"/>
      <w:lvlJc w:val="left"/>
      <w:pPr>
        <w:ind w:left="4842" w:hanging="531"/>
      </w:pPr>
      <w:rPr>
        <w:rFonts w:hint="default"/>
        <w:lang w:val="zh-CN" w:eastAsia="zh-CN" w:bidi="zh-CN"/>
      </w:rPr>
    </w:lvl>
    <w:lvl w:ilvl="6" w:tplc="CEE4BA4C">
      <w:numFmt w:val="bullet"/>
      <w:lvlText w:val="•"/>
      <w:lvlJc w:val="left"/>
      <w:pPr>
        <w:ind w:left="6003" w:hanging="531"/>
      </w:pPr>
      <w:rPr>
        <w:rFonts w:hint="default"/>
        <w:lang w:val="zh-CN" w:eastAsia="zh-CN" w:bidi="zh-CN"/>
      </w:rPr>
    </w:lvl>
    <w:lvl w:ilvl="7" w:tplc="7242DD6A">
      <w:numFmt w:val="bullet"/>
      <w:lvlText w:val="•"/>
      <w:lvlJc w:val="left"/>
      <w:pPr>
        <w:ind w:left="7164" w:hanging="531"/>
      </w:pPr>
      <w:rPr>
        <w:rFonts w:hint="default"/>
        <w:lang w:val="zh-CN" w:eastAsia="zh-CN" w:bidi="zh-CN"/>
      </w:rPr>
    </w:lvl>
    <w:lvl w:ilvl="8" w:tplc="C0C4B292">
      <w:numFmt w:val="bullet"/>
      <w:lvlText w:val="•"/>
      <w:lvlJc w:val="left"/>
      <w:pPr>
        <w:ind w:left="8324" w:hanging="531"/>
      </w:pPr>
      <w:rPr>
        <w:rFonts w:hint="default"/>
        <w:lang w:val="zh-CN" w:eastAsia="zh-CN" w:bidi="zh-CN"/>
      </w:rPr>
    </w:lvl>
  </w:abstractNum>
  <w:abstractNum w:abstractNumId="799" w15:restartNumberingAfterBreak="0">
    <w:nsid w:val="6A422FD9"/>
    <w:multiLevelType w:val="hybridMultilevel"/>
    <w:tmpl w:val="CE0C1A98"/>
    <w:lvl w:ilvl="0" w:tplc="BF12B688">
      <w:start w:val="6"/>
      <w:numFmt w:val="decimal"/>
      <w:lvlText w:val="%1"/>
      <w:lvlJc w:val="left"/>
      <w:pPr>
        <w:ind w:left="1787" w:hanging="950"/>
        <w:jc w:val="left"/>
      </w:pPr>
      <w:rPr>
        <w:rFonts w:hint="default"/>
        <w:lang w:val="zh-CN" w:eastAsia="zh-CN" w:bidi="zh-CN"/>
      </w:rPr>
    </w:lvl>
    <w:lvl w:ilvl="1" w:tplc="286E7A18">
      <w:start w:val="8"/>
      <w:numFmt w:val="decimal"/>
      <w:lvlText w:val="%1.%2"/>
      <w:lvlJc w:val="left"/>
      <w:pPr>
        <w:ind w:left="1787" w:hanging="950"/>
        <w:jc w:val="left"/>
      </w:pPr>
      <w:rPr>
        <w:rFonts w:hint="default"/>
        <w:lang w:val="zh-CN" w:eastAsia="zh-CN" w:bidi="zh-CN"/>
      </w:rPr>
    </w:lvl>
    <w:lvl w:ilvl="2" w:tplc="5CC2E50C">
      <w:start w:val="3"/>
      <w:numFmt w:val="decimal"/>
      <w:lvlText w:val="%1.%2.%3"/>
      <w:lvlJc w:val="left"/>
      <w:pPr>
        <w:ind w:left="1787" w:hanging="950"/>
        <w:jc w:val="left"/>
      </w:pPr>
      <w:rPr>
        <w:rFonts w:hint="default"/>
        <w:lang w:val="zh-CN" w:eastAsia="zh-CN" w:bidi="zh-CN"/>
      </w:rPr>
    </w:lvl>
    <w:lvl w:ilvl="3" w:tplc="A1A6016E">
      <w:start w:val="2"/>
      <w:numFmt w:val="decimal"/>
      <w:lvlText w:val="%1.%2.%3.%4"/>
      <w:lvlJc w:val="left"/>
      <w:pPr>
        <w:ind w:left="1787" w:hanging="950"/>
        <w:jc w:val="left"/>
      </w:pPr>
      <w:rPr>
        <w:rFonts w:hint="default"/>
        <w:lang w:val="zh-CN" w:eastAsia="zh-CN" w:bidi="zh-CN"/>
      </w:rPr>
    </w:lvl>
    <w:lvl w:ilvl="4" w:tplc="1E6A511C">
      <w:start w:val="3"/>
      <w:numFmt w:val="decimal"/>
      <w:lvlText w:val="%1.%2.%3.%4.%5"/>
      <w:lvlJc w:val="left"/>
      <w:pPr>
        <w:ind w:left="1787" w:hanging="950"/>
        <w:jc w:val="left"/>
      </w:pPr>
      <w:rPr>
        <w:rFonts w:ascii="宋体" w:eastAsia="宋体" w:hAnsi="宋体" w:cs="宋体" w:hint="default"/>
        <w:spacing w:val="-3"/>
        <w:w w:val="100"/>
        <w:position w:val="1"/>
        <w:sz w:val="19"/>
        <w:szCs w:val="19"/>
        <w:lang w:val="zh-CN" w:eastAsia="zh-CN" w:bidi="zh-CN"/>
      </w:rPr>
    </w:lvl>
    <w:lvl w:ilvl="5" w:tplc="12BC13E0">
      <w:numFmt w:val="bullet"/>
      <w:lvlText w:val="•"/>
      <w:lvlJc w:val="left"/>
      <w:pPr>
        <w:ind w:left="6213" w:hanging="950"/>
      </w:pPr>
      <w:rPr>
        <w:rFonts w:hint="default"/>
        <w:lang w:val="zh-CN" w:eastAsia="zh-CN" w:bidi="zh-CN"/>
      </w:rPr>
    </w:lvl>
    <w:lvl w:ilvl="6" w:tplc="FBBADCCE">
      <w:numFmt w:val="bullet"/>
      <w:lvlText w:val="•"/>
      <w:lvlJc w:val="left"/>
      <w:pPr>
        <w:ind w:left="7099" w:hanging="950"/>
      </w:pPr>
      <w:rPr>
        <w:rFonts w:hint="default"/>
        <w:lang w:val="zh-CN" w:eastAsia="zh-CN" w:bidi="zh-CN"/>
      </w:rPr>
    </w:lvl>
    <w:lvl w:ilvl="7" w:tplc="72F6A7F6">
      <w:numFmt w:val="bullet"/>
      <w:lvlText w:val="•"/>
      <w:lvlJc w:val="left"/>
      <w:pPr>
        <w:ind w:left="7986" w:hanging="950"/>
      </w:pPr>
      <w:rPr>
        <w:rFonts w:hint="default"/>
        <w:lang w:val="zh-CN" w:eastAsia="zh-CN" w:bidi="zh-CN"/>
      </w:rPr>
    </w:lvl>
    <w:lvl w:ilvl="8" w:tplc="1ECA9B98">
      <w:numFmt w:val="bullet"/>
      <w:lvlText w:val="•"/>
      <w:lvlJc w:val="left"/>
      <w:pPr>
        <w:ind w:left="8873" w:hanging="950"/>
      </w:pPr>
      <w:rPr>
        <w:rFonts w:hint="default"/>
        <w:lang w:val="zh-CN" w:eastAsia="zh-CN" w:bidi="zh-CN"/>
      </w:rPr>
    </w:lvl>
  </w:abstractNum>
  <w:abstractNum w:abstractNumId="800" w15:restartNumberingAfterBreak="0">
    <w:nsid w:val="6A465887"/>
    <w:multiLevelType w:val="hybridMultilevel"/>
    <w:tmpl w:val="D91E0928"/>
    <w:lvl w:ilvl="0" w:tplc="C3A6623E">
      <w:start w:val="4"/>
      <w:numFmt w:val="decimal"/>
      <w:lvlText w:val="%1"/>
      <w:lvlJc w:val="left"/>
      <w:pPr>
        <w:ind w:left="1158" w:hanging="318"/>
        <w:jc w:val="left"/>
      </w:pPr>
      <w:rPr>
        <w:rFonts w:hint="default"/>
        <w:lang w:val="zh-CN" w:eastAsia="zh-CN" w:bidi="zh-CN"/>
      </w:rPr>
    </w:lvl>
    <w:lvl w:ilvl="1" w:tplc="600C0264">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0EF87B68">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E4006490">
      <w:numFmt w:val="bullet"/>
      <w:lvlText w:val="•"/>
      <w:lvlJc w:val="left"/>
      <w:pPr>
        <w:ind w:left="3268" w:hanging="531"/>
      </w:pPr>
      <w:rPr>
        <w:rFonts w:hint="default"/>
        <w:lang w:val="zh-CN" w:eastAsia="zh-CN" w:bidi="zh-CN"/>
      </w:rPr>
    </w:lvl>
    <w:lvl w:ilvl="4" w:tplc="616CFCE8">
      <w:numFmt w:val="bullet"/>
      <w:lvlText w:val="•"/>
      <w:lvlJc w:val="left"/>
      <w:pPr>
        <w:ind w:left="4322" w:hanging="531"/>
      </w:pPr>
      <w:rPr>
        <w:rFonts w:hint="default"/>
        <w:lang w:val="zh-CN" w:eastAsia="zh-CN" w:bidi="zh-CN"/>
      </w:rPr>
    </w:lvl>
    <w:lvl w:ilvl="5" w:tplc="E37A4FF0">
      <w:numFmt w:val="bullet"/>
      <w:lvlText w:val="•"/>
      <w:lvlJc w:val="left"/>
      <w:pPr>
        <w:ind w:left="5376" w:hanging="531"/>
      </w:pPr>
      <w:rPr>
        <w:rFonts w:hint="default"/>
        <w:lang w:val="zh-CN" w:eastAsia="zh-CN" w:bidi="zh-CN"/>
      </w:rPr>
    </w:lvl>
    <w:lvl w:ilvl="6" w:tplc="22C8AE02">
      <w:numFmt w:val="bullet"/>
      <w:lvlText w:val="•"/>
      <w:lvlJc w:val="left"/>
      <w:pPr>
        <w:ind w:left="6430" w:hanging="531"/>
      </w:pPr>
      <w:rPr>
        <w:rFonts w:hint="default"/>
        <w:lang w:val="zh-CN" w:eastAsia="zh-CN" w:bidi="zh-CN"/>
      </w:rPr>
    </w:lvl>
    <w:lvl w:ilvl="7" w:tplc="0B96B5C4">
      <w:numFmt w:val="bullet"/>
      <w:lvlText w:val="•"/>
      <w:lvlJc w:val="left"/>
      <w:pPr>
        <w:ind w:left="7484" w:hanging="531"/>
      </w:pPr>
      <w:rPr>
        <w:rFonts w:hint="default"/>
        <w:lang w:val="zh-CN" w:eastAsia="zh-CN" w:bidi="zh-CN"/>
      </w:rPr>
    </w:lvl>
    <w:lvl w:ilvl="8" w:tplc="A372CCA2">
      <w:numFmt w:val="bullet"/>
      <w:lvlText w:val="•"/>
      <w:lvlJc w:val="left"/>
      <w:pPr>
        <w:ind w:left="8538" w:hanging="531"/>
      </w:pPr>
      <w:rPr>
        <w:rFonts w:hint="default"/>
        <w:lang w:val="zh-CN" w:eastAsia="zh-CN" w:bidi="zh-CN"/>
      </w:rPr>
    </w:lvl>
  </w:abstractNum>
  <w:abstractNum w:abstractNumId="801" w15:restartNumberingAfterBreak="0">
    <w:nsid w:val="6A4809D7"/>
    <w:multiLevelType w:val="hybridMultilevel"/>
    <w:tmpl w:val="6764EFD8"/>
    <w:lvl w:ilvl="0" w:tplc="B3A8DD52">
      <w:start w:val="5"/>
      <w:numFmt w:val="decimal"/>
      <w:lvlText w:val="%1"/>
      <w:lvlJc w:val="left"/>
      <w:pPr>
        <w:ind w:left="418" w:hanging="372"/>
        <w:jc w:val="left"/>
      </w:pPr>
      <w:rPr>
        <w:rFonts w:hint="default"/>
        <w:lang w:val="zh-CN" w:eastAsia="zh-CN" w:bidi="zh-CN"/>
      </w:rPr>
    </w:lvl>
    <w:lvl w:ilvl="1" w:tplc="533E01D0">
      <w:start w:val="1"/>
      <w:numFmt w:val="decimal"/>
      <w:lvlText w:val="%1.%2"/>
      <w:lvlJc w:val="left"/>
      <w:pPr>
        <w:ind w:left="418" w:hanging="372"/>
        <w:jc w:val="left"/>
      </w:pPr>
      <w:rPr>
        <w:rFonts w:ascii="宋体" w:eastAsia="宋体" w:hAnsi="宋体" w:cs="宋体" w:hint="default"/>
        <w:b/>
        <w:bCs/>
        <w:w w:val="99"/>
        <w:sz w:val="21"/>
        <w:szCs w:val="21"/>
        <w:lang w:val="zh-CN" w:eastAsia="zh-CN" w:bidi="zh-CN"/>
      </w:rPr>
    </w:lvl>
    <w:lvl w:ilvl="2" w:tplc="D6484006">
      <w:numFmt w:val="bullet"/>
      <w:lvlText w:val="•"/>
      <w:lvlJc w:val="left"/>
      <w:pPr>
        <w:ind w:left="2465" w:hanging="372"/>
      </w:pPr>
      <w:rPr>
        <w:rFonts w:hint="default"/>
        <w:lang w:val="zh-CN" w:eastAsia="zh-CN" w:bidi="zh-CN"/>
      </w:rPr>
    </w:lvl>
    <w:lvl w:ilvl="3" w:tplc="B35679EA">
      <w:numFmt w:val="bullet"/>
      <w:lvlText w:val="•"/>
      <w:lvlJc w:val="left"/>
      <w:pPr>
        <w:ind w:left="3487" w:hanging="372"/>
      </w:pPr>
      <w:rPr>
        <w:rFonts w:hint="default"/>
        <w:lang w:val="zh-CN" w:eastAsia="zh-CN" w:bidi="zh-CN"/>
      </w:rPr>
    </w:lvl>
    <w:lvl w:ilvl="4" w:tplc="A24CB8F6">
      <w:numFmt w:val="bullet"/>
      <w:lvlText w:val="•"/>
      <w:lvlJc w:val="left"/>
      <w:pPr>
        <w:ind w:left="4510" w:hanging="372"/>
      </w:pPr>
      <w:rPr>
        <w:rFonts w:hint="default"/>
        <w:lang w:val="zh-CN" w:eastAsia="zh-CN" w:bidi="zh-CN"/>
      </w:rPr>
    </w:lvl>
    <w:lvl w:ilvl="5" w:tplc="4E244166">
      <w:numFmt w:val="bullet"/>
      <w:lvlText w:val="•"/>
      <w:lvlJc w:val="left"/>
      <w:pPr>
        <w:ind w:left="5533" w:hanging="372"/>
      </w:pPr>
      <w:rPr>
        <w:rFonts w:hint="default"/>
        <w:lang w:val="zh-CN" w:eastAsia="zh-CN" w:bidi="zh-CN"/>
      </w:rPr>
    </w:lvl>
    <w:lvl w:ilvl="6" w:tplc="418C113A">
      <w:numFmt w:val="bullet"/>
      <w:lvlText w:val="•"/>
      <w:lvlJc w:val="left"/>
      <w:pPr>
        <w:ind w:left="6555" w:hanging="372"/>
      </w:pPr>
      <w:rPr>
        <w:rFonts w:hint="default"/>
        <w:lang w:val="zh-CN" w:eastAsia="zh-CN" w:bidi="zh-CN"/>
      </w:rPr>
    </w:lvl>
    <w:lvl w:ilvl="7" w:tplc="2648089E">
      <w:numFmt w:val="bullet"/>
      <w:lvlText w:val="•"/>
      <w:lvlJc w:val="left"/>
      <w:pPr>
        <w:ind w:left="7578" w:hanging="372"/>
      </w:pPr>
      <w:rPr>
        <w:rFonts w:hint="default"/>
        <w:lang w:val="zh-CN" w:eastAsia="zh-CN" w:bidi="zh-CN"/>
      </w:rPr>
    </w:lvl>
    <w:lvl w:ilvl="8" w:tplc="13D42922">
      <w:numFmt w:val="bullet"/>
      <w:lvlText w:val="•"/>
      <w:lvlJc w:val="left"/>
      <w:pPr>
        <w:ind w:left="8601" w:hanging="372"/>
      </w:pPr>
      <w:rPr>
        <w:rFonts w:hint="default"/>
        <w:lang w:val="zh-CN" w:eastAsia="zh-CN" w:bidi="zh-CN"/>
      </w:rPr>
    </w:lvl>
  </w:abstractNum>
  <w:abstractNum w:abstractNumId="802" w15:restartNumberingAfterBreak="0">
    <w:nsid w:val="6A7E313F"/>
    <w:multiLevelType w:val="hybridMultilevel"/>
    <w:tmpl w:val="17963F8C"/>
    <w:lvl w:ilvl="0" w:tplc="541AC9D2">
      <w:start w:val="4"/>
      <w:numFmt w:val="decimal"/>
      <w:lvlText w:val="%1"/>
      <w:lvlJc w:val="left"/>
      <w:pPr>
        <w:ind w:left="1575" w:hanging="738"/>
        <w:jc w:val="left"/>
      </w:pPr>
      <w:rPr>
        <w:rFonts w:hint="default"/>
        <w:lang w:val="zh-CN" w:eastAsia="zh-CN" w:bidi="zh-CN"/>
      </w:rPr>
    </w:lvl>
    <w:lvl w:ilvl="1" w:tplc="08F4C7DA">
      <w:start w:val="4"/>
      <w:numFmt w:val="decimal"/>
      <w:lvlText w:val="%1.%2"/>
      <w:lvlJc w:val="left"/>
      <w:pPr>
        <w:ind w:left="1575" w:hanging="738"/>
        <w:jc w:val="left"/>
      </w:pPr>
      <w:rPr>
        <w:rFonts w:hint="default"/>
        <w:lang w:val="zh-CN" w:eastAsia="zh-CN" w:bidi="zh-CN"/>
      </w:rPr>
    </w:lvl>
    <w:lvl w:ilvl="2" w:tplc="A4E8F228">
      <w:start w:val="2"/>
      <w:numFmt w:val="decimal"/>
      <w:lvlText w:val="%1.%2.%3"/>
      <w:lvlJc w:val="left"/>
      <w:pPr>
        <w:ind w:left="1575" w:hanging="738"/>
        <w:jc w:val="left"/>
      </w:pPr>
      <w:rPr>
        <w:rFonts w:hint="default"/>
        <w:lang w:val="zh-CN" w:eastAsia="zh-CN" w:bidi="zh-CN"/>
      </w:rPr>
    </w:lvl>
    <w:lvl w:ilvl="3" w:tplc="AAD66B7A">
      <w:start w:val="2"/>
      <w:numFmt w:val="decimal"/>
      <w:lvlText w:val="%1.%2.%3.%4"/>
      <w:lvlJc w:val="left"/>
      <w:pPr>
        <w:ind w:left="1575" w:hanging="738"/>
        <w:jc w:val="left"/>
      </w:pPr>
      <w:rPr>
        <w:rFonts w:ascii="宋体" w:eastAsia="宋体" w:hAnsi="宋体" w:cs="宋体" w:hint="default"/>
        <w:spacing w:val="-55"/>
        <w:w w:val="100"/>
        <w:sz w:val="19"/>
        <w:szCs w:val="19"/>
        <w:lang w:val="zh-CN" w:eastAsia="zh-CN" w:bidi="zh-CN"/>
      </w:rPr>
    </w:lvl>
    <w:lvl w:ilvl="4" w:tplc="9D1A913C">
      <w:start w:val="1"/>
      <w:numFmt w:val="decimal"/>
      <w:lvlText w:val="%1.%2.%3.%4.%5"/>
      <w:lvlJc w:val="left"/>
      <w:pPr>
        <w:ind w:left="418" w:hanging="950"/>
        <w:jc w:val="left"/>
      </w:pPr>
      <w:rPr>
        <w:rFonts w:ascii="宋体" w:eastAsia="宋体" w:hAnsi="宋体" w:cs="宋体" w:hint="default"/>
        <w:spacing w:val="-3"/>
        <w:w w:val="100"/>
        <w:sz w:val="19"/>
        <w:szCs w:val="19"/>
        <w:lang w:val="zh-CN" w:eastAsia="zh-CN" w:bidi="zh-CN"/>
      </w:rPr>
    </w:lvl>
    <w:lvl w:ilvl="5" w:tplc="3D56A134">
      <w:numFmt w:val="bullet"/>
      <w:lvlText w:val="•"/>
      <w:lvlJc w:val="left"/>
      <w:pPr>
        <w:ind w:left="5609" w:hanging="950"/>
      </w:pPr>
      <w:rPr>
        <w:rFonts w:hint="default"/>
        <w:lang w:val="zh-CN" w:eastAsia="zh-CN" w:bidi="zh-CN"/>
      </w:rPr>
    </w:lvl>
    <w:lvl w:ilvl="6" w:tplc="C14AE1F2">
      <w:numFmt w:val="bullet"/>
      <w:lvlText w:val="•"/>
      <w:lvlJc w:val="left"/>
      <w:pPr>
        <w:ind w:left="6616" w:hanging="950"/>
      </w:pPr>
      <w:rPr>
        <w:rFonts w:hint="default"/>
        <w:lang w:val="zh-CN" w:eastAsia="zh-CN" w:bidi="zh-CN"/>
      </w:rPr>
    </w:lvl>
    <w:lvl w:ilvl="7" w:tplc="9BF0C3F8">
      <w:numFmt w:val="bullet"/>
      <w:lvlText w:val="•"/>
      <w:lvlJc w:val="left"/>
      <w:pPr>
        <w:ind w:left="7624" w:hanging="950"/>
      </w:pPr>
      <w:rPr>
        <w:rFonts w:hint="default"/>
        <w:lang w:val="zh-CN" w:eastAsia="zh-CN" w:bidi="zh-CN"/>
      </w:rPr>
    </w:lvl>
    <w:lvl w:ilvl="8" w:tplc="A7CCC580">
      <w:numFmt w:val="bullet"/>
      <w:lvlText w:val="•"/>
      <w:lvlJc w:val="left"/>
      <w:pPr>
        <w:ind w:left="8631" w:hanging="950"/>
      </w:pPr>
      <w:rPr>
        <w:rFonts w:hint="default"/>
        <w:lang w:val="zh-CN" w:eastAsia="zh-CN" w:bidi="zh-CN"/>
      </w:rPr>
    </w:lvl>
  </w:abstractNum>
  <w:abstractNum w:abstractNumId="803" w15:restartNumberingAfterBreak="0">
    <w:nsid w:val="6AC01771"/>
    <w:multiLevelType w:val="hybridMultilevel"/>
    <w:tmpl w:val="10B8E6B4"/>
    <w:lvl w:ilvl="0" w:tplc="1616CFC2">
      <w:start w:val="4"/>
      <w:numFmt w:val="decimal"/>
      <w:lvlText w:val="%1"/>
      <w:lvlJc w:val="left"/>
      <w:pPr>
        <w:ind w:left="418" w:hanging="529"/>
        <w:jc w:val="left"/>
      </w:pPr>
      <w:rPr>
        <w:rFonts w:hint="default"/>
        <w:lang w:val="zh-CN" w:eastAsia="zh-CN" w:bidi="zh-CN"/>
      </w:rPr>
    </w:lvl>
    <w:lvl w:ilvl="1" w:tplc="C14C08D0">
      <w:start w:val="1"/>
      <w:numFmt w:val="decimal"/>
      <w:lvlText w:val="%1.%2"/>
      <w:lvlJc w:val="left"/>
      <w:pPr>
        <w:ind w:left="418" w:hanging="529"/>
        <w:jc w:val="left"/>
      </w:pPr>
      <w:rPr>
        <w:rFonts w:hint="default"/>
        <w:lang w:val="zh-CN" w:eastAsia="zh-CN" w:bidi="zh-CN"/>
      </w:rPr>
    </w:lvl>
    <w:lvl w:ilvl="2" w:tplc="785CD702">
      <w:start w:val="8"/>
      <w:numFmt w:val="decimal"/>
      <w:lvlText w:val="%1.%2.%3"/>
      <w:lvlJc w:val="left"/>
      <w:pPr>
        <w:ind w:left="418" w:hanging="529"/>
        <w:jc w:val="left"/>
      </w:pPr>
      <w:rPr>
        <w:rFonts w:ascii="宋体" w:eastAsia="宋体" w:hAnsi="宋体" w:cs="宋体" w:hint="default"/>
        <w:b/>
        <w:bCs/>
        <w:spacing w:val="-17"/>
        <w:w w:val="99"/>
        <w:sz w:val="19"/>
        <w:szCs w:val="19"/>
        <w:lang w:val="zh-CN" w:eastAsia="zh-CN" w:bidi="zh-CN"/>
      </w:rPr>
    </w:lvl>
    <w:lvl w:ilvl="3" w:tplc="007607F6">
      <w:numFmt w:val="bullet"/>
      <w:lvlText w:val="•"/>
      <w:lvlJc w:val="left"/>
      <w:pPr>
        <w:ind w:left="3487" w:hanging="529"/>
      </w:pPr>
      <w:rPr>
        <w:rFonts w:hint="default"/>
        <w:lang w:val="zh-CN" w:eastAsia="zh-CN" w:bidi="zh-CN"/>
      </w:rPr>
    </w:lvl>
    <w:lvl w:ilvl="4" w:tplc="B270168A">
      <w:numFmt w:val="bullet"/>
      <w:lvlText w:val="•"/>
      <w:lvlJc w:val="left"/>
      <w:pPr>
        <w:ind w:left="4510" w:hanging="529"/>
      </w:pPr>
      <w:rPr>
        <w:rFonts w:hint="default"/>
        <w:lang w:val="zh-CN" w:eastAsia="zh-CN" w:bidi="zh-CN"/>
      </w:rPr>
    </w:lvl>
    <w:lvl w:ilvl="5" w:tplc="F01E69AA">
      <w:numFmt w:val="bullet"/>
      <w:lvlText w:val="•"/>
      <w:lvlJc w:val="left"/>
      <w:pPr>
        <w:ind w:left="5533" w:hanging="529"/>
      </w:pPr>
      <w:rPr>
        <w:rFonts w:hint="default"/>
        <w:lang w:val="zh-CN" w:eastAsia="zh-CN" w:bidi="zh-CN"/>
      </w:rPr>
    </w:lvl>
    <w:lvl w:ilvl="6" w:tplc="243ED400">
      <w:numFmt w:val="bullet"/>
      <w:lvlText w:val="•"/>
      <w:lvlJc w:val="left"/>
      <w:pPr>
        <w:ind w:left="6555" w:hanging="529"/>
      </w:pPr>
      <w:rPr>
        <w:rFonts w:hint="default"/>
        <w:lang w:val="zh-CN" w:eastAsia="zh-CN" w:bidi="zh-CN"/>
      </w:rPr>
    </w:lvl>
    <w:lvl w:ilvl="7" w:tplc="A192C4F2">
      <w:numFmt w:val="bullet"/>
      <w:lvlText w:val="•"/>
      <w:lvlJc w:val="left"/>
      <w:pPr>
        <w:ind w:left="7578" w:hanging="529"/>
      </w:pPr>
      <w:rPr>
        <w:rFonts w:hint="default"/>
        <w:lang w:val="zh-CN" w:eastAsia="zh-CN" w:bidi="zh-CN"/>
      </w:rPr>
    </w:lvl>
    <w:lvl w:ilvl="8" w:tplc="08C4AF72">
      <w:numFmt w:val="bullet"/>
      <w:lvlText w:val="•"/>
      <w:lvlJc w:val="left"/>
      <w:pPr>
        <w:ind w:left="8601" w:hanging="529"/>
      </w:pPr>
      <w:rPr>
        <w:rFonts w:hint="default"/>
        <w:lang w:val="zh-CN" w:eastAsia="zh-CN" w:bidi="zh-CN"/>
      </w:rPr>
    </w:lvl>
  </w:abstractNum>
  <w:abstractNum w:abstractNumId="804" w15:restartNumberingAfterBreak="0">
    <w:nsid w:val="6ACB3CC2"/>
    <w:multiLevelType w:val="hybridMultilevel"/>
    <w:tmpl w:val="3D8A2040"/>
    <w:lvl w:ilvl="0" w:tplc="97368694">
      <w:start w:val="4"/>
      <w:numFmt w:val="decimal"/>
      <w:lvlText w:val="%1"/>
      <w:lvlJc w:val="left"/>
      <w:pPr>
        <w:ind w:left="1423" w:hanging="584"/>
        <w:jc w:val="left"/>
      </w:pPr>
      <w:rPr>
        <w:rFonts w:hint="default"/>
        <w:lang w:val="zh-CN" w:eastAsia="zh-CN" w:bidi="zh-CN"/>
      </w:rPr>
    </w:lvl>
    <w:lvl w:ilvl="1" w:tplc="7ADA5B10">
      <w:start w:val="3"/>
      <w:numFmt w:val="decimal"/>
      <w:lvlText w:val="%1.%2"/>
      <w:lvlJc w:val="left"/>
      <w:pPr>
        <w:ind w:left="1423" w:hanging="584"/>
        <w:jc w:val="left"/>
      </w:pPr>
      <w:rPr>
        <w:rFonts w:hint="default"/>
        <w:lang w:val="zh-CN" w:eastAsia="zh-CN" w:bidi="zh-CN"/>
      </w:rPr>
    </w:lvl>
    <w:lvl w:ilvl="2" w:tplc="0E20264A">
      <w:start w:val="1"/>
      <w:numFmt w:val="decimal"/>
      <w:lvlText w:val="%1.%2.%3"/>
      <w:lvlJc w:val="left"/>
      <w:pPr>
        <w:ind w:left="1423" w:hanging="584"/>
        <w:jc w:val="left"/>
      </w:pPr>
      <w:rPr>
        <w:rFonts w:ascii="宋体" w:eastAsia="宋体" w:hAnsi="宋体" w:cs="宋体" w:hint="default"/>
        <w:b/>
        <w:bCs/>
        <w:w w:val="99"/>
        <w:sz w:val="21"/>
        <w:szCs w:val="21"/>
        <w:lang w:val="zh-CN" w:eastAsia="zh-CN" w:bidi="zh-CN"/>
      </w:rPr>
    </w:lvl>
    <w:lvl w:ilvl="3" w:tplc="70F4DA5C">
      <w:numFmt w:val="bullet"/>
      <w:lvlText w:val="•"/>
      <w:lvlJc w:val="left"/>
      <w:pPr>
        <w:ind w:left="4187" w:hanging="584"/>
      </w:pPr>
      <w:rPr>
        <w:rFonts w:hint="default"/>
        <w:lang w:val="zh-CN" w:eastAsia="zh-CN" w:bidi="zh-CN"/>
      </w:rPr>
    </w:lvl>
    <w:lvl w:ilvl="4" w:tplc="A614F290">
      <w:numFmt w:val="bullet"/>
      <w:lvlText w:val="•"/>
      <w:lvlJc w:val="left"/>
      <w:pPr>
        <w:ind w:left="5110" w:hanging="584"/>
      </w:pPr>
      <w:rPr>
        <w:rFonts w:hint="default"/>
        <w:lang w:val="zh-CN" w:eastAsia="zh-CN" w:bidi="zh-CN"/>
      </w:rPr>
    </w:lvl>
    <w:lvl w:ilvl="5" w:tplc="39B66C82">
      <w:numFmt w:val="bullet"/>
      <w:lvlText w:val="•"/>
      <w:lvlJc w:val="left"/>
      <w:pPr>
        <w:ind w:left="6033" w:hanging="584"/>
      </w:pPr>
      <w:rPr>
        <w:rFonts w:hint="default"/>
        <w:lang w:val="zh-CN" w:eastAsia="zh-CN" w:bidi="zh-CN"/>
      </w:rPr>
    </w:lvl>
    <w:lvl w:ilvl="6" w:tplc="4B126EA4">
      <w:numFmt w:val="bullet"/>
      <w:lvlText w:val="•"/>
      <w:lvlJc w:val="left"/>
      <w:pPr>
        <w:ind w:left="6955" w:hanging="584"/>
      </w:pPr>
      <w:rPr>
        <w:rFonts w:hint="default"/>
        <w:lang w:val="zh-CN" w:eastAsia="zh-CN" w:bidi="zh-CN"/>
      </w:rPr>
    </w:lvl>
    <w:lvl w:ilvl="7" w:tplc="2CD44896">
      <w:numFmt w:val="bullet"/>
      <w:lvlText w:val="•"/>
      <w:lvlJc w:val="left"/>
      <w:pPr>
        <w:ind w:left="7878" w:hanging="584"/>
      </w:pPr>
      <w:rPr>
        <w:rFonts w:hint="default"/>
        <w:lang w:val="zh-CN" w:eastAsia="zh-CN" w:bidi="zh-CN"/>
      </w:rPr>
    </w:lvl>
    <w:lvl w:ilvl="8" w:tplc="3A60BCEE">
      <w:numFmt w:val="bullet"/>
      <w:lvlText w:val="•"/>
      <w:lvlJc w:val="left"/>
      <w:pPr>
        <w:ind w:left="8801" w:hanging="584"/>
      </w:pPr>
      <w:rPr>
        <w:rFonts w:hint="default"/>
        <w:lang w:val="zh-CN" w:eastAsia="zh-CN" w:bidi="zh-CN"/>
      </w:rPr>
    </w:lvl>
  </w:abstractNum>
  <w:abstractNum w:abstractNumId="805" w15:restartNumberingAfterBreak="0">
    <w:nsid w:val="6AD12358"/>
    <w:multiLevelType w:val="hybridMultilevel"/>
    <w:tmpl w:val="4C6657EC"/>
    <w:lvl w:ilvl="0" w:tplc="817A8878">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D4D6C428">
      <w:numFmt w:val="bullet"/>
      <w:lvlText w:val="•"/>
      <w:lvlJc w:val="left"/>
      <w:pPr>
        <w:ind w:left="2288" w:hanging="529"/>
      </w:pPr>
      <w:rPr>
        <w:rFonts w:hint="default"/>
        <w:lang w:val="zh-CN" w:eastAsia="zh-CN" w:bidi="zh-CN"/>
      </w:rPr>
    </w:lvl>
    <w:lvl w:ilvl="2" w:tplc="E50A6258">
      <w:numFmt w:val="bullet"/>
      <w:lvlText w:val="•"/>
      <w:lvlJc w:val="left"/>
      <w:pPr>
        <w:ind w:left="3217" w:hanging="529"/>
      </w:pPr>
      <w:rPr>
        <w:rFonts w:hint="default"/>
        <w:lang w:val="zh-CN" w:eastAsia="zh-CN" w:bidi="zh-CN"/>
      </w:rPr>
    </w:lvl>
    <w:lvl w:ilvl="3" w:tplc="665066C0">
      <w:numFmt w:val="bullet"/>
      <w:lvlText w:val="•"/>
      <w:lvlJc w:val="left"/>
      <w:pPr>
        <w:ind w:left="4145" w:hanging="529"/>
      </w:pPr>
      <w:rPr>
        <w:rFonts w:hint="default"/>
        <w:lang w:val="zh-CN" w:eastAsia="zh-CN" w:bidi="zh-CN"/>
      </w:rPr>
    </w:lvl>
    <w:lvl w:ilvl="4" w:tplc="3CFE2B3A">
      <w:numFmt w:val="bullet"/>
      <w:lvlText w:val="•"/>
      <w:lvlJc w:val="left"/>
      <w:pPr>
        <w:ind w:left="5074" w:hanging="529"/>
      </w:pPr>
      <w:rPr>
        <w:rFonts w:hint="default"/>
        <w:lang w:val="zh-CN" w:eastAsia="zh-CN" w:bidi="zh-CN"/>
      </w:rPr>
    </w:lvl>
    <w:lvl w:ilvl="5" w:tplc="A7CE0064">
      <w:numFmt w:val="bullet"/>
      <w:lvlText w:val="•"/>
      <w:lvlJc w:val="left"/>
      <w:pPr>
        <w:ind w:left="6003" w:hanging="529"/>
      </w:pPr>
      <w:rPr>
        <w:rFonts w:hint="default"/>
        <w:lang w:val="zh-CN" w:eastAsia="zh-CN" w:bidi="zh-CN"/>
      </w:rPr>
    </w:lvl>
    <w:lvl w:ilvl="6" w:tplc="45D8E5FC">
      <w:numFmt w:val="bullet"/>
      <w:lvlText w:val="•"/>
      <w:lvlJc w:val="left"/>
      <w:pPr>
        <w:ind w:left="6931" w:hanging="529"/>
      </w:pPr>
      <w:rPr>
        <w:rFonts w:hint="default"/>
        <w:lang w:val="zh-CN" w:eastAsia="zh-CN" w:bidi="zh-CN"/>
      </w:rPr>
    </w:lvl>
    <w:lvl w:ilvl="7" w:tplc="8F8EDF5C">
      <w:numFmt w:val="bullet"/>
      <w:lvlText w:val="•"/>
      <w:lvlJc w:val="left"/>
      <w:pPr>
        <w:ind w:left="7860" w:hanging="529"/>
      </w:pPr>
      <w:rPr>
        <w:rFonts w:hint="default"/>
        <w:lang w:val="zh-CN" w:eastAsia="zh-CN" w:bidi="zh-CN"/>
      </w:rPr>
    </w:lvl>
    <w:lvl w:ilvl="8" w:tplc="5C209F66">
      <w:numFmt w:val="bullet"/>
      <w:lvlText w:val="•"/>
      <w:lvlJc w:val="left"/>
      <w:pPr>
        <w:ind w:left="8789" w:hanging="529"/>
      </w:pPr>
      <w:rPr>
        <w:rFonts w:hint="default"/>
        <w:lang w:val="zh-CN" w:eastAsia="zh-CN" w:bidi="zh-CN"/>
      </w:rPr>
    </w:lvl>
  </w:abstractNum>
  <w:abstractNum w:abstractNumId="806" w15:restartNumberingAfterBreak="0">
    <w:nsid w:val="6B0B61D2"/>
    <w:multiLevelType w:val="hybridMultilevel"/>
    <w:tmpl w:val="F93E4712"/>
    <w:lvl w:ilvl="0" w:tplc="0BB0E236">
      <w:start w:val="4"/>
      <w:numFmt w:val="decimal"/>
      <w:lvlText w:val="%1"/>
      <w:lvlJc w:val="left"/>
      <w:pPr>
        <w:ind w:left="1158" w:hanging="318"/>
        <w:jc w:val="left"/>
      </w:pPr>
      <w:rPr>
        <w:rFonts w:hint="default"/>
        <w:lang w:val="zh-CN" w:eastAsia="zh-CN" w:bidi="zh-CN"/>
      </w:rPr>
    </w:lvl>
    <w:lvl w:ilvl="1" w:tplc="AD7E5390">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5386B584">
      <w:start w:val="1"/>
      <w:numFmt w:val="decimal"/>
      <w:lvlText w:val="%1.%2.%3"/>
      <w:lvlJc w:val="left"/>
      <w:pPr>
        <w:ind w:left="1423" w:hanging="584"/>
        <w:jc w:val="left"/>
      </w:pPr>
      <w:rPr>
        <w:rFonts w:ascii="宋体" w:eastAsia="宋体" w:hAnsi="宋体" w:cs="宋体" w:hint="default"/>
        <w:b/>
        <w:bCs/>
        <w:w w:val="99"/>
        <w:sz w:val="21"/>
        <w:szCs w:val="21"/>
        <w:lang w:val="zh-CN" w:eastAsia="zh-CN" w:bidi="zh-CN"/>
      </w:rPr>
    </w:lvl>
    <w:lvl w:ilvl="3" w:tplc="053E83D6">
      <w:numFmt w:val="bullet"/>
      <w:lvlText w:val="•"/>
      <w:lvlJc w:val="left"/>
      <w:pPr>
        <w:ind w:left="3470" w:hanging="584"/>
      </w:pPr>
      <w:rPr>
        <w:rFonts w:hint="default"/>
        <w:lang w:val="zh-CN" w:eastAsia="zh-CN" w:bidi="zh-CN"/>
      </w:rPr>
    </w:lvl>
    <w:lvl w:ilvl="4" w:tplc="19A2E3EA">
      <w:numFmt w:val="bullet"/>
      <w:lvlText w:val="•"/>
      <w:lvlJc w:val="left"/>
      <w:pPr>
        <w:ind w:left="4495" w:hanging="584"/>
      </w:pPr>
      <w:rPr>
        <w:rFonts w:hint="default"/>
        <w:lang w:val="zh-CN" w:eastAsia="zh-CN" w:bidi="zh-CN"/>
      </w:rPr>
    </w:lvl>
    <w:lvl w:ilvl="5" w:tplc="13F86514">
      <w:numFmt w:val="bullet"/>
      <w:lvlText w:val="•"/>
      <w:lvlJc w:val="left"/>
      <w:pPr>
        <w:ind w:left="5520" w:hanging="584"/>
      </w:pPr>
      <w:rPr>
        <w:rFonts w:hint="default"/>
        <w:lang w:val="zh-CN" w:eastAsia="zh-CN" w:bidi="zh-CN"/>
      </w:rPr>
    </w:lvl>
    <w:lvl w:ilvl="6" w:tplc="0CE881A2">
      <w:numFmt w:val="bullet"/>
      <w:lvlText w:val="•"/>
      <w:lvlJc w:val="left"/>
      <w:pPr>
        <w:ind w:left="6545" w:hanging="584"/>
      </w:pPr>
      <w:rPr>
        <w:rFonts w:hint="default"/>
        <w:lang w:val="zh-CN" w:eastAsia="zh-CN" w:bidi="zh-CN"/>
      </w:rPr>
    </w:lvl>
    <w:lvl w:ilvl="7" w:tplc="8E1E8A9E">
      <w:numFmt w:val="bullet"/>
      <w:lvlText w:val="•"/>
      <w:lvlJc w:val="left"/>
      <w:pPr>
        <w:ind w:left="7570" w:hanging="584"/>
      </w:pPr>
      <w:rPr>
        <w:rFonts w:hint="default"/>
        <w:lang w:val="zh-CN" w:eastAsia="zh-CN" w:bidi="zh-CN"/>
      </w:rPr>
    </w:lvl>
    <w:lvl w:ilvl="8" w:tplc="45A2BF10">
      <w:numFmt w:val="bullet"/>
      <w:lvlText w:val="•"/>
      <w:lvlJc w:val="left"/>
      <w:pPr>
        <w:ind w:left="8596" w:hanging="584"/>
      </w:pPr>
      <w:rPr>
        <w:rFonts w:hint="default"/>
        <w:lang w:val="zh-CN" w:eastAsia="zh-CN" w:bidi="zh-CN"/>
      </w:rPr>
    </w:lvl>
  </w:abstractNum>
  <w:abstractNum w:abstractNumId="807" w15:restartNumberingAfterBreak="0">
    <w:nsid w:val="6B0C7A74"/>
    <w:multiLevelType w:val="hybridMultilevel"/>
    <w:tmpl w:val="EF506E42"/>
    <w:lvl w:ilvl="0" w:tplc="6B0E99F6">
      <w:start w:val="4"/>
      <w:numFmt w:val="lowerLetter"/>
      <w:lvlText w:val="%1）"/>
      <w:lvlJc w:val="left"/>
      <w:pPr>
        <w:ind w:left="1155" w:hanging="318"/>
        <w:jc w:val="left"/>
      </w:pPr>
      <w:rPr>
        <w:rFonts w:ascii="宋体" w:eastAsia="宋体" w:hAnsi="宋体" w:cs="宋体" w:hint="default"/>
        <w:w w:val="100"/>
        <w:sz w:val="19"/>
        <w:szCs w:val="19"/>
        <w:lang w:val="zh-CN" w:eastAsia="zh-CN" w:bidi="zh-CN"/>
      </w:rPr>
    </w:lvl>
    <w:lvl w:ilvl="1" w:tplc="19764DA2">
      <w:numFmt w:val="bullet"/>
      <w:lvlText w:val="•"/>
      <w:lvlJc w:val="left"/>
      <w:pPr>
        <w:ind w:left="2108" w:hanging="318"/>
      </w:pPr>
      <w:rPr>
        <w:rFonts w:hint="default"/>
        <w:lang w:val="zh-CN" w:eastAsia="zh-CN" w:bidi="zh-CN"/>
      </w:rPr>
    </w:lvl>
    <w:lvl w:ilvl="2" w:tplc="BBCC15CA">
      <w:numFmt w:val="bullet"/>
      <w:lvlText w:val="•"/>
      <w:lvlJc w:val="left"/>
      <w:pPr>
        <w:ind w:left="3057" w:hanging="318"/>
      </w:pPr>
      <w:rPr>
        <w:rFonts w:hint="default"/>
        <w:lang w:val="zh-CN" w:eastAsia="zh-CN" w:bidi="zh-CN"/>
      </w:rPr>
    </w:lvl>
    <w:lvl w:ilvl="3" w:tplc="232C9384">
      <w:numFmt w:val="bullet"/>
      <w:lvlText w:val="•"/>
      <w:lvlJc w:val="left"/>
      <w:pPr>
        <w:ind w:left="4005" w:hanging="318"/>
      </w:pPr>
      <w:rPr>
        <w:rFonts w:hint="default"/>
        <w:lang w:val="zh-CN" w:eastAsia="zh-CN" w:bidi="zh-CN"/>
      </w:rPr>
    </w:lvl>
    <w:lvl w:ilvl="4" w:tplc="920677D0">
      <w:numFmt w:val="bullet"/>
      <w:lvlText w:val="•"/>
      <w:lvlJc w:val="left"/>
      <w:pPr>
        <w:ind w:left="4954" w:hanging="318"/>
      </w:pPr>
      <w:rPr>
        <w:rFonts w:hint="default"/>
        <w:lang w:val="zh-CN" w:eastAsia="zh-CN" w:bidi="zh-CN"/>
      </w:rPr>
    </w:lvl>
    <w:lvl w:ilvl="5" w:tplc="0BE0FFEE">
      <w:numFmt w:val="bullet"/>
      <w:lvlText w:val="•"/>
      <w:lvlJc w:val="left"/>
      <w:pPr>
        <w:ind w:left="5903" w:hanging="318"/>
      </w:pPr>
      <w:rPr>
        <w:rFonts w:hint="default"/>
        <w:lang w:val="zh-CN" w:eastAsia="zh-CN" w:bidi="zh-CN"/>
      </w:rPr>
    </w:lvl>
    <w:lvl w:ilvl="6" w:tplc="D2583604">
      <w:numFmt w:val="bullet"/>
      <w:lvlText w:val="•"/>
      <w:lvlJc w:val="left"/>
      <w:pPr>
        <w:ind w:left="6851" w:hanging="318"/>
      </w:pPr>
      <w:rPr>
        <w:rFonts w:hint="default"/>
        <w:lang w:val="zh-CN" w:eastAsia="zh-CN" w:bidi="zh-CN"/>
      </w:rPr>
    </w:lvl>
    <w:lvl w:ilvl="7" w:tplc="A06E0DCC">
      <w:numFmt w:val="bullet"/>
      <w:lvlText w:val="•"/>
      <w:lvlJc w:val="left"/>
      <w:pPr>
        <w:ind w:left="7800" w:hanging="318"/>
      </w:pPr>
      <w:rPr>
        <w:rFonts w:hint="default"/>
        <w:lang w:val="zh-CN" w:eastAsia="zh-CN" w:bidi="zh-CN"/>
      </w:rPr>
    </w:lvl>
    <w:lvl w:ilvl="8" w:tplc="B7DE761A">
      <w:numFmt w:val="bullet"/>
      <w:lvlText w:val="•"/>
      <w:lvlJc w:val="left"/>
      <w:pPr>
        <w:ind w:left="8749" w:hanging="318"/>
      </w:pPr>
      <w:rPr>
        <w:rFonts w:hint="default"/>
        <w:lang w:val="zh-CN" w:eastAsia="zh-CN" w:bidi="zh-CN"/>
      </w:rPr>
    </w:lvl>
  </w:abstractNum>
  <w:abstractNum w:abstractNumId="808" w15:restartNumberingAfterBreak="0">
    <w:nsid w:val="6B236BF1"/>
    <w:multiLevelType w:val="hybridMultilevel"/>
    <w:tmpl w:val="A21236D2"/>
    <w:lvl w:ilvl="0" w:tplc="9488CBC8">
      <w:start w:val="7"/>
      <w:numFmt w:val="decimal"/>
      <w:lvlText w:val="%1"/>
      <w:lvlJc w:val="left"/>
      <w:pPr>
        <w:ind w:left="1212" w:hanging="372"/>
        <w:jc w:val="left"/>
      </w:pPr>
      <w:rPr>
        <w:rFonts w:hint="default"/>
        <w:lang w:val="zh-CN" w:eastAsia="zh-CN" w:bidi="zh-CN"/>
      </w:rPr>
    </w:lvl>
    <w:lvl w:ilvl="1" w:tplc="6A246CA8">
      <w:start w:val="3"/>
      <w:numFmt w:val="decimal"/>
      <w:lvlText w:val="%1.%2"/>
      <w:lvlJc w:val="left"/>
      <w:pPr>
        <w:ind w:left="1212" w:hanging="372"/>
        <w:jc w:val="left"/>
      </w:pPr>
      <w:rPr>
        <w:rFonts w:ascii="宋体" w:eastAsia="宋体" w:hAnsi="宋体" w:cs="宋体" w:hint="default"/>
        <w:b/>
        <w:bCs/>
        <w:w w:val="99"/>
        <w:sz w:val="21"/>
        <w:szCs w:val="21"/>
        <w:lang w:val="zh-CN" w:eastAsia="zh-CN" w:bidi="zh-CN"/>
      </w:rPr>
    </w:lvl>
    <w:lvl w:ilvl="2" w:tplc="08E243D2">
      <w:start w:val="1"/>
      <w:numFmt w:val="decimal"/>
      <w:lvlText w:val="%1.%2.%3"/>
      <w:lvlJc w:val="left"/>
      <w:pPr>
        <w:ind w:left="1369" w:hanging="529"/>
        <w:jc w:val="left"/>
      </w:pPr>
      <w:rPr>
        <w:rFonts w:ascii="宋体" w:eastAsia="宋体" w:hAnsi="宋体" w:cs="宋体" w:hint="default"/>
        <w:b/>
        <w:bCs/>
        <w:color w:val="333333"/>
        <w:w w:val="99"/>
        <w:sz w:val="19"/>
        <w:szCs w:val="19"/>
        <w:lang w:val="zh-CN" w:eastAsia="zh-CN" w:bidi="zh-CN"/>
      </w:rPr>
    </w:lvl>
    <w:lvl w:ilvl="3" w:tplc="4314DB14">
      <w:numFmt w:val="bullet"/>
      <w:lvlText w:val="•"/>
      <w:lvlJc w:val="left"/>
      <w:pPr>
        <w:ind w:left="3423" w:hanging="529"/>
      </w:pPr>
      <w:rPr>
        <w:rFonts w:hint="default"/>
        <w:lang w:val="zh-CN" w:eastAsia="zh-CN" w:bidi="zh-CN"/>
      </w:rPr>
    </w:lvl>
    <w:lvl w:ilvl="4" w:tplc="11B6BA1A">
      <w:numFmt w:val="bullet"/>
      <w:lvlText w:val="•"/>
      <w:lvlJc w:val="left"/>
      <w:pPr>
        <w:ind w:left="4455" w:hanging="529"/>
      </w:pPr>
      <w:rPr>
        <w:rFonts w:hint="default"/>
        <w:lang w:val="zh-CN" w:eastAsia="zh-CN" w:bidi="zh-CN"/>
      </w:rPr>
    </w:lvl>
    <w:lvl w:ilvl="5" w:tplc="0DC8ED48">
      <w:numFmt w:val="bullet"/>
      <w:lvlText w:val="•"/>
      <w:lvlJc w:val="left"/>
      <w:pPr>
        <w:ind w:left="5487" w:hanging="529"/>
      </w:pPr>
      <w:rPr>
        <w:rFonts w:hint="default"/>
        <w:lang w:val="zh-CN" w:eastAsia="zh-CN" w:bidi="zh-CN"/>
      </w:rPr>
    </w:lvl>
    <w:lvl w:ilvl="6" w:tplc="A396588C">
      <w:numFmt w:val="bullet"/>
      <w:lvlText w:val="•"/>
      <w:lvlJc w:val="left"/>
      <w:pPr>
        <w:ind w:left="6519" w:hanging="529"/>
      </w:pPr>
      <w:rPr>
        <w:rFonts w:hint="default"/>
        <w:lang w:val="zh-CN" w:eastAsia="zh-CN" w:bidi="zh-CN"/>
      </w:rPr>
    </w:lvl>
    <w:lvl w:ilvl="7" w:tplc="4D504762">
      <w:numFmt w:val="bullet"/>
      <w:lvlText w:val="•"/>
      <w:lvlJc w:val="left"/>
      <w:pPr>
        <w:ind w:left="7550" w:hanging="529"/>
      </w:pPr>
      <w:rPr>
        <w:rFonts w:hint="default"/>
        <w:lang w:val="zh-CN" w:eastAsia="zh-CN" w:bidi="zh-CN"/>
      </w:rPr>
    </w:lvl>
    <w:lvl w:ilvl="8" w:tplc="DC60D2AA">
      <w:numFmt w:val="bullet"/>
      <w:lvlText w:val="•"/>
      <w:lvlJc w:val="left"/>
      <w:pPr>
        <w:ind w:left="8582" w:hanging="529"/>
      </w:pPr>
      <w:rPr>
        <w:rFonts w:hint="default"/>
        <w:lang w:val="zh-CN" w:eastAsia="zh-CN" w:bidi="zh-CN"/>
      </w:rPr>
    </w:lvl>
  </w:abstractNum>
  <w:abstractNum w:abstractNumId="809" w15:restartNumberingAfterBreak="0">
    <w:nsid w:val="6B351DA2"/>
    <w:multiLevelType w:val="hybridMultilevel"/>
    <w:tmpl w:val="1AE62FC2"/>
    <w:lvl w:ilvl="0" w:tplc="859E826C">
      <w:start w:val="6"/>
      <w:numFmt w:val="decimal"/>
      <w:lvlText w:val="%1"/>
      <w:lvlJc w:val="left"/>
      <w:pPr>
        <w:ind w:left="418" w:hanging="529"/>
        <w:jc w:val="left"/>
      </w:pPr>
      <w:rPr>
        <w:rFonts w:hint="default"/>
        <w:lang w:val="zh-CN" w:eastAsia="zh-CN" w:bidi="zh-CN"/>
      </w:rPr>
    </w:lvl>
    <w:lvl w:ilvl="1" w:tplc="EE48CD4C">
      <w:start w:val="2"/>
      <w:numFmt w:val="decimal"/>
      <w:lvlText w:val="%1.%2"/>
      <w:lvlJc w:val="left"/>
      <w:pPr>
        <w:ind w:left="418" w:hanging="529"/>
        <w:jc w:val="left"/>
      </w:pPr>
      <w:rPr>
        <w:rFonts w:hint="default"/>
        <w:lang w:val="zh-CN" w:eastAsia="zh-CN" w:bidi="zh-CN"/>
      </w:rPr>
    </w:lvl>
    <w:lvl w:ilvl="2" w:tplc="5D4A4F48">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FDDEB8E2">
      <w:numFmt w:val="bullet"/>
      <w:lvlText w:val="•"/>
      <w:lvlJc w:val="left"/>
      <w:pPr>
        <w:ind w:left="3487" w:hanging="529"/>
      </w:pPr>
      <w:rPr>
        <w:rFonts w:hint="default"/>
        <w:lang w:val="zh-CN" w:eastAsia="zh-CN" w:bidi="zh-CN"/>
      </w:rPr>
    </w:lvl>
    <w:lvl w:ilvl="4" w:tplc="47AE4E8A">
      <w:numFmt w:val="bullet"/>
      <w:lvlText w:val="•"/>
      <w:lvlJc w:val="left"/>
      <w:pPr>
        <w:ind w:left="4510" w:hanging="529"/>
      </w:pPr>
      <w:rPr>
        <w:rFonts w:hint="default"/>
        <w:lang w:val="zh-CN" w:eastAsia="zh-CN" w:bidi="zh-CN"/>
      </w:rPr>
    </w:lvl>
    <w:lvl w:ilvl="5" w:tplc="9072E4CC">
      <w:numFmt w:val="bullet"/>
      <w:lvlText w:val="•"/>
      <w:lvlJc w:val="left"/>
      <w:pPr>
        <w:ind w:left="5533" w:hanging="529"/>
      </w:pPr>
      <w:rPr>
        <w:rFonts w:hint="default"/>
        <w:lang w:val="zh-CN" w:eastAsia="zh-CN" w:bidi="zh-CN"/>
      </w:rPr>
    </w:lvl>
    <w:lvl w:ilvl="6" w:tplc="2A9861C0">
      <w:numFmt w:val="bullet"/>
      <w:lvlText w:val="•"/>
      <w:lvlJc w:val="left"/>
      <w:pPr>
        <w:ind w:left="6555" w:hanging="529"/>
      </w:pPr>
      <w:rPr>
        <w:rFonts w:hint="default"/>
        <w:lang w:val="zh-CN" w:eastAsia="zh-CN" w:bidi="zh-CN"/>
      </w:rPr>
    </w:lvl>
    <w:lvl w:ilvl="7" w:tplc="64E29AE8">
      <w:numFmt w:val="bullet"/>
      <w:lvlText w:val="•"/>
      <w:lvlJc w:val="left"/>
      <w:pPr>
        <w:ind w:left="7578" w:hanging="529"/>
      </w:pPr>
      <w:rPr>
        <w:rFonts w:hint="default"/>
        <w:lang w:val="zh-CN" w:eastAsia="zh-CN" w:bidi="zh-CN"/>
      </w:rPr>
    </w:lvl>
    <w:lvl w:ilvl="8" w:tplc="307A1E18">
      <w:numFmt w:val="bullet"/>
      <w:lvlText w:val="•"/>
      <w:lvlJc w:val="left"/>
      <w:pPr>
        <w:ind w:left="8601" w:hanging="529"/>
      </w:pPr>
      <w:rPr>
        <w:rFonts w:hint="default"/>
        <w:lang w:val="zh-CN" w:eastAsia="zh-CN" w:bidi="zh-CN"/>
      </w:rPr>
    </w:lvl>
  </w:abstractNum>
  <w:abstractNum w:abstractNumId="810" w15:restartNumberingAfterBreak="0">
    <w:nsid w:val="6B514E75"/>
    <w:multiLevelType w:val="hybridMultilevel"/>
    <w:tmpl w:val="6A9EA278"/>
    <w:lvl w:ilvl="0" w:tplc="40B48C7C">
      <w:start w:val="2"/>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E7008B2E">
      <w:numFmt w:val="bullet"/>
      <w:lvlText w:val="•"/>
      <w:lvlJc w:val="left"/>
      <w:pPr>
        <w:ind w:left="2018" w:hanging="213"/>
      </w:pPr>
      <w:rPr>
        <w:rFonts w:hint="default"/>
        <w:lang w:val="zh-CN" w:eastAsia="zh-CN" w:bidi="zh-CN"/>
      </w:rPr>
    </w:lvl>
    <w:lvl w:ilvl="2" w:tplc="F3521FEA">
      <w:numFmt w:val="bullet"/>
      <w:lvlText w:val="•"/>
      <w:lvlJc w:val="left"/>
      <w:pPr>
        <w:ind w:left="2977" w:hanging="213"/>
      </w:pPr>
      <w:rPr>
        <w:rFonts w:hint="default"/>
        <w:lang w:val="zh-CN" w:eastAsia="zh-CN" w:bidi="zh-CN"/>
      </w:rPr>
    </w:lvl>
    <w:lvl w:ilvl="3" w:tplc="CDC20E4A">
      <w:numFmt w:val="bullet"/>
      <w:lvlText w:val="•"/>
      <w:lvlJc w:val="left"/>
      <w:pPr>
        <w:ind w:left="3935" w:hanging="213"/>
      </w:pPr>
      <w:rPr>
        <w:rFonts w:hint="default"/>
        <w:lang w:val="zh-CN" w:eastAsia="zh-CN" w:bidi="zh-CN"/>
      </w:rPr>
    </w:lvl>
    <w:lvl w:ilvl="4" w:tplc="AF3651E0">
      <w:numFmt w:val="bullet"/>
      <w:lvlText w:val="•"/>
      <w:lvlJc w:val="left"/>
      <w:pPr>
        <w:ind w:left="4894" w:hanging="213"/>
      </w:pPr>
      <w:rPr>
        <w:rFonts w:hint="default"/>
        <w:lang w:val="zh-CN" w:eastAsia="zh-CN" w:bidi="zh-CN"/>
      </w:rPr>
    </w:lvl>
    <w:lvl w:ilvl="5" w:tplc="706421A2">
      <w:numFmt w:val="bullet"/>
      <w:lvlText w:val="•"/>
      <w:lvlJc w:val="left"/>
      <w:pPr>
        <w:ind w:left="5853" w:hanging="213"/>
      </w:pPr>
      <w:rPr>
        <w:rFonts w:hint="default"/>
        <w:lang w:val="zh-CN" w:eastAsia="zh-CN" w:bidi="zh-CN"/>
      </w:rPr>
    </w:lvl>
    <w:lvl w:ilvl="6" w:tplc="A2D66FCA">
      <w:numFmt w:val="bullet"/>
      <w:lvlText w:val="•"/>
      <w:lvlJc w:val="left"/>
      <w:pPr>
        <w:ind w:left="6811" w:hanging="213"/>
      </w:pPr>
      <w:rPr>
        <w:rFonts w:hint="default"/>
        <w:lang w:val="zh-CN" w:eastAsia="zh-CN" w:bidi="zh-CN"/>
      </w:rPr>
    </w:lvl>
    <w:lvl w:ilvl="7" w:tplc="F2FC7648">
      <w:numFmt w:val="bullet"/>
      <w:lvlText w:val="•"/>
      <w:lvlJc w:val="left"/>
      <w:pPr>
        <w:ind w:left="7770" w:hanging="213"/>
      </w:pPr>
      <w:rPr>
        <w:rFonts w:hint="default"/>
        <w:lang w:val="zh-CN" w:eastAsia="zh-CN" w:bidi="zh-CN"/>
      </w:rPr>
    </w:lvl>
    <w:lvl w:ilvl="8" w:tplc="28386512">
      <w:numFmt w:val="bullet"/>
      <w:lvlText w:val="•"/>
      <w:lvlJc w:val="left"/>
      <w:pPr>
        <w:ind w:left="8729" w:hanging="213"/>
      </w:pPr>
      <w:rPr>
        <w:rFonts w:hint="default"/>
        <w:lang w:val="zh-CN" w:eastAsia="zh-CN" w:bidi="zh-CN"/>
      </w:rPr>
    </w:lvl>
  </w:abstractNum>
  <w:abstractNum w:abstractNumId="811" w15:restartNumberingAfterBreak="0">
    <w:nsid w:val="6B642C0F"/>
    <w:multiLevelType w:val="hybridMultilevel"/>
    <w:tmpl w:val="CF86D0E6"/>
    <w:lvl w:ilvl="0" w:tplc="B612865C">
      <w:start w:val="5"/>
      <w:numFmt w:val="decimal"/>
      <w:lvlText w:val="%1"/>
      <w:lvlJc w:val="left"/>
      <w:pPr>
        <w:ind w:left="418" w:hanging="637"/>
        <w:jc w:val="left"/>
      </w:pPr>
      <w:rPr>
        <w:rFonts w:hint="default"/>
        <w:lang w:val="zh-CN" w:eastAsia="zh-CN" w:bidi="zh-CN"/>
      </w:rPr>
    </w:lvl>
    <w:lvl w:ilvl="1" w:tplc="E50ED9B8">
      <w:start w:val="5"/>
      <w:numFmt w:val="decimal"/>
      <w:lvlText w:val="%1.%2"/>
      <w:lvlJc w:val="left"/>
      <w:pPr>
        <w:ind w:left="418" w:hanging="637"/>
        <w:jc w:val="left"/>
      </w:pPr>
      <w:rPr>
        <w:rFonts w:hint="default"/>
        <w:lang w:val="zh-CN" w:eastAsia="zh-CN" w:bidi="zh-CN"/>
      </w:rPr>
    </w:lvl>
    <w:lvl w:ilvl="2" w:tplc="22349CBA">
      <w:start w:val="18"/>
      <w:numFmt w:val="decimal"/>
      <w:lvlText w:val="%1.%2.%3"/>
      <w:lvlJc w:val="left"/>
      <w:pPr>
        <w:ind w:left="418" w:hanging="637"/>
        <w:jc w:val="left"/>
      </w:pPr>
      <w:rPr>
        <w:rFonts w:ascii="宋体" w:eastAsia="宋体" w:hAnsi="宋体" w:cs="宋体" w:hint="default"/>
        <w:b/>
        <w:bCs/>
        <w:color w:val="333333"/>
        <w:w w:val="99"/>
        <w:sz w:val="19"/>
        <w:szCs w:val="19"/>
        <w:lang w:val="zh-CN" w:eastAsia="zh-CN" w:bidi="zh-CN"/>
      </w:rPr>
    </w:lvl>
    <w:lvl w:ilvl="3" w:tplc="FBF20B02">
      <w:numFmt w:val="bullet"/>
      <w:lvlText w:val="•"/>
      <w:lvlJc w:val="left"/>
      <w:pPr>
        <w:ind w:left="3487" w:hanging="637"/>
      </w:pPr>
      <w:rPr>
        <w:rFonts w:hint="default"/>
        <w:lang w:val="zh-CN" w:eastAsia="zh-CN" w:bidi="zh-CN"/>
      </w:rPr>
    </w:lvl>
    <w:lvl w:ilvl="4" w:tplc="9B7A23DE">
      <w:numFmt w:val="bullet"/>
      <w:lvlText w:val="•"/>
      <w:lvlJc w:val="left"/>
      <w:pPr>
        <w:ind w:left="4510" w:hanging="637"/>
      </w:pPr>
      <w:rPr>
        <w:rFonts w:hint="default"/>
        <w:lang w:val="zh-CN" w:eastAsia="zh-CN" w:bidi="zh-CN"/>
      </w:rPr>
    </w:lvl>
    <w:lvl w:ilvl="5" w:tplc="7C96160E">
      <w:numFmt w:val="bullet"/>
      <w:lvlText w:val="•"/>
      <w:lvlJc w:val="left"/>
      <w:pPr>
        <w:ind w:left="5533" w:hanging="637"/>
      </w:pPr>
      <w:rPr>
        <w:rFonts w:hint="default"/>
        <w:lang w:val="zh-CN" w:eastAsia="zh-CN" w:bidi="zh-CN"/>
      </w:rPr>
    </w:lvl>
    <w:lvl w:ilvl="6" w:tplc="89E225EC">
      <w:numFmt w:val="bullet"/>
      <w:lvlText w:val="•"/>
      <w:lvlJc w:val="left"/>
      <w:pPr>
        <w:ind w:left="6555" w:hanging="637"/>
      </w:pPr>
      <w:rPr>
        <w:rFonts w:hint="default"/>
        <w:lang w:val="zh-CN" w:eastAsia="zh-CN" w:bidi="zh-CN"/>
      </w:rPr>
    </w:lvl>
    <w:lvl w:ilvl="7" w:tplc="484CF71E">
      <w:numFmt w:val="bullet"/>
      <w:lvlText w:val="•"/>
      <w:lvlJc w:val="left"/>
      <w:pPr>
        <w:ind w:left="7578" w:hanging="637"/>
      </w:pPr>
      <w:rPr>
        <w:rFonts w:hint="default"/>
        <w:lang w:val="zh-CN" w:eastAsia="zh-CN" w:bidi="zh-CN"/>
      </w:rPr>
    </w:lvl>
    <w:lvl w:ilvl="8" w:tplc="DE9A7DA4">
      <w:numFmt w:val="bullet"/>
      <w:lvlText w:val="•"/>
      <w:lvlJc w:val="left"/>
      <w:pPr>
        <w:ind w:left="8601" w:hanging="637"/>
      </w:pPr>
      <w:rPr>
        <w:rFonts w:hint="default"/>
        <w:lang w:val="zh-CN" w:eastAsia="zh-CN" w:bidi="zh-CN"/>
      </w:rPr>
    </w:lvl>
  </w:abstractNum>
  <w:abstractNum w:abstractNumId="812" w15:restartNumberingAfterBreak="0">
    <w:nsid w:val="6B777EDA"/>
    <w:multiLevelType w:val="hybridMultilevel"/>
    <w:tmpl w:val="72EEB68C"/>
    <w:lvl w:ilvl="0" w:tplc="C6CC1306">
      <w:start w:val="6"/>
      <w:numFmt w:val="decimal"/>
      <w:lvlText w:val="%1"/>
      <w:lvlJc w:val="left"/>
      <w:pPr>
        <w:ind w:left="1477" w:hanging="637"/>
        <w:jc w:val="left"/>
      </w:pPr>
      <w:rPr>
        <w:rFonts w:hint="default"/>
        <w:lang w:val="zh-CN" w:eastAsia="zh-CN" w:bidi="zh-CN"/>
      </w:rPr>
    </w:lvl>
    <w:lvl w:ilvl="1" w:tplc="0B8E97B6">
      <w:start w:val="2"/>
      <w:numFmt w:val="decimal"/>
      <w:lvlText w:val="%1.%2"/>
      <w:lvlJc w:val="left"/>
      <w:pPr>
        <w:ind w:left="1477" w:hanging="637"/>
        <w:jc w:val="left"/>
      </w:pPr>
      <w:rPr>
        <w:rFonts w:hint="default"/>
        <w:lang w:val="zh-CN" w:eastAsia="zh-CN" w:bidi="zh-CN"/>
      </w:rPr>
    </w:lvl>
    <w:lvl w:ilvl="2" w:tplc="CE309B08">
      <w:start w:val="16"/>
      <w:numFmt w:val="decimal"/>
      <w:lvlText w:val="%1.%2.%3"/>
      <w:lvlJc w:val="left"/>
      <w:pPr>
        <w:ind w:left="1477" w:hanging="637"/>
        <w:jc w:val="left"/>
      </w:pPr>
      <w:rPr>
        <w:rFonts w:ascii="宋体" w:eastAsia="宋体" w:hAnsi="宋体" w:cs="宋体" w:hint="default"/>
        <w:b/>
        <w:bCs/>
        <w:spacing w:val="-3"/>
        <w:w w:val="99"/>
        <w:sz w:val="19"/>
        <w:szCs w:val="19"/>
        <w:lang w:val="zh-CN" w:eastAsia="zh-CN" w:bidi="zh-CN"/>
      </w:rPr>
    </w:lvl>
    <w:lvl w:ilvl="3" w:tplc="126063BA">
      <w:numFmt w:val="bullet"/>
      <w:lvlText w:val="•"/>
      <w:lvlJc w:val="left"/>
      <w:pPr>
        <w:ind w:left="4229" w:hanging="637"/>
      </w:pPr>
      <w:rPr>
        <w:rFonts w:hint="default"/>
        <w:lang w:val="zh-CN" w:eastAsia="zh-CN" w:bidi="zh-CN"/>
      </w:rPr>
    </w:lvl>
    <w:lvl w:ilvl="4" w:tplc="2EB0894A">
      <w:numFmt w:val="bullet"/>
      <w:lvlText w:val="•"/>
      <w:lvlJc w:val="left"/>
      <w:pPr>
        <w:ind w:left="5146" w:hanging="637"/>
      </w:pPr>
      <w:rPr>
        <w:rFonts w:hint="default"/>
        <w:lang w:val="zh-CN" w:eastAsia="zh-CN" w:bidi="zh-CN"/>
      </w:rPr>
    </w:lvl>
    <w:lvl w:ilvl="5" w:tplc="55367F0E">
      <w:numFmt w:val="bullet"/>
      <w:lvlText w:val="•"/>
      <w:lvlJc w:val="left"/>
      <w:pPr>
        <w:ind w:left="6063" w:hanging="637"/>
      </w:pPr>
      <w:rPr>
        <w:rFonts w:hint="default"/>
        <w:lang w:val="zh-CN" w:eastAsia="zh-CN" w:bidi="zh-CN"/>
      </w:rPr>
    </w:lvl>
    <w:lvl w:ilvl="6" w:tplc="BE34532A">
      <w:numFmt w:val="bullet"/>
      <w:lvlText w:val="•"/>
      <w:lvlJc w:val="left"/>
      <w:pPr>
        <w:ind w:left="6979" w:hanging="637"/>
      </w:pPr>
      <w:rPr>
        <w:rFonts w:hint="default"/>
        <w:lang w:val="zh-CN" w:eastAsia="zh-CN" w:bidi="zh-CN"/>
      </w:rPr>
    </w:lvl>
    <w:lvl w:ilvl="7" w:tplc="FBF6B7AC">
      <w:numFmt w:val="bullet"/>
      <w:lvlText w:val="•"/>
      <w:lvlJc w:val="left"/>
      <w:pPr>
        <w:ind w:left="7896" w:hanging="637"/>
      </w:pPr>
      <w:rPr>
        <w:rFonts w:hint="default"/>
        <w:lang w:val="zh-CN" w:eastAsia="zh-CN" w:bidi="zh-CN"/>
      </w:rPr>
    </w:lvl>
    <w:lvl w:ilvl="8" w:tplc="C268BCA6">
      <w:numFmt w:val="bullet"/>
      <w:lvlText w:val="•"/>
      <w:lvlJc w:val="left"/>
      <w:pPr>
        <w:ind w:left="8813" w:hanging="637"/>
      </w:pPr>
      <w:rPr>
        <w:rFonts w:hint="default"/>
        <w:lang w:val="zh-CN" w:eastAsia="zh-CN" w:bidi="zh-CN"/>
      </w:rPr>
    </w:lvl>
  </w:abstractNum>
  <w:abstractNum w:abstractNumId="813" w15:restartNumberingAfterBreak="0">
    <w:nsid w:val="6B903DF1"/>
    <w:multiLevelType w:val="hybridMultilevel"/>
    <w:tmpl w:val="16AE7FE6"/>
    <w:lvl w:ilvl="0" w:tplc="FD24EBF8">
      <w:start w:val="4"/>
      <w:numFmt w:val="decimal"/>
      <w:lvlText w:val="%1"/>
      <w:lvlJc w:val="left"/>
      <w:pPr>
        <w:ind w:left="1423" w:hanging="584"/>
        <w:jc w:val="left"/>
      </w:pPr>
      <w:rPr>
        <w:rFonts w:hint="default"/>
        <w:lang w:val="zh-CN" w:eastAsia="zh-CN" w:bidi="zh-CN"/>
      </w:rPr>
    </w:lvl>
    <w:lvl w:ilvl="1" w:tplc="426EE0D4">
      <w:start w:val="2"/>
      <w:numFmt w:val="decimal"/>
      <w:lvlText w:val="%1.%2"/>
      <w:lvlJc w:val="left"/>
      <w:pPr>
        <w:ind w:left="1423" w:hanging="584"/>
        <w:jc w:val="left"/>
      </w:pPr>
      <w:rPr>
        <w:rFonts w:hint="default"/>
        <w:lang w:val="zh-CN" w:eastAsia="zh-CN" w:bidi="zh-CN"/>
      </w:rPr>
    </w:lvl>
    <w:lvl w:ilvl="2" w:tplc="B3DC6E1C">
      <w:start w:val="1"/>
      <w:numFmt w:val="decimal"/>
      <w:lvlText w:val="%1.%2.%3"/>
      <w:lvlJc w:val="left"/>
      <w:pPr>
        <w:ind w:left="1423" w:hanging="584"/>
        <w:jc w:val="left"/>
      </w:pPr>
      <w:rPr>
        <w:rFonts w:ascii="宋体" w:eastAsia="宋体" w:hAnsi="宋体" w:cs="宋体" w:hint="default"/>
        <w:b/>
        <w:bCs/>
        <w:w w:val="99"/>
        <w:sz w:val="21"/>
        <w:szCs w:val="21"/>
        <w:lang w:val="zh-CN" w:eastAsia="zh-CN" w:bidi="zh-CN"/>
      </w:rPr>
    </w:lvl>
    <w:lvl w:ilvl="3" w:tplc="A1469106">
      <w:numFmt w:val="bullet"/>
      <w:lvlText w:val="•"/>
      <w:lvlJc w:val="left"/>
      <w:pPr>
        <w:ind w:left="4187" w:hanging="584"/>
      </w:pPr>
      <w:rPr>
        <w:rFonts w:hint="default"/>
        <w:lang w:val="zh-CN" w:eastAsia="zh-CN" w:bidi="zh-CN"/>
      </w:rPr>
    </w:lvl>
    <w:lvl w:ilvl="4" w:tplc="10BA316C">
      <w:numFmt w:val="bullet"/>
      <w:lvlText w:val="•"/>
      <w:lvlJc w:val="left"/>
      <w:pPr>
        <w:ind w:left="5110" w:hanging="584"/>
      </w:pPr>
      <w:rPr>
        <w:rFonts w:hint="default"/>
        <w:lang w:val="zh-CN" w:eastAsia="zh-CN" w:bidi="zh-CN"/>
      </w:rPr>
    </w:lvl>
    <w:lvl w:ilvl="5" w:tplc="83641920">
      <w:numFmt w:val="bullet"/>
      <w:lvlText w:val="•"/>
      <w:lvlJc w:val="left"/>
      <w:pPr>
        <w:ind w:left="6033" w:hanging="584"/>
      </w:pPr>
      <w:rPr>
        <w:rFonts w:hint="default"/>
        <w:lang w:val="zh-CN" w:eastAsia="zh-CN" w:bidi="zh-CN"/>
      </w:rPr>
    </w:lvl>
    <w:lvl w:ilvl="6" w:tplc="4FC6CAD4">
      <w:numFmt w:val="bullet"/>
      <w:lvlText w:val="•"/>
      <w:lvlJc w:val="left"/>
      <w:pPr>
        <w:ind w:left="6955" w:hanging="584"/>
      </w:pPr>
      <w:rPr>
        <w:rFonts w:hint="default"/>
        <w:lang w:val="zh-CN" w:eastAsia="zh-CN" w:bidi="zh-CN"/>
      </w:rPr>
    </w:lvl>
    <w:lvl w:ilvl="7" w:tplc="AE6AC7D6">
      <w:numFmt w:val="bullet"/>
      <w:lvlText w:val="•"/>
      <w:lvlJc w:val="left"/>
      <w:pPr>
        <w:ind w:left="7878" w:hanging="584"/>
      </w:pPr>
      <w:rPr>
        <w:rFonts w:hint="default"/>
        <w:lang w:val="zh-CN" w:eastAsia="zh-CN" w:bidi="zh-CN"/>
      </w:rPr>
    </w:lvl>
    <w:lvl w:ilvl="8" w:tplc="D07A9160">
      <w:numFmt w:val="bullet"/>
      <w:lvlText w:val="•"/>
      <w:lvlJc w:val="left"/>
      <w:pPr>
        <w:ind w:left="8801" w:hanging="584"/>
      </w:pPr>
      <w:rPr>
        <w:rFonts w:hint="default"/>
        <w:lang w:val="zh-CN" w:eastAsia="zh-CN" w:bidi="zh-CN"/>
      </w:rPr>
    </w:lvl>
  </w:abstractNum>
  <w:abstractNum w:abstractNumId="814" w15:restartNumberingAfterBreak="0">
    <w:nsid w:val="6BAB4E04"/>
    <w:multiLevelType w:val="hybridMultilevel"/>
    <w:tmpl w:val="79D4417A"/>
    <w:lvl w:ilvl="0" w:tplc="59CA35B8">
      <w:start w:val="10"/>
      <w:numFmt w:val="decimal"/>
      <w:lvlText w:val="%1"/>
      <w:lvlJc w:val="left"/>
      <w:pPr>
        <w:ind w:left="1263" w:hanging="424"/>
        <w:jc w:val="left"/>
      </w:pPr>
      <w:rPr>
        <w:rFonts w:hint="default"/>
        <w:lang w:val="zh-CN" w:eastAsia="zh-CN" w:bidi="zh-CN"/>
      </w:rPr>
    </w:lvl>
    <w:lvl w:ilvl="1" w:tplc="2D9C2868">
      <w:start w:val="1"/>
      <w:numFmt w:val="decimal"/>
      <w:lvlText w:val="%1.%2"/>
      <w:lvlJc w:val="left"/>
      <w:pPr>
        <w:ind w:left="1263" w:hanging="424"/>
        <w:jc w:val="left"/>
      </w:pPr>
      <w:rPr>
        <w:rFonts w:ascii="宋体" w:eastAsia="宋体" w:hAnsi="宋体" w:cs="宋体" w:hint="default"/>
        <w:b/>
        <w:bCs/>
        <w:w w:val="99"/>
        <w:sz w:val="19"/>
        <w:szCs w:val="19"/>
        <w:lang w:val="zh-CN" w:eastAsia="zh-CN" w:bidi="zh-CN"/>
      </w:rPr>
    </w:lvl>
    <w:lvl w:ilvl="2" w:tplc="874CE53C">
      <w:start w:val="1"/>
      <w:numFmt w:val="decimal"/>
      <w:lvlText w:val="%1.%2.%3"/>
      <w:lvlJc w:val="left"/>
      <w:pPr>
        <w:ind w:left="1477" w:hanging="637"/>
        <w:jc w:val="left"/>
      </w:pPr>
      <w:rPr>
        <w:rFonts w:ascii="宋体" w:eastAsia="宋体" w:hAnsi="宋体" w:cs="宋体" w:hint="default"/>
        <w:b/>
        <w:bCs/>
        <w:w w:val="99"/>
        <w:sz w:val="19"/>
        <w:szCs w:val="19"/>
        <w:lang w:val="zh-CN" w:eastAsia="zh-CN" w:bidi="zh-CN"/>
      </w:rPr>
    </w:lvl>
    <w:lvl w:ilvl="3" w:tplc="E26865EE">
      <w:numFmt w:val="bullet"/>
      <w:lvlText w:val="•"/>
      <w:lvlJc w:val="left"/>
      <w:pPr>
        <w:ind w:left="2625" w:hanging="637"/>
      </w:pPr>
      <w:rPr>
        <w:rFonts w:hint="default"/>
        <w:lang w:val="zh-CN" w:eastAsia="zh-CN" w:bidi="zh-CN"/>
      </w:rPr>
    </w:lvl>
    <w:lvl w:ilvl="4" w:tplc="C0F61EEE">
      <w:numFmt w:val="bullet"/>
      <w:lvlText w:val="•"/>
      <w:lvlJc w:val="left"/>
      <w:pPr>
        <w:ind w:left="3771" w:hanging="637"/>
      </w:pPr>
      <w:rPr>
        <w:rFonts w:hint="default"/>
        <w:lang w:val="zh-CN" w:eastAsia="zh-CN" w:bidi="zh-CN"/>
      </w:rPr>
    </w:lvl>
    <w:lvl w:ilvl="5" w:tplc="DDB4DE66">
      <w:numFmt w:val="bullet"/>
      <w:lvlText w:val="•"/>
      <w:lvlJc w:val="left"/>
      <w:pPr>
        <w:ind w:left="4917" w:hanging="637"/>
      </w:pPr>
      <w:rPr>
        <w:rFonts w:hint="default"/>
        <w:lang w:val="zh-CN" w:eastAsia="zh-CN" w:bidi="zh-CN"/>
      </w:rPr>
    </w:lvl>
    <w:lvl w:ilvl="6" w:tplc="A5704D50">
      <w:numFmt w:val="bullet"/>
      <w:lvlText w:val="•"/>
      <w:lvlJc w:val="left"/>
      <w:pPr>
        <w:ind w:left="6063" w:hanging="637"/>
      </w:pPr>
      <w:rPr>
        <w:rFonts w:hint="default"/>
        <w:lang w:val="zh-CN" w:eastAsia="zh-CN" w:bidi="zh-CN"/>
      </w:rPr>
    </w:lvl>
    <w:lvl w:ilvl="7" w:tplc="85A0B7B8">
      <w:numFmt w:val="bullet"/>
      <w:lvlText w:val="•"/>
      <w:lvlJc w:val="left"/>
      <w:pPr>
        <w:ind w:left="7209" w:hanging="637"/>
      </w:pPr>
      <w:rPr>
        <w:rFonts w:hint="default"/>
        <w:lang w:val="zh-CN" w:eastAsia="zh-CN" w:bidi="zh-CN"/>
      </w:rPr>
    </w:lvl>
    <w:lvl w:ilvl="8" w:tplc="C1B86998">
      <w:numFmt w:val="bullet"/>
      <w:lvlText w:val="•"/>
      <w:lvlJc w:val="left"/>
      <w:pPr>
        <w:ind w:left="8354" w:hanging="637"/>
      </w:pPr>
      <w:rPr>
        <w:rFonts w:hint="default"/>
        <w:lang w:val="zh-CN" w:eastAsia="zh-CN" w:bidi="zh-CN"/>
      </w:rPr>
    </w:lvl>
  </w:abstractNum>
  <w:abstractNum w:abstractNumId="815" w15:restartNumberingAfterBreak="0">
    <w:nsid w:val="6BC36D08"/>
    <w:multiLevelType w:val="hybridMultilevel"/>
    <w:tmpl w:val="57CC96BE"/>
    <w:lvl w:ilvl="0" w:tplc="95A68B84">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B6EC2490">
      <w:numFmt w:val="bullet"/>
      <w:lvlText w:val="•"/>
      <w:lvlJc w:val="left"/>
      <w:pPr>
        <w:ind w:left="2288" w:hanging="529"/>
      </w:pPr>
      <w:rPr>
        <w:rFonts w:hint="default"/>
        <w:lang w:val="zh-CN" w:eastAsia="zh-CN" w:bidi="zh-CN"/>
      </w:rPr>
    </w:lvl>
    <w:lvl w:ilvl="2" w:tplc="01AED2AC">
      <w:numFmt w:val="bullet"/>
      <w:lvlText w:val="•"/>
      <w:lvlJc w:val="left"/>
      <w:pPr>
        <w:ind w:left="3217" w:hanging="529"/>
      </w:pPr>
      <w:rPr>
        <w:rFonts w:hint="default"/>
        <w:lang w:val="zh-CN" w:eastAsia="zh-CN" w:bidi="zh-CN"/>
      </w:rPr>
    </w:lvl>
    <w:lvl w:ilvl="3" w:tplc="9ABE026C">
      <w:numFmt w:val="bullet"/>
      <w:lvlText w:val="•"/>
      <w:lvlJc w:val="left"/>
      <w:pPr>
        <w:ind w:left="4145" w:hanging="529"/>
      </w:pPr>
      <w:rPr>
        <w:rFonts w:hint="default"/>
        <w:lang w:val="zh-CN" w:eastAsia="zh-CN" w:bidi="zh-CN"/>
      </w:rPr>
    </w:lvl>
    <w:lvl w:ilvl="4" w:tplc="3FBC7C1E">
      <w:numFmt w:val="bullet"/>
      <w:lvlText w:val="•"/>
      <w:lvlJc w:val="left"/>
      <w:pPr>
        <w:ind w:left="5074" w:hanging="529"/>
      </w:pPr>
      <w:rPr>
        <w:rFonts w:hint="default"/>
        <w:lang w:val="zh-CN" w:eastAsia="zh-CN" w:bidi="zh-CN"/>
      </w:rPr>
    </w:lvl>
    <w:lvl w:ilvl="5" w:tplc="1B7843EE">
      <w:numFmt w:val="bullet"/>
      <w:lvlText w:val="•"/>
      <w:lvlJc w:val="left"/>
      <w:pPr>
        <w:ind w:left="6003" w:hanging="529"/>
      </w:pPr>
      <w:rPr>
        <w:rFonts w:hint="default"/>
        <w:lang w:val="zh-CN" w:eastAsia="zh-CN" w:bidi="zh-CN"/>
      </w:rPr>
    </w:lvl>
    <w:lvl w:ilvl="6" w:tplc="68725E1E">
      <w:numFmt w:val="bullet"/>
      <w:lvlText w:val="•"/>
      <w:lvlJc w:val="left"/>
      <w:pPr>
        <w:ind w:left="6931" w:hanging="529"/>
      </w:pPr>
      <w:rPr>
        <w:rFonts w:hint="default"/>
        <w:lang w:val="zh-CN" w:eastAsia="zh-CN" w:bidi="zh-CN"/>
      </w:rPr>
    </w:lvl>
    <w:lvl w:ilvl="7" w:tplc="1EA87DCE">
      <w:numFmt w:val="bullet"/>
      <w:lvlText w:val="•"/>
      <w:lvlJc w:val="left"/>
      <w:pPr>
        <w:ind w:left="7860" w:hanging="529"/>
      </w:pPr>
      <w:rPr>
        <w:rFonts w:hint="default"/>
        <w:lang w:val="zh-CN" w:eastAsia="zh-CN" w:bidi="zh-CN"/>
      </w:rPr>
    </w:lvl>
    <w:lvl w:ilvl="8" w:tplc="A8C87902">
      <w:numFmt w:val="bullet"/>
      <w:lvlText w:val="•"/>
      <w:lvlJc w:val="left"/>
      <w:pPr>
        <w:ind w:left="8789" w:hanging="529"/>
      </w:pPr>
      <w:rPr>
        <w:rFonts w:hint="default"/>
        <w:lang w:val="zh-CN" w:eastAsia="zh-CN" w:bidi="zh-CN"/>
      </w:rPr>
    </w:lvl>
  </w:abstractNum>
  <w:abstractNum w:abstractNumId="816" w15:restartNumberingAfterBreak="0">
    <w:nsid w:val="6BD4783D"/>
    <w:multiLevelType w:val="hybridMultilevel"/>
    <w:tmpl w:val="3762064A"/>
    <w:lvl w:ilvl="0" w:tplc="BBB48964">
      <w:start w:val="1"/>
      <w:numFmt w:val="decimal"/>
      <w:lvlText w:val="（%1）"/>
      <w:lvlJc w:val="left"/>
      <w:pPr>
        <w:ind w:left="418" w:hanging="532"/>
        <w:jc w:val="left"/>
      </w:pPr>
      <w:rPr>
        <w:rFonts w:ascii="宋体" w:eastAsia="宋体" w:hAnsi="宋体" w:cs="宋体" w:hint="default"/>
        <w:spacing w:val="0"/>
        <w:w w:val="100"/>
        <w:sz w:val="19"/>
        <w:szCs w:val="19"/>
        <w:lang w:val="zh-CN" w:eastAsia="zh-CN" w:bidi="zh-CN"/>
      </w:rPr>
    </w:lvl>
    <w:lvl w:ilvl="1" w:tplc="2C34212C">
      <w:numFmt w:val="bullet"/>
      <w:lvlText w:val="•"/>
      <w:lvlJc w:val="left"/>
      <w:pPr>
        <w:ind w:left="1442" w:hanging="532"/>
      </w:pPr>
      <w:rPr>
        <w:rFonts w:hint="default"/>
        <w:lang w:val="zh-CN" w:eastAsia="zh-CN" w:bidi="zh-CN"/>
      </w:rPr>
    </w:lvl>
    <w:lvl w:ilvl="2" w:tplc="00D44394">
      <w:numFmt w:val="bullet"/>
      <w:lvlText w:val="•"/>
      <w:lvlJc w:val="left"/>
      <w:pPr>
        <w:ind w:left="2465" w:hanging="532"/>
      </w:pPr>
      <w:rPr>
        <w:rFonts w:hint="default"/>
        <w:lang w:val="zh-CN" w:eastAsia="zh-CN" w:bidi="zh-CN"/>
      </w:rPr>
    </w:lvl>
    <w:lvl w:ilvl="3" w:tplc="E9BC6D32">
      <w:numFmt w:val="bullet"/>
      <w:lvlText w:val="•"/>
      <w:lvlJc w:val="left"/>
      <w:pPr>
        <w:ind w:left="3487" w:hanging="532"/>
      </w:pPr>
      <w:rPr>
        <w:rFonts w:hint="default"/>
        <w:lang w:val="zh-CN" w:eastAsia="zh-CN" w:bidi="zh-CN"/>
      </w:rPr>
    </w:lvl>
    <w:lvl w:ilvl="4" w:tplc="7CF8CCBA">
      <w:numFmt w:val="bullet"/>
      <w:lvlText w:val="•"/>
      <w:lvlJc w:val="left"/>
      <w:pPr>
        <w:ind w:left="4510" w:hanging="532"/>
      </w:pPr>
      <w:rPr>
        <w:rFonts w:hint="default"/>
        <w:lang w:val="zh-CN" w:eastAsia="zh-CN" w:bidi="zh-CN"/>
      </w:rPr>
    </w:lvl>
    <w:lvl w:ilvl="5" w:tplc="92A0A64A">
      <w:numFmt w:val="bullet"/>
      <w:lvlText w:val="•"/>
      <w:lvlJc w:val="left"/>
      <w:pPr>
        <w:ind w:left="5533" w:hanging="532"/>
      </w:pPr>
      <w:rPr>
        <w:rFonts w:hint="default"/>
        <w:lang w:val="zh-CN" w:eastAsia="zh-CN" w:bidi="zh-CN"/>
      </w:rPr>
    </w:lvl>
    <w:lvl w:ilvl="6" w:tplc="EDD4A668">
      <w:numFmt w:val="bullet"/>
      <w:lvlText w:val="•"/>
      <w:lvlJc w:val="left"/>
      <w:pPr>
        <w:ind w:left="6555" w:hanging="532"/>
      </w:pPr>
      <w:rPr>
        <w:rFonts w:hint="default"/>
        <w:lang w:val="zh-CN" w:eastAsia="zh-CN" w:bidi="zh-CN"/>
      </w:rPr>
    </w:lvl>
    <w:lvl w:ilvl="7" w:tplc="6F9E99FC">
      <w:numFmt w:val="bullet"/>
      <w:lvlText w:val="•"/>
      <w:lvlJc w:val="left"/>
      <w:pPr>
        <w:ind w:left="7578" w:hanging="532"/>
      </w:pPr>
      <w:rPr>
        <w:rFonts w:hint="default"/>
        <w:lang w:val="zh-CN" w:eastAsia="zh-CN" w:bidi="zh-CN"/>
      </w:rPr>
    </w:lvl>
    <w:lvl w:ilvl="8" w:tplc="F28C746C">
      <w:numFmt w:val="bullet"/>
      <w:lvlText w:val="•"/>
      <w:lvlJc w:val="left"/>
      <w:pPr>
        <w:ind w:left="8601" w:hanging="532"/>
      </w:pPr>
      <w:rPr>
        <w:rFonts w:hint="default"/>
        <w:lang w:val="zh-CN" w:eastAsia="zh-CN" w:bidi="zh-CN"/>
      </w:rPr>
    </w:lvl>
  </w:abstractNum>
  <w:abstractNum w:abstractNumId="817" w15:restartNumberingAfterBreak="0">
    <w:nsid w:val="6BF908CC"/>
    <w:multiLevelType w:val="hybridMultilevel"/>
    <w:tmpl w:val="7B1A1CFC"/>
    <w:lvl w:ilvl="0" w:tplc="49747B96">
      <w:start w:val="5"/>
      <w:numFmt w:val="decimal"/>
      <w:lvlText w:val="%1"/>
      <w:lvlJc w:val="left"/>
      <w:pPr>
        <w:ind w:left="1158" w:hanging="318"/>
        <w:jc w:val="left"/>
      </w:pPr>
      <w:rPr>
        <w:rFonts w:hint="default"/>
        <w:lang w:val="zh-CN" w:eastAsia="zh-CN" w:bidi="zh-CN"/>
      </w:rPr>
    </w:lvl>
    <w:lvl w:ilvl="1" w:tplc="8640EE52">
      <w:start w:val="3"/>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801A058A">
      <w:start w:val="1"/>
      <w:numFmt w:val="decimal"/>
      <w:lvlText w:val="%1.%2.%3"/>
      <w:lvlJc w:val="left"/>
      <w:pPr>
        <w:ind w:left="1369" w:hanging="529"/>
        <w:jc w:val="left"/>
      </w:pPr>
      <w:rPr>
        <w:rFonts w:ascii="宋体" w:eastAsia="宋体" w:hAnsi="宋体" w:cs="宋体" w:hint="default"/>
        <w:b/>
        <w:bCs/>
        <w:spacing w:val="-3"/>
        <w:w w:val="99"/>
        <w:sz w:val="19"/>
        <w:szCs w:val="19"/>
        <w:lang w:val="zh-CN" w:eastAsia="zh-CN" w:bidi="zh-CN"/>
      </w:rPr>
    </w:lvl>
    <w:lvl w:ilvl="3" w:tplc="D39485BE">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499C4970">
      <w:numFmt w:val="bullet"/>
      <w:lvlText w:val="•"/>
      <w:lvlJc w:val="left"/>
      <w:pPr>
        <w:ind w:left="1580" w:hanging="738"/>
      </w:pPr>
      <w:rPr>
        <w:rFonts w:hint="default"/>
        <w:lang w:val="zh-CN" w:eastAsia="zh-CN" w:bidi="zh-CN"/>
      </w:rPr>
    </w:lvl>
    <w:lvl w:ilvl="5" w:tplc="D9FC2382">
      <w:numFmt w:val="bullet"/>
      <w:lvlText w:val="•"/>
      <w:lvlJc w:val="left"/>
      <w:pPr>
        <w:ind w:left="3091" w:hanging="738"/>
      </w:pPr>
      <w:rPr>
        <w:rFonts w:hint="default"/>
        <w:lang w:val="zh-CN" w:eastAsia="zh-CN" w:bidi="zh-CN"/>
      </w:rPr>
    </w:lvl>
    <w:lvl w:ilvl="6" w:tplc="A582F6C8">
      <w:numFmt w:val="bullet"/>
      <w:lvlText w:val="•"/>
      <w:lvlJc w:val="left"/>
      <w:pPr>
        <w:ind w:left="4602" w:hanging="738"/>
      </w:pPr>
      <w:rPr>
        <w:rFonts w:hint="default"/>
        <w:lang w:val="zh-CN" w:eastAsia="zh-CN" w:bidi="zh-CN"/>
      </w:rPr>
    </w:lvl>
    <w:lvl w:ilvl="7" w:tplc="21DE9474">
      <w:numFmt w:val="bullet"/>
      <w:lvlText w:val="•"/>
      <w:lvlJc w:val="left"/>
      <w:pPr>
        <w:ind w:left="6113" w:hanging="738"/>
      </w:pPr>
      <w:rPr>
        <w:rFonts w:hint="default"/>
        <w:lang w:val="zh-CN" w:eastAsia="zh-CN" w:bidi="zh-CN"/>
      </w:rPr>
    </w:lvl>
    <w:lvl w:ilvl="8" w:tplc="9F0AEFE6">
      <w:numFmt w:val="bullet"/>
      <w:lvlText w:val="•"/>
      <w:lvlJc w:val="left"/>
      <w:pPr>
        <w:ind w:left="7624" w:hanging="738"/>
      </w:pPr>
      <w:rPr>
        <w:rFonts w:hint="default"/>
        <w:lang w:val="zh-CN" w:eastAsia="zh-CN" w:bidi="zh-CN"/>
      </w:rPr>
    </w:lvl>
  </w:abstractNum>
  <w:abstractNum w:abstractNumId="818" w15:restartNumberingAfterBreak="0">
    <w:nsid w:val="6C1E1AD6"/>
    <w:multiLevelType w:val="hybridMultilevel"/>
    <w:tmpl w:val="984C0334"/>
    <w:lvl w:ilvl="0" w:tplc="3BE2BCBE">
      <w:start w:val="5"/>
      <w:numFmt w:val="decimal"/>
      <w:lvlText w:val="%1"/>
      <w:lvlJc w:val="left"/>
      <w:pPr>
        <w:ind w:left="1158" w:hanging="318"/>
        <w:jc w:val="left"/>
      </w:pPr>
      <w:rPr>
        <w:rFonts w:hint="default"/>
        <w:lang w:val="zh-CN" w:eastAsia="zh-CN" w:bidi="zh-CN"/>
      </w:rPr>
    </w:lvl>
    <w:lvl w:ilvl="1" w:tplc="62609338">
      <w:start w:val="3"/>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4EA69010">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275EAD8A">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3576535E">
      <w:start w:val="1"/>
      <w:numFmt w:val="decimal"/>
      <w:lvlText w:val="%1.%2.%3.%4.%5"/>
      <w:lvlJc w:val="left"/>
      <w:pPr>
        <w:ind w:left="418" w:hanging="950"/>
        <w:jc w:val="left"/>
      </w:pPr>
      <w:rPr>
        <w:rFonts w:ascii="宋体" w:eastAsia="宋体" w:hAnsi="宋体" w:cs="宋体" w:hint="default"/>
        <w:spacing w:val="-3"/>
        <w:w w:val="100"/>
        <w:sz w:val="19"/>
        <w:szCs w:val="19"/>
        <w:lang w:val="zh-CN" w:eastAsia="zh-CN" w:bidi="zh-CN"/>
      </w:rPr>
    </w:lvl>
    <w:lvl w:ilvl="5" w:tplc="BFEEB6F2">
      <w:numFmt w:val="bullet"/>
      <w:lvlText w:val="•"/>
      <w:lvlJc w:val="left"/>
      <w:pPr>
        <w:ind w:left="3091" w:hanging="950"/>
      </w:pPr>
      <w:rPr>
        <w:rFonts w:hint="default"/>
        <w:lang w:val="zh-CN" w:eastAsia="zh-CN" w:bidi="zh-CN"/>
      </w:rPr>
    </w:lvl>
    <w:lvl w:ilvl="6" w:tplc="DB00124A">
      <w:numFmt w:val="bullet"/>
      <w:lvlText w:val="•"/>
      <w:lvlJc w:val="left"/>
      <w:pPr>
        <w:ind w:left="4602" w:hanging="950"/>
      </w:pPr>
      <w:rPr>
        <w:rFonts w:hint="default"/>
        <w:lang w:val="zh-CN" w:eastAsia="zh-CN" w:bidi="zh-CN"/>
      </w:rPr>
    </w:lvl>
    <w:lvl w:ilvl="7" w:tplc="F8EE8996">
      <w:numFmt w:val="bullet"/>
      <w:lvlText w:val="•"/>
      <w:lvlJc w:val="left"/>
      <w:pPr>
        <w:ind w:left="6113" w:hanging="950"/>
      </w:pPr>
      <w:rPr>
        <w:rFonts w:hint="default"/>
        <w:lang w:val="zh-CN" w:eastAsia="zh-CN" w:bidi="zh-CN"/>
      </w:rPr>
    </w:lvl>
    <w:lvl w:ilvl="8" w:tplc="BAB2C400">
      <w:numFmt w:val="bullet"/>
      <w:lvlText w:val="•"/>
      <w:lvlJc w:val="left"/>
      <w:pPr>
        <w:ind w:left="7624" w:hanging="950"/>
      </w:pPr>
      <w:rPr>
        <w:rFonts w:hint="default"/>
        <w:lang w:val="zh-CN" w:eastAsia="zh-CN" w:bidi="zh-CN"/>
      </w:rPr>
    </w:lvl>
  </w:abstractNum>
  <w:abstractNum w:abstractNumId="819" w15:restartNumberingAfterBreak="0">
    <w:nsid w:val="6CDF075C"/>
    <w:multiLevelType w:val="hybridMultilevel"/>
    <w:tmpl w:val="2F984B2E"/>
    <w:lvl w:ilvl="0" w:tplc="9A2E645A">
      <w:start w:val="1"/>
      <w:numFmt w:val="decimal"/>
      <w:lvlText w:val="（%1）"/>
      <w:lvlJc w:val="left"/>
      <w:pPr>
        <w:ind w:left="418" w:hanging="529"/>
        <w:jc w:val="left"/>
      </w:pPr>
      <w:rPr>
        <w:rFonts w:ascii="宋体" w:eastAsia="宋体" w:hAnsi="宋体" w:cs="宋体" w:hint="default"/>
        <w:spacing w:val="-48"/>
        <w:w w:val="100"/>
        <w:sz w:val="19"/>
        <w:szCs w:val="19"/>
        <w:lang w:val="zh-CN" w:eastAsia="zh-CN" w:bidi="zh-CN"/>
      </w:rPr>
    </w:lvl>
    <w:lvl w:ilvl="1" w:tplc="4D3C5CE8">
      <w:numFmt w:val="bullet"/>
      <w:lvlText w:val="•"/>
      <w:lvlJc w:val="left"/>
      <w:pPr>
        <w:ind w:left="1442" w:hanging="529"/>
      </w:pPr>
      <w:rPr>
        <w:rFonts w:hint="default"/>
        <w:lang w:val="zh-CN" w:eastAsia="zh-CN" w:bidi="zh-CN"/>
      </w:rPr>
    </w:lvl>
    <w:lvl w:ilvl="2" w:tplc="899A4514">
      <w:numFmt w:val="bullet"/>
      <w:lvlText w:val="•"/>
      <w:lvlJc w:val="left"/>
      <w:pPr>
        <w:ind w:left="2465" w:hanging="529"/>
      </w:pPr>
      <w:rPr>
        <w:rFonts w:hint="default"/>
        <w:lang w:val="zh-CN" w:eastAsia="zh-CN" w:bidi="zh-CN"/>
      </w:rPr>
    </w:lvl>
    <w:lvl w:ilvl="3" w:tplc="88604F2C">
      <w:numFmt w:val="bullet"/>
      <w:lvlText w:val="•"/>
      <w:lvlJc w:val="left"/>
      <w:pPr>
        <w:ind w:left="3487" w:hanging="529"/>
      </w:pPr>
      <w:rPr>
        <w:rFonts w:hint="default"/>
        <w:lang w:val="zh-CN" w:eastAsia="zh-CN" w:bidi="zh-CN"/>
      </w:rPr>
    </w:lvl>
    <w:lvl w:ilvl="4" w:tplc="C79C3B16">
      <w:numFmt w:val="bullet"/>
      <w:lvlText w:val="•"/>
      <w:lvlJc w:val="left"/>
      <w:pPr>
        <w:ind w:left="4510" w:hanging="529"/>
      </w:pPr>
      <w:rPr>
        <w:rFonts w:hint="default"/>
        <w:lang w:val="zh-CN" w:eastAsia="zh-CN" w:bidi="zh-CN"/>
      </w:rPr>
    </w:lvl>
    <w:lvl w:ilvl="5" w:tplc="2E003BD4">
      <w:numFmt w:val="bullet"/>
      <w:lvlText w:val="•"/>
      <w:lvlJc w:val="left"/>
      <w:pPr>
        <w:ind w:left="5533" w:hanging="529"/>
      </w:pPr>
      <w:rPr>
        <w:rFonts w:hint="default"/>
        <w:lang w:val="zh-CN" w:eastAsia="zh-CN" w:bidi="zh-CN"/>
      </w:rPr>
    </w:lvl>
    <w:lvl w:ilvl="6" w:tplc="8D64C494">
      <w:numFmt w:val="bullet"/>
      <w:lvlText w:val="•"/>
      <w:lvlJc w:val="left"/>
      <w:pPr>
        <w:ind w:left="6555" w:hanging="529"/>
      </w:pPr>
      <w:rPr>
        <w:rFonts w:hint="default"/>
        <w:lang w:val="zh-CN" w:eastAsia="zh-CN" w:bidi="zh-CN"/>
      </w:rPr>
    </w:lvl>
    <w:lvl w:ilvl="7" w:tplc="E3B2C8F4">
      <w:numFmt w:val="bullet"/>
      <w:lvlText w:val="•"/>
      <w:lvlJc w:val="left"/>
      <w:pPr>
        <w:ind w:left="7578" w:hanging="529"/>
      </w:pPr>
      <w:rPr>
        <w:rFonts w:hint="default"/>
        <w:lang w:val="zh-CN" w:eastAsia="zh-CN" w:bidi="zh-CN"/>
      </w:rPr>
    </w:lvl>
    <w:lvl w:ilvl="8" w:tplc="E990C494">
      <w:numFmt w:val="bullet"/>
      <w:lvlText w:val="•"/>
      <w:lvlJc w:val="left"/>
      <w:pPr>
        <w:ind w:left="8601" w:hanging="529"/>
      </w:pPr>
      <w:rPr>
        <w:rFonts w:hint="default"/>
        <w:lang w:val="zh-CN" w:eastAsia="zh-CN" w:bidi="zh-CN"/>
      </w:rPr>
    </w:lvl>
  </w:abstractNum>
  <w:abstractNum w:abstractNumId="820" w15:restartNumberingAfterBreak="0">
    <w:nsid w:val="6CE443B1"/>
    <w:multiLevelType w:val="hybridMultilevel"/>
    <w:tmpl w:val="426C78BA"/>
    <w:lvl w:ilvl="0" w:tplc="04687D66">
      <w:start w:val="7"/>
      <w:numFmt w:val="decimal"/>
      <w:lvlText w:val="%1"/>
      <w:lvlJc w:val="left"/>
      <w:pPr>
        <w:ind w:left="418" w:hanging="529"/>
        <w:jc w:val="left"/>
      </w:pPr>
      <w:rPr>
        <w:rFonts w:hint="default"/>
        <w:lang w:val="zh-CN" w:eastAsia="zh-CN" w:bidi="zh-CN"/>
      </w:rPr>
    </w:lvl>
    <w:lvl w:ilvl="1" w:tplc="3342DF4E">
      <w:start w:val="6"/>
      <w:numFmt w:val="decimal"/>
      <w:lvlText w:val="%1.%2"/>
      <w:lvlJc w:val="left"/>
      <w:pPr>
        <w:ind w:left="418" w:hanging="529"/>
        <w:jc w:val="left"/>
      </w:pPr>
      <w:rPr>
        <w:rFonts w:hint="default"/>
        <w:lang w:val="zh-CN" w:eastAsia="zh-CN" w:bidi="zh-CN"/>
      </w:rPr>
    </w:lvl>
    <w:lvl w:ilvl="2" w:tplc="744858F2">
      <w:start w:val="1"/>
      <w:numFmt w:val="decimal"/>
      <w:lvlText w:val="%1.%2.%3"/>
      <w:lvlJc w:val="left"/>
      <w:pPr>
        <w:ind w:left="418" w:hanging="529"/>
        <w:jc w:val="left"/>
      </w:pPr>
      <w:rPr>
        <w:rFonts w:ascii="宋体" w:eastAsia="宋体" w:hAnsi="宋体" w:cs="宋体" w:hint="default"/>
        <w:b/>
        <w:bCs/>
        <w:spacing w:val="-3"/>
        <w:w w:val="99"/>
        <w:sz w:val="19"/>
        <w:szCs w:val="19"/>
        <w:lang w:val="zh-CN" w:eastAsia="zh-CN" w:bidi="zh-CN"/>
      </w:rPr>
    </w:lvl>
    <w:lvl w:ilvl="3" w:tplc="91C25842">
      <w:numFmt w:val="bullet"/>
      <w:lvlText w:val="•"/>
      <w:lvlJc w:val="left"/>
      <w:pPr>
        <w:ind w:left="3487" w:hanging="529"/>
      </w:pPr>
      <w:rPr>
        <w:rFonts w:hint="default"/>
        <w:lang w:val="zh-CN" w:eastAsia="zh-CN" w:bidi="zh-CN"/>
      </w:rPr>
    </w:lvl>
    <w:lvl w:ilvl="4" w:tplc="4F606D82">
      <w:numFmt w:val="bullet"/>
      <w:lvlText w:val="•"/>
      <w:lvlJc w:val="left"/>
      <w:pPr>
        <w:ind w:left="4510" w:hanging="529"/>
      </w:pPr>
      <w:rPr>
        <w:rFonts w:hint="default"/>
        <w:lang w:val="zh-CN" w:eastAsia="zh-CN" w:bidi="zh-CN"/>
      </w:rPr>
    </w:lvl>
    <w:lvl w:ilvl="5" w:tplc="7662F58E">
      <w:numFmt w:val="bullet"/>
      <w:lvlText w:val="•"/>
      <w:lvlJc w:val="left"/>
      <w:pPr>
        <w:ind w:left="5533" w:hanging="529"/>
      </w:pPr>
      <w:rPr>
        <w:rFonts w:hint="default"/>
        <w:lang w:val="zh-CN" w:eastAsia="zh-CN" w:bidi="zh-CN"/>
      </w:rPr>
    </w:lvl>
    <w:lvl w:ilvl="6" w:tplc="DCF2E5D8">
      <w:numFmt w:val="bullet"/>
      <w:lvlText w:val="•"/>
      <w:lvlJc w:val="left"/>
      <w:pPr>
        <w:ind w:left="6555" w:hanging="529"/>
      </w:pPr>
      <w:rPr>
        <w:rFonts w:hint="default"/>
        <w:lang w:val="zh-CN" w:eastAsia="zh-CN" w:bidi="zh-CN"/>
      </w:rPr>
    </w:lvl>
    <w:lvl w:ilvl="7" w:tplc="10A867F6">
      <w:numFmt w:val="bullet"/>
      <w:lvlText w:val="•"/>
      <w:lvlJc w:val="left"/>
      <w:pPr>
        <w:ind w:left="7578" w:hanging="529"/>
      </w:pPr>
      <w:rPr>
        <w:rFonts w:hint="default"/>
        <w:lang w:val="zh-CN" w:eastAsia="zh-CN" w:bidi="zh-CN"/>
      </w:rPr>
    </w:lvl>
    <w:lvl w:ilvl="8" w:tplc="C242000E">
      <w:numFmt w:val="bullet"/>
      <w:lvlText w:val="•"/>
      <w:lvlJc w:val="left"/>
      <w:pPr>
        <w:ind w:left="8601" w:hanging="529"/>
      </w:pPr>
      <w:rPr>
        <w:rFonts w:hint="default"/>
        <w:lang w:val="zh-CN" w:eastAsia="zh-CN" w:bidi="zh-CN"/>
      </w:rPr>
    </w:lvl>
  </w:abstractNum>
  <w:abstractNum w:abstractNumId="821" w15:restartNumberingAfterBreak="0">
    <w:nsid w:val="6CF71A98"/>
    <w:multiLevelType w:val="hybridMultilevel"/>
    <w:tmpl w:val="BD32DCE2"/>
    <w:lvl w:ilvl="0" w:tplc="836AE1AC">
      <w:start w:val="6"/>
      <w:numFmt w:val="decimal"/>
      <w:lvlText w:val="%1"/>
      <w:lvlJc w:val="left"/>
      <w:pPr>
        <w:ind w:left="1158" w:hanging="318"/>
        <w:jc w:val="left"/>
      </w:pPr>
      <w:rPr>
        <w:rFonts w:hint="default"/>
        <w:lang w:val="zh-CN" w:eastAsia="zh-CN" w:bidi="zh-CN"/>
      </w:rPr>
    </w:lvl>
    <w:lvl w:ilvl="1" w:tplc="37D41094">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83340202">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7F9CE81C">
      <w:numFmt w:val="bullet"/>
      <w:lvlText w:val="•"/>
      <w:lvlJc w:val="left"/>
      <w:pPr>
        <w:ind w:left="3268" w:hanging="531"/>
      </w:pPr>
      <w:rPr>
        <w:rFonts w:hint="default"/>
        <w:lang w:val="zh-CN" w:eastAsia="zh-CN" w:bidi="zh-CN"/>
      </w:rPr>
    </w:lvl>
    <w:lvl w:ilvl="4" w:tplc="2DE40316">
      <w:numFmt w:val="bullet"/>
      <w:lvlText w:val="•"/>
      <w:lvlJc w:val="left"/>
      <w:pPr>
        <w:ind w:left="4322" w:hanging="531"/>
      </w:pPr>
      <w:rPr>
        <w:rFonts w:hint="default"/>
        <w:lang w:val="zh-CN" w:eastAsia="zh-CN" w:bidi="zh-CN"/>
      </w:rPr>
    </w:lvl>
    <w:lvl w:ilvl="5" w:tplc="A7921400">
      <w:numFmt w:val="bullet"/>
      <w:lvlText w:val="•"/>
      <w:lvlJc w:val="left"/>
      <w:pPr>
        <w:ind w:left="5376" w:hanging="531"/>
      </w:pPr>
      <w:rPr>
        <w:rFonts w:hint="default"/>
        <w:lang w:val="zh-CN" w:eastAsia="zh-CN" w:bidi="zh-CN"/>
      </w:rPr>
    </w:lvl>
    <w:lvl w:ilvl="6" w:tplc="83D8885A">
      <w:numFmt w:val="bullet"/>
      <w:lvlText w:val="•"/>
      <w:lvlJc w:val="left"/>
      <w:pPr>
        <w:ind w:left="6430" w:hanging="531"/>
      </w:pPr>
      <w:rPr>
        <w:rFonts w:hint="default"/>
        <w:lang w:val="zh-CN" w:eastAsia="zh-CN" w:bidi="zh-CN"/>
      </w:rPr>
    </w:lvl>
    <w:lvl w:ilvl="7" w:tplc="8AC2BB08">
      <w:numFmt w:val="bullet"/>
      <w:lvlText w:val="•"/>
      <w:lvlJc w:val="left"/>
      <w:pPr>
        <w:ind w:left="7484" w:hanging="531"/>
      </w:pPr>
      <w:rPr>
        <w:rFonts w:hint="default"/>
        <w:lang w:val="zh-CN" w:eastAsia="zh-CN" w:bidi="zh-CN"/>
      </w:rPr>
    </w:lvl>
    <w:lvl w:ilvl="8" w:tplc="CFFED86A">
      <w:numFmt w:val="bullet"/>
      <w:lvlText w:val="•"/>
      <w:lvlJc w:val="left"/>
      <w:pPr>
        <w:ind w:left="8538" w:hanging="531"/>
      </w:pPr>
      <w:rPr>
        <w:rFonts w:hint="default"/>
        <w:lang w:val="zh-CN" w:eastAsia="zh-CN" w:bidi="zh-CN"/>
      </w:rPr>
    </w:lvl>
  </w:abstractNum>
  <w:abstractNum w:abstractNumId="822" w15:restartNumberingAfterBreak="0">
    <w:nsid w:val="6D2566B4"/>
    <w:multiLevelType w:val="hybridMultilevel"/>
    <w:tmpl w:val="CA36F868"/>
    <w:lvl w:ilvl="0" w:tplc="3B76828E">
      <w:start w:val="7"/>
      <w:numFmt w:val="decimal"/>
      <w:lvlText w:val="%1"/>
      <w:lvlJc w:val="left"/>
      <w:pPr>
        <w:ind w:left="418" w:hanging="529"/>
        <w:jc w:val="left"/>
      </w:pPr>
      <w:rPr>
        <w:rFonts w:hint="default"/>
        <w:lang w:val="zh-CN" w:eastAsia="zh-CN" w:bidi="zh-CN"/>
      </w:rPr>
    </w:lvl>
    <w:lvl w:ilvl="1" w:tplc="FD50772E">
      <w:start w:val="4"/>
      <w:numFmt w:val="decimal"/>
      <w:lvlText w:val="%1.%2"/>
      <w:lvlJc w:val="left"/>
      <w:pPr>
        <w:ind w:left="418" w:hanging="529"/>
        <w:jc w:val="left"/>
      </w:pPr>
      <w:rPr>
        <w:rFonts w:hint="default"/>
        <w:lang w:val="zh-CN" w:eastAsia="zh-CN" w:bidi="zh-CN"/>
      </w:rPr>
    </w:lvl>
    <w:lvl w:ilvl="2" w:tplc="BEEAB8C4">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B082EEDA">
      <w:numFmt w:val="bullet"/>
      <w:lvlText w:val="•"/>
      <w:lvlJc w:val="left"/>
      <w:pPr>
        <w:ind w:left="3487" w:hanging="529"/>
      </w:pPr>
      <w:rPr>
        <w:rFonts w:hint="default"/>
        <w:lang w:val="zh-CN" w:eastAsia="zh-CN" w:bidi="zh-CN"/>
      </w:rPr>
    </w:lvl>
    <w:lvl w:ilvl="4" w:tplc="AC3AD836">
      <w:numFmt w:val="bullet"/>
      <w:lvlText w:val="•"/>
      <w:lvlJc w:val="left"/>
      <w:pPr>
        <w:ind w:left="4510" w:hanging="529"/>
      </w:pPr>
      <w:rPr>
        <w:rFonts w:hint="default"/>
        <w:lang w:val="zh-CN" w:eastAsia="zh-CN" w:bidi="zh-CN"/>
      </w:rPr>
    </w:lvl>
    <w:lvl w:ilvl="5" w:tplc="46FE0660">
      <w:numFmt w:val="bullet"/>
      <w:lvlText w:val="•"/>
      <w:lvlJc w:val="left"/>
      <w:pPr>
        <w:ind w:left="5533" w:hanging="529"/>
      </w:pPr>
      <w:rPr>
        <w:rFonts w:hint="default"/>
        <w:lang w:val="zh-CN" w:eastAsia="zh-CN" w:bidi="zh-CN"/>
      </w:rPr>
    </w:lvl>
    <w:lvl w:ilvl="6" w:tplc="08223E26">
      <w:numFmt w:val="bullet"/>
      <w:lvlText w:val="•"/>
      <w:lvlJc w:val="left"/>
      <w:pPr>
        <w:ind w:left="6555" w:hanging="529"/>
      </w:pPr>
      <w:rPr>
        <w:rFonts w:hint="default"/>
        <w:lang w:val="zh-CN" w:eastAsia="zh-CN" w:bidi="zh-CN"/>
      </w:rPr>
    </w:lvl>
    <w:lvl w:ilvl="7" w:tplc="8224199E">
      <w:numFmt w:val="bullet"/>
      <w:lvlText w:val="•"/>
      <w:lvlJc w:val="left"/>
      <w:pPr>
        <w:ind w:left="7578" w:hanging="529"/>
      </w:pPr>
      <w:rPr>
        <w:rFonts w:hint="default"/>
        <w:lang w:val="zh-CN" w:eastAsia="zh-CN" w:bidi="zh-CN"/>
      </w:rPr>
    </w:lvl>
    <w:lvl w:ilvl="8" w:tplc="161EEF9E">
      <w:numFmt w:val="bullet"/>
      <w:lvlText w:val="•"/>
      <w:lvlJc w:val="left"/>
      <w:pPr>
        <w:ind w:left="8601" w:hanging="529"/>
      </w:pPr>
      <w:rPr>
        <w:rFonts w:hint="default"/>
        <w:lang w:val="zh-CN" w:eastAsia="zh-CN" w:bidi="zh-CN"/>
      </w:rPr>
    </w:lvl>
  </w:abstractNum>
  <w:abstractNum w:abstractNumId="823" w15:restartNumberingAfterBreak="0">
    <w:nsid w:val="6D272E22"/>
    <w:multiLevelType w:val="hybridMultilevel"/>
    <w:tmpl w:val="1E282A16"/>
    <w:lvl w:ilvl="0" w:tplc="ED8A864C">
      <w:start w:val="8"/>
      <w:numFmt w:val="decimal"/>
      <w:lvlText w:val="%1"/>
      <w:lvlJc w:val="left"/>
      <w:pPr>
        <w:ind w:left="1159" w:hanging="320"/>
        <w:jc w:val="left"/>
      </w:pPr>
      <w:rPr>
        <w:rFonts w:hint="default"/>
        <w:lang w:val="zh-CN" w:eastAsia="zh-CN" w:bidi="zh-CN"/>
      </w:rPr>
    </w:lvl>
    <w:lvl w:ilvl="1" w:tplc="B1244866">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FEB8A172">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1DCEADAA">
      <w:numFmt w:val="bullet"/>
      <w:lvlText w:val="•"/>
      <w:lvlJc w:val="left"/>
      <w:pPr>
        <w:ind w:left="3439" w:hanging="531"/>
      </w:pPr>
      <w:rPr>
        <w:rFonts w:hint="default"/>
        <w:lang w:val="zh-CN" w:eastAsia="zh-CN" w:bidi="zh-CN"/>
      </w:rPr>
    </w:lvl>
    <w:lvl w:ilvl="4" w:tplc="DACC6AAC">
      <w:numFmt w:val="bullet"/>
      <w:lvlText w:val="•"/>
      <w:lvlJc w:val="left"/>
      <w:pPr>
        <w:ind w:left="4468" w:hanging="531"/>
      </w:pPr>
      <w:rPr>
        <w:rFonts w:hint="default"/>
        <w:lang w:val="zh-CN" w:eastAsia="zh-CN" w:bidi="zh-CN"/>
      </w:rPr>
    </w:lvl>
    <w:lvl w:ilvl="5" w:tplc="D2848CE2">
      <w:numFmt w:val="bullet"/>
      <w:lvlText w:val="•"/>
      <w:lvlJc w:val="left"/>
      <w:pPr>
        <w:ind w:left="5498" w:hanging="531"/>
      </w:pPr>
      <w:rPr>
        <w:rFonts w:hint="default"/>
        <w:lang w:val="zh-CN" w:eastAsia="zh-CN" w:bidi="zh-CN"/>
      </w:rPr>
    </w:lvl>
    <w:lvl w:ilvl="6" w:tplc="25A82220">
      <w:numFmt w:val="bullet"/>
      <w:lvlText w:val="•"/>
      <w:lvlJc w:val="left"/>
      <w:pPr>
        <w:ind w:left="6528" w:hanging="531"/>
      </w:pPr>
      <w:rPr>
        <w:rFonts w:hint="default"/>
        <w:lang w:val="zh-CN" w:eastAsia="zh-CN" w:bidi="zh-CN"/>
      </w:rPr>
    </w:lvl>
    <w:lvl w:ilvl="7" w:tplc="7674B1B8">
      <w:numFmt w:val="bullet"/>
      <w:lvlText w:val="•"/>
      <w:lvlJc w:val="left"/>
      <w:pPr>
        <w:ind w:left="7557" w:hanging="531"/>
      </w:pPr>
      <w:rPr>
        <w:rFonts w:hint="default"/>
        <w:lang w:val="zh-CN" w:eastAsia="zh-CN" w:bidi="zh-CN"/>
      </w:rPr>
    </w:lvl>
    <w:lvl w:ilvl="8" w:tplc="6DC6B550">
      <w:numFmt w:val="bullet"/>
      <w:lvlText w:val="•"/>
      <w:lvlJc w:val="left"/>
      <w:pPr>
        <w:ind w:left="8587" w:hanging="531"/>
      </w:pPr>
      <w:rPr>
        <w:rFonts w:hint="default"/>
        <w:lang w:val="zh-CN" w:eastAsia="zh-CN" w:bidi="zh-CN"/>
      </w:rPr>
    </w:lvl>
  </w:abstractNum>
  <w:abstractNum w:abstractNumId="824" w15:restartNumberingAfterBreak="0">
    <w:nsid w:val="6D285F51"/>
    <w:multiLevelType w:val="hybridMultilevel"/>
    <w:tmpl w:val="ECC6EB6E"/>
    <w:lvl w:ilvl="0" w:tplc="721E4E86">
      <w:start w:val="7"/>
      <w:numFmt w:val="decimal"/>
      <w:lvlText w:val="%1"/>
      <w:lvlJc w:val="left"/>
      <w:pPr>
        <w:ind w:left="1158" w:hanging="318"/>
        <w:jc w:val="left"/>
      </w:pPr>
      <w:rPr>
        <w:rFonts w:hint="default"/>
        <w:lang w:val="zh-CN" w:eastAsia="zh-CN" w:bidi="zh-CN"/>
      </w:rPr>
    </w:lvl>
    <w:lvl w:ilvl="1" w:tplc="EDD0F946">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7B1099A8">
      <w:start w:val="1"/>
      <w:numFmt w:val="decimal"/>
      <w:lvlText w:val="%1.%2.%3"/>
      <w:lvlJc w:val="left"/>
      <w:pPr>
        <w:ind w:left="1369" w:hanging="529"/>
        <w:jc w:val="left"/>
      </w:pPr>
      <w:rPr>
        <w:rFonts w:ascii="宋体" w:eastAsia="宋体" w:hAnsi="宋体" w:cs="宋体" w:hint="default"/>
        <w:b/>
        <w:bCs/>
        <w:color w:val="333333"/>
        <w:w w:val="99"/>
        <w:sz w:val="19"/>
        <w:szCs w:val="19"/>
        <w:lang w:val="zh-CN" w:eastAsia="zh-CN" w:bidi="zh-CN"/>
      </w:rPr>
    </w:lvl>
    <w:lvl w:ilvl="3" w:tplc="2C16C228">
      <w:numFmt w:val="bullet"/>
      <w:lvlText w:val="•"/>
      <w:lvlJc w:val="left"/>
      <w:pPr>
        <w:ind w:left="3423" w:hanging="529"/>
      </w:pPr>
      <w:rPr>
        <w:rFonts w:hint="default"/>
        <w:lang w:val="zh-CN" w:eastAsia="zh-CN" w:bidi="zh-CN"/>
      </w:rPr>
    </w:lvl>
    <w:lvl w:ilvl="4" w:tplc="2872F9FA">
      <w:numFmt w:val="bullet"/>
      <w:lvlText w:val="•"/>
      <w:lvlJc w:val="left"/>
      <w:pPr>
        <w:ind w:left="4455" w:hanging="529"/>
      </w:pPr>
      <w:rPr>
        <w:rFonts w:hint="default"/>
        <w:lang w:val="zh-CN" w:eastAsia="zh-CN" w:bidi="zh-CN"/>
      </w:rPr>
    </w:lvl>
    <w:lvl w:ilvl="5" w:tplc="7A6CF47A">
      <w:numFmt w:val="bullet"/>
      <w:lvlText w:val="•"/>
      <w:lvlJc w:val="left"/>
      <w:pPr>
        <w:ind w:left="5487" w:hanging="529"/>
      </w:pPr>
      <w:rPr>
        <w:rFonts w:hint="default"/>
        <w:lang w:val="zh-CN" w:eastAsia="zh-CN" w:bidi="zh-CN"/>
      </w:rPr>
    </w:lvl>
    <w:lvl w:ilvl="6" w:tplc="72024798">
      <w:numFmt w:val="bullet"/>
      <w:lvlText w:val="•"/>
      <w:lvlJc w:val="left"/>
      <w:pPr>
        <w:ind w:left="6519" w:hanging="529"/>
      </w:pPr>
      <w:rPr>
        <w:rFonts w:hint="default"/>
        <w:lang w:val="zh-CN" w:eastAsia="zh-CN" w:bidi="zh-CN"/>
      </w:rPr>
    </w:lvl>
    <w:lvl w:ilvl="7" w:tplc="ED50CC0C">
      <w:numFmt w:val="bullet"/>
      <w:lvlText w:val="•"/>
      <w:lvlJc w:val="left"/>
      <w:pPr>
        <w:ind w:left="7550" w:hanging="529"/>
      </w:pPr>
      <w:rPr>
        <w:rFonts w:hint="default"/>
        <w:lang w:val="zh-CN" w:eastAsia="zh-CN" w:bidi="zh-CN"/>
      </w:rPr>
    </w:lvl>
    <w:lvl w:ilvl="8" w:tplc="80220F8E">
      <w:numFmt w:val="bullet"/>
      <w:lvlText w:val="•"/>
      <w:lvlJc w:val="left"/>
      <w:pPr>
        <w:ind w:left="8582" w:hanging="529"/>
      </w:pPr>
      <w:rPr>
        <w:rFonts w:hint="default"/>
        <w:lang w:val="zh-CN" w:eastAsia="zh-CN" w:bidi="zh-CN"/>
      </w:rPr>
    </w:lvl>
  </w:abstractNum>
  <w:abstractNum w:abstractNumId="825" w15:restartNumberingAfterBreak="0">
    <w:nsid w:val="6D32564B"/>
    <w:multiLevelType w:val="hybridMultilevel"/>
    <w:tmpl w:val="92E01614"/>
    <w:lvl w:ilvl="0" w:tplc="4D5E7A08">
      <w:start w:val="4"/>
      <w:numFmt w:val="decimal"/>
      <w:lvlText w:val="%1"/>
      <w:lvlJc w:val="left"/>
      <w:pPr>
        <w:ind w:left="1158" w:hanging="318"/>
        <w:jc w:val="left"/>
      </w:pPr>
      <w:rPr>
        <w:rFonts w:hint="default"/>
        <w:lang w:val="zh-CN" w:eastAsia="zh-CN" w:bidi="zh-CN"/>
      </w:rPr>
    </w:lvl>
    <w:lvl w:ilvl="1" w:tplc="0C903FA4">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F0347C2A">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F850C272">
      <w:numFmt w:val="bullet"/>
      <w:lvlText w:val="•"/>
      <w:lvlJc w:val="left"/>
      <w:pPr>
        <w:ind w:left="2520" w:hanging="529"/>
      </w:pPr>
      <w:rPr>
        <w:rFonts w:hint="default"/>
        <w:lang w:val="zh-CN" w:eastAsia="zh-CN" w:bidi="zh-CN"/>
      </w:rPr>
    </w:lvl>
    <w:lvl w:ilvl="4" w:tplc="1658AAEC">
      <w:numFmt w:val="bullet"/>
      <w:lvlText w:val="•"/>
      <w:lvlJc w:val="left"/>
      <w:pPr>
        <w:ind w:left="3681" w:hanging="529"/>
      </w:pPr>
      <w:rPr>
        <w:rFonts w:hint="default"/>
        <w:lang w:val="zh-CN" w:eastAsia="zh-CN" w:bidi="zh-CN"/>
      </w:rPr>
    </w:lvl>
    <w:lvl w:ilvl="5" w:tplc="BF0A7DF8">
      <w:numFmt w:val="bullet"/>
      <w:lvlText w:val="•"/>
      <w:lvlJc w:val="left"/>
      <w:pPr>
        <w:ind w:left="4842" w:hanging="529"/>
      </w:pPr>
      <w:rPr>
        <w:rFonts w:hint="default"/>
        <w:lang w:val="zh-CN" w:eastAsia="zh-CN" w:bidi="zh-CN"/>
      </w:rPr>
    </w:lvl>
    <w:lvl w:ilvl="6" w:tplc="2F6CB12A">
      <w:numFmt w:val="bullet"/>
      <w:lvlText w:val="•"/>
      <w:lvlJc w:val="left"/>
      <w:pPr>
        <w:ind w:left="6003" w:hanging="529"/>
      </w:pPr>
      <w:rPr>
        <w:rFonts w:hint="default"/>
        <w:lang w:val="zh-CN" w:eastAsia="zh-CN" w:bidi="zh-CN"/>
      </w:rPr>
    </w:lvl>
    <w:lvl w:ilvl="7" w:tplc="4FAE1DFA">
      <w:numFmt w:val="bullet"/>
      <w:lvlText w:val="•"/>
      <w:lvlJc w:val="left"/>
      <w:pPr>
        <w:ind w:left="7164" w:hanging="529"/>
      </w:pPr>
      <w:rPr>
        <w:rFonts w:hint="default"/>
        <w:lang w:val="zh-CN" w:eastAsia="zh-CN" w:bidi="zh-CN"/>
      </w:rPr>
    </w:lvl>
    <w:lvl w:ilvl="8" w:tplc="45A88CAE">
      <w:numFmt w:val="bullet"/>
      <w:lvlText w:val="•"/>
      <w:lvlJc w:val="left"/>
      <w:pPr>
        <w:ind w:left="8324" w:hanging="529"/>
      </w:pPr>
      <w:rPr>
        <w:rFonts w:hint="default"/>
        <w:lang w:val="zh-CN" w:eastAsia="zh-CN" w:bidi="zh-CN"/>
      </w:rPr>
    </w:lvl>
  </w:abstractNum>
  <w:abstractNum w:abstractNumId="826" w15:restartNumberingAfterBreak="0">
    <w:nsid w:val="6D5111A8"/>
    <w:multiLevelType w:val="hybridMultilevel"/>
    <w:tmpl w:val="09DA33CE"/>
    <w:lvl w:ilvl="0" w:tplc="BC4E8036">
      <w:start w:val="2"/>
      <w:numFmt w:val="decimal"/>
      <w:lvlText w:val="%1"/>
      <w:lvlJc w:val="left"/>
      <w:pPr>
        <w:ind w:left="1158" w:hanging="318"/>
        <w:jc w:val="left"/>
      </w:pPr>
      <w:rPr>
        <w:rFonts w:hint="default"/>
        <w:lang w:val="zh-CN" w:eastAsia="zh-CN" w:bidi="zh-CN"/>
      </w:rPr>
    </w:lvl>
    <w:lvl w:ilvl="1" w:tplc="F9084F8E">
      <w:start w:val="1"/>
      <w:numFmt w:val="decimal"/>
      <w:lvlText w:val="%1.%2"/>
      <w:lvlJc w:val="left"/>
      <w:pPr>
        <w:ind w:left="1158" w:hanging="318"/>
        <w:jc w:val="left"/>
      </w:pPr>
      <w:rPr>
        <w:rFonts w:ascii="宋体" w:eastAsia="宋体" w:hAnsi="宋体" w:cs="宋体" w:hint="default"/>
        <w:b/>
        <w:bCs/>
        <w:spacing w:val="-3"/>
        <w:w w:val="99"/>
        <w:sz w:val="19"/>
        <w:szCs w:val="19"/>
        <w:lang w:val="zh-CN" w:eastAsia="zh-CN" w:bidi="zh-CN"/>
      </w:rPr>
    </w:lvl>
    <w:lvl w:ilvl="2" w:tplc="4EA47B96">
      <w:numFmt w:val="bullet"/>
      <w:lvlText w:val="•"/>
      <w:lvlJc w:val="left"/>
      <w:pPr>
        <w:ind w:left="3057" w:hanging="318"/>
      </w:pPr>
      <w:rPr>
        <w:rFonts w:hint="default"/>
        <w:lang w:val="zh-CN" w:eastAsia="zh-CN" w:bidi="zh-CN"/>
      </w:rPr>
    </w:lvl>
    <w:lvl w:ilvl="3" w:tplc="B2641738">
      <w:numFmt w:val="bullet"/>
      <w:lvlText w:val="•"/>
      <w:lvlJc w:val="left"/>
      <w:pPr>
        <w:ind w:left="4005" w:hanging="318"/>
      </w:pPr>
      <w:rPr>
        <w:rFonts w:hint="default"/>
        <w:lang w:val="zh-CN" w:eastAsia="zh-CN" w:bidi="zh-CN"/>
      </w:rPr>
    </w:lvl>
    <w:lvl w:ilvl="4" w:tplc="3DB6B832">
      <w:numFmt w:val="bullet"/>
      <w:lvlText w:val="•"/>
      <w:lvlJc w:val="left"/>
      <w:pPr>
        <w:ind w:left="4954" w:hanging="318"/>
      </w:pPr>
      <w:rPr>
        <w:rFonts w:hint="default"/>
        <w:lang w:val="zh-CN" w:eastAsia="zh-CN" w:bidi="zh-CN"/>
      </w:rPr>
    </w:lvl>
    <w:lvl w:ilvl="5" w:tplc="EA902678">
      <w:numFmt w:val="bullet"/>
      <w:lvlText w:val="•"/>
      <w:lvlJc w:val="left"/>
      <w:pPr>
        <w:ind w:left="5903" w:hanging="318"/>
      </w:pPr>
      <w:rPr>
        <w:rFonts w:hint="default"/>
        <w:lang w:val="zh-CN" w:eastAsia="zh-CN" w:bidi="zh-CN"/>
      </w:rPr>
    </w:lvl>
    <w:lvl w:ilvl="6" w:tplc="520C1FDE">
      <w:numFmt w:val="bullet"/>
      <w:lvlText w:val="•"/>
      <w:lvlJc w:val="left"/>
      <w:pPr>
        <w:ind w:left="6851" w:hanging="318"/>
      </w:pPr>
      <w:rPr>
        <w:rFonts w:hint="default"/>
        <w:lang w:val="zh-CN" w:eastAsia="zh-CN" w:bidi="zh-CN"/>
      </w:rPr>
    </w:lvl>
    <w:lvl w:ilvl="7" w:tplc="0BFE7F0A">
      <w:numFmt w:val="bullet"/>
      <w:lvlText w:val="•"/>
      <w:lvlJc w:val="left"/>
      <w:pPr>
        <w:ind w:left="7800" w:hanging="318"/>
      </w:pPr>
      <w:rPr>
        <w:rFonts w:hint="default"/>
        <w:lang w:val="zh-CN" w:eastAsia="zh-CN" w:bidi="zh-CN"/>
      </w:rPr>
    </w:lvl>
    <w:lvl w:ilvl="8" w:tplc="3686004E">
      <w:numFmt w:val="bullet"/>
      <w:lvlText w:val="•"/>
      <w:lvlJc w:val="left"/>
      <w:pPr>
        <w:ind w:left="8749" w:hanging="318"/>
      </w:pPr>
      <w:rPr>
        <w:rFonts w:hint="default"/>
        <w:lang w:val="zh-CN" w:eastAsia="zh-CN" w:bidi="zh-CN"/>
      </w:rPr>
    </w:lvl>
  </w:abstractNum>
  <w:abstractNum w:abstractNumId="827" w15:restartNumberingAfterBreak="0">
    <w:nsid w:val="6D592CA6"/>
    <w:multiLevelType w:val="hybridMultilevel"/>
    <w:tmpl w:val="2A8A6664"/>
    <w:lvl w:ilvl="0" w:tplc="8CF2ADB2">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2E3E887E">
      <w:numFmt w:val="bullet"/>
      <w:lvlText w:val="•"/>
      <w:lvlJc w:val="left"/>
      <w:pPr>
        <w:ind w:left="1442" w:hanging="529"/>
      </w:pPr>
      <w:rPr>
        <w:rFonts w:hint="default"/>
        <w:lang w:val="zh-CN" w:eastAsia="zh-CN" w:bidi="zh-CN"/>
      </w:rPr>
    </w:lvl>
    <w:lvl w:ilvl="2" w:tplc="BA5022A0">
      <w:numFmt w:val="bullet"/>
      <w:lvlText w:val="•"/>
      <w:lvlJc w:val="left"/>
      <w:pPr>
        <w:ind w:left="2465" w:hanging="529"/>
      </w:pPr>
      <w:rPr>
        <w:rFonts w:hint="default"/>
        <w:lang w:val="zh-CN" w:eastAsia="zh-CN" w:bidi="zh-CN"/>
      </w:rPr>
    </w:lvl>
    <w:lvl w:ilvl="3" w:tplc="C8C6FD02">
      <w:numFmt w:val="bullet"/>
      <w:lvlText w:val="•"/>
      <w:lvlJc w:val="left"/>
      <w:pPr>
        <w:ind w:left="3487" w:hanging="529"/>
      </w:pPr>
      <w:rPr>
        <w:rFonts w:hint="default"/>
        <w:lang w:val="zh-CN" w:eastAsia="zh-CN" w:bidi="zh-CN"/>
      </w:rPr>
    </w:lvl>
    <w:lvl w:ilvl="4" w:tplc="C87CCDB2">
      <w:numFmt w:val="bullet"/>
      <w:lvlText w:val="•"/>
      <w:lvlJc w:val="left"/>
      <w:pPr>
        <w:ind w:left="4510" w:hanging="529"/>
      </w:pPr>
      <w:rPr>
        <w:rFonts w:hint="default"/>
        <w:lang w:val="zh-CN" w:eastAsia="zh-CN" w:bidi="zh-CN"/>
      </w:rPr>
    </w:lvl>
    <w:lvl w:ilvl="5" w:tplc="D08063EC">
      <w:numFmt w:val="bullet"/>
      <w:lvlText w:val="•"/>
      <w:lvlJc w:val="left"/>
      <w:pPr>
        <w:ind w:left="5533" w:hanging="529"/>
      </w:pPr>
      <w:rPr>
        <w:rFonts w:hint="default"/>
        <w:lang w:val="zh-CN" w:eastAsia="zh-CN" w:bidi="zh-CN"/>
      </w:rPr>
    </w:lvl>
    <w:lvl w:ilvl="6" w:tplc="BD96BA8C">
      <w:numFmt w:val="bullet"/>
      <w:lvlText w:val="•"/>
      <w:lvlJc w:val="left"/>
      <w:pPr>
        <w:ind w:left="6555" w:hanging="529"/>
      </w:pPr>
      <w:rPr>
        <w:rFonts w:hint="default"/>
        <w:lang w:val="zh-CN" w:eastAsia="zh-CN" w:bidi="zh-CN"/>
      </w:rPr>
    </w:lvl>
    <w:lvl w:ilvl="7" w:tplc="355C7544">
      <w:numFmt w:val="bullet"/>
      <w:lvlText w:val="•"/>
      <w:lvlJc w:val="left"/>
      <w:pPr>
        <w:ind w:left="7578" w:hanging="529"/>
      </w:pPr>
      <w:rPr>
        <w:rFonts w:hint="default"/>
        <w:lang w:val="zh-CN" w:eastAsia="zh-CN" w:bidi="zh-CN"/>
      </w:rPr>
    </w:lvl>
    <w:lvl w:ilvl="8" w:tplc="122695A4">
      <w:numFmt w:val="bullet"/>
      <w:lvlText w:val="•"/>
      <w:lvlJc w:val="left"/>
      <w:pPr>
        <w:ind w:left="8601" w:hanging="529"/>
      </w:pPr>
      <w:rPr>
        <w:rFonts w:hint="default"/>
        <w:lang w:val="zh-CN" w:eastAsia="zh-CN" w:bidi="zh-CN"/>
      </w:rPr>
    </w:lvl>
  </w:abstractNum>
  <w:abstractNum w:abstractNumId="828" w15:restartNumberingAfterBreak="0">
    <w:nsid w:val="6D5C25C1"/>
    <w:multiLevelType w:val="hybridMultilevel"/>
    <w:tmpl w:val="4B460DA8"/>
    <w:lvl w:ilvl="0" w:tplc="3DFA01B6">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E21E3554">
      <w:numFmt w:val="bullet"/>
      <w:lvlText w:val="•"/>
      <w:lvlJc w:val="left"/>
      <w:pPr>
        <w:ind w:left="2288" w:hanging="529"/>
      </w:pPr>
      <w:rPr>
        <w:rFonts w:hint="default"/>
        <w:lang w:val="zh-CN" w:eastAsia="zh-CN" w:bidi="zh-CN"/>
      </w:rPr>
    </w:lvl>
    <w:lvl w:ilvl="2" w:tplc="3FA85EBA">
      <w:numFmt w:val="bullet"/>
      <w:lvlText w:val="•"/>
      <w:lvlJc w:val="left"/>
      <w:pPr>
        <w:ind w:left="3217" w:hanging="529"/>
      </w:pPr>
      <w:rPr>
        <w:rFonts w:hint="default"/>
        <w:lang w:val="zh-CN" w:eastAsia="zh-CN" w:bidi="zh-CN"/>
      </w:rPr>
    </w:lvl>
    <w:lvl w:ilvl="3" w:tplc="79C62FD4">
      <w:numFmt w:val="bullet"/>
      <w:lvlText w:val="•"/>
      <w:lvlJc w:val="left"/>
      <w:pPr>
        <w:ind w:left="4145" w:hanging="529"/>
      </w:pPr>
      <w:rPr>
        <w:rFonts w:hint="default"/>
        <w:lang w:val="zh-CN" w:eastAsia="zh-CN" w:bidi="zh-CN"/>
      </w:rPr>
    </w:lvl>
    <w:lvl w:ilvl="4" w:tplc="688662AA">
      <w:numFmt w:val="bullet"/>
      <w:lvlText w:val="•"/>
      <w:lvlJc w:val="left"/>
      <w:pPr>
        <w:ind w:left="5074" w:hanging="529"/>
      </w:pPr>
      <w:rPr>
        <w:rFonts w:hint="default"/>
        <w:lang w:val="zh-CN" w:eastAsia="zh-CN" w:bidi="zh-CN"/>
      </w:rPr>
    </w:lvl>
    <w:lvl w:ilvl="5" w:tplc="8AEAA084">
      <w:numFmt w:val="bullet"/>
      <w:lvlText w:val="•"/>
      <w:lvlJc w:val="left"/>
      <w:pPr>
        <w:ind w:left="6003" w:hanging="529"/>
      </w:pPr>
      <w:rPr>
        <w:rFonts w:hint="default"/>
        <w:lang w:val="zh-CN" w:eastAsia="zh-CN" w:bidi="zh-CN"/>
      </w:rPr>
    </w:lvl>
    <w:lvl w:ilvl="6" w:tplc="6B088158">
      <w:numFmt w:val="bullet"/>
      <w:lvlText w:val="•"/>
      <w:lvlJc w:val="left"/>
      <w:pPr>
        <w:ind w:left="6931" w:hanging="529"/>
      </w:pPr>
      <w:rPr>
        <w:rFonts w:hint="default"/>
        <w:lang w:val="zh-CN" w:eastAsia="zh-CN" w:bidi="zh-CN"/>
      </w:rPr>
    </w:lvl>
    <w:lvl w:ilvl="7" w:tplc="83980412">
      <w:numFmt w:val="bullet"/>
      <w:lvlText w:val="•"/>
      <w:lvlJc w:val="left"/>
      <w:pPr>
        <w:ind w:left="7860" w:hanging="529"/>
      </w:pPr>
      <w:rPr>
        <w:rFonts w:hint="default"/>
        <w:lang w:val="zh-CN" w:eastAsia="zh-CN" w:bidi="zh-CN"/>
      </w:rPr>
    </w:lvl>
    <w:lvl w:ilvl="8" w:tplc="8AF2ED44">
      <w:numFmt w:val="bullet"/>
      <w:lvlText w:val="•"/>
      <w:lvlJc w:val="left"/>
      <w:pPr>
        <w:ind w:left="8789" w:hanging="529"/>
      </w:pPr>
      <w:rPr>
        <w:rFonts w:hint="default"/>
        <w:lang w:val="zh-CN" w:eastAsia="zh-CN" w:bidi="zh-CN"/>
      </w:rPr>
    </w:lvl>
  </w:abstractNum>
  <w:abstractNum w:abstractNumId="829" w15:restartNumberingAfterBreak="0">
    <w:nsid w:val="6DB62EB3"/>
    <w:multiLevelType w:val="hybridMultilevel"/>
    <w:tmpl w:val="78B42460"/>
    <w:lvl w:ilvl="0" w:tplc="BB6E184E">
      <w:start w:val="6"/>
      <w:numFmt w:val="decimal"/>
      <w:lvlText w:val="%1"/>
      <w:lvlJc w:val="left"/>
      <w:pPr>
        <w:ind w:left="418" w:hanging="637"/>
        <w:jc w:val="left"/>
      </w:pPr>
      <w:rPr>
        <w:rFonts w:hint="default"/>
        <w:lang w:val="zh-CN" w:eastAsia="zh-CN" w:bidi="zh-CN"/>
      </w:rPr>
    </w:lvl>
    <w:lvl w:ilvl="1" w:tplc="CBA043FA">
      <w:start w:val="11"/>
      <w:numFmt w:val="decimal"/>
      <w:lvlText w:val="%1.%2"/>
      <w:lvlJc w:val="left"/>
      <w:pPr>
        <w:ind w:left="418" w:hanging="637"/>
        <w:jc w:val="left"/>
      </w:pPr>
      <w:rPr>
        <w:rFonts w:hint="default"/>
        <w:lang w:val="zh-CN" w:eastAsia="zh-CN" w:bidi="zh-CN"/>
      </w:rPr>
    </w:lvl>
    <w:lvl w:ilvl="2" w:tplc="546C4F58">
      <w:start w:val="2"/>
      <w:numFmt w:val="decimal"/>
      <w:lvlText w:val="%1.%2.%3"/>
      <w:lvlJc w:val="left"/>
      <w:pPr>
        <w:ind w:left="418" w:hanging="637"/>
        <w:jc w:val="left"/>
      </w:pPr>
      <w:rPr>
        <w:rFonts w:ascii="宋体" w:eastAsia="宋体" w:hAnsi="宋体" w:cs="宋体" w:hint="default"/>
        <w:b/>
        <w:bCs/>
        <w:w w:val="99"/>
        <w:sz w:val="19"/>
        <w:szCs w:val="19"/>
        <w:lang w:val="zh-CN" w:eastAsia="zh-CN" w:bidi="zh-CN"/>
      </w:rPr>
    </w:lvl>
    <w:lvl w:ilvl="3" w:tplc="5F104C5E">
      <w:numFmt w:val="bullet"/>
      <w:lvlText w:val="•"/>
      <w:lvlJc w:val="left"/>
      <w:pPr>
        <w:ind w:left="3487" w:hanging="637"/>
      </w:pPr>
      <w:rPr>
        <w:rFonts w:hint="default"/>
        <w:lang w:val="zh-CN" w:eastAsia="zh-CN" w:bidi="zh-CN"/>
      </w:rPr>
    </w:lvl>
    <w:lvl w:ilvl="4" w:tplc="06CE7962">
      <w:numFmt w:val="bullet"/>
      <w:lvlText w:val="•"/>
      <w:lvlJc w:val="left"/>
      <w:pPr>
        <w:ind w:left="4510" w:hanging="637"/>
      </w:pPr>
      <w:rPr>
        <w:rFonts w:hint="default"/>
        <w:lang w:val="zh-CN" w:eastAsia="zh-CN" w:bidi="zh-CN"/>
      </w:rPr>
    </w:lvl>
    <w:lvl w:ilvl="5" w:tplc="15CEC50A">
      <w:numFmt w:val="bullet"/>
      <w:lvlText w:val="•"/>
      <w:lvlJc w:val="left"/>
      <w:pPr>
        <w:ind w:left="5533" w:hanging="637"/>
      </w:pPr>
      <w:rPr>
        <w:rFonts w:hint="default"/>
        <w:lang w:val="zh-CN" w:eastAsia="zh-CN" w:bidi="zh-CN"/>
      </w:rPr>
    </w:lvl>
    <w:lvl w:ilvl="6" w:tplc="C2E4555C">
      <w:numFmt w:val="bullet"/>
      <w:lvlText w:val="•"/>
      <w:lvlJc w:val="left"/>
      <w:pPr>
        <w:ind w:left="6555" w:hanging="637"/>
      </w:pPr>
      <w:rPr>
        <w:rFonts w:hint="default"/>
        <w:lang w:val="zh-CN" w:eastAsia="zh-CN" w:bidi="zh-CN"/>
      </w:rPr>
    </w:lvl>
    <w:lvl w:ilvl="7" w:tplc="0DE09EC6">
      <w:numFmt w:val="bullet"/>
      <w:lvlText w:val="•"/>
      <w:lvlJc w:val="left"/>
      <w:pPr>
        <w:ind w:left="7578" w:hanging="637"/>
      </w:pPr>
      <w:rPr>
        <w:rFonts w:hint="default"/>
        <w:lang w:val="zh-CN" w:eastAsia="zh-CN" w:bidi="zh-CN"/>
      </w:rPr>
    </w:lvl>
    <w:lvl w:ilvl="8" w:tplc="BD480494">
      <w:numFmt w:val="bullet"/>
      <w:lvlText w:val="•"/>
      <w:lvlJc w:val="left"/>
      <w:pPr>
        <w:ind w:left="8601" w:hanging="637"/>
      </w:pPr>
      <w:rPr>
        <w:rFonts w:hint="default"/>
        <w:lang w:val="zh-CN" w:eastAsia="zh-CN" w:bidi="zh-CN"/>
      </w:rPr>
    </w:lvl>
  </w:abstractNum>
  <w:abstractNum w:abstractNumId="830" w15:restartNumberingAfterBreak="0">
    <w:nsid w:val="6DE3637D"/>
    <w:multiLevelType w:val="hybridMultilevel"/>
    <w:tmpl w:val="15DAB5F2"/>
    <w:lvl w:ilvl="0" w:tplc="812E4C88">
      <w:start w:val="5"/>
      <w:numFmt w:val="decimal"/>
      <w:lvlText w:val="%1"/>
      <w:lvlJc w:val="left"/>
      <w:pPr>
        <w:ind w:left="1370" w:hanging="531"/>
        <w:jc w:val="left"/>
      </w:pPr>
      <w:rPr>
        <w:rFonts w:hint="default"/>
        <w:lang w:val="zh-CN" w:eastAsia="zh-CN" w:bidi="zh-CN"/>
      </w:rPr>
    </w:lvl>
    <w:lvl w:ilvl="1" w:tplc="96B4FF0C">
      <w:start w:val="1"/>
      <w:numFmt w:val="decimal"/>
      <w:lvlText w:val="%1.%2"/>
      <w:lvlJc w:val="left"/>
      <w:pPr>
        <w:ind w:left="1370" w:hanging="531"/>
        <w:jc w:val="left"/>
      </w:pPr>
      <w:rPr>
        <w:rFonts w:hint="default"/>
        <w:lang w:val="zh-CN" w:eastAsia="zh-CN" w:bidi="zh-CN"/>
      </w:rPr>
    </w:lvl>
    <w:lvl w:ilvl="2" w:tplc="0A6411FA">
      <w:start w:val="4"/>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F4644002">
      <w:numFmt w:val="bullet"/>
      <w:lvlText w:val="•"/>
      <w:lvlJc w:val="left"/>
      <w:pPr>
        <w:ind w:left="4159" w:hanging="531"/>
      </w:pPr>
      <w:rPr>
        <w:rFonts w:hint="default"/>
        <w:lang w:val="zh-CN" w:eastAsia="zh-CN" w:bidi="zh-CN"/>
      </w:rPr>
    </w:lvl>
    <w:lvl w:ilvl="4" w:tplc="0AFE0638">
      <w:numFmt w:val="bullet"/>
      <w:lvlText w:val="•"/>
      <w:lvlJc w:val="left"/>
      <w:pPr>
        <w:ind w:left="5086" w:hanging="531"/>
      </w:pPr>
      <w:rPr>
        <w:rFonts w:hint="default"/>
        <w:lang w:val="zh-CN" w:eastAsia="zh-CN" w:bidi="zh-CN"/>
      </w:rPr>
    </w:lvl>
    <w:lvl w:ilvl="5" w:tplc="0F3CC13A">
      <w:numFmt w:val="bullet"/>
      <w:lvlText w:val="•"/>
      <w:lvlJc w:val="left"/>
      <w:pPr>
        <w:ind w:left="6013" w:hanging="531"/>
      </w:pPr>
      <w:rPr>
        <w:rFonts w:hint="default"/>
        <w:lang w:val="zh-CN" w:eastAsia="zh-CN" w:bidi="zh-CN"/>
      </w:rPr>
    </w:lvl>
    <w:lvl w:ilvl="6" w:tplc="79506878">
      <w:numFmt w:val="bullet"/>
      <w:lvlText w:val="•"/>
      <w:lvlJc w:val="left"/>
      <w:pPr>
        <w:ind w:left="6939" w:hanging="531"/>
      </w:pPr>
      <w:rPr>
        <w:rFonts w:hint="default"/>
        <w:lang w:val="zh-CN" w:eastAsia="zh-CN" w:bidi="zh-CN"/>
      </w:rPr>
    </w:lvl>
    <w:lvl w:ilvl="7" w:tplc="61DE1F78">
      <w:numFmt w:val="bullet"/>
      <w:lvlText w:val="•"/>
      <w:lvlJc w:val="left"/>
      <w:pPr>
        <w:ind w:left="7866" w:hanging="531"/>
      </w:pPr>
      <w:rPr>
        <w:rFonts w:hint="default"/>
        <w:lang w:val="zh-CN" w:eastAsia="zh-CN" w:bidi="zh-CN"/>
      </w:rPr>
    </w:lvl>
    <w:lvl w:ilvl="8" w:tplc="8692304E">
      <w:numFmt w:val="bullet"/>
      <w:lvlText w:val="•"/>
      <w:lvlJc w:val="left"/>
      <w:pPr>
        <w:ind w:left="8793" w:hanging="531"/>
      </w:pPr>
      <w:rPr>
        <w:rFonts w:hint="default"/>
        <w:lang w:val="zh-CN" w:eastAsia="zh-CN" w:bidi="zh-CN"/>
      </w:rPr>
    </w:lvl>
  </w:abstractNum>
  <w:abstractNum w:abstractNumId="831" w15:restartNumberingAfterBreak="0">
    <w:nsid w:val="6DF521A9"/>
    <w:multiLevelType w:val="hybridMultilevel"/>
    <w:tmpl w:val="23AC05D4"/>
    <w:lvl w:ilvl="0" w:tplc="00588D36">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E30C00CC">
      <w:numFmt w:val="bullet"/>
      <w:lvlText w:val="•"/>
      <w:lvlJc w:val="left"/>
      <w:pPr>
        <w:ind w:left="2288" w:hanging="529"/>
      </w:pPr>
      <w:rPr>
        <w:rFonts w:hint="default"/>
        <w:lang w:val="zh-CN" w:eastAsia="zh-CN" w:bidi="zh-CN"/>
      </w:rPr>
    </w:lvl>
    <w:lvl w:ilvl="2" w:tplc="FB661B0C">
      <w:numFmt w:val="bullet"/>
      <w:lvlText w:val="•"/>
      <w:lvlJc w:val="left"/>
      <w:pPr>
        <w:ind w:left="3217" w:hanging="529"/>
      </w:pPr>
      <w:rPr>
        <w:rFonts w:hint="default"/>
        <w:lang w:val="zh-CN" w:eastAsia="zh-CN" w:bidi="zh-CN"/>
      </w:rPr>
    </w:lvl>
    <w:lvl w:ilvl="3" w:tplc="19BA3D84">
      <w:numFmt w:val="bullet"/>
      <w:lvlText w:val="•"/>
      <w:lvlJc w:val="left"/>
      <w:pPr>
        <w:ind w:left="4145" w:hanging="529"/>
      </w:pPr>
      <w:rPr>
        <w:rFonts w:hint="default"/>
        <w:lang w:val="zh-CN" w:eastAsia="zh-CN" w:bidi="zh-CN"/>
      </w:rPr>
    </w:lvl>
    <w:lvl w:ilvl="4" w:tplc="72686AF8">
      <w:numFmt w:val="bullet"/>
      <w:lvlText w:val="•"/>
      <w:lvlJc w:val="left"/>
      <w:pPr>
        <w:ind w:left="5074" w:hanging="529"/>
      </w:pPr>
      <w:rPr>
        <w:rFonts w:hint="default"/>
        <w:lang w:val="zh-CN" w:eastAsia="zh-CN" w:bidi="zh-CN"/>
      </w:rPr>
    </w:lvl>
    <w:lvl w:ilvl="5" w:tplc="3DC65AC8">
      <w:numFmt w:val="bullet"/>
      <w:lvlText w:val="•"/>
      <w:lvlJc w:val="left"/>
      <w:pPr>
        <w:ind w:left="6003" w:hanging="529"/>
      </w:pPr>
      <w:rPr>
        <w:rFonts w:hint="default"/>
        <w:lang w:val="zh-CN" w:eastAsia="zh-CN" w:bidi="zh-CN"/>
      </w:rPr>
    </w:lvl>
    <w:lvl w:ilvl="6" w:tplc="036A42A2">
      <w:numFmt w:val="bullet"/>
      <w:lvlText w:val="•"/>
      <w:lvlJc w:val="left"/>
      <w:pPr>
        <w:ind w:left="6931" w:hanging="529"/>
      </w:pPr>
      <w:rPr>
        <w:rFonts w:hint="default"/>
        <w:lang w:val="zh-CN" w:eastAsia="zh-CN" w:bidi="zh-CN"/>
      </w:rPr>
    </w:lvl>
    <w:lvl w:ilvl="7" w:tplc="D0AE1FF4">
      <w:numFmt w:val="bullet"/>
      <w:lvlText w:val="•"/>
      <w:lvlJc w:val="left"/>
      <w:pPr>
        <w:ind w:left="7860" w:hanging="529"/>
      </w:pPr>
      <w:rPr>
        <w:rFonts w:hint="default"/>
        <w:lang w:val="zh-CN" w:eastAsia="zh-CN" w:bidi="zh-CN"/>
      </w:rPr>
    </w:lvl>
    <w:lvl w:ilvl="8" w:tplc="2154D3C8">
      <w:numFmt w:val="bullet"/>
      <w:lvlText w:val="•"/>
      <w:lvlJc w:val="left"/>
      <w:pPr>
        <w:ind w:left="8789" w:hanging="529"/>
      </w:pPr>
      <w:rPr>
        <w:rFonts w:hint="default"/>
        <w:lang w:val="zh-CN" w:eastAsia="zh-CN" w:bidi="zh-CN"/>
      </w:rPr>
    </w:lvl>
  </w:abstractNum>
  <w:abstractNum w:abstractNumId="832" w15:restartNumberingAfterBreak="0">
    <w:nsid w:val="6E6B5D9A"/>
    <w:multiLevelType w:val="hybridMultilevel"/>
    <w:tmpl w:val="70DE6D6C"/>
    <w:lvl w:ilvl="0" w:tplc="6576BE28">
      <w:start w:val="3"/>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B31E094C">
      <w:numFmt w:val="bullet"/>
      <w:lvlText w:val="•"/>
      <w:lvlJc w:val="left"/>
      <w:pPr>
        <w:ind w:left="2018" w:hanging="213"/>
      </w:pPr>
      <w:rPr>
        <w:rFonts w:hint="default"/>
        <w:lang w:val="zh-CN" w:eastAsia="zh-CN" w:bidi="zh-CN"/>
      </w:rPr>
    </w:lvl>
    <w:lvl w:ilvl="2" w:tplc="F7948CA0">
      <w:numFmt w:val="bullet"/>
      <w:lvlText w:val="•"/>
      <w:lvlJc w:val="left"/>
      <w:pPr>
        <w:ind w:left="2977" w:hanging="213"/>
      </w:pPr>
      <w:rPr>
        <w:rFonts w:hint="default"/>
        <w:lang w:val="zh-CN" w:eastAsia="zh-CN" w:bidi="zh-CN"/>
      </w:rPr>
    </w:lvl>
    <w:lvl w:ilvl="3" w:tplc="49A6DC7E">
      <w:numFmt w:val="bullet"/>
      <w:lvlText w:val="•"/>
      <w:lvlJc w:val="left"/>
      <w:pPr>
        <w:ind w:left="3935" w:hanging="213"/>
      </w:pPr>
      <w:rPr>
        <w:rFonts w:hint="default"/>
        <w:lang w:val="zh-CN" w:eastAsia="zh-CN" w:bidi="zh-CN"/>
      </w:rPr>
    </w:lvl>
    <w:lvl w:ilvl="4" w:tplc="6D3E47B2">
      <w:numFmt w:val="bullet"/>
      <w:lvlText w:val="•"/>
      <w:lvlJc w:val="left"/>
      <w:pPr>
        <w:ind w:left="4894" w:hanging="213"/>
      </w:pPr>
      <w:rPr>
        <w:rFonts w:hint="default"/>
        <w:lang w:val="zh-CN" w:eastAsia="zh-CN" w:bidi="zh-CN"/>
      </w:rPr>
    </w:lvl>
    <w:lvl w:ilvl="5" w:tplc="ED462BA4">
      <w:numFmt w:val="bullet"/>
      <w:lvlText w:val="•"/>
      <w:lvlJc w:val="left"/>
      <w:pPr>
        <w:ind w:left="5853" w:hanging="213"/>
      </w:pPr>
      <w:rPr>
        <w:rFonts w:hint="default"/>
        <w:lang w:val="zh-CN" w:eastAsia="zh-CN" w:bidi="zh-CN"/>
      </w:rPr>
    </w:lvl>
    <w:lvl w:ilvl="6" w:tplc="A0DCA10C">
      <w:numFmt w:val="bullet"/>
      <w:lvlText w:val="•"/>
      <w:lvlJc w:val="left"/>
      <w:pPr>
        <w:ind w:left="6811" w:hanging="213"/>
      </w:pPr>
      <w:rPr>
        <w:rFonts w:hint="default"/>
        <w:lang w:val="zh-CN" w:eastAsia="zh-CN" w:bidi="zh-CN"/>
      </w:rPr>
    </w:lvl>
    <w:lvl w:ilvl="7" w:tplc="FB2ED416">
      <w:numFmt w:val="bullet"/>
      <w:lvlText w:val="•"/>
      <w:lvlJc w:val="left"/>
      <w:pPr>
        <w:ind w:left="7770" w:hanging="213"/>
      </w:pPr>
      <w:rPr>
        <w:rFonts w:hint="default"/>
        <w:lang w:val="zh-CN" w:eastAsia="zh-CN" w:bidi="zh-CN"/>
      </w:rPr>
    </w:lvl>
    <w:lvl w:ilvl="8" w:tplc="CA6658D8">
      <w:numFmt w:val="bullet"/>
      <w:lvlText w:val="•"/>
      <w:lvlJc w:val="left"/>
      <w:pPr>
        <w:ind w:left="8729" w:hanging="213"/>
      </w:pPr>
      <w:rPr>
        <w:rFonts w:hint="default"/>
        <w:lang w:val="zh-CN" w:eastAsia="zh-CN" w:bidi="zh-CN"/>
      </w:rPr>
    </w:lvl>
  </w:abstractNum>
  <w:abstractNum w:abstractNumId="833" w15:restartNumberingAfterBreak="0">
    <w:nsid w:val="6E8E7CFD"/>
    <w:multiLevelType w:val="hybridMultilevel"/>
    <w:tmpl w:val="8FC02120"/>
    <w:lvl w:ilvl="0" w:tplc="46D612BC">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FC9CB596">
      <w:numFmt w:val="bullet"/>
      <w:lvlText w:val="•"/>
      <w:lvlJc w:val="left"/>
      <w:pPr>
        <w:ind w:left="2288" w:hanging="529"/>
      </w:pPr>
      <w:rPr>
        <w:rFonts w:hint="default"/>
        <w:lang w:val="zh-CN" w:eastAsia="zh-CN" w:bidi="zh-CN"/>
      </w:rPr>
    </w:lvl>
    <w:lvl w:ilvl="2" w:tplc="D1180D34">
      <w:numFmt w:val="bullet"/>
      <w:lvlText w:val="•"/>
      <w:lvlJc w:val="left"/>
      <w:pPr>
        <w:ind w:left="3217" w:hanging="529"/>
      </w:pPr>
      <w:rPr>
        <w:rFonts w:hint="default"/>
        <w:lang w:val="zh-CN" w:eastAsia="zh-CN" w:bidi="zh-CN"/>
      </w:rPr>
    </w:lvl>
    <w:lvl w:ilvl="3" w:tplc="CA826D52">
      <w:numFmt w:val="bullet"/>
      <w:lvlText w:val="•"/>
      <w:lvlJc w:val="left"/>
      <w:pPr>
        <w:ind w:left="4145" w:hanging="529"/>
      </w:pPr>
      <w:rPr>
        <w:rFonts w:hint="default"/>
        <w:lang w:val="zh-CN" w:eastAsia="zh-CN" w:bidi="zh-CN"/>
      </w:rPr>
    </w:lvl>
    <w:lvl w:ilvl="4" w:tplc="45B6EC4E">
      <w:numFmt w:val="bullet"/>
      <w:lvlText w:val="•"/>
      <w:lvlJc w:val="left"/>
      <w:pPr>
        <w:ind w:left="5074" w:hanging="529"/>
      </w:pPr>
      <w:rPr>
        <w:rFonts w:hint="default"/>
        <w:lang w:val="zh-CN" w:eastAsia="zh-CN" w:bidi="zh-CN"/>
      </w:rPr>
    </w:lvl>
    <w:lvl w:ilvl="5" w:tplc="EA729C72">
      <w:numFmt w:val="bullet"/>
      <w:lvlText w:val="•"/>
      <w:lvlJc w:val="left"/>
      <w:pPr>
        <w:ind w:left="6003" w:hanging="529"/>
      </w:pPr>
      <w:rPr>
        <w:rFonts w:hint="default"/>
        <w:lang w:val="zh-CN" w:eastAsia="zh-CN" w:bidi="zh-CN"/>
      </w:rPr>
    </w:lvl>
    <w:lvl w:ilvl="6" w:tplc="716483C4">
      <w:numFmt w:val="bullet"/>
      <w:lvlText w:val="•"/>
      <w:lvlJc w:val="left"/>
      <w:pPr>
        <w:ind w:left="6931" w:hanging="529"/>
      </w:pPr>
      <w:rPr>
        <w:rFonts w:hint="default"/>
        <w:lang w:val="zh-CN" w:eastAsia="zh-CN" w:bidi="zh-CN"/>
      </w:rPr>
    </w:lvl>
    <w:lvl w:ilvl="7" w:tplc="69927BB4">
      <w:numFmt w:val="bullet"/>
      <w:lvlText w:val="•"/>
      <w:lvlJc w:val="left"/>
      <w:pPr>
        <w:ind w:left="7860" w:hanging="529"/>
      </w:pPr>
      <w:rPr>
        <w:rFonts w:hint="default"/>
        <w:lang w:val="zh-CN" w:eastAsia="zh-CN" w:bidi="zh-CN"/>
      </w:rPr>
    </w:lvl>
    <w:lvl w:ilvl="8" w:tplc="25A81C2C">
      <w:numFmt w:val="bullet"/>
      <w:lvlText w:val="•"/>
      <w:lvlJc w:val="left"/>
      <w:pPr>
        <w:ind w:left="8789" w:hanging="529"/>
      </w:pPr>
      <w:rPr>
        <w:rFonts w:hint="default"/>
        <w:lang w:val="zh-CN" w:eastAsia="zh-CN" w:bidi="zh-CN"/>
      </w:rPr>
    </w:lvl>
  </w:abstractNum>
  <w:abstractNum w:abstractNumId="834" w15:restartNumberingAfterBreak="0">
    <w:nsid w:val="6E9A59C3"/>
    <w:multiLevelType w:val="hybridMultilevel"/>
    <w:tmpl w:val="9B523F34"/>
    <w:lvl w:ilvl="0" w:tplc="33F6AFF6">
      <w:start w:val="13"/>
      <w:numFmt w:val="decimal"/>
      <w:lvlText w:val="%1"/>
      <w:lvlJc w:val="left"/>
      <w:pPr>
        <w:ind w:left="418" w:hanging="689"/>
        <w:jc w:val="left"/>
      </w:pPr>
      <w:rPr>
        <w:rFonts w:hint="default"/>
        <w:lang w:val="zh-CN" w:eastAsia="zh-CN" w:bidi="zh-CN"/>
      </w:rPr>
    </w:lvl>
    <w:lvl w:ilvl="1" w:tplc="0D5E155C">
      <w:start w:val="2"/>
      <w:numFmt w:val="decimal"/>
      <w:lvlText w:val="%1.%2"/>
      <w:lvlJc w:val="left"/>
      <w:pPr>
        <w:ind w:left="418" w:hanging="689"/>
        <w:jc w:val="left"/>
      </w:pPr>
      <w:rPr>
        <w:rFonts w:hint="default"/>
        <w:lang w:val="zh-CN" w:eastAsia="zh-CN" w:bidi="zh-CN"/>
      </w:rPr>
    </w:lvl>
    <w:lvl w:ilvl="2" w:tplc="C0724662">
      <w:start w:val="1"/>
      <w:numFmt w:val="decimal"/>
      <w:lvlText w:val="%1.%2.%3"/>
      <w:lvlJc w:val="left"/>
      <w:pPr>
        <w:ind w:left="418" w:hanging="689"/>
        <w:jc w:val="left"/>
      </w:pPr>
      <w:rPr>
        <w:rFonts w:ascii="宋体" w:eastAsia="宋体" w:hAnsi="宋体" w:cs="宋体" w:hint="default"/>
        <w:b/>
        <w:bCs/>
        <w:w w:val="99"/>
        <w:sz w:val="21"/>
        <w:szCs w:val="21"/>
        <w:lang w:val="zh-CN" w:eastAsia="zh-CN" w:bidi="zh-CN"/>
      </w:rPr>
    </w:lvl>
    <w:lvl w:ilvl="3" w:tplc="9692FD62">
      <w:numFmt w:val="bullet"/>
      <w:lvlText w:val="•"/>
      <w:lvlJc w:val="left"/>
      <w:pPr>
        <w:ind w:left="3487" w:hanging="689"/>
      </w:pPr>
      <w:rPr>
        <w:rFonts w:hint="default"/>
        <w:lang w:val="zh-CN" w:eastAsia="zh-CN" w:bidi="zh-CN"/>
      </w:rPr>
    </w:lvl>
    <w:lvl w:ilvl="4" w:tplc="2C983FEA">
      <w:numFmt w:val="bullet"/>
      <w:lvlText w:val="•"/>
      <w:lvlJc w:val="left"/>
      <w:pPr>
        <w:ind w:left="4510" w:hanging="689"/>
      </w:pPr>
      <w:rPr>
        <w:rFonts w:hint="default"/>
        <w:lang w:val="zh-CN" w:eastAsia="zh-CN" w:bidi="zh-CN"/>
      </w:rPr>
    </w:lvl>
    <w:lvl w:ilvl="5" w:tplc="517EB572">
      <w:numFmt w:val="bullet"/>
      <w:lvlText w:val="•"/>
      <w:lvlJc w:val="left"/>
      <w:pPr>
        <w:ind w:left="5533" w:hanging="689"/>
      </w:pPr>
      <w:rPr>
        <w:rFonts w:hint="default"/>
        <w:lang w:val="zh-CN" w:eastAsia="zh-CN" w:bidi="zh-CN"/>
      </w:rPr>
    </w:lvl>
    <w:lvl w:ilvl="6" w:tplc="7820075E">
      <w:numFmt w:val="bullet"/>
      <w:lvlText w:val="•"/>
      <w:lvlJc w:val="left"/>
      <w:pPr>
        <w:ind w:left="6555" w:hanging="689"/>
      </w:pPr>
      <w:rPr>
        <w:rFonts w:hint="default"/>
        <w:lang w:val="zh-CN" w:eastAsia="zh-CN" w:bidi="zh-CN"/>
      </w:rPr>
    </w:lvl>
    <w:lvl w:ilvl="7" w:tplc="0A082608">
      <w:numFmt w:val="bullet"/>
      <w:lvlText w:val="•"/>
      <w:lvlJc w:val="left"/>
      <w:pPr>
        <w:ind w:left="7578" w:hanging="689"/>
      </w:pPr>
      <w:rPr>
        <w:rFonts w:hint="default"/>
        <w:lang w:val="zh-CN" w:eastAsia="zh-CN" w:bidi="zh-CN"/>
      </w:rPr>
    </w:lvl>
    <w:lvl w:ilvl="8" w:tplc="4350A668">
      <w:numFmt w:val="bullet"/>
      <w:lvlText w:val="•"/>
      <w:lvlJc w:val="left"/>
      <w:pPr>
        <w:ind w:left="8601" w:hanging="689"/>
      </w:pPr>
      <w:rPr>
        <w:rFonts w:hint="default"/>
        <w:lang w:val="zh-CN" w:eastAsia="zh-CN" w:bidi="zh-CN"/>
      </w:rPr>
    </w:lvl>
  </w:abstractNum>
  <w:abstractNum w:abstractNumId="835" w15:restartNumberingAfterBreak="0">
    <w:nsid w:val="6EAF024D"/>
    <w:multiLevelType w:val="hybridMultilevel"/>
    <w:tmpl w:val="ECA29EE0"/>
    <w:lvl w:ilvl="0" w:tplc="63F0858E">
      <w:start w:val="1"/>
      <w:numFmt w:val="lowerLetter"/>
      <w:lvlText w:val="%1)"/>
      <w:lvlJc w:val="left"/>
      <w:pPr>
        <w:ind w:left="1050" w:hanging="213"/>
        <w:jc w:val="left"/>
      </w:pPr>
      <w:rPr>
        <w:rFonts w:ascii="宋体" w:eastAsia="宋体" w:hAnsi="宋体" w:cs="宋体" w:hint="default"/>
        <w:spacing w:val="-52"/>
        <w:w w:val="100"/>
        <w:sz w:val="19"/>
        <w:szCs w:val="19"/>
        <w:lang w:val="zh-CN" w:eastAsia="zh-CN" w:bidi="zh-CN"/>
      </w:rPr>
    </w:lvl>
    <w:lvl w:ilvl="1" w:tplc="2F7404F2">
      <w:numFmt w:val="bullet"/>
      <w:lvlText w:val="•"/>
      <w:lvlJc w:val="left"/>
      <w:pPr>
        <w:ind w:left="2018" w:hanging="213"/>
      </w:pPr>
      <w:rPr>
        <w:rFonts w:hint="default"/>
        <w:lang w:val="zh-CN" w:eastAsia="zh-CN" w:bidi="zh-CN"/>
      </w:rPr>
    </w:lvl>
    <w:lvl w:ilvl="2" w:tplc="345CF8C8">
      <w:numFmt w:val="bullet"/>
      <w:lvlText w:val="•"/>
      <w:lvlJc w:val="left"/>
      <w:pPr>
        <w:ind w:left="2977" w:hanging="213"/>
      </w:pPr>
      <w:rPr>
        <w:rFonts w:hint="default"/>
        <w:lang w:val="zh-CN" w:eastAsia="zh-CN" w:bidi="zh-CN"/>
      </w:rPr>
    </w:lvl>
    <w:lvl w:ilvl="3" w:tplc="BB927A7E">
      <w:numFmt w:val="bullet"/>
      <w:lvlText w:val="•"/>
      <w:lvlJc w:val="left"/>
      <w:pPr>
        <w:ind w:left="3935" w:hanging="213"/>
      </w:pPr>
      <w:rPr>
        <w:rFonts w:hint="default"/>
        <w:lang w:val="zh-CN" w:eastAsia="zh-CN" w:bidi="zh-CN"/>
      </w:rPr>
    </w:lvl>
    <w:lvl w:ilvl="4" w:tplc="933A95D8">
      <w:numFmt w:val="bullet"/>
      <w:lvlText w:val="•"/>
      <w:lvlJc w:val="left"/>
      <w:pPr>
        <w:ind w:left="4894" w:hanging="213"/>
      </w:pPr>
      <w:rPr>
        <w:rFonts w:hint="default"/>
        <w:lang w:val="zh-CN" w:eastAsia="zh-CN" w:bidi="zh-CN"/>
      </w:rPr>
    </w:lvl>
    <w:lvl w:ilvl="5" w:tplc="237257AC">
      <w:numFmt w:val="bullet"/>
      <w:lvlText w:val="•"/>
      <w:lvlJc w:val="left"/>
      <w:pPr>
        <w:ind w:left="5853" w:hanging="213"/>
      </w:pPr>
      <w:rPr>
        <w:rFonts w:hint="default"/>
        <w:lang w:val="zh-CN" w:eastAsia="zh-CN" w:bidi="zh-CN"/>
      </w:rPr>
    </w:lvl>
    <w:lvl w:ilvl="6" w:tplc="F1A6025E">
      <w:numFmt w:val="bullet"/>
      <w:lvlText w:val="•"/>
      <w:lvlJc w:val="left"/>
      <w:pPr>
        <w:ind w:left="6811" w:hanging="213"/>
      </w:pPr>
      <w:rPr>
        <w:rFonts w:hint="default"/>
        <w:lang w:val="zh-CN" w:eastAsia="zh-CN" w:bidi="zh-CN"/>
      </w:rPr>
    </w:lvl>
    <w:lvl w:ilvl="7" w:tplc="45BEE38C">
      <w:numFmt w:val="bullet"/>
      <w:lvlText w:val="•"/>
      <w:lvlJc w:val="left"/>
      <w:pPr>
        <w:ind w:left="7770" w:hanging="213"/>
      </w:pPr>
      <w:rPr>
        <w:rFonts w:hint="default"/>
        <w:lang w:val="zh-CN" w:eastAsia="zh-CN" w:bidi="zh-CN"/>
      </w:rPr>
    </w:lvl>
    <w:lvl w:ilvl="8" w:tplc="ED28B262">
      <w:numFmt w:val="bullet"/>
      <w:lvlText w:val="•"/>
      <w:lvlJc w:val="left"/>
      <w:pPr>
        <w:ind w:left="8729" w:hanging="213"/>
      </w:pPr>
      <w:rPr>
        <w:rFonts w:hint="default"/>
        <w:lang w:val="zh-CN" w:eastAsia="zh-CN" w:bidi="zh-CN"/>
      </w:rPr>
    </w:lvl>
  </w:abstractNum>
  <w:abstractNum w:abstractNumId="836" w15:restartNumberingAfterBreak="0">
    <w:nsid w:val="6EAF7A8B"/>
    <w:multiLevelType w:val="hybridMultilevel"/>
    <w:tmpl w:val="FBFE03FA"/>
    <w:lvl w:ilvl="0" w:tplc="0742B8B4">
      <w:start w:val="1"/>
      <w:numFmt w:val="decimal"/>
      <w:lvlText w:val="（%1）"/>
      <w:lvlJc w:val="left"/>
      <w:pPr>
        <w:ind w:left="1367" w:hanging="529"/>
        <w:jc w:val="left"/>
      </w:pPr>
      <w:rPr>
        <w:rFonts w:ascii="宋体" w:eastAsia="宋体" w:hAnsi="宋体" w:cs="宋体" w:hint="default"/>
        <w:w w:val="100"/>
        <w:sz w:val="19"/>
        <w:szCs w:val="19"/>
        <w:lang w:val="zh-CN" w:eastAsia="zh-CN" w:bidi="zh-CN"/>
      </w:rPr>
    </w:lvl>
    <w:lvl w:ilvl="1" w:tplc="5966238C">
      <w:numFmt w:val="bullet"/>
      <w:lvlText w:val="•"/>
      <w:lvlJc w:val="left"/>
      <w:pPr>
        <w:ind w:left="2288" w:hanging="529"/>
      </w:pPr>
      <w:rPr>
        <w:rFonts w:hint="default"/>
        <w:lang w:val="zh-CN" w:eastAsia="zh-CN" w:bidi="zh-CN"/>
      </w:rPr>
    </w:lvl>
    <w:lvl w:ilvl="2" w:tplc="22128EAE">
      <w:numFmt w:val="bullet"/>
      <w:lvlText w:val="•"/>
      <w:lvlJc w:val="left"/>
      <w:pPr>
        <w:ind w:left="3217" w:hanging="529"/>
      </w:pPr>
      <w:rPr>
        <w:rFonts w:hint="default"/>
        <w:lang w:val="zh-CN" w:eastAsia="zh-CN" w:bidi="zh-CN"/>
      </w:rPr>
    </w:lvl>
    <w:lvl w:ilvl="3" w:tplc="1E88D038">
      <w:numFmt w:val="bullet"/>
      <w:lvlText w:val="•"/>
      <w:lvlJc w:val="left"/>
      <w:pPr>
        <w:ind w:left="4145" w:hanging="529"/>
      </w:pPr>
      <w:rPr>
        <w:rFonts w:hint="default"/>
        <w:lang w:val="zh-CN" w:eastAsia="zh-CN" w:bidi="zh-CN"/>
      </w:rPr>
    </w:lvl>
    <w:lvl w:ilvl="4" w:tplc="A6F483F0">
      <w:numFmt w:val="bullet"/>
      <w:lvlText w:val="•"/>
      <w:lvlJc w:val="left"/>
      <w:pPr>
        <w:ind w:left="5074" w:hanging="529"/>
      </w:pPr>
      <w:rPr>
        <w:rFonts w:hint="default"/>
        <w:lang w:val="zh-CN" w:eastAsia="zh-CN" w:bidi="zh-CN"/>
      </w:rPr>
    </w:lvl>
    <w:lvl w:ilvl="5" w:tplc="27F2E0D2">
      <w:numFmt w:val="bullet"/>
      <w:lvlText w:val="•"/>
      <w:lvlJc w:val="left"/>
      <w:pPr>
        <w:ind w:left="6003" w:hanging="529"/>
      </w:pPr>
      <w:rPr>
        <w:rFonts w:hint="default"/>
        <w:lang w:val="zh-CN" w:eastAsia="zh-CN" w:bidi="zh-CN"/>
      </w:rPr>
    </w:lvl>
    <w:lvl w:ilvl="6" w:tplc="88D82BAE">
      <w:numFmt w:val="bullet"/>
      <w:lvlText w:val="•"/>
      <w:lvlJc w:val="left"/>
      <w:pPr>
        <w:ind w:left="6931" w:hanging="529"/>
      </w:pPr>
      <w:rPr>
        <w:rFonts w:hint="default"/>
        <w:lang w:val="zh-CN" w:eastAsia="zh-CN" w:bidi="zh-CN"/>
      </w:rPr>
    </w:lvl>
    <w:lvl w:ilvl="7" w:tplc="F5EC0C1E">
      <w:numFmt w:val="bullet"/>
      <w:lvlText w:val="•"/>
      <w:lvlJc w:val="left"/>
      <w:pPr>
        <w:ind w:left="7860" w:hanging="529"/>
      </w:pPr>
      <w:rPr>
        <w:rFonts w:hint="default"/>
        <w:lang w:val="zh-CN" w:eastAsia="zh-CN" w:bidi="zh-CN"/>
      </w:rPr>
    </w:lvl>
    <w:lvl w:ilvl="8" w:tplc="53CC0B22">
      <w:numFmt w:val="bullet"/>
      <w:lvlText w:val="•"/>
      <w:lvlJc w:val="left"/>
      <w:pPr>
        <w:ind w:left="8789" w:hanging="529"/>
      </w:pPr>
      <w:rPr>
        <w:rFonts w:hint="default"/>
        <w:lang w:val="zh-CN" w:eastAsia="zh-CN" w:bidi="zh-CN"/>
      </w:rPr>
    </w:lvl>
  </w:abstractNum>
  <w:abstractNum w:abstractNumId="837" w15:restartNumberingAfterBreak="0">
    <w:nsid w:val="6EE80689"/>
    <w:multiLevelType w:val="hybridMultilevel"/>
    <w:tmpl w:val="BC9E8EEE"/>
    <w:lvl w:ilvl="0" w:tplc="A4EA3446">
      <w:start w:val="6"/>
      <w:numFmt w:val="decimal"/>
      <w:lvlText w:val="%1"/>
      <w:lvlJc w:val="left"/>
      <w:pPr>
        <w:ind w:left="1159" w:hanging="320"/>
        <w:jc w:val="left"/>
      </w:pPr>
      <w:rPr>
        <w:rFonts w:hint="default"/>
        <w:lang w:val="zh-CN" w:eastAsia="zh-CN" w:bidi="zh-CN"/>
      </w:rPr>
    </w:lvl>
    <w:lvl w:ilvl="1" w:tplc="E64C9584">
      <w:start w:val="8"/>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77E29266">
      <w:numFmt w:val="bullet"/>
      <w:lvlText w:val="•"/>
      <w:lvlJc w:val="left"/>
      <w:pPr>
        <w:ind w:left="3057" w:hanging="320"/>
      </w:pPr>
      <w:rPr>
        <w:rFonts w:hint="default"/>
        <w:lang w:val="zh-CN" w:eastAsia="zh-CN" w:bidi="zh-CN"/>
      </w:rPr>
    </w:lvl>
    <w:lvl w:ilvl="3" w:tplc="FEDE24CC">
      <w:numFmt w:val="bullet"/>
      <w:lvlText w:val="•"/>
      <w:lvlJc w:val="left"/>
      <w:pPr>
        <w:ind w:left="4005" w:hanging="320"/>
      </w:pPr>
      <w:rPr>
        <w:rFonts w:hint="default"/>
        <w:lang w:val="zh-CN" w:eastAsia="zh-CN" w:bidi="zh-CN"/>
      </w:rPr>
    </w:lvl>
    <w:lvl w:ilvl="4" w:tplc="05B2FD4C">
      <w:numFmt w:val="bullet"/>
      <w:lvlText w:val="•"/>
      <w:lvlJc w:val="left"/>
      <w:pPr>
        <w:ind w:left="4954" w:hanging="320"/>
      </w:pPr>
      <w:rPr>
        <w:rFonts w:hint="default"/>
        <w:lang w:val="zh-CN" w:eastAsia="zh-CN" w:bidi="zh-CN"/>
      </w:rPr>
    </w:lvl>
    <w:lvl w:ilvl="5" w:tplc="EFEA7730">
      <w:numFmt w:val="bullet"/>
      <w:lvlText w:val="•"/>
      <w:lvlJc w:val="left"/>
      <w:pPr>
        <w:ind w:left="5903" w:hanging="320"/>
      </w:pPr>
      <w:rPr>
        <w:rFonts w:hint="default"/>
        <w:lang w:val="zh-CN" w:eastAsia="zh-CN" w:bidi="zh-CN"/>
      </w:rPr>
    </w:lvl>
    <w:lvl w:ilvl="6" w:tplc="E74CD5E2">
      <w:numFmt w:val="bullet"/>
      <w:lvlText w:val="•"/>
      <w:lvlJc w:val="left"/>
      <w:pPr>
        <w:ind w:left="6851" w:hanging="320"/>
      </w:pPr>
      <w:rPr>
        <w:rFonts w:hint="default"/>
        <w:lang w:val="zh-CN" w:eastAsia="zh-CN" w:bidi="zh-CN"/>
      </w:rPr>
    </w:lvl>
    <w:lvl w:ilvl="7" w:tplc="D9169C26">
      <w:numFmt w:val="bullet"/>
      <w:lvlText w:val="•"/>
      <w:lvlJc w:val="left"/>
      <w:pPr>
        <w:ind w:left="7800" w:hanging="320"/>
      </w:pPr>
      <w:rPr>
        <w:rFonts w:hint="default"/>
        <w:lang w:val="zh-CN" w:eastAsia="zh-CN" w:bidi="zh-CN"/>
      </w:rPr>
    </w:lvl>
    <w:lvl w:ilvl="8" w:tplc="CA56E04C">
      <w:numFmt w:val="bullet"/>
      <w:lvlText w:val="•"/>
      <w:lvlJc w:val="left"/>
      <w:pPr>
        <w:ind w:left="8749" w:hanging="320"/>
      </w:pPr>
      <w:rPr>
        <w:rFonts w:hint="default"/>
        <w:lang w:val="zh-CN" w:eastAsia="zh-CN" w:bidi="zh-CN"/>
      </w:rPr>
    </w:lvl>
  </w:abstractNum>
  <w:abstractNum w:abstractNumId="838" w15:restartNumberingAfterBreak="0">
    <w:nsid w:val="6F1126E3"/>
    <w:multiLevelType w:val="hybridMultilevel"/>
    <w:tmpl w:val="2E6E92DC"/>
    <w:lvl w:ilvl="0" w:tplc="69E4DB5C">
      <w:start w:val="6"/>
      <w:numFmt w:val="decimal"/>
      <w:lvlText w:val="%1"/>
      <w:lvlJc w:val="left"/>
      <w:pPr>
        <w:ind w:left="1681" w:hanging="844"/>
        <w:jc w:val="left"/>
      </w:pPr>
      <w:rPr>
        <w:rFonts w:hint="default"/>
        <w:lang w:val="zh-CN" w:eastAsia="zh-CN" w:bidi="zh-CN"/>
      </w:rPr>
    </w:lvl>
    <w:lvl w:ilvl="1" w:tplc="FAE855C4">
      <w:start w:val="16"/>
      <w:numFmt w:val="decimal"/>
      <w:lvlText w:val="%1.%2"/>
      <w:lvlJc w:val="left"/>
      <w:pPr>
        <w:ind w:left="1681" w:hanging="844"/>
        <w:jc w:val="left"/>
      </w:pPr>
      <w:rPr>
        <w:rFonts w:hint="default"/>
        <w:lang w:val="zh-CN" w:eastAsia="zh-CN" w:bidi="zh-CN"/>
      </w:rPr>
    </w:lvl>
    <w:lvl w:ilvl="2" w:tplc="D93A4334">
      <w:start w:val="4"/>
      <w:numFmt w:val="decimal"/>
      <w:lvlText w:val="%1.%2.%3"/>
      <w:lvlJc w:val="left"/>
      <w:pPr>
        <w:ind w:left="1681" w:hanging="844"/>
        <w:jc w:val="left"/>
      </w:pPr>
      <w:rPr>
        <w:rFonts w:hint="default"/>
        <w:lang w:val="zh-CN" w:eastAsia="zh-CN" w:bidi="zh-CN"/>
      </w:rPr>
    </w:lvl>
    <w:lvl w:ilvl="3" w:tplc="8014EDA4">
      <w:start w:val="1"/>
      <w:numFmt w:val="decimal"/>
      <w:lvlText w:val="%1.%2.%3.%4"/>
      <w:lvlJc w:val="left"/>
      <w:pPr>
        <w:ind w:left="1681" w:hanging="844"/>
        <w:jc w:val="left"/>
      </w:pPr>
      <w:rPr>
        <w:rFonts w:ascii="宋体" w:eastAsia="宋体" w:hAnsi="宋体" w:cs="宋体" w:hint="default"/>
        <w:spacing w:val="-3"/>
        <w:w w:val="100"/>
        <w:sz w:val="19"/>
        <w:szCs w:val="19"/>
        <w:lang w:val="zh-CN" w:eastAsia="zh-CN" w:bidi="zh-CN"/>
      </w:rPr>
    </w:lvl>
    <w:lvl w:ilvl="4" w:tplc="43B85676">
      <w:start w:val="1"/>
      <w:numFmt w:val="decimal"/>
      <w:lvlText w:val="%1.%2.%3.%4.%5"/>
      <w:lvlJc w:val="left"/>
      <w:pPr>
        <w:ind w:left="418" w:hanging="1055"/>
        <w:jc w:val="left"/>
      </w:pPr>
      <w:rPr>
        <w:rFonts w:ascii="宋体" w:eastAsia="宋体" w:hAnsi="宋体" w:cs="宋体" w:hint="default"/>
        <w:spacing w:val="-3"/>
        <w:w w:val="100"/>
        <w:sz w:val="19"/>
        <w:szCs w:val="19"/>
        <w:lang w:val="zh-CN" w:eastAsia="zh-CN" w:bidi="zh-CN"/>
      </w:rPr>
    </w:lvl>
    <w:lvl w:ilvl="5" w:tplc="4D1474F6">
      <w:numFmt w:val="bullet"/>
      <w:lvlText w:val="•"/>
      <w:lvlJc w:val="left"/>
      <w:pPr>
        <w:ind w:left="5665" w:hanging="1055"/>
      </w:pPr>
      <w:rPr>
        <w:rFonts w:hint="default"/>
        <w:lang w:val="zh-CN" w:eastAsia="zh-CN" w:bidi="zh-CN"/>
      </w:rPr>
    </w:lvl>
    <w:lvl w:ilvl="6" w:tplc="73B0B65E">
      <w:numFmt w:val="bullet"/>
      <w:lvlText w:val="•"/>
      <w:lvlJc w:val="left"/>
      <w:pPr>
        <w:ind w:left="6661" w:hanging="1055"/>
      </w:pPr>
      <w:rPr>
        <w:rFonts w:hint="default"/>
        <w:lang w:val="zh-CN" w:eastAsia="zh-CN" w:bidi="zh-CN"/>
      </w:rPr>
    </w:lvl>
    <w:lvl w:ilvl="7" w:tplc="CAA23844">
      <w:numFmt w:val="bullet"/>
      <w:lvlText w:val="•"/>
      <w:lvlJc w:val="left"/>
      <w:pPr>
        <w:ind w:left="7657" w:hanging="1055"/>
      </w:pPr>
      <w:rPr>
        <w:rFonts w:hint="default"/>
        <w:lang w:val="zh-CN" w:eastAsia="zh-CN" w:bidi="zh-CN"/>
      </w:rPr>
    </w:lvl>
    <w:lvl w:ilvl="8" w:tplc="DB886AA4">
      <w:numFmt w:val="bullet"/>
      <w:lvlText w:val="•"/>
      <w:lvlJc w:val="left"/>
      <w:pPr>
        <w:ind w:left="8653" w:hanging="1055"/>
      </w:pPr>
      <w:rPr>
        <w:rFonts w:hint="default"/>
        <w:lang w:val="zh-CN" w:eastAsia="zh-CN" w:bidi="zh-CN"/>
      </w:rPr>
    </w:lvl>
  </w:abstractNum>
  <w:abstractNum w:abstractNumId="839" w15:restartNumberingAfterBreak="0">
    <w:nsid w:val="6F7B06B1"/>
    <w:multiLevelType w:val="hybridMultilevel"/>
    <w:tmpl w:val="EEB67A2E"/>
    <w:lvl w:ilvl="0" w:tplc="9DA06A9E">
      <w:start w:val="6"/>
      <w:numFmt w:val="decimal"/>
      <w:lvlText w:val="%1"/>
      <w:lvlJc w:val="left"/>
      <w:pPr>
        <w:ind w:left="418" w:hanging="529"/>
        <w:jc w:val="left"/>
      </w:pPr>
      <w:rPr>
        <w:rFonts w:hint="default"/>
        <w:lang w:val="zh-CN" w:eastAsia="zh-CN" w:bidi="zh-CN"/>
      </w:rPr>
    </w:lvl>
    <w:lvl w:ilvl="1" w:tplc="B0E84E0C">
      <w:start w:val="3"/>
      <w:numFmt w:val="decimal"/>
      <w:lvlText w:val="%1.%2"/>
      <w:lvlJc w:val="left"/>
      <w:pPr>
        <w:ind w:left="418" w:hanging="529"/>
        <w:jc w:val="left"/>
      </w:pPr>
      <w:rPr>
        <w:rFonts w:hint="default"/>
        <w:lang w:val="zh-CN" w:eastAsia="zh-CN" w:bidi="zh-CN"/>
      </w:rPr>
    </w:lvl>
    <w:lvl w:ilvl="2" w:tplc="708C4E2E">
      <w:start w:val="4"/>
      <w:numFmt w:val="decimal"/>
      <w:lvlText w:val="%1.%2.%3"/>
      <w:lvlJc w:val="left"/>
      <w:pPr>
        <w:ind w:left="418" w:hanging="529"/>
        <w:jc w:val="left"/>
      </w:pPr>
      <w:rPr>
        <w:rFonts w:ascii="宋体" w:eastAsia="宋体" w:hAnsi="宋体" w:cs="宋体" w:hint="default"/>
        <w:b/>
        <w:bCs/>
        <w:spacing w:val="-55"/>
        <w:w w:val="99"/>
        <w:sz w:val="19"/>
        <w:szCs w:val="19"/>
        <w:lang w:val="zh-CN" w:eastAsia="zh-CN" w:bidi="zh-CN"/>
      </w:rPr>
    </w:lvl>
    <w:lvl w:ilvl="3" w:tplc="B6CC4606">
      <w:numFmt w:val="bullet"/>
      <w:lvlText w:val="•"/>
      <w:lvlJc w:val="left"/>
      <w:pPr>
        <w:ind w:left="3487" w:hanging="529"/>
      </w:pPr>
      <w:rPr>
        <w:rFonts w:hint="default"/>
        <w:lang w:val="zh-CN" w:eastAsia="zh-CN" w:bidi="zh-CN"/>
      </w:rPr>
    </w:lvl>
    <w:lvl w:ilvl="4" w:tplc="C3286028">
      <w:numFmt w:val="bullet"/>
      <w:lvlText w:val="•"/>
      <w:lvlJc w:val="left"/>
      <w:pPr>
        <w:ind w:left="4510" w:hanging="529"/>
      </w:pPr>
      <w:rPr>
        <w:rFonts w:hint="default"/>
        <w:lang w:val="zh-CN" w:eastAsia="zh-CN" w:bidi="zh-CN"/>
      </w:rPr>
    </w:lvl>
    <w:lvl w:ilvl="5" w:tplc="5EB47E04">
      <w:numFmt w:val="bullet"/>
      <w:lvlText w:val="•"/>
      <w:lvlJc w:val="left"/>
      <w:pPr>
        <w:ind w:left="5533" w:hanging="529"/>
      </w:pPr>
      <w:rPr>
        <w:rFonts w:hint="default"/>
        <w:lang w:val="zh-CN" w:eastAsia="zh-CN" w:bidi="zh-CN"/>
      </w:rPr>
    </w:lvl>
    <w:lvl w:ilvl="6" w:tplc="D220B62A">
      <w:numFmt w:val="bullet"/>
      <w:lvlText w:val="•"/>
      <w:lvlJc w:val="left"/>
      <w:pPr>
        <w:ind w:left="6555" w:hanging="529"/>
      </w:pPr>
      <w:rPr>
        <w:rFonts w:hint="default"/>
        <w:lang w:val="zh-CN" w:eastAsia="zh-CN" w:bidi="zh-CN"/>
      </w:rPr>
    </w:lvl>
    <w:lvl w:ilvl="7" w:tplc="18526296">
      <w:numFmt w:val="bullet"/>
      <w:lvlText w:val="•"/>
      <w:lvlJc w:val="left"/>
      <w:pPr>
        <w:ind w:left="7578" w:hanging="529"/>
      </w:pPr>
      <w:rPr>
        <w:rFonts w:hint="default"/>
        <w:lang w:val="zh-CN" w:eastAsia="zh-CN" w:bidi="zh-CN"/>
      </w:rPr>
    </w:lvl>
    <w:lvl w:ilvl="8" w:tplc="89422CD8">
      <w:numFmt w:val="bullet"/>
      <w:lvlText w:val="•"/>
      <w:lvlJc w:val="left"/>
      <w:pPr>
        <w:ind w:left="8601" w:hanging="529"/>
      </w:pPr>
      <w:rPr>
        <w:rFonts w:hint="default"/>
        <w:lang w:val="zh-CN" w:eastAsia="zh-CN" w:bidi="zh-CN"/>
      </w:rPr>
    </w:lvl>
  </w:abstractNum>
  <w:abstractNum w:abstractNumId="840" w15:restartNumberingAfterBreak="0">
    <w:nsid w:val="6FB42AD2"/>
    <w:multiLevelType w:val="hybridMultilevel"/>
    <w:tmpl w:val="001C84E0"/>
    <w:lvl w:ilvl="0" w:tplc="F1FC04AC">
      <w:start w:val="6"/>
      <w:numFmt w:val="decimal"/>
      <w:lvlText w:val="%1"/>
      <w:lvlJc w:val="left"/>
      <w:pPr>
        <w:ind w:left="1159" w:hanging="320"/>
        <w:jc w:val="left"/>
      </w:pPr>
      <w:rPr>
        <w:rFonts w:hint="default"/>
        <w:lang w:val="zh-CN" w:eastAsia="zh-CN" w:bidi="zh-CN"/>
      </w:rPr>
    </w:lvl>
    <w:lvl w:ilvl="1" w:tplc="AEDCC84A">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641E27FA">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25384904">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6FCC4F72">
      <w:numFmt w:val="bullet"/>
      <w:lvlText w:val="•"/>
      <w:lvlJc w:val="left"/>
      <w:pPr>
        <w:ind w:left="3846" w:hanging="738"/>
      </w:pPr>
      <w:rPr>
        <w:rFonts w:hint="default"/>
        <w:lang w:val="zh-CN" w:eastAsia="zh-CN" w:bidi="zh-CN"/>
      </w:rPr>
    </w:lvl>
    <w:lvl w:ilvl="5" w:tplc="395E170E">
      <w:numFmt w:val="bullet"/>
      <w:lvlText w:val="•"/>
      <w:lvlJc w:val="left"/>
      <w:pPr>
        <w:ind w:left="4979" w:hanging="738"/>
      </w:pPr>
      <w:rPr>
        <w:rFonts w:hint="default"/>
        <w:lang w:val="zh-CN" w:eastAsia="zh-CN" w:bidi="zh-CN"/>
      </w:rPr>
    </w:lvl>
    <w:lvl w:ilvl="6" w:tplc="E9702536">
      <w:numFmt w:val="bullet"/>
      <w:lvlText w:val="•"/>
      <w:lvlJc w:val="left"/>
      <w:pPr>
        <w:ind w:left="6113" w:hanging="738"/>
      </w:pPr>
      <w:rPr>
        <w:rFonts w:hint="default"/>
        <w:lang w:val="zh-CN" w:eastAsia="zh-CN" w:bidi="zh-CN"/>
      </w:rPr>
    </w:lvl>
    <w:lvl w:ilvl="7" w:tplc="DECE3212">
      <w:numFmt w:val="bullet"/>
      <w:lvlText w:val="•"/>
      <w:lvlJc w:val="left"/>
      <w:pPr>
        <w:ind w:left="7246" w:hanging="738"/>
      </w:pPr>
      <w:rPr>
        <w:rFonts w:hint="default"/>
        <w:lang w:val="zh-CN" w:eastAsia="zh-CN" w:bidi="zh-CN"/>
      </w:rPr>
    </w:lvl>
    <w:lvl w:ilvl="8" w:tplc="275C7C96">
      <w:numFmt w:val="bullet"/>
      <w:lvlText w:val="•"/>
      <w:lvlJc w:val="left"/>
      <w:pPr>
        <w:ind w:left="8379" w:hanging="738"/>
      </w:pPr>
      <w:rPr>
        <w:rFonts w:hint="default"/>
        <w:lang w:val="zh-CN" w:eastAsia="zh-CN" w:bidi="zh-CN"/>
      </w:rPr>
    </w:lvl>
  </w:abstractNum>
  <w:abstractNum w:abstractNumId="841" w15:restartNumberingAfterBreak="0">
    <w:nsid w:val="6FBC4EC8"/>
    <w:multiLevelType w:val="hybridMultilevel"/>
    <w:tmpl w:val="38F6BB86"/>
    <w:lvl w:ilvl="0" w:tplc="B296CD60">
      <w:start w:val="6"/>
      <w:numFmt w:val="decimal"/>
      <w:lvlText w:val="%1"/>
      <w:lvlJc w:val="left"/>
      <w:pPr>
        <w:ind w:left="1370" w:hanging="531"/>
        <w:jc w:val="left"/>
      </w:pPr>
      <w:rPr>
        <w:rFonts w:hint="default"/>
        <w:lang w:val="zh-CN" w:eastAsia="zh-CN" w:bidi="zh-CN"/>
      </w:rPr>
    </w:lvl>
    <w:lvl w:ilvl="1" w:tplc="5C049B60">
      <w:start w:val="5"/>
      <w:numFmt w:val="decimal"/>
      <w:lvlText w:val="%1.%2"/>
      <w:lvlJc w:val="left"/>
      <w:pPr>
        <w:ind w:left="1370" w:hanging="531"/>
        <w:jc w:val="left"/>
      </w:pPr>
      <w:rPr>
        <w:rFonts w:hint="default"/>
        <w:lang w:val="zh-CN" w:eastAsia="zh-CN" w:bidi="zh-CN"/>
      </w:rPr>
    </w:lvl>
    <w:lvl w:ilvl="2" w:tplc="30D4B916">
      <w:start w:val="1"/>
      <w:numFmt w:val="decimal"/>
      <w:lvlText w:val="%1.%2.%3"/>
      <w:lvlJc w:val="left"/>
      <w:pPr>
        <w:ind w:left="1370" w:hanging="531"/>
        <w:jc w:val="left"/>
      </w:pPr>
      <w:rPr>
        <w:rFonts w:ascii="宋体" w:eastAsia="宋体" w:hAnsi="宋体" w:cs="宋体" w:hint="default"/>
        <w:b/>
        <w:bCs/>
        <w:color w:val="333333"/>
        <w:w w:val="99"/>
        <w:sz w:val="19"/>
        <w:szCs w:val="19"/>
        <w:lang w:val="zh-CN" w:eastAsia="zh-CN" w:bidi="zh-CN"/>
      </w:rPr>
    </w:lvl>
    <w:lvl w:ilvl="3" w:tplc="268655FE">
      <w:numFmt w:val="bullet"/>
      <w:lvlText w:val="•"/>
      <w:lvlJc w:val="left"/>
      <w:pPr>
        <w:ind w:left="4159" w:hanging="531"/>
      </w:pPr>
      <w:rPr>
        <w:rFonts w:hint="default"/>
        <w:lang w:val="zh-CN" w:eastAsia="zh-CN" w:bidi="zh-CN"/>
      </w:rPr>
    </w:lvl>
    <w:lvl w:ilvl="4" w:tplc="5686E8F8">
      <w:numFmt w:val="bullet"/>
      <w:lvlText w:val="•"/>
      <w:lvlJc w:val="left"/>
      <w:pPr>
        <w:ind w:left="5086" w:hanging="531"/>
      </w:pPr>
      <w:rPr>
        <w:rFonts w:hint="default"/>
        <w:lang w:val="zh-CN" w:eastAsia="zh-CN" w:bidi="zh-CN"/>
      </w:rPr>
    </w:lvl>
    <w:lvl w:ilvl="5" w:tplc="FA1002E2">
      <w:numFmt w:val="bullet"/>
      <w:lvlText w:val="•"/>
      <w:lvlJc w:val="left"/>
      <w:pPr>
        <w:ind w:left="6013" w:hanging="531"/>
      </w:pPr>
      <w:rPr>
        <w:rFonts w:hint="default"/>
        <w:lang w:val="zh-CN" w:eastAsia="zh-CN" w:bidi="zh-CN"/>
      </w:rPr>
    </w:lvl>
    <w:lvl w:ilvl="6" w:tplc="E5C2CA78">
      <w:numFmt w:val="bullet"/>
      <w:lvlText w:val="•"/>
      <w:lvlJc w:val="left"/>
      <w:pPr>
        <w:ind w:left="6939" w:hanging="531"/>
      </w:pPr>
      <w:rPr>
        <w:rFonts w:hint="default"/>
        <w:lang w:val="zh-CN" w:eastAsia="zh-CN" w:bidi="zh-CN"/>
      </w:rPr>
    </w:lvl>
    <w:lvl w:ilvl="7" w:tplc="139A4066">
      <w:numFmt w:val="bullet"/>
      <w:lvlText w:val="•"/>
      <w:lvlJc w:val="left"/>
      <w:pPr>
        <w:ind w:left="7866" w:hanging="531"/>
      </w:pPr>
      <w:rPr>
        <w:rFonts w:hint="default"/>
        <w:lang w:val="zh-CN" w:eastAsia="zh-CN" w:bidi="zh-CN"/>
      </w:rPr>
    </w:lvl>
    <w:lvl w:ilvl="8" w:tplc="E73685E4">
      <w:numFmt w:val="bullet"/>
      <w:lvlText w:val="•"/>
      <w:lvlJc w:val="left"/>
      <w:pPr>
        <w:ind w:left="8793" w:hanging="531"/>
      </w:pPr>
      <w:rPr>
        <w:rFonts w:hint="default"/>
        <w:lang w:val="zh-CN" w:eastAsia="zh-CN" w:bidi="zh-CN"/>
      </w:rPr>
    </w:lvl>
  </w:abstractNum>
  <w:abstractNum w:abstractNumId="842" w15:restartNumberingAfterBreak="0">
    <w:nsid w:val="6FD75668"/>
    <w:multiLevelType w:val="hybridMultilevel"/>
    <w:tmpl w:val="255EF73C"/>
    <w:lvl w:ilvl="0" w:tplc="7E9CC988">
      <w:start w:val="6"/>
      <w:numFmt w:val="decimal"/>
      <w:lvlText w:val="%1"/>
      <w:lvlJc w:val="left"/>
      <w:pPr>
        <w:ind w:left="418" w:hanging="738"/>
        <w:jc w:val="left"/>
      </w:pPr>
      <w:rPr>
        <w:rFonts w:hint="default"/>
        <w:lang w:val="zh-CN" w:eastAsia="zh-CN" w:bidi="zh-CN"/>
      </w:rPr>
    </w:lvl>
    <w:lvl w:ilvl="1" w:tplc="E7E4B270">
      <w:start w:val="5"/>
      <w:numFmt w:val="decimal"/>
      <w:lvlText w:val="%1.%2"/>
      <w:lvlJc w:val="left"/>
      <w:pPr>
        <w:ind w:left="418" w:hanging="738"/>
        <w:jc w:val="left"/>
      </w:pPr>
      <w:rPr>
        <w:rFonts w:hint="default"/>
        <w:lang w:val="zh-CN" w:eastAsia="zh-CN" w:bidi="zh-CN"/>
      </w:rPr>
    </w:lvl>
    <w:lvl w:ilvl="2" w:tplc="E6641BF0">
      <w:start w:val="7"/>
      <w:numFmt w:val="decimal"/>
      <w:lvlText w:val="%1.%2.%3"/>
      <w:lvlJc w:val="left"/>
      <w:pPr>
        <w:ind w:left="418" w:hanging="738"/>
        <w:jc w:val="left"/>
      </w:pPr>
      <w:rPr>
        <w:rFonts w:hint="default"/>
        <w:lang w:val="zh-CN" w:eastAsia="zh-CN" w:bidi="zh-CN"/>
      </w:rPr>
    </w:lvl>
    <w:lvl w:ilvl="3" w:tplc="15B4EA08">
      <w:start w:val="5"/>
      <w:numFmt w:val="decimal"/>
      <w:lvlText w:val="%1.%2.%3.%4"/>
      <w:lvlJc w:val="left"/>
      <w:pPr>
        <w:ind w:left="418" w:hanging="738"/>
        <w:jc w:val="left"/>
      </w:pPr>
      <w:rPr>
        <w:rFonts w:ascii="宋体" w:eastAsia="宋体" w:hAnsi="宋体" w:cs="宋体" w:hint="default"/>
        <w:spacing w:val="-3"/>
        <w:w w:val="100"/>
        <w:sz w:val="19"/>
        <w:szCs w:val="19"/>
        <w:lang w:val="zh-CN" w:eastAsia="zh-CN" w:bidi="zh-CN"/>
      </w:rPr>
    </w:lvl>
    <w:lvl w:ilvl="4" w:tplc="D486C868">
      <w:numFmt w:val="bullet"/>
      <w:lvlText w:val="•"/>
      <w:lvlJc w:val="left"/>
      <w:pPr>
        <w:ind w:left="4510" w:hanging="738"/>
      </w:pPr>
      <w:rPr>
        <w:rFonts w:hint="default"/>
        <w:lang w:val="zh-CN" w:eastAsia="zh-CN" w:bidi="zh-CN"/>
      </w:rPr>
    </w:lvl>
    <w:lvl w:ilvl="5" w:tplc="DA3E13AE">
      <w:numFmt w:val="bullet"/>
      <w:lvlText w:val="•"/>
      <w:lvlJc w:val="left"/>
      <w:pPr>
        <w:ind w:left="5533" w:hanging="738"/>
      </w:pPr>
      <w:rPr>
        <w:rFonts w:hint="default"/>
        <w:lang w:val="zh-CN" w:eastAsia="zh-CN" w:bidi="zh-CN"/>
      </w:rPr>
    </w:lvl>
    <w:lvl w:ilvl="6" w:tplc="4864A992">
      <w:numFmt w:val="bullet"/>
      <w:lvlText w:val="•"/>
      <w:lvlJc w:val="left"/>
      <w:pPr>
        <w:ind w:left="6555" w:hanging="738"/>
      </w:pPr>
      <w:rPr>
        <w:rFonts w:hint="default"/>
        <w:lang w:val="zh-CN" w:eastAsia="zh-CN" w:bidi="zh-CN"/>
      </w:rPr>
    </w:lvl>
    <w:lvl w:ilvl="7" w:tplc="BAA841C4">
      <w:numFmt w:val="bullet"/>
      <w:lvlText w:val="•"/>
      <w:lvlJc w:val="left"/>
      <w:pPr>
        <w:ind w:left="7578" w:hanging="738"/>
      </w:pPr>
      <w:rPr>
        <w:rFonts w:hint="default"/>
        <w:lang w:val="zh-CN" w:eastAsia="zh-CN" w:bidi="zh-CN"/>
      </w:rPr>
    </w:lvl>
    <w:lvl w:ilvl="8" w:tplc="69E03554">
      <w:numFmt w:val="bullet"/>
      <w:lvlText w:val="•"/>
      <w:lvlJc w:val="left"/>
      <w:pPr>
        <w:ind w:left="8601" w:hanging="738"/>
      </w:pPr>
      <w:rPr>
        <w:rFonts w:hint="default"/>
        <w:lang w:val="zh-CN" w:eastAsia="zh-CN" w:bidi="zh-CN"/>
      </w:rPr>
    </w:lvl>
  </w:abstractNum>
  <w:abstractNum w:abstractNumId="843" w15:restartNumberingAfterBreak="0">
    <w:nsid w:val="6FD8045E"/>
    <w:multiLevelType w:val="hybridMultilevel"/>
    <w:tmpl w:val="698CBE16"/>
    <w:lvl w:ilvl="0" w:tplc="E63AEC6E">
      <w:start w:val="4"/>
      <w:numFmt w:val="decimal"/>
      <w:lvlText w:val="%1"/>
      <w:lvlJc w:val="left"/>
      <w:pPr>
        <w:ind w:left="418" w:hanging="531"/>
        <w:jc w:val="left"/>
      </w:pPr>
      <w:rPr>
        <w:rFonts w:hint="default"/>
        <w:lang w:val="zh-CN" w:eastAsia="zh-CN" w:bidi="zh-CN"/>
      </w:rPr>
    </w:lvl>
    <w:lvl w:ilvl="1" w:tplc="ED987A14">
      <w:start w:val="5"/>
      <w:numFmt w:val="decimal"/>
      <w:lvlText w:val="%1.%2"/>
      <w:lvlJc w:val="left"/>
      <w:pPr>
        <w:ind w:left="418" w:hanging="531"/>
        <w:jc w:val="left"/>
      </w:pPr>
      <w:rPr>
        <w:rFonts w:hint="default"/>
        <w:lang w:val="zh-CN" w:eastAsia="zh-CN" w:bidi="zh-CN"/>
      </w:rPr>
    </w:lvl>
    <w:lvl w:ilvl="2" w:tplc="E51054CA">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34C25532">
      <w:numFmt w:val="bullet"/>
      <w:lvlText w:val="•"/>
      <w:lvlJc w:val="left"/>
      <w:pPr>
        <w:ind w:left="3487" w:hanging="531"/>
      </w:pPr>
      <w:rPr>
        <w:rFonts w:hint="default"/>
        <w:lang w:val="zh-CN" w:eastAsia="zh-CN" w:bidi="zh-CN"/>
      </w:rPr>
    </w:lvl>
    <w:lvl w:ilvl="4" w:tplc="C62297A8">
      <w:numFmt w:val="bullet"/>
      <w:lvlText w:val="•"/>
      <w:lvlJc w:val="left"/>
      <w:pPr>
        <w:ind w:left="4510" w:hanging="531"/>
      </w:pPr>
      <w:rPr>
        <w:rFonts w:hint="default"/>
        <w:lang w:val="zh-CN" w:eastAsia="zh-CN" w:bidi="zh-CN"/>
      </w:rPr>
    </w:lvl>
    <w:lvl w:ilvl="5" w:tplc="74A2ED16">
      <w:numFmt w:val="bullet"/>
      <w:lvlText w:val="•"/>
      <w:lvlJc w:val="left"/>
      <w:pPr>
        <w:ind w:left="5533" w:hanging="531"/>
      </w:pPr>
      <w:rPr>
        <w:rFonts w:hint="default"/>
        <w:lang w:val="zh-CN" w:eastAsia="zh-CN" w:bidi="zh-CN"/>
      </w:rPr>
    </w:lvl>
    <w:lvl w:ilvl="6" w:tplc="0330840C">
      <w:numFmt w:val="bullet"/>
      <w:lvlText w:val="•"/>
      <w:lvlJc w:val="left"/>
      <w:pPr>
        <w:ind w:left="6555" w:hanging="531"/>
      </w:pPr>
      <w:rPr>
        <w:rFonts w:hint="default"/>
        <w:lang w:val="zh-CN" w:eastAsia="zh-CN" w:bidi="zh-CN"/>
      </w:rPr>
    </w:lvl>
    <w:lvl w:ilvl="7" w:tplc="4920E0FA">
      <w:numFmt w:val="bullet"/>
      <w:lvlText w:val="•"/>
      <w:lvlJc w:val="left"/>
      <w:pPr>
        <w:ind w:left="7578" w:hanging="531"/>
      </w:pPr>
      <w:rPr>
        <w:rFonts w:hint="default"/>
        <w:lang w:val="zh-CN" w:eastAsia="zh-CN" w:bidi="zh-CN"/>
      </w:rPr>
    </w:lvl>
    <w:lvl w:ilvl="8" w:tplc="92DC73A0">
      <w:numFmt w:val="bullet"/>
      <w:lvlText w:val="•"/>
      <w:lvlJc w:val="left"/>
      <w:pPr>
        <w:ind w:left="8601" w:hanging="531"/>
      </w:pPr>
      <w:rPr>
        <w:rFonts w:hint="default"/>
        <w:lang w:val="zh-CN" w:eastAsia="zh-CN" w:bidi="zh-CN"/>
      </w:rPr>
    </w:lvl>
  </w:abstractNum>
  <w:abstractNum w:abstractNumId="844" w15:restartNumberingAfterBreak="0">
    <w:nsid w:val="6FE91471"/>
    <w:multiLevelType w:val="hybridMultilevel"/>
    <w:tmpl w:val="D50A8298"/>
    <w:lvl w:ilvl="0" w:tplc="6316D23A">
      <w:start w:val="2"/>
      <w:numFmt w:val="decimal"/>
      <w:lvlText w:val="%1"/>
      <w:lvlJc w:val="left"/>
      <w:pPr>
        <w:ind w:left="1158" w:hanging="318"/>
        <w:jc w:val="left"/>
      </w:pPr>
      <w:rPr>
        <w:rFonts w:hint="default"/>
        <w:lang w:val="zh-CN" w:eastAsia="zh-CN" w:bidi="zh-CN"/>
      </w:rPr>
    </w:lvl>
    <w:lvl w:ilvl="1" w:tplc="975ACBD4">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27683A20">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328A66AE">
      <w:numFmt w:val="bullet"/>
      <w:lvlText w:val="•"/>
      <w:lvlJc w:val="left"/>
      <w:pPr>
        <w:ind w:left="3439" w:hanging="531"/>
      </w:pPr>
      <w:rPr>
        <w:rFonts w:hint="default"/>
        <w:lang w:val="zh-CN" w:eastAsia="zh-CN" w:bidi="zh-CN"/>
      </w:rPr>
    </w:lvl>
    <w:lvl w:ilvl="4" w:tplc="BADC0D28">
      <w:numFmt w:val="bullet"/>
      <w:lvlText w:val="•"/>
      <w:lvlJc w:val="left"/>
      <w:pPr>
        <w:ind w:left="4468" w:hanging="531"/>
      </w:pPr>
      <w:rPr>
        <w:rFonts w:hint="default"/>
        <w:lang w:val="zh-CN" w:eastAsia="zh-CN" w:bidi="zh-CN"/>
      </w:rPr>
    </w:lvl>
    <w:lvl w:ilvl="5" w:tplc="39FE2324">
      <w:numFmt w:val="bullet"/>
      <w:lvlText w:val="•"/>
      <w:lvlJc w:val="left"/>
      <w:pPr>
        <w:ind w:left="5498" w:hanging="531"/>
      </w:pPr>
      <w:rPr>
        <w:rFonts w:hint="default"/>
        <w:lang w:val="zh-CN" w:eastAsia="zh-CN" w:bidi="zh-CN"/>
      </w:rPr>
    </w:lvl>
    <w:lvl w:ilvl="6" w:tplc="6C44E2D8">
      <w:numFmt w:val="bullet"/>
      <w:lvlText w:val="•"/>
      <w:lvlJc w:val="left"/>
      <w:pPr>
        <w:ind w:left="6528" w:hanging="531"/>
      </w:pPr>
      <w:rPr>
        <w:rFonts w:hint="default"/>
        <w:lang w:val="zh-CN" w:eastAsia="zh-CN" w:bidi="zh-CN"/>
      </w:rPr>
    </w:lvl>
    <w:lvl w:ilvl="7" w:tplc="1422A34A">
      <w:numFmt w:val="bullet"/>
      <w:lvlText w:val="•"/>
      <w:lvlJc w:val="left"/>
      <w:pPr>
        <w:ind w:left="7557" w:hanging="531"/>
      </w:pPr>
      <w:rPr>
        <w:rFonts w:hint="default"/>
        <w:lang w:val="zh-CN" w:eastAsia="zh-CN" w:bidi="zh-CN"/>
      </w:rPr>
    </w:lvl>
    <w:lvl w:ilvl="8" w:tplc="E758B93A">
      <w:numFmt w:val="bullet"/>
      <w:lvlText w:val="•"/>
      <w:lvlJc w:val="left"/>
      <w:pPr>
        <w:ind w:left="8587" w:hanging="531"/>
      </w:pPr>
      <w:rPr>
        <w:rFonts w:hint="default"/>
        <w:lang w:val="zh-CN" w:eastAsia="zh-CN" w:bidi="zh-CN"/>
      </w:rPr>
    </w:lvl>
  </w:abstractNum>
  <w:abstractNum w:abstractNumId="845" w15:restartNumberingAfterBreak="0">
    <w:nsid w:val="6FF01FC1"/>
    <w:multiLevelType w:val="hybridMultilevel"/>
    <w:tmpl w:val="A976A82A"/>
    <w:lvl w:ilvl="0" w:tplc="BD42FC36">
      <w:start w:val="1"/>
      <w:numFmt w:val="decimal"/>
      <w:lvlText w:val="%1）"/>
      <w:lvlJc w:val="left"/>
      <w:pPr>
        <w:ind w:left="1155" w:hanging="318"/>
        <w:jc w:val="left"/>
      </w:pPr>
      <w:rPr>
        <w:rFonts w:ascii="宋体" w:eastAsia="宋体" w:hAnsi="宋体" w:cs="宋体" w:hint="default"/>
        <w:spacing w:val="-8"/>
        <w:w w:val="100"/>
        <w:sz w:val="19"/>
        <w:szCs w:val="19"/>
        <w:lang w:val="zh-CN" w:eastAsia="zh-CN" w:bidi="zh-CN"/>
      </w:rPr>
    </w:lvl>
    <w:lvl w:ilvl="1" w:tplc="3CBC591A">
      <w:numFmt w:val="bullet"/>
      <w:lvlText w:val="•"/>
      <w:lvlJc w:val="left"/>
      <w:pPr>
        <w:ind w:left="2108" w:hanging="318"/>
      </w:pPr>
      <w:rPr>
        <w:rFonts w:hint="default"/>
        <w:lang w:val="zh-CN" w:eastAsia="zh-CN" w:bidi="zh-CN"/>
      </w:rPr>
    </w:lvl>
    <w:lvl w:ilvl="2" w:tplc="B4A803C2">
      <w:numFmt w:val="bullet"/>
      <w:lvlText w:val="•"/>
      <w:lvlJc w:val="left"/>
      <w:pPr>
        <w:ind w:left="3057" w:hanging="318"/>
      </w:pPr>
      <w:rPr>
        <w:rFonts w:hint="default"/>
        <w:lang w:val="zh-CN" w:eastAsia="zh-CN" w:bidi="zh-CN"/>
      </w:rPr>
    </w:lvl>
    <w:lvl w:ilvl="3" w:tplc="9132D618">
      <w:numFmt w:val="bullet"/>
      <w:lvlText w:val="•"/>
      <w:lvlJc w:val="left"/>
      <w:pPr>
        <w:ind w:left="4005" w:hanging="318"/>
      </w:pPr>
      <w:rPr>
        <w:rFonts w:hint="default"/>
        <w:lang w:val="zh-CN" w:eastAsia="zh-CN" w:bidi="zh-CN"/>
      </w:rPr>
    </w:lvl>
    <w:lvl w:ilvl="4" w:tplc="04C2070C">
      <w:numFmt w:val="bullet"/>
      <w:lvlText w:val="•"/>
      <w:lvlJc w:val="left"/>
      <w:pPr>
        <w:ind w:left="4954" w:hanging="318"/>
      </w:pPr>
      <w:rPr>
        <w:rFonts w:hint="default"/>
        <w:lang w:val="zh-CN" w:eastAsia="zh-CN" w:bidi="zh-CN"/>
      </w:rPr>
    </w:lvl>
    <w:lvl w:ilvl="5" w:tplc="9D66ED2E">
      <w:numFmt w:val="bullet"/>
      <w:lvlText w:val="•"/>
      <w:lvlJc w:val="left"/>
      <w:pPr>
        <w:ind w:left="5903" w:hanging="318"/>
      </w:pPr>
      <w:rPr>
        <w:rFonts w:hint="default"/>
        <w:lang w:val="zh-CN" w:eastAsia="zh-CN" w:bidi="zh-CN"/>
      </w:rPr>
    </w:lvl>
    <w:lvl w:ilvl="6" w:tplc="95985E3E">
      <w:numFmt w:val="bullet"/>
      <w:lvlText w:val="•"/>
      <w:lvlJc w:val="left"/>
      <w:pPr>
        <w:ind w:left="6851" w:hanging="318"/>
      </w:pPr>
      <w:rPr>
        <w:rFonts w:hint="default"/>
        <w:lang w:val="zh-CN" w:eastAsia="zh-CN" w:bidi="zh-CN"/>
      </w:rPr>
    </w:lvl>
    <w:lvl w:ilvl="7" w:tplc="E9309474">
      <w:numFmt w:val="bullet"/>
      <w:lvlText w:val="•"/>
      <w:lvlJc w:val="left"/>
      <w:pPr>
        <w:ind w:left="7800" w:hanging="318"/>
      </w:pPr>
      <w:rPr>
        <w:rFonts w:hint="default"/>
        <w:lang w:val="zh-CN" w:eastAsia="zh-CN" w:bidi="zh-CN"/>
      </w:rPr>
    </w:lvl>
    <w:lvl w:ilvl="8" w:tplc="CB7E47A4">
      <w:numFmt w:val="bullet"/>
      <w:lvlText w:val="•"/>
      <w:lvlJc w:val="left"/>
      <w:pPr>
        <w:ind w:left="8749" w:hanging="318"/>
      </w:pPr>
      <w:rPr>
        <w:rFonts w:hint="default"/>
        <w:lang w:val="zh-CN" w:eastAsia="zh-CN" w:bidi="zh-CN"/>
      </w:rPr>
    </w:lvl>
  </w:abstractNum>
  <w:abstractNum w:abstractNumId="846" w15:restartNumberingAfterBreak="0">
    <w:nsid w:val="70041BF2"/>
    <w:multiLevelType w:val="hybridMultilevel"/>
    <w:tmpl w:val="B3F40D88"/>
    <w:lvl w:ilvl="0" w:tplc="5B24F6A6">
      <w:start w:val="11"/>
      <w:numFmt w:val="decimal"/>
      <w:lvlText w:val="%1"/>
      <w:lvlJc w:val="left"/>
      <w:pPr>
        <w:ind w:left="1263" w:hanging="424"/>
        <w:jc w:val="left"/>
      </w:pPr>
      <w:rPr>
        <w:rFonts w:hint="default"/>
        <w:lang w:val="zh-CN" w:eastAsia="zh-CN" w:bidi="zh-CN"/>
      </w:rPr>
    </w:lvl>
    <w:lvl w:ilvl="1" w:tplc="D920446C">
      <w:start w:val="1"/>
      <w:numFmt w:val="decimal"/>
      <w:lvlText w:val="%1.%2"/>
      <w:lvlJc w:val="left"/>
      <w:pPr>
        <w:ind w:left="1263" w:hanging="424"/>
        <w:jc w:val="left"/>
      </w:pPr>
      <w:rPr>
        <w:rFonts w:ascii="宋体" w:eastAsia="宋体" w:hAnsi="宋体" w:cs="宋体" w:hint="default"/>
        <w:b/>
        <w:bCs/>
        <w:spacing w:val="-8"/>
        <w:w w:val="99"/>
        <w:sz w:val="19"/>
        <w:szCs w:val="19"/>
        <w:lang w:val="zh-CN" w:eastAsia="zh-CN" w:bidi="zh-CN"/>
      </w:rPr>
    </w:lvl>
    <w:lvl w:ilvl="2" w:tplc="5B9AB2F8">
      <w:start w:val="1"/>
      <w:numFmt w:val="decimal"/>
      <w:lvlText w:val="%1.%2.%3"/>
      <w:lvlJc w:val="left"/>
      <w:pPr>
        <w:ind w:left="418" w:hanging="637"/>
        <w:jc w:val="left"/>
      </w:pPr>
      <w:rPr>
        <w:rFonts w:ascii="宋体" w:eastAsia="宋体" w:hAnsi="宋体" w:cs="宋体" w:hint="default"/>
        <w:b/>
        <w:bCs/>
        <w:w w:val="99"/>
        <w:sz w:val="19"/>
        <w:szCs w:val="19"/>
        <w:lang w:val="zh-CN" w:eastAsia="zh-CN" w:bidi="zh-CN"/>
      </w:rPr>
    </w:lvl>
    <w:lvl w:ilvl="3" w:tplc="52E6A93A">
      <w:numFmt w:val="bullet"/>
      <w:lvlText w:val="•"/>
      <w:lvlJc w:val="left"/>
      <w:pPr>
        <w:ind w:left="3345" w:hanging="637"/>
      </w:pPr>
      <w:rPr>
        <w:rFonts w:hint="default"/>
        <w:lang w:val="zh-CN" w:eastAsia="zh-CN" w:bidi="zh-CN"/>
      </w:rPr>
    </w:lvl>
    <w:lvl w:ilvl="4" w:tplc="B67088BA">
      <w:numFmt w:val="bullet"/>
      <w:lvlText w:val="•"/>
      <w:lvlJc w:val="left"/>
      <w:pPr>
        <w:ind w:left="4388" w:hanging="637"/>
      </w:pPr>
      <w:rPr>
        <w:rFonts w:hint="default"/>
        <w:lang w:val="zh-CN" w:eastAsia="zh-CN" w:bidi="zh-CN"/>
      </w:rPr>
    </w:lvl>
    <w:lvl w:ilvl="5" w:tplc="C646EE7E">
      <w:numFmt w:val="bullet"/>
      <w:lvlText w:val="•"/>
      <w:lvlJc w:val="left"/>
      <w:pPr>
        <w:ind w:left="5431" w:hanging="637"/>
      </w:pPr>
      <w:rPr>
        <w:rFonts w:hint="default"/>
        <w:lang w:val="zh-CN" w:eastAsia="zh-CN" w:bidi="zh-CN"/>
      </w:rPr>
    </w:lvl>
    <w:lvl w:ilvl="6" w:tplc="10D418C2">
      <w:numFmt w:val="bullet"/>
      <w:lvlText w:val="•"/>
      <w:lvlJc w:val="left"/>
      <w:pPr>
        <w:ind w:left="6474" w:hanging="637"/>
      </w:pPr>
      <w:rPr>
        <w:rFonts w:hint="default"/>
        <w:lang w:val="zh-CN" w:eastAsia="zh-CN" w:bidi="zh-CN"/>
      </w:rPr>
    </w:lvl>
    <w:lvl w:ilvl="7" w:tplc="4BFEBCFA">
      <w:numFmt w:val="bullet"/>
      <w:lvlText w:val="•"/>
      <w:lvlJc w:val="left"/>
      <w:pPr>
        <w:ind w:left="7517" w:hanging="637"/>
      </w:pPr>
      <w:rPr>
        <w:rFonts w:hint="default"/>
        <w:lang w:val="zh-CN" w:eastAsia="zh-CN" w:bidi="zh-CN"/>
      </w:rPr>
    </w:lvl>
    <w:lvl w:ilvl="8" w:tplc="7BA8730A">
      <w:numFmt w:val="bullet"/>
      <w:lvlText w:val="•"/>
      <w:lvlJc w:val="left"/>
      <w:pPr>
        <w:ind w:left="8560" w:hanging="637"/>
      </w:pPr>
      <w:rPr>
        <w:rFonts w:hint="default"/>
        <w:lang w:val="zh-CN" w:eastAsia="zh-CN" w:bidi="zh-CN"/>
      </w:rPr>
    </w:lvl>
  </w:abstractNum>
  <w:abstractNum w:abstractNumId="847" w15:restartNumberingAfterBreak="0">
    <w:nsid w:val="70147883"/>
    <w:multiLevelType w:val="hybridMultilevel"/>
    <w:tmpl w:val="03E49AC6"/>
    <w:lvl w:ilvl="0" w:tplc="0C768656">
      <w:start w:val="7"/>
      <w:numFmt w:val="decimal"/>
      <w:lvlText w:val="%1"/>
      <w:lvlJc w:val="left"/>
      <w:pPr>
        <w:ind w:left="1158" w:hanging="318"/>
        <w:jc w:val="left"/>
      </w:pPr>
      <w:rPr>
        <w:rFonts w:hint="default"/>
        <w:lang w:val="zh-CN" w:eastAsia="zh-CN" w:bidi="zh-CN"/>
      </w:rPr>
    </w:lvl>
    <w:lvl w:ilvl="1" w:tplc="32FA201E">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9C40B590">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D2D6E8EE">
      <w:numFmt w:val="bullet"/>
      <w:lvlText w:val="•"/>
      <w:lvlJc w:val="left"/>
      <w:pPr>
        <w:ind w:left="2538" w:hanging="531"/>
      </w:pPr>
      <w:rPr>
        <w:rFonts w:hint="default"/>
        <w:lang w:val="zh-CN" w:eastAsia="zh-CN" w:bidi="zh-CN"/>
      </w:rPr>
    </w:lvl>
    <w:lvl w:ilvl="4" w:tplc="7D4C5BD8">
      <w:numFmt w:val="bullet"/>
      <w:lvlText w:val="•"/>
      <w:lvlJc w:val="left"/>
      <w:pPr>
        <w:ind w:left="3696" w:hanging="531"/>
      </w:pPr>
      <w:rPr>
        <w:rFonts w:hint="default"/>
        <w:lang w:val="zh-CN" w:eastAsia="zh-CN" w:bidi="zh-CN"/>
      </w:rPr>
    </w:lvl>
    <w:lvl w:ilvl="5" w:tplc="DA405F6A">
      <w:numFmt w:val="bullet"/>
      <w:lvlText w:val="•"/>
      <w:lvlJc w:val="left"/>
      <w:pPr>
        <w:ind w:left="4854" w:hanging="531"/>
      </w:pPr>
      <w:rPr>
        <w:rFonts w:hint="default"/>
        <w:lang w:val="zh-CN" w:eastAsia="zh-CN" w:bidi="zh-CN"/>
      </w:rPr>
    </w:lvl>
    <w:lvl w:ilvl="6" w:tplc="C888A07C">
      <w:numFmt w:val="bullet"/>
      <w:lvlText w:val="•"/>
      <w:lvlJc w:val="left"/>
      <w:pPr>
        <w:ind w:left="6013" w:hanging="531"/>
      </w:pPr>
      <w:rPr>
        <w:rFonts w:hint="default"/>
        <w:lang w:val="zh-CN" w:eastAsia="zh-CN" w:bidi="zh-CN"/>
      </w:rPr>
    </w:lvl>
    <w:lvl w:ilvl="7" w:tplc="34A884D6">
      <w:numFmt w:val="bullet"/>
      <w:lvlText w:val="•"/>
      <w:lvlJc w:val="left"/>
      <w:pPr>
        <w:ind w:left="7171" w:hanging="531"/>
      </w:pPr>
      <w:rPr>
        <w:rFonts w:hint="default"/>
        <w:lang w:val="zh-CN" w:eastAsia="zh-CN" w:bidi="zh-CN"/>
      </w:rPr>
    </w:lvl>
    <w:lvl w:ilvl="8" w:tplc="8F10EB54">
      <w:numFmt w:val="bullet"/>
      <w:lvlText w:val="•"/>
      <w:lvlJc w:val="left"/>
      <w:pPr>
        <w:ind w:left="8329" w:hanging="531"/>
      </w:pPr>
      <w:rPr>
        <w:rFonts w:hint="default"/>
        <w:lang w:val="zh-CN" w:eastAsia="zh-CN" w:bidi="zh-CN"/>
      </w:rPr>
    </w:lvl>
  </w:abstractNum>
  <w:abstractNum w:abstractNumId="848" w15:restartNumberingAfterBreak="0">
    <w:nsid w:val="704F6633"/>
    <w:multiLevelType w:val="hybridMultilevel"/>
    <w:tmpl w:val="0BC4DE40"/>
    <w:lvl w:ilvl="0" w:tplc="E2CE89D6">
      <w:start w:val="7"/>
      <w:numFmt w:val="decimal"/>
      <w:lvlText w:val="%1"/>
      <w:lvlJc w:val="left"/>
      <w:pPr>
        <w:ind w:left="1158" w:hanging="318"/>
        <w:jc w:val="left"/>
      </w:pPr>
      <w:rPr>
        <w:rFonts w:hint="default"/>
        <w:lang w:val="zh-CN" w:eastAsia="zh-CN" w:bidi="zh-CN"/>
      </w:rPr>
    </w:lvl>
    <w:lvl w:ilvl="1" w:tplc="6E342E08">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5A2834E6">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D2384570">
      <w:numFmt w:val="bullet"/>
      <w:lvlText w:val="•"/>
      <w:lvlJc w:val="left"/>
      <w:pPr>
        <w:ind w:left="1360" w:hanging="531"/>
      </w:pPr>
      <w:rPr>
        <w:rFonts w:hint="default"/>
        <w:lang w:val="zh-CN" w:eastAsia="zh-CN" w:bidi="zh-CN"/>
      </w:rPr>
    </w:lvl>
    <w:lvl w:ilvl="4" w:tplc="60C6E356">
      <w:numFmt w:val="bullet"/>
      <w:lvlText w:val="•"/>
      <w:lvlJc w:val="left"/>
      <w:pPr>
        <w:ind w:left="2686" w:hanging="531"/>
      </w:pPr>
      <w:rPr>
        <w:rFonts w:hint="default"/>
        <w:lang w:val="zh-CN" w:eastAsia="zh-CN" w:bidi="zh-CN"/>
      </w:rPr>
    </w:lvl>
    <w:lvl w:ilvl="5" w:tplc="EC1A37E0">
      <w:numFmt w:val="bullet"/>
      <w:lvlText w:val="•"/>
      <w:lvlJc w:val="left"/>
      <w:pPr>
        <w:ind w:left="4013" w:hanging="531"/>
      </w:pPr>
      <w:rPr>
        <w:rFonts w:hint="default"/>
        <w:lang w:val="zh-CN" w:eastAsia="zh-CN" w:bidi="zh-CN"/>
      </w:rPr>
    </w:lvl>
    <w:lvl w:ilvl="6" w:tplc="DFB60058">
      <w:numFmt w:val="bullet"/>
      <w:lvlText w:val="•"/>
      <w:lvlJc w:val="left"/>
      <w:pPr>
        <w:ind w:left="5339" w:hanging="531"/>
      </w:pPr>
      <w:rPr>
        <w:rFonts w:hint="default"/>
        <w:lang w:val="zh-CN" w:eastAsia="zh-CN" w:bidi="zh-CN"/>
      </w:rPr>
    </w:lvl>
    <w:lvl w:ilvl="7" w:tplc="A22E5F10">
      <w:numFmt w:val="bullet"/>
      <w:lvlText w:val="•"/>
      <w:lvlJc w:val="left"/>
      <w:pPr>
        <w:ind w:left="6666" w:hanging="531"/>
      </w:pPr>
      <w:rPr>
        <w:rFonts w:hint="default"/>
        <w:lang w:val="zh-CN" w:eastAsia="zh-CN" w:bidi="zh-CN"/>
      </w:rPr>
    </w:lvl>
    <w:lvl w:ilvl="8" w:tplc="65166732">
      <w:numFmt w:val="bullet"/>
      <w:lvlText w:val="•"/>
      <w:lvlJc w:val="left"/>
      <w:pPr>
        <w:ind w:left="7993" w:hanging="531"/>
      </w:pPr>
      <w:rPr>
        <w:rFonts w:hint="default"/>
        <w:lang w:val="zh-CN" w:eastAsia="zh-CN" w:bidi="zh-CN"/>
      </w:rPr>
    </w:lvl>
  </w:abstractNum>
  <w:abstractNum w:abstractNumId="849" w15:restartNumberingAfterBreak="0">
    <w:nsid w:val="70844B36"/>
    <w:multiLevelType w:val="hybridMultilevel"/>
    <w:tmpl w:val="30465FD0"/>
    <w:lvl w:ilvl="0" w:tplc="03BA53BC">
      <w:start w:val="4"/>
      <w:numFmt w:val="decimal"/>
      <w:lvlText w:val="%1"/>
      <w:lvlJc w:val="left"/>
      <w:pPr>
        <w:ind w:left="1158" w:hanging="318"/>
        <w:jc w:val="left"/>
      </w:pPr>
      <w:rPr>
        <w:rFonts w:hint="default"/>
        <w:lang w:val="zh-CN" w:eastAsia="zh-CN" w:bidi="zh-CN"/>
      </w:rPr>
    </w:lvl>
    <w:lvl w:ilvl="1" w:tplc="BD4E09B0">
      <w:start w:val="6"/>
      <w:numFmt w:val="decimal"/>
      <w:lvlText w:val="%1.%2"/>
      <w:lvlJc w:val="left"/>
      <w:pPr>
        <w:ind w:left="1158" w:hanging="318"/>
        <w:jc w:val="left"/>
      </w:pPr>
      <w:rPr>
        <w:rFonts w:ascii="宋体" w:eastAsia="宋体" w:hAnsi="宋体" w:cs="宋体" w:hint="default"/>
        <w:b/>
        <w:bCs/>
        <w:color w:val="333333"/>
        <w:w w:val="99"/>
        <w:sz w:val="19"/>
        <w:szCs w:val="19"/>
        <w:lang w:val="zh-CN" w:eastAsia="zh-CN" w:bidi="zh-CN"/>
      </w:rPr>
    </w:lvl>
    <w:lvl w:ilvl="2" w:tplc="0FF463C4">
      <w:start w:val="1"/>
      <w:numFmt w:val="decimal"/>
      <w:lvlText w:val="%1.%2.%3"/>
      <w:lvlJc w:val="left"/>
      <w:pPr>
        <w:ind w:left="1423" w:hanging="584"/>
        <w:jc w:val="left"/>
      </w:pPr>
      <w:rPr>
        <w:rFonts w:ascii="宋体" w:eastAsia="宋体" w:hAnsi="宋体" w:cs="宋体" w:hint="default"/>
        <w:b/>
        <w:bCs/>
        <w:w w:val="99"/>
        <w:sz w:val="21"/>
        <w:szCs w:val="21"/>
        <w:lang w:val="zh-CN" w:eastAsia="zh-CN" w:bidi="zh-CN"/>
      </w:rPr>
    </w:lvl>
    <w:lvl w:ilvl="3" w:tplc="BC56E430">
      <w:numFmt w:val="bullet"/>
      <w:lvlText w:val="•"/>
      <w:lvlJc w:val="left"/>
      <w:pPr>
        <w:ind w:left="3470" w:hanging="584"/>
      </w:pPr>
      <w:rPr>
        <w:rFonts w:hint="default"/>
        <w:lang w:val="zh-CN" w:eastAsia="zh-CN" w:bidi="zh-CN"/>
      </w:rPr>
    </w:lvl>
    <w:lvl w:ilvl="4" w:tplc="98C2E0EA">
      <w:numFmt w:val="bullet"/>
      <w:lvlText w:val="•"/>
      <w:lvlJc w:val="left"/>
      <w:pPr>
        <w:ind w:left="4495" w:hanging="584"/>
      </w:pPr>
      <w:rPr>
        <w:rFonts w:hint="default"/>
        <w:lang w:val="zh-CN" w:eastAsia="zh-CN" w:bidi="zh-CN"/>
      </w:rPr>
    </w:lvl>
    <w:lvl w:ilvl="5" w:tplc="19D08C78">
      <w:numFmt w:val="bullet"/>
      <w:lvlText w:val="•"/>
      <w:lvlJc w:val="left"/>
      <w:pPr>
        <w:ind w:left="5520" w:hanging="584"/>
      </w:pPr>
      <w:rPr>
        <w:rFonts w:hint="default"/>
        <w:lang w:val="zh-CN" w:eastAsia="zh-CN" w:bidi="zh-CN"/>
      </w:rPr>
    </w:lvl>
    <w:lvl w:ilvl="6" w:tplc="68924410">
      <w:numFmt w:val="bullet"/>
      <w:lvlText w:val="•"/>
      <w:lvlJc w:val="left"/>
      <w:pPr>
        <w:ind w:left="6545" w:hanging="584"/>
      </w:pPr>
      <w:rPr>
        <w:rFonts w:hint="default"/>
        <w:lang w:val="zh-CN" w:eastAsia="zh-CN" w:bidi="zh-CN"/>
      </w:rPr>
    </w:lvl>
    <w:lvl w:ilvl="7" w:tplc="AB34652A">
      <w:numFmt w:val="bullet"/>
      <w:lvlText w:val="•"/>
      <w:lvlJc w:val="left"/>
      <w:pPr>
        <w:ind w:left="7570" w:hanging="584"/>
      </w:pPr>
      <w:rPr>
        <w:rFonts w:hint="default"/>
        <w:lang w:val="zh-CN" w:eastAsia="zh-CN" w:bidi="zh-CN"/>
      </w:rPr>
    </w:lvl>
    <w:lvl w:ilvl="8" w:tplc="8C9CC8B2">
      <w:numFmt w:val="bullet"/>
      <w:lvlText w:val="•"/>
      <w:lvlJc w:val="left"/>
      <w:pPr>
        <w:ind w:left="8596" w:hanging="584"/>
      </w:pPr>
      <w:rPr>
        <w:rFonts w:hint="default"/>
        <w:lang w:val="zh-CN" w:eastAsia="zh-CN" w:bidi="zh-CN"/>
      </w:rPr>
    </w:lvl>
  </w:abstractNum>
  <w:abstractNum w:abstractNumId="850" w15:restartNumberingAfterBreak="0">
    <w:nsid w:val="708858E9"/>
    <w:multiLevelType w:val="hybridMultilevel"/>
    <w:tmpl w:val="5B22AABA"/>
    <w:lvl w:ilvl="0" w:tplc="3B8CD376">
      <w:start w:val="9"/>
      <w:numFmt w:val="decimal"/>
      <w:lvlText w:val="%1"/>
      <w:lvlJc w:val="left"/>
      <w:pPr>
        <w:ind w:left="418" w:hanging="529"/>
        <w:jc w:val="left"/>
      </w:pPr>
      <w:rPr>
        <w:rFonts w:hint="default"/>
        <w:lang w:val="zh-CN" w:eastAsia="zh-CN" w:bidi="zh-CN"/>
      </w:rPr>
    </w:lvl>
    <w:lvl w:ilvl="1" w:tplc="0530853C">
      <w:numFmt w:val="decimal"/>
      <w:lvlText w:val="%1.%2"/>
      <w:lvlJc w:val="left"/>
      <w:pPr>
        <w:ind w:left="418" w:hanging="529"/>
        <w:jc w:val="left"/>
      </w:pPr>
      <w:rPr>
        <w:rFonts w:hint="default"/>
        <w:lang w:val="zh-CN" w:eastAsia="zh-CN" w:bidi="zh-CN"/>
      </w:rPr>
    </w:lvl>
    <w:lvl w:ilvl="2" w:tplc="EC02CA9E">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C1EADD54">
      <w:numFmt w:val="bullet"/>
      <w:lvlText w:val="•"/>
      <w:lvlJc w:val="left"/>
      <w:pPr>
        <w:ind w:left="3487" w:hanging="529"/>
      </w:pPr>
      <w:rPr>
        <w:rFonts w:hint="default"/>
        <w:lang w:val="zh-CN" w:eastAsia="zh-CN" w:bidi="zh-CN"/>
      </w:rPr>
    </w:lvl>
    <w:lvl w:ilvl="4" w:tplc="5B787080">
      <w:numFmt w:val="bullet"/>
      <w:lvlText w:val="•"/>
      <w:lvlJc w:val="left"/>
      <w:pPr>
        <w:ind w:left="4510" w:hanging="529"/>
      </w:pPr>
      <w:rPr>
        <w:rFonts w:hint="default"/>
        <w:lang w:val="zh-CN" w:eastAsia="zh-CN" w:bidi="zh-CN"/>
      </w:rPr>
    </w:lvl>
    <w:lvl w:ilvl="5" w:tplc="4782BDB6">
      <w:numFmt w:val="bullet"/>
      <w:lvlText w:val="•"/>
      <w:lvlJc w:val="left"/>
      <w:pPr>
        <w:ind w:left="5533" w:hanging="529"/>
      </w:pPr>
      <w:rPr>
        <w:rFonts w:hint="default"/>
        <w:lang w:val="zh-CN" w:eastAsia="zh-CN" w:bidi="zh-CN"/>
      </w:rPr>
    </w:lvl>
    <w:lvl w:ilvl="6" w:tplc="6CAEB736">
      <w:numFmt w:val="bullet"/>
      <w:lvlText w:val="•"/>
      <w:lvlJc w:val="left"/>
      <w:pPr>
        <w:ind w:left="6555" w:hanging="529"/>
      </w:pPr>
      <w:rPr>
        <w:rFonts w:hint="default"/>
        <w:lang w:val="zh-CN" w:eastAsia="zh-CN" w:bidi="zh-CN"/>
      </w:rPr>
    </w:lvl>
    <w:lvl w:ilvl="7" w:tplc="108ACC68">
      <w:numFmt w:val="bullet"/>
      <w:lvlText w:val="•"/>
      <w:lvlJc w:val="left"/>
      <w:pPr>
        <w:ind w:left="7578" w:hanging="529"/>
      </w:pPr>
      <w:rPr>
        <w:rFonts w:hint="default"/>
        <w:lang w:val="zh-CN" w:eastAsia="zh-CN" w:bidi="zh-CN"/>
      </w:rPr>
    </w:lvl>
    <w:lvl w:ilvl="8" w:tplc="2A8E0378">
      <w:numFmt w:val="bullet"/>
      <w:lvlText w:val="•"/>
      <w:lvlJc w:val="left"/>
      <w:pPr>
        <w:ind w:left="8601" w:hanging="529"/>
      </w:pPr>
      <w:rPr>
        <w:rFonts w:hint="default"/>
        <w:lang w:val="zh-CN" w:eastAsia="zh-CN" w:bidi="zh-CN"/>
      </w:rPr>
    </w:lvl>
  </w:abstractNum>
  <w:abstractNum w:abstractNumId="851" w15:restartNumberingAfterBreak="0">
    <w:nsid w:val="709E25A9"/>
    <w:multiLevelType w:val="hybridMultilevel"/>
    <w:tmpl w:val="FB221408"/>
    <w:lvl w:ilvl="0" w:tplc="D92A9C46">
      <w:start w:val="4"/>
      <w:numFmt w:val="decimal"/>
      <w:lvlText w:val="%1"/>
      <w:lvlJc w:val="left"/>
      <w:pPr>
        <w:ind w:left="1787" w:hanging="950"/>
        <w:jc w:val="left"/>
      </w:pPr>
      <w:rPr>
        <w:rFonts w:hint="default"/>
        <w:lang w:val="zh-CN" w:eastAsia="zh-CN" w:bidi="zh-CN"/>
      </w:rPr>
    </w:lvl>
    <w:lvl w:ilvl="1" w:tplc="96583668">
      <w:start w:val="4"/>
      <w:numFmt w:val="decimal"/>
      <w:lvlText w:val="%1.%2"/>
      <w:lvlJc w:val="left"/>
      <w:pPr>
        <w:ind w:left="1787" w:hanging="950"/>
        <w:jc w:val="left"/>
      </w:pPr>
      <w:rPr>
        <w:rFonts w:hint="default"/>
        <w:lang w:val="zh-CN" w:eastAsia="zh-CN" w:bidi="zh-CN"/>
      </w:rPr>
    </w:lvl>
    <w:lvl w:ilvl="2" w:tplc="9DDA4E56">
      <w:start w:val="4"/>
      <w:numFmt w:val="decimal"/>
      <w:lvlText w:val="%1.%2.%3"/>
      <w:lvlJc w:val="left"/>
      <w:pPr>
        <w:ind w:left="1787" w:hanging="950"/>
        <w:jc w:val="left"/>
      </w:pPr>
      <w:rPr>
        <w:rFonts w:hint="default"/>
        <w:lang w:val="zh-CN" w:eastAsia="zh-CN" w:bidi="zh-CN"/>
      </w:rPr>
    </w:lvl>
    <w:lvl w:ilvl="3" w:tplc="D26CF388">
      <w:start w:val="2"/>
      <w:numFmt w:val="decimal"/>
      <w:lvlText w:val="%1.%2.%3.%4"/>
      <w:lvlJc w:val="left"/>
      <w:pPr>
        <w:ind w:left="1787" w:hanging="950"/>
        <w:jc w:val="left"/>
      </w:pPr>
      <w:rPr>
        <w:rFonts w:hint="default"/>
        <w:lang w:val="zh-CN" w:eastAsia="zh-CN" w:bidi="zh-CN"/>
      </w:rPr>
    </w:lvl>
    <w:lvl w:ilvl="4" w:tplc="2BB297E2">
      <w:start w:val="6"/>
      <w:numFmt w:val="decimal"/>
      <w:lvlText w:val="%1.%2.%3.%4.%5"/>
      <w:lvlJc w:val="left"/>
      <w:pPr>
        <w:ind w:left="1787" w:hanging="950"/>
        <w:jc w:val="left"/>
      </w:pPr>
      <w:rPr>
        <w:rFonts w:ascii="宋体" w:eastAsia="宋体" w:hAnsi="宋体" w:cs="宋体" w:hint="default"/>
        <w:spacing w:val="-3"/>
        <w:w w:val="100"/>
        <w:sz w:val="19"/>
        <w:szCs w:val="19"/>
        <w:lang w:val="zh-CN" w:eastAsia="zh-CN" w:bidi="zh-CN"/>
      </w:rPr>
    </w:lvl>
    <w:lvl w:ilvl="5" w:tplc="3E5CC214">
      <w:start w:val="1"/>
      <w:numFmt w:val="decimal"/>
      <w:lvlText w:val="%1.%2.%3.%4.%5.%6"/>
      <w:lvlJc w:val="left"/>
      <w:pPr>
        <w:ind w:left="1995" w:hanging="1158"/>
        <w:jc w:val="left"/>
      </w:pPr>
      <w:rPr>
        <w:rFonts w:ascii="宋体" w:eastAsia="宋体" w:hAnsi="宋体" w:cs="宋体" w:hint="default"/>
        <w:spacing w:val="-3"/>
        <w:w w:val="100"/>
        <w:sz w:val="19"/>
        <w:szCs w:val="19"/>
        <w:lang w:val="zh-CN" w:eastAsia="zh-CN" w:bidi="zh-CN"/>
      </w:rPr>
    </w:lvl>
    <w:lvl w:ilvl="6" w:tplc="1640D3B0">
      <w:numFmt w:val="bullet"/>
      <w:lvlText w:val="•"/>
      <w:lvlJc w:val="left"/>
      <w:pPr>
        <w:ind w:left="6803" w:hanging="1158"/>
      </w:pPr>
      <w:rPr>
        <w:rFonts w:hint="default"/>
        <w:lang w:val="zh-CN" w:eastAsia="zh-CN" w:bidi="zh-CN"/>
      </w:rPr>
    </w:lvl>
    <w:lvl w:ilvl="7" w:tplc="A9D028C6">
      <w:numFmt w:val="bullet"/>
      <w:lvlText w:val="•"/>
      <w:lvlJc w:val="left"/>
      <w:pPr>
        <w:ind w:left="7764" w:hanging="1158"/>
      </w:pPr>
      <w:rPr>
        <w:rFonts w:hint="default"/>
        <w:lang w:val="zh-CN" w:eastAsia="zh-CN" w:bidi="zh-CN"/>
      </w:rPr>
    </w:lvl>
    <w:lvl w:ilvl="8" w:tplc="A36A8AE4">
      <w:numFmt w:val="bullet"/>
      <w:lvlText w:val="•"/>
      <w:lvlJc w:val="left"/>
      <w:pPr>
        <w:ind w:left="8724" w:hanging="1158"/>
      </w:pPr>
      <w:rPr>
        <w:rFonts w:hint="default"/>
        <w:lang w:val="zh-CN" w:eastAsia="zh-CN" w:bidi="zh-CN"/>
      </w:rPr>
    </w:lvl>
  </w:abstractNum>
  <w:abstractNum w:abstractNumId="852" w15:restartNumberingAfterBreak="0">
    <w:nsid w:val="70C92247"/>
    <w:multiLevelType w:val="hybridMultilevel"/>
    <w:tmpl w:val="90D6E49E"/>
    <w:lvl w:ilvl="0" w:tplc="035C23FA">
      <w:start w:val="6"/>
      <w:numFmt w:val="decimal"/>
      <w:lvlText w:val="%1"/>
      <w:lvlJc w:val="left"/>
      <w:pPr>
        <w:ind w:left="1263" w:hanging="424"/>
        <w:jc w:val="left"/>
      </w:pPr>
      <w:rPr>
        <w:rFonts w:hint="default"/>
        <w:lang w:val="zh-CN" w:eastAsia="zh-CN" w:bidi="zh-CN"/>
      </w:rPr>
    </w:lvl>
    <w:lvl w:ilvl="1" w:tplc="957ACC3A">
      <w:start w:val="13"/>
      <w:numFmt w:val="decimal"/>
      <w:lvlText w:val="%1.%2"/>
      <w:lvlJc w:val="left"/>
      <w:pPr>
        <w:ind w:left="1263" w:hanging="424"/>
        <w:jc w:val="left"/>
      </w:pPr>
      <w:rPr>
        <w:rFonts w:ascii="宋体" w:eastAsia="宋体" w:hAnsi="宋体" w:cs="宋体" w:hint="default"/>
        <w:b/>
        <w:bCs/>
        <w:w w:val="99"/>
        <w:sz w:val="19"/>
        <w:szCs w:val="19"/>
        <w:lang w:val="zh-CN" w:eastAsia="zh-CN" w:bidi="zh-CN"/>
      </w:rPr>
    </w:lvl>
    <w:lvl w:ilvl="2" w:tplc="7C7E6AE0">
      <w:numFmt w:val="bullet"/>
      <w:lvlText w:val="•"/>
      <w:lvlJc w:val="left"/>
      <w:pPr>
        <w:ind w:left="3137" w:hanging="424"/>
      </w:pPr>
      <w:rPr>
        <w:rFonts w:hint="default"/>
        <w:lang w:val="zh-CN" w:eastAsia="zh-CN" w:bidi="zh-CN"/>
      </w:rPr>
    </w:lvl>
    <w:lvl w:ilvl="3" w:tplc="85A6A3EA">
      <w:numFmt w:val="bullet"/>
      <w:lvlText w:val="•"/>
      <w:lvlJc w:val="left"/>
      <w:pPr>
        <w:ind w:left="4075" w:hanging="424"/>
      </w:pPr>
      <w:rPr>
        <w:rFonts w:hint="default"/>
        <w:lang w:val="zh-CN" w:eastAsia="zh-CN" w:bidi="zh-CN"/>
      </w:rPr>
    </w:lvl>
    <w:lvl w:ilvl="4" w:tplc="D53CDD54">
      <w:numFmt w:val="bullet"/>
      <w:lvlText w:val="•"/>
      <w:lvlJc w:val="left"/>
      <w:pPr>
        <w:ind w:left="5014" w:hanging="424"/>
      </w:pPr>
      <w:rPr>
        <w:rFonts w:hint="default"/>
        <w:lang w:val="zh-CN" w:eastAsia="zh-CN" w:bidi="zh-CN"/>
      </w:rPr>
    </w:lvl>
    <w:lvl w:ilvl="5" w:tplc="5D3EA3B0">
      <w:numFmt w:val="bullet"/>
      <w:lvlText w:val="•"/>
      <w:lvlJc w:val="left"/>
      <w:pPr>
        <w:ind w:left="5953" w:hanging="424"/>
      </w:pPr>
      <w:rPr>
        <w:rFonts w:hint="default"/>
        <w:lang w:val="zh-CN" w:eastAsia="zh-CN" w:bidi="zh-CN"/>
      </w:rPr>
    </w:lvl>
    <w:lvl w:ilvl="6" w:tplc="FFD2D388">
      <w:numFmt w:val="bullet"/>
      <w:lvlText w:val="•"/>
      <w:lvlJc w:val="left"/>
      <w:pPr>
        <w:ind w:left="6891" w:hanging="424"/>
      </w:pPr>
      <w:rPr>
        <w:rFonts w:hint="default"/>
        <w:lang w:val="zh-CN" w:eastAsia="zh-CN" w:bidi="zh-CN"/>
      </w:rPr>
    </w:lvl>
    <w:lvl w:ilvl="7" w:tplc="7F00951E">
      <w:numFmt w:val="bullet"/>
      <w:lvlText w:val="•"/>
      <w:lvlJc w:val="left"/>
      <w:pPr>
        <w:ind w:left="7830" w:hanging="424"/>
      </w:pPr>
      <w:rPr>
        <w:rFonts w:hint="default"/>
        <w:lang w:val="zh-CN" w:eastAsia="zh-CN" w:bidi="zh-CN"/>
      </w:rPr>
    </w:lvl>
    <w:lvl w:ilvl="8" w:tplc="1CB0D92C">
      <w:numFmt w:val="bullet"/>
      <w:lvlText w:val="•"/>
      <w:lvlJc w:val="left"/>
      <w:pPr>
        <w:ind w:left="8769" w:hanging="424"/>
      </w:pPr>
      <w:rPr>
        <w:rFonts w:hint="default"/>
        <w:lang w:val="zh-CN" w:eastAsia="zh-CN" w:bidi="zh-CN"/>
      </w:rPr>
    </w:lvl>
  </w:abstractNum>
  <w:abstractNum w:abstractNumId="853" w15:restartNumberingAfterBreak="0">
    <w:nsid w:val="710D6133"/>
    <w:multiLevelType w:val="hybridMultilevel"/>
    <w:tmpl w:val="6C7897DA"/>
    <w:lvl w:ilvl="0" w:tplc="06FE7B08">
      <w:start w:val="4"/>
      <w:numFmt w:val="decimal"/>
      <w:lvlText w:val="%1"/>
      <w:lvlJc w:val="left"/>
      <w:pPr>
        <w:ind w:left="1158" w:hanging="318"/>
        <w:jc w:val="left"/>
      </w:pPr>
      <w:rPr>
        <w:rFonts w:hint="default"/>
        <w:lang w:val="zh-CN" w:eastAsia="zh-CN" w:bidi="zh-CN"/>
      </w:rPr>
    </w:lvl>
    <w:lvl w:ilvl="1" w:tplc="62909EEC">
      <w:start w:val="4"/>
      <w:numFmt w:val="decimal"/>
      <w:lvlText w:val="%1.%2"/>
      <w:lvlJc w:val="left"/>
      <w:pPr>
        <w:ind w:left="1158" w:hanging="318"/>
        <w:jc w:val="right"/>
      </w:pPr>
      <w:rPr>
        <w:rFonts w:ascii="宋体" w:eastAsia="宋体" w:hAnsi="宋体" w:cs="宋体" w:hint="default"/>
        <w:b/>
        <w:bCs/>
        <w:w w:val="99"/>
        <w:sz w:val="19"/>
        <w:szCs w:val="19"/>
        <w:lang w:val="zh-CN" w:eastAsia="zh-CN" w:bidi="zh-CN"/>
      </w:rPr>
    </w:lvl>
    <w:lvl w:ilvl="2" w:tplc="29A87C8A">
      <w:numFmt w:val="bullet"/>
      <w:lvlText w:val="•"/>
      <w:lvlJc w:val="left"/>
      <w:pPr>
        <w:ind w:left="3057" w:hanging="318"/>
      </w:pPr>
      <w:rPr>
        <w:rFonts w:hint="default"/>
        <w:lang w:val="zh-CN" w:eastAsia="zh-CN" w:bidi="zh-CN"/>
      </w:rPr>
    </w:lvl>
    <w:lvl w:ilvl="3" w:tplc="32B6F424">
      <w:numFmt w:val="bullet"/>
      <w:lvlText w:val="•"/>
      <w:lvlJc w:val="left"/>
      <w:pPr>
        <w:ind w:left="4005" w:hanging="318"/>
      </w:pPr>
      <w:rPr>
        <w:rFonts w:hint="default"/>
        <w:lang w:val="zh-CN" w:eastAsia="zh-CN" w:bidi="zh-CN"/>
      </w:rPr>
    </w:lvl>
    <w:lvl w:ilvl="4" w:tplc="A7F4AF62">
      <w:numFmt w:val="bullet"/>
      <w:lvlText w:val="•"/>
      <w:lvlJc w:val="left"/>
      <w:pPr>
        <w:ind w:left="4954" w:hanging="318"/>
      </w:pPr>
      <w:rPr>
        <w:rFonts w:hint="default"/>
        <w:lang w:val="zh-CN" w:eastAsia="zh-CN" w:bidi="zh-CN"/>
      </w:rPr>
    </w:lvl>
    <w:lvl w:ilvl="5" w:tplc="F7869810">
      <w:numFmt w:val="bullet"/>
      <w:lvlText w:val="•"/>
      <w:lvlJc w:val="left"/>
      <w:pPr>
        <w:ind w:left="5903" w:hanging="318"/>
      </w:pPr>
      <w:rPr>
        <w:rFonts w:hint="default"/>
        <w:lang w:val="zh-CN" w:eastAsia="zh-CN" w:bidi="zh-CN"/>
      </w:rPr>
    </w:lvl>
    <w:lvl w:ilvl="6" w:tplc="29762260">
      <w:numFmt w:val="bullet"/>
      <w:lvlText w:val="•"/>
      <w:lvlJc w:val="left"/>
      <w:pPr>
        <w:ind w:left="6851" w:hanging="318"/>
      </w:pPr>
      <w:rPr>
        <w:rFonts w:hint="default"/>
        <w:lang w:val="zh-CN" w:eastAsia="zh-CN" w:bidi="zh-CN"/>
      </w:rPr>
    </w:lvl>
    <w:lvl w:ilvl="7" w:tplc="1772D10C">
      <w:numFmt w:val="bullet"/>
      <w:lvlText w:val="•"/>
      <w:lvlJc w:val="left"/>
      <w:pPr>
        <w:ind w:left="7800" w:hanging="318"/>
      </w:pPr>
      <w:rPr>
        <w:rFonts w:hint="default"/>
        <w:lang w:val="zh-CN" w:eastAsia="zh-CN" w:bidi="zh-CN"/>
      </w:rPr>
    </w:lvl>
    <w:lvl w:ilvl="8" w:tplc="391AF7E0">
      <w:numFmt w:val="bullet"/>
      <w:lvlText w:val="•"/>
      <w:lvlJc w:val="left"/>
      <w:pPr>
        <w:ind w:left="8749" w:hanging="318"/>
      </w:pPr>
      <w:rPr>
        <w:rFonts w:hint="default"/>
        <w:lang w:val="zh-CN" w:eastAsia="zh-CN" w:bidi="zh-CN"/>
      </w:rPr>
    </w:lvl>
  </w:abstractNum>
  <w:abstractNum w:abstractNumId="854" w15:restartNumberingAfterBreak="0">
    <w:nsid w:val="710E7128"/>
    <w:multiLevelType w:val="hybridMultilevel"/>
    <w:tmpl w:val="9908373C"/>
    <w:lvl w:ilvl="0" w:tplc="89D2CBBE">
      <w:start w:val="5"/>
      <w:numFmt w:val="decimal"/>
      <w:lvlText w:val="%1"/>
      <w:lvlJc w:val="left"/>
      <w:pPr>
        <w:ind w:left="418" w:hanging="529"/>
        <w:jc w:val="left"/>
      </w:pPr>
      <w:rPr>
        <w:rFonts w:hint="default"/>
        <w:lang w:val="zh-CN" w:eastAsia="zh-CN" w:bidi="zh-CN"/>
      </w:rPr>
    </w:lvl>
    <w:lvl w:ilvl="1" w:tplc="EA26735C">
      <w:start w:val="1"/>
      <w:numFmt w:val="decimal"/>
      <w:lvlText w:val="%1.%2"/>
      <w:lvlJc w:val="left"/>
      <w:pPr>
        <w:ind w:left="418" w:hanging="529"/>
        <w:jc w:val="left"/>
      </w:pPr>
      <w:rPr>
        <w:rFonts w:hint="default"/>
        <w:lang w:val="zh-CN" w:eastAsia="zh-CN" w:bidi="zh-CN"/>
      </w:rPr>
    </w:lvl>
    <w:lvl w:ilvl="2" w:tplc="24203044">
      <w:start w:val="3"/>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F2DEF688">
      <w:numFmt w:val="bullet"/>
      <w:lvlText w:val="•"/>
      <w:lvlJc w:val="left"/>
      <w:pPr>
        <w:ind w:left="3487" w:hanging="529"/>
      </w:pPr>
      <w:rPr>
        <w:rFonts w:hint="default"/>
        <w:lang w:val="zh-CN" w:eastAsia="zh-CN" w:bidi="zh-CN"/>
      </w:rPr>
    </w:lvl>
    <w:lvl w:ilvl="4" w:tplc="80387DC6">
      <w:numFmt w:val="bullet"/>
      <w:lvlText w:val="•"/>
      <w:lvlJc w:val="left"/>
      <w:pPr>
        <w:ind w:left="4510" w:hanging="529"/>
      </w:pPr>
      <w:rPr>
        <w:rFonts w:hint="default"/>
        <w:lang w:val="zh-CN" w:eastAsia="zh-CN" w:bidi="zh-CN"/>
      </w:rPr>
    </w:lvl>
    <w:lvl w:ilvl="5" w:tplc="B132751C">
      <w:numFmt w:val="bullet"/>
      <w:lvlText w:val="•"/>
      <w:lvlJc w:val="left"/>
      <w:pPr>
        <w:ind w:left="5533" w:hanging="529"/>
      </w:pPr>
      <w:rPr>
        <w:rFonts w:hint="default"/>
        <w:lang w:val="zh-CN" w:eastAsia="zh-CN" w:bidi="zh-CN"/>
      </w:rPr>
    </w:lvl>
    <w:lvl w:ilvl="6" w:tplc="4C524818">
      <w:numFmt w:val="bullet"/>
      <w:lvlText w:val="•"/>
      <w:lvlJc w:val="left"/>
      <w:pPr>
        <w:ind w:left="6555" w:hanging="529"/>
      </w:pPr>
      <w:rPr>
        <w:rFonts w:hint="default"/>
        <w:lang w:val="zh-CN" w:eastAsia="zh-CN" w:bidi="zh-CN"/>
      </w:rPr>
    </w:lvl>
    <w:lvl w:ilvl="7" w:tplc="0FBE3E90">
      <w:numFmt w:val="bullet"/>
      <w:lvlText w:val="•"/>
      <w:lvlJc w:val="left"/>
      <w:pPr>
        <w:ind w:left="7578" w:hanging="529"/>
      </w:pPr>
      <w:rPr>
        <w:rFonts w:hint="default"/>
        <w:lang w:val="zh-CN" w:eastAsia="zh-CN" w:bidi="zh-CN"/>
      </w:rPr>
    </w:lvl>
    <w:lvl w:ilvl="8" w:tplc="840C22D4">
      <w:numFmt w:val="bullet"/>
      <w:lvlText w:val="•"/>
      <w:lvlJc w:val="left"/>
      <w:pPr>
        <w:ind w:left="8601" w:hanging="529"/>
      </w:pPr>
      <w:rPr>
        <w:rFonts w:hint="default"/>
        <w:lang w:val="zh-CN" w:eastAsia="zh-CN" w:bidi="zh-CN"/>
      </w:rPr>
    </w:lvl>
  </w:abstractNum>
  <w:abstractNum w:abstractNumId="855" w15:restartNumberingAfterBreak="0">
    <w:nsid w:val="713138D4"/>
    <w:multiLevelType w:val="hybridMultilevel"/>
    <w:tmpl w:val="B55C1210"/>
    <w:lvl w:ilvl="0" w:tplc="37DECBBA">
      <w:start w:val="1"/>
      <w:numFmt w:val="decimal"/>
      <w:lvlText w:val="（%1）"/>
      <w:lvlJc w:val="left"/>
      <w:pPr>
        <w:ind w:left="418" w:hanging="529"/>
        <w:jc w:val="left"/>
      </w:pPr>
      <w:rPr>
        <w:rFonts w:ascii="宋体" w:eastAsia="宋体" w:hAnsi="宋体" w:cs="宋体" w:hint="default"/>
        <w:spacing w:val="-48"/>
        <w:w w:val="100"/>
        <w:sz w:val="19"/>
        <w:szCs w:val="19"/>
        <w:lang w:val="zh-CN" w:eastAsia="zh-CN" w:bidi="zh-CN"/>
      </w:rPr>
    </w:lvl>
    <w:lvl w:ilvl="1" w:tplc="4EC2F7CA">
      <w:numFmt w:val="bullet"/>
      <w:lvlText w:val="•"/>
      <w:lvlJc w:val="left"/>
      <w:pPr>
        <w:ind w:left="1442" w:hanging="529"/>
      </w:pPr>
      <w:rPr>
        <w:rFonts w:hint="default"/>
        <w:lang w:val="zh-CN" w:eastAsia="zh-CN" w:bidi="zh-CN"/>
      </w:rPr>
    </w:lvl>
    <w:lvl w:ilvl="2" w:tplc="A7CCE9FA">
      <w:numFmt w:val="bullet"/>
      <w:lvlText w:val="•"/>
      <w:lvlJc w:val="left"/>
      <w:pPr>
        <w:ind w:left="2465" w:hanging="529"/>
      </w:pPr>
      <w:rPr>
        <w:rFonts w:hint="default"/>
        <w:lang w:val="zh-CN" w:eastAsia="zh-CN" w:bidi="zh-CN"/>
      </w:rPr>
    </w:lvl>
    <w:lvl w:ilvl="3" w:tplc="E0408038">
      <w:numFmt w:val="bullet"/>
      <w:lvlText w:val="•"/>
      <w:lvlJc w:val="left"/>
      <w:pPr>
        <w:ind w:left="3487" w:hanging="529"/>
      </w:pPr>
      <w:rPr>
        <w:rFonts w:hint="default"/>
        <w:lang w:val="zh-CN" w:eastAsia="zh-CN" w:bidi="zh-CN"/>
      </w:rPr>
    </w:lvl>
    <w:lvl w:ilvl="4" w:tplc="88FCD444">
      <w:numFmt w:val="bullet"/>
      <w:lvlText w:val="•"/>
      <w:lvlJc w:val="left"/>
      <w:pPr>
        <w:ind w:left="4510" w:hanging="529"/>
      </w:pPr>
      <w:rPr>
        <w:rFonts w:hint="default"/>
        <w:lang w:val="zh-CN" w:eastAsia="zh-CN" w:bidi="zh-CN"/>
      </w:rPr>
    </w:lvl>
    <w:lvl w:ilvl="5" w:tplc="D840A14A">
      <w:numFmt w:val="bullet"/>
      <w:lvlText w:val="•"/>
      <w:lvlJc w:val="left"/>
      <w:pPr>
        <w:ind w:left="5533" w:hanging="529"/>
      </w:pPr>
      <w:rPr>
        <w:rFonts w:hint="default"/>
        <w:lang w:val="zh-CN" w:eastAsia="zh-CN" w:bidi="zh-CN"/>
      </w:rPr>
    </w:lvl>
    <w:lvl w:ilvl="6" w:tplc="2FBA5D50">
      <w:numFmt w:val="bullet"/>
      <w:lvlText w:val="•"/>
      <w:lvlJc w:val="left"/>
      <w:pPr>
        <w:ind w:left="6555" w:hanging="529"/>
      </w:pPr>
      <w:rPr>
        <w:rFonts w:hint="default"/>
        <w:lang w:val="zh-CN" w:eastAsia="zh-CN" w:bidi="zh-CN"/>
      </w:rPr>
    </w:lvl>
    <w:lvl w:ilvl="7" w:tplc="38E40E7E">
      <w:numFmt w:val="bullet"/>
      <w:lvlText w:val="•"/>
      <w:lvlJc w:val="left"/>
      <w:pPr>
        <w:ind w:left="7578" w:hanging="529"/>
      </w:pPr>
      <w:rPr>
        <w:rFonts w:hint="default"/>
        <w:lang w:val="zh-CN" w:eastAsia="zh-CN" w:bidi="zh-CN"/>
      </w:rPr>
    </w:lvl>
    <w:lvl w:ilvl="8" w:tplc="4316F88A">
      <w:numFmt w:val="bullet"/>
      <w:lvlText w:val="•"/>
      <w:lvlJc w:val="left"/>
      <w:pPr>
        <w:ind w:left="8601" w:hanging="529"/>
      </w:pPr>
      <w:rPr>
        <w:rFonts w:hint="default"/>
        <w:lang w:val="zh-CN" w:eastAsia="zh-CN" w:bidi="zh-CN"/>
      </w:rPr>
    </w:lvl>
  </w:abstractNum>
  <w:abstractNum w:abstractNumId="856" w15:restartNumberingAfterBreak="0">
    <w:nsid w:val="714E7D5F"/>
    <w:multiLevelType w:val="hybridMultilevel"/>
    <w:tmpl w:val="0778FF3A"/>
    <w:lvl w:ilvl="0" w:tplc="F5A446E4">
      <w:start w:val="5"/>
      <w:numFmt w:val="decimal"/>
      <w:lvlText w:val="%1"/>
      <w:lvlJc w:val="left"/>
      <w:pPr>
        <w:ind w:left="1477" w:hanging="637"/>
        <w:jc w:val="left"/>
      </w:pPr>
      <w:rPr>
        <w:rFonts w:hint="default"/>
        <w:lang w:val="zh-CN" w:eastAsia="zh-CN" w:bidi="zh-CN"/>
      </w:rPr>
    </w:lvl>
    <w:lvl w:ilvl="1" w:tplc="0100B0CE">
      <w:start w:val="15"/>
      <w:numFmt w:val="decimal"/>
      <w:lvlText w:val="%1.%2"/>
      <w:lvlJc w:val="left"/>
      <w:pPr>
        <w:ind w:left="1477" w:hanging="637"/>
        <w:jc w:val="left"/>
      </w:pPr>
      <w:rPr>
        <w:rFonts w:hint="default"/>
        <w:lang w:val="zh-CN" w:eastAsia="zh-CN" w:bidi="zh-CN"/>
      </w:rPr>
    </w:lvl>
    <w:lvl w:ilvl="2" w:tplc="54C475F6">
      <w:start w:val="1"/>
      <w:numFmt w:val="decimal"/>
      <w:lvlText w:val="%1.%2.%3"/>
      <w:lvlJc w:val="left"/>
      <w:pPr>
        <w:ind w:left="1477" w:hanging="637"/>
        <w:jc w:val="left"/>
      </w:pPr>
      <w:rPr>
        <w:rFonts w:ascii="宋体" w:eastAsia="宋体" w:hAnsi="宋体" w:cs="宋体" w:hint="default"/>
        <w:b/>
        <w:bCs/>
        <w:w w:val="99"/>
        <w:sz w:val="19"/>
        <w:szCs w:val="19"/>
        <w:lang w:val="zh-CN" w:eastAsia="zh-CN" w:bidi="zh-CN"/>
      </w:rPr>
    </w:lvl>
    <w:lvl w:ilvl="3" w:tplc="E916A60A">
      <w:numFmt w:val="bullet"/>
      <w:lvlText w:val="•"/>
      <w:lvlJc w:val="left"/>
      <w:pPr>
        <w:ind w:left="4229" w:hanging="637"/>
      </w:pPr>
      <w:rPr>
        <w:rFonts w:hint="default"/>
        <w:lang w:val="zh-CN" w:eastAsia="zh-CN" w:bidi="zh-CN"/>
      </w:rPr>
    </w:lvl>
    <w:lvl w:ilvl="4" w:tplc="6D5CC1E0">
      <w:numFmt w:val="bullet"/>
      <w:lvlText w:val="•"/>
      <w:lvlJc w:val="left"/>
      <w:pPr>
        <w:ind w:left="5146" w:hanging="637"/>
      </w:pPr>
      <w:rPr>
        <w:rFonts w:hint="default"/>
        <w:lang w:val="zh-CN" w:eastAsia="zh-CN" w:bidi="zh-CN"/>
      </w:rPr>
    </w:lvl>
    <w:lvl w:ilvl="5" w:tplc="68E0E144">
      <w:numFmt w:val="bullet"/>
      <w:lvlText w:val="•"/>
      <w:lvlJc w:val="left"/>
      <w:pPr>
        <w:ind w:left="6063" w:hanging="637"/>
      </w:pPr>
      <w:rPr>
        <w:rFonts w:hint="default"/>
        <w:lang w:val="zh-CN" w:eastAsia="zh-CN" w:bidi="zh-CN"/>
      </w:rPr>
    </w:lvl>
    <w:lvl w:ilvl="6" w:tplc="9D08D6F2">
      <w:numFmt w:val="bullet"/>
      <w:lvlText w:val="•"/>
      <w:lvlJc w:val="left"/>
      <w:pPr>
        <w:ind w:left="6979" w:hanging="637"/>
      </w:pPr>
      <w:rPr>
        <w:rFonts w:hint="default"/>
        <w:lang w:val="zh-CN" w:eastAsia="zh-CN" w:bidi="zh-CN"/>
      </w:rPr>
    </w:lvl>
    <w:lvl w:ilvl="7" w:tplc="8A56A6DA">
      <w:numFmt w:val="bullet"/>
      <w:lvlText w:val="•"/>
      <w:lvlJc w:val="left"/>
      <w:pPr>
        <w:ind w:left="7896" w:hanging="637"/>
      </w:pPr>
      <w:rPr>
        <w:rFonts w:hint="default"/>
        <w:lang w:val="zh-CN" w:eastAsia="zh-CN" w:bidi="zh-CN"/>
      </w:rPr>
    </w:lvl>
    <w:lvl w:ilvl="8" w:tplc="A2ECE7D2">
      <w:numFmt w:val="bullet"/>
      <w:lvlText w:val="•"/>
      <w:lvlJc w:val="left"/>
      <w:pPr>
        <w:ind w:left="8813" w:hanging="637"/>
      </w:pPr>
      <w:rPr>
        <w:rFonts w:hint="default"/>
        <w:lang w:val="zh-CN" w:eastAsia="zh-CN" w:bidi="zh-CN"/>
      </w:rPr>
    </w:lvl>
  </w:abstractNum>
  <w:abstractNum w:abstractNumId="857" w15:restartNumberingAfterBreak="0">
    <w:nsid w:val="716739DB"/>
    <w:multiLevelType w:val="hybridMultilevel"/>
    <w:tmpl w:val="6E6A57D8"/>
    <w:lvl w:ilvl="0" w:tplc="644A0662">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524214FA">
      <w:numFmt w:val="bullet"/>
      <w:lvlText w:val="•"/>
      <w:lvlJc w:val="left"/>
      <w:pPr>
        <w:ind w:left="2288" w:hanging="529"/>
      </w:pPr>
      <w:rPr>
        <w:rFonts w:hint="default"/>
        <w:lang w:val="zh-CN" w:eastAsia="zh-CN" w:bidi="zh-CN"/>
      </w:rPr>
    </w:lvl>
    <w:lvl w:ilvl="2" w:tplc="28080A94">
      <w:numFmt w:val="bullet"/>
      <w:lvlText w:val="•"/>
      <w:lvlJc w:val="left"/>
      <w:pPr>
        <w:ind w:left="3217" w:hanging="529"/>
      </w:pPr>
      <w:rPr>
        <w:rFonts w:hint="default"/>
        <w:lang w:val="zh-CN" w:eastAsia="zh-CN" w:bidi="zh-CN"/>
      </w:rPr>
    </w:lvl>
    <w:lvl w:ilvl="3" w:tplc="2B966908">
      <w:numFmt w:val="bullet"/>
      <w:lvlText w:val="•"/>
      <w:lvlJc w:val="left"/>
      <w:pPr>
        <w:ind w:left="4145" w:hanging="529"/>
      </w:pPr>
      <w:rPr>
        <w:rFonts w:hint="default"/>
        <w:lang w:val="zh-CN" w:eastAsia="zh-CN" w:bidi="zh-CN"/>
      </w:rPr>
    </w:lvl>
    <w:lvl w:ilvl="4" w:tplc="F284359E">
      <w:numFmt w:val="bullet"/>
      <w:lvlText w:val="•"/>
      <w:lvlJc w:val="left"/>
      <w:pPr>
        <w:ind w:left="5074" w:hanging="529"/>
      </w:pPr>
      <w:rPr>
        <w:rFonts w:hint="default"/>
        <w:lang w:val="zh-CN" w:eastAsia="zh-CN" w:bidi="zh-CN"/>
      </w:rPr>
    </w:lvl>
    <w:lvl w:ilvl="5" w:tplc="7610E13A">
      <w:numFmt w:val="bullet"/>
      <w:lvlText w:val="•"/>
      <w:lvlJc w:val="left"/>
      <w:pPr>
        <w:ind w:left="6003" w:hanging="529"/>
      </w:pPr>
      <w:rPr>
        <w:rFonts w:hint="default"/>
        <w:lang w:val="zh-CN" w:eastAsia="zh-CN" w:bidi="zh-CN"/>
      </w:rPr>
    </w:lvl>
    <w:lvl w:ilvl="6" w:tplc="22929DD0">
      <w:numFmt w:val="bullet"/>
      <w:lvlText w:val="•"/>
      <w:lvlJc w:val="left"/>
      <w:pPr>
        <w:ind w:left="6931" w:hanging="529"/>
      </w:pPr>
      <w:rPr>
        <w:rFonts w:hint="default"/>
        <w:lang w:val="zh-CN" w:eastAsia="zh-CN" w:bidi="zh-CN"/>
      </w:rPr>
    </w:lvl>
    <w:lvl w:ilvl="7" w:tplc="C9043462">
      <w:numFmt w:val="bullet"/>
      <w:lvlText w:val="•"/>
      <w:lvlJc w:val="left"/>
      <w:pPr>
        <w:ind w:left="7860" w:hanging="529"/>
      </w:pPr>
      <w:rPr>
        <w:rFonts w:hint="default"/>
        <w:lang w:val="zh-CN" w:eastAsia="zh-CN" w:bidi="zh-CN"/>
      </w:rPr>
    </w:lvl>
    <w:lvl w:ilvl="8" w:tplc="DBDC01C0">
      <w:numFmt w:val="bullet"/>
      <w:lvlText w:val="•"/>
      <w:lvlJc w:val="left"/>
      <w:pPr>
        <w:ind w:left="8789" w:hanging="529"/>
      </w:pPr>
      <w:rPr>
        <w:rFonts w:hint="default"/>
        <w:lang w:val="zh-CN" w:eastAsia="zh-CN" w:bidi="zh-CN"/>
      </w:rPr>
    </w:lvl>
  </w:abstractNum>
  <w:abstractNum w:abstractNumId="858" w15:restartNumberingAfterBreak="0">
    <w:nsid w:val="717E4C36"/>
    <w:multiLevelType w:val="hybridMultilevel"/>
    <w:tmpl w:val="17A6A6D6"/>
    <w:lvl w:ilvl="0" w:tplc="F4108F6A">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5DC47DDC">
      <w:numFmt w:val="bullet"/>
      <w:lvlText w:val="•"/>
      <w:lvlJc w:val="left"/>
      <w:pPr>
        <w:ind w:left="2288" w:hanging="529"/>
      </w:pPr>
      <w:rPr>
        <w:rFonts w:hint="default"/>
        <w:lang w:val="zh-CN" w:eastAsia="zh-CN" w:bidi="zh-CN"/>
      </w:rPr>
    </w:lvl>
    <w:lvl w:ilvl="2" w:tplc="D72C35C6">
      <w:numFmt w:val="bullet"/>
      <w:lvlText w:val="•"/>
      <w:lvlJc w:val="left"/>
      <w:pPr>
        <w:ind w:left="3217" w:hanging="529"/>
      </w:pPr>
      <w:rPr>
        <w:rFonts w:hint="default"/>
        <w:lang w:val="zh-CN" w:eastAsia="zh-CN" w:bidi="zh-CN"/>
      </w:rPr>
    </w:lvl>
    <w:lvl w:ilvl="3" w:tplc="6EFC5BC0">
      <w:numFmt w:val="bullet"/>
      <w:lvlText w:val="•"/>
      <w:lvlJc w:val="left"/>
      <w:pPr>
        <w:ind w:left="4145" w:hanging="529"/>
      </w:pPr>
      <w:rPr>
        <w:rFonts w:hint="default"/>
        <w:lang w:val="zh-CN" w:eastAsia="zh-CN" w:bidi="zh-CN"/>
      </w:rPr>
    </w:lvl>
    <w:lvl w:ilvl="4" w:tplc="5BC049D0">
      <w:numFmt w:val="bullet"/>
      <w:lvlText w:val="•"/>
      <w:lvlJc w:val="left"/>
      <w:pPr>
        <w:ind w:left="5074" w:hanging="529"/>
      </w:pPr>
      <w:rPr>
        <w:rFonts w:hint="default"/>
        <w:lang w:val="zh-CN" w:eastAsia="zh-CN" w:bidi="zh-CN"/>
      </w:rPr>
    </w:lvl>
    <w:lvl w:ilvl="5" w:tplc="47B447DE">
      <w:numFmt w:val="bullet"/>
      <w:lvlText w:val="•"/>
      <w:lvlJc w:val="left"/>
      <w:pPr>
        <w:ind w:left="6003" w:hanging="529"/>
      </w:pPr>
      <w:rPr>
        <w:rFonts w:hint="default"/>
        <w:lang w:val="zh-CN" w:eastAsia="zh-CN" w:bidi="zh-CN"/>
      </w:rPr>
    </w:lvl>
    <w:lvl w:ilvl="6" w:tplc="81ECC742">
      <w:numFmt w:val="bullet"/>
      <w:lvlText w:val="•"/>
      <w:lvlJc w:val="left"/>
      <w:pPr>
        <w:ind w:left="6931" w:hanging="529"/>
      </w:pPr>
      <w:rPr>
        <w:rFonts w:hint="default"/>
        <w:lang w:val="zh-CN" w:eastAsia="zh-CN" w:bidi="zh-CN"/>
      </w:rPr>
    </w:lvl>
    <w:lvl w:ilvl="7" w:tplc="C90436B6">
      <w:numFmt w:val="bullet"/>
      <w:lvlText w:val="•"/>
      <w:lvlJc w:val="left"/>
      <w:pPr>
        <w:ind w:left="7860" w:hanging="529"/>
      </w:pPr>
      <w:rPr>
        <w:rFonts w:hint="default"/>
        <w:lang w:val="zh-CN" w:eastAsia="zh-CN" w:bidi="zh-CN"/>
      </w:rPr>
    </w:lvl>
    <w:lvl w:ilvl="8" w:tplc="3E7A5270">
      <w:numFmt w:val="bullet"/>
      <w:lvlText w:val="•"/>
      <w:lvlJc w:val="left"/>
      <w:pPr>
        <w:ind w:left="8789" w:hanging="529"/>
      </w:pPr>
      <w:rPr>
        <w:rFonts w:hint="default"/>
        <w:lang w:val="zh-CN" w:eastAsia="zh-CN" w:bidi="zh-CN"/>
      </w:rPr>
    </w:lvl>
  </w:abstractNum>
  <w:abstractNum w:abstractNumId="859" w15:restartNumberingAfterBreak="0">
    <w:nsid w:val="718A16CB"/>
    <w:multiLevelType w:val="hybridMultilevel"/>
    <w:tmpl w:val="4A7245D6"/>
    <w:lvl w:ilvl="0" w:tplc="853A9574">
      <w:start w:val="1"/>
      <w:numFmt w:val="lowerLetter"/>
      <w:lvlText w:val="%1）"/>
      <w:lvlJc w:val="left"/>
      <w:pPr>
        <w:ind w:left="418" w:hanging="318"/>
        <w:jc w:val="left"/>
      </w:pPr>
      <w:rPr>
        <w:rFonts w:ascii="宋体" w:eastAsia="宋体" w:hAnsi="宋体" w:cs="宋体" w:hint="default"/>
        <w:w w:val="100"/>
        <w:sz w:val="19"/>
        <w:szCs w:val="19"/>
        <w:lang w:val="zh-CN" w:eastAsia="zh-CN" w:bidi="zh-CN"/>
      </w:rPr>
    </w:lvl>
    <w:lvl w:ilvl="1" w:tplc="FD228A08">
      <w:numFmt w:val="bullet"/>
      <w:lvlText w:val="•"/>
      <w:lvlJc w:val="left"/>
      <w:pPr>
        <w:ind w:left="1442" w:hanging="318"/>
      </w:pPr>
      <w:rPr>
        <w:rFonts w:hint="default"/>
        <w:lang w:val="zh-CN" w:eastAsia="zh-CN" w:bidi="zh-CN"/>
      </w:rPr>
    </w:lvl>
    <w:lvl w:ilvl="2" w:tplc="F3049376">
      <w:numFmt w:val="bullet"/>
      <w:lvlText w:val="•"/>
      <w:lvlJc w:val="left"/>
      <w:pPr>
        <w:ind w:left="2465" w:hanging="318"/>
      </w:pPr>
      <w:rPr>
        <w:rFonts w:hint="default"/>
        <w:lang w:val="zh-CN" w:eastAsia="zh-CN" w:bidi="zh-CN"/>
      </w:rPr>
    </w:lvl>
    <w:lvl w:ilvl="3" w:tplc="7C182324">
      <w:numFmt w:val="bullet"/>
      <w:lvlText w:val="•"/>
      <w:lvlJc w:val="left"/>
      <w:pPr>
        <w:ind w:left="3487" w:hanging="318"/>
      </w:pPr>
      <w:rPr>
        <w:rFonts w:hint="default"/>
        <w:lang w:val="zh-CN" w:eastAsia="zh-CN" w:bidi="zh-CN"/>
      </w:rPr>
    </w:lvl>
    <w:lvl w:ilvl="4" w:tplc="6D66452E">
      <w:numFmt w:val="bullet"/>
      <w:lvlText w:val="•"/>
      <w:lvlJc w:val="left"/>
      <w:pPr>
        <w:ind w:left="4510" w:hanging="318"/>
      </w:pPr>
      <w:rPr>
        <w:rFonts w:hint="default"/>
        <w:lang w:val="zh-CN" w:eastAsia="zh-CN" w:bidi="zh-CN"/>
      </w:rPr>
    </w:lvl>
    <w:lvl w:ilvl="5" w:tplc="50D0AAC6">
      <w:numFmt w:val="bullet"/>
      <w:lvlText w:val="•"/>
      <w:lvlJc w:val="left"/>
      <w:pPr>
        <w:ind w:left="5533" w:hanging="318"/>
      </w:pPr>
      <w:rPr>
        <w:rFonts w:hint="default"/>
        <w:lang w:val="zh-CN" w:eastAsia="zh-CN" w:bidi="zh-CN"/>
      </w:rPr>
    </w:lvl>
    <w:lvl w:ilvl="6" w:tplc="F1D644FC">
      <w:numFmt w:val="bullet"/>
      <w:lvlText w:val="•"/>
      <w:lvlJc w:val="left"/>
      <w:pPr>
        <w:ind w:left="6555" w:hanging="318"/>
      </w:pPr>
      <w:rPr>
        <w:rFonts w:hint="default"/>
        <w:lang w:val="zh-CN" w:eastAsia="zh-CN" w:bidi="zh-CN"/>
      </w:rPr>
    </w:lvl>
    <w:lvl w:ilvl="7" w:tplc="DFBA5F98">
      <w:numFmt w:val="bullet"/>
      <w:lvlText w:val="•"/>
      <w:lvlJc w:val="left"/>
      <w:pPr>
        <w:ind w:left="7578" w:hanging="318"/>
      </w:pPr>
      <w:rPr>
        <w:rFonts w:hint="default"/>
        <w:lang w:val="zh-CN" w:eastAsia="zh-CN" w:bidi="zh-CN"/>
      </w:rPr>
    </w:lvl>
    <w:lvl w:ilvl="8" w:tplc="C464E2D4">
      <w:numFmt w:val="bullet"/>
      <w:lvlText w:val="•"/>
      <w:lvlJc w:val="left"/>
      <w:pPr>
        <w:ind w:left="8601" w:hanging="318"/>
      </w:pPr>
      <w:rPr>
        <w:rFonts w:hint="default"/>
        <w:lang w:val="zh-CN" w:eastAsia="zh-CN" w:bidi="zh-CN"/>
      </w:rPr>
    </w:lvl>
  </w:abstractNum>
  <w:abstractNum w:abstractNumId="860" w15:restartNumberingAfterBreak="0">
    <w:nsid w:val="71BB5453"/>
    <w:multiLevelType w:val="hybridMultilevel"/>
    <w:tmpl w:val="72DE1A06"/>
    <w:lvl w:ilvl="0" w:tplc="9C04BE0C">
      <w:start w:val="4"/>
      <w:numFmt w:val="lowerLetter"/>
      <w:lvlText w:val="%1）"/>
      <w:lvlJc w:val="left"/>
      <w:pPr>
        <w:ind w:left="1155" w:hanging="318"/>
        <w:jc w:val="left"/>
      </w:pPr>
      <w:rPr>
        <w:rFonts w:ascii="宋体" w:eastAsia="宋体" w:hAnsi="宋体" w:cs="宋体" w:hint="default"/>
        <w:spacing w:val="-3"/>
        <w:w w:val="99"/>
        <w:sz w:val="19"/>
        <w:szCs w:val="19"/>
        <w:lang w:val="zh-CN" w:eastAsia="zh-CN" w:bidi="zh-CN"/>
      </w:rPr>
    </w:lvl>
    <w:lvl w:ilvl="1" w:tplc="5A560108">
      <w:numFmt w:val="bullet"/>
      <w:lvlText w:val="•"/>
      <w:lvlJc w:val="left"/>
      <w:pPr>
        <w:ind w:left="2108" w:hanging="318"/>
      </w:pPr>
      <w:rPr>
        <w:rFonts w:hint="default"/>
        <w:lang w:val="zh-CN" w:eastAsia="zh-CN" w:bidi="zh-CN"/>
      </w:rPr>
    </w:lvl>
    <w:lvl w:ilvl="2" w:tplc="10BEA6C4">
      <w:numFmt w:val="bullet"/>
      <w:lvlText w:val="•"/>
      <w:lvlJc w:val="left"/>
      <w:pPr>
        <w:ind w:left="3057" w:hanging="318"/>
      </w:pPr>
      <w:rPr>
        <w:rFonts w:hint="default"/>
        <w:lang w:val="zh-CN" w:eastAsia="zh-CN" w:bidi="zh-CN"/>
      </w:rPr>
    </w:lvl>
    <w:lvl w:ilvl="3" w:tplc="5E0A0796">
      <w:numFmt w:val="bullet"/>
      <w:lvlText w:val="•"/>
      <w:lvlJc w:val="left"/>
      <w:pPr>
        <w:ind w:left="4005" w:hanging="318"/>
      </w:pPr>
      <w:rPr>
        <w:rFonts w:hint="default"/>
        <w:lang w:val="zh-CN" w:eastAsia="zh-CN" w:bidi="zh-CN"/>
      </w:rPr>
    </w:lvl>
    <w:lvl w:ilvl="4" w:tplc="3FA06A54">
      <w:numFmt w:val="bullet"/>
      <w:lvlText w:val="•"/>
      <w:lvlJc w:val="left"/>
      <w:pPr>
        <w:ind w:left="4954" w:hanging="318"/>
      </w:pPr>
      <w:rPr>
        <w:rFonts w:hint="default"/>
        <w:lang w:val="zh-CN" w:eastAsia="zh-CN" w:bidi="zh-CN"/>
      </w:rPr>
    </w:lvl>
    <w:lvl w:ilvl="5" w:tplc="8B34F34C">
      <w:numFmt w:val="bullet"/>
      <w:lvlText w:val="•"/>
      <w:lvlJc w:val="left"/>
      <w:pPr>
        <w:ind w:left="5903" w:hanging="318"/>
      </w:pPr>
      <w:rPr>
        <w:rFonts w:hint="default"/>
        <w:lang w:val="zh-CN" w:eastAsia="zh-CN" w:bidi="zh-CN"/>
      </w:rPr>
    </w:lvl>
    <w:lvl w:ilvl="6" w:tplc="4E0EBD36">
      <w:numFmt w:val="bullet"/>
      <w:lvlText w:val="•"/>
      <w:lvlJc w:val="left"/>
      <w:pPr>
        <w:ind w:left="6851" w:hanging="318"/>
      </w:pPr>
      <w:rPr>
        <w:rFonts w:hint="default"/>
        <w:lang w:val="zh-CN" w:eastAsia="zh-CN" w:bidi="zh-CN"/>
      </w:rPr>
    </w:lvl>
    <w:lvl w:ilvl="7" w:tplc="59DA6BC8">
      <w:numFmt w:val="bullet"/>
      <w:lvlText w:val="•"/>
      <w:lvlJc w:val="left"/>
      <w:pPr>
        <w:ind w:left="7800" w:hanging="318"/>
      </w:pPr>
      <w:rPr>
        <w:rFonts w:hint="default"/>
        <w:lang w:val="zh-CN" w:eastAsia="zh-CN" w:bidi="zh-CN"/>
      </w:rPr>
    </w:lvl>
    <w:lvl w:ilvl="8" w:tplc="3E1896E8">
      <w:numFmt w:val="bullet"/>
      <w:lvlText w:val="•"/>
      <w:lvlJc w:val="left"/>
      <w:pPr>
        <w:ind w:left="8749" w:hanging="318"/>
      </w:pPr>
      <w:rPr>
        <w:rFonts w:hint="default"/>
        <w:lang w:val="zh-CN" w:eastAsia="zh-CN" w:bidi="zh-CN"/>
      </w:rPr>
    </w:lvl>
  </w:abstractNum>
  <w:abstractNum w:abstractNumId="861" w15:restartNumberingAfterBreak="0">
    <w:nsid w:val="71F22A6F"/>
    <w:multiLevelType w:val="hybridMultilevel"/>
    <w:tmpl w:val="48B22DE4"/>
    <w:lvl w:ilvl="0" w:tplc="F588FDEC">
      <w:start w:val="3"/>
      <w:numFmt w:val="decimal"/>
      <w:lvlText w:val="%1"/>
      <w:lvlJc w:val="left"/>
      <w:pPr>
        <w:ind w:left="418" w:hanging="531"/>
        <w:jc w:val="left"/>
      </w:pPr>
      <w:rPr>
        <w:rFonts w:hint="default"/>
        <w:lang w:val="zh-CN" w:eastAsia="zh-CN" w:bidi="zh-CN"/>
      </w:rPr>
    </w:lvl>
    <w:lvl w:ilvl="1" w:tplc="13702F08">
      <w:start w:val="1"/>
      <w:numFmt w:val="decimal"/>
      <w:lvlText w:val="%1.%2"/>
      <w:lvlJc w:val="left"/>
      <w:pPr>
        <w:ind w:left="418" w:hanging="531"/>
        <w:jc w:val="left"/>
      </w:pPr>
      <w:rPr>
        <w:rFonts w:hint="default"/>
        <w:lang w:val="zh-CN" w:eastAsia="zh-CN" w:bidi="zh-CN"/>
      </w:rPr>
    </w:lvl>
    <w:lvl w:ilvl="2" w:tplc="C52CBFCE">
      <w:start w:val="5"/>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F3E654B8">
      <w:numFmt w:val="bullet"/>
      <w:lvlText w:val="•"/>
      <w:lvlJc w:val="left"/>
      <w:pPr>
        <w:ind w:left="3487" w:hanging="531"/>
      </w:pPr>
      <w:rPr>
        <w:rFonts w:hint="default"/>
        <w:lang w:val="zh-CN" w:eastAsia="zh-CN" w:bidi="zh-CN"/>
      </w:rPr>
    </w:lvl>
    <w:lvl w:ilvl="4" w:tplc="96861EAA">
      <w:numFmt w:val="bullet"/>
      <w:lvlText w:val="•"/>
      <w:lvlJc w:val="left"/>
      <w:pPr>
        <w:ind w:left="4510" w:hanging="531"/>
      </w:pPr>
      <w:rPr>
        <w:rFonts w:hint="default"/>
        <w:lang w:val="zh-CN" w:eastAsia="zh-CN" w:bidi="zh-CN"/>
      </w:rPr>
    </w:lvl>
    <w:lvl w:ilvl="5" w:tplc="CFEC3EE8">
      <w:numFmt w:val="bullet"/>
      <w:lvlText w:val="•"/>
      <w:lvlJc w:val="left"/>
      <w:pPr>
        <w:ind w:left="5533" w:hanging="531"/>
      </w:pPr>
      <w:rPr>
        <w:rFonts w:hint="default"/>
        <w:lang w:val="zh-CN" w:eastAsia="zh-CN" w:bidi="zh-CN"/>
      </w:rPr>
    </w:lvl>
    <w:lvl w:ilvl="6" w:tplc="ABB236D0">
      <w:numFmt w:val="bullet"/>
      <w:lvlText w:val="•"/>
      <w:lvlJc w:val="left"/>
      <w:pPr>
        <w:ind w:left="6555" w:hanging="531"/>
      </w:pPr>
      <w:rPr>
        <w:rFonts w:hint="default"/>
        <w:lang w:val="zh-CN" w:eastAsia="zh-CN" w:bidi="zh-CN"/>
      </w:rPr>
    </w:lvl>
    <w:lvl w:ilvl="7" w:tplc="26225EC0">
      <w:numFmt w:val="bullet"/>
      <w:lvlText w:val="•"/>
      <w:lvlJc w:val="left"/>
      <w:pPr>
        <w:ind w:left="7578" w:hanging="531"/>
      </w:pPr>
      <w:rPr>
        <w:rFonts w:hint="default"/>
        <w:lang w:val="zh-CN" w:eastAsia="zh-CN" w:bidi="zh-CN"/>
      </w:rPr>
    </w:lvl>
    <w:lvl w:ilvl="8" w:tplc="73F88E52">
      <w:numFmt w:val="bullet"/>
      <w:lvlText w:val="•"/>
      <w:lvlJc w:val="left"/>
      <w:pPr>
        <w:ind w:left="8601" w:hanging="531"/>
      </w:pPr>
      <w:rPr>
        <w:rFonts w:hint="default"/>
        <w:lang w:val="zh-CN" w:eastAsia="zh-CN" w:bidi="zh-CN"/>
      </w:rPr>
    </w:lvl>
  </w:abstractNum>
  <w:abstractNum w:abstractNumId="862" w15:restartNumberingAfterBreak="0">
    <w:nsid w:val="71F81784"/>
    <w:multiLevelType w:val="hybridMultilevel"/>
    <w:tmpl w:val="B38454C0"/>
    <w:lvl w:ilvl="0" w:tplc="D60620F2">
      <w:start w:val="1"/>
      <w:numFmt w:val="lowerLetter"/>
      <w:lvlText w:val="%1)"/>
      <w:lvlJc w:val="left"/>
      <w:pPr>
        <w:ind w:left="1050" w:hanging="213"/>
        <w:jc w:val="left"/>
      </w:pPr>
      <w:rPr>
        <w:rFonts w:ascii="宋体" w:eastAsia="宋体" w:hAnsi="宋体" w:cs="宋体" w:hint="default"/>
        <w:spacing w:val="-55"/>
        <w:w w:val="100"/>
        <w:sz w:val="19"/>
        <w:szCs w:val="19"/>
        <w:lang w:val="zh-CN" w:eastAsia="zh-CN" w:bidi="zh-CN"/>
      </w:rPr>
    </w:lvl>
    <w:lvl w:ilvl="1" w:tplc="43D0FF3A">
      <w:numFmt w:val="bullet"/>
      <w:lvlText w:val="•"/>
      <w:lvlJc w:val="left"/>
      <w:pPr>
        <w:ind w:left="2018" w:hanging="213"/>
      </w:pPr>
      <w:rPr>
        <w:rFonts w:hint="default"/>
        <w:lang w:val="zh-CN" w:eastAsia="zh-CN" w:bidi="zh-CN"/>
      </w:rPr>
    </w:lvl>
    <w:lvl w:ilvl="2" w:tplc="1FCE8C42">
      <w:numFmt w:val="bullet"/>
      <w:lvlText w:val="•"/>
      <w:lvlJc w:val="left"/>
      <w:pPr>
        <w:ind w:left="2977" w:hanging="213"/>
      </w:pPr>
      <w:rPr>
        <w:rFonts w:hint="default"/>
        <w:lang w:val="zh-CN" w:eastAsia="zh-CN" w:bidi="zh-CN"/>
      </w:rPr>
    </w:lvl>
    <w:lvl w:ilvl="3" w:tplc="51F80AF4">
      <w:numFmt w:val="bullet"/>
      <w:lvlText w:val="•"/>
      <w:lvlJc w:val="left"/>
      <w:pPr>
        <w:ind w:left="3935" w:hanging="213"/>
      </w:pPr>
      <w:rPr>
        <w:rFonts w:hint="default"/>
        <w:lang w:val="zh-CN" w:eastAsia="zh-CN" w:bidi="zh-CN"/>
      </w:rPr>
    </w:lvl>
    <w:lvl w:ilvl="4" w:tplc="B0FAE93E">
      <w:numFmt w:val="bullet"/>
      <w:lvlText w:val="•"/>
      <w:lvlJc w:val="left"/>
      <w:pPr>
        <w:ind w:left="4894" w:hanging="213"/>
      </w:pPr>
      <w:rPr>
        <w:rFonts w:hint="default"/>
        <w:lang w:val="zh-CN" w:eastAsia="zh-CN" w:bidi="zh-CN"/>
      </w:rPr>
    </w:lvl>
    <w:lvl w:ilvl="5" w:tplc="6FE86F6A">
      <w:numFmt w:val="bullet"/>
      <w:lvlText w:val="•"/>
      <w:lvlJc w:val="left"/>
      <w:pPr>
        <w:ind w:left="5853" w:hanging="213"/>
      </w:pPr>
      <w:rPr>
        <w:rFonts w:hint="default"/>
        <w:lang w:val="zh-CN" w:eastAsia="zh-CN" w:bidi="zh-CN"/>
      </w:rPr>
    </w:lvl>
    <w:lvl w:ilvl="6" w:tplc="8ECEEEDC">
      <w:numFmt w:val="bullet"/>
      <w:lvlText w:val="•"/>
      <w:lvlJc w:val="left"/>
      <w:pPr>
        <w:ind w:left="6811" w:hanging="213"/>
      </w:pPr>
      <w:rPr>
        <w:rFonts w:hint="default"/>
        <w:lang w:val="zh-CN" w:eastAsia="zh-CN" w:bidi="zh-CN"/>
      </w:rPr>
    </w:lvl>
    <w:lvl w:ilvl="7" w:tplc="1ED89154">
      <w:numFmt w:val="bullet"/>
      <w:lvlText w:val="•"/>
      <w:lvlJc w:val="left"/>
      <w:pPr>
        <w:ind w:left="7770" w:hanging="213"/>
      </w:pPr>
      <w:rPr>
        <w:rFonts w:hint="default"/>
        <w:lang w:val="zh-CN" w:eastAsia="zh-CN" w:bidi="zh-CN"/>
      </w:rPr>
    </w:lvl>
    <w:lvl w:ilvl="8" w:tplc="A7EA2B6A">
      <w:numFmt w:val="bullet"/>
      <w:lvlText w:val="•"/>
      <w:lvlJc w:val="left"/>
      <w:pPr>
        <w:ind w:left="8729" w:hanging="213"/>
      </w:pPr>
      <w:rPr>
        <w:rFonts w:hint="default"/>
        <w:lang w:val="zh-CN" w:eastAsia="zh-CN" w:bidi="zh-CN"/>
      </w:rPr>
    </w:lvl>
  </w:abstractNum>
  <w:abstractNum w:abstractNumId="863" w15:restartNumberingAfterBreak="0">
    <w:nsid w:val="720E5CEE"/>
    <w:multiLevelType w:val="hybridMultilevel"/>
    <w:tmpl w:val="A8F8CB2C"/>
    <w:lvl w:ilvl="0" w:tplc="DDA6C26E">
      <w:start w:val="4"/>
      <w:numFmt w:val="decimal"/>
      <w:lvlText w:val="%1"/>
      <w:lvlJc w:val="left"/>
      <w:pPr>
        <w:ind w:left="1369" w:hanging="529"/>
        <w:jc w:val="left"/>
      </w:pPr>
      <w:rPr>
        <w:rFonts w:hint="default"/>
        <w:lang w:val="zh-CN" w:eastAsia="zh-CN" w:bidi="zh-CN"/>
      </w:rPr>
    </w:lvl>
    <w:lvl w:ilvl="1" w:tplc="85EEA2C2">
      <w:start w:val="1"/>
      <w:numFmt w:val="decimal"/>
      <w:lvlText w:val="%1.%2"/>
      <w:lvlJc w:val="left"/>
      <w:pPr>
        <w:ind w:left="1369" w:hanging="529"/>
        <w:jc w:val="left"/>
      </w:pPr>
      <w:rPr>
        <w:rFonts w:hint="default"/>
        <w:lang w:val="zh-CN" w:eastAsia="zh-CN" w:bidi="zh-CN"/>
      </w:rPr>
    </w:lvl>
    <w:lvl w:ilvl="2" w:tplc="6ADE2FCE">
      <w:start w:val="3"/>
      <w:numFmt w:val="decimal"/>
      <w:lvlText w:val="%1.%2.%3"/>
      <w:lvlJc w:val="left"/>
      <w:pPr>
        <w:ind w:left="1369" w:hanging="529"/>
        <w:jc w:val="left"/>
      </w:pPr>
      <w:rPr>
        <w:rFonts w:ascii="宋体" w:eastAsia="宋体" w:hAnsi="宋体" w:cs="宋体" w:hint="default"/>
        <w:b/>
        <w:bCs/>
        <w:color w:val="333333"/>
        <w:spacing w:val="-53"/>
        <w:w w:val="99"/>
        <w:sz w:val="19"/>
        <w:szCs w:val="19"/>
        <w:lang w:val="zh-CN" w:eastAsia="zh-CN" w:bidi="zh-CN"/>
      </w:rPr>
    </w:lvl>
    <w:lvl w:ilvl="3" w:tplc="54687E88">
      <w:numFmt w:val="bullet"/>
      <w:lvlText w:val="•"/>
      <w:lvlJc w:val="left"/>
      <w:pPr>
        <w:ind w:left="4145" w:hanging="529"/>
      </w:pPr>
      <w:rPr>
        <w:rFonts w:hint="default"/>
        <w:lang w:val="zh-CN" w:eastAsia="zh-CN" w:bidi="zh-CN"/>
      </w:rPr>
    </w:lvl>
    <w:lvl w:ilvl="4" w:tplc="93103218">
      <w:numFmt w:val="bullet"/>
      <w:lvlText w:val="•"/>
      <w:lvlJc w:val="left"/>
      <w:pPr>
        <w:ind w:left="5074" w:hanging="529"/>
      </w:pPr>
      <w:rPr>
        <w:rFonts w:hint="default"/>
        <w:lang w:val="zh-CN" w:eastAsia="zh-CN" w:bidi="zh-CN"/>
      </w:rPr>
    </w:lvl>
    <w:lvl w:ilvl="5" w:tplc="4D7ADAF8">
      <w:numFmt w:val="bullet"/>
      <w:lvlText w:val="•"/>
      <w:lvlJc w:val="left"/>
      <w:pPr>
        <w:ind w:left="6003" w:hanging="529"/>
      </w:pPr>
      <w:rPr>
        <w:rFonts w:hint="default"/>
        <w:lang w:val="zh-CN" w:eastAsia="zh-CN" w:bidi="zh-CN"/>
      </w:rPr>
    </w:lvl>
    <w:lvl w:ilvl="6" w:tplc="045EC318">
      <w:numFmt w:val="bullet"/>
      <w:lvlText w:val="•"/>
      <w:lvlJc w:val="left"/>
      <w:pPr>
        <w:ind w:left="6931" w:hanging="529"/>
      </w:pPr>
      <w:rPr>
        <w:rFonts w:hint="default"/>
        <w:lang w:val="zh-CN" w:eastAsia="zh-CN" w:bidi="zh-CN"/>
      </w:rPr>
    </w:lvl>
    <w:lvl w:ilvl="7" w:tplc="20D627C4">
      <w:numFmt w:val="bullet"/>
      <w:lvlText w:val="•"/>
      <w:lvlJc w:val="left"/>
      <w:pPr>
        <w:ind w:left="7860" w:hanging="529"/>
      </w:pPr>
      <w:rPr>
        <w:rFonts w:hint="default"/>
        <w:lang w:val="zh-CN" w:eastAsia="zh-CN" w:bidi="zh-CN"/>
      </w:rPr>
    </w:lvl>
    <w:lvl w:ilvl="8" w:tplc="EFAC2254">
      <w:numFmt w:val="bullet"/>
      <w:lvlText w:val="•"/>
      <w:lvlJc w:val="left"/>
      <w:pPr>
        <w:ind w:left="8789" w:hanging="529"/>
      </w:pPr>
      <w:rPr>
        <w:rFonts w:hint="default"/>
        <w:lang w:val="zh-CN" w:eastAsia="zh-CN" w:bidi="zh-CN"/>
      </w:rPr>
    </w:lvl>
  </w:abstractNum>
  <w:abstractNum w:abstractNumId="864" w15:restartNumberingAfterBreak="0">
    <w:nsid w:val="721B36AB"/>
    <w:multiLevelType w:val="hybridMultilevel"/>
    <w:tmpl w:val="D472A108"/>
    <w:lvl w:ilvl="0" w:tplc="241CBA14">
      <w:start w:val="5"/>
      <w:numFmt w:val="decimal"/>
      <w:lvlText w:val="%1"/>
      <w:lvlJc w:val="left"/>
      <w:pPr>
        <w:ind w:left="1369" w:hanging="529"/>
        <w:jc w:val="left"/>
      </w:pPr>
      <w:rPr>
        <w:rFonts w:hint="default"/>
        <w:lang w:val="zh-CN" w:eastAsia="zh-CN" w:bidi="zh-CN"/>
      </w:rPr>
    </w:lvl>
    <w:lvl w:ilvl="1" w:tplc="16D2EDB6">
      <w:start w:val="2"/>
      <w:numFmt w:val="decimal"/>
      <w:lvlText w:val="%1.%2"/>
      <w:lvlJc w:val="left"/>
      <w:pPr>
        <w:ind w:left="1369" w:hanging="529"/>
        <w:jc w:val="left"/>
      </w:pPr>
      <w:rPr>
        <w:rFonts w:hint="default"/>
        <w:lang w:val="zh-CN" w:eastAsia="zh-CN" w:bidi="zh-CN"/>
      </w:rPr>
    </w:lvl>
    <w:lvl w:ilvl="2" w:tplc="F6B899D6">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1E9801C6">
      <w:start w:val="1"/>
      <w:numFmt w:val="decimal"/>
      <w:lvlText w:val="%1.%2.%3.%4"/>
      <w:lvlJc w:val="left"/>
      <w:pPr>
        <w:ind w:left="418" w:hanging="738"/>
        <w:jc w:val="left"/>
      </w:pPr>
      <w:rPr>
        <w:rFonts w:ascii="宋体" w:eastAsia="宋体" w:hAnsi="宋体" w:cs="宋体" w:hint="default"/>
        <w:spacing w:val="-3"/>
        <w:w w:val="100"/>
        <w:sz w:val="19"/>
        <w:szCs w:val="19"/>
        <w:lang w:val="zh-CN" w:eastAsia="zh-CN" w:bidi="zh-CN"/>
      </w:rPr>
    </w:lvl>
    <w:lvl w:ilvl="4" w:tplc="4E7697DE">
      <w:numFmt w:val="bullet"/>
      <w:lvlText w:val="•"/>
      <w:lvlJc w:val="left"/>
      <w:pPr>
        <w:ind w:left="3846" w:hanging="738"/>
      </w:pPr>
      <w:rPr>
        <w:rFonts w:hint="default"/>
        <w:lang w:val="zh-CN" w:eastAsia="zh-CN" w:bidi="zh-CN"/>
      </w:rPr>
    </w:lvl>
    <w:lvl w:ilvl="5" w:tplc="8A160772">
      <w:numFmt w:val="bullet"/>
      <w:lvlText w:val="•"/>
      <w:lvlJc w:val="left"/>
      <w:pPr>
        <w:ind w:left="4979" w:hanging="738"/>
      </w:pPr>
      <w:rPr>
        <w:rFonts w:hint="default"/>
        <w:lang w:val="zh-CN" w:eastAsia="zh-CN" w:bidi="zh-CN"/>
      </w:rPr>
    </w:lvl>
    <w:lvl w:ilvl="6" w:tplc="2312B55E">
      <w:numFmt w:val="bullet"/>
      <w:lvlText w:val="•"/>
      <w:lvlJc w:val="left"/>
      <w:pPr>
        <w:ind w:left="6113" w:hanging="738"/>
      </w:pPr>
      <w:rPr>
        <w:rFonts w:hint="default"/>
        <w:lang w:val="zh-CN" w:eastAsia="zh-CN" w:bidi="zh-CN"/>
      </w:rPr>
    </w:lvl>
    <w:lvl w:ilvl="7" w:tplc="615224BC">
      <w:numFmt w:val="bullet"/>
      <w:lvlText w:val="•"/>
      <w:lvlJc w:val="left"/>
      <w:pPr>
        <w:ind w:left="7246" w:hanging="738"/>
      </w:pPr>
      <w:rPr>
        <w:rFonts w:hint="default"/>
        <w:lang w:val="zh-CN" w:eastAsia="zh-CN" w:bidi="zh-CN"/>
      </w:rPr>
    </w:lvl>
    <w:lvl w:ilvl="8" w:tplc="A3C08278">
      <w:numFmt w:val="bullet"/>
      <w:lvlText w:val="•"/>
      <w:lvlJc w:val="left"/>
      <w:pPr>
        <w:ind w:left="8379" w:hanging="738"/>
      </w:pPr>
      <w:rPr>
        <w:rFonts w:hint="default"/>
        <w:lang w:val="zh-CN" w:eastAsia="zh-CN" w:bidi="zh-CN"/>
      </w:rPr>
    </w:lvl>
  </w:abstractNum>
  <w:abstractNum w:abstractNumId="865" w15:restartNumberingAfterBreak="0">
    <w:nsid w:val="723E0EA4"/>
    <w:multiLevelType w:val="hybridMultilevel"/>
    <w:tmpl w:val="C28AAB52"/>
    <w:lvl w:ilvl="0" w:tplc="E27AFDCE">
      <w:start w:val="2"/>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70C00522">
      <w:numFmt w:val="bullet"/>
      <w:lvlText w:val="•"/>
      <w:lvlJc w:val="left"/>
      <w:pPr>
        <w:ind w:left="2018" w:hanging="213"/>
      </w:pPr>
      <w:rPr>
        <w:rFonts w:hint="default"/>
        <w:lang w:val="zh-CN" w:eastAsia="zh-CN" w:bidi="zh-CN"/>
      </w:rPr>
    </w:lvl>
    <w:lvl w:ilvl="2" w:tplc="62C69C8C">
      <w:numFmt w:val="bullet"/>
      <w:lvlText w:val="•"/>
      <w:lvlJc w:val="left"/>
      <w:pPr>
        <w:ind w:left="2977" w:hanging="213"/>
      </w:pPr>
      <w:rPr>
        <w:rFonts w:hint="default"/>
        <w:lang w:val="zh-CN" w:eastAsia="zh-CN" w:bidi="zh-CN"/>
      </w:rPr>
    </w:lvl>
    <w:lvl w:ilvl="3" w:tplc="5810E79A">
      <w:numFmt w:val="bullet"/>
      <w:lvlText w:val="•"/>
      <w:lvlJc w:val="left"/>
      <w:pPr>
        <w:ind w:left="3935" w:hanging="213"/>
      </w:pPr>
      <w:rPr>
        <w:rFonts w:hint="default"/>
        <w:lang w:val="zh-CN" w:eastAsia="zh-CN" w:bidi="zh-CN"/>
      </w:rPr>
    </w:lvl>
    <w:lvl w:ilvl="4" w:tplc="92CAE6B2">
      <w:numFmt w:val="bullet"/>
      <w:lvlText w:val="•"/>
      <w:lvlJc w:val="left"/>
      <w:pPr>
        <w:ind w:left="4894" w:hanging="213"/>
      </w:pPr>
      <w:rPr>
        <w:rFonts w:hint="default"/>
        <w:lang w:val="zh-CN" w:eastAsia="zh-CN" w:bidi="zh-CN"/>
      </w:rPr>
    </w:lvl>
    <w:lvl w:ilvl="5" w:tplc="BA4A5D7E">
      <w:numFmt w:val="bullet"/>
      <w:lvlText w:val="•"/>
      <w:lvlJc w:val="left"/>
      <w:pPr>
        <w:ind w:left="5853" w:hanging="213"/>
      </w:pPr>
      <w:rPr>
        <w:rFonts w:hint="default"/>
        <w:lang w:val="zh-CN" w:eastAsia="zh-CN" w:bidi="zh-CN"/>
      </w:rPr>
    </w:lvl>
    <w:lvl w:ilvl="6" w:tplc="449C63DE">
      <w:numFmt w:val="bullet"/>
      <w:lvlText w:val="•"/>
      <w:lvlJc w:val="left"/>
      <w:pPr>
        <w:ind w:left="6811" w:hanging="213"/>
      </w:pPr>
      <w:rPr>
        <w:rFonts w:hint="default"/>
        <w:lang w:val="zh-CN" w:eastAsia="zh-CN" w:bidi="zh-CN"/>
      </w:rPr>
    </w:lvl>
    <w:lvl w:ilvl="7" w:tplc="A1166A92">
      <w:numFmt w:val="bullet"/>
      <w:lvlText w:val="•"/>
      <w:lvlJc w:val="left"/>
      <w:pPr>
        <w:ind w:left="7770" w:hanging="213"/>
      </w:pPr>
      <w:rPr>
        <w:rFonts w:hint="default"/>
        <w:lang w:val="zh-CN" w:eastAsia="zh-CN" w:bidi="zh-CN"/>
      </w:rPr>
    </w:lvl>
    <w:lvl w:ilvl="8" w:tplc="D3C837A6">
      <w:numFmt w:val="bullet"/>
      <w:lvlText w:val="•"/>
      <w:lvlJc w:val="left"/>
      <w:pPr>
        <w:ind w:left="8729" w:hanging="213"/>
      </w:pPr>
      <w:rPr>
        <w:rFonts w:hint="default"/>
        <w:lang w:val="zh-CN" w:eastAsia="zh-CN" w:bidi="zh-CN"/>
      </w:rPr>
    </w:lvl>
  </w:abstractNum>
  <w:abstractNum w:abstractNumId="866" w15:restartNumberingAfterBreak="0">
    <w:nsid w:val="72700824"/>
    <w:multiLevelType w:val="hybridMultilevel"/>
    <w:tmpl w:val="E4309654"/>
    <w:lvl w:ilvl="0" w:tplc="9BA80858">
      <w:start w:val="2"/>
      <w:numFmt w:val="lowerLetter"/>
      <w:lvlText w:val="%1）"/>
      <w:lvlJc w:val="left"/>
      <w:pPr>
        <w:ind w:left="418" w:hanging="318"/>
        <w:jc w:val="left"/>
      </w:pPr>
      <w:rPr>
        <w:rFonts w:ascii="宋体" w:eastAsia="宋体" w:hAnsi="宋体" w:cs="宋体" w:hint="default"/>
        <w:w w:val="100"/>
        <w:sz w:val="19"/>
        <w:szCs w:val="19"/>
        <w:lang w:val="zh-CN" w:eastAsia="zh-CN" w:bidi="zh-CN"/>
      </w:rPr>
    </w:lvl>
    <w:lvl w:ilvl="1" w:tplc="94F4ED50">
      <w:numFmt w:val="bullet"/>
      <w:lvlText w:val="•"/>
      <w:lvlJc w:val="left"/>
      <w:pPr>
        <w:ind w:left="1442" w:hanging="318"/>
      </w:pPr>
      <w:rPr>
        <w:rFonts w:hint="default"/>
        <w:lang w:val="zh-CN" w:eastAsia="zh-CN" w:bidi="zh-CN"/>
      </w:rPr>
    </w:lvl>
    <w:lvl w:ilvl="2" w:tplc="A772472E">
      <w:numFmt w:val="bullet"/>
      <w:lvlText w:val="•"/>
      <w:lvlJc w:val="left"/>
      <w:pPr>
        <w:ind w:left="2465" w:hanging="318"/>
      </w:pPr>
      <w:rPr>
        <w:rFonts w:hint="default"/>
        <w:lang w:val="zh-CN" w:eastAsia="zh-CN" w:bidi="zh-CN"/>
      </w:rPr>
    </w:lvl>
    <w:lvl w:ilvl="3" w:tplc="20D4B88A">
      <w:numFmt w:val="bullet"/>
      <w:lvlText w:val="•"/>
      <w:lvlJc w:val="left"/>
      <w:pPr>
        <w:ind w:left="3487" w:hanging="318"/>
      </w:pPr>
      <w:rPr>
        <w:rFonts w:hint="default"/>
        <w:lang w:val="zh-CN" w:eastAsia="zh-CN" w:bidi="zh-CN"/>
      </w:rPr>
    </w:lvl>
    <w:lvl w:ilvl="4" w:tplc="28327C62">
      <w:numFmt w:val="bullet"/>
      <w:lvlText w:val="•"/>
      <w:lvlJc w:val="left"/>
      <w:pPr>
        <w:ind w:left="4510" w:hanging="318"/>
      </w:pPr>
      <w:rPr>
        <w:rFonts w:hint="default"/>
        <w:lang w:val="zh-CN" w:eastAsia="zh-CN" w:bidi="zh-CN"/>
      </w:rPr>
    </w:lvl>
    <w:lvl w:ilvl="5" w:tplc="3FA89BB8">
      <w:numFmt w:val="bullet"/>
      <w:lvlText w:val="•"/>
      <w:lvlJc w:val="left"/>
      <w:pPr>
        <w:ind w:left="5533" w:hanging="318"/>
      </w:pPr>
      <w:rPr>
        <w:rFonts w:hint="default"/>
        <w:lang w:val="zh-CN" w:eastAsia="zh-CN" w:bidi="zh-CN"/>
      </w:rPr>
    </w:lvl>
    <w:lvl w:ilvl="6" w:tplc="57B66F6A">
      <w:numFmt w:val="bullet"/>
      <w:lvlText w:val="•"/>
      <w:lvlJc w:val="left"/>
      <w:pPr>
        <w:ind w:left="6555" w:hanging="318"/>
      </w:pPr>
      <w:rPr>
        <w:rFonts w:hint="default"/>
        <w:lang w:val="zh-CN" w:eastAsia="zh-CN" w:bidi="zh-CN"/>
      </w:rPr>
    </w:lvl>
    <w:lvl w:ilvl="7" w:tplc="B2F4D062">
      <w:numFmt w:val="bullet"/>
      <w:lvlText w:val="•"/>
      <w:lvlJc w:val="left"/>
      <w:pPr>
        <w:ind w:left="7578" w:hanging="318"/>
      </w:pPr>
      <w:rPr>
        <w:rFonts w:hint="default"/>
        <w:lang w:val="zh-CN" w:eastAsia="zh-CN" w:bidi="zh-CN"/>
      </w:rPr>
    </w:lvl>
    <w:lvl w:ilvl="8" w:tplc="D9344848">
      <w:numFmt w:val="bullet"/>
      <w:lvlText w:val="•"/>
      <w:lvlJc w:val="left"/>
      <w:pPr>
        <w:ind w:left="8601" w:hanging="318"/>
      </w:pPr>
      <w:rPr>
        <w:rFonts w:hint="default"/>
        <w:lang w:val="zh-CN" w:eastAsia="zh-CN" w:bidi="zh-CN"/>
      </w:rPr>
    </w:lvl>
  </w:abstractNum>
  <w:abstractNum w:abstractNumId="867" w15:restartNumberingAfterBreak="0">
    <w:nsid w:val="72F741BA"/>
    <w:multiLevelType w:val="hybridMultilevel"/>
    <w:tmpl w:val="81448D50"/>
    <w:lvl w:ilvl="0" w:tplc="B7AE094A">
      <w:start w:val="5"/>
      <w:numFmt w:val="decimal"/>
      <w:lvlText w:val="%1"/>
      <w:lvlJc w:val="left"/>
      <w:pPr>
        <w:ind w:left="1158" w:hanging="318"/>
        <w:jc w:val="left"/>
      </w:pPr>
      <w:rPr>
        <w:rFonts w:hint="default"/>
        <w:lang w:val="zh-CN" w:eastAsia="zh-CN" w:bidi="zh-CN"/>
      </w:rPr>
    </w:lvl>
    <w:lvl w:ilvl="1" w:tplc="BF46826A">
      <w:start w:val="8"/>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B97C6BE0">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E28CC88C">
      <w:numFmt w:val="bullet"/>
      <w:lvlText w:val="•"/>
      <w:lvlJc w:val="left"/>
      <w:pPr>
        <w:ind w:left="3268" w:hanging="529"/>
      </w:pPr>
      <w:rPr>
        <w:rFonts w:hint="default"/>
        <w:lang w:val="zh-CN" w:eastAsia="zh-CN" w:bidi="zh-CN"/>
      </w:rPr>
    </w:lvl>
    <w:lvl w:ilvl="4" w:tplc="1AEAE964">
      <w:numFmt w:val="bullet"/>
      <w:lvlText w:val="•"/>
      <w:lvlJc w:val="left"/>
      <w:pPr>
        <w:ind w:left="4322" w:hanging="529"/>
      </w:pPr>
      <w:rPr>
        <w:rFonts w:hint="default"/>
        <w:lang w:val="zh-CN" w:eastAsia="zh-CN" w:bidi="zh-CN"/>
      </w:rPr>
    </w:lvl>
    <w:lvl w:ilvl="5" w:tplc="57DE4B42">
      <w:numFmt w:val="bullet"/>
      <w:lvlText w:val="•"/>
      <w:lvlJc w:val="left"/>
      <w:pPr>
        <w:ind w:left="5376" w:hanging="529"/>
      </w:pPr>
      <w:rPr>
        <w:rFonts w:hint="default"/>
        <w:lang w:val="zh-CN" w:eastAsia="zh-CN" w:bidi="zh-CN"/>
      </w:rPr>
    </w:lvl>
    <w:lvl w:ilvl="6" w:tplc="962CA40A">
      <w:numFmt w:val="bullet"/>
      <w:lvlText w:val="•"/>
      <w:lvlJc w:val="left"/>
      <w:pPr>
        <w:ind w:left="6430" w:hanging="529"/>
      </w:pPr>
      <w:rPr>
        <w:rFonts w:hint="default"/>
        <w:lang w:val="zh-CN" w:eastAsia="zh-CN" w:bidi="zh-CN"/>
      </w:rPr>
    </w:lvl>
    <w:lvl w:ilvl="7" w:tplc="A7C6EC50">
      <w:numFmt w:val="bullet"/>
      <w:lvlText w:val="•"/>
      <w:lvlJc w:val="left"/>
      <w:pPr>
        <w:ind w:left="7484" w:hanging="529"/>
      </w:pPr>
      <w:rPr>
        <w:rFonts w:hint="default"/>
        <w:lang w:val="zh-CN" w:eastAsia="zh-CN" w:bidi="zh-CN"/>
      </w:rPr>
    </w:lvl>
    <w:lvl w:ilvl="8" w:tplc="5208780A">
      <w:numFmt w:val="bullet"/>
      <w:lvlText w:val="•"/>
      <w:lvlJc w:val="left"/>
      <w:pPr>
        <w:ind w:left="8538" w:hanging="529"/>
      </w:pPr>
      <w:rPr>
        <w:rFonts w:hint="default"/>
        <w:lang w:val="zh-CN" w:eastAsia="zh-CN" w:bidi="zh-CN"/>
      </w:rPr>
    </w:lvl>
  </w:abstractNum>
  <w:abstractNum w:abstractNumId="868" w15:restartNumberingAfterBreak="0">
    <w:nsid w:val="73140A35"/>
    <w:multiLevelType w:val="hybridMultilevel"/>
    <w:tmpl w:val="813C5964"/>
    <w:lvl w:ilvl="0" w:tplc="AF04A2BE">
      <w:start w:val="6"/>
      <w:numFmt w:val="decimal"/>
      <w:lvlText w:val="%1"/>
      <w:lvlJc w:val="left"/>
      <w:pPr>
        <w:ind w:left="1159" w:hanging="320"/>
        <w:jc w:val="left"/>
      </w:pPr>
      <w:rPr>
        <w:rFonts w:hint="default"/>
        <w:lang w:val="zh-CN" w:eastAsia="zh-CN" w:bidi="zh-CN"/>
      </w:rPr>
    </w:lvl>
    <w:lvl w:ilvl="1" w:tplc="ECE6B3C0">
      <w:start w:val="3"/>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3D24179C">
      <w:start w:val="1"/>
      <w:numFmt w:val="decimal"/>
      <w:lvlText w:val="%1.%2.%3"/>
      <w:lvlJc w:val="left"/>
      <w:pPr>
        <w:ind w:left="1423" w:hanging="584"/>
        <w:jc w:val="left"/>
      </w:pPr>
      <w:rPr>
        <w:rFonts w:ascii="宋体" w:eastAsia="宋体" w:hAnsi="宋体" w:cs="宋体" w:hint="default"/>
        <w:b/>
        <w:bCs/>
        <w:w w:val="99"/>
        <w:sz w:val="21"/>
        <w:szCs w:val="21"/>
        <w:lang w:val="zh-CN" w:eastAsia="zh-CN" w:bidi="zh-CN"/>
      </w:rPr>
    </w:lvl>
    <w:lvl w:ilvl="3" w:tplc="4502B73A">
      <w:start w:val="1"/>
      <w:numFmt w:val="decimal"/>
      <w:lvlText w:val="%1.%2.%3.%4"/>
      <w:lvlJc w:val="left"/>
      <w:pPr>
        <w:ind w:left="418" w:hanging="738"/>
        <w:jc w:val="left"/>
      </w:pPr>
      <w:rPr>
        <w:rFonts w:ascii="宋体" w:eastAsia="宋体" w:hAnsi="宋体" w:cs="宋体" w:hint="default"/>
        <w:spacing w:val="-3"/>
        <w:w w:val="100"/>
        <w:sz w:val="19"/>
        <w:szCs w:val="19"/>
        <w:lang w:val="zh-CN" w:eastAsia="zh-CN" w:bidi="zh-CN"/>
      </w:rPr>
    </w:lvl>
    <w:lvl w:ilvl="4" w:tplc="A07E8C58">
      <w:numFmt w:val="bullet"/>
      <w:lvlText w:val="•"/>
      <w:lvlJc w:val="left"/>
      <w:pPr>
        <w:ind w:left="3726" w:hanging="738"/>
      </w:pPr>
      <w:rPr>
        <w:rFonts w:hint="default"/>
        <w:lang w:val="zh-CN" w:eastAsia="zh-CN" w:bidi="zh-CN"/>
      </w:rPr>
    </w:lvl>
    <w:lvl w:ilvl="5" w:tplc="8ACC1B58">
      <w:numFmt w:val="bullet"/>
      <w:lvlText w:val="•"/>
      <w:lvlJc w:val="left"/>
      <w:pPr>
        <w:ind w:left="4879" w:hanging="738"/>
      </w:pPr>
      <w:rPr>
        <w:rFonts w:hint="default"/>
        <w:lang w:val="zh-CN" w:eastAsia="zh-CN" w:bidi="zh-CN"/>
      </w:rPr>
    </w:lvl>
    <w:lvl w:ilvl="6" w:tplc="58E83734">
      <w:numFmt w:val="bullet"/>
      <w:lvlText w:val="•"/>
      <w:lvlJc w:val="left"/>
      <w:pPr>
        <w:ind w:left="6033" w:hanging="738"/>
      </w:pPr>
      <w:rPr>
        <w:rFonts w:hint="default"/>
        <w:lang w:val="zh-CN" w:eastAsia="zh-CN" w:bidi="zh-CN"/>
      </w:rPr>
    </w:lvl>
    <w:lvl w:ilvl="7" w:tplc="42E475CA">
      <w:numFmt w:val="bullet"/>
      <w:lvlText w:val="•"/>
      <w:lvlJc w:val="left"/>
      <w:pPr>
        <w:ind w:left="7186" w:hanging="738"/>
      </w:pPr>
      <w:rPr>
        <w:rFonts w:hint="default"/>
        <w:lang w:val="zh-CN" w:eastAsia="zh-CN" w:bidi="zh-CN"/>
      </w:rPr>
    </w:lvl>
    <w:lvl w:ilvl="8" w:tplc="6422D6F2">
      <w:numFmt w:val="bullet"/>
      <w:lvlText w:val="•"/>
      <w:lvlJc w:val="left"/>
      <w:pPr>
        <w:ind w:left="8339" w:hanging="738"/>
      </w:pPr>
      <w:rPr>
        <w:rFonts w:hint="default"/>
        <w:lang w:val="zh-CN" w:eastAsia="zh-CN" w:bidi="zh-CN"/>
      </w:rPr>
    </w:lvl>
  </w:abstractNum>
  <w:abstractNum w:abstractNumId="869" w15:restartNumberingAfterBreak="0">
    <w:nsid w:val="73362515"/>
    <w:multiLevelType w:val="hybridMultilevel"/>
    <w:tmpl w:val="AA0E6292"/>
    <w:lvl w:ilvl="0" w:tplc="D788F9EC">
      <w:start w:val="1"/>
      <w:numFmt w:val="decimal"/>
      <w:lvlText w:val="%1）"/>
      <w:lvlJc w:val="left"/>
      <w:pPr>
        <w:ind w:left="1155" w:hanging="318"/>
        <w:jc w:val="left"/>
      </w:pPr>
      <w:rPr>
        <w:rFonts w:ascii="宋体" w:eastAsia="宋体" w:hAnsi="宋体" w:cs="宋体" w:hint="default"/>
        <w:w w:val="100"/>
        <w:sz w:val="19"/>
        <w:szCs w:val="19"/>
        <w:lang w:val="zh-CN" w:eastAsia="zh-CN" w:bidi="zh-CN"/>
      </w:rPr>
    </w:lvl>
    <w:lvl w:ilvl="1" w:tplc="793EDFFE">
      <w:numFmt w:val="bullet"/>
      <w:lvlText w:val="•"/>
      <w:lvlJc w:val="left"/>
      <w:pPr>
        <w:ind w:left="2108" w:hanging="318"/>
      </w:pPr>
      <w:rPr>
        <w:rFonts w:hint="default"/>
        <w:lang w:val="zh-CN" w:eastAsia="zh-CN" w:bidi="zh-CN"/>
      </w:rPr>
    </w:lvl>
    <w:lvl w:ilvl="2" w:tplc="9DBCCE44">
      <w:numFmt w:val="bullet"/>
      <w:lvlText w:val="•"/>
      <w:lvlJc w:val="left"/>
      <w:pPr>
        <w:ind w:left="3057" w:hanging="318"/>
      </w:pPr>
      <w:rPr>
        <w:rFonts w:hint="default"/>
        <w:lang w:val="zh-CN" w:eastAsia="zh-CN" w:bidi="zh-CN"/>
      </w:rPr>
    </w:lvl>
    <w:lvl w:ilvl="3" w:tplc="C082F228">
      <w:numFmt w:val="bullet"/>
      <w:lvlText w:val="•"/>
      <w:lvlJc w:val="left"/>
      <w:pPr>
        <w:ind w:left="4005" w:hanging="318"/>
      </w:pPr>
      <w:rPr>
        <w:rFonts w:hint="default"/>
        <w:lang w:val="zh-CN" w:eastAsia="zh-CN" w:bidi="zh-CN"/>
      </w:rPr>
    </w:lvl>
    <w:lvl w:ilvl="4" w:tplc="6C2C2D0E">
      <w:numFmt w:val="bullet"/>
      <w:lvlText w:val="•"/>
      <w:lvlJc w:val="left"/>
      <w:pPr>
        <w:ind w:left="4954" w:hanging="318"/>
      </w:pPr>
      <w:rPr>
        <w:rFonts w:hint="default"/>
        <w:lang w:val="zh-CN" w:eastAsia="zh-CN" w:bidi="zh-CN"/>
      </w:rPr>
    </w:lvl>
    <w:lvl w:ilvl="5" w:tplc="B75A64C6">
      <w:numFmt w:val="bullet"/>
      <w:lvlText w:val="•"/>
      <w:lvlJc w:val="left"/>
      <w:pPr>
        <w:ind w:left="5903" w:hanging="318"/>
      </w:pPr>
      <w:rPr>
        <w:rFonts w:hint="default"/>
        <w:lang w:val="zh-CN" w:eastAsia="zh-CN" w:bidi="zh-CN"/>
      </w:rPr>
    </w:lvl>
    <w:lvl w:ilvl="6" w:tplc="76CAAC1A">
      <w:numFmt w:val="bullet"/>
      <w:lvlText w:val="•"/>
      <w:lvlJc w:val="left"/>
      <w:pPr>
        <w:ind w:left="6851" w:hanging="318"/>
      </w:pPr>
      <w:rPr>
        <w:rFonts w:hint="default"/>
        <w:lang w:val="zh-CN" w:eastAsia="zh-CN" w:bidi="zh-CN"/>
      </w:rPr>
    </w:lvl>
    <w:lvl w:ilvl="7" w:tplc="FF6C71DE">
      <w:numFmt w:val="bullet"/>
      <w:lvlText w:val="•"/>
      <w:lvlJc w:val="left"/>
      <w:pPr>
        <w:ind w:left="7800" w:hanging="318"/>
      </w:pPr>
      <w:rPr>
        <w:rFonts w:hint="default"/>
        <w:lang w:val="zh-CN" w:eastAsia="zh-CN" w:bidi="zh-CN"/>
      </w:rPr>
    </w:lvl>
    <w:lvl w:ilvl="8" w:tplc="B06A64F2">
      <w:numFmt w:val="bullet"/>
      <w:lvlText w:val="•"/>
      <w:lvlJc w:val="left"/>
      <w:pPr>
        <w:ind w:left="8749" w:hanging="318"/>
      </w:pPr>
      <w:rPr>
        <w:rFonts w:hint="default"/>
        <w:lang w:val="zh-CN" w:eastAsia="zh-CN" w:bidi="zh-CN"/>
      </w:rPr>
    </w:lvl>
  </w:abstractNum>
  <w:abstractNum w:abstractNumId="870" w15:restartNumberingAfterBreak="0">
    <w:nsid w:val="733C2108"/>
    <w:multiLevelType w:val="hybridMultilevel"/>
    <w:tmpl w:val="F27C2FA6"/>
    <w:lvl w:ilvl="0" w:tplc="65E8D34A">
      <w:start w:val="8"/>
      <w:numFmt w:val="decimal"/>
      <w:lvlText w:val="%1"/>
      <w:lvlJc w:val="left"/>
      <w:pPr>
        <w:ind w:left="1158" w:hanging="318"/>
        <w:jc w:val="left"/>
      </w:pPr>
      <w:rPr>
        <w:rFonts w:hint="default"/>
        <w:lang w:val="zh-CN" w:eastAsia="zh-CN" w:bidi="zh-CN"/>
      </w:rPr>
    </w:lvl>
    <w:lvl w:ilvl="1" w:tplc="6F4AF2D4">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3AAAF094">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004CD112">
      <w:numFmt w:val="bullet"/>
      <w:lvlText w:val="•"/>
      <w:lvlJc w:val="left"/>
      <w:pPr>
        <w:ind w:left="2538" w:hanging="531"/>
      </w:pPr>
      <w:rPr>
        <w:rFonts w:hint="default"/>
        <w:lang w:val="zh-CN" w:eastAsia="zh-CN" w:bidi="zh-CN"/>
      </w:rPr>
    </w:lvl>
    <w:lvl w:ilvl="4" w:tplc="1B001098">
      <w:numFmt w:val="bullet"/>
      <w:lvlText w:val="•"/>
      <w:lvlJc w:val="left"/>
      <w:pPr>
        <w:ind w:left="3696" w:hanging="531"/>
      </w:pPr>
      <w:rPr>
        <w:rFonts w:hint="default"/>
        <w:lang w:val="zh-CN" w:eastAsia="zh-CN" w:bidi="zh-CN"/>
      </w:rPr>
    </w:lvl>
    <w:lvl w:ilvl="5" w:tplc="D8C0F3B2">
      <w:numFmt w:val="bullet"/>
      <w:lvlText w:val="•"/>
      <w:lvlJc w:val="left"/>
      <w:pPr>
        <w:ind w:left="4854" w:hanging="531"/>
      </w:pPr>
      <w:rPr>
        <w:rFonts w:hint="default"/>
        <w:lang w:val="zh-CN" w:eastAsia="zh-CN" w:bidi="zh-CN"/>
      </w:rPr>
    </w:lvl>
    <w:lvl w:ilvl="6" w:tplc="9B5C914C">
      <w:numFmt w:val="bullet"/>
      <w:lvlText w:val="•"/>
      <w:lvlJc w:val="left"/>
      <w:pPr>
        <w:ind w:left="6013" w:hanging="531"/>
      </w:pPr>
      <w:rPr>
        <w:rFonts w:hint="default"/>
        <w:lang w:val="zh-CN" w:eastAsia="zh-CN" w:bidi="zh-CN"/>
      </w:rPr>
    </w:lvl>
    <w:lvl w:ilvl="7" w:tplc="77BC0AF4">
      <w:numFmt w:val="bullet"/>
      <w:lvlText w:val="•"/>
      <w:lvlJc w:val="left"/>
      <w:pPr>
        <w:ind w:left="7171" w:hanging="531"/>
      </w:pPr>
      <w:rPr>
        <w:rFonts w:hint="default"/>
        <w:lang w:val="zh-CN" w:eastAsia="zh-CN" w:bidi="zh-CN"/>
      </w:rPr>
    </w:lvl>
    <w:lvl w:ilvl="8" w:tplc="74762CCA">
      <w:numFmt w:val="bullet"/>
      <w:lvlText w:val="•"/>
      <w:lvlJc w:val="left"/>
      <w:pPr>
        <w:ind w:left="8329" w:hanging="531"/>
      </w:pPr>
      <w:rPr>
        <w:rFonts w:hint="default"/>
        <w:lang w:val="zh-CN" w:eastAsia="zh-CN" w:bidi="zh-CN"/>
      </w:rPr>
    </w:lvl>
  </w:abstractNum>
  <w:abstractNum w:abstractNumId="871" w15:restartNumberingAfterBreak="0">
    <w:nsid w:val="73460517"/>
    <w:multiLevelType w:val="hybridMultilevel"/>
    <w:tmpl w:val="E28A7B64"/>
    <w:lvl w:ilvl="0" w:tplc="3EB64AAC">
      <w:start w:val="4"/>
      <w:numFmt w:val="upperLetter"/>
      <w:lvlText w:val="%1"/>
      <w:lvlJc w:val="left"/>
      <w:pPr>
        <w:ind w:left="1370" w:hanging="531"/>
        <w:jc w:val="left"/>
      </w:pPr>
      <w:rPr>
        <w:rFonts w:hint="default"/>
        <w:lang w:val="zh-CN" w:eastAsia="zh-CN" w:bidi="zh-CN"/>
      </w:rPr>
    </w:lvl>
    <w:lvl w:ilvl="1" w:tplc="0C880C58">
      <w:start w:val="1"/>
      <w:numFmt w:val="decimal"/>
      <w:lvlText w:val="%1.%2"/>
      <w:lvlJc w:val="left"/>
      <w:pPr>
        <w:ind w:left="1370" w:hanging="531"/>
        <w:jc w:val="left"/>
      </w:pPr>
      <w:rPr>
        <w:rFonts w:hint="default"/>
        <w:lang w:val="zh-CN" w:eastAsia="zh-CN" w:bidi="zh-CN"/>
      </w:rPr>
    </w:lvl>
    <w:lvl w:ilvl="2" w:tplc="D360BF46">
      <w:start w:val="4"/>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7040E50E">
      <w:numFmt w:val="bullet"/>
      <w:lvlText w:val="•"/>
      <w:lvlJc w:val="left"/>
      <w:pPr>
        <w:ind w:left="4159" w:hanging="531"/>
      </w:pPr>
      <w:rPr>
        <w:rFonts w:hint="default"/>
        <w:lang w:val="zh-CN" w:eastAsia="zh-CN" w:bidi="zh-CN"/>
      </w:rPr>
    </w:lvl>
    <w:lvl w:ilvl="4" w:tplc="DC38FDC8">
      <w:numFmt w:val="bullet"/>
      <w:lvlText w:val="•"/>
      <w:lvlJc w:val="left"/>
      <w:pPr>
        <w:ind w:left="5086" w:hanging="531"/>
      </w:pPr>
      <w:rPr>
        <w:rFonts w:hint="default"/>
        <w:lang w:val="zh-CN" w:eastAsia="zh-CN" w:bidi="zh-CN"/>
      </w:rPr>
    </w:lvl>
    <w:lvl w:ilvl="5" w:tplc="9A740492">
      <w:numFmt w:val="bullet"/>
      <w:lvlText w:val="•"/>
      <w:lvlJc w:val="left"/>
      <w:pPr>
        <w:ind w:left="6013" w:hanging="531"/>
      </w:pPr>
      <w:rPr>
        <w:rFonts w:hint="default"/>
        <w:lang w:val="zh-CN" w:eastAsia="zh-CN" w:bidi="zh-CN"/>
      </w:rPr>
    </w:lvl>
    <w:lvl w:ilvl="6" w:tplc="BFBC28BE">
      <w:numFmt w:val="bullet"/>
      <w:lvlText w:val="•"/>
      <w:lvlJc w:val="left"/>
      <w:pPr>
        <w:ind w:left="6939" w:hanging="531"/>
      </w:pPr>
      <w:rPr>
        <w:rFonts w:hint="default"/>
        <w:lang w:val="zh-CN" w:eastAsia="zh-CN" w:bidi="zh-CN"/>
      </w:rPr>
    </w:lvl>
    <w:lvl w:ilvl="7" w:tplc="8BB411BC">
      <w:numFmt w:val="bullet"/>
      <w:lvlText w:val="•"/>
      <w:lvlJc w:val="left"/>
      <w:pPr>
        <w:ind w:left="7866" w:hanging="531"/>
      </w:pPr>
      <w:rPr>
        <w:rFonts w:hint="default"/>
        <w:lang w:val="zh-CN" w:eastAsia="zh-CN" w:bidi="zh-CN"/>
      </w:rPr>
    </w:lvl>
    <w:lvl w:ilvl="8" w:tplc="A2F63898">
      <w:numFmt w:val="bullet"/>
      <w:lvlText w:val="•"/>
      <w:lvlJc w:val="left"/>
      <w:pPr>
        <w:ind w:left="8793" w:hanging="531"/>
      </w:pPr>
      <w:rPr>
        <w:rFonts w:hint="default"/>
        <w:lang w:val="zh-CN" w:eastAsia="zh-CN" w:bidi="zh-CN"/>
      </w:rPr>
    </w:lvl>
  </w:abstractNum>
  <w:abstractNum w:abstractNumId="872" w15:restartNumberingAfterBreak="0">
    <w:nsid w:val="735728F3"/>
    <w:multiLevelType w:val="hybridMultilevel"/>
    <w:tmpl w:val="50844C1E"/>
    <w:lvl w:ilvl="0" w:tplc="87149D88">
      <w:start w:val="5"/>
      <w:numFmt w:val="decimal"/>
      <w:lvlText w:val="%1"/>
      <w:lvlJc w:val="left"/>
      <w:pPr>
        <w:ind w:left="1369" w:hanging="529"/>
        <w:jc w:val="left"/>
      </w:pPr>
      <w:rPr>
        <w:rFonts w:hint="default"/>
        <w:lang w:val="zh-CN" w:eastAsia="zh-CN" w:bidi="zh-CN"/>
      </w:rPr>
    </w:lvl>
    <w:lvl w:ilvl="1" w:tplc="0E040E3C">
      <w:start w:val="3"/>
      <w:numFmt w:val="decimal"/>
      <w:lvlText w:val="%1.%2"/>
      <w:lvlJc w:val="left"/>
      <w:pPr>
        <w:ind w:left="1369" w:hanging="529"/>
        <w:jc w:val="left"/>
      </w:pPr>
      <w:rPr>
        <w:rFonts w:hint="default"/>
        <w:lang w:val="zh-CN" w:eastAsia="zh-CN" w:bidi="zh-CN"/>
      </w:rPr>
    </w:lvl>
    <w:lvl w:ilvl="2" w:tplc="6A387C94">
      <w:start w:val="6"/>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A9FCC2FE">
      <w:numFmt w:val="bullet"/>
      <w:lvlText w:val="•"/>
      <w:lvlJc w:val="left"/>
      <w:pPr>
        <w:ind w:left="4145" w:hanging="529"/>
      </w:pPr>
      <w:rPr>
        <w:rFonts w:hint="default"/>
        <w:lang w:val="zh-CN" w:eastAsia="zh-CN" w:bidi="zh-CN"/>
      </w:rPr>
    </w:lvl>
    <w:lvl w:ilvl="4" w:tplc="1A9EA40C">
      <w:numFmt w:val="bullet"/>
      <w:lvlText w:val="•"/>
      <w:lvlJc w:val="left"/>
      <w:pPr>
        <w:ind w:left="5074" w:hanging="529"/>
      </w:pPr>
      <w:rPr>
        <w:rFonts w:hint="default"/>
        <w:lang w:val="zh-CN" w:eastAsia="zh-CN" w:bidi="zh-CN"/>
      </w:rPr>
    </w:lvl>
    <w:lvl w:ilvl="5" w:tplc="ECAE700C">
      <w:numFmt w:val="bullet"/>
      <w:lvlText w:val="•"/>
      <w:lvlJc w:val="left"/>
      <w:pPr>
        <w:ind w:left="6003" w:hanging="529"/>
      </w:pPr>
      <w:rPr>
        <w:rFonts w:hint="default"/>
        <w:lang w:val="zh-CN" w:eastAsia="zh-CN" w:bidi="zh-CN"/>
      </w:rPr>
    </w:lvl>
    <w:lvl w:ilvl="6" w:tplc="08F4E7DE">
      <w:numFmt w:val="bullet"/>
      <w:lvlText w:val="•"/>
      <w:lvlJc w:val="left"/>
      <w:pPr>
        <w:ind w:left="6931" w:hanging="529"/>
      </w:pPr>
      <w:rPr>
        <w:rFonts w:hint="default"/>
        <w:lang w:val="zh-CN" w:eastAsia="zh-CN" w:bidi="zh-CN"/>
      </w:rPr>
    </w:lvl>
    <w:lvl w:ilvl="7" w:tplc="CC0EB4BA">
      <w:numFmt w:val="bullet"/>
      <w:lvlText w:val="•"/>
      <w:lvlJc w:val="left"/>
      <w:pPr>
        <w:ind w:left="7860" w:hanging="529"/>
      </w:pPr>
      <w:rPr>
        <w:rFonts w:hint="default"/>
        <w:lang w:val="zh-CN" w:eastAsia="zh-CN" w:bidi="zh-CN"/>
      </w:rPr>
    </w:lvl>
    <w:lvl w:ilvl="8" w:tplc="DD687A8E">
      <w:numFmt w:val="bullet"/>
      <w:lvlText w:val="•"/>
      <w:lvlJc w:val="left"/>
      <w:pPr>
        <w:ind w:left="8789" w:hanging="529"/>
      </w:pPr>
      <w:rPr>
        <w:rFonts w:hint="default"/>
        <w:lang w:val="zh-CN" w:eastAsia="zh-CN" w:bidi="zh-CN"/>
      </w:rPr>
    </w:lvl>
  </w:abstractNum>
  <w:abstractNum w:abstractNumId="873" w15:restartNumberingAfterBreak="0">
    <w:nsid w:val="738A48AD"/>
    <w:multiLevelType w:val="hybridMultilevel"/>
    <w:tmpl w:val="8CA04690"/>
    <w:lvl w:ilvl="0" w:tplc="61CA1C38">
      <w:start w:val="2"/>
      <w:numFmt w:val="decimal"/>
      <w:lvlText w:val="%1"/>
      <w:lvlJc w:val="left"/>
      <w:pPr>
        <w:ind w:left="1158" w:hanging="318"/>
        <w:jc w:val="left"/>
      </w:pPr>
      <w:rPr>
        <w:rFonts w:hint="default"/>
        <w:lang w:val="zh-CN" w:eastAsia="zh-CN" w:bidi="zh-CN"/>
      </w:rPr>
    </w:lvl>
    <w:lvl w:ilvl="1" w:tplc="D9787A0C">
      <w:start w:val="4"/>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8BA4A2EA">
      <w:numFmt w:val="bullet"/>
      <w:lvlText w:val="•"/>
      <w:lvlJc w:val="left"/>
      <w:pPr>
        <w:ind w:left="3057" w:hanging="318"/>
      </w:pPr>
      <w:rPr>
        <w:rFonts w:hint="default"/>
        <w:lang w:val="zh-CN" w:eastAsia="zh-CN" w:bidi="zh-CN"/>
      </w:rPr>
    </w:lvl>
    <w:lvl w:ilvl="3" w:tplc="6478AA42">
      <w:numFmt w:val="bullet"/>
      <w:lvlText w:val="•"/>
      <w:lvlJc w:val="left"/>
      <w:pPr>
        <w:ind w:left="4005" w:hanging="318"/>
      </w:pPr>
      <w:rPr>
        <w:rFonts w:hint="default"/>
        <w:lang w:val="zh-CN" w:eastAsia="zh-CN" w:bidi="zh-CN"/>
      </w:rPr>
    </w:lvl>
    <w:lvl w:ilvl="4" w:tplc="2976F726">
      <w:numFmt w:val="bullet"/>
      <w:lvlText w:val="•"/>
      <w:lvlJc w:val="left"/>
      <w:pPr>
        <w:ind w:left="4954" w:hanging="318"/>
      </w:pPr>
      <w:rPr>
        <w:rFonts w:hint="default"/>
        <w:lang w:val="zh-CN" w:eastAsia="zh-CN" w:bidi="zh-CN"/>
      </w:rPr>
    </w:lvl>
    <w:lvl w:ilvl="5" w:tplc="F84635E6">
      <w:numFmt w:val="bullet"/>
      <w:lvlText w:val="•"/>
      <w:lvlJc w:val="left"/>
      <w:pPr>
        <w:ind w:left="5903" w:hanging="318"/>
      </w:pPr>
      <w:rPr>
        <w:rFonts w:hint="default"/>
        <w:lang w:val="zh-CN" w:eastAsia="zh-CN" w:bidi="zh-CN"/>
      </w:rPr>
    </w:lvl>
    <w:lvl w:ilvl="6" w:tplc="1682FF22">
      <w:numFmt w:val="bullet"/>
      <w:lvlText w:val="•"/>
      <w:lvlJc w:val="left"/>
      <w:pPr>
        <w:ind w:left="6851" w:hanging="318"/>
      </w:pPr>
      <w:rPr>
        <w:rFonts w:hint="default"/>
        <w:lang w:val="zh-CN" w:eastAsia="zh-CN" w:bidi="zh-CN"/>
      </w:rPr>
    </w:lvl>
    <w:lvl w:ilvl="7" w:tplc="78E21788">
      <w:numFmt w:val="bullet"/>
      <w:lvlText w:val="•"/>
      <w:lvlJc w:val="left"/>
      <w:pPr>
        <w:ind w:left="7800" w:hanging="318"/>
      </w:pPr>
      <w:rPr>
        <w:rFonts w:hint="default"/>
        <w:lang w:val="zh-CN" w:eastAsia="zh-CN" w:bidi="zh-CN"/>
      </w:rPr>
    </w:lvl>
    <w:lvl w:ilvl="8" w:tplc="44968E3A">
      <w:numFmt w:val="bullet"/>
      <w:lvlText w:val="•"/>
      <w:lvlJc w:val="left"/>
      <w:pPr>
        <w:ind w:left="8749" w:hanging="318"/>
      </w:pPr>
      <w:rPr>
        <w:rFonts w:hint="default"/>
        <w:lang w:val="zh-CN" w:eastAsia="zh-CN" w:bidi="zh-CN"/>
      </w:rPr>
    </w:lvl>
  </w:abstractNum>
  <w:abstractNum w:abstractNumId="874" w15:restartNumberingAfterBreak="0">
    <w:nsid w:val="738E592A"/>
    <w:multiLevelType w:val="hybridMultilevel"/>
    <w:tmpl w:val="D4B0E1EE"/>
    <w:lvl w:ilvl="0" w:tplc="26923574">
      <w:start w:val="1"/>
      <w:numFmt w:val="lowerLetter"/>
      <w:lvlText w:val="%1）"/>
      <w:lvlJc w:val="left"/>
      <w:pPr>
        <w:ind w:left="1155" w:hanging="318"/>
        <w:jc w:val="left"/>
      </w:pPr>
      <w:rPr>
        <w:rFonts w:ascii="宋体" w:eastAsia="宋体" w:hAnsi="宋体" w:cs="宋体" w:hint="default"/>
        <w:w w:val="100"/>
        <w:sz w:val="19"/>
        <w:szCs w:val="19"/>
        <w:lang w:val="zh-CN" w:eastAsia="zh-CN" w:bidi="zh-CN"/>
      </w:rPr>
    </w:lvl>
    <w:lvl w:ilvl="1" w:tplc="EE748D1C">
      <w:numFmt w:val="bullet"/>
      <w:lvlText w:val="•"/>
      <w:lvlJc w:val="left"/>
      <w:pPr>
        <w:ind w:left="2108" w:hanging="318"/>
      </w:pPr>
      <w:rPr>
        <w:rFonts w:hint="default"/>
        <w:lang w:val="zh-CN" w:eastAsia="zh-CN" w:bidi="zh-CN"/>
      </w:rPr>
    </w:lvl>
    <w:lvl w:ilvl="2" w:tplc="F252F7F4">
      <w:numFmt w:val="bullet"/>
      <w:lvlText w:val="•"/>
      <w:lvlJc w:val="left"/>
      <w:pPr>
        <w:ind w:left="3057" w:hanging="318"/>
      </w:pPr>
      <w:rPr>
        <w:rFonts w:hint="default"/>
        <w:lang w:val="zh-CN" w:eastAsia="zh-CN" w:bidi="zh-CN"/>
      </w:rPr>
    </w:lvl>
    <w:lvl w:ilvl="3" w:tplc="16B2FE96">
      <w:numFmt w:val="bullet"/>
      <w:lvlText w:val="•"/>
      <w:lvlJc w:val="left"/>
      <w:pPr>
        <w:ind w:left="4005" w:hanging="318"/>
      </w:pPr>
      <w:rPr>
        <w:rFonts w:hint="default"/>
        <w:lang w:val="zh-CN" w:eastAsia="zh-CN" w:bidi="zh-CN"/>
      </w:rPr>
    </w:lvl>
    <w:lvl w:ilvl="4" w:tplc="72883742">
      <w:numFmt w:val="bullet"/>
      <w:lvlText w:val="•"/>
      <w:lvlJc w:val="left"/>
      <w:pPr>
        <w:ind w:left="4954" w:hanging="318"/>
      </w:pPr>
      <w:rPr>
        <w:rFonts w:hint="default"/>
        <w:lang w:val="zh-CN" w:eastAsia="zh-CN" w:bidi="zh-CN"/>
      </w:rPr>
    </w:lvl>
    <w:lvl w:ilvl="5" w:tplc="557CEAC2">
      <w:numFmt w:val="bullet"/>
      <w:lvlText w:val="•"/>
      <w:lvlJc w:val="left"/>
      <w:pPr>
        <w:ind w:left="5903" w:hanging="318"/>
      </w:pPr>
      <w:rPr>
        <w:rFonts w:hint="default"/>
        <w:lang w:val="zh-CN" w:eastAsia="zh-CN" w:bidi="zh-CN"/>
      </w:rPr>
    </w:lvl>
    <w:lvl w:ilvl="6" w:tplc="A878B64A">
      <w:numFmt w:val="bullet"/>
      <w:lvlText w:val="•"/>
      <w:lvlJc w:val="left"/>
      <w:pPr>
        <w:ind w:left="6851" w:hanging="318"/>
      </w:pPr>
      <w:rPr>
        <w:rFonts w:hint="default"/>
        <w:lang w:val="zh-CN" w:eastAsia="zh-CN" w:bidi="zh-CN"/>
      </w:rPr>
    </w:lvl>
    <w:lvl w:ilvl="7" w:tplc="EB583C22">
      <w:numFmt w:val="bullet"/>
      <w:lvlText w:val="•"/>
      <w:lvlJc w:val="left"/>
      <w:pPr>
        <w:ind w:left="7800" w:hanging="318"/>
      </w:pPr>
      <w:rPr>
        <w:rFonts w:hint="default"/>
        <w:lang w:val="zh-CN" w:eastAsia="zh-CN" w:bidi="zh-CN"/>
      </w:rPr>
    </w:lvl>
    <w:lvl w:ilvl="8" w:tplc="3D7879E6">
      <w:numFmt w:val="bullet"/>
      <w:lvlText w:val="•"/>
      <w:lvlJc w:val="left"/>
      <w:pPr>
        <w:ind w:left="8749" w:hanging="318"/>
      </w:pPr>
      <w:rPr>
        <w:rFonts w:hint="default"/>
        <w:lang w:val="zh-CN" w:eastAsia="zh-CN" w:bidi="zh-CN"/>
      </w:rPr>
    </w:lvl>
  </w:abstractNum>
  <w:abstractNum w:abstractNumId="875" w15:restartNumberingAfterBreak="0">
    <w:nsid w:val="73986C5B"/>
    <w:multiLevelType w:val="hybridMultilevel"/>
    <w:tmpl w:val="4C5E009C"/>
    <w:lvl w:ilvl="0" w:tplc="C966E976">
      <w:start w:val="1"/>
      <w:numFmt w:val="decimal"/>
      <w:lvlText w:val="%1"/>
      <w:lvlJc w:val="left"/>
      <w:pPr>
        <w:ind w:left="418" w:hanging="372"/>
        <w:jc w:val="left"/>
      </w:pPr>
      <w:rPr>
        <w:rFonts w:hint="default"/>
        <w:lang w:val="zh-CN" w:eastAsia="zh-CN" w:bidi="zh-CN"/>
      </w:rPr>
    </w:lvl>
    <w:lvl w:ilvl="1" w:tplc="D764A930">
      <w:start w:val="1"/>
      <w:numFmt w:val="decimal"/>
      <w:lvlText w:val="%1.%2"/>
      <w:lvlJc w:val="left"/>
      <w:pPr>
        <w:ind w:left="418" w:hanging="372"/>
        <w:jc w:val="left"/>
      </w:pPr>
      <w:rPr>
        <w:rFonts w:ascii="宋体" w:eastAsia="宋体" w:hAnsi="宋体" w:cs="宋体" w:hint="default"/>
        <w:b/>
        <w:bCs/>
        <w:w w:val="99"/>
        <w:sz w:val="21"/>
        <w:szCs w:val="21"/>
        <w:lang w:val="zh-CN" w:eastAsia="zh-CN" w:bidi="zh-CN"/>
      </w:rPr>
    </w:lvl>
    <w:lvl w:ilvl="2" w:tplc="0AB056BA">
      <w:numFmt w:val="bullet"/>
      <w:lvlText w:val="•"/>
      <w:lvlJc w:val="left"/>
      <w:pPr>
        <w:ind w:left="2465" w:hanging="372"/>
      </w:pPr>
      <w:rPr>
        <w:rFonts w:hint="default"/>
        <w:lang w:val="zh-CN" w:eastAsia="zh-CN" w:bidi="zh-CN"/>
      </w:rPr>
    </w:lvl>
    <w:lvl w:ilvl="3" w:tplc="AA562E18">
      <w:numFmt w:val="bullet"/>
      <w:lvlText w:val="•"/>
      <w:lvlJc w:val="left"/>
      <w:pPr>
        <w:ind w:left="3487" w:hanging="372"/>
      </w:pPr>
      <w:rPr>
        <w:rFonts w:hint="default"/>
        <w:lang w:val="zh-CN" w:eastAsia="zh-CN" w:bidi="zh-CN"/>
      </w:rPr>
    </w:lvl>
    <w:lvl w:ilvl="4" w:tplc="ADE22C3E">
      <w:numFmt w:val="bullet"/>
      <w:lvlText w:val="•"/>
      <w:lvlJc w:val="left"/>
      <w:pPr>
        <w:ind w:left="4510" w:hanging="372"/>
      </w:pPr>
      <w:rPr>
        <w:rFonts w:hint="default"/>
        <w:lang w:val="zh-CN" w:eastAsia="zh-CN" w:bidi="zh-CN"/>
      </w:rPr>
    </w:lvl>
    <w:lvl w:ilvl="5" w:tplc="987EC724">
      <w:numFmt w:val="bullet"/>
      <w:lvlText w:val="•"/>
      <w:lvlJc w:val="left"/>
      <w:pPr>
        <w:ind w:left="5533" w:hanging="372"/>
      </w:pPr>
      <w:rPr>
        <w:rFonts w:hint="default"/>
        <w:lang w:val="zh-CN" w:eastAsia="zh-CN" w:bidi="zh-CN"/>
      </w:rPr>
    </w:lvl>
    <w:lvl w:ilvl="6" w:tplc="3714868C">
      <w:numFmt w:val="bullet"/>
      <w:lvlText w:val="•"/>
      <w:lvlJc w:val="left"/>
      <w:pPr>
        <w:ind w:left="6555" w:hanging="372"/>
      </w:pPr>
      <w:rPr>
        <w:rFonts w:hint="default"/>
        <w:lang w:val="zh-CN" w:eastAsia="zh-CN" w:bidi="zh-CN"/>
      </w:rPr>
    </w:lvl>
    <w:lvl w:ilvl="7" w:tplc="5178D4F8">
      <w:numFmt w:val="bullet"/>
      <w:lvlText w:val="•"/>
      <w:lvlJc w:val="left"/>
      <w:pPr>
        <w:ind w:left="7578" w:hanging="372"/>
      </w:pPr>
      <w:rPr>
        <w:rFonts w:hint="default"/>
        <w:lang w:val="zh-CN" w:eastAsia="zh-CN" w:bidi="zh-CN"/>
      </w:rPr>
    </w:lvl>
    <w:lvl w:ilvl="8" w:tplc="E8CC5E1C">
      <w:numFmt w:val="bullet"/>
      <w:lvlText w:val="•"/>
      <w:lvlJc w:val="left"/>
      <w:pPr>
        <w:ind w:left="8601" w:hanging="372"/>
      </w:pPr>
      <w:rPr>
        <w:rFonts w:hint="default"/>
        <w:lang w:val="zh-CN" w:eastAsia="zh-CN" w:bidi="zh-CN"/>
      </w:rPr>
    </w:lvl>
  </w:abstractNum>
  <w:abstractNum w:abstractNumId="876" w15:restartNumberingAfterBreak="0">
    <w:nsid w:val="73BA70B2"/>
    <w:multiLevelType w:val="hybridMultilevel"/>
    <w:tmpl w:val="48F07272"/>
    <w:lvl w:ilvl="0" w:tplc="DA40556C">
      <w:start w:val="8"/>
      <w:numFmt w:val="decimal"/>
      <w:lvlText w:val="%1"/>
      <w:lvlJc w:val="left"/>
      <w:pPr>
        <w:ind w:left="1158" w:hanging="318"/>
        <w:jc w:val="left"/>
      </w:pPr>
      <w:rPr>
        <w:rFonts w:hint="default"/>
        <w:lang w:val="zh-CN" w:eastAsia="zh-CN" w:bidi="zh-CN"/>
      </w:rPr>
    </w:lvl>
    <w:lvl w:ilvl="1" w:tplc="66AEAB52">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F3746242">
      <w:start w:val="1"/>
      <w:numFmt w:val="decimal"/>
      <w:lvlText w:val="%1.%2.%3"/>
      <w:lvlJc w:val="left"/>
      <w:pPr>
        <w:ind w:left="418" w:hanging="529"/>
        <w:jc w:val="left"/>
      </w:pPr>
      <w:rPr>
        <w:rFonts w:ascii="宋体" w:eastAsia="宋体" w:hAnsi="宋体" w:cs="宋体" w:hint="default"/>
        <w:b/>
        <w:bCs/>
        <w:color w:val="333333"/>
        <w:w w:val="99"/>
        <w:sz w:val="19"/>
        <w:szCs w:val="19"/>
        <w:lang w:val="zh-CN" w:eastAsia="zh-CN" w:bidi="zh-CN"/>
      </w:rPr>
    </w:lvl>
    <w:lvl w:ilvl="3" w:tplc="1360C538">
      <w:numFmt w:val="bullet"/>
      <w:lvlText w:val="•"/>
      <w:lvlJc w:val="left"/>
      <w:pPr>
        <w:ind w:left="2520" w:hanging="529"/>
      </w:pPr>
      <w:rPr>
        <w:rFonts w:hint="default"/>
        <w:lang w:val="zh-CN" w:eastAsia="zh-CN" w:bidi="zh-CN"/>
      </w:rPr>
    </w:lvl>
    <w:lvl w:ilvl="4" w:tplc="6DC0CE5E">
      <w:numFmt w:val="bullet"/>
      <w:lvlText w:val="•"/>
      <w:lvlJc w:val="left"/>
      <w:pPr>
        <w:ind w:left="3681" w:hanging="529"/>
      </w:pPr>
      <w:rPr>
        <w:rFonts w:hint="default"/>
        <w:lang w:val="zh-CN" w:eastAsia="zh-CN" w:bidi="zh-CN"/>
      </w:rPr>
    </w:lvl>
    <w:lvl w:ilvl="5" w:tplc="728CE04E">
      <w:numFmt w:val="bullet"/>
      <w:lvlText w:val="•"/>
      <w:lvlJc w:val="left"/>
      <w:pPr>
        <w:ind w:left="4842" w:hanging="529"/>
      </w:pPr>
      <w:rPr>
        <w:rFonts w:hint="default"/>
        <w:lang w:val="zh-CN" w:eastAsia="zh-CN" w:bidi="zh-CN"/>
      </w:rPr>
    </w:lvl>
    <w:lvl w:ilvl="6" w:tplc="A8182BB6">
      <w:numFmt w:val="bullet"/>
      <w:lvlText w:val="•"/>
      <w:lvlJc w:val="left"/>
      <w:pPr>
        <w:ind w:left="6003" w:hanging="529"/>
      </w:pPr>
      <w:rPr>
        <w:rFonts w:hint="default"/>
        <w:lang w:val="zh-CN" w:eastAsia="zh-CN" w:bidi="zh-CN"/>
      </w:rPr>
    </w:lvl>
    <w:lvl w:ilvl="7" w:tplc="428076B2">
      <w:numFmt w:val="bullet"/>
      <w:lvlText w:val="•"/>
      <w:lvlJc w:val="left"/>
      <w:pPr>
        <w:ind w:left="7164" w:hanging="529"/>
      </w:pPr>
      <w:rPr>
        <w:rFonts w:hint="default"/>
        <w:lang w:val="zh-CN" w:eastAsia="zh-CN" w:bidi="zh-CN"/>
      </w:rPr>
    </w:lvl>
    <w:lvl w:ilvl="8" w:tplc="F1F61658">
      <w:numFmt w:val="bullet"/>
      <w:lvlText w:val="•"/>
      <w:lvlJc w:val="left"/>
      <w:pPr>
        <w:ind w:left="8324" w:hanging="529"/>
      </w:pPr>
      <w:rPr>
        <w:rFonts w:hint="default"/>
        <w:lang w:val="zh-CN" w:eastAsia="zh-CN" w:bidi="zh-CN"/>
      </w:rPr>
    </w:lvl>
  </w:abstractNum>
  <w:abstractNum w:abstractNumId="877" w15:restartNumberingAfterBreak="0">
    <w:nsid w:val="73C40094"/>
    <w:multiLevelType w:val="hybridMultilevel"/>
    <w:tmpl w:val="A1BC4086"/>
    <w:lvl w:ilvl="0" w:tplc="E31EB012">
      <w:start w:val="6"/>
      <w:numFmt w:val="decimal"/>
      <w:lvlText w:val="%1"/>
      <w:lvlJc w:val="left"/>
      <w:pPr>
        <w:ind w:left="418" w:hanging="531"/>
        <w:jc w:val="left"/>
      </w:pPr>
      <w:rPr>
        <w:rFonts w:hint="default"/>
        <w:lang w:val="zh-CN" w:eastAsia="zh-CN" w:bidi="zh-CN"/>
      </w:rPr>
    </w:lvl>
    <w:lvl w:ilvl="1" w:tplc="46F0E2B6">
      <w:start w:val="4"/>
      <w:numFmt w:val="decimal"/>
      <w:lvlText w:val="%1.%2"/>
      <w:lvlJc w:val="left"/>
      <w:pPr>
        <w:ind w:left="418" w:hanging="531"/>
        <w:jc w:val="left"/>
      </w:pPr>
      <w:rPr>
        <w:rFonts w:hint="default"/>
        <w:lang w:val="zh-CN" w:eastAsia="zh-CN" w:bidi="zh-CN"/>
      </w:rPr>
    </w:lvl>
    <w:lvl w:ilvl="2" w:tplc="1520CF82">
      <w:start w:val="7"/>
      <w:numFmt w:val="decimal"/>
      <w:lvlText w:val="%1.%2.%3"/>
      <w:lvlJc w:val="left"/>
      <w:pPr>
        <w:ind w:left="418" w:hanging="531"/>
        <w:jc w:val="left"/>
      </w:pPr>
      <w:rPr>
        <w:rFonts w:ascii="宋体" w:eastAsia="宋体" w:hAnsi="宋体" w:cs="宋体" w:hint="default"/>
        <w:b/>
        <w:bCs/>
        <w:color w:val="333333"/>
        <w:w w:val="99"/>
        <w:sz w:val="19"/>
        <w:szCs w:val="19"/>
        <w:lang w:val="zh-CN" w:eastAsia="zh-CN" w:bidi="zh-CN"/>
      </w:rPr>
    </w:lvl>
    <w:lvl w:ilvl="3" w:tplc="5A4C9C8E">
      <w:numFmt w:val="bullet"/>
      <w:lvlText w:val="•"/>
      <w:lvlJc w:val="left"/>
      <w:pPr>
        <w:ind w:left="3487" w:hanging="531"/>
      </w:pPr>
      <w:rPr>
        <w:rFonts w:hint="default"/>
        <w:lang w:val="zh-CN" w:eastAsia="zh-CN" w:bidi="zh-CN"/>
      </w:rPr>
    </w:lvl>
    <w:lvl w:ilvl="4" w:tplc="94503980">
      <w:numFmt w:val="bullet"/>
      <w:lvlText w:val="•"/>
      <w:lvlJc w:val="left"/>
      <w:pPr>
        <w:ind w:left="4510" w:hanging="531"/>
      </w:pPr>
      <w:rPr>
        <w:rFonts w:hint="default"/>
        <w:lang w:val="zh-CN" w:eastAsia="zh-CN" w:bidi="zh-CN"/>
      </w:rPr>
    </w:lvl>
    <w:lvl w:ilvl="5" w:tplc="48823020">
      <w:numFmt w:val="bullet"/>
      <w:lvlText w:val="•"/>
      <w:lvlJc w:val="left"/>
      <w:pPr>
        <w:ind w:left="5533" w:hanging="531"/>
      </w:pPr>
      <w:rPr>
        <w:rFonts w:hint="default"/>
        <w:lang w:val="zh-CN" w:eastAsia="zh-CN" w:bidi="zh-CN"/>
      </w:rPr>
    </w:lvl>
    <w:lvl w:ilvl="6" w:tplc="91223C88">
      <w:numFmt w:val="bullet"/>
      <w:lvlText w:val="•"/>
      <w:lvlJc w:val="left"/>
      <w:pPr>
        <w:ind w:left="6555" w:hanging="531"/>
      </w:pPr>
      <w:rPr>
        <w:rFonts w:hint="default"/>
        <w:lang w:val="zh-CN" w:eastAsia="zh-CN" w:bidi="zh-CN"/>
      </w:rPr>
    </w:lvl>
    <w:lvl w:ilvl="7" w:tplc="B1F69E60">
      <w:numFmt w:val="bullet"/>
      <w:lvlText w:val="•"/>
      <w:lvlJc w:val="left"/>
      <w:pPr>
        <w:ind w:left="7578" w:hanging="531"/>
      </w:pPr>
      <w:rPr>
        <w:rFonts w:hint="default"/>
        <w:lang w:val="zh-CN" w:eastAsia="zh-CN" w:bidi="zh-CN"/>
      </w:rPr>
    </w:lvl>
    <w:lvl w:ilvl="8" w:tplc="440A91CE">
      <w:numFmt w:val="bullet"/>
      <w:lvlText w:val="•"/>
      <w:lvlJc w:val="left"/>
      <w:pPr>
        <w:ind w:left="8601" w:hanging="531"/>
      </w:pPr>
      <w:rPr>
        <w:rFonts w:hint="default"/>
        <w:lang w:val="zh-CN" w:eastAsia="zh-CN" w:bidi="zh-CN"/>
      </w:rPr>
    </w:lvl>
  </w:abstractNum>
  <w:abstractNum w:abstractNumId="878" w15:restartNumberingAfterBreak="0">
    <w:nsid w:val="73D2009F"/>
    <w:multiLevelType w:val="hybridMultilevel"/>
    <w:tmpl w:val="26CA89CE"/>
    <w:lvl w:ilvl="0" w:tplc="112881F0">
      <w:start w:val="6"/>
      <w:numFmt w:val="decimal"/>
      <w:lvlText w:val="%1"/>
      <w:lvlJc w:val="left"/>
      <w:pPr>
        <w:ind w:left="1158" w:hanging="318"/>
        <w:jc w:val="left"/>
      </w:pPr>
      <w:rPr>
        <w:rFonts w:hint="default"/>
        <w:lang w:val="zh-CN" w:eastAsia="zh-CN" w:bidi="zh-CN"/>
      </w:rPr>
    </w:lvl>
    <w:lvl w:ilvl="1" w:tplc="5FBC37DE">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C60EA2D0">
      <w:numFmt w:val="bullet"/>
      <w:lvlText w:val="•"/>
      <w:lvlJc w:val="left"/>
      <w:pPr>
        <w:ind w:left="3057" w:hanging="318"/>
      </w:pPr>
      <w:rPr>
        <w:rFonts w:hint="default"/>
        <w:lang w:val="zh-CN" w:eastAsia="zh-CN" w:bidi="zh-CN"/>
      </w:rPr>
    </w:lvl>
    <w:lvl w:ilvl="3" w:tplc="8DD0DF26">
      <w:numFmt w:val="bullet"/>
      <w:lvlText w:val="•"/>
      <w:lvlJc w:val="left"/>
      <w:pPr>
        <w:ind w:left="4005" w:hanging="318"/>
      </w:pPr>
      <w:rPr>
        <w:rFonts w:hint="default"/>
        <w:lang w:val="zh-CN" w:eastAsia="zh-CN" w:bidi="zh-CN"/>
      </w:rPr>
    </w:lvl>
    <w:lvl w:ilvl="4" w:tplc="49606D96">
      <w:numFmt w:val="bullet"/>
      <w:lvlText w:val="•"/>
      <w:lvlJc w:val="left"/>
      <w:pPr>
        <w:ind w:left="4954" w:hanging="318"/>
      </w:pPr>
      <w:rPr>
        <w:rFonts w:hint="default"/>
        <w:lang w:val="zh-CN" w:eastAsia="zh-CN" w:bidi="zh-CN"/>
      </w:rPr>
    </w:lvl>
    <w:lvl w:ilvl="5" w:tplc="89CAB594">
      <w:numFmt w:val="bullet"/>
      <w:lvlText w:val="•"/>
      <w:lvlJc w:val="left"/>
      <w:pPr>
        <w:ind w:left="5903" w:hanging="318"/>
      </w:pPr>
      <w:rPr>
        <w:rFonts w:hint="default"/>
        <w:lang w:val="zh-CN" w:eastAsia="zh-CN" w:bidi="zh-CN"/>
      </w:rPr>
    </w:lvl>
    <w:lvl w:ilvl="6" w:tplc="8C727936">
      <w:numFmt w:val="bullet"/>
      <w:lvlText w:val="•"/>
      <w:lvlJc w:val="left"/>
      <w:pPr>
        <w:ind w:left="6851" w:hanging="318"/>
      </w:pPr>
      <w:rPr>
        <w:rFonts w:hint="default"/>
        <w:lang w:val="zh-CN" w:eastAsia="zh-CN" w:bidi="zh-CN"/>
      </w:rPr>
    </w:lvl>
    <w:lvl w:ilvl="7" w:tplc="9B429A06">
      <w:numFmt w:val="bullet"/>
      <w:lvlText w:val="•"/>
      <w:lvlJc w:val="left"/>
      <w:pPr>
        <w:ind w:left="7800" w:hanging="318"/>
      </w:pPr>
      <w:rPr>
        <w:rFonts w:hint="default"/>
        <w:lang w:val="zh-CN" w:eastAsia="zh-CN" w:bidi="zh-CN"/>
      </w:rPr>
    </w:lvl>
    <w:lvl w:ilvl="8" w:tplc="68F278AE">
      <w:numFmt w:val="bullet"/>
      <w:lvlText w:val="•"/>
      <w:lvlJc w:val="left"/>
      <w:pPr>
        <w:ind w:left="8749" w:hanging="318"/>
      </w:pPr>
      <w:rPr>
        <w:rFonts w:hint="default"/>
        <w:lang w:val="zh-CN" w:eastAsia="zh-CN" w:bidi="zh-CN"/>
      </w:rPr>
    </w:lvl>
  </w:abstractNum>
  <w:abstractNum w:abstractNumId="879" w15:restartNumberingAfterBreak="0">
    <w:nsid w:val="73D62991"/>
    <w:multiLevelType w:val="hybridMultilevel"/>
    <w:tmpl w:val="D4729674"/>
    <w:lvl w:ilvl="0" w:tplc="4756386C">
      <w:start w:val="5"/>
      <w:numFmt w:val="decimal"/>
      <w:lvlText w:val="%1"/>
      <w:lvlJc w:val="left"/>
      <w:pPr>
        <w:ind w:left="1370" w:hanging="531"/>
        <w:jc w:val="left"/>
      </w:pPr>
      <w:rPr>
        <w:rFonts w:hint="default"/>
        <w:lang w:val="zh-CN" w:eastAsia="zh-CN" w:bidi="zh-CN"/>
      </w:rPr>
    </w:lvl>
    <w:lvl w:ilvl="1" w:tplc="D5A48CD4">
      <w:start w:val="1"/>
      <w:numFmt w:val="decimal"/>
      <w:lvlText w:val="%1.%2"/>
      <w:lvlJc w:val="left"/>
      <w:pPr>
        <w:ind w:left="1370" w:hanging="531"/>
        <w:jc w:val="left"/>
      </w:pPr>
      <w:rPr>
        <w:rFonts w:hint="default"/>
        <w:lang w:val="zh-CN" w:eastAsia="zh-CN" w:bidi="zh-CN"/>
      </w:rPr>
    </w:lvl>
    <w:lvl w:ilvl="2" w:tplc="3D6A7BC2">
      <w:start w:val="4"/>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4DA8933C">
      <w:numFmt w:val="bullet"/>
      <w:lvlText w:val="•"/>
      <w:lvlJc w:val="left"/>
      <w:pPr>
        <w:ind w:left="4159" w:hanging="531"/>
      </w:pPr>
      <w:rPr>
        <w:rFonts w:hint="default"/>
        <w:lang w:val="zh-CN" w:eastAsia="zh-CN" w:bidi="zh-CN"/>
      </w:rPr>
    </w:lvl>
    <w:lvl w:ilvl="4" w:tplc="EFCE6532">
      <w:numFmt w:val="bullet"/>
      <w:lvlText w:val="•"/>
      <w:lvlJc w:val="left"/>
      <w:pPr>
        <w:ind w:left="5086" w:hanging="531"/>
      </w:pPr>
      <w:rPr>
        <w:rFonts w:hint="default"/>
        <w:lang w:val="zh-CN" w:eastAsia="zh-CN" w:bidi="zh-CN"/>
      </w:rPr>
    </w:lvl>
    <w:lvl w:ilvl="5" w:tplc="BFA21F10">
      <w:numFmt w:val="bullet"/>
      <w:lvlText w:val="•"/>
      <w:lvlJc w:val="left"/>
      <w:pPr>
        <w:ind w:left="6013" w:hanging="531"/>
      </w:pPr>
      <w:rPr>
        <w:rFonts w:hint="default"/>
        <w:lang w:val="zh-CN" w:eastAsia="zh-CN" w:bidi="zh-CN"/>
      </w:rPr>
    </w:lvl>
    <w:lvl w:ilvl="6" w:tplc="0D5A9A0E">
      <w:numFmt w:val="bullet"/>
      <w:lvlText w:val="•"/>
      <w:lvlJc w:val="left"/>
      <w:pPr>
        <w:ind w:left="6939" w:hanging="531"/>
      </w:pPr>
      <w:rPr>
        <w:rFonts w:hint="default"/>
        <w:lang w:val="zh-CN" w:eastAsia="zh-CN" w:bidi="zh-CN"/>
      </w:rPr>
    </w:lvl>
    <w:lvl w:ilvl="7" w:tplc="8E5E12D6">
      <w:numFmt w:val="bullet"/>
      <w:lvlText w:val="•"/>
      <w:lvlJc w:val="left"/>
      <w:pPr>
        <w:ind w:left="7866" w:hanging="531"/>
      </w:pPr>
      <w:rPr>
        <w:rFonts w:hint="default"/>
        <w:lang w:val="zh-CN" w:eastAsia="zh-CN" w:bidi="zh-CN"/>
      </w:rPr>
    </w:lvl>
    <w:lvl w:ilvl="8" w:tplc="17D218A4">
      <w:numFmt w:val="bullet"/>
      <w:lvlText w:val="•"/>
      <w:lvlJc w:val="left"/>
      <w:pPr>
        <w:ind w:left="8793" w:hanging="531"/>
      </w:pPr>
      <w:rPr>
        <w:rFonts w:hint="default"/>
        <w:lang w:val="zh-CN" w:eastAsia="zh-CN" w:bidi="zh-CN"/>
      </w:rPr>
    </w:lvl>
  </w:abstractNum>
  <w:abstractNum w:abstractNumId="880" w15:restartNumberingAfterBreak="0">
    <w:nsid w:val="73EF5BC5"/>
    <w:multiLevelType w:val="hybridMultilevel"/>
    <w:tmpl w:val="BEDC9EC8"/>
    <w:lvl w:ilvl="0" w:tplc="0A06DAF6">
      <w:start w:val="5"/>
      <w:numFmt w:val="decimal"/>
      <w:lvlText w:val="%1"/>
      <w:lvlJc w:val="left"/>
      <w:pPr>
        <w:ind w:left="418" w:hanging="529"/>
        <w:jc w:val="left"/>
      </w:pPr>
      <w:rPr>
        <w:rFonts w:hint="default"/>
        <w:lang w:val="zh-CN" w:eastAsia="zh-CN" w:bidi="zh-CN"/>
      </w:rPr>
    </w:lvl>
    <w:lvl w:ilvl="1" w:tplc="9454BD7E">
      <w:start w:val="2"/>
      <w:numFmt w:val="decimal"/>
      <w:lvlText w:val="%1.%2"/>
      <w:lvlJc w:val="left"/>
      <w:pPr>
        <w:ind w:left="418" w:hanging="529"/>
        <w:jc w:val="left"/>
      </w:pPr>
      <w:rPr>
        <w:rFonts w:hint="default"/>
        <w:lang w:val="zh-CN" w:eastAsia="zh-CN" w:bidi="zh-CN"/>
      </w:rPr>
    </w:lvl>
    <w:lvl w:ilvl="2" w:tplc="2CCE3C7E">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3AC6192C">
      <w:numFmt w:val="bullet"/>
      <w:lvlText w:val="•"/>
      <w:lvlJc w:val="left"/>
      <w:pPr>
        <w:ind w:left="3487" w:hanging="529"/>
      </w:pPr>
      <w:rPr>
        <w:rFonts w:hint="default"/>
        <w:lang w:val="zh-CN" w:eastAsia="zh-CN" w:bidi="zh-CN"/>
      </w:rPr>
    </w:lvl>
    <w:lvl w:ilvl="4" w:tplc="02444970">
      <w:numFmt w:val="bullet"/>
      <w:lvlText w:val="•"/>
      <w:lvlJc w:val="left"/>
      <w:pPr>
        <w:ind w:left="4510" w:hanging="529"/>
      </w:pPr>
      <w:rPr>
        <w:rFonts w:hint="default"/>
        <w:lang w:val="zh-CN" w:eastAsia="zh-CN" w:bidi="zh-CN"/>
      </w:rPr>
    </w:lvl>
    <w:lvl w:ilvl="5" w:tplc="C706B00E">
      <w:numFmt w:val="bullet"/>
      <w:lvlText w:val="•"/>
      <w:lvlJc w:val="left"/>
      <w:pPr>
        <w:ind w:left="5533" w:hanging="529"/>
      </w:pPr>
      <w:rPr>
        <w:rFonts w:hint="default"/>
        <w:lang w:val="zh-CN" w:eastAsia="zh-CN" w:bidi="zh-CN"/>
      </w:rPr>
    </w:lvl>
    <w:lvl w:ilvl="6" w:tplc="B0B816EE">
      <w:numFmt w:val="bullet"/>
      <w:lvlText w:val="•"/>
      <w:lvlJc w:val="left"/>
      <w:pPr>
        <w:ind w:left="6555" w:hanging="529"/>
      </w:pPr>
      <w:rPr>
        <w:rFonts w:hint="default"/>
        <w:lang w:val="zh-CN" w:eastAsia="zh-CN" w:bidi="zh-CN"/>
      </w:rPr>
    </w:lvl>
    <w:lvl w:ilvl="7" w:tplc="282EEE3A">
      <w:numFmt w:val="bullet"/>
      <w:lvlText w:val="•"/>
      <w:lvlJc w:val="left"/>
      <w:pPr>
        <w:ind w:left="7578" w:hanging="529"/>
      </w:pPr>
      <w:rPr>
        <w:rFonts w:hint="default"/>
        <w:lang w:val="zh-CN" w:eastAsia="zh-CN" w:bidi="zh-CN"/>
      </w:rPr>
    </w:lvl>
    <w:lvl w:ilvl="8" w:tplc="BC1AB000">
      <w:numFmt w:val="bullet"/>
      <w:lvlText w:val="•"/>
      <w:lvlJc w:val="left"/>
      <w:pPr>
        <w:ind w:left="8601" w:hanging="529"/>
      </w:pPr>
      <w:rPr>
        <w:rFonts w:hint="default"/>
        <w:lang w:val="zh-CN" w:eastAsia="zh-CN" w:bidi="zh-CN"/>
      </w:rPr>
    </w:lvl>
  </w:abstractNum>
  <w:abstractNum w:abstractNumId="881" w15:restartNumberingAfterBreak="0">
    <w:nsid w:val="73F83062"/>
    <w:multiLevelType w:val="hybridMultilevel"/>
    <w:tmpl w:val="967EF09A"/>
    <w:lvl w:ilvl="0" w:tplc="CA1E601C">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6E0E76F4">
      <w:numFmt w:val="bullet"/>
      <w:lvlText w:val="•"/>
      <w:lvlJc w:val="left"/>
      <w:pPr>
        <w:ind w:left="2288" w:hanging="529"/>
      </w:pPr>
      <w:rPr>
        <w:rFonts w:hint="default"/>
        <w:lang w:val="zh-CN" w:eastAsia="zh-CN" w:bidi="zh-CN"/>
      </w:rPr>
    </w:lvl>
    <w:lvl w:ilvl="2" w:tplc="EDFEEF32">
      <w:numFmt w:val="bullet"/>
      <w:lvlText w:val="•"/>
      <w:lvlJc w:val="left"/>
      <w:pPr>
        <w:ind w:left="3217" w:hanging="529"/>
      </w:pPr>
      <w:rPr>
        <w:rFonts w:hint="default"/>
        <w:lang w:val="zh-CN" w:eastAsia="zh-CN" w:bidi="zh-CN"/>
      </w:rPr>
    </w:lvl>
    <w:lvl w:ilvl="3" w:tplc="FFBC6988">
      <w:numFmt w:val="bullet"/>
      <w:lvlText w:val="•"/>
      <w:lvlJc w:val="left"/>
      <w:pPr>
        <w:ind w:left="4145" w:hanging="529"/>
      </w:pPr>
      <w:rPr>
        <w:rFonts w:hint="default"/>
        <w:lang w:val="zh-CN" w:eastAsia="zh-CN" w:bidi="zh-CN"/>
      </w:rPr>
    </w:lvl>
    <w:lvl w:ilvl="4" w:tplc="1D629CE0">
      <w:numFmt w:val="bullet"/>
      <w:lvlText w:val="•"/>
      <w:lvlJc w:val="left"/>
      <w:pPr>
        <w:ind w:left="5074" w:hanging="529"/>
      </w:pPr>
      <w:rPr>
        <w:rFonts w:hint="default"/>
        <w:lang w:val="zh-CN" w:eastAsia="zh-CN" w:bidi="zh-CN"/>
      </w:rPr>
    </w:lvl>
    <w:lvl w:ilvl="5" w:tplc="BED233C8">
      <w:numFmt w:val="bullet"/>
      <w:lvlText w:val="•"/>
      <w:lvlJc w:val="left"/>
      <w:pPr>
        <w:ind w:left="6003" w:hanging="529"/>
      </w:pPr>
      <w:rPr>
        <w:rFonts w:hint="default"/>
        <w:lang w:val="zh-CN" w:eastAsia="zh-CN" w:bidi="zh-CN"/>
      </w:rPr>
    </w:lvl>
    <w:lvl w:ilvl="6" w:tplc="EF287080">
      <w:numFmt w:val="bullet"/>
      <w:lvlText w:val="•"/>
      <w:lvlJc w:val="left"/>
      <w:pPr>
        <w:ind w:left="6931" w:hanging="529"/>
      </w:pPr>
      <w:rPr>
        <w:rFonts w:hint="default"/>
        <w:lang w:val="zh-CN" w:eastAsia="zh-CN" w:bidi="zh-CN"/>
      </w:rPr>
    </w:lvl>
    <w:lvl w:ilvl="7" w:tplc="43E03C56">
      <w:numFmt w:val="bullet"/>
      <w:lvlText w:val="•"/>
      <w:lvlJc w:val="left"/>
      <w:pPr>
        <w:ind w:left="7860" w:hanging="529"/>
      </w:pPr>
      <w:rPr>
        <w:rFonts w:hint="default"/>
        <w:lang w:val="zh-CN" w:eastAsia="zh-CN" w:bidi="zh-CN"/>
      </w:rPr>
    </w:lvl>
    <w:lvl w:ilvl="8" w:tplc="2DB86394">
      <w:numFmt w:val="bullet"/>
      <w:lvlText w:val="•"/>
      <w:lvlJc w:val="left"/>
      <w:pPr>
        <w:ind w:left="8789" w:hanging="529"/>
      </w:pPr>
      <w:rPr>
        <w:rFonts w:hint="default"/>
        <w:lang w:val="zh-CN" w:eastAsia="zh-CN" w:bidi="zh-CN"/>
      </w:rPr>
    </w:lvl>
  </w:abstractNum>
  <w:abstractNum w:abstractNumId="882" w15:restartNumberingAfterBreak="0">
    <w:nsid w:val="74374074"/>
    <w:multiLevelType w:val="hybridMultilevel"/>
    <w:tmpl w:val="CA6C44A4"/>
    <w:lvl w:ilvl="0" w:tplc="C83E8E02">
      <w:start w:val="4"/>
      <w:numFmt w:val="decimal"/>
      <w:lvlText w:val="%1"/>
      <w:lvlJc w:val="left"/>
      <w:pPr>
        <w:ind w:left="1263" w:hanging="424"/>
        <w:jc w:val="left"/>
      </w:pPr>
      <w:rPr>
        <w:rFonts w:hint="default"/>
        <w:lang w:val="zh-CN" w:eastAsia="zh-CN" w:bidi="zh-CN"/>
      </w:rPr>
    </w:lvl>
    <w:lvl w:ilvl="1" w:tplc="73921440">
      <w:start w:val="11"/>
      <w:numFmt w:val="decimal"/>
      <w:lvlText w:val="%1.%2"/>
      <w:lvlJc w:val="left"/>
      <w:pPr>
        <w:ind w:left="1263" w:hanging="424"/>
        <w:jc w:val="left"/>
      </w:pPr>
      <w:rPr>
        <w:rFonts w:ascii="宋体" w:eastAsia="宋体" w:hAnsi="宋体" w:cs="宋体" w:hint="default"/>
        <w:b/>
        <w:bCs/>
        <w:w w:val="99"/>
        <w:sz w:val="19"/>
        <w:szCs w:val="19"/>
        <w:lang w:val="zh-CN" w:eastAsia="zh-CN" w:bidi="zh-CN"/>
      </w:rPr>
    </w:lvl>
    <w:lvl w:ilvl="2" w:tplc="34A4E368">
      <w:start w:val="1"/>
      <w:numFmt w:val="decimal"/>
      <w:lvlText w:val="%1.%2.%3"/>
      <w:lvlJc w:val="left"/>
      <w:pPr>
        <w:ind w:left="1477" w:hanging="637"/>
        <w:jc w:val="left"/>
      </w:pPr>
      <w:rPr>
        <w:rFonts w:ascii="宋体" w:eastAsia="宋体" w:hAnsi="宋体" w:cs="宋体" w:hint="default"/>
        <w:b/>
        <w:bCs/>
        <w:w w:val="99"/>
        <w:sz w:val="19"/>
        <w:szCs w:val="19"/>
        <w:lang w:val="zh-CN" w:eastAsia="zh-CN" w:bidi="zh-CN"/>
      </w:rPr>
    </w:lvl>
    <w:lvl w:ilvl="3" w:tplc="A92A5ABE">
      <w:numFmt w:val="bullet"/>
      <w:lvlText w:val="•"/>
      <w:lvlJc w:val="left"/>
      <w:pPr>
        <w:ind w:left="3516" w:hanging="637"/>
      </w:pPr>
      <w:rPr>
        <w:rFonts w:hint="default"/>
        <w:lang w:val="zh-CN" w:eastAsia="zh-CN" w:bidi="zh-CN"/>
      </w:rPr>
    </w:lvl>
    <w:lvl w:ilvl="4" w:tplc="C21E6ABC">
      <w:numFmt w:val="bullet"/>
      <w:lvlText w:val="•"/>
      <w:lvlJc w:val="left"/>
      <w:pPr>
        <w:ind w:left="4535" w:hanging="637"/>
      </w:pPr>
      <w:rPr>
        <w:rFonts w:hint="default"/>
        <w:lang w:val="zh-CN" w:eastAsia="zh-CN" w:bidi="zh-CN"/>
      </w:rPr>
    </w:lvl>
    <w:lvl w:ilvl="5" w:tplc="3D8EEB7E">
      <w:numFmt w:val="bullet"/>
      <w:lvlText w:val="•"/>
      <w:lvlJc w:val="left"/>
      <w:pPr>
        <w:ind w:left="5553" w:hanging="637"/>
      </w:pPr>
      <w:rPr>
        <w:rFonts w:hint="default"/>
        <w:lang w:val="zh-CN" w:eastAsia="zh-CN" w:bidi="zh-CN"/>
      </w:rPr>
    </w:lvl>
    <w:lvl w:ilvl="6" w:tplc="07360102">
      <w:numFmt w:val="bullet"/>
      <w:lvlText w:val="•"/>
      <w:lvlJc w:val="left"/>
      <w:pPr>
        <w:ind w:left="6572" w:hanging="637"/>
      </w:pPr>
      <w:rPr>
        <w:rFonts w:hint="default"/>
        <w:lang w:val="zh-CN" w:eastAsia="zh-CN" w:bidi="zh-CN"/>
      </w:rPr>
    </w:lvl>
    <w:lvl w:ilvl="7" w:tplc="0B74A48E">
      <w:numFmt w:val="bullet"/>
      <w:lvlText w:val="•"/>
      <w:lvlJc w:val="left"/>
      <w:pPr>
        <w:ind w:left="7590" w:hanging="637"/>
      </w:pPr>
      <w:rPr>
        <w:rFonts w:hint="default"/>
        <w:lang w:val="zh-CN" w:eastAsia="zh-CN" w:bidi="zh-CN"/>
      </w:rPr>
    </w:lvl>
    <w:lvl w:ilvl="8" w:tplc="83421180">
      <w:numFmt w:val="bullet"/>
      <w:lvlText w:val="•"/>
      <w:lvlJc w:val="left"/>
      <w:pPr>
        <w:ind w:left="8609" w:hanging="637"/>
      </w:pPr>
      <w:rPr>
        <w:rFonts w:hint="default"/>
        <w:lang w:val="zh-CN" w:eastAsia="zh-CN" w:bidi="zh-CN"/>
      </w:rPr>
    </w:lvl>
  </w:abstractNum>
  <w:abstractNum w:abstractNumId="883" w15:restartNumberingAfterBreak="0">
    <w:nsid w:val="747B51B0"/>
    <w:multiLevelType w:val="hybridMultilevel"/>
    <w:tmpl w:val="17E286EE"/>
    <w:lvl w:ilvl="0" w:tplc="030894B8">
      <w:start w:val="5"/>
      <w:numFmt w:val="decimal"/>
      <w:lvlText w:val="%1"/>
      <w:lvlJc w:val="left"/>
      <w:pPr>
        <w:ind w:left="418" w:hanging="637"/>
        <w:jc w:val="left"/>
      </w:pPr>
      <w:rPr>
        <w:rFonts w:hint="default"/>
        <w:lang w:val="zh-CN" w:eastAsia="zh-CN" w:bidi="zh-CN"/>
      </w:rPr>
    </w:lvl>
    <w:lvl w:ilvl="1" w:tplc="ED800030">
      <w:start w:val="5"/>
      <w:numFmt w:val="decimal"/>
      <w:lvlText w:val="%1.%2"/>
      <w:lvlJc w:val="left"/>
      <w:pPr>
        <w:ind w:left="418" w:hanging="637"/>
        <w:jc w:val="left"/>
      </w:pPr>
      <w:rPr>
        <w:rFonts w:hint="default"/>
        <w:lang w:val="zh-CN" w:eastAsia="zh-CN" w:bidi="zh-CN"/>
      </w:rPr>
    </w:lvl>
    <w:lvl w:ilvl="2" w:tplc="72940F50">
      <w:start w:val="24"/>
      <w:numFmt w:val="decimal"/>
      <w:lvlText w:val="%1.%2.%3"/>
      <w:lvlJc w:val="left"/>
      <w:pPr>
        <w:ind w:left="418" w:hanging="637"/>
        <w:jc w:val="left"/>
      </w:pPr>
      <w:rPr>
        <w:rFonts w:ascii="宋体" w:eastAsia="宋体" w:hAnsi="宋体" w:cs="宋体" w:hint="default"/>
        <w:b/>
        <w:bCs/>
        <w:color w:val="333333"/>
        <w:spacing w:val="-55"/>
        <w:w w:val="99"/>
        <w:sz w:val="19"/>
        <w:szCs w:val="19"/>
        <w:lang w:val="zh-CN" w:eastAsia="zh-CN" w:bidi="zh-CN"/>
      </w:rPr>
    </w:lvl>
    <w:lvl w:ilvl="3" w:tplc="BDE21130">
      <w:numFmt w:val="bullet"/>
      <w:lvlText w:val="•"/>
      <w:lvlJc w:val="left"/>
      <w:pPr>
        <w:ind w:left="3487" w:hanging="637"/>
      </w:pPr>
      <w:rPr>
        <w:rFonts w:hint="default"/>
        <w:lang w:val="zh-CN" w:eastAsia="zh-CN" w:bidi="zh-CN"/>
      </w:rPr>
    </w:lvl>
    <w:lvl w:ilvl="4" w:tplc="C2B2E300">
      <w:numFmt w:val="bullet"/>
      <w:lvlText w:val="•"/>
      <w:lvlJc w:val="left"/>
      <w:pPr>
        <w:ind w:left="4510" w:hanging="637"/>
      </w:pPr>
      <w:rPr>
        <w:rFonts w:hint="default"/>
        <w:lang w:val="zh-CN" w:eastAsia="zh-CN" w:bidi="zh-CN"/>
      </w:rPr>
    </w:lvl>
    <w:lvl w:ilvl="5" w:tplc="064E5BC0">
      <w:numFmt w:val="bullet"/>
      <w:lvlText w:val="•"/>
      <w:lvlJc w:val="left"/>
      <w:pPr>
        <w:ind w:left="5533" w:hanging="637"/>
      </w:pPr>
      <w:rPr>
        <w:rFonts w:hint="default"/>
        <w:lang w:val="zh-CN" w:eastAsia="zh-CN" w:bidi="zh-CN"/>
      </w:rPr>
    </w:lvl>
    <w:lvl w:ilvl="6" w:tplc="5ECE7B4C">
      <w:numFmt w:val="bullet"/>
      <w:lvlText w:val="•"/>
      <w:lvlJc w:val="left"/>
      <w:pPr>
        <w:ind w:left="6555" w:hanging="637"/>
      </w:pPr>
      <w:rPr>
        <w:rFonts w:hint="default"/>
        <w:lang w:val="zh-CN" w:eastAsia="zh-CN" w:bidi="zh-CN"/>
      </w:rPr>
    </w:lvl>
    <w:lvl w:ilvl="7" w:tplc="AF1076B6">
      <w:numFmt w:val="bullet"/>
      <w:lvlText w:val="•"/>
      <w:lvlJc w:val="left"/>
      <w:pPr>
        <w:ind w:left="7578" w:hanging="637"/>
      </w:pPr>
      <w:rPr>
        <w:rFonts w:hint="default"/>
        <w:lang w:val="zh-CN" w:eastAsia="zh-CN" w:bidi="zh-CN"/>
      </w:rPr>
    </w:lvl>
    <w:lvl w:ilvl="8" w:tplc="B8CE705A">
      <w:numFmt w:val="bullet"/>
      <w:lvlText w:val="•"/>
      <w:lvlJc w:val="left"/>
      <w:pPr>
        <w:ind w:left="8601" w:hanging="637"/>
      </w:pPr>
      <w:rPr>
        <w:rFonts w:hint="default"/>
        <w:lang w:val="zh-CN" w:eastAsia="zh-CN" w:bidi="zh-CN"/>
      </w:rPr>
    </w:lvl>
  </w:abstractNum>
  <w:abstractNum w:abstractNumId="884" w15:restartNumberingAfterBreak="0">
    <w:nsid w:val="74966715"/>
    <w:multiLevelType w:val="hybridMultilevel"/>
    <w:tmpl w:val="BB2AEA46"/>
    <w:lvl w:ilvl="0" w:tplc="17BC0048">
      <w:start w:val="6"/>
      <w:numFmt w:val="decimal"/>
      <w:lvlText w:val="%1"/>
      <w:lvlJc w:val="left"/>
      <w:pPr>
        <w:ind w:left="1159" w:hanging="320"/>
        <w:jc w:val="left"/>
      </w:pPr>
      <w:rPr>
        <w:rFonts w:hint="default"/>
        <w:lang w:val="zh-CN" w:eastAsia="zh-CN" w:bidi="zh-CN"/>
      </w:rPr>
    </w:lvl>
    <w:lvl w:ilvl="1" w:tplc="07BC0FD2">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6930F1AE">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4B6CD88A">
      <w:numFmt w:val="bullet"/>
      <w:lvlText w:val="•"/>
      <w:lvlJc w:val="left"/>
      <w:pPr>
        <w:ind w:left="3268" w:hanging="531"/>
      </w:pPr>
      <w:rPr>
        <w:rFonts w:hint="default"/>
        <w:lang w:val="zh-CN" w:eastAsia="zh-CN" w:bidi="zh-CN"/>
      </w:rPr>
    </w:lvl>
    <w:lvl w:ilvl="4" w:tplc="AF34123E">
      <w:numFmt w:val="bullet"/>
      <w:lvlText w:val="•"/>
      <w:lvlJc w:val="left"/>
      <w:pPr>
        <w:ind w:left="4322" w:hanging="531"/>
      </w:pPr>
      <w:rPr>
        <w:rFonts w:hint="default"/>
        <w:lang w:val="zh-CN" w:eastAsia="zh-CN" w:bidi="zh-CN"/>
      </w:rPr>
    </w:lvl>
    <w:lvl w:ilvl="5" w:tplc="23CCA2AC">
      <w:numFmt w:val="bullet"/>
      <w:lvlText w:val="•"/>
      <w:lvlJc w:val="left"/>
      <w:pPr>
        <w:ind w:left="5376" w:hanging="531"/>
      </w:pPr>
      <w:rPr>
        <w:rFonts w:hint="default"/>
        <w:lang w:val="zh-CN" w:eastAsia="zh-CN" w:bidi="zh-CN"/>
      </w:rPr>
    </w:lvl>
    <w:lvl w:ilvl="6" w:tplc="12AC9756">
      <w:numFmt w:val="bullet"/>
      <w:lvlText w:val="•"/>
      <w:lvlJc w:val="left"/>
      <w:pPr>
        <w:ind w:left="6430" w:hanging="531"/>
      </w:pPr>
      <w:rPr>
        <w:rFonts w:hint="default"/>
        <w:lang w:val="zh-CN" w:eastAsia="zh-CN" w:bidi="zh-CN"/>
      </w:rPr>
    </w:lvl>
    <w:lvl w:ilvl="7" w:tplc="65F6EC96">
      <w:numFmt w:val="bullet"/>
      <w:lvlText w:val="•"/>
      <w:lvlJc w:val="left"/>
      <w:pPr>
        <w:ind w:left="7484" w:hanging="531"/>
      </w:pPr>
      <w:rPr>
        <w:rFonts w:hint="default"/>
        <w:lang w:val="zh-CN" w:eastAsia="zh-CN" w:bidi="zh-CN"/>
      </w:rPr>
    </w:lvl>
    <w:lvl w:ilvl="8" w:tplc="C78848A0">
      <w:numFmt w:val="bullet"/>
      <w:lvlText w:val="•"/>
      <w:lvlJc w:val="left"/>
      <w:pPr>
        <w:ind w:left="8538" w:hanging="531"/>
      </w:pPr>
      <w:rPr>
        <w:rFonts w:hint="default"/>
        <w:lang w:val="zh-CN" w:eastAsia="zh-CN" w:bidi="zh-CN"/>
      </w:rPr>
    </w:lvl>
  </w:abstractNum>
  <w:abstractNum w:abstractNumId="885" w15:restartNumberingAfterBreak="0">
    <w:nsid w:val="74972639"/>
    <w:multiLevelType w:val="hybridMultilevel"/>
    <w:tmpl w:val="0480FAB6"/>
    <w:lvl w:ilvl="0" w:tplc="B9D6D2DE">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0C427B6E">
      <w:numFmt w:val="bullet"/>
      <w:lvlText w:val="•"/>
      <w:lvlJc w:val="left"/>
      <w:pPr>
        <w:ind w:left="2288" w:hanging="529"/>
      </w:pPr>
      <w:rPr>
        <w:rFonts w:hint="default"/>
        <w:lang w:val="zh-CN" w:eastAsia="zh-CN" w:bidi="zh-CN"/>
      </w:rPr>
    </w:lvl>
    <w:lvl w:ilvl="2" w:tplc="B4164142">
      <w:numFmt w:val="bullet"/>
      <w:lvlText w:val="•"/>
      <w:lvlJc w:val="left"/>
      <w:pPr>
        <w:ind w:left="3217" w:hanging="529"/>
      </w:pPr>
      <w:rPr>
        <w:rFonts w:hint="default"/>
        <w:lang w:val="zh-CN" w:eastAsia="zh-CN" w:bidi="zh-CN"/>
      </w:rPr>
    </w:lvl>
    <w:lvl w:ilvl="3" w:tplc="F3489D1C">
      <w:numFmt w:val="bullet"/>
      <w:lvlText w:val="•"/>
      <w:lvlJc w:val="left"/>
      <w:pPr>
        <w:ind w:left="4145" w:hanging="529"/>
      </w:pPr>
      <w:rPr>
        <w:rFonts w:hint="default"/>
        <w:lang w:val="zh-CN" w:eastAsia="zh-CN" w:bidi="zh-CN"/>
      </w:rPr>
    </w:lvl>
    <w:lvl w:ilvl="4" w:tplc="D3F8881A">
      <w:numFmt w:val="bullet"/>
      <w:lvlText w:val="•"/>
      <w:lvlJc w:val="left"/>
      <w:pPr>
        <w:ind w:left="5074" w:hanging="529"/>
      </w:pPr>
      <w:rPr>
        <w:rFonts w:hint="default"/>
        <w:lang w:val="zh-CN" w:eastAsia="zh-CN" w:bidi="zh-CN"/>
      </w:rPr>
    </w:lvl>
    <w:lvl w:ilvl="5" w:tplc="CD8295D4">
      <w:numFmt w:val="bullet"/>
      <w:lvlText w:val="•"/>
      <w:lvlJc w:val="left"/>
      <w:pPr>
        <w:ind w:left="6003" w:hanging="529"/>
      </w:pPr>
      <w:rPr>
        <w:rFonts w:hint="default"/>
        <w:lang w:val="zh-CN" w:eastAsia="zh-CN" w:bidi="zh-CN"/>
      </w:rPr>
    </w:lvl>
    <w:lvl w:ilvl="6" w:tplc="51941148">
      <w:numFmt w:val="bullet"/>
      <w:lvlText w:val="•"/>
      <w:lvlJc w:val="left"/>
      <w:pPr>
        <w:ind w:left="6931" w:hanging="529"/>
      </w:pPr>
      <w:rPr>
        <w:rFonts w:hint="default"/>
        <w:lang w:val="zh-CN" w:eastAsia="zh-CN" w:bidi="zh-CN"/>
      </w:rPr>
    </w:lvl>
    <w:lvl w:ilvl="7" w:tplc="4E14D1CC">
      <w:numFmt w:val="bullet"/>
      <w:lvlText w:val="•"/>
      <w:lvlJc w:val="left"/>
      <w:pPr>
        <w:ind w:left="7860" w:hanging="529"/>
      </w:pPr>
      <w:rPr>
        <w:rFonts w:hint="default"/>
        <w:lang w:val="zh-CN" w:eastAsia="zh-CN" w:bidi="zh-CN"/>
      </w:rPr>
    </w:lvl>
    <w:lvl w:ilvl="8" w:tplc="0B4CBB80">
      <w:numFmt w:val="bullet"/>
      <w:lvlText w:val="•"/>
      <w:lvlJc w:val="left"/>
      <w:pPr>
        <w:ind w:left="8789" w:hanging="529"/>
      </w:pPr>
      <w:rPr>
        <w:rFonts w:hint="default"/>
        <w:lang w:val="zh-CN" w:eastAsia="zh-CN" w:bidi="zh-CN"/>
      </w:rPr>
    </w:lvl>
  </w:abstractNum>
  <w:abstractNum w:abstractNumId="886" w15:restartNumberingAfterBreak="0">
    <w:nsid w:val="749D756F"/>
    <w:multiLevelType w:val="hybridMultilevel"/>
    <w:tmpl w:val="0428E44C"/>
    <w:lvl w:ilvl="0" w:tplc="F956DE8E">
      <w:start w:val="6"/>
      <w:numFmt w:val="decimal"/>
      <w:lvlText w:val="%1"/>
      <w:lvlJc w:val="left"/>
      <w:pPr>
        <w:ind w:left="1158" w:hanging="318"/>
        <w:jc w:val="left"/>
      </w:pPr>
      <w:rPr>
        <w:rFonts w:hint="default"/>
        <w:lang w:val="zh-CN" w:eastAsia="zh-CN" w:bidi="zh-CN"/>
      </w:rPr>
    </w:lvl>
    <w:lvl w:ilvl="1" w:tplc="9976E6E2">
      <w:start w:val="7"/>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17DC91E0">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B1C8FCB6">
      <w:numFmt w:val="bullet"/>
      <w:lvlText w:val="•"/>
      <w:lvlJc w:val="left"/>
      <w:pPr>
        <w:ind w:left="3268" w:hanging="531"/>
      </w:pPr>
      <w:rPr>
        <w:rFonts w:hint="default"/>
        <w:lang w:val="zh-CN" w:eastAsia="zh-CN" w:bidi="zh-CN"/>
      </w:rPr>
    </w:lvl>
    <w:lvl w:ilvl="4" w:tplc="77961800">
      <w:numFmt w:val="bullet"/>
      <w:lvlText w:val="•"/>
      <w:lvlJc w:val="left"/>
      <w:pPr>
        <w:ind w:left="4322" w:hanging="531"/>
      </w:pPr>
      <w:rPr>
        <w:rFonts w:hint="default"/>
        <w:lang w:val="zh-CN" w:eastAsia="zh-CN" w:bidi="zh-CN"/>
      </w:rPr>
    </w:lvl>
    <w:lvl w:ilvl="5" w:tplc="351CF2C4">
      <w:numFmt w:val="bullet"/>
      <w:lvlText w:val="•"/>
      <w:lvlJc w:val="left"/>
      <w:pPr>
        <w:ind w:left="5376" w:hanging="531"/>
      </w:pPr>
      <w:rPr>
        <w:rFonts w:hint="default"/>
        <w:lang w:val="zh-CN" w:eastAsia="zh-CN" w:bidi="zh-CN"/>
      </w:rPr>
    </w:lvl>
    <w:lvl w:ilvl="6" w:tplc="F3606B1E">
      <w:numFmt w:val="bullet"/>
      <w:lvlText w:val="•"/>
      <w:lvlJc w:val="left"/>
      <w:pPr>
        <w:ind w:left="6430" w:hanging="531"/>
      </w:pPr>
      <w:rPr>
        <w:rFonts w:hint="default"/>
        <w:lang w:val="zh-CN" w:eastAsia="zh-CN" w:bidi="zh-CN"/>
      </w:rPr>
    </w:lvl>
    <w:lvl w:ilvl="7" w:tplc="F388509E">
      <w:numFmt w:val="bullet"/>
      <w:lvlText w:val="•"/>
      <w:lvlJc w:val="left"/>
      <w:pPr>
        <w:ind w:left="7484" w:hanging="531"/>
      </w:pPr>
      <w:rPr>
        <w:rFonts w:hint="default"/>
        <w:lang w:val="zh-CN" w:eastAsia="zh-CN" w:bidi="zh-CN"/>
      </w:rPr>
    </w:lvl>
    <w:lvl w:ilvl="8" w:tplc="45FA0A4A">
      <w:numFmt w:val="bullet"/>
      <w:lvlText w:val="•"/>
      <w:lvlJc w:val="left"/>
      <w:pPr>
        <w:ind w:left="8538" w:hanging="531"/>
      </w:pPr>
      <w:rPr>
        <w:rFonts w:hint="default"/>
        <w:lang w:val="zh-CN" w:eastAsia="zh-CN" w:bidi="zh-CN"/>
      </w:rPr>
    </w:lvl>
  </w:abstractNum>
  <w:abstractNum w:abstractNumId="887" w15:restartNumberingAfterBreak="0">
    <w:nsid w:val="74E82E5F"/>
    <w:multiLevelType w:val="hybridMultilevel"/>
    <w:tmpl w:val="5212FE46"/>
    <w:lvl w:ilvl="0" w:tplc="6B8E9AFC">
      <w:start w:val="5"/>
      <w:numFmt w:val="decimal"/>
      <w:lvlText w:val="%1"/>
      <w:lvlJc w:val="left"/>
      <w:pPr>
        <w:ind w:left="418" w:hanging="584"/>
        <w:jc w:val="left"/>
      </w:pPr>
      <w:rPr>
        <w:rFonts w:hint="default"/>
        <w:lang w:val="zh-CN" w:eastAsia="zh-CN" w:bidi="zh-CN"/>
      </w:rPr>
    </w:lvl>
    <w:lvl w:ilvl="1" w:tplc="6354F068">
      <w:start w:val="5"/>
      <w:numFmt w:val="decimal"/>
      <w:lvlText w:val="%1.%2"/>
      <w:lvlJc w:val="left"/>
      <w:pPr>
        <w:ind w:left="418" w:hanging="584"/>
        <w:jc w:val="left"/>
      </w:pPr>
      <w:rPr>
        <w:rFonts w:hint="default"/>
        <w:lang w:val="zh-CN" w:eastAsia="zh-CN" w:bidi="zh-CN"/>
      </w:rPr>
    </w:lvl>
    <w:lvl w:ilvl="2" w:tplc="6BBC651C">
      <w:start w:val="3"/>
      <w:numFmt w:val="decimal"/>
      <w:lvlText w:val="%1.%2.%3"/>
      <w:lvlJc w:val="left"/>
      <w:pPr>
        <w:ind w:left="418" w:hanging="584"/>
        <w:jc w:val="left"/>
      </w:pPr>
      <w:rPr>
        <w:rFonts w:ascii="宋体" w:eastAsia="宋体" w:hAnsi="宋体" w:cs="宋体" w:hint="default"/>
        <w:b/>
        <w:bCs/>
        <w:w w:val="99"/>
        <w:sz w:val="21"/>
        <w:szCs w:val="21"/>
        <w:lang w:val="zh-CN" w:eastAsia="zh-CN" w:bidi="zh-CN"/>
      </w:rPr>
    </w:lvl>
    <w:lvl w:ilvl="3" w:tplc="5B425768">
      <w:numFmt w:val="bullet"/>
      <w:lvlText w:val="•"/>
      <w:lvlJc w:val="left"/>
      <w:pPr>
        <w:ind w:left="3487" w:hanging="584"/>
      </w:pPr>
      <w:rPr>
        <w:rFonts w:hint="default"/>
        <w:lang w:val="zh-CN" w:eastAsia="zh-CN" w:bidi="zh-CN"/>
      </w:rPr>
    </w:lvl>
    <w:lvl w:ilvl="4" w:tplc="8892EE96">
      <w:numFmt w:val="bullet"/>
      <w:lvlText w:val="•"/>
      <w:lvlJc w:val="left"/>
      <w:pPr>
        <w:ind w:left="4510" w:hanging="584"/>
      </w:pPr>
      <w:rPr>
        <w:rFonts w:hint="default"/>
        <w:lang w:val="zh-CN" w:eastAsia="zh-CN" w:bidi="zh-CN"/>
      </w:rPr>
    </w:lvl>
    <w:lvl w:ilvl="5" w:tplc="7276A20C">
      <w:numFmt w:val="bullet"/>
      <w:lvlText w:val="•"/>
      <w:lvlJc w:val="left"/>
      <w:pPr>
        <w:ind w:left="5533" w:hanging="584"/>
      </w:pPr>
      <w:rPr>
        <w:rFonts w:hint="default"/>
        <w:lang w:val="zh-CN" w:eastAsia="zh-CN" w:bidi="zh-CN"/>
      </w:rPr>
    </w:lvl>
    <w:lvl w:ilvl="6" w:tplc="14647FAC">
      <w:numFmt w:val="bullet"/>
      <w:lvlText w:val="•"/>
      <w:lvlJc w:val="left"/>
      <w:pPr>
        <w:ind w:left="6555" w:hanging="584"/>
      </w:pPr>
      <w:rPr>
        <w:rFonts w:hint="default"/>
        <w:lang w:val="zh-CN" w:eastAsia="zh-CN" w:bidi="zh-CN"/>
      </w:rPr>
    </w:lvl>
    <w:lvl w:ilvl="7" w:tplc="4FE09B02">
      <w:numFmt w:val="bullet"/>
      <w:lvlText w:val="•"/>
      <w:lvlJc w:val="left"/>
      <w:pPr>
        <w:ind w:left="7578" w:hanging="584"/>
      </w:pPr>
      <w:rPr>
        <w:rFonts w:hint="default"/>
        <w:lang w:val="zh-CN" w:eastAsia="zh-CN" w:bidi="zh-CN"/>
      </w:rPr>
    </w:lvl>
    <w:lvl w:ilvl="8" w:tplc="1542E560">
      <w:numFmt w:val="bullet"/>
      <w:lvlText w:val="•"/>
      <w:lvlJc w:val="left"/>
      <w:pPr>
        <w:ind w:left="8601" w:hanging="584"/>
      </w:pPr>
      <w:rPr>
        <w:rFonts w:hint="default"/>
        <w:lang w:val="zh-CN" w:eastAsia="zh-CN" w:bidi="zh-CN"/>
      </w:rPr>
    </w:lvl>
  </w:abstractNum>
  <w:abstractNum w:abstractNumId="888" w15:restartNumberingAfterBreak="0">
    <w:nsid w:val="74EB3640"/>
    <w:multiLevelType w:val="hybridMultilevel"/>
    <w:tmpl w:val="E7BCB6DC"/>
    <w:lvl w:ilvl="0" w:tplc="9CCE1DCC">
      <w:start w:val="2"/>
      <w:numFmt w:val="decimal"/>
      <w:lvlText w:val="%1)"/>
      <w:lvlJc w:val="left"/>
      <w:pPr>
        <w:ind w:left="1050" w:hanging="213"/>
        <w:jc w:val="left"/>
      </w:pPr>
      <w:rPr>
        <w:rFonts w:ascii="宋体" w:eastAsia="宋体" w:hAnsi="宋体" w:cs="宋体" w:hint="default"/>
        <w:spacing w:val="-55"/>
        <w:w w:val="99"/>
        <w:sz w:val="19"/>
        <w:szCs w:val="19"/>
        <w:lang w:val="zh-CN" w:eastAsia="zh-CN" w:bidi="zh-CN"/>
      </w:rPr>
    </w:lvl>
    <w:lvl w:ilvl="1" w:tplc="6308B8BC">
      <w:numFmt w:val="bullet"/>
      <w:lvlText w:val="•"/>
      <w:lvlJc w:val="left"/>
      <w:pPr>
        <w:ind w:left="2018" w:hanging="213"/>
      </w:pPr>
      <w:rPr>
        <w:rFonts w:hint="default"/>
        <w:lang w:val="zh-CN" w:eastAsia="zh-CN" w:bidi="zh-CN"/>
      </w:rPr>
    </w:lvl>
    <w:lvl w:ilvl="2" w:tplc="7D42C4AA">
      <w:numFmt w:val="bullet"/>
      <w:lvlText w:val="•"/>
      <w:lvlJc w:val="left"/>
      <w:pPr>
        <w:ind w:left="2977" w:hanging="213"/>
      </w:pPr>
      <w:rPr>
        <w:rFonts w:hint="default"/>
        <w:lang w:val="zh-CN" w:eastAsia="zh-CN" w:bidi="zh-CN"/>
      </w:rPr>
    </w:lvl>
    <w:lvl w:ilvl="3" w:tplc="35E86E20">
      <w:numFmt w:val="bullet"/>
      <w:lvlText w:val="•"/>
      <w:lvlJc w:val="left"/>
      <w:pPr>
        <w:ind w:left="3935" w:hanging="213"/>
      </w:pPr>
      <w:rPr>
        <w:rFonts w:hint="default"/>
        <w:lang w:val="zh-CN" w:eastAsia="zh-CN" w:bidi="zh-CN"/>
      </w:rPr>
    </w:lvl>
    <w:lvl w:ilvl="4" w:tplc="3686FADA">
      <w:numFmt w:val="bullet"/>
      <w:lvlText w:val="•"/>
      <w:lvlJc w:val="left"/>
      <w:pPr>
        <w:ind w:left="4894" w:hanging="213"/>
      </w:pPr>
      <w:rPr>
        <w:rFonts w:hint="default"/>
        <w:lang w:val="zh-CN" w:eastAsia="zh-CN" w:bidi="zh-CN"/>
      </w:rPr>
    </w:lvl>
    <w:lvl w:ilvl="5" w:tplc="0BFAD37C">
      <w:numFmt w:val="bullet"/>
      <w:lvlText w:val="•"/>
      <w:lvlJc w:val="left"/>
      <w:pPr>
        <w:ind w:left="5853" w:hanging="213"/>
      </w:pPr>
      <w:rPr>
        <w:rFonts w:hint="default"/>
        <w:lang w:val="zh-CN" w:eastAsia="zh-CN" w:bidi="zh-CN"/>
      </w:rPr>
    </w:lvl>
    <w:lvl w:ilvl="6" w:tplc="CE3AFE76">
      <w:numFmt w:val="bullet"/>
      <w:lvlText w:val="•"/>
      <w:lvlJc w:val="left"/>
      <w:pPr>
        <w:ind w:left="6811" w:hanging="213"/>
      </w:pPr>
      <w:rPr>
        <w:rFonts w:hint="default"/>
        <w:lang w:val="zh-CN" w:eastAsia="zh-CN" w:bidi="zh-CN"/>
      </w:rPr>
    </w:lvl>
    <w:lvl w:ilvl="7" w:tplc="BFA842CE">
      <w:numFmt w:val="bullet"/>
      <w:lvlText w:val="•"/>
      <w:lvlJc w:val="left"/>
      <w:pPr>
        <w:ind w:left="7770" w:hanging="213"/>
      </w:pPr>
      <w:rPr>
        <w:rFonts w:hint="default"/>
        <w:lang w:val="zh-CN" w:eastAsia="zh-CN" w:bidi="zh-CN"/>
      </w:rPr>
    </w:lvl>
    <w:lvl w:ilvl="8" w:tplc="4B9E60FC">
      <w:numFmt w:val="bullet"/>
      <w:lvlText w:val="•"/>
      <w:lvlJc w:val="left"/>
      <w:pPr>
        <w:ind w:left="8729" w:hanging="213"/>
      </w:pPr>
      <w:rPr>
        <w:rFonts w:hint="default"/>
        <w:lang w:val="zh-CN" w:eastAsia="zh-CN" w:bidi="zh-CN"/>
      </w:rPr>
    </w:lvl>
  </w:abstractNum>
  <w:abstractNum w:abstractNumId="889" w15:restartNumberingAfterBreak="0">
    <w:nsid w:val="753B2643"/>
    <w:multiLevelType w:val="hybridMultilevel"/>
    <w:tmpl w:val="3EC2F87A"/>
    <w:lvl w:ilvl="0" w:tplc="F550AE28">
      <w:start w:val="6"/>
      <w:numFmt w:val="decimal"/>
      <w:lvlText w:val="%1"/>
      <w:lvlJc w:val="left"/>
      <w:pPr>
        <w:ind w:left="418" w:hanging="531"/>
        <w:jc w:val="left"/>
      </w:pPr>
      <w:rPr>
        <w:rFonts w:hint="default"/>
        <w:lang w:val="zh-CN" w:eastAsia="zh-CN" w:bidi="zh-CN"/>
      </w:rPr>
    </w:lvl>
    <w:lvl w:ilvl="1" w:tplc="EB7CA0E0">
      <w:start w:val="6"/>
      <w:numFmt w:val="decimal"/>
      <w:lvlText w:val="%1.%2"/>
      <w:lvlJc w:val="left"/>
      <w:pPr>
        <w:ind w:left="418" w:hanging="531"/>
        <w:jc w:val="left"/>
      </w:pPr>
      <w:rPr>
        <w:rFonts w:hint="default"/>
        <w:lang w:val="zh-CN" w:eastAsia="zh-CN" w:bidi="zh-CN"/>
      </w:rPr>
    </w:lvl>
    <w:lvl w:ilvl="2" w:tplc="28C8E252">
      <w:start w:val="1"/>
      <w:numFmt w:val="decimal"/>
      <w:lvlText w:val="%1.%2.%3"/>
      <w:lvlJc w:val="left"/>
      <w:pPr>
        <w:ind w:left="418" w:hanging="531"/>
        <w:jc w:val="left"/>
      </w:pPr>
      <w:rPr>
        <w:rFonts w:ascii="宋体" w:eastAsia="宋体" w:hAnsi="宋体" w:cs="宋体" w:hint="default"/>
        <w:b/>
        <w:bCs/>
        <w:color w:val="333333"/>
        <w:w w:val="99"/>
        <w:sz w:val="19"/>
        <w:szCs w:val="19"/>
        <w:lang w:val="zh-CN" w:eastAsia="zh-CN" w:bidi="zh-CN"/>
      </w:rPr>
    </w:lvl>
    <w:lvl w:ilvl="3" w:tplc="0FE0821C">
      <w:numFmt w:val="bullet"/>
      <w:lvlText w:val="•"/>
      <w:lvlJc w:val="left"/>
      <w:pPr>
        <w:ind w:left="3487" w:hanging="531"/>
      </w:pPr>
      <w:rPr>
        <w:rFonts w:hint="default"/>
        <w:lang w:val="zh-CN" w:eastAsia="zh-CN" w:bidi="zh-CN"/>
      </w:rPr>
    </w:lvl>
    <w:lvl w:ilvl="4" w:tplc="03BCA13C">
      <w:numFmt w:val="bullet"/>
      <w:lvlText w:val="•"/>
      <w:lvlJc w:val="left"/>
      <w:pPr>
        <w:ind w:left="4510" w:hanging="531"/>
      </w:pPr>
      <w:rPr>
        <w:rFonts w:hint="default"/>
        <w:lang w:val="zh-CN" w:eastAsia="zh-CN" w:bidi="zh-CN"/>
      </w:rPr>
    </w:lvl>
    <w:lvl w:ilvl="5" w:tplc="14A20F22">
      <w:numFmt w:val="bullet"/>
      <w:lvlText w:val="•"/>
      <w:lvlJc w:val="left"/>
      <w:pPr>
        <w:ind w:left="5533" w:hanging="531"/>
      </w:pPr>
      <w:rPr>
        <w:rFonts w:hint="default"/>
        <w:lang w:val="zh-CN" w:eastAsia="zh-CN" w:bidi="zh-CN"/>
      </w:rPr>
    </w:lvl>
    <w:lvl w:ilvl="6" w:tplc="0F2690FA">
      <w:numFmt w:val="bullet"/>
      <w:lvlText w:val="•"/>
      <w:lvlJc w:val="left"/>
      <w:pPr>
        <w:ind w:left="6555" w:hanging="531"/>
      </w:pPr>
      <w:rPr>
        <w:rFonts w:hint="default"/>
        <w:lang w:val="zh-CN" w:eastAsia="zh-CN" w:bidi="zh-CN"/>
      </w:rPr>
    </w:lvl>
    <w:lvl w:ilvl="7" w:tplc="66403B9E">
      <w:numFmt w:val="bullet"/>
      <w:lvlText w:val="•"/>
      <w:lvlJc w:val="left"/>
      <w:pPr>
        <w:ind w:left="7578" w:hanging="531"/>
      </w:pPr>
      <w:rPr>
        <w:rFonts w:hint="default"/>
        <w:lang w:val="zh-CN" w:eastAsia="zh-CN" w:bidi="zh-CN"/>
      </w:rPr>
    </w:lvl>
    <w:lvl w:ilvl="8" w:tplc="6BB2F7FA">
      <w:numFmt w:val="bullet"/>
      <w:lvlText w:val="•"/>
      <w:lvlJc w:val="left"/>
      <w:pPr>
        <w:ind w:left="8601" w:hanging="531"/>
      </w:pPr>
      <w:rPr>
        <w:rFonts w:hint="default"/>
        <w:lang w:val="zh-CN" w:eastAsia="zh-CN" w:bidi="zh-CN"/>
      </w:rPr>
    </w:lvl>
  </w:abstractNum>
  <w:abstractNum w:abstractNumId="890" w15:restartNumberingAfterBreak="0">
    <w:nsid w:val="755B7A19"/>
    <w:multiLevelType w:val="hybridMultilevel"/>
    <w:tmpl w:val="B7500BBC"/>
    <w:lvl w:ilvl="0" w:tplc="8B8636AA">
      <w:start w:val="6"/>
      <w:numFmt w:val="decimal"/>
      <w:lvlText w:val="%1"/>
      <w:lvlJc w:val="left"/>
      <w:pPr>
        <w:ind w:left="418" w:hanging="637"/>
        <w:jc w:val="left"/>
      </w:pPr>
      <w:rPr>
        <w:rFonts w:hint="default"/>
        <w:lang w:val="zh-CN" w:eastAsia="zh-CN" w:bidi="zh-CN"/>
      </w:rPr>
    </w:lvl>
    <w:lvl w:ilvl="1" w:tplc="5EDEDCDA">
      <w:start w:val="8"/>
      <w:numFmt w:val="decimal"/>
      <w:lvlText w:val="%1.%2"/>
      <w:lvlJc w:val="left"/>
      <w:pPr>
        <w:ind w:left="418" w:hanging="637"/>
        <w:jc w:val="left"/>
      </w:pPr>
      <w:rPr>
        <w:rFonts w:hint="default"/>
        <w:lang w:val="zh-CN" w:eastAsia="zh-CN" w:bidi="zh-CN"/>
      </w:rPr>
    </w:lvl>
    <w:lvl w:ilvl="2" w:tplc="250E1140">
      <w:start w:val="10"/>
      <w:numFmt w:val="decimal"/>
      <w:lvlText w:val="%1.%2.%3"/>
      <w:lvlJc w:val="left"/>
      <w:pPr>
        <w:ind w:left="418" w:hanging="637"/>
        <w:jc w:val="left"/>
      </w:pPr>
      <w:rPr>
        <w:rFonts w:ascii="宋体" w:eastAsia="宋体" w:hAnsi="宋体" w:cs="宋体" w:hint="default"/>
        <w:b/>
        <w:bCs/>
        <w:spacing w:val="-53"/>
        <w:w w:val="99"/>
        <w:sz w:val="19"/>
        <w:szCs w:val="19"/>
        <w:lang w:val="zh-CN" w:eastAsia="zh-CN" w:bidi="zh-CN"/>
      </w:rPr>
    </w:lvl>
    <w:lvl w:ilvl="3" w:tplc="3874065E">
      <w:numFmt w:val="bullet"/>
      <w:lvlText w:val="•"/>
      <w:lvlJc w:val="left"/>
      <w:pPr>
        <w:ind w:left="3487" w:hanging="637"/>
      </w:pPr>
      <w:rPr>
        <w:rFonts w:hint="default"/>
        <w:lang w:val="zh-CN" w:eastAsia="zh-CN" w:bidi="zh-CN"/>
      </w:rPr>
    </w:lvl>
    <w:lvl w:ilvl="4" w:tplc="B7E08BF4">
      <w:numFmt w:val="bullet"/>
      <w:lvlText w:val="•"/>
      <w:lvlJc w:val="left"/>
      <w:pPr>
        <w:ind w:left="4510" w:hanging="637"/>
      </w:pPr>
      <w:rPr>
        <w:rFonts w:hint="default"/>
        <w:lang w:val="zh-CN" w:eastAsia="zh-CN" w:bidi="zh-CN"/>
      </w:rPr>
    </w:lvl>
    <w:lvl w:ilvl="5" w:tplc="7A34A282">
      <w:numFmt w:val="bullet"/>
      <w:lvlText w:val="•"/>
      <w:lvlJc w:val="left"/>
      <w:pPr>
        <w:ind w:left="5533" w:hanging="637"/>
      </w:pPr>
      <w:rPr>
        <w:rFonts w:hint="default"/>
        <w:lang w:val="zh-CN" w:eastAsia="zh-CN" w:bidi="zh-CN"/>
      </w:rPr>
    </w:lvl>
    <w:lvl w:ilvl="6" w:tplc="FF96AF0C">
      <w:numFmt w:val="bullet"/>
      <w:lvlText w:val="•"/>
      <w:lvlJc w:val="left"/>
      <w:pPr>
        <w:ind w:left="6555" w:hanging="637"/>
      </w:pPr>
      <w:rPr>
        <w:rFonts w:hint="default"/>
        <w:lang w:val="zh-CN" w:eastAsia="zh-CN" w:bidi="zh-CN"/>
      </w:rPr>
    </w:lvl>
    <w:lvl w:ilvl="7" w:tplc="0A02540A">
      <w:numFmt w:val="bullet"/>
      <w:lvlText w:val="•"/>
      <w:lvlJc w:val="left"/>
      <w:pPr>
        <w:ind w:left="7578" w:hanging="637"/>
      </w:pPr>
      <w:rPr>
        <w:rFonts w:hint="default"/>
        <w:lang w:val="zh-CN" w:eastAsia="zh-CN" w:bidi="zh-CN"/>
      </w:rPr>
    </w:lvl>
    <w:lvl w:ilvl="8" w:tplc="92288FE0">
      <w:numFmt w:val="bullet"/>
      <w:lvlText w:val="•"/>
      <w:lvlJc w:val="left"/>
      <w:pPr>
        <w:ind w:left="8601" w:hanging="637"/>
      </w:pPr>
      <w:rPr>
        <w:rFonts w:hint="default"/>
        <w:lang w:val="zh-CN" w:eastAsia="zh-CN" w:bidi="zh-CN"/>
      </w:rPr>
    </w:lvl>
  </w:abstractNum>
  <w:abstractNum w:abstractNumId="891" w15:restartNumberingAfterBreak="0">
    <w:nsid w:val="75742369"/>
    <w:multiLevelType w:val="hybridMultilevel"/>
    <w:tmpl w:val="6A6AC6AE"/>
    <w:lvl w:ilvl="0" w:tplc="B286718E">
      <w:start w:val="6"/>
      <w:numFmt w:val="decimal"/>
      <w:lvlText w:val="%1"/>
      <w:lvlJc w:val="left"/>
      <w:pPr>
        <w:ind w:left="1159" w:hanging="320"/>
        <w:jc w:val="left"/>
      </w:pPr>
      <w:rPr>
        <w:rFonts w:hint="default"/>
        <w:lang w:val="zh-CN" w:eastAsia="zh-CN" w:bidi="zh-CN"/>
      </w:rPr>
    </w:lvl>
    <w:lvl w:ilvl="1" w:tplc="F4D896D2">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5FA81A1E">
      <w:numFmt w:val="bullet"/>
      <w:lvlText w:val="•"/>
      <w:lvlJc w:val="left"/>
      <w:pPr>
        <w:ind w:left="3057" w:hanging="320"/>
      </w:pPr>
      <w:rPr>
        <w:rFonts w:hint="default"/>
        <w:lang w:val="zh-CN" w:eastAsia="zh-CN" w:bidi="zh-CN"/>
      </w:rPr>
    </w:lvl>
    <w:lvl w:ilvl="3" w:tplc="70CE2906">
      <w:numFmt w:val="bullet"/>
      <w:lvlText w:val="•"/>
      <w:lvlJc w:val="left"/>
      <w:pPr>
        <w:ind w:left="4005" w:hanging="320"/>
      </w:pPr>
      <w:rPr>
        <w:rFonts w:hint="default"/>
        <w:lang w:val="zh-CN" w:eastAsia="zh-CN" w:bidi="zh-CN"/>
      </w:rPr>
    </w:lvl>
    <w:lvl w:ilvl="4" w:tplc="583EB66C">
      <w:numFmt w:val="bullet"/>
      <w:lvlText w:val="•"/>
      <w:lvlJc w:val="left"/>
      <w:pPr>
        <w:ind w:left="4954" w:hanging="320"/>
      </w:pPr>
      <w:rPr>
        <w:rFonts w:hint="default"/>
        <w:lang w:val="zh-CN" w:eastAsia="zh-CN" w:bidi="zh-CN"/>
      </w:rPr>
    </w:lvl>
    <w:lvl w:ilvl="5" w:tplc="DCFEACF6">
      <w:numFmt w:val="bullet"/>
      <w:lvlText w:val="•"/>
      <w:lvlJc w:val="left"/>
      <w:pPr>
        <w:ind w:left="5903" w:hanging="320"/>
      </w:pPr>
      <w:rPr>
        <w:rFonts w:hint="default"/>
        <w:lang w:val="zh-CN" w:eastAsia="zh-CN" w:bidi="zh-CN"/>
      </w:rPr>
    </w:lvl>
    <w:lvl w:ilvl="6" w:tplc="E28A7358">
      <w:numFmt w:val="bullet"/>
      <w:lvlText w:val="•"/>
      <w:lvlJc w:val="left"/>
      <w:pPr>
        <w:ind w:left="6851" w:hanging="320"/>
      </w:pPr>
      <w:rPr>
        <w:rFonts w:hint="default"/>
        <w:lang w:val="zh-CN" w:eastAsia="zh-CN" w:bidi="zh-CN"/>
      </w:rPr>
    </w:lvl>
    <w:lvl w:ilvl="7" w:tplc="777EBDD8">
      <w:numFmt w:val="bullet"/>
      <w:lvlText w:val="•"/>
      <w:lvlJc w:val="left"/>
      <w:pPr>
        <w:ind w:left="7800" w:hanging="320"/>
      </w:pPr>
      <w:rPr>
        <w:rFonts w:hint="default"/>
        <w:lang w:val="zh-CN" w:eastAsia="zh-CN" w:bidi="zh-CN"/>
      </w:rPr>
    </w:lvl>
    <w:lvl w:ilvl="8" w:tplc="A70E7018">
      <w:numFmt w:val="bullet"/>
      <w:lvlText w:val="•"/>
      <w:lvlJc w:val="left"/>
      <w:pPr>
        <w:ind w:left="8749" w:hanging="320"/>
      </w:pPr>
      <w:rPr>
        <w:rFonts w:hint="default"/>
        <w:lang w:val="zh-CN" w:eastAsia="zh-CN" w:bidi="zh-CN"/>
      </w:rPr>
    </w:lvl>
  </w:abstractNum>
  <w:abstractNum w:abstractNumId="892" w15:restartNumberingAfterBreak="0">
    <w:nsid w:val="75BC7CEA"/>
    <w:multiLevelType w:val="hybridMultilevel"/>
    <w:tmpl w:val="C332D9EA"/>
    <w:lvl w:ilvl="0" w:tplc="713C9584">
      <w:start w:val="1"/>
      <w:numFmt w:val="decimal"/>
      <w:lvlText w:val="（%1）"/>
      <w:lvlJc w:val="left"/>
      <w:pPr>
        <w:ind w:left="418" w:hanging="532"/>
        <w:jc w:val="left"/>
      </w:pPr>
      <w:rPr>
        <w:rFonts w:ascii="宋体" w:eastAsia="宋体" w:hAnsi="宋体" w:cs="宋体" w:hint="default"/>
        <w:spacing w:val="0"/>
        <w:w w:val="100"/>
        <w:sz w:val="19"/>
        <w:szCs w:val="19"/>
        <w:lang w:val="zh-CN" w:eastAsia="zh-CN" w:bidi="zh-CN"/>
      </w:rPr>
    </w:lvl>
    <w:lvl w:ilvl="1" w:tplc="6352DC4A">
      <w:numFmt w:val="bullet"/>
      <w:lvlText w:val="•"/>
      <w:lvlJc w:val="left"/>
      <w:pPr>
        <w:ind w:left="1442" w:hanging="532"/>
      </w:pPr>
      <w:rPr>
        <w:rFonts w:hint="default"/>
        <w:lang w:val="zh-CN" w:eastAsia="zh-CN" w:bidi="zh-CN"/>
      </w:rPr>
    </w:lvl>
    <w:lvl w:ilvl="2" w:tplc="BC2444B6">
      <w:numFmt w:val="bullet"/>
      <w:lvlText w:val="•"/>
      <w:lvlJc w:val="left"/>
      <w:pPr>
        <w:ind w:left="2465" w:hanging="532"/>
      </w:pPr>
      <w:rPr>
        <w:rFonts w:hint="default"/>
        <w:lang w:val="zh-CN" w:eastAsia="zh-CN" w:bidi="zh-CN"/>
      </w:rPr>
    </w:lvl>
    <w:lvl w:ilvl="3" w:tplc="4CF230EA">
      <w:numFmt w:val="bullet"/>
      <w:lvlText w:val="•"/>
      <w:lvlJc w:val="left"/>
      <w:pPr>
        <w:ind w:left="3487" w:hanging="532"/>
      </w:pPr>
      <w:rPr>
        <w:rFonts w:hint="default"/>
        <w:lang w:val="zh-CN" w:eastAsia="zh-CN" w:bidi="zh-CN"/>
      </w:rPr>
    </w:lvl>
    <w:lvl w:ilvl="4" w:tplc="0F2C7CEA">
      <w:numFmt w:val="bullet"/>
      <w:lvlText w:val="•"/>
      <w:lvlJc w:val="left"/>
      <w:pPr>
        <w:ind w:left="4510" w:hanging="532"/>
      </w:pPr>
      <w:rPr>
        <w:rFonts w:hint="default"/>
        <w:lang w:val="zh-CN" w:eastAsia="zh-CN" w:bidi="zh-CN"/>
      </w:rPr>
    </w:lvl>
    <w:lvl w:ilvl="5" w:tplc="B0E85076">
      <w:numFmt w:val="bullet"/>
      <w:lvlText w:val="•"/>
      <w:lvlJc w:val="left"/>
      <w:pPr>
        <w:ind w:left="5533" w:hanging="532"/>
      </w:pPr>
      <w:rPr>
        <w:rFonts w:hint="default"/>
        <w:lang w:val="zh-CN" w:eastAsia="zh-CN" w:bidi="zh-CN"/>
      </w:rPr>
    </w:lvl>
    <w:lvl w:ilvl="6" w:tplc="4C8E694C">
      <w:numFmt w:val="bullet"/>
      <w:lvlText w:val="•"/>
      <w:lvlJc w:val="left"/>
      <w:pPr>
        <w:ind w:left="6555" w:hanging="532"/>
      </w:pPr>
      <w:rPr>
        <w:rFonts w:hint="default"/>
        <w:lang w:val="zh-CN" w:eastAsia="zh-CN" w:bidi="zh-CN"/>
      </w:rPr>
    </w:lvl>
    <w:lvl w:ilvl="7" w:tplc="E9EE0BAE">
      <w:numFmt w:val="bullet"/>
      <w:lvlText w:val="•"/>
      <w:lvlJc w:val="left"/>
      <w:pPr>
        <w:ind w:left="7578" w:hanging="532"/>
      </w:pPr>
      <w:rPr>
        <w:rFonts w:hint="default"/>
        <w:lang w:val="zh-CN" w:eastAsia="zh-CN" w:bidi="zh-CN"/>
      </w:rPr>
    </w:lvl>
    <w:lvl w:ilvl="8" w:tplc="9626D52E">
      <w:numFmt w:val="bullet"/>
      <w:lvlText w:val="•"/>
      <w:lvlJc w:val="left"/>
      <w:pPr>
        <w:ind w:left="8601" w:hanging="532"/>
      </w:pPr>
      <w:rPr>
        <w:rFonts w:hint="default"/>
        <w:lang w:val="zh-CN" w:eastAsia="zh-CN" w:bidi="zh-CN"/>
      </w:rPr>
    </w:lvl>
  </w:abstractNum>
  <w:abstractNum w:abstractNumId="893" w15:restartNumberingAfterBreak="0">
    <w:nsid w:val="75D77CD8"/>
    <w:multiLevelType w:val="hybridMultilevel"/>
    <w:tmpl w:val="5FB4081C"/>
    <w:lvl w:ilvl="0" w:tplc="7C72C5B6">
      <w:start w:val="6"/>
      <w:numFmt w:val="decimal"/>
      <w:lvlText w:val="%1"/>
      <w:lvlJc w:val="left"/>
      <w:pPr>
        <w:ind w:left="1369" w:hanging="529"/>
        <w:jc w:val="left"/>
      </w:pPr>
      <w:rPr>
        <w:rFonts w:hint="default"/>
        <w:lang w:val="zh-CN" w:eastAsia="zh-CN" w:bidi="zh-CN"/>
      </w:rPr>
    </w:lvl>
    <w:lvl w:ilvl="1" w:tplc="5882D014">
      <w:start w:val="9"/>
      <w:numFmt w:val="decimal"/>
      <w:lvlText w:val="%1.%2"/>
      <w:lvlJc w:val="left"/>
      <w:pPr>
        <w:ind w:left="1369" w:hanging="529"/>
        <w:jc w:val="left"/>
      </w:pPr>
      <w:rPr>
        <w:rFonts w:hint="default"/>
        <w:lang w:val="zh-CN" w:eastAsia="zh-CN" w:bidi="zh-CN"/>
      </w:rPr>
    </w:lvl>
    <w:lvl w:ilvl="2" w:tplc="47B8F35A">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621C3504">
      <w:numFmt w:val="bullet"/>
      <w:lvlText w:val="•"/>
      <w:lvlJc w:val="left"/>
      <w:pPr>
        <w:ind w:left="4145" w:hanging="529"/>
      </w:pPr>
      <w:rPr>
        <w:rFonts w:hint="default"/>
        <w:lang w:val="zh-CN" w:eastAsia="zh-CN" w:bidi="zh-CN"/>
      </w:rPr>
    </w:lvl>
    <w:lvl w:ilvl="4" w:tplc="524A53F0">
      <w:numFmt w:val="bullet"/>
      <w:lvlText w:val="•"/>
      <w:lvlJc w:val="left"/>
      <w:pPr>
        <w:ind w:left="5074" w:hanging="529"/>
      </w:pPr>
      <w:rPr>
        <w:rFonts w:hint="default"/>
        <w:lang w:val="zh-CN" w:eastAsia="zh-CN" w:bidi="zh-CN"/>
      </w:rPr>
    </w:lvl>
    <w:lvl w:ilvl="5" w:tplc="6E88B83C">
      <w:numFmt w:val="bullet"/>
      <w:lvlText w:val="•"/>
      <w:lvlJc w:val="left"/>
      <w:pPr>
        <w:ind w:left="6003" w:hanging="529"/>
      </w:pPr>
      <w:rPr>
        <w:rFonts w:hint="default"/>
        <w:lang w:val="zh-CN" w:eastAsia="zh-CN" w:bidi="zh-CN"/>
      </w:rPr>
    </w:lvl>
    <w:lvl w:ilvl="6" w:tplc="77F0C56C">
      <w:numFmt w:val="bullet"/>
      <w:lvlText w:val="•"/>
      <w:lvlJc w:val="left"/>
      <w:pPr>
        <w:ind w:left="6931" w:hanging="529"/>
      </w:pPr>
      <w:rPr>
        <w:rFonts w:hint="default"/>
        <w:lang w:val="zh-CN" w:eastAsia="zh-CN" w:bidi="zh-CN"/>
      </w:rPr>
    </w:lvl>
    <w:lvl w:ilvl="7" w:tplc="37D09A02">
      <w:numFmt w:val="bullet"/>
      <w:lvlText w:val="•"/>
      <w:lvlJc w:val="left"/>
      <w:pPr>
        <w:ind w:left="7860" w:hanging="529"/>
      </w:pPr>
      <w:rPr>
        <w:rFonts w:hint="default"/>
        <w:lang w:val="zh-CN" w:eastAsia="zh-CN" w:bidi="zh-CN"/>
      </w:rPr>
    </w:lvl>
    <w:lvl w:ilvl="8" w:tplc="EB0CCFCA">
      <w:numFmt w:val="bullet"/>
      <w:lvlText w:val="•"/>
      <w:lvlJc w:val="left"/>
      <w:pPr>
        <w:ind w:left="8789" w:hanging="529"/>
      </w:pPr>
      <w:rPr>
        <w:rFonts w:hint="default"/>
        <w:lang w:val="zh-CN" w:eastAsia="zh-CN" w:bidi="zh-CN"/>
      </w:rPr>
    </w:lvl>
  </w:abstractNum>
  <w:abstractNum w:abstractNumId="894" w15:restartNumberingAfterBreak="0">
    <w:nsid w:val="75DE21DB"/>
    <w:multiLevelType w:val="hybridMultilevel"/>
    <w:tmpl w:val="01FEB368"/>
    <w:lvl w:ilvl="0" w:tplc="43848BA6">
      <w:start w:val="1"/>
      <w:numFmt w:val="lowerLetter"/>
      <w:lvlText w:val="%1）"/>
      <w:lvlJc w:val="left"/>
      <w:pPr>
        <w:ind w:left="418" w:hanging="318"/>
        <w:jc w:val="left"/>
      </w:pPr>
      <w:rPr>
        <w:rFonts w:ascii="宋体" w:eastAsia="宋体" w:hAnsi="宋体" w:cs="宋体" w:hint="default"/>
        <w:w w:val="100"/>
        <w:sz w:val="19"/>
        <w:szCs w:val="19"/>
        <w:lang w:val="zh-CN" w:eastAsia="zh-CN" w:bidi="zh-CN"/>
      </w:rPr>
    </w:lvl>
    <w:lvl w:ilvl="1" w:tplc="F5AEA5BE">
      <w:numFmt w:val="bullet"/>
      <w:lvlText w:val="•"/>
      <w:lvlJc w:val="left"/>
      <w:pPr>
        <w:ind w:left="1442" w:hanging="318"/>
      </w:pPr>
      <w:rPr>
        <w:rFonts w:hint="default"/>
        <w:lang w:val="zh-CN" w:eastAsia="zh-CN" w:bidi="zh-CN"/>
      </w:rPr>
    </w:lvl>
    <w:lvl w:ilvl="2" w:tplc="D8F2792A">
      <w:numFmt w:val="bullet"/>
      <w:lvlText w:val="•"/>
      <w:lvlJc w:val="left"/>
      <w:pPr>
        <w:ind w:left="2465" w:hanging="318"/>
      </w:pPr>
      <w:rPr>
        <w:rFonts w:hint="default"/>
        <w:lang w:val="zh-CN" w:eastAsia="zh-CN" w:bidi="zh-CN"/>
      </w:rPr>
    </w:lvl>
    <w:lvl w:ilvl="3" w:tplc="A8E28466">
      <w:numFmt w:val="bullet"/>
      <w:lvlText w:val="•"/>
      <w:lvlJc w:val="left"/>
      <w:pPr>
        <w:ind w:left="3487" w:hanging="318"/>
      </w:pPr>
      <w:rPr>
        <w:rFonts w:hint="default"/>
        <w:lang w:val="zh-CN" w:eastAsia="zh-CN" w:bidi="zh-CN"/>
      </w:rPr>
    </w:lvl>
    <w:lvl w:ilvl="4" w:tplc="D3981502">
      <w:numFmt w:val="bullet"/>
      <w:lvlText w:val="•"/>
      <w:lvlJc w:val="left"/>
      <w:pPr>
        <w:ind w:left="4510" w:hanging="318"/>
      </w:pPr>
      <w:rPr>
        <w:rFonts w:hint="default"/>
        <w:lang w:val="zh-CN" w:eastAsia="zh-CN" w:bidi="zh-CN"/>
      </w:rPr>
    </w:lvl>
    <w:lvl w:ilvl="5" w:tplc="2EB2E478">
      <w:numFmt w:val="bullet"/>
      <w:lvlText w:val="•"/>
      <w:lvlJc w:val="left"/>
      <w:pPr>
        <w:ind w:left="5533" w:hanging="318"/>
      </w:pPr>
      <w:rPr>
        <w:rFonts w:hint="default"/>
        <w:lang w:val="zh-CN" w:eastAsia="zh-CN" w:bidi="zh-CN"/>
      </w:rPr>
    </w:lvl>
    <w:lvl w:ilvl="6" w:tplc="7CA095D0">
      <w:numFmt w:val="bullet"/>
      <w:lvlText w:val="•"/>
      <w:lvlJc w:val="left"/>
      <w:pPr>
        <w:ind w:left="6555" w:hanging="318"/>
      </w:pPr>
      <w:rPr>
        <w:rFonts w:hint="default"/>
        <w:lang w:val="zh-CN" w:eastAsia="zh-CN" w:bidi="zh-CN"/>
      </w:rPr>
    </w:lvl>
    <w:lvl w:ilvl="7" w:tplc="D0FE5214">
      <w:numFmt w:val="bullet"/>
      <w:lvlText w:val="•"/>
      <w:lvlJc w:val="left"/>
      <w:pPr>
        <w:ind w:left="7578" w:hanging="318"/>
      </w:pPr>
      <w:rPr>
        <w:rFonts w:hint="default"/>
        <w:lang w:val="zh-CN" w:eastAsia="zh-CN" w:bidi="zh-CN"/>
      </w:rPr>
    </w:lvl>
    <w:lvl w:ilvl="8" w:tplc="1C36CA94">
      <w:numFmt w:val="bullet"/>
      <w:lvlText w:val="•"/>
      <w:lvlJc w:val="left"/>
      <w:pPr>
        <w:ind w:left="8601" w:hanging="318"/>
      </w:pPr>
      <w:rPr>
        <w:rFonts w:hint="default"/>
        <w:lang w:val="zh-CN" w:eastAsia="zh-CN" w:bidi="zh-CN"/>
      </w:rPr>
    </w:lvl>
  </w:abstractNum>
  <w:abstractNum w:abstractNumId="895" w15:restartNumberingAfterBreak="0">
    <w:nsid w:val="76450E27"/>
    <w:multiLevelType w:val="hybridMultilevel"/>
    <w:tmpl w:val="5C92E5FC"/>
    <w:lvl w:ilvl="0" w:tplc="978ECB62">
      <w:start w:val="5"/>
      <w:numFmt w:val="decimal"/>
      <w:lvlText w:val="%1"/>
      <w:lvlJc w:val="left"/>
      <w:pPr>
        <w:ind w:left="1158" w:hanging="318"/>
        <w:jc w:val="left"/>
      </w:pPr>
      <w:rPr>
        <w:rFonts w:hint="default"/>
        <w:lang w:val="zh-CN" w:eastAsia="zh-CN" w:bidi="zh-CN"/>
      </w:rPr>
    </w:lvl>
    <w:lvl w:ilvl="1" w:tplc="10BE866E">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890C0B60">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A29CC10A">
      <w:start w:val="1"/>
      <w:numFmt w:val="decimal"/>
      <w:lvlText w:val="%1.%2.%3.%4"/>
      <w:lvlJc w:val="left"/>
      <w:pPr>
        <w:ind w:left="1582" w:hanging="743"/>
        <w:jc w:val="left"/>
      </w:pPr>
      <w:rPr>
        <w:rFonts w:ascii="宋体" w:eastAsia="宋体" w:hAnsi="宋体" w:cs="宋体" w:hint="default"/>
        <w:b/>
        <w:bCs/>
        <w:spacing w:val="-3"/>
        <w:w w:val="99"/>
        <w:sz w:val="19"/>
        <w:szCs w:val="19"/>
        <w:lang w:val="zh-CN" w:eastAsia="zh-CN" w:bidi="zh-CN"/>
      </w:rPr>
    </w:lvl>
    <w:lvl w:ilvl="4" w:tplc="2752C486">
      <w:numFmt w:val="bullet"/>
      <w:lvlText w:val="•"/>
      <w:lvlJc w:val="left"/>
      <w:pPr>
        <w:ind w:left="3846" w:hanging="743"/>
      </w:pPr>
      <w:rPr>
        <w:rFonts w:hint="default"/>
        <w:lang w:val="zh-CN" w:eastAsia="zh-CN" w:bidi="zh-CN"/>
      </w:rPr>
    </w:lvl>
    <w:lvl w:ilvl="5" w:tplc="BCE8B782">
      <w:numFmt w:val="bullet"/>
      <w:lvlText w:val="•"/>
      <w:lvlJc w:val="left"/>
      <w:pPr>
        <w:ind w:left="4979" w:hanging="743"/>
      </w:pPr>
      <w:rPr>
        <w:rFonts w:hint="default"/>
        <w:lang w:val="zh-CN" w:eastAsia="zh-CN" w:bidi="zh-CN"/>
      </w:rPr>
    </w:lvl>
    <w:lvl w:ilvl="6" w:tplc="6BDE94EA">
      <w:numFmt w:val="bullet"/>
      <w:lvlText w:val="•"/>
      <w:lvlJc w:val="left"/>
      <w:pPr>
        <w:ind w:left="6113" w:hanging="743"/>
      </w:pPr>
      <w:rPr>
        <w:rFonts w:hint="default"/>
        <w:lang w:val="zh-CN" w:eastAsia="zh-CN" w:bidi="zh-CN"/>
      </w:rPr>
    </w:lvl>
    <w:lvl w:ilvl="7" w:tplc="75827F90">
      <w:numFmt w:val="bullet"/>
      <w:lvlText w:val="•"/>
      <w:lvlJc w:val="left"/>
      <w:pPr>
        <w:ind w:left="7246" w:hanging="743"/>
      </w:pPr>
      <w:rPr>
        <w:rFonts w:hint="default"/>
        <w:lang w:val="zh-CN" w:eastAsia="zh-CN" w:bidi="zh-CN"/>
      </w:rPr>
    </w:lvl>
    <w:lvl w:ilvl="8" w:tplc="34028088">
      <w:numFmt w:val="bullet"/>
      <w:lvlText w:val="•"/>
      <w:lvlJc w:val="left"/>
      <w:pPr>
        <w:ind w:left="8379" w:hanging="743"/>
      </w:pPr>
      <w:rPr>
        <w:rFonts w:hint="default"/>
        <w:lang w:val="zh-CN" w:eastAsia="zh-CN" w:bidi="zh-CN"/>
      </w:rPr>
    </w:lvl>
  </w:abstractNum>
  <w:abstractNum w:abstractNumId="896" w15:restartNumberingAfterBreak="0">
    <w:nsid w:val="76526F7F"/>
    <w:multiLevelType w:val="hybridMultilevel"/>
    <w:tmpl w:val="3BB884A4"/>
    <w:lvl w:ilvl="0" w:tplc="04FA53C8">
      <w:start w:val="8"/>
      <w:numFmt w:val="decimal"/>
      <w:lvlText w:val="%1"/>
      <w:lvlJc w:val="left"/>
      <w:pPr>
        <w:ind w:left="1477" w:hanging="637"/>
        <w:jc w:val="left"/>
      </w:pPr>
      <w:rPr>
        <w:rFonts w:hint="default"/>
        <w:lang w:val="zh-CN" w:eastAsia="zh-CN" w:bidi="zh-CN"/>
      </w:rPr>
    </w:lvl>
    <w:lvl w:ilvl="1" w:tplc="753E5BC4">
      <w:start w:val="11"/>
      <w:numFmt w:val="decimal"/>
      <w:lvlText w:val="%1.%2"/>
      <w:lvlJc w:val="left"/>
      <w:pPr>
        <w:ind w:left="1477" w:hanging="637"/>
        <w:jc w:val="left"/>
      </w:pPr>
      <w:rPr>
        <w:rFonts w:hint="default"/>
        <w:lang w:val="zh-CN" w:eastAsia="zh-CN" w:bidi="zh-CN"/>
      </w:rPr>
    </w:lvl>
    <w:lvl w:ilvl="2" w:tplc="F3FEE674">
      <w:start w:val="1"/>
      <w:numFmt w:val="decimal"/>
      <w:lvlText w:val="%1.%2.%3"/>
      <w:lvlJc w:val="left"/>
      <w:pPr>
        <w:ind w:left="1477" w:hanging="637"/>
        <w:jc w:val="left"/>
      </w:pPr>
      <w:rPr>
        <w:rFonts w:ascii="宋体" w:eastAsia="宋体" w:hAnsi="宋体" w:cs="宋体" w:hint="default"/>
        <w:b/>
        <w:bCs/>
        <w:w w:val="99"/>
        <w:sz w:val="19"/>
        <w:szCs w:val="19"/>
        <w:lang w:val="zh-CN" w:eastAsia="zh-CN" w:bidi="zh-CN"/>
      </w:rPr>
    </w:lvl>
    <w:lvl w:ilvl="3" w:tplc="95FEAE68">
      <w:numFmt w:val="bullet"/>
      <w:lvlText w:val="•"/>
      <w:lvlJc w:val="left"/>
      <w:pPr>
        <w:ind w:left="4229" w:hanging="637"/>
      </w:pPr>
      <w:rPr>
        <w:rFonts w:hint="default"/>
        <w:lang w:val="zh-CN" w:eastAsia="zh-CN" w:bidi="zh-CN"/>
      </w:rPr>
    </w:lvl>
    <w:lvl w:ilvl="4" w:tplc="454245C2">
      <w:numFmt w:val="bullet"/>
      <w:lvlText w:val="•"/>
      <w:lvlJc w:val="left"/>
      <w:pPr>
        <w:ind w:left="5146" w:hanging="637"/>
      </w:pPr>
      <w:rPr>
        <w:rFonts w:hint="default"/>
        <w:lang w:val="zh-CN" w:eastAsia="zh-CN" w:bidi="zh-CN"/>
      </w:rPr>
    </w:lvl>
    <w:lvl w:ilvl="5" w:tplc="8BC0C482">
      <w:numFmt w:val="bullet"/>
      <w:lvlText w:val="•"/>
      <w:lvlJc w:val="left"/>
      <w:pPr>
        <w:ind w:left="6063" w:hanging="637"/>
      </w:pPr>
      <w:rPr>
        <w:rFonts w:hint="default"/>
        <w:lang w:val="zh-CN" w:eastAsia="zh-CN" w:bidi="zh-CN"/>
      </w:rPr>
    </w:lvl>
    <w:lvl w:ilvl="6" w:tplc="3132B8AC">
      <w:numFmt w:val="bullet"/>
      <w:lvlText w:val="•"/>
      <w:lvlJc w:val="left"/>
      <w:pPr>
        <w:ind w:left="6979" w:hanging="637"/>
      </w:pPr>
      <w:rPr>
        <w:rFonts w:hint="default"/>
        <w:lang w:val="zh-CN" w:eastAsia="zh-CN" w:bidi="zh-CN"/>
      </w:rPr>
    </w:lvl>
    <w:lvl w:ilvl="7" w:tplc="3C38A1BA">
      <w:numFmt w:val="bullet"/>
      <w:lvlText w:val="•"/>
      <w:lvlJc w:val="left"/>
      <w:pPr>
        <w:ind w:left="7896" w:hanging="637"/>
      </w:pPr>
      <w:rPr>
        <w:rFonts w:hint="default"/>
        <w:lang w:val="zh-CN" w:eastAsia="zh-CN" w:bidi="zh-CN"/>
      </w:rPr>
    </w:lvl>
    <w:lvl w:ilvl="8" w:tplc="D2104C46">
      <w:numFmt w:val="bullet"/>
      <w:lvlText w:val="•"/>
      <w:lvlJc w:val="left"/>
      <w:pPr>
        <w:ind w:left="8813" w:hanging="637"/>
      </w:pPr>
      <w:rPr>
        <w:rFonts w:hint="default"/>
        <w:lang w:val="zh-CN" w:eastAsia="zh-CN" w:bidi="zh-CN"/>
      </w:rPr>
    </w:lvl>
  </w:abstractNum>
  <w:abstractNum w:abstractNumId="897" w15:restartNumberingAfterBreak="0">
    <w:nsid w:val="765D1A98"/>
    <w:multiLevelType w:val="hybridMultilevel"/>
    <w:tmpl w:val="CB26E896"/>
    <w:lvl w:ilvl="0" w:tplc="56A69BB4">
      <w:start w:val="5"/>
      <w:numFmt w:val="decimal"/>
      <w:lvlText w:val="%1"/>
      <w:lvlJc w:val="left"/>
      <w:pPr>
        <w:ind w:left="1159" w:hanging="320"/>
        <w:jc w:val="left"/>
      </w:pPr>
      <w:rPr>
        <w:rFonts w:hint="default"/>
        <w:lang w:val="zh-CN" w:eastAsia="zh-CN" w:bidi="zh-CN"/>
      </w:rPr>
    </w:lvl>
    <w:lvl w:ilvl="1" w:tplc="B82629F8">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6C0C81B2">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EDD6E03E">
      <w:start w:val="1"/>
      <w:numFmt w:val="decimal"/>
      <w:lvlText w:val="%1.%2.%3.%4"/>
      <w:lvlJc w:val="left"/>
      <w:pPr>
        <w:ind w:left="418" w:hanging="738"/>
        <w:jc w:val="left"/>
      </w:pPr>
      <w:rPr>
        <w:rFonts w:ascii="宋体" w:eastAsia="宋体" w:hAnsi="宋体" w:cs="宋体" w:hint="default"/>
        <w:spacing w:val="-3"/>
        <w:w w:val="100"/>
        <w:sz w:val="19"/>
        <w:szCs w:val="19"/>
        <w:lang w:val="zh-CN" w:eastAsia="zh-CN" w:bidi="zh-CN"/>
      </w:rPr>
    </w:lvl>
    <w:lvl w:ilvl="4" w:tplc="3AF64DC4">
      <w:numFmt w:val="bullet"/>
      <w:lvlText w:val="•"/>
      <w:lvlJc w:val="left"/>
      <w:pPr>
        <w:ind w:left="3681" w:hanging="738"/>
      </w:pPr>
      <w:rPr>
        <w:rFonts w:hint="default"/>
        <w:lang w:val="zh-CN" w:eastAsia="zh-CN" w:bidi="zh-CN"/>
      </w:rPr>
    </w:lvl>
    <w:lvl w:ilvl="5" w:tplc="EFF07208">
      <w:numFmt w:val="bullet"/>
      <w:lvlText w:val="•"/>
      <w:lvlJc w:val="left"/>
      <w:pPr>
        <w:ind w:left="4842" w:hanging="738"/>
      </w:pPr>
      <w:rPr>
        <w:rFonts w:hint="default"/>
        <w:lang w:val="zh-CN" w:eastAsia="zh-CN" w:bidi="zh-CN"/>
      </w:rPr>
    </w:lvl>
    <w:lvl w:ilvl="6" w:tplc="06147296">
      <w:numFmt w:val="bullet"/>
      <w:lvlText w:val="•"/>
      <w:lvlJc w:val="left"/>
      <w:pPr>
        <w:ind w:left="6003" w:hanging="738"/>
      </w:pPr>
      <w:rPr>
        <w:rFonts w:hint="default"/>
        <w:lang w:val="zh-CN" w:eastAsia="zh-CN" w:bidi="zh-CN"/>
      </w:rPr>
    </w:lvl>
    <w:lvl w:ilvl="7" w:tplc="88FCD5EA">
      <w:numFmt w:val="bullet"/>
      <w:lvlText w:val="•"/>
      <w:lvlJc w:val="left"/>
      <w:pPr>
        <w:ind w:left="7164" w:hanging="738"/>
      </w:pPr>
      <w:rPr>
        <w:rFonts w:hint="default"/>
        <w:lang w:val="zh-CN" w:eastAsia="zh-CN" w:bidi="zh-CN"/>
      </w:rPr>
    </w:lvl>
    <w:lvl w:ilvl="8" w:tplc="1CFA1046">
      <w:numFmt w:val="bullet"/>
      <w:lvlText w:val="•"/>
      <w:lvlJc w:val="left"/>
      <w:pPr>
        <w:ind w:left="8324" w:hanging="738"/>
      </w:pPr>
      <w:rPr>
        <w:rFonts w:hint="default"/>
        <w:lang w:val="zh-CN" w:eastAsia="zh-CN" w:bidi="zh-CN"/>
      </w:rPr>
    </w:lvl>
  </w:abstractNum>
  <w:abstractNum w:abstractNumId="898" w15:restartNumberingAfterBreak="0">
    <w:nsid w:val="765F63A6"/>
    <w:multiLevelType w:val="hybridMultilevel"/>
    <w:tmpl w:val="314EC484"/>
    <w:lvl w:ilvl="0" w:tplc="842E5124">
      <w:start w:val="4"/>
      <w:numFmt w:val="decimal"/>
      <w:lvlText w:val="%1"/>
      <w:lvlJc w:val="left"/>
      <w:pPr>
        <w:ind w:left="1159" w:hanging="320"/>
        <w:jc w:val="left"/>
      </w:pPr>
      <w:rPr>
        <w:rFonts w:hint="default"/>
        <w:lang w:val="zh-CN" w:eastAsia="zh-CN" w:bidi="zh-CN"/>
      </w:rPr>
    </w:lvl>
    <w:lvl w:ilvl="1" w:tplc="3E7EC946">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2CEA7A04">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6C626F24">
      <w:numFmt w:val="bullet"/>
      <w:lvlText w:val="•"/>
      <w:lvlJc w:val="left"/>
      <w:pPr>
        <w:ind w:left="1380" w:hanging="529"/>
      </w:pPr>
      <w:rPr>
        <w:rFonts w:hint="default"/>
        <w:lang w:val="zh-CN" w:eastAsia="zh-CN" w:bidi="zh-CN"/>
      </w:rPr>
    </w:lvl>
    <w:lvl w:ilvl="4" w:tplc="2A9CF0C4">
      <w:numFmt w:val="bullet"/>
      <w:lvlText w:val="•"/>
      <w:lvlJc w:val="left"/>
      <w:pPr>
        <w:ind w:left="2703" w:hanging="529"/>
      </w:pPr>
      <w:rPr>
        <w:rFonts w:hint="default"/>
        <w:lang w:val="zh-CN" w:eastAsia="zh-CN" w:bidi="zh-CN"/>
      </w:rPr>
    </w:lvl>
    <w:lvl w:ilvl="5" w:tplc="4B80EB82">
      <w:numFmt w:val="bullet"/>
      <w:lvlText w:val="•"/>
      <w:lvlJc w:val="left"/>
      <w:pPr>
        <w:ind w:left="4027" w:hanging="529"/>
      </w:pPr>
      <w:rPr>
        <w:rFonts w:hint="default"/>
        <w:lang w:val="zh-CN" w:eastAsia="zh-CN" w:bidi="zh-CN"/>
      </w:rPr>
    </w:lvl>
    <w:lvl w:ilvl="6" w:tplc="8912141E">
      <w:numFmt w:val="bullet"/>
      <w:lvlText w:val="•"/>
      <w:lvlJc w:val="left"/>
      <w:pPr>
        <w:ind w:left="5351" w:hanging="529"/>
      </w:pPr>
      <w:rPr>
        <w:rFonts w:hint="default"/>
        <w:lang w:val="zh-CN" w:eastAsia="zh-CN" w:bidi="zh-CN"/>
      </w:rPr>
    </w:lvl>
    <w:lvl w:ilvl="7" w:tplc="067880A0">
      <w:numFmt w:val="bullet"/>
      <w:lvlText w:val="•"/>
      <w:lvlJc w:val="left"/>
      <w:pPr>
        <w:ind w:left="6675" w:hanging="529"/>
      </w:pPr>
      <w:rPr>
        <w:rFonts w:hint="default"/>
        <w:lang w:val="zh-CN" w:eastAsia="zh-CN" w:bidi="zh-CN"/>
      </w:rPr>
    </w:lvl>
    <w:lvl w:ilvl="8" w:tplc="F3D0309E">
      <w:numFmt w:val="bullet"/>
      <w:lvlText w:val="•"/>
      <w:lvlJc w:val="left"/>
      <w:pPr>
        <w:ind w:left="7998" w:hanging="529"/>
      </w:pPr>
      <w:rPr>
        <w:rFonts w:hint="default"/>
        <w:lang w:val="zh-CN" w:eastAsia="zh-CN" w:bidi="zh-CN"/>
      </w:rPr>
    </w:lvl>
  </w:abstractNum>
  <w:abstractNum w:abstractNumId="899" w15:restartNumberingAfterBreak="0">
    <w:nsid w:val="766009B1"/>
    <w:multiLevelType w:val="hybridMultilevel"/>
    <w:tmpl w:val="17428C1A"/>
    <w:lvl w:ilvl="0" w:tplc="3E3E5E06">
      <w:start w:val="1"/>
      <w:numFmt w:val="lowerLetter"/>
      <w:lvlText w:val="%1)"/>
      <w:lvlJc w:val="left"/>
      <w:pPr>
        <w:ind w:left="418" w:hanging="213"/>
        <w:jc w:val="left"/>
      </w:pPr>
      <w:rPr>
        <w:rFonts w:ascii="宋体" w:eastAsia="宋体" w:hAnsi="宋体" w:cs="宋体" w:hint="default"/>
        <w:spacing w:val="-3"/>
        <w:w w:val="100"/>
        <w:sz w:val="19"/>
        <w:szCs w:val="19"/>
        <w:lang w:val="zh-CN" w:eastAsia="zh-CN" w:bidi="zh-CN"/>
      </w:rPr>
    </w:lvl>
    <w:lvl w:ilvl="1" w:tplc="84A646A6">
      <w:numFmt w:val="bullet"/>
      <w:lvlText w:val="•"/>
      <w:lvlJc w:val="left"/>
      <w:pPr>
        <w:ind w:left="1442" w:hanging="213"/>
      </w:pPr>
      <w:rPr>
        <w:rFonts w:hint="default"/>
        <w:lang w:val="zh-CN" w:eastAsia="zh-CN" w:bidi="zh-CN"/>
      </w:rPr>
    </w:lvl>
    <w:lvl w:ilvl="2" w:tplc="A532E67E">
      <w:numFmt w:val="bullet"/>
      <w:lvlText w:val="•"/>
      <w:lvlJc w:val="left"/>
      <w:pPr>
        <w:ind w:left="2465" w:hanging="213"/>
      </w:pPr>
      <w:rPr>
        <w:rFonts w:hint="default"/>
        <w:lang w:val="zh-CN" w:eastAsia="zh-CN" w:bidi="zh-CN"/>
      </w:rPr>
    </w:lvl>
    <w:lvl w:ilvl="3" w:tplc="10C0054A">
      <w:numFmt w:val="bullet"/>
      <w:lvlText w:val="•"/>
      <w:lvlJc w:val="left"/>
      <w:pPr>
        <w:ind w:left="3487" w:hanging="213"/>
      </w:pPr>
      <w:rPr>
        <w:rFonts w:hint="default"/>
        <w:lang w:val="zh-CN" w:eastAsia="zh-CN" w:bidi="zh-CN"/>
      </w:rPr>
    </w:lvl>
    <w:lvl w:ilvl="4" w:tplc="5414D664">
      <w:numFmt w:val="bullet"/>
      <w:lvlText w:val="•"/>
      <w:lvlJc w:val="left"/>
      <w:pPr>
        <w:ind w:left="4510" w:hanging="213"/>
      </w:pPr>
      <w:rPr>
        <w:rFonts w:hint="default"/>
        <w:lang w:val="zh-CN" w:eastAsia="zh-CN" w:bidi="zh-CN"/>
      </w:rPr>
    </w:lvl>
    <w:lvl w:ilvl="5" w:tplc="53A66F20">
      <w:numFmt w:val="bullet"/>
      <w:lvlText w:val="•"/>
      <w:lvlJc w:val="left"/>
      <w:pPr>
        <w:ind w:left="5533" w:hanging="213"/>
      </w:pPr>
      <w:rPr>
        <w:rFonts w:hint="default"/>
        <w:lang w:val="zh-CN" w:eastAsia="zh-CN" w:bidi="zh-CN"/>
      </w:rPr>
    </w:lvl>
    <w:lvl w:ilvl="6" w:tplc="964090C0">
      <w:numFmt w:val="bullet"/>
      <w:lvlText w:val="•"/>
      <w:lvlJc w:val="left"/>
      <w:pPr>
        <w:ind w:left="6555" w:hanging="213"/>
      </w:pPr>
      <w:rPr>
        <w:rFonts w:hint="default"/>
        <w:lang w:val="zh-CN" w:eastAsia="zh-CN" w:bidi="zh-CN"/>
      </w:rPr>
    </w:lvl>
    <w:lvl w:ilvl="7" w:tplc="85B0373C">
      <w:numFmt w:val="bullet"/>
      <w:lvlText w:val="•"/>
      <w:lvlJc w:val="left"/>
      <w:pPr>
        <w:ind w:left="7578" w:hanging="213"/>
      </w:pPr>
      <w:rPr>
        <w:rFonts w:hint="default"/>
        <w:lang w:val="zh-CN" w:eastAsia="zh-CN" w:bidi="zh-CN"/>
      </w:rPr>
    </w:lvl>
    <w:lvl w:ilvl="8" w:tplc="60087C12">
      <w:numFmt w:val="bullet"/>
      <w:lvlText w:val="•"/>
      <w:lvlJc w:val="left"/>
      <w:pPr>
        <w:ind w:left="8601" w:hanging="213"/>
      </w:pPr>
      <w:rPr>
        <w:rFonts w:hint="default"/>
        <w:lang w:val="zh-CN" w:eastAsia="zh-CN" w:bidi="zh-CN"/>
      </w:rPr>
    </w:lvl>
  </w:abstractNum>
  <w:abstractNum w:abstractNumId="900" w15:restartNumberingAfterBreak="0">
    <w:nsid w:val="766C5081"/>
    <w:multiLevelType w:val="hybridMultilevel"/>
    <w:tmpl w:val="60F61FFC"/>
    <w:lvl w:ilvl="0" w:tplc="7AEAC858">
      <w:start w:val="6"/>
      <w:numFmt w:val="decimal"/>
      <w:lvlText w:val="%1"/>
      <w:lvlJc w:val="left"/>
      <w:pPr>
        <w:ind w:left="838" w:hanging="531"/>
        <w:jc w:val="left"/>
      </w:pPr>
      <w:rPr>
        <w:rFonts w:hint="default"/>
        <w:lang w:val="zh-CN" w:eastAsia="zh-CN" w:bidi="zh-CN"/>
      </w:rPr>
    </w:lvl>
    <w:lvl w:ilvl="1" w:tplc="8A28BC90">
      <w:start w:val="2"/>
      <w:numFmt w:val="decimal"/>
      <w:lvlText w:val="%1.%2"/>
      <w:lvlJc w:val="left"/>
      <w:pPr>
        <w:ind w:left="838" w:hanging="531"/>
        <w:jc w:val="left"/>
      </w:pPr>
      <w:rPr>
        <w:rFonts w:hint="default"/>
        <w:lang w:val="zh-CN" w:eastAsia="zh-CN" w:bidi="zh-CN"/>
      </w:rPr>
    </w:lvl>
    <w:lvl w:ilvl="2" w:tplc="7CECE2A6">
      <w:start w:val="1"/>
      <w:numFmt w:val="decimal"/>
      <w:lvlText w:val="%1.%2.%3"/>
      <w:lvlJc w:val="left"/>
      <w:pPr>
        <w:ind w:left="838" w:hanging="531"/>
        <w:jc w:val="left"/>
      </w:pPr>
      <w:rPr>
        <w:rFonts w:ascii="宋体" w:eastAsia="宋体" w:hAnsi="宋体" w:cs="宋体" w:hint="default"/>
        <w:b/>
        <w:bCs/>
        <w:w w:val="99"/>
        <w:sz w:val="19"/>
        <w:szCs w:val="19"/>
        <w:lang w:val="zh-CN" w:eastAsia="zh-CN" w:bidi="zh-CN"/>
      </w:rPr>
    </w:lvl>
    <w:lvl w:ilvl="3" w:tplc="82E407E4">
      <w:numFmt w:val="bullet"/>
      <w:lvlText w:val="•"/>
      <w:lvlJc w:val="left"/>
      <w:pPr>
        <w:ind w:left="3781" w:hanging="531"/>
      </w:pPr>
      <w:rPr>
        <w:rFonts w:hint="default"/>
        <w:lang w:val="zh-CN" w:eastAsia="zh-CN" w:bidi="zh-CN"/>
      </w:rPr>
    </w:lvl>
    <w:lvl w:ilvl="4" w:tplc="1A3A61F8">
      <w:numFmt w:val="bullet"/>
      <w:lvlText w:val="•"/>
      <w:lvlJc w:val="left"/>
      <w:pPr>
        <w:ind w:left="4762" w:hanging="531"/>
      </w:pPr>
      <w:rPr>
        <w:rFonts w:hint="default"/>
        <w:lang w:val="zh-CN" w:eastAsia="zh-CN" w:bidi="zh-CN"/>
      </w:rPr>
    </w:lvl>
    <w:lvl w:ilvl="5" w:tplc="D9ECDDE6">
      <w:numFmt w:val="bullet"/>
      <w:lvlText w:val="•"/>
      <w:lvlJc w:val="left"/>
      <w:pPr>
        <w:ind w:left="5743" w:hanging="531"/>
      </w:pPr>
      <w:rPr>
        <w:rFonts w:hint="default"/>
        <w:lang w:val="zh-CN" w:eastAsia="zh-CN" w:bidi="zh-CN"/>
      </w:rPr>
    </w:lvl>
    <w:lvl w:ilvl="6" w:tplc="522A8430">
      <w:numFmt w:val="bullet"/>
      <w:lvlText w:val="•"/>
      <w:lvlJc w:val="left"/>
      <w:pPr>
        <w:ind w:left="6723" w:hanging="531"/>
      </w:pPr>
      <w:rPr>
        <w:rFonts w:hint="default"/>
        <w:lang w:val="zh-CN" w:eastAsia="zh-CN" w:bidi="zh-CN"/>
      </w:rPr>
    </w:lvl>
    <w:lvl w:ilvl="7" w:tplc="95321C4C">
      <w:numFmt w:val="bullet"/>
      <w:lvlText w:val="•"/>
      <w:lvlJc w:val="left"/>
      <w:pPr>
        <w:ind w:left="7704" w:hanging="531"/>
      </w:pPr>
      <w:rPr>
        <w:rFonts w:hint="default"/>
        <w:lang w:val="zh-CN" w:eastAsia="zh-CN" w:bidi="zh-CN"/>
      </w:rPr>
    </w:lvl>
    <w:lvl w:ilvl="8" w:tplc="DC4C00DC">
      <w:numFmt w:val="bullet"/>
      <w:lvlText w:val="•"/>
      <w:lvlJc w:val="left"/>
      <w:pPr>
        <w:ind w:left="8685" w:hanging="531"/>
      </w:pPr>
      <w:rPr>
        <w:rFonts w:hint="default"/>
        <w:lang w:val="zh-CN" w:eastAsia="zh-CN" w:bidi="zh-CN"/>
      </w:rPr>
    </w:lvl>
  </w:abstractNum>
  <w:abstractNum w:abstractNumId="901" w15:restartNumberingAfterBreak="0">
    <w:nsid w:val="76AC6510"/>
    <w:multiLevelType w:val="hybridMultilevel"/>
    <w:tmpl w:val="A90CADC8"/>
    <w:lvl w:ilvl="0" w:tplc="6986D7B4">
      <w:start w:val="8"/>
      <w:numFmt w:val="decimal"/>
      <w:lvlText w:val="%1"/>
      <w:lvlJc w:val="left"/>
      <w:pPr>
        <w:ind w:left="1158" w:hanging="318"/>
        <w:jc w:val="left"/>
      </w:pPr>
      <w:rPr>
        <w:rFonts w:hint="default"/>
        <w:lang w:val="zh-CN" w:eastAsia="zh-CN" w:bidi="zh-CN"/>
      </w:rPr>
    </w:lvl>
    <w:lvl w:ilvl="1" w:tplc="910ABFA4">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8F4A81D2">
      <w:numFmt w:val="bullet"/>
      <w:lvlText w:val="•"/>
      <w:lvlJc w:val="left"/>
      <w:pPr>
        <w:ind w:left="3057" w:hanging="318"/>
      </w:pPr>
      <w:rPr>
        <w:rFonts w:hint="default"/>
        <w:lang w:val="zh-CN" w:eastAsia="zh-CN" w:bidi="zh-CN"/>
      </w:rPr>
    </w:lvl>
    <w:lvl w:ilvl="3" w:tplc="EAD0C3D6">
      <w:numFmt w:val="bullet"/>
      <w:lvlText w:val="•"/>
      <w:lvlJc w:val="left"/>
      <w:pPr>
        <w:ind w:left="4005" w:hanging="318"/>
      </w:pPr>
      <w:rPr>
        <w:rFonts w:hint="default"/>
        <w:lang w:val="zh-CN" w:eastAsia="zh-CN" w:bidi="zh-CN"/>
      </w:rPr>
    </w:lvl>
    <w:lvl w:ilvl="4" w:tplc="9342F388">
      <w:numFmt w:val="bullet"/>
      <w:lvlText w:val="•"/>
      <w:lvlJc w:val="left"/>
      <w:pPr>
        <w:ind w:left="4954" w:hanging="318"/>
      </w:pPr>
      <w:rPr>
        <w:rFonts w:hint="default"/>
        <w:lang w:val="zh-CN" w:eastAsia="zh-CN" w:bidi="zh-CN"/>
      </w:rPr>
    </w:lvl>
    <w:lvl w:ilvl="5" w:tplc="29D66374">
      <w:numFmt w:val="bullet"/>
      <w:lvlText w:val="•"/>
      <w:lvlJc w:val="left"/>
      <w:pPr>
        <w:ind w:left="5903" w:hanging="318"/>
      </w:pPr>
      <w:rPr>
        <w:rFonts w:hint="default"/>
        <w:lang w:val="zh-CN" w:eastAsia="zh-CN" w:bidi="zh-CN"/>
      </w:rPr>
    </w:lvl>
    <w:lvl w:ilvl="6" w:tplc="E2B0121C">
      <w:numFmt w:val="bullet"/>
      <w:lvlText w:val="•"/>
      <w:lvlJc w:val="left"/>
      <w:pPr>
        <w:ind w:left="6851" w:hanging="318"/>
      </w:pPr>
      <w:rPr>
        <w:rFonts w:hint="default"/>
        <w:lang w:val="zh-CN" w:eastAsia="zh-CN" w:bidi="zh-CN"/>
      </w:rPr>
    </w:lvl>
    <w:lvl w:ilvl="7" w:tplc="394A2FBC">
      <w:numFmt w:val="bullet"/>
      <w:lvlText w:val="•"/>
      <w:lvlJc w:val="left"/>
      <w:pPr>
        <w:ind w:left="7800" w:hanging="318"/>
      </w:pPr>
      <w:rPr>
        <w:rFonts w:hint="default"/>
        <w:lang w:val="zh-CN" w:eastAsia="zh-CN" w:bidi="zh-CN"/>
      </w:rPr>
    </w:lvl>
    <w:lvl w:ilvl="8" w:tplc="B1B6124A">
      <w:numFmt w:val="bullet"/>
      <w:lvlText w:val="•"/>
      <w:lvlJc w:val="left"/>
      <w:pPr>
        <w:ind w:left="8749" w:hanging="318"/>
      </w:pPr>
      <w:rPr>
        <w:rFonts w:hint="default"/>
        <w:lang w:val="zh-CN" w:eastAsia="zh-CN" w:bidi="zh-CN"/>
      </w:rPr>
    </w:lvl>
  </w:abstractNum>
  <w:abstractNum w:abstractNumId="902" w15:restartNumberingAfterBreak="0">
    <w:nsid w:val="76D346A2"/>
    <w:multiLevelType w:val="hybridMultilevel"/>
    <w:tmpl w:val="FF2016C2"/>
    <w:lvl w:ilvl="0" w:tplc="544A34E4">
      <w:start w:val="2"/>
      <w:numFmt w:val="lowerLetter"/>
      <w:lvlText w:val="%1)"/>
      <w:lvlJc w:val="left"/>
      <w:pPr>
        <w:ind w:left="1050" w:hanging="213"/>
        <w:jc w:val="left"/>
      </w:pPr>
      <w:rPr>
        <w:rFonts w:ascii="宋体" w:eastAsia="宋体" w:hAnsi="宋体" w:cs="宋体" w:hint="default"/>
        <w:spacing w:val="-55"/>
        <w:w w:val="99"/>
        <w:sz w:val="19"/>
        <w:szCs w:val="19"/>
        <w:lang w:val="zh-CN" w:eastAsia="zh-CN" w:bidi="zh-CN"/>
      </w:rPr>
    </w:lvl>
    <w:lvl w:ilvl="1" w:tplc="7DF836A2">
      <w:numFmt w:val="bullet"/>
      <w:lvlText w:val="•"/>
      <w:lvlJc w:val="left"/>
      <w:pPr>
        <w:ind w:left="2018" w:hanging="213"/>
      </w:pPr>
      <w:rPr>
        <w:rFonts w:hint="default"/>
        <w:lang w:val="zh-CN" w:eastAsia="zh-CN" w:bidi="zh-CN"/>
      </w:rPr>
    </w:lvl>
    <w:lvl w:ilvl="2" w:tplc="60B21D06">
      <w:numFmt w:val="bullet"/>
      <w:lvlText w:val="•"/>
      <w:lvlJc w:val="left"/>
      <w:pPr>
        <w:ind w:left="2977" w:hanging="213"/>
      </w:pPr>
      <w:rPr>
        <w:rFonts w:hint="default"/>
        <w:lang w:val="zh-CN" w:eastAsia="zh-CN" w:bidi="zh-CN"/>
      </w:rPr>
    </w:lvl>
    <w:lvl w:ilvl="3" w:tplc="D5026954">
      <w:numFmt w:val="bullet"/>
      <w:lvlText w:val="•"/>
      <w:lvlJc w:val="left"/>
      <w:pPr>
        <w:ind w:left="3935" w:hanging="213"/>
      </w:pPr>
      <w:rPr>
        <w:rFonts w:hint="default"/>
        <w:lang w:val="zh-CN" w:eastAsia="zh-CN" w:bidi="zh-CN"/>
      </w:rPr>
    </w:lvl>
    <w:lvl w:ilvl="4" w:tplc="51D602BC">
      <w:numFmt w:val="bullet"/>
      <w:lvlText w:val="•"/>
      <w:lvlJc w:val="left"/>
      <w:pPr>
        <w:ind w:left="4894" w:hanging="213"/>
      </w:pPr>
      <w:rPr>
        <w:rFonts w:hint="default"/>
        <w:lang w:val="zh-CN" w:eastAsia="zh-CN" w:bidi="zh-CN"/>
      </w:rPr>
    </w:lvl>
    <w:lvl w:ilvl="5" w:tplc="694AB206">
      <w:numFmt w:val="bullet"/>
      <w:lvlText w:val="•"/>
      <w:lvlJc w:val="left"/>
      <w:pPr>
        <w:ind w:left="5853" w:hanging="213"/>
      </w:pPr>
      <w:rPr>
        <w:rFonts w:hint="default"/>
        <w:lang w:val="zh-CN" w:eastAsia="zh-CN" w:bidi="zh-CN"/>
      </w:rPr>
    </w:lvl>
    <w:lvl w:ilvl="6" w:tplc="2086129A">
      <w:numFmt w:val="bullet"/>
      <w:lvlText w:val="•"/>
      <w:lvlJc w:val="left"/>
      <w:pPr>
        <w:ind w:left="6811" w:hanging="213"/>
      </w:pPr>
      <w:rPr>
        <w:rFonts w:hint="default"/>
        <w:lang w:val="zh-CN" w:eastAsia="zh-CN" w:bidi="zh-CN"/>
      </w:rPr>
    </w:lvl>
    <w:lvl w:ilvl="7" w:tplc="25324CB6">
      <w:numFmt w:val="bullet"/>
      <w:lvlText w:val="•"/>
      <w:lvlJc w:val="left"/>
      <w:pPr>
        <w:ind w:left="7770" w:hanging="213"/>
      </w:pPr>
      <w:rPr>
        <w:rFonts w:hint="default"/>
        <w:lang w:val="zh-CN" w:eastAsia="zh-CN" w:bidi="zh-CN"/>
      </w:rPr>
    </w:lvl>
    <w:lvl w:ilvl="8" w:tplc="69B25C80">
      <w:numFmt w:val="bullet"/>
      <w:lvlText w:val="•"/>
      <w:lvlJc w:val="left"/>
      <w:pPr>
        <w:ind w:left="8729" w:hanging="213"/>
      </w:pPr>
      <w:rPr>
        <w:rFonts w:hint="default"/>
        <w:lang w:val="zh-CN" w:eastAsia="zh-CN" w:bidi="zh-CN"/>
      </w:rPr>
    </w:lvl>
  </w:abstractNum>
  <w:abstractNum w:abstractNumId="903" w15:restartNumberingAfterBreak="0">
    <w:nsid w:val="76E34410"/>
    <w:multiLevelType w:val="hybridMultilevel"/>
    <w:tmpl w:val="DCA4FCD0"/>
    <w:lvl w:ilvl="0" w:tplc="7B6449FA">
      <w:start w:val="1"/>
      <w:numFmt w:val="lowerLetter"/>
      <w:lvlText w:val="%1）"/>
      <w:lvlJc w:val="left"/>
      <w:pPr>
        <w:ind w:left="838" w:hanging="318"/>
        <w:jc w:val="left"/>
      </w:pPr>
      <w:rPr>
        <w:rFonts w:ascii="宋体" w:eastAsia="宋体" w:hAnsi="宋体" w:cs="宋体" w:hint="default"/>
        <w:w w:val="100"/>
        <w:sz w:val="19"/>
        <w:szCs w:val="19"/>
        <w:lang w:val="zh-CN" w:eastAsia="zh-CN" w:bidi="zh-CN"/>
      </w:rPr>
    </w:lvl>
    <w:lvl w:ilvl="1" w:tplc="7D1E765E">
      <w:numFmt w:val="bullet"/>
      <w:lvlText w:val="•"/>
      <w:lvlJc w:val="left"/>
      <w:pPr>
        <w:ind w:left="1820" w:hanging="318"/>
      </w:pPr>
      <w:rPr>
        <w:rFonts w:hint="default"/>
        <w:lang w:val="zh-CN" w:eastAsia="zh-CN" w:bidi="zh-CN"/>
      </w:rPr>
    </w:lvl>
    <w:lvl w:ilvl="2" w:tplc="7A6AD05C">
      <w:numFmt w:val="bullet"/>
      <w:lvlText w:val="•"/>
      <w:lvlJc w:val="left"/>
      <w:pPr>
        <w:ind w:left="2801" w:hanging="318"/>
      </w:pPr>
      <w:rPr>
        <w:rFonts w:hint="default"/>
        <w:lang w:val="zh-CN" w:eastAsia="zh-CN" w:bidi="zh-CN"/>
      </w:rPr>
    </w:lvl>
    <w:lvl w:ilvl="3" w:tplc="169EF1AC">
      <w:numFmt w:val="bullet"/>
      <w:lvlText w:val="•"/>
      <w:lvlJc w:val="left"/>
      <w:pPr>
        <w:ind w:left="3781" w:hanging="318"/>
      </w:pPr>
      <w:rPr>
        <w:rFonts w:hint="default"/>
        <w:lang w:val="zh-CN" w:eastAsia="zh-CN" w:bidi="zh-CN"/>
      </w:rPr>
    </w:lvl>
    <w:lvl w:ilvl="4" w:tplc="D376D04A">
      <w:numFmt w:val="bullet"/>
      <w:lvlText w:val="•"/>
      <w:lvlJc w:val="left"/>
      <w:pPr>
        <w:ind w:left="4762" w:hanging="318"/>
      </w:pPr>
      <w:rPr>
        <w:rFonts w:hint="default"/>
        <w:lang w:val="zh-CN" w:eastAsia="zh-CN" w:bidi="zh-CN"/>
      </w:rPr>
    </w:lvl>
    <w:lvl w:ilvl="5" w:tplc="4B64AECE">
      <w:numFmt w:val="bullet"/>
      <w:lvlText w:val="•"/>
      <w:lvlJc w:val="left"/>
      <w:pPr>
        <w:ind w:left="5743" w:hanging="318"/>
      </w:pPr>
      <w:rPr>
        <w:rFonts w:hint="default"/>
        <w:lang w:val="zh-CN" w:eastAsia="zh-CN" w:bidi="zh-CN"/>
      </w:rPr>
    </w:lvl>
    <w:lvl w:ilvl="6" w:tplc="C502960E">
      <w:numFmt w:val="bullet"/>
      <w:lvlText w:val="•"/>
      <w:lvlJc w:val="left"/>
      <w:pPr>
        <w:ind w:left="6723" w:hanging="318"/>
      </w:pPr>
      <w:rPr>
        <w:rFonts w:hint="default"/>
        <w:lang w:val="zh-CN" w:eastAsia="zh-CN" w:bidi="zh-CN"/>
      </w:rPr>
    </w:lvl>
    <w:lvl w:ilvl="7" w:tplc="10D05626">
      <w:numFmt w:val="bullet"/>
      <w:lvlText w:val="•"/>
      <w:lvlJc w:val="left"/>
      <w:pPr>
        <w:ind w:left="7704" w:hanging="318"/>
      </w:pPr>
      <w:rPr>
        <w:rFonts w:hint="default"/>
        <w:lang w:val="zh-CN" w:eastAsia="zh-CN" w:bidi="zh-CN"/>
      </w:rPr>
    </w:lvl>
    <w:lvl w:ilvl="8" w:tplc="82160074">
      <w:numFmt w:val="bullet"/>
      <w:lvlText w:val="•"/>
      <w:lvlJc w:val="left"/>
      <w:pPr>
        <w:ind w:left="8685" w:hanging="318"/>
      </w:pPr>
      <w:rPr>
        <w:rFonts w:hint="default"/>
        <w:lang w:val="zh-CN" w:eastAsia="zh-CN" w:bidi="zh-CN"/>
      </w:rPr>
    </w:lvl>
  </w:abstractNum>
  <w:abstractNum w:abstractNumId="904" w15:restartNumberingAfterBreak="0">
    <w:nsid w:val="76E626CE"/>
    <w:multiLevelType w:val="hybridMultilevel"/>
    <w:tmpl w:val="D8747370"/>
    <w:lvl w:ilvl="0" w:tplc="34CA9B3C">
      <w:start w:val="5"/>
      <w:numFmt w:val="decimal"/>
      <w:lvlText w:val="%1"/>
      <w:lvlJc w:val="left"/>
      <w:pPr>
        <w:ind w:left="1369" w:hanging="529"/>
        <w:jc w:val="left"/>
      </w:pPr>
      <w:rPr>
        <w:rFonts w:hint="default"/>
        <w:lang w:val="zh-CN" w:eastAsia="zh-CN" w:bidi="zh-CN"/>
      </w:rPr>
    </w:lvl>
    <w:lvl w:ilvl="1" w:tplc="C25CBE6A">
      <w:start w:val="2"/>
      <w:numFmt w:val="decimal"/>
      <w:lvlText w:val="%1.%2"/>
      <w:lvlJc w:val="left"/>
      <w:pPr>
        <w:ind w:left="1369" w:hanging="529"/>
        <w:jc w:val="left"/>
      </w:pPr>
      <w:rPr>
        <w:rFonts w:hint="default"/>
        <w:lang w:val="zh-CN" w:eastAsia="zh-CN" w:bidi="zh-CN"/>
      </w:rPr>
    </w:lvl>
    <w:lvl w:ilvl="2" w:tplc="6F6612E2">
      <w:start w:val="4"/>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CF3CC7D6">
      <w:numFmt w:val="bullet"/>
      <w:lvlText w:val="•"/>
      <w:lvlJc w:val="left"/>
      <w:pPr>
        <w:ind w:left="4145" w:hanging="529"/>
      </w:pPr>
      <w:rPr>
        <w:rFonts w:hint="default"/>
        <w:lang w:val="zh-CN" w:eastAsia="zh-CN" w:bidi="zh-CN"/>
      </w:rPr>
    </w:lvl>
    <w:lvl w:ilvl="4" w:tplc="D2F0E262">
      <w:numFmt w:val="bullet"/>
      <w:lvlText w:val="•"/>
      <w:lvlJc w:val="left"/>
      <w:pPr>
        <w:ind w:left="5074" w:hanging="529"/>
      </w:pPr>
      <w:rPr>
        <w:rFonts w:hint="default"/>
        <w:lang w:val="zh-CN" w:eastAsia="zh-CN" w:bidi="zh-CN"/>
      </w:rPr>
    </w:lvl>
    <w:lvl w:ilvl="5" w:tplc="7D5EFF70">
      <w:numFmt w:val="bullet"/>
      <w:lvlText w:val="•"/>
      <w:lvlJc w:val="left"/>
      <w:pPr>
        <w:ind w:left="6003" w:hanging="529"/>
      </w:pPr>
      <w:rPr>
        <w:rFonts w:hint="default"/>
        <w:lang w:val="zh-CN" w:eastAsia="zh-CN" w:bidi="zh-CN"/>
      </w:rPr>
    </w:lvl>
    <w:lvl w:ilvl="6" w:tplc="196EF69E">
      <w:numFmt w:val="bullet"/>
      <w:lvlText w:val="•"/>
      <w:lvlJc w:val="left"/>
      <w:pPr>
        <w:ind w:left="6931" w:hanging="529"/>
      </w:pPr>
      <w:rPr>
        <w:rFonts w:hint="default"/>
        <w:lang w:val="zh-CN" w:eastAsia="zh-CN" w:bidi="zh-CN"/>
      </w:rPr>
    </w:lvl>
    <w:lvl w:ilvl="7" w:tplc="9030144E">
      <w:numFmt w:val="bullet"/>
      <w:lvlText w:val="•"/>
      <w:lvlJc w:val="left"/>
      <w:pPr>
        <w:ind w:left="7860" w:hanging="529"/>
      </w:pPr>
      <w:rPr>
        <w:rFonts w:hint="default"/>
        <w:lang w:val="zh-CN" w:eastAsia="zh-CN" w:bidi="zh-CN"/>
      </w:rPr>
    </w:lvl>
    <w:lvl w:ilvl="8" w:tplc="4B2E791A">
      <w:numFmt w:val="bullet"/>
      <w:lvlText w:val="•"/>
      <w:lvlJc w:val="left"/>
      <w:pPr>
        <w:ind w:left="8789" w:hanging="529"/>
      </w:pPr>
      <w:rPr>
        <w:rFonts w:hint="default"/>
        <w:lang w:val="zh-CN" w:eastAsia="zh-CN" w:bidi="zh-CN"/>
      </w:rPr>
    </w:lvl>
  </w:abstractNum>
  <w:abstractNum w:abstractNumId="905" w15:restartNumberingAfterBreak="0">
    <w:nsid w:val="77195211"/>
    <w:multiLevelType w:val="hybridMultilevel"/>
    <w:tmpl w:val="3FD8A486"/>
    <w:lvl w:ilvl="0" w:tplc="2F9AAD08">
      <w:start w:val="2"/>
      <w:numFmt w:val="decimal"/>
      <w:lvlText w:val="%1"/>
      <w:lvlJc w:val="left"/>
      <w:pPr>
        <w:ind w:left="1369" w:hanging="529"/>
        <w:jc w:val="left"/>
      </w:pPr>
      <w:rPr>
        <w:rFonts w:hint="default"/>
        <w:lang w:val="zh-CN" w:eastAsia="zh-CN" w:bidi="zh-CN"/>
      </w:rPr>
    </w:lvl>
    <w:lvl w:ilvl="1" w:tplc="999C8DBE">
      <w:numFmt w:val="decimal"/>
      <w:lvlText w:val="%1.%2"/>
      <w:lvlJc w:val="left"/>
      <w:pPr>
        <w:ind w:left="1369" w:hanging="529"/>
        <w:jc w:val="left"/>
      </w:pPr>
      <w:rPr>
        <w:rFonts w:hint="default"/>
        <w:lang w:val="zh-CN" w:eastAsia="zh-CN" w:bidi="zh-CN"/>
      </w:rPr>
    </w:lvl>
    <w:lvl w:ilvl="2" w:tplc="4DA88062">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B35A0FEE">
      <w:numFmt w:val="bullet"/>
      <w:lvlText w:val="•"/>
      <w:lvlJc w:val="left"/>
      <w:pPr>
        <w:ind w:left="4145" w:hanging="529"/>
      </w:pPr>
      <w:rPr>
        <w:rFonts w:hint="default"/>
        <w:lang w:val="zh-CN" w:eastAsia="zh-CN" w:bidi="zh-CN"/>
      </w:rPr>
    </w:lvl>
    <w:lvl w:ilvl="4" w:tplc="A0DE0630">
      <w:numFmt w:val="bullet"/>
      <w:lvlText w:val="•"/>
      <w:lvlJc w:val="left"/>
      <w:pPr>
        <w:ind w:left="5074" w:hanging="529"/>
      </w:pPr>
      <w:rPr>
        <w:rFonts w:hint="default"/>
        <w:lang w:val="zh-CN" w:eastAsia="zh-CN" w:bidi="zh-CN"/>
      </w:rPr>
    </w:lvl>
    <w:lvl w:ilvl="5" w:tplc="A698824A">
      <w:numFmt w:val="bullet"/>
      <w:lvlText w:val="•"/>
      <w:lvlJc w:val="left"/>
      <w:pPr>
        <w:ind w:left="6003" w:hanging="529"/>
      </w:pPr>
      <w:rPr>
        <w:rFonts w:hint="default"/>
        <w:lang w:val="zh-CN" w:eastAsia="zh-CN" w:bidi="zh-CN"/>
      </w:rPr>
    </w:lvl>
    <w:lvl w:ilvl="6" w:tplc="D5E2BE10">
      <w:numFmt w:val="bullet"/>
      <w:lvlText w:val="•"/>
      <w:lvlJc w:val="left"/>
      <w:pPr>
        <w:ind w:left="6931" w:hanging="529"/>
      </w:pPr>
      <w:rPr>
        <w:rFonts w:hint="default"/>
        <w:lang w:val="zh-CN" w:eastAsia="zh-CN" w:bidi="zh-CN"/>
      </w:rPr>
    </w:lvl>
    <w:lvl w:ilvl="7" w:tplc="F0520D40">
      <w:numFmt w:val="bullet"/>
      <w:lvlText w:val="•"/>
      <w:lvlJc w:val="left"/>
      <w:pPr>
        <w:ind w:left="7860" w:hanging="529"/>
      </w:pPr>
      <w:rPr>
        <w:rFonts w:hint="default"/>
        <w:lang w:val="zh-CN" w:eastAsia="zh-CN" w:bidi="zh-CN"/>
      </w:rPr>
    </w:lvl>
    <w:lvl w:ilvl="8" w:tplc="CD34ED1A">
      <w:numFmt w:val="bullet"/>
      <w:lvlText w:val="•"/>
      <w:lvlJc w:val="left"/>
      <w:pPr>
        <w:ind w:left="8789" w:hanging="529"/>
      </w:pPr>
      <w:rPr>
        <w:rFonts w:hint="default"/>
        <w:lang w:val="zh-CN" w:eastAsia="zh-CN" w:bidi="zh-CN"/>
      </w:rPr>
    </w:lvl>
  </w:abstractNum>
  <w:abstractNum w:abstractNumId="906" w15:restartNumberingAfterBreak="0">
    <w:nsid w:val="77320620"/>
    <w:multiLevelType w:val="hybridMultilevel"/>
    <w:tmpl w:val="4D3677BC"/>
    <w:lvl w:ilvl="0" w:tplc="F8D0DC60">
      <w:start w:val="5"/>
      <w:numFmt w:val="decimal"/>
      <w:lvlText w:val="%1"/>
      <w:lvlJc w:val="left"/>
      <w:pPr>
        <w:ind w:left="418" w:hanging="950"/>
        <w:jc w:val="left"/>
      </w:pPr>
      <w:rPr>
        <w:rFonts w:hint="default"/>
        <w:lang w:val="zh-CN" w:eastAsia="zh-CN" w:bidi="zh-CN"/>
      </w:rPr>
    </w:lvl>
    <w:lvl w:ilvl="1" w:tplc="E67A99DA">
      <w:start w:val="4"/>
      <w:numFmt w:val="decimal"/>
      <w:lvlText w:val="%1.%2"/>
      <w:lvlJc w:val="left"/>
      <w:pPr>
        <w:ind w:left="418" w:hanging="950"/>
        <w:jc w:val="left"/>
      </w:pPr>
      <w:rPr>
        <w:rFonts w:hint="default"/>
        <w:lang w:val="zh-CN" w:eastAsia="zh-CN" w:bidi="zh-CN"/>
      </w:rPr>
    </w:lvl>
    <w:lvl w:ilvl="2" w:tplc="EA22B542">
      <w:start w:val="2"/>
      <w:numFmt w:val="decimal"/>
      <w:lvlText w:val="%1.%2.%3"/>
      <w:lvlJc w:val="left"/>
      <w:pPr>
        <w:ind w:left="418" w:hanging="950"/>
        <w:jc w:val="left"/>
      </w:pPr>
      <w:rPr>
        <w:rFonts w:hint="default"/>
        <w:lang w:val="zh-CN" w:eastAsia="zh-CN" w:bidi="zh-CN"/>
      </w:rPr>
    </w:lvl>
    <w:lvl w:ilvl="3" w:tplc="4F1E96D4">
      <w:start w:val="2"/>
      <w:numFmt w:val="decimal"/>
      <w:lvlText w:val="%1.%2.%3.%4"/>
      <w:lvlJc w:val="left"/>
      <w:pPr>
        <w:ind w:left="418" w:hanging="950"/>
        <w:jc w:val="left"/>
      </w:pPr>
      <w:rPr>
        <w:rFonts w:hint="default"/>
        <w:lang w:val="zh-CN" w:eastAsia="zh-CN" w:bidi="zh-CN"/>
      </w:rPr>
    </w:lvl>
    <w:lvl w:ilvl="4" w:tplc="E0C0BEDC">
      <w:start w:val="3"/>
      <w:numFmt w:val="decimal"/>
      <w:lvlText w:val="%1.%2.%3.%4.%5"/>
      <w:lvlJc w:val="left"/>
      <w:pPr>
        <w:ind w:left="418" w:hanging="950"/>
        <w:jc w:val="left"/>
      </w:pPr>
      <w:rPr>
        <w:rFonts w:ascii="宋体" w:eastAsia="宋体" w:hAnsi="宋体" w:cs="宋体" w:hint="default"/>
        <w:spacing w:val="-3"/>
        <w:w w:val="100"/>
        <w:sz w:val="19"/>
        <w:szCs w:val="19"/>
        <w:lang w:val="zh-CN" w:eastAsia="zh-CN" w:bidi="zh-CN"/>
      </w:rPr>
    </w:lvl>
    <w:lvl w:ilvl="5" w:tplc="71FC579C">
      <w:numFmt w:val="bullet"/>
      <w:lvlText w:val="•"/>
      <w:lvlJc w:val="left"/>
      <w:pPr>
        <w:ind w:left="5533" w:hanging="950"/>
      </w:pPr>
      <w:rPr>
        <w:rFonts w:hint="default"/>
        <w:lang w:val="zh-CN" w:eastAsia="zh-CN" w:bidi="zh-CN"/>
      </w:rPr>
    </w:lvl>
    <w:lvl w:ilvl="6" w:tplc="5234F2CA">
      <w:numFmt w:val="bullet"/>
      <w:lvlText w:val="•"/>
      <w:lvlJc w:val="left"/>
      <w:pPr>
        <w:ind w:left="6555" w:hanging="950"/>
      </w:pPr>
      <w:rPr>
        <w:rFonts w:hint="default"/>
        <w:lang w:val="zh-CN" w:eastAsia="zh-CN" w:bidi="zh-CN"/>
      </w:rPr>
    </w:lvl>
    <w:lvl w:ilvl="7" w:tplc="CDE4206E">
      <w:numFmt w:val="bullet"/>
      <w:lvlText w:val="•"/>
      <w:lvlJc w:val="left"/>
      <w:pPr>
        <w:ind w:left="7578" w:hanging="950"/>
      </w:pPr>
      <w:rPr>
        <w:rFonts w:hint="default"/>
        <w:lang w:val="zh-CN" w:eastAsia="zh-CN" w:bidi="zh-CN"/>
      </w:rPr>
    </w:lvl>
    <w:lvl w:ilvl="8" w:tplc="9168DD14">
      <w:numFmt w:val="bullet"/>
      <w:lvlText w:val="•"/>
      <w:lvlJc w:val="left"/>
      <w:pPr>
        <w:ind w:left="8601" w:hanging="950"/>
      </w:pPr>
      <w:rPr>
        <w:rFonts w:hint="default"/>
        <w:lang w:val="zh-CN" w:eastAsia="zh-CN" w:bidi="zh-CN"/>
      </w:rPr>
    </w:lvl>
  </w:abstractNum>
  <w:abstractNum w:abstractNumId="907" w15:restartNumberingAfterBreak="0">
    <w:nsid w:val="77375971"/>
    <w:multiLevelType w:val="hybridMultilevel"/>
    <w:tmpl w:val="35289A2E"/>
    <w:lvl w:ilvl="0" w:tplc="5C4ADEDE">
      <w:start w:val="5"/>
      <w:numFmt w:val="decimal"/>
      <w:lvlText w:val="%1"/>
      <w:lvlJc w:val="left"/>
      <w:pPr>
        <w:ind w:left="1369" w:hanging="529"/>
        <w:jc w:val="left"/>
      </w:pPr>
      <w:rPr>
        <w:rFonts w:hint="default"/>
        <w:lang w:val="zh-CN" w:eastAsia="zh-CN" w:bidi="zh-CN"/>
      </w:rPr>
    </w:lvl>
    <w:lvl w:ilvl="1" w:tplc="7D98A388">
      <w:start w:val="2"/>
      <w:numFmt w:val="decimal"/>
      <w:lvlText w:val="%1.%2"/>
      <w:lvlJc w:val="left"/>
      <w:pPr>
        <w:ind w:left="1369" w:hanging="529"/>
        <w:jc w:val="left"/>
      </w:pPr>
      <w:rPr>
        <w:rFonts w:hint="default"/>
        <w:lang w:val="zh-CN" w:eastAsia="zh-CN" w:bidi="zh-CN"/>
      </w:rPr>
    </w:lvl>
    <w:lvl w:ilvl="2" w:tplc="2F0070E8">
      <w:start w:val="7"/>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E99C9B3C">
      <w:numFmt w:val="bullet"/>
      <w:lvlText w:val="•"/>
      <w:lvlJc w:val="left"/>
      <w:pPr>
        <w:ind w:left="4145" w:hanging="529"/>
      </w:pPr>
      <w:rPr>
        <w:rFonts w:hint="default"/>
        <w:lang w:val="zh-CN" w:eastAsia="zh-CN" w:bidi="zh-CN"/>
      </w:rPr>
    </w:lvl>
    <w:lvl w:ilvl="4" w:tplc="B1B63292">
      <w:numFmt w:val="bullet"/>
      <w:lvlText w:val="•"/>
      <w:lvlJc w:val="left"/>
      <w:pPr>
        <w:ind w:left="5074" w:hanging="529"/>
      </w:pPr>
      <w:rPr>
        <w:rFonts w:hint="default"/>
        <w:lang w:val="zh-CN" w:eastAsia="zh-CN" w:bidi="zh-CN"/>
      </w:rPr>
    </w:lvl>
    <w:lvl w:ilvl="5" w:tplc="5A608DF8">
      <w:numFmt w:val="bullet"/>
      <w:lvlText w:val="•"/>
      <w:lvlJc w:val="left"/>
      <w:pPr>
        <w:ind w:left="6003" w:hanging="529"/>
      </w:pPr>
      <w:rPr>
        <w:rFonts w:hint="default"/>
        <w:lang w:val="zh-CN" w:eastAsia="zh-CN" w:bidi="zh-CN"/>
      </w:rPr>
    </w:lvl>
    <w:lvl w:ilvl="6" w:tplc="F0B63ADA">
      <w:numFmt w:val="bullet"/>
      <w:lvlText w:val="•"/>
      <w:lvlJc w:val="left"/>
      <w:pPr>
        <w:ind w:left="6931" w:hanging="529"/>
      </w:pPr>
      <w:rPr>
        <w:rFonts w:hint="default"/>
        <w:lang w:val="zh-CN" w:eastAsia="zh-CN" w:bidi="zh-CN"/>
      </w:rPr>
    </w:lvl>
    <w:lvl w:ilvl="7" w:tplc="1DDA9344">
      <w:numFmt w:val="bullet"/>
      <w:lvlText w:val="•"/>
      <w:lvlJc w:val="left"/>
      <w:pPr>
        <w:ind w:left="7860" w:hanging="529"/>
      </w:pPr>
      <w:rPr>
        <w:rFonts w:hint="default"/>
        <w:lang w:val="zh-CN" w:eastAsia="zh-CN" w:bidi="zh-CN"/>
      </w:rPr>
    </w:lvl>
    <w:lvl w:ilvl="8" w:tplc="031A52BA">
      <w:numFmt w:val="bullet"/>
      <w:lvlText w:val="•"/>
      <w:lvlJc w:val="left"/>
      <w:pPr>
        <w:ind w:left="8789" w:hanging="529"/>
      </w:pPr>
      <w:rPr>
        <w:rFonts w:hint="default"/>
        <w:lang w:val="zh-CN" w:eastAsia="zh-CN" w:bidi="zh-CN"/>
      </w:rPr>
    </w:lvl>
  </w:abstractNum>
  <w:abstractNum w:abstractNumId="908" w15:restartNumberingAfterBreak="0">
    <w:nsid w:val="778B5EDA"/>
    <w:multiLevelType w:val="hybridMultilevel"/>
    <w:tmpl w:val="3D069D6C"/>
    <w:lvl w:ilvl="0" w:tplc="E31E7378">
      <w:start w:val="9"/>
      <w:numFmt w:val="decimal"/>
      <w:lvlText w:val="%1"/>
      <w:lvlJc w:val="left"/>
      <w:pPr>
        <w:ind w:left="1370" w:hanging="531"/>
        <w:jc w:val="left"/>
      </w:pPr>
      <w:rPr>
        <w:rFonts w:hint="default"/>
        <w:lang w:val="zh-CN" w:eastAsia="zh-CN" w:bidi="zh-CN"/>
      </w:rPr>
    </w:lvl>
    <w:lvl w:ilvl="1" w:tplc="24F8A134">
      <w:start w:val="3"/>
      <w:numFmt w:val="decimal"/>
      <w:lvlText w:val="%1.%2"/>
      <w:lvlJc w:val="left"/>
      <w:pPr>
        <w:ind w:left="1370" w:hanging="531"/>
        <w:jc w:val="left"/>
      </w:pPr>
      <w:rPr>
        <w:rFonts w:hint="default"/>
        <w:lang w:val="zh-CN" w:eastAsia="zh-CN" w:bidi="zh-CN"/>
      </w:rPr>
    </w:lvl>
    <w:lvl w:ilvl="2" w:tplc="C1DE1E26">
      <w:start w:val="3"/>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EBFCCCC6">
      <w:numFmt w:val="bullet"/>
      <w:lvlText w:val="•"/>
      <w:lvlJc w:val="left"/>
      <w:pPr>
        <w:ind w:left="4159" w:hanging="531"/>
      </w:pPr>
      <w:rPr>
        <w:rFonts w:hint="default"/>
        <w:lang w:val="zh-CN" w:eastAsia="zh-CN" w:bidi="zh-CN"/>
      </w:rPr>
    </w:lvl>
    <w:lvl w:ilvl="4" w:tplc="44803BCC">
      <w:numFmt w:val="bullet"/>
      <w:lvlText w:val="•"/>
      <w:lvlJc w:val="left"/>
      <w:pPr>
        <w:ind w:left="5086" w:hanging="531"/>
      </w:pPr>
      <w:rPr>
        <w:rFonts w:hint="default"/>
        <w:lang w:val="zh-CN" w:eastAsia="zh-CN" w:bidi="zh-CN"/>
      </w:rPr>
    </w:lvl>
    <w:lvl w:ilvl="5" w:tplc="77E8690E">
      <w:numFmt w:val="bullet"/>
      <w:lvlText w:val="•"/>
      <w:lvlJc w:val="left"/>
      <w:pPr>
        <w:ind w:left="6013" w:hanging="531"/>
      </w:pPr>
      <w:rPr>
        <w:rFonts w:hint="default"/>
        <w:lang w:val="zh-CN" w:eastAsia="zh-CN" w:bidi="zh-CN"/>
      </w:rPr>
    </w:lvl>
    <w:lvl w:ilvl="6" w:tplc="AC6EA054">
      <w:numFmt w:val="bullet"/>
      <w:lvlText w:val="•"/>
      <w:lvlJc w:val="left"/>
      <w:pPr>
        <w:ind w:left="6939" w:hanging="531"/>
      </w:pPr>
      <w:rPr>
        <w:rFonts w:hint="default"/>
        <w:lang w:val="zh-CN" w:eastAsia="zh-CN" w:bidi="zh-CN"/>
      </w:rPr>
    </w:lvl>
    <w:lvl w:ilvl="7" w:tplc="6784BACE">
      <w:numFmt w:val="bullet"/>
      <w:lvlText w:val="•"/>
      <w:lvlJc w:val="left"/>
      <w:pPr>
        <w:ind w:left="7866" w:hanging="531"/>
      </w:pPr>
      <w:rPr>
        <w:rFonts w:hint="default"/>
        <w:lang w:val="zh-CN" w:eastAsia="zh-CN" w:bidi="zh-CN"/>
      </w:rPr>
    </w:lvl>
    <w:lvl w:ilvl="8" w:tplc="EB525C48">
      <w:numFmt w:val="bullet"/>
      <w:lvlText w:val="•"/>
      <w:lvlJc w:val="left"/>
      <w:pPr>
        <w:ind w:left="8793" w:hanging="531"/>
      </w:pPr>
      <w:rPr>
        <w:rFonts w:hint="default"/>
        <w:lang w:val="zh-CN" w:eastAsia="zh-CN" w:bidi="zh-CN"/>
      </w:rPr>
    </w:lvl>
  </w:abstractNum>
  <w:abstractNum w:abstractNumId="909" w15:restartNumberingAfterBreak="0">
    <w:nsid w:val="778E4332"/>
    <w:multiLevelType w:val="hybridMultilevel"/>
    <w:tmpl w:val="503EDF74"/>
    <w:lvl w:ilvl="0" w:tplc="DFDEC2E4">
      <w:start w:val="10"/>
      <w:numFmt w:val="decimal"/>
      <w:lvlText w:val="%1"/>
      <w:lvlJc w:val="left"/>
      <w:pPr>
        <w:ind w:left="418" w:hanging="637"/>
        <w:jc w:val="left"/>
      </w:pPr>
      <w:rPr>
        <w:rFonts w:hint="default"/>
        <w:lang w:val="zh-CN" w:eastAsia="zh-CN" w:bidi="zh-CN"/>
      </w:rPr>
    </w:lvl>
    <w:lvl w:ilvl="1" w:tplc="344C9448">
      <w:start w:val="1"/>
      <w:numFmt w:val="decimal"/>
      <w:lvlText w:val="%1.%2"/>
      <w:lvlJc w:val="left"/>
      <w:pPr>
        <w:ind w:left="418" w:hanging="637"/>
        <w:jc w:val="left"/>
      </w:pPr>
      <w:rPr>
        <w:rFonts w:hint="default"/>
        <w:lang w:val="zh-CN" w:eastAsia="zh-CN" w:bidi="zh-CN"/>
      </w:rPr>
    </w:lvl>
    <w:lvl w:ilvl="2" w:tplc="F98AEA20">
      <w:start w:val="8"/>
      <w:numFmt w:val="decimal"/>
      <w:lvlText w:val="%1.%2.%3"/>
      <w:lvlJc w:val="left"/>
      <w:pPr>
        <w:ind w:left="418" w:hanging="637"/>
        <w:jc w:val="left"/>
      </w:pPr>
      <w:rPr>
        <w:rFonts w:hint="default"/>
        <w:b/>
        <w:bCs/>
        <w:spacing w:val="-3"/>
        <w:w w:val="99"/>
        <w:lang w:val="zh-CN" w:eastAsia="zh-CN" w:bidi="zh-CN"/>
      </w:rPr>
    </w:lvl>
    <w:lvl w:ilvl="3" w:tplc="5574CCEA">
      <w:numFmt w:val="bullet"/>
      <w:lvlText w:val="•"/>
      <w:lvlJc w:val="left"/>
      <w:pPr>
        <w:ind w:left="3487" w:hanging="637"/>
      </w:pPr>
      <w:rPr>
        <w:rFonts w:hint="default"/>
        <w:lang w:val="zh-CN" w:eastAsia="zh-CN" w:bidi="zh-CN"/>
      </w:rPr>
    </w:lvl>
    <w:lvl w:ilvl="4" w:tplc="DD605168">
      <w:numFmt w:val="bullet"/>
      <w:lvlText w:val="•"/>
      <w:lvlJc w:val="left"/>
      <w:pPr>
        <w:ind w:left="4510" w:hanging="637"/>
      </w:pPr>
      <w:rPr>
        <w:rFonts w:hint="default"/>
        <w:lang w:val="zh-CN" w:eastAsia="zh-CN" w:bidi="zh-CN"/>
      </w:rPr>
    </w:lvl>
    <w:lvl w:ilvl="5" w:tplc="7E44743C">
      <w:numFmt w:val="bullet"/>
      <w:lvlText w:val="•"/>
      <w:lvlJc w:val="left"/>
      <w:pPr>
        <w:ind w:left="5533" w:hanging="637"/>
      </w:pPr>
      <w:rPr>
        <w:rFonts w:hint="default"/>
        <w:lang w:val="zh-CN" w:eastAsia="zh-CN" w:bidi="zh-CN"/>
      </w:rPr>
    </w:lvl>
    <w:lvl w:ilvl="6" w:tplc="8CF2CA90">
      <w:numFmt w:val="bullet"/>
      <w:lvlText w:val="•"/>
      <w:lvlJc w:val="left"/>
      <w:pPr>
        <w:ind w:left="6555" w:hanging="637"/>
      </w:pPr>
      <w:rPr>
        <w:rFonts w:hint="default"/>
        <w:lang w:val="zh-CN" w:eastAsia="zh-CN" w:bidi="zh-CN"/>
      </w:rPr>
    </w:lvl>
    <w:lvl w:ilvl="7" w:tplc="9E2A499E">
      <w:numFmt w:val="bullet"/>
      <w:lvlText w:val="•"/>
      <w:lvlJc w:val="left"/>
      <w:pPr>
        <w:ind w:left="7578" w:hanging="637"/>
      </w:pPr>
      <w:rPr>
        <w:rFonts w:hint="default"/>
        <w:lang w:val="zh-CN" w:eastAsia="zh-CN" w:bidi="zh-CN"/>
      </w:rPr>
    </w:lvl>
    <w:lvl w:ilvl="8" w:tplc="9B2EB6E2">
      <w:numFmt w:val="bullet"/>
      <w:lvlText w:val="•"/>
      <w:lvlJc w:val="left"/>
      <w:pPr>
        <w:ind w:left="8601" w:hanging="637"/>
      </w:pPr>
      <w:rPr>
        <w:rFonts w:hint="default"/>
        <w:lang w:val="zh-CN" w:eastAsia="zh-CN" w:bidi="zh-CN"/>
      </w:rPr>
    </w:lvl>
  </w:abstractNum>
  <w:abstractNum w:abstractNumId="910" w15:restartNumberingAfterBreak="0">
    <w:nsid w:val="77A30A93"/>
    <w:multiLevelType w:val="hybridMultilevel"/>
    <w:tmpl w:val="D9E82F02"/>
    <w:lvl w:ilvl="0" w:tplc="B01495C4">
      <w:start w:val="1"/>
      <w:numFmt w:val="decimal"/>
      <w:lvlText w:val="（%1）"/>
      <w:lvlJc w:val="left"/>
      <w:pPr>
        <w:ind w:left="418" w:hanging="527"/>
        <w:jc w:val="left"/>
      </w:pPr>
      <w:rPr>
        <w:rFonts w:ascii="宋体" w:eastAsia="宋体" w:hAnsi="宋体" w:cs="宋体" w:hint="default"/>
        <w:spacing w:val="-22"/>
        <w:w w:val="100"/>
        <w:sz w:val="19"/>
        <w:szCs w:val="19"/>
        <w:lang w:val="zh-CN" w:eastAsia="zh-CN" w:bidi="zh-CN"/>
      </w:rPr>
    </w:lvl>
    <w:lvl w:ilvl="1" w:tplc="1570D5BA">
      <w:numFmt w:val="bullet"/>
      <w:lvlText w:val="•"/>
      <w:lvlJc w:val="left"/>
      <w:pPr>
        <w:ind w:left="1442" w:hanging="527"/>
      </w:pPr>
      <w:rPr>
        <w:rFonts w:hint="default"/>
        <w:lang w:val="zh-CN" w:eastAsia="zh-CN" w:bidi="zh-CN"/>
      </w:rPr>
    </w:lvl>
    <w:lvl w:ilvl="2" w:tplc="D312E6E8">
      <w:numFmt w:val="bullet"/>
      <w:lvlText w:val="•"/>
      <w:lvlJc w:val="left"/>
      <w:pPr>
        <w:ind w:left="2465" w:hanging="527"/>
      </w:pPr>
      <w:rPr>
        <w:rFonts w:hint="default"/>
        <w:lang w:val="zh-CN" w:eastAsia="zh-CN" w:bidi="zh-CN"/>
      </w:rPr>
    </w:lvl>
    <w:lvl w:ilvl="3" w:tplc="EC5E7B02">
      <w:numFmt w:val="bullet"/>
      <w:lvlText w:val="•"/>
      <w:lvlJc w:val="left"/>
      <w:pPr>
        <w:ind w:left="3487" w:hanging="527"/>
      </w:pPr>
      <w:rPr>
        <w:rFonts w:hint="default"/>
        <w:lang w:val="zh-CN" w:eastAsia="zh-CN" w:bidi="zh-CN"/>
      </w:rPr>
    </w:lvl>
    <w:lvl w:ilvl="4" w:tplc="747AECBA">
      <w:numFmt w:val="bullet"/>
      <w:lvlText w:val="•"/>
      <w:lvlJc w:val="left"/>
      <w:pPr>
        <w:ind w:left="4510" w:hanging="527"/>
      </w:pPr>
      <w:rPr>
        <w:rFonts w:hint="default"/>
        <w:lang w:val="zh-CN" w:eastAsia="zh-CN" w:bidi="zh-CN"/>
      </w:rPr>
    </w:lvl>
    <w:lvl w:ilvl="5" w:tplc="1C7E4C90">
      <w:numFmt w:val="bullet"/>
      <w:lvlText w:val="•"/>
      <w:lvlJc w:val="left"/>
      <w:pPr>
        <w:ind w:left="5533" w:hanging="527"/>
      </w:pPr>
      <w:rPr>
        <w:rFonts w:hint="default"/>
        <w:lang w:val="zh-CN" w:eastAsia="zh-CN" w:bidi="zh-CN"/>
      </w:rPr>
    </w:lvl>
    <w:lvl w:ilvl="6" w:tplc="A498C3BC">
      <w:numFmt w:val="bullet"/>
      <w:lvlText w:val="•"/>
      <w:lvlJc w:val="left"/>
      <w:pPr>
        <w:ind w:left="6555" w:hanging="527"/>
      </w:pPr>
      <w:rPr>
        <w:rFonts w:hint="default"/>
        <w:lang w:val="zh-CN" w:eastAsia="zh-CN" w:bidi="zh-CN"/>
      </w:rPr>
    </w:lvl>
    <w:lvl w:ilvl="7" w:tplc="B882F528">
      <w:numFmt w:val="bullet"/>
      <w:lvlText w:val="•"/>
      <w:lvlJc w:val="left"/>
      <w:pPr>
        <w:ind w:left="7578" w:hanging="527"/>
      </w:pPr>
      <w:rPr>
        <w:rFonts w:hint="default"/>
        <w:lang w:val="zh-CN" w:eastAsia="zh-CN" w:bidi="zh-CN"/>
      </w:rPr>
    </w:lvl>
    <w:lvl w:ilvl="8" w:tplc="9E9A14DC">
      <w:numFmt w:val="bullet"/>
      <w:lvlText w:val="•"/>
      <w:lvlJc w:val="left"/>
      <w:pPr>
        <w:ind w:left="8601" w:hanging="527"/>
      </w:pPr>
      <w:rPr>
        <w:rFonts w:hint="default"/>
        <w:lang w:val="zh-CN" w:eastAsia="zh-CN" w:bidi="zh-CN"/>
      </w:rPr>
    </w:lvl>
  </w:abstractNum>
  <w:abstractNum w:abstractNumId="911" w15:restartNumberingAfterBreak="0">
    <w:nsid w:val="77A410E1"/>
    <w:multiLevelType w:val="hybridMultilevel"/>
    <w:tmpl w:val="57B40644"/>
    <w:lvl w:ilvl="0" w:tplc="B8040F8C">
      <w:start w:val="2"/>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C772E782">
      <w:numFmt w:val="bullet"/>
      <w:lvlText w:val="•"/>
      <w:lvlJc w:val="left"/>
      <w:pPr>
        <w:ind w:left="2018" w:hanging="213"/>
      </w:pPr>
      <w:rPr>
        <w:rFonts w:hint="default"/>
        <w:lang w:val="zh-CN" w:eastAsia="zh-CN" w:bidi="zh-CN"/>
      </w:rPr>
    </w:lvl>
    <w:lvl w:ilvl="2" w:tplc="E4D435CC">
      <w:numFmt w:val="bullet"/>
      <w:lvlText w:val="•"/>
      <w:lvlJc w:val="left"/>
      <w:pPr>
        <w:ind w:left="2977" w:hanging="213"/>
      </w:pPr>
      <w:rPr>
        <w:rFonts w:hint="default"/>
        <w:lang w:val="zh-CN" w:eastAsia="zh-CN" w:bidi="zh-CN"/>
      </w:rPr>
    </w:lvl>
    <w:lvl w:ilvl="3" w:tplc="2B140200">
      <w:numFmt w:val="bullet"/>
      <w:lvlText w:val="•"/>
      <w:lvlJc w:val="left"/>
      <w:pPr>
        <w:ind w:left="3935" w:hanging="213"/>
      </w:pPr>
      <w:rPr>
        <w:rFonts w:hint="default"/>
        <w:lang w:val="zh-CN" w:eastAsia="zh-CN" w:bidi="zh-CN"/>
      </w:rPr>
    </w:lvl>
    <w:lvl w:ilvl="4" w:tplc="0E86AEA0">
      <w:numFmt w:val="bullet"/>
      <w:lvlText w:val="•"/>
      <w:lvlJc w:val="left"/>
      <w:pPr>
        <w:ind w:left="4894" w:hanging="213"/>
      </w:pPr>
      <w:rPr>
        <w:rFonts w:hint="default"/>
        <w:lang w:val="zh-CN" w:eastAsia="zh-CN" w:bidi="zh-CN"/>
      </w:rPr>
    </w:lvl>
    <w:lvl w:ilvl="5" w:tplc="DFE288A4">
      <w:numFmt w:val="bullet"/>
      <w:lvlText w:val="•"/>
      <w:lvlJc w:val="left"/>
      <w:pPr>
        <w:ind w:left="5853" w:hanging="213"/>
      </w:pPr>
      <w:rPr>
        <w:rFonts w:hint="default"/>
        <w:lang w:val="zh-CN" w:eastAsia="zh-CN" w:bidi="zh-CN"/>
      </w:rPr>
    </w:lvl>
    <w:lvl w:ilvl="6" w:tplc="656E92CC">
      <w:numFmt w:val="bullet"/>
      <w:lvlText w:val="•"/>
      <w:lvlJc w:val="left"/>
      <w:pPr>
        <w:ind w:left="6811" w:hanging="213"/>
      </w:pPr>
      <w:rPr>
        <w:rFonts w:hint="default"/>
        <w:lang w:val="zh-CN" w:eastAsia="zh-CN" w:bidi="zh-CN"/>
      </w:rPr>
    </w:lvl>
    <w:lvl w:ilvl="7" w:tplc="227446BA">
      <w:numFmt w:val="bullet"/>
      <w:lvlText w:val="•"/>
      <w:lvlJc w:val="left"/>
      <w:pPr>
        <w:ind w:left="7770" w:hanging="213"/>
      </w:pPr>
      <w:rPr>
        <w:rFonts w:hint="default"/>
        <w:lang w:val="zh-CN" w:eastAsia="zh-CN" w:bidi="zh-CN"/>
      </w:rPr>
    </w:lvl>
    <w:lvl w:ilvl="8" w:tplc="E4AAEEB0">
      <w:numFmt w:val="bullet"/>
      <w:lvlText w:val="•"/>
      <w:lvlJc w:val="left"/>
      <w:pPr>
        <w:ind w:left="8729" w:hanging="213"/>
      </w:pPr>
      <w:rPr>
        <w:rFonts w:hint="default"/>
        <w:lang w:val="zh-CN" w:eastAsia="zh-CN" w:bidi="zh-CN"/>
      </w:rPr>
    </w:lvl>
  </w:abstractNum>
  <w:abstractNum w:abstractNumId="912" w15:restartNumberingAfterBreak="0">
    <w:nsid w:val="77E85223"/>
    <w:multiLevelType w:val="hybridMultilevel"/>
    <w:tmpl w:val="7EE8FD9E"/>
    <w:lvl w:ilvl="0" w:tplc="5CC20C24">
      <w:start w:val="2"/>
      <w:numFmt w:val="decimal"/>
      <w:lvlText w:val="%1"/>
      <w:lvlJc w:val="left"/>
      <w:pPr>
        <w:ind w:left="1159" w:hanging="320"/>
        <w:jc w:val="left"/>
      </w:pPr>
      <w:rPr>
        <w:rFonts w:hint="default"/>
        <w:lang w:val="zh-CN" w:eastAsia="zh-CN" w:bidi="zh-CN"/>
      </w:rPr>
    </w:lvl>
    <w:lvl w:ilvl="1" w:tplc="15165B72">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895067DA">
      <w:numFmt w:val="bullet"/>
      <w:lvlText w:val="•"/>
      <w:lvlJc w:val="left"/>
      <w:pPr>
        <w:ind w:left="3057" w:hanging="320"/>
      </w:pPr>
      <w:rPr>
        <w:rFonts w:hint="default"/>
        <w:lang w:val="zh-CN" w:eastAsia="zh-CN" w:bidi="zh-CN"/>
      </w:rPr>
    </w:lvl>
    <w:lvl w:ilvl="3" w:tplc="73AE685E">
      <w:numFmt w:val="bullet"/>
      <w:lvlText w:val="•"/>
      <w:lvlJc w:val="left"/>
      <w:pPr>
        <w:ind w:left="4005" w:hanging="320"/>
      </w:pPr>
      <w:rPr>
        <w:rFonts w:hint="default"/>
        <w:lang w:val="zh-CN" w:eastAsia="zh-CN" w:bidi="zh-CN"/>
      </w:rPr>
    </w:lvl>
    <w:lvl w:ilvl="4" w:tplc="4EE87E6A">
      <w:numFmt w:val="bullet"/>
      <w:lvlText w:val="•"/>
      <w:lvlJc w:val="left"/>
      <w:pPr>
        <w:ind w:left="4954" w:hanging="320"/>
      </w:pPr>
      <w:rPr>
        <w:rFonts w:hint="default"/>
        <w:lang w:val="zh-CN" w:eastAsia="zh-CN" w:bidi="zh-CN"/>
      </w:rPr>
    </w:lvl>
    <w:lvl w:ilvl="5" w:tplc="4C4668F6">
      <w:numFmt w:val="bullet"/>
      <w:lvlText w:val="•"/>
      <w:lvlJc w:val="left"/>
      <w:pPr>
        <w:ind w:left="5903" w:hanging="320"/>
      </w:pPr>
      <w:rPr>
        <w:rFonts w:hint="default"/>
        <w:lang w:val="zh-CN" w:eastAsia="zh-CN" w:bidi="zh-CN"/>
      </w:rPr>
    </w:lvl>
    <w:lvl w:ilvl="6" w:tplc="0AFE2FA4">
      <w:numFmt w:val="bullet"/>
      <w:lvlText w:val="•"/>
      <w:lvlJc w:val="left"/>
      <w:pPr>
        <w:ind w:left="6851" w:hanging="320"/>
      </w:pPr>
      <w:rPr>
        <w:rFonts w:hint="default"/>
        <w:lang w:val="zh-CN" w:eastAsia="zh-CN" w:bidi="zh-CN"/>
      </w:rPr>
    </w:lvl>
    <w:lvl w:ilvl="7" w:tplc="221E4A30">
      <w:numFmt w:val="bullet"/>
      <w:lvlText w:val="•"/>
      <w:lvlJc w:val="left"/>
      <w:pPr>
        <w:ind w:left="7800" w:hanging="320"/>
      </w:pPr>
      <w:rPr>
        <w:rFonts w:hint="default"/>
        <w:lang w:val="zh-CN" w:eastAsia="zh-CN" w:bidi="zh-CN"/>
      </w:rPr>
    </w:lvl>
    <w:lvl w:ilvl="8" w:tplc="70AA8D48">
      <w:numFmt w:val="bullet"/>
      <w:lvlText w:val="•"/>
      <w:lvlJc w:val="left"/>
      <w:pPr>
        <w:ind w:left="8749" w:hanging="320"/>
      </w:pPr>
      <w:rPr>
        <w:rFonts w:hint="default"/>
        <w:lang w:val="zh-CN" w:eastAsia="zh-CN" w:bidi="zh-CN"/>
      </w:rPr>
    </w:lvl>
  </w:abstractNum>
  <w:abstractNum w:abstractNumId="913" w15:restartNumberingAfterBreak="0">
    <w:nsid w:val="78082A93"/>
    <w:multiLevelType w:val="hybridMultilevel"/>
    <w:tmpl w:val="EBCA69E4"/>
    <w:lvl w:ilvl="0" w:tplc="C4A806EE">
      <w:start w:val="4"/>
      <w:numFmt w:val="decimal"/>
      <w:lvlText w:val="%1"/>
      <w:lvlJc w:val="left"/>
      <w:pPr>
        <w:ind w:left="1158" w:hanging="318"/>
        <w:jc w:val="left"/>
      </w:pPr>
      <w:rPr>
        <w:rFonts w:hint="default"/>
        <w:lang w:val="zh-CN" w:eastAsia="zh-CN" w:bidi="zh-CN"/>
      </w:rPr>
    </w:lvl>
    <w:lvl w:ilvl="1" w:tplc="3B2C75F4">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9FFC080C">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27CE5532">
      <w:numFmt w:val="bullet"/>
      <w:lvlText w:val="•"/>
      <w:lvlJc w:val="left"/>
      <w:pPr>
        <w:ind w:left="3423" w:hanging="529"/>
      </w:pPr>
      <w:rPr>
        <w:rFonts w:hint="default"/>
        <w:lang w:val="zh-CN" w:eastAsia="zh-CN" w:bidi="zh-CN"/>
      </w:rPr>
    </w:lvl>
    <w:lvl w:ilvl="4" w:tplc="B19ADD66">
      <w:numFmt w:val="bullet"/>
      <w:lvlText w:val="•"/>
      <w:lvlJc w:val="left"/>
      <w:pPr>
        <w:ind w:left="4455" w:hanging="529"/>
      </w:pPr>
      <w:rPr>
        <w:rFonts w:hint="default"/>
        <w:lang w:val="zh-CN" w:eastAsia="zh-CN" w:bidi="zh-CN"/>
      </w:rPr>
    </w:lvl>
    <w:lvl w:ilvl="5" w:tplc="2F5A055C">
      <w:numFmt w:val="bullet"/>
      <w:lvlText w:val="•"/>
      <w:lvlJc w:val="left"/>
      <w:pPr>
        <w:ind w:left="5487" w:hanging="529"/>
      </w:pPr>
      <w:rPr>
        <w:rFonts w:hint="default"/>
        <w:lang w:val="zh-CN" w:eastAsia="zh-CN" w:bidi="zh-CN"/>
      </w:rPr>
    </w:lvl>
    <w:lvl w:ilvl="6" w:tplc="0AEA0412">
      <w:numFmt w:val="bullet"/>
      <w:lvlText w:val="•"/>
      <w:lvlJc w:val="left"/>
      <w:pPr>
        <w:ind w:left="6519" w:hanging="529"/>
      </w:pPr>
      <w:rPr>
        <w:rFonts w:hint="default"/>
        <w:lang w:val="zh-CN" w:eastAsia="zh-CN" w:bidi="zh-CN"/>
      </w:rPr>
    </w:lvl>
    <w:lvl w:ilvl="7" w:tplc="7310C5C0">
      <w:numFmt w:val="bullet"/>
      <w:lvlText w:val="•"/>
      <w:lvlJc w:val="left"/>
      <w:pPr>
        <w:ind w:left="7550" w:hanging="529"/>
      </w:pPr>
      <w:rPr>
        <w:rFonts w:hint="default"/>
        <w:lang w:val="zh-CN" w:eastAsia="zh-CN" w:bidi="zh-CN"/>
      </w:rPr>
    </w:lvl>
    <w:lvl w:ilvl="8" w:tplc="E6E0A718">
      <w:numFmt w:val="bullet"/>
      <w:lvlText w:val="•"/>
      <w:lvlJc w:val="left"/>
      <w:pPr>
        <w:ind w:left="8582" w:hanging="529"/>
      </w:pPr>
      <w:rPr>
        <w:rFonts w:hint="default"/>
        <w:lang w:val="zh-CN" w:eastAsia="zh-CN" w:bidi="zh-CN"/>
      </w:rPr>
    </w:lvl>
  </w:abstractNum>
  <w:abstractNum w:abstractNumId="914" w15:restartNumberingAfterBreak="0">
    <w:nsid w:val="780A742E"/>
    <w:multiLevelType w:val="hybridMultilevel"/>
    <w:tmpl w:val="CD60524E"/>
    <w:lvl w:ilvl="0" w:tplc="0B98334E">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C0DE822A">
      <w:numFmt w:val="bullet"/>
      <w:lvlText w:val="•"/>
      <w:lvlJc w:val="left"/>
      <w:pPr>
        <w:ind w:left="2288" w:hanging="529"/>
      </w:pPr>
      <w:rPr>
        <w:rFonts w:hint="default"/>
        <w:lang w:val="zh-CN" w:eastAsia="zh-CN" w:bidi="zh-CN"/>
      </w:rPr>
    </w:lvl>
    <w:lvl w:ilvl="2" w:tplc="2CB2F12E">
      <w:numFmt w:val="bullet"/>
      <w:lvlText w:val="•"/>
      <w:lvlJc w:val="left"/>
      <w:pPr>
        <w:ind w:left="3217" w:hanging="529"/>
      </w:pPr>
      <w:rPr>
        <w:rFonts w:hint="default"/>
        <w:lang w:val="zh-CN" w:eastAsia="zh-CN" w:bidi="zh-CN"/>
      </w:rPr>
    </w:lvl>
    <w:lvl w:ilvl="3" w:tplc="0C4630AA">
      <w:numFmt w:val="bullet"/>
      <w:lvlText w:val="•"/>
      <w:lvlJc w:val="left"/>
      <w:pPr>
        <w:ind w:left="4145" w:hanging="529"/>
      </w:pPr>
      <w:rPr>
        <w:rFonts w:hint="default"/>
        <w:lang w:val="zh-CN" w:eastAsia="zh-CN" w:bidi="zh-CN"/>
      </w:rPr>
    </w:lvl>
    <w:lvl w:ilvl="4" w:tplc="798424E8">
      <w:numFmt w:val="bullet"/>
      <w:lvlText w:val="•"/>
      <w:lvlJc w:val="left"/>
      <w:pPr>
        <w:ind w:left="5074" w:hanging="529"/>
      </w:pPr>
      <w:rPr>
        <w:rFonts w:hint="default"/>
        <w:lang w:val="zh-CN" w:eastAsia="zh-CN" w:bidi="zh-CN"/>
      </w:rPr>
    </w:lvl>
    <w:lvl w:ilvl="5" w:tplc="3BF6BCE0">
      <w:numFmt w:val="bullet"/>
      <w:lvlText w:val="•"/>
      <w:lvlJc w:val="left"/>
      <w:pPr>
        <w:ind w:left="6003" w:hanging="529"/>
      </w:pPr>
      <w:rPr>
        <w:rFonts w:hint="default"/>
        <w:lang w:val="zh-CN" w:eastAsia="zh-CN" w:bidi="zh-CN"/>
      </w:rPr>
    </w:lvl>
    <w:lvl w:ilvl="6" w:tplc="70DC022C">
      <w:numFmt w:val="bullet"/>
      <w:lvlText w:val="•"/>
      <w:lvlJc w:val="left"/>
      <w:pPr>
        <w:ind w:left="6931" w:hanging="529"/>
      </w:pPr>
      <w:rPr>
        <w:rFonts w:hint="default"/>
        <w:lang w:val="zh-CN" w:eastAsia="zh-CN" w:bidi="zh-CN"/>
      </w:rPr>
    </w:lvl>
    <w:lvl w:ilvl="7" w:tplc="8FF42D3C">
      <w:numFmt w:val="bullet"/>
      <w:lvlText w:val="•"/>
      <w:lvlJc w:val="left"/>
      <w:pPr>
        <w:ind w:left="7860" w:hanging="529"/>
      </w:pPr>
      <w:rPr>
        <w:rFonts w:hint="default"/>
        <w:lang w:val="zh-CN" w:eastAsia="zh-CN" w:bidi="zh-CN"/>
      </w:rPr>
    </w:lvl>
    <w:lvl w:ilvl="8" w:tplc="CB3AE8A8">
      <w:numFmt w:val="bullet"/>
      <w:lvlText w:val="•"/>
      <w:lvlJc w:val="left"/>
      <w:pPr>
        <w:ind w:left="8789" w:hanging="529"/>
      </w:pPr>
      <w:rPr>
        <w:rFonts w:hint="default"/>
        <w:lang w:val="zh-CN" w:eastAsia="zh-CN" w:bidi="zh-CN"/>
      </w:rPr>
    </w:lvl>
  </w:abstractNum>
  <w:abstractNum w:abstractNumId="915" w15:restartNumberingAfterBreak="0">
    <w:nsid w:val="78355920"/>
    <w:multiLevelType w:val="hybridMultilevel"/>
    <w:tmpl w:val="B8E4841E"/>
    <w:lvl w:ilvl="0" w:tplc="E61E99FE">
      <w:start w:val="6"/>
      <w:numFmt w:val="decimal"/>
      <w:lvlText w:val="%1"/>
      <w:lvlJc w:val="left"/>
      <w:pPr>
        <w:ind w:left="418" w:hanging="738"/>
        <w:jc w:val="left"/>
      </w:pPr>
      <w:rPr>
        <w:rFonts w:hint="default"/>
        <w:lang w:val="zh-CN" w:eastAsia="zh-CN" w:bidi="zh-CN"/>
      </w:rPr>
    </w:lvl>
    <w:lvl w:ilvl="1" w:tplc="3704DB5A">
      <w:start w:val="9"/>
      <w:numFmt w:val="decimal"/>
      <w:lvlText w:val="%1.%2"/>
      <w:lvlJc w:val="left"/>
      <w:pPr>
        <w:ind w:left="418" w:hanging="738"/>
        <w:jc w:val="left"/>
      </w:pPr>
      <w:rPr>
        <w:rFonts w:hint="default"/>
        <w:lang w:val="zh-CN" w:eastAsia="zh-CN" w:bidi="zh-CN"/>
      </w:rPr>
    </w:lvl>
    <w:lvl w:ilvl="2" w:tplc="CCA21D44">
      <w:start w:val="4"/>
      <w:numFmt w:val="decimal"/>
      <w:lvlText w:val="%1.%2.%3"/>
      <w:lvlJc w:val="left"/>
      <w:pPr>
        <w:ind w:left="418" w:hanging="738"/>
        <w:jc w:val="left"/>
      </w:pPr>
      <w:rPr>
        <w:rFonts w:hint="default"/>
        <w:lang w:val="zh-CN" w:eastAsia="zh-CN" w:bidi="zh-CN"/>
      </w:rPr>
    </w:lvl>
    <w:lvl w:ilvl="3" w:tplc="00FC2184">
      <w:start w:val="1"/>
      <w:numFmt w:val="decimal"/>
      <w:lvlText w:val="%1.%2.%3.%4"/>
      <w:lvlJc w:val="left"/>
      <w:pPr>
        <w:ind w:left="418" w:hanging="738"/>
        <w:jc w:val="left"/>
      </w:pPr>
      <w:rPr>
        <w:rFonts w:ascii="宋体" w:eastAsia="宋体" w:hAnsi="宋体" w:cs="宋体" w:hint="default"/>
        <w:spacing w:val="-3"/>
        <w:w w:val="100"/>
        <w:sz w:val="19"/>
        <w:szCs w:val="19"/>
        <w:lang w:val="zh-CN" w:eastAsia="zh-CN" w:bidi="zh-CN"/>
      </w:rPr>
    </w:lvl>
    <w:lvl w:ilvl="4" w:tplc="2B2ECEFE">
      <w:numFmt w:val="bullet"/>
      <w:lvlText w:val="•"/>
      <w:lvlJc w:val="left"/>
      <w:pPr>
        <w:ind w:left="4510" w:hanging="738"/>
      </w:pPr>
      <w:rPr>
        <w:rFonts w:hint="default"/>
        <w:lang w:val="zh-CN" w:eastAsia="zh-CN" w:bidi="zh-CN"/>
      </w:rPr>
    </w:lvl>
    <w:lvl w:ilvl="5" w:tplc="76867382">
      <w:numFmt w:val="bullet"/>
      <w:lvlText w:val="•"/>
      <w:lvlJc w:val="left"/>
      <w:pPr>
        <w:ind w:left="5533" w:hanging="738"/>
      </w:pPr>
      <w:rPr>
        <w:rFonts w:hint="default"/>
        <w:lang w:val="zh-CN" w:eastAsia="zh-CN" w:bidi="zh-CN"/>
      </w:rPr>
    </w:lvl>
    <w:lvl w:ilvl="6" w:tplc="A710839E">
      <w:numFmt w:val="bullet"/>
      <w:lvlText w:val="•"/>
      <w:lvlJc w:val="left"/>
      <w:pPr>
        <w:ind w:left="6555" w:hanging="738"/>
      </w:pPr>
      <w:rPr>
        <w:rFonts w:hint="default"/>
        <w:lang w:val="zh-CN" w:eastAsia="zh-CN" w:bidi="zh-CN"/>
      </w:rPr>
    </w:lvl>
    <w:lvl w:ilvl="7" w:tplc="BB30BA30">
      <w:numFmt w:val="bullet"/>
      <w:lvlText w:val="•"/>
      <w:lvlJc w:val="left"/>
      <w:pPr>
        <w:ind w:left="7578" w:hanging="738"/>
      </w:pPr>
      <w:rPr>
        <w:rFonts w:hint="default"/>
        <w:lang w:val="zh-CN" w:eastAsia="zh-CN" w:bidi="zh-CN"/>
      </w:rPr>
    </w:lvl>
    <w:lvl w:ilvl="8" w:tplc="6366C5A4">
      <w:numFmt w:val="bullet"/>
      <w:lvlText w:val="•"/>
      <w:lvlJc w:val="left"/>
      <w:pPr>
        <w:ind w:left="8601" w:hanging="738"/>
      </w:pPr>
      <w:rPr>
        <w:rFonts w:hint="default"/>
        <w:lang w:val="zh-CN" w:eastAsia="zh-CN" w:bidi="zh-CN"/>
      </w:rPr>
    </w:lvl>
  </w:abstractNum>
  <w:abstractNum w:abstractNumId="916" w15:restartNumberingAfterBreak="0">
    <w:nsid w:val="78397490"/>
    <w:multiLevelType w:val="hybridMultilevel"/>
    <w:tmpl w:val="F50A3454"/>
    <w:lvl w:ilvl="0" w:tplc="D020F5BA">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83EC7AA0">
      <w:numFmt w:val="bullet"/>
      <w:lvlText w:val="•"/>
      <w:lvlJc w:val="left"/>
      <w:pPr>
        <w:ind w:left="2288" w:hanging="529"/>
      </w:pPr>
      <w:rPr>
        <w:rFonts w:hint="default"/>
        <w:lang w:val="zh-CN" w:eastAsia="zh-CN" w:bidi="zh-CN"/>
      </w:rPr>
    </w:lvl>
    <w:lvl w:ilvl="2" w:tplc="E2183E70">
      <w:numFmt w:val="bullet"/>
      <w:lvlText w:val="•"/>
      <w:lvlJc w:val="left"/>
      <w:pPr>
        <w:ind w:left="3217" w:hanging="529"/>
      </w:pPr>
      <w:rPr>
        <w:rFonts w:hint="default"/>
        <w:lang w:val="zh-CN" w:eastAsia="zh-CN" w:bidi="zh-CN"/>
      </w:rPr>
    </w:lvl>
    <w:lvl w:ilvl="3" w:tplc="C7C8C098">
      <w:numFmt w:val="bullet"/>
      <w:lvlText w:val="•"/>
      <w:lvlJc w:val="left"/>
      <w:pPr>
        <w:ind w:left="4145" w:hanging="529"/>
      </w:pPr>
      <w:rPr>
        <w:rFonts w:hint="default"/>
        <w:lang w:val="zh-CN" w:eastAsia="zh-CN" w:bidi="zh-CN"/>
      </w:rPr>
    </w:lvl>
    <w:lvl w:ilvl="4" w:tplc="127099F0">
      <w:numFmt w:val="bullet"/>
      <w:lvlText w:val="•"/>
      <w:lvlJc w:val="left"/>
      <w:pPr>
        <w:ind w:left="5074" w:hanging="529"/>
      </w:pPr>
      <w:rPr>
        <w:rFonts w:hint="default"/>
        <w:lang w:val="zh-CN" w:eastAsia="zh-CN" w:bidi="zh-CN"/>
      </w:rPr>
    </w:lvl>
    <w:lvl w:ilvl="5" w:tplc="FC700712">
      <w:numFmt w:val="bullet"/>
      <w:lvlText w:val="•"/>
      <w:lvlJc w:val="left"/>
      <w:pPr>
        <w:ind w:left="6003" w:hanging="529"/>
      </w:pPr>
      <w:rPr>
        <w:rFonts w:hint="default"/>
        <w:lang w:val="zh-CN" w:eastAsia="zh-CN" w:bidi="zh-CN"/>
      </w:rPr>
    </w:lvl>
    <w:lvl w:ilvl="6" w:tplc="85963764">
      <w:numFmt w:val="bullet"/>
      <w:lvlText w:val="•"/>
      <w:lvlJc w:val="left"/>
      <w:pPr>
        <w:ind w:left="6931" w:hanging="529"/>
      </w:pPr>
      <w:rPr>
        <w:rFonts w:hint="default"/>
        <w:lang w:val="zh-CN" w:eastAsia="zh-CN" w:bidi="zh-CN"/>
      </w:rPr>
    </w:lvl>
    <w:lvl w:ilvl="7" w:tplc="43C8D4DE">
      <w:numFmt w:val="bullet"/>
      <w:lvlText w:val="•"/>
      <w:lvlJc w:val="left"/>
      <w:pPr>
        <w:ind w:left="7860" w:hanging="529"/>
      </w:pPr>
      <w:rPr>
        <w:rFonts w:hint="default"/>
        <w:lang w:val="zh-CN" w:eastAsia="zh-CN" w:bidi="zh-CN"/>
      </w:rPr>
    </w:lvl>
    <w:lvl w:ilvl="8" w:tplc="CC463470">
      <w:numFmt w:val="bullet"/>
      <w:lvlText w:val="•"/>
      <w:lvlJc w:val="left"/>
      <w:pPr>
        <w:ind w:left="8789" w:hanging="529"/>
      </w:pPr>
      <w:rPr>
        <w:rFonts w:hint="default"/>
        <w:lang w:val="zh-CN" w:eastAsia="zh-CN" w:bidi="zh-CN"/>
      </w:rPr>
    </w:lvl>
  </w:abstractNum>
  <w:abstractNum w:abstractNumId="917" w15:restartNumberingAfterBreak="0">
    <w:nsid w:val="784D7AE9"/>
    <w:multiLevelType w:val="hybridMultilevel"/>
    <w:tmpl w:val="06928514"/>
    <w:lvl w:ilvl="0" w:tplc="C33433F2">
      <w:start w:val="6"/>
      <w:numFmt w:val="decimal"/>
      <w:lvlText w:val="%1"/>
      <w:lvlJc w:val="left"/>
      <w:pPr>
        <w:ind w:left="1159" w:hanging="320"/>
        <w:jc w:val="left"/>
      </w:pPr>
      <w:rPr>
        <w:rFonts w:hint="default"/>
        <w:lang w:val="zh-CN" w:eastAsia="zh-CN" w:bidi="zh-CN"/>
      </w:rPr>
    </w:lvl>
    <w:lvl w:ilvl="1" w:tplc="224895AE">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B61AB53E">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C4022000">
      <w:numFmt w:val="bullet"/>
      <w:lvlText w:val="•"/>
      <w:lvlJc w:val="left"/>
      <w:pPr>
        <w:ind w:left="3439" w:hanging="531"/>
      </w:pPr>
      <w:rPr>
        <w:rFonts w:hint="default"/>
        <w:lang w:val="zh-CN" w:eastAsia="zh-CN" w:bidi="zh-CN"/>
      </w:rPr>
    </w:lvl>
    <w:lvl w:ilvl="4" w:tplc="04FC874A">
      <w:numFmt w:val="bullet"/>
      <w:lvlText w:val="•"/>
      <w:lvlJc w:val="left"/>
      <w:pPr>
        <w:ind w:left="4468" w:hanging="531"/>
      </w:pPr>
      <w:rPr>
        <w:rFonts w:hint="default"/>
        <w:lang w:val="zh-CN" w:eastAsia="zh-CN" w:bidi="zh-CN"/>
      </w:rPr>
    </w:lvl>
    <w:lvl w:ilvl="5" w:tplc="851AA690">
      <w:numFmt w:val="bullet"/>
      <w:lvlText w:val="•"/>
      <w:lvlJc w:val="left"/>
      <w:pPr>
        <w:ind w:left="5498" w:hanging="531"/>
      </w:pPr>
      <w:rPr>
        <w:rFonts w:hint="default"/>
        <w:lang w:val="zh-CN" w:eastAsia="zh-CN" w:bidi="zh-CN"/>
      </w:rPr>
    </w:lvl>
    <w:lvl w:ilvl="6" w:tplc="53D6D168">
      <w:numFmt w:val="bullet"/>
      <w:lvlText w:val="•"/>
      <w:lvlJc w:val="left"/>
      <w:pPr>
        <w:ind w:left="6528" w:hanging="531"/>
      </w:pPr>
      <w:rPr>
        <w:rFonts w:hint="default"/>
        <w:lang w:val="zh-CN" w:eastAsia="zh-CN" w:bidi="zh-CN"/>
      </w:rPr>
    </w:lvl>
    <w:lvl w:ilvl="7" w:tplc="2076DB56">
      <w:numFmt w:val="bullet"/>
      <w:lvlText w:val="•"/>
      <w:lvlJc w:val="left"/>
      <w:pPr>
        <w:ind w:left="7557" w:hanging="531"/>
      </w:pPr>
      <w:rPr>
        <w:rFonts w:hint="default"/>
        <w:lang w:val="zh-CN" w:eastAsia="zh-CN" w:bidi="zh-CN"/>
      </w:rPr>
    </w:lvl>
    <w:lvl w:ilvl="8" w:tplc="F8D0FA1C">
      <w:numFmt w:val="bullet"/>
      <w:lvlText w:val="•"/>
      <w:lvlJc w:val="left"/>
      <w:pPr>
        <w:ind w:left="8587" w:hanging="531"/>
      </w:pPr>
      <w:rPr>
        <w:rFonts w:hint="default"/>
        <w:lang w:val="zh-CN" w:eastAsia="zh-CN" w:bidi="zh-CN"/>
      </w:rPr>
    </w:lvl>
  </w:abstractNum>
  <w:abstractNum w:abstractNumId="918" w15:restartNumberingAfterBreak="0">
    <w:nsid w:val="78576F8D"/>
    <w:multiLevelType w:val="hybridMultilevel"/>
    <w:tmpl w:val="7B70FCD6"/>
    <w:lvl w:ilvl="0" w:tplc="5A247152">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DEA86E54">
      <w:numFmt w:val="bullet"/>
      <w:lvlText w:val="•"/>
      <w:lvlJc w:val="left"/>
      <w:pPr>
        <w:ind w:left="2288" w:hanging="529"/>
      </w:pPr>
      <w:rPr>
        <w:rFonts w:hint="default"/>
        <w:lang w:val="zh-CN" w:eastAsia="zh-CN" w:bidi="zh-CN"/>
      </w:rPr>
    </w:lvl>
    <w:lvl w:ilvl="2" w:tplc="F7E23694">
      <w:numFmt w:val="bullet"/>
      <w:lvlText w:val="•"/>
      <w:lvlJc w:val="left"/>
      <w:pPr>
        <w:ind w:left="3217" w:hanging="529"/>
      </w:pPr>
      <w:rPr>
        <w:rFonts w:hint="default"/>
        <w:lang w:val="zh-CN" w:eastAsia="zh-CN" w:bidi="zh-CN"/>
      </w:rPr>
    </w:lvl>
    <w:lvl w:ilvl="3" w:tplc="37AAF07A">
      <w:numFmt w:val="bullet"/>
      <w:lvlText w:val="•"/>
      <w:lvlJc w:val="left"/>
      <w:pPr>
        <w:ind w:left="4145" w:hanging="529"/>
      </w:pPr>
      <w:rPr>
        <w:rFonts w:hint="default"/>
        <w:lang w:val="zh-CN" w:eastAsia="zh-CN" w:bidi="zh-CN"/>
      </w:rPr>
    </w:lvl>
    <w:lvl w:ilvl="4" w:tplc="3BCEBAA4">
      <w:numFmt w:val="bullet"/>
      <w:lvlText w:val="•"/>
      <w:lvlJc w:val="left"/>
      <w:pPr>
        <w:ind w:left="5074" w:hanging="529"/>
      </w:pPr>
      <w:rPr>
        <w:rFonts w:hint="default"/>
        <w:lang w:val="zh-CN" w:eastAsia="zh-CN" w:bidi="zh-CN"/>
      </w:rPr>
    </w:lvl>
    <w:lvl w:ilvl="5" w:tplc="98B02038">
      <w:numFmt w:val="bullet"/>
      <w:lvlText w:val="•"/>
      <w:lvlJc w:val="left"/>
      <w:pPr>
        <w:ind w:left="6003" w:hanging="529"/>
      </w:pPr>
      <w:rPr>
        <w:rFonts w:hint="default"/>
        <w:lang w:val="zh-CN" w:eastAsia="zh-CN" w:bidi="zh-CN"/>
      </w:rPr>
    </w:lvl>
    <w:lvl w:ilvl="6" w:tplc="54A84936">
      <w:numFmt w:val="bullet"/>
      <w:lvlText w:val="•"/>
      <w:lvlJc w:val="left"/>
      <w:pPr>
        <w:ind w:left="6931" w:hanging="529"/>
      </w:pPr>
      <w:rPr>
        <w:rFonts w:hint="default"/>
        <w:lang w:val="zh-CN" w:eastAsia="zh-CN" w:bidi="zh-CN"/>
      </w:rPr>
    </w:lvl>
    <w:lvl w:ilvl="7" w:tplc="EB0CE198">
      <w:numFmt w:val="bullet"/>
      <w:lvlText w:val="•"/>
      <w:lvlJc w:val="left"/>
      <w:pPr>
        <w:ind w:left="7860" w:hanging="529"/>
      </w:pPr>
      <w:rPr>
        <w:rFonts w:hint="default"/>
        <w:lang w:val="zh-CN" w:eastAsia="zh-CN" w:bidi="zh-CN"/>
      </w:rPr>
    </w:lvl>
    <w:lvl w:ilvl="8" w:tplc="2258F798">
      <w:numFmt w:val="bullet"/>
      <w:lvlText w:val="•"/>
      <w:lvlJc w:val="left"/>
      <w:pPr>
        <w:ind w:left="8789" w:hanging="529"/>
      </w:pPr>
      <w:rPr>
        <w:rFonts w:hint="default"/>
        <w:lang w:val="zh-CN" w:eastAsia="zh-CN" w:bidi="zh-CN"/>
      </w:rPr>
    </w:lvl>
  </w:abstractNum>
  <w:abstractNum w:abstractNumId="919" w15:restartNumberingAfterBreak="0">
    <w:nsid w:val="786624D1"/>
    <w:multiLevelType w:val="hybridMultilevel"/>
    <w:tmpl w:val="1EBC79AE"/>
    <w:lvl w:ilvl="0" w:tplc="AC9660A8">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A462DAEC">
      <w:numFmt w:val="bullet"/>
      <w:lvlText w:val="•"/>
      <w:lvlJc w:val="left"/>
      <w:pPr>
        <w:ind w:left="2288" w:hanging="529"/>
      </w:pPr>
      <w:rPr>
        <w:rFonts w:hint="default"/>
        <w:lang w:val="zh-CN" w:eastAsia="zh-CN" w:bidi="zh-CN"/>
      </w:rPr>
    </w:lvl>
    <w:lvl w:ilvl="2" w:tplc="24AA02AE">
      <w:numFmt w:val="bullet"/>
      <w:lvlText w:val="•"/>
      <w:lvlJc w:val="left"/>
      <w:pPr>
        <w:ind w:left="3217" w:hanging="529"/>
      </w:pPr>
      <w:rPr>
        <w:rFonts w:hint="default"/>
        <w:lang w:val="zh-CN" w:eastAsia="zh-CN" w:bidi="zh-CN"/>
      </w:rPr>
    </w:lvl>
    <w:lvl w:ilvl="3" w:tplc="42203314">
      <w:numFmt w:val="bullet"/>
      <w:lvlText w:val="•"/>
      <w:lvlJc w:val="left"/>
      <w:pPr>
        <w:ind w:left="4145" w:hanging="529"/>
      </w:pPr>
      <w:rPr>
        <w:rFonts w:hint="default"/>
        <w:lang w:val="zh-CN" w:eastAsia="zh-CN" w:bidi="zh-CN"/>
      </w:rPr>
    </w:lvl>
    <w:lvl w:ilvl="4" w:tplc="CECC1660">
      <w:numFmt w:val="bullet"/>
      <w:lvlText w:val="•"/>
      <w:lvlJc w:val="left"/>
      <w:pPr>
        <w:ind w:left="5074" w:hanging="529"/>
      </w:pPr>
      <w:rPr>
        <w:rFonts w:hint="default"/>
        <w:lang w:val="zh-CN" w:eastAsia="zh-CN" w:bidi="zh-CN"/>
      </w:rPr>
    </w:lvl>
    <w:lvl w:ilvl="5" w:tplc="A82C4984">
      <w:numFmt w:val="bullet"/>
      <w:lvlText w:val="•"/>
      <w:lvlJc w:val="left"/>
      <w:pPr>
        <w:ind w:left="6003" w:hanging="529"/>
      </w:pPr>
      <w:rPr>
        <w:rFonts w:hint="default"/>
        <w:lang w:val="zh-CN" w:eastAsia="zh-CN" w:bidi="zh-CN"/>
      </w:rPr>
    </w:lvl>
    <w:lvl w:ilvl="6" w:tplc="BAB436E0">
      <w:numFmt w:val="bullet"/>
      <w:lvlText w:val="•"/>
      <w:lvlJc w:val="left"/>
      <w:pPr>
        <w:ind w:left="6931" w:hanging="529"/>
      </w:pPr>
      <w:rPr>
        <w:rFonts w:hint="default"/>
        <w:lang w:val="zh-CN" w:eastAsia="zh-CN" w:bidi="zh-CN"/>
      </w:rPr>
    </w:lvl>
    <w:lvl w:ilvl="7" w:tplc="B8867C26">
      <w:numFmt w:val="bullet"/>
      <w:lvlText w:val="•"/>
      <w:lvlJc w:val="left"/>
      <w:pPr>
        <w:ind w:left="7860" w:hanging="529"/>
      </w:pPr>
      <w:rPr>
        <w:rFonts w:hint="default"/>
        <w:lang w:val="zh-CN" w:eastAsia="zh-CN" w:bidi="zh-CN"/>
      </w:rPr>
    </w:lvl>
    <w:lvl w:ilvl="8" w:tplc="5F188E82">
      <w:numFmt w:val="bullet"/>
      <w:lvlText w:val="•"/>
      <w:lvlJc w:val="left"/>
      <w:pPr>
        <w:ind w:left="8789" w:hanging="529"/>
      </w:pPr>
      <w:rPr>
        <w:rFonts w:hint="default"/>
        <w:lang w:val="zh-CN" w:eastAsia="zh-CN" w:bidi="zh-CN"/>
      </w:rPr>
    </w:lvl>
  </w:abstractNum>
  <w:abstractNum w:abstractNumId="920" w15:restartNumberingAfterBreak="0">
    <w:nsid w:val="78674EB1"/>
    <w:multiLevelType w:val="hybridMultilevel"/>
    <w:tmpl w:val="68A6433A"/>
    <w:lvl w:ilvl="0" w:tplc="8D7C62D2">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7C74ED88">
      <w:numFmt w:val="bullet"/>
      <w:lvlText w:val="•"/>
      <w:lvlJc w:val="left"/>
      <w:pPr>
        <w:ind w:left="2288" w:hanging="529"/>
      </w:pPr>
      <w:rPr>
        <w:rFonts w:hint="default"/>
        <w:lang w:val="zh-CN" w:eastAsia="zh-CN" w:bidi="zh-CN"/>
      </w:rPr>
    </w:lvl>
    <w:lvl w:ilvl="2" w:tplc="0B229180">
      <w:numFmt w:val="bullet"/>
      <w:lvlText w:val="•"/>
      <w:lvlJc w:val="left"/>
      <w:pPr>
        <w:ind w:left="3217" w:hanging="529"/>
      </w:pPr>
      <w:rPr>
        <w:rFonts w:hint="default"/>
        <w:lang w:val="zh-CN" w:eastAsia="zh-CN" w:bidi="zh-CN"/>
      </w:rPr>
    </w:lvl>
    <w:lvl w:ilvl="3" w:tplc="877C2612">
      <w:numFmt w:val="bullet"/>
      <w:lvlText w:val="•"/>
      <w:lvlJc w:val="left"/>
      <w:pPr>
        <w:ind w:left="4145" w:hanging="529"/>
      </w:pPr>
      <w:rPr>
        <w:rFonts w:hint="default"/>
        <w:lang w:val="zh-CN" w:eastAsia="zh-CN" w:bidi="zh-CN"/>
      </w:rPr>
    </w:lvl>
    <w:lvl w:ilvl="4" w:tplc="D5105C86">
      <w:numFmt w:val="bullet"/>
      <w:lvlText w:val="•"/>
      <w:lvlJc w:val="left"/>
      <w:pPr>
        <w:ind w:left="5074" w:hanging="529"/>
      </w:pPr>
      <w:rPr>
        <w:rFonts w:hint="default"/>
        <w:lang w:val="zh-CN" w:eastAsia="zh-CN" w:bidi="zh-CN"/>
      </w:rPr>
    </w:lvl>
    <w:lvl w:ilvl="5" w:tplc="1B60977A">
      <w:numFmt w:val="bullet"/>
      <w:lvlText w:val="•"/>
      <w:lvlJc w:val="left"/>
      <w:pPr>
        <w:ind w:left="6003" w:hanging="529"/>
      </w:pPr>
      <w:rPr>
        <w:rFonts w:hint="default"/>
        <w:lang w:val="zh-CN" w:eastAsia="zh-CN" w:bidi="zh-CN"/>
      </w:rPr>
    </w:lvl>
    <w:lvl w:ilvl="6" w:tplc="B9963DAA">
      <w:numFmt w:val="bullet"/>
      <w:lvlText w:val="•"/>
      <w:lvlJc w:val="left"/>
      <w:pPr>
        <w:ind w:left="6931" w:hanging="529"/>
      </w:pPr>
      <w:rPr>
        <w:rFonts w:hint="default"/>
        <w:lang w:val="zh-CN" w:eastAsia="zh-CN" w:bidi="zh-CN"/>
      </w:rPr>
    </w:lvl>
    <w:lvl w:ilvl="7" w:tplc="10E21A78">
      <w:numFmt w:val="bullet"/>
      <w:lvlText w:val="•"/>
      <w:lvlJc w:val="left"/>
      <w:pPr>
        <w:ind w:left="7860" w:hanging="529"/>
      </w:pPr>
      <w:rPr>
        <w:rFonts w:hint="default"/>
        <w:lang w:val="zh-CN" w:eastAsia="zh-CN" w:bidi="zh-CN"/>
      </w:rPr>
    </w:lvl>
    <w:lvl w:ilvl="8" w:tplc="C2BC47E2">
      <w:numFmt w:val="bullet"/>
      <w:lvlText w:val="•"/>
      <w:lvlJc w:val="left"/>
      <w:pPr>
        <w:ind w:left="8789" w:hanging="529"/>
      </w:pPr>
      <w:rPr>
        <w:rFonts w:hint="default"/>
        <w:lang w:val="zh-CN" w:eastAsia="zh-CN" w:bidi="zh-CN"/>
      </w:rPr>
    </w:lvl>
  </w:abstractNum>
  <w:abstractNum w:abstractNumId="921" w15:restartNumberingAfterBreak="0">
    <w:nsid w:val="788E3C9D"/>
    <w:multiLevelType w:val="hybridMultilevel"/>
    <w:tmpl w:val="14EAA044"/>
    <w:lvl w:ilvl="0" w:tplc="BF06F0A6">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96FA6504">
      <w:numFmt w:val="bullet"/>
      <w:lvlText w:val="•"/>
      <w:lvlJc w:val="left"/>
      <w:pPr>
        <w:ind w:left="2288" w:hanging="529"/>
      </w:pPr>
      <w:rPr>
        <w:rFonts w:hint="default"/>
        <w:lang w:val="zh-CN" w:eastAsia="zh-CN" w:bidi="zh-CN"/>
      </w:rPr>
    </w:lvl>
    <w:lvl w:ilvl="2" w:tplc="D6344040">
      <w:numFmt w:val="bullet"/>
      <w:lvlText w:val="•"/>
      <w:lvlJc w:val="left"/>
      <w:pPr>
        <w:ind w:left="3217" w:hanging="529"/>
      </w:pPr>
      <w:rPr>
        <w:rFonts w:hint="default"/>
        <w:lang w:val="zh-CN" w:eastAsia="zh-CN" w:bidi="zh-CN"/>
      </w:rPr>
    </w:lvl>
    <w:lvl w:ilvl="3" w:tplc="46629F78">
      <w:numFmt w:val="bullet"/>
      <w:lvlText w:val="•"/>
      <w:lvlJc w:val="left"/>
      <w:pPr>
        <w:ind w:left="4145" w:hanging="529"/>
      </w:pPr>
      <w:rPr>
        <w:rFonts w:hint="default"/>
        <w:lang w:val="zh-CN" w:eastAsia="zh-CN" w:bidi="zh-CN"/>
      </w:rPr>
    </w:lvl>
    <w:lvl w:ilvl="4" w:tplc="392CBC38">
      <w:numFmt w:val="bullet"/>
      <w:lvlText w:val="•"/>
      <w:lvlJc w:val="left"/>
      <w:pPr>
        <w:ind w:left="5074" w:hanging="529"/>
      </w:pPr>
      <w:rPr>
        <w:rFonts w:hint="default"/>
        <w:lang w:val="zh-CN" w:eastAsia="zh-CN" w:bidi="zh-CN"/>
      </w:rPr>
    </w:lvl>
    <w:lvl w:ilvl="5" w:tplc="57E0ADD6">
      <w:numFmt w:val="bullet"/>
      <w:lvlText w:val="•"/>
      <w:lvlJc w:val="left"/>
      <w:pPr>
        <w:ind w:left="6003" w:hanging="529"/>
      </w:pPr>
      <w:rPr>
        <w:rFonts w:hint="default"/>
        <w:lang w:val="zh-CN" w:eastAsia="zh-CN" w:bidi="zh-CN"/>
      </w:rPr>
    </w:lvl>
    <w:lvl w:ilvl="6" w:tplc="8F6EF58E">
      <w:numFmt w:val="bullet"/>
      <w:lvlText w:val="•"/>
      <w:lvlJc w:val="left"/>
      <w:pPr>
        <w:ind w:left="6931" w:hanging="529"/>
      </w:pPr>
      <w:rPr>
        <w:rFonts w:hint="default"/>
        <w:lang w:val="zh-CN" w:eastAsia="zh-CN" w:bidi="zh-CN"/>
      </w:rPr>
    </w:lvl>
    <w:lvl w:ilvl="7" w:tplc="E55C7D1E">
      <w:numFmt w:val="bullet"/>
      <w:lvlText w:val="•"/>
      <w:lvlJc w:val="left"/>
      <w:pPr>
        <w:ind w:left="7860" w:hanging="529"/>
      </w:pPr>
      <w:rPr>
        <w:rFonts w:hint="default"/>
        <w:lang w:val="zh-CN" w:eastAsia="zh-CN" w:bidi="zh-CN"/>
      </w:rPr>
    </w:lvl>
    <w:lvl w:ilvl="8" w:tplc="4CC489C2">
      <w:numFmt w:val="bullet"/>
      <w:lvlText w:val="•"/>
      <w:lvlJc w:val="left"/>
      <w:pPr>
        <w:ind w:left="8789" w:hanging="529"/>
      </w:pPr>
      <w:rPr>
        <w:rFonts w:hint="default"/>
        <w:lang w:val="zh-CN" w:eastAsia="zh-CN" w:bidi="zh-CN"/>
      </w:rPr>
    </w:lvl>
  </w:abstractNum>
  <w:abstractNum w:abstractNumId="922" w15:restartNumberingAfterBreak="0">
    <w:nsid w:val="78BC2054"/>
    <w:multiLevelType w:val="hybridMultilevel"/>
    <w:tmpl w:val="E2C8D88E"/>
    <w:lvl w:ilvl="0" w:tplc="514C5406">
      <w:start w:val="2"/>
      <w:numFmt w:val="lowerLetter"/>
      <w:lvlText w:val="%1)"/>
      <w:lvlJc w:val="left"/>
      <w:pPr>
        <w:ind w:left="1050" w:hanging="213"/>
        <w:jc w:val="left"/>
      </w:pPr>
      <w:rPr>
        <w:rFonts w:ascii="宋体" w:eastAsia="宋体" w:hAnsi="宋体" w:cs="宋体" w:hint="default"/>
        <w:spacing w:val="-3"/>
        <w:w w:val="100"/>
        <w:sz w:val="19"/>
        <w:szCs w:val="19"/>
        <w:lang w:val="zh-CN" w:eastAsia="zh-CN" w:bidi="zh-CN"/>
      </w:rPr>
    </w:lvl>
    <w:lvl w:ilvl="1" w:tplc="E1B447E4">
      <w:numFmt w:val="bullet"/>
      <w:lvlText w:val="•"/>
      <w:lvlJc w:val="left"/>
      <w:pPr>
        <w:ind w:left="2018" w:hanging="213"/>
      </w:pPr>
      <w:rPr>
        <w:rFonts w:hint="default"/>
        <w:lang w:val="zh-CN" w:eastAsia="zh-CN" w:bidi="zh-CN"/>
      </w:rPr>
    </w:lvl>
    <w:lvl w:ilvl="2" w:tplc="87C07096">
      <w:numFmt w:val="bullet"/>
      <w:lvlText w:val="•"/>
      <w:lvlJc w:val="left"/>
      <w:pPr>
        <w:ind w:left="2977" w:hanging="213"/>
      </w:pPr>
      <w:rPr>
        <w:rFonts w:hint="default"/>
        <w:lang w:val="zh-CN" w:eastAsia="zh-CN" w:bidi="zh-CN"/>
      </w:rPr>
    </w:lvl>
    <w:lvl w:ilvl="3" w:tplc="C9066F60">
      <w:numFmt w:val="bullet"/>
      <w:lvlText w:val="•"/>
      <w:lvlJc w:val="left"/>
      <w:pPr>
        <w:ind w:left="3935" w:hanging="213"/>
      </w:pPr>
      <w:rPr>
        <w:rFonts w:hint="default"/>
        <w:lang w:val="zh-CN" w:eastAsia="zh-CN" w:bidi="zh-CN"/>
      </w:rPr>
    </w:lvl>
    <w:lvl w:ilvl="4" w:tplc="36E6989E">
      <w:numFmt w:val="bullet"/>
      <w:lvlText w:val="•"/>
      <w:lvlJc w:val="left"/>
      <w:pPr>
        <w:ind w:left="4894" w:hanging="213"/>
      </w:pPr>
      <w:rPr>
        <w:rFonts w:hint="default"/>
        <w:lang w:val="zh-CN" w:eastAsia="zh-CN" w:bidi="zh-CN"/>
      </w:rPr>
    </w:lvl>
    <w:lvl w:ilvl="5" w:tplc="5BAA1FDE">
      <w:numFmt w:val="bullet"/>
      <w:lvlText w:val="•"/>
      <w:lvlJc w:val="left"/>
      <w:pPr>
        <w:ind w:left="5853" w:hanging="213"/>
      </w:pPr>
      <w:rPr>
        <w:rFonts w:hint="default"/>
        <w:lang w:val="zh-CN" w:eastAsia="zh-CN" w:bidi="zh-CN"/>
      </w:rPr>
    </w:lvl>
    <w:lvl w:ilvl="6" w:tplc="FD80A382">
      <w:numFmt w:val="bullet"/>
      <w:lvlText w:val="•"/>
      <w:lvlJc w:val="left"/>
      <w:pPr>
        <w:ind w:left="6811" w:hanging="213"/>
      </w:pPr>
      <w:rPr>
        <w:rFonts w:hint="default"/>
        <w:lang w:val="zh-CN" w:eastAsia="zh-CN" w:bidi="zh-CN"/>
      </w:rPr>
    </w:lvl>
    <w:lvl w:ilvl="7" w:tplc="4CB64CC8">
      <w:numFmt w:val="bullet"/>
      <w:lvlText w:val="•"/>
      <w:lvlJc w:val="left"/>
      <w:pPr>
        <w:ind w:left="7770" w:hanging="213"/>
      </w:pPr>
      <w:rPr>
        <w:rFonts w:hint="default"/>
        <w:lang w:val="zh-CN" w:eastAsia="zh-CN" w:bidi="zh-CN"/>
      </w:rPr>
    </w:lvl>
    <w:lvl w:ilvl="8" w:tplc="FA0E7B82">
      <w:numFmt w:val="bullet"/>
      <w:lvlText w:val="•"/>
      <w:lvlJc w:val="left"/>
      <w:pPr>
        <w:ind w:left="8729" w:hanging="213"/>
      </w:pPr>
      <w:rPr>
        <w:rFonts w:hint="default"/>
        <w:lang w:val="zh-CN" w:eastAsia="zh-CN" w:bidi="zh-CN"/>
      </w:rPr>
    </w:lvl>
  </w:abstractNum>
  <w:abstractNum w:abstractNumId="923" w15:restartNumberingAfterBreak="0">
    <w:nsid w:val="78CF61A5"/>
    <w:multiLevelType w:val="hybridMultilevel"/>
    <w:tmpl w:val="6352DBD6"/>
    <w:lvl w:ilvl="0" w:tplc="591AA7F0">
      <w:start w:val="5"/>
      <w:numFmt w:val="decimal"/>
      <w:lvlText w:val="%1"/>
      <w:lvlJc w:val="left"/>
      <w:pPr>
        <w:ind w:left="1158" w:hanging="318"/>
        <w:jc w:val="left"/>
      </w:pPr>
      <w:rPr>
        <w:rFonts w:hint="default"/>
        <w:lang w:val="zh-CN" w:eastAsia="zh-CN" w:bidi="zh-CN"/>
      </w:rPr>
    </w:lvl>
    <w:lvl w:ilvl="1" w:tplc="52D06904">
      <w:start w:val="9"/>
      <w:numFmt w:val="decimal"/>
      <w:lvlText w:val="%1.%2"/>
      <w:lvlJc w:val="left"/>
      <w:pPr>
        <w:ind w:left="1158" w:hanging="318"/>
        <w:jc w:val="left"/>
      </w:pPr>
      <w:rPr>
        <w:rFonts w:ascii="宋体" w:eastAsia="宋体" w:hAnsi="宋体" w:cs="宋体" w:hint="default"/>
        <w:b/>
        <w:bCs/>
        <w:spacing w:val="-3"/>
        <w:w w:val="99"/>
        <w:sz w:val="19"/>
        <w:szCs w:val="19"/>
        <w:lang w:val="zh-CN" w:eastAsia="zh-CN" w:bidi="zh-CN"/>
      </w:rPr>
    </w:lvl>
    <w:lvl w:ilvl="2" w:tplc="5A0E54AC">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DED64E40">
      <w:start w:val="1"/>
      <w:numFmt w:val="decimal"/>
      <w:lvlText w:val="%1.%2.%3.%4"/>
      <w:lvlJc w:val="left"/>
      <w:pPr>
        <w:ind w:left="418" w:hanging="844"/>
        <w:jc w:val="left"/>
      </w:pPr>
      <w:rPr>
        <w:rFonts w:ascii="宋体" w:eastAsia="宋体" w:hAnsi="宋体" w:cs="宋体" w:hint="default"/>
        <w:spacing w:val="-3"/>
        <w:w w:val="100"/>
        <w:sz w:val="19"/>
        <w:szCs w:val="19"/>
        <w:lang w:val="zh-CN" w:eastAsia="zh-CN" w:bidi="zh-CN"/>
      </w:rPr>
    </w:lvl>
    <w:lvl w:ilvl="4" w:tplc="42EE0A2C">
      <w:numFmt w:val="bullet"/>
      <w:lvlText w:val="•"/>
      <w:lvlJc w:val="left"/>
      <w:pPr>
        <w:ind w:left="3771" w:hanging="844"/>
      </w:pPr>
      <w:rPr>
        <w:rFonts w:hint="default"/>
        <w:lang w:val="zh-CN" w:eastAsia="zh-CN" w:bidi="zh-CN"/>
      </w:rPr>
    </w:lvl>
    <w:lvl w:ilvl="5" w:tplc="755CC5D8">
      <w:numFmt w:val="bullet"/>
      <w:lvlText w:val="•"/>
      <w:lvlJc w:val="left"/>
      <w:pPr>
        <w:ind w:left="4917" w:hanging="844"/>
      </w:pPr>
      <w:rPr>
        <w:rFonts w:hint="default"/>
        <w:lang w:val="zh-CN" w:eastAsia="zh-CN" w:bidi="zh-CN"/>
      </w:rPr>
    </w:lvl>
    <w:lvl w:ilvl="6" w:tplc="AC5257F4">
      <w:numFmt w:val="bullet"/>
      <w:lvlText w:val="•"/>
      <w:lvlJc w:val="left"/>
      <w:pPr>
        <w:ind w:left="6063" w:hanging="844"/>
      </w:pPr>
      <w:rPr>
        <w:rFonts w:hint="default"/>
        <w:lang w:val="zh-CN" w:eastAsia="zh-CN" w:bidi="zh-CN"/>
      </w:rPr>
    </w:lvl>
    <w:lvl w:ilvl="7" w:tplc="B42EB8B2">
      <w:numFmt w:val="bullet"/>
      <w:lvlText w:val="•"/>
      <w:lvlJc w:val="left"/>
      <w:pPr>
        <w:ind w:left="7209" w:hanging="844"/>
      </w:pPr>
      <w:rPr>
        <w:rFonts w:hint="default"/>
        <w:lang w:val="zh-CN" w:eastAsia="zh-CN" w:bidi="zh-CN"/>
      </w:rPr>
    </w:lvl>
    <w:lvl w:ilvl="8" w:tplc="FC98DE4A">
      <w:numFmt w:val="bullet"/>
      <w:lvlText w:val="•"/>
      <w:lvlJc w:val="left"/>
      <w:pPr>
        <w:ind w:left="8354" w:hanging="844"/>
      </w:pPr>
      <w:rPr>
        <w:rFonts w:hint="default"/>
        <w:lang w:val="zh-CN" w:eastAsia="zh-CN" w:bidi="zh-CN"/>
      </w:rPr>
    </w:lvl>
  </w:abstractNum>
  <w:abstractNum w:abstractNumId="924" w15:restartNumberingAfterBreak="0">
    <w:nsid w:val="78DD7C47"/>
    <w:multiLevelType w:val="hybridMultilevel"/>
    <w:tmpl w:val="2AAA19CC"/>
    <w:lvl w:ilvl="0" w:tplc="13AE5E4C">
      <w:start w:val="5"/>
      <w:numFmt w:val="decimal"/>
      <w:lvlText w:val="%1"/>
      <w:lvlJc w:val="left"/>
      <w:pPr>
        <w:ind w:left="996" w:hanging="579"/>
        <w:jc w:val="left"/>
      </w:pPr>
      <w:rPr>
        <w:rFonts w:hint="default"/>
        <w:lang w:val="zh-CN" w:eastAsia="zh-CN" w:bidi="zh-CN"/>
      </w:rPr>
    </w:lvl>
    <w:lvl w:ilvl="1" w:tplc="1156851C">
      <w:start w:val="8"/>
      <w:numFmt w:val="decimal"/>
      <w:lvlText w:val="%1.%2"/>
      <w:lvlJc w:val="left"/>
      <w:pPr>
        <w:ind w:left="996" w:hanging="579"/>
        <w:jc w:val="left"/>
      </w:pPr>
      <w:rPr>
        <w:rFonts w:hint="default"/>
        <w:lang w:val="zh-CN" w:eastAsia="zh-CN" w:bidi="zh-CN"/>
      </w:rPr>
    </w:lvl>
    <w:lvl w:ilvl="2" w:tplc="FC889302">
      <w:start w:val="8"/>
      <w:numFmt w:val="decimal"/>
      <w:lvlText w:val="%1.%2.%3"/>
      <w:lvlJc w:val="left"/>
      <w:pPr>
        <w:ind w:left="996" w:hanging="579"/>
        <w:jc w:val="left"/>
      </w:pPr>
      <w:rPr>
        <w:rFonts w:ascii="宋体" w:eastAsia="宋体" w:hAnsi="宋体" w:cs="宋体" w:hint="default"/>
        <w:w w:val="100"/>
        <w:sz w:val="21"/>
        <w:szCs w:val="21"/>
        <w:lang w:val="zh-CN" w:eastAsia="zh-CN" w:bidi="zh-CN"/>
      </w:rPr>
    </w:lvl>
    <w:lvl w:ilvl="3" w:tplc="1A9C4ACA">
      <w:numFmt w:val="bullet"/>
      <w:lvlText w:val="•"/>
      <w:lvlJc w:val="left"/>
      <w:pPr>
        <w:ind w:left="3893" w:hanging="579"/>
      </w:pPr>
      <w:rPr>
        <w:rFonts w:hint="default"/>
        <w:lang w:val="zh-CN" w:eastAsia="zh-CN" w:bidi="zh-CN"/>
      </w:rPr>
    </w:lvl>
    <w:lvl w:ilvl="4" w:tplc="BE5ED0AA">
      <w:numFmt w:val="bullet"/>
      <w:lvlText w:val="•"/>
      <w:lvlJc w:val="left"/>
      <w:pPr>
        <w:ind w:left="4858" w:hanging="579"/>
      </w:pPr>
      <w:rPr>
        <w:rFonts w:hint="default"/>
        <w:lang w:val="zh-CN" w:eastAsia="zh-CN" w:bidi="zh-CN"/>
      </w:rPr>
    </w:lvl>
    <w:lvl w:ilvl="5" w:tplc="C25CC414">
      <w:numFmt w:val="bullet"/>
      <w:lvlText w:val="•"/>
      <w:lvlJc w:val="left"/>
      <w:pPr>
        <w:ind w:left="5823" w:hanging="579"/>
      </w:pPr>
      <w:rPr>
        <w:rFonts w:hint="default"/>
        <w:lang w:val="zh-CN" w:eastAsia="zh-CN" w:bidi="zh-CN"/>
      </w:rPr>
    </w:lvl>
    <w:lvl w:ilvl="6" w:tplc="E8B4C05E">
      <w:numFmt w:val="bullet"/>
      <w:lvlText w:val="•"/>
      <w:lvlJc w:val="left"/>
      <w:pPr>
        <w:ind w:left="6787" w:hanging="579"/>
      </w:pPr>
      <w:rPr>
        <w:rFonts w:hint="default"/>
        <w:lang w:val="zh-CN" w:eastAsia="zh-CN" w:bidi="zh-CN"/>
      </w:rPr>
    </w:lvl>
    <w:lvl w:ilvl="7" w:tplc="7D76A2EA">
      <w:numFmt w:val="bullet"/>
      <w:lvlText w:val="•"/>
      <w:lvlJc w:val="left"/>
      <w:pPr>
        <w:ind w:left="7752" w:hanging="579"/>
      </w:pPr>
      <w:rPr>
        <w:rFonts w:hint="default"/>
        <w:lang w:val="zh-CN" w:eastAsia="zh-CN" w:bidi="zh-CN"/>
      </w:rPr>
    </w:lvl>
    <w:lvl w:ilvl="8" w:tplc="8520B1EA">
      <w:numFmt w:val="bullet"/>
      <w:lvlText w:val="•"/>
      <w:lvlJc w:val="left"/>
      <w:pPr>
        <w:ind w:left="8717" w:hanging="579"/>
      </w:pPr>
      <w:rPr>
        <w:rFonts w:hint="default"/>
        <w:lang w:val="zh-CN" w:eastAsia="zh-CN" w:bidi="zh-CN"/>
      </w:rPr>
    </w:lvl>
  </w:abstractNum>
  <w:abstractNum w:abstractNumId="925" w15:restartNumberingAfterBreak="0">
    <w:nsid w:val="79297EAE"/>
    <w:multiLevelType w:val="hybridMultilevel"/>
    <w:tmpl w:val="37D8EAF2"/>
    <w:lvl w:ilvl="0" w:tplc="DDFCAF68">
      <w:start w:val="6"/>
      <w:numFmt w:val="decimal"/>
      <w:lvlText w:val="%1"/>
      <w:lvlJc w:val="left"/>
      <w:pPr>
        <w:ind w:left="1159" w:hanging="320"/>
        <w:jc w:val="left"/>
      </w:pPr>
      <w:rPr>
        <w:rFonts w:hint="default"/>
        <w:lang w:val="zh-CN" w:eastAsia="zh-CN" w:bidi="zh-CN"/>
      </w:rPr>
    </w:lvl>
    <w:lvl w:ilvl="1" w:tplc="B0320090">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0DB89A1E">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E9B0C638">
      <w:numFmt w:val="bullet"/>
      <w:lvlText w:val="•"/>
      <w:lvlJc w:val="left"/>
      <w:pPr>
        <w:ind w:left="3763" w:hanging="531"/>
      </w:pPr>
      <w:rPr>
        <w:rFonts w:hint="default"/>
        <w:lang w:val="zh-CN" w:eastAsia="zh-CN" w:bidi="zh-CN"/>
      </w:rPr>
    </w:lvl>
    <w:lvl w:ilvl="4" w:tplc="D72E9E32">
      <w:numFmt w:val="bullet"/>
      <w:lvlText w:val="•"/>
      <w:lvlJc w:val="left"/>
      <w:pPr>
        <w:ind w:left="4746" w:hanging="531"/>
      </w:pPr>
      <w:rPr>
        <w:rFonts w:hint="default"/>
        <w:lang w:val="zh-CN" w:eastAsia="zh-CN" w:bidi="zh-CN"/>
      </w:rPr>
    </w:lvl>
    <w:lvl w:ilvl="5" w:tplc="4EBABB0E">
      <w:numFmt w:val="bullet"/>
      <w:lvlText w:val="•"/>
      <w:lvlJc w:val="left"/>
      <w:pPr>
        <w:ind w:left="5729" w:hanging="531"/>
      </w:pPr>
      <w:rPr>
        <w:rFonts w:hint="default"/>
        <w:lang w:val="zh-CN" w:eastAsia="zh-CN" w:bidi="zh-CN"/>
      </w:rPr>
    </w:lvl>
    <w:lvl w:ilvl="6" w:tplc="9F805E18">
      <w:numFmt w:val="bullet"/>
      <w:lvlText w:val="•"/>
      <w:lvlJc w:val="left"/>
      <w:pPr>
        <w:ind w:left="6713" w:hanging="531"/>
      </w:pPr>
      <w:rPr>
        <w:rFonts w:hint="default"/>
        <w:lang w:val="zh-CN" w:eastAsia="zh-CN" w:bidi="zh-CN"/>
      </w:rPr>
    </w:lvl>
    <w:lvl w:ilvl="7" w:tplc="25DE1742">
      <w:numFmt w:val="bullet"/>
      <w:lvlText w:val="•"/>
      <w:lvlJc w:val="left"/>
      <w:pPr>
        <w:ind w:left="7696" w:hanging="531"/>
      </w:pPr>
      <w:rPr>
        <w:rFonts w:hint="default"/>
        <w:lang w:val="zh-CN" w:eastAsia="zh-CN" w:bidi="zh-CN"/>
      </w:rPr>
    </w:lvl>
    <w:lvl w:ilvl="8" w:tplc="B52CC6F0">
      <w:numFmt w:val="bullet"/>
      <w:lvlText w:val="•"/>
      <w:lvlJc w:val="left"/>
      <w:pPr>
        <w:ind w:left="8679" w:hanging="531"/>
      </w:pPr>
      <w:rPr>
        <w:rFonts w:hint="default"/>
        <w:lang w:val="zh-CN" w:eastAsia="zh-CN" w:bidi="zh-CN"/>
      </w:rPr>
    </w:lvl>
  </w:abstractNum>
  <w:abstractNum w:abstractNumId="926" w15:restartNumberingAfterBreak="0">
    <w:nsid w:val="79307695"/>
    <w:multiLevelType w:val="hybridMultilevel"/>
    <w:tmpl w:val="0A92C19E"/>
    <w:lvl w:ilvl="0" w:tplc="5CB02EDA">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A9525028">
      <w:numFmt w:val="bullet"/>
      <w:lvlText w:val="•"/>
      <w:lvlJc w:val="left"/>
      <w:pPr>
        <w:ind w:left="2288" w:hanging="529"/>
      </w:pPr>
      <w:rPr>
        <w:rFonts w:hint="default"/>
        <w:lang w:val="zh-CN" w:eastAsia="zh-CN" w:bidi="zh-CN"/>
      </w:rPr>
    </w:lvl>
    <w:lvl w:ilvl="2" w:tplc="676E7662">
      <w:numFmt w:val="bullet"/>
      <w:lvlText w:val="•"/>
      <w:lvlJc w:val="left"/>
      <w:pPr>
        <w:ind w:left="3217" w:hanging="529"/>
      </w:pPr>
      <w:rPr>
        <w:rFonts w:hint="default"/>
        <w:lang w:val="zh-CN" w:eastAsia="zh-CN" w:bidi="zh-CN"/>
      </w:rPr>
    </w:lvl>
    <w:lvl w:ilvl="3" w:tplc="086454FA">
      <w:numFmt w:val="bullet"/>
      <w:lvlText w:val="•"/>
      <w:lvlJc w:val="left"/>
      <w:pPr>
        <w:ind w:left="4145" w:hanging="529"/>
      </w:pPr>
      <w:rPr>
        <w:rFonts w:hint="default"/>
        <w:lang w:val="zh-CN" w:eastAsia="zh-CN" w:bidi="zh-CN"/>
      </w:rPr>
    </w:lvl>
    <w:lvl w:ilvl="4" w:tplc="7B54CE78">
      <w:numFmt w:val="bullet"/>
      <w:lvlText w:val="•"/>
      <w:lvlJc w:val="left"/>
      <w:pPr>
        <w:ind w:left="5074" w:hanging="529"/>
      </w:pPr>
      <w:rPr>
        <w:rFonts w:hint="default"/>
        <w:lang w:val="zh-CN" w:eastAsia="zh-CN" w:bidi="zh-CN"/>
      </w:rPr>
    </w:lvl>
    <w:lvl w:ilvl="5" w:tplc="8D88173A">
      <w:numFmt w:val="bullet"/>
      <w:lvlText w:val="•"/>
      <w:lvlJc w:val="left"/>
      <w:pPr>
        <w:ind w:left="6003" w:hanging="529"/>
      </w:pPr>
      <w:rPr>
        <w:rFonts w:hint="default"/>
        <w:lang w:val="zh-CN" w:eastAsia="zh-CN" w:bidi="zh-CN"/>
      </w:rPr>
    </w:lvl>
    <w:lvl w:ilvl="6" w:tplc="4B78B91E">
      <w:numFmt w:val="bullet"/>
      <w:lvlText w:val="•"/>
      <w:lvlJc w:val="left"/>
      <w:pPr>
        <w:ind w:left="6931" w:hanging="529"/>
      </w:pPr>
      <w:rPr>
        <w:rFonts w:hint="default"/>
        <w:lang w:val="zh-CN" w:eastAsia="zh-CN" w:bidi="zh-CN"/>
      </w:rPr>
    </w:lvl>
    <w:lvl w:ilvl="7" w:tplc="30E66D8A">
      <w:numFmt w:val="bullet"/>
      <w:lvlText w:val="•"/>
      <w:lvlJc w:val="left"/>
      <w:pPr>
        <w:ind w:left="7860" w:hanging="529"/>
      </w:pPr>
      <w:rPr>
        <w:rFonts w:hint="default"/>
        <w:lang w:val="zh-CN" w:eastAsia="zh-CN" w:bidi="zh-CN"/>
      </w:rPr>
    </w:lvl>
    <w:lvl w:ilvl="8" w:tplc="CC80E29A">
      <w:numFmt w:val="bullet"/>
      <w:lvlText w:val="•"/>
      <w:lvlJc w:val="left"/>
      <w:pPr>
        <w:ind w:left="8789" w:hanging="529"/>
      </w:pPr>
      <w:rPr>
        <w:rFonts w:hint="default"/>
        <w:lang w:val="zh-CN" w:eastAsia="zh-CN" w:bidi="zh-CN"/>
      </w:rPr>
    </w:lvl>
  </w:abstractNum>
  <w:abstractNum w:abstractNumId="927" w15:restartNumberingAfterBreak="0">
    <w:nsid w:val="795B5F63"/>
    <w:multiLevelType w:val="hybridMultilevel"/>
    <w:tmpl w:val="5854EF36"/>
    <w:lvl w:ilvl="0" w:tplc="A2FABB2C">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16AC3EEE">
      <w:numFmt w:val="bullet"/>
      <w:lvlText w:val="•"/>
      <w:lvlJc w:val="left"/>
      <w:pPr>
        <w:ind w:left="2288" w:hanging="529"/>
      </w:pPr>
      <w:rPr>
        <w:rFonts w:hint="default"/>
        <w:lang w:val="zh-CN" w:eastAsia="zh-CN" w:bidi="zh-CN"/>
      </w:rPr>
    </w:lvl>
    <w:lvl w:ilvl="2" w:tplc="8A020934">
      <w:numFmt w:val="bullet"/>
      <w:lvlText w:val="•"/>
      <w:lvlJc w:val="left"/>
      <w:pPr>
        <w:ind w:left="3217" w:hanging="529"/>
      </w:pPr>
      <w:rPr>
        <w:rFonts w:hint="default"/>
        <w:lang w:val="zh-CN" w:eastAsia="zh-CN" w:bidi="zh-CN"/>
      </w:rPr>
    </w:lvl>
    <w:lvl w:ilvl="3" w:tplc="7704647A">
      <w:numFmt w:val="bullet"/>
      <w:lvlText w:val="•"/>
      <w:lvlJc w:val="left"/>
      <w:pPr>
        <w:ind w:left="4145" w:hanging="529"/>
      </w:pPr>
      <w:rPr>
        <w:rFonts w:hint="default"/>
        <w:lang w:val="zh-CN" w:eastAsia="zh-CN" w:bidi="zh-CN"/>
      </w:rPr>
    </w:lvl>
    <w:lvl w:ilvl="4" w:tplc="1332E41C">
      <w:numFmt w:val="bullet"/>
      <w:lvlText w:val="•"/>
      <w:lvlJc w:val="left"/>
      <w:pPr>
        <w:ind w:left="5074" w:hanging="529"/>
      </w:pPr>
      <w:rPr>
        <w:rFonts w:hint="default"/>
        <w:lang w:val="zh-CN" w:eastAsia="zh-CN" w:bidi="zh-CN"/>
      </w:rPr>
    </w:lvl>
    <w:lvl w:ilvl="5" w:tplc="A5867A4A">
      <w:numFmt w:val="bullet"/>
      <w:lvlText w:val="•"/>
      <w:lvlJc w:val="left"/>
      <w:pPr>
        <w:ind w:left="6003" w:hanging="529"/>
      </w:pPr>
      <w:rPr>
        <w:rFonts w:hint="default"/>
        <w:lang w:val="zh-CN" w:eastAsia="zh-CN" w:bidi="zh-CN"/>
      </w:rPr>
    </w:lvl>
    <w:lvl w:ilvl="6" w:tplc="E99A74F8">
      <w:numFmt w:val="bullet"/>
      <w:lvlText w:val="•"/>
      <w:lvlJc w:val="left"/>
      <w:pPr>
        <w:ind w:left="6931" w:hanging="529"/>
      </w:pPr>
      <w:rPr>
        <w:rFonts w:hint="default"/>
        <w:lang w:val="zh-CN" w:eastAsia="zh-CN" w:bidi="zh-CN"/>
      </w:rPr>
    </w:lvl>
    <w:lvl w:ilvl="7" w:tplc="BD423B58">
      <w:numFmt w:val="bullet"/>
      <w:lvlText w:val="•"/>
      <w:lvlJc w:val="left"/>
      <w:pPr>
        <w:ind w:left="7860" w:hanging="529"/>
      </w:pPr>
      <w:rPr>
        <w:rFonts w:hint="default"/>
        <w:lang w:val="zh-CN" w:eastAsia="zh-CN" w:bidi="zh-CN"/>
      </w:rPr>
    </w:lvl>
    <w:lvl w:ilvl="8" w:tplc="20D6FFBC">
      <w:numFmt w:val="bullet"/>
      <w:lvlText w:val="•"/>
      <w:lvlJc w:val="left"/>
      <w:pPr>
        <w:ind w:left="8789" w:hanging="529"/>
      </w:pPr>
      <w:rPr>
        <w:rFonts w:hint="default"/>
        <w:lang w:val="zh-CN" w:eastAsia="zh-CN" w:bidi="zh-CN"/>
      </w:rPr>
    </w:lvl>
  </w:abstractNum>
  <w:abstractNum w:abstractNumId="928" w15:restartNumberingAfterBreak="0">
    <w:nsid w:val="796B5718"/>
    <w:multiLevelType w:val="hybridMultilevel"/>
    <w:tmpl w:val="D3366EA8"/>
    <w:lvl w:ilvl="0" w:tplc="BB78A266">
      <w:start w:val="1"/>
      <w:numFmt w:val="decimal"/>
      <w:lvlText w:val="（%1）"/>
      <w:lvlJc w:val="left"/>
      <w:pPr>
        <w:ind w:left="418" w:hanging="532"/>
        <w:jc w:val="left"/>
      </w:pPr>
      <w:rPr>
        <w:rFonts w:ascii="宋体" w:eastAsia="宋体" w:hAnsi="宋体" w:cs="宋体" w:hint="default"/>
        <w:spacing w:val="0"/>
        <w:w w:val="100"/>
        <w:sz w:val="19"/>
        <w:szCs w:val="19"/>
        <w:lang w:val="zh-CN" w:eastAsia="zh-CN" w:bidi="zh-CN"/>
      </w:rPr>
    </w:lvl>
    <w:lvl w:ilvl="1" w:tplc="C01A5DCA">
      <w:numFmt w:val="bullet"/>
      <w:lvlText w:val="•"/>
      <w:lvlJc w:val="left"/>
      <w:pPr>
        <w:ind w:left="1442" w:hanging="532"/>
      </w:pPr>
      <w:rPr>
        <w:rFonts w:hint="default"/>
        <w:lang w:val="zh-CN" w:eastAsia="zh-CN" w:bidi="zh-CN"/>
      </w:rPr>
    </w:lvl>
    <w:lvl w:ilvl="2" w:tplc="7D746BC0">
      <w:numFmt w:val="bullet"/>
      <w:lvlText w:val="•"/>
      <w:lvlJc w:val="left"/>
      <w:pPr>
        <w:ind w:left="2465" w:hanging="532"/>
      </w:pPr>
      <w:rPr>
        <w:rFonts w:hint="default"/>
        <w:lang w:val="zh-CN" w:eastAsia="zh-CN" w:bidi="zh-CN"/>
      </w:rPr>
    </w:lvl>
    <w:lvl w:ilvl="3" w:tplc="01E86036">
      <w:numFmt w:val="bullet"/>
      <w:lvlText w:val="•"/>
      <w:lvlJc w:val="left"/>
      <w:pPr>
        <w:ind w:left="3487" w:hanging="532"/>
      </w:pPr>
      <w:rPr>
        <w:rFonts w:hint="default"/>
        <w:lang w:val="zh-CN" w:eastAsia="zh-CN" w:bidi="zh-CN"/>
      </w:rPr>
    </w:lvl>
    <w:lvl w:ilvl="4" w:tplc="86FCE93C">
      <w:numFmt w:val="bullet"/>
      <w:lvlText w:val="•"/>
      <w:lvlJc w:val="left"/>
      <w:pPr>
        <w:ind w:left="4510" w:hanging="532"/>
      </w:pPr>
      <w:rPr>
        <w:rFonts w:hint="default"/>
        <w:lang w:val="zh-CN" w:eastAsia="zh-CN" w:bidi="zh-CN"/>
      </w:rPr>
    </w:lvl>
    <w:lvl w:ilvl="5" w:tplc="5C12841A">
      <w:numFmt w:val="bullet"/>
      <w:lvlText w:val="•"/>
      <w:lvlJc w:val="left"/>
      <w:pPr>
        <w:ind w:left="5533" w:hanging="532"/>
      </w:pPr>
      <w:rPr>
        <w:rFonts w:hint="default"/>
        <w:lang w:val="zh-CN" w:eastAsia="zh-CN" w:bidi="zh-CN"/>
      </w:rPr>
    </w:lvl>
    <w:lvl w:ilvl="6" w:tplc="6C52109C">
      <w:numFmt w:val="bullet"/>
      <w:lvlText w:val="•"/>
      <w:lvlJc w:val="left"/>
      <w:pPr>
        <w:ind w:left="6555" w:hanging="532"/>
      </w:pPr>
      <w:rPr>
        <w:rFonts w:hint="default"/>
        <w:lang w:val="zh-CN" w:eastAsia="zh-CN" w:bidi="zh-CN"/>
      </w:rPr>
    </w:lvl>
    <w:lvl w:ilvl="7" w:tplc="7154477C">
      <w:numFmt w:val="bullet"/>
      <w:lvlText w:val="•"/>
      <w:lvlJc w:val="left"/>
      <w:pPr>
        <w:ind w:left="7578" w:hanging="532"/>
      </w:pPr>
      <w:rPr>
        <w:rFonts w:hint="default"/>
        <w:lang w:val="zh-CN" w:eastAsia="zh-CN" w:bidi="zh-CN"/>
      </w:rPr>
    </w:lvl>
    <w:lvl w:ilvl="8" w:tplc="CB96CE9A">
      <w:numFmt w:val="bullet"/>
      <w:lvlText w:val="•"/>
      <w:lvlJc w:val="left"/>
      <w:pPr>
        <w:ind w:left="8601" w:hanging="532"/>
      </w:pPr>
      <w:rPr>
        <w:rFonts w:hint="default"/>
        <w:lang w:val="zh-CN" w:eastAsia="zh-CN" w:bidi="zh-CN"/>
      </w:rPr>
    </w:lvl>
  </w:abstractNum>
  <w:abstractNum w:abstractNumId="929" w15:restartNumberingAfterBreak="0">
    <w:nsid w:val="79714977"/>
    <w:multiLevelType w:val="hybridMultilevel"/>
    <w:tmpl w:val="1A9879A2"/>
    <w:lvl w:ilvl="0" w:tplc="E214948A">
      <w:start w:val="6"/>
      <w:numFmt w:val="decimal"/>
      <w:lvlText w:val="%1"/>
      <w:lvlJc w:val="left"/>
      <w:pPr>
        <w:ind w:left="418" w:hanging="320"/>
        <w:jc w:val="left"/>
      </w:pPr>
      <w:rPr>
        <w:rFonts w:hint="default"/>
        <w:lang w:val="zh-CN" w:eastAsia="zh-CN" w:bidi="zh-CN"/>
      </w:rPr>
    </w:lvl>
    <w:lvl w:ilvl="1" w:tplc="E74A8CE4">
      <w:start w:val="1"/>
      <w:numFmt w:val="decimal"/>
      <w:lvlText w:val="%1.%2"/>
      <w:lvlJc w:val="left"/>
      <w:pPr>
        <w:ind w:left="418" w:hanging="320"/>
        <w:jc w:val="right"/>
      </w:pPr>
      <w:rPr>
        <w:rFonts w:ascii="宋体" w:eastAsia="宋体" w:hAnsi="宋体" w:cs="宋体" w:hint="default"/>
        <w:b/>
        <w:bCs/>
        <w:w w:val="99"/>
        <w:sz w:val="19"/>
        <w:szCs w:val="19"/>
        <w:lang w:val="zh-CN" w:eastAsia="zh-CN" w:bidi="zh-CN"/>
      </w:rPr>
    </w:lvl>
    <w:lvl w:ilvl="2" w:tplc="9892A070">
      <w:numFmt w:val="bullet"/>
      <w:lvlText w:val="•"/>
      <w:lvlJc w:val="left"/>
      <w:pPr>
        <w:ind w:left="2465" w:hanging="320"/>
      </w:pPr>
      <w:rPr>
        <w:rFonts w:hint="default"/>
        <w:lang w:val="zh-CN" w:eastAsia="zh-CN" w:bidi="zh-CN"/>
      </w:rPr>
    </w:lvl>
    <w:lvl w:ilvl="3" w:tplc="870AF550">
      <w:numFmt w:val="bullet"/>
      <w:lvlText w:val="•"/>
      <w:lvlJc w:val="left"/>
      <w:pPr>
        <w:ind w:left="3487" w:hanging="320"/>
      </w:pPr>
      <w:rPr>
        <w:rFonts w:hint="default"/>
        <w:lang w:val="zh-CN" w:eastAsia="zh-CN" w:bidi="zh-CN"/>
      </w:rPr>
    </w:lvl>
    <w:lvl w:ilvl="4" w:tplc="80C453EA">
      <w:numFmt w:val="bullet"/>
      <w:lvlText w:val="•"/>
      <w:lvlJc w:val="left"/>
      <w:pPr>
        <w:ind w:left="4510" w:hanging="320"/>
      </w:pPr>
      <w:rPr>
        <w:rFonts w:hint="default"/>
        <w:lang w:val="zh-CN" w:eastAsia="zh-CN" w:bidi="zh-CN"/>
      </w:rPr>
    </w:lvl>
    <w:lvl w:ilvl="5" w:tplc="AD0EA0A8">
      <w:numFmt w:val="bullet"/>
      <w:lvlText w:val="•"/>
      <w:lvlJc w:val="left"/>
      <w:pPr>
        <w:ind w:left="5533" w:hanging="320"/>
      </w:pPr>
      <w:rPr>
        <w:rFonts w:hint="default"/>
        <w:lang w:val="zh-CN" w:eastAsia="zh-CN" w:bidi="zh-CN"/>
      </w:rPr>
    </w:lvl>
    <w:lvl w:ilvl="6" w:tplc="B792D23A">
      <w:numFmt w:val="bullet"/>
      <w:lvlText w:val="•"/>
      <w:lvlJc w:val="left"/>
      <w:pPr>
        <w:ind w:left="6555" w:hanging="320"/>
      </w:pPr>
      <w:rPr>
        <w:rFonts w:hint="default"/>
        <w:lang w:val="zh-CN" w:eastAsia="zh-CN" w:bidi="zh-CN"/>
      </w:rPr>
    </w:lvl>
    <w:lvl w:ilvl="7" w:tplc="8A963364">
      <w:numFmt w:val="bullet"/>
      <w:lvlText w:val="•"/>
      <w:lvlJc w:val="left"/>
      <w:pPr>
        <w:ind w:left="7578" w:hanging="320"/>
      </w:pPr>
      <w:rPr>
        <w:rFonts w:hint="default"/>
        <w:lang w:val="zh-CN" w:eastAsia="zh-CN" w:bidi="zh-CN"/>
      </w:rPr>
    </w:lvl>
    <w:lvl w:ilvl="8" w:tplc="098467D2">
      <w:numFmt w:val="bullet"/>
      <w:lvlText w:val="•"/>
      <w:lvlJc w:val="left"/>
      <w:pPr>
        <w:ind w:left="8601" w:hanging="320"/>
      </w:pPr>
      <w:rPr>
        <w:rFonts w:hint="default"/>
        <w:lang w:val="zh-CN" w:eastAsia="zh-CN" w:bidi="zh-CN"/>
      </w:rPr>
    </w:lvl>
  </w:abstractNum>
  <w:abstractNum w:abstractNumId="930" w15:restartNumberingAfterBreak="0">
    <w:nsid w:val="79754822"/>
    <w:multiLevelType w:val="hybridMultilevel"/>
    <w:tmpl w:val="0968415E"/>
    <w:lvl w:ilvl="0" w:tplc="1542F260">
      <w:start w:val="6"/>
      <w:numFmt w:val="decimal"/>
      <w:lvlText w:val="%1"/>
      <w:lvlJc w:val="left"/>
      <w:pPr>
        <w:ind w:left="418" w:hanging="738"/>
        <w:jc w:val="left"/>
      </w:pPr>
      <w:rPr>
        <w:rFonts w:hint="default"/>
        <w:lang w:val="zh-CN" w:eastAsia="zh-CN" w:bidi="zh-CN"/>
      </w:rPr>
    </w:lvl>
    <w:lvl w:ilvl="1" w:tplc="FCBC6D48">
      <w:start w:val="5"/>
      <w:numFmt w:val="decimal"/>
      <w:lvlText w:val="%1.%2"/>
      <w:lvlJc w:val="left"/>
      <w:pPr>
        <w:ind w:left="418" w:hanging="738"/>
        <w:jc w:val="left"/>
      </w:pPr>
      <w:rPr>
        <w:rFonts w:hint="default"/>
        <w:lang w:val="zh-CN" w:eastAsia="zh-CN" w:bidi="zh-CN"/>
      </w:rPr>
    </w:lvl>
    <w:lvl w:ilvl="2" w:tplc="C8F4ED56">
      <w:start w:val="8"/>
      <w:numFmt w:val="decimal"/>
      <w:lvlText w:val="%1.%2.%3"/>
      <w:lvlJc w:val="left"/>
      <w:pPr>
        <w:ind w:left="418" w:hanging="738"/>
        <w:jc w:val="left"/>
      </w:pPr>
      <w:rPr>
        <w:rFonts w:hint="default"/>
        <w:lang w:val="zh-CN" w:eastAsia="zh-CN" w:bidi="zh-CN"/>
      </w:rPr>
    </w:lvl>
    <w:lvl w:ilvl="3" w:tplc="83F0075C">
      <w:start w:val="1"/>
      <w:numFmt w:val="decimal"/>
      <w:lvlText w:val="%1.%2.%3.%4"/>
      <w:lvlJc w:val="left"/>
      <w:pPr>
        <w:ind w:left="418" w:hanging="738"/>
        <w:jc w:val="left"/>
      </w:pPr>
      <w:rPr>
        <w:rFonts w:ascii="宋体" w:eastAsia="宋体" w:hAnsi="宋体" w:cs="宋体" w:hint="default"/>
        <w:spacing w:val="-3"/>
        <w:w w:val="100"/>
        <w:sz w:val="19"/>
        <w:szCs w:val="19"/>
        <w:lang w:val="zh-CN" w:eastAsia="zh-CN" w:bidi="zh-CN"/>
      </w:rPr>
    </w:lvl>
    <w:lvl w:ilvl="4" w:tplc="8F1208F6">
      <w:numFmt w:val="bullet"/>
      <w:lvlText w:val="•"/>
      <w:lvlJc w:val="left"/>
      <w:pPr>
        <w:ind w:left="4510" w:hanging="738"/>
      </w:pPr>
      <w:rPr>
        <w:rFonts w:hint="default"/>
        <w:lang w:val="zh-CN" w:eastAsia="zh-CN" w:bidi="zh-CN"/>
      </w:rPr>
    </w:lvl>
    <w:lvl w:ilvl="5" w:tplc="1D26B298">
      <w:numFmt w:val="bullet"/>
      <w:lvlText w:val="•"/>
      <w:lvlJc w:val="left"/>
      <w:pPr>
        <w:ind w:left="5533" w:hanging="738"/>
      </w:pPr>
      <w:rPr>
        <w:rFonts w:hint="default"/>
        <w:lang w:val="zh-CN" w:eastAsia="zh-CN" w:bidi="zh-CN"/>
      </w:rPr>
    </w:lvl>
    <w:lvl w:ilvl="6" w:tplc="19F63150">
      <w:numFmt w:val="bullet"/>
      <w:lvlText w:val="•"/>
      <w:lvlJc w:val="left"/>
      <w:pPr>
        <w:ind w:left="6555" w:hanging="738"/>
      </w:pPr>
      <w:rPr>
        <w:rFonts w:hint="default"/>
        <w:lang w:val="zh-CN" w:eastAsia="zh-CN" w:bidi="zh-CN"/>
      </w:rPr>
    </w:lvl>
    <w:lvl w:ilvl="7" w:tplc="4F749824">
      <w:numFmt w:val="bullet"/>
      <w:lvlText w:val="•"/>
      <w:lvlJc w:val="left"/>
      <w:pPr>
        <w:ind w:left="7578" w:hanging="738"/>
      </w:pPr>
      <w:rPr>
        <w:rFonts w:hint="default"/>
        <w:lang w:val="zh-CN" w:eastAsia="zh-CN" w:bidi="zh-CN"/>
      </w:rPr>
    </w:lvl>
    <w:lvl w:ilvl="8" w:tplc="3D28AAE0">
      <w:numFmt w:val="bullet"/>
      <w:lvlText w:val="•"/>
      <w:lvlJc w:val="left"/>
      <w:pPr>
        <w:ind w:left="8601" w:hanging="738"/>
      </w:pPr>
      <w:rPr>
        <w:rFonts w:hint="default"/>
        <w:lang w:val="zh-CN" w:eastAsia="zh-CN" w:bidi="zh-CN"/>
      </w:rPr>
    </w:lvl>
  </w:abstractNum>
  <w:abstractNum w:abstractNumId="931" w15:restartNumberingAfterBreak="0">
    <w:nsid w:val="79836B8D"/>
    <w:multiLevelType w:val="hybridMultilevel"/>
    <w:tmpl w:val="BBCAAC7E"/>
    <w:lvl w:ilvl="0" w:tplc="F5ECDF74">
      <w:start w:val="5"/>
      <w:numFmt w:val="decimal"/>
      <w:lvlText w:val="%1"/>
      <w:lvlJc w:val="left"/>
      <w:pPr>
        <w:ind w:left="418" w:hanging="531"/>
        <w:jc w:val="left"/>
      </w:pPr>
      <w:rPr>
        <w:rFonts w:hint="default"/>
        <w:lang w:val="zh-CN" w:eastAsia="zh-CN" w:bidi="zh-CN"/>
      </w:rPr>
    </w:lvl>
    <w:lvl w:ilvl="1" w:tplc="26B68354">
      <w:start w:val="5"/>
      <w:numFmt w:val="decimal"/>
      <w:lvlText w:val="%1.%2"/>
      <w:lvlJc w:val="left"/>
      <w:pPr>
        <w:ind w:left="418" w:hanging="531"/>
        <w:jc w:val="left"/>
      </w:pPr>
      <w:rPr>
        <w:rFonts w:hint="default"/>
        <w:lang w:val="zh-CN" w:eastAsia="zh-CN" w:bidi="zh-CN"/>
      </w:rPr>
    </w:lvl>
    <w:lvl w:ilvl="2" w:tplc="926A5EC8">
      <w:start w:val="6"/>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7526CA32">
      <w:numFmt w:val="bullet"/>
      <w:lvlText w:val="•"/>
      <w:lvlJc w:val="left"/>
      <w:pPr>
        <w:ind w:left="3487" w:hanging="531"/>
      </w:pPr>
      <w:rPr>
        <w:rFonts w:hint="default"/>
        <w:lang w:val="zh-CN" w:eastAsia="zh-CN" w:bidi="zh-CN"/>
      </w:rPr>
    </w:lvl>
    <w:lvl w:ilvl="4" w:tplc="688E7AC6">
      <w:numFmt w:val="bullet"/>
      <w:lvlText w:val="•"/>
      <w:lvlJc w:val="left"/>
      <w:pPr>
        <w:ind w:left="4510" w:hanging="531"/>
      </w:pPr>
      <w:rPr>
        <w:rFonts w:hint="default"/>
        <w:lang w:val="zh-CN" w:eastAsia="zh-CN" w:bidi="zh-CN"/>
      </w:rPr>
    </w:lvl>
    <w:lvl w:ilvl="5" w:tplc="77EAF128">
      <w:numFmt w:val="bullet"/>
      <w:lvlText w:val="•"/>
      <w:lvlJc w:val="left"/>
      <w:pPr>
        <w:ind w:left="5533" w:hanging="531"/>
      </w:pPr>
      <w:rPr>
        <w:rFonts w:hint="default"/>
        <w:lang w:val="zh-CN" w:eastAsia="zh-CN" w:bidi="zh-CN"/>
      </w:rPr>
    </w:lvl>
    <w:lvl w:ilvl="6" w:tplc="13726A22">
      <w:numFmt w:val="bullet"/>
      <w:lvlText w:val="•"/>
      <w:lvlJc w:val="left"/>
      <w:pPr>
        <w:ind w:left="6555" w:hanging="531"/>
      </w:pPr>
      <w:rPr>
        <w:rFonts w:hint="default"/>
        <w:lang w:val="zh-CN" w:eastAsia="zh-CN" w:bidi="zh-CN"/>
      </w:rPr>
    </w:lvl>
    <w:lvl w:ilvl="7" w:tplc="FF889608">
      <w:numFmt w:val="bullet"/>
      <w:lvlText w:val="•"/>
      <w:lvlJc w:val="left"/>
      <w:pPr>
        <w:ind w:left="7578" w:hanging="531"/>
      </w:pPr>
      <w:rPr>
        <w:rFonts w:hint="default"/>
        <w:lang w:val="zh-CN" w:eastAsia="zh-CN" w:bidi="zh-CN"/>
      </w:rPr>
    </w:lvl>
    <w:lvl w:ilvl="8" w:tplc="4D2049CE">
      <w:numFmt w:val="bullet"/>
      <w:lvlText w:val="•"/>
      <w:lvlJc w:val="left"/>
      <w:pPr>
        <w:ind w:left="8601" w:hanging="531"/>
      </w:pPr>
      <w:rPr>
        <w:rFonts w:hint="default"/>
        <w:lang w:val="zh-CN" w:eastAsia="zh-CN" w:bidi="zh-CN"/>
      </w:rPr>
    </w:lvl>
  </w:abstractNum>
  <w:abstractNum w:abstractNumId="932" w15:restartNumberingAfterBreak="0">
    <w:nsid w:val="799F1DAE"/>
    <w:multiLevelType w:val="hybridMultilevel"/>
    <w:tmpl w:val="B552BD9E"/>
    <w:lvl w:ilvl="0" w:tplc="CCBE2D20">
      <w:start w:val="6"/>
      <w:numFmt w:val="decimal"/>
      <w:lvlText w:val="%1"/>
      <w:lvlJc w:val="left"/>
      <w:pPr>
        <w:ind w:left="1158" w:hanging="318"/>
        <w:jc w:val="left"/>
      </w:pPr>
      <w:rPr>
        <w:rFonts w:hint="default"/>
        <w:lang w:val="zh-CN" w:eastAsia="zh-CN" w:bidi="zh-CN"/>
      </w:rPr>
    </w:lvl>
    <w:lvl w:ilvl="1" w:tplc="71A6506E">
      <w:start w:val="8"/>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110ECCB8">
      <w:start w:val="1"/>
      <w:numFmt w:val="decimal"/>
      <w:lvlText w:val="%1.%2.%3"/>
      <w:lvlJc w:val="left"/>
      <w:pPr>
        <w:ind w:left="1369" w:hanging="529"/>
        <w:jc w:val="left"/>
      </w:pPr>
      <w:rPr>
        <w:rFonts w:ascii="宋体" w:eastAsia="宋体" w:hAnsi="宋体" w:cs="宋体" w:hint="default"/>
        <w:b/>
        <w:bCs/>
        <w:spacing w:val="-55"/>
        <w:w w:val="99"/>
        <w:position w:val="1"/>
        <w:sz w:val="19"/>
        <w:szCs w:val="19"/>
        <w:lang w:val="zh-CN" w:eastAsia="zh-CN" w:bidi="zh-CN"/>
      </w:rPr>
    </w:lvl>
    <w:lvl w:ilvl="3" w:tplc="58FA0A06">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FFF29BFE">
      <w:numFmt w:val="bullet"/>
      <w:lvlText w:val="•"/>
      <w:lvlJc w:val="left"/>
      <w:pPr>
        <w:ind w:left="1580" w:hanging="738"/>
      </w:pPr>
      <w:rPr>
        <w:rFonts w:hint="default"/>
        <w:lang w:val="zh-CN" w:eastAsia="zh-CN" w:bidi="zh-CN"/>
      </w:rPr>
    </w:lvl>
    <w:lvl w:ilvl="5" w:tplc="09A8E336">
      <w:numFmt w:val="bullet"/>
      <w:lvlText w:val="•"/>
      <w:lvlJc w:val="left"/>
      <w:pPr>
        <w:ind w:left="1680" w:hanging="738"/>
      </w:pPr>
      <w:rPr>
        <w:rFonts w:hint="default"/>
        <w:lang w:val="zh-CN" w:eastAsia="zh-CN" w:bidi="zh-CN"/>
      </w:rPr>
    </w:lvl>
    <w:lvl w:ilvl="6" w:tplc="16C4D98A">
      <w:numFmt w:val="bullet"/>
      <w:lvlText w:val="•"/>
      <w:lvlJc w:val="left"/>
      <w:pPr>
        <w:ind w:left="3473" w:hanging="738"/>
      </w:pPr>
      <w:rPr>
        <w:rFonts w:hint="default"/>
        <w:lang w:val="zh-CN" w:eastAsia="zh-CN" w:bidi="zh-CN"/>
      </w:rPr>
    </w:lvl>
    <w:lvl w:ilvl="7" w:tplc="FCC47934">
      <w:numFmt w:val="bullet"/>
      <w:lvlText w:val="•"/>
      <w:lvlJc w:val="left"/>
      <w:pPr>
        <w:ind w:left="5266" w:hanging="738"/>
      </w:pPr>
      <w:rPr>
        <w:rFonts w:hint="default"/>
        <w:lang w:val="zh-CN" w:eastAsia="zh-CN" w:bidi="zh-CN"/>
      </w:rPr>
    </w:lvl>
    <w:lvl w:ilvl="8" w:tplc="1CE291E6">
      <w:numFmt w:val="bullet"/>
      <w:lvlText w:val="•"/>
      <w:lvlJc w:val="left"/>
      <w:pPr>
        <w:ind w:left="7059" w:hanging="738"/>
      </w:pPr>
      <w:rPr>
        <w:rFonts w:hint="default"/>
        <w:lang w:val="zh-CN" w:eastAsia="zh-CN" w:bidi="zh-CN"/>
      </w:rPr>
    </w:lvl>
  </w:abstractNum>
  <w:abstractNum w:abstractNumId="933" w15:restartNumberingAfterBreak="0">
    <w:nsid w:val="79B31690"/>
    <w:multiLevelType w:val="hybridMultilevel"/>
    <w:tmpl w:val="91A62404"/>
    <w:lvl w:ilvl="0" w:tplc="18AE1ED2">
      <w:start w:val="6"/>
      <w:numFmt w:val="decimal"/>
      <w:lvlText w:val="%1"/>
      <w:lvlJc w:val="left"/>
      <w:pPr>
        <w:ind w:left="1627" w:hanging="790"/>
        <w:jc w:val="left"/>
      </w:pPr>
      <w:rPr>
        <w:rFonts w:hint="default"/>
        <w:lang w:val="zh-CN" w:eastAsia="zh-CN" w:bidi="zh-CN"/>
      </w:rPr>
    </w:lvl>
    <w:lvl w:ilvl="1" w:tplc="DBCCBAB8">
      <w:start w:val="2"/>
      <w:numFmt w:val="decimal"/>
      <w:lvlText w:val="%1.%2"/>
      <w:lvlJc w:val="left"/>
      <w:pPr>
        <w:ind w:left="1627" w:hanging="790"/>
        <w:jc w:val="left"/>
      </w:pPr>
      <w:rPr>
        <w:rFonts w:hint="default"/>
        <w:lang w:val="zh-CN" w:eastAsia="zh-CN" w:bidi="zh-CN"/>
      </w:rPr>
    </w:lvl>
    <w:lvl w:ilvl="2" w:tplc="BCEA08A6">
      <w:start w:val="3"/>
      <w:numFmt w:val="decimal"/>
      <w:lvlText w:val="%1.%2.%3"/>
      <w:lvlJc w:val="left"/>
      <w:pPr>
        <w:ind w:left="1627" w:hanging="790"/>
        <w:jc w:val="left"/>
      </w:pPr>
      <w:rPr>
        <w:rFonts w:hint="default"/>
        <w:lang w:val="zh-CN" w:eastAsia="zh-CN" w:bidi="zh-CN"/>
      </w:rPr>
    </w:lvl>
    <w:lvl w:ilvl="3" w:tplc="4A285E4E">
      <w:start w:val="3"/>
      <w:numFmt w:val="decimal"/>
      <w:lvlText w:val="%1.%2.%3.%4"/>
      <w:lvlJc w:val="left"/>
      <w:pPr>
        <w:ind w:left="1627" w:hanging="790"/>
        <w:jc w:val="left"/>
      </w:pPr>
      <w:rPr>
        <w:rFonts w:ascii="宋体" w:eastAsia="宋体" w:hAnsi="宋体" w:cs="宋体" w:hint="default"/>
        <w:spacing w:val="-3"/>
        <w:w w:val="100"/>
        <w:sz w:val="21"/>
        <w:szCs w:val="21"/>
        <w:lang w:val="zh-CN" w:eastAsia="zh-CN" w:bidi="zh-CN"/>
      </w:rPr>
    </w:lvl>
    <w:lvl w:ilvl="4" w:tplc="32CAE63A">
      <w:numFmt w:val="bullet"/>
      <w:lvlText w:val="•"/>
      <w:lvlJc w:val="left"/>
      <w:pPr>
        <w:ind w:left="5230" w:hanging="790"/>
      </w:pPr>
      <w:rPr>
        <w:rFonts w:hint="default"/>
        <w:lang w:val="zh-CN" w:eastAsia="zh-CN" w:bidi="zh-CN"/>
      </w:rPr>
    </w:lvl>
    <w:lvl w:ilvl="5" w:tplc="FB103686">
      <w:numFmt w:val="bullet"/>
      <w:lvlText w:val="•"/>
      <w:lvlJc w:val="left"/>
      <w:pPr>
        <w:ind w:left="6133" w:hanging="790"/>
      </w:pPr>
      <w:rPr>
        <w:rFonts w:hint="default"/>
        <w:lang w:val="zh-CN" w:eastAsia="zh-CN" w:bidi="zh-CN"/>
      </w:rPr>
    </w:lvl>
    <w:lvl w:ilvl="6" w:tplc="0274994A">
      <w:numFmt w:val="bullet"/>
      <w:lvlText w:val="•"/>
      <w:lvlJc w:val="left"/>
      <w:pPr>
        <w:ind w:left="7035" w:hanging="790"/>
      </w:pPr>
      <w:rPr>
        <w:rFonts w:hint="default"/>
        <w:lang w:val="zh-CN" w:eastAsia="zh-CN" w:bidi="zh-CN"/>
      </w:rPr>
    </w:lvl>
    <w:lvl w:ilvl="7" w:tplc="136426DC">
      <w:numFmt w:val="bullet"/>
      <w:lvlText w:val="•"/>
      <w:lvlJc w:val="left"/>
      <w:pPr>
        <w:ind w:left="7938" w:hanging="790"/>
      </w:pPr>
      <w:rPr>
        <w:rFonts w:hint="default"/>
        <w:lang w:val="zh-CN" w:eastAsia="zh-CN" w:bidi="zh-CN"/>
      </w:rPr>
    </w:lvl>
    <w:lvl w:ilvl="8" w:tplc="08620ED2">
      <w:numFmt w:val="bullet"/>
      <w:lvlText w:val="•"/>
      <w:lvlJc w:val="left"/>
      <w:pPr>
        <w:ind w:left="8841" w:hanging="790"/>
      </w:pPr>
      <w:rPr>
        <w:rFonts w:hint="default"/>
        <w:lang w:val="zh-CN" w:eastAsia="zh-CN" w:bidi="zh-CN"/>
      </w:rPr>
    </w:lvl>
  </w:abstractNum>
  <w:abstractNum w:abstractNumId="934" w15:restartNumberingAfterBreak="0">
    <w:nsid w:val="79E16E43"/>
    <w:multiLevelType w:val="hybridMultilevel"/>
    <w:tmpl w:val="C4163AF2"/>
    <w:lvl w:ilvl="0" w:tplc="DC5AFF16">
      <w:start w:val="6"/>
      <w:numFmt w:val="decimal"/>
      <w:lvlText w:val="%1"/>
      <w:lvlJc w:val="left"/>
      <w:pPr>
        <w:ind w:left="1158" w:hanging="318"/>
        <w:jc w:val="left"/>
      </w:pPr>
      <w:rPr>
        <w:rFonts w:hint="default"/>
        <w:lang w:val="zh-CN" w:eastAsia="zh-CN" w:bidi="zh-CN"/>
      </w:rPr>
    </w:lvl>
    <w:lvl w:ilvl="1" w:tplc="A49472D6">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15FA9656">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F94A413E">
      <w:numFmt w:val="bullet"/>
      <w:lvlText w:val="•"/>
      <w:lvlJc w:val="left"/>
      <w:pPr>
        <w:ind w:left="2538" w:hanging="529"/>
      </w:pPr>
      <w:rPr>
        <w:rFonts w:hint="default"/>
        <w:lang w:val="zh-CN" w:eastAsia="zh-CN" w:bidi="zh-CN"/>
      </w:rPr>
    </w:lvl>
    <w:lvl w:ilvl="4" w:tplc="6FD84972">
      <w:numFmt w:val="bullet"/>
      <w:lvlText w:val="•"/>
      <w:lvlJc w:val="left"/>
      <w:pPr>
        <w:ind w:left="3696" w:hanging="529"/>
      </w:pPr>
      <w:rPr>
        <w:rFonts w:hint="default"/>
        <w:lang w:val="zh-CN" w:eastAsia="zh-CN" w:bidi="zh-CN"/>
      </w:rPr>
    </w:lvl>
    <w:lvl w:ilvl="5" w:tplc="0CD80C4C">
      <w:numFmt w:val="bullet"/>
      <w:lvlText w:val="•"/>
      <w:lvlJc w:val="left"/>
      <w:pPr>
        <w:ind w:left="4854" w:hanging="529"/>
      </w:pPr>
      <w:rPr>
        <w:rFonts w:hint="default"/>
        <w:lang w:val="zh-CN" w:eastAsia="zh-CN" w:bidi="zh-CN"/>
      </w:rPr>
    </w:lvl>
    <w:lvl w:ilvl="6" w:tplc="10D05D74">
      <w:numFmt w:val="bullet"/>
      <w:lvlText w:val="•"/>
      <w:lvlJc w:val="left"/>
      <w:pPr>
        <w:ind w:left="6013" w:hanging="529"/>
      </w:pPr>
      <w:rPr>
        <w:rFonts w:hint="default"/>
        <w:lang w:val="zh-CN" w:eastAsia="zh-CN" w:bidi="zh-CN"/>
      </w:rPr>
    </w:lvl>
    <w:lvl w:ilvl="7" w:tplc="7FEE311C">
      <w:numFmt w:val="bullet"/>
      <w:lvlText w:val="•"/>
      <w:lvlJc w:val="left"/>
      <w:pPr>
        <w:ind w:left="7171" w:hanging="529"/>
      </w:pPr>
      <w:rPr>
        <w:rFonts w:hint="default"/>
        <w:lang w:val="zh-CN" w:eastAsia="zh-CN" w:bidi="zh-CN"/>
      </w:rPr>
    </w:lvl>
    <w:lvl w:ilvl="8" w:tplc="78ACEE42">
      <w:numFmt w:val="bullet"/>
      <w:lvlText w:val="•"/>
      <w:lvlJc w:val="left"/>
      <w:pPr>
        <w:ind w:left="8329" w:hanging="529"/>
      </w:pPr>
      <w:rPr>
        <w:rFonts w:hint="default"/>
        <w:lang w:val="zh-CN" w:eastAsia="zh-CN" w:bidi="zh-CN"/>
      </w:rPr>
    </w:lvl>
  </w:abstractNum>
  <w:abstractNum w:abstractNumId="935" w15:restartNumberingAfterBreak="0">
    <w:nsid w:val="79F45BE4"/>
    <w:multiLevelType w:val="hybridMultilevel"/>
    <w:tmpl w:val="0ABC157A"/>
    <w:lvl w:ilvl="0" w:tplc="2EACE212">
      <w:start w:val="7"/>
      <w:numFmt w:val="decimal"/>
      <w:lvlText w:val="%1"/>
      <w:lvlJc w:val="left"/>
      <w:pPr>
        <w:ind w:left="1158" w:hanging="318"/>
        <w:jc w:val="left"/>
      </w:pPr>
      <w:rPr>
        <w:rFonts w:hint="default"/>
        <w:lang w:val="zh-CN" w:eastAsia="zh-CN" w:bidi="zh-CN"/>
      </w:rPr>
    </w:lvl>
    <w:lvl w:ilvl="1" w:tplc="47D2A60A">
      <w:start w:val="3"/>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5D808FD0">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A87625CA">
      <w:numFmt w:val="bullet"/>
      <w:lvlText w:val="•"/>
      <w:lvlJc w:val="left"/>
      <w:pPr>
        <w:ind w:left="2520" w:hanging="529"/>
      </w:pPr>
      <w:rPr>
        <w:rFonts w:hint="default"/>
        <w:lang w:val="zh-CN" w:eastAsia="zh-CN" w:bidi="zh-CN"/>
      </w:rPr>
    </w:lvl>
    <w:lvl w:ilvl="4" w:tplc="0DC49732">
      <w:numFmt w:val="bullet"/>
      <w:lvlText w:val="•"/>
      <w:lvlJc w:val="left"/>
      <w:pPr>
        <w:ind w:left="3681" w:hanging="529"/>
      </w:pPr>
      <w:rPr>
        <w:rFonts w:hint="default"/>
        <w:lang w:val="zh-CN" w:eastAsia="zh-CN" w:bidi="zh-CN"/>
      </w:rPr>
    </w:lvl>
    <w:lvl w:ilvl="5" w:tplc="E4449420">
      <w:numFmt w:val="bullet"/>
      <w:lvlText w:val="•"/>
      <w:lvlJc w:val="left"/>
      <w:pPr>
        <w:ind w:left="4842" w:hanging="529"/>
      </w:pPr>
      <w:rPr>
        <w:rFonts w:hint="default"/>
        <w:lang w:val="zh-CN" w:eastAsia="zh-CN" w:bidi="zh-CN"/>
      </w:rPr>
    </w:lvl>
    <w:lvl w:ilvl="6" w:tplc="31168076">
      <w:numFmt w:val="bullet"/>
      <w:lvlText w:val="•"/>
      <w:lvlJc w:val="left"/>
      <w:pPr>
        <w:ind w:left="6003" w:hanging="529"/>
      </w:pPr>
      <w:rPr>
        <w:rFonts w:hint="default"/>
        <w:lang w:val="zh-CN" w:eastAsia="zh-CN" w:bidi="zh-CN"/>
      </w:rPr>
    </w:lvl>
    <w:lvl w:ilvl="7" w:tplc="BB3EBB02">
      <w:numFmt w:val="bullet"/>
      <w:lvlText w:val="•"/>
      <w:lvlJc w:val="left"/>
      <w:pPr>
        <w:ind w:left="7164" w:hanging="529"/>
      </w:pPr>
      <w:rPr>
        <w:rFonts w:hint="default"/>
        <w:lang w:val="zh-CN" w:eastAsia="zh-CN" w:bidi="zh-CN"/>
      </w:rPr>
    </w:lvl>
    <w:lvl w:ilvl="8" w:tplc="AB6CC2BC">
      <w:numFmt w:val="bullet"/>
      <w:lvlText w:val="•"/>
      <w:lvlJc w:val="left"/>
      <w:pPr>
        <w:ind w:left="8324" w:hanging="529"/>
      </w:pPr>
      <w:rPr>
        <w:rFonts w:hint="default"/>
        <w:lang w:val="zh-CN" w:eastAsia="zh-CN" w:bidi="zh-CN"/>
      </w:rPr>
    </w:lvl>
  </w:abstractNum>
  <w:abstractNum w:abstractNumId="936" w15:restartNumberingAfterBreak="0">
    <w:nsid w:val="79FA41C2"/>
    <w:multiLevelType w:val="hybridMultilevel"/>
    <w:tmpl w:val="027E037A"/>
    <w:lvl w:ilvl="0" w:tplc="CF4E9386">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EC3C7770">
      <w:numFmt w:val="bullet"/>
      <w:lvlText w:val="•"/>
      <w:lvlJc w:val="left"/>
      <w:pPr>
        <w:ind w:left="2288" w:hanging="529"/>
      </w:pPr>
      <w:rPr>
        <w:rFonts w:hint="default"/>
        <w:lang w:val="zh-CN" w:eastAsia="zh-CN" w:bidi="zh-CN"/>
      </w:rPr>
    </w:lvl>
    <w:lvl w:ilvl="2" w:tplc="89B68FA8">
      <w:numFmt w:val="bullet"/>
      <w:lvlText w:val="•"/>
      <w:lvlJc w:val="left"/>
      <w:pPr>
        <w:ind w:left="3217" w:hanging="529"/>
      </w:pPr>
      <w:rPr>
        <w:rFonts w:hint="default"/>
        <w:lang w:val="zh-CN" w:eastAsia="zh-CN" w:bidi="zh-CN"/>
      </w:rPr>
    </w:lvl>
    <w:lvl w:ilvl="3" w:tplc="9C6C4440">
      <w:numFmt w:val="bullet"/>
      <w:lvlText w:val="•"/>
      <w:lvlJc w:val="left"/>
      <w:pPr>
        <w:ind w:left="4145" w:hanging="529"/>
      </w:pPr>
      <w:rPr>
        <w:rFonts w:hint="default"/>
        <w:lang w:val="zh-CN" w:eastAsia="zh-CN" w:bidi="zh-CN"/>
      </w:rPr>
    </w:lvl>
    <w:lvl w:ilvl="4" w:tplc="A2ECB480">
      <w:numFmt w:val="bullet"/>
      <w:lvlText w:val="•"/>
      <w:lvlJc w:val="left"/>
      <w:pPr>
        <w:ind w:left="5074" w:hanging="529"/>
      </w:pPr>
      <w:rPr>
        <w:rFonts w:hint="default"/>
        <w:lang w:val="zh-CN" w:eastAsia="zh-CN" w:bidi="zh-CN"/>
      </w:rPr>
    </w:lvl>
    <w:lvl w:ilvl="5" w:tplc="0F489B2A">
      <w:numFmt w:val="bullet"/>
      <w:lvlText w:val="•"/>
      <w:lvlJc w:val="left"/>
      <w:pPr>
        <w:ind w:left="6003" w:hanging="529"/>
      </w:pPr>
      <w:rPr>
        <w:rFonts w:hint="default"/>
        <w:lang w:val="zh-CN" w:eastAsia="zh-CN" w:bidi="zh-CN"/>
      </w:rPr>
    </w:lvl>
    <w:lvl w:ilvl="6" w:tplc="144ABD24">
      <w:numFmt w:val="bullet"/>
      <w:lvlText w:val="•"/>
      <w:lvlJc w:val="left"/>
      <w:pPr>
        <w:ind w:left="6931" w:hanging="529"/>
      </w:pPr>
      <w:rPr>
        <w:rFonts w:hint="default"/>
        <w:lang w:val="zh-CN" w:eastAsia="zh-CN" w:bidi="zh-CN"/>
      </w:rPr>
    </w:lvl>
    <w:lvl w:ilvl="7" w:tplc="97D08BC0">
      <w:numFmt w:val="bullet"/>
      <w:lvlText w:val="•"/>
      <w:lvlJc w:val="left"/>
      <w:pPr>
        <w:ind w:left="7860" w:hanging="529"/>
      </w:pPr>
      <w:rPr>
        <w:rFonts w:hint="default"/>
        <w:lang w:val="zh-CN" w:eastAsia="zh-CN" w:bidi="zh-CN"/>
      </w:rPr>
    </w:lvl>
    <w:lvl w:ilvl="8" w:tplc="B8843DA0">
      <w:numFmt w:val="bullet"/>
      <w:lvlText w:val="•"/>
      <w:lvlJc w:val="left"/>
      <w:pPr>
        <w:ind w:left="8789" w:hanging="529"/>
      </w:pPr>
      <w:rPr>
        <w:rFonts w:hint="default"/>
        <w:lang w:val="zh-CN" w:eastAsia="zh-CN" w:bidi="zh-CN"/>
      </w:rPr>
    </w:lvl>
  </w:abstractNum>
  <w:abstractNum w:abstractNumId="937" w15:restartNumberingAfterBreak="0">
    <w:nsid w:val="7AA133B7"/>
    <w:multiLevelType w:val="hybridMultilevel"/>
    <w:tmpl w:val="82800C3A"/>
    <w:lvl w:ilvl="0" w:tplc="6F2C60E4">
      <w:start w:val="1"/>
      <w:numFmt w:val="lowerLetter"/>
      <w:lvlText w:val="%1）"/>
      <w:lvlJc w:val="left"/>
      <w:pPr>
        <w:ind w:left="1155" w:hanging="318"/>
        <w:jc w:val="left"/>
      </w:pPr>
      <w:rPr>
        <w:rFonts w:ascii="宋体" w:eastAsia="宋体" w:hAnsi="宋体" w:cs="宋体" w:hint="default"/>
        <w:w w:val="100"/>
        <w:sz w:val="19"/>
        <w:szCs w:val="19"/>
        <w:lang w:val="zh-CN" w:eastAsia="zh-CN" w:bidi="zh-CN"/>
      </w:rPr>
    </w:lvl>
    <w:lvl w:ilvl="1" w:tplc="83D047A4">
      <w:numFmt w:val="bullet"/>
      <w:lvlText w:val="•"/>
      <w:lvlJc w:val="left"/>
      <w:pPr>
        <w:ind w:left="2108" w:hanging="318"/>
      </w:pPr>
      <w:rPr>
        <w:rFonts w:hint="default"/>
        <w:lang w:val="zh-CN" w:eastAsia="zh-CN" w:bidi="zh-CN"/>
      </w:rPr>
    </w:lvl>
    <w:lvl w:ilvl="2" w:tplc="D5244524">
      <w:numFmt w:val="bullet"/>
      <w:lvlText w:val="•"/>
      <w:lvlJc w:val="left"/>
      <w:pPr>
        <w:ind w:left="3057" w:hanging="318"/>
      </w:pPr>
      <w:rPr>
        <w:rFonts w:hint="default"/>
        <w:lang w:val="zh-CN" w:eastAsia="zh-CN" w:bidi="zh-CN"/>
      </w:rPr>
    </w:lvl>
    <w:lvl w:ilvl="3" w:tplc="E8549FD0">
      <w:numFmt w:val="bullet"/>
      <w:lvlText w:val="•"/>
      <w:lvlJc w:val="left"/>
      <w:pPr>
        <w:ind w:left="4005" w:hanging="318"/>
      </w:pPr>
      <w:rPr>
        <w:rFonts w:hint="default"/>
        <w:lang w:val="zh-CN" w:eastAsia="zh-CN" w:bidi="zh-CN"/>
      </w:rPr>
    </w:lvl>
    <w:lvl w:ilvl="4" w:tplc="618C98E4">
      <w:numFmt w:val="bullet"/>
      <w:lvlText w:val="•"/>
      <w:lvlJc w:val="left"/>
      <w:pPr>
        <w:ind w:left="4954" w:hanging="318"/>
      </w:pPr>
      <w:rPr>
        <w:rFonts w:hint="default"/>
        <w:lang w:val="zh-CN" w:eastAsia="zh-CN" w:bidi="zh-CN"/>
      </w:rPr>
    </w:lvl>
    <w:lvl w:ilvl="5" w:tplc="095C86D6">
      <w:numFmt w:val="bullet"/>
      <w:lvlText w:val="•"/>
      <w:lvlJc w:val="left"/>
      <w:pPr>
        <w:ind w:left="5903" w:hanging="318"/>
      </w:pPr>
      <w:rPr>
        <w:rFonts w:hint="default"/>
        <w:lang w:val="zh-CN" w:eastAsia="zh-CN" w:bidi="zh-CN"/>
      </w:rPr>
    </w:lvl>
    <w:lvl w:ilvl="6" w:tplc="21C4A598">
      <w:numFmt w:val="bullet"/>
      <w:lvlText w:val="•"/>
      <w:lvlJc w:val="left"/>
      <w:pPr>
        <w:ind w:left="6851" w:hanging="318"/>
      </w:pPr>
      <w:rPr>
        <w:rFonts w:hint="default"/>
        <w:lang w:val="zh-CN" w:eastAsia="zh-CN" w:bidi="zh-CN"/>
      </w:rPr>
    </w:lvl>
    <w:lvl w:ilvl="7" w:tplc="6B9CBDA6">
      <w:numFmt w:val="bullet"/>
      <w:lvlText w:val="•"/>
      <w:lvlJc w:val="left"/>
      <w:pPr>
        <w:ind w:left="7800" w:hanging="318"/>
      </w:pPr>
      <w:rPr>
        <w:rFonts w:hint="default"/>
        <w:lang w:val="zh-CN" w:eastAsia="zh-CN" w:bidi="zh-CN"/>
      </w:rPr>
    </w:lvl>
    <w:lvl w:ilvl="8" w:tplc="08FCEF20">
      <w:numFmt w:val="bullet"/>
      <w:lvlText w:val="•"/>
      <w:lvlJc w:val="left"/>
      <w:pPr>
        <w:ind w:left="8749" w:hanging="318"/>
      </w:pPr>
      <w:rPr>
        <w:rFonts w:hint="default"/>
        <w:lang w:val="zh-CN" w:eastAsia="zh-CN" w:bidi="zh-CN"/>
      </w:rPr>
    </w:lvl>
  </w:abstractNum>
  <w:abstractNum w:abstractNumId="938" w15:restartNumberingAfterBreak="0">
    <w:nsid w:val="7ACE78BB"/>
    <w:multiLevelType w:val="hybridMultilevel"/>
    <w:tmpl w:val="CA969480"/>
    <w:lvl w:ilvl="0" w:tplc="604A7A76">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8B60794A">
      <w:numFmt w:val="bullet"/>
      <w:lvlText w:val="•"/>
      <w:lvlJc w:val="left"/>
      <w:pPr>
        <w:ind w:left="2288" w:hanging="529"/>
      </w:pPr>
      <w:rPr>
        <w:rFonts w:hint="default"/>
        <w:lang w:val="zh-CN" w:eastAsia="zh-CN" w:bidi="zh-CN"/>
      </w:rPr>
    </w:lvl>
    <w:lvl w:ilvl="2" w:tplc="737E0558">
      <w:numFmt w:val="bullet"/>
      <w:lvlText w:val="•"/>
      <w:lvlJc w:val="left"/>
      <w:pPr>
        <w:ind w:left="3217" w:hanging="529"/>
      </w:pPr>
      <w:rPr>
        <w:rFonts w:hint="default"/>
        <w:lang w:val="zh-CN" w:eastAsia="zh-CN" w:bidi="zh-CN"/>
      </w:rPr>
    </w:lvl>
    <w:lvl w:ilvl="3" w:tplc="6FD84A20">
      <w:numFmt w:val="bullet"/>
      <w:lvlText w:val="•"/>
      <w:lvlJc w:val="left"/>
      <w:pPr>
        <w:ind w:left="4145" w:hanging="529"/>
      </w:pPr>
      <w:rPr>
        <w:rFonts w:hint="default"/>
        <w:lang w:val="zh-CN" w:eastAsia="zh-CN" w:bidi="zh-CN"/>
      </w:rPr>
    </w:lvl>
    <w:lvl w:ilvl="4" w:tplc="2D965EC4">
      <w:numFmt w:val="bullet"/>
      <w:lvlText w:val="•"/>
      <w:lvlJc w:val="left"/>
      <w:pPr>
        <w:ind w:left="5074" w:hanging="529"/>
      </w:pPr>
      <w:rPr>
        <w:rFonts w:hint="default"/>
        <w:lang w:val="zh-CN" w:eastAsia="zh-CN" w:bidi="zh-CN"/>
      </w:rPr>
    </w:lvl>
    <w:lvl w:ilvl="5" w:tplc="FF5AD4D8">
      <w:numFmt w:val="bullet"/>
      <w:lvlText w:val="•"/>
      <w:lvlJc w:val="left"/>
      <w:pPr>
        <w:ind w:left="6003" w:hanging="529"/>
      </w:pPr>
      <w:rPr>
        <w:rFonts w:hint="default"/>
        <w:lang w:val="zh-CN" w:eastAsia="zh-CN" w:bidi="zh-CN"/>
      </w:rPr>
    </w:lvl>
    <w:lvl w:ilvl="6" w:tplc="D8ACCD9E">
      <w:numFmt w:val="bullet"/>
      <w:lvlText w:val="•"/>
      <w:lvlJc w:val="left"/>
      <w:pPr>
        <w:ind w:left="6931" w:hanging="529"/>
      </w:pPr>
      <w:rPr>
        <w:rFonts w:hint="default"/>
        <w:lang w:val="zh-CN" w:eastAsia="zh-CN" w:bidi="zh-CN"/>
      </w:rPr>
    </w:lvl>
    <w:lvl w:ilvl="7" w:tplc="9B48B962">
      <w:numFmt w:val="bullet"/>
      <w:lvlText w:val="•"/>
      <w:lvlJc w:val="left"/>
      <w:pPr>
        <w:ind w:left="7860" w:hanging="529"/>
      </w:pPr>
      <w:rPr>
        <w:rFonts w:hint="default"/>
        <w:lang w:val="zh-CN" w:eastAsia="zh-CN" w:bidi="zh-CN"/>
      </w:rPr>
    </w:lvl>
    <w:lvl w:ilvl="8" w:tplc="9786733A">
      <w:numFmt w:val="bullet"/>
      <w:lvlText w:val="•"/>
      <w:lvlJc w:val="left"/>
      <w:pPr>
        <w:ind w:left="8789" w:hanging="529"/>
      </w:pPr>
      <w:rPr>
        <w:rFonts w:hint="default"/>
        <w:lang w:val="zh-CN" w:eastAsia="zh-CN" w:bidi="zh-CN"/>
      </w:rPr>
    </w:lvl>
  </w:abstractNum>
  <w:abstractNum w:abstractNumId="939" w15:restartNumberingAfterBreak="0">
    <w:nsid w:val="7B136192"/>
    <w:multiLevelType w:val="hybridMultilevel"/>
    <w:tmpl w:val="E10415D8"/>
    <w:lvl w:ilvl="0" w:tplc="4ECC7E80">
      <w:start w:val="3"/>
      <w:numFmt w:val="decimal"/>
      <w:lvlText w:val="%1"/>
      <w:lvlJc w:val="left"/>
      <w:pPr>
        <w:ind w:left="1265" w:hanging="365"/>
        <w:jc w:val="left"/>
      </w:pPr>
      <w:rPr>
        <w:rFonts w:hint="default"/>
        <w:lang w:val="zh-CN" w:eastAsia="zh-CN" w:bidi="zh-CN"/>
      </w:rPr>
    </w:lvl>
    <w:lvl w:ilvl="1" w:tplc="874285D4">
      <w:start w:val="5"/>
      <w:numFmt w:val="decimal"/>
      <w:lvlText w:val="%1.%2"/>
      <w:lvlJc w:val="left"/>
      <w:pPr>
        <w:ind w:left="1265" w:hanging="365"/>
        <w:jc w:val="left"/>
      </w:pPr>
      <w:rPr>
        <w:rFonts w:ascii="宋体" w:eastAsia="宋体" w:hAnsi="宋体" w:cs="宋体" w:hint="default"/>
        <w:b/>
        <w:bCs/>
        <w:spacing w:val="0"/>
        <w:w w:val="99"/>
        <w:sz w:val="22"/>
        <w:szCs w:val="22"/>
        <w:lang w:val="zh-CN" w:eastAsia="zh-CN" w:bidi="zh-CN"/>
      </w:rPr>
    </w:lvl>
    <w:lvl w:ilvl="2" w:tplc="8FC60DCA">
      <w:start w:val="1"/>
      <w:numFmt w:val="decimal"/>
      <w:lvlText w:val="%1.%2.%3"/>
      <w:lvlJc w:val="left"/>
      <w:pPr>
        <w:ind w:left="1369" w:hanging="529"/>
        <w:jc w:val="left"/>
      </w:pPr>
      <w:rPr>
        <w:rFonts w:ascii="宋体" w:eastAsia="宋体" w:hAnsi="宋体" w:cs="宋体" w:hint="default"/>
        <w:b/>
        <w:bCs/>
        <w:spacing w:val="-55"/>
        <w:w w:val="99"/>
        <w:sz w:val="19"/>
        <w:szCs w:val="19"/>
        <w:lang w:val="zh-CN" w:eastAsia="zh-CN" w:bidi="zh-CN"/>
      </w:rPr>
    </w:lvl>
    <w:lvl w:ilvl="3" w:tplc="6B74CF18">
      <w:numFmt w:val="bullet"/>
      <w:lvlText w:val="•"/>
      <w:lvlJc w:val="left"/>
      <w:pPr>
        <w:ind w:left="3423" w:hanging="529"/>
      </w:pPr>
      <w:rPr>
        <w:rFonts w:hint="default"/>
        <w:lang w:val="zh-CN" w:eastAsia="zh-CN" w:bidi="zh-CN"/>
      </w:rPr>
    </w:lvl>
    <w:lvl w:ilvl="4" w:tplc="8AA41926">
      <w:numFmt w:val="bullet"/>
      <w:lvlText w:val="•"/>
      <w:lvlJc w:val="left"/>
      <w:pPr>
        <w:ind w:left="4455" w:hanging="529"/>
      </w:pPr>
      <w:rPr>
        <w:rFonts w:hint="default"/>
        <w:lang w:val="zh-CN" w:eastAsia="zh-CN" w:bidi="zh-CN"/>
      </w:rPr>
    </w:lvl>
    <w:lvl w:ilvl="5" w:tplc="0EDC6D8A">
      <w:numFmt w:val="bullet"/>
      <w:lvlText w:val="•"/>
      <w:lvlJc w:val="left"/>
      <w:pPr>
        <w:ind w:left="5487" w:hanging="529"/>
      </w:pPr>
      <w:rPr>
        <w:rFonts w:hint="default"/>
        <w:lang w:val="zh-CN" w:eastAsia="zh-CN" w:bidi="zh-CN"/>
      </w:rPr>
    </w:lvl>
    <w:lvl w:ilvl="6" w:tplc="D0FA9648">
      <w:numFmt w:val="bullet"/>
      <w:lvlText w:val="•"/>
      <w:lvlJc w:val="left"/>
      <w:pPr>
        <w:ind w:left="6519" w:hanging="529"/>
      </w:pPr>
      <w:rPr>
        <w:rFonts w:hint="default"/>
        <w:lang w:val="zh-CN" w:eastAsia="zh-CN" w:bidi="zh-CN"/>
      </w:rPr>
    </w:lvl>
    <w:lvl w:ilvl="7" w:tplc="D7268D46">
      <w:numFmt w:val="bullet"/>
      <w:lvlText w:val="•"/>
      <w:lvlJc w:val="left"/>
      <w:pPr>
        <w:ind w:left="7550" w:hanging="529"/>
      </w:pPr>
      <w:rPr>
        <w:rFonts w:hint="default"/>
        <w:lang w:val="zh-CN" w:eastAsia="zh-CN" w:bidi="zh-CN"/>
      </w:rPr>
    </w:lvl>
    <w:lvl w:ilvl="8" w:tplc="560C8E08">
      <w:numFmt w:val="bullet"/>
      <w:lvlText w:val="•"/>
      <w:lvlJc w:val="left"/>
      <w:pPr>
        <w:ind w:left="8582" w:hanging="529"/>
      </w:pPr>
      <w:rPr>
        <w:rFonts w:hint="default"/>
        <w:lang w:val="zh-CN" w:eastAsia="zh-CN" w:bidi="zh-CN"/>
      </w:rPr>
    </w:lvl>
  </w:abstractNum>
  <w:abstractNum w:abstractNumId="940" w15:restartNumberingAfterBreak="0">
    <w:nsid w:val="7B2F09A1"/>
    <w:multiLevelType w:val="hybridMultilevel"/>
    <w:tmpl w:val="4FAE3ED6"/>
    <w:lvl w:ilvl="0" w:tplc="1128A4A4">
      <w:start w:val="2"/>
      <w:numFmt w:val="decimal"/>
      <w:lvlText w:val="%1."/>
      <w:lvlJc w:val="left"/>
      <w:pPr>
        <w:ind w:left="1055" w:hanging="213"/>
        <w:jc w:val="left"/>
      </w:pPr>
      <w:rPr>
        <w:rFonts w:ascii="宋体" w:eastAsia="宋体" w:hAnsi="宋体" w:cs="宋体" w:hint="default"/>
        <w:spacing w:val="-8"/>
        <w:w w:val="100"/>
        <w:sz w:val="19"/>
        <w:szCs w:val="19"/>
        <w:lang w:val="zh-CN" w:eastAsia="zh-CN" w:bidi="zh-CN"/>
      </w:rPr>
    </w:lvl>
    <w:lvl w:ilvl="1" w:tplc="91D4F136">
      <w:numFmt w:val="bullet"/>
      <w:lvlText w:val="•"/>
      <w:lvlJc w:val="left"/>
      <w:pPr>
        <w:ind w:left="2018" w:hanging="213"/>
      </w:pPr>
      <w:rPr>
        <w:rFonts w:hint="default"/>
        <w:lang w:val="zh-CN" w:eastAsia="zh-CN" w:bidi="zh-CN"/>
      </w:rPr>
    </w:lvl>
    <w:lvl w:ilvl="2" w:tplc="49F0F17A">
      <w:numFmt w:val="bullet"/>
      <w:lvlText w:val="•"/>
      <w:lvlJc w:val="left"/>
      <w:pPr>
        <w:ind w:left="2977" w:hanging="213"/>
      </w:pPr>
      <w:rPr>
        <w:rFonts w:hint="default"/>
        <w:lang w:val="zh-CN" w:eastAsia="zh-CN" w:bidi="zh-CN"/>
      </w:rPr>
    </w:lvl>
    <w:lvl w:ilvl="3" w:tplc="655CD612">
      <w:numFmt w:val="bullet"/>
      <w:lvlText w:val="•"/>
      <w:lvlJc w:val="left"/>
      <w:pPr>
        <w:ind w:left="3935" w:hanging="213"/>
      </w:pPr>
      <w:rPr>
        <w:rFonts w:hint="default"/>
        <w:lang w:val="zh-CN" w:eastAsia="zh-CN" w:bidi="zh-CN"/>
      </w:rPr>
    </w:lvl>
    <w:lvl w:ilvl="4" w:tplc="1892EF14">
      <w:numFmt w:val="bullet"/>
      <w:lvlText w:val="•"/>
      <w:lvlJc w:val="left"/>
      <w:pPr>
        <w:ind w:left="4894" w:hanging="213"/>
      </w:pPr>
      <w:rPr>
        <w:rFonts w:hint="default"/>
        <w:lang w:val="zh-CN" w:eastAsia="zh-CN" w:bidi="zh-CN"/>
      </w:rPr>
    </w:lvl>
    <w:lvl w:ilvl="5" w:tplc="94C6D2F0">
      <w:numFmt w:val="bullet"/>
      <w:lvlText w:val="•"/>
      <w:lvlJc w:val="left"/>
      <w:pPr>
        <w:ind w:left="5853" w:hanging="213"/>
      </w:pPr>
      <w:rPr>
        <w:rFonts w:hint="default"/>
        <w:lang w:val="zh-CN" w:eastAsia="zh-CN" w:bidi="zh-CN"/>
      </w:rPr>
    </w:lvl>
    <w:lvl w:ilvl="6" w:tplc="F5206376">
      <w:numFmt w:val="bullet"/>
      <w:lvlText w:val="•"/>
      <w:lvlJc w:val="left"/>
      <w:pPr>
        <w:ind w:left="6811" w:hanging="213"/>
      </w:pPr>
      <w:rPr>
        <w:rFonts w:hint="default"/>
        <w:lang w:val="zh-CN" w:eastAsia="zh-CN" w:bidi="zh-CN"/>
      </w:rPr>
    </w:lvl>
    <w:lvl w:ilvl="7" w:tplc="253E39CC">
      <w:numFmt w:val="bullet"/>
      <w:lvlText w:val="•"/>
      <w:lvlJc w:val="left"/>
      <w:pPr>
        <w:ind w:left="7770" w:hanging="213"/>
      </w:pPr>
      <w:rPr>
        <w:rFonts w:hint="default"/>
        <w:lang w:val="zh-CN" w:eastAsia="zh-CN" w:bidi="zh-CN"/>
      </w:rPr>
    </w:lvl>
    <w:lvl w:ilvl="8" w:tplc="AD7AB034">
      <w:numFmt w:val="bullet"/>
      <w:lvlText w:val="•"/>
      <w:lvlJc w:val="left"/>
      <w:pPr>
        <w:ind w:left="8729" w:hanging="213"/>
      </w:pPr>
      <w:rPr>
        <w:rFonts w:hint="default"/>
        <w:lang w:val="zh-CN" w:eastAsia="zh-CN" w:bidi="zh-CN"/>
      </w:rPr>
    </w:lvl>
  </w:abstractNum>
  <w:abstractNum w:abstractNumId="941" w15:restartNumberingAfterBreak="0">
    <w:nsid w:val="7B5D02B3"/>
    <w:multiLevelType w:val="hybridMultilevel"/>
    <w:tmpl w:val="5FF81E04"/>
    <w:lvl w:ilvl="0" w:tplc="F8AEEB50">
      <w:start w:val="4"/>
      <w:numFmt w:val="decimal"/>
      <w:lvlText w:val="%1"/>
      <w:lvlJc w:val="left"/>
      <w:pPr>
        <w:ind w:left="838" w:hanging="529"/>
        <w:jc w:val="left"/>
      </w:pPr>
      <w:rPr>
        <w:rFonts w:hint="default"/>
        <w:lang w:val="zh-CN" w:eastAsia="zh-CN" w:bidi="zh-CN"/>
      </w:rPr>
    </w:lvl>
    <w:lvl w:ilvl="1" w:tplc="E8FA4F5E">
      <w:start w:val="1"/>
      <w:numFmt w:val="decimal"/>
      <w:lvlText w:val="%1.%2"/>
      <w:lvlJc w:val="left"/>
      <w:pPr>
        <w:ind w:left="838" w:hanging="529"/>
        <w:jc w:val="left"/>
      </w:pPr>
      <w:rPr>
        <w:rFonts w:hint="default"/>
        <w:lang w:val="zh-CN" w:eastAsia="zh-CN" w:bidi="zh-CN"/>
      </w:rPr>
    </w:lvl>
    <w:lvl w:ilvl="2" w:tplc="17B027F0">
      <w:start w:val="1"/>
      <w:numFmt w:val="decimal"/>
      <w:lvlText w:val="%1.%2.%3"/>
      <w:lvlJc w:val="left"/>
      <w:pPr>
        <w:ind w:left="838" w:hanging="529"/>
        <w:jc w:val="left"/>
      </w:pPr>
      <w:rPr>
        <w:rFonts w:ascii="宋体" w:eastAsia="宋体" w:hAnsi="宋体" w:cs="宋体" w:hint="default"/>
        <w:b/>
        <w:bCs/>
        <w:w w:val="99"/>
        <w:sz w:val="19"/>
        <w:szCs w:val="19"/>
        <w:lang w:val="zh-CN" w:eastAsia="zh-CN" w:bidi="zh-CN"/>
      </w:rPr>
    </w:lvl>
    <w:lvl w:ilvl="3" w:tplc="7BEC855C">
      <w:numFmt w:val="bullet"/>
      <w:lvlText w:val="•"/>
      <w:lvlJc w:val="left"/>
      <w:pPr>
        <w:ind w:left="3781" w:hanging="529"/>
      </w:pPr>
      <w:rPr>
        <w:rFonts w:hint="default"/>
        <w:lang w:val="zh-CN" w:eastAsia="zh-CN" w:bidi="zh-CN"/>
      </w:rPr>
    </w:lvl>
    <w:lvl w:ilvl="4" w:tplc="7EAE63A6">
      <w:numFmt w:val="bullet"/>
      <w:lvlText w:val="•"/>
      <w:lvlJc w:val="left"/>
      <w:pPr>
        <w:ind w:left="4762" w:hanging="529"/>
      </w:pPr>
      <w:rPr>
        <w:rFonts w:hint="default"/>
        <w:lang w:val="zh-CN" w:eastAsia="zh-CN" w:bidi="zh-CN"/>
      </w:rPr>
    </w:lvl>
    <w:lvl w:ilvl="5" w:tplc="5CD4A6EC">
      <w:numFmt w:val="bullet"/>
      <w:lvlText w:val="•"/>
      <w:lvlJc w:val="left"/>
      <w:pPr>
        <w:ind w:left="5743" w:hanging="529"/>
      </w:pPr>
      <w:rPr>
        <w:rFonts w:hint="default"/>
        <w:lang w:val="zh-CN" w:eastAsia="zh-CN" w:bidi="zh-CN"/>
      </w:rPr>
    </w:lvl>
    <w:lvl w:ilvl="6" w:tplc="2B6AE7DA">
      <w:numFmt w:val="bullet"/>
      <w:lvlText w:val="•"/>
      <w:lvlJc w:val="left"/>
      <w:pPr>
        <w:ind w:left="6723" w:hanging="529"/>
      </w:pPr>
      <w:rPr>
        <w:rFonts w:hint="default"/>
        <w:lang w:val="zh-CN" w:eastAsia="zh-CN" w:bidi="zh-CN"/>
      </w:rPr>
    </w:lvl>
    <w:lvl w:ilvl="7" w:tplc="20F81822">
      <w:numFmt w:val="bullet"/>
      <w:lvlText w:val="•"/>
      <w:lvlJc w:val="left"/>
      <w:pPr>
        <w:ind w:left="7704" w:hanging="529"/>
      </w:pPr>
      <w:rPr>
        <w:rFonts w:hint="default"/>
        <w:lang w:val="zh-CN" w:eastAsia="zh-CN" w:bidi="zh-CN"/>
      </w:rPr>
    </w:lvl>
    <w:lvl w:ilvl="8" w:tplc="2BD85F74">
      <w:numFmt w:val="bullet"/>
      <w:lvlText w:val="•"/>
      <w:lvlJc w:val="left"/>
      <w:pPr>
        <w:ind w:left="8685" w:hanging="529"/>
      </w:pPr>
      <w:rPr>
        <w:rFonts w:hint="default"/>
        <w:lang w:val="zh-CN" w:eastAsia="zh-CN" w:bidi="zh-CN"/>
      </w:rPr>
    </w:lvl>
  </w:abstractNum>
  <w:abstractNum w:abstractNumId="942" w15:restartNumberingAfterBreak="0">
    <w:nsid w:val="7B7040B4"/>
    <w:multiLevelType w:val="hybridMultilevel"/>
    <w:tmpl w:val="E0EAEF40"/>
    <w:lvl w:ilvl="0" w:tplc="1F0C95D2">
      <w:start w:val="1"/>
      <w:numFmt w:val="lowerLetter"/>
      <w:lvlText w:val="%1)"/>
      <w:lvlJc w:val="left"/>
      <w:pPr>
        <w:ind w:left="1050" w:hanging="213"/>
        <w:jc w:val="left"/>
      </w:pPr>
      <w:rPr>
        <w:rFonts w:ascii="宋体" w:eastAsia="宋体" w:hAnsi="宋体" w:cs="宋体" w:hint="default"/>
        <w:spacing w:val="-3"/>
        <w:w w:val="99"/>
        <w:sz w:val="19"/>
        <w:szCs w:val="19"/>
        <w:lang w:val="zh-CN" w:eastAsia="zh-CN" w:bidi="zh-CN"/>
      </w:rPr>
    </w:lvl>
    <w:lvl w:ilvl="1" w:tplc="36244990">
      <w:numFmt w:val="bullet"/>
      <w:lvlText w:val="•"/>
      <w:lvlJc w:val="left"/>
      <w:pPr>
        <w:ind w:left="2018" w:hanging="213"/>
      </w:pPr>
      <w:rPr>
        <w:rFonts w:hint="default"/>
        <w:lang w:val="zh-CN" w:eastAsia="zh-CN" w:bidi="zh-CN"/>
      </w:rPr>
    </w:lvl>
    <w:lvl w:ilvl="2" w:tplc="A22C21FC">
      <w:numFmt w:val="bullet"/>
      <w:lvlText w:val="•"/>
      <w:lvlJc w:val="left"/>
      <w:pPr>
        <w:ind w:left="2977" w:hanging="213"/>
      </w:pPr>
      <w:rPr>
        <w:rFonts w:hint="default"/>
        <w:lang w:val="zh-CN" w:eastAsia="zh-CN" w:bidi="zh-CN"/>
      </w:rPr>
    </w:lvl>
    <w:lvl w:ilvl="3" w:tplc="0BECB3C4">
      <w:numFmt w:val="bullet"/>
      <w:lvlText w:val="•"/>
      <w:lvlJc w:val="left"/>
      <w:pPr>
        <w:ind w:left="3935" w:hanging="213"/>
      </w:pPr>
      <w:rPr>
        <w:rFonts w:hint="default"/>
        <w:lang w:val="zh-CN" w:eastAsia="zh-CN" w:bidi="zh-CN"/>
      </w:rPr>
    </w:lvl>
    <w:lvl w:ilvl="4" w:tplc="17F448F2">
      <w:numFmt w:val="bullet"/>
      <w:lvlText w:val="•"/>
      <w:lvlJc w:val="left"/>
      <w:pPr>
        <w:ind w:left="4894" w:hanging="213"/>
      </w:pPr>
      <w:rPr>
        <w:rFonts w:hint="default"/>
        <w:lang w:val="zh-CN" w:eastAsia="zh-CN" w:bidi="zh-CN"/>
      </w:rPr>
    </w:lvl>
    <w:lvl w:ilvl="5" w:tplc="DDB2B028">
      <w:numFmt w:val="bullet"/>
      <w:lvlText w:val="•"/>
      <w:lvlJc w:val="left"/>
      <w:pPr>
        <w:ind w:left="5853" w:hanging="213"/>
      </w:pPr>
      <w:rPr>
        <w:rFonts w:hint="default"/>
        <w:lang w:val="zh-CN" w:eastAsia="zh-CN" w:bidi="zh-CN"/>
      </w:rPr>
    </w:lvl>
    <w:lvl w:ilvl="6" w:tplc="6840C554">
      <w:numFmt w:val="bullet"/>
      <w:lvlText w:val="•"/>
      <w:lvlJc w:val="left"/>
      <w:pPr>
        <w:ind w:left="6811" w:hanging="213"/>
      </w:pPr>
      <w:rPr>
        <w:rFonts w:hint="default"/>
        <w:lang w:val="zh-CN" w:eastAsia="zh-CN" w:bidi="zh-CN"/>
      </w:rPr>
    </w:lvl>
    <w:lvl w:ilvl="7" w:tplc="9A88EBB8">
      <w:numFmt w:val="bullet"/>
      <w:lvlText w:val="•"/>
      <w:lvlJc w:val="left"/>
      <w:pPr>
        <w:ind w:left="7770" w:hanging="213"/>
      </w:pPr>
      <w:rPr>
        <w:rFonts w:hint="default"/>
        <w:lang w:val="zh-CN" w:eastAsia="zh-CN" w:bidi="zh-CN"/>
      </w:rPr>
    </w:lvl>
    <w:lvl w:ilvl="8" w:tplc="8D0ED312">
      <w:numFmt w:val="bullet"/>
      <w:lvlText w:val="•"/>
      <w:lvlJc w:val="left"/>
      <w:pPr>
        <w:ind w:left="8729" w:hanging="213"/>
      </w:pPr>
      <w:rPr>
        <w:rFonts w:hint="default"/>
        <w:lang w:val="zh-CN" w:eastAsia="zh-CN" w:bidi="zh-CN"/>
      </w:rPr>
    </w:lvl>
  </w:abstractNum>
  <w:abstractNum w:abstractNumId="943" w15:restartNumberingAfterBreak="0">
    <w:nsid w:val="7B7E607C"/>
    <w:multiLevelType w:val="hybridMultilevel"/>
    <w:tmpl w:val="789C7A0E"/>
    <w:lvl w:ilvl="0" w:tplc="E0E2C9AA">
      <w:start w:val="4"/>
      <w:numFmt w:val="decimal"/>
      <w:lvlText w:val="%1"/>
      <w:lvlJc w:val="left"/>
      <w:pPr>
        <w:ind w:left="418" w:hanging="529"/>
        <w:jc w:val="left"/>
      </w:pPr>
      <w:rPr>
        <w:rFonts w:hint="default"/>
        <w:lang w:val="zh-CN" w:eastAsia="zh-CN" w:bidi="zh-CN"/>
      </w:rPr>
    </w:lvl>
    <w:lvl w:ilvl="1" w:tplc="204C7F62">
      <w:start w:val="3"/>
      <w:numFmt w:val="decimal"/>
      <w:lvlText w:val="%1.%2"/>
      <w:lvlJc w:val="left"/>
      <w:pPr>
        <w:ind w:left="418" w:hanging="529"/>
        <w:jc w:val="left"/>
      </w:pPr>
      <w:rPr>
        <w:rFonts w:hint="default"/>
        <w:lang w:val="zh-CN" w:eastAsia="zh-CN" w:bidi="zh-CN"/>
      </w:rPr>
    </w:lvl>
    <w:lvl w:ilvl="2" w:tplc="3B2C9752">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A02E6F3A">
      <w:numFmt w:val="bullet"/>
      <w:lvlText w:val="•"/>
      <w:lvlJc w:val="left"/>
      <w:pPr>
        <w:ind w:left="3487" w:hanging="529"/>
      </w:pPr>
      <w:rPr>
        <w:rFonts w:hint="default"/>
        <w:lang w:val="zh-CN" w:eastAsia="zh-CN" w:bidi="zh-CN"/>
      </w:rPr>
    </w:lvl>
    <w:lvl w:ilvl="4" w:tplc="66C4CC1E">
      <w:numFmt w:val="bullet"/>
      <w:lvlText w:val="•"/>
      <w:lvlJc w:val="left"/>
      <w:pPr>
        <w:ind w:left="4510" w:hanging="529"/>
      </w:pPr>
      <w:rPr>
        <w:rFonts w:hint="default"/>
        <w:lang w:val="zh-CN" w:eastAsia="zh-CN" w:bidi="zh-CN"/>
      </w:rPr>
    </w:lvl>
    <w:lvl w:ilvl="5" w:tplc="414445FE">
      <w:numFmt w:val="bullet"/>
      <w:lvlText w:val="•"/>
      <w:lvlJc w:val="left"/>
      <w:pPr>
        <w:ind w:left="5533" w:hanging="529"/>
      </w:pPr>
      <w:rPr>
        <w:rFonts w:hint="default"/>
        <w:lang w:val="zh-CN" w:eastAsia="zh-CN" w:bidi="zh-CN"/>
      </w:rPr>
    </w:lvl>
    <w:lvl w:ilvl="6" w:tplc="A98CF662">
      <w:numFmt w:val="bullet"/>
      <w:lvlText w:val="•"/>
      <w:lvlJc w:val="left"/>
      <w:pPr>
        <w:ind w:left="6555" w:hanging="529"/>
      </w:pPr>
      <w:rPr>
        <w:rFonts w:hint="default"/>
        <w:lang w:val="zh-CN" w:eastAsia="zh-CN" w:bidi="zh-CN"/>
      </w:rPr>
    </w:lvl>
    <w:lvl w:ilvl="7" w:tplc="C43250D6">
      <w:numFmt w:val="bullet"/>
      <w:lvlText w:val="•"/>
      <w:lvlJc w:val="left"/>
      <w:pPr>
        <w:ind w:left="7578" w:hanging="529"/>
      </w:pPr>
      <w:rPr>
        <w:rFonts w:hint="default"/>
        <w:lang w:val="zh-CN" w:eastAsia="zh-CN" w:bidi="zh-CN"/>
      </w:rPr>
    </w:lvl>
    <w:lvl w:ilvl="8" w:tplc="966C43D4">
      <w:numFmt w:val="bullet"/>
      <w:lvlText w:val="•"/>
      <w:lvlJc w:val="left"/>
      <w:pPr>
        <w:ind w:left="8601" w:hanging="529"/>
      </w:pPr>
      <w:rPr>
        <w:rFonts w:hint="default"/>
        <w:lang w:val="zh-CN" w:eastAsia="zh-CN" w:bidi="zh-CN"/>
      </w:rPr>
    </w:lvl>
  </w:abstractNum>
  <w:abstractNum w:abstractNumId="944" w15:restartNumberingAfterBreak="0">
    <w:nsid w:val="7B9A0D7F"/>
    <w:multiLevelType w:val="hybridMultilevel"/>
    <w:tmpl w:val="C81EBF48"/>
    <w:lvl w:ilvl="0" w:tplc="D7F6A88E">
      <w:start w:val="4"/>
      <w:numFmt w:val="decimal"/>
      <w:lvlText w:val="%1"/>
      <w:lvlJc w:val="left"/>
      <w:pPr>
        <w:ind w:left="418" w:hanging="318"/>
        <w:jc w:val="left"/>
      </w:pPr>
      <w:rPr>
        <w:rFonts w:hint="default"/>
        <w:lang w:val="zh-CN" w:eastAsia="zh-CN" w:bidi="zh-CN"/>
      </w:rPr>
    </w:lvl>
    <w:lvl w:ilvl="1" w:tplc="BB4287F4">
      <w:start w:val="1"/>
      <w:numFmt w:val="decimal"/>
      <w:lvlText w:val="%1.%2"/>
      <w:lvlJc w:val="left"/>
      <w:pPr>
        <w:ind w:left="418" w:hanging="318"/>
        <w:jc w:val="left"/>
      </w:pPr>
      <w:rPr>
        <w:rFonts w:ascii="宋体" w:eastAsia="宋体" w:hAnsi="宋体" w:cs="宋体" w:hint="default"/>
        <w:b/>
        <w:bCs/>
        <w:w w:val="99"/>
        <w:sz w:val="19"/>
        <w:szCs w:val="19"/>
        <w:lang w:val="zh-CN" w:eastAsia="zh-CN" w:bidi="zh-CN"/>
      </w:rPr>
    </w:lvl>
    <w:lvl w:ilvl="2" w:tplc="26CE159A">
      <w:numFmt w:val="bullet"/>
      <w:lvlText w:val="•"/>
      <w:lvlJc w:val="left"/>
      <w:pPr>
        <w:ind w:left="2465" w:hanging="318"/>
      </w:pPr>
      <w:rPr>
        <w:rFonts w:hint="default"/>
        <w:lang w:val="zh-CN" w:eastAsia="zh-CN" w:bidi="zh-CN"/>
      </w:rPr>
    </w:lvl>
    <w:lvl w:ilvl="3" w:tplc="F1A6040A">
      <w:numFmt w:val="bullet"/>
      <w:lvlText w:val="•"/>
      <w:lvlJc w:val="left"/>
      <w:pPr>
        <w:ind w:left="3487" w:hanging="318"/>
      </w:pPr>
      <w:rPr>
        <w:rFonts w:hint="default"/>
        <w:lang w:val="zh-CN" w:eastAsia="zh-CN" w:bidi="zh-CN"/>
      </w:rPr>
    </w:lvl>
    <w:lvl w:ilvl="4" w:tplc="7460F474">
      <w:numFmt w:val="bullet"/>
      <w:lvlText w:val="•"/>
      <w:lvlJc w:val="left"/>
      <w:pPr>
        <w:ind w:left="4510" w:hanging="318"/>
      </w:pPr>
      <w:rPr>
        <w:rFonts w:hint="default"/>
        <w:lang w:val="zh-CN" w:eastAsia="zh-CN" w:bidi="zh-CN"/>
      </w:rPr>
    </w:lvl>
    <w:lvl w:ilvl="5" w:tplc="BF14127A">
      <w:numFmt w:val="bullet"/>
      <w:lvlText w:val="•"/>
      <w:lvlJc w:val="left"/>
      <w:pPr>
        <w:ind w:left="5533" w:hanging="318"/>
      </w:pPr>
      <w:rPr>
        <w:rFonts w:hint="default"/>
        <w:lang w:val="zh-CN" w:eastAsia="zh-CN" w:bidi="zh-CN"/>
      </w:rPr>
    </w:lvl>
    <w:lvl w:ilvl="6" w:tplc="2E943C36">
      <w:numFmt w:val="bullet"/>
      <w:lvlText w:val="•"/>
      <w:lvlJc w:val="left"/>
      <w:pPr>
        <w:ind w:left="6555" w:hanging="318"/>
      </w:pPr>
      <w:rPr>
        <w:rFonts w:hint="default"/>
        <w:lang w:val="zh-CN" w:eastAsia="zh-CN" w:bidi="zh-CN"/>
      </w:rPr>
    </w:lvl>
    <w:lvl w:ilvl="7" w:tplc="4FBC48FA">
      <w:numFmt w:val="bullet"/>
      <w:lvlText w:val="•"/>
      <w:lvlJc w:val="left"/>
      <w:pPr>
        <w:ind w:left="7578" w:hanging="318"/>
      </w:pPr>
      <w:rPr>
        <w:rFonts w:hint="default"/>
        <w:lang w:val="zh-CN" w:eastAsia="zh-CN" w:bidi="zh-CN"/>
      </w:rPr>
    </w:lvl>
    <w:lvl w:ilvl="8" w:tplc="EB9EBBCC">
      <w:numFmt w:val="bullet"/>
      <w:lvlText w:val="•"/>
      <w:lvlJc w:val="left"/>
      <w:pPr>
        <w:ind w:left="8601" w:hanging="318"/>
      </w:pPr>
      <w:rPr>
        <w:rFonts w:hint="default"/>
        <w:lang w:val="zh-CN" w:eastAsia="zh-CN" w:bidi="zh-CN"/>
      </w:rPr>
    </w:lvl>
  </w:abstractNum>
  <w:abstractNum w:abstractNumId="945" w15:restartNumberingAfterBreak="0">
    <w:nsid w:val="7BA37A02"/>
    <w:multiLevelType w:val="hybridMultilevel"/>
    <w:tmpl w:val="EB1C22CC"/>
    <w:lvl w:ilvl="0" w:tplc="2D903C2A">
      <w:start w:val="1"/>
      <w:numFmt w:val="decimal"/>
      <w:lvlText w:val="%1"/>
      <w:lvlJc w:val="left"/>
      <w:pPr>
        <w:ind w:left="418" w:hanging="320"/>
        <w:jc w:val="left"/>
      </w:pPr>
      <w:rPr>
        <w:rFonts w:hint="default"/>
        <w:lang w:val="zh-CN" w:eastAsia="zh-CN" w:bidi="zh-CN"/>
      </w:rPr>
    </w:lvl>
    <w:lvl w:ilvl="1" w:tplc="81E6B8E4">
      <w:start w:val="1"/>
      <w:numFmt w:val="decimal"/>
      <w:lvlText w:val="%1.%2"/>
      <w:lvlJc w:val="left"/>
      <w:pPr>
        <w:ind w:left="418" w:hanging="320"/>
        <w:jc w:val="left"/>
      </w:pPr>
      <w:rPr>
        <w:rFonts w:ascii="宋体" w:eastAsia="宋体" w:hAnsi="宋体" w:cs="宋体" w:hint="default"/>
        <w:b/>
        <w:bCs/>
        <w:w w:val="99"/>
        <w:sz w:val="19"/>
        <w:szCs w:val="19"/>
        <w:lang w:val="zh-CN" w:eastAsia="zh-CN" w:bidi="zh-CN"/>
      </w:rPr>
    </w:lvl>
    <w:lvl w:ilvl="2" w:tplc="AC526B42">
      <w:numFmt w:val="bullet"/>
      <w:lvlText w:val="•"/>
      <w:lvlJc w:val="left"/>
      <w:pPr>
        <w:ind w:left="2465" w:hanging="320"/>
      </w:pPr>
      <w:rPr>
        <w:rFonts w:hint="default"/>
        <w:lang w:val="zh-CN" w:eastAsia="zh-CN" w:bidi="zh-CN"/>
      </w:rPr>
    </w:lvl>
    <w:lvl w:ilvl="3" w:tplc="51D02912">
      <w:numFmt w:val="bullet"/>
      <w:lvlText w:val="•"/>
      <w:lvlJc w:val="left"/>
      <w:pPr>
        <w:ind w:left="3487" w:hanging="320"/>
      </w:pPr>
      <w:rPr>
        <w:rFonts w:hint="default"/>
        <w:lang w:val="zh-CN" w:eastAsia="zh-CN" w:bidi="zh-CN"/>
      </w:rPr>
    </w:lvl>
    <w:lvl w:ilvl="4" w:tplc="F2064F48">
      <w:numFmt w:val="bullet"/>
      <w:lvlText w:val="•"/>
      <w:lvlJc w:val="left"/>
      <w:pPr>
        <w:ind w:left="4510" w:hanging="320"/>
      </w:pPr>
      <w:rPr>
        <w:rFonts w:hint="default"/>
        <w:lang w:val="zh-CN" w:eastAsia="zh-CN" w:bidi="zh-CN"/>
      </w:rPr>
    </w:lvl>
    <w:lvl w:ilvl="5" w:tplc="DA6AA364">
      <w:numFmt w:val="bullet"/>
      <w:lvlText w:val="•"/>
      <w:lvlJc w:val="left"/>
      <w:pPr>
        <w:ind w:left="5533" w:hanging="320"/>
      </w:pPr>
      <w:rPr>
        <w:rFonts w:hint="default"/>
        <w:lang w:val="zh-CN" w:eastAsia="zh-CN" w:bidi="zh-CN"/>
      </w:rPr>
    </w:lvl>
    <w:lvl w:ilvl="6" w:tplc="B08C8E7E">
      <w:numFmt w:val="bullet"/>
      <w:lvlText w:val="•"/>
      <w:lvlJc w:val="left"/>
      <w:pPr>
        <w:ind w:left="6555" w:hanging="320"/>
      </w:pPr>
      <w:rPr>
        <w:rFonts w:hint="default"/>
        <w:lang w:val="zh-CN" w:eastAsia="zh-CN" w:bidi="zh-CN"/>
      </w:rPr>
    </w:lvl>
    <w:lvl w:ilvl="7" w:tplc="F3F243FC">
      <w:numFmt w:val="bullet"/>
      <w:lvlText w:val="•"/>
      <w:lvlJc w:val="left"/>
      <w:pPr>
        <w:ind w:left="7578" w:hanging="320"/>
      </w:pPr>
      <w:rPr>
        <w:rFonts w:hint="default"/>
        <w:lang w:val="zh-CN" w:eastAsia="zh-CN" w:bidi="zh-CN"/>
      </w:rPr>
    </w:lvl>
    <w:lvl w:ilvl="8" w:tplc="744AC568">
      <w:numFmt w:val="bullet"/>
      <w:lvlText w:val="•"/>
      <w:lvlJc w:val="left"/>
      <w:pPr>
        <w:ind w:left="8601" w:hanging="320"/>
      </w:pPr>
      <w:rPr>
        <w:rFonts w:hint="default"/>
        <w:lang w:val="zh-CN" w:eastAsia="zh-CN" w:bidi="zh-CN"/>
      </w:rPr>
    </w:lvl>
  </w:abstractNum>
  <w:abstractNum w:abstractNumId="946" w15:restartNumberingAfterBreak="0">
    <w:nsid w:val="7BC752D5"/>
    <w:multiLevelType w:val="hybridMultilevel"/>
    <w:tmpl w:val="1C72A1AE"/>
    <w:lvl w:ilvl="0" w:tplc="F7BED7C2">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B226D16E">
      <w:numFmt w:val="bullet"/>
      <w:lvlText w:val="•"/>
      <w:lvlJc w:val="left"/>
      <w:pPr>
        <w:ind w:left="2288" w:hanging="529"/>
      </w:pPr>
      <w:rPr>
        <w:rFonts w:hint="default"/>
        <w:lang w:val="zh-CN" w:eastAsia="zh-CN" w:bidi="zh-CN"/>
      </w:rPr>
    </w:lvl>
    <w:lvl w:ilvl="2" w:tplc="E034DA28">
      <w:numFmt w:val="bullet"/>
      <w:lvlText w:val="•"/>
      <w:lvlJc w:val="left"/>
      <w:pPr>
        <w:ind w:left="3217" w:hanging="529"/>
      </w:pPr>
      <w:rPr>
        <w:rFonts w:hint="default"/>
        <w:lang w:val="zh-CN" w:eastAsia="zh-CN" w:bidi="zh-CN"/>
      </w:rPr>
    </w:lvl>
    <w:lvl w:ilvl="3" w:tplc="E6389DF0">
      <w:numFmt w:val="bullet"/>
      <w:lvlText w:val="•"/>
      <w:lvlJc w:val="left"/>
      <w:pPr>
        <w:ind w:left="4145" w:hanging="529"/>
      </w:pPr>
      <w:rPr>
        <w:rFonts w:hint="default"/>
        <w:lang w:val="zh-CN" w:eastAsia="zh-CN" w:bidi="zh-CN"/>
      </w:rPr>
    </w:lvl>
    <w:lvl w:ilvl="4" w:tplc="A8A2D54C">
      <w:numFmt w:val="bullet"/>
      <w:lvlText w:val="•"/>
      <w:lvlJc w:val="left"/>
      <w:pPr>
        <w:ind w:left="5074" w:hanging="529"/>
      </w:pPr>
      <w:rPr>
        <w:rFonts w:hint="default"/>
        <w:lang w:val="zh-CN" w:eastAsia="zh-CN" w:bidi="zh-CN"/>
      </w:rPr>
    </w:lvl>
    <w:lvl w:ilvl="5" w:tplc="3ED6E658">
      <w:numFmt w:val="bullet"/>
      <w:lvlText w:val="•"/>
      <w:lvlJc w:val="left"/>
      <w:pPr>
        <w:ind w:left="6003" w:hanging="529"/>
      </w:pPr>
      <w:rPr>
        <w:rFonts w:hint="default"/>
        <w:lang w:val="zh-CN" w:eastAsia="zh-CN" w:bidi="zh-CN"/>
      </w:rPr>
    </w:lvl>
    <w:lvl w:ilvl="6" w:tplc="847CFA0C">
      <w:numFmt w:val="bullet"/>
      <w:lvlText w:val="•"/>
      <w:lvlJc w:val="left"/>
      <w:pPr>
        <w:ind w:left="6931" w:hanging="529"/>
      </w:pPr>
      <w:rPr>
        <w:rFonts w:hint="default"/>
        <w:lang w:val="zh-CN" w:eastAsia="zh-CN" w:bidi="zh-CN"/>
      </w:rPr>
    </w:lvl>
    <w:lvl w:ilvl="7" w:tplc="48AAFBEA">
      <w:numFmt w:val="bullet"/>
      <w:lvlText w:val="•"/>
      <w:lvlJc w:val="left"/>
      <w:pPr>
        <w:ind w:left="7860" w:hanging="529"/>
      </w:pPr>
      <w:rPr>
        <w:rFonts w:hint="default"/>
        <w:lang w:val="zh-CN" w:eastAsia="zh-CN" w:bidi="zh-CN"/>
      </w:rPr>
    </w:lvl>
    <w:lvl w:ilvl="8" w:tplc="FA3C862E">
      <w:numFmt w:val="bullet"/>
      <w:lvlText w:val="•"/>
      <w:lvlJc w:val="left"/>
      <w:pPr>
        <w:ind w:left="8789" w:hanging="529"/>
      </w:pPr>
      <w:rPr>
        <w:rFonts w:hint="default"/>
        <w:lang w:val="zh-CN" w:eastAsia="zh-CN" w:bidi="zh-CN"/>
      </w:rPr>
    </w:lvl>
  </w:abstractNum>
  <w:abstractNum w:abstractNumId="947" w15:restartNumberingAfterBreak="0">
    <w:nsid w:val="7BC87C1C"/>
    <w:multiLevelType w:val="hybridMultilevel"/>
    <w:tmpl w:val="03CCE1A8"/>
    <w:lvl w:ilvl="0" w:tplc="6E4AABF0">
      <w:start w:val="2"/>
      <w:numFmt w:val="decimal"/>
      <w:lvlText w:val="%1"/>
      <w:lvlJc w:val="left"/>
      <w:pPr>
        <w:ind w:left="1477" w:hanging="637"/>
        <w:jc w:val="left"/>
      </w:pPr>
      <w:rPr>
        <w:rFonts w:hint="default"/>
        <w:lang w:val="zh-CN" w:eastAsia="zh-CN" w:bidi="zh-CN"/>
      </w:rPr>
    </w:lvl>
    <w:lvl w:ilvl="1" w:tplc="8E40B858">
      <w:start w:val="1"/>
      <w:numFmt w:val="decimal"/>
      <w:lvlText w:val="%1.%2"/>
      <w:lvlJc w:val="left"/>
      <w:pPr>
        <w:ind w:left="1477" w:hanging="637"/>
        <w:jc w:val="left"/>
      </w:pPr>
      <w:rPr>
        <w:rFonts w:hint="default"/>
        <w:lang w:val="zh-CN" w:eastAsia="zh-CN" w:bidi="zh-CN"/>
      </w:rPr>
    </w:lvl>
    <w:lvl w:ilvl="2" w:tplc="7768514A">
      <w:start w:val="22"/>
      <w:numFmt w:val="decimal"/>
      <w:lvlText w:val="%1.%2.%3"/>
      <w:lvlJc w:val="left"/>
      <w:pPr>
        <w:ind w:left="1477" w:hanging="637"/>
        <w:jc w:val="left"/>
      </w:pPr>
      <w:rPr>
        <w:rFonts w:ascii="宋体" w:eastAsia="宋体" w:hAnsi="宋体" w:cs="宋体" w:hint="default"/>
        <w:b/>
        <w:bCs/>
        <w:color w:val="333333"/>
        <w:spacing w:val="-3"/>
        <w:w w:val="99"/>
        <w:sz w:val="19"/>
        <w:szCs w:val="19"/>
        <w:lang w:val="zh-CN" w:eastAsia="zh-CN" w:bidi="zh-CN"/>
      </w:rPr>
    </w:lvl>
    <w:lvl w:ilvl="3" w:tplc="18AE2F96">
      <w:numFmt w:val="bullet"/>
      <w:lvlText w:val="•"/>
      <w:lvlJc w:val="left"/>
      <w:pPr>
        <w:ind w:left="4229" w:hanging="637"/>
      </w:pPr>
      <w:rPr>
        <w:rFonts w:hint="default"/>
        <w:lang w:val="zh-CN" w:eastAsia="zh-CN" w:bidi="zh-CN"/>
      </w:rPr>
    </w:lvl>
    <w:lvl w:ilvl="4" w:tplc="093A3D86">
      <w:numFmt w:val="bullet"/>
      <w:lvlText w:val="•"/>
      <w:lvlJc w:val="left"/>
      <w:pPr>
        <w:ind w:left="5146" w:hanging="637"/>
      </w:pPr>
      <w:rPr>
        <w:rFonts w:hint="default"/>
        <w:lang w:val="zh-CN" w:eastAsia="zh-CN" w:bidi="zh-CN"/>
      </w:rPr>
    </w:lvl>
    <w:lvl w:ilvl="5" w:tplc="8AE4B55A">
      <w:numFmt w:val="bullet"/>
      <w:lvlText w:val="•"/>
      <w:lvlJc w:val="left"/>
      <w:pPr>
        <w:ind w:left="6063" w:hanging="637"/>
      </w:pPr>
      <w:rPr>
        <w:rFonts w:hint="default"/>
        <w:lang w:val="zh-CN" w:eastAsia="zh-CN" w:bidi="zh-CN"/>
      </w:rPr>
    </w:lvl>
    <w:lvl w:ilvl="6" w:tplc="EF423AB2">
      <w:numFmt w:val="bullet"/>
      <w:lvlText w:val="•"/>
      <w:lvlJc w:val="left"/>
      <w:pPr>
        <w:ind w:left="6979" w:hanging="637"/>
      </w:pPr>
      <w:rPr>
        <w:rFonts w:hint="default"/>
        <w:lang w:val="zh-CN" w:eastAsia="zh-CN" w:bidi="zh-CN"/>
      </w:rPr>
    </w:lvl>
    <w:lvl w:ilvl="7" w:tplc="0EAE9A20">
      <w:numFmt w:val="bullet"/>
      <w:lvlText w:val="•"/>
      <w:lvlJc w:val="left"/>
      <w:pPr>
        <w:ind w:left="7896" w:hanging="637"/>
      </w:pPr>
      <w:rPr>
        <w:rFonts w:hint="default"/>
        <w:lang w:val="zh-CN" w:eastAsia="zh-CN" w:bidi="zh-CN"/>
      </w:rPr>
    </w:lvl>
    <w:lvl w:ilvl="8" w:tplc="4CF8441E">
      <w:numFmt w:val="bullet"/>
      <w:lvlText w:val="•"/>
      <w:lvlJc w:val="left"/>
      <w:pPr>
        <w:ind w:left="8813" w:hanging="637"/>
      </w:pPr>
      <w:rPr>
        <w:rFonts w:hint="default"/>
        <w:lang w:val="zh-CN" w:eastAsia="zh-CN" w:bidi="zh-CN"/>
      </w:rPr>
    </w:lvl>
  </w:abstractNum>
  <w:abstractNum w:abstractNumId="948" w15:restartNumberingAfterBreak="0">
    <w:nsid w:val="7BD26A00"/>
    <w:multiLevelType w:val="hybridMultilevel"/>
    <w:tmpl w:val="C630A698"/>
    <w:lvl w:ilvl="0" w:tplc="BBE49CF4">
      <w:start w:val="4"/>
      <w:numFmt w:val="decimal"/>
      <w:lvlText w:val="%1"/>
      <w:lvlJc w:val="left"/>
      <w:pPr>
        <w:ind w:left="418" w:hanging="529"/>
        <w:jc w:val="left"/>
      </w:pPr>
      <w:rPr>
        <w:rFonts w:hint="default"/>
        <w:lang w:val="zh-CN" w:eastAsia="zh-CN" w:bidi="zh-CN"/>
      </w:rPr>
    </w:lvl>
    <w:lvl w:ilvl="1" w:tplc="D3AC2780">
      <w:start w:val="8"/>
      <w:numFmt w:val="decimal"/>
      <w:lvlText w:val="%1.%2"/>
      <w:lvlJc w:val="left"/>
      <w:pPr>
        <w:ind w:left="418" w:hanging="529"/>
        <w:jc w:val="left"/>
      </w:pPr>
      <w:rPr>
        <w:rFonts w:hint="default"/>
        <w:lang w:val="zh-CN" w:eastAsia="zh-CN" w:bidi="zh-CN"/>
      </w:rPr>
    </w:lvl>
    <w:lvl w:ilvl="2" w:tplc="A0963DE6">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03EE2334">
      <w:numFmt w:val="bullet"/>
      <w:lvlText w:val="•"/>
      <w:lvlJc w:val="left"/>
      <w:pPr>
        <w:ind w:left="3487" w:hanging="529"/>
      </w:pPr>
      <w:rPr>
        <w:rFonts w:hint="default"/>
        <w:lang w:val="zh-CN" w:eastAsia="zh-CN" w:bidi="zh-CN"/>
      </w:rPr>
    </w:lvl>
    <w:lvl w:ilvl="4" w:tplc="03CE5BB2">
      <w:numFmt w:val="bullet"/>
      <w:lvlText w:val="•"/>
      <w:lvlJc w:val="left"/>
      <w:pPr>
        <w:ind w:left="4510" w:hanging="529"/>
      </w:pPr>
      <w:rPr>
        <w:rFonts w:hint="default"/>
        <w:lang w:val="zh-CN" w:eastAsia="zh-CN" w:bidi="zh-CN"/>
      </w:rPr>
    </w:lvl>
    <w:lvl w:ilvl="5" w:tplc="30A807F8">
      <w:numFmt w:val="bullet"/>
      <w:lvlText w:val="•"/>
      <w:lvlJc w:val="left"/>
      <w:pPr>
        <w:ind w:left="5533" w:hanging="529"/>
      </w:pPr>
      <w:rPr>
        <w:rFonts w:hint="default"/>
        <w:lang w:val="zh-CN" w:eastAsia="zh-CN" w:bidi="zh-CN"/>
      </w:rPr>
    </w:lvl>
    <w:lvl w:ilvl="6" w:tplc="081A4AFC">
      <w:numFmt w:val="bullet"/>
      <w:lvlText w:val="•"/>
      <w:lvlJc w:val="left"/>
      <w:pPr>
        <w:ind w:left="6555" w:hanging="529"/>
      </w:pPr>
      <w:rPr>
        <w:rFonts w:hint="default"/>
        <w:lang w:val="zh-CN" w:eastAsia="zh-CN" w:bidi="zh-CN"/>
      </w:rPr>
    </w:lvl>
    <w:lvl w:ilvl="7" w:tplc="1ACC5276">
      <w:numFmt w:val="bullet"/>
      <w:lvlText w:val="•"/>
      <w:lvlJc w:val="left"/>
      <w:pPr>
        <w:ind w:left="7578" w:hanging="529"/>
      </w:pPr>
      <w:rPr>
        <w:rFonts w:hint="default"/>
        <w:lang w:val="zh-CN" w:eastAsia="zh-CN" w:bidi="zh-CN"/>
      </w:rPr>
    </w:lvl>
    <w:lvl w:ilvl="8" w:tplc="DCC63EA4">
      <w:numFmt w:val="bullet"/>
      <w:lvlText w:val="•"/>
      <w:lvlJc w:val="left"/>
      <w:pPr>
        <w:ind w:left="8601" w:hanging="529"/>
      </w:pPr>
      <w:rPr>
        <w:rFonts w:hint="default"/>
        <w:lang w:val="zh-CN" w:eastAsia="zh-CN" w:bidi="zh-CN"/>
      </w:rPr>
    </w:lvl>
  </w:abstractNum>
  <w:abstractNum w:abstractNumId="949" w15:restartNumberingAfterBreak="0">
    <w:nsid w:val="7C255D23"/>
    <w:multiLevelType w:val="hybridMultilevel"/>
    <w:tmpl w:val="AC1EACDA"/>
    <w:lvl w:ilvl="0" w:tplc="BFA82B82">
      <w:start w:val="5"/>
      <w:numFmt w:val="decimal"/>
      <w:lvlText w:val="%1"/>
      <w:lvlJc w:val="left"/>
      <w:pPr>
        <w:ind w:left="1263" w:hanging="424"/>
        <w:jc w:val="left"/>
      </w:pPr>
      <w:rPr>
        <w:rFonts w:hint="default"/>
        <w:lang w:val="zh-CN" w:eastAsia="zh-CN" w:bidi="zh-CN"/>
      </w:rPr>
    </w:lvl>
    <w:lvl w:ilvl="1" w:tplc="6772D93A">
      <w:start w:val="10"/>
      <w:numFmt w:val="decimal"/>
      <w:lvlText w:val="%1.%2"/>
      <w:lvlJc w:val="left"/>
      <w:pPr>
        <w:ind w:left="1263" w:hanging="424"/>
        <w:jc w:val="left"/>
      </w:pPr>
      <w:rPr>
        <w:rFonts w:ascii="宋体" w:eastAsia="宋体" w:hAnsi="宋体" w:cs="宋体" w:hint="default"/>
        <w:b/>
        <w:bCs/>
        <w:spacing w:val="-3"/>
        <w:w w:val="99"/>
        <w:sz w:val="19"/>
        <w:szCs w:val="19"/>
        <w:lang w:val="zh-CN" w:eastAsia="zh-CN" w:bidi="zh-CN"/>
      </w:rPr>
    </w:lvl>
    <w:lvl w:ilvl="2" w:tplc="37D2EB4A">
      <w:numFmt w:val="bullet"/>
      <w:lvlText w:val="•"/>
      <w:lvlJc w:val="left"/>
      <w:pPr>
        <w:ind w:left="3137" w:hanging="424"/>
      </w:pPr>
      <w:rPr>
        <w:rFonts w:hint="default"/>
        <w:lang w:val="zh-CN" w:eastAsia="zh-CN" w:bidi="zh-CN"/>
      </w:rPr>
    </w:lvl>
    <w:lvl w:ilvl="3" w:tplc="231C3EEC">
      <w:numFmt w:val="bullet"/>
      <w:lvlText w:val="•"/>
      <w:lvlJc w:val="left"/>
      <w:pPr>
        <w:ind w:left="4075" w:hanging="424"/>
      </w:pPr>
      <w:rPr>
        <w:rFonts w:hint="default"/>
        <w:lang w:val="zh-CN" w:eastAsia="zh-CN" w:bidi="zh-CN"/>
      </w:rPr>
    </w:lvl>
    <w:lvl w:ilvl="4" w:tplc="5726E0FE">
      <w:numFmt w:val="bullet"/>
      <w:lvlText w:val="•"/>
      <w:lvlJc w:val="left"/>
      <w:pPr>
        <w:ind w:left="5014" w:hanging="424"/>
      </w:pPr>
      <w:rPr>
        <w:rFonts w:hint="default"/>
        <w:lang w:val="zh-CN" w:eastAsia="zh-CN" w:bidi="zh-CN"/>
      </w:rPr>
    </w:lvl>
    <w:lvl w:ilvl="5" w:tplc="1A383A1C">
      <w:numFmt w:val="bullet"/>
      <w:lvlText w:val="•"/>
      <w:lvlJc w:val="left"/>
      <w:pPr>
        <w:ind w:left="5953" w:hanging="424"/>
      </w:pPr>
      <w:rPr>
        <w:rFonts w:hint="default"/>
        <w:lang w:val="zh-CN" w:eastAsia="zh-CN" w:bidi="zh-CN"/>
      </w:rPr>
    </w:lvl>
    <w:lvl w:ilvl="6" w:tplc="BF78EA1E">
      <w:numFmt w:val="bullet"/>
      <w:lvlText w:val="•"/>
      <w:lvlJc w:val="left"/>
      <w:pPr>
        <w:ind w:left="6891" w:hanging="424"/>
      </w:pPr>
      <w:rPr>
        <w:rFonts w:hint="default"/>
        <w:lang w:val="zh-CN" w:eastAsia="zh-CN" w:bidi="zh-CN"/>
      </w:rPr>
    </w:lvl>
    <w:lvl w:ilvl="7" w:tplc="378C73F0">
      <w:numFmt w:val="bullet"/>
      <w:lvlText w:val="•"/>
      <w:lvlJc w:val="left"/>
      <w:pPr>
        <w:ind w:left="7830" w:hanging="424"/>
      </w:pPr>
      <w:rPr>
        <w:rFonts w:hint="default"/>
        <w:lang w:val="zh-CN" w:eastAsia="zh-CN" w:bidi="zh-CN"/>
      </w:rPr>
    </w:lvl>
    <w:lvl w:ilvl="8" w:tplc="5B38DF56">
      <w:numFmt w:val="bullet"/>
      <w:lvlText w:val="•"/>
      <w:lvlJc w:val="left"/>
      <w:pPr>
        <w:ind w:left="8769" w:hanging="424"/>
      </w:pPr>
      <w:rPr>
        <w:rFonts w:hint="default"/>
        <w:lang w:val="zh-CN" w:eastAsia="zh-CN" w:bidi="zh-CN"/>
      </w:rPr>
    </w:lvl>
  </w:abstractNum>
  <w:abstractNum w:abstractNumId="950" w15:restartNumberingAfterBreak="0">
    <w:nsid w:val="7C2E3317"/>
    <w:multiLevelType w:val="hybridMultilevel"/>
    <w:tmpl w:val="78B2AA5E"/>
    <w:lvl w:ilvl="0" w:tplc="6D5E13F2">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79844C40">
      <w:numFmt w:val="bullet"/>
      <w:lvlText w:val="•"/>
      <w:lvlJc w:val="left"/>
      <w:pPr>
        <w:ind w:left="2288" w:hanging="529"/>
      </w:pPr>
      <w:rPr>
        <w:rFonts w:hint="default"/>
        <w:lang w:val="zh-CN" w:eastAsia="zh-CN" w:bidi="zh-CN"/>
      </w:rPr>
    </w:lvl>
    <w:lvl w:ilvl="2" w:tplc="86E22C74">
      <w:numFmt w:val="bullet"/>
      <w:lvlText w:val="•"/>
      <w:lvlJc w:val="left"/>
      <w:pPr>
        <w:ind w:left="3217" w:hanging="529"/>
      </w:pPr>
      <w:rPr>
        <w:rFonts w:hint="default"/>
        <w:lang w:val="zh-CN" w:eastAsia="zh-CN" w:bidi="zh-CN"/>
      </w:rPr>
    </w:lvl>
    <w:lvl w:ilvl="3" w:tplc="A460A6D8">
      <w:numFmt w:val="bullet"/>
      <w:lvlText w:val="•"/>
      <w:lvlJc w:val="left"/>
      <w:pPr>
        <w:ind w:left="4145" w:hanging="529"/>
      </w:pPr>
      <w:rPr>
        <w:rFonts w:hint="default"/>
        <w:lang w:val="zh-CN" w:eastAsia="zh-CN" w:bidi="zh-CN"/>
      </w:rPr>
    </w:lvl>
    <w:lvl w:ilvl="4" w:tplc="17961E56">
      <w:numFmt w:val="bullet"/>
      <w:lvlText w:val="•"/>
      <w:lvlJc w:val="left"/>
      <w:pPr>
        <w:ind w:left="5074" w:hanging="529"/>
      </w:pPr>
      <w:rPr>
        <w:rFonts w:hint="default"/>
        <w:lang w:val="zh-CN" w:eastAsia="zh-CN" w:bidi="zh-CN"/>
      </w:rPr>
    </w:lvl>
    <w:lvl w:ilvl="5" w:tplc="1932024E">
      <w:numFmt w:val="bullet"/>
      <w:lvlText w:val="•"/>
      <w:lvlJc w:val="left"/>
      <w:pPr>
        <w:ind w:left="6003" w:hanging="529"/>
      </w:pPr>
      <w:rPr>
        <w:rFonts w:hint="default"/>
        <w:lang w:val="zh-CN" w:eastAsia="zh-CN" w:bidi="zh-CN"/>
      </w:rPr>
    </w:lvl>
    <w:lvl w:ilvl="6" w:tplc="C7A6CA08">
      <w:numFmt w:val="bullet"/>
      <w:lvlText w:val="•"/>
      <w:lvlJc w:val="left"/>
      <w:pPr>
        <w:ind w:left="6931" w:hanging="529"/>
      </w:pPr>
      <w:rPr>
        <w:rFonts w:hint="default"/>
        <w:lang w:val="zh-CN" w:eastAsia="zh-CN" w:bidi="zh-CN"/>
      </w:rPr>
    </w:lvl>
    <w:lvl w:ilvl="7" w:tplc="50648F5C">
      <w:numFmt w:val="bullet"/>
      <w:lvlText w:val="•"/>
      <w:lvlJc w:val="left"/>
      <w:pPr>
        <w:ind w:left="7860" w:hanging="529"/>
      </w:pPr>
      <w:rPr>
        <w:rFonts w:hint="default"/>
        <w:lang w:val="zh-CN" w:eastAsia="zh-CN" w:bidi="zh-CN"/>
      </w:rPr>
    </w:lvl>
    <w:lvl w:ilvl="8" w:tplc="32E83A86">
      <w:numFmt w:val="bullet"/>
      <w:lvlText w:val="•"/>
      <w:lvlJc w:val="left"/>
      <w:pPr>
        <w:ind w:left="8789" w:hanging="529"/>
      </w:pPr>
      <w:rPr>
        <w:rFonts w:hint="default"/>
        <w:lang w:val="zh-CN" w:eastAsia="zh-CN" w:bidi="zh-CN"/>
      </w:rPr>
    </w:lvl>
  </w:abstractNum>
  <w:abstractNum w:abstractNumId="951" w15:restartNumberingAfterBreak="0">
    <w:nsid w:val="7C506D8F"/>
    <w:multiLevelType w:val="hybridMultilevel"/>
    <w:tmpl w:val="B2864842"/>
    <w:lvl w:ilvl="0" w:tplc="94E470E0">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9C3AC3EE">
      <w:numFmt w:val="bullet"/>
      <w:lvlText w:val="•"/>
      <w:lvlJc w:val="left"/>
      <w:pPr>
        <w:ind w:left="2288" w:hanging="529"/>
      </w:pPr>
      <w:rPr>
        <w:rFonts w:hint="default"/>
        <w:lang w:val="zh-CN" w:eastAsia="zh-CN" w:bidi="zh-CN"/>
      </w:rPr>
    </w:lvl>
    <w:lvl w:ilvl="2" w:tplc="1BFCE8A2">
      <w:numFmt w:val="bullet"/>
      <w:lvlText w:val="•"/>
      <w:lvlJc w:val="left"/>
      <w:pPr>
        <w:ind w:left="3217" w:hanging="529"/>
      </w:pPr>
      <w:rPr>
        <w:rFonts w:hint="default"/>
        <w:lang w:val="zh-CN" w:eastAsia="zh-CN" w:bidi="zh-CN"/>
      </w:rPr>
    </w:lvl>
    <w:lvl w:ilvl="3" w:tplc="3DBEF866">
      <w:numFmt w:val="bullet"/>
      <w:lvlText w:val="•"/>
      <w:lvlJc w:val="left"/>
      <w:pPr>
        <w:ind w:left="4145" w:hanging="529"/>
      </w:pPr>
      <w:rPr>
        <w:rFonts w:hint="default"/>
        <w:lang w:val="zh-CN" w:eastAsia="zh-CN" w:bidi="zh-CN"/>
      </w:rPr>
    </w:lvl>
    <w:lvl w:ilvl="4" w:tplc="159AF8FC">
      <w:numFmt w:val="bullet"/>
      <w:lvlText w:val="•"/>
      <w:lvlJc w:val="left"/>
      <w:pPr>
        <w:ind w:left="5074" w:hanging="529"/>
      </w:pPr>
      <w:rPr>
        <w:rFonts w:hint="default"/>
        <w:lang w:val="zh-CN" w:eastAsia="zh-CN" w:bidi="zh-CN"/>
      </w:rPr>
    </w:lvl>
    <w:lvl w:ilvl="5" w:tplc="6CFC9FB4">
      <w:numFmt w:val="bullet"/>
      <w:lvlText w:val="•"/>
      <w:lvlJc w:val="left"/>
      <w:pPr>
        <w:ind w:left="6003" w:hanging="529"/>
      </w:pPr>
      <w:rPr>
        <w:rFonts w:hint="default"/>
        <w:lang w:val="zh-CN" w:eastAsia="zh-CN" w:bidi="zh-CN"/>
      </w:rPr>
    </w:lvl>
    <w:lvl w:ilvl="6" w:tplc="51BAAF7A">
      <w:numFmt w:val="bullet"/>
      <w:lvlText w:val="•"/>
      <w:lvlJc w:val="left"/>
      <w:pPr>
        <w:ind w:left="6931" w:hanging="529"/>
      </w:pPr>
      <w:rPr>
        <w:rFonts w:hint="default"/>
        <w:lang w:val="zh-CN" w:eastAsia="zh-CN" w:bidi="zh-CN"/>
      </w:rPr>
    </w:lvl>
    <w:lvl w:ilvl="7" w:tplc="526687E8">
      <w:numFmt w:val="bullet"/>
      <w:lvlText w:val="•"/>
      <w:lvlJc w:val="left"/>
      <w:pPr>
        <w:ind w:left="7860" w:hanging="529"/>
      </w:pPr>
      <w:rPr>
        <w:rFonts w:hint="default"/>
        <w:lang w:val="zh-CN" w:eastAsia="zh-CN" w:bidi="zh-CN"/>
      </w:rPr>
    </w:lvl>
    <w:lvl w:ilvl="8" w:tplc="500AFE6C">
      <w:numFmt w:val="bullet"/>
      <w:lvlText w:val="•"/>
      <w:lvlJc w:val="left"/>
      <w:pPr>
        <w:ind w:left="8789" w:hanging="529"/>
      </w:pPr>
      <w:rPr>
        <w:rFonts w:hint="default"/>
        <w:lang w:val="zh-CN" w:eastAsia="zh-CN" w:bidi="zh-CN"/>
      </w:rPr>
    </w:lvl>
  </w:abstractNum>
  <w:abstractNum w:abstractNumId="952" w15:restartNumberingAfterBreak="0">
    <w:nsid w:val="7C5E7EA5"/>
    <w:multiLevelType w:val="hybridMultilevel"/>
    <w:tmpl w:val="AD8C5E30"/>
    <w:lvl w:ilvl="0" w:tplc="E0DAA3BA">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C0786068">
      <w:numFmt w:val="bullet"/>
      <w:lvlText w:val="•"/>
      <w:lvlJc w:val="left"/>
      <w:pPr>
        <w:ind w:left="2288" w:hanging="529"/>
      </w:pPr>
      <w:rPr>
        <w:rFonts w:hint="default"/>
        <w:lang w:val="zh-CN" w:eastAsia="zh-CN" w:bidi="zh-CN"/>
      </w:rPr>
    </w:lvl>
    <w:lvl w:ilvl="2" w:tplc="059EF8BC">
      <w:numFmt w:val="bullet"/>
      <w:lvlText w:val="•"/>
      <w:lvlJc w:val="left"/>
      <w:pPr>
        <w:ind w:left="3217" w:hanging="529"/>
      </w:pPr>
      <w:rPr>
        <w:rFonts w:hint="default"/>
        <w:lang w:val="zh-CN" w:eastAsia="zh-CN" w:bidi="zh-CN"/>
      </w:rPr>
    </w:lvl>
    <w:lvl w:ilvl="3" w:tplc="042698F8">
      <w:numFmt w:val="bullet"/>
      <w:lvlText w:val="•"/>
      <w:lvlJc w:val="left"/>
      <w:pPr>
        <w:ind w:left="4145" w:hanging="529"/>
      </w:pPr>
      <w:rPr>
        <w:rFonts w:hint="default"/>
        <w:lang w:val="zh-CN" w:eastAsia="zh-CN" w:bidi="zh-CN"/>
      </w:rPr>
    </w:lvl>
    <w:lvl w:ilvl="4" w:tplc="D7D6C6B4">
      <w:numFmt w:val="bullet"/>
      <w:lvlText w:val="•"/>
      <w:lvlJc w:val="left"/>
      <w:pPr>
        <w:ind w:left="5074" w:hanging="529"/>
      </w:pPr>
      <w:rPr>
        <w:rFonts w:hint="default"/>
        <w:lang w:val="zh-CN" w:eastAsia="zh-CN" w:bidi="zh-CN"/>
      </w:rPr>
    </w:lvl>
    <w:lvl w:ilvl="5" w:tplc="9A08A8CE">
      <w:numFmt w:val="bullet"/>
      <w:lvlText w:val="•"/>
      <w:lvlJc w:val="left"/>
      <w:pPr>
        <w:ind w:left="6003" w:hanging="529"/>
      </w:pPr>
      <w:rPr>
        <w:rFonts w:hint="default"/>
        <w:lang w:val="zh-CN" w:eastAsia="zh-CN" w:bidi="zh-CN"/>
      </w:rPr>
    </w:lvl>
    <w:lvl w:ilvl="6" w:tplc="581ECF26">
      <w:numFmt w:val="bullet"/>
      <w:lvlText w:val="•"/>
      <w:lvlJc w:val="left"/>
      <w:pPr>
        <w:ind w:left="6931" w:hanging="529"/>
      </w:pPr>
      <w:rPr>
        <w:rFonts w:hint="default"/>
        <w:lang w:val="zh-CN" w:eastAsia="zh-CN" w:bidi="zh-CN"/>
      </w:rPr>
    </w:lvl>
    <w:lvl w:ilvl="7" w:tplc="7570AFCA">
      <w:numFmt w:val="bullet"/>
      <w:lvlText w:val="•"/>
      <w:lvlJc w:val="left"/>
      <w:pPr>
        <w:ind w:left="7860" w:hanging="529"/>
      </w:pPr>
      <w:rPr>
        <w:rFonts w:hint="default"/>
        <w:lang w:val="zh-CN" w:eastAsia="zh-CN" w:bidi="zh-CN"/>
      </w:rPr>
    </w:lvl>
    <w:lvl w:ilvl="8" w:tplc="6A7CA598">
      <w:numFmt w:val="bullet"/>
      <w:lvlText w:val="•"/>
      <w:lvlJc w:val="left"/>
      <w:pPr>
        <w:ind w:left="8789" w:hanging="529"/>
      </w:pPr>
      <w:rPr>
        <w:rFonts w:hint="default"/>
        <w:lang w:val="zh-CN" w:eastAsia="zh-CN" w:bidi="zh-CN"/>
      </w:rPr>
    </w:lvl>
  </w:abstractNum>
  <w:abstractNum w:abstractNumId="953" w15:restartNumberingAfterBreak="0">
    <w:nsid w:val="7C85409C"/>
    <w:multiLevelType w:val="hybridMultilevel"/>
    <w:tmpl w:val="D616B08C"/>
    <w:lvl w:ilvl="0" w:tplc="9DB0D528">
      <w:start w:val="3"/>
      <w:numFmt w:val="decimal"/>
      <w:lvlText w:val="%1"/>
      <w:lvlJc w:val="left"/>
      <w:pPr>
        <w:ind w:left="1212" w:hanging="372"/>
        <w:jc w:val="left"/>
      </w:pPr>
      <w:rPr>
        <w:rFonts w:hint="default"/>
        <w:lang w:val="zh-CN" w:eastAsia="zh-CN" w:bidi="zh-CN"/>
      </w:rPr>
    </w:lvl>
    <w:lvl w:ilvl="1" w:tplc="D926431E">
      <w:start w:val="2"/>
      <w:numFmt w:val="decimal"/>
      <w:lvlText w:val="%1.%2"/>
      <w:lvlJc w:val="left"/>
      <w:pPr>
        <w:ind w:left="1212" w:hanging="372"/>
        <w:jc w:val="left"/>
      </w:pPr>
      <w:rPr>
        <w:rFonts w:ascii="宋体" w:eastAsia="宋体" w:hAnsi="宋体" w:cs="宋体" w:hint="default"/>
        <w:b/>
        <w:bCs/>
        <w:w w:val="99"/>
        <w:sz w:val="21"/>
        <w:szCs w:val="21"/>
        <w:lang w:val="zh-CN" w:eastAsia="zh-CN" w:bidi="zh-CN"/>
      </w:rPr>
    </w:lvl>
    <w:lvl w:ilvl="2" w:tplc="226AA168">
      <w:numFmt w:val="bullet"/>
      <w:lvlText w:val="•"/>
      <w:lvlJc w:val="left"/>
      <w:pPr>
        <w:ind w:left="3105" w:hanging="372"/>
      </w:pPr>
      <w:rPr>
        <w:rFonts w:hint="default"/>
        <w:lang w:val="zh-CN" w:eastAsia="zh-CN" w:bidi="zh-CN"/>
      </w:rPr>
    </w:lvl>
    <w:lvl w:ilvl="3" w:tplc="A35ECF38">
      <w:numFmt w:val="bullet"/>
      <w:lvlText w:val="•"/>
      <w:lvlJc w:val="left"/>
      <w:pPr>
        <w:ind w:left="4047" w:hanging="372"/>
      </w:pPr>
      <w:rPr>
        <w:rFonts w:hint="default"/>
        <w:lang w:val="zh-CN" w:eastAsia="zh-CN" w:bidi="zh-CN"/>
      </w:rPr>
    </w:lvl>
    <w:lvl w:ilvl="4" w:tplc="4E06C04A">
      <w:numFmt w:val="bullet"/>
      <w:lvlText w:val="•"/>
      <w:lvlJc w:val="left"/>
      <w:pPr>
        <w:ind w:left="4990" w:hanging="372"/>
      </w:pPr>
      <w:rPr>
        <w:rFonts w:hint="default"/>
        <w:lang w:val="zh-CN" w:eastAsia="zh-CN" w:bidi="zh-CN"/>
      </w:rPr>
    </w:lvl>
    <w:lvl w:ilvl="5" w:tplc="7A766D94">
      <w:numFmt w:val="bullet"/>
      <w:lvlText w:val="•"/>
      <w:lvlJc w:val="left"/>
      <w:pPr>
        <w:ind w:left="5933" w:hanging="372"/>
      </w:pPr>
      <w:rPr>
        <w:rFonts w:hint="default"/>
        <w:lang w:val="zh-CN" w:eastAsia="zh-CN" w:bidi="zh-CN"/>
      </w:rPr>
    </w:lvl>
    <w:lvl w:ilvl="6" w:tplc="3752C4F6">
      <w:numFmt w:val="bullet"/>
      <w:lvlText w:val="•"/>
      <w:lvlJc w:val="left"/>
      <w:pPr>
        <w:ind w:left="6875" w:hanging="372"/>
      </w:pPr>
      <w:rPr>
        <w:rFonts w:hint="default"/>
        <w:lang w:val="zh-CN" w:eastAsia="zh-CN" w:bidi="zh-CN"/>
      </w:rPr>
    </w:lvl>
    <w:lvl w:ilvl="7" w:tplc="BE58B144">
      <w:numFmt w:val="bullet"/>
      <w:lvlText w:val="•"/>
      <w:lvlJc w:val="left"/>
      <w:pPr>
        <w:ind w:left="7818" w:hanging="372"/>
      </w:pPr>
      <w:rPr>
        <w:rFonts w:hint="default"/>
        <w:lang w:val="zh-CN" w:eastAsia="zh-CN" w:bidi="zh-CN"/>
      </w:rPr>
    </w:lvl>
    <w:lvl w:ilvl="8" w:tplc="2B98CE60">
      <w:numFmt w:val="bullet"/>
      <w:lvlText w:val="•"/>
      <w:lvlJc w:val="left"/>
      <w:pPr>
        <w:ind w:left="8761" w:hanging="372"/>
      </w:pPr>
      <w:rPr>
        <w:rFonts w:hint="default"/>
        <w:lang w:val="zh-CN" w:eastAsia="zh-CN" w:bidi="zh-CN"/>
      </w:rPr>
    </w:lvl>
  </w:abstractNum>
  <w:abstractNum w:abstractNumId="954" w15:restartNumberingAfterBreak="0">
    <w:nsid w:val="7C8D08A9"/>
    <w:multiLevelType w:val="hybridMultilevel"/>
    <w:tmpl w:val="EF88FCDE"/>
    <w:lvl w:ilvl="0" w:tplc="59A0D7E8">
      <w:start w:val="10"/>
      <w:numFmt w:val="decimal"/>
      <w:lvlText w:val="%1"/>
      <w:lvlJc w:val="left"/>
      <w:pPr>
        <w:ind w:left="1265" w:hanging="425"/>
        <w:jc w:val="left"/>
      </w:pPr>
      <w:rPr>
        <w:rFonts w:hint="default"/>
        <w:lang w:val="zh-CN" w:eastAsia="zh-CN" w:bidi="zh-CN"/>
      </w:rPr>
    </w:lvl>
    <w:lvl w:ilvl="1" w:tplc="8062D892">
      <w:start w:val="1"/>
      <w:numFmt w:val="decimal"/>
      <w:lvlText w:val="%1.%2"/>
      <w:lvlJc w:val="left"/>
      <w:pPr>
        <w:ind w:left="1265" w:hanging="425"/>
        <w:jc w:val="left"/>
      </w:pPr>
      <w:rPr>
        <w:rFonts w:ascii="宋体" w:eastAsia="宋体" w:hAnsi="宋体" w:cs="宋体" w:hint="default"/>
        <w:b/>
        <w:bCs/>
        <w:w w:val="99"/>
        <w:sz w:val="19"/>
        <w:szCs w:val="19"/>
        <w:lang w:val="zh-CN" w:eastAsia="zh-CN" w:bidi="zh-CN"/>
      </w:rPr>
    </w:lvl>
    <w:lvl w:ilvl="2" w:tplc="D5E8DEB2">
      <w:start w:val="1"/>
      <w:numFmt w:val="decimal"/>
      <w:lvlText w:val="%1.%2.%3"/>
      <w:lvlJc w:val="left"/>
      <w:pPr>
        <w:ind w:left="838" w:hanging="637"/>
        <w:jc w:val="left"/>
      </w:pPr>
      <w:rPr>
        <w:rFonts w:ascii="宋体" w:eastAsia="宋体" w:hAnsi="宋体" w:cs="宋体" w:hint="default"/>
        <w:b/>
        <w:bCs/>
        <w:spacing w:val="-3"/>
        <w:w w:val="99"/>
        <w:sz w:val="19"/>
        <w:szCs w:val="19"/>
        <w:lang w:val="zh-CN" w:eastAsia="zh-CN" w:bidi="zh-CN"/>
      </w:rPr>
    </w:lvl>
    <w:lvl w:ilvl="3" w:tplc="E6446660">
      <w:numFmt w:val="bullet"/>
      <w:lvlText w:val="•"/>
      <w:lvlJc w:val="left"/>
      <w:pPr>
        <w:ind w:left="1480" w:hanging="637"/>
      </w:pPr>
      <w:rPr>
        <w:rFonts w:hint="default"/>
        <w:lang w:val="zh-CN" w:eastAsia="zh-CN" w:bidi="zh-CN"/>
      </w:rPr>
    </w:lvl>
    <w:lvl w:ilvl="4" w:tplc="0E427C78">
      <w:numFmt w:val="bullet"/>
      <w:lvlText w:val="•"/>
      <w:lvlJc w:val="left"/>
      <w:pPr>
        <w:ind w:left="2789" w:hanging="637"/>
      </w:pPr>
      <w:rPr>
        <w:rFonts w:hint="default"/>
        <w:lang w:val="zh-CN" w:eastAsia="zh-CN" w:bidi="zh-CN"/>
      </w:rPr>
    </w:lvl>
    <w:lvl w:ilvl="5" w:tplc="9C88A8F0">
      <w:numFmt w:val="bullet"/>
      <w:lvlText w:val="•"/>
      <w:lvlJc w:val="left"/>
      <w:pPr>
        <w:ind w:left="4098" w:hanging="637"/>
      </w:pPr>
      <w:rPr>
        <w:rFonts w:hint="default"/>
        <w:lang w:val="zh-CN" w:eastAsia="zh-CN" w:bidi="zh-CN"/>
      </w:rPr>
    </w:lvl>
    <w:lvl w:ilvl="6" w:tplc="932EE3E4">
      <w:numFmt w:val="bullet"/>
      <w:lvlText w:val="•"/>
      <w:lvlJc w:val="left"/>
      <w:pPr>
        <w:ind w:left="5408" w:hanging="637"/>
      </w:pPr>
      <w:rPr>
        <w:rFonts w:hint="default"/>
        <w:lang w:val="zh-CN" w:eastAsia="zh-CN" w:bidi="zh-CN"/>
      </w:rPr>
    </w:lvl>
    <w:lvl w:ilvl="7" w:tplc="1C929392">
      <w:numFmt w:val="bullet"/>
      <w:lvlText w:val="•"/>
      <w:lvlJc w:val="left"/>
      <w:pPr>
        <w:ind w:left="6717" w:hanging="637"/>
      </w:pPr>
      <w:rPr>
        <w:rFonts w:hint="default"/>
        <w:lang w:val="zh-CN" w:eastAsia="zh-CN" w:bidi="zh-CN"/>
      </w:rPr>
    </w:lvl>
    <w:lvl w:ilvl="8" w:tplc="EE0E4966">
      <w:numFmt w:val="bullet"/>
      <w:lvlText w:val="•"/>
      <w:lvlJc w:val="left"/>
      <w:pPr>
        <w:ind w:left="8027" w:hanging="637"/>
      </w:pPr>
      <w:rPr>
        <w:rFonts w:hint="default"/>
        <w:lang w:val="zh-CN" w:eastAsia="zh-CN" w:bidi="zh-CN"/>
      </w:rPr>
    </w:lvl>
  </w:abstractNum>
  <w:abstractNum w:abstractNumId="955" w15:restartNumberingAfterBreak="0">
    <w:nsid w:val="7C9125FD"/>
    <w:multiLevelType w:val="hybridMultilevel"/>
    <w:tmpl w:val="346C7680"/>
    <w:lvl w:ilvl="0" w:tplc="84985314">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B6FC69BA">
      <w:numFmt w:val="bullet"/>
      <w:lvlText w:val="•"/>
      <w:lvlJc w:val="left"/>
      <w:pPr>
        <w:ind w:left="2288" w:hanging="529"/>
      </w:pPr>
      <w:rPr>
        <w:rFonts w:hint="default"/>
        <w:lang w:val="zh-CN" w:eastAsia="zh-CN" w:bidi="zh-CN"/>
      </w:rPr>
    </w:lvl>
    <w:lvl w:ilvl="2" w:tplc="834C943A">
      <w:numFmt w:val="bullet"/>
      <w:lvlText w:val="•"/>
      <w:lvlJc w:val="left"/>
      <w:pPr>
        <w:ind w:left="3217" w:hanging="529"/>
      </w:pPr>
      <w:rPr>
        <w:rFonts w:hint="default"/>
        <w:lang w:val="zh-CN" w:eastAsia="zh-CN" w:bidi="zh-CN"/>
      </w:rPr>
    </w:lvl>
    <w:lvl w:ilvl="3" w:tplc="0CBCC35E">
      <w:numFmt w:val="bullet"/>
      <w:lvlText w:val="•"/>
      <w:lvlJc w:val="left"/>
      <w:pPr>
        <w:ind w:left="4145" w:hanging="529"/>
      </w:pPr>
      <w:rPr>
        <w:rFonts w:hint="default"/>
        <w:lang w:val="zh-CN" w:eastAsia="zh-CN" w:bidi="zh-CN"/>
      </w:rPr>
    </w:lvl>
    <w:lvl w:ilvl="4" w:tplc="5E705872">
      <w:numFmt w:val="bullet"/>
      <w:lvlText w:val="•"/>
      <w:lvlJc w:val="left"/>
      <w:pPr>
        <w:ind w:left="5074" w:hanging="529"/>
      </w:pPr>
      <w:rPr>
        <w:rFonts w:hint="default"/>
        <w:lang w:val="zh-CN" w:eastAsia="zh-CN" w:bidi="zh-CN"/>
      </w:rPr>
    </w:lvl>
    <w:lvl w:ilvl="5" w:tplc="6E7E6D00">
      <w:numFmt w:val="bullet"/>
      <w:lvlText w:val="•"/>
      <w:lvlJc w:val="left"/>
      <w:pPr>
        <w:ind w:left="6003" w:hanging="529"/>
      </w:pPr>
      <w:rPr>
        <w:rFonts w:hint="default"/>
        <w:lang w:val="zh-CN" w:eastAsia="zh-CN" w:bidi="zh-CN"/>
      </w:rPr>
    </w:lvl>
    <w:lvl w:ilvl="6" w:tplc="0A6295EA">
      <w:numFmt w:val="bullet"/>
      <w:lvlText w:val="•"/>
      <w:lvlJc w:val="left"/>
      <w:pPr>
        <w:ind w:left="6931" w:hanging="529"/>
      </w:pPr>
      <w:rPr>
        <w:rFonts w:hint="default"/>
        <w:lang w:val="zh-CN" w:eastAsia="zh-CN" w:bidi="zh-CN"/>
      </w:rPr>
    </w:lvl>
    <w:lvl w:ilvl="7" w:tplc="C37289E6">
      <w:numFmt w:val="bullet"/>
      <w:lvlText w:val="•"/>
      <w:lvlJc w:val="left"/>
      <w:pPr>
        <w:ind w:left="7860" w:hanging="529"/>
      </w:pPr>
      <w:rPr>
        <w:rFonts w:hint="default"/>
        <w:lang w:val="zh-CN" w:eastAsia="zh-CN" w:bidi="zh-CN"/>
      </w:rPr>
    </w:lvl>
    <w:lvl w:ilvl="8" w:tplc="CCDCC5BA">
      <w:numFmt w:val="bullet"/>
      <w:lvlText w:val="•"/>
      <w:lvlJc w:val="left"/>
      <w:pPr>
        <w:ind w:left="8789" w:hanging="529"/>
      </w:pPr>
      <w:rPr>
        <w:rFonts w:hint="default"/>
        <w:lang w:val="zh-CN" w:eastAsia="zh-CN" w:bidi="zh-CN"/>
      </w:rPr>
    </w:lvl>
  </w:abstractNum>
  <w:abstractNum w:abstractNumId="956" w15:restartNumberingAfterBreak="0">
    <w:nsid w:val="7CCD14CD"/>
    <w:multiLevelType w:val="hybridMultilevel"/>
    <w:tmpl w:val="40D6DD34"/>
    <w:lvl w:ilvl="0" w:tplc="D8024CC8">
      <w:start w:val="8"/>
      <w:numFmt w:val="decimal"/>
      <w:lvlText w:val="%1"/>
      <w:lvlJc w:val="left"/>
      <w:pPr>
        <w:ind w:left="1477" w:hanging="637"/>
        <w:jc w:val="left"/>
      </w:pPr>
      <w:rPr>
        <w:rFonts w:hint="default"/>
        <w:lang w:val="zh-CN" w:eastAsia="zh-CN" w:bidi="zh-CN"/>
      </w:rPr>
    </w:lvl>
    <w:lvl w:ilvl="1" w:tplc="FAD433FC">
      <w:start w:val="13"/>
      <w:numFmt w:val="decimal"/>
      <w:lvlText w:val="%1.%2"/>
      <w:lvlJc w:val="left"/>
      <w:pPr>
        <w:ind w:left="1477" w:hanging="637"/>
        <w:jc w:val="left"/>
      </w:pPr>
      <w:rPr>
        <w:rFonts w:hint="default"/>
        <w:lang w:val="zh-CN" w:eastAsia="zh-CN" w:bidi="zh-CN"/>
      </w:rPr>
    </w:lvl>
    <w:lvl w:ilvl="2" w:tplc="93CC5F56">
      <w:start w:val="1"/>
      <w:numFmt w:val="decimal"/>
      <w:lvlText w:val="%1.%2.%3"/>
      <w:lvlJc w:val="left"/>
      <w:pPr>
        <w:ind w:left="1477" w:hanging="637"/>
        <w:jc w:val="left"/>
      </w:pPr>
      <w:rPr>
        <w:rFonts w:ascii="宋体" w:eastAsia="宋体" w:hAnsi="宋体" w:cs="宋体" w:hint="default"/>
        <w:b/>
        <w:bCs/>
        <w:w w:val="99"/>
        <w:sz w:val="19"/>
        <w:szCs w:val="19"/>
        <w:lang w:val="zh-CN" w:eastAsia="zh-CN" w:bidi="zh-CN"/>
      </w:rPr>
    </w:lvl>
    <w:lvl w:ilvl="3" w:tplc="CB924C9C">
      <w:numFmt w:val="bullet"/>
      <w:lvlText w:val="•"/>
      <w:lvlJc w:val="left"/>
      <w:pPr>
        <w:ind w:left="4229" w:hanging="637"/>
      </w:pPr>
      <w:rPr>
        <w:rFonts w:hint="default"/>
        <w:lang w:val="zh-CN" w:eastAsia="zh-CN" w:bidi="zh-CN"/>
      </w:rPr>
    </w:lvl>
    <w:lvl w:ilvl="4" w:tplc="5D70F0D6">
      <w:numFmt w:val="bullet"/>
      <w:lvlText w:val="•"/>
      <w:lvlJc w:val="left"/>
      <w:pPr>
        <w:ind w:left="5146" w:hanging="637"/>
      </w:pPr>
      <w:rPr>
        <w:rFonts w:hint="default"/>
        <w:lang w:val="zh-CN" w:eastAsia="zh-CN" w:bidi="zh-CN"/>
      </w:rPr>
    </w:lvl>
    <w:lvl w:ilvl="5" w:tplc="C6C86FD0">
      <w:numFmt w:val="bullet"/>
      <w:lvlText w:val="•"/>
      <w:lvlJc w:val="left"/>
      <w:pPr>
        <w:ind w:left="6063" w:hanging="637"/>
      </w:pPr>
      <w:rPr>
        <w:rFonts w:hint="default"/>
        <w:lang w:val="zh-CN" w:eastAsia="zh-CN" w:bidi="zh-CN"/>
      </w:rPr>
    </w:lvl>
    <w:lvl w:ilvl="6" w:tplc="044C5B98">
      <w:numFmt w:val="bullet"/>
      <w:lvlText w:val="•"/>
      <w:lvlJc w:val="left"/>
      <w:pPr>
        <w:ind w:left="6979" w:hanging="637"/>
      </w:pPr>
      <w:rPr>
        <w:rFonts w:hint="default"/>
        <w:lang w:val="zh-CN" w:eastAsia="zh-CN" w:bidi="zh-CN"/>
      </w:rPr>
    </w:lvl>
    <w:lvl w:ilvl="7" w:tplc="3F60C9FE">
      <w:numFmt w:val="bullet"/>
      <w:lvlText w:val="•"/>
      <w:lvlJc w:val="left"/>
      <w:pPr>
        <w:ind w:left="7896" w:hanging="637"/>
      </w:pPr>
      <w:rPr>
        <w:rFonts w:hint="default"/>
        <w:lang w:val="zh-CN" w:eastAsia="zh-CN" w:bidi="zh-CN"/>
      </w:rPr>
    </w:lvl>
    <w:lvl w:ilvl="8" w:tplc="A6EAEC82">
      <w:numFmt w:val="bullet"/>
      <w:lvlText w:val="•"/>
      <w:lvlJc w:val="left"/>
      <w:pPr>
        <w:ind w:left="8813" w:hanging="637"/>
      </w:pPr>
      <w:rPr>
        <w:rFonts w:hint="default"/>
        <w:lang w:val="zh-CN" w:eastAsia="zh-CN" w:bidi="zh-CN"/>
      </w:rPr>
    </w:lvl>
  </w:abstractNum>
  <w:abstractNum w:abstractNumId="957" w15:restartNumberingAfterBreak="0">
    <w:nsid w:val="7CF62B19"/>
    <w:multiLevelType w:val="hybridMultilevel"/>
    <w:tmpl w:val="58261112"/>
    <w:lvl w:ilvl="0" w:tplc="5328B50A">
      <w:start w:val="4"/>
      <w:numFmt w:val="decimal"/>
      <w:lvlText w:val="%1"/>
      <w:lvlJc w:val="left"/>
      <w:pPr>
        <w:ind w:left="1158" w:hanging="318"/>
        <w:jc w:val="left"/>
      </w:pPr>
      <w:rPr>
        <w:rFonts w:hint="default"/>
        <w:lang w:val="zh-CN" w:eastAsia="zh-CN" w:bidi="zh-CN"/>
      </w:rPr>
    </w:lvl>
    <w:lvl w:ilvl="1" w:tplc="B90C93F4">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69E0523E">
      <w:start w:val="1"/>
      <w:numFmt w:val="decimal"/>
      <w:lvlText w:val="%1.%2.%3"/>
      <w:lvlJc w:val="left"/>
      <w:pPr>
        <w:ind w:left="840" w:hanging="584"/>
        <w:jc w:val="left"/>
      </w:pPr>
      <w:rPr>
        <w:rFonts w:ascii="宋体" w:eastAsia="宋体" w:hAnsi="宋体" w:cs="宋体" w:hint="default"/>
        <w:b/>
        <w:bCs/>
        <w:w w:val="99"/>
        <w:sz w:val="21"/>
        <w:szCs w:val="21"/>
        <w:lang w:val="zh-CN" w:eastAsia="zh-CN" w:bidi="zh-CN"/>
      </w:rPr>
    </w:lvl>
    <w:lvl w:ilvl="3" w:tplc="77B49D06">
      <w:numFmt w:val="bullet"/>
      <w:lvlText w:val="•"/>
      <w:lvlJc w:val="left"/>
      <w:pPr>
        <w:ind w:left="3268" w:hanging="584"/>
      </w:pPr>
      <w:rPr>
        <w:rFonts w:hint="default"/>
        <w:lang w:val="zh-CN" w:eastAsia="zh-CN" w:bidi="zh-CN"/>
      </w:rPr>
    </w:lvl>
    <w:lvl w:ilvl="4" w:tplc="970E725A">
      <w:numFmt w:val="bullet"/>
      <w:lvlText w:val="•"/>
      <w:lvlJc w:val="left"/>
      <w:pPr>
        <w:ind w:left="4322" w:hanging="584"/>
      </w:pPr>
      <w:rPr>
        <w:rFonts w:hint="default"/>
        <w:lang w:val="zh-CN" w:eastAsia="zh-CN" w:bidi="zh-CN"/>
      </w:rPr>
    </w:lvl>
    <w:lvl w:ilvl="5" w:tplc="6EDA2D76">
      <w:numFmt w:val="bullet"/>
      <w:lvlText w:val="•"/>
      <w:lvlJc w:val="left"/>
      <w:pPr>
        <w:ind w:left="5376" w:hanging="584"/>
      </w:pPr>
      <w:rPr>
        <w:rFonts w:hint="default"/>
        <w:lang w:val="zh-CN" w:eastAsia="zh-CN" w:bidi="zh-CN"/>
      </w:rPr>
    </w:lvl>
    <w:lvl w:ilvl="6" w:tplc="8E3044F4">
      <w:numFmt w:val="bullet"/>
      <w:lvlText w:val="•"/>
      <w:lvlJc w:val="left"/>
      <w:pPr>
        <w:ind w:left="6430" w:hanging="584"/>
      </w:pPr>
      <w:rPr>
        <w:rFonts w:hint="default"/>
        <w:lang w:val="zh-CN" w:eastAsia="zh-CN" w:bidi="zh-CN"/>
      </w:rPr>
    </w:lvl>
    <w:lvl w:ilvl="7" w:tplc="B33C7F76">
      <w:numFmt w:val="bullet"/>
      <w:lvlText w:val="•"/>
      <w:lvlJc w:val="left"/>
      <w:pPr>
        <w:ind w:left="7484" w:hanging="584"/>
      </w:pPr>
      <w:rPr>
        <w:rFonts w:hint="default"/>
        <w:lang w:val="zh-CN" w:eastAsia="zh-CN" w:bidi="zh-CN"/>
      </w:rPr>
    </w:lvl>
    <w:lvl w:ilvl="8" w:tplc="733E6D32">
      <w:numFmt w:val="bullet"/>
      <w:lvlText w:val="•"/>
      <w:lvlJc w:val="left"/>
      <w:pPr>
        <w:ind w:left="8538" w:hanging="584"/>
      </w:pPr>
      <w:rPr>
        <w:rFonts w:hint="default"/>
        <w:lang w:val="zh-CN" w:eastAsia="zh-CN" w:bidi="zh-CN"/>
      </w:rPr>
    </w:lvl>
  </w:abstractNum>
  <w:abstractNum w:abstractNumId="958" w15:restartNumberingAfterBreak="0">
    <w:nsid w:val="7CF62E9E"/>
    <w:multiLevelType w:val="hybridMultilevel"/>
    <w:tmpl w:val="602840FC"/>
    <w:lvl w:ilvl="0" w:tplc="7A70B4E4">
      <w:start w:val="5"/>
      <w:numFmt w:val="decimal"/>
      <w:lvlText w:val="%1"/>
      <w:lvlJc w:val="left"/>
      <w:pPr>
        <w:ind w:left="418" w:hanging="637"/>
        <w:jc w:val="left"/>
      </w:pPr>
      <w:rPr>
        <w:rFonts w:hint="default"/>
        <w:lang w:val="zh-CN" w:eastAsia="zh-CN" w:bidi="zh-CN"/>
      </w:rPr>
    </w:lvl>
    <w:lvl w:ilvl="1" w:tplc="32C62606">
      <w:start w:val="3"/>
      <w:numFmt w:val="decimal"/>
      <w:lvlText w:val="%1.%2"/>
      <w:lvlJc w:val="left"/>
      <w:pPr>
        <w:ind w:left="418" w:hanging="637"/>
        <w:jc w:val="left"/>
      </w:pPr>
      <w:rPr>
        <w:rFonts w:hint="default"/>
        <w:lang w:val="zh-CN" w:eastAsia="zh-CN" w:bidi="zh-CN"/>
      </w:rPr>
    </w:lvl>
    <w:lvl w:ilvl="2" w:tplc="399A2A8C">
      <w:start w:val="14"/>
      <w:numFmt w:val="decimal"/>
      <w:lvlText w:val="%1.%2.%3"/>
      <w:lvlJc w:val="left"/>
      <w:pPr>
        <w:ind w:left="418" w:hanging="637"/>
        <w:jc w:val="left"/>
      </w:pPr>
      <w:rPr>
        <w:rFonts w:ascii="宋体" w:eastAsia="宋体" w:hAnsi="宋体" w:cs="宋体" w:hint="default"/>
        <w:b/>
        <w:bCs/>
        <w:w w:val="99"/>
        <w:sz w:val="19"/>
        <w:szCs w:val="19"/>
        <w:lang w:val="zh-CN" w:eastAsia="zh-CN" w:bidi="zh-CN"/>
      </w:rPr>
    </w:lvl>
    <w:lvl w:ilvl="3" w:tplc="B4747C8E">
      <w:numFmt w:val="bullet"/>
      <w:lvlText w:val="•"/>
      <w:lvlJc w:val="left"/>
      <w:pPr>
        <w:ind w:left="3487" w:hanging="637"/>
      </w:pPr>
      <w:rPr>
        <w:rFonts w:hint="default"/>
        <w:lang w:val="zh-CN" w:eastAsia="zh-CN" w:bidi="zh-CN"/>
      </w:rPr>
    </w:lvl>
    <w:lvl w:ilvl="4" w:tplc="BFF82498">
      <w:numFmt w:val="bullet"/>
      <w:lvlText w:val="•"/>
      <w:lvlJc w:val="left"/>
      <w:pPr>
        <w:ind w:left="4510" w:hanging="637"/>
      </w:pPr>
      <w:rPr>
        <w:rFonts w:hint="default"/>
        <w:lang w:val="zh-CN" w:eastAsia="zh-CN" w:bidi="zh-CN"/>
      </w:rPr>
    </w:lvl>
    <w:lvl w:ilvl="5" w:tplc="5AAE632E">
      <w:numFmt w:val="bullet"/>
      <w:lvlText w:val="•"/>
      <w:lvlJc w:val="left"/>
      <w:pPr>
        <w:ind w:left="5533" w:hanging="637"/>
      </w:pPr>
      <w:rPr>
        <w:rFonts w:hint="default"/>
        <w:lang w:val="zh-CN" w:eastAsia="zh-CN" w:bidi="zh-CN"/>
      </w:rPr>
    </w:lvl>
    <w:lvl w:ilvl="6" w:tplc="4600C716">
      <w:numFmt w:val="bullet"/>
      <w:lvlText w:val="•"/>
      <w:lvlJc w:val="left"/>
      <w:pPr>
        <w:ind w:left="6555" w:hanging="637"/>
      </w:pPr>
      <w:rPr>
        <w:rFonts w:hint="default"/>
        <w:lang w:val="zh-CN" w:eastAsia="zh-CN" w:bidi="zh-CN"/>
      </w:rPr>
    </w:lvl>
    <w:lvl w:ilvl="7" w:tplc="3A92773E">
      <w:numFmt w:val="bullet"/>
      <w:lvlText w:val="•"/>
      <w:lvlJc w:val="left"/>
      <w:pPr>
        <w:ind w:left="7578" w:hanging="637"/>
      </w:pPr>
      <w:rPr>
        <w:rFonts w:hint="default"/>
        <w:lang w:val="zh-CN" w:eastAsia="zh-CN" w:bidi="zh-CN"/>
      </w:rPr>
    </w:lvl>
    <w:lvl w:ilvl="8" w:tplc="E0B65922">
      <w:numFmt w:val="bullet"/>
      <w:lvlText w:val="•"/>
      <w:lvlJc w:val="left"/>
      <w:pPr>
        <w:ind w:left="8601" w:hanging="637"/>
      </w:pPr>
      <w:rPr>
        <w:rFonts w:hint="default"/>
        <w:lang w:val="zh-CN" w:eastAsia="zh-CN" w:bidi="zh-CN"/>
      </w:rPr>
    </w:lvl>
  </w:abstractNum>
  <w:abstractNum w:abstractNumId="959" w15:restartNumberingAfterBreak="0">
    <w:nsid w:val="7D102DA0"/>
    <w:multiLevelType w:val="hybridMultilevel"/>
    <w:tmpl w:val="096E147E"/>
    <w:lvl w:ilvl="0" w:tplc="7EFE6290">
      <w:start w:val="6"/>
      <w:numFmt w:val="decimal"/>
      <w:lvlText w:val="%1"/>
      <w:lvlJc w:val="left"/>
      <w:pPr>
        <w:ind w:left="1370" w:hanging="531"/>
        <w:jc w:val="left"/>
      </w:pPr>
      <w:rPr>
        <w:rFonts w:hint="default"/>
        <w:lang w:val="zh-CN" w:eastAsia="zh-CN" w:bidi="zh-CN"/>
      </w:rPr>
    </w:lvl>
    <w:lvl w:ilvl="1" w:tplc="9086FFAC">
      <w:start w:val="4"/>
      <w:numFmt w:val="decimal"/>
      <w:lvlText w:val="%1.%2"/>
      <w:lvlJc w:val="left"/>
      <w:pPr>
        <w:ind w:left="1370" w:hanging="531"/>
        <w:jc w:val="left"/>
      </w:pPr>
      <w:rPr>
        <w:rFonts w:hint="default"/>
        <w:lang w:val="zh-CN" w:eastAsia="zh-CN" w:bidi="zh-CN"/>
      </w:rPr>
    </w:lvl>
    <w:lvl w:ilvl="2" w:tplc="08F86418">
      <w:start w:val="1"/>
      <w:numFmt w:val="decimal"/>
      <w:lvlText w:val="%1.%2.%3"/>
      <w:lvlJc w:val="left"/>
      <w:pPr>
        <w:ind w:left="1370" w:hanging="531"/>
        <w:jc w:val="left"/>
      </w:pPr>
      <w:rPr>
        <w:rFonts w:ascii="宋体" w:eastAsia="宋体" w:hAnsi="宋体" w:cs="宋体" w:hint="default"/>
        <w:b/>
        <w:bCs/>
        <w:w w:val="99"/>
        <w:sz w:val="19"/>
        <w:szCs w:val="19"/>
        <w:lang w:val="zh-CN" w:eastAsia="zh-CN" w:bidi="zh-CN"/>
      </w:rPr>
    </w:lvl>
    <w:lvl w:ilvl="3" w:tplc="5F049DB0">
      <w:numFmt w:val="bullet"/>
      <w:lvlText w:val="•"/>
      <w:lvlJc w:val="left"/>
      <w:pPr>
        <w:ind w:left="4159" w:hanging="531"/>
      </w:pPr>
      <w:rPr>
        <w:rFonts w:hint="default"/>
        <w:lang w:val="zh-CN" w:eastAsia="zh-CN" w:bidi="zh-CN"/>
      </w:rPr>
    </w:lvl>
    <w:lvl w:ilvl="4" w:tplc="EC0ABD32">
      <w:numFmt w:val="bullet"/>
      <w:lvlText w:val="•"/>
      <w:lvlJc w:val="left"/>
      <w:pPr>
        <w:ind w:left="5086" w:hanging="531"/>
      </w:pPr>
      <w:rPr>
        <w:rFonts w:hint="default"/>
        <w:lang w:val="zh-CN" w:eastAsia="zh-CN" w:bidi="zh-CN"/>
      </w:rPr>
    </w:lvl>
    <w:lvl w:ilvl="5" w:tplc="B3FC4F2C">
      <w:numFmt w:val="bullet"/>
      <w:lvlText w:val="•"/>
      <w:lvlJc w:val="left"/>
      <w:pPr>
        <w:ind w:left="6013" w:hanging="531"/>
      </w:pPr>
      <w:rPr>
        <w:rFonts w:hint="default"/>
        <w:lang w:val="zh-CN" w:eastAsia="zh-CN" w:bidi="zh-CN"/>
      </w:rPr>
    </w:lvl>
    <w:lvl w:ilvl="6" w:tplc="AB267EC8">
      <w:numFmt w:val="bullet"/>
      <w:lvlText w:val="•"/>
      <w:lvlJc w:val="left"/>
      <w:pPr>
        <w:ind w:left="6939" w:hanging="531"/>
      </w:pPr>
      <w:rPr>
        <w:rFonts w:hint="default"/>
        <w:lang w:val="zh-CN" w:eastAsia="zh-CN" w:bidi="zh-CN"/>
      </w:rPr>
    </w:lvl>
    <w:lvl w:ilvl="7" w:tplc="4D8C5590">
      <w:numFmt w:val="bullet"/>
      <w:lvlText w:val="•"/>
      <w:lvlJc w:val="left"/>
      <w:pPr>
        <w:ind w:left="7866" w:hanging="531"/>
      </w:pPr>
      <w:rPr>
        <w:rFonts w:hint="default"/>
        <w:lang w:val="zh-CN" w:eastAsia="zh-CN" w:bidi="zh-CN"/>
      </w:rPr>
    </w:lvl>
    <w:lvl w:ilvl="8" w:tplc="CD90B1DC">
      <w:numFmt w:val="bullet"/>
      <w:lvlText w:val="•"/>
      <w:lvlJc w:val="left"/>
      <w:pPr>
        <w:ind w:left="8793" w:hanging="531"/>
      </w:pPr>
      <w:rPr>
        <w:rFonts w:hint="default"/>
        <w:lang w:val="zh-CN" w:eastAsia="zh-CN" w:bidi="zh-CN"/>
      </w:rPr>
    </w:lvl>
  </w:abstractNum>
  <w:abstractNum w:abstractNumId="960" w15:restartNumberingAfterBreak="0">
    <w:nsid w:val="7D17350E"/>
    <w:multiLevelType w:val="hybridMultilevel"/>
    <w:tmpl w:val="2BF6EBD6"/>
    <w:lvl w:ilvl="0" w:tplc="FF5869FC">
      <w:start w:val="9"/>
      <w:numFmt w:val="decimal"/>
      <w:lvlText w:val="%1"/>
      <w:lvlJc w:val="left"/>
      <w:pPr>
        <w:ind w:left="418" w:hanging="320"/>
        <w:jc w:val="left"/>
      </w:pPr>
      <w:rPr>
        <w:rFonts w:hint="default"/>
        <w:lang w:val="zh-CN" w:eastAsia="zh-CN" w:bidi="zh-CN"/>
      </w:rPr>
    </w:lvl>
    <w:lvl w:ilvl="1" w:tplc="73A62884">
      <w:start w:val="1"/>
      <w:numFmt w:val="decimal"/>
      <w:lvlText w:val="%1.%2"/>
      <w:lvlJc w:val="left"/>
      <w:pPr>
        <w:ind w:left="418" w:hanging="320"/>
        <w:jc w:val="left"/>
      </w:pPr>
      <w:rPr>
        <w:rFonts w:ascii="宋体" w:eastAsia="宋体" w:hAnsi="宋体" w:cs="宋体" w:hint="default"/>
        <w:b/>
        <w:bCs/>
        <w:w w:val="99"/>
        <w:sz w:val="19"/>
        <w:szCs w:val="19"/>
        <w:lang w:val="zh-CN" w:eastAsia="zh-CN" w:bidi="zh-CN"/>
      </w:rPr>
    </w:lvl>
    <w:lvl w:ilvl="2" w:tplc="C6D08DF6">
      <w:numFmt w:val="bullet"/>
      <w:lvlText w:val="•"/>
      <w:lvlJc w:val="left"/>
      <w:pPr>
        <w:ind w:left="2465" w:hanging="320"/>
      </w:pPr>
      <w:rPr>
        <w:rFonts w:hint="default"/>
        <w:lang w:val="zh-CN" w:eastAsia="zh-CN" w:bidi="zh-CN"/>
      </w:rPr>
    </w:lvl>
    <w:lvl w:ilvl="3" w:tplc="944A606C">
      <w:numFmt w:val="bullet"/>
      <w:lvlText w:val="•"/>
      <w:lvlJc w:val="left"/>
      <w:pPr>
        <w:ind w:left="3487" w:hanging="320"/>
      </w:pPr>
      <w:rPr>
        <w:rFonts w:hint="default"/>
        <w:lang w:val="zh-CN" w:eastAsia="zh-CN" w:bidi="zh-CN"/>
      </w:rPr>
    </w:lvl>
    <w:lvl w:ilvl="4" w:tplc="921EFF74">
      <w:numFmt w:val="bullet"/>
      <w:lvlText w:val="•"/>
      <w:lvlJc w:val="left"/>
      <w:pPr>
        <w:ind w:left="4510" w:hanging="320"/>
      </w:pPr>
      <w:rPr>
        <w:rFonts w:hint="default"/>
        <w:lang w:val="zh-CN" w:eastAsia="zh-CN" w:bidi="zh-CN"/>
      </w:rPr>
    </w:lvl>
    <w:lvl w:ilvl="5" w:tplc="8E2A5D40">
      <w:numFmt w:val="bullet"/>
      <w:lvlText w:val="•"/>
      <w:lvlJc w:val="left"/>
      <w:pPr>
        <w:ind w:left="5533" w:hanging="320"/>
      </w:pPr>
      <w:rPr>
        <w:rFonts w:hint="default"/>
        <w:lang w:val="zh-CN" w:eastAsia="zh-CN" w:bidi="zh-CN"/>
      </w:rPr>
    </w:lvl>
    <w:lvl w:ilvl="6" w:tplc="E8F0D53E">
      <w:numFmt w:val="bullet"/>
      <w:lvlText w:val="•"/>
      <w:lvlJc w:val="left"/>
      <w:pPr>
        <w:ind w:left="6555" w:hanging="320"/>
      </w:pPr>
      <w:rPr>
        <w:rFonts w:hint="default"/>
        <w:lang w:val="zh-CN" w:eastAsia="zh-CN" w:bidi="zh-CN"/>
      </w:rPr>
    </w:lvl>
    <w:lvl w:ilvl="7" w:tplc="6E3A18AE">
      <w:numFmt w:val="bullet"/>
      <w:lvlText w:val="•"/>
      <w:lvlJc w:val="left"/>
      <w:pPr>
        <w:ind w:left="7578" w:hanging="320"/>
      </w:pPr>
      <w:rPr>
        <w:rFonts w:hint="default"/>
        <w:lang w:val="zh-CN" w:eastAsia="zh-CN" w:bidi="zh-CN"/>
      </w:rPr>
    </w:lvl>
    <w:lvl w:ilvl="8" w:tplc="50D20E66">
      <w:numFmt w:val="bullet"/>
      <w:lvlText w:val="•"/>
      <w:lvlJc w:val="left"/>
      <w:pPr>
        <w:ind w:left="8601" w:hanging="320"/>
      </w:pPr>
      <w:rPr>
        <w:rFonts w:hint="default"/>
        <w:lang w:val="zh-CN" w:eastAsia="zh-CN" w:bidi="zh-CN"/>
      </w:rPr>
    </w:lvl>
  </w:abstractNum>
  <w:abstractNum w:abstractNumId="961" w15:restartNumberingAfterBreak="0">
    <w:nsid w:val="7D283DE9"/>
    <w:multiLevelType w:val="hybridMultilevel"/>
    <w:tmpl w:val="C73CDA2E"/>
    <w:lvl w:ilvl="0" w:tplc="AE9C1A26">
      <w:start w:val="7"/>
      <w:numFmt w:val="decimal"/>
      <w:lvlText w:val="%1"/>
      <w:lvlJc w:val="left"/>
      <w:pPr>
        <w:ind w:left="1158" w:hanging="318"/>
        <w:jc w:val="left"/>
      </w:pPr>
      <w:rPr>
        <w:rFonts w:hint="default"/>
        <w:lang w:val="zh-CN" w:eastAsia="zh-CN" w:bidi="zh-CN"/>
      </w:rPr>
    </w:lvl>
    <w:lvl w:ilvl="1" w:tplc="62969066">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0F581E2C">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D33679BE">
      <w:numFmt w:val="bullet"/>
      <w:lvlText w:val="•"/>
      <w:lvlJc w:val="left"/>
      <w:pPr>
        <w:ind w:left="2538" w:hanging="531"/>
      </w:pPr>
      <w:rPr>
        <w:rFonts w:hint="default"/>
        <w:lang w:val="zh-CN" w:eastAsia="zh-CN" w:bidi="zh-CN"/>
      </w:rPr>
    </w:lvl>
    <w:lvl w:ilvl="4" w:tplc="FAD08B28">
      <w:numFmt w:val="bullet"/>
      <w:lvlText w:val="•"/>
      <w:lvlJc w:val="left"/>
      <w:pPr>
        <w:ind w:left="3696" w:hanging="531"/>
      </w:pPr>
      <w:rPr>
        <w:rFonts w:hint="default"/>
        <w:lang w:val="zh-CN" w:eastAsia="zh-CN" w:bidi="zh-CN"/>
      </w:rPr>
    </w:lvl>
    <w:lvl w:ilvl="5" w:tplc="E39EE958">
      <w:numFmt w:val="bullet"/>
      <w:lvlText w:val="•"/>
      <w:lvlJc w:val="left"/>
      <w:pPr>
        <w:ind w:left="4854" w:hanging="531"/>
      </w:pPr>
      <w:rPr>
        <w:rFonts w:hint="default"/>
        <w:lang w:val="zh-CN" w:eastAsia="zh-CN" w:bidi="zh-CN"/>
      </w:rPr>
    </w:lvl>
    <w:lvl w:ilvl="6" w:tplc="84C26E98">
      <w:numFmt w:val="bullet"/>
      <w:lvlText w:val="•"/>
      <w:lvlJc w:val="left"/>
      <w:pPr>
        <w:ind w:left="6013" w:hanging="531"/>
      </w:pPr>
      <w:rPr>
        <w:rFonts w:hint="default"/>
        <w:lang w:val="zh-CN" w:eastAsia="zh-CN" w:bidi="zh-CN"/>
      </w:rPr>
    </w:lvl>
    <w:lvl w:ilvl="7" w:tplc="5D90D884">
      <w:numFmt w:val="bullet"/>
      <w:lvlText w:val="•"/>
      <w:lvlJc w:val="left"/>
      <w:pPr>
        <w:ind w:left="7171" w:hanging="531"/>
      </w:pPr>
      <w:rPr>
        <w:rFonts w:hint="default"/>
        <w:lang w:val="zh-CN" w:eastAsia="zh-CN" w:bidi="zh-CN"/>
      </w:rPr>
    </w:lvl>
    <w:lvl w:ilvl="8" w:tplc="DF623A64">
      <w:numFmt w:val="bullet"/>
      <w:lvlText w:val="•"/>
      <w:lvlJc w:val="left"/>
      <w:pPr>
        <w:ind w:left="8329" w:hanging="531"/>
      </w:pPr>
      <w:rPr>
        <w:rFonts w:hint="default"/>
        <w:lang w:val="zh-CN" w:eastAsia="zh-CN" w:bidi="zh-CN"/>
      </w:rPr>
    </w:lvl>
  </w:abstractNum>
  <w:abstractNum w:abstractNumId="962" w15:restartNumberingAfterBreak="0">
    <w:nsid w:val="7D463F47"/>
    <w:multiLevelType w:val="hybridMultilevel"/>
    <w:tmpl w:val="A198F750"/>
    <w:lvl w:ilvl="0" w:tplc="7B1C803A">
      <w:start w:val="8"/>
      <w:numFmt w:val="decimal"/>
      <w:lvlText w:val="%1"/>
      <w:lvlJc w:val="left"/>
      <w:pPr>
        <w:ind w:left="838" w:hanging="531"/>
        <w:jc w:val="left"/>
      </w:pPr>
      <w:rPr>
        <w:rFonts w:hint="default"/>
        <w:lang w:val="zh-CN" w:eastAsia="zh-CN" w:bidi="zh-CN"/>
      </w:rPr>
    </w:lvl>
    <w:lvl w:ilvl="1" w:tplc="A62096BA">
      <w:numFmt w:val="decimal"/>
      <w:lvlText w:val="%1.%2"/>
      <w:lvlJc w:val="left"/>
      <w:pPr>
        <w:ind w:left="838" w:hanging="531"/>
        <w:jc w:val="left"/>
      </w:pPr>
      <w:rPr>
        <w:rFonts w:hint="default"/>
        <w:lang w:val="zh-CN" w:eastAsia="zh-CN" w:bidi="zh-CN"/>
      </w:rPr>
    </w:lvl>
    <w:lvl w:ilvl="2" w:tplc="F8F67754">
      <w:start w:val="1"/>
      <w:numFmt w:val="decimal"/>
      <w:lvlText w:val="%1.%2.%3"/>
      <w:lvlJc w:val="left"/>
      <w:pPr>
        <w:ind w:left="838" w:hanging="531"/>
        <w:jc w:val="left"/>
      </w:pPr>
      <w:rPr>
        <w:rFonts w:ascii="宋体" w:eastAsia="宋体" w:hAnsi="宋体" w:cs="宋体" w:hint="default"/>
        <w:b/>
        <w:bCs/>
        <w:w w:val="99"/>
        <w:sz w:val="19"/>
        <w:szCs w:val="19"/>
        <w:lang w:val="zh-CN" w:eastAsia="zh-CN" w:bidi="zh-CN"/>
      </w:rPr>
    </w:lvl>
    <w:lvl w:ilvl="3" w:tplc="2E22311E">
      <w:numFmt w:val="bullet"/>
      <w:lvlText w:val="•"/>
      <w:lvlJc w:val="left"/>
      <w:pPr>
        <w:ind w:left="3781" w:hanging="531"/>
      </w:pPr>
      <w:rPr>
        <w:rFonts w:hint="default"/>
        <w:lang w:val="zh-CN" w:eastAsia="zh-CN" w:bidi="zh-CN"/>
      </w:rPr>
    </w:lvl>
    <w:lvl w:ilvl="4" w:tplc="916EB566">
      <w:numFmt w:val="bullet"/>
      <w:lvlText w:val="•"/>
      <w:lvlJc w:val="left"/>
      <w:pPr>
        <w:ind w:left="4762" w:hanging="531"/>
      </w:pPr>
      <w:rPr>
        <w:rFonts w:hint="default"/>
        <w:lang w:val="zh-CN" w:eastAsia="zh-CN" w:bidi="zh-CN"/>
      </w:rPr>
    </w:lvl>
    <w:lvl w:ilvl="5" w:tplc="A62C8CC0">
      <w:numFmt w:val="bullet"/>
      <w:lvlText w:val="•"/>
      <w:lvlJc w:val="left"/>
      <w:pPr>
        <w:ind w:left="5743" w:hanging="531"/>
      </w:pPr>
      <w:rPr>
        <w:rFonts w:hint="default"/>
        <w:lang w:val="zh-CN" w:eastAsia="zh-CN" w:bidi="zh-CN"/>
      </w:rPr>
    </w:lvl>
    <w:lvl w:ilvl="6" w:tplc="3A2AC8E2">
      <w:numFmt w:val="bullet"/>
      <w:lvlText w:val="•"/>
      <w:lvlJc w:val="left"/>
      <w:pPr>
        <w:ind w:left="6723" w:hanging="531"/>
      </w:pPr>
      <w:rPr>
        <w:rFonts w:hint="default"/>
        <w:lang w:val="zh-CN" w:eastAsia="zh-CN" w:bidi="zh-CN"/>
      </w:rPr>
    </w:lvl>
    <w:lvl w:ilvl="7" w:tplc="2E06160E">
      <w:numFmt w:val="bullet"/>
      <w:lvlText w:val="•"/>
      <w:lvlJc w:val="left"/>
      <w:pPr>
        <w:ind w:left="7704" w:hanging="531"/>
      </w:pPr>
      <w:rPr>
        <w:rFonts w:hint="default"/>
        <w:lang w:val="zh-CN" w:eastAsia="zh-CN" w:bidi="zh-CN"/>
      </w:rPr>
    </w:lvl>
    <w:lvl w:ilvl="8" w:tplc="8B84A944">
      <w:numFmt w:val="bullet"/>
      <w:lvlText w:val="•"/>
      <w:lvlJc w:val="left"/>
      <w:pPr>
        <w:ind w:left="8685" w:hanging="531"/>
      </w:pPr>
      <w:rPr>
        <w:rFonts w:hint="default"/>
        <w:lang w:val="zh-CN" w:eastAsia="zh-CN" w:bidi="zh-CN"/>
      </w:rPr>
    </w:lvl>
  </w:abstractNum>
  <w:abstractNum w:abstractNumId="963" w15:restartNumberingAfterBreak="0">
    <w:nsid w:val="7D6678DA"/>
    <w:multiLevelType w:val="hybridMultilevel"/>
    <w:tmpl w:val="25C68892"/>
    <w:lvl w:ilvl="0" w:tplc="C3DC6A5E">
      <w:start w:val="6"/>
      <w:numFmt w:val="decimal"/>
      <w:lvlText w:val="%1"/>
      <w:lvlJc w:val="left"/>
      <w:pPr>
        <w:ind w:left="1159" w:hanging="320"/>
        <w:jc w:val="left"/>
      </w:pPr>
      <w:rPr>
        <w:rFonts w:hint="default"/>
        <w:lang w:val="zh-CN" w:eastAsia="zh-CN" w:bidi="zh-CN"/>
      </w:rPr>
    </w:lvl>
    <w:lvl w:ilvl="1" w:tplc="FC8633A8">
      <w:start w:val="7"/>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0352B6AA">
      <w:numFmt w:val="bullet"/>
      <w:lvlText w:val="•"/>
      <w:lvlJc w:val="left"/>
      <w:pPr>
        <w:ind w:left="3057" w:hanging="320"/>
      </w:pPr>
      <w:rPr>
        <w:rFonts w:hint="default"/>
        <w:lang w:val="zh-CN" w:eastAsia="zh-CN" w:bidi="zh-CN"/>
      </w:rPr>
    </w:lvl>
    <w:lvl w:ilvl="3" w:tplc="0A665AEC">
      <w:numFmt w:val="bullet"/>
      <w:lvlText w:val="•"/>
      <w:lvlJc w:val="left"/>
      <w:pPr>
        <w:ind w:left="4005" w:hanging="320"/>
      </w:pPr>
      <w:rPr>
        <w:rFonts w:hint="default"/>
        <w:lang w:val="zh-CN" w:eastAsia="zh-CN" w:bidi="zh-CN"/>
      </w:rPr>
    </w:lvl>
    <w:lvl w:ilvl="4" w:tplc="889C4016">
      <w:numFmt w:val="bullet"/>
      <w:lvlText w:val="•"/>
      <w:lvlJc w:val="left"/>
      <w:pPr>
        <w:ind w:left="4954" w:hanging="320"/>
      </w:pPr>
      <w:rPr>
        <w:rFonts w:hint="default"/>
        <w:lang w:val="zh-CN" w:eastAsia="zh-CN" w:bidi="zh-CN"/>
      </w:rPr>
    </w:lvl>
    <w:lvl w:ilvl="5" w:tplc="E3967744">
      <w:numFmt w:val="bullet"/>
      <w:lvlText w:val="•"/>
      <w:lvlJc w:val="left"/>
      <w:pPr>
        <w:ind w:left="5903" w:hanging="320"/>
      </w:pPr>
      <w:rPr>
        <w:rFonts w:hint="default"/>
        <w:lang w:val="zh-CN" w:eastAsia="zh-CN" w:bidi="zh-CN"/>
      </w:rPr>
    </w:lvl>
    <w:lvl w:ilvl="6" w:tplc="D01C4E4A">
      <w:numFmt w:val="bullet"/>
      <w:lvlText w:val="•"/>
      <w:lvlJc w:val="left"/>
      <w:pPr>
        <w:ind w:left="6851" w:hanging="320"/>
      </w:pPr>
      <w:rPr>
        <w:rFonts w:hint="default"/>
        <w:lang w:val="zh-CN" w:eastAsia="zh-CN" w:bidi="zh-CN"/>
      </w:rPr>
    </w:lvl>
    <w:lvl w:ilvl="7" w:tplc="C5C80C36">
      <w:numFmt w:val="bullet"/>
      <w:lvlText w:val="•"/>
      <w:lvlJc w:val="left"/>
      <w:pPr>
        <w:ind w:left="7800" w:hanging="320"/>
      </w:pPr>
      <w:rPr>
        <w:rFonts w:hint="default"/>
        <w:lang w:val="zh-CN" w:eastAsia="zh-CN" w:bidi="zh-CN"/>
      </w:rPr>
    </w:lvl>
    <w:lvl w:ilvl="8" w:tplc="E7D6B91C">
      <w:numFmt w:val="bullet"/>
      <w:lvlText w:val="•"/>
      <w:lvlJc w:val="left"/>
      <w:pPr>
        <w:ind w:left="8749" w:hanging="320"/>
      </w:pPr>
      <w:rPr>
        <w:rFonts w:hint="default"/>
        <w:lang w:val="zh-CN" w:eastAsia="zh-CN" w:bidi="zh-CN"/>
      </w:rPr>
    </w:lvl>
  </w:abstractNum>
  <w:abstractNum w:abstractNumId="964" w15:restartNumberingAfterBreak="0">
    <w:nsid w:val="7D684EB1"/>
    <w:multiLevelType w:val="hybridMultilevel"/>
    <w:tmpl w:val="4D3698B0"/>
    <w:lvl w:ilvl="0" w:tplc="002E2B76">
      <w:start w:val="4"/>
      <w:numFmt w:val="decimal"/>
      <w:lvlText w:val="%1"/>
      <w:lvlJc w:val="left"/>
      <w:pPr>
        <w:ind w:left="1159" w:hanging="320"/>
        <w:jc w:val="left"/>
      </w:pPr>
      <w:rPr>
        <w:rFonts w:hint="default"/>
        <w:lang w:val="zh-CN" w:eastAsia="zh-CN" w:bidi="zh-CN"/>
      </w:rPr>
    </w:lvl>
    <w:lvl w:ilvl="1" w:tplc="C15EA398">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A7E23BC6">
      <w:start w:val="1"/>
      <w:numFmt w:val="decimal"/>
      <w:lvlText w:val="%1.%2.%3"/>
      <w:lvlJc w:val="left"/>
      <w:pPr>
        <w:ind w:left="1562" w:hanging="720"/>
        <w:jc w:val="left"/>
      </w:pPr>
      <w:rPr>
        <w:rFonts w:ascii="宋体" w:eastAsia="宋体" w:hAnsi="宋体" w:cs="宋体" w:hint="default"/>
        <w:b/>
        <w:bCs/>
        <w:w w:val="99"/>
        <w:sz w:val="21"/>
        <w:szCs w:val="21"/>
        <w:lang w:val="zh-CN" w:eastAsia="zh-CN" w:bidi="zh-CN"/>
      </w:rPr>
    </w:lvl>
    <w:lvl w:ilvl="3" w:tplc="8B8C13C8">
      <w:numFmt w:val="bullet"/>
      <w:lvlText w:val="•"/>
      <w:lvlJc w:val="left"/>
      <w:pPr>
        <w:ind w:left="3579" w:hanging="720"/>
      </w:pPr>
      <w:rPr>
        <w:rFonts w:hint="default"/>
        <w:lang w:val="zh-CN" w:eastAsia="zh-CN" w:bidi="zh-CN"/>
      </w:rPr>
    </w:lvl>
    <w:lvl w:ilvl="4" w:tplc="2BCEF332">
      <w:numFmt w:val="bullet"/>
      <w:lvlText w:val="•"/>
      <w:lvlJc w:val="left"/>
      <w:pPr>
        <w:ind w:left="4588" w:hanging="720"/>
      </w:pPr>
      <w:rPr>
        <w:rFonts w:hint="default"/>
        <w:lang w:val="zh-CN" w:eastAsia="zh-CN" w:bidi="zh-CN"/>
      </w:rPr>
    </w:lvl>
    <w:lvl w:ilvl="5" w:tplc="85D0E19C">
      <w:numFmt w:val="bullet"/>
      <w:lvlText w:val="•"/>
      <w:lvlJc w:val="left"/>
      <w:pPr>
        <w:ind w:left="5598" w:hanging="720"/>
      </w:pPr>
      <w:rPr>
        <w:rFonts w:hint="default"/>
        <w:lang w:val="zh-CN" w:eastAsia="zh-CN" w:bidi="zh-CN"/>
      </w:rPr>
    </w:lvl>
    <w:lvl w:ilvl="6" w:tplc="E418318A">
      <w:numFmt w:val="bullet"/>
      <w:lvlText w:val="•"/>
      <w:lvlJc w:val="left"/>
      <w:pPr>
        <w:ind w:left="6608" w:hanging="720"/>
      </w:pPr>
      <w:rPr>
        <w:rFonts w:hint="default"/>
        <w:lang w:val="zh-CN" w:eastAsia="zh-CN" w:bidi="zh-CN"/>
      </w:rPr>
    </w:lvl>
    <w:lvl w:ilvl="7" w:tplc="E8301A84">
      <w:numFmt w:val="bullet"/>
      <w:lvlText w:val="•"/>
      <w:lvlJc w:val="left"/>
      <w:pPr>
        <w:ind w:left="7617" w:hanging="720"/>
      </w:pPr>
      <w:rPr>
        <w:rFonts w:hint="default"/>
        <w:lang w:val="zh-CN" w:eastAsia="zh-CN" w:bidi="zh-CN"/>
      </w:rPr>
    </w:lvl>
    <w:lvl w:ilvl="8" w:tplc="9AA6667C">
      <w:numFmt w:val="bullet"/>
      <w:lvlText w:val="•"/>
      <w:lvlJc w:val="left"/>
      <w:pPr>
        <w:ind w:left="8627" w:hanging="720"/>
      </w:pPr>
      <w:rPr>
        <w:rFonts w:hint="default"/>
        <w:lang w:val="zh-CN" w:eastAsia="zh-CN" w:bidi="zh-CN"/>
      </w:rPr>
    </w:lvl>
  </w:abstractNum>
  <w:abstractNum w:abstractNumId="965" w15:restartNumberingAfterBreak="0">
    <w:nsid w:val="7D6F6FC8"/>
    <w:multiLevelType w:val="hybridMultilevel"/>
    <w:tmpl w:val="2B1EA87A"/>
    <w:lvl w:ilvl="0" w:tplc="DCB80072">
      <w:start w:val="4"/>
      <w:numFmt w:val="decimal"/>
      <w:lvlText w:val="%1"/>
      <w:lvlJc w:val="left"/>
      <w:pPr>
        <w:ind w:left="1367" w:hanging="529"/>
        <w:jc w:val="left"/>
      </w:pPr>
      <w:rPr>
        <w:rFonts w:hint="default"/>
        <w:lang w:val="zh-CN" w:eastAsia="zh-CN" w:bidi="zh-CN"/>
      </w:rPr>
    </w:lvl>
    <w:lvl w:ilvl="1" w:tplc="80D84608">
      <w:start w:val="4"/>
      <w:numFmt w:val="decimal"/>
      <w:lvlText w:val="%1.%2"/>
      <w:lvlJc w:val="left"/>
      <w:pPr>
        <w:ind w:left="1367" w:hanging="529"/>
        <w:jc w:val="left"/>
      </w:pPr>
      <w:rPr>
        <w:rFonts w:hint="default"/>
        <w:lang w:val="zh-CN" w:eastAsia="zh-CN" w:bidi="zh-CN"/>
      </w:rPr>
    </w:lvl>
    <w:lvl w:ilvl="2" w:tplc="0582B9B0">
      <w:start w:val="3"/>
      <w:numFmt w:val="decimal"/>
      <w:lvlText w:val="%1.%2.%3"/>
      <w:lvlJc w:val="left"/>
      <w:pPr>
        <w:ind w:left="1367" w:hanging="529"/>
        <w:jc w:val="left"/>
      </w:pPr>
      <w:rPr>
        <w:rFonts w:hint="default"/>
        <w:w w:val="100"/>
        <w:lang w:val="zh-CN" w:eastAsia="zh-CN" w:bidi="zh-CN"/>
      </w:rPr>
    </w:lvl>
    <w:lvl w:ilvl="3" w:tplc="041260A2">
      <w:start w:val="1"/>
      <w:numFmt w:val="decimal"/>
      <w:lvlText w:val="%1.%2.%3.%4"/>
      <w:lvlJc w:val="left"/>
      <w:pPr>
        <w:ind w:left="1575" w:hanging="738"/>
        <w:jc w:val="left"/>
      </w:pPr>
      <w:rPr>
        <w:rFonts w:ascii="宋体" w:eastAsia="宋体" w:hAnsi="宋体" w:cs="宋体" w:hint="default"/>
        <w:spacing w:val="-3"/>
        <w:w w:val="100"/>
        <w:sz w:val="19"/>
        <w:szCs w:val="19"/>
        <w:lang w:val="zh-CN" w:eastAsia="zh-CN" w:bidi="zh-CN"/>
      </w:rPr>
    </w:lvl>
    <w:lvl w:ilvl="4" w:tplc="B11C141A">
      <w:numFmt w:val="bullet"/>
      <w:lvlText w:val="•"/>
      <w:lvlJc w:val="left"/>
      <w:pPr>
        <w:ind w:left="4602" w:hanging="738"/>
      </w:pPr>
      <w:rPr>
        <w:rFonts w:hint="default"/>
        <w:lang w:val="zh-CN" w:eastAsia="zh-CN" w:bidi="zh-CN"/>
      </w:rPr>
    </w:lvl>
    <w:lvl w:ilvl="5" w:tplc="747C3318">
      <w:numFmt w:val="bullet"/>
      <w:lvlText w:val="•"/>
      <w:lvlJc w:val="left"/>
      <w:pPr>
        <w:ind w:left="5609" w:hanging="738"/>
      </w:pPr>
      <w:rPr>
        <w:rFonts w:hint="default"/>
        <w:lang w:val="zh-CN" w:eastAsia="zh-CN" w:bidi="zh-CN"/>
      </w:rPr>
    </w:lvl>
    <w:lvl w:ilvl="6" w:tplc="75CEBF22">
      <w:numFmt w:val="bullet"/>
      <w:lvlText w:val="•"/>
      <w:lvlJc w:val="left"/>
      <w:pPr>
        <w:ind w:left="6616" w:hanging="738"/>
      </w:pPr>
      <w:rPr>
        <w:rFonts w:hint="default"/>
        <w:lang w:val="zh-CN" w:eastAsia="zh-CN" w:bidi="zh-CN"/>
      </w:rPr>
    </w:lvl>
    <w:lvl w:ilvl="7" w:tplc="0E60E686">
      <w:numFmt w:val="bullet"/>
      <w:lvlText w:val="•"/>
      <w:lvlJc w:val="left"/>
      <w:pPr>
        <w:ind w:left="7624" w:hanging="738"/>
      </w:pPr>
      <w:rPr>
        <w:rFonts w:hint="default"/>
        <w:lang w:val="zh-CN" w:eastAsia="zh-CN" w:bidi="zh-CN"/>
      </w:rPr>
    </w:lvl>
    <w:lvl w:ilvl="8" w:tplc="689EDF50">
      <w:numFmt w:val="bullet"/>
      <w:lvlText w:val="•"/>
      <w:lvlJc w:val="left"/>
      <w:pPr>
        <w:ind w:left="8631" w:hanging="738"/>
      </w:pPr>
      <w:rPr>
        <w:rFonts w:hint="default"/>
        <w:lang w:val="zh-CN" w:eastAsia="zh-CN" w:bidi="zh-CN"/>
      </w:rPr>
    </w:lvl>
  </w:abstractNum>
  <w:abstractNum w:abstractNumId="966" w15:restartNumberingAfterBreak="0">
    <w:nsid w:val="7D922C5E"/>
    <w:multiLevelType w:val="hybridMultilevel"/>
    <w:tmpl w:val="B9127D4A"/>
    <w:lvl w:ilvl="0" w:tplc="1D8ABD9A">
      <w:start w:val="5"/>
      <w:numFmt w:val="decimal"/>
      <w:lvlText w:val="%1"/>
      <w:lvlJc w:val="left"/>
      <w:pPr>
        <w:ind w:left="826" w:hanging="531"/>
        <w:jc w:val="left"/>
      </w:pPr>
      <w:rPr>
        <w:rFonts w:hint="default"/>
        <w:lang w:val="zh-CN" w:eastAsia="zh-CN" w:bidi="zh-CN"/>
      </w:rPr>
    </w:lvl>
    <w:lvl w:ilvl="1" w:tplc="3EC43F6A">
      <w:start w:val="4"/>
      <w:numFmt w:val="decimal"/>
      <w:lvlText w:val="%1.%2"/>
      <w:lvlJc w:val="left"/>
      <w:pPr>
        <w:ind w:left="826" w:hanging="531"/>
        <w:jc w:val="left"/>
      </w:pPr>
      <w:rPr>
        <w:rFonts w:hint="default"/>
        <w:lang w:val="zh-CN" w:eastAsia="zh-CN" w:bidi="zh-CN"/>
      </w:rPr>
    </w:lvl>
    <w:lvl w:ilvl="2" w:tplc="1E6EDD6C">
      <w:start w:val="1"/>
      <w:numFmt w:val="decimal"/>
      <w:lvlText w:val="%1.%2.%3"/>
      <w:lvlJc w:val="left"/>
      <w:pPr>
        <w:ind w:left="826" w:hanging="531"/>
        <w:jc w:val="left"/>
      </w:pPr>
      <w:rPr>
        <w:rFonts w:ascii="宋体" w:eastAsia="宋体" w:hAnsi="宋体" w:cs="宋体" w:hint="default"/>
        <w:b/>
        <w:bCs/>
        <w:w w:val="99"/>
        <w:sz w:val="19"/>
        <w:szCs w:val="19"/>
        <w:lang w:val="zh-CN" w:eastAsia="zh-CN" w:bidi="zh-CN"/>
      </w:rPr>
    </w:lvl>
    <w:lvl w:ilvl="3" w:tplc="FE386ADE">
      <w:numFmt w:val="bullet"/>
      <w:lvlText w:val="•"/>
      <w:lvlJc w:val="left"/>
      <w:pPr>
        <w:ind w:left="3767" w:hanging="531"/>
      </w:pPr>
      <w:rPr>
        <w:rFonts w:hint="default"/>
        <w:lang w:val="zh-CN" w:eastAsia="zh-CN" w:bidi="zh-CN"/>
      </w:rPr>
    </w:lvl>
    <w:lvl w:ilvl="4" w:tplc="323C6F28">
      <w:numFmt w:val="bullet"/>
      <w:lvlText w:val="•"/>
      <w:lvlJc w:val="left"/>
      <w:pPr>
        <w:ind w:left="4750" w:hanging="531"/>
      </w:pPr>
      <w:rPr>
        <w:rFonts w:hint="default"/>
        <w:lang w:val="zh-CN" w:eastAsia="zh-CN" w:bidi="zh-CN"/>
      </w:rPr>
    </w:lvl>
    <w:lvl w:ilvl="5" w:tplc="B2A4C3F8">
      <w:numFmt w:val="bullet"/>
      <w:lvlText w:val="•"/>
      <w:lvlJc w:val="left"/>
      <w:pPr>
        <w:ind w:left="5733" w:hanging="531"/>
      </w:pPr>
      <w:rPr>
        <w:rFonts w:hint="default"/>
        <w:lang w:val="zh-CN" w:eastAsia="zh-CN" w:bidi="zh-CN"/>
      </w:rPr>
    </w:lvl>
    <w:lvl w:ilvl="6" w:tplc="A69E78A6">
      <w:numFmt w:val="bullet"/>
      <w:lvlText w:val="•"/>
      <w:lvlJc w:val="left"/>
      <w:pPr>
        <w:ind w:left="6715" w:hanging="531"/>
      </w:pPr>
      <w:rPr>
        <w:rFonts w:hint="default"/>
        <w:lang w:val="zh-CN" w:eastAsia="zh-CN" w:bidi="zh-CN"/>
      </w:rPr>
    </w:lvl>
    <w:lvl w:ilvl="7" w:tplc="F0EC1864">
      <w:numFmt w:val="bullet"/>
      <w:lvlText w:val="•"/>
      <w:lvlJc w:val="left"/>
      <w:pPr>
        <w:ind w:left="7698" w:hanging="531"/>
      </w:pPr>
      <w:rPr>
        <w:rFonts w:hint="default"/>
        <w:lang w:val="zh-CN" w:eastAsia="zh-CN" w:bidi="zh-CN"/>
      </w:rPr>
    </w:lvl>
    <w:lvl w:ilvl="8" w:tplc="04408AF8">
      <w:numFmt w:val="bullet"/>
      <w:lvlText w:val="•"/>
      <w:lvlJc w:val="left"/>
      <w:pPr>
        <w:ind w:left="8681" w:hanging="531"/>
      </w:pPr>
      <w:rPr>
        <w:rFonts w:hint="default"/>
        <w:lang w:val="zh-CN" w:eastAsia="zh-CN" w:bidi="zh-CN"/>
      </w:rPr>
    </w:lvl>
  </w:abstractNum>
  <w:abstractNum w:abstractNumId="967" w15:restartNumberingAfterBreak="0">
    <w:nsid w:val="7E461864"/>
    <w:multiLevelType w:val="hybridMultilevel"/>
    <w:tmpl w:val="CE1A37F0"/>
    <w:lvl w:ilvl="0" w:tplc="3B4C22FC">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61160528">
      <w:numFmt w:val="bullet"/>
      <w:lvlText w:val="•"/>
      <w:lvlJc w:val="left"/>
      <w:pPr>
        <w:ind w:left="2288" w:hanging="529"/>
      </w:pPr>
      <w:rPr>
        <w:rFonts w:hint="default"/>
        <w:lang w:val="zh-CN" w:eastAsia="zh-CN" w:bidi="zh-CN"/>
      </w:rPr>
    </w:lvl>
    <w:lvl w:ilvl="2" w:tplc="31BA1DBC">
      <w:numFmt w:val="bullet"/>
      <w:lvlText w:val="•"/>
      <w:lvlJc w:val="left"/>
      <w:pPr>
        <w:ind w:left="3217" w:hanging="529"/>
      </w:pPr>
      <w:rPr>
        <w:rFonts w:hint="default"/>
        <w:lang w:val="zh-CN" w:eastAsia="zh-CN" w:bidi="zh-CN"/>
      </w:rPr>
    </w:lvl>
    <w:lvl w:ilvl="3" w:tplc="2636408C">
      <w:numFmt w:val="bullet"/>
      <w:lvlText w:val="•"/>
      <w:lvlJc w:val="left"/>
      <w:pPr>
        <w:ind w:left="4145" w:hanging="529"/>
      </w:pPr>
      <w:rPr>
        <w:rFonts w:hint="default"/>
        <w:lang w:val="zh-CN" w:eastAsia="zh-CN" w:bidi="zh-CN"/>
      </w:rPr>
    </w:lvl>
    <w:lvl w:ilvl="4" w:tplc="B37067A2">
      <w:numFmt w:val="bullet"/>
      <w:lvlText w:val="•"/>
      <w:lvlJc w:val="left"/>
      <w:pPr>
        <w:ind w:left="5074" w:hanging="529"/>
      </w:pPr>
      <w:rPr>
        <w:rFonts w:hint="default"/>
        <w:lang w:val="zh-CN" w:eastAsia="zh-CN" w:bidi="zh-CN"/>
      </w:rPr>
    </w:lvl>
    <w:lvl w:ilvl="5" w:tplc="37F05DDA">
      <w:numFmt w:val="bullet"/>
      <w:lvlText w:val="•"/>
      <w:lvlJc w:val="left"/>
      <w:pPr>
        <w:ind w:left="6003" w:hanging="529"/>
      </w:pPr>
      <w:rPr>
        <w:rFonts w:hint="default"/>
        <w:lang w:val="zh-CN" w:eastAsia="zh-CN" w:bidi="zh-CN"/>
      </w:rPr>
    </w:lvl>
    <w:lvl w:ilvl="6" w:tplc="D3F0345A">
      <w:numFmt w:val="bullet"/>
      <w:lvlText w:val="•"/>
      <w:lvlJc w:val="left"/>
      <w:pPr>
        <w:ind w:left="6931" w:hanging="529"/>
      </w:pPr>
      <w:rPr>
        <w:rFonts w:hint="default"/>
        <w:lang w:val="zh-CN" w:eastAsia="zh-CN" w:bidi="zh-CN"/>
      </w:rPr>
    </w:lvl>
    <w:lvl w:ilvl="7" w:tplc="BED230FA">
      <w:numFmt w:val="bullet"/>
      <w:lvlText w:val="•"/>
      <w:lvlJc w:val="left"/>
      <w:pPr>
        <w:ind w:left="7860" w:hanging="529"/>
      </w:pPr>
      <w:rPr>
        <w:rFonts w:hint="default"/>
        <w:lang w:val="zh-CN" w:eastAsia="zh-CN" w:bidi="zh-CN"/>
      </w:rPr>
    </w:lvl>
    <w:lvl w:ilvl="8" w:tplc="62D29C3E">
      <w:numFmt w:val="bullet"/>
      <w:lvlText w:val="•"/>
      <w:lvlJc w:val="left"/>
      <w:pPr>
        <w:ind w:left="8789" w:hanging="529"/>
      </w:pPr>
      <w:rPr>
        <w:rFonts w:hint="default"/>
        <w:lang w:val="zh-CN" w:eastAsia="zh-CN" w:bidi="zh-CN"/>
      </w:rPr>
    </w:lvl>
  </w:abstractNum>
  <w:abstractNum w:abstractNumId="968" w15:restartNumberingAfterBreak="0">
    <w:nsid w:val="7E53797A"/>
    <w:multiLevelType w:val="hybridMultilevel"/>
    <w:tmpl w:val="3F96D7B8"/>
    <w:lvl w:ilvl="0" w:tplc="2F4CE55E">
      <w:start w:val="1"/>
      <w:numFmt w:val="decimal"/>
      <w:lvlText w:val="（%1）"/>
      <w:lvlJc w:val="left"/>
      <w:pPr>
        <w:ind w:left="418" w:hanging="529"/>
        <w:jc w:val="left"/>
      </w:pPr>
      <w:rPr>
        <w:rFonts w:ascii="宋体" w:eastAsia="宋体" w:hAnsi="宋体" w:cs="宋体" w:hint="default"/>
        <w:spacing w:val="-48"/>
        <w:w w:val="100"/>
        <w:sz w:val="19"/>
        <w:szCs w:val="19"/>
        <w:lang w:val="zh-CN" w:eastAsia="zh-CN" w:bidi="zh-CN"/>
      </w:rPr>
    </w:lvl>
    <w:lvl w:ilvl="1" w:tplc="DC4CFD20">
      <w:numFmt w:val="bullet"/>
      <w:lvlText w:val="•"/>
      <w:lvlJc w:val="left"/>
      <w:pPr>
        <w:ind w:left="1442" w:hanging="529"/>
      </w:pPr>
      <w:rPr>
        <w:rFonts w:hint="default"/>
        <w:lang w:val="zh-CN" w:eastAsia="zh-CN" w:bidi="zh-CN"/>
      </w:rPr>
    </w:lvl>
    <w:lvl w:ilvl="2" w:tplc="3E965460">
      <w:numFmt w:val="bullet"/>
      <w:lvlText w:val="•"/>
      <w:lvlJc w:val="left"/>
      <w:pPr>
        <w:ind w:left="2465" w:hanging="529"/>
      </w:pPr>
      <w:rPr>
        <w:rFonts w:hint="default"/>
        <w:lang w:val="zh-CN" w:eastAsia="zh-CN" w:bidi="zh-CN"/>
      </w:rPr>
    </w:lvl>
    <w:lvl w:ilvl="3" w:tplc="7216221C">
      <w:numFmt w:val="bullet"/>
      <w:lvlText w:val="•"/>
      <w:lvlJc w:val="left"/>
      <w:pPr>
        <w:ind w:left="3487" w:hanging="529"/>
      </w:pPr>
      <w:rPr>
        <w:rFonts w:hint="default"/>
        <w:lang w:val="zh-CN" w:eastAsia="zh-CN" w:bidi="zh-CN"/>
      </w:rPr>
    </w:lvl>
    <w:lvl w:ilvl="4" w:tplc="EAE86918">
      <w:numFmt w:val="bullet"/>
      <w:lvlText w:val="•"/>
      <w:lvlJc w:val="left"/>
      <w:pPr>
        <w:ind w:left="4510" w:hanging="529"/>
      </w:pPr>
      <w:rPr>
        <w:rFonts w:hint="default"/>
        <w:lang w:val="zh-CN" w:eastAsia="zh-CN" w:bidi="zh-CN"/>
      </w:rPr>
    </w:lvl>
    <w:lvl w:ilvl="5" w:tplc="4B542BD2">
      <w:numFmt w:val="bullet"/>
      <w:lvlText w:val="•"/>
      <w:lvlJc w:val="left"/>
      <w:pPr>
        <w:ind w:left="5533" w:hanging="529"/>
      </w:pPr>
      <w:rPr>
        <w:rFonts w:hint="default"/>
        <w:lang w:val="zh-CN" w:eastAsia="zh-CN" w:bidi="zh-CN"/>
      </w:rPr>
    </w:lvl>
    <w:lvl w:ilvl="6" w:tplc="74E29BAE">
      <w:numFmt w:val="bullet"/>
      <w:lvlText w:val="•"/>
      <w:lvlJc w:val="left"/>
      <w:pPr>
        <w:ind w:left="6555" w:hanging="529"/>
      </w:pPr>
      <w:rPr>
        <w:rFonts w:hint="default"/>
        <w:lang w:val="zh-CN" w:eastAsia="zh-CN" w:bidi="zh-CN"/>
      </w:rPr>
    </w:lvl>
    <w:lvl w:ilvl="7" w:tplc="CF72D6AC">
      <w:numFmt w:val="bullet"/>
      <w:lvlText w:val="•"/>
      <w:lvlJc w:val="left"/>
      <w:pPr>
        <w:ind w:left="7578" w:hanging="529"/>
      </w:pPr>
      <w:rPr>
        <w:rFonts w:hint="default"/>
        <w:lang w:val="zh-CN" w:eastAsia="zh-CN" w:bidi="zh-CN"/>
      </w:rPr>
    </w:lvl>
    <w:lvl w:ilvl="8" w:tplc="1CD6B89C">
      <w:numFmt w:val="bullet"/>
      <w:lvlText w:val="•"/>
      <w:lvlJc w:val="left"/>
      <w:pPr>
        <w:ind w:left="8601" w:hanging="529"/>
      </w:pPr>
      <w:rPr>
        <w:rFonts w:hint="default"/>
        <w:lang w:val="zh-CN" w:eastAsia="zh-CN" w:bidi="zh-CN"/>
      </w:rPr>
    </w:lvl>
  </w:abstractNum>
  <w:abstractNum w:abstractNumId="969" w15:restartNumberingAfterBreak="0">
    <w:nsid w:val="7E555B81"/>
    <w:multiLevelType w:val="hybridMultilevel"/>
    <w:tmpl w:val="504ABE4E"/>
    <w:lvl w:ilvl="0" w:tplc="3C7274AC">
      <w:start w:val="1"/>
      <w:numFmt w:val="decimal"/>
      <w:lvlText w:val="（%1）"/>
      <w:lvlJc w:val="left"/>
      <w:pPr>
        <w:ind w:left="418" w:hanging="529"/>
        <w:jc w:val="left"/>
      </w:pPr>
      <w:rPr>
        <w:rFonts w:ascii="宋体" w:eastAsia="宋体" w:hAnsi="宋体" w:cs="宋体" w:hint="default"/>
        <w:spacing w:val="-3"/>
        <w:w w:val="100"/>
        <w:sz w:val="19"/>
        <w:szCs w:val="19"/>
        <w:lang w:val="zh-CN" w:eastAsia="zh-CN" w:bidi="zh-CN"/>
      </w:rPr>
    </w:lvl>
    <w:lvl w:ilvl="1" w:tplc="61BAB2E4">
      <w:numFmt w:val="bullet"/>
      <w:lvlText w:val="•"/>
      <w:lvlJc w:val="left"/>
      <w:pPr>
        <w:ind w:left="1442" w:hanging="529"/>
      </w:pPr>
      <w:rPr>
        <w:rFonts w:hint="default"/>
        <w:lang w:val="zh-CN" w:eastAsia="zh-CN" w:bidi="zh-CN"/>
      </w:rPr>
    </w:lvl>
    <w:lvl w:ilvl="2" w:tplc="5F44352A">
      <w:numFmt w:val="bullet"/>
      <w:lvlText w:val="•"/>
      <w:lvlJc w:val="left"/>
      <w:pPr>
        <w:ind w:left="2465" w:hanging="529"/>
      </w:pPr>
      <w:rPr>
        <w:rFonts w:hint="default"/>
        <w:lang w:val="zh-CN" w:eastAsia="zh-CN" w:bidi="zh-CN"/>
      </w:rPr>
    </w:lvl>
    <w:lvl w:ilvl="3" w:tplc="EC68DB96">
      <w:numFmt w:val="bullet"/>
      <w:lvlText w:val="•"/>
      <w:lvlJc w:val="left"/>
      <w:pPr>
        <w:ind w:left="3487" w:hanging="529"/>
      </w:pPr>
      <w:rPr>
        <w:rFonts w:hint="default"/>
        <w:lang w:val="zh-CN" w:eastAsia="zh-CN" w:bidi="zh-CN"/>
      </w:rPr>
    </w:lvl>
    <w:lvl w:ilvl="4" w:tplc="8668B9AE">
      <w:numFmt w:val="bullet"/>
      <w:lvlText w:val="•"/>
      <w:lvlJc w:val="left"/>
      <w:pPr>
        <w:ind w:left="4510" w:hanging="529"/>
      </w:pPr>
      <w:rPr>
        <w:rFonts w:hint="default"/>
        <w:lang w:val="zh-CN" w:eastAsia="zh-CN" w:bidi="zh-CN"/>
      </w:rPr>
    </w:lvl>
    <w:lvl w:ilvl="5" w:tplc="B856575C">
      <w:numFmt w:val="bullet"/>
      <w:lvlText w:val="•"/>
      <w:lvlJc w:val="left"/>
      <w:pPr>
        <w:ind w:left="5533" w:hanging="529"/>
      </w:pPr>
      <w:rPr>
        <w:rFonts w:hint="default"/>
        <w:lang w:val="zh-CN" w:eastAsia="zh-CN" w:bidi="zh-CN"/>
      </w:rPr>
    </w:lvl>
    <w:lvl w:ilvl="6" w:tplc="BF047EE4">
      <w:numFmt w:val="bullet"/>
      <w:lvlText w:val="•"/>
      <w:lvlJc w:val="left"/>
      <w:pPr>
        <w:ind w:left="6555" w:hanging="529"/>
      </w:pPr>
      <w:rPr>
        <w:rFonts w:hint="default"/>
        <w:lang w:val="zh-CN" w:eastAsia="zh-CN" w:bidi="zh-CN"/>
      </w:rPr>
    </w:lvl>
    <w:lvl w:ilvl="7" w:tplc="58867FEA">
      <w:numFmt w:val="bullet"/>
      <w:lvlText w:val="•"/>
      <w:lvlJc w:val="left"/>
      <w:pPr>
        <w:ind w:left="7578" w:hanging="529"/>
      </w:pPr>
      <w:rPr>
        <w:rFonts w:hint="default"/>
        <w:lang w:val="zh-CN" w:eastAsia="zh-CN" w:bidi="zh-CN"/>
      </w:rPr>
    </w:lvl>
    <w:lvl w:ilvl="8" w:tplc="C9903350">
      <w:numFmt w:val="bullet"/>
      <w:lvlText w:val="•"/>
      <w:lvlJc w:val="left"/>
      <w:pPr>
        <w:ind w:left="8601" w:hanging="529"/>
      </w:pPr>
      <w:rPr>
        <w:rFonts w:hint="default"/>
        <w:lang w:val="zh-CN" w:eastAsia="zh-CN" w:bidi="zh-CN"/>
      </w:rPr>
    </w:lvl>
  </w:abstractNum>
  <w:abstractNum w:abstractNumId="970" w15:restartNumberingAfterBreak="0">
    <w:nsid w:val="7E9B4B16"/>
    <w:multiLevelType w:val="hybridMultilevel"/>
    <w:tmpl w:val="AD5AE8F2"/>
    <w:lvl w:ilvl="0" w:tplc="2B8E355A">
      <w:start w:val="1"/>
      <w:numFmt w:val="decimal"/>
      <w:lvlText w:val="（%1）"/>
      <w:lvlJc w:val="left"/>
      <w:pPr>
        <w:ind w:left="418" w:hanging="529"/>
        <w:jc w:val="left"/>
      </w:pPr>
      <w:rPr>
        <w:rFonts w:ascii="宋体" w:eastAsia="宋体" w:hAnsi="宋体" w:cs="宋体" w:hint="default"/>
        <w:w w:val="100"/>
        <w:sz w:val="19"/>
        <w:szCs w:val="19"/>
        <w:lang w:val="zh-CN" w:eastAsia="zh-CN" w:bidi="zh-CN"/>
      </w:rPr>
    </w:lvl>
    <w:lvl w:ilvl="1" w:tplc="340C2F5C">
      <w:numFmt w:val="bullet"/>
      <w:lvlText w:val="•"/>
      <w:lvlJc w:val="left"/>
      <w:pPr>
        <w:ind w:left="1442" w:hanging="529"/>
      </w:pPr>
      <w:rPr>
        <w:rFonts w:hint="default"/>
        <w:lang w:val="zh-CN" w:eastAsia="zh-CN" w:bidi="zh-CN"/>
      </w:rPr>
    </w:lvl>
    <w:lvl w:ilvl="2" w:tplc="4D04F192">
      <w:numFmt w:val="bullet"/>
      <w:lvlText w:val="•"/>
      <w:lvlJc w:val="left"/>
      <w:pPr>
        <w:ind w:left="2465" w:hanging="529"/>
      </w:pPr>
      <w:rPr>
        <w:rFonts w:hint="default"/>
        <w:lang w:val="zh-CN" w:eastAsia="zh-CN" w:bidi="zh-CN"/>
      </w:rPr>
    </w:lvl>
    <w:lvl w:ilvl="3" w:tplc="06F89ACA">
      <w:numFmt w:val="bullet"/>
      <w:lvlText w:val="•"/>
      <w:lvlJc w:val="left"/>
      <w:pPr>
        <w:ind w:left="3487" w:hanging="529"/>
      </w:pPr>
      <w:rPr>
        <w:rFonts w:hint="default"/>
        <w:lang w:val="zh-CN" w:eastAsia="zh-CN" w:bidi="zh-CN"/>
      </w:rPr>
    </w:lvl>
    <w:lvl w:ilvl="4" w:tplc="D61A22CE">
      <w:numFmt w:val="bullet"/>
      <w:lvlText w:val="•"/>
      <w:lvlJc w:val="left"/>
      <w:pPr>
        <w:ind w:left="4510" w:hanging="529"/>
      </w:pPr>
      <w:rPr>
        <w:rFonts w:hint="default"/>
        <w:lang w:val="zh-CN" w:eastAsia="zh-CN" w:bidi="zh-CN"/>
      </w:rPr>
    </w:lvl>
    <w:lvl w:ilvl="5" w:tplc="AB4639EC">
      <w:numFmt w:val="bullet"/>
      <w:lvlText w:val="•"/>
      <w:lvlJc w:val="left"/>
      <w:pPr>
        <w:ind w:left="5533" w:hanging="529"/>
      </w:pPr>
      <w:rPr>
        <w:rFonts w:hint="default"/>
        <w:lang w:val="zh-CN" w:eastAsia="zh-CN" w:bidi="zh-CN"/>
      </w:rPr>
    </w:lvl>
    <w:lvl w:ilvl="6" w:tplc="7CA2AF5A">
      <w:numFmt w:val="bullet"/>
      <w:lvlText w:val="•"/>
      <w:lvlJc w:val="left"/>
      <w:pPr>
        <w:ind w:left="6555" w:hanging="529"/>
      </w:pPr>
      <w:rPr>
        <w:rFonts w:hint="default"/>
        <w:lang w:val="zh-CN" w:eastAsia="zh-CN" w:bidi="zh-CN"/>
      </w:rPr>
    </w:lvl>
    <w:lvl w:ilvl="7" w:tplc="B132788A">
      <w:numFmt w:val="bullet"/>
      <w:lvlText w:val="•"/>
      <w:lvlJc w:val="left"/>
      <w:pPr>
        <w:ind w:left="7578" w:hanging="529"/>
      </w:pPr>
      <w:rPr>
        <w:rFonts w:hint="default"/>
        <w:lang w:val="zh-CN" w:eastAsia="zh-CN" w:bidi="zh-CN"/>
      </w:rPr>
    </w:lvl>
    <w:lvl w:ilvl="8" w:tplc="E952AC2A">
      <w:numFmt w:val="bullet"/>
      <w:lvlText w:val="•"/>
      <w:lvlJc w:val="left"/>
      <w:pPr>
        <w:ind w:left="8601" w:hanging="529"/>
      </w:pPr>
      <w:rPr>
        <w:rFonts w:hint="default"/>
        <w:lang w:val="zh-CN" w:eastAsia="zh-CN" w:bidi="zh-CN"/>
      </w:rPr>
    </w:lvl>
  </w:abstractNum>
  <w:abstractNum w:abstractNumId="971" w15:restartNumberingAfterBreak="0">
    <w:nsid w:val="7E9F7EBB"/>
    <w:multiLevelType w:val="hybridMultilevel"/>
    <w:tmpl w:val="5C3CDB96"/>
    <w:lvl w:ilvl="0" w:tplc="AAA89FE2">
      <w:start w:val="10"/>
      <w:numFmt w:val="decimal"/>
      <w:lvlText w:val="%1"/>
      <w:lvlJc w:val="left"/>
      <w:pPr>
        <w:ind w:left="418" w:hanging="689"/>
        <w:jc w:val="left"/>
      </w:pPr>
      <w:rPr>
        <w:rFonts w:hint="default"/>
        <w:lang w:val="zh-CN" w:eastAsia="zh-CN" w:bidi="zh-CN"/>
      </w:rPr>
    </w:lvl>
    <w:lvl w:ilvl="1" w:tplc="457632E4">
      <w:start w:val="4"/>
      <w:numFmt w:val="decimal"/>
      <w:lvlText w:val="%1.%2"/>
      <w:lvlJc w:val="left"/>
      <w:pPr>
        <w:ind w:left="418" w:hanging="689"/>
        <w:jc w:val="left"/>
      </w:pPr>
      <w:rPr>
        <w:rFonts w:hint="default"/>
        <w:lang w:val="zh-CN" w:eastAsia="zh-CN" w:bidi="zh-CN"/>
      </w:rPr>
    </w:lvl>
    <w:lvl w:ilvl="2" w:tplc="A9440E76">
      <w:start w:val="1"/>
      <w:numFmt w:val="decimal"/>
      <w:lvlText w:val="%1.%2.%3"/>
      <w:lvlJc w:val="left"/>
      <w:pPr>
        <w:ind w:left="418" w:hanging="689"/>
        <w:jc w:val="left"/>
      </w:pPr>
      <w:rPr>
        <w:rFonts w:ascii="宋体" w:eastAsia="宋体" w:hAnsi="宋体" w:cs="宋体" w:hint="default"/>
        <w:b/>
        <w:bCs/>
        <w:w w:val="99"/>
        <w:sz w:val="21"/>
        <w:szCs w:val="21"/>
        <w:lang w:val="zh-CN" w:eastAsia="zh-CN" w:bidi="zh-CN"/>
      </w:rPr>
    </w:lvl>
    <w:lvl w:ilvl="3" w:tplc="43BCF588">
      <w:numFmt w:val="bullet"/>
      <w:lvlText w:val="•"/>
      <w:lvlJc w:val="left"/>
      <w:pPr>
        <w:ind w:left="3487" w:hanging="689"/>
      </w:pPr>
      <w:rPr>
        <w:rFonts w:hint="default"/>
        <w:lang w:val="zh-CN" w:eastAsia="zh-CN" w:bidi="zh-CN"/>
      </w:rPr>
    </w:lvl>
    <w:lvl w:ilvl="4" w:tplc="E2824EAE">
      <w:numFmt w:val="bullet"/>
      <w:lvlText w:val="•"/>
      <w:lvlJc w:val="left"/>
      <w:pPr>
        <w:ind w:left="4510" w:hanging="689"/>
      </w:pPr>
      <w:rPr>
        <w:rFonts w:hint="default"/>
        <w:lang w:val="zh-CN" w:eastAsia="zh-CN" w:bidi="zh-CN"/>
      </w:rPr>
    </w:lvl>
    <w:lvl w:ilvl="5" w:tplc="BE68321C">
      <w:numFmt w:val="bullet"/>
      <w:lvlText w:val="•"/>
      <w:lvlJc w:val="left"/>
      <w:pPr>
        <w:ind w:left="5533" w:hanging="689"/>
      </w:pPr>
      <w:rPr>
        <w:rFonts w:hint="default"/>
        <w:lang w:val="zh-CN" w:eastAsia="zh-CN" w:bidi="zh-CN"/>
      </w:rPr>
    </w:lvl>
    <w:lvl w:ilvl="6" w:tplc="DDF8187C">
      <w:numFmt w:val="bullet"/>
      <w:lvlText w:val="•"/>
      <w:lvlJc w:val="left"/>
      <w:pPr>
        <w:ind w:left="6555" w:hanging="689"/>
      </w:pPr>
      <w:rPr>
        <w:rFonts w:hint="default"/>
        <w:lang w:val="zh-CN" w:eastAsia="zh-CN" w:bidi="zh-CN"/>
      </w:rPr>
    </w:lvl>
    <w:lvl w:ilvl="7" w:tplc="B822729A">
      <w:numFmt w:val="bullet"/>
      <w:lvlText w:val="•"/>
      <w:lvlJc w:val="left"/>
      <w:pPr>
        <w:ind w:left="7578" w:hanging="689"/>
      </w:pPr>
      <w:rPr>
        <w:rFonts w:hint="default"/>
        <w:lang w:val="zh-CN" w:eastAsia="zh-CN" w:bidi="zh-CN"/>
      </w:rPr>
    </w:lvl>
    <w:lvl w:ilvl="8" w:tplc="E9B68170">
      <w:numFmt w:val="bullet"/>
      <w:lvlText w:val="•"/>
      <w:lvlJc w:val="left"/>
      <w:pPr>
        <w:ind w:left="8601" w:hanging="689"/>
      </w:pPr>
      <w:rPr>
        <w:rFonts w:hint="default"/>
        <w:lang w:val="zh-CN" w:eastAsia="zh-CN" w:bidi="zh-CN"/>
      </w:rPr>
    </w:lvl>
  </w:abstractNum>
  <w:abstractNum w:abstractNumId="972" w15:restartNumberingAfterBreak="0">
    <w:nsid w:val="7ED03C89"/>
    <w:multiLevelType w:val="hybridMultilevel"/>
    <w:tmpl w:val="2E40998A"/>
    <w:lvl w:ilvl="0" w:tplc="B6242F66">
      <w:start w:val="5"/>
      <w:numFmt w:val="decimal"/>
      <w:lvlText w:val="%1"/>
      <w:lvlJc w:val="left"/>
      <w:pPr>
        <w:ind w:left="1787" w:hanging="950"/>
        <w:jc w:val="left"/>
      </w:pPr>
      <w:rPr>
        <w:rFonts w:hint="default"/>
        <w:lang w:val="zh-CN" w:eastAsia="zh-CN" w:bidi="zh-CN"/>
      </w:rPr>
    </w:lvl>
    <w:lvl w:ilvl="1" w:tplc="AC8AB72A">
      <w:start w:val="4"/>
      <w:numFmt w:val="decimal"/>
      <w:lvlText w:val="%1.%2"/>
      <w:lvlJc w:val="left"/>
      <w:pPr>
        <w:ind w:left="1787" w:hanging="950"/>
        <w:jc w:val="left"/>
      </w:pPr>
      <w:rPr>
        <w:rFonts w:hint="default"/>
        <w:lang w:val="zh-CN" w:eastAsia="zh-CN" w:bidi="zh-CN"/>
      </w:rPr>
    </w:lvl>
    <w:lvl w:ilvl="2" w:tplc="46DCBBA0">
      <w:start w:val="3"/>
      <w:numFmt w:val="decimal"/>
      <w:lvlText w:val="%1.%2.%3"/>
      <w:lvlJc w:val="left"/>
      <w:pPr>
        <w:ind w:left="1787" w:hanging="950"/>
        <w:jc w:val="left"/>
      </w:pPr>
      <w:rPr>
        <w:rFonts w:hint="default"/>
        <w:lang w:val="zh-CN" w:eastAsia="zh-CN" w:bidi="zh-CN"/>
      </w:rPr>
    </w:lvl>
    <w:lvl w:ilvl="3" w:tplc="96F22964">
      <w:start w:val="1"/>
      <w:numFmt w:val="decimal"/>
      <w:lvlText w:val="%1.%2.%3.%4"/>
      <w:lvlJc w:val="left"/>
      <w:pPr>
        <w:ind w:left="1787" w:hanging="950"/>
        <w:jc w:val="left"/>
      </w:pPr>
      <w:rPr>
        <w:rFonts w:hint="default"/>
        <w:lang w:val="zh-CN" w:eastAsia="zh-CN" w:bidi="zh-CN"/>
      </w:rPr>
    </w:lvl>
    <w:lvl w:ilvl="4" w:tplc="58A07378">
      <w:start w:val="3"/>
      <w:numFmt w:val="decimal"/>
      <w:lvlText w:val="%1.%2.%3.%4.%5"/>
      <w:lvlJc w:val="left"/>
      <w:pPr>
        <w:ind w:left="1787" w:hanging="950"/>
        <w:jc w:val="left"/>
      </w:pPr>
      <w:rPr>
        <w:rFonts w:ascii="宋体" w:eastAsia="宋体" w:hAnsi="宋体" w:cs="宋体" w:hint="default"/>
        <w:spacing w:val="-3"/>
        <w:w w:val="100"/>
        <w:sz w:val="19"/>
        <w:szCs w:val="19"/>
        <w:lang w:val="zh-CN" w:eastAsia="zh-CN" w:bidi="zh-CN"/>
      </w:rPr>
    </w:lvl>
    <w:lvl w:ilvl="5" w:tplc="3168F130">
      <w:numFmt w:val="bullet"/>
      <w:lvlText w:val="•"/>
      <w:lvlJc w:val="left"/>
      <w:pPr>
        <w:ind w:left="6213" w:hanging="950"/>
      </w:pPr>
      <w:rPr>
        <w:rFonts w:hint="default"/>
        <w:lang w:val="zh-CN" w:eastAsia="zh-CN" w:bidi="zh-CN"/>
      </w:rPr>
    </w:lvl>
    <w:lvl w:ilvl="6" w:tplc="714E1A44">
      <w:numFmt w:val="bullet"/>
      <w:lvlText w:val="•"/>
      <w:lvlJc w:val="left"/>
      <w:pPr>
        <w:ind w:left="7099" w:hanging="950"/>
      </w:pPr>
      <w:rPr>
        <w:rFonts w:hint="default"/>
        <w:lang w:val="zh-CN" w:eastAsia="zh-CN" w:bidi="zh-CN"/>
      </w:rPr>
    </w:lvl>
    <w:lvl w:ilvl="7" w:tplc="F33A8062">
      <w:numFmt w:val="bullet"/>
      <w:lvlText w:val="•"/>
      <w:lvlJc w:val="left"/>
      <w:pPr>
        <w:ind w:left="7986" w:hanging="950"/>
      </w:pPr>
      <w:rPr>
        <w:rFonts w:hint="default"/>
        <w:lang w:val="zh-CN" w:eastAsia="zh-CN" w:bidi="zh-CN"/>
      </w:rPr>
    </w:lvl>
    <w:lvl w:ilvl="8" w:tplc="CB228E8A">
      <w:numFmt w:val="bullet"/>
      <w:lvlText w:val="•"/>
      <w:lvlJc w:val="left"/>
      <w:pPr>
        <w:ind w:left="8873" w:hanging="950"/>
      </w:pPr>
      <w:rPr>
        <w:rFonts w:hint="default"/>
        <w:lang w:val="zh-CN" w:eastAsia="zh-CN" w:bidi="zh-CN"/>
      </w:rPr>
    </w:lvl>
  </w:abstractNum>
  <w:abstractNum w:abstractNumId="973" w15:restartNumberingAfterBreak="0">
    <w:nsid w:val="7ED518B7"/>
    <w:multiLevelType w:val="hybridMultilevel"/>
    <w:tmpl w:val="CF8CDDF0"/>
    <w:lvl w:ilvl="0" w:tplc="BC7EAC44">
      <w:start w:val="7"/>
      <w:numFmt w:val="decimal"/>
      <w:lvlText w:val="%1"/>
      <w:lvlJc w:val="left"/>
      <w:pPr>
        <w:ind w:left="1158" w:hanging="318"/>
        <w:jc w:val="left"/>
      </w:pPr>
      <w:rPr>
        <w:rFonts w:hint="default"/>
        <w:lang w:val="zh-CN" w:eastAsia="zh-CN" w:bidi="zh-CN"/>
      </w:rPr>
    </w:lvl>
    <w:lvl w:ilvl="1" w:tplc="3E26B97E">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CF4E6054">
      <w:start w:val="1"/>
      <w:numFmt w:val="decimal"/>
      <w:lvlText w:val="%1.%2.%3"/>
      <w:lvlJc w:val="left"/>
      <w:pPr>
        <w:ind w:left="1369" w:hanging="529"/>
        <w:jc w:val="left"/>
      </w:pPr>
      <w:rPr>
        <w:rFonts w:ascii="宋体" w:eastAsia="宋体" w:hAnsi="宋体" w:cs="宋体" w:hint="default"/>
        <w:b/>
        <w:bCs/>
        <w:w w:val="99"/>
        <w:sz w:val="19"/>
        <w:szCs w:val="19"/>
        <w:lang w:val="zh-CN" w:eastAsia="zh-CN" w:bidi="zh-CN"/>
      </w:rPr>
    </w:lvl>
    <w:lvl w:ilvl="3" w:tplc="CB669D32">
      <w:start w:val="1"/>
      <w:numFmt w:val="decimal"/>
      <w:lvlText w:val="%1.%2.%3.%4"/>
      <w:lvlJc w:val="left"/>
      <w:pPr>
        <w:ind w:left="418" w:hanging="743"/>
        <w:jc w:val="left"/>
      </w:pPr>
      <w:rPr>
        <w:rFonts w:ascii="宋体" w:eastAsia="宋体" w:hAnsi="宋体" w:cs="宋体" w:hint="default"/>
        <w:b/>
        <w:bCs/>
        <w:spacing w:val="-55"/>
        <w:w w:val="99"/>
        <w:sz w:val="19"/>
        <w:szCs w:val="19"/>
        <w:lang w:val="zh-CN" w:eastAsia="zh-CN" w:bidi="zh-CN"/>
      </w:rPr>
    </w:lvl>
    <w:lvl w:ilvl="4" w:tplc="F14C96A8">
      <w:numFmt w:val="bullet"/>
      <w:lvlText w:val="•"/>
      <w:lvlJc w:val="left"/>
      <w:pPr>
        <w:ind w:left="3681" w:hanging="743"/>
      </w:pPr>
      <w:rPr>
        <w:rFonts w:hint="default"/>
        <w:lang w:val="zh-CN" w:eastAsia="zh-CN" w:bidi="zh-CN"/>
      </w:rPr>
    </w:lvl>
    <w:lvl w:ilvl="5" w:tplc="47FC1254">
      <w:numFmt w:val="bullet"/>
      <w:lvlText w:val="•"/>
      <w:lvlJc w:val="left"/>
      <w:pPr>
        <w:ind w:left="4842" w:hanging="743"/>
      </w:pPr>
      <w:rPr>
        <w:rFonts w:hint="default"/>
        <w:lang w:val="zh-CN" w:eastAsia="zh-CN" w:bidi="zh-CN"/>
      </w:rPr>
    </w:lvl>
    <w:lvl w:ilvl="6" w:tplc="6122AC6C">
      <w:numFmt w:val="bullet"/>
      <w:lvlText w:val="•"/>
      <w:lvlJc w:val="left"/>
      <w:pPr>
        <w:ind w:left="6003" w:hanging="743"/>
      </w:pPr>
      <w:rPr>
        <w:rFonts w:hint="default"/>
        <w:lang w:val="zh-CN" w:eastAsia="zh-CN" w:bidi="zh-CN"/>
      </w:rPr>
    </w:lvl>
    <w:lvl w:ilvl="7" w:tplc="4F26D99A">
      <w:numFmt w:val="bullet"/>
      <w:lvlText w:val="•"/>
      <w:lvlJc w:val="left"/>
      <w:pPr>
        <w:ind w:left="7164" w:hanging="743"/>
      </w:pPr>
      <w:rPr>
        <w:rFonts w:hint="default"/>
        <w:lang w:val="zh-CN" w:eastAsia="zh-CN" w:bidi="zh-CN"/>
      </w:rPr>
    </w:lvl>
    <w:lvl w:ilvl="8" w:tplc="7460F320">
      <w:numFmt w:val="bullet"/>
      <w:lvlText w:val="•"/>
      <w:lvlJc w:val="left"/>
      <w:pPr>
        <w:ind w:left="8324" w:hanging="743"/>
      </w:pPr>
      <w:rPr>
        <w:rFonts w:hint="default"/>
        <w:lang w:val="zh-CN" w:eastAsia="zh-CN" w:bidi="zh-CN"/>
      </w:rPr>
    </w:lvl>
  </w:abstractNum>
  <w:abstractNum w:abstractNumId="974" w15:restartNumberingAfterBreak="0">
    <w:nsid w:val="7EE60E53"/>
    <w:multiLevelType w:val="hybridMultilevel"/>
    <w:tmpl w:val="657E10B2"/>
    <w:lvl w:ilvl="0" w:tplc="037C2322">
      <w:start w:val="5"/>
      <w:numFmt w:val="decimal"/>
      <w:lvlText w:val="%1"/>
      <w:lvlJc w:val="left"/>
      <w:pPr>
        <w:ind w:left="1158" w:hanging="318"/>
        <w:jc w:val="left"/>
      </w:pPr>
      <w:rPr>
        <w:rFonts w:hint="default"/>
        <w:lang w:val="zh-CN" w:eastAsia="zh-CN" w:bidi="zh-CN"/>
      </w:rPr>
    </w:lvl>
    <w:lvl w:ilvl="1" w:tplc="2578EAB2">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2DF8DB32">
      <w:start w:val="1"/>
      <w:numFmt w:val="decimal"/>
      <w:lvlText w:val="%1.%2.%3"/>
      <w:lvlJc w:val="left"/>
      <w:pPr>
        <w:ind w:left="418" w:hanging="529"/>
        <w:jc w:val="left"/>
      </w:pPr>
      <w:rPr>
        <w:rFonts w:ascii="宋体" w:eastAsia="宋体" w:hAnsi="宋体" w:cs="宋体" w:hint="default"/>
        <w:b/>
        <w:bCs/>
        <w:w w:val="99"/>
        <w:sz w:val="19"/>
        <w:szCs w:val="19"/>
        <w:lang w:val="zh-CN" w:eastAsia="zh-CN" w:bidi="zh-CN"/>
      </w:rPr>
    </w:lvl>
    <w:lvl w:ilvl="3" w:tplc="9B3E242C">
      <w:numFmt w:val="bullet"/>
      <w:lvlText w:val="•"/>
      <w:lvlJc w:val="left"/>
      <w:pPr>
        <w:ind w:left="3268" w:hanging="529"/>
      </w:pPr>
      <w:rPr>
        <w:rFonts w:hint="default"/>
        <w:lang w:val="zh-CN" w:eastAsia="zh-CN" w:bidi="zh-CN"/>
      </w:rPr>
    </w:lvl>
    <w:lvl w:ilvl="4" w:tplc="276003DE">
      <w:numFmt w:val="bullet"/>
      <w:lvlText w:val="•"/>
      <w:lvlJc w:val="left"/>
      <w:pPr>
        <w:ind w:left="4322" w:hanging="529"/>
      </w:pPr>
      <w:rPr>
        <w:rFonts w:hint="default"/>
        <w:lang w:val="zh-CN" w:eastAsia="zh-CN" w:bidi="zh-CN"/>
      </w:rPr>
    </w:lvl>
    <w:lvl w:ilvl="5" w:tplc="B420AAC0">
      <w:numFmt w:val="bullet"/>
      <w:lvlText w:val="•"/>
      <w:lvlJc w:val="left"/>
      <w:pPr>
        <w:ind w:left="5376" w:hanging="529"/>
      </w:pPr>
      <w:rPr>
        <w:rFonts w:hint="default"/>
        <w:lang w:val="zh-CN" w:eastAsia="zh-CN" w:bidi="zh-CN"/>
      </w:rPr>
    </w:lvl>
    <w:lvl w:ilvl="6" w:tplc="3532366C">
      <w:numFmt w:val="bullet"/>
      <w:lvlText w:val="•"/>
      <w:lvlJc w:val="left"/>
      <w:pPr>
        <w:ind w:left="6430" w:hanging="529"/>
      </w:pPr>
      <w:rPr>
        <w:rFonts w:hint="default"/>
        <w:lang w:val="zh-CN" w:eastAsia="zh-CN" w:bidi="zh-CN"/>
      </w:rPr>
    </w:lvl>
    <w:lvl w:ilvl="7" w:tplc="57280D1A">
      <w:numFmt w:val="bullet"/>
      <w:lvlText w:val="•"/>
      <w:lvlJc w:val="left"/>
      <w:pPr>
        <w:ind w:left="7484" w:hanging="529"/>
      </w:pPr>
      <w:rPr>
        <w:rFonts w:hint="default"/>
        <w:lang w:val="zh-CN" w:eastAsia="zh-CN" w:bidi="zh-CN"/>
      </w:rPr>
    </w:lvl>
    <w:lvl w:ilvl="8" w:tplc="2348D0FE">
      <w:numFmt w:val="bullet"/>
      <w:lvlText w:val="•"/>
      <w:lvlJc w:val="left"/>
      <w:pPr>
        <w:ind w:left="8538" w:hanging="529"/>
      </w:pPr>
      <w:rPr>
        <w:rFonts w:hint="default"/>
        <w:lang w:val="zh-CN" w:eastAsia="zh-CN" w:bidi="zh-CN"/>
      </w:rPr>
    </w:lvl>
  </w:abstractNum>
  <w:abstractNum w:abstractNumId="975" w15:restartNumberingAfterBreak="0">
    <w:nsid w:val="7F1517F9"/>
    <w:multiLevelType w:val="hybridMultilevel"/>
    <w:tmpl w:val="C02E4918"/>
    <w:lvl w:ilvl="0" w:tplc="80FA7F2A">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050267D8">
      <w:numFmt w:val="bullet"/>
      <w:lvlText w:val="•"/>
      <w:lvlJc w:val="left"/>
      <w:pPr>
        <w:ind w:left="2288" w:hanging="529"/>
      </w:pPr>
      <w:rPr>
        <w:rFonts w:hint="default"/>
        <w:lang w:val="zh-CN" w:eastAsia="zh-CN" w:bidi="zh-CN"/>
      </w:rPr>
    </w:lvl>
    <w:lvl w:ilvl="2" w:tplc="6902109E">
      <w:numFmt w:val="bullet"/>
      <w:lvlText w:val="•"/>
      <w:lvlJc w:val="left"/>
      <w:pPr>
        <w:ind w:left="3217" w:hanging="529"/>
      </w:pPr>
      <w:rPr>
        <w:rFonts w:hint="default"/>
        <w:lang w:val="zh-CN" w:eastAsia="zh-CN" w:bidi="zh-CN"/>
      </w:rPr>
    </w:lvl>
    <w:lvl w:ilvl="3" w:tplc="DEA871FC">
      <w:numFmt w:val="bullet"/>
      <w:lvlText w:val="•"/>
      <w:lvlJc w:val="left"/>
      <w:pPr>
        <w:ind w:left="4145" w:hanging="529"/>
      </w:pPr>
      <w:rPr>
        <w:rFonts w:hint="default"/>
        <w:lang w:val="zh-CN" w:eastAsia="zh-CN" w:bidi="zh-CN"/>
      </w:rPr>
    </w:lvl>
    <w:lvl w:ilvl="4" w:tplc="51E8946A">
      <w:numFmt w:val="bullet"/>
      <w:lvlText w:val="•"/>
      <w:lvlJc w:val="left"/>
      <w:pPr>
        <w:ind w:left="5074" w:hanging="529"/>
      </w:pPr>
      <w:rPr>
        <w:rFonts w:hint="default"/>
        <w:lang w:val="zh-CN" w:eastAsia="zh-CN" w:bidi="zh-CN"/>
      </w:rPr>
    </w:lvl>
    <w:lvl w:ilvl="5" w:tplc="1CD0D334">
      <w:numFmt w:val="bullet"/>
      <w:lvlText w:val="•"/>
      <w:lvlJc w:val="left"/>
      <w:pPr>
        <w:ind w:left="6003" w:hanging="529"/>
      </w:pPr>
      <w:rPr>
        <w:rFonts w:hint="default"/>
        <w:lang w:val="zh-CN" w:eastAsia="zh-CN" w:bidi="zh-CN"/>
      </w:rPr>
    </w:lvl>
    <w:lvl w:ilvl="6" w:tplc="0D2EF0C0">
      <w:numFmt w:val="bullet"/>
      <w:lvlText w:val="•"/>
      <w:lvlJc w:val="left"/>
      <w:pPr>
        <w:ind w:left="6931" w:hanging="529"/>
      </w:pPr>
      <w:rPr>
        <w:rFonts w:hint="default"/>
        <w:lang w:val="zh-CN" w:eastAsia="zh-CN" w:bidi="zh-CN"/>
      </w:rPr>
    </w:lvl>
    <w:lvl w:ilvl="7" w:tplc="81CE6286">
      <w:numFmt w:val="bullet"/>
      <w:lvlText w:val="•"/>
      <w:lvlJc w:val="left"/>
      <w:pPr>
        <w:ind w:left="7860" w:hanging="529"/>
      </w:pPr>
      <w:rPr>
        <w:rFonts w:hint="default"/>
        <w:lang w:val="zh-CN" w:eastAsia="zh-CN" w:bidi="zh-CN"/>
      </w:rPr>
    </w:lvl>
    <w:lvl w:ilvl="8" w:tplc="18F261A4">
      <w:numFmt w:val="bullet"/>
      <w:lvlText w:val="•"/>
      <w:lvlJc w:val="left"/>
      <w:pPr>
        <w:ind w:left="8789" w:hanging="529"/>
      </w:pPr>
      <w:rPr>
        <w:rFonts w:hint="default"/>
        <w:lang w:val="zh-CN" w:eastAsia="zh-CN" w:bidi="zh-CN"/>
      </w:rPr>
    </w:lvl>
  </w:abstractNum>
  <w:abstractNum w:abstractNumId="976" w15:restartNumberingAfterBreak="0">
    <w:nsid w:val="7F220D0F"/>
    <w:multiLevelType w:val="hybridMultilevel"/>
    <w:tmpl w:val="366C55F6"/>
    <w:lvl w:ilvl="0" w:tplc="38B27A2C">
      <w:start w:val="5"/>
      <w:numFmt w:val="decimal"/>
      <w:lvlText w:val="%1"/>
      <w:lvlJc w:val="left"/>
      <w:pPr>
        <w:ind w:left="1158" w:hanging="318"/>
        <w:jc w:val="left"/>
      </w:pPr>
      <w:rPr>
        <w:rFonts w:hint="default"/>
        <w:lang w:val="zh-CN" w:eastAsia="zh-CN" w:bidi="zh-CN"/>
      </w:rPr>
    </w:lvl>
    <w:lvl w:ilvl="1" w:tplc="721E7C2A">
      <w:start w:val="1"/>
      <w:numFmt w:val="decimal"/>
      <w:lvlText w:val="%1.%2"/>
      <w:lvlJc w:val="left"/>
      <w:pPr>
        <w:ind w:left="1158" w:hanging="318"/>
        <w:jc w:val="left"/>
      </w:pPr>
      <w:rPr>
        <w:rFonts w:ascii="宋体" w:eastAsia="宋体" w:hAnsi="宋体" w:cs="宋体" w:hint="default"/>
        <w:b/>
        <w:bCs/>
        <w:w w:val="99"/>
        <w:sz w:val="19"/>
        <w:szCs w:val="19"/>
        <w:lang w:val="zh-CN" w:eastAsia="zh-CN" w:bidi="zh-CN"/>
      </w:rPr>
    </w:lvl>
    <w:lvl w:ilvl="2" w:tplc="F2541464">
      <w:start w:val="1"/>
      <w:numFmt w:val="decimal"/>
      <w:lvlText w:val="%1.%2.%3"/>
      <w:lvlJc w:val="left"/>
      <w:pPr>
        <w:ind w:left="418" w:hanging="531"/>
        <w:jc w:val="left"/>
      </w:pPr>
      <w:rPr>
        <w:rFonts w:ascii="宋体" w:eastAsia="宋体" w:hAnsi="宋体" w:cs="宋体" w:hint="default"/>
        <w:b/>
        <w:bCs/>
        <w:w w:val="99"/>
        <w:sz w:val="19"/>
        <w:szCs w:val="19"/>
        <w:lang w:val="zh-CN" w:eastAsia="zh-CN" w:bidi="zh-CN"/>
      </w:rPr>
    </w:lvl>
    <w:lvl w:ilvl="3" w:tplc="88D4BF62">
      <w:numFmt w:val="bullet"/>
      <w:lvlText w:val="•"/>
      <w:lvlJc w:val="left"/>
      <w:pPr>
        <w:ind w:left="2538" w:hanging="531"/>
      </w:pPr>
      <w:rPr>
        <w:rFonts w:hint="default"/>
        <w:lang w:val="zh-CN" w:eastAsia="zh-CN" w:bidi="zh-CN"/>
      </w:rPr>
    </w:lvl>
    <w:lvl w:ilvl="4" w:tplc="877AC866">
      <w:numFmt w:val="bullet"/>
      <w:lvlText w:val="•"/>
      <w:lvlJc w:val="left"/>
      <w:pPr>
        <w:ind w:left="3696" w:hanging="531"/>
      </w:pPr>
      <w:rPr>
        <w:rFonts w:hint="default"/>
        <w:lang w:val="zh-CN" w:eastAsia="zh-CN" w:bidi="zh-CN"/>
      </w:rPr>
    </w:lvl>
    <w:lvl w:ilvl="5" w:tplc="9FE225BE">
      <w:numFmt w:val="bullet"/>
      <w:lvlText w:val="•"/>
      <w:lvlJc w:val="left"/>
      <w:pPr>
        <w:ind w:left="4854" w:hanging="531"/>
      </w:pPr>
      <w:rPr>
        <w:rFonts w:hint="default"/>
        <w:lang w:val="zh-CN" w:eastAsia="zh-CN" w:bidi="zh-CN"/>
      </w:rPr>
    </w:lvl>
    <w:lvl w:ilvl="6" w:tplc="4996524E">
      <w:numFmt w:val="bullet"/>
      <w:lvlText w:val="•"/>
      <w:lvlJc w:val="left"/>
      <w:pPr>
        <w:ind w:left="6013" w:hanging="531"/>
      </w:pPr>
      <w:rPr>
        <w:rFonts w:hint="default"/>
        <w:lang w:val="zh-CN" w:eastAsia="zh-CN" w:bidi="zh-CN"/>
      </w:rPr>
    </w:lvl>
    <w:lvl w:ilvl="7" w:tplc="CC0A11BA">
      <w:numFmt w:val="bullet"/>
      <w:lvlText w:val="•"/>
      <w:lvlJc w:val="left"/>
      <w:pPr>
        <w:ind w:left="7171" w:hanging="531"/>
      </w:pPr>
      <w:rPr>
        <w:rFonts w:hint="default"/>
        <w:lang w:val="zh-CN" w:eastAsia="zh-CN" w:bidi="zh-CN"/>
      </w:rPr>
    </w:lvl>
    <w:lvl w:ilvl="8" w:tplc="54747914">
      <w:numFmt w:val="bullet"/>
      <w:lvlText w:val="•"/>
      <w:lvlJc w:val="left"/>
      <w:pPr>
        <w:ind w:left="8329" w:hanging="531"/>
      </w:pPr>
      <w:rPr>
        <w:rFonts w:hint="default"/>
        <w:lang w:val="zh-CN" w:eastAsia="zh-CN" w:bidi="zh-CN"/>
      </w:rPr>
    </w:lvl>
  </w:abstractNum>
  <w:abstractNum w:abstractNumId="977" w15:restartNumberingAfterBreak="0">
    <w:nsid w:val="7F2F0765"/>
    <w:multiLevelType w:val="hybridMultilevel"/>
    <w:tmpl w:val="D3A4F980"/>
    <w:lvl w:ilvl="0" w:tplc="2AAA0984">
      <w:start w:val="6"/>
      <w:numFmt w:val="decimal"/>
      <w:lvlText w:val="%1"/>
      <w:lvlJc w:val="left"/>
      <w:pPr>
        <w:ind w:left="1159" w:hanging="320"/>
        <w:jc w:val="left"/>
      </w:pPr>
      <w:rPr>
        <w:rFonts w:hint="default"/>
        <w:lang w:val="zh-CN" w:eastAsia="zh-CN" w:bidi="zh-CN"/>
      </w:rPr>
    </w:lvl>
    <w:lvl w:ilvl="1" w:tplc="4ED6C6CE">
      <w:start w:val="4"/>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50D68ED8">
      <w:start w:val="1"/>
      <w:numFmt w:val="decimal"/>
      <w:lvlText w:val="%1.%2.%3"/>
      <w:lvlJc w:val="left"/>
      <w:pPr>
        <w:ind w:left="1369" w:hanging="529"/>
        <w:jc w:val="left"/>
      </w:pPr>
      <w:rPr>
        <w:rFonts w:ascii="宋体" w:eastAsia="宋体" w:hAnsi="宋体" w:cs="宋体" w:hint="default"/>
        <w:b/>
        <w:bCs/>
        <w:color w:val="333333"/>
        <w:w w:val="99"/>
        <w:sz w:val="19"/>
        <w:szCs w:val="19"/>
        <w:lang w:val="zh-CN" w:eastAsia="zh-CN" w:bidi="zh-CN"/>
      </w:rPr>
    </w:lvl>
    <w:lvl w:ilvl="3" w:tplc="923A52E8">
      <w:numFmt w:val="bullet"/>
      <w:lvlText w:val="•"/>
      <w:lvlJc w:val="left"/>
      <w:pPr>
        <w:ind w:left="3423" w:hanging="529"/>
      </w:pPr>
      <w:rPr>
        <w:rFonts w:hint="default"/>
        <w:lang w:val="zh-CN" w:eastAsia="zh-CN" w:bidi="zh-CN"/>
      </w:rPr>
    </w:lvl>
    <w:lvl w:ilvl="4" w:tplc="ED4C11EA">
      <w:numFmt w:val="bullet"/>
      <w:lvlText w:val="•"/>
      <w:lvlJc w:val="left"/>
      <w:pPr>
        <w:ind w:left="4455" w:hanging="529"/>
      </w:pPr>
      <w:rPr>
        <w:rFonts w:hint="default"/>
        <w:lang w:val="zh-CN" w:eastAsia="zh-CN" w:bidi="zh-CN"/>
      </w:rPr>
    </w:lvl>
    <w:lvl w:ilvl="5" w:tplc="B226CA90">
      <w:numFmt w:val="bullet"/>
      <w:lvlText w:val="•"/>
      <w:lvlJc w:val="left"/>
      <w:pPr>
        <w:ind w:left="5487" w:hanging="529"/>
      </w:pPr>
      <w:rPr>
        <w:rFonts w:hint="default"/>
        <w:lang w:val="zh-CN" w:eastAsia="zh-CN" w:bidi="zh-CN"/>
      </w:rPr>
    </w:lvl>
    <w:lvl w:ilvl="6" w:tplc="8932D7D2">
      <w:numFmt w:val="bullet"/>
      <w:lvlText w:val="•"/>
      <w:lvlJc w:val="left"/>
      <w:pPr>
        <w:ind w:left="6519" w:hanging="529"/>
      </w:pPr>
      <w:rPr>
        <w:rFonts w:hint="default"/>
        <w:lang w:val="zh-CN" w:eastAsia="zh-CN" w:bidi="zh-CN"/>
      </w:rPr>
    </w:lvl>
    <w:lvl w:ilvl="7" w:tplc="2E4C9C28">
      <w:numFmt w:val="bullet"/>
      <w:lvlText w:val="•"/>
      <w:lvlJc w:val="left"/>
      <w:pPr>
        <w:ind w:left="7550" w:hanging="529"/>
      </w:pPr>
      <w:rPr>
        <w:rFonts w:hint="default"/>
        <w:lang w:val="zh-CN" w:eastAsia="zh-CN" w:bidi="zh-CN"/>
      </w:rPr>
    </w:lvl>
    <w:lvl w:ilvl="8" w:tplc="4EF0E480">
      <w:numFmt w:val="bullet"/>
      <w:lvlText w:val="•"/>
      <w:lvlJc w:val="left"/>
      <w:pPr>
        <w:ind w:left="8582" w:hanging="529"/>
      </w:pPr>
      <w:rPr>
        <w:rFonts w:hint="default"/>
        <w:lang w:val="zh-CN" w:eastAsia="zh-CN" w:bidi="zh-CN"/>
      </w:rPr>
    </w:lvl>
  </w:abstractNum>
  <w:abstractNum w:abstractNumId="978" w15:restartNumberingAfterBreak="0">
    <w:nsid w:val="7F3C6FB5"/>
    <w:multiLevelType w:val="hybridMultilevel"/>
    <w:tmpl w:val="63066EC8"/>
    <w:lvl w:ilvl="0" w:tplc="833C219E">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F97A79E4">
      <w:numFmt w:val="bullet"/>
      <w:lvlText w:val="•"/>
      <w:lvlJc w:val="left"/>
      <w:pPr>
        <w:ind w:left="2288" w:hanging="529"/>
      </w:pPr>
      <w:rPr>
        <w:rFonts w:hint="default"/>
        <w:lang w:val="zh-CN" w:eastAsia="zh-CN" w:bidi="zh-CN"/>
      </w:rPr>
    </w:lvl>
    <w:lvl w:ilvl="2" w:tplc="C59C8928">
      <w:numFmt w:val="bullet"/>
      <w:lvlText w:val="•"/>
      <w:lvlJc w:val="left"/>
      <w:pPr>
        <w:ind w:left="3217" w:hanging="529"/>
      </w:pPr>
      <w:rPr>
        <w:rFonts w:hint="default"/>
        <w:lang w:val="zh-CN" w:eastAsia="zh-CN" w:bidi="zh-CN"/>
      </w:rPr>
    </w:lvl>
    <w:lvl w:ilvl="3" w:tplc="3878C680">
      <w:numFmt w:val="bullet"/>
      <w:lvlText w:val="•"/>
      <w:lvlJc w:val="left"/>
      <w:pPr>
        <w:ind w:left="4145" w:hanging="529"/>
      </w:pPr>
      <w:rPr>
        <w:rFonts w:hint="default"/>
        <w:lang w:val="zh-CN" w:eastAsia="zh-CN" w:bidi="zh-CN"/>
      </w:rPr>
    </w:lvl>
    <w:lvl w:ilvl="4" w:tplc="B774506E">
      <w:numFmt w:val="bullet"/>
      <w:lvlText w:val="•"/>
      <w:lvlJc w:val="left"/>
      <w:pPr>
        <w:ind w:left="5074" w:hanging="529"/>
      </w:pPr>
      <w:rPr>
        <w:rFonts w:hint="default"/>
        <w:lang w:val="zh-CN" w:eastAsia="zh-CN" w:bidi="zh-CN"/>
      </w:rPr>
    </w:lvl>
    <w:lvl w:ilvl="5" w:tplc="DDE425F0">
      <w:numFmt w:val="bullet"/>
      <w:lvlText w:val="•"/>
      <w:lvlJc w:val="left"/>
      <w:pPr>
        <w:ind w:left="6003" w:hanging="529"/>
      </w:pPr>
      <w:rPr>
        <w:rFonts w:hint="default"/>
        <w:lang w:val="zh-CN" w:eastAsia="zh-CN" w:bidi="zh-CN"/>
      </w:rPr>
    </w:lvl>
    <w:lvl w:ilvl="6" w:tplc="CA9EA6B0">
      <w:numFmt w:val="bullet"/>
      <w:lvlText w:val="•"/>
      <w:lvlJc w:val="left"/>
      <w:pPr>
        <w:ind w:left="6931" w:hanging="529"/>
      </w:pPr>
      <w:rPr>
        <w:rFonts w:hint="default"/>
        <w:lang w:val="zh-CN" w:eastAsia="zh-CN" w:bidi="zh-CN"/>
      </w:rPr>
    </w:lvl>
    <w:lvl w:ilvl="7" w:tplc="61043656">
      <w:numFmt w:val="bullet"/>
      <w:lvlText w:val="•"/>
      <w:lvlJc w:val="left"/>
      <w:pPr>
        <w:ind w:left="7860" w:hanging="529"/>
      </w:pPr>
      <w:rPr>
        <w:rFonts w:hint="default"/>
        <w:lang w:val="zh-CN" w:eastAsia="zh-CN" w:bidi="zh-CN"/>
      </w:rPr>
    </w:lvl>
    <w:lvl w:ilvl="8" w:tplc="118C9E12">
      <w:numFmt w:val="bullet"/>
      <w:lvlText w:val="•"/>
      <w:lvlJc w:val="left"/>
      <w:pPr>
        <w:ind w:left="8789" w:hanging="529"/>
      </w:pPr>
      <w:rPr>
        <w:rFonts w:hint="default"/>
        <w:lang w:val="zh-CN" w:eastAsia="zh-CN" w:bidi="zh-CN"/>
      </w:rPr>
    </w:lvl>
  </w:abstractNum>
  <w:abstractNum w:abstractNumId="979" w15:restartNumberingAfterBreak="0">
    <w:nsid w:val="7F437DC4"/>
    <w:multiLevelType w:val="hybridMultilevel"/>
    <w:tmpl w:val="201E8C6E"/>
    <w:lvl w:ilvl="0" w:tplc="EA1CBF12">
      <w:start w:val="8"/>
      <w:numFmt w:val="decimal"/>
      <w:lvlText w:val="%1"/>
      <w:lvlJc w:val="left"/>
      <w:pPr>
        <w:ind w:left="1159" w:hanging="320"/>
        <w:jc w:val="left"/>
      </w:pPr>
      <w:rPr>
        <w:rFonts w:hint="default"/>
        <w:lang w:val="zh-CN" w:eastAsia="zh-CN" w:bidi="zh-CN"/>
      </w:rPr>
    </w:lvl>
    <w:lvl w:ilvl="1" w:tplc="A420DC42">
      <w:start w:val="1"/>
      <w:numFmt w:val="decimal"/>
      <w:lvlText w:val="%1.%2"/>
      <w:lvlJc w:val="left"/>
      <w:pPr>
        <w:ind w:left="1159" w:hanging="320"/>
        <w:jc w:val="left"/>
      </w:pPr>
      <w:rPr>
        <w:rFonts w:ascii="宋体" w:eastAsia="宋体" w:hAnsi="宋体" w:cs="宋体" w:hint="default"/>
        <w:b/>
        <w:bCs/>
        <w:w w:val="99"/>
        <w:sz w:val="19"/>
        <w:szCs w:val="19"/>
        <w:lang w:val="zh-CN" w:eastAsia="zh-CN" w:bidi="zh-CN"/>
      </w:rPr>
    </w:lvl>
    <w:lvl w:ilvl="2" w:tplc="5E8C8D94">
      <w:start w:val="1"/>
      <w:numFmt w:val="decimal"/>
      <w:lvlText w:val="%1.%2.%3"/>
      <w:lvlJc w:val="left"/>
      <w:pPr>
        <w:ind w:left="1423" w:hanging="584"/>
        <w:jc w:val="left"/>
      </w:pPr>
      <w:rPr>
        <w:rFonts w:ascii="宋体" w:eastAsia="宋体" w:hAnsi="宋体" w:cs="宋体" w:hint="default"/>
        <w:b/>
        <w:bCs/>
        <w:w w:val="99"/>
        <w:sz w:val="21"/>
        <w:szCs w:val="21"/>
        <w:lang w:val="zh-CN" w:eastAsia="zh-CN" w:bidi="zh-CN"/>
      </w:rPr>
    </w:lvl>
    <w:lvl w:ilvl="3" w:tplc="D39A39CC">
      <w:numFmt w:val="bullet"/>
      <w:lvlText w:val="•"/>
      <w:lvlJc w:val="left"/>
      <w:pPr>
        <w:ind w:left="2573" w:hanging="584"/>
      </w:pPr>
      <w:rPr>
        <w:rFonts w:hint="default"/>
        <w:lang w:val="zh-CN" w:eastAsia="zh-CN" w:bidi="zh-CN"/>
      </w:rPr>
    </w:lvl>
    <w:lvl w:ilvl="4" w:tplc="928A5AC2">
      <w:numFmt w:val="bullet"/>
      <w:lvlText w:val="•"/>
      <w:lvlJc w:val="left"/>
      <w:pPr>
        <w:ind w:left="3726" w:hanging="584"/>
      </w:pPr>
      <w:rPr>
        <w:rFonts w:hint="default"/>
        <w:lang w:val="zh-CN" w:eastAsia="zh-CN" w:bidi="zh-CN"/>
      </w:rPr>
    </w:lvl>
    <w:lvl w:ilvl="5" w:tplc="27065F38">
      <w:numFmt w:val="bullet"/>
      <w:lvlText w:val="•"/>
      <w:lvlJc w:val="left"/>
      <w:pPr>
        <w:ind w:left="4879" w:hanging="584"/>
      </w:pPr>
      <w:rPr>
        <w:rFonts w:hint="default"/>
        <w:lang w:val="zh-CN" w:eastAsia="zh-CN" w:bidi="zh-CN"/>
      </w:rPr>
    </w:lvl>
    <w:lvl w:ilvl="6" w:tplc="6B144784">
      <w:numFmt w:val="bullet"/>
      <w:lvlText w:val="•"/>
      <w:lvlJc w:val="left"/>
      <w:pPr>
        <w:ind w:left="6033" w:hanging="584"/>
      </w:pPr>
      <w:rPr>
        <w:rFonts w:hint="default"/>
        <w:lang w:val="zh-CN" w:eastAsia="zh-CN" w:bidi="zh-CN"/>
      </w:rPr>
    </w:lvl>
    <w:lvl w:ilvl="7" w:tplc="1F1CD832">
      <w:numFmt w:val="bullet"/>
      <w:lvlText w:val="•"/>
      <w:lvlJc w:val="left"/>
      <w:pPr>
        <w:ind w:left="7186" w:hanging="584"/>
      </w:pPr>
      <w:rPr>
        <w:rFonts w:hint="default"/>
        <w:lang w:val="zh-CN" w:eastAsia="zh-CN" w:bidi="zh-CN"/>
      </w:rPr>
    </w:lvl>
    <w:lvl w:ilvl="8" w:tplc="96CE057A">
      <w:numFmt w:val="bullet"/>
      <w:lvlText w:val="•"/>
      <w:lvlJc w:val="left"/>
      <w:pPr>
        <w:ind w:left="8339" w:hanging="584"/>
      </w:pPr>
      <w:rPr>
        <w:rFonts w:hint="default"/>
        <w:lang w:val="zh-CN" w:eastAsia="zh-CN" w:bidi="zh-CN"/>
      </w:rPr>
    </w:lvl>
  </w:abstractNum>
  <w:abstractNum w:abstractNumId="980" w15:restartNumberingAfterBreak="0">
    <w:nsid w:val="7F814074"/>
    <w:multiLevelType w:val="hybridMultilevel"/>
    <w:tmpl w:val="B204E96A"/>
    <w:lvl w:ilvl="0" w:tplc="33468A50">
      <w:start w:val="4"/>
      <w:numFmt w:val="decimal"/>
      <w:lvlText w:val="%1"/>
      <w:lvlJc w:val="left"/>
      <w:pPr>
        <w:ind w:left="996" w:hanging="579"/>
        <w:jc w:val="left"/>
      </w:pPr>
      <w:rPr>
        <w:rFonts w:hint="default"/>
        <w:lang w:val="zh-CN" w:eastAsia="zh-CN" w:bidi="zh-CN"/>
      </w:rPr>
    </w:lvl>
    <w:lvl w:ilvl="1" w:tplc="836A0C4C">
      <w:start w:val="2"/>
      <w:numFmt w:val="decimal"/>
      <w:lvlText w:val="%1.%2"/>
      <w:lvlJc w:val="left"/>
      <w:pPr>
        <w:ind w:left="996" w:hanging="579"/>
        <w:jc w:val="left"/>
      </w:pPr>
      <w:rPr>
        <w:rFonts w:hint="default"/>
        <w:lang w:val="zh-CN" w:eastAsia="zh-CN" w:bidi="zh-CN"/>
      </w:rPr>
    </w:lvl>
    <w:lvl w:ilvl="2" w:tplc="300ED96A">
      <w:start w:val="7"/>
      <w:numFmt w:val="decimal"/>
      <w:lvlText w:val="%1.%2.%3"/>
      <w:lvlJc w:val="left"/>
      <w:pPr>
        <w:ind w:left="996" w:hanging="579"/>
        <w:jc w:val="right"/>
      </w:pPr>
      <w:rPr>
        <w:rFonts w:hint="default"/>
        <w:w w:val="100"/>
        <w:lang w:val="zh-CN" w:eastAsia="zh-CN" w:bidi="zh-CN"/>
      </w:rPr>
    </w:lvl>
    <w:lvl w:ilvl="3" w:tplc="46F8EFAA">
      <w:numFmt w:val="bullet"/>
      <w:lvlText w:val="•"/>
      <w:lvlJc w:val="left"/>
      <w:pPr>
        <w:ind w:left="3893" w:hanging="579"/>
      </w:pPr>
      <w:rPr>
        <w:rFonts w:hint="default"/>
        <w:lang w:val="zh-CN" w:eastAsia="zh-CN" w:bidi="zh-CN"/>
      </w:rPr>
    </w:lvl>
    <w:lvl w:ilvl="4" w:tplc="F9D86B2C">
      <w:numFmt w:val="bullet"/>
      <w:lvlText w:val="•"/>
      <w:lvlJc w:val="left"/>
      <w:pPr>
        <w:ind w:left="4858" w:hanging="579"/>
      </w:pPr>
      <w:rPr>
        <w:rFonts w:hint="default"/>
        <w:lang w:val="zh-CN" w:eastAsia="zh-CN" w:bidi="zh-CN"/>
      </w:rPr>
    </w:lvl>
    <w:lvl w:ilvl="5" w:tplc="DDBADDF8">
      <w:numFmt w:val="bullet"/>
      <w:lvlText w:val="•"/>
      <w:lvlJc w:val="left"/>
      <w:pPr>
        <w:ind w:left="5823" w:hanging="579"/>
      </w:pPr>
      <w:rPr>
        <w:rFonts w:hint="default"/>
        <w:lang w:val="zh-CN" w:eastAsia="zh-CN" w:bidi="zh-CN"/>
      </w:rPr>
    </w:lvl>
    <w:lvl w:ilvl="6" w:tplc="0570E678">
      <w:numFmt w:val="bullet"/>
      <w:lvlText w:val="•"/>
      <w:lvlJc w:val="left"/>
      <w:pPr>
        <w:ind w:left="6787" w:hanging="579"/>
      </w:pPr>
      <w:rPr>
        <w:rFonts w:hint="default"/>
        <w:lang w:val="zh-CN" w:eastAsia="zh-CN" w:bidi="zh-CN"/>
      </w:rPr>
    </w:lvl>
    <w:lvl w:ilvl="7" w:tplc="219A6196">
      <w:numFmt w:val="bullet"/>
      <w:lvlText w:val="•"/>
      <w:lvlJc w:val="left"/>
      <w:pPr>
        <w:ind w:left="7752" w:hanging="579"/>
      </w:pPr>
      <w:rPr>
        <w:rFonts w:hint="default"/>
        <w:lang w:val="zh-CN" w:eastAsia="zh-CN" w:bidi="zh-CN"/>
      </w:rPr>
    </w:lvl>
    <w:lvl w:ilvl="8" w:tplc="3EBC01D4">
      <w:numFmt w:val="bullet"/>
      <w:lvlText w:val="•"/>
      <w:lvlJc w:val="left"/>
      <w:pPr>
        <w:ind w:left="8717" w:hanging="579"/>
      </w:pPr>
      <w:rPr>
        <w:rFonts w:hint="default"/>
        <w:lang w:val="zh-CN" w:eastAsia="zh-CN" w:bidi="zh-CN"/>
      </w:rPr>
    </w:lvl>
  </w:abstractNum>
  <w:abstractNum w:abstractNumId="981" w15:restartNumberingAfterBreak="0">
    <w:nsid w:val="7F9B2679"/>
    <w:multiLevelType w:val="hybridMultilevel"/>
    <w:tmpl w:val="59266198"/>
    <w:lvl w:ilvl="0" w:tplc="65422AD0">
      <w:start w:val="2"/>
      <w:numFmt w:val="decimal"/>
      <w:lvlText w:val="%1."/>
      <w:lvlJc w:val="left"/>
      <w:pPr>
        <w:ind w:left="418" w:hanging="213"/>
        <w:jc w:val="left"/>
      </w:pPr>
      <w:rPr>
        <w:rFonts w:hint="default"/>
        <w:spacing w:val="-53"/>
        <w:w w:val="100"/>
        <w:lang w:val="zh-CN" w:eastAsia="zh-CN" w:bidi="zh-CN"/>
      </w:rPr>
    </w:lvl>
    <w:lvl w:ilvl="1" w:tplc="C180DF30">
      <w:numFmt w:val="bullet"/>
      <w:lvlText w:val="•"/>
      <w:lvlJc w:val="left"/>
      <w:pPr>
        <w:ind w:left="1442" w:hanging="213"/>
      </w:pPr>
      <w:rPr>
        <w:rFonts w:hint="default"/>
        <w:lang w:val="zh-CN" w:eastAsia="zh-CN" w:bidi="zh-CN"/>
      </w:rPr>
    </w:lvl>
    <w:lvl w:ilvl="2" w:tplc="EB86144A">
      <w:numFmt w:val="bullet"/>
      <w:lvlText w:val="•"/>
      <w:lvlJc w:val="left"/>
      <w:pPr>
        <w:ind w:left="2465" w:hanging="213"/>
      </w:pPr>
      <w:rPr>
        <w:rFonts w:hint="default"/>
        <w:lang w:val="zh-CN" w:eastAsia="zh-CN" w:bidi="zh-CN"/>
      </w:rPr>
    </w:lvl>
    <w:lvl w:ilvl="3" w:tplc="B9FC8A72">
      <w:numFmt w:val="bullet"/>
      <w:lvlText w:val="•"/>
      <w:lvlJc w:val="left"/>
      <w:pPr>
        <w:ind w:left="3487" w:hanging="213"/>
      </w:pPr>
      <w:rPr>
        <w:rFonts w:hint="default"/>
        <w:lang w:val="zh-CN" w:eastAsia="zh-CN" w:bidi="zh-CN"/>
      </w:rPr>
    </w:lvl>
    <w:lvl w:ilvl="4" w:tplc="BC188FD2">
      <w:numFmt w:val="bullet"/>
      <w:lvlText w:val="•"/>
      <w:lvlJc w:val="left"/>
      <w:pPr>
        <w:ind w:left="4510" w:hanging="213"/>
      </w:pPr>
      <w:rPr>
        <w:rFonts w:hint="default"/>
        <w:lang w:val="zh-CN" w:eastAsia="zh-CN" w:bidi="zh-CN"/>
      </w:rPr>
    </w:lvl>
    <w:lvl w:ilvl="5" w:tplc="FB22140E">
      <w:numFmt w:val="bullet"/>
      <w:lvlText w:val="•"/>
      <w:lvlJc w:val="left"/>
      <w:pPr>
        <w:ind w:left="5533" w:hanging="213"/>
      </w:pPr>
      <w:rPr>
        <w:rFonts w:hint="default"/>
        <w:lang w:val="zh-CN" w:eastAsia="zh-CN" w:bidi="zh-CN"/>
      </w:rPr>
    </w:lvl>
    <w:lvl w:ilvl="6" w:tplc="CA2C7C04">
      <w:numFmt w:val="bullet"/>
      <w:lvlText w:val="•"/>
      <w:lvlJc w:val="left"/>
      <w:pPr>
        <w:ind w:left="6555" w:hanging="213"/>
      </w:pPr>
      <w:rPr>
        <w:rFonts w:hint="default"/>
        <w:lang w:val="zh-CN" w:eastAsia="zh-CN" w:bidi="zh-CN"/>
      </w:rPr>
    </w:lvl>
    <w:lvl w:ilvl="7" w:tplc="1CBEF3E4">
      <w:numFmt w:val="bullet"/>
      <w:lvlText w:val="•"/>
      <w:lvlJc w:val="left"/>
      <w:pPr>
        <w:ind w:left="7578" w:hanging="213"/>
      </w:pPr>
      <w:rPr>
        <w:rFonts w:hint="default"/>
        <w:lang w:val="zh-CN" w:eastAsia="zh-CN" w:bidi="zh-CN"/>
      </w:rPr>
    </w:lvl>
    <w:lvl w:ilvl="8" w:tplc="22BCD4F4">
      <w:numFmt w:val="bullet"/>
      <w:lvlText w:val="•"/>
      <w:lvlJc w:val="left"/>
      <w:pPr>
        <w:ind w:left="8601" w:hanging="213"/>
      </w:pPr>
      <w:rPr>
        <w:rFonts w:hint="default"/>
        <w:lang w:val="zh-CN" w:eastAsia="zh-CN" w:bidi="zh-CN"/>
      </w:rPr>
    </w:lvl>
  </w:abstractNum>
  <w:abstractNum w:abstractNumId="982" w15:restartNumberingAfterBreak="0">
    <w:nsid w:val="7FAD5390"/>
    <w:multiLevelType w:val="hybridMultilevel"/>
    <w:tmpl w:val="E1EA8E9A"/>
    <w:lvl w:ilvl="0" w:tplc="4D1459D8">
      <w:start w:val="5"/>
      <w:numFmt w:val="decimal"/>
      <w:lvlText w:val="%1"/>
      <w:lvlJc w:val="left"/>
      <w:pPr>
        <w:ind w:left="418" w:hanging="637"/>
        <w:jc w:val="left"/>
      </w:pPr>
      <w:rPr>
        <w:rFonts w:hint="default"/>
        <w:lang w:val="zh-CN" w:eastAsia="zh-CN" w:bidi="zh-CN"/>
      </w:rPr>
    </w:lvl>
    <w:lvl w:ilvl="1" w:tplc="1AFCB578">
      <w:start w:val="13"/>
      <w:numFmt w:val="decimal"/>
      <w:lvlText w:val="%1.%2"/>
      <w:lvlJc w:val="left"/>
      <w:pPr>
        <w:ind w:left="418" w:hanging="637"/>
        <w:jc w:val="left"/>
      </w:pPr>
      <w:rPr>
        <w:rFonts w:hint="default"/>
        <w:lang w:val="zh-CN" w:eastAsia="zh-CN" w:bidi="zh-CN"/>
      </w:rPr>
    </w:lvl>
    <w:lvl w:ilvl="2" w:tplc="2EACE8F6">
      <w:start w:val="1"/>
      <w:numFmt w:val="decimal"/>
      <w:lvlText w:val="%1.%2.%3"/>
      <w:lvlJc w:val="left"/>
      <w:pPr>
        <w:ind w:left="418" w:hanging="637"/>
        <w:jc w:val="left"/>
      </w:pPr>
      <w:rPr>
        <w:rFonts w:ascii="宋体" w:eastAsia="宋体" w:hAnsi="宋体" w:cs="宋体" w:hint="default"/>
        <w:b/>
        <w:bCs/>
        <w:w w:val="99"/>
        <w:sz w:val="19"/>
        <w:szCs w:val="19"/>
        <w:lang w:val="zh-CN" w:eastAsia="zh-CN" w:bidi="zh-CN"/>
      </w:rPr>
    </w:lvl>
    <w:lvl w:ilvl="3" w:tplc="C8AC0C72">
      <w:numFmt w:val="bullet"/>
      <w:lvlText w:val="•"/>
      <w:lvlJc w:val="left"/>
      <w:pPr>
        <w:ind w:left="3487" w:hanging="637"/>
      </w:pPr>
      <w:rPr>
        <w:rFonts w:hint="default"/>
        <w:lang w:val="zh-CN" w:eastAsia="zh-CN" w:bidi="zh-CN"/>
      </w:rPr>
    </w:lvl>
    <w:lvl w:ilvl="4" w:tplc="D2CC5F7E">
      <w:numFmt w:val="bullet"/>
      <w:lvlText w:val="•"/>
      <w:lvlJc w:val="left"/>
      <w:pPr>
        <w:ind w:left="4510" w:hanging="637"/>
      </w:pPr>
      <w:rPr>
        <w:rFonts w:hint="default"/>
        <w:lang w:val="zh-CN" w:eastAsia="zh-CN" w:bidi="zh-CN"/>
      </w:rPr>
    </w:lvl>
    <w:lvl w:ilvl="5" w:tplc="F9A26014">
      <w:numFmt w:val="bullet"/>
      <w:lvlText w:val="•"/>
      <w:lvlJc w:val="left"/>
      <w:pPr>
        <w:ind w:left="5533" w:hanging="637"/>
      </w:pPr>
      <w:rPr>
        <w:rFonts w:hint="default"/>
        <w:lang w:val="zh-CN" w:eastAsia="zh-CN" w:bidi="zh-CN"/>
      </w:rPr>
    </w:lvl>
    <w:lvl w:ilvl="6" w:tplc="484048DA">
      <w:numFmt w:val="bullet"/>
      <w:lvlText w:val="•"/>
      <w:lvlJc w:val="left"/>
      <w:pPr>
        <w:ind w:left="6555" w:hanging="637"/>
      </w:pPr>
      <w:rPr>
        <w:rFonts w:hint="default"/>
        <w:lang w:val="zh-CN" w:eastAsia="zh-CN" w:bidi="zh-CN"/>
      </w:rPr>
    </w:lvl>
    <w:lvl w:ilvl="7" w:tplc="5BEA8B24">
      <w:numFmt w:val="bullet"/>
      <w:lvlText w:val="•"/>
      <w:lvlJc w:val="left"/>
      <w:pPr>
        <w:ind w:left="7578" w:hanging="637"/>
      </w:pPr>
      <w:rPr>
        <w:rFonts w:hint="default"/>
        <w:lang w:val="zh-CN" w:eastAsia="zh-CN" w:bidi="zh-CN"/>
      </w:rPr>
    </w:lvl>
    <w:lvl w:ilvl="8" w:tplc="8EBC49B0">
      <w:numFmt w:val="bullet"/>
      <w:lvlText w:val="•"/>
      <w:lvlJc w:val="left"/>
      <w:pPr>
        <w:ind w:left="8601" w:hanging="637"/>
      </w:pPr>
      <w:rPr>
        <w:rFonts w:hint="default"/>
        <w:lang w:val="zh-CN" w:eastAsia="zh-CN" w:bidi="zh-CN"/>
      </w:rPr>
    </w:lvl>
  </w:abstractNum>
  <w:abstractNum w:abstractNumId="983" w15:restartNumberingAfterBreak="0">
    <w:nsid w:val="7FCA4841"/>
    <w:multiLevelType w:val="hybridMultilevel"/>
    <w:tmpl w:val="64C8A2A4"/>
    <w:lvl w:ilvl="0" w:tplc="14DA4460">
      <w:start w:val="1"/>
      <w:numFmt w:val="decimal"/>
      <w:lvlText w:val="（%1）"/>
      <w:lvlJc w:val="left"/>
      <w:pPr>
        <w:ind w:left="1367" w:hanging="529"/>
        <w:jc w:val="left"/>
      </w:pPr>
      <w:rPr>
        <w:rFonts w:ascii="宋体" w:eastAsia="宋体" w:hAnsi="宋体" w:cs="宋体" w:hint="default"/>
        <w:w w:val="100"/>
        <w:sz w:val="19"/>
        <w:szCs w:val="19"/>
        <w:lang w:val="zh-CN" w:eastAsia="zh-CN" w:bidi="zh-CN"/>
      </w:rPr>
    </w:lvl>
    <w:lvl w:ilvl="1" w:tplc="6B529BF0">
      <w:numFmt w:val="bullet"/>
      <w:lvlText w:val="•"/>
      <w:lvlJc w:val="left"/>
      <w:pPr>
        <w:ind w:left="2288" w:hanging="529"/>
      </w:pPr>
      <w:rPr>
        <w:rFonts w:hint="default"/>
        <w:lang w:val="zh-CN" w:eastAsia="zh-CN" w:bidi="zh-CN"/>
      </w:rPr>
    </w:lvl>
    <w:lvl w:ilvl="2" w:tplc="ED56B9EC">
      <w:numFmt w:val="bullet"/>
      <w:lvlText w:val="•"/>
      <w:lvlJc w:val="left"/>
      <w:pPr>
        <w:ind w:left="3217" w:hanging="529"/>
      </w:pPr>
      <w:rPr>
        <w:rFonts w:hint="default"/>
        <w:lang w:val="zh-CN" w:eastAsia="zh-CN" w:bidi="zh-CN"/>
      </w:rPr>
    </w:lvl>
    <w:lvl w:ilvl="3" w:tplc="21E015F6">
      <w:numFmt w:val="bullet"/>
      <w:lvlText w:val="•"/>
      <w:lvlJc w:val="left"/>
      <w:pPr>
        <w:ind w:left="4145" w:hanging="529"/>
      </w:pPr>
      <w:rPr>
        <w:rFonts w:hint="default"/>
        <w:lang w:val="zh-CN" w:eastAsia="zh-CN" w:bidi="zh-CN"/>
      </w:rPr>
    </w:lvl>
    <w:lvl w:ilvl="4" w:tplc="BCFEFEEA">
      <w:numFmt w:val="bullet"/>
      <w:lvlText w:val="•"/>
      <w:lvlJc w:val="left"/>
      <w:pPr>
        <w:ind w:left="5074" w:hanging="529"/>
      </w:pPr>
      <w:rPr>
        <w:rFonts w:hint="default"/>
        <w:lang w:val="zh-CN" w:eastAsia="zh-CN" w:bidi="zh-CN"/>
      </w:rPr>
    </w:lvl>
    <w:lvl w:ilvl="5" w:tplc="F5742A0C">
      <w:numFmt w:val="bullet"/>
      <w:lvlText w:val="•"/>
      <w:lvlJc w:val="left"/>
      <w:pPr>
        <w:ind w:left="6003" w:hanging="529"/>
      </w:pPr>
      <w:rPr>
        <w:rFonts w:hint="default"/>
        <w:lang w:val="zh-CN" w:eastAsia="zh-CN" w:bidi="zh-CN"/>
      </w:rPr>
    </w:lvl>
    <w:lvl w:ilvl="6" w:tplc="8E46A02C">
      <w:numFmt w:val="bullet"/>
      <w:lvlText w:val="•"/>
      <w:lvlJc w:val="left"/>
      <w:pPr>
        <w:ind w:left="6931" w:hanging="529"/>
      </w:pPr>
      <w:rPr>
        <w:rFonts w:hint="default"/>
        <w:lang w:val="zh-CN" w:eastAsia="zh-CN" w:bidi="zh-CN"/>
      </w:rPr>
    </w:lvl>
    <w:lvl w:ilvl="7" w:tplc="5E1815D0">
      <w:numFmt w:val="bullet"/>
      <w:lvlText w:val="•"/>
      <w:lvlJc w:val="left"/>
      <w:pPr>
        <w:ind w:left="7860" w:hanging="529"/>
      </w:pPr>
      <w:rPr>
        <w:rFonts w:hint="default"/>
        <w:lang w:val="zh-CN" w:eastAsia="zh-CN" w:bidi="zh-CN"/>
      </w:rPr>
    </w:lvl>
    <w:lvl w:ilvl="8" w:tplc="515C868E">
      <w:numFmt w:val="bullet"/>
      <w:lvlText w:val="•"/>
      <w:lvlJc w:val="left"/>
      <w:pPr>
        <w:ind w:left="8789" w:hanging="529"/>
      </w:pPr>
      <w:rPr>
        <w:rFonts w:hint="default"/>
        <w:lang w:val="zh-CN" w:eastAsia="zh-CN" w:bidi="zh-CN"/>
      </w:rPr>
    </w:lvl>
  </w:abstractNum>
  <w:abstractNum w:abstractNumId="984" w15:restartNumberingAfterBreak="0">
    <w:nsid w:val="7FEE0F4C"/>
    <w:multiLevelType w:val="hybridMultilevel"/>
    <w:tmpl w:val="1514F028"/>
    <w:lvl w:ilvl="0" w:tplc="F7CE296E">
      <w:start w:val="1"/>
      <w:numFmt w:val="decimal"/>
      <w:lvlText w:val="（%1）"/>
      <w:lvlJc w:val="left"/>
      <w:pPr>
        <w:ind w:left="1367" w:hanging="529"/>
        <w:jc w:val="left"/>
      </w:pPr>
      <w:rPr>
        <w:rFonts w:ascii="宋体" w:eastAsia="宋体" w:hAnsi="宋体" w:cs="宋体" w:hint="default"/>
        <w:spacing w:val="-3"/>
        <w:w w:val="100"/>
        <w:sz w:val="19"/>
        <w:szCs w:val="19"/>
        <w:lang w:val="zh-CN" w:eastAsia="zh-CN" w:bidi="zh-CN"/>
      </w:rPr>
    </w:lvl>
    <w:lvl w:ilvl="1" w:tplc="D47298D8">
      <w:numFmt w:val="bullet"/>
      <w:lvlText w:val="•"/>
      <w:lvlJc w:val="left"/>
      <w:pPr>
        <w:ind w:left="2288" w:hanging="529"/>
      </w:pPr>
      <w:rPr>
        <w:rFonts w:hint="default"/>
        <w:lang w:val="zh-CN" w:eastAsia="zh-CN" w:bidi="zh-CN"/>
      </w:rPr>
    </w:lvl>
    <w:lvl w:ilvl="2" w:tplc="31B077D6">
      <w:numFmt w:val="bullet"/>
      <w:lvlText w:val="•"/>
      <w:lvlJc w:val="left"/>
      <w:pPr>
        <w:ind w:left="3217" w:hanging="529"/>
      </w:pPr>
      <w:rPr>
        <w:rFonts w:hint="default"/>
        <w:lang w:val="zh-CN" w:eastAsia="zh-CN" w:bidi="zh-CN"/>
      </w:rPr>
    </w:lvl>
    <w:lvl w:ilvl="3" w:tplc="C3181484">
      <w:numFmt w:val="bullet"/>
      <w:lvlText w:val="•"/>
      <w:lvlJc w:val="left"/>
      <w:pPr>
        <w:ind w:left="4145" w:hanging="529"/>
      </w:pPr>
      <w:rPr>
        <w:rFonts w:hint="default"/>
        <w:lang w:val="zh-CN" w:eastAsia="zh-CN" w:bidi="zh-CN"/>
      </w:rPr>
    </w:lvl>
    <w:lvl w:ilvl="4" w:tplc="6B447A36">
      <w:numFmt w:val="bullet"/>
      <w:lvlText w:val="•"/>
      <w:lvlJc w:val="left"/>
      <w:pPr>
        <w:ind w:left="5074" w:hanging="529"/>
      </w:pPr>
      <w:rPr>
        <w:rFonts w:hint="default"/>
        <w:lang w:val="zh-CN" w:eastAsia="zh-CN" w:bidi="zh-CN"/>
      </w:rPr>
    </w:lvl>
    <w:lvl w:ilvl="5" w:tplc="CA92C97A">
      <w:numFmt w:val="bullet"/>
      <w:lvlText w:val="•"/>
      <w:lvlJc w:val="left"/>
      <w:pPr>
        <w:ind w:left="6003" w:hanging="529"/>
      </w:pPr>
      <w:rPr>
        <w:rFonts w:hint="default"/>
        <w:lang w:val="zh-CN" w:eastAsia="zh-CN" w:bidi="zh-CN"/>
      </w:rPr>
    </w:lvl>
    <w:lvl w:ilvl="6" w:tplc="E11C82E6">
      <w:numFmt w:val="bullet"/>
      <w:lvlText w:val="•"/>
      <w:lvlJc w:val="left"/>
      <w:pPr>
        <w:ind w:left="6931" w:hanging="529"/>
      </w:pPr>
      <w:rPr>
        <w:rFonts w:hint="default"/>
        <w:lang w:val="zh-CN" w:eastAsia="zh-CN" w:bidi="zh-CN"/>
      </w:rPr>
    </w:lvl>
    <w:lvl w:ilvl="7" w:tplc="1748AEC4">
      <w:numFmt w:val="bullet"/>
      <w:lvlText w:val="•"/>
      <w:lvlJc w:val="left"/>
      <w:pPr>
        <w:ind w:left="7860" w:hanging="529"/>
      </w:pPr>
      <w:rPr>
        <w:rFonts w:hint="default"/>
        <w:lang w:val="zh-CN" w:eastAsia="zh-CN" w:bidi="zh-CN"/>
      </w:rPr>
    </w:lvl>
    <w:lvl w:ilvl="8" w:tplc="1D2682C2">
      <w:numFmt w:val="bullet"/>
      <w:lvlText w:val="•"/>
      <w:lvlJc w:val="left"/>
      <w:pPr>
        <w:ind w:left="8789" w:hanging="529"/>
      </w:pPr>
      <w:rPr>
        <w:rFonts w:hint="default"/>
        <w:lang w:val="zh-CN" w:eastAsia="zh-CN" w:bidi="zh-CN"/>
      </w:rPr>
    </w:lvl>
  </w:abstractNum>
  <w:num w:numId="1">
    <w:abstractNumId w:val="181"/>
  </w:num>
  <w:num w:numId="2">
    <w:abstractNumId w:val="489"/>
  </w:num>
  <w:num w:numId="3">
    <w:abstractNumId w:val="493"/>
  </w:num>
  <w:num w:numId="4">
    <w:abstractNumId w:val="780"/>
  </w:num>
  <w:num w:numId="5">
    <w:abstractNumId w:val="702"/>
  </w:num>
  <w:num w:numId="6">
    <w:abstractNumId w:val="719"/>
  </w:num>
  <w:num w:numId="7">
    <w:abstractNumId w:val="286"/>
  </w:num>
  <w:num w:numId="8">
    <w:abstractNumId w:val="178"/>
  </w:num>
  <w:num w:numId="9">
    <w:abstractNumId w:val="752"/>
  </w:num>
  <w:num w:numId="10">
    <w:abstractNumId w:val="964"/>
  </w:num>
  <w:num w:numId="11">
    <w:abstractNumId w:val="109"/>
  </w:num>
  <w:num w:numId="12">
    <w:abstractNumId w:val="235"/>
  </w:num>
  <w:num w:numId="13">
    <w:abstractNumId w:val="511"/>
  </w:num>
  <w:num w:numId="14">
    <w:abstractNumId w:val="345"/>
  </w:num>
  <w:num w:numId="15">
    <w:abstractNumId w:val="825"/>
  </w:num>
  <w:num w:numId="16">
    <w:abstractNumId w:val="541"/>
  </w:num>
  <w:num w:numId="17">
    <w:abstractNumId w:val="557"/>
  </w:num>
  <w:num w:numId="18">
    <w:abstractNumId w:val="453"/>
  </w:num>
  <w:num w:numId="19">
    <w:abstractNumId w:val="451"/>
  </w:num>
  <w:num w:numId="20">
    <w:abstractNumId w:val="792"/>
  </w:num>
  <w:num w:numId="21">
    <w:abstractNumId w:val="878"/>
  </w:num>
  <w:num w:numId="22">
    <w:abstractNumId w:val="260"/>
  </w:num>
  <w:num w:numId="23">
    <w:abstractNumId w:val="186"/>
  </w:num>
  <w:num w:numId="24">
    <w:abstractNumId w:val="390"/>
  </w:num>
  <w:num w:numId="25">
    <w:abstractNumId w:val="18"/>
  </w:num>
  <w:num w:numId="26">
    <w:abstractNumId w:val="184"/>
  </w:num>
  <w:num w:numId="27">
    <w:abstractNumId w:val="311"/>
  </w:num>
  <w:num w:numId="28">
    <w:abstractNumId w:val="221"/>
  </w:num>
  <w:num w:numId="29">
    <w:abstractNumId w:val="774"/>
  </w:num>
  <w:num w:numId="30">
    <w:abstractNumId w:val="165"/>
  </w:num>
  <w:num w:numId="31">
    <w:abstractNumId w:val="736"/>
  </w:num>
  <w:num w:numId="32">
    <w:abstractNumId w:val="37"/>
  </w:num>
  <w:num w:numId="33">
    <w:abstractNumId w:val="213"/>
  </w:num>
  <w:num w:numId="34">
    <w:abstractNumId w:val="381"/>
  </w:num>
  <w:num w:numId="35">
    <w:abstractNumId w:val="488"/>
  </w:num>
  <w:num w:numId="36">
    <w:abstractNumId w:val="635"/>
  </w:num>
  <w:num w:numId="37">
    <w:abstractNumId w:val="551"/>
  </w:num>
  <w:num w:numId="38">
    <w:abstractNumId w:val="140"/>
  </w:num>
  <w:num w:numId="39">
    <w:abstractNumId w:val="291"/>
  </w:num>
  <w:num w:numId="40">
    <w:abstractNumId w:val="704"/>
  </w:num>
  <w:num w:numId="41">
    <w:abstractNumId w:val="386"/>
  </w:num>
  <w:num w:numId="42">
    <w:abstractNumId w:val="397"/>
  </w:num>
  <w:num w:numId="43">
    <w:abstractNumId w:val="358"/>
  </w:num>
  <w:num w:numId="44">
    <w:abstractNumId w:val="222"/>
  </w:num>
  <w:num w:numId="45">
    <w:abstractNumId w:val="280"/>
  </w:num>
  <w:num w:numId="46">
    <w:abstractNumId w:val="90"/>
  </w:num>
  <w:num w:numId="47">
    <w:abstractNumId w:val="908"/>
  </w:num>
  <w:num w:numId="48">
    <w:abstractNumId w:val="594"/>
  </w:num>
  <w:num w:numId="49">
    <w:abstractNumId w:val="129"/>
  </w:num>
  <w:num w:numId="50">
    <w:abstractNumId w:val="870"/>
  </w:num>
  <w:num w:numId="51">
    <w:abstractNumId w:val="497"/>
  </w:num>
  <w:num w:numId="52">
    <w:abstractNumId w:val="11"/>
  </w:num>
  <w:num w:numId="53">
    <w:abstractNumId w:val="78"/>
  </w:num>
  <w:num w:numId="54">
    <w:abstractNumId w:val="219"/>
  </w:num>
  <w:num w:numId="55">
    <w:abstractNumId w:val="44"/>
  </w:num>
  <w:num w:numId="56">
    <w:abstractNumId w:val="289"/>
  </w:num>
  <w:num w:numId="57">
    <w:abstractNumId w:val="442"/>
  </w:num>
  <w:num w:numId="58">
    <w:abstractNumId w:val="913"/>
  </w:num>
  <w:num w:numId="59">
    <w:abstractNumId w:val="861"/>
  </w:num>
  <w:num w:numId="60">
    <w:abstractNumId w:val="316"/>
  </w:num>
  <w:num w:numId="61">
    <w:abstractNumId w:val="401"/>
  </w:num>
  <w:num w:numId="62">
    <w:abstractNumId w:val="545"/>
  </w:num>
  <w:num w:numId="63">
    <w:abstractNumId w:val="98"/>
  </w:num>
  <w:num w:numId="64">
    <w:abstractNumId w:val="308"/>
  </w:num>
  <w:num w:numId="65">
    <w:abstractNumId w:val="971"/>
  </w:num>
  <w:num w:numId="66">
    <w:abstractNumId w:val="110"/>
  </w:num>
  <w:num w:numId="67">
    <w:abstractNumId w:val="59"/>
  </w:num>
  <w:num w:numId="68">
    <w:abstractNumId w:val="124"/>
  </w:num>
  <w:num w:numId="69">
    <w:abstractNumId w:val="248"/>
  </w:num>
  <w:num w:numId="70">
    <w:abstractNumId w:val="579"/>
  </w:num>
  <w:num w:numId="71">
    <w:abstractNumId w:val="623"/>
  </w:num>
  <w:num w:numId="72">
    <w:abstractNumId w:val="590"/>
  </w:num>
  <w:num w:numId="73">
    <w:abstractNumId w:val="676"/>
  </w:num>
  <w:num w:numId="74">
    <w:abstractNumId w:val="239"/>
  </w:num>
  <w:num w:numId="75">
    <w:abstractNumId w:val="384"/>
  </w:num>
  <w:num w:numId="76">
    <w:abstractNumId w:val="779"/>
  </w:num>
  <w:num w:numId="77">
    <w:abstractNumId w:val="495"/>
  </w:num>
  <w:num w:numId="78">
    <w:abstractNumId w:val="528"/>
  </w:num>
  <w:num w:numId="79">
    <w:abstractNumId w:val="378"/>
  </w:num>
  <w:num w:numId="80">
    <w:abstractNumId w:val="288"/>
  </w:num>
  <w:num w:numId="81">
    <w:abstractNumId w:val="681"/>
  </w:num>
  <w:num w:numId="82">
    <w:abstractNumId w:val="63"/>
  </w:num>
  <w:num w:numId="83">
    <w:abstractNumId w:val="555"/>
  </w:num>
  <w:num w:numId="84">
    <w:abstractNumId w:val="407"/>
  </w:num>
  <w:num w:numId="85">
    <w:abstractNumId w:val="14"/>
  </w:num>
  <w:num w:numId="86">
    <w:abstractNumId w:val="744"/>
  </w:num>
  <w:num w:numId="87">
    <w:abstractNumId w:val="454"/>
  </w:num>
  <w:num w:numId="88">
    <w:abstractNumId w:val="880"/>
  </w:num>
  <w:num w:numId="89">
    <w:abstractNumId w:val="584"/>
  </w:num>
  <w:num w:numId="90">
    <w:abstractNumId w:val="534"/>
  </w:num>
  <w:num w:numId="91">
    <w:abstractNumId w:val="944"/>
  </w:num>
  <w:num w:numId="92">
    <w:abstractNumId w:val="19"/>
  </w:num>
  <w:num w:numId="93">
    <w:abstractNumId w:val="576"/>
  </w:num>
  <w:num w:numId="94">
    <w:abstractNumId w:val="116"/>
  </w:num>
  <w:num w:numId="95">
    <w:abstractNumId w:val="130"/>
  </w:num>
  <w:num w:numId="96">
    <w:abstractNumId w:val="232"/>
  </w:num>
  <w:num w:numId="97">
    <w:abstractNumId w:val="848"/>
  </w:num>
  <w:num w:numId="98">
    <w:abstractNumId w:val="340"/>
  </w:num>
  <w:num w:numId="99">
    <w:abstractNumId w:val="494"/>
  </w:num>
  <w:num w:numId="100">
    <w:abstractNumId w:val="216"/>
  </w:num>
  <w:num w:numId="101">
    <w:abstractNumId w:val="471"/>
  </w:num>
  <w:num w:numId="102">
    <w:abstractNumId w:val="854"/>
  </w:num>
  <w:num w:numId="103">
    <w:abstractNumId w:val="575"/>
  </w:num>
  <w:num w:numId="104">
    <w:abstractNumId w:val="503"/>
  </w:num>
  <w:num w:numId="105">
    <w:abstractNumId w:val="190"/>
  </w:num>
  <w:num w:numId="106">
    <w:abstractNumId w:val="849"/>
  </w:num>
  <w:num w:numId="107">
    <w:abstractNumId w:val="843"/>
  </w:num>
  <w:num w:numId="108">
    <w:abstractNumId w:val="200"/>
  </w:num>
  <w:num w:numId="109">
    <w:abstractNumId w:val="230"/>
  </w:num>
  <w:num w:numId="110">
    <w:abstractNumId w:val="160"/>
  </w:num>
  <w:num w:numId="111">
    <w:abstractNumId w:val="252"/>
  </w:num>
  <w:num w:numId="112">
    <w:abstractNumId w:val="787"/>
  </w:num>
  <w:num w:numId="113">
    <w:abstractNumId w:val="250"/>
  </w:num>
  <w:num w:numId="114">
    <w:abstractNumId w:val="118"/>
  </w:num>
  <w:num w:numId="115">
    <w:abstractNumId w:val="638"/>
  </w:num>
  <w:num w:numId="116">
    <w:abstractNumId w:val="560"/>
  </w:num>
  <w:num w:numId="117">
    <w:abstractNumId w:val="743"/>
  </w:num>
  <w:num w:numId="118">
    <w:abstractNumId w:val="385"/>
  </w:num>
  <w:num w:numId="119">
    <w:abstractNumId w:val="194"/>
  </w:num>
  <w:num w:numId="120">
    <w:abstractNumId w:val="113"/>
  </w:num>
  <w:num w:numId="121">
    <w:abstractNumId w:val="23"/>
  </w:num>
  <w:num w:numId="122">
    <w:abstractNumId w:val="350"/>
  </w:num>
  <w:num w:numId="123">
    <w:abstractNumId w:val="207"/>
  </w:num>
  <w:num w:numId="124">
    <w:abstractNumId w:val="91"/>
  </w:num>
  <w:num w:numId="125">
    <w:abstractNumId w:val="597"/>
  </w:num>
  <w:num w:numId="126">
    <w:abstractNumId w:val="618"/>
  </w:num>
  <w:num w:numId="127">
    <w:abstractNumId w:val="35"/>
  </w:num>
  <w:num w:numId="128">
    <w:abstractNumId w:val="905"/>
  </w:num>
  <w:num w:numId="129">
    <w:abstractNumId w:val="464"/>
  </w:num>
  <w:num w:numId="130">
    <w:abstractNumId w:val="173"/>
  </w:num>
  <w:num w:numId="131">
    <w:abstractNumId w:val="962"/>
  </w:num>
  <w:num w:numId="132">
    <w:abstractNumId w:val="133"/>
  </w:num>
  <w:num w:numId="133">
    <w:abstractNumId w:val="672"/>
  </w:num>
  <w:num w:numId="134">
    <w:abstractNumId w:val="593"/>
  </w:num>
  <w:num w:numId="135">
    <w:abstractNumId w:val="845"/>
  </w:num>
  <w:num w:numId="136">
    <w:abstractNumId w:val="821"/>
  </w:num>
  <w:num w:numId="137">
    <w:abstractNumId w:val="966"/>
  </w:num>
  <w:num w:numId="138">
    <w:abstractNumId w:val="789"/>
  </w:num>
  <w:num w:numId="139">
    <w:abstractNumId w:val="872"/>
  </w:num>
  <w:num w:numId="140">
    <w:abstractNumId w:val="6"/>
  </w:num>
  <w:num w:numId="141">
    <w:abstractNumId w:val="907"/>
  </w:num>
  <w:num w:numId="142">
    <w:abstractNumId w:val="976"/>
  </w:num>
  <w:num w:numId="143">
    <w:abstractNumId w:val="425"/>
  </w:num>
  <w:num w:numId="144">
    <w:abstractNumId w:val="191"/>
  </w:num>
  <w:num w:numId="145">
    <w:abstractNumId w:val="768"/>
  </w:num>
  <w:num w:numId="146">
    <w:abstractNumId w:val="463"/>
  </w:num>
  <w:num w:numId="147">
    <w:abstractNumId w:val="688"/>
  </w:num>
  <w:num w:numId="148">
    <w:abstractNumId w:val="515"/>
  </w:num>
  <w:num w:numId="149">
    <w:abstractNumId w:val="814"/>
  </w:num>
  <w:num w:numId="150">
    <w:abstractNumId w:val="476"/>
  </w:num>
  <w:num w:numId="151">
    <w:abstractNumId w:val="47"/>
  </w:num>
  <w:num w:numId="152">
    <w:abstractNumId w:val="599"/>
  </w:num>
  <w:num w:numId="153">
    <w:abstractNumId w:val="410"/>
  </w:num>
  <w:num w:numId="154">
    <w:abstractNumId w:val="679"/>
  </w:num>
  <w:num w:numId="155">
    <w:abstractNumId w:val="888"/>
  </w:num>
  <w:num w:numId="156">
    <w:abstractNumId w:val="161"/>
  </w:num>
  <w:num w:numId="157">
    <w:abstractNumId w:val="376"/>
  </w:num>
  <w:num w:numId="158">
    <w:abstractNumId w:val="440"/>
  </w:num>
  <w:num w:numId="159">
    <w:abstractNumId w:val="346"/>
  </w:num>
  <w:num w:numId="160">
    <w:abstractNumId w:val="820"/>
  </w:num>
  <w:num w:numId="161">
    <w:abstractNumId w:val="536"/>
  </w:num>
  <w:num w:numId="162">
    <w:abstractNumId w:val="724"/>
  </w:num>
  <w:num w:numId="163">
    <w:abstractNumId w:val="128"/>
  </w:num>
  <w:num w:numId="164">
    <w:abstractNumId w:val="348"/>
  </w:num>
  <w:num w:numId="165">
    <w:abstractNumId w:val="649"/>
  </w:num>
  <w:num w:numId="166">
    <w:abstractNumId w:val="329"/>
  </w:num>
  <w:num w:numId="167">
    <w:abstractNumId w:val="742"/>
  </w:num>
  <w:num w:numId="168">
    <w:abstractNumId w:val="959"/>
  </w:num>
  <w:num w:numId="169">
    <w:abstractNumId w:val="839"/>
  </w:num>
  <w:num w:numId="170">
    <w:abstractNumId w:val="884"/>
  </w:num>
  <w:num w:numId="171">
    <w:abstractNumId w:val="644"/>
  </w:num>
  <w:num w:numId="172">
    <w:abstractNumId w:val="751"/>
  </w:num>
  <w:num w:numId="173">
    <w:abstractNumId w:val="856"/>
  </w:num>
  <w:num w:numId="174">
    <w:abstractNumId w:val="127"/>
  </w:num>
  <w:num w:numId="175">
    <w:abstractNumId w:val="388"/>
  </w:num>
  <w:num w:numId="176">
    <w:abstractNumId w:val="57"/>
  </w:num>
  <w:num w:numId="177">
    <w:abstractNumId w:val="117"/>
  </w:num>
  <w:num w:numId="178">
    <w:abstractNumId w:val="671"/>
  </w:num>
  <w:num w:numId="179">
    <w:abstractNumId w:val="53"/>
  </w:num>
  <w:num w:numId="180">
    <w:abstractNumId w:val="523"/>
  </w:num>
  <w:num w:numId="181">
    <w:abstractNumId w:val="931"/>
  </w:num>
  <w:num w:numId="182">
    <w:abstractNumId w:val="749"/>
  </w:num>
  <w:num w:numId="183">
    <w:abstractNumId w:val="713"/>
  </w:num>
  <w:num w:numId="184">
    <w:abstractNumId w:val="435"/>
  </w:num>
  <w:num w:numId="185">
    <w:abstractNumId w:val="655"/>
  </w:num>
  <w:num w:numId="186">
    <w:abstractNumId w:val="830"/>
  </w:num>
  <w:num w:numId="187">
    <w:abstractNumId w:val="396"/>
  </w:num>
  <w:num w:numId="188">
    <w:abstractNumId w:val="327"/>
  </w:num>
  <w:num w:numId="189">
    <w:abstractNumId w:val="957"/>
  </w:num>
  <w:num w:numId="190">
    <w:abstractNumId w:val="539"/>
  </w:num>
  <w:num w:numId="191">
    <w:abstractNumId w:val="826"/>
  </w:num>
  <w:num w:numId="192">
    <w:abstractNumId w:val="875"/>
  </w:num>
  <w:num w:numId="193">
    <w:abstractNumId w:val="683"/>
  </w:num>
  <w:num w:numId="194">
    <w:abstractNumId w:val="282"/>
  </w:num>
  <w:num w:numId="195">
    <w:abstractNumId w:val="566"/>
  </w:num>
  <w:num w:numId="196">
    <w:abstractNumId w:val="535"/>
  </w:num>
  <w:num w:numId="197">
    <w:abstractNumId w:val="522"/>
  </w:num>
  <w:num w:numId="198">
    <w:abstractNumId w:val="456"/>
  </w:num>
  <w:num w:numId="199">
    <w:abstractNumId w:val="111"/>
  </w:num>
  <w:num w:numId="200">
    <w:abstractNumId w:val="101"/>
  </w:num>
  <w:num w:numId="201">
    <w:abstractNumId w:val="67"/>
  </w:num>
  <w:num w:numId="202">
    <w:abstractNumId w:val="210"/>
  </w:num>
  <w:num w:numId="203">
    <w:abstractNumId w:val="303"/>
  </w:num>
  <w:num w:numId="204">
    <w:abstractNumId w:val="709"/>
  </w:num>
  <w:num w:numId="205">
    <w:abstractNumId w:val="945"/>
  </w:num>
  <w:num w:numId="206">
    <w:abstractNumId w:val="850"/>
  </w:num>
  <w:num w:numId="207">
    <w:abstractNumId w:val="284"/>
  </w:num>
  <w:num w:numId="208">
    <w:abstractNumId w:val="405"/>
  </w:num>
  <w:num w:numId="209">
    <w:abstractNumId w:val="847"/>
  </w:num>
  <w:num w:numId="210">
    <w:abstractNumId w:val="661"/>
  </w:num>
  <w:num w:numId="211">
    <w:abstractNumId w:val="770"/>
  </w:num>
  <w:num w:numId="212">
    <w:abstractNumId w:val="723"/>
  </w:num>
  <w:num w:numId="213">
    <w:abstractNumId w:val="980"/>
  </w:num>
  <w:num w:numId="214">
    <w:abstractNumId w:val="399"/>
  </w:num>
  <w:num w:numId="215">
    <w:abstractNumId w:val="592"/>
  </w:num>
  <w:num w:numId="216">
    <w:abstractNumId w:val="800"/>
  </w:num>
  <w:num w:numId="217">
    <w:abstractNumId w:val="940"/>
  </w:num>
  <w:num w:numId="218">
    <w:abstractNumId w:val="205"/>
  </w:num>
  <w:num w:numId="219">
    <w:abstractNumId w:val="651"/>
  </w:num>
  <w:num w:numId="220">
    <w:abstractNumId w:val="721"/>
  </w:num>
  <w:num w:numId="221">
    <w:abstractNumId w:val="501"/>
  </w:num>
  <w:num w:numId="222">
    <w:abstractNumId w:val="402"/>
  </w:num>
  <w:num w:numId="223">
    <w:abstractNumId w:val="834"/>
  </w:num>
  <w:num w:numId="224">
    <w:abstractNumId w:val="498"/>
  </w:num>
  <w:num w:numId="225">
    <w:abstractNumId w:val="710"/>
  </w:num>
  <w:num w:numId="226">
    <w:abstractNumId w:val="256"/>
  </w:num>
  <w:num w:numId="227">
    <w:abstractNumId w:val="790"/>
  </w:num>
  <w:num w:numId="228">
    <w:abstractNumId w:val="68"/>
  </w:num>
  <w:num w:numId="229">
    <w:abstractNumId w:val="524"/>
  </w:num>
  <w:num w:numId="230">
    <w:abstractNumId w:val="419"/>
  </w:num>
  <w:num w:numId="231">
    <w:abstractNumId w:val="741"/>
  </w:num>
  <w:num w:numId="232">
    <w:abstractNumId w:val="653"/>
  </w:num>
  <w:num w:numId="233">
    <w:abstractNumId w:val="589"/>
  </w:num>
  <w:num w:numId="234">
    <w:abstractNumId w:val="372"/>
  </w:num>
  <w:num w:numId="235">
    <w:abstractNumId w:val="467"/>
  </w:num>
  <w:num w:numId="236">
    <w:abstractNumId w:val="334"/>
  </w:num>
  <w:num w:numId="237">
    <w:abstractNumId w:val="247"/>
  </w:num>
  <w:num w:numId="238">
    <w:abstractNumId w:val="979"/>
  </w:num>
  <w:num w:numId="239">
    <w:abstractNumId w:val="588"/>
  </w:num>
  <w:num w:numId="240">
    <w:abstractNumId w:val="443"/>
  </w:num>
  <w:num w:numId="241">
    <w:abstractNumId w:val="815"/>
  </w:num>
  <w:num w:numId="242">
    <w:abstractNumId w:val="666"/>
  </w:num>
  <w:num w:numId="243">
    <w:abstractNumId w:val="639"/>
  </w:num>
  <w:num w:numId="244">
    <w:abstractNumId w:val="754"/>
  </w:num>
  <w:num w:numId="245">
    <w:abstractNumId w:val="637"/>
  </w:num>
  <w:num w:numId="246">
    <w:abstractNumId w:val="701"/>
  </w:num>
  <w:num w:numId="247">
    <w:abstractNumId w:val="696"/>
  </w:num>
  <w:num w:numId="248">
    <w:abstractNumId w:val="50"/>
  </w:num>
  <w:num w:numId="249">
    <w:abstractNumId w:val="92"/>
  </w:num>
  <w:num w:numId="250">
    <w:abstractNumId w:val="46"/>
  </w:num>
  <w:num w:numId="251">
    <w:abstractNumId w:val="546"/>
  </w:num>
  <w:num w:numId="252">
    <w:abstractNumId w:val="758"/>
  </w:num>
  <w:num w:numId="253">
    <w:abstractNumId w:val="187"/>
  </w:num>
  <w:num w:numId="254">
    <w:abstractNumId w:val="31"/>
  </w:num>
  <w:num w:numId="255">
    <w:abstractNumId w:val="337"/>
  </w:num>
  <w:num w:numId="256">
    <w:abstractNumId w:val="43"/>
  </w:num>
  <w:num w:numId="257">
    <w:abstractNumId w:val="507"/>
  </w:num>
  <w:num w:numId="258">
    <w:abstractNumId w:val="307"/>
  </w:num>
  <w:num w:numId="259">
    <w:abstractNumId w:val="387"/>
  </w:num>
  <w:num w:numId="260">
    <w:abstractNumId w:val="411"/>
  </w:num>
  <w:num w:numId="261">
    <w:abstractNumId w:val="148"/>
  </w:num>
  <w:num w:numId="262">
    <w:abstractNumId w:val="658"/>
  </w:num>
  <w:num w:numId="263">
    <w:abstractNumId w:val="918"/>
  </w:num>
  <w:num w:numId="264">
    <w:abstractNumId w:val="229"/>
  </w:num>
  <w:num w:numId="265">
    <w:abstractNumId w:val="887"/>
  </w:num>
  <w:num w:numId="266">
    <w:abstractNumId w:val="283"/>
  </w:num>
  <w:num w:numId="267">
    <w:abstractNumId w:val="224"/>
  </w:num>
  <w:num w:numId="268">
    <w:abstractNumId w:val="82"/>
  </w:num>
  <w:num w:numId="269">
    <w:abstractNumId w:val="519"/>
  </w:num>
  <w:num w:numId="270">
    <w:abstractNumId w:val="22"/>
  </w:num>
  <w:num w:numId="271">
    <w:abstractNumId w:val="916"/>
  </w:num>
  <w:num w:numId="272">
    <w:abstractNumId w:val="955"/>
  </w:num>
  <w:num w:numId="273">
    <w:abstractNumId w:val="174"/>
  </w:num>
  <w:num w:numId="274">
    <w:abstractNumId w:val="611"/>
  </w:num>
  <w:num w:numId="275">
    <w:abstractNumId w:val="104"/>
  </w:num>
  <w:num w:numId="276">
    <w:abstractNumId w:val="904"/>
  </w:num>
  <w:num w:numId="277">
    <w:abstractNumId w:val="306"/>
  </w:num>
  <w:num w:numId="278">
    <w:abstractNumId w:val="663"/>
  </w:num>
  <w:num w:numId="279">
    <w:abstractNumId w:val="51"/>
  </w:num>
  <w:num w:numId="280">
    <w:abstractNumId w:val="967"/>
  </w:num>
  <w:num w:numId="281">
    <w:abstractNumId w:val="563"/>
  </w:num>
  <w:num w:numId="282">
    <w:abstractNumId w:val="827"/>
  </w:num>
  <w:num w:numId="283">
    <w:abstractNumId w:val="356"/>
  </w:num>
  <w:num w:numId="284">
    <w:abstractNumId w:val="601"/>
  </w:num>
  <w:num w:numId="285">
    <w:abstractNumId w:val="727"/>
  </w:num>
  <w:num w:numId="286">
    <w:abstractNumId w:val="527"/>
  </w:num>
  <w:num w:numId="287">
    <w:abstractNumId w:val="548"/>
  </w:num>
  <w:num w:numId="288">
    <w:abstractNumId w:val="698"/>
  </w:num>
  <w:num w:numId="289">
    <w:abstractNumId w:val="360"/>
  </w:num>
  <w:num w:numId="290">
    <w:abstractNumId w:val="305"/>
  </w:num>
  <w:num w:numId="291">
    <w:abstractNumId w:val="83"/>
  </w:num>
  <w:num w:numId="292">
    <w:abstractNumId w:val="657"/>
  </w:num>
  <w:num w:numId="293">
    <w:abstractNumId w:val="188"/>
  </w:num>
  <w:num w:numId="294">
    <w:abstractNumId w:val="587"/>
  </w:num>
  <w:num w:numId="295">
    <w:abstractNumId w:val="351"/>
  </w:num>
  <w:num w:numId="296">
    <w:abstractNumId w:val="938"/>
  </w:num>
  <w:num w:numId="297">
    <w:abstractNumId w:val="927"/>
  </w:num>
  <w:num w:numId="298">
    <w:abstractNumId w:val="558"/>
  </w:num>
  <w:num w:numId="299">
    <w:abstractNumId w:val="245"/>
  </w:num>
  <w:num w:numId="300">
    <w:abstractNumId w:val="804"/>
  </w:num>
  <w:num w:numId="301">
    <w:abstractNumId w:val="389"/>
  </w:num>
  <w:num w:numId="302">
    <w:abstractNumId w:val="168"/>
  </w:num>
  <w:num w:numId="303">
    <w:abstractNumId w:val="806"/>
  </w:num>
  <w:num w:numId="304">
    <w:abstractNumId w:val="474"/>
  </w:num>
  <w:num w:numId="305">
    <w:abstractNumId w:val="791"/>
  </w:num>
  <w:num w:numId="306">
    <w:abstractNumId w:val="459"/>
  </w:num>
  <w:num w:numId="307">
    <w:abstractNumId w:val="355"/>
  </w:num>
  <w:num w:numId="308">
    <w:abstractNumId w:val="157"/>
  </w:num>
  <w:num w:numId="309">
    <w:abstractNumId w:val="125"/>
  </w:num>
  <w:num w:numId="310">
    <w:abstractNumId w:val="251"/>
  </w:num>
  <w:num w:numId="311">
    <w:abstractNumId w:val="465"/>
  </w:num>
  <w:num w:numId="312">
    <w:abstractNumId w:val="73"/>
  </w:num>
  <w:num w:numId="313">
    <w:abstractNumId w:val="156"/>
  </w:num>
  <w:num w:numId="314">
    <w:abstractNumId w:val="319"/>
  </w:num>
  <w:num w:numId="315">
    <w:abstractNumId w:val="626"/>
  </w:num>
  <w:num w:numId="316">
    <w:abstractNumId w:val="732"/>
  </w:num>
  <w:num w:numId="317">
    <w:abstractNumId w:val="171"/>
  </w:num>
  <w:num w:numId="318">
    <w:abstractNumId w:val="746"/>
  </w:num>
  <w:num w:numId="319">
    <w:abstractNumId w:val="654"/>
  </w:num>
  <w:num w:numId="320">
    <w:abstractNumId w:val="153"/>
  </w:num>
  <w:num w:numId="321">
    <w:abstractNumId w:val="317"/>
  </w:num>
  <w:num w:numId="322">
    <w:abstractNumId w:val="858"/>
  </w:num>
  <w:num w:numId="323">
    <w:abstractNumId w:val="164"/>
  </w:num>
  <w:num w:numId="324">
    <w:abstractNumId w:val="371"/>
  </w:num>
  <w:num w:numId="325">
    <w:abstractNumId w:val="208"/>
  </w:num>
  <w:num w:numId="326">
    <w:abstractNumId w:val="625"/>
  </w:num>
  <w:num w:numId="327">
    <w:abstractNumId w:val="846"/>
  </w:num>
  <w:num w:numId="328">
    <w:abstractNumId w:val="678"/>
  </w:num>
  <w:num w:numId="329">
    <w:abstractNumId w:val="324"/>
  </w:num>
  <w:num w:numId="330">
    <w:abstractNumId w:val="718"/>
  </w:num>
  <w:num w:numId="331">
    <w:abstractNumId w:val="126"/>
  </w:num>
  <w:num w:numId="332">
    <w:abstractNumId w:val="461"/>
  </w:num>
  <w:num w:numId="333">
    <w:abstractNumId w:val="668"/>
  </w:num>
  <w:num w:numId="334">
    <w:abstractNumId w:val="773"/>
  </w:num>
  <w:num w:numId="335">
    <w:abstractNumId w:val="935"/>
  </w:num>
  <w:num w:numId="336">
    <w:abstractNumId w:val="141"/>
  </w:num>
  <w:num w:numId="337">
    <w:abstractNumId w:val="2"/>
  </w:num>
  <w:num w:numId="338">
    <w:abstractNumId w:val="270"/>
  </w:num>
  <w:num w:numId="339">
    <w:abstractNumId w:val="364"/>
  </w:num>
  <w:num w:numId="340">
    <w:abstractNumId w:val="352"/>
  </w:num>
  <w:num w:numId="341">
    <w:abstractNumId w:val="747"/>
  </w:num>
  <w:num w:numId="342">
    <w:abstractNumId w:val="910"/>
  </w:num>
  <w:num w:numId="343">
    <w:abstractNumId w:val="640"/>
  </w:num>
  <w:num w:numId="344">
    <w:abstractNumId w:val="466"/>
  </w:num>
  <w:num w:numId="345">
    <w:abstractNumId w:val="647"/>
  </w:num>
  <w:num w:numId="346">
    <w:abstractNumId w:val="258"/>
  </w:num>
  <w:num w:numId="347">
    <w:abstractNumId w:val="338"/>
  </w:num>
  <w:num w:numId="348">
    <w:abstractNumId w:val="812"/>
  </w:num>
  <w:num w:numId="349">
    <w:abstractNumId w:val="831"/>
  </w:num>
  <w:num w:numId="350">
    <w:abstractNumId w:val="328"/>
  </w:num>
  <w:num w:numId="351">
    <w:abstractNumId w:val="418"/>
  </w:num>
  <w:num w:numId="352">
    <w:abstractNumId w:val="150"/>
  </w:num>
  <w:num w:numId="353">
    <w:abstractNumId w:val="225"/>
  </w:num>
  <w:num w:numId="354">
    <w:abstractNumId w:val="4"/>
  </w:num>
  <w:num w:numId="355">
    <w:abstractNumId w:val="458"/>
  </w:num>
  <w:num w:numId="356">
    <w:abstractNumId w:val="984"/>
  </w:num>
  <w:num w:numId="357">
    <w:abstractNumId w:val="917"/>
  </w:num>
  <w:num w:numId="358">
    <w:abstractNumId w:val="605"/>
  </w:num>
  <w:num w:numId="359">
    <w:abstractNumId w:val="253"/>
  </w:num>
  <w:num w:numId="360">
    <w:abstractNumId w:val="490"/>
  </w:num>
  <w:num w:numId="361">
    <w:abstractNumId w:val="374"/>
  </w:num>
  <w:num w:numId="362">
    <w:abstractNumId w:val="920"/>
  </w:num>
  <w:num w:numId="363">
    <w:abstractNumId w:val="87"/>
  </w:num>
  <w:num w:numId="364">
    <w:abstractNumId w:val="520"/>
  </w:num>
  <w:num w:numId="365">
    <w:abstractNumId w:val="591"/>
  </w:num>
  <w:num w:numId="366">
    <w:abstractNumId w:val="828"/>
  </w:num>
  <w:num w:numId="367">
    <w:abstractNumId w:val="783"/>
  </w:num>
  <w:num w:numId="368">
    <w:abstractNumId w:val="622"/>
  </w:num>
  <w:num w:numId="369">
    <w:abstractNumId w:val="269"/>
  </w:num>
  <w:num w:numId="370">
    <w:abstractNumId w:val="293"/>
  </w:num>
  <w:num w:numId="371">
    <w:abstractNumId w:val="298"/>
  </w:num>
  <w:num w:numId="372">
    <w:abstractNumId w:val="179"/>
  </w:num>
  <w:num w:numId="373">
    <w:abstractNumId w:val="196"/>
  </w:num>
  <w:num w:numId="374">
    <w:abstractNumId w:val="553"/>
  </w:num>
  <w:num w:numId="375">
    <w:abstractNumId w:val="257"/>
  </w:num>
  <w:num w:numId="376">
    <w:abstractNumId w:val="855"/>
  </w:num>
  <w:num w:numId="377">
    <w:abstractNumId w:val="363"/>
  </w:num>
  <w:num w:numId="378">
    <w:abstractNumId w:val="304"/>
  </w:num>
  <w:num w:numId="379">
    <w:abstractNumId w:val="103"/>
  </w:num>
  <w:num w:numId="380">
    <w:abstractNumId w:val="712"/>
  </w:num>
  <w:num w:numId="381">
    <w:abstractNumId w:val="869"/>
  </w:num>
  <w:num w:numId="382">
    <w:abstractNumId w:val="928"/>
  </w:num>
  <w:num w:numId="383">
    <w:abstractNumId w:val="632"/>
  </w:num>
  <w:num w:numId="384">
    <w:abstractNumId w:val="670"/>
  </w:num>
  <w:num w:numId="385">
    <w:abstractNumId w:val="530"/>
  </w:num>
  <w:num w:numId="386">
    <w:abstractNumId w:val="816"/>
  </w:num>
  <w:num w:numId="387">
    <w:abstractNumId w:val="819"/>
  </w:num>
  <w:num w:numId="388">
    <w:abstractNumId w:val="813"/>
  </w:num>
  <w:num w:numId="389">
    <w:abstractNumId w:val="450"/>
  </w:num>
  <w:num w:numId="390">
    <w:abstractNumId w:val="485"/>
  </w:num>
  <w:num w:numId="391">
    <w:abstractNumId w:val="261"/>
  </w:num>
  <w:num w:numId="392">
    <w:abstractNumId w:val="975"/>
  </w:num>
  <w:num w:numId="393">
    <w:abstractNumId w:val="366"/>
  </w:num>
  <w:num w:numId="394">
    <w:abstractNumId w:val="892"/>
  </w:num>
  <w:num w:numId="395">
    <w:abstractNumId w:val="833"/>
  </w:num>
  <w:num w:numId="396">
    <w:abstractNumId w:val="175"/>
  </w:num>
  <w:num w:numId="397">
    <w:abstractNumId w:val="968"/>
  </w:num>
  <w:num w:numId="398">
    <w:abstractNumId w:val="921"/>
  </w:num>
  <w:num w:numId="399">
    <w:abstractNumId w:val="211"/>
  </w:num>
  <w:num w:numId="400">
    <w:abstractNumId w:val="29"/>
  </w:num>
  <w:num w:numId="401">
    <w:abstractNumId w:val="138"/>
  </w:num>
  <w:num w:numId="402">
    <w:abstractNumId w:val="285"/>
  </w:num>
  <w:num w:numId="403">
    <w:abstractNumId w:val="860"/>
  </w:num>
  <w:num w:numId="404">
    <w:abstractNumId w:val="900"/>
  </w:num>
  <w:num w:numId="405">
    <w:abstractNumId w:val="426"/>
  </w:num>
  <w:num w:numId="406">
    <w:abstractNumId w:val="339"/>
  </w:num>
  <w:num w:numId="407">
    <w:abstractNumId w:val="879"/>
  </w:num>
  <w:num w:numId="408">
    <w:abstractNumId w:val="697"/>
  </w:num>
  <w:num w:numId="409">
    <w:abstractNumId w:val="853"/>
  </w:num>
  <w:num w:numId="410">
    <w:abstractNumId w:val="937"/>
  </w:num>
  <w:num w:numId="411">
    <w:abstractNumId w:val="234"/>
  </w:num>
  <w:num w:numId="412">
    <w:abstractNumId w:val="74"/>
  </w:num>
  <w:num w:numId="413">
    <w:abstractNumId w:val="209"/>
  </w:num>
  <w:num w:numId="414">
    <w:abstractNumId w:val="273"/>
  </w:num>
  <w:num w:numId="415">
    <w:abstractNumId w:val="330"/>
  </w:num>
  <w:num w:numId="416">
    <w:abstractNumId w:val="631"/>
  </w:num>
  <w:num w:numId="417">
    <w:abstractNumId w:val="427"/>
  </w:num>
  <w:num w:numId="418">
    <w:abstractNumId w:val="72"/>
  </w:num>
  <w:num w:numId="419">
    <w:abstractNumId w:val="375"/>
  </w:num>
  <w:num w:numId="420">
    <w:abstractNumId w:val="177"/>
  </w:num>
  <w:num w:numId="421">
    <w:abstractNumId w:val="577"/>
  </w:num>
  <w:num w:numId="422">
    <w:abstractNumId w:val="32"/>
  </w:num>
  <w:num w:numId="423">
    <w:abstractNumId w:val="612"/>
  </w:num>
  <w:num w:numId="424">
    <w:abstractNumId w:val="185"/>
  </w:num>
  <w:num w:numId="425">
    <w:abstractNumId w:val="934"/>
  </w:num>
  <w:num w:numId="426">
    <w:abstractNumId w:val="891"/>
  </w:num>
  <w:num w:numId="427">
    <w:abstractNumId w:val="864"/>
  </w:num>
  <w:num w:numId="428">
    <w:abstractNumId w:val="665"/>
  </w:num>
  <w:num w:numId="429">
    <w:abstractNumId w:val="76"/>
  </w:num>
  <w:num w:numId="430">
    <w:abstractNumId w:val="641"/>
  </w:num>
  <w:num w:numId="431">
    <w:abstractNumId w:val="146"/>
  </w:num>
  <w:num w:numId="432">
    <w:abstractNumId w:val="8"/>
  </w:num>
  <w:num w:numId="433">
    <w:abstractNumId w:val="745"/>
  </w:num>
  <w:num w:numId="434">
    <w:abstractNumId w:val="951"/>
  </w:num>
  <w:num w:numId="435">
    <w:abstractNumId w:val="79"/>
  </w:num>
  <w:num w:numId="436">
    <w:abstractNumId w:val="614"/>
  </w:num>
  <w:num w:numId="437">
    <w:abstractNumId w:val="347"/>
  </w:num>
  <w:num w:numId="438">
    <w:abstractNumId w:val="152"/>
  </w:num>
  <w:num w:numId="439">
    <w:abstractNumId w:val="441"/>
  </w:num>
  <w:num w:numId="440">
    <w:abstractNumId w:val="484"/>
  </w:num>
  <w:num w:numId="441">
    <w:abstractNumId w:val="881"/>
  </w:num>
  <w:num w:numId="442">
    <w:abstractNumId w:val="692"/>
  </w:num>
  <w:num w:numId="443">
    <w:abstractNumId w:val="958"/>
  </w:num>
  <w:num w:numId="444">
    <w:abstractNumId w:val="21"/>
  </w:num>
  <w:num w:numId="445">
    <w:abstractNumId w:val="481"/>
  </w:num>
  <w:num w:numId="446">
    <w:abstractNumId w:val="914"/>
  </w:num>
  <w:num w:numId="447">
    <w:abstractNumId w:val="159"/>
  </w:num>
  <w:num w:numId="448">
    <w:abstractNumId w:val="771"/>
  </w:num>
  <w:num w:numId="449">
    <w:abstractNumId w:val="595"/>
  </w:num>
  <w:num w:numId="450">
    <w:abstractNumId w:val="805"/>
  </w:num>
  <w:num w:numId="451">
    <w:abstractNumId w:val="586"/>
  </w:num>
  <w:num w:numId="452">
    <w:abstractNumId w:val="112"/>
  </w:num>
  <w:num w:numId="453">
    <w:abstractNumId w:val="276"/>
  </w:num>
  <w:num w:numId="454">
    <w:abstractNumId w:val="946"/>
  </w:num>
  <w:num w:numId="455">
    <w:abstractNumId w:val="34"/>
  </w:num>
  <w:num w:numId="456">
    <w:abstractNumId w:val="180"/>
  </w:num>
  <w:num w:numId="457">
    <w:abstractNumId w:val="460"/>
  </w:num>
  <w:num w:numId="458">
    <w:abstractNumId w:val="421"/>
  </w:num>
  <w:num w:numId="459">
    <w:abstractNumId w:val="36"/>
  </w:num>
  <w:num w:numId="460">
    <w:abstractNumId w:val="182"/>
  </w:num>
  <w:num w:numId="461">
    <w:abstractNumId w:val="929"/>
  </w:num>
  <w:num w:numId="462">
    <w:abstractNumId w:val="377"/>
  </w:num>
  <w:num w:numId="463">
    <w:abstractNumId w:val="942"/>
  </w:num>
  <w:num w:numId="464">
    <w:abstractNumId w:val="943"/>
  </w:num>
  <w:num w:numId="465">
    <w:abstractNumId w:val="416"/>
  </w:num>
  <w:num w:numId="466">
    <w:abstractNumId w:val="756"/>
  </w:num>
  <w:num w:numId="467">
    <w:abstractNumId w:val="85"/>
  </w:num>
  <w:num w:numId="468">
    <w:abstractNumId w:val="214"/>
  </w:num>
  <w:num w:numId="469">
    <w:abstractNumId w:val="108"/>
  </w:num>
  <w:num w:numId="470">
    <w:abstractNumId w:val="42"/>
  </w:num>
  <w:num w:numId="471">
    <w:abstractNumId w:val="215"/>
  </w:num>
  <w:num w:numId="472">
    <w:abstractNumId w:val="755"/>
  </w:num>
  <w:num w:numId="473">
    <w:abstractNumId w:val="313"/>
  </w:num>
  <w:num w:numId="474">
    <w:abstractNumId w:val="583"/>
  </w:num>
  <w:num w:numId="475">
    <w:abstractNumId w:val="568"/>
  </w:num>
  <w:num w:numId="476">
    <w:abstractNumId w:val="598"/>
  </w:num>
  <w:num w:numId="477">
    <w:abstractNumId w:val="532"/>
  </w:num>
  <w:num w:numId="478">
    <w:abstractNumId w:val="420"/>
  </w:num>
  <w:num w:numId="479">
    <w:abstractNumId w:val="310"/>
  </w:num>
  <w:num w:numId="480">
    <w:abstractNumId w:val="645"/>
  </w:num>
  <w:num w:numId="481">
    <w:abstractNumId w:val="952"/>
  </w:num>
  <w:num w:numId="482">
    <w:abstractNumId w:val="382"/>
  </w:num>
  <w:num w:numId="483">
    <w:abstractNumId w:val="795"/>
  </w:num>
  <w:num w:numId="484">
    <w:abstractNumId w:val="983"/>
  </w:num>
  <w:num w:numId="485">
    <w:abstractNumId w:val="320"/>
  </w:num>
  <w:num w:numId="486">
    <w:abstractNumId w:val="84"/>
  </w:num>
  <w:num w:numId="487">
    <w:abstractNumId w:val="675"/>
  </w:num>
  <w:num w:numId="488">
    <w:abstractNumId w:val="96"/>
  </w:num>
  <w:num w:numId="489">
    <w:abstractNumId w:val="20"/>
  </w:num>
  <w:num w:numId="490">
    <w:abstractNumId w:val="359"/>
  </w:num>
  <w:num w:numId="491">
    <w:abstractNumId w:val="362"/>
  </w:num>
  <w:num w:numId="492">
    <w:abstractNumId w:val="628"/>
  </w:num>
  <w:num w:numId="493">
    <w:abstractNumId w:val="578"/>
  </w:num>
  <w:num w:numId="494">
    <w:abstractNumId w:val="134"/>
  </w:num>
  <w:num w:numId="495">
    <w:abstractNumId w:val="620"/>
  </w:num>
  <w:num w:numId="496">
    <w:abstractNumId w:val="143"/>
  </w:num>
  <w:num w:numId="497">
    <w:abstractNumId w:val="437"/>
  </w:num>
  <w:num w:numId="498">
    <w:abstractNumId w:val="183"/>
  </w:num>
  <w:num w:numId="499">
    <w:abstractNumId w:val="862"/>
  </w:num>
  <w:num w:numId="500">
    <w:abstractNumId w:val="901"/>
  </w:num>
  <w:num w:numId="501">
    <w:abstractNumId w:val="0"/>
  </w:num>
  <w:num w:numId="502">
    <w:abstractNumId w:val="56"/>
  </w:num>
  <w:num w:numId="503">
    <w:abstractNumId w:val="902"/>
  </w:num>
  <w:num w:numId="504">
    <w:abstractNumId w:val="195"/>
  </w:num>
  <w:num w:numId="505">
    <w:abstractNumId w:val="662"/>
  </w:num>
  <w:num w:numId="506">
    <w:abstractNumId w:val="674"/>
  </w:num>
  <w:num w:numId="507">
    <w:abstractNumId w:val="838"/>
  </w:num>
  <w:num w:numId="508">
    <w:abstractNumId w:val="482"/>
  </w:num>
  <w:num w:numId="509">
    <w:abstractNumId w:val="342"/>
  </w:num>
  <w:num w:numId="510">
    <w:abstractNumId w:val="86"/>
  </w:num>
  <w:num w:numId="511">
    <w:abstractNumId w:val="794"/>
  </w:num>
  <w:num w:numId="512">
    <w:abstractNumId w:val="449"/>
  </w:num>
  <w:num w:numId="513">
    <w:abstractNumId w:val="309"/>
  </w:num>
  <w:num w:numId="514">
    <w:abstractNumId w:val="292"/>
  </w:num>
  <w:num w:numId="515">
    <w:abstractNumId w:val="609"/>
  </w:num>
  <w:num w:numId="516">
    <w:abstractNumId w:val="17"/>
  </w:num>
  <w:num w:numId="517">
    <w:abstractNumId w:val="933"/>
  </w:num>
  <w:num w:numId="518">
    <w:abstractNumId w:val="974"/>
  </w:num>
  <w:num w:numId="519">
    <w:abstractNumId w:val="192"/>
  </w:num>
  <w:num w:numId="520">
    <w:abstractNumId w:val="953"/>
  </w:num>
  <w:num w:numId="521">
    <w:abstractNumId w:val="954"/>
  </w:num>
  <w:num w:numId="522">
    <w:abstractNumId w:val="332"/>
  </w:num>
  <w:num w:numId="523">
    <w:abstractNumId w:val="866"/>
  </w:num>
  <w:num w:numId="524">
    <w:abstractNumId w:val="469"/>
  </w:num>
  <w:num w:numId="525">
    <w:abstractNumId w:val="203"/>
  </w:num>
  <w:num w:numId="526">
    <w:abstractNumId w:val="274"/>
  </w:num>
  <w:num w:numId="527">
    <w:abstractNumId w:val="956"/>
  </w:num>
  <w:num w:numId="528">
    <w:abstractNumId w:val="896"/>
  </w:num>
  <w:num w:numId="529">
    <w:abstractNumId w:val="643"/>
  </w:num>
  <w:num w:numId="530">
    <w:abstractNumId w:val="766"/>
  </w:num>
  <w:num w:numId="531">
    <w:abstractNumId w:val="379"/>
  </w:num>
  <w:num w:numId="532">
    <w:abstractNumId w:val="685"/>
  </w:num>
  <w:num w:numId="533">
    <w:abstractNumId w:val="299"/>
  </w:num>
  <w:num w:numId="534">
    <w:abstractNumId w:val="249"/>
  </w:num>
  <w:num w:numId="535">
    <w:abstractNumId w:val="973"/>
  </w:num>
  <w:num w:numId="536">
    <w:abstractNumId w:val="652"/>
  </w:num>
  <w:num w:numId="537">
    <w:abstractNumId w:val="680"/>
  </w:num>
  <w:num w:numId="538">
    <w:abstractNumId w:val="281"/>
  </w:num>
  <w:num w:numId="539">
    <w:abstractNumId w:val="700"/>
  </w:num>
  <w:num w:numId="540">
    <w:abstractNumId w:val="621"/>
  </w:num>
  <w:num w:numId="541">
    <w:abstractNumId w:val="807"/>
  </w:num>
  <w:num w:numId="542">
    <w:abstractNumId w:val="137"/>
  </w:num>
  <w:num w:numId="543">
    <w:abstractNumId w:val="147"/>
  </w:num>
  <w:num w:numId="544">
    <w:abstractNumId w:val="915"/>
  </w:num>
  <w:num w:numId="545">
    <w:abstractNumId w:val="799"/>
  </w:num>
  <w:num w:numId="546">
    <w:abstractNumId w:val="615"/>
  </w:num>
  <w:num w:numId="547">
    <w:abstractNumId w:val="263"/>
  </w:num>
  <w:num w:numId="548">
    <w:abstractNumId w:val="932"/>
  </w:num>
  <w:num w:numId="549">
    <w:abstractNumId w:val="562"/>
  </w:num>
  <w:num w:numId="550">
    <w:abstractNumId w:val="613"/>
  </w:num>
  <w:num w:numId="551">
    <w:abstractNumId w:val="868"/>
  </w:num>
  <w:num w:numId="552">
    <w:abstractNumId w:val="538"/>
  </w:num>
  <w:num w:numId="553">
    <w:abstractNumId w:val="10"/>
  </w:num>
  <w:num w:numId="554">
    <w:abstractNumId w:val="512"/>
  </w:num>
  <w:num w:numId="555">
    <w:abstractNumId w:val="12"/>
  </w:num>
  <w:num w:numId="556">
    <w:abstractNumId w:val="817"/>
  </w:num>
  <w:num w:numId="557">
    <w:abstractNumId w:val="782"/>
  </w:num>
  <w:num w:numId="558">
    <w:abstractNumId w:val="786"/>
  </w:num>
  <w:num w:numId="559">
    <w:abstractNumId w:val="335"/>
  </w:num>
  <w:num w:numId="560">
    <w:abstractNumId w:val="505"/>
  </w:num>
  <w:num w:numId="561">
    <w:abstractNumId w:val="383"/>
  </w:num>
  <w:num w:numId="562">
    <w:abstractNumId w:val="970"/>
  </w:num>
  <w:num w:numId="563">
    <w:abstractNumId w:val="268"/>
  </w:num>
  <w:num w:numId="564">
    <w:abstractNumId w:val="238"/>
  </w:num>
  <w:num w:numId="565">
    <w:abstractNumId w:val="343"/>
  </w:num>
  <w:num w:numId="566">
    <w:abstractNumId w:val="517"/>
  </w:num>
  <w:num w:numId="567">
    <w:abstractNumId w:val="254"/>
  </w:num>
  <w:num w:numId="568">
    <w:abstractNumId w:val="761"/>
  </w:num>
  <w:num w:numId="569">
    <w:abstractNumId w:val="228"/>
  </w:num>
  <w:num w:numId="570">
    <w:abstractNumId w:val="961"/>
  </w:num>
  <w:num w:numId="571">
    <w:abstractNumId w:val="475"/>
  </w:num>
  <w:num w:numId="572">
    <w:abstractNumId w:val="61"/>
  </w:num>
  <w:num w:numId="573">
    <w:abstractNumId w:val="88"/>
  </w:num>
  <w:num w:numId="574">
    <w:abstractNumId w:val="784"/>
  </w:num>
  <w:num w:numId="575">
    <w:abstractNumId w:val="89"/>
  </w:num>
  <w:num w:numId="576">
    <w:abstractNumId w:val="772"/>
  </w:num>
  <w:num w:numId="577">
    <w:abstractNumId w:val="969"/>
  </w:num>
  <w:num w:numId="578">
    <w:abstractNumId w:val="857"/>
  </w:num>
  <w:num w:numId="579">
    <w:abstractNumId w:val="404"/>
  </w:num>
  <w:num w:numId="580">
    <w:abstractNumId w:val="294"/>
  </w:num>
  <w:num w:numId="581">
    <w:abstractNumId w:val="508"/>
  </w:num>
  <w:num w:numId="582">
    <w:abstractNumId w:val="504"/>
  </w:num>
  <w:num w:numId="583">
    <w:abstractNumId w:val="673"/>
  </w:num>
  <w:num w:numId="584">
    <w:abstractNumId w:val="373"/>
  </w:num>
  <w:num w:numId="585">
    <w:abstractNumId w:val="769"/>
  </w:num>
  <w:num w:numId="586">
    <w:abstractNumId w:val="567"/>
  </w:num>
  <w:num w:numId="587">
    <w:abstractNumId w:val="242"/>
  </w:num>
  <w:num w:numId="588">
    <w:abstractNumId w:val="574"/>
  </w:num>
  <w:num w:numId="589">
    <w:abstractNumId w:val="717"/>
  </w:num>
  <w:num w:numId="590">
    <w:abstractNumId w:val="629"/>
  </w:num>
  <w:num w:numId="591">
    <w:abstractNumId w:val="391"/>
  </w:num>
  <w:num w:numId="592">
    <w:abstractNumId w:val="40"/>
  </w:num>
  <w:num w:numId="593">
    <w:abstractNumId w:val="479"/>
  </w:num>
  <w:num w:numId="594">
    <w:abstractNumId w:val="978"/>
  </w:num>
  <w:num w:numId="595">
    <w:abstractNumId w:val="529"/>
  </w:num>
  <w:num w:numId="596">
    <w:abstractNumId w:val="556"/>
  </w:num>
  <w:num w:numId="597">
    <w:abstractNumId w:val="278"/>
  </w:num>
  <w:num w:numId="598">
    <w:abstractNumId w:val="506"/>
  </w:num>
  <w:num w:numId="599">
    <w:abstractNumId w:val="706"/>
  </w:num>
  <w:num w:numId="600">
    <w:abstractNumId w:val="54"/>
  </w:num>
  <w:num w:numId="601">
    <w:abstractNumId w:val="722"/>
  </w:num>
  <w:num w:numId="602">
    <w:abstractNumId w:val="533"/>
  </w:num>
  <w:num w:numId="603">
    <w:abstractNumId w:val="873"/>
  </w:num>
  <w:num w:numId="604">
    <w:abstractNumId w:val="912"/>
  </w:num>
  <w:num w:numId="605">
    <w:abstractNumId w:val="624"/>
  </w:num>
  <w:num w:numId="606">
    <w:abstractNumId w:val="52"/>
  </w:num>
  <w:num w:numId="607">
    <w:abstractNumId w:val="801"/>
  </w:num>
  <w:num w:numId="608">
    <w:abstractNumId w:val="472"/>
  </w:num>
  <w:num w:numId="609">
    <w:abstractNumId w:val="413"/>
  </w:num>
  <w:num w:numId="610">
    <w:abstractNumId w:val="803"/>
  </w:num>
  <w:num w:numId="611">
    <w:abstractNumId w:val="115"/>
  </w:num>
  <w:num w:numId="612">
    <w:abstractNumId w:val="80"/>
  </w:num>
  <w:num w:numId="613">
    <w:abstractNumId w:val="398"/>
  </w:num>
  <w:num w:numId="614">
    <w:abstractNumId w:val="939"/>
  </w:num>
  <w:num w:numId="615">
    <w:abstractNumId w:val="170"/>
  </w:num>
  <w:num w:numId="616">
    <w:abstractNumId w:val="412"/>
  </w:num>
  <w:num w:numId="617">
    <w:abstractNumId w:val="885"/>
  </w:num>
  <w:num w:numId="618">
    <w:abstractNumId w:val="554"/>
  </w:num>
  <w:num w:numId="619">
    <w:abstractNumId w:val="25"/>
  </w:num>
  <w:num w:numId="620">
    <w:abstractNumId w:val="764"/>
  </w:num>
  <w:num w:numId="621">
    <w:abstractNumId w:val="295"/>
  </w:num>
  <w:num w:numId="622">
    <w:abstractNumId w:val="735"/>
  </w:num>
  <w:num w:numId="623">
    <w:abstractNumId w:val="55"/>
  </w:num>
  <w:num w:numId="624">
    <w:abstractNumId w:val="936"/>
  </w:num>
  <w:num w:numId="625">
    <w:abstractNumId w:val="468"/>
  </w:num>
  <w:num w:numId="626">
    <w:abstractNumId w:val="690"/>
  </w:num>
  <w:num w:numId="627">
    <w:abstractNumId w:val="950"/>
  </w:num>
  <w:num w:numId="628">
    <w:abstractNumId w:val="580"/>
  </w:num>
  <w:num w:numId="629">
    <w:abstractNumId w:val="737"/>
  </w:num>
  <w:num w:numId="630">
    <w:abstractNumId w:val="565"/>
  </w:num>
  <w:num w:numId="631">
    <w:abstractNumId w:val="926"/>
  </w:num>
  <w:num w:numId="632">
    <w:abstractNumId w:val="919"/>
  </w:num>
  <w:num w:numId="633">
    <w:abstractNumId w:val="684"/>
  </w:num>
  <w:num w:numId="634">
    <w:abstractNumId w:val="353"/>
  </w:num>
  <w:num w:numId="635">
    <w:abstractNumId w:val="844"/>
  </w:num>
  <w:num w:numId="636">
    <w:abstractNumId w:val="445"/>
  </w:num>
  <w:num w:numId="637">
    <w:abstractNumId w:val="602"/>
  </w:num>
  <w:num w:numId="638">
    <w:abstractNumId w:val="206"/>
  </w:num>
  <w:num w:numId="639">
    <w:abstractNumId w:val="689"/>
  </w:num>
  <w:num w:numId="640">
    <w:abstractNumId w:val="149"/>
  </w:num>
  <w:num w:numId="641">
    <w:abstractNumId w:val="925"/>
  </w:num>
  <w:num w:numId="642">
    <w:abstractNumId w:val="409"/>
  </w:num>
  <w:num w:numId="643">
    <w:abstractNumId w:val="163"/>
  </w:num>
  <w:num w:numId="644">
    <w:abstractNumId w:val="241"/>
  </w:num>
  <w:num w:numId="645">
    <w:abstractNumId w:val="715"/>
  </w:num>
  <w:num w:numId="646">
    <w:abstractNumId w:val="259"/>
  </w:num>
  <w:num w:numId="647">
    <w:abstractNumId w:val="540"/>
  </w:num>
  <w:num w:numId="648">
    <w:abstractNumId w:val="836"/>
  </w:num>
  <w:num w:numId="649">
    <w:abstractNumId w:val="571"/>
  </w:num>
  <w:num w:numId="650">
    <w:abstractNumId w:val="439"/>
  </w:num>
  <w:num w:numId="651">
    <w:abstractNumId w:val="619"/>
  </w:num>
  <w:num w:numId="652">
    <w:abstractNumId w:val="370"/>
  </w:num>
  <w:num w:numId="653">
    <w:abstractNumId w:val="634"/>
  </w:num>
  <w:num w:numId="654">
    <w:abstractNumId w:val="477"/>
  </w:num>
  <w:num w:numId="655">
    <w:abstractNumId w:val="167"/>
  </w:num>
  <w:num w:numId="656">
    <w:abstractNumId w:val="65"/>
  </w:num>
  <w:num w:numId="657">
    <w:abstractNumId w:val="740"/>
  </w:num>
  <w:num w:numId="658">
    <w:abstractNumId w:val="136"/>
  </w:num>
  <w:num w:numId="659">
    <w:abstractNumId w:val="544"/>
  </w:num>
  <w:num w:numId="660">
    <w:abstractNumId w:val="39"/>
  </w:num>
  <w:num w:numId="661">
    <w:abstractNumId w:val="582"/>
  </w:num>
  <w:num w:numId="662">
    <w:abstractNumId w:val="271"/>
  </w:num>
  <w:num w:numId="663">
    <w:abstractNumId w:val="131"/>
  </w:num>
  <w:num w:numId="664">
    <w:abstractNumId w:val="33"/>
  </w:num>
  <w:num w:numId="665">
    <w:abstractNumId w:val="763"/>
  </w:num>
  <w:num w:numId="666">
    <w:abstractNumId w:val="262"/>
  </w:num>
  <w:num w:numId="667">
    <w:abstractNumId w:val="417"/>
  </w:num>
  <w:num w:numId="668">
    <w:abstractNumId w:val="720"/>
  </w:num>
  <w:num w:numId="669">
    <w:abstractNumId w:val="217"/>
  </w:num>
  <w:num w:numId="670">
    <w:abstractNumId w:val="323"/>
  </w:num>
  <w:num w:numId="671">
    <w:abstractNumId w:val="172"/>
  </w:num>
  <w:num w:numId="672">
    <w:abstractNumId w:val="255"/>
  </w:num>
  <w:num w:numId="673">
    <w:abstractNumId w:val="301"/>
  </w:num>
  <w:num w:numId="674">
    <w:abstractNumId w:val="509"/>
  </w:num>
  <w:num w:numId="675">
    <w:abstractNumId w:val="922"/>
  </w:num>
  <w:num w:numId="676">
    <w:abstractNumId w:val="547"/>
  </w:num>
  <w:num w:numId="677">
    <w:abstractNumId w:val="462"/>
  </w:num>
  <w:num w:numId="678">
    <w:abstractNumId w:val="633"/>
  </w:num>
  <w:num w:numId="679">
    <w:abstractNumId w:val="81"/>
  </w:num>
  <w:num w:numId="680">
    <w:abstractNumId w:val="733"/>
  </w:num>
  <w:num w:numId="681">
    <w:abstractNumId w:val="775"/>
  </w:num>
  <w:num w:numId="682">
    <w:abstractNumId w:val="452"/>
  </w:num>
  <w:num w:numId="683">
    <w:abstractNumId w:val="227"/>
  </w:num>
  <w:num w:numId="684">
    <w:abstractNumId w:val="714"/>
  </w:num>
  <w:num w:numId="685">
    <w:abstractNumId w:val="981"/>
  </w:num>
  <w:num w:numId="686">
    <w:abstractNumId w:val="132"/>
  </w:num>
  <w:num w:numId="687">
    <w:abstractNumId w:val="408"/>
  </w:num>
  <w:num w:numId="688">
    <w:abstractNumId w:val="909"/>
  </w:num>
  <w:num w:numId="689">
    <w:abstractNumId w:val="433"/>
  </w:num>
  <w:num w:numId="690">
    <w:abstractNumId w:val="266"/>
  </w:num>
  <w:num w:numId="691">
    <w:abstractNumId w:val="707"/>
  </w:num>
  <w:num w:numId="692">
    <w:abstractNumId w:val="457"/>
  </w:num>
  <w:num w:numId="693">
    <w:abstractNumId w:val="279"/>
  </w:num>
  <w:num w:numId="694">
    <w:abstractNumId w:val="287"/>
  </w:num>
  <w:num w:numId="695">
    <w:abstractNumId w:val="797"/>
  </w:num>
  <w:num w:numId="696">
    <w:abstractNumId w:val="738"/>
  </w:num>
  <w:num w:numId="697">
    <w:abstractNumId w:val="603"/>
  </w:num>
  <w:num w:numId="698">
    <w:abstractNumId w:val="71"/>
  </w:num>
  <w:num w:numId="699">
    <w:abstractNumId w:val="876"/>
  </w:num>
  <w:num w:numId="700">
    <w:abstractNumId w:val="660"/>
  </w:num>
  <w:num w:numId="701">
    <w:abstractNumId w:val="607"/>
  </w:num>
  <w:num w:numId="702">
    <w:abstractNumId w:val="808"/>
  </w:num>
  <w:num w:numId="703">
    <w:abstractNumId w:val="237"/>
  </w:num>
  <w:num w:numId="704">
    <w:abstractNumId w:val="600"/>
  </w:num>
  <w:num w:numId="705">
    <w:abstractNumId w:val="824"/>
  </w:num>
  <w:num w:numId="706">
    <w:abstractNumId w:val="97"/>
  </w:num>
  <w:num w:numId="707">
    <w:abstractNumId w:val="581"/>
  </w:num>
  <w:num w:numId="708">
    <w:abstractNumId w:val="361"/>
  </w:num>
  <w:num w:numId="709">
    <w:abstractNumId w:val="531"/>
  </w:num>
  <w:num w:numId="710">
    <w:abstractNumId w:val="889"/>
  </w:num>
  <w:num w:numId="711">
    <w:abstractNumId w:val="841"/>
  </w:num>
  <w:num w:numId="712">
    <w:abstractNumId w:val="877"/>
  </w:num>
  <w:num w:numId="713">
    <w:abstractNumId w:val="977"/>
  </w:num>
  <w:num w:numId="714">
    <w:abstractNumId w:val="695"/>
  </w:num>
  <w:num w:numId="715">
    <w:abstractNumId w:val="798"/>
  </w:num>
  <w:num w:numId="716">
    <w:abstractNumId w:val="70"/>
  </w:num>
  <w:num w:numId="717">
    <w:abstractNumId w:val="883"/>
  </w:num>
  <w:num w:numId="718">
    <w:abstractNumId w:val="739"/>
  </w:num>
  <w:num w:numId="719">
    <w:abstractNumId w:val="811"/>
  </w:num>
  <w:num w:numId="720">
    <w:abstractNumId w:val="552"/>
  </w:num>
  <w:num w:numId="721">
    <w:abstractNumId w:val="158"/>
  </w:num>
  <w:num w:numId="722">
    <w:abstractNumId w:val="312"/>
  </w:num>
  <w:num w:numId="723">
    <w:abstractNumId w:val="38"/>
  </w:num>
  <w:num w:numId="724">
    <w:abstractNumId w:val="325"/>
  </w:num>
  <w:num w:numId="725">
    <w:abstractNumId w:val="734"/>
  </w:num>
  <w:num w:numId="726">
    <w:abstractNumId w:val="341"/>
  </w:num>
  <w:num w:numId="727">
    <w:abstractNumId w:val="526"/>
  </w:num>
  <w:num w:numId="728">
    <w:abstractNumId w:val="543"/>
  </w:num>
  <w:num w:numId="729">
    <w:abstractNumId w:val="542"/>
  </w:num>
  <w:num w:numId="730">
    <w:abstractNumId w:val="121"/>
  </w:num>
  <w:num w:numId="731">
    <w:abstractNumId w:val="5"/>
  </w:num>
  <w:num w:numId="732">
    <w:abstractNumId w:val="682"/>
  </w:num>
  <w:num w:numId="733">
    <w:abstractNumId w:val="444"/>
  </w:num>
  <w:num w:numId="734">
    <w:abstractNumId w:val="315"/>
  </w:num>
  <w:num w:numId="735">
    <w:abstractNumId w:val="716"/>
  </w:num>
  <w:num w:numId="736">
    <w:abstractNumId w:val="41"/>
  </w:num>
  <w:num w:numId="737">
    <w:abstractNumId w:val="863"/>
  </w:num>
  <w:num w:numId="738">
    <w:abstractNumId w:val="368"/>
  </w:num>
  <w:num w:numId="739">
    <w:abstractNumId w:val="486"/>
  </w:num>
  <w:num w:numId="740">
    <w:abstractNumId w:val="572"/>
  </w:num>
  <w:num w:numId="741">
    <w:abstractNumId w:val="699"/>
  </w:num>
  <w:num w:numId="742">
    <w:abstractNumId w:val="429"/>
  </w:num>
  <w:num w:numId="743">
    <w:abstractNumId w:val="483"/>
  </w:num>
  <w:num w:numId="744">
    <w:abstractNumId w:val="277"/>
  </w:num>
  <w:num w:numId="745">
    <w:abstractNumId w:val="302"/>
  </w:num>
  <w:num w:numId="746">
    <w:abstractNumId w:val="290"/>
  </w:num>
  <w:num w:numId="747">
    <w:abstractNumId w:val="708"/>
  </w:num>
  <w:num w:numId="748">
    <w:abstractNumId w:val="947"/>
  </w:num>
  <w:num w:numId="749">
    <w:abstractNumId w:val="596"/>
  </w:num>
  <w:num w:numId="750">
    <w:abstractNumId w:val="322"/>
  </w:num>
  <w:num w:numId="751">
    <w:abstractNumId w:val="627"/>
  </w:num>
  <w:num w:numId="752">
    <w:abstractNumId w:val="100"/>
  </w:num>
  <w:num w:numId="753">
    <w:abstractNumId w:val="840"/>
  </w:num>
  <w:num w:numId="754">
    <w:abstractNumId w:val="26"/>
  </w:num>
  <w:num w:numId="755">
    <w:abstractNumId w:val="491"/>
  </w:num>
  <w:num w:numId="756">
    <w:abstractNumId w:val="326"/>
  </w:num>
  <w:num w:numId="757">
    <w:abstractNumId w:val="513"/>
  </w:num>
  <w:num w:numId="758">
    <w:abstractNumId w:val="793"/>
  </w:num>
  <w:num w:numId="759">
    <w:abstractNumId w:val="393"/>
  </w:num>
  <w:num w:numId="760">
    <w:abstractNumId w:val="510"/>
  </w:num>
  <w:num w:numId="761">
    <w:abstractNumId w:val="972"/>
  </w:num>
  <w:num w:numId="762">
    <w:abstractNumId w:val="630"/>
  </w:num>
  <w:num w:numId="763">
    <w:abstractNumId w:val="518"/>
  </w:num>
  <w:num w:numId="764">
    <w:abstractNumId w:val="470"/>
  </w:num>
  <w:num w:numId="765">
    <w:abstractNumId w:val="906"/>
  </w:num>
  <w:num w:numId="766">
    <w:abstractNumId w:val="796"/>
  </w:num>
  <w:num w:numId="767">
    <w:abstractNumId w:val="145"/>
  </w:num>
  <w:num w:numId="768">
    <w:abstractNumId w:val="162"/>
  </w:num>
  <w:num w:numId="769">
    <w:abstractNumId w:val="948"/>
  </w:num>
  <w:num w:numId="770">
    <w:abstractNumId w:val="606"/>
  </w:num>
  <w:num w:numId="771">
    <w:abstractNumId w:val="448"/>
  </w:num>
  <w:num w:numId="772">
    <w:abstractNumId w:val="750"/>
  </w:num>
  <w:num w:numId="773">
    <w:abstractNumId w:val="851"/>
  </w:num>
  <w:num w:numId="774">
    <w:abstractNumId w:val="765"/>
  </w:num>
  <w:num w:numId="775">
    <w:abstractNumId w:val="28"/>
  </w:num>
  <w:num w:numId="776">
    <w:abstractNumId w:val="703"/>
  </w:num>
  <w:num w:numId="777">
    <w:abstractNumId w:val="9"/>
  </w:num>
  <w:num w:numId="778">
    <w:abstractNumId w:val="694"/>
  </w:num>
  <w:num w:numId="779">
    <w:abstractNumId w:val="730"/>
  </w:num>
  <w:num w:numId="780">
    <w:abstractNumId w:val="296"/>
  </w:num>
  <w:num w:numId="781">
    <w:abstractNumId w:val="778"/>
  </w:num>
  <w:num w:numId="782">
    <w:abstractNumId w:val="75"/>
  </w:num>
  <w:num w:numId="783">
    <w:abstractNumId w:val="114"/>
  </w:num>
  <w:num w:numId="784">
    <w:abstractNumId w:val="570"/>
  </w:num>
  <w:num w:numId="785">
    <w:abstractNumId w:val="428"/>
  </w:num>
  <w:num w:numId="786">
    <w:abstractNumId w:val="617"/>
  </w:num>
  <w:num w:numId="787">
    <w:abstractNumId w:val="400"/>
  </w:num>
  <w:num w:numId="788">
    <w:abstractNumId w:val="818"/>
  </w:num>
  <w:num w:numId="789">
    <w:abstractNumId w:val="656"/>
  </w:num>
  <w:num w:numId="790">
    <w:abstractNumId w:val="646"/>
  </w:num>
  <w:num w:numId="791">
    <w:abstractNumId w:val="667"/>
  </w:num>
  <w:num w:numId="792">
    <w:abstractNumId w:val="204"/>
  </w:num>
  <w:num w:numId="793">
    <w:abstractNumId w:val="664"/>
  </w:num>
  <w:num w:numId="794">
    <w:abstractNumId w:val="965"/>
  </w:num>
  <w:num w:numId="795">
    <w:abstractNumId w:val="604"/>
  </w:num>
  <w:num w:numId="796">
    <w:abstractNumId w:val="246"/>
  </w:num>
  <w:num w:numId="797">
    <w:abstractNumId w:val="802"/>
  </w:num>
  <w:num w:numId="798">
    <w:abstractNumId w:val="430"/>
  </w:num>
  <w:num w:numId="799">
    <w:abstractNumId w:val="49"/>
  </w:num>
  <w:num w:numId="800">
    <w:abstractNumId w:val="272"/>
  </w:num>
  <w:num w:numId="801">
    <w:abstractNumId w:val="395"/>
  </w:num>
  <w:num w:numId="802">
    <w:abstractNumId w:val="852"/>
  </w:num>
  <w:num w:numId="803">
    <w:abstractNumId w:val="176"/>
  </w:num>
  <w:num w:numId="804">
    <w:abstractNumId w:val="753"/>
  </w:num>
  <w:num w:numId="805">
    <w:abstractNumId w:val="759"/>
  </w:num>
  <w:num w:numId="806">
    <w:abstractNumId w:val="829"/>
  </w:num>
  <w:num w:numId="807">
    <w:abstractNumId w:val="24"/>
  </w:num>
  <w:num w:numId="808">
    <w:abstractNumId w:val="890"/>
  </w:num>
  <w:num w:numId="809">
    <w:abstractNumId w:val="924"/>
  </w:num>
  <w:num w:numId="810">
    <w:abstractNumId w:val="859"/>
  </w:num>
  <w:num w:numId="811">
    <w:abstractNumId w:val="431"/>
  </w:num>
  <w:num w:numId="812">
    <w:abstractNumId w:val="99"/>
  </w:num>
  <w:num w:numId="813">
    <w:abstractNumId w:val="930"/>
  </w:num>
  <w:num w:numId="814">
    <w:abstractNumId w:val="842"/>
  </w:num>
  <w:num w:numId="815">
    <w:abstractNumId w:val="321"/>
  </w:num>
  <w:num w:numId="816">
    <w:abstractNumId w:val="757"/>
  </w:num>
  <w:num w:numId="817">
    <w:abstractNumId w:val="333"/>
  </w:num>
  <w:num w:numId="818">
    <w:abstractNumId w:val="344"/>
  </w:num>
  <w:num w:numId="819">
    <w:abstractNumId w:val="776"/>
  </w:num>
  <w:num w:numId="820">
    <w:abstractNumId w:val="354"/>
  </w:num>
  <w:num w:numId="821">
    <w:abstractNumId w:val="264"/>
  </w:num>
  <w:num w:numId="822">
    <w:abstractNumId w:val="142"/>
  </w:num>
  <w:num w:numId="823">
    <w:abstractNumId w:val="244"/>
  </w:num>
  <w:num w:numId="824">
    <w:abstractNumId w:val="267"/>
  </w:num>
  <w:num w:numId="825">
    <w:abstractNumId w:val="446"/>
  </w:num>
  <w:num w:numId="826">
    <w:abstractNumId w:val="559"/>
  </w:num>
  <w:num w:numId="827">
    <w:abstractNumId w:val="585"/>
  </w:num>
  <w:num w:numId="828">
    <w:abstractNumId w:val="781"/>
  </w:num>
  <w:num w:numId="829">
    <w:abstractNumId w:val="642"/>
  </w:num>
  <w:num w:numId="830">
    <w:abstractNumId w:val="438"/>
  </w:num>
  <w:num w:numId="831">
    <w:abstractNumId w:val="487"/>
  </w:num>
  <w:num w:numId="832">
    <w:abstractNumId w:val="788"/>
  </w:num>
  <w:num w:numId="833">
    <w:abstractNumId w:val="198"/>
  </w:num>
  <w:num w:numId="834">
    <w:abstractNumId w:val="728"/>
  </w:num>
  <w:num w:numId="835">
    <w:abstractNumId w:val="705"/>
  </w:num>
  <w:num w:numId="836">
    <w:abstractNumId w:val="648"/>
  </w:num>
  <w:num w:numId="837">
    <w:abstractNumId w:val="105"/>
  </w:num>
  <w:num w:numId="838">
    <w:abstractNumId w:val="236"/>
  </w:num>
  <w:num w:numId="839">
    <w:abstractNumId w:val="119"/>
  </w:num>
  <w:num w:numId="840">
    <w:abstractNumId w:val="516"/>
  </w:num>
  <w:num w:numId="841">
    <w:abstractNumId w:val="77"/>
  </w:num>
  <w:num w:numId="842">
    <w:abstractNumId w:val="423"/>
  </w:num>
  <w:num w:numId="843">
    <w:abstractNumId w:val="107"/>
  </w:num>
  <w:num w:numId="844">
    <w:abstractNumId w:val="810"/>
  </w:num>
  <w:num w:numId="845">
    <w:abstractNumId w:val="911"/>
  </w:num>
  <w:num w:numId="846">
    <w:abstractNumId w:val="314"/>
  </w:num>
  <w:num w:numId="847">
    <w:abstractNumId w:val="502"/>
  </w:num>
  <w:num w:numId="848">
    <w:abstractNumId w:val="550"/>
  </w:num>
  <w:num w:numId="849">
    <w:abstractNumId w:val="394"/>
  </w:num>
  <w:num w:numId="850">
    <w:abstractNumId w:val="166"/>
  </w:num>
  <w:num w:numId="851">
    <w:abstractNumId w:val="895"/>
  </w:num>
  <w:num w:numId="852">
    <w:abstractNumId w:val="392"/>
  </w:num>
  <w:num w:numId="853">
    <w:abstractNumId w:val="336"/>
  </w:num>
  <w:num w:numId="854">
    <w:abstractNumId w:val="94"/>
  </w:num>
  <w:num w:numId="855">
    <w:abstractNumId w:val="960"/>
  </w:num>
  <w:num w:numId="856">
    <w:abstractNumId w:val="729"/>
  </w:num>
  <w:num w:numId="857">
    <w:abstractNumId w:val="66"/>
  </w:num>
  <w:num w:numId="858">
    <w:abstractNumId w:val="480"/>
  </w:num>
  <w:num w:numId="859">
    <w:abstractNumId w:val="762"/>
  </w:num>
  <w:num w:numId="860">
    <w:abstractNumId w:val="151"/>
  </w:num>
  <w:num w:numId="861">
    <w:abstractNumId w:val="809"/>
  </w:num>
  <w:num w:numId="862">
    <w:abstractNumId w:val="867"/>
  </w:num>
  <w:num w:numId="863">
    <w:abstractNumId w:val="569"/>
  </w:num>
  <w:num w:numId="864">
    <w:abstractNumId w:val="521"/>
  </w:num>
  <w:num w:numId="865">
    <w:abstractNumId w:val="102"/>
  </w:num>
  <w:num w:numId="866">
    <w:abstractNumId w:val="202"/>
  </w:num>
  <w:num w:numId="867">
    <w:abstractNumId w:val="823"/>
  </w:num>
  <w:num w:numId="868">
    <w:abstractNumId w:val="218"/>
  </w:num>
  <w:num w:numId="869">
    <w:abstractNumId w:val="610"/>
  </w:num>
  <w:num w:numId="870">
    <w:abstractNumId w:val="62"/>
  </w:num>
  <w:num w:numId="871">
    <w:abstractNumId w:val="837"/>
  </w:num>
  <w:num w:numId="872">
    <w:abstractNumId w:val="500"/>
  </w:num>
  <w:num w:numId="873">
    <w:abstractNumId w:val="69"/>
  </w:num>
  <w:num w:numId="874">
    <w:abstractNumId w:val="3"/>
  </w:num>
  <w:num w:numId="875">
    <w:abstractNumId w:val="473"/>
  </w:num>
  <w:num w:numId="876">
    <w:abstractNumId w:val="822"/>
  </w:num>
  <w:num w:numId="877">
    <w:abstractNumId w:val="122"/>
  </w:num>
  <w:num w:numId="878">
    <w:abstractNumId w:val="903"/>
  </w:num>
  <w:num w:numId="879">
    <w:abstractNumId w:val="686"/>
  </w:num>
  <w:num w:numId="880">
    <w:abstractNumId w:val="154"/>
  </w:num>
  <w:num w:numId="881">
    <w:abstractNumId w:val="982"/>
  </w:num>
  <w:num w:numId="882">
    <w:abstractNumId w:val="357"/>
  </w:num>
  <w:num w:numId="883">
    <w:abstractNumId w:val="894"/>
  </w:num>
  <w:num w:numId="884">
    <w:abstractNumId w:val="223"/>
  </w:num>
  <w:num w:numId="885">
    <w:abstractNumId w:val="923"/>
  </w:num>
  <w:num w:numId="886">
    <w:abstractNumId w:val="367"/>
  </w:num>
  <w:num w:numId="887">
    <w:abstractNumId w:val="777"/>
  </w:num>
  <w:num w:numId="888">
    <w:abstractNumId w:val="300"/>
  </w:num>
  <w:num w:numId="889">
    <w:abstractNumId w:val="573"/>
  </w:num>
  <w:num w:numId="890">
    <w:abstractNumId w:val="874"/>
  </w:num>
  <w:num w:numId="891">
    <w:abstractNumId w:val="13"/>
  </w:num>
  <w:num w:numId="892">
    <w:abstractNumId w:val="318"/>
  </w:num>
  <w:num w:numId="893">
    <w:abstractNumId w:val="636"/>
  </w:num>
  <w:num w:numId="894">
    <w:abstractNumId w:val="193"/>
  </w:num>
  <w:num w:numId="895">
    <w:abstractNumId w:val="882"/>
  </w:num>
  <w:num w:numId="896">
    <w:abstractNumId w:val="731"/>
  </w:num>
  <w:num w:numId="897">
    <w:abstractNumId w:val="898"/>
  </w:num>
  <w:num w:numId="898">
    <w:abstractNumId w:val="436"/>
  </w:num>
  <w:num w:numId="899">
    <w:abstractNumId w:val="865"/>
  </w:num>
  <w:num w:numId="900">
    <w:abstractNumId w:val="422"/>
  </w:num>
  <w:num w:numId="901">
    <w:abstractNumId w:val="424"/>
  </w:num>
  <w:num w:numId="902">
    <w:abstractNumId w:val="496"/>
  </w:num>
  <w:num w:numId="903">
    <w:abstractNumId w:val="331"/>
  </w:num>
  <w:num w:numId="904">
    <w:abstractNumId w:val="893"/>
  </w:num>
  <w:num w:numId="905">
    <w:abstractNumId w:val="963"/>
  </w:num>
  <w:num w:numId="906">
    <w:abstractNumId w:val="58"/>
  </w:num>
  <w:num w:numId="907">
    <w:abstractNumId w:val="514"/>
  </w:num>
  <w:num w:numId="908">
    <w:abstractNumId w:val="434"/>
  </w:num>
  <w:num w:numId="909">
    <w:abstractNumId w:val="767"/>
  </w:num>
  <w:num w:numId="910">
    <w:abstractNumId w:val="197"/>
  </w:num>
  <w:num w:numId="911">
    <w:abstractNumId w:val="549"/>
  </w:num>
  <w:num w:numId="912">
    <w:abstractNumId w:val="275"/>
  </w:num>
  <w:num w:numId="913">
    <w:abstractNumId w:val="380"/>
  </w:num>
  <w:num w:numId="914">
    <w:abstractNumId w:val="226"/>
  </w:num>
  <w:num w:numId="915">
    <w:abstractNumId w:val="693"/>
  </w:num>
  <w:num w:numId="916">
    <w:abstractNumId w:val="691"/>
  </w:num>
  <w:num w:numId="917">
    <w:abstractNumId w:val="492"/>
  </w:num>
  <w:num w:numId="918">
    <w:abstractNumId w:val="871"/>
  </w:num>
  <w:num w:numId="919">
    <w:abstractNumId w:val="406"/>
  </w:num>
  <w:num w:numId="920">
    <w:abstractNumId w:val="499"/>
  </w:num>
  <w:num w:numId="921">
    <w:abstractNumId w:val="15"/>
  </w:num>
  <w:num w:numId="922">
    <w:abstractNumId w:val="212"/>
  </w:num>
  <w:num w:numId="923">
    <w:abstractNumId w:val="123"/>
  </w:num>
  <w:num w:numId="924">
    <w:abstractNumId w:val="48"/>
  </w:num>
  <w:num w:numId="925">
    <w:abstractNumId w:val="760"/>
  </w:num>
  <w:num w:numId="926">
    <w:abstractNumId w:val="832"/>
  </w:num>
  <w:num w:numId="927">
    <w:abstractNumId w:val="677"/>
  </w:num>
  <w:num w:numId="928">
    <w:abstractNumId w:val="135"/>
  </w:num>
  <w:num w:numId="929">
    <w:abstractNumId w:val="725"/>
  </w:num>
  <w:num w:numId="930">
    <w:abstractNumId w:val="403"/>
  </w:num>
  <w:num w:numId="931">
    <w:abstractNumId w:val="243"/>
  </w:num>
  <w:num w:numId="932">
    <w:abstractNumId w:val="16"/>
  </w:num>
  <w:num w:numId="933">
    <w:abstractNumId w:val="7"/>
  </w:num>
  <w:num w:numId="934">
    <w:abstractNumId w:val="659"/>
  </w:num>
  <w:num w:numId="935">
    <w:abstractNumId w:val="95"/>
  </w:num>
  <w:num w:numId="936">
    <w:abstractNumId w:val="201"/>
  </w:num>
  <w:num w:numId="937">
    <w:abstractNumId w:val="525"/>
  </w:num>
  <w:num w:numId="938">
    <w:abstractNumId w:val="785"/>
  </w:num>
  <w:num w:numId="939">
    <w:abstractNumId w:val="64"/>
  </w:num>
  <w:num w:numId="940">
    <w:abstractNumId w:val="297"/>
  </w:num>
  <w:num w:numId="941">
    <w:abstractNumId w:val="45"/>
  </w:num>
  <w:num w:numId="942">
    <w:abstractNumId w:val="711"/>
  </w:num>
  <w:num w:numId="943">
    <w:abstractNumId w:val="144"/>
  </w:num>
  <w:num w:numId="944">
    <w:abstractNumId w:val="650"/>
  </w:num>
  <w:num w:numId="945">
    <w:abstractNumId w:val="415"/>
  </w:num>
  <w:num w:numId="946">
    <w:abstractNumId w:val="897"/>
  </w:num>
  <w:num w:numId="947">
    <w:abstractNumId w:val="726"/>
  </w:num>
  <w:num w:numId="948">
    <w:abstractNumId w:val="265"/>
  </w:num>
  <w:num w:numId="949">
    <w:abstractNumId w:val="835"/>
  </w:num>
  <w:num w:numId="950">
    <w:abstractNumId w:val="27"/>
  </w:num>
  <w:num w:numId="951">
    <w:abstractNumId w:val="93"/>
  </w:num>
  <w:num w:numId="952">
    <w:abstractNumId w:val="899"/>
  </w:num>
  <w:num w:numId="953">
    <w:abstractNumId w:val="189"/>
  </w:num>
  <w:num w:numId="954">
    <w:abstractNumId w:val="608"/>
  </w:num>
  <w:num w:numId="955">
    <w:abstractNumId w:val="365"/>
  </w:num>
  <w:num w:numId="956">
    <w:abstractNumId w:val="564"/>
  </w:num>
  <w:num w:numId="957">
    <w:abstractNumId w:val="561"/>
  </w:num>
  <w:num w:numId="958">
    <w:abstractNumId w:val="233"/>
  </w:num>
  <w:num w:numId="959">
    <w:abstractNumId w:val="748"/>
  </w:num>
  <w:num w:numId="960">
    <w:abstractNumId w:val="478"/>
  </w:num>
  <w:num w:numId="961">
    <w:abstractNumId w:val="60"/>
  </w:num>
  <w:num w:numId="962">
    <w:abstractNumId w:val="455"/>
  </w:num>
  <w:num w:numId="963">
    <w:abstractNumId w:val="199"/>
  </w:num>
  <w:num w:numId="964">
    <w:abstractNumId w:val="30"/>
  </w:num>
  <w:num w:numId="965">
    <w:abstractNumId w:val="231"/>
  </w:num>
  <w:num w:numId="966">
    <w:abstractNumId w:val="1"/>
  </w:num>
  <w:num w:numId="967">
    <w:abstractNumId w:val="155"/>
  </w:num>
  <w:num w:numId="968">
    <w:abstractNumId w:val="447"/>
  </w:num>
  <w:num w:numId="969">
    <w:abstractNumId w:val="139"/>
  </w:num>
  <w:num w:numId="970">
    <w:abstractNumId w:val="537"/>
  </w:num>
  <w:num w:numId="971">
    <w:abstractNumId w:val="886"/>
  </w:num>
  <w:num w:numId="972">
    <w:abstractNumId w:val="106"/>
  </w:num>
  <w:num w:numId="973">
    <w:abstractNumId w:val="120"/>
  </w:num>
  <w:num w:numId="974">
    <w:abstractNumId w:val="949"/>
  </w:num>
  <w:num w:numId="975">
    <w:abstractNumId w:val="414"/>
  </w:num>
  <w:num w:numId="976">
    <w:abstractNumId w:val="432"/>
  </w:num>
  <w:num w:numId="977">
    <w:abstractNumId w:val="669"/>
  </w:num>
  <w:num w:numId="978">
    <w:abstractNumId w:val="220"/>
  </w:num>
  <w:num w:numId="979">
    <w:abstractNumId w:val="169"/>
  </w:num>
  <w:num w:numId="980">
    <w:abstractNumId w:val="687"/>
  </w:num>
  <w:num w:numId="981">
    <w:abstractNumId w:val="616"/>
  </w:num>
  <w:num w:numId="982">
    <w:abstractNumId w:val="941"/>
  </w:num>
  <w:num w:numId="983">
    <w:abstractNumId w:val="349"/>
  </w:num>
  <w:num w:numId="984">
    <w:abstractNumId w:val="240"/>
  </w:num>
  <w:num w:numId="985">
    <w:abstractNumId w:val="369"/>
  </w:num>
  <w:numIdMacAtCleanup w:val="9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hdrShapeDefaults>
    <o:shapedefaults v:ext="edit" spidmax="2139"/>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A71EEF"/>
    <w:rsid w:val="0081115D"/>
    <w:rsid w:val="00A71EEF"/>
    <w:rsid w:val="00E57D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39"/>
    <o:shapelayout v:ext="edit">
      <o:idmap v:ext="edit" data="1"/>
    </o:shapelayout>
  </w:shapeDefaults>
  <w:decimalSymbol w:val="."/>
  <w:listSeparator w:val=","/>
  <w14:docId w14:val="6CE3982F"/>
  <w15:docId w15:val="{F9BF57A7-3EB8-4155-8B73-14DD4354C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宋体" w:eastAsia="宋体" w:hAnsi="宋体" w:cs="宋体"/>
      <w:lang w:val="zh-CN" w:eastAsia="zh-CN" w:bidi="zh-CN"/>
    </w:rPr>
  </w:style>
  <w:style w:type="paragraph" w:styleId="1">
    <w:name w:val="heading 1"/>
    <w:basedOn w:val="a"/>
    <w:uiPriority w:val="9"/>
    <w:qFormat/>
    <w:pPr>
      <w:ind w:left="418"/>
      <w:outlineLvl w:val="0"/>
    </w:pPr>
    <w:rPr>
      <w:b/>
      <w:bCs/>
      <w:sz w:val="36"/>
      <w:szCs w:val="36"/>
    </w:rPr>
  </w:style>
  <w:style w:type="paragraph" w:styleId="2">
    <w:name w:val="heading 2"/>
    <w:basedOn w:val="a"/>
    <w:uiPriority w:val="9"/>
    <w:unhideWhenUsed/>
    <w:qFormat/>
    <w:pPr>
      <w:spacing w:before="37"/>
      <w:jc w:val="center"/>
      <w:outlineLvl w:val="1"/>
    </w:pPr>
    <w:rPr>
      <w:b/>
      <w:bCs/>
      <w:sz w:val="30"/>
      <w:szCs w:val="30"/>
    </w:rPr>
  </w:style>
  <w:style w:type="paragraph" w:styleId="3">
    <w:name w:val="heading 3"/>
    <w:basedOn w:val="a"/>
    <w:uiPriority w:val="9"/>
    <w:unhideWhenUsed/>
    <w:qFormat/>
    <w:pPr>
      <w:spacing w:before="37"/>
      <w:ind w:left="418"/>
      <w:outlineLvl w:val="2"/>
    </w:pPr>
    <w:rPr>
      <w:b/>
      <w:bCs/>
      <w:sz w:val="28"/>
      <w:szCs w:val="28"/>
    </w:rPr>
  </w:style>
  <w:style w:type="paragraph" w:styleId="4">
    <w:name w:val="heading 4"/>
    <w:basedOn w:val="a"/>
    <w:uiPriority w:val="9"/>
    <w:unhideWhenUsed/>
    <w:qFormat/>
    <w:pPr>
      <w:ind w:left="418"/>
      <w:outlineLvl w:val="3"/>
    </w:pPr>
    <w:rPr>
      <w:b/>
      <w:bCs/>
      <w:sz w:val="24"/>
      <w:szCs w:val="24"/>
    </w:rPr>
  </w:style>
  <w:style w:type="paragraph" w:styleId="5">
    <w:name w:val="heading 5"/>
    <w:basedOn w:val="a"/>
    <w:uiPriority w:val="9"/>
    <w:unhideWhenUsed/>
    <w:qFormat/>
    <w:pPr>
      <w:spacing w:before="180"/>
      <w:ind w:left="418"/>
      <w:outlineLvl w:val="4"/>
    </w:pPr>
    <w:rPr>
      <w:sz w:val="24"/>
      <w:szCs w:val="24"/>
    </w:rPr>
  </w:style>
  <w:style w:type="paragraph" w:styleId="6">
    <w:name w:val="heading 6"/>
    <w:basedOn w:val="a"/>
    <w:uiPriority w:val="9"/>
    <w:unhideWhenUsed/>
    <w:qFormat/>
    <w:pPr>
      <w:outlineLvl w:val="5"/>
    </w:pPr>
    <w:rPr>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pPr>
      <w:ind w:left="418" w:firstLine="422"/>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jpeg"/><Relationship Id="rId299" Type="http://schemas.openxmlformats.org/officeDocument/2006/relationships/footer" Target="footer29.xml"/><Relationship Id="rId21" Type="http://schemas.openxmlformats.org/officeDocument/2006/relationships/image" Target="media/image13.jpeg"/><Relationship Id="rId63" Type="http://schemas.openxmlformats.org/officeDocument/2006/relationships/image" Target="media/image55.jpeg"/><Relationship Id="rId159" Type="http://schemas.openxmlformats.org/officeDocument/2006/relationships/image" Target="media/image142.jpeg"/><Relationship Id="rId324" Type="http://schemas.openxmlformats.org/officeDocument/2006/relationships/image" Target="media/image262.jpeg"/><Relationship Id="rId366" Type="http://schemas.openxmlformats.org/officeDocument/2006/relationships/image" Target="media/image296.jpeg"/><Relationship Id="rId531" Type="http://schemas.openxmlformats.org/officeDocument/2006/relationships/image" Target="media/image412.jpeg"/><Relationship Id="rId573" Type="http://schemas.openxmlformats.org/officeDocument/2006/relationships/image" Target="media/image447.jpeg"/><Relationship Id="rId170" Type="http://schemas.openxmlformats.org/officeDocument/2006/relationships/image" Target="media/image151.jpeg"/><Relationship Id="rId226" Type="http://schemas.openxmlformats.org/officeDocument/2006/relationships/image" Target="media/image178.jpeg"/><Relationship Id="rId433" Type="http://schemas.openxmlformats.org/officeDocument/2006/relationships/image" Target="media/image351.jpeg"/><Relationship Id="rId268" Type="http://schemas.openxmlformats.org/officeDocument/2006/relationships/footer" Target="footer22.xml"/><Relationship Id="rId475" Type="http://schemas.openxmlformats.org/officeDocument/2006/relationships/hyperlink" Target="http://gf.1190119.com/article-5487.htm" TargetMode="External"/><Relationship Id="rId32" Type="http://schemas.openxmlformats.org/officeDocument/2006/relationships/image" Target="media/image24.jpeg"/><Relationship Id="rId74" Type="http://schemas.openxmlformats.org/officeDocument/2006/relationships/image" Target="media/image64.jpeg"/><Relationship Id="rId128" Type="http://schemas.openxmlformats.org/officeDocument/2006/relationships/image" Target="media/image118.jpeg"/><Relationship Id="rId335" Type="http://schemas.openxmlformats.org/officeDocument/2006/relationships/image" Target="media/image270.jpeg"/><Relationship Id="rId377" Type="http://schemas.openxmlformats.org/officeDocument/2006/relationships/image" Target="media/image306.jpeg"/><Relationship Id="rId500" Type="http://schemas.openxmlformats.org/officeDocument/2006/relationships/image" Target="media/image385.jpeg"/><Relationship Id="rId542" Type="http://schemas.openxmlformats.org/officeDocument/2006/relationships/image" Target="media/image420.jpeg"/><Relationship Id="rId584" Type="http://schemas.openxmlformats.org/officeDocument/2006/relationships/footer" Target="footer79.xml"/><Relationship Id="rId5" Type="http://schemas.openxmlformats.org/officeDocument/2006/relationships/footnotes" Target="footnotes.xml"/><Relationship Id="rId181" Type="http://schemas.openxmlformats.org/officeDocument/2006/relationships/hyperlink" Target="http://gf.1190119.com/article-792.htm" TargetMode="External"/><Relationship Id="rId237" Type="http://schemas.openxmlformats.org/officeDocument/2006/relationships/image" Target="media/image188.jpeg"/><Relationship Id="rId402" Type="http://schemas.openxmlformats.org/officeDocument/2006/relationships/image" Target="media/image328.jpeg"/><Relationship Id="rId279" Type="http://schemas.openxmlformats.org/officeDocument/2006/relationships/image" Target="media/image224.jpeg"/><Relationship Id="rId444" Type="http://schemas.openxmlformats.org/officeDocument/2006/relationships/image" Target="media/image359.jpeg"/><Relationship Id="rId486" Type="http://schemas.openxmlformats.org/officeDocument/2006/relationships/footer" Target="footer61.xml"/><Relationship Id="rId43" Type="http://schemas.openxmlformats.org/officeDocument/2006/relationships/image" Target="media/image35.jpeg"/><Relationship Id="rId139" Type="http://schemas.openxmlformats.org/officeDocument/2006/relationships/image" Target="media/image127.jpeg"/><Relationship Id="rId290" Type="http://schemas.openxmlformats.org/officeDocument/2006/relationships/image" Target="media/image232.jpeg"/><Relationship Id="rId304" Type="http://schemas.openxmlformats.org/officeDocument/2006/relationships/image" Target="media/image243.jpeg"/><Relationship Id="rId346" Type="http://schemas.openxmlformats.org/officeDocument/2006/relationships/image" Target="media/image278.jpeg"/><Relationship Id="rId388" Type="http://schemas.openxmlformats.org/officeDocument/2006/relationships/image" Target="media/image314.jpeg"/><Relationship Id="rId511" Type="http://schemas.openxmlformats.org/officeDocument/2006/relationships/image" Target="media/image395.jpeg"/><Relationship Id="rId553" Type="http://schemas.openxmlformats.org/officeDocument/2006/relationships/image" Target="media/image430.jpeg"/><Relationship Id="rId609" Type="http://schemas.openxmlformats.org/officeDocument/2006/relationships/image" Target="media/image476.jpeg"/><Relationship Id="rId85" Type="http://schemas.openxmlformats.org/officeDocument/2006/relationships/image" Target="media/image75.jpeg"/><Relationship Id="rId150" Type="http://schemas.openxmlformats.org/officeDocument/2006/relationships/image" Target="media/image134.jpeg"/><Relationship Id="rId192" Type="http://schemas.openxmlformats.org/officeDocument/2006/relationships/hyperlink" Target="http://gf.1190119.com/article-802.htm" TargetMode="External"/><Relationship Id="rId206" Type="http://schemas.openxmlformats.org/officeDocument/2006/relationships/hyperlink" Target="http://gf.1190119.com/article-810.htm" TargetMode="External"/><Relationship Id="rId413" Type="http://schemas.openxmlformats.org/officeDocument/2006/relationships/image" Target="media/image335.jpeg"/><Relationship Id="rId595" Type="http://schemas.openxmlformats.org/officeDocument/2006/relationships/image" Target="media/image463.jpeg"/><Relationship Id="rId248" Type="http://schemas.openxmlformats.org/officeDocument/2006/relationships/footer" Target="footer20.xml"/><Relationship Id="rId455" Type="http://schemas.openxmlformats.org/officeDocument/2006/relationships/image" Target="media/image366.jpeg"/><Relationship Id="rId497" Type="http://schemas.openxmlformats.org/officeDocument/2006/relationships/image" Target="media/image383.jpeg"/><Relationship Id="rId620" Type="http://schemas.openxmlformats.org/officeDocument/2006/relationships/image" Target="media/image485.jpeg"/><Relationship Id="rId12" Type="http://schemas.openxmlformats.org/officeDocument/2006/relationships/footer" Target="footer1.xml"/><Relationship Id="rId108" Type="http://schemas.openxmlformats.org/officeDocument/2006/relationships/image" Target="media/image98.jpeg"/><Relationship Id="rId315" Type="http://schemas.openxmlformats.org/officeDocument/2006/relationships/image" Target="media/image254.jpeg"/><Relationship Id="rId357" Type="http://schemas.openxmlformats.org/officeDocument/2006/relationships/image" Target="media/image287.jpeg"/><Relationship Id="rId522" Type="http://schemas.openxmlformats.org/officeDocument/2006/relationships/image" Target="media/image404.jpeg"/><Relationship Id="rId54" Type="http://schemas.openxmlformats.org/officeDocument/2006/relationships/image" Target="media/image46.jpeg"/><Relationship Id="rId96" Type="http://schemas.openxmlformats.org/officeDocument/2006/relationships/image" Target="media/image86.jpeg"/><Relationship Id="rId161" Type="http://schemas.openxmlformats.org/officeDocument/2006/relationships/image" Target="media/image144.jpeg"/><Relationship Id="rId217" Type="http://schemas.openxmlformats.org/officeDocument/2006/relationships/image" Target="media/image169.jpeg"/><Relationship Id="rId399" Type="http://schemas.openxmlformats.org/officeDocument/2006/relationships/image" Target="media/image325.jpeg"/><Relationship Id="rId564" Type="http://schemas.openxmlformats.org/officeDocument/2006/relationships/image" Target="media/image439.jpeg"/><Relationship Id="rId259" Type="http://schemas.openxmlformats.org/officeDocument/2006/relationships/image" Target="media/image206.jpeg"/><Relationship Id="rId424" Type="http://schemas.openxmlformats.org/officeDocument/2006/relationships/image" Target="media/image344.jpeg"/><Relationship Id="rId466" Type="http://schemas.openxmlformats.org/officeDocument/2006/relationships/footer" Target="footer59.xml"/><Relationship Id="rId23" Type="http://schemas.openxmlformats.org/officeDocument/2006/relationships/image" Target="media/image15.jpeg"/><Relationship Id="rId119" Type="http://schemas.openxmlformats.org/officeDocument/2006/relationships/image" Target="media/image109.jpeg"/><Relationship Id="rId270" Type="http://schemas.openxmlformats.org/officeDocument/2006/relationships/image" Target="media/image216.jpeg"/><Relationship Id="rId326" Type="http://schemas.openxmlformats.org/officeDocument/2006/relationships/footer" Target="footer31.xml"/><Relationship Id="rId533" Type="http://schemas.openxmlformats.org/officeDocument/2006/relationships/image" Target="media/image413.jpeg"/><Relationship Id="rId65" Type="http://schemas.openxmlformats.org/officeDocument/2006/relationships/footer" Target="footer3.xml"/><Relationship Id="rId130" Type="http://schemas.openxmlformats.org/officeDocument/2006/relationships/image" Target="media/image119.jpeg"/><Relationship Id="rId368" Type="http://schemas.openxmlformats.org/officeDocument/2006/relationships/image" Target="media/image298.jpeg"/><Relationship Id="rId575" Type="http://schemas.openxmlformats.org/officeDocument/2006/relationships/image" Target="media/image449.jpeg"/><Relationship Id="rId172" Type="http://schemas.openxmlformats.org/officeDocument/2006/relationships/image" Target="media/image153.jpeg"/><Relationship Id="rId228" Type="http://schemas.openxmlformats.org/officeDocument/2006/relationships/image" Target="media/image179.jpeg"/><Relationship Id="rId435" Type="http://schemas.openxmlformats.org/officeDocument/2006/relationships/footer" Target="footer51.xml"/><Relationship Id="rId477" Type="http://schemas.openxmlformats.org/officeDocument/2006/relationships/image" Target="media/image368.jpeg"/><Relationship Id="rId600" Type="http://schemas.openxmlformats.org/officeDocument/2006/relationships/image" Target="media/image468.jpeg"/><Relationship Id="rId281" Type="http://schemas.openxmlformats.org/officeDocument/2006/relationships/image" Target="media/image226.jpeg"/><Relationship Id="rId337" Type="http://schemas.openxmlformats.org/officeDocument/2006/relationships/image" Target="media/image272.jpeg"/><Relationship Id="rId502" Type="http://schemas.openxmlformats.org/officeDocument/2006/relationships/footer" Target="footer66.xml"/><Relationship Id="rId34" Type="http://schemas.openxmlformats.org/officeDocument/2006/relationships/image" Target="media/image26.jpeg"/><Relationship Id="rId76" Type="http://schemas.openxmlformats.org/officeDocument/2006/relationships/image" Target="media/image66.jpeg"/><Relationship Id="rId141" Type="http://schemas.openxmlformats.org/officeDocument/2006/relationships/image" Target="media/image129.jpeg"/><Relationship Id="rId379" Type="http://schemas.openxmlformats.org/officeDocument/2006/relationships/image" Target="media/image307.jpeg"/><Relationship Id="rId544" Type="http://schemas.openxmlformats.org/officeDocument/2006/relationships/image" Target="media/image422.jpeg"/><Relationship Id="rId586" Type="http://schemas.openxmlformats.org/officeDocument/2006/relationships/footer" Target="footer80.xml"/><Relationship Id="rId7" Type="http://schemas.openxmlformats.org/officeDocument/2006/relationships/image" Target="media/image1.png"/><Relationship Id="rId183" Type="http://schemas.openxmlformats.org/officeDocument/2006/relationships/hyperlink" Target="http://gf.1190119.com/article-793.htm" TargetMode="External"/><Relationship Id="rId239" Type="http://schemas.openxmlformats.org/officeDocument/2006/relationships/image" Target="media/image190.jpeg"/><Relationship Id="rId390" Type="http://schemas.openxmlformats.org/officeDocument/2006/relationships/image" Target="media/image316.jpeg"/><Relationship Id="rId404" Type="http://schemas.openxmlformats.org/officeDocument/2006/relationships/image" Target="media/image329.jpeg"/><Relationship Id="rId446" Type="http://schemas.openxmlformats.org/officeDocument/2006/relationships/image" Target="media/image360.png"/><Relationship Id="rId611" Type="http://schemas.openxmlformats.org/officeDocument/2006/relationships/image" Target="media/image478.jpeg"/><Relationship Id="rId250" Type="http://schemas.openxmlformats.org/officeDocument/2006/relationships/image" Target="media/image198.jpeg"/><Relationship Id="rId292" Type="http://schemas.openxmlformats.org/officeDocument/2006/relationships/image" Target="media/image234.jpeg"/><Relationship Id="rId306" Type="http://schemas.openxmlformats.org/officeDocument/2006/relationships/image" Target="media/image245.jpeg"/><Relationship Id="rId488" Type="http://schemas.openxmlformats.org/officeDocument/2006/relationships/image" Target="media/image377.jpeg"/><Relationship Id="rId45" Type="http://schemas.openxmlformats.org/officeDocument/2006/relationships/image" Target="media/image37.jpeg"/><Relationship Id="rId87" Type="http://schemas.openxmlformats.org/officeDocument/2006/relationships/image" Target="media/image77.jpeg"/><Relationship Id="rId110" Type="http://schemas.openxmlformats.org/officeDocument/2006/relationships/image" Target="media/image100.jpeg"/><Relationship Id="rId348" Type="http://schemas.openxmlformats.org/officeDocument/2006/relationships/image" Target="media/image279.jpeg"/><Relationship Id="rId513" Type="http://schemas.openxmlformats.org/officeDocument/2006/relationships/image" Target="media/image397.jpeg"/><Relationship Id="rId555" Type="http://schemas.openxmlformats.org/officeDocument/2006/relationships/image" Target="media/image432.jpeg"/><Relationship Id="rId597" Type="http://schemas.openxmlformats.org/officeDocument/2006/relationships/image" Target="media/image465.jpeg"/><Relationship Id="rId152" Type="http://schemas.openxmlformats.org/officeDocument/2006/relationships/image" Target="media/image136.jpeg"/><Relationship Id="rId194" Type="http://schemas.openxmlformats.org/officeDocument/2006/relationships/hyperlink" Target="http://gf.1190119.com/article-802.htm" TargetMode="External"/><Relationship Id="rId208" Type="http://schemas.openxmlformats.org/officeDocument/2006/relationships/image" Target="media/image162.jpeg"/><Relationship Id="rId415" Type="http://schemas.openxmlformats.org/officeDocument/2006/relationships/footer" Target="footer47.xml"/><Relationship Id="rId457" Type="http://schemas.openxmlformats.org/officeDocument/2006/relationships/hyperlink" Target="http://gf.1190119.com/article-5456.htm" TargetMode="External"/><Relationship Id="rId622" Type="http://schemas.openxmlformats.org/officeDocument/2006/relationships/image" Target="media/image487.jpeg"/><Relationship Id="rId261" Type="http://schemas.openxmlformats.org/officeDocument/2006/relationships/image" Target="media/image208.jpeg"/><Relationship Id="rId499" Type="http://schemas.openxmlformats.org/officeDocument/2006/relationships/image" Target="media/image384.jpeg"/><Relationship Id="rId14" Type="http://schemas.openxmlformats.org/officeDocument/2006/relationships/image" Target="media/image6.jpeg"/><Relationship Id="rId56" Type="http://schemas.openxmlformats.org/officeDocument/2006/relationships/image" Target="media/image48.jpeg"/><Relationship Id="rId317" Type="http://schemas.openxmlformats.org/officeDocument/2006/relationships/image" Target="media/image255.jpeg"/><Relationship Id="rId359" Type="http://schemas.openxmlformats.org/officeDocument/2006/relationships/image" Target="media/image289.jpeg"/><Relationship Id="rId524" Type="http://schemas.openxmlformats.org/officeDocument/2006/relationships/image" Target="media/image406.jpeg"/><Relationship Id="rId566" Type="http://schemas.openxmlformats.org/officeDocument/2006/relationships/image" Target="media/image441.jpeg"/><Relationship Id="rId98" Type="http://schemas.openxmlformats.org/officeDocument/2006/relationships/image" Target="media/image88.jpeg"/><Relationship Id="rId121" Type="http://schemas.openxmlformats.org/officeDocument/2006/relationships/image" Target="media/image111.jpeg"/><Relationship Id="rId163" Type="http://schemas.openxmlformats.org/officeDocument/2006/relationships/footer" Target="footer12.xml"/><Relationship Id="rId219" Type="http://schemas.openxmlformats.org/officeDocument/2006/relationships/image" Target="media/image171.jpeg"/><Relationship Id="rId370" Type="http://schemas.openxmlformats.org/officeDocument/2006/relationships/image" Target="media/image299.jpeg"/><Relationship Id="rId426" Type="http://schemas.openxmlformats.org/officeDocument/2006/relationships/image" Target="media/image346.jpeg"/><Relationship Id="rId230" Type="http://schemas.openxmlformats.org/officeDocument/2006/relationships/image" Target="media/image181.jpeg"/><Relationship Id="rId468" Type="http://schemas.openxmlformats.org/officeDocument/2006/relationships/hyperlink" Target="http://gf.1190119.com/article-5485.htm" TargetMode="External"/><Relationship Id="rId25" Type="http://schemas.openxmlformats.org/officeDocument/2006/relationships/image" Target="media/image17.jpeg"/><Relationship Id="rId67" Type="http://schemas.openxmlformats.org/officeDocument/2006/relationships/image" Target="media/image58.jpeg"/><Relationship Id="rId272" Type="http://schemas.openxmlformats.org/officeDocument/2006/relationships/image" Target="media/image218.jpeg"/><Relationship Id="rId328" Type="http://schemas.openxmlformats.org/officeDocument/2006/relationships/image" Target="media/image265.jpeg"/><Relationship Id="rId535" Type="http://schemas.openxmlformats.org/officeDocument/2006/relationships/footer" Target="footer71.xml"/><Relationship Id="rId577" Type="http://schemas.openxmlformats.org/officeDocument/2006/relationships/image" Target="media/image451.jpeg"/><Relationship Id="rId132" Type="http://schemas.openxmlformats.org/officeDocument/2006/relationships/image" Target="media/image121.jpeg"/><Relationship Id="rId174" Type="http://schemas.openxmlformats.org/officeDocument/2006/relationships/image" Target="media/image155.jpeg"/><Relationship Id="rId381" Type="http://schemas.openxmlformats.org/officeDocument/2006/relationships/image" Target="media/image309.jpeg"/><Relationship Id="rId602" Type="http://schemas.openxmlformats.org/officeDocument/2006/relationships/image" Target="media/image470.jpeg"/><Relationship Id="rId241" Type="http://schemas.openxmlformats.org/officeDocument/2006/relationships/image" Target="media/image191.jpeg"/><Relationship Id="rId437" Type="http://schemas.openxmlformats.org/officeDocument/2006/relationships/image" Target="media/image354.png"/><Relationship Id="rId479" Type="http://schemas.openxmlformats.org/officeDocument/2006/relationships/image" Target="media/image370.jpeg"/><Relationship Id="rId36" Type="http://schemas.openxmlformats.org/officeDocument/2006/relationships/image" Target="media/image28.jpeg"/><Relationship Id="rId283" Type="http://schemas.openxmlformats.org/officeDocument/2006/relationships/footer" Target="footer25.xml"/><Relationship Id="rId339" Type="http://schemas.openxmlformats.org/officeDocument/2006/relationships/footer" Target="footer34.xml"/><Relationship Id="rId490" Type="http://schemas.openxmlformats.org/officeDocument/2006/relationships/image" Target="media/image378.jpeg"/><Relationship Id="rId504" Type="http://schemas.openxmlformats.org/officeDocument/2006/relationships/image" Target="media/image388.jpeg"/><Relationship Id="rId546" Type="http://schemas.openxmlformats.org/officeDocument/2006/relationships/footer" Target="footer73.xml"/><Relationship Id="rId78" Type="http://schemas.openxmlformats.org/officeDocument/2006/relationships/image" Target="media/image68.jpeg"/><Relationship Id="rId101" Type="http://schemas.openxmlformats.org/officeDocument/2006/relationships/image" Target="media/image91.jpeg"/><Relationship Id="rId143" Type="http://schemas.openxmlformats.org/officeDocument/2006/relationships/image" Target="media/image130.jpeg"/><Relationship Id="rId185" Type="http://schemas.openxmlformats.org/officeDocument/2006/relationships/hyperlink" Target="http://gf.1190119.com/article-795.htm" TargetMode="External"/><Relationship Id="rId350" Type="http://schemas.openxmlformats.org/officeDocument/2006/relationships/image" Target="media/image281.jpeg"/><Relationship Id="rId406" Type="http://schemas.openxmlformats.org/officeDocument/2006/relationships/image" Target="media/image330.jpeg"/><Relationship Id="rId588" Type="http://schemas.openxmlformats.org/officeDocument/2006/relationships/image" Target="media/image458.jpeg"/><Relationship Id="rId9" Type="http://schemas.openxmlformats.org/officeDocument/2006/relationships/image" Target="media/image3.png"/><Relationship Id="rId210" Type="http://schemas.openxmlformats.org/officeDocument/2006/relationships/image" Target="media/image163.jpeg"/><Relationship Id="rId392" Type="http://schemas.openxmlformats.org/officeDocument/2006/relationships/image" Target="media/image318.jpeg"/><Relationship Id="rId448" Type="http://schemas.openxmlformats.org/officeDocument/2006/relationships/image" Target="media/image362.jpeg"/><Relationship Id="rId613" Type="http://schemas.openxmlformats.org/officeDocument/2006/relationships/image" Target="media/image479.jpeg"/><Relationship Id="rId252" Type="http://schemas.openxmlformats.org/officeDocument/2006/relationships/image" Target="media/image200.jpeg"/><Relationship Id="rId294" Type="http://schemas.openxmlformats.org/officeDocument/2006/relationships/image" Target="media/image236.jpeg"/><Relationship Id="rId308" Type="http://schemas.openxmlformats.org/officeDocument/2006/relationships/image" Target="media/image247.jpeg"/><Relationship Id="rId515" Type="http://schemas.openxmlformats.org/officeDocument/2006/relationships/footer" Target="footer67.xml"/><Relationship Id="rId47" Type="http://schemas.openxmlformats.org/officeDocument/2006/relationships/image" Target="media/image39.jpeg"/><Relationship Id="rId89" Type="http://schemas.openxmlformats.org/officeDocument/2006/relationships/image" Target="media/image79.jpeg"/><Relationship Id="rId112" Type="http://schemas.openxmlformats.org/officeDocument/2006/relationships/image" Target="media/image102.jpeg"/><Relationship Id="rId154" Type="http://schemas.openxmlformats.org/officeDocument/2006/relationships/image" Target="media/image138.jpeg"/><Relationship Id="rId361" Type="http://schemas.openxmlformats.org/officeDocument/2006/relationships/image" Target="media/image291.jpeg"/><Relationship Id="rId557" Type="http://schemas.openxmlformats.org/officeDocument/2006/relationships/footer" Target="footer74.xml"/><Relationship Id="rId599" Type="http://schemas.openxmlformats.org/officeDocument/2006/relationships/image" Target="media/image467.jpeg"/><Relationship Id="rId196" Type="http://schemas.openxmlformats.org/officeDocument/2006/relationships/hyperlink" Target="http://gf.1190119.com/article-803.htm" TargetMode="External"/><Relationship Id="rId417" Type="http://schemas.openxmlformats.org/officeDocument/2006/relationships/image" Target="media/image338.jpeg"/><Relationship Id="rId459" Type="http://schemas.openxmlformats.org/officeDocument/2006/relationships/hyperlink" Target="http://gf.1190119.com/article-5464.htm" TargetMode="External"/><Relationship Id="rId624" Type="http://schemas.openxmlformats.org/officeDocument/2006/relationships/footer" Target="footer86.xml"/><Relationship Id="rId16" Type="http://schemas.openxmlformats.org/officeDocument/2006/relationships/image" Target="media/image8.jpeg"/><Relationship Id="rId221" Type="http://schemas.openxmlformats.org/officeDocument/2006/relationships/image" Target="media/image173.jpeg"/><Relationship Id="rId263" Type="http://schemas.openxmlformats.org/officeDocument/2006/relationships/image" Target="media/image210.jpeg"/><Relationship Id="rId319" Type="http://schemas.openxmlformats.org/officeDocument/2006/relationships/image" Target="media/image257.jpeg"/><Relationship Id="rId470" Type="http://schemas.openxmlformats.org/officeDocument/2006/relationships/hyperlink" Target="http://gf.1190119.com/article-5486.htm" TargetMode="External"/><Relationship Id="rId526" Type="http://schemas.openxmlformats.org/officeDocument/2006/relationships/footer" Target="footer69.xml"/><Relationship Id="rId58" Type="http://schemas.openxmlformats.org/officeDocument/2006/relationships/image" Target="media/image50.jpeg"/><Relationship Id="rId123" Type="http://schemas.openxmlformats.org/officeDocument/2006/relationships/image" Target="media/image113.jpeg"/><Relationship Id="rId330" Type="http://schemas.openxmlformats.org/officeDocument/2006/relationships/image" Target="media/image267.jpeg"/><Relationship Id="rId568" Type="http://schemas.openxmlformats.org/officeDocument/2006/relationships/image" Target="media/image443.jpeg"/><Relationship Id="rId165" Type="http://schemas.openxmlformats.org/officeDocument/2006/relationships/image" Target="media/image147.jpeg"/><Relationship Id="rId372" Type="http://schemas.openxmlformats.org/officeDocument/2006/relationships/image" Target="media/image301.jpeg"/><Relationship Id="rId428" Type="http://schemas.openxmlformats.org/officeDocument/2006/relationships/footer" Target="footer49.xml"/><Relationship Id="rId232" Type="http://schemas.openxmlformats.org/officeDocument/2006/relationships/image" Target="media/image183.jpeg"/><Relationship Id="rId274" Type="http://schemas.openxmlformats.org/officeDocument/2006/relationships/image" Target="media/image220.jpeg"/><Relationship Id="rId481" Type="http://schemas.openxmlformats.org/officeDocument/2006/relationships/image" Target="media/image372.jpeg"/><Relationship Id="rId27" Type="http://schemas.openxmlformats.org/officeDocument/2006/relationships/image" Target="media/image19.jpeg"/><Relationship Id="rId69" Type="http://schemas.openxmlformats.org/officeDocument/2006/relationships/image" Target="media/image59.jpeg"/><Relationship Id="rId134" Type="http://schemas.openxmlformats.org/officeDocument/2006/relationships/image" Target="media/image122.jpeg"/><Relationship Id="rId537" Type="http://schemas.openxmlformats.org/officeDocument/2006/relationships/footer" Target="footer72.xml"/><Relationship Id="rId579" Type="http://schemas.openxmlformats.org/officeDocument/2006/relationships/image" Target="media/image452.jpeg"/><Relationship Id="rId80" Type="http://schemas.openxmlformats.org/officeDocument/2006/relationships/image" Target="media/image70.jpeg"/><Relationship Id="rId176" Type="http://schemas.openxmlformats.org/officeDocument/2006/relationships/image" Target="media/image157.jpeg"/><Relationship Id="rId341" Type="http://schemas.openxmlformats.org/officeDocument/2006/relationships/image" Target="media/image274.jpeg"/><Relationship Id="rId383" Type="http://schemas.openxmlformats.org/officeDocument/2006/relationships/footer" Target="footer41.xml"/><Relationship Id="rId439" Type="http://schemas.openxmlformats.org/officeDocument/2006/relationships/image" Target="media/image355.jpeg"/><Relationship Id="rId590" Type="http://schemas.openxmlformats.org/officeDocument/2006/relationships/footer" Target="footer81.xml"/><Relationship Id="rId604" Type="http://schemas.openxmlformats.org/officeDocument/2006/relationships/footer" Target="footer83.xml"/><Relationship Id="rId201" Type="http://schemas.openxmlformats.org/officeDocument/2006/relationships/hyperlink" Target="http://gf.1190119.com/article-808.htm" TargetMode="External"/><Relationship Id="rId222" Type="http://schemas.openxmlformats.org/officeDocument/2006/relationships/image" Target="media/image174.jpeg"/><Relationship Id="rId243" Type="http://schemas.openxmlformats.org/officeDocument/2006/relationships/footer" Target="footer19.xml"/><Relationship Id="rId264" Type="http://schemas.openxmlformats.org/officeDocument/2006/relationships/image" Target="media/image211.jpeg"/><Relationship Id="rId285" Type="http://schemas.openxmlformats.org/officeDocument/2006/relationships/image" Target="media/image228.jpeg"/><Relationship Id="rId450" Type="http://schemas.openxmlformats.org/officeDocument/2006/relationships/footer" Target="footer56.xml"/><Relationship Id="rId471" Type="http://schemas.openxmlformats.org/officeDocument/2006/relationships/hyperlink" Target="http://gf.1190119.com/article-5486.htm" TargetMode="External"/><Relationship Id="rId506" Type="http://schemas.openxmlformats.org/officeDocument/2006/relationships/image" Target="media/image390.jpeg"/><Relationship Id="rId17" Type="http://schemas.openxmlformats.org/officeDocument/2006/relationships/image" Target="media/image9.jpeg"/><Relationship Id="rId38" Type="http://schemas.openxmlformats.org/officeDocument/2006/relationships/image" Target="media/image30.png"/><Relationship Id="rId59" Type="http://schemas.openxmlformats.org/officeDocument/2006/relationships/image" Target="media/image51.jpeg"/><Relationship Id="rId103" Type="http://schemas.openxmlformats.org/officeDocument/2006/relationships/image" Target="media/image93.jpeg"/><Relationship Id="rId124" Type="http://schemas.openxmlformats.org/officeDocument/2006/relationships/image" Target="media/image114.jpeg"/><Relationship Id="rId310" Type="http://schemas.openxmlformats.org/officeDocument/2006/relationships/image" Target="media/image249.jpeg"/><Relationship Id="rId492" Type="http://schemas.openxmlformats.org/officeDocument/2006/relationships/image" Target="media/image379.jpeg"/><Relationship Id="rId527" Type="http://schemas.openxmlformats.org/officeDocument/2006/relationships/image" Target="media/image408.png"/><Relationship Id="rId548" Type="http://schemas.openxmlformats.org/officeDocument/2006/relationships/image" Target="media/image425.jpeg"/><Relationship Id="rId569" Type="http://schemas.openxmlformats.org/officeDocument/2006/relationships/image" Target="media/image444.jpeg"/><Relationship Id="rId70" Type="http://schemas.openxmlformats.org/officeDocument/2006/relationships/image" Target="media/image60.jpeg"/><Relationship Id="rId91" Type="http://schemas.openxmlformats.org/officeDocument/2006/relationships/image" Target="media/image81.jpeg"/><Relationship Id="rId145" Type="http://schemas.openxmlformats.org/officeDocument/2006/relationships/image" Target="media/image131.jpeg"/><Relationship Id="rId166" Type="http://schemas.openxmlformats.org/officeDocument/2006/relationships/image" Target="media/image148.jpeg"/><Relationship Id="rId187" Type="http://schemas.openxmlformats.org/officeDocument/2006/relationships/hyperlink" Target="http://gf.1190119.com/article-796.htm" TargetMode="External"/><Relationship Id="rId331" Type="http://schemas.openxmlformats.org/officeDocument/2006/relationships/image" Target="media/image268.jpeg"/><Relationship Id="rId352" Type="http://schemas.openxmlformats.org/officeDocument/2006/relationships/image" Target="media/image282.jpeg"/><Relationship Id="rId373" Type="http://schemas.openxmlformats.org/officeDocument/2006/relationships/image" Target="media/image302.jpeg"/><Relationship Id="rId394" Type="http://schemas.openxmlformats.org/officeDocument/2006/relationships/image" Target="media/image320.jpeg"/><Relationship Id="rId408" Type="http://schemas.openxmlformats.org/officeDocument/2006/relationships/image" Target="media/image332.jpeg"/><Relationship Id="rId429" Type="http://schemas.openxmlformats.org/officeDocument/2006/relationships/footer" Target="footer50.xml"/><Relationship Id="rId580" Type="http://schemas.openxmlformats.org/officeDocument/2006/relationships/image" Target="media/image453.jpeg"/><Relationship Id="rId615" Type="http://schemas.openxmlformats.org/officeDocument/2006/relationships/image" Target="media/image481.jpeg"/><Relationship Id="rId1" Type="http://schemas.openxmlformats.org/officeDocument/2006/relationships/numbering" Target="numbering.xml"/><Relationship Id="rId212" Type="http://schemas.openxmlformats.org/officeDocument/2006/relationships/image" Target="media/image164.jpeg"/><Relationship Id="rId233" Type="http://schemas.openxmlformats.org/officeDocument/2006/relationships/image" Target="media/image184.jpeg"/><Relationship Id="rId254" Type="http://schemas.openxmlformats.org/officeDocument/2006/relationships/image" Target="media/image202.jpeg"/><Relationship Id="rId440" Type="http://schemas.openxmlformats.org/officeDocument/2006/relationships/footer" Target="footer53.xml"/><Relationship Id="rId28" Type="http://schemas.openxmlformats.org/officeDocument/2006/relationships/image" Target="media/image20.jpeg"/><Relationship Id="rId49" Type="http://schemas.openxmlformats.org/officeDocument/2006/relationships/image" Target="media/image41.jpeg"/><Relationship Id="rId114" Type="http://schemas.openxmlformats.org/officeDocument/2006/relationships/image" Target="media/image104.jpeg"/><Relationship Id="rId275" Type="http://schemas.openxmlformats.org/officeDocument/2006/relationships/image" Target="media/image221.jpeg"/><Relationship Id="rId296" Type="http://schemas.openxmlformats.org/officeDocument/2006/relationships/footer" Target="footer27.xml"/><Relationship Id="rId300" Type="http://schemas.openxmlformats.org/officeDocument/2006/relationships/image" Target="media/image239.jpeg"/><Relationship Id="rId461" Type="http://schemas.openxmlformats.org/officeDocument/2006/relationships/footer" Target="footer58.xml"/><Relationship Id="rId482" Type="http://schemas.openxmlformats.org/officeDocument/2006/relationships/image" Target="media/image373.png"/><Relationship Id="rId517" Type="http://schemas.openxmlformats.org/officeDocument/2006/relationships/footer" Target="footer68.xml"/><Relationship Id="rId538" Type="http://schemas.openxmlformats.org/officeDocument/2006/relationships/image" Target="media/image416.png"/><Relationship Id="rId559" Type="http://schemas.openxmlformats.org/officeDocument/2006/relationships/image" Target="media/image435.jpeg"/><Relationship Id="rId60" Type="http://schemas.openxmlformats.org/officeDocument/2006/relationships/image" Target="media/image52.jpeg"/><Relationship Id="rId81" Type="http://schemas.openxmlformats.org/officeDocument/2006/relationships/image" Target="media/image71.jpeg"/><Relationship Id="rId135" Type="http://schemas.openxmlformats.org/officeDocument/2006/relationships/image" Target="media/image123.jpeg"/><Relationship Id="rId156" Type="http://schemas.openxmlformats.org/officeDocument/2006/relationships/image" Target="media/image140.jpeg"/><Relationship Id="rId177" Type="http://schemas.openxmlformats.org/officeDocument/2006/relationships/image" Target="media/image158.jpeg"/><Relationship Id="rId198" Type="http://schemas.openxmlformats.org/officeDocument/2006/relationships/hyperlink" Target="http://gf.1190119.com/article-805.htm" TargetMode="External"/><Relationship Id="rId321" Type="http://schemas.openxmlformats.org/officeDocument/2006/relationships/image" Target="media/image259.jpeg"/><Relationship Id="rId342" Type="http://schemas.openxmlformats.org/officeDocument/2006/relationships/image" Target="media/image275.jpeg"/><Relationship Id="rId363" Type="http://schemas.openxmlformats.org/officeDocument/2006/relationships/image" Target="media/image293.jpeg"/><Relationship Id="rId384" Type="http://schemas.openxmlformats.org/officeDocument/2006/relationships/footer" Target="footer42.xml"/><Relationship Id="rId419" Type="http://schemas.openxmlformats.org/officeDocument/2006/relationships/image" Target="media/image340.jpeg"/><Relationship Id="rId570" Type="http://schemas.openxmlformats.org/officeDocument/2006/relationships/footer" Target="footer76.xml"/><Relationship Id="rId591" Type="http://schemas.openxmlformats.org/officeDocument/2006/relationships/image" Target="media/image460.jpeg"/><Relationship Id="rId605" Type="http://schemas.openxmlformats.org/officeDocument/2006/relationships/image" Target="media/image472.jpeg"/><Relationship Id="rId626" Type="http://schemas.openxmlformats.org/officeDocument/2006/relationships/fontTable" Target="fontTable.xml"/><Relationship Id="rId202" Type="http://schemas.openxmlformats.org/officeDocument/2006/relationships/hyperlink" Target="http://gf.1190119.com/article-808.htm" TargetMode="External"/><Relationship Id="rId223" Type="http://schemas.openxmlformats.org/officeDocument/2006/relationships/image" Target="media/image175.jpeg"/><Relationship Id="rId244" Type="http://schemas.openxmlformats.org/officeDocument/2006/relationships/image" Target="media/image193.jpeg"/><Relationship Id="rId430" Type="http://schemas.openxmlformats.org/officeDocument/2006/relationships/image" Target="media/image348.jpeg"/><Relationship Id="rId18" Type="http://schemas.openxmlformats.org/officeDocument/2006/relationships/image" Target="media/image10.jpeg"/><Relationship Id="rId39" Type="http://schemas.openxmlformats.org/officeDocument/2006/relationships/image" Target="media/image31.png"/><Relationship Id="rId265" Type="http://schemas.openxmlformats.org/officeDocument/2006/relationships/image" Target="media/image212.jpeg"/><Relationship Id="rId286" Type="http://schemas.openxmlformats.org/officeDocument/2006/relationships/image" Target="media/image229.jpeg"/><Relationship Id="rId451" Type="http://schemas.openxmlformats.org/officeDocument/2006/relationships/image" Target="media/image363.jpeg"/><Relationship Id="rId472" Type="http://schemas.openxmlformats.org/officeDocument/2006/relationships/hyperlink" Target="http://gf.1190119.com/article-5486.htm" TargetMode="External"/><Relationship Id="rId493" Type="http://schemas.openxmlformats.org/officeDocument/2006/relationships/footer" Target="footer64.xml"/><Relationship Id="rId507" Type="http://schemas.openxmlformats.org/officeDocument/2006/relationships/image" Target="media/image391.jpeg"/><Relationship Id="rId528" Type="http://schemas.openxmlformats.org/officeDocument/2006/relationships/image" Target="media/image409.jpeg"/><Relationship Id="rId549" Type="http://schemas.openxmlformats.org/officeDocument/2006/relationships/image" Target="media/image426.jpeg"/><Relationship Id="rId50" Type="http://schemas.openxmlformats.org/officeDocument/2006/relationships/image" Target="media/image42.jpeg"/><Relationship Id="rId104" Type="http://schemas.openxmlformats.org/officeDocument/2006/relationships/image" Target="media/image94.jpeg"/><Relationship Id="rId125" Type="http://schemas.openxmlformats.org/officeDocument/2006/relationships/image" Target="media/image115.jpeg"/><Relationship Id="rId146" Type="http://schemas.openxmlformats.org/officeDocument/2006/relationships/footer" Target="footer9.xml"/><Relationship Id="rId167" Type="http://schemas.openxmlformats.org/officeDocument/2006/relationships/image" Target="media/image149.jpeg"/><Relationship Id="rId188" Type="http://schemas.openxmlformats.org/officeDocument/2006/relationships/hyperlink" Target="http://gf.1190119.com/article-796.htm" TargetMode="External"/><Relationship Id="rId311" Type="http://schemas.openxmlformats.org/officeDocument/2006/relationships/image" Target="media/image250.jpeg"/><Relationship Id="rId332" Type="http://schemas.openxmlformats.org/officeDocument/2006/relationships/footer" Target="footer32.xml"/><Relationship Id="rId353" Type="http://schemas.openxmlformats.org/officeDocument/2006/relationships/image" Target="media/image283.jpeg"/><Relationship Id="rId374" Type="http://schemas.openxmlformats.org/officeDocument/2006/relationships/image" Target="media/image303.jpeg"/><Relationship Id="rId395" Type="http://schemas.openxmlformats.org/officeDocument/2006/relationships/image" Target="media/image321.jpeg"/><Relationship Id="rId409" Type="http://schemas.openxmlformats.org/officeDocument/2006/relationships/image" Target="media/image333.jpeg"/><Relationship Id="rId560" Type="http://schemas.openxmlformats.org/officeDocument/2006/relationships/image" Target="media/image436.jpeg"/><Relationship Id="rId581" Type="http://schemas.openxmlformats.org/officeDocument/2006/relationships/footer" Target="footer78.xml"/><Relationship Id="rId71" Type="http://schemas.openxmlformats.org/officeDocument/2006/relationships/image" Target="media/image61.jpeg"/><Relationship Id="rId92" Type="http://schemas.openxmlformats.org/officeDocument/2006/relationships/image" Target="media/image82.jpeg"/><Relationship Id="rId213" Type="http://schemas.openxmlformats.org/officeDocument/2006/relationships/image" Target="media/image165.jpeg"/><Relationship Id="rId234" Type="http://schemas.openxmlformats.org/officeDocument/2006/relationships/image" Target="media/image185.jpeg"/><Relationship Id="rId420" Type="http://schemas.openxmlformats.org/officeDocument/2006/relationships/image" Target="media/image341.jpeg"/><Relationship Id="rId616" Type="http://schemas.openxmlformats.org/officeDocument/2006/relationships/image" Target="media/image482.jpeg"/><Relationship Id="rId2" Type="http://schemas.openxmlformats.org/officeDocument/2006/relationships/styles" Target="styles.xml"/><Relationship Id="rId29" Type="http://schemas.openxmlformats.org/officeDocument/2006/relationships/image" Target="media/image21.jpeg"/><Relationship Id="rId255" Type="http://schemas.openxmlformats.org/officeDocument/2006/relationships/image" Target="media/image203.jpeg"/><Relationship Id="rId276" Type="http://schemas.openxmlformats.org/officeDocument/2006/relationships/image" Target="media/image222.jpeg"/><Relationship Id="rId297" Type="http://schemas.openxmlformats.org/officeDocument/2006/relationships/image" Target="media/image238.png"/><Relationship Id="rId441" Type="http://schemas.openxmlformats.org/officeDocument/2006/relationships/image" Target="media/image356.jpeg"/><Relationship Id="rId462" Type="http://schemas.openxmlformats.org/officeDocument/2006/relationships/hyperlink" Target="http://gf.1190119.com/article-5464.htm" TargetMode="External"/><Relationship Id="rId483" Type="http://schemas.openxmlformats.org/officeDocument/2006/relationships/footer" Target="footer60.xml"/><Relationship Id="rId518" Type="http://schemas.openxmlformats.org/officeDocument/2006/relationships/image" Target="media/image400.jpeg"/><Relationship Id="rId539" Type="http://schemas.openxmlformats.org/officeDocument/2006/relationships/image" Target="media/image417.jpeg"/><Relationship Id="rId40" Type="http://schemas.openxmlformats.org/officeDocument/2006/relationships/image" Target="media/image32.png"/><Relationship Id="rId115" Type="http://schemas.openxmlformats.org/officeDocument/2006/relationships/image" Target="media/image105.jpeg"/><Relationship Id="rId136" Type="http://schemas.openxmlformats.org/officeDocument/2006/relationships/image" Target="media/image124.jpeg"/><Relationship Id="rId157" Type="http://schemas.openxmlformats.org/officeDocument/2006/relationships/footer" Target="footer11.xml"/><Relationship Id="rId178" Type="http://schemas.openxmlformats.org/officeDocument/2006/relationships/image" Target="media/image159.jpeg"/><Relationship Id="rId301" Type="http://schemas.openxmlformats.org/officeDocument/2006/relationships/image" Target="media/image240.jpeg"/><Relationship Id="rId322" Type="http://schemas.openxmlformats.org/officeDocument/2006/relationships/image" Target="media/image260.jpeg"/><Relationship Id="rId343" Type="http://schemas.openxmlformats.org/officeDocument/2006/relationships/image" Target="media/image276.jpeg"/><Relationship Id="rId364" Type="http://schemas.openxmlformats.org/officeDocument/2006/relationships/image" Target="media/image294.jpeg"/><Relationship Id="rId550" Type="http://schemas.openxmlformats.org/officeDocument/2006/relationships/image" Target="media/image427.jpeg"/><Relationship Id="rId61" Type="http://schemas.openxmlformats.org/officeDocument/2006/relationships/image" Target="media/image53.jpeg"/><Relationship Id="rId82" Type="http://schemas.openxmlformats.org/officeDocument/2006/relationships/image" Target="media/image72.jpeg"/><Relationship Id="rId199" Type="http://schemas.openxmlformats.org/officeDocument/2006/relationships/hyperlink" Target="http://gf.1190119.com/article-805.htm" TargetMode="External"/><Relationship Id="rId203" Type="http://schemas.openxmlformats.org/officeDocument/2006/relationships/hyperlink" Target="http://gf.1190119.com/article-809.htm" TargetMode="External"/><Relationship Id="rId385" Type="http://schemas.openxmlformats.org/officeDocument/2006/relationships/image" Target="media/image311.png"/><Relationship Id="rId571" Type="http://schemas.openxmlformats.org/officeDocument/2006/relationships/image" Target="media/image445.jpeg"/><Relationship Id="rId592" Type="http://schemas.openxmlformats.org/officeDocument/2006/relationships/footer" Target="footer82.xml"/><Relationship Id="rId606" Type="http://schemas.openxmlformats.org/officeDocument/2006/relationships/image" Target="media/image473.jpeg"/><Relationship Id="rId627" Type="http://schemas.openxmlformats.org/officeDocument/2006/relationships/theme" Target="theme/theme1.xml"/><Relationship Id="rId19" Type="http://schemas.openxmlformats.org/officeDocument/2006/relationships/image" Target="media/image11.jpeg"/><Relationship Id="rId224" Type="http://schemas.openxmlformats.org/officeDocument/2006/relationships/image" Target="media/image176.jpeg"/><Relationship Id="rId245" Type="http://schemas.openxmlformats.org/officeDocument/2006/relationships/image" Target="media/image194.jpeg"/><Relationship Id="rId266" Type="http://schemas.openxmlformats.org/officeDocument/2006/relationships/image" Target="media/image213.jpeg"/><Relationship Id="rId287" Type="http://schemas.openxmlformats.org/officeDocument/2006/relationships/footer" Target="footer26.xml"/><Relationship Id="rId410" Type="http://schemas.openxmlformats.org/officeDocument/2006/relationships/footer" Target="footer45.xml"/><Relationship Id="rId431" Type="http://schemas.openxmlformats.org/officeDocument/2006/relationships/image" Target="media/image349.jpeg"/><Relationship Id="rId452" Type="http://schemas.openxmlformats.org/officeDocument/2006/relationships/footer" Target="footer57.xml"/><Relationship Id="rId473" Type="http://schemas.openxmlformats.org/officeDocument/2006/relationships/hyperlink" Target="http://gf.1190119.com/article-5487.htm" TargetMode="External"/><Relationship Id="rId494" Type="http://schemas.openxmlformats.org/officeDocument/2006/relationships/image" Target="media/image380.jpeg"/><Relationship Id="rId508" Type="http://schemas.openxmlformats.org/officeDocument/2006/relationships/image" Target="media/image392.jpeg"/><Relationship Id="rId529" Type="http://schemas.openxmlformats.org/officeDocument/2006/relationships/image" Target="media/image410.jpeg"/><Relationship Id="rId30" Type="http://schemas.openxmlformats.org/officeDocument/2006/relationships/image" Target="media/image22.jpeg"/><Relationship Id="rId105" Type="http://schemas.openxmlformats.org/officeDocument/2006/relationships/image" Target="media/image95.jpeg"/><Relationship Id="rId126" Type="http://schemas.openxmlformats.org/officeDocument/2006/relationships/image" Target="media/image116.jpeg"/><Relationship Id="rId147" Type="http://schemas.openxmlformats.org/officeDocument/2006/relationships/footer" Target="footer10.xml"/><Relationship Id="rId168" Type="http://schemas.openxmlformats.org/officeDocument/2006/relationships/image" Target="media/image150.jpeg"/><Relationship Id="rId312" Type="http://schemas.openxmlformats.org/officeDocument/2006/relationships/image" Target="media/image251.jpeg"/><Relationship Id="rId333" Type="http://schemas.openxmlformats.org/officeDocument/2006/relationships/image" Target="media/image269.jpeg"/><Relationship Id="rId354" Type="http://schemas.openxmlformats.org/officeDocument/2006/relationships/image" Target="media/image284.jpeg"/><Relationship Id="rId540" Type="http://schemas.openxmlformats.org/officeDocument/2006/relationships/image" Target="media/image418.jpeg"/><Relationship Id="rId51" Type="http://schemas.openxmlformats.org/officeDocument/2006/relationships/image" Target="media/image43.jpeg"/><Relationship Id="rId72" Type="http://schemas.openxmlformats.org/officeDocument/2006/relationships/image" Target="media/image62.jpeg"/><Relationship Id="rId93" Type="http://schemas.openxmlformats.org/officeDocument/2006/relationships/image" Target="media/image83.jpeg"/><Relationship Id="rId189" Type="http://schemas.openxmlformats.org/officeDocument/2006/relationships/hyperlink" Target="http://gf.1190119.com/article-796.htm" TargetMode="External"/><Relationship Id="rId375" Type="http://schemas.openxmlformats.org/officeDocument/2006/relationships/image" Target="media/image304.jpeg"/><Relationship Id="rId396" Type="http://schemas.openxmlformats.org/officeDocument/2006/relationships/image" Target="media/image322.jpeg"/><Relationship Id="rId561" Type="http://schemas.openxmlformats.org/officeDocument/2006/relationships/image" Target="media/image437.jpeg"/><Relationship Id="rId582" Type="http://schemas.openxmlformats.org/officeDocument/2006/relationships/image" Target="media/image454.jpeg"/><Relationship Id="rId617" Type="http://schemas.openxmlformats.org/officeDocument/2006/relationships/image" Target="media/image483.jpeg"/><Relationship Id="rId3" Type="http://schemas.openxmlformats.org/officeDocument/2006/relationships/settings" Target="settings.xml"/><Relationship Id="rId214" Type="http://schemas.openxmlformats.org/officeDocument/2006/relationships/image" Target="media/image166.jpeg"/><Relationship Id="rId235" Type="http://schemas.openxmlformats.org/officeDocument/2006/relationships/image" Target="media/image186.jpeg"/><Relationship Id="rId256" Type="http://schemas.openxmlformats.org/officeDocument/2006/relationships/image" Target="media/image204.jpeg"/><Relationship Id="rId277" Type="http://schemas.openxmlformats.org/officeDocument/2006/relationships/image" Target="media/image223.jpeg"/><Relationship Id="rId298" Type="http://schemas.openxmlformats.org/officeDocument/2006/relationships/footer" Target="footer28.xml"/><Relationship Id="rId400" Type="http://schemas.openxmlformats.org/officeDocument/2006/relationships/image" Target="media/image326.jpeg"/><Relationship Id="rId421" Type="http://schemas.openxmlformats.org/officeDocument/2006/relationships/footer" Target="footer48.xml"/><Relationship Id="rId442" Type="http://schemas.openxmlformats.org/officeDocument/2006/relationships/image" Target="media/image357.jpeg"/><Relationship Id="rId463" Type="http://schemas.openxmlformats.org/officeDocument/2006/relationships/hyperlink" Target="http://gf.1190119.com/article-5473.htm" TargetMode="External"/><Relationship Id="rId484" Type="http://schemas.openxmlformats.org/officeDocument/2006/relationships/image" Target="media/image374.jpeg"/><Relationship Id="rId519" Type="http://schemas.openxmlformats.org/officeDocument/2006/relationships/image" Target="media/image401.png"/><Relationship Id="rId116" Type="http://schemas.openxmlformats.org/officeDocument/2006/relationships/image" Target="media/image106.jpeg"/><Relationship Id="rId137" Type="http://schemas.openxmlformats.org/officeDocument/2006/relationships/image" Target="media/image125.jpeg"/><Relationship Id="rId158" Type="http://schemas.openxmlformats.org/officeDocument/2006/relationships/image" Target="media/image141.jpeg"/><Relationship Id="rId302" Type="http://schemas.openxmlformats.org/officeDocument/2006/relationships/image" Target="media/image241.jpeg"/><Relationship Id="rId323" Type="http://schemas.openxmlformats.org/officeDocument/2006/relationships/image" Target="media/image261.jpeg"/><Relationship Id="rId344" Type="http://schemas.openxmlformats.org/officeDocument/2006/relationships/image" Target="media/image277.jpeg"/><Relationship Id="rId530" Type="http://schemas.openxmlformats.org/officeDocument/2006/relationships/image" Target="media/image411.jpeg"/><Relationship Id="rId20" Type="http://schemas.openxmlformats.org/officeDocument/2006/relationships/image" Target="media/image12.jpeg"/><Relationship Id="rId41" Type="http://schemas.openxmlformats.org/officeDocument/2006/relationships/image" Target="media/image33.png"/><Relationship Id="rId62" Type="http://schemas.openxmlformats.org/officeDocument/2006/relationships/image" Target="media/image54.jpeg"/><Relationship Id="rId83" Type="http://schemas.openxmlformats.org/officeDocument/2006/relationships/image" Target="media/image73.jpeg"/><Relationship Id="rId179" Type="http://schemas.openxmlformats.org/officeDocument/2006/relationships/image" Target="media/image160.jpeg"/><Relationship Id="rId365" Type="http://schemas.openxmlformats.org/officeDocument/2006/relationships/image" Target="media/image295.jpeg"/><Relationship Id="rId386" Type="http://schemas.openxmlformats.org/officeDocument/2006/relationships/image" Target="media/image312.jpeg"/><Relationship Id="rId551" Type="http://schemas.openxmlformats.org/officeDocument/2006/relationships/image" Target="media/image428.jpeg"/><Relationship Id="rId572" Type="http://schemas.openxmlformats.org/officeDocument/2006/relationships/image" Target="media/image446.jpeg"/><Relationship Id="rId593" Type="http://schemas.openxmlformats.org/officeDocument/2006/relationships/image" Target="media/image461.jpeg"/><Relationship Id="rId607" Type="http://schemas.openxmlformats.org/officeDocument/2006/relationships/image" Target="media/image474.jpeg"/><Relationship Id="rId190" Type="http://schemas.openxmlformats.org/officeDocument/2006/relationships/hyperlink" Target="http://gf.1190119.com/article-796.htm" TargetMode="External"/><Relationship Id="rId204" Type="http://schemas.openxmlformats.org/officeDocument/2006/relationships/hyperlink" Target="http://gf.1190119.com/article-810.htm" TargetMode="External"/><Relationship Id="rId225" Type="http://schemas.openxmlformats.org/officeDocument/2006/relationships/image" Target="media/image177.jpeg"/><Relationship Id="rId246" Type="http://schemas.openxmlformats.org/officeDocument/2006/relationships/image" Target="media/image195.jpeg"/><Relationship Id="rId267" Type="http://schemas.openxmlformats.org/officeDocument/2006/relationships/image" Target="media/image214.jpeg"/><Relationship Id="rId288" Type="http://schemas.openxmlformats.org/officeDocument/2006/relationships/image" Target="media/image230.jpeg"/><Relationship Id="rId411" Type="http://schemas.openxmlformats.org/officeDocument/2006/relationships/image" Target="media/image334.jpeg"/><Relationship Id="rId432" Type="http://schemas.openxmlformats.org/officeDocument/2006/relationships/image" Target="media/image350.jpeg"/><Relationship Id="rId453" Type="http://schemas.openxmlformats.org/officeDocument/2006/relationships/image" Target="media/image364.jpeg"/><Relationship Id="rId474" Type="http://schemas.openxmlformats.org/officeDocument/2006/relationships/hyperlink" Target="http://gf.1190119.com/article-5487.htm" TargetMode="External"/><Relationship Id="rId509" Type="http://schemas.openxmlformats.org/officeDocument/2006/relationships/image" Target="media/image393.jpeg"/><Relationship Id="rId106" Type="http://schemas.openxmlformats.org/officeDocument/2006/relationships/image" Target="media/image96.jpeg"/><Relationship Id="rId127" Type="http://schemas.openxmlformats.org/officeDocument/2006/relationships/image" Target="media/image117.jpeg"/><Relationship Id="rId313" Type="http://schemas.openxmlformats.org/officeDocument/2006/relationships/image" Target="media/image252.jpeg"/><Relationship Id="rId495" Type="http://schemas.openxmlformats.org/officeDocument/2006/relationships/image" Target="media/image381.jpeg"/><Relationship Id="rId10" Type="http://schemas.openxmlformats.org/officeDocument/2006/relationships/image" Target="media/image4.png"/><Relationship Id="rId31" Type="http://schemas.openxmlformats.org/officeDocument/2006/relationships/image" Target="media/image23.jpeg"/><Relationship Id="rId52" Type="http://schemas.openxmlformats.org/officeDocument/2006/relationships/image" Target="media/image44.jpeg"/><Relationship Id="rId73" Type="http://schemas.openxmlformats.org/officeDocument/2006/relationships/image" Target="media/image63.jpeg"/><Relationship Id="rId94" Type="http://schemas.openxmlformats.org/officeDocument/2006/relationships/image" Target="media/image84.jpeg"/><Relationship Id="rId148" Type="http://schemas.openxmlformats.org/officeDocument/2006/relationships/image" Target="media/image132.jpeg"/><Relationship Id="rId169" Type="http://schemas.openxmlformats.org/officeDocument/2006/relationships/footer" Target="footer13.xml"/><Relationship Id="rId334" Type="http://schemas.openxmlformats.org/officeDocument/2006/relationships/footer" Target="footer33.xml"/><Relationship Id="rId355" Type="http://schemas.openxmlformats.org/officeDocument/2006/relationships/image" Target="media/image285.jpeg"/><Relationship Id="rId376" Type="http://schemas.openxmlformats.org/officeDocument/2006/relationships/image" Target="media/image305.jpeg"/><Relationship Id="rId397" Type="http://schemas.openxmlformats.org/officeDocument/2006/relationships/image" Target="media/image323.jpeg"/><Relationship Id="rId520" Type="http://schemas.openxmlformats.org/officeDocument/2006/relationships/image" Target="media/image402.png"/><Relationship Id="rId541" Type="http://schemas.openxmlformats.org/officeDocument/2006/relationships/image" Target="media/image419.jpeg"/><Relationship Id="rId562" Type="http://schemas.openxmlformats.org/officeDocument/2006/relationships/image" Target="media/image438.jpeg"/><Relationship Id="rId583" Type="http://schemas.openxmlformats.org/officeDocument/2006/relationships/image" Target="media/image455.jpeg"/><Relationship Id="rId618" Type="http://schemas.openxmlformats.org/officeDocument/2006/relationships/footer" Target="footer85.xml"/><Relationship Id="rId4" Type="http://schemas.openxmlformats.org/officeDocument/2006/relationships/webSettings" Target="webSettings.xml"/><Relationship Id="rId180" Type="http://schemas.openxmlformats.org/officeDocument/2006/relationships/footer" Target="footer14.xml"/><Relationship Id="rId215" Type="http://schemas.openxmlformats.org/officeDocument/2006/relationships/image" Target="media/image167.jpeg"/><Relationship Id="rId236" Type="http://schemas.openxmlformats.org/officeDocument/2006/relationships/image" Target="media/image187.jpeg"/><Relationship Id="rId257" Type="http://schemas.openxmlformats.org/officeDocument/2006/relationships/image" Target="media/image205.jpeg"/><Relationship Id="rId278" Type="http://schemas.openxmlformats.org/officeDocument/2006/relationships/footer" Target="footer23.xml"/><Relationship Id="rId401" Type="http://schemas.openxmlformats.org/officeDocument/2006/relationships/image" Target="media/image327.jpeg"/><Relationship Id="rId422" Type="http://schemas.openxmlformats.org/officeDocument/2006/relationships/image" Target="media/image342.jpeg"/><Relationship Id="rId443" Type="http://schemas.openxmlformats.org/officeDocument/2006/relationships/image" Target="media/image358.jpeg"/><Relationship Id="rId464" Type="http://schemas.openxmlformats.org/officeDocument/2006/relationships/hyperlink" Target="http://gf.1190119.com/article-5478.htm" TargetMode="External"/><Relationship Id="rId303" Type="http://schemas.openxmlformats.org/officeDocument/2006/relationships/image" Target="media/image242.jpeg"/><Relationship Id="rId485" Type="http://schemas.openxmlformats.org/officeDocument/2006/relationships/image" Target="media/image375.jpeg"/><Relationship Id="rId42" Type="http://schemas.openxmlformats.org/officeDocument/2006/relationships/image" Target="media/image34.png"/><Relationship Id="rId84" Type="http://schemas.openxmlformats.org/officeDocument/2006/relationships/image" Target="media/image74.jpeg"/><Relationship Id="rId138" Type="http://schemas.openxmlformats.org/officeDocument/2006/relationships/image" Target="media/image126.jpeg"/><Relationship Id="rId345" Type="http://schemas.openxmlformats.org/officeDocument/2006/relationships/footer" Target="footer36.xml"/><Relationship Id="rId387" Type="http://schemas.openxmlformats.org/officeDocument/2006/relationships/image" Target="media/image313.jpeg"/><Relationship Id="rId510" Type="http://schemas.openxmlformats.org/officeDocument/2006/relationships/image" Target="media/image394.jpeg"/><Relationship Id="rId552" Type="http://schemas.openxmlformats.org/officeDocument/2006/relationships/image" Target="media/image429.jpeg"/><Relationship Id="rId594" Type="http://schemas.openxmlformats.org/officeDocument/2006/relationships/image" Target="media/image462.jpeg"/><Relationship Id="rId608" Type="http://schemas.openxmlformats.org/officeDocument/2006/relationships/image" Target="media/image475.jpeg"/><Relationship Id="rId191" Type="http://schemas.openxmlformats.org/officeDocument/2006/relationships/hyperlink" Target="http://gf.1190119.com/article-802.htm" TargetMode="External"/><Relationship Id="rId205" Type="http://schemas.openxmlformats.org/officeDocument/2006/relationships/hyperlink" Target="http://gf.1190119.com/article-810.htm" TargetMode="External"/><Relationship Id="rId247" Type="http://schemas.openxmlformats.org/officeDocument/2006/relationships/image" Target="media/image196.jpeg"/><Relationship Id="rId412" Type="http://schemas.openxmlformats.org/officeDocument/2006/relationships/footer" Target="footer46.xml"/><Relationship Id="rId107" Type="http://schemas.openxmlformats.org/officeDocument/2006/relationships/image" Target="media/image97.jpeg"/><Relationship Id="rId289" Type="http://schemas.openxmlformats.org/officeDocument/2006/relationships/image" Target="media/image231.png"/><Relationship Id="rId454" Type="http://schemas.openxmlformats.org/officeDocument/2006/relationships/image" Target="media/image365.jpeg"/><Relationship Id="rId496" Type="http://schemas.openxmlformats.org/officeDocument/2006/relationships/image" Target="media/image382.jpeg"/><Relationship Id="rId11" Type="http://schemas.openxmlformats.org/officeDocument/2006/relationships/image" Target="media/image5.png"/><Relationship Id="rId53" Type="http://schemas.openxmlformats.org/officeDocument/2006/relationships/image" Target="media/image45.jpeg"/><Relationship Id="rId149" Type="http://schemas.openxmlformats.org/officeDocument/2006/relationships/image" Target="media/image133.jpeg"/><Relationship Id="rId314" Type="http://schemas.openxmlformats.org/officeDocument/2006/relationships/image" Target="media/image253.jpeg"/><Relationship Id="rId356" Type="http://schemas.openxmlformats.org/officeDocument/2006/relationships/image" Target="media/image286.jpeg"/><Relationship Id="rId398" Type="http://schemas.openxmlformats.org/officeDocument/2006/relationships/image" Target="media/image324.png"/><Relationship Id="rId521" Type="http://schemas.openxmlformats.org/officeDocument/2006/relationships/image" Target="media/image403.png"/><Relationship Id="rId563" Type="http://schemas.openxmlformats.org/officeDocument/2006/relationships/footer" Target="footer75.xml"/><Relationship Id="rId619" Type="http://schemas.openxmlformats.org/officeDocument/2006/relationships/image" Target="media/image484.png"/><Relationship Id="rId95" Type="http://schemas.openxmlformats.org/officeDocument/2006/relationships/image" Target="media/image85.jpeg"/><Relationship Id="rId160" Type="http://schemas.openxmlformats.org/officeDocument/2006/relationships/image" Target="media/image143.jpeg"/><Relationship Id="rId216" Type="http://schemas.openxmlformats.org/officeDocument/2006/relationships/image" Target="media/image168.jpeg"/><Relationship Id="rId423" Type="http://schemas.openxmlformats.org/officeDocument/2006/relationships/image" Target="media/image343.jpeg"/><Relationship Id="rId258" Type="http://schemas.openxmlformats.org/officeDocument/2006/relationships/footer" Target="footer21.xml"/><Relationship Id="rId465" Type="http://schemas.openxmlformats.org/officeDocument/2006/relationships/hyperlink" Target="http://gf.1190119.com/article-5480.htm" TargetMode="External"/><Relationship Id="rId22" Type="http://schemas.openxmlformats.org/officeDocument/2006/relationships/image" Target="media/image14.jpeg"/><Relationship Id="rId64" Type="http://schemas.openxmlformats.org/officeDocument/2006/relationships/image" Target="media/image56.jpeg"/><Relationship Id="rId118" Type="http://schemas.openxmlformats.org/officeDocument/2006/relationships/image" Target="media/image108.jpeg"/><Relationship Id="rId325" Type="http://schemas.openxmlformats.org/officeDocument/2006/relationships/image" Target="media/image263.jpeg"/><Relationship Id="rId367" Type="http://schemas.openxmlformats.org/officeDocument/2006/relationships/image" Target="media/image297.jpeg"/><Relationship Id="rId532" Type="http://schemas.openxmlformats.org/officeDocument/2006/relationships/footer" Target="footer70.xml"/><Relationship Id="rId574" Type="http://schemas.openxmlformats.org/officeDocument/2006/relationships/image" Target="media/image448.jpeg"/><Relationship Id="rId171" Type="http://schemas.openxmlformats.org/officeDocument/2006/relationships/image" Target="media/image152.jpeg"/><Relationship Id="rId227" Type="http://schemas.openxmlformats.org/officeDocument/2006/relationships/footer" Target="footer17.xml"/><Relationship Id="rId269" Type="http://schemas.openxmlformats.org/officeDocument/2006/relationships/image" Target="media/image215.jpeg"/><Relationship Id="rId434" Type="http://schemas.openxmlformats.org/officeDocument/2006/relationships/image" Target="media/image352.jpeg"/><Relationship Id="rId476" Type="http://schemas.openxmlformats.org/officeDocument/2006/relationships/hyperlink" Target="http://gf.1190119.com/article-5487.htm" TargetMode="External"/><Relationship Id="rId33" Type="http://schemas.openxmlformats.org/officeDocument/2006/relationships/image" Target="media/image25.jpeg"/><Relationship Id="rId129" Type="http://schemas.openxmlformats.org/officeDocument/2006/relationships/footer" Target="footer5.xml"/><Relationship Id="rId280" Type="http://schemas.openxmlformats.org/officeDocument/2006/relationships/image" Target="media/image225.jpeg"/><Relationship Id="rId336" Type="http://schemas.openxmlformats.org/officeDocument/2006/relationships/image" Target="media/image271.jpeg"/><Relationship Id="rId501" Type="http://schemas.openxmlformats.org/officeDocument/2006/relationships/image" Target="media/image386.jpeg"/><Relationship Id="rId543" Type="http://schemas.openxmlformats.org/officeDocument/2006/relationships/image" Target="media/image421.jpeg"/><Relationship Id="rId75" Type="http://schemas.openxmlformats.org/officeDocument/2006/relationships/image" Target="media/image65.jpeg"/><Relationship Id="rId140" Type="http://schemas.openxmlformats.org/officeDocument/2006/relationships/image" Target="media/image128.jpeg"/><Relationship Id="rId182" Type="http://schemas.openxmlformats.org/officeDocument/2006/relationships/hyperlink" Target="http://gf.1190119.com/article-793.htm" TargetMode="External"/><Relationship Id="rId378" Type="http://schemas.openxmlformats.org/officeDocument/2006/relationships/footer" Target="footer40.xml"/><Relationship Id="rId403" Type="http://schemas.openxmlformats.org/officeDocument/2006/relationships/footer" Target="footer43.xml"/><Relationship Id="rId585" Type="http://schemas.openxmlformats.org/officeDocument/2006/relationships/image" Target="media/image456.jpeg"/><Relationship Id="rId6" Type="http://schemas.openxmlformats.org/officeDocument/2006/relationships/endnotes" Target="endnotes.xml"/><Relationship Id="rId238" Type="http://schemas.openxmlformats.org/officeDocument/2006/relationships/image" Target="media/image189.jpeg"/><Relationship Id="rId445" Type="http://schemas.openxmlformats.org/officeDocument/2006/relationships/footer" Target="footer54.xml"/><Relationship Id="rId487" Type="http://schemas.openxmlformats.org/officeDocument/2006/relationships/image" Target="media/image376.jpeg"/><Relationship Id="rId610" Type="http://schemas.openxmlformats.org/officeDocument/2006/relationships/image" Target="media/image477.jpeg"/><Relationship Id="rId291" Type="http://schemas.openxmlformats.org/officeDocument/2006/relationships/image" Target="media/image233.jpeg"/><Relationship Id="rId305" Type="http://schemas.openxmlformats.org/officeDocument/2006/relationships/image" Target="media/image244.jpeg"/><Relationship Id="rId347" Type="http://schemas.openxmlformats.org/officeDocument/2006/relationships/footer" Target="footer37.xml"/><Relationship Id="rId512" Type="http://schemas.openxmlformats.org/officeDocument/2006/relationships/image" Target="media/image396.jpeg"/><Relationship Id="rId44" Type="http://schemas.openxmlformats.org/officeDocument/2006/relationships/image" Target="media/image36.jpeg"/><Relationship Id="rId86" Type="http://schemas.openxmlformats.org/officeDocument/2006/relationships/image" Target="media/image76.jpeg"/><Relationship Id="rId151" Type="http://schemas.openxmlformats.org/officeDocument/2006/relationships/image" Target="media/image135.jpeg"/><Relationship Id="rId389" Type="http://schemas.openxmlformats.org/officeDocument/2006/relationships/image" Target="media/image315.jpeg"/><Relationship Id="rId554" Type="http://schemas.openxmlformats.org/officeDocument/2006/relationships/image" Target="media/image431.jpeg"/><Relationship Id="rId596" Type="http://schemas.openxmlformats.org/officeDocument/2006/relationships/image" Target="media/image464.jpeg"/><Relationship Id="rId193" Type="http://schemas.openxmlformats.org/officeDocument/2006/relationships/hyperlink" Target="http://gf.1190119.com/article-802.htm" TargetMode="External"/><Relationship Id="rId207" Type="http://schemas.openxmlformats.org/officeDocument/2006/relationships/image" Target="media/image161.jpeg"/><Relationship Id="rId249" Type="http://schemas.openxmlformats.org/officeDocument/2006/relationships/image" Target="media/image197.jpeg"/><Relationship Id="rId414" Type="http://schemas.openxmlformats.org/officeDocument/2006/relationships/image" Target="media/image336.jpeg"/><Relationship Id="rId456" Type="http://schemas.openxmlformats.org/officeDocument/2006/relationships/hyperlink" Target="http://gf.1190119.com/article-5454.htm" TargetMode="External"/><Relationship Id="rId498" Type="http://schemas.openxmlformats.org/officeDocument/2006/relationships/footer" Target="footer65.xml"/><Relationship Id="rId621" Type="http://schemas.openxmlformats.org/officeDocument/2006/relationships/image" Target="media/image486.jpeg"/><Relationship Id="rId13" Type="http://schemas.openxmlformats.org/officeDocument/2006/relationships/footer" Target="footer2.xml"/><Relationship Id="rId109" Type="http://schemas.openxmlformats.org/officeDocument/2006/relationships/image" Target="media/image99.jpeg"/><Relationship Id="rId260" Type="http://schemas.openxmlformats.org/officeDocument/2006/relationships/image" Target="media/image207.jpeg"/><Relationship Id="rId316" Type="http://schemas.openxmlformats.org/officeDocument/2006/relationships/footer" Target="footer30.xml"/><Relationship Id="rId523" Type="http://schemas.openxmlformats.org/officeDocument/2006/relationships/image" Target="media/image405.png"/><Relationship Id="rId55" Type="http://schemas.openxmlformats.org/officeDocument/2006/relationships/image" Target="media/image47.jpeg"/><Relationship Id="rId97" Type="http://schemas.openxmlformats.org/officeDocument/2006/relationships/image" Target="media/image87.jpeg"/><Relationship Id="rId120" Type="http://schemas.openxmlformats.org/officeDocument/2006/relationships/image" Target="media/image110.jpeg"/><Relationship Id="rId358" Type="http://schemas.openxmlformats.org/officeDocument/2006/relationships/image" Target="media/image288.jpeg"/><Relationship Id="rId565" Type="http://schemas.openxmlformats.org/officeDocument/2006/relationships/image" Target="media/image440.jpeg"/><Relationship Id="rId162" Type="http://schemas.openxmlformats.org/officeDocument/2006/relationships/image" Target="media/image145.jpeg"/><Relationship Id="rId218" Type="http://schemas.openxmlformats.org/officeDocument/2006/relationships/image" Target="media/image170.jpeg"/><Relationship Id="rId425" Type="http://schemas.openxmlformats.org/officeDocument/2006/relationships/image" Target="media/image345.jpeg"/><Relationship Id="rId467" Type="http://schemas.openxmlformats.org/officeDocument/2006/relationships/hyperlink" Target="http://gf.1190119.com/article-5485.htm" TargetMode="External"/><Relationship Id="rId271" Type="http://schemas.openxmlformats.org/officeDocument/2006/relationships/image" Target="media/image217.jpeg"/><Relationship Id="rId24" Type="http://schemas.openxmlformats.org/officeDocument/2006/relationships/image" Target="media/image16.jpeg"/><Relationship Id="rId66" Type="http://schemas.openxmlformats.org/officeDocument/2006/relationships/image" Target="media/image57.jpeg"/><Relationship Id="rId131" Type="http://schemas.openxmlformats.org/officeDocument/2006/relationships/image" Target="media/image120.jpeg"/><Relationship Id="rId327" Type="http://schemas.openxmlformats.org/officeDocument/2006/relationships/image" Target="media/image264.jpeg"/><Relationship Id="rId369" Type="http://schemas.openxmlformats.org/officeDocument/2006/relationships/footer" Target="footer39.xml"/><Relationship Id="rId534" Type="http://schemas.openxmlformats.org/officeDocument/2006/relationships/image" Target="media/image414.jpeg"/><Relationship Id="rId576" Type="http://schemas.openxmlformats.org/officeDocument/2006/relationships/image" Target="media/image450.jpeg"/><Relationship Id="rId173" Type="http://schemas.openxmlformats.org/officeDocument/2006/relationships/image" Target="media/image154.jpeg"/><Relationship Id="rId229" Type="http://schemas.openxmlformats.org/officeDocument/2006/relationships/image" Target="media/image180.jpeg"/><Relationship Id="rId380" Type="http://schemas.openxmlformats.org/officeDocument/2006/relationships/image" Target="media/image308.jpeg"/><Relationship Id="rId436" Type="http://schemas.openxmlformats.org/officeDocument/2006/relationships/image" Target="media/image353.jpeg"/><Relationship Id="rId601" Type="http://schemas.openxmlformats.org/officeDocument/2006/relationships/image" Target="media/image469.jpeg"/><Relationship Id="rId240" Type="http://schemas.openxmlformats.org/officeDocument/2006/relationships/footer" Target="footer18.xml"/><Relationship Id="rId478" Type="http://schemas.openxmlformats.org/officeDocument/2006/relationships/image" Target="media/image369.jpeg"/><Relationship Id="rId35" Type="http://schemas.openxmlformats.org/officeDocument/2006/relationships/image" Target="media/image27.png"/><Relationship Id="rId77" Type="http://schemas.openxmlformats.org/officeDocument/2006/relationships/image" Target="media/image67.jpeg"/><Relationship Id="rId100" Type="http://schemas.openxmlformats.org/officeDocument/2006/relationships/image" Target="media/image90.jpeg"/><Relationship Id="rId282" Type="http://schemas.openxmlformats.org/officeDocument/2006/relationships/footer" Target="footer24.xml"/><Relationship Id="rId338" Type="http://schemas.openxmlformats.org/officeDocument/2006/relationships/image" Target="media/image273.jpeg"/><Relationship Id="rId503" Type="http://schemas.openxmlformats.org/officeDocument/2006/relationships/image" Target="media/image387.jpeg"/><Relationship Id="rId545" Type="http://schemas.openxmlformats.org/officeDocument/2006/relationships/image" Target="media/image423.jpeg"/><Relationship Id="rId587" Type="http://schemas.openxmlformats.org/officeDocument/2006/relationships/image" Target="media/image457.jpeg"/><Relationship Id="rId8" Type="http://schemas.openxmlformats.org/officeDocument/2006/relationships/image" Target="media/image2.png"/><Relationship Id="rId142" Type="http://schemas.openxmlformats.org/officeDocument/2006/relationships/footer" Target="footer7.xml"/><Relationship Id="rId184" Type="http://schemas.openxmlformats.org/officeDocument/2006/relationships/hyperlink" Target="http://gf.1190119.com/article-795.htm" TargetMode="External"/><Relationship Id="rId391" Type="http://schemas.openxmlformats.org/officeDocument/2006/relationships/image" Target="media/image317.jpeg"/><Relationship Id="rId405" Type="http://schemas.openxmlformats.org/officeDocument/2006/relationships/footer" Target="footer44.xml"/><Relationship Id="rId447" Type="http://schemas.openxmlformats.org/officeDocument/2006/relationships/image" Target="media/image361.jpeg"/><Relationship Id="rId612" Type="http://schemas.openxmlformats.org/officeDocument/2006/relationships/footer" Target="footer84.xml"/><Relationship Id="rId251" Type="http://schemas.openxmlformats.org/officeDocument/2006/relationships/image" Target="media/image199.jpeg"/><Relationship Id="rId489" Type="http://schemas.openxmlformats.org/officeDocument/2006/relationships/footer" Target="footer62.xml"/><Relationship Id="rId46" Type="http://schemas.openxmlformats.org/officeDocument/2006/relationships/image" Target="media/image38.png"/><Relationship Id="rId293" Type="http://schemas.openxmlformats.org/officeDocument/2006/relationships/image" Target="media/image235.jpeg"/><Relationship Id="rId307" Type="http://schemas.openxmlformats.org/officeDocument/2006/relationships/image" Target="media/image246.jpeg"/><Relationship Id="rId349" Type="http://schemas.openxmlformats.org/officeDocument/2006/relationships/image" Target="media/image280.jpeg"/><Relationship Id="rId514" Type="http://schemas.openxmlformats.org/officeDocument/2006/relationships/image" Target="media/image398.jpeg"/><Relationship Id="rId556" Type="http://schemas.openxmlformats.org/officeDocument/2006/relationships/image" Target="media/image433.jpeg"/><Relationship Id="rId88" Type="http://schemas.openxmlformats.org/officeDocument/2006/relationships/image" Target="media/image78.jpeg"/><Relationship Id="rId111" Type="http://schemas.openxmlformats.org/officeDocument/2006/relationships/image" Target="media/image101.jpeg"/><Relationship Id="rId153" Type="http://schemas.openxmlformats.org/officeDocument/2006/relationships/image" Target="media/image137.jpeg"/><Relationship Id="rId195" Type="http://schemas.openxmlformats.org/officeDocument/2006/relationships/hyperlink" Target="http://gf.1190119.com/article-802.htm" TargetMode="External"/><Relationship Id="rId209" Type="http://schemas.openxmlformats.org/officeDocument/2006/relationships/footer" Target="footer15.xml"/><Relationship Id="rId360" Type="http://schemas.openxmlformats.org/officeDocument/2006/relationships/image" Target="media/image290.jpeg"/><Relationship Id="rId416" Type="http://schemas.openxmlformats.org/officeDocument/2006/relationships/image" Target="media/image337.jpeg"/><Relationship Id="rId598" Type="http://schemas.openxmlformats.org/officeDocument/2006/relationships/image" Target="media/image466.jpeg"/><Relationship Id="rId220" Type="http://schemas.openxmlformats.org/officeDocument/2006/relationships/image" Target="media/image172.jpeg"/><Relationship Id="rId458" Type="http://schemas.openxmlformats.org/officeDocument/2006/relationships/hyperlink" Target="http://gf.1190119.com/article-5456.htm" TargetMode="External"/><Relationship Id="rId623" Type="http://schemas.openxmlformats.org/officeDocument/2006/relationships/image" Target="media/image488.jpeg"/><Relationship Id="rId15" Type="http://schemas.openxmlformats.org/officeDocument/2006/relationships/image" Target="media/image7.jpeg"/><Relationship Id="rId57" Type="http://schemas.openxmlformats.org/officeDocument/2006/relationships/image" Target="media/image49.jpeg"/><Relationship Id="rId262" Type="http://schemas.openxmlformats.org/officeDocument/2006/relationships/image" Target="media/image209.jpeg"/><Relationship Id="rId318" Type="http://schemas.openxmlformats.org/officeDocument/2006/relationships/image" Target="media/image256.jpeg"/><Relationship Id="rId525" Type="http://schemas.openxmlformats.org/officeDocument/2006/relationships/image" Target="media/image407.png"/><Relationship Id="rId567" Type="http://schemas.openxmlformats.org/officeDocument/2006/relationships/image" Target="media/image442.jpeg"/><Relationship Id="rId99" Type="http://schemas.openxmlformats.org/officeDocument/2006/relationships/image" Target="media/image89.png"/><Relationship Id="rId122" Type="http://schemas.openxmlformats.org/officeDocument/2006/relationships/image" Target="media/image112.jpeg"/><Relationship Id="rId164" Type="http://schemas.openxmlformats.org/officeDocument/2006/relationships/image" Target="media/image146.jpeg"/><Relationship Id="rId371" Type="http://schemas.openxmlformats.org/officeDocument/2006/relationships/image" Target="media/image300.jpeg"/><Relationship Id="rId427" Type="http://schemas.openxmlformats.org/officeDocument/2006/relationships/image" Target="media/image347.jpeg"/><Relationship Id="rId469" Type="http://schemas.openxmlformats.org/officeDocument/2006/relationships/hyperlink" Target="http://gf.1190119.com/article-5485.htm" TargetMode="External"/><Relationship Id="rId26" Type="http://schemas.openxmlformats.org/officeDocument/2006/relationships/image" Target="media/image18.jpeg"/><Relationship Id="rId231" Type="http://schemas.openxmlformats.org/officeDocument/2006/relationships/image" Target="media/image182.jpeg"/><Relationship Id="rId273" Type="http://schemas.openxmlformats.org/officeDocument/2006/relationships/image" Target="media/image219.jpeg"/><Relationship Id="rId329" Type="http://schemas.openxmlformats.org/officeDocument/2006/relationships/image" Target="media/image266.jpeg"/><Relationship Id="rId480" Type="http://schemas.openxmlformats.org/officeDocument/2006/relationships/image" Target="media/image371.png"/><Relationship Id="rId536" Type="http://schemas.openxmlformats.org/officeDocument/2006/relationships/image" Target="media/image415.png"/><Relationship Id="rId68" Type="http://schemas.openxmlformats.org/officeDocument/2006/relationships/footer" Target="footer4.xml"/><Relationship Id="rId133" Type="http://schemas.openxmlformats.org/officeDocument/2006/relationships/footer" Target="footer6.xml"/><Relationship Id="rId175" Type="http://schemas.openxmlformats.org/officeDocument/2006/relationships/image" Target="media/image156.jpeg"/><Relationship Id="rId340" Type="http://schemas.openxmlformats.org/officeDocument/2006/relationships/footer" Target="footer35.xml"/><Relationship Id="rId578" Type="http://schemas.openxmlformats.org/officeDocument/2006/relationships/footer" Target="footer77.xml"/><Relationship Id="rId200" Type="http://schemas.openxmlformats.org/officeDocument/2006/relationships/hyperlink" Target="http://gf.1190119.com/article-805.htm" TargetMode="External"/><Relationship Id="rId382" Type="http://schemas.openxmlformats.org/officeDocument/2006/relationships/image" Target="media/image310.jpeg"/><Relationship Id="rId438" Type="http://schemas.openxmlformats.org/officeDocument/2006/relationships/footer" Target="footer52.xml"/><Relationship Id="rId603" Type="http://schemas.openxmlformats.org/officeDocument/2006/relationships/image" Target="media/image471.jpeg"/><Relationship Id="rId242" Type="http://schemas.openxmlformats.org/officeDocument/2006/relationships/image" Target="media/image192.jpeg"/><Relationship Id="rId284" Type="http://schemas.openxmlformats.org/officeDocument/2006/relationships/image" Target="media/image227.jpeg"/><Relationship Id="rId491" Type="http://schemas.openxmlformats.org/officeDocument/2006/relationships/footer" Target="footer63.xml"/><Relationship Id="rId505" Type="http://schemas.openxmlformats.org/officeDocument/2006/relationships/image" Target="media/image389.jpeg"/><Relationship Id="rId37" Type="http://schemas.openxmlformats.org/officeDocument/2006/relationships/image" Target="media/image29.png"/><Relationship Id="rId79" Type="http://schemas.openxmlformats.org/officeDocument/2006/relationships/image" Target="media/image69.jpeg"/><Relationship Id="rId102" Type="http://schemas.openxmlformats.org/officeDocument/2006/relationships/image" Target="media/image92.jpeg"/><Relationship Id="rId144" Type="http://schemas.openxmlformats.org/officeDocument/2006/relationships/footer" Target="footer8.xml"/><Relationship Id="rId547" Type="http://schemas.openxmlformats.org/officeDocument/2006/relationships/image" Target="media/image424.jpeg"/><Relationship Id="rId589" Type="http://schemas.openxmlformats.org/officeDocument/2006/relationships/image" Target="media/image459.jpeg"/><Relationship Id="rId90" Type="http://schemas.openxmlformats.org/officeDocument/2006/relationships/image" Target="media/image80.jpeg"/><Relationship Id="rId186" Type="http://schemas.openxmlformats.org/officeDocument/2006/relationships/hyperlink" Target="http://gf.1190119.com/article-796.htm" TargetMode="External"/><Relationship Id="rId351" Type="http://schemas.openxmlformats.org/officeDocument/2006/relationships/footer" Target="footer38.xml"/><Relationship Id="rId393" Type="http://schemas.openxmlformats.org/officeDocument/2006/relationships/image" Target="media/image319.jpeg"/><Relationship Id="rId407" Type="http://schemas.openxmlformats.org/officeDocument/2006/relationships/image" Target="media/image331.jpeg"/><Relationship Id="rId449" Type="http://schemas.openxmlformats.org/officeDocument/2006/relationships/footer" Target="footer55.xml"/><Relationship Id="rId614" Type="http://schemas.openxmlformats.org/officeDocument/2006/relationships/image" Target="media/image480.jpeg"/><Relationship Id="rId211" Type="http://schemas.openxmlformats.org/officeDocument/2006/relationships/footer" Target="footer16.xml"/><Relationship Id="rId253" Type="http://schemas.openxmlformats.org/officeDocument/2006/relationships/image" Target="media/image201.jpeg"/><Relationship Id="rId295" Type="http://schemas.openxmlformats.org/officeDocument/2006/relationships/image" Target="media/image237.jpeg"/><Relationship Id="rId309" Type="http://schemas.openxmlformats.org/officeDocument/2006/relationships/image" Target="media/image248.jpeg"/><Relationship Id="rId460" Type="http://schemas.openxmlformats.org/officeDocument/2006/relationships/image" Target="media/image367.jpeg"/><Relationship Id="rId516" Type="http://schemas.openxmlformats.org/officeDocument/2006/relationships/image" Target="media/image399.jpeg"/><Relationship Id="rId48" Type="http://schemas.openxmlformats.org/officeDocument/2006/relationships/image" Target="media/image40.jpeg"/><Relationship Id="rId113" Type="http://schemas.openxmlformats.org/officeDocument/2006/relationships/image" Target="media/image103.jpeg"/><Relationship Id="rId320" Type="http://schemas.openxmlformats.org/officeDocument/2006/relationships/image" Target="media/image258.jpeg"/><Relationship Id="rId558" Type="http://schemas.openxmlformats.org/officeDocument/2006/relationships/image" Target="media/image434.jpeg"/><Relationship Id="rId155" Type="http://schemas.openxmlformats.org/officeDocument/2006/relationships/image" Target="media/image139.jpeg"/><Relationship Id="rId197" Type="http://schemas.openxmlformats.org/officeDocument/2006/relationships/hyperlink" Target="http://gf.1190119.com/article-803.htm" TargetMode="External"/><Relationship Id="rId362" Type="http://schemas.openxmlformats.org/officeDocument/2006/relationships/image" Target="media/image292.jpeg"/><Relationship Id="rId418" Type="http://schemas.openxmlformats.org/officeDocument/2006/relationships/image" Target="media/image339.jpeg"/><Relationship Id="rId625" Type="http://schemas.openxmlformats.org/officeDocument/2006/relationships/image" Target="media/image48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84088</Words>
  <Characters>479302</Characters>
  <Application>Microsoft Office Word</Application>
  <DocSecurity>0</DocSecurity>
  <Lines>3994</Lines>
  <Paragraphs>1124</Paragraphs>
  <ScaleCrop>false</ScaleCrop>
  <Company/>
  <LinksUpToDate>false</LinksUpToDate>
  <CharactersWithSpaces>562266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58237</cp:lastModifiedBy>
  <cp:revision>3</cp:revision>
  <dcterms:created xsi:type="dcterms:W3CDTF">2020-09-08T13:56:00Z</dcterms:created>
  <dcterms:modified xsi:type="dcterms:W3CDTF">2021-05-26T00:43:00Z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2019-08-27T00:00:00Z</vt:filetime>
  </property>
  <property fmtid="{D5CDD505-2E9C-101B-9397-08002B2CF9AE}" pid="3" name="Creator">
    <vt:lpwstr>Microsoft® Word 适用于 Office 365</vt:lpwstr>
  </property>
  <property fmtid="{D5CDD505-2E9C-101B-9397-08002B2CF9AE}" pid="4" name="LastSaved">
    <vt:filetime>2020-09-08T00:00:00Z</vt:filetime>
  </property>
</Properties>
</file>